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3F0E" w:rsidRDefault="000A3F0E" w:rsidP="000A3F0E">
      <w:pPr>
        <w:pStyle w:val="u00a"/>
      </w:pPr>
    </w:p>
    <w:p w:rsidR="00BF3468" w:rsidRDefault="00BF3468" w:rsidP="00BF3468">
      <w:pPr>
        <w:pStyle w:val="u00"/>
      </w:pPr>
      <w:r>
        <w:t>ESSAIS</w:t>
      </w:r>
      <w:r w:rsidRPr="002C4077">
        <w:t xml:space="preserve"> </w:t>
      </w:r>
      <w:r>
        <w:t>D’EXÉGÈSE</w:t>
      </w:r>
      <w:r w:rsidRPr="002C4077">
        <w:t xml:space="preserve"> </w:t>
      </w:r>
    </w:p>
    <w:p w:rsidR="000A3F0E" w:rsidRPr="0005795B" w:rsidRDefault="000A3F0E" w:rsidP="000A3F0E">
      <w:pPr>
        <w:pStyle w:val="u00b"/>
      </w:pPr>
    </w:p>
    <w:p w:rsidR="000A3F0E" w:rsidRDefault="000A3F0E" w:rsidP="000A3F0E"/>
    <w:p w:rsidR="007D6800" w:rsidRDefault="007D6800" w:rsidP="00801D06">
      <w:pPr>
        <w:pStyle w:val="monitum"/>
      </w:pPr>
      <w:r>
        <w:t xml:space="preserve">La relecture approfondie de ce document n’a pas été faite. </w:t>
      </w:r>
    </w:p>
    <w:p w:rsidR="007D6800" w:rsidRDefault="007D6800" w:rsidP="000A3F0E"/>
    <w:p w:rsidR="00590C4A" w:rsidRDefault="00BD684C" w:rsidP="00590C4A">
      <w:r w:rsidRPr="00BD684C">
        <w:t xml:space="preserve">- Essais d’exégèse, exposition, réfutation, critique, mœurs juives, etc., par </w:t>
      </w:r>
      <w:r w:rsidR="006B1887">
        <w:t xml:space="preserve">M. </w:t>
      </w:r>
      <w:r w:rsidRPr="00BD684C">
        <w:t>Louis-Claude Fillion, Librairie Briday, Delhomme et Briguet, successeurs, Lyon, Paris, 1884, 353 p.</w:t>
      </w:r>
    </w:p>
    <w:p w:rsidR="00590C4A" w:rsidRDefault="00590C4A" w:rsidP="000A3F0E"/>
    <w:p w:rsidR="007D6800" w:rsidRDefault="007D6800" w:rsidP="000A3F0E"/>
    <w:p w:rsidR="000A3F0E" w:rsidRDefault="000A3F0E" w:rsidP="000A3F0E">
      <w:pPr>
        <w:pStyle w:val="tabtit"/>
      </w:pPr>
      <w:r>
        <w:t>Table</w:t>
      </w:r>
    </w:p>
    <w:p w:rsidR="009D58B1" w:rsidRDefault="003A700C">
      <w:pPr>
        <w:pStyle w:val="TM2"/>
        <w:tabs>
          <w:tab w:val="right" w:leader="dot" w:pos="10478"/>
        </w:tabs>
        <w:rPr>
          <w:rFonts w:asciiTheme="minorHAnsi" w:eastAsiaTheme="minorEastAsia" w:hAnsiTheme="minorHAnsi" w:cstheme="minorBidi"/>
          <w:noProof/>
          <w:sz w:val="22"/>
          <w:lang w:eastAsia="fr-FR"/>
        </w:rPr>
      </w:pPr>
      <w:r w:rsidRPr="003A700C">
        <w:rPr>
          <w:lang w:eastAsia="fr-FR"/>
        </w:rPr>
        <w:fldChar w:fldCharType="begin"/>
      </w:r>
      <w:r w:rsidR="000A3F0E">
        <w:rPr>
          <w:lang w:eastAsia="fr-FR"/>
        </w:rPr>
        <w:instrText xml:space="preserve"> TOC \o "1-3" \h \z \u </w:instrText>
      </w:r>
      <w:r w:rsidRPr="003A700C">
        <w:rPr>
          <w:lang w:eastAsia="fr-FR"/>
        </w:rPr>
        <w:fldChar w:fldCharType="separate"/>
      </w:r>
      <w:hyperlink w:anchor="_Toc43881998" w:history="1">
        <w:r w:rsidR="009D58B1" w:rsidRPr="00DB71DE">
          <w:rPr>
            <w:rStyle w:val="Lienhypertexte"/>
            <w:noProof/>
          </w:rPr>
          <w:t>SOMMAIRE.</w:t>
        </w:r>
        <w:r w:rsidR="009D58B1">
          <w:rPr>
            <w:noProof/>
            <w:webHidden/>
          </w:rPr>
          <w:tab/>
        </w:r>
        <w:r>
          <w:rPr>
            <w:noProof/>
            <w:webHidden/>
          </w:rPr>
          <w:fldChar w:fldCharType="begin"/>
        </w:r>
        <w:r w:rsidR="009D58B1">
          <w:rPr>
            <w:noProof/>
            <w:webHidden/>
          </w:rPr>
          <w:instrText xml:space="preserve"> PAGEREF _Toc43881998 \h </w:instrText>
        </w:r>
        <w:r>
          <w:rPr>
            <w:noProof/>
            <w:webHidden/>
          </w:rPr>
        </w:r>
        <w:r>
          <w:rPr>
            <w:noProof/>
            <w:webHidden/>
          </w:rPr>
          <w:fldChar w:fldCharType="separate"/>
        </w:r>
        <w:r w:rsidR="009D58B1">
          <w:rPr>
            <w:noProof/>
            <w:webHidden/>
          </w:rPr>
          <w:t>2</w:t>
        </w:r>
        <w:r>
          <w:rPr>
            <w:noProof/>
            <w:webHidden/>
          </w:rPr>
          <w:fldChar w:fldCharType="end"/>
        </w:r>
      </w:hyperlink>
    </w:p>
    <w:p w:rsidR="009D58B1" w:rsidRDefault="003A700C">
      <w:pPr>
        <w:pStyle w:val="TM2"/>
        <w:tabs>
          <w:tab w:val="right" w:leader="dot" w:pos="10478"/>
        </w:tabs>
        <w:rPr>
          <w:rFonts w:asciiTheme="minorHAnsi" w:eastAsiaTheme="minorEastAsia" w:hAnsiTheme="minorHAnsi" w:cstheme="minorBidi"/>
          <w:noProof/>
          <w:sz w:val="22"/>
          <w:lang w:eastAsia="fr-FR"/>
        </w:rPr>
      </w:pPr>
      <w:hyperlink w:anchor="_Toc43881999" w:history="1">
        <w:r w:rsidR="009D58B1" w:rsidRPr="00DB71DE">
          <w:rPr>
            <w:rStyle w:val="Lienhypertexte"/>
            <w:noProof/>
          </w:rPr>
          <w:t>AVANT-PROPOS.</w:t>
        </w:r>
        <w:r w:rsidR="009D58B1">
          <w:rPr>
            <w:noProof/>
            <w:webHidden/>
          </w:rPr>
          <w:tab/>
        </w:r>
        <w:r>
          <w:rPr>
            <w:noProof/>
            <w:webHidden/>
          </w:rPr>
          <w:fldChar w:fldCharType="begin"/>
        </w:r>
        <w:r w:rsidR="009D58B1">
          <w:rPr>
            <w:noProof/>
            <w:webHidden/>
          </w:rPr>
          <w:instrText xml:space="preserve"> PAGEREF _Toc43881999 \h </w:instrText>
        </w:r>
        <w:r>
          <w:rPr>
            <w:noProof/>
            <w:webHidden/>
          </w:rPr>
        </w:r>
        <w:r>
          <w:rPr>
            <w:noProof/>
            <w:webHidden/>
          </w:rPr>
          <w:fldChar w:fldCharType="separate"/>
        </w:r>
        <w:r w:rsidR="009D58B1">
          <w:rPr>
            <w:noProof/>
            <w:webHidden/>
          </w:rPr>
          <w:t>3</w:t>
        </w:r>
        <w:r>
          <w:rPr>
            <w:noProof/>
            <w:webHidden/>
          </w:rPr>
          <w:fldChar w:fldCharType="end"/>
        </w:r>
      </w:hyperlink>
    </w:p>
    <w:p w:rsidR="009D58B1" w:rsidRDefault="003A700C">
      <w:pPr>
        <w:pStyle w:val="TM1"/>
        <w:tabs>
          <w:tab w:val="right" w:leader="dot" w:pos="10478"/>
        </w:tabs>
        <w:rPr>
          <w:rFonts w:asciiTheme="minorHAnsi" w:eastAsiaTheme="minorEastAsia" w:hAnsiTheme="minorHAnsi" w:cstheme="minorBidi"/>
          <w:b w:val="0"/>
          <w:sz w:val="22"/>
          <w:lang w:eastAsia="fr-FR"/>
        </w:rPr>
      </w:pPr>
      <w:hyperlink w:anchor="_Toc43882000" w:history="1">
        <w:r w:rsidR="009D58B1" w:rsidRPr="00DB71DE">
          <w:rPr>
            <w:rStyle w:val="Lienhypertexte"/>
          </w:rPr>
          <w:t>I. LA PROPHÉTIE DE LA VIERGE MÈRE ET D’EMMANUEL.</w:t>
        </w:r>
        <w:r w:rsidR="009D58B1">
          <w:rPr>
            <w:webHidden/>
          </w:rPr>
          <w:tab/>
        </w:r>
        <w:r>
          <w:rPr>
            <w:webHidden/>
          </w:rPr>
          <w:fldChar w:fldCharType="begin"/>
        </w:r>
        <w:r w:rsidR="009D58B1">
          <w:rPr>
            <w:webHidden/>
          </w:rPr>
          <w:instrText xml:space="preserve"> PAGEREF _Toc43882000 \h </w:instrText>
        </w:r>
        <w:r>
          <w:rPr>
            <w:webHidden/>
          </w:rPr>
        </w:r>
        <w:r>
          <w:rPr>
            <w:webHidden/>
          </w:rPr>
          <w:fldChar w:fldCharType="separate"/>
        </w:r>
        <w:r w:rsidR="009D58B1">
          <w:rPr>
            <w:webHidden/>
          </w:rPr>
          <w:t>4</w:t>
        </w:r>
        <w:r>
          <w:rPr>
            <w:webHidden/>
          </w:rPr>
          <w:fldChar w:fldCharType="end"/>
        </w:r>
      </w:hyperlink>
    </w:p>
    <w:p w:rsidR="009D58B1" w:rsidRDefault="003A700C">
      <w:pPr>
        <w:pStyle w:val="TM2"/>
        <w:tabs>
          <w:tab w:val="right" w:leader="dot" w:pos="10478"/>
        </w:tabs>
        <w:rPr>
          <w:rFonts w:asciiTheme="minorHAnsi" w:eastAsiaTheme="minorEastAsia" w:hAnsiTheme="minorHAnsi" w:cstheme="minorBidi"/>
          <w:noProof/>
          <w:sz w:val="22"/>
          <w:lang w:eastAsia="fr-FR"/>
        </w:rPr>
      </w:pPr>
      <w:hyperlink w:anchor="_Toc43882001" w:history="1">
        <w:r w:rsidR="009D58B1" w:rsidRPr="00DB71DE">
          <w:rPr>
            <w:rStyle w:val="Lienhypertexte"/>
            <w:noProof/>
          </w:rPr>
          <w:t>CHAPI</w:t>
        </w:r>
        <w:r w:rsidR="009D58B1" w:rsidRPr="00DB71DE">
          <w:rPr>
            <w:rStyle w:val="Lienhypertexte"/>
            <w:noProof/>
          </w:rPr>
          <w:t>T</w:t>
        </w:r>
        <w:r w:rsidR="009D58B1" w:rsidRPr="00DB71DE">
          <w:rPr>
            <w:rStyle w:val="Lienhypertexte"/>
            <w:noProof/>
          </w:rPr>
          <w:t>RE I.</w:t>
        </w:r>
        <w:r w:rsidR="009D58B1">
          <w:rPr>
            <w:noProof/>
            <w:webHidden/>
          </w:rPr>
          <w:tab/>
        </w:r>
        <w:r>
          <w:rPr>
            <w:noProof/>
            <w:webHidden/>
          </w:rPr>
          <w:fldChar w:fldCharType="begin"/>
        </w:r>
        <w:r w:rsidR="009D58B1">
          <w:rPr>
            <w:noProof/>
            <w:webHidden/>
          </w:rPr>
          <w:instrText xml:space="preserve"> PAGEREF _Toc43882001 \h </w:instrText>
        </w:r>
        <w:r>
          <w:rPr>
            <w:noProof/>
            <w:webHidden/>
          </w:rPr>
        </w:r>
        <w:r>
          <w:rPr>
            <w:noProof/>
            <w:webHidden/>
          </w:rPr>
          <w:fldChar w:fldCharType="separate"/>
        </w:r>
        <w:r w:rsidR="009D58B1">
          <w:rPr>
            <w:noProof/>
            <w:webHidden/>
          </w:rPr>
          <w:t>4</w:t>
        </w:r>
        <w:r>
          <w:rPr>
            <w:noProof/>
            <w:webHidden/>
          </w:rPr>
          <w:fldChar w:fldCharType="end"/>
        </w:r>
      </w:hyperlink>
    </w:p>
    <w:p w:rsidR="009D58B1" w:rsidRDefault="003A700C">
      <w:pPr>
        <w:pStyle w:val="TM2"/>
        <w:tabs>
          <w:tab w:val="right" w:leader="dot" w:pos="10478"/>
        </w:tabs>
        <w:rPr>
          <w:rFonts w:asciiTheme="minorHAnsi" w:eastAsiaTheme="minorEastAsia" w:hAnsiTheme="minorHAnsi" w:cstheme="minorBidi"/>
          <w:noProof/>
          <w:sz w:val="22"/>
          <w:lang w:eastAsia="fr-FR"/>
        </w:rPr>
      </w:pPr>
      <w:hyperlink w:anchor="_Toc43882002" w:history="1">
        <w:r w:rsidR="009D58B1" w:rsidRPr="00DB71DE">
          <w:rPr>
            <w:rStyle w:val="Lienhypertexte"/>
            <w:noProof/>
          </w:rPr>
          <w:t>CHAPITRE II.</w:t>
        </w:r>
        <w:r w:rsidR="009D58B1">
          <w:rPr>
            <w:noProof/>
            <w:webHidden/>
          </w:rPr>
          <w:tab/>
        </w:r>
        <w:r>
          <w:rPr>
            <w:noProof/>
            <w:webHidden/>
          </w:rPr>
          <w:fldChar w:fldCharType="begin"/>
        </w:r>
        <w:r w:rsidR="009D58B1">
          <w:rPr>
            <w:noProof/>
            <w:webHidden/>
          </w:rPr>
          <w:instrText xml:space="preserve"> PAGEREF _Toc43882002 \h </w:instrText>
        </w:r>
        <w:r>
          <w:rPr>
            <w:noProof/>
            <w:webHidden/>
          </w:rPr>
        </w:r>
        <w:r>
          <w:rPr>
            <w:noProof/>
            <w:webHidden/>
          </w:rPr>
          <w:fldChar w:fldCharType="separate"/>
        </w:r>
        <w:r w:rsidR="009D58B1">
          <w:rPr>
            <w:noProof/>
            <w:webHidden/>
          </w:rPr>
          <w:t>9</w:t>
        </w:r>
        <w:r>
          <w:rPr>
            <w:noProof/>
            <w:webHidden/>
          </w:rPr>
          <w:fldChar w:fldCharType="end"/>
        </w:r>
      </w:hyperlink>
    </w:p>
    <w:p w:rsidR="009D58B1" w:rsidRDefault="003A700C">
      <w:pPr>
        <w:pStyle w:val="TM2"/>
        <w:tabs>
          <w:tab w:val="right" w:leader="dot" w:pos="10478"/>
        </w:tabs>
        <w:rPr>
          <w:rFonts w:asciiTheme="minorHAnsi" w:eastAsiaTheme="minorEastAsia" w:hAnsiTheme="minorHAnsi" w:cstheme="minorBidi"/>
          <w:noProof/>
          <w:sz w:val="22"/>
          <w:lang w:eastAsia="fr-FR"/>
        </w:rPr>
      </w:pPr>
      <w:hyperlink w:anchor="_Toc43882003" w:history="1">
        <w:r w:rsidR="009D58B1" w:rsidRPr="00DB71DE">
          <w:rPr>
            <w:rStyle w:val="Lienhypertexte"/>
            <w:noProof/>
          </w:rPr>
          <w:t>CHAPITRE III.</w:t>
        </w:r>
        <w:r w:rsidR="009D58B1">
          <w:rPr>
            <w:noProof/>
            <w:webHidden/>
          </w:rPr>
          <w:tab/>
        </w:r>
        <w:r>
          <w:rPr>
            <w:noProof/>
            <w:webHidden/>
          </w:rPr>
          <w:fldChar w:fldCharType="begin"/>
        </w:r>
        <w:r w:rsidR="009D58B1">
          <w:rPr>
            <w:noProof/>
            <w:webHidden/>
          </w:rPr>
          <w:instrText xml:space="preserve"> PAGEREF _Toc43882003 \h </w:instrText>
        </w:r>
        <w:r>
          <w:rPr>
            <w:noProof/>
            <w:webHidden/>
          </w:rPr>
        </w:r>
        <w:r>
          <w:rPr>
            <w:noProof/>
            <w:webHidden/>
          </w:rPr>
          <w:fldChar w:fldCharType="separate"/>
        </w:r>
        <w:r w:rsidR="009D58B1">
          <w:rPr>
            <w:noProof/>
            <w:webHidden/>
          </w:rPr>
          <w:t>12</w:t>
        </w:r>
        <w:r>
          <w:rPr>
            <w:noProof/>
            <w:webHidden/>
          </w:rPr>
          <w:fldChar w:fldCharType="end"/>
        </w:r>
      </w:hyperlink>
    </w:p>
    <w:p w:rsidR="009D58B1" w:rsidRDefault="003A700C">
      <w:pPr>
        <w:pStyle w:val="TM2"/>
        <w:tabs>
          <w:tab w:val="right" w:leader="dot" w:pos="10478"/>
        </w:tabs>
        <w:rPr>
          <w:rFonts w:asciiTheme="minorHAnsi" w:eastAsiaTheme="minorEastAsia" w:hAnsiTheme="minorHAnsi" w:cstheme="minorBidi"/>
          <w:noProof/>
          <w:sz w:val="22"/>
          <w:lang w:eastAsia="fr-FR"/>
        </w:rPr>
      </w:pPr>
      <w:hyperlink w:anchor="_Toc43882004" w:history="1">
        <w:r w:rsidR="009D58B1" w:rsidRPr="00DB71DE">
          <w:rPr>
            <w:rStyle w:val="Lienhypertexte"/>
            <w:noProof/>
          </w:rPr>
          <w:t>CHAPITRE IV.</w:t>
        </w:r>
        <w:r w:rsidR="009D58B1">
          <w:rPr>
            <w:noProof/>
            <w:webHidden/>
          </w:rPr>
          <w:tab/>
        </w:r>
        <w:r>
          <w:rPr>
            <w:noProof/>
            <w:webHidden/>
          </w:rPr>
          <w:fldChar w:fldCharType="begin"/>
        </w:r>
        <w:r w:rsidR="009D58B1">
          <w:rPr>
            <w:noProof/>
            <w:webHidden/>
          </w:rPr>
          <w:instrText xml:space="preserve"> PAGEREF _Toc43882004 \h </w:instrText>
        </w:r>
        <w:r>
          <w:rPr>
            <w:noProof/>
            <w:webHidden/>
          </w:rPr>
        </w:r>
        <w:r>
          <w:rPr>
            <w:noProof/>
            <w:webHidden/>
          </w:rPr>
          <w:fldChar w:fldCharType="separate"/>
        </w:r>
        <w:r w:rsidR="009D58B1">
          <w:rPr>
            <w:noProof/>
            <w:webHidden/>
          </w:rPr>
          <w:t>17</w:t>
        </w:r>
        <w:r>
          <w:rPr>
            <w:noProof/>
            <w:webHidden/>
          </w:rPr>
          <w:fldChar w:fldCharType="end"/>
        </w:r>
      </w:hyperlink>
    </w:p>
    <w:p w:rsidR="009D58B1" w:rsidRDefault="003A700C">
      <w:pPr>
        <w:pStyle w:val="TM2"/>
        <w:tabs>
          <w:tab w:val="right" w:leader="dot" w:pos="10478"/>
        </w:tabs>
        <w:rPr>
          <w:rFonts w:asciiTheme="minorHAnsi" w:eastAsiaTheme="minorEastAsia" w:hAnsiTheme="minorHAnsi" w:cstheme="minorBidi"/>
          <w:noProof/>
          <w:sz w:val="22"/>
          <w:lang w:eastAsia="fr-FR"/>
        </w:rPr>
      </w:pPr>
      <w:hyperlink w:anchor="_Toc43882005" w:history="1">
        <w:r w:rsidR="009D58B1" w:rsidRPr="00DB71DE">
          <w:rPr>
            <w:rStyle w:val="Lienhypertexte"/>
            <w:noProof/>
          </w:rPr>
          <w:t>CHAPITRE V.</w:t>
        </w:r>
        <w:r w:rsidR="009D58B1">
          <w:rPr>
            <w:noProof/>
            <w:webHidden/>
          </w:rPr>
          <w:tab/>
        </w:r>
        <w:r>
          <w:rPr>
            <w:noProof/>
            <w:webHidden/>
          </w:rPr>
          <w:fldChar w:fldCharType="begin"/>
        </w:r>
        <w:r w:rsidR="009D58B1">
          <w:rPr>
            <w:noProof/>
            <w:webHidden/>
          </w:rPr>
          <w:instrText xml:space="preserve"> PAGEREF _Toc43882005 \h </w:instrText>
        </w:r>
        <w:r>
          <w:rPr>
            <w:noProof/>
            <w:webHidden/>
          </w:rPr>
        </w:r>
        <w:r>
          <w:rPr>
            <w:noProof/>
            <w:webHidden/>
          </w:rPr>
          <w:fldChar w:fldCharType="separate"/>
        </w:r>
        <w:r w:rsidR="009D58B1">
          <w:rPr>
            <w:noProof/>
            <w:webHidden/>
          </w:rPr>
          <w:t>33</w:t>
        </w:r>
        <w:r>
          <w:rPr>
            <w:noProof/>
            <w:webHidden/>
          </w:rPr>
          <w:fldChar w:fldCharType="end"/>
        </w:r>
      </w:hyperlink>
    </w:p>
    <w:p w:rsidR="009D58B1" w:rsidRDefault="003A700C">
      <w:pPr>
        <w:pStyle w:val="TM1"/>
        <w:tabs>
          <w:tab w:val="right" w:leader="dot" w:pos="10478"/>
        </w:tabs>
        <w:rPr>
          <w:rFonts w:asciiTheme="minorHAnsi" w:eastAsiaTheme="minorEastAsia" w:hAnsiTheme="minorHAnsi" w:cstheme="minorBidi"/>
          <w:b w:val="0"/>
          <w:sz w:val="22"/>
          <w:lang w:eastAsia="fr-FR"/>
        </w:rPr>
      </w:pPr>
      <w:hyperlink w:anchor="_Toc43882006" w:history="1">
        <w:r w:rsidR="009D58B1" w:rsidRPr="00DB71DE">
          <w:rPr>
            <w:rStyle w:val="Lienhypertexte"/>
          </w:rPr>
          <w:t>II. L’ANGE ET LA SUEUR DE SANG À GETHSÉMANI.</w:t>
        </w:r>
        <w:r w:rsidR="009D58B1">
          <w:rPr>
            <w:webHidden/>
          </w:rPr>
          <w:tab/>
        </w:r>
        <w:r>
          <w:rPr>
            <w:webHidden/>
          </w:rPr>
          <w:fldChar w:fldCharType="begin"/>
        </w:r>
        <w:r w:rsidR="009D58B1">
          <w:rPr>
            <w:webHidden/>
          </w:rPr>
          <w:instrText xml:space="preserve"> PAGEREF _Toc43882006 \h </w:instrText>
        </w:r>
        <w:r>
          <w:rPr>
            <w:webHidden/>
          </w:rPr>
        </w:r>
        <w:r>
          <w:rPr>
            <w:webHidden/>
          </w:rPr>
          <w:fldChar w:fldCharType="separate"/>
        </w:r>
        <w:r w:rsidR="009D58B1">
          <w:rPr>
            <w:webHidden/>
          </w:rPr>
          <w:t>42</w:t>
        </w:r>
        <w:r>
          <w:rPr>
            <w:webHidden/>
          </w:rPr>
          <w:fldChar w:fldCharType="end"/>
        </w:r>
      </w:hyperlink>
    </w:p>
    <w:p w:rsidR="009D58B1" w:rsidRDefault="003A700C">
      <w:pPr>
        <w:pStyle w:val="TM2"/>
        <w:tabs>
          <w:tab w:val="right" w:leader="dot" w:pos="10478"/>
        </w:tabs>
        <w:rPr>
          <w:rFonts w:asciiTheme="minorHAnsi" w:eastAsiaTheme="minorEastAsia" w:hAnsiTheme="minorHAnsi" w:cstheme="minorBidi"/>
          <w:noProof/>
          <w:sz w:val="22"/>
          <w:lang w:eastAsia="fr-FR"/>
        </w:rPr>
      </w:pPr>
      <w:hyperlink w:anchor="_Toc43882007" w:history="1">
        <w:r w:rsidR="009D58B1" w:rsidRPr="00DB71DE">
          <w:rPr>
            <w:rStyle w:val="Lienhypertexte"/>
            <w:noProof/>
          </w:rPr>
          <w:t>§ I. La question d’authenticité.</w:t>
        </w:r>
        <w:r w:rsidR="009D58B1">
          <w:rPr>
            <w:noProof/>
            <w:webHidden/>
          </w:rPr>
          <w:tab/>
        </w:r>
        <w:r>
          <w:rPr>
            <w:noProof/>
            <w:webHidden/>
          </w:rPr>
          <w:fldChar w:fldCharType="begin"/>
        </w:r>
        <w:r w:rsidR="009D58B1">
          <w:rPr>
            <w:noProof/>
            <w:webHidden/>
          </w:rPr>
          <w:instrText xml:space="preserve"> PAGEREF _Toc43882007 \h </w:instrText>
        </w:r>
        <w:r>
          <w:rPr>
            <w:noProof/>
            <w:webHidden/>
          </w:rPr>
        </w:r>
        <w:r>
          <w:rPr>
            <w:noProof/>
            <w:webHidden/>
          </w:rPr>
          <w:fldChar w:fldCharType="separate"/>
        </w:r>
        <w:r w:rsidR="009D58B1">
          <w:rPr>
            <w:noProof/>
            <w:webHidden/>
          </w:rPr>
          <w:t>42</w:t>
        </w:r>
        <w:r>
          <w:rPr>
            <w:noProof/>
            <w:webHidden/>
          </w:rPr>
          <w:fldChar w:fldCharType="end"/>
        </w:r>
      </w:hyperlink>
    </w:p>
    <w:p w:rsidR="009D58B1" w:rsidRDefault="003A700C">
      <w:pPr>
        <w:pStyle w:val="TM2"/>
        <w:tabs>
          <w:tab w:val="right" w:leader="dot" w:pos="10478"/>
        </w:tabs>
        <w:rPr>
          <w:rFonts w:asciiTheme="minorHAnsi" w:eastAsiaTheme="minorEastAsia" w:hAnsiTheme="minorHAnsi" w:cstheme="minorBidi"/>
          <w:noProof/>
          <w:sz w:val="22"/>
          <w:lang w:eastAsia="fr-FR"/>
        </w:rPr>
      </w:pPr>
      <w:hyperlink w:anchor="_Toc43882008" w:history="1">
        <w:r w:rsidR="009D58B1" w:rsidRPr="00DB71DE">
          <w:rPr>
            <w:rStyle w:val="Lienhypertexte"/>
            <w:noProof/>
          </w:rPr>
          <w:t>§ II. Caractère historique du récit.</w:t>
        </w:r>
        <w:r w:rsidR="009D58B1">
          <w:rPr>
            <w:noProof/>
            <w:webHidden/>
          </w:rPr>
          <w:tab/>
        </w:r>
        <w:r>
          <w:rPr>
            <w:noProof/>
            <w:webHidden/>
          </w:rPr>
          <w:fldChar w:fldCharType="begin"/>
        </w:r>
        <w:r w:rsidR="009D58B1">
          <w:rPr>
            <w:noProof/>
            <w:webHidden/>
          </w:rPr>
          <w:instrText xml:space="preserve"> PAGEREF _Toc43882008 \h </w:instrText>
        </w:r>
        <w:r>
          <w:rPr>
            <w:noProof/>
            <w:webHidden/>
          </w:rPr>
        </w:r>
        <w:r>
          <w:rPr>
            <w:noProof/>
            <w:webHidden/>
          </w:rPr>
          <w:fldChar w:fldCharType="separate"/>
        </w:r>
        <w:r w:rsidR="009D58B1">
          <w:rPr>
            <w:noProof/>
            <w:webHidden/>
          </w:rPr>
          <w:t>43</w:t>
        </w:r>
        <w:r>
          <w:rPr>
            <w:noProof/>
            <w:webHidden/>
          </w:rPr>
          <w:fldChar w:fldCharType="end"/>
        </w:r>
      </w:hyperlink>
    </w:p>
    <w:p w:rsidR="009D58B1" w:rsidRDefault="003A700C">
      <w:pPr>
        <w:pStyle w:val="TM2"/>
        <w:tabs>
          <w:tab w:val="right" w:leader="dot" w:pos="10478"/>
        </w:tabs>
        <w:rPr>
          <w:rFonts w:asciiTheme="minorHAnsi" w:eastAsiaTheme="minorEastAsia" w:hAnsiTheme="minorHAnsi" w:cstheme="minorBidi"/>
          <w:noProof/>
          <w:sz w:val="22"/>
          <w:lang w:eastAsia="fr-FR"/>
        </w:rPr>
      </w:pPr>
      <w:hyperlink w:anchor="_Toc43882009" w:history="1">
        <w:r w:rsidR="009D58B1" w:rsidRPr="00DB71DE">
          <w:rPr>
            <w:rStyle w:val="Lienhypertexte"/>
            <w:noProof/>
          </w:rPr>
          <w:t>§ III. Les fausses interprétations.</w:t>
        </w:r>
        <w:r w:rsidR="009D58B1">
          <w:rPr>
            <w:noProof/>
            <w:webHidden/>
          </w:rPr>
          <w:tab/>
        </w:r>
        <w:r>
          <w:rPr>
            <w:noProof/>
            <w:webHidden/>
          </w:rPr>
          <w:fldChar w:fldCharType="begin"/>
        </w:r>
        <w:r w:rsidR="009D58B1">
          <w:rPr>
            <w:noProof/>
            <w:webHidden/>
          </w:rPr>
          <w:instrText xml:space="preserve"> PAGEREF _Toc43882009 \h </w:instrText>
        </w:r>
        <w:r>
          <w:rPr>
            <w:noProof/>
            <w:webHidden/>
          </w:rPr>
        </w:r>
        <w:r>
          <w:rPr>
            <w:noProof/>
            <w:webHidden/>
          </w:rPr>
          <w:fldChar w:fldCharType="separate"/>
        </w:r>
        <w:r w:rsidR="009D58B1">
          <w:rPr>
            <w:noProof/>
            <w:webHidden/>
          </w:rPr>
          <w:t>46</w:t>
        </w:r>
        <w:r>
          <w:rPr>
            <w:noProof/>
            <w:webHidden/>
          </w:rPr>
          <w:fldChar w:fldCharType="end"/>
        </w:r>
      </w:hyperlink>
    </w:p>
    <w:p w:rsidR="009D58B1" w:rsidRDefault="003A700C">
      <w:pPr>
        <w:pStyle w:val="TM2"/>
        <w:tabs>
          <w:tab w:val="right" w:leader="dot" w:pos="10478"/>
        </w:tabs>
        <w:rPr>
          <w:rFonts w:asciiTheme="minorHAnsi" w:eastAsiaTheme="minorEastAsia" w:hAnsiTheme="minorHAnsi" w:cstheme="minorBidi"/>
          <w:noProof/>
          <w:sz w:val="22"/>
          <w:lang w:eastAsia="fr-FR"/>
        </w:rPr>
      </w:pPr>
      <w:hyperlink w:anchor="_Toc43882010" w:history="1">
        <w:r w:rsidR="009D58B1" w:rsidRPr="00DB71DE">
          <w:rPr>
            <w:rStyle w:val="Lienhypertexte"/>
            <w:noProof/>
          </w:rPr>
          <w:t>§ IV. La question de possibilité.</w:t>
        </w:r>
        <w:r w:rsidR="009D58B1">
          <w:rPr>
            <w:noProof/>
            <w:webHidden/>
          </w:rPr>
          <w:tab/>
        </w:r>
        <w:r>
          <w:rPr>
            <w:noProof/>
            <w:webHidden/>
          </w:rPr>
          <w:fldChar w:fldCharType="begin"/>
        </w:r>
        <w:r w:rsidR="009D58B1">
          <w:rPr>
            <w:noProof/>
            <w:webHidden/>
          </w:rPr>
          <w:instrText xml:space="preserve"> PAGEREF _Toc43882010 \h </w:instrText>
        </w:r>
        <w:r>
          <w:rPr>
            <w:noProof/>
            <w:webHidden/>
          </w:rPr>
        </w:r>
        <w:r>
          <w:rPr>
            <w:noProof/>
            <w:webHidden/>
          </w:rPr>
          <w:fldChar w:fldCharType="separate"/>
        </w:r>
        <w:r w:rsidR="009D58B1">
          <w:rPr>
            <w:noProof/>
            <w:webHidden/>
          </w:rPr>
          <w:t>49</w:t>
        </w:r>
        <w:r>
          <w:rPr>
            <w:noProof/>
            <w:webHidden/>
          </w:rPr>
          <w:fldChar w:fldCharType="end"/>
        </w:r>
      </w:hyperlink>
    </w:p>
    <w:p w:rsidR="009D58B1" w:rsidRDefault="003A700C">
      <w:pPr>
        <w:pStyle w:val="TM1"/>
        <w:tabs>
          <w:tab w:val="right" w:leader="dot" w:pos="10478"/>
        </w:tabs>
        <w:rPr>
          <w:rFonts w:asciiTheme="minorHAnsi" w:eastAsiaTheme="minorEastAsia" w:hAnsiTheme="minorHAnsi" w:cstheme="minorBidi"/>
          <w:b w:val="0"/>
          <w:sz w:val="22"/>
          <w:lang w:eastAsia="fr-FR"/>
        </w:rPr>
      </w:pPr>
      <w:hyperlink w:anchor="_Toc43882011" w:history="1">
        <w:r w:rsidR="009D58B1" w:rsidRPr="00DB71DE">
          <w:rPr>
            <w:rStyle w:val="Lienhypertexte"/>
          </w:rPr>
          <w:t>III. L’ÉVANGILE SELON M. HAVET.</w:t>
        </w:r>
        <w:r w:rsidR="009D58B1">
          <w:rPr>
            <w:webHidden/>
          </w:rPr>
          <w:tab/>
        </w:r>
        <w:r>
          <w:rPr>
            <w:webHidden/>
          </w:rPr>
          <w:fldChar w:fldCharType="begin"/>
        </w:r>
        <w:r w:rsidR="009D58B1">
          <w:rPr>
            <w:webHidden/>
          </w:rPr>
          <w:instrText xml:space="preserve"> PAGEREF _Toc43882011 \h </w:instrText>
        </w:r>
        <w:r>
          <w:rPr>
            <w:webHidden/>
          </w:rPr>
        </w:r>
        <w:r>
          <w:rPr>
            <w:webHidden/>
          </w:rPr>
          <w:fldChar w:fldCharType="separate"/>
        </w:r>
        <w:r w:rsidR="009D58B1">
          <w:rPr>
            <w:webHidden/>
          </w:rPr>
          <w:t>52</w:t>
        </w:r>
        <w:r>
          <w:rPr>
            <w:webHidden/>
          </w:rPr>
          <w:fldChar w:fldCharType="end"/>
        </w:r>
      </w:hyperlink>
    </w:p>
    <w:p w:rsidR="009D58B1" w:rsidRDefault="003A700C">
      <w:pPr>
        <w:pStyle w:val="TM1"/>
        <w:tabs>
          <w:tab w:val="right" w:leader="dot" w:pos="10478"/>
        </w:tabs>
        <w:rPr>
          <w:rFonts w:asciiTheme="minorHAnsi" w:eastAsiaTheme="minorEastAsia" w:hAnsiTheme="minorHAnsi" w:cstheme="minorBidi"/>
          <w:b w:val="0"/>
          <w:sz w:val="22"/>
          <w:lang w:eastAsia="fr-FR"/>
        </w:rPr>
      </w:pPr>
      <w:hyperlink w:anchor="_Toc43882012" w:history="1">
        <w:r w:rsidR="009D58B1" w:rsidRPr="00DB71DE">
          <w:rPr>
            <w:rStyle w:val="Lienhypertexte"/>
          </w:rPr>
          <w:t>IV. CE QU’ON DAIGNE NOUS LAISSER DU NOUVEAU TESTAMENT.</w:t>
        </w:r>
        <w:r w:rsidR="009D58B1">
          <w:rPr>
            <w:webHidden/>
          </w:rPr>
          <w:tab/>
        </w:r>
        <w:r>
          <w:rPr>
            <w:webHidden/>
          </w:rPr>
          <w:fldChar w:fldCharType="begin"/>
        </w:r>
        <w:r w:rsidR="009D58B1">
          <w:rPr>
            <w:webHidden/>
          </w:rPr>
          <w:instrText xml:space="preserve"> PAGEREF _Toc43882012 \h </w:instrText>
        </w:r>
        <w:r>
          <w:rPr>
            <w:webHidden/>
          </w:rPr>
        </w:r>
        <w:r>
          <w:rPr>
            <w:webHidden/>
          </w:rPr>
          <w:fldChar w:fldCharType="separate"/>
        </w:r>
        <w:r w:rsidR="009D58B1">
          <w:rPr>
            <w:webHidden/>
          </w:rPr>
          <w:t>58</w:t>
        </w:r>
        <w:r>
          <w:rPr>
            <w:webHidden/>
          </w:rPr>
          <w:fldChar w:fldCharType="end"/>
        </w:r>
      </w:hyperlink>
    </w:p>
    <w:p w:rsidR="009D58B1" w:rsidRDefault="003A700C">
      <w:pPr>
        <w:pStyle w:val="TM1"/>
        <w:tabs>
          <w:tab w:val="right" w:leader="dot" w:pos="10478"/>
        </w:tabs>
        <w:rPr>
          <w:rFonts w:asciiTheme="minorHAnsi" w:eastAsiaTheme="minorEastAsia" w:hAnsiTheme="minorHAnsi" w:cstheme="minorBidi"/>
          <w:b w:val="0"/>
          <w:sz w:val="22"/>
          <w:lang w:eastAsia="fr-FR"/>
        </w:rPr>
      </w:pPr>
      <w:hyperlink w:anchor="_Toc43882013" w:history="1">
        <w:r w:rsidR="009D58B1" w:rsidRPr="00DB71DE">
          <w:rPr>
            <w:rStyle w:val="Lienhypertexte"/>
          </w:rPr>
          <w:t>V. L’ÉGLISE ET LÀ CRITIQUE BIBLIQUE.</w:t>
        </w:r>
        <w:r w:rsidR="009D58B1">
          <w:rPr>
            <w:webHidden/>
          </w:rPr>
          <w:tab/>
        </w:r>
        <w:r>
          <w:rPr>
            <w:webHidden/>
          </w:rPr>
          <w:fldChar w:fldCharType="begin"/>
        </w:r>
        <w:r w:rsidR="009D58B1">
          <w:rPr>
            <w:webHidden/>
          </w:rPr>
          <w:instrText xml:space="preserve"> PAGEREF _Toc43882013 \h </w:instrText>
        </w:r>
        <w:r>
          <w:rPr>
            <w:webHidden/>
          </w:rPr>
        </w:r>
        <w:r>
          <w:rPr>
            <w:webHidden/>
          </w:rPr>
          <w:fldChar w:fldCharType="separate"/>
        </w:r>
        <w:r w:rsidR="009D58B1">
          <w:rPr>
            <w:webHidden/>
          </w:rPr>
          <w:t>63</w:t>
        </w:r>
        <w:r>
          <w:rPr>
            <w:webHidden/>
          </w:rPr>
          <w:fldChar w:fldCharType="end"/>
        </w:r>
      </w:hyperlink>
    </w:p>
    <w:p w:rsidR="009D58B1" w:rsidRDefault="003A700C">
      <w:pPr>
        <w:pStyle w:val="TM1"/>
        <w:tabs>
          <w:tab w:val="right" w:leader="dot" w:pos="10478"/>
        </w:tabs>
        <w:rPr>
          <w:rFonts w:asciiTheme="minorHAnsi" w:eastAsiaTheme="minorEastAsia" w:hAnsiTheme="minorHAnsi" w:cstheme="minorBidi"/>
          <w:b w:val="0"/>
          <w:sz w:val="22"/>
          <w:lang w:eastAsia="fr-FR"/>
        </w:rPr>
      </w:pPr>
      <w:hyperlink w:anchor="_Toc43882014" w:history="1">
        <w:r w:rsidR="009D58B1" w:rsidRPr="00DB71DE">
          <w:rPr>
            <w:rStyle w:val="Lienhypertexte"/>
          </w:rPr>
          <w:t>VI. LÀ RÉVISION DU NOUVEAU TESTAMENT DE L’ÉGLISE ANGLICANE.</w:t>
        </w:r>
        <w:r w:rsidR="009D58B1">
          <w:rPr>
            <w:webHidden/>
          </w:rPr>
          <w:tab/>
        </w:r>
        <w:r>
          <w:rPr>
            <w:webHidden/>
          </w:rPr>
          <w:fldChar w:fldCharType="begin"/>
        </w:r>
        <w:r w:rsidR="009D58B1">
          <w:rPr>
            <w:webHidden/>
          </w:rPr>
          <w:instrText xml:space="preserve"> PAGEREF _Toc43882014 \h </w:instrText>
        </w:r>
        <w:r>
          <w:rPr>
            <w:webHidden/>
          </w:rPr>
        </w:r>
        <w:r>
          <w:rPr>
            <w:webHidden/>
          </w:rPr>
          <w:fldChar w:fldCharType="separate"/>
        </w:r>
        <w:r w:rsidR="009D58B1">
          <w:rPr>
            <w:webHidden/>
          </w:rPr>
          <w:t>71</w:t>
        </w:r>
        <w:r>
          <w:rPr>
            <w:webHidden/>
          </w:rPr>
          <w:fldChar w:fldCharType="end"/>
        </w:r>
      </w:hyperlink>
    </w:p>
    <w:p w:rsidR="009D58B1" w:rsidRDefault="003A700C">
      <w:pPr>
        <w:pStyle w:val="TM1"/>
        <w:tabs>
          <w:tab w:val="right" w:leader="dot" w:pos="10478"/>
        </w:tabs>
        <w:rPr>
          <w:rFonts w:asciiTheme="minorHAnsi" w:eastAsiaTheme="minorEastAsia" w:hAnsiTheme="minorHAnsi" w:cstheme="minorBidi"/>
          <w:b w:val="0"/>
          <w:sz w:val="22"/>
          <w:lang w:eastAsia="fr-FR"/>
        </w:rPr>
      </w:pPr>
      <w:hyperlink w:anchor="_Toc43882015" w:history="1">
        <w:r w:rsidR="009D58B1" w:rsidRPr="00DB71DE">
          <w:rPr>
            <w:rStyle w:val="Lienhypertexte"/>
          </w:rPr>
          <w:t>VII. NAZARETH.</w:t>
        </w:r>
        <w:r w:rsidR="009D58B1">
          <w:rPr>
            <w:webHidden/>
          </w:rPr>
          <w:tab/>
        </w:r>
        <w:r>
          <w:rPr>
            <w:webHidden/>
          </w:rPr>
          <w:fldChar w:fldCharType="begin"/>
        </w:r>
        <w:r w:rsidR="009D58B1">
          <w:rPr>
            <w:webHidden/>
          </w:rPr>
          <w:instrText xml:space="preserve"> PAGEREF _Toc43882015 \h </w:instrText>
        </w:r>
        <w:r>
          <w:rPr>
            <w:webHidden/>
          </w:rPr>
        </w:r>
        <w:r>
          <w:rPr>
            <w:webHidden/>
          </w:rPr>
          <w:fldChar w:fldCharType="separate"/>
        </w:r>
        <w:r w:rsidR="009D58B1">
          <w:rPr>
            <w:webHidden/>
          </w:rPr>
          <w:t>81</w:t>
        </w:r>
        <w:r>
          <w:rPr>
            <w:webHidden/>
          </w:rPr>
          <w:fldChar w:fldCharType="end"/>
        </w:r>
      </w:hyperlink>
    </w:p>
    <w:p w:rsidR="009D58B1" w:rsidRDefault="003A700C">
      <w:pPr>
        <w:pStyle w:val="TM2"/>
        <w:tabs>
          <w:tab w:val="right" w:leader="dot" w:pos="10478"/>
        </w:tabs>
        <w:rPr>
          <w:rFonts w:asciiTheme="minorHAnsi" w:eastAsiaTheme="minorEastAsia" w:hAnsiTheme="minorHAnsi" w:cstheme="minorBidi"/>
          <w:noProof/>
          <w:sz w:val="22"/>
          <w:lang w:eastAsia="fr-FR"/>
        </w:rPr>
      </w:pPr>
      <w:hyperlink w:anchor="_Toc43882016" w:history="1">
        <w:r w:rsidR="009D58B1" w:rsidRPr="00DB71DE">
          <w:rPr>
            <w:rStyle w:val="Lienhypertexte"/>
            <w:noProof/>
          </w:rPr>
          <w:t>1. Nazareth et l’Évangile.</w:t>
        </w:r>
        <w:r w:rsidR="009D58B1">
          <w:rPr>
            <w:noProof/>
            <w:webHidden/>
          </w:rPr>
          <w:tab/>
        </w:r>
        <w:r>
          <w:rPr>
            <w:noProof/>
            <w:webHidden/>
          </w:rPr>
          <w:fldChar w:fldCharType="begin"/>
        </w:r>
        <w:r w:rsidR="009D58B1">
          <w:rPr>
            <w:noProof/>
            <w:webHidden/>
          </w:rPr>
          <w:instrText xml:space="preserve"> PAGEREF _Toc43882016 \h </w:instrText>
        </w:r>
        <w:r>
          <w:rPr>
            <w:noProof/>
            <w:webHidden/>
          </w:rPr>
        </w:r>
        <w:r>
          <w:rPr>
            <w:noProof/>
            <w:webHidden/>
          </w:rPr>
          <w:fldChar w:fldCharType="separate"/>
        </w:r>
        <w:r w:rsidR="009D58B1">
          <w:rPr>
            <w:noProof/>
            <w:webHidden/>
          </w:rPr>
          <w:t>81</w:t>
        </w:r>
        <w:r>
          <w:rPr>
            <w:noProof/>
            <w:webHidden/>
          </w:rPr>
          <w:fldChar w:fldCharType="end"/>
        </w:r>
      </w:hyperlink>
    </w:p>
    <w:p w:rsidR="009D58B1" w:rsidRDefault="003A700C">
      <w:pPr>
        <w:pStyle w:val="TM2"/>
        <w:tabs>
          <w:tab w:val="right" w:leader="dot" w:pos="10478"/>
        </w:tabs>
        <w:rPr>
          <w:rFonts w:asciiTheme="minorHAnsi" w:eastAsiaTheme="minorEastAsia" w:hAnsiTheme="minorHAnsi" w:cstheme="minorBidi"/>
          <w:noProof/>
          <w:sz w:val="22"/>
          <w:lang w:eastAsia="fr-FR"/>
        </w:rPr>
      </w:pPr>
      <w:hyperlink w:anchor="_Toc43882017" w:history="1">
        <w:r w:rsidR="009D58B1" w:rsidRPr="00DB71DE">
          <w:rPr>
            <w:rStyle w:val="Lienhypertexte"/>
            <w:noProof/>
          </w:rPr>
          <w:t>2. La ville de Nazareth.</w:t>
        </w:r>
        <w:r w:rsidR="009D58B1">
          <w:rPr>
            <w:noProof/>
            <w:webHidden/>
          </w:rPr>
          <w:tab/>
        </w:r>
        <w:r>
          <w:rPr>
            <w:noProof/>
            <w:webHidden/>
          </w:rPr>
          <w:fldChar w:fldCharType="begin"/>
        </w:r>
        <w:r w:rsidR="009D58B1">
          <w:rPr>
            <w:noProof/>
            <w:webHidden/>
          </w:rPr>
          <w:instrText xml:space="preserve"> PAGEREF _Toc43882017 \h </w:instrText>
        </w:r>
        <w:r>
          <w:rPr>
            <w:noProof/>
            <w:webHidden/>
          </w:rPr>
        </w:r>
        <w:r>
          <w:rPr>
            <w:noProof/>
            <w:webHidden/>
          </w:rPr>
          <w:fldChar w:fldCharType="separate"/>
        </w:r>
        <w:r w:rsidR="009D58B1">
          <w:rPr>
            <w:noProof/>
            <w:webHidden/>
          </w:rPr>
          <w:t>83</w:t>
        </w:r>
        <w:r>
          <w:rPr>
            <w:noProof/>
            <w:webHidden/>
          </w:rPr>
          <w:fldChar w:fldCharType="end"/>
        </w:r>
      </w:hyperlink>
    </w:p>
    <w:p w:rsidR="009D58B1" w:rsidRDefault="003A700C">
      <w:pPr>
        <w:pStyle w:val="TM2"/>
        <w:tabs>
          <w:tab w:val="right" w:leader="dot" w:pos="10478"/>
        </w:tabs>
        <w:rPr>
          <w:rFonts w:asciiTheme="minorHAnsi" w:eastAsiaTheme="minorEastAsia" w:hAnsiTheme="minorHAnsi" w:cstheme="minorBidi"/>
          <w:noProof/>
          <w:sz w:val="22"/>
          <w:lang w:eastAsia="fr-FR"/>
        </w:rPr>
      </w:pPr>
      <w:hyperlink w:anchor="_Toc43882018" w:history="1">
        <w:r w:rsidR="009D58B1" w:rsidRPr="00DB71DE">
          <w:rPr>
            <w:rStyle w:val="Lienhypertexte"/>
            <w:noProof/>
          </w:rPr>
          <w:t>3. Les Saints Lieux de Nazareth.</w:t>
        </w:r>
        <w:r w:rsidR="009D58B1">
          <w:rPr>
            <w:noProof/>
            <w:webHidden/>
          </w:rPr>
          <w:tab/>
        </w:r>
        <w:r>
          <w:rPr>
            <w:noProof/>
            <w:webHidden/>
          </w:rPr>
          <w:fldChar w:fldCharType="begin"/>
        </w:r>
        <w:r w:rsidR="009D58B1">
          <w:rPr>
            <w:noProof/>
            <w:webHidden/>
          </w:rPr>
          <w:instrText xml:space="preserve"> PAGEREF _Toc43882018 \h </w:instrText>
        </w:r>
        <w:r>
          <w:rPr>
            <w:noProof/>
            <w:webHidden/>
          </w:rPr>
        </w:r>
        <w:r>
          <w:rPr>
            <w:noProof/>
            <w:webHidden/>
          </w:rPr>
          <w:fldChar w:fldCharType="separate"/>
        </w:r>
        <w:r w:rsidR="009D58B1">
          <w:rPr>
            <w:noProof/>
            <w:webHidden/>
          </w:rPr>
          <w:t>86</w:t>
        </w:r>
        <w:r>
          <w:rPr>
            <w:noProof/>
            <w:webHidden/>
          </w:rPr>
          <w:fldChar w:fldCharType="end"/>
        </w:r>
      </w:hyperlink>
    </w:p>
    <w:p w:rsidR="009D58B1" w:rsidRDefault="003A700C">
      <w:pPr>
        <w:pStyle w:val="TM2"/>
        <w:tabs>
          <w:tab w:val="right" w:leader="dot" w:pos="10478"/>
        </w:tabs>
        <w:rPr>
          <w:rFonts w:asciiTheme="minorHAnsi" w:eastAsiaTheme="minorEastAsia" w:hAnsiTheme="minorHAnsi" w:cstheme="minorBidi"/>
          <w:noProof/>
          <w:sz w:val="22"/>
          <w:lang w:eastAsia="fr-FR"/>
        </w:rPr>
      </w:pPr>
      <w:hyperlink w:anchor="_Toc43882019" w:history="1">
        <w:r w:rsidR="009D58B1" w:rsidRPr="00DB71DE">
          <w:rPr>
            <w:rStyle w:val="Lienhypertexte"/>
            <w:noProof/>
          </w:rPr>
          <w:t>4. De quelques autres lieux sacrés et des environs de Nazareth.</w:t>
        </w:r>
        <w:r w:rsidR="009D58B1">
          <w:rPr>
            <w:noProof/>
            <w:webHidden/>
          </w:rPr>
          <w:tab/>
        </w:r>
        <w:r>
          <w:rPr>
            <w:noProof/>
            <w:webHidden/>
          </w:rPr>
          <w:fldChar w:fldCharType="begin"/>
        </w:r>
        <w:r w:rsidR="009D58B1">
          <w:rPr>
            <w:noProof/>
            <w:webHidden/>
          </w:rPr>
          <w:instrText xml:space="preserve"> PAGEREF _Toc43882019 \h </w:instrText>
        </w:r>
        <w:r>
          <w:rPr>
            <w:noProof/>
            <w:webHidden/>
          </w:rPr>
        </w:r>
        <w:r>
          <w:rPr>
            <w:noProof/>
            <w:webHidden/>
          </w:rPr>
          <w:fldChar w:fldCharType="separate"/>
        </w:r>
        <w:r w:rsidR="009D58B1">
          <w:rPr>
            <w:noProof/>
            <w:webHidden/>
          </w:rPr>
          <w:t>89</w:t>
        </w:r>
        <w:r>
          <w:rPr>
            <w:noProof/>
            <w:webHidden/>
          </w:rPr>
          <w:fldChar w:fldCharType="end"/>
        </w:r>
      </w:hyperlink>
    </w:p>
    <w:p w:rsidR="009D58B1" w:rsidRDefault="003A700C">
      <w:pPr>
        <w:pStyle w:val="TM1"/>
        <w:tabs>
          <w:tab w:val="right" w:leader="dot" w:pos="10478"/>
        </w:tabs>
        <w:rPr>
          <w:rFonts w:asciiTheme="minorHAnsi" w:eastAsiaTheme="minorEastAsia" w:hAnsiTheme="minorHAnsi" w:cstheme="minorBidi"/>
          <w:b w:val="0"/>
          <w:sz w:val="22"/>
          <w:lang w:eastAsia="fr-FR"/>
        </w:rPr>
      </w:pPr>
      <w:hyperlink w:anchor="_Toc43882020" w:history="1">
        <w:r w:rsidR="009D58B1" w:rsidRPr="00DB71DE">
          <w:rPr>
            <w:rStyle w:val="Lienhypertexte"/>
          </w:rPr>
          <w:t xml:space="preserve">VIII. LE TRAVAIL ET LES ARTISANS CHEZ LES JUIFS </w:t>
        </w:r>
        <w:r w:rsidR="009D58B1" w:rsidRPr="00DB71DE">
          <w:rPr>
            <w:rStyle w:val="Lienhypertexte"/>
            <w:smallCaps/>
          </w:rPr>
          <w:t>DE</w:t>
        </w:r>
        <w:r w:rsidR="009D58B1" w:rsidRPr="00DB71DE">
          <w:rPr>
            <w:rStyle w:val="Lienhypertexte"/>
          </w:rPr>
          <w:t xml:space="preserve"> </w:t>
        </w:r>
        <w:r w:rsidR="009D58B1" w:rsidRPr="00DB71DE">
          <w:rPr>
            <w:rStyle w:val="Lienhypertexte"/>
            <w:smallCaps/>
          </w:rPr>
          <w:t>PALESTINE</w:t>
        </w:r>
        <w:r w:rsidR="009D58B1">
          <w:rPr>
            <w:webHidden/>
          </w:rPr>
          <w:tab/>
        </w:r>
        <w:r>
          <w:rPr>
            <w:webHidden/>
          </w:rPr>
          <w:fldChar w:fldCharType="begin"/>
        </w:r>
        <w:r w:rsidR="009D58B1">
          <w:rPr>
            <w:webHidden/>
          </w:rPr>
          <w:instrText xml:space="preserve"> PAGEREF _Toc43882020 \h </w:instrText>
        </w:r>
        <w:r>
          <w:rPr>
            <w:webHidden/>
          </w:rPr>
        </w:r>
        <w:r>
          <w:rPr>
            <w:webHidden/>
          </w:rPr>
          <w:fldChar w:fldCharType="separate"/>
        </w:r>
        <w:r w:rsidR="009D58B1">
          <w:rPr>
            <w:webHidden/>
          </w:rPr>
          <w:t>93</w:t>
        </w:r>
        <w:r>
          <w:rPr>
            <w:webHidden/>
          </w:rPr>
          <w:fldChar w:fldCharType="end"/>
        </w:r>
      </w:hyperlink>
    </w:p>
    <w:p w:rsidR="009D58B1" w:rsidRDefault="003A700C">
      <w:pPr>
        <w:pStyle w:val="TM1"/>
        <w:tabs>
          <w:tab w:val="right" w:leader="dot" w:pos="10478"/>
        </w:tabs>
        <w:rPr>
          <w:rFonts w:asciiTheme="minorHAnsi" w:eastAsiaTheme="minorEastAsia" w:hAnsiTheme="minorHAnsi" w:cstheme="minorBidi"/>
          <w:b w:val="0"/>
          <w:sz w:val="22"/>
          <w:lang w:eastAsia="fr-FR"/>
        </w:rPr>
      </w:pPr>
      <w:hyperlink w:anchor="_Toc43882021" w:history="1">
        <w:r w:rsidR="009D58B1" w:rsidRPr="00DB71DE">
          <w:rPr>
            <w:rStyle w:val="Lienhypertexte"/>
          </w:rPr>
          <w:t>IX. LE CATÉCHISME ISRAÉLITE.</w:t>
        </w:r>
        <w:r w:rsidR="009D58B1">
          <w:rPr>
            <w:webHidden/>
          </w:rPr>
          <w:tab/>
        </w:r>
        <w:r>
          <w:rPr>
            <w:webHidden/>
          </w:rPr>
          <w:fldChar w:fldCharType="begin"/>
        </w:r>
        <w:r w:rsidR="009D58B1">
          <w:rPr>
            <w:webHidden/>
          </w:rPr>
          <w:instrText xml:space="preserve"> PAGEREF _Toc43882021 \h </w:instrText>
        </w:r>
        <w:r>
          <w:rPr>
            <w:webHidden/>
          </w:rPr>
        </w:r>
        <w:r>
          <w:rPr>
            <w:webHidden/>
          </w:rPr>
          <w:fldChar w:fldCharType="separate"/>
        </w:r>
        <w:r w:rsidR="009D58B1">
          <w:rPr>
            <w:webHidden/>
          </w:rPr>
          <w:t>103</w:t>
        </w:r>
        <w:r>
          <w:rPr>
            <w:webHidden/>
          </w:rPr>
          <w:fldChar w:fldCharType="end"/>
        </w:r>
      </w:hyperlink>
    </w:p>
    <w:p w:rsidR="009D58B1" w:rsidRDefault="003A700C">
      <w:pPr>
        <w:pStyle w:val="TM1"/>
        <w:tabs>
          <w:tab w:val="right" w:leader="dot" w:pos="10478"/>
        </w:tabs>
        <w:rPr>
          <w:rFonts w:asciiTheme="minorHAnsi" w:eastAsiaTheme="minorEastAsia" w:hAnsiTheme="minorHAnsi" w:cstheme="minorBidi"/>
          <w:b w:val="0"/>
          <w:sz w:val="22"/>
          <w:lang w:eastAsia="fr-FR"/>
        </w:rPr>
      </w:pPr>
      <w:hyperlink w:anchor="_Toc43882022" w:history="1">
        <w:r w:rsidR="009D58B1" w:rsidRPr="00DB71DE">
          <w:rPr>
            <w:rStyle w:val="Lienhypertexte"/>
          </w:rPr>
          <w:t>X. VISITE À UN CIMETIÈRE JUIF.</w:t>
        </w:r>
        <w:r w:rsidR="009D58B1">
          <w:rPr>
            <w:webHidden/>
          </w:rPr>
          <w:tab/>
        </w:r>
        <w:r>
          <w:rPr>
            <w:webHidden/>
          </w:rPr>
          <w:fldChar w:fldCharType="begin"/>
        </w:r>
        <w:r w:rsidR="009D58B1">
          <w:rPr>
            <w:webHidden/>
          </w:rPr>
          <w:instrText xml:space="preserve"> PAGEREF _Toc43882022 \h </w:instrText>
        </w:r>
        <w:r>
          <w:rPr>
            <w:webHidden/>
          </w:rPr>
        </w:r>
        <w:r>
          <w:rPr>
            <w:webHidden/>
          </w:rPr>
          <w:fldChar w:fldCharType="separate"/>
        </w:r>
        <w:r w:rsidR="009D58B1">
          <w:rPr>
            <w:webHidden/>
          </w:rPr>
          <w:t>110</w:t>
        </w:r>
        <w:r>
          <w:rPr>
            <w:webHidden/>
          </w:rPr>
          <w:fldChar w:fldCharType="end"/>
        </w:r>
      </w:hyperlink>
    </w:p>
    <w:p w:rsidR="009D58B1" w:rsidRDefault="003A700C">
      <w:pPr>
        <w:pStyle w:val="TM1"/>
        <w:tabs>
          <w:tab w:val="right" w:leader="dot" w:pos="10478"/>
        </w:tabs>
        <w:rPr>
          <w:rFonts w:asciiTheme="minorHAnsi" w:eastAsiaTheme="minorEastAsia" w:hAnsiTheme="minorHAnsi" w:cstheme="minorBidi"/>
          <w:b w:val="0"/>
          <w:sz w:val="22"/>
          <w:lang w:eastAsia="fr-FR"/>
        </w:rPr>
      </w:pPr>
      <w:hyperlink w:anchor="_Toc43882023" w:history="1">
        <w:r w:rsidR="009D58B1" w:rsidRPr="00DB71DE">
          <w:rPr>
            <w:rStyle w:val="Lienhypertexte"/>
          </w:rPr>
          <w:t>XI. JUDAS ASSISTAIT-IL À L’INSTITUTION DE LA SAINTE EUCHARISTIE ?</w:t>
        </w:r>
        <w:r w:rsidR="009D58B1">
          <w:rPr>
            <w:webHidden/>
          </w:rPr>
          <w:tab/>
        </w:r>
        <w:r>
          <w:rPr>
            <w:webHidden/>
          </w:rPr>
          <w:fldChar w:fldCharType="begin"/>
        </w:r>
        <w:r w:rsidR="009D58B1">
          <w:rPr>
            <w:webHidden/>
          </w:rPr>
          <w:instrText xml:space="preserve"> PAGEREF _Toc43882023 \h </w:instrText>
        </w:r>
        <w:r>
          <w:rPr>
            <w:webHidden/>
          </w:rPr>
        </w:r>
        <w:r>
          <w:rPr>
            <w:webHidden/>
          </w:rPr>
          <w:fldChar w:fldCharType="separate"/>
        </w:r>
        <w:r w:rsidR="009D58B1">
          <w:rPr>
            <w:webHidden/>
          </w:rPr>
          <w:t>121</w:t>
        </w:r>
        <w:r>
          <w:rPr>
            <w:webHidden/>
          </w:rPr>
          <w:fldChar w:fldCharType="end"/>
        </w:r>
      </w:hyperlink>
    </w:p>
    <w:p w:rsidR="009D58B1" w:rsidRDefault="003A700C">
      <w:pPr>
        <w:pStyle w:val="TM1"/>
        <w:tabs>
          <w:tab w:val="right" w:leader="dot" w:pos="10478"/>
        </w:tabs>
        <w:rPr>
          <w:rFonts w:asciiTheme="minorHAnsi" w:eastAsiaTheme="minorEastAsia" w:hAnsiTheme="minorHAnsi" w:cstheme="minorBidi"/>
          <w:b w:val="0"/>
          <w:sz w:val="22"/>
          <w:lang w:eastAsia="fr-FR"/>
        </w:rPr>
      </w:pPr>
      <w:hyperlink w:anchor="_Toc43882024" w:history="1">
        <w:r w:rsidR="009D58B1" w:rsidRPr="00DB71DE">
          <w:rPr>
            <w:rStyle w:val="Lienhypertexte"/>
          </w:rPr>
          <w:t>XII. LES CONCORDANCES.</w:t>
        </w:r>
        <w:r w:rsidR="009D58B1">
          <w:rPr>
            <w:webHidden/>
          </w:rPr>
          <w:tab/>
        </w:r>
        <w:r>
          <w:rPr>
            <w:webHidden/>
          </w:rPr>
          <w:fldChar w:fldCharType="begin"/>
        </w:r>
        <w:r w:rsidR="009D58B1">
          <w:rPr>
            <w:webHidden/>
          </w:rPr>
          <w:instrText xml:space="preserve"> PAGEREF _Toc43882024 \h </w:instrText>
        </w:r>
        <w:r>
          <w:rPr>
            <w:webHidden/>
          </w:rPr>
        </w:r>
        <w:r>
          <w:rPr>
            <w:webHidden/>
          </w:rPr>
          <w:fldChar w:fldCharType="separate"/>
        </w:r>
        <w:r w:rsidR="009D58B1">
          <w:rPr>
            <w:webHidden/>
          </w:rPr>
          <w:t>127</w:t>
        </w:r>
        <w:r>
          <w:rPr>
            <w:webHidden/>
          </w:rPr>
          <w:fldChar w:fldCharType="end"/>
        </w:r>
      </w:hyperlink>
    </w:p>
    <w:p w:rsidR="009D58B1" w:rsidRDefault="003A700C">
      <w:pPr>
        <w:pStyle w:val="TM1"/>
        <w:tabs>
          <w:tab w:val="right" w:leader="dot" w:pos="10478"/>
        </w:tabs>
        <w:rPr>
          <w:rFonts w:asciiTheme="minorHAnsi" w:eastAsiaTheme="minorEastAsia" w:hAnsiTheme="minorHAnsi" w:cstheme="minorBidi"/>
          <w:b w:val="0"/>
          <w:sz w:val="22"/>
          <w:lang w:eastAsia="fr-FR"/>
        </w:rPr>
      </w:pPr>
      <w:hyperlink w:anchor="_Toc43882025" w:history="1">
        <w:r w:rsidR="009D58B1" w:rsidRPr="00DB71DE">
          <w:rPr>
            <w:rStyle w:val="Lienhypertexte"/>
          </w:rPr>
          <w:t xml:space="preserve">TABLE ALPHABÉTIQUE </w:t>
        </w:r>
        <w:r w:rsidR="009D58B1" w:rsidRPr="00DB71DE">
          <w:rPr>
            <w:rStyle w:val="Lienhypertexte"/>
            <w:smallCaps/>
          </w:rPr>
          <w:t>DES MATIÈRES.</w:t>
        </w:r>
        <w:r w:rsidR="009D58B1">
          <w:rPr>
            <w:webHidden/>
          </w:rPr>
          <w:tab/>
        </w:r>
        <w:r>
          <w:rPr>
            <w:webHidden/>
          </w:rPr>
          <w:fldChar w:fldCharType="begin"/>
        </w:r>
        <w:r w:rsidR="009D58B1">
          <w:rPr>
            <w:webHidden/>
          </w:rPr>
          <w:instrText xml:space="preserve"> PAGEREF _Toc43882025 \h </w:instrText>
        </w:r>
        <w:r>
          <w:rPr>
            <w:webHidden/>
          </w:rPr>
        </w:r>
        <w:r>
          <w:rPr>
            <w:webHidden/>
          </w:rPr>
          <w:fldChar w:fldCharType="separate"/>
        </w:r>
        <w:r w:rsidR="009D58B1">
          <w:rPr>
            <w:webHidden/>
          </w:rPr>
          <w:t>135</w:t>
        </w:r>
        <w:r>
          <w:rPr>
            <w:webHidden/>
          </w:rPr>
          <w:fldChar w:fldCharType="end"/>
        </w:r>
      </w:hyperlink>
    </w:p>
    <w:p w:rsidR="000A3F0E" w:rsidRPr="001077D9" w:rsidRDefault="003A700C" w:rsidP="000A3F0E">
      <w:pPr>
        <w:pStyle w:val="sejunctio"/>
      </w:pPr>
      <w:r>
        <w:rPr>
          <w:lang w:eastAsia="fr-FR"/>
        </w:rPr>
        <w:fldChar w:fldCharType="end"/>
      </w:r>
      <w:r w:rsidR="000A3F0E" w:rsidRPr="001077D9">
        <w:t>———</w:t>
      </w:r>
    </w:p>
    <w:p w:rsidR="000A3F0E" w:rsidRDefault="000A3F0E" w:rsidP="000A3F0E">
      <w:pPr>
        <w:rPr>
          <w:lang w:eastAsia="fr-FR"/>
        </w:rPr>
      </w:pPr>
    </w:p>
    <w:p w:rsidR="000A3F0E" w:rsidRDefault="000A3F0E" w:rsidP="000A3F0E">
      <w:pPr>
        <w:rPr>
          <w:lang w:eastAsia="fr-FR"/>
        </w:rPr>
      </w:pPr>
    </w:p>
    <w:p w:rsidR="000A7AAB" w:rsidRDefault="000A7AAB" w:rsidP="00523582">
      <w:pPr>
        <w:pStyle w:val="centrum"/>
      </w:pPr>
      <w:r>
        <w:t>ESSAIS</w:t>
      </w:r>
      <w:r w:rsidRPr="002C4077">
        <w:t xml:space="preserve"> </w:t>
      </w:r>
      <w:r>
        <w:t>D’EXÉGÈSE</w:t>
      </w:r>
      <w:r w:rsidRPr="002C4077">
        <w:t xml:space="preserve"> </w:t>
      </w:r>
    </w:p>
    <w:p w:rsidR="000A7AAB" w:rsidRDefault="000A7AAB" w:rsidP="00523582">
      <w:pPr>
        <w:pStyle w:val="centrum"/>
      </w:pPr>
      <w:r>
        <w:t>EXPOSITION,</w:t>
      </w:r>
      <w:r w:rsidRPr="002C4077">
        <w:t xml:space="preserve"> </w:t>
      </w:r>
      <w:r>
        <w:t>RÉFUTATION,</w:t>
      </w:r>
      <w:r w:rsidRPr="002C4077">
        <w:t xml:space="preserve"> </w:t>
      </w:r>
      <w:r>
        <w:t>CRITIQUE</w:t>
      </w:r>
      <w:r w:rsidRPr="002C4077">
        <w:t xml:space="preserve"> </w:t>
      </w:r>
      <w:r w:rsidR="00037453">
        <w:t>MŒURS</w:t>
      </w:r>
      <w:r w:rsidRPr="002C4077">
        <w:t xml:space="preserve"> </w:t>
      </w:r>
      <w:r>
        <w:t>JUIVES,</w:t>
      </w:r>
      <w:r w:rsidRPr="002C4077">
        <w:t xml:space="preserve"> </w:t>
      </w:r>
      <w:r>
        <w:t>ETC.</w:t>
      </w:r>
      <w:r w:rsidRPr="002C4077">
        <w:t xml:space="preserve"> </w:t>
      </w:r>
    </w:p>
    <w:p w:rsidR="00523582" w:rsidRDefault="00523582" w:rsidP="00523582">
      <w:pPr>
        <w:pStyle w:val="centrum"/>
      </w:pPr>
      <w:r>
        <w:lastRenderedPageBreak/>
        <w:t>———</w:t>
      </w:r>
    </w:p>
    <w:p w:rsidR="000A7AAB" w:rsidRDefault="00523582" w:rsidP="00523582">
      <w:pPr>
        <w:pStyle w:val="centrum"/>
      </w:pPr>
      <w:r>
        <w:t>DU</w:t>
      </w:r>
      <w:r w:rsidRPr="002C4077">
        <w:t xml:space="preserve"> </w:t>
      </w:r>
      <w:r>
        <w:t>MÊME</w:t>
      </w:r>
      <w:r w:rsidRPr="002C4077">
        <w:t xml:space="preserve"> </w:t>
      </w:r>
      <w:r>
        <w:t>AUTEUR.</w:t>
      </w:r>
      <w:r w:rsidRPr="002C4077">
        <w:t xml:space="preserve"> </w:t>
      </w:r>
    </w:p>
    <w:p w:rsidR="00523582" w:rsidRDefault="000A7AAB" w:rsidP="00523582">
      <w:pPr>
        <w:pStyle w:val="index1"/>
      </w:pPr>
      <w:r w:rsidRPr="00523582">
        <w:rPr>
          <w:rStyle w:val="pinguis"/>
        </w:rPr>
        <w:t>Évangile</w:t>
      </w:r>
      <w:r w:rsidRPr="002C4077">
        <w:t xml:space="preserve"> </w:t>
      </w:r>
      <w:r w:rsidRPr="00523582">
        <w:rPr>
          <w:rStyle w:val="pinguis"/>
        </w:rPr>
        <w:t>selon</w:t>
      </w:r>
      <w:r w:rsidRPr="002C4077">
        <w:t xml:space="preserve"> </w:t>
      </w:r>
      <w:r w:rsidRPr="00523582">
        <w:rPr>
          <w:rStyle w:val="pinguis"/>
        </w:rPr>
        <w:t>saint</w:t>
      </w:r>
      <w:r w:rsidRPr="002C4077">
        <w:t xml:space="preserve"> </w:t>
      </w:r>
      <w:r w:rsidR="00425C50" w:rsidRPr="00523582">
        <w:rPr>
          <w:rStyle w:val="pinguis"/>
        </w:rPr>
        <w:t>Matth</w:t>
      </w:r>
      <w:r w:rsidRPr="00523582">
        <w:rPr>
          <w:rStyle w:val="pinguis"/>
        </w:rPr>
        <w:t>ieu.</w:t>
      </w:r>
      <w:r w:rsidRPr="002C4077">
        <w:t xml:space="preserve"> </w:t>
      </w:r>
      <w:r w:rsidRPr="00523582">
        <w:rPr>
          <w:rStyle w:val="pm"/>
        </w:rPr>
        <w:t>Introduction</w:t>
      </w:r>
      <w:r w:rsidRPr="002C4077">
        <w:t xml:space="preserve"> </w:t>
      </w:r>
      <w:r w:rsidRPr="00523582">
        <w:rPr>
          <w:rStyle w:val="pm"/>
        </w:rPr>
        <w:t>critique</w:t>
      </w:r>
      <w:r w:rsidRPr="002C4077">
        <w:t xml:space="preserve"> </w:t>
      </w:r>
      <w:r w:rsidRPr="00523582">
        <w:rPr>
          <w:rStyle w:val="pm"/>
        </w:rPr>
        <w:t>et</w:t>
      </w:r>
      <w:r w:rsidRPr="002C4077">
        <w:t xml:space="preserve"> </w:t>
      </w:r>
      <w:r w:rsidRPr="00523582">
        <w:rPr>
          <w:rStyle w:val="pm"/>
        </w:rPr>
        <w:t>commentaires.</w:t>
      </w:r>
      <w:r w:rsidRPr="002C4077">
        <w:t xml:space="preserve"> </w:t>
      </w:r>
      <w:r w:rsidRPr="00523582">
        <w:t>Un</w:t>
      </w:r>
      <w:r w:rsidRPr="002C4077">
        <w:t xml:space="preserve"> </w:t>
      </w:r>
      <w:r w:rsidRPr="00523582">
        <w:t>vol.</w:t>
      </w:r>
      <w:r w:rsidRPr="002C4077">
        <w:t xml:space="preserve"> </w:t>
      </w:r>
      <w:r w:rsidRPr="00523582">
        <w:t>grand</w:t>
      </w:r>
      <w:r w:rsidRPr="002C4077">
        <w:t xml:space="preserve"> </w:t>
      </w:r>
      <w:r w:rsidRPr="00523582">
        <w:t>in-8°de</w:t>
      </w:r>
      <w:r w:rsidRPr="002C4077">
        <w:t xml:space="preserve"> </w:t>
      </w:r>
      <w:r w:rsidRPr="00523582">
        <w:t>570</w:t>
      </w:r>
      <w:r w:rsidRPr="002C4077">
        <w:t xml:space="preserve"> </w:t>
      </w:r>
      <w:r w:rsidRPr="00523582">
        <w:t>p.</w:t>
      </w:r>
      <w:r w:rsidRPr="002C4077">
        <w:t xml:space="preserve"> </w:t>
      </w:r>
      <w:r w:rsidRPr="00523582">
        <w:t>Paris,</w:t>
      </w:r>
      <w:r w:rsidRPr="002C4077">
        <w:t xml:space="preserve"> </w:t>
      </w:r>
      <w:r w:rsidRPr="00523582">
        <w:t>1878.</w:t>
      </w:r>
      <w:r w:rsidRPr="002C4077">
        <w:t xml:space="preserve"> </w:t>
      </w:r>
    </w:p>
    <w:p w:rsidR="000A7AAB" w:rsidRPr="00523582" w:rsidRDefault="000A7AAB" w:rsidP="00523582">
      <w:pPr>
        <w:pStyle w:val="index1"/>
      </w:pPr>
      <w:r w:rsidRPr="00523582">
        <w:rPr>
          <w:rStyle w:val="pinguis"/>
        </w:rPr>
        <w:t>Évangile</w:t>
      </w:r>
      <w:r w:rsidRPr="002C4077">
        <w:t xml:space="preserve"> </w:t>
      </w:r>
      <w:r w:rsidRPr="00523582">
        <w:rPr>
          <w:rStyle w:val="pinguis"/>
        </w:rPr>
        <w:t>selon</w:t>
      </w:r>
      <w:r w:rsidRPr="002C4077">
        <w:t xml:space="preserve"> </w:t>
      </w:r>
      <w:r w:rsidRPr="00523582">
        <w:rPr>
          <w:rStyle w:val="pinguis"/>
        </w:rPr>
        <w:t>saint</w:t>
      </w:r>
      <w:r w:rsidRPr="002C4077">
        <w:t xml:space="preserve"> </w:t>
      </w:r>
      <w:r w:rsidRPr="00523582">
        <w:rPr>
          <w:rStyle w:val="pinguis"/>
        </w:rPr>
        <w:t>Marc.</w:t>
      </w:r>
      <w:r w:rsidRPr="002C4077">
        <w:t xml:space="preserve"> </w:t>
      </w:r>
      <w:r w:rsidRPr="00523582">
        <w:rPr>
          <w:rStyle w:val="pm"/>
        </w:rPr>
        <w:t>Introduction</w:t>
      </w:r>
      <w:r w:rsidRPr="002C4077">
        <w:t xml:space="preserve"> </w:t>
      </w:r>
      <w:r w:rsidRPr="00523582">
        <w:rPr>
          <w:rStyle w:val="pm"/>
        </w:rPr>
        <w:t>critique</w:t>
      </w:r>
      <w:r w:rsidRPr="002C4077">
        <w:t xml:space="preserve"> </w:t>
      </w:r>
      <w:r w:rsidRPr="00523582">
        <w:rPr>
          <w:rStyle w:val="pm"/>
        </w:rPr>
        <w:t>et</w:t>
      </w:r>
      <w:r w:rsidRPr="002C4077">
        <w:t xml:space="preserve"> </w:t>
      </w:r>
      <w:r w:rsidRPr="00523582">
        <w:rPr>
          <w:rStyle w:val="pm"/>
        </w:rPr>
        <w:t>commentaires.</w:t>
      </w:r>
      <w:r w:rsidRPr="002C4077">
        <w:t xml:space="preserve"> </w:t>
      </w:r>
      <w:r w:rsidRPr="00523582">
        <w:t>Un</w:t>
      </w:r>
      <w:r w:rsidRPr="002C4077">
        <w:t xml:space="preserve"> </w:t>
      </w:r>
      <w:r w:rsidRPr="00523582">
        <w:t>vol.</w:t>
      </w:r>
      <w:r w:rsidRPr="002C4077">
        <w:t xml:space="preserve"> </w:t>
      </w:r>
      <w:r w:rsidRPr="00523582">
        <w:t>grand</w:t>
      </w:r>
      <w:r w:rsidRPr="002C4077">
        <w:t xml:space="preserve"> </w:t>
      </w:r>
      <w:r w:rsidRPr="00523582">
        <w:t>in-8°</w:t>
      </w:r>
      <w:r w:rsidRPr="002C4077">
        <w:t xml:space="preserve"> </w:t>
      </w:r>
      <w:r w:rsidRPr="00523582">
        <w:t>de</w:t>
      </w:r>
      <w:r w:rsidRPr="002C4077">
        <w:t xml:space="preserve"> </w:t>
      </w:r>
      <w:r w:rsidRPr="00523582">
        <w:t>228</w:t>
      </w:r>
      <w:r w:rsidRPr="002C4077">
        <w:t xml:space="preserve"> </w:t>
      </w:r>
      <w:r w:rsidRPr="00523582">
        <w:t>p.</w:t>
      </w:r>
      <w:r w:rsidRPr="002C4077">
        <w:t xml:space="preserve"> </w:t>
      </w:r>
      <w:r w:rsidRPr="00523582">
        <w:t>Paris,</w:t>
      </w:r>
      <w:r w:rsidRPr="002C4077">
        <w:t xml:space="preserve"> </w:t>
      </w:r>
      <w:r w:rsidRPr="00523582">
        <w:t>1879.</w:t>
      </w:r>
      <w:r w:rsidRPr="002C4077">
        <w:t xml:space="preserve"> </w:t>
      </w:r>
    </w:p>
    <w:p w:rsidR="00523582" w:rsidRPr="00523582" w:rsidRDefault="000A7AAB" w:rsidP="00523582">
      <w:pPr>
        <w:pStyle w:val="index1"/>
      </w:pPr>
      <w:r w:rsidRPr="00523582">
        <w:rPr>
          <w:rStyle w:val="pinguis"/>
        </w:rPr>
        <w:t>Évangile</w:t>
      </w:r>
      <w:r w:rsidRPr="002C4077">
        <w:t xml:space="preserve"> </w:t>
      </w:r>
      <w:r w:rsidRPr="00523582">
        <w:rPr>
          <w:rStyle w:val="pinguis"/>
        </w:rPr>
        <w:t>selon</w:t>
      </w:r>
      <w:r w:rsidRPr="002C4077">
        <w:t xml:space="preserve"> </w:t>
      </w:r>
      <w:r w:rsidRPr="00523582">
        <w:rPr>
          <w:rStyle w:val="pinguis"/>
        </w:rPr>
        <w:t>saint</w:t>
      </w:r>
      <w:r w:rsidRPr="002C4077">
        <w:t xml:space="preserve"> </w:t>
      </w:r>
      <w:r w:rsidRPr="00523582">
        <w:rPr>
          <w:rStyle w:val="pinguis"/>
        </w:rPr>
        <w:t>Luc.</w:t>
      </w:r>
      <w:r w:rsidRPr="002C4077">
        <w:t xml:space="preserve"> </w:t>
      </w:r>
      <w:r w:rsidRPr="00523582">
        <w:t>Introduction</w:t>
      </w:r>
      <w:r w:rsidRPr="002C4077">
        <w:t xml:space="preserve"> </w:t>
      </w:r>
      <w:r w:rsidRPr="00523582">
        <w:t>critique</w:t>
      </w:r>
      <w:r w:rsidRPr="002C4077">
        <w:t xml:space="preserve"> </w:t>
      </w:r>
      <w:r w:rsidRPr="00523582">
        <w:t>et</w:t>
      </w:r>
      <w:r w:rsidRPr="002C4077">
        <w:t xml:space="preserve"> </w:t>
      </w:r>
      <w:r w:rsidRPr="00523582">
        <w:t>commentaires.</w:t>
      </w:r>
      <w:r w:rsidRPr="002C4077">
        <w:t xml:space="preserve"> </w:t>
      </w:r>
      <w:r w:rsidRPr="00523582">
        <w:t>Un</w:t>
      </w:r>
      <w:r w:rsidRPr="002C4077">
        <w:t xml:space="preserve"> </w:t>
      </w:r>
      <w:r w:rsidRPr="00523582">
        <w:t>vol.</w:t>
      </w:r>
      <w:r w:rsidRPr="002C4077">
        <w:t xml:space="preserve"> </w:t>
      </w:r>
      <w:r w:rsidRPr="00523582">
        <w:t>grand</w:t>
      </w:r>
      <w:r w:rsidRPr="002C4077">
        <w:t xml:space="preserve"> </w:t>
      </w:r>
      <w:r w:rsidRPr="00523582">
        <w:t>in-8°</w:t>
      </w:r>
      <w:r w:rsidRPr="002C4077">
        <w:t xml:space="preserve"> </w:t>
      </w:r>
      <w:r w:rsidRPr="00523582">
        <w:t>de</w:t>
      </w:r>
      <w:r w:rsidRPr="002C4077">
        <w:t xml:space="preserve"> </w:t>
      </w:r>
      <w:r w:rsidRPr="00523582">
        <w:t>415</w:t>
      </w:r>
      <w:r w:rsidRPr="002C4077">
        <w:t xml:space="preserve"> </w:t>
      </w:r>
      <w:r w:rsidRPr="00523582">
        <w:t>p.</w:t>
      </w:r>
      <w:r w:rsidRPr="002C4077">
        <w:t xml:space="preserve"> </w:t>
      </w:r>
      <w:r w:rsidRPr="00523582">
        <w:t>Paris,</w:t>
      </w:r>
      <w:r w:rsidRPr="002C4077">
        <w:t xml:space="preserve"> </w:t>
      </w:r>
      <w:r w:rsidRPr="00523582">
        <w:t>1882.</w:t>
      </w:r>
      <w:r w:rsidRPr="002C4077">
        <w:t xml:space="preserve"> </w:t>
      </w:r>
    </w:p>
    <w:p w:rsidR="00523582" w:rsidRPr="00523582" w:rsidRDefault="000A7AAB" w:rsidP="00523582">
      <w:pPr>
        <w:pStyle w:val="index1"/>
      </w:pPr>
      <w:r w:rsidRPr="00523582">
        <w:rPr>
          <w:rStyle w:val="pinguis"/>
        </w:rPr>
        <w:t>Synopsis</w:t>
      </w:r>
      <w:r w:rsidRPr="002C4077">
        <w:t xml:space="preserve"> </w:t>
      </w:r>
      <w:r w:rsidR="00523582" w:rsidRPr="00523582">
        <w:rPr>
          <w:rStyle w:val="pinguis"/>
        </w:rPr>
        <w:t>evangélica</w:t>
      </w:r>
      <w:r w:rsidRPr="00523582">
        <w:rPr>
          <w:rStyle w:val="pinguis"/>
        </w:rPr>
        <w:t>.</w:t>
      </w:r>
      <w:r w:rsidRPr="002C4077">
        <w:t xml:space="preserve"> </w:t>
      </w:r>
      <w:r w:rsidRPr="00523582">
        <w:rPr>
          <w:rStyle w:val="pm"/>
        </w:rPr>
        <w:t>Seu</w:t>
      </w:r>
      <w:r w:rsidRPr="002C4077">
        <w:t xml:space="preserve"> </w:t>
      </w:r>
      <w:r w:rsidRPr="00523582">
        <w:rPr>
          <w:rStyle w:val="pm"/>
        </w:rPr>
        <w:t>quatuor</w:t>
      </w:r>
      <w:r w:rsidRPr="002C4077">
        <w:t xml:space="preserve"> </w:t>
      </w:r>
      <w:r w:rsidRPr="00523582">
        <w:rPr>
          <w:rStyle w:val="pm"/>
        </w:rPr>
        <w:t>sancta</w:t>
      </w:r>
      <w:r w:rsidRPr="002C4077">
        <w:t xml:space="preserve"> </w:t>
      </w:r>
      <w:r w:rsidRPr="00523582">
        <w:rPr>
          <w:rStyle w:val="pm"/>
        </w:rPr>
        <w:t>Jesu</w:t>
      </w:r>
      <w:r w:rsidRPr="002C4077">
        <w:t xml:space="preserve"> </w:t>
      </w:r>
      <w:r w:rsidR="003B53FD" w:rsidRPr="00523582">
        <w:rPr>
          <w:rStyle w:val="pm"/>
        </w:rPr>
        <w:t>Christi</w:t>
      </w:r>
      <w:r w:rsidRPr="002C4077">
        <w:t xml:space="preserve"> </w:t>
      </w:r>
      <w:r w:rsidR="00523582" w:rsidRPr="00523582">
        <w:rPr>
          <w:rStyle w:val="pm"/>
        </w:rPr>
        <w:t>Evangélia</w:t>
      </w:r>
      <w:r w:rsidRPr="00523582">
        <w:rPr>
          <w:rStyle w:val="pm"/>
        </w:rPr>
        <w:t>,</w:t>
      </w:r>
      <w:r w:rsidRPr="002C4077">
        <w:t xml:space="preserve"> </w:t>
      </w:r>
      <w:r w:rsidR="00523582" w:rsidRPr="00523582">
        <w:rPr>
          <w:rStyle w:val="pm"/>
        </w:rPr>
        <w:t>secúndum</w:t>
      </w:r>
      <w:r w:rsidRPr="002C4077">
        <w:t xml:space="preserve"> </w:t>
      </w:r>
      <w:r w:rsidRPr="00523582">
        <w:rPr>
          <w:rStyle w:val="pm"/>
        </w:rPr>
        <w:t>v</w:t>
      </w:r>
      <w:r w:rsidR="00523582" w:rsidRPr="00523582">
        <w:rPr>
          <w:rStyle w:val="pm"/>
        </w:rPr>
        <w:t>ulg</w:t>
      </w:r>
      <w:r w:rsidR="003B53FD" w:rsidRPr="00523582">
        <w:rPr>
          <w:rStyle w:val="pm"/>
        </w:rPr>
        <w:t>átam</w:t>
      </w:r>
      <w:r w:rsidR="00523582" w:rsidRPr="002C4077">
        <w:t xml:space="preserve"> </w:t>
      </w:r>
      <w:r w:rsidR="00523582" w:rsidRPr="00523582">
        <w:rPr>
          <w:rStyle w:val="pm"/>
        </w:rPr>
        <w:t>editiónem</w:t>
      </w:r>
      <w:r w:rsidRPr="002C4077">
        <w:t xml:space="preserve"> </w:t>
      </w:r>
      <w:r w:rsidR="00523582" w:rsidRPr="00523582">
        <w:rPr>
          <w:rStyle w:val="pm"/>
        </w:rPr>
        <w:t>órdine</w:t>
      </w:r>
      <w:r w:rsidRPr="002C4077">
        <w:t xml:space="preserve"> </w:t>
      </w:r>
      <w:r w:rsidR="00523582" w:rsidRPr="00523582">
        <w:rPr>
          <w:rStyle w:val="pm"/>
        </w:rPr>
        <w:t>chronológico</w:t>
      </w:r>
      <w:r w:rsidRPr="002C4077">
        <w:t xml:space="preserve"> </w:t>
      </w:r>
      <w:r w:rsidRPr="00523582">
        <w:rPr>
          <w:rStyle w:val="pm"/>
        </w:rPr>
        <w:t>in</w:t>
      </w:r>
      <w:r w:rsidRPr="002C4077">
        <w:t xml:space="preserve"> </w:t>
      </w:r>
      <w:r w:rsidRPr="00523582">
        <w:rPr>
          <w:rStyle w:val="pm"/>
        </w:rPr>
        <w:t>harm</w:t>
      </w:r>
      <w:r w:rsidR="003B53FD" w:rsidRPr="00523582">
        <w:rPr>
          <w:rStyle w:val="pm"/>
        </w:rPr>
        <w:t>óniam</w:t>
      </w:r>
      <w:r w:rsidRPr="002C4077">
        <w:t xml:space="preserve"> </w:t>
      </w:r>
      <w:r w:rsidRPr="00523582">
        <w:rPr>
          <w:rStyle w:val="pm"/>
        </w:rPr>
        <w:t>conc</w:t>
      </w:r>
      <w:r w:rsidR="003B53FD" w:rsidRPr="00523582">
        <w:rPr>
          <w:rStyle w:val="pm"/>
        </w:rPr>
        <w:t>innáta</w:t>
      </w:r>
      <w:r w:rsidRPr="00523582">
        <w:rPr>
          <w:rStyle w:val="pm"/>
        </w:rPr>
        <w:t>.</w:t>
      </w:r>
      <w:r w:rsidRPr="002C4077">
        <w:t xml:space="preserve"> </w:t>
      </w:r>
      <w:r w:rsidRPr="00523582">
        <w:t>Un</w:t>
      </w:r>
      <w:r w:rsidRPr="002C4077">
        <w:t xml:space="preserve"> </w:t>
      </w:r>
      <w:r w:rsidRPr="00523582">
        <w:t>vol.</w:t>
      </w:r>
      <w:r w:rsidRPr="002C4077">
        <w:t xml:space="preserve"> </w:t>
      </w:r>
      <w:r w:rsidRPr="00523582">
        <w:t>grand</w:t>
      </w:r>
      <w:r w:rsidRPr="002C4077">
        <w:t xml:space="preserve"> </w:t>
      </w:r>
      <w:r w:rsidRPr="00523582">
        <w:t>in-8°</w:t>
      </w:r>
      <w:r w:rsidRPr="002C4077">
        <w:t xml:space="preserve"> </w:t>
      </w:r>
      <w:r w:rsidRPr="00523582">
        <w:t>de</w:t>
      </w:r>
      <w:r w:rsidRPr="002C4077">
        <w:t xml:space="preserve"> </w:t>
      </w:r>
      <w:r w:rsidRPr="00523582">
        <w:t>XIX-138</w:t>
      </w:r>
      <w:r w:rsidRPr="002C4077">
        <w:t xml:space="preserve"> </w:t>
      </w:r>
      <w:r w:rsidRPr="00523582">
        <w:t>p.</w:t>
      </w:r>
      <w:r w:rsidRPr="002C4077">
        <w:t xml:space="preserve"> </w:t>
      </w:r>
      <w:r w:rsidRPr="00523582">
        <w:t>Paris,</w:t>
      </w:r>
      <w:r w:rsidRPr="002C4077">
        <w:t xml:space="preserve"> </w:t>
      </w:r>
      <w:r w:rsidRPr="00523582">
        <w:t>1882.</w:t>
      </w:r>
      <w:r w:rsidRPr="002C4077">
        <w:t xml:space="preserve"> </w:t>
      </w:r>
    </w:p>
    <w:p w:rsidR="000A7AAB" w:rsidRPr="00523582" w:rsidRDefault="000A7AAB" w:rsidP="00523582">
      <w:pPr>
        <w:pStyle w:val="index1"/>
      </w:pPr>
      <w:r w:rsidRPr="00523582">
        <w:rPr>
          <w:rStyle w:val="pinguis"/>
        </w:rPr>
        <w:t>Atlas</w:t>
      </w:r>
      <w:r w:rsidRPr="002C4077">
        <w:t xml:space="preserve"> </w:t>
      </w:r>
      <w:r w:rsidRPr="00523582">
        <w:rPr>
          <w:rStyle w:val="pinguis"/>
        </w:rPr>
        <w:t>archéologique</w:t>
      </w:r>
      <w:r w:rsidRPr="002C4077">
        <w:t xml:space="preserve"> </w:t>
      </w:r>
      <w:r w:rsidRPr="00523582">
        <w:rPr>
          <w:rStyle w:val="pinguis"/>
        </w:rPr>
        <w:t>de</w:t>
      </w:r>
      <w:r w:rsidRPr="002C4077">
        <w:t xml:space="preserve"> </w:t>
      </w:r>
      <w:r w:rsidRPr="00523582">
        <w:rPr>
          <w:rStyle w:val="pinguis"/>
        </w:rPr>
        <w:t>la</w:t>
      </w:r>
      <w:r w:rsidRPr="002C4077">
        <w:t xml:space="preserve"> </w:t>
      </w:r>
      <w:r w:rsidRPr="00523582">
        <w:rPr>
          <w:rStyle w:val="pinguis"/>
        </w:rPr>
        <w:t>Bible,</w:t>
      </w:r>
      <w:r w:rsidRPr="002C4077">
        <w:t xml:space="preserve"> </w:t>
      </w:r>
      <w:r w:rsidRPr="00523582">
        <w:rPr>
          <w:rStyle w:val="pm"/>
        </w:rPr>
        <w:t>d’après</w:t>
      </w:r>
      <w:r w:rsidRPr="002C4077">
        <w:t xml:space="preserve"> </w:t>
      </w:r>
      <w:r w:rsidRPr="00523582">
        <w:rPr>
          <w:rStyle w:val="pm"/>
        </w:rPr>
        <w:t>les</w:t>
      </w:r>
      <w:r w:rsidRPr="002C4077">
        <w:t xml:space="preserve"> </w:t>
      </w:r>
      <w:r w:rsidRPr="00523582">
        <w:rPr>
          <w:rStyle w:val="pm"/>
        </w:rPr>
        <w:t>meilleurs</w:t>
      </w:r>
      <w:r w:rsidRPr="002C4077">
        <w:t xml:space="preserve"> </w:t>
      </w:r>
      <w:r w:rsidRPr="00523582">
        <w:rPr>
          <w:rStyle w:val="pm"/>
        </w:rPr>
        <w:t>documents,</w:t>
      </w:r>
      <w:r w:rsidRPr="002C4077">
        <w:t xml:space="preserve"> </w:t>
      </w:r>
      <w:r w:rsidRPr="00523582">
        <w:rPr>
          <w:rStyle w:val="pm"/>
        </w:rPr>
        <w:t>soit</w:t>
      </w:r>
      <w:r w:rsidRPr="002C4077">
        <w:t xml:space="preserve"> </w:t>
      </w:r>
      <w:r w:rsidRPr="00523582">
        <w:rPr>
          <w:rStyle w:val="pm"/>
        </w:rPr>
        <w:t>anciens,</w:t>
      </w:r>
      <w:r w:rsidRPr="002C4077">
        <w:t xml:space="preserve"> </w:t>
      </w:r>
      <w:r w:rsidRPr="00523582">
        <w:rPr>
          <w:rStyle w:val="pm"/>
        </w:rPr>
        <w:t>soit</w:t>
      </w:r>
      <w:r w:rsidRPr="002C4077">
        <w:t xml:space="preserve"> </w:t>
      </w:r>
      <w:r w:rsidRPr="00523582">
        <w:rPr>
          <w:rStyle w:val="pm"/>
        </w:rPr>
        <w:t>modernes,</w:t>
      </w:r>
      <w:r w:rsidRPr="002C4077">
        <w:t xml:space="preserve"> </w:t>
      </w:r>
      <w:r w:rsidRPr="00523582">
        <w:rPr>
          <w:rStyle w:val="pm"/>
        </w:rPr>
        <w:t>et</w:t>
      </w:r>
      <w:r w:rsidRPr="002C4077">
        <w:t xml:space="preserve"> </w:t>
      </w:r>
      <w:r w:rsidRPr="00523582">
        <w:rPr>
          <w:rStyle w:val="pm"/>
        </w:rPr>
        <w:t>surtout</w:t>
      </w:r>
      <w:r w:rsidRPr="002C4077">
        <w:t xml:space="preserve"> </w:t>
      </w:r>
      <w:r w:rsidRPr="00523582">
        <w:rPr>
          <w:rStyle w:val="pm"/>
        </w:rPr>
        <w:t>d’après</w:t>
      </w:r>
      <w:r w:rsidRPr="002C4077">
        <w:t xml:space="preserve"> </w:t>
      </w:r>
      <w:r w:rsidRPr="00523582">
        <w:rPr>
          <w:rStyle w:val="pm"/>
        </w:rPr>
        <w:t>les</w:t>
      </w:r>
      <w:r w:rsidRPr="002C4077">
        <w:t xml:space="preserve"> </w:t>
      </w:r>
      <w:r w:rsidRPr="00523582">
        <w:rPr>
          <w:rStyle w:val="pm"/>
        </w:rPr>
        <w:t>découvertes</w:t>
      </w:r>
      <w:r w:rsidRPr="002C4077">
        <w:t xml:space="preserve"> </w:t>
      </w:r>
      <w:r w:rsidRPr="00523582">
        <w:rPr>
          <w:rStyle w:val="pm"/>
        </w:rPr>
        <w:t>les</w:t>
      </w:r>
      <w:r w:rsidRPr="002C4077">
        <w:t xml:space="preserve"> </w:t>
      </w:r>
      <w:r w:rsidRPr="00523582">
        <w:rPr>
          <w:rStyle w:val="pm"/>
        </w:rPr>
        <w:t>plus</w:t>
      </w:r>
      <w:r w:rsidRPr="002C4077">
        <w:t xml:space="preserve"> </w:t>
      </w:r>
      <w:r w:rsidRPr="00523582">
        <w:rPr>
          <w:rStyle w:val="pm"/>
        </w:rPr>
        <w:t>récentes</w:t>
      </w:r>
      <w:r w:rsidRPr="002C4077">
        <w:t xml:space="preserve"> </w:t>
      </w:r>
      <w:r w:rsidRPr="00523582">
        <w:rPr>
          <w:rStyle w:val="pm"/>
        </w:rPr>
        <w:t>faites</w:t>
      </w:r>
      <w:r w:rsidRPr="002C4077">
        <w:t xml:space="preserve"> </w:t>
      </w:r>
      <w:r w:rsidRPr="00523582">
        <w:rPr>
          <w:rStyle w:val="pm"/>
        </w:rPr>
        <w:t>dans</w:t>
      </w:r>
      <w:r w:rsidRPr="002C4077">
        <w:t xml:space="preserve"> </w:t>
      </w:r>
      <w:r w:rsidRPr="00523582">
        <w:rPr>
          <w:rStyle w:val="pm"/>
        </w:rPr>
        <w:t>la</w:t>
      </w:r>
      <w:r w:rsidRPr="002C4077">
        <w:t xml:space="preserve"> </w:t>
      </w:r>
      <w:r w:rsidR="00523582" w:rsidRPr="00523582">
        <w:rPr>
          <w:rStyle w:val="pm"/>
        </w:rPr>
        <w:t>Palestine</w:t>
      </w:r>
      <w:r w:rsidRPr="00523582">
        <w:rPr>
          <w:rStyle w:val="pm"/>
        </w:rPr>
        <w:t>,</w:t>
      </w:r>
      <w:r w:rsidRPr="002C4077">
        <w:t xml:space="preserve"> </w:t>
      </w:r>
      <w:r w:rsidRPr="00523582">
        <w:rPr>
          <w:rStyle w:val="pm"/>
        </w:rPr>
        <w:t>la</w:t>
      </w:r>
      <w:r w:rsidRPr="002C4077">
        <w:t xml:space="preserve"> </w:t>
      </w:r>
      <w:r w:rsidR="00523582" w:rsidRPr="00523582">
        <w:rPr>
          <w:rStyle w:val="pm"/>
        </w:rPr>
        <w:t>Syrie</w:t>
      </w:r>
      <w:r w:rsidRPr="00523582">
        <w:rPr>
          <w:rStyle w:val="pm"/>
        </w:rPr>
        <w:t>,</w:t>
      </w:r>
      <w:r w:rsidRPr="002C4077">
        <w:t xml:space="preserve"> </w:t>
      </w:r>
      <w:r w:rsidRPr="00523582">
        <w:rPr>
          <w:rStyle w:val="pm"/>
        </w:rPr>
        <w:t>la</w:t>
      </w:r>
      <w:r w:rsidRPr="002C4077">
        <w:t xml:space="preserve"> </w:t>
      </w:r>
      <w:r w:rsidR="00523582" w:rsidRPr="00523582">
        <w:rPr>
          <w:rStyle w:val="pm"/>
        </w:rPr>
        <w:t>Phénicie</w:t>
      </w:r>
      <w:r w:rsidRPr="00523582">
        <w:rPr>
          <w:rStyle w:val="pm"/>
        </w:rPr>
        <w:t>,</w:t>
      </w:r>
      <w:r w:rsidRPr="002C4077">
        <w:t xml:space="preserve"> </w:t>
      </w:r>
      <w:r w:rsidRPr="00523582">
        <w:rPr>
          <w:rStyle w:val="pm"/>
        </w:rPr>
        <w:t>l’</w:t>
      </w:r>
      <w:r w:rsidR="00523582" w:rsidRPr="00523582">
        <w:rPr>
          <w:rStyle w:val="pm"/>
        </w:rPr>
        <w:t>Égypte</w:t>
      </w:r>
      <w:r w:rsidRPr="002C4077">
        <w:t xml:space="preserve"> </w:t>
      </w:r>
      <w:r w:rsidRPr="00523582">
        <w:rPr>
          <w:rStyle w:val="pm"/>
        </w:rPr>
        <w:t>et</w:t>
      </w:r>
      <w:r w:rsidRPr="002C4077">
        <w:t xml:space="preserve"> </w:t>
      </w:r>
      <w:r w:rsidRPr="00523582">
        <w:rPr>
          <w:rStyle w:val="pm"/>
        </w:rPr>
        <w:t>l’Assyrie,</w:t>
      </w:r>
      <w:r w:rsidRPr="002C4077">
        <w:t xml:space="preserve"> </w:t>
      </w:r>
      <w:r w:rsidRPr="00523582">
        <w:rPr>
          <w:rStyle w:val="pm"/>
        </w:rPr>
        <w:t>destiné</w:t>
      </w:r>
      <w:r w:rsidRPr="002C4077">
        <w:t xml:space="preserve"> </w:t>
      </w:r>
      <w:r w:rsidRPr="00523582">
        <w:rPr>
          <w:rStyle w:val="pm"/>
        </w:rPr>
        <w:t>a</w:t>
      </w:r>
      <w:r w:rsidRPr="002C4077">
        <w:t xml:space="preserve"> </w:t>
      </w:r>
      <w:r w:rsidRPr="00523582">
        <w:rPr>
          <w:rStyle w:val="pm"/>
        </w:rPr>
        <w:t>faciliter</w:t>
      </w:r>
      <w:r w:rsidRPr="002C4077">
        <w:t xml:space="preserve"> </w:t>
      </w:r>
      <w:r w:rsidRPr="00523582">
        <w:rPr>
          <w:rStyle w:val="pm"/>
        </w:rPr>
        <w:t>l’intelligence</w:t>
      </w:r>
      <w:r w:rsidRPr="002C4077">
        <w:t xml:space="preserve"> </w:t>
      </w:r>
      <w:r w:rsidRPr="00523582">
        <w:rPr>
          <w:rStyle w:val="pm"/>
        </w:rPr>
        <w:t>des</w:t>
      </w:r>
      <w:r w:rsidRPr="002C4077">
        <w:t xml:space="preserve"> </w:t>
      </w:r>
      <w:r w:rsidRPr="00523582">
        <w:rPr>
          <w:rStyle w:val="pm"/>
        </w:rPr>
        <w:t>saintes</w:t>
      </w:r>
      <w:r w:rsidRPr="002C4077">
        <w:t xml:space="preserve"> </w:t>
      </w:r>
      <w:r w:rsidRPr="00523582">
        <w:rPr>
          <w:rStyle w:val="pm"/>
        </w:rPr>
        <w:t>Écritures.</w:t>
      </w:r>
      <w:r w:rsidRPr="002C4077">
        <w:t xml:space="preserve"> </w:t>
      </w:r>
      <w:r w:rsidRPr="00523582">
        <w:t>Un</w:t>
      </w:r>
      <w:r w:rsidRPr="002C4077">
        <w:t xml:space="preserve"> </w:t>
      </w:r>
      <w:r w:rsidRPr="00523582">
        <w:t>vol.</w:t>
      </w:r>
      <w:r w:rsidRPr="002C4077">
        <w:t xml:space="preserve"> </w:t>
      </w:r>
      <w:r w:rsidRPr="00523582">
        <w:t>grand</w:t>
      </w:r>
      <w:r w:rsidRPr="002C4077">
        <w:t xml:space="preserve"> </w:t>
      </w:r>
      <w:r w:rsidRPr="00523582">
        <w:t>in-4°</w:t>
      </w:r>
      <w:r w:rsidRPr="002C4077">
        <w:t xml:space="preserve"> </w:t>
      </w:r>
      <w:r w:rsidRPr="00523582">
        <w:t>de</w:t>
      </w:r>
      <w:r w:rsidRPr="002C4077">
        <w:t xml:space="preserve"> </w:t>
      </w:r>
      <w:r w:rsidRPr="00523582">
        <w:t>vi-60</w:t>
      </w:r>
      <w:r w:rsidRPr="002C4077">
        <w:t xml:space="preserve"> </w:t>
      </w:r>
      <w:r w:rsidRPr="00523582">
        <w:t>p.,</w:t>
      </w:r>
      <w:r w:rsidRPr="002C4077">
        <w:t xml:space="preserve"> </w:t>
      </w:r>
      <w:r w:rsidRPr="00523582">
        <w:t>accompagné</w:t>
      </w:r>
      <w:r w:rsidRPr="002C4077">
        <w:t xml:space="preserve"> </w:t>
      </w:r>
      <w:r w:rsidRPr="00523582">
        <w:t>de</w:t>
      </w:r>
      <w:r w:rsidRPr="002C4077">
        <w:t xml:space="preserve"> </w:t>
      </w:r>
      <w:r w:rsidRPr="00523582">
        <w:t>quatre-vingt-treize</w:t>
      </w:r>
      <w:r w:rsidRPr="002C4077">
        <w:t xml:space="preserve"> </w:t>
      </w:r>
      <w:r w:rsidRPr="00523582">
        <w:t>planches</w:t>
      </w:r>
      <w:r w:rsidRPr="002C4077">
        <w:t xml:space="preserve"> </w:t>
      </w:r>
      <w:r w:rsidRPr="00523582">
        <w:t>contenant</w:t>
      </w:r>
      <w:r w:rsidRPr="002C4077">
        <w:t xml:space="preserve"> </w:t>
      </w:r>
      <w:r w:rsidRPr="00523582">
        <w:t>1100</w:t>
      </w:r>
      <w:r w:rsidRPr="002C4077">
        <w:t xml:space="preserve"> </w:t>
      </w:r>
      <w:r w:rsidRPr="00523582">
        <w:t>figures.</w:t>
      </w:r>
      <w:r w:rsidRPr="002C4077">
        <w:t xml:space="preserve"> </w:t>
      </w:r>
      <w:r w:rsidRPr="00523582">
        <w:t>Lyon,</w:t>
      </w:r>
      <w:r w:rsidRPr="002C4077">
        <w:t xml:space="preserve"> </w:t>
      </w:r>
      <w:r w:rsidRPr="00523582">
        <w:t>librairie</w:t>
      </w:r>
      <w:r w:rsidRPr="002C4077">
        <w:t xml:space="preserve"> </w:t>
      </w:r>
      <w:r w:rsidRPr="00523582">
        <w:t>Briday,</w:t>
      </w:r>
      <w:r w:rsidRPr="002C4077">
        <w:t xml:space="preserve"> </w:t>
      </w:r>
      <w:r w:rsidRPr="00523582">
        <w:t>1883.</w:t>
      </w:r>
      <w:r w:rsidRPr="002C4077">
        <w:t xml:space="preserve"> </w:t>
      </w:r>
    </w:p>
    <w:p w:rsidR="000A7AAB" w:rsidRPr="00523582" w:rsidRDefault="000A7AAB" w:rsidP="00523582">
      <w:pPr>
        <w:pStyle w:val="centrum"/>
      </w:pPr>
      <w:r w:rsidRPr="00523582">
        <w:t>SOUS</w:t>
      </w:r>
      <w:r w:rsidRPr="002C4077">
        <w:t xml:space="preserve"> </w:t>
      </w:r>
      <w:r w:rsidRPr="00523582">
        <w:t>PRESSE</w:t>
      </w:r>
      <w:r w:rsidR="00B546AF" w:rsidRPr="00523582">
        <w:t> :</w:t>
      </w:r>
      <w:r w:rsidRPr="002C4077">
        <w:t xml:space="preserve"> </w:t>
      </w:r>
    </w:p>
    <w:p w:rsidR="000A7AAB" w:rsidRPr="00523582" w:rsidRDefault="000A7AAB" w:rsidP="00523582">
      <w:pPr>
        <w:pStyle w:val="index1"/>
      </w:pPr>
      <w:r w:rsidRPr="00523582">
        <w:rPr>
          <w:rStyle w:val="pinguis"/>
        </w:rPr>
        <w:t>Atlas</w:t>
      </w:r>
      <w:r w:rsidRPr="002C4077">
        <w:t xml:space="preserve"> </w:t>
      </w:r>
      <w:r w:rsidRPr="00523582">
        <w:rPr>
          <w:rStyle w:val="pinguis"/>
        </w:rPr>
        <w:t>d’histoire</w:t>
      </w:r>
      <w:r w:rsidRPr="002C4077">
        <w:t xml:space="preserve"> </w:t>
      </w:r>
      <w:r w:rsidRPr="00523582">
        <w:rPr>
          <w:rStyle w:val="pinguis"/>
        </w:rPr>
        <w:t>naturelle</w:t>
      </w:r>
      <w:r w:rsidRPr="002C4077">
        <w:t xml:space="preserve"> </w:t>
      </w:r>
      <w:r w:rsidRPr="00523582">
        <w:rPr>
          <w:rStyle w:val="pinguis"/>
        </w:rPr>
        <w:t>de</w:t>
      </w:r>
      <w:r w:rsidRPr="002C4077">
        <w:t xml:space="preserve"> </w:t>
      </w:r>
      <w:r w:rsidRPr="00523582">
        <w:rPr>
          <w:rStyle w:val="pinguis"/>
        </w:rPr>
        <w:t>la</w:t>
      </w:r>
      <w:r w:rsidRPr="002C4077">
        <w:t xml:space="preserve"> </w:t>
      </w:r>
      <w:r w:rsidRPr="00523582">
        <w:rPr>
          <w:rStyle w:val="pinguis"/>
        </w:rPr>
        <w:t>Bible,</w:t>
      </w:r>
      <w:r w:rsidRPr="002C4077">
        <w:t xml:space="preserve"> </w:t>
      </w:r>
      <w:r w:rsidRPr="00523582">
        <w:rPr>
          <w:rStyle w:val="pm"/>
        </w:rPr>
        <w:t>d’après</w:t>
      </w:r>
      <w:r w:rsidRPr="002C4077">
        <w:t xml:space="preserve"> </w:t>
      </w:r>
      <w:r w:rsidRPr="00523582">
        <w:rPr>
          <w:rStyle w:val="pm"/>
        </w:rPr>
        <w:t>les</w:t>
      </w:r>
      <w:r w:rsidRPr="002C4077">
        <w:t xml:space="preserve"> </w:t>
      </w:r>
      <w:r w:rsidRPr="00523582">
        <w:rPr>
          <w:rStyle w:val="pm"/>
        </w:rPr>
        <w:t>monuments</w:t>
      </w:r>
      <w:r w:rsidRPr="002C4077">
        <w:t xml:space="preserve"> </w:t>
      </w:r>
      <w:r w:rsidRPr="00523582">
        <w:rPr>
          <w:rStyle w:val="pm"/>
        </w:rPr>
        <w:t>anciens</w:t>
      </w:r>
      <w:r w:rsidRPr="002C4077">
        <w:t xml:space="preserve"> </w:t>
      </w:r>
      <w:r w:rsidRPr="00523582">
        <w:rPr>
          <w:rStyle w:val="pm"/>
        </w:rPr>
        <w:t>et</w:t>
      </w:r>
      <w:r w:rsidRPr="002C4077">
        <w:t xml:space="preserve"> </w:t>
      </w:r>
      <w:r w:rsidRPr="00523582">
        <w:rPr>
          <w:rStyle w:val="pm"/>
        </w:rPr>
        <w:t>les</w:t>
      </w:r>
      <w:r w:rsidRPr="002C4077">
        <w:t xml:space="preserve"> </w:t>
      </w:r>
      <w:r w:rsidRPr="00523582">
        <w:rPr>
          <w:rStyle w:val="pm"/>
        </w:rPr>
        <w:t>meilleures</w:t>
      </w:r>
      <w:r w:rsidRPr="002C4077">
        <w:t xml:space="preserve"> </w:t>
      </w:r>
      <w:r w:rsidRPr="00523582">
        <w:rPr>
          <w:rStyle w:val="pm"/>
        </w:rPr>
        <w:t>sources</w:t>
      </w:r>
      <w:r w:rsidRPr="002C4077">
        <w:t xml:space="preserve"> </w:t>
      </w:r>
      <w:r w:rsidRPr="00523582">
        <w:rPr>
          <w:rStyle w:val="pm"/>
        </w:rPr>
        <w:t>moder</w:t>
      </w:r>
      <w:r w:rsidR="00523582">
        <w:rPr>
          <w:rStyle w:val="pm"/>
        </w:rPr>
        <w:t>nes</w:t>
      </w:r>
      <w:r w:rsidR="00523582" w:rsidRPr="002C4077">
        <w:t xml:space="preserve"> </w:t>
      </w:r>
      <w:r w:rsidR="00523582">
        <w:rPr>
          <w:rStyle w:val="pm"/>
        </w:rPr>
        <w:t>et</w:t>
      </w:r>
      <w:r w:rsidR="00523582" w:rsidRPr="002C4077">
        <w:t xml:space="preserve"> </w:t>
      </w:r>
      <w:r w:rsidR="00523582">
        <w:rPr>
          <w:rStyle w:val="pm"/>
        </w:rPr>
        <w:t>contemporaines,</w:t>
      </w:r>
      <w:r w:rsidR="00523582" w:rsidRPr="002C4077">
        <w:t xml:space="preserve"> </w:t>
      </w:r>
      <w:r w:rsidR="00523582">
        <w:rPr>
          <w:rStyle w:val="pm"/>
        </w:rPr>
        <w:t>destiné</w:t>
      </w:r>
      <w:r w:rsidR="00523582" w:rsidRPr="002C4077">
        <w:t xml:space="preserve"> </w:t>
      </w:r>
      <w:r w:rsidR="00523582">
        <w:rPr>
          <w:rStyle w:val="pm"/>
        </w:rPr>
        <w:t>à</w:t>
      </w:r>
      <w:r w:rsidRPr="002C4077">
        <w:t xml:space="preserve"> </w:t>
      </w:r>
      <w:r w:rsidRPr="00523582">
        <w:rPr>
          <w:rStyle w:val="pm"/>
        </w:rPr>
        <w:t>faciliter</w:t>
      </w:r>
      <w:r w:rsidRPr="002C4077">
        <w:t xml:space="preserve"> </w:t>
      </w:r>
      <w:r w:rsidRPr="00523582">
        <w:rPr>
          <w:rStyle w:val="pm"/>
        </w:rPr>
        <w:t>l’intelligence</w:t>
      </w:r>
      <w:r w:rsidRPr="002C4077">
        <w:t xml:space="preserve"> </w:t>
      </w:r>
      <w:r w:rsidRPr="00523582">
        <w:rPr>
          <w:rStyle w:val="pm"/>
        </w:rPr>
        <w:t>des</w:t>
      </w:r>
      <w:r w:rsidRPr="002C4077">
        <w:t xml:space="preserve"> </w:t>
      </w:r>
      <w:r w:rsidRPr="00523582">
        <w:rPr>
          <w:rStyle w:val="pm"/>
        </w:rPr>
        <w:t>saintes</w:t>
      </w:r>
      <w:r w:rsidRPr="002C4077">
        <w:t xml:space="preserve"> </w:t>
      </w:r>
      <w:r w:rsidRPr="00523582">
        <w:rPr>
          <w:rStyle w:val="pm"/>
        </w:rPr>
        <w:t>Écritures.</w:t>
      </w:r>
      <w:r w:rsidRPr="002C4077">
        <w:t xml:space="preserve"> </w:t>
      </w:r>
      <w:r w:rsidRPr="00523582">
        <w:t>Un</w:t>
      </w:r>
      <w:r w:rsidRPr="002C4077">
        <w:t xml:space="preserve"> </w:t>
      </w:r>
      <w:r w:rsidRPr="00523582">
        <w:t>vol.</w:t>
      </w:r>
      <w:r w:rsidRPr="002C4077">
        <w:t xml:space="preserve"> </w:t>
      </w:r>
      <w:r w:rsidRPr="00523582">
        <w:t>grand</w:t>
      </w:r>
      <w:r w:rsidRPr="002C4077">
        <w:t xml:space="preserve"> </w:t>
      </w:r>
      <w:r w:rsidRPr="00523582">
        <w:t>in-4°</w:t>
      </w:r>
      <w:r w:rsidRPr="002C4077">
        <w:t xml:space="preserve"> </w:t>
      </w:r>
      <w:r w:rsidRPr="00523582">
        <w:t>composé</w:t>
      </w:r>
      <w:r w:rsidRPr="002C4077">
        <w:t xml:space="preserve"> </w:t>
      </w:r>
      <w:r w:rsidRPr="00523582">
        <w:t>d’un</w:t>
      </w:r>
      <w:r w:rsidRPr="002C4077">
        <w:t xml:space="preserve"> </w:t>
      </w:r>
      <w:r w:rsidRPr="00523582">
        <w:t>texte</w:t>
      </w:r>
      <w:r w:rsidRPr="002C4077">
        <w:t xml:space="preserve"> </w:t>
      </w:r>
      <w:r w:rsidRPr="00523582">
        <w:t>explicatif</w:t>
      </w:r>
      <w:r w:rsidRPr="002C4077">
        <w:t xml:space="preserve"> </w:t>
      </w:r>
      <w:r w:rsidRPr="00523582">
        <w:t>et</w:t>
      </w:r>
      <w:r w:rsidRPr="002C4077">
        <w:t xml:space="preserve"> </w:t>
      </w:r>
      <w:r w:rsidRPr="00523582">
        <w:t>de</w:t>
      </w:r>
      <w:r w:rsidRPr="002C4077">
        <w:t xml:space="preserve"> </w:t>
      </w:r>
      <w:r w:rsidRPr="00523582">
        <w:t>900</w:t>
      </w:r>
      <w:r w:rsidRPr="002C4077">
        <w:t xml:space="preserve"> </w:t>
      </w:r>
      <w:r w:rsidRPr="00523582">
        <w:t>figures.</w:t>
      </w:r>
      <w:r w:rsidRPr="002C4077">
        <w:t xml:space="preserve"> </w:t>
      </w:r>
    </w:p>
    <w:p w:rsidR="000A7AAB" w:rsidRPr="00523582" w:rsidRDefault="000A7AAB" w:rsidP="00523582">
      <w:pPr>
        <w:pStyle w:val="centrum"/>
      </w:pPr>
      <w:r w:rsidRPr="00523582">
        <w:t>EN</w:t>
      </w:r>
      <w:r w:rsidRPr="002C4077">
        <w:t xml:space="preserve"> </w:t>
      </w:r>
      <w:r w:rsidRPr="00523582">
        <w:t>PRÉPARATION</w:t>
      </w:r>
      <w:r w:rsidR="00B546AF" w:rsidRPr="00523582">
        <w:t> :</w:t>
      </w:r>
      <w:r w:rsidRPr="002C4077">
        <w:t xml:space="preserve"> </w:t>
      </w:r>
    </w:p>
    <w:p w:rsidR="000A7AAB" w:rsidRPr="00523582" w:rsidRDefault="000A7AAB" w:rsidP="00523582">
      <w:pPr>
        <w:pStyle w:val="index1"/>
      </w:pPr>
      <w:r w:rsidRPr="00523582">
        <w:rPr>
          <w:rStyle w:val="pinguis"/>
        </w:rPr>
        <w:t>Évangile</w:t>
      </w:r>
      <w:r w:rsidRPr="002C4077">
        <w:t xml:space="preserve"> </w:t>
      </w:r>
      <w:r w:rsidRPr="00523582">
        <w:rPr>
          <w:rStyle w:val="pinguis"/>
        </w:rPr>
        <w:t>selon</w:t>
      </w:r>
      <w:r w:rsidRPr="002C4077">
        <w:t xml:space="preserve"> </w:t>
      </w:r>
      <w:r w:rsidRPr="00523582">
        <w:rPr>
          <w:rStyle w:val="pinguis"/>
        </w:rPr>
        <w:t>saint</w:t>
      </w:r>
      <w:r w:rsidRPr="002C4077">
        <w:t xml:space="preserve"> </w:t>
      </w:r>
      <w:r w:rsidRPr="00523582">
        <w:rPr>
          <w:rStyle w:val="pinguis"/>
        </w:rPr>
        <w:t>Jean.</w:t>
      </w:r>
      <w:r w:rsidRPr="002C4077">
        <w:t xml:space="preserve"> </w:t>
      </w:r>
      <w:r w:rsidRPr="00523582">
        <w:rPr>
          <w:rStyle w:val="pm"/>
        </w:rPr>
        <w:t>Introduction</w:t>
      </w:r>
      <w:r w:rsidRPr="002C4077">
        <w:t xml:space="preserve"> </w:t>
      </w:r>
      <w:r w:rsidRPr="00523582">
        <w:rPr>
          <w:rStyle w:val="pm"/>
        </w:rPr>
        <w:t>critique</w:t>
      </w:r>
      <w:r w:rsidRPr="002C4077">
        <w:t xml:space="preserve"> </w:t>
      </w:r>
      <w:r w:rsidRPr="00523582">
        <w:rPr>
          <w:rStyle w:val="pm"/>
        </w:rPr>
        <w:t>et</w:t>
      </w:r>
      <w:r w:rsidRPr="002C4077">
        <w:t xml:space="preserve"> </w:t>
      </w:r>
      <w:r w:rsidRPr="00523582">
        <w:rPr>
          <w:rStyle w:val="pm"/>
        </w:rPr>
        <w:t>commentaires.</w:t>
      </w:r>
      <w:r w:rsidRPr="002C4077">
        <w:t xml:space="preserve"> </w:t>
      </w:r>
      <w:r w:rsidRPr="00523582">
        <w:t>Un</w:t>
      </w:r>
      <w:r w:rsidRPr="002C4077">
        <w:t xml:space="preserve"> </w:t>
      </w:r>
      <w:r w:rsidRPr="00523582">
        <w:t>vol.</w:t>
      </w:r>
      <w:r w:rsidRPr="002C4077">
        <w:t xml:space="preserve"> </w:t>
      </w:r>
      <w:r w:rsidRPr="00523582">
        <w:t>grand</w:t>
      </w:r>
      <w:r w:rsidRPr="002C4077">
        <w:t xml:space="preserve"> </w:t>
      </w:r>
      <w:r w:rsidRPr="00523582">
        <w:t>in-8°</w:t>
      </w:r>
      <w:r w:rsidRPr="002C4077">
        <w:t xml:space="preserve"> </w:t>
      </w:r>
      <w:r w:rsidRPr="00523582">
        <w:t>d’environ</w:t>
      </w:r>
      <w:r w:rsidRPr="002C4077">
        <w:t xml:space="preserve"> </w:t>
      </w:r>
      <w:r w:rsidRPr="00523582">
        <w:t>500</w:t>
      </w:r>
      <w:r w:rsidRPr="002C4077">
        <w:t xml:space="preserve"> </w:t>
      </w:r>
      <w:r w:rsidRPr="00523582">
        <w:t>pages.</w:t>
      </w:r>
      <w:r w:rsidRPr="002C4077">
        <w:t xml:space="preserve"> </w:t>
      </w:r>
    </w:p>
    <w:p w:rsidR="000A7AAB" w:rsidRDefault="000A7AAB" w:rsidP="000A7AAB"/>
    <w:p w:rsidR="00C1392E" w:rsidRPr="001077D9" w:rsidRDefault="00C1392E" w:rsidP="00C1392E">
      <w:pPr>
        <w:pStyle w:val="u3"/>
      </w:pPr>
      <w:r w:rsidRPr="001077D9">
        <w:t xml:space="preserve">Averstissement de la présente édition. </w:t>
      </w:r>
    </w:p>
    <w:p w:rsidR="00C1392E" w:rsidRDefault="00C1392E" w:rsidP="000A7AAB">
      <w:r>
        <w:t>Les numéros de page de l’édition originale sont indiqués entre accolades. Les numéros entre crochets renvoient à cette même édition.</w:t>
      </w:r>
    </w:p>
    <w:p w:rsidR="00C1392E" w:rsidRDefault="00C1392E" w:rsidP="000A7AAB"/>
    <w:p w:rsidR="00C1392E" w:rsidRDefault="00C1392E" w:rsidP="000A7AAB"/>
    <w:p w:rsidR="000A7AAB" w:rsidRPr="005771DB" w:rsidRDefault="000A7AAB" w:rsidP="005771DB">
      <w:pPr>
        <w:pStyle w:val="centrum"/>
      </w:pPr>
      <w:r w:rsidRPr="005771DB">
        <w:t>ESSAIS</w:t>
      </w:r>
      <w:r w:rsidRPr="002C4077">
        <w:t xml:space="preserve"> </w:t>
      </w:r>
      <w:r w:rsidRPr="005771DB">
        <w:t>D’EXÉGÈSE</w:t>
      </w:r>
      <w:r w:rsidRPr="002C4077">
        <w:t xml:space="preserve"> </w:t>
      </w:r>
    </w:p>
    <w:p w:rsidR="000A7AAB" w:rsidRPr="005771DB" w:rsidRDefault="000A7AAB" w:rsidP="005771DB">
      <w:pPr>
        <w:pStyle w:val="centrum"/>
      </w:pPr>
      <w:r w:rsidRPr="005771DB">
        <w:t>EXPOSITION,</w:t>
      </w:r>
      <w:r w:rsidRPr="002C4077">
        <w:t xml:space="preserve"> </w:t>
      </w:r>
      <w:r w:rsidRPr="005771DB">
        <w:t>RÉFUTATION,</w:t>
      </w:r>
      <w:r w:rsidRPr="002C4077">
        <w:t xml:space="preserve"> </w:t>
      </w:r>
      <w:r w:rsidRPr="005771DB">
        <w:t>CRITIQUE</w:t>
      </w:r>
      <w:r w:rsidRPr="002C4077">
        <w:t xml:space="preserve"> </w:t>
      </w:r>
      <w:r w:rsidRPr="005771DB">
        <w:t>MŒURS</w:t>
      </w:r>
      <w:r w:rsidRPr="002C4077">
        <w:t xml:space="preserve"> </w:t>
      </w:r>
      <w:r w:rsidRPr="005771DB">
        <w:t>JUIVES,</w:t>
      </w:r>
      <w:r w:rsidRPr="002C4077">
        <w:t xml:space="preserve"> </w:t>
      </w:r>
      <w:r w:rsidRPr="005771DB">
        <w:t>ETC.</w:t>
      </w:r>
      <w:r w:rsidRPr="002C4077">
        <w:t xml:space="preserve"> </w:t>
      </w:r>
    </w:p>
    <w:p w:rsidR="000A7AAB" w:rsidRPr="005771DB" w:rsidRDefault="000A7AAB" w:rsidP="005771DB">
      <w:pPr>
        <w:pStyle w:val="centrum"/>
      </w:pPr>
      <w:r w:rsidRPr="005771DB">
        <w:t>par</w:t>
      </w:r>
      <w:r w:rsidRPr="002C4077">
        <w:t xml:space="preserve"> </w:t>
      </w:r>
    </w:p>
    <w:p w:rsidR="000A7AAB" w:rsidRPr="005771DB" w:rsidRDefault="000A7AAB" w:rsidP="005771DB">
      <w:pPr>
        <w:pStyle w:val="centrum"/>
      </w:pPr>
      <w:r w:rsidRPr="005771DB">
        <w:t>M.</w:t>
      </w:r>
      <w:r w:rsidRPr="002C4077">
        <w:t xml:space="preserve"> </w:t>
      </w:r>
      <w:r w:rsidRPr="005771DB">
        <w:t>L.-CL.</w:t>
      </w:r>
      <w:r w:rsidRPr="002C4077">
        <w:t xml:space="preserve"> </w:t>
      </w:r>
      <w:r w:rsidRPr="005771DB">
        <w:t>FILLION</w:t>
      </w:r>
      <w:r w:rsidRPr="002C4077">
        <w:t xml:space="preserve"> </w:t>
      </w:r>
    </w:p>
    <w:p w:rsidR="000A7AAB" w:rsidRPr="005771DB" w:rsidRDefault="00425C50" w:rsidP="005771DB">
      <w:pPr>
        <w:pStyle w:val="centrum"/>
      </w:pPr>
      <w:r w:rsidRPr="005771DB">
        <w:t>p</w:t>
      </w:r>
      <w:r>
        <w:t>rêtre</w:t>
      </w:r>
      <w:r w:rsidR="000A7AAB" w:rsidRPr="002C4077">
        <w:t xml:space="preserve"> </w:t>
      </w:r>
      <w:r w:rsidR="000A7AAB" w:rsidRPr="005771DB">
        <w:t>de</w:t>
      </w:r>
      <w:r w:rsidR="000A7AAB" w:rsidRPr="002C4077">
        <w:t xml:space="preserve"> </w:t>
      </w:r>
      <w:r w:rsidR="005771DB" w:rsidRPr="005771DB">
        <w:t>Saint-Sulpice</w:t>
      </w:r>
      <w:r w:rsidR="000A7AAB" w:rsidRPr="002C4077">
        <w:t xml:space="preserve"> </w:t>
      </w:r>
      <w:r w:rsidR="000A7AAB" w:rsidRPr="005771DB">
        <w:t>professeur</w:t>
      </w:r>
      <w:r w:rsidR="000A7AAB" w:rsidRPr="002C4077">
        <w:t xml:space="preserve"> </w:t>
      </w:r>
      <w:r w:rsidR="000A7AAB" w:rsidRPr="005771DB">
        <w:t>d’écriture</w:t>
      </w:r>
      <w:r w:rsidR="000A7AAB" w:rsidRPr="002C4077">
        <w:t xml:space="preserve"> </w:t>
      </w:r>
      <w:r w:rsidR="000A7AAB" w:rsidRPr="005771DB">
        <w:t>sainte</w:t>
      </w:r>
      <w:r w:rsidR="000A7AAB" w:rsidRPr="002C4077">
        <w:t xml:space="preserve"> </w:t>
      </w:r>
      <w:r w:rsidR="000A7AAB" w:rsidRPr="005771DB">
        <w:t>au</w:t>
      </w:r>
      <w:r w:rsidR="000A7AAB" w:rsidRPr="002C4077">
        <w:t xml:space="preserve"> </w:t>
      </w:r>
      <w:r w:rsidR="000A7AAB" w:rsidRPr="005771DB">
        <w:t>grand</w:t>
      </w:r>
      <w:r w:rsidR="000A7AAB" w:rsidRPr="002C4077">
        <w:t xml:space="preserve"> </w:t>
      </w:r>
      <w:r w:rsidR="000A7AAB" w:rsidRPr="005771DB">
        <w:t>séminaire</w:t>
      </w:r>
      <w:r w:rsidR="000A7AAB" w:rsidRPr="002C4077">
        <w:t xml:space="preserve"> </w:t>
      </w:r>
      <w:r w:rsidR="000A7AAB" w:rsidRPr="005771DB">
        <w:t>de</w:t>
      </w:r>
      <w:r w:rsidR="000A7AAB" w:rsidRPr="002C4077">
        <w:t xml:space="preserve"> </w:t>
      </w:r>
      <w:r w:rsidR="005771DB" w:rsidRPr="005771DB">
        <w:t>Lyon</w:t>
      </w:r>
      <w:r w:rsidR="000A7AAB" w:rsidRPr="002C4077">
        <w:t xml:space="preserve"> </w:t>
      </w:r>
    </w:p>
    <w:p w:rsidR="000A7AAB" w:rsidRPr="00170E22" w:rsidRDefault="000A7AAB" w:rsidP="005771DB">
      <w:pPr>
        <w:pStyle w:val="centrum"/>
        <w:rPr>
          <w:rStyle w:val="italicus"/>
        </w:rPr>
      </w:pPr>
      <w:r w:rsidRPr="00170E22">
        <w:rPr>
          <w:rStyle w:val="italicus"/>
        </w:rPr>
        <w:t xml:space="preserve">Nova et </w:t>
      </w:r>
      <w:r w:rsidR="005771DB" w:rsidRPr="00170E22">
        <w:rPr>
          <w:rStyle w:val="italicus"/>
        </w:rPr>
        <w:t>Vétera</w:t>
      </w:r>
      <w:r w:rsidRPr="00170E22">
        <w:rPr>
          <w:rStyle w:val="italicus"/>
        </w:rPr>
        <w:t xml:space="preserve"> </w:t>
      </w:r>
    </w:p>
    <w:p w:rsidR="000A7AAB" w:rsidRPr="005771DB" w:rsidRDefault="000A7AAB" w:rsidP="005771DB">
      <w:pPr>
        <w:pStyle w:val="centrum"/>
      </w:pPr>
      <w:r w:rsidRPr="005771DB">
        <w:t>LIBRAIRIE</w:t>
      </w:r>
      <w:r w:rsidRPr="002C4077">
        <w:t xml:space="preserve"> </w:t>
      </w:r>
      <w:r w:rsidRPr="005771DB">
        <w:t>B</w:t>
      </w:r>
      <w:r w:rsidR="00037453">
        <w:t>RIDAY</w:t>
      </w:r>
      <w:r w:rsidRPr="002C4077">
        <w:t xml:space="preserve"> </w:t>
      </w:r>
    </w:p>
    <w:p w:rsidR="000A7AAB" w:rsidRPr="005771DB" w:rsidRDefault="000A7AAB" w:rsidP="005771DB">
      <w:pPr>
        <w:pStyle w:val="centrum"/>
      </w:pPr>
      <w:r w:rsidRPr="005771DB">
        <w:t>DELHOMME</w:t>
      </w:r>
      <w:r w:rsidRPr="002C4077">
        <w:t xml:space="preserve"> </w:t>
      </w:r>
      <w:r w:rsidRPr="005771DB">
        <w:t>ET</w:t>
      </w:r>
      <w:r w:rsidRPr="002C4077">
        <w:t xml:space="preserve"> </w:t>
      </w:r>
      <w:r w:rsidRPr="005771DB">
        <w:t>BRIGUET,</w:t>
      </w:r>
      <w:r w:rsidRPr="002C4077">
        <w:t xml:space="preserve"> </w:t>
      </w:r>
      <w:r w:rsidR="00170E22">
        <w:t>Successeurs</w:t>
      </w:r>
    </w:p>
    <w:p w:rsidR="000A7AAB" w:rsidRPr="005771DB" w:rsidRDefault="005771DB" w:rsidP="005771DB">
      <w:pPr>
        <w:pStyle w:val="centrum"/>
      </w:pPr>
      <w:r w:rsidRPr="005771DB">
        <w:t>Lyon</w:t>
      </w:r>
      <w:r w:rsidR="000A7AAB" w:rsidRPr="002C4077">
        <w:t xml:space="preserve"> </w:t>
      </w:r>
    </w:p>
    <w:p w:rsidR="000A7AAB" w:rsidRDefault="00037453" w:rsidP="005771DB">
      <w:pPr>
        <w:pStyle w:val="centrum"/>
      </w:pPr>
      <w:r>
        <w:t>3</w:t>
      </w:r>
      <w:r w:rsidR="000A7AAB" w:rsidRPr="005771DB">
        <w:t>,</w:t>
      </w:r>
      <w:r w:rsidR="000A7AAB" w:rsidRPr="002C4077">
        <w:t xml:space="preserve"> </w:t>
      </w:r>
      <w:r w:rsidR="000A7AAB" w:rsidRPr="005771DB">
        <w:t>Avenue</w:t>
      </w:r>
      <w:r w:rsidR="000A7AAB" w:rsidRPr="002C4077">
        <w:t xml:space="preserve"> </w:t>
      </w:r>
      <w:r w:rsidR="000A7AAB" w:rsidRPr="005771DB">
        <w:t>de</w:t>
      </w:r>
      <w:r w:rsidR="000A7AAB" w:rsidRPr="002C4077">
        <w:t xml:space="preserve"> </w:t>
      </w:r>
      <w:r w:rsidR="000A7AAB" w:rsidRPr="005771DB">
        <w:t>l’Archevêché,</w:t>
      </w:r>
      <w:r w:rsidR="000A7AAB" w:rsidRPr="002C4077">
        <w:t xml:space="preserve"> </w:t>
      </w:r>
      <w:r w:rsidR="000A7AAB" w:rsidRPr="005771DB">
        <w:t>3</w:t>
      </w:r>
      <w:r w:rsidR="000A7AAB" w:rsidRPr="002C4077">
        <w:t xml:space="preserve"> </w:t>
      </w:r>
    </w:p>
    <w:p w:rsidR="00037453" w:rsidRDefault="00037453" w:rsidP="005771DB">
      <w:pPr>
        <w:pStyle w:val="centrum"/>
      </w:pPr>
      <w:r>
        <w:t>Paris</w:t>
      </w:r>
      <w:r w:rsidRPr="002C4077">
        <w:t xml:space="preserve"> </w:t>
      </w:r>
    </w:p>
    <w:p w:rsidR="00037453" w:rsidRPr="005771DB" w:rsidRDefault="00037453" w:rsidP="005771DB">
      <w:pPr>
        <w:pStyle w:val="centrum"/>
      </w:pPr>
      <w:r>
        <w:t>13,</w:t>
      </w:r>
      <w:r w:rsidRPr="002C4077">
        <w:t xml:space="preserve"> </w:t>
      </w:r>
      <w:r>
        <w:t>rue</w:t>
      </w:r>
      <w:r w:rsidRPr="002C4077">
        <w:t xml:space="preserve"> </w:t>
      </w:r>
      <w:r>
        <w:t>de</w:t>
      </w:r>
      <w:r w:rsidRPr="002C4077">
        <w:t xml:space="preserve"> </w:t>
      </w:r>
      <w:r>
        <w:t>l’Abbaye,</w:t>
      </w:r>
      <w:r w:rsidRPr="002C4077">
        <w:t xml:space="preserve"> </w:t>
      </w:r>
      <w:r>
        <w:t>13</w:t>
      </w:r>
      <w:r w:rsidRPr="002C4077">
        <w:t xml:space="preserve"> </w:t>
      </w:r>
    </w:p>
    <w:p w:rsidR="000A7AAB" w:rsidRDefault="000A7AAB" w:rsidP="000A7AAB"/>
    <w:p w:rsidR="000A7AAB" w:rsidRDefault="000A7AAB" w:rsidP="000A7AAB">
      <w:r>
        <w:t>Imp</w:t>
      </w:r>
      <w:r w:rsidR="003B53FD">
        <w:t>rimátur</w:t>
      </w:r>
      <w:r>
        <w:t>.</w:t>
      </w:r>
      <w:r w:rsidRPr="002C4077">
        <w:t xml:space="preserve"> </w:t>
      </w:r>
    </w:p>
    <w:p w:rsidR="000A7AAB" w:rsidRDefault="005771DB" w:rsidP="000A7AAB">
      <w:r>
        <w:t>Lugdúni</w:t>
      </w:r>
      <w:r w:rsidR="000A7AAB">
        <w:t>,</w:t>
      </w:r>
      <w:r w:rsidR="000A7AAB" w:rsidRPr="002C4077">
        <w:t xml:space="preserve"> </w:t>
      </w:r>
      <w:r w:rsidR="000A7AAB">
        <w:t>29</w:t>
      </w:r>
      <w:r w:rsidR="000A7AAB" w:rsidRPr="002C4077">
        <w:t xml:space="preserve"> </w:t>
      </w:r>
      <w:r>
        <w:t>maji</w:t>
      </w:r>
      <w:r w:rsidR="000A7AAB" w:rsidRPr="002C4077">
        <w:t xml:space="preserve"> </w:t>
      </w:r>
      <w:r w:rsidR="000A7AAB">
        <w:t>1884.</w:t>
      </w:r>
      <w:r w:rsidR="000A7AAB" w:rsidRPr="002C4077">
        <w:t xml:space="preserve"> </w:t>
      </w:r>
    </w:p>
    <w:p w:rsidR="000A7AAB" w:rsidRDefault="005771DB" w:rsidP="000A7AAB">
      <w:r w:rsidRPr="007F47B8">
        <w:t>†</w:t>
      </w:r>
      <w:r w:rsidR="000A7AAB" w:rsidRPr="007F47B8">
        <w:t xml:space="preserve"> L. M. Card. </w:t>
      </w:r>
      <w:r w:rsidR="00C577F1" w:rsidRPr="007F47B8">
        <w:t>Caverot</w:t>
      </w:r>
      <w:r w:rsidR="000A7AAB" w:rsidRPr="007F47B8">
        <w:t>, A</w:t>
      </w:r>
      <w:r w:rsidR="000A7AAB" w:rsidRPr="007F47B8">
        <w:rPr>
          <w:smallCaps/>
        </w:rPr>
        <w:t>rch</w:t>
      </w:r>
      <w:r w:rsidR="000A7AAB" w:rsidRPr="007F47B8">
        <w:t xml:space="preserve">. </w:t>
      </w:r>
      <w:r w:rsidR="000A7AAB">
        <w:t>Lugd.</w:t>
      </w:r>
      <w:r w:rsidR="000A7AAB" w:rsidRPr="002C4077">
        <w:t xml:space="preserve"> </w:t>
      </w:r>
    </w:p>
    <w:p w:rsidR="000A7AAB" w:rsidRDefault="000A7AAB" w:rsidP="001F2F80">
      <w:pPr>
        <w:pStyle w:val="Titre2"/>
      </w:pPr>
      <w:bookmarkStart w:id="0" w:name="_Toc43881998"/>
      <w:r>
        <w:t>SOMMAIRE.</w:t>
      </w:r>
      <w:bookmarkStart w:id="1" w:name="a_sum"/>
      <w:bookmarkEnd w:id="0"/>
      <w:bookmarkEnd w:id="1"/>
      <w:r w:rsidRPr="002C4077">
        <w:t xml:space="preserve"> </w:t>
      </w:r>
    </w:p>
    <w:p w:rsidR="009D58B1" w:rsidRDefault="009D58B1" w:rsidP="00A877C4">
      <w:pPr>
        <w:pStyle w:val="sy2"/>
      </w:pPr>
      <w:r>
        <w:t>Avant-propos</w:t>
      </w:r>
      <w:r>
        <w:tab/>
      </w:r>
      <w:r w:rsidR="003A700C">
        <w:fldChar w:fldCharType="begin"/>
      </w:r>
      <w:r>
        <w:instrText xml:space="preserve"> PAGEREF a_praef \h </w:instrText>
      </w:r>
      <w:r w:rsidR="003A700C">
        <w:fldChar w:fldCharType="separate"/>
      </w:r>
      <w:r>
        <w:rPr>
          <w:noProof/>
        </w:rPr>
        <w:t>3</w:t>
      </w:r>
      <w:r w:rsidR="003A700C">
        <w:fldChar w:fldCharType="end"/>
      </w:r>
    </w:p>
    <w:p w:rsidR="00A877C4" w:rsidRDefault="0024433F" w:rsidP="00A877C4">
      <w:pPr>
        <w:pStyle w:val="sy2"/>
      </w:pPr>
      <w:r>
        <w:t>I.</w:t>
      </w:r>
      <w:r w:rsidRPr="002C4077">
        <w:t xml:space="preserve"> </w:t>
      </w:r>
      <w:r w:rsidR="00D40830">
        <w:t>La</w:t>
      </w:r>
      <w:r w:rsidR="00D40830" w:rsidRPr="002C4077">
        <w:t xml:space="preserve"> </w:t>
      </w:r>
      <w:r w:rsidR="00D40830">
        <w:t>Prophétie</w:t>
      </w:r>
      <w:r w:rsidR="00D40830" w:rsidRPr="002C4077">
        <w:t xml:space="preserve"> </w:t>
      </w:r>
      <w:r w:rsidR="00D40830">
        <w:t>de</w:t>
      </w:r>
      <w:r w:rsidR="00D40830" w:rsidRPr="002C4077">
        <w:t xml:space="preserve"> </w:t>
      </w:r>
      <w:r w:rsidR="00D40830">
        <w:t>la</w:t>
      </w:r>
      <w:r w:rsidR="00D40830" w:rsidRPr="002C4077">
        <w:t xml:space="preserve"> </w:t>
      </w:r>
      <w:r w:rsidR="00D40830">
        <w:t>Vierge</w:t>
      </w:r>
      <w:r w:rsidR="00D40830" w:rsidRPr="002C4077">
        <w:t xml:space="preserve"> </w:t>
      </w:r>
      <w:r w:rsidR="00D40830">
        <w:t>Mère</w:t>
      </w:r>
      <w:r w:rsidR="00D40830" w:rsidRPr="002C4077">
        <w:t xml:space="preserve"> </w:t>
      </w:r>
      <w:r w:rsidR="00D40830">
        <w:t>et</w:t>
      </w:r>
      <w:r w:rsidR="00D40830" w:rsidRPr="002C4077">
        <w:t xml:space="preserve"> </w:t>
      </w:r>
      <w:r w:rsidR="00D40830">
        <w:t>d’Emmanuel</w:t>
      </w:r>
      <w:r w:rsidR="00A877C4">
        <w:tab/>
      </w:r>
      <w:r w:rsidR="003A700C">
        <w:fldChar w:fldCharType="begin"/>
      </w:r>
      <w:r w:rsidR="00BB1CEC">
        <w:instrText xml:space="preserve"> PAGEREF a01 \h </w:instrText>
      </w:r>
      <w:r w:rsidR="003A700C">
        <w:fldChar w:fldCharType="separate"/>
      </w:r>
      <w:r w:rsidR="009D58B1">
        <w:rPr>
          <w:noProof/>
        </w:rPr>
        <w:t>4</w:t>
      </w:r>
      <w:r w:rsidR="003A700C">
        <w:fldChar w:fldCharType="end"/>
      </w:r>
      <w:r w:rsidR="00A877C4" w:rsidRPr="002C4077">
        <w:t xml:space="preserve"> </w:t>
      </w:r>
    </w:p>
    <w:p w:rsidR="00A877C4" w:rsidRDefault="0024433F" w:rsidP="00A877C4">
      <w:pPr>
        <w:pStyle w:val="sy3"/>
      </w:pPr>
      <w:r>
        <w:t>1.</w:t>
      </w:r>
      <w:r w:rsidRPr="002C4077">
        <w:t xml:space="preserve"> </w:t>
      </w:r>
      <w:r w:rsidR="00D40830">
        <w:t>Les</w:t>
      </w:r>
      <w:r w:rsidR="00D40830" w:rsidRPr="002C4077">
        <w:t xml:space="preserve"> </w:t>
      </w:r>
      <w:r w:rsidR="00D40830">
        <w:t>préliminaires</w:t>
      </w:r>
      <w:r w:rsidR="00A877C4">
        <w:tab/>
      </w:r>
      <w:r w:rsidR="003A700C">
        <w:fldChar w:fldCharType="begin"/>
      </w:r>
      <w:r w:rsidR="00BB1CEC">
        <w:instrText xml:space="preserve"> PAGEREF a0101 \h </w:instrText>
      </w:r>
      <w:r w:rsidR="003A700C">
        <w:fldChar w:fldCharType="separate"/>
      </w:r>
      <w:r w:rsidR="009D58B1">
        <w:rPr>
          <w:noProof/>
        </w:rPr>
        <w:t>4</w:t>
      </w:r>
      <w:r w:rsidR="003A700C">
        <w:fldChar w:fldCharType="end"/>
      </w:r>
      <w:r w:rsidR="00A877C4" w:rsidRPr="002C4077">
        <w:t xml:space="preserve"> </w:t>
      </w:r>
    </w:p>
    <w:p w:rsidR="00A877C4" w:rsidRDefault="0024433F" w:rsidP="00A877C4">
      <w:pPr>
        <w:pStyle w:val="sy3"/>
      </w:pPr>
      <w:r>
        <w:t>2.</w:t>
      </w:r>
      <w:r w:rsidRPr="002C4077">
        <w:t xml:space="preserve"> </w:t>
      </w:r>
      <w:r w:rsidR="00A877C4">
        <w:t>L’oracle</w:t>
      </w:r>
      <w:r w:rsidR="00A877C4" w:rsidRPr="002C4077">
        <w:t xml:space="preserve"> </w:t>
      </w:r>
      <w:r w:rsidR="00A877C4">
        <w:tab/>
      </w:r>
      <w:r w:rsidR="003A700C">
        <w:fldChar w:fldCharType="begin"/>
      </w:r>
      <w:r w:rsidR="00BB1CEC">
        <w:instrText xml:space="preserve"> PAGEREF a0102 \h </w:instrText>
      </w:r>
      <w:r w:rsidR="003A700C">
        <w:fldChar w:fldCharType="separate"/>
      </w:r>
      <w:r w:rsidR="009D58B1">
        <w:rPr>
          <w:noProof/>
        </w:rPr>
        <w:t>9</w:t>
      </w:r>
      <w:r w:rsidR="003A700C">
        <w:fldChar w:fldCharType="end"/>
      </w:r>
      <w:r w:rsidR="00A877C4" w:rsidRPr="002C4077">
        <w:t xml:space="preserve"> </w:t>
      </w:r>
    </w:p>
    <w:p w:rsidR="00A877C4" w:rsidRDefault="0024433F" w:rsidP="00A877C4">
      <w:pPr>
        <w:pStyle w:val="sy3"/>
      </w:pPr>
      <w:r>
        <w:t>3.</w:t>
      </w:r>
      <w:r w:rsidRPr="002C4077">
        <w:t xml:space="preserve"> </w:t>
      </w:r>
      <w:r w:rsidR="00D40830">
        <w:t>Qui</w:t>
      </w:r>
      <w:r w:rsidR="00D40830" w:rsidRPr="002C4077">
        <w:t xml:space="preserve"> </w:t>
      </w:r>
      <w:r w:rsidR="00425C50">
        <w:t>est</w:t>
      </w:r>
      <w:r w:rsidR="00D40830" w:rsidRPr="002C4077">
        <w:t xml:space="preserve"> </w:t>
      </w:r>
      <w:r w:rsidR="00D40830">
        <w:t>Emmanuel</w:t>
      </w:r>
      <w:r w:rsidR="00B546AF">
        <w:t> ?</w:t>
      </w:r>
      <w:r w:rsidR="00A877C4">
        <w:tab/>
      </w:r>
      <w:r w:rsidR="003A700C">
        <w:fldChar w:fldCharType="begin"/>
      </w:r>
      <w:r w:rsidR="00BB1CEC">
        <w:instrText xml:space="preserve"> PAGEREF a0103 \h </w:instrText>
      </w:r>
      <w:r w:rsidR="003A700C">
        <w:fldChar w:fldCharType="separate"/>
      </w:r>
      <w:r w:rsidR="009D58B1">
        <w:rPr>
          <w:noProof/>
        </w:rPr>
        <w:t>12</w:t>
      </w:r>
      <w:r w:rsidR="003A700C">
        <w:fldChar w:fldCharType="end"/>
      </w:r>
      <w:r w:rsidR="00A877C4" w:rsidRPr="002C4077">
        <w:t xml:space="preserve"> </w:t>
      </w:r>
    </w:p>
    <w:p w:rsidR="00A877C4" w:rsidRDefault="0024433F" w:rsidP="00A877C4">
      <w:pPr>
        <w:pStyle w:val="sy3"/>
      </w:pPr>
      <w:r>
        <w:t>4.</w:t>
      </w:r>
      <w:r w:rsidRPr="002C4077">
        <w:t xml:space="preserve"> </w:t>
      </w:r>
      <w:r w:rsidR="00D40830">
        <w:t>L’῾almah</w:t>
      </w:r>
      <w:r w:rsidR="00A877C4">
        <w:tab/>
      </w:r>
      <w:r w:rsidR="003A700C">
        <w:fldChar w:fldCharType="begin"/>
      </w:r>
      <w:r w:rsidR="00BB1CEC">
        <w:instrText xml:space="preserve"> PAGEREF a0104 \h </w:instrText>
      </w:r>
      <w:r w:rsidR="003A700C">
        <w:fldChar w:fldCharType="separate"/>
      </w:r>
      <w:r w:rsidR="009D58B1">
        <w:rPr>
          <w:noProof/>
        </w:rPr>
        <w:t>17</w:t>
      </w:r>
      <w:r w:rsidR="003A700C">
        <w:fldChar w:fldCharType="end"/>
      </w:r>
      <w:r w:rsidR="00A877C4" w:rsidRPr="002C4077">
        <w:t xml:space="preserve"> </w:t>
      </w:r>
    </w:p>
    <w:p w:rsidR="00A877C4" w:rsidRDefault="0024433F" w:rsidP="00A877C4">
      <w:pPr>
        <w:pStyle w:val="sy3"/>
      </w:pPr>
      <w:r>
        <w:t>5.</w:t>
      </w:r>
      <w:r w:rsidRPr="002C4077">
        <w:t xml:space="preserve"> </w:t>
      </w:r>
      <w:r w:rsidR="00D40830">
        <w:t>Le</w:t>
      </w:r>
      <w:r w:rsidR="00D40830" w:rsidRPr="002C4077">
        <w:t xml:space="preserve"> </w:t>
      </w:r>
      <w:r w:rsidR="00D40830">
        <w:t>signe</w:t>
      </w:r>
      <w:r w:rsidR="00D40830" w:rsidRPr="002C4077">
        <w:t xml:space="preserve"> </w:t>
      </w:r>
      <w:r w:rsidR="00D40830">
        <w:t>et</w:t>
      </w:r>
      <w:r w:rsidR="00D40830" w:rsidRPr="002C4077">
        <w:t xml:space="preserve"> </w:t>
      </w:r>
      <w:r w:rsidR="00D40830">
        <w:t>son</w:t>
      </w:r>
      <w:r w:rsidR="00D40830" w:rsidRPr="002C4077">
        <w:t xml:space="preserve"> </w:t>
      </w:r>
      <w:r w:rsidR="00D40830">
        <w:t>accomplissement</w:t>
      </w:r>
      <w:r w:rsidR="00D40830" w:rsidRPr="002C4077">
        <w:t xml:space="preserve"> </w:t>
      </w:r>
      <w:r w:rsidR="00D40830">
        <w:t>tardif</w:t>
      </w:r>
      <w:r w:rsidR="00A877C4">
        <w:tab/>
      </w:r>
      <w:r w:rsidR="003A700C">
        <w:fldChar w:fldCharType="begin"/>
      </w:r>
      <w:r w:rsidR="00BB1CEC">
        <w:instrText xml:space="preserve"> PAGEREF a0105 \h </w:instrText>
      </w:r>
      <w:r w:rsidR="003A700C">
        <w:fldChar w:fldCharType="separate"/>
      </w:r>
      <w:r w:rsidR="009D58B1">
        <w:rPr>
          <w:noProof/>
        </w:rPr>
        <w:t>33</w:t>
      </w:r>
      <w:r w:rsidR="003A700C">
        <w:fldChar w:fldCharType="end"/>
      </w:r>
      <w:r w:rsidR="00A877C4" w:rsidRPr="002C4077">
        <w:t xml:space="preserve"> </w:t>
      </w:r>
    </w:p>
    <w:p w:rsidR="00A877C4" w:rsidRDefault="0024433F" w:rsidP="00A877C4">
      <w:pPr>
        <w:pStyle w:val="sy2"/>
      </w:pPr>
      <w:r>
        <w:t>II.</w:t>
      </w:r>
      <w:r w:rsidRPr="002C4077">
        <w:t xml:space="preserve"> </w:t>
      </w:r>
      <w:r w:rsidR="00D40830">
        <w:t>L’Ange</w:t>
      </w:r>
      <w:r w:rsidR="00D40830" w:rsidRPr="002C4077">
        <w:t xml:space="preserve"> </w:t>
      </w:r>
      <w:r w:rsidR="00D40830">
        <w:t>et</w:t>
      </w:r>
      <w:r w:rsidR="00D40830" w:rsidRPr="002C4077">
        <w:t xml:space="preserve"> </w:t>
      </w:r>
      <w:r w:rsidR="00D40830">
        <w:t>la</w:t>
      </w:r>
      <w:r w:rsidR="00D40830" w:rsidRPr="002C4077">
        <w:t xml:space="preserve"> </w:t>
      </w:r>
      <w:r w:rsidR="00D40830">
        <w:t>Sueur</w:t>
      </w:r>
      <w:r w:rsidR="00D40830" w:rsidRPr="002C4077">
        <w:t xml:space="preserve"> </w:t>
      </w:r>
      <w:r w:rsidR="00D40830">
        <w:t>de</w:t>
      </w:r>
      <w:r w:rsidR="00D40830" w:rsidRPr="002C4077">
        <w:t xml:space="preserve"> </w:t>
      </w:r>
      <w:r w:rsidR="00D40830">
        <w:t>sang</w:t>
      </w:r>
      <w:r w:rsidR="00D40830" w:rsidRPr="002C4077">
        <w:t xml:space="preserve"> </w:t>
      </w:r>
      <w:r w:rsidR="00D40830">
        <w:t>à</w:t>
      </w:r>
      <w:r w:rsidR="00D40830" w:rsidRPr="002C4077">
        <w:t xml:space="preserve"> </w:t>
      </w:r>
      <w:r w:rsidR="00D40830">
        <w:t>Gethsémani</w:t>
      </w:r>
      <w:r w:rsidR="00A877C4">
        <w:tab/>
      </w:r>
      <w:r w:rsidR="003A700C">
        <w:fldChar w:fldCharType="begin"/>
      </w:r>
      <w:r w:rsidR="00BB1CEC">
        <w:instrText xml:space="preserve"> PAGEREF a02 \h </w:instrText>
      </w:r>
      <w:r w:rsidR="003A700C">
        <w:fldChar w:fldCharType="separate"/>
      </w:r>
      <w:r w:rsidR="009D58B1">
        <w:rPr>
          <w:noProof/>
        </w:rPr>
        <w:t>42</w:t>
      </w:r>
      <w:r w:rsidR="003A700C">
        <w:fldChar w:fldCharType="end"/>
      </w:r>
      <w:r w:rsidR="00A877C4" w:rsidRPr="002C4077">
        <w:t xml:space="preserve"> </w:t>
      </w:r>
    </w:p>
    <w:p w:rsidR="00A877C4" w:rsidRDefault="0024433F" w:rsidP="00A877C4">
      <w:pPr>
        <w:pStyle w:val="sy3"/>
      </w:pPr>
      <w:r>
        <w:t>1.</w:t>
      </w:r>
      <w:r w:rsidRPr="002C4077">
        <w:t xml:space="preserve"> </w:t>
      </w:r>
      <w:r w:rsidR="00D40830">
        <w:t>La</w:t>
      </w:r>
      <w:r w:rsidR="00D40830" w:rsidRPr="002C4077">
        <w:t xml:space="preserve"> </w:t>
      </w:r>
      <w:r w:rsidR="00D40830">
        <w:t>question</w:t>
      </w:r>
      <w:r w:rsidR="00D40830" w:rsidRPr="002C4077">
        <w:t xml:space="preserve"> </w:t>
      </w:r>
      <w:r w:rsidR="00D40830">
        <w:t>d’authenticité</w:t>
      </w:r>
      <w:r w:rsidR="00A877C4">
        <w:tab/>
      </w:r>
      <w:r w:rsidR="003A700C">
        <w:fldChar w:fldCharType="begin"/>
      </w:r>
      <w:r w:rsidR="00BB1CEC">
        <w:instrText xml:space="preserve"> PAGEREF a0201 \h </w:instrText>
      </w:r>
      <w:r w:rsidR="003A700C">
        <w:fldChar w:fldCharType="separate"/>
      </w:r>
      <w:r w:rsidR="009D58B1">
        <w:rPr>
          <w:noProof/>
        </w:rPr>
        <w:t>42</w:t>
      </w:r>
      <w:r w:rsidR="003A700C">
        <w:fldChar w:fldCharType="end"/>
      </w:r>
      <w:r w:rsidR="00A877C4" w:rsidRPr="002C4077">
        <w:t xml:space="preserve"> </w:t>
      </w:r>
    </w:p>
    <w:p w:rsidR="00A877C4" w:rsidRDefault="0024433F" w:rsidP="00A877C4">
      <w:pPr>
        <w:pStyle w:val="sy3"/>
      </w:pPr>
      <w:r>
        <w:lastRenderedPageBreak/>
        <w:t>2.</w:t>
      </w:r>
      <w:r w:rsidRPr="002C4077">
        <w:t xml:space="preserve"> </w:t>
      </w:r>
      <w:r w:rsidR="00D40830">
        <w:t>Caractère</w:t>
      </w:r>
      <w:r w:rsidR="00D40830" w:rsidRPr="002C4077">
        <w:t xml:space="preserve"> </w:t>
      </w:r>
      <w:r w:rsidR="00D40830">
        <w:t>historique</w:t>
      </w:r>
      <w:r w:rsidR="00D40830" w:rsidRPr="002C4077">
        <w:t xml:space="preserve"> </w:t>
      </w:r>
      <w:r w:rsidR="00D40830">
        <w:t>du</w:t>
      </w:r>
      <w:r w:rsidR="00D40830" w:rsidRPr="002C4077">
        <w:t xml:space="preserve"> </w:t>
      </w:r>
      <w:r w:rsidR="00D40830">
        <w:t>récit</w:t>
      </w:r>
      <w:r w:rsidR="00A877C4">
        <w:tab/>
      </w:r>
      <w:r w:rsidR="003A700C">
        <w:fldChar w:fldCharType="begin"/>
      </w:r>
      <w:r w:rsidR="00BB1CEC">
        <w:instrText xml:space="preserve"> PAGEREF a0202 \h </w:instrText>
      </w:r>
      <w:r w:rsidR="003A700C">
        <w:fldChar w:fldCharType="separate"/>
      </w:r>
      <w:r w:rsidR="009D58B1">
        <w:rPr>
          <w:noProof/>
        </w:rPr>
        <w:t>43</w:t>
      </w:r>
      <w:r w:rsidR="003A700C">
        <w:fldChar w:fldCharType="end"/>
      </w:r>
      <w:r w:rsidR="00A877C4" w:rsidRPr="002C4077">
        <w:t xml:space="preserve"> </w:t>
      </w:r>
    </w:p>
    <w:p w:rsidR="00A877C4" w:rsidRDefault="0024433F" w:rsidP="00A877C4">
      <w:pPr>
        <w:pStyle w:val="sy3"/>
      </w:pPr>
      <w:r>
        <w:t>3.</w:t>
      </w:r>
      <w:r w:rsidRPr="002C4077">
        <w:t xml:space="preserve"> </w:t>
      </w:r>
      <w:r w:rsidR="00D40830">
        <w:t>Les</w:t>
      </w:r>
      <w:r w:rsidR="00D40830" w:rsidRPr="002C4077">
        <w:t xml:space="preserve"> </w:t>
      </w:r>
      <w:r w:rsidR="00D40830">
        <w:t>fausses</w:t>
      </w:r>
      <w:r w:rsidR="00D40830" w:rsidRPr="002C4077">
        <w:t xml:space="preserve"> </w:t>
      </w:r>
      <w:r w:rsidR="00D40830">
        <w:t>interprétations</w:t>
      </w:r>
      <w:r w:rsidR="00A877C4">
        <w:tab/>
      </w:r>
      <w:r w:rsidR="003A700C">
        <w:fldChar w:fldCharType="begin"/>
      </w:r>
      <w:r w:rsidR="00BB1CEC">
        <w:instrText xml:space="preserve"> PAGEREF a0203 \h </w:instrText>
      </w:r>
      <w:r w:rsidR="003A700C">
        <w:fldChar w:fldCharType="separate"/>
      </w:r>
      <w:r w:rsidR="009D58B1">
        <w:rPr>
          <w:noProof/>
        </w:rPr>
        <w:t>46</w:t>
      </w:r>
      <w:r w:rsidR="003A700C">
        <w:fldChar w:fldCharType="end"/>
      </w:r>
      <w:r w:rsidR="00A877C4" w:rsidRPr="002C4077">
        <w:t xml:space="preserve"> </w:t>
      </w:r>
    </w:p>
    <w:p w:rsidR="00A877C4" w:rsidRDefault="0024433F" w:rsidP="00A877C4">
      <w:pPr>
        <w:pStyle w:val="sy3"/>
      </w:pPr>
      <w:r>
        <w:t>4.</w:t>
      </w:r>
      <w:r w:rsidRPr="002C4077">
        <w:t xml:space="preserve"> </w:t>
      </w:r>
      <w:r w:rsidR="00D40830">
        <w:t>La</w:t>
      </w:r>
      <w:r w:rsidR="00D40830" w:rsidRPr="002C4077">
        <w:t xml:space="preserve"> </w:t>
      </w:r>
      <w:r w:rsidR="00D40830">
        <w:t>question</w:t>
      </w:r>
      <w:r w:rsidR="00D40830" w:rsidRPr="002C4077">
        <w:t xml:space="preserve"> </w:t>
      </w:r>
      <w:r w:rsidR="00D40830">
        <w:t>de</w:t>
      </w:r>
      <w:r w:rsidR="00D40830" w:rsidRPr="002C4077">
        <w:t xml:space="preserve"> </w:t>
      </w:r>
      <w:r w:rsidR="00D40830">
        <w:t>possibilité</w:t>
      </w:r>
      <w:r w:rsidR="00A877C4">
        <w:tab/>
      </w:r>
      <w:r w:rsidR="003A700C">
        <w:fldChar w:fldCharType="begin"/>
      </w:r>
      <w:r w:rsidR="00BB1CEC">
        <w:instrText xml:space="preserve"> PAGEREF a0204 \h </w:instrText>
      </w:r>
      <w:r w:rsidR="003A700C">
        <w:fldChar w:fldCharType="separate"/>
      </w:r>
      <w:r w:rsidR="009D58B1">
        <w:rPr>
          <w:noProof/>
        </w:rPr>
        <w:t>49</w:t>
      </w:r>
      <w:r w:rsidR="003A700C">
        <w:fldChar w:fldCharType="end"/>
      </w:r>
      <w:r w:rsidR="00A877C4" w:rsidRPr="002C4077">
        <w:t xml:space="preserve"> </w:t>
      </w:r>
    </w:p>
    <w:p w:rsidR="00A877C4" w:rsidRDefault="0024433F" w:rsidP="00A877C4">
      <w:pPr>
        <w:pStyle w:val="sy2"/>
      </w:pPr>
      <w:r>
        <w:t>III.</w:t>
      </w:r>
      <w:r w:rsidRPr="002C4077">
        <w:t xml:space="preserve"> </w:t>
      </w:r>
      <w:r w:rsidR="00D40830">
        <w:t>L’Évangile</w:t>
      </w:r>
      <w:r w:rsidR="00D40830" w:rsidRPr="002C4077">
        <w:t xml:space="preserve"> </w:t>
      </w:r>
      <w:r w:rsidR="00D40830">
        <w:t>selon</w:t>
      </w:r>
      <w:r w:rsidR="00D40830" w:rsidRPr="002C4077">
        <w:t xml:space="preserve"> </w:t>
      </w:r>
      <w:r w:rsidR="00D40830">
        <w:t>M.</w:t>
      </w:r>
      <w:r w:rsidR="00D40830" w:rsidRPr="002C4077">
        <w:t xml:space="preserve"> </w:t>
      </w:r>
      <w:r w:rsidR="00D40830">
        <w:t>Havet</w:t>
      </w:r>
      <w:r w:rsidR="00A877C4">
        <w:tab/>
      </w:r>
      <w:r w:rsidR="003A700C">
        <w:fldChar w:fldCharType="begin"/>
      </w:r>
      <w:r w:rsidR="00BB1CEC">
        <w:instrText xml:space="preserve"> PAGEREF a03 \h </w:instrText>
      </w:r>
      <w:r w:rsidR="003A700C">
        <w:fldChar w:fldCharType="separate"/>
      </w:r>
      <w:r w:rsidR="009D58B1">
        <w:rPr>
          <w:noProof/>
        </w:rPr>
        <w:t>52</w:t>
      </w:r>
      <w:r w:rsidR="003A700C">
        <w:fldChar w:fldCharType="end"/>
      </w:r>
      <w:r w:rsidR="00A877C4" w:rsidRPr="002C4077">
        <w:t xml:space="preserve"> </w:t>
      </w:r>
    </w:p>
    <w:p w:rsidR="00A877C4" w:rsidRDefault="0024433F" w:rsidP="00A877C4">
      <w:pPr>
        <w:pStyle w:val="sy2"/>
      </w:pPr>
      <w:r>
        <w:t>IV.</w:t>
      </w:r>
      <w:r w:rsidRPr="002C4077">
        <w:t xml:space="preserve"> </w:t>
      </w:r>
      <w:r w:rsidR="00D40830">
        <w:t>Ce</w:t>
      </w:r>
      <w:r w:rsidR="00D40830" w:rsidRPr="002C4077">
        <w:t xml:space="preserve"> </w:t>
      </w:r>
      <w:r w:rsidR="00D40830">
        <w:t>qu’on</w:t>
      </w:r>
      <w:r w:rsidR="00D40830" w:rsidRPr="002C4077">
        <w:t xml:space="preserve"> </w:t>
      </w:r>
      <w:r w:rsidR="00D40830">
        <w:t>daigne</w:t>
      </w:r>
      <w:r w:rsidR="00D40830" w:rsidRPr="002C4077">
        <w:t xml:space="preserve"> </w:t>
      </w:r>
      <w:r w:rsidR="00D40830">
        <w:t>nous</w:t>
      </w:r>
      <w:r w:rsidR="00D40830" w:rsidRPr="002C4077">
        <w:t xml:space="preserve"> </w:t>
      </w:r>
      <w:r w:rsidR="00D40830">
        <w:t>laisser</w:t>
      </w:r>
      <w:r w:rsidR="00D40830" w:rsidRPr="002C4077">
        <w:t xml:space="preserve"> </w:t>
      </w:r>
      <w:r w:rsidR="00D40830">
        <w:t>du</w:t>
      </w:r>
      <w:r w:rsidR="00D40830" w:rsidRPr="002C4077">
        <w:t xml:space="preserve"> </w:t>
      </w:r>
      <w:r w:rsidR="00D40830">
        <w:t>Nouveau</w:t>
      </w:r>
      <w:r w:rsidR="00D40830" w:rsidRPr="002C4077">
        <w:t xml:space="preserve"> </w:t>
      </w:r>
      <w:r w:rsidR="00D40830">
        <w:t>Testament.</w:t>
      </w:r>
      <w:r w:rsidR="00A877C4">
        <w:tab/>
      </w:r>
      <w:r w:rsidR="003A700C">
        <w:fldChar w:fldCharType="begin"/>
      </w:r>
      <w:r w:rsidR="00BB1CEC">
        <w:instrText xml:space="preserve"> PAGEREF a04 \h </w:instrText>
      </w:r>
      <w:r w:rsidR="003A700C">
        <w:fldChar w:fldCharType="separate"/>
      </w:r>
      <w:r w:rsidR="009D58B1">
        <w:rPr>
          <w:noProof/>
        </w:rPr>
        <w:t>58</w:t>
      </w:r>
      <w:r w:rsidR="003A700C">
        <w:fldChar w:fldCharType="end"/>
      </w:r>
      <w:r w:rsidR="00A877C4" w:rsidRPr="002C4077">
        <w:t xml:space="preserve"> </w:t>
      </w:r>
    </w:p>
    <w:p w:rsidR="00A877C4" w:rsidRDefault="0024433F" w:rsidP="00A877C4">
      <w:pPr>
        <w:pStyle w:val="sy2"/>
      </w:pPr>
      <w:r>
        <w:t>V.</w:t>
      </w:r>
      <w:r w:rsidRPr="002C4077">
        <w:t xml:space="preserve"> </w:t>
      </w:r>
      <w:r w:rsidR="00D40830">
        <w:t>L’Église</w:t>
      </w:r>
      <w:r w:rsidR="00D40830" w:rsidRPr="002C4077">
        <w:t xml:space="preserve"> </w:t>
      </w:r>
      <w:r w:rsidR="00D40830">
        <w:t>et</w:t>
      </w:r>
      <w:r w:rsidR="00D40830" w:rsidRPr="002C4077">
        <w:t xml:space="preserve"> </w:t>
      </w:r>
      <w:r w:rsidR="00D40830">
        <w:t>la</w:t>
      </w:r>
      <w:r w:rsidR="00D40830" w:rsidRPr="002C4077">
        <w:t xml:space="preserve"> </w:t>
      </w:r>
      <w:r w:rsidR="00D40830">
        <w:t>critique</w:t>
      </w:r>
      <w:r w:rsidR="00D40830" w:rsidRPr="002C4077">
        <w:t xml:space="preserve"> </w:t>
      </w:r>
      <w:r w:rsidR="00D40830">
        <w:t>biblique</w:t>
      </w:r>
      <w:r w:rsidR="00A877C4">
        <w:tab/>
      </w:r>
      <w:r w:rsidR="003A700C">
        <w:fldChar w:fldCharType="begin"/>
      </w:r>
      <w:r w:rsidR="00BB1CEC">
        <w:instrText xml:space="preserve"> PAGEREF a05 \h </w:instrText>
      </w:r>
      <w:r w:rsidR="003A700C">
        <w:fldChar w:fldCharType="separate"/>
      </w:r>
      <w:r w:rsidR="009D58B1">
        <w:rPr>
          <w:noProof/>
        </w:rPr>
        <w:t>63</w:t>
      </w:r>
      <w:r w:rsidR="003A700C">
        <w:fldChar w:fldCharType="end"/>
      </w:r>
      <w:r w:rsidR="00A877C4" w:rsidRPr="002C4077">
        <w:t xml:space="preserve"> </w:t>
      </w:r>
    </w:p>
    <w:p w:rsidR="00A877C4" w:rsidRDefault="0024433F" w:rsidP="00A877C4">
      <w:pPr>
        <w:pStyle w:val="sy2"/>
      </w:pPr>
      <w:r>
        <w:t>VI.</w:t>
      </w:r>
      <w:r w:rsidRPr="002C4077">
        <w:t xml:space="preserve"> </w:t>
      </w:r>
      <w:r w:rsidR="00D40830">
        <w:t>La</w:t>
      </w:r>
      <w:r w:rsidR="00D40830" w:rsidRPr="002C4077">
        <w:t xml:space="preserve"> </w:t>
      </w:r>
      <w:r w:rsidR="00D40830">
        <w:t>révision</w:t>
      </w:r>
      <w:r w:rsidR="00D40830" w:rsidRPr="002C4077">
        <w:t xml:space="preserve"> </w:t>
      </w:r>
      <w:r w:rsidR="00D40830">
        <w:t>du</w:t>
      </w:r>
      <w:r w:rsidR="00D40830" w:rsidRPr="002C4077">
        <w:t xml:space="preserve"> </w:t>
      </w:r>
      <w:r w:rsidR="00D40830">
        <w:t>Nouveau</w:t>
      </w:r>
      <w:r w:rsidR="00D40830" w:rsidRPr="002C4077">
        <w:t xml:space="preserve"> </w:t>
      </w:r>
      <w:r w:rsidR="00D40830">
        <w:t>Testament</w:t>
      </w:r>
      <w:r w:rsidR="00D40830" w:rsidRPr="002C4077">
        <w:t xml:space="preserve"> </w:t>
      </w:r>
      <w:r w:rsidR="00D40830">
        <w:t>de</w:t>
      </w:r>
      <w:r w:rsidR="00D40830" w:rsidRPr="002C4077">
        <w:t xml:space="preserve"> </w:t>
      </w:r>
      <w:r w:rsidR="00D40830">
        <w:t>l’Église</w:t>
      </w:r>
      <w:r w:rsidR="00D40830" w:rsidRPr="002C4077">
        <w:t xml:space="preserve"> </w:t>
      </w:r>
      <w:r w:rsidR="00D40830">
        <w:t>anglicane</w:t>
      </w:r>
      <w:r w:rsidR="00A877C4">
        <w:tab/>
      </w:r>
      <w:r w:rsidR="003A700C">
        <w:fldChar w:fldCharType="begin"/>
      </w:r>
      <w:r w:rsidR="00BB1CEC">
        <w:instrText xml:space="preserve"> PAGEREF a06 \h </w:instrText>
      </w:r>
      <w:r w:rsidR="003A700C">
        <w:fldChar w:fldCharType="separate"/>
      </w:r>
      <w:r w:rsidR="009D58B1">
        <w:rPr>
          <w:noProof/>
        </w:rPr>
        <w:t>71</w:t>
      </w:r>
      <w:r w:rsidR="003A700C">
        <w:fldChar w:fldCharType="end"/>
      </w:r>
      <w:r w:rsidR="00A877C4" w:rsidRPr="002C4077">
        <w:t xml:space="preserve"> </w:t>
      </w:r>
    </w:p>
    <w:p w:rsidR="00A877C4" w:rsidRDefault="0024433F" w:rsidP="00A877C4">
      <w:pPr>
        <w:pStyle w:val="sy2"/>
      </w:pPr>
      <w:r>
        <w:t>VII.</w:t>
      </w:r>
      <w:r w:rsidRPr="002C4077">
        <w:t xml:space="preserve"> </w:t>
      </w:r>
      <w:r w:rsidR="00D40830">
        <w:t>Nazareth</w:t>
      </w:r>
      <w:r w:rsidR="00A877C4">
        <w:tab/>
      </w:r>
      <w:r w:rsidR="003A700C">
        <w:fldChar w:fldCharType="begin"/>
      </w:r>
      <w:r w:rsidR="00BB1CEC">
        <w:instrText xml:space="preserve"> PAGEREF a07 \h </w:instrText>
      </w:r>
      <w:r w:rsidR="003A700C">
        <w:fldChar w:fldCharType="separate"/>
      </w:r>
      <w:r w:rsidR="009D58B1">
        <w:rPr>
          <w:noProof/>
        </w:rPr>
        <w:t>81</w:t>
      </w:r>
      <w:r w:rsidR="003A700C">
        <w:fldChar w:fldCharType="end"/>
      </w:r>
      <w:r w:rsidR="00A877C4" w:rsidRPr="002C4077">
        <w:t xml:space="preserve"> </w:t>
      </w:r>
    </w:p>
    <w:p w:rsidR="00A877C4" w:rsidRDefault="0024433F" w:rsidP="00A877C4">
      <w:pPr>
        <w:pStyle w:val="sy3"/>
      </w:pPr>
      <w:r>
        <w:t>1.</w:t>
      </w:r>
      <w:r w:rsidRPr="002C4077">
        <w:t xml:space="preserve"> </w:t>
      </w:r>
      <w:r w:rsidR="00D40830">
        <w:t>Nazareth</w:t>
      </w:r>
      <w:r w:rsidR="00D40830" w:rsidRPr="002C4077">
        <w:t xml:space="preserve"> </w:t>
      </w:r>
      <w:r w:rsidR="00D40830">
        <w:t>et</w:t>
      </w:r>
      <w:r w:rsidR="00D40830" w:rsidRPr="002C4077">
        <w:t xml:space="preserve"> </w:t>
      </w:r>
      <w:r w:rsidR="00D40830">
        <w:t>l’Évangile</w:t>
      </w:r>
      <w:r w:rsidR="00A877C4">
        <w:tab/>
      </w:r>
      <w:r w:rsidR="003A700C">
        <w:fldChar w:fldCharType="begin"/>
      </w:r>
      <w:r w:rsidR="00BB1CEC">
        <w:instrText xml:space="preserve"> PAGEREF a0701 \h </w:instrText>
      </w:r>
      <w:r w:rsidR="003A700C">
        <w:fldChar w:fldCharType="separate"/>
      </w:r>
      <w:r w:rsidR="009D58B1">
        <w:rPr>
          <w:noProof/>
        </w:rPr>
        <w:t>81</w:t>
      </w:r>
      <w:r w:rsidR="003A700C">
        <w:fldChar w:fldCharType="end"/>
      </w:r>
      <w:r w:rsidR="00A877C4" w:rsidRPr="002C4077">
        <w:t xml:space="preserve"> </w:t>
      </w:r>
    </w:p>
    <w:p w:rsidR="00A877C4" w:rsidRDefault="0024433F" w:rsidP="00A877C4">
      <w:pPr>
        <w:pStyle w:val="sy3"/>
      </w:pPr>
      <w:r>
        <w:t>2.</w:t>
      </w:r>
      <w:r w:rsidRPr="002C4077">
        <w:t xml:space="preserve"> </w:t>
      </w:r>
      <w:r w:rsidR="00D40830">
        <w:t>La</w:t>
      </w:r>
      <w:r w:rsidR="00D40830" w:rsidRPr="002C4077">
        <w:t xml:space="preserve"> </w:t>
      </w:r>
      <w:r w:rsidR="00D40830">
        <w:t>ville</w:t>
      </w:r>
      <w:r w:rsidR="00D40830" w:rsidRPr="002C4077">
        <w:t xml:space="preserve"> </w:t>
      </w:r>
      <w:r w:rsidR="00D40830">
        <w:t>de</w:t>
      </w:r>
      <w:r w:rsidR="00D40830" w:rsidRPr="002C4077">
        <w:t xml:space="preserve"> </w:t>
      </w:r>
      <w:r w:rsidR="00D40830">
        <w:t>Nazareth</w:t>
      </w:r>
      <w:r w:rsidR="00A877C4">
        <w:tab/>
      </w:r>
      <w:r w:rsidR="003A700C">
        <w:fldChar w:fldCharType="begin"/>
      </w:r>
      <w:r w:rsidR="00BB1CEC">
        <w:instrText xml:space="preserve"> PAGEREF a0702 \h </w:instrText>
      </w:r>
      <w:r w:rsidR="003A700C">
        <w:fldChar w:fldCharType="separate"/>
      </w:r>
      <w:r w:rsidR="009D58B1">
        <w:rPr>
          <w:noProof/>
        </w:rPr>
        <w:t>83</w:t>
      </w:r>
      <w:r w:rsidR="003A700C">
        <w:fldChar w:fldCharType="end"/>
      </w:r>
      <w:r w:rsidR="00A877C4" w:rsidRPr="002C4077">
        <w:t xml:space="preserve"> </w:t>
      </w:r>
    </w:p>
    <w:p w:rsidR="00A877C4" w:rsidRDefault="0024433F" w:rsidP="00A877C4">
      <w:pPr>
        <w:pStyle w:val="sy3"/>
      </w:pPr>
      <w:r>
        <w:t>3.</w:t>
      </w:r>
      <w:r w:rsidRPr="002C4077">
        <w:t xml:space="preserve"> </w:t>
      </w:r>
      <w:r w:rsidR="00D40830">
        <w:t>Les</w:t>
      </w:r>
      <w:r w:rsidR="00D40830" w:rsidRPr="002C4077">
        <w:t xml:space="preserve"> </w:t>
      </w:r>
      <w:r w:rsidR="00D40830">
        <w:t>saints</w:t>
      </w:r>
      <w:r w:rsidR="00D40830" w:rsidRPr="002C4077">
        <w:t xml:space="preserve"> </w:t>
      </w:r>
      <w:r w:rsidR="00D40830">
        <w:t>Lieux</w:t>
      </w:r>
      <w:r w:rsidR="00D40830" w:rsidRPr="002C4077">
        <w:t xml:space="preserve"> </w:t>
      </w:r>
      <w:r w:rsidR="00D40830">
        <w:t>de</w:t>
      </w:r>
      <w:r w:rsidR="00D40830" w:rsidRPr="002C4077">
        <w:t xml:space="preserve"> </w:t>
      </w:r>
      <w:r w:rsidR="00D40830">
        <w:t>Nazareth</w:t>
      </w:r>
      <w:r w:rsidR="00A877C4">
        <w:tab/>
      </w:r>
      <w:r w:rsidR="003A700C">
        <w:fldChar w:fldCharType="begin"/>
      </w:r>
      <w:r w:rsidR="00BB1CEC">
        <w:instrText xml:space="preserve"> PAGEREF a0703 \h </w:instrText>
      </w:r>
      <w:r w:rsidR="003A700C">
        <w:fldChar w:fldCharType="separate"/>
      </w:r>
      <w:r w:rsidR="009D58B1">
        <w:rPr>
          <w:noProof/>
        </w:rPr>
        <w:t>86</w:t>
      </w:r>
      <w:r w:rsidR="003A700C">
        <w:fldChar w:fldCharType="end"/>
      </w:r>
      <w:r w:rsidR="00A877C4" w:rsidRPr="002C4077">
        <w:t xml:space="preserve"> </w:t>
      </w:r>
    </w:p>
    <w:p w:rsidR="00A877C4" w:rsidRDefault="0024433F" w:rsidP="00A877C4">
      <w:pPr>
        <w:pStyle w:val="sy3"/>
      </w:pPr>
      <w:r>
        <w:t>4.</w:t>
      </w:r>
      <w:r w:rsidRPr="002C4077">
        <w:t xml:space="preserve"> </w:t>
      </w:r>
      <w:r w:rsidR="00D40830">
        <w:t>De</w:t>
      </w:r>
      <w:r w:rsidR="00D40830" w:rsidRPr="002C4077">
        <w:t xml:space="preserve"> </w:t>
      </w:r>
      <w:r w:rsidR="00D40830">
        <w:t>quelques</w:t>
      </w:r>
      <w:r w:rsidR="00D40830" w:rsidRPr="002C4077">
        <w:t xml:space="preserve"> </w:t>
      </w:r>
      <w:r w:rsidR="00D40830">
        <w:t>autres</w:t>
      </w:r>
      <w:r w:rsidR="00D40830" w:rsidRPr="002C4077">
        <w:t xml:space="preserve"> </w:t>
      </w:r>
      <w:r w:rsidR="00D40830">
        <w:t>lieux</w:t>
      </w:r>
      <w:r w:rsidR="00D40830" w:rsidRPr="002C4077">
        <w:t xml:space="preserve"> </w:t>
      </w:r>
      <w:r w:rsidR="00D40830">
        <w:t>sacré</w:t>
      </w:r>
      <w:r w:rsidR="005771DB">
        <w:t>s</w:t>
      </w:r>
      <w:r w:rsidR="005771DB" w:rsidRPr="002C4077">
        <w:t xml:space="preserve"> </w:t>
      </w:r>
      <w:r w:rsidR="005771DB">
        <w:t>et</w:t>
      </w:r>
      <w:r w:rsidR="005771DB" w:rsidRPr="002C4077">
        <w:t xml:space="preserve"> </w:t>
      </w:r>
      <w:r w:rsidR="005771DB">
        <w:t>des</w:t>
      </w:r>
      <w:r w:rsidR="005771DB" w:rsidRPr="002C4077">
        <w:t xml:space="preserve"> </w:t>
      </w:r>
      <w:r w:rsidR="005771DB">
        <w:t>environs</w:t>
      </w:r>
      <w:r w:rsidR="005771DB" w:rsidRPr="002C4077">
        <w:t xml:space="preserve"> </w:t>
      </w:r>
      <w:r w:rsidR="005771DB">
        <w:t>de</w:t>
      </w:r>
      <w:r w:rsidR="005771DB" w:rsidRPr="002C4077">
        <w:t xml:space="preserve"> </w:t>
      </w:r>
      <w:r w:rsidR="005771DB">
        <w:t>Nazareth</w:t>
      </w:r>
      <w:r w:rsidR="00A877C4">
        <w:tab/>
      </w:r>
      <w:r w:rsidR="003A700C">
        <w:fldChar w:fldCharType="begin"/>
      </w:r>
      <w:r w:rsidR="00BB1CEC">
        <w:instrText xml:space="preserve"> PAGEREF a0704 \h </w:instrText>
      </w:r>
      <w:r w:rsidR="003A700C">
        <w:fldChar w:fldCharType="separate"/>
      </w:r>
      <w:r w:rsidR="009D58B1">
        <w:rPr>
          <w:noProof/>
        </w:rPr>
        <w:t>89</w:t>
      </w:r>
      <w:r w:rsidR="003A700C">
        <w:fldChar w:fldCharType="end"/>
      </w:r>
      <w:r w:rsidR="00A877C4" w:rsidRPr="002C4077">
        <w:t xml:space="preserve"> </w:t>
      </w:r>
    </w:p>
    <w:p w:rsidR="00A877C4" w:rsidRDefault="0024433F" w:rsidP="00A877C4">
      <w:pPr>
        <w:pStyle w:val="sy2"/>
      </w:pPr>
      <w:r>
        <w:t>VIII.</w:t>
      </w:r>
      <w:r w:rsidRPr="002C4077">
        <w:t xml:space="preserve"> </w:t>
      </w:r>
      <w:r w:rsidR="00D40830">
        <w:t>Le</w:t>
      </w:r>
      <w:r w:rsidR="00D40830" w:rsidRPr="002C4077">
        <w:t xml:space="preserve"> </w:t>
      </w:r>
      <w:r w:rsidR="00D40830">
        <w:t>travail</w:t>
      </w:r>
      <w:r w:rsidR="00D40830" w:rsidRPr="002C4077">
        <w:t xml:space="preserve"> </w:t>
      </w:r>
      <w:r w:rsidR="00D40830">
        <w:t>manuel</w:t>
      </w:r>
      <w:r w:rsidR="00D40830" w:rsidRPr="002C4077">
        <w:t xml:space="preserve"> </w:t>
      </w:r>
      <w:r w:rsidR="00D40830">
        <w:t>et</w:t>
      </w:r>
      <w:r w:rsidR="00D40830" w:rsidRPr="002C4077">
        <w:t xml:space="preserve"> </w:t>
      </w:r>
      <w:r w:rsidR="00D40830">
        <w:t>le</w:t>
      </w:r>
      <w:r w:rsidR="00A274F3">
        <w:t>s</w:t>
      </w:r>
      <w:r w:rsidR="00A274F3" w:rsidRPr="002C4077">
        <w:t xml:space="preserve"> </w:t>
      </w:r>
      <w:r w:rsidR="00A274F3">
        <w:t>artisans</w:t>
      </w:r>
      <w:r w:rsidR="00A274F3" w:rsidRPr="002C4077">
        <w:t xml:space="preserve"> </w:t>
      </w:r>
      <w:r w:rsidR="00A274F3">
        <w:t>chez</w:t>
      </w:r>
      <w:r w:rsidR="00A274F3" w:rsidRPr="002C4077">
        <w:t xml:space="preserve"> </w:t>
      </w:r>
      <w:r w:rsidR="00A274F3">
        <w:t>les</w:t>
      </w:r>
      <w:r w:rsidR="00A274F3" w:rsidRPr="002C4077">
        <w:t xml:space="preserve"> </w:t>
      </w:r>
      <w:r w:rsidR="00A274F3">
        <w:t>Juifs</w:t>
      </w:r>
      <w:r w:rsidR="00A274F3" w:rsidRPr="002C4077">
        <w:t xml:space="preserve"> </w:t>
      </w:r>
      <w:r w:rsidR="00A274F3">
        <w:t>de</w:t>
      </w:r>
      <w:r w:rsidR="00A274F3" w:rsidRPr="002C4077">
        <w:t xml:space="preserve"> </w:t>
      </w:r>
      <w:r w:rsidR="00A274F3">
        <w:t>Pa</w:t>
      </w:r>
      <w:r w:rsidR="00D40830">
        <w:t>lestine</w:t>
      </w:r>
      <w:r w:rsidR="00D40830" w:rsidRPr="002C4077">
        <w:t xml:space="preserve"> </w:t>
      </w:r>
      <w:r w:rsidR="00D40830">
        <w:t>à</w:t>
      </w:r>
      <w:r w:rsidR="00D40830" w:rsidRPr="002C4077">
        <w:t xml:space="preserve"> </w:t>
      </w:r>
      <w:r w:rsidR="00D40830">
        <w:t>l’époque</w:t>
      </w:r>
      <w:r w:rsidR="00D40830" w:rsidRPr="002C4077">
        <w:t xml:space="preserve"> </w:t>
      </w:r>
      <w:r w:rsidR="00D40830">
        <w:t>de</w:t>
      </w:r>
      <w:r w:rsidR="00D40830" w:rsidRPr="002C4077">
        <w:t xml:space="preserve"> </w:t>
      </w:r>
      <w:r w:rsidR="00D40830">
        <w:t>N.</w:t>
      </w:r>
      <w:r w:rsidR="00D40830" w:rsidRPr="002C4077">
        <w:t xml:space="preserve"> </w:t>
      </w:r>
      <w:r w:rsidR="00D40830">
        <w:t>S.</w:t>
      </w:r>
      <w:r w:rsidR="00D40830" w:rsidRPr="002C4077">
        <w:t xml:space="preserve"> </w:t>
      </w:r>
      <w:r w:rsidR="00425C50">
        <w:t>Jésus</w:t>
      </w:r>
      <w:r w:rsidR="00D40830">
        <w:t>-</w:t>
      </w:r>
      <w:r w:rsidR="00425C50">
        <w:t>Christ</w:t>
      </w:r>
      <w:r w:rsidR="00A877C4">
        <w:tab/>
      </w:r>
      <w:r w:rsidR="003A700C">
        <w:fldChar w:fldCharType="begin"/>
      </w:r>
      <w:r w:rsidR="00BB1CEC">
        <w:instrText xml:space="preserve"> PAGEREF a08 \h </w:instrText>
      </w:r>
      <w:r w:rsidR="003A700C">
        <w:fldChar w:fldCharType="separate"/>
      </w:r>
      <w:r w:rsidR="009D58B1">
        <w:rPr>
          <w:noProof/>
        </w:rPr>
        <w:t>93</w:t>
      </w:r>
      <w:r w:rsidR="003A700C">
        <w:fldChar w:fldCharType="end"/>
      </w:r>
      <w:r w:rsidR="00A877C4" w:rsidRPr="002C4077">
        <w:t xml:space="preserve"> </w:t>
      </w:r>
    </w:p>
    <w:p w:rsidR="00A877C4" w:rsidRDefault="00D40830" w:rsidP="00A877C4">
      <w:pPr>
        <w:pStyle w:val="sy2"/>
      </w:pPr>
      <w:r>
        <w:t>IX.</w:t>
      </w:r>
      <w:r w:rsidRPr="002C4077">
        <w:t xml:space="preserve"> </w:t>
      </w:r>
      <w:r>
        <w:t>Le</w:t>
      </w:r>
      <w:r w:rsidRPr="002C4077">
        <w:t xml:space="preserve"> </w:t>
      </w:r>
      <w:r>
        <w:t>catéchisme</w:t>
      </w:r>
      <w:r w:rsidRPr="002C4077">
        <w:t xml:space="preserve"> </w:t>
      </w:r>
      <w:r>
        <w:t>israélite</w:t>
      </w:r>
      <w:r w:rsidR="00A877C4" w:rsidRPr="002C4077">
        <w:t xml:space="preserve"> </w:t>
      </w:r>
      <w:r w:rsidR="00A877C4">
        <w:tab/>
      </w:r>
      <w:r w:rsidR="003A700C">
        <w:fldChar w:fldCharType="begin"/>
      </w:r>
      <w:r w:rsidR="00BB1CEC">
        <w:instrText xml:space="preserve"> PAGEREF a09 \h </w:instrText>
      </w:r>
      <w:r w:rsidR="003A700C">
        <w:fldChar w:fldCharType="separate"/>
      </w:r>
      <w:r w:rsidR="009D58B1">
        <w:rPr>
          <w:noProof/>
        </w:rPr>
        <w:t>103</w:t>
      </w:r>
      <w:r w:rsidR="003A700C">
        <w:fldChar w:fldCharType="end"/>
      </w:r>
      <w:r w:rsidR="00A877C4" w:rsidRPr="002C4077">
        <w:t xml:space="preserve"> </w:t>
      </w:r>
    </w:p>
    <w:p w:rsidR="00A877C4" w:rsidRDefault="00D40830" w:rsidP="00A877C4">
      <w:pPr>
        <w:pStyle w:val="sy2"/>
      </w:pPr>
      <w:r>
        <w:t>X.</w:t>
      </w:r>
      <w:r w:rsidRPr="002C4077">
        <w:t xml:space="preserve"> </w:t>
      </w:r>
      <w:r>
        <w:t>Visite</w:t>
      </w:r>
      <w:r w:rsidRPr="002C4077">
        <w:t xml:space="preserve"> </w:t>
      </w:r>
      <w:r>
        <w:t>à</w:t>
      </w:r>
      <w:r w:rsidRPr="002C4077">
        <w:t xml:space="preserve"> </w:t>
      </w:r>
      <w:r>
        <w:t>un</w:t>
      </w:r>
      <w:r w:rsidRPr="002C4077">
        <w:t xml:space="preserve"> </w:t>
      </w:r>
      <w:r>
        <w:t>cimetière</w:t>
      </w:r>
      <w:r w:rsidRPr="002C4077">
        <w:t xml:space="preserve"> </w:t>
      </w:r>
      <w:r>
        <w:t>juif</w:t>
      </w:r>
      <w:r w:rsidR="00A877C4">
        <w:tab/>
      </w:r>
      <w:r w:rsidR="003A700C">
        <w:fldChar w:fldCharType="begin"/>
      </w:r>
      <w:r w:rsidR="00BB1CEC">
        <w:instrText xml:space="preserve"> PAGEREF a10 \h </w:instrText>
      </w:r>
      <w:r w:rsidR="003A700C">
        <w:fldChar w:fldCharType="separate"/>
      </w:r>
      <w:r w:rsidR="009D58B1">
        <w:rPr>
          <w:noProof/>
        </w:rPr>
        <w:t>110</w:t>
      </w:r>
      <w:r w:rsidR="003A700C">
        <w:fldChar w:fldCharType="end"/>
      </w:r>
      <w:r w:rsidR="00A877C4" w:rsidRPr="002C4077">
        <w:t xml:space="preserve"> </w:t>
      </w:r>
    </w:p>
    <w:p w:rsidR="00A877C4" w:rsidRDefault="00D40830" w:rsidP="00A877C4">
      <w:pPr>
        <w:pStyle w:val="sy2"/>
      </w:pPr>
      <w:r>
        <w:t>XI.</w:t>
      </w:r>
      <w:r w:rsidRPr="002C4077">
        <w:t xml:space="preserve"> </w:t>
      </w:r>
      <w:r>
        <w:t>Judas</w:t>
      </w:r>
      <w:r w:rsidRPr="002C4077">
        <w:t xml:space="preserve"> </w:t>
      </w:r>
      <w:r>
        <w:t>assistait-il</w:t>
      </w:r>
      <w:r w:rsidRPr="002C4077">
        <w:t xml:space="preserve"> </w:t>
      </w:r>
      <w:r>
        <w:t>à</w:t>
      </w:r>
      <w:r w:rsidRPr="002C4077">
        <w:t xml:space="preserve"> </w:t>
      </w:r>
      <w:r>
        <w:t>l’institution</w:t>
      </w:r>
      <w:r w:rsidRPr="002C4077">
        <w:t xml:space="preserve"> </w:t>
      </w:r>
      <w:r>
        <w:t>delà</w:t>
      </w:r>
      <w:r w:rsidRPr="002C4077">
        <w:t xml:space="preserve"> </w:t>
      </w:r>
      <w:r>
        <w:t>sainte</w:t>
      </w:r>
      <w:r w:rsidRPr="002C4077">
        <w:t xml:space="preserve"> </w:t>
      </w:r>
      <w:r>
        <w:t>Eucharistie</w:t>
      </w:r>
      <w:r w:rsidR="00B546AF">
        <w:t> ?</w:t>
      </w:r>
      <w:r w:rsidR="00A877C4">
        <w:tab/>
      </w:r>
      <w:r w:rsidR="003A700C">
        <w:fldChar w:fldCharType="begin"/>
      </w:r>
      <w:r w:rsidR="00BB1CEC">
        <w:instrText xml:space="preserve"> PAGEREF a11 \h </w:instrText>
      </w:r>
      <w:r w:rsidR="003A700C">
        <w:fldChar w:fldCharType="separate"/>
      </w:r>
      <w:r w:rsidR="009D58B1">
        <w:rPr>
          <w:noProof/>
        </w:rPr>
        <w:t>121</w:t>
      </w:r>
      <w:r w:rsidR="003A700C">
        <w:fldChar w:fldCharType="end"/>
      </w:r>
      <w:r w:rsidR="00A877C4" w:rsidRPr="002C4077">
        <w:t xml:space="preserve"> </w:t>
      </w:r>
    </w:p>
    <w:p w:rsidR="00A877C4" w:rsidRDefault="00D40830" w:rsidP="00A877C4">
      <w:pPr>
        <w:pStyle w:val="sy2"/>
      </w:pPr>
      <w:r>
        <w:t>XII.</w:t>
      </w:r>
      <w:r w:rsidRPr="002C4077">
        <w:t xml:space="preserve"> </w:t>
      </w:r>
      <w:r>
        <w:t>Les</w:t>
      </w:r>
      <w:r w:rsidRPr="002C4077">
        <w:t xml:space="preserve"> </w:t>
      </w:r>
      <w:r>
        <w:t>Concordances</w:t>
      </w:r>
      <w:r w:rsidRPr="002C4077">
        <w:t xml:space="preserve"> </w:t>
      </w:r>
      <w:r>
        <w:t>bibliques</w:t>
      </w:r>
      <w:r w:rsidR="00A877C4">
        <w:tab/>
      </w:r>
      <w:r w:rsidR="003A700C">
        <w:fldChar w:fldCharType="begin"/>
      </w:r>
      <w:r w:rsidR="00BB1CEC">
        <w:instrText xml:space="preserve"> PAGEREF a12 \h </w:instrText>
      </w:r>
      <w:r w:rsidR="003A700C">
        <w:fldChar w:fldCharType="separate"/>
      </w:r>
      <w:r w:rsidR="009D58B1">
        <w:rPr>
          <w:noProof/>
        </w:rPr>
        <w:t>127</w:t>
      </w:r>
      <w:r w:rsidR="003A700C">
        <w:fldChar w:fldCharType="end"/>
      </w:r>
      <w:r w:rsidR="00A877C4" w:rsidRPr="002C4077">
        <w:t xml:space="preserve"> </w:t>
      </w:r>
    </w:p>
    <w:p w:rsidR="009D58B1" w:rsidRDefault="009D58B1" w:rsidP="00A877C4">
      <w:pPr>
        <w:pStyle w:val="sy2"/>
      </w:pPr>
      <w:r w:rsidRPr="009D58B1">
        <w:t>Table alphabétique des matières.</w:t>
      </w:r>
      <w:r>
        <w:tab/>
      </w:r>
      <w:r w:rsidR="003A700C">
        <w:fldChar w:fldCharType="begin"/>
      </w:r>
      <w:r>
        <w:instrText xml:space="preserve"> PAGEREF TabAlpha \h </w:instrText>
      </w:r>
      <w:r w:rsidR="003A700C">
        <w:fldChar w:fldCharType="separate"/>
      </w:r>
      <w:r>
        <w:rPr>
          <w:noProof/>
        </w:rPr>
        <w:t>135</w:t>
      </w:r>
      <w:r w:rsidR="003A700C">
        <w:fldChar w:fldCharType="end"/>
      </w:r>
    </w:p>
    <w:p w:rsidR="009D58B1" w:rsidRDefault="009D58B1" w:rsidP="00A877C4">
      <w:pPr>
        <w:pStyle w:val="sy2"/>
      </w:pPr>
    </w:p>
    <w:p w:rsidR="000A7AAB" w:rsidRDefault="000A7AAB" w:rsidP="000A7AAB"/>
    <w:p w:rsidR="000A7AAB" w:rsidRDefault="000A7AAB" w:rsidP="005771DB">
      <w:pPr>
        <w:pStyle w:val="Titre2"/>
      </w:pPr>
      <w:bookmarkStart w:id="2" w:name="_Toc43881999"/>
      <w:r>
        <w:t>AVANT-PROPOS.</w:t>
      </w:r>
      <w:bookmarkStart w:id="3" w:name="a_praef"/>
      <w:bookmarkEnd w:id="2"/>
      <w:bookmarkEnd w:id="3"/>
      <w:r w:rsidRPr="002C4077">
        <w:t xml:space="preserve"> </w:t>
      </w:r>
    </w:p>
    <w:p w:rsidR="000A7AAB" w:rsidRDefault="000A7AAB" w:rsidP="000A7AAB">
      <w:r>
        <w:t>Nous</w:t>
      </w:r>
      <w:r w:rsidRPr="002C4077">
        <w:t xml:space="preserve"> </w:t>
      </w:r>
      <w:r>
        <w:t>nous</w:t>
      </w:r>
      <w:r w:rsidRPr="002C4077">
        <w:t xml:space="preserve"> </w:t>
      </w:r>
      <w:r>
        <w:t>sommes</w:t>
      </w:r>
      <w:r w:rsidRPr="002C4077">
        <w:t xml:space="preserve"> </w:t>
      </w:r>
      <w:r>
        <w:t>laissé</w:t>
      </w:r>
      <w:r w:rsidRPr="002C4077">
        <w:t xml:space="preserve"> </w:t>
      </w:r>
      <w:r>
        <w:t>persuader,</w:t>
      </w:r>
      <w:r w:rsidRPr="002C4077">
        <w:t xml:space="preserve"> </w:t>
      </w:r>
      <w:r>
        <w:t>—</w:t>
      </w:r>
      <w:r w:rsidRPr="002C4077">
        <w:t xml:space="preserve"> </w:t>
      </w:r>
      <w:r>
        <w:t>sous</w:t>
      </w:r>
      <w:r w:rsidRPr="002C4077">
        <w:t xml:space="preserve"> </w:t>
      </w:r>
      <w:r>
        <w:t>ce</w:t>
      </w:r>
      <w:r w:rsidRPr="002C4077">
        <w:t xml:space="preserve"> </w:t>
      </w:r>
      <w:r>
        <w:t>rapport</w:t>
      </w:r>
      <w:r w:rsidRPr="002C4077">
        <w:t xml:space="preserve"> </w:t>
      </w:r>
      <w:r>
        <w:t>un</w:t>
      </w:r>
      <w:r w:rsidRPr="002C4077">
        <w:t xml:space="preserve"> </w:t>
      </w:r>
      <w:r>
        <w:t>auteu</w:t>
      </w:r>
      <w:r w:rsidR="0047499A">
        <w:t>r</w:t>
      </w:r>
      <w:r w:rsidR="0047499A" w:rsidRPr="002C4077">
        <w:t xml:space="preserve"> </w:t>
      </w:r>
      <w:r w:rsidR="00425C50">
        <w:t>est</w:t>
      </w:r>
      <w:r w:rsidR="0047499A" w:rsidRPr="002C4077">
        <w:t xml:space="preserve"> </w:t>
      </w:r>
      <w:r w:rsidR="0047499A">
        <w:t>d’ordinaire</w:t>
      </w:r>
      <w:r w:rsidR="0047499A" w:rsidRPr="002C4077">
        <w:t xml:space="preserve"> </w:t>
      </w:r>
      <w:r w:rsidR="0047499A">
        <w:t>si</w:t>
      </w:r>
      <w:r w:rsidR="0047499A" w:rsidRPr="002C4077">
        <w:t xml:space="preserve"> </w:t>
      </w:r>
      <w:r w:rsidR="0047499A">
        <w:t>crédule !</w:t>
      </w:r>
      <w:r w:rsidRPr="002C4077">
        <w:t xml:space="preserve"> </w:t>
      </w:r>
      <w:r>
        <w:t>—</w:t>
      </w:r>
      <w:r w:rsidRPr="002C4077">
        <w:t xml:space="preserve"> </w:t>
      </w:r>
      <w:r>
        <w:t>que</w:t>
      </w:r>
      <w:r w:rsidRPr="002C4077">
        <w:t xml:space="preserve"> </w:t>
      </w:r>
      <w:r>
        <w:t>les</w:t>
      </w:r>
      <w:r w:rsidRPr="002C4077">
        <w:t xml:space="preserve"> </w:t>
      </w:r>
      <w:r>
        <w:t>pages</w:t>
      </w:r>
      <w:r w:rsidRPr="002C4077">
        <w:t xml:space="preserve"> </w:t>
      </w:r>
      <w:r>
        <w:t>suivantes,</w:t>
      </w:r>
      <w:r w:rsidRPr="002C4077">
        <w:t xml:space="preserve"> </w:t>
      </w:r>
      <w:r>
        <w:t>composées</w:t>
      </w:r>
      <w:r w:rsidRPr="002C4077">
        <w:t xml:space="preserve"> </w:t>
      </w:r>
      <w:r>
        <w:t>à</w:t>
      </w:r>
      <w:r w:rsidRPr="002C4077">
        <w:t xml:space="preserve"> </w:t>
      </w:r>
      <w:r>
        <w:t>des</w:t>
      </w:r>
      <w:r w:rsidRPr="002C4077">
        <w:t xml:space="preserve"> </w:t>
      </w:r>
      <w:r>
        <w:t>époques</w:t>
      </w:r>
      <w:r w:rsidRPr="002C4077">
        <w:t xml:space="preserve"> </w:t>
      </w:r>
      <w:r>
        <w:t>et</w:t>
      </w:r>
      <w:r w:rsidRPr="002C4077">
        <w:t xml:space="preserve"> </w:t>
      </w:r>
      <w:r>
        <w:t>pour</w:t>
      </w:r>
      <w:r w:rsidRPr="002C4077">
        <w:t xml:space="preserve"> </w:t>
      </w:r>
      <w:r>
        <w:t>des</w:t>
      </w:r>
      <w:r w:rsidRPr="002C4077">
        <w:t xml:space="preserve"> </w:t>
      </w:r>
      <w:r>
        <w:t>fins</w:t>
      </w:r>
      <w:r w:rsidRPr="002C4077">
        <w:t xml:space="preserve"> </w:t>
      </w:r>
      <w:r>
        <w:t>variées,</w:t>
      </w:r>
      <w:r w:rsidRPr="002C4077">
        <w:t xml:space="preserve"> </w:t>
      </w:r>
      <w:r>
        <w:t>n’étaient</w:t>
      </w:r>
      <w:r w:rsidRPr="002C4077">
        <w:t xml:space="preserve"> </w:t>
      </w:r>
      <w:r>
        <w:t>point</w:t>
      </w:r>
      <w:r w:rsidRPr="002C4077">
        <w:t xml:space="preserve"> </w:t>
      </w:r>
      <w:r>
        <w:t>trop</w:t>
      </w:r>
      <w:r w:rsidRPr="002C4077">
        <w:t xml:space="preserve"> </w:t>
      </w:r>
      <w:r>
        <w:t>indignes</w:t>
      </w:r>
      <w:r w:rsidRPr="002C4077">
        <w:t xml:space="preserve"> </w:t>
      </w:r>
      <w:r>
        <w:t>d’être</w:t>
      </w:r>
      <w:r w:rsidRPr="002C4077">
        <w:t xml:space="preserve"> </w:t>
      </w:r>
      <w:r>
        <w:t>réunies</w:t>
      </w:r>
      <w:r w:rsidRPr="002C4077">
        <w:t xml:space="preserve"> </w:t>
      </w:r>
      <w:r>
        <w:t>en</w:t>
      </w:r>
      <w:r w:rsidRPr="002C4077">
        <w:t xml:space="preserve"> </w:t>
      </w:r>
      <w:r>
        <w:t>un</w:t>
      </w:r>
      <w:r w:rsidRPr="002C4077">
        <w:t xml:space="preserve"> </w:t>
      </w:r>
      <w:r>
        <w:t>corps</w:t>
      </w:r>
      <w:r w:rsidRPr="002C4077">
        <w:t xml:space="preserve"> </w:t>
      </w:r>
      <w:r>
        <w:t>de</w:t>
      </w:r>
      <w:r w:rsidRPr="002C4077">
        <w:t xml:space="preserve"> </w:t>
      </w:r>
      <w:r>
        <w:t>volume.</w:t>
      </w:r>
      <w:r w:rsidRPr="002C4077">
        <w:t xml:space="preserve"> </w:t>
      </w:r>
      <w:r>
        <w:t>Qu’elles</w:t>
      </w:r>
      <w:r w:rsidRPr="002C4077">
        <w:t xml:space="preserve"> </w:t>
      </w:r>
      <w:r>
        <w:t>aillent</w:t>
      </w:r>
      <w:r w:rsidRPr="002C4077">
        <w:t xml:space="preserve"> </w:t>
      </w:r>
      <w:r>
        <w:t>donc</w:t>
      </w:r>
      <w:r w:rsidRPr="002C4077">
        <w:t xml:space="preserve"> </w:t>
      </w:r>
      <w:r>
        <w:t>trouver,</w:t>
      </w:r>
      <w:r w:rsidRPr="002C4077">
        <w:t xml:space="preserve"> </w:t>
      </w:r>
      <w:r>
        <w:t>sous</w:t>
      </w:r>
      <w:r w:rsidRPr="002C4077">
        <w:t xml:space="preserve"> </w:t>
      </w:r>
      <w:r>
        <w:t>cette</w:t>
      </w:r>
      <w:r w:rsidRPr="002C4077">
        <w:t xml:space="preserve"> </w:t>
      </w:r>
      <w:r>
        <w:t>forme</w:t>
      </w:r>
      <w:r w:rsidRPr="002C4077">
        <w:t xml:space="preserve"> </w:t>
      </w:r>
      <w:r>
        <w:t>nouvelle,</w:t>
      </w:r>
      <w:r w:rsidRPr="002C4077">
        <w:t xml:space="preserve"> </w:t>
      </w:r>
      <w:r>
        <w:t>les</w:t>
      </w:r>
      <w:r w:rsidRPr="002C4077">
        <w:t xml:space="preserve"> </w:t>
      </w:r>
      <w:r>
        <w:t>amis</w:t>
      </w:r>
      <w:r w:rsidRPr="002C4077">
        <w:t xml:space="preserve"> </w:t>
      </w:r>
      <w:r w:rsidR="0047499A">
        <w:t>d</w:t>
      </w:r>
      <w:r>
        <w:t>es</w:t>
      </w:r>
      <w:r w:rsidRPr="002C4077">
        <w:t xml:space="preserve"> </w:t>
      </w:r>
      <w:r>
        <w:t>Saintes</w:t>
      </w:r>
      <w:r w:rsidRPr="002C4077">
        <w:t xml:space="preserve"> </w:t>
      </w:r>
      <w:r>
        <w:t>Lettres,</w:t>
      </w:r>
      <w:r w:rsidRPr="002C4077">
        <w:t xml:space="preserve"> </w:t>
      </w:r>
      <w:r>
        <w:t>et</w:t>
      </w:r>
      <w:r w:rsidRPr="002C4077">
        <w:t xml:space="preserve"> </w:t>
      </w:r>
      <w:r>
        <w:t>spécialement</w:t>
      </w:r>
      <w:r w:rsidRPr="002C4077">
        <w:t xml:space="preserve"> </w:t>
      </w:r>
      <w:r>
        <w:t>nos</w:t>
      </w:r>
      <w:r w:rsidRPr="002C4077">
        <w:t xml:space="preserve"> </w:t>
      </w:r>
      <w:r>
        <w:t>anciens</w:t>
      </w:r>
      <w:r w:rsidRPr="002C4077">
        <w:t xml:space="preserve"> </w:t>
      </w:r>
      <w:r>
        <w:t>élèves</w:t>
      </w:r>
      <w:r w:rsidRPr="002C4077">
        <w:t xml:space="preserve"> </w:t>
      </w:r>
      <w:r>
        <w:t>pour</w:t>
      </w:r>
      <w:r w:rsidRPr="002C4077">
        <w:t xml:space="preserve"> </w:t>
      </w:r>
      <w:r>
        <w:t>lesquels</w:t>
      </w:r>
      <w:r w:rsidRPr="002C4077">
        <w:t xml:space="preserve"> </w:t>
      </w:r>
      <w:r>
        <w:t>nous</w:t>
      </w:r>
      <w:r w:rsidRPr="002C4077">
        <w:t xml:space="preserve"> </w:t>
      </w:r>
      <w:r>
        <w:t>les</w:t>
      </w:r>
      <w:r w:rsidRPr="002C4077">
        <w:t xml:space="preserve"> </w:t>
      </w:r>
      <w:r>
        <w:t>avions</w:t>
      </w:r>
      <w:r w:rsidRPr="002C4077">
        <w:t xml:space="preserve"> </w:t>
      </w:r>
      <w:r>
        <w:t>tout</w:t>
      </w:r>
      <w:r w:rsidRPr="002C4077">
        <w:t xml:space="preserve"> </w:t>
      </w:r>
      <w:r>
        <w:t>d’abord</w:t>
      </w:r>
      <w:r w:rsidRPr="002C4077">
        <w:t xml:space="preserve"> </w:t>
      </w:r>
      <w:r>
        <w:t>écrites</w:t>
      </w:r>
      <w:r w:rsidRPr="002C4077">
        <w:t xml:space="preserve"> </w:t>
      </w:r>
      <w:r>
        <w:t>en</w:t>
      </w:r>
      <w:r w:rsidRPr="002C4077">
        <w:t xml:space="preserve"> </w:t>
      </w:r>
      <w:r>
        <w:t>grande</w:t>
      </w:r>
      <w:r w:rsidRPr="002C4077">
        <w:t xml:space="preserve"> </w:t>
      </w:r>
      <w:r>
        <w:t>partie.</w:t>
      </w:r>
      <w:r w:rsidRPr="002C4077">
        <w:t xml:space="preserve"> </w:t>
      </w:r>
    </w:p>
    <w:p w:rsidR="000A7AAB" w:rsidRDefault="000A7AAB" w:rsidP="000A7AAB">
      <w:r>
        <w:t>Les</w:t>
      </w:r>
      <w:r w:rsidRPr="002C4077">
        <w:t xml:space="preserve"> </w:t>
      </w:r>
      <w:r>
        <w:t>premières</w:t>
      </w:r>
      <w:r w:rsidRPr="002C4077">
        <w:t xml:space="preserve"> </w:t>
      </w:r>
      <w:r>
        <w:t>dissertations,</w:t>
      </w:r>
      <w:r w:rsidRPr="002C4077">
        <w:t xml:space="preserve"> </w:t>
      </w:r>
      <w:r>
        <w:t>malgré</w:t>
      </w:r>
      <w:r w:rsidRPr="002C4077">
        <w:t xml:space="preserve"> </w:t>
      </w:r>
      <w:r>
        <w:t>leurs</w:t>
      </w:r>
      <w:r w:rsidRPr="002C4077">
        <w:t xml:space="preserve"> </w:t>
      </w:r>
      <w:r>
        <w:t>imperfections</w:t>
      </w:r>
      <w:r w:rsidRPr="002C4077">
        <w:t xml:space="preserve"> </w:t>
      </w:r>
      <w:r>
        <w:t>natives,</w:t>
      </w:r>
      <w:r w:rsidRPr="002C4077">
        <w:t xml:space="preserve"> </w:t>
      </w:r>
      <w:r>
        <w:t>contribueront</w:t>
      </w:r>
      <w:r w:rsidRPr="002C4077">
        <w:t xml:space="preserve"> </w:t>
      </w:r>
      <w:r>
        <w:t>certainement</w:t>
      </w:r>
      <w:r w:rsidRPr="002C4077">
        <w:t xml:space="preserve"> </w:t>
      </w:r>
      <w:r>
        <w:t>à</w:t>
      </w:r>
      <w:r w:rsidRPr="002C4077">
        <w:t xml:space="preserve"> </w:t>
      </w:r>
      <w:r>
        <w:t>démontrer,</w:t>
      </w:r>
      <w:r w:rsidRPr="002C4077">
        <w:t xml:space="preserve"> </w:t>
      </w:r>
      <w:r>
        <w:t>d’une</w:t>
      </w:r>
      <w:r w:rsidRPr="002C4077">
        <w:t xml:space="preserve"> </w:t>
      </w:r>
      <w:r>
        <w:t>part,</w:t>
      </w:r>
      <w:r w:rsidRPr="002C4077">
        <w:t xml:space="preserve"> </w:t>
      </w:r>
      <w:r>
        <w:t>la</w:t>
      </w:r>
      <w:r w:rsidRPr="002C4077">
        <w:t xml:space="preserve"> </w:t>
      </w:r>
      <w:r>
        <w:t>faiblesse</w:t>
      </w:r>
      <w:r w:rsidRPr="002C4077">
        <w:t xml:space="preserve"> </w:t>
      </w:r>
      <w:r>
        <w:t>des</w:t>
      </w:r>
      <w:r w:rsidRPr="002C4077">
        <w:t xml:space="preserve"> </w:t>
      </w:r>
      <w:r>
        <w:t>attaques</w:t>
      </w:r>
      <w:r w:rsidRPr="002C4077">
        <w:t xml:space="preserve"> </w:t>
      </w:r>
      <w:r>
        <w:t>dirigées</w:t>
      </w:r>
      <w:r w:rsidRPr="002C4077">
        <w:t xml:space="preserve"> </w:t>
      </w:r>
      <w:r>
        <w:t>de</w:t>
      </w:r>
      <w:r w:rsidRPr="002C4077">
        <w:t xml:space="preserve"> </w:t>
      </w:r>
      <w:r>
        <w:t>nos</w:t>
      </w:r>
      <w:r w:rsidRPr="002C4077">
        <w:t xml:space="preserve"> </w:t>
      </w:r>
      <w:r>
        <w:t>jours</w:t>
      </w:r>
      <w:r w:rsidRPr="002C4077">
        <w:t xml:space="preserve"> </w:t>
      </w:r>
      <w:r>
        <w:t>avec</w:t>
      </w:r>
      <w:r w:rsidRPr="002C4077">
        <w:t xml:space="preserve"> </w:t>
      </w:r>
      <w:r>
        <w:t>un</w:t>
      </w:r>
      <w:r w:rsidRPr="002C4077">
        <w:t xml:space="preserve"> </w:t>
      </w:r>
      <w:r>
        <w:t>si</w:t>
      </w:r>
      <w:r w:rsidRPr="002C4077">
        <w:t xml:space="preserve"> </w:t>
      </w:r>
      <w:r>
        <w:t>vif</w:t>
      </w:r>
      <w:r w:rsidRPr="002C4077">
        <w:t xml:space="preserve"> </w:t>
      </w:r>
      <w:r>
        <w:t>acharnement</w:t>
      </w:r>
      <w:r w:rsidRPr="002C4077">
        <w:t xml:space="preserve"> </w:t>
      </w:r>
      <w:r>
        <w:t>contre</w:t>
      </w:r>
      <w:r w:rsidRPr="002C4077">
        <w:t xml:space="preserve"> </w:t>
      </w:r>
      <w:r>
        <w:t>la</w:t>
      </w:r>
      <w:r w:rsidRPr="002C4077">
        <w:t xml:space="preserve"> </w:t>
      </w:r>
      <w:r>
        <w:t>Bible</w:t>
      </w:r>
      <w:r w:rsidRPr="002C4077">
        <w:t xml:space="preserve"> </w:t>
      </w:r>
      <w:r>
        <w:t>par</w:t>
      </w:r>
      <w:r w:rsidRPr="002C4077">
        <w:t xml:space="preserve"> </w:t>
      </w:r>
      <w:r>
        <w:t>l’école</w:t>
      </w:r>
      <w:r w:rsidRPr="002C4077">
        <w:t xml:space="preserve"> </w:t>
      </w:r>
      <w:r>
        <w:t>rationaliste</w:t>
      </w:r>
      <w:r w:rsidR="00B546AF">
        <w:t> ;</w:t>
      </w:r>
      <w:r w:rsidRPr="002C4077">
        <w:t xml:space="preserve"> </w:t>
      </w:r>
      <w:r>
        <w:t>d’autre</w:t>
      </w:r>
      <w:r w:rsidRPr="002C4077">
        <w:t xml:space="preserve"> </w:t>
      </w:r>
      <w:r>
        <w:t>part,</w:t>
      </w:r>
      <w:r w:rsidRPr="002C4077">
        <w:t xml:space="preserve"> </w:t>
      </w:r>
      <w:r>
        <w:t>la</w:t>
      </w:r>
      <w:r w:rsidRPr="002C4077">
        <w:t xml:space="preserve"> </w:t>
      </w:r>
      <w:r>
        <w:t>valeur</w:t>
      </w:r>
      <w:r w:rsidRPr="002C4077">
        <w:t xml:space="preserve"> </w:t>
      </w:r>
      <w:r>
        <w:t>inébranlable</w:t>
      </w:r>
      <w:r w:rsidRPr="002C4077">
        <w:t xml:space="preserve"> </w:t>
      </w:r>
      <w:r>
        <w:t>de</w:t>
      </w:r>
      <w:r w:rsidRPr="002C4077">
        <w:t xml:space="preserve"> </w:t>
      </w:r>
      <w:r>
        <w:t>l’interprétation</w:t>
      </w:r>
      <w:r w:rsidRPr="002C4077">
        <w:t xml:space="preserve"> </w:t>
      </w:r>
      <w:r>
        <w:t>traditionnelle</w:t>
      </w:r>
      <w:r w:rsidRPr="002C4077">
        <w:t xml:space="preserve"> </w:t>
      </w:r>
      <w:r>
        <w:t>sur</w:t>
      </w:r>
      <w:r w:rsidRPr="002C4077">
        <w:t xml:space="preserve"> </w:t>
      </w:r>
      <w:r>
        <w:t>les</w:t>
      </w:r>
      <w:r w:rsidRPr="002C4077">
        <w:t xml:space="preserve"> </w:t>
      </w:r>
      <w:r>
        <w:t>points</w:t>
      </w:r>
      <w:r w:rsidRPr="002C4077">
        <w:t xml:space="preserve"> </w:t>
      </w:r>
      <w:r>
        <w:t>de</w:t>
      </w:r>
      <w:r w:rsidRPr="002C4077">
        <w:t xml:space="preserve"> </w:t>
      </w:r>
      <w:r>
        <w:t>doctrine.</w:t>
      </w:r>
      <w:r w:rsidRPr="002C4077">
        <w:t xml:space="preserve"> </w:t>
      </w:r>
    </w:p>
    <w:p w:rsidR="000A7AAB" w:rsidRDefault="000A7AAB" w:rsidP="000A7AAB">
      <w:r>
        <w:t>En</w:t>
      </w:r>
      <w:r w:rsidRPr="002C4077">
        <w:t xml:space="preserve"> </w:t>
      </w:r>
      <w:r>
        <w:t>tête</w:t>
      </w:r>
      <w:r w:rsidRPr="002C4077">
        <w:t xml:space="preserve"> </w:t>
      </w:r>
      <w:r>
        <w:t>du</w:t>
      </w:r>
      <w:r w:rsidRPr="002C4077">
        <w:t xml:space="preserve"> </w:t>
      </w:r>
      <w:r>
        <w:t>volume</w:t>
      </w:r>
      <w:r w:rsidRPr="002C4077">
        <w:t xml:space="preserve"> </w:t>
      </w:r>
      <w:r>
        <w:t>et</w:t>
      </w:r>
      <w:r w:rsidRPr="002C4077">
        <w:t xml:space="preserve"> </w:t>
      </w:r>
      <w:r>
        <w:t>à</w:t>
      </w:r>
      <w:r w:rsidRPr="002C4077">
        <w:t xml:space="preserve"> </w:t>
      </w:r>
      <w:r>
        <w:t>la</w:t>
      </w:r>
      <w:r w:rsidRPr="002C4077">
        <w:t xml:space="preserve"> </w:t>
      </w:r>
      <w:r>
        <w:t>place</w:t>
      </w:r>
      <w:r w:rsidRPr="002C4077">
        <w:t xml:space="preserve"> </w:t>
      </w:r>
      <w:r>
        <w:t>d’honneur</w:t>
      </w:r>
      <w:r w:rsidRPr="002C4077">
        <w:t xml:space="preserve"> </w:t>
      </w:r>
      <w:r>
        <w:t>on</w:t>
      </w:r>
      <w:r w:rsidRPr="002C4077">
        <w:t xml:space="preserve"> </w:t>
      </w:r>
      <w:r>
        <w:t>trouvera</w:t>
      </w:r>
      <w:r w:rsidRPr="002C4077">
        <w:t xml:space="preserve"> </w:t>
      </w:r>
      <w:r>
        <w:t>le</w:t>
      </w:r>
      <w:r w:rsidRPr="002C4077">
        <w:t xml:space="preserve"> </w:t>
      </w:r>
      <w:r>
        <w:t>travail</w:t>
      </w:r>
      <w:r w:rsidRPr="002C4077">
        <w:t xml:space="preserve"> </w:t>
      </w:r>
      <w:r>
        <w:t>relatif</w:t>
      </w:r>
      <w:r w:rsidRPr="002C4077">
        <w:t xml:space="preserve"> </w:t>
      </w:r>
      <w:r>
        <w:t>à</w:t>
      </w:r>
      <w:r w:rsidRPr="002C4077">
        <w:t xml:space="preserve"> </w:t>
      </w:r>
      <w:r>
        <w:t>la</w:t>
      </w:r>
      <w:r w:rsidRPr="002C4077">
        <w:t xml:space="preserve"> </w:t>
      </w:r>
      <w:r>
        <w:t>prophétie</w:t>
      </w:r>
      <w:r w:rsidRPr="002C4077">
        <w:t xml:space="preserve"> </w:t>
      </w:r>
      <w:r>
        <w:t>de</w:t>
      </w:r>
      <w:r w:rsidRPr="002C4077">
        <w:t xml:space="preserve"> </w:t>
      </w:r>
      <w:r w:rsidR="00D40830" w:rsidRPr="00D40830">
        <w:t>l’</w:t>
      </w:r>
      <w:r w:rsidR="00D40830" w:rsidRPr="00D05EA9">
        <w:rPr>
          <w:rStyle w:val="italicus"/>
        </w:rPr>
        <w:t>῾almah</w:t>
      </w:r>
      <w:r w:rsidRPr="002C4077">
        <w:t xml:space="preserve"> </w:t>
      </w:r>
      <w:r>
        <w:t>et</w:t>
      </w:r>
      <w:r w:rsidRPr="002C4077">
        <w:t xml:space="preserve"> </w:t>
      </w:r>
      <w:r>
        <w:t>d’Emmanuel,</w:t>
      </w:r>
      <w:r w:rsidRPr="002C4077">
        <w:t xml:space="preserve"> </w:t>
      </w:r>
      <w:r>
        <w:t>qui</w:t>
      </w:r>
      <w:r w:rsidRPr="002C4077">
        <w:t xml:space="preserve"> </w:t>
      </w:r>
      <w:r>
        <w:t>a</w:t>
      </w:r>
      <w:r w:rsidRPr="002C4077">
        <w:t xml:space="preserve"> </w:t>
      </w:r>
      <w:r>
        <w:t>rempli</w:t>
      </w:r>
      <w:r w:rsidRPr="002C4077">
        <w:t xml:space="preserve"> </w:t>
      </w:r>
      <w:r>
        <w:t>quatre</w:t>
      </w:r>
      <w:r w:rsidRPr="002C4077">
        <w:t xml:space="preserve"> </w:t>
      </w:r>
      <w:r>
        <w:t>mois</w:t>
      </w:r>
      <w:r w:rsidRPr="002C4077">
        <w:t xml:space="preserve"> </w:t>
      </w:r>
      <w:r>
        <w:t>entiers</w:t>
      </w:r>
      <w:r w:rsidRPr="002C4077">
        <w:t xml:space="preserve"> </w:t>
      </w:r>
      <w:r>
        <w:t>de</w:t>
      </w:r>
      <w:r w:rsidRPr="002C4077">
        <w:t xml:space="preserve"> </w:t>
      </w:r>
      <w:r>
        <w:t>notre</w:t>
      </w:r>
      <w:r w:rsidRPr="002C4077">
        <w:t xml:space="preserve"> </w:t>
      </w:r>
      <w:r>
        <w:t>vie.</w:t>
      </w:r>
      <w:r w:rsidRPr="002C4077">
        <w:t xml:space="preserve"> </w:t>
      </w:r>
      <w:r>
        <w:t>Aux</w:t>
      </w:r>
      <w:r w:rsidRPr="002C4077">
        <w:t xml:space="preserve"> </w:t>
      </w:r>
      <w:r>
        <w:t>objections</w:t>
      </w:r>
      <w:r w:rsidRPr="002C4077">
        <w:t xml:space="preserve"> </w:t>
      </w:r>
      <w:r>
        <w:t>passionnées</w:t>
      </w:r>
      <w:r w:rsidRPr="002C4077">
        <w:t xml:space="preserve"> </w:t>
      </w:r>
      <w:r>
        <w:t>et</w:t>
      </w:r>
      <w:r w:rsidRPr="002C4077">
        <w:t xml:space="preserve"> </w:t>
      </w:r>
      <w:r>
        <w:t>sans</w:t>
      </w:r>
      <w:r w:rsidRPr="002C4077">
        <w:t xml:space="preserve"> </w:t>
      </w:r>
      <w:r>
        <w:t>nombre</w:t>
      </w:r>
      <w:r w:rsidRPr="002C4077">
        <w:t xml:space="preserve"> </w:t>
      </w:r>
      <w:r>
        <w:t>de</w:t>
      </w:r>
      <w:r w:rsidRPr="002C4077">
        <w:t xml:space="preserve"> </w:t>
      </w:r>
      <w:r>
        <w:t>nos</w:t>
      </w:r>
      <w:r w:rsidRPr="002C4077">
        <w:t xml:space="preserve"> </w:t>
      </w:r>
      <w:r>
        <w:t>adversaires,</w:t>
      </w:r>
      <w:r w:rsidRPr="002C4077">
        <w:t xml:space="preserve"> </w:t>
      </w:r>
      <w:r>
        <w:t>nous</w:t>
      </w:r>
      <w:r w:rsidRPr="002C4077">
        <w:t xml:space="preserve"> </w:t>
      </w:r>
      <w:r>
        <w:t>avons</w:t>
      </w:r>
      <w:r w:rsidRPr="002C4077">
        <w:t xml:space="preserve"> </w:t>
      </w:r>
      <w:r>
        <w:t>essayé</w:t>
      </w:r>
      <w:r w:rsidRPr="002C4077">
        <w:t xml:space="preserve"> </w:t>
      </w:r>
      <w:r>
        <w:t>d’opposer</w:t>
      </w:r>
      <w:r w:rsidRPr="002C4077">
        <w:t xml:space="preserve"> </w:t>
      </w:r>
      <w:r>
        <w:t>le</w:t>
      </w:r>
      <w:r w:rsidRPr="002C4077">
        <w:t xml:space="preserve"> </w:t>
      </w:r>
      <w:r>
        <w:t>calme</w:t>
      </w:r>
      <w:r w:rsidRPr="002C4077">
        <w:t xml:space="preserve"> </w:t>
      </w:r>
      <w:r>
        <w:t>et</w:t>
      </w:r>
      <w:r w:rsidRPr="002C4077">
        <w:t xml:space="preserve"> </w:t>
      </w:r>
      <w:r>
        <w:t>la</w:t>
      </w:r>
      <w:r w:rsidRPr="002C4077">
        <w:t xml:space="preserve"> </w:t>
      </w:r>
      <w:r>
        <w:t>vigueur</w:t>
      </w:r>
      <w:r w:rsidRPr="002C4077">
        <w:t xml:space="preserve"> </w:t>
      </w:r>
      <w:r>
        <w:t>de</w:t>
      </w:r>
      <w:r w:rsidRPr="002C4077">
        <w:t xml:space="preserve"> </w:t>
      </w:r>
      <w:r>
        <w:t>la</w:t>
      </w:r>
      <w:r w:rsidRPr="002C4077">
        <w:t xml:space="preserve"> </w:t>
      </w:r>
      <w:r>
        <w:t>démonstration</w:t>
      </w:r>
      <w:r w:rsidRPr="002C4077">
        <w:t xml:space="preserve"> </w:t>
      </w:r>
      <w:r>
        <w:t>chrétienne.</w:t>
      </w:r>
      <w:r w:rsidRPr="002C4077">
        <w:t xml:space="preserve"> </w:t>
      </w:r>
    </w:p>
    <w:p w:rsidR="000A7AAB" w:rsidRDefault="000A7AAB" w:rsidP="000A7AAB">
      <w:r>
        <w:t>Puis,</w:t>
      </w:r>
      <w:r w:rsidRPr="002C4077">
        <w:t xml:space="preserve"> </w:t>
      </w:r>
      <w:r>
        <w:t>il</w:t>
      </w:r>
      <w:r w:rsidRPr="002C4077">
        <w:t xml:space="preserve"> </w:t>
      </w:r>
      <w:r>
        <w:t>nous</w:t>
      </w:r>
      <w:r w:rsidRPr="002C4077">
        <w:t xml:space="preserve"> </w:t>
      </w:r>
      <w:r>
        <w:t>a</w:t>
      </w:r>
      <w:r w:rsidRPr="002C4077">
        <w:t xml:space="preserve"> </w:t>
      </w:r>
      <w:r>
        <w:t>été</w:t>
      </w:r>
      <w:r w:rsidRPr="002C4077">
        <w:t xml:space="preserve"> </w:t>
      </w:r>
      <w:r>
        <w:t>doux</w:t>
      </w:r>
      <w:r w:rsidRPr="002C4077">
        <w:t xml:space="preserve"> </w:t>
      </w:r>
      <w:r>
        <w:t>d’accompagner</w:t>
      </w:r>
      <w:r w:rsidRPr="002C4077">
        <w:t xml:space="preserve"> </w:t>
      </w:r>
      <w:r>
        <w:t>le</w:t>
      </w:r>
      <w:r w:rsidRPr="002C4077">
        <w:t xml:space="preserve"> </w:t>
      </w:r>
      <w:r w:rsidRPr="000A34B5">
        <w:rPr>
          <w:rStyle w:val="italicus"/>
        </w:rPr>
        <w:t>Christus</w:t>
      </w:r>
      <w:r w:rsidRPr="002C4077">
        <w:t xml:space="preserve"> </w:t>
      </w:r>
      <w:r w:rsidR="007554FC" w:rsidRPr="000A34B5">
        <w:rPr>
          <w:rStyle w:val="italicus"/>
        </w:rPr>
        <w:t>pátiens</w:t>
      </w:r>
      <w:r w:rsidRPr="002C4077">
        <w:t xml:space="preserve"> </w:t>
      </w:r>
      <w:r>
        <w:t>à</w:t>
      </w:r>
      <w:r w:rsidRPr="002C4077">
        <w:t xml:space="preserve"> </w:t>
      </w:r>
      <w:r>
        <w:t>Gethsémani,</w:t>
      </w:r>
      <w:r w:rsidRPr="002C4077">
        <w:t xml:space="preserve"> </w:t>
      </w:r>
      <w:r>
        <w:t>et</w:t>
      </w:r>
      <w:r w:rsidRPr="002C4077">
        <w:t xml:space="preserve"> </w:t>
      </w:r>
      <w:r>
        <w:t>de</w:t>
      </w:r>
      <w:r w:rsidRPr="002C4077">
        <w:t xml:space="preserve"> </w:t>
      </w:r>
      <w:r>
        <w:t>maintenir</w:t>
      </w:r>
      <w:r w:rsidRPr="002C4077">
        <w:t xml:space="preserve"> </w:t>
      </w:r>
      <w:r>
        <w:t>de</w:t>
      </w:r>
      <w:r w:rsidRPr="002C4077">
        <w:t xml:space="preserve"> </w:t>
      </w:r>
      <w:r>
        <w:t>toutes</w:t>
      </w:r>
      <w:r w:rsidRPr="002C4077">
        <w:t xml:space="preserve"> </w:t>
      </w:r>
      <w:r>
        <w:t>nos</w:t>
      </w:r>
      <w:r w:rsidRPr="002C4077">
        <w:t xml:space="preserve"> </w:t>
      </w:r>
      <w:r>
        <w:t>forces</w:t>
      </w:r>
      <w:r w:rsidRPr="002C4077">
        <w:t xml:space="preserve"> </w:t>
      </w:r>
      <w:r>
        <w:t>l’authenticité,</w:t>
      </w:r>
      <w:r w:rsidRPr="002C4077">
        <w:t xml:space="preserve"> </w:t>
      </w:r>
      <w:r>
        <w:t>la</w:t>
      </w:r>
      <w:r w:rsidRPr="002C4077">
        <w:t xml:space="preserve"> </w:t>
      </w:r>
      <w:r>
        <w:t>véracité,</w:t>
      </w:r>
      <w:r w:rsidRPr="002C4077">
        <w:t xml:space="preserve"> </w:t>
      </w:r>
      <w:r>
        <w:t>le</w:t>
      </w:r>
      <w:r w:rsidRPr="002C4077">
        <w:t xml:space="preserve"> </w:t>
      </w:r>
      <w:r>
        <w:t>caractère</w:t>
      </w:r>
      <w:r w:rsidRPr="002C4077">
        <w:t xml:space="preserve"> </w:t>
      </w:r>
      <w:r>
        <w:t>historique</w:t>
      </w:r>
      <w:r w:rsidRPr="002C4077">
        <w:t xml:space="preserve"> </w:t>
      </w:r>
      <w:r>
        <w:t>de</w:t>
      </w:r>
      <w:r w:rsidRPr="002C4077">
        <w:t xml:space="preserve"> </w:t>
      </w:r>
      <w:r>
        <w:t>deux</w:t>
      </w:r>
      <w:r w:rsidRPr="002C4077">
        <w:t xml:space="preserve"> </w:t>
      </w:r>
      <w:r>
        <w:t>des</w:t>
      </w:r>
      <w:r w:rsidRPr="002C4077">
        <w:t xml:space="preserve"> </w:t>
      </w:r>
      <w:r>
        <w:t>plus</w:t>
      </w:r>
      <w:r w:rsidRPr="002C4077">
        <w:t xml:space="preserve"> </w:t>
      </w:r>
      <w:r>
        <w:t>beaux</w:t>
      </w:r>
      <w:r w:rsidRPr="002C4077">
        <w:t xml:space="preserve"> </w:t>
      </w:r>
      <w:r>
        <w:t>traits</w:t>
      </w:r>
      <w:r w:rsidRPr="002C4077">
        <w:t xml:space="preserve"> </w:t>
      </w:r>
      <w:r>
        <w:t>de</w:t>
      </w:r>
      <w:r w:rsidRPr="002C4077">
        <w:t xml:space="preserve"> </w:t>
      </w:r>
      <w:r>
        <w:t>sa</w:t>
      </w:r>
      <w:r w:rsidRPr="002C4077">
        <w:t xml:space="preserve"> </w:t>
      </w:r>
      <w:r>
        <w:t>douloureuse</w:t>
      </w:r>
      <w:r w:rsidRPr="002C4077">
        <w:t xml:space="preserve"> </w:t>
      </w:r>
      <w:r>
        <w:t>agonie,</w:t>
      </w:r>
      <w:r w:rsidRPr="002C4077">
        <w:t xml:space="preserve"> </w:t>
      </w:r>
      <w:r>
        <w:t>la</w:t>
      </w:r>
      <w:r w:rsidRPr="002C4077">
        <w:t xml:space="preserve"> </w:t>
      </w:r>
      <w:r>
        <w:t>Sueur</w:t>
      </w:r>
      <w:r w:rsidRPr="002C4077">
        <w:t xml:space="preserve"> </w:t>
      </w:r>
      <w:r>
        <w:t>de</w:t>
      </w:r>
      <w:r w:rsidRPr="002C4077">
        <w:t xml:space="preserve"> </w:t>
      </w:r>
      <w:r>
        <w:t>sang</w:t>
      </w:r>
      <w:r w:rsidRPr="002C4077">
        <w:t xml:space="preserve"> </w:t>
      </w:r>
      <w:r>
        <w:t>et</w:t>
      </w:r>
      <w:r w:rsidRPr="002C4077">
        <w:t xml:space="preserve"> </w:t>
      </w:r>
      <w:r>
        <w:t>l’Apparition</w:t>
      </w:r>
      <w:r w:rsidRPr="002C4077">
        <w:t xml:space="preserve"> </w:t>
      </w:r>
      <w:r>
        <w:t>de</w:t>
      </w:r>
      <w:r w:rsidRPr="002C4077">
        <w:t xml:space="preserve"> </w:t>
      </w:r>
      <w:r>
        <w:t>l’Ange.</w:t>
      </w:r>
      <w:r w:rsidRPr="002C4077">
        <w:t xml:space="preserve"> </w:t>
      </w:r>
    </w:p>
    <w:p w:rsidR="000A7AAB" w:rsidRDefault="000A7AAB" w:rsidP="000A7AAB">
      <w:r>
        <w:t>Nous</w:t>
      </w:r>
      <w:r w:rsidRPr="002C4077">
        <w:t xml:space="preserve"> </w:t>
      </w:r>
      <w:r>
        <w:t>n’attachons</w:t>
      </w:r>
      <w:r w:rsidRPr="002C4077">
        <w:t xml:space="preserve"> </w:t>
      </w:r>
      <w:r>
        <w:t>pas</w:t>
      </w:r>
      <w:r w:rsidRPr="002C4077">
        <w:t xml:space="preserve"> </w:t>
      </w:r>
      <w:r>
        <w:t>plus</w:t>
      </w:r>
      <w:r w:rsidRPr="002C4077">
        <w:t xml:space="preserve"> </w:t>
      </w:r>
      <w:r>
        <w:t>d’importance</w:t>
      </w:r>
      <w:r w:rsidRPr="002C4077">
        <w:t xml:space="preserve"> </w:t>
      </w:r>
      <w:r>
        <w:t>qu’elles</w:t>
      </w:r>
      <w:r w:rsidRPr="002C4077">
        <w:t xml:space="preserve"> </w:t>
      </w:r>
      <w:r>
        <w:t>n’en</w:t>
      </w:r>
      <w:r w:rsidRPr="002C4077">
        <w:t xml:space="preserve"> </w:t>
      </w:r>
      <w:r>
        <w:t>méritent</w:t>
      </w:r>
      <w:r w:rsidRPr="002C4077">
        <w:t xml:space="preserve"> </w:t>
      </w:r>
      <w:r>
        <w:t>aux</w:t>
      </w:r>
      <w:r w:rsidRPr="002C4077">
        <w:t xml:space="preserve"> </w:t>
      </w:r>
      <w:r>
        <w:t>dissertations</w:t>
      </w:r>
      <w:r w:rsidRPr="002C4077">
        <w:t xml:space="preserve"> </w:t>
      </w:r>
      <w:r>
        <w:t>intitulées</w:t>
      </w:r>
      <w:r w:rsidRPr="002C4077">
        <w:t xml:space="preserve"> </w:t>
      </w:r>
      <w:r w:rsidRPr="000A34B5">
        <w:rPr>
          <w:rStyle w:val="italicus"/>
        </w:rPr>
        <w:t>L’Évangile</w:t>
      </w:r>
      <w:r w:rsidRPr="002C4077">
        <w:t xml:space="preserve"> </w:t>
      </w:r>
      <w:r w:rsidRPr="000A34B5">
        <w:rPr>
          <w:rStyle w:val="italicus"/>
        </w:rPr>
        <w:t>selon</w:t>
      </w:r>
      <w:r w:rsidRPr="002C4077">
        <w:t xml:space="preserve"> </w:t>
      </w:r>
      <w:r w:rsidRPr="000A34B5">
        <w:rPr>
          <w:rStyle w:val="italicus"/>
        </w:rPr>
        <w:t>M.</w:t>
      </w:r>
      <w:r w:rsidRPr="002C4077">
        <w:t xml:space="preserve"> </w:t>
      </w:r>
      <w:r w:rsidRPr="000A34B5">
        <w:rPr>
          <w:rStyle w:val="italicus"/>
        </w:rPr>
        <w:t>Havet,</w:t>
      </w:r>
      <w:r w:rsidRPr="002C4077">
        <w:t xml:space="preserve"> </w:t>
      </w:r>
      <w:r>
        <w:t>et</w:t>
      </w:r>
      <w:r w:rsidRPr="002C4077">
        <w:t xml:space="preserve"> </w:t>
      </w:r>
      <w:r w:rsidRPr="000A34B5">
        <w:rPr>
          <w:rStyle w:val="italicus"/>
        </w:rPr>
        <w:t>Ce</w:t>
      </w:r>
      <w:r w:rsidRPr="002C4077">
        <w:t xml:space="preserve"> </w:t>
      </w:r>
      <w:r w:rsidRPr="000A34B5">
        <w:rPr>
          <w:rStyle w:val="italicus"/>
        </w:rPr>
        <w:t>qu’on</w:t>
      </w:r>
      <w:r w:rsidRPr="002C4077">
        <w:t xml:space="preserve"> </w:t>
      </w:r>
      <w:r w:rsidRPr="000A34B5">
        <w:rPr>
          <w:rStyle w:val="italicus"/>
        </w:rPr>
        <w:t>daigne</w:t>
      </w:r>
      <w:r w:rsidRPr="002C4077">
        <w:t xml:space="preserve"> </w:t>
      </w:r>
      <w:r w:rsidRPr="000A34B5">
        <w:rPr>
          <w:rStyle w:val="italicus"/>
        </w:rPr>
        <w:t>nous</w:t>
      </w:r>
      <w:r w:rsidRPr="002C4077">
        <w:t xml:space="preserve"> </w:t>
      </w:r>
      <w:r w:rsidRPr="000A34B5">
        <w:rPr>
          <w:rStyle w:val="italicus"/>
        </w:rPr>
        <w:t>laisser</w:t>
      </w:r>
      <w:r w:rsidRPr="002C4077">
        <w:t xml:space="preserve"> </w:t>
      </w:r>
      <w:r w:rsidRPr="000A34B5">
        <w:rPr>
          <w:rStyle w:val="italicus"/>
        </w:rPr>
        <w:t>du</w:t>
      </w:r>
      <w:r w:rsidRPr="002C4077">
        <w:t xml:space="preserve"> </w:t>
      </w:r>
      <w:r w:rsidRPr="000A34B5">
        <w:rPr>
          <w:rStyle w:val="italicus"/>
        </w:rPr>
        <w:t>Nouveau</w:t>
      </w:r>
      <w:r w:rsidRPr="002C4077">
        <w:t xml:space="preserve"> </w:t>
      </w:r>
      <w:r w:rsidRPr="000A34B5">
        <w:rPr>
          <w:rStyle w:val="italicus"/>
        </w:rPr>
        <w:t>Testament,</w:t>
      </w:r>
      <w:r w:rsidRPr="002C4077">
        <w:t xml:space="preserve"> </w:t>
      </w:r>
      <w:r>
        <w:t>écrites</w:t>
      </w:r>
      <w:r w:rsidRPr="002C4077">
        <w:t xml:space="preserve"> </w:t>
      </w:r>
      <w:r>
        <w:t>au</w:t>
      </w:r>
      <w:r w:rsidRPr="002C4077">
        <w:t xml:space="preserve"> </w:t>
      </w:r>
      <w:r>
        <w:t>courant</w:t>
      </w:r>
      <w:r w:rsidRPr="002C4077">
        <w:t xml:space="preserve"> </w:t>
      </w:r>
      <w:r>
        <w:t>de</w:t>
      </w:r>
      <w:r w:rsidRPr="002C4077">
        <w:t xml:space="preserve"> </w:t>
      </w:r>
      <w:r>
        <w:t>la</w:t>
      </w:r>
      <w:r w:rsidRPr="002C4077">
        <w:t xml:space="preserve"> </w:t>
      </w:r>
      <w:r>
        <w:t>plume</w:t>
      </w:r>
      <w:r w:rsidRPr="002C4077">
        <w:t xml:space="preserve"> </w:t>
      </w:r>
      <w:r>
        <w:t>en</w:t>
      </w:r>
      <w:r w:rsidRPr="002C4077">
        <w:t xml:space="preserve"> </w:t>
      </w:r>
      <w:r>
        <w:t>des</w:t>
      </w:r>
      <w:r w:rsidRPr="002C4077">
        <w:t xml:space="preserve"> </w:t>
      </w:r>
      <w:r>
        <w:t>heures</w:t>
      </w:r>
      <w:r w:rsidRPr="002C4077">
        <w:t xml:space="preserve"> </w:t>
      </w:r>
      <w:r>
        <w:t>d’indignation</w:t>
      </w:r>
      <w:r w:rsidRPr="002C4077">
        <w:t xml:space="preserve"> </w:t>
      </w:r>
      <w:r w:rsidRPr="009D58B1">
        <w:t>ou d’</w:t>
      </w:r>
      <w:r w:rsidRPr="000A34B5">
        <w:rPr>
          <w:rStyle w:val="italicus"/>
        </w:rPr>
        <w:t>humour,</w:t>
      </w:r>
      <w:r w:rsidRPr="002C4077">
        <w:t xml:space="preserve"> </w:t>
      </w:r>
      <w:r>
        <w:t>après</w:t>
      </w:r>
      <w:r w:rsidRPr="002C4077">
        <w:t xml:space="preserve"> </w:t>
      </w:r>
      <w:r>
        <w:t>la</w:t>
      </w:r>
      <w:r w:rsidRPr="002C4077">
        <w:t xml:space="preserve"> </w:t>
      </w:r>
      <w:r>
        <w:t>lecture</w:t>
      </w:r>
      <w:r w:rsidRPr="002C4077">
        <w:t xml:space="preserve"> </w:t>
      </w:r>
      <w:r>
        <w:t>de</w:t>
      </w:r>
      <w:r w:rsidRPr="002C4077">
        <w:t xml:space="preserve"> </w:t>
      </w:r>
      <w:r>
        <w:t>plusieurs</w:t>
      </w:r>
      <w:r w:rsidRPr="002C4077">
        <w:t xml:space="preserve"> </w:t>
      </w:r>
      <w:r>
        <w:t>articles</w:t>
      </w:r>
      <w:r w:rsidRPr="002C4077">
        <w:t xml:space="preserve"> </w:t>
      </w:r>
      <w:r>
        <w:t>ultra-rationalistes</w:t>
      </w:r>
      <w:r w:rsidRPr="002C4077">
        <w:t xml:space="preserve"> </w:t>
      </w:r>
      <w:r>
        <w:t>qui</w:t>
      </w:r>
      <w:r w:rsidRPr="002C4077">
        <w:t xml:space="preserve"> </w:t>
      </w:r>
      <w:r>
        <w:t>venaient</w:t>
      </w:r>
      <w:r w:rsidRPr="002C4077">
        <w:t xml:space="preserve"> </w:t>
      </w:r>
      <w:r>
        <w:t>alors</w:t>
      </w:r>
      <w:r w:rsidRPr="002C4077">
        <w:t xml:space="preserve"> </w:t>
      </w:r>
      <w:r>
        <w:t>de</w:t>
      </w:r>
      <w:r w:rsidRPr="002C4077">
        <w:t xml:space="preserve"> </w:t>
      </w:r>
      <w:r>
        <w:t>paraître.</w:t>
      </w:r>
      <w:r w:rsidRPr="002C4077">
        <w:t xml:space="preserve"> </w:t>
      </w:r>
      <w:r>
        <w:t>Si</w:t>
      </w:r>
      <w:r w:rsidRPr="002C4077">
        <w:t xml:space="preserve"> </w:t>
      </w:r>
      <w:r>
        <w:t>elles</w:t>
      </w:r>
      <w:r w:rsidRPr="002C4077">
        <w:t xml:space="preserve"> </w:t>
      </w:r>
      <w:r>
        <w:t>ont</w:t>
      </w:r>
      <w:r w:rsidRPr="002C4077">
        <w:t xml:space="preserve"> </w:t>
      </w:r>
      <w:r>
        <w:t>la</w:t>
      </w:r>
      <w:r w:rsidRPr="002C4077">
        <w:t xml:space="preserve"> </w:t>
      </w:r>
      <w:r>
        <w:t>bonne</w:t>
      </w:r>
      <w:r w:rsidRPr="002C4077">
        <w:t xml:space="preserve"> </w:t>
      </w:r>
      <w:r>
        <w:t>fortune</w:t>
      </w:r>
      <w:r w:rsidRPr="002C4077">
        <w:t xml:space="preserve"> </w:t>
      </w:r>
      <w:r>
        <w:t>de</w:t>
      </w:r>
      <w:r w:rsidRPr="002C4077">
        <w:t xml:space="preserve"> </w:t>
      </w:r>
      <w:r>
        <w:t>vivre</w:t>
      </w:r>
      <w:r w:rsidRPr="002C4077">
        <w:t xml:space="preserve"> </w:t>
      </w:r>
      <w:r>
        <w:t>quelques</w:t>
      </w:r>
      <w:r w:rsidRPr="002C4077">
        <w:t xml:space="preserve"> </w:t>
      </w:r>
      <w:r>
        <w:t>années,</w:t>
      </w:r>
      <w:r w:rsidRPr="002C4077">
        <w:t xml:space="preserve"> </w:t>
      </w:r>
      <w:r>
        <w:t>elles</w:t>
      </w:r>
      <w:r w:rsidRPr="002C4077">
        <w:t xml:space="preserve"> </w:t>
      </w:r>
      <w:r>
        <w:t>témoigneront,</w:t>
      </w:r>
      <w:r w:rsidRPr="002C4077">
        <w:t xml:space="preserve"> </w:t>
      </w:r>
      <w:r>
        <w:t>—</w:t>
      </w:r>
      <w:r w:rsidRPr="002C4077">
        <w:t xml:space="preserve"> </w:t>
      </w:r>
      <w:r>
        <w:t>et</w:t>
      </w:r>
      <w:r w:rsidRPr="002C4077">
        <w:t xml:space="preserve"> </w:t>
      </w:r>
      <w:r>
        <w:t>c’est</w:t>
      </w:r>
      <w:r w:rsidRPr="002C4077">
        <w:t xml:space="preserve"> </w:t>
      </w:r>
      <w:r>
        <w:t>là</w:t>
      </w:r>
      <w:r w:rsidRPr="002C4077">
        <w:t xml:space="preserve"> </w:t>
      </w:r>
      <w:r>
        <w:t>leur</w:t>
      </w:r>
      <w:r w:rsidRPr="002C4077">
        <w:t xml:space="preserve"> </w:t>
      </w:r>
      <w:r>
        <w:t>unique</w:t>
      </w:r>
      <w:r w:rsidRPr="002C4077">
        <w:t xml:space="preserve"> </w:t>
      </w:r>
      <w:r>
        <w:t>but,</w:t>
      </w:r>
      <w:r w:rsidRPr="002C4077">
        <w:t xml:space="preserve"> </w:t>
      </w:r>
      <w:r>
        <w:t>—</w:t>
      </w:r>
      <w:r w:rsidRPr="002C4077">
        <w:t xml:space="preserve"> </w:t>
      </w:r>
      <w:r>
        <w:t>de</w:t>
      </w:r>
      <w:r w:rsidRPr="002C4077">
        <w:t xml:space="preserve"> </w:t>
      </w:r>
      <w:r>
        <w:t>l’outrecuidance</w:t>
      </w:r>
      <w:r w:rsidRPr="002C4077">
        <w:t xml:space="preserve"> </w:t>
      </w:r>
      <w:r>
        <w:t>avec</w:t>
      </w:r>
      <w:r w:rsidRPr="002C4077">
        <w:t xml:space="preserve"> </w:t>
      </w:r>
      <w:r>
        <w:t>laquelle</w:t>
      </w:r>
      <w:r w:rsidRPr="002C4077">
        <w:t xml:space="preserve"> </w:t>
      </w:r>
      <w:r>
        <w:t>les</w:t>
      </w:r>
      <w:r w:rsidRPr="002C4077">
        <w:t xml:space="preserve"> </w:t>
      </w:r>
      <w:r>
        <w:t>vulgarisateurs</w:t>
      </w:r>
      <w:r w:rsidRPr="002C4077">
        <w:t xml:space="preserve"> </w:t>
      </w:r>
      <w:r>
        <w:t>de</w:t>
      </w:r>
      <w:r w:rsidRPr="002C4077">
        <w:t xml:space="preserve"> </w:t>
      </w:r>
      <w:r>
        <w:t>l’école</w:t>
      </w:r>
      <w:r w:rsidRPr="002C4077">
        <w:t xml:space="preserve"> </w:t>
      </w:r>
      <w:r>
        <w:t>dite</w:t>
      </w:r>
      <w:r w:rsidRPr="002C4077">
        <w:t xml:space="preserve"> </w:t>
      </w:r>
      <w:r>
        <w:t>négative</w:t>
      </w:r>
      <w:r w:rsidRPr="002C4077">
        <w:t xml:space="preserve"> </w:t>
      </w:r>
      <w:r>
        <w:t>promulguent</w:t>
      </w:r>
      <w:r w:rsidRPr="002C4077">
        <w:t xml:space="preserve"> </w:t>
      </w:r>
      <w:r>
        <w:t>leurs</w:t>
      </w:r>
      <w:r w:rsidRPr="002C4077">
        <w:t xml:space="preserve"> </w:t>
      </w:r>
      <w:r>
        <w:t>nouveaux</w:t>
      </w:r>
      <w:r w:rsidRPr="002C4077">
        <w:t xml:space="preserve"> </w:t>
      </w:r>
      <w:r>
        <w:t>dogmes,</w:t>
      </w:r>
      <w:r w:rsidRPr="002C4077">
        <w:t xml:space="preserve"> </w:t>
      </w:r>
      <w:r>
        <w:t>sans</w:t>
      </w:r>
      <w:r w:rsidRPr="002C4077">
        <w:t xml:space="preserve"> </w:t>
      </w:r>
      <w:r>
        <w:t>le</w:t>
      </w:r>
      <w:r w:rsidRPr="002C4077">
        <w:t xml:space="preserve"> </w:t>
      </w:r>
      <w:r>
        <w:t>moindre</w:t>
      </w:r>
      <w:r w:rsidRPr="002C4077">
        <w:t xml:space="preserve"> </w:t>
      </w:r>
      <w:r>
        <w:t>souci</w:t>
      </w:r>
      <w:r w:rsidRPr="002C4077">
        <w:t xml:space="preserve"> </w:t>
      </w:r>
      <w:r>
        <w:t>des</w:t>
      </w:r>
      <w:r w:rsidRPr="002C4077">
        <w:t xml:space="preserve"> </w:t>
      </w:r>
      <w:r>
        <w:t>procédés</w:t>
      </w:r>
      <w:r w:rsidRPr="002C4077">
        <w:t xml:space="preserve"> </w:t>
      </w:r>
      <w:r>
        <w:t>scientifiques</w:t>
      </w:r>
      <w:r w:rsidRPr="002C4077">
        <w:t xml:space="preserve"> </w:t>
      </w:r>
      <w:r>
        <w:t>les</w:t>
      </w:r>
      <w:r w:rsidRPr="002C4077">
        <w:t xml:space="preserve"> </w:t>
      </w:r>
      <w:r>
        <w:t>plus</w:t>
      </w:r>
      <w:r w:rsidRPr="002C4077">
        <w:t xml:space="preserve"> </w:t>
      </w:r>
      <w:r>
        <w:t>élémentaires.</w:t>
      </w:r>
      <w:r w:rsidRPr="002C4077">
        <w:t xml:space="preserve"> </w:t>
      </w:r>
    </w:p>
    <w:p w:rsidR="000A7AAB" w:rsidRDefault="000A7AAB" w:rsidP="000A7AAB">
      <w:r>
        <w:t>Dans</w:t>
      </w:r>
      <w:r w:rsidRPr="002C4077">
        <w:t xml:space="preserve"> </w:t>
      </w:r>
      <w:r>
        <w:t>le</w:t>
      </w:r>
      <w:r w:rsidRPr="002C4077">
        <w:t xml:space="preserve"> </w:t>
      </w:r>
      <w:r>
        <w:t>travail</w:t>
      </w:r>
      <w:r w:rsidRPr="004440EA">
        <w:t xml:space="preserve"> (</w:t>
      </w:r>
      <w:r>
        <w:t>peut-être</w:t>
      </w:r>
      <w:r w:rsidRPr="002C4077">
        <w:t xml:space="preserve"> </w:t>
      </w:r>
      <w:r>
        <w:t>serait-il</w:t>
      </w:r>
      <w:r w:rsidRPr="002C4077">
        <w:t xml:space="preserve"> </w:t>
      </w:r>
      <w:r>
        <w:t>plus</w:t>
      </w:r>
      <w:r w:rsidRPr="002C4077">
        <w:t xml:space="preserve"> </w:t>
      </w:r>
      <w:r>
        <w:t>exact</w:t>
      </w:r>
      <w:r w:rsidRPr="002C4077">
        <w:t xml:space="preserve"> </w:t>
      </w:r>
      <w:r>
        <w:t>de</w:t>
      </w:r>
      <w:r w:rsidRPr="002C4077">
        <w:t xml:space="preserve"> </w:t>
      </w:r>
      <w:r>
        <w:t>dire</w:t>
      </w:r>
      <w:r w:rsidR="00B546AF">
        <w:t> :</w:t>
      </w:r>
      <w:r w:rsidRPr="002C4077">
        <w:t xml:space="preserve"> </w:t>
      </w:r>
      <w:r>
        <w:t>dans</w:t>
      </w:r>
      <w:r w:rsidRPr="002C4077">
        <w:t xml:space="preserve"> </w:t>
      </w:r>
      <w:r>
        <w:t>la</w:t>
      </w:r>
      <w:r w:rsidRPr="002C4077">
        <w:t xml:space="preserve"> </w:t>
      </w:r>
      <w:r>
        <w:t>nomenclature</w:t>
      </w:r>
      <w:r w:rsidR="00B546AF" w:rsidRPr="002C4077">
        <w:t>)</w:t>
      </w:r>
      <w:r w:rsidRPr="002C4077">
        <w:t xml:space="preserve"> </w:t>
      </w:r>
      <w:r>
        <w:t>qui</w:t>
      </w:r>
      <w:r w:rsidRPr="002C4077">
        <w:t xml:space="preserve"> </w:t>
      </w:r>
      <w:r>
        <w:t>suit,</w:t>
      </w:r>
      <w:r w:rsidRPr="002C4077">
        <w:t xml:space="preserve"> </w:t>
      </w:r>
      <w:r w:rsidRPr="000A34B5">
        <w:rPr>
          <w:rStyle w:val="italicus"/>
        </w:rPr>
        <w:t>L’Église</w:t>
      </w:r>
      <w:r w:rsidRPr="002C4077">
        <w:t xml:space="preserve"> </w:t>
      </w:r>
      <w:r w:rsidRPr="000A34B5">
        <w:rPr>
          <w:rStyle w:val="italicus"/>
        </w:rPr>
        <w:t>et</w:t>
      </w:r>
      <w:r w:rsidRPr="002C4077">
        <w:t xml:space="preserve"> </w:t>
      </w:r>
      <w:r w:rsidRPr="000A34B5">
        <w:rPr>
          <w:rStyle w:val="italicus"/>
        </w:rPr>
        <w:t>la</w:t>
      </w:r>
      <w:r w:rsidRPr="002C4077">
        <w:t xml:space="preserve"> </w:t>
      </w:r>
      <w:r w:rsidRPr="000A34B5">
        <w:rPr>
          <w:rStyle w:val="italicus"/>
        </w:rPr>
        <w:t>Critique</w:t>
      </w:r>
      <w:r w:rsidRPr="002C4077">
        <w:t xml:space="preserve"> </w:t>
      </w:r>
      <w:r w:rsidRPr="000A34B5">
        <w:rPr>
          <w:rStyle w:val="italicus"/>
        </w:rPr>
        <w:t>biblique,</w:t>
      </w:r>
      <w:r w:rsidRPr="002C4077">
        <w:t xml:space="preserve"> </w:t>
      </w:r>
      <w:r>
        <w:t>il</w:t>
      </w:r>
      <w:r w:rsidRPr="002C4077">
        <w:t xml:space="preserve"> </w:t>
      </w:r>
      <w:r>
        <w:t>a</w:t>
      </w:r>
      <w:r w:rsidRPr="002C4077">
        <w:t xml:space="preserve"> </w:t>
      </w:r>
      <w:r>
        <w:t>été</w:t>
      </w:r>
      <w:r w:rsidRPr="002C4077">
        <w:t xml:space="preserve"> </w:t>
      </w:r>
      <w:r>
        <w:t>aisé</w:t>
      </w:r>
      <w:r w:rsidRPr="002C4077">
        <w:t xml:space="preserve"> </w:t>
      </w:r>
      <w:r>
        <w:t>de</w:t>
      </w:r>
      <w:r w:rsidRPr="002C4077">
        <w:t xml:space="preserve"> </w:t>
      </w:r>
      <w:r>
        <w:t>prouver</w:t>
      </w:r>
      <w:r w:rsidRPr="002C4077">
        <w:t xml:space="preserve"> </w:t>
      </w:r>
      <w:r>
        <w:t>à</w:t>
      </w:r>
      <w:r w:rsidRPr="002C4077">
        <w:t xml:space="preserve"> </w:t>
      </w:r>
      <w:r>
        <w:t>M.</w:t>
      </w:r>
      <w:r w:rsidRPr="002C4077">
        <w:t xml:space="preserve"> </w:t>
      </w:r>
      <w:r>
        <w:t>Jules</w:t>
      </w:r>
      <w:r w:rsidRPr="002C4077">
        <w:t xml:space="preserve"> </w:t>
      </w:r>
      <w:r>
        <w:t>Soury</w:t>
      </w:r>
      <w:r w:rsidRPr="002C4077">
        <w:t xml:space="preserve"> </w:t>
      </w:r>
      <w:r>
        <w:t>par</w:t>
      </w:r>
      <w:r w:rsidRPr="002C4077">
        <w:t xml:space="preserve"> </w:t>
      </w:r>
      <w:r>
        <w:t>des</w:t>
      </w:r>
      <w:r w:rsidRPr="002C4077">
        <w:t xml:space="preserve"> </w:t>
      </w:r>
      <w:r>
        <w:t>faits</w:t>
      </w:r>
      <w:r w:rsidRPr="002C4077">
        <w:t xml:space="preserve"> </w:t>
      </w:r>
      <w:r>
        <w:t>incontestables</w:t>
      </w:r>
      <w:r w:rsidRPr="002C4077">
        <w:t xml:space="preserve"> </w:t>
      </w:r>
      <w:r>
        <w:t>que</w:t>
      </w:r>
      <w:r w:rsidRPr="002C4077">
        <w:t xml:space="preserve"> </w:t>
      </w:r>
      <w:r>
        <w:t>l’exégèse,</w:t>
      </w:r>
      <w:r w:rsidRPr="002C4077">
        <w:t xml:space="preserve"> </w:t>
      </w:r>
      <w:r>
        <w:t>même</w:t>
      </w:r>
      <w:r w:rsidRPr="002C4077">
        <w:t xml:space="preserve"> </w:t>
      </w:r>
      <w:r>
        <w:t>savante,</w:t>
      </w:r>
      <w:r w:rsidRPr="002C4077">
        <w:t xml:space="preserve"> </w:t>
      </w:r>
      <w:r w:rsidR="00425C50">
        <w:t>est</w:t>
      </w:r>
      <w:r w:rsidRPr="002C4077">
        <w:t xml:space="preserve"> </w:t>
      </w:r>
      <w:r>
        <w:t>loin</w:t>
      </w:r>
      <w:r w:rsidRPr="002C4077">
        <w:t xml:space="preserve"> </w:t>
      </w:r>
      <w:r>
        <w:t>d’avoir</w:t>
      </w:r>
      <w:r w:rsidRPr="002C4077">
        <w:t xml:space="preserve"> </w:t>
      </w:r>
      <w:r>
        <w:t>disparu</w:t>
      </w:r>
      <w:r w:rsidRPr="002C4077">
        <w:t xml:space="preserve"> </w:t>
      </w:r>
      <w:r>
        <w:t>du</w:t>
      </w:r>
      <w:r w:rsidRPr="002C4077">
        <w:t xml:space="preserve"> </w:t>
      </w:r>
      <w:r>
        <w:t>sein</w:t>
      </w:r>
      <w:r w:rsidRPr="002C4077">
        <w:t xml:space="preserve"> </w:t>
      </w:r>
      <w:r>
        <w:t>de</w:t>
      </w:r>
      <w:r w:rsidRPr="002C4077">
        <w:t xml:space="preserve"> </w:t>
      </w:r>
      <w:r>
        <w:t>l’Église</w:t>
      </w:r>
      <w:r w:rsidRPr="002C4077">
        <w:t xml:space="preserve"> </w:t>
      </w:r>
      <w:r>
        <w:t>romaine,</w:t>
      </w:r>
      <w:r w:rsidRPr="002C4077">
        <w:t xml:space="preserve"> </w:t>
      </w:r>
      <w:r>
        <w:t>ainsi</w:t>
      </w:r>
      <w:r w:rsidRPr="002C4077">
        <w:t xml:space="preserve"> </w:t>
      </w:r>
      <w:r>
        <w:t>qu’il</w:t>
      </w:r>
      <w:r w:rsidRPr="002C4077">
        <w:t xml:space="preserve"> </w:t>
      </w:r>
      <w:r>
        <w:t>l’a</w:t>
      </w:r>
      <w:r w:rsidRPr="002C4077">
        <w:t xml:space="preserve"> </w:t>
      </w:r>
      <w:r>
        <w:t>audacieusement</w:t>
      </w:r>
      <w:r w:rsidRPr="002C4077">
        <w:t xml:space="preserve"> </w:t>
      </w:r>
      <w:r>
        <w:t>prétendu,</w:t>
      </w:r>
      <w:r w:rsidRPr="002C4077">
        <w:t xml:space="preserve"> </w:t>
      </w:r>
      <w:r>
        <w:t>et</w:t>
      </w:r>
      <w:r w:rsidRPr="002C4077">
        <w:t xml:space="preserve"> </w:t>
      </w:r>
      <w:r>
        <w:t>que</w:t>
      </w:r>
      <w:r w:rsidRPr="002C4077">
        <w:t xml:space="preserve"> </w:t>
      </w:r>
      <w:r>
        <w:t>le</w:t>
      </w:r>
      <w:r w:rsidRPr="002C4077">
        <w:t xml:space="preserve"> </w:t>
      </w:r>
      <w:r>
        <w:t>respect</w:t>
      </w:r>
      <w:r w:rsidRPr="002C4077">
        <w:t xml:space="preserve"> </w:t>
      </w:r>
      <w:r>
        <w:t>de</w:t>
      </w:r>
      <w:r w:rsidRPr="002C4077">
        <w:t xml:space="preserve"> </w:t>
      </w:r>
      <w:r>
        <w:t>l’autorité</w:t>
      </w:r>
      <w:r w:rsidRPr="002C4077">
        <w:t xml:space="preserve"> </w:t>
      </w:r>
      <w:r>
        <w:t>n’est</w:t>
      </w:r>
      <w:r w:rsidRPr="002C4077">
        <w:t xml:space="preserve"> </w:t>
      </w:r>
      <w:r>
        <w:t>pas</w:t>
      </w:r>
      <w:r w:rsidRPr="002C4077">
        <w:t xml:space="preserve"> </w:t>
      </w:r>
      <w:r>
        <w:t>le</w:t>
      </w:r>
      <w:r w:rsidRPr="002C4077">
        <w:t xml:space="preserve"> </w:t>
      </w:r>
      <w:r>
        <w:t>moins</w:t>
      </w:r>
      <w:r w:rsidRPr="002C4077">
        <w:t xml:space="preserve"> </w:t>
      </w:r>
      <w:r>
        <w:t>du</w:t>
      </w:r>
      <w:r w:rsidRPr="002C4077">
        <w:t xml:space="preserve"> </w:t>
      </w:r>
      <w:r>
        <w:t>monde</w:t>
      </w:r>
      <w:r w:rsidRPr="002C4077">
        <w:t xml:space="preserve"> </w:t>
      </w:r>
      <w:r>
        <w:t>inconciliable</w:t>
      </w:r>
      <w:r w:rsidRPr="002C4077">
        <w:t xml:space="preserve"> </w:t>
      </w:r>
      <w:r>
        <w:t>avec</w:t>
      </w:r>
      <w:r w:rsidRPr="002C4077">
        <w:t xml:space="preserve"> </w:t>
      </w:r>
      <w:r>
        <w:t>une</w:t>
      </w:r>
      <w:r w:rsidRPr="002C4077">
        <w:t xml:space="preserve"> </w:t>
      </w:r>
      <w:r>
        <w:t>critique</w:t>
      </w:r>
      <w:r w:rsidRPr="002C4077">
        <w:t xml:space="preserve"> </w:t>
      </w:r>
      <w:r>
        <w:t>sérieuse,</w:t>
      </w:r>
      <w:r w:rsidRPr="002C4077">
        <w:t xml:space="preserve"> </w:t>
      </w:r>
      <w:r>
        <w:t>soit</w:t>
      </w:r>
      <w:r w:rsidRPr="002C4077">
        <w:t xml:space="preserve"> </w:t>
      </w:r>
      <w:r>
        <w:t>des</w:t>
      </w:r>
      <w:r w:rsidRPr="002C4077">
        <w:t xml:space="preserve"> </w:t>
      </w:r>
      <w:r>
        <w:t>textes,</w:t>
      </w:r>
      <w:r w:rsidRPr="002C4077">
        <w:t xml:space="preserve"> </w:t>
      </w:r>
      <w:r>
        <w:t>soit</w:t>
      </w:r>
      <w:r w:rsidRPr="002C4077">
        <w:t xml:space="preserve"> </w:t>
      </w:r>
      <w:r>
        <w:t>des</w:t>
      </w:r>
      <w:r w:rsidRPr="002C4077">
        <w:t xml:space="preserve"> </w:t>
      </w:r>
      <w:r>
        <w:t>interprétations.</w:t>
      </w:r>
      <w:r w:rsidRPr="002C4077">
        <w:t xml:space="preserve"> </w:t>
      </w:r>
    </w:p>
    <w:p w:rsidR="000A7AAB" w:rsidRDefault="000A7AAB" w:rsidP="000A7AAB">
      <w:r>
        <w:t>Quelque</w:t>
      </w:r>
      <w:r w:rsidRPr="002C4077">
        <w:t xml:space="preserve"> </w:t>
      </w:r>
      <w:r>
        <w:t>temps</w:t>
      </w:r>
      <w:r w:rsidRPr="002C4077">
        <w:t xml:space="preserve"> </w:t>
      </w:r>
      <w:r>
        <w:t>après,</w:t>
      </w:r>
      <w:r w:rsidRPr="002C4077">
        <w:t xml:space="preserve"> </w:t>
      </w:r>
      <w:r>
        <w:t>lorsque</w:t>
      </w:r>
      <w:r w:rsidRPr="002C4077">
        <w:t xml:space="preserve"> </w:t>
      </w:r>
      <w:r>
        <w:t>parut</w:t>
      </w:r>
      <w:r w:rsidRPr="002C4077">
        <w:t xml:space="preserve"> </w:t>
      </w:r>
      <w:r>
        <w:t>en</w:t>
      </w:r>
      <w:r w:rsidRPr="002C4077">
        <w:t xml:space="preserve"> </w:t>
      </w:r>
      <w:r>
        <w:t>Angleterre,</w:t>
      </w:r>
      <w:r w:rsidRPr="002C4077">
        <w:t xml:space="preserve"> </w:t>
      </w:r>
      <w:r>
        <w:t>au</w:t>
      </w:r>
      <w:r w:rsidRPr="002C4077">
        <w:t xml:space="preserve"> </w:t>
      </w:r>
      <w:r>
        <w:t>bruit</w:t>
      </w:r>
      <w:r w:rsidRPr="002C4077">
        <w:t xml:space="preserve"> </w:t>
      </w:r>
      <w:r>
        <w:t>des</w:t>
      </w:r>
      <w:r w:rsidRPr="002C4077">
        <w:t xml:space="preserve"> </w:t>
      </w:r>
      <w:r>
        <w:t>trompettes</w:t>
      </w:r>
      <w:r w:rsidRPr="002C4077">
        <w:t xml:space="preserve"> </w:t>
      </w:r>
      <w:r>
        <w:t>amies</w:t>
      </w:r>
      <w:r w:rsidRPr="002C4077">
        <w:t xml:space="preserve"> </w:t>
      </w:r>
      <w:r>
        <w:t>et</w:t>
      </w:r>
      <w:r w:rsidRPr="002C4077">
        <w:t xml:space="preserve"> </w:t>
      </w:r>
      <w:r>
        <w:t>des</w:t>
      </w:r>
      <w:r w:rsidRPr="002C4077">
        <w:t xml:space="preserve"> </w:t>
      </w:r>
      <w:r>
        <w:t>sifflets</w:t>
      </w:r>
      <w:r w:rsidRPr="002C4077">
        <w:t xml:space="preserve"> </w:t>
      </w:r>
      <w:r>
        <w:t>hostiles,</w:t>
      </w:r>
      <w:r w:rsidRPr="002C4077">
        <w:t xml:space="preserve"> </w:t>
      </w:r>
      <w:r>
        <w:t>la</w:t>
      </w:r>
      <w:r w:rsidRPr="002C4077">
        <w:t xml:space="preserve"> </w:t>
      </w:r>
      <w:r>
        <w:t>fameuse</w:t>
      </w:r>
      <w:r w:rsidRPr="002C4077">
        <w:t xml:space="preserve"> </w:t>
      </w:r>
      <w:r w:rsidR="007B3C26">
        <w:rPr>
          <w:rStyle w:val="italicus"/>
        </w:rPr>
        <w:t>Ve</w:t>
      </w:r>
      <w:r w:rsidRPr="000A34B5">
        <w:rPr>
          <w:rStyle w:val="italicus"/>
        </w:rPr>
        <w:t>rsion</w:t>
      </w:r>
      <w:r w:rsidRPr="002C4077">
        <w:t xml:space="preserve"> </w:t>
      </w:r>
      <w:r w:rsidRPr="000A34B5">
        <w:rPr>
          <w:rStyle w:val="italicus"/>
        </w:rPr>
        <w:t>révisée</w:t>
      </w:r>
      <w:r w:rsidRPr="002C4077">
        <w:t xml:space="preserve"> </w:t>
      </w:r>
      <w:r w:rsidRPr="000A34B5">
        <w:rPr>
          <w:rStyle w:val="italicus"/>
        </w:rPr>
        <w:t>du</w:t>
      </w:r>
      <w:r w:rsidRPr="002C4077">
        <w:t xml:space="preserve"> </w:t>
      </w:r>
      <w:r w:rsidRPr="000A34B5">
        <w:rPr>
          <w:rStyle w:val="italicus"/>
        </w:rPr>
        <w:t>Nouveau</w:t>
      </w:r>
      <w:r w:rsidRPr="002C4077">
        <w:t xml:space="preserve"> </w:t>
      </w:r>
      <w:r w:rsidRPr="000A34B5">
        <w:rPr>
          <w:rStyle w:val="italicus"/>
        </w:rPr>
        <w:t>Testament,</w:t>
      </w:r>
      <w:r w:rsidRPr="002C4077">
        <w:t xml:space="preserve"> </w:t>
      </w:r>
      <w:r>
        <w:t>le</w:t>
      </w:r>
      <w:r w:rsidRPr="002C4077">
        <w:t xml:space="preserve"> </w:t>
      </w:r>
      <w:r>
        <w:t>moment</w:t>
      </w:r>
      <w:r w:rsidRPr="002C4077">
        <w:t xml:space="preserve"> </w:t>
      </w:r>
      <w:r>
        <w:t>nous</w:t>
      </w:r>
      <w:r w:rsidRPr="002C4077">
        <w:t xml:space="preserve"> </w:t>
      </w:r>
      <w:r>
        <w:t>a</w:t>
      </w:r>
      <w:r w:rsidRPr="002C4077">
        <w:t xml:space="preserve"> </w:t>
      </w:r>
      <w:r>
        <w:t>paru</w:t>
      </w:r>
      <w:r w:rsidRPr="002C4077">
        <w:t xml:space="preserve"> </w:t>
      </w:r>
      <w:r>
        <w:t>bon</w:t>
      </w:r>
      <w:r w:rsidRPr="002C4077">
        <w:t xml:space="preserve"> </w:t>
      </w:r>
      <w:r>
        <w:t>pour</w:t>
      </w:r>
      <w:r w:rsidRPr="002C4077">
        <w:t xml:space="preserve"> </w:t>
      </w:r>
      <w:r>
        <w:t>apprécier</w:t>
      </w:r>
      <w:r w:rsidRPr="002C4077">
        <w:t xml:space="preserve"> </w:t>
      </w:r>
      <w:r>
        <w:t>l’œuvre</w:t>
      </w:r>
      <w:r w:rsidRPr="002C4077">
        <w:t xml:space="preserve"> </w:t>
      </w:r>
      <w:r>
        <w:t>des</w:t>
      </w:r>
      <w:r w:rsidRPr="002C4077">
        <w:t xml:space="preserve"> </w:t>
      </w:r>
      <w:r>
        <w:t>réviseurs</w:t>
      </w:r>
      <w:r w:rsidRPr="002C4077">
        <w:t xml:space="preserve"> </w:t>
      </w:r>
      <w:r>
        <w:t>en</w:t>
      </w:r>
      <w:r w:rsidRPr="002C4077">
        <w:t xml:space="preserve"> </w:t>
      </w:r>
      <w:r>
        <w:t>elle-même</w:t>
      </w:r>
      <w:r w:rsidRPr="002C4077">
        <w:t xml:space="preserve"> </w:t>
      </w:r>
      <w:r>
        <w:t>et</w:t>
      </w:r>
      <w:r w:rsidRPr="002C4077">
        <w:t xml:space="preserve"> </w:t>
      </w:r>
      <w:r>
        <w:t>d’après</w:t>
      </w:r>
      <w:r w:rsidRPr="002C4077">
        <w:t xml:space="preserve"> </w:t>
      </w:r>
      <w:r>
        <w:t>les</w:t>
      </w:r>
      <w:r w:rsidRPr="002C4077">
        <w:t xml:space="preserve"> </w:t>
      </w:r>
      <w:r>
        <w:t>principes</w:t>
      </w:r>
      <w:r w:rsidRPr="002C4077">
        <w:t xml:space="preserve"> </w:t>
      </w:r>
      <w:r>
        <w:t>catholiques.</w:t>
      </w:r>
      <w:r w:rsidRPr="002C4077">
        <w:t xml:space="preserve"> </w:t>
      </w:r>
    </w:p>
    <w:p w:rsidR="000A7AAB" w:rsidRDefault="000A7AAB" w:rsidP="000A7AAB">
      <w:r>
        <w:t>Notre</w:t>
      </w:r>
      <w:r w:rsidRPr="002C4077">
        <w:t xml:space="preserve"> </w:t>
      </w:r>
      <w:r>
        <w:t>petite</w:t>
      </w:r>
      <w:r w:rsidRPr="002C4077">
        <w:t xml:space="preserve"> </w:t>
      </w:r>
      <w:r>
        <w:t>description</w:t>
      </w:r>
      <w:r w:rsidRPr="002C4077">
        <w:t xml:space="preserve"> </w:t>
      </w:r>
      <w:r>
        <w:t>de</w:t>
      </w:r>
      <w:r w:rsidRPr="002C4077">
        <w:t xml:space="preserve"> </w:t>
      </w:r>
      <w:r>
        <w:t>Nazareth</w:t>
      </w:r>
      <w:r w:rsidRPr="002C4077">
        <w:t xml:space="preserve"> </w:t>
      </w:r>
      <w:r>
        <w:t>nous</w:t>
      </w:r>
      <w:r w:rsidRPr="002C4077">
        <w:t xml:space="preserve"> </w:t>
      </w:r>
      <w:r>
        <w:t>a</w:t>
      </w:r>
      <w:r w:rsidRPr="002C4077">
        <w:t xml:space="preserve"> </w:t>
      </w:r>
      <w:r>
        <w:t>reposé</w:t>
      </w:r>
      <w:r w:rsidRPr="002C4077">
        <w:t xml:space="preserve"> </w:t>
      </w:r>
      <w:r>
        <w:t>d’études</w:t>
      </w:r>
      <w:r w:rsidRPr="002C4077">
        <w:t xml:space="preserve"> </w:t>
      </w:r>
      <w:r>
        <w:t>plus</w:t>
      </w:r>
      <w:r w:rsidRPr="002C4077">
        <w:t xml:space="preserve"> </w:t>
      </w:r>
      <w:r>
        <w:t>sérieuses,</w:t>
      </w:r>
      <w:r w:rsidRPr="002C4077">
        <w:t xml:space="preserve"> </w:t>
      </w:r>
      <w:r>
        <w:t>pendant</w:t>
      </w:r>
      <w:r w:rsidRPr="002C4077">
        <w:t xml:space="preserve"> </w:t>
      </w:r>
      <w:r>
        <w:t>une</w:t>
      </w:r>
      <w:r w:rsidRPr="002C4077">
        <w:t xml:space="preserve"> </w:t>
      </w:r>
      <w:r>
        <w:t>neuvaine</w:t>
      </w:r>
      <w:r w:rsidRPr="002C4077">
        <w:t xml:space="preserve"> </w:t>
      </w:r>
      <w:r>
        <w:t>préparatoire</w:t>
      </w:r>
      <w:r w:rsidRPr="002C4077">
        <w:t xml:space="preserve"> </w:t>
      </w:r>
      <w:r>
        <w:t>à</w:t>
      </w:r>
      <w:r w:rsidRPr="002C4077">
        <w:t xml:space="preserve"> </w:t>
      </w:r>
      <w:r>
        <w:t>la</w:t>
      </w:r>
      <w:r w:rsidRPr="002C4077">
        <w:t xml:space="preserve"> </w:t>
      </w:r>
      <w:r>
        <w:t>fête</w:t>
      </w:r>
      <w:r w:rsidRPr="002C4077">
        <w:t xml:space="preserve"> </w:t>
      </w:r>
      <w:r>
        <w:t>de</w:t>
      </w:r>
      <w:r w:rsidRPr="002C4077">
        <w:t xml:space="preserve"> </w:t>
      </w:r>
      <w:r>
        <w:t>l’Annonciation.</w:t>
      </w:r>
      <w:r w:rsidRPr="002C4077">
        <w:t xml:space="preserve"> </w:t>
      </w:r>
    </w:p>
    <w:p w:rsidR="000A7AAB" w:rsidRDefault="000A7AAB" w:rsidP="000A7AAB">
      <w:r>
        <w:t>Les</w:t>
      </w:r>
      <w:r w:rsidRPr="002C4077">
        <w:t xml:space="preserve"> </w:t>
      </w:r>
      <w:r>
        <w:t>trois</w:t>
      </w:r>
      <w:r w:rsidRPr="002C4077">
        <w:t xml:space="preserve"> </w:t>
      </w:r>
      <w:r>
        <w:t>études</w:t>
      </w:r>
      <w:r w:rsidRPr="002C4077">
        <w:t xml:space="preserve"> </w:t>
      </w:r>
      <w:r>
        <w:t>consacrées</w:t>
      </w:r>
      <w:r w:rsidRPr="002C4077">
        <w:t xml:space="preserve"> </w:t>
      </w:r>
      <w:r>
        <w:t>à</w:t>
      </w:r>
      <w:r w:rsidRPr="002C4077">
        <w:t xml:space="preserve"> </w:t>
      </w:r>
      <w:r>
        <w:t>la</w:t>
      </w:r>
      <w:r w:rsidRPr="002C4077">
        <w:t xml:space="preserve"> </w:t>
      </w:r>
      <w:r>
        <w:t>vie</w:t>
      </w:r>
      <w:r w:rsidRPr="002C4077">
        <w:t xml:space="preserve"> </w:t>
      </w:r>
      <w:r>
        <w:t>juive</w:t>
      </w:r>
      <w:r w:rsidRPr="002C4077">
        <w:t xml:space="preserve"> </w:t>
      </w:r>
      <w:r>
        <w:t>ancienne</w:t>
      </w:r>
      <w:r w:rsidRPr="002C4077">
        <w:t xml:space="preserve"> </w:t>
      </w:r>
      <w:r>
        <w:t>et</w:t>
      </w:r>
      <w:r w:rsidRPr="002C4077">
        <w:t xml:space="preserve"> </w:t>
      </w:r>
      <w:r>
        <w:t>moderne</w:t>
      </w:r>
      <w:r w:rsidRPr="002C4077">
        <w:t xml:space="preserve"> </w:t>
      </w:r>
      <w:r>
        <w:t>ont</w:t>
      </w:r>
      <w:r w:rsidRPr="002C4077">
        <w:t xml:space="preserve"> </w:t>
      </w:r>
      <w:r>
        <w:t>été</w:t>
      </w:r>
      <w:r w:rsidRPr="002C4077">
        <w:t xml:space="preserve"> </w:t>
      </w:r>
      <w:r>
        <w:t>de</w:t>
      </w:r>
      <w:r w:rsidRPr="002C4077">
        <w:t xml:space="preserve"> </w:t>
      </w:r>
      <w:r>
        <w:t>même</w:t>
      </w:r>
      <w:r w:rsidRPr="002C4077">
        <w:t xml:space="preserve"> </w:t>
      </w:r>
      <w:r>
        <w:t>composées</w:t>
      </w:r>
      <w:r w:rsidRPr="002C4077">
        <w:t xml:space="preserve"> </w:t>
      </w:r>
      <w:r>
        <w:t>durant</w:t>
      </w:r>
      <w:r w:rsidRPr="002C4077">
        <w:t xml:space="preserve"> </w:t>
      </w:r>
      <w:r>
        <w:t>des</w:t>
      </w:r>
      <w:r w:rsidRPr="002C4077">
        <w:t xml:space="preserve"> </w:t>
      </w:r>
      <w:r>
        <w:t>semaines</w:t>
      </w:r>
      <w:r w:rsidRPr="002C4077">
        <w:t xml:space="preserve"> </w:t>
      </w:r>
      <w:r>
        <w:t>de</w:t>
      </w:r>
      <w:r w:rsidRPr="002C4077">
        <w:t xml:space="preserve"> </w:t>
      </w:r>
      <w:r>
        <w:t>délassement.</w:t>
      </w:r>
      <w:r w:rsidRPr="002C4077">
        <w:t xml:space="preserve"> </w:t>
      </w:r>
      <w:r>
        <w:t>Elles</w:t>
      </w:r>
      <w:r w:rsidRPr="002C4077">
        <w:t xml:space="preserve"> </w:t>
      </w:r>
      <w:r>
        <w:t>pourront</w:t>
      </w:r>
      <w:r w:rsidRPr="002C4077">
        <w:t xml:space="preserve"> </w:t>
      </w:r>
      <w:r>
        <w:t>servir,</w:t>
      </w:r>
      <w:r w:rsidRPr="002C4077">
        <w:t xml:space="preserve"> </w:t>
      </w:r>
      <w:r>
        <w:t>soit</w:t>
      </w:r>
      <w:r w:rsidRPr="002C4077">
        <w:t xml:space="preserve"> </w:t>
      </w:r>
      <w:r>
        <w:t>à</w:t>
      </w:r>
      <w:r w:rsidRPr="002C4077">
        <w:t xml:space="preserve"> </w:t>
      </w:r>
      <w:r w:rsidRPr="000A34B5">
        <w:rPr>
          <w:rStyle w:val="italicus"/>
        </w:rPr>
        <w:t>illustrer</w:t>
      </w:r>
      <w:r w:rsidRPr="002C4077">
        <w:t xml:space="preserve"> </w:t>
      </w:r>
      <w:r>
        <w:t>d’une</w:t>
      </w:r>
      <w:r w:rsidRPr="002C4077">
        <w:t xml:space="preserve"> </w:t>
      </w:r>
      <w:r>
        <w:t>manière</w:t>
      </w:r>
      <w:r w:rsidRPr="002C4077">
        <w:t xml:space="preserve"> </w:t>
      </w:r>
      <w:r>
        <w:t>concrète</w:t>
      </w:r>
      <w:r w:rsidRPr="002C4077">
        <w:t xml:space="preserve"> </w:t>
      </w:r>
      <w:r>
        <w:t>divers</w:t>
      </w:r>
      <w:r w:rsidRPr="002C4077">
        <w:t xml:space="preserve"> </w:t>
      </w:r>
      <w:r>
        <w:t>passages</w:t>
      </w:r>
      <w:r w:rsidRPr="002C4077">
        <w:t xml:space="preserve"> </w:t>
      </w:r>
      <w:r>
        <w:t>de</w:t>
      </w:r>
      <w:r w:rsidRPr="002C4077">
        <w:t xml:space="preserve"> </w:t>
      </w:r>
      <w:r>
        <w:lastRenderedPageBreak/>
        <w:t>l’Ancien</w:t>
      </w:r>
      <w:r w:rsidRPr="002C4077">
        <w:t xml:space="preserve"> </w:t>
      </w:r>
      <w:r>
        <w:t>et</w:t>
      </w:r>
      <w:r w:rsidRPr="002C4077">
        <w:t xml:space="preserve"> </w:t>
      </w:r>
      <w:r>
        <w:t>du</w:t>
      </w:r>
      <w:r w:rsidRPr="002C4077">
        <w:t xml:space="preserve"> </w:t>
      </w:r>
      <w:r>
        <w:t>Nouveau</w:t>
      </w:r>
      <w:r w:rsidRPr="002C4077">
        <w:t xml:space="preserve"> </w:t>
      </w:r>
      <w:r>
        <w:t>Testament,</w:t>
      </w:r>
      <w:r w:rsidRPr="002C4077">
        <w:t xml:space="preserve"> </w:t>
      </w:r>
      <w:r>
        <w:t>soit</w:t>
      </w:r>
      <w:r w:rsidRPr="002C4077">
        <w:t xml:space="preserve"> </w:t>
      </w:r>
      <w:r>
        <w:t>à</w:t>
      </w:r>
      <w:r w:rsidRPr="002C4077">
        <w:t xml:space="preserve"> </w:t>
      </w:r>
      <w:r>
        <w:t>divulguer</w:t>
      </w:r>
      <w:r w:rsidRPr="002C4077">
        <w:t xml:space="preserve"> </w:t>
      </w:r>
      <w:r>
        <w:t>quelques</w:t>
      </w:r>
      <w:r w:rsidRPr="002C4077">
        <w:t xml:space="preserve"> </w:t>
      </w:r>
      <w:r>
        <w:t>traits</w:t>
      </w:r>
      <w:r w:rsidRPr="002C4077">
        <w:t xml:space="preserve"> </w:t>
      </w:r>
      <w:r>
        <w:t>intéressants</w:t>
      </w:r>
      <w:r w:rsidRPr="002C4077">
        <w:t xml:space="preserve"> </w:t>
      </w:r>
      <w:r>
        <w:t>des</w:t>
      </w:r>
      <w:r w:rsidRPr="002C4077">
        <w:t xml:space="preserve"> </w:t>
      </w:r>
      <w:r>
        <w:t>mœurs</w:t>
      </w:r>
      <w:r w:rsidRPr="002C4077">
        <w:t xml:space="preserve"> </w:t>
      </w:r>
      <w:r>
        <w:t>isra</w:t>
      </w:r>
      <w:r w:rsidR="001730C6">
        <w:t>él</w:t>
      </w:r>
      <w:r>
        <w:t>ites,</w:t>
      </w:r>
      <w:r w:rsidRPr="002C4077">
        <w:t xml:space="preserve"> </w:t>
      </w:r>
      <w:r>
        <w:t>soit</w:t>
      </w:r>
      <w:r w:rsidRPr="002C4077">
        <w:t xml:space="preserve"> </w:t>
      </w:r>
      <w:r>
        <w:t>enfin</w:t>
      </w:r>
      <w:r w:rsidRPr="002C4077">
        <w:t xml:space="preserve"> </w:t>
      </w:r>
      <w:r>
        <w:t>à</w:t>
      </w:r>
      <w:r w:rsidRPr="002C4077">
        <w:t xml:space="preserve"> </w:t>
      </w:r>
      <w:r>
        <w:t>soulever</w:t>
      </w:r>
      <w:r w:rsidRPr="002C4077">
        <w:t xml:space="preserve"> </w:t>
      </w:r>
      <w:r>
        <w:t>un</w:t>
      </w:r>
      <w:r w:rsidRPr="002C4077">
        <w:t xml:space="preserve"> </w:t>
      </w:r>
      <w:r>
        <w:t>coin</w:t>
      </w:r>
      <w:r w:rsidRPr="002C4077">
        <w:t xml:space="preserve"> </w:t>
      </w:r>
      <w:r>
        <w:t>du</w:t>
      </w:r>
      <w:r w:rsidRPr="002C4077">
        <w:t xml:space="preserve"> </w:t>
      </w:r>
      <w:r>
        <w:t>voile</w:t>
      </w:r>
      <w:r w:rsidRPr="002C4077">
        <w:t xml:space="preserve"> </w:t>
      </w:r>
      <w:r>
        <w:t>qui</w:t>
      </w:r>
      <w:r w:rsidRPr="002C4077">
        <w:t xml:space="preserve"> </w:t>
      </w:r>
      <w:r>
        <w:t>dissimule</w:t>
      </w:r>
      <w:r w:rsidRPr="002C4077">
        <w:t xml:space="preserve"> </w:t>
      </w:r>
      <w:r>
        <w:t>le</w:t>
      </w:r>
      <w:r w:rsidRPr="002C4077">
        <w:t xml:space="preserve"> </w:t>
      </w:r>
      <w:r>
        <w:t>néant</w:t>
      </w:r>
      <w:r w:rsidRPr="002C4077">
        <w:t xml:space="preserve"> </w:t>
      </w:r>
      <w:r>
        <w:t>dogmatique</w:t>
      </w:r>
      <w:r w:rsidRPr="002C4077">
        <w:t xml:space="preserve"> </w:t>
      </w:r>
      <w:r>
        <w:t>et</w:t>
      </w:r>
      <w:r w:rsidRPr="002C4077">
        <w:t xml:space="preserve"> </w:t>
      </w:r>
      <w:r>
        <w:t>moral</w:t>
      </w:r>
      <w:r w:rsidRPr="002C4077">
        <w:t xml:space="preserve"> </w:t>
      </w:r>
      <w:r>
        <w:t>du</w:t>
      </w:r>
      <w:r w:rsidRPr="002C4077">
        <w:t xml:space="preserve"> </w:t>
      </w:r>
      <w:r>
        <w:t>judaïsme</w:t>
      </w:r>
      <w:r w:rsidRPr="002C4077">
        <w:t xml:space="preserve"> </w:t>
      </w:r>
      <w:r>
        <w:t>contemporain.</w:t>
      </w:r>
      <w:r w:rsidRPr="002C4077">
        <w:t xml:space="preserve"> </w:t>
      </w:r>
    </w:p>
    <w:p w:rsidR="000A7AAB" w:rsidRDefault="000A7AAB" w:rsidP="000A7AAB">
      <w:r>
        <w:t>L’article</w:t>
      </w:r>
      <w:r w:rsidRPr="002C4077">
        <w:t xml:space="preserve"> </w:t>
      </w:r>
      <w:r>
        <w:t>sur</w:t>
      </w:r>
      <w:r w:rsidRPr="002C4077">
        <w:t xml:space="preserve"> </w:t>
      </w:r>
      <w:r w:rsidRPr="000A34B5">
        <w:rPr>
          <w:rStyle w:val="italicus"/>
        </w:rPr>
        <w:t>Judas</w:t>
      </w:r>
      <w:r w:rsidRPr="002C4077">
        <w:t xml:space="preserve"> </w:t>
      </w:r>
      <w:r w:rsidRPr="000A34B5">
        <w:rPr>
          <w:rStyle w:val="italicus"/>
        </w:rPr>
        <w:t>et</w:t>
      </w:r>
      <w:r w:rsidRPr="002C4077">
        <w:t xml:space="preserve"> </w:t>
      </w:r>
      <w:r w:rsidRPr="000A34B5">
        <w:rPr>
          <w:rStyle w:val="italicus"/>
        </w:rPr>
        <w:t>la</w:t>
      </w:r>
      <w:r w:rsidRPr="002C4077">
        <w:t xml:space="preserve"> </w:t>
      </w:r>
      <w:r w:rsidRPr="000A34B5">
        <w:rPr>
          <w:rStyle w:val="italicus"/>
        </w:rPr>
        <w:t>sainte</w:t>
      </w:r>
      <w:r w:rsidRPr="002C4077">
        <w:t xml:space="preserve"> </w:t>
      </w:r>
      <w:r w:rsidRPr="000A34B5">
        <w:rPr>
          <w:rStyle w:val="italicus"/>
        </w:rPr>
        <w:t>Eucharistie</w:t>
      </w:r>
      <w:r w:rsidRPr="002C4077">
        <w:t xml:space="preserve"> </w:t>
      </w:r>
      <w:r w:rsidR="00425C50">
        <w:t>est</w:t>
      </w:r>
      <w:r w:rsidRPr="002C4077">
        <w:t xml:space="preserve"> </w:t>
      </w:r>
      <w:r>
        <w:t>une</w:t>
      </w:r>
      <w:r w:rsidRPr="002C4077">
        <w:t xml:space="preserve"> </w:t>
      </w:r>
      <w:r>
        <w:t>œuvre</w:t>
      </w:r>
      <w:r w:rsidRPr="002C4077">
        <w:t xml:space="preserve"> </w:t>
      </w:r>
      <w:r>
        <w:t>de</w:t>
      </w:r>
      <w:r w:rsidRPr="002C4077">
        <w:t xml:space="preserve"> </w:t>
      </w:r>
      <w:r>
        <w:t>jeunesse</w:t>
      </w:r>
      <w:r w:rsidR="00B91AF7">
        <w:rPr>
          <w:rStyle w:val="Appelnotedebasdep"/>
        </w:rPr>
        <w:footnoteReference w:id="1"/>
      </w:r>
      <w:r>
        <w:t>,</w:t>
      </w:r>
      <w:r w:rsidRPr="002C4077">
        <w:t xml:space="preserve"> </w:t>
      </w:r>
      <w:r>
        <w:t>et</w:t>
      </w:r>
      <w:r w:rsidRPr="002C4077">
        <w:t xml:space="preserve"> </w:t>
      </w:r>
      <w:r>
        <w:t>peut-être,</w:t>
      </w:r>
      <w:r w:rsidRPr="002C4077">
        <w:t xml:space="preserve"> </w:t>
      </w:r>
      <w:r>
        <w:t>malgré</w:t>
      </w:r>
      <w:r w:rsidRPr="002C4077">
        <w:t xml:space="preserve"> </w:t>
      </w:r>
      <w:r>
        <w:t>deux</w:t>
      </w:r>
      <w:r w:rsidRPr="002C4077">
        <w:t xml:space="preserve"> </w:t>
      </w:r>
      <w:r>
        <w:t>ou</w:t>
      </w:r>
      <w:r w:rsidRPr="002C4077">
        <w:t xml:space="preserve"> </w:t>
      </w:r>
      <w:r>
        <w:t>trois</w:t>
      </w:r>
      <w:r w:rsidRPr="002C4077">
        <w:t xml:space="preserve"> </w:t>
      </w:r>
      <w:r>
        <w:t>retouches,</w:t>
      </w:r>
      <w:r w:rsidRPr="002C4077">
        <w:t xml:space="preserve"> </w:t>
      </w:r>
      <w:r>
        <w:t>se</w:t>
      </w:r>
      <w:r w:rsidRPr="002C4077">
        <w:t xml:space="preserve"> </w:t>
      </w:r>
      <w:r>
        <w:t>ressent-il</w:t>
      </w:r>
      <w:r w:rsidRPr="002C4077">
        <w:t xml:space="preserve"> </w:t>
      </w:r>
      <w:r>
        <w:t>encore</w:t>
      </w:r>
      <w:r w:rsidRPr="002C4077">
        <w:t xml:space="preserve"> </w:t>
      </w:r>
      <w:r>
        <w:t>de</w:t>
      </w:r>
      <w:r w:rsidRPr="002C4077">
        <w:t xml:space="preserve"> </w:t>
      </w:r>
      <w:r>
        <w:t>cette</w:t>
      </w:r>
      <w:r w:rsidRPr="002C4077">
        <w:t xml:space="preserve"> </w:t>
      </w:r>
      <w:r>
        <w:t>circonstance</w:t>
      </w:r>
      <w:r w:rsidRPr="002C4077">
        <w:t xml:space="preserve"> </w:t>
      </w:r>
      <w:r>
        <w:t>défavorable.</w:t>
      </w:r>
      <w:r w:rsidRPr="002C4077">
        <w:t xml:space="preserve"> </w:t>
      </w:r>
      <w:r>
        <w:t>Nous</w:t>
      </w:r>
      <w:r w:rsidRPr="002C4077">
        <w:t xml:space="preserve"> </w:t>
      </w:r>
      <w:r>
        <w:t>désirerions</w:t>
      </w:r>
      <w:r w:rsidRPr="002C4077">
        <w:t xml:space="preserve"> </w:t>
      </w:r>
      <w:r>
        <w:t>pourtant</w:t>
      </w:r>
      <w:r w:rsidRPr="002C4077">
        <w:t xml:space="preserve"> </w:t>
      </w:r>
      <w:r>
        <w:t>qu’il</w:t>
      </w:r>
      <w:r w:rsidRPr="002C4077">
        <w:t xml:space="preserve"> </w:t>
      </w:r>
      <w:r>
        <w:t>attirât</w:t>
      </w:r>
      <w:r w:rsidRPr="002C4077">
        <w:t xml:space="preserve"> </w:t>
      </w:r>
      <w:r>
        <w:t>l’attention</w:t>
      </w:r>
      <w:r w:rsidRPr="002C4077">
        <w:t xml:space="preserve"> </w:t>
      </w:r>
      <w:r>
        <w:t>de</w:t>
      </w:r>
      <w:r w:rsidRPr="002C4077">
        <w:t xml:space="preserve"> </w:t>
      </w:r>
      <w:r>
        <w:t>quelques</w:t>
      </w:r>
      <w:r w:rsidRPr="002C4077">
        <w:t xml:space="preserve"> </w:t>
      </w:r>
      <w:r>
        <w:t>lecteurs</w:t>
      </w:r>
      <w:r w:rsidRPr="002C4077">
        <w:t xml:space="preserve"> </w:t>
      </w:r>
      <w:r>
        <w:t>sur</w:t>
      </w:r>
      <w:r w:rsidRPr="002C4077">
        <w:t xml:space="preserve"> </w:t>
      </w:r>
      <w:r>
        <w:t>une</w:t>
      </w:r>
      <w:r w:rsidRPr="002C4077">
        <w:t xml:space="preserve"> </w:t>
      </w:r>
      <w:r>
        <w:t>question</w:t>
      </w:r>
      <w:r w:rsidRPr="002C4077">
        <w:t xml:space="preserve"> </w:t>
      </w:r>
      <w:r>
        <w:t>intéressante,</w:t>
      </w:r>
      <w:r w:rsidRPr="002C4077">
        <w:t xml:space="preserve"> </w:t>
      </w:r>
      <w:r>
        <w:t>et</w:t>
      </w:r>
      <w:r w:rsidRPr="002C4077">
        <w:t xml:space="preserve"> </w:t>
      </w:r>
      <w:r>
        <w:t>aujourd’hui</w:t>
      </w:r>
      <w:r w:rsidRPr="002C4077">
        <w:t xml:space="preserve"> </w:t>
      </w:r>
      <w:r>
        <w:t>très</w:t>
      </w:r>
      <w:r w:rsidRPr="002C4077">
        <w:t xml:space="preserve"> </w:t>
      </w:r>
      <w:r>
        <w:t>discutée,</w:t>
      </w:r>
      <w:r w:rsidRPr="002C4077">
        <w:t xml:space="preserve"> </w:t>
      </w:r>
      <w:r>
        <w:t>des</w:t>
      </w:r>
      <w:r w:rsidRPr="002C4077">
        <w:t xml:space="preserve"> </w:t>
      </w:r>
      <w:r>
        <w:t>saints</w:t>
      </w:r>
      <w:r w:rsidRPr="002C4077">
        <w:t xml:space="preserve"> </w:t>
      </w:r>
      <w:r>
        <w:t>Évangiles.</w:t>
      </w:r>
      <w:r w:rsidRPr="002C4077">
        <w:t xml:space="preserve"> </w:t>
      </w:r>
      <w:r>
        <w:t>Un</w:t>
      </w:r>
      <w:r w:rsidRPr="002C4077">
        <w:t xml:space="preserve"> </w:t>
      </w:r>
      <w:r>
        <w:t>autre</w:t>
      </w:r>
      <w:r w:rsidRPr="002C4077">
        <w:t xml:space="preserve"> </w:t>
      </w:r>
      <w:r w:rsidRPr="000A34B5">
        <w:rPr>
          <w:rStyle w:val="italicus"/>
        </w:rPr>
        <w:t>essayist,</w:t>
      </w:r>
      <w:r w:rsidRPr="002C4077">
        <w:t xml:space="preserve"> </w:t>
      </w:r>
      <w:r>
        <w:t>la</w:t>
      </w:r>
      <w:r w:rsidRPr="002C4077">
        <w:t xml:space="preserve"> </w:t>
      </w:r>
      <w:r>
        <w:t>reprenant</w:t>
      </w:r>
      <w:r w:rsidRPr="002C4077">
        <w:t xml:space="preserve"> </w:t>
      </w:r>
      <w:r>
        <w:t>en</w:t>
      </w:r>
      <w:r w:rsidRPr="002C4077">
        <w:t xml:space="preserve"> </w:t>
      </w:r>
      <w:r>
        <w:t>sous-œuvre,</w:t>
      </w:r>
      <w:r w:rsidRPr="002C4077">
        <w:t xml:space="preserve"> </w:t>
      </w:r>
      <w:r>
        <w:t>réussira</w:t>
      </w:r>
      <w:r w:rsidRPr="002C4077">
        <w:t xml:space="preserve"> </w:t>
      </w:r>
      <w:r>
        <w:t>sans</w:t>
      </w:r>
      <w:r w:rsidRPr="002C4077">
        <w:t xml:space="preserve"> </w:t>
      </w:r>
      <w:r>
        <w:t>doute</w:t>
      </w:r>
      <w:r w:rsidRPr="002C4077">
        <w:t xml:space="preserve"> </w:t>
      </w:r>
      <w:r>
        <w:t>à</w:t>
      </w:r>
      <w:r w:rsidRPr="002C4077">
        <w:t xml:space="preserve"> </w:t>
      </w:r>
      <w:r>
        <w:t>pousser</w:t>
      </w:r>
      <w:r w:rsidRPr="002C4077">
        <w:t xml:space="preserve"> </w:t>
      </w:r>
      <w:r>
        <w:t>la</w:t>
      </w:r>
      <w:r w:rsidRPr="002C4077">
        <w:t xml:space="preserve"> </w:t>
      </w:r>
      <w:r>
        <w:t>pointe</w:t>
      </w:r>
      <w:r w:rsidRPr="002C4077">
        <w:t xml:space="preserve"> </w:t>
      </w:r>
      <w:r>
        <w:t>plus</w:t>
      </w:r>
      <w:r w:rsidRPr="002C4077">
        <w:t xml:space="preserve"> </w:t>
      </w:r>
      <w:r>
        <w:t>avant.</w:t>
      </w:r>
      <w:r w:rsidRPr="002C4077">
        <w:t xml:space="preserve"> </w:t>
      </w:r>
    </w:p>
    <w:p w:rsidR="000A7AAB" w:rsidRDefault="000A7AAB" w:rsidP="000A7AAB">
      <w:r>
        <w:t>Enfin,</w:t>
      </w:r>
      <w:r w:rsidRPr="002C4077">
        <w:t xml:space="preserve"> </w:t>
      </w:r>
      <w:r>
        <w:t>nous</w:t>
      </w:r>
      <w:r w:rsidRPr="002C4077">
        <w:t xml:space="preserve"> </w:t>
      </w:r>
      <w:r>
        <w:t>avons</w:t>
      </w:r>
      <w:r w:rsidRPr="002C4077">
        <w:t xml:space="preserve"> </w:t>
      </w:r>
      <w:r>
        <w:t>voulu,</w:t>
      </w:r>
      <w:r w:rsidRPr="002C4077">
        <w:t xml:space="preserve"> </w:t>
      </w:r>
      <w:r>
        <w:t>en</w:t>
      </w:r>
      <w:r w:rsidRPr="002C4077">
        <w:t xml:space="preserve"> </w:t>
      </w:r>
      <w:r>
        <w:t>insérant</w:t>
      </w:r>
      <w:r w:rsidRPr="002C4077">
        <w:t xml:space="preserve"> </w:t>
      </w:r>
      <w:r>
        <w:t>la</w:t>
      </w:r>
      <w:r w:rsidRPr="002C4077">
        <w:t xml:space="preserve"> </w:t>
      </w:r>
      <w:r>
        <w:t>dissertation</w:t>
      </w:r>
      <w:r w:rsidRPr="002C4077">
        <w:t xml:space="preserve"> </w:t>
      </w:r>
      <w:r>
        <w:t>sur</w:t>
      </w:r>
      <w:r w:rsidRPr="002C4077">
        <w:t xml:space="preserve"> </w:t>
      </w:r>
      <w:r>
        <w:t>les</w:t>
      </w:r>
      <w:r w:rsidRPr="002C4077">
        <w:t xml:space="preserve"> </w:t>
      </w:r>
      <w:r w:rsidRPr="000A34B5">
        <w:rPr>
          <w:rStyle w:val="italicus"/>
        </w:rPr>
        <w:t>Concordances,</w:t>
      </w:r>
      <w:r w:rsidRPr="002C4077">
        <w:t xml:space="preserve"> </w:t>
      </w:r>
      <w:r>
        <w:t>autre</w:t>
      </w:r>
      <w:r w:rsidRPr="002C4077">
        <w:t xml:space="preserve"> </w:t>
      </w:r>
      <w:r>
        <w:t>article</w:t>
      </w:r>
      <w:r w:rsidRPr="002C4077">
        <w:t xml:space="preserve"> </w:t>
      </w:r>
      <w:r>
        <w:t>presque</w:t>
      </w:r>
      <w:r w:rsidRPr="002C4077">
        <w:t xml:space="preserve"> </w:t>
      </w:r>
      <w:r>
        <w:t>juvénile</w:t>
      </w:r>
      <w:r w:rsidR="003B53FD">
        <w:rPr>
          <w:rStyle w:val="Appelnotedebasdep"/>
        </w:rPr>
        <w:footnoteReference w:id="2"/>
      </w:r>
      <w:r>
        <w:t>,</w:t>
      </w:r>
      <w:r w:rsidRPr="002C4077">
        <w:t xml:space="preserve"> </w:t>
      </w:r>
      <w:r>
        <w:t>rappeler</w:t>
      </w:r>
      <w:r w:rsidRPr="002C4077">
        <w:t xml:space="preserve"> </w:t>
      </w:r>
      <w:r>
        <w:t>à</w:t>
      </w:r>
      <w:r w:rsidRPr="002C4077">
        <w:t xml:space="preserve"> </w:t>
      </w:r>
      <w:r>
        <w:t>beaucoup</w:t>
      </w:r>
      <w:r w:rsidRPr="002C4077">
        <w:t xml:space="preserve"> </w:t>
      </w:r>
      <w:r>
        <w:t>l’existence</w:t>
      </w:r>
      <w:r w:rsidRPr="002C4077">
        <w:t xml:space="preserve"> </w:t>
      </w:r>
      <w:r>
        <w:t>de</w:t>
      </w:r>
      <w:r w:rsidRPr="002C4077">
        <w:t xml:space="preserve"> </w:t>
      </w:r>
      <w:r>
        <w:t>ce</w:t>
      </w:r>
      <w:r w:rsidRPr="002C4077">
        <w:t xml:space="preserve"> </w:t>
      </w:r>
      <w:r>
        <w:t>recueil</w:t>
      </w:r>
      <w:r w:rsidRPr="002C4077">
        <w:t xml:space="preserve"> </w:t>
      </w:r>
      <w:r>
        <w:t>biblique,</w:t>
      </w:r>
      <w:r w:rsidRPr="002C4077">
        <w:t xml:space="preserve"> </w:t>
      </w:r>
      <w:r>
        <w:t>trop</w:t>
      </w:r>
      <w:r w:rsidRPr="002C4077">
        <w:t xml:space="preserve"> </w:t>
      </w:r>
      <w:r>
        <w:t>peu</w:t>
      </w:r>
      <w:r w:rsidRPr="002C4077">
        <w:t xml:space="preserve"> </w:t>
      </w:r>
      <w:r>
        <w:t>consulté</w:t>
      </w:r>
      <w:r w:rsidRPr="002C4077">
        <w:t xml:space="preserve"> </w:t>
      </w:r>
      <w:r>
        <w:t>par</w:t>
      </w:r>
      <w:r w:rsidRPr="002C4077">
        <w:t xml:space="preserve"> </w:t>
      </w:r>
      <w:r>
        <w:t>les</w:t>
      </w:r>
      <w:r w:rsidRPr="002C4077">
        <w:t xml:space="preserve"> </w:t>
      </w:r>
      <w:r>
        <w:t>générations</w:t>
      </w:r>
      <w:r w:rsidRPr="002C4077">
        <w:t xml:space="preserve"> </w:t>
      </w:r>
      <w:r>
        <w:t>ecclésiastiques</w:t>
      </w:r>
      <w:r w:rsidRPr="002C4077">
        <w:t xml:space="preserve"> </w:t>
      </w:r>
      <w:r>
        <w:t>les</w:t>
      </w:r>
      <w:r w:rsidRPr="002C4077">
        <w:t xml:space="preserve"> </w:t>
      </w:r>
      <w:r>
        <w:t>plus</w:t>
      </w:r>
      <w:r w:rsidRPr="002C4077">
        <w:t xml:space="preserve"> </w:t>
      </w:r>
      <w:r>
        <w:t>récentes,</w:t>
      </w:r>
      <w:r w:rsidRPr="002C4077">
        <w:t xml:space="preserve"> </w:t>
      </w:r>
      <w:r>
        <w:t>quoiqu’il</w:t>
      </w:r>
      <w:r w:rsidRPr="002C4077">
        <w:t xml:space="preserve"> </w:t>
      </w:r>
      <w:r>
        <w:t>soit</w:t>
      </w:r>
      <w:r w:rsidRPr="002C4077">
        <w:t xml:space="preserve"> </w:t>
      </w:r>
      <w:r>
        <w:t>capable</w:t>
      </w:r>
      <w:r w:rsidRPr="002C4077">
        <w:t xml:space="preserve"> </w:t>
      </w:r>
      <w:r>
        <w:t>de</w:t>
      </w:r>
      <w:r w:rsidRPr="002C4077">
        <w:t xml:space="preserve"> </w:t>
      </w:r>
      <w:r>
        <w:t>rendre</w:t>
      </w:r>
      <w:r w:rsidRPr="002C4077">
        <w:t xml:space="preserve"> </w:t>
      </w:r>
      <w:r>
        <w:t>maints</w:t>
      </w:r>
      <w:r w:rsidRPr="002C4077">
        <w:t xml:space="preserve"> </w:t>
      </w:r>
      <w:r>
        <w:t>services</w:t>
      </w:r>
      <w:r w:rsidRPr="002C4077">
        <w:t xml:space="preserve"> </w:t>
      </w:r>
      <w:r>
        <w:t>aux</w:t>
      </w:r>
      <w:r w:rsidRPr="002C4077">
        <w:t xml:space="preserve"> </w:t>
      </w:r>
      <w:r>
        <w:t>prédicateurs</w:t>
      </w:r>
      <w:r w:rsidRPr="002C4077">
        <w:t xml:space="preserve"> </w:t>
      </w:r>
      <w:r>
        <w:t>et</w:t>
      </w:r>
      <w:r w:rsidRPr="002C4077">
        <w:t xml:space="preserve"> </w:t>
      </w:r>
      <w:r>
        <w:t>aux</w:t>
      </w:r>
      <w:r w:rsidRPr="002C4077">
        <w:t xml:space="preserve"> </w:t>
      </w:r>
      <w:r>
        <w:t>théologiens.</w:t>
      </w:r>
      <w:r w:rsidRPr="002C4077">
        <w:t xml:space="preserve"> </w:t>
      </w:r>
    </w:p>
    <w:p w:rsidR="000A7AAB" w:rsidRDefault="000A7AAB" w:rsidP="000A7AAB">
      <w:r>
        <w:t>Telle</w:t>
      </w:r>
      <w:r w:rsidRPr="002C4077">
        <w:t xml:space="preserve"> </w:t>
      </w:r>
      <w:r w:rsidR="00425C50">
        <w:t>est</w:t>
      </w:r>
      <w:r w:rsidRPr="002C4077">
        <w:t xml:space="preserve"> </w:t>
      </w:r>
      <w:r>
        <w:t>l’humble</w:t>
      </w:r>
      <w:r w:rsidRPr="002C4077">
        <w:t xml:space="preserve"> </w:t>
      </w:r>
      <w:r>
        <w:t>histoire</w:t>
      </w:r>
      <w:r w:rsidRPr="002C4077">
        <w:t xml:space="preserve"> </w:t>
      </w:r>
      <w:r>
        <w:t>de</w:t>
      </w:r>
      <w:r w:rsidRPr="002C4077">
        <w:t xml:space="preserve"> </w:t>
      </w:r>
      <w:r>
        <w:t>ce</w:t>
      </w:r>
      <w:r w:rsidRPr="002C4077">
        <w:t xml:space="preserve"> </w:t>
      </w:r>
      <w:r>
        <w:t>petit</w:t>
      </w:r>
      <w:r w:rsidRPr="002C4077">
        <w:t xml:space="preserve"> </w:t>
      </w:r>
      <w:r>
        <w:t>volume.</w:t>
      </w:r>
      <w:r w:rsidRPr="002C4077">
        <w:t xml:space="preserve"> </w:t>
      </w:r>
      <w:r>
        <w:t>S’il</w:t>
      </w:r>
      <w:r w:rsidRPr="002C4077">
        <w:t xml:space="preserve"> </w:t>
      </w:r>
      <w:r>
        <w:t>peut</w:t>
      </w:r>
      <w:r w:rsidRPr="002C4077">
        <w:t xml:space="preserve"> </w:t>
      </w:r>
      <w:r>
        <w:t>porter</w:t>
      </w:r>
      <w:r w:rsidRPr="002C4077">
        <w:t xml:space="preserve"> </w:t>
      </w:r>
      <w:r w:rsidR="00C577F1">
        <w:t>çà</w:t>
      </w:r>
      <w:r w:rsidRPr="002C4077">
        <w:t xml:space="preserve"> </w:t>
      </w:r>
      <w:r>
        <w:t>et</w:t>
      </w:r>
      <w:r w:rsidRPr="002C4077">
        <w:t xml:space="preserve"> </w:t>
      </w:r>
      <w:r>
        <w:t>là</w:t>
      </w:r>
      <w:r w:rsidRPr="002C4077">
        <w:t xml:space="preserve"> </w:t>
      </w:r>
      <w:r>
        <w:t>quelques</w:t>
      </w:r>
      <w:r w:rsidRPr="002C4077">
        <w:t xml:space="preserve"> </w:t>
      </w:r>
      <w:r>
        <w:t>semences</w:t>
      </w:r>
      <w:r w:rsidRPr="002C4077">
        <w:t xml:space="preserve"> </w:t>
      </w:r>
      <w:r>
        <w:t>qui,</w:t>
      </w:r>
      <w:r w:rsidRPr="002C4077">
        <w:t xml:space="preserve"> </w:t>
      </w:r>
      <w:r>
        <w:t>en</w:t>
      </w:r>
      <w:r w:rsidRPr="002C4077">
        <w:t xml:space="preserve"> </w:t>
      </w:r>
      <w:r>
        <w:t>germant</w:t>
      </w:r>
      <w:r w:rsidRPr="002C4077">
        <w:t xml:space="preserve"> </w:t>
      </w:r>
      <w:r>
        <w:t>et</w:t>
      </w:r>
      <w:r w:rsidRPr="002C4077">
        <w:t xml:space="preserve"> </w:t>
      </w:r>
      <w:r>
        <w:t>en</w:t>
      </w:r>
      <w:r w:rsidRPr="002C4077">
        <w:t xml:space="preserve"> </w:t>
      </w:r>
      <w:r>
        <w:t>se</w:t>
      </w:r>
      <w:r w:rsidRPr="002C4077">
        <w:t xml:space="preserve"> </w:t>
      </w:r>
      <w:r>
        <w:t>développant,</w:t>
      </w:r>
      <w:r w:rsidRPr="002C4077">
        <w:t xml:space="preserve"> </w:t>
      </w:r>
      <w:r>
        <w:t>produiront</w:t>
      </w:r>
      <w:r w:rsidRPr="002C4077">
        <w:t xml:space="preserve"> </w:t>
      </w:r>
      <w:r>
        <w:t>un</w:t>
      </w:r>
      <w:r w:rsidRPr="002C4077">
        <w:t xml:space="preserve"> </w:t>
      </w:r>
      <w:r>
        <w:t>plus</w:t>
      </w:r>
      <w:r w:rsidRPr="002C4077">
        <w:t xml:space="preserve"> </w:t>
      </w:r>
      <w:r>
        <w:t>grand</w:t>
      </w:r>
      <w:r w:rsidRPr="002C4077">
        <w:t xml:space="preserve"> </w:t>
      </w:r>
      <w:r>
        <w:t>attrait</w:t>
      </w:r>
      <w:r w:rsidRPr="002C4077">
        <w:t xml:space="preserve"> </w:t>
      </w:r>
      <w:r>
        <w:t>pour</w:t>
      </w:r>
      <w:r w:rsidRPr="002C4077">
        <w:t xml:space="preserve"> </w:t>
      </w:r>
      <w:r>
        <w:t>les</w:t>
      </w:r>
      <w:r w:rsidRPr="002C4077">
        <w:t xml:space="preserve"> </w:t>
      </w:r>
      <w:r>
        <w:t>études</w:t>
      </w:r>
      <w:r w:rsidRPr="002C4077">
        <w:t xml:space="preserve"> </w:t>
      </w:r>
      <w:r>
        <w:t>bibliques,</w:t>
      </w:r>
      <w:r w:rsidRPr="002C4077">
        <w:t xml:space="preserve"> </w:t>
      </w:r>
      <w:r>
        <w:t>nous</w:t>
      </w:r>
      <w:r w:rsidRPr="002C4077">
        <w:t xml:space="preserve"> </w:t>
      </w:r>
      <w:r>
        <w:t>regretterons</w:t>
      </w:r>
      <w:r w:rsidRPr="002C4077">
        <w:t xml:space="preserve"> </w:t>
      </w:r>
      <w:r>
        <w:t>moins</w:t>
      </w:r>
      <w:r w:rsidRPr="002C4077">
        <w:t xml:space="preserve"> </w:t>
      </w:r>
      <w:r>
        <w:t>d’avoir</w:t>
      </w:r>
      <w:r w:rsidRPr="002C4077">
        <w:t xml:space="preserve"> </w:t>
      </w:r>
      <w:r>
        <w:t>consenti</w:t>
      </w:r>
      <w:r w:rsidRPr="002C4077">
        <w:t xml:space="preserve"> </w:t>
      </w:r>
      <w:r>
        <w:t>à</w:t>
      </w:r>
      <w:r w:rsidRPr="002C4077">
        <w:t xml:space="preserve"> </w:t>
      </w:r>
      <w:r>
        <w:t>l’exposer</w:t>
      </w:r>
      <w:r w:rsidRPr="002C4077">
        <w:t xml:space="preserve"> </w:t>
      </w:r>
      <w:r>
        <w:t>aux</w:t>
      </w:r>
      <w:r w:rsidRPr="002C4077">
        <w:t xml:space="preserve"> </w:t>
      </w:r>
      <w:r>
        <w:t>dangers</w:t>
      </w:r>
      <w:r w:rsidRPr="002C4077">
        <w:t xml:space="preserve"> </w:t>
      </w:r>
      <w:r>
        <w:t>d’une</w:t>
      </w:r>
      <w:r w:rsidRPr="002C4077">
        <w:t xml:space="preserve"> </w:t>
      </w:r>
      <w:r>
        <w:t>publicité</w:t>
      </w:r>
      <w:r w:rsidRPr="002C4077">
        <w:t xml:space="preserve"> </w:t>
      </w:r>
      <w:r>
        <w:t>que</w:t>
      </w:r>
      <w:r w:rsidRPr="002C4077">
        <w:t xml:space="preserve"> </w:t>
      </w:r>
      <w:r>
        <w:t>probablement</w:t>
      </w:r>
      <w:r w:rsidRPr="002C4077">
        <w:t xml:space="preserve"> </w:t>
      </w:r>
      <w:r>
        <w:t>il</w:t>
      </w:r>
      <w:r w:rsidRPr="002C4077">
        <w:t xml:space="preserve"> </w:t>
      </w:r>
      <w:r>
        <w:t>ne</w:t>
      </w:r>
      <w:r w:rsidRPr="002C4077">
        <w:t xml:space="preserve"> </w:t>
      </w:r>
      <w:r>
        <w:t>méritait</w:t>
      </w:r>
      <w:r w:rsidRPr="002C4077">
        <w:t xml:space="preserve"> </w:t>
      </w:r>
      <w:r>
        <w:t>pas.</w:t>
      </w:r>
      <w:r w:rsidRPr="002C4077">
        <w:t xml:space="preserve"> </w:t>
      </w:r>
    </w:p>
    <w:p w:rsidR="000A7AAB" w:rsidRPr="001077D9" w:rsidRDefault="000A7AAB" w:rsidP="009D58B1">
      <w:pPr>
        <w:pStyle w:val="subscriptio"/>
      </w:pPr>
      <w:r w:rsidRPr="001077D9">
        <w:t xml:space="preserve">L.-Cl. </w:t>
      </w:r>
      <w:r w:rsidR="007554FC" w:rsidRPr="001077D9">
        <w:t>Fillion</w:t>
      </w:r>
      <w:r w:rsidRPr="001077D9">
        <w:t xml:space="preserve">. </w:t>
      </w:r>
    </w:p>
    <w:p w:rsidR="000A7AAB" w:rsidRDefault="000A7AAB" w:rsidP="000A7AAB">
      <w:r>
        <w:t>Lyon,</w:t>
      </w:r>
      <w:r w:rsidRPr="002C4077">
        <w:t xml:space="preserve"> </w:t>
      </w:r>
      <w:r>
        <w:t>le</w:t>
      </w:r>
      <w:r w:rsidRPr="002C4077">
        <w:t xml:space="preserve"> </w:t>
      </w:r>
      <w:r>
        <w:t>19</w:t>
      </w:r>
      <w:r w:rsidRPr="002C4077">
        <w:t xml:space="preserve"> </w:t>
      </w:r>
      <w:r>
        <w:t>mars</w:t>
      </w:r>
      <w:r w:rsidRPr="002C4077">
        <w:t xml:space="preserve"> </w:t>
      </w:r>
      <w:r>
        <w:t>1884.</w:t>
      </w:r>
      <w:r w:rsidRPr="002C4077">
        <w:t xml:space="preserve"> </w:t>
      </w:r>
    </w:p>
    <w:p w:rsidR="000A7AAB" w:rsidRDefault="000A7AAB" w:rsidP="000A7AAB"/>
    <w:p w:rsidR="000A7AAB" w:rsidRPr="00CF4244" w:rsidRDefault="000A7AAB" w:rsidP="00CF4244">
      <w:pPr>
        <w:pStyle w:val="st1"/>
      </w:pPr>
      <w:r w:rsidRPr="00CF4244">
        <w:t xml:space="preserve">ESSAIS D’EXÉGÈSE. </w:t>
      </w:r>
    </w:p>
    <w:p w:rsidR="000A7AAB" w:rsidRDefault="000A7AAB" w:rsidP="00D67FA8">
      <w:pPr>
        <w:pStyle w:val="Titre1"/>
      </w:pPr>
      <w:bookmarkStart w:id="4" w:name="_Toc43882000"/>
      <w:r>
        <w:t>I.</w:t>
      </w:r>
      <w:r w:rsidR="002A6EDB">
        <w:br/>
      </w:r>
      <w:r>
        <w:t>LA</w:t>
      </w:r>
      <w:r w:rsidRPr="002C4077">
        <w:t xml:space="preserve"> </w:t>
      </w:r>
      <w:r>
        <w:t>PROPHÉTIE</w:t>
      </w:r>
      <w:r w:rsidRPr="002C4077">
        <w:t xml:space="preserve"> </w:t>
      </w:r>
      <w:r>
        <w:t>DE</w:t>
      </w:r>
      <w:r w:rsidRPr="002C4077">
        <w:t xml:space="preserve"> </w:t>
      </w:r>
      <w:r>
        <w:t>LA</w:t>
      </w:r>
      <w:r w:rsidRPr="002C4077">
        <w:t xml:space="preserve"> </w:t>
      </w:r>
      <w:r>
        <w:t>VIERGE</w:t>
      </w:r>
      <w:r w:rsidRPr="002C4077">
        <w:t xml:space="preserve"> </w:t>
      </w:r>
      <w:r>
        <w:t>MÈRE</w:t>
      </w:r>
      <w:r w:rsidRPr="002C4077">
        <w:t xml:space="preserve"> </w:t>
      </w:r>
      <w:r>
        <w:t>ET</w:t>
      </w:r>
      <w:r w:rsidRPr="002C4077">
        <w:t xml:space="preserve"> </w:t>
      </w:r>
      <w:r>
        <w:t>D’EMMANUEL.</w:t>
      </w:r>
      <w:bookmarkStart w:id="5" w:name="a01"/>
      <w:bookmarkEnd w:id="4"/>
      <w:bookmarkEnd w:id="5"/>
      <w:r w:rsidRPr="002C4077">
        <w:t xml:space="preserve"> </w:t>
      </w:r>
    </w:p>
    <w:p w:rsidR="000A7AAB" w:rsidRDefault="000A7AAB" w:rsidP="000A7AAB">
      <w:r>
        <w:t>Ecce</w:t>
      </w:r>
      <w:r w:rsidRPr="002C4077">
        <w:t xml:space="preserve"> </w:t>
      </w:r>
      <w:r>
        <w:t>virgo</w:t>
      </w:r>
      <w:r w:rsidRPr="002C4077">
        <w:t xml:space="preserve"> </w:t>
      </w:r>
      <w:r w:rsidR="007554FC">
        <w:t>concípiet</w:t>
      </w:r>
      <w:r w:rsidRPr="002C4077">
        <w:t xml:space="preserve"> </w:t>
      </w:r>
      <w:r>
        <w:t>et</w:t>
      </w:r>
      <w:r w:rsidRPr="002C4077">
        <w:t xml:space="preserve"> </w:t>
      </w:r>
      <w:r w:rsidR="007554FC">
        <w:t>páriet</w:t>
      </w:r>
      <w:r w:rsidRPr="002C4077">
        <w:t xml:space="preserve"> </w:t>
      </w:r>
      <w:r>
        <w:t>f</w:t>
      </w:r>
      <w:r w:rsidR="003B53FD">
        <w:t>ílium</w:t>
      </w:r>
      <w:r>
        <w:t>,</w:t>
      </w:r>
      <w:r w:rsidRPr="002C4077">
        <w:t xml:space="preserve"> </w:t>
      </w:r>
      <w:r>
        <w:t>et</w:t>
      </w:r>
      <w:r w:rsidRPr="002C4077">
        <w:t xml:space="preserve"> </w:t>
      </w:r>
      <w:r>
        <w:t>voc</w:t>
      </w:r>
      <w:r w:rsidR="003B53FD">
        <w:t>ábitur</w:t>
      </w:r>
      <w:r w:rsidRPr="002C4077">
        <w:t xml:space="preserve"> </w:t>
      </w:r>
      <w:r>
        <w:t>nomen</w:t>
      </w:r>
      <w:r w:rsidRPr="002C4077">
        <w:t xml:space="preserve"> </w:t>
      </w:r>
      <w:r>
        <w:t>ejus</w:t>
      </w:r>
      <w:r w:rsidR="007554FC" w:rsidRPr="002C4077">
        <w:t xml:space="preserve"> </w:t>
      </w:r>
      <w:r>
        <w:t>Emmanuel.</w:t>
      </w:r>
      <w:r w:rsidRPr="004440EA">
        <w:t xml:space="preserve"> (</w:t>
      </w:r>
      <w:r w:rsidRPr="000A34B5">
        <w:rPr>
          <w:rStyle w:val="italicus"/>
        </w:rPr>
        <w:t>Isaïe</w:t>
      </w:r>
      <w:r w:rsidRPr="002C4077">
        <w:t xml:space="preserve"> </w:t>
      </w:r>
      <w:r w:rsidR="007554FC">
        <w:rPr>
          <w:rStyle w:val="italicus"/>
        </w:rPr>
        <w:t>VII</w:t>
      </w:r>
      <w:r w:rsidRPr="000A34B5">
        <w:rPr>
          <w:rStyle w:val="italicus"/>
        </w:rPr>
        <w:t>,</w:t>
      </w:r>
      <w:r w:rsidRPr="002C4077">
        <w:t xml:space="preserve"> </w:t>
      </w:r>
      <w:r w:rsidRPr="000A34B5">
        <w:rPr>
          <w:rStyle w:val="italicus"/>
        </w:rPr>
        <w:t>14</w:t>
      </w:r>
      <w:r w:rsidR="00B546AF" w:rsidRPr="002C4077">
        <w:t>)</w:t>
      </w:r>
      <w:r w:rsidR="007554FC">
        <w:rPr>
          <w:rStyle w:val="Appelnotedebasdep"/>
          <w:i/>
        </w:rPr>
        <w:footnoteReference w:id="3"/>
      </w:r>
      <w:r w:rsidR="007554FC">
        <w:rPr>
          <w:rStyle w:val="italicus"/>
        </w:rPr>
        <w:t>.</w:t>
      </w:r>
      <w:r w:rsidRPr="002C4077">
        <w:t xml:space="preserve"> </w:t>
      </w:r>
    </w:p>
    <w:p w:rsidR="000A7AAB" w:rsidRDefault="000A7AAB" w:rsidP="00BE7D31">
      <w:pPr>
        <w:pStyle w:val="Titre2"/>
      </w:pPr>
      <w:bookmarkStart w:id="6" w:name="_Toc43882001"/>
      <w:r>
        <w:t>CHAPITRE</w:t>
      </w:r>
      <w:r w:rsidRPr="002C4077">
        <w:t xml:space="preserve"> </w:t>
      </w:r>
      <w:r>
        <w:t>I.</w:t>
      </w:r>
      <w:bookmarkStart w:id="7" w:name="a0101"/>
      <w:bookmarkEnd w:id="6"/>
      <w:bookmarkEnd w:id="7"/>
      <w:r w:rsidRPr="002C4077">
        <w:t xml:space="preserve"> </w:t>
      </w:r>
    </w:p>
    <w:p w:rsidR="000A7AAB" w:rsidRDefault="000A7AAB" w:rsidP="007E58A7">
      <w:pPr>
        <w:pStyle w:val="st2"/>
      </w:pPr>
      <w:r>
        <w:t>Les</w:t>
      </w:r>
      <w:r w:rsidRPr="002C4077">
        <w:t xml:space="preserve"> </w:t>
      </w:r>
      <w:r>
        <w:t>préliminaires.</w:t>
      </w:r>
      <w:r w:rsidRPr="002C4077">
        <w:t xml:space="preserve"> </w:t>
      </w:r>
    </w:p>
    <w:p w:rsidR="000A7AAB" w:rsidRDefault="000A7AAB" w:rsidP="000A7AAB">
      <w:r>
        <w:t>Nous</w:t>
      </w:r>
      <w:r w:rsidRPr="002C4077">
        <w:t xml:space="preserve"> </w:t>
      </w:r>
      <w:r>
        <w:t>supposons</w:t>
      </w:r>
      <w:r w:rsidRPr="002C4077">
        <w:t xml:space="preserve"> </w:t>
      </w:r>
      <w:r>
        <w:t>que</w:t>
      </w:r>
      <w:r w:rsidRPr="002C4077">
        <w:t xml:space="preserve"> </w:t>
      </w:r>
      <w:r>
        <w:t>le</w:t>
      </w:r>
      <w:r w:rsidRPr="002C4077">
        <w:t xml:space="preserve"> </w:t>
      </w:r>
      <w:r>
        <w:t>lecteur</w:t>
      </w:r>
      <w:r w:rsidRPr="002C4077">
        <w:t xml:space="preserve"> </w:t>
      </w:r>
      <w:r w:rsidR="00425C50">
        <w:t>est</w:t>
      </w:r>
      <w:r w:rsidRPr="002C4077">
        <w:t xml:space="preserve"> </w:t>
      </w:r>
      <w:r>
        <w:t>avec</w:t>
      </w:r>
      <w:r w:rsidRPr="002C4077">
        <w:t xml:space="preserve"> </w:t>
      </w:r>
      <w:r>
        <w:t>nous</w:t>
      </w:r>
      <w:r w:rsidRPr="002C4077">
        <w:t xml:space="preserve"> </w:t>
      </w:r>
      <w:r>
        <w:t>à</w:t>
      </w:r>
      <w:r w:rsidRPr="002C4077">
        <w:t xml:space="preserve"> </w:t>
      </w:r>
      <w:r>
        <w:t>Jérusalem,</w:t>
      </w:r>
      <w:r w:rsidRPr="002C4077">
        <w:t xml:space="preserve"> </w:t>
      </w:r>
      <w:r>
        <w:t>et</w:t>
      </w:r>
      <w:r w:rsidRPr="002C4077">
        <w:t xml:space="preserve"> </w:t>
      </w:r>
      <w:r>
        <w:t>nous</w:t>
      </w:r>
      <w:r w:rsidRPr="002C4077">
        <w:t xml:space="preserve"> </w:t>
      </w:r>
      <w:r>
        <w:t>le</w:t>
      </w:r>
      <w:r w:rsidRPr="002C4077">
        <w:t xml:space="preserve"> </w:t>
      </w:r>
      <w:r>
        <w:t>prions</w:t>
      </w:r>
      <w:r w:rsidRPr="002C4077">
        <w:t xml:space="preserve"> </w:t>
      </w:r>
      <w:r>
        <w:t>de</w:t>
      </w:r>
      <w:r w:rsidRPr="002C4077">
        <w:t xml:space="preserve"> </w:t>
      </w:r>
      <w:r>
        <w:t>vouloir</w:t>
      </w:r>
      <w:r w:rsidRPr="002C4077">
        <w:t xml:space="preserve"> </w:t>
      </w:r>
      <w:r>
        <w:t>bien</w:t>
      </w:r>
      <w:r w:rsidRPr="002C4077">
        <w:t xml:space="preserve"> </w:t>
      </w:r>
      <w:r>
        <w:t>nous</w:t>
      </w:r>
      <w:r w:rsidRPr="002C4077">
        <w:t xml:space="preserve"> </w:t>
      </w:r>
      <w:r>
        <w:t>prendre</w:t>
      </w:r>
      <w:r w:rsidRPr="002C4077">
        <w:t xml:space="preserve"> </w:t>
      </w:r>
      <w:r>
        <w:t>pour</w:t>
      </w:r>
      <w:r w:rsidRPr="002C4077">
        <w:t xml:space="preserve"> </w:t>
      </w:r>
      <w:r w:rsidRPr="000A34B5">
        <w:rPr>
          <w:rStyle w:val="italicus"/>
        </w:rPr>
        <w:t>cicérone</w:t>
      </w:r>
      <w:r w:rsidRPr="002C4077">
        <w:t xml:space="preserve"> </w:t>
      </w:r>
      <w:r>
        <w:t>pendant</w:t>
      </w:r>
      <w:r w:rsidRPr="002C4077">
        <w:t xml:space="preserve"> </w:t>
      </w:r>
      <w:r>
        <w:t>quelques</w:t>
      </w:r>
      <w:r w:rsidRPr="002C4077">
        <w:t xml:space="preserve"> </w:t>
      </w:r>
      <w:r>
        <w:t>instants.</w:t>
      </w:r>
      <w:r w:rsidRPr="002C4077">
        <w:t xml:space="preserve"> </w:t>
      </w:r>
    </w:p>
    <w:p w:rsidR="000A7AAB" w:rsidRDefault="000A7AAB" w:rsidP="000A7AAB">
      <w:r>
        <w:t>Nous</w:t>
      </w:r>
      <w:r w:rsidR="006F22FC">
        <w:rPr>
          <w:rStyle w:val="Appelnotedebasdep"/>
        </w:rPr>
        <w:footnoteReference w:id="4"/>
      </w:r>
      <w:r w:rsidRPr="002C4077">
        <w:t xml:space="preserve"> </w:t>
      </w:r>
      <w:r>
        <w:t>sortons</w:t>
      </w:r>
      <w:r w:rsidRPr="002C4077">
        <w:t xml:space="preserve"> </w:t>
      </w:r>
      <w:r>
        <w:t>de</w:t>
      </w:r>
      <w:r w:rsidRPr="002C4077">
        <w:t xml:space="preserve"> </w:t>
      </w:r>
      <w:r>
        <w:t>la</w:t>
      </w:r>
      <w:r w:rsidRPr="002C4077">
        <w:t xml:space="preserve"> </w:t>
      </w:r>
      <w:r>
        <w:t>ville</w:t>
      </w:r>
      <w:r w:rsidRPr="002C4077">
        <w:t xml:space="preserve"> </w:t>
      </w:r>
      <w:r>
        <w:t>sainte</w:t>
      </w:r>
      <w:r w:rsidRPr="002C4077">
        <w:t xml:space="preserve"> </w:t>
      </w:r>
      <w:r>
        <w:t>par</w:t>
      </w:r>
      <w:r w:rsidRPr="002C4077">
        <w:t xml:space="preserve"> </w:t>
      </w:r>
      <w:r>
        <w:t>la</w:t>
      </w:r>
      <w:r w:rsidRPr="002C4077">
        <w:t xml:space="preserve"> </w:t>
      </w:r>
      <w:r>
        <w:t>porte</w:t>
      </w:r>
      <w:r w:rsidRPr="002C4077">
        <w:t xml:space="preserve"> </w:t>
      </w:r>
      <w:r>
        <w:t>de</w:t>
      </w:r>
      <w:r w:rsidRPr="002C4077">
        <w:t xml:space="preserve"> </w:t>
      </w:r>
      <w:r>
        <w:t>Jaffa</w:t>
      </w:r>
      <w:r w:rsidRPr="002C4077">
        <w:t xml:space="preserve"> </w:t>
      </w:r>
      <w:r>
        <w:t>et</w:t>
      </w:r>
      <w:r w:rsidRPr="002C4077">
        <w:t xml:space="preserve"> </w:t>
      </w:r>
      <w:r>
        <w:t>nous</w:t>
      </w:r>
      <w:r w:rsidRPr="002C4077">
        <w:t xml:space="preserve"> </w:t>
      </w:r>
      <w:r>
        <w:t>suivons</w:t>
      </w:r>
      <w:r w:rsidRPr="002C4077">
        <w:t xml:space="preserve"> </w:t>
      </w:r>
      <w:r>
        <w:t>d’abord</w:t>
      </w:r>
      <w:r w:rsidRPr="002C4077">
        <w:t xml:space="preserve"> </w:t>
      </w:r>
      <w:r>
        <w:t>la</w:t>
      </w:r>
      <w:r w:rsidRPr="002C4077">
        <w:t xml:space="preserve"> </w:t>
      </w:r>
      <w:r>
        <w:t>route</w:t>
      </w:r>
      <w:r w:rsidRPr="002C4077">
        <w:t xml:space="preserve"> </w:t>
      </w:r>
      <w:r>
        <w:t>du</w:t>
      </w:r>
      <w:r w:rsidRPr="002C4077">
        <w:t xml:space="preserve"> </w:t>
      </w:r>
      <w:r>
        <w:t>même</w:t>
      </w:r>
      <w:r w:rsidRPr="002C4077">
        <w:t xml:space="preserve"> </w:t>
      </w:r>
      <w:r>
        <w:t>nom</w:t>
      </w:r>
      <w:r w:rsidR="00B91AF7">
        <w:rPr>
          <w:rStyle w:val="Appelnotedebasdep"/>
        </w:rPr>
        <w:footnoteReference w:id="5"/>
      </w:r>
      <w:r w:rsidR="00B546AF">
        <w:t> ;</w:t>
      </w:r>
      <w:r w:rsidRPr="002C4077">
        <w:t xml:space="preserve"> </w:t>
      </w:r>
      <w:r>
        <w:t>mais</w:t>
      </w:r>
      <w:r w:rsidRPr="002C4077">
        <w:t xml:space="preserve"> </w:t>
      </w:r>
      <w:r>
        <w:t>nous</w:t>
      </w:r>
      <w:r w:rsidRPr="002C4077">
        <w:t xml:space="preserve"> </w:t>
      </w:r>
      <w:r>
        <w:t>la</w:t>
      </w:r>
      <w:r w:rsidRPr="002C4077">
        <w:t xml:space="preserve"> </w:t>
      </w:r>
      <w:r>
        <w:t>quittons</w:t>
      </w:r>
      <w:r w:rsidRPr="002C4077">
        <w:t xml:space="preserve"> </w:t>
      </w:r>
      <w:r>
        <w:t>presque</w:t>
      </w:r>
      <w:r w:rsidRPr="002C4077">
        <w:t xml:space="preserve"> </w:t>
      </w:r>
      <w:r>
        <w:t>aussitôt</w:t>
      </w:r>
      <w:r w:rsidRPr="002C4077">
        <w:t xml:space="preserve"> </w:t>
      </w:r>
      <w:r>
        <w:t>pour</w:t>
      </w:r>
      <w:r w:rsidRPr="002C4077">
        <w:t xml:space="preserve"> </w:t>
      </w:r>
      <w:r>
        <w:t>prendre</w:t>
      </w:r>
      <w:r w:rsidRPr="002C4077">
        <w:t xml:space="preserve"> </w:t>
      </w:r>
      <w:r>
        <w:t>celle</w:t>
      </w:r>
      <w:r w:rsidRPr="002C4077">
        <w:t xml:space="preserve"> </w:t>
      </w:r>
      <w:r>
        <w:t>qui</w:t>
      </w:r>
      <w:r w:rsidRPr="002C4077">
        <w:t xml:space="preserve"> </w:t>
      </w:r>
      <w:r>
        <w:t>conduit</w:t>
      </w:r>
      <w:r w:rsidRPr="002C4077">
        <w:t xml:space="preserve"> </w:t>
      </w:r>
      <w:r>
        <w:t>à</w:t>
      </w:r>
      <w:r w:rsidRPr="002C4077">
        <w:t xml:space="preserve"> </w:t>
      </w:r>
      <w:r>
        <w:t>Bethléem</w:t>
      </w:r>
      <w:r w:rsidRPr="002C4077">
        <w:t xml:space="preserve"> </w:t>
      </w:r>
      <w:r>
        <w:t>et</w:t>
      </w:r>
      <w:r w:rsidRPr="002C4077">
        <w:t xml:space="preserve"> </w:t>
      </w:r>
      <w:r>
        <w:t>à</w:t>
      </w:r>
      <w:r w:rsidRPr="002C4077">
        <w:t xml:space="preserve"> </w:t>
      </w:r>
      <w:r>
        <w:t>Hébron,</w:t>
      </w:r>
      <w:r w:rsidRPr="002C4077">
        <w:t xml:space="preserve"> </w:t>
      </w:r>
      <w:r>
        <w:t>—</w:t>
      </w:r>
      <w:r w:rsidRPr="002C4077">
        <w:t xml:space="preserve"> </w:t>
      </w:r>
      <w:r>
        <w:t>à</w:t>
      </w:r>
      <w:r w:rsidRPr="002C4077">
        <w:t xml:space="preserve"> </w:t>
      </w:r>
      <w:r w:rsidR="00410BF0" w:rsidRPr="000A34B5">
        <w:rPr>
          <w:rStyle w:val="italicus"/>
        </w:rPr>
        <w:t>El-Khalîl</w:t>
      </w:r>
      <w:bookmarkStart w:id="8" w:name="z_ElKhalil_o1"/>
      <w:bookmarkStart w:id="9" w:name="z_ElKhalil_o2"/>
      <w:bookmarkEnd w:id="8"/>
      <w:bookmarkEnd w:id="9"/>
      <w:r w:rsidRPr="000A34B5">
        <w:rPr>
          <w:rStyle w:val="italicus"/>
        </w:rPr>
        <w:t>,</w:t>
      </w:r>
      <w:r w:rsidRPr="002C4077">
        <w:t xml:space="preserve"> </w:t>
      </w:r>
      <w:r>
        <w:t>comme</w:t>
      </w:r>
      <w:r w:rsidRPr="002C4077">
        <w:t xml:space="preserve"> </w:t>
      </w:r>
      <w:r>
        <w:t>disent</w:t>
      </w:r>
      <w:r w:rsidRPr="002C4077">
        <w:t xml:space="preserve"> </w:t>
      </w:r>
      <w:r>
        <w:t>les</w:t>
      </w:r>
      <w:r w:rsidRPr="002C4077">
        <w:t xml:space="preserve"> </w:t>
      </w:r>
      <w:r w:rsidR="003B53FD">
        <w:t>Arabes</w:t>
      </w:r>
      <w:r w:rsidRPr="002C4077">
        <w:t xml:space="preserve"> </w:t>
      </w:r>
      <w:r>
        <w:t>dans</w:t>
      </w:r>
      <w:r w:rsidRPr="002C4077">
        <w:t xml:space="preserve"> </w:t>
      </w:r>
      <w:r>
        <w:t>leur</w:t>
      </w:r>
      <w:r w:rsidRPr="002C4077">
        <w:t xml:space="preserve"> </w:t>
      </w:r>
      <w:r>
        <w:t>beau</w:t>
      </w:r>
      <w:r w:rsidRPr="002C4077">
        <w:t xml:space="preserve"> </w:t>
      </w:r>
      <w:r>
        <w:t>langage</w:t>
      </w:r>
      <w:r w:rsidR="00B546AF">
        <w:t> :</w:t>
      </w:r>
      <w:r w:rsidR="00C45B47">
        <w:t xml:space="preserve"> {</w:t>
      </w:r>
      <w:r w:rsidR="000721C4">
        <w:t>2</w:t>
      </w:r>
      <w:bookmarkStart w:id="10" w:name="p002"/>
      <w:bookmarkEnd w:id="10"/>
      <w:r w:rsidR="000721C4">
        <w:t xml:space="preserve">} </w:t>
      </w:r>
      <w:r>
        <w:t>au</w:t>
      </w:r>
      <w:r w:rsidRPr="002C4077">
        <w:t xml:space="preserve"> </w:t>
      </w:r>
      <w:r>
        <w:t>pays</w:t>
      </w:r>
      <w:r w:rsidRPr="002C4077">
        <w:t xml:space="preserve"> </w:t>
      </w:r>
      <w:r>
        <w:t>longtemps</w:t>
      </w:r>
      <w:r w:rsidRPr="002C4077">
        <w:t xml:space="preserve"> </w:t>
      </w:r>
      <w:r>
        <w:t>habité</w:t>
      </w:r>
      <w:r w:rsidRPr="002C4077">
        <w:t xml:space="preserve"> </w:t>
      </w:r>
      <w:r>
        <w:t>par</w:t>
      </w:r>
      <w:r w:rsidRPr="002C4077">
        <w:t xml:space="preserve"> </w:t>
      </w:r>
      <w:r>
        <w:t>le</w:t>
      </w:r>
      <w:r w:rsidRPr="002C4077">
        <w:t xml:space="preserve"> </w:t>
      </w:r>
      <w:r w:rsidRPr="000A34B5">
        <w:rPr>
          <w:rStyle w:val="italicus"/>
        </w:rPr>
        <w:t>bien-aimé</w:t>
      </w:r>
      <w:r w:rsidRPr="002C4077">
        <w:t xml:space="preserve"> </w:t>
      </w:r>
      <w:r>
        <w:t>de</w:t>
      </w:r>
      <w:r w:rsidRPr="002C4077">
        <w:t xml:space="preserve"> </w:t>
      </w:r>
      <w:r>
        <w:t>Dieu,</w:t>
      </w:r>
      <w:r w:rsidRPr="002C4077">
        <w:t xml:space="preserve"> </w:t>
      </w:r>
      <w:r>
        <w:t>Abraham.</w:t>
      </w:r>
      <w:r w:rsidRPr="002C4077">
        <w:t xml:space="preserve"> </w:t>
      </w:r>
      <w:r>
        <w:t>Notre</w:t>
      </w:r>
      <w:r w:rsidRPr="002C4077">
        <w:t xml:space="preserve"> </w:t>
      </w:r>
      <w:r>
        <w:t>direction</w:t>
      </w:r>
      <w:r w:rsidRPr="002C4077">
        <w:t xml:space="preserve"> </w:t>
      </w:r>
      <w:r w:rsidR="00425C50">
        <w:t>est</w:t>
      </w:r>
      <w:r w:rsidRPr="002C4077">
        <w:t xml:space="preserve"> </w:t>
      </w:r>
      <w:r>
        <w:t>presque</w:t>
      </w:r>
      <w:r w:rsidRPr="002C4077">
        <w:t xml:space="preserve"> </w:t>
      </w:r>
      <w:r>
        <w:t>entièrement</w:t>
      </w:r>
      <w:r w:rsidRPr="002C4077">
        <w:t xml:space="preserve"> </w:t>
      </w:r>
      <w:r>
        <w:t>celle</w:t>
      </w:r>
      <w:r w:rsidRPr="002C4077">
        <w:t xml:space="preserve"> </w:t>
      </w:r>
      <w:r>
        <w:t>de</w:t>
      </w:r>
      <w:r w:rsidRPr="002C4077">
        <w:t xml:space="preserve"> </w:t>
      </w:r>
      <w:r>
        <w:t>l’ouest</w:t>
      </w:r>
      <w:r w:rsidR="00B546AF">
        <w:t> ;</w:t>
      </w:r>
      <w:r w:rsidRPr="002C4077">
        <w:t xml:space="preserve"> </w:t>
      </w:r>
      <w:r>
        <w:t>nous</w:t>
      </w:r>
      <w:r w:rsidRPr="002C4077">
        <w:t xml:space="preserve"> </w:t>
      </w:r>
      <w:r>
        <w:t>n’inclinons</w:t>
      </w:r>
      <w:r w:rsidRPr="002C4077">
        <w:t xml:space="preserve"> </w:t>
      </w:r>
      <w:r>
        <w:t>guère</w:t>
      </w:r>
      <w:r w:rsidRPr="002C4077">
        <w:t xml:space="preserve"> </w:t>
      </w:r>
      <w:r>
        <w:t>qu’un</w:t>
      </w:r>
      <w:r w:rsidRPr="002C4077">
        <w:t xml:space="preserve"> </w:t>
      </w:r>
      <w:r>
        <w:t>peu</w:t>
      </w:r>
      <w:r w:rsidRPr="002C4077">
        <w:t xml:space="preserve"> </w:t>
      </w:r>
      <w:r>
        <w:t>vers</w:t>
      </w:r>
      <w:r w:rsidRPr="002C4077">
        <w:t xml:space="preserve"> </w:t>
      </w:r>
      <w:r>
        <w:t>le</w:t>
      </w:r>
      <w:r w:rsidRPr="002C4077">
        <w:t xml:space="preserve"> </w:t>
      </w:r>
      <w:r>
        <w:t>nord.</w:t>
      </w:r>
      <w:r w:rsidRPr="002C4077">
        <w:t xml:space="preserve"> </w:t>
      </w:r>
      <w:r>
        <w:t>Après</w:t>
      </w:r>
      <w:r w:rsidRPr="002C4077">
        <w:t xml:space="preserve"> </w:t>
      </w:r>
      <w:r>
        <w:t>avoir</w:t>
      </w:r>
      <w:r w:rsidRPr="002C4077">
        <w:t xml:space="preserve"> </w:t>
      </w:r>
      <w:r>
        <w:t>franchi</w:t>
      </w:r>
      <w:r w:rsidRPr="002C4077">
        <w:t xml:space="preserve"> </w:t>
      </w:r>
      <w:r>
        <w:t>environ</w:t>
      </w:r>
      <w:r w:rsidRPr="002C4077">
        <w:t xml:space="preserve"> </w:t>
      </w:r>
      <w:r>
        <w:t>six</w:t>
      </w:r>
      <w:r w:rsidRPr="002C4077">
        <w:t xml:space="preserve"> </w:t>
      </w:r>
      <w:r>
        <w:t>cents</w:t>
      </w:r>
      <w:r w:rsidRPr="002C4077">
        <w:t xml:space="preserve"> </w:t>
      </w:r>
      <w:r>
        <w:t>mètres,</w:t>
      </w:r>
      <w:r w:rsidRPr="002C4077">
        <w:t xml:space="preserve"> </w:t>
      </w:r>
      <w:r>
        <w:t>nous</w:t>
      </w:r>
      <w:r w:rsidRPr="002C4077">
        <w:t xml:space="preserve"> </w:t>
      </w:r>
      <w:r>
        <w:t>laissons</w:t>
      </w:r>
      <w:r w:rsidRPr="002C4077">
        <w:t xml:space="preserve"> </w:t>
      </w:r>
      <w:r>
        <w:t>cette</w:t>
      </w:r>
      <w:r w:rsidRPr="002C4077">
        <w:t xml:space="preserve"> </w:t>
      </w:r>
      <w:r>
        <w:t>seconde</w:t>
      </w:r>
      <w:r w:rsidRPr="002C4077">
        <w:t xml:space="preserve"> </w:t>
      </w:r>
      <w:r>
        <w:t>route</w:t>
      </w:r>
      <w:r w:rsidRPr="002C4077">
        <w:t xml:space="preserve"> </w:t>
      </w:r>
      <w:r>
        <w:t>tourner</w:t>
      </w:r>
      <w:r w:rsidRPr="002C4077">
        <w:t xml:space="preserve"> </w:t>
      </w:r>
      <w:r>
        <w:t>brusquement</w:t>
      </w:r>
      <w:r w:rsidRPr="002C4077">
        <w:t xml:space="preserve"> </w:t>
      </w:r>
      <w:r>
        <w:t>au</w:t>
      </w:r>
      <w:r w:rsidRPr="002C4077">
        <w:t xml:space="preserve"> </w:t>
      </w:r>
      <w:r>
        <w:t>sud.</w:t>
      </w:r>
      <w:r w:rsidRPr="002C4077">
        <w:t xml:space="preserve"> </w:t>
      </w:r>
      <w:r>
        <w:t>Nous</w:t>
      </w:r>
      <w:r w:rsidRPr="002C4077">
        <w:t xml:space="preserve"> </w:t>
      </w:r>
      <w:r>
        <w:t>faisons</w:t>
      </w:r>
      <w:r w:rsidRPr="002C4077">
        <w:t xml:space="preserve"> </w:t>
      </w:r>
      <w:r>
        <w:t>encore</w:t>
      </w:r>
      <w:r w:rsidRPr="002C4077">
        <w:t xml:space="preserve"> </w:t>
      </w:r>
      <w:r>
        <w:t>une</w:t>
      </w:r>
      <w:r w:rsidRPr="002C4077">
        <w:t xml:space="preserve"> </w:t>
      </w:r>
      <w:r>
        <w:t>centaine</w:t>
      </w:r>
      <w:r w:rsidRPr="002C4077">
        <w:t xml:space="preserve"> </w:t>
      </w:r>
      <w:r>
        <w:t>de</w:t>
      </w:r>
      <w:r w:rsidRPr="002C4077">
        <w:t xml:space="preserve"> </w:t>
      </w:r>
      <w:r>
        <w:t>pas</w:t>
      </w:r>
      <w:r w:rsidRPr="002C4077">
        <w:t xml:space="preserve"> </w:t>
      </w:r>
      <w:r>
        <w:t>du</w:t>
      </w:r>
      <w:r w:rsidRPr="002C4077">
        <w:t xml:space="preserve"> </w:t>
      </w:r>
      <w:r>
        <w:t>côté</w:t>
      </w:r>
      <w:r w:rsidRPr="002C4077">
        <w:t xml:space="preserve"> </w:t>
      </w:r>
      <w:r>
        <w:t>de</w:t>
      </w:r>
      <w:r w:rsidRPr="002C4077">
        <w:t xml:space="preserve"> </w:t>
      </w:r>
      <w:r>
        <w:t>l’ouest,</w:t>
      </w:r>
      <w:r w:rsidRPr="002C4077">
        <w:t xml:space="preserve"> </w:t>
      </w:r>
      <w:r>
        <w:t>et</w:t>
      </w:r>
      <w:r w:rsidRPr="002C4077">
        <w:t xml:space="preserve"> </w:t>
      </w:r>
      <w:r>
        <w:t>nous</w:t>
      </w:r>
      <w:r w:rsidRPr="002C4077">
        <w:t xml:space="preserve"> </w:t>
      </w:r>
      <w:r>
        <w:t>nous</w:t>
      </w:r>
      <w:r w:rsidRPr="002C4077">
        <w:t xml:space="preserve"> </w:t>
      </w:r>
      <w:r>
        <w:t>trouvons</w:t>
      </w:r>
      <w:r w:rsidRPr="002C4077">
        <w:t xml:space="preserve"> </w:t>
      </w:r>
      <w:r>
        <w:t>alors</w:t>
      </w:r>
      <w:r w:rsidRPr="002C4077">
        <w:t xml:space="preserve"> </w:t>
      </w:r>
      <w:r>
        <w:t>dans</w:t>
      </w:r>
      <w:r w:rsidRPr="002C4077">
        <w:t xml:space="preserve"> </w:t>
      </w:r>
      <w:r>
        <w:t>un</w:t>
      </w:r>
      <w:r w:rsidRPr="002C4077">
        <w:t xml:space="preserve"> </w:t>
      </w:r>
      <w:r>
        <w:t>bassin</w:t>
      </w:r>
      <w:r w:rsidRPr="002C4077">
        <w:t xml:space="preserve"> </w:t>
      </w:r>
      <w:r>
        <w:t>peu</w:t>
      </w:r>
      <w:r w:rsidRPr="002C4077">
        <w:t xml:space="preserve"> </w:t>
      </w:r>
      <w:r>
        <w:t>profond,</w:t>
      </w:r>
      <w:r w:rsidRPr="002C4077">
        <w:t xml:space="preserve"> </w:t>
      </w:r>
      <w:r>
        <w:t>formé</w:t>
      </w:r>
      <w:r w:rsidRPr="002C4077">
        <w:t xml:space="preserve"> </w:t>
      </w:r>
      <w:r>
        <w:t>par</w:t>
      </w:r>
      <w:r w:rsidRPr="002C4077">
        <w:t xml:space="preserve"> </w:t>
      </w:r>
      <w:r>
        <w:t>les</w:t>
      </w:r>
      <w:r w:rsidRPr="002C4077">
        <w:t xml:space="preserve"> </w:t>
      </w:r>
      <w:r>
        <w:t>hauteurs</w:t>
      </w:r>
      <w:r w:rsidRPr="002C4077">
        <w:t xml:space="preserve"> </w:t>
      </w:r>
      <w:r>
        <w:t>avoisinantes,</w:t>
      </w:r>
      <w:r w:rsidRPr="002C4077">
        <w:t xml:space="preserve"> </w:t>
      </w:r>
      <w:r>
        <w:t>et</w:t>
      </w:r>
      <w:r w:rsidRPr="002C4077">
        <w:t xml:space="preserve"> </w:t>
      </w:r>
      <w:r>
        <w:t>situé</w:t>
      </w:r>
      <w:r w:rsidRPr="002C4077">
        <w:t xml:space="preserve"> </w:t>
      </w:r>
      <w:r>
        <w:t>presque</w:t>
      </w:r>
      <w:r w:rsidRPr="002C4077">
        <w:t xml:space="preserve"> </w:t>
      </w:r>
      <w:r>
        <w:t>à</w:t>
      </w:r>
      <w:r w:rsidRPr="002C4077">
        <w:t xml:space="preserve"> </w:t>
      </w:r>
      <w:r>
        <w:t>la</w:t>
      </w:r>
      <w:r w:rsidRPr="002C4077">
        <w:t xml:space="preserve"> </w:t>
      </w:r>
      <w:r>
        <w:t>naissance</w:t>
      </w:r>
      <w:r w:rsidRPr="002C4077">
        <w:t xml:space="preserve"> </w:t>
      </w:r>
      <w:r>
        <w:t>de</w:t>
      </w:r>
      <w:r w:rsidRPr="002C4077">
        <w:t xml:space="preserve"> </w:t>
      </w:r>
      <w:r>
        <w:t>la</w:t>
      </w:r>
      <w:r w:rsidRPr="002C4077">
        <w:t xml:space="preserve"> </w:t>
      </w:r>
      <w:r>
        <w:t>vallée</w:t>
      </w:r>
      <w:r w:rsidRPr="002C4077">
        <w:t xml:space="preserve"> </w:t>
      </w:r>
      <w:r>
        <w:t>d’Hinnom</w:t>
      </w:r>
      <w:bookmarkStart w:id="11" w:name="z_Hinnom_o1"/>
      <w:bookmarkEnd w:id="11"/>
      <w:r>
        <w:t>.</w:t>
      </w:r>
      <w:r w:rsidRPr="002C4077">
        <w:t xml:space="preserve"> </w:t>
      </w:r>
      <w:r>
        <w:t>C’est</w:t>
      </w:r>
      <w:r w:rsidRPr="002C4077">
        <w:t xml:space="preserve"> </w:t>
      </w:r>
      <w:r>
        <w:t>là</w:t>
      </w:r>
      <w:r w:rsidRPr="002C4077">
        <w:t xml:space="preserve"> </w:t>
      </w:r>
      <w:r>
        <w:t>que</w:t>
      </w:r>
      <w:r w:rsidRPr="002C4077">
        <w:t xml:space="preserve"> </w:t>
      </w:r>
      <w:r>
        <w:t>je</w:t>
      </w:r>
      <w:r w:rsidRPr="002C4077">
        <w:t xml:space="preserve"> </w:t>
      </w:r>
      <w:r>
        <w:t>voulais</w:t>
      </w:r>
      <w:r w:rsidRPr="002C4077">
        <w:t xml:space="preserve"> </w:t>
      </w:r>
      <w:r>
        <w:t>vous</w:t>
      </w:r>
      <w:r w:rsidRPr="002C4077">
        <w:t xml:space="preserve"> </w:t>
      </w:r>
      <w:r>
        <w:t>conduire.</w:t>
      </w:r>
      <w:r w:rsidRPr="002C4077">
        <w:t xml:space="preserve"> </w:t>
      </w:r>
    </w:p>
    <w:p w:rsidR="000A7AAB" w:rsidRDefault="000A7AAB" w:rsidP="000A7AAB">
      <w:r>
        <w:t>Voyez</w:t>
      </w:r>
      <w:r w:rsidRPr="002C4077">
        <w:t xml:space="preserve"> </w:t>
      </w:r>
      <w:r>
        <w:t>maintenant</w:t>
      </w:r>
      <w:r w:rsidRPr="002C4077">
        <w:t xml:space="preserve"> </w:t>
      </w:r>
      <w:r>
        <w:t>ce</w:t>
      </w:r>
      <w:r w:rsidRPr="002C4077">
        <w:t xml:space="preserve"> </w:t>
      </w:r>
      <w:r>
        <w:t>grossier</w:t>
      </w:r>
      <w:r w:rsidRPr="002C4077">
        <w:t xml:space="preserve"> </w:t>
      </w:r>
      <w:r>
        <w:t>réservoir,</w:t>
      </w:r>
      <w:r w:rsidRPr="002C4077">
        <w:t xml:space="preserve"> </w:t>
      </w:r>
      <w:r>
        <w:t>taillé</w:t>
      </w:r>
      <w:r w:rsidRPr="002C4077">
        <w:t xml:space="preserve"> </w:t>
      </w:r>
      <w:r>
        <w:t>en</w:t>
      </w:r>
      <w:r w:rsidRPr="002C4077">
        <w:t xml:space="preserve"> </w:t>
      </w:r>
      <w:r>
        <w:t>partie</w:t>
      </w:r>
      <w:r w:rsidRPr="002C4077">
        <w:t xml:space="preserve"> </w:t>
      </w:r>
      <w:r>
        <w:t>dans</w:t>
      </w:r>
      <w:r w:rsidRPr="002C4077">
        <w:t xml:space="preserve"> </w:t>
      </w:r>
      <w:r>
        <w:t>le</w:t>
      </w:r>
      <w:r w:rsidRPr="002C4077">
        <w:t xml:space="preserve"> </w:t>
      </w:r>
      <w:r>
        <w:t>roc,</w:t>
      </w:r>
      <w:r w:rsidRPr="002C4077">
        <w:t xml:space="preserve"> </w:t>
      </w:r>
      <w:r>
        <w:t>et</w:t>
      </w:r>
      <w:r w:rsidRPr="002C4077">
        <w:t xml:space="preserve"> </w:t>
      </w:r>
      <w:r>
        <w:t>néanmoins</w:t>
      </w:r>
      <w:r w:rsidRPr="002C4077">
        <w:t xml:space="preserve"> </w:t>
      </w:r>
      <w:r>
        <w:t>doublé</w:t>
      </w:r>
      <w:r w:rsidRPr="002C4077">
        <w:t xml:space="preserve"> </w:t>
      </w:r>
      <w:r>
        <w:t>intérieurement</w:t>
      </w:r>
      <w:r w:rsidRPr="002C4077">
        <w:t xml:space="preserve"> </w:t>
      </w:r>
      <w:r>
        <w:t>d’un</w:t>
      </w:r>
      <w:r w:rsidRPr="002C4077">
        <w:t xml:space="preserve"> </w:t>
      </w:r>
      <w:r>
        <w:t>mur</w:t>
      </w:r>
      <w:r w:rsidRPr="002C4077">
        <w:t xml:space="preserve"> </w:t>
      </w:r>
      <w:r>
        <w:t>assez</w:t>
      </w:r>
      <w:r w:rsidRPr="002C4077">
        <w:t xml:space="preserve"> </w:t>
      </w:r>
      <w:r>
        <w:t>épais.</w:t>
      </w:r>
      <w:r w:rsidRPr="002C4077">
        <w:t xml:space="preserve"> </w:t>
      </w:r>
      <w:r>
        <w:t>Il</w:t>
      </w:r>
      <w:r w:rsidRPr="002C4077">
        <w:t xml:space="preserve"> </w:t>
      </w:r>
      <w:r w:rsidR="00425C50">
        <w:t>est</w:t>
      </w:r>
      <w:r w:rsidRPr="002C4077">
        <w:t xml:space="preserve"> </w:t>
      </w:r>
      <w:r>
        <w:t>à</w:t>
      </w:r>
      <w:r w:rsidRPr="002C4077">
        <w:t xml:space="preserve"> </w:t>
      </w:r>
      <w:r>
        <w:t>sec</w:t>
      </w:r>
      <w:r w:rsidRPr="002C4077">
        <w:t xml:space="preserve"> </w:t>
      </w:r>
      <w:r>
        <w:t>durant</w:t>
      </w:r>
      <w:r w:rsidRPr="002C4077">
        <w:t xml:space="preserve"> </w:t>
      </w:r>
      <w:r>
        <w:t>une</w:t>
      </w:r>
      <w:r w:rsidRPr="002C4077">
        <w:t xml:space="preserve"> </w:t>
      </w:r>
      <w:r>
        <w:t>portion</w:t>
      </w:r>
      <w:r w:rsidRPr="002C4077">
        <w:t xml:space="preserve"> </w:t>
      </w:r>
      <w:r>
        <w:t>notable</w:t>
      </w:r>
      <w:r w:rsidRPr="002C4077">
        <w:t xml:space="preserve"> </w:t>
      </w:r>
      <w:r>
        <w:t>de</w:t>
      </w:r>
      <w:r w:rsidRPr="002C4077">
        <w:t xml:space="preserve"> </w:t>
      </w:r>
      <w:r>
        <w:t>l’année,</w:t>
      </w:r>
      <w:r w:rsidRPr="002C4077">
        <w:t xml:space="preserve"> </w:t>
      </w:r>
      <w:r>
        <w:t>et</w:t>
      </w:r>
      <w:r w:rsidRPr="002C4077">
        <w:t xml:space="preserve"> </w:t>
      </w:r>
      <w:r>
        <w:t>il</w:t>
      </w:r>
      <w:r w:rsidRPr="002C4077">
        <w:t xml:space="preserve"> </w:t>
      </w:r>
      <w:r w:rsidR="00425C50">
        <w:t>est</w:t>
      </w:r>
      <w:r w:rsidRPr="002C4077">
        <w:t xml:space="preserve"> </w:t>
      </w:r>
      <w:r>
        <w:t>bien</w:t>
      </w:r>
      <w:r w:rsidRPr="002C4077">
        <w:t xml:space="preserve"> </w:t>
      </w:r>
      <w:r>
        <w:t>rare</w:t>
      </w:r>
      <w:r w:rsidRPr="002C4077">
        <w:t xml:space="preserve"> </w:t>
      </w:r>
      <w:r>
        <w:t>que,</w:t>
      </w:r>
      <w:r w:rsidRPr="002C4077">
        <w:t xml:space="preserve"> </w:t>
      </w:r>
      <w:r>
        <w:t>même</w:t>
      </w:r>
      <w:r w:rsidRPr="002C4077">
        <w:t xml:space="preserve"> </w:t>
      </w:r>
      <w:r>
        <w:t>au</w:t>
      </w:r>
      <w:r w:rsidRPr="002C4077">
        <w:t xml:space="preserve"> </w:t>
      </w:r>
      <w:r>
        <w:t>plus</w:t>
      </w:r>
      <w:r w:rsidRPr="002C4077">
        <w:t xml:space="preserve"> </w:t>
      </w:r>
      <w:r>
        <w:t>fort</w:t>
      </w:r>
      <w:r w:rsidRPr="002C4077">
        <w:t xml:space="preserve"> </w:t>
      </w:r>
      <w:r>
        <w:t>de</w:t>
      </w:r>
      <w:r w:rsidRPr="002C4077">
        <w:t xml:space="preserve"> </w:t>
      </w:r>
      <w:r>
        <w:t>la</w:t>
      </w:r>
      <w:r w:rsidRPr="002C4077">
        <w:t xml:space="preserve"> </w:t>
      </w:r>
      <w:r>
        <w:t>saison</w:t>
      </w:r>
      <w:r w:rsidRPr="002C4077">
        <w:t xml:space="preserve"> </w:t>
      </w:r>
      <w:r>
        <w:t>des</w:t>
      </w:r>
      <w:r w:rsidRPr="002C4077">
        <w:t xml:space="preserve"> </w:t>
      </w:r>
      <w:r>
        <w:t>pluies,</w:t>
      </w:r>
      <w:r w:rsidRPr="002C4077">
        <w:t xml:space="preserve"> </w:t>
      </w:r>
      <w:r>
        <w:t>il</w:t>
      </w:r>
      <w:r w:rsidRPr="002C4077">
        <w:t xml:space="preserve"> </w:t>
      </w:r>
      <w:r>
        <w:t>arrive</w:t>
      </w:r>
      <w:r w:rsidRPr="002C4077">
        <w:t xml:space="preserve"> </w:t>
      </w:r>
      <w:r>
        <w:t>à</w:t>
      </w:r>
      <w:r w:rsidRPr="002C4077">
        <w:t xml:space="preserve"> </w:t>
      </w:r>
      <w:r>
        <w:t>contenir</w:t>
      </w:r>
      <w:r w:rsidRPr="002C4077">
        <w:t xml:space="preserve"> </w:t>
      </w:r>
      <w:r>
        <w:t>les</w:t>
      </w:r>
      <w:r w:rsidRPr="002C4077">
        <w:t xml:space="preserve"> </w:t>
      </w:r>
      <w:r>
        <w:t>trente-deux</w:t>
      </w:r>
      <w:r w:rsidRPr="002C4077">
        <w:t xml:space="preserve"> </w:t>
      </w:r>
      <w:r>
        <w:t>millions</w:t>
      </w:r>
      <w:r w:rsidRPr="002C4077">
        <w:t xml:space="preserve"> </w:t>
      </w:r>
      <w:r>
        <w:t>de</w:t>
      </w:r>
      <w:r w:rsidRPr="002C4077">
        <w:t xml:space="preserve"> </w:t>
      </w:r>
      <w:r>
        <w:t>litres</w:t>
      </w:r>
      <w:r w:rsidRPr="002C4077">
        <w:t xml:space="preserve"> </w:t>
      </w:r>
      <w:r>
        <w:t>auxquels</w:t>
      </w:r>
      <w:r w:rsidRPr="002C4077">
        <w:t xml:space="preserve"> </w:t>
      </w:r>
      <w:r>
        <w:t>lui</w:t>
      </w:r>
      <w:r w:rsidRPr="002C4077">
        <w:t xml:space="preserve"> </w:t>
      </w:r>
      <w:r>
        <w:t>donneraient</w:t>
      </w:r>
      <w:r w:rsidRPr="002C4077">
        <w:t xml:space="preserve"> </w:t>
      </w:r>
      <w:r>
        <w:t>droit</w:t>
      </w:r>
      <w:r w:rsidRPr="002C4077">
        <w:t xml:space="preserve"> </w:t>
      </w:r>
      <w:r>
        <w:t>ses</w:t>
      </w:r>
      <w:r w:rsidRPr="002C4077">
        <w:t xml:space="preserve"> </w:t>
      </w:r>
      <w:r>
        <w:t>quatre-vingt-neuf</w:t>
      </w:r>
      <w:r w:rsidRPr="002C4077">
        <w:t xml:space="preserve"> </w:t>
      </w:r>
      <w:r>
        <w:t>mètres</w:t>
      </w:r>
      <w:r w:rsidRPr="002C4077">
        <w:t xml:space="preserve"> </w:t>
      </w:r>
      <w:r>
        <w:t>de</w:t>
      </w:r>
      <w:r w:rsidRPr="002C4077">
        <w:t xml:space="preserve"> </w:t>
      </w:r>
      <w:r>
        <w:t>longueur,</w:t>
      </w:r>
      <w:r w:rsidRPr="002C4077">
        <w:t xml:space="preserve"> </w:t>
      </w:r>
      <w:r>
        <w:t>ses</w:t>
      </w:r>
      <w:r w:rsidRPr="002C4077">
        <w:t xml:space="preserve"> </w:t>
      </w:r>
      <w:r>
        <w:t>cinquante-neuf</w:t>
      </w:r>
      <w:r w:rsidRPr="002C4077">
        <w:t xml:space="preserve"> </w:t>
      </w:r>
      <w:r>
        <w:t>mètres</w:t>
      </w:r>
      <w:r w:rsidRPr="002C4077">
        <w:t xml:space="preserve"> </w:t>
      </w:r>
      <w:r>
        <w:t>de</w:t>
      </w:r>
      <w:r w:rsidRPr="002C4077">
        <w:t xml:space="preserve"> </w:t>
      </w:r>
      <w:r>
        <w:t>largeur</w:t>
      </w:r>
      <w:r w:rsidRPr="002C4077">
        <w:t xml:space="preserve"> </w:t>
      </w:r>
      <w:r>
        <w:t>et</w:t>
      </w:r>
      <w:r w:rsidRPr="002C4077">
        <w:t xml:space="preserve"> </w:t>
      </w:r>
      <w:r>
        <w:t>ses</w:t>
      </w:r>
      <w:r w:rsidRPr="002C4077">
        <w:t xml:space="preserve"> </w:t>
      </w:r>
      <w:r>
        <w:t>six</w:t>
      </w:r>
      <w:r w:rsidRPr="002C4077">
        <w:t xml:space="preserve"> </w:t>
      </w:r>
      <w:r>
        <w:t>mètres</w:t>
      </w:r>
      <w:r w:rsidRPr="002C4077">
        <w:t xml:space="preserve"> </w:t>
      </w:r>
      <w:r>
        <w:t>de</w:t>
      </w:r>
      <w:r w:rsidRPr="002C4077">
        <w:t xml:space="preserve"> </w:t>
      </w:r>
      <w:r>
        <w:t>profondeur.</w:t>
      </w:r>
      <w:r w:rsidRPr="002C4077">
        <w:t xml:space="preserve"> </w:t>
      </w:r>
      <w:r>
        <w:t>On</w:t>
      </w:r>
      <w:r w:rsidRPr="002C4077">
        <w:t xml:space="preserve"> </w:t>
      </w:r>
      <w:r>
        <w:t>l’appelle</w:t>
      </w:r>
      <w:r w:rsidRPr="002C4077">
        <w:t xml:space="preserve"> </w:t>
      </w:r>
      <w:r>
        <w:t>aujourd’hui</w:t>
      </w:r>
      <w:r w:rsidRPr="002C4077">
        <w:t xml:space="preserve"> </w:t>
      </w:r>
      <w:r>
        <w:t>le</w:t>
      </w:r>
      <w:r w:rsidRPr="002C4077">
        <w:t xml:space="preserve"> </w:t>
      </w:r>
      <w:r>
        <w:t>réservoir</w:t>
      </w:r>
      <w:r w:rsidRPr="002C4077">
        <w:t xml:space="preserve"> </w:t>
      </w:r>
      <w:r>
        <w:t>de</w:t>
      </w:r>
      <w:r w:rsidRPr="002C4077">
        <w:t xml:space="preserve"> </w:t>
      </w:r>
      <w:r>
        <w:t>Mamillah,</w:t>
      </w:r>
      <w:r w:rsidRPr="002C4077">
        <w:t xml:space="preserve"> </w:t>
      </w:r>
      <w:r w:rsidRPr="000A34B5">
        <w:rPr>
          <w:rStyle w:val="italicus"/>
        </w:rPr>
        <w:t>Birket-Mamillah</w:t>
      </w:r>
      <w:r w:rsidR="00B546AF">
        <w:rPr>
          <w:rStyle w:val="italicus"/>
        </w:rPr>
        <w:t> </w:t>
      </w:r>
      <w:r w:rsidR="00B546AF" w:rsidRPr="000A34B5">
        <w:rPr>
          <w:rStyle w:val="italicus"/>
        </w:rPr>
        <w:t>;</w:t>
      </w:r>
      <w:r w:rsidRPr="002C4077">
        <w:t xml:space="preserve"> </w:t>
      </w:r>
      <w:r>
        <w:t>mais,</w:t>
      </w:r>
      <w:r w:rsidRPr="002C4077">
        <w:t xml:space="preserve"> </w:t>
      </w:r>
      <w:r>
        <w:t>de</w:t>
      </w:r>
      <w:r w:rsidRPr="002C4077">
        <w:t xml:space="preserve"> </w:t>
      </w:r>
      <w:r>
        <w:t>l’avis</w:t>
      </w:r>
      <w:r w:rsidRPr="002C4077">
        <w:t xml:space="preserve"> </w:t>
      </w:r>
      <w:r>
        <w:t>des</w:t>
      </w:r>
      <w:r w:rsidRPr="002C4077">
        <w:t xml:space="preserve"> </w:t>
      </w:r>
      <w:r>
        <w:t>topographes</w:t>
      </w:r>
      <w:r w:rsidRPr="002C4077">
        <w:t xml:space="preserve"> </w:t>
      </w:r>
      <w:r>
        <w:t>les</w:t>
      </w:r>
      <w:r w:rsidRPr="002C4077">
        <w:t xml:space="preserve"> </w:t>
      </w:r>
      <w:r>
        <w:t>plus</w:t>
      </w:r>
      <w:r w:rsidRPr="002C4077">
        <w:t xml:space="preserve"> </w:t>
      </w:r>
      <w:r>
        <w:t>autorisés,</w:t>
      </w:r>
      <w:r w:rsidRPr="002C4077">
        <w:t xml:space="preserve"> </w:t>
      </w:r>
      <w:r>
        <w:t>il</w:t>
      </w:r>
      <w:r w:rsidRPr="002C4077">
        <w:t xml:space="preserve"> </w:t>
      </w:r>
      <w:r>
        <w:t>se</w:t>
      </w:r>
      <w:r w:rsidRPr="002C4077">
        <w:t xml:space="preserve"> </w:t>
      </w:r>
      <w:r>
        <w:t>nommait</w:t>
      </w:r>
      <w:r w:rsidRPr="002C4077">
        <w:t xml:space="preserve"> </w:t>
      </w:r>
      <w:r>
        <w:t>autrefois</w:t>
      </w:r>
      <w:r w:rsidRPr="002C4077">
        <w:t xml:space="preserve"> </w:t>
      </w:r>
      <w:r>
        <w:t>la</w:t>
      </w:r>
      <w:r w:rsidRPr="002C4077">
        <w:t xml:space="preserve"> </w:t>
      </w:r>
      <w:r w:rsidR="00B546AF">
        <w:t>« </w:t>
      </w:r>
      <w:r>
        <w:t>piscine</w:t>
      </w:r>
      <w:r w:rsidRPr="002C4077">
        <w:t xml:space="preserve"> </w:t>
      </w:r>
      <w:r>
        <w:t>supérieure</w:t>
      </w:r>
      <w:r w:rsidRPr="002C4077">
        <w:t xml:space="preserve"> </w:t>
      </w:r>
      <w:r>
        <w:t>de</w:t>
      </w:r>
      <w:r w:rsidRPr="002C4077">
        <w:t xml:space="preserve"> </w:t>
      </w:r>
      <w:r>
        <w:t>Gihon</w:t>
      </w:r>
      <w:bookmarkStart w:id="12" w:name="z_Gihon_o1"/>
      <w:bookmarkEnd w:id="12"/>
      <w:r w:rsidR="00B91AF7">
        <w:rPr>
          <w:rStyle w:val="Appelnotedebasdep"/>
        </w:rPr>
        <w:footnoteReference w:id="6"/>
      </w:r>
      <w:r w:rsidR="00B546AF">
        <w:t> »</w:t>
      </w:r>
      <w:r>
        <w:t>.</w:t>
      </w:r>
      <w:r w:rsidR="00C45B47">
        <w:t xml:space="preserve"> {</w:t>
      </w:r>
      <w:r w:rsidR="000721C4">
        <w:t>3</w:t>
      </w:r>
      <w:bookmarkStart w:id="15" w:name="p003"/>
      <w:bookmarkEnd w:id="15"/>
      <w:r w:rsidR="000721C4">
        <w:t xml:space="preserve">} </w:t>
      </w:r>
      <w:r>
        <w:t>Le</w:t>
      </w:r>
      <w:r w:rsidRPr="002C4077">
        <w:t xml:space="preserve"> </w:t>
      </w:r>
      <w:r>
        <w:t>lieu</w:t>
      </w:r>
      <w:r w:rsidRPr="002C4077">
        <w:t xml:space="preserve"> </w:t>
      </w:r>
      <w:r>
        <w:t>où</w:t>
      </w:r>
      <w:r w:rsidRPr="002C4077">
        <w:t xml:space="preserve"> </w:t>
      </w:r>
      <w:r>
        <w:lastRenderedPageBreak/>
        <w:t>nous</w:t>
      </w:r>
      <w:r w:rsidR="00796105" w:rsidRPr="002C4077">
        <w:t xml:space="preserve"> </w:t>
      </w:r>
      <w:r>
        <w:t>sommes</w:t>
      </w:r>
      <w:r w:rsidRPr="002C4077">
        <w:t xml:space="preserve"> </w:t>
      </w:r>
      <w:r>
        <w:t>fut</w:t>
      </w:r>
      <w:r w:rsidRPr="002C4077">
        <w:t xml:space="preserve"> </w:t>
      </w:r>
      <w:r>
        <w:t>donc,</w:t>
      </w:r>
      <w:r w:rsidRPr="002C4077">
        <w:t xml:space="preserve"> </w:t>
      </w:r>
      <w:r>
        <w:t>malgré</w:t>
      </w:r>
      <w:r w:rsidRPr="002C4077">
        <w:t xml:space="preserve"> </w:t>
      </w:r>
      <w:r>
        <w:t>sa</w:t>
      </w:r>
      <w:r w:rsidRPr="002C4077">
        <w:t xml:space="preserve"> </w:t>
      </w:r>
      <w:r>
        <w:t>tristesse</w:t>
      </w:r>
      <w:r w:rsidRPr="002C4077">
        <w:t xml:space="preserve"> </w:t>
      </w:r>
      <w:r>
        <w:t>naturelle</w:t>
      </w:r>
      <w:r w:rsidRPr="002C4077">
        <w:t xml:space="preserve"> </w:t>
      </w:r>
      <w:r>
        <w:t>qu’accroissent</w:t>
      </w:r>
      <w:r w:rsidRPr="002C4077">
        <w:t xml:space="preserve"> </w:t>
      </w:r>
      <w:r>
        <w:t>encore</w:t>
      </w:r>
      <w:r w:rsidRPr="002C4077">
        <w:t xml:space="preserve"> </w:t>
      </w:r>
      <w:r>
        <w:t>aujourd’hui</w:t>
      </w:r>
      <w:r w:rsidRPr="002C4077">
        <w:t xml:space="preserve"> </w:t>
      </w:r>
      <w:r>
        <w:t>les</w:t>
      </w:r>
      <w:r w:rsidRPr="002C4077">
        <w:t xml:space="preserve"> </w:t>
      </w:r>
      <w:r>
        <w:t>tombes</w:t>
      </w:r>
      <w:r w:rsidRPr="002C4077">
        <w:t xml:space="preserve"> </w:t>
      </w:r>
      <w:r>
        <w:t>musulmanes</w:t>
      </w:r>
      <w:r w:rsidRPr="002C4077">
        <w:t xml:space="preserve"> </w:t>
      </w:r>
      <w:r>
        <w:t>dont</w:t>
      </w:r>
      <w:r w:rsidRPr="002C4077">
        <w:t xml:space="preserve"> </w:t>
      </w:r>
      <w:r>
        <w:t>il</w:t>
      </w:r>
      <w:r w:rsidRPr="002C4077">
        <w:t xml:space="preserve"> </w:t>
      </w:r>
      <w:r w:rsidR="00425C50">
        <w:t>est</w:t>
      </w:r>
      <w:r w:rsidRPr="002C4077">
        <w:t xml:space="preserve"> </w:t>
      </w:r>
      <w:r>
        <w:t>entou</w:t>
      </w:r>
      <w:r w:rsidR="00F6492C">
        <w:t>ré</w:t>
      </w:r>
      <w:r w:rsidR="00F6492C">
        <w:rPr>
          <w:rStyle w:val="Appelnotedebasdep"/>
        </w:rPr>
        <w:footnoteReference w:id="7"/>
      </w:r>
      <w:r w:rsidR="00F6492C">
        <w:t>,</w:t>
      </w:r>
      <w:r w:rsidRPr="002C4077">
        <w:t xml:space="preserve"> </w:t>
      </w:r>
      <w:r>
        <w:t>le</w:t>
      </w:r>
      <w:r w:rsidRPr="002C4077">
        <w:t xml:space="preserve"> </w:t>
      </w:r>
      <w:r>
        <w:t>théâtre</w:t>
      </w:r>
      <w:r w:rsidRPr="002C4077">
        <w:t xml:space="preserve"> </w:t>
      </w:r>
      <w:r>
        <w:t>de</w:t>
      </w:r>
      <w:r w:rsidRPr="002C4077">
        <w:t xml:space="preserve"> </w:t>
      </w:r>
      <w:r>
        <w:t>l’une</w:t>
      </w:r>
      <w:r w:rsidRPr="002C4077">
        <w:t xml:space="preserve"> </w:t>
      </w:r>
      <w:r>
        <w:t>des</w:t>
      </w:r>
      <w:r w:rsidRPr="002C4077">
        <w:t xml:space="preserve"> </w:t>
      </w:r>
      <w:r>
        <w:t>scènes</w:t>
      </w:r>
      <w:r w:rsidRPr="002C4077">
        <w:t xml:space="preserve"> </w:t>
      </w:r>
      <w:r>
        <w:t>les</w:t>
      </w:r>
      <w:r w:rsidRPr="002C4077">
        <w:t xml:space="preserve"> </w:t>
      </w:r>
      <w:r>
        <w:t>plus</w:t>
      </w:r>
      <w:r w:rsidRPr="002C4077">
        <w:t xml:space="preserve"> </w:t>
      </w:r>
      <w:r>
        <w:t>grandioses</w:t>
      </w:r>
      <w:r w:rsidRPr="002C4077">
        <w:t xml:space="preserve"> </w:t>
      </w:r>
      <w:r>
        <w:t>de</w:t>
      </w:r>
      <w:r w:rsidRPr="002C4077">
        <w:t xml:space="preserve"> </w:t>
      </w:r>
      <w:r>
        <w:t>l’Ancien</w:t>
      </w:r>
      <w:r w:rsidRPr="002C4077">
        <w:t xml:space="preserve"> </w:t>
      </w:r>
      <w:r>
        <w:t>Testament</w:t>
      </w:r>
      <w:r w:rsidR="00B546AF">
        <w:t> ;</w:t>
      </w:r>
      <w:r w:rsidRPr="002C4077">
        <w:t xml:space="preserve"> </w:t>
      </w:r>
      <w:r>
        <w:t>car</w:t>
      </w:r>
      <w:r w:rsidRPr="002C4077">
        <w:t xml:space="preserve"> </w:t>
      </w:r>
      <w:r>
        <w:t>c’est</w:t>
      </w:r>
      <w:r w:rsidRPr="002C4077">
        <w:t xml:space="preserve"> </w:t>
      </w:r>
      <w:r>
        <w:t>là</w:t>
      </w:r>
      <w:r w:rsidRPr="002C4077">
        <w:t xml:space="preserve"> </w:t>
      </w:r>
      <w:r>
        <w:t>que</w:t>
      </w:r>
      <w:r w:rsidRPr="002C4077">
        <w:t xml:space="preserve"> </w:t>
      </w:r>
      <w:r>
        <w:t>fut</w:t>
      </w:r>
      <w:r w:rsidRPr="002C4077">
        <w:t xml:space="preserve"> </w:t>
      </w:r>
      <w:r>
        <w:t>proclamée</w:t>
      </w:r>
      <w:r w:rsidRPr="002C4077">
        <w:t xml:space="preserve"> </w:t>
      </w:r>
      <w:r>
        <w:t>la</w:t>
      </w:r>
      <w:r w:rsidRPr="002C4077">
        <w:t xml:space="preserve"> </w:t>
      </w:r>
      <w:r>
        <w:t>sublime</w:t>
      </w:r>
      <w:r w:rsidRPr="002C4077">
        <w:t xml:space="preserve"> </w:t>
      </w:r>
      <w:r>
        <w:t>prophétie</w:t>
      </w:r>
      <w:r w:rsidRPr="002C4077">
        <w:t xml:space="preserve"> </w:t>
      </w:r>
      <w:r>
        <w:t>de</w:t>
      </w:r>
      <w:r w:rsidRPr="002C4077">
        <w:t xml:space="preserve"> </w:t>
      </w:r>
      <w:r w:rsidR="00D40830">
        <w:t>l’</w:t>
      </w:r>
      <w:r w:rsidR="00D40830" w:rsidRPr="00D05EA9">
        <w:rPr>
          <w:rStyle w:val="italicus"/>
        </w:rPr>
        <w:t>῾almah</w:t>
      </w:r>
      <w:r w:rsidRPr="002C4077">
        <w:t xml:space="preserve"> </w:t>
      </w:r>
      <w:r>
        <w:t>ou</w:t>
      </w:r>
      <w:r w:rsidRPr="002C4077">
        <w:t xml:space="preserve"> </w:t>
      </w:r>
      <w:r>
        <w:t>de</w:t>
      </w:r>
      <w:r w:rsidRPr="002C4077">
        <w:t xml:space="preserve"> </w:t>
      </w:r>
      <w:r>
        <w:t>la</w:t>
      </w:r>
      <w:r w:rsidRPr="002C4077">
        <w:t xml:space="preserve"> </w:t>
      </w:r>
      <w:r>
        <w:t>Vierge</w:t>
      </w:r>
      <w:r w:rsidRPr="002C4077">
        <w:t xml:space="preserve"> </w:t>
      </w:r>
      <w:r>
        <w:t>Mère.</w:t>
      </w:r>
      <w:r w:rsidRPr="002C4077">
        <w:t xml:space="preserve"> </w:t>
      </w:r>
    </w:p>
    <w:p w:rsidR="00732E97" w:rsidRDefault="00732E97" w:rsidP="000A7AAB"/>
    <w:p w:rsidR="000A7AAB" w:rsidRDefault="00B546AF" w:rsidP="000A7AAB">
      <w:r>
        <w:t>« </w:t>
      </w:r>
      <w:r w:rsidR="000A7AAB">
        <w:t>Il</w:t>
      </w:r>
      <w:bookmarkStart w:id="17" w:name="z_Isaie_o1"/>
      <w:bookmarkEnd w:id="17"/>
      <w:r w:rsidR="000A7AAB" w:rsidRPr="002C4077">
        <w:t xml:space="preserve"> </w:t>
      </w:r>
      <w:r w:rsidR="000A7AAB">
        <w:t>arriva</w:t>
      </w:r>
      <w:r w:rsidR="000A7AAB" w:rsidRPr="002C4077">
        <w:t xml:space="preserve"> </w:t>
      </w:r>
      <w:r w:rsidR="000A7AAB">
        <w:t>aux</w:t>
      </w:r>
      <w:r w:rsidR="000A7AAB" w:rsidRPr="002C4077">
        <w:t xml:space="preserve"> </w:t>
      </w:r>
      <w:r w:rsidR="000A7AAB">
        <w:t>jours</w:t>
      </w:r>
      <w:r w:rsidR="000A7AAB" w:rsidRPr="002C4077">
        <w:t xml:space="preserve"> </w:t>
      </w:r>
      <w:r w:rsidR="000A7AAB">
        <w:t>d’Achaz,</w:t>
      </w:r>
      <w:r w:rsidR="000A7AAB" w:rsidRPr="002C4077">
        <w:t xml:space="preserve"> </w:t>
      </w:r>
      <w:r w:rsidR="000A7AAB">
        <w:t>fils</w:t>
      </w:r>
      <w:r w:rsidR="000A7AAB" w:rsidRPr="002C4077">
        <w:t xml:space="preserve"> </w:t>
      </w:r>
      <w:r w:rsidR="000A7AAB">
        <w:t>de</w:t>
      </w:r>
      <w:r w:rsidR="000A7AAB" w:rsidRPr="002C4077">
        <w:t xml:space="preserve"> </w:t>
      </w:r>
      <w:r w:rsidR="000A7AAB">
        <w:t>Joathan,</w:t>
      </w:r>
      <w:r w:rsidR="000A7AAB" w:rsidRPr="002C4077">
        <w:t xml:space="preserve"> </w:t>
      </w:r>
      <w:r w:rsidR="000A7AAB">
        <w:t>fils</w:t>
      </w:r>
      <w:r w:rsidR="000A7AAB" w:rsidRPr="002C4077">
        <w:t xml:space="preserve"> </w:t>
      </w:r>
      <w:r w:rsidR="000A7AAB">
        <w:t>d’Osias,</w:t>
      </w:r>
      <w:r w:rsidR="000A7AAB" w:rsidRPr="002C4077">
        <w:t xml:space="preserve"> </w:t>
      </w:r>
      <w:r w:rsidR="000A7AAB">
        <w:t>roi</w:t>
      </w:r>
      <w:r w:rsidR="000A7AAB" w:rsidRPr="002C4077">
        <w:t xml:space="preserve"> </w:t>
      </w:r>
      <w:r w:rsidR="000A7AAB">
        <w:t>de</w:t>
      </w:r>
      <w:r w:rsidR="000A7AAB" w:rsidRPr="002C4077">
        <w:t xml:space="preserve"> </w:t>
      </w:r>
      <w:r w:rsidR="000A7AAB">
        <w:t>Juda,</w:t>
      </w:r>
      <w:r w:rsidR="000A7AAB" w:rsidRPr="002C4077">
        <w:t xml:space="preserve"> </w:t>
      </w:r>
      <w:r w:rsidR="000A7AAB">
        <w:t>que</w:t>
      </w:r>
      <w:r w:rsidR="000A7AAB" w:rsidRPr="002C4077">
        <w:t xml:space="preserve"> </w:t>
      </w:r>
      <w:r w:rsidR="000A7AAB">
        <w:t>Rasin</w:t>
      </w:r>
      <w:bookmarkStart w:id="18" w:name="z_Rasin_o1"/>
      <w:bookmarkEnd w:id="18"/>
      <w:r w:rsidR="000A7AAB">
        <w:t>,</w:t>
      </w:r>
      <w:r w:rsidR="000A7AAB" w:rsidRPr="002C4077">
        <w:t xml:space="preserve"> </w:t>
      </w:r>
      <w:r w:rsidR="000A7AAB">
        <w:t>roi</w:t>
      </w:r>
      <w:r w:rsidR="000A7AAB" w:rsidRPr="002C4077">
        <w:t xml:space="preserve"> </w:t>
      </w:r>
      <w:r w:rsidR="000A7AAB">
        <w:t>de</w:t>
      </w:r>
      <w:r w:rsidR="000A7AAB" w:rsidRPr="002C4077">
        <w:t xml:space="preserve"> </w:t>
      </w:r>
      <w:r w:rsidR="000A7AAB">
        <w:t>Syrie,</w:t>
      </w:r>
      <w:r w:rsidR="000A7AAB" w:rsidRPr="002C4077">
        <w:t xml:space="preserve"> </w:t>
      </w:r>
      <w:r w:rsidR="000A7AAB">
        <w:t>et</w:t>
      </w:r>
      <w:r w:rsidR="000A7AAB" w:rsidRPr="002C4077">
        <w:t xml:space="preserve"> </w:t>
      </w:r>
      <w:r w:rsidR="000A7AAB">
        <w:t>Ph</w:t>
      </w:r>
      <w:r w:rsidR="001730C6">
        <w:t>ac</w:t>
      </w:r>
      <w:r w:rsidR="000A7AAB">
        <w:t>ée</w:t>
      </w:r>
      <w:bookmarkStart w:id="19" w:name="z_Phacee_o1"/>
      <w:bookmarkEnd w:id="19"/>
      <w:r w:rsidR="000A7AAB" w:rsidRPr="002C4077">
        <w:t xml:space="preserve"> </w:t>
      </w:r>
      <w:r w:rsidR="000A7AAB">
        <w:t>fils</w:t>
      </w:r>
      <w:r w:rsidR="000A7AAB" w:rsidRPr="002C4077">
        <w:t xml:space="preserve"> </w:t>
      </w:r>
      <w:r w:rsidR="000A7AAB">
        <w:t>de</w:t>
      </w:r>
      <w:r w:rsidR="00410BF0" w:rsidRPr="002C4077">
        <w:t xml:space="preserve"> </w:t>
      </w:r>
      <w:r w:rsidR="000A7AAB">
        <w:t>Romélie,</w:t>
      </w:r>
      <w:r w:rsidR="000A7AAB" w:rsidRPr="002C4077">
        <w:t xml:space="preserve"> </w:t>
      </w:r>
      <w:r w:rsidR="000A7AAB">
        <w:t>roi</w:t>
      </w:r>
      <w:r w:rsidR="000A7AAB" w:rsidRPr="002C4077">
        <w:t xml:space="preserve"> </w:t>
      </w:r>
      <w:r w:rsidR="000A7AAB">
        <w:t>d’Israël,</w:t>
      </w:r>
      <w:r w:rsidR="000A7AAB" w:rsidRPr="002C4077">
        <w:t xml:space="preserve"> </w:t>
      </w:r>
      <w:r w:rsidR="000A7AAB">
        <w:t>montèrent</w:t>
      </w:r>
      <w:r w:rsidR="000A7AAB" w:rsidRPr="002C4077">
        <w:t xml:space="preserve"> </w:t>
      </w:r>
      <w:r w:rsidR="000A7AAB">
        <w:t>contre</w:t>
      </w:r>
      <w:r w:rsidR="000A7AAB" w:rsidRPr="002C4077">
        <w:t xml:space="preserve"> </w:t>
      </w:r>
      <w:r w:rsidR="000A7AAB">
        <w:t>Jérusalem</w:t>
      </w:r>
      <w:r w:rsidR="000A7AAB" w:rsidRPr="002C4077">
        <w:t xml:space="preserve"> </w:t>
      </w:r>
      <w:r w:rsidR="000A7AAB">
        <w:t>pour</w:t>
      </w:r>
      <w:r w:rsidR="000A7AAB" w:rsidRPr="002C4077">
        <w:t xml:space="preserve"> </w:t>
      </w:r>
      <w:r w:rsidR="000A7AAB">
        <w:t>l’</w:t>
      </w:r>
      <w:r w:rsidR="00C577F1">
        <w:t>assiéger</w:t>
      </w:r>
      <w:r>
        <w:t> »</w:t>
      </w:r>
      <w:r w:rsidR="000A7AAB">
        <w:t>.</w:t>
      </w:r>
      <w:r w:rsidR="000A7AAB" w:rsidRPr="002C4077">
        <w:t xml:space="preserve"> </w:t>
      </w:r>
    </w:p>
    <w:p w:rsidR="000A7AAB" w:rsidRPr="000721C4" w:rsidRDefault="000A7AAB" w:rsidP="007F47B8">
      <w:r>
        <w:t>Ainsi</w:t>
      </w:r>
      <w:bookmarkStart w:id="20" w:name="z_Achaz_o1"/>
      <w:bookmarkEnd w:id="20"/>
      <w:r w:rsidRPr="002C4077">
        <w:t xml:space="preserve"> </w:t>
      </w:r>
      <w:r>
        <w:t>commence</w:t>
      </w:r>
      <w:r w:rsidRPr="002C4077">
        <w:t xml:space="preserve"> </w:t>
      </w:r>
      <w:r>
        <w:t>le</w:t>
      </w:r>
      <w:r w:rsidRPr="002C4077">
        <w:t xml:space="preserve"> </w:t>
      </w:r>
      <w:r>
        <w:t>récit</w:t>
      </w:r>
      <w:r w:rsidRPr="002C4077">
        <w:t xml:space="preserve"> </w:t>
      </w:r>
      <w:r>
        <w:t>d’Isaïe</w:t>
      </w:r>
      <w:r w:rsidRPr="004440EA">
        <w:t xml:space="preserve"> (</w:t>
      </w:r>
      <w:r>
        <w:rPr>
          <w:smallCaps/>
        </w:rPr>
        <w:t>VII,</w:t>
      </w:r>
      <w:r w:rsidRPr="002C4077">
        <w:t xml:space="preserve"> </w:t>
      </w:r>
      <w:r>
        <w:rPr>
          <w:smallCaps/>
        </w:rPr>
        <w:t>1</w:t>
      </w:r>
      <w:r w:rsidR="00B546AF" w:rsidRPr="002C4077">
        <w:t>)</w:t>
      </w:r>
      <w:r>
        <w:rPr>
          <w:smallCaps/>
        </w:rPr>
        <w:t>.</w:t>
      </w:r>
      <w:r w:rsidRPr="002C4077">
        <w:t xml:space="preserve"> </w:t>
      </w:r>
      <w:r>
        <w:t>Quoique</w:t>
      </w:r>
      <w:r w:rsidRPr="002C4077">
        <w:t xml:space="preserve"> </w:t>
      </w:r>
      <w:r>
        <w:t>un</w:t>
      </w:r>
      <w:r w:rsidRPr="002C4077">
        <w:t xml:space="preserve"> </w:t>
      </w:r>
      <w:r>
        <w:t>peu</w:t>
      </w:r>
      <w:r w:rsidRPr="002C4077">
        <w:t xml:space="preserve"> </w:t>
      </w:r>
      <w:r>
        <w:t>large,</w:t>
      </w:r>
      <w:r w:rsidRPr="002C4077">
        <w:t xml:space="preserve"> </w:t>
      </w:r>
      <w:r>
        <w:t>la</w:t>
      </w:r>
      <w:r w:rsidRPr="002C4077">
        <w:t xml:space="preserve"> </w:t>
      </w:r>
      <w:r>
        <w:t>date</w:t>
      </w:r>
      <w:r w:rsidRPr="002C4077">
        <w:t xml:space="preserve"> </w:t>
      </w:r>
      <w:r>
        <w:t>fixée</w:t>
      </w:r>
      <w:r w:rsidRPr="002C4077">
        <w:t xml:space="preserve"> </w:t>
      </w:r>
      <w:r>
        <w:t>par</w:t>
      </w:r>
      <w:r w:rsidRPr="002C4077">
        <w:t xml:space="preserve"> </w:t>
      </w:r>
      <w:r>
        <w:t>ce</w:t>
      </w:r>
      <w:r w:rsidRPr="002C4077">
        <w:t xml:space="preserve"> </w:t>
      </w:r>
      <w:r>
        <w:t>début</w:t>
      </w:r>
      <w:r w:rsidRPr="002C4077">
        <w:t xml:space="preserve"> </w:t>
      </w:r>
      <w:r>
        <w:t>n’a</w:t>
      </w:r>
      <w:r w:rsidRPr="002C4077">
        <w:t xml:space="preserve"> </w:t>
      </w:r>
      <w:r>
        <w:t>rien</w:t>
      </w:r>
      <w:r w:rsidRPr="002C4077">
        <w:t xml:space="preserve"> </w:t>
      </w:r>
      <w:r>
        <w:t>de</w:t>
      </w:r>
      <w:r w:rsidRPr="002C4077">
        <w:t xml:space="preserve"> </w:t>
      </w:r>
      <w:r>
        <w:t>vague</w:t>
      </w:r>
      <w:r w:rsidR="00B546AF">
        <w:t> ;</w:t>
      </w:r>
      <w:r w:rsidRPr="002C4077">
        <w:t xml:space="preserve"> </w:t>
      </w:r>
      <w:r>
        <w:t>on</w:t>
      </w:r>
      <w:r w:rsidRPr="002C4077">
        <w:t xml:space="preserve"> </w:t>
      </w:r>
      <w:r>
        <w:t>peut</w:t>
      </w:r>
      <w:r w:rsidRPr="002C4077">
        <w:t xml:space="preserve"> </w:t>
      </w:r>
      <w:r>
        <w:t>en</w:t>
      </w:r>
      <w:r w:rsidRPr="002C4077">
        <w:t xml:space="preserve"> </w:t>
      </w:r>
      <w:r>
        <w:t>effet</w:t>
      </w:r>
      <w:r w:rsidRPr="002C4077">
        <w:t xml:space="preserve"> </w:t>
      </w:r>
      <w:r>
        <w:t>déterminer</w:t>
      </w:r>
      <w:r w:rsidRPr="002C4077">
        <w:t xml:space="preserve"> </w:t>
      </w:r>
      <w:r>
        <w:t>assez</w:t>
      </w:r>
      <w:r w:rsidRPr="002C4077">
        <w:t xml:space="preserve"> </w:t>
      </w:r>
      <w:r>
        <w:t>nettement</w:t>
      </w:r>
      <w:r w:rsidRPr="002C4077">
        <w:t xml:space="preserve"> </w:t>
      </w:r>
      <w:r w:rsidR="00B546AF">
        <w:t>« </w:t>
      </w:r>
      <w:r>
        <w:t>les</w:t>
      </w:r>
      <w:r w:rsidRPr="002C4077">
        <w:t xml:space="preserve"> </w:t>
      </w:r>
      <w:r>
        <w:t>jours</w:t>
      </w:r>
      <w:r w:rsidRPr="002C4077">
        <w:t xml:space="preserve"> </w:t>
      </w:r>
      <w:r>
        <w:t>d’Achaz,</w:t>
      </w:r>
      <w:r w:rsidR="00B546AF">
        <w:t> »</w:t>
      </w:r>
      <w:r w:rsidRPr="002C4077">
        <w:t xml:space="preserve"> </w:t>
      </w:r>
      <w:r>
        <w:t>c’est-à-dire,</w:t>
      </w:r>
      <w:r w:rsidRPr="002C4077">
        <w:t xml:space="preserve"> </w:t>
      </w:r>
      <w:r>
        <w:t>la</w:t>
      </w:r>
      <w:r w:rsidRPr="002C4077">
        <w:t xml:space="preserve"> </w:t>
      </w:r>
      <w:r>
        <w:t>durée</w:t>
      </w:r>
      <w:r w:rsidRPr="002C4077">
        <w:t xml:space="preserve"> </w:t>
      </w:r>
      <w:r>
        <w:t>de</w:t>
      </w:r>
      <w:r w:rsidRPr="002C4077">
        <w:t xml:space="preserve"> </w:t>
      </w:r>
      <w:r>
        <w:t>son</w:t>
      </w:r>
      <w:r w:rsidRPr="002C4077">
        <w:t xml:space="preserve"> </w:t>
      </w:r>
      <w:r>
        <w:t>règne,</w:t>
      </w:r>
      <w:r w:rsidRPr="002C4077">
        <w:t xml:space="preserve"> </w:t>
      </w:r>
      <w:r>
        <w:t>grâce</w:t>
      </w:r>
      <w:r w:rsidRPr="002C4077">
        <w:t xml:space="preserve"> </w:t>
      </w:r>
      <w:r>
        <w:t>aux</w:t>
      </w:r>
      <w:r w:rsidRPr="002C4077">
        <w:t xml:space="preserve"> </w:t>
      </w:r>
      <w:r>
        <w:t>données</w:t>
      </w:r>
      <w:r w:rsidRPr="002C4077">
        <w:t xml:space="preserve"> </w:t>
      </w:r>
      <w:r>
        <w:t>chronologiques</w:t>
      </w:r>
      <w:r w:rsidRPr="002C4077">
        <w:t xml:space="preserve"> </w:t>
      </w:r>
      <w:r>
        <w:t>des</w:t>
      </w:r>
      <w:r w:rsidRPr="002C4077">
        <w:t xml:space="preserve"> </w:t>
      </w:r>
      <w:r>
        <w:t>livres</w:t>
      </w:r>
      <w:r w:rsidRPr="002C4077">
        <w:t xml:space="preserve"> </w:t>
      </w:r>
      <w:r>
        <w:t>des</w:t>
      </w:r>
      <w:r w:rsidRPr="002C4077">
        <w:t xml:space="preserve"> </w:t>
      </w:r>
      <w:r>
        <w:t>Rois</w:t>
      </w:r>
      <w:r w:rsidRPr="002C4077">
        <w:t xml:space="preserve"> </w:t>
      </w:r>
      <w:r>
        <w:t>et</w:t>
      </w:r>
      <w:r w:rsidRPr="002C4077">
        <w:t xml:space="preserve"> </w:t>
      </w:r>
      <w:r>
        <w:t>des</w:t>
      </w:r>
      <w:r w:rsidRPr="002C4077">
        <w:t xml:space="preserve"> </w:t>
      </w:r>
      <w:r>
        <w:t>Paralipomènes.</w:t>
      </w:r>
      <w:r w:rsidRPr="002C4077">
        <w:t xml:space="preserve"> </w:t>
      </w:r>
      <w:r w:rsidRPr="000A34B5">
        <w:rPr>
          <w:rStyle w:val="italicus"/>
        </w:rPr>
        <w:t>S</w:t>
      </w:r>
      <w:r w:rsidR="003B53FD">
        <w:rPr>
          <w:rStyle w:val="italicus"/>
        </w:rPr>
        <w:t>é</w:t>
      </w:r>
      <w:r w:rsidR="003B53FD" w:rsidRPr="000A34B5">
        <w:rPr>
          <w:rStyle w:val="italicus"/>
        </w:rPr>
        <w:t>decim</w:t>
      </w:r>
      <w:r w:rsidRPr="002C4077">
        <w:t xml:space="preserve"> </w:t>
      </w:r>
      <w:r w:rsidRPr="000A34B5">
        <w:rPr>
          <w:rStyle w:val="italicus"/>
        </w:rPr>
        <w:t>annis</w:t>
      </w:r>
      <w:r w:rsidRPr="002C4077">
        <w:t xml:space="preserve"> </w:t>
      </w:r>
      <w:r w:rsidRPr="000A34B5">
        <w:rPr>
          <w:rStyle w:val="italicus"/>
        </w:rPr>
        <w:t>r</w:t>
      </w:r>
      <w:r w:rsidR="003B53FD" w:rsidRPr="000A34B5">
        <w:rPr>
          <w:rStyle w:val="italicus"/>
        </w:rPr>
        <w:t>egn</w:t>
      </w:r>
      <w:r w:rsidR="003B53FD">
        <w:rPr>
          <w:rStyle w:val="italicus"/>
        </w:rPr>
        <w:t>á</w:t>
      </w:r>
      <w:r w:rsidR="003B53FD" w:rsidRPr="000A34B5">
        <w:rPr>
          <w:rStyle w:val="italicus"/>
        </w:rPr>
        <w:t>vit</w:t>
      </w:r>
      <w:r w:rsidRPr="002C4077">
        <w:t xml:space="preserve"> </w:t>
      </w:r>
      <w:r w:rsidRPr="000A34B5">
        <w:rPr>
          <w:rStyle w:val="italicus"/>
        </w:rPr>
        <w:t>in</w:t>
      </w:r>
      <w:r w:rsidRPr="002C4077">
        <w:t xml:space="preserve"> </w:t>
      </w:r>
      <w:r w:rsidR="00997762">
        <w:rPr>
          <w:rStyle w:val="italicus"/>
        </w:rPr>
        <w:t>Jerú</w:t>
      </w:r>
      <w:r w:rsidRPr="000A34B5">
        <w:rPr>
          <w:rStyle w:val="italicus"/>
        </w:rPr>
        <w:t>salem,</w:t>
      </w:r>
      <w:r w:rsidRPr="002C4077">
        <w:t xml:space="preserve"> </w:t>
      </w:r>
      <w:r>
        <w:t>lisons-nous</w:t>
      </w:r>
      <w:r w:rsidRPr="002C4077">
        <w:t xml:space="preserve"> </w:t>
      </w:r>
      <w:r>
        <w:t>en</w:t>
      </w:r>
      <w:r w:rsidRPr="002C4077">
        <w:t xml:space="preserve"> </w:t>
      </w:r>
      <w:r>
        <w:t>deux</w:t>
      </w:r>
      <w:r w:rsidRPr="002C4077">
        <w:t xml:space="preserve"> </w:t>
      </w:r>
      <w:r>
        <w:t>passages</w:t>
      </w:r>
      <w:r w:rsidRPr="002C4077">
        <w:t xml:space="preserve"> </w:t>
      </w:r>
      <w:r>
        <w:t>distincts</w:t>
      </w:r>
      <w:r w:rsidR="00B91AF7">
        <w:rPr>
          <w:rStyle w:val="Appelnotedebasdep"/>
        </w:rPr>
        <w:footnoteReference w:id="8"/>
      </w:r>
      <w:r>
        <w:t>,</w:t>
      </w:r>
      <w:r w:rsidRPr="002C4077">
        <w:t xml:space="preserve"> </w:t>
      </w:r>
      <w:r>
        <w:t>et</w:t>
      </w:r>
      <w:r w:rsidRPr="002C4077">
        <w:t xml:space="preserve"> </w:t>
      </w:r>
      <w:r>
        <w:t>les</w:t>
      </w:r>
      <w:r w:rsidRPr="002C4077">
        <w:t xml:space="preserve"> </w:t>
      </w:r>
      <w:r>
        <w:t>calculs</w:t>
      </w:r>
      <w:r w:rsidRPr="002C4077">
        <w:t xml:space="preserve"> </w:t>
      </w:r>
      <w:r>
        <w:t>des</w:t>
      </w:r>
      <w:r w:rsidRPr="002C4077">
        <w:t xml:space="preserve"> </w:t>
      </w:r>
      <w:r>
        <w:t>savants</w:t>
      </w:r>
      <w:r w:rsidRPr="002C4077">
        <w:t xml:space="preserve"> </w:t>
      </w:r>
      <w:r>
        <w:t>nous</w:t>
      </w:r>
      <w:r w:rsidRPr="002C4077">
        <w:t xml:space="preserve"> </w:t>
      </w:r>
      <w:r>
        <w:t>permettent</w:t>
      </w:r>
      <w:r w:rsidRPr="002C4077">
        <w:t xml:space="preserve"> </w:t>
      </w:r>
      <w:r>
        <w:t>de</w:t>
      </w:r>
      <w:r w:rsidRPr="002C4077">
        <w:t xml:space="preserve"> </w:t>
      </w:r>
      <w:r>
        <w:t>dire</w:t>
      </w:r>
      <w:r w:rsidRPr="002C4077">
        <w:t xml:space="preserve"> </w:t>
      </w:r>
      <w:r>
        <w:t>d’une</w:t>
      </w:r>
      <w:r w:rsidRPr="002C4077">
        <w:t xml:space="preserve"> </w:t>
      </w:r>
      <w:r>
        <w:t>manière</w:t>
      </w:r>
      <w:r w:rsidRPr="002C4077">
        <w:t xml:space="preserve"> </w:t>
      </w:r>
      <w:r>
        <w:t>très-approximative</w:t>
      </w:r>
      <w:r w:rsidRPr="002C4077">
        <w:t xml:space="preserve"> </w:t>
      </w:r>
      <w:r>
        <w:t>que</w:t>
      </w:r>
      <w:r w:rsidRPr="002C4077">
        <w:t xml:space="preserve"> </w:t>
      </w:r>
      <w:r>
        <w:t>ce</w:t>
      </w:r>
      <w:r w:rsidRPr="002C4077">
        <w:t xml:space="preserve"> </w:t>
      </w:r>
      <w:r>
        <w:t>fut</w:t>
      </w:r>
      <w:r w:rsidRPr="002C4077">
        <w:t xml:space="preserve"> </w:t>
      </w:r>
      <w:r w:rsidR="00794E66">
        <w:t>de</w:t>
      </w:r>
      <w:r w:rsidR="00794E66" w:rsidRPr="002C4077">
        <w:t xml:space="preserve"> </w:t>
      </w:r>
      <w:r w:rsidR="00794E66">
        <w:t>743</w:t>
      </w:r>
      <w:r w:rsidR="00794E66" w:rsidRPr="002C4077">
        <w:t xml:space="preserve"> </w:t>
      </w:r>
      <w:r w:rsidR="00794E66">
        <w:t>à</w:t>
      </w:r>
      <w:r w:rsidR="00794E66" w:rsidRPr="002C4077">
        <w:t xml:space="preserve"> </w:t>
      </w:r>
      <w:r w:rsidR="00794E66">
        <w:t>727</w:t>
      </w:r>
      <w:r w:rsidR="00794E66" w:rsidRPr="002C4077">
        <w:t xml:space="preserve"> </w:t>
      </w:r>
      <w:r w:rsidR="00794E66">
        <w:t>avant</w:t>
      </w:r>
      <w:r w:rsidR="00794E66" w:rsidRPr="002C4077">
        <w:t xml:space="preserve"> </w:t>
      </w:r>
      <w:r w:rsidR="00425C50">
        <w:t>Jésus</w:t>
      </w:r>
      <w:r w:rsidR="00794E66">
        <w:t>-</w:t>
      </w:r>
      <w:r w:rsidR="00425C50">
        <w:t>Christ</w:t>
      </w:r>
      <w:r w:rsidR="00794E66">
        <w:rPr>
          <w:rStyle w:val="Appelnotedebasdep"/>
        </w:rPr>
        <w:footnoteReference w:id="9"/>
      </w:r>
      <w:r>
        <w:t>.</w:t>
      </w:r>
      <w:r w:rsidR="00C45B47">
        <w:t xml:space="preserve"> {</w:t>
      </w:r>
      <w:r w:rsidR="000721C4">
        <w:t>4</w:t>
      </w:r>
      <w:bookmarkStart w:id="21" w:name="p004"/>
      <w:bookmarkEnd w:id="21"/>
      <w:r w:rsidR="000721C4">
        <w:t xml:space="preserve">} </w:t>
      </w:r>
    </w:p>
    <w:p w:rsidR="000A7AAB" w:rsidRDefault="000A7AAB" w:rsidP="000A7AAB">
      <w:r>
        <w:t>Mais</w:t>
      </w:r>
      <w:r w:rsidRPr="002C4077">
        <w:t xml:space="preserve"> </w:t>
      </w:r>
      <w:r>
        <w:t>les</w:t>
      </w:r>
      <w:r w:rsidRPr="002C4077">
        <w:t xml:space="preserve"> </w:t>
      </w:r>
      <w:r>
        <w:t>deux</w:t>
      </w:r>
      <w:r w:rsidRPr="002C4077">
        <w:t xml:space="preserve"> </w:t>
      </w:r>
      <w:r>
        <w:t>passages</w:t>
      </w:r>
      <w:r w:rsidRPr="002C4077">
        <w:t xml:space="preserve"> </w:t>
      </w:r>
      <w:r>
        <w:t>en</w:t>
      </w:r>
      <w:r w:rsidRPr="002C4077">
        <w:t xml:space="preserve"> </w:t>
      </w:r>
      <w:r>
        <w:t>question,</w:t>
      </w:r>
      <w:r w:rsidRPr="002C4077">
        <w:t xml:space="preserve"> </w:t>
      </w:r>
      <w:r>
        <w:t>rapprochés</w:t>
      </w:r>
      <w:r w:rsidRPr="002C4077">
        <w:t xml:space="preserve"> </w:t>
      </w:r>
      <w:r>
        <w:t>de</w:t>
      </w:r>
      <w:r w:rsidRPr="002C4077">
        <w:t xml:space="preserve"> </w:t>
      </w:r>
      <w:r w:rsidR="003B53FD">
        <w:t>celui</w:t>
      </w:r>
      <w:r w:rsidRPr="002C4077">
        <w:t xml:space="preserve"> </w:t>
      </w:r>
      <w:r>
        <w:t>d’Isaïe</w:t>
      </w:r>
      <w:r w:rsidRPr="002C4077">
        <w:t xml:space="preserve"> </w:t>
      </w:r>
      <w:r>
        <w:t>qu’ils</w:t>
      </w:r>
      <w:r w:rsidRPr="002C4077">
        <w:t xml:space="preserve"> </w:t>
      </w:r>
      <w:r>
        <w:t>développent</w:t>
      </w:r>
      <w:r w:rsidRPr="002C4077">
        <w:t xml:space="preserve"> </w:t>
      </w:r>
      <w:r>
        <w:t>et</w:t>
      </w:r>
      <w:r w:rsidRPr="002C4077">
        <w:t xml:space="preserve"> </w:t>
      </w:r>
      <w:r>
        <w:t>commentent,</w:t>
      </w:r>
      <w:r w:rsidRPr="002C4077">
        <w:t xml:space="preserve"> </w:t>
      </w:r>
      <w:r>
        <w:t>fournissent</w:t>
      </w:r>
      <w:r w:rsidRPr="002C4077">
        <w:t xml:space="preserve"> </w:t>
      </w:r>
      <w:r>
        <w:t>à</w:t>
      </w:r>
      <w:r w:rsidRPr="002C4077">
        <w:t xml:space="preserve"> </w:t>
      </w:r>
      <w:r>
        <w:t>l’exégète</w:t>
      </w:r>
      <w:r w:rsidRPr="002C4077">
        <w:t xml:space="preserve"> </w:t>
      </w:r>
      <w:r>
        <w:t>des</w:t>
      </w:r>
      <w:r w:rsidRPr="002C4077">
        <w:t xml:space="preserve"> </w:t>
      </w:r>
      <w:r>
        <w:t>renseignements</w:t>
      </w:r>
      <w:r w:rsidRPr="002C4077">
        <w:t xml:space="preserve"> </w:t>
      </w:r>
      <w:r>
        <w:t>plus</w:t>
      </w:r>
      <w:r w:rsidRPr="002C4077">
        <w:t xml:space="preserve"> </w:t>
      </w:r>
      <w:r>
        <w:t>précis</w:t>
      </w:r>
      <w:r w:rsidRPr="002C4077">
        <w:t xml:space="preserve"> </w:t>
      </w:r>
      <w:r>
        <w:t>encore</w:t>
      </w:r>
      <w:r w:rsidRPr="002C4077">
        <w:t xml:space="preserve"> </w:t>
      </w:r>
      <w:r>
        <w:t>sur</w:t>
      </w:r>
      <w:r w:rsidRPr="002C4077">
        <w:t xml:space="preserve"> </w:t>
      </w:r>
      <w:r>
        <w:t>la</w:t>
      </w:r>
      <w:r w:rsidRPr="002C4077">
        <w:t xml:space="preserve"> </w:t>
      </w:r>
      <w:r>
        <w:t>date</w:t>
      </w:r>
      <w:r w:rsidRPr="002C4077">
        <w:t xml:space="preserve"> </w:t>
      </w:r>
      <w:r>
        <w:t>intéressante</w:t>
      </w:r>
      <w:r w:rsidRPr="002C4077">
        <w:t xml:space="preserve"> </w:t>
      </w:r>
      <w:r>
        <w:t>que</w:t>
      </w:r>
      <w:r w:rsidRPr="002C4077">
        <w:t xml:space="preserve"> </w:t>
      </w:r>
      <w:r>
        <w:t>nous</w:t>
      </w:r>
      <w:r w:rsidRPr="002C4077">
        <w:t xml:space="preserve"> </w:t>
      </w:r>
      <w:r>
        <w:t>cherchons.</w:t>
      </w:r>
      <w:r w:rsidRPr="002C4077">
        <w:t xml:space="preserve"> </w:t>
      </w:r>
      <w:r>
        <w:t>Ils</w:t>
      </w:r>
      <w:bookmarkStart w:id="22" w:name="z_Achaz_o2"/>
      <w:bookmarkEnd w:id="22"/>
      <w:r w:rsidRPr="002C4077">
        <w:t xml:space="preserve"> </w:t>
      </w:r>
      <w:r>
        <w:t>démontrent,</w:t>
      </w:r>
      <w:r w:rsidRPr="002C4077">
        <w:t xml:space="preserve"> </w:t>
      </w:r>
      <w:r>
        <w:t>en</w:t>
      </w:r>
      <w:r w:rsidRPr="002C4077">
        <w:t xml:space="preserve"> </w:t>
      </w:r>
      <w:r>
        <w:t>effet,</w:t>
      </w:r>
      <w:r w:rsidRPr="002C4077">
        <w:t xml:space="preserve"> </w:t>
      </w:r>
      <w:r>
        <w:t>comme</w:t>
      </w:r>
      <w:r w:rsidRPr="002C4077">
        <w:t xml:space="preserve"> </w:t>
      </w:r>
      <w:r>
        <w:t>l’admettent</w:t>
      </w:r>
      <w:r w:rsidRPr="002C4077">
        <w:t xml:space="preserve"> </w:t>
      </w:r>
      <w:r>
        <w:t>à</w:t>
      </w:r>
      <w:r w:rsidRPr="002C4077">
        <w:t xml:space="preserve"> </w:t>
      </w:r>
      <w:r>
        <w:t>l’envi</w:t>
      </w:r>
      <w:r w:rsidRPr="002C4077">
        <w:t xml:space="preserve"> </w:t>
      </w:r>
      <w:r>
        <w:t>les</w:t>
      </w:r>
      <w:r w:rsidRPr="002C4077">
        <w:t xml:space="preserve"> </w:t>
      </w:r>
      <w:r>
        <w:t>commentateurs,</w:t>
      </w:r>
      <w:r w:rsidRPr="002C4077">
        <w:t xml:space="preserve"> </w:t>
      </w:r>
      <w:r>
        <w:t>que</w:t>
      </w:r>
      <w:r w:rsidRPr="002C4077">
        <w:t xml:space="preserve"> </w:t>
      </w:r>
      <w:r>
        <w:t>la</w:t>
      </w:r>
      <w:r w:rsidRPr="002C4077">
        <w:t xml:space="preserve"> </w:t>
      </w:r>
      <w:r>
        <w:t>terrible</w:t>
      </w:r>
      <w:r w:rsidRPr="002C4077">
        <w:t xml:space="preserve"> </w:t>
      </w:r>
      <w:r>
        <w:t>invasion</w:t>
      </w:r>
      <w:r w:rsidRPr="002C4077">
        <w:t xml:space="preserve"> </w:t>
      </w:r>
      <w:r>
        <w:t>qui</w:t>
      </w:r>
      <w:r w:rsidRPr="002C4077">
        <w:t xml:space="preserve"> </w:t>
      </w:r>
      <w:r>
        <w:t>mit</w:t>
      </w:r>
      <w:r w:rsidRPr="002C4077">
        <w:t xml:space="preserve"> </w:t>
      </w:r>
      <w:r>
        <w:t>Jérusalem</w:t>
      </w:r>
      <w:r w:rsidRPr="002C4077">
        <w:t xml:space="preserve"> </w:t>
      </w:r>
      <w:r>
        <w:t>et</w:t>
      </w:r>
      <w:r w:rsidRPr="002C4077">
        <w:t xml:space="preserve"> </w:t>
      </w:r>
      <w:r>
        <w:t>Juda</w:t>
      </w:r>
      <w:r w:rsidRPr="002C4077">
        <w:t xml:space="preserve"> </w:t>
      </w:r>
      <w:r>
        <w:t>à</w:t>
      </w:r>
      <w:r w:rsidRPr="002C4077">
        <w:t xml:space="preserve"> </w:t>
      </w:r>
      <w:r>
        <w:t>deux</w:t>
      </w:r>
      <w:r w:rsidRPr="002C4077">
        <w:t xml:space="preserve"> </w:t>
      </w:r>
      <w:r>
        <w:t>doigts</w:t>
      </w:r>
      <w:r w:rsidRPr="002C4077">
        <w:t xml:space="preserve"> </w:t>
      </w:r>
      <w:r>
        <w:t>de</w:t>
      </w:r>
      <w:r w:rsidRPr="002C4077">
        <w:t xml:space="preserve"> </w:t>
      </w:r>
      <w:r>
        <w:t>leur</w:t>
      </w:r>
      <w:r w:rsidRPr="002C4077">
        <w:t xml:space="preserve"> </w:t>
      </w:r>
      <w:r>
        <w:t>perte,</w:t>
      </w:r>
      <w:r w:rsidRPr="002C4077">
        <w:t xml:space="preserve"> </w:t>
      </w:r>
      <w:r>
        <w:t>dut</w:t>
      </w:r>
      <w:r w:rsidRPr="002C4077">
        <w:t xml:space="preserve"> </w:t>
      </w:r>
      <w:r>
        <w:t>commencer</w:t>
      </w:r>
      <w:r w:rsidRPr="002C4077">
        <w:t xml:space="preserve"> </w:t>
      </w:r>
      <w:r>
        <w:t>presque</w:t>
      </w:r>
      <w:r w:rsidRPr="002C4077">
        <w:t xml:space="preserve"> </w:t>
      </w:r>
      <w:r>
        <w:t>aussitôt</w:t>
      </w:r>
      <w:r w:rsidRPr="002C4077">
        <w:t xml:space="preserve"> </w:t>
      </w:r>
      <w:r>
        <w:t>après</w:t>
      </w:r>
      <w:r w:rsidRPr="002C4077">
        <w:t xml:space="preserve"> </w:t>
      </w:r>
      <w:r>
        <w:t>l’avènement</w:t>
      </w:r>
      <w:r w:rsidRPr="002C4077">
        <w:t xml:space="preserve"> </w:t>
      </w:r>
      <w:r>
        <w:t>d’Achaz,</w:t>
      </w:r>
      <w:r w:rsidRPr="002C4077">
        <w:t xml:space="preserve"> </w:t>
      </w:r>
      <w:r>
        <w:t>par</w:t>
      </w:r>
      <w:r w:rsidRPr="002C4077">
        <w:t xml:space="preserve"> </w:t>
      </w:r>
      <w:r>
        <w:t>conséquent</w:t>
      </w:r>
      <w:r w:rsidRPr="002C4077">
        <w:t xml:space="preserve"> </w:t>
      </w:r>
      <w:r>
        <w:t>vers</w:t>
      </w:r>
      <w:r w:rsidRPr="002C4077">
        <w:t xml:space="preserve"> </w:t>
      </w:r>
      <w:r>
        <w:t>l’an</w:t>
      </w:r>
      <w:r w:rsidRPr="002C4077">
        <w:t xml:space="preserve"> </w:t>
      </w:r>
      <w:r>
        <w:t>743.</w:t>
      </w:r>
      <w:r w:rsidRPr="002C4077">
        <w:t xml:space="preserve"> </w:t>
      </w:r>
      <w:r>
        <w:t>On</w:t>
      </w:r>
      <w:r w:rsidRPr="002C4077">
        <w:t xml:space="preserve"> </w:t>
      </w:r>
      <w:r>
        <w:t>conçoit</w:t>
      </w:r>
      <w:r w:rsidRPr="002C4077">
        <w:t xml:space="preserve"> </w:t>
      </w:r>
      <w:r>
        <w:t>que</w:t>
      </w:r>
      <w:r w:rsidRPr="002C4077">
        <w:t xml:space="preserve"> </w:t>
      </w:r>
      <w:r>
        <w:t>Rasin</w:t>
      </w:r>
      <w:bookmarkStart w:id="23" w:name="z_Rasin_o2"/>
      <w:bookmarkEnd w:id="23"/>
      <w:r w:rsidR="00B91AF7">
        <w:rPr>
          <w:rStyle w:val="Appelnotedebasdep"/>
        </w:rPr>
        <w:footnoteReference w:id="10"/>
      </w:r>
      <w:r w:rsidRPr="002C4077">
        <w:t xml:space="preserve"> </w:t>
      </w:r>
      <w:r>
        <w:t>et</w:t>
      </w:r>
      <w:r w:rsidRPr="002C4077">
        <w:t xml:space="preserve"> </w:t>
      </w:r>
      <w:r>
        <w:t>Phacée</w:t>
      </w:r>
      <w:bookmarkStart w:id="24" w:name="z_Phacee_o2"/>
      <w:bookmarkEnd w:id="24"/>
      <w:r w:rsidR="00B91AF7">
        <w:rPr>
          <w:rStyle w:val="Appelnotedebasdep"/>
        </w:rPr>
        <w:footnoteReference w:id="11"/>
      </w:r>
      <w:r w:rsidRPr="002C4077">
        <w:t xml:space="preserve"> </w:t>
      </w:r>
      <w:r>
        <w:t>aient</w:t>
      </w:r>
      <w:r w:rsidRPr="002C4077">
        <w:t xml:space="preserve"> </w:t>
      </w:r>
      <w:r>
        <w:t>voulu</w:t>
      </w:r>
      <w:r w:rsidRPr="002C4077">
        <w:t xml:space="preserve"> </w:t>
      </w:r>
      <w:r>
        <w:t>mettre</w:t>
      </w:r>
      <w:r w:rsidRPr="002C4077">
        <w:t xml:space="preserve"> </w:t>
      </w:r>
      <w:r>
        <w:t>à</w:t>
      </w:r>
      <w:r w:rsidRPr="002C4077">
        <w:t xml:space="preserve"> </w:t>
      </w:r>
      <w:r>
        <w:t>profit</w:t>
      </w:r>
      <w:r w:rsidRPr="002C4077">
        <w:t xml:space="preserve"> </w:t>
      </w:r>
      <w:r>
        <w:t>la</w:t>
      </w:r>
      <w:r w:rsidRPr="002C4077">
        <w:t xml:space="preserve"> </w:t>
      </w:r>
      <w:r>
        <w:t>jeunesse</w:t>
      </w:r>
      <w:r w:rsidRPr="002C4077">
        <w:t xml:space="preserve"> </w:t>
      </w:r>
      <w:r>
        <w:t>et</w:t>
      </w:r>
      <w:r w:rsidRPr="002C4077">
        <w:t xml:space="preserve"> </w:t>
      </w:r>
      <w:r>
        <w:t>l’inexpérience</w:t>
      </w:r>
      <w:r w:rsidRPr="002C4077">
        <w:t xml:space="preserve"> </w:t>
      </w:r>
      <w:r>
        <w:t>du</w:t>
      </w:r>
      <w:r w:rsidRPr="002C4077">
        <w:t xml:space="preserve"> </w:t>
      </w:r>
      <w:r>
        <w:t>nouveau</w:t>
      </w:r>
      <w:r w:rsidRPr="002C4077">
        <w:t xml:space="preserve"> </w:t>
      </w:r>
      <w:r>
        <w:t>roi,</w:t>
      </w:r>
      <w:r w:rsidRPr="002C4077">
        <w:t xml:space="preserve"> </w:t>
      </w:r>
      <w:r>
        <w:t>pour</w:t>
      </w:r>
      <w:r w:rsidRPr="002C4077">
        <w:t xml:space="preserve"> </w:t>
      </w:r>
      <w:r>
        <w:t>mener</w:t>
      </w:r>
      <w:r w:rsidRPr="002C4077">
        <w:t xml:space="preserve"> </w:t>
      </w:r>
      <w:r>
        <w:t>à</w:t>
      </w:r>
      <w:r w:rsidRPr="002C4077">
        <w:t xml:space="preserve"> </w:t>
      </w:r>
      <w:r>
        <w:t>bonne</w:t>
      </w:r>
      <w:r w:rsidRPr="002C4077">
        <w:t xml:space="preserve"> </w:t>
      </w:r>
      <w:r>
        <w:t>fin</w:t>
      </w:r>
      <w:r w:rsidRPr="002C4077">
        <w:t xml:space="preserve"> </w:t>
      </w:r>
      <w:r>
        <w:t>une</w:t>
      </w:r>
      <w:r w:rsidRPr="002C4077">
        <w:t xml:space="preserve"> </w:t>
      </w:r>
      <w:r>
        <w:t>guerre</w:t>
      </w:r>
      <w:r w:rsidRPr="002C4077">
        <w:t xml:space="preserve"> </w:t>
      </w:r>
      <w:r>
        <w:t>dont</w:t>
      </w:r>
      <w:r w:rsidRPr="002C4077">
        <w:t xml:space="preserve"> </w:t>
      </w:r>
      <w:r>
        <w:t>ils</w:t>
      </w:r>
      <w:r w:rsidRPr="002C4077">
        <w:t xml:space="preserve"> </w:t>
      </w:r>
      <w:r>
        <w:t>se</w:t>
      </w:r>
      <w:r w:rsidRPr="002C4077">
        <w:t xml:space="preserve"> </w:t>
      </w:r>
      <w:r>
        <w:t>promettaient</w:t>
      </w:r>
      <w:r w:rsidRPr="002C4077">
        <w:t xml:space="preserve"> </w:t>
      </w:r>
      <w:r>
        <w:t>de</w:t>
      </w:r>
      <w:r w:rsidRPr="002C4077">
        <w:t xml:space="preserve"> </w:t>
      </w:r>
      <w:r>
        <w:t>très</w:t>
      </w:r>
      <w:r w:rsidRPr="002C4077">
        <w:t xml:space="preserve"> </w:t>
      </w:r>
      <w:r>
        <w:t>grands</w:t>
      </w:r>
      <w:r w:rsidRPr="002C4077">
        <w:t xml:space="preserve"> </w:t>
      </w:r>
      <w:r>
        <w:t>avantages</w:t>
      </w:r>
      <w:r w:rsidR="00B546AF">
        <w:t> ;</w:t>
      </w:r>
      <w:r w:rsidRPr="002C4077">
        <w:t xml:space="preserve"> </w:t>
      </w:r>
      <w:r>
        <w:t>car</w:t>
      </w:r>
      <w:r w:rsidRPr="002C4077">
        <w:t xml:space="preserve"> </w:t>
      </w:r>
      <w:r>
        <w:t>ils</w:t>
      </w:r>
      <w:r w:rsidRPr="002C4077">
        <w:t xml:space="preserve"> </w:t>
      </w:r>
      <w:r>
        <w:t>ne</w:t>
      </w:r>
      <w:r w:rsidRPr="002C4077">
        <w:t xml:space="preserve"> </w:t>
      </w:r>
      <w:r>
        <w:t>tendaient</w:t>
      </w:r>
      <w:r w:rsidRPr="002C4077">
        <w:t xml:space="preserve"> </w:t>
      </w:r>
      <w:r>
        <w:t>à</w:t>
      </w:r>
      <w:r w:rsidRPr="002C4077">
        <w:t xml:space="preserve"> </w:t>
      </w:r>
      <w:r>
        <w:t>rien</w:t>
      </w:r>
      <w:r w:rsidRPr="002C4077">
        <w:t xml:space="preserve"> </w:t>
      </w:r>
      <w:r>
        <w:t>moins</w:t>
      </w:r>
      <w:r w:rsidRPr="002C4077">
        <w:t xml:space="preserve"> </w:t>
      </w:r>
      <w:r>
        <w:t>qu’à</w:t>
      </w:r>
      <w:r w:rsidRPr="002C4077">
        <w:t xml:space="preserve"> </w:t>
      </w:r>
      <w:r>
        <w:t>anéantir</w:t>
      </w:r>
      <w:r w:rsidRPr="002C4077">
        <w:t xml:space="preserve"> </w:t>
      </w:r>
      <w:r>
        <w:t>le</w:t>
      </w:r>
      <w:r w:rsidRPr="002C4077">
        <w:t xml:space="preserve"> </w:t>
      </w:r>
      <w:r>
        <w:t>royaume</w:t>
      </w:r>
      <w:r w:rsidRPr="002C4077">
        <w:t xml:space="preserve"> </w:t>
      </w:r>
      <w:r>
        <w:t>de</w:t>
      </w:r>
      <w:r w:rsidRPr="002C4077">
        <w:t xml:space="preserve"> </w:t>
      </w:r>
      <w:r>
        <w:t>Juda</w:t>
      </w:r>
      <w:r w:rsidRPr="002C4077">
        <w:t xml:space="preserve"> </w:t>
      </w:r>
      <w:r>
        <w:t>et</w:t>
      </w:r>
      <w:r w:rsidRPr="002C4077">
        <w:t xml:space="preserve"> </w:t>
      </w:r>
      <w:r>
        <w:t>la</w:t>
      </w:r>
      <w:r w:rsidRPr="002C4077">
        <w:t xml:space="preserve"> </w:t>
      </w:r>
      <w:r>
        <w:t>dynastie</w:t>
      </w:r>
      <w:r w:rsidRPr="002C4077">
        <w:t xml:space="preserve"> </w:t>
      </w:r>
      <w:r>
        <w:t>de</w:t>
      </w:r>
      <w:r w:rsidRPr="002C4077">
        <w:t xml:space="preserve"> </w:t>
      </w:r>
      <w:r>
        <w:t>David.</w:t>
      </w:r>
      <w:r w:rsidRPr="002C4077">
        <w:t xml:space="preserve"> </w:t>
      </w:r>
      <w:r>
        <w:t>D’un</w:t>
      </w:r>
      <w:r w:rsidRPr="002C4077">
        <w:t xml:space="preserve"> </w:t>
      </w:r>
      <w:r>
        <w:t>autre</w:t>
      </w:r>
      <w:r w:rsidRPr="002C4077">
        <w:t xml:space="preserve"> </w:t>
      </w:r>
      <w:r>
        <w:t>côté,</w:t>
      </w:r>
      <w:r w:rsidRPr="002C4077">
        <w:t xml:space="preserve"> </w:t>
      </w:r>
      <w:r>
        <w:t>l’un</w:t>
      </w:r>
      <w:r w:rsidRPr="002C4077">
        <w:t xml:space="preserve"> </w:t>
      </w:r>
      <w:r>
        <w:t>des</w:t>
      </w:r>
      <w:r w:rsidRPr="002C4077">
        <w:t xml:space="preserve"> </w:t>
      </w:r>
      <w:r>
        <w:t>confédérés,</w:t>
      </w:r>
      <w:r w:rsidRPr="002C4077">
        <w:t xml:space="preserve"> </w:t>
      </w:r>
      <w:r>
        <w:t>Phacée,</w:t>
      </w:r>
      <w:r w:rsidRPr="002C4077">
        <w:t xml:space="preserve"> </w:t>
      </w:r>
      <w:r>
        <w:t>mourut</w:t>
      </w:r>
      <w:r w:rsidRPr="002C4077">
        <w:t xml:space="preserve"> </w:t>
      </w:r>
      <w:r>
        <w:t>en</w:t>
      </w:r>
      <w:r w:rsidRPr="002C4077">
        <w:t xml:space="preserve"> </w:t>
      </w:r>
      <w:r>
        <w:t>739.</w:t>
      </w:r>
      <w:r w:rsidRPr="002C4077">
        <w:t xml:space="preserve"> </w:t>
      </w:r>
      <w:r>
        <w:t>C’est</w:t>
      </w:r>
      <w:r w:rsidRPr="002C4077">
        <w:t xml:space="preserve"> </w:t>
      </w:r>
      <w:r>
        <w:t>donc</w:t>
      </w:r>
      <w:r w:rsidRPr="002C4077">
        <w:t xml:space="preserve"> </w:t>
      </w:r>
      <w:r>
        <w:t>entre</w:t>
      </w:r>
      <w:r w:rsidRPr="002C4077">
        <w:t xml:space="preserve"> </w:t>
      </w:r>
      <w:r>
        <w:t>743</w:t>
      </w:r>
      <w:r w:rsidRPr="002C4077">
        <w:t xml:space="preserve"> </w:t>
      </w:r>
      <w:r>
        <w:t>et</w:t>
      </w:r>
      <w:r w:rsidRPr="002C4077">
        <w:t xml:space="preserve"> </w:t>
      </w:r>
      <w:r>
        <w:t>739</w:t>
      </w:r>
      <w:r w:rsidRPr="002C4077">
        <w:t xml:space="preserve"> </w:t>
      </w:r>
      <w:r>
        <w:t>que</w:t>
      </w:r>
      <w:r w:rsidRPr="002C4077">
        <w:t xml:space="preserve"> </w:t>
      </w:r>
      <w:r>
        <w:t>notre</w:t>
      </w:r>
      <w:r w:rsidRPr="002C4077">
        <w:t xml:space="preserve"> </w:t>
      </w:r>
      <w:r>
        <w:t>sublime</w:t>
      </w:r>
      <w:r w:rsidRPr="002C4077">
        <w:t xml:space="preserve"> </w:t>
      </w:r>
      <w:r>
        <w:t>prophétie</w:t>
      </w:r>
      <w:r w:rsidRPr="002C4077">
        <w:t xml:space="preserve"> </w:t>
      </w:r>
      <w:r>
        <w:t>fut</w:t>
      </w:r>
      <w:r w:rsidRPr="002C4077">
        <w:t xml:space="preserve"> </w:t>
      </w:r>
      <w:r>
        <w:t>prononcée</w:t>
      </w:r>
      <w:r w:rsidR="00C577F1">
        <w:rPr>
          <w:rStyle w:val="Appelnotedebasdep"/>
        </w:rPr>
        <w:footnoteReference w:id="12"/>
      </w:r>
      <w:r>
        <w:t>.</w:t>
      </w:r>
      <w:r w:rsidRPr="002C4077">
        <w:t xml:space="preserve"> </w:t>
      </w:r>
    </w:p>
    <w:p w:rsidR="000A7AAB" w:rsidRDefault="000A7AAB" w:rsidP="000A7AAB">
      <w:r>
        <w:t>La</w:t>
      </w:r>
      <w:r w:rsidRPr="002C4077">
        <w:t xml:space="preserve"> </w:t>
      </w:r>
      <w:r>
        <w:t>guerre</w:t>
      </w:r>
      <w:r w:rsidRPr="002C4077">
        <w:t xml:space="preserve"> </w:t>
      </w:r>
      <w:r>
        <w:t>semble</w:t>
      </w:r>
      <w:r w:rsidRPr="002C4077">
        <w:t xml:space="preserve"> </w:t>
      </w:r>
      <w:r>
        <w:t>s’être</w:t>
      </w:r>
      <w:r w:rsidRPr="002C4077">
        <w:t xml:space="preserve"> </w:t>
      </w:r>
      <w:r>
        <w:t>prolongée</w:t>
      </w:r>
      <w:r w:rsidRPr="002C4077">
        <w:t xml:space="preserve"> </w:t>
      </w:r>
      <w:r>
        <w:t>durant</w:t>
      </w:r>
      <w:r w:rsidRPr="002C4077">
        <w:t xml:space="preserve"> </w:t>
      </w:r>
      <w:r>
        <w:t>tout</w:t>
      </w:r>
      <w:r w:rsidRPr="002C4077">
        <w:t xml:space="preserve"> </w:t>
      </w:r>
      <w:r>
        <w:t>cet</w:t>
      </w:r>
      <w:r w:rsidRPr="002C4077">
        <w:t xml:space="preserve"> </w:t>
      </w:r>
      <w:r>
        <w:t>intervalle.</w:t>
      </w:r>
      <w:r w:rsidRPr="002C4077">
        <w:t xml:space="preserve"> </w:t>
      </w:r>
      <w:r>
        <w:t>On</w:t>
      </w:r>
      <w:r w:rsidRPr="002C4077">
        <w:t xml:space="preserve"> </w:t>
      </w:r>
      <w:r>
        <w:t>ne</w:t>
      </w:r>
      <w:r w:rsidRPr="002C4077">
        <w:t xml:space="preserve"> </w:t>
      </w:r>
      <w:r>
        <w:t>saurait</w:t>
      </w:r>
      <w:r w:rsidRPr="002C4077">
        <w:t xml:space="preserve"> </w:t>
      </w:r>
      <w:r>
        <w:t>déterminer</w:t>
      </w:r>
      <w:r w:rsidRPr="002C4077">
        <w:t xml:space="preserve"> </w:t>
      </w:r>
      <w:r>
        <w:t>avec</w:t>
      </w:r>
      <w:r w:rsidRPr="002C4077">
        <w:t xml:space="preserve"> </w:t>
      </w:r>
      <w:r>
        <w:t>une</w:t>
      </w:r>
      <w:r w:rsidRPr="002C4077">
        <w:t xml:space="preserve"> </w:t>
      </w:r>
      <w:r>
        <w:t>certitude</w:t>
      </w:r>
      <w:r w:rsidRPr="002C4077">
        <w:t xml:space="preserve"> </w:t>
      </w:r>
      <w:r>
        <w:t>absolue</w:t>
      </w:r>
      <w:r w:rsidRPr="002C4077">
        <w:t xml:space="preserve"> </w:t>
      </w:r>
      <w:r>
        <w:t>ses</w:t>
      </w:r>
      <w:r w:rsidRPr="002C4077">
        <w:t xml:space="preserve"> </w:t>
      </w:r>
      <w:r>
        <w:t>phases</w:t>
      </w:r>
      <w:r w:rsidRPr="002C4077">
        <w:t xml:space="preserve"> </w:t>
      </w:r>
      <w:r>
        <w:t>variées</w:t>
      </w:r>
      <w:r w:rsidR="00B546AF">
        <w:t> ;</w:t>
      </w:r>
      <w:r w:rsidRPr="002C4077">
        <w:t xml:space="preserve"> </w:t>
      </w:r>
      <w:r>
        <w:t>par</w:t>
      </w:r>
      <w:r w:rsidRPr="002C4077">
        <w:t xml:space="preserve"> </w:t>
      </w:r>
      <w:r>
        <w:t>exemple,</w:t>
      </w:r>
      <w:r w:rsidRPr="002C4077">
        <w:t xml:space="preserve"> </w:t>
      </w:r>
      <w:r>
        <w:t>le</w:t>
      </w:r>
      <w:r w:rsidRPr="002C4077">
        <w:t xml:space="preserve"> </w:t>
      </w:r>
      <w:r>
        <w:t>nombre</w:t>
      </w:r>
      <w:r w:rsidRPr="002C4077">
        <w:t xml:space="preserve"> </w:t>
      </w:r>
      <w:r>
        <w:t>et</w:t>
      </w:r>
      <w:r w:rsidRPr="002C4077">
        <w:t xml:space="preserve"> </w:t>
      </w:r>
      <w:r>
        <w:t>l’ordre</w:t>
      </w:r>
      <w:r w:rsidRPr="002C4077">
        <w:t xml:space="preserve"> </w:t>
      </w:r>
      <w:r>
        <w:t>des</w:t>
      </w:r>
      <w:r w:rsidRPr="002C4077">
        <w:t xml:space="preserve"> </w:t>
      </w:r>
      <w:r>
        <w:t>campagnes,</w:t>
      </w:r>
      <w:r w:rsidRPr="002C4077">
        <w:t xml:space="preserve"> </w:t>
      </w:r>
      <w:r>
        <w:t>les</w:t>
      </w:r>
      <w:r w:rsidRPr="002C4077">
        <w:t xml:space="preserve"> </w:t>
      </w:r>
      <w:r>
        <w:t>récits</w:t>
      </w:r>
      <w:r w:rsidRPr="002C4077">
        <w:t xml:space="preserve"> </w:t>
      </w:r>
      <w:r>
        <w:t>bibliques</w:t>
      </w:r>
      <w:r w:rsidRPr="002C4077">
        <w:t xml:space="preserve"> </w:t>
      </w:r>
      <w:r>
        <w:t>présentant</w:t>
      </w:r>
      <w:r w:rsidRPr="002C4077">
        <w:t xml:space="preserve"> </w:t>
      </w:r>
      <w:r>
        <w:t>à</w:t>
      </w:r>
      <w:r w:rsidRPr="002C4077">
        <w:t xml:space="preserve"> </w:t>
      </w:r>
      <w:r>
        <w:t>ce</w:t>
      </w:r>
      <w:r w:rsidRPr="002C4077">
        <w:t xml:space="preserve"> </w:t>
      </w:r>
      <w:r>
        <w:t>sujet</w:t>
      </w:r>
      <w:r w:rsidRPr="002C4077">
        <w:t xml:space="preserve"> </w:t>
      </w:r>
      <w:r>
        <w:t>quelques</w:t>
      </w:r>
      <w:r w:rsidRPr="002C4077">
        <w:t xml:space="preserve"> </w:t>
      </w:r>
      <w:r>
        <w:t>obscurités.</w:t>
      </w:r>
      <w:r w:rsidRPr="002C4077">
        <w:t xml:space="preserve"> </w:t>
      </w:r>
      <w:r>
        <w:t>Du</w:t>
      </w:r>
      <w:r w:rsidRPr="002C4077">
        <w:t xml:space="preserve"> </w:t>
      </w:r>
      <w:r>
        <w:t>reste,</w:t>
      </w:r>
      <w:r w:rsidRPr="002C4077">
        <w:t xml:space="preserve"> </w:t>
      </w:r>
      <w:r>
        <w:t>ce</w:t>
      </w:r>
      <w:r w:rsidRPr="002C4077">
        <w:t xml:space="preserve"> </w:t>
      </w:r>
      <w:r>
        <w:t>détail</w:t>
      </w:r>
      <w:r w:rsidRPr="002C4077">
        <w:t xml:space="preserve"> </w:t>
      </w:r>
      <w:r>
        <w:t>n’est</w:t>
      </w:r>
      <w:r w:rsidRPr="002C4077">
        <w:t xml:space="preserve"> </w:t>
      </w:r>
      <w:r>
        <w:t>aucunement</w:t>
      </w:r>
      <w:r w:rsidRPr="002C4077">
        <w:t xml:space="preserve"> </w:t>
      </w:r>
      <w:r>
        <w:t>nécessaire</w:t>
      </w:r>
      <w:r w:rsidRPr="002C4077">
        <w:t xml:space="preserve"> </w:t>
      </w:r>
      <w:r>
        <w:t>pour</w:t>
      </w:r>
      <w:r w:rsidRPr="002C4077">
        <w:t xml:space="preserve"> </w:t>
      </w:r>
      <w:r>
        <w:t>l’intelligence</w:t>
      </w:r>
      <w:r w:rsidRPr="002C4077">
        <w:t xml:space="preserve"> </w:t>
      </w:r>
      <w:r>
        <w:t>de</w:t>
      </w:r>
      <w:r w:rsidRPr="002C4077">
        <w:t xml:space="preserve"> </w:t>
      </w:r>
      <w:r>
        <w:t>l’oracle</w:t>
      </w:r>
      <w:r w:rsidRPr="002C4077">
        <w:t xml:space="preserve"> </w:t>
      </w:r>
      <w:r>
        <w:t>de</w:t>
      </w:r>
      <w:r w:rsidRPr="002C4077">
        <w:t xml:space="preserve"> </w:t>
      </w:r>
      <w:r w:rsidR="00D40830" w:rsidRPr="00D40830">
        <w:t>l’</w:t>
      </w:r>
      <w:r w:rsidR="00D40830" w:rsidRPr="00D05EA9">
        <w:rPr>
          <w:rStyle w:val="italicus"/>
        </w:rPr>
        <w:t>῾almah</w:t>
      </w:r>
      <w:r w:rsidRPr="000A34B5">
        <w:rPr>
          <w:rStyle w:val="italicus"/>
        </w:rPr>
        <w:t>,</w:t>
      </w:r>
      <w:r w:rsidRPr="002C4077">
        <w:t xml:space="preserve"> </w:t>
      </w:r>
      <w:r>
        <w:t>oracle</w:t>
      </w:r>
      <w:r w:rsidRPr="002C4077">
        <w:t xml:space="preserve"> </w:t>
      </w:r>
      <w:r>
        <w:t>pacifique</w:t>
      </w:r>
      <w:r w:rsidRPr="002C4077">
        <w:t xml:space="preserve"> </w:t>
      </w:r>
      <w:r>
        <w:t>qui</w:t>
      </w:r>
      <w:r w:rsidRPr="002C4077">
        <w:t xml:space="preserve"> </w:t>
      </w:r>
      <w:r>
        <w:t>débute</w:t>
      </w:r>
      <w:r w:rsidRPr="002C4077">
        <w:t xml:space="preserve"> </w:t>
      </w:r>
      <w:r>
        <w:t>si</w:t>
      </w:r>
      <w:r w:rsidRPr="002C4077">
        <w:t xml:space="preserve"> </w:t>
      </w:r>
      <w:r>
        <w:t>étrangement</w:t>
      </w:r>
      <w:r w:rsidRPr="002C4077">
        <w:t xml:space="preserve"> </w:t>
      </w:r>
      <w:r>
        <w:t>par</w:t>
      </w:r>
      <w:r w:rsidRPr="002C4077">
        <w:t xml:space="preserve"> </w:t>
      </w:r>
      <w:r>
        <w:t>le</w:t>
      </w:r>
      <w:r w:rsidRPr="002C4077">
        <w:t xml:space="preserve"> </w:t>
      </w:r>
      <w:r w:rsidR="00C577F1">
        <w:t>cliquetis</w:t>
      </w:r>
      <w:r w:rsidRPr="002C4077">
        <w:t xml:space="preserve"> </w:t>
      </w:r>
      <w:r>
        <w:t>des</w:t>
      </w:r>
      <w:r w:rsidRPr="002C4077">
        <w:t xml:space="preserve"> </w:t>
      </w:r>
      <w:r>
        <w:t>armes.</w:t>
      </w:r>
      <w:r w:rsidRPr="002C4077">
        <w:t xml:space="preserve"> </w:t>
      </w:r>
    </w:p>
    <w:p w:rsidR="000A7AAB" w:rsidRDefault="000A7AAB" w:rsidP="000A7AAB">
      <w:r>
        <w:t>Les</w:t>
      </w:r>
      <w:r w:rsidRPr="002C4077">
        <w:t xml:space="preserve"> </w:t>
      </w:r>
      <w:r>
        <w:t>mots</w:t>
      </w:r>
      <w:r w:rsidRPr="002C4077">
        <w:t xml:space="preserve"> </w:t>
      </w:r>
      <w:r w:rsidR="007F2CD7" w:rsidRPr="000A34B5">
        <w:rPr>
          <w:rStyle w:val="italicus"/>
        </w:rPr>
        <w:t>non</w:t>
      </w:r>
      <w:r w:rsidR="007F2CD7" w:rsidRPr="002C4077">
        <w:t xml:space="preserve"> </w:t>
      </w:r>
      <w:r w:rsidR="007F2CD7" w:rsidRPr="000A34B5">
        <w:rPr>
          <w:rStyle w:val="italicus"/>
        </w:rPr>
        <w:t>pot</w:t>
      </w:r>
      <w:r w:rsidR="007F2CD7">
        <w:rPr>
          <w:rStyle w:val="italicus"/>
        </w:rPr>
        <w:t>u</w:t>
      </w:r>
      <w:r w:rsidR="007F2CD7" w:rsidRPr="000A34B5">
        <w:rPr>
          <w:rStyle w:val="italicus"/>
        </w:rPr>
        <w:t>érunt</w:t>
      </w:r>
      <w:r w:rsidRPr="002C4077">
        <w:t xml:space="preserve"> </w:t>
      </w:r>
      <w:r w:rsidRPr="000A34B5">
        <w:rPr>
          <w:rStyle w:val="italicus"/>
        </w:rPr>
        <w:t>deb</w:t>
      </w:r>
      <w:r w:rsidR="003B53FD" w:rsidRPr="000A34B5">
        <w:rPr>
          <w:rStyle w:val="italicus"/>
        </w:rPr>
        <w:t>ell</w:t>
      </w:r>
      <w:r w:rsidR="003B53FD">
        <w:rPr>
          <w:rStyle w:val="italicus"/>
        </w:rPr>
        <w:t>á</w:t>
      </w:r>
      <w:r w:rsidR="003B53FD" w:rsidRPr="000A34B5">
        <w:rPr>
          <w:rStyle w:val="italicus"/>
        </w:rPr>
        <w:t>re</w:t>
      </w:r>
      <w:r w:rsidRPr="002C4077">
        <w:t xml:space="preserve"> </w:t>
      </w:r>
      <w:r w:rsidRPr="000A34B5">
        <w:rPr>
          <w:rStyle w:val="italicus"/>
        </w:rPr>
        <w:t>eam,</w:t>
      </w:r>
      <w:r w:rsidRPr="002C4077">
        <w:t xml:space="preserve"> </w:t>
      </w:r>
      <w:r>
        <w:t>qui</w:t>
      </w:r>
      <w:r w:rsidRPr="002C4077">
        <w:t xml:space="preserve"> </w:t>
      </w:r>
      <w:r>
        <w:t>terminent</w:t>
      </w:r>
      <w:r w:rsidRPr="002C4077">
        <w:t xml:space="preserve"> </w:t>
      </w:r>
      <w:r>
        <w:t>le</w:t>
      </w:r>
      <w:r w:rsidRPr="002C4077">
        <w:t xml:space="preserve"> </w:t>
      </w:r>
      <w:r>
        <w:t>premier</w:t>
      </w:r>
      <w:r w:rsidRPr="002C4077">
        <w:t xml:space="preserve"> </w:t>
      </w:r>
      <w:r>
        <w:t>verset</w:t>
      </w:r>
      <w:r w:rsidRPr="002C4077">
        <w:t xml:space="preserve"> </w:t>
      </w:r>
      <w:r>
        <w:t>du</w:t>
      </w:r>
      <w:r w:rsidRPr="002C4077">
        <w:t xml:space="preserve"> </w:t>
      </w:r>
      <w:r w:rsidR="00C577F1">
        <w:t>chapitre</w:t>
      </w:r>
      <w:r w:rsidR="00C577F1" w:rsidRPr="002C4077">
        <w:t xml:space="preserve"> </w:t>
      </w:r>
      <w:r w:rsidR="00C577F1">
        <w:t>VII</w:t>
      </w:r>
      <w:r w:rsidRPr="002C4077">
        <w:t xml:space="preserve"> </w:t>
      </w:r>
      <w:r>
        <w:t>d’Isaïe,</w:t>
      </w:r>
      <w:r w:rsidRPr="002C4077">
        <w:t xml:space="preserve"> </w:t>
      </w:r>
      <w:r>
        <w:t>sont</w:t>
      </w:r>
      <w:r w:rsidRPr="002C4077">
        <w:t xml:space="preserve"> </w:t>
      </w:r>
      <w:r>
        <w:t>d’heureux</w:t>
      </w:r>
      <w:r w:rsidRPr="002C4077">
        <w:t xml:space="preserve"> </w:t>
      </w:r>
      <w:r>
        <w:t>augure</w:t>
      </w:r>
      <w:r w:rsidRPr="002C4077">
        <w:t xml:space="preserve"> </w:t>
      </w:r>
      <w:r>
        <w:t>pour</w:t>
      </w:r>
      <w:r w:rsidRPr="002C4077">
        <w:t xml:space="preserve"> </w:t>
      </w:r>
      <w:r>
        <w:t>la</w:t>
      </w:r>
      <w:r w:rsidRPr="002C4077">
        <w:t xml:space="preserve"> </w:t>
      </w:r>
      <w:r>
        <w:t>suite</w:t>
      </w:r>
      <w:r w:rsidRPr="002C4077">
        <w:t xml:space="preserve"> </w:t>
      </w:r>
      <w:r>
        <w:t>de</w:t>
      </w:r>
      <w:r w:rsidRPr="002C4077">
        <w:t xml:space="preserve"> </w:t>
      </w:r>
      <w:r>
        <w:t>la</w:t>
      </w:r>
      <w:r w:rsidRPr="002C4077">
        <w:t xml:space="preserve"> </w:t>
      </w:r>
      <w:r>
        <w:t>narration.</w:t>
      </w:r>
      <w:r w:rsidRPr="002C4077">
        <w:t xml:space="preserve"> </w:t>
      </w:r>
      <w:r>
        <w:t>L’écrivain</w:t>
      </w:r>
      <w:r w:rsidRPr="002C4077">
        <w:t xml:space="preserve"> </w:t>
      </w:r>
      <w:r>
        <w:t>sacré</w:t>
      </w:r>
      <w:r w:rsidRPr="002C4077">
        <w:t xml:space="preserve"> </w:t>
      </w:r>
      <w:r>
        <w:t>indique</w:t>
      </w:r>
      <w:r w:rsidRPr="002C4077">
        <w:t xml:space="preserve"> </w:t>
      </w:r>
      <w:r>
        <w:t>ainsi,</w:t>
      </w:r>
      <w:r w:rsidRPr="002C4077">
        <w:t xml:space="preserve"> </w:t>
      </w:r>
      <w:r>
        <w:t>d’une</w:t>
      </w:r>
      <w:r w:rsidRPr="002C4077">
        <w:t xml:space="preserve"> </w:t>
      </w:r>
      <w:r>
        <w:t>manière</w:t>
      </w:r>
      <w:r w:rsidRPr="002C4077">
        <w:t xml:space="preserve"> </w:t>
      </w:r>
      <w:r>
        <w:t>anticipée,</w:t>
      </w:r>
      <w:r w:rsidRPr="002C4077">
        <w:t xml:space="preserve"> </w:t>
      </w:r>
      <w:r>
        <w:t>que</w:t>
      </w:r>
      <w:r w:rsidRPr="002C4077">
        <w:t xml:space="preserve"> </w:t>
      </w:r>
      <w:r>
        <w:t>Rasin</w:t>
      </w:r>
      <w:r w:rsidRPr="002C4077">
        <w:t xml:space="preserve"> </w:t>
      </w:r>
      <w:r>
        <w:t>et</w:t>
      </w:r>
      <w:r w:rsidRPr="002C4077">
        <w:t xml:space="preserve"> </w:t>
      </w:r>
      <w:r>
        <w:t>Phacée</w:t>
      </w:r>
      <w:r w:rsidRPr="002C4077">
        <w:t xml:space="preserve"> </w:t>
      </w:r>
      <w:r>
        <w:t>furent</w:t>
      </w:r>
      <w:r w:rsidRPr="002C4077">
        <w:t xml:space="preserve"> </w:t>
      </w:r>
      <w:r>
        <w:t>déçus</w:t>
      </w:r>
      <w:r w:rsidRPr="002C4077">
        <w:t xml:space="preserve"> </w:t>
      </w:r>
      <w:r>
        <w:t>dans</w:t>
      </w:r>
      <w:r w:rsidRPr="002C4077">
        <w:t xml:space="preserve"> </w:t>
      </w:r>
      <w:r>
        <w:t>ce</w:t>
      </w:r>
      <w:r w:rsidRPr="002C4077">
        <w:t xml:space="preserve"> </w:t>
      </w:r>
      <w:r>
        <w:t>qui</w:t>
      </w:r>
      <w:r w:rsidRPr="002C4077">
        <w:t xml:space="preserve"> </w:t>
      </w:r>
      <w:r>
        <w:t>formait</w:t>
      </w:r>
      <w:r w:rsidRPr="002C4077">
        <w:t xml:space="preserve"> </w:t>
      </w:r>
      <w:r>
        <w:t>l’objet</w:t>
      </w:r>
      <w:r w:rsidRPr="002C4077">
        <w:t xml:space="preserve"> </w:t>
      </w:r>
      <w:r>
        <w:t>principal</w:t>
      </w:r>
      <w:r w:rsidRPr="002C4077">
        <w:t xml:space="preserve"> </w:t>
      </w:r>
      <w:r>
        <w:t>de</w:t>
      </w:r>
      <w:r w:rsidRPr="002C4077">
        <w:t xml:space="preserve"> </w:t>
      </w:r>
      <w:r>
        <w:t>leurs</w:t>
      </w:r>
      <w:r w:rsidRPr="002C4077">
        <w:t xml:space="preserve"> </w:t>
      </w:r>
      <w:r>
        <w:t>plans</w:t>
      </w:r>
      <w:r w:rsidRPr="004440EA">
        <w:t xml:space="preserve"> (</w:t>
      </w:r>
      <w:r>
        <w:t>verset</w:t>
      </w:r>
      <w:r w:rsidRPr="002C4077">
        <w:t xml:space="preserve"> </w:t>
      </w:r>
      <w:r>
        <w:t>6</w:t>
      </w:r>
      <w:r w:rsidR="00B546AF" w:rsidRPr="002C4077">
        <w:t>)</w:t>
      </w:r>
      <w:r>
        <w:t>.</w:t>
      </w:r>
      <w:r w:rsidR="00C45B47">
        <w:t xml:space="preserve"> {</w:t>
      </w:r>
      <w:r w:rsidR="000721C4">
        <w:t>5</w:t>
      </w:r>
      <w:bookmarkStart w:id="25" w:name="p005"/>
      <w:bookmarkEnd w:id="25"/>
      <w:r w:rsidR="000721C4">
        <w:t xml:space="preserve">} </w:t>
      </w:r>
      <w:r w:rsidR="007F2CD7">
        <w:t>Gesenius</w:t>
      </w:r>
      <w:r>
        <w:t>,</w:t>
      </w:r>
      <w:r w:rsidRPr="002C4077">
        <w:t xml:space="preserve"> </w:t>
      </w:r>
      <w:r>
        <w:t>qui</w:t>
      </w:r>
      <w:r w:rsidRPr="002C4077">
        <w:t xml:space="preserve"> </w:t>
      </w:r>
      <w:r>
        <w:t>n’a</w:t>
      </w:r>
      <w:r w:rsidRPr="002C4077">
        <w:t xml:space="preserve"> </w:t>
      </w:r>
      <w:r>
        <w:t>pas</w:t>
      </w:r>
      <w:r w:rsidRPr="002C4077">
        <w:t xml:space="preserve"> </w:t>
      </w:r>
      <w:r>
        <w:t>voulu</w:t>
      </w:r>
      <w:r w:rsidRPr="002C4077">
        <w:t xml:space="preserve"> </w:t>
      </w:r>
      <w:r>
        <w:t>comprendre</w:t>
      </w:r>
      <w:r w:rsidRPr="002C4077">
        <w:t xml:space="preserve"> </w:t>
      </w:r>
      <w:r>
        <w:t>cette</w:t>
      </w:r>
      <w:r w:rsidRPr="002C4077">
        <w:t xml:space="preserve"> </w:t>
      </w:r>
      <w:r>
        <w:t>anticipation,</w:t>
      </w:r>
      <w:r w:rsidRPr="002C4077">
        <w:t xml:space="preserve"> </w:t>
      </w:r>
      <w:r>
        <w:t>quoiqu’on</w:t>
      </w:r>
      <w:r w:rsidRPr="002C4077">
        <w:t xml:space="preserve"> </w:t>
      </w:r>
      <w:r>
        <w:t>en</w:t>
      </w:r>
      <w:r w:rsidRPr="002C4077">
        <w:t xml:space="preserve"> </w:t>
      </w:r>
      <w:r>
        <w:t>trouve</w:t>
      </w:r>
      <w:r w:rsidRPr="002C4077">
        <w:t xml:space="preserve"> </w:t>
      </w:r>
      <w:r>
        <w:t>de</w:t>
      </w:r>
      <w:r w:rsidRPr="002C4077">
        <w:t xml:space="preserve"> </w:t>
      </w:r>
      <w:r>
        <w:t>fréquents</w:t>
      </w:r>
      <w:r w:rsidRPr="002C4077">
        <w:t xml:space="preserve"> </w:t>
      </w:r>
      <w:r>
        <w:t>exemples</w:t>
      </w:r>
      <w:r w:rsidRPr="002C4077">
        <w:t xml:space="preserve"> </w:t>
      </w:r>
      <w:r>
        <w:t>chez</w:t>
      </w:r>
      <w:r w:rsidRPr="002C4077">
        <w:t xml:space="preserve"> </w:t>
      </w:r>
      <w:r>
        <w:t>les</w:t>
      </w:r>
      <w:r w:rsidRPr="002C4077">
        <w:t xml:space="preserve"> </w:t>
      </w:r>
      <w:r>
        <w:t>écrivains</w:t>
      </w:r>
      <w:r w:rsidRPr="002C4077">
        <w:t xml:space="preserve"> </w:t>
      </w:r>
      <w:r>
        <w:t>de</w:t>
      </w:r>
      <w:r w:rsidRPr="002C4077">
        <w:t xml:space="preserve"> </w:t>
      </w:r>
      <w:r>
        <w:t>l’Orient</w:t>
      </w:r>
      <w:r w:rsidR="00B91AF7">
        <w:rPr>
          <w:rStyle w:val="Appelnotedebasdep"/>
        </w:rPr>
        <w:footnoteReference w:id="13"/>
      </w:r>
      <w:r>
        <w:t>,</w:t>
      </w:r>
      <w:r w:rsidRPr="002C4077">
        <w:t xml:space="preserve"> </w:t>
      </w:r>
      <w:r>
        <w:t>a</w:t>
      </w:r>
      <w:r w:rsidRPr="002C4077">
        <w:t xml:space="preserve"> </w:t>
      </w:r>
      <w:r>
        <w:t>conclu</w:t>
      </w:r>
      <w:r w:rsidRPr="002C4077">
        <w:t xml:space="preserve"> </w:t>
      </w:r>
      <w:r>
        <w:t>de</w:t>
      </w:r>
      <w:r w:rsidRPr="002C4077">
        <w:t xml:space="preserve"> </w:t>
      </w:r>
      <w:r>
        <w:t>là</w:t>
      </w:r>
      <w:r w:rsidRPr="002C4077">
        <w:t xml:space="preserve"> </w:t>
      </w:r>
      <w:r>
        <w:t>que</w:t>
      </w:r>
      <w:r w:rsidRPr="002C4077">
        <w:t xml:space="preserve"> </w:t>
      </w:r>
      <w:r>
        <w:t>les</w:t>
      </w:r>
      <w:r w:rsidRPr="002C4077">
        <w:t xml:space="preserve"> </w:t>
      </w:r>
      <w:r>
        <w:t>versets</w:t>
      </w:r>
      <w:r w:rsidRPr="002C4077">
        <w:t xml:space="preserve"> </w:t>
      </w:r>
      <w:r>
        <w:t>1-16</w:t>
      </w:r>
      <w:r w:rsidRPr="002C4077">
        <w:t xml:space="preserve"> </w:t>
      </w:r>
      <w:r>
        <w:t>n’ont</w:t>
      </w:r>
      <w:r w:rsidRPr="002C4077">
        <w:t xml:space="preserve"> </w:t>
      </w:r>
      <w:r>
        <w:t>pas</w:t>
      </w:r>
      <w:r w:rsidRPr="002C4077">
        <w:t xml:space="preserve"> </w:t>
      </w:r>
      <w:r>
        <w:t>été</w:t>
      </w:r>
      <w:r w:rsidRPr="002C4077">
        <w:t xml:space="preserve"> </w:t>
      </w:r>
      <w:r>
        <w:t>rédigés</w:t>
      </w:r>
      <w:r w:rsidRPr="002C4077">
        <w:t xml:space="preserve"> </w:t>
      </w:r>
      <w:r>
        <w:t>par</w:t>
      </w:r>
      <w:r w:rsidRPr="002C4077">
        <w:t xml:space="preserve"> </w:t>
      </w:r>
      <w:r>
        <w:t>Isa</w:t>
      </w:r>
      <w:r w:rsidR="00F6492C">
        <w:t>ïe</w:t>
      </w:r>
      <w:r w:rsidR="00F6492C">
        <w:rPr>
          <w:rStyle w:val="Appelnotedebasdep"/>
        </w:rPr>
        <w:footnoteReference w:id="14"/>
      </w:r>
      <w:r w:rsidR="00F6492C">
        <w:t>.</w:t>
      </w:r>
      <w:r w:rsidRPr="002C4077">
        <w:t xml:space="preserve"> </w:t>
      </w:r>
      <w:r>
        <w:t>Nous</w:t>
      </w:r>
      <w:r w:rsidRPr="002C4077">
        <w:t xml:space="preserve"> </w:t>
      </w:r>
      <w:r>
        <w:t>verrons</w:t>
      </w:r>
      <w:r w:rsidRPr="002C4077">
        <w:t xml:space="preserve"> </w:t>
      </w:r>
      <w:r>
        <w:t>bientôt</w:t>
      </w:r>
      <w:r w:rsidRPr="002C4077">
        <w:t xml:space="preserve"> </w:t>
      </w:r>
      <w:r>
        <w:t>quel</w:t>
      </w:r>
      <w:r w:rsidRPr="002C4077">
        <w:t xml:space="preserve"> </w:t>
      </w:r>
      <w:r>
        <w:t>intérêt</w:t>
      </w:r>
      <w:r w:rsidRPr="002C4077">
        <w:t xml:space="preserve"> </w:t>
      </w:r>
      <w:r>
        <w:t>particulier</w:t>
      </w:r>
      <w:r w:rsidRPr="002C4077">
        <w:t xml:space="preserve"> </w:t>
      </w:r>
      <w:r>
        <w:t>l’a</w:t>
      </w:r>
      <w:r w:rsidRPr="002C4077">
        <w:t xml:space="preserve"> </w:t>
      </w:r>
      <w:r>
        <w:t>poussé</w:t>
      </w:r>
      <w:r w:rsidRPr="002C4077">
        <w:t xml:space="preserve"> </w:t>
      </w:r>
      <w:r>
        <w:t>à</w:t>
      </w:r>
      <w:r w:rsidRPr="002C4077">
        <w:t xml:space="preserve"> </w:t>
      </w:r>
      <w:r>
        <w:t>infirmer,</w:t>
      </w:r>
      <w:r w:rsidRPr="002C4077">
        <w:t xml:space="preserve"> </w:t>
      </w:r>
      <w:r>
        <w:t>autant</w:t>
      </w:r>
      <w:r w:rsidRPr="002C4077">
        <w:t xml:space="preserve"> </w:t>
      </w:r>
      <w:r>
        <w:t>que</w:t>
      </w:r>
      <w:r w:rsidRPr="002C4077">
        <w:t xml:space="preserve"> </w:t>
      </w:r>
      <w:r>
        <w:t>possible,</w:t>
      </w:r>
      <w:r w:rsidRPr="002C4077">
        <w:t xml:space="preserve"> </w:t>
      </w:r>
      <w:r>
        <w:t>l’autorité</w:t>
      </w:r>
      <w:r w:rsidRPr="002C4077">
        <w:t xml:space="preserve"> </w:t>
      </w:r>
      <w:r>
        <w:t>de</w:t>
      </w:r>
      <w:r w:rsidRPr="002C4077">
        <w:t xml:space="preserve"> </w:t>
      </w:r>
      <w:r>
        <w:t>tout</w:t>
      </w:r>
      <w:r w:rsidRPr="002C4077">
        <w:t xml:space="preserve"> </w:t>
      </w:r>
      <w:r>
        <w:t>ce</w:t>
      </w:r>
      <w:r w:rsidRPr="002C4077">
        <w:t xml:space="preserve"> </w:t>
      </w:r>
      <w:r>
        <w:t>passage.</w:t>
      </w:r>
      <w:r w:rsidRPr="002C4077">
        <w:t xml:space="preserve"> </w:t>
      </w:r>
      <w:r>
        <w:t>Au</w:t>
      </w:r>
      <w:r w:rsidRPr="002C4077">
        <w:t xml:space="preserve"> </w:t>
      </w:r>
      <w:r>
        <w:t>reste,</w:t>
      </w:r>
      <w:r w:rsidRPr="002C4077">
        <w:t xml:space="preserve"> </w:t>
      </w:r>
      <w:r>
        <w:t>il</w:t>
      </w:r>
      <w:r w:rsidRPr="002C4077">
        <w:t xml:space="preserve"> </w:t>
      </w:r>
      <w:r w:rsidR="00425C50">
        <w:t>est</w:t>
      </w:r>
      <w:r w:rsidRPr="002C4077">
        <w:t xml:space="preserve"> </w:t>
      </w:r>
      <w:r>
        <w:t>seul</w:t>
      </w:r>
      <w:r w:rsidRPr="002C4077">
        <w:t xml:space="preserve"> </w:t>
      </w:r>
      <w:r>
        <w:t>de</w:t>
      </w:r>
      <w:r w:rsidRPr="002C4077">
        <w:t xml:space="preserve"> </w:t>
      </w:r>
      <w:r>
        <w:t>son</w:t>
      </w:r>
      <w:r w:rsidRPr="002C4077">
        <w:t xml:space="preserve"> </w:t>
      </w:r>
      <w:r>
        <w:t>avis,</w:t>
      </w:r>
      <w:r w:rsidRPr="002C4077">
        <w:t xml:space="preserve"> </w:t>
      </w:r>
      <w:r>
        <w:t>et</w:t>
      </w:r>
      <w:r w:rsidRPr="002C4077">
        <w:t xml:space="preserve"> </w:t>
      </w:r>
      <w:r>
        <w:t>il</w:t>
      </w:r>
      <w:r w:rsidRPr="002C4077">
        <w:t xml:space="preserve"> </w:t>
      </w:r>
      <w:r>
        <w:t>ne</w:t>
      </w:r>
      <w:r w:rsidRPr="002C4077">
        <w:t xml:space="preserve"> </w:t>
      </w:r>
      <w:r>
        <w:t>tarde</w:t>
      </w:r>
      <w:r w:rsidRPr="002C4077">
        <w:t xml:space="preserve"> </w:t>
      </w:r>
      <w:r>
        <w:t>pas</w:t>
      </w:r>
      <w:r w:rsidRPr="002C4077">
        <w:t xml:space="preserve"> </w:t>
      </w:r>
      <w:r>
        <w:t>à</w:t>
      </w:r>
      <w:r w:rsidRPr="002C4077">
        <w:t xml:space="preserve"> </w:t>
      </w:r>
      <w:r>
        <w:t>se</w:t>
      </w:r>
      <w:r w:rsidRPr="002C4077">
        <w:t xml:space="preserve"> </w:t>
      </w:r>
      <w:r>
        <w:t>contredire</w:t>
      </w:r>
      <w:r w:rsidRPr="002C4077">
        <w:t xml:space="preserve"> </w:t>
      </w:r>
      <w:r>
        <w:t>lui-même</w:t>
      </w:r>
      <w:r w:rsidRPr="002C4077">
        <w:t xml:space="preserve"> </w:t>
      </w:r>
      <w:r>
        <w:t>en</w:t>
      </w:r>
      <w:r w:rsidRPr="002C4077">
        <w:t xml:space="preserve"> </w:t>
      </w:r>
      <w:r>
        <w:t>admettant</w:t>
      </w:r>
      <w:r w:rsidRPr="002C4077">
        <w:t xml:space="preserve"> </w:t>
      </w:r>
      <w:r>
        <w:t>que</w:t>
      </w:r>
      <w:r w:rsidRPr="002C4077">
        <w:t xml:space="preserve"> </w:t>
      </w:r>
      <w:r>
        <w:t>la</w:t>
      </w:r>
      <w:r w:rsidRPr="002C4077">
        <w:t xml:space="preserve"> </w:t>
      </w:r>
      <w:r>
        <w:t>fin</w:t>
      </w:r>
      <w:r w:rsidRPr="002C4077">
        <w:t xml:space="preserve"> </w:t>
      </w:r>
      <w:r>
        <w:t>du</w:t>
      </w:r>
      <w:r w:rsidRPr="002C4077">
        <w:t xml:space="preserve"> </w:t>
      </w:r>
      <w:r>
        <w:t>chapitre</w:t>
      </w:r>
      <w:r w:rsidRPr="004440EA">
        <w:t xml:space="preserve"> (</w:t>
      </w:r>
      <w:r>
        <w:rPr>
          <w:smallCaps/>
        </w:rPr>
        <w:t>VII</w:t>
      </w:r>
      <w:r>
        <w:t>,</w:t>
      </w:r>
      <w:r w:rsidRPr="002C4077">
        <w:t xml:space="preserve"> </w:t>
      </w:r>
      <w:r>
        <w:t>17-25</w:t>
      </w:r>
      <w:r w:rsidR="00B546AF" w:rsidRPr="002C4077">
        <w:t>)</w:t>
      </w:r>
      <w:r w:rsidRPr="002C4077">
        <w:t xml:space="preserve"> </w:t>
      </w:r>
      <w:r>
        <w:t>doit</w:t>
      </w:r>
      <w:r w:rsidRPr="002C4077">
        <w:t xml:space="preserve"> </w:t>
      </w:r>
      <w:r>
        <w:lastRenderedPageBreak/>
        <w:t>être</w:t>
      </w:r>
      <w:r w:rsidRPr="002C4077">
        <w:t xml:space="preserve"> </w:t>
      </w:r>
      <w:r>
        <w:t>attribuée</w:t>
      </w:r>
      <w:r w:rsidRPr="002C4077">
        <w:t xml:space="preserve"> </w:t>
      </w:r>
      <w:r>
        <w:t>directement</w:t>
      </w:r>
      <w:r w:rsidRPr="002C4077">
        <w:t xml:space="preserve"> </w:t>
      </w:r>
      <w:r>
        <w:t>au</w:t>
      </w:r>
      <w:r w:rsidRPr="002C4077">
        <w:t xml:space="preserve"> </w:t>
      </w:r>
      <w:r>
        <w:t>prophète</w:t>
      </w:r>
      <w:r w:rsidR="00B546AF">
        <w:t> ;</w:t>
      </w:r>
      <w:r w:rsidRPr="002C4077">
        <w:t xml:space="preserve"> </w:t>
      </w:r>
      <w:r>
        <w:t>car</w:t>
      </w:r>
      <w:bookmarkStart w:id="26" w:name="z_Almah_o1"/>
      <w:bookmarkEnd w:id="26"/>
      <w:r w:rsidRPr="002C4077">
        <w:t xml:space="preserve"> </w:t>
      </w:r>
      <w:r>
        <w:t>le</w:t>
      </w:r>
      <w:r w:rsidRPr="002C4077">
        <w:t xml:space="preserve"> </w:t>
      </w:r>
      <w:r>
        <w:t>morceau</w:t>
      </w:r>
      <w:r w:rsidRPr="002C4077">
        <w:t xml:space="preserve"> </w:t>
      </w:r>
      <w:r>
        <w:t>dans</w:t>
      </w:r>
      <w:r w:rsidRPr="002C4077">
        <w:t xml:space="preserve"> </w:t>
      </w:r>
      <w:r>
        <w:t>son</w:t>
      </w:r>
      <w:r w:rsidRPr="002C4077">
        <w:t xml:space="preserve"> </w:t>
      </w:r>
      <w:r>
        <w:t>entier</w:t>
      </w:r>
      <w:r w:rsidRPr="002C4077">
        <w:t xml:space="preserve"> </w:t>
      </w:r>
      <w:r>
        <w:t>forme</w:t>
      </w:r>
      <w:r w:rsidRPr="002C4077">
        <w:t xml:space="preserve"> </w:t>
      </w:r>
      <w:r>
        <w:t>une</w:t>
      </w:r>
      <w:r w:rsidRPr="002C4077">
        <w:t xml:space="preserve"> </w:t>
      </w:r>
      <w:r w:rsidR="007F2CD7" w:rsidRPr="000A34B5">
        <w:rPr>
          <w:rStyle w:val="italicus"/>
        </w:rPr>
        <w:t>túnica</w:t>
      </w:r>
      <w:r w:rsidRPr="002C4077">
        <w:t xml:space="preserve"> </w:t>
      </w:r>
      <w:r w:rsidR="007F2CD7" w:rsidRPr="000A34B5">
        <w:rPr>
          <w:rStyle w:val="italicus"/>
        </w:rPr>
        <w:t>inconsútilis</w:t>
      </w:r>
      <w:r w:rsidRPr="000A34B5">
        <w:rPr>
          <w:rStyle w:val="italicus"/>
        </w:rPr>
        <w:t>,</w:t>
      </w:r>
      <w:r w:rsidRPr="002C4077">
        <w:t xml:space="preserve"> </w:t>
      </w:r>
      <w:r>
        <w:t>ainsi</w:t>
      </w:r>
      <w:r w:rsidRPr="002C4077">
        <w:t xml:space="preserve"> </w:t>
      </w:r>
      <w:r>
        <w:t>qu’on</w:t>
      </w:r>
      <w:r w:rsidRPr="002C4077">
        <w:t xml:space="preserve"> </w:t>
      </w:r>
      <w:r>
        <w:t>pourra</w:t>
      </w:r>
      <w:r w:rsidRPr="002C4077">
        <w:t xml:space="preserve"> </w:t>
      </w:r>
      <w:r>
        <w:t>s’en</w:t>
      </w:r>
      <w:r w:rsidRPr="002C4077">
        <w:t xml:space="preserve"> </w:t>
      </w:r>
      <w:r>
        <w:t>convaincre</w:t>
      </w:r>
      <w:r w:rsidRPr="002C4077">
        <w:t xml:space="preserve"> </w:t>
      </w:r>
      <w:r>
        <w:t>par</w:t>
      </w:r>
      <w:r w:rsidRPr="002C4077">
        <w:t xml:space="preserve"> </w:t>
      </w:r>
      <w:r>
        <w:t>une</w:t>
      </w:r>
      <w:r w:rsidRPr="002C4077">
        <w:t xml:space="preserve"> </w:t>
      </w:r>
      <w:r>
        <w:t>lecture</w:t>
      </w:r>
      <w:r w:rsidRPr="002C4077">
        <w:t xml:space="preserve"> </w:t>
      </w:r>
      <w:r>
        <w:t>rapide.</w:t>
      </w:r>
      <w:r w:rsidRPr="002C4077">
        <w:t xml:space="preserve"> </w:t>
      </w:r>
      <w:r>
        <w:t>La</w:t>
      </w:r>
      <w:r w:rsidRPr="002C4077">
        <w:t xml:space="preserve"> </w:t>
      </w:r>
      <w:r>
        <w:t>note</w:t>
      </w:r>
      <w:r w:rsidRPr="002C4077">
        <w:t xml:space="preserve"> </w:t>
      </w:r>
      <w:r w:rsidRPr="000A34B5">
        <w:rPr>
          <w:rStyle w:val="italicus"/>
        </w:rPr>
        <w:t>non</w:t>
      </w:r>
      <w:r w:rsidRPr="002C4077">
        <w:t xml:space="preserve"> </w:t>
      </w:r>
      <w:r w:rsidRPr="000A34B5">
        <w:rPr>
          <w:rStyle w:val="italicus"/>
        </w:rPr>
        <w:t>potu</w:t>
      </w:r>
      <w:r w:rsidR="003B53FD">
        <w:rPr>
          <w:rStyle w:val="italicus"/>
        </w:rPr>
        <w:t>é</w:t>
      </w:r>
      <w:r w:rsidR="003B53FD" w:rsidRPr="000A34B5">
        <w:rPr>
          <w:rStyle w:val="italicus"/>
        </w:rPr>
        <w:t>runt</w:t>
      </w:r>
      <w:r w:rsidRPr="002C4077">
        <w:t xml:space="preserve"> </w:t>
      </w:r>
      <w:r w:rsidRPr="000A34B5">
        <w:rPr>
          <w:rStyle w:val="italicus"/>
        </w:rPr>
        <w:t>deb</w:t>
      </w:r>
      <w:r w:rsidR="003B53FD" w:rsidRPr="000A34B5">
        <w:rPr>
          <w:rStyle w:val="italicus"/>
        </w:rPr>
        <w:t>ell</w:t>
      </w:r>
      <w:r w:rsidR="003B53FD">
        <w:rPr>
          <w:rStyle w:val="italicus"/>
        </w:rPr>
        <w:t>á</w:t>
      </w:r>
      <w:r w:rsidR="003B53FD" w:rsidRPr="000A34B5">
        <w:rPr>
          <w:rStyle w:val="italicus"/>
        </w:rPr>
        <w:t>re</w:t>
      </w:r>
      <w:r w:rsidRPr="002C4077">
        <w:t xml:space="preserve"> </w:t>
      </w:r>
      <w:r w:rsidRPr="000A34B5">
        <w:rPr>
          <w:rStyle w:val="italicus"/>
        </w:rPr>
        <w:t>eam</w:t>
      </w:r>
      <w:r w:rsidRPr="002C4077">
        <w:t xml:space="preserve"> </w:t>
      </w:r>
      <w:r>
        <w:t>démontre</w:t>
      </w:r>
      <w:r w:rsidRPr="002C4077">
        <w:t xml:space="preserve"> </w:t>
      </w:r>
      <w:r>
        <w:t>donc</w:t>
      </w:r>
      <w:r w:rsidRPr="002C4077">
        <w:t xml:space="preserve"> </w:t>
      </w:r>
      <w:r>
        <w:t>simplement</w:t>
      </w:r>
      <w:r w:rsidRPr="002C4077">
        <w:t xml:space="preserve"> </w:t>
      </w:r>
      <w:r>
        <w:t>qu’</w:t>
      </w:r>
      <w:r w:rsidR="007F2CD7">
        <w:t>I</w:t>
      </w:r>
      <w:r>
        <w:t>saïe</w:t>
      </w:r>
      <w:r w:rsidRPr="002C4077">
        <w:t xml:space="preserve"> </w:t>
      </w:r>
      <w:r>
        <w:t>n’écrivit</w:t>
      </w:r>
      <w:r w:rsidRPr="002C4077">
        <w:t xml:space="preserve"> </w:t>
      </w:r>
      <w:r>
        <w:t>pas</w:t>
      </w:r>
      <w:r w:rsidRPr="002C4077">
        <w:t xml:space="preserve"> </w:t>
      </w:r>
      <w:r>
        <w:t>sur-le-champ</w:t>
      </w:r>
      <w:r w:rsidRPr="002C4077">
        <w:t xml:space="preserve"> </w:t>
      </w:r>
      <w:r>
        <w:t>le</w:t>
      </w:r>
      <w:r w:rsidRPr="002C4077">
        <w:t xml:space="preserve"> </w:t>
      </w:r>
      <w:r>
        <w:t>récit</w:t>
      </w:r>
      <w:r w:rsidRPr="002C4077">
        <w:t xml:space="preserve"> </w:t>
      </w:r>
      <w:r>
        <w:t>de</w:t>
      </w:r>
      <w:r w:rsidRPr="002C4077">
        <w:t xml:space="preserve"> </w:t>
      </w:r>
      <w:r>
        <w:t>son</w:t>
      </w:r>
      <w:r w:rsidRPr="002C4077">
        <w:t xml:space="preserve"> </w:t>
      </w:r>
      <w:r>
        <w:t>entrevue</w:t>
      </w:r>
      <w:r w:rsidRPr="002C4077">
        <w:t xml:space="preserve"> </w:t>
      </w:r>
      <w:r>
        <w:t>célèbre</w:t>
      </w:r>
      <w:r w:rsidRPr="002C4077">
        <w:t xml:space="preserve"> </w:t>
      </w:r>
      <w:r>
        <w:t>avec</w:t>
      </w:r>
      <w:r w:rsidRPr="002C4077">
        <w:t xml:space="preserve"> </w:t>
      </w:r>
      <w:r>
        <w:t>Achaz</w:t>
      </w:r>
      <w:r w:rsidR="007F2CD7">
        <w:rPr>
          <w:rStyle w:val="Appelnotedebasdep"/>
        </w:rPr>
        <w:footnoteReference w:id="15"/>
      </w:r>
      <w:r>
        <w:t>.</w:t>
      </w:r>
      <w:r w:rsidRPr="002C4077">
        <w:t xml:space="preserve"> </w:t>
      </w:r>
    </w:p>
    <w:p w:rsidR="000A7AAB" w:rsidRPr="000721C4" w:rsidRDefault="000A7AAB" w:rsidP="000A7AAB">
      <w:r>
        <w:t>Que</w:t>
      </w:r>
      <w:r w:rsidRPr="002C4077">
        <w:t xml:space="preserve"> </w:t>
      </w:r>
      <w:r>
        <w:t>le</w:t>
      </w:r>
      <w:r w:rsidRPr="002C4077">
        <w:t xml:space="preserve"> </w:t>
      </w:r>
      <w:r>
        <w:t>lecteur</w:t>
      </w:r>
      <w:r w:rsidRPr="002C4077">
        <w:t xml:space="preserve"> </w:t>
      </w:r>
      <w:r>
        <w:t>veuille</w:t>
      </w:r>
      <w:r w:rsidRPr="002C4077">
        <w:t xml:space="preserve"> </w:t>
      </w:r>
      <w:r>
        <w:t>bien</w:t>
      </w:r>
      <w:r w:rsidRPr="002C4077">
        <w:t xml:space="preserve"> </w:t>
      </w:r>
      <w:r>
        <w:t>n’être</w:t>
      </w:r>
      <w:r w:rsidRPr="002C4077">
        <w:t xml:space="preserve"> </w:t>
      </w:r>
      <w:r>
        <w:t>pas</w:t>
      </w:r>
      <w:r w:rsidRPr="002C4077">
        <w:t xml:space="preserve"> </w:t>
      </w:r>
      <w:r>
        <w:t>surpris,</w:t>
      </w:r>
      <w:r w:rsidRPr="002C4077">
        <w:t xml:space="preserve"> </w:t>
      </w:r>
      <w:r>
        <w:t>si</w:t>
      </w:r>
      <w:r w:rsidRPr="002C4077">
        <w:t xml:space="preserve"> </w:t>
      </w:r>
      <w:r>
        <w:t>nous</w:t>
      </w:r>
      <w:r w:rsidRPr="002C4077">
        <w:t xml:space="preserve"> </w:t>
      </w:r>
      <w:r>
        <w:t>nous</w:t>
      </w:r>
      <w:r w:rsidRPr="002C4077">
        <w:t xml:space="preserve"> </w:t>
      </w:r>
      <w:r>
        <w:t>arrêtons</w:t>
      </w:r>
      <w:r w:rsidRPr="002C4077">
        <w:t xml:space="preserve"> </w:t>
      </w:r>
      <w:r>
        <w:t>quelque</w:t>
      </w:r>
      <w:r w:rsidRPr="002C4077">
        <w:t xml:space="preserve"> </w:t>
      </w:r>
      <w:r>
        <w:t>peu</w:t>
      </w:r>
      <w:r w:rsidRPr="002C4077">
        <w:t xml:space="preserve"> </w:t>
      </w:r>
      <w:r>
        <w:t>sur</w:t>
      </w:r>
      <w:r w:rsidRPr="002C4077">
        <w:t xml:space="preserve"> </w:t>
      </w:r>
      <w:r>
        <w:t>ces</w:t>
      </w:r>
      <w:r w:rsidRPr="002C4077">
        <w:t xml:space="preserve"> </w:t>
      </w:r>
      <w:r>
        <w:t>circonstances</w:t>
      </w:r>
      <w:r w:rsidRPr="002C4077">
        <w:t xml:space="preserve"> </w:t>
      </w:r>
      <w:r>
        <w:t>préliminaires</w:t>
      </w:r>
      <w:bookmarkStart w:id="27" w:name="z_Almah_o6"/>
      <w:bookmarkEnd w:id="27"/>
      <w:r>
        <w:t>.</w:t>
      </w:r>
      <w:r w:rsidRPr="002C4077">
        <w:t xml:space="preserve"> </w:t>
      </w:r>
      <w:r>
        <w:t>On</w:t>
      </w:r>
      <w:r w:rsidRPr="002C4077">
        <w:t xml:space="preserve"> </w:t>
      </w:r>
      <w:r>
        <w:t>l’a</w:t>
      </w:r>
      <w:r w:rsidRPr="002C4077">
        <w:t xml:space="preserve"> </w:t>
      </w:r>
      <w:r>
        <w:t>dit</w:t>
      </w:r>
      <w:r w:rsidRPr="002C4077">
        <w:t xml:space="preserve"> </w:t>
      </w:r>
      <w:r>
        <w:t>justement,</w:t>
      </w:r>
      <w:r w:rsidRPr="002C4077">
        <w:t xml:space="preserve"> </w:t>
      </w:r>
      <w:r w:rsidR="00B546AF">
        <w:t>« </w:t>
      </w:r>
      <w:r>
        <w:t>elles</w:t>
      </w:r>
      <w:r w:rsidRPr="002C4077">
        <w:t xml:space="preserve"> </w:t>
      </w:r>
      <w:r>
        <w:t>jettent</w:t>
      </w:r>
      <w:r w:rsidRPr="002C4077">
        <w:t xml:space="preserve"> </w:t>
      </w:r>
      <w:r>
        <w:t>beaucoup</w:t>
      </w:r>
      <w:r w:rsidRPr="002C4077">
        <w:t xml:space="preserve"> </w:t>
      </w:r>
      <w:r>
        <w:t>de</w:t>
      </w:r>
      <w:r w:rsidRPr="002C4077">
        <w:t xml:space="preserve"> </w:t>
      </w:r>
      <w:r>
        <w:t>clarté</w:t>
      </w:r>
      <w:r w:rsidRPr="002C4077">
        <w:t xml:space="preserve"> </w:t>
      </w:r>
      <w:r>
        <w:t>sur</w:t>
      </w:r>
      <w:r w:rsidRPr="002C4077">
        <w:t xml:space="preserve"> </w:t>
      </w:r>
      <w:r>
        <w:t>le</w:t>
      </w:r>
      <w:r w:rsidRPr="002C4077">
        <w:t xml:space="preserve"> </w:t>
      </w:r>
      <w:r>
        <w:t>sens</w:t>
      </w:r>
      <w:r w:rsidRPr="002C4077">
        <w:t xml:space="preserve"> </w:t>
      </w:r>
      <w:r>
        <w:t>de</w:t>
      </w:r>
      <w:r w:rsidRPr="002C4077">
        <w:t xml:space="preserve"> </w:t>
      </w:r>
      <w:r>
        <w:t>la</w:t>
      </w:r>
      <w:r w:rsidRPr="002C4077">
        <w:t xml:space="preserve"> </w:t>
      </w:r>
      <w:r>
        <w:t>prophétie</w:t>
      </w:r>
      <w:r w:rsidR="00B91AF7">
        <w:rPr>
          <w:rStyle w:val="Appelnotedebasdep"/>
        </w:rPr>
        <w:footnoteReference w:id="16"/>
      </w:r>
      <w:r w:rsidR="00B546AF">
        <w:t> » ;</w:t>
      </w:r>
      <w:r w:rsidRPr="002C4077">
        <w:t xml:space="preserve"> </w:t>
      </w:r>
      <w:r>
        <w:t>d’un</w:t>
      </w:r>
      <w:r w:rsidRPr="002C4077">
        <w:t xml:space="preserve"> </w:t>
      </w:r>
      <w:r>
        <w:t>autre</w:t>
      </w:r>
      <w:r w:rsidRPr="002C4077">
        <w:t xml:space="preserve"> </w:t>
      </w:r>
      <w:r>
        <w:t>côté,</w:t>
      </w:r>
      <w:r w:rsidRPr="002C4077">
        <w:t xml:space="preserve"> </w:t>
      </w:r>
      <w:r>
        <w:t>on</w:t>
      </w:r>
      <w:r w:rsidRPr="002C4077">
        <w:t xml:space="preserve"> </w:t>
      </w:r>
      <w:r>
        <w:t>vient</w:t>
      </w:r>
      <w:r w:rsidRPr="002C4077">
        <w:t xml:space="preserve"> </w:t>
      </w:r>
      <w:r>
        <w:t>de</w:t>
      </w:r>
      <w:r w:rsidRPr="002C4077">
        <w:t xml:space="preserve"> </w:t>
      </w:r>
      <w:r>
        <w:t>le</w:t>
      </w:r>
      <w:r w:rsidRPr="002C4077">
        <w:t xml:space="preserve"> </w:t>
      </w:r>
      <w:r>
        <w:t>voir,</w:t>
      </w:r>
      <w:r w:rsidRPr="002C4077">
        <w:t xml:space="preserve"> </w:t>
      </w:r>
      <w:r>
        <w:t>et</w:t>
      </w:r>
      <w:r w:rsidRPr="002C4077">
        <w:t xml:space="preserve"> </w:t>
      </w:r>
      <w:r>
        <w:t>cela</w:t>
      </w:r>
      <w:r w:rsidRPr="002C4077">
        <w:t xml:space="preserve"> </w:t>
      </w:r>
      <w:r>
        <w:t>paraîtra</w:t>
      </w:r>
      <w:r w:rsidRPr="002C4077">
        <w:t xml:space="preserve"> </w:t>
      </w:r>
      <w:r>
        <w:t>davantage</w:t>
      </w:r>
      <w:r w:rsidRPr="002C4077">
        <w:t xml:space="preserve"> </w:t>
      </w:r>
      <w:r>
        <w:t>encore</w:t>
      </w:r>
      <w:r w:rsidRPr="002C4077">
        <w:t xml:space="preserve"> </w:t>
      </w:r>
      <w:r>
        <w:t>dans</w:t>
      </w:r>
      <w:r w:rsidRPr="002C4077">
        <w:t xml:space="preserve"> </w:t>
      </w:r>
      <w:r>
        <w:t>quelques</w:t>
      </w:r>
      <w:r w:rsidRPr="002C4077">
        <w:t xml:space="preserve"> </w:t>
      </w:r>
      <w:r>
        <w:t>instants,</w:t>
      </w:r>
      <w:r w:rsidRPr="002C4077">
        <w:t xml:space="preserve"> </w:t>
      </w:r>
      <w:r>
        <w:t>nos</w:t>
      </w:r>
      <w:r w:rsidRPr="002C4077">
        <w:t xml:space="preserve"> </w:t>
      </w:r>
      <w:r>
        <w:t>adversaires</w:t>
      </w:r>
      <w:r w:rsidRPr="002C4077">
        <w:t xml:space="preserve"> </w:t>
      </w:r>
      <w:r>
        <w:t>nous</w:t>
      </w:r>
      <w:r w:rsidRPr="002C4077">
        <w:t xml:space="preserve"> </w:t>
      </w:r>
      <w:r>
        <w:t>font</w:t>
      </w:r>
      <w:r w:rsidRPr="002C4077">
        <w:t xml:space="preserve"> </w:t>
      </w:r>
      <w:r>
        <w:t>déjà</w:t>
      </w:r>
      <w:r w:rsidRPr="002C4077">
        <w:t xml:space="preserve"> </w:t>
      </w:r>
      <w:r>
        <w:t>sur</w:t>
      </w:r>
      <w:r w:rsidRPr="002C4077">
        <w:t xml:space="preserve"> </w:t>
      </w:r>
      <w:r>
        <w:t>ces</w:t>
      </w:r>
      <w:r w:rsidRPr="002C4077">
        <w:t xml:space="preserve"> </w:t>
      </w:r>
      <w:r>
        <w:t>détails</w:t>
      </w:r>
      <w:r w:rsidRPr="002C4077">
        <w:t xml:space="preserve"> </w:t>
      </w:r>
      <w:r>
        <w:t>d’introduction</w:t>
      </w:r>
      <w:r w:rsidRPr="002C4077">
        <w:t xml:space="preserve"> </w:t>
      </w:r>
      <w:r>
        <w:t>une</w:t>
      </w:r>
      <w:r w:rsidRPr="002C4077">
        <w:t xml:space="preserve"> </w:t>
      </w:r>
      <w:r>
        <w:t>guerre</w:t>
      </w:r>
      <w:r w:rsidRPr="002C4077">
        <w:t xml:space="preserve"> </w:t>
      </w:r>
      <w:r>
        <w:t>d’escarmouches,</w:t>
      </w:r>
      <w:r w:rsidRPr="002C4077">
        <w:t xml:space="preserve"> </w:t>
      </w:r>
      <w:r>
        <w:t>que</w:t>
      </w:r>
      <w:r w:rsidRPr="002C4077">
        <w:t xml:space="preserve"> </w:t>
      </w:r>
      <w:r>
        <w:t>nous</w:t>
      </w:r>
      <w:r w:rsidRPr="002C4077">
        <w:t xml:space="preserve"> </w:t>
      </w:r>
      <w:r>
        <w:t>devons</w:t>
      </w:r>
      <w:r w:rsidRPr="002C4077">
        <w:t xml:space="preserve"> </w:t>
      </w:r>
      <w:r>
        <w:t>repousser</w:t>
      </w:r>
      <w:r w:rsidRPr="002C4077">
        <w:t xml:space="preserve"> </w:t>
      </w:r>
      <w:r>
        <w:t>vaillamment</w:t>
      </w:r>
      <w:r w:rsidRPr="002C4077">
        <w:t xml:space="preserve"> </w:t>
      </w:r>
      <w:r>
        <w:t>en</w:t>
      </w:r>
      <w:r w:rsidRPr="002C4077">
        <w:t xml:space="preserve"> </w:t>
      </w:r>
      <w:r>
        <w:t>attendant</w:t>
      </w:r>
      <w:r w:rsidRPr="002C4077">
        <w:t xml:space="preserve"> </w:t>
      </w:r>
      <w:r>
        <w:t>la</w:t>
      </w:r>
      <w:r w:rsidRPr="002C4077">
        <w:t xml:space="preserve"> </w:t>
      </w:r>
      <w:r>
        <w:t>bataille</w:t>
      </w:r>
      <w:r w:rsidRPr="002C4077">
        <w:t xml:space="preserve"> </w:t>
      </w:r>
      <w:r>
        <w:t>décisive.</w:t>
      </w:r>
      <w:r w:rsidRPr="002C4077">
        <w:t xml:space="preserve"> </w:t>
      </w:r>
      <w:r>
        <w:t>Nous</w:t>
      </w:r>
      <w:r w:rsidRPr="002C4077">
        <w:t xml:space="preserve"> </w:t>
      </w:r>
      <w:r>
        <w:t>combattons</w:t>
      </w:r>
      <w:r w:rsidRPr="002C4077">
        <w:t xml:space="preserve"> </w:t>
      </w:r>
      <w:r w:rsidRPr="000A34B5">
        <w:rPr>
          <w:rStyle w:val="italicus"/>
        </w:rPr>
        <w:t>pro</w:t>
      </w:r>
      <w:r w:rsidRPr="002C4077">
        <w:t xml:space="preserve"> </w:t>
      </w:r>
      <w:r w:rsidRPr="000A34B5">
        <w:rPr>
          <w:rStyle w:val="italicus"/>
        </w:rPr>
        <w:t>aris,</w:t>
      </w:r>
      <w:r w:rsidRPr="002C4077">
        <w:t xml:space="preserve"> </w:t>
      </w:r>
      <w:r>
        <w:t>et,</w:t>
      </w:r>
      <w:r w:rsidRPr="002C4077">
        <w:t xml:space="preserve"> </w:t>
      </w:r>
      <w:r>
        <w:t>autant</w:t>
      </w:r>
      <w:r w:rsidRPr="002C4077">
        <w:t xml:space="preserve"> </w:t>
      </w:r>
      <w:r>
        <w:t>qu’il</w:t>
      </w:r>
      <w:r w:rsidRPr="002C4077">
        <w:t xml:space="preserve"> </w:t>
      </w:r>
      <w:r>
        <w:t>dépend</w:t>
      </w:r>
      <w:r w:rsidRPr="002C4077">
        <w:t xml:space="preserve"> </w:t>
      </w:r>
      <w:r>
        <w:t>de</w:t>
      </w:r>
      <w:r w:rsidRPr="002C4077">
        <w:t xml:space="preserve"> </w:t>
      </w:r>
      <w:r>
        <w:t>nos</w:t>
      </w:r>
      <w:r w:rsidRPr="002C4077">
        <w:t xml:space="preserve"> </w:t>
      </w:r>
      <w:r>
        <w:t>faibles</w:t>
      </w:r>
      <w:r w:rsidRPr="002C4077">
        <w:t xml:space="preserve"> </w:t>
      </w:r>
      <w:r>
        <w:t>forces,</w:t>
      </w:r>
      <w:r w:rsidRPr="002C4077">
        <w:t xml:space="preserve"> </w:t>
      </w:r>
      <w:r>
        <w:t>nous</w:t>
      </w:r>
      <w:r w:rsidRPr="002C4077">
        <w:t xml:space="preserve"> </w:t>
      </w:r>
      <w:r>
        <w:t>voulons</w:t>
      </w:r>
      <w:r w:rsidRPr="002C4077">
        <w:t xml:space="preserve"> </w:t>
      </w:r>
      <w:r>
        <w:t>que</w:t>
      </w:r>
      <w:r w:rsidRPr="002C4077">
        <w:t xml:space="preserve"> </w:t>
      </w:r>
      <w:r>
        <w:t>la</w:t>
      </w:r>
      <w:r w:rsidRPr="002C4077">
        <w:t xml:space="preserve"> </w:t>
      </w:r>
      <w:r>
        <w:t>victoire</w:t>
      </w:r>
      <w:r w:rsidRPr="002C4077">
        <w:t xml:space="preserve"> </w:t>
      </w:r>
      <w:r>
        <w:t>soit</w:t>
      </w:r>
      <w:r w:rsidRPr="002C4077">
        <w:t xml:space="preserve"> </w:t>
      </w:r>
      <w:r>
        <w:t>complète.</w:t>
      </w:r>
      <w:r w:rsidR="00C45B47">
        <w:t xml:space="preserve"> {</w:t>
      </w:r>
      <w:r w:rsidR="000721C4">
        <w:t>6</w:t>
      </w:r>
      <w:bookmarkStart w:id="28" w:name="p006"/>
      <w:bookmarkEnd w:id="28"/>
      <w:r w:rsidR="000721C4">
        <w:t xml:space="preserve">} </w:t>
      </w:r>
      <w:r w:rsidR="00793294">
        <w:t>&amp;&amp;</w:t>
      </w:r>
    </w:p>
    <w:p w:rsidR="000A7AAB" w:rsidRDefault="000A7AAB" w:rsidP="000A7AAB">
      <w:r>
        <w:t>Quand</w:t>
      </w:r>
      <w:r w:rsidRPr="002C4077">
        <w:t xml:space="preserve"> </w:t>
      </w:r>
      <w:r w:rsidR="00B546AF">
        <w:t>« </w:t>
      </w:r>
      <w:r>
        <w:t>la</w:t>
      </w:r>
      <w:r w:rsidRPr="002C4077">
        <w:t xml:space="preserve"> </w:t>
      </w:r>
      <w:r>
        <w:t>maison</w:t>
      </w:r>
      <w:r w:rsidRPr="002C4077">
        <w:t xml:space="preserve"> </w:t>
      </w:r>
      <w:r>
        <w:t>de</w:t>
      </w:r>
      <w:r w:rsidRPr="002C4077">
        <w:t xml:space="preserve"> </w:t>
      </w:r>
      <w:r>
        <w:t>David</w:t>
      </w:r>
      <w:r w:rsidR="00B546AF">
        <w:t> »</w:t>
      </w:r>
      <w:r>
        <w:t>,</w:t>
      </w:r>
      <w:r w:rsidRPr="002C4077">
        <w:t xml:space="preserve"> </w:t>
      </w:r>
      <w:r>
        <w:t>c’est-à-dire</w:t>
      </w:r>
      <w:r w:rsidRPr="002C4077">
        <w:t xml:space="preserve"> </w:t>
      </w:r>
      <w:r>
        <w:t>la</w:t>
      </w:r>
      <w:r w:rsidRPr="002C4077">
        <w:t xml:space="preserve"> </w:t>
      </w:r>
      <w:r>
        <w:t>famille</w:t>
      </w:r>
      <w:r w:rsidRPr="002C4077">
        <w:t xml:space="preserve"> </w:t>
      </w:r>
      <w:r>
        <w:t>royale,</w:t>
      </w:r>
      <w:r w:rsidRPr="002C4077">
        <w:t xml:space="preserve"> </w:t>
      </w:r>
      <w:r>
        <w:t>reçut</w:t>
      </w:r>
      <w:r w:rsidRPr="002C4077">
        <w:t xml:space="preserve"> </w:t>
      </w:r>
      <w:r>
        <w:t>ce</w:t>
      </w:r>
      <w:r w:rsidRPr="002C4077">
        <w:t xml:space="preserve"> </w:t>
      </w:r>
      <w:r>
        <w:t>funeste</w:t>
      </w:r>
      <w:r w:rsidRPr="002C4077">
        <w:t xml:space="preserve"> </w:t>
      </w:r>
      <w:r>
        <w:t>message</w:t>
      </w:r>
      <w:r w:rsidR="00B546AF">
        <w:t> :</w:t>
      </w:r>
      <w:r w:rsidRPr="002C4077">
        <w:t xml:space="preserve"> </w:t>
      </w:r>
      <w:r w:rsidRPr="000A34B5">
        <w:rPr>
          <w:rStyle w:val="italicus"/>
        </w:rPr>
        <w:t>Re</w:t>
      </w:r>
      <w:r w:rsidR="003B53FD" w:rsidRPr="000A34B5">
        <w:rPr>
          <w:rStyle w:val="italicus"/>
        </w:rPr>
        <w:t>qui</w:t>
      </w:r>
      <w:r w:rsidR="003B53FD">
        <w:rPr>
          <w:rStyle w:val="italicus"/>
        </w:rPr>
        <w:t>é</w:t>
      </w:r>
      <w:r w:rsidR="003B53FD" w:rsidRPr="000A34B5">
        <w:rPr>
          <w:rStyle w:val="italicus"/>
        </w:rPr>
        <w:t>vit</w:t>
      </w:r>
      <w:r w:rsidRPr="002C4077">
        <w:t xml:space="preserve"> </w:t>
      </w:r>
      <w:r w:rsidRPr="000A34B5">
        <w:rPr>
          <w:rStyle w:val="italicus"/>
        </w:rPr>
        <w:t>S</w:t>
      </w:r>
      <w:r w:rsidR="003B53FD">
        <w:rPr>
          <w:rStyle w:val="italicus"/>
        </w:rPr>
        <w:t>ý</w:t>
      </w:r>
      <w:r w:rsidR="003B53FD" w:rsidRPr="000A34B5">
        <w:rPr>
          <w:rStyle w:val="italicus"/>
        </w:rPr>
        <w:t>ria</w:t>
      </w:r>
      <w:r w:rsidRPr="002C4077">
        <w:t xml:space="preserve"> </w:t>
      </w:r>
      <w:r w:rsidRPr="000A34B5">
        <w:rPr>
          <w:rStyle w:val="italicus"/>
        </w:rPr>
        <w:t>super</w:t>
      </w:r>
      <w:r w:rsidRPr="002C4077">
        <w:t xml:space="preserve"> </w:t>
      </w:r>
      <w:r w:rsidR="007F2CD7" w:rsidRPr="000A34B5">
        <w:rPr>
          <w:rStyle w:val="italicus"/>
        </w:rPr>
        <w:t>Ephraím</w:t>
      </w:r>
      <w:r w:rsidR="007F2CD7">
        <w:rPr>
          <w:rStyle w:val="Appelnotedebasdep"/>
          <w:i/>
        </w:rPr>
        <w:footnoteReference w:id="17"/>
      </w:r>
      <w:r w:rsidR="007F2CD7">
        <w:rPr>
          <w:rStyle w:val="italicus"/>
        </w:rPr>
        <w:t>,</w:t>
      </w:r>
      <w:r w:rsidR="007F2CD7" w:rsidRPr="002C4077">
        <w:t xml:space="preserve"> </w:t>
      </w:r>
      <w:r>
        <w:t>une</w:t>
      </w:r>
      <w:r w:rsidRPr="002C4077">
        <w:t xml:space="preserve"> </w:t>
      </w:r>
      <w:r>
        <w:t>vive</w:t>
      </w:r>
      <w:r w:rsidRPr="002C4077">
        <w:t xml:space="preserve"> </w:t>
      </w:r>
      <w:r>
        <w:t>épouvante</w:t>
      </w:r>
      <w:r w:rsidRPr="002C4077">
        <w:t xml:space="preserve"> </w:t>
      </w:r>
      <w:r>
        <w:t>s’empara</w:t>
      </w:r>
      <w:r w:rsidRPr="002C4077">
        <w:t xml:space="preserve"> </w:t>
      </w:r>
      <w:r>
        <w:t>d’elle</w:t>
      </w:r>
      <w:r w:rsidRPr="002C4077">
        <w:t xml:space="preserve"> </w:t>
      </w:r>
      <w:r>
        <w:t>et</w:t>
      </w:r>
      <w:r w:rsidRPr="002C4077">
        <w:t xml:space="preserve"> </w:t>
      </w:r>
      <w:r>
        <w:t>de</w:t>
      </w:r>
      <w:r w:rsidRPr="002C4077">
        <w:t xml:space="preserve"> </w:t>
      </w:r>
      <w:r>
        <w:t>tous</w:t>
      </w:r>
      <w:r w:rsidRPr="002C4077">
        <w:t xml:space="preserve"> </w:t>
      </w:r>
      <w:r>
        <w:t>les</w:t>
      </w:r>
      <w:r w:rsidRPr="002C4077">
        <w:t xml:space="preserve"> </w:t>
      </w:r>
      <w:r>
        <w:t>habitants</w:t>
      </w:r>
      <w:r w:rsidRPr="002C4077">
        <w:t xml:space="preserve"> </w:t>
      </w:r>
      <w:r>
        <w:t>de</w:t>
      </w:r>
      <w:r w:rsidRPr="002C4077">
        <w:t xml:space="preserve"> </w:t>
      </w:r>
      <w:r>
        <w:t>Jérusalem.</w:t>
      </w:r>
      <w:r w:rsidRPr="002C4077">
        <w:t xml:space="preserve"> </w:t>
      </w:r>
      <w:r>
        <w:t>La</w:t>
      </w:r>
      <w:r w:rsidRPr="002C4077">
        <w:t xml:space="preserve"> </w:t>
      </w:r>
      <w:r>
        <w:t>Bible,</w:t>
      </w:r>
      <w:r w:rsidRPr="002C4077">
        <w:t xml:space="preserve"> </w:t>
      </w:r>
      <w:r>
        <w:t>qui</w:t>
      </w:r>
      <w:r w:rsidRPr="002C4077">
        <w:t xml:space="preserve"> </w:t>
      </w:r>
      <w:r>
        <w:t>pourrait</w:t>
      </w:r>
      <w:r w:rsidRPr="002C4077">
        <w:t xml:space="preserve"> </w:t>
      </w:r>
      <w:r>
        <w:t>donner</w:t>
      </w:r>
      <w:r w:rsidRPr="002C4077">
        <w:t xml:space="preserve"> </w:t>
      </w:r>
      <w:r>
        <w:t>des</w:t>
      </w:r>
      <w:r w:rsidRPr="002C4077">
        <w:t xml:space="preserve"> </w:t>
      </w:r>
      <w:r>
        <w:t>leçons</w:t>
      </w:r>
      <w:r w:rsidRPr="002C4077">
        <w:t xml:space="preserve"> </w:t>
      </w:r>
      <w:r>
        <w:t>de</w:t>
      </w:r>
      <w:r w:rsidRPr="002C4077">
        <w:t xml:space="preserve"> </w:t>
      </w:r>
      <w:r>
        <w:t>style</w:t>
      </w:r>
      <w:r w:rsidRPr="002C4077">
        <w:t xml:space="preserve"> </w:t>
      </w:r>
      <w:r>
        <w:t>même</w:t>
      </w:r>
      <w:r w:rsidRPr="002C4077">
        <w:t xml:space="preserve"> </w:t>
      </w:r>
      <w:r>
        <w:t>aux</w:t>
      </w:r>
      <w:r w:rsidRPr="002C4077">
        <w:t xml:space="preserve"> </w:t>
      </w:r>
      <w:r>
        <w:t>plus</w:t>
      </w:r>
      <w:r w:rsidRPr="002C4077">
        <w:t xml:space="preserve"> </w:t>
      </w:r>
      <w:r>
        <w:t>grands</w:t>
      </w:r>
      <w:r w:rsidRPr="002C4077">
        <w:t xml:space="preserve"> </w:t>
      </w:r>
      <w:r>
        <w:t>littérateurs,</w:t>
      </w:r>
      <w:r w:rsidRPr="002C4077">
        <w:t xml:space="preserve"> </w:t>
      </w:r>
      <w:r>
        <w:t>a</w:t>
      </w:r>
      <w:r w:rsidRPr="002C4077">
        <w:t xml:space="preserve"> </w:t>
      </w:r>
      <w:r>
        <w:t>une</w:t>
      </w:r>
      <w:r w:rsidRPr="002C4077">
        <w:t xml:space="preserve"> </w:t>
      </w:r>
      <w:r>
        <w:t>magnifique</w:t>
      </w:r>
      <w:r w:rsidRPr="002C4077">
        <w:t xml:space="preserve"> </w:t>
      </w:r>
      <w:r>
        <w:t>et</w:t>
      </w:r>
      <w:r w:rsidRPr="002C4077">
        <w:t xml:space="preserve"> </w:t>
      </w:r>
      <w:r>
        <w:t>vivante</w:t>
      </w:r>
      <w:r w:rsidRPr="002C4077">
        <w:t xml:space="preserve"> </w:t>
      </w:r>
      <w:r>
        <w:t>image</w:t>
      </w:r>
      <w:r w:rsidRPr="002C4077">
        <w:t xml:space="preserve"> </w:t>
      </w:r>
      <w:r>
        <w:t>pour</w:t>
      </w:r>
      <w:r w:rsidRPr="002C4077">
        <w:t xml:space="preserve"> </w:t>
      </w:r>
      <w:r>
        <w:t>décrire</w:t>
      </w:r>
      <w:r w:rsidRPr="002C4077">
        <w:t xml:space="preserve"> </w:t>
      </w:r>
      <w:r>
        <w:t>cet</w:t>
      </w:r>
      <w:r w:rsidRPr="002C4077">
        <w:t xml:space="preserve"> </w:t>
      </w:r>
      <w:r>
        <w:t>effroi</w:t>
      </w:r>
      <w:r w:rsidR="00B546AF">
        <w:t> :</w:t>
      </w:r>
      <w:r w:rsidRPr="002C4077">
        <w:t xml:space="preserve"> </w:t>
      </w:r>
      <w:r w:rsidR="007F2CD7" w:rsidRPr="000A34B5">
        <w:rPr>
          <w:rStyle w:val="italicus"/>
        </w:rPr>
        <w:t>Commótum</w:t>
      </w:r>
      <w:r w:rsidRPr="002C4077">
        <w:t xml:space="preserve"> </w:t>
      </w:r>
      <w:r w:rsidR="00425C50">
        <w:rPr>
          <w:rStyle w:val="italicus"/>
        </w:rPr>
        <w:t>est</w:t>
      </w:r>
      <w:r w:rsidRPr="002C4077">
        <w:t xml:space="preserve"> </w:t>
      </w:r>
      <w:r w:rsidRPr="000A34B5">
        <w:rPr>
          <w:rStyle w:val="italicus"/>
        </w:rPr>
        <w:t>cor</w:t>
      </w:r>
      <w:r w:rsidRPr="002C4077">
        <w:t xml:space="preserve"> </w:t>
      </w:r>
      <w:r w:rsidRPr="000A34B5">
        <w:rPr>
          <w:rStyle w:val="italicus"/>
        </w:rPr>
        <w:t>ejus,</w:t>
      </w:r>
      <w:r w:rsidRPr="002C4077">
        <w:t xml:space="preserve"> </w:t>
      </w:r>
      <w:r w:rsidRPr="000A34B5">
        <w:rPr>
          <w:rStyle w:val="italicus"/>
        </w:rPr>
        <w:t>et</w:t>
      </w:r>
      <w:r w:rsidRPr="002C4077">
        <w:t xml:space="preserve"> </w:t>
      </w:r>
      <w:r w:rsidRPr="000A34B5">
        <w:rPr>
          <w:rStyle w:val="italicus"/>
        </w:rPr>
        <w:t>cor</w:t>
      </w:r>
      <w:r w:rsidRPr="002C4077">
        <w:t xml:space="preserve"> </w:t>
      </w:r>
      <w:r w:rsidRPr="000A34B5">
        <w:rPr>
          <w:rStyle w:val="italicus"/>
        </w:rPr>
        <w:t>p</w:t>
      </w:r>
      <w:r w:rsidR="003B53FD">
        <w:rPr>
          <w:rStyle w:val="italicus"/>
        </w:rPr>
        <w:t>ó</w:t>
      </w:r>
      <w:r w:rsidR="003B53FD" w:rsidRPr="000A34B5">
        <w:rPr>
          <w:rStyle w:val="italicus"/>
        </w:rPr>
        <w:t>puli</w:t>
      </w:r>
      <w:r w:rsidRPr="002C4077">
        <w:t xml:space="preserve"> </w:t>
      </w:r>
      <w:r w:rsidRPr="000A34B5">
        <w:rPr>
          <w:rStyle w:val="italicus"/>
        </w:rPr>
        <w:t>ejus,</w:t>
      </w:r>
      <w:r w:rsidRPr="002C4077">
        <w:t xml:space="preserve"> </w:t>
      </w:r>
      <w:r w:rsidRPr="000A34B5">
        <w:rPr>
          <w:rStyle w:val="italicus"/>
        </w:rPr>
        <w:t>sicut</w:t>
      </w:r>
      <w:r w:rsidRPr="002C4077">
        <w:t xml:space="preserve"> </w:t>
      </w:r>
      <w:r w:rsidR="003B53FD" w:rsidRPr="000A34B5">
        <w:rPr>
          <w:rStyle w:val="italicus"/>
        </w:rPr>
        <w:t>mov</w:t>
      </w:r>
      <w:r w:rsidR="003B53FD">
        <w:rPr>
          <w:rStyle w:val="italicus"/>
        </w:rPr>
        <w:t>é</w:t>
      </w:r>
      <w:r w:rsidR="003B53FD" w:rsidRPr="000A34B5">
        <w:rPr>
          <w:rStyle w:val="italicus"/>
        </w:rPr>
        <w:t>ntur</w:t>
      </w:r>
      <w:r w:rsidRPr="002C4077">
        <w:t xml:space="preserve"> </w:t>
      </w:r>
      <w:r w:rsidRPr="000A34B5">
        <w:rPr>
          <w:rStyle w:val="italicus"/>
        </w:rPr>
        <w:t>ligna</w:t>
      </w:r>
      <w:r w:rsidRPr="002C4077">
        <w:t xml:space="preserve"> </w:t>
      </w:r>
      <w:r w:rsidRPr="000A34B5">
        <w:rPr>
          <w:rStyle w:val="italicus"/>
        </w:rPr>
        <w:t>silv</w:t>
      </w:r>
      <w:r w:rsidR="003B53FD">
        <w:rPr>
          <w:rStyle w:val="italicus"/>
        </w:rPr>
        <w:t>árum</w:t>
      </w:r>
      <w:r w:rsidRPr="002C4077">
        <w:t xml:space="preserve"> </w:t>
      </w:r>
      <w:r w:rsidRPr="000A34B5">
        <w:rPr>
          <w:rStyle w:val="italicus"/>
        </w:rPr>
        <w:t>a</w:t>
      </w:r>
      <w:r w:rsidRPr="002C4077">
        <w:t xml:space="preserve"> </w:t>
      </w:r>
      <w:r w:rsidR="007F2CD7" w:rsidRPr="000A34B5">
        <w:rPr>
          <w:rStyle w:val="italicus"/>
        </w:rPr>
        <w:t>fácie</w:t>
      </w:r>
      <w:r w:rsidRPr="002C4077">
        <w:t xml:space="preserve"> </w:t>
      </w:r>
      <w:r w:rsidRPr="000A34B5">
        <w:rPr>
          <w:rStyle w:val="italicus"/>
        </w:rPr>
        <w:t>ven</w:t>
      </w:r>
      <w:r w:rsidR="00F6492C" w:rsidRPr="000A34B5">
        <w:rPr>
          <w:rStyle w:val="italicus"/>
        </w:rPr>
        <w:t>ti</w:t>
      </w:r>
      <w:r w:rsidR="00F6492C">
        <w:rPr>
          <w:rStyle w:val="Appelnotedebasdep"/>
          <w:i/>
        </w:rPr>
        <w:footnoteReference w:id="18"/>
      </w:r>
      <w:r w:rsidR="00F6492C" w:rsidRPr="000A34B5">
        <w:rPr>
          <w:rStyle w:val="italicus"/>
        </w:rPr>
        <w:t>.</w:t>
      </w:r>
      <w:r w:rsidRPr="002C4077">
        <w:t xml:space="preserve"> </w:t>
      </w:r>
      <w:r>
        <w:t>Le</w:t>
      </w:r>
      <w:r w:rsidRPr="002C4077">
        <w:t xml:space="preserve"> </w:t>
      </w:r>
      <w:r>
        <w:t>Seigneur</w:t>
      </w:r>
      <w:r w:rsidRPr="002C4077">
        <w:t xml:space="preserve"> </w:t>
      </w:r>
      <w:r>
        <w:t>toutefois</w:t>
      </w:r>
      <w:r w:rsidRPr="002C4077">
        <w:t xml:space="preserve"> </w:t>
      </w:r>
      <w:r>
        <w:t>n’</w:t>
      </w:r>
      <w:r w:rsidR="003B53FD">
        <w:t>oublia</w:t>
      </w:r>
      <w:r w:rsidRPr="002C4077">
        <w:t xml:space="preserve"> </w:t>
      </w:r>
      <w:r>
        <w:t>pas</w:t>
      </w:r>
      <w:r w:rsidRPr="002C4077">
        <w:t xml:space="preserve"> </w:t>
      </w:r>
      <w:r>
        <w:t>les</w:t>
      </w:r>
      <w:r w:rsidRPr="002C4077">
        <w:t xml:space="preserve"> </w:t>
      </w:r>
      <w:r>
        <w:t>siens</w:t>
      </w:r>
      <w:r w:rsidRPr="002C4077">
        <w:t xml:space="preserve"> </w:t>
      </w:r>
      <w:r>
        <w:t>dans</w:t>
      </w:r>
      <w:r w:rsidRPr="002C4077">
        <w:t xml:space="preserve"> </w:t>
      </w:r>
      <w:r>
        <w:t>ce</w:t>
      </w:r>
      <w:r w:rsidRPr="002C4077">
        <w:t xml:space="preserve"> </w:t>
      </w:r>
      <w:r>
        <w:t>danger</w:t>
      </w:r>
      <w:r w:rsidRPr="002C4077">
        <w:t xml:space="preserve"> </w:t>
      </w:r>
      <w:r>
        <w:t>pressant.</w:t>
      </w:r>
      <w:r w:rsidRPr="002C4077">
        <w:t xml:space="preserve"> </w:t>
      </w:r>
      <w:r>
        <w:t>Se</w:t>
      </w:r>
      <w:r w:rsidRPr="002C4077">
        <w:t xml:space="preserve"> </w:t>
      </w:r>
      <w:r>
        <w:t>révélant</w:t>
      </w:r>
      <w:r w:rsidRPr="002C4077">
        <w:t xml:space="preserve"> </w:t>
      </w:r>
      <w:r>
        <w:t>à</w:t>
      </w:r>
      <w:r w:rsidRPr="002C4077">
        <w:t xml:space="preserve"> </w:t>
      </w:r>
      <w:r>
        <w:t>Isaïe,</w:t>
      </w:r>
      <w:r w:rsidRPr="002C4077">
        <w:t xml:space="preserve"> </w:t>
      </w:r>
      <w:r>
        <w:t>il</w:t>
      </w:r>
      <w:r w:rsidRPr="002C4077">
        <w:t xml:space="preserve"> </w:t>
      </w:r>
      <w:r>
        <w:t>lui</w:t>
      </w:r>
      <w:r w:rsidRPr="002C4077">
        <w:t xml:space="preserve"> </w:t>
      </w:r>
      <w:r>
        <w:t>dit</w:t>
      </w:r>
      <w:r w:rsidR="00B546AF">
        <w:t> :</w:t>
      </w:r>
      <w:r w:rsidRPr="002C4077">
        <w:t xml:space="preserve"> </w:t>
      </w:r>
      <w:r w:rsidR="00B546AF">
        <w:t>« </w:t>
      </w:r>
      <w:r>
        <w:t>Va</w:t>
      </w:r>
      <w:r w:rsidRPr="002C4077">
        <w:t xml:space="preserve"> </w:t>
      </w:r>
      <w:r>
        <w:t>au</w:t>
      </w:r>
      <w:r w:rsidRPr="002C4077">
        <w:t xml:space="preserve"> </w:t>
      </w:r>
      <w:r>
        <w:t>devant</w:t>
      </w:r>
      <w:r w:rsidRPr="002C4077">
        <w:t xml:space="preserve"> </w:t>
      </w:r>
      <w:r>
        <w:t>d’Achaz,</w:t>
      </w:r>
      <w:r w:rsidRPr="002C4077">
        <w:t xml:space="preserve"> </w:t>
      </w:r>
      <w:r>
        <w:t>toi</w:t>
      </w:r>
      <w:r w:rsidRPr="002C4077">
        <w:t xml:space="preserve"> </w:t>
      </w:r>
      <w:r>
        <w:t>et</w:t>
      </w:r>
      <w:r w:rsidRPr="002C4077">
        <w:t xml:space="preserve"> </w:t>
      </w:r>
      <w:r>
        <w:t>Schear-Iaschoub</w:t>
      </w:r>
      <w:bookmarkStart w:id="29" w:name="z_SchearIaschoub_o1"/>
      <w:bookmarkEnd w:id="29"/>
      <w:r w:rsidR="007F2CD7">
        <w:rPr>
          <w:rStyle w:val="Appelnotedebasdep"/>
        </w:rPr>
        <w:footnoteReference w:id="19"/>
      </w:r>
      <w:r>
        <w:t>,</w:t>
      </w:r>
      <w:r w:rsidRPr="002C4077">
        <w:t xml:space="preserve"> </w:t>
      </w:r>
      <w:r>
        <w:t>ton</w:t>
      </w:r>
      <w:r w:rsidRPr="002C4077">
        <w:t xml:space="preserve"> </w:t>
      </w:r>
      <w:r>
        <w:t>fils,</w:t>
      </w:r>
      <w:r w:rsidRPr="002C4077">
        <w:t xml:space="preserve"> </w:t>
      </w:r>
      <w:r>
        <w:t>vers</w:t>
      </w:r>
      <w:r w:rsidRPr="002C4077">
        <w:t xml:space="preserve"> </w:t>
      </w:r>
      <w:r>
        <w:t>l’extrémité</w:t>
      </w:r>
      <w:r w:rsidRPr="002C4077">
        <w:t xml:space="preserve"> </w:t>
      </w:r>
      <w:r>
        <w:t>de</w:t>
      </w:r>
      <w:r w:rsidRPr="002C4077">
        <w:t xml:space="preserve"> </w:t>
      </w:r>
      <w:r>
        <w:t>l’aqueduc</w:t>
      </w:r>
      <w:r w:rsidRPr="002C4077">
        <w:t xml:space="preserve"> </w:t>
      </w:r>
      <w:r>
        <w:t>de</w:t>
      </w:r>
      <w:r w:rsidRPr="002C4077">
        <w:t xml:space="preserve"> </w:t>
      </w:r>
      <w:r>
        <w:t>la</w:t>
      </w:r>
      <w:r w:rsidRPr="002C4077">
        <w:t xml:space="preserve"> </w:t>
      </w:r>
      <w:r>
        <w:t>piscine</w:t>
      </w:r>
      <w:r w:rsidRPr="002C4077">
        <w:t xml:space="preserve"> </w:t>
      </w:r>
      <w:r>
        <w:t>supérieu</w:t>
      </w:r>
      <w:r w:rsidR="00F6492C">
        <w:t>re</w:t>
      </w:r>
      <w:r w:rsidR="00F6492C">
        <w:rPr>
          <w:rStyle w:val="Appelnotedebasdep"/>
        </w:rPr>
        <w:footnoteReference w:id="20"/>
      </w:r>
      <w:r w:rsidR="00F6492C">
        <w:t>,</w:t>
      </w:r>
      <w:r w:rsidRPr="002C4077">
        <w:t xml:space="preserve"> </w:t>
      </w:r>
      <w:r>
        <w:t>sur</w:t>
      </w:r>
      <w:r w:rsidRPr="002C4077">
        <w:t xml:space="preserve"> </w:t>
      </w:r>
      <w:r>
        <w:t>le</w:t>
      </w:r>
      <w:r w:rsidRPr="002C4077">
        <w:t xml:space="preserve"> </w:t>
      </w:r>
      <w:r>
        <w:t>chemin</w:t>
      </w:r>
      <w:r w:rsidRPr="002C4077">
        <w:t xml:space="preserve"> </w:t>
      </w:r>
      <w:r>
        <w:t>du</w:t>
      </w:r>
      <w:r w:rsidRPr="002C4077">
        <w:t xml:space="preserve"> </w:t>
      </w:r>
      <w:r>
        <w:t>Champ</w:t>
      </w:r>
      <w:r w:rsidRPr="002C4077">
        <w:t xml:space="preserve"> </w:t>
      </w:r>
      <w:r>
        <w:t>du</w:t>
      </w:r>
      <w:r w:rsidRPr="002C4077">
        <w:t xml:space="preserve"> </w:t>
      </w:r>
      <w:r>
        <w:t>Foulon,</w:t>
      </w:r>
      <w:r w:rsidRPr="002C4077">
        <w:t xml:space="preserve"> </w:t>
      </w:r>
      <w:r>
        <w:t>et</w:t>
      </w:r>
      <w:r w:rsidRPr="002C4077">
        <w:t xml:space="preserve"> </w:t>
      </w:r>
      <w:r>
        <w:t>dis-lui</w:t>
      </w:r>
      <w:r w:rsidR="00B546AF">
        <w:t> :</w:t>
      </w:r>
      <w:r w:rsidRPr="002C4077">
        <w:t xml:space="preserve"> </w:t>
      </w:r>
      <w:r>
        <w:t>Prends</w:t>
      </w:r>
      <w:r w:rsidRPr="002C4077">
        <w:t xml:space="preserve"> </w:t>
      </w:r>
      <w:r>
        <w:t>garde</w:t>
      </w:r>
      <w:r w:rsidRPr="002C4077">
        <w:t xml:space="preserve"> </w:t>
      </w:r>
      <w:r>
        <w:t>et</w:t>
      </w:r>
      <w:r w:rsidRPr="002C4077">
        <w:t xml:space="preserve"> </w:t>
      </w:r>
      <w:r>
        <w:t>sois</w:t>
      </w:r>
      <w:r w:rsidRPr="002C4077">
        <w:t xml:space="preserve"> </w:t>
      </w:r>
      <w:r>
        <w:t>tranquille</w:t>
      </w:r>
      <w:r w:rsidR="00B91AF7">
        <w:rPr>
          <w:rStyle w:val="Appelnotedebasdep"/>
        </w:rPr>
        <w:footnoteReference w:id="21"/>
      </w:r>
      <w:r>
        <w:t>,</w:t>
      </w:r>
      <w:r w:rsidRPr="002C4077">
        <w:t xml:space="preserve"> </w:t>
      </w:r>
      <w:r>
        <w:t>ne</w:t>
      </w:r>
      <w:r w:rsidRPr="002C4077">
        <w:t xml:space="preserve"> </w:t>
      </w:r>
      <w:r>
        <w:t>crains</w:t>
      </w:r>
      <w:r w:rsidRPr="002C4077">
        <w:t xml:space="preserve"> </w:t>
      </w:r>
      <w:r>
        <w:t>rien,</w:t>
      </w:r>
      <w:r w:rsidRPr="002C4077">
        <w:t xml:space="preserve"> </w:t>
      </w:r>
      <w:r>
        <w:t>et</w:t>
      </w:r>
      <w:r w:rsidRPr="002C4077">
        <w:t xml:space="preserve"> </w:t>
      </w:r>
      <w:r>
        <w:t>que</w:t>
      </w:r>
      <w:r w:rsidRPr="002C4077">
        <w:t xml:space="preserve"> </w:t>
      </w:r>
      <w:r>
        <w:t>ton</w:t>
      </w:r>
      <w:r w:rsidRPr="002C4077">
        <w:t xml:space="preserve"> </w:t>
      </w:r>
      <w:r>
        <w:t>cœur</w:t>
      </w:r>
      <w:r w:rsidRPr="002C4077">
        <w:t xml:space="preserve"> </w:t>
      </w:r>
      <w:r>
        <w:t>ne</w:t>
      </w:r>
      <w:r w:rsidRPr="002C4077">
        <w:t xml:space="preserve"> </w:t>
      </w:r>
      <w:r>
        <w:t>se</w:t>
      </w:r>
      <w:r w:rsidRPr="002C4077">
        <w:t xml:space="preserve"> </w:t>
      </w:r>
      <w:r>
        <w:t>trouble</w:t>
      </w:r>
      <w:r w:rsidRPr="002C4077">
        <w:t xml:space="preserve"> </w:t>
      </w:r>
      <w:r>
        <w:t>point</w:t>
      </w:r>
      <w:r w:rsidRPr="002C4077">
        <w:t xml:space="preserve"> </w:t>
      </w:r>
      <w:r>
        <w:t>devant</w:t>
      </w:r>
      <w:r w:rsidRPr="002C4077">
        <w:t xml:space="preserve"> </w:t>
      </w:r>
      <w:r>
        <w:t>ces</w:t>
      </w:r>
      <w:r w:rsidRPr="002C4077">
        <w:t xml:space="preserve"> </w:t>
      </w:r>
      <w:r>
        <w:t>deux</w:t>
      </w:r>
      <w:r w:rsidRPr="002C4077">
        <w:t xml:space="preserve"> </w:t>
      </w:r>
      <w:r>
        <w:t>bouts</w:t>
      </w:r>
      <w:r w:rsidRPr="002C4077">
        <w:t xml:space="preserve"> </w:t>
      </w:r>
      <w:r>
        <w:t>de</w:t>
      </w:r>
      <w:r w:rsidRPr="002C4077">
        <w:t xml:space="preserve"> </w:t>
      </w:r>
      <w:r>
        <w:t>tisons</w:t>
      </w:r>
      <w:r w:rsidRPr="002C4077">
        <w:t xml:space="preserve"> </w:t>
      </w:r>
      <w:r>
        <w:t>fumants</w:t>
      </w:r>
      <w:r w:rsidR="00B91AF7">
        <w:rPr>
          <w:rStyle w:val="Appelnotedebasdep"/>
        </w:rPr>
        <w:footnoteReference w:id="22"/>
      </w:r>
      <w:r>
        <w:t>,</w:t>
      </w:r>
      <w:r w:rsidRPr="002C4077">
        <w:t xml:space="preserve"> </w:t>
      </w:r>
      <w:r>
        <w:t>devant</w:t>
      </w:r>
      <w:r w:rsidRPr="002C4077">
        <w:t xml:space="preserve"> </w:t>
      </w:r>
      <w:r>
        <w:t>la</w:t>
      </w:r>
      <w:r w:rsidRPr="002C4077">
        <w:t xml:space="preserve"> </w:t>
      </w:r>
      <w:r>
        <w:t>colère</w:t>
      </w:r>
      <w:r w:rsidRPr="002C4077">
        <w:t xml:space="preserve"> </w:t>
      </w:r>
      <w:r>
        <w:t>de</w:t>
      </w:r>
      <w:r w:rsidRPr="002C4077">
        <w:t xml:space="preserve"> </w:t>
      </w:r>
      <w:r>
        <w:t>Rasin,</w:t>
      </w:r>
      <w:r w:rsidRPr="002C4077">
        <w:t xml:space="preserve"> </w:t>
      </w:r>
      <w:r>
        <w:t>roi</w:t>
      </w:r>
      <w:r w:rsidRPr="002C4077">
        <w:t xml:space="preserve"> </w:t>
      </w:r>
      <w:r>
        <w:t>de</w:t>
      </w:r>
      <w:r w:rsidRPr="002C4077">
        <w:t xml:space="preserve"> </w:t>
      </w:r>
      <w:r>
        <w:t>Syrie,</w:t>
      </w:r>
      <w:r w:rsidRPr="002C4077">
        <w:t xml:space="preserve"> </w:t>
      </w:r>
      <w:r>
        <w:t>et</w:t>
      </w:r>
      <w:r w:rsidRPr="002C4077">
        <w:t xml:space="preserve"> </w:t>
      </w:r>
      <w:r>
        <w:t>du</w:t>
      </w:r>
      <w:r w:rsidRPr="002C4077">
        <w:t xml:space="preserve"> </w:t>
      </w:r>
      <w:r>
        <w:t>fils</w:t>
      </w:r>
      <w:r w:rsidRPr="002C4077">
        <w:t xml:space="preserve"> </w:t>
      </w:r>
      <w:r>
        <w:t>de</w:t>
      </w:r>
      <w:r w:rsidRPr="002C4077">
        <w:t xml:space="preserve"> </w:t>
      </w:r>
      <w:r>
        <w:t>Romélie</w:t>
      </w:r>
      <w:bookmarkStart w:id="31" w:name="z_Romelie_o1"/>
      <w:bookmarkEnd w:id="31"/>
      <w:r w:rsidR="00B91AF7">
        <w:rPr>
          <w:rStyle w:val="Appelnotedebasdep"/>
        </w:rPr>
        <w:footnoteReference w:id="23"/>
      </w:r>
      <w:r w:rsidR="00B546AF">
        <w:t> ;</w:t>
      </w:r>
      <w:r w:rsidRPr="002C4077">
        <w:t xml:space="preserve"> </w:t>
      </w:r>
      <w:r>
        <w:t>de</w:t>
      </w:r>
      <w:r w:rsidRPr="002C4077">
        <w:t xml:space="preserve"> </w:t>
      </w:r>
      <w:r>
        <w:t>ce</w:t>
      </w:r>
      <w:r w:rsidRPr="002C4077">
        <w:t xml:space="preserve"> </w:t>
      </w:r>
      <w:r>
        <w:t>que</w:t>
      </w:r>
      <w:r w:rsidRPr="002C4077">
        <w:t xml:space="preserve"> </w:t>
      </w:r>
      <w:r>
        <w:t>la</w:t>
      </w:r>
      <w:r w:rsidRPr="002C4077">
        <w:t xml:space="preserve"> </w:t>
      </w:r>
      <w:r>
        <w:t>Syrie</w:t>
      </w:r>
      <w:r w:rsidRPr="002C4077">
        <w:t xml:space="preserve"> </w:t>
      </w:r>
      <w:r>
        <w:t>a</w:t>
      </w:r>
      <w:r w:rsidRPr="002C4077">
        <w:t xml:space="preserve"> </w:t>
      </w:r>
      <w:r>
        <w:t>médité</w:t>
      </w:r>
      <w:r w:rsidRPr="002C4077">
        <w:t xml:space="preserve"> </w:t>
      </w:r>
      <w:r>
        <w:t>du</w:t>
      </w:r>
      <w:r w:rsidRPr="002C4077">
        <w:t xml:space="preserve"> </w:t>
      </w:r>
      <w:r>
        <w:t>mal</w:t>
      </w:r>
      <w:r w:rsidRPr="002C4077">
        <w:t xml:space="preserve"> </w:t>
      </w:r>
      <w:r>
        <w:t>contre</w:t>
      </w:r>
      <w:r w:rsidRPr="002C4077">
        <w:t xml:space="preserve"> </w:t>
      </w:r>
      <w:r>
        <w:t>toi,</w:t>
      </w:r>
      <w:r w:rsidRPr="002C4077">
        <w:t xml:space="preserve"> </w:t>
      </w:r>
      <w:r>
        <w:t>ainsi</w:t>
      </w:r>
      <w:r w:rsidRPr="002C4077">
        <w:t xml:space="preserve"> </w:t>
      </w:r>
      <w:r>
        <w:t>qu’Éphraïm</w:t>
      </w:r>
      <w:r w:rsidRPr="002C4077">
        <w:t xml:space="preserve"> </w:t>
      </w:r>
      <w:r>
        <w:t>et</w:t>
      </w:r>
      <w:r w:rsidRPr="002C4077">
        <w:t xml:space="preserve"> </w:t>
      </w:r>
      <w:r>
        <w:t>le</w:t>
      </w:r>
      <w:r w:rsidRPr="002C4077">
        <w:t xml:space="preserve"> </w:t>
      </w:r>
      <w:r>
        <w:t>fils</w:t>
      </w:r>
      <w:r w:rsidRPr="002C4077">
        <w:t xml:space="preserve"> </w:t>
      </w:r>
      <w:r>
        <w:t>de</w:t>
      </w:r>
      <w:r w:rsidRPr="002C4077">
        <w:t xml:space="preserve"> </w:t>
      </w:r>
      <w:r>
        <w:t>Romélie,</w:t>
      </w:r>
      <w:r w:rsidRPr="002C4077">
        <w:t xml:space="preserve"> </w:t>
      </w:r>
      <w:r>
        <w:t>disant</w:t>
      </w:r>
      <w:r w:rsidR="00B546AF">
        <w:t> :</w:t>
      </w:r>
      <w:r w:rsidR="00C45B47">
        <w:t xml:space="preserve"> {</w:t>
      </w:r>
      <w:r w:rsidR="000721C4">
        <w:t>7</w:t>
      </w:r>
      <w:bookmarkStart w:id="32" w:name="p007"/>
      <w:bookmarkEnd w:id="32"/>
      <w:r w:rsidR="000721C4">
        <w:t xml:space="preserve">} </w:t>
      </w:r>
      <w:r>
        <w:t>Montons</w:t>
      </w:r>
      <w:r w:rsidRPr="002C4077">
        <w:t xml:space="preserve"> </w:t>
      </w:r>
      <w:r>
        <w:t>contre</w:t>
      </w:r>
      <w:r w:rsidRPr="002C4077">
        <w:t xml:space="preserve"> </w:t>
      </w:r>
      <w:r>
        <w:t>Juda,</w:t>
      </w:r>
      <w:r w:rsidRPr="002C4077">
        <w:t xml:space="preserve"> </w:t>
      </w:r>
      <w:r>
        <w:t>tourmentons-le</w:t>
      </w:r>
      <w:r w:rsidRPr="002C4077">
        <w:t xml:space="preserve"> </w:t>
      </w:r>
      <w:r>
        <w:t>et</w:t>
      </w:r>
      <w:r w:rsidRPr="002C4077">
        <w:t xml:space="preserve"> </w:t>
      </w:r>
      <w:r>
        <w:t>rendons-nous</w:t>
      </w:r>
      <w:r w:rsidRPr="002C4077">
        <w:t xml:space="preserve"> </w:t>
      </w:r>
      <w:r>
        <w:t>en</w:t>
      </w:r>
      <w:r w:rsidRPr="002C4077">
        <w:t xml:space="preserve"> </w:t>
      </w:r>
      <w:r>
        <w:t>les</w:t>
      </w:r>
      <w:r w:rsidRPr="002C4077">
        <w:t xml:space="preserve"> </w:t>
      </w:r>
      <w:r>
        <w:t>maîtres,</w:t>
      </w:r>
      <w:r w:rsidRPr="002C4077">
        <w:t xml:space="preserve"> </w:t>
      </w:r>
      <w:r>
        <w:t>et</w:t>
      </w:r>
      <w:r w:rsidRPr="002C4077">
        <w:t xml:space="preserve"> </w:t>
      </w:r>
      <w:r>
        <w:t>établissons-y</w:t>
      </w:r>
      <w:r w:rsidRPr="002C4077">
        <w:t xml:space="preserve"> </w:t>
      </w:r>
      <w:r>
        <w:t>pour</w:t>
      </w:r>
      <w:r w:rsidRPr="002C4077">
        <w:t xml:space="preserve"> </w:t>
      </w:r>
      <w:r>
        <w:t>roi</w:t>
      </w:r>
      <w:r w:rsidRPr="002C4077">
        <w:t xml:space="preserve"> </w:t>
      </w:r>
      <w:r>
        <w:t>le</w:t>
      </w:r>
      <w:r w:rsidRPr="002C4077">
        <w:t xml:space="preserve"> </w:t>
      </w:r>
      <w:r>
        <w:t>fils</w:t>
      </w:r>
      <w:r w:rsidRPr="002C4077">
        <w:t xml:space="preserve"> </w:t>
      </w:r>
      <w:r>
        <w:t>de</w:t>
      </w:r>
      <w:r w:rsidRPr="002C4077">
        <w:t xml:space="preserve"> </w:t>
      </w:r>
      <w:r>
        <w:t>Tabéel.</w:t>
      </w:r>
      <w:r w:rsidRPr="002C4077">
        <w:t xml:space="preserve"> </w:t>
      </w:r>
      <w:r>
        <w:t>Voici</w:t>
      </w:r>
      <w:r w:rsidRPr="002C4077">
        <w:t xml:space="preserve"> </w:t>
      </w:r>
      <w:r>
        <w:t>ce</w:t>
      </w:r>
      <w:r w:rsidRPr="002C4077">
        <w:t xml:space="preserve"> </w:t>
      </w:r>
      <w:r>
        <w:t>que</w:t>
      </w:r>
      <w:r w:rsidRPr="002C4077">
        <w:t xml:space="preserve"> </w:t>
      </w:r>
      <w:r>
        <w:t>dit</w:t>
      </w:r>
      <w:r w:rsidRPr="002C4077">
        <w:t xml:space="preserve"> </w:t>
      </w:r>
      <w:r>
        <w:t>le</w:t>
      </w:r>
      <w:r w:rsidRPr="002C4077">
        <w:t xml:space="preserve"> </w:t>
      </w:r>
      <w:r>
        <w:t>Seigneur</w:t>
      </w:r>
      <w:r w:rsidRPr="002C4077">
        <w:t xml:space="preserve"> </w:t>
      </w:r>
      <w:r>
        <w:t>Dieu</w:t>
      </w:r>
      <w:r w:rsidR="00B546AF">
        <w:t> :</w:t>
      </w:r>
      <w:r w:rsidRPr="002C4077">
        <w:t xml:space="preserve"> </w:t>
      </w:r>
      <w:r>
        <w:t>Cela</w:t>
      </w:r>
      <w:r w:rsidRPr="002C4077">
        <w:t xml:space="preserve"> </w:t>
      </w:r>
      <w:r>
        <w:t>ne</w:t>
      </w:r>
      <w:r w:rsidRPr="002C4077">
        <w:t xml:space="preserve"> </w:t>
      </w:r>
      <w:r>
        <w:t>se</w:t>
      </w:r>
      <w:r w:rsidRPr="002C4077">
        <w:t xml:space="preserve"> </w:t>
      </w:r>
      <w:r>
        <w:t>réalisera</w:t>
      </w:r>
      <w:r w:rsidRPr="002C4077">
        <w:t xml:space="preserve"> </w:t>
      </w:r>
      <w:r>
        <w:t>pas,</w:t>
      </w:r>
      <w:r w:rsidRPr="002C4077">
        <w:t xml:space="preserve"> </w:t>
      </w:r>
      <w:r>
        <w:t>cela</w:t>
      </w:r>
      <w:r w:rsidRPr="002C4077">
        <w:t xml:space="preserve"> </w:t>
      </w:r>
      <w:r>
        <w:t>n’aura</w:t>
      </w:r>
      <w:r w:rsidRPr="002C4077">
        <w:t xml:space="preserve"> </w:t>
      </w:r>
      <w:r>
        <w:t>pas</w:t>
      </w:r>
      <w:r w:rsidRPr="002C4077">
        <w:t xml:space="preserve"> </w:t>
      </w:r>
      <w:r>
        <w:t>lieu</w:t>
      </w:r>
      <w:r w:rsidR="00B546AF">
        <w:t> ;</w:t>
      </w:r>
      <w:r w:rsidRPr="002C4077">
        <w:t xml:space="preserve"> </w:t>
      </w:r>
      <w:r>
        <w:t>mais</w:t>
      </w:r>
      <w:r w:rsidRPr="002C4077">
        <w:t xml:space="preserve"> </w:t>
      </w:r>
      <w:r>
        <w:t>Damas</w:t>
      </w:r>
      <w:r w:rsidRPr="002C4077">
        <w:t xml:space="preserve"> </w:t>
      </w:r>
      <w:r w:rsidR="00425C50">
        <w:t>est</w:t>
      </w:r>
      <w:r w:rsidRPr="002C4077">
        <w:t xml:space="preserve"> </w:t>
      </w:r>
      <w:r>
        <w:t>la</w:t>
      </w:r>
      <w:r w:rsidRPr="002C4077">
        <w:t xml:space="preserve"> </w:t>
      </w:r>
      <w:r>
        <w:t>tête</w:t>
      </w:r>
      <w:r w:rsidRPr="002C4077">
        <w:t xml:space="preserve"> </w:t>
      </w:r>
      <w:r>
        <w:t>de</w:t>
      </w:r>
      <w:r w:rsidRPr="002C4077">
        <w:t xml:space="preserve"> </w:t>
      </w:r>
      <w:r>
        <w:t>la</w:t>
      </w:r>
      <w:r w:rsidRPr="002C4077">
        <w:t xml:space="preserve"> </w:t>
      </w:r>
      <w:r>
        <w:t>Syrie</w:t>
      </w:r>
      <w:r w:rsidRPr="002C4077">
        <w:t xml:space="preserve"> </w:t>
      </w:r>
      <w:r>
        <w:t>et</w:t>
      </w:r>
      <w:r w:rsidRPr="002C4077">
        <w:t xml:space="preserve"> </w:t>
      </w:r>
      <w:r>
        <w:t>Rasin</w:t>
      </w:r>
      <w:r w:rsidRPr="002C4077">
        <w:t xml:space="preserve"> </w:t>
      </w:r>
      <w:r w:rsidR="00425C50">
        <w:t>est</w:t>
      </w:r>
      <w:r w:rsidRPr="002C4077">
        <w:t xml:space="preserve"> </w:t>
      </w:r>
      <w:r>
        <w:t>la</w:t>
      </w:r>
      <w:r w:rsidRPr="002C4077">
        <w:t xml:space="preserve"> </w:t>
      </w:r>
      <w:r>
        <w:t>tête</w:t>
      </w:r>
      <w:r w:rsidRPr="002C4077">
        <w:t xml:space="preserve"> </w:t>
      </w:r>
      <w:r>
        <w:t>de</w:t>
      </w:r>
      <w:r w:rsidRPr="002C4077">
        <w:t xml:space="preserve"> </w:t>
      </w:r>
      <w:r>
        <w:t>Damas</w:t>
      </w:r>
      <w:r w:rsidR="00B546AF">
        <w:t> :</w:t>
      </w:r>
      <w:r w:rsidRPr="002C4077">
        <w:t xml:space="preserve"> </w:t>
      </w:r>
      <w:r>
        <w:t>encore</w:t>
      </w:r>
      <w:r w:rsidRPr="002C4077">
        <w:t xml:space="preserve"> </w:t>
      </w:r>
      <w:r>
        <w:t>soixante-cinq</w:t>
      </w:r>
      <w:r w:rsidRPr="002C4077">
        <w:t xml:space="preserve"> </w:t>
      </w:r>
      <w:r>
        <w:t>ans</w:t>
      </w:r>
      <w:r w:rsidRPr="002C4077">
        <w:t xml:space="preserve"> </w:t>
      </w:r>
      <w:r>
        <w:t>et</w:t>
      </w:r>
      <w:r w:rsidRPr="002C4077">
        <w:t xml:space="preserve"> </w:t>
      </w:r>
      <w:r>
        <w:t>Éphraïm</w:t>
      </w:r>
      <w:r w:rsidRPr="002C4077">
        <w:t xml:space="preserve"> </w:t>
      </w:r>
      <w:r>
        <w:t>cessera</w:t>
      </w:r>
      <w:r w:rsidRPr="002C4077">
        <w:t xml:space="preserve"> </w:t>
      </w:r>
      <w:r>
        <w:t>d’être</w:t>
      </w:r>
      <w:r w:rsidRPr="002C4077">
        <w:t xml:space="preserve"> </w:t>
      </w:r>
      <w:r>
        <w:t>un</w:t>
      </w:r>
      <w:r w:rsidRPr="002C4077">
        <w:t xml:space="preserve"> </w:t>
      </w:r>
      <w:r>
        <w:t>peuple</w:t>
      </w:r>
      <w:r w:rsidR="00B546AF">
        <w:t> ;</w:t>
      </w:r>
      <w:r w:rsidRPr="002C4077">
        <w:t xml:space="preserve"> </w:t>
      </w:r>
      <w:r>
        <w:t>et</w:t>
      </w:r>
      <w:r w:rsidRPr="002C4077">
        <w:t xml:space="preserve"> </w:t>
      </w:r>
      <w:r>
        <w:t>Samarie</w:t>
      </w:r>
      <w:r w:rsidRPr="002C4077">
        <w:t xml:space="preserve"> </w:t>
      </w:r>
      <w:r w:rsidR="00425C50">
        <w:t>est</w:t>
      </w:r>
      <w:r w:rsidRPr="002C4077">
        <w:t xml:space="preserve"> </w:t>
      </w:r>
      <w:r>
        <w:t>la</w:t>
      </w:r>
      <w:r w:rsidRPr="002C4077">
        <w:t xml:space="preserve"> </w:t>
      </w:r>
      <w:r>
        <w:t>tête</w:t>
      </w:r>
      <w:r w:rsidRPr="002C4077">
        <w:t xml:space="preserve"> </w:t>
      </w:r>
      <w:r>
        <w:t>d’Éphraïm</w:t>
      </w:r>
      <w:r w:rsidRPr="002C4077">
        <w:t xml:space="preserve"> </w:t>
      </w:r>
      <w:r>
        <w:t>et</w:t>
      </w:r>
      <w:r w:rsidRPr="002C4077">
        <w:t xml:space="preserve"> </w:t>
      </w:r>
      <w:r>
        <w:t>le</w:t>
      </w:r>
      <w:r w:rsidRPr="002C4077">
        <w:t xml:space="preserve"> </w:t>
      </w:r>
      <w:r>
        <w:t>fils</w:t>
      </w:r>
      <w:r w:rsidRPr="002C4077">
        <w:t xml:space="preserve"> </w:t>
      </w:r>
      <w:r>
        <w:t>de</w:t>
      </w:r>
      <w:r w:rsidRPr="002C4077">
        <w:t xml:space="preserve"> </w:t>
      </w:r>
      <w:r>
        <w:t>Romélie</w:t>
      </w:r>
      <w:r w:rsidRPr="002C4077">
        <w:t xml:space="preserve"> </w:t>
      </w:r>
      <w:r w:rsidR="00425C50">
        <w:t>est</w:t>
      </w:r>
      <w:r w:rsidRPr="002C4077">
        <w:t xml:space="preserve"> </w:t>
      </w:r>
      <w:r>
        <w:t>la</w:t>
      </w:r>
      <w:r w:rsidRPr="002C4077">
        <w:t xml:space="preserve"> </w:t>
      </w:r>
      <w:r>
        <w:t>tête</w:t>
      </w:r>
      <w:r w:rsidRPr="002C4077">
        <w:t xml:space="preserve"> </w:t>
      </w:r>
      <w:r>
        <w:t>de</w:t>
      </w:r>
      <w:r w:rsidRPr="002C4077">
        <w:t xml:space="preserve"> </w:t>
      </w:r>
      <w:r>
        <w:t>Samarie.</w:t>
      </w:r>
      <w:r w:rsidRPr="002C4077">
        <w:t xml:space="preserve"> </w:t>
      </w:r>
      <w:r>
        <w:t>Si</w:t>
      </w:r>
      <w:r w:rsidRPr="002C4077">
        <w:t xml:space="preserve"> </w:t>
      </w:r>
      <w:r>
        <w:t>vous</w:t>
      </w:r>
      <w:r w:rsidRPr="002C4077">
        <w:t xml:space="preserve"> </w:t>
      </w:r>
      <w:r>
        <w:t>ne</w:t>
      </w:r>
      <w:r w:rsidRPr="002C4077">
        <w:t xml:space="preserve"> </w:t>
      </w:r>
      <w:r>
        <w:t>croyez</w:t>
      </w:r>
      <w:r w:rsidRPr="002C4077">
        <w:t xml:space="preserve"> </w:t>
      </w:r>
      <w:r>
        <w:t>pas,</w:t>
      </w:r>
      <w:r w:rsidRPr="002C4077">
        <w:t xml:space="preserve"> </w:t>
      </w:r>
      <w:r>
        <w:t>vous</w:t>
      </w:r>
      <w:r w:rsidRPr="002C4077">
        <w:t xml:space="preserve"> </w:t>
      </w:r>
      <w:r>
        <w:t>ne</w:t>
      </w:r>
      <w:r w:rsidRPr="002C4077">
        <w:t xml:space="preserve"> </w:t>
      </w:r>
      <w:r>
        <w:t>subsisterez</w:t>
      </w:r>
      <w:r w:rsidRPr="002C4077">
        <w:t xml:space="preserve"> </w:t>
      </w:r>
      <w:r>
        <w:t>pas</w:t>
      </w:r>
      <w:r w:rsidR="00B91AF7">
        <w:rPr>
          <w:rStyle w:val="Appelnotedebasdep"/>
        </w:rPr>
        <w:footnoteReference w:id="24"/>
      </w:r>
      <w:r w:rsidR="00B546AF">
        <w:t> »</w:t>
      </w:r>
      <w:r>
        <w:t>.</w:t>
      </w:r>
      <w:r w:rsidRPr="002C4077">
        <w:t xml:space="preserve"> </w:t>
      </w:r>
    </w:p>
    <w:p w:rsidR="000A7AAB" w:rsidRDefault="000A7AAB" w:rsidP="000A7AAB">
      <w:r>
        <w:t>Quelle</w:t>
      </w:r>
      <w:r w:rsidRPr="002C4077">
        <w:t xml:space="preserve"> </w:t>
      </w:r>
      <w:r>
        <w:t>vigueur</w:t>
      </w:r>
      <w:r w:rsidRPr="002C4077">
        <w:t xml:space="preserve"> </w:t>
      </w:r>
      <w:r>
        <w:t>et</w:t>
      </w:r>
      <w:r w:rsidRPr="002C4077">
        <w:t xml:space="preserve"> </w:t>
      </w:r>
      <w:r>
        <w:t>quels</w:t>
      </w:r>
      <w:r w:rsidRPr="002C4077">
        <w:t xml:space="preserve"> </w:t>
      </w:r>
      <w:r>
        <w:t>charmes</w:t>
      </w:r>
      <w:r w:rsidRPr="002C4077">
        <w:t xml:space="preserve"> </w:t>
      </w:r>
      <w:r>
        <w:t>dans</w:t>
      </w:r>
      <w:r w:rsidRPr="002C4077">
        <w:t xml:space="preserve"> </w:t>
      </w:r>
      <w:r>
        <w:t>ce</w:t>
      </w:r>
      <w:r w:rsidRPr="002C4077">
        <w:t xml:space="preserve"> </w:t>
      </w:r>
      <w:r>
        <w:t>noble</w:t>
      </w:r>
      <w:r w:rsidRPr="002C4077">
        <w:t xml:space="preserve"> </w:t>
      </w:r>
      <w:r>
        <w:t>exposé</w:t>
      </w:r>
      <w:r w:rsidR="00B546AF">
        <w:t> !</w:t>
      </w:r>
      <w:r w:rsidRPr="002C4077">
        <w:t xml:space="preserve"> </w:t>
      </w:r>
      <w:r>
        <w:t>Tout</w:t>
      </w:r>
      <w:r w:rsidRPr="002C4077">
        <w:t xml:space="preserve"> </w:t>
      </w:r>
      <w:r>
        <w:t>y</w:t>
      </w:r>
      <w:r w:rsidRPr="002C4077">
        <w:t xml:space="preserve"> </w:t>
      </w:r>
      <w:r w:rsidR="00425C50">
        <w:t>est</w:t>
      </w:r>
      <w:r w:rsidRPr="002C4077">
        <w:t xml:space="preserve"> </w:t>
      </w:r>
      <w:r>
        <w:t>digne</w:t>
      </w:r>
      <w:r w:rsidRPr="002C4077">
        <w:t xml:space="preserve"> </w:t>
      </w:r>
      <w:r>
        <w:t>de</w:t>
      </w:r>
      <w:r w:rsidRPr="002C4077">
        <w:t xml:space="preserve"> </w:t>
      </w:r>
      <w:r>
        <w:t>Dieu,</w:t>
      </w:r>
      <w:r w:rsidRPr="002C4077">
        <w:t xml:space="preserve"> </w:t>
      </w:r>
      <w:r>
        <w:t>tout</w:t>
      </w:r>
      <w:r w:rsidRPr="002C4077">
        <w:t xml:space="preserve"> </w:t>
      </w:r>
      <w:r>
        <w:t>y</w:t>
      </w:r>
      <w:r w:rsidRPr="002C4077">
        <w:t xml:space="preserve"> </w:t>
      </w:r>
      <w:r w:rsidR="00425C50">
        <w:t>est</w:t>
      </w:r>
      <w:r w:rsidRPr="002C4077">
        <w:t xml:space="preserve"> </w:t>
      </w:r>
      <w:r>
        <w:t>digne</w:t>
      </w:r>
      <w:r w:rsidRPr="002C4077">
        <w:t xml:space="preserve"> </w:t>
      </w:r>
      <w:r>
        <w:t>de</w:t>
      </w:r>
      <w:r w:rsidRPr="002C4077">
        <w:t xml:space="preserve"> </w:t>
      </w:r>
      <w:r>
        <w:t>ses</w:t>
      </w:r>
      <w:r w:rsidRPr="002C4077">
        <w:t xml:space="preserve"> </w:t>
      </w:r>
      <w:r>
        <w:t>desseins</w:t>
      </w:r>
      <w:r w:rsidRPr="002C4077">
        <w:t xml:space="preserve"> </w:t>
      </w:r>
      <w:r>
        <w:t>providentiels</w:t>
      </w:r>
      <w:r w:rsidRPr="002C4077">
        <w:t xml:space="preserve"> </w:t>
      </w:r>
      <w:r>
        <w:t>sur</w:t>
      </w:r>
      <w:r w:rsidRPr="002C4077">
        <w:t xml:space="preserve"> </w:t>
      </w:r>
      <w:r>
        <w:t>la</w:t>
      </w:r>
      <w:r w:rsidRPr="002C4077">
        <w:t xml:space="preserve"> </w:t>
      </w:r>
      <w:r>
        <w:t>tribu</w:t>
      </w:r>
      <w:r w:rsidRPr="002C4077">
        <w:t xml:space="preserve"> </w:t>
      </w:r>
      <w:r>
        <w:t>de</w:t>
      </w:r>
      <w:r w:rsidRPr="002C4077">
        <w:t xml:space="preserve"> </w:t>
      </w:r>
      <w:r>
        <w:t>Juda</w:t>
      </w:r>
      <w:r w:rsidRPr="002C4077">
        <w:t xml:space="preserve"> </w:t>
      </w:r>
      <w:r>
        <w:t>et</w:t>
      </w:r>
      <w:r w:rsidRPr="002C4077">
        <w:t xml:space="preserve"> </w:t>
      </w:r>
      <w:r>
        <w:t>la</w:t>
      </w:r>
      <w:r w:rsidRPr="002C4077">
        <w:t xml:space="preserve"> </w:t>
      </w:r>
      <w:r>
        <w:t>famille</w:t>
      </w:r>
      <w:r w:rsidRPr="002C4077">
        <w:t xml:space="preserve"> </w:t>
      </w:r>
      <w:r>
        <w:t>de</w:t>
      </w:r>
      <w:r w:rsidRPr="002C4077">
        <w:t xml:space="preserve"> </w:t>
      </w:r>
      <w:r>
        <w:t>David,</w:t>
      </w:r>
      <w:r w:rsidRPr="002C4077">
        <w:t xml:space="preserve"> </w:t>
      </w:r>
      <w:r>
        <w:t>tout</w:t>
      </w:r>
      <w:r w:rsidRPr="002C4077">
        <w:t xml:space="preserve"> </w:t>
      </w:r>
      <w:r>
        <w:t>y</w:t>
      </w:r>
      <w:r w:rsidRPr="002C4077">
        <w:t xml:space="preserve"> </w:t>
      </w:r>
      <w:r w:rsidR="00425C50">
        <w:t>est</w:t>
      </w:r>
      <w:r w:rsidRPr="002C4077">
        <w:t xml:space="preserve"> </w:t>
      </w:r>
      <w:r>
        <w:t>en</w:t>
      </w:r>
      <w:r w:rsidRPr="002C4077">
        <w:t xml:space="preserve"> </w:t>
      </w:r>
      <w:r>
        <w:t>outre</w:t>
      </w:r>
      <w:r w:rsidRPr="002C4077">
        <w:t xml:space="preserve"> </w:t>
      </w:r>
      <w:r>
        <w:t>parfaitement</w:t>
      </w:r>
      <w:r w:rsidRPr="002C4077">
        <w:t xml:space="preserve"> </w:t>
      </w:r>
      <w:r>
        <w:t>clair.</w:t>
      </w:r>
      <w:r w:rsidRPr="002C4077">
        <w:t xml:space="preserve"> </w:t>
      </w:r>
    </w:p>
    <w:p w:rsidR="000A7AAB" w:rsidRDefault="000A7AAB" w:rsidP="000A7AAB">
      <w:r>
        <w:t>Mais</w:t>
      </w:r>
      <w:bookmarkStart w:id="33" w:name="z_RationalistesAlma_o1"/>
      <w:bookmarkEnd w:id="33"/>
      <w:r w:rsidRPr="002C4077">
        <w:t xml:space="preserve"> </w:t>
      </w:r>
      <w:r>
        <w:t>certains</w:t>
      </w:r>
      <w:r w:rsidRPr="002C4077">
        <w:t xml:space="preserve"> </w:t>
      </w:r>
      <w:r>
        <w:t>hommes</w:t>
      </w:r>
      <w:r w:rsidRPr="002C4077">
        <w:t xml:space="preserve"> </w:t>
      </w:r>
      <w:r>
        <w:t>ont,</w:t>
      </w:r>
      <w:r w:rsidRPr="002C4077">
        <w:t xml:space="preserve"> </w:t>
      </w:r>
      <w:r>
        <w:t>relativement</w:t>
      </w:r>
      <w:r w:rsidRPr="002C4077">
        <w:t xml:space="preserve"> </w:t>
      </w:r>
      <w:r>
        <w:t>à</w:t>
      </w:r>
      <w:r w:rsidRPr="002C4077">
        <w:t xml:space="preserve"> </w:t>
      </w:r>
      <w:r>
        <w:t>la</w:t>
      </w:r>
      <w:r w:rsidRPr="002C4077">
        <w:t xml:space="preserve"> </w:t>
      </w:r>
      <w:r>
        <w:t>Bible,</w:t>
      </w:r>
      <w:r w:rsidRPr="002C4077">
        <w:t xml:space="preserve"> </w:t>
      </w:r>
      <w:r>
        <w:t>des</w:t>
      </w:r>
      <w:r w:rsidRPr="002C4077">
        <w:t xml:space="preserve"> </w:t>
      </w:r>
      <w:r>
        <w:t>exigences</w:t>
      </w:r>
      <w:r w:rsidRPr="002C4077">
        <w:t xml:space="preserve"> </w:t>
      </w:r>
      <w:r>
        <w:t>que</w:t>
      </w:r>
      <w:r w:rsidRPr="002C4077">
        <w:t xml:space="preserve"> </w:t>
      </w:r>
      <w:r>
        <w:t>rien</w:t>
      </w:r>
      <w:r w:rsidRPr="002C4077">
        <w:t xml:space="preserve"> </w:t>
      </w:r>
      <w:r>
        <w:t>ne</w:t>
      </w:r>
      <w:r w:rsidRPr="002C4077">
        <w:t xml:space="preserve"> </w:t>
      </w:r>
      <w:r>
        <w:t>saurait</w:t>
      </w:r>
      <w:r w:rsidRPr="002C4077">
        <w:t xml:space="preserve"> </w:t>
      </w:r>
      <w:r>
        <w:t>satisfaire.</w:t>
      </w:r>
      <w:r w:rsidRPr="002C4077">
        <w:t xml:space="preserve"> </w:t>
      </w:r>
      <w:r>
        <w:t>M.</w:t>
      </w:r>
      <w:r w:rsidRPr="002C4077">
        <w:t xml:space="preserve"> </w:t>
      </w:r>
      <w:r>
        <w:t>Reuss</w:t>
      </w:r>
      <w:bookmarkStart w:id="34" w:name="z_Reuss_o1"/>
      <w:bookmarkEnd w:id="34"/>
      <w:r>
        <w:t>,</w:t>
      </w:r>
      <w:r w:rsidRPr="002C4077">
        <w:t xml:space="preserve"> </w:t>
      </w:r>
      <w:r>
        <w:t>qui</w:t>
      </w:r>
      <w:r w:rsidRPr="002C4077">
        <w:t xml:space="preserve"> </w:t>
      </w:r>
      <w:r>
        <w:t>s’est</w:t>
      </w:r>
      <w:r w:rsidRPr="002C4077">
        <w:t xml:space="preserve"> </w:t>
      </w:r>
      <w:r>
        <w:t>donné</w:t>
      </w:r>
      <w:r w:rsidRPr="002C4077">
        <w:t xml:space="preserve"> </w:t>
      </w:r>
      <w:r>
        <w:t>la</w:t>
      </w:r>
      <w:r w:rsidRPr="002C4077">
        <w:t xml:space="preserve"> </w:t>
      </w:r>
      <w:r>
        <w:t>vocation</w:t>
      </w:r>
      <w:r w:rsidRPr="002C4077">
        <w:t xml:space="preserve"> </w:t>
      </w:r>
      <w:r>
        <w:t>de</w:t>
      </w:r>
      <w:r w:rsidRPr="002C4077">
        <w:t xml:space="preserve"> </w:t>
      </w:r>
      <w:r>
        <w:t>rééditer</w:t>
      </w:r>
      <w:r w:rsidRPr="002C4077">
        <w:t xml:space="preserve"> </w:t>
      </w:r>
      <w:r>
        <w:t>en</w:t>
      </w:r>
      <w:r w:rsidRPr="002C4077">
        <w:t xml:space="preserve"> </w:t>
      </w:r>
      <w:r>
        <w:t>petit,</w:t>
      </w:r>
      <w:r w:rsidRPr="002C4077">
        <w:t xml:space="preserve"> </w:t>
      </w:r>
      <w:r>
        <w:t>à</w:t>
      </w:r>
      <w:r w:rsidRPr="002C4077">
        <w:t xml:space="preserve"> </w:t>
      </w:r>
      <w:r>
        <w:t>l’usage</w:t>
      </w:r>
      <w:r w:rsidRPr="002C4077">
        <w:t xml:space="preserve"> </w:t>
      </w:r>
      <w:r>
        <w:t>de</w:t>
      </w:r>
      <w:r w:rsidRPr="002C4077">
        <w:t xml:space="preserve"> </w:t>
      </w:r>
      <w:r>
        <w:t>nos</w:t>
      </w:r>
      <w:r w:rsidRPr="002C4077">
        <w:t xml:space="preserve"> </w:t>
      </w:r>
      <w:r>
        <w:t>compatriotes,</w:t>
      </w:r>
      <w:r w:rsidRPr="002C4077">
        <w:t xml:space="preserve"> </w:t>
      </w:r>
      <w:r>
        <w:t>le</w:t>
      </w:r>
      <w:r w:rsidRPr="002C4077">
        <w:t xml:space="preserve"> </w:t>
      </w:r>
      <w:r>
        <w:t>long</w:t>
      </w:r>
      <w:r w:rsidRPr="002C4077">
        <w:t xml:space="preserve"> </w:t>
      </w:r>
      <w:r>
        <w:t>et</w:t>
      </w:r>
      <w:r w:rsidRPr="002C4077">
        <w:t xml:space="preserve"> </w:t>
      </w:r>
      <w:r>
        <w:t>lourd</w:t>
      </w:r>
      <w:r w:rsidRPr="002C4077">
        <w:t xml:space="preserve"> </w:t>
      </w:r>
      <w:r>
        <w:t>fatras</w:t>
      </w:r>
      <w:r w:rsidRPr="002C4077">
        <w:t xml:space="preserve"> </w:t>
      </w:r>
      <w:r>
        <w:t>de</w:t>
      </w:r>
      <w:r w:rsidRPr="002C4077">
        <w:t xml:space="preserve"> </w:t>
      </w:r>
      <w:r w:rsidR="001E7758">
        <w:t>Gesenius</w:t>
      </w:r>
      <w:r>
        <w:t>,</w:t>
      </w:r>
      <w:r w:rsidRPr="002C4077">
        <w:t xml:space="preserve"> </w:t>
      </w:r>
      <w:r>
        <w:t>de</w:t>
      </w:r>
      <w:r w:rsidRPr="002C4077">
        <w:t xml:space="preserve"> </w:t>
      </w:r>
      <w:r>
        <w:t>Knobel</w:t>
      </w:r>
      <w:r w:rsidRPr="002C4077">
        <w:t xml:space="preserve"> </w:t>
      </w:r>
      <w:r>
        <w:t>et</w:t>
      </w:r>
      <w:r w:rsidRPr="002C4077">
        <w:t xml:space="preserve"> </w:t>
      </w:r>
      <w:r>
        <w:t>autres</w:t>
      </w:r>
      <w:r w:rsidRPr="002C4077">
        <w:t xml:space="preserve"> </w:t>
      </w:r>
      <w:r>
        <w:t>rationalistes</w:t>
      </w:r>
      <w:r w:rsidRPr="002C4077">
        <w:t xml:space="preserve"> </w:t>
      </w:r>
      <w:r>
        <w:t>germaniques,</w:t>
      </w:r>
      <w:r w:rsidRPr="002C4077">
        <w:t xml:space="preserve"> </w:t>
      </w:r>
      <w:r w:rsidR="00425C50">
        <w:t>est</w:t>
      </w:r>
      <w:r w:rsidRPr="002C4077">
        <w:t xml:space="preserve"> </w:t>
      </w:r>
      <w:r>
        <w:t>du</w:t>
      </w:r>
      <w:r w:rsidRPr="002C4077">
        <w:t xml:space="preserve"> </w:t>
      </w:r>
      <w:r>
        <w:t>nombre</w:t>
      </w:r>
      <w:r w:rsidRPr="002C4077">
        <w:t xml:space="preserve"> </w:t>
      </w:r>
      <w:r>
        <w:t>de</w:t>
      </w:r>
      <w:r w:rsidRPr="002C4077">
        <w:t xml:space="preserve"> </w:t>
      </w:r>
      <w:r>
        <w:t>ces</w:t>
      </w:r>
      <w:r w:rsidRPr="002C4077">
        <w:t xml:space="preserve"> </w:t>
      </w:r>
      <w:r>
        <w:t>mécontents.</w:t>
      </w:r>
      <w:r w:rsidRPr="002C4077">
        <w:t xml:space="preserve"> </w:t>
      </w:r>
    </w:p>
    <w:p w:rsidR="000A7AAB" w:rsidRDefault="000A7AAB" w:rsidP="000A7AAB">
      <w:r>
        <w:t>C’est</w:t>
      </w:r>
      <w:r w:rsidRPr="002C4077">
        <w:t xml:space="preserve"> </w:t>
      </w:r>
      <w:r>
        <w:t>ainsi</w:t>
      </w:r>
      <w:r w:rsidRPr="002C4077">
        <w:t xml:space="preserve"> </w:t>
      </w:r>
      <w:r>
        <w:t>que</w:t>
      </w:r>
      <w:r w:rsidRPr="002C4077">
        <w:t xml:space="preserve"> </w:t>
      </w:r>
      <w:r>
        <w:t>Schear-Iaschoub</w:t>
      </w:r>
      <w:r w:rsidRPr="002C4077">
        <w:t xml:space="preserve"> </w:t>
      </w:r>
      <w:r>
        <w:t>lui</w:t>
      </w:r>
      <w:r w:rsidRPr="002C4077">
        <w:t xml:space="preserve"> </w:t>
      </w:r>
      <w:r>
        <w:t>cause</w:t>
      </w:r>
      <w:r w:rsidRPr="002C4077">
        <w:t xml:space="preserve"> </w:t>
      </w:r>
      <w:r>
        <w:t>déjà</w:t>
      </w:r>
      <w:r w:rsidRPr="002C4077">
        <w:t xml:space="preserve"> </w:t>
      </w:r>
      <w:r>
        <w:t>un</w:t>
      </w:r>
      <w:r w:rsidRPr="002C4077">
        <w:t xml:space="preserve"> </w:t>
      </w:r>
      <w:r>
        <w:t>véritable</w:t>
      </w:r>
      <w:r w:rsidRPr="002C4077">
        <w:t xml:space="preserve"> </w:t>
      </w:r>
      <w:r w:rsidR="003B53FD">
        <w:t>ennui</w:t>
      </w:r>
      <w:r>
        <w:t>.</w:t>
      </w:r>
      <w:r w:rsidRPr="002C4077">
        <w:t xml:space="preserve"> </w:t>
      </w:r>
      <w:r w:rsidR="00B546AF">
        <w:t>« </w:t>
      </w:r>
      <w:r>
        <w:t>On</w:t>
      </w:r>
      <w:r w:rsidRPr="002C4077">
        <w:t xml:space="preserve"> </w:t>
      </w:r>
      <w:r>
        <w:t>pourrait,</w:t>
      </w:r>
      <w:r w:rsidRPr="002C4077">
        <w:t xml:space="preserve"> </w:t>
      </w:r>
      <w:r>
        <w:t>écrit-il</w:t>
      </w:r>
      <w:r w:rsidR="00B91AF7">
        <w:rPr>
          <w:rStyle w:val="Appelnotedebasdep"/>
        </w:rPr>
        <w:footnoteReference w:id="25"/>
      </w:r>
      <w:r>
        <w:t>,</w:t>
      </w:r>
      <w:r w:rsidRPr="002C4077">
        <w:t xml:space="preserve"> </w:t>
      </w:r>
      <w:r>
        <w:t>sou</w:t>
      </w:r>
      <w:r w:rsidR="001E7758">
        <w:t>tenir</w:t>
      </w:r>
      <w:r w:rsidR="001E7758" w:rsidRPr="002C4077">
        <w:t xml:space="preserve"> </w:t>
      </w:r>
      <w:r w:rsidR="001E7758">
        <w:t>l’opinion,</w:t>
      </w:r>
      <w:r w:rsidR="001E7758" w:rsidRPr="002C4077">
        <w:t xml:space="preserve"> </w:t>
      </w:r>
      <w:r w:rsidR="001E7758">
        <w:t>que</w:t>
      </w:r>
      <w:r w:rsidR="001E7758" w:rsidRPr="002C4077">
        <w:t xml:space="preserve"> </w:t>
      </w:r>
      <w:r w:rsidR="001E7758">
        <w:t>ce</w:t>
      </w:r>
      <w:r w:rsidR="001E7758" w:rsidRPr="002C4077">
        <w:t xml:space="preserve"> </w:t>
      </w:r>
      <w:r w:rsidR="001E7758">
        <w:t>fils</w:t>
      </w:r>
      <w:r w:rsidR="001E7758" w:rsidRPr="002C4077">
        <w:t xml:space="preserve"> </w:t>
      </w:r>
      <w:r w:rsidR="001E7758">
        <w:t>d’É</w:t>
      </w:r>
      <w:r>
        <w:t>saïe</w:t>
      </w:r>
      <w:r w:rsidR="001E7758">
        <w:rPr>
          <w:rStyle w:val="Appelnotedebasdep"/>
        </w:rPr>
        <w:footnoteReference w:id="26"/>
      </w:r>
      <w:r w:rsidRPr="002C4077">
        <w:t xml:space="preserve"> </w:t>
      </w:r>
      <w:r>
        <w:t>et</w:t>
      </w:r>
      <w:r w:rsidRPr="002C4077">
        <w:t xml:space="preserve"> </w:t>
      </w:r>
      <w:r>
        <w:t>les</w:t>
      </w:r>
      <w:r w:rsidRPr="002C4077">
        <w:t xml:space="preserve"> </w:t>
      </w:r>
      <w:r>
        <w:t>autres</w:t>
      </w:r>
      <w:r w:rsidRPr="002C4077">
        <w:t xml:space="preserve"> </w:t>
      </w:r>
      <w:r>
        <w:t>qui</w:t>
      </w:r>
      <w:r w:rsidRPr="002C4077">
        <w:t xml:space="preserve"> </w:t>
      </w:r>
      <w:r>
        <w:t>seront</w:t>
      </w:r>
      <w:r w:rsidRPr="002C4077">
        <w:t xml:space="preserve"> </w:t>
      </w:r>
      <w:r>
        <w:t>nommés</w:t>
      </w:r>
      <w:r w:rsidRPr="002C4077">
        <w:t xml:space="preserve"> </w:t>
      </w:r>
      <w:r>
        <w:t>plus</w:t>
      </w:r>
      <w:r w:rsidRPr="002C4077">
        <w:t xml:space="preserve"> </w:t>
      </w:r>
      <w:r>
        <w:t>loin</w:t>
      </w:r>
      <w:r w:rsidRPr="002C4077">
        <w:t xml:space="preserve"> </w:t>
      </w:r>
      <w:r>
        <w:t>sont</w:t>
      </w:r>
      <w:r w:rsidRPr="002C4077">
        <w:t xml:space="preserve"> </w:t>
      </w:r>
      <w:r>
        <w:t>des</w:t>
      </w:r>
      <w:r w:rsidRPr="002C4077">
        <w:t xml:space="preserve"> </w:t>
      </w:r>
      <w:r>
        <w:t>personnages</w:t>
      </w:r>
      <w:r w:rsidRPr="002C4077">
        <w:t xml:space="preserve"> </w:t>
      </w:r>
      <w:r>
        <w:t>purement</w:t>
      </w:r>
      <w:r w:rsidRPr="002C4077">
        <w:t xml:space="preserve"> </w:t>
      </w:r>
      <w:r>
        <w:t>fictifs</w:t>
      </w:r>
      <w:r w:rsidR="00B546AF">
        <w:t> »</w:t>
      </w:r>
      <w:r>
        <w:t>.</w:t>
      </w:r>
      <w:r w:rsidRPr="002C4077">
        <w:t xml:space="preserve"> </w:t>
      </w:r>
      <w:r w:rsidRPr="000A34B5">
        <w:rPr>
          <w:rStyle w:val="italicus"/>
        </w:rPr>
        <w:t>Les</w:t>
      </w:r>
      <w:r w:rsidRPr="002C4077">
        <w:t xml:space="preserve"> </w:t>
      </w:r>
      <w:r w:rsidRPr="000A34B5">
        <w:rPr>
          <w:rStyle w:val="italicus"/>
        </w:rPr>
        <w:t>autres</w:t>
      </w:r>
      <w:r w:rsidRPr="002C4077">
        <w:t xml:space="preserve"> </w:t>
      </w:r>
      <w:r w:rsidRPr="000A34B5">
        <w:rPr>
          <w:rStyle w:val="italicus"/>
        </w:rPr>
        <w:t>qui</w:t>
      </w:r>
      <w:r w:rsidRPr="002C4077">
        <w:t xml:space="preserve"> </w:t>
      </w:r>
      <w:r w:rsidRPr="000A34B5">
        <w:rPr>
          <w:rStyle w:val="italicus"/>
        </w:rPr>
        <w:t>seront</w:t>
      </w:r>
      <w:r w:rsidRPr="002C4077">
        <w:t xml:space="preserve"> </w:t>
      </w:r>
      <w:r w:rsidRPr="000A34B5">
        <w:rPr>
          <w:rStyle w:val="italicus"/>
        </w:rPr>
        <w:t>nommés</w:t>
      </w:r>
      <w:r w:rsidRPr="002C4077">
        <w:t xml:space="preserve"> </w:t>
      </w:r>
      <w:r w:rsidRPr="000A34B5">
        <w:rPr>
          <w:rStyle w:val="italicus"/>
        </w:rPr>
        <w:t>plus</w:t>
      </w:r>
      <w:r w:rsidRPr="002C4077">
        <w:t xml:space="preserve"> </w:t>
      </w:r>
      <w:r w:rsidRPr="000A34B5">
        <w:rPr>
          <w:rStyle w:val="italicus"/>
        </w:rPr>
        <w:t>loin</w:t>
      </w:r>
      <w:r w:rsidR="00B546AF">
        <w:rPr>
          <w:rStyle w:val="italicus"/>
        </w:rPr>
        <w:t> </w:t>
      </w:r>
      <w:r w:rsidR="00B546AF" w:rsidRPr="000A34B5">
        <w:rPr>
          <w:rStyle w:val="italicus"/>
        </w:rPr>
        <w:t>!</w:t>
      </w:r>
      <w:r w:rsidRPr="002C4077">
        <w:t xml:space="preserve"> </w:t>
      </w:r>
      <w:r>
        <w:t>cela</w:t>
      </w:r>
      <w:r w:rsidRPr="002C4077">
        <w:t xml:space="preserve"> </w:t>
      </w:r>
      <w:r>
        <w:t>promet</w:t>
      </w:r>
      <w:r w:rsidR="00B546AF">
        <w:t> ;</w:t>
      </w:r>
      <w:r w:rsidRPr="002C4077">
        <w:t xml:space="preserve"> </w:t>
      </w:r>
      <w:r>
        <w:t>ajoutons</w:t>
      </w:r>
      <w:r w:rsidRPr="002C4077">
        <w:t xml:space="preserve"> </w:t>
      </w:r>
      <w:r>
        <w:t>que</w:t>
      </w:r>
      <w:r w:rsidRPr="002C4077">
        <w:t xml:space="preserve"> </w:t>
      </w:r>
      <w:r>
        <w:t>c’est</w:t>
      </w:r>
      <w:r w:rsidRPr="002C4077">
        <w:t xml:space="preserve"> </w:t>
      </w:r>
      <w:r>
        <w:t>un</w:t>
      </w:r>
      <w:r w:rsidRPr="002C4077">
        <w:t xml:space="preserve"> </w:t>
      </w:r>
      <w:r>
        <w:t>moyen</w:t>
      </w:r>
      <w:r w:rsidRPr="002C4077">
        <w:t xml:space="preserve"> </w:t>
      </w:r>
      <w:r>
        <w:t>fort</w:t>
      </w:r>
      <w:r w:rsidRPr="002C4077">
        <w:t xml:space="preserve"> </w:t>
      </w:r>
      <w:r>
        <w:t>aisé</w:t>
      </w:r>
      <w:r w:rsidRPr="002C4077">
        <w:t xml:space="preserve"> </w:t>
      </w:r>
      <w:r>
        <w:t>de</w:t>
      </w:r>
      <w:r w:rsidRPr="002C4077">
        <w:t xml:space="preserve"> </w:t>
      </w:r>
      <w:r>
        <w:t>faire</w:t>
      </w:r>
      <w:r w:rsidRPr="002C4077">
        <w:t xml:space="preserve"> </w:t>
      </w:r>
      <w:r>
        <w:t>disparaître</w:t>
      </w:r>
      <w:r w:rsidRPr="002C4077">
        <w:t xml:space="preserve"> </w:t>
      </w:r>
      <w:r>
        <w:t>des</w:t>
      </w:r>
      <w:r w:rsidRPr="002C4077">
        <w:t xml:space="preserve"> </w:t>
      </w:r>
      <w:r>
        <w:t>acteurs</w:t>
      </w:r>
      <w:r w:rsidRPr="002C4077">
        <w:t xml:space="preserve"> </w:t>
      </w:r>
      <w:r>
        <w:t>embarrassants.</w:t>
      </w:r>
      <w:r w:rsidRPr="002C4077">
        <w:t xml:space="preserve"> </w:t>
      </w:r>
    </w:p>
    <w:p w:rsidR="000A7AAB" w:rsidRDefault="000A7AAB" w:rsidP="000A7AAB">
      <w:r>
        <w:lastRenderedPageBreak/>
        <w:t>Un</w:t>
      </w:r>
      <w:r w:rsidRPr="002C4077">
        <w:t xml:space="preserve"> </w:t>
      </w:r>
      <w:r>
        <w:t>savant</w:t>
      </w:r>
      <w:r w:rsidRPr="002C4077">
        <w:t xml:space="preserve"> </w:t>
      </w:r>
      <w:r>
        <w:t>israélite,</w:t>
      </w:r>
      <w:r w:rsidRPr="002C4077">
        <w:t xml:space="preserve"> </w:t>
      </w:r>
      <w:r>
        <w:t>M.</w:t>
      </w:r>
      <w:r w:rsidRPr="002C4077">
        <w:t xml:space="preserve"> </w:t>
      </w:r>
      <w:r>
        <w:t>David</w:t>
      </w:r>
      <w:r w:rsidRPr="002C4077">
        <w:t xml:space="preserve"> </w:t>
      </w:r>
      <w:r>
        <w:t>Cass</w:t>
      </w:r>
      <w:r w:rsidR="00F6492C">
        <w:t>el</w:t>
      </w:r>
      <w:r w:rsidR="00F6492C">
        <w:rPr>
          <w:rStyle w:val="Appelnotedebasdep"/>
        </w:rPr>
        <w:footnoteReference w:id="27"/>
      </w:r>
      <w:r w:rsidR="00F6492C">
        <w:t>,</w:t>
      </w:r>
      <w:r w:rsidRPr="002C4077">
        <w:t xml:space="preserve"> </w:t>
      </w:r>
      <w:r>
        <w:t>raisonne</w:t>
      </w:r>
      <w:r w:rsidRPr="002C4077">
        <w:t xml:space="preserve"> </w:t>
      </w:r>
      <w:r>
        <w:t>à</w:t>
      </w:r>
      <w:r w:rsidRPr="002C4077">
        <w:t xml:space="preserve"> </w:t>
      </w:r>
      <w:r>
        <w:t>peu</w:t>
      </w:r>
      <w:r w:rsidRPr="002C4077">
        <w:t xml:space="preserve"> </w:t>
      </w:r>
      <w:r>
        <w:t>près</w:t>
      </w:r>
      <w:r w:rsidRPr="002C4077">
        <w:t xml:space="preserve"> </w:t>
      </w:r>
      <w:r>
        <w:t>de</w:t>
      </w:r>
      <w:r w:rsidRPr="002C4077">
        <w:t xml:space="preserve"> </w:t>
      </w:r>
      <w:r>
        <w:t>la</w:t>
      </w:r>
      <w:r w:rsidRPr="002C4077">
        <w:t xml:space="preserve"> </w:t>
      </w:r>
      <w:r>
        <w:t>même</w:t>
      </w:r>
      <w:r w:rsidRPr="002C4077">
        <w:t xml:space="preserve"> </w:t>
      </w:r>
      <w:r>
        <w:t>manière</w:t>
      </w:r>
      <w:r w:rsidR="00B546AF">
        <w:t> :</w:t>
      </w:r>
      <w:r w:rsidR="00C45B47">
        <w:t xml:space="preserve"> {</w:t>
      </w:r>
      <w:r w:rsidR="000721C4">
        <w:t>8</w:t>
      </w:r>
      <w:bookmarkStart w:id="35" w:name="p008"/>
      <w:bookmarkEnd w:id="35"/>
      <w:r w:rsidR="000721C4">
        <w:t xml:space="preserve">} </w:t>
      </w:r>
      <w:r w:rsidR="00B546AF">
        <w:t>« </w:t>
      </w:r>
      <w:r>
        <w:t>Le</w:t>
      </w:r>
      <w:r w:rsidRPr="002C4077">
        <w:t xml:space="preserve"> </w:t>
      </w:r>
      <w:r>
        <w:t>but</w:t>
      </w:r>
      <w:r w:rsidRPr="002C4077">
        <w:t xml:space="preserve"> </w:t>
      </w:r>
      <w:r>
        <w:t>pour</w:t>
      </w:r>
      <w:r w:rsidRPr="002C4077">
        <w:t xml:space="preserve"> </w:t>
      </w:r>
      <w:r>
        <w:t>lequel</w:t>
      </w:r>
      <w:r w:rsidRPr="002C4077">
        <w:t xml:space="preserve"> </w:t>
      </w:r>
      <w:r>
        <w:t>Isaïe</w:t>
      </w:r>
      <w:r w:rsidRPr="002C4077">
        <w:t xml:space="preserve"> </w:t>
      </w:r>
      <w:r>
        <w:t>prend</w:t>
      </w:r>
      <w:r w:rsidRPr="002C4077">
        <w:t xml:space="preserve"> </w:t>
      </w:r>
      <w:r>
        <w:t>son</w:t>
      </w:r>
      <w:r w:rsidRPr="002C4077">
        <w:t xml:space="preserve"> </w:t>
      </w:r>
      <w:r>
        <w:t>fils</w:t>
      </w:r>
      <w:r w:rsidRPr="002C4077">
        <w:t xml:space="preserve"> </w:t>
      </w:r>
      <w:r>
        <w:t>avec</w:t>
      </w:r>
      <w:r w:rsidRPr="002C4077">
        <w:t xml:space="preserve"> </w:t>
      </w:r>
      <w:r>
        <w:t>lui</w:t>
      </w:r>
      <w:r w:rsidRPr="002C4077">
        <w:t xml:space="preserve"> </w:t>
      </w:r>
      <w:r>
        <w:t>ne</w:t>
      </w:r>
      <w:r w:rsidRPr="002C4077">
        <w:t xml:space="preserve"> </w:t>
      </w:r>
      <w:r>
        <w:t>ressort</w:t>
      </w:r>
      <w:r w:rsidRPr="002C4077">
        <w:t xml:space="preserve"> </w:t>
      </w:r>
      <w:r>
        <w:t>pas</w:t>
      </w:r>
      <w:r w:rsidRPr="002C4077">
        <w:t xml:space="preserve"> </w:t>
      </w:r>
      <w:r>
        <w:t>du</w:t>
      </w:r>
      <w:r w:rsidRPr="002C4077">
        <w:t xml:space="preserve"> </w:t>
      </w:r>
      <w:r>
        <w:t>contexte</w:t>
      </w:r>
      <w:r w:rsidR="00B546AF">
        <w:t> »</w:t>
      </w:r>
      <w:r>
        <w:t>.</w:t>
      </w:r>
      <w:r w:rsidRPr="002C4077">
        <w:t xml:space="preserve"> </w:t>
      </w:r>
      <w:r>
        <w:t>Ewald,</w:t>
      </w:r>
      <w:r w:rsidRPr="002C4077">
        <w:t xml:space="preserve"> </w:t>
      </w:r>
      <w:r>
        <w:t>qui</w:t>
      </w:r>
      <w:r w:rsidRPr="002C4077">
        <w:t xml:space="preserve"> </w:t>
      </w:r>
      <w:r>
        <w:t>pourtant</w:t>
      </w:r>
      <w:r w:rsidRPr="002C4077">
        <w:t xml:space="preserve"> </w:t>
      </w:r>
      <w:r>
        <w:t>ne</w:t>
      </w:r>
      <w:r w:rsidRPr="002C4077">
        <w:t xml:space="preserve"> </w:t>
      </w:r>
      <w:r>
        <w:t>se</w:t>
      </w:r>
      <w:r w:rsidRPr="002C4077">
        <w:t xml:space="preserve"> </w:t>
      </w:r>
      <w:r>
        <w:t>gène</w:t>
      </w:r>
      <w:r w:rsidRPr="002C4077">
        <w:t xml:space="preserve"> </w:t>
      </w:r>
      <w:r>
        <w:t>guère</w:t>
      </w:r>
      <w:r w:rsidRPr="002C4077">
        <w:t xml:space="preserve"> </w:t>
      </w:r>
      <w:r>
        <w:t>avec</w:t>
      </w:r>
      <w:r w:rsidRPr="002C4077">
        <w:t xml:space="preserve"> </w:t>
      </w:r>
      <w:r>
        <w:t>les</w:t>
      </w:r>
      <w:r w:rsidRPr="002C4077">
        <w:t xml:space="preserve"> </w:t>
      </w:r>
      <w:r>
        <w:t>textes</w:t>
      </w:r>
      <w:r w:rsidRPr="002C4077">
        <w:t xml:space="preserve"> </w:t>
      </w:r>
      <w:r>
        <w:t>sacrés,</w:t>
      </w:r>
      <w:r w:rsidRPr="002C4077">
        <w:t xml:space="preserve"> </w:t>
      </w:r>
      <w:r>
        <w:t>nous</w:t>
      </w:r>
      <w:r w:rsidRPr="002C4077">
        <w:t xml:space="preserve"> </w:t>
      </w:r>
      <w:r>
        <w:t>fournit</w:t>
      </w:r>
      <w:r w:rsidRPr="002C4077">
        <w:t xml:space="preserve"> </w:t>
      </w:r>
      <w:r>
        <w:t>une</w:t>
      </w:r>
      <w:r w:rsidRPr="002C4077">
        <w:t xml:space="preserve"> </w:t>
      </w:r>
      <w:r>
        <w:t>excellente</w:t>
      </w:r>
      <w:r w:rsidRPr="002C4077">
        <w:t xml:space="preserve"> </w:t>
      </w:r>
      <w:r>
        <w:t>riposte</w:t>
      </w:r>
      <w:r w:rsidR="00B91AF7">
        <w:rPr>
          <w:rStyle w:val="Appelnotedebasdep"/>
        </w:rPr>
        <w:footnoteReference w:id="28"/>
      </w:r>
      <w:r w:rsidR="00B546AF">
        <w:t> :</w:t>
      </w:r>
      <w:r w:rsidRPr="002C4077">
        <w:t xml:space="preserve"> </w:t>
      </w:r>
      <w:r w:rsidR="00B546AF">
        <w:t>« </w:t>
      </w:r>
      <w:r>
        <w:t>La</w:t>
      </w:r>
      <w:r w:rsidRPr="002C4077">
        <w:t xml:space="preserve"> </w:t>
      </w:r>
      <w:r>
        <w:t>présence</w:t>
      </w:r>
      <w:r w:rsidRPr="002C4077">
        <w:t xml:space="preserve"> </w:t>
      </w:r>
      <w:r>
        <w:t>de</w:t>
      </w:r>
      <w:r w:rsidRPr="002C4077">
        <w:t xml:space="preserve"> </w:t>
      </w:r>
      <w:r>
        <w:t>cet</w:t>
      </w:r>
      <w:r w:rsidRPr="002C4077">
        <w:t xml:space="preserve"> </w:t>
      </w:r>
      <w:r>
        <w:t>enfant</w:t>
      </w:r>
      <w:r w:rsidRPr="002C4077">
        <w:t xml:space="preserve"> </w:t>
      </w:r>
      <w:r>
        <w:t>devait</w:t>
      </w:r>
      <w:r w:rsidRPr="002C4077">
        <w:t xml:space="preserve"> </w:t>
      </w:r>
      <w:r>
        <w:t>faire</w:t>
      </w:r>
      <w:r w:rsidRPr="002C4077">
        <w:t xml:space="preserve"> </w:t>
      </w:r>
      <w:r>
        <w:t>revivre</w:t>
      </w:r>
      <w:r w:rsidRPr="004440EA">
        <w:t xml:space="preserve"> (</w:t>
      </w:r>
      <w:r>
        <w:t>chez</w:t>
      </w:r>
      <w:r w:rsidRPr="002C4077">
        <w:t xml:space="preserve"> </w:t>
      </w:r>
      <w:r>
        <w:t>tous</w:t>
      </w:r>
      <w:r w:rsidRPr="002C4077">
        <w:t xml:space="preserve"> </w:t>
      </w:r>
      <w:r>
        <w:t>les</w:t>
      </w:r>
      <w:r w:rsidRPr="002C4077">
        <w:t xml:space="preserve"> </w:t>
      </w:r>
      <w:r>
        <w:t>témoins</w:t>
      </w:r>
      <w:r w:rsidRPr="002C4077">
        <w:t xml:space="preserve"> </w:t>
      </w:r>
      <w:r>
        <w:t>de</w:t>
      </w:r>
      <w:r w:rsidRPr="002C4077">
        <w:t xml:space="preserve"> </w:t>
      </w:r>
      <w:r>
        <w:t>la</w:t>
      </w:r>
      <w:r w:rsidRPr="002C4077">
        <w:t xml:space="preserve"> </w:t>
      </w:r>
      <w:r>
        <w:t>scène</w:t>
      </w:r>
      <w:r w:rsidR="00B546AF" w:rsidRPr="002C4077">
        <w:t>)</w:t>
      </w:r>
      <w:r w:rsidRPr="002C4077">
        <w:t xml:space="preserve"> </w:t>
      </w:r>
      <w:r>
        <w:t>la</w:t>
      </w:r>
      <w:r w:rsidRPr="002C4077">
        <w:t xml:space="preserve"> </w:t>
      </w:r>
      <w:r>
        <w:t>pensée</w:t>
      </w:r>
      <w:r w:rsidRPr="002C4077">
        <w:t xml:space="preserve"> </w:t>
      </w:r>
      <w:r>
        <w:t>supérieure</w:t>
      </w:r>
      <w:r w:rsidRPr="002C4077">
        <w:t xml:space="preserve"> </w:t>
      </w:r>
      <w:r>
        <w:t>et</w:t>
      </w:r>
      <w:r w:rsidRPr="002C4077">
        <w:t xml:space="preserve"> </w:t>
      </w:r>
      <w:r>
        <w:t>consolante</w:t>
      </w:r>
      <w:r w:rsidRPr="002C4077">
        <w:t xml:space="preserve"> </w:t>
      </w:r>
      <w:r>
        <w:t>qui</w:t>
      </w:r>
      <w:r w:rsidRPr="002C4077">
        <w:t xml:space="preserve"> </w:t>
      </w:r>
      <w:r>
        <w:t>était</w:t>
      </w:r>
      <w:r w:rsidRPr="002C4077">
        <w:t xml:space="preserve"> </w:t>
      </w:r>
      <w:r>
        <w:t>contenue</w:t>
      </w:r>
      <w:r w:rsidRPr="002C4077">
        <w:t xml:space="preserve"> </w:t>
      </w:r>
      <w:r>
        <w:t>dans</w:t>
      </w:r>
      <w:r w:rsidRPr="002C4077">
        <w:t xml:space="preserve"> </w:t>
      </w:r>
      <w:r>
        <w:t>son</w:t>
      </w:r>
      <w:r w:rsidRPr="002C4077">
        <w:t xml:space="preserve"> </w:t>
      </w:r>
      <w:r>
        <w:t>nom</w:t>
      </w:r>
      <w:r w:rsidRPr="002C4077">
        <w:t xml:space="preserve"> </w:t>
      </w:r>
      <w:r>
        <w:t>comme</w:t>
      </w:r>
      <w:r w:rsidRPr="002C4077">
        <w:t xml:space="preserve"> </w:t>
      </w:r>
      <w:r>
        <w:t>dans</w:t>
      </w:r>
      <w:r w:rsidRPr="002C4077">
        <w:t xml:space="preserve"> </w:t>
      </w:r>
      <w:r>
        <w:t>son</w:t>
      </w:r>
      <w:r w:rsidRPr="002C4077">
        <w:t xml:space="preserve"> </w:t>
      </w:r>
      <w:r>
        <w:t>existence</w:t>
      </w:r>
      <w:r w:rsidRPr="002C4077">
        <w:t xml:space="preserve"> </w:t>
      </w:r>
      <w:r>
        <w:t>même,</w:t>
      </w:r>
      <w:r w:rsidRPr="002C4077">
        <w:t xml:space="preserve"> </w:t>
      </w:r>
      <w:r>
        <w:t>à</w:t>
      </w:r>
      <w:r w:rsidRPr="002C4077">
        <w:t xml:space="preserve"> </w:t>
      </w:r>
      <w:r>
        <w:t>savoir,</w:t>
      </w:r>
      <w:r w:rsidRPr="002C4077">
        <w:t xml:space="preserve"> </w:t>
      </w:r>
      <w:r>
        <w:t>qu’au</w:t>
      </w:r>
      <w:r w:rsidRPr="002C4077">
        <w:t xml:space="preserve"> </w:t>
      </w:r>
      <w:r>
        <w:t>moins</w:t>
      </w:r>
      <w:r w:rsidRPr="002C4077">
        <w:t xml:space="preserve"> </w:t>
      </w:r>
      <w:r>
        <w:t>dans</w:t>
      </w:r>
      <w:r w:rsidRPr="002C4077">
        <w:t xml:space="preserve"> </w:t>
      </w:r>
      <w:r>
        <w:t>l’avenir</w:t>
      </w:r>
      <w:r w:rsidRPr="002C4077">
        <w:t xml:space="preserve"> </w:t>
      </w:r>
      <w:r>
        <w:t>il</w:t>
      </w:r>
      <w:r w:rsidRPr="002C4077">
        <w:t xml:space="preserve"> </w:t>
      </w:r>
      <w:r>
        <w:t>y</w:t>
      </w:r>
      <w:r w:rsidRPr="002C4077">
        <w:t xml:space="preserve"> </w:t>
      </w:r>
      <w:r>
        <w:t>avait</w:t>
      </w:r>
      <w:r w:rsidRPr="002C4077">
        <w:t xml:space="preserve"> </w:t>
      </w:r>
      <w:r>
        <w:t>pour</w:t>
      </w:r>
      <w:r w:rsidRPr="002C4077">
        <w:t xml:space="preserve"> </w:t>
      </w:r>
      <w:r>
        <w:t>Israël</w:t>
      </w:r>
      <w:r w:rsidRPr="002C4077">
        <w:t xml:space="preserve"> </w:t>
      </w:r>
      <w:r>
        <w:t>une</w:t>
      </w:r>
      <w:r w:rsidRPr="002C4077">
        <w:t xml:space="preserve"> </w:t>
      </w:r>
      <w:r>
        <w:t>ferme</w:t>
      </w:r>
      <w:r w:rsidRPr="002C4077">
        <w:t xml:space="preserve"> </w:t>
      </w:r>
      <w:r>
        <w:t>espérance</w:t>
      </w:r>
      <w:r w:rsidR="00B546AF">
        <w:t> »</w:t>
      </w:r>
      <w:r>
        <w:t>.</w:t>
      </w:r>
      <w:r w:rsidRPr="002C4077">
        <w:t xml:space="preserve"> </w:t>
      </w:r>
      <w:r>
        <w:t>Rien</w:t>
      </w:r>
      <w:r w:rsidRPr="002C4077">
        <w:t xml:space="preserve"> </w:t>
      </w:r>
      <w:r>
        <w:t>de</w:t>
      </w:r>
      <w:r w:rsidRPr="002C4077">
        <w:t xml:space="preserve"> </w:t>
      </w:r>
      <w:r>
        <w:t>plus</w:t>
      </w:r>
      <w:r w:rsidRPr="002C4077">
        <w:t xml:space="preserve"> </w:t>
      </w:r>
      <w:r>
        <w:t>juste,</w:t>
      </w:r>
      <w:r w:rsidRPr="002C4077">
        <w:t xml:space="preserve"> </w:t>
      </w:r>
      <w:r>
        <w:t>en</w:t>
      </w:r>
      <w:r w:rsidRPr="002C4077">
        <w:t xml:space="preserve"> </w:t>
      </w:r>
      <w:r>
        <w:t>effet.</w:t>
      </w:r>
      <w:r w:rsidRPr="002C4077">
        <w:t xml:space="preserve"> </w:t>
      </w:r>
      <w:r>
        <w:t>Le</w:t>
      </w:r>
      <w:r w:rsidRPr="002C4077">
        <w:t xml:space="preserve"> </w:t>
      </w:r>
      <w:r>
        <w:t>nom</w:t>
      </w:r>
      <w:r w:rsidRPr="002C4077">
        <w:t xml:space="preserve"> </w:t>
      </w:r>
      <w:r>
        <w:t>de</w:t>
      </w:r>
      <w:r w:rsidRPr="002C4077">
        <w:t xml:space="preserve"> </w:t>
      </w:r>
      <w:r>
        <w:t>Schear-Iaschoub</w:t>
      </w:r>
      <w:r w:rsidRPr="002C4077">
        <w:t xml:space="preserve"> </w:t>
      </w:r>
      <w:r>
        <w:t>était</w:t>
      </w:r>
      <w:r w:rsidRPr="002C4077">
        <w:t xml:space="preserve"> </w:t>
      </w:r>
      <w:r>
        <w:t>tout</w:t>
      </w:r>
      <w:r w:rsidRPr="002C4077">
        <w:t xml:space="preserve"> </w:t>
      </w:r>
      <w:r>
        <w:t>à</w:t>
      </w:r>
      <w:r w:rsidRPr="002C4077">
        <w:t xml:space="preserve"> </w:t>
      </w:r>
      <w:r>
        <w:t>la</w:t>
      </w:r>
      <w:r w:rsidRPr="002C4077">
        <w:t xml:space="preserve"> </w:t>
      </w:r>
      <w:r>
        <w:t>fois</w:t>
      </w:r>
      <w:r w:rsidRPr="002C4077">
        <w:t xml:space="preserve"> </w:t>
      </w:r>
      <w:r>
        <w:t>terrible</w:t>
      </w:r>
      <w:r w:rsidRPr="002C4077">
        <w:t xml:space="preserve"> </w:t>
      </w:r>
      <w:r>
        <w:t>et</w:t>
      </w:r>
      <w:r w:rsidRPr="002C4077">
        <w:t xml:space="preserve"> </w:t>
      </w:r>
      <w:r>
        <w:t>rassurant.</w:t>
      </w:r>
      <w:r w:rsidRPr="002C4077">
        <w:t xml:space="preserve"> </w:t>
      </w:r>
      <w:r w:rsidRPr="000A34B5">
        <w:rPr>
          <w:rStyle w:val="italicus"/>
        </w:rPr>
        <w:t>Schear,</w:t>
      </w:r>
      <w:r w:rsidRPr="002C4077">
        <w:t xml:space="preserve"> </w:t>
      </w:r>
      <w:r>
        <w:t>c’est-à-dire,</w:t>
      </w:r>
      <w:r w:rsidRPr="002C4077">
        <w:t xml:space="preserve"> </w:t>
      </w:r>
      <w:r w:rsidR="00B546AF">
        <w:t>« </w:t>
      </w:r>
      <w:r>
        <w:t>un</w:t>
      </w:r>
      <w:r w:rsidRPr="002C4077">
        <w:t xml:space="preserve"> </w:t>
      </w:r>
      <w:r>
        <w:t>reste</w:t>
      </w:r>
      <w:r w:rsidR="00B546AF">
        <w:t> »</w:t>
      </w:r>
      <w:r>
        <w:t>,</w:t>
      </w:r>
      <w:r w:rsidRPr="002C4077">
        <w:t xml:space="preserve"> </w:t>
      </w:r>
      <w:r>
        <w:t>voilà</w:t>
      </w:r>
      <w:r w:rsidRPr="002C4077">
        <w:t xml:space="preserve"> </w:t>
      </w:r>
      <w:r>
        <w:t>le</w:t>
      </w:r>
      <w:r w:rsidRPr="002C4077">
        <w:t xml:space="preserve"> </w:t>
      </w:r>
      <w:r>
        <w:t>côté</w:t>
      </w:r>
      <w:r w:rsidRPr="002C4077">
        <w:t xml:space="preserve"> </w:t>
      </w:r>
      <w:r>
        <w:t>menaçant</w:t>
      </w:r>
      <w:r w:rsidR="00B546AF">
        <w:t> ;</w:t>
      </w:r>
      <w:r w:rsidRPr="002C4077">
        <w:t xml:space="preserve"> </w:t>
      </w:r>
      <w:r>
        <w:t>le</w:t>
      </w:r>
      <w:r w:rsidRPr="002C4077">
        <w:t xml:space="preserve"> </w:t>
      </w:r>
      <w:r w:rsidR="001E7758">
        <w:t>peuple</w:t>
      </w:r>
      <w:r w:rsidR="001E7758" w:rsidRPr="002C4077">
        <w:t xml:space="preserve"> </w:t>
      </w:r>
      <w:r w:rsidR="001E7758">
        <w:t>juif</w:t>
      </w:r>
      <w:r w:rsidRPr="002C4077">
        <w:t xml:space="preserve"> </w:t>
      </w:r>
      <w:r>
        <w:t>devra</w:t>
      </w:r>
      <w:r w:rsidRPr="002C4077">
        <w:t xml:space="preserve"> </w:t>
      </w:r>
      <w:r>
        <w:t>passer</w:t>
      </w:r>
      <w:r w:rsidRPr="002C4077">
        <w:t xml:space="preserve"> </w:t>
      </w:r>
      <w:r>
        <w:t>par</w:t>
      </w:r>
      <w:r w:rsidRPr="002C4077">
        <w:t xml:space="preserve"> </w:t>
      </w:r>
      <w:r>
        <w:t>d’effroyables</w:t>
      </w:r>
      <w:r w:rsidRPr="002C4077">
        <w:t xml:space="preserve"> </w:t>
      </w:r>
      <w:r>
        <w:t>malheurs,</w:t>
      </w:r>
      <w:r w:rsidRPr="002C4077">
        <w:t xml:space="preserve"> </w:t>
      </w:r>
      <w:r>
        <w:t>qui</w:t>
      </w:r>
      <w:r w:rsidRPr="002C4077">
        <w:t xml:space="preserve"> </w:t>
      </w:r>
      <w:r>
        <w:t>le</w:t>
      </w:r>
      <w:r w:rsidRPr="002C4077">
        <w:t xml:space="preserve"> </w:t>
      </w:r>
      <w:r>
        <w:t>ruineront</w:t>
      </w:r>
      <w:r w:rsidRPr="002C4077">
        <w:t xml:space="preserve"> </w:t>
      </w:r>
      <w:r>
        <w:t>en</w:t>
      </w:r>
      <w:r w:rsidRPr="002C4077">
        <w:t xml:space="preserve"> </w:t>
      </w:r>
      <w:r>
        <w:t>grande</w:t>
      </w:r>
      <w:r w:rsidRPr="002C4077">
        <w:t xml:space="preserve"> </w:t>
      </w:r>
      <w:r>
        <w:t>partie,</w:t>
      </w:r>
      <w:r w:rsidRPr="002C4077">
        <w:t xml:space="preserve"> </w:t>
      </w:r>
      <w:r>
        <w:t>de</w:t>
      </w:r>
      <w:r w:rsidRPr="002C4077">
        <w:t xml:space="preserve"> </w:t>
      </w:r>
      <w:r>
        <w:t>sorte</w:t>
      </w:r>
      <w:r w:rsidRPr="002C4077">
        <w:t xml:space="preserve"> </w:t>
      </w:r>
      <w:r>
        <w:t>qu’un</w:t>
      </w:r>
      <w:r w:rsidRPr="002C4077">
        <w:t xml:space="preserve"> </w:t>
      </w:r>
      <w:r>
        <w:t>petit</w:t>
      </w:r>
      <w:r w:rsidRPr="002C4077">
        <w:t xml:space="preserve"> </w:t>
      </w:r>
      <w:r>
        <w:t>reste</w:t>
      </w:r>
      <w:r w:rsidRPr="002C4077">
        <w:t xml:space="preserve"> </w:t>
      </w:r>
      <w:r>
        <w:t>seulement</w:t>
      </w:r>
      <w:r w:rsidRPr="002C4077">
        <w:t xml:space="preserve"> </w:t>
      </w:r>
      <w:r>
        <w:t>survivra.</w:t>
      </w:r>
      <w:r w:rsidRPr="002C4077">
        <w:t xml:space="preserve"> </w:t>
      </w:r>
      <w:r w:rsidRPr="000A34B5">
        <w:rPr>
          <w:rStyle w:val="italicus"/>
        </w:rPr>
        <w:t>Iaschoub</w:t>
      </w:r>
      <w:bookmarkStart w:id="36" w:name="z_SchearIaschoub_o2"/>
      <w:bookmarkEnd w:id="36"/>
      <w:r w:rsidRPr="000A34B5">
        <w:rPr>
          <w:rStyle w:val="italicus"/>
        </w:rPr>
        <w:t>,</w:t>
      </w:r>
      <w:r w:rsidRPr="002C4077">
        <w:t xml:space="preserve"> </w:t>
      </w:r>
      <w:r>
        <w:t>c’est-à-dire,</w:t>
      </w:r>
      <w:r w:rsidRPr="002C4077">
        <w:t xml:space="preserve"> </w:t>
      </w:r>
      <w:r w:rsidR="00B546AF">
        <w:t>« </w:t>
      </w:r>
      <w:r>
        <w:t>se</w:t>
      </w:r>
      <w:r w:rsidRPr="002C4077">
        <w:t xml:space="preserve"> </w:t>
      </w:r>
      <w:r>
        <w:t>convertira</w:t>
      </w:r>
      <w:r w:rsidR="00B546AF">
        <w:t> » :</w:t>
      </w:r>
      <w:r w:rsidRPr="002C4077">
        <w:t xml:space="preserve"> </w:t>
      </w:r>
      <w:r>
        <w:t>voilà</w:t>
      </w:r>
      <w:r w:rsidRPr="002C4077">
        <w:t xml:space="preserve"> </w:t>
      </w:r>
      <w:r>
        <w:t>une</w:t>
      </w:r>
      <w:r w:rsidRPr="002C4077">
        <w:t xml:space="preserve"> </w:t>
      </w:r>
      <w:r>
        <w:t>belle</w:t>
      </w:r>
      <w:r w:rsidRPr="002C4077">
        <w:t xml:space="preserve"> </w:t>
      </w:r>
      <w:r>
        <w:t>promesse</w:t>
      </w:r>
      <w:r w:rsidRPr="002C4077">
        <w:t xml:space="preserve"> </w:t>
      </w:r>
      <w:r>
        <w:t>d’avenir.</w:t>
      </w:r>
      <w:r w:rsidRPr="002C4077">
        <w:t xml:space="preserve"> </w:t>
      </w:r>
      <w:r>
        <w:t>Donc</w:t>
      </w:r>
      <w:r w:rsidRPr="002C4077">
        <w:t xml:space="preserve"> </w:t>
      </w:r>
      <w:r>
        <w:t>Isaïe,</w:t>
      </w:r>
      <w:r w:rsidRPr="002C4077">
        <w:t xml:space="preserve"> </w:t>
      </w:r>
      <w:r>
        <w:t>d’après</w:t>
      </w:r>
      <w:r w:rsidRPr="002C4077">
        <w:t xml:space="preserve"> </w:t>
      </w:r>
      <w:r>
        <w:t>l’ordre</w:t>
      </w:r>
      <w:r w:rsidRPr="002C4077">
        <w:t xml:space="preserve"> </w:t>
      </w:r>
      <w:r>
        <w:t>divin,</w:t>
      </w:r>
      <w:r w:rsidRPr="002C4077">
        <w:t xml:space="preserve"> </w:t>
      </w:r>
      <w:r>
        <w:t>emmena</w:t>
      </w:r>
      <w:r w:rsidRPr="002C4077">
        <w:t xml:space="preserve"> </w:t>
      </w:r>
      <w:r>
        <w:t>son</w:t>
      </w:r>
      <w:r w:rsidRPr="002C4077">
        <w:t xml:space="preserve"> </w:t>
      </w:r>
      <w:r>
        <w:t>fils</w:t>
      </w:r>
      <w:r w:rsidRPr="002C4077">
        <w:t xml:space="preserve"> </w:t>
      </w:r>
      <w:r>
        <w:t>avec</w:t>
      </w:r>
      <w:r w:rsidRPr="002C4077">
        <w:t xml:space="preserve"> </w:t>
      </w:r>
      <w:r>
        <w:t>lui</w:t>
      </w:r>
      <w:r w:rsidRPr="002C4077">
        <w:t xml:space="preserve"> </w:t>
      </w:r>
      <w:r>
        <w:t>comme</w:t>
      </w:r>
      <w:r w:rsidRPr="002C4077">
        <w:t xml:space="preserve"> </w:t>
      </w:r>
      <w:r>
        <w:t>un</w:t>
      </w:r>
      <w:r w:rsidRPr="002C4077">
        <w:t xml:space="preserve"> </w:t>
      </w:r>
      <w:r>
        <w:t>vivant</w:t>
      </w:r>
      <w:r w:rsidRPr="002C4077">
        <w:t xml:space="preserve"> </w:t>
      </w:r>
      <w:r>
        <w:t>emblème</w:t>
      </w:r>
      <w:r w:rsidRPr="002C4077">
        <w:t xml:space="preserve"> </w:t>
      </w:r>
      <w:r>
        <w:t>des</w:t>
      </w:r>
      <w:r w:rsidRPr="002C4077">
        <w:t xml:space="preserve"> </w:t>
      </w:r>
      <w:r>
        <w:t>destinées</w:t>
      </w:r>
      <w:r w:rsidRPr="002C4077">
        <w:t xml:space="preserve"> </w:t>
      </w:r>
      <w:r>
        <w:t>futures</w:t>
      </w:r>
      <w:r w:rsidRPr="002C4077">
        <w:t xml:space="preserve"> </w:t>
      </w:r>
      <w:r>
        <w:t>de</w:t>
      </w:r>
      <w:r w:rsidRPr="002C4077">
        <w:t xml:space="preserve"> </w:t>
      </w:r>
      <w:r>
        <w:t>la</w:t>
      </w:r>
      <w:r w:rsidRPr="002C4077">
        <w:t xml:space="preserve"> </w:t>
      </w:r>
      <w:r>
        <w:t>famille</w:t>
      </w:r>
      <w:r w:rsidRPr="002C4077">
        <w:t xml:space="preserve"> </w:t>
      </w:r>
      <w:r>
        <w:t>royale,</w:t>
      </w:r>
      <w:r w:rsidRPr="002C4077">
        <w:t xml:space="preserve"> </w:t>
      </w:r>
      <w:r>
        <w:t>et</w:t>
      </w:r>
      <w:r w:rsidRPr="002C4077">
        <w:t xml:space="preserve"> </w:t>
      </w:r>
      <w:r>
        <w:t>de</w:t>
      </w:r>
      <w:r w:rsidRPr="002C4077">
        <w:t xml:space="preserve"> </w:t>
      </w:r>
      <w:r>
        <w:t>tout</w:t>
      </w:r>
      <w:r w:rsidRPr="002C4077">
        <w:t xml:space="preserve"> </w:t>
      </w:r>
      <w:r>
        <w:t>l’état</w:t>
      </w:r>
      <w:r w:rsidRPr="002C4077">
        <w:t xml:space="preserve"> </w:t>
      </w:r>
      <w:r>
        <w:t>juif.</w:t>
      </w:r>
      <w:r w:rsidRPr="002C4077">
        <w:t xml:space="preserve"> </w:t>
      </w:r>
    </w:p>
    <w:p w:rsidR="000A7AAB" w:rsidRDefault="000A7AAB" w:rsidP="000A7AAB">
      <w:r>
        <w:t>L’allocution</w:t>
      </w:r>
      <w:r w:rsidRPr="002C4077">
        <w:t xml:space="preserve"> </w:t>
      </w:r>
      <w:r>
        <w:t>adressée</w:t>
      </w:r>
      <w:r w:rsidRPr="002C4077">
        <w:t xml:space="preserve"> </w:t>
      </w:r>
      <w:r>
        <w:t>au</w:t>
      </w:r>
      <w:r w:rsidRPr="002C4077">
        <w:t xml:space="preserve"> </w:t>
      </w:r>
      <w:r>
        <w:t>roi</w:t>
      </w:r>
      <w:r w:rsidRPr="002C4077">
        <w:t xml:space="preserve"> </w:t>
      </w:r>
      <w:r>
        <w:t>par</w:t>
      </w:r>
      <w:r w:rsidRPr="002C4077">
        <w:t xml:space="preserve"> </w:t>
      </w:r>
      <w:r>
        <w:t>Isaïe</w:t>
      </w:r>
      <w:r w:rsidRPr="004440EA">
        <w:t xml:space="preserve"> (</w:t>
      </w:r>
      <w:r>
        <w:t>VII,</w:t>
      </w:r>
      <w:r w:rsidRPr="002C4077">
        <w:t xml:space="preserve"> </w:t>
      </w:r>
      <w:r>
        <w:t>4-9</w:t>
      </w:r>
      <w:r w:rsidR="00B546AF" w:rsidRPr="002C4077">
        <w:t>)</w:t>
      </w:r>
      <w:r w:rsidRPr="002C4077">
        <w:t xml:space="preserve"> </w:t>
      </w:r>
      <w:r>
        <w:t>s’est</w:t>
      </w:r>
      <w:r w:rsidRPr="002C4077">
        <w:t xml:space="preserve"> </w:t>
      </w:r>
      <w:r>
        <w:t>de</w:t>
      </w:r>
      <w:r w:rsidRPr="002C4077">
        <w:t xml:space="preserve"> </w:t>
      </w:r>
      <w:r>
        <w:t>même</w:t>
      </w:r>
      <w:r w:rsidRPr="002C4077">
        <w:t xml:space="preserve"> </w:t>
      </w:r>
      <w:r>
        <w:t>attiré</w:t>
      </w:r>
      <w:r w:rsidRPr="002C4077">
        <w:t xml:space="preserve"> </w:t>
      </w:r>
      <w:r>
        <w:t>le</w:t>
      </w:r>
      <w:r w:rsidRPr="002C4077">
        <w:t xml:space="preserve"> </w:t>
      </w:r>
      <w:r>
        <w:t>blâme</w:t>
      </w:r>
      <w:r w:rsidRPr="002C4077">
        <w:t xml:space="preserve"> </w:t>
      </w:r>
      <w:r>
        <w:t>de</w:t>
      </w:r>
      <w:r w:rsidRPr="002C4077">
        <w:t xml:space="preserve"> </w:t>
      </w:r>
      <w:r>
        <w:t>M.</w:t>
      </w:r>
      <w:r w:rsidRPr="002C4077">
        <w:t xml:space="preserve"> </w:t>
      </w:r>
      <w:r>
        <w:t>Reuss</w:t>
      </w:r>
      <w:r w:rsidR="00205F90">
        <w:rPr>
          <w:rStyle w:val="Appelnotedebasdep"/>
        </w:rPr>
        <w:footnoteReference w:id="29"/>
      </w:r>
      <w:r w:rsidR="00205F90">
        <w:t>.</w:t>
      </w:r>
      <w:r w:rsidRPr="002C4077">
        <w:t xml:space="preserve"> </w:t>
      </w:r>
      <w:r>
        <w:t>Comme</w:t>
      </w:r>
      <w:r w:rsidRPr="002C4077">
        <w:t xml:space="preserve"> </w:t>
      </w:r>
      <w:r>
        <w:t>ils</w:t>
      </w:r>
      <w:r w:rsidRPr="002C4077">
        <w:t xml:space="preserve"> </w:t>
      </w:r>
      <w:r>
        <w:t>sont</w:t>
      </w:r>
      <w:r w:rsidRPr="002C4077">
        <w:t xml:space="preserve"> </w:t>
      </w:r>
      <w:r>
        <w:t>à</w:t>
      </w:r>
      <w:r w:rsidRPr="002C4077">
        <w:t xml:space="preserve"> </w:t>
      </w:r>
      <w:r>
        <w:t>plaindre</w:t>
      </w:r>
      <w:r w:rsidRPr="002C4077">
        <w:t xml:space="preserve"> </w:t>
      </w:r>
      <w:r>
        <w:t>ces</w:t>
      </w:r>
      <w:r w:rsidRPr="002C4077">
        <w:t xml:space="preserve"> </w:t>
      </w:r>
      <w:r>
        <w:t>soi-disant</w:t>
      </w:r>
      <w:r w:rsidRPr="002C4077">
        <w:t xml:space="preserve"> </w:t>
      </w:r>
      <w:r>
        <w:t>beaux</w:t>
      </w:r>
      <w:r w:rsidRPr="002C4077">
        <w:t xml:space="preserve"> </w:t>
      </w:r>
      <w:r>
        <w:t>esprits</w:t>
      </w:r>
      <w:r w:rsidRPr="002C4077">
        <w:t xml:space="preserve"> </w:t>
      </w:r>
      <w:r>
        <w:t>modernes,</w:t>
      </w:r>
      <w:r w:rsidRPr="002C4077">
        <w:t xml:space="preserve"> </w:t>
      </w:r>
      <w:r>
        <w:t>pour</w:t>
      </w:r>
      <w:r w:rsidRPr="002C4077">
        <w:t xml:space="preserve"> </w:t>
      </w:r>
      <w:r>
        <w:t>lesquels</w:t>
      </w:r>
      <w:r w:rsidRPr="002C4077">
        <w:t xml:space="preserve"> </w:t>
      </w:r>
      <w:r>
        <w:t>tout</w:t>
      </w:r>
      <w:r w:rsidRPr="002C4077">
        <w:t xml:space="preserve"> </w:t>
      </w:r>
      <w:r>
        <w:t>devient</w:t>
      </w:r>
      <w:r w:rsidRPr="002C4077">
        <w:t xml:space="preserve"> </w:t>
      </w:r>
      <w:r>
        <w:t>ainsi</w:t>
      </w:r>
      <w:r w:rsidRPr="002C4077">
        <w:t xml:space="preserve"> </w:t>
      </w:r>
      <w:r>
        <w:t>une</w:t>
      </w:r>
      <w:r w:rsidRPr="002C4077">
        <w:t xml:space="preserve"> </w:t>
      </w:r>
      <w:r>
        <w:t>pierre</w:t>
      </w:r>
      <w:r w:rsidRPr="002C4077">
        <w:t xml:space="preserve"> </w:t>
      </w:r>
      <w:r>
        <w:t>d’achoppement</w:t>
      </w:r>
      <w:r w:rsidRPr="002C4077">
        <w:t xml:space="preserve"> </w:t>
      </w:r>
      <w:r>
        <w:t>dans</w:t>
      </w:r>
      <w:r w:rsidRPr="002C4077">
        <w:t xml:space="preserve"> </w:t>
      </w:r>
      <w:r>
        <w:t>leurs</w:t>
      </w:r>
      <w:r w:rsidRPr="002C4077">
        <w:t xml:space="preserve"> </w:t>
      </w:r>
      <w:r>
        <w:t>lectures</w:t>
      </w:r>
      <w:r w:rsidR="00B546AF">
        <w:t> !</w:t>
      </w:r>
      <w:r w:rsidRPr="002C4077">
        <w:t xml:space="preserve"> </w:t>
      </w:r>
      <w:r>
        <w:t>Leur</w:t>
      </w:r>
      <w:r w:rsidRPr="002C4077">
        <w:t xml:space="preserve"> </w:t>
      </w:r>
      <w:r>
        <w:t>génie</w:t>
      </w:r>
      <w:r w:rsidRPr="002C4077">
        <w:t xml:space="preserve"> </w:t>
      </w:r>
      <w:r>
        <w:t>critique</w:t>
      </w:r>
      <w:r w:rsidRPr="002C4077">
        <w:t xml:space="preserve"> </w:t>
      </w:r>
      <w:r w:rsidR="00425C50">
        <w:t>est</w:t>
      </w:r>
      <w:r w:rsidRPr="002C4077">
        <w:t xml:space="preserve"> </w:t>
      </w:r>
      <w:r>
        <w:t>mis</w:t>
      </w:r>
      <w:r w:rsidRPr="002C4077">
        <w:t xml:space="preserve"> </w:t>
      </w:r>
      <w:r>
        <w:t>constamment</w:t>
      </w:r>
      <w:r w:rsidRPr="002C4077">
        <w:t xml:space="preserve"> </w:t>
      </w:r>
      <w:r>
        <w:t>à</w:t>
      </w:r>
      <w:r w:rsidRPr="002C4077">
        <w:t xml:space="preserve"> </w:t>
      </w:r>
      <w:r>
        <w:t>l’épreuve.</w:t>
      </w:r>
      <w:r w:rsidRPr="002C4077">
        <w:t xml:space="preserve"> </w:t>
      </w:r>
      <w:r>
        <w:t>Mais,</w:t>
      </w:r>
      <w:r w:rsidRPr="002C4077">
        <w:t xml:space="preserve"> </w:t>
      </w:r>
      <w:r>
        <w:t>en</w:t>
      </w:r>
      <w:r w:rsidRPr="002C4077">
        <w:t xml:space="preserve"> </w:t>
      </w:r>
      <w:r>
        <w:t>revanche,</w:t>
      </w:r>
      <w:r w:rsidRPr="002C4077">
        <w:t xml:space="preserve"> </w:t>
      </w:r>
      <w:r>
        <w:t>quelles</w:t>
      </w:r>
      <w:r w:rsidRPr="002C4077">
        <w:t xml:space="preserve"> </w:t>
      </w:r>
      <w:r>
        <w:t>grandes</w:t>
      </w:r>
      <w:r w:rsidRPr="002C4077">
        <w:t xml:space="preserve"> </w:t>
      </w:r>
      <w:r>
        <w:t>découvertes</w:t>
      </w:r>
      <w:r w:rsidRPr="002C4077">
        <w:t xml:space="preserve"> </w:t>
      </w:r>
      <w:r>
        <w:t>ils</w:t>
      </w:r>
      <w:r w:rsidRPr="002C4077">
        <w:t xml:space="preserve"> </w:t>
      </w:r>
      <w:r>
        <w:t>parviennent</w:t>
      </w:r>
      <w:r w:rsidRPr="002C4077">
        <w:t xml:space="preserve"> </w:t>
      </w:r>
      <w:r>
        <w:t>à</w:t>
      </w:r>
      <w:r w:rsidRPr="002C4077">
        <w:t xml:space="preserve"> </w:t>
      </w:r>
      <w:r>
        <w:t>faire</w:t>
      </w:r>
      <w:r w:rsidR="00B546AF">
        <w:t> !</w:t>
      </w:r>
      <w:r w:rsidRPr="002C4077">
        <w:t xml:space="preserve"> </w:t>
      </w:r>
      <w:r>
        <w:t>C’est</w:t>
      </w:r>
      <w:r w:rsidRPr="002C4077">
        <w:t xml:space="preserve"> </w:t>
      </w:r>
      <w:r>
        <w:t>ainsi</w:t>
      </w:r>
      <w:r w:rsidRPr="002C4077">
        <w:t xml:space="preserve"> </w:t>
      </w:r>
      <w:r>
        <w:t>qu’à</w:t>
      </w:r>
      <w:r w:rsidRPr="002C4077">
        <w:t xml:space="preserve"> </w:t>
      </w:r>
      <w:r>
        <w:t>propos</w:t>
      </w:r>
      <w:r w:rsidRPr="002C4077">
        <w:t xml:space="preserve"> </w:t>
      </w:r>
      <w:r>
        <w:t>des</w:t>
      </w:r>
      <w:r w:rsidRPr="002C4077">
        <w:t xml:space="preserve"> </w:t>
      </w:r>
      <w:r>
        <w:t>mots</w:t>
      </w:r>
      <w:r w:rsidRPr="002C4077">
        <w:t xml:space="preserve"> </w:t>
      </w:r>
      <w:r w:rsidRPr="000A34B5">
        <w:rPr>
          <w:rStyle w:val="italicus"/>
        </w:rPr>
        <w:t>in</w:t>
      </w:r>
      <w:r w:rsidRPr="002C4077">
        <w:t xml:space="preserve"> </w:t>
      </w:r>
      <w:r w:rsidRPr="000A34B5">
        <w:rPr>
          <w:rStyle w:val="italicus"/>
        </w:rPr>
        <w:t>ira</w:t>
      </w:r>
      <w:r w:rsidRPr="002C4077">
        <w:t xml:space="preserve"> </w:t>
      </w:r>
      <w:r w:rsidR="001E7758" w:rsidRPr="000A34B5">
        <w:rPr>
          <w:rStyle w:val="italicus"/>
        </w:rPr>
        <w:t>furóris</w:t>
      </w:r>
      <w:r w:rsidR="001E7758" w:rsidRPr="002C4077">
        <w:t xml:space="preserve"> </w:t>
      </w:r>
      <w:r w:rsidR="001E7758">
        <w:rPr>
          <w:rStyle w:val="italicus"/>
        </w:rPr>
        <w:t>Rasin</w:t>
      </w:r>
      <w:r w:rsidR="001E7758" w:rsidRPr="002C4077">
        <w:t xml:space="preserve"> </w:t>
      </w:r>
      <w:r w:rsidR="001E7758">
        <w:rPr>
          <w:rStyle w:val="italicus"/>
        </w:rPr>
        <w:t>regis</w:t>
      </w:r>
      <w:r w:rsidR="001E7758" w:rsidRPr="002C4077">
        <w:t xml:space="preserve"> </w:t>
      </w:r>
      <w:r w:rsidR="001E7758">
        <w:rPr>
          <w:rStyle w:val="italicus"/>
        </w:rPr>
        <w:t>Sýriæ</w:t>
      </w:r>
      <w:r w:rsidRPr="000A34B5">
        <w:rPr>
          <w:rStyle w:val="italicus"/>
        </w:rPr>
        <w:t>,</w:t>
      </w:r>
      <w:r w:rsidRPr="002C4077">
        <w:t xml:space="preserve"> </w:t>
      </w:r>
      <w:r w:rsidRPr="000A34B5">
        <w:rPr>
          <w:rStyle w:val="italicus"/>
        </w:rPr>
        <w:t>et</w:t>
      </w:r>
      <w:r w:rsidRPr="002C4077">
        <w:t xml:space="preserve"> </w:t>
      </w:r>
      <w:r w:rsidRPr="000A34B5">
        <w:rPr>
          <w:rStyle w:val="italicus"/>
        </w:rPr>
        <w:t>f</w:t>
      </w:r>
      <w:r w:rsidR="003B53FD">
        <w:rPr>
          <w:rStyle w:val="italicus"/>
        </w:rPr>
        <w:t>í</w:t>
      </w:r>
      <w:r w:rsidR="003B53FD" w:rsidRPr="000A34B5">
        <w:rPr>
          <w:rStyle w:val="italicus"/>
        </w:rPr>
        <w:t>lii</w:t>
      </w:r>
      <w:r w:rsidRPr="002C4077">
        <w:t xml:space="preserve"> </w:t>
      </w:r>
      <w:r w:rsidR="001E7758" w:rsidRPr="000A34B5">
        <w:rPr>
          <w:rStyle w:val="italicus"/>
        </w:rPr>
        <w:t>Romelí</w:t>
      </w:r>
      <w:r w:rsidR="001E7758">
        <w:rPr>
          <w:rStyle w:val="italicus"/>
        </w:rPr>
        <w:t>æ</w:t>
      </w:r>
      <w:r w:rsidRPr="000A34B5">
        <w:rPr>
          <w:rStyle w:val="italicus"/>
        </w:rPr>
        <w:t>,</w:t>
      </w:r>
      <w:r w:rsidRPr="002C4077">
        <w:t xml:space="preserve"> </w:t>
      </w:r>
      <w:r>
        <w:t>qui</w:t>
      </w:r>
      <w:r w:rsidRPr="002C4077">
        <w:t xml:space="preserve"> </w:t>
      </w:r>
      <w:r>
        <w:t>terminent</w:t>
      </w:r>
      <w:r w:rsidRPr="002C4077">
        <w:t xml:space="preserve"> </w:t>
      </w:r>
      <w:r>
        <w:t>le</w:t>
      </w:r>
      <w:r w:rsidRPr="002C4077">
        <w:t xml:space="preserve"> </w:t>
      </w:r>
      <w:r>
        <w:t>verset</w:t>
      </w:r>
      <w:r w:rsidRPr="002C4077">
        <w:t xml:space="preserve"> </w:t>
      </w:r>
      <w:r>
        <w:t>4,</w:t>
      </w:r>
      <w:r w:rsidRPr="002C4077">
        <w:t xml:space="preserve"> </w:t>
      </w:r>
      <w:r>
        <w:t>M.</w:t>
      </w:r>
      <w:r w:rsidRPr="002C4077">
        <w:t xml:space="preserve"> </w:t>
      </w:r>
      <w:r>
        <w:t>Reuss</w:t>
      </w:r>
      <w:r w:rsidRPr="002C4077">
        <w:t xml:space="preserve"> </w:t>
      </w:r>
      <w:r>
        <w:t>écrit</w:t>
      </w:r>
      <w:r w:rsidRPr="002C4077">
        <w:t xml:space="preserve"> </w:t>
      </w:r>
      <w:r>
        <w:t>sans</w:t>
      </w:r>
      <w:r w:rsidRPr="002C4077">
        <w:t xml:space="preserve"> </w:t>
      </w:r>
      <w:r>
        <w:t>la</w:t>
      </w:r>
      <w:r w:rsidRPr="002C4077">
        <w:t xml:space="preserve"> </w:t>
      </w:r>
      <w:r>
        <w:t>moindre</w:t>
      </w:r>
      <w:r w:rsidRPr="002C4077">
        <w:t xml:space="preserve"> </w:t>
      </w:r>
      <w:r>
        <w:t>hésitation</w:t>
      </w:r>
      <w:r w:rsidR="00B546AF">
        <w:t> :</w:t>
      </w:r>
      <w:r w:rsidRPr="002C4077">
        <w:t xml:space="preserve"> </w:t>
      </w:r>
      <w:r w:rsidR="00B546AF">
        <w:t>« </w:t>
      </w:r>
      <w:r>
        <w:t>Nous</w:t>
      </w:r>
      <w:r w:rsidRPr="002C4077">
        <w:t xml:space="preserve"> </w:t>
      </w:r>
      <w:r>
        <w:t>estimons</w:t>
      </w:r>
      <w:r w:rsidRPr="002C4077">
        <w:t xml:space="preserve"> </w:t>
      </w:r>
      <w:r>
        <w:t>que</w:t>
      </w:r>
      <w:r w:rsidRPr="002C4077">
        <w:t xml:space="preserve"> </w:t>
      </w:r>
      <w:r>
        <w:t>cette</w:t>
      </w:r>
      <w:r w:rsidRPr="002C4077">
        <w:t xml:space="preserve"> </w:t>
      </w:r>
      <w:r>
        <w:t>ligne</w:t>
      </w:r>
      <w:r w:rsidRPr="002C4077">
        <w:t xml:space="preserve"> </w:t>
      </w:r>
      <w:r>
        <w:t>toute</w:t>
      </w:r>
      <w:r w:rsidRPr="002C4077">
        <w:t xml:space="preserve"> </w:t>
      </w:r>
      <w:r>
        <w:t>prosaïque,</w:t>
      </w:r>
      <w:r w:rsidRPr="002C4077">
        <w:t xml:space="preserve"> </w:t>
      </w:r>
      <w:r>
        <w:t>et</w:t>
      </w:r>
      <w:r w:rsidRPr="002C4077">
        <w:t xml:space="preserve"> </w:t>
      </w:r>
      <w:r>
        <w:t>surtout</w:t>
      </w:r>
      <w:r w:rsidRPr="002C4077">
        <w:t xml:space="preserve"> </w:t>
      </w:r>
      <w:r>
        <w:t>très</w:t>
      </w:r>
      <w:r w:rsidRPr="002C4077">
        <w:t xml:space="preserve"> </w:t>
      </w:r>
      <w:r>
        <w:t>superflue,</w:t>
      </w:r>
      <w:r w:rsidRPr="002C4077">
        <w:t xml:space="preserve"> </w:t>
      </w:r>
      <w:r>
        <w:t>n’est</w:t>
      </w:r>
      <w:r w:rsidRPr="002C4077">
        <w:t xml:space="preserve"> </w:t>
      </w:r>
      <w:r>
        <w:t>qu’une</w:t>
      </w:r>
      <w:r w:rsidRPr="002C4077">
        <w:t xml:space="preserve"> </w:t>
      </w:r>
      <w:r>
        <w:t>note</w:t>
      </w:r>
      <w:r w:rsidRPr="002C4077">
        <w:t xml:space="preserve"> </w:t>
      </w:r>
      <w:r>
        <w:t>explicative</w:t>
      </w:r>
      <w:r w:rsidRPr="002C4077">
        <w:t xml:space="preserve"> </w:t>
      </w:r>
      <w:r>
        <w:t>de</w:t>
      </w:r>
      <w:r w:rsidRPr="002C4077">
        <w:t xml:space="preserve"> </w:t>
      </w:r>
      <w:r>
        <w:t>quelque</w:t>
      </w:r>
      <w:r w:rsidRPr="002C4077">
        <w:t xml:space="preserve"> </w:t>
      </w:r>
      <w:r>
        <w:t>ancien</w:t>
      </w:r>
      <w:r w:rsidRPr="002C4077">
        <w:t xml:space="preserve"> </w:t>
      </w:r>
      <w:r>
        <w:t>lecteur</w:t>
      </w:r>
      <w:r w:rsidRPr="002C4077">
        <w:t xml:space="preserve"> </w:t>
      </w:r>
      <w:r>
        <w:t>ou</w:t>
      </w:r>
      <w:r w:rsidRPr="002C4077">
        <w:t xml:space="preserve"> </w:t>
      </w:r>
      <w:r>
        <w:t>commentateur</w:t>
      </w:r>
      <w:r w:rsidR="00B91AF7">
        <w:rPr>
          <w:rStyle w:val="Appelnotedebasdep"/>
        </w:rPr>
        <w:footnoteReference w:id="30"/>
      </w:r>
      <w:r w:rsidR="00B546AF">
        <w:t> »</w:t>
      </w:r>
      <w:r>
        <w:t>.</w:t>
      </w:r>
      <w:r w:rsidR="00C45B47">
        <w:t xml:space="preserve"> {</w:t>
      </w:r>
      <w:r w:rsidR="000721C4">
        <w:t>9</w:t>
      </w:r>
      <w:bookmarkStart w:id="37" w:name="p009"/>
      <w:bookmarkEnd w:id="37"/>
      <w:r w:rsidR="000721C4">
        <w:t xml:space="preserve">} </w:t>
      </w:r>
      <w:r>
        <w:t>Certes,</w:t>
      </w:r>
      <w:r w:rsidRPr="002C4077">
        <w:t xml:space="preserve"> </w:t>
      </w:r>
      <w:r>
        <w:t>il</w:t>
      </w:r>
      <w:r w:rsidRPr="002C4077">
        <w:t xml:space="preserve"> </w:t>
      </w:r>
      <w:r>
        <w:t>faut</w:t>
      </w:r>
      <w:r w:rsidRPr="002C4077">
        <w:t xml:space="preserve"> </w:t>
      </w:r>
      <w:r>
        <w:t>une</w:t>
      </w:r>
      <w:r w:rsidRPr="002C4077">
        <w:t xml:space="preserve"> </w:t>
      </w:r>
      <w:r>
        <w:t>étonnante</w:t>
      </w:r>
      <w:r w:rsidRPr="002C4077">
        <w:t xml:space="preserve"> </w:t>
      </w:r>
      <w:r>
        <w:t>puissance</w:t>
      </w:r>
      <w:bookmarkStart w:id="38" w:name="z_RationalistesHardiesses_o1"/>
      <w:bookmarkEnd w:id="38"/>
      <w:r w:rsidRPr="002C4077">
        <w:t xml:space="preserve"> </w:t>
      </w:r>
      <w:r>
        <w:t>d’intuition</w:t>
      </w:r>
      <w:r w:rsidRPr="002C4077">
        <w:t xml:space="preserve"> </w:t>
      </w:r>
      <w:r>
        <w:t>pour</w:t>
      </w:r>
      <w:r w:rsidRPr="002C4077">
        <w:t xml:space="preserve"> </w:t>
      </w:r>
      <w:r>
        <w:t>découvrir</w:t>
      </w:r>
      <w:r w:rsidRPr="002C4077">
        <w:t xml:space="preserve"> </w:t>
      </w:r>
      <w:r>
        <w:t>à</w:t>
      </w:r>
      <w:r w:rsidRPr="002C4077">
        <w:t xml:space="preserve"> </w:t>
      </w:r>
      <w:r>
        <w:t>première</w:t>
      </w:r>
      <w:r w:rsidRPr="002C4077">
        <w:t xml:space="preserve"> </w:t>
      </w:r>
      <w:r>
        <w:t>vue,</w:t>
      </w:r>
      <w:r w:rsidRPr="002C4077">
        <w:t xml:space="preserve"> </w:t>
      </w:r>
      <w:r>
        <w:t>dans</w:t>
      </w:r>
      <w:r w:rsidRPr="002C4077">
        <w:t xml:space="preserve"> </w:t>
      </w:r>
      <w:r>
        <w:t>un</w:t>
      </w:r>
      <w:r w:rsidRPr="002C4077">
        <w:t xml:space="preserve"> </w:t>
      </w:r>
      <w:r>
        <w:t>texte</w:t>
      </w:r>
      <w:r w:rsidRPr="002C4077">
        <w:t xml:space="preserve"> </w:t>
      </w:r>
      <w:r>
        <w:t>antique,</w:t>
      </w:r>
      <w:r w:rsidRPr="002C4077">
        <w:t xml:space="preserve"> </w:t>
      </w:r>
      <w:r>
        <w:t>que</w:t>
      </w:r>
      <w:r w:rsidRPr="002C4077">
        <w:t xml:space="preserve"> </w:t>
      </w:r>
      <w:r>
        <w:t>telles</w:t>
      </w:r>
      <w:r w:rsidRPr="002C4077">
        <w:t xml:space="preserve"> </w:t>
      </w:r>
      <w:r>
        <w:t>ou</w:t>
      </w:r>
      <w:r w:rsidRPr="002C4077">
        <w:t xml:space="preserve"> </w:t>
      </w:r>
      <w:r>
        <w:t>telles</w:t>
      </w:r>
      <w:r w:rsidRPr="002C4077">
        <w:t xml:space="preserve"> </w:t>
      </w:r>
      <w:r>
        <w:t>expressions</w:t>
      </w:r>
      <w:r w:rsidRPr="002C4077">
        <w:t xml:space="preserve"> </w:t>
      </w:r>
      <w:r>
        <w:t>ont</w:t>
      </w:r>
      <w:r w:rsidRPr="002C4077">
        <w:t xml:space="preserve"> </w:t>
      </w:r>
      <w:r>
        <w:t>été</w:t>
      </w:r>
      <w:r w:rsidRPr="002C4077">
        <w:t xml:space="preserve"> </w:t>
      </w:r>
      <w:r>
        <w:t>ajoutées</w:t>
      </w:r>
      <w:r w:rsidRPr="002C4077">
        <w:t xml:space="preserve"> </w:t>
      </w:r>
      <w:r>
        <w:t>après</w:t>
      </w:r>
      <w:r w:rsidRPr="002C4077">
        <w:t xml:space="preserve"> </w:t>
      </w:r>
      <w:r>
        <w:t>coup</w:t>
      </w:r>
      <w:r w:rsidRPr="002C4077">
        <w:t xml:space="preserve"> </w:t>
      </w:r>
      <w:r>
        <w:t>par</w:t>
      </w:r>
      <w:r w:rsidRPr="002C4077">
        <w:t xml:space="preserve"> </w:t>
      </w:r>
      <w:r>
        <w:t>une</w:t>
      </w:r>
      <w:r w:rsidRPr="002C4077">
        <w:t xml:space="preserve"> </w:t>
      </w:r>
      <w:r>
        <w:t>main</w:t>
      </w:r>
      <w:r w:rsidRPr="002C4077">
        <w:t xml:space="preserve"> </w:t>
      </w:r>
      <w:r>
        <w:t>malhabile.</w:t>
      </w:r>
      <w:r w:rsidRPr="002C4077">
        <w:t xml:space="preserve"> </w:t>
      </w:r>
      <w:r>
        <w:t>Néanmoins,</w:t>
      </w:r>
      <w:r w:rsidRPr="002C4077">
        <w:t xml:space="preserve"> </w:t>
      </w:r>
      <w:r>
        <w:t>M.</w:t>
      </w:r>
      <w:r w:rsidRPr="002C4077">
        <w:t xml:space="preserve"> </w:t>
      </w:r>
      <w:r>
        <w:t>Reuss</w:t>
      </w:r>
      <w:r w:rsidRPr="002C4077">
        <w:t xml:space="preserve"> </w:t>
      </w:r>
      <w:r>
        <w:t>nous</w:t>
      </w:r>
      <w:r w:rsidRPr="002C4077">
        <w:t xml:space="preserve"> </w:t>
      </w:r>
      <w:r>
        <w:t>permettra</w:t>
      </w:r>
      <w:r w:rsidRPr="002C4077">
        <w:t xml:space="preserve"> </w:t>
      </w:r>
      <w:r>
        <w:t>de</w:t>
      </w:r>
      <w:r w:rsidRPr="002C4077">
        <w:t xml:space="preserve"> </w:t>
      </w:r>
      <w:r>
        <w:t>trouver</w:t>
      </w:r>
      <w:r w:rsidRPr="002C4077">
        <w:t xml:space="preserve"> </w:t>
      </w:r>
      <w:r>
        <w:t>que</w:t>
      </w:r>
      <w:r w:rsidRPr="002C4077">
        <w:t xml:space="preserve"> </w:t>
      </w:r>
      <w:r>
        <w:t>son</w:t>
      </w:r>
      <w:r w:rsidRPr="002C4077">
        <w:t xml:space="preserve"> </w:t>
      </w:r>
      <w:r>
        <w:t>assertion</w:t>
      </w:r>
      <w:r w:rsidRPr="002C4077">
        <w:t xml:space="preserve"> </w:t>
      </w:r>
      <w:r>
        <w:t>n’est</w:t>
      </w:r>
      <w:r w:rsidRPr="002C4077">
        <w:t xml:space="preserve"> </w:t>
      </w:r>
      <w:r>
        <w:t>pas</w:t>
      </w:r>
      <w:r w:rsidRPr="002C4077">
        <w:t xml:space="preserve"> </w:t>
      </w:r>
      <w:r>
        <w:t>pour</w:t>
      </w:r>
      <w:r w:rsidRPr="002C4077">
        <w:t xml:space="preserve"> </w:t>
      </w:r>
      <w:r>
        <w:t>nous</w:t>
      </w:r>
      <w:r w:rsidRPr="002C4077">
        <w:t xml:space="preserve"> </w:t>
      </w:r>
      <w:r>
        <w:t>une</w:t>
      </w:r>
      <w:r w:rsidRPr="002C4077">
        <w:t xml:space="preserve"> </w:t>
      </w:r>
      <w:r>
        <w:t>garantie</w:t>
      </w:r>
      <w:r w:rsidRPr="002C4077">
        <w:t xml:space="preserve"> </w:t>
      </w:r>
      <w:r>
        <w:t>suffisante,</w:t>
      </w:r>
      <w:r w:rsidRPr="002C4077">
        <w:t xml:space="preserve"> </w:t>
      </w:r>
      <w:r>
        <w:t>attendu</w:t>
      </w:r>
      <w:r w:rsidRPr="002C4077">
        <w:t xml:space="preserve"> </w:t>
      </w:r>
      <w:r>
        <w:t>qu’elle</w:t>
      </w:r>
      <w:r w:rsidRPr="002C4077">
        <w:t xml:space="preserve"> </w:t>
      </w:r>
      <w:r>
        <w:t>a</w:t>
      </w:r>
      <w:r w:rsidRPr="002C4077">
        <w:t xml:space="preserve"> </w:t>
      </w:r>
      <w:r>
        <w:t>contre</w:t>
      </w:r>
      <w:r w:rsidRPr="002C4077">
        <w:t xml:space="preserve"> </w:t>
      </w:r>
      <w:r>
        <w:t>elle</w:t>
      </w:r>
      <w:r w:rsidRPr="002C4077">
        <w:t xml:space="preserve"> </w:t>
      </w:r>
      <w:r>
        <w:t>tous</w:t>
      </w:r>
      <w:r w:rsidRPr="002C4077">
        <w:t xml:space="preserve"> </w:t>
      </w:r>
      <w:r>
        <w:t>ces</w:t>
      </w:r>
      <w:r w:rsidRPr="002C4077">
        <w:t xml:space="preserve"> </w:t>
      </w:r>
      <w:r>
        <w:t>vieux</w:t>
      </w:r>
      <w:r w:rsidRPr="002C4077">
        <w:t xml:space="preserve"> </w:t>
      </w:r>
      <w:r>
        <w:t>témoignages,</w:t>
      </w:r>
      <w:r w:rsidRPr="002C4077">
        <w:t xml:space="preserve"> </w:t>
      </w:r>
      <w:r>
        <w:t>manuscrits,</w:t>
      </w:r>
      <w:r w:rsidRPr="002C4077">
        <w:t xml:space="preserve"> </w:t>
      </w:r>
      <w:r>
        <w:t>versions,</w:t>
      </w:r>
      <w:r w:rsidRPr="002C4077">
        <w:t xml:space="preserve"> </w:t>
      </w:r>
      <w:r>
        <w:t>citations,</w:t>
      </w:r>
      <w:r w:rsidRPr="002C4077">
        <w:t xml:space="preserve"> </w:t>
      </w:r>
      <w:r>
        <w:t>que</w:t>
      </w:r>
      <w:r w:rsidRPr="002C4077">
        <w:t xml:space="preserve"> </w:t>
      </w:r>
      <w:r>
        <w:t>notre</w:t>
      </w:r>
      <w:r w:rsidRPr="002C4077">
        <w:t xml:space="preserve"> </w:t>
      </w:r>
      <w:r>
        <w:t>professeur</w:t>
      </w:r>
      <w:r w:rsidRPr="002C4077">
        <w:t xml:space="preserve"> </w:t>
      </w:r>
      <w:r>
        <w:t>de</w:t>
      </w:r>
      <w:r w:rsidRPr="002C4077">
        <w:t xml:space="preserve"> </w:t>
      </w:r>
      <w:r>
        <w:t>philosophie</w:t>
      </w:r>
      <w:r w:rsidRPr="002C4077">
        <w:t xml:space="preserve"> </w:t>
      </w:r>
      <w:r>
        <w:t>nous</w:t>
      </w:r>
      <w:r w:rsidRPr="002C4077">
        <w:t xml:space="preserve"> </w:t>
      </w:r>
      <w:r>
        <w:t>assurait</w:t>
      </w:r>
      <w:r w:rsidRPr="002C4077">
        <w:t xml:space="preserve"> </w:t>
      </w:r>
      <w:r>
        <w:t>être</w:t>
      </w:r>
      <w:r w:rsidRPr="002C4077">
        <w:t xml:space="preserve"> </w:t>
      </w:r>
      <w:r>
        <w:t>les</w:t>
      </w:r>
      <w:r w:rsidRPr="002C4077">
        <w:t xml:space="preserve"> </w:t>
      </w:r>
      <w:r>
        <w:t>meilleurs</w:t>
      </w:r>
      <w:r w:rsidRPr="002C4077">
        <w:t xml:space="preserve"> </w:t>
      </w:r>
      <w:r w:rsidR="003B53FD">
        <w:t>appuis</w:t>
      </w:r>
      <w:r w:rsidRPr="002C4077">
        <w:t xml:space="preserve"> </w:t>
      </w:r>
      <w:r>
        <w:t>de</w:t>
      </w:r>
      <w:r w:rsidRPr="002C4077">
        <w:t xml:space="preserve"> </w:t>
      </w:r>
      <w:r>
        <w:t>l’authenticité</w:t>
      </w:r>
      <w:r w:rsidRPr="002C4077">
        <w:t xml:space="preserve"> </w:t>
      </w:r>
      <w:r>
        <w:t>d’un</w:t>
      </w:r>
      <w:r w:rsidRPr="002C4077">
        <w:t xml:space="preserve"> </w:t>
      </w:r>
      <w:r>
        <w:t>livre</w:t>
      </w:r>
      <w:r w:rsidRPr="002C4077">
        <w:t xml:space="preserve"> </w:t>
      </w:r>
      <w:r>
        <w:t>ou</w:t>
      </w:r>
      <w:r w:rsidRPr="002C4077">
        <w:t xml:space="preserve"> </w:t>
      </w:r>
      <w:r>
        <w:t>d’un</w:t>
      </w:r>
      <w:r w:rsidRPr="002C4077">
        <w:t xml:space="preserve"> </w:t>
      </w:r>
      <w:r>
        <w:t>fragment</w:t>
      </w:r>
      <w:r w:rsidRPr="002C4077">
        <w:t xml:space="preserve"> </w:t>
      </w:r>
      <w:r>
        <w:t>de</w:t>
      </w:r>
      <w:bookmarkStart w:id="39" w:name="z_Isaie_o2"/>
      <w:bookmarkEnd w:id="39"/>
      <w:r w:rsidRPr="002C4077">
        <w:t xml:space="preserve"> </w:t>
      </w:r>
      <w:r>
        <w:t>livre.</w:t>
      </w:r>
      <w:r w:rsidRPr="002C4077">
        <w:t xml:space="preserve"> </w:t>
      </w:r>
    </w:p>
    <w:p w:rsidR="000A7AAB" w:rsidRDefault="000A7AAB" w:rsidP="000A7AAB">
      <w:r>
        <w:t>Nous</w:t>
      </w:r>
      <w:r w:rsidRPr="002C4077">
        <w:t xml:space="preserve"> </w:t>
      </w:r>
      <w:r>
        <w:t>arrivons</w:t>
      </w:r>
      <w:r w:rsidRPr="002C4077">
        <w:t xml:space="preserve"> </w:t>
      </w:r>
      <w:r>
        <w:t>aux</w:t>
      </w:r>
      <w:r w:rsidRPr="002C4077">
        <w:t xml:space="preserve"> </w:t>
      </w:r>
      <w:r>
        <w:t>versets</w:t>
      </w:r>
      <w:r w:rsidRPr="002C4077">
        <w:t xml:space="preserve"> </w:t>
      </w:r>
      <w:r>
        <w:t>8</w:t>
      </w:r>
      <w:r w:rsidRPr="002C4077">
        <w:t xml:space="preserve"> </w:t>
      </w:r>
      <w:r>
        <w:t>et</w:t>
      </w:r>
      <w:r w:rsidRPr="002C4077">
        <w:t xml:space="preserve"> </w:t>
      </w:r>
      <w:r>
        <w:t>9.</w:t>
      </w:r>
      <w:r w:rsidRPr="002C4077">
        <w:t xml:space="preserve"> </w:t>
      </w:r>
    </w:p>
    <w:p w:rsidR="000A7AAB" w:rsidRDefault="00B546AF" w:rsidP="000A7AAB">
      <w:r>
        <w:t>« </w:t>
      </w:r>
      <w:r w:rsidR="000A7AAB">
        <w:t>Le</w:t>
      </w:r>
      <w:r w:rsidR="000A7AAB" w:rsidRPr="002C4077">
        <w:t xml:space="preserve"> </w:t>
      </w:r>
      <w:r w:rsidR="000A7AAB">
        <w:t>sens</w:t>
      </w:r>
      <w:r w:rsidR="000A7AAB" w:rsidRPr="002C4077">
        <w:t xml:space="preserve"> </w:t>
      </w:r>
      <w:r w:rsidR="000A7AAB">
        <w:t>n’est</w:t>
      </w:r>
      <w:r w:rsidR="000A7AAB" w:rsidRPr="002C4077">
        <w:t xml:space="preserve"> </w:t>
      </w:r>
      <w:r w:rsidR="000A7AAB">
        <w:t>pas</w:t>
      </w:r>
      <w:r w:rsidR="000A7AAB" w:rsidRPr="002C4077">
        <w:t xml:space="preserve"> </w:t>
      </w:r>
      <w:r w:rsidR="000A7AAB">
        <w:t>clair</w:t>
      </w:r>
      <w:r>
        <w:t> »</w:t>
      </w:r>
      <w:r w:rsidR="000A7AAB">
        <w:t>,</w:t>
      </w:r>
      <w:r w:rsidR="000A7AAB" w:rsidRPr="002C4077">
        <w:t xml:space="preserve"> </w:t>
      </w:r>
      <w:r w:rsidR="000A7AAB">
        <w:t>s’écrie</w:t>
      </w:r>
      <w:r w:rsidR="000A7AAB" w:rsidRPr="002C4077">
        <w:t xml:space="preserve"> </w:t>
      </w:r>
      <w:r w:rsidR="000A7AAB">
        <w:t>tout</w:t>
      </w:r>
      <w:r w:rsidR="000A7AAB" w:rsidRPr="002C4077">
        <w:t xml:space="preserve"> </w:t>
      </w:r>
      <w:r w:rsidR="000A7AAB">
        <w:t>d’abord</w:t>
      </w:r>
      <w:r w:rsidR="000A7AAB" w:rsidRPr="002C4077">
        <w:t xml:space="preserve"> </w:t>
      </w:r>
      <w:r w:rsidR="000A7AAB">
        <w:t>M.</w:t>
      </w:r>
      <w:r w:rsidR="000A7AAB" w:rsidRPr="002C4077">
        <w:t xml:space="preserve"> </w:t>
      </w:r>
      <w:r w:rsidR="000A7AAB">
        <w:t>Reuss</w:t>
      </w:r>
      <w:r w:rsidR="000A7AAB" w:rsidRPr="002C4077">
        <w:t xml:space="preserve"> </w:t>
      </w:r>
      <w:r w:rsidR="000A7AAB">
        <w:t>qui,</w:t>
      </w:r>
      <w:r w:rsidR="000A7AAB" w:rsidRPr="002C4077">
        <w:t xml:space="preserve"> </w:t>
      </w:r>
      <w:r w:rsidR="000A7AAB">
        <w:t>décidément,</w:t>
      </w:r>
      <w:r w:rsidR="000A7AAB" w:rsidRPr="002C4077">
        <w:t xml:space="preserve"> </w:t>
      </w:r>
      <w:r w:rsidR="000A7AAB">
        <w:t>a</w:t>
      </w:r>
      <w:r w:rsidR="000A7AAB" w:rsidRPr="002C4077">
        <w:t xml:space="preserve"> </w:t>
      </w:r>
      <w:r w:rsidR="000A7AAB">
        <w:t>pris</w:t>
      </w:r>
      <w:r w:rsidR="000A7AAB" w:rsidRPr="002C4077">
        <w:t xml:space="preserve"> </w:t>
      </w:r>
      <w:r w:rsidR="000A7AAB">
        <w:t>son</w:t>
      </w:r>
      <w:r w:rsidR="000A7AAB" w:rsidRPr="002C4077">
        <w:t xml:space="preserve"> </w:t>
      </w:r>
      <w:r w:rsidR="000A7AAB">
        <w:t>parti</w:t>
      </w:r>
      <w:r w:rsidR="000A7AAB" w:rsidRPr="002C4077">
        <w:t xml:space="preserve"> </w:t>
      </w:r>
      <w:r w:rsidR="000A7AAB">
        <w:t>de</w:t>
      </w:r>
      <w:r w:rsidR="000A7AAB" w:rsidRPr="002C4077">
        <w:t xml:space="preserve"> </w:t>
      </w:r>
      <w:r w:rsidR="000A7AAB">
        <w:t>tout</w:t>
      </w:r>
      <w:r w:rsidR="000A7AAB" w:rsidRPr="002C4077">
        <w:t xml:space="preserve"> </w:t>
      </w:r>
      <w:r w:rsidR="000A7AAB">
        <w:t>blâmer</w:t>
      </w:r>
      <w:r w:rsidR="000A7AAB" w:rsidRPr="002C4077">
        <w:t xml:space="preserve"> </w:t>
      </w:r>
      <w:r w:rsidR="000A7AAB">
        <w:t>dans</w:t>
      </w:r>
      <w:r w:rsidR="000A7AAB" w:rsidRPr="002C4077">
        <w:t xml:space="preserve"> </w:t>
      </w:r>
      <w:r w:rsidR="000A7AAB">
        <w:t>ce</w:t>
      </w:r>
      <w:r w:rsidR="000A7AAB" w:rsidRPr="002C4077">
        <w:t xml:space="preserve"> </w:t>
      </w:r>
      <w:r w:rsidR="000A7AAB">
        <w:t>passage.</w:t>
      </w:r>
      <w:r w:rsidR="000A7AAB" w:rsidRPr="002C4077">
        <w:t xml:space="preserve"> </w:t>
      </w:r>
      <w:r w:rsidR="000A7AAB">
        <w:t>Ewald</w:t>
      </w:r>
      <w:r w:rsidR="000A7AAB" w:rsidRPr="002C4077">
        <w:t xml:space="preserve"> </w:t>
      </w:r>
      <w:r w:rsidR="000A7AAB">
        <w:t>cependant,</w:t>
      </w:r>
      <w:r w:rsidR="000A7AAB" w:rsidRPr="002C4077">
        <w:t xml:space="preserve"> </w:t>
      </w:r>
      <w:r w:rsidR="000A7AAB">
        <w:t>rationaliste</w:t>
      </w:r>
      <w:r w:rsidR="000A7AAB" w:rsidRPr="002C4077">
        <w:t xml:space="preserve"> </w:t>
      </w:r>
      <w:r w:rsidR="000A7AAB">
        <w:t>d’une</w:t>
      </w:r>
      <w:r w:rsidR="000A7AAB" w:rsidRPr="002C4077">
        <w:t xml:space="preserve"> </w:t>
      </w:r>
      <w:r w:rsidR="000A7AAB">
        <w:t>part,</w:t>
      </w:r>
      <w:r w:rsidR="000A7AAB" w:rsidRPr="002C4077">
        <w:t xml:space="preserve"> </w:t>
      </w:r>
      <w:r w:rsidR="000A7AAB">
        <w:t>de</w:t>
      </w:r>
      <w:r w:rsidR="000A7AAB" w:rsidRPr="002C4077">
        <w:t xml:space="preserve"> </w:t>
      </w:r>
      <w:r w:rsidR="000A7AAB">
        <w:t>l’autre</w:t>
      </w:r>
      <w:r w:rsidR="000A7AAB" w:rsidRPr="002C4077">
        <w:t xml:space="preserve"> </w:t>
      </w:r>
      <w:r w:rsidR="000A7AAB">
        <w:t>hébraïsant</w:t>
      </w:r>
      <w:r w:rsidR="000A7AAB" w:rsidRPr="002C4077">
        <w:t xml:space="preserve"> </w:t>
      </w:r>
      <w:r w:rsidR="000A7AAB">
        <w:t>distingué,</w:t>
      </w:r>
      <w:r w:rsidR="000A7AAB" w:rsidRPr="002C4077">
        <w:t xml:space="preserve"> </w:t>
      </w:r>
      <w:r w:rsidR="000A7AAB">
        <w:t>nous</w:t>
      </w:r>
      <w:r w:rsidR="000A7AAB" w:rsidRPr="002C4077">
        <w:t xml:space="preserve"> </w:t>
      </w:r>
      <w:r w:rsidR="000A7AAB">
        <w:t>dit</w:t>
      </w:r>
      <w:r w:rsidR="000A7AAB" w:rsidRPr="002C4077">
        <w:t xml:space="preserve"> </w:t>
      </w:r>
      <w:r w:rsidR="000A7AAB">
        <w:t>que</w:t>
      </w:r>
      <w:r w:rsidR="000A7AAB" w:rsidRPr="002C4077">
        <w:t xml:space="preserve"> </w:t>
      </w:r>
      <w:r w:rsidR="000A7AAB">
        <w:t>le</w:t>
      </w:r>
      <w:r w:rsidR="000A7AAB" w:rsidRPr="002C4077">
        <w:t xml:space="preserve"> </w:t>
      </w:r>
      <w:r w:rsidR="000A7AAB">
        <w:t>sens</w:t>
      </w:r>
      <w:r w:rsidR="000A7AAB" w:rsidRPr="002C4077">
        <w:t xml:space="preserve"> </w:t>
      </w:r>
      <w:r w:rsidR="00425C50">
        <w:t>est</w:t>
      </w:r>
      <w:r w:rsidR="000A7AAB" w:rsidRPr="002C4077">
        <w:t xml:space="preserve"> </w:t>
      </w:r>
      <w:r w:rsidR="000A7AAB">
        <w:t>clair.</w:t>
      </w:r>
      <w:r w:rsidR="000A7AAB" w:rsidRPr="002C4077">
        <w:t xml:space="preserve"> </w:t>
      </w:r>
      <w:r w:rsidR="000A7AAB">
        <w:t>Et</w:t>
      </w:r>
      <w:r w:rsidR="000A7AAB" w:rsidRPr="002C4077">
        <w:t xml:space="preserve"> </w:t>
      </w:r>
      <w:r w:rsidR="000A7AAB">
        <w:t>il</w:t>
      </w:r>
      <w:r w:rsidR="000A7AAB" w:rsidRPr="002C4077">
        <w:t xml:space="preserve"> </w:t>
      </w:r>
      <w:r w:rsidR="000A7AAB">
        <w:t>a</w:t>
      </w:r>
      <w:r w:rsidR="000A7AAB" w:rsidRPr="002C4077">
        <w:t xml:space="preserve"> </w:t>
      </w:r>
      <w:r w:rsidR="000A7AAB">
        <w:t>raison.</w:t>
      </w:r>
      <w:r w:rsidR="000A7AAB" w:rsidRPr="002C4077">
        <w:t xml:space="preserve"> </w:t>
      </w:r>
      <w:r w:rsidR="000A7AAB">
        <w:t>Les</w:t>
      </w:r>
      <w:r w:rsidR="000A7AAB" w:rsidRPr="002C4077">
        <w:t xml:space="preserve"> </w:t>
      </w:r>
      <w:r w:rsidR="000A7AAB">
        <w:t>mots</w:t>
      </w:r>
      <w:r w:rsidR="000A7AAB" w:rsidRPr="002C4077">
        <w:t xml:space="preserve"> </w:t>
      </w:r>
      <w:r w:rsidR="000A7AAB">
        <w:t>incriminés,</w:t>
      </w:r>
      <w:r w:rsidR="001E7758" w:rsidRPr="002C4077">
        <w:t xml:space="preserve"> </w:t>
      </w:r>
      <w:r w:rsidR="001E7758">
        <w:rPr>
          <w:rStyle w:val="italicus"/>
        </w:rPr>
        <w:t>caput</w:t>
      </w:r>
      <w:r w:rsidR="001E7758" w:rsidRPr="002C4077">
        <w:t xml:space="preserve"> </w:t>
      </w:r>
      <w:r w:rsidR="001E7758">
        <w:rPr>
          <w:rStyle w:val="italicus"/>
        </w:rPr>
        <w:t>Sýriæ</w:t>
      </w:r>
      <w:r w:rsidR="000A7AAB" w:rsidRPr="002C4077">
        <w:t xml:space="preserve"> </w:t>
      </w:r>
      <w:r w:rsidR="001E7758" w:rsidRPr="000A34B5">
        <w:rPr>
          <w:rStyle w:val="italicus"/>
        </w:rPr>
        <w:t>Damáscus</w:t>
      </w:r>
      <w:bookmarkStart w:id="40" w:name="z_Damas_o1"/>
      <w:bookmarkStart w:id="41" w:name="z_Damas_o2"/>
      <w:bookmarkEnd w:id="40"/>
      <w:bookmarkEnd w:id="41"/>
      <w:r w:rsidR="000A7AAB" w:rsidRPr="002C4077">
        <w:t xml:space="preserve"> </w:t>
      </w:r>
      <w:r w:rsidR="000A7AAB" w:rsidRPr="000A34B5">
        <w:rPr>
          <w:rStyle w:val="italicus"/>
        </w:rPr>
        <w:t>et</w:t>
      </w:r>
      <w:r w:rsidR="000A7AAB" w:rsidRPr="002C4077">
        <w:t xml:space="preserve"> </w:t>
      </w:r>
      <w:r w:rsidR="000A7AAB" w:rsidRPr="000A34B5">
        <w:rPr>
          <w:rStyle w:val="italicus"/>
        </w:rPr>
        <w:t>caput</w:t>
      </w:r>
      <w:r w:rsidR="000A7AAB" w:rsidRPr="002C4077">
        <w:t xml:space="preserve"> </w:t>
      </w:r>
      <w:r w:rsidR="001E7758" w:rsidRPr="000A34B5">
        <w:rPr>
          <w:rStyle w:val="italicus"/>
        </w:rPr>
        <w:t>Damásci</w:t>
      </w:r>
      <w:r w:rsidR="000A7AAB" w:rsidRPr="002C4077">
        <w:t xml:space="preserve"> </w:t>
      </w:r>
      <w:r w:rsidR="000A7AAB" w:rsidRPr="000A34B5">
        <w:rPr>
          <w:rStyle w:val="italicus"/>
        </w:rPr>
        <w:t>Rasin….,</w:t>
      </w:r>
      <w:r w:rsidR="000A7AAB" w:rsidRPr="002C4077">
        <w:t xml:space="preserve"> </w:t>
      </w:r>
      <w:r w:rsidR="000A7AAB" w:rsidRPr="000A34B5">
        <w:rPr>
          <w:rStyle w:val="italicus"/>
        </w:rPr>
        <w:t>caput</w:t>
      </w:r>
      <w:r w:rsidR="000A7AAB" w:rsidRPr="002C4077">
        <w:t xml:space="preserve"> </w:t>
      </w:r>
      <w:r w:rsidR="001E7758" w:rsidRPr="000A34B5">
        <w:rPr>
          <w:rStyle w:val="italicus"/>
        </w:rPr>
        <w:t>Ephraím</w:t>
      </w:r>
      <w:bookmarkStart w:id="42" w:name="z_Ephraim_o1"/>
      <w:bookmarkEnd w:id="42"/>
      <w:r w:rsidR="000A7AAB" w:rsidRPr="002C4077">
        <w:t xml:space="preserve"> </w:t>
      </w:r>
      <w:r w:rsidR="003B53FD" w:rsidRPr="000A34B5">
        <w:rPr>
          <w:rStyle w:val="italicus"/>
        </w:rPr>
        <w:t>Samar</w:t>
      </w:r>
      <w:r w:rsidR="003B53FD">
        <w:rPr>
          <w:rStyle w:val="italicus"/>
        </w:rPr>
        <w:t>í</w:t>
      </w:r>
      <w:r w:rsidR="003B53FD" w:rsidRPr="000A34B5">
        <w:rPr>
          <w:rStyle w:val="italicus"/>
        </w:rPr>
        <w:t>a</w:t>
      </w:r>
      <w:r w:rsidR="001E7758" w:rsidRPr="002C4077">
        <w:t xml:space="preserve"> </w:t>
      </w:r>
      <w:r w:rsidR="001E7758">
        <w:rPr>
          <w:rStyle w:val="italicus"/>
        </w:rPr>
        <w:t>et</w:t>
      </w:r>
      <w:r w:rsidR="001E7758" w:rsidRPr="002C4077">
        <w:t xml:space="preserve"> </w:t>
      </w:r>
      <w:r w:rsidR="001E7758">
        <w:rPr>
          <w:rStyle w:val="italicus"/>
        </w:rPr>
        <w:t>caput</w:t>
      </w:r>
      <w:r w:rsidR="001E7758" w:rsidRPr="002C4077">
        <w:t xml:space="preserve"> </w:t>
      </w:r>
      <w:r w:rsidR="001E7758">
        <w:rPr>
          <w:rStyle w:val="italicus"/>
        </w:rPr>
        <w:t>Samaríæ</w:t>
      </w:r>
      <w:r w:rsidR="000A7AAB" w:rsidRPr="002C4077">
        <w:t xml:space="preserve"> </w:t>
      </w:r>
      <w:r w:rsidR="000A7AAB" w:rsidRPr="000A34B5">
        <w:rPr>
          <w:rStyle w:val="italicus"/>
        </w:rPr>
        <w:t>f</w:t>
      </w:r>
      <w:r w:rsidR="003B53FD">
        <w:rPr>
          <w:rStyle w:val="italicus"/>
        </w:rPr>
        <w:t>í</w:t>
      </w:r>
      <w:r w:rsidR="003B53FD" w:rsidRPr="000A34B5">
        <w:rPr>
          <w:rStyle w:val="italicus"/>
        </w:rPr>
        <w:t>lius</w:t>
      </w:r>
      <w:r w:rsidR="000A7AAB" w:rsidRPr="002C4077">
        <w:t xml:space="preserve"> </w:t>
      </w:r>
      <w:r w:rsidR="001E7758" w:rsidRPr="000A34B5">
        <w:rPr>
          <w:rStyle w:val="italicus"/>
        </w:rPr>
        <w:t>Rom</w:t>
      </w:r>
      <w:r w:rsidR="001E7758">
        <w:rPr>
          <w:rStyle w:val="italicus"/>
        </w:rPr>
        <w:t>e</w:t>
      </w:r>
      <w:r w:rsidR="001E7758" w:rsidRPr="000A34B5">
        <w:rPr>
          <w:rStyle w:val="italicus"/>
        </w:rPr>
        <w:t>líæ</w:t>
      </w:r>
      <w:r w:rsidR="000A7AAB" w:rsidRPr="000A34B5">
        <w:rPr>
          <w:rStyle w:val="italicus"/>
        </w:rPr>
        <w:t>,</w:t>
      </w:r>
      <w:r w:rsidR="000A7AAB" w:rsidRPr="002C4077">
        <w:t xml:space="preserve"> </w:t>
      </w:r>
      <w:r w:rsidR="000A7AAB">
        <w:t>signifient</w:t>
      </w:r>
      <w:r w:rsidR="000A7AAB" w:rsidRPr="002C4077">
        <w:t xml:space="preserve"> </w:t>
      </w:r>
      <w:r w:rsidR="000A7AAB">
        <w:t>simplement,</w:t>
      </w:r>
      <w:r w:rsidR="000A7AAB" w:rsidRPr="002C4077">
        <w:t xml:space="preserve"> </w:t>
      </w:r>
      <w:r w:rsidR="000A7AAB">
        <w:t>tous</w:t>
      </w:r>
      <w:r w:rsidR="000A7AAB" w:rsidRPr="002C4077">
        <w:t xml:space="preserve"> </w:t>
      </w:r>
      <w:r w:rsidR="000A7AAB">
        <w:t>nos</w:t>
      </w:r>
      <w:r w:rsidR="000A7AAB" w:rsidRPr="002C4077">
        <w:t xml:space="preserve"> </w:t>
      </w:r>
      <w:r w:rsidR="000A7AAB">
        <w:t>lecteurs</w:t>
      </w:r>
      <w:r w:rsidR="000A7AAB" w:rsidRPr="002C4077">
        <w:t xml:space="preserve"> </w:t>
      </w:r>
      <w:r w:rsidR="000A7AAB">
        <w:t>l’ont</w:t>
      </w:r>
      <w:r w:rsidR="000A7AAB" w:rsidRPr="002C4077">
        <w:t xml:space="preserve"> </w:t>
      </w:r>
      <w:r w:rsidR="000A7AAB">
        <w:t>vu</w:t>
      </w:r>
      <w:r w:rsidR="000A7AAB" w:rsidRPr="002C4077">
        <w:t xml:space="preserve"> </w:t>
      </w:r>
      <w:r w:rsidR="000A7AAB">
        <w:t>à</w:t>
      </w:r>
      <w:r w:rsidR="000A7AAB" w:rsidRPr="002C4077">
        <w:t xml:space="preserve"> </w:t>
      </w:r>
      <w:r w:rsidR="000A7AAB">
        <w:t>la</w:t>
      </w:r>
      <w:r w:rsidR="000A7AAB" w:rsidRPr="002C4077">
        <w:t xml:space="preserve"> </w:t>
      </w:r>
      <w:r w:rsidR="000A7AAB">
        <w:t>lumière</w:t>
      </w:r>
      <w:r w:rsidR="000A7AAB" w:rsidRPr="002C4077">
        <w:t xml:space="preserve"> </w:t>
      </w:r>
      <w:r w:rsidR="000A7AAB">
        <w:t>du</w:t>
      </w:r>
      <w:r w:rsidR="000A7AAB" w:rsidRPr="002C4077">
        <w:t xml:space="preserve"> </w:t>
      </w:r>
      <w:r w:rsidR="000A7AAB">
        <w:t>contexte,</w:t>
      </w:r>
      <w:r w:rsidR="000A7AAB" w:rsidRPr="002C4077">
        <w:t xml:space="preserve"> </w:t>
      </w:r>
      <w:r w:rsidR="000A7AAB">
        <w:t>que</w:t>
      </w:r>
      <w:r w:rsidR="000A7AAB" w:rsidRPr="002C4077">
        <w:t xml:space="preserve"> </w:t>
      </w:r>
      <w:r w:rsidR="000A7AAB">
        <w:t>Damas,</w:t>
      </w:r>
      <w:r w:rsidR="000A7AAB" w:rsidRPr="002C4077">
        <w:t xml:space="preserve"> </w:t>
      </w:r>
      <w:r w:rsidR="000A7AAB">
        <w:t>que</w:t>
      </w:r>
      <w:r w:rsidR="000A7AAB" w:rsidRPr="002C4077">
        <w:t xml:space="preserve"> </w:t>
      </w:r>
      <w:r w:rsidR="000A7AAB">
        <w:t>Samarie</w:t>
      </w:r>
      <w:bookmarkStart w:id="43" w:name="z_Samarie_o1"/>
      <w:bookmarkEnd w:id="43"/>
      <w:r w:rsidR="00B91AF7">
        <w:rPr>
          <w:rStyle w:val="Appelnotedebasdep"/>
        </w:rPr>
        <w:footnoteReference w:id="31"/>
      </w:r>
      <w:r w:rsidR="000A7AAB" w:rsidRPr="002C4077">
        <w:t xml:space="preserve"> </w:t>
      </w:r>
      <w:r w:rsidR="000A7AAB">
        <w:t>continueront</w:t>
      </w:r>
      <w:r w:rsidR="000A7AAB" w:rsidRPr="002C4077">
        <w:t xml:space="preserve"> </w:t>
      </w:r>
      <w:r w:rsidR="000A7AAB">
        <w:t>d’être</w:t>
      </w:r>
      <w:r w:rsidR="000A7AAB" w:rsidRPr="002C4077">
        <w:t xml:space="preserve"> </w:t>
      </w:r>
      <w:r w:rsidR="000A7AAB">
        <w:t>jusqu’à</w:t>
      </w:r>
      <w:r w:rsidR="000A7AAB" w:rsidRPr="002C4077">
        <w:t xml:space="preserve"> </w:t>
      </w:r>
      <w:r w:rsidR="000A7AAB">
        <w:t>nouvel</w:t>
      </w:r>
      <w:r w:rsidR="000A7AAB" w:rsidRPr="002C4077">
        <w:t xml:space="preserve"> </w:t>
      </w:r>
      <w:r w:rsidR="000A7AAB">
        <w:t>ordre,</w:t>
      </w:r>
      <w:r w:rsidR="000A7AAB" w:rsidRPr="002C4077">
        <w:t xml:space="preserve"> </w:t>
      </w:r>
      <w:r w:rsidR="000A7AAB">
        <w:t>comme</w:t>
      </w:r>
      <w:r w:rsidR="000A7AAB" w:rsidRPr="002C4077">
        <w:t xml:space="preserve"> </w:t>
      </w:r>
      <w:r w:rsidR="000A7AAB">
        <w:t>par</w:t>
      </w:r>
      <w:r w:rsidR="000A7AAB" w:rsidRPr="002C4077">
        <w:t xml:space="preserve"> </w:t>
      </w:r>
      <w:r w:rsidR="000A7AAB">
        <w:t>le</w:t>
      </w:r>
      <w:r w:rsidR="000A7AAB" w:rsidRPr="002C4077">
        <w:t xml:space="preserve"> </w:t>
      </w:r>
      <w:r w:rsidR="000A7AAB">
        <w:t>passé,</w:t>
      </w:r>
      <w:r w:rsidR="000A7AAB" w:rsidRPr="002C4077">
        <w:t xml:space="preserve"> </w:t>
      </w:r>
      <w:r w:rsidR="000A7AAB">
        <w:t>les</w:t>
      </w:r>
      <w:r w:rsidR="000A7AAB" w:rsidRPr="002C4077">
        <w:t xml:space="preserve"> </w:t>
      </w:r>
      <w:r w:rsidR="000A7AAB">
        <w:t>villes</w:t>
      </w:r>
      <w:r w:rsidR="000A7AAB" w:rsidRPr="002C4077">
        <w:t xml:space="preserve"> </w:t>
      </w:r>
      <w:r w:rsidR="000A7AAB">
        <w:t>métropoles</w:t>
      </w:r>
      <w:r w:rsidR="000A7AAB" w:rsidRPr="002C4077">
        <w:t xml:space="preserve"> </w:t>
      </w:r>
      <w:r w:rsidR="000A7AAB">
        <w:t>des</w:t>
      </w:r>
      <w:r w:rsidR="000A7AAB" w:rsidRPr="002C4077">
        <w:t xml:space="preserve"> </w:t>
      </w:r>
      <w:r w:rsidR="000A7AAB">
        <w:t>royaumes</w:t>
      </w:r>
      <w:r w:rsidR="000A7AAB" w:rsidRPr="002C4077">
        <w:t xml:space="preserve"> </w:t>
      </w:r>
      <w:r w:rsidR="000A7AAB">
        <w:t>de</w:t>
      </w:r>
      <w:r w:rsidR="000A7AAB" w:rsidRPr="002C4077">
        <w:t xml:space="preserve"> </w:t>
      </w:r>
      <w:r w:rsidR="000A7AAB">
        <w:t>Syrie</w:t>
      </w:r>
      <w:r w:rsidR="000A7AAB" w:rsidRPr="002C4077">
        <w:t xml:space="preserve"> </w:t>
      </w:r>
      <w:r w:rsidR="000A7AAB">
        <w:t>et</w:t>
      </w:r>
      <w:r w:rsidR="000A7AAB" w:rsidRPr="002C4077">
        <w:t xml:space="preserve"> </w:t>
      </w:r>
      <w:r w:rsidR="000A7AAB">
        <w:t>d’Ephraïm,</w:t>
      </w:r>
      <w:r w:rsidR="000A7AAB" w:rsidRPr="002C4077">
        <w:t xml:space="preserve"> </w:t>
      </w:r>
      <w:r w:rsidR="000A7AAB">
        <w:t>mais</w:t>
      </w:r>
      <w:r w:rsidR="000A7AAB" w:rsidRPr="002C4077">
        <w:t xml:space="preserve"> </w:t>
      </w:r>
      <w:r w:rsidR="000A7AAB">
        <w:t>rien</w:t>
      </w:r>
      <w:r w:rsidR="000A7AAB" w:rsidRPr="002C4077">
        <w:t xml:space="preserve"> </w:t>
      </w:r>
      <w:r w:rsidR="000A7AAB">
        <w:t>de</w:t>
      </w:r>
      <w:r w:rsidR="000A7AAB" w:rsidRPr="002C4077">
        <w:t xml:space="preserve"> </w:t>
      </w:r>
      <w:r w:rsidR="000A7AAB">
        <w:t>plus</w:t>
      </w:r>
      <w:r>
        <w:t> ;</w:t>
      </w:r>
      <w:r w:rsidR="000A7AAB" w:rsidRPr="002C4077">
        <w:t xml:space="preserve"> </w:t>
      </w:r>
      <w:r w:rsidR="000A7AAB">
        <w:t>que</w:t>
      </w:r>
      <w:r w:rsidR="000A7AAB" w:rsidRPr="002C4077">
        <w:t xml:space="preserve"> </w:t>
      </w:r>
      <w:r w:rsidR="000A7AAB">
        <w:t>Rasin</w:t>
      </w:r>
      <w:bookmarkStart w:id="44" w:name="z_Rasin_o3"/>
      <w:bookmarkEnd w:id="44"/>
      <w:r w:rsidR="000A7AAB" w:rsidRPr="002C4077">
        <w:t xml:space="preserve"> </w:t>
      </w:r>
      <w:r w:rsidR="000A7AAB">
        <w:t>et</w:t>
      </w:r>
      <w:r w:rsidR="000A7AAB" w:rsidRPr="002C4077">
        <w:t xml:space="preserve"> </w:t>
      </w:r>
      <w:r w:rsidR="000A7AAB">
        <w:t>Phacée</w:t>
      </w:r>
      <w:bookmarkStart w:id="45" w:name="z_Phacee_o3"/>
      <w:bookmarkStart w:id="46" w:name="z_Phacee_o4"/>
      <w:bookmarkEnd w:id="45"/>
      <w:bookmarkEnd w:id="46"/>
      <w:r w:rsidR="000A7AAB">
        <w:t>,</w:t>
      </w:r>
      <w:r w:rsidR="000A7AAB" w:rsidRPr="002C4077">
        <w:t xml:space="preserve"> </w:t>
      </w:r>
      <w:r w:rsidR="000A7AAB">
        <w:t>malgré</w:t>
      </w:r>
      <w:r w:rsidR="000A7AAB" w:rsidRPr="002C4077">
        <w:t xml:space="preserve"> </w:t>
      </w:r>
      <w:r w:rsidR="000A7AAB">
        <w:t>toute</w:t>
      </w:r>
      <w:r w:rsidR="000A7AAB" w:rsidRPr="002C4077">
        <w:t xml:space="preserve"> </w:t>
      </w:r>
      <w:r w:rsidR="000A7AAB">
        <w:t>leur</w:t>
      </w:r>
      <w:r w:rsidR="000A7AAB" w:rsidRPr="002C4077">
        <w:t xml:space="preserve"> </w:t>
      </w:r>
      <w:r w:rsidR="000A7AAB">
        <w:t>envie</w:t>
      </w:r>
      <w:r w:rsidR="000A7AAB" w:rsidRPr="002C4077">
        <w:t xml:space="preserve"> </w:t>
      </w:r>
      <w:r w:rsidR="000A7AAB">
        <w:t>de</w:t>
      </w:r>
      <w:r w:rsidR="000A7AAB" w:rsidRPr="002C4077">
        <w:t xml:space="preserve"> </w:t>
      </w:r>
      <w:r w:rsidR="000A7AAB">
        <w:t>régner</w:t>
      </w:r>
      <w:r w:rsidR="000A7AAB" w:rsidRPr="002C4077">
        <w:t xml:space="preserve"> </w:t>
      </w:r>
      <w:r w:rsidR="000A7AAB">
        <w:t>en</w:t>
      </w:r>
      <w:r w:rsidR="000A7AAB" w:rsidRPr="002C4077">
        <w:t xml:space="preserve"> </w:t>
      </w:r>
      <w:r w:rsidR="000A7AAB">
        <w:t>suzerains</w:t>
      </w:r>
      <w:r w:rsidR="000A7AAB" w:rsidRPr="002C4077">
        <w:t xml:space="preserve"> </w:t>
      </w:r>
      <w:r w:rsidR="000A7AAB">
        <w:t>sur</w:t>
      </w:r>
      <w:r w:rsidR="000A7AAB" w:rsidRPr="002C4077">
        <w:t xml:space="preserve"> </w:t>
      </w:r>
      <w:r w:rsidR="000A7AAB">
        <w:t>Juda</w:t>
      </w:r>
      <w:r w:rsidR="000A7AAB" w:rsidRPr="002C4077">
        <w:t xml:space="preserve"> </w:t>
      </w:r>
      <w:r w:rsidR="000A7AAB">
        <w:t>et</w:t>
      </w:r>
      <w:r w:rsidR="000A7AAB" w:rsidRPr="002C4077">
        <w:t xml:space="preserve"> </w:t>
      </w:r>
      <w:r w:rsidR="000A7AAB">
        <w:t>sur</w:t>
      </w:r>
      <w:r w:rsidR="000A7AAB" w:rsidRPr="002C4077">
        <w:t xml:space="preserve"> </w:t>
      </w:r>
      <w:r w:rsidR="000A7AAB">
        <w:t>Jérusalem,</w:t>
      </w:r>
      <w:r w:rsidR="000A7AAB" w:rsidRPr="002C4077">
        <w:t xml:space="preserve"> </w:t>
      </w:r>
      <w:r w:rsidR="000A7AAB">
        <w:t>ne</w:t>
      </w:r>
      <w:r w:rsidR="000A7AAB" w:rsidRPr="002C4077">
        <w:t xml:space="preserve"> </w:t>
      </w:r>
      <w:r w:rsidR="000A7AAB">
        <w:t>réussiront</w:t>
      </w:r>
      <w:r w:rsidR="000A7AAB" w:rsidRPr="002C4077">
        <w:t xml:space="preserve"> </w:t>
      </w:r>
      <w:r w:rsidR="000A7AAB">
        <w:t>jamais</w:t>
      </w:r>
      <w:r w:rsidR="000A7AAB" w:rsidRPr="002C4077">
        <w:t xml:space="preserve"> </w:t>
      </w:r>
      <w:r w:rsidR="000A7AAB">
        <w:t>à</w:t>
      </w:r>
      <w:r w:rsidR="000A7AAB" w:rsidRPr="002C4077">
        <w:t xml:space="preserve"> </w:t>
      </w:r>
      <w:r w:rsidR="000A7AAB">
        <w:t>devenir</w:t>
      </w:r>
      <w:r w:rsidR="000A7AAB" w:rsidRPr="002C4077">
        <w:t xml:space="preserve"> </w:t>
      </w:r>
      <w:r w:rsidR="000A7AAB">
        <w:t>autre</w:t>
      </w:r>
      <w:r w:rsidR="000A7AAB" w:rsidRPr="002C4077">
        <w:t xml:space="preserve"> </w:t>
      </w:r>
      <w:r w:rsidR="000A7AAB">
        <w:t>chose</w:t>
      </w:r>
      <w:r w:rsidR="000A7AAB" w:rsidRPr="002C4077">
        <w:t xml:space="preserve"> </w:t>
      </w:r>
      <w:r w:rsidR="000A7AAB">
        <w:t>que</w:t>
      </w:r>
      <w:r w:rsidR="000A7AAB" w:rsidRPr="002C4077">
        <w:t xml:space="preserve"> </w:t>
      </w:r>
      <w:r w:rsidR="000A7AAB">
        <w:t>rois</w:t>
      </w:r>
      <w:r w:rsidR="000A7AAB" w:rsidRPr="002C4077">
        <w:t xml:space="preserve"> </w:t>
      </w:r>
      <w:r w:rsidR="000A7AAB">
        <w:t>de</w:t>
      </w:r>
      <w:r w:rsidR="000A7AAB" w:rsidRPr="002C4077">
        <w:t xml:space="preserve"> </w:t>
      </w:r>
      <w:r w:rsidR="000A7AAB">
        <w:t>Syrie</w:t>
      </w:r>
      <w:r w:rsidR="000A7AAB" w:rsidRPr="002C4077">
        <w:t xml:space="preserve"> </w:t>
      </w:r>
      <w:r w:rsidR="000A7AAB">
        <w:t>et</w:t>
      </w:r>
      <w:r w:rsidR="000A7AAB" w:rsidRPr="002C4077">
        <w:t xml:space="preserve"> </w:t>
      </w:r>
      <w:r w:rsidR="000A7AAB">
        <w:t>d’Ephraïm.</w:t>
      </w:r>
      <w:r w:rsidR="000A7AAB" w:rsidRPr="002C4077">
        <w:t xml:space="preserve"> </w:t>
      </w:r>
      <w:r w:rsidR="000A7AAB">
        <w:t>C’est</w:t>
      </w:r>
      <w:r w:rsidR="000A7AAB" w:rsidRPr="002C4077">
        <w:t xml:space="preserve"> </w:t>
      </w:r>
      <w:r w:rsidR="000A7AAB">
        <w:t>une</w:t>
      </w:r>
      <w:r w:rsidR="000A7AAB" w:rsidRPr="002C4077">
        <w:t xml:space="preserve"> </w:t>
      </w:r>
      <w:r w:rsidR="000A7AAB">
        <w:t>image</w:t>
      </w:r>
      <w:r w:rsidR="000A7AAB" w:rsidRPr="002C4077">
        <w:t xml:space="preserve"> </w:t>
      </w:r>
      <w:r w:rsidR="000A7AAB">
        <w:t>orientale</w:t>
      </w:r>
      <w:r w:rsidR="000A7AAB" w:rsidRPr="002C4077">
        <w:t xml:space="preserve"> </w:t>
      </w:r>
      <w:r w:rsidR="000A7AAB">
        <w:t>pleine</w:t>
      </w:r>
      <w:r w:rsidR="000A7AAB" w:rsidRPr="002C4077">
        <w:t xml:space="preserve"> </w:t>
      </w:r>
      <w:r w:rsidR="000A7AAB">
        <w:t>d’énergie.</w:t>
      </w:r>
      <w:r w:rsidR="000A7AAB" w:rsidRPr="002C4077">
        <w:t xml:space="preserve"> </w:t>
      </w:r>
    </w:p>
    <w:p w:rsidR="000A7AAB" w:rsidRDefault="000A7AAB" w:rsidP="000A7AAB">
      <w:r>
        <w:t>La</w:t>
      </w:r>
      <w:bookmarkStart w:id="47" w:name="z_Samarie_o2"/>
      <w:bookmarkEnd w:id="47"/>
      <w:r w:rsidRPr="002C4077">
        <w:t xml:space="preserve"> </w:t>
      </w:r>
      <w:r>
        <w:t>phrase</w:t>
      </w:r>
      <w:r w:rsidRPr="002C4077">
        <w:t xml:space="preserve"> </w:t>
      </w:r>
      <w:r w:rsidRPr="000A34B5">
        <w:rPr>
          <w:rStyle w:val="italicus"/>
        </w:rPr>
        <w:t>et</w:t>
      </w:r>
      <w:r w:rsidRPr="002C4077">
        <w:t xml:space="preserve"> </w:t>
      </w:r>
      <w:r w:rsidRPr="000A34B5">
        <w:rPr>
          <w:rStyle w:val="italicus"/>
        </w:rPr>
        <w:t>adhuc</w:t>
      </w:r>
      <w:r w:rsidRPr="002C4077">
        <w:t xml:space="preserve"> </w:t>
      </w:r>
      <w:r w:rsidR="001E7758" w:rsidRPr="000A34B5">
        <w:rPr>
          <w:rStyle w:val="italicus"/>
        </w:rPr>
        <w:t>sexagínta</w:t>
      </w:r>
      <w:r w:rsidRPr="002C4077">
        <w:t xml:space="preserve"> </w:t>
      </w:r>
      <w:r w:rsidRPr="000A34B5">
        <w:rPr>
          <w:rStyle w:val="italicus"/>
        </w:rPr>
        <w:t>et</w:t>
      </w:r>
      <w:r w:rsidRPr="002C4077">
        <w:t xml:space="preserve"> </w:t>
      </w:r>
      <w:r w:rsidRPr="000A34B5">
        <w:rPr>
          <w:rStyle w:val="italicus"/>
        </w:rPr>
        <w:t>quinque</w:t>
      </w:r>
      <w:r w:rsidRPr="002C4077">
        <w:t xml:space="preserve"> </w:t>
      </w:r>
      <w:r w:rsidRPr="000A34B5">
        <w:rPr>
          <w:rStyle w:val="italicus"/>
        </w:rPr>
        <w:t>anni,</w:t>
      </w:r>
      <w:r w:rsidRPr="002C4077">
        <w:t xml:space="preserve"> </w:t>
      </w:r>
      <w:r w:rsidRPr="000A34B5">
        <w:rPr>
          <w:rStyle w:val="italicus"/>
        </w:rPr>
        <w:t>et</w:t>
      </w:r>
      <w:r w:rsidRPr="002C4077">
        <w:t xml:space="preserve"> </w:t>
      </w:r>
      <w:r w:rsidR="001E7758" w:rsidRPr="000A34B5">
        <w:rPr>
          <w:rStyle w:val="italicus"/>
        </w:rPr>
        <w:t>désinet</w:t>
      </w:r>
      <w:r w:rsidRPr="002C4077">
        <w:t xml:space="preserve"> </w:t>
      </w:r>
      <w:r w:rsidR="001E7758" w:rsidRPr="000A34B5">
        <w:rPr>
          <w:rStyle w:val="italicus"/>
        </w:rPr>
        <w:t>Ephraím</w:t>
      </w:r>
      <w:r w:rsidRPr="002C4077">
        <w:t xml:space="preserve"> </w:t>
      </w:r>
      <w:r w:rsidRPr="000A34B5">
        <w:rPr>
          <w:rStyle w:val="italicus"/>
        </w:rPr>
        <w:t>esse</w:t>
      </w:r>
      <w:r w:rsidRPr="002C4077">
        <w:t xml:space="preserve"> </w:t>
      </w:r>
      <w:r w:rsidRPr="000A34B5">
        <w:rPr>
          <w:rStyle w:val="italicus"/>
        </w:rPr>
        <w:t>p</w:t>
      </w:r>
      <w:r w:rsidR="003B53FD">
        <w:rPr>
          <w:rStyle w:val="italicus"/>
        </w:rPr>
        <w:t>ó</w:t>
      </w:r>
      <w:r w:rsidR="003B53FD" w:rsidRPr="000A34B5">
        <w:rPr>
          <w:rStyle w:val="italicus"/>
        </w:rPr>
        <w:t>pulus</w:t>
      </w:r>
      <w:r w:rsidRPr="004440EA">
        <w:t xml:space="preserve"> (</w:t>
      </w:r>
      <w:r>
        <w:t>seconde</w:t>
      </w:r>
      <w:r w:rsidRPr="002C4077">
        <w:t xml:space="preserve"> </w:t>
      </w:r>
      <w:r>
        <w:t>moitié</w:t>
      </w:r>
      <w:r w:rsidRPr="002C4077">
        <w:t xml:space="preserve"> </w:t>
      </w:r>
      <w:r>
        <w:t>du</w:t>
      </w:r>
      <w:r w:rsidRPr="002C4077">
        <w:t xml:space="preserve"> </w:t>
      </w:r>
      <w:r>
        <w:t>verset</w:t>
      </w:r>
      <w:r w:rsidRPr="002C4077">
        <w:t xml:space="preserve"> </w:t>
      </w:r>
      <w:r>
        <w:t>8</w:t>
      </w:r>
      <w:r w:rsidR="00B546AF" w:rsidRPr="002C4077">
        <w:t>)</w:t>
      </w:r>
      <w:r w:rsidRPr="002C4077">
        <w:t xml:space="preserve"> </w:t>
      </w:r>
      <w:r>
        <w:t>a</w:t>
      </w:r>
      <w:r w:rsidRPr="002C4077">
        <w:t xml:space="preserve"> </w:t>
      </w:r>
      <w:r>
        <w:t>suscité</w:t>
      </w:r>
      <w:r w:rsidRPr="002C4077">
        <w:t xml:space="preserve"> </w:t>
      </w:r>
      <w:r>
        <w:t>une</w:t>
      </w:r>
      <w:r w:rsidRPr="002C4077">
        <w:t xml:space="preserve"> </w:t>
      </w:r>
      <w:r>
        <w:t>petite</w:t>
      </w:r>
      <w:r w:rsidRPr="002C4077">
        <w:t xml:space="preserve"> </w:t>
      </w:r>
      <w:r>
        <w:t>tempête</w:t>
      </w:r>
      <w:r w:rsidRPr="002C4077">
        <w:t xml:space="preserve"> </w:t>
      </w:r>
      <w:r>
        <w:t>parmi</w:t>
      </w:r>
      <w:r w:rsidRPr="002C4077">
        <w:t xml:space="preserve"> </w:t>
      </w:r>
      <w:r>
        <w:t>les</w:t>
      </w:r>
      <w:r w:rsidRPr="002C4077">
        <w:t xml:space="preserve"> </w:t>
      </w:r>
      <w:r>
        <w:t>adversaires</w:t>
      </w:r>
      <w:r w:rsidRPr="002C4077">
        <w:t xml:space="preserve"> </w:t>
      </w:r>
      <w:r>
        <w:t>de</w:t>
      </w:r>
      <w:r w:rsidRPr="002C4077">
        <w:t xml:space="preserve"> </w:t>
      </w:r>
      <w:r>
        <w:t>la</w:t>
      </w:r>
      <w:r w:rsidRPr="002C4077">
        <w:t xml:space="preserve"> </w:t>
      </w:r>
      <w:r>
        <w:t>révélation.</w:t>
      </w:r>
      <w:r w:rsidR="00C45B47">
        <w:t xml:space="preserve"> {</w:t>
      </w:r>
      <w:r w:rsidR="000721C4">
        <w:t>10</w:t>
      </w:r>
      <w:bookmarkStart w:id="48" w:name="p010"/>
      <w:bookmarkEnd w:id="48"/>
      <w:r w:rsidR="000721C4">
        <w:t xml:space="preserve">} </w:t>
      </w:r>
      <w:r>
        <w:t>Que</w:t>
      </w:r>
      <w:r w:rsidRPr="002C4077">
        <w:t xml:space="preserve"> </w:t>
      </w:r>
      <w:r>
        <w:t>M.</w:t>
      </w:r>
      <w:r w:rsidRPr="002C4077">
        <w:t xml:space="preserve"> </w:t>
      </w:r>
      <w:r>
        <w:t>Reuss</w:t>
      </w:r>
      <w:r w:rsidRPr="002C4077">
        <w:t xml:space="preserve"> </w:t>
      </w:r>
      <w:r>
        <w:t>leur</w:t>
      </w:r>
      <w:r w:rsidRPr="002C4077">
        <w:t xml:space="preserve"> </w:t>
      </w:r>
      <w:r>
        <w:t>serve</w:t>
      </w:r>
      <w:r w:rsidRPr="002C4077">
        <w:t xml:space="preserve"> </w:t>
      </w:r>
      <w:r>
        <w:t>encore</w:t>
      </w:r>
      <w:r w:rsidRPr="002C4077">
        <w:t xml:space="preserve"> </w:t>
      </w:r>
      <w:r>
        <w:t>ici</w:t>
      </w:r>
      <w:r w:rsidRPr="002C4077">
        <w:t xml:space="preserve"> </w:t>
      </w:r>
      <w:r>
        <w:t>de</w:t>
      </w:r>
      <w:r w:rsidRPr="002C4077">
        <w:t xml:space="preserve"> </w:t>
      </w:r>
      <w:r>
        <w:t>porte-voix.</w:t>
      </w:r>
      <w:r w:rsidRPr="002C4077">
        <w:t xml:space="preserve"> </w:t>
      </w:r>
      <w:r w:rsidR="00B546AF">
        <w:t>« </w:t>
      </w:r>
      <w:r>
        <w:t>Cette</w:t>
      </w:r>
      <w:bookmarkStart w:id="49" w:name="z_Samarie_o3"/>
      <w:bookmarkEnd w:id="49"/>
      <w:r w:rsidRPr="002C4077">
        <w:t xml:space="preserve"> </w:t>
      </w:r>
      <w:r>
        <w:t>ligne</w:t>
      </w:r>
      <w:r w:rsidRPr="002C4077">
        <w:t xml:space="preserve"> </w:t>
      </w:r>
      <w:r w:rsidR="00425C50">
        <w:t>est</w:t>
      </w:r>
      <w:r w:rsidRPr="002C4077">
        <w:t xml:space="preserve"> </w:t>
      </w:r>
      <w:r>
        <w:t>positivement</w:t>
      </w:r>
      <w:r w:rsidRPr="002C4077">
        <w:t xml:space="preserve"> </w:t>
      </w:r>
      <w:r>
        <w:t>une</w:t>
      </w:r>
      <w:r w:rsidRPr="002C4077">
        <w:t xml:space="preserve"> </w:t>
      </w:r>
      <w:r>
        <w:t>note</w:t>
      </w:r>
      <w:r w:rsidRPr="002C4077">
        <w:t xml:space="preserve"> </w:t>
      </w:r>
      <w:r>
        <w:t>étrangère</w:t>
      </w:r>
      <w:r w:rsidRPr="002C4077">
        <w:t xml:space="preserve"> </w:t>
      </w:r>
      <w:r>
        <w:t>au</w:t>
      </w:r>
      <w:r w:rsidRPr="002C4077">
        <w:t xml:space="preserve"> </w:t>
      </w:r>
      <w:r>
        <w:t>texte,</w:t>
      </w:r>
      <w:r w:rsidRPr="002C4077">
        <w:t xml:space="preserve"> </w:t>
      </w:r>
      <w:r>
        <w:t>et</w:t>
      </w:r>
      <w:r w:rsidRPr="002C4077">
        <w:t xml:space="preserve"> </w:t>
      </w:r>
      <w:r>
        <w:t>assez</w:t>
      </w:r>
      <w:r w:rsidRPr="002C4077">
        <w:t xml:space="preserve"> </w:t>
      </w:r>
      <w:r>
        <w:t>maladroite</w:t>
      </w:r>
      <w:r w:rsidRPr="002C4077">
        <w:t xml:space="preserve"> </w:t>
      </w:r>
      <w:r>
        <w:t>par</w:t>
      </w:r>
      <w:r w:rsidRPr="002C4077">
        <w:t xml:space="preserve"> </w:t>
      </w:r>
      <w:r>
        <w:t>dessus</w:t>
      </w:r>
      <w:r w:rsidRPr="002C4077">
        <w:t xml:space="preserve"> </w:t>
      </w:r>
      <w:r>
        <w:t>le</w:t>
      </w:r>
      <w:r w:rsidRPr="002C4077">
        <w:t xml:space="preserve"> </w:t>
      </w:r>
      <w:r>
        <w:t>marché</w:t>
      </w:r>
      <w:r w:rsidR="00B91AF7">
        <w:rPr>
          <w:rStyle w:val="Appelnotedebasdep"/>
        </w:rPr>
        <w:footnoteReference w:id="32"/>
      </w:r>
      <w:r>
        <w:t>.</w:t>
      </w:r>
      <w:r w:rsidRPr="002C4077">
        <w:t xml:space="preserve"> </w:t>
      </w:r>
      <w:r>
        <w:t>Elle</w:t>
      </w:r>
      <w:r w:rsidRPr="002C4077">
        <w:t xml:space="preserve"> </w:t>
      </w:r>
      <w:r>
        <w:t>interrompt</w:t>
      </w:r>
      <w:r w:rsidRPr="002C4077">
        <w:t xml:space="preserve"> </w:t>
      </w:r>
      <w:r>
        <w:t>le</w:t>
      </w:r>
      <w:r w:rsidRPr="002C4077">
        <w:t xml:space="preserve"> </w:t>
      </w:r>
      <w:r>
        <w:t>parallélisme,</w:t>
      </w:r>
      <w:r w:rsidRPr="002C4077">
        <w:t xml:space="preserve"> </w:t>
      </w:r>
      <w:r>
        <w:t>elle</w:t>
      </w:r>
      <w:r w:rsidRPr="002C4077">
        <w:t xml:space="preserve"> </w:t>
      </w:r>
      <w:r w:rsidR="00425C50">
        <w:t>est</w:t>
      </w:r>
      <w:r w:rsidRPr="002C4077">
        <w:t xml:space="preserve"> </w:t>
      </w:r>
      <w:r>
        <w:t>en</w:t>
      </w:r>
      <w:r w:rsidRPr="002C4077">
        <w:t xml:space="preserve"> </w:t>
      </w:r>
      <w:r>
        <w:t>contradiction</w:t>
      </w:r>
      <w:r w:rsidRPr="002C4077">
        <w:t xml:space="preserve"> </w:t>
      </w:r>
      <w:r>
        <w:t>avec</w:t>
      </w:r>
      <w:r w:rsidRPr="002C4077">
        <w:t xml:space="preserve"> </w:t>
      </w:r>
      <w:r>
        <w:t>le</w:t>
      </w:r>
      <w:r w:rsidRPr="002C4077">
        <w:t xml:space="preserve"> </w:t>
      </w:r>
      <w:r>
        <w:t>verset</w:t>
      </w:r>
      <w:r w:rsidRPr="002C4077">
        <w:t xml:space="preserve"> </w:t>
      </w:r>
      <w:r>
        <w:t>16,</w:t>
      </w:r>
      <w:r w:rsidRPr="002C4077">
        <w:t xml:space="preserve"> </w:t>
      </w:r>
      <w:r>
        <w:t>qui</w:t>
      </w:r>
      <w:r w:rsidRPr="002C4077">
        <w:t xml:space="preserve"> </w:t>
      </w:r>
      <w:r>
        <w:t>annonce</w:t>
      </w:r>
      <w:r w:rsidRPr="002C4077">
        <w:t xml:space="preserve"> </w:t>
      </w:r>
      <w:r>
        <w:t>la</w:t>
      </w:r>
      <w:r w:rsidRPr="002C4077">
        <w:t xml:space="preserve"> </w:t>
      </w:r>
      <w:r>
        <w:t>ruine</w:t>
      </w:r>
      <w:r w:rsidRPr="002C4077">
        <w:t xml:space="preserve"> </w:t>
      </w:r>
      <w:r>
        <w:t>d’Ephraïm</w:t>
      </w:r>
      <w:r w:rsidRPr="002C4077">
        <w:t xml:space="preserve"> </w:t>
      </w:r>
      <w:r>
        <w:t>pour</w:t>
      </w:r>
      <w:r w:rsidRPr="002C4077">
        <w:t xml:space="preserve"> </w:t>
      </w:r>
      <w:r>
        <w:t>une</w:t>
      </w:r>
      <w:r w:rsidRPr="002C4077">
        <w:t xml:space="preserve"> </w:t>
      </w:r>
      <w:r>
        <w:t>époque</w:t>
      </w:r>
      <w:r w:rsidRPr="002C4077">
        <w:t xml:space="preserve"> </w:t>
      </w:r>
      <w:r>
        <w:t>beaucoup</w:t>
      </w:r>
      <w:r w:rsidRPr="002C4077">
        <w:t xml:space="preserve"> </w:t>
      </w:r>
      <w:r>
        <w:t>plus</w:t>
      </w:r>
      <w:r w:rsidRPr="002C4077">
        <w:t xml:space="preserve"> </w:t>
      </w:r>
      <w:r>
        <w:t>rapprochée</w:t>
      </w:r>
      <w:r w:rsidR="00B546AF">
        <w:t> ;</w:t>
      </w:r>
      <w:r w:rsidRPr="002C4077">
        <w:t xml:space="preserve"> </w:t>
      </w:r>
      <w:r>
        <w:t>elle</w:t>
      </w:r>
      <w:r w:rsidRPr="002C4077">
        <w:t xml:space="preserve"> </w:t>
      </w:r>
      <w:r>
        <w:t>serait</w:t>
      </w:r>
      <w:r w:rsidRPr="002C4077">
        <w:t xml:space="preserve"> </w:t>
      </w:r>
      <w:r>
        <w:t>l’unique</w:t>
      </w:r>
      <w:r w:rsidRPr="002C4077">
        <w:t xml:space="preserve"> </w:t>
      </w:r>
      <w:r>
        <w:t>exemple</w:t>
      </w:r>
      <w:r w:rsidRPr="002C4077">
        <w:t xml:space="preserve"> </w:t>
      </w:r>
      <w:r>
        <w:t>d’une</w:t>
      </w:r>
      <w:r w:rsidRPr="002C4077">
        <w:t xml:space="preserve"> </w:t>
      </w:r>
      <w:r>
        <w:t>prédiction</w:t>
      </w:r>
      <w:r w:rsidRPr="002C4077">
        <w:t xml:space="preserve"> </w:t>
      </w:r>
      <w:r>
        <w:t>précise</w:t>
      </w:r>
      <w:r w:rsidRPr="002C4077">
        <w:t xml:space="preserve"> </w:t>
      </w:r>
      <w:r>
        <w:t>formulée</w:t>
      </w:r>
      <w:r w:rsidRPr="002C4077">
        <w:t xml:space="preserve"> </w:t>
      </w:r>
      <w:r>
        <w:t>en</w:t>
      </w:r>
      <w:r w:rsidRPr="002C4077">
        <w:t xml:space="preserve"> </w:t>
      </w:r>
      <w:r>
        <w:t>chiffres</w:t>
      </w:r>
      <w:r w:rsidRPr="002C4077">
        <w:t xml:space="preserve"> </w:t>
      </w:r>
      <w:r>
        <w:t>exacts</w:t>
      </w:r>
      <w:r w:rsidR="00B546AF">
        <w:t> ;</w:t>
      </w:r>
      <w:r w:rsidRPr="002C4077">
        <w:t xml:space="preserve"> </w:t>
      </w:r>
      <w:r>
        <w:t>enfin,</w:t>
      </w:r>
      <w:r w:rsidRPr="002C4077">
        <w:t xml:space="preserve"> </w:t>
      </w:r>
      <w:r>
        <w:t>dans</w:t>
      </w:r>
      <w:r w:rsidRPr="002C4077">
        <w:t xml:space="preserve"> </w:t>
      </w:r>
      <w:r>
        <w:t>ce</w:t>
      </w:r>
      <w:r w:rsidRPr="002C4077">
        <w:t xml:space="preserve"> </w:t>
      </w:r>
      <w:r>
        <w:t>cas</w:t>
      </w:r>
      <w:r w:rsidRPr="002C4077">
        <w:t xml:space="preserve"> </w:t>
      </w:r>
      <w:r>
        <w:t>même,</w:t>
      </w:r>
      <w:r w:rsidRPr="002C4077">
        <w:t xml:space="preserve"> </w:t>
      </w:r>
      <w:r>
        <w:t>elle</w:t>
      </w:r>
      <w:r w:rsidRPr="002C4077">
        <w:t xml:space="preserve"> </w:t>
      </w:r>
      <w:r>
        <w:t>serait</w:t>
      </w:r>
      <w:r w:rsidRPr="002C4077">
        <w:t xml:space="preserve"> </w:t>
      </w:r>
      <w:r>
        <w:t>contredite</w:t>
      </w:r>
      <w:r w:rsidRPr="002C4077">
        <w:t xml:space="preserve"> </w:t>
      </w:r>
      <w:r>
        <w:t>par</w:t>
      </w:r>
      <w:r w:rsidRPr="002C4077">
        <w:t xml:space="preserve"> </w:t>
      </w:r>
      <w:r>
        <w:t>l’histoire.</w:t>
      </w:r>
      <w:r w:rsidRPr="002C4077">
        <w:t xml:space="preserve"> </w:t>
      </w:r>
      <w:r>
        <w:t>Le</w:t>
      </w:r>
      <w:r w:rsidRPr="002C4077">
        <w:t xml:space="preserve"> </w:t>
      </w:r>
      <w:r>
        <w:t>discours</w:t>
      </w:r>
      <w:r w:rsidRPr="002C4077">
        <w:t xml:space="preserve"> </w:t>
      </w:r>
      <w:r>
        <w:t>ne</w:t>
      </w:r>
      <w:r w:rsidRPr="002C4077">
        <w:t xml:space="preserve"> </w:t>
      </w:r>
      <w:r>
        <w:t>peut</w:t>
      </w:r>
      <w:r w:rsidRPr="002C4077">
        <w:t xml:space="preserve"> </w:t>
      </w:r>
      <w:r>
        <w:t>remonter</w:t>
      </w:r>
      <w:r w:rsidRPr="002C4077">
        <w:t xml:space="preserve"> </w:t>
      </w:r>
      <w:r>
        <w:t>au</w:t>
      </w:r>
      <w:r w:rsidRPr="002C4077">
        <w:t xml:space="preserve"> </w:t>
      </w:r>
      <w:r>
        <w:t>delà</w:t>
      </w:r>
      <w:r w:rsidRPr="002C4077">
        <w:t xml:space="preserve"> </w:t>
      </w:r>
      <w:r>
        <w:t>de</w:t>
      </w:r>
      <w:r w:rsidRPr="002C4077">
        <w:t xml:space="preserve"> </w:t>
      </w:r>
      <w:r>
        <w:t>743…,</w:t>
      </w:r>
      <w:r w:rsidRPr="002C4077">
        <w:t xml:space="preserve"> </w:t>
      </w:r>
      <w:r>
        <w:t>et</w:t>
      </w:r>
      <w:r w:rsidRPr="002C4077">
        <w:t xml:space="preserve"> </w:t>
      </w:r>
      <w:r>
        <w:t>la</w:t>
      </w:r>
      <w:r w:rsidRPr="002C4077">
        <w:t xml:space="preserve"> </w:t>
      </w:r>
      <w:r>
        <w:t>ruine</w:t>
      </w:r>
      <w:r w:rsidRPr="002C4077">
        <w:t xml:space="preserve"> </w:t>
      </w:r>
      <w:r>
        <w:t>de</w:t>
      </w:r>
      <w:r w:rsidRPr="002C4077">
        <w:t xml:space="preserve"> </w:t>
      </w:r>
      <w:r>
        <w:t>Samarie</w:t>
      </w:r>
      <w:r w:rsidRPr="002C4077">
        <w:t xml:space="preserve"> </w:t>
      </w:r>
      <w:r>
        <w:t>survint</w:t>
      </w:r>
      <w:r w:rsidRPr="002C4077">
        <w:t xml:space="preserve"> </w:t>
      </w:r>
      <w:r>
        <w:t>en</w:t>
      </w:r>
      <w:r w:rsidRPr="002C4077">
        <w:t xml:space="preserve"> </w:t>
      </w:r>
      <w:r>
        <w:t>722.</w:t>
      </w:r>
      <w:r w:rsidRPr="002C4077">
        <w:t xml:space="preserve"> </w:t>
      </w:r>
      <w:r>
        <w:t>L’auteur</w:t>
      </w:r>
      <w:r w:rsidRPr="002C4077">
        <w:t xml:space="preserve"> </w:t>
      </w:r>
      <w:r>
        <w:t>de</w:t>
      </w:r>
      <w:r w:rsidRPr="002C4077">
        <w:t xml:space="preserve"> </w:t>
      </w:r>
      <w:r>
        <w:t>la</w:t>
      </w:r>
      <w:r w:rsidRPr="002C4077">
        <w:t xml:space="preserve"> </w:t>
      </w:r>
      <w:r>
        <w:t>remarque</w:t>
      </w:r>
      <w:r w:rsidRPr="002C4077">
        <w:t xml:space="preserve"> </w:t>
      </w:r>
      <w:r>
        <w:t>doit</w:t>
      </w:r>
      <w:r w:rsidRPr="002C4077">
        <w:t xml:space="preserve"> </w:t>
      </w:r>
      <w:r>
        <w:t>avoir</w:t>
      </w:r>
      <w:r w:rsidRPr="002C4077">
        <w:t xml:space="preserve"> </w:t>
      </w:r>
      <w:r>
        <w:t>eu</w:t>
      </w:r>
      <w:r w:rsidRPr="002C4077">
        <w:t xml:space="preserve"> </w:t>
      </w:r>
      <w:r>
        <w:t>en</w:t>
      </w:r>
      <w:r w:rsidRPr="002C4077">
        <w:t xml:space="preserve"> </w:t>
      </w:r>
      <w:r>
        <w:t>vue</w:t>
      </w:r>
      <w:r w:rsidRPr="002C4077">
        <w:t xml:space="preserve"> </w:t>
      </w:r>
      <w:r>
        <w:t>quelque</w:t>
      </w:r>
      <w:r w:rsidRPr="002C4077">
        <w:t xml:space="preserve"> </w:t>
      </w:r>
      <w:r>
        <w:t>événement</w:t>
      </w:r>
      <w:r w:rsidRPr="002C4077">
        <w:t xml:space="preserve"> </w:t>
      </w:r>
      <w:r>
        <w:t>postérieur</w:t>
      </w:r>
      <w:r w:rsidRPr="002C4077">
        <w:t xml:space="preserve"> </w:t>
      </w:r>
      <w:r>
        <w:t>qui</w:t>
      </w:r>
      <w:r w:rsidRPr="002C4077">
        <w:t xml:space="preserve"> </w:t>
      </w:r>
      <w:r>
        <w:t>nous</w:t>
      </w:r>
      <w:r w:rsidRPr="002C4077">
        <w:t xml:space="preserve"> </w:t>
      </w:r>
      <w:r w:rsidR="00425C50">
        <w:t>est</w:t>
      </w:r>
      <w:r w:rsidRPr="002C4077">
        <w:t xml:space="preserve"> </w:t>
      </w:r>
      <w:r>
        <w:t>inconnu,</w:t>
      </w:r>
      <w:r w:rsidRPr="002C4077">
        <w:t xml:space="preserve"> </w:t>
      </w:r>
      <w:r>
        <w:t>ou</w:t>
      </w:r>
      <w:r w:rsidRPr="002C4077">
        <w:t xml:space="preserve"> </w:t>
      </w:r>
      <w:r>
        <w:t>il</w:t>
      </w:r>
      <w:r w:rsidRPr="002C4077">
        <w:t xml:space="preserve"> </w:t>
      </w:r>
      <w:r>
        <w:t>s’est</w:t>
      </w:r>
      <w:r w:rsidRPr="002C4077">
        <w:t xml:space="preserve"> </w:t>
      </w:r>
      <w:r>
        <w:t>tout</w:t>
      </w:r>
      <w:r w:rsidRPr="002C4077">
        <w:t xml:space="preserve"> </w:t>
      </w:r>
      <w:r>
        <w:t>simplement</w:t>
      </w:r>
      <w:r w:rsidRPr="002C4077">
        <w:t xml:space="preserve"> </w:t>
      </w:r>
      <w:r>
        <w:t>trompé</w:t>
      </w:r>
      <w:r w:rsidRPr="002C4077">
        <w:t xml:space="preserve"> </w:t>
      </w:r>
      <w:r>
        <w:t>dans</w:t>
      </w:r>
      <w:r w:rsidRPr="002C4077">
        <w:t xml:space="preserve"> </w:t>
      </w:r>
      <w:r>
        <w:t>ses</w:t>
      </w:r>
      <w:r w:rsidRPr="002C4077">
        <w:t xml:space="preserve"> </w:t>
      </w:r>
      <w:r>
        <w:t>calculs</w:t>
      </w:r>
      <w:r w:rsidRPr="002C4077">
        <w:t xml:space="preserve"> </w:t>
      </w:r>
      <w:r>
        <w:t>chronologiques,</w:t>
      </w:r>
      <w:r w:rsidRPr="002C4077">
        <w:t xml:space="preserve"> </w:t>
      </w:r>
      <w:r>
        <w:t>ou</w:t>
      </w:r>
      <w:r w:rsidRPr="002C4077">
        <w:t xml:space="preserve"> </w:t>
      </w:r>
      <w:r>
        <w:t>enfin</w:t>
      </w:r>
      <w:r w:rsidRPr="002C4077">
        <w:t xml:space="preserve"> </w:t>
      </w:r>
      <w:r>
        <w:t>il</w:t>
      </w:r>
      <w:r w:rsidRPr="002C4077">
        <w:t xml:space="preserve"> </w:t>
      </w:r>
      <w:r>
        <w:t>y</w:t>
      </w:r>
      <w:r w:rsidRPr="002C4077">
        <w:t xml:space="preserve"> </w:t>
      </w:r>
      <w:r>
        <w:t>a</w:t>
      </w:r>
      <w:r w:rsidRPr="002C4077">
        <w:t xml:space="preserve"> </w:t>
      </w:r>
      <w:r>
        <w:t>dans</w:t>
      </w:r>
      <w:r w:rsidRPr="002C4077">
        <w:t xml:space="preserve"> </w:t>
      </w:r>
      <w:r>
        <w:t>le</w:t>
      </w:r>
      <w:r w:rsidRPr="002C4077">
        <w:t xml:space="preserve"> </w:t>
      </w:r>
      <w:r>
        <w:t>nombre</w:t>
      </w:r>
      <w:r w:rsidRPr="002C4077">
        <w:t xml:space="preserve"> </w:t>
      </w:r>
      <w:r>
        <w:t>une</w:t>
      </w:r>
      <w:r w:rsidRPr="002C4077">
        <w:t xml:space="preserve"> </w:t>
      </w:r>
      <w:r>
        <w:t>faute</w:t>
      </w:r>
      <w:r w:rsidRPr="002C4077">
        <w:t xml:space="preserve"> </w:t>
      </w:r>
      <w:r>
        <w:t>de</w:t>
      </w:r>
      <w:r w:rsidRPr="002C4077">
        <w:t xml:space="preserve"> </w:t>
      </w:r>
      <w:r>
        <w:t>copiste</w:t>
      </w:r>
      <w:r w:rsidR="00B91AF7">
        <w:rPr>
          <w:rStyle w:val="Appelnotedebasdep"/>
        </w:rPr>
        <w:footnoteReference w:id="33"/>
      </w:r>
      <w:r w:rsidR="00B546AF">
        <w:t> »</w:t>
      </w:r>
      <w:r>
        <w:t>.</w:t>
      </w:r>
      <w:r w:rsidRPr="002C4077">
        <w:t xml:space="preserve"> </w:t>
      </w:r>
    </w:p>
    <w:p w:rsidR="000A7AAB" w:rsidRDefault="000A7AAB" w:rsidP="000A7AAB">
      <w:r>
        <w:t>Voilà</w:t>
      </w:r>
      <w:r w:rsidRPr="002C4077">
        <w:t xml:space="preserve"> </w:t>
      </w:r>
      <w:r>
        <w:t>un</w:t>
      </w:r>
      <w:r w:rsidRPr="002C4077">
        <w:t xml:space="preserve"> </w:t>
      </w:r>
      <w:r>
        <w:t>résumé</w:t>
      </w:r>
      <w:r w:rsidRPr="002C4077">
        <w:t xml:space="preserve"> </w:t>
      </w:r>
      <w:r>
        <w:t>fort</w:t>
      </w:r>
      <w:r w:rsidRPr="002C4077">
        <w:t xml:space="preserve"> </w:t>
      </w:r>
      <w:r>
        <w:t>net</w:t>
      </w:r>
      <w:r w:rsidRPr="002C4077">
        <w:t xml:space="preserve"> </w:t>
      </w:r>
      <w:r>
        <w:t>des</w:t>
      </w:r>
      <w:r w:rsidRPr="002C4077">
        <w:t xml:space="preserve"> </w:t>
      </w:r>
      <w:r>
        <w:t>objections</w:t>
      </w:r>
      <w:r w:rsidRPr="002C4077">
        <w:t xml:space="preserve"> </w:t>
      </w:r>
      <w:r>
        <w:t>le</w:t>
      </w:r>
      <w:r w:rsidRPr="002C4077">
        <w:t xml:space="preserve"> </w:t>
      </w:r>
      <w:r>
        <w:t>plus</w:t>
      </w:r>
      <w:r w:rsidRPr="002C4077">
        <w:t xml:space="preserve"> </w:t>
      </w:r>
      <w:r>
        <w:t>souvent</w:t>
      </w:r>
      <w:r w:rsidRPr="002C4077">
        <w:t xml:space="preserve"> </w:t>
      </w:r>
      <w:r>
        <w:t>dirigées</w:t>
      </w:r>
      <w:r w:rsidRPr="002C4077">
        <w:t xml:space="preserve"> </w:t>
      </w:r>
      <w:r>
        <w:t>contre</w:t>
      </w:r>
      <w:r w:rsidRPr="002C4077">
        <w:t xml:space="preserve"> </w:t>
      </w:r>
      <w:r>
        <w:t>ce</w:t>
      </w:r>
      <w:r w:rsidRPr="002C4077">
        <w:t xml:space="preserve"> </w:t>
      </w:r>
      <w:r>
        <w:t>passage.</w:t>
      </w:r>
      <w:r w:rsidRPr="002C4077">
        <w:t xml:space="preserve"> </w:t>
      </w:r>
      <w:r>
        <w:t>Nous</w:t>
      </w:r>
      <w:r w:rsidRPr="002C4077">
        <w:t xml:space="preserve"> </w:t>
      </w:r>
      <w:r>
        <w:t>allons</w:t>
      </w:r>
      <w:r w:rsidRPr="002C4077">
        <w:t xml:space="preserve"> </w:t>
      </w:r>
      <w:r>
        <w:t>le</w:t>
      </w:r>
      <w:r w:rsidRPr="002C4077">
        <w:t xml:space="preserve"> </w:t>
      </w:r>
      <w:r>
        <w:t>reprendre</w:t>
      </w:r>
      <w:r w:rsidRPr="002C4077">
        <w:t xml:space="preserve"> </w:t>
      </w:r>
      <w:r>
        <w:t>pièce</w:t>
      </w:r>
      <w:r w:rsidRPr="002C4077">
        <w:t xml:space="preserve"> </w:t>
      </w:r>
      <w:r>
        <w:t>par</w:t>
      </w:r>
      <w:r w:rsidRPr="002C4077">
        <w:t xml:space="preserve"> </w:t>
      </w:r>
      <w:r>
        <w:t>pièce,</w:t>
      </w:r>
      <w:r w:rsidRPr="002C4077">
        <w:t xml:space="preserve"> </w:t>
      </w:r>
      <w:r>
        <w:t>de</w:t>
      </w:r>
      <w:r w:rsidRPr="002C4077">
        <w:t xml:space="preserve"> </w:t>
      </w:r>
      <w:r>
        <w:t>manière</w:t>
      </w:r>
      <w:r w:rsidRPr="002C4077">
        <w:t xml:space="preserve"> </w:t>
      </w:r>
      <w:r>
        <w:t>à</w:t>
      </w:r>
      <w:r w:rsidRPr="002C4077">
        <w:t xml:space="preserve"> </w:t>
      </w:r>
      <w:r>
        <w:t>ne</w:t>
      </w:r>
      <w:r w:rsidRPr="002C4077">
        <w:t xml:space="preserve"> </w:t>
      </w:r>
      <w:r>
        <w:t>laisser</w:t>
      </w:r>
      <w:r w:rsidRPr="002C4077">
        <w:t xml:space="preserve"> </w:t>
      </w:r>
      <w:r>
        <w:t>aucune</w:t>
      </w:r>
      <w:r w:rsidRPr="002C4077">
        <w:t xml:space="preserve"> </w:t>
      </w:r>
      <w:r>
        <w:t>difficulté</w:t>
      </w:r>
      <w:r w:rsidRPr="002C4077">
        <w:t xml:space="preserve"> </w:t>
      </w:r>
      <w:r>
        <w:t>sans</w:t>
      </w:r>
      <w:r w:rsidRPr="002C4077">
        <w:t xml:space="preserve"> </w:t>
      </w:r>
      <w:r>
        <w:t>réponse.</w:t>
      </w:r>
      <w:r w:rsidRPr="002C4077">
        <w:t xml:space="preserve"> </w:t>
      </w:r>
      <w:r>
        <w:t>Mais</w:t>
      </w:r>
      <w:r w:rsidRPr="002C4077">
        <w:t xml:space="preserve"> </w:t>
      </w:r>
      <w:r>
        <w:t>n’omettons</w:t>
      </w:r>
      <w:r w:rsidRPr="002C4077">
        <w:t xml:space="preserve"> </w:t>
      </w:r>
      <w:r>
        <w:t>pas</w:t>
      </w:r>
      <w:r w:rsidRPr="002C4077">
        <w:t xml:space="preserve"> </w:t>
      </w:r>
      <w:r>
        <w:t>de</w:t>
      </w:r>
      <w:r w:rsidRPr="002C4077">
        <w:t xml:space="preserve"> </w:t>
      </w:r>
      <w:r>
        <w:t>remarquer,</w:t>
      </w:r>
      <w:r w:rsidRPr="002C4077">
        <w:t xml:space="preserve"> </w:t>
      </w:r>
      <w:r>
        <w:t>ici</w:t>
      </w:r>
      <w:r w:rsidRPr="002C4077">
        <w:t xml:space="preserve"> </w:t>
      </w:r>
      <w:r>
        <w:t>encore,</w:t>
      </w:r>
      <w:r w:rsidRPr="002C4077">
        <w:t xml:space="preserve"> </w:t>
      </w:r>
      <w:r>
        <w:t>la</w:t>
      </w:r>
      <w:r w:rsidRPr="002C4077">
        <w:t xml:space="preserve"> </w:t>
      </w:r>
      <w:r>
        <w:t>prodigieuse</w:t>
      </w:r>
      <w:r w:rsidRPr="002C4077">
        <w:t xml:space="preserve"> </w:t>
      </w:r>
      <w:r>
        <w:t>hardiesse</w:t>
      </w:r>
      <w:bookmarkStart w:id="50" w:name="z_RationalistesHardiesses_o2"/>
      <w:bookmarkEnd w:id="50"/>
      <w:r w:rsidRPr="002C4077">
        <w:t xml:space="preserve"> </w:t>
      </w:r>
      <w:r>
        <w:t>d’affirmation</w:t>
      </w:r>
      <w:r w:rsidRPr="002C4077">
        <w:t xml:space="preserve"> </w:t>
      </w:r>
      <w:r>
        <w:t>qui</w:t>
      </w:r>
      <w:r w:rsidRPr="002C4077">
        <w:t xml:space="preserve"> </w:t>
      </w:r>
      <w:r>
        <w:t>caractérise</w:t>
      </w:r>
      <w:r w:rsidRPr="002C4077">
        <w:t xml:space="preserve"> </w:t>
      </w:r>
      <w:r>
        <w:t>ce</w:t>
      </w:r>
      <w:r w:rsidRPr="002C4077">
        <w:t xml:space="preserve"> </w:t>
      </w:r>
      <w:r>
        <w:t>que</w:t>
      </w:r>
      <w:r w:rsidRPr="002C4077">
        <w:t xml:space="preserve"> </w:t>
      </w:r>
      <w:r>
        <w:t>nous</w:t>
      </w:r>
      <w:r w:rsidRPr="002C4077">
        <w:t xml:space="preserve"> </w:t>
      </w:r>
      <w:r>
        <w:t>pourrions</w:t>
      </w:r>
      <w:r w:rsidRPr="002C4077">
        <w:t xml:space="preserve"> </w:t>
      </w:r>
      <w:r>
        <w:t>appeler,</w:t>
      </w:r>
      <w:r w:rsidRPr="002C4077">
        <w:t xml:space="preserve"> </w:t>
      </w:r>
      <w:r>
        <w:lastRenderedPageBreak/>
        <w:t>en</w:t>
      </w:r>
      <w:r w:rsidRPr="002C4077">
        <w:t xml:space="preserve"> </w:t>
      </w:r>
      <w:r>
        <w:t>fait</w:t>
      </w:r>
      <w:r w:rsidRPr="002C4077">
        <w:t xml:space="preserve"> </w:t>
      </w:r>
      <w:r>
        <w:t>d’exégèse,</w:t>
      </w:r>
      <w:r w:rsidRPr="002C4077">
        <w:t xml:space="preserve"> </w:t>
      </w:r>
      <w:r>
        <w:t>le</w:t>
      </w:r>
      <w:r w:rsidRPr="002C4077">
        <w:t xml:space="preserve"> </w:t>
      </w:r>
      <w:r>
        <w:t>parti</w:t>
      </w:r>
      <w:r w:rsidRPr="002C4077">
        <w:t xml:space="preserve"> </w:t>
      </w:r>
      <w:r>
        <w:t>radical.</w:t>
      </w:r>
      <w:r w:rsidRPr="002C4077">
        <w:t xml:space="preserve"> </w:t>
      </w:r>
      <w:r>
        <w:t>C’est</w:t>
      </w:r>
      <w:r w:rsidRPr="002C4077">
        <w:t xml:space="preserve"> </w:t>
      </w:r>
      <w:r>
        <w:t>là,</w:t>
      </w:r>
      <w:r w:rsidRPr="002C4077">
        <w:t xml:space="preserve"> </w:t>
      </w:r>
      <w:r>
        <w:t>du</w:t>
      </w:r>
      <w:r w:rsidRPr="002C4077">
        <w:t xml:space="preserve"> </w:t>
      </w:r>
      <w:r>
        <w:t>reste,</w:t>
      </w:r>
      <w:r w:rsidRPr="002C4077">
        <w:t xml:space="preserve"> </w:t>
      </w:r>
      <w:r>
        <w:t>la</w:t>
      </w:r>
      <w:r w:rsidRPr="002C4077">
        <w:t xml:space="preserve"> </w:t>
      </w:r>
      <w:r>
        <w:t>principale</w:t>
      </w:r>
      <w:r w:rsidRPr="002C4077">
        <w:t xml:space="preserve"> </w:t>
      </w:r>
      <w:r>
        <w:t>force</w:t>
      </w:r>
      <w:r w:rsidRPr="002C4077">
        <w:t xml:space="preserve"> </w:t>
      </w:r>
      <w:r>
        <w:t>des</w:t>
      </w:r>
      <w:r w:rsidRPr="002C4077">
        <w:t xml:space="preserve"> </w:t>
      </w:r>
      <w:r>
        <w:t>rationalistes</w:t>
      </w:r>
      <w:r w:rsidRPr="002C4077">
        <w:t xml:space="preserve"> </w:t>
      </w:r>
      <w:r>
        <w:t>en</w:t>
      </w:r>
      <w:r w:rsidRPr="002C4077">
        <w:t xml:space="preserve"> </w:t>
      </w:r>
      <w:r>
        <w:t>face</w:t>
      </w:r>
      <w:r w:rsidRPr="002C4077">
        <w:t xml:space="preserve"> </w:t>
      </w:r>
      <w:r>
        <w:t>des</w:t>
      </w:r>
      <w:r w:rsidRPr="002C4077">
        <w:t xml:space="preserve"> </w:t>
      </w:r>
      <w:r>
        <w:t>ignorants</w:t>
      </w:r>
      <w:r w:rsidRPr="002C4077">
        <w:t xml:space="preserve"> </w:t>
      </w:r>
      <w:r>
        <w:t>et</w:t>
      </w:r>
      <w:r w:rsidRPr="002C4077">
        <w:t xml:space="preserve"> </w:t>
      </w:r>
      <w:r>
        <w:t>des</w:t>
      </w:r>
      <w:r w:rsidRPr="002C4077">
        <w:t xml:space="preserve"> </w:t>
      </w:r>
      <w:r>
        <w:t>timides.</w:t>
      </w:r>
      <w:r w:rsidRPr="002C4077">
        <w:t xml:space="preserve"> </w:t>
      </w:r>
      <w:r>
        <w:t>Ils</w:t>
      </w:r>
      <w:r w:rsidRPr="002C4077">
        <w:t xml:space="preserve"> </w:t>
      </w:r>
      <w:r>
        <w:t>le</w:t>
      </w:r>
      <w:r w:rsidRPr="002C4077">
        <w:t xml:space="preserve"> </w:t>
      </w:r>
      <w:r>
        <w:t>sentent</w:t>
      </w:r>
      <w:r w:rsidRPr="002C4077">
        <w:t xml:space="preserve"> </w:t>
      </w:r>
      <w:r>
        <w:t>et</w:t>
      </w:r>
      <w:r w:rsidRPr="002C4077">
        <w:t xml:space="preserve"> </w:t>
      </w:r>
      <w:r>
        <w:t>ils</w:t>
      </w:r>
      <w:r w:rsidRPr="002C4077">
        <w:t xml:space="preserve"> </w:t>
      </w:r>
      <w:r>
        <w:t>en</w:t>
      </w:r>
      <w:r w:rsidRPr="002C4077">
        <w:t xml:space="preserve"> </w:t>
      </w:r>
      <w:r>
        <w:t>usent.</w:t>
      </w:r>
      <w:r w:rsidRPr="002C4077">
        <w:t xml:space="preserve"> </w:t>
      </w:r>
    </w:p>
    <w:p w:rsidR="000A7AAB" w:rsidRDefault="000A7AAB" w:rsidP="000A7AAB">
      <w:r>
        <w:t>À</w:t>
      </w:r>
      <w:r w:rsidRPr="002C4077">
        <w:t xml:space="preserve"> </w:t>
      </w:r>
      <w:r>
        <w:t>les</w:t>
      </w:r>
      <w:r w:rsidRPr="002C4077">
        <w:t xml:space="preserve"> </w:t>
      </w:r>
      <w:r>
        <w:t>croire,</w:t>
      </w:r>
      <w:r w:rsidRPr="002C4077">
        <w:t xml:space="preserve"> </w:t>
      </w:r>
      <w:r>
        <w:t>cette</w:t>
      </w:r>
      <w:r w:rsidRPr="002C4077">
        <w:t xml:space="preserve"> </w:t>
      </w:r>
      <w:r>
        <w:t>ligne</w:t>
      </w:r>
      <w:r w:rsidRPr="002C4077">
        <w:t xml:space="preserve"> </w:t>
      </w:r>
      <w:r>
        <w:t>serait</w:t>
      </w:r>
      <w:r w:rsidRPr="002C4077">
        <w:t xml:space="preserve"> </w:t>
      </w:r>
      <w:r>
        <w:t>donc</w:t>
      </w:r>
      <w:r w:rsidRPr="002C4077">
        <w:t xml:space="preserve"> </w:t>
      </w:r>
      <w:r w:rsidR="00B546AF">
        <w:t>« </w:t>
      </w:r>
      <w:r>
        <w:t>positivement</w:t>
      </w:r>
      <w:r w:rsidRPr="002C4077">
        <w:t xml:space="preserve"> </w:t>
      </w:r>
      <w:r>
        <w:t>une</w:t>
      </w:r>
      <w:r w:rsidRPr="002C4077">
        <w:t xml:space="preserve"> </w:t>
      </w:r>
      <w:r>
        <w:t>note</w:t>
      </w:r>
      <w:r w:rsidRPr="002C4077">
        <w:t xml:space="preserve"> </w:t>
      </w:r>
      <w:r>
        <w:t>étrangère</w:t>
      </w:r>
      <w:r w:rsidRPr="002C4077">
        <w:t xml:space="preserve"> </w:t>
      </w:r>
      <w:r>
        <w:t>au</w:t>
      </w:r>
      <w:r w:rsidRPr="002C4077">
        <w:t xml:space="preserve"> </w:t>
      </w:r>
      <w:r>
        <w:t>texte</w:t>
      </w:r>
      <w:r w:rsidR="00B546AF">
        <w:t> »</w:t>
      </w:r>
      <w:r>
        <w:t>,</w:t>
      </w:r>
      <w:r w:rsidRPr="002C4077">
        <w:t xml:space="preserve"> </w:t>
      </w:r>
      <w:r>
        <w:t>et</w:t>
      </w:r>
      <w:r w:rsidRPr="002C4077">
        <w:t xml:space="preserve"> </w:t>
      </w:r>
      <w:r>
        <w:t>on</w:t>
      </w:r>
      <w:r w:rsidRPr="002C4077">
        <w:t xml:space="preserve"> </w:t>
      </w:r>
      <w:r>
        <w:t>allègue,</w:t>
      </w:r>
      <w:r w:rsidRPr="002C4077">
        <w:t xml:space="preserve"> </w:t>
      </w:r>
      <w:r>
        <w:t>pour</w:t>
      </w:r>
      <w:r w:rsidRPr="002C4077">
        <w:t xml:space="preserve"> </w:t>
      </w:r>
      <w:r>
        <w:t>premier</w:t>
      </w:r>
      <w:r w:rsidRPr="002C4077">
        <w:t xml:space="preserve"> </w:t>
      </w:r>
      <w:r>
        <w:t>motif,</w:t>
      </w:r>
      <w:r w:rsidRPr="002C4077">
        <w:t xml:space="preserve"> </w:t>
      </w:r>
      <w:r>
        <w:t>qu’elle</w:t>
      </w:r>
      <w:r w:rsidRPr="002C4077">
        <w:t xml:space="preserve"> </w:t>
      </w:r>
      <w:r>
        <w:t>interrompt</w:t>
      </w:r>
      <w:r w:rsidRPr="002C4077">
        <w:t xml:space="preserve"> </w:t>
      </w:r>
      <w:r>
        <w:t>le</w:t>
      </w:r>
      <w:r w:rsidRPr="002C4077">
        <w:t xml:space="preserve"> </w:t>
      </w:r>
      <w:r>
        <w:t>parallélisme</w:t>
      </w:r>
      <w:r w:rsidRPr="002C4077">
        <w:t xml:space="preserve"> </w:t>
      </w:r>
      <w:r w:rsidR="00B546AF">
        <w:t>« </w:t>
      </w:r>
      <w:r>
        <w:t>d’une</w:t>
      </w:r>
      <w:r w:rsidRPr="002C4077">
        <w:t xml:space="preserve"> </w:t>
      </w:r>
      <w:r>
        <w:t>manière</w:t>
      </w:r>
      <w:r w:rsidRPr="002C4077">
        <w:t xml:space="preserve"> </w:t>
      </w:r>
      <w:r>
        <w:t>assez</w:t>
      </w:r>
      <w:r w:rsidRPr="002C4077">
        <w:t xml:space="preserve"> </w:t>
      </w:r>
      <w:r>
        <w:t>maladroite</w:t>
      </w:r>
      <w:r w:rsidR="00B546AF">
        <w:t> »</w:t>
      </w:r>
      <w:r>
        <w:t>.</w:t>
      </w:r>
      <w:r w:rsidRPr="002C4077">
        <w:t xml:space="preserve"> </w:t>
      </w:r>
      <w:r>
        <w:t>Le</w:t>
      </w:r>
      <w:r w:rsidRPr="002C4077">
        <w:t xml:space="preserve"> </w:t>
      </w:r>
      <w:r>
        <w:t>docteur</w:t>
      </w:r>
      <w:r w:rsidRPr="002C4077">
        <w:t xml:space="preserve"> </w:t>
      </w:r>
      <w:r>
        <w:t>juif</w:t>
      </w:r>
      <w:r w:rsidRPr="002C4077">
        <w:t xml:space="preserve"> </w:t>
      </w:r>
      <w:r>
        <w:t>D.</w:t>
      </w:r>
      <w:r w:rsidRPr="002C4077">
        <w:t xml:space="preserve"> </w:t>
      </w:r>
      <w:r>
        <w:t>Cassel</w:t>
      </w:r>
      <w:r w:rsidRPr="002C4077">
        <w:t xml:space="preserve"> </w:t>
      </w:r>
      <w:r>
        <w:t>fait</w:t>
      </w:r>
      <w:r w:rsidRPr="002C4077">
        <w:t xml:space="preserve"> </w:t>
      </w:r>
      <w:r>
        <w:t>aussi</w:t>
      </w:r>
      <w:r w:rsidRPr="002C4077">
        <w:t xml:space="preserve"> </w:t>
      </w:r>
      <w:r>
        <w:t>valoir</w:t>
      </w:r>
      <w:r w:rsidRPr="002C4077">
        <w:t xml:space="preserve"> </w:t>
      </w:r>
      <w:r>
        <w:t>cet</w:t>
      </w:r>
      <w:r w:rsidRPr="002C4077">
        <w:t xml:space="preserve"> </w:t>
      </w:r>
      <w:r>
        <w:t>argument</w:t>
      </w:r>
      <w:r w:rsidRPr="002C4077">
        <w:t xml:space="preserve"> </w:t>
      </w:r>
      <w:r>
        <w:t>prétendu</w:t>
      </w:r>
      <w:r w:rsidR="00B546AF">
        <w:t> :</w:t>
      </w:r>
      <w:r w:rsidRPr="002C4077">
        <w:t xml:space="preserve"> </w:t>
      </w:r>
      <w:r w:rsidR="00B546AF">
        <w:t>« </w:t>
      </w:r>
      <w:r>
        <w:t>Cette</w:t>
      </w:r>
      <w:r w:rsidRPr="002C4077">
        <w:t xml:space="preserve"> </w:t>
      </w:r>
      <w:r>
        <w:t>phrase</w:t>
      </w:r>
      <w:r w:rsidRPr="002C4077">
        <w:t xml:space="preserve"> </w:t>
      </w:r>
      <w:r w:rsidR="00425C50">
        <w:t>est</w:t>
      </w:r>
      <w:r w:rsidRPr="002C4077">
        <w:t xml:space="preserve"> </w:t>
      </w:r>
      <w:r>
        <w:t>probablement</w:t>
      </w:r>
      <w:r w:rsidRPr="002C4077">
        <w:t xml:space="preserve"> </w:t>
      </w:r>
      <w:r>
        <w:t>un</w:t>
      </w:r>
      <w:r w:rsidRPr="002C4077">
        <w:t xml:space="preserve"> </w:t>
      </w:r>
      <w:r>
        <w:t>glossème,</w:t>
      </w:r>
      <w:r w:rsidRPr="002C4077">
        <w:t xml:space="preserve"> </w:t>
      </w:r>
      <w:r>
        <w:t>car</w:t>
      </w:r>
      <w:r w:rsidRPr="002C4077">
        <w:t xml:space="preserve"> </w:t>
      </w:r>
      <w:r>
        <w:t>elle</w:t>
      </w:r>
      <w:r w:rsidRPr="002C4077">
        <w:t xml:space="preserve"> </w:t>
      </w:r>
      <w:r>
        <w:t>trouble</w:t>
      </w:r>
      <w:r w:rsidRPr="002C4077">
        <w:t xml:space="preserve"> </w:t>
      </w:r>
      <w:r>
        <w:t>la</w:t>
      </w:r>
      <w:r w:rsidRPr="002C4077">
        <w:t xml:space="preserve"> </w:t>
      </w:r>
      <w:r>
        <w:t>suite</w:t>
      </w:r>
      <w:r w:rsidRPr="002C4077">
        <w:t xml:space="preserve"> </w:t>
      </w:r>
      <w:r>
        <w:t>du</w:t>
      </w:r>
      <w:r w:rsidRPr="002C4077">
        <w:t xml:space="preserve"> </w:t>
      </w:r>
      <w:r>
        <w:t>récit</w:t>
      </w:r>
      <w:r w:rsidR="00B91AF7">
        <w:rPr>
          <w:rStyle w:val="Appelnotedebasdep"/>
        </w:rPr>
        <w:footnoteReference w:id="34"/>
      </w:r>
      <w:r w:rsidR="00B546AF">
        <w:t> »</w:t>
      </w:r>
      <w:r>
        <w:t>.</w:t>
      </w:r>
      <w:r w:rsidRPr="002C4077">
        <w:t xml:space="preserve"> </w:t>
      </w:r>
      <w:r>
        <w:t>Moins</w:t>
      </w:r>
      <w:r w:rsidRPr="002C4077">
        <w:t xml:space="preserve"> </w:t>
      </w:r>
      <w:r>
        <w:t>modeste,</w:t>
      </w:r>
      <w:r w:rsidRPr="002C4077">
        <w:t xml:space="preserve"> </w:t>
      </w:r>
      <w:r>
        <w:t>Knobel</w:t>
      </w:r>
      <w:r w:rsidRPr="002C4077">
        <w:t xml:space="preserve"> </w:t>
      </w:r>
      <w:r>
        <w:t>assure,</w:t>
      </w:r>
      <w:r w:rsidRPr="002C4077">
        <w:t xml:space="preserve"> </w:t>
      </w:r>
      <w:r>
        <w:t>comme</w:t>
      </w:r>
      <w:r w:rsidRPr="002C4077">
        <w:t xml:space="preserve"> </w:t>
      </w:r>
      <w:r>
        <w:t>M.</w:t>
      </w:r>
      <w:r w:rsidRPr="002C4077">
        <w:t xml:space="preserve"> </w:t>
      </w:r>
      <w:r>
        <w:t>Reuss</w:t>
      </w:r>
      <w:bookmarkStart w:id="51" w:name="z_Reuss_o2"/>
      <w:bookmarkEnd w:id="51"/>
      <w:r>
        <w:t>,</w:t>
      </w:r>
      <w:r w:rsidRPr="002C4077">
        <w:t xml:space="preserve"> </w:t>
      </w:r>
      <w:r>
        <w:t>que</w:t>
      </w:r>
      <w:r w:rsidRPr="002C4077">
        <w:t xml:space="preserve"> </w:t>
      </w:r>
      <w:r>
        <w:t>le</w:t>
      </w:r>
      <w:r w:rsidRPr="002C4077">
        <w:t xml:space="preserve"> </w:t>
      </w:r>
      <w:r>
        <w:t>fait</w:t>
      </w:r>
      <w:r w:rsidRPr="002C4077">
        <w:t xml:space="preserve"> </w:t>
      </w:r>
      <w:r w:rsidR="00425C50">
        <w:t>est</w:t>
      </w:r>
      <w:r w:rsidRPr="002C4077">
        <w:t xml:space="preserve"> </w:t>
      </w:r>
      <w:r>
        <w:t>certain</w:t>
      </w:r>
      <w:r w:rsidRPr="004440EA">
        <w:t xml:space="preserve"> (</w:t>
      </w:r>
      <w:r w:rsidRPr="000A34B5">
        <w:rPr>
          <w:rStyle w:val="italicus"/>
        </w:rPr>
        <w:t>sicher</w:t>
      </w:r>
      <w:r w:rsidR="00B546AF">
        <w:rPr>
          <w:rStyle w:val="italicus"/>
        </w:rPr>
        <w:t> </w:t>
      </w:r>
      <w:r w:rsidR="00B546AF" w:rsidRPr="000A34B5">
        <w:rPr>
          <w:rStyle w:val="italicus"/>
        </w:rPr>
        <w:t>!</w:t>
      </w:r>
      <w:r w:rsidR="00B546AF" w:rsidRPr="002C4077">
        <w:t>)</w:t>
      </w:r>
      <w:r w:rsidR="00732E97">
        <w:rPr>
          <w:rStyle w:val="Appelnotedebasdep"/>
        </w:rPr>
        <w:footnoteReference w:id="35"/>
      </w:r>
      <w:r w:rsidR="00732E97">
        <w:t>.</w:t>
      </w:r>
      <w:r w:rsidR="00C45B47">
        <w:t xml:space="preserve"> {</w:t>
      </w:r>
      <w:r w:rsidR="000721C4">
        <w:t>11</w:t>
      </w:r>
      <w:bookmarkStart w:id="52" w:name="p011"/>
      <w:bookmarkEnd w:id="52"/>
      <w:r w:rsidR="000721C4">
        <w:t xml:space="preserve">} </w:t>
      </w:r>
      <w:r>
        <w:t>Après</w:t>
      </w:r>
      <w:r w:rsidRPr="002C4077">
        <w:t xml:space="preserve"> </w:t>
      </w:r>
      <w:r>
        <w:t>tout,</w:t>
      </w:r>
      <w:r w:rsidRPr="002C4077">
        <w:t xml:space="preserve"> </w:t>
      </w:r>
      <w:r>
        <w:t>Ges</w:t>
      </w:r>
      <w:r w:rsidR="003B53FD">
        <w:t>énius</w:t>
      </w:r>
      <w:r w:rsidR="00B91AF7">
        <w:rPr>
          <w:rStyle w:val="Appelnotedebasdep"/>
        </w:rPr>
        <w:footnoteReference w:id="36"/>
      </w:r>
      <w:r w:rsidRPr="002C4077">
        <w:t xml:space="preserve"> </w:t>
      </w:r>
      <w:r>
        <w:t>n’a-t-il</w:t>
      </w:r>
      <w:r w:rsidRPr="002C4077">
        <w:t xml:space="preserve"> </w:t>
      </w:r>
      <w:r>
        <w:t>pas</w:t>
      </w:r>
      <w:r w:rsidRPr="002C4077">
        <w:t xml:space="preserve"> </w:t>
      </w:r>
      <w:r>
        <w:t>écrit</w:t>
      </w:r>
      <w:r w:rsidRPr="002C4077">
        <w:t xml:space="preserve"> </w:t>
      </w:r>
      <w:r>
        <w:t>que</w:t>
      </w:r>
      <w:r w:rsidRPr="002C4077">
        <w:t xml:space="preserve"> </w:t>
      </w:r>
      <w:r w:rsidR="00B546AF">
        <w:t>« </w:t>
      </w:r>
      <w:r>
        <w:t>tous</w:t>
      </w:r>
      <w:r w:rsidRPr="002C4077">
        <w:t xml:space="preserve"> </w:t>
      </w:r>
      <w:r>
        <w:t>les</w:t>
      </w:r>
      <w:r w:rsidRPr="002C4077">
        <w:t xml:space="preserve"> </w:t>
      </w:r>
      <w:r>
        <w:t>exégètes</w:t>
      </w:r>
      <w:r w:rsidRPr="002C4077">
        <w:t xml:space="preserve"> </w:t>
      </w:r>
      <w:r>
        <w:t>qui</w:t>
      </w:r>
      <w:r w:rsidRPr="002C4077">
        <w:t xml:space="preserve"> </w:t>
      </w:r>
      <w:r>
        <w:t>possèdent</w:t>
      </w:r>
      <w:r w:rsidRPr="002C4077">
        <w:t xml:space="preserve"> </w:t>
      </w:r>
      <w:r>
        <w:t>le</w:t>
      </w:r>
      <w:r w:rsidRPr="002C4077">
        <w:t xml:space="preserve"> </w:t>
      </w:r>
      <w:r>
        <w:t>sens</w:t>
      </w:r>
      <w:r w:rsidRPr="002C4077">
        <w:t xml:space="preserve"> </w:t>
      </w:r>
      <w:r>
        <w:t>esthétique</w:t>
      </w:r>
      <w:r w:rsidRPr="002C4077">
        <w:t xml:space="preserve"> </w:t>
      </w:r>
      <w:r>
        <w:t>ont</w:t>
      </w:r>
      <w:r w:rsidRPr="002C4077">
        <w:t xml:space="preserve"> </w:t>
      </w:r>
      <w:r>
        <w:t>remarqué</w:t>
      </w:r>
      <w:r w:rsidR="00B546AF">
        <w:t> »</w:t>
      </w:r>
      <w:r w:rsidRPr="002C4077">
        <w:t xml:space="preserve"> </w:t>
      </w:r>
      <w:r>
        <w:t>ce</w:t>
      </w:r>
      <w:r w:rsidRPr="002C4077">
        <w:t xml:space="preserve"> </w:t>
      </w:r>
      <w:r>
        <w:t>défaut</w:t>
      </w:r>
      <w:r w:rsidRPr="002C4077">
        <w:t xml:space="preserve"> </w:t>
      </w:r>
      <w:r>
        <w:t>d’enchaînement</w:t>
      </w:r>
      <w:r w:rsidR="00B546AF">
        <w:t> ?</w:t>
      </w:r>
      <w:r w:rsidRPr="002C4077">
        <w:t xml:space="preserve"> </w:t>
      </w:r>
      <w:r>
        <w:t>Bon</w:t>
      </w:r>
      <w:r w:rsidRPr="002C4077">
        <w:t xml:space="preserve"> </w:t>
      </w:r>
      <w:r>
        <w:t>gré</w:t>
      </w:r>
      <w:r w:rsidRPr="002C4077">
        <w:t xml:space="preserve"> </w:t>
      </w:r>
      <w:r>
        <w:t>mal</w:t>
      </w:r>
      <w:r w:rsidRPr="002C4077">
        <w:t xml:space="preserve"> </w:t>
      </w:r>
      <w:r>
        <w:t>gré,</w:t>
      </w:r>
      <w:r w:rsidRPr="002C4077">
        <w:t xml:space="preserve"> </w:t>
      </w:r>
      <w:r>
        <w:t>il</w:t>
      </w:r>
      <w:r w:rsidRPr="002C4077">
        <w:t xml:space="preserve"> </w:t>
      </w:r>
      <w:r>
        <w:t>a</w:t>
      </w:r>
      <w:r w:rsidRPr="002C4077">
        <w:t xml:space="preserve"> </w:t>
      </w:r>
      <w:r>
        <w:t>bien</w:t>
      </w:r>
      <w:r w:rsidRPr="002C4077">
        <w:t xml:space="preserve"> </w:t>
      </w:r>
      <w:r>
        <w:t>fallu</w:t>
      </w:r>
      <w:r w:rsidRPr="002C4077">
        <w:t xml:space="preserve"> </w:t>
      </w:r>
      <w:r w:rsidR="003B53FD" w:rsidRPr="000A34B5">
        <w:rPr>
          <w:rStyle w:val="italicus"/>
        </w:rPr>
        <w:t>jur</w:t>
      </w:r>
      <w:r w:rsidR="003B53FD">
        <w:rPr>
          <w:rStyle w:val="italicus"/>
        </w:rPr>
        <w:t>á</w:t>
      </w:r>
      <w:r w:rsidR="003B53FD" w:rsidRPr="000A34B5">
        <w:rPr>
          <w:rStyle w:val="italicus"/>
        </w:rPr>
        <w:t>re</w:t>
      </w:r>
      <w:r w:rsidRPr="002C4077">
        <w:t xml:space="preserve"> </w:t>
      </w:r>
      <w:r w:rsidRPr="000A34B5">
        <w:rPr>
          <w:rStyle w:val="italicus"/>
        </w:rPr>
        <w:t>in</w:t>
      </w:r>
      <w:r w:rsidRPr="002C4077">
        <w:t xml:space="preserve"> </w:t>
      </w:r>
      <w:r w:rsidRPr="000A34B5">
        <w:rPr>
          <w:rStyle w:val="italicus"/>
        </w:rPr>
        <w:t>verba</w:t>
      </w:r>
      <w:r w:rsidRPr="002C4077">
        <w:t xml:space="preserve"> </w:t>
      </w:r>
      <w:r w:rsidR="001E7758" w:rsidRPr="000A34B5">
        <w:rPr>
          <w:rStyle w:val="italicus"/>
        </w:rPr>
        <w:t>magístri</w:t>
      </w:r>
      <w:r w:rsidRPr="000A34B5">
        <w:rPr>
          <w:rStyle w:val="italicus"/>
        </w:rPr>
        <w:t>,</w:t>
      </w:r>
      <w:r w:rsidRPr="002C4077">
        <w:t xml:space="preserve"> </w:t>
      </w:r>
      <w:r>
        <w:t>et</w:t>
      </w:r>
      <w:r w:rsidRPr="002C4077">
        <w:t xml:space="preserve"> </w:t>
      </w:r>
      <w:r>
        <w:t>Hitzig,</w:t>
      </w:r>
      <w:r w:rsidRPr="002C4077">
        <w:t xml:space="preserve"> </w:t>
      </w:r>
      <w:r>
        <w:t>Maurer,</w:t>
      </w:r>
      <w:r w:rsidRPr="002C4077">
        <w:t xml:space="preserve"> </w:t>
      </w:r>
      <w:r>
        <w:t>Umbreit,</w:t>
      </w:r>
      <w:r w:rsidRPr="002C4077">
        <w:t xml:space="preserve"> </w:t>
      </w:r>
      <w:r>
        <w:t>Bunsen,</w:t>
      </w:r>
      <w:r w:rsidRPr="002C4077">
        <w:t xml:space="preserve"> </w:t>
      </w:r>
      <w:r w:rsidR="00425C50">
        <w:t>etc</w:t>
      </w:r>
      <w:r>
        <w:t>.,</w:t>
      </w:r>
      <w:r w:rsidRPr="002C4077">
        <w:t xml:space="preserve"> </w:t>
      </w:r>
      <w:r>
        <w:t>ont</w:t>
      </w:r>
      <w:r w:rsidRPr="002C4077">
        <w:t xml:space="preserve"> </w:t>
      </w:r>
      <w:r>
        <w:t>dû</w:t>
      </w:r>
      <w:r w:rsidRPr="002C4077">
        <w:t xml:space="preserve"> </w:t>
      </w:r>
      <w:r>
        <w:t>faire</w:t>
      </w:r>
      <w:r w:rsidRPr="002C4077">
        <w:t xml:space="preserve"> </w:t>
      </w:r>
      <w:r>
        <w:t>à</w:t>
      </w:r>
      <w:r w:rsidRPr="002C4077">
        <w:t xml:space="preserve"> </w:t>
      </w:r>
      <w:r>
        <w:t>leur</w:t>
      </w:r>
      <w:r w:rsidRPr="002C4077">
        <w:t xml:space="preserve"> </w:t>
      </w:r>
      <w:r>
        <w:t>tour</w:t>
      </w:r>
      <w:r w:rsidRPr="002C4077">
        <w:t xml:space="preserve"> </w:t>
      </w:r>
      <w:r>
        <w:t>la</w:t>
      </w:r>
      <w:r w:rsidRPr="002C4077">
        <w:t xml:space="preserve"> </w:t>
      </w:r>
      <w:r>
        <w:t>même</w:t>
      </w:r>
      <w:r w:rsidRPr="002C4077">
        <w:t xml:space="preserve"> </w:t>
      </w:r>
      <w:r>
        <w:t>observation.</w:t>
      </w:r>
      <w:r w:rsidRPr="002C4077">
        <w:t xml:space="preserve"> </w:t>
      </w:r>
    </w:p>
    <w:p w:rsidR="000A7AAB" w:rsidRDefault="000A7AAB" w:rsidP="000A7AAB">
      <w:r>
        <w:t>Des</w:t>
      </w:r>
      <w:r w:rsidRPr="002C4077">
        <w:t xml:space="preserve"> </w:t>
      </w:r>
      <w:r>
        <w:t>hommes</w:t>
      </w:r>
      <w:r w:rsidRPr="002C4077">
        <w:t xml:space="preserve"> </w:t>
      </w:r>
      <w:r>
        <w:t>de</w:t>
      </w:r>
      <w:r w:rsidRPr="002C4077">
        <w:t xml:space="preserve"> </w:t>
      </w:r>
      <w:r>
        <w:t>goût</w:t>
      </w:r>
      <w:r w:rsidRPr="002C4077">
        <w:t xml:space="preserve"> </w:t>
      </w:r>
      <w:r>
        <w:t>et</w:t>
      </w:r>
      <w:r w:rsidRPr="002C4077">
        <w:t xml:space="preserve"> </w:t>
      </w:r>
      <w:r>
        <w:t>de</w:t>
      </w:r>
      <w:r w:rsidRPr="002C4077">
        <w:t xml:space="preserve"> </w:t>
      </w:r>
      <w:r>
        <w:t>science</w:t>
      </w:r>
      <w:r w:rsidRPr="002C4077">
        <w:t xml:space="preserve"> </w:t>
      </w:r>
      <w:r>
        <w:t>ont</w:t>
      </w:r>
      <w:r w:rsidRPr="002C4077">
        <w:t xml:space="preserve"> </w:t>
      </w:r>
      <w:r>
        <w:t>à</w:t>
      </w:r>
      <w:r w:rsidRPr="002C4077">
        <w:t xml:space="preserve"> </w:t>
      </w:r>
      <w:r>
        <w:t>bon</w:t>
      </w:r>
      <w:r w:rsidRPr="002C4077">
        <w:t xml:space="preserve"> </w:t>
      </w:r>
      <w:r>
        <w:t>droit</w:t>
      </w:r>
      <w:r w:rsidRPr="002C4077">
        <w:t xml:space="preserve"> </w:t>
      </w:r>
      <w:r>
        <w:t>cassé</w:t>
      </w:r>
      <w:r w:rsidRPr="002C4077">
        <w:t xml:space="preserve"> </w:t>
      </w:r>
      <w:r>
        <w:t>un</w:t>
      </w:r>
      <w:r w:rsidRPr="002C4077">
        <w:t xml:space="preserve"> </w:t>
      </w:r>
      <w:r>
        <w:t>arrêt</w:t>
      </w:r>
      <w:r w:rsidRPr="002C4077">
        <w:t xml:space="preserve"> </w:t>
      </w:r>
      <w:r>
        <w:t>si</w:t>
      </w:r>
      <w:r w:rsidRPr="002C4077">
        <w:t xml:space="preserve"> </w:t>
      </w:r>
      <w:r>
        <w:t>injuste.</w:t>
      </w:r>
      <w:r w:rsidRPr="002C4077">
        <w:t xml:space="preserve"> </w:t>
      </w:r>
      <w:r>
        <w:t>Rien</w:t>
      </w:r>
      <w:r w:rsidRPr="002C4077">
        <w:t xml:space="preserve"> </w:t>
      </w:r>
      <w:r>
        <w:t>de</w:t>
      </w:r>
      <w:r w:rsidRPr="002C4077">
        <w:t xml:space="preserve"> </w:t>
      </w:r>
      <w:r>
        <w:t>plus</w:t>
      </w:r>
      <w:r w:rsidRPr="002C4077">
        <w:t xml:space="preserve"> </w:t>
      </w:r>
      <w:r>
        <w:t>vrai,</w:t>
      </w:r>
      <w:r w:rsidRPr="002C4077">
        <w:t xml:space="preserve"> </w:t>
      </w:r>
      <w:r>
        <w:t>les</w:t>
      </w:r>
      <w:r w:rsidRPr="002C4077">
        <w:t xml:space="preserve"> </w:t>
      </w:r>
      <w:r>
        <w:t>versets</w:t>
      </w:r>
      <w:r w:rsidRPr="002C4077">
        <w:t xml:space="preserve"> </w:t>
      </w:r>
      <w:r>
        <w:t>8</w:t>
      </w:r>
      <w:r w:rsidRPr="002C4077">
        <w:t xml:space="preserve"> </w:t>
      </w:r>
      <w:r>
        <w:t>et</w:t>
      </w:r>
      <w:r w:rsidRPr="002C4077">
        <w:t xml:space="preserve"> </w:t>
      </w:r>
      <w:r>
        <w:t>9</w:t>
      </w:r>
      <w:r w:rsidRPr="002C4077">
        <w:t xml:space="preserve"> </w:t>
      </w:r>
      <w:r>
        <w:t>forment</w:t>
      </w:r>
      <w:r w:rsidRPr="002C4077">
        <w:t xml:space="preserve"> </w:t>
      </w:r>
      <w:r>
        <w:t>un</w:t>
      </w:r>
      <w:r w:rsidRPr="002C4077">
        <w:t xml:space="preserve"> </w:t>
      </w:r>
      <w:r>
        <w:t>tout</w:t>
      </w:r>
      <w:r w:rsidRPr="002C4077">
        <w:t xml:space="preserve"> </w:t>
      </w:r>
      <w:r>
        <w:t>symétrique</w:t>
      </w:r>
      <w:r w:rsidR="00B546AF">
        <w:t> ;</w:t>
      </w:r>
      <w:r w:rsidR="001E7758" w:rsidRPr="002C4077">
        <w:t xml:space="preserve"> </w:t>
      </w:r>
      <w:r w:rsidR="001E7758">
        <w:t>ma</w:t>
      </w:r>
      <w:r>
        <w:t>is</w:t>
      </w:r>
      <w:r w:rsidRPr="002C4077">
        <w:t xml:space="preserve"> </w:t>
      </w:r>
      <w:r>
        <w:t>l’unité,</w:t>
      </w:r>
      <w:r w:rsidRPr="002C4077">
        <w:t xml:space="preserve"> </w:t>
      </w:r>
      <w:r>
        <w:t>bien</w:t>
      </w:r>
      <w:r w:rsidRPr="002C4077">
        <w:t xml:space="preserve"> </w:t>
      </w:r>
      <w:r>
        <w:t>loin</w:t>
      </w:r>
      <w:r w:rsidRPr="002C4077">
        <w:t xml:space="preserve"> </w:t>
      </w:r>
      <w:r>
        <w:t>d’être</w:t>
      </w:r>
      <w:r w:rsidRPr="002C4077">
        <w:t xml:space="preserve"> </w:t>
      </w:r>
      <w:r>
        <w:t>gâtée</w:t>
      </w:r>
      <w:r w:rsidRPr="002C4077">
        <w:t xml:space="preserve"> </w:t>
      </w:r>
      <w:r>
        <w:t>par</w:t>
      </w:r>
      <w:r w:rsidRPr="002C4077">
        <w:t xml:space="preserve"> </w:t>
      </w:r>
      <w:r>
        <w:t>la</w:t>
      </w:r>
      <w:r w:rsidRPr="002C4077">
        <w:t xml:space="preserve"> </w:t>
      </w:r>
      <w:r>
        <w:t>présence</w:t>
      </w:r>
      <w:r w:rsidRPr="002C4077">
        <w:t xml:space="preserve"> </w:t>
      </w:r>
      <w:r>
        <w:t>des</w:t>
      </w:r>
      <w:r w:rsidRPr="002C4077">
        <w:t xml:space="preserve"> </w:t>
      </w:r>
      <w:r>
        <w:t>mots</w:t>
      </w:r>
      <w:r w:rsidRPr="002C4077">
        <w:t xml:space="preserve"> </w:t>
      </w:r>
      <w:r>
        <w:t>litigieux,</w:t>
      </w:r>
      <w:r w:rsidRPr="002C4077">
        <w:t xml:space="preserve"> </w:t>
      </w:r>
      <w:r>
        <w:t>le</w:t>
      </w:r>
      <w:r w:rsidRPr="002C4077">
        <w:t xml:space="preserve"> </w:t>
      </w:r>
      <w:r>
        <w:t>serait</w:t>
      </w:r>
      <w:r w:rsidRPr="002C4077">
        <w:t xml:space="preserve"> </w:t>
      </w:r>
      <w:r>
        <w:t>au</w:t>
      </w:r>
      <w:r w:rsidRPr="002C4077">
        <w:t xml:space="preserve"> </w:t>
      </w:r>
      <w:r>
        <w:t>contraire</w:t>
      </w:r>
      <w:r w:rsidRPr="002C4077">
        <w:t xml:space="preserve"> </w:t>
      </w:r>
      <w:r>
        <w:t>par</w:t>
      </w:r>
      <w:r w:rsidRPr="002C4077">
        <w:t xml:space="preserve"> </w:t>
      </w:r>
      <w:r>
        <w:t>leur</w:t>
      </w:r>
      <w:r w:rsidRPr="002C4077">
        <w:t xml:space="preserve"> </w:t>
      </w:r>
      <w:r>
        <w:t>absence.</w:t>
      </w:r>
      <w:r w:rsidRPr="002C4077">
        <w:t xml:space="preserve"> </w:t>
      </w:r>
      <w:r>
        <w:t>Dans</w:t>
      </w:r>
      <w:r w:rsidRPr="002C4077">
        <w:t xml:space="preserve"> </w:t>
      </w:r>
      <w:r>
        <w:t>ce</w:t>
      </w:r>
      <w:r w:rsidRPr="002C4077">
        <w:t xml:space="preserve"> </w:t>
      </w:r>
      <w:r>
        <w:t>dernier</w:t>
      </w:r>
      <w:r w:rsidRPr="002C4077">
        <w:t xml:space="preserve"> </w:t>
      </w:r>
      <w:r>
        <w:t>cas,</w:t>
      </w:r>
      <w:r w:rsidRPr="002C4077">
        <w:t xml:space="preserve"> </w:t>
      </w:r>
      <w:r>
        <w:t>dit</w:t>
      </w:r>
      <w:r w:rsidRPr="002C4077">
        <w:t xml:space="preserve"> </w:t>
      </w:r>
      <w:r>
        <w:t>le</w:t>
      </w:r>
      <w:r w:rsidRPr="002C4077">
        <w:t xml:space="preserve"> </w:t>
      </w:r>
      <w:r>
        <w:t>docteur</w:t>
      </w:r>
      <w:r w:rsidRPr="002C4077">
        <w:t xml:space="preserve"> </w:t>
      </w:r>
      <w:r>
        <w:t>Hofmann,</w:t>
      </w:r>
      <w:r w:rsidRPr="002C4077">
        <w:t xml:space="preserve"> </w:t>
      </w:r>
      <w:r>
        <w:t>qui</w:t>
      </w:r>
      <w:r w:rsidRPr="002C4077">
        <w:t xml:space="preserve"> </w:t>
      </w:r>
      <w:r w:rsidR="00425C50">
        <w:t>est</w:t>
      </w:r>
      <w:r w:rsidRPr="002C4077">
        <w:t xml:space="preserve"> </w:t>
      </w:r>
      <w:r>
        <w:t>pourtant</w:t>
      </w:r>
      <w:r w:rsidRPr="002C4077">
        <w:t xml:space="preserve"> </w:t>
      </w:r>
      <w:r>
        <w:t>loin</w:t>
      </w:r>
      <w:r w:rsidRPr="002C4077">
        <w:t xml:space="preserve"> </w:t>
      </w:r>
      <w:r>
        <w:t>d’être</w:t>
      </w:r>
      <w:r w:rsidRPr="002C4077">
        <w:t xml:space="preserve"> </w:t>
      </w:r>
      <w:r>
        <w:t>un</w:t>
      </w:r>
      <w:r w:rsidRPr="002C4077">
        <w:t xml:space="preserve"> </w:t>
      </w:r>
      <w:r>
        <w:t>des</w:t>
      </w:r>
      <w:r w:rsidRPr="002C4077">
        <w:t xml:space="preserve"> </w:t>
      </w:r>
      <w:r>
        <w:t>nôtres,</w:t>
      </w:r>
      <w:r w:rsidRPr="002C4077">
        <w:t xml:space="preserve"> </w:t>
      </w:r>
      <w:r w:rsidR="00B546AF">
        <w:t>« </w:t>
      </w:r>
      <w:r>
        <w:t>l’on</w:t>
      </w:r>
      <w:r w:rsidRPr="002C4077">
        <w:t xml:space="preserve"> </w:t>
      </w:r>
      <w:r>
        <w:t>aurait</w:t>
      </w:r>
      <w:r w:rsidRPr="002C4077">
        <w:t xml:space="preserve"> </w:t>
      </w:r>
      <w:r>
        <w:t>à</w:t>
      </w:r>
      <w:r w:rsidRPr="002C4077">
        <w:t xml:space="preserve"> </w:t>
      </w:r>
      <w:r>
        <w:t>peine</w:t>
      </w:r>
      <w:r w:rsidRPr="002C4077">
        <w:t xml:space="preserve"> </w:t>
      </w:r>
      <w:r>
        <w:t>une</w:t>
      </w:r>
      <w:r w:rsidRPr="002C4077">
        <w:t xml:space="preserve"> </w:t>
      </w:r>
      <w:r>
        <w:t>pensée</w:t>
      </w:r>
      <w:r w:rsidRPr="002C4077">
        <w:t xml:space="preserve"> </w:t>
      </w:r>
      <w:r>
        <w:t>tol</w:t>
      </w:r>
      <w:r w:rsidR="001730C6">
        <w:t>ér</w:t>
      </w:r>
      <w:r>
        <w:t>able</w:t>
      </w:r>
      <w:r w:rsidR="00B91AF7">
        <w:rPr>
          <w:rStyle w:val="Appelnotedebasdep"/>
        </w:rPr>
        <w:footnoteReference w:id="37"/>
      </w:r>
      <w:r w:rsidR="00B546AF">
        <w:t> »</w:t>
      </w:r>
      <w:r>
        <w:t>.</w:t>
      </w:r>
      <w:r w:rsidRPr="002C4077">
        <w:t xml:space="preserve"> </w:t>
      </w:r>
    </w:p>
    <w:p w:rsidR="000A7AAB" w:rsidRDefault="001E7758" w:rsidP="001E7758">
      <w:pPr>
        <w:pStyle w:val="locus"/>
      </w:pPr>
      <w:r>
        <w:t>1.</w:t>
      </w:r>
      <w:r w:rsidRPr="002C4077">
        <w:t xml:space="preserve"> </w:t>
      </w:r>
      <w:r w:rsidR="000A7AAB">
        <w:t>Caput</w:t>
      </w:r>
      <w:r w:rsidR="000A7AAB" w:rsidRPr="002C4077">
        <w:t xml:space="preserve"> </w:t>
      </w:r>
      <w:r w:rsidR="000A7AAB">
        <w:t>S</w:t>
      </w:r>
      <w:r w:rsidR="003B53FD">
        <w:t>ýriæ</w:t>
      </w:r>
      <w:r w:rsidR="000A7AAB" w:rsidRPr="002C4077">
        <w:t xml:space="preserve"> </w:t>
      </w:r>
      <w:r>
        <w:t>Damáscus</w:t>
      </w:r>
      <w:r w:rsidR="000A7AAB" w:rsidRPr="002C4077">
        <w:t xml:space="preserve"> </w:t>
      </w:r>
      <w:r w:rsidR="000A7AAB">
        <w:t>et</w:t>
      </w:r>
      <w:r w:rsidR="000A7AAB" w:rsidRPr="002C4077">
        <w:t xml:space="preserve"> </w:t>
      </w:r>
      <w:r w:rsidR="000A7AAB">
        <w:t>caput</w:t>
      </w:r>
      <w:r w:rsidR="000A7AAB" w:rsidRPr="002C4077">
        <w:t xml:space="preserve"> </w:t>
      </w:r>
      <w:r>
        <w:t>Damásci</w:t>
      </w:r>
      <w:r w:rsidR="000A7AAB" w:rsidRPr="002C4077">
        <w:t xml:space="preserve"> </w:t>
      </w:r>
      <w:r w:rsidR="000A7AAB">
        <w:t>Rasin.</w:t>
      </w:r>
      <w:r w:rsidR="000A7AAB" w:rsidRPr="002C4077">
        <w:t xml:space="preserve"> </w:t>
      </w:r>
    </w:p>
    <w:p w:rsidR="000A7AAB" w:rsidRDefault="001E7758" w:rsidP="001E7758">
      <w:pPr>
        <w:pStyle w:val="locus"/>
      </w:pPr>
      <w:r>
        <w:t>2.</w:t>
      </w:r>
      <w:r w:rsidRPr="002C4077">
        <w:t xml:space="preserve"> </w:t>
      </w:r>
      <w:r w:rsidR="000A7AAB">
        <w:t>Et</w:t>
      </w:r>
      <w:r w:rsidR="000A7AAB" w:rsidRPr="002C4077">
        <w:t xml:space="preserve"> </w:t>
      </w:r>
      <w:r w:rsidR="000A7AAB">
        <w:t>adhuc</w:t>
      </w:r>
      <w:r w:rsidR="000A7AAB" w:rsidRPr="002C4077">
        <w:t xml:space="preserve"> </w:t>
      </w:r>
      <w:r>
        <w:t>sexagínta</w:t>
      </w:r>
      <w:r w:rsidR="000A7AAB" w:rsidRPr="002C4077">
        <w:t xml:space="preserve"> </w:t>
      </w:r>
      <w:r w:rsidR="000A7AAB">
        <w:t>et</w:t>
      </w:r>
      <w:r w:rsidR="000A7AAB" w:rsidRPr="002C4077">
        <w:t xml:space="preserve"> </w:t>
      </w:r>
      <w:r w:rsidR="000A7AAB">
        <w:t>quinque</w:t>
      </w:r>
      <w:r w:rsidR="000A7AAB" w:rsidRPr="002C4077">
        <w:t xml:space="preserve"> </w:t>
      </w:r>
      <w:r w:rsidR="000A7AAB">
        <w:t>anni,</w:t>
      </w:r>
      <w:r w:rsidR="000A7AAB" w:rsidRPr="002C4077">
        <w:t xml:space="preserve"> </w:t>
      </w:r>
      <w:r w:rsidR="000A7AAB">
        <w:t>et</w:t>
      </w:r>
      <w:r w:rsidR="000A7AAB" w:rsidRPr="002C4077">
        <w:t xml:space="preserve"> </w:t>
      </w:r>
      <w:r>
        <w:t>désinet</w:t>
      </w:r>
      <w:r w:rsidR="000A7AAB" w:rsidRPr="002C4077">
        <w:t xml:space="preserve"> </w:t>
      </w:r>
      <w:r>
        <w:t>Ephraím</w:t>
      </w:r>
      <w:r w:rsidR="000A7AAB" w:rsidRPr="002C4077">
        <w:t xml:space="preserve"> </w:t>
      </w:r>
      <w:r w:rsidR="000A7AAB">
        <w:t>esse</w:t>
      </w:r>
      <w:r w:rsidR="000A7AAB" w:rsidRPr="002C4077">
        <w:t xml:space="preserve"> </w:t>
      </w:r>
      <w:r w:rsidR="000A7AAB">
        <w:t>p</w:t>
      </w:r>
      <w:r w:rsidR="003B53FD">
        <w:t>ópulus</w:t>
      </w:r>
      <w:r w:rsidR="000A7AAB">
        <w:t>.</w:t>
      </w:r>
      <w:r w:rsidR="000A7AAB" w:rsidRPr="002C4077">
        <w:t xml:space="preserve"> </w:t>
      </w:r>
    </w:p>
    <w:p w:rsidR="000A7AAB" w:rsidRDefault="001E7758" w:rsidP="001E7758">
      <w:pPr>
        <w:pStyle w:val="locus"/>
      </w:pPr>
      <w:r>
        <w:t>3.</w:t>
      </w:r>
      <w:r w:rsidRPr="002C4077">
        <w:t xml:space="preserve"> </w:t>
      </w:r>
      <w:r w:rsidR="000A7AAB">
        <w:t>Et</w:t>
      </w:r>
      <w:r w:rsidR="000A7AAB" w:rsidRPr="002C4077">
        <w:t xml:space="preserve"> </w:t>
      </w:r>
      <w:r w:rsidR="000A7AAB">
        <w:t>caput</w:t>
      </w:r>
      <w:r w:rsidR="000A7AAB" w:rsidRPr="002C4077">
        <w:t xml:space="preserve"> </w:t>
      </w:r>
      <w:r>
        <w:t>Ephraím</w:t>
      </w:r>
      <w:r w:rsidR="000A7AAB" w:rsidRPr="002C4077">
        <w:t xml:space="preserve"> </w:t>
      </w:r>
      <w:r w:rsidR="003B53FD">
        <w:t>Samaría</w:t>
      </w:r>
      <w:r w:rsidR="000A7AAB">
        <w:t>,</w:t>
      </w:r>
      <w:r w:rsidR="000A7AAB" w:rsidRPr="002C4077">
        <w:t xml:space="preserve"> </w:t>
      </w:r>
      <w:r w:rsidR="000A7AAB">
        <w:t>et</w:t>
      </w:r>
      <w:r w:rsidR="000A7AAB" w:rsidRPr="002C4077">
        <w:t xml:space="preserve"> </w:t>
      </w:r>
      <w:r w:rsidR="000A7AAB">
        <w:t>caput</w:t>
      </w:r>
      <w:r w:rsidR="000A7AAB" w:rsidRPr="002C4077">
        <w:t xml:space="preserve"> </w:t>
      </w:r>
      <w:r w:rsidR="003B53FD">
        <w:t>Samaríæ</w:t>
      </w:r>
      <w:r w:rsidR="000A7AAB" w:rsidRPr="002C4077">
        <w:t xml:space="preserve"> </w:t>
      </w:r>
      <w:r w:rsidR="000A7AAB">
        <w:t>f</w:t>
      </w:r>
      <w:r w:rsidR="003B53FD">
        <w:t>ílius</w:t>
      </w:r>
      <w:r w:rsidR="000A7AAB" w:rsidRPr="002C4077">
        <w:t xml:space="preserve"> </w:t>
      </w:r>
      <w:r>
        <w:t>Romelíæ</w:t>
      </w:r>
      <w:r w:rsidR="000A7AAB">
        <w:t>.</w:t>
      </w:r>
      <w:r w:rsidR="000A7AAB" w:rsidRPr="002C4077">
        <w:t xml:space="preserve"> </w:t>
      </w:r>
    </w:p>
    <w:p w:rsidR="000A7AAB" w:rsidRDefault="001E7758" w:rsidP="001E7758">
      <w:pPr>
        <w:pStyle w:val="locus"/>
      </w:pPr>
      <w:r>
        <w:t>4.</w:t>
      </w:r>
      <w:r w:rsidRPr="002C4077">
        <w:t xml:space="preserve"> </w:t>
      </w:r>
      <w:r w:rsidR="000A7AAB">
        <w:t>Si</w:t>
      </w:r>
      <w:r w:rsidR="000A7AAB" w:rsidRPr="002C4077">
        <w:t xml:space="preserve"> </w:t>
      </w:r>
      <w:r w:rsidR="000A7AAB">
        <w:t>non</w:t>
      </w:r>
      <w:r w:rsidR="000A7AAB" w:rsidRPr="002C4077">
        <w:t xml:space="preserve"> </w:t>
      </w:r>
      <w:r>
        <w:t>credidéritis</w:t>
      </w:r>
      <w:r w:rsidR="000A7AAB" w:rsidRPr="002C4077">
        <w:t xml:space="preserve"> </w:t>
      </w:r>
      <w:r w:rsidR="000A7AAB">
        <w:t>non</w:t>
      </w:r>
      <w:r w:rsidR="000A7AAB" w:rsidRPr="002C4077">
        <w:t xml:space="preserve"> </w:t>
      </w:r>
      <w:r>
        <w:t>permanébitis</w:t>
      </w:r>
      <w:r w:rsidR="000A7AAB">
        <w:t>.</w:t>
      </w:r>
      <w:r w:rsidR="000A7AAB" w:rsidRPr="002C4077">
        <w:t xml:space="preserve"> </w:t>
      </w:r>
    </w:p>
    <w:p w:rsidR="000A7AAB" w:rsidRDefault="000A7AAB" w:rsidP="000A7AAB">
      <w:r>
        <w:t>Voilà</w:t>
      </w:r>
      <w:r w:rsidRPr="002C4077">
        <w:t xml:space="preserve"> </w:t>
      </w:r>
      <w:r>
        <w:t>une</w:t>
      </w:r>
      <w:r w:rsidRPr="002C4077">
        <w:t xml:space="preserve"> </w:t>
      </w:r>
      <w:r>
        <w:t>belle</w:t>
      </w:r>
      <w:r w:rsidRPr="002C4077">
        <w:t xml:space="preserve"> </w:t>
      </w:r>
      <w:r>
        <w:t>période</w:t>
      </w:r>
      <w:r w:rsidRPr="002C4077">
        <w:t xml:space="preserve"> </w:t>
      </w:r>
      <w:r>
        <w:t>orientale</w:t>
      </w:r>
      <w:r w:rsidRPr="002C4077">
        <w:t xml:space="preserve"> </w:t>
      </w:r>
      <w:r>
        <w:t>à</w:t>
      </w:r>
      <w:r w:rsidRPr="002C4077">
        <w:t xml:space="preserve"> </w:t>
      </w:r>
      <w:r>
        <w:t>quatre</w:t>
      </w:r>
      <w:r w:rsidRPr="002C4077">
        <w:t xml:space="preserve"> </w:t>
      </w:r>
      <w:r>
        <w:t>membres.</w:t>
      </w:r>
      <w:r w:rsidRPr="002C4077">
        <w:t xml:space="preserve"> </w:t>
      </w:r>
      <w:r>
        <w:t>Le</w:t>
      </w:r>
      <w:r w:rsidRPr="002C4077">
        <w:t xml:space="preserve"> </w:t>
      </w:r>
      <w:r>
        <w:t>premier</w:t>
      </w:r>
      <w:r w:rsidRPr="002C4077">
        <w:t xml:space="preserve"> </w:t>
      </w:r>
      <w:r>
        <w:t>membre</w:t>
      </w:r>
      <w:r w:rsidRPr="002C4077">
        <w:t xml:space="preserve"> </w:t>
      </w:r>
      <w:r>
        <w:t>correspond</w:t>
      </w:r>
      <w:r w:rsidRPr="002C4077">
        <w:t xml:space="preserve"> </w:t>
      </w:r>
      <w:r>
        <w:t>visiblement</w:t>
      </w:r>
      <w:r w:rsidRPr="002C4077">
        <w:t xml:space="preserve"> </w:t>
      </w:r>
      <w:r>
        <w:t>au</w:t>
      </w:r>
      <w:r w:rsidRPr="002C4077">
        <w:t xml:space="preserve"> </w:t>
      </w:r>
      <w:r>
        <w:t>troisième</w:t>
      </w:r>
      <w:r w:rsidRPr="004440EA">
        <w:t xml:space="preserve"> (</w:t>
      </w:r>
      <w:r>
        <w:t>deux</w:t>
      </w:r>
      <w:r w:rsidRPr="002C4077">
        <w:t xml:space="preserve"> </w:t>
      </w:r>
      <w:r>
        <w:t>promesses</w:t>
      </w:r>
      <w:r w:rsidR="00B546AF" w:rsidRPr="002C4077">
        <w:t>)</w:t>
      </w:r>
      <w:r w:rsidRPr="00950016">
        <w:t>,</w:t>
      </w:r>
      <w:r w:rsidRPr="002C4077">
        <w:t xml:space="preserve"> </w:t>
      </w:r>
      <w:r>
        <w:t>le</w:t>
      </w:r>
      <w:r w:rsidRPr="002C4077">
        <w:t xml:space="preserve"> </w:t>
      </w:r>
      <w:r>
        <w:t>second</w:t>
      </w:r>
      <w:r w:rsidRPr="002C4077">
        <w:t xml:space="preserve"> </w:t>
      </w:r>
      <w:r>
        <w:t>visiblement</w:t>
      </w:r>
      <w:r w:rsidRPr="002C4077">
        <w:t xml:space="preserve"> </w:t>
      </w:r>
      <w:r>
        <w:t>au</w:t>
      </w:r>
      <w:r w:rsidRPr="002C4077">
        <w:t xml:space="preserve"> </w:t>
      </w:r>
      <w:r>
        <w:t>quatrième</w:t>
      </w:r>
      <w:r w:rsidRPr="004440EA">
        <w:t xml:space="preserve"> (</w:t>
      </w:r>
      <w:r>
        <w:t>deux</w:t>
      </w:r>
      <w:r w:rsidRPr="002C4077">
        <w:t xml:space="preserve"> </w:t>
      </w:r>
      <w:r>
        <w:t>menaces</w:t>
      </w:r>
      <w:r w:rsidR="00B546AF" w:rsidRPr="002C4077">
        <w:t>)</w:t>
      </w:r>
      <w:r>
        <w:t>.</w:t>
      </w:r>
      <w:r w:rsidRPr="002C4077">
        <w:t xml:space="preserve"> </w:t>
      </w:r>
      <w:r>
        <w:t>Vous</w:t>
      </w:r>
      <w:r w:rsidRPr="002C4077">
        <w:t xml:space="preserve"> </w:t>
      </w:r>
      <w:r>
        <w:t>voulez</w:t>
      </w:r>
      <w:r w:rsidRPr="002C4077">
        <w:t xml:space="preserve"> </w:t>
      </w:r>
      <w:r>
        <w:t>supprimer</w:t>
      </w:r>
      <w:r w:rsidRPr="002C4077">
        <w:t xml:space="preserve"> </w:t>
      </w:r>
      <w:r>
        <w:t>le</w:t>
      </w:r>
      <w:r w:rsidRPr="002C4077">
        <w:t xml:space="preserve"> </w:t>
      </w:r>
      <w:r>
        <w:t>second</w:t>
      </w:r>
      <w:r w:rsidR="00B546AF">
        <w:t> ;</w:t>
      </w:r>
      <w:r w:rsidRPr="002C4077">
        <w:t xml:space="preserve"> </w:t>
      </w:r>
      <w:r>
        <w:t>mais</w:t>
      </w:r>
      <w:r w:rsidRPr="002C4077">
        <w:t xml:space="preserve"> </w:t>
      </w:r>
      <w:r>
        <w:t>c’est</w:t>
      </w:r>
      <w:r w:rsidRPr="002C4077">
        <w:t xml:space="preserve"> </w:t>
      </w:r>
      <w:r>
        <w:t>alors</w:t>
      </w:r>
      <w:r w:rsidRPr="002C4077">
        <w:t xml:space="preserve"> </w:t>
      </w:r>
      <w:r>
        <w:t>que</w:t>
      </w:r>
      <w:r w:rsidRPr="002C4077">
        <w:t xml:space="preserve"> </w:t>
      </w:r>
      <w:r>
        <w:t>le</w:t>
      </w:r>
      <w:r w:rsidRPr="002C4077">
        <w:t xml:space="preserve"> </w:t>
      </w:r>
      <w:r>
        <w:t>parallélisme</w:t>
      </w:r>
      <w:r w:rsidRPr="002C4077">
        <w:t xml:space="preserve"> </w:t>
      </w:r>
      <w:r>
        <w:t>sera</w:t>
      </w:r>
      <w:r w:rsidRPr="002C4077">
        <w:t xml:space="preserve"> </w:t>
      </w:r>
      <w:r>
        <w:t>rompu</w:t>
      </w:r>
      <w:r w:rsidR="00B546AF">
        <w:t> :</w:t>
      </w:r>
      <w:r w:rsidRPr="002C4077">
        <w:t xml:space="preserve"> </w:t>
      </w:r>
      <w:r>
        <w:t>vous</w:t>
      </w:r>
      <w:r w:rsidRPr="002C4077">
        <w:t xml:space="preserve"> </w:t>
      </w:r>
      <w:r>
        <w:t>rendrez</w:t>
      </w:r>
      <w:r w:rsidRPr="002C4077">
        <w:t xml:space="preserve"> </w:t>
      </w:r>
      <w:r>
        <w:t>l’organisme</w:t>
      </w:r>
      <w:r w:rsidRPr="002C4077">
        <w:t xml:space="preserve"> </w:t>
      </w:r>
      <w:r>
        <w:t>boiteux</w:t>
      </w:r>
      <w:r w:rsidR="00B91AF7">
        <w:rPr>
          <w:rStyle w:val="Appelnotedebasdep"/>
        </w:rPr>
        <w:footnoteReference w:id="38"/>
      </w:r>
      <w:r>
        <w:t>.</w:t>
      </w:r>
      <w:r w:rsidRPr="002C4077">
        <w:t xml:space="preserve"> </w:t>
      </w:r>
      <w:r>
        <w:t>Et</w:t>
      </w:r>
      <w:r w:rsidRPr="002C4077">
        <w:t xml:space="preserve"> </w:t>
      </w:r>
      <w:r>
        <w:t>vous</w:t>
      </w:r>
      <w:r w:rsidRPr="002C4077">
        <w:t xml:space="preserve"> </w:t>
      </w:r>
      <w:r>
        <w:t>faites</w:t>
      </w:r>
      <w:r w:rsidRPr="002C4077">
        <w:t xml:space="preserve"> </w:t>
      </w:r>
      <w:r>
        <w:t>appel</w:t>
      </w:r>
      <w:r w:rsidRPr="002C4077">
        <w:t xml:space="preserve"> </w:t>
      </w:r>
      <w:r>
        <w:t>au</w:t>
      </w:r>
      <w:r w:rsidRPr="002C4077">
        <w:t xml:space="preserve"> </w:t>
      </w:r>
      <w:r>
        <w:t>sens</w:t>
      </w:r>
      <w:r w:rsidRPr="002C4077">
        <w:t xml:space="preserve"> </w:t>
      </w:r>
      <w:r>
        <w:t>esthétique</w:t>
      </w:r>
      <w:r w:rsidR="00B546AF">
        <w:t> !</w:t>
      </w:r>
      <w:r w:rsidRPr="002C4077">
        <w:t xml:space="preserve"> </w:t>
      </w:r>
    </w:p>
    <w:p w:rsidR="000A7AAB" w:rsidRPr="000721C4" w:rsidRDefault="000A7AAB" w:rsidP="000A7AAB">
      <w:r>
        <w:t>Quant</w:t>
      </w:r>
      <w:r w:rsidRPr="002C4077">
        <w:t xml:space="preserve"> </w:t>
      </w:r>
      <w:r>
        <w:t>au</w:t>
      </w:r>
      <w:r w:rsidRPr="002C4077">
        <w:t xml:space="preserve"> </w:t>
      </w:r>
      <w:r>
        <w:t>verset</w:t>
      </w:r>
      <w:r w:rsidRPr="002C4077">
        <w:t xml:space="preserve"> </w:t>
      </w:r>
      <w:r>
        <w:t>16</w:t>
      </w:r>
      <w:r w:rsidR="003B5C82" w:rsidRPr="003B5C82">
        <w:rPr>
          <w:vertAlign w:val="superscript"/>
        </w:rPr>
        <w:t>e</w:t>
      </w:r>
      <w:r w:rsidR="003B5C82">
        <w:t>,</w:t>
      </w:r>
      <w:r w:rsidRPr="002C4077">
        <w:t xml:space="preserve"> </w:t>
      </w:r>
      <w:r>
        <w:t>il</w:t>
      </w:r>
      <w:r w:rsidRPr="002C4077">
        <w:t xml:space="preserve"> </w:t>
      </w:r>
      <w:r>
        <w:t>n’est</w:t>
      </w:r>
      <w:r w:rsidRPr="002C4077">
        <w:t xml:space="preserve"> </w:t>
      </w:r>
      <w:r>
        <w:t>pas</w:t>
      </w:r>
      <w:r w:rsidRPr="002C4077">
        <w:t xml:space="preserve"> </w:t>
      </w:r>
      <w:r>
        <w:t>le</w:t>
      </w:r>
      <w:r w:rsidRPr="002C4077">
        <w:t xml:space="preserve"> </w:t>
      </w:r>
      <w:r>
        <w:t>moins</w:t>
      </w:r>
      <w:r w:rsidRPr="002C4077">
        <w:t xml:space="preserve"> </w:t>
      </w:r>
      <w:r>
        <w:t>du</w:t>
      </w:r>
      <w:r w:rsidRPr="002C4077">
        <w:t xml:space="preserve"> </w:t>
      </w:r>
      <w:r>
        <w:t>monde</w:t>
      </w:r>
      <w:r w:rsidRPr="002C4077">
        <w:t xml:space="preserve"> </w:t>
      </w:r>
      <w:r>
        <w:t>en</w:t>
      </w:r>
      <w:r w:rsidRPr="002C4077">
        <w:t xml:space="preserve"> </w:t>
      </w:r>
      <w:r>
        <w:t>contradiction</w:t>
      </w:r>
      <w:r w:rsidRPr="002C4077">
        <w:t xml:space="preserve"> </w:t>
      </w:r>
      <w:r>
        <w:t>avec</w:t>
      </w:r>
      <w:r w:rsidRPr="002C4077">
        <w:t xml:space="preserve"> </w:t>
      </w:r>
      <w:r>
        <w:t>le</w:t>
      </w:r>
      <w:r w:rsidRPr="002C4077">
        <w:t xml:space="preserve"> </w:t>
      </w:r>
      <w:r>
        <w:t>8</w:t>
      </w:r>
      <w:r w:rsidR="003B5C82">
        <w:t>e</w:t>
      </w:r>
      <w:r>
        <w:t>,</w:t>
      </w:r>
      <w:r w:rsidRPr="002C4077">
        <w:t xml:space="preserve"> </w:t>
      </w:r>
      <w:r>
        <w:t>attendu</w:t>
      </w:r>
      <w:r w:rsidRPr="002C4077">
        <w:t xml:space="preserve"> </w:t>
      </w:r>
      <w:r>
        <w:t>qu’il</w:t>
      </w:r>
      <w:r w:rsidRPr="002C4077">
        <w:t xml:space="preserve"> </w:t>
      </w:r>
      <w:r>
        <w:t>n’y</w:t>
      </w:r>
      <w:r w:rsidRPr="002C4077">
        <w:t xml:space="preserve"> </w:t>
      </w:r>
      <w:r w:rsidR="00425C50">
        <w:t>est</w:t>
      </w:r>
      <w:r w:rsidRPr="002C4077">
        <w:t xml:space="preserve"> </w:t>
      </w:r>
      <w:r>
        <w:t>pas</w:t>
      </w:r>
      <w:r w:rsidRPr="002C4077">
        <w:t xml:space="preserve"> </w:t>
      </w:r>
      <w:r>
        <w:t>question,</w:t>
      </w:r>
      <w:r w:rsidRPr="002C4077">
        <w:t xml:space="preserve"> </w:t>
      </w:r>
      <w:r>
        <w:t>comme</w:t>
      </w:r>
      <w:r w:rsidRPr="002C4077">
        <w:t xml:space="preserve"> </w:t>
      </w:r>
      <w:r>
        <w:t>ici,</w:t>
      </w:r>
      <w:r w:rsidRPr="002C4077">
        <w:t xml:space="preserve"> </w:t>
      </w:r>
      <w:r>
        <w:t>de</w:t>
      </w:r>
      <w:r w:rsidRPr="002C4077">
        <w:t xml:space="preserve"> </w:t>
      </w:r>
      <w:r>
        <w:t>la</w:t>
      </w:r>
      <w:r w:rsidRPr="002C4077">
        <w:t xml:space="preserve"> </w:t>
      </w:r>
      <w:r>
        <w:t>ruine</w:t>
      </w:r>
      <w:r w:rsidRPr="002C4077">
        <w:t xml:space="preserve"> </w:t>
      </w:r>
      <w:r>
        <w:t>définitive</w:t>
      </w:r>
      <w:r w:rsidRPr="002C4077">
        <w:t xml:space="preserve"> </w:t>
      </w:r>
      <w:r>
        <w:t>d’Ephraïm,</w:t>
      </w:r>
      <w:r w:rsidRPr="002C4077">
        <w:t xml:space="preserve"> </w:t>
      </w:r>
      <w:r>
        <w:t>mais</w:t>
      </w:r>
      <w:r w:rsidRPr="002C4077">
        <w:t xml:space="preserve"> </w:t>
      </w:r>
      <w:r>
        <w:t>seulement</w:t>
      </w:r>
      <w:r w:rsidRPr="002C4077">
        <w:t xml:space="preserve"> </w:t>
      </w:r>
      <w:r>
        <w:t>d’une</w:t>
      </w:r>
      <w:r w:rsidRPr="002C4077">
        <w:t xml:space="preserve"> </w:t>
      </w:r>
      <w:r>
        <w:t>défaite</w:t>
      </w:r>
      <w:r w:rsidRPr="002C4077">
        <w:t xml:space="preserve"> </w:t>
      </w:r>
      <w:r>
        <w:t>temporaire,</w:t>
      </w:r>
      <w:r w:rsidRPr="002C4077">
        <w:t xml:space="preserve"> </w:t>
      </w:r>
      <w:r>
        <w:t>qui</w:t>
      </w:r>
      <w:r w:rsidRPr="002C4077">
        <w:t xml:space="preserve"> </w:t>
      </w:r>
      <w:r>
        <w:t>devait</w:t>
      </w:r>
      <w:r w:rsidRPr="002C4077">
        <w:t xml:space="preserve"> </w:t>
      </w:r>
      <w:r>
        <w:t>terminer</w:t>
      </w:r>
      <w:r w:rsidRPr="002C4077">
        <w:t xml:space="preserve"> </w:t>
      </w:r>
      <w:r>
        <w:t>la</w:t>
      </w:r>
      <w:r w:rsidRPr="002C4077">
        <w:t xml:space="preserve"> </w:t>
      </w:r>
      <w:r>
        <w:t>guerre</w:t>
      </w:r>
      <w:r w:rsidRPr="002C4077">
        <w:t xml:space="preserve"> </w:t>
      </w:r>
      <w:r>
        <w:t>présente.</w:t>
      </w:r>
      <w:r w:rsidR="00C45B47">
        <w:t xml:space="preserve"> {</w:t>
      </w:r>
      <w:r w:rsidR="000721C4">
        <w:t>12</w:t>
      </w:r>
      <w:bookmarkStart w:id="53" w:name="p012"/>
      <w:bookmarkEnd w:id="53"/>
      <w:r w:rsidR="000721C4">
        <w:t xml:space="preserve">} </w:t>
      </w:r>
    </w:p>
    <w:p w:rsidR="000A7AAB" w:rsidRDefault="000A7AAB" w:rsidP="000A7AAB">
      <w:r>
        <w:t>Il</w:t>
      </w:r>
      <w:r w:rsidRPr="002C4077">
        <w:t xml:space="preserve"> </w:t>
      </w:r>
      <w:r w:rsidR="00425C50">
        <w:t>est</w:t>
      </w:r>
      <w:r w:rsidRPr="002C4077">
        <w:t xml:space="preserve"> </w:t>
      </w:r>
      <w:r>
        <w:t>pareillement</w:t>
      </w:r>
      <w:r w:rsidRPr="002C4077">
        <w:t xml:space="preserve"> </w:t>
      </w:r>
      <w:r>
        <w:t>faux</w:t>
      </w:r>
      <w:r w:rsidRPr="002C4077">
        <w:t xml:space="preserve"> </w:t>
      </w:r>
      <w:r>
        <w:t>que</w:t>
      </w:r>
      <w:r w:rsidRPr="002C4077">
        <w:t xml:space="preserve"> </w:t>
      </w:r>
      <w:r>
        <w:t>nous</w:t>
      </w:r>
      <w:r w:rsidRPr="002C4077">
        <w:t xml:space="preserve"> </w:t>
      </w:r>
      <w:r>
        <w:t>ayons,</w:t>
      </w:r>
      <w:r w:rsidRPr="002C4077">
        <w:t xml:space="preserve"> </w:t>
      </w:r>
      <w:r>
        <w:t>en</w:t>
      </w:r>
      <w:r w:rsidRPr="002C4077">
        <w:t xml:space="preserve"> </w:t>
      </w:r>
      <w:r>
        <w:t>cet</w:t>
      </w:r>
      <w:r w:rsidRPr="002C4077">
        <w:t xml:space="preserve"> </w:t>
      </w:r>
      <w:r>
        <w:t>endroit,</w:t>
      </w:r>
      <w:r w:rsidRPr="002C4077">
        <w:t xml:space="preserve"> </w:t>
      </w:r>
      <w:r w:rsidR="00B546AF">
        <w:t>« </w:t>
      </w:r>
      <w:r>
        <w:t>l’unique</w:t>
      </w:r>
      <w:r w:rsidRPr="002C4077">
        <w:t xml:space="preserve"> </w:t>
      </w:r>
      <w:r>
        <w:t>exemple</w:t>
      </w:r>
      <w:r w:rsidRPr="002C4077">
        <w:t xml:space="preserve"> </w:t>
      </w:r>
      <w:r>
        <w:t>d’une</w:t>
      </w:r>
      <w:r w:rsidRPr="002C4077">
        <w:t xml:space="preserve"> </w:t>
      </w:r>
      <w:r>
        <w:t>prédiction</w:t>
      </w:r>
      <w:r w:rsidRPr="002C4077">
        <w:t xml:space="preserve"> </w:t>
      </w:r>
      <w:r>
        <w:t>précise</w:t>
      </w:r>
      <w:r w:rsidRPr="002C4077">
        <w:t xml:space="preserve"> </w:t>
      </w:r>
      <w:r>
        <w:t>formulée</w:t>
      </w:r>
      <w:r w:rsidRPr="002C4077">
        <w:t xml:space="preserve"> </w:t>
      </w:r>
      <w:r>
        <w:t>en</w:t>
      </w:r>
      <w:r w:rsidRPr="002C4077">
        <w:t xml:space="preserve"> </w:t>
      </w:r>
      <w:r>
        <w:t>nombres</w:t>
      </w:r>
      <w:r w:rsidRPr="002C4077">
        <w:t xml:space="preserve"> </w:t>
      </w:r>
      <w:r>
        <w:t>exacts</w:t>
      </w:r>
      <w:r w:rsidR="00B546AF">
        <w:t> »</w:t>
      </w:r>
      <w:r>
        <w:t>.</w:t>
      </w:r>
      <w:r w:rsidRPr="002C4077">
        <w:t xml:space="preserve"> </w:t>
      </w:r>
      <w:r>
        <w:t>M.</w:t>
      </w:r>
      <w:r w:rsidRPr="002C4077">
        <w:t xml:space="preserve"> </w:t>
      </w:r>
      <w:r>
        <w:t>Reuss</w:t>
      </w:r>
      <w:bookmarkStart w:id="54" w:name="z_Reuss_o3"/>
      <w:bookmarkEnd w:id="54"/>
      <w:r w:rsidRPr="002C4077">
        <w:t xml:space="preserve"> </w:t>
      </w:r>
      <w:r>
        <w:t>et</w:t>
      </w:r>
      <w:r w:rsidRPr="002C4077">
        <w:t xml:space="preserve"> </w:t>
      </w:r>
      <w:r>
        <w:t>ses</w:t>
      </w:r>
      <w:r w:rsidRPr="002C4077">
        <w:t xml:space="preserve"> </w:t>
      </w:r>
      <w:r>
        <w:t>amis</w:t>
      </w:r>
      <w:r w:rsidRPr="002C4077">
        <w:t xml:space="preserve"> </w:t>
      </w:r>
      <w:r>
        <w:t>ont-ils</w:t>
      </w:r>
      <w:r w:rsidRPr="002C4077">
        <w:t xml:space="preserve"> </w:t>
      </w:r>
      <w:r>
        <w:t>lu</w:t>
      </w:r>
      <w:r w:rsidRPr="002C4077">
        <w:t xml:space="preserve"> </w:t>
      </w:r>
      <w:r>
        <w:t>leur</w:t>
      </w:r>
      <w:r w:rsidRPr="002C4077">
        <w:t xml:space="preserve"> </w:t>
      </w:r>
      <w:r>
        <w:t>Bible</w:t>
      </w:r>
      <w:r w:rsidR="00B546AF">
        <w:t> ?</w:t>
      </w:r>
      <w:r w:rsidRPr="002C4077">
        <w:t xml:space="preserve"> </w:t>
      </w:r>
      <w:r>
        <w:t>En</w:t>
      </w:r>
      <w:r w:rsidRPr="002C4077">
        <w:t xml:space="preserve"> </w:t>
      </w:r>
      <w:r>
        <w:t>effet,</w:t>
      </w:r>
      <w:r w:rsidRPr="002C4077">
        <w:t xml:space="preserve"> </w:t>
      </w:r>
      <w:r>
        <w:t>remarque</w:t>
      </w:r>
      <w:r w:rsidRPr="002C4077">
        <w:t xml:space="preserve"> </w:t>
      </w:r>
      <w:r>
        <w:t>le</w:t>
      </w:r>
      <w:r w:rsidRPr="002C4077">
        <w:t xml:space="preserve"> </w:t>
      </w:r>
      <w:r>
        <w:t>grave</w:t>
      </w:r>
      <w:r w:rsidRPr="002C4077">
        <w:t xml:space="preserve"> </w:t>
      </w:r>
      <w:r>
        <w:t>docteur</w:t>
      </w:r>
      <w:r w:rsidRPr="002C4077">
        <w:t xml:space="preserve"> </w:t>
      </w:r>
      <w:r>
        <w:t>F.</w:t>
      </w:r>
      <w:r w:rsidRPr="002C4077">
        <w:t xml:space="preserve"> </w:t>
      </w:r>
      <w:r>
        <w:t>Delitzsch</w:t>
      </w:r>
      <w:r w:rsidR="00D735C4">
        <w:rPr>
          <w:rStyle w:val="Appelnotedebasdep"/>
        </w:rPr>
        <w:footnoteReference w:id="39"/>
      </w:r>
      <w:r w:rsidR="00D735C4">
        <w:t>,</w:t>
      </w:r>
      <w:r w:rsidRPr="002C4077">
        <w:t xml:space="preserve"> </w:t>
      </w:r>
      <w:r w:rsidR="00B546AF">
        <w:t>« </w:t>
      </w:r>
      <w:r>
        <w:t>les</w:t>
      </w:r>
      <w:r w:rsidRPr="002C4077">
        <w:t xml:space="preserve"> </w:t>
      </w:r>
      <w:r>
        <w:t>livres</w:t>
      </w:r>
      <w:r w:rsidRPr="002C4077">
        <w:t xml:space="preserve"> </w:t>
      </w:r>
      <w:r>
        <w:t>prophétiques</w:t>
      </w:r>
      <w:r w:rsidRPr="002C4077">
        <w:t xml:space="preserve"> </w:t>
      </w:r>
      <w:r>
        <w:t>de</w:t>
      </w:r>
      <w:r w:rsidRPr="002C4077">
        <w:t xml:space="preserve"> </w:t>
      </w:r>
      <w:r>
        <w:t>l’Ancien</w:t>
      </w:r>
      <w:r w:rsidRPr="002C4077">
        <w:t xml:space="preserve"> </w:t>
      </w:r>
      <w:r>
        <w:t>Testament</w:t>
      </w:r>
      <w:r w:rsidRPr="002C4077">
        <w:t xml:space="preserve"> </w:t>
      </w:r>
      <w:r>
        <w:t>nous</w:t>
      </w:r>
      <w:r w:rsidRPr="002C4077">
        <w:t xml:space="preserve"> </w:t>
      </w:r>
      <w:r>
        <w:t>offrent</w:t>
      </w:r>
      <w:r w:rsidRPr="002C4077">
        <w:t xml:space="preserve"> </w:t>
      </w:r>
      <w:r>
        <w:t>une</w:t>
      </w:r>
      <w:r w:rsidRPr="002C4077">
        <w:t xml:space="preserve"> </w:t>
      </w:r>
      <w:r>
        <w:t>multitude</w:t>
      </w:r>
      <w:r w:rsidRPr="002C4077">
        <w:t xml:space="preserve"> </w:t>
      </w:r>
      <w:r>
        <w:t>d’exemples</w:t>
      </w:r>
      <w:r w:rsidRPr="002C4077">
        <w:t xml:space="preserve"> </w:t>
      </w:r>
      <w:r>
        <w:t>de</w:t>
      </w:r>
      <w:r w:rsidRPr="002C4077">
        <w:t xml:space="preserve"> </w:t>
      </w:r>
      <w:r>
        <w:t>ce</w:t>
      </w:r>
      <w:r w:rsidRPr="002C4077">
        <w:t xml:space="preserve"> </w:t>
      </w:r>
      <w:r>
        <w:t>genre</w:t>
      </w:r>
      <w:r w:rsidR="00B546AF">
        <w:t> »</w:t>
      </w:r>
      <w:r>
        <w:t>.</w:t>
      </w:r>
      <w:r w:rsidRPr="002C4077">
        <w:t xml:space="preserve"> </w:t>
      </w:r>
      <w:r>
        <w:t>Et</w:t>
      </w:r>
      <w:r w:rsidRPr="002C4077">
        <w:t xml:space="preserve"> </w:t>
      </w:r>
      <w:r>
        <w:t>il</w:t>
      </w:r>
      <w:r w:rsidRPr="002C4077">
        <w:t xml:space="preserve"> </w:t>
      </w:r>
      <w:r>
        <w:t>signale,</w:t>
      </w:r>
      <w:r w:rsidRPr="002C4077">
        <w:t xml:space="preserve"> </w:t>
      </w:r>
      <w:r>
        <w:t>entre</w:t>
      </w:r>
      <w:r w:rsidRPr="002C4077">
        <w:t xml:space="preserve"> </w:t>
      </w:r>
      <w:r>
        <w:t>autres</w:t>
      </w:r>
      <w:r w:rsidRPr="002C4077">
        <w:t xml:space="preserve"> </w:t>
      </w:r>
      <w:r>
        <w:t>passages,</w:t>
      </w:r>
      <w:r w:rsidRPr="002C4077">
        <w:t xml:space="preserve"> </w:t>
      </w:r>
      <w:r>
        <w:t>Isaïe</w:t>
      </w:r>
      <w:r w:rsidRPr="002C4077">
        <w:t xml:space="preserve"> </w:t>
      </w:r>
      <w:r>
        <w:t>XVI,</w:t>
      </w:r>
      <w:r w:rsidRPr="002C4077">
        <w:t xml:space="preserve"> </w:t>
      </w:r>
      <w:r>
        <w:t>14</w:t>
      </w:r>
      <w:r w:rsidR="00B546AF">
        <w:t> ;</w:t>
      </w:r>
      <w:r w:rsidRPr="002C4077">
        <w:t xml:space="preserve"> </w:t>
      </w:r>
      <w:r>
        <w:t>XX,</w:t>
      </w:r>
      <w:r w:rsidRPr="002C4077">
        <w:t xml:space="preserve"> </w:t>
      </w:r>
      <w:r>
        <w:t>23</w:t>
      </w:r>
      <w:r w:rsidR="00B546AF">
        <w:t> ;</w:t>
      </w:r>
      <w:r w:rsidRPr="002C4077">
        <w:t xml:space="preserve"> </w:t>
      </w:r>
      <w:r>
        <w:t>XXI,</w:t>
      </w:r>
      <w:r w:rsidRPr="002C4077">
        <w:t xml:space="preserve"> </w:t>
      </w:r>
      <w:r>
        <w:t>16</w:t>
      </w:r>
      <w:r w:rsidR="00B546AF">
        <w:t> ;</w:t>
      </w:r>
      <w:r w:rsidRPr="002C4077">
        <w:t xml:space="preserve"> </w:t>
      </w:r>
      <w:r>
        <w:t>XXXVIII,</w:t>
      </w:r>
      <w:r w:rsidRPr="002C4077">
        <w:t xml:space="preserve"> </w:t>
      </w:r>
      <w:r>
        <w:t>5</w:t>
      </w:r>
      <w:r w:rsidR="00B546AF">
        <w:t> ;</w:t>
      </w:r>
      <w:r w:rsidRPr="002C4077">
        <w:t xml:space="preserve"> </w:t>
      </w:r>
      <w:r>
        <w:t>Ézéchiel</w:t>
      </w:r>
      <w:r w:rsidRPr="002C4077">
        <w:t xml:space="preserve"> </w:t>
      </w:r>
      <w:r>
        <w:t>IV,</w:t>
      </w:r>
      <w:r w:rsidRPr="002C4077">
        <w:t xml:space="preserve"> </w:t>
      </w:r>
      <w:r>
        <w:t>5-6</w:t>
      </w:r>
      <w:r w:rsidR="00B546AF">
        <w:t> ;</w:t>
      </w:r>
      <w:r w:rsidRPr="002C4077">
        <w:t xml:space="preserve"> </w:t>
      </w:r>
      <w:r>
        <w:t>XXIV,</w:t>
      </w:r>
      <w:r w:rsidRPr="002C4077">
        <w:t xml:space="preserve"> </w:t>
      </w:r>
      <w:r>
        <w:t>2</w:t>
      </w:r>
      <w:r w:rsidR="00B546AF">
        <w:t> ;</w:t>
      </w:r>
      <w:r w:rsidRPr="002C4077">
        <w:t xml:space="preserve"> </w:t>
      </w:r>
      <w:r>
        <w:t>Daniel</w:t>
      </w:r>
      <w:r w:rsidRPr="002C4077">
        <w:t xml:space="preserve"> </w:t>
      </w:r>
      <w:r>
        <w:t>IX,</w:t>
      </w:r>
      <w:r w:rsidRPr="002C4077">
        <w:t xml:space="preserve"> </w:t>
      </w:r>
      <w:r>
        <w:t>25-27,</w:t>
      </w:r>
      <w:r w:rsidRPr="002C4077">
        <w:t xml:space="preserve"> </w:t>
      </w:r>
      <w:r>
        <w:t>où</w:t>
      </w:r>
      <w:r w:rsidRPr="002C4077">
        <w:t xml:space="preserve"> </w:t>
      </w:r>
      <w:r>
        <w:t>l’on</w:t>
      </w:r>
      <w:r w:rsidRPr="002C4077">
        <w:t xml:space="preserve"> </w:t>
      </w:r>
      <w:r>
        <w:t>rencontre</w:t>
      </w:r>
      <w:r w:rsidRPr="002C4077">
        <w:t xml:space="preserve"> </w:t>
      </w:r>
      <w:r>
        <w:t>en</w:t>
      </w:r>
      <w:r w:rsidRPr="002C4077">
        <w:t xml:space="preserve"> </w:t>
      </w:r>
      <w:r>
        <w:t>effet</w:t>
      </w:r>
      <w:r w:rsidRPr="002C4077">
        <w:t xml:space="preserve"> </w:t>
      </w:r>
      <w:r>
        <w:t>des</w:t>
      </w:r>
      <w:r w:rsidRPr="002C4077">
        <w:t xml:space="preserve"> </w:t>
      </w:r>
      <w:r>
        <w:t>prédictions</w:t>
      </w:r>
      <w:r w:rsidRPr="002C4077">
        <w:t xml:space="preserve"> </w:t>
      </w:r>
      <w:r>
        <w:t>fort</w:t>
      </w:r>
      <w:r w:rsidRPr="002C4077">
        <w:t xml:space="preserve"> </w:t>
      </w:r>
      <w:r>
        <w:t>précises.</w:t>
      </w:r>
      <w:r w:rsidRPr="002C4077">
        <w:t xml:space="preserve"> </w:t>
      </w:r>
    </w:p>
    <w:p w:rsidR="000A7AAB" w:rsidRDefault="000A7AAB" w:rsidP="000A7AAB">
      <w:r>
        <w:t>Mais</w:t>
      </w:r>
      <w:r w:rsidRPr="002C4077">
        <w:t xml:space="preserve"> </w:t>
      </w:r>
      <w:r>
        <w:t>la</w:t>
      </w:r>
      <w:r w:rsidRPr="002C4077">
        <w:t xml:space="preserve"> </w:t>
      </w:r>
      <w:r>
        <w:t>seconde</w:t>
      </w:r>
      <w:r w:rsidRPr="002C4077">
        <w:t xml:space="preserve"> </w:t>
      </w:r>
      <w:r>
        <w:t>moitié</w:t>
      </w:r>
      <w:r w:rsidRPr="002C4077">
        <w:t xml:space="preserve"> </w:t>
      </w:r>
      <w:r>
        <w:t>du</w:t>
      </w:r>
      <w:r w:rsidRPr="002C4077">
        <w:t xml:space="preserve"> </w:t>
      </w:r>
      <w:r>
        <w:t>verset</w:t>
      </w:r>
      <w:r w:rsidRPr="002C4077">
        <w:t xml:space="preserve"> </w:t>
      </w:r>
      <w:r>
        <w:t>8</w:t>
      </w:r>
      <w:r w:rsidRPr="002C4077">
        <w:t xml:space="preserve"> </w:t>
      </w:r>
      <w:r>
        <w:t>ne</w:t>
      </w:r>
      <w:r w:rsidRPr="002C4077">
        <w:t xml:space="preserve"> </w:t>
      </w:r>
      <w:r>
        <w:t>serait-elle</w:t>
      </w:r>
      <w:r w:rsidRPr="002C4077">
        <w:t xml:space="preserve"> </w:t>
      </w:r>
      <w:r>
        <w:t>pas</w:t>
      </w:r>
      <w:r w:rsidRPr="002C4077">
        <w:t xml:space="preserve"> </w:t>
      </w:r>
      <w:r w:rsidR="00B546AF">
        <w:t>« </w:t>
      </w:r>
      <w:r>
        <w:t>contredite</w:t>
      </w:r>
      <w:r w:rsidRPr="002C4077">
        <w:t xml:space="preserve"> </w:t>
      </w:r>
      <w:r>
        <w:t>par</w:t>
      </w:r>
      <w:r w:rsidRPr="002C4077">
        <w:t xml:space="preserve"> </w:t>
      </w:r>
      <w:r>
        <w:t>l’histoire</w:t>
      </w:r>
      <w:r w:rsidR="00B546AF">
        <w:t> ? »</w:t>
      </w:r>
      <w:r w:rsidRPr="002C4077">
        <w:t xml:space="preserve"> </w:t>
      </w:r>
      <w:r>
        <w:t>L’année</w:t>
      </w:r>
      <w:r w:rsidRPr="002C4077">
        <w:t xml:space="preserve"> </w:t>
      </w:r>
      <w:r>
        <w:t>743</w:t>
      </w:r>
      <w:r w:rsidRPr="002C4077">
        <w:t xml:space="preserve"> </w:t>
      </w:r>
      <w:r w:rsidR="00425C50">
        <w:t>est</w:t>
      </w:r>
      <w:r w:rsidRPr="002C4077">
        <w:t xml:space="preserve"> </w:t>
      </w:r>
      <w:r>
        <w:t>en</w:t>
      </w:r>
      <w:r w:rsidRPr="002C4077">
        <w:t xml:space="preserve"> </w:t>
      </w:r>
      <w:r>
        <w:t>réalité</w:t>
      </w:r>
      <w:r w:rsidRPr="002C4077">
        <w:t xml:space="preserve"> </w:t>
      </w:r>
      <w:r>
        <w:t>le</w:t>
      </w:r>
      <w:r w:rsidRPr="002C4077">
        <w:t xml:space="preserve"> </w:t>
      </w:r>
      <w:r w:rsidRPr="000A34B5">
        <w:rPr>
          <w:rStyle w:val="italicus"/>
        </w:rPr>
        <w:t>terminus</w:t>
      </w:r>
      <w:r w:rsidRPr="002C4077">
        <w:t xml:space="preserve"> </w:t>
      </w:r>
      <w:r w:rsidRPr="000A34B5">
        <w:rPr>
          <w:rStyle w:val="italicus"/>
        </w:rPr>
        <w:t>ultra</w:t>
      </w:r>
      <w:r w:rsidRPr="002C4077">
        <w:t xml:space="preserve"> </w:t>
      </w:r>
      <w:r w:rsidRPr="000A34B5">
        <w:rPr>
          <w:rStyle w:val="italicus"/>
        </w:rPr>
        <w:t>quem</w:t>
      </w:r>
      <w:r w:rsidRPr="002C4077">
        <w:t xml:space="preserve"> </w:t>
      </w:r>
      <w:r w:rsidRPr="000A34B5">
        <w:rPr>
          <w:rStyle w:val="italicus"/>
        </w:rPr>
        <w:t>non</w:t>
      </w:r>
      <w:r w:rsidRPr="002C4077">
        <w:t xml:space="preserve"> </w:t>
      </w:r>
      <w:r>
        <w:t>du</w:t>
      </w:r>
      <w:r w:rsidRPr="002C4077">
        <w:t xml:space="preserve"> </w:t>
      </w:r>
      <w:r>
        <w:t>discours,</w:t>
      </w:r>
      <w:r w:rsidRPr="002C4077">
        <w:t xml:space="preserve"> </w:t>
      </w:r>
      <w:r>
        <w:t>et</w:t>
      </w:r>
      <w:r w:rsidRPr="002C4077">
        <w:t xml:space="preserve"> </w:t>
      </w:r>
      <w:r>
        <w:t>M.</w:t>
      </w:r>
      <w:r w:rsidRPr="002C4077">
        <w:t xml:space="preserve"> </w:t>
      </w:r>
      <w:r>
        <w:t>Reuss</w:t>
      </w:r>
      <w:r w:rsidRPr="002C4077">
        <w:t xml:space="preserve"> </w:t>
      </w:r>
      <w:r>
        <w:t>n’a</w:t>
      </w:r>
      <w:r w:rsidRPr="002C4077">
        <w:t xml:space="preserve"> </w:t>
      </w:r>
      <w:r>
        <w:t>pas</w:t>
      </w:r>
      <w:r w:rsidRPr="002C4077">
        <w:t xml:space="preserve"> </w:t>
      </w:r>
      <w:r>
        <w:t>absolument</w:t>
      </w:r>
      <w:r w:rsidRPr="002C4077">
        <w:t xml:space="preserve"> </w:t>
      </w:r>
      <w:r>
        <w:t>tort,</w:t>
      </w:r>
      <w:r w:rsidRPr="002C4077">
        <w:t xml:space="preserve"> </w:t>
      </w:r>
      <w:r>
        <w:t>quand</w:t>
      </w:r>
      <w:r w:rsidRPr="002C4077">
        <w:t xml:space="preserve"> </w:t>
      </w:r>
      <w:r>
        <w:t>il</w:t>
      </w:r>
      <w:r w:rsidRPr="002C4077">
        <w:t xml:space="preserve"> </w:t>
      </w:r>
      <w:r>
        <w:t>place</w:t>
      </w:r>
      <w:r w:rsidRPr="002C4077">
        <w:t xml:space="preserve"> </w:t>
      </w:r>
      <w:r>
        <w:t>la</w:t>
      </w:r>
      <w:r w:rsidRPr="002C4077">
        <w:t xml:space="preserve"> </w:t>
      </w:r>
      <w:r>
        <w:t>ruine</w:t>
      </w:r>
      <w:r w:rsidRPr="002C4077">
        <w:t xml:space="preserve"> </w:t>
      </w:r>
      <w:r>
        <w:t>de</w:t>
      </w:r>
      <w:r w:rsidRPr="002C4077">
        <w:t xml:space="preserve"> </w:t>
      </w:r>
      <w:r>
        <w:t>S</w:t>
      </w:r>
      <w:r w:rsidR="001730C6">
        <w:t>am</w:t>
      </w:r>
      <w:r>
        <w:t>arie</w:t>
      </w:r>
      <w:r w:rsidRPr="002C4077">
        <w:t xml:space="preserve"> </w:t>
      </w:r>
      <w:r>
        <w:t>en</w:t>
      </w:r>
      <w:r w:rsidRPr="002C4077">
        <w:t xml:space="preserve"> </w:t>
      </w:r>
      <w:r>
        <w:t>722</w:t>
      </w:r>
      <w:r w:rsidR="00B546AF">
        <w:t> ;</w:t>
      </w:r>
      <w:r w:rsidRPr="002C4077">
        <w:t xml:space="preserve"> </w:t>
      </w:r>
      <w:r>
        <w:t>or,</w:t>
      </w:r>
      <w:r w:rsidRPr="002C4077">
        <w:t xml:space="preserve"> </w:t>
      </w:r>
      <w:r>
        <w:t>il</w:t>
      </w:r>
      <w:r w:rsidRPr="002C4077">
        <w:t xml:space="preserve"> </w:t>
      </w:r>
      <w:r>
        <w:t>y</w:t>
      </w:r>
      <w:r w:rsidRPr="002C4077">
        <w:t xml:space="preserve"> </w:t>
      </w:r>
      <w:r>
        <w:t>a</w:t>
      </w:r>
      <w:r w:rsidRPr="002C4077">
        <w:t xml:space="preserve"> </w:t>
      </w:r>
      <w:r>
        <w:t>une</w:t>
      </w:r>
      <w:r w:rsidRPr="002C4077">
        <w:t xml:space="preserve"> </w:t>
      </w:r>
      <w:r>
        <w:t>grande</w:t>
      </w:r>
      <w:r w:rsidRPr="002C4077">
        <w:t xml:space="preserve"> </w:t>
      </w:r>
      <w:r>
        <w:t>différence</w:t>
      </w:r>
      <w:r w:rsidRPr="002C4077">
        <w:t xml:space="preserve"> </w:t>
      </w:r>
      <w:r>
        <w:t>entre</w:t>
      </w:r>
      <w:r w:rsidRPr="002C4077">
        <w:t xml:space="preserve"> </w:t>
      </w:r>
      <w:r>
        <w:t>65</w:t>
      </w:r>
      <w:r w:rsidRPr="002C4077">
        <w:t xml:space="preserve"> </w:t>
      </w:r>
      <w:r>
        <w:t>ans</w:t>
      </w:r>
      <w:r w:rsidRPr="002C4077">
        <w:t xml:space="preserve"> </w:t>
      </w:r>
      <w:r>
        <w:t>et</w:t>
      </w:r>
      <w:r w:rsidRPr="002C4077">
        <w:t xml:space="preserve"> </w:t>
      </w:r>
      <w:r>
        <w:t>21</w:t>
      </w:r>
      <w:r w:rsidRPr="002C4077">
        <w:t xml:space="preserve"> </w:t>
      </w:r>
      <w:r>
        <w:t>ans.</w:t>
      </w:r>
      <w:r w:rsidRPr="002C4077">
        <w:t xml:space="preserve"> </w:t>
      </w:r>
    </w:p>
    <w:p w:rsidR="000A7AAB" w:rsidRDefault="000A7AAB" w:rsidP="000A7AAB">
      <w:r>
        <w:t>L’objection</w:t>
      </w:r>
      <w:r w:rsidRPr="002C4077">
        <w:t xml:space="preserve"> </w:t>
      </w:r>
      <w:r>
        <w:t>a</w:t>
      </w:r>
      <w:r w:rsidRPr="002C4077">
        <w:t xml:space="preserve"> </w:t>
      </w:r>
      <w:r>
        <w:t>quelque</w:t>
      </w:r>
      <w:r w:rsidRPr="002C4077">
        <w:t xml:space="preserve"> </w:t>
      </w:r>
      <w:r>
        <w:t>chose</w:t>
      </w:r>
      <w:r w:rsidRPr="002C4077">
        <w:t xml:space="preserve"> </w:t>
      </w:r>
      <w:r>
        <w:t>de</w:t>
      </w:r>
      <w:r w:rsidRPr="002C4077">
        <w:t xml:space="preserve"> </w:t>
      </w:r>
      <w:r>
        <w:t>spécieux.</w:t>
      </w:r>
      <w:r w:rsidRPr="002C4077">
        <w:t xml:space="preserve"> </w:t>
      </w:r>
      <w:r>
        <w:t>Il</w:t>
      </w:r>
      <w:r w:rsidRPr="002C4077">
        <w:t xml:space="preserve"> </w:t>
      </w:r>
      <w:r>
        <w:t>s’en</w:t>
      </w:r>
      <w:r w:rsidRPr="002C4077">
        <w:t xml:space="preserve"> </w:t>
      </w:r>
      <w:r>
        <w:t>faut</w:t>
      </w:r>
      <w:r w:rsidRPr="002C4077">
        <w:t xml:space="preserve"> </w:t>
      </w:r>
      <w:r>
        <w:t>beaucoup,</w:t>
      </w:r>
      <w:r w:rsidRPr="002C4077">
        <w:t xml:space="preserve"> </w:t>
      </w:r>
      <w:r>
        <w:t>du</w:t>
      </w:r>
      <w:r w:rsidRPr="002C4077">
        <w:t xml:space="preserve"> </w:t>
      </w:r>
      <w:r>
        <w:t>reste,</w:t>
      </w:r>
      <w:r w:rsidRPr="002C4077">
        <w:t xml:space="preserve"> </w:t>
      </w:r>
      <w:r>
        <w:t>qu’elle</w:t>
      </w:r>
      <w:r w:rsidRPr="002C4077">
        <w:t xml:space="preserve"> </w:t>
      </w:r>
      <w:r>
        <w:t>soit</w:t>
      </w:r>
      <w:r w:rsidRPr="002C4077">
        <w:t xml:space="preserve"> </w:t>
      </w:r>
      <w:r>
        <w:t>neuve,</w:t>
      </w:r>
      <w:r w:rsidRPr="002C4077">
        <w:t xml:space="preserve"> </w:t>
      </w:r>
      <w:r>
        <w:t>car</w:t>
      </w:r>
      <w:r w:rsidRPr="002C4077">
        <w:t xml:space="preserve"> </w:t>
      </w:r>
      <w:r>
        <w:t>déjà</w:t>
      </w:r>
      <w:r w:rsidRPr="002C4077">
        <w:t xml:space="preserve"> </w:t>
      </w:r>
      <w:r>
        <w:t>saint</w:t>
      </w:r>
      <w:r w:rsidRPr="002C4077">
        <w:t xml:space="preserve"> </w:t>
      </w:r>
      <w:r>
        <w:t>Jérôme</w:t>
      </w:r>
      <w:r w:rsidRPr="002C4077">
        <w:t xml:space="preserve"> </w:t>
      </w:r>
      <w:r>
        <w:t>la</w:t>
      </w:r>
      <w:r w:rsidRPr="002C4077">
        <w:t xml:space="preserve"> </w:t>
      </w:r>
      <w:r>
        <w:t>posait,</w:t>
      </w:r>
      <w:r w:rsidRPr="002C4077">
        <w:t xml:space="preserve"> </w:t>
      </w:r>
      <w:r>
        <w:t>avec</w:t>
      </w:r>
      <w:r w:rsidRPr="002C4077">
        <w:t xml:space="preserve"> </w:t>
      </w:r>
      <w:r>
        <w:t>plus</w:t>
      </w:r>
      <w:r w:rsidRPr="002C4077">
        <w:t xml:space="preserve"> </w:t>
      </w:r>
      <w:r>
        <w:t>de</w:t>
      </w:r>
      <w:r w:rsidRPr="002C4077">
        <w:t xml:space="preserve"> </w:t>
      </w:r>
      <w:r>
        <w:t>force</w:t>
      </w:r>
      <w:r w:rsidRPr="002C4077">
        <w:t xml:space="preserve"> </w:t>
      </w:r>
      <w:r>
        <w:t>encore</w:t>
      </w:r>
      <w:r w:rsidRPr="002C4077">
        <w:t xml:space="preserve"> </w:t>
      </w:r>
      <w:r>
        <w:t>que</w:t>
      </w:r>
      <w:r w:rsidRPr="002C4077">
        <w:t xml:space="preserve"> </w:t>
      </w:r>
      <w:r>
        <w:t>nos</w:t>
      </w:r>
      <w:r w:rsidRPr="002C4077">
        <w:t xml:space="preserve"> </w:t>
      </w:r>
      <w:r>
        <w:t>rationalistes</w:t>
      </w:r>
      <w:r w:rsidRPr="002C4077">
        <w:t xml:space="preserve"> </w:t>
      </w:r>
      <w:r>
        <w:t>modernes.</w:t>
      </w:r>
      <w:r w:rsidRPr="002C4077">
        <w:t xml:space="preserve"> </w:t>
      </w:r>
      <w:r w:rsidR="00B546AF">
        <w:t>« </w:t>
      </w:r>
      <w:r>
        <w:t>Quod</w:t>
      </w:r>
      <w:r w:rsidRPr="002C4077">
        <w:t xml:space="preserve"> </w:t>
      </w:r>
      <w:r>
        <w:t>nisi</w:t>
      </w:r>
      <w:r w:rsidRPr="002C4077">
        <w:t xml:space="preserve"> </w:t>
      </w:r>
      <w:r>
        <w:t>dilig</w:t>
      </w:r>
      <w:r w:rsidR="003B53FD">
        <w:t>éntius</w:t>
      </w:r>
      <w:r w:rsidRPr="002C4077">
        <w:t xml:space="preserve"> </w:t>
      </w:r>
      <w:r w:rsidR="001E7758">
        <w:t>attendámus</w:t>
      </w:r>
      <w:r>
        <w:t>,</w:t>
      </w:r>
      <w:r w:rsidRPr="002C4077">
        <w:t xml:space="preserve"> </w:t>
      </w:r>
      <w:r>
        <w:t>stare</w:t>
      </w:r>
      <w:r w:rsidRPr="002C4077">
        <w:t xml:space="preserve"> </w:t>
      </w:r>
      <w:r>
        <w:t>non</w:t>
      </w:r>
      <w:r w:rsidRPr="002C4077">
        <w:t xml:space="preserve"> </w:t>
      </w:r>
      <w:r>
        <w:t>p</w:t>
      </w:r>
      <w:r w:rsidR="003B53FD">
        <w:t>óterit</w:t>
      </w:r>
      <w:r>
        <w:t>.</w:t>
      </w:r>
      <w:r w:rsidRPr="002C4077">
        <w:t xml:space="preserve"> </w:t>
      </w:r>
      <w:r>
        <w:t>Quarto</w:t>
      </w:r>
      <w:r w:rsidRPr="002C4077">
        <w:t xml:space="preserve"> </w:t>
      </w:r>
      <w:r w:rsidR="003B53FD">
        <w:t>décimo</w:t>
      </w:r>
      <w:r w:rsidRPr="002C4077">
        <w:t xml:space="preserve"> </w:t>
      </w:r>
      <w:r>
        <w:t>enim</w:t>
      </w:r>
      <w:r w:rsidRPr="002C4077">
        <w:t xml:space="preserve"> </w:t>
      </w:r>
      <w:r>
        <w:t>anno</w:t>
      </w:r>
      <w:r w:rsidRPr="002C4077">
        <w:t xml:space="preserve"> </w:t>
      </w:r>
      <w:r>
        <w:t>Achaz</w:t>
      </w:r>
      <w:r w:rsidRPr="002C4077">
        <w:t xml:space="preserve"> </w:t>
      </w:r>
      <w:r>
        <w:t>f</w:t>
      </w:r>
      <w:r w:rsidR="003B53FD">
        <w:t>ílii</w:t>
      </w:r>
      <w:r w:rsidRPr="002C4077">
        <w:t xml:space="preserve"> </w:t>
      </w:r>
      <w:r>
        <w:t>Joathan,</w:t>
      </w:r>
      <w:r w:rsidRPr="002C4077">
        <w:t xml:space="preserve"> </w:t>
      </w:r>
      <w:r>
        <w:t>in</w:t>
      </w:r>
      <w:r w:rsidRPr="002C4077">
        <w:t xml:space="preserve"> </w:t>
      </w:r>
      <w:r>
        <w:t>tribu</w:t>
      </w:r>
      <w:r w:rsidRPr="002C4077">
        <w:t xml:space="preserve"> </w:t>
      </w:r>
      <w:r>
        <w:t>Juda</w:t>
      </w:r>
      <w:r w:rsidRPr="002C4077">
        <w:t xml:space="preserve"> </w:t>
      </w:r>
      <w:r>
        <w:t>r</w:t>
      </w:r>
      <w:r w:rsidR="003B53FD">
        <w:t>egnávit</w:t>
      </w:r>
      <w:r w:rsidRPr="002C4077">
        <w:t xml:space="preserve"> </w:t>
      </w:r>
      <w:r>
        <w:t>Osee</w:t>
      </w:r>
      <w:r w:rsidRPr="002C4077">
        <w:t xml:space="preserve"> </w:t>
      </w:r>
      <w:r>
        <w:t>super</w:t>
      </w:r>
      <w:r w:rsidRPr="002C4077">
        <w:t xml:space="preserve"> </w:t>
      </w:r>
      <w:r w:rsidR="003B53FD">
        <w:t>Samaríam</w:t>
      </w:r>
      <w:r w:rsidRPr="002C4077">
        <w:t xml:space="preserve"> </w:t>
      </w:r>
      <w:r>
        <w:t>et</w:t>
      </w:r>
      <w:r w:rsidRPr="002C4077">
        <w:t xml:space="preserve"> </w:t>
      </w:r>
      <w:r>
        <w:t>nono</w:t>
      </w:r>
      <w:r w:rsidRPr="002C4077">
        <w:t xml:space="preserve"> </w:t>
      </w:r>
      <w:r>
        <w:t>anno</w:t>
      </w:r>
      <w:r w:rsidRPr="002C4077">
        <w:t xml:space="preserve"> </w:t>
      </w:r>
      <w:r>
        <w:t>imp</w:t>
      </w:r>
      <w:r w:rsidR="003B53FD">
        <w:t>érii</w:t>
      </w:r>
      <w:r w:rsidRPr="002C4077">
        <w:t xml:space="preserve"> </w:t>
      </w:r>
      <w:r>
        <w:t>sui</w:t>
      </w:r>
      <w:r w:rsidRPr="002C4077">
        <w:t xml:space="preserve"> </w:t>
      </w:r>
      <w:r>
        <w:t>captus</w:t>
      </w:r>
      <w:r w:rsidRPr="002C4077">
        <w:t xml:space="preserve"> </w:t>
      </w:r>
      <w:r w:rsidR="00425C50">
        <w:t>est</w:t>
      </w:r>
      <w:r>
        <w:t>.</w:t>
      </w:r>
      <w:r w:rsidRPr="002C4077">
        <w:t xml:space="preserve"> </w:t>
      </w:r>
      <w:r>
        <w:t>R</w:t>
      </w:r>
      <w:r w:rsidR="003B53FD">
        <w:t>egnávit</w:t>
      </w:r>
      <w:r w:rsidRPr="002C4077">
        <w:t xml:space="preserve"> </w:t>
      </w:r>
      <w:r>
        <w:t>a</w:t>
      </w:r>
      <w:r w:rsidR="001730C6">
        <w:t>ut</w:t>
      </w:r>
      <w:r>
        <w:t>em</w:t>
      </w:r>
      <w:r w:rsidRPr="002C4077">
        <w:t xml:space="preserve"> </w:t>
      </w:r>
      <w:r>
        <w:t>Achaz</w:t>
      </w:r>
      <w:r w:rsidRPr="002C4077">
        <w:t xml:space="preserve"> </w:t>
      </w:r>
      <w:r>
        <w:t>super</w:t>
      </w:r>
      <w:r w:rsidRPr="002C4077">
        <w:t xml:space="preserve"> </w:t>
      </w:r>
      <w:r>
        <w:t>Judam</w:t>
      </w:r>
      <w:r w:rsidRPr="002C4077">
        <w:t xml:space="preserve"> </w:t>
      </w:r>
      <w:r>
        <w:t>annos</w:t>
      </w:r>
      <w:r w:rsidRPr="002C4077">
        <w:t xml:space="preserve"> </w:t>
      </w:r>
      <w:r>
        <w:t>s</w:t>
      </w:r>
      <w:r w:rsidR="003B53FD">
        <w:t>édecim</w:t>
      </w:r>
      <w:r>
        <w:t>,</w:t>
      </w:r>
      <w:r w:rsidRPr="002C4077">
        <w:t xml:space="preserve"> </w:t>
      </w:r>
      <w:r>
        <w:t>post</w:t>
      </w:r>
      <w:r w:rsidRPr="002C4077">
        <w:t xml:space="preserve"> </w:t>
      </w:r>
      <w:r>
        <w:t>cujus</w:t>
      </w:r>
      <w:r w:rsidRPr="002C4077">
        <w:t xml:space="preserve"> </w:t>
      </w:r>
      <w:r>
        <w:t>mo</w:t>
      </w:r>
      <w:r w:rsidR="001730C6">
        <w:t>rt</w:t>
      </w:r>
      <w:r>
        <w:t>em</w:t>
      </w:r>
      <w:r w:rsidRPr="002C4077">
        <w:t xml:space="preserve"> </w:t>
      </w:r>
      <w:r>
        <w:t>septimo</w:t>
      </w:r>
      <w:r w:rsidRPr="002C4077">
        <w:t xml:space="preserve"> </w:t>
      </w:r>
      <w:r>
        <w:t>anno</w:t>
      </w:r>
      <w:r w:rsidRPr="002C4077">
        <w:t xml:space="preserve"> </w:t>
      </w:r>
      <w:r>
        <w:t>imp</w:t>
      </w:r>
      <w:r w:rsidR="003B53FD">
        <w:t>érii</w:t>
      </w:r>
      <w:r w:rsidRPr="002C4077">
        <w:t xml:space="preserve"> </w:t>
      </w:r>
      <w:r>
        <w:t>sui</w:t>
      </w:r>
      <w:r w:rsidRPr="002C4077">
        <w:t xml:space="preserve"> </w:t>
      </w:r>
      <w:r>
        <w:t>captus</w:t>
      </w:r>
      <w:r w:rsidRPr="002C4077">
        <w:t xml:space="preserve"> </w:t>
      </w:r>
      <w:r w:rsidR="00425C50">
        <w:t>est</w:t>
      </w:r>
      <w:r w:rsidRPr="002C4077">
        <w:t xml:space="preserve"> </w:t>
      </w:r>
      <w:r>
        <w:t>Osee</w:t>
      </w:r>
      <w:r w:rsidRPr="002C4077">
        <w:t xml:space="preserve"> </w:t>
      </w:r>
      <w:r>
        <w:t>et</w:t>
      </w:r>
      <w:r w:rsidRPr="002C4077">
        <w:t xml:space="preserve"> </w:t>
      </w:r>
      <w:r w:rsidR="001E7758">
        <w:t>destrúcta</w:t>
      </w:r>
      <w:r w:rsidRPr="002C4077">
        <w:t xml:space="preserve"> </w:t>
      </w:r>
      <w:r w:rsidR="003B53FD">
        <w:t>Samaría</w:t>
      </w:r>
      <w:r>
        <w:t>,</w:t>
      </w:r>
      <w:r w:rsidRPr="002C4077">
        <w:t xml:space="preserve"> </w:t>
      </w:r>
      <w:r w:rsidR="001E7758">
        <w:t>omnísque</w:t>
      </w:r>
      <w:r w:rsidRPr="002C4077">
        <w:t xml:space="preserve"> </w:t>
      </w:r>
      <w:r>
        <w:t>p</w:t>
      </w:r>
      <w:r w:rsidR="003B53FD">
        <w:t>ópulus</w:t>
      </w:r>
      <w:r w:rsidRPr="002C4077">
        <w:t xml:space="preserve"> </w:t>
      </w:r>
      <w:r w:rsidR="00425C50">
        <w:t>est</w:t>
      </w:r>
      <w:r w:rsidRPr="002C4077">
        <w:t xml:space="preserve"> </w:t>
      </w:r>
      <w:r>
        <w:t>trad</w:t>
      </w:r>
      <w:r w:rsidR="001E7758">
        <w:t>ú</w:t>
      </w:r>
      <w:r>
        <w:t>ctus</w:t>
      </w:r>
      <w:r w:rsidRPr="002C4077">
        <w:t xml:space="preserve"> </w:t>
      </w:r>
      <w:r>
        <w:t>in</w:t>
      </w:r>
      <w:r w:rsidRPr="002C4077">
        <w:t xml:space="preserve"> </w:t>
      </w:r>
      <w:r>
        <w:t>Medos</w:t>
      </w:r>
      <w:r w:rsidR="00B546AF">
        <w:t> ;</w:t>
      </w:r>
      <w:r w:rsidRPr="002C4077">
        <w:t xml:space="preserve"> </w:t>
      </w:r>
      <w:r>
        <w:t>ita</w:t>
      </w:r>
      <w:r w:rsidRPr="002C4077">
        <w:t xml:space="preserve"> </w:t>
      </w:r>
      <w:r>
        <w:t>ut</w:t>
      </w:r>
      <w:r w:rsidRPr="002C4077">
        <w:t xml:space="preserve"> </w:t>
      </w:r>
      <w:r>
        <w:t>si</w:t>
      </w:r>
      <w:r w:rsidRPr="002C4077">
        <w:t xml:space="preserve"> </w:t>
      </w:r>
      <w:r w:rsidR="001E7758">
        <w:t>voluérimus</w:t>
      </w:r>
      <w:r w:rsidRPr="002C4077">
        <w:t xml:space="preserve"> </w:t>
      </w:r>
      <w:r>
        <w:t>s</w:t>
      </w:r>
      <w:r w:rsidR="003B53FD">
        <w:t>édecim</w:t>
      </w:r>
      <w:r w:rsidRPr="002C4077">
        <w:t xml:space="preserve"> </w:t>
      </w:r>
      <w:r>
        <w:t>annis</w:t>
      </w:r>
      <w:r w:rsidRPr="002C4077">
        <w:t xml:space="preserve"> </w:t>
      </w:r>
      <w:r>
        <w:t>Achaz</w:t>
      </w:r>
      <w:r w:rsidRPr="002C4077">
        <w:t xml:space="preserve"> </w:t>
      </w:r>
      <w:r>
        <w:t>et</w:t>
      </w:r>
      <w:r w:rsidRPr="002C4077">
        <w:t xml:space="preserve"> </w:t>
      </w:r>
      <w:r>
        <w:t>septem</w:t>
      </w:r>
      <w:r w:rsidRPr="002C4077">
        <w:t xml:space="preserve"> </w:t>
      </w:r>
      <w:r>
        <w:t>Oseæ</w:t>
      </w:r>
      <w:r w:rsidRPr="002C4077">
        <w:t xml:space="preserve"> </w:t>
      </w:r>
      <w:r w:rsidR="001E7758">
        <w:t>pónere</w:t>
      </w:r>
      <w:r>
        <w:t>,</w:t>
      </w:r>
      <w:r w:rsidRPr="002C4077">
        <w:t xml:space="preserve"> </w:t>
      </w:r>
      <w:r>
        <w:t>ef</w:t>
      </w:r>
      <w:r w:rsidR="001E7758">
        <w:t>fi</w:t>
      </w:r>
      <w:r w:rsidR="003B53FD">
        <w:t>ciántur</w:t>
      </w:r>
      <w:r w:rsidRPr="002C4077">
        <w:t xml:space="preserve"> </w:t>
      </w:r>
      <w:r>
        <w:t>anni</w:t>
      </w:r>
      <w:r w:rsidRPr="002C4077">
        <w:t xml:space="preserve"> </w:t>
      </w:r>
      <w:r>
        <w:t>XXI…,</w:t>
      </w:r>
      <w:r w:rsidRPr="002C4077">
        <w:t xml:space="preserve"> </w:t>
      </w:r>
      <w:r>
        <w:t>et</w:t>
      </w:r>
      <w:r w:rsidRPr="002C4077">
        <w:t xml:space="preserve"> </w:t>
      </w:r>
      <w:r>
        <w:t>ubi</w:t>
      </w:r>
      <w:r w:rsidRPr="002C4077">
        <w:t xml:space="preserve"> </w:t>
      </w:r>
      <w:r w:rsidR="003B53FD">
        <w:t>erunt</w:t>
      </w:r>
      <w:r w:rsidRPr="002C4077">
        <w:t xml:space="preserve"> </w:t>
      </w:r>
      <w:r>
        <w:t>LXV</w:t>
      </w:r>
      <w:r w:rsidRPr="002C4077">
        <w:t xml:space="preserve"> </w:t>
      </w:r>
      <w:r>
        <w:t>anni,</w:t>
      </w:r>
      <w:r w:rsidRPr="002C4077">
        <w:t xml:space="preserve"> </w:t>
      </w:r>
      <w:r>
        <w:t>in</w:t>
      </w:r>
      <w:r w:rsidRPr="002C4077">
        <w:t xml:space="preserve"> </w:t>
      </w:r>
      <w:r>
        <w:t>quibus</w:t>
      </w:r>
      <w:r w:rsidRPr="002C4077">
        <w:t xml:space="preserve"> </w:t>
      </w:r>
      <w:r>
        <w:t>regnum</w:t>
      </w:r>
      <w:r w:rsidRPr="002C4077">
        <w:t xml:space="preserve"> </w:t>
      </w:r>
      <w:r>
        <w:t>Israël</w:t>
      </w:r>
      <w:r w:rsidRPr="002C4077">
        <w:t xml:space="preserve"> </w:t>
      </w:r>
      <w:r>
        <w:t>d</w:t>
      </w:r>
      <w:r w:rsidR="003B53FD">
        <w:t>ícitur</w:t>
      </w:r>
      <w:r w:rsidRPr="002C4077">
        <w:t xml:space="preserve"> </w:t>
      </w:r>
      <w:r>
        <w:t>f</w:t>
      </w:r>
      <w:r w:rsidR="003B53FD">
        <w:t>iniéndum</w:t>
      </w:r>
      <w:r w:rsidR="00B546AF">
        <w:t> ?</w:t>
      </w:r>
      <w:r w:rsidR="00B91AF7">
        <w:rPr>
          <w:rStyle w:val="Appelnotedebasdep"/>
        </w:rPr>
        <w:footnoteReference w:id="40"/>
      </w:r>
      <w:r w:rsidR="00B546AF">
        <w:t> »</w:t>
      </w:r>
      <w:r w:rsidR="00C45B47">
        <w:t xml:space="preserve"> {</w:t>
      </w:r>
      <w:r w:rsidR="000721C4">
        <w:t>13</w:t>
      </w:r>
      <w:bookmarkStart w:id="55" w:name="p013"/>
      <w:bookmarkEnd w:id="55"/>
      <w:r w:rsidR="000721C4">
        <w:t xml:space="preserve">} </w:t>
      </w:r>
      <w:r>
        <w:t>Le</w:t>
      </w:r>
      <w:r w:rsidRPr="002C4077">
        <w:t xml:space="preserve"> </w:t>
      </w:r>
      <w:r>
        <w:t>savant</w:t>
      </w:r>
      <w:r w:rsidRPr="002C4077">
        <w:t xml:space="preserve"> </w:t>
      </w:r>
      <w:r>
        <w:t>et</w:t>
      </w:r>
      <w:r w:rsidRPr="002C4077">
        <w:t xml:space="preserve"> </w:t>
      </w:r>
      <w:r>
        <w:t>saint</w:t>
      </w:r>
      <w:r w:rsidRPr="002C4077">
        <w:t xml:space="preserve"> </w:t>
      </w:r>
      <w:r>
        <w:t>docteur</w:t>
      </w:r>
      <w:r w:rsidRPr="002C4077">
        <w:t xml:space="preserve"> </w:t>
      </w:r>
      <w:r>
        <w:t>se</w:t>
      </w:r>
      <w:r w:rsidRPr="002C4077">
        <w:t xml:space="preserve"> </w:t>
      </w:r>
      <w:r w:rsidR="001E7758">
        <w:t>hâtera</w:t>
      </w:r>
      <w:r>
        <w:t>-t-il</w:t>
      </w:r>
      <w:r w:rsidRPr="002C4077">
        <w:t xml:space="preserve"> </w:t>
      </w:r>
      <w:r>
        <w:t>de</w:t>
      </w:r>
      <w:r w:rsidRPr="002C4077">
        <w:t xml:space="preserve"> </w:t>
      </w:r>
      <w:r>
        <w:t>conclure</w:t>
      </w:r>
      <w:r w:rsidRPr="002C4077">
        <w:t xml:space="preserve"> </w:t>
      </w:r>
      <w:r>
        <w:t>que</w:t>
      </w:r>
      <w:r w:rsidRPr="002C4077">
        <w:t xml:space="preserve"> </w:t>
      </w:r>
      <w:r>
        <w:t>ce</w:t>
      </w:r>
      <w:r w:rsidRPr="002C4077">
        <w:t xml:space="preserve"> </w:t>
      </w:r>
      <w:r>
        <w:t>passage</w:t>
      </w:r>
      <w:r w:rsidRPr="002C4077">
        <w:t xml:space="preserve"> </w:t>
      </w:r>
      <w:r w:rsidR="00425C50">
        <w:t>est</w:t>
      </w:r>
      <w:r w:rsidRPr="002C4077">
        <w:t xml:space="preserve"> </w:t>
      </w:r>
      <w:r w:rsidRPr="000A34B5">
        <w:rPr>
          <w:rStyle w:val="italicus"/>
        </w:rPr>
        <w:t>gegen</w:t>
      </w:r>
      <w:r w:rsidRPr="002C4077">
        <w:t xml:space="preserve"> </w:t>
      </w:r>
      <w:r w:rsidRPr="000A34B5">
        <w:rPr>
          <w:rStyle w:val="italicus"/>
        </w:rPr>
        <w:t>aile</w:t>
      </w:r>
      <w:r w:rsidRPr="002C4077">
        <w:t xml:space="preserve"> </w:t>
      </w:r>
      <w:r w:rsidRPr="000A34B5">
        <w:rPr>
          <w:rStyle w:val="italicus"/>
        </w:rPr>
        <w:t>Geschichte</w:t>
      </w:r>
      <w:r w:rsidRPr="004440EA">
        <w:t xml:space="preserve"> (</w:t>
      </w:r>
      <w:r>
        <w:t>contre</w:t>
      </w:r>
      <w:r w:rsidRPr="002C4077">
        <w:t xml:space="preserve"> </w:t>
      </w:r>
      <w:r>
        <w:t>toute</w:t>
      </w:r>
      <w:r w:rsidRPr="002C4077">
        <w:t xml:space="preserve"> </w:t>
      </w:r>
      <w:r>
        <w:t>l’histoire</w:t>
      </w:r>
      <w:r w:rsidR="00B546AF" w:rsidRPr="002C4077">
        <w:t>)</w:t>
      </w:r>
      <w:r w:rsidR="00B546AF" w:rsidRPr="00950016">
        <w:t> </w:t>
      </w:r>
      <w:r w:rsidR="00B546AF">
        <w:t>?</w:t>
      </w:r>
      <w:r w:rsidR="00B91AF7">
        <w:rPr>
          <w:rStyle w:val="Appelnotedebasdep"/>
        </w:rPr>
        <w:footnoteReference w:id="41"/>
      </w:r>
      <w:r w:rsidRPr="002C4077">
        <w:t xml:space="preserve"> </w:t>
      </w:r>
      <w:r>
        <w:t>Non,</w:t>
      </w:r>
      <w:r w:rsidRPr="002C4077">
        <w:t xml:space="preserve"> </w:t>
      </w:r>
      <w:r>
        <w:t>mais</w:t>
      </w:r>
      <w:r w:rsidRPr="002C4077">
        <w:t xml:space="preserve"> </w:t>
      </w:r>
      <w:r>
        <w:t>il</w:t>
      </w:r>
      <w:r w:rsidRPr="002C4077">
        <w:t xml:space="preserve"> </w:t>
      </w:r>
      <w:r>
        <w:t>étudiera</w:t>
      </w:r>
      <w:r w:rsidRPr="002C4077">
        <w:t xml:space="preserve"> </w:t>
      </w:r>
      <w:r>
        <w:t>la</w:t>
      </w:r>
      <w:r w:rsidRPr="002C4077">
        <w:t xml:space="preserve"> </w:t>
      </w:r>
      <w:r>
        <w:t>difficulté</w:t>
      </w:r>
      <w:r w:rsidRPr="002C4077">
        <w:t xml:space="preserve"> </w:t>
      </w:r>
      <w:r>
        <w:t>très</w:t>
      </w:r>
      <w:r w:rsidRPr="002C4077">
        <w:t xml:space="preserve"> </w:t>
      </w:r>
      <w:r>
        <w:t>à</w:t>
      </w:r>
      <w:r w:rsidRPr="002C4077">
        <w:t xml:space="preserve"> </w:t>
      </w:r>
      <w:r>
        <w:t>fond</w:t>
      </w:r>
      <w:r w:rsidR="00B546AF">
        <w:t> ;</w:t>
      </w:r>
      <w:r w:rsidRPr="002C4077">
        <w:t xml:space="preserve"> </w:t>
      </w:r>
      <w:r>
        <w:t>puis,</w:t>
      </w:r>
      <w:r w:rsidRPr="002C4077">
        <w:t xml:space="preserve"> </w:t>
      </w:r>
      <w:r>
        <w:t>il</w:t>
      </w:r>
      <w:r w:rsidRPr="002C4077">
        <w:t xml:space="preserve"> </w:t>
      </w:r>
      <w:r>
        <w:t>proposera</w:t>
      </w:r>
      <w:r w:rsidRPr="002C4077">
        <w:t xml:space="preserve"> </w:t>
      </w:r>
      <w:r>
        <w:t>une</w:t>
      </w:r>
      <w:r w:rsidRPr="002C4077">
        <w:t xml:space="preserve"> </w:t>
      </w:r>
      <w:r>
        <w:t>solution</w:t>
      </w:r>
      <w:r w:rsidRPr="002C4077">
        <w:t xml:space="preserve"> </w:t>
      </w:r>
      <w:r>
        <w:t>que</w:t>
      </w:r>
      <w:r w:rsidRPr="002C4077">
        <w:t xml:space="preserve"> </w:t>
      </w:r>
      <w:r>
        <w:t>lui</w:t>
      </w:r>
      <w:r w:rsidRPr="002C4077">
        <w:t xml:space="preserve"> </w:t>
      </w:r>
      <w:r>
        <w:t>avaient</w:t>
      </w:r>
      <w:r w:rsidRPr="002C4077">
        <w:t xml:space="preserve"> </w:t>
      </w:r>
      <w:r>
        <w:t>suggérée</w:t>
      </w:r>
      <w:r w:rsidRPr="002C4077">
        <w:t xml:space="preserve"> </w:t>
      </w:r>
      <w:r>
        <w:t>les</w:t>
      </w:r>
      <w:r w:rsidRPr="002C4077">
        <w:t xml:space="preserve"> </w:t>
      </w:r>
      <w:r>
        <w:t>rabbins.</w:t>
      </w:r>
      <w:r w:rsidRPr="002C4077">
        <w:t xml:space="preserve"> </w:t>
      </w:r>
      <w:r w:rsidR="00B546AF">
        <w:t>« </w:t>
      </w:r>
      <w:r>
        <w:t>Igitur</w:t>
      </w:r>
      <w:r w:rsidRPr="002C4077">
        <w:t xml:space="preserve"> </w:t>
      </w:r>
      <w:r>
        <w:t>H</w:t>
      </w:r>
      <w:r w:rsidR="003B53FD">
        <w:t>ebrǽi</w:t>
      </w:r>
      <w:r w:rsidRPr="002C4077">
        <w:t xml:space="preserve"> </w:t>
      </w:r>
      <w:r>
        <w:t>hunc</w:t>
      </w:r>
      <w:r w:rsidRPr="002C4077">
        <w:t xml:space="preserve"> </w:t>
      </w:r>
      <w:r>
        <w:t>l</w:t>
      </w:r>
      <w:r w:rsidR="001E7758">
        <w:t>o</w:t>
      </w:r>
      <w:r w:rsidR="001730C6">
        <w:t>c</w:t>
      </w:r>
      <w:r>
        <w:t>um</w:t>
      </w:r>
      <w:r w:rsidRPr="002C4077">
        <w:t xml:space="preserve"> </w:t>
      </w:r>
      <w:r>
        <w:t>ita</w:t>
      </w:r>
      <w:r w:rsidRPr="002C4077">
        <w:t xml:space="preserve"> </w:t>
      </w:r>
      <w:r>
        <w:t>ediss</w:t>
      </w:r>
      <w:r w:rsidR="003B53FD">
        <w:t>érunt</w:t>
      </w:r>
      <w:r>
        <w:t>,</w:t>
      </w:r>
      <w:r w:rsidRPr="002C4077">
        <w:t xml:space="preserve"> </w:t>
      </w:r>
      <w:r>
        <w:t>ut</w:t>
      </w:r>
      <w:r w:rsidRPr="002C4077">
        <w:t xml:space="preserve"> </w:t>
      </w:r>
      <w:r>
        <w:t>Amos</w:t>
      </w:r>
      <w:r w:rsidRPr="002C4077">
        <w:t xml:space="preserve"> </w:t>
      </w:r>
      <w:r>
        <w:t>primus</w:t>
      </w:r>
      <w:r w:rsidRPr="002C4077">
        <w:t xml:space="preserve"> </w:t>
      </w:r>
      <w:r>
        <w:t>prophet</w:t>
      </w:r>
      <w:r w:rsidR="003B53FD">
        <w:t>áverit</w:t>
      </w:r>
      <w:r w:rsidRPr="002C4077">
        <w:t xml:space="preserve"> </w:t>
      </w:r>
      <w:r>
        <w:t>contra</w:t>
      </w:r>
      <w:r w:rsidRPr="002C4077">
        <w:t xml:space="preserve"> </w:t>
      </w:r>
      <w:r>
        <w:t>Israël…</w:t>
      </w:r>
      <w:r w:rsidR="00B546AF">
        <w:t> ;</w:t>
      </w:r>
      <w:r w:rsidRPr="002C4077">
        <w:t xml:space="preserve"> </w:t>
      </w:r>
      <w:r>
        <w:t>volunt</w:t>
      </w:r>
      <w:r w:rsidRPr="002C4077">
        <w:t xml:space="preserve"> </w:t>
      </w:r>
      <w:r>
        <w:t>autem</w:t>
      </w:r>
      <w:r w:rsidRPr="002C4077">
        <w:t xml:space="preserve"> </w:t>
      </w:r>
      <w:r>
        <w:t>annum</w:t>
      </w:r>
      <w:r w:rsidRPr="002C4077">
        <w:t xml:space="preserve"> </w:t>
      </w:r>
      <w:r w:rsidR="003B53FD">
        <w:t>fuísse</w:t>
      </w:r>
      <w:r w:rsidRPr="002C4077">
        <w:t xml:space="preserve"> </w:t>
      </w:r>
      <w:r>
        <w:t>vig</w:t>
      </w:r>
      <w:r w:rsidR="003B53FD">
        <w:t>ésimum</w:t>
      </w:r>
      <w:r w:rsidRPr="002C4077">
        <w:t xml:space="preserve"> </w:t>
      </w:r>
      <w:r>
        <w:t>qui</w:t>
      </w:r>
      <w:r w:rsidR="001730C6">
        <w:t>nt</w:t>
      </w:r>
      <w:r>
        <w:t>um</w:t>
      </w:r>
      <w:r w:rsidRPr="002C4077">
        <w:t xml:space="preserve"> </w:t>
      </w:r>
      <w:r>
        <w:t>Oseæ</w:t>
      </w:r>
      <w:r w:rsidRPr="002C4077">
        <w:t xml:space="preserve"> </w:t>
      </w:r>
      <w:r>
        <w:t>quando</w:t>
      </w:r>
      <w:r w:rsidRPr="002C4077">
        <w:t xml:space="preserve"> </w:t>
      </w:r>
      <w:r>
        <w:t>hæc</w:t>
      </w:r>
      <w:r w:rsidRPr="002C4077">
        <w:t xml:space="preserve"> </w:t>
      </w:r>
      <w:r>
        <w:t>accid</w:t>
      </w:r>
      <w:r w:rsidR="003B53FD">
        <w:t>érunt</w:t>
      </w:r>
      <w:r w:rsidR="00B546AF">
        <w:t> »</w:t>
      </w:r>
      <w:r>
        <w:t>.</w:t>
      </w:r>
      <w:r w:rsidRPr="002C4077">
        <w:t xml:space="preserve"> </w:t>
      </w:r>
      <w:r>
        <w:t>D’après</w:t>
      </w:r>
      <w:r w:rsidRPr="002C4077">
        <w:t xml:space="preserve"> </w:t>
      </w:r>
      <w:r>
        <w:t>ce</w:t>
      </w:r>
      <w:r w:rsidRPr="002C4077">
        <w:t xml:space="preserve"> </w:t>
      </w:r>
      <w:r>
        <w:t>système,</w:t>
      </w:r>
      <w:r w:rsidRPr="002C4077">
        <w:t xml:space="preserve"> </w:t>
      </w:r>
      <w:r>
        <w:t>soutenu</w:t>
      </w:r>
      <w:r w:rsidRPr="002C4077">
        <w:t xml:space="preserve"> </w:t>
      </w:r>
      <w:r>
        <w:t>plus</w:t>
      </w:r>
      <w:r w:rsidRPr="002C4077">
        <w:t xml:space="preserve"> </w:t>
      </w:r>
      <w:r>
        <w:t>ta</w:t>
      </w:r>
      <w:r w:rsidR="00F57C0F">
        <w:t>rd</w:t>
      </w:r>
      <w:r w:rsidR="00F57C0F" w:rsidRPr="002C4077">
        <w:t xml:space="preserve"> </w:t>
      </w:r>
      <w:r w:rsidR="00F57C0F">
        <w:t>par</w:t>
      </w:r>
      <w:r w:rsidR="00F57C0F" w:rsidRPr="002C4077">
        <w:t xml:space="preserve"> </w:t>
      </w:r>
      <w:r w:rsidR="00F57C0F">
        <w:lastRenderedPageBreak/>
        <w:t>d’autres</w:t>
      </w:r>
      <w:r w:rsidR="00F57C0F" w:rsidRPr="002C4077">
        <w:t xml:space="preserve"> </w:t>
      </w:r>
      <w:r w:rsidR="00F57C0F">
        <w:t>écrivains</w:t>
      </w:r>
      <w:r w:rsidR="00F57C0F" w:rsidRPr="002C4077">
        <w:t xml:space="preserve"> </w:t>
      </w:r>
      <w:r w:rsidR="00F57C0F">
        <w:t>juifs</w:t>
      </w:r>
      <w:r w:rsidR="00F57C0F">
        <w:rPr>
          <w:rStyle w:val="Appelnotedebasdep"/>
        </w:rPr>
        <w:footnoteReference w:id="42"/>
      </w:r>
      <w:r w:rsidRPr="002C4077">
        <w:t xml:space="preserve"> </w:t>
      </w:r>
      <w:r>
        <w:t>et</w:t>
      </w:r>
      <w:r w:rsidRPr="002C4077">
        <w:t xml:space="preserve"> </w:t>
      </w:r>
      <w:r>
        <w:t>par</w:t>
      </w:r>
      <w:r w:rsidRPr="002C4077">
        <w:t xml:space="preserve"> </w:t>
      </w:r>
      <w:r>
        <w:t>plusieurs</w:t>
      </w:r>
      <w:r w:rsidRPr="002C4077">
        <w:t xml:space="preserve"> </w:t>
      </w:r>
      <w:r>
        <w:t>de</w:t>
      </w:r>
      <w:r w:rsidRPr="002C4077">
        <w:t xml:space="preserve"> </w:t>
      </w:r>
      <w:r>
        <w:t>nos</w:t>
      </w:r>
      <w:r w:rsidRPr="002C4077">
        <w:t xml:space="preserve"> </w:t>
      </w:r>
      <w:r>
        <w:t>meilleurs</w:t>
      </w:r>
      <w:r w:rsidRPr="002C4077">
        <w:t xml:space="preserve"> </w:t>
      </w:r>
      <w:r>
        <w:t>exégètes</w:t>
      </w:r>
      <w:r w:rsidRPr="002C4077">
        <w:t xml:space="preserve"> </w:t>
      </w:r>
      <w:r>
        <w:t>catholiques</w:t>
      </w:r>
      <w:r w:rsidR="00B91AF7">
        <w:rPr>
          <w:rStyle w:val="Appelnotedebasdep"/>
        </w:rPr>
        <w:footnoteReference w:id="43"/>
      </w:r>
      <w:r>
        <w:t>,</w:t>
      </w:r>
      <w:r w:rsidRPr="002C4077">
        <w:t xml:space="preserve"> </w:t>
      </w:r>
      <w:r>
        <w:t>il</w:t>
      </w:r>
      <w:r w:rsidRPr="002C4077">
        <w:t xml:space="preserve"> </w:t>
      </w:r>
      <w:r>
        <w:t>faudrait</w:t>
      </w:r>
      <w:r w:rsidRPr="002C4077">
        <w:t xml:space="preserve"> </w:t>
      </w:r>
      <w:r>
        <w:t>donc</w:t>
      </w:r>
      <w:r w:rsidRPr="002C4077">
        <w:t xml:space="preserve"> </w:t>
      </w:r>
      <w:r>
        <w:t>prendre</w:t>
      </w:r>
      <w:r w:rsidRPr="002C4077">
        <w:t xml:space="preserve"> </w:t>
      </w:r>
      <w:r>
        <w:t>comme</w:t>
      </w:r>
      <w:r w:rsidRPr="002C4077">
        <w:t xml:space="preserve"> </w:t>
      </w:r>
      <w:r>
        <w:t>point</w:t>
      </w:r>
      <w:r w:rsidRPr="002C4077">
        <w:t xml:space="preserve"> </w:t>
      </w:r>
      <w:r>
        <w:t>de</w:t>
      </w:r>
      <w:r w:rsidRPr="002C4077">
        <w:t xml:space="preserve"> </w:t>
      </w:r>
      <w:r>
        <w:t>départ</w:t>
      </w:r>
      <w:r w:rsidRPr="002C4077">
        <w:t xml:space="preserve"> </w:t>
      </w:r>
      <w:r>
        <w:t>des</w:t>
      </w:r>
      <w:r w:rsidRPr="002C4077">
        <w:t xml:space="preserve"> </w:t>
      </w:r>
      <w:r>
        <w:t>soixante-cinq</w:t>
      </w:r>
      <w:r w:rsidRPr="002C4077">
        <w:t xml:space="preserve"> </w:t>
      </w:r>
      <w:r>
        <w:t>ans</w:t>
      </w:r>
      <w:r w:rsidRPr="002C4077">
        <w:t xml:space="preserve"> </w:t>
      </w:r>
      <w:r>
        <w:t>la</w:t>
      </w:r>
      <w:r w:rsidRPr="002C4077">
        <w:t xml:space="preserve"> </w:t>
      </w:r>
      <w:r>
        <w:t>première</w:t>
      </w:r>
      <w:r w:rsidRPr="002C4077">
        <w:t xml:space="preserve"> </w:t>
      </w:r>
      <w:r>
        <w:t>de</w:t>
      </w:r>
      <w:r w:rsidRPr="002C4077">
        <w:t xml:space="preserve"> </w:t>
      </w:r>
      <w:r>
        <w:t>toutes</w:t>
      </w:r>
      <w:r w:rsidRPr="002C4077">
        <w:t xml:space="preserve"> </w:t>
      </w:r>
      <w:r>
        <w:t>les</w:t>
      </w:r>
      <w:r w:rsidRPr="002C4077">
        <w:t xml:space="preserve"> </w:t>
      </w:r>
      <w:r>
        <w:t>prophéties</w:t>
      </w:r>
      <w:r w:rsidRPr="002C4077">
        <w:t xml:space="preserve"> </w:t>
      </w:r>
      <w:r>
        <w:t>dirigées</w:t>
      </w:r>
      <w:r w:rsidRPr="002C4077">
        <w:t xml:space="preserve"> </w:t>
      </w:r>
      <w:r>
        <w:t>contre</w:t>
      </w:r>
      <w:r w:rsidRPr="002C4077">
        <w:t xml:space="preserve"> </w:t>
      </w:r>
      <w:r>
        <w:t>le</w:t>
      </w:r>
      <w:r w:rsidRPr="002C4077">
        <w:t xml:space="preserve"> </w:t>
      </w:r>
      <w:r>
        <w:t>royaume</w:t>
      </w:r>
      <w:r w:rsidRPr="002C4077">
        <w:t xml:space="preserve"> </w:t>
      </w:r>
      <w:r>
        <w:t>d’Israël,</w:t>
      </w:r>
      <w:r w:rsidRPr="002C4077">
        <w:t xml:space="preserve"> </w:t>
      </w:r>
      <w:r>
        <w:t>celle</w:t>
      </w:r>
      <w:r w:rsidRPr="002C4077">
        <w:t xml:space="preserve"> </w:t>
      </w:r>
      <w:r>
        <w:t>d’Amos,</w:t>
      </w:r>
      <w:r w:rsidRPr="002C4077">
        <w:t xml:space="preserve"> </w:t>
      </w:r>
      <w:r>
        <w:t>VII,</w:t>
      </w:r>
      <w:r w:rsidRPr="002C4077">
        <w:t xml:space="preserve"> </w:t>
      </w:r>
      <w:r>
        <w:t>11-17,</w:t>
      </w:r>
      <w:r w:rsidRPr="002C4077">
        <w:t xml:space="preserve"> </w:t>
      </w:r>
      <w:r>
        <w:t>qui</w:t>
      </w:r>
      <w:r w:rsidRPr="002C4077">
        <w:t xml:space="preserve"> </w:t>
      </w:r>
      <w:r>
        <w:t>semble</w:t>
      </w:r>
      <w:r w:rsidRPr="002C4077">
        <w:t xml:space="preserve"> </w:t>
      </w:r>
      <w:r>
        <w:t>avoir</w:t>
      </w:r>
      <w:r w:rsidRPr="002C4077">
        <w:t xml:space="preserve"> </w:t>
      </w:r>
      <w:r>
        <w:t>été</w:t>
      </w:r>
      <w:r w:rsidRPr="002C4077">
        <w:t xml:space="preserve"> </w:t>
      </w:r>
      <w:r>
        <w:t>prononcée</w:t>
      </w:r>
      <w:r w:rsidRPr="002C4077">
        <w:t xml:space="preserve"> </w:t>
      </w:r>
      <w:r>
        <w:t>pendant</w:t>
      </w:r>
      <w:r w:rsidRPr="002C4077">
        <w:t xml:space="preserve"> </w:t>
      </w:r>
      <w:r>
        <w:t>la</w:t>
      </w:r>
      <w:r w:rsidRPr="002C4077">
        <w:t xml:space="preserve"> </w:t>
      </w:r>
      <w:r>
        <w:t>vingt-ci</w:t>
      </w:r>
      <w:r w:rsidR="001730C6">
        <w:t>nq</w:t>
      </w:r>
      <w:r>
        <w:t>uième</w:t>
      </w:r>
      <w:r w:rsidRPr="002C4077">
        <w:t xml:space="preserve"> </w:t>
      </w:r>
      <w:r>
        <w:t>année</w:t>
      </w:r>
      <w:r w:rsidRPr="002C4077">
        <w:t xml:space="preserve"> </w:t>
      </w:r>
      <w:r>
        <w:t>du</w:t>
      </w:r>
      <w:r w:rsidRPr="002C4077">
        <w:t xml:space="preserve"> </w:t>
      </w:r>
      <w:r>
        <w:t>règne</w:t>
      </w:r>
      <w:r w:rsidRPr="002C4077">
        <w:t xml:space="preserve"> </w:t>
      </w:r>
      <w:r>
        <w:t>d’Osée.</w:t>
      </w:r>
      <w:r w:rsidRPr="002C4077">
        <w:t xml:space="preserve"> </w:t>
      </w:r>
      <w:r>
        <w:t>Partant</w:t>
      </w:r>
      <w:r w:rsidRPr="002C4077">
        <w:t xml:space="preserve"> </w:t>
      </w:r>
      <w:r>
        <w:t>de</w:t>
      </w:r>
      <w:r w:rsidRPr="002C4077">
        <w:t xml:space="preserve"> </w:t>
      </w:r>
      <w:r>
        <w:t>là,</w:t>
      </w:r>
      <w:r w:rsidRPr="002C4077">
        <w:t xml:space="preserve"> </w:t>
      </w:r>
      <w:r>
        <w:t>si</w:t>
      </w:r>
      <w:r w:rsidRPr="002C4077">
        <w:t xml:space="preserve"> </w:t>
      </w:r>
      <w:r>
        <w:t>l’on</w:t>
      </w:r>
      <w:r w:rsidRPr="002C4077">
        <w:t xml:space="preserve"> </w:t>
      </w:r>
      <w:r>
        <w:t>additionne</w:t>
      </w:r>
      <w:r w:rsidRPr="002C4077">
        <w:t xml:space="preserve"> </w:t>
      </w:r>
      <w:r>
        <w:t>les</w:t>
      </w:r>
      <w:r w:rsidRPr="002C4077">
        <w:t xml:space="preserve"> </w:t>
      </w:r>
      <w:r>
        <w:t>vingt-sept</w:t>
      </w:r>
      <w:r w:rsidRPr="002C4077">
        <w:t xml:space="preserve"> </w:t>
      </w:r>
      <w:r>
        <w:t>ans</w:t>
      </w:r>
      <w:r w:rsidRPr="002C4077">
        <w:t xml:space="preserve"> </w:t>
      </w:r>
      <w:r>
        <w:t>durant</w:t>
      </w:r>
      <w:r w:rsidRPr="002C4077">
        <w:t xml:space="preserve"> </w:t>
      </w:r>
      <w:r>
        <w:t>lesquels</w:t>
      </w:r>
      <w:r w:rsidRPr="002C4077">
        <w:t xml:space="preserve"> </w:t>
      </w:r>
      <w:r>
        <w:t>ce</w:t>
      </w:r>
      <w:r w:rsidRPr="002C4077">
        <w:t xml:space="preserve"> </w:t>
      </w:r>
      <w:r>
        <w:t>prince</w:t>
      </w:r>
      <w:r w:rsidRPr="002C4077">
        <w:t xml:space="preserve"> </w:t>
      </w:r>
      <w:r>
        <w:t>c</w:t>
      </w:r>
      <w:r w:rsidR="003B53FD">
        <w:t>ontinua</w:t>
      </w:r>
      <w:r w:rsidRPr="002C4077">
        <w:t xml:space="preserve"> </w:t>
      </w:r>
      <w:r>
        <w:t>de</w:t>
      </w:r>
      <w:r w:rsidRPr="002C4077">
        <w:t xml:space="preserve"> </w:t>
      </w:r>
      <w:r>
        <w:t>régner,</w:t>
      </w:r>
      <w:r w:rsidRPr="002C4077">
        <w:t xml:space="preserve"> </w:t>
      </w:r>
      <w:r>
        <w:t>les</w:t>
      </w:r>
      <w:r w:rsidRPr="002C4077">
        <w:t xml:space="preserve"> </w:t>
      </w:r>
      <w:r>
        <w:t>seize</w:t>
      </w:r>
      <w:r w:rsidRPr="002C4077">
        <w:t xml:space="preserve"> </w:t>
      </w:r>
      <w:r>
        <w:t>années</w:t>
      </w:r>
      <w:r w:rsidRPr="002C4077">
        <w:t xml:space="preserve"> </w:t>
      </w:r>
      <w:r>
        <w:t>de</w:t>
      </w:r>
      <w:r w:rsidRPr="002C4077">
        <w:t xml:space="preserve"> </w:t>
      </w:r>
      <w:r>
        <w:t>Joathan,</w:t>
      </w:r>
      <w:r w:rsidRPr="002C4077">
        <w:t xml:space="preserve"> </w:t>
      </w:r>
      <w:r>
        <w:t>les</w:t>
      </w:r>
      <w:r w:rsidRPr="002C4077">
        <w:t xml:space="preserve"> </w:t>
      </w:r>
      <w:r>
        <w:t>seize</w:t>
      </w:r>
      <w:r w:rsidRPr="002C4077">
        <w:t xml:space="preserve"> </w:t>
      </w:r>
      <w:r>
        <w:t>années</w:t>
      </w:r>
      <w:r w:rsidRPr="002C4077">
        <w:t xml:space="preserve"> </w:t>
      </w:r>
      <w:r>
        <w:t>d’Achaz,</w:t>
      </w:r>
      <w:r w:rsidRPr="002C4077">
        <w:t xml:space="preserve"> </w:t>
      </w:r>
      <w:r>
        <w:t>et</w:t>
      </w:r>
      <w:r w:rsidRPr="002C4077">
        <w:t xml:space="preserve"> </w:t>
      </w:r>
      <w:r>
        <w:t>les</w:t>
      </w:r>
      <w:r w:rsidRPr="002C4077">
        <w:t xml:space="preserve"> </w:t>
      </w:r>
      <w:r>
        <w:t>six</w:t>
      </w:r>
      <w:r w:rsidRPr="002C4077">
        <w:t xml:space="preserve"> </w:t>
      </w:r>
      <w:r>
        <w:t>premières</w:t>
      </w:r>
      <w:r w:rsidRPr="002C4077">
        <w:t xml:space="preserve"> </w:t>
      </w:r>
      <w:r>
        <w:t>d’</w:t>
      </w:r>
      <w:r w:rsidR="00F57C0F">
        <w:t>Ézéchias</w:t>
      </w:r>
      <w:r>
        <w:t>,</w:t>
      </w:r>
      <w:r w:rsidRPr="002C4077">
        <w:t xml:space="preserve"> </w:t>
      </w:r>
      <w:r>
        <w:t>—</w:t>
      </w:r>
      <w:r w:rsidRPr="002C4077">
        <w:t xml:space="preserve"> </w:t>
      </w:r>
      <w:r>
        <w:t>puisque</w:t>
      </w:r>
      <w:r w:rsidRPr="002C4077">
        <w:t xml:space="preserve"> </w:t>
      </w:r>
      <w:r>
        <w:t>la</w:t>
      </w:r>
      <w:r w:rsidRPr="002C4077">
        <w:t xml:space="preserve"> </w:t>
      </w:r>
      <w:r>
        <w:t>conquête</w:t>
      </w:r>
      <w:r w:rsidRPr="002C4077">
        <w:t xml:space="preserve"> </w:t>
      </w:r>
      <w:r>
        <w:t>de</w:t>
      </w:r>
      <w:r w:rsidRPr="002C4077">
        <w:t xml:space="preserve"> </w:t>
      </w:r>
      <w:r>
        <w:t>Samarie</w:t>
      </w:r>
      <w:r w:rsidRPr="002C4077">
        <w:t xml:space="preserve"> </w:t>
      </w:r>
      <w:r>
        <w:t>eut</w:t>
      </w:r>
      <w:r w:rsidRPr="002C4077">
        <w:t xml:space="preserve"> </w:t>
      </w:r>
      <w:r>
        <w:t>lieu</w:t>
      </w:r>
      <w:r w:rsidRPr="002C4077">
        <w:t xml:space="preserve"> </w:t>
      </w:r>
      <w:r>
        <w:t>la</w:t>
      </w:r>
      <w:r w:rsidRPr="002C4077">
        <w:t xml:space="preserve"> </w:t>
      </w:r>
      <w:r>
        <w:t>sixième</w:t>
      </w:r>
      <w:r w:rsidRPr="002C4077">
        <w:t xml:space="preserve"> </w:t>
      </w:r>
      <w:r>
        <w:t>année</w:t>
      </w:r>
      <w:r w:rsidRPr="002C4077">
        <w:t xml:space="preserve"> </w:t>
      </w:r>
      <w:r>
        <w:t>de</w:t>
      </w:r>
      <w:r w:rsidRPr="002C4077">
        <w:t xml:space="preserve"> </w:t>
      </w:r>
      <w:r>
        <w:t>son</w:t>
      </w:r>
      <w:r w:rsidRPr="002C4077">
        <w:t xml:space="preserve"> </w:t>
      </w:r>
      <w:r>
        <w:t>gouvernement,</w:t>
      </w:r>
      <w:r w:rsidRPr="002C4077">
        <w:t xml:space="preserve"> </w:t>
      </w:r>
      <w:r>
        <w:t>—</w:t>
      </w:r>
      <w:r w:rsidRPr="002C4077">
        <w:t xml:space="preserve"> </w:t>
      </w:r>
      <w:r>
        <w:t>on</w:t>
      </w:r>
      <w:r w:rsidRPr="002C4077">
        <w:t xml:space="preserve"> </w:t>
      </w:r>
      <w:r>
        <w:t>obtient</w:t>
      </w:r>
      <w:r w:rsidRPr="002C4077">
        <w:t xml:space="preserve"> </w:t>
      </w:r>
      <w:r>
        <w:t>juste</w:t>
      </w:r>
      <w:r w:rsidRPr="002C4077">
        <w:t xml:space="preserve"> </w:t>
      </w:r>
      <w:r>
        <w:t>65,</w:t>
      </w:r>
      <w:r w:rsidRPr="002C4077">
        <w:t xml:space="preserve"> </w:t>
      </w:r>
      <w:r>
        <w:t>le</w:t>
      </w:r>
      <w:r w:rsidRPr="002C4077">
        <w:t xml:space="preserve"> </w:t>
      </w:r>
      <w:r>
        <w:t>nombre</w:t>
      </w:r>
      <w:r w:rsidRPr="002C4077">
        <w:t xml:space="preserve"> </w:t>
      </w:r>
      <w:r>
        <w:t>requis.</w:t>
      </w:r>
      <w:r w:rsidRPr="002C4077">
        <w:t xml:space="preserve"> </w:t>
      </w:r>
    </w:p>
    <w:p w:rsidR="000A7AAB" w:rsidRDefault="000A7AAB" w:rsidP="000A7AAB">
      <w:r>
        <w:t>Toutefois,</w:t>
      </w:r>
      <w:r w:rsidRPr="002C4077">
        <w:t xml:space="preserve"> </w:t>
      </w:r>
      <w:r>
        <w:t>l’on</w:t>
      </w:r>
      <w:r w:rsidRPr="002C4077">
        <w:t xml:space="preserve"> </w:t>
      </w:r>
      <w:r>
        <w:t>peut</w:t>
      </w:r>
      <w:r w:rsidRPr="002C4077">
        <w:t xml:space="preserve"> </w:t>
      </w:r>
      <w:r>
        <w:t>donner</w:t>
      </w:r>
      <w:r w:rsidRPr="002C4077">
        <w:t xml:space="preserve"> </w:t>
      </w:r>
      <w:r>
        <w:t>une</w:t>
      </w:r>
      <w:r w:rsidRPr="002C4077">
        <w:t xml:space="preserve"> </w:t>
      </w:r>
      <w:r>
        <w:t>réponse</w:t>
      </w:r>
      <w:r w:rsidRPr="002C4077">
        <w:t xml:space="preserve"> </w:t>
      </w:r>
      <w:r>
        <w:t>encore</w:t>
      </w:r>
      <w:r w:rsidRPr="002C4077">
        <w:t xml:space="preserve"> </w:t>
      </w:r>
      <w:r>
        <w:t>plus</w:t>
      </w:r>
      <w:r w:rsidRPr="002C4077">
        <w:t xml:space="preserve"> </w:t>
      </w:r>
      <w:r>
        <w:t>satisfaisante,</w:t>
      </w:r>
      <w:r w:rsidRPr="002C4077">
        <w:t xml:space="preserve"> </w:t>
      </w:r>
      <w:r>
        <w:t>déjà</w:t>
      </w:r>
      <w:r w:rsidRPr="002C4077">
        <w:t xml:space="preserve"> </w:t>
      </w:r>
      <w:r>
        <w:t>indiquée</w:t>
      </w:r>
      <w:r w:rsidRPr="002C4077">
        <w:t xml:space="preserve"> </w:t>
      </w:r>
      <w:r>
        <w:t>par</w:t>
      </w:r>
      <w:r w:rsidRPr="002C4077">
        <w:t xml:space="preserve"> </w:t>
      </w:r>
      <w:r>
        <w:t>saint</w:t>
      </w:r>
      <w:r w:rsidRPr="002C4077">
        <w:t xml:space="preserve"> </w:t>
      </w:r>
      <w:r>
        <w:t>Cyrille,</w:t>
      </w:r>
      <w:r w:rsidRPr="002C4077">
        <w:t xml:space="preserve"> </w:t>
      </w:r>
      <w:r>
        <w:t>et</w:t>
      </w:r>
      <w:r w:rsidRPr="002C4077">
        <w:t xml:space="preserve"> </w:t>
      </w:r>
      <w:r>
        <w:t>admise</w:t>
      </w:r>
      <w:r w:rsidRPr="002C4077">
        <w:t xml:space="preserve"> </w:t>
      </w:r>
      <w:r>
        <w:t>aujourd’hui</w:t>
      </w:r>
      <w:r w:rsidRPr="002C4077">
        <w:t xml:space="preserve"> </w:t>
      </w:r>
      <w:r>
        <w:t>par</w:t>
      </w:r>
      <w:r w:rsidRPr="002C4077">
        <w:t xml:space="preserve"> </w:t>
      </w:r>
      <w:r>
        <w:t>la</w:t>
      </w:r>
      <w:r w:rsidRPr="002C4077">
        <w:t xml:space="preserve"> </w:t>
      </w:r>
      <w:r>
        <w:t>masse</w:t>
      </w:r>
      <w:r w:rsidRPr="002C4077">
        <w:t xml:space="preserve"> </w:t>
      </w:r>
      <w:r>
        <w:t>des</w:t>
      </w:r>
      <w:r w:rsidRPr="002C4077">
        <w:t xml:space="preserve"> </w:t>
      </w:r>
      <w:r>
        <w:t>interprètes</w:t>
      </w:r>
      <w:r w:rsidRPr="002C4077">
        <w:t xml:space="preserve"> </w:t>
      </w:r>
      <w:r>
        <w:t>croyants.</w:t>
      </w:r>
      <w:r w:rsidRPr="002C4077">
        <w:t xml:space="preserve"> </w:t>
      </w:r>
    </w:p>
    <w:p w:rsidR="000A7AAB" w:rsidRDefault="000A7AAB" w:rsidP="000A7AAB">
      <w:r>
        <w:t>L’histoire</w:t>
      </w:r>
      <w:r w:rsidRPr="002C4077">
        <w:t xml:space="preserve"> </w:t>
      </w:r>
      <w:r>
        <w:t>biblique</w:t>
      </w:r>
      <w:r w:rsidRPr="002C4077">
        <w:t xml:space="preserve"> </w:t>
      </w:r>
      <w:r>
        <w:t>nous</w:t>
      </w:r>
      <w:r w:rsidRPr="002C4077">
        <w:t xml:space="preserve"> </w:t>
      </w:r>
      <w:r>
        <w:t>autorise</w:t>
      </w:r>
      <w:r w:rsidRPr="002C4077">
        <w:t xml:space="preserve"> </w:t>
      </w:r>
      <w:r>
        <w:t>à</w:t>
      </w:r>
      <w:r w:rsidRPr="002C4077">
        <w:t xml:space="preserve"> </w:t>
      </w:r>
      <w:r>
        <w:t>affirmer</w:t>
      </w:r>
      <w:r w:rsidRPr="002C4077">
        <w:t xml:space="preserve"> </w:t>
      </w:r>
      <w:r>
        <w:t>que</w:t>
      </w:r>
      <w:r w:rsidRPr="002C4077">
        <w:t xml:space="preserve"> </w:t>
      </w:r>
      <w:r>
        <w:t>la</w:t>
      </w:r>
      <w:r w:rsidRPr="002C4077">
        <w:t xml:space="preserve"> </w:t>
      </w:r>
      <w:r>
        <w:t>prise</w:t>
      </w:r>
      <w:r w:rsidRPr="002C4077">
        <w:t xml:space="preserve"> </w:t>
      </w:r>
      <w:r>
        <w:t>de</w:t>
      </w:r>
      <w:r w:rsidRPr="002C4077">
        <w:t xml:space="preserve"> </w:t>
      </w:r>
      <w:r>
        <w:t>Samarie,</w:t>
      </w:r>
      <w:r w:rsidRPr="002C4077">
        <w:t xml:space="preserve"> </w:t>
      </w:r>
      <w:r>
        <w:t>en</w:t>
      </w:r>
      <w:r w:rsidRPr="002C4077">
        <w:t xml:space="preserve"> </w:t>
      </w:r>
      <w:r>
        <w:t>722,</w:t>
      </w:r>
      <w:r w:rsidRPr="002C4077">
        <w:t xml:space="preserve"> </w:t>
      </w:r>
      <w:r>
        <w:t>fut</w:t>
      </w:r>
      <w:r w:rsidRPr="002C4077">
        <w:t xml:space="preserve"> </w:t>
      </w:r>
      <w:r>
        <w:t>loin</w:t>
      </w:r>
      <w:r w:rsidRPr="002C4077">
        <w:t xml:space="preserve"> </w:t>
      </w:r>
      <w:r>
        <w:t>de</w:t>
      </w:r>
      <w:r w:rsidRPr="002C4077">
        <w:t xml:space="preserve"> </w:t>
      </w:r>
      <w:r>
        <w:t>donner</w:t>
      </w:r>
      <w:r w:rsidRPr="002C4077">
        <w:t xml:space="preserve"> </w:t>
      </w:r>
      <w:r>
        <w:t>réellement</w:t>
      </w:r>
      <w:r w:rsidRPr="002C4077">
        <w:t xml:space="preserve"> </w:t>
      </w:r>
      <w:r>
        <w:t>le</w:t>
      </w:r>
      <w:r w:rsidRPr="002C4077">
        <w:t xml:space="preserve"> </w:t>
      </w:r>
      <w:r>
        <w:t>coup</w:t>
      </w:r>
      <w:r w:rsidRPr="002C4077">
        <w:t xml:space="preserve"> </w:t>
      </w:r>
      <w:r>
        <w:t>de</w:t>
      </w:r>
      <w:r w:rsidRPr="002C4077">
        <w:t xml:space="preserve"> </w:t>
      </w:r>
      <w:r>
        <w:t>mort</w:t>
      </w:r>
      <w:r w:rsidRPr="002C4077">
        <w:t xml:space="preserve"> </w:t>
      </w:r>
      <w:r>
        <w:t>au</w:t>
      </w:r>
      <w:r w:rsidRPr="002C4077">
        <w:t xml:space="preserve"> </w:t>
      </w:r>
      <w:r>
        <w:t>royaume</w:t>
      </w:r>
      <w:r w:rsidRPr="002C4077">
        <w:t xml:space="preserve"> </w:t>
      </w:r>
      <w:r>
        <w:t>d’Éphraïm</w:t>
      </w:r>
      <w:r w:rsidR="00B91AF7">
        <w:rPr>
          <w:rStyle w:val="Appelnotedebasdep"/>
        </w:rPr>
        <w:footnoteReference w:id="44"/>
      </w:r>
      <w:r>
        <w:t>.</w:t>
      </w:r>
      <w:r w:rsidR="00C45B47">
        <w:t xml:space="preserve"> {</w:t>
      </w:r>
      <w:r w:rsidR="000721C4">
        <w:t>14</w:t>
      </w:r>
      <w:bookmarkStart w:id="56" w:name="p014"/>
      <w:bookmarkEnd w:id="56"/>
      <w:r w:rsidR="000721C4">
        <w:t xml:space="preserve">} </w:t>
      </w:r>
      <w:r>
        <w:t>D’après</w:t>
      </w:r>
      <w:r w:rsidRPr="002C4077">
        <w:t xml:space="preserve"> </w:t>
      </w:r>
      <w:r>
        <w:t>IV Reg.</w:t>
      </w:r>
      <w:r w:rsidRPr="002C4077">
        <w:t xml:space="preserve"> </w:t>
      </w:r>
      <w:r>
        <w:rPr>
          <w:smallCaps/>
        </w:rPr>
        <w:t>XVII</w:t>
      </w:r>
      <w:r>
        <w:t>,</w:t>
      </w:r>
      <w:r w:rsidRPr="002C4077">
        <w:t xml:space="preserve"> </w:t>
      </w:r>
      <w:r>
        <w:t>24</w:t>
      </w:r>
      <w:r w:rsidRPr="002C4077">
        <w:t xml:space="preserve"> </w:t>
      </w:r>
      <w:r>
        <w:t>et</w:t>
      </w:r>
      <w:r w:rsidRPr="002C4077">
        <w:t xml:space="preserve"> </w:t>
      </w:r>
      <w:r>
        <w:t>Esdr.</w:t>
      </w:r>
      <w:r w:rsidRPr="002C4077">
        <w:t xml:space="preserve"> </w:t>
      </w:r>
      <w:r>
        <w:t>IV,</w:t>
      </w:r>
      <w:r w:rsidRPr="002C4077">
        <w:t xml:space="preserve"> </w:t>
      </w:r>
      <w:r>
        <w:t>7-10,</w:t>
      </w:r>
      <w:r w:rsidRPr="002C4077">
        <w:t xml:space="preserve"> </w:t>
      </w:r>
      <w:r>
        <w:t>les</w:t>
      </w:r>
      <w:r w:rsidRPr="002C4077">
        <w:t xml:space="preserve"> </w:t>
      </w:r>
      <w:r>
        <w:t>derniers</w:t>
      </w:r>
      <w:r w:rsidRPr="002C4077">
        <w:t xml:space="preserve"> </w:t>
      </w:r>
      <w:r>
        <w:t>restes</w:t>
      </w:r>
      <w:r w:rsidRPr="002C4077">
        <w:t xml:space="preserve"> </w:t>
      </w:r>
      <w:r>
        <w:t>d’Israël</w:t>
      </w:r>
      <w:r w:rsidRPr="002C4077">
        <w:t xml:space="preserve"> </w:t>
      </w:r>
      <w:r>
        <w:t>ne</w:t>
      </w:r>
      <w:r w:rsidRPr="002C4077">
        <w:t xml:space="preserve"> </w:t>
      </w:r>
      <w:r>
        <w:t>cessèrent</w:t>
      </w:r>
      <w:r w:rsidRPr="002C4077">
        <w:t xml:space="preserve"> </w:t>
      </w:r>
      <w:r>
        <w:t>d’</w:t>
      </w:r>
      <w:r w:rsidR="00732E97">
        <w:t>« </w:t>
      </w:r>
      <w:r>
        <w:t>être</w:t>
      </w:r>
      <w:r w:rsidRPr="002C4077">
        <w:t xml:space="preserve"> </w:t>
      </w:r>
      <w:r>
        <w:t>un</w:t>
      </w:r>
      <w:r w:rsidRPr="002C4077">
        <w:t xml:space="preserve"> </w:t>
      </w:r>
      <w:r>
        <w:t>peuple</w:t>
      </w:r>
      <w:r w:rsidR="00B546AF">
        <w:t> »</w:t>
      </w:r>
      <w:r w:rsidRPr="002C4077">
        <w:t xml:space="preserve"> </w:t>
      </w:r>
      <w:r>
        <w:t>que</w:t>
      </w:r>
      <w:r w:rsidRPr="002C4077">
        <w:t xml:space="preserve"> </w:t>
      </w:r>
      <w:r>
        <w:t>lorsqu’ils</w:t>
      </w:r>
      <w:r w:rsidRPr="002C4077">
        <w:t xml:space="preserve"> </w:t>
      </w:r>
      <w:r>
        <w:t>eurent</w:t>
      </w:r>
      <w:r w:rsidRPr="002C4077">
        <w:t xml:space="preserve"> </w:t>
      </w:r>
      <w:r>
        <w:t>été</w:t>
      </w:r>
      <w:r w:rsidRPr="002C4077">
        <w:t xml:space="preserve"> </w:t>
      </w:r>
      <w:r>
        <w:t>déportés</w:t>
      </w:r>
      <w:r w:rsidRPr="002C4077">
        <w:t xml:space="preserve"> </w:t>
      </w:r>
      <w:r>
        <w:t>dans</w:t>
      </w:r>
      <w:r w:rsidRPr="002C4077">
        <w:t xml:space="preserve"> </w:t>
      </w:r>
      <w:r>
        <w:t>l’Orient</w:t>
      </w:r>
      <w:r w:rsidRPr="002C4077">
        <w:t xml:space="preserve"> </w:t>
      </w:r>
      <w:r>
        <w:t>par</w:t>
      </w:r>
      <w:r w:rsidRPr="002C4077">
        <w:t xml:space="preserve"> </w:t>
      </w:r>
      <w:r>
        <w:t>Asarhaddon,</w:t>
      </w:r>
      <w:r w:rsidRPr="002C4077">
        <w:t xml:space="preserve"> </w:t>
      </w:r>
      <w:r>
        <w:t>et</w:t>
      </w:r>
      <w:r w:rsidRPr="002C4077">
        <w:t xml:space="preserve"> </w:t>
      </w:r>
      <w:r>
        <w:t>que</w:t>
      </w:r>
      <w:r w:rsidRPr="002C4077">
        <w:t xml:space="preserve"> </w:t>
      </w:r>
      <w:r>
        <w:t>ce</w:t>
      </w:r>
      <w:r w:rsidRPr="002C4077">
        <w:t xml:space="preserve"> </w:t>
      </w:r>
      <w:r>
        <w:t>prince</w:t>
      </w:r>
      <w:r w:rsidRPr="002C4077">
        <w:t xml:space="preserve"> </w:t>
      </w:r>
      <w:r>
        <w:t>eut</w:t>
      </w:r>
      <w:r w:rsidRPr="002C4077">
        <w:t xml:space="preserve"> </w:t>
      </w:r>
      <w:r>
        <w:t>amené</w:t>
      </w:r>
      <w:r w:rsidRPr="002C4077">
        <w:t xml:space="preserve"> </w:t>
      </w:r>
      <w:r>
        <w:t>à</w:t>
      </w:r>
      <w:r w:rsidRPr="002C4077">
        <w:t xml:space="preserve"> </w:t>
      </w:r>
      <w:r>
        <w:t>Samarie</w:t>
      </w:r>
      <w:r w:rsidRPr="002C4077">
        <w:t xml:space="preserve"> </w:t>
      </w:r>
      <w:r>
        <w:t>une</w:t>
      </w:r>
      <w:r w:rsidRPr="002C4077">
        <w:t xml:space="preserve"> </w:t>
      </w:r>
      <w:r>
        <w:t>population</w:t>
      </w:r>
      <w:r w:rsidRPr="002C4077">
        <w:t xml:space="preserve"> </w:t>
      </w:r>
      <w:r>
        <w:t>étrangère.</w:t>
      </w:r>
      <w:r w:rsidRPr="002C4077">
        <w:t xml:space="preserve"> </w:t>
      </w:r>
      <w:r>
        <w:t>Or,</w:t>
      </w:r>
      <w:r w:rsidRPr="002C4077">
        <w:t xml:space="preserve"> </w:t>
      </w:r>
      <w:r>
        <w:t>on</w:t>
      </w:r>
      <w:r w:rsidRPr="002C4077">
        <w:t xml:space="preserve"> </w:t>
      </w:r>
      <w:r>
        <w:t>a</w:t>
      </w:r>
      <w:r w:rsidRPr="002C4077">
        <w:t xml:space="preserve"> </w:t>
      </w:r>
      <w:r>
        <w:t>tout</w:t>
      </w:r>
      <w:r w:rsidRPr="002C4077">
        <w:t xml:space="preserve"> </w:t>
      </w:r>
      <w:r>
        <w:t>lieu</w:t>
      </w:r>
      <w:r w:rsidRPr="002C4077">
        <w:t xml:space="preserve"> </w:t>
      </w:r>
      <w:r>
        <w:t>de</w:t>
      </w:r>
      <w:r w:rsidRPr="002C4077">
        <w:t xml:space="preserve"> </w:t>
      </w:r>
      <w:r>
        <w:t>rapporter</w:t>
      </w:r>
      <w:r w:rsidRPr="002C4077">
        <w:t xml:space="preserve"> </w:t>
      </w:r>
      <w:r>
        <w:t>ce</w:t>
      </w:r>
      <w:r w:rsidRPr="002C4077">
        <w:t xml:space="preserve"> </w:t>
      </w:r>
      <w:r>
        <w:t>double</w:t>
      </w:r>
      <w:r w:rsidRPr="002C4077">
        <w:t xml:space="preserve"> </w:t>
      </w:r>
      <w:r>
        <w:t>fait</w:t>
      </w:r>
      <w:r w:rsidRPr="002C4077">
        <w:t xml:space="preserve"> </w:t>
      </w:r>
      <w:r>
        <w:t>à</w:t>
      </w:r>
      <w:r w:rsidRPr="002C4077">
        <w:t xml:space="preserve"> </w:t>
      </w:r>
      <w:r>
        <w:t>la</w:t>
      </w:r>
      <w:r w:rsidRPr="002C4077">
        <w:t xml:space="preserve"> </w:t>
      </w:r>
      <w:r>
        <w:t>vingt-deuxième</w:t>
      </w:r>
      <w:r w:rsidRPr="002C4077">
        <w:t xml:space="preserve"> </w:t>
      </w:r>
      <w:r>
        <w:t>année</w:t>
      </w:r>
      <w:r w:rsidRPr="002C4077">
        <w:t xml:space="preserve"> </w:t>
      </w:r>
      <w:r>
        <w:t>de</w:t>
      </w:r>
      <w:r w:rsidRPr="002C4077">
        <w:t xml:space="preserve"> </w:t>
      </w:r>
      <w:r>
        <w:t>Manassès.</w:t>
      </w:r>
      <w:r w:rsidRPr="002C4077">
        <w:t xml:space="preserve"> </w:t>
      </w:r>
      <w:r>
        <w:t>Cela</w:t>
      </w:r>
      <w:r w:rsidRPr="002C4077">
        <w:t xml:space="preserve"> </w:t>
      </w:r>
      <w:r>
        <w:t>étant,</w:t>
      </w:r>
      <w:r w:rsidRPr="002C4077">
        <w:t xml:space="preserve"> </w:t>
      </w:r>
      <w:r>
        <w:t>avec</w:t>
      </w:r>
      <w:r w:rsidRPr="002C4077">
        <w:t xml:space="preserve"> </w:t>
      </w:r>
      <w:r>
        <w:t>les</w:t>
      </w:r>
      <w:r w:rsidRPr="002C4077">
        <w:t xml:space="preserve"> </w:t>
      </w:r>
      <w:r>
        <w:t>quatorze</w:t>
      </w:r>
      <w:r w:rsidRPr="002C4077">
        <w:t xml:space="preserve"> </w:t>
      </w:r>
      <w:r>
        <w:t>années</w:t>
      </w:r>
      <w:r w:rsidRPr="002C4077">
        <w:t xml:space="preserve"> </w:t>
      </w:r>
      <w:r>
        <w:t>qui</w:t>
      </w:r>
      <w:r w:rsidRPr="002C4077">
        <w:t xml:space="preserve"> </w:t>
      </w:r>
      <w:r>
        <w:t>restent</w:t>
      </w:r>
      <w:r w:rsidRPr="002C4077">
        <w:t xml:space="preserve"> </w:t>
      </w:r>
      <w:r>
        <w:t>pour</w:t>
      </w:r>
      <w:r w:rsidRPr="002C4077">
        <w:t xml:space="preserve"> </w:t>
      </w:r>
      <w:r>
        <w:t>Achaz,</w:t>
      </w:r>
      <w:r w:rsidRPr="002C4077">
        <w:t xml:space="preserve"> </w:t>
      </w:r>
      <w:r>
        <w:t>avec</w:t>
      </w:r>
      <w:r w:rsidRPr="002C4077">
        <w:t xml:space="preserve"> </w:t>
      </w:r>
      <w:r>
        <w:t>les</w:t>
      </w:r>
      <w:r w:rsidRPr="002C4077">
        <w:t xml:space="preserve"> </w:t>
      </w:r>
      <w:r>
        <w:t>vingt-neuf</w:t>
      </w:r>
      <w:r w:rsidRPr="002C4077">
        <w:t xml:space="preserve"> </w:t>
      </w:r>
      <w:r>
        <w:t>années</w:t>
      </w:r>
      <w:r w:rsidRPr="002C4077">
        <w:t xml:space="preserve"> </w:t>
      </w:r>
      <w:r>
        <w:t>d’Ézéchias,</w:t>
      </w:r>
      <w:r w:rsidRPr="002C4077">
        <w:t xml:space="preserve"> </w:t>
      </w:r>
      <w:r>
        <w:t>et</w:t>
      </w:r>
      <w:r w:rsidRPr="002C4077">
        <w:t xml:space="preserve"> </w:t>
      </w:r>
      <w:r>
        <w:t>vingt-deux</w:t>
      </w:r>
      <w:r w:rsidRPr="002C4077">
        <w:t xml:space="preserve"> </w:t>
      </w:r>
      <w:r>
        <w:t>années</w:t>
      </w:r>
      <w:r w:rsidRPr="002C4077">
        <w:t xml:space="preserve"> </w:t>
      </w:r>
      <w:r>
        <w:t>pour</w:t>
      </w:r>
      <w:r w:rsidRPr="002C4077">
        <w:t xml:space="preserve"> </w:t>
      </w:r>
      <w:r>
        <w:t>Manassès,</w:t>
      </w:r>
      <w:r w:rsidRPr="002C4077">
        <w:t xml:space="preserve"> </w:t>
      </w:r>
      <w:r>
        <w:t>nous</w:t>
      </w:r>
      <w:r w:rsidRPr="002C4077">
        <w:t xml:space="preserve"> </w:t>
      </w:r>
      <w:r>
        <w:t>arrivons,</w:t>
      </w:r>
      <w:r w:rsidRPr="002C4077">
        <w:t xml:space="preserve"> </w:t>
      </w:r>
      <w:r>
        <w:t>sans</w:t>
      </w:r>
      <w:r w:rsidRPr="002C4077">
        <w:t xml:space="preserve"> </w:t>
      </w:r>
      <w:r>
        <w:t>coup</w:t>
      </w:r>
      <w:r w:rsidRPr="002C4077">
        <w:t xml:space="preserve"> </w:t>
      </w:r>
      <w:r>
        <w:t>de</w:t>
      </w:r>
      <w:r w:rsidRPr="002C4077">
        <w:t xml:space="preserve"> </w:t>
      </w:r>
      <w:r>
        <w:t>force,</w:t>
      </w:r>
      <w:r w:rsidRPr="002C4077">
        <w:t xml:space="preserve"> </w:t>
      </w:r>
      <w:r>
        <w:t>au</w:t>
      </w:r>
      <w:r w:rsidRPr="002C4077">
        <w:t xml:space="preserve"> </w:t>
      </w:r>
      <w:r>
        <w:t>chiffre</w:t>
      </w:r>
      <w:r w:rsidRPr="002C4077">
        <w:t xml:space="preserve"> </w:t>
      </w:r>
      <w:r>
        <w:t>exact</w:t>
      </w:r>
      <w:r w:rsidRPr="002C4077">
        <w:t xml:space="preserve"> </w:t>
      </w:r>
      <w:r>
        <w:t>de</w:t>
      </w:r>
      <w:r w:rsidRPr="002C4077">
        <w:t xml:space="preserve"> </w:t>
      </w:r>
      <w:r>
        <w:t>soixante-cinq</w:t>
      </w:r>
      <w:r w:rsidR="00D735C4">
        <w:rPr>
          <w:rStyle w:val="Appelnotedebasdep"/>
        </w:rPr>
        <w:footnoteReference w:id="45"/>
      </w:r>
      <w:r w:rsidR="00D735C4">
        <w:t>.</w:t>
      </w:r>
      <w:r w:rsidRPr="002C4077">
        <w:t xml:space="preserve"> </w:t>
      </w:r>
    </w:p>
    <w:p w:rsidR="000A7AAB" w:rsidRPr="000721C4" w:rsidRDefault="000A7AAB" w:rsidP="000A7AAB">
      <w:r>
        <w:t>Donc</w:t>
      </w:r>
      <w:r w:rsidRPr="002C4077">
        <w:t xml:space="preserve"> </w:t>
      </w:r>
      <w:r>
        <w:t>c’est</w:t>
      </w:r>
      <w:r w:rsidRPr="002C4077">
        <w:t xml:space="preserve"> </w:t>
      </w:r>
      <w:r w:rsidRPr="000A34B5">
        <w:rPr>
          <w:rStyle w:val="italicus"/>
        </w:rPr>
        <w:t>aud</w:t>
      </w:r>
      <w:r w:rsidR="003B53FD">
        <w:rPr>
          <w:rStyle w:val="italicus"/>
        </w:rPr>
        <w:t>á</w:t>
      </w:r>
      <w:r w:rsidR="003B53FD" w:rsidRPr="000A34B5">
        <w:rPr>
          <w:rStyle w:val="italicus"/>
        </w:rPr>
        <w:t>cius</w:t>
      </w:r>
      <w:r w:rsidRPr="002C4077">
        <w:t xml:space="preserve"> </w:t>
      </w:r>
      <w:r w:rsidRPr="000A34B5">
        <w:rPr>
          <w:rStyle w:val="italicus"/>
        </w:rPr>
        <w:t>quam</w:t>
      </w:r>
      <w:r w:rsidRPr="002C4077">
        <w:t xml:space="preserve"> </w:t>
      </w:r>
      <w:r w:rsidRPr="000A34B5">
        <w:rPr>
          <w:rStyle w:val="italicus"/>
        </w:rPr>
        <w:t>vertus</w:t>
      </w:r>
      <w:r w:rsidR="00B91AF7">
        <w:rPr>
          <w:rStyle w:val="Appelnotedebasdep"/>
          <w:i/>
        </w:rPr>
        <w:footnoteReference w:id="46"/>
      </w:r>
      <w:r w:rsidRPr="002C4077">
        <w:t xml:space="preserve"> </w:t>
      </w:r>
      <w:r>
        <w:t>qu’on</w:t>
      </w:r>
      <w:r w:rsidRPr="002C4077">
        <w:t xml:space="preserve"> </w:t>
      </w:r>
      <w:r>
        <w:t>a</w:t>
      </w:r>
      <w:r w:rsidRPr="002C4077">
        <w:t xml:space="preserve"> </w:t>
      </w:r>
      <w:r>
        <w:t>voulu,</w:t>
      </w:r>
      <w:r w:rsidRPr="002C4077">
        <w:t xml:space="preserve"> </w:t>
      </w:r>
      <w:r>
        <w:t>dans</w:t>
      </w:r>
      <w:r w:rsidRPr="002C4077">
        <w:t xml:space="preserve"> </w:t>
      </w:r>
      <w:r>
        <w:t>l’intention</w:t>
      </w:r>
      <w:r w:rsidRPr="002C4077">
        <w:t xml:space="preserve"> </w:t>
      </w:r>
      <w:r>
        <w:t>à</w:t>
      </w:r>
      <w:r w:rsidRPr="002C4077">
        <w:t xml:space="preserve"> </w:t>
      </w:r>
      <w:r>
        <w:t>peine</w:t>
      </w:r>
      <w:r w:rsidRPr="002C4077">
        <w:t xml:space="preserve"> </w:t>
      </w:r>
      <w:r>
        <w:t>dissimulée</w:t>
      </w:r>
      <w:r w:rsidRPr="002C4077">
        <w:t xml:space="preserve"> </w:t>
      </w:r>
      <w:r>
        <w:t>de</w:t>
      </w:r>
      <w:r w:rsidRPr="002C4077">
        <w:t xml:space="preserve"> </w:t>
      </w:r>
      <w:r>
        <w:t>déprécier</w:t>
      </w:r>
      <w:r w:rsidRPr="002C4077">
        <w:t xml:space="preserve"> </w:t>
      </w:r>
      <w:r>
        <w:t>l’oracle</w:t>
      </w:r>
      <w:r w:rsidRPr="002C4077">
        <w:t xml:space="preserve"> </w:t>
      </w:r>
      <w:r>
        <w:t>qui</w:t>
      </w:r>
      <w:r w:rsidRPr="002C4077">
        <w:t xml:space="preserve"> </w:t>
      </w:r>
      <w:r>
        <w:t>va</w:t>
      </w:r>
      <w:r w:rsidRPr="002C4077">
        <w:t xml:space="preserve"> </w:t>
      </w:r>
      <w:r>
        <w:t>suivre,</w:t>
      </w:r>
      <w:r w:rsidRPr="002C4077">
        <w:t xml:space="preserve"> </w:t>
      </w:r>
      <w:r>
        <w:t>rejeter</w:t>
      </w:r>
      <w:r w:rsidRPr="002C4077">
        <w:t xml:space="preserve"> </w:t>
      </w:r>
      <w:r>
        <w:t>cette</w:t>
      </w:r>
      <w:r w:rsidRPr="002C4077">
        <w:t xml:space="preserve"> </w:t>
      </w:r>
      <w:r>
        <w:t>prophétie</w:t>
      </w:r>
      <w:r w:rsidRPr="002C4077">
        <w:t xml:space="preserve"> </w:t>
      </w:r>
      <w:r>
        <w:t>préliminaire.</w:t>
      </w:r>
      <w:r w:rsidRPr="002C4077">
        <w:t xml:space="preserve"> </w:t>
      </w:r>
      <w:r>
        <w:t>Nous</w:t>
      </w:r>
      <w:r w:rsidRPr="002C4077">
        <w:t xml:space="preserve"> </w:t>
      </w:r>
      <w:r>
        <w:t>avons</w:t>
      </w:r>
      <w:r w:rsidRPr="002C4077">
        <w:t xml:space="preserve"> </w:t>
      </w:r>
      <w:r>
        <w:t>démontré</w:t>
      </w:r>
      <w:r w:rsidRPr="002C4077">
        <w:t xml:space="preserve"> </w:t>
      </w:r>
      <w:r>
        <w:t>qu’il</w:t>
      </w:r>
      <w:r w:rsidRPr="002C4077">
        <w:t xml:space="preserve"> </w:t>
      </w:r>
      <w:r>
        <w:t>faut</w:t>
      </w:r>
      <w:r w:rsidRPr="002C4077">
        <w:t xml:space="preserve"> </w:t>
      </w:r>
      <w:r>
        <w:t>la</w:t>
      </w:r>
      <w:r w:rsidRPr="002C4077">
        <w:t xml:space="preserve"> </w:t>
      </w:r>
      <w:r>
        <w:t>maintenir</w:t>
      </w:r>
      <w:r w:rsidRPr="002C4077">
        <w:t xml:space="preserve"> </w:t>
      </w:r>
      <w:r>
        <w:t>strictement.</w:t>
      </w:r>
      <w:r w:rsidRPr="002C4077">
        <w:t xml:space="preserve"> </w:t>
      </w:r>
      <w:r>
        <w:t>D’ailleurs</w:t>
      </w:r>
      <w:r w:rsidRPr="002C4077">
        <w:t xml:space="preserve"> </w:t>
      </w:r>
      <w:r>
        <w:t>Ewald,</w:t>
      </w:r>
      <w:r w:rsidRPr="002C4077">
        <w:t xml:space="preserve"> </w:t>
      </w:r>
      <w:r>
        <w:t>s’oubliant</w:t>
      </w:r>
      <w:r w:rsidRPr="002C4077">
        <w:t xml:space="preserve"> </w:t>
      </w:r>
      <w:r>
        <w:t>peut-être,</w:t>
      </w:r>
      <w:r w:rsidRPr="002C4077">
        <w:t xml:space="preserve"> </w:t>
      </w:r>
      <w:r>
        <w:t>reconnaît</w:t>
      </w:r>
      <w:r w:rsidRPr="002C4077">
        <w:t xml:space="preserve"> </w:t>
      </w:r>
      <w:r w:rsidR="00B546AF">
        <w:t>« </w:t>
      </w:r>
      <w:r>
        <w:t>un</w:t>
      </w:r>
      <w:r w:rsidRPr="002C4077">
        <w:t xml:space="preserve"> </w:t>
      </w:r>
      <w:r>
        <w:t>coloris</w:t>
      </w:r>
      <w:r w:rsidRPr="002C4077">
        <w:t xml:space="preserve"> </w:t>
      </w:r>
      <w:r>
        <w:t>tout</w:t>
      </w:r>
      <w:r w:rsidRPr="002C4077">
        <w:t xml:space="preserve"> </w:t>
      </w:r>
      <w:r>
        <w:t>à</w:t>
      </w:r>
      <w:r w:rsidRPr="002C4077">
        <w:t xml:space="preserve"> </w:t>
      </w:r>
      <w:r>
        <w:t>fait</w:t>
      </w:r>
      <w:r w:rsidRPr="002C4077">
        <w:t xml:space="preserve"> </w:t>
      </w:r>
      <w:r>
        <w:t>authentique</w:t>
      </w:r>
      <w:r w:rsidRPr="002C4077">
        <w:t xml:space="preserve"> </w:t>
      </w:r>
      <w:r>
        <w:t>d’ancien</w:t>
      </w:r>
      <w:r w:rsidRPr="002C4077">
        <w:t xml:space="preserve"> </w:t>
      </w:r>
      <w:r>
        <w:t>hébreu</w:t>
      </w:r>
      <w:r w:rsidR="00B546AF">
        <w:t> »</w:t>
      </w:r>
      <w:r w:rsidRPr="002C4077">
        <w:t xml:space="preserve"> </w:t>
      </w:r>
      <w:r>
        <w:t>à</w:t>
      </w:r>
      <w:r w:rsidRPr="002C4077">
        <w:t xml:space="preserve"> </w:t>
      </w:r>
      <w:r>
        <w:t>la</w:t>
      </w:r>
      <w:r w:rsidRPr="002C4077">
        <w:t xml:space="preserve"> </w:t>
      </w:r>
      <w:r>
        <w:t>phrase</w:t>
      </w:r>
      <w:r w:rsidRPr="002C4077">
        <w:t xml:space="preserve"> </w:t>
      </w:r>
      <w:r>
        <w:t>qu’il</w:t>
      </w:r>
      <w:r w:rsidRPr="002C4077">
        <w:t xml:space="preserve"> </w:t>
      </w:r>
      <w:r>
        <w:t>avait</w:t>
      </w:r>
      <w:r w:rsidRPr="002C4077">
        <w:t xml:space="preserve"> </w:t>
      </w:r>
      <w:r>
        <w:t>antérieurement</w:t>
      </w:r>
      <w:r w:rsidRPr="002C4077">
        <w:t xml:space="preserve"> </w:t>
      </w:r>
      <w:r>
        <w:t>éliminée</w:t>
      </w:r>
      <w:r w:rsidRPr="002C4077">
        <w:t xml:space="preserve"> </w:t>
      </w:r>
      <w:r>
        <w:t>sous</w:t>
      </w:r>
      <w:r w:rsidRPr="002C4077">
        <w:t xml:space="preserve"> </w:t>
      </w:r>
      <w:r>
        <w:t>le</w:t>
      </w:r>
      <w:r w:rsidRPr="002C4077">
        <w:t xml:space="preserve"> </w:t>
      </w:r>
      <w:r>
        <w:t>faux</w:t>
      </w:r>
      <w:r w:rsidRPr="002C4077">
        <w:t xml:space="preserve"> </w:t>
      </w:r>
      <w:r>
        <w:t>prétexte</w:t>
      </w:r>
      <w:r w:rsidRPr="002C4077">
        <w:t xml:space="preserve"> </w:t>
      </w:r>
      <w:r>
        <w:t>qu’elle</w:t>
      </w:r>
      <w:r w:rsidRPr="002C4077">
        <w:t xml:space="preserve"> </w:t>
      </w:r>
      <w:r>
        <w:t>serait</w:t>
      </w:r>
      <w:r w:rsidRPr="002C4077">
        <w:t xml:space="preserve"> </w:t>
      </w:r>
      <w:r w:rsidR="00B546AF">
        <w:t>« </w:t>
      </w:r>
      <w:r>
        <w:t>visiblement</w:t>
      </w:r>
      <w:r w:rsidRPr="002C4077">
        <w:t xml:space="preserve"> </w:t>
      </w:r>
      <w:r>
        <w:t>très</w:t>
      </w:r>
      <w:r w:rsidRPr="002C4077">
        <w:t xml:space="preserve"> </w:t>
      </w:r>
      <w:r>
        <w:t>inopportune</w:t>
      </w:r>
      <w:r w:rsidR="00B546AF">
        <w:t> »</w:t>
      </w:r>
      <w:r>
        <w:t>.</w:t>
      </w:r>
      <w:r w:rsidRPr="002C4077">
        <w:t xml:space="preserve"> </w:t>
      </w:r>
      <w:r>
        <w:t>M.</w:t>
      </w:r>
      <w:r w:rsidRPr="002C4077">
        <w:t xml:space="preserve"> </w:t>
      </w:r>
      <w:r>
        <w:t>Diestel</w:t>
      </w:r>
      <w:r w:rsidRPr="002C4077">
        <w:t xml:space="preserve"> </w:t>
      </w:r>
      <w:r>
        <w:t>la</w:t>
      </w:r>
      <w:r w:rsidRPr="002C4077">
        <w:t xml:space="preserve"> </w:t>
      </w:r>
      <w:r>
        <w:t>trouve,</w:t>
      </w:r>
      <w:r w:rsidRPr="002C4077">
        <w:t xml:space="preserve"> </w:t>
      </w:r>
      <w:r>
        <w:t>lui</w:t>
      </w:r>
      <w:r w:rsidRPr="002C4077">
        <w:t xml:space="preserve"> </w:t>
      </w:r>
      <w:r>
        <w:t>aussi,</w:t>
      </w:r>
      <w:r w:rsidRPr="002C4077">
        <w:t xml:space="preserve"> </w:t>
      </w:r>
      <w:r>
        <w:t>en</w:t>
      </w:r>
      <w:r w:rsidRPr="002C4077">
        <w:t xml:space="preserve"> </w:t>
      </w:r>
      <w:r>
        <w:t>parfaite</w:t>
      </w:r>
      <w:r w:rsidRPr="002C4077">
        <w:t xml:space="preserve"> </w:t>
      </w:r>
      <w:r>
        <w:t>conformité</w:t>
      </w:r>
      <w:r w:rsidRPr="002C4077">
        <w:t xml:space="preserve"> </w:t>
      </w:r>
      <w:r>
        <w:t>avec</w:t>
      </w:r>
      <w:r w:rsidRPr="002C4077">
        <w:t xml:space="preserve"> </w:t>
      </w:r>
      <w:r>
        <w:t>le</w:t>
      </w:r>
      <w:r w:rsidRPr="002C4077">
        <w:t xml:space="preserve"> </w:t>
      </w:r>
      <w:r>
        <w:t>style</w:t>
      </w:r>
      <w:bookmarkStart w:id="57" w:name="z_Samarie_o4"/>
      <w:bookmarkEnd w:id="57"/>
      <w:r w:rsidRPr="002C4077">
        <w:t xml:space="preserve"> </w:t>
      </w:r>
      <w:r>
        <w:t>d’Isaïe</w:t>
      </w:r>
      <w:bookmarkStart w:id="58" w:name="z_RationalistesAlma_o2"/>
      <w:bookmarkEnd w:id="58"/>
      <w:r w:rsidR="00B546AF">
        <w:t> !</w:t>
      </w:r>
      <w:r w:rsidRPr="002C4077">
        <w:t xml:space="preserve"> </w:t>
      </w:r>
      <w:r>
        <w:t>Cela</w:t>
      </w:r>
      <w:bookmarkStart w:id="59" w:name="z_Ephraim_o2"/>
      <w:bookmarkEnd w:id="59"/>
      <w:r w:rsidRPr="002C4077">
        <w:t xml:space="preserve"> </w:t>
      </w:r>
      <w:r>
        <w:t>suffit</w:t>
      </w:r>
      <w:bookmarkStart w:id="60" w:name="z_Almah_o7"/>
      <w:bookmarkEnd w:id="60"/>
      <w:r>
        <w:t>.</w:t>
      </w:r>
      <w:r w:rsidR="00C45B47">
        <w:t xml:space="preserve"> {</w:t>
      </w:r>
      <w:r w:rsidR="000721C4">
        <w:t>15</w:t>
      </w:r>
      <w:bookmarkStart w:id="61" w:name="p015"/>
      <w:bookmarkEnd w:id="61"/>
      <w:r w:rsidR="000721C4">
        <w:t xml:space="preserve">} </w:t>
      </w:r>
    </w:p>
    <w:p w:rsidR="000A7AAB" w:rsidRDefault="000A7AAB" w:rsidP="00BE7D31">
      <w:pPr>
        <w:pStyle w:val="Titre2"/>
      </w:pPr>
      <w:bookmarkStart w:id="62" w:name="_Toc43882002"/>
      <w:r>
        <w:t>CHAPITRE</w:t>
      </w:r>
      <w:r w:rsidRPr="002C4077">
        <w:t xml:space="preserve"> </w:t>
      </w:r>
      <w:r>
        <w:t>II.</w:t>
      </w:r>
      <w:bookmarkStart w:id="63" w:name="a0102"/>
      <w:bookmarkEnd w:id="62"/>
      <w:bookmarkEnd w:id="63"/>
      <w:r w:rsidRPr="002C4077">
        <w:t xml:space="preserve"> </w:t>
      </w:r>
    </w:p>
    <w:p w:rsidR="000A7AAB" w:rsidRDefault="000A7AAB" w:rsidP="007E58A7">
      <w:pPr>
        <w:pStyle w:val="st2"/>
      </w:pPr>
      <w:r>
        <w:t>L’oracle.</w:t>
      </w:r>
      <w:r w:rsidRPr="002C4077">
        <w:t xml:space="preserve"> </w:t>
      </w:r>
    </w:p>
    <w:p w:rsidR="000A7AAB" w:rsidRDefault="000A7AAB" w:rsidP="000A7AAB">
      <w:r>
        <w:t>Débarrassés</w:t>
      </w:r>
      <w:r w:rsidRPr="002C4077">
        <w:t xml:space="preserve"> </w:t>
      </w:r>
      <w:r>
        <w:t>de</w:t>
      </w:r>
      <w:r w:rsidRPr="002C4077">
        <w:t xml:space="preserve"> </w:t>
      </w:r>
      <w:r>
        <w:t>ces</w:t>
      </w:r>
      <w:r w:rsidRPr="002C4077">
        <w:t xml:space="preserve"> </w:t>
      </w:r>
      <w:r>
        <w:t>préliminaires</w:t>
      </w:r>
      <w:r w:rsidRPr="002C4077">
        <w:t xml:space="preserve"> </w:t>
      </w:r>
      <w:r>
        <w:t>encombrants,</w:t>
      </w:r>
      <w:r w:rsidRPr="002C4077">
        <w:t xml:space="preserve"> </w:t>
      </w:r>
      <w:r>
        <w:t>mais</w:t>
      </w:r>
      <w:r w:rsidRPr="002C4077">
        <w:t xml:space="preserve"> </w:t>
      </w:r>
      <w:r>
        <w:t>indispensables,</w:t>
      </w:r>
      <w:r w:rsidRPr="002C4077">
        <w:t xml:space="preserve"> </w:t>
      </w:r>
      <w:r>
        <w:t>nous</w:t>
      </w:r>
      <w:r w:rsidRPr="002C4077">
        <w:t xml:space="preserve"> </w:t>
      </w:r>
      <w:r>
        <w:t>abordons</w:t>
      </w:r>
      <w:r w:rsidRPr="002C4077">
        <w:t xml:space="preserve"> </w:t>
      </w:r>
      <w:r>
        <w:t>enfin</w:t>
      </w:r>
      <w:r w:rsidRPr="002C4077">
        <w:t xml:space="preserve"> </w:t>
      </w:r>
      <w:r>
        <w:t>directement</w:t>
      </w:r>
      <w:r w:rsidRPr="002C4077">
        <w:t xml:space="preserve"> </w:t>
      </w:r>
      <w:r>
        <w:t>notre</w:t>
      </w:r>
      <w:r w:rsidRPr="002C4077">
        <w:t xml:space="preserve"> </w:t>
      </w:r>
      <w:r>
        <w:t>divin</w:t>
      </w:r>
      <w:r w:rsidRPr="002C4077">
        <w:t xml:space="preserve"> </w:t>
      </w:r>
      <w:r>
        <w:t>oracle.</w:t>
      </w:r>
      <w:r w:rsidRPr="002C4077">
        <w:t xml:space="preserve"> </w:t>
      </w:r>
      <w:r>
        <w:t>En</w:t>
      </w:r>
      <w:r w:rsidRPr="002C4077">
        <w:t xml:space="preserve"> </w:t>
      </w:r>
      <w:r>
        <w:t>voici</w:t>
      </w:r>
      <w:r w:rsidRPr="002C4077">
        <w:t xml:space="preserve"> </w:t>
      </w:r>
      <w:r>
        <w:t>la</w:t>
      </w:r>
      <w:r w:rsidRPr="002C4077">
        <w:t xml:space="preserve"> </w:t>
      </w:r>
      <w:r>
        <w:t>traduction</w:t>
      </w:r>
      <w:r w:rsidRPr="002C4077">
        <w:t xml:space="preserve"> </w:t>
      </w:r>
      <w:r>
        <w:t>littérale</w:t>
      </w:r>
      <w:r w:rsidRPr="002C4077">
        <w:t xml:space="preserve"> </w:t>
      </w:r>
      <w:r>
        <w:t>d’après</w:t>
      </w:r>
      <w:r w:rsidRPr="002C4077">
        <w:t xml:space="preserve"> </w:t>
      </w:r>
      <w:r>
        <w:t>l’hébreu</w:t>
      </w:r>
      <w:r w:rsidR="00B546AF">
        <w:t> :</w:t>
      </w:r>
      <w:r w:rsidRPr="002C4077">
        <w:t xml:space="preserve"> </w:t>
      </w:r>
    </w:p>
    <w:p w:rsidR="000A7AAB" w:rsidRDefault="008B0C1F" w:rsidP="008B0C1F">
      <w:pPr>
        <w:pStyle w:val="locus"/>
      </w:pPr>
      <w:r>
        <w:t>10.</w:t>
      </w:r>
      <w:r w:rsidRPr="002C4077">
        <w:t xml:space="preserve"> </w:t>
      </w:r>
      <w:r w:rsidR="000A7AAB">
        <w:t>Et</w:t>
      </w:r>
      <w:r w:rsidR="000A7AAB" w:rsidRPr="002C4077">
        <w:t xml:space="preserve"> </w:t>
      </w:r>
      <w:r w:rsidR="000A7AAB">
        <w:t>le</w:t>
      </w:r>
      <w:r w:rsidR="000A7AAB" w:rsidRPr="002C4077">
        <w:t xml:space="preserve"> </w:t>
      </w:r>
      <w:r w:rsidR="000A7AAB">
        <w:t>Seigneur</w:t>
      </w:r>
      <w:r w:rsidR="000A7AAB" w:rsidRPr="002C4077">
        <w:t xml:space="preserve"> </w:t>
      </w:r>
      <w:r w:rsidR="000A7AAB">
        <w:t>c</w:t>
      </w:r>
      <w:r w:rsidR="003B53FD">
        <w:t>ontinua</w:t>
      </w:r>
      <w:r w:rsidR="000A7AAB" w:rsidRPr="002C4077">
        <w:t xml:space="preserve"> </w:t>
      </w:r>
      <w:r w:rsidR="000A7AAB">
        <w:t>de</w:t>
      </w:r>
      <w:r w:rsidR="000A7AAB" w:rsidRPr="002C4077">
        <w:t xml:space="preserve"> </w:t>
      </w:r>
      <w:r w:rsidR="000A7AAB">
        <w:t>parler</w:t>
      </w:r>
      <w:r w:rsidR="000A7AAB" w:rsidRPr="002C4077">
        <w:t xml:space="preserve"> </w:t>
      </w:r>
      <w:r w:rsidR="000A7AAB">
        <w:t>à</w:t>
      </w:r>
      <w:r w:rsidR="000A7AAB" w:rsidRPr="002C4077">
        <w:t xml:space="preserve"> </w:t>
      </w:r>
      <w:r w:rsidR="000A7AAB">
        <w:t>Achaz,</w:t>
      </w:r>
      <w:r w:rsidR="000A7AAB" w:rsidRPr="002C4077">
        <w:t xml:space="preserve"> </w:t>
      </w:r>
      <w:r w:rsidR="000A7AAB">
        <w:t>en</w:t>
      </w:r>
      <w:r w:rsidR="000A7AAB" w:rsidRPr="002C4077">
        <w:t xml:space="preserve"> </w:t>
      </w:r>
      <w:r w:rsidR="000A7AAB">
        <w:t>ces</w:t>
      </w:r>
      <w:r w:rsidR="000A7AAB" w:rsidRPr="002C4077">
        <w:t xml:space="preserve"> </w:t>
      </w:r>
      <w:r w:rsidR="000A7AAB">
        <w:t>termes</w:t>
      </w:r>
      <w:r w:rsidR="00B546AF">
        <w:t> :</w:t>
      </w:r>
      <w:r w:rsidR="000A7AAB" w:rsidRPr="002C4077">
        <w:t xml:space="preserve"> </w:t>
      </w:r>
    </w:p>
    <w:p w:rsidR="000A7AAB" w:rsidRDefault="008B0C1F" w:rsidP="008B0C1F">
      <w:pPr>
        <w:pStyle w:val="locus"/>
      </w:pPr>
      <w:r>
        <w:t>11.</w:t>
      </w:r>
      <w:r w:rsidRPr="002C4077">
        <w:t xml:space="preserve"> </w:t>
      </w:r>
      <w:r w:rsidR="000A7AAB">
        <w:t>Demande</w:t>
      </w:r>
      <w:r w:rsidR="000A7AAB" w:rsidRPr="002C4077">
        <w:t xml:space="preserve"> </w:t>
      </w:r>
      <w:r w:rsidR="000A7AAB">
        <w:t>un</w:t>
      </w:r>
      <w:r w:rsidR="000A7AAB" w:rsidRPr="002C4077">
        <w:t xml:space="preserve"> </w:t>
      </w:r>
      <w:r w:rsidR="000A7AAB">
        <w:t>signe</w:t>
      </w:r>
      <w:r w:rsidR="000A7AAB" w:rsidRPr="002C4077">
        <w:t xml:space="preserve"> </w:t>
      </w:r>
      <w:r w:rsidR="000A7AAB">
        <w:t>au</w:t>
      </w:r>
      <w:r w:rsidR="000A7AAB" w:rsidRPr="002C4077">
        <w:t xml:space="preserve"> </w:t>
      </w:r>
      <w:r w:rsidR="000A7AAB">
        <w:t>Seigneur</w:t>
      </w:r>
      <w:r w:rsidR="000A7AAB" w:rsidRPr="002C4077">
        <w:t xml:space="preserve"> </w:t>
      </w:r>
      <w:r w:rsidR="000A7AAB">
        <w:t>ton</w:t>
      </w:r>
      <w:r w:rsidR="000A7AAB" w:rsidRPr="002C4077">
        <w:t xml:space="preserve"> </w:t>
      </w:r>
      <w:r w:rsidR="000A7AAB">
        <w:t>Dieu,</w:t>
      </w:r>
      <w:r w:rsidR="000A7AAB" w:rsidRPr="002C4077">
        <w:t xml:space="preserve"> </w:t>
      </w:r>
      <w:r w:rsidR="000A7AAB">
        <w:t>soit</w:t>
      </w:r>
      <w:r w:rsidR="000A7AAB" w:rsidRPr="002C4077">
        <w:t xml:space="preserve"> </w:t>
      </w:r>
      <w:r w:rsidR="000A7AAB">
        <w:t>au</w:t>
      </w:r>
      <w:r w:rsidR="000A7AAB" w:rsidRPr="002C4077">
        <w:t xml:space="preserve"> </w:t>
      </w:r>
      <w:r w:rsidR="000A7AAB">
        <w:t>fond</w:t>
      </w:r>
      <w:r w:rsidR="000A7AAB" w:rsidRPr="002C4077">
        <w:t xml:space="preserve"> </w:t>
      </w:r>
      <w:r w:rsidR="000A7AAB">
        <w:t>du</w:t>
      </w:r>
      <w:r w:rsidR="000A7AAB" w:rsidRPr="002C4077">
        <w:t xml:space="preserve"> </w:t>
      </w:r>
      <w:r w:rsidR="000A7AAB">
        <w:t>séjour</w:t>
      </w:r>
      <w:r w:rsidR="000A7AAB" w:rsidRPr="002C4077">
        <w:t xml:space="preserve"> </w:t>
      </w:r>
      <w:r w:rsidR="000A7AAB">
        <w:t>des</w:t>
      </w:r>
      <w:r w:rsidR="000A7AAB" w:rsidRPr="002C4077">
        <w:t xml:space="preserve"> </w:t>
      </w:r>
      <w:r w:rsidR="000A7AAB">
        <w:t>morts,</w:t>
      </w:r>
      <w:r w:rsidR="000A7AAB" w:rsidRPr="002C4077">
        <w:t xml:space="preserve"> </w:t>
      </w:r>
      <w:r w:rsidR="000A7AAB">
        <w:t>soit</w:t>
      </w:r>
      <w:r w:rsidR="000A7AAB" w:rsidRPr="002C4077">
        <w:t xml:space="preserve"> </w:t>
      </w:r>
      <w:r w:rsidR="000A7AAB">
        <w:t>au</w:t>
      </w:r>
      <w:r w:rsidR="000A7AAB" w:rsidRPr="002C4077">
        <w:t xml:space="preserve"> </w:t>
      </w:r>
      <w:r w:rsidR="000A7AAB">
        <w:t>plus</w:t>
      </w:r>
      <w:r w:rsidR="000A7AAB" w:rsidRPr="002C4077">
        <w:t xml:space="preserve"> </w:t>
      </w:r>
      <w:r w:rsidR="000A7AAB">
        <w:t>haut</w:t>
      </w:r>
      <w:r w:rsidR="000A7AAB" w:rsidRPr="002C4077">
        <w:t xml:space="preserve"> </w:t>
      </w:r>
      <w:r w:rsidR="000A7AAB">
        <w:t>des</w:t>
      </w:r>
      <w:r w:rsidR="000A7AAB" w:rsidRPr="002C4077">
        <w:t xml:space="preserve"> </w:t>
      </w:r>
      <w:r w:rsidR="000A7AAB">
        <w:t>cieux.</w:t>
      </w:r>
      <w:r w:rsidR="000A7AAB" w:rsidRPr="002C4077">
        <w:t xml:space="preserve"> </w:t>
      </w:r>
    </w:p>
    <w:p w:rsidR="000A7AAB" w:rsidRDefault="008B0C1F" w:rsidP="008B0C1F">
      <w:pPr>
        <w:pStyle w:val="locus"/>
      </w:pPr>
      <w:r>
        <w:t>12.</w:t>
      </w:r>
      <w:r w:rsidRPr="002C4077">
        <w:t xml:space="preserve"> </w:t>
      </w:r>
      <w:r w:rsidR="000A7AAB">
        <w:t>Et</w:t>
      </w:r>
      <w:r w:rsidR="000A7AAB" w:rsidRPr="002C4077">
        <w:t xml:space="preserve"> </w:t>
      </w:r>
      <w:r w:rsidR="000A7AAB">
        <w:t>Achaz</w:t>
      </w:r>
      <w:r w:rsidR="000A7AAB" w:rsidRPr="002C4077">
        <w:t xml:space="preserve"> </w:t>
      </w:r>
      <w:r w:rsidR="000A7AAB">
        <w:t>dit</w:t>
      </w:r>
      <w:r w:rsidR="00B546AF">
        <w:t> :</w:t>
      </w:r>
      <w:r w:rsidR="000A7AAB" w:rsidRPr="002C4077">
        <w:t xml:space="preserve"> </w:t>
      </w:r>
      <w:r w:rsidR="000A7AAB">
        <w:t>Je</w:t>
      </w:r>
      <w:r w:rsidR="000A7AAB" w:rsidRPr="002C4077">
        <w:t xml:space="preserve"> </w:t>
      </w:r>
      <w:r w:rsidR="000A7AAB">
        <w:t>ne</w:t>
      </w:r>
      <w:r w:rsidR="000A7AAB" w:rsidRPr="002C4077">
        <w:t xml:space="preserve"> </w:t>
      </w:r>
      <w:r w:rsidR="000A7AAB">
        <w:t>demanderai</w:t>
      </w:r>
      <w:r w:rsidR="000A7AAB" w:rsidRPr="002C4077">
        <w:t xml:space="preserve"> </w:t>
      </w:r>
      <w:r w:rsidR="000A7AAB">
        <w:t>rien,</w:t>
      </w:r>
      <w:r w:rsidR="000A7AAB" w:rsidRPr="002C4077">
        <w:t xml:space="preserve"> </w:t>
      </w:r>
      <w:r w:rsidR="000A7AAB">
        <w:t>et</w:t>
      </w:r>
      <w:r w:rsidR="000A7AAB" w:rsidRPr="002C4077">
        <w:t xml:space="preserve"> </w:t>
      </w:r>
      <w:r w:rsidR="000A7AAB">
        <w:t>je</w:t>
      </w:r>
      <w:r w:rsidR="000A7AAB" w:rsidRPr="002C4077">
        <w:t xml:space="preserve"> </w:t>
      </w:r>
      <w:r w:rsidR="000A7AAB">
        <w:t>ne</w:t>
      </w:r>
      <w:r w:rsidR="000A7AAB" w:rsidRPr="002C4077">
        <w:t xml:space="preserve"> </w:t>
      </w:r>
      <w:r w:rsidR="000A7AAB">
        <w:t>tenterai</w:t>
      </w:r>
      <w:r w:rsidR="000A7AAB" w:rsidRPr="002C4077">
        <w:t xml:space="preserve"> </w:t>
      </w:r>
      <w:r w:rsidR="000A7AAB">
        <w:t>point</w:t>
      </w:r>
      <w:r w:rsidR="000A7AAB" w:rsidRPr="002C4077">
        <w:t xml:space="preserve"> </w:t>
      </w:r>
      <w:r w:rsidR="000A7AAB">
        <w:t>le</w:t>
      </w:r>
      <w:r w:rsidR="000A7AAB" w:rsidRPr="002C4077">
        <w:t xml:space="preserve"> </w:t>
      </w:r>
      <w:r w:rsidR="000A7AAB">
        <w:t>Seigneur.</w:t>
      </w:r>
      <w:r w:rsidR="000A7AAB" w:rsidRPr="002C4077">
        <w:t xml:space="preserve"> </w:t>
      </w:r>
    </w:p>
    <w:p w:rsidR="000A7AAB" w:rsidRDefault="008B0C1F" w:rsidP="008B0C1F">
      <w:pPr>
        <w:pStyle w:val="locus"/>
      </w:pPr>
      <w:r>
        <w:t>13.</w:t>
      </w:r>
      <w:r w:rsidRPr="002C4077">
        <w:t xml:space="preserve"> </w:t>
      </w:r>
      <w:r w:rsidR="000A7AAB">
        <w:t>Et</w:t>
      </w:r>
      <w:r w:rsidR="000A7AAB" w:rsidRPr="004440EA">
        <w:t xml:space="preserve"> (</w:t>
      </w:r>
      <w:r w:rsidR="000A7AAB">
        <w:t>Isaïe</w:t>
      </w:r>
      <w:r w:rsidR="00B546AF" w:rsidRPr="002C4077">
        <w:t>)</w:t>
      </w:r>
      <w:r w:rsidR="000A7AAB" w:rsidRPr="002C4077">
        <w:t xml:space="preserve"> </w:t>
      </w:r>
      <w:r w:rsidR="000A7AAB">
        <w:t>dit</w:t>
      </w:r>
      <w:r w:rsidR="00B546AF">
        <w:t> :</w:t>
      </w:r>
      <w:r w:rsidR="000A7AAB" w:rsidRPr="002C4077">
        <w:t xml:space="preserve"> </w:t>
      </w:r>
      <w:r w:rsidR="000A7AAB">
        <w:t>Écoutez</w:t>
      </w:r>
      <w:r w:rsidR="000A7AAB" w:rsidRPr="002C4077">
        <w:t xml:space="preserve"> </w:t>
      </w:r>
      <w:r w:rsidR="000A7AAB">
        <w:t>donc,</w:t>
      </w:r>
      <w:r w:rsidR="000A7AAB" w:rsidRPr="002C4077">
        <w:t xml:space="preserve"> </w:t>
      </w:r>
      <w:r w:rsidR="000A7AAB">
        <w:t>maison</w:t>
      </w:r>
      <w:r w:rsidR="000A7AAB" w:rsidRPr="002C4077">
        <w:t xml:space="preserve"> </w:t>
      </w:r>
      <w:r w:rsidR="000A7AAB">
        <w:t>de</w:t>
      </w:r>
      <w:r w:rsidR="000A7AAB" w:rsidRPr="002C4077">
        <w:t xml:space="preserve"> </w:t>
      </w:r>
      <w:r w:rsidR="000A7AAB">
        <w:t>David.</w:t>
      </w:r>
      <w:r w:rsidR="000A7AAB" w:rsidRPr="002C4077">
        <w:t xml:space="preserve"> </w:t>
      </w:r>
      <w:r w:rsidR="000A7AAB">
        <w:t>Est-ce</w:t>
      </w:r>
      <w:r w:rsidR="000A7AAB" w:rsidRPr="002C4077">
        <w:t xml:space="preserve"> </w:t>
      </w:r>
      <w:r w:rsidR="000A7AAB">
        <w:t>trop</w:t>
      </w:r>
      <w:r w:rsidR="000A7AAB" w:rsidRPr="002C4077">
        <w:t xml:space="preserve"> </w:t>
      </w:r>
      <w:r w:rsidR="000A7AAB">
        <w:t>peu</w:t>
      </w:r>
      <w:r w:rsidR="000A7AAB" w:rsidRPr="002C4077">
        <w:t xml:space="preserve"> </w:t>
      </w:r>
      <w:r w:rsidR="000A7AAB">
        <w:t>pour</w:t>
      </w:r>
      <w:r w:rsidR="000A7AAB" w:rsidRPr="002C4077">
        <w:t xml:space="preserve"> </w:t>
      </w:r>
      <w:r w:rsidR="000A7AAB">
        <w:t>vous</w:t>
      </w:r>
      <w:r w:rsidR="000A7AAB" w:rsidRPr="002C4077">
        <w:t xml:space="preserve"> </w:t>
      </w:r>
      <w:r w:rsidR="000A7AAB">
        <w:t>de</w:t>
      </w:r>
      <w:r w:rsidR="000A7AAB" w:rsidRPr="002C4077">
        <w:t xml:space="preserve"> </w:t>
      </w:r>
      <w:r w:rsidR="000A7AAB">
        <w:t>fatiguer</w:t>
      </w:r>
      <w:r w:rsidR="000A7AAB" w:rsidRPr="002C4077">
        <w:t xml:space="preserve"> </w:t>
      </w:r>
      <w:r w:rsidR="000A7AAB">
        <w:t>les</w:t>
      </w:r>
      <w:r w:rsidR="000A7AAB" w:rsidRPr="002C4077">
        <w:t xml:space="preserve"> </w:t>
      </w:r>
      <w:r w:rsidR="000A7AAB">
        <w:t>hommes,</w:t>
      </w:r>
      <w:r w:rsidR="000A7AAB" w:rsidRPr="002C4077">
        <w:t xml:space="preserve"> </w:t>
      </w:r>
      <w:r w:rsidR="000A7AAB">
        <w:t>que</w:t>
      </w:r>
      <w:r w:rsidR="000A7AAB" w:rsidRPr="002C4077">
        <w:t xml:space="preserve"> </w:t>
      </w:r>
      <w:r w:rsidR="000A7AAB">
        <w:t>vous</w:t>
      </w:r>
      <w:r w:rsidR="000A7AAB" w:rsidRPr="002C4077">
        <w:t xml:space="preserve"> </w:t>
      </w:r>
      <w:r w:rsidR="000A7AAB">
        <w:t>fatiguiez</w:t>
      </w:r>
      <w:r w:rsidR="000A7AAB" w:rsidRPr="002C4077">
        <w:t xml:space="preserve"> </w:t>
      </w:r>
      <w:r w:rsidR="000A7AAB">
        <w:t>aussi</w:t>
      </w:r>
      <w:r w:rsidR="000A7AAB" w:rsidRPr="002C4077">
        <w:t xml:space="preserve"> </w:t>
      </w:r>
      <w:r w:rsidR="000A7AAB">
        <w:t>mon</w:t>
      </w:r>
      <w:r w:rsidR="000A7AAB" w:rsidRPr="002C4077">
        <w:t xml:space="preserve"> </w:t>
      </w:r>
      <w:r w:rsidR="000A7AAB">
        <w:t>Dieu</w:t>
      </w:r>
      <w:r w:rsidR="00B546AF">
        <w:t> ?</w:t>
      </w:r>
      <w:r w:rsidR="000A7AAB" w:rsidRPr="002C4077">
        <w:t xml:space="preserve"> </w:t>
      </w:r>
    </w:p>
    <w:p w:rsidR="000A7AAB" w:rsidRPr="008B0C1F" w:rsidRDefault="000A7AAB" w:rsidP="008B0C1F">
      <w:pPr>
        <w:pStyle w:val="locus"/>
      </w:pPr>
      <w:r w:rsidRPr="008B0C1F">
        <w:t>14</w:t>
      </w:r>
      <w:r w:rsidRPr="002C4077">
        <w:t xml:space="preserve"> </w:t>
      </w:r>
      <w:r w:rsidRPr="008B0C1F">
        <w:t>C’est</w:t>
      </w:r>
      <w:r w:rsidRPr="002C4077">
        <w:t xml:space="preserve"> </w:t>
      </w:r>
      <w:r w:rsidRPr="008B0C1F">
        <w:t>pourquoi</w:t>
      </w:r>
      <w:r w:rsidRPr="002C4077">
        <w:t xml:space="preserve"> </w:t>
      </w:r>
      <w:r w:rsidRPr="008B0C1F">
        <w:t>le</w:t>
      </w:r>
      <w:r w:rsidRPr="002C4077">
        <w:t xml:space="preserve"> </w:t>
      </w:r>
      <w:r w:rsidRPr="008B0C1F">
        <w:t>Seigneur</w:t>
      </w:r>
      <w:r w:rsidRPr="002C4077">
        <w:t xml:space="preserve"> </w:t>
      </w:r>
      <w:r w:rsidRPr="008B0C1F">
        <w:t>vous</w:t>
      </w:r>
      <w:r w:rsidRPr="002C4077">
        <w:t xml:space="preserve"> </w:t>
      </w:r>
      <w:r w:rsidRPr="008B0C1F">
        <w:t>donnera</w:t>
      </w:r>
      <w:r w:rsidRPr="002C4077">
        <w:t xml:space="preserve"> </w:t>
      </w:r>
      <w:r w:rsidRPr="008B0C1F">
        <w:t>lui-même</w:t>
      </w:r>
      <w:r w:rsidRPr="002C4077">
        <w:t xml:space="preserve"> </w:t>
      </w:r>
      <w:r w:rsidRPr="008B0C1F">
        <w:t>un</w:t>
      </w:r>
      <w:r w:rsidRPr="002C4077">
        <w:t xml:space="preserve"> </w:t>
      </w:r>
      <w:r w:rsidRPr="008B0C1F">
        <w:t>signe.</w:t>
      </w:r>
      <w:r w:rsidRPr="002C4077">
        <w:t xml:space="preserve"> </w:t>
      </w:r>
      <w:r w:rsidRPr="008B0C1F">
        <w:rPr>
          <w:rStyle w:val="pm"/>
        </w:rPr>
        <w:t>Voici</w:t>
      </w:r>
      <w:r w:rsidR="00B546AF" w:rsidRPr="008B0C1F">
        <w:rPr>
          <w:rStyle w:val="pm"/>
        </w:rPr>
        <w:t> !</w:t>
      </w:r>
      <w:r w:rsidRPr="002C4077">
        <w:t xml:space="preserve"> </w:t>
      </w:r>
      <w:r w:rsidRPr="008B0C1F">
        <w:rPr>
          <w:rStyle w:val="pm"/>
        </w:rPr>
        <w:t>La</w:t>
      </w:r>
      <w:r w:rsidRPr="002C4077">
        <w:t xml:space="preserve"> </w:t>
      </w:r>
      <w:r w:rsidRPr="008B0C1F">
        <w:rPr>
          <w:rStyle w:val="pm"/>
        </w:rPr>
        <w:t>Vierge</w:t>
      </w:r>
      <w:r w:rsidRPr="002C4077">
        <w:t xml:space="preserve"> </w:t>
      </w:r>
      <w:r w:rsidRPr="008B0C1F">
        <w:rPr>
          <w:rStyle w:val="pm"/>
        </w:rPr>
        <w:t>concevra</w:t>
      </w:r>
      <w:r w:rsidRPr="002C4077">
        <w:t xml:space="preserve"> </w:t>
      </w:r>
      <w:r w:rsidRPr="008B0C1F">
        <w:rPr>
          <w:rStyle w:val="pm"/>
        </w:rPr>
        <w:t>et</w:t>
      </w:r>
      <w:r w:rsidRPr="002C4077">
        <w:t xml:space="preserve"> </w:t>
      </w:r>
      <w:r w:rsidRPr="008B0C1F">
        <w:rPr>
          <w:rStyle w:val="pm"/>
        </w:rPr>
        <w:t>elle</w:t>
      </w:r>
      <w:r w:rsidRPr="002C4077">
        <w:t xml:space="preserve"> </w:t>
      </w:r>
      <w:r w:rsidRPr="008B0C1F">
        <w:rPr>
          <w:rStyle w:val="pm"/>
        </w:rPr>
        <w:t>enfantera</w:t>
      </w:r>
      <w:r w:rsidRPr="002C4077">
        <w:t xml:space="preserve"> </w:t>
      </w:r>
      <w:r w:rsidRPr="008B0C1F">
        <w:rPr>
          <w:rStyle w:val="pm"/>
        </w:rPr>
        <w:t>un</w:t>
      </w:r>
      <w:r w:rsidRPr="002C4077">
        <w:t xml:space="preserve"> </w:t>
      </w:r>
      <w:r w:rsidRPr="008B0C1F">
        <w:rPr>
          <w:rStyle w:val="pm"/>
        </w:rPr>
        <w:t>Fils,</w:t>
      </w:r>
      <w:r w:rsidRPr="002C4077">
        <w:t xml:space="preserve"> </w:t>
      </w:r>
      <w:r w:rsidRPr="008B0C1F">
        <w:rPr>
          <w:rStyle w:val="pm"/>
        </w:rPr>
        <w:t>et</w:t>
      </w:r>
      <w:r w:rsidRPr="002C4077">
        <w:t xml:space="preserve"> </w:t>
      </w:r>
      <w:r w:rsidRPr="008B0C1F">
        <w:rPr>
          <w:rStyle w:val="pm"/>
        </w:rPr>
        <w:t>elle</w:t>
      </w:r>
      <w:r w:rsidRPr="002C4077">
        <w:t xml:space="preserve"> </w:t>
      </w:r>
      <w:r w:rsidRPr="008B0C1F">
        <w:rPr>
          <w:rStyle w:val="pm"/>
        </w:rPr>
        <w:t>l’appellera</w:t>
      </w:r>
      <w:r w:rsidRPr="002C4077">
        <w:t xml:space="preserve"> </w:t>
      </w:r>
      <w:r w:rsidRPr="008B0C1F">
        <w:rPr>
          <w:rStyle w:val="pm"/>
        </w:rPr>
        <w:t>Emmanuel.</w:t>
      </w:r>
      <w:r w:rsidRPr="002C4077">
        <w:t xml:space="preserve"> </w:t>
      </w:r>
    </w:p>
    <w:p w:rsidR="000A7AAB" w:rsidRDefault="008B0C1F" w:rsidP="008B0C1F">
      <w:pPr>
        <w:pStyle w:val="locus"/>
      </w:pPr>
      <w:r>
        <w:t>15</w:t>
      </w:r>
      <w:r w:rsidR="000A7AAB">
        <w:t>.</w:t>
      </w:r>
      <w:r w:rsidR="000A7AAB" w:rsidRPr="002C4077">
        <w:t xml:space="preserve"> </w:t>
      </w:r>
      <w:r w:rsidR="000A7AAB">
        <w:t>Il</w:t>
      </w:r>
      <w:r w:rsidR="000A7AAB" w:rsidRPr="002C4077">
        <w:t xml:space="preserve"> </w:t>
      </w:r>
      <w:r w:rsidR="000A7AAB">
        <w:t>mangera</w:t>
      </w:r>
      <w:r w:rsidR="000A7AAB" w:rsidRPr="002C4077">
        <w:t xml:space="preserve"> </w:t>
      </w:r>
      <w:r w:rsidR="000A7AAB">
        <w:t>de</w:t>
      </w:r>
      <w:r w:rsidR="000A7AAB" w:rsidRPr="002C4077">
        <w:t xml:space="preserve"> </w:t>
      </w:r>
      <w:r w:rsidR="000A7AAB">
        <w:t>la</w:t>
      </w:r>
      <w:r w:rsidR="000A7AAB" w:rsidRPr="002C4077">
        <w:t xml:space="preserve"> </w:t>
      </w:r>
      <w:r w:rsidR="000A7AAB">
        <w:t>crème</w:t>
      </w:r>
      <w:r w:rsidR="000A7AAB" w:rsidRPr="002C4077">
        <w:t xml:space="preserve"> </w:t>
      </w:r>
      <w:r w:rsidR="000A7AAB">
        <w:t>et</w:t>
      </w:r>
      <w:r w:rsidR="000A7AAB" w:rsidRPr="002C4077">
        <w:t xml:space="preserve"> </w:t>
      </w:r>
      <w:r w:rsidR="000A7AAB">
        <w:t>du</w:t>
      </w:r>
      <w:r w:rsidR="000A7AAB" w:rsidRPr="002C4077">
        <w:t xml:space="preserve"> </w:t>
      </w:r>
      <w:r w:rsidR="000A7AAB">
        <w:t>miel,</w:t>
      </w:r>
      <w:r w:rsidR="000A7AAB" w:rsidRPr="002C4077">
        <w:t xml:space="preserve"> </w:t>
      </w:r>
      <w:r w:rsidR="000A7AAB">
        <w:t>jusqu’à</w:t>
      </w:r>
      <w:r w:rsidR="000A7AAB" w:rsidRPr="002C4077">
        <w:t xml:space="preserve"> </w:t>
      </w:r>
      <w:r w:rsidR="000A7AAB">
        <w:t>ce</w:t>
      </w:r>
      <w:r w:rsidR="000A7AAB" w:rsidRPr="002C4077">
        <w:t xml:space="preserve"> </w:t>
      </w:r>
      <w:r w:rsidR="000A7AAB">
        <w:t>qu’il</w:t>
      </w:r>
      <w:r w:rsidR="000A7AAB" w:rsidRPr="002C4077">
        <w:t xml:space="preserve"> </w:t>
      </w:r>
      <w:r w:rsidR="000A7AAB">
        <w:t>sache</w:t>
      </w:r>
      <w:r w:rsidR="000A7AAB" w:rsidRPr="002C4077">
        <w:t xml:space="preserve"> </w:t>
      </w:r>
      <w:r w:rsidR="000A7AAB">
        <w:t>rejeter</w:t>
      </w:r>
      <w:r w:rsidR="000A7AAB" w:rsidRPr="002C4077">
        <w:t xml:space="preserve"> </w:t>
      </w:r>
      <w:r w:rsidR="000A7AAB">
        <w:t>le</w:t>
      </w:r>
      <w:r w:rsidR="000A7AAB" w:rsidRPr="002C4077">
        <w:t xml:space="preserve"> </w:t>
      </w:r>
      <w:r w:rsidR="000A7AAB">
        <w:t>mal</w:t>
      </w:r>
      <w:r w:rsidR="000A7AAB" w:rsidRPr="002C4077">
        <w:t xml:space="preserve"> </w:t>
      </w:r>
      <w:r w:rsidR="000A7AAB">
        <w:t>et</w:t>
      </w:r>
      <w:r w:rsidR="000A7AAB" w:rsidRPr="002C4077">
        <w:t xml:space="preserve"> </w:t>
      </w:r>
      <w:r w:rsidR="000A7AAB">
        <w:t>choisir</w:t>
      </w:r>
      <w:r w:rsidR="000A7AAB" w:rsidRPr="002C4077">
        <w:t xml:space="preserve"> </w:t>
      </w:r>
      <w:r w:rsidR="000A7AAB">
        <w:t>le</w:t>
      </w:r>
      <w:r w:rsidR="000A7AAB" w:rsidRPr="002C4077">
        <w:t xml:space="preserve"> </w:t>
      </w:r>
      <w:r w:rsidR="000A7AAB">
        <w:t>bien.</w:t>
      </w:r>
      <w:r w:rsidR="000A7AAB" w:rsidRPr="002C4077">
        <w:t xml:space="preserve"> </w:t>
      </w:r>
    </w:p>
    <w:p w:rsidR="000A7AAB" w:rsidRDefault="000A7AAB" w:rsidP="008B0C1F">
      <w:pPr>
        <w:pStyle w:val="locus"/>
      </w:pPr>
      <w:r>
        <w:t>16.</w:t>
      </w:r>
      <w:r w:rsidRPr="002C4077">
        <w:t xml:space="preserve"> </w:t>
      </w:r>
      <w:r>
        <w:t>Car,</w:t>
      </w:r>
      <w:r w:rsidRPr="002C4077">
        <w:t xml:space="preserve"> </w:t>
      </w:r>
      <w:r>
        <w:t>avant</w:t>
      </w:r>
      <w:r w:rsidRPr="002C4077">
        <w:t xml:space="preserve"> </w:t>
      </w:r>
      <w:r>
        <w:t>que</w:t>
      </w:r>
      <w:r w:rsidRPr="002C4077">
        <w:t xml:space="preserve"> </w:t>
      </w:r>
      <w:r>
        <w:t>l’enfant</w:t>
      </w:r>
      <w:r w:rsidRPr="002C4077">
        <w:t xml:space="preserve"> </w:t>
      </w:r>
      <w:r>
        <w:t>sache</w:t>
      </w:r>
      <w:r w:rsidRPr="002C4077">
        <w:t xml:space="preserve"> </w:t>
      </w:r>
      <w:r>
        <w:t>rejeter</w:t>
      </w:r>
      <w:r w:rsidRPr="002C4077">
        <w:t xml:space="preserve"> </w:t>
      </w:r>
      <w:r>
        <w:t>le</w:t>
      </w:r>
      <w:r w:rsidRPr="002C4077">
        <w:t xml:space="preserve"> </w:t>
      </w:r>
      <w:r>
        <w:t>mal</w:t>
      </w:r>
      <w:r w:rsidRPr="002C4077">
        <w:t xml:space="preserve"> </w:t>
      </w:r>
      <w:r>
        <w:t>et</w:t>
      </w:r>
      <w:r w:rsidRPr="002C4077">
        <w:t xml:space="preserve"> </w:t>
      </w:r>
      <w:r>
        <w:t>choisir</w:t>
      </w:r>
      <w:r w:rsidRPr="002C4077">
        <w:t xml:space="preserve"> </w:t>
      </w:r>
      <w:r>
        <w:t>le</w:t>
      </w:r>
      <w:r w:rsidRPr="002C4077">
        <w:t xml:space="preserve"> </w:t>
      </w:r>
      <w:r>
        <w:t>bien,</w:t>
      </w:r>
      <w:r w:rsidRPr="002C4077">
        <w:t xml:space="preserve"> </w:t>
      </w:r>
      <w:r>
        <w:t>le</w:t>
      </w:r>
      <w:r w:rsidRPr="002C4077">
        <w:t xml:space="preserve"> </w:t>
      </w:r>
      <w:r>
        <w:t>pays</w:t>
      </w:r>
      <w:r w:rsidRPr="002C4077">
        <w:t xml:space="preserve"> </w:t>
      </w:r>
      <w:r>
        <w:t>dont</w:t>
      </w:r>
      <w:r w:rsidRPr="002C4077">
        <w:t xml:space="preserve"> </w:t>
      </w:r>
      <w:r>
        <w:t>les</w:t>
      </w:r>
      <w:r w:rsidRPr="002C4077">
        <w:t xml:space="preserve"> </w:t>
      </w:r>
      <w:r>
        <w:t>deux</w:t>
      </w:r>
      <w:r w:rsidRPr="002C4077">
        <w:t xml:space="preserve"> </w:t>
      </w:r>
      <w:r>
        <w:t>rois</w:t>
      </w:r>
      <w:r w:rsidRPr="002C4077">
        <w:t xml:space="preserve"> </w:t>
      </w:r>
      <w:r>
        <w:t>te</w:t>
      </w:r>
      <w:r w:rsidRPr="002C4077">
        <w:t xml:space="preserve"> </w:t>
      </w:r>
      <w:r>
        <w:t>font</w:t>
      </w:r>
      <w:r w:rsidRPr="002C4077">
        <w:t xml:space="preserve"> </w:t>
      </w:r>
      <w:r>
        <w:t>peur</w:t>
      </w:r>
      <w:r w:rsidRPr="002C4077">
        <w:t xml:space="preserve"> </w:t>
      </w:r>
      <w:r>
        <w:t>sera</w:t>
      </w:r>
      <w:r w:rsidRPr="002C4077">
        <w:t xml:space="preserve"> </w:t>
      </w:r>
      <w:r>
        <w:t>dévasté.</w:t>
      </w:r>
      <w:r w:rsidRPr="002C4077">
        <w:t xml:space="preserve"> </w:t>
      </w:r>
    </w:p>
    <w:p w:rsidR="000A7AAB" w:rsidRDefault="000A7AAB" w:rsidP="000A7AAB">
      <w:r>
        <w:t>Ici</w:t>
      </w:r>
      <w:r w:rsidRPr="002C4077">
        <w:t xml:space="preserve"> </w:t>
      </w:r>
      <w:r>
        <w:t>encore,</w:t>
      </w:r>
      <w:r w:rsidRPr="002C4077">
        <w:t xml:space="preserve"> </w:t>
      </w:r>
      <w:r>
        <w:t>et</w:t>
      </w:r>
      <w:r w:rsidRPr="002C4077">
        <w:t xml:space="preserve"> </w:t>
      </w:r>
      <w:r>
        <w:t>plus</w:t>
      </w:r>
      <w:r w:rsidRPr="002C4077">
        <w:t xml:space="preserve"> </w:t>
      </w:r>
      <w:r>
        <w:t>même</w:t>
      </w:r>
      <w:r w:rsidRPr="002C4077">
        <w:t xml:space="preserve"> </w:t>
      </w:r>
      <w:r>
        <w:t>que</w:t>
      </w:r>
      <w:r w:rsidRPr="002C4077">
        <w:t xml:space="preserve"> </w:t>
      </w:r>
      <w:r>
        <w:t>précédemment,</w:t>
      </w:r>
      <w:r w:rsidRPr="002C4077">
        <w:t xml:space="preserve"> </w:t>
      </w:r>
      <w:r>
        <w:t>tout</w:t>
      </w:r>
      <w:r w:rsidRPr="002C4077">
        <w:t xml:space="preserve"> </w:t>
      </w:r>
      <w:r w:rsidR="00425C50">
        <w:t>est</w:t>
      </w:r>
      <w:r w:rsidRPr="002C4077">
        <w:t xml:space="preserve"> </w:t>
      </w:r>
      <w:r>
        <w:t>d’une</w:t>
      </w:r>
      <w:r w:rsidRPr="002C4077">
        <w:t xml:space="preserve"> </w:t>
      </w:r>
      <w:r>
        <w:t>grandiose</w:t>
      </w:r>
      <w:r w:rsidRPr="002C4077">
        <w:t xml:space="preserve"> </w:t>
      </w:r>
      <w:r>
        <w:t>simplicité.</w:t>
      </w:r>
      <w:r w:rsidRPr="002C4077">
        <w:t xml:space="preserve"> </w:t>
      </w:r>
      <w:r>
        <w:t>Trouve-t-on</w:t>
      </w:r>
      <w:r w:rsidRPr="002C4077">
        <w:t xml:space="preserve"> </w:t>
      </w:r>
      <w:r>
        <w:t>ce</w:t>
      </w:r>
      <w:r w:rsidRPr="002C4077">
        <w:t xml:space="preserve"> </w:t>
      </w:r>
      <w:r>
        <w:t>caractère</w:t>
      </w:r>
      <w:r w:rsidRPr="002C4077">
        <w:t xml:space="preserve"> </w:t>
      </w:r>
      <w:r>
        <w:t>dans</w:t>
      </w:r>
      <w:r w:rsidRPr="002C4077">
        <w:t xml:space="preserve"> </w:t>
      </w:r>
      <w:r>
        <w:t>les</w:t>
      </w:r>
      <w:r w:rsidRPr="002C4077">
        <w:t xml:space="preserve"> </w:t>
      </w:r>
      <w:r>
        <w:t>fausses</w:t>
      </w:r>
      <w:r w:rsidRPr="002C4077">
        <w:t xml:space="preserve"> </w:t>
      </w:r>
      <w:r>
        <w:t>prophéties</w:t>
      </w:r>
      <w:r w:rsidRPr="002C4077">
        <w:t xml:space="preserve"> </w:t>
      </w:r>
      <w:r>
        <w:t>des</w:t>
      </w:r>
      <w:r w:rsidRPr="002C4077">
        <w:t xml:space="preserve"> </w:t>
      </w:r>
      <w:r>
        <w:t>auteurs</w:t>
      </w:r>
      <w:r w:rsidRPr="002C4077">
        <w:t xml:space="preserve"> </w:t>
      </w:r>
      <w:r>
        <w:t>païens</w:t>
      </w:r>
      <w:r w:rsidR="00B546AF">
        <w:t> ?</w:t>
      </w:r>
      <w:r w:rsidRPr="002C4077">
        <w:t xml:space="preserve"> </w:t>
      </w:r>
    </w:p>
    <w:p w:rsidR="000A7AAB" w:rsidRDefault="000A7AAB" w:rsidP="000A7AAB">
      <w:r>
        <w:t>Remarquons</w:t>
      </w:r>
      <w:r w:rsidRPr="002C4077">
        <w:t xml:space="preserve"> </w:t>
      </w:r>
      <w:r>
        <w:t>d’abord</w:t>
      </w:r>
      <w:r w:rsidRPr="002C4077">
        <w:t xml:space="preserve"> </w:t>
      </w:r>
      <w:r>
        <w:t>la</w:t>
      </w:r>
      <w:r w:rsidRPr="002C4077">
        <w:t xml:space="preserve"> </w:t>
      </w:r>
      <w:r>
        <w:t>majestueuse</w:t>
      </w:r>
      <w:r w:rsidRPr="002C4077">
        <w:t xml:space="preserve"> </w:t>
      </w:r>
      <w:r>
        <w:t>formule</w:t>
      </w:r>
      <w:r w:rsidRPr="002C4077">
        <w:t xml:space="preserve"> </w:t>
      </w:r>
      <w:r>
        <w:t>de</w:t>
      </w:r>
      <w:r w:rsidRPr="002C4077">
        <w:t xml:space="preserve"> </w:t>
      </w:r>
      <w:r>
        <w:t>transition</w:t>
      </w:r>
      <w:r w:rsidR="00B546AF">
        <w:t> :</w:t>
      </w:r>
      <w:r w:rsidRPr="002C4077">
        <w:t xml:space="preserve"> </w:t>
      </w:r>
      <w:r w:rsidRPr="000A34B5">
        <w:rPr>
          <w:rStyle w:val="italicus"/>
        </w:rPr>
        <w:t>Et</w:t>
      </w:r>
      <w:r w:rsidRPr="002C4077">
        <w:t xml:space="preserve"> </w:t>
      </w:r>
      <w:r w:rsidR="008B0C1F" w:rsidRPr="000A34B5">
        <w:rPr>
          <w:rStyle w:val="italicus"/>
        </w:rPr>
        <w:t>adjécit</w:t>
      </w:r>
      <w:r w:rsidRPr="002C4077">
        <w:t xml:space="preserve"> </w:t>
      </w:r>
      <w:r w:rsidRPr="000A34B5">
        <w:rPr>
          <w:rStyle w:val="italicus"/>
        </w:rPr>
        <w:t>D</w:t>
      </w:r>
      <w:r w:rsidR="003B53FD">
        <w:rPr>
          <w:rStyle w:val="italicus"/>
        </w:rPr>
        <w:t>ó</w:t>
      </w:r>
      <w:r w:rsidR="003B53FD" w:rsidRPr="000A34B5">
        <w:rPr>
          <w:rStyle w:val="italicus"/>
        </w:rPr>
        <w:t>minus</w:t>
      </w:r>
      <w:r w:rsidRPr="002C4077">
        <w:t xml:space="preserve"> </w:t>
      </w:r>
      <w:r w:rsidRPr="000A34B5">
        <w:rPr>
          <w:rStyle w:val="italicus"/>
        </w:rPr>
        <w:t>loqui</w:t>
      </w:r>
      <w:r w:rsidRPr="002C4077">
        <w:t xml:space="preserve"> </w:t>
      </w:r>
      <w:r w:rsidRPr="000A34B5">
        <w:rPr>
          <w:rStyle w:val="italicus"/>
        </w:rPr>
        <w:t>ad</w:t>
      </w:r>
      <w:r w:rsidRPr="002C4077">
        <w:t xml:space="preserve"> </w:t>
      </w:r>
      <w:r w:rsidRPr="000A34B5">
        <w:rPr>
          <w:rStyle w:val="italicus"/>
        </w:rPr>
        <w:t>Ach</w:t>
      </w:r>
      <w:r w:rsidR="00F6492C" w:rsidRPr="000A34B5">
        <w:rPr>
          <w:rStyle w:val="italicus"/>
        </w:rPr>
        <w:t>az</w:t>
      </w:r>
      <w:r w:rsidR="00F6492C">
        <w:rPr>
          <w:rStyle w:val="Appelnotedebasdep"/>
          <w:i/>
        </w:rPr>
        <w:footnoteReference w:id="47"/>
      </w:r>
      <w:r w:rsidR="00F6492C" w:rsidRPr="000A34B5">
        <w:rPr>
          <w:rStyle w:val="italicus"/>
        </w:rPr>
        <w:t>.</w:t>
      </w:r>
      <w:r w:rsidRPr="002C4077">
        <w:t xml:space="preserve"> </w:t>
      </w:r>
      <w:r>
        <w:t>C’est</w:t>
      </w:r>
      <w:r w:rsidRPr="002C4077">
        <w:t xml:space="preserve"> </w:t>
      </w:r>
      <w:r>
        <w:t>Isaïe</w:t>
      </w:r>
      <w:r w:rsidRPr="002C4077">
        <w:t xml:space="preserve"> </w:t>
      </w:r>
      <w:r>
        <w:t>qui</w:t>
      </w:r>
      <w:r w:rsidRPr="002C4077">
        <w:t xml:space="preserve"> </w:t>
      </w:r>
      <w:r>
        <w:t>parlait</w:t>
      </w:r>
      <w:r w:rsidRPr="002C4077">
        <w:t xml:space="preserve"> </w:t>
      </w:r>
      <w:r>
        <w:t>au</w:t>
      </w:r>
      <w:r w:rsidRPr="002C4077">
        <w:t xml:space="preserve"> </w:t>
      </w:r>
      <w:r>
        <w:t>roi</w:t>
      </w:r>
      <w:r w:rsidR="00B546AF">
        <w:t> ;</w:t>
      </w:r>
      <w:r w:rsidRPr="002C4077">
        <w:t xml:space="preserve"> </w:t>
      </w:r>
      <w:r>
        <w:t>mais</w:t>
      </w:r>
      <w:r w:rsidRPr="002C4077">
        <w:t xml:space="preserve"> </w:t>
      </w:r>
      <w:r>
        <w:t>il</w:t>
      </w:r>
      <w:r w:rsidRPr="002C4077">
        <w:t xml:space="preserve"> </w:t>
      </w:r>
      <w:r>
        <w:t>parlait</w:t>
      </w:r>
      <w:r w:rsidRPr="002C4077">
        <w:t xml:space="preserve"> </w:t>
      </w:r>
      <w:r>
        <w:t>comme</w:t>
      </w:r>
      <w:r w:rsidRPr="002C4077">
        <w:t xml:space="preserve"> </w:t>
      </w:r>
      <w:r>
        <w:t>organe</w:t>
      </w:r>
      <w:r w:rsidRPr="002C4077">
        <w:t xml:space="preserve"> </w:t>
      </w:r>
      <w:r>
        <w:t>du</w:t>
      </w:r>
      <w:r w:rsidRPr="002C4077">
        <w:t xml:space="preserve"> </w:t>
      </w:r>
      <w:r>
        <w:t>Seigneur,</w:t>
      </w:r>
      <w:r w:rsidRPr="002C4077">
        <w:t xml:space="preserve"> </w:t>
      </w:r>
      <w:r>
        <w:t>lequel</w:t>
      </w:r>
      <w:r w:rsidRPr="002C4077">
        <w:t xml:space="preserve"> </w:t>
      </w:r>
      <w:r>
        <w:t>seul</w:t>
      </w:r>
      <w:r w:rsidRPr="002C4077">
        <w:t xml:space="preserve"> </w:t>
      </w:r>
      <w:r>
        <w:t>était</w:t>
      </w:r>
      <w:r w:rsidRPr="002C4077">
        <w:t xml:space="preserve"> </w:t>
      </w:r>
      <w:r>
        <w:t>capable</w:t>
      </w:r>
      <w:r w:rsidRPr="002C4077">
        <w:t xml:space="preserve"> </w:t>
      </w:r>
      <w:r>
        <w:t>de</w:t>
      </w:r>
      <w:r w:rsidRPr="002C4077">
        <w:t xml:space="preserve"> </w:t>
      </w:r>
      <w:r>
        <w:t>réaliser</w:t>
      </w:r>
      <w:r w:rsidRPr="002C4077">
        <w:t xml:space="preserve"> </w:t>
      </w:r>
      <w:r>
        <w:t>les</w:t>
      </w:r>
      <w:r w:rsidRPr="002C4077">
        <w:t xml:space="preserve"> </w:t>
      </w:r>
      <w:r>
        <w:t>promesses</w:t>
      </w:r>
      <w:r w:rsidRPr="002C4077">
        <w:t xml:space="preserve"> </w:t>
      </w:r>
      <w:r>
        <w:t>mentionnées</w:t>
      </w:r>
      <w:r w:rsidRPr="002C4077">
        <w:t xml:space="preserve"> </w:t>
      </w:r>
      <w:r>
        <w:t>ensuite</w:t>
      </w:r>
      <w:r w:rsidR="00B546AF">
        <w:t> ;</w:t>
      </w:r>
      <w:r w:rsidR="00C45B47">
        <w:t xml:space="preserve"> {</w:t>
      </w:r>
      <w:r w:rsidR="000721C4">
        <w:t>16</w:t>
      </w:r>
      <w:bookmarkStart w:id="64" w:name="p016"/>
      <w:bookmarkEnd w:id="64"/>
      <w:r w:rsidR="000721C4">
        <w:t xml:space="preserve">} </w:t>
      </w:r>
      <w:r>
        <w:t>voilà</w:t>
      </w:r>
      <w:r w:rsidRPr="002C4077">
        <w:t xml:space="preserve"> </w:t>
      </w:r>
      <w:r>
        <w:t>pourquoi</w:t>
      </w:r>
      <w:r w:rsidRPr="002C4077">
        <w:t xml:space="preserve"> </w:t>
      </w:r>
      <w:r>
        <w:t>le</w:t>
      </w:r>
      <w:r w:rsidRPr="002C4077">
        <w:t xml:space="preserve"> </w:t>
      </w:r>
      <w:r>
        <w:t>récit</w:t>
      </w:r>
      <w:r w:rsidRPr="002C4077">
        <w:t xml:space="preserve"> </w:t>
      </w:r>
      <w:r>
        <w:t>sacré</w:t>
      </w:r>
      <w:r w:rsidRPr="002C4077">
        <w:t xml:space="preserve"> </w:t>
      </w:r>
      <w:r>
        <w:t>place</w:t>
      </w:r>
      <w:r w:rsidRPr="002C4077">
        <w:t xml:space="preserve"> </w:t>
      </w:r>
      <w:r>
        <w:t>le</w:t>
      </w:r>
      <w:r w:rsidRPr="002C4077">
        <w:t xml:space="preserve"> </w:t>
      </w:r>
      <w:r>
        <w:t>langage</w:t>
      </w:r>
      <w:r w:rsidRPr="002C4077">
        <w:t xml:space="preserve"> </w:t>
      </w:r>
      <w:r>
        <w:t>du</w:t>
      </w:r>
      <w:r w:rsidRPr="002C4077">
        <w:t xml:space="preserve"> </w:t>
      </w:r>
      <w:r>
        <w:t>prophète</w:t>
      </w:r>
      <w:r w:rsidRPr="002C4077">
        <w:t xml:space="preserve"> </w:t>
      </w:r>
      <w:r>
        <w:t>sur</w:t>
      </w:r>
      <w:r w:rsidRPr="002C4077">
        <w:t xml:space="preserve"> </w:t>
      </w:r>
      <w:r>
        <w:t>les</w:t>
      </w:r>
      <w:r w:rsidRPr="002C4077">
        <w:t xml:space="preserve"> </w:t>
      </w:r>
      <w:r>
        <w:t>lèvres</w:t>
      </w:r>
      <w:r w:rsidRPr="002C4077">
        <w:t xml:space="preserve"> </w:t>
      </w:r>
      <w:r>
        <w:t>de</w:t>
      </w:r>
      <w:r w:rsidRPr="002C4077">
        <w:t xml:space="preserve"> </w:t>
      </w:r>
      <w:r>
        <w:t>Dieu</w:t>
      </w:r>
      <w:r w:rsidRPr="002C4077">
        <w:t xml:space="preserve"> </w:t>
      </w:r>
      <w:r>
        <w:t>lui-même,</w:t>
      </w:r>
      <w:r w:rsidRPr="002C4077">
        <w:t xml:space="preserve"> </w:t>
      </w:r>
      <w:r>
        <w:t>en</w:t>
      </w:r>
      <w:r w:rsidRPr="002C4077">
        <w:t xml:space="preserve"> </w:t>
      </w:r>
      <w:r>
        <w:t>vertu</w:t>
      </w:r>
      <w:r w:rsidRPr="002C4077">
        <w:t xml:space="preserve"> </w:t>
      </w:r>
      <w:r>
        <w:t>d’une</w:t>
      </w:r>
      <w:r w:rsidRPr="002C4077">
        <w:t xml:space="preserve"> </w:t>
      </w:r>
      <w:r w:rsidRPr="000A34B5">
        <w:rPr>
          <w:rStyle w:val="italicus"/>
        </w:rPr>
        <w:t>communic</w:t>
      </w:r>
      <w:r w:rsidR="003B53FD">
        <w:rPr>
          <w:rStyle w:val="italicus"/>
        </w:rPr>
        <w:t>á</w:t>
      </w:r>
      <w:r w:rsidR="003B53FD" w:rsidRPr="000A34B5">
        <w:rPr>
          <w:rStyle w:val="italicus"/>
        </w:rPr>
        <w:t>tio</w:t>
      </w:r>
      <w:r w:rsidRPr="002C4077">
        <w:t xml:space="preserve"> </w:t>
      </w:r>
      <w:r w:rsidRPr="000A34B5">
        <w:rPr>
          <w:rStyle w:val="italicus"/>
        </w:rPr>
        <w:t>id</w:t>
      </w:r>
      <w:r w:rsidR="003B53FD" w:rsidRPr="000A34B5">
        <w:rPr>
          <w:rStyle w:val="italicus"/>
        </w:rPr>
        <w:t>i</w:t>
      </w:r>
      <w:r w:rsidR="008B0C1F">
        <w:rPr>
          <w:rStyle w:val="italicus"/>
        </w:rPr>
        <w:t>ó</w:t>
      </w:r>
      <w:r w:rsidR="003B53FD" w:rsidRPr="000A34B5">
        <w:rPr>
          <w:rStyle w:val="italicus"/>
        </w:rPr>
        <w:t>m</w:t>
      </w:r>
      <w:r w:rsidR="008B0C1F">
        <w:rPr>
          <w:rStyle w:val="italicus"/>
        </w:rPr>
        <w:t>a</w:t>
      </w:r>
      <w:r w:rsidR="003B53FD" w:rsidRPr="000A34B5">
        <w:rPr>
          <w:rStyle w:val="italicus"/>
        </w:rPr>
        <w:t>tum</w:t>
      </w:r>
      <w:r w:rsidRPr="002C4077">
        <w:t xml:space="preserve"> </w:t>
      </w:r>
      <w:r>
        <w:t>aussi</w:t>
      </w:r>
      <w:r w:rsidRPr="002C4077">
        <w:t xml:space="preserve"> </w:t>
      </w:r>
      <w:r>
        <w:t>noble</w:t>
      </w:r>
      <w:r w:rsidRPr="002C4077">
        <w:t xml:space="preserve"> </w:t>
      </w:r>
      <w:r>
        <w:t>que</w:t>
      </w:r>
      <w:r w:rsidRPr="002C4077">
        <w:t xml:space="preserve"> </w:t>
      </w:r>
      <w:r>
        <w:t>vraie.</w:t>
      </w:r>
      <w:r w:rsidRPr="002C4077">
        <w:t xml:space="preserve"> </w:t>
      </w:r>
    </w:p>
    <w:p w:rsidR="000A7AAB" w:rsidRDefault="000A7AAB" w:rsidP="000A7AAB">
      <w:r>
        <w:t>Entre</w:t>
      </w:r>
      <w:bookmarkStart w:id="65" w:name="z_Isaie_o3"/>
      <w:bookmarkEnd w:id="65"/>
      <w:r w:rsidRPr="002C4077">
        <w:t xml:space="preserve"> </w:t>
      </w:r>
      <w:r>
        <w:t>les</w:t>
      </w:r>
      <w:r w:rsidRPr="002C4077">
        <w:t xml:space="preserve"> </w:t>
      </w:r>
      <w:r>
        <w:t>versets</w:t>
      </w:r>
      <w:r w:rsidRPr="002C4077">
        <w:t xml:space="preserve"> </w:t>
      </w:r>
      <w:r>
        <w:t>9</w:t>
      </w:r>
      <w:r w:rsidRPr="002C4077">
        <w:t xml:space="preserve"> </w:t>
      </w:r>
      <w:r>
        <w:t>et</w:t>
      </w:r>
      <w:r w:rsidRPr="002C4077">
        <w:t xml:space="preserve"> </w:t>
      </w:r>
      <w:r>
        <w:t>10</w:t>
      </w:r>
      <w:r w:rsidRPr="002C4077">
        <w:t xml:space="preserve"> </w:t>
      </w:r>
      <w:r>
        <w:t>il</w:t>
      </w:r>
      <w:r w:rsidRPr="002C4077">
        <w:t xml:space="preserve"> </w:t>
      </w:r>
      <w:r w:rsidR="00425C50">
        <w:t>est</w:t>
      </w:r>
      <w:r w:rsidRPr="002C4077">
        <w:t xml:space="preserve"> </w:t>
      </w:r>
      <w:r>
        <w:t>naturel</w:t>
      </w:r>
      <w:r w:rsidRPr="002C4077">
        <w:t xml:space="preserve"> </w:t>
      </w:r>
      <w:r>
        <w:t>de</w:t>
      </w:r>
      <w:r w:rsidRPr="002C4077">
        <w:t xml:space="preserve"> </w:t>
      </w:r>
      <w:r>
        <w:t>supposer</w:t>
      </w:r>
      <w:r w:rsidRPr="002C4077">
        <w:t xml:space="preserve"> </w:t>
      </w:r>
      <w:r>
        <w:t>une</w:t>
      </w:r>
      <w:r w:rsidRPr="002C4077">
        <w:t xml:space="preserve"> </w:t>
      </w:r>
      <w:r>
        <w:t>courte</w:t>
      </w:r>
      <w:r w:rsidRPr="002C4077">
        <w:t xml:space="preserve"> </w:t>
      </w:r>
      <w:r>
        <w:t>pause,</w:t>
      </w:r>
      <w:r w:rsidRPr="002C4077">
        <w:t xml:space="preserve"> </w:t>
      </w:r>
      <w:r>
        <w:t>durant</w:t>
      </w:r>
      <w:r w:rsidRPr="002C4077">
        <w:t xml:space="preserve"> </w:t>
      </w:r>
      <w:r>
        <w:t>laquelle</w:t>
      </w:r>
      <w:r w:rsidRPr="002C4077">
        <w:t xml:space="preserve"> </w:t>
      </w:r>
      <w:r>
        <w:t>Isaïe</w:t>
      </w:r>
      <w:r w:rsidRPr="002C4077">
        <w:t xml:space="preserve"> </w:t>
      </w:r>
      <w:r>
        <w:t>semble</w:t>
      </w:r>
      <w:r w:rsidRPr="002C4077">
        <w:t xml:space="preserve"> </w:t>
      </w:r>
      <w:r>
        <w:t>avoir</w:t>
      </w:r>
      <w:r w:rsidRPr="002C4077">
        <w:t xml:space="preserve"> </w:t>
      </w:r>
      <w:r>
        <w:t>attendu</w:t>
      </w:r>
      <w:r w:rsidRPr="002C4077">
        <w:t xml:space="preserve"> </w:t>
      </w:r>
      <w:r>
        <w:t>vainement</w:t>
      </w:r>
      <w:r w:rsidRPr="002C4077">
        <w:t xml:space="preserve"> </w:t>
      </w:r>
      <w:r>
        <w:t>une</w:t>
      </w:r>
      <w:r w:rsidRPr="002C4077">
        <w:t xml:space="preserve"> </w:t>
      </w:r>
      <w:r>
        <w:t>réponse</w:t>
      </w:r>
      <w:r w:rsidRPr="002C4077">
        <w:t xml:space="preserve"> </w:t>
      </w:r>
      <w:r>
        <w:t>d’Achaz.</w:t>
      </w:r>
      <w:r w:rsidRPr="002C4077">
        <w:t xml:space="preserve"> </w:t>
      </w:r>
      <w:r>
        <w:t>Ce</w:t>
      </w:r>
      <w:r w:rsidRPr="002C4077">
        <w:t xml:space="preserve"> </w:t>
      </w:r>
      <w:r>
        <w:t>prince</w:t>
      </w:r>
      <w:r w:rsidRPr="002C4077">
        <w:t xml:space="preserve"> </w:t>
      </w:r>
      <w:r>
        <w:t>gardant</w:t>
      </w:r>
      <w:r w:rsidRPr="002C4077">
        <w:t xml:space="preserve"> </w:t>
      </w:r>
      <w:r>
        <w:t>un</w:t>
      </w:r>
      <w:r w:rsidRPr="002C4077">
        <w:t xml:space="preserve"> </w:t>
      </w:r>
      <w:r>
        <w:t>silence</w:t>
      </w:r>
      <w:r w:rsidRPr="002C4077">
        <w:t xml:space="preserve"> </w:t>
      </w:r>
      <w:r>
        <w:t>de</w:t>
      </w:r>
      <w:r w:rsidRPr="002C4077">
        <w:t xml:space="preserve"> </w:t>
      </w:r>
      <w:r>
        <w:t>mauvais</w:t>
      </w:r>
      <w:r w:rsidRPr="002C4077">
        <w:t xml:space="preserve"> </w:t>
      </w:r>
      <w:r>
        <w:t>augure</w:t>
      </w:r>
      <w:r w:rsidRPr="002C4077">
        <w:t xml:space="preserve"> </w:t>
      </w:r>
      <w:r>
        <w:t>pour</w:t>
      </w:r>
      <w:r w:rsidRPr="002C4077">
        <w:t xml:space="preserve"> </w:t>
      </w:r>
      <w:r>
        <w:t>sa</w:t>
      </w:r>
      <w:r w:rsidRPr="002C4077">
        <w:t xml:space="preserve"> </w:t>
      </w:r>
      <w:r>
        <w:t>foi,</w:t>
      </w:r>
      <w:r w:rsidRPr="002C4077">
        <w:t xml:space="preserve"> </w:t>
      </w:r>
      <w:r>
        <w:t>le</w:t>
      </w:r>
      <w:r w:rsidRPr="002C4077">
        <w:t xml:space="preserve"> </w:t>
      </w:r>
      <w:r>
        <w:lastRenderedPageBreak/>
        <w:t>prophète,</w:t>
      </w:r>
      <w:r w:rsidRPr="002C4077">
        <w:t xml:space="preserve"> </w:t>
      </w:r>
      <w:r>
        <w:t>inspiré</w:t>
      </w:r>
      <w:r w:rsidRPr="002C4077">
        <w:t xml:space="preserve"> </w:t>
      </w:r>
      <w:r>
        <w:t>d’en</w:t>
      </w:r>
      <w:r w:rsidRPr="002C4077">
        <w:t xml:space="preserve"> </w:t>
      </w:r>
      <w:r>
        <w:t>haut,</w:t>
      </w:r>
      <w:r w:rsidRPr="002C4077">
        <w:t xml:space="preserve"> </w:t>
      </w:r>
      <w:r>
        <w:t>essaya</w:t>
      </w:r>
      <w:r w:rsidRPr="002C4077">
        <w:t xml:space="preserve"> </w:t>
      </w:r>
      <w:r>
        <w:t>d’élever</w:t>
      </w:r>
      <w:r w:rsidRPr="002C4077">
        <w:t xml:space="preserve"> </w:t>
      </w:r>
      <w:r>
        <w:t>à</w:t>
      </w:r>
      <w:r w:rsidRPr="002C4077">
        <w:t xml:space="preserve"> </w:t>
      </w:r>
      <w:r>
        <w:t>de</w:t>
      </w:r>
      <w:r w:rsidRPr="002C4077">
        <w:t xml:space="preserve"> </w:t>
      </w:r>
      <w:r>
        <w:t>célestes</w:t>
      </w:r>
      <w:r w:rsidRPr="002C4077">
        <w:t xml:space="preserve"> </w:t>
      </w:r>
      <w:r>
        <w:t>espérances</w:t>
      </w:r>
      <w:r w:rsidRPr="002C4077">
        <w:t xml:space="preserve"> </w:t>
      </w:r>
      <w:r>
        <w:t>cette</w:t>
      </w:r>
      <w:r w:rsidRPr="002C4077">
        <w:t xml:space="preserve"> </w:t>
      </w:r>
      <w:r>
        <w:t>âme</w:t>
      </w:r>
      <w:r w:rsidRPr="002C4077">
        <w:t xml:space="preserve"> </w:t>
      </w:r>
      <w:r>
        <w:t>tristement</w:t>
      </w:r>
      <w:r w:rsidRPr="002C4077">
        <w:t xml:space="preserve"> </w:t>
      </w:r>
      <w:r>
        <w:t>déprimée</w:t>
      </w:r>
      <w:r w:rsidRPr="002C4077">
        <w:t xml:space="preserve"> </w:t>
      </w:r>
      <w:r>
        <w:t>vers</w:t>
      </w:r>
      <w:r w:rsidRPr="002C4077">
        <w:t xml:space="preserve"> </w:t>
      </w:r>
      <w:r>
        <w:t>la</w:t>
      </w:r>
      <w:r w:rsidRPr="002C4077">
        <w:t xml:space="preserve"> </w:t>
      </w:r>
      <w:r>
        <w:t>terre.</w:t>
      </w:r>
      <w:r w:rsidRPr="002C4077">
        <w:t xml:space="preserve"> </w:t>
      </w:r>
      <w:r>
        <w:t>La</w:t>
      </w:r>
      <w:bookmarkStart w:id="66" w:name="z_RationalistesAlma_o3"/>
      <w:bookmarkEnd w:id="66"/>
      <w:r w:rsidRPr="002C4077">
        <w:t xml:space="preserve"> </w:t>
      </w:r>
      <w:r>
        <w:t>pause</w:t>
      </w:r>
      <w:r w:rsidRPr="002C4077">
        <w:t xml:space="preserve"> </w:t>
      </w:r>
      <w:r w:rsidR="00425C50">
        <w:t>est</w:t>
      </w:r>
      <w:r w:rsidRPr="002C4077">
        <w:t xml:space="preserve"> </w:t>
      </w:r>
      <w:r>
        <w:t>transformée</w:t>
      </w:r>
      <w:r w:rsidRPr="002C4077">
        <w:t xml:space="preserve"> </w:t>
      </w:r>
      <w:r>
        <w:t>par</w:t>
      </w:r>
      <w:r w:rsidRPr="002C4077">
        <w:t xml:space="preserve"> </w:t>
      </w:r>
      <w:r>
        <w:t>M.</w:t>
      </w:r>
      <w:r w:rsidRPr="002C4077">
        <w:t xml:space="preserve"> </w:t>
      </w:r>
      <w:r>
        <w:t>Reuss</w:t>
      </w:r>
      <w:bookmarkStart w:id="67" w:name="z_Reuss_o4"/>
      <w:bookmarkEnd w:id="67"/>
      <w:r w:rsidRPr="002C4077">
        <w:t xml:space="preserve"> </w:t>
      </w:r>
      <w:r>
        <w:t>en</w:t>
      </w:r>
      <w:r w:rsidRPr="002C4077">
        <w:t xml:space="preserve"> </w:t>
      </w:r>
      <w:r>
        <w:t>un</w:t>
      </w:r>
      <w:r w:rsidRPr="002C4077">
        <w:t xml:space="preserve"> </w:t>
      </w:r>
      <w:r>
        <w:t>intervalle</w:t>
      </w:r>
      <w:r w:rsidRPr="002C4077">
        <w:t xml:space="preserve"> </w:t>
      </w:r>
      <w:r>
        <w:t>qui</w:t>
      </w:r>
      <w:r w:rsidRPr="002C4077">
        <w:t xml:space="preserve"> </w:t>
      </w:r>
      <w:r>
        <w:t>put</w:t>
      </w:r>
      <w:r w:rsidRPr="002C4077">
        <w:t xml:space="preserve"> </w:t>
      </w:r>
      <w:r>
        <w:t>être,</w:t>
      </w:r>
      <w:r w:rsidRPr="002C4077">
        <w:t xml:space="preserve"> </w:t>
      </w:r>
      <w:r>
        <w:t>dit-il,</w:t>
      </w:r>
      <w:r w:rsidRPr="002C4077">
        <w:t xml:space="preserve"> </w:t>
      </w:r>
      <w:r>
        <w:t>assez</w:t>
      </w:r>
      <w:r w:rsidRPr="002C4077">
        <w:t xml:space="preserve"> </w:t>
      </w:r>
      <w:r>
        <w:t>considérable.</w:t>
      </w:r>
      <w:r w:rsidRPr="002C4077">
        <w:t xml:space="preserve"> </w:t>
      </w:r>
      <w:r w:rsidR="00B546AF">
        <w:t>« </w:t>
      </w:r>
      <w:r>
        <w:t>Le</w:t>
      </w:r>
      <w:r w:rsidRPr="002C4077">
        <w:t xml:space="preserve"> </w:t>
      </w:r>
      <w:r>
        <w:t>morceau</w:t>
      </w:r>
      <w:r w:rsidRPr="002C4077">
        <w:t xml:space="preserve"> </w:t>
      </w:r>
      <w:r>
        <w:t>qui</w:t>
      </w:r>
      <w:r w:rsidRPr="002C4077">
        <w:t xml:space="preserve"> </w:t>
      </w:r>
      <w:r>
        <w:t>suit</w:t>
      </w:r>
      <w:r w:rsidRPr="004440EA">
        <w:t xml:space="preserve"> (</w:t>
      </w:r>
      <w:r>
        <w:t>versets</w:t>
      </w:r>
      <w:r w:rsidRPr="002C4077">
        <w:t xml:space="preserve"> </w:t>
      </w:r>
      <w:r>
        <w:t>10-23</w:t>
      </w:r>
      <w:r w:rsidR="00B546AF" w:rsidRPr="002C4077">
        <w:t>)</w:t>
      </w:r>
      <w:r w:rsidRPr="002C4077">
        <w:t xml:space="preserve"> </w:t>
      </w:r>
      <w:r>
        <w:t>doit</w:t>
      </w:r>
      <w:r w:rsidRPr="002C4077">
        <w:t xml:space="preserve"> </w:t>
      </w:r>
      <w:r>
        <w:t>être</w:t>
      </w:r>
      <w:r w:rsidRPr="002C4077">
        <w:t xml:space="preserve"> </w:t>
      </w:r>
      <w:r>
        <w:t>détaché</w:t>
      </w:r>
      <w:r w:rsidRPr="002C4077">
        <w:t xml:space="preserve"> </w:t>
      </w:r>
      <w:r>
        <w:t>du</w:t>
      </w:r>
      <w:r w:rsidRPr="002C4077">
        <w:t xml:space="preserve"> </w:t>
      </w:r>
      <w:r>
        <w:t>précédent</w:t>
      </w:r>
      <w:r w:rsidRPr="004440EA">
        <w:t xml:space="preserve"> (</w:t>
      </w:r>
      <w:r>
        <w:t>versets</w:t>
      </w:r>
      <w:r w:rsidRPr="002C4077">
        <w:t xml:space="preserve"> </w:t>
      </w:r>
      <w:r>
        <w:t>1-9</w:t>
      </w:r>
      <w:r w:rsidR="00B546AF" w:rsidRPr="002C4077">
        <w:t>)</w:t>
      </w:r>
      <w:r>
        <w:t>.</w:t>
      </w:r>
      <w:r w:rsidRPr="002C4077">
        <w:t xml:space="preserve"> </w:t>
      </w:r>
      <w:r>
        <w:t>C’est</w:t>
      </w:r>
      <w:r w:rsidRPr="002C4077">
        <w:t xml:space="preserve"> </w:t>
      </w:r>
      <w:r>
        <w:t>à</w:t>
      </w:r>
      <w:r w:rsidRPr="002C4077">
        <w:t xml:space="preserve"> </w:t>
      </w:r>
      <w:r>
        <w:t>une</w:t>
      </w:r>
      <w:r w:rsidRPr="002C4077">
        <w:t xml:space="preserve"> </w:t>
      </w:r>
      <w:r>
        <w:t>autre</w:t>
      </w:r>
      <w:r w:rsidRPr="002C4077">
        <w:t xml:space="preserve"> </w:t>
      </w:r>
      <w:r>
        <w:t>occasion,</w:t>
      </w:r>
      <w:r w:rsidRPr="002C4077">
        <w:t xml:space="preserve"> </w:t>
      </w:r>
      <w:r>
        <w:t>plus</w:t>
      </w:r>
      <w:r w:rsidRPr="002C4077">
        <w:t xml:space="preserve"> </w:t>
      </w:r>
      <w:r>
        <w:t>ou</w:t>
      </w:r>
      <w:r w:rsidRPr="002C4077">
        <w:t xml:space="preserve"> </w:t>
      </w:r>
      <w:r>
        <w:t>moins</w:t>
      </w:r>
      <w:r w:rsidRPr="002C4077">
        <w:t xml:space="preserve"> </w:t>
      </w:r>
      <w:r>
        <w:t>rapprochée</w:t>
      </w:r>
      <w:r w:rsidRPr="002C4077">
        <w:t xml:space="preserve"> </w:t>
      </w:r>
      <w:r>
        <w:t>de</w:t>
      </w:r>
      <w:r w:rsidRPr="002C4077">
        <w:t xml:space="preserve"> </w:t>
      </w:r>
      <w:r>
        <w:t>la</w:t>
      </w:r>
      <w:r w:rsidRPr="002C4077">
        <w:t xml:space="preserve"> </w:t>
      </w:r>
      <w:r>
        <w:t>précédente,</w:t>
      </w:r>
      <w:r w:rsidRPr="002C4077">
        <w:t xml:space="preserve"> </w:t>
      </w:r>
      <w:r>
        <w:t>qu’</w:t>
      </w:r>
      <w:r w:rsidR="008B0C1F">
        <w:t>Ésaïe</w:t>
      </w:r>
      <w:r w:rsidRPr="002C4077">
        <w:t xml:space="preserve"> </w:t>
      </w:r>
      <w:r>
        <w:t>s’adresse</w:t>
      </w:r>
      <w:r w:rsidRPr="002C4077">
        <w:t xml:space="preserve"> </w:t>
      </w:r>
      <w:r>
        <w:t>de</w:t>
      </w:r>
      <w:r w:rsidRPr="002C4077">
        <w:t xml:space="preserve"> </w:t>
      </w:r>
      <w:r>
        <w:t>nouveau</w:t>
      </w:r>
      <w:r w:rsidRPr="002C4077">
        <w:t xml:space="preserve"> </w:t>
      </w:r>
      <w:r>
        <w:t>au</w:t>
      </w:r>
      <w:r w:rsidRPr="002C4077">
        <w:t xml:space="preserve"> </w:t>
      </w:r>
      <w:r>
        <w:t>roi</w:t>
      </w:r>
      <w:r w:rsidR="00B91AF7">
        <w:rPr>
          <w:rStyle w:val="Appelnotedebasdep"/>
        </w:rPr>
        <w:footnoteReference w:id="48"/>
      </w:r>
      <w:r w:rsidR="00B546AF">
        <w:t> »</w:t>
      </w:r>
      <w:r>
        <w:t>.</w:t>
      </w:r>
      <w:r w:rsidRPr="002C4077">
        <w:t xml:space="preserve"> </w:t>
      </w:r>
      <w:r>
        <w:t>Rien</w:t>
      </w:r>
      <w:bookmarkStart w:id="68" w:name="z_Almah_o2"/>
      <w:bookmarkEnd w:id="68"/>
      <w:r w:rsidRPr="002C4077">
        <w:t xml:space="preserve"> </w:t>
      </w:r>
      <w:r>
        <w:t>de</w:t>
      </w:r>
      <w:r w:rsidRPr="002C4077">
        <w:t xml:space="preserve"> </w:t>
      </w:r>
      <w:r>
        <w:t>moins</w:t>
      </w:r>
      <w:r w:rsidRPr="002C4077">
        <w:t xml:space="preserve"> </w:t>
      </w:r>
      <w:r>
        <w:t>fondé</w:t>
      </w:r>
      <w:r w:rsidRPr="002C4077">
        <w:t xml:space="preserve"> </w:t>
      </w:r>
      <w:r>
        <w:t>qu’une</w:t>
      </w:r>
      <w:r w:rsidRPr="002C4077">
        <w:t xml:space="preserve"> </w:t>
      </w:r>
      <w:r>
        <w:t>telle</w:t>
      </w:r>
      <w:r w:rsidRPr="002C4077">
        <w:t xml:space="preserve"> </w:t>
      </w:r>
      <w:r>
        <w:t>conjecture</w:t>
      </w:r>
      <w:r w:rsidR="00B546AF">
        <w:t> ;</w:t>
      </w:r>
      <w:r w:rsidRPr="002C4077">
        <w:t xml:space="preserve"> </w:t>
      </w:r>
      <w:r>
        <w:t>elle</w:t>
      </w:r>
      <w:r w:rsidRPr="002C4077">
        <w:t xml:space="preserve"> </w:t>
      </w:r>
      <w:r w:rsidR="00425C50">
        <w:t>est</w:t>
      </w:r>
      <w:r>
        <w:t>,</w:t>
      </w:r>
      <w:r w:rsidRPr="002C4077">
        <w:t xml:space="preserve"> </w:t>
      </w:r>
      <w:r>
        <w:t>au</w:t>
      </w:r>
      <w:r w:rsidRPr="002C4077">
        <w:t xml:space="preserve"> </w:t>
      </w:r>
      <w:r>
        <w:t>contraire,</w:t>
      </w:r>
      <w:r w:rsidRPr="002C4077">
        <w:t xml:space="preserve"> </w:t>
      </w:r>
      <w:r>
        <w:t>réfutée</w:t>
      </w:r>
      <w:r w:rsidRPr="002C4077">
        <w:t xml:space="preserve"> </w:t>
      </w:r>
      <w:r>
        <w:t>par</w:t>
      </w:r>
      <w:r w:rsidRPr="002C4077">
        <w:t xml:space="preserve"> </w:t>
      </w:r>
      <w:r>
        <w:t>le</w:t>
      </w:r>
      <w:r w:rsidRPr="002C4077">
        <w:t xml:space="preserve"> </w:t>
      </w:r>
      <w:r>
        <w:t>contexte,</w:t>
      </w:r>
      <w:r w:rsidRPr="002C4077">
        <w:t xml:space="preserve"> </w:t>
      </w:r>
      <w:r>
        <w:t>où</w:t>
      </w:r>
      <w:r w:rsidRPr="002C4077">
        <w:t xml:space="preserve"> </w:t>
      </w:r>
      <w:r>
        <w:t>tout</w:t>
      </w:r>
      <w:r w:rsidRPr="002C4077">
        <w:t xml:space="preserve"> </w:t>
      </w:r>
      <w:r>
        <w:t>indique</w:t>
      </w:r>
      <w:r w:rsidRPr="002C4077">
        <w:t xml:space="preserve"> </w:t>
      </w:r>
      <w:r>
        <w:t>une</w:t>
      </w:r>
      <w:r w:rsidRPr="002C4077">
        <w:t xml:space="preserve"> </w:t>
      </w:r>
      <w:r>
        <w:t>parfaite</w:t>
      </w:r>
      <w:r w:rsidRPr="002C4077">
        <w:t xml:space="preserve"> </w:t>
      </w:r>
      <w:r>
        <w:t>unité</w:t>
      </w:r>
      <w:r w:rsidRPr="002C4077">
        <w:t xml:space="preserve"> </w:t>
      </w:r>
      <w:r>
        <w:t>de</w:t>
      </w:r>
      <w:r w:rsidRPr="002C4077">
        <w:t xml:space="preserve"> </w:t>
      </w:r>
      <w:r>
        <w:t>temps</w:t>
      </w:r>
      <w:r w:rsidRPr="002C4077">
        <w:t xml:space="preserve"> </w:t>
      </w:r>
      <w:r>
        <w:t>et</w:t>
      </w:r>
      <w:r w:rsidRPr="002C4077">
        <w:t xml:space="preserve"> </w:t>
      </w:r>
      <w:r>
        <w:t>de</w:t>
      </w:r>
      <w:r w:rsidRPr="002C4077">
        <w:t xml:space="preserve"> </w:t>
      </w:r>
      <w:r>
        <w:t>lieu.</w:t>
      </w:r>
      <w:r w:rsidRPr="002C4077">
        <w:t xml:space="preserve"> </w:t>
      </w:r>
      <w:r>
        <w:t>Nous</w:t>
      </w:r>
      <w:r w:rsidRPr="002C4077">
        <w:t xml:space="preserve"> </w:t>
      </w:r>
      <w:r>
        <w:t>n’avons,</w:t>
      </w:r>
      <w:r w:rsidRPr="002C4077">
        <w:t xml:space="preserve"> </w:t>
      </w:r>
      <w:r>
        <w:t>au</w:t>
      </w:r>
      <w:r w:rsidRPr="002C4077">
        <w:t xml:space="preserve"> </w:t>
      </w:r>
      <w:r w:rsidR="00C577F1">
        <w:t>chapitre</w:t>
      </w:r>
      <w:r w:rsidR="00C577F1" w:rsidRPr="002C4077">
        <w:t xml:space="preserve"> </w:t>
      </w:r>
      <w:r w:rsidR="00C577F1">
        <w:t>VII</w:t>
      </w:r>
      <w:r w:rsidRPr="002C4077">
        <w:t xml:space="preserve"> </w:t>
      </w:r>
      <w:r>
        <w:t>d’Isaïe,</w:t>
      </w:r>
      <w:r w:rsidRPr="002C4077">
        <w:t xml:space="preserve"> </w:t>
      </w:r>
      <w:r>
        <w:t>qu’une</w:t>
      </w:r>
      <w:r w:rsidRPr="002C4077">
        <w:t xml:space="preserve"> </w:t>
      </w:r>
      <w:r>
        <w:t>seule</w:t>
      </w:r>
      <w:r w:rsidRPr="002C4077">
        <w:t xml:space="preserve"> </w:t>
      </w:r>
      <w:r>
        <w:t>et</w:t>
      </w:r>
      <w:r w:rsidRPr="002C4077">
        <w:t xml:space="preserve"> </w:t>
      </w:r>
      <w:r>
        <w:t>même</w:t>
      </w:r>
      <w:r w:rsidRPr="002C4077">
        <w:t xml:space="preserve"> </w:t>
      </w:r>
      <w:r>
        <w:t>prophétie,</w:t>
      </w:r>
      <w:r w:rsidRPr="002C4077">
        <w:t xml:space="preserve"> </w:t>
      </w:r>
      <w:r>
        <w:t>qui</w:t>
      </w:r>
      <w:r w:rsidRPr="002C4077">
        <w:t xml:space="preserve"> </w:t>
      </w:r>
      <w:r>
        <w:t>ouvre</w:t>
      </w:r>
      <w:r w:rsidRPr="002C4077">
        <w:t xml:space="preserve"> </w:t>
      </w:r>
      <w:r>
        <w:t>assurément</w:t>
      </w:r>
      <w:r w:rsidRPr="002C4077">
        <w:t xml:space="preserve"> </w:t>
      </w:r>
      <w:r>
        <w:t>des</w:t>
      </w:r>
      <w:r w:rsidRPr="002C4077">
        <w:t xml:space="preserve"> </w:t>
      </w:r>
      <w:r>
        <w:t>perspectives</w:t>
      </w:r>
      <w:r w:rsidRPr="002C4077">
        <w:t xml:space="preserve"> </w:t>
      </w:r>
      <w:r>
        <w:t>variées,</w:t>
      </w:r>
      <w:r w:rsidRPr="002C4077">
        <w:t xml:space="preserve"> </w:t>
      </w:r>
      <w:r>
        <w:t>mais</w:t>
      </w:r>
      <w:r w:rsidRPr="002C4077">
        <w:t xml:space="preserve"> </w:t>
      </w:r>
      <w:r>
        <w:t>dont</w:t>
      </w:r>
      <w:r w:rsidRPr="002C4077">
        <w:t xml:space="preserve"> </w:t>
      </w:r>
      <w:r>
        <w:t>les</w:t>
      </w:r>
      <w:r w:rsidRPr="002C4077">
        <w:t xml:space="preserve"> </w:t>
      </w:r>
      <w:r>
        <w:t>parties</w:t>
      </w:r>
      <w:r w:rsidRPr="002C4077">
        <w:t xml:space="preserve"> </w:t>
      </w:r>
      <w:r>
        <w:t>sont</w:t>
      </w:r>
      <w:r w:rsidRPr="002C4077">
        <w:t xml:space="preserve"> </w:t>
      </w:r>
      <w:r>
        <w:t>inséparables</w:t>
      </w:r>
      <w:r w:rsidRPr="002C4077">
        <w:t xml:space="preserve"> </w:t>
      </w:r>
      <w:r>
        <w:t>à</w:t>
      </w:r>
      <w:r w:rsidRPr="002C4077">
        <w:t xml:space="preserve"> </w:t>
      </w:r>
      <w:r>
        <w:t>tous</w:t>
      </w:r>
      <w:r w:rsidRPr="002C4077">
        <w:t xml:space="preserve"> </w:t>
      </w:r>
      <w:r>
        <w:t>les</w:t>
      </w:r>
      <w:r w:rsidRPr="002C4077">
        <w:t xml:space="preserve"> </w:t>
      </w:r>
      <w:r>
        <w:t>points</w:t>
      </w:r>
      <w:r w:rsidRPr="002C4077">
        <w:t xml:space="preserve"> </w:t>
      </w:r>
      <w:r>
        <w:t>de</w:t>
      </w:r>
      <w:r w:rsidRPr="002C4077">
        <w:t xml:space="preserve"> </w:t>
      </w:r>
      <w:r>
        <w:t>vue,</w:t>
      </w:r>
      <w:r w:rsidRPr="002C4077">
        <w:t xml:space="preserve"> </w:t>
      </w:r>
      <w:r>
        <w:t>ainsi</w:t>
      </w:r>
      <w:r w:rsidRPr="002C4077">
        <w:t xml:space="preserve"> </w:t>
      </w:r>
      <w:r>
        <w:t>qu’il</w:t>
      </w:r>
      <w:r w:rsidRPr="002C4077">
        <w:t xml:space="preserve"> </w:t>
      </w:r>
      <w:r>
        <w:t>a</w:t>
      </w:r>
      <w:r w:rsidRPr="002C4077">
        <w:t xml:space="preserve"> </w:t>
      </w:r>
      <w:r>
        <w:t>été</w:t>
      </w:r>
      <w:r w:rsidRPr="002C4077">
        <w:t xml:space="preserve"> </w:t>
      </w:r>
      <w:r>
        <w:t>dit</w:t>
      </w:r>
      <w:r w:rsidRPr="002C4077">
        <w:t xml:space="preserve"> </w:t>
      </w:r>
      <w:r>
        <w:t>plus</w:t>
      </w:r>
      <w:r w:rsidRPr="002C4077">
        <w:t xml:space="preserve"> </w:t>
      </w:r>
      <w:r>
        <w:t>haut.</w:t>
      </w:r>
      <w:r w:rsidRPr="002C4077">
        <w:t xml:space="preserve"> </w:t>
      </w:r>
      <w:r>
        <w:t>Le</w:t>
      </w:r>
      <w:r w:rsidRPr="002C4077">
        <w:t xml:space="preserve"> </w:t>
      </w:r>
      <w:r>
        <w:t>corps</w:t>
      </w:r>
      <w:r w:rsidRPr="002C4077">
        <w:t xml:space="preserve"> </w:t>
      </w:r>
      <w:r>
        <w:t>de</w:t>
      </w:r>
      <w:r w:rsidRPr="002C4077">
        <w:t xml:space="preserve"> </w:t>
      </w:r>
      <w:r>
        <w:t>l’oracle</w:t>
      </w:r>
      <w:r w:rsidRPr="004440EA">
        <w:t xml:space="preserve"> (</w:t>
      </w:r>
      <w:r>
        <w:t>versets</w:t>
      </w:r>
      <w:r w:rsidRPr="002C4077">
        <w:t xml:space="preserve"> </w:t>
      </w:r>
      <w:r>
        <w:t>10-25</w:t>
      </w:r>
      <w:r w:rsidR="00B546AF" w:rsidRPr="002C4077">
        <w:t>)</w:t>
      </w:r>
      <w:r w:rsidRPr="002C4077">
        <w:t xml:space="preserve"> </w:t>
      </w:r>
      <w:r>
        <w:t>fut</w:t>
      </w:r>
      <w:r w:rsidRPr="002C4077">
        <w:t xml:space="preserve"> </w:t>
      </w:r>
      <w:r>
        <w:t>donc</w:t>
      </w:r>
      <w:r w:rsidRPr="002C4077">
        <w:t xml:space="preserve"> </w:t>
      </w:r>
      <w:r>
        <w:t>prononcé</w:t>
      </w:r>
      <w:r w:rsidRPr="002C4077">
        <w:t xml:space="preserve"> </w:t>
      </w:r>
      <w:r>
        <w:t>en</w:t>
      </w:r>
      <w:r w:rsidRPr="002C4077">
        <w:t xml:space="preserve"> </w:t>
      </w:r>
      <w:r>
        <w:t>même</w:t>
      </w:r>
      <w:r w:rsidRPr="002C4077">
        <w:t xml:space="preserve"> </w:t>
      </w:r>
      <w:r>
        <w:t>temps</w:t>
      </w:r>
      <w:r w:rsidRPr="002C4077">
        <w:t xml:space="preserve"> </w:t>
      </w:r>
      <w:r>
        <w:t>et</w:t>
      </w:r>
      <w:r w:rsidRPr="002C4077">
        <w:t xml:space="preserve"> </w:t>
      </w:r>
      <w:r>
        <w:t>au</w:t>
      </w:r>
      <w:r w:rsidRPr="002C4077">
        <w:t xml:space="preserve"> </w:t>
      </w:r>
      <w:r>
        <w:t>même</w:t>
      </w:r>
      <w:r w:rsidRPr="002C4077">
        <w:t xml:space="preserve"> </w:t>
      </w:r>
      <w:r>
        <w:t>endroit</w:t>
      </w:r>
      <w:r w:rsidRPr="002C4077">
        <w:t xml:space="preserve"> </w:t>
      </w:r>
      <w:r>
        <w:t>que</w:t>
      </w:r>
      <w:r w:rsidRPr="002C4077">
        <w:t xml:space="preserve"> </w:t>
      </w:r>
      <w:r>
        <w:t>son</w:t>
      </w:r>
      <w:r w:rsidRPr="002C4077">
        <w:t xml:space="preserve"> </w:t>
      </w:r>
      <w:r>
        <w:t>exorde.</w:t>
      </w:r>
      <w:r w:rsidRPr="002C4077">
        <w:t xml:space="preserve"> </w:t>
      </w:r>
    </w:p>
    <w:p w:rsidR="000A7AAB" w:rsidRDefault="000A7AAB" w:rsidP="000A7AAB">
      <w:r>
        <w:t>Un</w:t>
      </w:r>
      <w:bookmarkStart w:id="69" w:name="z_Achaz_o3"/>
      <w:bookmarkEnd w:id="69"/>
      <w:r w:rsidRPr="002C4077">
        <w:t xml:space="preserve"> </w:t>
      </w:r>
      <w:r>
        <w:t>dialogue,</w:t>
      </w:r>
      <w:r w:rsidRPr="002C4077">
        <w:t xml:space="preserve"> </w:t>
      </w:r>
      <w:r>
        <w:t>où</w:t>
      </w:r>
      <w:r w:rsidRPr="002C4077">
        <w:t xml:space="preserve"> </w:t>
      </w:r>
      <w:r>
        <w:t>éclate</w:t>
      </w:r>
      <w:r w:rsidRPr="002C4077">
        <w:t xml:space="preserve"> </w:t>
      </w:r>
      <w:r>
        <w:t>d’une</w:t>
      </w:r>
      <w:r w:rsidRPr="002C4077">
        <w:t xml:space="preserve"> </w:t>
      </w:r>
      <w:r>
        <w:t>part</w:t>
      </w:r>
      <w:r w:rsidRPr="002C4077">
        <w:t xml:space="preserve"> </w:t>
      </w:r>
      <w:r>
        <w:t>la</w:t>
      </w:r>
      <w:r w:rsidRPr="002C4077">
        <w:t xml:space="preserve"> </w:t>
      </w:r>
      <w:r>
        <w:t>paternelle</w:t>
      </w:r>
      <w:r w:rsidRPr="002C4077">
        <w:t xml:space="preserve"> </w:t>
      </w:r>
      <w:r>
        <w:t>condescendance</w:t>
      </w:r>
      <w:r w:rsidRPr="002C4077">
        <w:t xml:space="preserve"> </w:t>
      </w:r>
      <w:r>
        <w:t>du</w:t>
      </w:r>
      <w:r w:rsidRPr="002C4077">
        <w:t xml:space="preserve"> </w:t>
      </w:r>
      <w:r>
        <w:t>Seigneur,</w:t>
      </w:r>
      <w:r w:rsidRPr="002C4077">
        <w:t xml:space="preserve"> </w:t>
      </w:r>
      <w:r>
        <w:t>de</w:t>
      </w:r>
      <w:r w:rsidRPr="002C4077">
        <w:t xml:space="preserve"> </w:t>
      </w:r>
      <w:r>
        <w:t>l’autre</w:t>
      </w:r>
      <w:r w:rsidRPr="002C4077">
        <w:t xml:space="preserve"> </w:t>
      </w:r>
      <w:r>
        <w:t>l’arrogante</w:t>
      </w:r>
      <w:r w:rsidRPr="002C4077">
        <w:t xml:space="preserve"> </w:t>
      </w:r>
      <w:r>
        <w:t>hypocrisie</w:t>
      </w:r>
      <w:r w:rsidRPr="002C4077">
        <w:t xml:space="preserve"> </w:t>
      </w:r>
      <w:r>
        <w:t>d’Achaz,</w:t>
      </w:r>
      <w:r w:rsidRPr="002C4077">
        <w:t xml:space="preserve"> </w:t>
      </w:r>
      <w:r>
        <w:t>s’engage</w:t>
      </w:r>
      <w:r w:rsidRPr="002C4077">
        <w:t xml:space="preserve"> </w:t>
      </w:r>
      <w:r>
        <w:t>entre</w:t>
      </w:r>
      <w:r w:rsidRPr="002C4077">
        <w:t xml:space="preserve"> </w:t>
      </w:r>
      <w:r>
        <w:t>le</w:t>
      </w:r>
      <w:r w:rsidRPr="002C4077">
        <w:t xml:space="preserve"> </w:t>
      </w:r>
      <w:r>
        <w:t>monarque</w:t>
      </w:r>
      <w:r w:rsidRPr="002C4077">
        <w:t xml:space="preserve"> </w:t>
      </w:r>
      <w:r>
        <w:t>et</w:t>
      </w:r>
      <w:r w:rsidRPr="002C4077">
        <w:t xml:space="preserve"> </w:t>
      </w:r>
      <w:r>
        <w:t>le</w:t>
      </w:r>
      <w:r w:rsidRPr="002C4077">
        <w:t xml:space="preserve"> </w:t>
      </w:r>
      <w:r>
        <w:t>représentant</w:t>
      </w:r>
      <w:r w:rsidRPr="002C4077">
        <w:t xml:space="preserve"> </w:t>
      </w:r>
      <w:r>
        <w:t>du</w:t>
      </w:r>
      <w:r w:rsidRPr="002C4077">
        <w:t xml:space="preserve"> </w:t>
      </w:r>
      <w:r>
        <w:t>ciel.</w:t>
      </w:r>
      <w:r w:rsidRPr="002C4077">
        <w:t xml:space="preserve"> </w:t>
      </w:r>
    </w:p>
    <w:p w:rsidR="000A7AAB" w:rsidRPr="000721C4" w:rsidRDefault="000A7AAB" w:rsidP="000A7AAB">
      <w:r>
        <w:t>Achaz</w:t>
      </w:r>
      <w:r w:rsidRPr="002C4077">
        <w:t xml:space="preserve"> </w:t>
      </w:r>
      <w:r w:rsidR="00425C50">
        <w:t>est</w:t>
      </w:r>
      <w:r w:rsidRPr="002C4077">
        <w:t xml:space="preserve"> </w:t>
      </w:r>
      <w:r>
        <w:t>autorisé</w:t>
      </w:r>
      <w:r w:rsidRPr="002C4077">
        <w:t xml:space="preserve"> </w:t>
      </w:r>
      <w:r>
        <w:t>à</w:t>
      </w:r>
      <w:r w:rsidRPr="002C4077">
        <w:t xml:space="preserve"> </w:t>
      </w:r>
      <w:r>
        <w:t>demander</w:t>
      </w:r>
      <w:r w:rsidRPr="002C4077">
        <w:t xml:space="preserve"> </w:t>
      </w:r>
      <w:r>
        <w:t>sur-le-champ,</w:t>
      </w:r>
      <w:r w:rsidRPr="002C4077">
        <w:t xml:space="preserve"> </w:t>
      </w:r>
      <w:r>
        <w:t>en</w:t>
      </w:r>
      <w:r w:rsidRPr="002C4077">
        <w:t xml:space="preserve"> </w:t>
      </w:r>
      <w:r>
        <w:t>face</w:t>
      </w:r>
      <w:r w:rsidRPr="002C4077">
        <w:t xml:space="preserve"> </w:t>
      </w:r>
      <w:r>
        <w:t>de</w:t>
      </w:r>
      <w:r w:rsidRPr="002C4077">
        <w:t xml:space="preserve"> </w:t>
      </w:r>
      <w:r>
        <w:t>tout</w:t>
      </w:r>
      <w:r w:rsidRPr="002C4077">
        <w:t xml:space="preserve"> </w:t>
      </w:r>
      <w:r>
        <w:t>son</w:t>
      </w:r>
      <w:r w:rsidRPr="002C4077">
        <w:t xml:space="preserve"> </w:t>
      </w:r>
      <w:r>
        <w:t>entourage</w:t>
      </w:r>
      <w:r w:rsidRPr="002C4077">
        <w:t xml:space="preserve"> </w:t>
      </w:r>
      <w:r>
        <w:t>qui</w:t>
      </w:r>
      <w:r w:rsidRPr="002C4077">
        <w:t xml:space="preserve"> </w:t>
      </w:r>
      <w:r>
        <w:t>en</w:t>
      </w:r>
      <w:r w:rsidRPr="002C4077">
        <w:t xml:space="preserve"> </w:t>
      </w:r>
      <w:r>
        <w:t>sera</w:t>
      </w:r>
      <w:r w:rsidRPr="002C4077">
        <w:t xml:space="preserve"> </w:t>
      </w:r>
      <w:r>
        <w:t>témoin,</w:t>
      </w:r>
      <w:r w:rsidRPr="002C4077">
        <w:t xml:space="preserve"> </w:t>
      </w:r>
      <w:r>
        <w:t>un</w:t>
      </w:r>
      <w:r w:rsidRPr="002C4077">
        <w:t xml:space="preserve"> </w:t>
      </w:r>
      <w:r>
        <w:t>prodige</w:t>
      </w:r>
      <w:r w:rsidRPr="002C4077">
        <w:t xml:space="preserve"> </w:t>
      </w:r>
      <w:r>
        <w:t>opéré</w:t>
      </w:r>
      <w:r w:rsidRPr="002C4077">
        <w:t xml:space="preserve"> </w:t>
      </w:r>
      <w:r>
        <w:t>dans</w:t>
      </w:r>
      <w:r w:rsidRPr="002C4077">
        <w:t xml:space="preserve"> </w:t>
      </w:r>
      <w:r>
        <w:t>n’importe</w:t>
      </w:r>
      <w:r w:rsidRPr="002C4077">
        <w:t xml:space="preserve"> </w:t>
      </w:r>
      <w:r>
        <w:t>quel</w:t>
      </w:r>
      <w:r w:rsidRPr="002C4077">
        <w:t xml:space="preserve"> </w:t>
      </w:r>
      <w:r>
        <w:t>domaine</w:t>
      </w:r>
      <w:r w:rsidRPr="002C4077">
        <w:t xml:space="preserve"> </w:t>
      </w:r>
      <w:r>
        <w:t>de</w:t>
      </w:r>
      <w:r w:rsidRPr="002C4077">
        <w:t xml:space="preserve"> </w:t>
      </w:r>
      <w:r>
        <w:t>la</w:t>
      </w:r>
      <w:r w:rsidRPr="002C4077">
        <w:t xml:space="preserve"> </w:t>
      </w:r>
      <w:r>
        <w:t>nature.</w:t>
      </w:r>
      <w:r w:rsidR="00C45B47">
        <w:t xml:space="preserve"> {</w:t>
      </w:r>
      <w:r w:rsidR="000721C4">
        <w:t>17</w:t>
      </w:r>
      <w:bookmarkStart w:id="70" w:name="p017"/>
      <w:bookmarkEnd w:id="70"/>
      <w:r w:rsidR="000721C4">
        <w:t xml:space="preserve">} </w:t>
      </w:r>
      <w:r>
        <w:t>Car</w:t>
      </w:r>
      <w:r w:rsidRPr="002C4077">
        <w:t xml:space="preserve"> </w:t>
      </w:r>
      <w:r>
        <w:t>c’est</w:t>
      </w:r>
      <w:r w:rsidRPr="002C4077">
        <w:t xml:space="preserve"> </w:t>
      </w:r>
      <w:r>
        <w:t>un</w:t>
      </w:r>
      <w:r w:rsidRPr="002C4077">
        <w:t xml:space="preserve"> </w:t>
      </w:r>
      <w:r>
        <w:t>prodige,</w:t>
      </w:r>
      <w:r w:rsidRPr="002C4077">
        <w:t xml:space="preserve"> </w:t>
      </w:r>
      <w:r>
        <w:t>il</w:t>
      </w:r>
      <w:r w:rsidRPr="002C4077">
        <w:t xml:space="preserve"> </w:t>
      </w:r>
      <w:r>
        <w:t>n’y</w:t>
      </w:r>
      <w:r w:rsidRPr="002C4077">
        <w:t xml:space="preserve"> </w:t>
      </w:r>
      <w:r>
        <w:t>a</w:t>
      </w:r>
      <w:r w:rsidRPr="002C4077">
        <w:t xml:space="preserve"> </w:t>
      </w:r>
      <w:r>
        <w:t>pas</w:t>
      </w:r>
      <w:r w:rsidRPr="002C4077">
        <w:t xml:space="preserve"> </w:t>
      </w:r>
      <w:r>
        <w:t>à</w:t>
      </w:r>
      <w:r w:rsidRPr="002C4077">
        <w:t xml:space="preserve"> </w:t>
      </w:r>
      <w:r>
        <w:t>en</w:t>
      </w:r>
      <w:r w:rsidRPr="002C4077">
        <w:t xml:space="preserve"> </w:t>
      </w:r>
      <w:r>
        <w:t>douter,</w:t>
      </w:r>
      <w:r w:rsidRPr="002C4077">
        <w:t xml:space="preserve"> </w:t>
      </w:r>
      <w:r>
        <w:t>qui</w:t>
      </w:r>
      <w:r w:rsidRPr="002C4077">
        <w:t xml:space="preserve"> </w:t>
      </w:r>
      <w:r w:rsidR="00425C50">
        <w:t>est</w:t>
      </w:r>
      <w:r w:rsidRPr="002C4077">
        <w:t xml:space="preserve"> </w:t>
      </w:r>
      <w:r>
        <w:t>ici</w:t>
      </w:r>
      <w:r w:rsidRPr="002C4077">
        <w:t xml:space="preserve"> </w:t>
      </w:r>
      <w:r>
        <w:t>désigné</w:t>
      </w:r>
      <w:r w:rsidRPr="002C4077">
        <w:t xml:space="preserve"> </w:t>
      </w:r>
      <w:r>
        <w:t>par</w:t>
      </w:r>
      <w:r w:rsidRPr="002C4077">
        <w:t xml:space="preserve"> </w:t>
      </w:r>
      <w:r>
        <w:t>le</w:t>
      </w:r>
      <w:r w:rsidRPr="002C4077">
        <w:t xml:space="preserve"> </w:t>
      </w:r>
      <w:r>
        <w:t>mot</w:t>
      </w:r>
      <w:r w:rsidRPr="002C4077">
        <w:t xml:space="preserve"> </w:t>
      </w:r>
      <w:r w:rsidRPr="000A34B5">
        <w:rPr>
          <w:rStyle w:val="italicus"/>
        </w:rPr>
        <w:t>signum</w:t>
      </w:r>
      <w:bookmarkStart w:id="71" w:name="z_Signe_o1"/>
      <w:bookmarkEnd w:id="71"/>
      <w:r w:rsidR="00B546AF">
        <w:rPr>
          <w:rStyle w:val="italicus"/>
        </w:rPr>
        <w:t> </w:t>
      </w:r>
      <w:r w:rsidR="00B546AF" w:rsidRPr="000A34B5">
        <w:rPr>
          <w:rStyle w:val="italicus"/>
        </w:rPr>
        <w:t>:</w:t>
      </w:r>
      <w:r w:rsidRPr="002C4077">
        <w:t xml:space="preserve"> </w:t>
      </w:r>
      <w:r>
        <w:t>les</w:t>
      </w:r>
      <w:r w:rsidRPr="002C4077">
        <w:t xml:space="preserve"> </w:t>
      </w:r>
      <w:r>
        <w:t>qualificatifs</w:t>
      </w:r>
      <w:r w:rsidRPr="002C4077">
        <w:t xml:space="preserve"> </w:t>
      </w:r>
      <w:r w:rsidRPr="000A34B5">
        <w:rPr>
          <w:rStyle w:val="italicus"/>
        </w:rPr>
        <w:t>in</w:t>
      </w:r>
      <w:r w:rsidRPr="002C4077">
        <w:t xml:space="preserve"> </w:t>
      </w:r>
      <w:r w:rsidRPr="000A34B5">
        <w:rPr>
          <w:rStyle w:val="italicus"/>
        </w:rPr>
        <w:t>p</w:t>
      </w:r>
      <w:r w:rsidR="003B53FD" w:rsidRPr="000A34B5">
        <w:rPr>
          <w:rStyle w:val="italicus"/>
        </w:rPr>
        <w:t>rof</w:t>
      </w:r>
      <w:r w:rsidR="003B53FD">
        <w:rPr>
          <w:rStyle w:val="italicus"/>
        </w:rPr>
        <w:t>ú</w:t>
      </w:r>
      <w:r w:rsidR="003B53FD" w:rsidRPr="000A34B5">
        <w:rPr>
          <w:rStyle w:val="italicus"/>
        </w:rPr>
        <w:t>ndum</w:t>
      </w:r>
      <w:r w:rsidR="008B0C1F" w:rsidRPr="002C4077">
        <w:t xml:space="preserve"> </w:t>
      </w:r>
      <w:r w:rsidR="008B0C1F">
        <w:rPr>
          <w:rStyle w:val="italicus"/>
        </w:rPr>
        <w:t>inférn</w:t>
      </w:r>
      <w:r w:rsidR="008B0C1F" w:rsidRPr="000A34B5">
        <w:rPr>
          <w:rStyle w:val="italicus"/>
        </w:rPr>
        <w:t>i</w:t>
      </w:r>
      <w:r w:rsidRPr="000A34B5">
        <w:rPr>
          <w:rStyle w:val="italicus"/>
        </w:rPr>
        <w:t>,</w:t>
      </w:r>
      <w:r w:rsidRPr="002C4077">
        <w:t xml:space="preserve"> </w:t>
      </w:r>
      <w:r w:rsidRPr="000A34B5">
        <w:rPr>
          <w:rStyle w:val="italicus"/>
        </w:rPr>
        <w:t>in</w:t>
      </w:r>
      <w:r w:rsidRPr="002C4077">
        <w:t xml:space="preserve"> </w:t>
      </w:r>
      <w:r w:rsidR="003B53FD" w:rsidRPr="000A34B5">
        <w:rPr>
          <w:rStyle w:val="italicus"/>
        </w:rPr>
        <w:t>exc</w:t>
      </w:r>
      <w:r w:rsidR="003B53FD">
        <w:rPr>
          <w:rStyle w:val="italicus"/>
        </w:rPr>
        <w:t>é</w:t>
      </w:r>
      <w:r w:rsidR="003B53FD" w:rsidRPr="000A34B5">
        <w:rPr>
          <w:rStyle w:val="italicus"/>
        </w:rPr>
        <w:t>lsum</w:t>
      </w:r>
      <w:r w:rsidRPr="002C4077">
        <w:t xml:space="preserve"> </w:t>
      </w:r>
      <w:r w:rsidRPr="000A34B5">
        <w:rPr>
          <w:rStyle w:val="italicus"/>
        </w:rPr>
        <w:t>sup</w:t>
      </w:r>
      <w:r w:rsidR="00F6492C" w:rsidRPr="000A34B5">
        <w:rPr>
          <w:rStyle w:val="italicus"/>
        </w:rPr>
        <w:t>ra</w:t>
      </w:r>
      <w:r w:rsidR="00F6492C">
        <w:rPr>
          <w:rStyle w:val="Appelnotedebasdep"/>
          <w:i/>
        </w:rPr>
        <w:footnoteReference w:id="49"/>
      </w:r>
      <w:r w:rsidR="00F6492C" w:rsidRPr="000A34B5">
        <w:rPr>
          <w:rStyle w:val="italicus"/>
        </w:rPr>
        <w:t>,</w:t>
      </w:r>
      <w:r w:rsidRPr="002C4077">
        <w:t xml:space="preserve"> </w:t>
      </w:r>
      <w:r>
        <w:t>et</w:t>
      </w:r>
      <w:r w:rsidRPr="002C4077">
        <w:t xml:space="preserve"> </w:t>
      </w:r>
      <w:r>
        <w:t>la</w:t>
      </w:r>
      <w:r w:rsidRPr="002C4077">
        <w:t xml:space="preserve"> </w:t>
      </w:r>
      <w:r>
        <w:t>liberté</w:t>
      </w:r>
      <w:r w:rsidRPr="002C4077">
        <w:t xml:space="preserve"> </w:t>
      </w:r>
      <w:r>
        <w:t>de</w:t>
      </w:r>
      <w:r w:rsidRPr="002C4077">
        <w:t xml:space="preserve"> </w:t>
      </w:r>
      <w:r>
        <w:t>choix</w:t>
      </w:r>
      <w:r w:rsidRPr="002C4077">
        <w:t xml:space="preserve"> </w:t>
      </w:r>
      <w:r>
        <w:t>laissée</w:t>
      </w:r>
      <w:r w:rsidRPr="002C4077">
        <w:t xml:space="preserve"> </w:t>
      </w:r>
      <w:r>
        <w:t>au</w:t>
      </w:r>
      <w:r w:rsidRPr="002C4077">
        <w:t xml:space="preserve"> </w:t>
      </w:r>
      <w:r>
        <w:t>prince</w:t>
      </w:r>
      <w:r w:rsidRPr="002C4077">
        <w:t xml:space="preserve"> </w:t>
      </w:r>
      <w:r>
        <w:t>l’expriment</w:t>
      </w:r>
      <w:r w:rsidRPr="002C4077">
        <w:t xml:space="preserve"> </w:t>
      </w:r>
      <w:r>
        <w:t>nettement.</w:t>
      </w:r>
      <w:r w:rsidRPr="002C4077">
        <w:t xml:space="preserve"> </w:t>
      </w:r>
      <w:r>
        <w:t>Aussi</w:t>
      </w:r>
      <w:r w:rsidRPr="002C4077">
        <w:t xml:space="preserve"> </w:t>
      </w:r>
      <w:r>
        <w:t>quel</w:t>
      </w:r>
      <w:r w:rsidRPr="002C4077">
        <w:t xml:space="preserve"> </w:t>
      </w:r>
      <w:r>
        <w:t>n’est</w:t>
      </w:r>
      <w:r w:rsidRPr="002C4077">
        <w:t xml:space="preserve"> </w:t>
      </w:r>
      <w:r>
        <w:t>pas</w:t>
      </w:r>
      <w:r w:rsidRPr="002C4077">
        <w:t xml:space="preserve"> </w:t>
      </w:r>
      <w:r>
        <w:t>l’embarras</w:t>
      </w:r>
      <w:r w:rsidRPr="002C4077">
        <w:t xml:space="preserve"> </w:t>
      </w:r>
      <w:r>
        <w:t>des</w:t>
      </w:r>
      <w:r w:rsidRPr="002C4077">
        <w:t xml:space="preserve"> </w:t>
      </w:r>
      <w:r>
        <w:t>rationalistes</w:t>
      </w:r>
      <w:r w:rsidRPr="002C4077">
        <w:t xml:space="preserve"> </w:t>
      </w:r>
      <w:r>
        <w:t>en</w:t>
      </w:r>
      <w:r w:rsidRPr="002C4077">
        <w:t xml:space="preserve"> </w:t>
      </w:r>
      <w:r>
        <w:t>face</w:t>
      </w:r>
      <w:r w:rsidRPr="002C4077">
        <w:t xml:space="preserve"> </w:t>
      </w:r>
      <w:r>
        <w:t>de</w:t>
      </w:r>
      <w:r w:rsidRPr="002C4077">
        <w:t xml:space="preserve"> </w:t>
      </w:r>
      <w:r>
        <w:t>ce</w:t>
      </w:r>
      <w:r w:rsidRPr="002C4077">
        <w:t xml:space="preserve"> </w:t>
      </w:r>
      <w:r>
        <w:t>passage</w:t>
      </w:r>
      <w:r w:rsidR="00B546AF">
        <w:t> !</w:t>
      </w:r>
      <w:r w:rsidRPr="002C4077">
        <w:t xml:space="preserve"> </w:t>
      </w:r>
      <w:r>
        <w:t>Comme</w:t>
      </w:r>
      <w:r w:rsidRPr="002C4077">
        <w:t xml:space="preserve"> </w:t>
      </w:r>
      <w:r>
        <w:t>ils</w:t>
      </w:r>
      <w:r w:rsidRPr="002C4077">
        <w:t xml:space="preserve"> </w:t>
      </w:r>
      <w:r>
        <w:t>se</w:t>
      </w:r>
      <w:r w:rsidRPr="002C4077">
        <w:t xml:space="preserve"> </w:t>
      </w:r>
      <w:r>
        <w:t>montrent</w:t>
      </w:r>
      <w:r w:rsidRPr="002C4077">
        <w:t xml:space="preserve"> </w:t>
      </w:r>
      <w:r>
        <w:t>vraiment</w:t>
      </w:r>
      <w:r w:rsidRPr="002C4077">
        <w:t xml:space="preserve"> </w:t>
      </w:r>
      <w:r w:rsidR="00B546AF">
        <w:t>« </w:t>
      </w:r>
      <w:r>
        <w:t>ineptes</w:t>
      </w:r>
      <w:bookmarkStart w:id="72" w:name="z_RationalistesHardiesses_o3"/>
      <w:bookmarkEnd w:id="72"/>
      <w:r w:rsidR="00B546AF">
        <w:t> »</w:t>
      </w:r>
      <w:r>
        <w:t>,</w:t>
      </w:r>
      <w:r w:rsidRPr="002C4077">
        <w:t xml:space="preserve"> </w:t>
      </w:r>
      <w:r>
        <w:t>suivant</w:t>
      </w:r>
      <w:r w:rsidRPr="002C4077">
        <w:t xml:space="preserve"> </w:t>
      </w:r>
      <w:r>
        <w:t>l’expression</w:t>
      </w:r>
      <w:r w:rsidRPr="002C4077">
        <w:t xml:space="preserve"> </w:t>
      </w:r>
      <w:r>
        <w:t>peu</w:t>
      </w:r>
      <w:r w:rsidRPr="002C4077">
        <w:t xml:space="preserve"> </w:t>
      </w:r>
      <w:r>
        <w:t>tendre,</w:t>
      </w:r>
      <w:r w:rsidRPr="002C4077">
        <w:t xml:space="preserve"> </w:t>
      </w:r>
      <w:r>
        <w:t>mais</w:t>
      </w:r>
      <w:r w:rsidRPr="002C4077">
        <w:t xml:space="preserve"> </w:t>
      </w:r>
      <w:r>
        <w:t>trop</w:t>
      </w:r>
      <w:r w:rsidRPr="002C4077">
        <w:t xml:space="preserve"> </w:t>
      </w:r>
      <w:r>
        <w:t>juste,</w:t>
      </w:r>
      <w:r w:rsidRPr="002C4077">
        <w:t xml:space="preserve"> </w:t>
      </w:r>
      <w:r>
        <w:t>du</w:t>
      </w:r>
      <w:r w:rsidRPr="002C4077">
        <w:t xml:space="preserve"> </w:t>
      </w:r>
      <w:r>
        <w:t>docteur</w:t>
      </w:r>
      <w:r w:rsidRPr="002C4077">
        <w:t xml:space="preserve"> </w:t>
      </w:r>
      <w:r>
        <w:t>W.</w:t>
      </w:r>
      <w:r w:rsidRPr="002C4077">
        <w:t xml:space="preserve"> </w:t>
      </w:r>
      <w:r>
        <w:t>Schultz</w:t>
      </w:r>
      <w:r w:rsidR="00B91AF7">
        <w:rPr>
          <w:rStyle w:val="Appelnotedebasdep"/>
        </w:rPr>
        <w:footnoteReference w:id="50"/>
      </w:r>
      <w:r>
        <w:t>,</w:t>
      </w:r>
      <w:r w:rsidRPr="002C4077">
        <w:t xml:space="preserve"> </w:t>
      </w:r>
      <w:r>
        <w:t>en</w:t>
      </w:r>
      <w:r w:rsidRPr="002C4077">
        <w:t xml:space="preserve"> </w:t>
      </w:r>
      <w:r>
        <w:t>cherchant</w:t>
      </w:r>
      <w:r w:rsidRPr="002C4077">
        <w:t xml:space="preserve"> </w:t>
      </w:r>
      <w:r>
        <w:t>des</w:t>
      </w:r>
      <w:r w:rsidRPr="002C4077">
        <w:t xml:space="preserve"> </w:t>
      </w:r>
      <w:r>
        <w:t>échappatoires</w:t>
      </w:r>
      <w:r w:rsidRPr="002C4077">
        <w:t xml:space="preserve"> </w:t>
      </w:r>
      <w:r>
        <w:t>de</w:t>
      </w:r>
      <w:r w:rsidRPr="002C4077">
        <w:t xml:space="preserve"> </w:t>
      </w:r>
      <w:r>
        <w:t>tout</w:t>
      </w:r>
      <w:r w:rsidRPr="002C4077">
        <w:t xml:space="preserve"> </w:t>
      </w:r>
      <w:r>
        <w:t>genre</w:t>
      </w:r>
      <w:r w:rsidR="00B546AF">
        <w:t> !</w:t>
      </w:r>
      <w:r w:rsidRPr="002C4077">
        <w:t xml:space="preserve"> </w:t>
      </w:r>
      <w:r w:rsidR="00B546AF">
        <w:t>« </w:t>
      </w:r>
      <w:r>
        <w:t>Isaïe,</w:t>
      </w:r>
      <w:r w:rsidRPr="002C4077">
        <w:t xml:space="preserve"> </w:t>
      </w:r>
      <w:r>
        <w:t>dit</w:t>
      </w:r>
      <w:r w:rsidRPr="002C4077">
        <w:t xml:space="preserve"> </w:t>
      </w:r>
      <w:r>
        <w:t>Hitzig,</w:t>
      </w:r>
      <w:r w:rsidRPr="002C4077">
        <w:t xml:space="preserve"> </w:t>
      </w:r>
      <w:r>
        <w:t>se</w:t>
      </w:r>
      <w:r w:rsidRPr="002C4077">
        <w:t xml:space="preserve"> </w:t>
      </w:r>
      <w:r>
        <w:t>livre</w:t>
      </w:r>
      <w:r w:rsidRPr="002C4077">
        <w:t xml:space="preserve"> </w:t>
      </w:r>
      <w:r>
        <w:t>ici</w:t>
      </w:r>
      <w:r w:rsidRPr="002C4077">
        <w:t xml:space="preserve"> </w:t>
      </w:r>
      <w:r>
        <w:t>à</w:t>
      </w:r>
      <w:r w:rsidRPr="002C4077">
        <w:t xml:space="preserve"> </w:t>
      </w:r>
      <w:r>
        <w:t>un</w:t>
      </w:r>
      <w:r w:rsidRPr="002C4077">
        <w:t xml:space="preserve"> </w:t>
      </w:r>
      <w:r>
        <w:t>jeu</w:t>
      </w:r>
      <w:r w:rsidRPr="002C4077">
        <w:t xml:space="preserve"> </w:t>
      </w:r>
      <w:r>
        <w:t>dangereux,</w:t>
      </w:r>
      <w:r w:rsidRPr="002C4077">
        <w:t xml:space="preserve"> </w:t>
      </w:r>
      <w:r>
        <w:t>et</w:t>
      </w:r>
      <w:r w:rsidRPr="002C4077">
        <w:t xml:space="preserve"> </w:t>
      </w:r>
      <w:r>
        <w:t>si</w:t>
      </w:r>
      <w:r w:rsidRPr="002C4077">
        <w:t xml:space="preserve"> </w:t>
      </w:r>
      <w:r>
        <w:t>Achaz</w:t>
      </w:r>
      <w:r w:rsidRPr="002C4077">
        <w:t xml:space="preserve"> </w:t>
      </w:r>
      <w:r>
        <w:t>l’eût</w:t>
      </w:r>
      <w:r w:rsidRPr="002C4077">
        <w:t xml:space="preserve"> </w:t>
      </w:r>
      <w:r>
        <w:t>pris</w:t>
      </w:r>
      <w:r w:rsidRPr="002C4077">
        <w:t xml:space="preserve"> </w:t>
      </w:r>
      <w:r>
        <w:t>au</w:t>
      </w:r>
      <w:r w:rsidRPr="002C4077">
        <w:t xml:space="preserve"> </w:t>
      </w:r>
      <w:r>
        <w:t>mot,</w:t>
      </w:r>
      <w:r w:rsidRPr="002C4077">
        <w:t xml:space="preserve"> </w:t>
      </w:r>
      <w:r>
        <w:t>Jéhovah</w:t>
      </w:r>
      <w:r w:rsidRPr="002C4077">
        <w:t xml:space="preserve"> </w:t>
      </w:r>
      <w:r>
        <w:t>aurait</w:t>
      </w:r>
      <w:r w:rsidRPr="002C4077">
        <w:t xml:space="preserve"> </w:t>
      </w:r>
      <w:r>
        <w:t>certainement</w:t>
      </w:r>
      <w:r w:rsidRPr="002C4077">
        <w:t xml:space="preserve"> </w:t>
      </w:r>
      <w:r>
        <w:t>planté</w:t>
      </w:r>
      <w:r w:rsidRPr="002C4077">
        <w:t xml:space="preserve"> </w:t>
      </w:r>
      <w:r>
        <w:t>là</w:t>
      </w:r>
      <w:r w:rsidRPr="002C4077">
        <w:t xml:space="preserve"> </w:t>
      </w:r>
      <w:r>
        <w:t>son</w:t>
      </w:r>
      <w:r w:rsidRPr="002C4077">
        <w:t xml:space="preserve"> </w:t>
      </w:r>
      <w:r>
        <w:t>prophète</w:t>
      </w:r>
      <w:r w:rsidR="00B546AF">
        <w:t> »</w:t>
      </w:r>
      <w:r>
        <w:t>.</w:t>
      </w:r>
      <w:r w:rsidRPr="002C4077">
        <w:t xml:space="preserve"> </w:t>
      </w:r>
      <w:r>
        <w:t>D’après</w:t>
      </w:r>
      <w:r w:rsidRPr="002C4077">
        <w:t xml:space="preserve"> </w:t>
      </w:r>
      <w:r>
        <w:t>Meier,</w:t>
      </w:r>
      <w:r w:rsidRPr="002C4077">
        <w:t xml:space="preserve"> </w:t>
      </w:r>
      <w:r w:rsidR="00B546AF">
        <w:t>« </w:t>
      </w:r>
      <w:r w:rsidRPr="000A34B5">
        <w:rPr>
          <w:rStyle w:val="italicus"/>
        </w:rPr>
        <w:t>un</w:t>
      </w:r>
      <w:r w:rsidRPr="002C4077">
        <w:t xml:space="preserve"> </w:t>
      </w:r>
      <w:r>
        <w:t>Isaïe</w:t>
      </w:r>
      <w:r w:rsidRPr="004440EA">
        <w:t xml:space="preserve"> (</w:t>
      </w:r>
      <w:r>
        <w:t>notez</w:t>
      </w:r>
      <w:r w:rsidRPr="002C4077">
        <w:t xml:space="preserve"> </w:t>
      </w:r>
      <w:r>
        <w:t>la</w:t>
      </w:r>
      <w:r w:rsidRPr="002C4077">
        <w:t xml:space="preserve"> </w:t>
      </w:r>
      <w:r>
        <w:t>force</w:t>
      </w:r>
      <w:r w:rsidRPr="002C4077">
        <w:t xml:space="preserve"> </w:t>
      </w:r>
      <w:r>
        <w:t>de</w:t>
      </w:r>
      <w:r w:rsidRPr="002C4077">
        <w:t xml:space="preserve"> </w:t>
      </w:r>
      <w:r>
        <w:t>cette</w:t>
      </w:r>
      <w:r w:rsidRPr="002C4077">
        <w:t xml:space="preserve"> </w:t>
      </w:r>
      <w:r>
        <w:t>locution</w:t>
      </w:r>
      <w:r w:rsidR="00B546AF">
        <w:t> ;</w:t>
      </w:r>
      <w:r w:rsidRPr="002C4077">
        <w:t xml:space="preserve"> </w:t>
      </w:r>
      <w:r>
        <w:t>c’est-à-dire,</w:t>
      </w:r>
      <w:r w:rsidRPr="002C4077">
        <w:t xml:space="preserve"> </w:t>
      </w:r>
      <w:r>
        <w:t>un</w:t>
      </w:r>
      <w:r w:rsidRPr="002C4077">
        <w:t xml:space="preserve"> </w:t>
      </w:r>
      <w:r>
        <w:t>homme</w:t>
      </w:r>
      <w:r w:rsidRPr="002C4077">
        <w:t xml:space="preserve"> </w:t>
      </w:r>
      <w:r>
        <w:t>d’esprit</w:t>
      </w:r>
      <w:r w:rsidRPr="002C4077">
        <w:t xml:space="preserve"> </w:t>
      </w:r>
      <w:r>
        <w:t>comme</w:t>
      </w:r>
      <w:r w:rsidRPr="002C4077">
        <w:t xml:space="preserve"> </w:t>
      </w:r>
      <w:r>
        <w:t>Isaïe</w:t>
      </w:r>
      <w:r w:rsidR="00B546AF" w:rsidRPr="002C4077">
        <w:t>)</w:t>
      </w:r>
      <w:r w:rsidRPr="002C4077">
        <w:t xml:space="preserve"> </w:t>
      </w:r>
      <w:r>
        <w:t>n’aura</w:t>
      </w:r>
      <w:r w:rsidRPr="002C4077">
        <w:t xml:space="preserve"> </w:t>
      </w:r>
      <w:r>
        <w:t>certainement</w:t>
      </w:r>
      <w:r w:rsidRPr="002C4077">
        <w:t xml:space="preserve"> </w:t>
      </w:r>
      <w:r>
        <w:t>pas</w:t>
      </w:r>
      <w:r w:rsidRPr="002C4077">
        <w:t xml:space="preserve"> </w:t>
      </w:r>
      <w:r>
        <w:t>eu</w:t>
      </w:r>
      <w:r w:rsidRPr="002C4077">
        <w:t xml:space="preserve"> </w:t>
      </w:r>
      <w:r>
        <w:t>l’idée</w:t>
      </w:r>
      <w:r w:rsidRPr="002C4077">
        <w:t xml:space="preserve"> </w:t>
      </w:r>
      <w:r>
        <w:t>d’accomplir</w:t>
      </w:r>
      <w:r w:rsidRPr="002C4077">
        <w:t xml:space="preserve"> </w:t>
      </w:r>
      <w:r>
        <w:t>un</w:t>
      </w:r>
      <w:r w:rsidRPr="002C4077">
        <w:t xml:space="preserve"> </w:t>
      </w:r>
      <w:r>
        <w:t>prodige</w:t>
      </w:r>
      <w:r w:rsidR="00B546AF">
        <w:t> »</w:t>
      </w:r>
      <w:r>
        <w:t>.</w:t>
      </w:r>
      <w:r w:rsidRPr="002C4077">
        <w:t xml:space="preserve"> </w:t>
      </w:r>
      <w:r>
        <w:t>Knobel</w:t>
      </w:r>
      <w:r w:rsidRPr="002C4077">
        <w:t xml:space="preserve"> </w:t>
      </w:r>
      <w:r>
        <w:t>se</w:t>
      </w:r>
      <w:r w:rsidRPr="002C4077">
        <w:t xml:space="preserve"> </w:t>
      </w:r>
      <w:r>
        <w:t>demande</w:t>
      </w:r>
      <w:r w:rsidRPr="002C4077">
        <w:t xml:space="preserve"> </w:t>
      </w:r>
      <w:r>
        <w:t>quel</w:t>
      </w:r>
      <w:r w:rsidRPr="002C4077">
        <w:t xml:space="preserve"> </w:t>
      </w:r>
      <w:r>
        <w:t>signe</w:t>
      </w:r>
      <w:r w:rsidRPr="002C4077">
        <w:t xml:space="preserve"> </w:t>
      </w:r>
      <w:r>
        <w:t>le</w:t>
      </w:r>
      <w:r w:rsidRPr="002C4077">
        <w:t xml:space="preserve"> </w:t>
      </w:r>
      <w:r>
        <w:t>prophète</w:t>
      </w:r>
      <w:r w:rsidRPr="002C4077">
        <w:t xml:space="preserve"> </w:t>
      </w:r>
      <w:r>
        <w:t>aurait</w:t>
      </w:r>
      <w:r w:rsidRPr="002C4077">
        <w:t xml:space="preserve"> </w:t>
      </w:r>
      <w:r>
        <w:t>bien</w:t>
      </w:r>
      <w:r w:rsidRPr="002C4077">
        <w:t xml:space="preserve"> </w:t>
      </w:r>
      <w:r>
        <w:t>pu</w:t>
      </w:r>
      <w:r w:rsidRPr="002C4077">
        <w:t xml:space="preserve"> </w:t>
      </w:r>
      <w:r>
        <w:t>opérer</w:t>
      </w:r>
      <w:r w:rsidRPr="002C4077">
        <w:t xml:space="preserve"> </w:t>
      </w:r>
      <w:r>
        <w:t>dans</w:t>
      </w:r>
      <w:r w:rsidRPr="002C4077">
        <w:t xml:space="preserve"> </w:t>
      </w:r>
      <w:r>
        <w:t>le</w:t>
      </w:r>
      <w:r w:rsidRPr="002C4077">
        <w:t xml:space="preserve"> </w:t>
      </w:r>
      <w:r>
        <w:t>ciel,</w:t>
      </w:r>
      <w:r w:rsidRPr="002C4077">
        <w:t xml:space="preserve"> </w:t>
      </w:r>
      <w:r>
        <w:t>si</w:t>
      </w:r>
      <w:r w:rsidRPr="002C4077">
        <w:t xml:space="preserve"> </w:t>
      </w:r>
      <w:r>
        <w:t>on</w:t>
      </w:r>
      <w:r w:rsidRPr="002C4077">
        <w:t xml:space="preserve"> </w:t>
      </w:r>
      <w:r>
        <w:t>lui</w:t>
      </w:r>
      <w:r w:rsidRPr="002C4077">
        <w:t xml:space="preserve"> </w:t>
      </w:r>
      <w:r>
        <w:t>en</w:t>
      </w:r>
      <w:r w:rsidRPr="002C4077">
        <w:t xml:space="preserve"> </w:t>
      </w:r>
      <w:r>
        <w:t>eût</w:t>
      </w:r>
      <w:r w:rsidRPr="002C4077">
        <w:t xml:space="preserve"> </w:t>
      </w:r>
      <w:r>
        <w:t>demandé</w:t>
      </w:r>
      <w:r w:rsidRPr="002C4077">
        <w:t xml:space="preserve"> </w:t>
      </w:r>
      <w:r>
        <w:t>un,</w:t>
      </w:r>
      <w:r w:rsidRPr="002C4077">
        <w:t xml:space="preserve"> </w:t>
      </w:r>
      <w:r>
        <w:t>et</w:t>
      </w:r>
      <w:r w:rsidRPr="002C4077">
        <w:t xml:space="preserve"> </w:t>
      </w:r>
      <w:r>
        <w:t>il</w:t>
      </w:r>
      <w:r w:rsidRPr="002C4077">
        <w:t xml:space="preserve"> </w:t>
      </w:r>
      <w:r>
        <w:t>ne</w:t>
      </w:r>
      <w:r w:rsidRPr="002C4077">
        <w:t xml:space="preserve"> </w:t>
      </w:r>
      <w:r>
        <w:t>trouve</w:t>
      </w:r>
      <w:r w:rsidRPr="002C4077">
        <w:t xml:space="preserve"> </w:t>
      </w:r>
      <w:r>
        <w:t>d’autre</w:t>
      </w:r>
      <w:r w:rsidRPr="002C4077">
        <w:t xml:space="preserve"> </w:t>
      </w:r>
      <w:r>
        <w:t>réponse</w:t>
      </w:r>
      <w:r w:rsidRPr="002C4077">
        <w:t xml:space="preserve"> </w:t>
      </w:r>
      <w:r>
        <w:t>que</w:t>
      </w:r>
      <w:r w:rsidRPr="002C4077">
        <w:t xml:space="preserve"> </w:t>
      </w:r>
      <w:r>
        <w:t>cette</w:t>
      </w:r>
      <w:r w:rsidRPr="002C4077">
        <w:t xml:space="preserve"> </w:t>
      </w:r>
      <w:r>
        <w:t>niaiserie</w:t>
      </w:r>
      <w:r w:rsidR="00B546AF">
        <w:t> :</w:t>
      </w:r>
      <w:r w:rsidRPr="002C4077">
        <w:t xml:space="preserve"> </w:t>
      </w:r>
      <w:r w:rsidR="00B546AF">
        <w:t>« </w:t>
      </w:r>
      <w:r>
        <w:t>Probablement</w:t>
      </w:r>
      <w:r w:rsidRPr="002C4077">
        <w:t xml:space="preserve"> </w:t>
      </w:r>
      <w:r>
        <w:t>une</w:t>
      </w:r>
      <w:r w:rsidRPr="002C4077">
        <w:t xml:space="preserve"> </w:t>
      </w:r>
      <w:r>
        <w:t>chose</w:t>
      </w:r>
      <w:r w:rsidRPr="002C4077">
        <w:t xml:space="preserve"> </w:t>
      </w:r>
      <w:r>
        <w:t>très</w:t>
      </w:r>
      <w:r w:rsidRPr="002C4077">
        <w:t xml:space="preserve"> </w:t>
      </w:r>
      <w:r>
        <w:t>simple</w:t>
      </w:r>
      <w:r w:rsidR="00B546AF">
        <w:t> »</w:t>
      </w:r>
      <w:r>
        <w:t>.</w:t>
      </w:r>
      <w:r w:rsidRPr="002C4077">
        <w:t xml:space="preserve"> </w:t>
      </w:r>
      <w:r w:rsidR="00B546AF">
        <w:t>« </w:t>
      </w:r>
      <w:r>
        <w:t>C’est</w:t>
      </w:r>
      <w:r w:rsidRPr="002C4077">
        <w:t xml:space="preserve"> </w:t>
      </w:r>
      <w:r>
        <w:t>ainsi,</w:t>
      </w:r>
      <w:r w:rsidRPr="002C4077">
        <w:t xml:space="preserve"> </w:t>
      </w:r>
      <w:r>
        <w:t>dit</w:t>
      </w:r>
      <w:r w:rsidRPr="002C4077">
        <w:t xml:space="preserve"> </w:t>
      </w:r>
      <w:r>
        <w:t>excellemment</w:t>
      </w:r>
      <w:r w:rsidRPr="002C4077">
        <w:t xml:space="preserve"> </w:t>
      </w:r>
      <w:r>
        <w:t>M.</w:t>
      </w:r>
      <w:r w:rsidRPr="002C4077">
        <w:t xml:space="preserve"> </w:t>
      </w:r>
      <w:r>
        <w:t>D</w:t>
      </w:r>
      <w:r w:rsidR="001730C6">
        <w:t>el</w:t>
      </w:r>
      <w:r>
        <w:t>itzsch</w:t>
      </w:r>
      <w:r w:rsidR="00B91AF7">
        <w:rPr>
          <w:rStyle w:val="Appelnotedebasdep"/>
        </w:rPr>
        <w:footnoteReference w:id="51"/>
      </w:r>
      <w:r>
        <w:t>,</w:t>
      </w:r>
      <w:r w:rsidRPr="002C4077">
        <w:t xml:space="preserve"> </w:t>
      </w:r>
      <w:r>
        <w:t>qu’aveuglée</w:t>
      </w:r>
      <w:r w:rsidRPr="002C4077">
        <w:t xml:space="preserve"> </w:t>
      </w:r>
      <w:r>
        <w:t>par</w:t>
      </w:r>
      <w:r w:rsidRPr="002C4077">
        <w:t xml:space="preserve"> </w:t>
      </w:r>
      <w:r>
        <w:t>l’éclat</w:t>
      </w:r>
      <w:r w:rsidRPr="002C4077">
        <w:t xml:space="preserve"> </w:t>
      </w:r>
      <w:r>
        <w:t>des</w:t>
      </w:r>
      <w:r w:rsidRPr="002C4077">
        <w:t xml:space="preserve"> </w:t>
      </w:r>
      <w:r>
        <w:t>prophéties</w:t>
      </w:r>
      <w:r w:rsidRPr="002C4077">
        <w:t xml:space="preserve"> </w:t>
      </w:r>
      <w:r>
        <w:t>de</w:t>
      </w:r>
      <w:r w:rsidRPr="002C4077">
        <w:t xml:space="preserve"> </w:t>
      </w:r>
      <w:r>
        <w:t>l’Ancien</w:t>
      </w:r>
      <w:r w:rsidRPr="002C4077">
        <w:t xml:space="preserve"> </w:t>
      </w:r>
      <w:r>
        <w:t>Testament,</w:t>
      </w:r>
      <w:r w:rsidRPr="002C4077">
        <w:t xml:space="preserve"> </w:t>
      </w:r>
      <w:r>
        <w:t>l’exégèse</w:t>
      </w:r>
      <w:r w:rsidRPr="002C4077">
        <w:t xml:space="preserve"> </w:t>
      </w:r>
      <w:r>
        <w:t>rationaliste</w:t>
      </w:r>
      <w:r w:rsidRPr="002C4077">
        <w:t xml:space="preserve"> </w:t>
      </w:r>
      <w:r>
        <w:t>gît</w:t>
      </w:r>
      <w:r w:rsidRPr="002C4077">
        <w:t xml:space="preserve"> </w:t>
      </w:r>
      <w:r>
        <w:t>étendue</w:t>
      </w:r>
      <w:r w:rsidRPr="002C4077">
        <w:t xml:space="preserve"> </w:t>
      </w:r>
      <w:r>
        <w:t>à</w:t>
      </w:r>
      <w:r w:rsidRPr="002C4077">
        <w:t xml:space="preserve"> </w:t>
      </w:r>
      <w:r>
        <w:t>terre,</w:t>
      </w:r>
      <w:r w:rsidRPr="002C4077">
        <w:t xml:space="preserve"> </w:t>
      </w:r>
      <w:r>
        <w:t>et</w:t>
      </w:r>
      <w:r w:rsidRPr="002C4077">
        <w:t xml:space="preserve"> </w:t>
      </w:r>
      <w:r>
        <w:t>qu’elle</w:t>
      </w:r>
      <w:r w:rsidRPr="002C4077">
        <w:t xml:space="preserve"> </w:t>
      </w:r>
      <w:r>
        <w:t>cherche</w:t>
      </w:r>
      <w:r w:rsidRPr="002C4077">
        <w:t xml:space="preserve"> </w:t>
      </w:r>
      <w:r>
        <w:t>à</w:t>
      </w:r>
      <w:r w:rsidRPr="002C4077">
        <w:t xml:space="preserve"> </w:t>
      </w:r>
      <w:r>
        <w:t>se</w:t>
      </w:r>
      <w:r w:rsidRPr="002C4077">
        <w:t xml:space="preserve"> </w:t>
      </w:r>
      <w:r>
        <w:t>tirer</w:t>
      </w:r>
      <w:r w:rsidRPr="002C4077">
        <w:t xml:space="preserve"> </w:t>
      </w:r>
      <w:r>
        <w:t>d’affaire</w:t>
      </w:r>
      <w:r w:rsidRPr="002C4077">
        <w:t xml:space="preserve"> </w:t>
      </w:r>
      <w:r>
        <w:t>par</w:t>
      </w:r>
      <w:r w:rsidRPr="002C4077">
        <w:t xml:space="preserve"> </w:t>
      </w:r>
      <w:r>
        <w:t>des</w:t>
      </w:r>
      <w:r w:rsidRPr="002C4077">
        <w:t xml:space="preserve"> </w:t>
      </w:r>
      <w:r>
        <w:t>phrases</w:t>
      </w:r>
      <w:r w:rsidRPr="002C4077">
        <w:t xml:space="preserve"> </w:t>
      </w:r>
      <w:r>
        <w:t>banales,</w:t>
      </w:r>
      <w:r w:rsidRPr="002C4077">
        <w:t xml:space="preserve"> </w:t>
      </w:r>
      <w:r>
        <w:t>sottes</w:t>
      </w:r>
      <w:r w:rsidRPr="002C4077">
        <w:t xml:space="preserve"> </w:t>
      </w:r>
      <w:r>
        <w:t>et</w:t>
      </w:r>
      <w:r w:rsidRPr="002C4077">
        <w:t xml:space="preserve"> </w:t>
      </w:r>
      <w:r>
        <w:t>basses</w:t>
      </w:r>
      <w:r w:rsidR="00B546AF">
        <w:t> »</w:t>
      </w:r>
      <w:r>
        <w:t>.</w:t>
      </w:r>
      <w:r w:rsidRPr="002C4077">
        <w:t xml:space="preserve"> </w:t>
      </w:r>
      <w:r w:rsidRPr="000A34B5">
        <w:rPr>
          <w:rStyle w:val="italicus"/>
        </w:rPr>
        <w:t>Tali</w:t>
      </w:r>
      <w:r w:rsidRPr="002C4077">
        <w:t xml:space="preserve"> </w:t>
      </w:r>
      <w:r w:rsidRPr="000A34B5">
        <w:rPr>
          <w:rStyle w:val="italicus"/>
        </w:rPr>
        <w:t>v</w:t>
      </w:r>
      <w:r w:rsidR="003B53FD" w:rsidRPr="000A34B5">
        <w:rPr>
          <w:rStyle w:val="italicus"/>
        </w:rPr>
        <w:t>erb</w:t>
      </w:r>
      <w:r w:rsidR="003B53FD">
        <w:rPr>
          <w:rStyle w:val="italicus"/>
        </w:rPr>
        <w:t>ó</w:t>
      </w:r>
      <w:r w:rsidR="003B53FD" w:rsidRPr="000A34B5">
        <w:rPr>
          <w:rStyle w:val="italicus"/>
        </w:rPr>
        <w:t>rum</w:t>
      </w:r>
      <w:r w:rsidRPr="002C4077">
        <w:t xml:space="preserve"> </w:t>
      </w:r>
      <w:r w:rsidRPr="000A34B5">
        <w:rPr>
          <w:rStyle w:val="italicus"/>
        </w:rPr>
        <w:t>pr</w:t>
      </w:r>
      <w:r w:rsidR="001730C6" w:rsidRPr="000A34B5">
        <w:rPr>
          <w:rStyle w:val="italicus"/>
        </w:rPr>
        <w:t>op</w:t>
      </w:r>
      <w:r w:rsidRPr="000A34B5">
        <w:rPr>
          <w:rStyle w:val="italicus"/>
        </w:rPr>
        <w:t>he</w:t>
      </w:r>
      <w:r w:rsidR="003B53FD" w:rsidRPr="000A34B5">
        <w:rPr>
          <w:rStyle w:val="italicus"/>
        </w:rPr>
        <w:t>tic</w:t>
      </w:r>
      <w:r w:rsidR="003B53FD">
        <w:rPr>
          <w:rStyle w:val="italicus"/>
        </w:rPr>
        <w:t>ó</w:t>
      </w:r>
      <w:r w:rsidR="003B53FD" w:rsidRPr="000A34B5">
        <w:rPr>
          <w:rStyle w:val="italicus"/>
        </w:rPr>
        <w:t>rum</w:t>
      </w:r>
      <w:r w:rsidRPr="002C4077">
        <w:t xml:space="preserve"> </w:t>
      </w:r>
      <w:r w:rsidR="008B0C1F" w:rsidRPr="000A34B5">
        <w:rPr>
          <w:rStyle w:val="italicus"/>
        </w:rPr>
        <w:t>majestáti</w:t>
      </w:r>
      <w:r w:rsidRPr="002C4077">
        <w:t xml:space="preserve"> </w:t>
      </w:r>
      <w:r w:rsidRPr="000A34B5">
        <w:rPr>
          <w:rStyle w:val="italicus"/>
        </w:rPr>
        <w:t>et</w:t>
      </w:r>
      <w:r w:rsidRPr="002C4077">
        <w:t xml:space="preserve"> </w:t>
      </w:r>
      <w:r w:rsidRPr="000A34B5">
        <w:rPr>
          <w:rStyle w:val="italicus"/>
        </w:rPr>
        <w:t>gra</w:t>
      </w:r>
      <w:r w:rsidR="003B53FD" w:rsidRPr="000A34B5">
        <w:rPr>
          <w:rStyle w:val="italicus"/>
        </w:rPr>
        <w:t>vit</w:t>
      </w:r>
      <w:r w:rsidR="003B53FD">
        <w:rPr>
          <w:rStyle w:val="italicus"/>
        </w:rPr>
        <w:t>á</w:t>
      </w:r>
      <w:r w:rsidR="003B53FD" w:rsidRPr="000A34B5">
        <w:rPr>
          <w:rStyle w:val="italicus"/>
        </w:rPr>
        <w:t>ti</w:t>
      </w:r>
      <w:r w:rsidRPr="000A34B5">
        <w:rPr>
          <w:rStyle w:val="italicus"/>
        </w:rPr>
        <w:t>,</w:t>
      </w:r>
      <w:r w:rsidRPr="002C4077">
        <w:t xml:space="preserve"> </w:t>
      </w:r>
      <w:r>
        <w:t>ajoutait</w:t>
      </w:r>
      <w:r w:rsidRPr="002C4077">
        <w:t xml:space="preserve"> </w:t>
      </w:r>
      <w:r>
        <w:t>naguère</w:t>
      </w:r>
      <w:r w:rsidRPr="002C4077">
        <w:t xml:space="preserve"> </w:t>
      </w:r>
      <w:r>
        <w:t>M.</w:t>
      </w:r>
      <w:r w:rsidRPr="002C4077">
        <w:t xml:space="preserve"> </w:t>
      </w:r>
      <w:r>
        <w:t>Bredenkamp</w:t>
      </w:r>
      <w:r w:rsidR="00B91AF7">
        <w:rPr>
          <w:rStyle w:val="Appelnotedebasdep"/>
        </w:rPr>
        <w:footnoteReference w:id="52"/>
      </w:r>
      <w:r>
        <w:t>,</w:t>
      </w:r>
      <w:r w:rsidRPr="002C4077">
        <w:t xml:space="preserve"> </w:t>
      </w:r>
      <w:r w:rsidRPr="000A34B5">
        <w:rPr>
          <w:rStyle w:val="italicus"/>
        </w:rPr>
        <w:t>quant</w:t>
      </w:r>
      <w:r w:rsidR="003B53FD">
        <w:rPr>
          <w:rStyle w:val="italicus"/>
        </w:rPr>
        <w:t>ó</w:t>
      </w:r>
      <w:r w:rsidR="003B53FD" w:rsidRPr="000A34B5">
        <w:rPr>
          <w:rStyle w:val="italicus"/>
        </w:rPr>
        <w:t>pere</w:t>
      </w:r>
      <w:r w:rsidRPr="002C4077">
        <w:t xml:space="preserve"> </w:t>
      </w:r>
      <w:r w:rsidRPr="000A34B5">
        <w:rPr>
          <w:rStyle w:val="italicus"/>
        </w:rPr>
        <w:t>adv</w:t>
      </w:r>
      <w:r w:rsidR="003B53FD" w:rsidRPr="000A34B5">
        <w:rPr>
          <w:rStyle w:val="italicus"/>
        </w:rPr>
        <w:t>ers</w:t>
      </w:r>
      <w:r w:rsidR="003B53FD">
        <w:rPr>
          <w:rStyle w:val="italicus"/>
        </w:rPr>
        <w:t>á</w:t>
      </w:r>
      <w:r w:rsidR="003B53FD" w:rsidRPr="000A34B5">
        <w:rPr>
          <w:rStyle w:val="italicus"/>
        </w:rPr>
        <w:t>ntur</w:t>
      </w:r>
      <w:r w:rsidRPr="002C4077">
        <w:t xml:space="preserve"> </w:t>
      </w:r>
      <w:r w:rsidR="008B0C1F">
        <w:rPr>
          <w:rStyle w:val="italicus"/>
        </w:rPr>
        <w:t>æ</w:t>
      </w:r>
      <w:r w:rsidRPr="000A34B5">
        <w:rPr>
          <w:rStyle w:val="italicus"/>
        </w:rPr>
        <w:t>qu</w:t>
      </w:r>
      <w:r w:rsidR="003B53FD">
        <w:rPr>
          <w:rStyle w:val="italicus"/>
        </w:rPr>
        <w:t>á</w:t>
      </w:r>
      <w:r w:rsidR="003B53FD" w:rsidRPr="000A34B5">
        <w:rPr>
          <w:rStyle w:val="italicus"/>
        </w:rPr>
        <w:t>lium</w:t>
      </w:r>
      <w:r w:rsidRPr="002C4077">
        <w:t xml:space="preserve"> </w:t>
      </w:r>
      <w:r w:rsidRPr="000A34B5">
        <w:rPr>
          <w:rStyle w:val="italicus"/>
        </w:rPr>
        <w:t>no</w:t>
      </w:r>
      <w:r w:rsidR="003B53FD" w:rsidRPr="000A34B5">
        <w:rPr>
          <w:rStyle w:val="italicus"/>
        </w:rPr>
        <w:t>str</w:t>
      </w:r>
      <w:r w:rsidR="003B53FD">
        <w:rPr>
          <w:rStyle w:val="italicus"/>
        </w:rPr>
        <w:t>ó</w:t>
      </w:r>
      <w:r w:rsidR="003B53FD" w:rsidRPr="000A34B5">
        <w:rPr>
          <w:rStyle w:val="italicus"/>
        </w:rPr>
        <w:t>rum</w:t>
      </w:r>
      <w:r w:rsidR="008B0C1F" w:rsidRPr="002C4077">
        <w:t xml:space="preserve"> </w:t>
      </w:r>
      <w:r w:rsidR="008B0C1F">
        <w:rPr>
          <w:rStyle w:val="italicus"/>
        </w:rPr>
        <w:t>nugæ</w:t>
      </w:r>
      <w:r w:rsidR="00B546AF">
        <w:rPr>
          <w:rStyle w:val="italicus"/>
        </w:rPr>
        <w:t> </w:t>
      </w:r>
      <w:r w:rsidR="00B546AF" w:rsidRPr="000A34B5">
        <w:rPr>
          <w:rStyle w:val="italicus"/>
        </w:rPr>
        <w:t>!</w:t>
      </w:r>
      <w:r w:rsidRPr="002C4077">
        <w:t xml:space="preserve"> </w:t>
      </w:r>
      <w:r>
        <w:t>On</w:t>
      </w:r>
      <w:r w:rsidRPr="002C4077">
        <w:t xml:space="preserve"> </w:t>
      </w:r>
      <w:r>
        <w:t>ne</w:t>
      </w:r>
      <w:r w:rsidRPr="002C4077">
        <w:t xml:space="preserve"> </w:t>
      </w:r>
      <w:r>
        <w:t>devrait</w:t>
      </w:r>
      <w:r w:rsidRPr="002C4077">
        <w:t xml:space="preserve"> </w:t>
      </w:r>
      <w:r>
        <w:t>pas</w:t>
      </w:r>
      <w:r w:rsidRPr="002C4077">
        <w:t xml:space="preserve"> </w:t>
      </w:r>
      <w:r>
        <w:t>se</w:t>
      </w:r>
      <w:r w:rsidRPr="002C4077">
        <w:t xml:space="preserve"> </w:t>
      </w:r>
      <w:r>
        <w:t>lasser</w:t>
      </w:r>
      <w:r w:rsidRPr="002C4077">
        <w:t xml:space="preserve"> </w:t>
      </w:r>
      <w:r>
        <w:t>de</w:t>
      </w:r>
      <w:r w:rsidRPr="002C4077">
        <w:t xml:space="preserve"> </w:t>
      </w:r>
      <w:r>
        <w:t>relever</w:t>
      </w:r>
      <w:r w:rsidRPr="002C4077">
        <w:t xml:space="preserve"> </w:t>
      </w:r>
      <w:r>
        <w:t>leurs</w:t>
      </w:r>
      <w:r w:rsidRPr="002C4077">
        <w:t xml:space="preserve"> </w:t>
      </w:r>
      <w:r>
        <w:t>fadaises,</w:t>
      </w:r>
      <w:r w:rsidRPr="002C4077">
        <w:t xml:space="preserve"> </w:t>
      </w:r>
      <w:r>
        <w:t>qui</w:t>
      </w:r>
      <w:r w:rsidRPr="002C4077">
        <w:t xml:space="preserve"> </w:t>
      </w:r>
      <w:r>
        <w:t>révèlent</w:t>
      </w:r>
      <w:r w:rsidRPr="002C4077">
        <w:t xml:space="preserve"> </w:t>
      </w:r>
      <w:r>
        <w:t>si</w:t>
      </w:r>
      <w:r w:rsidRPr="002C4077">
        <w:t xml:space="preserve"> </w:t>
      </w:r>
      <w:r>
        <w:t>bien</w:t>
      </w:r>
      <w:r w:rsidRPr="002C4077">
        <w:t xml:space="preserve"> </w:t>
      </w:r>
      <w:r>
        <w:t>la</w:t>
      </w:r>
      <w:r w:rsidRPr="002C4077">
        <w:t xml:space="preserve"> </w:t>
      </w:r>
      <w:r>
        <w:t>faiblesse</w:t>
      </w:r>
      <w:r w:rsidRPr="002C4077">
        <w:t xml:space="preserve"> </w:t>
      </w:r>
      <w:r>
        <w:t>de</w:t>
      </w:r>
      <w:r w:rsidRPr="002C4077">
        <w:t xml:space="preserve"> </w:t>
      </w:r>
      <w:r>
        <w:t>leur</w:t>
      </w:r>
      <w:bookmarkStart w:id="73" w:name="z_RationalistesAlma_o4"/>
      <w:bookmarkEnd w:id="73"/>
      <w:r w:rsidRPr="002C4077">
        <w:t xml:space="preserve"> </w:t>
      </w:r>
      <w:r>
        <w:t>cause</w:t>
      </w:r>
      <w:bookmarkStart w:id="74" w:name="z_Achaz_o4"/>
      <w:bookmarkEnd w:id="74"/>
      <w:r>
        <w:t>.</w:t>
      </w:r>
      <w:r w:rsidR="00C45B47">
        <w:t xml:space="preserve"> {</w:t>
      </w:r>
      <w:r w:rsidR="000721C4">
        <w:t>18</w:t>
      </w:r>
      <w:bookmarkStart w:id="75" w:name="p018"/>
      <w:bookmarkEnd w:id="75"/>
      <w:r w:rsidR="000721C4">
        <w:t xml:space="preserve">} </w:t>
      </w:r>
    </w:p>
    <w:p w:rsidR="000A7AAB" w:rsidRDefault="000A7AAB" w:rsidP="000A7AAB">
      <w:r>
        <w:t>Quelle</w:t>
      </w:r>
      <w:bookmarkStart w:id="76" w:name="z_Achaz_o5"/>
      <w:bookmarkEnd w:id="76"/>
      <w:r w:rsidRPr="002C4077">
        <w:t xml:space="preserve"> </w:t>
      </w:r>
      <w:r>
        <w:t>fut</w:t>
      </w:r>
      <w:r w:rsidRPr="002C4077">
        <w:t xml:space="preserve"> </w:t>
      </w:r>
      <w:r>
        <w:t>la</w:t>
      </w:r>
      <w:r w:rsidRPr="002C4077">
        <w:t xml:space="preserve"> </w:t>
      </w:r>
      <w:r>
        <w:t>conduite</w:t>
      </w:r>
      <w:r w:rsidRPr="002C4077">
        <w:t xml:space="preserve"> </w:t>
      </w:r>
      <w:r>
        <w:t>d’Achaz,</w:t>
      </w:r>
      <w:r w:rsidRPr="002C4077">
        <w:t xml:space="preserve"> </w:t>
      </w:r>
      <w:r>
        <w:t>lorsqu’on</w:t>
      </w:r>
      <w:r w:rsidRPr="002C4077">
        <w:t xml:space="preserve"> </w:t>
      </w:r>
      <w:r>
        <w:t>lui</w:t>
      </w:r>
      <w:r w:rsidRPr="002C4077">
        <w:t xml:space="preserve"> </w:t>
      </w:r>
      <w:r>
        <w:t>eut</w:t>
      </w:r>
      <w:r w:rsidRPr="002C4077">
        <w:t xml:space="preserve"> </w:t>
      </w:r>
      <w:r>
        <w:t>offert</w:t>
      </w:r>
      <w:r w:rsidRPr="002C4077">
        <w:t xml:space="preserve"> </w:t>
      </w:r>
      <w:r>
        <w:t>d’une</w:t>
      </w:r>
      <w:r w:rsidRPr="002C4077">
        <w:t xml:space="preserve"> </w:t>
      </w:r>
      <w:r>
        <w:t>manière</w:t>
      </w:r>
      <w:r w:rsidRPr="002C4077">
        <w:t xml:space="preserve"> </w:t>
      </w:r>
      <w:r>
        <w:t>si</w:t>
      </w:r>
      <w:r w:rsidRPr="002C4077">
        <w:t xml:space="preserve"> </w:t>
      </w:r>
      <w:r>
        <w:t>généreuse</w:t>
      </w:r>
      <w:r w:rsidR="00B91AF7">
        <w:rPr>
          <w:rStyle w:val="Appelnotedebasdep"/>
        </w:rPr>
        <w:footnoteReference w:id="53"/>
      </w:r>
      <w:r w:rsidRPr="002C4077">
        <w:t xml:space="preserve"> </w:t>
      </w:r>
      <w:r>
        <w:t>un</w:t>
      </w:r>
      <w:r w:rsidRPr="002C4077">
        <w:t xml:space="preserve"> </w:t>
      </w:r>
      <w:r>
        <w:t>gage</w:t>
      </w:r>
      <w:r w:rsidRPr="002C4077">
        <w:t xml:space="preserve"> </w:t>
      </w:r>
      <w:r>
        <w:t>de</w:t>
      </w:r>
      <w:r w:rsidRPr="002C4077">
        <w:t xml:space="preserve"> </w:t>
      </w:r>
      <w:r>
        <w:t>l’intégral</w:t>
      </w:r>
      <w:r w:rsidRPr="002C4077">
        <w:t xml:space="preserve"> </w:t>
      </w:r>
      <w:r>
        <w:t>accomplissement</w:t>
      </w:r>
      <w:r w:rsidRPr="002C4077">
        <w:t xml:space="preserve"> </w:t>
      </w:r>
      <w:r>
        <w:t>des</w:t>
      </w:r>
      <w:r w:rsidRPr="002C4077">
        <w:t xml:space="preserve"> </w:t>
      </w:r>
      <w:r>
        <w:t>promesses</w:t>
      </w:r>
      <w:r w:rsidRPr="002C4077">
        <w:t xml:space="preserve"> </w:t>
      </w:r>
      <w:r>
        <w:t>qu’il</w:t>
      </w:r>
      <w:r w:rsidRPr="002C4077">
        <w:t xml:space="preserve"> </w:t>
      </w:r>
      <w:r>
        <w:t>avait</w:t>
      </w:r>
      <w:r w:rsidRPr="002C4077">
        <w:t xml:space="preserve"> </w:t>
      </w:r>
      <w:r>
        <w:t>auparavant</w:t>
      </w:r>
      <w:r w:rsidRPr="002C4077">
        <w:t xml:space="preserve"> </w:t>
      </w:r>
      <w:r>
        <w:t>reçues</w:t>
      </w:r>
      <w:r w:rsidRPr="004440EA">
        <w:t xml:space="preserve"> (</w:t>
      </w:r>
      <w:r>
        <w:t>versets</w:t>
      </w:r>
      <w:r w:rsidRPr="002C4077">
        <w:t xml:space="preserve"> </w:t>
      </w:r>
      <w:r>
        <w:t>7-9</w:t>
      </w:r>
      <w:r w:rsidR="00B546AF" w:rsidRPr="002C4077">
        <w:t>)</w:t>
      </w:r>
      <w:r w:rsidR="00B546AF" w:rsidRPr="00950016">
        <w:t> </w:t>
      </w:r>
      <w:r w:rsidR="00B546AF">
        <w:t>?</w:t>
      </w:r>
      <w:r w:rsidRPr="002C4077">
        <w:t xml:space="preserve"> </w:t>
      </w:r>
      <w:r>
        <w:t>Personne</w:t>
      </w:r>
      <w:r w:rsidRPr="002C4077">
        <w:t xml:space="preserve"> </w:t>
      </w:r>
      <w:r>
        <w:t>n’a</w:t>
      </w:r>
      <w:r w:rsidRPr="002C4077">
        <w:t xml:space="preserve"> </w:t>
      </w:r>
      <w:r>
        <w:t>jamais</w:t>
      </w:r>
      <w:r w:rsidRPr="002C4077">
        <w:t xml:space="preserve"> </w:t>
      </w:r>
      <w:r>
        <w:t>été</w:t>
      </w:r>
      <w:r w:rsidRPr="002C4077">
        <w:t xml:space="preserve"> </w:t>
      </w:r>
      <w:r>
        <w:t>dupe</w:t>
      </w:r>
      <w:r w:rsidRPr="002C4077">
        <w:t xml:space="preserve"> </w:t>
      </w:r>
      <w:r>
        <w:t>de</w:t>
      </w:r>
      <w:r w:rsidRPr="002C4077">
        <w:t xml:space="preserve"> </w:t>
      </w:r>
      <w:r>
        <w:t>son</w:t>
      </w:r>
      <w:r w:rsidRPr="002C4077">
        <w:t xml:space="preserve"> </w:t>
      </w:r>
      <w:r>
        <w:t>humilité</w:t>
      </w:r>
      <w:r w:rsidRPr="002C4077">
        <w:t xml:space="preserve"> </w:t>
      </w:r>
      <w:r>
        <w:t>affectée,</w:t>
      </w:r>
      <w:r w:rsidRPr="002C4077">
        <w:t xml:space="preserve"> </w:t>
      </w:r>
      <w:r>
        <w:t>de</w:t>
      </w:r>
      <w:r w:rsidRPr="002C4077">
        <w:t xml:space="preserve"> </w:t>
      </w:r>
      <w:r>
        <w:t>son</w:t>
      </w:r>
      <w:r w:rsidRPr="002C4077">
        <w:t xml:space="preserve"> </w:t>
      </w:r>
      <w:r>
        <w:t>scrupule</w:t>
      </w:r>
      <w:r w:rsidRPr="002C4077">
        <w:t xml:space="preserve"> </w:t>
      </w:r>
      <w:r>
        <w:t>religieux</w:t>
      </w:r>
      <w:r w:rsidRPr="002C4077">
        <w:t xml:space="preserve"> </w:t>
      </w:r>
      <w:r>
        <w:t>hypocritement</w:t>
      </w:r>
      <w:r w:rsidRPr="002C4077">
        <w:t xml:space="preserve"> </w:t>
      </w:r>
      <w:r>
        <w:t>allégué.</w:t>
      </w:r>
      <w:r w:rsidRPr="002C4077">
        <w:t xml:space="preserve"> </w:t>
      </w:r>
      <w:r>
        <w:t>Ce</w:t>
      </w:r>
      <w:r w:rsidRPr="002C4077">
        <w:t xml:space="preserve"> </w:t>
      </w:r>
      <w:r>
        <w:t>prince</w:t>
      </w:r>
      <w:r w:rsidRPr="002C4077">
        <w:t xml:space="preserve"> </w:t>
      </w:r>
      <w:r>
        <w:t>antithéocratique</w:t>
      </w:r>
      <w:r w:rsidRPr="002C4077">
        <w:t xml:space="preserve"> </w:t>
      </w:r>
      <w:r>
        <w:t>était</w:t>
      </w:r>
      <w:r w:rsidRPr="002C4077">
        <w:t xml:space="preserve"> </w:t>
      </w:r>
      <w:r>
        <w:t>résolu</w:t>
      </w:r>
      <w:r w:rsidRPr="002C4077">
        <w:t xml:space="preserve"> </w:t>
      </w:r>
      <w:r>
        <w:t>dans</w:t>
      </w:r>
      <w:r w:rsidRPr="002C4077">
        <w:t xml:space="preserve"> </w:t>
      </w:r>
      <w:r>
        <w:t>son</w:t>
      </w:r>
      <w:r w:rsidRPr="002C4077">
        <w:t xml:space="preserve"> </w:t>
      </w:r>
      <w:r>
        <w:t>cœur</w:t>
      </w:r>
      <w:r w:rsidRPr="002C4077">
        <w:t xml:space="preserve"> </w:t>
      </w:r>
      <w:r>
        <w:t>à</w:t>
      </w:r>
      <w:r w:rsidRPr="002C4077">
        <w:t xml:space="preserve"> </w:t>
      </w:r>
      <w:r>
        <w:t>recourir</w:t>
      </w:r>
      <w:r w:rsidRPr="002C4077">
        <w:t xml:space="preserve"> </w:t>
      </w:r>
      <w:r>
        <w:t>aux</w:t>
      </w:r>
      <w:r w:rsidRPr="002C4077">
        <w:t xml:space="preserve"> </w:t>
      </w:r>
      <w:r w:rsidR="00B546AF">
        <w:t>« </w:t>
      </w:r>
      <w:r>
        <w:t>moyens</w:t>
      </w:r>
      <w:r w:rsidRPr="002C4077">
        <w:t xml:space="preserve"> </w:t>
      </w:r>
      <w:r>
        <w:t>les</w:t>
      </w:r>
      <w:r w:rsidRPr="002C4077">
        <w:t xml:space="preserve"> </w:t>
      </w:r>
      <w:r>
        <w:t>plus</w:t>
      </w:r>
      <w:r w:rsidRPr="002C4077">
        <w:t xml:space="preserve"> </w:t>
      </w:r>
      <w:r>
        <w:t>déshonorants</w:t>
      </w:r>
      <w:r w:rsidR="00B546AF">
        <w:t> »</w:t>
      </w:r>
      <w:r>
        <w:t>,</w:t>
      </w:r>
      <w:r w:rsidRPr="002C4077">
        <w:t xml:space="preserve"> </w:t>
      </w:r>
      <w:r>
        <w:t>comme</w:t>
      </w:r>
      <w:r w:rsidRPr="002C4077">
        <w:t xml:space="preserve"> </w:t>
      </w:r>
      <w:r>
        <w:t>s’exprime</w:t>
      </w:r>
      <w:r w:rsidRPr="002C4077">
        <w:t xml:space="preserve"> </w:t>
      </w:r>
      <w:r>
        <w:t>Ewald</w:t>
      </w:r>
      <w:r w:rsidR="00B91AF7">
        <w:rPr>
          <w:rStyle w:val="Appelnotedebasdep"/>
        </w:rPr>
        <w:footnoteReference w:id="54"/>
      </w:r>
      <w:r>
        <w:t>,</w:t>
      </w:r>
      <w:r w:rsidRPr="002C4077">
        <w:t xml:space="preserve"> </w:t>
      </w:r>
      <w:r>
        <w:t>pour</w:t>
      </w:r>
      <w:r w:rsidRPr="002C4077">
        <w:t xml:space="preserve"> </w:t>
      </w:r>
      <w:r>
        <w:t>essayer</w:t>
      </w:r>
      <w:r w:rsidRPr="002C4077">
        <w:t xml:space="preserve"> </w:t>
      </w:r>
      <w:r>
        <w:t>de</w:t>
      </w:r>
      <w:r w:rsidRPr="002C4077">
        <w:t xml:space="preserve"> </w:t>
      </w:r>
      <w:r>
        <w:t>sauver</w:t>
      </w:r>
      <w:r w:rsidRPr="002C4077">
        <w:t xml:space="preserve"> </w:t>
      </w:r>
      <w:r>
        <w:t>sa</w:t>
      </w:r>
      <w:r w:rsidRPr="002C4077">
        <w:t xml:space="preserve"> </w:t>
      </w:r>
      <w:r>
        <w:t>couronne</w:t>
      </w:r>
      <w:r w:rsidR="00B546AF">
        <w:t> :</w:t>
      </w:r>
      <w:r w:rsidRPr="002C4077">
        <w:t xml:space="preserve"> </w:t>
      </w:r>
      <w:r>
        <w:t>peut-être</w:t>
      </w:r>
      <w:r w:rsidRPr="002C4077">
        <w:t xml:space="preserve"> </w:t>
      </w:r>
      <w:r>
        <w:t>même</w:t>
      </w:r>
      <w:r w:rsidRPr="002C4077">
        <w:t xml:space="preserve"> </w:t>
      </w:r>
      <w:r>
        <w:t>ses</w:t>
      </w:r>
      <w:r w:rsidRPr="002C4077">
        <w:t xml:space="preserve"> </w:t>
      </w:r>
      <w:r>
        <w:t>ambassadeurs</w:t>
      </w:r>
      <w:r w:rsidRPr="002C4077">
        <w:t xml:space="preserve"> </w:t>
      </w:r>
      <w:r>
        <w:t>étaient-ils</w:t>
      </w:r>
      <w:r w:rsidRPr="002C4077">
        <w:t xml:space="preserve"> </w:t>
      </w:r>
      <w:r>
        <w:t>déjà</w:t>
      </w:r>
      <w:r w:rsidRPr="002C4077">
        <w:t xml:space="preserve"> </w:t>
      </w:r>
      <w:r>
        <w:t>sur</w:t>
      </w:r>
      <w:r w:rsidRPr="002C4077">
        <w:t xml:space="preserve"> </w:t>
      </w:r>
      <w:r>
        <w:t>la</w:t>
      </w:r>
      <w:r w:rsidRPr="002C4077">
        <w:t xml:space="preserve"> </w:t>
      </w:r>
      <w:r>
        <w:t>route</w:t>
      </w:r>
      <w:r w:rsidRPr="002C4077">
        <w:t xml:space="preserve"> </w:t>
      </w:r>
      <w:r>
        <w:t>d’Assur,</w:t>
      </w:r>
      <w:r w:rsidRPr="002C4077">
        <w:t xml:space="preserve"> </w:t>
      </w:r>
      <w:r>
        <w:t>afin</w:t>
      </w:r>
      <w:r w:rsidRPr="002C4077">
        <w:t xml:space="preserve"> </w:t>
      </w:r>
      <w:r>
        <w:t>d’appeler</w:t>
      </w:r>
      <w:r w:rsidRPr="002C4077">
        <w:t xml:space="preserve"> </w:t>
      </w:r>
      <w:r>
        <w:t>à</w:t>
      </w:r>
      <w:r w:rsidRPr="002C4077">
        <w:t xml:space="preserve"> </w:t>
      </w:r>
      <w:r>
        <w:t>son</w:t>
      </w:r>
      <w:r w:rsidRPr="002C4077">
        <w:t xml:space="preserve"> </w:t>
      </w:r>
      <w:r>
        <w:t>secours</w:t>
      </w:r>
      <w:r w:rsidRPr="002C4077">
        <w:t xml:space="preserve"> </w:t>
      </w:r>
      <w:r>
        <w:t>des</w:t>
      </w:r>
      <w:r w:rsidRPr="002C4077">
        <w:t xml:space="preserve"> </w:t>
      </w:r>
      <w:r>
        <w:t>auxiliaires</w:t>
      </w:r>
      <w:r w:rsidRPr="002C4077">
        <w:t xml:space="preserve"> </w:t>
      </w:r>
      <w:r>
        <w:t>païens</w:t>
      </w:r>
      <w:r w:rsidRPr="002C4077">
        <w:t xml:space="preserve"> </w:t>
      </w:r>
      <w:r>
        <w:t>qui</w:t>
      </w:r>
      <w:r w:rsidRPr="002C4077">
        <w:t xml:space="preserve"> </w:t>
      </w:r>
      <w:r>
        <w:t>devaient</w:t>
      </w:r>
      <w:r w:rsidRPr="002C4077">
        <w:t xml:space="preserve"> </w:t>
      </w:r>
      <w:r>
        <w:t>bientôt</w:t>
      </w:r>
      <w:r w:rsidRPr="002C4077">
        <w:t xml:space="preserve"> </w:t>
      </w:r>
      <w:r>
        <w:t>le</w:t>
      </w:r>
      <w:r w:rsidRPr="002C4077">
        <w:t xml:space="preserve"> </w:t>
      </w:r>
      <w:r>
        <w:t>ruiner</w:t>
      </w:r>
      <w:r w:rsidR="00B546AF">
        <w:t> ;</w:t>
      </w:r>
      <w:r w:rsidRPr="002C4077">
        <w:t xml:space="preserve"> </w:t>
      </w:r>
      <w:r>
        <w:t>mais</w:t>
      </w:r>
      <w:r w:rsidRPr="002C4077">
        <w:t xml:space="preserve"> </w:t>
      </w:r>
      <w:r>
        <w:t>il</w:t>
      </w:r>
      <w:r w:rsidRPr="002C4077">
        <w:t xml:space="preserve"> </w:t>
      </w:r>
      <w:r>
        <w:t>masqua</w:t>
      </w:r>
      <w:r w:rsidRPr="002C4077">
        <w:t xml:space="preserve"> </w:t>
      </w:r>
      <w:r>
        <w:t>son</w:t>
      </w:r>
      <w:r w:rsidRPr="002C4077">
        <w:t xml:space="preserve"> </w:t>
      </w:r>
      <w:r>
        <w:t>incrédulité</w:t>
      </w:r>
      <w:r w:rsidRPr="002C4077">
        <w:t xml:space="preserve"> </w:t>
      </w:r>
      <w:r>
        <w:t>derrière</w:t>
      </w:r>
      <w:r w:rsidRPr="002C4077">
        <w:t xml:space="preserve"> </w:t>
      </w:r>
      <w:r>
        <w:t>une</w:t>
      </w:r>
      <w:r w:rsidRPr="002C4077">
        <w:t xml:space="preserve"> </w:t>
      </w:r>
      <w:r>
        <w:t>prescription</w:t>
      </w:r>
      <w:r w:rsidRPr="002C4077">
        <w:t xml:space="preserve"> </w:t>
      </w:r>
      <w:r>
        <w:t>de</w:t>
      </w:r>
      <w:r w:rsidRPr="002C4077">
        <w:t xml:space="preserve"> </w:t>
      </w:r>
      <w:r>
        <w:t>la</w:t>
      </w:r>
      <w:r w:rsidRPr="002C4077">
        <w:t xml:space="preserve"> </w:t>
      </w:r>
      <w:r>
        <w:t>loi</w:t>
      </w:r>
      <w:r w:rsidR="00B546AF">
        <w:t> :</w:t>
      </w:r>
      <w:r w:rsidRPr="002C4077">
        <w:t xml:space="preserve"> </w:t>
      </w:r>
      <w:r w:rsidRPr="000A34B5">
        <w:rPr>
          <w:rStyle w:val="italicus"/>
        </w:rPr>
        <w:t>Non</w:t>
      </w:r>
      <w:r w:rsidRPr="002C4077">
        <w:t xml:space="preserve"> </w:t>
      </w:r>
      <w:r w:rsidRPr="000A34B5">
        <w:rPr>
          <w:rStyle w:val="italicus"/>
        </w:rPr>
        <w:t>t</w:t>
      </w:r>
      <w:r w:rsidR="003B53FD" w:rsidRPr="000A34B5">
        <w:rPr>
          <w:rStyle w:val="italicus"/>
        </w:rPr>
        <w:t>ent</w:t>
      </w:r>
      <w:r w:rsidR="003B53FD">
        <w:rPr>
          <w:rStyle w:val="italicus"/>
        </w:rPr>
        <w:t>á</w:t>
      </w:r>
      <w:r w:rsidR="003B53FD" w:rsidRPr="000A34B5">
        <w:rPr>
          <w:rStyle w:val="italicus"/>
        </w:rPr>
        <w:t>bis</w:t>
      </w:r>
      <w:r w:rsidRPr="002C4077">
        <w:t xml:space="preserve"> </w:t>
      </w:r>
      <w:r w:rsidRPr="000A34B5">
        <w:rPr>
          <w:rStyle w:val="italicus"/>
        </w:rPr>
        <w:t>D</w:t>
      </w:r>
      <w:r w:rsidR="003B53FD">
        <w:rPr>
          <w:rStyle w:val="italicus"/>
        </w:rPr>
        <w:t>ó</w:t>
      </w:r>
      <w:r w:rsidR="003B53FD" w:rsidRPr="000A34B5">
        <w:rPr>
          <w:rStyle w:val="italicus"/>
        </w:rPr>
        <w:t>minum</w:t>
      </w:r>
      <w:r w:rsidRPr="002C4077">
        <w:t xml:space="preserve"> </w:t>
      </w:r>
      <w:r w:rsidRPr="000A34B5">
        <w:rPr>
          <w:rStyle w:val="italicus"/>
        </w:rPr>
        <w:t>Deum</w:t>
      </w:r>
      <w:r w:rsidRPr="002C4077">
        <w:t xml:space="preserve"> </w:t>
      </w:r>
      <w:r w:rsidRPr="000A34B5">
        <w:rPr>
          <w:rStyle w:val="italicus"/>
        </w:rPr>
        <w:t>tuum</w:t>
      </w:r>
      <w:r w:rsidR="008B0C1F">
        <w:rPr>
          <w:rStyle w:val="Appelnotedebasdep"/>
          <w:i/>
        </w:rPr>
        <w:footnoteReference w:id="55"/>
      </w:r>
      <w:r>
        <w:t>.</w:t>
      </w:r>
      <w:r w:rsidRPr="002C4077">
        <w:t xml:space="preserve"> </w:t>
      </w:r>
      <w:r>
        <w:t>Comme</w:t>
      </w:r>
      <w:r w:rsidRPr="002C4077">
        <w:t xml:space="preserve"> </w:t>
      </w:r>
      <w:r>
        <w:t>si</w:t>
      </w:r>
      <w:r w:rsidRPr="002C4077">
        <w:t xml:space="preserve"> </w:t>
      </w:r>
      <w:r>
        <w:t>ce</w:t>
      </w:r>
      <w:r w:rsidRPr="002C4077">
        <w:t xml:space="preserve"> </w:t>
      </w:r>
      <w:r>
        <w:t>n’était</w:t>
      </w:r>
      <w:r w:rsidRPr="002C4077">
        <w:t xml:space="preserve"> </w:t>
      </w:r>
      <w:r>
        <w:t>pas</w:t>
      </w:r>
      <w:r w:rsidRPr="002C4077">
        <w:t xml:space="preserve"> </w:t>
      </w:r>
      <w:r>
        <w:t>tenter</w:t>
      </w:r>
      <w:r w:rsidRPr="002C4077">
        <w:t xml:space="preserve"> </w:t>
      </w:r>
      <w:r>
        <w:t>Dieu</w:t>
      </w:r>
      <w:r w:rsidRPr="002C4077">
        <w:t xml:space="preserve"> </w:t>
      </w:r>
      <w:r>
        <w:t>que</w:t>
      </w:r>
      <w:r w:rsidRPr="002C4077">
        <w:t xml:space="preserve"> </w:t>
      </w:r>
      <w:r>
        <w:t>de</w:t>
      </w:r>
      <w:r w:rsidRPr="002C4077">
        <w:t xml:space="preserve"> </w:t>
      </w:r>
      <w:r>
        <w:t>refuser</w:t>
      </w:r>
      <w:r w:rsidRPr="002C4077">
        <w:t xml:space="preserve"> </w:t>
      </w:r>
      <w:r>
        <w:t>une</w:t>
      </w:r>
      <w:r w:rsidRPr="002C4077">
        <w:t xml:space="preserve"> </w:t>
      </w:r>
      <w:r>
        <w:t>grâce</w:t>
      </w:r>
      <w:r w:rsidRPr="002C4077">
        <w:t xml:space="preserve"> </w:t>
      </w:r>
      <w:r>
        <w:t>miséricordieusement</w:t>
      </w:r>
      <w:r w:rsidRPr="002C4077">
        <w:t xml:space="preserve"> </w:t>
      </w:r>
      <w:r>
        <w:t>présentée</w:t>
      </w:r>
      <w:r w:rsidR="00B546AF">
        <w:t> !</w:t>
      </w:r>
      <w:r w:rsidR="00B91AF7">
        <w:rPr>
          <w:rStyle w:val="Appelnotedebasdep"/>
        </w:rPr>
        <w:footnoteReference w:id="56"/>
      </w:r>
      <w:r w:rsidRPr="002C4077">
        <w:t xml:space="preserve"> </w:t>
      </w:r>
      <w:r>
        <w:t>De</w:t>
      </w:r>
      <w:r w:rsidRPr="002C4077">
        <w:t xml:space="preserve"> </w:t>
      </w:r>
      <w:r>
        <w:t>là</w:t>
      </w:r>
      <w:r w:rsidRPr="002C4077">
        <w:t xml:space="preserve"> </w:t>
      </w:r>
      <w:r>
        <w:t>l’indignation</w:t>
      </w:r>
      <w:r w:rsidRPr="002C4077">
        <w:t xml:space="preserve"> </w:t>
      </w:r>
      <w:r>
        <w:t>bien</w:t>
      </w:r>
      <w:r w:rsidRPr="002C4077">
        <w:t xml:space="preserve"> </w:t>
      </w:r>
      <w:r>
        <w:t>légitime</w:t>
      </w:r>
      <w:r w:rsidRPr="002C4077">
        <w:t xml:space="preserve"> </w:t>
      </w:r>
      <w:r>
        <w:t>et</w:t>
      </w:r>
      <w:r w:rsidRPr="002C4077">
        <w:t xml:space="preserve"> </w:t>
      </w:r>
      <w:r>
        <w:t>toute</w:t>
      </w:r>
      <w:r w:rsidRPr="002C4077">
        <w:t xml:space="preserve"> </w:t>
      </w:r>
      <w:r>
        <w:t>sainte</w:t>
      </w:r>
      <w:r w:rsidRPr="002C4077">
        <w:t xml:space="preserve"> </w:t>
      </w:r>
      <w:r>
        <w:t>du</w:t>
      </w:r>
      <w:r w:rsidRPr="002C4077">
        <w:t xml:space="preserve"> </w:t>
      </w:r>
      <w:r>
        <w:t>prophète,</w:t>
      </w:r>
      <w:r w:rsidRPr="002C4077">
        <w:t xml:space="preserve"> </w:t>
      </w:r>
      <w:r>
        <w:t>déversée</w:t>
      </w:r>
      <w:r w:rsidRPr="002C4077">
        <w:t xml:space="preserve"> </w:t>
      </w:r>
      <w:r>
        <w:t>en</w:t>
      </w:r>
      <w:r w:rsidRPr="002C4077">
        <w:t xml:space="preserve"> </w:t>
      </w:r>
      <w:r>
        <w:t>de</w:t>
      </w:r>
      <w:r w:rsidRPr="002C4077">
        <w:t xml:space="preserve"> </w:t>
      </w:r>
      <w:r>
        <w:t>brûlantes</w:t>
      </w:r>
      <w:r w:rsidRPr="002C4077">
        <w:t xml:space="preserve"> </w:t>
      </w:r>
      <w:r>
        <w:t>paroles</w:t>
      </w:r>
      <w:r w:rsidRPr="002C4077">
        <w:t xml:space="preserve"> </w:t>
      </w:r>
      <w:r>
        <w:t>qu’il</w:t>
      </w:r>
      <w:r w:rsidRPr="002C4077">
        <w:t xml:space="preserve"> </w:t>
      </w:r>
      <w:r>
        <w:t>adresse</w:t>
      </w:r>
      <w:r w:rsidRPr="002C4077">
        <w:t xml:space="preserve"> </w:t>
      </w:r>
      <w:r>
        <w:t>non-se</w:t>
      </w:r>
      <w:r w:rsidR="001730C6">
        <w:t>ul</w:t>
      </w:r>
      <w:r>
        <w:t>ement</w:t>
      </w:r>
      <w:r w:rsidRPr="002C4077">
        <w:t xml:space="preserve"> </w:t>
      </w:r>
      <w:r>
        <w:t>au</w:t>
      </w:r>
      <w:r w:rsidRPr="002C4077">
        <w:t xml:space="preserve"> </w:t>
      </w:r>
      <w:r>
        <w:t>régent,</w:t>
      </w:r>
      <w:r w:rsidRPr="002C4077">
        <w:t xml:space="preserve"> </w:t>
      </w:r>
      <w:r>
        <w:t>mais</w:t>
      </w:r>
      <w:r w:rsidRPr="002C4077">
        <w:t xml:space="preserve"> </w:t>
      </w:r>
      <w:r>
        <w:t>encore</w:t>
      </w:r>
      <w:r w:rsidRPr="002C4077">
        <w:t xml:space="preserve"> </w:t>
      </w:r>
      <w:r>
        <w:t>à</w:t>
      </w:r>
      <w:r w:rsidRPr="002C4077">
        <w:t xml:space="preserve"> </w:t>
      </w:r>
      <w:r>
        <w:t>tous</w:t>
      </w:r>
      <w:r w:rsidRPr="002C4077">
        <w:t xml:space="preserve"> </w:t>
      </w:r>
      <w:r>
        <w:t>les</w:t>
      </w:r>
      <w:r w:rsidRPr="002C4077">
        <w:t xml:space="preserve"> </w:t>
      </w:r>
      <w:r>
        <w:t>princes</w:t>
      </w:r>
      <w:r w:rsidRPr="002C4077">
        <w:t xml:space="preserve"> </w:t>
      </w:r>
      <w:r>
        <w:t>de</w:t>
      </w:r>
      <w:r w:rsidRPr="002C4077">
        <w:t xml:space="preserve"> </w:t>
      </w:r>
      <w:r>
        <w:t>la</w:t>
      </w:r>
      <w:r w:rsidRPr="002C4077">
        <w:t xml:space="preserve"> </w:t>
      </w:r>
      <w:r>
        <w:t>maison</w:t>
      </w:r>
      <w:r w:rsidRPr="002C4077">
        <w:t xml:space="preserve"> </w:t>
      </w:r>
      <w:r>
        <w:t>royale,</w:t>
      </w:r>
      <w:r w:rsidRPr="002C4077">
        <w:t xml:space="preserve"> </w:t>
      </w:r>
      <w:r>
        <w:t>en</w:t>
      </w:r>
      <w:r w:rsidRPr="002C4077">
        <w:t xml:space="preserve"> </w:t>
      </w:r>
      <w:r>
        <w:t>ce</w:t>
      </w:r>
      <w:r w:rsidRPr="002C4077">
        <w:t xml:space="preserve"> </w:t>
      </w:r>
      <w:r>
        <w:t>moment</w:t>
      </w:r>
      <w:r w:rsidRPr="002C4077">
        <w:t xml:space="preserve"> </w:t>
      </w:r>
      <w:r>
        <w:t>groupés</w:t>
      </w:r>
      <w:r w:rsidRPr="002C4077">
        <w:t xml:space="preserve"> </w:t>
      </w:r>
      <w:r>
        <w:t>autour</w:t>
      </w:r>
      <w:r w:rsidRPr="002C4077">
        <w:t xml:space="preserve"> </w:t>
      </w:r>
      <w:r>
        <w:t>d’Achaz.</w:t>
      </w:r>
      <w:r w:rsidRPr="002C4077">
        <w:t xml:space="preserve"> </w:t>
      </w:r>
      <w:r>
        <w:t>Le</w:t>
      </w:r>
      <w:r w:rsidRPr="002C4077">
        <w:t xml:space="preserve"> </w:t>
      </w:r>
      <w:r>
        <w:t>fait</w:t>
      </w:r>
      <w:r w:rsidRPr="002C4077">
        <w:t xml:space="preserve"> </w:t>
      </w:r>
      <w:r>
        <w:t>qu’Isaïe</w:t>
      </w:r>
      <w:r w:rsidRPr="002C4077">
        <w:t xml:space="preserve"> </w:t>
      </w:r>
      <w:r>
        <w:t>allait</w:t>
      </w:r>
      <w:r w:rsidRPr="002C4077">
        <w:t xml:space="preserve"> </w:t>
      </w:r>
      <w:r>
        <w:t>prédire</w:t>
      </w:r>
      <w:r w:rsidRPr="002C4077">
        <w:t xml:space="preserve"> </w:t>
      </w:r>
      <w:r>
        <w:t>offrait</w:t>
      </w:r>
      <w:r w:rsidRPr="002C4077">
        <w:t xml:space="preserve"> </w:t>
      </w:r>
      <w:r>
        <w:t>un</w:t>
      </w:r>
      <w:r w:rsidRPr="002C4077">
        <w:t xml:space="preserve"> </w:t>
      </w:r>
      <w:r>
        <w:t>intérêt</w:t>
      </w:r>
      <w:r w:rsidRPr="002C4077">
        <w:t xml:space="preserve"> </w:t>
      </w:r>
      <w:r>
        <w:t>vital</w:t>
      </w:r>
      <w:r w:rsidRPr="002C4077">
        <w:t xml:space="preserve"> </w:t>
      </w:r>
      <w:r>
        <w:t>pour</w:t>
      </w:r>
      <w:r w:rsidRPr="002C4077">
        <w:t xml:space="preserve"> </w:t>
      </w:r>
      <w:r>
        <w:t>la</w:t>
      </w:r>
      <w:r w:rsidRPr="002C4077">
        <w:t xml:space="preserve"> </w:t>
      </w:r>
      <w:r>
        <w:t>race</w:t>
      </w:r>
      <w:r w:rsidRPr="002C4077">
        <w:t xml:space="preserve"> </w:t>
      </w:r>
      <w:r>
        <w:t>entière</w:t>
      </w:r>
      <w:r w:rsidRPr="002C4077">
        <w:t xml:space="preserve"> </w:t>
      </w:r>
      <w:r>
        <w:t>de</w:t>
      </w:r>
      <w:r w:rsidRPr="002C4077">
        <w:t xml:space="preserve"> </w:t>
      </w:r>
      <w:r>
        <w:t>David</w:t>
      </w:r>
      <w:r w:rsidR="00B546AF">
        <w:t> :</w:t>
      </w:r>
      <w:r w:rsidRPr="002C4077">
        <w:t xml:space="preserve"> </w:t>
      </w:r>
      <w:r>
        <w:t>aussi</w:t>
      </w:r>
      <w:r w:rsidRPr="002C4077">
        <w:t xml:space="preserve"> </w:t>
      </w:r>
      <w:r w:rsidR="006E7907">
        <w:t>l’</w:t>
      </w:r>
      <w:r w:rsidR="00B546AF">
        <w:t>« </w:t>
      </w:r>
      <w:r>
        <w:t>alloc</w:t>
      </w:r>
      <w:r w:rsidR="003B53FD">
        <w:t>útio</w:t>
      </w:r>
      <w:r w:rsidR="00B546AF">
        <w:t> »</w:t>
      </w:r>
      <w:r w:rsidRPr="002C4077">
        <w:t xml:space="preserve"> </w:t>
      </w:r>
      <w:r w:rsidRPr="000A34B5">
        <w:rPr>
          <w:rStyle w:val="italicus"/>
        </w:rPr>
        <w:t>domus</w:t>
      </w:r>
      <w:r w:rsidRPr="002C4077">
        <w:t xml:space="preserve"> </w:t>
      </w:r>
      <w:r w:rsidRPr="000A34B5">
        <w:rPr>
          <w:rStyle w:val="italicus"/>
        </w:rPr>
        <w:t>David</w:t>
      </w:r>
      <w:r w:rsidRPr="002C4077">
        <w:t xml:space="preserve"> </w:t>
      </w:r>
      <w:r>
        <w:t>a-t-elle</w:t>
      </w:r>
      <w:r w:rsidRPr="002C4077">
        <w:t xml:space="preserve"> </w:t>
      </w:r>
      <w:r>
        <w:t>ici</w:t>
      </w:r>
      <w:r w:rsidRPr="002C4077">
        <w:t xml:space="preserve"> </w:t>
      </w:r>
      <w:r>
        <w:t>une</w:t>
      </w:r>
      <w:r w:rsidRPr="002C4077">
        <w:t xml:space="preserve"> </w:t>
      </w:r>
      <w:r>
        <w:t>importance</w:t>
      </w:r>
      <w:r w:rsidRPr="002C4077">
        <w:t xml:space="preserve"> </w:t>
      </w:r>
      <w:r>
        <w:t>considérable,</w:t>
      </w:r>
      <w:r w:rsidRPr="002C4077">
        <w:t xml:space="preserve"> </w:t>
      </w:r>
      <w:r>
        <w:t>que</w:t>
      </w:r>
      <w:r w:rsidRPr="002C4077">
        <w:t xml:space="preserve"> </w:t>
      </w:r>
      <w:r>
        <w:t>les</w:t>
      </w:r>
      <w:r w:rsidRPr="002C4077">
        <w:t xml:space="preserve"> </w:t>
      </w:r>
      <w:r>
        <w:t>exégètes</w:t>
      </w:r>
      <w:r w:rsidRPr="002C4077">
        <w:t xml:space="preserve"> </w:t>
      </w:r>
      <w:r>
        <w:t>n’ont</w:t>
      </w:r>
      <w:r w:rsidRPr="002C4077">
        <w:t xml:space="preserve"> </w:t>
      </w:r>
      <w:r>
        <w:t>d’ailleurs</w:t>
      </w:r>
      <w:r w:rsidRPr="002C4077">
        <w:t xml:space="preserve"> </w:t>
      </w:r>
      <w:r>
        <w:t>pas</w:t>
      </w:r>
      <w:r w:rsidRPr="002C4077">
        <w:t xml:space="preserve"> </w:t>
      </w:r>
      <w:r>
        <w:t>méconnue,</w:t>
      </w:r>
      <w:r w:rsidRPr="002C4077">
        <w:t xml:space="preserve"> </w:t>
      </w:r>
      <w:r>
        <w:t>car</w:t>
      </w:r>
      <w:r w:rsidRPr="002C4077">
        <w:t xml:space="preserve"> </w:t>
      </w:r>
      <w:r>
        <w:t>elle</w:t>
      </w:r>
      <w:r w:rsidRPr="002C4077">
        <w:t xml:space="preserve"> </w:t>
      </w:r>
      <w:r>
        <w:t>prépare</w:t>
      </w:r>
      <w:r w:rsidRPr="002C4077">
        <w:t xml:space="preserve"> </w:t>
      </w:r>
      <w:r>
        <w:t>la</w:t>
      </w:r>
      <w:r w:rsidRPr="002C4077">
        <w:t xml:space="preserve"> </w:t>
      </w:r>
      <w:r>
        <w:t>véritable</w:t>
      </w:r>
      <w:bookmarkStart w:id="77" w:name="z_Isaie_o4"/>
      <w:bookmarkEnd w:id="77"/>
      <w:r w:rsidRPr="002C4077">
        <w:t xml:space="preserve"> </w:t>
      </w:r>
      <w:r>
        <w:t>interprétation.</w:t>
      </w:r>
      <w:r w:rsidRPr="002C4077">
        <w:t xml:space="preserve"> </w:t>
      </w:r>
    </w:p>
    <w:p w:rsidR="000A7AAB" w:rsidRDefault="000A7AAB" w:rsidP="000A7AAB">
      <w:r>
        <w:lastRenderedPageBreak/>
        <w:t>La</w:t>
      </w:r>
      <w:r w:rsidRPr="002C4077">
        <w:t xml:space="preserve"> </w:t>
      </w:r>
      <w:r>
        <w:t>situation</w:t>
      </w:r>
      <w:r w:rsidRPr="002C4077">
        <w:t xml:space="preserve"> </w:t>
      </w:r>
      <w:r>
        <w:t>n’est</w:t>
      </w:r>
      <w:r w:rsidRPr="002C4077">
        <w:t xml:space="preserve"> </w:t>
      </w:r>
      <w:r>
        <w:t>pas</w:t>
      </w:r>
      <w:r w:rsidRPr="002C4077">
        <w:t xml:space="preserve"> </w:t>
      </w:r>
      <w:r>
        <w:t>sans</w:t>
      </w:r>
      <w:r w:rsidRPr="002C4077">
        <w:t xml:space="preserve"> </w:t>
      </w:r>
      <w:r>
        <w:t>analogie</w:t>
      </w:r>
      <w:r w:rsidRPr="002C4077">
        <w:t xml:space="preserve"> </w:t>
      </w:r>
      <w:r>
        <w:t>avec</w:t>
      </w:r>
      <w:r w:rsidRPr="002C4077">
        <w:t xml:space="preserve"> </w:t>
      </w:r>
      <w:r>
        <w:t>celle</w:t>
      </w:r>
      <w:r w:rsidRPr="002C4077">
        <w:t xml:space="preserve"> </w:t>
      </w:r>
      <w:r>
        <w:t>d’Adam</w:t>
      </w:r>
      <w:r w:rsidRPr="002C4077">
        <w:t xml:space="preserve"> </w:t>
      </w:r>
      <w:r>
        <w:t>et</w:t>
      </w:r>
      <w:r w:rsidRPr="002C4077">
        <w:t xml:space="preserve"> </w:t>
      </w:r>
      <w:r>
        <w:t>d’Ève</w:t>
      </w:r>
      <w:r w:rsidRPr="002C4077">
        <w:t xml:space="preserve"> </w:t>
      </w:r>
      <w:r>
        <w:t>au</w:t>
      </w:r>
      <w:r w:rsidRPr="002C4077">
        <w:t xml:space="preserve"> </w:t>
      </w:r>
      <w:r>
        <w:t>paradis</w:t>
      </w:r>
      <w:r w:rsidRPr="002C4077">
        <w:t xml:space="preserve"> </w:t>
      </w:r>
      <w:r>
        <w:t>terrestre,</w:t>
      </w:r>
      <w:r w:rsidRPr="002C4077">
        <w:t xml:space="preserve"> </w:t>
      </w:r>
      <w:r>
        <w:t>immédiatement</w:t>
      </w:r>
      <w:r w:rsidRPr="002C4077">
        <w:t xml:space="preserve"> </w:t>
      </w:r>
      <w:r>
        <w:t>après</w:t>
      </w:r>
      <w:r w:rsidRPr="002C4077">
        <w:t xml:space="preserve"> </w:t>
      </w:r>
      <w:r>
        <w:t>la</w:t>
      </w:r>
      <w:r w:rsidRPr="002C4077">
        <w:t xml:space="preserve"> </w:t>
      </w:r>
      <w:r>
        <w:t>chute.</w:t>
      </w:r>
      <w:r w:rsidR="00C45B47">
        <w:t xml:space="preserve"> {</w:t>
      </w:r>
      <w:r w:rsidR="000721C4">
        <w:t>19</w:t>
      </w:r>
      <w:bookmarkStart w:id="78" w:name="p019"/>
      <w:bookmarkEnd w:id="78"/>
      <w:r w:rsidR="000721C4">
        <w:t xml:space="preserve">} </w:t>
      </w:r>
      <w:r>
        <w:t>Les</w:t>
      </w:r>
      <w:r w:rsidRPr="002C4077">
        <w:t xml:space="preserve"> </w:t>
      </w:r>
      <w:r>
        <w:t>hommes</w:t>
      </w:r>
      <w:r w:rsidRPr="002C4077">
        <w:t xml:space="preserve"> </w:t>
      </w:r>
      <w:r>
        <w:t>se</w:t>
      </w:r>
      <w:r w:rsidRPr="002C4077">
        <w:t xml:space="preserve"> </w:t>
      </w:r>
      <w:r>
        <w:t>dérobent,</w:t>
      </w:r>
      <w:r w:rsidRPr="002C4077">
        <w:t xml:space="preserve"> </w:t>
      </w:r>
      <w:r>
        <w:t>mais</w:t>
      </w:r>
      <w:r w:rsidRPr="002C4077">
        <w:t xml:space="preserve"> </w:t>
      </w:r>
      <w:r>
        <w:t>Dieu</w:t>
      </w:r>
      <w:r w:rsidRPr="002C4077">
        <w:t xml:space="preserve"> </w:t>
      </w:r>
      <w:r>
        <w:t>prend</w:t>
      </w:r>
      <w:r w:rsidRPr="002C4077">
        <w:t xml:space="preserve"> </w:t>
      </w:r>
      <w:r>
        <w:t>l’initiative,</w:t>
      </w:r>
      <w:r w:rsidRPr="002C4077">
        <w:t xml:space="preserve"> </w:t>
      </w:r>
      <w:r>
        <w:t>et,</w:t>
      </w:r>
      <w:r w:rsidRPr="002C4077">
        <w:t xml:space="preserve"> </w:t>
      </w:r>
      <w:r>
        <w:t>tout</w:t>
      </w:r>
      <w:r w:rsidRPr="002C4077">
        <w:t xml:space="preserve"> </w:t>
      </w:r>
      <w:r>
        <w:t>en</w:t>
      </w:r>
      <w:r w:rsidRPr="002C4077">
        <w:t xml:space="preserve"> </w:t>
      </w:r>
      <w:r>
        <w:t>châtiant</w:t>
      </w:r>
      <w:r w:rsidRPr="002C4077">
        <w:t xml:space="preserve"> </w:t>
      </w:r>
      <w:r>
        <w:t>les</w:t>
      </w:r>
      <w:r w:rsidRPr="002C4077">
        <w:t xml:space="preserve"> </w:t>
      </w:r>
      <w:r>
        <w:t>coupables,</w:t>
      </w:r>
      <w:r w:rsidRPr="002C4077">
        <w:t xml:space="preserve"> </w:t>
      </w:r>
      <w:r>
        <w:t>il</w:t>
      </w:r>
      <w:r w:rsidRPr="002C4077">
        <w:t xml:space="preserve"> </w:t>
      </w:r>
      <w:r>
        <w:t>daigne</w:t>
      </w:r>
      <w:r w:rsidRPr="002C4077">
        <w:t xml:space="preserve"> </w:t>
      </w:r>
      <w:r>
        <w:t>leur</w:t>
      </w:r>
      <w:r w:rsidRPr="002C4077">
        <w:t xml:space="preserve"> </w:t>
      </w:r>
      <w:r>
        <w:t>promettre</w:t>
      </w:r>
      <w:r w:rsidRPr="002C4077">
        <w:t xml:space="preserve"> </w:t>
      </w:r>
      <w:r>
        <w:t>de</w:t>
      </w:r>
      <w:r w:rsidRPr="002C4077">
        <w:t xml:space="preserve"> </w:t>
      </w:r>
      <w:r>
        <w:t>grandes</w:t>
      </w:r>
      <w:r w:rsidRPr="002C4077">
        <w:t xml:space="preserve"> </w:t>
      </w:r>
      <w:r>
        <w:t>choses</w:t>
      </w:r>
      <w:r w:rsidRPr="002C4077">
        <w:t xml:space="preserve"> </w:t>
      </w:r>
      <w:r>
        <w:t>dans</w:t>
      </w:r>
      <w:r w:rsidRPr="002C4077">
        <w:t xml:space="preserve"> </w:t>
      </w:r>
      <w:r>
        <w:t>l’avenir</w:t>
      </w:r>
      <w:r w:rsidR="00B91AF7">
        <w:rPr>
          <w:rStyle w:val="Appelnotedebasdep"/>
        </w:rPr>
        <w:footnoteReference w:id="57"/>
      </w:r>
      <w:r>
        <w:t>.</w:t>
      </w:r>
      <w:r w:rsidRPr="002C4077">
        <w:t xml:space="preserve"> </w:t>
      </w:r>
      <w:r w:rsidRPr="000A34B5">
        <w:rPr>
          <w:rStyle w:val="italicus"/>
        </w:rPr>
        <w:t>Pro</w:t>
      </w:r>
      <w:r w:rsidR="001730C6" w:rsidRPr="000A34B5">
        <w:rPr>
          <w:rStyle w:val="italicus"/>
        </w:rPr>
        <w:t>pt</w:t>
      </w:r>
      <w:r w:rsidRPr="000A34B5">
        <w:rPr>
          <w:rStyle w:val="italicus"/>
        </w:rPr>
        <w:t>er</w:t>
      </w:r>
      <w:r w:rsidRPr="002C4077">
        <w:t xml:space="preserve"> </w:t>
      </w:r>
      <w:r w:rsidRPr="000A34B5">
        <w:rPr>
          <w:rStyle w:val="italicus"/>
        </w:rPr>
        <w:t>hoc</w:t>
      </w:r>
      <w:r w:rsidRPr="002C4077">
        <w:t xml:space="preserve"> </w:t>
      </w:r>
      <w:r w:rsidRPr="000A34B5">
        <w:rPr>
          <w:rStyle w:val="italicus"/>
        </w:rPr>
        <w:t>dabit</w:t>
      </w:r>
      <w:r w:rsidRPr="002C4077">
        <w:t xml:space="preserve"> </w:t>
      </w:r>
      <w:r w:rsidRPr="000A34B5">
        <w:rPr>
          <w:rStyle w:val="italicus"/>
        </w:rPr>
        <w:t>D</w:t>
      </w:r>
      <w:r w:rsidR="003B53FD">
        <w:rPr>
          <w:rStyle w:val="italicus"/>
        </w:rPr>
        <w:t>ó</w:t>
      </w:r>
      <w:r w:rsidR="003B53FD" w:rsidRPr="000A34B5">
        <w:rPr>
          <w:rStyle w:val="italicus"/>
        </w:rPr>
        <w:t>minus</w:t>
      </w:r>
      <w:r w:rsidRPr="002C4077">
        <w:t xml:space="preserve"> </w:t>
      </w:r>
      <w:r w:rsidRPr="000A34B5">
        <w:rPr>
          <w:rStyle w:val="italicus"/>
        </w:rPr>
        <w:t>ipse</w:t>
      </w:r>
      <w:r w:rsidRPr="002C4077">
        <w:t xml:space="preserve"> </w:t>
      </w:r>
      <w:r w:rsidRPr="000A34B5">
        <w:rPr>
          <w:rStyle w:val="italicus"/>
        </w:rPr>
        <w:t>vobis</w:t>
      </w:r>
      <w:r w:rsidRPr="002C4077">
        <w:t xml:space="preserve"> </w:t>
      </w:r>
      <w:r w:rsidRPr="000A34B5">
        <w:rPr>
          <w:rStyle w:val="italicus"/>
        </w:rPr>
        <w:t>signum.</w:t>
      </w:r>
      <w:r w:rsidRPr="002C4077">
        <w:t xml:space="preserve"> </w:t>
      </w:r>
    </w:p>
    <w:p w:rsidR="000A7AAB" w:rsidRPr="008B0C1F" w:rsidRDefault="000A7AAB" w:rsidP="000A7AAB">
      <w:pPr>
        <w:rPr>
          <w:rStyle w:val="pm"/>
        </w:rPr>
      </w:pPr>
      <w:r>
        <w:t>L’émotion</w:t>
      </w:r>
      <w:r w:rsidRPr="002C4077">
        <w:t xml:space="preserve"> </w:t>
      </w:r>
      <w:r>
        <w:t>dut</w:t>
      </w:r>
      <w:r w:rsidRPr="002C4077">
        <w:t xml:space="preserve"> </w:t>
      </w:r>
      <w:r>
        <w:t>être</w:t>
      </w:r>
      <w:r w:rsidRPr="002C4077">
        <w:t xml:space="preserve"> </w:t>
      </w:r>
      <w:r>
        <w:t>à</w:t>
      </w:r>
      <w:r w:rsidRPr="002C4077">
        <w:t xml:space="preserve"> </w:t>
      </w:r>
      <w:r>
        <w:t>son</w:t>
      </w:r>
      <w:r w:rsidRPr="002C4077">
        <w:t xml:space="preserve"> </w:t>
      </w:r>
      <w:r>
        <w:t>comble</w:t>
      </w:r>
      <w:r w:rsidRPr="002C4077">
        <w:t xml:space="preserve"> </w:t>
      </w:r>
      <w:r>
        <w:t>dans</w:t>
      </w:r>
      <w:r w:rsidRPr="002C4077">
        <w:t xml:space="preserve"> </w:t>
      </w:r>
      <w:r>
        <w:t>les</w:t>
      </w:r>
      <w:r w:rsidRPr="002C4077">
        <w:t xml:space="preserve"> </w:t>
      </w:r>
      <w:r>
        <w:t>rangs</w:t>
      </w:r>
      <w:r w:rsidRPr="002C4077">
        <w:t xml:space="preserve"> </w:t>
      </w:r>
      <w:r>
        <w:t>pressés</w:t>
      </w:r>
      <w:r w:rsidRPr="002C4077">
        <w:t xml:space="preserve"> </w:t>
      </w:r>
      <w:r>
        <w:t>de</w:t>
      </w:r>
      <w:r w:rsidRPr="002C4077">
        <w:t xml:space="preserve"> </w:t>
      </w:r>
      <w:r>
        <w:t>l’assemblée,</w:t>
      </w:r>
      <w:r w:rsidRPr="002C4077">
        <w:t xml:space="preserve"> </w:t>
      </w:r>
      <w:r>
        <w:t>quand</w:t>
      </w:r>
      <w:r w:rsidRPr="002C4077">
        <w:t xml:space="preserve"> </w:t>
      </w:r>
      <w:r>
        <w:t>le</w:t>
      </w:r>
      <w:r w:rsidRPr="002C4077">
        <w:t xml:space="preserve"> </w:t>
      </w:r>
      <w:r>
        <w:t>Voyant</w:t>
      </w:r>
      <w:r w:rsidRPr="002C4077">
        <w:t xml:space="preserve"> </w:t>
      </w:r>
      <w:r>
        <w:t>ajouta,</w:t>
      </w:r>
      <w:r w:rsidRPr="002C4077">
        <w:t xml:space="preserve"> </w:t>
      </w:r>
      <w:r>
        <w:t>d’un</w:t>
      </w:r>
      <w:r w:rsidRPr="002C4077">
        <w:t xml:space="preserve"> </w:t>
      </w:r>
      <w:r>
        <w:t>ton</w:t>
      </w:r>
      <w:bookmarkStart w:id="79" w:name="z_Almah_o4"/>
      <w:bookmarkEnd w:id="79"/>
      <w:r w:rsidRPr="002C4077">
        <w:t xml:space="preserve"> </w:t>
      </w:r>
      <w:r>
        <w:t>solennel,</w:t>
      </w:r>
      <w:r w:rsidRPr="002C4077">
        <w:t xml:space="preserve"> </w:t>
      </w:r>
      <w:r>
        <w:t>cette</w:t>
      </w:r>
      <w:r w:rsidRPr="002C4077">
        <w:t xml:space="preserve"> </w:t>
      </w:r>
      <w:r>
        <w:t>phrase</w:t>
      </w:r>
      <w:r w:rsidRPr="002C4077">
        <w:t xml:space="preserve"> </w:t>
      </w:r>
      <w:r>
        <w:t>en</w:t>
      </w:r>
      <w:r w:rsidRPr="002C4077">
        <w:t xml:space="preserve"> </w:t>
      </w:r>
      <w:r>
        <w:t>vue</w:t>
      </w:r>
      <w:r w:rsidRPr="002C4077">
        <w:t xml:space="preserve"> </w:t>
      </w:r>
      <w:r>
        <w:t>de</w:t>
      </w:r>
      <w:r w:rsidRPr="002C4077">
        <w:t xml:space="preserve"> </w:t>
      </w:r>
      <w:r>
        <w:t>laquelle</w:t>
      </w:r>
      <w:r w:rsidRPr="002C4077">
        <w:t xml:space="preserve"> </w:t>
      </w:r>
      <w:r>
        <w:t>nous</w:t>
      </w:r>
      <w:r w:rsidRPr="002C4077">
        <w:t xml:space="preserve"> </w:t>
      </w:r>
      <w:r>
        <w:t>avons</w:t>
      </w:r>
      <w:r w:rsidRPr="002C4077">
        <w:t xml:space="preserve"> </w:t>
      </w:r>
      <w:r>
        <w:t>écrit</w:t>
      </w:r>
      <w:r w:rsidRPr="002C4077">
        <w:t xml:space="preserve"> </w:t>
      </w:r>
      <w:r>
        <w:t>toutes</w:t>
      </w:r>
      <w:r w:rsidRPr="002C4077">
        <w:t xml:space="preserve"> </w:t>
      </w:r>
      <w:r>
        <w:t>les</w:t>
      </w:r>
      <w:r w:rsidRPr="002C4077">
        <w:t xml:space="preserve"> </w:t>
      </w:r>
      <w:r>
        <w:t>pages</w:t>
      </w:r>
      <w:r w:rsidRPr="002C4077">
        <w:t xml:space="preserve"> </w:t>
      </w:r>
      <w:r>
        <w:t>qui</w:t>
      </w:r>
      <w:r w:rsidRPr="002C4077">
        <w:t xml:space="preserve"> </w:t>
      </w:r>
      <w:r>
        <w:t>précèdent,</w:t>
      </w:r>
      <w:r w:rsidRPr="002C4077">
        <w:t xml:space="preserve"> </w:t>
      </w:r>
      <w:r>
        <w:t>cette</w:t>
      </w:r>
      <w:r w:rsidRPr="002C4077">
        <w:t xml:space="preserve"> </w:t>
      </w:r>
      <w:r>
        <w:t>phrase</w:t>
      </w:r>
      <w:r w:rsidRPr="002C4077">
        <w:t xml:space="preserve"> </w:t>
      </w:r>
      <w:r>
        <w:t>qui</w:t>
      </w:r>
      <w:r w:rsidRPr="002C4077">
        <w:t xml:space="preserve"> </w:t>
      </w:r>
      <w:r>
        <w:t>nous</w:t>
      </w:r>
      <w:r w:rsidRPr="002C4077">
        <w:t xml:space="preserve"> </w:t>
      </w:r>
      <w:r>
        <w:t>occupera</w:t>
      </w:r>
      <w:r w:rsidRPr="002C4077">
        <w:t xml:space="preserve"> </w:t>
      </w:r>
      <w:r>
        <w:t>presque</w:t>
      </w:r>
      <w:r w:rsidRPr="002C4077">
        <w:t xml:space="preserve"> </w:t>
      </w:r>
      <w:r>
        <w:t>seule</w:t>
      </w:r>
      <w:r w:rsidRPr="002C4077">
        <w:t xml:space="preserve"> </w:t>
      </w:r>
      <w:r>
        <w:t>désormais</w:t>
      </w:r>
      <w:r w:rsidRPr="002C4077">
        <w:t xml:space="preserve"> </w:t>
      </w:r>
      <w:r>
        <w:t>dans</w:t>
      </w:r>
      <w:r w:rsidRPr="002C4077">
        <w:t xml:space="preserve"> </w:t>
      </w:r>
      <w:r>
        <w:t>les</w:t>
      </w:r>
      <w:r w:rsidRPr="002C4077">
        <w:t xml:space="preserve"> </w:t>
      </w:r>
      <w:r>
        <w:t>pages</w:t>
      </w:r>
      <w:r w:rsidRPr="002C4077">
        <w:t xml:space="preserve"> </w:t>
      </w:r>
      <w:r>
        <w:t>qui</w:t>
      </w:r>
      <w:r w:rsidRPr="002C4077">
        <w:t xml:space="preserve"> </w:t>
      </w:r>
      <w:r>
        <w:t>vont</w:t>
      </w:r>
      <w:r w:rsidRPr="002C4077">
        <w:t xml:space="preserve"> </w:t>
      </w:r>
      <w:r>
        <w:t>suivre,</w:t>
      </w:r>
      <w:r w:rsidRPr="002C4077">
        <w:t xml:space="preserve"> </w:t>
      </w:r>
      <w:r>
        <w:t>cette</w:t>
      </w:r>
      <w:r w:rsidRPr="002C4077">
        <w:t xml:space="preserve"> </w:t>
      </w:r>
      <w:r>
        <w:t>phrase</w:t>
      </w:r>
      <w:r w:rsidRPr="002C4077">
        <w:t xml:space="preserve"> </w:t>
      </w:r>
      <w:r>
        <w:t>vraiment</w:t>
      </w:r>
      <w:r w:rsidRPr="002C4077">
        <w:t xml:space="preserve"> </w:t>
      </w:r>
      <w:r>
        <w:t>centrale</w:t>
      </w:r>
      <w:r w:rsidRPr="002C4077">
        <w:t xml:space="preserve"> </w:t>
      </w:r>
      <w:r>
        <w:t>dans</w:t>
      </w:r>
      <w:r w:rsidRPr="002C4077">
        <w:t xml:space="preserve"> </w:t>
      </w:r>
      <w:r>
        <w:t>l’histoire</w:t>
      </w:r>
      <w:r w:rsidRPr="002C4077">
        <w:t xml:space="preserve"> </w:t>
      </w:r>
      <w:r>
        <w:t>du</w:t>
      </w:r>
      <w:r w:rsidRPr="002C4077">
        <w:t xml:space="preserve"> </w:t>
      </w:r>
      <w:r>
        <w:t>salut</w:t>
      </w:r>
      <w:r w:rsidR="00B546AF">
        <w:t> :</w:t>
      </w:r>
      <w:r w:rsidRPr="002C4077">
        <w:t xml:space="preserve"> </w:t>
      </w:r>
      <w:r>
        <w:rPr>
          <w:smallCaps/>
        </w:rPr>
        <w:t>Ecce</w:t>
      </w:r>
      <w:r w:rsidRPr="002C4077">
        <w:t xml:space="preserve"> </w:t>
      </w:r>
      <w:r>
        <w:rPr>
          <w:smallCaps/>
        </w:rPr>
        <w:t>Virgo</w:t>
      </w:r>
      <w:r w:rsidRPr="002C4077">
        <w:t xml:space="preserve"> </w:t>
      </w:r>
      <w:r w:rsidR="008B0C1F">
        <w:rPr>
          <w:smallCaps/>
        </w:rPr>
        <w:t>concípiet</w:t>
      </w:r>
      <w:r>
        <w:rPr>
          <w:smallCaps/>
        </w:rPr>
        <w:t>,</w:t>
      </w:r>
      <w:r w:rsidRPr="002C4077">
        <w:t xml:space="preserve"> </w:t>
      </w:r>
      <w:r>
        <w:rPr>
          <w:smallCaps/>
        </w:rPr>
        <w:t>et</w:t>
      </w:r>
      <w:r w:rsidRPr="002C4077">
        <w:t xml:space="preserve"> </w:t>
      </w:r>
      <w:r w:rsidR="008B0C1F">
        <w:rPr>
          <w:smallCaps/>
        </w:rPr>
        <w:t>páriet</w:t>
      </w:r>
      <w:r w:rsidRPr="002C4077">
        <w:t xml:space="preserve"> </w:t>
      </w:r>
      <w:r w:rsidRPr="008B0C1F">
        <w:rPr>
          <w:rStyle w:val="pm"/>
        </w:rPr>
        <w:t>f</w:t>
      </w:r>
      <w:r w:rsidR="003B53FD" w:rsidRPr="008B0C1F">
        <w:rPr>
          <w:rStyle w:val="pm"/>
        </w:rPr>
        <w:t>ílium</w:t>
      </w:r>
      <w:r w:rsidRPr="008B0C1F">
        <w:rPr>
          <w:rStyle w:val="pm"/>
        </w:rPr>
        <w:t>,</w:t>
      </w:r>
      <w:r w:rsidRPr="002C4077">
        <w:t xml:space="preserve"> </w:t>
      </w:r>
      <w:r w:rsidRPr="008B0C1F">
        <w:rPr>
          <w:rStyle w:val="pm"/>
        </w:rPr>
        <w:t>et</w:t>
      </w:r>
      <w:r w:rsidRPr="002C4077">
        <w:t xml:space="preserve"> </w:t>
      </w:r>
      <w:r w:rsidRPr="008B0C1F">
        <w:rPr>
          <w:rStyle w:val="pm"/>
        </w:rPr>
        <w:t>voc</w:t>
      </w:r>
      <w:r w:rsidR="003B53FD" w:rsidRPr="008B0C1F">
        <w:rPr>
          <w:rStyle w:val="pm"/>
        </w:rPr>
        <w:t>ábitur</w:t>
      </w:r>
      <w:r w:rsidRPr="002C4077">
        <w:t xml:space="preserve"> </w:t>
      </w:r>
      <w:r w:rsidRPr="008B0C1F">
        <w:rPr>
          <w:rStyle w:val="pm"/>
        </w:rPr>
        <w:t>nomen</w:t>
      </w:r>
      <w:r w:rsidRPr="002C4077">
        <w:t xml:space="preserve"> </w:t>
      </w:r>
      <w:r w:rsidRPr="008B0C1F">
        <w:rPr>
          <w:rStyle w:val="pm"/>
        </w:rPr>
        <w:t>ejus</w:t>
      </w:r>
      <w:r w:rsidRPr="002C4077">
        <w:t xml:space="preserve"> </w:t>
      </w:r>
      <w:r w:rsidR="008B0C1F" w:rsidRPr="008B0C1F">
        <w:rPr>
          <w:rStyle w:val="pm"/>
        </w:rPr>
        <w:t>Emmanuel</w:t>
      </w:r>
      <w:r w:rsidRPr="008B0C1F">
        <w:rPr>
          <w:rStyle w:val="pm"/>
        </w:rPr>
        <w:t>.</w:t>
      </w:r>
      <w:r w:rsidRPr="002C4077">
        <w:t xml:space="preserve"> </w:t>
      </w:r>
    </w:p>
    <w:p w:rsidR="000A7AAB" w:rsidRDefault="000A7AAB" w:rsidP="000A7AAB">
      <w:r>
        <w:t>La</w:t>
      </w:r>
      <w:bookmarkStart w:id="80" w:name="z_AlmahPerso_o1"/>
      <w:bookmarkEnd w:id="80"/>
      <w:r w:rsidRPr="002C4077">
        <w:t xml:space="preserve"> </w:t>
      </w:r>
      <w:r>
        <w:t>Vierge</w:t>
      </w:r>
      <w:r w:rsidRPr="002C4077">
        <w:t xml:space="preserve"> </w:t>
      </w:r>
      <w:r>
        <w:t>d’Isaïe</w:t>
      </w:r>
      <w:r w:rsidRPr="002C4077">
        <w:t xml:space="preserve"> </w:t>
      </w:r>
      <w:r>
        <w:t>et</w:t>
      </w:r>
      <w:r w:rsidRPr="002C4077">
        <w:t xml:space="preserve"> </w:t>
      </w:r>
      <w:r>
        <w:t>son</w:t>
      </w:r>
      <w:r w:rsidRPr="002C4077">
        <w:t xml:space="preserve"> </w:t>
      </w:r>
      <w:r>
        <w:t>divin</w:t>
      </w:r>
      <w:r w:rsidRPr="002C4077">
        <w:t xml:space="preserve"> </w:t>
      </w:r>
      <w:r>
        <w:t>Emmanuel,</w:t>
      </w:r>
      <w:r w:rsidRPr="002C4077">
        <w:t xml:space="preserve"> </w:t>
      </w:r>
      <w:r>
        <w:t>sept</w:t>
      </w:r>
      <w:r w:rsidRPr="002C4077">
        <w:t xml:space="preserve"> </w:t>
      </w:r>
      <w:r>
        <w:t>siècles</w:t>
      </w:r>
      <w:r w:rsidRPr="002C4077">
        <w:t xml:space="preserve"> </w:t>
      </w:r>
      <w:r>
        <w:t>les</w:t>
      </w:r>
      <w:r w:rsidRPr="002C4077">
        <w:t xml:space="preserve"> </w:t>
      </w:r>
      <w:r>
        <w:t>ont</w:t>
      </w:r>
      <w:r w:rsidRPr="002C4077">
        <w:t xml:space="preserve"> </w:t>
      </w:r>
      <w:r>
        <w:t>impatiemment</w:t>
      </w:r>
      <w:r w:rsidRPr="002C4077">
        <w:t xml:space="preserve"> </w:t>
      </w:r>
      <w:r>
        <w:t>attendus</w:t>
      </w:r>
      <w:r w:rsidR="00B546AF">
        <w:t> ;</w:t>
      </w:r>
      <w:r w:rsidRPr="002C4077">
        <w:t xml:space="preserve"> </w:t>
      </w:r>
      <w:r>
        <w:t>puis,</w:t>
      </w:r>
      <w:r w:rsidRPr="002C4077">
        <w:t xml:space="preserve"> </w:t>
      </w:r>
      <w:r>
        <w:t>après</w:t>
      </w:r>
      <w:r w:rsidRPr="002C4077">
        <w:t xml:space="preserve"> </w:t>
      </w:r>
      <w:r>
        <w:t>qu’ils</w:t>
      </w:r>
      <w:r w:rsidRPr="002C4077">
        <w:t xml:space="preserve"> </w:t>
      </w:r>
      <w:r>
        <w:t>furent</w:t>
      </w:r>
      <w:r w:rsidRPr="002C4077">
        <w:t xml:space="preserve"> </w:t>
      </w:r>
      <w:r>
        <w:t>venus</w:t>
      </w:r>
      <w:r w:rsidRPr="002C4077">
        <w:t xml:space="preserve"> </w:t>
      </w:r>
      <w:r>
        <w:t>au</w:t>
      </w:r>
      <w:r w:rsidRPr="002C4077">
        <w:t xml:space="preserve"> </w:t>
      </w:r>
      <w:r>
        <w:t>temps</w:t>
      </w:r>
      <w:r w:rsidRPr="002C4077">
        <w:t xml:space="preserve"> </w:t>
      </w:r>
      <w:r>
        <w:t>marqué,</w:t>
      </w:r>
      <w:r w:rsidRPr="002C4077">
        <w:t xml:space="preserve"> </w:t>
      </w:r>
      <w:r>
        <w:t>dix-huit</w:t>
      </w:r>
      <w:r w:rsidRPr="002C4077">
        <w:t xml:space="preserve"> </w:t>
      </w:r>
      <w:r>
        <w:t>autres</w:t>
      </w:r>
      <w:r w:rsidRPr="002C4077">
        <w:t xml:space="preserve"> </w:t>
      </w:r>
      <w:r>
        <w:t>siècles</w:t>
      </w:r>
      <w:r w:rsidRPr="002C4077">
        <w:t xml:space="preserve"> </w:t>
      </w:r>
      <w:r>
        <w:t>les</w:t>
      </w:r>
      <w:r w:rsidRPr="002C4077">
        <w:t xml:space="preserve"> </w:t>
      </w:r>
      <w:r>
        <w:t>ont</w:t>
      </w:r>
      <w:r w:rsidRPr="002C4077">
        <w:t xml:space="preserve"> </w:t>
      </w:r>
      <w:r>
        <w:t>reconnus</w:t>
      </w:r>
      <w:r w:rsidRPr="002C4077">
        <w:t xml:space="preserve"> </w:t>
      </w:r>
      <w:r>
        <w:t>dans</w:t>
      </w:r>
      <w:r w:rsidRPr="002C4077">
        <w:t xml:space="preserve"> </w:t>
      </w:r>
      <w:r>
        <w:t>ce</w:t>
      </w:r>
      <w:r w:rsidRPr="002C4077">
        <w:t xml:space="preserve"> </w:t>
      </w:r>
      <w:r>
        <w:t>passage</w:t>
      </w:r>
      <w:r w:rsidRPr="002C4077">
        <w:t xml:space="preserve"> </w:t>
      </w:r>
      <w:r>
        <w:t>qui</w:t>
      </w:r>
      <w:r w:rsidRPr="002C4077">
        <w:t xml:space="preserve"> </w:t>
      </w:r>
      <w:r>
        <w:t>trace</w:t>
      </w:r>
      <w:r w:rsidRPr="002C4077">
        <w:t xml:space="preserve"> </w:t>
      </w:r>
      <w:r>
        <w:t>d’eux</w:t>
      </w:r>
      <w:r w:rsidRPr="002C4077">
        <w:t xml:space="preserve"> </w:t>
      </w:r>
      <w:r>
        <w:t>un</w:t>
      </w:r>
      <w:r w:rsidRPr="002C4077">
        <w:t xml:space="preserve"> </w:t>
      </w:r>
      <w:r w:rsidRPr="00D40830">
        <w:t>portrait</w:t>
      </w:r>
      <w:r w:rsidRPr="002C4077">
        <w:t xml:space="preserve"> </w:t>
      </w:r>
      <w:r w:rsidRPr="00D40830">
        <w:t>si</w:t>
      </w:r>
      <w:r w:rsidRPr="002C4077">
        <w:t xml:space="preserve"> </w:t>
      </w:r>
      <w:r w:rsidRPr="00D40830">
        <w:t>frappant.</w:t>
      </w:r>
      <w:r w:rsidRPr="002C4077">
        <w:t xml:space="preserve"> </w:t>
      </w:r>
      <w:r w:rsidR="00D40830" w:rsidRPr="00D40830">
        <w:t>L’</w:t>
      </w:r>
      <w:r w:rsidR="00D40830" w:rsidRPr="00D05EA9">
        <w:rPr>
          <w:rStyle w:val="italicus"/>
        </w:rPr>
        <w:t>῾almah</w:t>
      </w:r>
      <w:r w:rsidRPr="000A34B5">
        <w:rPr>
          <w:rStyle w:val="italicus"/>
        </w:rPr>
        <w:t>,</w:t>
      </w:r>
      <w:r w:rsidRPr="002C4077">
        <w:t xml:space="preserve"> </w:t>
      </w:r>
      <w:r>
        <w:t>c’est</w:t>
      </w:r>
      <w:r w:rsidRPr="002C4077">
        <w:t xml:space="preserve"> </w:t>
      </w:r>
      <w:r>
        <w:t>la</w:t>
      </w:r>
      <w:r w:rsidRPr="002C4077">
        <w:t xml:space="preserve"> </w:t>
      </w:r>
      <w:r>
        <w:t>Vierge</w:t>
      </w:r>
      <w:r w:rsidRPr="002C4077">
        <w:t xml:space="preserve"> </w:t>
      </w:r>
      <w:r>
        <w:t>Marie</w:t>
      </w:r>
      <w:r w:rsidR="00B546AF">
        <w:t> ;</w:t>
      </w:r>
      <w:r w:rsidRPr="002C4077">
        <w:t xml:space="preserve"> </w:t>
      </w:r>
      <w:r>
        <w:t>Emmanuel,</w:t>
      </w:r>
      <w:r w:rsidRPr="002C4077">
        <w:t xml:space="preserve"> </w:t>
      </w:r>
      <w:r>
        <w:t>c’est</w:t>
      </w:r>
      <w:r w:rsidRPr="002C4077">
        <w:t xml:space="preserve"> </w:t>
      </w:r>
      <w:r>
        <w:t>Notre</w:t>
      </w:r>
      <w:r w:rsidRPr="002C4077">
        <w:t xml:space="preserve"> </w:t>
      </w:r>
      <w:r>
        <w:t>Seigneur</w:t>
      </w:r>
      <w:r w:rsidRPr="002C4077">
        <w:t xml:space="preserve"> </w:t>
      </w:r>
      <w:r w:rsidR="00425C50">
        <w:t>Jésus</w:t>
      </w:r>
      <w:r>
        <w:t>-</w:t>
      </w:r>
      <w:r w:rsidR="00425C50">
        <w:t>Christ</w:t>
      </w:r>
      <w:r w:rsidR="00B546AF">
        <w:t> !</w:t>
      </w:r>
      <w:r w:rsidRPr="002C4077">
        <w:t xml:space="preserve"> </w:t>
      </w:r>
      <w:r>
        <w:t>Le</w:t>
      </w:r>
      <w:r w:rsidRPr="002C4077">
        <w:t xml:space="preserve"> </w:t>
      </w:r>
      <w:r>
        <w:t>prophète</w:t>
      </w:r>
      <w:r w:rsidRPr="002C4077">
        <w:t xml:space="preserve"> </w:t>
      </w:r>
      <w:r>
        <w:t>qu’on</w:t>
      </w:r>
      <w:r w:rsidRPr="002C4077">
        <w:t xml:space="preserve"> </w:t>
      </w:r>
      <w:r>
        <w:t>a</w:t>
      </w:r>
      <w:r w:rsidRPr="002C4077">
        <w:t xml:space="preserve"> </w:t>
      </w:r>
      <w:r>
        <w:t>justement</w:t>
      </w:r>
      <w:r w:rsidRPr="002C4077">
        <w:t xml:space="preserve"> </w:t>
      </w:r>
      <w:r>
        <w:t>appelé</w:t>
      </w:r>
      <w:r w:rsidRPr="002C4077">
        <w:t xml:space="preserve"> </w:t>
      </w:r>
      <w:r>
        <w:t>l’évangéliste</w:t>
      </w:r>
      <w:r w:rsidRPr="002C4077">
        <w:t xml:space="preserve"> </w:t>
      </w:r>
      <w:r>
        <w:t>de</w:t>
      </w:r>
      <w:r w:rsidRPr="002C4077">
        <w:t xml:space="preserve"> </w:t>
      </w:r>
      <w:r>
        <w:t>l’Ancien</w:t>
      </w:r>
      <w:r w:rsidRPr="002C4077">
        <w:t xml:space="preserve"> </w:t>
      </w:r>
      <w:r>
        <w:t>Testament</w:t>
      </w:r>
      <w:r w:rsidRPr="002C4077">
        <w:t xml:space="preserve"> </w:t>
      </w:r>
      <w:r>
        <w:t>les</w:t>
      </w:r>
      <w:r w:rsidRPr="002C4077">
        <w:t xml:space="preserve"> </w:t>
      </w:r>
      <w:r>
        <w:t>avait</w:t>
      </w:r>
      <w:r w:rsidRPr="002C4077">
        <w:t xml:space="preserve"> </w:t>
      </w:r>
      <w:r>
        <w:t>ainsi</w:t>
      </w:r>
      <w:r w:rsidRPr="002C4077">
        <w:t xml:space="preserve"> </w:t>
      </w:r>
      <w:r>
        <w:t>contemplés,</w:t>
      </w:r>
      <w:r w:rsidRPr="002C4077">
        <w:t xml:space="preserve"> </w:t>
      </w:r>
      <w:r>
        <w:t>annoncés.</w:t>
      </w:r>
      <w:r w:rsidRPr="002C4077">
        <w:t xml:space="preserve"> </w:t>
      </w:r>
    </w:p>
    <w:p w:rsidR="000A7AAB" w:rsidRDefault="000A7AAB" w:rsidP="000A7AAB">
      <w:r>
        <w:t>Devant</w:t>
      </w:r>
      <w:r w:rsidRPr="002C4077">
        <w:t xml:space="preserve"> </w:t>
      </w:r>
      <w:r>
        <w:t>ces</w:t>
      </w:r>
      <w:r w:rsidRPr="002C4077">
        <w:t xml:space="preserve"> </w:t>
      </w:r>
      <w:r>
        <w:t>deux</w:t>
      </w:r>
      <w:r w:rsidRPr="002C4077">
        <w:t xml:space="preserve"> </w:t>
      </w:r>
      <w:r>
        <w:t>célestes</w:t>
      </w:r>
      <w:r w:rsidRPr="002C4077">
        <w:t xml:space="preserve"> </w:t>
      </w:r>
      <w:r>
        <w:t>figures</w:t>
      </w:r>
      <w:r w:rsidRPr="002C4077">
        <w:t xml:space="preserve"> </w:t>
      </w:r>
      <w:r>
        <w:t>et</w:t>
      </w:r>
      <w:r w:rsidRPr="002C4077">
        <w:t xml:space="preserve"> </w:t>
      </w:r>
      <w:r>
        <w:t>devant</w:t>
      </w:r>
      <w:r w:rsidRPr="002C4077">
        <w:t xml:space="preserve"> </w:t>
      </w:r>
      <w:r>
        <w:t>la</w:t>
      </w:r>
      <w:r w:rsidRPr="002C4077">
        <w:t xml:space="preserve"> </w:t>
      </w:r>
      <w:r>
        <w:t>ligne</w:t>
      </w:r>
      <w:r w:rsidRPr="002C4077">
        <w:t xml:space="preserve"> </w:t>
      </w:r>
      <w:r>
        <w:t>sacrée</w:t>
      </w:r>
      <w:r w:rsidRPr="002C4077">
        <w:t xml:space="preserve"> </w:t>
      </w:r>
      <w:r>
        <w:t>qui</w:t>
      </w:r>
      <w:r w:rsidRPr="002C4077">
        <w:t xml:space="preserve"> </w:t>
      </w:r>
      <w:r>
        <w:t>nous</w:t>
      </w:r>
      <w:r w:rsidRPr="002C4077">
        <w:t xml:space="preserve"> </w:t>
      </w:r>
      <w:r>
        <w:t>les</w:t>
      </w:r>
      <w:r w:rsidRPr="002C4077">
        <w:t xml:space="preserve"> </w:t>
      </w:r>
      <w:r>
        <w:t>montre</w:t>
      </w:r>
      <w:r w:rsidRPr="002C4077">
        <w:t xml:space="preserve"> </w:t>
      </w:r>
      <w:r>
        <w:t>si</w:t>
      </w:r>
      <w:r w:rsidRPr="002C4077">
        <w:t xml:space="preserve"> </w:t>
      </w:r>
      <w:r>
        <w:t>longtemps</w:t>
      </w:r>
      <w:r w:rsidRPr="002C4077">
        <w:t xml:space="preserve"> </w:t>
      </w:r>
      <w:r>
        <w:t>d’avance,</w:t>
      </w:r>
      <w:r w:rsidRPr="002C4077">
        <w:t xml:space="preserve"> </w:t>
      </w:r>
      <w:r>
        <w:t>les</w:t>
      </w:r>
      <w:r w:rsidRPr="002C4077">
        <w:t xml:space="preserve"> </w:t>
      </w:r>
      <w:r>
        <w:t>exégètes</w:t>
      </w:r>
      <w:r w:rsidRPr="002C4077">
        <w:t xml:space="preserve"> </w:t>
      </w:r>
      <w:r>
        <w:t>croyants</w:t>
      </w:r>
      <w:r w:rsidRPr="002C4077">
        <w:t xml:space="preserve"> </w:t>
      </w:r>
      <w:r>
        <w:t>ne</w:t>
      </w:r>
      <w:r w:rsidRPr="002C4077">
        <w:t xml:space="preserve"> </w:t>
      </w:r>
      <w:r>
        <w:t>peuvent</w:t>
      </w:r>
      <w:r w:rsidRPr="002C4077">
        <w:t xml:space="preserve"> </w:t>
      </w:r>
      <w:r>
        <w:t>contenir</w:t>
      </w:r>
      <w:r w:rsidRPr="002C4077">
        <w:t xml:space="preserve"> </w:t>
      </w:r>
      <w:r>
        <w:t>leur</w:t>
      </w:r>
      <w:r w:rsidRPr="002C4077">
        <w:t xml:space="preserve"> </w:t>
      </w:r>
      <w:r>
        <w:t>saint</w:t>
      </w:r>
      <w:r w:rsidRPr="002C4077">
        <w:t xml:space="preserve"> </w:t>
      </w:r>
      <w:r>
        <w:t>enthousiasme.</w:t>
      </w:r>
      <w:r w:rsidRPr="002C4077">
        <w:t xml:space="preserve"> </w:t>
      </w:r>
      <w:r w:rsidR="00B546AF">
        <w:t>« </w:t>
      </w:r>
      <w:r w:rsidR="008B0C1F">
        <w:t>Oráculum</w:t>
      </w:r>
      <w:r w:rsidRPr="002C4077">
        <w:t xml:space="preserve"> </w:t>
      </w:r>
      <w:r>
        <w:t>hoc</w:t>
      </w:r>
      <w:r w:rsidRPr="002C4077">
        <w:t xml:space="preserve"> </w:t>
      </w:r>
      <w:r>
        <w:t>nobil</w:t>
      </w:r>
      <w:r w:rsidR="003B53FD">
        <w:t>íssimum</w:t>
      </w:r>
      <w:r w:rsidR="00B546AF">
        <w:t> »</w:t>
      </w:r>
      <w:r>
        <w:t>,</w:t>
      </w:r>
      <w:r w:rsidRPr="002C4077">
        <w:t xml:space="preserve"> </w:t>
      </w:r>
      <w:r>
        <w:t>s’écrient-ils.</w:t>
      </w:r>
      <w:r w:rsidRPr="002C4077">
        <w:t xml:space="preserve"> </w:t>
      </w:r>
      <w:r w:rsidR="00B546AF">
        <w:t>« </w:t>
      </w:r>
      <w:r>
        <w:t>Locus</w:t>
      </w:r>
      <w:r w:rsidRPr="002C4077">
        <w:t xml:space="preserve"> </w:t>
      </w:r>
      <w:r>
        <w:t>hic</w:t>
      </w:r>
      <w:r w:rsidRPr="002C4077">
        <w:t xml:space="preserve"> </w:t>
      </w:r>
      <w:r>
        <w:t>de</w:t>
      </w:r>
      <w:r w:rsidRPr="002C4077">
        <w:t xml:space="preserve"> </w:t>
      </w:r>
      <w:r>
        <w:t>Christo</w:t>
      </w:r>
      <w:r w:rsidRPr="002C4077">
        <w:t xml:space="preserve"> </w:t>
      </w:r>
      <w:r>
        <w:t>illustr</w:t>
      </w:r>
      <w:r w:rsidR="003B53FD">
        <w:t>íssimus</w:t>
      </w:r>
      <w:r w:rsidRPr="002C4077">
        <w:t xml:space="preserve"> </w:t>
      </w:r>
      <w:r w:rsidR="00425C50">
        <w:t>est</w:t>
      </w:r>
      <w:r w:rsidR="00B546AF">
        <w:t> »</w:t>
      </w:r>
      <w:r>
        <w:t>.</w:t>
      </w:r>
      <w:r w:rsidRPr="002C4077">
        <w:t xml:space="preserve"> </w:t>
      </w:r>
      <w:r w:rsidR="00B546AF">
        <w:t>« </w:t>
      </w:r>
      <w:r>
        <w:t>Vatic</w:t>
      </w:r>
      <w:r w:rsidR="003B53FD">
        <w:t>ínium</w:t>
      </w:r>
      <w:r w:rsidRPr="002C4077">
        <w:t xml:space="preserve"> </w:t>
      </w:r>
      <w:r>
        <w:t>quod</w:t>
      </w:r>
      <w:r w:rsidRPr="002C4077">
        <w:t xml:space="preserve"> </w:t>
      </w:r>
      <w:r>
        <w:t>de</w:t>
      </w:r>
      <w:r w:rsidRPr="002C4077">
        <w:t xml:space="preserve"> </w:t>
      </w:r>
      <w:r w:rsidR="008B0C1F">
        <w:t>Immanuéle</w:t>
      </w:r>
      <w:r w:rsidRPr="002C4077">
        <w:t xml:space="preserve"> </w:t>
      </w:r>
      <w:r w:rsidR="008B0C1F">
        <w:t>nascitúro</w:t>
      </w:r>
      <w:r w:rsidRPr="002C4077">
        <w:t xml:space="preserve"> </w:t>
      </w:r>
      <w:r w:rsidR="008B0C1F">
        <w:t>édidit</w:t>
      </w:r>
      <w:r w:rsidRPr="002C4077">
        <w:t xml:space="preserve"> </w:t>
      </w:r>
      <w:r>
        <w:t>Jesaias</w:t>
      </w:r>
      <w:r w:rsidRPr="002C4077">
        <w:t xml:space="preserve"> </w:t>
      </w:r>
      <w:r>
        <w:t>pr</w:t>
      </w:r>
      <w:r w:rsidR="003B53FD">
        <w:t>ophéta</w:t>
      </w:r>
      <w:r>
        <w:t>,</w:t>
      </w:r>
      <w:r w:rsidRPr="002C4077">
        <w:t xml:space="preserve"> </w:t>
      </w:r>
      <w:r>
        <w:t>quin</w:t>
      </w:r>
      <w:r w:rsidRPr="002C4077">
        <w:t xml:space="preserve"> </w:t>
      </w:r>
      <w:r>
        <w:t>inter</w:t>
      </w:r>
      <w:r w:rsidRPr="002C4077">
        <w:t xml:space="preserve"> </w:t>
      </w:r>
      <w:r>
        <w:t>omnes</w:t>
      </w:r>
      <w:r w:rsidRPr="002C4077">
        <w:t xml:space="preserve"> </w:t>
      </w:r>
      <w:r w:rsidR="008B0C1F">
        <w:t>Véteris</w:t>
      </w:r>
      <w:r w:rsidRPr="002C4077">
        <w:t xml:space="preserve"> </w:t>
      </w:r>
      <w:r w:rsidR="008B0C1F">
        <w:t>Testaménti</w:t>
      </w:r>
      <w:r w:rsidRPr="002C4077">
        <w:t xml:space="preserve"> </w:t>
      </w:r>
      <w:r w:rsidR="003B53FD">
        <w:t>prophetías</w:t>
      </w:r>
      <w:r w:rsidRPr="002C4077">
        <w:t xml:space="preserve"> </w:t>
      </w:r>
      <w:r>
        <w:t>præc</w:t>
      </w:r>
      <w:r w:rsidR="003B53FD">
        <w:t>ípuum</w:t>
      </w:r>
      <w:r w:rsidRPr="002C4077">
        <w:t xml:space="preserve"> </w:t>
      </w:r>
      <w:r>
        <w:t>locum</w:t>
      </w:r>
      <w:r w:rsidRPr="002C4077">
        <w:t xml:space="preserve"> </w:t>
      </w:r>
      <w:r>
        <w:t>t</w:t>
      </w:r>
      <w:r w:rsidR="003B53FD">
        <w:t>éneat</w:t>
      </w:r>
      <w:r>
        <w:t>,</w:t>
      </w:r>
      <w:r w:rsidRPr="002C4077">
        <w:t xml:space="preserve"> </w:t>
      </w:r>
      <w:r>
        <w:t>du</w:t>
      </w:r>
      <w:r w:rsidR="003B53FD">
        <w:t>bitári</w:t>
      </w:r>
      <w:r w:rsidRPr="002C4077">
        <w:t xml:space="preserve"> </w:t>
      </w:r>
      <w:r>
        <w:t>non</w:t>
      </w:r>
      <w:r w:rsidRPr="002C4077">
        <w:t xml:space="preserve"> </w:t>
      </w:r>
      <w:r>
        <w:t>pote</w:t>
      </w:r>
      <w:r w:rsidR="00F6492C">
        <w:t>st</w:t>
      </w:r>
      <w:r w:rsidR="00F6492C">
        <w:rPr>
          <w:rStyle w:val="Appelnotedebasdep"/>
        </w:rPr>
        <w:footnoteReference w:id="58"/>
      </w:r>
      <w:r w:rsidR="00B546AF">
        <w:t> »</w:t>
      </w:r>
      <w:r>
        <w:t>.</w:t>
      </w:r>
      <w:r w:rsidRPr="002C4077">
        <w:t xml:space="preserve"> </w:t>
      </w:r>
      <w:r>
        <w:t>Et</w:t>
      </w:r>
      <w:r w:rsidRPr="002C4077">
        <w:t xml:space="preserve"> </w:t>
      </w:r>
      <w:r>
        <w:t>cent</w:t>
      </w:r>
      <w:r w:rsidRPr="002C4077">
        <w:t xml:space="preserve"> </w:t>
      </w:r>
      <w:r>
        <w:t>autres</w:t>
      </w:r>
      <w:r w:rsidRPr="002C4077">
        <w:t xml:space="preserve"> </w:t>
      </w:r>
      <w:r>
        <w:t>appréciations</w:t>
      </w:r>
      <w:r w:rsidRPr="002C4077">
        <w:t xml:space="preserve"> </w:t>
      </w:r>
      <w:r>
        <w:t>analogues.</w:t>
      </w:r>
      <w:r w:rsidRPr="002C4077">
        <w:t xml:space="preserve"> </w:t>
      </w:r>
    </w:p>
    <w:p w:rsidR="000A7AAB" w:rsidRPr="000721C4" w:rsidRDefault="000A7AAB" w:rsidP="000A7AAB">
      <w:r>
        <w:t>Il</w:t>
      </w:r>
      <w:r w:rsidRPr="002C4077">
        <w:t xml:space="preserve"> </w:t>
      </w:r>
      <w:r w:rsidR="00425C50">
        <w:t>est</w:t>
      </w:r>
      <w:r w:rsidRPr="002C4077">
        <w:t xml:space="preserve"> </w:t>
      </w:r>
      <w:r>
        <w:t>pourtant</w:t>
      </w:r>
      <w:r w:rsidRPr="002C4077">
        <w:t xml:space="preserve"> </w:t>
      </w:r>
      <w:r>
        <w:t>deux</w:t>
      </w:r>
      <w:r w:rsidRPr="002C4077">
        <w:t xml:space="preserve"> </w:t>
      </w:r>
      <w:r>
        <w:t>sortes</w:t>
      </w:r>
      <w:r w:rsidRPr="002C4077">
        <w:t xml:space="preserve"> </w:t>
      </w:r>
      <w:r>
        <w:t>de</w:t>
      </w:r>
      <w:r w:rsidRPr="002C4077">
        <w:t xml:space="preserve"> </w:t>
      </w:r>
      <w:r>
        <w:t>voix</w:t>
      </w:r>
      <w:r w:rsidRPr="002C4077">
        <w:t xml:space="preserve"> </w:t>
      </w:r>
      <w:r>
        <w:t>qui</w:t>
      </w:r>
      <w:r w:rsidRPr="002C4077">
        <w:t xml:space="preserve"> </w:t>
      </w:r>
      <w:r>
        <w:t>détonnent</w:t>
      </w:r>
      <w:r w:rsidRPr="002C4077">
        <w:t xml:space="preserve"> </w:t>
      </w:r>
      <w:r>
        <w:t>dans</w:t>
      </w:r>
      <w:r w:rsidRPr="002C4077">
        <w:t xml:space="preserve"> </w:t>
      </w:r>
      <w:r>
        <w:t>ce</w:t>
      </w:r>
      <w:r w:rsidRPr="002C4077">
        <w:t xml:space="preserve"> </w:t>
      </w:r>
      <w:r>
        <w:t>concert</w:t>
      </w:r>
      <w:r w:rsidR="00B546AF">
        <w:t> :</w:t>
      </w:r>
      <w:r w:rsidRPr="002C4077">
        <w:t xml:space="preserve"> </w:t>
      </w:r>
      <w:r>
        <w:t>les</w:t>
      </w:r>
      <w:r w:rsidRPr="002C4077">
        <w:t xml:space="preserve"> </w:t>
      </w:r>
      <w:r>
        <w:t>voix</w:t>
      </w:r>
      <w:r w:rsidRPr="002C4077">
        <w:t xml:space="preserve"> </w:t>
      </w:r>
      <w:r>
        <w:t>juives</w:t>
      </w:r>
      <w:r w:rsidRPr="002C4077">
        <w:t xml:space="preserve"> </w:t>
      </w:r>
      <w:r>
        <w:t>et</w:t>
      </w:r>
      <w:r w:rsidRPr="002C4077">
        <w:t xml:space="preserve"> </w:t>
      </w:r>
      <w:r>
        <w:t>les</w:t>
      </w:r>
      <w:r w:rsidRPr="002C4077">
        <w:t xml:space="preserve"> </w:t>
      </w:r>
      <w:r>
        <w:t>voix</w:t>
      </w:r>
      <w:r w:rsidRPr="002C4077">
        <w:t xml:space="preserve"> </w:t>
      </w:r>
      <w:r>
        <w:t>rationalistes.</w:t>
      </w:r>
      <w:r w:rsidR="00C45B47">
        <w:t xml:space="preserve"> {</w:t>
      </w:r>
      <w:r w:rsidR="000721C4">
        <w:t>20</w:t>
      </w:r>
      <w:bookmarkStart w:id="81" w:name="p020"/>
      <w:bookmarkEnd w:id="81"/>
      <w:r w:rsidR="000721C4">
        <w:t xml:space="preserve">} </w:t>
      </w:r>
    </w:p>
    <w:p w:rsidR="000A7AAB" w:rsidRDefault="000A7AAB" w:rsidP="000A7AAB">
      <w:r>
        <w:t>Les</w:t>
      </w:r>
      <w:bookmarkStart w:id="82" w:name="z_JuifsAlmah_o1"/>
      <w:bookmarkEnd w:id="82"/>
      <w:r w:rsidRPr="002C4077">
        <w:t xml:space="preserve"> </w:t>
      </w:r>
      <w:r>
        <w:t>Juifs,</w:t>
      </w:r>
      <w:r w:rsidRPr="002C4077">
        <w:t xml:space="preserve"> </w:t>
      </w:r>
      <w:r>
        <w:t>après</w:t>
      </w:r>
      <w:r w:rsidRPr="002C4077">
        <w:t xml:space="preserve"> </w:t>
      </w:r>
      <w:r>
        <w:t>avoir</w:t>
      </w:r>
      <w:r w:rsidRPr="002C4077">
        <w:t xml:space="preserve"> </w:t>
      </w:r>
      <w:r>
        <w:t>longtemps</w:t>
      </w:r>
      <w:r w:rsidRPr="002C4077">
        <w:t xml:space="preserve"> </w:t>
      </w:r>
      <w:r>
        <w:t>admis,</w:t>
      </w:r>
      <w:r w:rsidRPr="002C4077">
        <w:t xml:space="preserve"> </w:t>
      </w:r>
      <w:r>
        <w:t>comme</w:t>
      </w:r>
      <w:r w:rsidRPr="002C4077">
        <w:t xml:space="preserve"> </w:t>
      </w:r>
      <w:r>
        <w:t>il</w:t>
      </w:r>
      <w:r w:rsidRPr="002C4077">
        <w:t xml:space="preserve"> </w:t>
      </w:r>
      <w:r>
        <w:t>nous</w:t>
      </w:r>
      <w:r w:rsidRPr="002C4077">
        <w:t xml:space="preserve"> </w:t>
      </w:r>
      <w:r>
        <w:t>sera</w:t>
      </w:r>
      <w:r w:rsidRPr="002C4077">
        <w:t xml:space="preserve"> </w:t>
      </w:r>
      <w:r>
        <w:t>aisé</w:t>
      </w:r>
      <w:r w:rsidRPr="002C4077">
        <w:t xml:space="preserve"> </w:t>
      </w:r>
      <w:r>
        <w:t>de</w:t>
      </w:r>
      <w:r w:rsidRPr="002C4077">
        <w:t xml:space="preserve"> </w:t>
      </w:r>
      <w:r>
        <w:t>le</w:t>
      </w:r>
      <w:r w:rsidRPr="002C4077">
        <w:t xml:space="preserve"> </w:t>
      </w:r>
      <w:r>
        <w:t>démontrer,</w:t>
      </w:r>
      <w:r w:rsidRPr="002C4077">
        <w:t xml:space="preserve"> </w:t>
      </w:r>
      <w:r>
        <w:t>qu’il</w:t>
      </w:r>
      <w:r w:rsidRPr="002C4077">
        <w:t xml:space="preserve"> </w:t>
      </w:r>
      <w:r>
        <w:t>s’agit</w:t>
      </w:r>
      <w:r w:rsidRPr="002C4077">
        <w:t xml:space="preserve"> </w:t>
      </w:r>
      <w:r>
        <w:t>ici</w:t>
      </w:r>
      <w:r w:rsidRPr="002C4077">
        <w:t xml:space="preserve"> </w:t>
      </w:r>
      <w:r>
        <w:t>du</w:t>
      </w:r>
      <w:r w:rsidRPr="002C4077">
        <w:t xml:space="preserve"> </w:t>
      </w:r>
      <w:r>
        <w:t>Messie</w:t>
      </w:r>
      <w:r w:rsidRPr="002C4077">
        <w:t xml:space="preserve"> </w:t>
      </w:r>
      <w:r>
        <w:t>et</w:t>
      </w:r>
      <w:r w:rsidRPr="002C4077">
        <w:t xml:space="preserve"> </w:t>
      </w:r>
      <w:r>
        <w:t>de</w:t>
      </w:r>
      <w:r w:rsidRPr="002C4077">
        <w:t xml:space="preserve"> </w:t>
      </w:r>
      <w:r>
        <w:t>sa</w:t>
      </w:r>
      <w:r w:rsidRPr="002C4077">
        <w:t xml:space="preserve"> </w:t>
      </w:r>
      <w:r>
        <w:t>Mère,</w:t>
      </w:r>
      <w:r w:rsidRPr="002C4077">
        <w:t xml:space="preserve"> </w:t>
      </w:r>
      <w:r>
        <w:t>rejetèrent</w:t>
      </w:r>
      <w:r w:rsidRPr="002C4077">
        <w:t xml:space="preserve"> </w:t>
      </w:r>
      <w:r>
        <w:t>cette</w:t>
      </w:r>
      <w:r w:rsidRPr="002C4077">
        <w:t xml:space="preserve"> </w:t>
      </w:r>
      <w:r>
        <w:t>antique</w:t>
      </w:r>
      <w:r w:rsidRPr="002C4077">
        <w:t xml:space="preserve"> </w:t>
      </w:r>
      <w:r>
        <w:t>tradition</w:t>
      </w:r>
      <w:r w:rsidRPr="002C4077">
        <w:t xml:space="preserve"> </w:t>
      </w:r>
      <w:r>
        <w:t>de</w:t>
      </w:r>
      <w:r w:rsidRPr="002C4077">
        <w:t xml:space="preserve"> </w:t>
      </w:r>
      <w:r>
        <w:t>leurs</w:t>
      </w:r>
      <w:r w:rsidRPr="002C4077">
        <w:t xml:space="preserve"> </w:t>
      </w:r>
      <w:r>
        <w:t>docteurs,</w:t>
      </w:r>
      <w:r w:rsidRPr="002C4077">
        <w:t xml:space="preserve"> </w:t>
      </w:r>
      <w:r>
        <w:t>quand</w:t>
      </w:r>
      <w:r w:rsidRPr="002C4077">
        <w:t xml:space="preserve"> </w:t>
      </w:r>
      <w:r>
        <w:t>ils</w:t>
      </w:r>
      <w:r w:rsidRPr="002C4077">
        <w:t xml:space="preserve"> </w:t>
      </w:r>
      <w:r>
        <w:t>virent,</w:t>
      </w:r>
      <w:r w:rsidRPr="002C4077">
        <w:t xml:space="preserve"> </w:t>
      </w:r>
      <w:r>
        <w:t>dès</w:t>
      </w:r>
      <w:r w:rsidRPr="002C4077">
        <w:t xml:space="preserve"> </w:t>
      </w:r>
      <w:r>
        <w:t>les</w:t>
      </w:r>
      <w:r w:rsidRPr="002C4077">
        <w:t xml:space="preserve"> </w:t>
      </w:r>
      <w:r>
        <w:t>premiers</w:t>
      </w:r>
      <w:r w:rsidRPr="002C4077">
        <w:t xml:space="preserve"> </w:t>
      </w:r>
      <w:r>
        <w:t>siècles</w:t>
      </w:r>
      <w:r w:rsidRPr="002C4077">
        <w:t xml:space="preserve"> </w:t>
      </w:r>
      <w:r>
        <w:t>de</w:t>
      </w:r>
      <w:r w:rsidRPr="002C4077">
        <w:t xml:space="preserve"> </w:t>
      </w:r>
      <w:r>
        <w:t>l’Église,</w:t>
      </w:r>
      <w:r w:rsidRPr="002C4077">
        <w:t xml:space="preserve"> </w:t>
      </w:r>
      <w:r>
        <w:t>qu’elle</w:t>
      </w:r>
      <w:r w:rsidRPr="002C4077">
        <w:t xml:space="preserve"> </w:t>
      </w:r>
      <w:r>
        <w:t>les</w:t>
      </w:r>
      <w:r w:rsidRPr="002C4077">
        <w:t xml:space="preserve"> </w:t>
      </w:r>
      <w:r>
        <w:t>conduisait</w:t>
      </w:r>
      <w:r w:rsidRPr="002C4077">
        <w:t xml:space="preserve"> </w:t>
      </w:r>
      <w:r>
        <w:t>forcément,</w:t>
      </w:r>
      <w:r w:rsidRPr="002C4077">
        <w:t xml:space="preserve"> </w:t>
      </w:r>
      <w:r>
        <w:t>directement,</w:t>
      </w:r>
      <w:r w:rsidRPr="002C4077">
        <w:t xml:space="preserve"> </w:t>
      </w:r>
      <w:r>
        <w:t>au</w:t>
      </w:r>
      <w:r w:rsidRPr="002C4077">
        <w:t xml:space="preserve"> </w:t>
      </w:r>
      <w:r>
        <w:t>Seigneur</w:t>
      </w:r>
      <w:r w:rsidRPr="002C4077">
        <w:t xml:space="preserve"> </w:t>
      </w:r>
      <w:r w:rsidR="00425C50">
        <w:t>Jésus</w:t>
      </w:r>
      <w:r>
        <w:t>.</w:t>
      </w:r>
      <w:r w:rsidRPr="002C4077">
        <w:t xml:space="preserve"> </w:t>
      </w:r>
      <w:r>
        <w:t>Les</w:t>
      </w:r>
      <w:r w:rsidRPr="002C4077">
        <w:t xml:space="preserve"> </w:t>
      </w:r>
      <w:r>
        <w:t>saints</w:t>
      </w:r>
      <w:r w:rsidRPr="002C4077">
        <w:t xml:space="preserve"> </w:t>
      </w:r>
      <w:r>
        <w:t>Pères</w:t>
      </w:r>
      <w:r w:rsidRPr="002C4077">
        <w:t xml:space="preserve"> </w:t>
      </w:r>
      <w:r>
        <w:t>et</w:t>
      </w:r>
      <w:r w:rsidRPr="002C4077">
        <w:t xml:space="preserve"> </w:t>
      </w:r>
      <w:r>
        <w:t>les</w:t>
      </w:r>
      <w:r w:rsidRPr="002C4077">
        <w:t xml:space="preserve"> </w:t>
      </w:r>
      <w:r>
        <w:t>anciens</w:t>
      </w:r>
      <w:r w:rsidRPr="002C4077">
        <w:t xml:space="preserve"> </w:t>
      </w:r>
      <w:r>
        <w:t>écrivains</w:t>
      </w:r>
      <w:r w:rsidRPr="002C4077">
        <w:t xml:space="preserve"> </w:t>
      </w:r>
      <w:r>
        <w:t>ecclésiastiques</w:t>
      </w:r>
      <w:r w:rsidRPr="002C4077">
        <w:t xml:space="preserve"> </w:t>
      </w:r>
      <w:r>
        <w:t>ne</w:t>
      </w:r>
      <w:r w:rsidRPr="002C4077">
        <w:t xml:space="preserve"> </w:t>
      </w:r>
      <w:r>
        <w:t>manquèrent</w:t>
      </w:r>
      <w:r w:rsidRPr="002C4077">
        <w:t xml:space="preserve"> </w:t>
      </w:r>
      <w:r>
        <w:t>pas</w:t>
      </w:r>
      <w:r w:rsidRPr="002C4077">
        <w:t xml:space="preserve"> </w:t>
      </w:r>
      <w:r>
        <w:t>de</w:t>
      </w:r>
      <w:r w:rsidRPr="002C4077">
        <w:t xml:space="preserve"> </w:t>
      </w:r>
      <w:r>
        <w:t>leur</w:t>
      </w:r>
      <w:r w:rsidRPr="002C4077">
        <w:t xml:space="preserve"> </w:t>
      </w:r>
      <w:r>
        <w:t>faire</w:t>
      </w:r>
      <w:r w:rsidRPr="002C4077">
        <w:t xml:space="preserve"> </w:t>
      </w:r>
      <w:r>
        <w:t>de</w:t>
      </w:r>
      <w:r w:rsidRPr="002C4077">
        <w:t xml:space="preserve"> </w:t>
      </w:r>
      <w:r>
        <w:t>vigoureuses</w:t>
      </w:r>
      <w:r w:rsidRPr="002C4077">
        <w:t xml:space="preserve"> </w:t>
      </w:r>
      <w:r>
        <w:t>ripostes,</w:t>
      </w:r>
      <w:r w:rsidRPr="002C4077">
        <w:t xml:space="preserve"> </w:t>
      </w:r>
      <w:r>
        <w:t>auxquelles</w:t>
      </w:r>
      <w:r w:rsidRPr="002C4077">
        <w:t xml:space="preserve"> </w:t>
      </w:r>
      <w:r>
        <w:t>nous</w:t>
      </w:r>
      <w:r w:rsidRPr="002C4077">
        <w:t xml:space="preserve"> </w:t>
      </w:r>
      <w:r>
        <w:t>aurons</w:t>
      </w:r>
      <w:r w:rsidRPr="002C4077">
        <w:t xml:space="preserve"> </w:t>
      </w:r>
      <w:r>
        <w:t>recours</w:t>
      </w:r>
      <w:r w:rsidRPr="002C4077">
        <w:t xml:space="preserve"> </w:t>
      </w:r>
      <w:r>
        <w:t>plus</w:t>
      </w:r>
      <w:r w:rsidRPr="002C4077">
        <w:t xml:space="preserve"> </w:t>
      </w:r>
      <w:r>
        <w:t>d’une</w:t>
      </w:r>
      <w:r w:rsidRPr="002C4077">
        <w:t xml:space="preserve"> </w:t>
      </w:r>
      <w:r>
        <w:t>fois</w:t>
      </w:r>
      <w:r w:rsidRPr="002C4077">
        <w:t xml:space="preserve"> </w:t>
      </w:r>
      <w:r>
        <w:t>dans</w:t>
      </w:r>
      <w:r w:rsidRPr="002C4077">
        <w:t xml:space="preserve"> </w:t>
      </w:r>
      <w:r>
        <w:t>le</w:t>
      </w:r>
      <w:r w:rsidRPr="002C4077">
        <w:t xml:space="preserve"> </w:t>
      </w:r>
      <w:r>
        <w:t>cours</w:t>
      </w:r>
      <w:r w:rsidRPr="002C4077">
        <w:t xml:space="preserve"> </w:t>
      </w:r>
      <w:r>
        <w:t>de</w:t>
      </w:r>
      <w:r w:rsidRPr="002C4077">
        <w:t xml:space="preserve"> </w:t>
      </w:r>
      <w:r>
        <w:t>cette</w:t>
      </w:r>
      <w:r w:rsidRPr="002C4077">
        <w:t xml:space="preserve"> </w:t>
      </w:r>
      <w:r>
        <w:t>étude</w:t>
      </w:r>
      <w:r w:rsidR="00B91AF7">
        <w:rPr>
          <w:rStyle w:val="Appelnotedebasdep"/>
        </w:rPr>
        <w:footnoteReference w:id="59"/>
      </w:r>
      <w:r>
        <w:t>.</w:t>
      </w:r>
      <w:r w:rsidRPr="002C4077">
        <w:t xml:space="preserve"> </w:t>
      </w:r>
    </w:p>
    <w:p w:rsidR="000A7AAB" w:rsidRDefault="000A7AAB" w:rsidP="000A7AAB">
      <w:r>
        <w:t>Les</w:t>
      </w:r>
      <w:bookmarkStart w:id="83" w:name="z_RationalistesAlma_o5"/>
      <w:bookmarkEnd w:id="83"/>
      <w:r w:rsidRPr="002C4077">
        <w:t xml:space="preserve"> </w:t>
      </w:r>
      <w:r>
        <w:t>rationalistes,</w:t>
      </w:r>
      <w:r w:rsidRPr="002C4077">
        <w:t xml:space="preserve"> </w:t>
      </w:r>
      <w:r>
        <w:t>par</w:t>
      </w:r>
      <w:r w:rsidRPr="002C4077">
        <w:t xml:space="preserve"> </w:t>
      </w:r>
      <w:r>
        <w:t>haine</w:t>
      </w:r>
      <w:r w:rsidRPr="002C4077">
        <w:t xml:space="preserve"> </w:t>
      </w:r>
      <w:r>
        <w:t>de</w:t>
      </w:r>
      <w:r w:rsidRPr="002C4077">
        <w:t xml:space="preserve"> </w:t>
      </w:r>
      <w:r>
        <w:t>la</w:t>
      </w:r>
      <w:r w:rsidRPr="002C4077">
        <w:t xml:space="preserve"> </w:t>
      </w:r>
      <w:r>
        <w:t>révélation,</w:t>
      </w:r>
      <w:r w:rsidRPr="002C4077">
        <w:t xml:space="preserve"> </w:t>
      </w:r>
      <w:r>
        <w:t>ont</w:t>
      </w:r>
      <w:r w:rsidRPr="002C4077">
        <w:t xml:space="preserve"> </w:t>
      </w:r>
      <w:r>
        <w:t>à</w:t>
      </w:r>
      <w:r w:rsidRPr="002C4077">
        <w:t xml:space="preserve"> </w:t>
      </w:r>
      <w:r>
        <w:t>leur</w:t>
      </w:r>
      <w:r w:rsidRPr="002C4077">
        <w:t xml:space="preserve"> </w:t>
      </w:r>
      <w:r>
        <w:t>tour</w:t>
      </w:r>
      <w:r w:rsidRPr="002C4077">
        <w:t xml:space="preserve"> </w:t>
      </w:r>
      <w:r>
        <w:t>essayé</w:t>
      </w:r>
      <w:r w:rsidRPr="002C4077">
        <w:t xml:space="preserve"> </w:t>
      </w:r>
      <w:r>
        <w:t>d’interpréter</w:t>
      </w:r>
      <w:r w:rsidRPr="002C4077">
        <w:t xml:space="preserve"> </w:t>
      </w:r>
      <w:r>
        <w:t>l’oracle</w:t>
      </w:r>
      <w:r w:rsidRPr="002C4077">
        <w:t xml:space="preserve"> </w:t>
      </w:r>
      <w:r>
        <w:t>de</w:t>
      </w:r>
      <w:r w:rsidRPr="002C4077">
        <w:t xml:space="preserve"> </w:t>
      </w:r>
      <w:r w:rsidR="00D40830" w:rsidRPr="00D40830">
        <w:t>l’</w:t>
      </w:r>
      <w:r w:rsidR="00D40830" w:rsidRPr="00D05EA9">
        <w:rPr>
          <w:rStyle w:val="italicus"/>
        </w:rPr>
        <w:t>῾almah</w:t>
      </w:r>
      <w:r w:rsidRPr="002C4077">
        <w:t xml:space="preserve"> </w:t>
      </w:r>
      <w:r>
        <w:t>dans</w:t>
      </w:r>
      <w:r w:rsidRPr="002C4077">
        <w:t xml:space="preserve"> </w:t>
      </w:r>
      <w:r>
        <w:t>un</w:t>
      </w:r>
      <w:r w:rsidRPr="002C4077">
        <w:t xml:space="preserve"> </w:t>
      </w:r>
      <w:r>
        <w:t>sens</w:t>
      </w:r>
      <w:r w:rsidRPr="002C4077">
        <w:t xml:space="preserve"> </w:t>
      </w:r>
      <w:r>
        <w:t>purement</w:t>
      </w:r>
      <w:r w:rsidRPr="002C4077">
        <w:t xml:space="preserve"> </w:t>
      </w:r>
      <w:r>
        <w:t>naturel.</w:t>
      </w:r>
      <w:r w:rsidRPr="002C4077">
        <w:t xml:space="preserve"> </w:t>
      </w:r>
      <w:r>
        <w:t>On</w:t>
      </w:r>
      <w:r w:rsidRPr="002C4077">
        <w:t xml:space="preserve"> </w:t>
      </w:r>
      <w:r>
        <w:t>verra</w:t>
      </w:r>
      <w:r w:rsidRPr="002C4077">
        <w:t xml:space="preserve"> </w:t>
      </w:r>
      <w:r>
        <w:t>comment</w:t>
      </w:r>
      <w:r w:rsidRPr="002C4077">
        <w:t xml:space="preserve"> </w:t>
      </w:r>
      <w:r>
        <w:t>ils</w:t>
      </w:r>
      <w:r w:rsidRPr="002C4077">
        <w:t xml:space="preserve"> </w:t>
      </w:r>
      <w:r>
        <w:t>ont</w:t>
      </w:r>
      <w:r w:rsidRPr="002C4077">
        <w:t xml:space="preserve"> </w:t>
      </w:r>
      <w:r>
        <w:t>tout</w:t>
      </w:r>
      <w:r w:rsidRPr="002C4077">
        <w:t xml:space="preserve"> </w:t>
      </w:r>
      <w:r>
        <w:t>fait</w:t>
      </w:r>
      <w:r w:rsidRPr="002C4077">
        <w:t xml:space="preserve"> </w:t>
      </w:r>
      <w:r>
        <w:t>pour</w:t>
      </w:r>
      <w:r w:rsidRPr="002C4077">
        <w:t xml:space="preserve"> </w:t>
      </w:r>
      <w:r>
        <w:t>changer</w:t>
      </w:r>
      <w:r w:rsidRPr="002C4077">
        <w:t xml:space="preserve"> </w:t>
      </w:r>
      <w:r>
        <w:t>une</w:t>
      </w:r>
      <w:r w:rsidRPr="002C4077">
        <w:t xml:space="preserve"> </w:t>
      </w:r>
      <w:r>
        <w:t>sublime</w:t>
      </w:r>
      <w:r w:rsidRPr="002C4077">
        <w:t xml:space="preserve"> </w:t>
      </w:r>
      <w:r>
        <w:t>promesse</w:t>
      </w:r>
      <w:r w:rsidRPr="002C4077">
        <w:t xml:space="preserve"> </w:t>
      </w:r>
      <w:r>
        <w:t>du</w:t>
      </w:r>
      <w:r w:rsidRPr="002C4077">
        <w:t xml:space="preserve"> </w:t>
      </w:r>
      <w:r>
        <w:t>ciel</w:t>
      </w:r>
      <w:r w:rsidRPr="002C4077">
        <w:t xml:space="preserve"> </w:t>
      </w:r>
      <w:r>
        <w:t>en</w:t>
      </w:r>
      <w:r w:rsidRPr="002C4077">
        <w:t xml:space="preserve"> </w:t>
      </w:r>
      <w:r>
        <w:t>une</w:t>
      </w:r>
      <w:r w:rsidRPr="002C4077">
        <w:t xml:space="preserve"> </w:t>
      </w:r>
      <w:r>
        <w:t>banale</w:t>
      </w:r>
      <w:r w:rsidRPr="002C4077">
        <w:t xml:space="preserve"> </w:t>
      </w:r>
      <w:r>
        <w:t>et</w:t>
      </w:r>
      <w:r w:rsidRPr="002C4077">
        <w:t xml:space="preserve"> </w:t>
      </w:r>
      <w:r>
        <w:t>vulgaire</w:t>
      </w:r>
      <w:r w:rsidRPr="002C4077">
        <w:t xml:space="preserve"> </w:t>
      </w:r>
      <w:r>
        <w:t>pensée,</w:t>
      </w:r>
      <w:r w:rsidRPr="002C4077">
        <w:t xml:space="preserve"> </w:t>
      </w:r>
      <w:r>
        <w:t>car</w:t>
      </w:r>
      <w:r w:rsidRPr="002C4077">
        <w:t xml:space="preserve"> </w:t>
      </w:r>
      <w:r>
        <w:t>ils</w:t>
      </w:r>
      <w:r w:rsidRPr="002C4077">
        <w:t xml:space="preserve"> </w:t>
      </w:r>
      <w:r>
        <w:t>ternissent</w:t>
      </w:r>
      <w:r w:rsidRPr="002C4077">
        <w:t xml:space="preserve"> </w:t>
      </w:r>
      <w:r>
        <w:t>tout</w:t>
      </w:r>
      <w:r w:rsidRPr="002C4077">
        <w:t xml:space="preserve"> </w:t>
      </w:r>
      <w:r>
        <w:t>de</w:t>
      </w:r>
      <w:r w:rsidRPr="002C4077">
        <w:t xml:space="preserve"> </w:t>
      </w:r>
      <w:r>
        <w:t>leur</w:t>
      </w:r>
      <w:r w:rsidRPr="002C4077">
        <w:t xml:space="preserve"> </w:t>
      </w:r>
      <w:r>
        <w:t>souffle</w:t>
      </w:r>
      <w:r w:rsidRPr="002C4077">
        <w:t xml:space="preserve"> </w:t>
      </w:r>
      <w:r>
        <w:t>empesté.</w:t>
      </w:r>
      <w:r w:rsidRPr="002C4077">
        <w:t xml:space="preserve"> </w:t>
      </w:r>
      <w:r>
        <w:t>Le</w:t>
      </w:r>
      <w:r w:rsidRPr="002C4077">
        <w:t xml:space="preserve"> </w:t>
      </w:r>
      <w:r>
        <w:t>terre-à-terre,</w:t>
      </w:r>
      <w:r w:rsidRPr="002C4077">
        <w:t xml:space="preserve"> </w:t>
      </w:r>
      <w:r>
        <w:t>le</w:t>
      </w:r>
      <w:r w:rsidRPr="002C4077">
        <w:t xml:space="preserve"> </w:t>
      </w:r>
      <w:r>
        <w:t>genre</w:t>
      </w:r>
      <w:r w:rsidRPr="002C4077">
        <w:t xml:space="preserve"> </w:t>
      </w:r>
      <w:r>
        <w:t>choquant,</w:t>
      </w:r>
      <w:r w:rsidRPr="002C4077">
        <w:t xml:space="preserve"> </w:t>
      </w:r>
      <w:r>
        <w:t>c’est</w:t>
      </w:r>
      <w:r w:rsidRPr="002C4077">
        <w:t xml:space="preserve"> </w:t>
      </w:r>
      <w:r>
        <w:t>ce</w:t>
      </w:r>
      <w:r w:rsidRPr="002C4077">
        <w:t xml:space="preserve"> </w:t>
      </w:r>
      <w:r>
        <w:t>qu’ils</w:t>
      </w:r>
      <w:r w:rsidRPr="002C4077">
        <w:t xml:space="preserve"> </w:t>
      </w:r>
      <w:r>
        <w:t>aime</w:t>
      </w:r>
      <w:r w:rsidR="00F6492C">
        <w:t>nt</w:t>
      </w:r>
      <w:r w:rsidR="00F6492C">
        <w:rPr>
          <w:rStyle w:val="Appelnotedebasdep"/>
        </w:rPr>
        <w:footnoteReference w:id="60"/>
      </w:r>
      <w:r w:rsidR="00F6492C">
        <w:t>,</w:t>
      </w:r>
      <w:r w:rsidRPr="002C4077">
        <w:t xml:space="preserve"> </w:t>
      </w:r>
      <w:r>
        <w:t>et</w:t>
      </w:r>
      <w:r w:rsidRPr="002C4077">
        <w:t xml:space="preserve"> </w:t>
      </w:r>
      <w:r>
        <w:t>Dieu</w:t>
      </w:r>
      <w:r w:rsidRPr="002C4077">
        <w:t xml:space="preserve"> </w:t>
      </w:r>
      <w:r>
        <w:t>sait</w:t>
      </w:r>
      <w:r w:rsidRPr="002C4077">
        <w:t xml:space="preserve"> </w:t>
      </w:r>
      <w:r>
        <w:t>quelle</w:t>
      </w:r>
      <w:r w:rsidRPr="002C4077">
        <w:t xml:space="preserve"> </w:t>
      </w:r>
      <w:r>
        <w:t>violence</w:t>
      </w:r>
      <w:r w:rsidRPr="002C4077">
        <w:t xml:space="preserve"> </w:t>
      </w:r>
      <w:r>
        <w:t>nous</w:t>
      </w:r>
      <w:r w:rsidRPr="002C4077">
        <w:t xml:space="preserve"> </w:t>
      </w:r>
      <w:r>
        <w:t>avons</w:t>
      </w:r>
      <w:r w:rsidRPr="002C4077">
        <w:t xml:space="preserve"> </w:t>
      </w:r>
      <w:r>
        <w:t>dû</w:t>
      </w:r>
      <w:r w:rsidRPr="002C4077">
        <w:t xml:space="preserve"> </w:t>
      </w:r>
      <w:r>
        <w:t>nous</w:t>
      </w:r>
      <w:r w:rsidRPr="002C4077">
        <w:t xml:space="preserve"> </w:t>
      </w:r>
      <w:r>
        <w:t>faire</w:t>
      </w:r>
      <w:r w:rsidRPr="002C4077">
        <w:t xml:space="preserve"> </w:t>
      </w:r>
      <w:r>
        <w:t>pour</w:t>
      </w:r>
      <w:r w:rsidRPr="002C4077">
        <w:t xml:space="preserve"> </w:t>
      </w:r>
      <w:r>
        <w:t>les</w:t>
      </w:r>
      <w:r w:rsidRPr="002C4077">
        <w:t xml:space="preserve"> </w:t>
      </w:r>
      <w:r>
        <w:t>lire</w:t>
      </w:r>
      <w:r w:rsidRPr="002C4077">
        <w:t xml:space="preserve"> </w:t>
      </w:r>
      <w:r>
        <w:t>jusqu’au</w:t>
      </w:r>
      <w:r w:rsidRPr="002C4077">
        <w:t xml:space="preserve"> </w:t>
      </w:r>
      <w:r>
        <w:t>bout.</w:t>
      </w:r>
      <w:r w:rsidRPr="002C4077">
        <w:t xml:space="preserve"> </w:t>
      </w:r>
      <w:r>
        <w:t>Néanmoins</w:t>
      </w:r>
      <w:r w:rsidRPr="002C4077">
        <w:t xml:space="preserve"> </w:t>
      </w:r>
      <w:r>
        <w:t>deux</w:t>
      </w:r>
      <w:r w:rsidRPr="002C4077">
        <w:t xml:space="preserve"> </w:t>
      </w:r>
      <w:r>
        <w:t>choses</w:t>
      </w:r>
      <w:r w:rsidRPr="002C4077">
        <w:t xml:space="preserve"> </w:t>
      </w:r>
      <w:r>
        <w:t>n’ont</w:t>
      </w:r>
      <w:r w:rsidRPr="002C4077">
        <w:t xml:space="preserve"> </w:t>
      </w:r>
      <w:r>
        <w:t>pas</w:t>
      </w:r>
      <w:r w:rsidRPr="002C4077">
        <w:t xml:space="preserve"> </w:t>
      </w:r>
      <w:r>
        <w:t>tardé</w:t>
      </w:r>
      <w:r w:rsidRPr="002C4077">
        <w:t xml:space="preserve"> </w:t>
      </w:r>
      <w:r>
        <w:t>à</w:t>
      </w:r>
      <w:r w:rsidRPr="002C4077">
        <w:t xml:space="preserve"> </w:t>
      </w:r>
      <w:r>
        <w:t>nous</w:t>
      </w:r>
      <w:r w:rsidRPr="002C4077">
        <w:t xml:space="preserve"> </w:t>
      </w:r>
      <w:r>
        <w:t>encourager,</w:t>
      </w:r>
      <w:r w:rsidRPr="002C4077">
        <w:t xml:space="preserve"> </w:t>
      </w:r>
      <w:r>
        <w:t>à</w:t>
      </w:r>
      <w:r w:rsidRPr="002C4077">
        <w:t xml:space="preserve"> </w:t>
      </w:r>
      <w:r>
        <w:t>nous</w:t>
      </w:r>
      <w:r w:rsidRPr="002C4077">
        <w:t xml:space="preserve"> </w:t>
      </w:r>
      <w:r>
        <w:t>consoler</w:t>
      </w:r>
      <w:r w:rsidRPr="002C4077">
        <w:t xml:space="preserve"> </w:t>
      </w:r>
      <w:r>
        <w:t>même.</w:t>
      </w:r>
      <w:r w:rsidRPr="002C4077">
        <w:t xml:space="preserve"> </w:t>
      </w:r>
      <w:r>
        <w:t>1°</w:t>
      </w:r>
      <w:r w:rsidRPr="002C4077">
        <w:t xml:space="preserve"> </w:t>
      </w:r>
      <w:r>
        <w:t>Nos</w:t>
      </w:r>
      <w:bookmarkStart w:id="84" w:name="z_RationalistesFaiblesse_o1"/>
      <w:bookmarkEnd w:id="84"/>
      <w:r w:rsidRPr="002C4077">
        <w:t xml:space="preserve"> </w:t>
      </w:r>
      <w:r>
        <w:t>adversaires</w:t>
      </w:r>
      <w:r w:rsidRPr="002C4077">
        <w:t xml:space="preserve"> </w:t>
      </w:r>
      <w:r>
        <w:t>ne</w:t>
      </w:r>
      <w:r w:rsidRPr="002C4077">
        <w:t xml:space="preserve"> </w:t>
      </w:r>
      <w:r>
        <w:t>peuvent</w:t>
      </w:r>
      <w:r w:rsidRPr="002C4077">
        <w:t xml:space="preserve"> </w:t>
      </w:r>
      <w:r>
        <w:t>nous</w:t>
      </w:r>
      <w:r w:rsidRPr="002C4077">
        <w:t xml:space="preserve"> </w:t>
      </w:r>
      <w:r>
        <w:t>opposer</w:t>
      </w:r>
      <w:r w:rsidRPr="002C4077">
        <w:t xml:space="preserve"> </w:t>
      </w:r>
      <w:r>
        <w:t>que</w:t>
      </w:r>
      <w:r w:rsidRPr="002C4077">
        <w:t xml:space="preserve"> </w:t>
      </w:r>
      <w:r>
        <w:t>des</w:t>
      </w:r>
      <w:r w:rsidRPr="002C4077">
        <w:t xml:space="preserve"> </w:t>
      </w:r>
      <w:r>
        <w:t>objections</w:t>
      </w:r>
      <w:r w:rsidRPr="002C4077">
        <w:t xml:space="preserve"> </w:t>
      </w:r>
      <w:r>
        <w:t>vieillies,</w:t>
      </w:r>
      <w:r w:rsidRPr="002C4077">
        <w:t xml:space="preserve"> </w:t>
      </w:r>
      <w:r>
        <w:t>puisées</w:t>
      </w:r>
      <w:r w:rsidRPr="002C4077">
        <w:t xml:space="preserve"> </w:t>
      </w:r>
      <w:r>
        <w:t>dans</w:t>
      </w:r>
      <w:r w:rsidRPr="002C4077">
        <w:t xml:space="preserve"> </w:t>
      </w:r>
      <w:r>
        <w:t>l’arsenal</w:t>
      </w:r>
      <w:r w:rsidRPr="002C4077">
        <w:t xml:space="preserve"> </w:t>
      </w:r>
      <w:r>
        <w:t>des</w:t>
      </w:r>
      <w:r w:rsidRPr="002C4077">
        <w:t xml:space="preserve"> </w:t>
      </w:r>
      <w:r>
        <w:t>rabbins</w:t>
      </w:r>
      <w:r w:rsidRPr="002C4077">
        <w:t xml:space="preserve"> </w:t>
      </w:r>
      <w:r>
        <w:t>contemporains</w:t>
      </w:r>
      <w:r w:rsidRPr="002C4077">
        <w:t xml:space="preserve"> </w:t>
      </w:r>
      <w:r>
        <w:t>de</w:t>
      </w:r>
      <w:r w:rsidRPr="002C4077">
        <w:t xml:space="preserve"> </w:t>
      </w:r>
      <w:r>
        <w:t>saint</w:t>
      </w:r>
      <w:r w:rsidRPr="002C4077">
        <w:t xml:space="preserve"> </w:t>
      </w:r>
      <w:r>
        <w:t>Justin</w:t>
      </w:r>
      <w:r w:rsidRPr="002C4077">
        <w:t xml:space="preserve"> </w:t>
      </w:r>
      <w:r>
        <w:t>et</w:t>
      </w:r>
      <w:r w:rsidRPr="002C4077">
        <w:t xml:space="preserve"> </w:t>
      </w:r>
      <w:r>
        <w:t>de</w:t>
      </w:r>
      <w:r w:rsidRPr="002C4077">
        <w:t xml:space="preserve"> </w:t>
      </w:r>
      <w:r>
        <w:t>saint</w:t>
      </w:r>
      <w:r w:rsidRPr="002C4077">
        <w:t xml:space="preserve"> </w:t>
      </w:r>
      <w:r>
        <w:t>Jérôme,</w:t>
      </w:r>
      <w:r w:rsidRPr="002C4077">
        <w:t xml:space="preserve"> </w:t>
      </w:r>
      <w:r>
        <w:t>par</w:t>
      </w:r>
      <w:r w:rsidRPr="002C4077">
        <w:t xml:space="preserve"> </w:t>
      </w:r>
      <w:r>
        <w:t>conséquent</w:t>
      </w:r>
      <w:r w:rsidRPr="002C4077">
        <w:t xml:space="preserve"> </w:t>
      </w:r>
      <w:r>
        <w:t>réfutées</w:t>
      </w:r>
      <w:r w:rsidRPr="002C4077">
        <w:t xml:space="preserve"> </w:t>
      </w:r>
      <w:r>
        <w:t>il</w:t>
      </w:r>
      <w:r w:rsidRPr="002C4077">
        <w:t xml:space="preserve"> </w:t>
      </w:r>
      <w:r>
        <w:t>y</w:t>
      </w:r>
      <w:r w:rsidRPr="002C4077">
        <w:t xml:space="preserve"> </w:t>
      </w:r>
      <w:r>
        <w:t>a</w:t>
      </w:r>
      <w:r w:rsidRPr="002C4077">
        <w:t xml:space="preserve"> </w:t>
      </w:r>
      <w:r>
        <w:t>1700</w:t>
      </w:r>
      <w:r w:rsidRPr="002C4077">
        <w:t xml:space="preserve"> </w:t>
      </w:r>
      <w:r>
        <w:t>ans,</w:t>
      </w:r>
      <w:r w:rsidRPr="002C4077">
        <w:t xml:space="preserve"> </w:t>
      </w:r>
      <w:r>
        <w:t>1500</w:t>
      </w:r>
      <w:r w:rsidRPr="002C4077">
        <w:t xml:space="preserve"> </w:t>
      </w:r>
      <w:r>
        <w:t>ans.</w:t>
      </w:r>
      <w:r w:rsidRPr="002C4077">
        <w:t xml:space="preserve"> </w:t>
      </w:r>
      <w:r>
        <w:t>Non,</w:t>
      </w:r>
      <w:r w:rsidRPr="002C4077">
        <w:t xml:space="preserve"> </w:t>
      </w:r>
      <w:r>
        <w:t>ils</w:t>
      </w:r>
      <w:r w:rsidRPr="002C4077">
        <w:t xml:space="preserve"> </w:t>
      </w:r>
      <w:r>
        <w:t>n’apportent</w:t>
      </w:r>
      <w:r w:rsidRPr="002C4077">
        <w:t xml:space="preserve"> </w:t>
      </w:r>
      <w:r>
        <w:t>rien</w:t>
      </w:r>
      <w:r w:rsidRPr="002C4077">
        <w:t xml:space="preserve"> </w:t>
      </w:r>
      <w:r>
        <w:t>de</w:t>
      </w:r>
      <w:r w:rsidRPr="002C4077">
        <w:t xml:space="preserve"> </w:t>
      </w:r>
      <w:r>
        <w:t>neuf,</w:t>
      </w:r>
      <w:r w:rsidRPr="002C4077">
        <w:t xml:space="preserve"> </w:t>
      </w:r>
      <w:r>
        <w:t>pas</w:t>
      </w:r>
      <w:r w:rsidRPr="002C4077">
        <w:t xml:space="preserve"> </w:t>
      </w:r>
      <w:r>
        <w:t>même</w:t>
      </w:r>
      <w:r w:rsidRPr="002C4077">
        <w:t xml:space="preserve"> </w:t>
      </w:r>
      <w:r>
        <w:t>sur</w:t>
      </w:r>
      <w:r w:rsidRPr="002C4077">
        <w:t xml:space="preserve"> </w:t>
      </w:r>
      <w:r>
        <w:t>le</w:t>
      </w:r>
      <w:r w:rsidRPr="002C4077">
        <w:t xml:space="preserve"> </w:t>
      </w:r>
      <w:r>
        <w:t>terrain</w:t>
      </w:r>
      <w:r w:rsidRPr="002C4077">
        <w:t xml:space="preserve"> </w:t>
      </w:r>
      <w:r>
        <w:t>de</w:t>
      </w:r>
      <w:r w:rsidRPr="002C4077">
        <w:t xml:space="preserve"> </w:t>
      </w:r>
      <w:r>
        <w:t>la</w:t>
      </w:r>
      <w:r w:rsidRPr="002C4077">
        <w:t xml:space="preserve"> </w:t>
      </w:r>
      <w:r>
        <w:t>philologie.</w:t>
      </w:r>
      <w:r w:rsidR="00C45B47">
        <w:t xml:space="preserve"> {</w:t>
      </w:r>
      <w:r w:rsidR="000721C4">
        <w:t>21</w:t>
      </w:r>
      <w:bookmarkStart w:id="85" w:name="p021"/>
      <w:bookmarkEnd w:id="85"/>
      <w:r w:rsidR="000721C4">
        <w:t xml:space="preserve">} </w:t>
      </w:r>
      <w:r>
        <w:t>2°</w:t>
      </w:r>
      <w:r w:rsidRPr="002C4077">
        <w:t xml:space="preserve"> </w:t>
      </w:r>
      <w:r>
        <w:t>Leurs</w:t>
      </w:r>
      <w:r w:rsidRPr="002C4077">
        <w:t xml:space="preserve"> </w:t>
      </w:r>
      <w:r>
        <w:t>efforts</w:t>
      </w:r>
      <w:r w:rsidRPr="002C4077">
        <w:t xml:space="preserve"> </w:t>
      </w:r>
      <w:r>
        <w:t>réitérés</w:t>
      </w:r>
      <w:bookmarkStart w:id="86" w:name="z_Almah_o8"/>
      <w:bookmarkEnd w:id="86"/>
      <w:r w:rsidRPr="002C4077">
        <w:t xml:space="preserve"> </w:t>
      </w:r>
      <w:r>
        <w:t>pour</w:t>
      </w:r>
      <w:r w:rsidRPr="002C4077">
        <w:t xml:space="preserve"> </w:t>
      </w:r>
      <w:r>
        <w:t>éloigner</w:t>
      </w:r>
      <w:r w:rsidRPr="002C4077">
        <w:t xml:space="preserve"> </w:t>
      </w:r>
      <w:r>
        <w:t>de</w:t>
      </w:r>
      <w:r w:rsidRPr="002C4077">
        <w:t xml:space="preserve"> </w:t>
      </w:r>
      <w:r>
        <w:t>l’horizon</w:t>
      </w:r>
      <w:r w:rsidRPr="002C4077">
        <w:t xml:space="preserve"> </w:t>
      </w:r>
      <w:r>
        <w:t>d’Isaïe</w:t>
      </w:r>
      <w:r w:rsidRPr="002C4077">
        <w:t xml:space="preserve"> </w:t>
      </w:r>
      <w:r w:rsidR="008B0C1F">
        <w:t>la</w:t>
      </w:r>
      <w:r w:rsidRPr="002C4077">
        <w:t xml:space="preserve"> </w:t>
      </w:r>
      <w:r>
        <w:t>Vierge</w:t>
      </w:r>
      <w:r w:rsidRPr="002C4077">
        <w:t xml:space="preserve"> </w:t>
      </w:r>
      <w:r>
        <w:t>Marie</w:t>
      </w:r>
      <w:r w:rsidRPr="002C4077">
        <w:t xml:space="preserve"> </w:t>
      </w:r>
      <w:r>
        <w:t>et</w:t>
      </w:r>
      <w:r w:rsidRPr="002C4077">
        <w:t xml:space="preserve"> </w:t>
      </w:r>
      <w:r w:rsidR="00425C50">
        <w:t>Jésus</w:t>
      </w:r>
      <w:r>
        <w:t>,</w:t>
      </w:r>
      <w:r w:rsidRPr="002C4077">
        <w:t xml:space="preserve"> </w:t>
      </w:r>
      <w:r>
        <w:t>son</w:t>
      </w:r>
      <w:r w:rsidRPr="002C4077">
        <w:t xml:space="preserve"> </w:t>
      </w:r>
      <w:r>
        <w:t>divin</w:t>
      </w:r>
      <w:r w:rsidRPr="002C4077">
        <w:t xml:space="preserve"> </w:t>
      </w:r>
      <w:r>
        <w:t>Fils,</w:t>
      </w:r>
      <w:r w:rsidRPr="002C4077">
        <w:t xml:space="preserve"> </w:t>
      </w:r>
      <w:r>
        <w:t>montrent</w:t>
      </w:r>
      <w:r w:rsidRPr="002C4077">
        <w:t xml:space="preserve"> </w:t>
      </w:r>
      <w:r>
        <w:t>à</w:t>
      </w:r>
      <w:r w:rsidRPr="002C4077">
        <w:t xml:space="preserve"> </w:t>
      </w:r>
      <w:r>
        <w:t>quel</w:t>
      </w:r>
      <w:r w:rsidRPr="002C4077">
        <w:t xml:space="preserve"> </w:t>
      </w:r>
      <w:r>
        <w:t>point</w:t>
      </w:r>
      <w:r w:rsidRPr="002C4077">
        <w:t xml:space="preserve"> </w:t>
      </w:r>
      <w:r>
        <w:t>ce</w:t>
      </w:r>
      <w:r w:rsidRPr="002C4077">
        <w:t xml:space="preserve"> </w:t>
      </w:r>
      <w:r>
        <w:t>passage</w:t>
      </w:r>
      <w:r w:rsidRPr="002C4077">
        <w:t xml:space="preserve"> </w:t>
      </w:r>
      <w:r>
        <w:t>a</w:t>
      </w:r>
      <w:r w:rsidRPr="002C4077">
        <w:t xml:space="preserve"> </w:t>
      </w:r>
      <w:r>
        <w:t>d’importance</w:t>
      </w:r>
      <w:bookmarkStart w:id="87" w:name="z_Almah_o5"/>
      <w:bookmarkEnd w:id="87"/>
      <w:r w:rsidRPr="002C4077">
        <w:t xml:space="preserve"> </w:t>
      </w:r>
      <w:r>
        <w:t>à</w:t>
      </w:r>
      <w:r w:rsidRPr="002C4077">
        <w:t xml:space="preserve"> </w:t>
      </w:r>
      <w:r>
        <w:t>leurs</w:t>
      </w:r>
      <w:r w:rsidRPr="002C4077">
        <w:t xml:space="preserve"> </w:t>
      </w:r>
      <w:r>
        <w:t>propres</w:t>
      </w:r>
      <w:r w:rsidRPr="002C4077">
        <w:t xml:space="preserve"> </w:t>
      </w:r>
      <w:r>
        <w:t>yeux.</w:t>
      </w:r>
      <w:r w:rsidRPr="002C4077">
        <w:t xml:space="preserve"> </w:t>
      </w:r>
      <w:r>
        <w:t>On</w:t>
      </w:r>
      <w:r w:rsidRPr="002C4077">
        <w:t xml:space="preserve"> </w:t>
      </w:r>
      <w:r>
        <w:t>ne</w:t>
      </w:r>
      <w:r w:rsidRPr="002C4077">
        <w:t xml:space="preserve"> </w:t>
      </w:r>
      <w:r>
        <w:t>fait</w:t>
      </w:r>
      <w:r w:rsidRPr="002C4077">
        <w:t xml:space="preserve"> </w:t>
      </w:r>
      <w:r>
        <w:t>pas</w:t>
      </w:r>
      <w:r w:rsidRPr="002C4077">
        <w:t xml:space="preserve"> </w:t>
      </w:r>
      <w:r>
        <w:t>tant</w:t>
      </w:r>
      <w:r w:rsidRPr="002C4077">
        <w:t xml:space="preserve"> </w:t>
      </w:r>
      <w:r>
        <w:t>de</w:t>
      </w:r>
      <w:r w:rsidRPr="002C4077">
        <w:t xml:space="preserve"> </w:t>
      </w:r>
      <w:r>
        <w:t>bruit</w:t>
      </w:r>
      <w:r w:rsidRPr="002C4077">
        <w:t xml:space="preserve"> </w:t>
      </w:r>
      <w:r>
        <w:t>autour</w:t>
      </w:r>
      <w:r w:rsidRPr="002C4077">
        <w:t xml:space="preserve"> </w:t>
      </w:r>
      <w:r>
        <w:t>d’une</w:t>
      </w:r>
      <w:r w:rsidRPr="002C4077">
        <w:t xml:space="preserve"> </w:t>
      </w:r>
      <w:r>
        <w:t>ligne</w:t>
      </w:r>
      <w:r w:rsidRPr="002C4077">
        <w:t xml:space="preserve"> </w:t>
      </w:r>
      <w:r>
        <w:t>que</w:t>
      </w:r>
      <w:r w:rsidRPr="002C4077">
        <w:t xml:space="preserve"> </w:t>
      </w:r>
      <w:r>
        <w:t>l’on</w:t>
      </w:r>
      <w:r w:rsidRPr="002C4077">
        <w:t xml:space="preserve"> </w:t>
      </w:r>
      <w:r>
        <w:t>croit</w:t>
      </w:r>
      <w:r w:rsidRPr="002C4077">
        <w:t xml:space="preserve"> </w:t>
      </w:r>
      <w:r>
        <w:t>sans</w:t>
      </w:r>
      <w:r w:rsidRPr="002C4077">
        <w:t xml:space="preserve"> </w:t>
      </w:r>
      <w:r>
        <w:t>intérêt</w:t>
      </w:r>
      <w:r w:rsidR="00B91AF7">
        <w:rPr>
          <w:rStyle w:val="Appelnotedebasdep"/>
        </w:rPr>
        <w:footnoteReference w:id="61"/>
      </w:r>
      <w:r>
        <w:t>.</w:t>
      </w:r>
      <w:r w:rsidRPr="002C4077">
        <w:t xml:space="preserve"> </w:t>
      </w:r>
      <w:r>
        <w:t>De</w:t>
      </w:r>
      <w:r w:rsidRPr="002C4077">
        <w:t xml:space="preserve"> </w:t>
      </w:r>
      <w:r>
        <w:t>leur</w:t>
      </w:r>
      <w:r w:rsidRPr="002C4077">
        <w:t xml:space="preserve"> </w:t>
      </w:r>
      <w:r>
        <w:t>côté,</w:t>
      </w:r>
      <w:r w:rsidRPr="002C4077">
        <w:t xml:space="preserve"> </w:t>
      </w:r>
      <w:r>
        <w:t>les</w:t>
      </w:r>
      <w:r w:rsidRPr="002C4077">
        <w:t xml:space="preserve"> </w:t>
      </w:r>
      <w:r>
        <w:t>ex</w:t>
      </w:r>
      <w:r w:rsidR="001730C6">
        <w:t>ég</w:t>
      </w:r>
      <w:r>
        <w:t>ètes</w:t>
      </w:r>
      <w:r w:rsidRPr="002C4077">
        <w:t xml:space="preserve"> </w:t>
      </w:r>
      <w:r>
        <w:t>croyants</w:t>
      </w:r>
      <w:r w:rsidRPr="002C4077">
        <w:t xml:space="preserve"> </w:t>
      </w:r>
      <w:r>
        <w:t>ont</w:t>
      </w:r>
      <w:r w:rsidRPr="002C4077">
        <w:t xml:space="preserve"> </w:t>
      </w:r>
      <w:r>
        <w:t>vaillamment</w:t>
      </w:r>
      <w:r w:rsidRPr="002C4077">
        <w:t xml:space="preserve"> </w:t>
      </w:r>
      <w:r>
        <w:t>riposté,</w:t>
      </w:r>
      <w:r w:rsidRPr="002C4077">
        <w:t xml:space="preserve"> </w:t>
      </w:r>
      <w:r>
        <w:t>de</w:t>
      </w:r>
      <w:r w:rsidRPr="002C4077">
        <w:t xml:space="preserve"> </w:t>
      </w:r>
      <w:r>
        <w:t>sorte</w:t>
      </w:r>
      <w:r w:rsidRPr="002C4077">
        <w:t xml:space="preserve"> </w:t>
      </w:r>
      <w:r>
        <w:t>qu’il</w:t>
      </w:r>
      <w:r w:rsidRPr="002C4077">
        <w:t xml:space="preserve"> </w:t>
      </w:r>
      <w:r>
        <w:t>s’est</w:t>
      </w:r>
      <w:r w:rsidRPr="002C4077">
        <w:t xml:space="preserve"> </w:t>
      </w:r>
      <w:r>
        <w:t>formé</w:t>
      </w:r>
      <w:r w:rsidRPr="002C4077">
        <w:t xml:space="preserve"> </w:t>
      </w:r>
      <w:r>
        <w:t>autour</w:t>
      </w:r>
      <w:r w:rsidRPr="002C4077">
        <w:t xml:space="preserve"> </w:t>
      </w:r>
      <w:r>
        <w:t>de</w:t>
      </w:r>
      <w:r w:rsidRPr="002C4077">
        <w:t xml:space="preserve"> </w:t>
      </w:r>
      <w:r>
        <w:t>cette</w:t>
      </w:r>
      <w:r w:rsidRPr="002C4077">
        <w:t xml:space="preserve"> </w:t>
      </w:r>
      <w:r>
        <w:t>prophétie</w:t>
      </w:r>
      <w:r w:rsidRPr="002C4077">
        <w:t xml:space="preserve"> </w:t>
      </w:r>
      <w:r>
        <w:t>une</w:t>
      </w:r>
      <w:r w:rsidRPr="002C4077">
        <w:t xml:space="preserve"> </w:t>
      </w:r>
      <w:r>
        <w:t>littérature</w:t>
      </w:r>
      <w:r w:rsidRPr="002C4077">
        <w:t xml:space="preserve"> </w:t>
      </w:r>
      <w:r>
        <w:t>chrétienne</w:t>
      </w:r>
      <w:r w:rsidRPr="002C4077">
        <w:t xml:space="preserve"> </w:t>
      </w:r>
      <w:r>
        <w:t>savante</w:t>
      </w:r>
      <w:r w:rsidRPr="002C4077">
        <w:t xml:space="preserve"> </w:t>
      </w:r>
      <w:r>
        <w:t>et</w:t>
      </w:r>
      <w:r w:rsidRPr="002C4077">
        <w:t xml:space="preserve"> </w:t>
      </w:r>
      <w:r>
        <w:t>ric</w:t>
      </w:r>
      <w:r w:rsidR="00F6492C">
        <w:t>he</w:t>
      </w:r>
      <w:r w:rsidR="00F6492C">
        <w:rPr>
          <w:rStyle w:val="Appelnotedebasdep"/>
        </w:rPr>
        <w:footnoteReference w:id="62"/>
      </w:r>
      <w:r w:rsidR="00F6492C">
        <w:t>,</w:t>
      </w:r>
      <w:r w:rsidRPr="002C4077">
        <w:t xml:space="preserve"> </w:t>
      </w:r>
      <w:r>
        <w:t>dont</w:t>
      </w:r>
      <w:r w:rsidRPr="002C4077">
        <w:t xml:space="preserve"> </w:t>
      </w:r>
      <w:r>
        <w:t>nous</w:t>
      </w:r>
      <w:r w:rsidRPr="002C4077">
        <w:t xml:space="preserve"> </w:t>
      </w:r>
      <w:r>
        <w:t>essaierons</w:t>
      </w:r>
      <w:r w:rsidRPr="002C4077">
        <w:t xml:space="preserve"> </w:t>
      </w:r>
      <w:r>
        <w:t>de</w:t>
      </w:r>
      <w:r w:rsidRPr="002C4077">
        <w:t xml:space="preserve"> </w:t>
      </w:r>
      <w:r>
        <w:t>donner</w:t>
      </w:r>
      <w:r w:rsidRPr="002C4077">
        <w:t xml:space="preserve"> </w:t>
      </w:r>
      <w:r>
        <w:t>ici</w:t>
      </w:r>
      <w:bookmarkStart w:id="89" w:name="z_RationalistesFaiblesse_o2"/>
      <w:bookmarkEnd w:id="89"/>
      <w:r w:rsidRPr="002C4077">
        <w:t xml:space="preserve"> </w:t>
      </w:r>
      <w:r>
        <w:t>la</w:t>
      </w:r>
      <w:bookmarkStart w:id="90" w:name="z_RationalistesAlma_o6"/>
      <w:bookmarkEnd w:id="90"/>
      <w:r w:rsidRPr="002C4077">
        <w:t xml:space="preserve"> </w:t>
      </w:r>
      <w:r>
        <w:t>quintessence.</w:t>
      </w:r>
      <w:r w:rsidRPr="002C4077">
        <w:t xml:space="preserve"> </w:t>
      </w:r>
    </w:p>
    <w:p w:rsidR="000A7AAB" w:rsidRDefault="000A7AAB" w:rsidP="000A7AAB">
      <w:r>
        <w:lastRenderedPageBreak/>
        <w:t>Est-il</w:t>
      </w:r>
      <w:r w:rsidRPr="002C4077">
        <w:t xml:space="preserve"> </w:t>
      </w:r>
      <w:r>
        <w:t>vrai,</w:t>
      </w:r>
      <w:r w:rsidRPr="002C4077">
        <w:t xml:space="preserve"> </w:t>
      </w:r>
      <w:r>
        <w:t>ainsi</w:t>
      </w:r>
      <w:r w:rsidRPr="002C4077">
        <w:t xml:space="preserve"> </w:t>
      </w:r>
      <w:r>
        <w:t>qu’on</w:t>
      </w:r>
      <w:r w:rsidRPr="002C4077">
        <w:t xml:space="preserve"> </w:t>
      </w:r>
      <w:r>
        <w:t>l’imprimait</w:t>
      </w:r>
      <w:r w:rsidRPr="002C4077">
        <w:t xml:space="preserve"> </w:t>
      </w:r>
      <w:r w:rsidR="004C15DD">
        <w:t>naguère</w:t>
      </w:r>
      <w:r w:rsidR="004C15DD">
        <w:rPr>
          <w:rStyle w:val="Appelnotedebasdep"/>
        </w:rPr>
        <w:footnoteReference w:id="63"/>
      </w:r>
      <w:r>
        <w:t>,</w:t>
      </w:r>
      <w:r w:rsidRPr="002C4077">
        <w:t xml:space="preserve"> </w:t>
      </w:r>
      <w:r>
        <w:t>que</w:t>
      </w:r>
      <w:r w:rsidRPr="002C4077">
        <w:t xml:space="preserve"> </w:t>
      </w:r>
      <w:r>
        <w:t>les</w:t>
      </w:r>
      <w:r w:rsidRPr="002C4077">
        <w:t xml:space="preserve"> </w:t>
      </w:r>
      <w:r>
        <w:t>versets</w:t>
      </w:r>
      <w:r w:rsidRPr="002C4077">
        <w:t xml:space="preserve"> </w:t>
      </w:r>
      <w:r>
        <w:t>14-17</w:t>
      </w:r>
      <w:r w:rsidRPr="002C4077">
        <w:t xml:space="preserve"> </w:t>
      </w:r>
      <w:r>
        <w:t>du</w:t>
      </w:r>
      <w:r w:rsidRPr="002C4077">
        <w:t xml:space="preserve"> </w:t>
      </w:r>
      <w:r>
        <w:t>chapitre</w:t>
      </w:r>
      <w:r w:rsidRPr="002C4077">
        <w:t xml:space="preserve"> </w:t>
      </w:r>
      <w:r>
        <w:t>V</w:t>
      </w:r>
      <w:r w:rsidR="007B3C26">
        <w:t>II</w:t>
      </w:r>
      <w:r w:rsidR="007B3C26" w:rsidRPr="007B3C26">
        <w:rPr>
          <w:vertAlign w:val="superscript"/>
        </w:rPr>
        <w:t>e</w:t>
      </w:r>
      <w:r w:rsidRPr="002C4077">
        <w:t xml:space="preserve"> </w:t>
      </w:r>
      <w:r>
        <w:t>d’Isaïe</w:t>
      </w:r>
      <w:r w:rsidRPr="002C4077">
        <w:t xml:space="preserve"> </w:t>
      </w:r>
      <w:r w:rsidR="00B546AF">
        <w:t>« </w:t>
      </w:r>
      <w:r>
        <w:t>sont</w:t>
      </w:r>
      <w:r w:rsidRPr="002C4077">
        <w:t xml:space="preserve"> </w:t>
      </w:r>
      <w:r>
        <w:t>hérissés</w:t>
      </w:r>
      <w:r w:rsidRPr="002C4077">
        <w:t xml:space="preserve"> </w:t>
      </w:r>
      <w:r>
        <w:t>de</w:t>
      </w:r>
      <w:r w:rsidRPr="002C4077">
        <w:t xml:space="preserve"> </w:t>
      </w:r>
      <w:r>
        <w:t>difficultés</w:t>
      </w:r>
      <w:r w:rsidRPr="002C4077">
        <w:t xml:space="preserve"> </w:t>
      </w:r>
      <w:r>
        <w:t>de</w:t>
      </w:r>
      <w:r w:rsidRPr="002C4077">
        <w:t xml:space="preserve"> </w:t>
      </w:r>
      <w:r>
        <w:t>toute</w:t>
      </w:r>
      <w:r w:rsidRPr="002C4077">
        <w:t xml:space="preserve"> </w:t>
      </w:r>
      <w:r>
        <w:t>nature</w:t>
      </w:r>
      <w:r w:rsidR="00B546AF">
        <w:t> ? »</w:t>
      </w:r>
      <w:r w:rsidRPr="002C4077">
        <w:t xml:space="preserve"> </w:t>
      </w:r>
      <w:r>
        <w:t>Nous</w:t>
      </w:r>
      <w:r w:rsidRPr="002C4077">
        <w:t xml:space="preserve"> </w:t>
      </w:r>
      <w:r>
        <w:t>ne</w:t>
      </w:r>
      <w:r w:rsidRPr="002C4077">
        <w:t xml:space="preserve"> </w:t>
      </w:r>
      <w:r>
        <w:t>le</w:t>
      </w:r>
      <w:r w:rsidRPr="002C4077">
        <w:t xml:space="preserve"> </w:t>
      </w:r>
      <w:r>
        <w:t>saurions</w:t>
      </w:r>
      <w:r w:rsidRPr="002C4077">
        <w:t xml:space="preserve"> </w:t>
      </w:r>
      <w:r>
        <w:t>penser.</w:t>
      </w:r>
      <w:r w:rsidRPr="002C4077">
        <w:t xml:space="preserve"> </w:t>
      </w:r>
      <w:r>
        <w:t>L’oracle</w:t>
      </w:r>
      <w:r w:rsidRPr="002C4077">
        <w:t xml:space="preserve"> </w:t>
      </w:r>
      <w:r w:rsidR="00425C50">
        <w:t>est</w:t>
      </w:r>
      <w:r w:rsidRPr="002C4077">
        <w:t xml:space="preserve"> </w:t>
      </w:r>
      <w:r>
        <w:t>net</w:t>
      </w:r>
      <w:r w:rsidRPr="002C4077">
        <w:t xml:space="preserve"> </w:t>
      </w:r>
      <w:r>
        <w:t>en</w:t>
      </w:r>
      <w:r w:rsidRPr="002C4077">
        <w:t xml:space="preserve"> </w:t>
      </w:r>
      <w:r>
        <w:t>lui-même</w:t>
      </w:r>
      <w:r w:rsidR="00B546AF">
        <w:t> ;</w:t>
      </w:r>
      <w:r w:rsidRPr="002C4077">
        <w:t xml:space="preserve"> </w:t>
      </w:r>
      <w:r>
        <w:t>c’est</w:t>
      </w:r>
      <w:r w:rsidRPr="002C4077">
        <w:t xml:space="preserve"> </w:t>
      </w:r>
      <w:r>
        <w:t>l’incrédulité</w:t>
      </w:r>
      <w:r w:rsidRPr="002C4077">
        <w:t xml:space="preserve"> </w:t>
      </w:r>
      <w:r>
        <w:t>qui</w:t>
      </w:r>
      <w:r w:rsidRPr="002C4077">
        <w:t xml:space="preserve"> </w:t>
      </w:r>
      <w:r>
        <w:t>a</w:t>
      </w:r>
      <w:r w:rsidRPr="002C4077">
        <w:t xml:space="preserve"> </w:t>
      </w:r>
      <w:r>
        <w:t>amoncelé</w:t>
      </w:r>
      <w:r w:rsidRPr="002C4077">
        <w:t xml:space="preserve"> </w:t>
      </w:r>
      <w:r>
        <w:t>des</w:t>
      </w:r>
      <w:r w:rsidRPr="002C4077">
        <w:t xml:space="preserve"> </w:t>
      </w:r>
      <w:r>
        <w:t>nuages</w:t>
      </w:r>
      <w:r w:rsidRPr="002C4077">
        <w:t xml:space="preserve"> </w:t>
      </w:r>
      <w:r>
        <w:t>autour</w:t>
      </w:r>
      <w:r w:rsidRPr="002C4077">
        <w:t xml:space="preserve"> </w:t>
      </w:r>
      <w:r>
        <w:t>de</w:t>
      </w:r>
      <w:r w:rsidRPr="002C4077">
        <w:t xml:space="preserve"> </w:t>
      </w:r>
      <w:r>
        <w:t>lui.</w:t>
      </w:r>
      <w:r w:rsidRPr="002C4077">
        <w:t xml:space="preserve"> </w:t>
      </w:r>
      <w:r>
        <w:t>Je</w:t>
      </w:r>
      <w:r w:rsidRPr="002C4077">
        <w:t xml:space="preserve"> </w:t>
      </w:r>
      <w:r>
        <w:t>suis,</w:t>
      </w:r>
      <w:r w:rsidRPr="002C4077">
        <w:t xml:space="preserve"> </w:t>
      </w:r>
      <w:r>
        <w:t>par</w:t>
      </w:r>
      <w:r w:rsidRPr="002C4077">
        <w:t xml:space="preserve"> </w:t>
      </w:r>
      <w:r>
        <w:t>une</w:t>
      </w:r>
      <w:r w:rsidRPr="002C4077">
        <w:t xml:space="preserve"> </w:t>
      </w:r>
      <w:r>
        <w:t>belle</w:t>
      </w:r>
      <w:r w:rsidRPr="002C4077">
        <w:t xml:space="preserve"> </w:t>
      </w:r>
      <w:r>
        <w:t>journée</w:t>
      </w:r>
      <w:r w:rsidRPr="002C4077">
        <w:t xml:space="preserve"> </w:t>
      </w:r>
      <w:r>
        <w:t>de</w:t>
      </w:r>
      <w:r w:rsidRPr="002C4077">
        <w:t xml:space="preserve"> </w:t>
      </w:r>
      <w:r>
        <w:t>printemps,</w:t>
      </w:r>
      <w:r w:rsidRPr="002C4077">
        <w:t xml:space="preserve"> </w:t>
      </w:r>
      <w:r>
        <w:t>dans</w:t>
      </w:r>
      <w:r w:rsidRPr="002C4077">
        <w:t xml:space="preserve"> </w:t>
      </w:r>
      <w:r>
        <w:t>un</w:t>
      </w:r>
      <w:r w:rsidR="004377BC">
        <w:t>e</w:t>
      </w:r>
      <w:r w:rsidRPr="002C4077">
        <w:t xml:space="preserve"> </w:t>
      </w:r>
      <w:r>
        <w:t>vaste</w:t>
      </w:r>
      <w:r w:rsidRPr="002C4077">
        <w:t xml:space="preserve"> </w:t>
      </w:r>
      <w:r>
        <w:t>steppe</w:t>
      </w:r>
      <w:r w:rsidRPr="002C4077">
        <w:t xml:space="preserve"> </w:t>
      </w:r>
      <w:r>
        <w:t>américain,</w:t>
      </w:r>
      <w:r w:rsidRPr="002C4077">
        <w:t xml:space="preserve"> </w:t>
      </w:r>
      <w:r>
        <w:t>et</w:t>
      </w:r>
      <w:r w:rsidRPr="002C4077">
        <w:t xml:space="preserve"> </w:t>
      </w:r>
      <w:r>
        <w:t>je</w:t>
      </w:r>
      <w:r w:rsidRPr="002C4077">
        <w:t xml:space="preserve"> </w:t>
      </w:r>
      <w:r>
        <w:t>jouis</w:t>
      </w:r>
      <w:r w:rsidRPr="002C4077">
        <w:t xml:space="preserve"> </w:t>
      </w:r>
      <w:r>
        <w:t>du</w:t>
      </w:r>
      <w:r w:rsidRPr="002C4077">
        <w:t xml:space="preserve"> </w:t>
      </w:r>
      <w:r>
        <w:t>ciel</w:t>
      </w:r>
      <w:r w:rsidRPr="002C4077">
        <w:t xml:space="preserve"> </w:t>
      </w:r>
      <w:r>
        <w:t>le</w:t>
      </w:r>
      <w:r w:rsidRPr="002C4077">
        <w:t xml:space="preserve"> </w:t>
      </w:r>
      <w:r>
        <w:t>plus</w:t>
      </w:r>
      <w:r w:rsidRPr="002C4077">
        <w:t xml:space="preserve"> </w:t>
      </w:r>
      <w:r>
        <w:t>pur</w:t>
      </w:r>
      <w:r w:rsidR="00B546AF">
        <w:t> ;</w:t>
      </w:r>
      <w:r w:rsidR="00C45B47">
        <w:t xml:space="preserve"> {</w:t>
      </w:r>
      <w:r w:rsidR="000721C4">
        <w:t>22</w:t>
      </w:r>
      <w:bookmarkStart w:id="91" w:name="p022"/>
      <w:bookmarkEnd w:id="91"/>
      <w:r w:rsidR="000721C4">
        <w:t xml:space="preserve">} </w:t>
      </w:r>
      <w:r>
        <w:t>mais</w:t>
      </w:r>
      <w:r w:rsidRPr="002C4077">
        <w:t xml:space="preserve"> </w:t>
      </w:r>
      <w:r>
        <w:t>un</w:t>
      </w:r>
      <w:r w:rsidRPr="002C4077">
        <w:t xml:space="preserve"> </w:t>
      </w:r>
      <w:r>
        <w:t>troupeau</w:t>
      </w:r>
      <w:r w:rsidRPr="002C4077">
        <w:t xml:space="preserve"> </w:t>
      </w:r>
      <w:r>
        <w:t>sauvage</w:t>
      </w:r>
      <w:r w:rsidRPr="002C4077">
        <w:t xml:space="preserve"> </w:t>
      </w:r>
      <w:r>
        <w:t>accourt</w:t>
      </w:r>
      <w:r w:rsidRPr="002C4077">
        <w:t xml:space="preserve"> </w:t>
      </w:r>
      <w:r>
        <w:t>et</w:t>
      </w:r>
      <w:r w:rsidRPr="002C4077">
        <w:t xml:space="preserve"> </w:t>
      </w:r>
      <w:r>
        <w:t>soulève</w:t>
      </w:r>
      <w:r w:rsidRPr="002C4077">
        <w:t xml:space="preserve"> </w:t>
      </w:r>
      <w:r>
        <w:t>des</w:t>
      </w:r>
      <w:r w:rsidRPr="002C4077">
        <w:t xml:space="preserve"> </w:t>
      </w:r>
      <w:r>
        <w:t>flots</w:t>
      </w:r>
      <w:r w:rsidRPr="002C4077">
        <w:t xml:space="preserve"> </w:t>
      </w:r>
      <w:r>
        <w:t>de</w:t>
      </w:r>
      <w:r w:rsidRPr="002C4077">
        <w:t xml:space="preserve"> </w:t>
      </w:r>
      <w:r>
        <w:t>poussière</w:t>
      </w:r>
      <w:r w:rsidRPr="002C4077">
        <w:t xml:space="preserve"> </w:t>
      </w:r>
      <w:r>
        <w:t>qui</w:t>
      </w:r>
      <w:r w:rsidRPr="002C4077">
        <w:t xml:space="preserve"> </w:t>
      </w:r>
      <w:r>
        <w:t>me</w:t>
      </w:r>
      <w:r w:rsidRPr="002C4077">
        <w:t xml:space="preserve"> </w:t>
      </w:r>
      <w:r>
        <w:t>cachent</w:t>
      </w:r>
      <w:r w:rsidRPr="002C4077">
        <w:t xml:space="preserve"> </w:t>
      </w:r>
      <w:r>
        <w:t>momentanément</w:t>
      </w:r>
      <w:r w:rsidRPr="002C4077">
        <w:t xml:space="preserve"> </w:t>
      </w:r>
      <w:r>
        <w:t>les</w:t>
      </w:r>
      <w:r w:rsidRPr="002C4077">
        <w:t xml:space="preserve"> </w:t>
      </w:r>
      <w:r>
        <w:t>rayons</w:t>
      </w:r>
      <w:r w:rsidRPr="002C4077">
        <w:t xml:space="preserve"> </w:t>
      </w:r>
      <w:r>
        <w:t>du</w:t>
      </w:r>
      <w:r w:rsidRPr="002C4077">
        <w:t xml:space="preserve"> </w:t>
      </w:r>
      <w:r>
        <w:t>soleil</w:t>
      </w:r>
      <w:r w:rsidR="00B546AF">
        <w:t> :</w:t>
      </w:r>
      <w:r w:rsidRPr="002C4077">
        <w:t xml:space="preserve"> </w:t>
      </w:r>
      <w:r>
        <w:t>à</w:t>
      </w:r>
      <w:r w:rsidRPr="002C4077">
        <w:t xml:space="preserve"> </w:t>
      </w:r>
      <w:r>
        <w:t>qui</w:t>
      </w:r>
      <w:r w:rsidRPr="002C4077">
        <w:t xml:space="preserve"> </w:t>
      </w:r>
      <w:r>
        <w:t>la</w:t>
      </w:r>
      <w:r w:rsidRPr="002C4077">
        <w:t xml:space="preserve"> </w:t>
      </w:r>
      <w:r>
        <w:t>faute</w:t>
      </w:r>
      <w:r w:rsidR="00B546AF">
        <w:t> ?</w:t>
      </w:r>
      <w:r w:rsidRPr="002C4077">
        <w:t xml:space="preserve"> </w:t>
      </w:r>
      <w:r w:rsidR="00B546AF">
        <w:t>« </w:t>
      </w:r>
      <w:r>
        <w:t>La</w:t>
      </w:r>
      <w:r w:rsidRPr="002C4077">
        <w:t xml:space="preserve"> </w:t>
      </w:r>
      <w:r>
        <w:t>belle</w:t>
      </w:r>
      <w:r w:rsidRPr="002C4077">
        <w:t xml:space="preserve"> </w:t>
      </w:r>
      <w:r>
        <w:t>économie</w:t>
      </w:r>
      <w:r w:rsidRPr="002C4077">
        <w:t xml:space="preserve"> </w:t>
      </w:r>
      <w:r>
        <w:t>de</w:t>
      </w:r>
      <w:r w:rsidRPr="002C4077">
        <w:t xml:space="preserve"> </w:t>
      </w:r>
      <w:r>
        <w:t>cette</w:t>
      </w:r>
      <w:r w:rsidRPr="002C4077">
        <w:t xml:space="preserve"> </w:t>
      </w:r>
      <w:r>
        <w:t>prophétie</w:t>
      </w:r>
      <w:r w:rsidRPr="002C4077">
        <w:t xml:space="preserve"> </w:t>
      </w:r>
      <w:r>
        <w:t>ne</w:t>
      </w:r>
      <w:r w:rsidRPr="002C4077">
        <w:t xml:space="preserve"> </w:t>
      </w:r>
      <w:r>
        <w:t>laisse</w:t>
      </w:r>
      <w:r w:rsidRPr="002C4077">
        <w:t xml:space="preserve"> </w:t>
      </w:r>
      <w:r>
        <w:t>rien</w:t>
      </w:r>
      <w:r w:rsidRPr="002C4077">
        <w:t xml:space="preserve"> </w:t>
      </w:r>
      <w:r>
        <w:t>à</w:t>
      </w:r>
      <w:r w:rsidRPr="002C4077">
        <w:t xml:space="preserve"> </w:t>
      </w:r>
      <w:r>
        <w:t>désirer</w:t>
      </w:r>
      <w:r w:rsidRPr="002C4077">
        <w:t xml:space="preserve"> </w:t>
      </w:r>
      <w:r>
        <w:t>sous</w:t>
      </w:r>
      <w:r w:rsidRPr="002C4077">
        <w:t xml:space="preserve"> </w:t>
      </w:r>
      <w:r>
        <w:t>le</w:t>
      </w:r>
      <w:r w:rsidRPr="002C4077">
        <w:t xml:space="preserve"> </w:t>
      </w:r>
      <w:r>
        <w:t>rapport</w:t>
      </w:r>
      <w:r w:rsidRPr="002C4077">
        <w:t xml:space="preserve"> </w:t>
      </w:r>
      <w:r>
        <w:t>de</w:t>
      </w:r>
      <w:r w:rsidRPr="002C4077">
        <w:t xml:space="preserve"> </w:t>
      </w:r>
      <w:r>
        <w:t>la</w:t>
      </w:r>
      <w:r w:rsidRPr="002C4077">
        <w:t xml:space="preserve"> </w:t>
      </w:r>
      <w:r>
        <w:t>clarté</w:t>
      </w:r>
      <w:r w:rsidRPr="002C4077">
        <w:t xml:space="preserve"> </w:t>
      </w:r>
      <w:r>
        <w:t>et</w:t>
      </w:r>
      <w:r w:rsidRPr="002C4077">
        <w:t xml:space="preserve"> </w:t>
      </w:r>
      <w:r>
        <w:t>de</w:t>
      </w:r>
      <w:r w:rsidRPr="002C4077">
        <w:t xml:space="preserve"> </w:t>
      </w:r>
      <w:r>
        <w:t>la</w:t>
      </w:r>
      <w:r w:rsidRPr="002C4077">
        <w:t xml:space="preserve"> </w:t>
      </w:r>
      <w:r>
        <w:t>simplicité,</w:t>
      </w:r>
      <w:r w:rsidRPr="002C4077">
        <w:t xml:space="preserve"> </w:t>
      </w:r>
      <w:r>
        <w:t>lorsqu’on</w:t>
      </w:r>
      <w:r w:rsidRPr="002C4077">
        <w:t xml:space="preserve"> </w:t>
      </w:r>
      <w:r>
        <w:t>n’y</w:t>
      </w:r>
      <w:r w:rsidRPr="002C4077">
        <w:t xml:space="preserve"> </w:t>
      </w:r>
      <w:r>
        <w:t>cherche</w:t>
      </w:r>
      <w:r w:rsidRPr="002C4077">
        <w:t xml:space="preserve"> </w:t>
      </w:r>
      <w:r>
        <w:t>que</w:t>
      </w:r>
      <w:r w:rsidRPr="002C4077">
        <w:t xml:space="preserve"> </w:t>
      </w:r>
      <w:r>
        <w:t>la</w:t>
      </w:r>
      <w:r w:rsidRPr="002C4077">
        <w:t xml:space="preserve"> </w:t>
      </w:r>
      <w:r>
        <w:t>vérité</w:t>
      </w:r>
      <w:r w:rsidR="00B546AF">
        <w:t> »</w:t>
      </w:r>
      <w:r>
        <w:t>.</w:t>
      </w:r>
      <w:r w:rsidRPr="002C4077">
        <w:t xml:space="preserve"> </w:t>
      </w:r>
      <w:r>
        <w:t>Ainsi</w:t>
      </w:r>
      <w:r w:rsidRPr="002C4077">
        <w:t xml:space="preserve"> </w:t>
      </w:r>
      <w:r>
        <w:t>jugeait</w:t>
      </w:r>
      <w:r w:rsidRPr="002C4077">
        <w:t xml:space="preserve"> </w:t>
      </w:r>
      <w:r>
        <w:t>le</w:t>
      </w:r>
      <w:r w:rsidRPr="002C4077">
        <w:t xml:space="preserve"> </w:t>
      </w:r>
      <w:r>
        <w:t>célèbre</w:t>
      </w:r>
      <w:r w:rsidRPr="002C4077">
        <w:t xml:space="preserve"> </w:t>
      </w:r>
      <w:r>
        <w:t>rabbin</w:t>
      </w:r>
      <w:r w:rsidRPr="002C4077">
        <w:t xml:space="preserve"> </w:t>
      </w:r>
      <w:r>
        <w:t>converti,</w:t>
      </w:r>
      <w:r w:rsidRPr="002C4077">
        <w:t xml:space="preserve"> </w:t>
      </w:r>
      <w:r>
        <w:t>M.</w:t>
      </w:r>
      <w:r w:rsidRPr="002C4077">
        <w:t xml:space="preserve"> </w:t>
      </w:r>
      <w:r>
        <w:t>Drach,</w:t>
      </w:r>
      <w:r w:rsidRPr="002C4077">
        <w:t xml:space="preserve"> </w:t>
      </w:r>
      <w:r>
        <w:t>et</w:t>
      </w:r>
      <w:r w:rsidRPr="002C4077">
        <w:t xml:space="preserve"> </w:t>
      </w:r>
      <w:r>
        <w:t>l’on</w:t>
      </w:r>
      <w:r w:rsidRPr="002C4077">
        <w:t xml:space="preserve"> </w:t>
      </w:r>
      <w:r>
        <w:t>conviendra</w:t>
      </w:r>
      <w:r w:rsidRPr="002C4077">
        <w:t xml:space="preserve"> </w:t>
      </w:r>
      <w:r>
        <w:t>qu’il</w:t>
      </w:r>
      <w:r w:rsidRPr="002C4077">
        <w:t xml:space="preserve"> </w:t>
      </w:r>
      <w:r>
        <w:t>s’y</w:t>
      </w:r>
      <w:r w:rsidRPr="002C4077">
        <w:t xml:space="preserve"> </w:t>
      </w:r>
      <w:r>
        <w:t>connaissait</w:t>
      </w:r>
      <w:r w:rsidR="00B91AF7">
        <w:rPr>
          <w:rStyle w:val="Appelnotedebasdep"/>
        </w:rPr>
        <w:footnoteReference w:id="64"/>
      </w:r>
      <w:r>
        <w:t>.</w:t>
      </w:r>
      <w:r w:rsidRPr="002C4077">
        <w:t xml:space="preserve"> </w:t>
      </w:r>
    </w:p>
    <w:p w:rsidR="000A7AAB" w:rsidRDefault="000A7AAB" w:rsidP="000A7AAB">
      <w:r>
        <w:t>Voici</w:t>
      </w:r>
      <w:r w:rsidRPr="002C4077">
        <w:t xml:space="preserve"> </w:t>
      </w:r>
      <w:r>
        <w:t>notre</w:t>
      </w:r>
      <w:r w:rsidRPr="002C4077">
        <w:t xml:space="preserve"> </w:t>
      </w:r>
      <w:r>
        <w:t>plan,</w:t>
      </w:r>
      <w:r w:rsidRPr="002C4077">
        <w:t xml:space="preserve"> </w:t>
      </w:r>
      <w:r>
        <w:t>dont</w:t>
      </w:r>
      <w:r w:rsidRPr="002C4077">
        <w:t xml:space="preserve"> </w:t>
      </w:r>
      <w:r>
        <w:t>nous</w:t>
      </w:r>
      <w:r w:rsidRPr="002C4077">
        <w:t xml:space="preserve"> </w:t>
      </w:r>
      <w:r>
        <w:t>tâcherons</w:t>
      </w:r>
      <w:r w:rsidRPr="002C4077">
        <w:t xml:space="preserve"> </w:t>
      </w:r>
      <w:r>
        <w:t>de</w:t>
      </w:r>
      <w:r w:rsidRPr="002C4077">
        <w:t xml:space="preserve"> </w:t>
      </w:r>
      <w:r>
        <w:t>rendre</w:t>
      </w:r>
      <w:r w:rsidRPr="002C4077">
        <w:t xml:space="preserve"> </w:t>
      </w:r>
      <w:r>
        <w:t>les</w:t>
      </w:r>
      <w:r w:rsidRPr="002C4077">
        <w:t xml:space="preserve"> </w:t>
      </w:r>
      <w:r>
        <w:t>détails</w:t>
      </w:r>
      <w:r w:rsidRPr="002C4077">
        <w:t xml:space="preserve"> </w:t>
      </w:r>
      <w:r>
        <w:t>très</w:t>
      </w:r>
      <w:r w:rsidRPr="002C4077">
        <w:t xml:space="preserve"> </w:t>
      </w:r>
      <w:r>
        <w:t>lucides.</w:t>
      </w:r>
      <w:r w:rsidRPr="002C4077">
        <w:t xml:space="preserve"> </w:t>
      </w:r>
    </w:p>
    <w:p w:rsidR="000A7AAB" w:rsidRPr="000721C4" w:rsidRDefault="000A7AAB" w:rsidP="000A7AAB">
      <w:r>
        <w:t>Nous</w:t>
      </w:r>
      <w:r w:rsidRPr="002C4077">
        <w:t xml:space="preserve"> </w:t>
      </w:r>
      <w:r>
        <w:t>répondrons</w:t>
      </w:r>
      <w:r w:rsidRPr="002C4077">
        <w:t xml:space="preserve"> </w:t>
      </w:r>
      <w:r>
        <w:t>d’abord</w:t>
      </w:r>
      <w:r w:rsidRPr="002C4077">
        <w:t xml:space="preserve"> </w:t>
      </w:r>
      <w:r>
        <w:t>brièvement</w:t>
      </w:r>
      <w:r w:rsidRPr="002C4077">
        <w:t xml:space="preserve"> </w:t>
      </w:r>
      <w:r>
        <w:t>à</w:t>
      </w:r>
      <w:r w:rsidRPr="002C4077">
        <w:t xml:space="preserve"> </w:t>
      </w:r>
      <w:r>
        <w:t>cette</w:t>
      </w:r>
      <w:r w:rsidRPr="002C4077">
        <w:t xml:space="preserve"> </w:t>
      </w:r>
      <w:r>
        <w:t>première</w:t>
      </w:r>
      <w:r w:rsidRPr="002C4077">
        <w:t xml:space="preserve"> </w:t>
      </w:r>
      <w:r>
        <w:t>question</w:t>
      </w:r>
      <w:r w:rsidR="00B546AF">
        <w:t> :</w:t>
      </w:r>
      <w:r w:rsidRPr="002C4077">
        <w:t xml:space="preserve"> </w:t>
      </w:r>
      <w:r>
        <w:t>Qu’est-ce</w:t>
      </w:r>
      <w:r w:rsidRPr="002C4077">
        <w:t xml:space="preserve"> </w:t>
      </w:r>
      <w:r>
        <w:t>que</w:t>
      </w:r>
      <w:r w:rsidRPr="002C4077">
        <w:t xml:space="preserve"> </w:t>
      </w:r>
      <w:r w:rsidRPr="000A34B5">
        <w:rPr>
          <w:rStyle w:val="italicus"/>
        </w:rPr>
        <w:t>Y</w:t>
      </w:r>
      <w:r w:rsidRPr="002C4077">
        <w:t xml:space="preserve"> </w:t>
      </w:r>
      <w:r w:rsidRPr="000A34B5">
        <w:rPr>
          <w:rStyle w:val="italicus"/>
        </w:rPr>
        <w:t>Emmanuel</w:t>
      </w:r>
      <w:r w:rsidRPr="002C4077">
        <w:t xml:space="preserve"> </w:t>
      </w:r>
      <w:r>
        <w:t>d’Isaïe</w:t>
      </w:r>
      <w:r w:rsidR="00B546AF">
        <w:t> ?</w:t>
      </w:r>
      <w:r w:rsidRPr="002C4077">
        <w:t xml:space="preserve"> </w:t>
      </w:r>
      <w:r>
        <w:t>Cela</w:t>
      </w:r>
      <w:r w:rsidRPr="002C4077">
        <w:t xml:space="preserve"> </w:t>
      </w:r>
      <w:r>
        <w:t>fait,</w:t>
      </w:r>
      <w:r w:rsidRPr="002C4077">
        <w:t xml:space="preserve"> </w:t>
      </w:r>
      <w:r>
        <w:t>nous</w:t>
      </w:r>
      <w:r w:rsidRPr="002C4077">
        <w:t xml:space="preserve"> </w:t>
      </w:r>
      <w:r>
        <w:t>nous</w:t>
      </w:r>
      <w:r w:rsidRPr="002C4077">
        <w:t xml:space="preserve"> </w:t>
      </w:r>
      <w:r>
        <w:t>demanderons-</w:t>
      </w:r>
      <w:r w:rsidR="00B546AF">
        <w:t> :</w:t>
      </w:r>
      <w:r w:rsidRPr="002C4077">
        <w:t xml:space="preserve"> </w:t>
      </w:r>
      <w:r>
        <w:t>Qu’est-ce</w:t>
      </w:r>
      <w:r w:rsidRPr="002C4077">
        <w:t xml:space="preserve"> </w:t>
      </w:r>
      <w:r>
        <w:t>que</w:t>
      </w:r>
      <w:r w:rsidRPr="002C4077">
        <w:t xml:space="preserve"> </w:t>
      </w:r>
      <w:r w:rsidR="00D40830" w:rsidRPr="00D40830">
        <w:t>l’</w:t>
      </w:r>
      <w:r w:rsidR="00D40830" w:rsidRPr="00D05EA9">
        <w:rPr>
          <w:rStyle w:val="italicus"/>
        </w:rPr>
        <w:t>῾almah</w:t>
      </w:r>
      <w:r w:rsidR="00B546AF">
        <w:rPr>
          <w:rStyle w:val="italicus"/>
        </w:rPr>
        <w:t> </w:t>
      </w:r>
      <w:r w:rsidR="00B546AF" w:rsidRPr="000A34B5">
        <w:rPr>
          <w:rStyle w:val="italicus"/>
        </w:rPr>
        <w:t>?</w:t>
      </w:r>
      <w:r w:rsidRPr="002C4077">
        <w:t xml:space="preserve"> </w:t>
      </w:r>
      <w:r>
        <w:t>Ce</w:t>
      </w:r>
      <w:r w:rsidRPr="002C4077">
        <w:t xml:space="preserve"> </w:t>
      </w:r>
      <w:r>
        <w:t>second</w:t>
      </w:r>
      <w:r w:rsidRPr="002C4077">
        <w:t xml:space="preserve"> </w:t>
      </w:r>
      <w:r>
        <w:t>point</w:t>
      </w:r>
      <w:r w:rsidRPr="002C4077">
        <w:t xml:space="preserve"> </w:t>
      </w:r>
      <w:r>
        <w:t>étant,</w:t>
      </w:r>
      <w:r w:rsidRPr="002C4077">
        <w:t xml:space="preserve"> </w:t>
      </w:r>
      <w:r>
        <w:t>de</w:t>
      </w:r>
      <w:r w:rsidRPr="002C4077">
        <w:t xml:space="preserve"> </w:t>
      </w:r>
      <w:r>
        <w:t>l’aveu</w:t>
      </w:r>
      <w:r w:rsidRPr="002C4077">
        <w:t xml:space="preserve"> </w:t>
      </w:r>
      <w:r>
        <w:t>de</w:t>
      </w:r>
      <w:r w:rsidRPr="002C4077">
        <w:t xml:space="preserve"> </w:t>
      </w:r>
      <w:r>
        <w:t>tous,</w:t>
      </w:r>
      <w:r w:rsidRPr="002C4077">
        <w:t xml:space="preserve"> </w:t>
      </w:r>
      <w:r>
        <w:t>le</w:t>
      </w:r>
      <w:r w:rsidRPr="002C4077">
        <w:t xml:space="preserve"> </w:t>
      </w:r>
      <w:r>
        <w:t>plus</w:t>
      </w:r>
      <w:r w:rsidRPr="002C4077">
        <w:t xml:space="preserve"> </w:t>
      </w:r>
      <w:r>
        <w:t>importa</w:t>
      </w:r>
      <w:r w:rsidR="00F6492C">
        <w:t>nt</w:t>
      </w:r>
      <w:r w:rsidR="00F6492C">
        <w:rPr>
          <w:rStyle w:val="Appelnotedebasdep"/>
        </w:rPr>
        <w:footnoteReference w:id="65"/>
      </w:r>
      <w:r w:rsidR="00F6492C">
        <w:t>,</w:t>
      </w:r>
      <w:r w:rsidRPr="002C4077">
        <w:t xml:space="preserve"> </w:t>
      </w:r>
      <w:r>
        <w:t>nous</w:t>
      </w:r>
      <w:r w:rsidRPr="002C4077">
        <w:t xml:space="preserve"> </w:t>
      </w:r>
      <w:r>
        <w:t>le</w:t>
      </w:r>
      <w:r w:rsidRPr="002C4077">
        <w:t xml:space="preserve"> </w:t>
      </w:r>
      <w:r>
        <w:t>traiterons</w:t>
      </w:r>
      <w:r w:rsidRPr="002C4077">
        <w:t xml:space="preserve"> </w:t>
      </w:r>
      <w:r>
        <w:t>avec</w:t>
      </w:r>
      <w:r w:rsidRPr="002C4077">
        <w:t xml:space="preserve"> </w:t>
      </w:r>
      <w:r>
        <w:t>l’ampleur</w:t>
      </w:r>
      <w:r w:rsidRPr="002C4077">
        <w:t xml:space="preserve"> </w:t>
      </w:r>
      <w:r>
        <w:t>convenable,</w:t>
      </w:r>
      <w:r w:rsidRPr="002C4077">
        <w:t xml:space="preserve"> </w:t>
      </w:r>
      <w:r>
        <w:t>afin</w:t>
      </w:r>
      <w:r w:rsidRPr="002C4077">
        <w:t xml:space="preserve"> </w:t>
      </w:r>
      <w:r>
        <w:t>de</w:t>
      </w:r>
      <w:r w:rsidRPr="002C4077">
        <w:t xml:space="preserve"> </w:t>
      </w:r>
      <w:r>
        <w:t>démontrer</w:t>
      </w:r>
      <w:r w:rsidRPr="002C4077">
        <w:t xml:space="preserve"> </w:t>
      </w:r>
      <w:r>
        <w:t>par</w:t>
      </w:r>
      <w:r w:rsidRPr="002C4077">
        <w:t xml:space="preserve"> </w:t>
      </w:r>
      <w:r>
        <w:t>tous</w:t>
      </w:r>
      <w:r w:rsidRPr="002C4077">
        <w:t xml:space="preserve"> </w:t>
      </w:r>
      <w:r>
        <w:t>les</w:t>
      </w:r>
      <w:r w:rsidRPr="002C4077">
        <w:t xml:space="preserve"> </w:t>
      </w:r>
      <w:r>
        <w:t>procédés</w:t>
      </w:r>
      <w:r w:rsidRPr="002C4077">
        <w:t xml:space="preserve"> </w:t>
      </w:r>
      <w:r>
        <w:t>scientifiques</w:t>
      </w:r>
      <w:r w:rsidRPr="002C4077">
        <w:t xml:space="preserve"> </w:t>
      </w:r>
      <w:r>
        <w:t>que</w:t>
      </w:r>
      <w:r w:rsidRPr="002C4077">
        <w:t xml:space="preserve"> </w:t>
      </w:r>
      <w:r w:rsidR="00D40830" w:rsidRPr="00D40830">
        <w:t>l’</w:t>
      </w:r>
      <w:r w:rsidR="00D40830" w:rsidRPr="00D05EA9">
        <w:rPr>
          <w:rStyle w:val="italicus"/>
        </w:rPr>
        <w:t>῾almah</w:t>
      </w:r>
      <w:r w:rsidRPr="002C4077">
        <w:t xml:space="preserve"> </w:t>
      </w:r>
      <w:r>
        <w:t>n’est</w:t>
      </w:r>
      <w:r w:rsidRPr="002C4077">
        <w:t xml:space="preserve"> </w:t>
      </w:r>
      <w:r>
        <w:t>autre</w:t>
      </w:r>
      <w:r w:rsidRPr="002C4077">
        <w:t xml:space="preserve"> </w:t>
      </w:r>
      <w:r>
        <w:t>que</w:t>
      </w:r>
      <w:r w:rsidRPr="002C4077">
        <w:t xml:space="preserve"> </w:t>
      </w:r>
      <w:r>
        <w:t>la</w:t>
      </w:r>
      <w:r w:rsidRPr="002C4077">
        <w:t xml:space="preserve"> </w:t>
      </w:r>
      <w:r>
        <w:t>Très</w:t>
      </w:r>
      <w:r w:rsidRPr="002C4077">
        <w:t xml:space="preserve"> </w:t>
      </w:r>
      <w:r>
        <w:t>Sainte</w:t>
      </w:r>
      <w:r w:rsidRPr="002C4077">
        <w:t xml:space="preserve"> </w:t>
      </w:r>
      <w:r>
        <w:t>Vierge,</w:t>
      </w:r>
      <w:r w:rsidRPr="002C4077">
        <w:t xml:space="preserve"> </w:t>
      </w:r>
      <w:r>
        <w:t>la</w:t>
      </w:r>
      <w:r w:rsidRPr="002C4077">
        <w:t xml:space="preserve"> </w:t>
      </w:r>
      <w:r>
        <w:t>Mère</w:t>
      </w:r>
      <w:r w:rsidRPr="002C4077">
        <w:t xml:space="preserve"> </w:t>
      </w:r>
      <w:r>
        <w:t>bénie</w:t>
      </w:r>
      <w:r w:rsidRPr="002C4077">
        <w:t xml:space="preserve"> </w:t>
      </w:r>
      <w:r>
        <w:t>de</w:t>
      </w:r>
      <w:r w:rsidRPr="002C4077">
        <w:t xml:space="preserve"> </w:t>
      </w:r>
      <w:r>
        <w:t>Notre</w:t>
      </w:r>
      <w:r w:rsidRPr="002C4077">
        <w:t xml:space="preserve"> </w:t>
      </w:r>
      <w:r>
        <w:t>Seigneur</w:t>
      </w:r>
      <w:r w:rsidRPr="002C4077">
        <w:t xml:space="preserve"> </w:t>
      </w:r>
      <w:r w:rsidR="00425C50">
        <w:t>Jésus</w:t>
      </w:r>
      <w:r>
        <w:t>-</w:t>
      </w:r>
      <w:r w:rsidR="00425C50">
        <w:t>Christ</w:t>
      </w:r>
      <w:r>
        <w:t>.</w:t>
      </w:r>
      <w:r w:rsidRPr="002C4077">
        <w:t xml:space="preserve"> </w:t>
      </w:r>
      <w:r>
        <w:t>Il</w:t>
      </w:r>
      <w:r w:rsidRPr="002C4077">
        <w:t xml:space="preserve"> </w:t>
      </w:r>
      <w:r>
        <w:t>y</w:t>
      </w:r>
      <w:r w:rsidRPr="002C4077">
        <w:t xml:space="preserve"> </w:t>
      </w:r>
      <w:r>
        <w:t>a</w:t>
      </w:r>
      <w:r w:rsidRPr="002C4077">
        <w:t xml:space="preserve"> </w:t>
      </w:r>
      <w:r>
        <w:t>ici</w:t>
      </w:r>
      <w:r w:rsidRPr="002C4077">
        <w:t xml:space="preserve"> </w:t>
      </w:r>
      <w:r>
        <w:t>l’un</w:t>
      </w:r>
      <w:r w:rsidRPr="002C4077">
        <w:t xml:space="preserve"> </w:t>
      </w:r>
      <w:r>
        <w:t>des</w:t>
      </w:r>
      <w:r w:rsidRPr="002C4077">
        <w:t xml:space="preserve"> </w:t>
      </w:r>
      <w:r>
        <w:t>premiers</w:t>
      </w:r>
      <w:r w:rsidRPr="002C4077">
        <w:t xml:space="preserve"> </w:t>
      </w:r>
      <w:r>
        <w:t>fleurons</w:t>
      </w:r>
      <w:r w:rsidRPr="002C4077">
        <w:t xml:space="preserve"> </w:t>
      </w:r>
      <w:r>
        <w:t>de</w:t>
      </w:r>
      <w:r w:rsidRPr="002C4077">
        <w:t xml:space="preserve"> </w:t>
      </w:r>
      <w:r>
        <w:t>sa</w:t>
      </w:r>
      <w:r w:rsidRPr="002C4077">
        <w:t xml:space="preserve"> </w:t>
      </w:r>
      <w:r>
        <w:t>glorieuse</w:t>
      </w:r>
      <w:r w:rsidRPr="002C4077">
        <w:t xml:space="preserve"> </w:t>
      </w:r>
      <w:r>
        <w:t>couronne,</w:t>
      </w:r>
      <w:r w:rsidRPr="002C4077">
        <w:t xml:space="preserve"> </w:t>
      </w:r>
      <w:r>
        <w:t>et</w:t>
      </w:r>
      <w:r w:rsidRPr="002C4077">
        <w:t xml:space="preserve"> </w:t>
      </w:r>
      <w:r>
        <w:t>nous</w:t>
      </w:r>
      <w:r w:rsidRPr="002C4077">
        <w:t xml:space="preserve"> </w:t>
      </w:r>
      <w:r>
        <w:t>ne</w:t>
      </w:r>
      <w:r w:rsidRPr="002C4077">
        <w:t xml:space="preserve"> </w:t>
      </w:r>
      <w:r>
        <w:t>permettrons</w:t>
      </w:r>
      <w:r w:rsidRPr="002C4077">
        <w:t xml:space="preserve"> </w:t>
      </w:r>
      <w:r>
        <w:t>point</w:t>
      </w:r>
      <w:r w:rsidRPr="002C4077">
        <w:t xml:space="preserve"> </w:t>
      </w:r>
      <w:r>
        <w:t>à</w:t>
      </w:r>
      <w:r w:rsidRPr="002C4077">
        <w:t xml:space="preserve"> </w:t>
      </w:r>
      <w:r>
        <w:t>des</w:t>
      </w:r>
      <w:r w:rsidRPr="002C4077">
        <w:t xml:space="preserve"> </w:t>
      </w:r>
      <w:r>
        <w:t>mains</w:t>
      </w:r>
      <w:r w:rsidRPr="002C4077">
        <w:t xml:space="preserve"> </w:t>
      </w:r>
      <w:r>
        <w:t>sacrilèges</w:t>
      </w:r>
      <w:r w:rsidRPr="002C4077">
        <w:t xml:space="preserve"> </w:t>
      </w:r>
      <w:r>
        <w:t>de</w:t>
      </w:r>
      <w:r w:rsidRPr="002C4077">
        <w:t xml:space="preserve"> </w:t>
      </w:r>
      <w:r>
        <w:t>l’en</w:t>
      </w:r>
      <w:r w:rsidRPr="002C4077">
        <w:t xml:space="preserve"> </w:t>
      </w:r>
      <w:r>
        <w:t>dépouiller.</w:t>
      </w:r>
      <w:r w:rsidRPr="002C4077">
        <w:t xml:space="preserve"> </w:t>
      </w:r>
      <w:r>
        <w:t>Nous</w:t>
      </w:r>
      <w:r w:rsidRPr="002C4077">
        <w:t xml:space="preserve"> </w:t>
      </w:r>
      <w:r>
        <w:t>consacrerons</w:t>
      </w:r>
      <w:r w:rsidRPr="002C4077">
        <w:t xml:space="preserve"> </w:t>
      </w:r>
      <w:r>
        <w:t>un</w:t>
      </w:r>
      <w:r w:rsidRPr="002C4077">
        <w:t xml:space="preserve"> </w:t>
      </w:r>
      <w:r>
        <w:t>dernier</w:t>
      </w:r>
      <w:r w:rsidRPr="002C4077">
        <w:t xml:space="preserve"> </w:t>
      </w:r>
      <w:r>
        <w:t>paragraphe</w:t>
      </w:r>
      <w:r w:rsidRPr="002C4077">
        <w:t xml:space="preserve"> </w:t>
      </w:r>
      <w:r>
        <w:t>à</w:t>
      </w:r>
      <w:r w:rsidRPr="002C4077">
        <w:t xml:space="preserve"> </w:t>
      </w:r>
      <w:r>
        <w:t>élucider</w:t>
      </w:r>
      <w:r w:rsidRPr="002C4077">
        <w:t xml:space="preserve"> </w:t>
      </w:r>
      <w:r>
        <w:t>la</w:t>
      </w:r>
      <w:r w:rsidRPr="002C4077">
        <w:t xml:space="preserve"> </w:t>
      </w:r>
      <w:r>
        <w:t>difficulté</w:t>
      </w:r>
      <w:r w:rsidRPr="002C4077">
        <w:t xml:space="preserve"> </w:t>
      </w:r>
      <w:r>
        <w:t>spéciale</w:t>
      </w:r>
      <w:r w:rsidRPr="002C4077">
        <w:t xml:space="preserve"> </w:t>
      </w:r>
      <w:r>
        <w:t>qui</w:t>
      </w:r>
      <w:r w:rsidRPr="002C4077">
        <w:t xml:space="preserve"> </w:t>
      </w:r>
      <w:r>
        <w:t>provient</w:t>
      </w:r>
      <w:r w:rsidRPr="002C4077">
        <w:t xml:space="preserve"> </w:t>
      </w:r>
      <w:r>
        <w:t>de</w:t>
      </w:r>
      <w:r w:rsidRPr="002C4077">
        <w:t xml:space="preserve"> </w:t>
      </w:r>
      <w:r>
        <w:t>la</w:t>
      </w:r>
      <w:r w:rsidRPr="002C4077">
        <w:t xml:space="preserve"> </w:t>
      </w:r>
      <w:r>
        <w:t>tardive</w:t>
      </w:r>
      <w:r w:rsidRPr="002C4077">
        <w:t xml:space="preserve"> </w:t>
      </w:r>
      <w:r>
        <w:t>exécution</w:t>
      </w:r>
      <w:r w:rsidRPr="002C4077">
        <w:t xml:space="preserve"> </w:t>
      </w:r>
      <w:r>
        <w:t>du</w:t>
      </w:r>
      <w:r w:rsidRPr="002C4077">
        <w:t xml:space="preserve"> </w:t>
      </w:r>
      <w:r>
        <w:t>signe</w:t>
      </w:r>
      <w:r w:rsidRPr="002C4077">
        <w:t xml:space="preserve"> </w:t>
      </w:r>
      <w:r>
        <w:t>donné</w:t>
      </w:r>
      <w:r w:rsidRPr="002C4077">
        <w:t xml:space="preserve"> </w:t>
      </w:r>
      <w:r>
        <w:t>au</w:t>
      </w:r>
      <w:r w:rsidRPr="002C4077">
        <w:t xml:space="preserve"> </w:t>
      </w:r>
      <w:r>
        <w:t>roi</w:t>
      </w:r>
      <w:r w:rsidRPr="002C4077">
        <w:t xml:space="preserve"> </w:t>
      </w:r>
      <w:r>
        <w:t>Achaz</w:t>
      </w:r>
      <w:r w:rsidRPr="002C4077">
        <w:t xml:space="preserve"> </w:t>
      </w:r>
      <w:r>
        <w:t>par</w:t>
      </w:r>
      <w:r w:rsidRPr="002C4077">
        <w:t xml:space="preserve"> </w:t>
      </w:r>
      <w:r>
        <w:t>Isaïe</w:t>
      </w:r>
      <w:bookmarkStart w:id="92" w:name="z_Achaz_o6"/>
      <w:bookmarkEnd w:id="92"/>
      <w:r>
        <w:t>.</w:t>
      </w:r>
      <w:r w:rsidR="00C45B47">
        <w:t xml:space="preserve"> {</w:t>
      </w:r>
      <w:r w:rsidR="000721C4">
        <w:t>23</w:t>
      </w:r>
      <w:bookmarkStart w:id="93" w:name="p023"/>
      <w:bookmarkEnd w:id="93"/>
      <w:r w:rsidR="000721C4">
        <w:t xml:space="preserve">} </w:t>
      </w:r>
    </w:p>
    <w:p w:rsidR="000A7AAB" w:rsidRDefault="000A7AAB" w:rsidP="00BE7D31">
      <w:pPr>
        <w:pStyle w:val="Titre2"/>
      </w:pPr>
      <w:bookmarkStart w:id="94" w:name="_Toc43882003"/>
      <w:r>
        <w:t>CHAPITRE</w:t>
      </w:r>
      <w:r w:rsidRPr="002C4077">
        <w:t xml:space="preserve"> </w:t>
      </w:r>
      <w:r>
        <w:t>III.</w:t>
      </w:r>
      <w:bookmarkStart w:id="95" w:name="a0103"/>
      <w:bookmarkEnd w:id="94"/>
      <w:bookmarkEnd w:id="95"/>
      <w:r w:rsidRPr="002C4077">
        <w:t xml:space="preserve"> </w:t>
      </w:r>
    </w:p>
    <w:p w:rsidR="000A7AAB" w:rsidRDefault="000A7AAB" w:rsidP="007E58A7">
      <w:pPr>
        <w:pStyle w:val="st2"/>
      </w:pPr>
      <w:r>
        <w:t>Qui</w:t>
      </w:r>
      <w:r w:rsidRPr="002C4077">
        <w:t xml:space="preserve"> </w:t>
      </w:r>
      <w:r w:rsidR="00425C50">
        <w:t>est</w:t>
      </w:r>
      <w:r w:rsidRPr="002C4077">
        <w:t xml:space="preserve"> </w:t>
      </w:r>
      <w:r>
        <w:t>Emmanuel</w:t>
      </w:r>
      <w:r w:rsidR="00B546AF">
        <w:t> ?</w:t>
      </w:r>
      <w:r w:rsidRPr="002C4077">
        <w:t xml:space="preserve"> </w:t>
      </w:r>
    </w:p>
    <w:p w:rsidR="000A7AAB" w:rsidRDefault="000A7AAB" w:rsidP="000A7AAB">
      <w:r>
        <w:t>Il</w:t>
      </w:r>
      <w:bookmarkStart w:id="96" w:name="z_Emmanuel_o1"/>
      <w:bookmarkStart w:id="97" w:name="z_Emmanuel_o2"/>
      <w:bookmarkEnd w:id="96"/>
      <w:bookmarkEnd w:id="97"/>
      <w:r w:rsidRPr="002C4077">
        <w:t xml:space="preserve"> </w:t>
      </w:r>
      <w:r>
        <w:t>importe</w:t>
      </w:r>
      <w:r w:rsidRPr="002C4077">
        <w:t xml:space="preserve"> </w:t>
      </w:r>
      <w:r>
        <w:t>de</w:t>
      </w:r>
      <w:r w:rsidRPr="002C4077">
        <w:t xml:space="preserve"> </w:t>
      </w:r>
      <w:r>
        <w:t>débuter</w:t>
      </w:r>
      <w:r w:rsidRPr="002C4077">
        <w:t xml:space="preserve"> </w:t>
      </w:r>
      <w:r>
        <w:t>par</w:t>
      </w:r>
      <w:r w:rsidRPr="002C4077">
        <w:t xml:space="preserve"> </w:t>
      </w:r>
      <w:r>
        <w:t>cette</w:t>
      </w:r>
      <w:r w:rsidRPr="002C4077">
        <w:t xml:space="preserve"> </w:t>
      </w:r>
      <w:r>
        <w:t>question,</w:t>
      </w:r>
      <w:r w:rsidRPr="002C4077">
        <w:t xml:space="preserve"> </w:t>
      </w:r>
      <w:r>
        <w:t>dont</w:t>
      </w:r>
      <w:r w:rsidRPr="002C4077">
        <w:t xml:space="preserve"> </w:t>
      </w:r>
      <w:r>
        <w:t>la</w:t>
      </w:r>
      <w:r w:rsidRPr="002C4077">
        <w:t xml:space="preserve"> </w:t>
      </w:r>
      <w:r>
        <w:t>solution</w:t>
      </w:r>
      <w:r w:rsidRPr="002C4077">
        <w:t xml:space="preserve"> </w:t>
      </w:r>
      <w:r>
        <w:t>jettera</w:t>
      </w:r>
      <w:r w:rsidRPr="002C4077">
        <w:t xml:space="preserve"> </w:t>
      </w:r>
      <w:r>
        <w:t>un</w:t>
      </w:r>
      <w:r w:rsidRPr="002C4077">
        <w:t xml:space="preserve"> </w:t>
      </w:r>
      <w:r>
        <w:t>grand</w:t>
      </w:r>
      <w:r w:rsidRPr="002C4077">
        <w:t xml:space="preserve"> </w:t>
      </w:r>
      <w:r>
        <w:t>jour</w:t>
      </w:r>
      <w:r w:rsidRPr="002C4077">
        <w:t xml:space="preserve"> </w:t>
      </w:r>
      <w:r>
        <w:t>sur</w:t>
      </w:r>
      <w:r w:rsidRPr="002C4077">
        <w:t xml:space="preserve"> </w:t>
      </w:r>
      <w:r>
        <w:t>les</w:t>
      </w:r>
      <w:r w:rsidRPr="002C4077">
        <w:t xml:space="preserve"> </w:t>
      </w:r>
      <w:r>
        <w:t>autres</w:t>
      </w:r>
      <w:r w:rsidRPr="002C4077">
        <w:t xml:space="preserve"> </w:t>
      </w:r>
      <w:r>
        <w:t>points</w:t>
      </w:r>
      <w:r w:rsidRPr="002C4077">
        <w:t xml:space="preserve"> </w:t>
      </w:r>
      <w:r>
        <w:t>essentiels</w:t>
      </w:r>
      <w:r w:rsidRPr="002C4077">
        <w:t xml:space="preserve"> </w:t>
      </w:r>
      <w:r>
        <w:t>de</w:t>
      </w:r>
      <w:r w:rsidRPr="002C4077">
        <w:t xml:space="preserve"> </w:t>
      </w:r>
      <w:r>
        <w:t>l’oracle.</w:t>
      </w:r>
      <w:r w:rsidRPr="002C4077">
        <w:t xml:space="preserve"> </w:t>
      </w:r>
      <w:r>
        <w:t>Le</w:t>
      </w:r>
      <w:r w:rsidRPr="002C4077">
        <w:t xml:space="preserve"> </w:t>
      </w:r>
      <w:r>
        <w:t>Fils</w:t>
      </w:r>
      <w:r w:rsidRPr="002C4077">
        <w:t xml:space="preserve"> </w:t>
      </w:r>
      <w:r>
        <w:t>nous</w:t>
      </w:r>
      <w:r w:rsidRPr="002C4077">
        <w:t xml:space="preserve"> </w:t>
      </w:r>
      <w:r>
        <w:t>aidera</w:t>
      </w:r>
      <w:r w:rsidRPr="002C4077">
        <w:t xml:space="preserve"> </w:t>
      </w:r>
      <w:r>
        <w:t>puissamment</w:t>
      </w:r>
      <w:r w:rsidRPr="002C4077">
        <w:t xml:space="preserve"> </w:t>
      </w:r>
      <w:r>
        <w:t>à</w:t>
      </w:r>
      <w:r w:rsidRPr="002C4077">
        <w:t xml:space="preserve"> </w:t>
      </w:r>
      <w:r>
        <w:t>connaître</w:t>
      </w:r>
      <w:r w:rsidRPr="002C4077">
        <w:t xml:space="preserve"> </w:t>
      </w:r>
      <w:r>
        <w:t>la</w:t>
      </w:r>
      <w:r w:rsidRPr="002C4077">
        <w:t xml:space="preserve"> </w:t>
      </w:r>
      <w:r>
        <w:t>Mère.</w:t>
      </w:r>
      <w:r w:rsidRPr="002C4077">
        <w:t xml:space="preserve"> </w:t>
      </w:r>
    </w:p>
    <w:p w:rsidR="000A7AAB" w:rsidRDefault="000A7AAB" w:rsidP="000A7AAB">
      <w:r>
        <w:t>Personne</w:t>
      </w:r>
      <w:r w:rsidRPr="002C4077">
        <w:t xml:space="preserve"> </w:t>
      </w:r>
      <w:r>
        <w:t>n’ignore</w:t>
      </w:r>
      <w:r w:rsidRPr="002C4077">
        <w:t xml:space="preserve"> </w:t>
      </w:r>
      <w:r w:rsidR="008B0C1F">
        <w:t>la</w:t>
      </w:r>
      <w:r w:rsidR="008B0C1F" w:rsidRPr="002C4077">
        <w:t xml:space="preserve"> </w:t>
      </w:r>
      <w:r w:rsidR="008B0C1F">
        <w:t>signification</w:t>
      </w:r>
      <w:r w:rsidR="008B0C1F" w:rsidRPr="002C4077">
        <w:t xml:space="preserve"> </w:t>
      </w:r>
      <w:r w:rsidR="008B0C1F">
        <w:t>du</w:t>
      </w:r>
      <w:r w:rsidR="008B0C1F" w:rsidRPr="002C4077">
        <w:t xml:space="preserve"> </w:t>
      </w:r>
      <w:r w:rsidR="008B0C1F">
        <w:t>beau</w:t>
      </w:r>
      <w:r w:rsidR="008B0C1F" w:rsidRPr="002C4077">
        <w:t xml:space="preserve"> </w:t>
      </w:r>
      <w:r w:rsidR="008B0C1F">
        <w:t>nom</w:t>
      </w:r>
      <w:r w:rsidR="008B0C1F" w:rsidRPr="002C4077">
        <w:t xml:space="preserve"> </w:t>
      </w:r>
      <w:r w:rsidR="008B0C1F">
        <w:t>d’</w:t>
      </w:r>
      <w:r w:rsidR="00C577F1">
        <w:rPr>
          <w:rStyle w:val="italicus"/>
        </w:rPr>
        <w:t>῾Immânou᾿el</w:t>
      </w:r>
      <w:r w:rsidRPr="008B0C1F">
        <w:rPr>
          <w:rStyle w:val="italicus"/>
        </w:rPr>
        <w:t>,</w:t>
      </w:r>
      <w:r w:rsidRPr="002C4077">
        <w:t xml:space="preserve"> </w:t>
      </w:r>
      <w:r>
        <w:t>comme</w:t>
      </w:r>
      <w:r w:rsidRPr="002C4077">
        <w:t xml:space="preserve"> </w:t>
      </w:r>
      <w:r>
        <w:t>prononcent</w:t>
      </w:r>
      <w:r w:rsidRPr="002C4077">
        <w:t xml:space="preserve"> </w:t>
      </w:r>
      <w:r>
        <w:t>les</w:t>
      </w:r>
      <w:r w:rsidRPr="002C4077">
        <w:t xml:space="preserve"> </w:t>
      </w:r>
      <w:r>
        <w:t>Hébreux.</w:t>
      </w:r>
      <w:r w:rsidRPr="002C4077">
        <w:t xml:space="preserve"> </w:t>
      </w:r>
      <w:r>
        <w:t>Il</w:t>
      </w:r>
      <w:r w:rsidRPr="002C4077">
        <w:t xml:space="preserve"> </w:t>
      </w:r>
      <w:r>
        <w:t>se</w:t>
      </w:r>
      <w:r w:rsidRPr="002C4077">
        <w:t xml:space="preserve"> </w:t>
      </w:r>
      <w:r>
        <w:t>compose</w:t>
      </w:r>
      <w:r w:rsidRPr="002C4077">
        <w:t xml:space="preserve"> </w:t>
      </w:r>
      <w:r>
        <w:t>de</w:t>
      </w:r>
      <w:r w:rsidRPr="002C4077">
        <w:t xml:space="preserve"> </w:t>
      </w:r>
      <w:r>
        <w:t>deux</w:t>
      </w:r>
      <w:r w:rsidRPr="002C4077">
        <w:t xml:space="preserve"> </w:t>
      </w:r>
      <w:r>
        <w:t>expressions</w:t>
      </w:r>
      <w:r w:rsidR="00B546AF">
        <w:t> :</w:t>
      </w:r>
      <w:r w:rsidRPr="002C4077">
        <w:t xml:space="preserve"> </w:t>
      </w:r>
      <w:r w:rsidR="008B0C1F">
        <w:rPr>
          <w:vertAlign w:val="superscript"/>
        </w:rPr>
        <w:t>῾</w:t>
      </w:r>
      <w:r w:rsidRPr="000A34B5">
        <w:rPr>
          <w:rStyle w:val="italicus"/>
        </w:rPr>
        <w:t>immânou</w:t>
      </w:r>
      <w:r w:rsidRPr="004440EA">
        <w:t xml:space="preserve"> </w:t>
      </w:r>
      <w:r w:rsidR="00637019" w:rsidRPr="004440EA">
        <w:t>(</w:t>
      </w:r>
      <w:r w:rsidR="00637019" w:rsidRPr="00637019">
        <w:rPr>
          <w:rStyle w:val="pm"/>
          <w:rtl/>
          <w:lang w:bidi="he-IL"/>
        </w:rPr>
        <w:t>עמנו</w:t>
      </w:r>
      <w:r w:rsidR="00637019" w:rsidRPr="002C4077">
        <w:t>)</w:t>
      </w:r>
      <w:r w:rsidRPr="00950016">
        <w:t>,</w:t>
      </w:r>
      <w:r w:rsidRPr="002C4077">
        <w:t xml:space="preserve"> </w:t>
      </w:r>
      <w:r w:rsidR="00B546AF">
        <w:t>« </w:t>
      </w:r>
      <w:r>
        <w:t>avec</w:t>
      </w:r>
      <w:r w:rsidRPr="002C4077">
        <w:t xml:space="preserve"> </w:t>
      </w:r>
      <w:r>
        <w:t>nous,</w:t>
      </w:r>
      <w:r w:rsidR="00B546AF">
        <w:t> »</w:t>
      </w:r>
      <w:r w:rsidRPr="002C4077">
        <w:t xml:space="preserve"> </w:t>
      </w:r>
      <w:r>
        <w:t>et</w:t>
      </w:r>
      <w:r w:rsidR="008B0C1F" w:rsidRPr="002C4077">
        <w:t xml:space="preserve"> </w:t>
      </w:r>
      <w:r w:rsidR="008B0C1F">
        <w:rPr>
          <w:rStyle w:val="italicus"/>
        </w:rPr>
        <w:t>᾿</w:t>
      </w:r>
      <w:r w:rsidRPr="000A34B5">
        <w:rPr>
          <w:rStyle w:val="italicus"/>
        </w:rPr>
        <w:t>El</w:t>
      </w:r>
      <w:r w:rsidRPr="004440EA">
        <w:t xml:space="preserve"> (</w:t>
      </w:r>
      <w:r w:rsidR="00637019">
        <w:rPr>
          <w:rtl/>
          <w:lang w:bidi="he-IL"/>
        </w:rPr>
        <w:t>אל</w:t>
      </w:r>
      <w:r w:rsidR="00B546AF" w:rsidRPr="002C4077">
        <w:t>)</w:t>
      </w:r>
      <w:r w:rsidRPr="00950016">
        <w:t>,</w:t>
      </w:r>
      <w:r w:rsidRPr="002C4077">
        <w:t xml:space="preserve"> </w:t>
      </w:r>
      <w:r w:rsidR="00B546AF">
        <w:t>« </w:t>
      </w:r>
      <w:r>
        <w:t>Dieu</w:t>
      </w:r>
      <w:r w:rsidR="00B546AF">
        <w:t> »</w:t>
      </w:r>
      <w:r>
        <w:t>.</w:t>
      </w:r>
      <w:r w:rsidRPr="002C4077">
        <w:t xml:space="preserve"> </w:t>
      </w:r>
      <w:r w:rsidRPr="000A34B5">
        <w:rPr>
          <w:rStyle w:val="italicus"/>
        </w:rPr>
        <w:t>Emmanuel,</w:t>
      </w:r>
      <w:r w:rsidRPr="002C4077">
        <w:t xml:space="preserve"> </w:t>
      </w:r>
      <w:r w:rsidRPr="000A34B5">
        <w:rPr>
          <w:rStyle w:val="italicus"/>
        </w:rPr>
        <w:t>quod</w:t>
      </w:r>
      <w:r w:rsidRPr="002C4077">
        <w:t xml:space="preserve"> </w:t>
      </w:r>
      <w:r w:rsidR="00425C50">
        <w:rPr>
          <w:rStyle w:val="italicus"/>
        </w:rPr>
        <w:t>est</w:t>
      </w:r>
      <w:r w:rsidRPr="002C4077">
        <w:t xml:space="preserve"> </w:t>
      </w:r>
      <w:r w:rsidR="00637019" w:rsidRPr="000A34B5">
        <w:rPr>
          <w:rStyle w:val="italicus"/>
        </w:rPr>
        <w:t>interpret</w:t>
      </w:r>
      <w:r w:rsidR="00637019">
        <w:rPr>
          <w:rStyle w:val="italicus"/>
        </w:rPr>
        <w:t>átum</w:t>
      </w:r>
      <w:r w:rsidRPr="002C4077">
        <w:t xml:space="preserve"> </w:t>
      </w:r>
      <w:r w:rsidR="003B53FD" w:rsidRPr="000A34B5">
        <w:rPr>
          <w:rStyle w:val="italicus"/>
        </w:rPr>
        <w:t>Nob</w:t>
      </w:r>
      <w:r w:rsidR="003B53FD">
        <w:rPr>
          <w:rStyle w:val="italicus"/>
        </w:rPr>
        <w:t>í</w:t>
      </w:r>
      <w:r w:rsidR="003B53FD" w:rsidRPr="000A34B5">
        <w:rPr>
          <w:rStyle w:val="italicus"/>
        </w:rPr>
        <w:t>scum</w:t>
      </w:r>
      <w:r w:rsidRPr="002C4077">
        <w:t xml:space="preserve"> </w:t>
      </w:r>
      <w:r w:rsidRPr="000A34B5">
        <w:rPr>
          <w:rStyle w:val="italicus"/>
        </w:rPr>
        <w:t>Deus,</w:t>
      </w:r>
      <w:r w:rsidRPr="002C4077">
        <w:t xml:space="preserve"> </w:t>
      </w:r>
      <w:r>
        <w:t>t</w:t>
      </w:r>
      <w:r w:rsidR="003B53FD">
        <w:t>raduit</w:t>
      </w:r>
      <w:r w:rsidRPr="002C4077">
        <w:t xml:space="preserve"> </w:t>
      </w:r>
      <w:r>
        <w:t>fort</w:t>
      </w:r>
      <w:r w:rsidRPr="002C4077">
        <w:t xml:space="preserve"> </w:t>
      </w:r>
      <w:r>
        <w:t>exactement</w:t>
      </w:r>
      <w:r w:rsidRPr="002C4077">
        <w:t xml:space="preserve"> </w:t>
      </w:r>
      <w:r>
        <w:t>S.</w:t>
      </w:r>
      <w:r w:rsidRPr="002C4077">
        <w:t xml:space="preserve"> </w:t>
      </w:r>
      <w:r w:rsidR="00425C50">
        <w:t>Matth</w:t>
      </w:r>
      <w:r>
        <w:t>ieu</w:t>
      </w:r>
      <w:r w:rsidR="00D22163">
        <w:rPr>
          <w:rStyle w:val="Appelnotedebasdep"/>
        </w:rPr>
        <w:footnoteReference w:id="66"/>
      </w:r>
      <w:r w:rsidR="00D22163">
        <w:t>.</w:t>
      </w:r>
      <w:r w:rsidRPr="002C4077">
        <w:t xml:space="preserve"> </w:t>
      </w:r>
    </w:p>
    <w:p w:rsidR="000A7AAB" w:rsidRDefault="000A7AAB" w:rsidP="000A7AAB">
      <w:r>
        <w:t>À</w:t>
      </w:r>
      <w:r w:rsidRPr="002C4077">
        <w:t xml:space="preserve"> </w:t>
      </w:r>
      <w:r>
        <w:t>qui</w:t>
      </w:r>
      <w:r w:rsidRPr="002C4077">
        <w:t xml:space="preserve"> </w:t>
      </w:r>
      <w:r>
        <w:t>le</w:t>
      </w:r>
      <w:r w:rsidRPr="002C4077">
        <w:t xml:space="preserve"> </w:t>
      </w:r>
      <w:r>
        <w:t>prophète</w:t>
      </w:r>
      <w:r w:rsidRPr="002C4077">
        <w:t xml:space="preserve"> </w:t>
      </w:r>
      <w:r>
        <w:t>aura-t-il</w:t>
      </w:r>
      <w:r w:rsidRPr="002C4077">
        <w:t xml:space="preserve"> </w:t>
      </w:r>
      <w:r>
        <w:t>pu</w:t>
      </w:r>
      <w:r w:rsidRPr="002C4077">
        <w:t xml:space="preserve"> </w:t>
      </w:r>
      <w:r>
        <w:t>prédire</w:t>
      </w:r>
      <w:r w:rsidRPr="002C4077">
        <w:t xml:space="preserve"> </w:t>
      </w:r>
      <w:r>
        <w:t>une</w:t>
      </w:r>
      <w:r w:rsidRPr="002C4077">
        <w:t xml:space="preserve"> </w:t>
      </w:r>
      <w:r>
        <w:t>dénomination</w:t>
      </w:r>
      <w:r w:rsidRPr="002C4077">
        <w:t xml:space="preserve"> </w:t>
      </w:r>
      <w:r>
        <w:t>si</w:t>
      </w:r>
      <w:r w:rsidRPr="002C4077">
        <w:t xml:space="preserve"> </w:t>
      </w:r>
      <w:r>
        <w:t>glorieuse</w:t>
      </w:r>
      <w:r w:rsidR="00B546AF">
        <w:t> ?</w:t>
      </w:r>
      <w:r w:rsidRPr="002C4077">
        <w:t xml:space="preserve"> </w:t>
      </w:r>
      <w:r>
        <w:t>C’est</w:t>
      </w:r>
      <w:r w:rsidRPr="002C4077">
        <w:t xml:space="preserve"> </w:t>
      </w:r>
      <w:r>
        <w:t>ce</w:t>
      </w:r>
      <w:r w:rsidRPr="002C4077">
        <w:t xml:space="preserve"> </w:t>
      </w:r>
      <w:r>
        <w:t>que</w:t>
      </w:r>
      <w:r w:rsidRPr="002C4077">
        <w:t xml:space="preserve"> </w:t>
      </w:r>
      <w:r>
        <w:t>nous</w:t>
      </w:r>
      <w:r w:rsidRPr="002C4077">
        <w:t xml:space="preserve"> </w:t>
      </w:r>
      <w:r>
        <w:t>allons</w:t>
      </w:r>
      <w:r w:rsidRPr="002C4077">
        <w:t xml:space="preserve"> </w:t>
      </w:r>
      <w:r>
        <w:t>examiner</w:t>
      </w:r>
      <w:r w:rsidRPr="002C4077">
        <w:t xml:space="preserve"> </w:t>
      </w:r>
      <w:r>
        <w:t>à</w:t>
      </w:r>
      <w:r w:rsidRPr="002C4077">
        <w:t xml:space="preserve"> </w:t>
      </w:r>
      <w:r>
        <w:t>la</w:t>
      </w:r>
      <w:r w:rsidRPr="002C4077">
        <w:t xml:space="preserve"> </w:t>
      </w:r>
      <w:r>
        <w:t>lumière</w:t>
      </w:r>
      <w:r w:rsidRPr="002C4077">
        <w:t xml:space="preserve"> </w:t>
      </w:r>
      <w:r>
        <w:t>du</w:t>
      </w:r>
      <w:r w:rsidRPr="002C4077">
        <w:t xml:space="preserve"> </w:t>
      </w:r>
      <w:r>
        <w:t>contexte,</w:t>
      </w:r>
      <w:r w:rsidRPr="002C4077">
        <w:t xml:space="preserve"> </w:t>
      </w:r>
      <w:r>
        <w:t>car,</w:t>
      </w:r>
      <w:r w:rsidRPr="002C4077">
        <w:t xml:space="preserve"> </w:t>
      </w:r>
      <w:r>
        <w:t>dit</w:t>
      </w:r>
      <w:r w:rsidRPr="002C4077">
        <w:t xml:space="preserve"> </w:t>
      </w:r>
      <w:r>
        <w:t>très</w:t>
      </w:r>
      <w:r w:rsidRPr="002C4077">
        <w:t xml:space="preserve"> </w:t>
      </w:r>
      <w:r>
        <w:t>justement</w:t>
      </w:r>
      <w:r w:rsidRPr="002C4077">
        <w:t xml:space="preserve"> </w:t>
      </w:r>
      <w:r>
        <w:t>D.</w:t>
      </w:r>
      <w:r w:rsidRPr="002C4077">
        <w:t xml:space="preserve"> </w:t>
      </w:r>
      <w:r>
        <w:t>Calmet,</w:t>
      </w:r>
      <w:r w:rsidRPr="002C4077">
        <w:t xml:space="preserve"> </w:t>
      </w:r>
      <w:r w:rsidR="00B546AF">
        <w:t>« </w:t>
      </w:r>
      <w:r>
        <w:t>pour</w:t>
      </w:r>
      <w:r w:rsidRPr="002C4077">
        <w:t xml:space="preserve"> </w:t>
      </w:r>
      <w:r>
        <w:t>porter</w:t>
      </w:r>
      <w:r w:rsidRPr="002C4077">
        <w:t xml:space="preserve"> </w:t>
      </w:r>
      <w:r>
        <w:t>de</w:t>
      </w:r>
      <w:r w:rsidRPr="002C4077">
        <w:t xml:space="preserve"> </w:t>
      </w:r>
      <w:r>
        <w:t>cette</w:t>
      </w:r>
      <w:r w:rsidRPr="002C4077">
        <w:t xml:space="preserve"> </w:t>
      </w:r>
      <w:r>
        <w:t>prophétie</w:t>
      </w:r>
      <w:r w:rsidRPr="002C4077">
        <w:t xml:space="preserve"> </w:t>
      </w:r>
      <w:r>
        <w:t>un</w:t>
      </w:r>
      <w:r w:rsidRPr="002C4077">
        <w:t xml:space="preserve"> </w:t>
      </w:r>
      <w:r>
        <w:t>jugement</w:t>
      </w:r>
      <w:r w:rsidRPr="002C4077">
        <w:t xml:space="preserve"> </w:t>
      </w:r>
      <w:r>
        <w:t>équitable,</w:t>
      </w:r>
      <w:r w:rsidRPr="002C4077">
        <w:t xml:space="preserve"> </w:t>
      </w:r>
      <w:r>
        <w:t>il</w:t>
      </w:r>
      <w:r w:rsidRPr="002C4077">
        <w:t xml:space="preserve"> </w:t>
      </w:r>
      <w:r>
        <w:t>faut</w:t>
      </w:r>
      <w:r w:rsidRPr="002C4077">
        <w:t xml:space="preserve"> </w:t>
      </w:r>
      <w:r>
        <w:t>la</w:t>
      </w:r>
      <w:r w:rsidRPr="002C4077">
        <w:t xml:space="preserve"> </w:t>
      </w:r>
      <w:r>
        <w:t>considérer</w:t>
      </w:r>
      <w:r w:rsidRPr="002C4077">
        <w:t xml:space="preserve"> </w:t>
      </w:r>
      <w:r>
        <w:t>dans</w:t>
      </w:r>
      <w:r w:rsidRPr="002C4077">
        <w:t xml:space="preserve"> </w:t>
      </w:r>
      <w:r>
        <w:t>toute</w:t>
      </w:r>
      <w:r w:rsidRPr="002C4077">
        <w:t xml:space="preserve"> </w:t>
      </w:r>
      <w:r>
        <w:t>son</w:t>
      </w:r>
      <w:r w:rsidRPr="002C4077">
        <w:t xml:space="preserve"> </w:t>
      </w:r>
      <w:r>
        <w:t>étendue</w:t>
      </w:r>
      <w:r w:rsidR="00B91AF7">
        <w:rPr>
          <w:rStyle w:val="Appelnotedebasdep"/>
        </w:rPr>
        <w:footnoteReference w:id="67"/>
      </w:r>
      <w:r w:rsidR="00B546AF">
        <w:t> »</w:t>
      </w:r>
      <w:r>
        <w:t>.</w:t>
      </w:r>
      <w:r w:rsidRPr="002C4077">
        <w:t xml:space="preserve"> </w:t>
      </w:r>
    </w:p>
    <w:p w:rsidR="000A7AAB" w:rsidRDefault="000A7AAB" w:rsidP="000A7AAB">
      <w:r>
        <w:t>Ce</w:t>
      </w:r>
      <w:r w:rsidRPr="002C4077">
        <w:t xml:space="preserve"> </w:t>
      </w:r>
      <w:r>
        <w:t>que</w:t>
      </w:r>
      <w:r w:rsidRPr="002C4077">
        <w:t xml:space="preserve"> </w:t>
      </w:r>
      <w:r>
        <w:t>nous</w:t>
      </w:r>
      <w:r w:rsidRPr="002C4077">
        <w:t xml:space="preserve"> </w:t>
      </w:r>
      <w:r>
        <w:t>avons</w:t>
      </w:r>
      <w:r w:rsidRPr="002C4077">
        <w:t xml:space="preserve"> </w:t>
      </w:r>
      <w:r>
        <w:t>cité</w:t>
      </w:r>
      <w:r w:rsidRPr="002C4077">
        <w:t xml:space="preserve"> </w:t>
      </w:r>
      <w:r>
        <w:t>des</w:t>
      </w:r>
      <w:r w:rsidRPr="002C4077">
        <w:t xml:space="preserve"> </w:t>
      </w:r>
      <w:r>
        <w:t>paroles</w:t>
      </w:r>
      <w:r w:rsidRPr="002C4077">
        <w:t xml:space="preserve"> </w:t>
      </w:r>
      <w:r>
        <w:t>d’Isaïe</w:t>
      </w:r>
      <w:r w:rsidRPr="002C4077">
        <w:t xml:space="preserve"> </w:t>
      </w:r>
      <w:r>
        <w:t>relatives</w:t>
      </w:r>
      <w:r w:rsidRPr="002C4077">
        <w:t xml:space="preserve"> </w:t>
      </w:r>
      <w:r>
        <w:t>à</w:t>
      </w:r>
      <w:r w:rsidRPr="002C4077">
        <w:t xml:space="preserve"> </w:t>
      </w:r>
      <w:r>
        <w:t>Emmanuel</w:t>
      </w:r>
      <w:r w:rsidRPr="002C4077">
        <w:t xml:space="preserve"> </w:t>
      </w:r>
      <w:r>
        <w:t>et</w:t>
      </w:r>
      <w:r w:rsidRPr="002C4077">
        <w:t xml:space="preserve"> </w:t>
      </w:r>
      <w:r>
        <w:t>à</w:t>
      </w:r>
      <w:r w:rsidRPr="002C4077">
        <w:t xml:space="preserve"> </w:t>
      </w:r>
      <w:r>
        <w:t>sa</w:t>
      </w:r>
      <w:r w:rsidRPr="002C4077">
        <w:t xml:space="preserve"> </w:t>
      </w:r>
      <w:r>
        <w:t>mère,</w:t>
      </w:r>
      <w:r w:rsidRPr="002C4077">
        <w:t xml:space="preserve"> </w:t>
      </w:r>
      <w:r w:rsidR="00D40830" w:rsidRPr="00D40830">
        <w:t>l’</w:t>
      </w:r>
      <w:r w:rsidR="00D40830" w:rsidRPr="00D05EA9">
        <w:rPr>
          <w:rStyle w:val="italicus"/>
        </w:rPr>
        <w:t>῾almah</w:t>
      </w:r>
      <w:r w:rsidRPr="000A34B5">
        <w:rPr>
          <w:rStyle w:val="italicus"/>
        </w:rPr>
        <w:t>,</w:t>
      </w:r>
      <w:r w:rsidRPr="002C4077">
        <w:t xml:space="preserve"> </w:t>
      </w:r>
      <w:r w:rsidR="00425C50">
        <w:t>est</w:t>
      </w:r>
      <w:r w:rsidRPr="002C4077">
        <w:t xml:space="preserve"> </w:t>
      </w:r>
      <w:r>
        <w:t>en</w:t>
      </w:r>
      <w:r w:rsidRPr="002C4077">
        <w:t xml:space="preserve"> </w:t>
      </w:r>
      <w:r>
        <w:t>effet</w:t>
      </w:r>
      <w:r w:rsidRPr="002C4077">
        <w:t xml:space="preserve"> </w:t>
      </w:r>
      <w:r>
        <w:t>bien</w:t>
      </w:r>
      <w:r w:rsidRPr="002C4077">
        <w:t xml:space="preserve"> </w:t>
      </w:r>
      <w:r>
        <w:t>loin</w:t>
      </w:r>
      <w:r w:rsidRPr="002C4077">
        <w:t xml:space="preserve"> </w:t>
      </w:r>
      <w:r>
        <w:t>de</w:t>
      </w:r>
      <w:r w:rsidRPr="002C4077">
        <w:t xml:space="preserve"> </w:t>
      </w:r>
      <w:r>
        <w:t>nous</w:t>
      </w:r>
      <w:r w:rsidRPr="002C4077">
        <w:t xml:space="preserve"> </w:t>
      </w:r>
      <w:r>
        <w:t>donner</w:t>
      </w:r>
      <w:r w:rsidRPr="002C4077">
        <w:t xml:space="preserve"> </w:t>
      </w:r>
      <w:r>
        <w:t>une</w:t>
      </w:r>
      <w:r w:rsidRPr="002C4077">
        <w:t xml:space="preserve"> </w:t>
      </w:r>
      <w:r>
        <w:t>idée</w:t>
      </w:r>
      <w:r w:rsidRPr="002C4077">
        <w:t xml:space="preserve"> </w:t>
      </w:r>
      <w:r>
        <w:t>complète</w:t>
      </w:r>
      <w:r w:rsidRPr="002C4077">
        <w:t xml:space="preserve"> </w:t>
      </w:r>
      <w:r>
        <w:t>de</w:t>
      </w:r>
      <w:r w:rsidRPr="002C4077">
        <w:t xml:space="preserve"> </w:t>
      </w:r>
      <w:r>
        <w:t>ce</w:t>
      </w:r>
      <w:r w:rsidRPr="002C4077">
        <w:t xml:space="preserve"> </w:t>
      </w:r>
      <w:r>
        <w:t>célèbre</w:t>
      </w:r>
      <w:r w:rsidRPr="002C4077">
        <w:t xml:space="preserve"> </w:t>
      </w:r>
      <w:r>
        <w:t>oracle.</w:t>
      </w:r>
      <w:r w:rsidRPr="002C4077">
        <w:t xml:space="preserve"> </w:t>
      </w:r>
      <w:r>
        <w:t>Il</w:t>
      </w:r>
      <w:r w:rsidRPr="002C4077">
        <w:t xml:space="preserve"> </w:t>
      </w:r>
      <w:r w:rsidR="00425C50">
        <w:t>est</w:t>
      </w:r>
      <w:r w:rsidRPr="002C4077">
        <w:t xml:space="preserve"> </w:t>
      </w:r>
      <w:r>
        <w:t>universellement</w:t>
      </w:r>
      <w:r w:rsidRPr="002C4077">
        <w:t xml:space="preserve"> </w:t>
      </w:r>
      <w:r>
        <w:t>admis</w:t>
      </w:r>
      <w:r w:rsidRPr="002C4077">
        <w:t xml:space="preserve"> </w:t>
      </w:r>
      <w:r>
        <w:t>que</w:t>
      </w:r>
      <w:r w:rsidRPr="002C4077">
        <w:t xml:space="preserve"> </w:t>
      </w:r>
      <w:r>
        <w:t>ce</w:t>
      </w:r>
      <w:r w:rsidRPr="002C4077">
        <w:t xml:space="preserve"> </w:t>
      </w:r>
      <w:r>
        <w:t>passage</w:t>
      </w:r>
      <w:r w:rsidRPr="002C4077">
        <w:t xml:space="preserve"> </w:t>
      </w:r>
      <w:r>
        <w:t>ne</w:t>
      </w:r>
      <w:r w:rsidRPr="002C4077">
        <w:t xml:space="preserve"> </w:t>
      </w:r>
      <w:r>
        <w:t>va</w:t>
      </w:r>
      <w:r w:rsidRPr="002C4077">
        <w:t xml:space="preserve"> </w:t>
      </w:r>
      <w:r>
        <w:t>pas</w:t>
      </w:r>
      <w:r w:rsidRPr="002C4077">
        <w:t xml:space="preserve"> </w:t>
      </w:r>
      <w:r w:rsidR="004C15DD">
        <w:t>seul</w:t>
      </w:r>
      <w:r w:rsidR="004C15DD">
        <w:rPr>
          <w:rStyle w:val="Appelnotedebasdep"/>
        </w:rPr>
        <w:footnoteReference w:id="68"/>
      </w:r>
      <w:r>
        <w:t>,</w:t>
      </w:r>
      <w:r w:rsidRPr="002C4077">
        <w:t xml:space="preserve"> </w:t>
      </w:r>
      <w:r>
        <w:t>mais</w:t>
      </w:r>
      <w:r w:rsidRPr="002C4077">
        <w:t xml:space="preserve"> </w:t>
      </w:r>
      <w:r>
        <w:t>qu’il</w:t>
      </w:r>
      <w:r w:rsidRPr="002C4077">
        <w:t xml:space="preserve"> </w:t>
      </w:r>
      <w:r>
        <w:t>forme</w:t>
      </w:r>
      <w:r w:rsidRPr="002C4077">
        <w:t xml:space="preserve"> </w:t>
      </w:r>
      <w:r>
        <w:t>avec</w:t>
      </w:r>
      <w:r w:rsidRPr="002C4077">
        <w:t xml:space="preserve"> </w:t>
      </w:r>
      <w:r>
        <w:t>les</w:t>
      </w:r>
      <w:r w:rsidRPr="002C4077">
        <w:t xml:space="preserve"> </w:t>
      </w:r>
      <w:r>
        <w:t>pages</w:t>
      </w:r>
      <w:r w:rsidRPr="002C4077">
        <w:t xml:space="preserve"> </w:t>
      </w:r>
      <w:r>
        <w:t>suivantes</w:t>
      </w:r>
      <w:r w:rsidRPr="002C4077">
        <w:t xml:space="preserve"> </w:t>
      </w:r>
      <w:r>
        <w:t>un</w:t>
      </w:r>
      <w:r w:rsidRPr="002C4077">
        <w:t xml:space="preserve"> </w:t>
      </w:r>
      <w:r>
        <w:t>tout</w:t>
      </w:r>
      <w:r w:rsidRPr="002C4077">
        <w:t xml:space="preserve"> </w:t>
      </w:r>
      <w:r>
        <w:t>inséparable</w:t>
      </w:r>
      <w:r w:rsidRPr="002C4077">
        <w:t xml:space="preserve"> </w:t>
      </w:r>
      <w:r>
        <w:t>au</w:t>
      </w:r>
      <w:r w:rsidRPr="002C4077">
        <w:t xml:space="preserve"> </w:t>
      </w:r>
      <w:r>
        <w:t>point</w:t>
      </w:r>
      <w:r w:rsidRPr="002C4077">
        <w:t xml:space="preserve"> </w:t>
      </w:r>
      <w:r>
        <w:t>de</w:t>
      </w:r>
      <w:r w:rsidRPr="002C4077">
        <w:t xml:space="preserve"> </w:t>
      </w:r>
      <w:r>
        <w:t>vue</w:t>
      </w:r>
      <w:r w:rsidRPr="002C4077">
        <w:t xml:space="preserve"> </w:t>
      </w:r>
      <w:r>
        <w:t>des</w:t>
      </w:r>
      <w:r w:rsidRPr="002C4077">
        <w:t xml:space="preserve"> </w:t>
      </w:r>
      <w:r>
        <w:t>idées.</w:t>
      </w:r>
      <w:r w:rsidR="00C45B47">
        <w:t xml:space="preserve"> {</w:t>
      </w:r>
      <w:r w:rsidR="000721C4">
        <w:t>24</w:t>
      </w:r>
      <w:bookmarkStart w:id="98" w:name="p024"/>
      <w:bookmarkEnd w:id="98"/>
      <w:r w:rsidR="000721C4">
        <w:t xml:space="preserve">} </w:t>
      </w:r>
      <w:r>
        <w:t>Or,</w:t>
      </w:r>
      <w:r w:rsidRPr="002C4077">
        <w:t xml:space="preserve"> </w:t>
      </w:r>
      <w:r>
        <w:t>la</w:t>
      </w:r>
      <w:r w:rsidRPr="002C4077">
        <w:t xml:space="preserve"> </w:t>
      </w:r>
      <w:r>
        <w:t>pensée</w:t>
      </w:r>
      <w:r w:rsidRPr="002C4077">
        <w:t xml:space="preserve"> </w:t>
      </w:r>
      <w:r>
        <w:t>dominante</w:t>
      </w:r>
      <w:r w:rsidRPr="002C4077">
        <w:t xml:space="preserve"> </w:t>
      </w:r>
      <w:r>
        <w:t>des</w:t>
      </w:r>
      <w:r w:rsidRPr="002C4077">
        <w:t xml:space="preserve"> </w:t>
      </w:r>
      <w:r>
        <w:t>chapitres</w:t>
      </w:r>
      <w:r w:rsidRPr="002C4077">
        <w:t xml:space="preserve"> </w:t>
      </w:r>
      <w:r w:rsidR="00C577F1">
        <w:t>VII</w:t>
      </w:r>
      <w:r w:rsidR="00C577F1" w:rsidRPr="002C4077">
        <w:t xml:space="preserve"> </w:t>
      </w:r>
      <w:r>
        <w:t>à</w:t>
      </w:r>
      <w:r w:rsidRPr="002C4077">
        <w:t xml:space="preserve"> </w:t>
      </w:r>
      <w:r>
        <w:rPr>
          <w:smallCaps/>
        </w:rPr>
        <w:t>XII</w:t>
      </w:r>
      <w:r w:rsidRPr="002C4077">
        <w:t xml:space="preserve"> </w:t>
      </w:r>
      <w:r>
        <w:t>ainsi</w:t>
      </w:r>
      <w:r w:rsidRPr="002C4077">
        <w:t xml:space="preserve"> </w:t>
      </w:r>
      <w:r>
        <w:t>groupés</w:t>
      </w:r>
      <w:r w:rsidRPr="002C4077">
        <w:t xml:space="preserve"> </w:t>
      </w:r>
      <w:r>
        <w:t>par</w:t>
      </w:r>
      <w:r w:rsidRPr="002C4077">
        <w:t xml:space="preserve"> </w:t>
      </w:r>
      <w:r>
        <w:t>le</w:t>
      </w:r>
      <w:r w:rsidRPr="002C4077">
        <w:t xml:space="preserve"> </w:t>
      </w:r>
      <w:r>
        <w:t>prophète,</w:t>
      </w:r>
      <w:r w:rsidRPr="002C4077">
        <w:t xml:space="preserve"> </w:t>
      </w:r>
      <w:r>
        <w:t>le</w:t>
      </w:r>
      <w:r w:rsidRPr="002C4077">
        <w:t xml:space="preserve"> </w:t>
      </w:r>
      <w:r>
        <w:t>fil</w:t>
      </w:r>
      <w:r w:rsidRPr="002C4077">
        <w:t xml:space="preserve"> </w:t>
      </w:r>
      <w:r>
        <w:t>d’or</w:t>
      </w:r>
      <w:r w:rsidRPr="002C4077">
        <w:t xml:space="preserve"> </w:t>
      </w:r>
      <w:r>
        <w:t>qui</w:t>
      </w:r>
      <w:r w:rsidRPr="002C4077">
        <w:t xml:space="preserve"> </w:t>
      </w:r>
      <w:r>
        <w:t>en</w:t>
      </w:r>
      <w:r w:rsidRPr="002C4077">
        <w:t xml:space="preserve"> </w:t>
      </w:r>
      <w:r>
        <w:t>lie</w:t>
      </w:r>
      <w:r w:rsidRPr="002C4077">
        <w:t xml:space="preserve"> </w:t>
      </w:r>
      <w:r>
        <w:t>les</w:t>
      </w:r>
      <w:r w:rsidRPr="002C4077">
        <w:t xml:space="preserve"> </w:t>
      </w:r>
      <w:r>
        <w:t>divers</w:t>
      </w:r>
      <w:r w:rsidRPr="002C4077">
        <w:t xml:space="preserve"> </w:t>
      </w:r>
      <w:r>
        <w:t>détails,</w:t>
      </w:r>
      <w:r w:rsidRPr="002C4077">
        <w:t xml:space="preserve"> </w:t>
      </w:r>
      <w:r>
        <w:t>c’est</w:t>
      </w:r>
      <w:r w:rsidRPr="002C4077">
        <w:t xml:space="preserve"> </w:t>
      </w:r>
      <w:r>
        <w:t>précisément</w:t>
      </w:r>
      <w:r w:rsidRPr="002C4077">
        <w:t xml:space="preserve"> </w:t>
      </w:r>
      <w:r>
        <w:t>l’histoire</w:t>
      </w:r>
      <w:r w:rsidRPr="002C4077">
        <w:t xml:space="preserve"> </w:t>
      </w:r>
      <w:r>
        <w:t>d’Emmanuel</w:t>
      </w:r>
      <w:bookmarkStart w:id="99" w:name="z_Isaie_o5"/>
      <w:bookmarkEnd w:id="99"/>
      <w:r w:rsidR="00B546AF">
        <w:t> :</w:t>
      </w:r>
      <w:r w:rsidRPr="002C4077">
        <w:t xml:space="preserve"> </w:t>
      </w:r>
      <w:r>
        <w:t>voilà</w:t>
      </w:r>
      <w:r w:rsidRPr="002C4077">
        <w:t xml:space="preserve"> </w:t>
      </w:r>
      <w:r>
        <w:t>pourquoi</w:t>
      </w:r>
      <w:r w:rsidRPr="002C4077">
        <w:t xml:space="preserve"> </w:t>
      </w:r>
      <w:r>
        <w:t>on</w:t>
      </w:r>
      <w:r w:rsidRPr="002C4077">
        <w:t xml:space="preserve"> </w:t>
      </w:r>
      <w:r>
        <w:t>les</w:t>
      </w:r>
      <w:r w:rsidRPr="002C4077">
        <w:t xml:space="preserve"> </w:t>
      </w:r>
      <w:r>
        <w:t>a</w:t>
      </w:r>
      <w:r w:rsidRPr="002C4077">
        <w:t xml:space="preserve"> </w:t>
      </w:r>
      <w:r>
        <w:t>nommés</w:t>
      </w:r>
      <w:r w:rsidRPr="002C4077">
        <w:t xml:space="preserve"> </w:t>
      </w:r>
      <w:r>
        <w:t>avec</w:t>
      </w:r>
      <w:r w:rsidRPr="002C4077">
        <w:t xml:space="preserve"> </w:t>
      </w:r>
      <w:r>
        <w:t>autant</w:t>
      </w:r>
      <w:r w:rsidRPr="002C4077">
        <w:t xml:space="preserve"> </w:t>
      </w:r>
      <w:r>
        <w:t>de</w:t>
      </w:r>
      <w:r w:rsidRPr="002C4077">
        <w:t xml:space="preserve"> </w:t>
      </w:r>
      <w:r>
        <w:t>grâce</w:t>
      </w:r>
      <w:r w:rsidRPr="002C4077">
        <w:t xml:space="preserve"> </w:t>
      </w:r>
      <w:r>
        <w:t>que</w:t>
      </w:r>
      <w:r w:rsidRPr="002C4077">
        <w:t xml:space="preserve"> </w:t>
      </w:r>
      <w:r>
        <w:t>de</w:t>
      </w:r>
      <w:r w:rsidRPr="002C4077">
        <w:t xml:space="preserve"> </w:t>
      </w:r>
      <w:r>
        <w:t>vérité</w:t>
      </w:r>
      <w:r w:rsidRPr="002C4077">
        <w:t xml:space="preserve"> </w:t>
      </w:r>
      <w:r w:rsidR="00B546AF">
        <w:t>« </w:t>
      </w:r>
      <w:r>
        <w:t>Le</w:t>
      </w:r>
      <w:r w:rsidRPr="002C4077">
        <w:t xml:space="preserve"> </w:t>
      </w:r>
      <w:r>
        <w:t>livre</w:t>
      </w:r>
      <w:r w:rsidRPr="002C4077">
        <w:t xml:space="preserve"> </w:t>
      </w:r>
      <w:r>
        <w:t>d’Emmanuel</w:t>
      </w:r>
      <w:bookmarkStart w:id="100" w:name="z_Emmanuel_o4"/>
      <w:bookmarkEnd w:id="100"/>
      <w:r w:rsidR="00B546AF">
        <w:t> »</w:t>
      </w:r>
      <w:r>
        <w:t>.</w:t>
      </w:r>
      <w:r w:rsidRPr="002C4077">
        <w:t xml:space="preserve"> </w:t>
      </w:r>
    </w:p>
    <w:p w:rsidR="000A7AAB" w:rsidRDefault="000A7AAB" w:rsidP="000A7AAB">
      <w:r>
        <w:t>Il</w:t>
      </w:r>
      <w:r w:rsidRPr="002C4077">
        <w:t xml:space="preserve"> </w:t>
      </w:r>
      <w:r>
        <w:t>suffira</w:t>
      </w:r>
      <w:r w:rsidRPr="002C4077">
        <w:t xml:space="preserve"> </w:t>
      </w:r>
      <w:r>
        <w:t>d’un</w:t>
      </w:r>
      <w:r w:rsidRPr="002C4077">
        <w:t xml:space="preserve"> </w:t>
      </w:r>
      <w:r>
        <w:t>résumé</w:t>
      </w:r>
      <w:r w:rsidRPr="002C4077">
        <w:t xml:space="preserve"> </w:t>
      </w:r>
      <w:r>
        <w:t>rapide</w:t>
      </w:r>
      <w:r w:rsidRPr="002C4077">
        <w:t xml:space="preserve"> </w:t>
      </w:r>
      <w:r>
        <w:t>pour</w:t>
      </w:r>
      <w:r w:rsidRPr="002C4077">
        <w:t xml:space="preserve"> </w:t>
      </w:r>
      <w:r>
        <w:t>orienter</w:t>
      </w:r>
      <w:r w:rsidRPr="002C4077">
        <w:t xml:space="preserve"> </w:t>
      </w:r>
      <w:r>
        <w:t>le</w:t>
      </w:r>
      <w:r w:rsidRPr="002C4077">
        <w:t xml:space="preserve"> </w:t>
      </w:r>
      <w:r>
        <w:t>lecteur</w:t>
      </w:r>
      <w:r w:rsidRPr="002C4077">
        <w:t xml:space="preserve"> </w:t>
      </w:r>
      <w:r>
        <w:t>sur</w:t>
      </w:r>
      <w:r w:rsidRPr="002C4077">
        <w:t xml:space="preserve"> </w:t>
      </w:r>
      <w:r>
        <w:t>ce</w:t>
      </w:r>
      <w:r w:rsidRPr="002C4077">
        <w:t xml:space="preserve"> </w:t>
      </w:r>
      <w:r>
        <w:t>point.</w:t>
      </w:r>
      <w:r w:rsidRPr="002C4077">
        <w:t xml:space="preserve"> </w:t>
      </w:r>
    </w:p>
    <w:p w:rsidR="000A7AAB" w:rsidRDefault="000A7AAB" w:rsidP="000A7AAB">
      <w:r>
        <w:t>À</w:t>
      </w:r>
      <w:r w:rsidRPr="002C4077">
        <w:t xml:space="preserve"> </w:t>
      </w:r>
      <w:r>
        <w:t>l’annonce</w:t>
      </w:r>
      <w:r w:rsidRPr="002C4077">
        <w:t xml:space="preserve"> </w:t>
      </w:r>
      <w:r>
        <w:t>de</w:t>
      </w:r>
      <w:r w:rsidRPr="002C4077">
        <w:t xml:space="preserve"> </w:t>
      </w:r>
      <w:r>
        <w:t>l’enfantement</w:t>
      </w:r>
      <w:r w:rsidRPr="002C4077">
        <w:t xml:space="preserve"> </w:t>
      </w:r>
      <w:r>
        <w:t>merveilleux</w:t>
      </w:r>
      <w:r w:rsidRPr="002C4077">
        <w:t xml:space="preserve"> </w:t>
      </w:r>
      <w:r>
        <w:t>de</w:t>
      </w:r>
      <w:r w:rsidRPr="002C4077">
        <w:t xml:space="preserve"> </w:t>
      </w:r>
      <w:r w:rsidR="00D40830" w:rsidRPr="00D40830">
        <w:t>l’</w:t>
      </w:r>
      <w:r w:rsidR="00D40830" w:rsidRPr="00D05EA9">
        <w:rPr>
          <w:rStyle w:val="italicus"/>
        </w:rPr>
        <w:t>῾almah</w:t>
      </w:r>
      <w:r w:rsidRPr="002C4077">
        <w:t xml:space="preserve"> </w:t>
      </w:r>
      <w:r>
        <w:t>et</w:t>
      </w:r>
      <w:r w:rsidRPr="002C4077">
        <w:t xml:space="preserve"> </w:t>
      </w:r>
      <w:r>
        <w:t>de</w:t>
      </w:r>
      <w:r w:rsidRPr="002C4077">
        <w:t xml:space="preserve"> </w:t>
      </w:r>
      <w:r>
        <w:t>la</w:t>
      </w:r>
      <w:r w:rsidRPr="002C4077">
        <w:t xml:space="preserve"> </w:t>
      </w:r>
      <w:r>
        <w:t>naissance</w:t>
      </w:r>
      <w:r w:rsidRPr="002C4077">
        <w:t xml:space="preserve"> </w:t>
      </w:r>
      <w:r>
        <w:t>d’Emmanuel</w:t>
      </w:r>
      <w:r w:rsidR="00464AE8">
        <w:rPr>
          <w:rStyle w:val="Appelnotedebasdep"/>
        </w:rPr>
        <w:footnoteReference w:id="69"/>
      </w:r>
      <w:r w:rsidR="00464AE8">
        <w:t>,</w:t>
      </w:r>
      <w:r w:rsidRPr="002C4077">
        <w:t xml:space="preserve"> </w:t>
      </w:r>
      <w:r>
        <w:t>Isaïe</w:t>
      </w:r>
      <w:r w:rsidRPr="002C4077">
        <w:t xml:space="preserve"> </w:t>
      </w:r>
      <w:r>
        <w:t>avait</w:t>
      </w:r>
      <w:r w:rsidRPr="002C4077">
        <w:t xml:space="preserve"> </w:t>
      </w:r>
      <w:r>
        <w:t>rattaché</w:t>
      </w:r>
      <w:r w:rsidRPr="002C4077">
        <w:t xml:space="preserve"> </w:t>
      </w:r>
      <w:r>
        <w:t>celle</w:t>
      </w:r>
      <w:r w:rsidRPr="002C4077">
        <w:t xml:space="preserve"> </w:t>
      </w:r>
      <w:r>
        <w:t>de</w:t>
      </w:r>
      <w:r w:rsidRPr="002C4077">
        <w:t xml:space="preserve"> </w:t>
      </w:r>
      <w:r>
        <w:t>la</w:t>
      </w:r>
      <w:r w:rsidRPr="002C4077">
        <w:t xml:space="preserve"> </w:t>
      </w:r>
      <w:r>
        <w:t>dévastation</w:t>
      </w:r>
      <w:r w:rsidRPr="002C4077">
        <w:t xml:space="preserve"> </w:t>
      </w:r>
      <w:r>
        <w:t>prochaine</w:t>
      </w:r>
      <w:r w:rsidRPr="002C4077">
        <w:t xml:space="preserve"> </w:t>
      </w:r>
      <w:r>
        <w:t>des</w:t>
      </w:r>
      <w:r w:rsidRPr="002C4077">
        <w:t xml:space="preserve"> </w:t>
      </w:r>
      <w:r>
        <w:t>deux</w:t>
      </w:r>
      <w:r w:rsidRPr="002C4077">
        <w:t xml:space="preserve"> </w:t>
      </w:r>
      <w:r>
        <w:t>royaumes</w:t>
      </w:r>
      <w:r w:rsidRPr="002C4077">
        <w:t xml:space="preserve"> </w:t>
      </w:r>
      <w:r>
        <w:t>alors</w:t>
      </w:r>
      <w:r w:rsidRPr="002C4077">
        <w:t xml:space="preserve"> </w:t>
      </w:r>
      <w:r>
        <w:t>ligués</w:t>
      </w:r>
      <w:r w:rsidRPr="002C4077">
        <w:t xml:space="preserve"> </w:t>
      </w:r>
      <w:r w:rsidR="00637019">
        <w:t>contre</w:t>
      </w:r>
      <w:r w:rsidR="00637019" w:rsidRPr="002C4077">
        <w:t xml:space="preserve"> </w:t>
      </w:r>
      <w:r w:rsidR="00637019">
        <w:t>Jérusalem</w:t>
      </w:r>
      <w:r w:rsidRPr="004440EA">
        <w:t xml:space="preserve"> (</w:t>
      </w:r>
      <w:r>
        <w:t>VII,</w:t>
      </w:r>
      <w:r w:rsidRPr="002C4077">
        <w:t xml:space="preserve"> </w:t>
      </w:r>
      <w:r>
        <w:t>14-16</w:t>
      </w:r>
      <w:r w:rsidR="00B546AF" w:rsidRPr="002C4077">
        <w:t>)</w:t>
      </w:r>
      <w:r>
        <w:t>.</w:t>
      </w:r>
      <w:r w:rsidRPr="002C4077">
        <w:t xml:space="preserve"> </w:t>
      </w:r>
      <w:r>
        <w:t>Toutefois,</w:t>
      </w:r>
      <w:r w:rsidRPr="002C4077">
        <w:t xml:space="preserve"> </w:t>
      </w:r>
      <w:r>
        <w:t>la</w:t>
      </w:r>
      <w:r w:rsidRPr="002C4077">
        <w:t xml:space="preserve"> </w:t>
      </w:r>
      <w:r>
        <w:t>Syrie</w:t>
      </w:r>
      <w:r w:rsidRPr="002C4077">
        <w:t xml:space="preserve"> </w:t>
      </w:r>
      <w:r>
        <w:t>et</w:t>
      </w:r>
      <w:r w:rsidRPr="002C4077">
        <w:t xml:space="preserve"> </w:t>
      </w:r>
      <w:r>
        <w:t>la</w:t>
      </w:r>
      <w:r w:rsidRPr="002C4077">
        <w:t xml:space="preserve"> </w:t>
      </w:r>
      <w:r>
        <w:t>terre</w:t>
      </w:r>
      <w:r w:rsidRPr="002C4077">
        <w:t xml:space="preserve"> </w:t>
      </w:r>
      <w:r>
        <w:t>d’Ephraïm</w:t>
      </w:r>
      <w:r w:rsidRPr="002C4077">
        <w:t xml:space="preserve"> </w:t>
      </w:r>
      <w:r>
        <w:t>ne</w:t>
      </w:r>
      <w:r w:rsidRPr="002C4077">
        <w:t xml:space="preserve"> </w:t>
      </w:r>
      <w:r>
        <w:t>devaient</w:t>
      </w:r>
      <w:r w:rsidRPr="002C4077">
        <w:t xml:space="preserve"> </w:t>
      </w:r>
      <w:r>
        <w:t>pas</w:t>
      </w:r>
      <w:r w:rsidRPr="002C4077">
        <w:t xml:space="preserve"> </w:t>
      </w:r>
      <w:r>
        <w:t>être</w:t>
      </w:r>
      <w:r w:rsidRPr="002C4077">
        <w:t xml:space="preserve"> </w:t>
      </w:r>
      <w:r>
        <w:t>seules</w:t>
      </w:r>
      <w:r w:rsidRPr="002C4077">
        <w:t xml:space="preserve"> </w:t>
      </w:r>
      <w:r>
        <w:t>châtiées.</w:t>
      </w:r>
      <w:r w:rsidRPr="002C4077">
        <w:t xml:space="preserve"> </w:t>
      </w:r>
      <w:r>
        <w:t>La</w:t>
      </w:r>
      <w:r w:rsidRPr="002C4077">
        <w:t xml:space="preserve"> </w:t>
      </w:r>
      <w:r>
        <w:t>céleste</w:t>
      </w:r>
      <w:r w:rsidRPr="002C4077">
        <w:t xml:space="preserve"> </w:t>
      </w:r>
      <w:r>
        <w:t>vengeance</w:t>
      </w:r>
      <w:r w:rsidRPr="002C4077">
        <w:t xml:space="preserve"> </w:t>
      </w:r>
      <w:r>
        <w:t>devait</w:t>
      </w:r>
      <w:r w:rsidRPr="002C4077">
        <w:t xml:space="preserve"> </w:t>
      </w:r>
      <w:r>
        <w:t>pareillement</w:t>
      </w:r>
      <w:r w:rsidRPr="002C4077">
        <w:t xml:space="preserve"> </w:t>
      </w:r>
      <w:r>
        <w:t>s’étendre</w:t>
      </w:r>
      <w:r w:rsidRPr="002C4077">
        <w:t xml:space="preserve"> </w:t>
      </w:r>
      <w:r>
        <w:t>sur</w:t>
      </w:r>
      <w:r w:rsidRPr="002C4077">
        <w:t xml:space="preserve"> </w:t>
      </w:r>
      <w:r>
        <w:t>le</w:t>
      </w:r>
      <w:r w:rsidRPr="002C4077">
        <w:t xml:space="preserve"> </w:t>
      </w:r>
      <w:r>
        <w:t>pays</w:t>
      </w:r>
      <w:r w:rsidRPr="002C4077">
        <w:t xml:space="preserve"> </w:t>
      </w:r>
      <w:r>
        <w:t>et</w:t>
      </w:r>
      <w:r w:rsidRPr="002C4077">
        <w:t xml:space="preserve"> </w:t>
      </w:r>
      <w:r>
        <w:t>le</w:t>
      </w:r>
      <w:r w:rsidRPr="002C4077">
        <w:t xml:space="preserve"> </w:t>
      </w:r>
      <w:r>
        <w:t>peuple</w:t>
      </w:r>
      <w:r w:rsidRPr="002C4077">
        <w:t xml:space="preserve"> </w:t>
      </w:r>
      <w:r>
        <w:t>gouvernés</w:t>
      </w:r>
      <w:r w:rsidRPr="002C4077">
        <w:t xml:space="preserve"> </w:t>
      </w:r>
      <w:r>
        <w:t>par</w:t>
      </w:r>
      <w:r w:rsidRPr="002C4077">
        <w:t xml:space="preserve"> </w:t>
      </w:r>
      <w:r>
        <w:t>Achaz,</w:t>
      </w:r>
      <w:r w:rsidRPr="002C4077">
        <w:t xml:space="preserve"> </w:t>
      </w:r>
      <w:r>
        <w:t>en</w:t>
      </w:r>
      <w:r w:rsidRPr="002C4077">
        <w:t xml:space="preserve"> </w:t>
      </w:r>
      <w:r>
        <w:t>punition</w:t>
      </w:r>
      <w:r w:rsidRPr="002C4077">
        <w:t xml:space="preserve"> </w:t>
      </w:r>
      <w:r>
        <w:t>de</w:t>
      </w:r>
      <w:r w:rsidRPr="002C4077">
        <w:t xml:space="preserve"> </w:t>
      </w:r>
      <w:r>
        <w:t>l’incrédulité</w:t>
      </w:r>
      <w:r w:rsidRPr="002C4077">
        <w:t xml:space="preserve"> </w:t>
      </w:r>
      <w:r>
        <w:t>de</w:t>
      </w:r>
      <w:r w:rsidRPr="002C4077">
        <w:t xml:space="preserve"> </w:t>
      </w:r>
      <w:r>
        <w:t>ce</w:t>
      </w:r>
      <w:r w:rsidRPr="002C4077">
        <w:t xml:space="preserve"> </w:t>
      </w:r>
      <w:r>
        <w:t>prince.</w:t>
      </w:r>
      <w:r w:rsidRPr="002C4077">
        <w:t xml:space="preserve"> </w:t>
      </w:r>
      <w:r>
        <w:t>Le</w:t>
      </w:r>
      <w:r w:rsidRPr="002C4077">
        <w:t xml:space="preserve"> </w:t>
      </w:r>
      <w:r>
        <w:t>monarque</w:t>
      </w:r>
      <w:r w:rsidRPr="002C4077">
        <w:t xml:space="preserve"> </w:t>
      </w:r>
      <w:r>
        <w:t>assyrien,</w:t>
      </w:r>
      <w:r w:rsidRPr="002C4077">
        <w:t xml:space="preserve"> </w:t>
      </w:r>
      <w:r>
        <w:t>dont</w:t>
      </w:r>
      <w:r w:rsidRPr="002C4077">
        <w:t xml:space="preserve"> </w:t>
      </w:r>
      <w:r>
        <w:t>il</w:t>
      </w:r>
      <w:r w:rsidRPr="002C4077">
        <w:t xml:space="preserve"> </w:t>
      </w:r>
      <w:r>
        <w:t>a</w:t>
      </w:r>
      <w:r w:rsidRPr="002C4077">
        <w:t xml:space="preserve"> </w:t>
      </w:r>
      <w:r>
        <w:t>invoqué</w:t>
      </w:r>
      <w:r w:rsidRPr="002C4077">
        <w:t xml:space="preserve"> </w:t>
      </w:r>
      <w:r>
        <w:t>le</w:t>
      </w:r>
      <w:r w:rsidRPr="002C4077">
        <w:t xml:space="preserve"> </w:t>
      </w:r>
      <w:r>
        <w:t>secours,</w:t>
      </w:r>
      <w:r w:rsidRPr="002C4077">
        <w:t xml:space="preserve"> </w:t>
      </w:r>
      <w:r>
        <w:t>sera</w:t>
      </w:r>
      <w:r w:rsidRPr="002C4077">
        <w:t xml:space="preserve"> </w:t>
      </w:r>
      <w:r>
        <w:t>contre</w:t>
      </w:r>
      <w:r w:rsidRPr="002C4077">
        <w:t xml:space="preserve"> </w:t>
      </w:r>
      <w:r>
        <w:t>lui</w:t>
      </w:r>
      <w:r w:rsidRPr="002C4077">
        <w:t xml:space="preserve"> </w:t>
      </w:r>
      <w:r>
        <w:t>l’instrument</w:t>
      </w:r>
      <w:r w:rsidRPr="002C4077">
        <w:t xml:space="preserve"> </w:t>
      </w:r>
      <w:r>
        <w:t>de</w:t>
      </w:r>
      <w:r w:rsidRPr="002C4077">
        <w:t xml:space="preserve"> </w:t>
      </w:r>
      <w:r>
        <w:t>la</w:t>
      </w:r>
      <w:r w:rsidRPr="002C4077">
        <w:t xml:space="preserve"> </w:t>
      </w:r>
      <w:r>
        <w:t>colère</w:t>
      </w:r>
      <w:r w:rsidRPr="002C4077">
        <w:t xml:space="preserve"> </w:t>
      </w:r>
      <w:r>
        <w:t>divine</w:t>
      </w:r>
      <w:r w:rsidR="00B546AF">
        <w:t> ;</w:t>
      </w:r>
      <w:r w:rsidRPr="002C4077">
        <w:t xml:space="preserve"> </w:t>
      </w:r>
      <w:r>
        <w:t>il</w:t>
      </w:r>
      <w:r w:rsidRPr="002C4077">
        <w:t xml:space="preserve"> </w:t>
      </w:r>
      <w:r>
        <w:t>portera</w:t>
      </w:r>
      <w:r w:rsidRPr="002C4077">
        <w:t xml:space="preserve"> </w:t>
      </w:r>
      <w:r>
        <w:lastRenderedPageBreak/>
        <w:t>la</w:t>
      </w:r>
      <w:r w:rsidRPr="002C4077">
        <w:t xml:space="preserve"> </w:t>
      </w:r>
      <w:r>
        <w:t>désolation</w:t>
      </w:r>
      <w:r w:rsidRPr="002C4077">
        <w:t xml:space="preserve"> </w:t>
      </w:r>
      <w:r>
        <w:t>dans</w:t>
      </w:r>
      <w:r w:rsidRPr="002C4077">
        <w:t xml:space="preserve"> </w:t>
      </w:r>
      <w:r>
        <w:t>Juda</w:t>
      </w:r>
      <w:bookmarkStart w:id="101" w:name="z_JudaRoyaume_o1"/>
      <w:bookmarkEnd w:id="101"/>
      <w:r>
        <w:t>,</w:t>
      </w:r>
      <w:r w:rsidRPr="002C4077">
        <w:t xml:space="preserve"> </w:t>
      </w:r>
      <w:r>
        <w:t>et</w:t>
      </w:r>
      <w:r w:rsidRPr="002C4077">
        <w:t xml:space="preserve"> </w:t>
      </w:r>
      <w:r>
        <w:t>tous</w:t>
      </w:r>
      <w:r w:rsidRPr="002C4077">
        <w:t xml:space="preserve"> </w:t>
      </w:r>
      <w:r>
        <w:t>les</w:t>
      </w:r>
      <w:r w:rsidRPr="002C4077">
        <w:t xml:space="preserve"> </w:t>
      </w:r>
      <w:r>
        <w:t>champs</w:t>
      </w:r>
      <w:r w:rsidRPr="002C4077">
        <w:t xml:space="preserve"> </w:t>
      </w:r>
      <w:r>
        <w:t>cultivés</w:t>
      </w:r>
      <w:r w:rsidRPr="002C4077">
        <w:t xml:space="preserve"> </w:t>
      </w:r>
      <w:r>
        <w:t>seront</w:t>
      </w:r>
      <w:r w:rsidRPr="002C4077">
        <w:t xml:space="preserve"> </w:t>
      </w:r>
      <w:r>
        <w:t>convertis</w:t>
      </w:r>
      <w:r w:rsidRPr="002C4077">
        <w:t xml:space="preserve"> </w:t>
      </w:r>
      <w:r>
        <w:t>en</w:t>
      </w:r>
      <w:r w:rsidRPr="002C4077">
        <w:t xml:space="preserve"> </w:t>
      </w:r>
      <w:r>
        <w:t>pâturages</w:t>
      </w:r>
      <w:r w:rsidRPr="002C4077">
        <w:t xml:space="preserve"> </w:t>
      </w:r>
      <w:r>
        <w:t>ouverts</w:t>
      </w:r>
      <w:r w:rsidRPr="002C4077">
        <w:t xml:space="preserve"> </w:t>
      </w:r>
      <w:r>
        <w:t>à</w:t>
      </w:r>
      <w:r w:rsidRPr="002C4077">
        <w:t xml:space="preserve"> </w:t>
      </w:r>
      <w:r>
        <w:t>la</w:t>
      </w:r>
      <w:r w:rsidRPr="002C4077">
        <w:t xml:space="preserve"> </w:t>
      </w:r>
      <w:r>
        <w:t>libre</w:t>
      </w:r>
      <w:r w:rsidRPr="002C4077">
        <w:t xml:space="preserve"> </w:t>
      </w:r>
      <w:r>
        <w:t>circulation</w:t>
      </w:r>
      <w:r w:rsidRPr="002C4077">
        <w:t xml:space="preserve"> </w:t>
      </w:r>
      <w:r>
        <w:t>des</w:t>
      </w:r>
      <w:r w:rsidRPr="002C4077">
        <w:t xml:space="preserve"> </w:t>
      </w:r>
      <w:r>
        <w:t>tribus</w:t>
      </w:r>
      <w:r w:rsidRPr="002C4077">
        <w:t xml:space="preserve"> </w:t>
      </w:r>
      <w:r>
        <w:t>nomades</w:t>
      </w:r>
      <w:r w:rsidRPr="004440EA">
        <w:t xml:space="preserve"> (</w:t>
      </w:r>
      <w:r>
        <w:t>VII,</w:t>
      </w:r>
      <w:r w:rsidRPr="002C4077">
        <w:t xml:space="preserve"> </w:t>
      </w:r>
      <w:r>
        <w:t>17-25</w:t>
      </w:r>
      <w:r w:rsidR="00B546AF" w:rsidRPr="002C4077">
        <w:t>)</w:t>
      </w:r>
      <w:r>
        <w:t>.</w:t>
      </w:r>
      <w:r w:rsidRPr="002C4077">
        <w:t xml:space="preserve"> </w:t>
      </w:r>
      <w:r>
        <w:t>Cela</w:t>
      </w:r>
      <w:r w:rsidRPr="002C4077">
        <w:t xml:space="preserve"> </w:t>
      </w:r>
      <w:r w:rsidR="00425C50">
        <w:t>est</w:t>
      </w:r>
      <w:r w:rsidRPr="002C4077">
        <w:t xml:space="preserve"> </w:t>
      </w:r>
      <w:r>
        <w:t>décrit</w:t>
      </w:r>
      <w:r w:rsidRPr="002C4077">
        <w:t xml:space="preserve"> </w:t>
      </w:r>
      <w:r>
        <w:t>par</w:t>
      </w:r>
      <w:r w:rsidRPr="002C4077">
        <w:t xml:space="preserve"> </w:t>
      </w:r>
      <w:r>
        <w:t>Isaïe</w:t>
      </w:r>
      <w:r w:rsidRPr="002C4077">
        <w:t xml:space="preserve"> </w:t>
      </w:r>
      <w:r>
        <w:t>en</w:t>
      </w:r>
      <w:r w:rsidRPr="002C4077">
        <w:t xml:space="preserve"> </w:t>
      </w:r>
      <w:r>
        <w:t>un</w:t>
      </w:r>
      <w:r w:rsidRPr="002C4077">
        <w:t xml:space="preserve"> </w:t>
      </w:r>
      <w:r>
        <w:t>magnifique</w:t>
      </w:r>
      <w:r w:rsidRPr="002C4077">
        <w:t xml:space="preserve"> </w:t>
      </w:r>
      <w:r>
        <w:t>mais</w:t>
      </w:r>
      <w:r w:rsidRPr="002C4077">
        <w:t xml:space="preserve"> </w:t>
      </w:r>
      <w:r>
        <w:t>terrible</w:t>
      </w:r>
      <w:r w:rsidRPr="002C4077">
        <w:t xml:space="preserve"> </w:t>
      </w:r>
      <w:r>
        <w:t>langage.</w:t>
      </w:r>
      <w:r w:rsidRPr="002C4077">
        <w:t xml:space="preserve"> </w:t>
      </w:r>
    </w:p>
    <w:p w:rsidR="000A7AAB" w:rsidRDefault="000A7AAB" w:rsidP="000A7AAB">
      <w:r>
        <w:t>Comme</w:t>
      </w:r>
      <w:r w:rsidRPr="002C4077">
        <w:t xml:space="preserve"> </w:t>
      </w:r>
      <w:r>
        <w:t>garantie</w:t>
      </w:r>
      <w:r w:rsidRPr="002C4077">
        <w:t xml:space="preserve"> </w:t>
      </w:r>
      <w:r>
        <w:t>de</w:t>
      </w:r>
      <w:r w:rsidRPr="002C4077">
        <w:t xml:space="preserve"> </w:t>
      </w:r>
      <w:r>
        <w:t>la</w:t>
      </w:r>
      <w:r w:rsidRPr="002C4077">
        <w:t xml:space="preserve"> </w:t>
      </w:r>
      <w:r>
        <w:t>vérité</w:t>
      </w:r>
      <w:r w:rsidRPr="002C4077">
        <w:t xml:space="preserve"> </w:t>
      </w:r>
      <w:r>
        <w:t>de</w:t>
      </w:r>
      <w:r w:rsidRPr="002C4077">
        <w:t xml:space="preserve"> </w:t>
      </w:r>
      <w:r>
        <w:t>cette</w:t>
      </w:r>
      <w:r w:rsidRPr="002C4077">
        <w:t xml:space="preserve"> </w:t>
      </w:r>
      <w:r>
        <w:t>prédiction,</w:t>
      </w:r>
      <w:r w:rsidRPr="002C4077">
        <w:t xml:space="preserve"> </w:t>
      </w:r>
      <w:r>
        <w:t>le</w:t>
      </w:r>
      <w:r w:rsidRPr="002C4077">
        <w:t xml:space="preserve"> </w:t>
      </w:r>
      <w:r>
        <w:t>prophète,</w:t>
      </w:r>
      <w:r w:rsidRPr="002C4077">
        <w:t xml:space="preserve"> </w:t>
      </w:r>
      <w:r>
        <w:t>par</w:t>
      </w:r>
      <w:r w:rsidRPr="002C4077">
        <w:t xml:space="preserve"> </w:t>
      </w:r>
      <w:r>
        <w:t>l’ordre</w:t>
      </w:r>
      <w:r w:rsidRPr="002C4077">
        <w:t xml:space="preserve"> </w:t>
      </w:r>
      <w:r>
        <w:t>de</w:t>
      </w:r>
      <w:r w:rsidRPr="002C4077">
        <w:t xml:space="preserve"> </w:t>
      </w:r>
      <w:r>
        <w:t>Dieu,</w:t>
      </w:r>
      <w:r w:rsidRPr="002C4077">
        <w:t xml:space="preserve"> </w:t>
      </w:r>
      <w:r>
        <w:t>écrit</w:t>
      </w:r>
      <w:r w:rsidRPr="002C4077">
        <w:t xml:space="preserve"> </w:t>
      </w:r>
      <w:r>
        <w:t>sur</w:t>
      </w:r>
      <w:r w:rsidRPr="002C4077">
        <w:t xml:space="preserve"> </w:t>
      </w:r>
      <w:r>
        <w:t>une</w:t>
      </w:r>
      <w:r w:rsidRPr="002C4077">
        <w:t xml:space="preserve"> </w:t>
      </w:r>
      <w:r>
        <w:t>tablette</w:t>
      </w:r>
      <w:r w:rsidRPr="002C4077">
        <w:t xml:space="preserve"> </w:t>
      </w:r>
      <w:r>
        <w:t>les</w:t>
      </w:r>
      <w:r w:rsidRPr="002C4077">
        <w:t xml:space="preserve"> </w:t>
      </w:r>
      <w:r>
        <w:t>mots</w:t>
      </w:r>
      <w:r w:rsidRPr="002C4077">
        <w:t xml:space="preserve"> </w:t>
      </w:r>
      <w:r w:rsidRPr="000A34B5">
        <w:rPr>
          <w:rStyle w:val="italicus"/>
        </w:rPr>
        <w:t>Maher</w:t>
      </w:r>
      <w:r w:rsidRPr="002C4077">
        <w:t xml:space="preserve"> </w:t>
      </w:r>
      <w:r w:rsidRPr="000A34B5">
        <w:rPr>
          <w:rStyle w:val="italicus"/>
        </w:rPr>
        <w:t>schalal</w:t>
      </w:r>
      <w:r w:rsidRPr="002C4077">
        <w:t xml:space="preserve"> </w:t>
      </w:r>
      <w:r w:rsidRPr="000A34B5">
        <w:rPr>
          <w:rStyle w:val="italicus"/>
        </w:rPr>
        <w:t>chasch</w:t>
      </w:r>
      <w:r w:rsidRPr="002C4077">
        <w:t xml:space="preserve"> </w:t>
      </w:r>
      <w:r w:rsidRPr="000A34B5">
        <w:rPr>
          <w:rStyle w:val="italicus"/>
        </w:rPr>
        <w:t>baz</w:t>
      </w:r>
      <w:bookmarkStart w:id="102" w:name="z_MaherSchalal_o1"/>
      <w:bookmarkEnd w:id="102"/>
      <w:r w:rsidR="00B91AF7">
        <w:rPr>
          <w:rStyle w:val="Appelnotedebasdep"/>
          <w:i/>
        </w:rPr>
        <w:footnoteReference w:id="70"/>
      </w:r>
      <w:r>
        <w:t>,</w:t>
      </w:r>
      <w:r w:rsidRPr="002C4077">
        <w:t xml:space="preserve"> </w:t>
      </w:r>
      <w:r>
        <w:t>c’est-à-dire</w:t>
      </w:r>
      <w:r w:rsidR="00B546AF">
        <w:t> :</w:t>
      </w:r>
      <w:r w:rsidRPr="002C4077">
        <w:t xml:space="preserve"> </w:t>
      </w:r>
      <w:r w:rsidR="00B546AF">
        <w:t>« </w:t>
      </w:r>
      <w:r>
        <w:t>On</w:t>
      </w:r>
      <w:r w:rsidRPr="002C4077">
        <w:t xml:space="preserve"> </w:t>
      </w:r>
      <w:r>
        <w:t>se</w:t>
      </w:r>
      <w:r w:rsidRPr="002C4077">
        <w:t xml:space="preserve"> </w:t>
      </w:r>
      <w:r>
        <w:t>hâte</w:t>
      </w:r>
      <w:r w:rsidRPr="002C4077">
        <w:t xml:space="preserve"> </w:t>
      </w:r>
      <w:r>
        <w:t>de</w:t>
      </w:r>
      <w:r w:rsidRPr="002C4077">
        <w:t xml:space="preserve"> </w:t>
      </w:r>
      <w:r>
        <w:t>piller</w:t>
      </w:r>
      <w:r w:rsidRPr="002C4077">
        <w:t xml:space="preserve"> </w:t>
      </w:r>
      <w:r>
        <w:t>et</w:t>
      </w:r>
      <w:r w:rsidRPr="002C4077">
        <w:t xml:space="preserve"> </w:t>
      </w:r>
      <w:r>
        <w:t>d’emporter</w:t>
      </w:r>
      <w:r w:rsidRPr="002C4077">
        <w:t xml:space="preserve"> </w:t>
      </w:r>
      <w:r>
        <w:t>les</w:t>
      </w:r>
      <w:r w:rsidRPr="002C4077">
        <w:t xml:space="preserve"> </w:t>
      </w:r>
      <w:r>
        <w:t>dépouilles</w:t>
      </w:r>
      <w:r w:rsidR="00B546AF">
        <w:t> »</w:t>
      </w:r>
      <w:r>
        <w:t>.</w:t>
      </w:r>
      <w:r w:rsidRPr="002C4077">
        <w:t xml:space="preserve"> </w:t>
      </w:r>
      <w:r>
        <w:t>Un</w:t>
      </w:r>
      <w:r w:rsidRPr="002C4077">
        <w:t xml:space="preserve"> </w:t>
      </w:r>
      <w:r w:rsidR="00425C50">
        <w:t>prêtre</w:t>
      </w:r>
      <w:r w:rsidRPr="002C4077">
        <w:t xml:space="preserve"> </w:t>
      </w:r>
      <w:r>
        <w:t>et</w:t>
      </w:r>
      <w:r w:rsidRPr="002C4077">
        <w:t xml:space="preserve"> </w:t>
      </w:r>
      <w:r>
        <w:t>un</w:t>
      </w:r>
      <w:r w:rsidRPr="002C4077">
        <w:t xml:space="preserve"> </w:t>
      </w:r>
      <w:r>
        <w:t>prophète</w:t>
      </w:r>
      <w:r w:rsidRPr="002C4077">
        <w:t xml:space="preserve"> </w:t>
      </w:r>
      <w:r>
        <w:t>sont</w:t>
      </w:r>
      <w:r w:rsidRPr="002C4077">
        <w:t xml:space="preserve"> </w:t>
      </w:r>
      <w:r>
        <w:t>témoins</w:t>
      </w:r>
      <w:r w:rsidRPr="002C4077">
        <w:t xml:space="preserve"> </w:t>
      </w:r>
      <w:r>
        <w:t>de</w:t>
      </w:r>
      <w:r w:rsidRPr="002C4077">
        <w:t xml:space="preserve"> </w:t>
      </w:r>
      <w:r>
        <w:t>cet</w:t>
      </w:r>
      <w:r w:rsidRPr="002C4077">
        <w:t xml:space="preserve"> </w:t>
      </w:r>
      <w:r>
        <w:t>acte.</w:t>
      </w:r>
      <w:r w:rsidRPr="002C4077">
        <w:t xml:space="preserve"> </w:t>
      </w:r>
      <w:r>
        <w:t>Quelque</w:t>
      </w:r>
      <w:r w:rsidRPr="002C4077">
        <w:t xml:space="preserve"> </w:t>
      </w:r>
      <w:r>
        <w:t>temps</w:t>
      </w:r>
      <w:r w:rsidRPr="002C4077">
        <w:t xml:space="preserve"> </w:t>
      </w:r>
      <w:r>
        <w:t>après</w:t>
      </w:r>
      <w:r w:rsidRPr="002C4077">
        <w:t xml:space="preserve"> </w:t>
      </w:r>
      <w:r>
        <w:t>il</w:t>
      </w:r>
      <w:r w:rsidRPr="002C4077">
        <w:t xml:space="preserve"> </w:t>
      </w:r>
      <w:r>
        <w:t>naît</w:t>
      </w:r>
      <w:r w:rsidRPr="002C4077">
        <w:t xml:space="preserve"> </w:t>
      </w:r>
      <w:r>
        <w:t>à</w:t>
      </w:r>
      <w:r w:rsidRPr="002C4077">
        <w:t xml:space="preserve"> </w:t>
      </w:r>
      <w:r>
        <w:t>Isaïe</w:t>
      </w:r>
      <w:r w:rsidRPr="002C4077">
        <w:t xml:space="preserve"> </w:t>
      </w:r>
      <w:r>
        <w:t>un</w:t>
      </w:r>
      <w:r w:rsidRPr="002C4077">
        <w:t xml:space="preserve"> </w:t>
      </w:r>
      <w:r>
        <w:t>fils,</w:t>
      </w:r>
      <w:r w:rsidRPr="002C4077">
        <w:t xml:space="preserve"> </w:t>
      </w:r>
      <w:r>
        <w:t>qui</w:t>
      </w:r>
      <w:r w:rsidRPr="002C4077">
        <w:t xml:space="preserve"> </w:t>
      </w:r>
      <w:r>
        <w:t>reçoit</w:t>
      </w:r>
      <w:r w:rsidRPr="002C4077">
        <w:t xml:space="preserve"> </w:t>
      </w:r>
      <w:r>
        <w:t>le</w:t>
      </w:r>
      <w:r w:rsidRPr="002C4077">
        <w:t xml:space="preserve"> </w:t>
      </w:r>
      <w:r>
        <w:t>nom</w:t>
      </w:r>
      <w:r w:rsidRPr="002C4077">
        <w:t xml:space="preserve"> </w:t>
      </w:r>
      <w:r>
        <w:t>précédemment</w:t>
      </w:r>
      <w:r w:rsidRPr="002C4077">
        <w:t xml:space="preserve"> </w:t>
      </w:r>
      <w:r>
        <w:t>inscrit</w:t>
      </w:r>
      <w:r w:rsidRPr="002C4077">
        <w:t xml:space="preserve"> </w:t>
      </w:r>
      <w:r>
        <w:t>sur</w:t>
      </w:r>
      <w:r w:rsidRPr="002C4077">
        <w:t xml:space="preserve"> </w:t>
      </w:r>
      <w:r>
        <w:t>la</w:t>
      </w:r>
      <w:r w:rsidRPr="002C4077">
        <w:t xml:space="preserve"> </w:t>
      </w:r>
      <w:r>
        <w:t>tablette.</w:t>
      </w:r>
      <w:r w:rsidR="00C45B47">
        <w:t xml:space="preserve"> {</w:t>
      </w:r>
      <w:r w:rsidR="000721C4">
        <w:t>25</w:t>
      </w:r>
      <w:bookmarkStart w:id="103" w:name="p025"/>
      <w:bookmarkEnd w:id="103"/>
      <w:r w:rsidR="000721C4">
        <w:t xml:space="preserve">} </w:t>
      </w:r>
      <w:r>
        <w:t>Ce</w:t>
      </w:r>
      <w:r w:rsidRPr="002C4077">
        <w:t xml:space="preserve"> </w:t>
      </w:r>
      <w:r>
        <w:t>nom</w:t>
      </w:r>
      <w:r w:rsidRPr="002C4077">
        <w:t xml:space="preserve"> </w:t>
      </w:r>
      <w:r>
        <w:t>signifiait</w:t>
      </w:r>
      <w:r w:rsidRPr="002C4077">
        <w:t xml:space="preserve"> </w:t>
      </w:r>
      <w:r>
        <w:t>que</w:t>
      </w:r>
      <w:r w:rsidRPr="002C4077">
        <w:t xml:space="preserve"> </w:t>
      </w:r>
      <w:r>
        <w:t>le</w:t>
      </w:r>
      <w:r w:rsidRPr="002C4077">
        <w:t xml:space="preserve"> </w:t>
      </w:r>
      <w:r>
        <w:t>roi</w:t>
      </w:r>
      <w:r w:rsidRPr="002C4077">
        <w:t xml:space="preserve"> </w:t>
      </w:r>
      <w:r>
        <w:t>d’Assyrie</w:t>
      </w:r>
      <w:r w:rsidRPr="002C4077">
        <w:t xml:space="preserve"> </w:t>
      </w:r>
      <w:r>
        <w:t>allait</w:t>
      </w:r>
      <w:r w:rsidRPr="002C4077">
        <w:t xml:space="preserve"> </w:t>
      </w:r>
      <w:r>
        <w:t>appesantir</w:t>
      </w:r>
      <w:r w:rsidRPr="002C4077">
        <w:t xml:space="preserve"> </w:t>
      </w:r>
      <w:r>
        <w:t>sur</w:t>
      </w:r>
      <w:r w:rsidRPr="002C4077">
        <w:t xml:space="preserve"> </w:t>
      </w:r>
      <w:r>
        <w:t>ceux</w:t>
      </w:r>
      <w:r w:rsidRPr="002C4077">
        <w:t xml:space="preserve"> </w:t>
      </w:r>
      <w:r>
        <w:t>de</w:t>
      </w:r>
      <w:r w:rsidRPr="002C4077">
        <w:t xml:space="preserve"> </w:t>
      </w:r>
      <w:r>
        <w:t>Damas</w:t>
      </w:r>
      <w:r w:rsidRPr="002C4077">
        <w:t xml:space="preserve"> </w:t>
      </w:r>
      <w:r>
        <w:t>et</w:t>
      </w:r>
      <w:r w:rsidRPr="002C4077">
        <w:t xml:space="preserve"> </w:t>
      </w:r>
      <w:r>
        <w:t>de</w:t>
      </w:r>
      <w:r w:rsidRPr="002C4077">
        <w:t xml:space="preserve"> </w:t>
      </w:r>
      <w:r>
        <w:t>Samarie</w:t>
      </w:r>
      <w:r w:rsidRPr="002C4077">
        <w:t xml:space="preserve"> </w:t>
      </w:r>
      <w:r>
        <w:t>la</w:t>
      </w:r>
      <w:r w:rsidRPr="002C4077">
        <w:t xml:space="preserve"> </w:t>
      </w:r>
      <w:r>
        <w:t>force</w:t>
      </w:r>
      <w:r w:rsidRPr="002C4077">
        <w:t xml:space="preserve"> </w:t>
      </w:r>
      <w:r>
        <w:t>de</w:t>
      </w:r>
      <w:r w:rsidRPr="002C4077">
        <w:t xml:space="preserve"> </w:t>
      </w:r>
      <w:r>
        <w:t>son</w:t>
      </w:r>
      <w:r w:rsidRPr="002C4077">
        <w:t xml:space="preserve"> </w:t>
      </w:r>
      <w:r>
        <w:t>bras,</w:t>
      </w:r>
      <w:r w:rsidRPr="002C4077">
        <w:t xml:space="preserve"> </w:t>
      </w:r>
      <w:r>
        <w:t>et</w:t>
      </w:r>
      <w:r w:rsidRPr="002C4077">
        <w:t xml:space="preserve"> </w:t>
      </w:r>
      <w:r>
        <w:t>qu’il</w:t>
      </w:r>
      <w:r w:rsidRPr="002C4077">
        <w:t xml:space="preserve"> </w:t>
      </w:r>
      <w:r>
        <w:t>emporterait</w:t>
      </w:r>
      <w:r w:rsidRPr="002C4077">
        <w:t xml:space="preserve"> </w:t>
      </w:r>
      <w:r>
        <w:t>au</w:t>
      </w:r>
      <w:r w:rsidRPr="002C4077">
        <w:t xml:space="preserve"> </w:t>
      </w:r>
      <w:r>
        <w:t>loin</w:t>
      </w:r>
      <w:r w:rsidRPr="002C4077">
        <w:t xml:space="preserve"> </w:t>
      </w:r>
      <w:r>
        <w:t>leurs</w:t>
      </w:r>
      <w:r w:rsidRPr="002C4077">
        <w:t xml:space="preserve"> </w:t>
      </w:r>
      <w:r>
        <w:t>dépouilles,</w:t>
      </w:r>
      <w:r w:rsidRPr="002C4077">
        <w:t xml:space="preserve"> </w:t>
      </w:r>
      <w:r>
        <w:t>avant</w:t>
      </w:r>
      <w:r w:rsidRPr="002C4077">
        <w:t xml:space="preserve"> </w:t>
      </w:r>
      <w:r>
        <w:t>même</w:t>
      </w:r>
      <w:r w:rsidRPr="002C4077">
        <w:t xml:space="preserve"> </w:t>
      </w:r>
      <w:r>
        <w:t>que</w:t>
      </w:r>
      <w:r w:rsidRPr="002C4077">
        <w:t xml:space="preserve"> </w:t>
      </w:r>
      <w:r>
        <w:t>le</w:t>
      </w:r>
      <w:r w:rsidRPr="002C4077">
        <w:t xml:space="preserve"> </w:t>
      </w:r>
      <w:r>
        <w:t>nouveau-né</w:t>
      </w:r>
      <w:r w:rsidRPr="002C4077">
        <w:t xml:space="preserve"> </w:t>
      </w:r>
      <w:r>
        <w:t>eût</w:t>
      </w:r>
      <w:r w:rsidRPr="002C4077">
        <w:t xml:space="preserve"> </w:t>
      </w:r>
      <w:r>
        <w:t>appris</w:t>
      </w:r>
      <w:r w:rsidRPr="002C4077">
        <w:t xml:space="preserve"> </w:t>
      </w:r>
      <w:r>
        <w:t>à</w:t>
      </w:r>
      <w:r w:rsidRPr="002C4077">
        <w:t xml:space="preserve"> </w:t>
      </w:r>
      <w:r>
        <w:t>prononcer</w:t>
      </w:r>
      <w:r w:rsidRPr="002C4077">
        <w:t xml:space="preserve"> </w:t>
      </w:r>
      <w:r>
        <w:t>les</w:t>
      </w:r>
      <w:r w:rsidRPr="002C4077">
        <w:t xml:space="preserve"> </w:t>
      </w:r>
      <w:r>
        <w:t>premiers</w:t>
      </w:r>
      <w:r w:rsidRPr="002C4077">
        <w:t xml:space="preserve"> </w:t>
      </w:r>
      <w:r>
        <w:t>mots</w:t>
      </w:r>
      <w:r w:rsidRPr="002C4077">
        <w:t xml:space="preserve"> </w:t>
      </w:r>
      <w:r>
        <w:t>qui</w:t>
      </w:r>
      <w:r w:rsidRPr="002C4077">
        <w:t xml:space="preserve"> </w:t>
      </w:r>
      <w:r>
        <w:t>viennent</w:t>
      </w:r>
      <w:r w:rsidRPr="002C4077">
        <w:t xml:space="preserve"> </w:t>
      </w:r>
      <w:r>
        <w:t>sur</w:t>
      </w:r>
      <w:r w:rsidRPr="002C4077">
        <w:t xml:space="preserve"> </w:t>
      </w:r>
      <w:r>
        <w:t>les</w:t>
      </w:r>
      <w:r w:rsidRPr="002C4077">
        <w:t xml:space="preserve"> </w:t>
      </w:r>
      <w:r>
        <w:t>lèvres</w:t>
      </w:r>
      <w:r w:rsidRPr="002C4077">
        <w:t xml:space="preserve"> </w:t>
      </w:r>
      <w:r>
        <w:t>des</w:t>
      </w:r>
      <w:r w:rsidRPr="002C4077">
        <w:t xml:space="preserve"> </w:t>
      </w:r>
      <w:r>
        <w:t>enfants</w:t>
      </w:r>
      <w:r w:rsidRPr="004440EA">
        <w:t xml:space="preserve"> (</w:t>
      </w:r>
      <w:r>
        <w:rPr>
          <w:smallCaps/>
        </w:rPr>
        <w:t>VIII</w:t>
      </w:r>
      <w:r>
        <w:t>,</w:t>
      </w:r>
      <w:r w:rsidRPr="002C4077">
        <w:t xml:space="preserve"> </w:t>
      </w:r>
      <w:r>
        <w:t>1-4</w:t>
      </w:r>
      <w:r w:rsidR="00B546AF" w:rsidRPr="002C4077">
        <w:t>)</w:t>
      </w:r>
      <w:r>
        <w:t>.</w:t>
      </w:r>
      <w:r w:rsidRPr="002C4077">
        <w:t xml:space="preserve"> </w:t>
      </w:r>
    </w:p>
    <w:p w:rsidR="000A7AAB" w:rsidRDefault="000A7AAB" w:rsidP="000A7AAB">
      <w:r>
        <w:t>Mais</w:t>
      </w:r>
      <w:bookmarkStart w:id="104" w:name="z_Assyriens_o1"/>
      <w:bookmarkEnd w:id="104"/>
      <w:r w:rsidRPr="002C4077">
        <w:t xml:space="preserve"> </w:t>
      </w:r>
      <w:r>
        <w:t>tout</w:t>
      </w:r>
      <w:r w:rsidRPr="002C4077">
        <w:t xml:space="preserve"> </w:t>
      </w:r>
      <w:r>
        <w:t>à</w:t>
      </w:r>
      <w:r w:rsidRPr="002C4077">
        <w:t xml:space="preserve"> </w:t>
      </w:r>
      <w:r>
        <w:t>coup</w:t>
      </w:r>
      <w:r w:rsidRPr="002C4077">
        <w:t xml:space="preserve"> </w:t>
      </w:r>
      <w:r>
        <w:t>le</w:t>
      </w:r>
      <w:r w:rsidRPr="002C4077">
        <w:t xml:space="preserve"> </w:t>
      </w:r>
      <w:r>
        <w:t>prophète</w:t>
      </w:r>
      <w:r w:rsidRPr="002C4077">
        <w:t xml:space="preserve"> </w:t>
      </w:r>
      <w:r>
        <w:t>reçoit</w:t>
      </w:r>
      <w:r w:rsidRPr="002C4077">
        <w:t xml:space="preserve"> </w:t>
      </w:r>
      <w:r>
        <w:t>un</w:t>
      </w:r>
      <w:r w:rsidRPr="002C4077">
        <w:t xml:space="preserve"> </w:t>
      </w:r>
      <w:r>
        <w:t>nouvel</w:t>
      </w:r>
      <w:r w:rsidRPr="002C4077">
        <w:t xml:space="preserve"> </w:t>
      </w:r>
      <w:r>
        <w:t>oracle,</w:t>
      </w:r>
      <w:r w:rsidRPr="002C4077">
        <w:t xml:space="preserve"> </w:t>
      </w:r>
      <w:r>
        <w:t>terrible</w:t>
      </w:r>
      <w:r w:rsidRPr="002C4077">
        <w:t xml:space="preserve"> </w:t>
      </w:r>
      <w:r>
        <w:t>pour</w:t>
      </w:r>
      <w:r w:rsidRPr="002C4077">
        <w:t xml:space="preserve"> </w:t>
      </w:r>
      <w:r>
        <w:t>Juda</w:t>
      </w:r>
      <w:bookmarkStart w:id="105" w:name="z_JudaRoyaume_o2"/>
      <w:bookmarkEnd w:id="105"/>
      <w:r w:rsidRPr="002C4077">
        <w:t xml:space="preserve"> </w:t>
      </w:r>
      <w:r>
        <w:t>qui,</w:t>
      </w:r>
      <w:r w:rsidRPr="002C4077">
        <w:t xml:space="preserve"> </w:t>
      </w:r>
      <w:r>
        <w:t>en</w:t>
      </w:r>
      <w:r w:rsidRPr="002C4077">
        <w:t xml:space="preserve"> </w:t>
      </w:r>
      <w:r>
        <w:t>imitant</w:t>
      </w:r>
      <w:r w:rsidRPr="002C4077">
        <w:t xml:space="preserve"> </w:t>
      </w:r>
      <w:r>
        <w:t>l’infidélité</w:t>
      </w:r>
      <w:r w:rsidRPr="002C4077">
        <w:t xml:space="preserve"> </w:t>
      </w:r>
      <w:r>
        <w:t>de</w:t>
      </w:r>
      <w:r w:rsidRPr="002C4077">
        <w:t xml:space="preserve"> </w:t>
      </w:r>
      <w:r>
        <w:t>Samarie,</w:t>
      </w:r>
      <w:r w:rsidRPr="002C4077">
        <w:t xml:space="preserve"> </w:t>
      </w:r>
      <w:r>
        <w:t>a</w:t>
      </w:r>
      <w:r w:rsidRPr="002C4077">
        <w:t xml:space="preserve"> </w:t>
      </w:r>
      <w:r>
        <w:t>aussi</w:t>
      </w:r>
      <w:r w:rsidRPr="002C4077">
        <w:t xml:space="preserve"> </w:t>
      </w:r>
      <w:r>
        <w:t>mérité</w:t>
      </w:r>
      <w:r w:rsidRPr="002C4077">
        <w:t xml:space="preserve"> </w:t>
      </w:r>
      <w:r>
        <w:t>un</w:t>
      </w:r>
      <w:r w:rsidRPr="002C4077">
        <w:t xml:space="preserve"> </w:t>
      </w:r>
      <w:r>
        <w:t>châtiment</w:t>
      </w:r>
      <w:r w:rsidRPr="002C4077">
        <w:t xml:space="preserve"> </w:t>
      </w:r>
      <w:r>
        <w:t>exemplaire.</w:t>
      </w:r>
      <w:r w:rsidRPr="002C4077">
        <w:t xml:space="preserve"> </w:t>
      </w:r>
      <w:r>
        <w:t>Ce</w:t>
      </w:r>
      <w:r w:rsidRPr="002C4077">
        <w:t xml:space="preserve"> </w:t>
      </w:r>
      <w:r>
        <w:t>châtiment,</w:t>
      </w:r>
      <w:r w:rsidRPr="002C4077">
        <w:t xml:space="preserve"> </w:t>
      </w:r>
      <w:r>
        <w:t>les</w:t>
      </w:r>
      <w:r w:rsidRPr="002C4077">
        <w:t xml:space="preserve"> </w:t>
      </w:r>
      <w:r>
        <w:t>Juifs</w:t>
      </w:r>
      <w:r w:rsidRPr="002C4077">
        <w:t xml:space="preserve"> </w:t>
      </w:r>
      <w:r>
        <w:t>le</w:t>
      </w:r>
      <w:r w:rsidRPr="002C4077">
        <w:t xml:space="preserve"> </w:t>
      </w:r>
      <w:r>
        <w:t>subiront</w:t>
      </w:r>
      <w:r w:rsidRPr="002C4077">
        <w:t xml:space="preserve"> </w:t>
      </w:r>
      <w:r>
        <w:t>par</w:t>
      </w:r>
      <w:r w:rsidRPr="002C4077">
        <w:t xml:space="preserve"> </w:t>
      </w:r>
      <w:r>
        <w:t>la</w:t>
      </w:r>
      <w:r w:rsidRPr="002C4077">
        <w:t xml:space="preserve"> </w:t>
      </w:r>
      <w:r>
        <w:t>violence</w:t>
      </w:r>
      <w:r w:rsidRPr="002C4077">
        <w:t xml:space="preserve"> </w:t>
      </w:r>
      <w:r>
        <w:t>des</w:t>
      </w:r>
      <w:r w:rsidRPr="002C4077">
        <w:t xml:space="preserve"> </w:t>
      </w:r>
      <w:r>
        <w:t>ambitieux</w:t>
      </w:r>
      <w:r w:rsidRPr="002C4077">
        <w:t xml:space="preserve"> </w:t>
      </w:r>
      <w:r>
        <w:t>monarques</w:t>
      </w:r>
      <w:r w:rsidRPr="002C4077">
        <w:t xml:space="preserve"> </w:t>
      </w:r>
      <w:r>
        <w:t>étrangers,</w:t>
      </w:r>
      <w:r w:rsidRPr="002C4077">
        <w:t xml:space="preserve"> </w:t>
      </w:r>
      <w:r>
        <w:t>dont</w:t>
      </w:r>
      <w:r w:rsidRPr="002C4077">
        <w:t xml:space="preserve"> </w:t>
      </w:r>
      <w:r>
        <w:t>ils</w:t>
      </w:r>
      <w:r w:rsidRPr="002C4077">
        <w:t xml:space="preserve"> </w:t>
      </w:r>
      <w:r>
        <w:t>ont</w:t>
      </w:r>
      <w:r w:rsidRPr="002C4077">
        <w:t xml:space="preserve"> </w:t>
      </w:r>
      <w:r>
        <w:t>imploré</w:t>
      </w:r>
      <w:r w:rsidRPr="002C4077">
        <w:t xml:space="preserve"> </w:t>
      </w:r>
      <w:r>
        <w:t>le</w:t>
      </w:r>
      <w:r w:rsidRPr="002C4077">
        <w:t xml:space="preserve"> </w:t>
      </w:r>
      <w:r>
        <w:t>secours</w:t>
      </w:r>
      <w:r w:rsidRPr="002C4077">
        <w:t xml:space="preserve"> </w:t>
      </w:r>
      <w:r>
        <w:t>aux</w:t>
      </w:r>
      <w:r w:rsidRPr="002C4077">
        <w:t xml:space="preserve"> </w:t>
      </w:r>
      <w:r>
        <w:t>dépens</w:t>
      </w:r>
      <w:r w:rsidRPr="002C4077">
        <w:t xml:space="preserve"> </w:t>
      </w:r>
      <w:r>
        <w:t>de</w:t>
      </w:r>
      <w:r w:rsidRPr="002C4077">
        <w:t xml:space="preserve"> </w:t>
      </w:r>
      <w:r>
        <w:t>l’obéissance</w:t>
      </w:r>
      <w:r w:rsidRPr="002C4077">
        <w:t xml:space="preserve"> </w:t>
      </w:r>
      <w:r>
        <w:t>qu’ils</w:t>
      </w:r>
      <w:r w:rsidRPr="002C4077">
        <w:t xml:space="preserve"> </w:t>
      </w:r>
      <w:r>
        <w:t>devaient</w:t>
      </w:r>
      <w:r w:rsidRPr="002C4077">
        <w:t xml:space="preserve"> </w:t>
      </w:r>
      <w:r>
        <w:t>à</w:t>
      </w:r>
      <w:r w:rsidRPr="002C4077">
        <w:t xml:space="preserve"> </w:t>
      </w:r>
      <w:r>
        <w:t>Jéhovah.</w:t>
      </w:r>
      <w:r w:rsidRPr="002C4077">
        <w:t xml:space="preserve"> </w:t>
      </w:r>
      <w:r>
        <w:t>Toute</w:t>
      </w:r>
      <w:r w:rsidRPr="002C4077">
        <w:t xml:space="preserve"> </w:t>
      </w:r>
      <w:r>
        <w:t>la</w:t>
      </w:r>
      <w:r w:rsidRPr="002C4077">
        <w:t xml:space="preserve"> </w:t>
      </w:r>
      <w:r>
        <w:t>terre</w:t>
      </w:r>
      <w:r w:rsidRPr="002C4077">
        <w:t xml:space="preserve"> </w:t>
      </w:r>
      <w:r>
        <w:t>d’Emmanuel,</w:t>
      </w:r>
      <w:r w:rsidRPr="002C4077">
        <w:t xml:space="preserve"> </w:t>
      </w:r>
      <w:r>
        <w:t>c’est-à-dire</w:t>
      </w:r>
      <w:r w:rsidRPr="002C4077">
        <w:t xml:space="preserve"> </w:t>
      </w:r>
      <w:r>
        <w:t>la</w:t>
      </w:r>
      <w:r w:rsidRPr="002C4077">
        <w:t xml:space="preserve"> </w:t>
      </w:r>
      <w:r>
        <w:t>Judée,</w:t>
      </w:r>
      <w:r w:rsidRPr="002C4077">
        <w:t xml:space="preserve"> </w:t>
      </w:r>
      <w:r>
        <w:t>sera</w:t>
      </w:r>
      <w:r w:rsidRPr="002C4077">
        <w:t xml:space="preserve"> </w:t>
      </w:r>
      <w:r>
        <w:t>inondée</w:t>
      </w:r>
      <w:r w:rsidRPr="002C4077">
        <w:t xml:space="preserve"> </w:t>
      </w:r>
      <w:r>
        <w:t>par</w:t>
      </w:r>
      <w:r w:rsidRPr="002C4077">
        <w:t xml:space="preserve"> </w:t>
      </w:r>
      <w:r>
        <w:t>ce</w:t>
      </w:r>
      <w:r w:rsidRPr="002C4077">
        <w:t xml:space="preserve"> </w:t>
      </w:r>
      <w:r>
        <w:t>torrent</w:t>
      </w:r>
      <w:r w:rsidRPr="002C4077">
        <w:t xml:space="preserve"> </w:t>
      </w:r>
      <w:r>
        <w:t>dévastateur.</w:t>
      </w:r>
      <w:r w:rsidRPr="002C4077">
        <w:t xml:space="preserve"> </w:t>
      </w:r>
      <w:r>
        <w:t>C’est</w:t>
      </w:r>
      <w:r w:rsidRPr="002C4077">
        <w:t xml:space="preserve"> </w:t>
      </w:r>
      <w:r>
        <w:t>un</w:t>
      </w:r>
      <w:r w:rsidRPr="002C4077">
        <w:t xml:space="preserve"> </w:t>
      </w:r>
      <w:r>
        <w:t>cri</w:t>
      </w:r>
      <w:r w:rsidRPr="002C4077">
        <w:t xml:space="preserve"> </w:t>
      </w:r>
      <w:r>
        <w:t>de</w:t>
      </w:r>
      <w:r w:rsidRPr="002C4077">
        <w:t xml:space="preserve"> </w:t>
      </w:r>
      <w:r>
        <w:t>détresse</w:t>
      </w:r>
      <w:r w:rsidRPr="002C4077">
        <w:t xml:space="preserve"> </w:t>
      </w:r>
      <w:r>
        <w:t>que</w:t>
      </w:r>
      <w:r w:rsidRPr="002C4077">
        <w:t xml:space="preserve"> </w:t>
      </w:r>
      <w:r>
        <w:t>pousse</w:t>
      </w:r>
      <w:r w:rsidRPr="002C4077">
        <w:t xml:space="preserve"> </w:t>
      </w:r>
      <w:r>
        <w:t>ici</w:t>
      </w:r>
      <w:r w:rsidRPr="002C4077">
        <w:t xml:space="preserve"> </w:t>
      </w:r>
      <w:r>
        <w:t>le</w:t>
      </w:r>
      <w:r w:rsidRPr="002C4077">
        <w:t xml:space="preserve"> </w:t>
      </w:r>
      <w:r>
        <w:t>prophète</w:t>
      </w:r>
      <w:r w:rsidRPr="002C4077">
        <w:t xml:space="preserve"> </w:t>
      </w:r>
      <w:r>
        <w:t>en</w:t>
      </w:r>
      <w:r w:rsidRPr="002C4077">
        <w:t xml:space="preserve"> </w:t>
      </w:r>
      <w:r>
        <w:t>promulguant</w:t>
      </w:r>
      <w:r w:rsidRPr="002C4077">
        <w:t xml:space="preserve"> </w:t>
      </w:r>
      <w:r>
        <w:t>la</w:t>
      </w:r>
      <w:r w:rsidRPr="002C4077">
        <w:t xml:space="preserve"> </w:t>
      </w:r>
      <w:r>
        <w:t>lugubre</w:t>
      </w:r>
      <w:r w:rsidRPr="002C4077">
        <w:t xml:space="preserve"> </w:t>
      </w:r>
      <w:r>
        <w:t>nouvelle</w:t>
      </w:r>
      <w:r w:rsidR="00B546AF">
        <w:t> :</w:t>
      </w:r>
      <w:r w:rsidRPr="002C4077">
        <w:t xml:space="preserve"> </w:t>
      </w:r>
      <w:r w:rsidRPr="000A34B5">
        <w:rPr>
          <w:rStyle w:val="italicus"/>
        </w:rPr>
        <w:t>Et</w:t>
      </w:r>
      <w:r w:rsidR="0055004A" w:rsidRPr="002C4077">
        <w:t xml:space="preserve"> </w:t>
      </w:r>
      <w:r w:rsidRPr="000A34B5">
        <w:rPr>
          <w:rStyle w:val="italicus"/>
        </w:rPr>
        <w:t>ibit</w:t>
      </w:r>
      <w:r w:rsidR="0055004A" w:rsidRPr="002C4077">
        <w:t xml:space="preserve"> </w:t>
      </w:r>
      <w:r w:rsidRPr="000A34B5">
        <w:rPr>
          <w:rStyle w:val="italicus"/>
        </w:rPr>
        <w:t>per</w:t>
      </w:r>
      <w:r w:rsidR="0055004A" w:rsidRPr="002C4077">
        <w:t xml:space="preserve"> </w:t>
      </w:r>
      <w:r w:rsidRPr="000A34B5">
        <w:rPr>
          <w:rStyle w:val="italicus"/>
        </w:rPr>
        <w:t>Judam</w:t>
      </w:r>
      <w:r w:rsidRPr="002C4077">
        <w:t xml:space="preserve"> </w:t>
      </w:r>
      <w:r w:rsidR="0055004A" w:rsidRPr="000A34B5">
        <w:rPr>
          <w:rStyle w:val="italicus"/>
        </w:rPr>
        <w:t>inúndans</w:t>
      </w:r>
      <w:r w:rsidRPr="000A34B5">
        <w:rPr>
          <w:rStyle w:val="italicus"/>
        </w:rPr>
        <w:t>…</w:t>
      </w:r>
      <w:r w:rsidRPr="002C4077">
        <w:t xml:space="preserve"> </w:t>
      </w:r>
      <w:r w:rsidRPr="000A34B5">
        <w:rPr>
          <w:rStyle w:val="italicus"/>
        </w:rPr>
        <w:t>Et</w:t>
      </w:r>
      <w:r w:rsidRPr="002C4077">
        <w:t xml:space="preserve"> </w:t>
      </w:r>
      <w:r w:rsidR="0055004A" w:rsidRPr="000A34B5">
        <w:rPr>
          <w:rStyle w:val="italicus"/>
        </w:rPr>
        <w:t>erit</w:t>
      </w:r>
      <w:r w:rsidRPr="002C4077">
        <w:t xml:space="preserve"> </w:t>
      </w:r>
      <w:r w:rsidRPr="000A34B5">
        <w:rPr>
          <w:rStyle w:val="italicus"/>
        </w:rPr>
        <w:t>ext</w:t>
      </w:r>
      <w:r w:rsidR="003B53FD">
        <w:rPr>
          <w:rStyle w:val="italicus"/>
        </w:rPr>
        <w:t>é</w:t>
      </w:r>
      <w:r w:rsidR="003B53FD" w:rsidRPr="000A34B5">
        <w:rPr>
          <w:rStyle w:val="italicus"/>
        </w:rPr>
        <w:t>nsio</w:t>
      </w:r>
      <w:r w:rsidRPr="002C4077">
        <w:t xml:space="preserve"> </w:t>
      </w:r>
      <w:r w:rsidRPr="000A34B5">
        <w:rPr>
          <w:rStyle w:val="italicus"/>
        </w:rPr>
        <w:t>al</w:t>
      </w:r>
      <w:r w:rsidR="003B53FD">
        <w:rPr>
          <w:rStyle w:val="italicus"/>
        </w:rPr>
        <w:t>árum</w:t>
      </w:r>
      <w:r w:rsidRPr="002C4077">
        <w:t xml:space="preserve"> </w:t>
      </w:r>
      <w:r w:rsidRPr="000A34B5">
        <w:rPr>
          <w:rStyle w:val="italicus"/>
        </w:rPr>
        <w:t>ejus</w:t>
      </w:r>
      <w:r w:rsidRPr="002C4077">
        <w:t xml:space="preserve"> </w:t>
      </w:r>
      <w:r w:rsidRPr="000A34B5">
        <w:rPr>
          <w:rStyle w:val="italicus"/>
        </w:rPr>
        <w:t>implens</w:t>
      </w:r>
      <w:r w:rsidRPr="002C4077">
        <w:t xml:space="preserve"> </w:t>
      </w:r>
      <w:r w:rsidR="0055004A" w:rsidRPr="000A34B5">
        <w:rPr>
          <w:rStyle w:val="italicus"/>
        </w:rPr>
        <w:t>latitúdinem</w:t>
      </w:r>
      <w:r w:rsidRPr="002C4077">
        <w:t xml:space="preserve"> </w:t>
      </w:r>
      <w:r w:rsidRPr="000A34B5">
        <w:rPr>
          <w:rStyle w:val="italicus"/>
        </w:rPr>
        <w:t>terræ</w:t>
      </w:r>
      <w:r w:rsidRPr="002C4077">
        <w:t xml:space="preserve"> </w:t>
      </w:r>
      <w:r w:rsidRPr="000A34B5">
        <w:rPr>
          <w:rStyle w:val="italicus"/>
        </w:rPr>
        <w:t>tuæ,</w:t>
      </w:r>
      <w:r w:rsidRPr="002C4077">
        <w:t xml:space="preserve"> </w:t>
      </w:r>
      <w:r w:rsidRPr="000A34B5">
        <w:rPr>
          <w:rStyle w:val="italicus"/>
        </w:rPr>
        <w:t>o</w:t>
      </w:r>
      <w:r w:rsidRPr="002C4077">
        <w:t xml:space="preserve"> </w:t>
      </w:r>
      <w:r w:rsidRPr="000A34B5">
        <w:rPr>
          <w:rStyle w:val="italicus"/>
        </w:rPr>
        <w:t>Emmanu</w:t>
      </w:r>
      <w:r w:rsidR="00F6492C" w:rsidRPr="000A34B5">
        <w:rPr>
          <w:rStyle w:val="italicus"/>
        </w:rPr>
        <w:t>el</w:t>
      </w:r>
      <w:r w:rsidR="00F6492C">
        <w:rPr>
          <w:rStyle w:val="Appelnotedebasdep"/>
          <w:i/>
        </w:rPr>
        <w:footnoteReference w:id="71"/>
      </w:r>
      <w:r w:rsidR="00F6492C" w:rsidRPr="000A34B5">
        <w:rPr>
          <w:rStyle w:val="italicus"/>
        </w:rPr>
        <w:t>.</w:t>
      </w:r>
      <w:r w:rsidRPr="002C4077">
        <w:t xml:space="preserve"> </w:t>
      </w:r>
      <w:r>
        <w:t>Mais</w:t>
      </w:r>
      <w:r w:rsidRPr="002C4077">
        <w:t xml:space="preserve"> </w:t>
      </w:r>
      <w:r>
        <w:t>quand</w:t>
      </w:r>
      <w:r w:rsidRPr="002C4077">
        <w:t xml:space="preserve"> </w:t>
      </w:r>
      <w:r>
        <w:t>Assur</w:t>
      </w:r>
      <w:r w:rsidRPr="002C4077">
        <w:t xml:space="preserve"> </w:t>
      </w:r>
      <w:r>
        <w:t>sera</w:t>
      </w:r>
      <w:r w:rsidRPr="002C4077">
        <w:t xml:space="preserve"> </w:t>
      </w:r>
      <w:r>
        <w:t>sur</w:t>
      </w:r>
      <w:r w:rsidRPr="002C4077">
        <w:t xml:space="preserve"> </w:t>
      </w:r>
      <w:r>
        <w:t>le</w:t>
      </w:r>
      <w:r w:rsidRPr="002C4077">
        <w:t xml:space="preserve"> </w:t>
      </w:r>
      <w:r>
        <w:t>point</w:t>
      </w:r>
      <w:r w:rsidRPr="002C4077">
        <w:t xml:space="preserve"> </w:t>
      </w:r>
      <w:r>
        <w:t>de</w:t>
      </w:r>
      <w:r w:rsidRPr="002C4077">
        <w:t xml:space="preserve"> </w:t>
      </w:r>
      <w:r>
        <w:t>tout</w:t>
      </w:r>
      <w:r w:rsidRPr="002C4077">
        <w:t xml:space="preserve"> </w:t>
      </w:r>
      <w:r>
        <w:t>engloutir,</w:t>
      </w:r>
      <w:r w:rsidRPr="002C4077">
        <w:t xml:space="preserve"> </w:t>
      </w:r>
      <w:r>
        <w:t>la</w:t>
      </w:r>
      <w:r w:rsidRPr="002C4077">
        <w:t xml:space="preserve"> </w:t>
      </w:r>
      <w:r>
        <w:t>puissance</w:t>
      </w:r>
      <w:r w:rsidRPr="002C4077">
        <w:t xml:space="preserve"> </w:t>
      </w:r>
      <w:r>
        <w:t>d’Emmanuel</w:t>
      </w:r>
      <w:r w:rsidRPr="002C4077">
        <w:t xml:space="preserve"> </w:t>
      </w:r>
      <w:r>
        <w:t>se</w:t>
      </w:r>
      <w:r w:rsidRPr="002C4077">
        <w:t xml:space="preserve"> </w:t>
      </w:r>
      <w:r>
        <w:t>manifestera</w:t>
      </w:r>
      <w:r w:rsidRPr="002C4077">
        <w:t xml:space="preserve"> </w:t>
      </w:r>
      <w:r>
        <w:t>par</w:t>
      </w:r>
      <w:r w:rsidRPr="002C4077">
        <w:t xml:space="preserve"> </w:t>
      </w:r>
      <w:r>
        <w:t>la</w:t>
      </w:r>
      <w:r w:rsidRPr="002C4077">
        <w:t xml:space="preserve"> </w:t>
      </w:r>
      <w:r>
        <w:t>plus</w:t>
      </w:r>
      <w:r w:rsidRPr="002C4077">
        <w:t xml:space="preserve"> </w:t>
      </w:r>
      <w:r>
        <w:t>merveilleuse</w:t>
      </w:r>
      <w:r w:rsidRPr="002C4077">
        <w:t xml:space="preserve"> </w:t>
      </w:r>
      <w:r>
        <w:t>des</w:t>
      </w:r>
      <w:r w:rsidRPr="002C4077">
        <w:t xml:space="preserve"> </w:t>
      </w:r>
      <w:r>
        <w:t>délivrances.</w:t>
      </w:r>
      <w:r w:rsidRPr="002C4077">
        <w:t xml:space="preserve"> </w:t>
      </w:r>
      <w:r>
        <w:t>Néanmoins</w:t>
      </w:r>
      <w:r w:rsidRPr="002C4077">
        <w:t xml:space="preserve"> </w:t>
      </w:r>
      <w:r>
        <w:t>son</w:t>
      </w:r>
      <w:r w:rsidRPr="002C4077">
        <w:t xml:space="preserve"> </w:t>
      </w:r>
      <w:r>
        <w:t>salut</w:t>
      </w:r>
      <w:r w:rsidRPr="002C4077">
        <w:t xml:space="preserve"> </w:t>
      </w:r>
      <w:r>
        <w:t>ne</w:t>
      </w:r>
      <w:r w:rsidRPr="002C4077">
        <w:t xml:space="preserve"> </w:t>
      </w:r>
      <w:r>
        <w:t>s’étendra</w:t>
      </w:r>
      <w:r w:rsidRPr="002C4077">
        <w:t xml:space="preserve"> </w:t>
      </w:r>
      <w:r>
        <w:t>que</w:t>
      </w:r>
      <w:r w:rsidRPr="002C4077">
        <w:t xml:space="preserve"> </w:t>
      </w:r>
      <w:r>
        <w:t>sur</w:t>
      </w:r>
      <w:r w:rsidRPr="002C4077">
        <w:t xml:space="preserve"> </w:t>
      </w:r>
      <w:r>
        <w:t>les</w:t>
      </w:r>
      <w:r w:rsidRPr="002C4077">
        <w:t xml:space="preserve"> </w:t>
      </w:r>
      <w:r>
        <w:t>bons</w:t>
      </w:r>
      <w:r w:rsidR="00B546AF">
        <w:t> :</w:t>
      </w:r>
      <w:r w:rsidRPr="002C4077">
        <w:t xml:space="preserve"> </w:t>
      </w:r>
      <w:r>
        <w:t>il</w:t>
      </w:r>
      <w:r w:rsidRPr="002C4077">
        <w:t xml:space="preserve"> </w:t>
      </w:r>
      <w:r>
        <w:t>sera</w:t>
      </w:r>
      <w:r w:rsidRPr="002C4077">
        <w:t xml:space="preserve"> </w:t>
      </w:r>
      <w:r>
        <w:t>pour</w:t>
      </w:r>
      <w:r w:rsidRPr="002C4077">
        <w:t xml:space="preserve"> </w:t>
      </w:r>
      <w:r>
        <w:t>eux</w:t>
      </w:r>
      <w:r w:rsidRPr="002C4077">
        <w:t xml:space="preserve"> </w:t>
      </w:r>
      <w:r>
        <w:t>un</w:t>
      </w:r>
      <w:r w:rsidRPr="002C4077">
        <w:t xml:space="preserve"> </w:t>
      </w:r>
      <w:r>
        <w:t>asile</w:t>
      </w:r>
      <w:r w:rsidRPr="002C4077">
        <w:t xml:space="preserve"> </w:t>
      </w:r>
      <w:r>
        <w:t>sûr</w:t>
      </w:r>
      <w:r w:rsidRPr="002C4077">
        <w:t xml:space="preserve"> </w:t>
      </w:r>
      <w:r>
        <w:t>et</w:t>
      </w:r>
      <w:r w:rsidRPr="002C4077">
        <w:t xml:space="preserve"> </w:t>
      </w:r>
      <w:r>
        <w:t>un</w:t>
      </w:r>
      <w:r w:rsidRPr="002C4077">
        <w:t xml:space="preserve"> </w:t>
      </w:r>
      <w:r>
        <w:t>sanctuaire</w:t>
      </w:r>
      <w:r w:rsidRPr="002C4077">
        <w:t xml:space="preserve"> </w:t>
      </w:r>
      <w:r>
        <w:t>inviolable,</w:t>
      </w:r>
      <w:r w:rsidRPr="002C4077">
        <w:t xml:space="preserve"> </w:t>
      </w:r>
      <w:r>
        <w:t>tandis</w:t>
      </w:r>
      <w:r w:rsidRPr="002C4077">
        <w:t xml:space="preserve"> </w:t>
      </w:r>
      <w:r>
        <w:t>qu’il</w:t>
      </w:r>
      <w:r w:rsidRPr="002C4077">
        <w:t xml:space="preserve"> </w:t>
      </w:r>
      <w:r>
        <w:t>se</w:t>
      </w:r>
      <w:r w:rsidRPr="002C4077">
        <w:t xml:space="preserve"> </w:t>
      </w:r>
      <w:r>
        <w:t>transformera</w:t>
      </w:r>
      <w:r w:rsidRPr="002C4077">
        <w:t xml:space="preserve"> </w:t>
      </w:r>
      <w:r>
        <w:t>pour</w:t>
      </w:r>
      <w:r w:rsidRPr="002C4077">
        <w:t xml:space="preserve"> </w:t>
      </w:r>
      <w:r>
        <w:t>les</w:t>
      </w:r>
      <w:r w:rsidRPr="002C4077">
        <w:t xml:space="preserve"> </w:t>
      </w:r>
      <w:r>
        <w:t>méchants</w:t>
      </w:r>
      <w:r w:rsidRPr="002C4077">
        <w:t xml:space="preserve"> </w:t>
      </w:r>
      <w:r>
        <w:t>en</w:t>
      </w:r>
      <w:r w:rsidRPr="002C4077">
        <w:t xml:space="preserve"> </w:t>
      </w:r>
      <w:r>
        <w:t>une</w:t>
      </w:r>
      <w:r w:rsidRPr="002C4077">
        <w:t xml:space="preserve"> </w:t>
      </w:r>
      <w:r>
        <w:t>pierre</w:t>
      </w:r>
      <w:r w:rsidRPr="002C4077">
        <w:t xml:space="preserve"> </w:t>
      </w:r>
      <w:r>
        <w:t>d’achoppement</w:t>
      </w:r>
      <w:r w:rsidRPr="002C4077">
        <w:t xml:space="preserve"> </w:t>
      </w:r>
      <w:r>
        <w:t>et</w:t>
      </w:r>
      <w:r w:rsidRPr="002C4077">
        <w:t xml:space="preserve"> </w:t>
      </w:r>
      <w:r>
        <w:t>de</w:t>
      </w:r>
      <w:r w:rsidRPr="002C4077">
        <w:t xml:space="preserve"> </w:t>
      </w:r>
      <w:r>
        <w:t>ruine.</w:t>
      </w:r>
      <w:r w:rsidRPr="002C4077">
        <w:t xml:space="preserve"> </w:t>
      </w:r>
      <w:r>
        <w:t>Tel</w:t>
      </w:r>
      <w:r w:rsidRPr="002C4077">
        <w:t xml:space="preserve"> </w:t>
      </w:r>
      <w:r w:rsidR="00425C50">
        <w:t>est</w:t>
      </w:r>
      <w:r w:rsidRPr="002C4077">
        <w:t xml:space="preserve"> </w:t>
      </w:r>
      <w:r>
        <w:t>l’avertissement</w:t>
      </w:r>
      <w:r w:rsidRPr="002C4077">
        <w:t xml:space="preserve"> </w:t>
      </w:r>
      <w:r>
        <w:t>solennel</w:t>
      </w:r>
      <w:r w:rsidRPr="002C4077">
        <w:t xml:space="preserve"> </w:t>
      </w:r>
      <w:r>
        <w:t>que</w:t>
      </w:r>
      <w:r w:rsidRPr="002C4077">
        <w:t xml:space="preserve"> </w:t>
      </w:r>
      <w:r>
        <w:t>le</w:t>
      </w:r>
      <w:r w:rsidRPr="002C4077">
        <w:t xml:space="preserve"> </w:t>
      </w:r>
      <w:r>
        <w:t>prophète</w:t>
      </w:r>
      <w:r w:rsidRPr="002C4077">
        <w:t xml:space="preserve"> </w:t>
      </w:r>
      <w:r>
        <w:t>reçoit</w:t>
      </w:r>
      <w:r w:rsidRPr="002C4077">
        <w:t xml:space="preserve"> </w:t>
      </w:r>
      <w:r>
        <w:t>et</w:t>
      </w:r>
      <w:r w:rsidRPr="002C4077">
        <w:t xml:space="preserve"> </w:t>
      </w:r>
      <w:r>
        <w:t>qu’il</w:t>
      </w:r>
      <w:r w:rsidRPr="002C4077">
        <w:t xml:space="preserve"> </w:t>
      </w:r>
      <w:r>
        <w:t>transmet</w:t>
      </w:r>
      <w:r w:rsidRPr="002C4077">
        <w:t xml:space="preserve"> </w:t>
      </w:r>
      <w:r>
        <w:t>fidèlement</w:t>
      </w:r>
      <w:r w:rsidRPr="002C4077">
        <w:t xml:space="preserve"> </w:t>
      </w:r>
      <w:r>
        <w:t>à</w:t>
      </w:r>
      <w:r w:rsidRPr="002C4077">
        <w:t xml:space="preserve"> </w:t>
      </w:r>
      <w:r>
        <w:t>tous</w:t>
      </w:r>
      <w:r w:rsidRPr="004440EA">
        <w:t xml:space="preserve"> (</w:t>
      </w:r>
      <w:r>
        <w:rPr>
          <w:smallCaps/>
        </w:rPr>
        <w:t>VIII</w:t>
      </w:r>
      <w:r>
        <w:t>,</w:t>
      </w:r>
      <w:r w:rsidRPr="002C4077">
        <w:t xml:space="preserve"> </w:t>
      </w:r>
      <w:r>
        <w:t>5-22</w:t>
      </w:r>
      <w:r w:rsidR="00B546AF" w:rsidRPr="002C4077">
        <w:t>)</w:t>
      </w:r>
      <w:r>
        <w:t>.</w:t>
      </w:r>
      <w:r w:rsidRPr="002C4077">
        <w:t xml:space="preserve"> </w:t>
      </w:r>
    </w:p>
    <w:p w:rsidR="000A7AAB" w:rsidRDefault="000A7AAB" w:rsidP="000A7AAB">
      <w:r>
        <w:t>Mais</w:t>
      </w:r>
      <w:r w:rsidRPr="002C4077">
        <w:t xml:space="preserve"> </w:t>
      </w:r>
      <w:r>
        <w:t>voici</w:t>
      </w:r>
      <w:r w:rsidRPr="002C4077">
        <w:t xml:space="preserve"> </w:t>
      </w:r>
      <w:r>
        <w:t>que</w:t>
      </w:r>
      <w:r w:rsidRPr="002C4077">
        <w:t xml:space="preserve"> </w:t>
      </w:r>
      <w:r>
        <w:t>retentissent</w:t>
      </w:r>
      <w:r w:rsidRPr="002C4077">
        <w:t xml:space="preserve"> </w:t>
      </w:r>
      <w:r>
        <w:t>des</w:t>
      </w:r>
      <w:r w:rsidRPr="002C4077">
        <w:t xml:space="preserve"> </w:t>
      </w:r>
      <w:r>
        <w:t>accents</w:t>
      </w:r>
      <w:r w:rsidRPr="002C4077">
        <w:t xml:space="preserve"> </w:t>
      </w:r>
      <w:r>
        <w:t>d’allégresse,</w:t>
      </w:r>
      <w:r w:rsidRPr="002C4077">
        <w:t xml:space="preserve"> </w:t>
      </w:r>
      <w:r>
        <w:t>de</w:t>
      </w:r>
      <w:r w:rsidRPr="002C4077">
        <w:t xml:space="preserve"> </w:t>
      </w:r>
      <w:r>
        <w:t>triomphe.</w:t>
      </w:r>
      <w:r w:rsidRPr="002C4077">
        <w:t xml:space="preserve"> </w:t>
      </w:r>
      <w:r w:rsidR="00B546AF">
        <w:t>« </w:t>
      </w:r>
      <w:r>
        <w:t>Non,</w:t>
      </w:r>
      <w:r w:rsidRPr="002C4077">
        <w:t xml:space="preserve"> </w:t>
      </w:r>
      <w:r>
        <w:t>il</w:t>
      </w:r>
      <w:r w:rsidRPr="002C4077">
        <w:t xml:space="preserve"> </w:t>
      </w:r>
      <w:r>
        <w:t>n’y</w:t>
      </w:r>
      <w:r w:rsidRPr="002C4077">
        <w:t xml:space="preserve"> </w:t>
      </w:r>
      <w:r>
        <w:t>a</w:t>
      </w:r>
      <w:r w:rsidRPr="002C4077">
        <w:t xml:space="preserve"> </w:t>
      </w:r>
      <w:r>
        <w:t>plus</w:t>
      </w:r>
      <w:r w:rsidRPr="002C4077">
        <w:t xml:space="preserve"> </w:t>
      </w:r>
      <w:r>
        <w:t>de</w:t>
      </w:r>
      <w:r w:rsidRPr="002C4077">
        <w:t xml:space="preserve"> </w:t>
      </w:r>
      <w:r>
        <w:t>ténèbres</w:t>
      </w:r>
      <w:r w:rsidRPr="002C4077">
        <w:t xml:space="preserve"> </w:t>
      </w:r>
      <w:r>
        <w:t>sur</w:t>
      </w:r>
      <w:r w:rsidRPr="002C4077">
        <w:t xml:space="preserve"> </w:t>
      </w:r>
      <w:r>
        <w:t>la</w:t>
      </w:r>
      <w:r w:rsidRPr="002C4077">
        <w:t xml:space="preserve"> </w:t>
      </w:r>
      <w:r>
        <w:t>terre</w:t>
      </w:r>
      <w:r w:rsidRPr="002C4077">
        <w:t xml:space="preserve"> </w:t>
      </w:r>
      <w:r>
        <w:t>opprimée.</w:t>
      </w:r>
      <w:r w:rsidRPr="002C4077">
        <w:t xml:space="preserve"> </w:t>
      </w:r>
      <w:r>
        <w:t>Les</w:t>
      </w:r>
      <w:r w:rsidRPr="002C4077">
        <w:t xml:space="preserve"> </w:t>
      </w:r>
      <w:r>
        <w:t>premiers</w:t>
      </w:r>
      <w:r w:rsidRPr="002C4077">
        <w:t xml:space="preserve"> </w:t>
      </w:r>
      <w:r>
        <w:t>temps</w:t>
      </w:r>
      <w:r w:rsidRPr="002C4077">
        <w:t xml:space="preserve"> </w:t>
      </w:r>
      <w:r>
        <w:t>ont</w:t>
      </w:r>
      <w:r w:rsidRPr="002C4077">
        <w:t xml:space="preserve"> </w:t>
      </w:r>
      <w:r>
        <w:t>couvert</w:t>
      </w:r>
      <w:r w:rsidRPr="002C4077">
        <w:t xml:space="preserve"> </w:t>
      </w:r>
      <w:r>
        <w:t>d’i</w:t>
      </w:r>
      <w:r w:rsidR="003B53FD">
        <w:t>gnominie</w:t>
      </w:r>
      <w:r w:rsidRPr="002C4077">
        <w:t xml:space="preserve"> </w:t>
      </w:r>
      <w:r>
        <w:t>la</w:t>
      </w:r>
      <w:r w:rsidRPr="002C4077">
        <w:t xml:space="preserve"> </w:t>
      </w:r>
      <w:r>
        <w:t>terre</w:t>
      </w:r>
      <w:r w:rsidRPr="002C4077">
        <w:t xml:space="preserve"> </w:t>
      </w:r>
      <w:r>
        <w:t>de</w:t>
      </w:r>
      <w:r w:rsidRPr="002C4077">
        <w:t xml:space="preserve"> </w:t>
      </w:r>
      <w:r>
        <w:t>Zabulon</w:t>
      </w:r>
      <w:r w:rsidRPr="002C4077">
        <w:t xml:space="preserve"> </w:t>
      </w:r>
      <w:r>
        <w:t>et</w:t>
      </w:r>
      <w:r w:rsidRPr="002C4077">
        <w:t xml:space="preserve"> </w:t>
      </w:r>
      <w:r>
        <w:t>le</w:t>
      </w:r>
      <w:r w:rsidRPr="002C4077">
        <w:t xml:space="preserve"> </w:t>
      </w:r>
      <w:r>
        <w:t>pays</w:t>
      </w:r>
      <w:r w:rsidRPr="002C4077">
        <w:t xml:space="preserve"> </w:t>
      </w:r>
      <w:r>
        <w:t>de</w:t>
      </w:r>
      <w:r w:rsidRPr="002C4077">
        <w:t xml:space="preserve"> </w:t>
      </w:r>
      <w:r>
        <w:t>Nephtali</w:t>
      </w:r>
      <w:r w:rsidR="00B546AF">
        <w:t> ;</w:t>
      </w:r>
      <w:r w:rsidR="00C45B47">
        <w:t xml:space="preserve"> {</w:t>
      </w:r>
      <w:r w:rsidR="000721C4">
        <w:t>26</w:t>
      </w:r>
      <w:bookmarkStart w:id="106" w:name="p026"/>
      <w:bookmarkEnd w:id="106"/>
      <w:r w:rsidR="000721C4">
        <w:t xml:space="preserve">} </w:t>
      </w:r>
      <w:r>
        <w:t>les</w:t>
      </w:r>
      <w:r w:rsidRPr="002C4077">
        <w:t xml:space="preserve"> </w:t>
      </w:r>
      <w:r>
        <w:t>derniers</w:t>
      </w:r>
      <w:r w:rsidRPr="002C4077">
        <w:t xml:space="preserve"> </w:t>
      </w:r>
      <w:r>
        <w:t>temps</w:t>
      </w:r>
      <w:r w:rsidRPr="002C4077">
        <w:t xml:space="preserve"> </w:t>
      </w:r>
      <w:r>
        <w:t>la</w:t>
      </w:r>
      <w:r w:rsidRPr="002C4077">
        <w:t xml:space="preserve"> </w:t>
      </w:r>
      <w:r>
        <w:t>couvriront</w:t>
      </w:r>
      <w:r w:rsidRPr="002C4077">
        <w:t xml:space="preserve"> </w:t>
      </w:r>
      <w:r>
        <w:t>de</w:t>
      </w:r>
      <w:r w:rsidRPr="002C4077">
        <w:t xml:space="preserve"> </w:t>
      </w:r>
      <w:r>
        <w:t>gloire</w:t>
      </w:r>
      <w:r w:rsidR="00B546AF">
        <w:t> :</w:t>
      </w:r>
      <w:r w:rsidRPr="002C4077">
        <w:t xml:space="preserve"> </w:t>
      </w:r>
      <w:r>
        <w:t>ces</w:t>
      </w:r>
      <w:r w:rsidRPr="002C4077">
        <w:t xml:space="preserve"> </w:t>
      </w:r>
      <w:r>
        <w:t>lieux</w:t>
      </w:r>
      <w:r w:rsidRPr="002C4077">
        <w:t xml:space="preserve"> </w:t>
      </w:r>
      <w:r>
        <w:t>situés</w:t>
      </w:r>
      <w:r w:rsidRPr="002C4077">
        <w:t xml:space="preserve"> </w:t>
      </w:r>
      <w:r>
        <w:t>le</w:t>
      </w:r>
      <w:r w:rsidRPr="002C4077">
        <w:t xml:space="preserve"> </w:t>
      </w:r>
      <w:r>
        <w:t>long</w:t>
      </w:r>
      <w:r w:rsidRPr="002C4077">
        <w:t xml:space="preserve"> </w:t>
      </w:r>
      <w:r>
        <w:t>de</w:t>
      </w:r>
      <w:r w:rsidRPr="002C4077">
        <w:t xml:space="preserve"> </w:t>
      </w:r>
      <w:r>
        <w:t>la</w:t>
      </w:r>
      <w:r w:rsidRPr="002C4077">
        <w:t xml:space="preserve"> </w:t>
      </w:r>
      <w:r>
        <w:t>mer,</w:t>
      </w:r>
      <w:r w:rsidRPr="002C4077">
        <w:t xml:space="preserve"> </w:t>
      </w:r>
      <w:r>
        <w:t>au</w:t>
      </w:r>
      <w:r w:rsidRPr="002C4077">
        <w:t xml:space="preserve"> </w:t>
      </w:r>
      <w:r>
        <w:t>delà</w:t>
      </w:r>
      <w:r w:rsidRPr="002C4077">
        <w:t xml:space="preserve"> </w:t>
      </w:r>
      <w:r>
        <w:t>du</w:t>
      </w:r>
      <w:r w:rsidRPr="002C4077">
        <w:t xml:space="preserve"> </w:t>
      </w:r>
      <w:r>
        <w:t>Jourdain,</w:t>
      </w:r>
      <w:r w:rsidRPr="002C4077">
        <w:t xml:space="preserve"> </w:t>
      </w:r>
      <w:r>
        <w:t>la</w:t>
      </w:r>
      <w:r w:rsidRPr="002C4077">
        <w:t xml:space="preserve"> </w:t>
      </w:r>
      <w:r>
        <w:t>Galilée</w:t>
      </w:r>
      <w:r w:rsidRPr="002C4077">
        <w:t xml:space="preserve"> </w:t>
      </w:r>
      <w:r>
        <w:t>des</w:t>
      </w:r>
      <w:r w:rsidRPr="002C4077">
        <w:t xml:space="preserve"> </w:t>
      </w:r>
      <w:r>
        <w:t>nations.</w:t>
      </w:r>
      <w:r w:rsidRPr="002C4077">
        <w:t xml:space="preserve"> </w:t>
      </w:r>
      <w:r>
        <w:t>Le</w:t>
      </w:r>
      <w:r w:rsidRPr="002C4077">
        <w:t xml:space="preserve"> </w:t>
      </w:r>
      <w:r>
        <w:t>peuple</w:t>
      </w:r>
      <w:r w:rsidRPr="002C4077">
        <w:t xml:space="preserve"> </w:t>
      </w:r>
      <w:r>
        <w:t>qui</w:t>
      </w:r>
      <w:r w:rsidRPr="002C4077">
        <w:t xml:space="preserve"> </w:t>
      </w:r>
      <w:r>
        <w:t>marchait</w:t>
      </w:r>
      <w:r w:rsidRPr="002C4077">
        <w:t xml:space="preserve"> </w:t>
      </w:r>
      <w:r>
        <w:t>dans</w:t>
      </w:r>
      <w:r w:rsidRPr="002C4077">
        <w:t xml:space="preserve"> </w:t>
      </w:r>
      <w:r>
        <w:t>les</w:t>
      </w:r>
      <w:r w:rsidRPr="002C4077">
        <w:t xml:space="preserve"> </w:t>
      </w:r>
      <w:r>
        <w:t>ténèbres</w:t>
      </w:r>
      <w:r w:rsidRPr="002C4077">
        <w:t xml:space="preserve"> </w:t>
      </w:r>
      <w:r>
        <w:t>a</w:t>
      </w:r>
      <w:r w:rsidRPr="002C4077">
        <w:t xml:space="preserve"> </w:t>
      </w:r>
      <w:r>
        <w:t>vu</w:t>
      </w:r>
      <w:r w:rsidRPr="002C4077">
        <w:t xml:space="preserve"> </w:t>
      </w:r>
      <w:r>
        <w:t>une</w:t>
      </w:r>
      <w:r w:rsidRPr="002C4077">
        <w:t xml:space="preserve"> </w:t>
      </w:r>
      <w:r>
        <w:t>grande</w:t>
      </w:r>
      <w:r w:rsidRPr="002C4077">
        <w:t xml:space="preserve"> </w:t>
      </w:r>
      <w:r>
        <w:t>lumière.</w:t>
      </w:r>
      <w:r w:rsidRPr="002C4077">
        <w:t xml:space="preserve"> </w:t>
      </w:r>
      <w:r w:rsidR="003B53FD">
        <w:t>Celui</w:t>
      </w:r>
      <w:r w:rsidRPr="002C4077">
        <w:t xml:space="preserve"> </w:t>
      </w:r>
      <w:r>
        <w:t>qui</w:t>
      </w:r>
      <w:r w:rsidRPr="002C4077">
        <w:t xml:space="preserve"> </w:t>
      </w:r>
      <w:r>
        <w:t>habitait</w:t>
      </w:r>
      <w:r w:rsidRPr="002C4077">
        <w:t xml:space="preserve"> </w:t>
      </w:r>
      <w:r>
        <w:t>les</w:t>
      </w:r>
      <w:r w:rsidRPr="002C4077">
        <w:t xml:space="preserve"> </w:t>
      </w:r>
      <w:r>
        <w:t>ombres</w:t>
      </w:r>
      <w:r w:rsidRPr="002C4077">
        <w:t xml:space="preserve"> </w:t>
      </w:r>
      <w:r>
        <w:t>de</w:t>
      </w:r>
      <w:r w:rsidRPr="002C4077">
        <w:t xml:space="preserve"> </w:t>
      </w:r>
      <w:r>
        <w:t>la</w:t>
      </w:r>
      <w:r w:rsidRPr="002C4077">
        <w:t xml:space="preserve"> </w:t>
      </w:r>
      <w:r>
        <w:t>mort</w:t>
      </w:r>
      <w:r w:rsidRPr="002C4077">
        <w:t xml:space="preserve"> </w:t>
      </w:r>
      <w:r>
        <w:t>a</w:t>
      </w:r>
      <w:r w:rsidRPr="002C4077">
        <w:t xml:space="preserve"> </w:t>
      </w:r>
      <w:r>
        <w:t>vu</w:t>
      </w:r>
      <w:r w:rsidRPr="002C4077">
        <w:t xml:space="preserve"> </w:t>
      </w:r>
      <w:r>
        <w:t>briller</w:t>
      </w:r>
      <w:r w:rsidRPr="002C4077">
        <w:t xml:space="preserve"> </w:t>
      </w:r>
      <w:r>
        <w:t>l’éclat</w:t>
      </w:r>
      <w:r w:rsidRPr="002C4077">
        <w:t xml:space="preserve"> </w:t>
      </w:r>
      <w:r>
        <w:t>d’un</w:t>
      </w:r>
      <w:r w:rsidRPr="002C4077">
        <w:t xml:space="preserve"> </w:t>
      </w:r>
      <w:r>
        <w:t>beau</w:t>
      </w:r>
      <w:r w:rsidRPr="002C4077">
        <w:t xml:space="preserve"> </w:t>
      </w:r>
      <w:r>
        <w:t>jour.</w:t>
      </w:r>
      <w:r w:rsidRPr="002C4077">
        <w:t xml:space="preserve"> </w:t>
      </w:r>
      <w:r>
        <w:t>Ô</w:t>
      </w:r>
      <w:r w:rsidRPr="002C4077">
        <w:t xml:space="preserve"> </w:t>
      </w:r>
      <w:r>
        <w:t>Dieu,</w:t>
      </w:r>
      <w:r w:rsidRPr="002C4077">
        <w:t xml:space="preserve"> </w:t>
      </w:r>
      <w:r>
        <w:t>vous</w:t>
      </w:r>
      <w:r w:rsidRPr="002C4077">
        <w:t xml:space="preserve"> </w:t>
      </w:r>
      <w:r>
        <w:t>avez</w:t>
      </w:r>
      <w:r w:rsidRPr="002C4077">
        <w:t xml:space="preserve"> </w:t>
      </w:r>
      <w:r>
        <w:t>multiplié</w:t>
      </w:r>
      <w:r w:rsidRPr="002C4077">
        <w:t xml:space="preserve"> </w:t>
      </w:r>
      <w:r>
        <w:t>votre</w:t>
      </w:r>
      <w:r w:rsidRPr="002C4077">
        <w:t xml:space="preserve"> </w:t>
      </w:r>
      <w:r>
        <w:t>peuple,</w:t>
      </w:r>
      <w:r w:rsidRPr="002C4077">
        <w:t xml:space="preserve"> </w:t>
      </w:r>
      <w:r>
        <w:t>vous</w:t>
      </w:r>
      <w:r w:rsidRPr="002C4077">
        <w:t xml:space="preserve"> </w:t>
      </w:r>
      <w:r>
        <w:t>avez</w:t>
      </w:r>
      <w:r w:rsidRPr="002C4077">
        <w:t xml:space="preserve"> </w:t>
      </w:r>
      <w:r>
        <w:t>mis</w:t>
      </w:r>
      <w:r w:rsidRPr="002C4077">
        <w:t xml:space="preserve"> </w:t>
      </w:r>
      <w:r>
        <w:t>le</w:t>
      </w:r>
      <w:r w:rsidRPr="002C4077">
        <w:t xml:space="preserve"> </w:t>
      </w:r>
      <w:r>
        <w:t>comble</w:t>
      </w:r>
      <w:r w:rsidRPr="002C4077">
        <w:t xml:space="preserve"> </w:t>
      </w:r>
      <w:r>
        <w:t>à</w:t>
      </w:r>
      <w:r w:rsidRPr="002C4077">
        <w:t xml:space="preserve"> </w:t>
      </w:r>
      <w:r>
        <w:t>sa</w:t>
      </w:r>
      <w:r w:rsidRPr="002C4077">
        <w:t xml:space="preserve"> </w:t>
      </w:r>
      <w:r>
        <w:t>joie.</w:t>
      </w:r>
      <w:r w:rsidRPr="002C4077">
        <w:t xml:space="preserve"> </w:t>
      </w:r>
      <w:r>
        <w:t>Ils</w:t>
      </w:r>
      <w:r w:rsidRPr="002C4077">
        <w:t xml:space="preserve"> </w:t>
      </w:r>
      <w:r>
        <w:t>se</w:t>
      </w:r>
      <w:r w:rsidRPr="002C4077">
        <w:t xml:space="preserve"> </w:t>
      </w:r>
      <w:r>
        <w:t>réjouissent</w:t>
      </w:r>
      <w:r w:rsidRPr="002C4077">
        <w:t xml:space="preserve"> </w:t>
      </w:r>
      <w:r>
        <w:t>devant</w:t>
      </w:r>
      <w:r w:rsidRPr="002C4077">
        <w:t xml:space="preserve"> </w:t>
      </w:r>
      <w:r>
        <w:t>vous,</w:t>
      </w:r>
      <w:r w:rsidRPr="002C4077">
        <w:t xml:space="preserve"> </w:t>
      </w:r>
      <w:r>
        <w:t>comme</w:t>
      </w:r>
      <w:r w:rsidRPr="002C4077">
        <w:t xml:space="preserve"> </w:t>
      </w:r>
      <w:r>
        <w:t>on</w:t>
      </w:r>
      <w:r w:rsidRPr="002C4077">
        <w:t xml:space="preserve"> </w:t>
      </w:r>
      <w:r>
        <w:t>se</w:t>
      </w:r>
      <w:r w:rsidRPr="002C4077">
        <w:t xml:space="preserve"> </w:t>
      </w:r>
      <w:r>
        <w:t>réjouit</w:t>
      </w:r>
      <w:r w:rsidRPr="002C4077">
        <w:t xml:space="preserve"> </w:t>
      </w:r>
      <w:r>
        <w:t>dans</w:t>
      </w:r>
      <w:r w:rsidRPr="002C4077">
        <w:t xml:space="preserve"> </w:t>
      </w:r>
      <w:r>
        <w:t>la</w:t>
      </w:r>
      <w:r w:rsidRPr="002C4077">
        <w:t xml:space="preserve"> </w:t>
      </w:r>
      <w:r>
        <w:t>moisson,</w:t>
      </w:r>
      <w:r w:rsidRPr="002C4077">
        <w:t xml:space="preserve"> </w:t>
      </w:r>
      <w:r>
        <w:t>comme</w:t>
      </w:r>
      <w:r w:rsidRPr="002C4077">
        <w:t xml:space="preserve"> </w:t>
      </w:r>
      <w:r>
        <w:t>les</w:t>
      </w:r>
      <w:r w:rsidRPr="002C4077">
        <w:t xml:space="preserve"> </w:t>
      </w:r>
      <w:r>
        <w:t>vainqueurs</w:t>
      </w:r>
      <w:r w:rsidRPr="002C4077">
        <w:t xml:space="preserve"> </w:t>
      </w:r>
      <w:r>
        <w:t>se</w:t>
      </w:r>
      <w:r w:rsidRPr="002C4077">
        <w:t xml:space="preserve"> </w:t>
      </w:r>
      <w:r>
        <w:t>réjouissent</w:t>
      </w:r>
      <w:r w:rsidRPr="002C4077">
        <w:t xml:space="preserve"> </w:t>
      </w:r>
      <w:r>
        <w:t>quand</w:t>
      </w:r>
      <w:r w:rsidRPr="002C4077">
        <w:t xml:space="preserve"> </w:t>
      </w:r>
      <w:r>
        <w:t>ils</w:t>
      </w:r>
      <w:r w:rsidRPr="002C4077">
        <w:t xml:space="preserve"> </w:t>
      </w:r>
      <w:r>
        <w:t>se</w:t>
      </w:r>
      <w:r w:rsidRPr="002C4077">
        <w:t xml:space="preserve"> </w:t>
      </w:r>
      <w:r>
        <w:t>partagent</w:t>
      </w:r>
      <w:r w:rsidRPr="002C4077">
        <w:t xml:space="preserve"> </w:t>
      </w:r>
      <w:r>
        <w:t>les</w:t>
      </w:r>
      <w:r w:rsidRPr="002C4077">
        <w:t xml:space="preserve"> </w:t>
      </w:r>
      <w:r>
        <w:t>dépouilles.</w:t>
      </w:r>
      <w:r w:rsidRPr="002C4077">
        <w:t xml:space="preserve"> </w:t>
      </w:r>
      <w:r>
        <w:t>Car</w:t>
      </w:r>
      <w:r w:rsidRPr="002C4077">
        <w:t xml:space="preserve"> </w:t>
      </w:r>
      <w:r>
        <w:t>vous</w:t>
      </w:r>
      <w:r w:rsidRPr="002C4077">
        <w:t xml:space="preserve"> </w:t>
      </w:r>
      <w:r>
        <w:t>avez</w:t>
      </w:r>
      <w:r w:rsidRPr="002C4077">
        <w:t xml:space="preserve"> </w:t>
      </w:r>
      <w:r>
        <w:t>brisé</w:t>
      </w:r>
      <w:r w:rsidRPr="002C4077">
        <w:t xml:space="preserve"> </w:t>
      </w:r>
      <w:r>
        <w:t>le</w:t>
      </w:r>
      <w:r w:rsidRPr="002C4077">
        <w:t xml:space="preserve"> </w:t>
      </w:r>
      <w:r>
        <w:t>joug</w:t>
      </w:r>
      <w:r w:rsidRPr="002C4077">
        <w:t xml:space="preserve"> </w:t>
      </w:r>
      <w:r>
        <w:t>qui</w:t>
      </w:r>
      <w:r w:rsidRPr="002C4077">
        <w:t xml:space="preserve"> </w:t>
      </w:r>
      <w:r>
        <w:t>pesait</w:t>
      </w:r>
      <w:r w:rsidRPr="002C4077">
        <w:t xml:space="preserve"> </w:t>
      </w:r>
      <w:r>
        <w:t>sur</w:t>
      </w:r>
      <w:r w:rsidRPr="002C4077">
        <w:t xml:space="preserve"> </w:t>
      </w:r>
      <w:r>
        <w:t>lui,</w:t>
      </w:r>
      <w:r w:rsidRPr="002C4077">
        <w:t xml:space="preserve"> </w:t>
      </w:r>
      <w:r>
        <w:t>la</w:t>
      </w:r>
      <w:r w:rsidRPr="002C4077">
        <w:t xml:space="preserve"> </w:t>
      </w:r>
      <w:r>
        <w:t>verge</w:t>
      </w:r>
      <w:r w:rsidRPr="002C4077">
        <w:t xml:space="preserve"> </w:t>
      </w:r>
      <w:r>
        <w:t>qui</w:t>
      </w:r>
      <w:r w:rsidRPr="002C4077">
        <w:t xml:space="preserve"> </w:t>
      </w:r>
      <w:r>
        <w:t>frappait</w:t>
      </w:r>
      <w:r w:rsidRPr="002C4077">
        <w:t xml:space="preserve"> </w:t>
      </w:r>
      <w:r>
        <w:t>ses</w:t>
      </w:r>
      <w:r w:rsidRPr="002C4077">
        <w:t xml:space="preserve"> </w:t>
      </w:r>
      <w:r>
        <w:t>épaules,</w:t>
      </w:r>
      <w:r w:rsidRPr="002C4077">
        <w:t xml:space="preserve"> </w:t>
      </w:r>
      <w:r>
        <w:t>le</w:t>
      </w:r>
      <w:r w:rsidRPr="002C4077">
        <w:t xml:space="preserve"> </w:t>
      </w:r>
      <w:r w:rsidR="0055004A">
        <w:t>bâton</w:t>
      </w:r>
      <w:r w:rsidRPr="002C4077">
        <w:t xml:space="preserve"> </w:t>
      </w:r>
      <w:r>
        <w:t>de</w:t>
      </w:r>
      <w:r w:rsidRPr="002C4077">
        <w:t xml:space="preserve"> </w:t>
      </w:r>
      <w:r>
        <w:t>son</w:t>
      </w:r>
      <w:r w:rsidRPr="002C4077">
        <w:t xml:space="preserve"> </w:t>
      </w:r>
      <w:r>
        <w:t>oppresseur,</w:t>
      </w:r>
      <w:r w:rsidRPr="002C4077">
        <w:t xml:space="preserve"> </w:t>
      </w:r>
      <w:r>
        <w:t>comme</w:t>
      </w:r>
      <w:r w:rsidRPr="002C4077">
        <w:t xml:space="preserve"> </w:t>
      </w:r>
      <w:r>
        <w:t>à</w:t>
      </w:r>
      <w:r w:rsidRPr="002C4077">
        <w:t xml:space="preserve"> </w:t>
      </w:r>
      <w:r>
        <w:t>la</w:t>
      </w:r>
      <w:r w:rsidRPr="002C4077">
        <w:t xml:space="preserve"> </w:t>
      </w:r>
      <w:r>
        <w:t>journée</w:t>
      </w:r>
      <w:r w:rsidRPr="002C4077">
        <w:t xml:space="preserve"> </w:t>
      </w:r>
      <w:r>
        <w:t>de</w:t>
      </w:r>
      <w:r w:rsidRPr="002C4077">
        <w:t xml:space="preserve"> </w:t>
      </w:r>
      <w:r>
        <w:t>Madian.</w:t>
      </w:r>
      <w:r w:rsidRPr="002C4077">
        <w:t xml:space="preserve"> </w:t>
      </w:r>
      <w:r>
        <w:t>L’armure</w:t>
      </w:r>
      <w:r w:rsidRPr="002C4077">
        <w:t xml:space="preserve"> </w:t>
      </w:r>
      <w:r>
        <w:t>des</w:t>
      </w:r>
      <w:r w:rsidRPr="002C4077">
        <w:t xml:space="preserve"> </w:t>
      </w:r>
      <w:r>
        <w:t>guerriers</w:t>
      </w:r>
      <w:r w:rsidRPr="002C4077">
        <w:t xml:space="preserve"> </w:t>
      </w:r>
      <w:r>
        <w:t>pour</w:t>
      </w:r>
      <w:r w:rsidRPr="002C4077">
        <w:t xml:space="preserve"> </w:t>
      </w:r>
      <w:r>
        <w:t>le</w:t>
      </w:r>
      <w:r w:rsidRPr="002C4077">
        <w:t xml:space="preserve"> </w:t>
      </w:r>
      <w:r>
        <w:t>jour</w:t>
      </w:r>
      <w:r w:rsidRPr="002C4077">
        <w:t xml:space="preserve"> </w:t>
      </w:r>
      <w:r>
        <w:t>du</w:t>
      </w:r>
      <w:r w:rsidRPr="002C4077">
        <w:t xml:space="preserve"> </w:t>
      </w:r>
      <w:r>
        <w:t>combat</w:t>
      </w:r>
      <w:r w:rsidRPr="002C4077">
        <w:t xml:space="preserve"> </w:t>
      </w:r>
      <w:r>
        <w:t>et</w:t>
      </w:r>
      <w:r w:rsidRPr="002C4077">
        <w:t xml:space="preserve"> </w:t>
      </w:r>
      <w:r>
        <w:t>les</w:t>
      </w:r>
      <w:r w:rsidRPr="002C4077">
        <w:t xml:space="preserve"> </w:t>
      </w:r>
      <w:r>
        <w:t>vêtements</w:t>
      </w:r>
      <w:r w:rsidRPr="002C4077">
        <w:t xml:space="preserve"> </w:t>
      </w:r>
      <w:r>
        <w:t>teints</w:t>
      </w:r>
      <w:r w:rsidRPr="002C4077">
        <w:t xml:space="preserve"> </w:t>
      </w:r>
      <w:r>
        <w:t>de</w:t>
      </w:r>
      <w:r w:rsidRPr="002C4077">
        <w:t xml:space="preserve"> </w:t>
      </w:r>
      <w:r>
        <w:t>sang</w:t>
      </w:r>
      <w:r w:rsidRPr="002C4077">
        <w:t xml:space="preserve"> </w:t>
      </w:r>
      <w:r>
        <w:t>sont</w:t>
      </w:r>
      <w:r w:rsidRPr="002C4077">
        <w:t xml:space="preserve"> </w:t>
      </w:r>
      <w:r>
        <w:t>brûlés</w:t>
      </w:r>
      <w:r w:rsidRPr="002C4077">
        <w:t xml:space="preserve"> </w:t>
      </w:r>
      <w:r>
        <w:t>et</w:t>
      </w:r>
      <w:r w:rsidRPr="002C4077">
        <w:t xml:space="preserve"> </w:t>
      </w:r>
      <w:r>
        <w:t>deviennent</w:t>
      </w:r>
      <w:r w:rsidRPr="002C4077">
        <w:t xml:space="preserve"> </w:t>
      </w:r>
      <w:r>
        <w:t>la</w:t>
      </w:r>
      <w:r w:rsidRPr="002C4077">
        <w:t xml:space="preserve"> </w:t>
      </w:r>
      <w:r>
        <w:t>proie</w:t>
      </w:r>
      <w:r w:rsidRPr="002C4077">
        <w:t xml:space="preserve"> </w:t>
      </w:r>
      <w:r>
        <w:t>des</w:t>
      </w:r>
      <w:r w:rsidRPr="002C4077">
        <w:t xml:space="preserve"> </w:t>
      </w:r>
      <w:r>
        <w:t>flammes</w:t>
      </w:r>
      <w:r w:rsidR="00B546AF">
        <w:t> »</w:t>
      </w:r>
      <w:r>
        <w:t>.</w:t>
      </w:r>
      <w:r w:rsidRPr="002C4077">
        <w:t xml:space="preserve"> </w:t>
      </w:r>
      <w:r>
        <w:t>—</w:t>
      </w:r>
      <w:r w:rsidRPr="002C4077">
        <w:t xml:space="preserve"> </w:t>
      </w:r>
      <w:r>
        <w:t>Mais</w:t>
      </w:r>
      <w:r w:rsidRPr="002C4077">
        <w:t xml:space="preserve"> </w:t>
      </w:r>
      <w:r>
        <w:t>d’où</w:t>
      </w:r>
      <w:r w:rsidRPr="002C4077">
        <w:t xml:space="preserve"> </w:t>
      </w:r>
      <w:r>
        <w:t>vient</w:t>
      </w:r>
      <w:r w:rsidRPr="002C4077">
        <w:t xml:space="preserve"> </w:t>
      </w:r>
      <w:r>
        <w:t>tant</w:t>
      </w:r>
      <w:r w:rsidRPr="002C4077">
        <w:t xml:space="preserve"> </w:t>
      </w:r>
      <w:r>
        <w:t>de</w:t>
      </w:r>
      <w:r w:rsidRPr="002C4077">
        <w:t xml:space="preserve"> </w:t>
      </w:r>
      <w:r>
        <w:t>bonheur</w:t>
      </w:r>
      <w:r w:rsidRPr="002C4077">
        <w:t xml:space="preserve"> </w:t>
      </w:r>
      <w:r>
        <w:t>après</w:t>
      </w:r>
      <w:r w:rsidRPr="002C4077">
        <w:t xml:space="preserve"> </w:t>
      </w:r>
      <w:r>
        <w:t>tant</w:t>
      </w:r>
      <w:r w:rsidRPr="002C4077">
        <w:t xml:space="preserve"> </w:t>
      </w:r>
      <w:r>
        <w:t>de</w:t>
      </w:r>
      <w:r w:rsidRPr="002C4077">
        <w:t xml:space="preserve"> </w:t>
      </w:r>
      <w:r>
        <w:t>larmes</w:t>
      </w:r>
      <w:r w:rsidR="00B546AF">
        <w:t> ?</w:t>
      </w:r>
      <w:r w:rsidRPr="002C4077">
        <w:t xml:space="preserve"> </w:t>
      </w:r>
      <w:r>
        <w:t>L’oracle</w:t>
      </w:r>
      <w:r w:rsidRPr="002C4077">
        <w:t xml:space="preserve"> </w:t>
      </w:r>
      <w:r>
        <w:t>va</w:t>
      </w:r>
      <w:r w:rsidRPr="002C4077">
        <w:t xml:space="preserve"> </w:t>
      </w:r>
      <w:r>
        <w:t>le</w:t>
      </w:r>
      <w:r w:rsidRPr="002C4077">
        <w:t xml:space="preserve"> </w:t>
      </w:r>
      <w:r>
        <w:t>dire</w:t>
      </w:r>
      <w:r w:rsidRPr="002C4077">
        <w:t xml:space="preserve"> </w:t>
      </w:r>
      <w:r>
        <w:t>clairement</w:t>
      </w:r>
      <w:r w:rsidR="00B546AF">
        <w:t> :</w:t>
      </w:r>
      <w:r w:rsidRPr="002C4077">
        <w:t xml:space="preserve"> </w:t>
      </w:r>
      <w:r w:rsidR="00B546AF">
        <w:t>« </w:t>
      </w:r>
      <w:r w:rsidRPr="000A34B5">
        <w:rPr>
          <w:rStyle w:val="italicus"/>
        </w:rPr>
        <w:t>Car</w:t>
      </w:r>
      <w:r w:rsidRPr="002C4077">
        <w:t xml:space="preserve"> </w:t>
      </w:r>
      <w:r w:rsidRPr="000A34B5">
        <w:rPr>
          <w:rStyle w:val="italicus"/>
        </w:rPr>
        <w:t>un</w:t>
      </w:r>
      <w:r w:rsidRPr="002C4077">
        <w:t xml:space="preserve"> </w:t>
      </w:r>
      <w:r w:rsidRPr="000A34B5">
        <w:rPr>
          <w:rStyle w:val="italicus"/>
        </w:rPr>
        <w:t>enfant</w:t>
      </w:r>
      <w:r w:rsidRPr="002C4077">
        <w:t xml:space="preserve"> </w:t>
      </w:r>
      <w:r w:rsidRPr="000A34B5">
        <w:rPr>
          <w:rStyle w:val="italicus"/>
        </w:rPr>
        <w:t>nous</w:t>
      </w:r>
      <w:r w:rsidRPr="002C4077">
        <w:t xml:space="preserve"> </w:t>
      </w:r>
      <w:r w:rsidR="00425C50">
        <w:rPr>
          <w:rStyle w:val="italicus"/>
        </w:rPr>
        <w:t>est</w:t>
      </w:r>
      <w:r w:rsidRPr="002C4077">
        <w:t xml:space="preserve"> </w:t>
      </w:r>
      <w:r w:rsidRPr="000A34B5">
        <w:rPr>
          <w:rStyle w:val="italicus"/>
        </w:rPr>
        <w:t>né,</w:t>
      </w:r>
      <w:r w:rsidRPr="002C4077">
        <w:t xml:space="preserve"> </w:t>
      </w:r>
      <w:r w:rsidRPr="000A34B5">
        <w:rPr>
          <w:rStyle w:val="italicus"/>
        </w:rPr>
        <w:t>un</w:t>
      </w:r>
      <w:r w:rsidRPr="002C4077">
        <w:t xml:space="preserve"> </w:t>
      </w:r>
      <w:r w:rsidRPr="000A34B5">
        <w:rPr>
          <w:rStyle w:val="italicus"/>
        </w:rPr>
        <w:t>Fils</w:t>
      </w:r>
      <w:r w:rsidRPr="002C4077">
        <w:t xml:space="preserve"> </w:t>
      </w:r>
      <w:r w:rsidRPr="000A34B5">
        <w:rPr>
          <w:rStyle w:val="italicus"/>
        </w:rPr>
        <w:t>nous</w:t>
      </w:r>
      <w:r w:rsidRPr="002C4077">
        <w:t xml:space="preserve"> </w:t>
      </w:r>
      <w:r w:rsidRPr="000A34B5">
        <w:rPr>
          <w:rStyle w:val="italicus"/>
        </w:rPr>
        <w:t>a</w:t>
      </w:r>
      <w:r w:rsidRPr="002C4077">
        <w:t xml:space="preserve"> </w:t>
      </w:r>
      <w:r w:rsidRPr="000A34B5">
        <w:rPr>
          <w:rStyle w:val="italicus"/>
        </w:rPr>
        <w:t>été</w:t>
      </w:r>
      <w:r w:rsidRPr="002C4077">
        <w:t xml:space="preserve"> </w:t>
      </w:r>
      <w:r w:rsidRPr="000A34B5">
        <w:rPr>
          <w:rStyle w:val="italicus"/>
        </w:rPr>
        <w:t>donné</w:t>
      </w:r>
      <w:r w:rsidR="00B546AF">
        <w:rPr>
          <w:rStyle w:val="italicus"/>
        </w:rPr>
        <w:t> </w:t>
      </w:r>
      <w:r w:rsidR="00B546AF" w:rsidRPr="000A34B5">
        <w:rPr>
          <w:rStyle w:val="italicus"/>
        </w:rPr>
        <w:t>;</w:t>
      </w:r>
      <w:r w:rsidRPr="002C4077">
        <w:t xml:space="preserve"> </w:t>
      </w:r>
      <w:r w:rsidRPr="000A34B5">
        <w:rPr>
          <w:rStyle w:val="italicus"/>
        </w:rPr>
        <w:t>les</w:t>
      </w:r>
      <w:r w:rsidRPr="002C4077">
        <w:t xml:space="preserve"> </w:t>
      </w:r>
      <w:r w:rsidRPr="000A34B5">
        <w:rPr>
          <w:rStyle w:val="italicus"/>
        </w:rPr>
        <w:t>insignes</w:t>
      </w:r>
      <w:r w:rsidRPr="002C4077">
        <w:t xml:space="preserve"> </w:t>
      </w:r>
      <w:r w:rsidRPr="000A34B5">
        <w:rPr>
          <w:rStyle w:val="italicus"/>
        </w:rPr>
        <w:t>de</w:t>
      </w:r>
      <w:r w:rsidRPr="002C4077">
        <w:t xml:space="preserve"> </w:t>
      </w:r>
      <w:r w:rsidRPr="000A34B5">
        <w:rPr>
          <w:rStyle w:val="italicus"/>
        </w:rPr>
        <w:t>son</w:t>
      </w:r>
      <w:r w:rsidRPr="002C4077">
        <w:t xml:space="preserve"> </w:t>
      </w:r>
      <w:r w:rsidRPr="000A34B5">
        <w:rPr>
          <w:rStyle w:val="italicus"/>
        </w:rPr>
        <w:t>empire</w:t>
      </w:r>
      <w:r w:rsidRPr="002C4077">
        <w:t xml:space="preserve"> </w:t>
      </w:r>
      <w:r w:rsidRPr="000A34B5">
        <w:rPr>
          <w:rStyle w:val="italicus"/>
        </w:rPr>
        <w:t>sont</w:t>
      </w:r>
      <w:r w:rsidRPr="002C4077">
        <w:t xml:space="preserve"> </w:t>
      </w:r>
      <w:r w:rsidRPr="000A34B5">
        <w:rPr>
          <w:rStyle w:val="italicus"/>
        </w:rPr>
        <w:t>sur</w:t>
      </w:r>
      <w:r w:rsidRPr="002C4077">
        <w:t xml:space="preserve"> </w:t>
      </w:r>
      <w:r w:rsidRPr="000A34B5">
        <w:rPr>
          <w:rStyle w:val="italicus"/>
        </w:rPr>
        <w:t>ses</w:t>
      </w:r>
      <w:r w:rsidRPr="002C4077">
        <w:t xml:space="preserve"> </w:t>
      </w:r>
      <w:r w:rsidRPr="000A34B5">
        <w:rPr>
          <w:rStyle w:val="italicus"/>
        </w:rPr>
        <w:t>épaules,</w:t>
      </w:r>
      <w:r w:rsidRPr="002C4077">
        <w:t xml:space="preserve"> </w:t>
      </w:r>
      <w:r w:rsidRPr="000A34B5">
        <w:rPr>
          <w:rStyle w:val="italicus"/>
        </w:rPr>
        <w:t>et</w:t>
      </w:r>
      <w:r w:rsidRPr="002C4077">
        <w:t xml:space="preserve"> </w:t>
      </w:r>
      <w:r w:rsidRPr="000A34B5">
        <w:rPr>
          <w:rStyle w:val="italicus"/>
        </w:rPr>
        <w:t>il</w:t>
      </w:r>
      <w:r w:rsidRPr="002C4077">
        <w:t xml:space="preserve"> </w:t>
      </w:r>
      <w:r w:rsidRPr="000A34B5">
        <w:rPr>
          <w:rStyle w:val="italicus"/>
        </w:rPr>
        <w:t>sera</w:t>
      </w:r>
      <w:r w:rsidRPr="002C4077">
        <w:t xml:space="preserve"> </w:t>
      </w:r>
      <w:r w:rsidRPr="000A34B5">
        <w:rPr>
          <w:rStyle w:val="italicus"/>
        </w:rPr>
        <w:t>appelé</w:t>
      </w:r>
      <w:r w:rsidRPr="002C4077">
        <w:t xml:space="preserve"> </w:t>
      </w:r>
      <w:r w:rsidR="001D2588">
        <w:rPr>
          <w:rStyle w:val="italicus"/>
        </w:rPr>
        <w:t>l</w:t>
      </w:r>
      <w:r w:rsidRPr="000A34B5">
        <w:rPr>
          <w:rStyle w:val="italicus"/>
        </w:rPr>
        <w:t>’Admirable,</w:t>
      </w:r>
      <w:r w:rsidRPr="002C4077">
        <w:t xml:space="preserve"> </w:t>
      </w:r>
      <w:r w:rsidRPr="000A34B5">
        <w:rPr>
          <w:rStyle w:val="italicus"/>
        </w:rPr>
        <w:t>le</w:t>
      </w:r>
      <w:r w:rsidRPr="002C4077">
        <w:t xml:space="preserve"> </w:t>
      </w:r>
      <w:r w:rsidRPr="000A34B5">
        <w:rPr>
          <w:rStyle w:val="italicus"/>
        </w:rPr>
        <w:t>Conseiller,</w:t>
      </w:r>
      <w:r w:rsidRPr="002C4077">
        <w:t xml:space="preserve"> </w:t>
      </w:r>
      <w:r w:rsidRPr="000A34B5">
        <w:rPr>
          <w:rStyle w:val="italicus"/>
        </w:rPr>
        <w:t>le</w:t>
      </w:r>
      <w:r w:rsidRPr="002C4077">
        <w:t xml:space="preserve"> </w:t>
      </w:r>
      <w:r w:rsidRPr="000A34B5">
        <w:rPr>
          <w:rStyle w:val="italicus"/>
        </w:rPr>
        <w:t>Dieu</w:t>
      </w:r>
      <w:r w:rsidRPr="002C4077">
        <w:t xml:space="preserve"> </w:t>
      </w:r>
      <w:r w:rsidRPr="000A34B5">
        <w:rPr>
          <w:rStyle w:val="italicus"/>
        </w:rPr>
        <w:t>fort,</w:t>
      </w:r>
      <w:r w:rsidRPr="002C4077">
        <w:t xml:space="preserve"> </w:t>
      </w:r>
      <w:r w:rsidRPr="000A34B5">
        <w:rPr>
          <w:rStyle w:val="italicus"/>
        </w:rPr>
        <w:t>le</w:t>
      </w:r>
      <w:r w:rsidRPr="002C4077">
        <w:t xml:space="preserve"> </w:t>
      </w:r>
      <w:r w:rsidRPr="000A34B5">
        <w:rPr>
          <w:rStyle w:val="italicus"/>
        </w:rPr>
        <w:t>Père</w:t>
      </w:r>
      <w:r w:rsidRPr="002C4077">
        <w:t xml:space="preserve"> </w:t>
      </w:r>
      <w:r w:rsidRPr="000A34B5">
        <w:rPr>
          <w:rStyle w:val="italicus"/>
        </w:rPr>
        <w:t>de</w:t>
      </w:r>
      <w:r w:rsidRPr="002C4077">
        <w:t xml:space="preserve"> </w:t>
      </w:r>
      <w:r w:rsidRPr="000A34B5">
        <w:rPr>
          <w:rStyle w:val="italicus"/>
        </w:rPr>
        <w:t>F</w:t>
      </w:r>
      <w:r w:rsidRPr="002C4077">
        <w:t xml:space="preserve"> </w:t>
      </w:r>
      <w:r w:rsidRPr="000A34B5">
        <w:rPr>
          <w:rStyle w:val="italicus"/>
        </w:rPr>
        <w:t>éternité,</w:t>
      </w:r>
      <w:r w:rsidRPr="002C4077">
        <w:t xml:space="preserve"> </w:t>
      </w:r>
      <w:r w:rsidRPr="000A34B5">
        <w:rPr>
          <w:rStyle w:val="italicus"/>
        </w:rPr>
        <w:t>le</w:t>
      </w:r>
      <w:r w:rsidRPr="002C4077">
        <w:t xml:space="preserve"> </w:t>
      </w:r>
      <w:r w:rsidRPr="000A34B5">
        <w:rPr>
          <w:rStyle w:val="italicus"/>
        </w:rPr>
        <w:t>Prince</w:t>
      </w:r>
      <w:r w:rsidRPr="002C4077">
        <w:t xml:space="preserve"> </w:t>
      </w:r>
      <w:r w:rsidRPr="000A34B5">
        <w:rPr>
          <w:rStyle w:val="italicus"/>
        </w:rPr>
        <w:t>de</w:t>
      </w:r>
      <w:r w:rsidRPr="002C4077">
        <w:t xml:space="preserve"> </w:t>
      </w:r>
      <w:r w:rsidRPr="000A34B5">
        <w:rPr>
          <w:rStyle w:val="italicus"/>
        </w:rPr>
        <w:t>la</w:t>
      </w:r>
      <w:r w:rsidRPr="002C4077">
        <w:t xml:space="preserve"> </w:t>
      </w:r>
      <w:r w:rsidRPr="000A34B5">
        <w:rPr>
          <w:rStyle w:val="italicus"/>
        </w:rPr>
        <w:t>paix</w:t>
      </w:r>
      <w:r w:rsidR="00B546AF">
        <w:rPr>
          <w:rStyle w:val="italicus"/>
        </w:rPr>
        <w:t> </w:t>
      </w:r>
      <w:r w:rsidR="00B546AF" w:rsidRPr="000A34B5">
        <w:rPr>
          <w:rStyle w:val="italicus"/>
        </w:rPr>
        <w:t>;</w:t>
      </w:r>
      <w:r w:rsidRPr="002C4077">
        <w:t xml:space="preserve"> </w:t>
      </w:r>
      <w:r>
        <w:t>pour</w:t>
      </w:r>
      <w:r w:rsidRPr="002C4077">
        <w:t xml:space="preserve"> </w:t>
      </w:r>
      <w:r>
        <w:t>étendre</w:t>
      </w:r>
      <w:r w:rsidRPr="002C4077">
        <w:t xml:space="preserve"> </w:t>
      </w:r>
      <w:r>
        <w:t>l’autorité</w:t>
      </w:r>
      <w:r w:rsidRPr="002C4077">
        <w:t xml:space="preserve"> </w:t>
      </w:r>
      <w:r>
        <w:t>et</w:t>
      </w:r>
      <w:r w:rsidRPr="002C4077">
        <w:t xml:space="preserve"> </w:t>
      </w:r>
      <w:r>
        <w:t>maintenir</w:t>
      </w:r>
      <w:r w:rsidRPr="002C4077">
        <w:t xml:space="preserve"> </w:t>
      </w:r>
      <w:r>
        <w:t>une</w:t>
      </w:r>
      <w:r w:rsidRPr="002C4077">
        <w:t xml:space="preserve"> </w:t>
      </w:r>
      <w:r>
        <w:t>paix</w:t>
      </w:r>
      <w:r w:rsidRPr="002C4077">
        <w:t xml:space="preserve"> </w:t>
      </w:r>
      <w:r>
        <w:t>éternelle</w:t>
      </w:r>
      <w:r w:rsidRPr="002C4077">
        <w:t xml:space="preserve"> </w:t>
      </w:r>
      <w:r>
        <w:t>sur</w:t>
      </w:r>
      <w:r w:rsidRPr="002C4077">
        <w:t xml:space="preserve"> </w:t>
      </w:r>
      <w:r>
        <w:t>le</w:t>
      </w:r>
      <w:r w:rsidRPr="002C4077">
        <w:t xml:space="preserve"> </w:t>
      </w:r>
      <w:r>
        <w:t>trône</w:t>
      </w:r>
      <w:r w:rsidRPr="002C4077">
        <w:t xml:space="preserve"> </w:t>
      </w:r>
      <w:r>
        <w:t>de</w:t>
      </w:r>
      <w:r w:rsidRPr="002C4077">
        <w:t xml:space="preserve"> </w:t>
      </w:r>
      <w:r>
        <w:t>David</w:t>
      </w:r>
      <w:r w:rsidRPr="002C4077">
        <w:t xml:space="preserve"> </w:t>
      </w:r>
      <w:r>
        <w:t>et</w:t>
      </w:r>
      <w:r w:rsidRPr="002C4077">
        <w:t xml:space="preserve"> </w:t>
      </w:r>
      <w:r>
        <w:t>dans</w:t>
      </w:r>
      <w:r w:rsidRPr="002C4077">
        <w:t xml:space="preserve"> </w:t>
      </w:r>
      <w:r>
        <w:t>son</w:t>
      </w:r>
      <w:r w:rsidRPr="002C4077">
        <w:t xml:space="preserve"> </w:t>
      </w:r>
      <w:r>
        <w:t>royaume</w:t>
      </w:r>
      <w:r w:rsidR="00B546AF">
        <w:t> ;</w:t>
      </w:r>
      <w:r w:rsidRPr="002C4077">
        <w:t xml:space="preserve"> </w:t>
      </w:r>
      <w:r>
        <w:t>pour</w:t>
      </w:r>
      <w:r w:rsidRPr="002C4077">
        <w:t xml:space="preserve"> </w:t>
      </w:r>
      <w:r>
        <w:t>l’établir</w:t>
      </w:r>
      <w:r w:rsidRPr="002C4077">
        <w:t xml:space="preserve"> </w:t>
      </w:r>
      <w:r>
        <w:t>et</w:t>
      </w:r>
      <w:r w:rsidRPr="002C4077">
        <w:t xml:space="preserve"> </w:t>
      </w:r>
      <w:r>
        <w:t>l’affermir</w:t>
      </w:r>
      <w:r w:rsidRPr="002C4077">
        <w:t xml:space="preserve"> </w:t>
      </w:r>
      <w:r>
        <w:t>par</w:t>
      </w:r>
      <w:r w:rsidRPr="002C4077">
        <w:t xml:space="preserve"> </w:t>
      </w:r>
      <w:r>
        <w:t>l’équité</w:t>
      </w:r>
      <w:r w:rsidRPr="002C4077">
        <w:t xml:space="preserve"> </w:t>
      </w:r>
      <w:r>
        <w:t>et</w:t>
      </w:r>
      <w:r w:rsidRPr="002C4077">
        <w:t xml:space="preserve"> </w:t>
      </w:r>
      <w:r>
        <w:t>la</w:t>
      </w:r>
      <w:r w:rsidRPr="002C4077">
        <w:t xml:space="preserve"> </w:t>
      </w:r>
      <w:r>
        <w:t>justice,</w:t>
      </w:r>
      <w:r w:rsidRPr="002C4077">
        <w:t xml:space="preserve"> </w:t>
      </w:r>
      <w:r>
        <w:t>depuis</w:t>
      </w:r>
      <w:r w:rsidRPr="002C4077">
        <w:t xml:space="preserve"> </w:t>
      </w:r>
      <w:r>
        <w:t>ces</w:t>
      </w:r>
      <w:r w:rsidRPr="002C4077">
        <w:t xml:space="preserve"> </w:t>
      </w:r>
      <w:r>
        <w:t>temps</w:t>
      </w:r>
      <w:r w:rsidRPr="002C4077">
        <w:t xml:space="preserve"> </w:t>
      </w:r>
      <w:r>
        <w:t>jusqu’à</w:t>
      </w:r>
      <w:r w:rsidRPr="002C4077">
        <w:t xml:space="preserve"> </w:t>
      </w:r>
      <w:r>
        <w:t>jamais.</w:t>
      </w:r>
      <w:r w:rsidRPr="002C4077">
        <w:t xml:space="preserve"> </w:t>
      </w:r>
      <w:r>
        <w:t>Le</w:t>
      </w:r>
      <w:r w:rsidRPr="002C4077">
        <w:t xml:space="preserve"> </w:t>
      </w:r>
      <w:r>
        <w:t>zèle</w:t>
      </w:r>
      <w:r w:rsidRPr="002C4077">
        <w:t xml:space="preserve"> </w:t>
      </w:r>
      <w:r>
        <w:t>de</w:t>
      </w:r>
      <w:r w:rsidRPr="002C4077">
        <w:t xml:space="preserve"> </w:t>
      </w:r>
      <w:r>
        <w:t>Jéhovah,</w:t>
      </w:r>
      <w:r w:rsidRPr="002C4077">
        <w:t xml:space="preserve"> </w:t>
      </w:r>
      <w:r>
        <w:t>le</w:t>
      </w:r>
      <w:r w:rsidRPr="002C4077">
        <w:t xml:space="preserve"> </w:t>
      </w:r>
      <w:r>
        <w:t>Dieu</w:t>
      </w:r>
      <w:r w:rsidRPr="002C4077">
        <w:t xml:space="preserve"> </w:t>
      </w:r>
      <w:r>
        <w:t>des</w:t>
      </w:r>
      <w:r w:rsidRPr="002C4077">
        <w:t xml:space="preserve"> </w:t>
      </w:r>
      <w:r>
        <w:t>armées,</w:t>
      </w:r>
      <w:r w:rsidRPr="002C4077">
        <w:t xml:space="preserve"> </w:t>
      </w:r>
      <w:r>
        <w:t>accomplira</w:t>
      </w:r>
      <w:r w:rsidRPr="002C4077">
        <w:t xml:space="preserve"> </w:t>
      </w:r>
      <w:r>
        <w:t>cette</w:t>
      </w:r>
      <w:r w:rsidRPr="002C4077">
        <w:t xml:space="preserve"> </w:t>
      </w:r>
      <w:r>
        <w:t>œuvre</w:t>
      </w:r>
      <w:r w:rsidRPr="004440EA">
        <w:t xml:space="preserve"> (</w:t>
      </w:r>
      <w:r>
        <w:t>XI,</w:t>
      </w:r>
      <w:r w:rsidRPr="002C4077">
        <w:t xml:space="preserve"> </w:t>
      </w:r>
      <w:r>
        <w:t>1-7</w:t>
      </w:r>
      <w:r w:rsidR="00B546AF" w:rsidRPr="002C4077">
        <w:t>)</w:t>
      </w:r>
      <w:r w:rsidR="00B91AF7">
        <w:rPr>
          <w:rStyle w:val="Appelnotedebasdep"/>
        </w:rPr>
        <w:footnoteReference w:id="72"/>
      </w:r>
      <w:r w:rsidR="00B546AF">
        <w:t> »</w:t>
      </w:r>
      <w:r>
        <w:t>.</w:t>
      </w:r>
      <w:r w:rsidRPr="002C4077">
        <w:t xml:space="preserve"> </w:t>
      </w:r>
    </w:p>
    <w:p w:rsidR="000A7AAB" w:rsidRDefault="000A7AAB" w:rsidP="000A7AAB">
      <w:r>
        <w:t>À</w:t>
      </w:r>
      <w:r w:rsidRPr="002C4077">
        <w:t xml:space="preserve"> </w:t>
      </w:r>
      <w:r>
        <w:t>la</w:t>
      </w:r>
      <w:r w:rsidRPr="002C4077">
        <w:t xml:space="preserve"> </w:t>
      </w:r>
      <w:r>
        <w:t>suite</w:t>
      </w:r>
      <w:r w:rsidRPr="002C4077">
        <w:t xml:space="preserve"> </w:t>
      </w:r>
      <w:r>
        <w:t>de</w:t>
      </w:r>
      <w:r w:rsidRPr="002C4077">
        <w:t xml:space="preserve"> </w:t>
      </w:r>
      <w:r>
        <w:t>ces</w:t>
      </w:r>
      <w:r w:rsidRPr="002C4077">
        <w:t xml:space="preserve"> </w:t>
      </w:r>
      <w:r>
        <w:t>lignes</w:t>
      </w:r>
      <w:r w:rsidRPr="002C4077">
        <w:t xml:space="preserve"> </w:t>
      </w:r>
      <w:r>
        <w:t>radieuses,</w:t>
      </w:r>
      <w:r w:rsidRPr="002C4077">
        <w:t xml:space="preserve"> </w:t>
      </w:r>
      <w:r>
        <w:t>nous</w:t>
      </w:r>
      <w:r w:rsidRPr="002C4077">
        <w:t xml:space="preserve"> </w:t>
      </w:r>
      <w:r>
        <w:t>trouvons,</w:t>
      </w:r>
      <w:r w:rsidRPr="002C4077">
        <w:t xml:space="preserve"> </w:t>
      </w:r>
      <w:r>
        <w:t>en</w:t>
      </w:r>
      <w:r w:rsidRPr="002C4077">
        <w:t xml:space="preserve"> </w:t>
      </w:r>
      <w:r>
        <w:t>vertu</w:t>
      </w:r>
      <w:r w:rsidRPr="002C4077">
        <w:t xml:space="preserve"> </w:t>
      </w:r>
      <w:r>
        <w:t>de</w:t>
      </w:r>
      <w:r w:rsidRPr="002C4077">
        <w:t xml:space="preserve"> </w:t>
      </w:r>
      <w:r>
        <w:t>la</w:t>
      </w:r>
      <w:r w:rsidRPr="002C4077">
        <w:t xml:space="preserve"> </w:t>
      </w:r>
      <w:r>
        <w:t>loi</w:t>
      </w:r>
      <w:r w:rsidRPr="002C4077">
        <w:t xml:space="preserve"> </w:t>
      </w:r>
      <w:r>
        <w:t>des</w:t>
      </w:r>
      <w:r w:rsidRPr="002C4077">
        <w:t xml:space="preserve"> </w:t>
      </w:r>
      <w:r>
        <w:t>contrastes</w:t>
      </w:r>
      <w:r w:rsidRPr="002C4077">
        <w:t xml:space="preserve"> </w:t>
      </w:r>
      <w:r>
        <w:t>qui</w:t>
      </w:r>
      <w:r w:rsidRPr="002C4077">
        <w:t xml:space="preserve"> </w:t>
      </w:r>
      <w:r>
        <w:t>domine</w:t>
      </w:r>
      <w:r w:rsidRPr="002C4077">
        <w:t xml:space="preserve"> </w:t>
      </w:r>
      <w:r>
        <w:t>le</w:t>
      </w:r>
      <w:r w:rsidRPr="002C4077">
        <w:t xml:space="preserve"> </w:t>
      </w:r>
      <w:r>
        <w:t>livre</w:t>
      </w:r>
      <w:r w:rsidRPr="002C4077">
        <w:t xml:space="preserve"> </w:t>
      </w:r>
      <w:r>
        <w:t>entier</w:t>
      </w:r>
      <w:r w:rsidRPr="002C4077">
        <w:t xml:space="preserve"> </w:t>
      </w:r>
      <w:r>
        <w:t>d’Emmanuel</w:t>
      </w:r>
      <w:r w:rsidRPr="002C4077">
        <w:t xml:space="preserve"> </w:t>
      </w:r>
      <w:r>
        <w:t>et</w:t>
      </w:r>
      <w:r w:rsidRPr="002C4077">
        <w:t xml:space="preserve"> </w:t>
      </w:r>
      <w:r>
        <w:t>beaucoup</w:t>
      </w:r>
      <w:r w:rsidRPr="002C4077">
        <w:t xml:space="preserve"> </w:t>
      </w:r>
      <w:r>
        <w:t>d’autres</w:t>
      </w:r>
      <w:r w:rsidRPr="002C4077">
        <w:t xml:space="preserve"> </w:t>
      </w:r>
      <w:r>
        <w:t>pages</w:t>
      </w:r>
      <w:r w:rsidRPr="002C4077">
        <w:t xml:space="preserve"> </w:t>
      </w:r>
      <w:r>
        <w:t>prophétiques,</w:t>
      </w:r>
      <w:r w:rsidRPr="002C4077">
        <w:t xml:space="preserve"> </w:t>
      </w:r>
      <w:r>
        <w:t>une</w:t>
      </w:r>
      <w:r w:rsidRPr="002C4077">
        <w:t xml:space="preserve"> </w:t>
      </w:r>
      <w:r>
        <w:t>prédiction</w:t>
      </w:r>
      <w:r w:rsidRPr="002C4077">
        <w:t xml:space="preserve"> </w:t>
      </w:r>
      <w:r>
        <w:t>menaçante</w:t>
      </w:r>
      <w:r w:rsidRPr="002C4077">
        <w:t xml:space="preserve"> </w:t>
      </w:r>
      <w:r>
        <w:t>pour</w:t>
      </w:r>
      <w:r w:rsidRPr="002C4077">
        <w:t xml:space="preserve"> </w:t>
      </w:r>
      <w:r>
        <w:t>les</w:t>
      </w:r>
      <w:r w:rsidRPr="002C4077">
        <w:t xml:space="preserve"> </w:t>
      </w:r>
      <w:r>
        <w:t>pays</w:t>
      </w:r>
      <w:r w:rsidRPr="002C4077">
        <w:t xml:space="preserve"> </w:t>
      </w:r>
      <w:r>
        <w:t>juifs.</w:t>
      </w:r>
      <w:r w:rsidRPr="002C4077">
        <w:t xml:space="preserve"> </w:t>
      </w:r>
      <w:r>
        <w:t>Elle</w:t>
      </w:r>
      <w:r w:rsidRPr="002C4077">
        <w:t xml:space="preserve"> </w:t>
      </w:r>
      <w:r w:rsidR="00425C50">
        <w:t>est</w:t>
      </w:r>
      <w:r w:rsidRPr="002C4077">
        <w:t xml:space="preserve"> </w:t>
      </w:r>
      <w:r>
        <w:t>comprise</w:t>
      </w:r>
      <w:r w:rsidRPr="002C4077">
        <w:t xml:space="preserve"> </w:t>
      </w:r>
      <w:r>
        <w:t>en</w:t>
      </w:r>
      <w:r w:rsidRPr="002C4077">
        <w:t xml:space="preserve"> </w:t>
      </w:r>
      <w:r>
        <w:t>quatre</w:t>
      </w:r>
      <w:r w:rsidRPr="002C4077">
        <w:t xml:space="preserve"> </w:t>
      </w:r>
      <w:r>
        <w:t>strophes</w:t>
      </w:r>
      <w:r w:rsidRPr="002C4077">
        <w:t xml:space="preserve"> </w:t>
      </w:r>
      <w:r>
        <w:t>parfaitement</w:t>
      </w:r>
      <w:r w:rsidRPr="002C4077">
        <w:t xml:space="preserve"> </w:t>
      </w:r>
      <w:r>
        <w:t>régulières,</w:t>
      </w:r>
      <w:r w:rsidRPr="002C4077">
        <w:t xml:space="preserve"> </w:t>
      </w:r>
      <w:r>
        <w:t>ayant</w:t>
      </w:r>
      <w:r w:rsidRPr="002C4077">
        <w:t xml:space="preserve"> </w:t>
      </w:r>
      <w:r>
        <w:t>chacune</w:t>
      </w:r>
      <w:r w:rsidRPr="002C4077">
        <w:t xml:space="preserve"> </w:t>
      </w:r>
      <w:r>
        <w:t>quatre</w:t>
      </w:r>
      <w:r w:rsidRPr="002C4077">
        <w:t xml:space="preserve"> </w:t>
      </w:r>
      <w:r>
        <w:t>vers</w:t>
      </w:r>
      <w:r w:rsidRPr="002C4077">
        <w:t xml:space="preserve"> </w:t>
      </w:r>
      <w:r>
        <w:t>et</w:t>
      </w:r>
      <w:r w:rsidRPr="002C4077">
        <w:t xml:space="preserve"> </w:t>
      </w:r>
      <w:r>
        <w:t>terminées</w:t>
      </w:r>
      <w:r w:rsidRPr="002C4077">
        <w:t xml:space="preserve"> </w:t>
      </w:r>
      <w:r>
        <w:t>par</w:t>
      </w:r>
      <w:r w:rsidRPr="002C4077">
        <w:t xml:space="preserve"> </w:t>
      </w:r>
      <w:r>
        <w:t>ce</w:t>
      </w:r>
      <w:r w:rsidRPr="002C4077">
        <w:t xml:space="preserve"> </w:t>
      </w:r>
      <w:r>
        <w:t>refrain</w:t>
      </w:r>
      <w:r w:rsidRPr="002C4077">
        <w:t xml:space="preserve"> </w:t>
      </w:r>
      <w:r>
        <w:t>lugubre</w:t>
      </w:r>
      <w:r w:rsidR="00B546AF">
        <w:t> :</w:t>
      </w:r>
      <w:r w:rsidRPr="002C4077">
        <w:t xml:space="preserve"> </w:t>
      </w:r>
      <w:r w:rsidRPr="000A34B5">
        <w:rPr>
          <w:rStyle w:val="italicus"/>
        </w:rPr>
        <w:t>In</w:t>
      </w:r>
      <w:r w:rsidRPr="002C4077">
        <w:t xml:space="preserve"> </w:t>
      </w:r>
      <w:r w:rsidR="003B53FD">
        <w:rPr>
          <w:rStyle w:val="italicus"/>
        </w:rPr>
        <w:t>ó</w:t>
      </w:r>
      <w:r w:rsidR="003B53FD" w:rsidRPr="000A34B5">
        <w:rPr>
          <w:rStyle w:val="italicus"/>
        </w:rPr>
        <w:t>mnibus</w:t>
      </w:r>
      <w:r w:rsidRPr="002C4077">
        <w:t xml:space="preserve"> </w:t>
      </w:r>
      <w:r w:rsidRPr="000A34B5">
        <w:rPr>
          <w:rStyle w:val="italicus"/>
        </w:rPr>
        <w:t>his</w:t>
      </w:r>
      <w:r w:rsidRPr="002C4077">
        <w:t xml:space="preserve"> </w:t>
      </w:r>
      <w:r w:rsidRPr="000A34B5">
        <w:rPr>
          <w:rStyle w:val="italicus"/>
        </w:rPr>
        <w:t>non</w:t>
      </w:r>
      <w:r w:rsidRPr="002C4077">
        <w:t xml:space="preserve"> </w:t>
      </w:r>
      <w:r w:rsidR="00425C50">
        <w:rPr>
          <w:rStyle w:val="italicus"/>
        </w:rPr>
        <w:t>est</w:t>
      </w:r>
      <w:r w:rsidRPr="002C4077">
        <w:t xml:space="preserve"> </w:t>
      </w:r>
      <w:r w:rsidR="0055004A" w:rsidRPr="000A34B5">
        <w:rPr>
          <w:rStyle w:val="italicus"/>
        </w:rPr>
        <w:t>avérsus</w:t>
      </w:r>
      <w:r w:rsidRPr="002C4077">
        <w:t xml:space="preserve"> </w:t>
      </w:r>
      <w:r w:rsidRPr="000A34B5">
        <w:rPr>
          <w:rStyle w:val="italicus"/>
        </w:rPr>
        <w:t>fur</w:t>
      </w:r>
      <w:r w:rsidRPr="002C4077">
        <w:t xml:space="preserve"> </w:t>
      </w:r>
      <w:r w:rsidRPr="000A34B5">
        <w:rPr>
          <w:rStyle w:val="italicus"/>
        </w:rPr>
        <w:t>or</w:t>
      </w:r>
      <w:r w:rsidRPr="002C4077">
        <w:t xml:space="preserve"> </w:t>
      </w:r>
      <w:r w:rsidRPr="000A34B5">
        <w:rPr>
          <w:rStyle w:val="italicus"/>
        </w:rPr>
        <w:t>ejus,</w:t>
      </w:r>
      <w:r w:rsidRPr="002C4077">
        <w:t xml:space="preserve"> </w:t>
      </w:r>
      <w:r w:rsidRPr="000A34B5">
        <w:rPr>
          <w:rStyle w:val="italicus"/>
        </w:rPr>
        <w:t>sed</w:t>
      </w:r>
      <w:r w:rsidRPr="002C4077">
        <w:t xml:space="preserve"> </w:t>
      </w:r>
      <w:r w:rsidRPr="000A34B5">
        <w:rPr>
          <w:rStyle w:val="italicus"/>
        </w:rPr>
        <w:t>adhuc</w:t>
      </w:r>
      <w:r w:rsidRPr="002C4077">
        <w:t xml:space="preserve"> </w:t>
      </w:r>
      <w:r w:rsidRPr="000A34B5">
        <w:rPr>
          <w:rStyle w:val="italicus"/>
        </w:rPr>
        <w:t>matins</w:t>
      </w:r>
      <w:r w:rsidRPr="002C4077">
        <w:t xml:space="preserve"> </w:t>
      </w:r>
      <w:r w:rsidRPr="000A34B5">
        <w:rPr>
          <w:rStyle w:val="italicus"/>
        </w:rPr>
        <w:t>ejus</w:t>
      </w:r>
      <w:r w:rsidRPr="002C4077">
        <w:t xml:space="preserve"> </w:t>
      </w:r>
      <w:r w:rsidR="0055004A" w:rsidRPr="000A34B5">
        <w:rPr>
          <w:rStyle w:val="italicus"/>
        </w:rPr>
        <w:t>exténta</w:t>
      </w:r>
      <w:r w:rsidR="00F6492C">
        <w:rPr>
          <w:rStyle w:val="Appelnotedebasdep"/>
          <w:i/>
        </w:rPr>
        <w:footnoteReference w:id="73"/>
      </w:r>
      <w:r w:rsidR="00F6492C" w:rsidRPr="000A34B5">
        <w:rPr>
          <w:rStyle w:val="italicus"/>
        </w:rPr>
        <w:t>.</w:t>
      </w:r>
      <w:r w:rsidR="00C45B47">
        <w:t xml:space="preserve"> {</w:t>
      </w:r>
      <w:r w:rsidR="000721C4">
        <w:t>27</w:t>
      </w:r>
      <w:bookmarkStart w:id="107" w:name="p027"/>
      <w:bookmarkEnd w:id="107"/>
      <w:r w:rsidR="000721C4">
        <w:t xml:space="preserve">} </w:t>
      </w:r>
      <w:r>
        <w:t>Isaïe</w:t>
      </w:r>
      <w:r w:rsidRPr="002C4077">
        <w:t xml:space="preserve"> </w:t>
      </w:r>
      <w:r>
        <w:t>annonce</w:t>
      </w:r>
      <w:r w:rsidRPr="002C4077">
        <w:t xml:space="preserve"> </w:t>
      </w:r>
      <w:r>
        <w:t>à</w:t>
      </w:r>
      <w:r w:rsidRPr="002C4077">
        <w:t xml:space="preserve"> </w:t>
      </w:r>
      <w:r>
        <w:t>son</w:t>
      </w:r>
      <w:r w:rsidRPr="002C4077">
        <w:t xml:space="preserve"> </w:t>
      </w:r>
      <w:r>
        <w:t>peuple</w:t>
      </w:r>
      <w:r w:rsidRPr="002C4077">
        <w:t xml:space="preserve"> </w:t>
      </w:r>
      <w:r>
        <w:t>ingrat</w:t>
      </w:r>
      <w:r w:rsidRPr="002C4077">
        <w:t xml:space="preserve"> </w:t>
      </w:r>
      <w:r>
        <w:t>et</w:t>
      </w:r>
      <w:r w:rsidRPr="002C4077">
        <w:t xml:space="preserve"> </w:t>
      </w:r>
      <w:r>
        <w:t>incorrigible</w:t>
      </w:r>
      <w:r w:rsidRPr="002C4077">
        <w:t xml:space="preserve"> </w:t>
      </w:r>
      <w:r>
        <w:t>des</w:t>
      </w:r>
      <w:r w:rsidRPr="002C4077">
        <w:t xml:space="preserve"> </w:t>
      </w:r>
      <w:r>
        <w:t>calamités</w:t>
      </w:r>
      <w:r w:rsidRPr="002C4077">
        <w:t xml:space="preserve"> </w:t>
      </w:r>
      <w:r>
        <w:t>qui</w:t>
      </w:r>
      <w:r w:rsidRPr="002C4077">
        <w:t xml:space="preserve"> </w:t>
      </w:r>
      <w:r>
        <w:t>se</w:t>
      </w:r>
      <w:r w:rsidRPr="002C4077">
        <w:t xml:space="preserve"> </w:t>
      </w:r>
      <w:r>
        <w:t>succéderont</w:t>
      </w:r>
      <w:r w:rsidRPr="002C4077">
        <w:t xml:space="preserve"> </w:t>
      </w:r>
      <w:r>
        <w:t>sans</w:t>
      </w:r>
      <w:r w:rsidRPr="002C4077">
        <w:t xml:space="preserve"> </w:t>
      </w:r>
      <w:r>
        <w:t>relâche,</w:t>
      </w:r>
      <w:r w:rsidRPr="002C4077">
        <w:t xml:space="preserve"> </w:t>
      </w:r>
      <w:r>
        <w:t>des</w:t>
      </w:r>
      <w:r w:rsidRPr="002C4077">
        <w:t xml:space="preserve"> </w:t>
      </w:r>
      <w:r>
        <w:t>coups</w:t>
      </w:r>
      <w:r w:rsidRPr="002C4077">
        <w:t xml:space="preserve"> </w:t>
      </w:r>
      <w:r>
        <w:t>redoublés</w:t>
      </w:r>
      <w:r w:rsidRPr="002C4077">
        <w:t xml:space="preserve"> </w:t>
      </w:r>
      <w:r>
        <w:t>de</w:t>
      </w:r>
      <w:r w:rsidRPr="002C4077">
        <w:t xml:space="preserve"> </w:t>
      </w:r>
      <w:r>
        <w:t>la</w:t>
      </w:r>
      <w:r w:rsidRPr="002C4077">
        <w:t xml:space="preserve"> </w:t>
      </w:r>
      <w:r>
        <w:t>vengeance</w:t>
      </w:r>
      <w:r w:rsidRPr="002C4077">
        <w:t xml:space="preserve"> </w:t>
      </w:r>
      <w:r>
        <w:t>divine,</w:t>
      </w:r>
      <w:r w:rsidRPr="002C4077">
        <w:t xml:space="preserve"> </w:t>
      </w:r>
      <w:r>
        <w:t>qui</w:t>
      </w:r>
      <w:r w:rsidRPr="002C4077">
        <w:t xml:space="preserve"> </w:t>
      </w:r>
      <w:r>
        <w:t>seront</w:t>
      </w:r>
      <w:r w:rsidRPr="002C4077">
        <w:t xml:space="preserve"> </w:t>
      </w:r>
      <w:r>
        <w:t>pourtant</w:t>
      </w:r>
      <w:r w:rsidRPr="002C4077">
        <w:t xml:space="preserve"> </w:t>
      </w:r>
      <w:r>
        <w:t>impuissants</w:t>
      </w:r>
      <w:r w:rsidRPr="002C4077">
        <w:t xml:space="preserve"> </w:t>
      </w:r>
      <w:r>
        <w:t>à</w:t>
      </w:r>
      <w:r w:rsidRPr="002C4077">
        <w:t xml:space="preserve"> </w:t>
      </w:r>
      <w:r>
        <w:t>les</w:t>
      </w:r>
      <w:r w:rsidRPr="002C4077">
        <w:t xml:space="preserve"> </w:t>
      </w:r>
      <w:r>
        <w:t>convertir.</w:t>
      </w:r>
      <w:r w:rsidRPr="002C4077">
        <w:t xml:space="preserve"> </w:t>
      </w:r>
      <w:r>
        <w:t>Ces</w:t>
      </w:r>
      <w:r w:rsidRPr="002C4077">
        <w:t xml:space="preserve"> </w:t>
      </w:r>
      <w:r>
        <w:t>malheurs</w:t>
      </w:r>
      <w:r w:rsidRPr="002C4077">
        <w:t xml:space="preserve"> </w:t>
      </w:r>
      <w:r>
        <w:t>seront</w:t>
      </w:r>
      <w:r w:rsidRPr="002C4077">
        <w:t xml:space="preserve"> </w:t>
      </w:r>
      <w:r>
        <w:t>la</w:t>
      </w:r>
      <w:r w:rsidRPr="002C4077">
        <w:t xml:space="preserve"> </w:t>
      </w:r>
      <w:r>
        <w:t>guerre</w:t>
      </w:r>
      <w:r w:rsidRPr="002C4077">
        <w:t xml:space="preserve"> </w:t>
      </w:r>
      <w:r>
        <w:t>étrangère,</w:t>
      </w:r>
      <w:r w:rsidRPr="002C4077">
        <w:t xml:space="preserve"> </w:t>
      </w:r>
      <w:r>
        <w:t>la</w:t>
      </w:r>
      <w:r w:rsidRPr="002C4077">
        <w:t xml:space="preserve"> </w:t>
      </w:r>
      <w:r>
        <w:t>dévastation,</w:t>
      </w:r>
      <w:r w:rsidRPr="002C4077">
        <w:t xml:space="preserve"> </w:t>
      </w:r>
      <w:r>
        <w:t>la</w:t>
      </w:r>
      <w:r w:rsidRPr="002C4077">
        <w:t xml:space="preserve"> </w:t>
      </w:r>
      <w:r>
        <w:t>famine,</w:t>
      </w:r>
      <w:r w:rsidRPr="002C4077">
        <w:t xml:space="preserve"> </w:t>
      </w:r>
      <w:r>
        <w:t>les</w:t>
      </w:r>
      <w:r w:rsidRPr="002C4077">
        <w:t xml:space="preserve"> </w:t>
      </w:r>
      <w:r>
        <w:t>guerres</w:t>
      </w:r>
      <w:r w:rsidRPr="002C4077">
        <w:t xml:space="preserve"> </w:t>
      </w:r>
      <w:r>
        <w:t>intestines,</w:t>
      </w:r>
      <w:r w:rsidRPr="002C4077">
        <w:t xml:space="preserve"> </w:t>
      </w:r>
      <w:r>
        <w:t>et</w:t>
      </w:r>
      <w:r w:rsidRPr="002C4077">
        <w:t xml:space="preserve"> </w:t>
      </w:r>
      <w:r>
        <w:t>l’extermination</w:t>
      </w:r>
      <w:r w:rsidRPr="002C4077">
        <w:t xml:space="preserve"> </w:t>
      </w:r>
      <w:r>
        <w:t>presque</w:t>
      </w:r>
      <w:r w:rsidRPr="002C4077">
        <w:t xml:space="preserve"> </w:t>
      </w:r>
      <w:r>
        <w:t>totale</w:t>
      </w:r>
      <w:r w:rsidRPr="002C4077">
        <w:t xml:space="preserve"> </w:t>
      </w:r>
      <w:r>
        <w:t>des</w:t>
      </w:r>
      <w:r w:rsidRPr="002C4077">
        <w:t xml:space="preserve"> </w:t>
      </w:r>
      <w:r>
        <w:t>grands</w:t>
      </w:r>
      <w:r w:rsidRPr="002C4077">
        <w:t xml:space="preserve"> </w:t>
      </w:r>
      <w:r>
        <w:t>et</w:t>
      </w:r>
      <w:r w:rsidRPr="002C4077">
        <w:t xml:space="preserve"> </w:t>
      </w:r>
      <w:r>
        <w:t>du</w:t>
      </w:r>
      <w:r w:rsidRPr="002C4077">
        <w:t xml:space="preserve"> </w:t>
      </w:r>
      <w:r>
        <w:t>peuple</w:t>
      </w:r>
      <w:r w:rsidRPr="004440EA">
        <w:t xml:space="preserve"> (</w:t>
      </w:r>
      <w:r>
        <w:t>IX,</w:t>
      </w:r>
      <w:r w:rsidRPr="002C4077">
        <w:t xml:space="preserve"> </w:t>
      </w:r>
      <w:r>
        <w:t>8-X,</w:t>
      </w:r>
      <w:r w:rsidRPr="002C4077">
        <w:t xml:space="preserve"> </w:t>
      </w:r>
      <w:r>
        <w:t>4</w:t>
      </w:r>
      <w:r w:rsidR="00B546AF" w:rsidRPr="002C4077">
        <w:t>)</w:t>
      </w:r>
      <w:r>
        <w:t>.</w:t>
      </w:r>
      <w:r w:rsidRPr="002C4077">
        <w:t xml:space="preserve"> </w:t>
      </w:r>
    </w:p>
    <w:p w:rsidR="000A7AAB" w:rsidRDefault="000A7AAB" w:rsidP="000A7AAB">
      <w:r>
        <w:t>La</w:t>
      </w:r>
      <w:bookmarkStart w:id="108" w:name="z_Assyriens_o2"/>
      <w:bookmarkEnd w:id="108"/>
      <w:r w:rsidRPr="002C4077">
        <w:t xml:space="preserve"> </w:t>
      </w:r>
      <w:r>
        <w:t>description</w:t>
      </w:r>
      <w:r w:rsidRPr="002C4077">
        <w:t xml:space="preserve"> </w:t>
      </w:r>
      <w:r>
        <w:t>suivante</w:t>
      </w:r>
      <w:r w:rsidRPr="004440EA">
        <w:t xml:space="preserve"> (</w:t>
      </w:r>
      <w:r>
        <w:t>X,</w:t>
      </w:r>
      <w:r w:rsidRPr="002C4077">
        <w:t xml:space="preserve"> </w:t>
      </w:r>
      <w:r w:rsidR="00507DB8">
        <w:t>5</w:t>
      </w:r>
      <w:r>
        <w:t>-34</w:t>
      </w:r>
      <w:r w:rsidR="00B546AF" w:rsidRPr="002C4077">
        <w:t>)</w:t>
      </w:r>
      <w:r w:rsidRPr="002C4077">
        <w:t xml:space="preserve"> </w:t>
      </w:r>
      <w:r>
        <w:t>nous</w:t>
      </w:r>
      <w:r w:rsidRPr="002C4077">
        <w:t xml:space="preserve"> </w:t>
      </w:r>
      <w:r>
        <w:t>montre</w:t>
      </w:r>
      <w:r w:rsidRPr="002C4077">
        <w:t xml:space="preserve"> </w:t>
      </w:r>
      <w:r>
        <w:t>les</w:t>
      </w:r>
      <w:r w:rsidRPr="002C4077">
        <w:t xml:space="preserve"> </w:t>
      </w:r>
      <w:r>
        <w:t>Assyriens</w:t>
      </w:r>
      <w:r w:rsidRPr="002C4077">
        <w:t xml:space="preserve"> </w:t>
      </w:r>
      <w:r>
        <w:t>renversés</w:t>
      </w:r>
      <w:r w:rsidRPr="002C4077">
        <w:t xml:space="preserve"> </w:t>
      </w:r>
      <w:r>
        <w:t>à</w:t>
      </w:r>
      <w:r w:rsidRPr="002C4077">
        <w:t xml:space="preserve"> </w:t>
      </w:r>
      <w:r>
        <w:t>leur</w:t>
      </w:r>
      <w:r w:rsidRPr="002C4077">
        <w:t xml:space="preserve"> </w:t>
      </w:r>
      <w:r>
        <w:t>tour,</w:t>
      </w:r>
      <w:r w:rsidRPr="002C4077">
        <w:t xml:space="preserve"> </w:t>
      </w:r>
      <w:r>
        <w:t>après</w:t>
      </w:r>
      <w:r w:rsidRPr="002C4077">
        <w:t xml:space="preserve"> </w:t>
      </w:r>
      <w:r>
        <w:t>avoir</w:t>
      </w:r>
      <w:r w:rsidRPr="002C4077">
        <w:t xml:space="preserve"> </w:t>
      </w:r>
      <w:r>
        <w:t>été</w:t>
      </w:r>
      <w:r w:rsidRPr="002C4077">
        <w:t xml:space="preserve"> </w:t>
      </w:r>
      <w:r>
        <w:t>les</w:t>
      </w:r>
      <w:r w:rsidRPr="002C4077">
        <w:t xml:space="preserve"> </w:t>
      </w:r>
      <w:r>
        <w:t>instruments</w:t>
      </w:r>
      <w:r w:rsidRPr="002C4077">
        <w:t xml:space="preserve"> </w:t>
      </w:r>
      <w:r>
        <w:t>de</w:t>
      </w:r>
      <w:r w:rsidRPr="002C4077">
        <w:t xml:space="preserve"> </w:t>
      </w:r>
      <w:r>
        <w:t>la</w:t>
      </w:r>
      <w:r w:rsidRPr="002C4077">
        <w:t xml:space="preserve"> </w:t>
      </w:r>
      <w:r>
        <w:t>colère</w:t>
      </w:r>
      <w:r w:rsidRPr="002C4077">
        <w:t xml:space="preserve"> </w:t>
      </w:r>
      <w:r>
        <w:t>de</w:t>
      </w:r>
      <w:r w:rsidRPr="002C4077">
        <w:t xml:space="preserve"> </w:t>
      </w:r>
      <w:r>
        <w:t>Jéhovah</w:t>
      </w:r>
      <w:r w:rsidRPr="002C4077">
        <w:t xml:space="preserve"> </w:t>
      </w:r>
      <w:r>
        <w:t>contre</w:t>
      </w:r>
      <w:r w:rsidRPr="002C4077">
        <w:t xml:space="preserve"> </w:t>
      </w:r>
      <w:r>
        <w:t>son</w:t>
      </w:r>
      <w:r w:rsidRPr="002C4077">
        <w:t xml:space="preserve"> </w:t>
      </w:r>
      <w:r>
        <w:t>peuple.</w:t>
      </w:r>
      <w:r w:rsidRPr="002C4077">
        <w:t xml:space="preserve"> </w:t>
      </w:r>
      <w:r>
        <w:t>Ces</w:t>
      </w:r>
      <w:r w:rsidRPr="002C4077">
        <w:t xml:space="preserve"> </w:t>
      </w:r>
      <w:r>
        <w:t>farouches</w:t>
      </w:r>
      <w:r w:rsidRPr="002C4077">
        <w:t xml:space="preserve"> </w:t>
      </w:r>
      <w:r>
        <w:t>guerriers,</w:t>
      </w:r>
      <w:r w:rsidRPr="002C4077">
        <w:t xml:space="preserve"> </w:t>
      </w:r>
      <w:r>
        <w:t>méconnaissant</w:t>
      </w:r>
      <w:r w:rsidRPr="002C4077">
        <w:t xml:space="preserve"> </w:t>
      </w:r>
      <w:r>
        <w:t>les</w:t>
      </w:r>
      <w:r w:rsidRPr="002C4077">
        <w:t xml:space="preserve"> </w:t>
      </w:r>
      <w:r>
        <w:t>desseins</w:t>
      </w:r>
      <w:r w:rsidRPr="002C4077">
        <w:t xml:space="preserve"> </w:t>
      </w:r>
      <w:r>
        <w:t>du</w:t>
      </w:r>
      <w:r w:rsidRPr="002C4077">
        <w:t xml:space="preserve"> </w:t>
      </w:r>
      <w:r>
        <w:t>ciel,</w:t>
      </w:r>
      <w:r w:rsidRPr="002C4077">
        <w:t xml:space="preserve"> </w:t>
      </w:r>
      <w:r>
        <w:t>n’attribuent</w:t>
      </w:r>
      <w:r w:rsidRPr="002C4077">
        <w:t xml:space="preserve"> </w:t>
      </w:r>
      <w:r>
        <w:t>leurs</w:t>
      </w:r>
      <w:r w:rsidRPr="002C4077">
        <w:t xml:space="preserve"> </w:t>
      </w:r>
      <w:r>
        <w:t>succès</w:t>
      </w:r>
      <w:r w:rsidRPr="002C4077">
        <w:t xml:space="preserve"> </w:t>
      </w:r>
      <w:r>
        <w:t>qu’à</w:t>
      </w:r>
      <w:r w:rsidRPr="002C4077">
        <w:t xml:space="preserve"> </w:t>
      </w:r>
      <w:r>
        <w:t>leur</w:t>
      </w:r>
      <w:r w:rsidRPr="002C4077">
        <w:t xml:space="preserve"> </w:t>
      </w:r>
      <w:r>
        <w:t>bravoure</w:t>
      </w:r>
      <w:r w:rsidRPr="002C4077">
        <w:t xml:space="preserve"> </w:t>
      </w:r>
      <w:r>
        <w:t>et</w:t>
      </w:r>
      <w:r w:rsidRPr="002C4077">
        <w:t xml:space="preserve"> </w:t>
      </w:r>
      <w:r>
        <w:t>à</w:t>
      </w:r>
      <w:r w:rsidRPr="002C4077">
        <w:t xml:space="preserve"> </w:t>
      </w:r>
      <w:r>
        <w:t>leur</w:t>
      </w:r>
      <w:r w:rsidRPr="002C4077">
        <w:t xml:space="preserve"> </w:t>
      </w:r>
      <w:r>
        <w:t>habileté</w:t>
      </w:r>
      <w:r w:rsidRPr="002C4077">
        <w:t xml:space="preserve"> </w:t>
      </w:r>
      <w:r>
        <w:t>personnelle</w:t>
      </w:r>
      <w:r w:rsidR="00B546AF">
        <w:t> ;</w:t>
      </w:r>
      <w:r w:rsidRPr="002C4077">
        <w:t xml:space="preserve"> </w:t>
      </w:r>
      <w:r>
        <w:t>ils</w:t>
      </w:r>
      <w:r w:rsidRPr="002C4077">
        <w:t xml:space="preserve"> </w:t>
      </w:r>
      <w:r>
        <w:t>s’élèvent</w:t>
      </w:r>
      <w:r w:rsidRPr="002C4077">
        <w:t xml:space="preserve"> </w:t>
      </w:r>
      <w:r>
        <w:t>contre</w:t>
      </w:r>
      <w:r w:rsidRPr="002C4077">
        <w:t xml:space="preserve"> </w:t>
      </w:r>
      <w:r>
        <w:t>Dieu,</w:t>
      </w:r>
      <w:r w:rsidRPr="002C4077">
        <w:t xml:space="preserve"> </w:t>
      </w:r>
      <w:r>
        <w:t>et</w:t>
      </w:r>
      <w:r w:rsidRPr="002C4077">
        <w:t xml:space="preserve"> </w:t>
      </w:r>
      <w:r>
        <w:t>au</w:t>
      </w:r>
      <w:r w:rsidRPr="002C4077">
        <w:t xml:space="preserve"> </w:t>
      </w:r>
      <w:r>
        <w:t>lieu</w:t>
      </w:r>
      <w:r w:rsidRPr="002C4077">
        <w:t xml:space="preserve"> </w:t>
      </w:r>
      <w:r>
        <w:t>de</w:t>
      </w:r>
      <w:r w:rsidRPr="002C4077">
        <w:t xml:space="preserve"> </w:t>
      </w:r>
      <w:r>
        <w:t>se</w:t>
      </w:r>
      <w:r w:rsidRPr="002C4077">
        <w:t xml:space="preserve"> </w:t>
      </w:r>
      <w:r>
        <w:t>borner</w:t>
      </w:r>
      <w:r w:rsidRPr="002C4077">
        <w:t xml:space="preserve"> </w:t>
      </w:r>
      <w:r>
        <w:t>à</w:t>
      </w:r>
      <w:r w:rsidRPr="002C4077">
        <w:t xml:space="preserve"> </w:t>
      </w:r>
      <w:r>
        <w:t>châtier</w:t>
      </w:r>
      <w:r w:rsidRPr="002C4077">
        <w:t xml:space="preserve"> </w:t>
      </w:r>
      <w:r>
        <w:t>l’impiété</w:t>
      </w:r>
      <w:r w:rsidRPr="002C4077">
        <w:t xml:space="preserve"> </w:t>
      </w:r>
      <w:r>
        <w:t>des</w:t>
      </w:r>
      <w:r w:rsidRPr="002C4077">
        <w:t xml:space="preserve"> </w:t>
      </w:r>
      <w:r>
        <w:t>Juifs,</w:t>
      </w:r>
      <w:r w:rsidRPr="002C4077">
        <w:t xml:space="preserve"> </w:t>
      </w:r>
      <w:r>
        <w:t>ils</w:t>
      </w:r>
      <w:r w:rsidRPr="002C4077">
        <w:t xml:space="preserve"> </w:t>
      </w:r>
      <w:r>
        <w:t>veulent</w:t>
      </w:r>
      <w:r w:rsidRPr="002C4077">
        <w:t xml:space="preserve"> </w:t>
      </w:r>
      <w:r>
        <w:t>en</w:t>
      </w:r>
      <w:r w:rsidRPr="002C4077">
        <w:t xml:space="preserve"> </w:t>
      </w:r>
      <w:r>
        <w:t>détruire</w:t>
      </w:r>
      <w:r w:rsidRPr="002C4077">
        <w:t xml:space="preserve"> </w:t>
      </w:r>
      <w:r>
        <w:t>la</w:t>
      </w:r>
      <w:r w:rsidRPr="002C4077">
        <w:t xml:space="preserve"> </w:t>
      </w:r>
      <w:r>
        <w:t>race</w:t>
      </w:r>
      <w:r w:rsidRPr="002C4077">
        <w:t xml:space="preserve"> </w:t>
      </w:r>
      <w:r>
        <w:t>et</w:t>
      </w:r>
      <w:r w:rsidRPr="002C4077">
        <w:t xml:space="preserve"> </w:t>
      </w:r>
      <w:r>
        <w:t>effacer</w:t>
      </w:r>
      <w:r w:rsidRPr="002C4077">
        <w:t xml:space="preserve"> </w:t>
      </w:r>
      <w:r>
        <w:t>le</w:t>
      </w:r>
      <w:r w:rsidRPr="002C4077">
        <w:t xml:space="preserve"> </w:t>
      </w:r>
      <w:r>
        <w:t>nom</w:t>
      </w:r>
      <w:r w:rsidRPr="002C4077">
        <w:t xml:space="preserve"> </w:t>
      </w:r>
      <w:r>
        <w:t>de</w:t>
      </w:r>
      <w:r w:rsidRPr="002C4077">
        <w:t xml:space="preserve"> </w:t>
      </w:r>
      <w:r>
        <w:lastRenderedPageBreak/>
        <w:t>Jéhovah</w:t>
      </w:r>
      <w:r w:rsidRPr="002C4077">
        <w:t xml:space="preserve"> </w:t>
      </w:r>
      <w:r>
        <w:t>sur</w:t>
      </w:r>
      <w:r w:rsidRPr="002C4077">
        <w:t xml:space="preserve"> </w:t>
      </w:r>
      <w:r>
        <w:t>la</w:t>
      </w:r>
      <w:r w:rsidRPr="002C4077">
        <w:t xml:space="preserve"> </w:t>
      </w:r>
      <w:r>
        <w:t>terre.</w:t>
      </w:r>
      <w:r w:rsidRPr="002C4077">
        <w:t xml:space="preserve"> </w:t>
      </w:r>
      <w:r>
        <w:t>Ils</w:t>
      </w:r>
      <w:r w:rsidRPr="002C4077">
        <w:t xml:space="preserve"> </w:t>
      </w:r>
      <w:r>
        <w:t>seront</w:t>
      </w:r>
      <w:r w:rsidRPr="002C4077">
        <w:t xml:space="preserve"> </w:t>
      </w:r>
      <w:r>
        <w:t>frappés</w:t>
      </w:r>
      <w:r w:rsidRPr="002C4077">
        <w:t xml:space="preserve"> </w:t>
      </w:r>
      <w:r>
        <w:t>à</w:t>
      </w:r>
      <w:r w:rsidRPr="002C4077">
        <w:t xml:space="preserve"> </w:t>
      </w:r>
      <w:r>
        <w:t>leur</w:t>
      </w:r>
      <w:r w:rsidRPr="002C4077">
        <w:t xml:space="preserve"> </w:t>
      </w:r>
      <w:r>
        <w:t>tour,</w:t>
      </w:r>
      <w:r w:rsidRPr="002C4077">
        <w:t xml:space="preserve"> </w:t>
      </w:r>
      <w:r>
        <w:t>et</w:t>
      </w:r>
      <w:r w:rsidRPr="002C4077">
        <w:t xml:space="preserve"> </w:t>
      </w:r>
      <w:r>
        <w:t>semblables</w:t>
      </w:r>
      <w:r w:rsidRPr="002C4077">
        <w:t xml:space="preserve"> </w:t>
      </w:r>
      <w:r>
        <w:t>à</w:t>
      </w:r>
      <w:r w:rsidRPr="002C4077">
        <w:t xml:space="preserve"> </w:t>
      </w:r>
      <w:r>
        <w:t>une</w:t>
      </w:r>
      <w:r w:rsidRPr="002C4077">
        <w:t xml:space="preserve"> </w:t>
      </w:r>
      <w:r>
        <w:t>vaste</w:t>
      </w:r>
      <w:r w:rsidRPr="002C4077">
        <w:t xml:space="preserve"> </w:t>
      </w:r>
      <w:r>
        <w:t>forêt</w:t>
      </w:r>
      <w:r w:rsidRPr="002C4077">
        <w:t xml:space="preserve"> </w:t>
      </w:r>
      <w:r>
        <w:t>qui</w:t>
      </w:r>
      <w:r w:rsidRPr="002C4077">
        <w:t xml:space="preserve"> </w:t>
      </w:r>
      <w:r>
        <w:t>devient</w:t>
      </w:r>
      <w:r w:rsidRPr="002C4077">
        <w:t xml:space="preserve"> </w:t>
      </w:r>
      <w:r>
        <w:t>la</w:t>
      </w:r>
      <w:r w:rsidRPr="002C4077">
        <w:t xml:space="preserve"> </w:t>
      </w:r>
      <w:r>
        <w:t>proie</w:t>
      </w:r>
      <w:r w:rsidRPr="002C4077">
        <w:t xml:space="preserve"> </w:t>
      </w:r>
      <w:r>
        <w:t>des</w:t>
      </w:r>
      <w:r w:rsidRPr="002C4077">
        <w:t xml:space="preserve"> </w:t>
      </w:r>
      <w:r>
        <w:t>flammes.</w:t>
      </w:r>
      <w:r w:rsidRPr="002C4077">
        <w:t xml:space="preserve"> </w:t>
      </w:r>
      <w:r>
        <w:t>Pour</w:t>
      </w:r>
      <w:r w:rsidRPr="002C4077">
        <w:t xml:space="preserve"> </w:t>
      </w:r>
      <w:r>
        <w:t>rendre</w:t>
      </w:r>
      <w:r w:rsidRPr="002C4077">
        <w:t xml:space="preserve"> </w:t>
      </w:r>
      <w:r>
        <w:t>la</w:t>
      </w:r>
      <w:r w:rsidRPr="002C4077">
        <w:t xml:space="preserve"> </w:t>
      </w:r>
      <w:r>
        <w:t>prophétie</w:t>
      </w:r>
      <w:r w:rsidRPr="002C4077">
        <w:t xml:space="preserve"> </w:t>
      </w:r>
      <w:r>
        <w:t>plus</w:t>
      </w:r>
      <w:r w:rsidRPr="002C4077">
        <w:t xml:space="preserve"> </w:t>
      </w:r>
      <w:r>
        <w:t>frappante,</w:t>
      </w:r>
      <w:r w:rsidRPr="002C4077">
        <w:t xml:space="preserve"> </w:t>
      </w:r>
      <w:r>
        <w:t>Isaïe</w:t>
      </w:r>
      <w:r w:rsidRPr="002C4077">
        <w:t xml:space="preserve"> </w:t>
      </w:r>
      <w:r>
        <w:t>dépeint,</w:t>
      </w:r>
      <w:r w:rsidRPr="002C4077">
        <w:t xml:space="preserve"> </w:t>
      </w:r>
      <w:r>
        <w:t>dans</w:t>
      </w:r>
      <w:r w:rsidRPr="002C4077">
        <w:t xml:space="preserve"> </w:t>
      </w:r>
      <w:r>
        <w:t>une</w:t>
      </w:r>
      <w:r w:rsidRPr="002C4077">
        <w:t xml:space="preserve"> </w:t>
      </w:r>
      <w:r>
        <w:t>page</w:t>
      </w:r>
      <w:r w:rsidRPr="002C4077">
        <w:t xml:space="preserve"> </w:t>
      </w:r>
      <w:r>
        <w:t>que</w:t>
      </w:r>
      <w:r w:rsidRPr="002C4077">
        <w:t xml:space="preserve"> </w:t>
      </w:r>
      <w:r>
        <w:t>les</w:t>
      </w:r>
      <w:r w:rsidRPr="002C4077">
        <w:t xml:space="preserve"> </w:t>
      </w:r>
      <w:r>
        <w:t>littérateurs</w:t>
      </w:r>
      <w:r w:rsidRPr="002C4077">
        <w:t xml:space="preserve"> </w:t>
      </w:r>
      <w:r>
        <w:t>ont</w:t>
      </w:r>
      <w:r w:rsidRPr="002C4077">
        <w:t xml:space="preserve"> </w:t>
      </w:r>
      <w:r>
        <w:t>de</w:t>
      </w:r>
      <w:r w:rsidRPr="002C4077">
        <w:t xml:space="preserve"> </w:t>
      </w:r>
      <w:r>
        <w:t>tout</w:t>
      </w:r>
      <w:r w:rsidRPr="002C4077">
        <w:t xml:space="preserve"> </w:t>
      </w:r>
      <w:r>
        <w:t>temps</w:t>
      </w:r>
      <w:r w:rsidRPr="002C4077">
        <w:t xml:space="preserve"> </w:t>
      </w:r>
      <w:r>
        <w:t>admirée,</w:t>
      </w:r>
      <w:r w:rsidRPr="002C4077">
        <w:t xml:space="preserve"> </w:t>
      </w:r>
      <w:r>
        <w:t>la</w:t>
      </w:r>
      <w:r w:rsidRPr="002C4077">
        <w:t xml:space="preserve"> </w:t>
      </w:r>
      <w:r>
        <w:t>marche</w:t>
      </w:r>
      <w:r w:rsidRPr="002C4077">
        <w:t xml:space="preserve"> </w:t>
      </w:r>
      <w:r>
        <w:t>impétueuse</w:t>
      </w:r>
      <w:r w:rsidRPr="002C4077">
        <w:t xml:space="preserve"> </w:t>
      </w:r>
      <w:r>
        <w:t>des</w:t>
      </w:r>
      <w:r w:rsidRPr="002C4077">
        <w:t xml:space="preserve"> </w:t>
      </w:r>
      <w:r>
        <w:t>Assyriens</w:t>
      </w:r>
      <w:r w:rsidRPr="002C4077">
        <w:t xml:space="preserve"> </w:t>
      </w:r>
      <w:r>
        <w:t>contre</w:t>
      </w:r>
      <w:r w:rsidRPr="002C4077">
        <w:t xml:space="preserve"> </w:t>
      </w:r>
      <w:r>
        <w:t>Jérusalem,</w:t>
      </w:r>
      <w:r w:rsidRPr="002C4077">
        <w:t xml:space="preserve"> </w:t>
      </w:r>
      <w:r>
        <w:t>et</w:t>
      </w:r>
      <w:r w:rsidRPr="002C4077">
        <w:t xml:space="preserve"> </w:t>
      </w:r>
      <w:r>
        <w:t>note,</w:t>
      </w:r>
      <w:r w:rsidRPr="002C4077">
        <w:t xml:space="preserve"> </w:t>
      </w:r>
      <w:r>
        <w:t>pour</w:t>
      </w:r>
      <w:r w:rsidRPr="002C4077">
        <w:t xml:space="preserve"> </w:t>
      </w:r>
      <w:r>
        <w:t>ainsi</w:t>
      </w:r>
      <w:r w:rsidRPr="002C4077">
        <w:t xml:space="preserve"> </w:t>
      </w:r>
      <w:r>
        <w:t>dire,</w:t>
      </w:r>
      <w:r w:rsidRPr="002C4077">
        <w:t xml:space="preserve"> </w:t>
      </w:r>
      <w:r>
        <w:t>chacune</w:t>
      </w:r>
      <w:r w:rsidRPr="002C4077">
        <w:t xml:space="preserve"> </w:t>
      </w:r>
      <w:r>
        <w:t>de</w:t>
      </w:r>
      <w:r w:rsidRPr="002C4077">
        <w:t xml:space="preserve"> </w:t>
      </w:r>
      <w:r>
        <w:t>leurs</w:t>
      </w:r>
      <w:r w:rsidRPr="002C4077">
        <w:t xml:space="preserve"> </w:t>
      </w:r>
      <w:r>
        <w:t>étapes</w:t>
      </w:r>
      <w:r w:rsidR="00B546AF">
        <w:t> :</w:t>
      </w:r>
      <w:r w:rsidRPr="002C4077">
        <w:t xml:space="preserve"> </w:t>
      </w:r>
      <w:r>
        <w:t>soudain,</w:t>
      </w:r>
      <w:r w:rsidRPr="002C4077">
        <w:t xml:space="preserve"> </w:t>
      </w:r>
      <w:r>
        <w:t>quand</w:t>
      </w:r>
      <w:r w:rsidRPr="002C4077">
        <w:t xml:space="preserve"> </w:t>
      </w:r>
      <w:r>
        <w:t>ils</w:t>
      </w:r>
      <w:r w:rsidRPr="002C4077">
        <w:t xml:space="preserve"> </w:t>
      </w:r>
      <w:r>
        <w:t>sont</w:t>
      </w:r>
      <w:r w:rsidRPr="002C4077">
        <w:t xml:space="preserve"> </w:t>
      </w:r>
      <w:r>
        <w:t>en</w:t>
      </w:r>
      <w:r w:rsidRPr="002C4077">
        <w:t xml:space="preserve"> </w:t>
      </w:r>
      <w:r>
        <w:t>face</w:t>
      </w:r>
      <w:r w:rsidRPr="002C4077">
        <w:t xml:space="preserve"> </w:t>
      </w:r>
      <w:r>
        <w:t>de</w:t>
      </w:r>
      <w:r w:rsidRPr="002C4077">
        <w:t xml:space="preserve"> </w:t>
      </w:r>
      <w:r>
        <w:t>la</w:t>
      </w:r>
      <w:r w:rsidRPr="002C4077">
        <w:t xml:space="preserve"> </w:t>
      </w:r>
      <w:r>
        <w:t>Ville</w:t>
      </w:r>
      <w:r w:rsidRPr="002C4077">
        <w:t xml:space="preserve"> </w:t>
      </w:r>
      <w:r>
        <w:t>sainte,</w:t>
      </w:r>
      <w:r w:rsidRPr="002C4077">
        <w:t xml:space="preserve"> </w:t>
      </w:r>
      <w:r>
        <w:t>nous</w:t>
      </w:r>
      <w:r w:rsidRPr="002C4077">
        <w:t xml:space="preserve"> </w:t>
      </w:r>
      <w:r>
        <w:t>les</w:t>
      </w:r>
      <w:r w:rsidRPr="002C4077">
        <w:t xml:space="preserve"> </w:t>
      </w:r>
      <w:r>
        <w:t>voyons</w:t>
      </w:r>
      <w:r w:rsidRPr="002C4077">
        <w:t xml:space="preserve"> </w:t>
      </w:r>
      <w:r>
        <w:t>anéantis</w:t>
      </w:r>
      <w:r w:rsidRPr="002C4077">
        <w:t xml:space="preserve"> </w:t>
      </w:r>
      <w:r>
        <w:t>par</w:t>
      </w:r>
      <w:r w:rsidRPr="002C4077">
        <w:t xml:space="preserve"> </w:t>
      </w:r>
      <w:r>
        <w:t>la</w:t>
      </w:r>
      <w:r w:rsidRPr="002C4077">
        <w:t xml:space="preserve"> </w:t>
      </w:r>
      <w:r>
        <w:t>foudre</w:t>
      </w:r>
      <w:r w:rsidRPr="002C4077">
        <w:t xml:space="preserve"> </w:t>
      </w:r>
      <w:r>
        <w:t>et</w:t>
      </w:r>
      <w:r w:rsidRPr="002C4077">
        <w:t xml:space="preserve"> </w:t>
      </w:r>
      <w:r>
        <w:t>la</w:t>
      </w:r>
      <w:r w:rsidRPr="002C4077">
        <w:t xml:space="preserve"> </w:t>
      </w:r>
      <w:r>
        <w:t>tempête.</w:t>
      </w:r>
      <w:r w:rsidRPr="002C4077">
        <w:t xml:space="preserve"> </w:t>
      </w:r>
    </w:p>
    <w:p w:rsidR="000A7AAB" w:rsidRDefault="000A7AAB" w:rsidP="000A7AAB">
      <w:r>
        <w:t>Des</w:t>
      </w:r>
      <w:r w:rsidRPr="002C4077">
        <w:t xml:space="preserve"> </w:t>
      </w:r>
      <w:r>
        <w:t>temps</w:t>
      </w:r>
      <w:r w:rsidRPr="002C4077">
        <w:t xml:space="preserve"> </w:t>
      </w:r>
      <w:r>
        <w:t>fortunés</w:t>
      </w:r>
      <w:r w:rsidRPr="002C4077">
        <w:t xml:space="preserve"> </w:t>
      </w:r>
      <w:r>
        <w:t>succèdent</w:t>
      </w:r>
      <w:r w:rsidRPr="002C4077">
        <w:t xml:space="preserve"> </w:t>
      </w:r>
      <w:r>
        <w:t>à</w:t>
      </w:r>
      <w:r w:rsidRPr="002C4077">
        <w:t xml:space="preserve"> </w:t>
      </w:r>
      <w:r>
        <w:t>tous</w:t>
      </w:r>
      <w:r w:rsidRPr="002C4077">
        <w:t xml:space="preserve"> </w:t>
      </w:r>
      <w:r>
        <w:t>ces</w:t>
      </w:r>
      <w:r w:rsidRPr="002C4077">
        <w:t xml:space="preserve"> </w:t>
      </w:r>
      <w:r>
        <w:t>désastres.</w:t>
      </w:r>
      <w:r w:rsidRPr="002C4077">
        <w:t xml:space="preserve"> </w:t>
      </w:r>
      <w:r>
        <w:t>Un</w:t>
      </w:r>
      <w:r w:rsidRPr="002C4077">
        <w:t xml:space="preserve"> </w:t>
      </w:r>
      <w:r>
        <w:t>roi,</w:t>
      </w:r>
      <w:r w:rsidRPr="002C4077">
        <w:t xml:space="preserve"> </w:t>
      </w:r>
      <w:r>
        <w:t>sorti</w:t>
      </w:r>
      <w:r w:rsidRPr="002C4077">
        <w:t xml:space="preserve"> </w:t>
      </w:r>
      <w:r>
        <w:t>de</w:t>
      </w:r>
      <w:r w:rsidRPr="002C4077">
        <w:t xml:space="preserve"> </w:t>
      </w:r>
      <w:r>
        <w:t>la</w:t>
      </w:r>
      <w:r w:rsidRPr="002C4077">
        <w:t xml:space="preserve"> </w:t>
      </w:r>
      <w:r>
        <w:t>race</w:t>
      </w:r>
      <w:r w:rsidRPr="002C4077">
        <w:t xml:space="preserve"> </w:t>
      </w:r>
      <w:r>
        <w:t>presque</w:t>
      </w:r>
      <w:r w:rsidRPr="002C4077">
        <w:t xml:space="preserve"> </w:t>
      </w:r>
      <w:r>
        <w:t>éteinte</w:t>
      </w:r>
      <w:r w:rsidRPr="002C4077">
        <w:t xml:space="preserve"> </w:t>
      </w:r>
      <w:r>
        <w:t>de</w:t>
      </w:r>
      <w:r w:rsidRPr="002C4077">
        <w:t xml:space="preserve"> </w:t>
      </w:r>
      <w:r>
        <w:t>David,</w:t>
      </w:r>
      <w:r w:rsidRPr="002C4077">
        <w:t xml:space="preserve"> </w:t>
      </w:r>
      <w:r w:rsidR="00425C50">
        <w:t>est</w:t>
      </w:r>
      <w:r w:rsidRPr="002C4077">
        <w:t xml:space="preserve"> </w:t>
      </w:r>
      <w:r>
        <w:t>rempli</w:t>
      </w:r>
      <w:r w:rsidRPr="002C4077">
        <w:t xml:space="preserve"> </w:t>
      </w:r>
      <w:r>
        <w:t>de</w:t>
      </w:r>
      <w:r w:rsidRPr="002C4077">
        <w:t xml:space="preserve"> </w:t>
      </w:r>
      <w:r>
        <w:t>l’esprit</w:t>
      </w:r>
      <w:r w:rsidRPr="002C4077">
        <w:t xml:space="preserve"> </w:t>
      </w:r>
      <w:r>
        <w:t>de</w:t>
      </w:r>
      <w:r w:rsidRPr="002C4077">
        <w:t xml:space="preserve"> </w:t>
      </w:r>
      <w:r>
        <w:t>Dieu,</w:t>
      </w:r>
      <w:r w:rsidRPr="002C4077">
        <w:t xml:space="preserve"> </w:t>
      </w:r>
      <w:r>
        <w:t>et</w:t>
      </w:r>
      <w:r w:rsidRPr="002C4077">
        <w:t xml:space="preserve"> </w:t>
      </w:r>
      <w:r>
        <w:t>gouverne</w:t>
      </w:r>
      <w:r w:rsidRPr="002C4077">
        <w:t xml:space="preserve"> </w:t>
      </w:r>
      <w:r>
        <w:t>avec</w:t>
      </w:r>
      <w:r w:rsidRPr="002C4077">
        <w:t xml:space="preserve"> </w:t>
      </w:r>
      <w:r>
        <w:t>une</w:t>
      </w:r>
      <w:r w:rsidRPr="002C4077">
        <w:t xml:space="preserve"> </w:t>
      </w:r>
      <w:r>
        <w:t>justice</w:t>
      </w:r>
      <w:r w:rsidRPr="002C4077">
        <w:t xml:space="preserve"> </w:t>
      </w:r>
      <w:r>
        <w:t>aussi</w:t>
      </w:r>
      <w:r w:rsidRPr="002C4077">
        <w:t xml:space="preserve"> </w:t>
      </w:r>
      <w:r>
        <w:t>incapable</w:t>
      </w:r>
      <w:r w:rsidRPr="002C4077">
        <w:t xml:space="preserve"> </w:t>
      </w:r>
      <w:r>
        <w:t>d’erreur</w:t>
      </w:r>
      <w:r w:rsidRPr="002C4077">
        <w:t xml:space="preserve"> </w:t>
      </w:r>
      <w:r>
        <w:t>que</w:t>
      </w:r>
      <w:r w:rsidRPr="002C4077">
        <w:t xml:space="preserve"> </w:t>
      </w:r>
      <w:r>
        <w:t>d’acception</w:t>
      </w:r>
      <w:r w:rsidRPr="002C4077">
        <w:t xml:space="preserve"> </w:t>
      </w:r>
      <w:r>
        <w:t>de</w:t>
      </w:r>
      <w:r w:rsidRPr="002C4077">
        <w:t xml:space="preserve"> </w:t>
      </w:r>
      <w:r>
        <w:t>personnes.</w:t>
      </w:r>
      <w:r w:rsidRPr="002C4077">
        <w:t xml:space="preserve"> </w:t>
      </w:r>
      <w:r>
        <w:t>Sous</w:t>
      </w:r>
      <w:r w:rsidRPr="002C4077">
        <w:t xml:space="preserve"> </w:t>
      </w:r>
      <w:r>
        <w:t>son</w:t>
      </w:r>
      <w:r w:rsidRPr="002C4077">
        <w:t xml:space="preserve"> </w:t>
      </w:r>
      <w:r>
        <w:t>sceptre,</w:t>
      </w:r>
      <w:r w:rsidRPr="002C4077">
        <w:t xml:space="preserve"> </w:t>
      </w:r>
      <w:r>
        <w:t>le</w:t>
      </w:r>
      <w:r w:rsidRPr="002C4077">
        <w:t xml:space="preserve"> </w:t>
      </w:r>
      <w:r>
        <w:t>peuple</w:t>
      </w:r>
      <w:r w:rsidRPr="002C4077">
        <w:t xml:space="preserve"> </w:t>
      </w:r>
      <w:r>
        <w:t>de</w:t>
      </w:r>
      <w:r w:rsidRPr="002C4077">
        <w:t xml:space="preserve"> </w:t>
      </w:r>
      <w:r>
        <w:t>Jéhovah,</w:t>
      </w:r>
      <w:r w:rsidRPr="002C4077">
        <w:t xml:space="preserve"> </w:t>
      </w:r>
      <w:r>
        <w:t>délivré</w:t>
      </w:r>
      <w:r w:rsidRPr="002C4077">
        <w:t xml:space="preserve"> </w:t>
      </w:r>
      <w:r>
        <w:t>du</w:t>
      </w:r>
      <w:r w:rsidRPr="002C4077">
        <w:t xml:space="preserve"> </w:t>
      </w:r>
      <w:r>
        <w:t>joug</w:t>
      </w:r>
      <w:r w:rsidRPr="002C4077">
        <w:t xml:space="preserve"> </w:t>
      </w:r>
      <w:r>
        <w:t>des</w:t>
      </w:r>
      <w:r w:rsidRPr="002C4077">
        <w:t xml:space="preserve"> </w:t>
      </w:r>
      <w:r>
        <w:t>oppresseurs,</w:t>
      </w:r>
      <w:r w:rsidRPr="002C4077">
        <w:t xml:space="preserve"> </w:t>
      </w:r>
      <w:r>
        <w:t>goûte</w:t>
      </w:r>
      <w:r w:rsidRPr="002C4077">
        <w:t xml:space="preserve"> </w:t>
      </w:r>
      <w:r>
        <w:t>la</w:t>
      </w:r>
      <w:r w:rsidRPr="002C4077">
        <w:t xml:space="preserve"> </w:t>
      </w:r>
      <w:r>
        <w:t>paix</w:t>
      </w:r>
      <w:r w:rsidRPr="002C4077">
        <w:t xml:space="preserve"> </w:t>
      </w:r>
      <w:r>
        <w:t>la</w:t>
      </w:r>
      <w:r w:rsidRPr="002C4077">
        <w:t xml:space="preserve"> </w:t>
      </w:r>
      <w:r>
        <w:t>plus</w:t>
      </w:r>
      <w:r w:rsidRPr="002C4077">
        <w:t xml:space="preserve"> </w:t>
      </w:r>
      <w:r>
        <w:t>profonde,</w:t>
      </w:r>
      <w:r w:rsidRPr="002C4077">
        <w:t xml:space="preserve"> </w:t>
      </w:r>
      <w:r>
        <w:t>symbolisée</w:t>
      </w:r>
      <w:r w:rsidRPr="002C4077">
        <w:t xml:space="preserve"> </w:t>
      </w:r>
      <w:r>
        <w:t>par</w:t>
      </w:r>
      <w:r w:rsidRPr="002C4077">
        <w:t xml:space="preserve"> </w:t>
      </w:r>
      <w:r>
        <w:t>de</w:t>
      </w:r>
      <w:r w:rsidRPr="002C4077">
        <w:t xml:space="preserve"> </w:t>
      </w:r>
      <w:r>
        <w:t>touchantes</w:t>
      </w:r>
      <w:r w:rsidRPr="002C4077">
        <w:t xml:space="preserve"> </w:t>
      </w:r>
      <w:r>
        <w:t>images</w:t>
      </w:r>
      <w:r w:rsidR="00B546AF">
        <w:t> ;</w:t>
      </w:r>
      <w:r w:rsidRPr="002C4077">
        <w:t xml:space="preserve"> </w:t>
      </w:r>
      <w:r>
        <w:t>le</w:t>
      </w:r>
      <w:r w:rsidRPr="002C4077">
        <w:t xml:space="preserve"> </w:t>
      </w:r>
      <w:r>
        <w:t>mal</w:t>
      </w:r>
      <w:r w:rsidRPr="002C4077">
        <w:t xml:space="preserve"> </w:t>
      </w:r>
      <w:r>
        <w:t>a</w:t>
      </w:r>
      <w:r w:rsidRPr="002C4077">
        <w:t xml:space="preserve"> </w:t>
      </w:r>
      <w:r>
        <w:t>disparu</w:t>
      </w:r>
      <w:r w:rsidRPr="002C4077">
        <w:t xml:space="preserve"> </w:t>
      </w:r>
      <w:r>
        <w:t>sur</w:t>
      </w:r>
      <w:r w:rsidRPr="002C4077">
        <w:t xml:space="preserve"> </w:t>
      </w:r>
      <w:r>
        <w:t>la</w:t>
      </w:r>
      <w:r w:rsidRPr="002C4077">
        <w:t xml:space="preserve"> </w:t>
      </w:r>
      <w:r>
        <w:t>sainte</w:t>
      </w:r>
      <w:r w:rsidRPr="002C4077">
        <w:t xml:space="preserve"> </w:t>
      </w:r>
      <w:r>
        <w:t>montagne.</w:t>
      </w:r>
      <w:r w:rsidR="00C45B47">
        <w:t xml:space="preserve"> {</w:t>
      </w:r>
      <w:r w:rsidR="000721C4">
        <w:t>28</w:t>
      </w:r>
      <w:bookmarkStart w:id="109" w:name="p028"/>
      <w:bookmarkEnd w:id="109"/>
      <w:r w:rsidR="000721C4">
        <w:t xml:space="preserve">} </w:t>
      </w:r>
      <w:r>
        <w:t>Les</w:t>
      </w:r>
      <w:r w:rsidRPr="002C4077">
        <w:t xml:space="preserve"> </w:t>
      </w:r>
      <w:r>
        <w:t>nations</w:t>
      </w:r>
      <w:r w:rsidRPr="002C4077">
        <w:t xml:space="preserve"> </w:t>
      </w:r>
      <w:r>
        <w:t>idolâtres</w:t>
      </w:r>
      <w:r w:rsidRPr="002C4077">
        <w:t xml:space="preserve"> </w:t>
      </w:r>
      <w:r>
        <w:t>se</w:t>
      </w:r>
      <w:r w:rsidRPr="002C4077">
        <w:t xml:space="preserve"> </w:t>
      </w:r>
      <w:r>
        <w:t>convertissent</w:t>
      </w:r>
      <w:r w:rsidRPr="002C4077">
        <w:t xml:space="preserve"> </w:t>
      </w:r>
      <w:r>
        <w:t>en</w:t>
      </w:r>
      <w:r w:rsidRPr="002C4077">
        <w:t xml:space="preserve"> </w:t>
      </w:r>
      <w:r>
        <w:t>masse,</w:t>
      </w:r>
      <w:r w:rsidRPr="002C4077">
        <w:t xml:space="preserve"> </w:t>
      </w:r>
      <w:r>
        <w:t>et</w:t>
      </w:r>
      <w:r w:rsidRPr="002C4077">
        <w:t xml:space="preserve"> </w:t>
      </w:r>
      <w:r>
        <w:t>viennent</w:t>
      </w:r>
      <w:r w:rsidRPr="002C4077">
        <w:t xml:space="preserve"> </w:t>
      </w:r>
      <w:r>
        <w:t>partager</w:t>
      </w:r>
      <w:r w:rsidRPr="002C4077">
        <w:t xml:space="preserve"> </w:t>
      </w:r>
      <w:r>
        <w:t>le</w:t>
      </w:r>
      <w:r w:rsidRPr="002C4077">
        <w:t xml:space="preserve"> </w:t>
      </w:r>
      <w:r>
        <w:t>bonheur</w:t>
      </w:r>
      <w:r w:rsidRPr="002C4077">
        <w:t xml:space="preserve"> </w:t>
      </w:r>
      <w:r>
        <w:t>de</w:t>
      </w:r>
      <w:r w:rsidRPr="002C4077">
        <w:t xml:space="preserve"> </w:t>
      </w:r>
      <w:r>
        <w:t>vivre</w:t>
      </w:r>
      <w:r w:rsidRPr="002C4077">
        <w:t xml:space="preserve"> </w:t>
      </w:r>
      <w:r>
        <w:t>sous</w:t>
      </w:r>
      <w:r w:rsidRPr="002C4077">
        <w:t xml:space="preserve"> </w:t>
      </w:r>
      <w:r>
        <w:t>des</w:t>
      </w:r>
      <w:r w:rsidRPr="002C4077">
        <w:t xml:space="preserve"> </w:t>
      </w:r>
      <w:r>
        <w:t>lois</w:t>
      </w:r>
      <w:r w:rsidRPr="002C4077">
        <w:t xml:space="preserve"> </w:t>
      </w:r>
      <w:r>
        <w:t>si</w:t>
      </w:r>
      <w:r w:rsidRPr="002C4077">
        <w:t xml:space="preserve"> </w:t>
      </w:r>
      <w:r>
        <w:t>douces</w:t>
      </w:r>
      <w:r w:rsidRPr="002C4077">
        <w:t xml:space="preserve"> </w:t>
      </w:r>
      <w:r>
        <w:t>et</w:t>
      </w:r>
      <w:r w:rsidRPr="002C4077">
        <w:t xml:space="preserve"> </w:t>
      </w:r>
      <w:r>
        <w:t>si</w:t>
      </w:r>
      <w:r w:rsidRPr="002C4077">
        <w:t xml:space="preserve"> </w:t>
      </w:r>
      <w:r>
        <w:t>parfaites.</w:t>
      </w:r>
      <w:r w:rsidRPr="002C4077">
        <w:t xml:space="preserve"> </w:t>
      </w:r>
      <w:r>
        <w:t>Les</w:t>
      </w:r>
      <w:r w:rsidRPr="002C4077">
        <w:t xml:space="preserve"> </w:t>
      </w:r>
      <w:r>
        <w:t>enfants</w:t>
      </w:r>
      <w:r w:rsidRPr="002C4077">
        <w:t xml:space="preserve"> </w:t>
      </w:r>
      <w:r>
        <w:t>dispersés</w:t>
      </w:r>
      <w:r w:rsidRPr="002C4077">
        <w:t xml:space="preserve"> </w:t>
      </w:r>
      <w:r>
        <w:t>d’Israël</w:t>
      </w:r>
      <w:r w:rsidRPr="002C4077">
        <w:t xml:space="preserve"> </w:t>
      </w:r>
      <w:r>
        <w:t>se</w:t>
      </w:r>
      <w:r w:rsidRPr="002C4077">
        <w:t xml:space="preserve"> </w:t>
      </w:r>
      <w:r>
        <w:t>rassemblent</w:t>
      </w:r>
      <w:r w:rsidRPr="002C4077">
        <w:t xml:space="preserve"> </w:t>
      </w:r>
      <w:r>
        <w:t>des</w:t>
      </w:r>
      <w:r w:rsidRPr="002C4077">
        <w:t xml:space="preserve"> </w:t>
      </w:r>
      <w:r>
        <w:t>quatre</w:t>
      </w:r>
      <w:r w:rsidRPr="002C4077">
        <w:t xml:space="preserve"> </w:t>
      </w:r>
      <w:r>
        <w:t>coins</w:t>
      </w:r>
      <w:r w:rsidRPr="002C4077">
        <w:t xml:space="preserve"> </w:t>
      </w:r>
      <w:r>
        <w:t>du</w:t>
      </w:r>
      <w:r w:rsidRPr="002C4077">
        <w:t xml:space="preserve"> </w:t>
      </w:r>
      <w:r>
        <w:t>globe</w:t>
      </w:r>
      <w:r w:rsidRPr="002C4077">
        <w:t xml:space="preserve"> </w:t>
      </w:r>
      <w:r>
        <w:t>et</w:t>
      </w:r>
      <w:r w:rsidRPr="002C4077">
        <w:t xml:space="preserve"> </w:t>
      </w:r>
      <w:r>
        <w:t>deviennent,</w:t>
      </w:r>
      <w:r w:rsidRPr="002C4077">
        <w:t xml:space="preserve"> </w:t>
      </w:r>
      <w:r>
        <w:t>sous</w:t>
      </w:r>
      <w:r w:rsidRPr="002C4077">
        <w:t xml:space="preserve"> </w:t>
      </w:r>
      <w:r>
        <w:t>le</w:t>
      </w:r>
      <w:r w:rsidRPr="002C4077">
        <w:t xml:space="preserve"> </w:t>
      </w:r>
      <w:r>
        <w:t>gouvernement</w:t>
      </w:r>
      <w:r w:rsidRPr="002C4077">
        <w:t xml:space="preserve"> </w:t>
      </w:r>
      <w:r>
        <w:t>du</w:t>
      </w:r>
      <w:r w:rsidRPr="002C4077">
        <w:t xml:space="preserve"> </w:t>
      </w:r>
      <w:r>
        <w:t>fils</w:t>
      </w:r>
      <w:r w:rsidRPr="002C4077">
        <w:t xml:space="preserve"> </w:t>
      </w:r>
      <w:r>
        <w:t>de</w:t>
      </w:r>
      <w:r w:rsidRPr="002C4077">
        <w:t xml:space="preserve"> </w:t>
      </w:r>
      <w:r>
        <w:t>David,</w:t>
      </w:r>
      <w:r w:rsidRPr="002C4077">
        <w:t xml:space="preserve"> </w:t>
      </w:r>
      <w:r>
        <w:t>un</w:t>
      </w:r>
      <w:r w:rsidRPr="002C4077">
        <w:t xml:space="preserve"> </w:t>
      </w:r>
      <w:r>
        <w:t>puissant</w:t>
      </w:r>
      <w:r w:rsidRPr="002C4077">
        <w:t xml:space="preserve"> </w:t>
      </w:r>
      <w:r>
        <w:t>empire</w:t>
      </w:r>
      <w:r w:rsidRPr="002C4077">
        <w:t xml:space="preserve"> </w:t>
      </w:r>
      <w:r>
        <w:t>qui</w:t>
      </w:r>
      <w:r w:rsidRPr="002C4077">
        <w:t xml:space="preserve"> </w:t>
      </w:r>
      <w:r>
        <w:t>dompte</w:t>
      </w:r>
      <w:r w:rsidRPr="002C4077">
        <w:t xml:space="preserve"> </w:t>
      </w:r>
      <w:r>
        <w:t>tous</w:t>
      </w:r>
      <w:r w:rsidRPr="002C4077">
        <w:t xml:space="preserve"> </w:t>
      </w:r>
      <w:r>
        <w:t>ses</w:t>
      </w:r>
      <w:r w:rsidRPr="002C4077">
        <w:t xml:space="preserve"> </w:t>
      </w:r>
      <w:r>
        <w:t>ennemis.</w:t>
      </w:r>
      <w:r w:rsidRPr="002C4077">
        <w:t xml:space="preserve"> </w:t>
      </w:r>
      <w:r>
        <w:t>Cette</w:t>
      </w:r>
      <w:r w:rsidRPr="002C4077">
        <w:t xml:space="preserve"> </w:t>
      </w:r>
      <w:r>
        <w:t>belle</w:t>
      </w:r>
      <w:r w:rsidRPr="002C4077">
        <w:t xml:space="preserve"> </w:t>
      </w:r>
      <w:r>
        <w:t>peinture</w:t>
      </w:r>
      <w:r w:rsidRPr="002C4077">
        <w:t xml:space="preserve"> </w:t>
      </w:r>
      <w:r>
        <w:t>se</w:t>
      </w:r>
      <w:r w:rsidRPr="002C4077">
        <w:t xml:space="preserve"> </w:t>
      </w:r>
      <w:r>
        <w:t>termine</w:t>
      </w:r>
      <w:r w:rsidRPr="002C4077">
        <w:t xml:space="preserve"> </w:t>
      </w:r>
      <w:r>
        <w:t>par</w:t>
      </w:r>
      <w:r w:rsidRPr="002C4077">
        <w:t xml:space="preserve"> </w:t>
      </w:r>
      <w:r>
        <w:t>le</w:t>
      </w:r>
      <w:r w:rsidRPr="002C4077">
        <w:t xml:space="preserve"> </w:t>
      </w:r>
      <w:r>
        <w:t>cantique</w:t>
      </w:r>
      <w:r w:rsidRPr="002C4077">
        <w:t xml:space="preserve"> </w:t>
      </w:r>
      <w:r>
        <w:t>d’actions</w:t>
      </w:r>
      <w:r w:rsidRPr="002C4077">
        <w:t xml:space="preserve"> </w:t>
      </w:r>
      <w:r>
        <w:t>de</w:t>
      </w:r>
      <w:r w:rsidRPr="002C4077">
        <w:t xml:space="preserve"> </w:t>
      </w:r>
      <w:r>
        <w:t>grâces</w:t>
      </w:r>
      <w:r w:rsidRPr="002C4077">
        <w:t xml:space="preserve"> </w:t>
      </w:r>
      <w:r>
        <w:t>que</w:t>
      </w:r>
      <w:r w:rsidRPr="002C4077">
        <w:t xml:space="preserve"> </w:t>
      </w:r>
      <w:r>
        <w:t>chanteront,</w:t>
      </w:r>
      <w:r w:rsidRPr="002C4077">
        <w:t xml:space="preserve"> </w:t>
      </w:r>
      <w:r>
        <w:t>en</w:t>
      </w:r>
      <w:r w:rsidRPr="002C4077">
        <w:t xml:space="preserve"> </w:t>
      </w:r>
      <w:r>
        <w:t>ces</w:t>
      </w:r>
      <w:r w:rsidRPr="002C4077">
        <w:t xml:space="preserve"> </w:t>
      </w:r>
      <w:r>
        <w:t>jours</w:t>
      </w:r>
      <w:r w:rsidRPr="002C4077">
        <w:t xml:space="preserve"> </w:t>
      </w:r>
      <w:r>
        <w:t>heureux,</w:t>
      </w:r>
      <w:r w:rsidRPr="002C4077">
        <w:t xml:space="preserve"> </w:t>
      </w:r>
      <w:r>
        <w:t>les</w:t>
      </w:r>
      <w:r w:rsidRPr="002C4077">
        <w:t xml:space="preserve"> </w:t>
      </w:r>
      <w:r>
        <w:t>restes</w:t>
      </w:r>
      <w:r w:rsidRPr="002C4077">
        <w:t xml:space="preserve"> </w:t>
      </w:r>
      <w:r>
        <w:t>sauvés</w:t>
      </w:r>
      <w:r w:rsidRPr="002C4077">
        <w:t xml:space="preserve"> </w:t>
      </w:r>
      <w:r>
        <w:t>d’Israël</w:t>
      </w:r>
      <w:r w:rsidRPr="004440EA">
        <w:t xml:space="preserve"> (</w:t>
      </w:r>
      <w:r>
        <w:t>ch.</w:t>
      </w:r>
      <w:r w:rsidRPr="002C4077">
        <w:t xml:space="preserve"> </w:t>
      </w:r>
      <w:r>
        <w:t>XI</w:t>
      </w:r>
      <w:r w:rsidRPr="002C4077">
        <w:t xml:space="preserve"> </w:t>
      </w:r>
      <w:r>
        <w:t>et</w:t>
      </w:r>
      <w:r w:rsidRPr="002C4077">
        <w:t xml:space="preserve"> </w:t>
      </w:r>
      <w:r>
        <w:t>XII</w:t>
      </w:r>
      <w:r w:rsidR="00B546AF" w:rsidRPr="002C4077">
        <w:t>)</w:t>
      </w:r>
      <w:r>
        <w:t>.</w:t>
      </w:r>
      <w:r w:rsidRPr="002C4077">
        <w:t xml:space="preserve"> </w:t>
      </w:r>
    </w:p>
    <w:p w:rsidR="000A7AAB" w:rsidRDefault="000A7AAB" w:rsidP="000A7AAB">
      <w:r>
        <w:t>Tel</w:t>
      </w:r>
      <w:bookmarkStart w:id="110" w:name="z_Messieemmanuel_o1"/>
      <w:bookmarkEnd w:id="110"/>
      <w:r w:rsidRPr="002C4077">
        <w:t xml:space="preserve"> </w:t>
      </w:r>
      <w:r w:rsidR="00425C50">
        <w:t>est</w:t>
      </w:r>
      <w:r w:rsidRPr="002C4077">
        <w:t xml:space="preserve"> </w:t>
      </w:r>
      <w:r>
        <w:t>le</w:t>
      </w:r>
      <w:r w:rsidRPr="002C4077">
        <w:t xml:space="preserve"> </w:t>
      </w:r>
      <w:r w:rsidR="00B546AF">
        <w:t>« </w:t>
      </w:r>
      <w:r>
        <w:t>livre</w:t>
      </w:r>
      <w:r w:rsidRPr="002C4077">
        <w:t xml:space="preserve"> </w:t>
      </w:r>
      <w:r>
        <w:t>d’Emmanuel</w:t>
      </w:r>
      <w:r w:rsidR="00B546AF">
        <w:t> »</w:t>
      </w:r>
      <w:r>
        <w:t>,</w:t>
      </w:r>
      <w:r w:rsidRPr="002C4077">
        <w:t xml:space="preserve"> </w:t>
      </w:r>
      <w:r>
        <w:t>avec</w:t>
      </w:r>
      <w:r w:rsidRPr="002C4077">
        <w:t xml:space="preserve"> </w:t>
      </w:r>
      <w:r>
        <w:t>ses</w:t>
      </w:r>
      <w:r w:rsidRPr="002C4077">
        <w:t xml:space="preserve"> </w:t>
      </w:r>
      <w:r>
        <w:t>horizons</w:t>
      </w:r>
      <w:r w:rsidRPr="002C4077">
        <w:t xml:space="preserve"> </w:t>
      </w:r>
      <w:r>
        <w:t>sublimes</w:t>
      </w:r>
      <w:r w:rsidRPr="002C4077">
        <w:t xml:space="preserve"> </w:t>
      </w:r>
      <w:r>
        <w:t>et</w:t>
      </w:r>
      <w:r w:rsidRPr="002C4077">
        <w:t xml:space="preserve"> </w:t>
      </w:r>
      <w:r>
        <w:t>sa</w:t>
      </w:r>
      <w:r w:rsidRPr="002C4077">
        <w:t xml:space="preserve"> </w:t>
      </w:r>
      <w:r>
        <w:t>parfaite</w:t>
      </w:r>
      <w:r w:rsidRPr="002C4077">
        <w:t xml:space="preserve"> </w:t>
      </w:r>
      <w:r>
        <w:t>unité.</w:t>
      </w:r>
      <w:r w:rsidRPr="002C4077">
        <w:t xml:space="preserve"> </w:t>
      </w:r>
      <w:r>
        <w:t>On</w:t>
      </w:r>
      <w:r w:rsidRPr="002C4077">
        <w:t xml:space="preserve"> </w:t>
      </w:r>
      <w:r>
        <w:t>peut</w:t>
      </w:r>
      <w:r w:rsidRPr="002C4077">
        <w:t xml:space="preserve"> </w:t>
      </w:r>
      <w:r>
        <w:t>le</w:t>
      </w:r>
      <w:r w:rsidRPr="002C4077">
        <w:t xml:space="preserve"> </w:t>
      </w:r>
      <w:r>
        <w:t>ramener</w:t>
      </w:r>
      <w:r w:rsidRPr="002C4077">
        <w:t xml:space="preserve"> </w:t>
      </w:r>
      <w:r>
        <w:t>à</w:t>
      </w:r>
      <w:r w:rsidRPr="002C4077">
        <w:t xml:space="preserve"> </w:t>
      </w:r>
      <w:r>
        <w:t>quatre</w:t>
      </w:r>
      <w:r w:rsidRPr="002C4077">
        <w:t xml:space="preserve"> </w:t>
      </w:r>
      <w:r>
        <w:t>idées</w:t>
      </w:r>
      <w:r w:rsidRPr="002C4077">
        <w:t xml:space="preserve"> </w:t>
      </w:r>
      <w:r>
        <w:t>principales</w:t>
      </w:r>
      <w:r w:rsidR="00B546AF">
        <w:t> :</w:t>
      </w:r>
      <w:r w:rsidRPr="002C4077">
        <w:t xml:space="preserve"> </w:t>
      </w:r>
      <w:r>
        <w:t>1°</w:t>
      </w:r>
      <w:r w:rsidRPr="002C4077">
        <w:t xml:space="preserve"> </w:t>
      </w:r>
      <w:r>
        <w:t>les</w:t>
      </w:r>
      <w:r w:rsidRPr="002C4077">
        <w:t xml:space="preserve"> </w:t>
      </w:r>
      <w:r>
        <w:t>ennemis</w:t>
      </w:r>
      <w:r w:rsidRPr="002C4077">
        <w:t xml:space="preserve"> </w:t>
      </w:r>
      <w:r>
        <w:t>actuels</w:t>
      </w:r>
      <w:r w:rsidRPr="002C4077">
        <w:t xml:space="preserve"> </w:t>
      </w:r>
      <w:r>
        <w:t>de</w:t>
      </w:r>
      <w:r w:rsidRPr="002C4077">
        <w:t xml:space="preserve"> </w:t>
      </w:r>
      <w:r>
        <w:t>Juda</w:t>
      </w:r>
      <w:r w:rsidRPr="002C4077">
        <w:t xml:space="preserve"> </w:t>
      </w:r>
      <w:r>
        <w:t>seront</w:t>
      </w:r>
      <w:r w:rsidRPr="002C4077">
        <w:t xml:space="preserve"> </w:t>
      </w:r>
      <w:r>
        <w:t>prochainement</w:t>
      </w:r>
      <w:r w:rsidRPr="002C4077">
        <w:t xml:space="preserve"> </w:t>
      </w:r>
      <w:r>
        <w:t>humiliés</w:t>
      </w:r>
      <w:r w:rsidR="00B546AF">
        <w:t> ;</w:t>
      </w:r>
      <w:r w:rsidRPr="002C4077">
        <w:t xml:space="preserve"> </w:t>
      </w:r>
      <w:r>
        <w:t>2°</w:t>
      </w:r>
      <w:r w:rsidRPr="002C4077">
        <w:t xml:space="preserve"> </w:t>
      </w:r>
      <w:r>
        <w:t>Achaz</w:t>
      </w:r>
      <w:r w:rsidRPr="002C4077">
        <w:t xml:space="preserve"> </w:t>
      </w:r>
      <w:r>
        <w:t>et</w:t>
      </w:r>
      <w:r w:rsidRPr="002C4077">
        <w:t xml:space="preserve"> </w:t>
      </w:r>
      <w:r>
        <w:t>son</w:t>
      </w:r>
      <w:r w:rsidRPr="002C4077">
        <w:t xml:space="preserve"> </w:t>
      </w:r>
      <w:r>
        <w:t>peuple</w:t>
      </w:r>
      <w:r w:rsidRPr="002C4077">
        <w:t xml:space="preserve"> </w:t>
      </w:r>
      <w:r>
        <w:t>passeront</w:t>
      </w:r>
      <w:r w:rsidRPr="002C4077">
        <w:t xml:space="preserve"> </w:t>
      </w:r>
      <w:r>
        <w:t>eux-mêmes,</w:t>
      </w:r>
      <w:r w:rsidRPr="002C4077">
        <w:t xml:space="preserve"> </w:t>
      </w:r>
      <w:r>
        <w:t>à</w:t>
      </w:r>
      <w:r w:rsidRPr="002C4077">
        <w:t xml:space="preserve"> </w:t>
      </w:r>
      <w:r>
        <w:t>cause</w:t>
      </w:r>
      <w:r w:rsidRPr="002C4077">
        <w:t xml:space="preserve"> </w:t>
      </w:r>
      <w:r>
        <w:t>de</w:t>
      </w:r>
      <w:r w:rsidRPr="002C4077">
        <w:t xml:space="preserve"> </w:t>
      </w:r>
      <w:r>
        <w:t>leurs</w:t>
      </w:r>
      <w:r w:rsidRPr="002C4077">
        <w:t xml:space="preserve"> </w:t>
      </w:r>
      <w:r>
        <w:t>péchés,</w:t>
      </w:r>
      <w:r w:rsidRPr="002C4077">
        <w:t xml:space="preserve"> </w:t>
      </w:r>
      <w:r>
        <w:t>par</w:t>
      </w:r>
      <w:r w:rsidRPr="002C4077">
        <w:t xml:space="preserve"> </w:t>
      </w:r>
      <w:r>
        <w:t>de</w:t>
      </w:r>
      <w:r w:rsidRPr="002C4077">
        <w:t xml:space="preserve"> </w:t>
      </w:r>
      <w:r>
        <w:t>rudes</w:t>
      </w:r>
      <w:r w:rsidRPr="002C4077">
        <w:t xml:space="preserve"> </w:t>
      </w:r>
      <w:r>
        <w:t>épreuves</w:t>
      </w:r>
      <w:r w:rsidR="00B546AF">
        <w:t> ;</w:t>
      </w:r>
      <w:r w:rsidRPr="002C4077">
        <w:t xml:space="preserve"> </w:t>
      </w:r>
      <w:r>
        <w:t>3°</w:t>
      </w:r>
      <w:r w:rsidRPr="002C4077">
        <w:t xml:space="preserve"> </w:t>
      </w:r>
      <w:r>
        <w:t>les</w:t>
      </w:r>
      <w:r w:rsidRPr="002C4077">
        <w:t xml:space="preserve"> </w:t>
      </w:r>
      <w:r>
        <w:t>Assyriens</w:t>
      </w:r>
      <w:r w:rsidRPr="002C4077">
        <w:t xml:space="preserve"> </w:t>
      </w:r>
      <w:r>
        <w:t>seront</w:t>
      </w:r>
      <w:r w:rsidRPr="002C4077">
        <w:t xml:space="preserve"> </w:t>
      </w:r>
      <w:r>
        <w:t>brisés</w:t>
      </w:r>
      <w:r w:rsidRPr="002C4077">
        <w:t xml:space="preserve"> </w:t>
      </w:r>
      <w:r>
        <w:t>par</w:t>
      </w:r>
      <w:r w:rsidRPr="002C4077">
        <w:t xml:space="preserve"> </w:t>
      </w:r>
      <w:r>
        <w:t>Dieu</w:t>
      </w:r>
      <w:r w:rsidRPr="002C4077">
        <w:t xml:space="preserve"> </w:t>
      </w:r>
      <w:r>
        <w:t>après</w:t>
      </w:r>
      <w:r w:rsidRPr="002C4077">
        <w:t xml:space="preserve"> </w:t>
      </w:r>
      <w:r>
        <w:t>avoir</w:t>
      </w:r>
      <w:r w:rsidRPr="002C4077">
        <w:t xml:space="preserve"> </w:t>
      </w:r>
      <w:r>
        <w:t>été</w:t>
      </w:r>
      <w:r w:rsidRPr="002C4077">
        <w:t xml:space="preserve"> </w:t>
      </w:r>
      <w:r>
        <w:t>les</w:t>
      </w:r>
      <w:r w:rsidRPr="002C4077">
        <w:t xml:space="preserve"> </w:t>
      </w:r>
      <w:r>
        <w:t>ministres</w:t>
      </w:r>
      <w:r w:rsidRPr="002C4077">
        <w:t xml:space="preserve"> </w:t>
      </w:r>
      <w:r>
        <w:t>de</w:t>
      </w:r>
      <w:r w:rsidRPr="002C4077">
        <w:t xml:space="preserve"> </w:t>
      </w:r>
      <w:r>
        <w:t>ses</w:t>
      </w:r>
      <w:r w:rsidRPr="002C4077">
        <w:t xml:space="preserve"> </w:t>
      </w:r>
      <w:r>
        <w:t>vengeances</w:t>
      </w:r>
      <w:r w:rsidR="00B546AF">
        <w:t> ;</w:t>
      </w:r>
      <w:r w:rsidRPr="002C4077">
        <w:t xml:space="preserve"> </w:t>
      </w:r>
      <w:r>
        <w:t>4°</w:t>
      </w:r>
      <w:r w:rsidRPr="002C4077">
        <w:t xml:space="preserve"> </w:t>
      </w:r>
      <w:r>
        <w:t>Emmanuel</w:t>
      </w:r>
      <w:r w:rsidRPr="002C4077">
        <w:t xml:space="preserve"> </w:t>
      </w:r>
      <w:r>
        <w:t>apportera</w:t>
      </w:r>
      <w:r w:rsidRPr="002C4077">
        <w:t xml:space="preserve"> </w:t>
      </w:r>
      <w:r>
        <w:t>aux</w:t>
      </w:r>
      <w:r w:rsidRPr="002C4077">
        <w:t xml:space="preserve"> </w:t>
      </w:r>
      <w:r>
        <w:t>Juifs,</w:t>
      </w:r>
      <w:r w:rsidRPr="002C4077">
        <w:t xml:space="preserve"> </w:t>
      </w:r>
      <w:r>
        <w:t>après</w:t>
      </w:r>
      <w:r w:rsidRPr="002C4077">
        <w:t xml:space="preserve"> </w:t>
      </w:r>
      <w:r>
        <w:t>ces</w:t>
      </w:r>
      <w:r w:rsidRPr="002C4077">
        <w:t xml:space="preserve"> </w:t>
      </w:r>
      <w:r>
        <w:t>temps</w:t>
      </w:r>
      <w:r w:rsidRPr="002C4077">
        <w:t xml:space="preserve"> </w:t>
      </w:r>
      <w:r>
        <w:t>troublés,</w:t>
      </w:r>
      <w:r w:rsidRPr="002C4077">
        <w:t xml:space="preserve"> </w:t>
      </w:r>
      <w:r>
        <w:t>et,</w:t>
      </w:r>
      <w:r w:rsidRPr="002C4077">
        <w:t xml:space="preserve"> </w:t>
      </w:r>
      <w:r>
        <w:t>par</w:t>
      </w:r>
      <w:r w:rsidRPr="002C4077">
        <w:t xml:space="preserve"> </w:t>
      </w:r>
      <w:r>
        <w:t>les</w:t>
      </w:r>
      <w:r w:rsidRPr="002C4077">
        <w:t xml:space="preserve"> </w:t>
      </w:r>
      <w:r>
        <w:t>Juifs,</w:t>
      </w:r>
      <w:r w:rsidRPr="002C4077">
        <w:t xml:space="preserve"> </w:t>
      </w:r>
      <w:r>
        <w:t>à</w:t>
      </w:r>
      <w:r w:rsidRPr="002C4077">
        <w:t xml:space="preserve"> </w:t>
      </w:r>
      <w:r>
        <w:t>toute</w:t>
      </w:r>
      <w:r w:rsidRPr="002C4077">
        <w:t xml:space="preserve"> </w:t>
      </w:r>
      <w:r>
        <w:t>la</w:t>
      </w:r>
      <w:r w:rsidRPr="002C4077">
        <w:t xml:space="preserve"> </w:t>
      </w:r>
      <w:r>
        <w:t>terre,</w:t>
      </w:r>
      <w:r w:rsidRPr="002C4077">
        <w:t xml:space="preserve"> </w:t>
      </w:r>
      <w:r>
        <w:t>la</w:t>
      </w:r>
      <w:r w:rsidRPr="002C4077">
        <w:t xml:space="preserve"> </w:t>
      </w:r>
      <w:r>
        <w:t>paix</w:t>
      </w:r>
      <w:r w:rsidRPr="002C4077">
        <w:t xml:space="preserve"> </w:t>
      </w:r>
      <w:r>
        <w:t>et</w:t>
      </w:r>
      <w:bookmarkStart w:id="111" w:name="z_Isaie_o6"/>
      <w:bookmarkEnd w:id="111"/>
      <w:r w:rsidRPr="002C4077">
        <w:t xml:space="preserve"> </w:t>
      </w:r>
      <w:r>
        <w:t>la</w:t>
      </w:r>
      <w:bookmarkStart w:id="112" w:name="z_Emmanuel_o5"/>
      <w:bookmarkEnd w:id="112"/>
      <w:r w:rsidRPr="002C4077">
        <w:t xml:space="preserve"> </w:t>
      </w:r>
      <w:r>
        <w:t>sainteté.</w:t>
      </w:r>
      <w:r w:rsidRPr="002C4077">
        <w:t xml:space="preserve"> </w:t>
      </w:r>
    </w:p>
    <w:p w:rsidR="000A7AAB" w:rsidRDefault="000A7AAB" w:rsidP="000A7AAB">
      <w:r>
        <w:t>Nous</w:t>
      </w:r>
      <w:r w:rsidRPr="002C4077">
        <w:t xml:space="preserve"> </w:t>
      </w:r>
      <w:r>
        <w:t>répétons</w:t>
      </w:r>
      <w:r w:rsidRPr="002C4077">
        <w:t xml:space="preserve"> </w:t>
      </w:r>
      <w:r>
        <w:t>maintenant</w:t>
      </w:r>
      <w:r w:rsidRPr="002C4077">
        <w:t xml:space="preserve"> </w:t>
      </w:r>
      <w:r>
        <w:t>notre</w:t>
      </w:r>
      <w:r w:rsidRPr="002C4077">
        <w:t xml:space="preserve"> </w:t>
      </w:r>
      <w:r>
        <w:t>question</w:t>
      </w:r>
      <w:r w:rsidR="00B546AF">
        <w:t> :</w:t>
      </w:r>
      <w:r w:rsidRPr="002C4077">
        <w:t xml:space="preserve"> </w:t>
      </w:r>
      <w:r>
        <w:t>Qui</w:t>
      </w:r>
      <w:r w:rsidRPr="002C4077">
        <w:t xml:space="preserve"> </w:t>
      </w:r>
      <w:r w:rsidR="00425C50">
        <w:t>est</w:t>
      </w:r>
      <w:r w:rsidRPr="002C4077">
        <w:t xml:space="preserve"> </w:t>
      </w:r>
      <w:r>
        <w:t>Emmanuel</w:t>
      </w:r>
      <w:r w:rsidR="00B546AF">
        <w:t> ?</w:t>
      </w:r>
      <w:r w:rsidRPr="002C4077">
        <w:t xml:space="preserve"> </w:t>
      </w:r>
    </w:p>
    <w:p w:rsidR="000A7AAB" w:rsidRDefault="000A7AAB" w:rsidP="000A7AAB">
      <w:r>
        <w:t>Mais</w:t>
      </w:r>
      <w:r w:rsidRPr="002C4077">
        <w:t xml:space="preserve"> </w:t>
      </w:r>
      <w:r>
        <w:t>Isaïe</w:t>
      </w:r>
      <w:r w:rsidRPr="002C4077">
        <w:t xml:space="preserve"> </w:t>
      </w:r>
      <w:r>
        <w:t>pouvait-il</w:t>
      </w:r>
      <w:r w:rsidRPr="002C4077">
        <w:t xml:space="preserve"> </w:t>
      </w:r>
      <w:r>
        <w:t>le</w:t>
      </w:r>
      <w:r w:rsidRPr="002C4077">
        <w:t xml:space="preserve"> </w:t>
      </w:r>
      <w:r>
        <w:t>dire</w:t>
      </w:r>
      <w:r w:rsidRPr="002C4077">
        <w:t xml:space="preserve"> </w:t>
      </w:r>
      <w:r>
        <w:t>avec</w:t>
      </w:r>
      <w:r w:rsidRPr="002C4077">
        <w:t xml:space="preserve"> </w:t>
      </w:r>
      <w:r>
        <w:t>plus</w:t>
      </w:r>
      <w:r w:rsidRPr="002C4077">
        <w:t xml:space="preserve"> </w:t>
      </w:r>
      <w:r>
        <w:t>de</w:t>
      </w:r>
      <w:r w:rsidRPr="002C4077">
        <w:t xml:space="preserve"> </w:t>
      </w:r>
      <w:r>
        <w:t>clarté</w:t>
      </w:r>
      <w:r w:rsidR="00B546AF">
        <w:t> ?</w:t>
      </w:r>
      <w:r w:rsidRPr="002C4077">
        <w:t xml:space="preserve"> </w:t>
      </w:r>
      <w:r>
        <w:t>Emmanuel,</w:t>
      </w:r>
      <w:r w:rsidRPr="002C4077">
        <w:t xml:space="preserve"> </w:t>
      </w:r>
      <w:r>
        <w:t>c’est</w:t>
      </w:r>
      <w:r w:rsidRPr="002C4077">
        <w:t xml:space="preserve"> </w:t>
      </w:r>
      <w:r>
        <w:t>le</w:t>
      </w:r>
      <w:r w:rsidRPr="002C4077">
        <w:t xml:space="preserve"> </w:t>
      </w:r>
      <w:r>
        <w:t>grand</w:t>
      </w:r>
      <w:r w:rsidRPr="002C4077">
        <w:t xml:space="preserve"> </w:t>
      </w:r>
      <w:r>
        <w:t>libérateur</w:t>
      </w:r>
      <w:r w:rsidRPr="002C4077">
        <w:t xml:space="preserve"> </w:t>
      </w:r>
      <w:r>
        <w:t>promis</w:t>
      </w:r>
      <w:r w:rsidRPr="002C4077">
        <w:t xml:space="preserve"> </w:t>
      </w:r>
      <w:r>
        <w:t>de</w:t>
      </w:r>
      <w:r w:rsidRPr="002C4077">
        <w:t xml:space="preserve"> </w:t>
      </w:r>
      <w:r>
        <w:t>tout</w:t>
      </w:r>
      <w:r w:rsidRPr="002C4077">
        <w:t xml:space="preserve"> </w:t>
      </w:r>
      <w:r>
        <w:t>temps</w:t>
      </w:r>
      <w:r w:rsidRPr="002C4077">
        <w:t xml:space="preserve"> </w:t>
      </w:r>
      <w:r>
        <w:t>par</w:t>
      </w:r>
      <w:r w:rsidRPr="002C4077">
        <w:t xml:space="preserve"> </w:t>
      </w:r>
      <w:r>
        <w:t>Dieu</w:t>
      </w:r>
      <w:r w:rsidRPr="002C4077">
        <w:t xml:space="preserve"> </w:t>
      </w:r>
      <w:r>
        <w:t>à</w:t>
      </w:r>
      <w:r w:rsidRPr="002C4077">
        <w:t xml:space="preserve"> </w:t>
      </w:r>
      <w:r>
        <w:t>la</w:t>
      </w:r>
      <w:r w:rsidRPr="002C4077">
        <w:t xml:space="preserve"> </w:t>
      </w:r>
      <w:r>
        <w:t>nation</w:t>
      </w:r>
      <w:r w:rsidRPr="002C4077">
        <w:t xml:space="preserve"> </w:t>
      </w:r>
      <w:r>
        <w:t>privilégiée,</w:t>
      </w:r>
      <w:r w:rsidRPr="002C4077">
        <w:t xml:space="preserve"> </w:t>
      </w:r>
      <w:r>
        <w:t>c’est</w:t>
      </w:r>
      <w:r w:rsidRPr="002C4077">
        <w:t xml:space="preserve"> </w:t>
      </w:r>
      <w:r>
        <w:t>le</w:t>
      </w:r>
      <w:r w:rsidRPr="002C4077">
        <w:t xml:space="preserve"> </w:t>
      </w:r>
      <w:r>
        <w:t>plus</w:t>
      </w:r>
      <w:r w:rsidRPr="002C4077">
        <w:t xml:space="preserve"> </w:t>
      </w:r>
      <w:r>
        <w:t>illustre</w:t>
      </w:r>
      <w:r w:rsidRPr="002C4077">
        <w:t xml:space="preserve"> </w:t>
      </w:r>
      <w:r>
        <w:t>des</w:t>
      </w:r>
      <w:r w:rsidRPr="002C4077">
        <w:t xml:space="preserve"> </w:t>
      </w:r>
      <w:r>
        <w:t>successeurs</w:t>
      </w:r>
      <w:r w:rsidRPr="002C4077">
        <w:t xml:space="preserve"> </w:t>
      </w:r>
      <w:r>
        <w:t>et</w:t>
      </w:r>
      <w:r w:rsidRPr="002C4077">
        <w:t xml:space="preserve"> </w:t>
      </w:r>
      <w:r>
        <w:t>descendants</w:t>
      </w:r>
      <w:r w:rsidRPr="002C4077">
        <w:t xml:space="preserve"> </w:t>
      </w:r>
      <w:r>
        <w:t>de</w:t>
      </w:r>
      <w:r w:rsidRPr="002C4077">
        <w:t xml:space="preserve"> </w:t>
      </w:r>
      <w:r>
        <w:t>David</w:t>
      </w:r>
      <w:r w:rsidR="00B546AF">
        <w:t> ;</w:t>
      </w:r>
      <w:r w:rsidRPr="002C4077">
        <w:t xml:space="preserve"> </w:t>
      </w:r>
      <w:r>
        <w:t>Emmanuel,</w:t>
      </w:r>
      <w:r w:rsidRPr="002C4077">
        <w:t xml:space="preserve"> </w:t>
      </w:r>
      <w:r>
        <w:t>c’est</w:t>
      </w:r>
      <w:r w:rsidRPr="002C4077">
        <w:t xml:space="preserve"> </w:t>
      </w:r>
      <w:r>
        <w:t>le</w:t>
      </w:r>
      <w:r w:rsidRPr="002C4077">
        <w:t xml:space="preserve"> </w:t>
      </w:r>
      <w:r>
        <w:t>Messie</w:t>
      </w:r>
      <w:r w:rsidR="00B546AF">
        <w:t> !</w:t>
      </w:r>
      <w:r w:rsidRPr="002C4077">
        <w:t xml:space="preserve"> </w:t>
      </w:r>
    </w:p>
    <w:p w:rsidR="000A7AAB" w:rsidRDefault="000A7AAB" w:rsidP="000A7AAB">
      <w:r>
        <w:t>Cet</w:t>
      </w:r>
      <w:r w:rsidRPr="002C4077">
        <w:t xml:space="preserve"> </w:t>
      </w:r>
      <w:r>
        <w:t>argument,</w:t>
      </w:r>
      <w:r w:rsidRPr="002C4077">
        <w:t xml:space="preserve"> </w:t>
      </w:r>
      <w:r>
        <w:t>tiré</w:t>
      </w:r>
      <w:r w:rsidRPr="002C4077">
        <w:t xml:space="preserve"> </w:t>
      </w:r>
      <w:r>
        <w:t>de</w:t>
      </w:r>
      <w:r w:rsidRPr="002C4077">
        <w:t xml:space="preserve"> </w:t>
      </w:r>
      <w:r>
        <w:t>l’ensemble</w:t>
      </w:r>
      <w:r w:rsidRPr="002C4077">
        <w:t xml:space="preserve"> </w:t>
      </w:r>
      <w:r>
        <w:t>de</w:t>
      </w:r>
      <w:r w:rsidRPr="002C4077">
        <w:t xml:space="preserve"> </w:t>
      </w:r>
      <w:r>
        <w:t>l’oracle,</w:t>
      </w:r>
      <w:r w:rsidRPr="002C4077">
        <w:t xml:space="preserve"> </w:t>
      </w:r>
      <w:r w:rsidR="00425C50">
        <w:t>est</w:t>
      </w:r>
      <w:r w:rsidRPr="002C4077">
        <w:t xml:space="preserve"> </w:t>
      </w:r>
      <w:r>
        <w:t>tellement</w:t>
      </w:r>
      <w:r w:rsidRPr="002C4077">
        <w:t xml:space="preserve"> </w:t>
      </w:r>
      <w:r>
        <w:t>décisif,</w:t>
      </w:r>
      <w:r w:rsidRPr="002C4077">
        <w:t xml:space="preserve"> </w:t>
      </w:r>
      <w:r>
        <w:t>que</w:t>
      </w:r>
      <w:r w:rsidRPr="002C4077">
        <w:t xml:space="preserve"> </w:t>
      </w:r>
      <w:r>
        <w:t>plusieurs</w:t>
      </w:r>
      <w:r w:rsidRPr="002C4077">
        <w:t xml:space="preserve"> </w:t>
      </w:r>
      <w:r>
        <w:t>de</w:t>
      </w:r>
      <w:r w:rsidRPr="002C4077">
        <w:t xml:space="preserve"> </w:t>
      </w:r>
      <w:r>
        <w:t>nos</w:t>
      </w:r>
      <w:r w:rsidRPr="002C4077">
        <w:t xml:space="preserve"> </w:t>
      </w:r>
      <w:r>
        <w:t>adversaires</w:t>
      </w:r>
      <w:r w:rsidRPr="002C4077">
        <w:t xml:space="preserve"> </w:t>
      </w:r>
      <w:r>
        <w:t>ont</w:t>
      </w:r>
      <w:r w:rsidRPr="002C4077">
        <w:t xml:space="preserve"> </w:t>
      </w:r>
      <w:r>
        <w:t>été</w:t>
      </w:r>
      <w:r w:rsidRPr="002C4077">
        <w:t xml:space="preserve"> </w:t>
      </w:r>
      <w:r>
        <w:t>forcés</w:t>
      </w:r>
      <w:r w:rsidRPr="002C4077">
        <w:t xml:space="preserve"> </w:t>
      </w:r>
      <w:r>
        <w:t>de</w:t>
      </w:r>
      <w:r w:rsidRPr="002C4077">
        <w:t xml:space="preserve"> </w:t>
      </w:r>
      <w:r>
        <w:t>s’y</w:t>
      </w:r>
      <w:r w:rsidRPr="002C4077">
        <w:t xml:space="preserve"> </w:t>
      </w:r>
      <w:r>
        <w:t>rendre,</w:t>
      </w:r>
      <w:r w:rsidRPr="002C4077">
        <w:t xml:space="preserve"> </w:t>
      </w:r>
      <w:r>
        <w:t>au</w:t>
      </w:r>
      <w:r w:rsidRPr="002C4077">
        <w:t xml:space="preserve"> </w:t>
      </w:r>
      <w:r>
        <w:t>moins</w:t>
      </w:r>
      <w:r w:rsidRPr="002C4077">
        <w:t xml:space="preserve"> </w:t>
      </w:r>
      <w:r>
        <w:t>d’une</w:t>
      </w:r>
      <w:r w:rsidRPr="002C4077">
        <w:t xml:space="preserve"> </w:t>
      </w:r>
      <w:r>
        <w:t>manière</w:t>
      </w:r>
      <w:r w:rsidRPr="002C4077">
        <w:t xml:space="preserve"> </w:t>
      </w:r>
      <w:r>
        <w:t>partielle</w:t>
      </w:r>
      <w:r w:rsidR="00B546AF">
        <w:t> :</w:t>
      </w:r>
      <w:r w:rsidRPr="002C4077">
        <w:t xml:space="preserve"> </w:t>
      </w:r>
      <w:r>
        <w:t>M.</w:t>
      </w:r>
      <w:r w:rsidRPr="002C4077">
        <w:t xml:space="preserve"> </w:t>
      </w:r>
      <w:r>
        <w:t>Reuss,</w:t>
      </w:r>
      <w:r w:rsidRPr="002C4077">
        <w:t xml:space="preserve"> </w:t>
      </w:r>
      <w:r>
        <w:t>par</w:t>
      </w:r>
      <w:r w:rsidRPr="002C4077">
        <w:t xml:space="preserve"> </w:t>
      </w:r>
      <w:r>
        <w:t>exemple</w:t>
      </w:r>
      <w:r w:rsidR="00B91AF7">
        <w:rPr>
          <w:rStyle w:val="Appelnotedebasdep"/>
        </w:rPr>
        <w:footnoteReference w:id="74"/>
      </w:r>
      <w:r>
        <w:t>.</w:t>
      </w:r>
      <w:r w:rsidRPr="002C4077">
        <w:t xml:space="preserve"> </w:t>
      </w:r>
      <w:r>
        <w:t>Un</w:t>
      </w:r>
      <w:r w:rsidRPr="002C4077">
        <w:t xml:space="preserve"> </w:t>
      </w:r>
      <w:r>
        <w:t>commentateur</w:t>
      </w:r>
      <w:r w:rsidRPr="002C4077">
        <w:t xml:space="preserve"> </w:t>
      </w:r>
      <w:r>
        <w:t>américain,</w:t>
      </w:r>
      <w:r w:rsidRPr="002C4077">
        <w:t xml:space="preserve"> </w:t>
      </w:r>
      <w:r>
        <w:t>qui</w:t>
      </w:r>
      <w:r w:rsidRPr="002C4077">
        <w:t xml:space="preserve"> </w:t>
      </w:r>
      <w:r>
        <w:t>ne</w:t>
      </w:r>
      <w:r w:rsidRPr="002C4077">
        <w:t xml:space="preserve"> </w:t>
      </w:r>
      <w:r>
        <w:t>manque</w:t>
      </w:r>
      <w:r w:rsidRPr="002C4077">
        <w:t xml:space="preserve"> </w:t>
      </w:r>
      <w:r>
        <w:t>pas</w:t>
      </w:r>
      <w:r w:rsidRPr="002C4077">
        <w:t xml:space="preserve"> </w:t>
      </w:r>
      <w:r>
        <w:t>de</w:t>
      </w:r>
      <w:r w:rsidRPr="002C4077">
        <w:t xml:space="preserve"> </w:t>
      </w:r>
      <w:r>
        <w:t>célébrité,</w:t>
      </w:r>
      <w:r w:rsidRPr="002C4077">
        <w:t xml:space="preserve"> </w:t>
      </w:r>
      <w:r>
        <w:t>M.</w:t>
      </w:r>
      <w:r w:rsidRPr="002C4077">
        <w:t xml:space="preserve"> </w:t>
      </w:r>
      <w:r>
        <w:t>Barnes</w:t>
      </w:r>
      <w:r w:rsidR="0055004A">
        <w:rPr>
          <w:rStyle w:val="Appelnotedebasdep"/>
        </w:rPr>
        <w:footnoteReference w:id="75"/>
      </w:r>
      <w:r>
        <w:t>,</w:t>
      </w:r>
      <w:r w:rsidRPr="002C4077">
        <w:t xml:space="preserve"> </w:t>
      </w:r>
      <w:r>
        <w:t>l’appelle</w:t>
      </w:r>
      <w:r w:rsidRPr="002C4077">
        <w:t xml:space="preserve"> </w:t>
      </w:r>
      <w:r w:rsidRPr="000A34B5">
        <w:rPr>
          <w:rStyle w:val="italicus"/>
        </w:rPr>
        <w:t>the</w:t>
      </w:r>
      <w:r w:rsidRPr="002C4077">
        <w:t xml:space="preserve"> </w:t>
      </w:r>
      <w:r w:rsidRPr="000A34B5">
        <w:rPr>
          <w:rStyle w:val="italicus"/>
        </w:rPr>
        <w:t>great</w:t>
      </w:r>
      <w:r w:rsidRPr="002C4077">
        <w:t xml:space="preserve"> </w:t>
      </w:r>
      <w:r w:rsidRPr="000A34B5">
        <w:rPr>
          <w:rStyle w:val="italicus"/>
        </w:rPr>
        <w:t>and</w:t>
      </w:r>
      <w:r w:rsidRPr="002C4077">
        <w:t xml:space="preserve"> </w:t>
      </w:r>
      <w:r w:rsidRPr="000A34B5">
        <w:rPr>
          <w:rStyle w:val="italicus"/>
        </w:rPr>
        <w:t>una</w:t>
      </w:r>
      <w:r w:rsidR="0055004A">
        <w:rPr>
          <w:rStyle w:val="italicus"/>
        </w:rPr>
        <w:t>n</w:t>
      </w:r>
      <w:r w:rsidRPr="000A34B5">
        <w:rPr>
          <w:rStyle w:val="italicus"/>
        </w:rPr>
        <w:t>swerable</w:t>
      </w:r>
      <w:r w:rsidRPr="002C4077">
        <w:t xml:space="preserve"> </w:t>
      </w:r>
      <w:r w:rsidRPr="000A34B5">
        <w:rPr>
          <w:rStyle w:val="italicus"/>
        </w:rPr>
        <w:t>argument</w:t>
      </w:r>
      <w:r w:rsidRPr="002C4077">
        <w:t xml:space="preserve"> </w:t>
      </w:r>
      <w:r w:rsidRPr="000A34B5">
        <w:rPr>
          <w:rStyle w:val="italicus"/>
        </w:rPr>
        <w:t>for</w:t>
      </w:r>
      <w:r w:rsidRPr="002C4077">
        <w:t xml:space="preserve"> </w:t>
      </w:r>
      <w:r w:rsidRPr="000A34B5">
        <w:rPr>
          <w:rStyle w:val="italicus"/>
        </w:rPr>
        <w:t>the</w:t>
      </w:r>
      <w:r w:rsidRPr="002C4077">
        <w:t xml:space="preserve"> </w:t>
      </w:r>
      <w:r w:rsidRPr="000A34B5">
        <w:rPr>
          <w:rStyle w:val="italicus"/>
        </w:rPr>
        <w:t>messi</w:t>
      </w:r>
      <w:r w:rsidR="001730C6" w:rsidRPr="000A34B5">
        <w:rPr>
          <w:rStyle w:val="italicus"/>
        </w:rPr>
        <w:t>an</w:t>
      </w:r>
      <w:r w:rsidRPr="000A34B5">
        <w:rPr>
          <w:rStyle w:val="italicus"/>
        </w:rPr>
        <w:t>ie</w:t>
      </w:r>
      <w:r w:rsidRPr="002C4077">
        <w:t xml:space="preserve"> </w:t>
      </w:r>
      <w:r w:rsidRPr="000A34B5">
        <w:rPr>
          <w:rStyle w:val="italicus"/>
        </w:rPr>
        <w:t>interprétation,</w:t>
      </w:r>
      <w:r w:rsidRPr="002C4077">
        <w:t xml:space="preserve"> </w:t>
      </w:r>
      <w:r w:rsidR="00B546AF">
        <w:t>« </w:t>
      </w:r>
      <w:r>
        <w:t>la</w:t>
      </w:r>
      <w:r w:rsidRPr="002C4077">
        <w:t xml:space="preserve"> </w:t>
      </w:r>
      <w:r>
        <w:t>grande</w:t>
      </w:r>
      <w:r w:rsidRPr="002C4077">
        <w:t xml:space="preserve"> </w:t>
      </w:r>
      <w:r>
        <w:t>et</w:t>
      </w:r>
      <w:r w:rsidRPr="002C4077">
        <w:t xml:space="preserve"> </w:t>
      </w:r>
      <w:r>
        <w:t>incontestable</w:t>
      </w:r>
      <w:r w:rsidRPr="002C4077">
        <w:t xml:space="preserve"> </w:t>
      </w:r>
      <w:r>
        <w:t>preuve</w:t>
      </w:r>
      <w:r w:rsidRPr="002C4077">
        <w:t xml:space="preserve"> </w:t>
      </w:r>
      <w:r>
        <w:t>en</w:t>
      </w:r>
      <w:r w:rsidRPr="002C4077">
        <w:t xml:space="preserve"> </w:t>
      </w:r>
      <w:r>
        <w:t>faveur</w:t>
      </w:r>
      <w:r w:rsidRPr="002C4077">
        <w:t xml:space="preserve"> </w:t>
      </w:r>
      <w:r>
        <w:t>de</w:t>
      </w:r>
      <w:r w:rsidRPr="002C4077">
        <w:t xml:space="preserve"> </w:t>
      </w:r>
      <w:r>
        <w:t>l’explication</w:t>
      </w:r>
      <w:r w:rsidRPr="002C4077">
        <w:t xml:space="preserve"> </w:t>
      </w:r>
      <w:r>
        <w:t>messianique</w:t>
      </w:r>
      <w:r w:rsidR="00B546AF">
        <w:t> »</w:t>
      </w:r>
      <w:r>
        <w:t>.</w:t>
      </w:r>
      <w:r w:rsidR="00EC0C08">
        <w:t xml:space="preserve"> {</w:t>
      </w:r>
      <w:r w:rsidR="000721C4">
        <w:t>29</w:t>
      </w:r>
      <w:bookmarkStart w:id="113" w:name="p029"/>
      <w:bookmarkEnd w:id="113"/>
      <w:r w:rsidR="000721C4">
        <w:t xml:space="preserve">} </w:t>
      </w:r>
      <w:r>
        <w:t>—</w:t>
      </w:r>
      <w:r w:rsidRPr="002C4077">
        <w:t xml:space="preserve"> </w:t>
      </w:r>
      <w:r w:rsidR="00B546AF">
        <w:t>« </w:t>
      </w:r>
      <w:r>
        <w:t>Ces</w:t>
      </w:r>
      <w:r w:rsidRPr="002C4077">
        <w:t xml:space="preserve"> </w:t>
      </w:r>
      <w:r>
        <w:t>rapprochements,</w:t>
      </w:r>
      <w:r w:rsidRPr="002C4077">
        <w:t xml:space="preserve"> </w:t>
      </w:r>
      <w:r>
        <w:t>écrivaient</w:t>
      </w:r>
      <w:r w:rsidRPr="002C4077">
        <w:t xml:space="preserve"> </w:t>
      </w:r>
      <w:r>
        <w:t>tout</w:t>
      </w:r>
      <w:r w:rsidRPr="002C4077">
        <w:t xml:space="preserve"> </w:t>
      </w:r>
      <w:r>
        <w:t>récemment</w:t>
      </w:r>
      <w:r w:rsidRPr="002C4077">
        <w:t xml:space="preserve"> </w:t>
      </w:r>
      <w:r>
        <w:t>les</w:t>
      </w:r>
      <w:r w:rsidRPr="002C4077">
        <w:t xml:space="preserve"> </w:t>
      </w:r>
      <w:r>
        <w:t>auteurs</w:t>
      </w:r>
      <w:r w:rsidRPr="004440EA">
        <w:t xml:space="preserve"> (</w:t>
      </w:r>
      <w:r>
        <w:t>protestants</w:t>
      </w:r>
      <w:r w:rsidR="00B546AF" w:rsidRPr="002C4077">
        <w:t>)</w:t>
      </w:r>
      <w:r w:rsidRPr="002C4077">
        <w:t xml:space="preserve"> </w:t>
      </w:r>
      <w:r>
        <w:t>de</w:t>
      </w:r>
      <w:r w:rsidRPr="002C4077">
        <w:t xml:space="preserve"> </w:t>
      </w:r>
      <w:r>
        <w:t>la</w:t>
      </w:r>
      <w:r w:rsidR="0055004A" w:rsidRPr="002C4077">
        <w:t xml:space="preserve"> </w:t>
      </w:r>
      <w:r w:rsidR="0055004A">
        <w:rPr>
          <w:rStyle w:val="italicus"/>
        </w:rPr>
        <w:t>Bible</w:t>
      </w:r>
      <w:r w:rsidR="0055004A" w:rsidRPr="002C4077">
        <w:t xml:space="preserve"> </w:t>
      </w:r>
      <w:r w:rsidR="0055004A">
        <w:rPr>
          <w:rStyle w:val="italicus"/>
        </w:rPr>
        <w:t>annotée</w:t>
      </w:r>
      <w:r w:rsidR="0055004A">
        <w:rPr>
          <w:rStyle w:val="Appelnotedebasdep"/>
          <w:i/>
        </w:rPr>
        <w:footnoteReference w:id="76"/>
      </w:r>
      <w:r w:rsidRPr="000A34B5">
        <w:rPr>
          <w:rStyle w:val="italicus"/>
        </w:rPr>
        <w:t>,</w:t>
      </w:r>
      <w:r w:rsidRPr="002C4077">
        <w:t xml:space="preserve"> </w:t>
      </w:r>
      <w:r>
        <w:t>ne</w:t>
      </w:r>
      <w:r w:rsidRPr="002C4077">
        <w:t xml:space="preserve"> </w:t>
      </w:r>
      <w:r>
        <w:t>laissent</w:t>
      </w:r>
      <w:r w:rsidRPr="002C4077">
        <w:t xml:space="preserve"> </w:t>
      </w:r>
      <w:r>
        <w:t>subsister</w:t>
      </w:r>
      <w:r w:rsidRPr="002C4077">
        <w:t xml:space="preserve"> </w:t>
      </w:r>
      <w:r>
        <w:t>aucun</w:t>
      </w:r>
      <w:r w:rsidRPr="002C4077">
        <w:t xml:space="preserve"> </w:t>
      </w:r>
      <w:r>
        <w:t>doute</w:t>
      </w:r>
      <w:r w:rsidRPr="002C4077">
        <w:t xml:space="preserve"> </w:t>
      </w:r>
      <w:r>
        <w:t>sur</w:t>
      </w:r>
      <w:r w:rsidRPr="002C4077">
        <w:t xml:space="preserve"> </w:t>
      </w:r>
      <w:r>
        <w:t>la</w:t>
      </w:r>
      <w:r w:rsidRPr="002C4077">
        <w:t xml:space="preserve"> </w:t>
      </w:r>
      <w:r>
        <w:t>pensée</w:t>
      </w:r>
      <w:r w:rsidRPr="002C4077">
        <w:t xml:space="preserve"> </w:t>
      </w:r>
      <w:r>
        <w:t>du</w:t>
      </w:r>
      <w:r w:rsidRPr="002C4077">
        <w:t xml:space="preserve"> </w:t>
      </w:r>
      <w:r>
        <w:t>prophète.</w:t>
      </w:r>
      <w:r w:rsidRPr="002C4077">
        <w:t xml:space="preserve"> </w:t>
      </w:r>
      <w:r>
        <w:t>Le</w:t>
      </w:r>
      <w:r w:rsidRPr="002C4077">
        <w:t xml:space="preserve"> </w:t>
      </w:r>
      <w:r>
        <w:t>contexte</w:t>
      </w:r>
      <w:r w:rsidRPr="002C4077">
        <w:t xml:space="preserve"> </w:t>
      </w:r>
      <w:r>
        <w:t>du</w:t>
      </w:r>
      <w:r w:rsidRPr="002C4077">
        <w:t xml:space="preserve"> </w:t>
      </w:r>
      <w:r w:rsidR="00C577F1">
        <w:t>chapitre</w:t>
      </w:r>
      <w:r w:rsidR="00C577F1" w:rsidRPr="002C4077">
        <w:t xml:space="preserve"> </w:t>
      </w:r>
      <w:r w:rsidR="00C577F1">
        <w:t>VII</w:t>
      </w:r>
      <w:r w:rsidRPr="002C4077">
        <w:t xml:space="preserve"> </w:t>
      </w:r>
      <w:r>
        <w:t>conduit</w:t>
      </w:r>
      <w:r w:rsidRPr="002C4077">
        <w:t xml:space="preserve"> </w:t>
      </w:r>
      <w:r>
        <w:t>naturellement</w:t>
      </w:r>
      <w:r w:rsidRPr="004440EA">
        <w:t xml:space="preserve"> (</w:t>
      </w:r>
      <w:r>
        <w:t>mieux</w:t>
      </w:r>
      <w:r w:rsidRPr="002C4077">
        <w:t xml:space="preserve"> </w:t>
      </w:r>
      <w:r>
        <w:t>vaudrait</w:t>
      </w:r>
      <w:r w:rsidRPr="002C4077">
        <w:t xml:space="preserve"> </w:t>
      </w:r>
      <w:r>
        <w:t>dire</w:t>
      </w:r>
      <w:r w:rsidR="00B546AF">
        <w:t> :</w:t>
      </w:r>
      <w:r w:rsidRPr="002C4077">
        <w:t xml:space="preserve"> </w:t>
      </w:r>
      <w:r>
        <w:t>nécessairement</w:t>
      </w:r>
      <w:r w:rsidR="00B546AF" w:rsidRPr="002C4077">
        <w:t>)</w:t>
      </w:r>
      <w:r w:rsidRPr="002C4077">
        <w:t xml:space="preserve"> </w:t>
      </w:r>
      <w:r>
        <w:t>à</w:t>
      </w:r>
      <w:r w:rsidRPr="002C4077">
        <w:t xml:space="preserve"> </w:t>
      </w:r>
      <w:r>
        <w:t>l’interprétation</w:t>
      </w:r>
      <w:r w:rsidRPr="002C4077">
        <w:t xml:space="preserve"> </w:t>
      </w:r>
      <w:r>
        <w:t>messianique</w:t>
      </w:r>
      <w:r w:rsidR="00B546AF">
        <w:t> »</w:t>
      </w:r>
      <w:r>
        <w:t>.</w:t>
      </w:r>
      <w:r w:rsidRPr="002C4077">
        <w:t xml:space="preserve"> </w:t>
      </w:r>
      <w:r>
        <w:t>En</w:t>
      </w:r>
      <w:r w:rsidRPr="002C4077">
        <w:t xml:space="preserve"> </w:t>
      </w:r>
      <w:r>
        <w:t>effet,</w:t>
      </w:r>
      <w:r w:rsidRPr="002C4077">
        <w:t xml:space="preserve"> </w:t>
      </w:r>
      <w:r>
        <w:t>comme</w:t>
      </w:r>
      <w:r w:rsidRPr="002C4077">
        <w:t xml:space="preserve"> </w:t>
      </w:r>
      <w:r>
        <w:t>s’exprime</w:t>
      </w:r>
      <w:r w:rsidRPr="002C4077">
        <w:t xml:space="preserve"> </w:t>
      </w:r>
      <w:r>
        <w:t>beaucoup</w:t>
      </w:r>
      <w:r w:rsidRPr="002C4077">
        <w:t xml:space="preserve"> </w:t>
      </w:r>
      <w:r>
        <w:t>mieux</w:t>
      </w:r>
      <w:r w:rsidRPr="002C4077">
        <w:t xml:space="preserve"> </w:t>
      </w:r>
      <w:r>
        <w:t>encore</w:t>
      </w:r>
      <w:r w:rsidRPr="002C4077">
        <w:t xml:space="preserve"> </w:t>
      </w:r>
      <w:r>
        <w:t>le</w:t>
      </w:r>
      <w:r w:rsidRPr="002C4077">
        <w:t xml:space="preserve"> </w:t>
      </w:r>
      <w:r>
        <w:t>P.</w:t>
      </w:r>
      <w:r w:rsidRPr="002C4077">
        <w:t xml:space="preserve"> </w:t>
      </w:r>
      <w:r>
        <w:t>Knabenbauer</w:t>
      </w:r>
      <w:r w:rsidR="00B91AF7">
        <w:rPr>
          <w:rStyle w:val="Appelnotedebasdep"/>
        </w:rPr>
        <w:footnoteReference w:id="77"/>
      </w:r>
      <w:r>
        <w:t>,</w:t>
      </w:r>
      <w:r w:rsidRPr="002C4077">
        <w:t xml:space="preserve"> </w:t>
      </w:r>
      <w:r w:rsidR="00B546AF">
        <w:t>« </w:t>
      </w:r>
      <w:r>
        <w:t>le</w:t>
      </w:r>
      <w:r w:rsidRPr="002C4077">
        <w:t xml:space="preserve"> </w:t>
      </w:r>
      <w:r>
        <w:t>passage</w:t>
      </w:r>
      <w:r w:rsidRPr="002C4077">
        <w:t xml:space="preserve"> </w:t>
      </w:r>
      <w:r w:rsidR="0055004A">
        <w:t>VII</w:t>
      </w:r>
      <w:r>
        <w:t>,</w:t>
      </w:r>
      <w:r w:rsidRPr="002C4077">
        <w:t xml:space="preserve"> </w:t>
      </w:r>
      <w:r>
        <w:t>14,</w:t>
      </w:r>
      <w:r w:rsidRPr="002C4077">
        <w:t xml:space="preserve"> </w:t>
      </w:r>
      <w:r>
        <w:t>n’est</w:t>
      </w:r>
      <w:r w:rsidRPr="002C4077">
        <w:t xml:space="preserve"> </w:t>
      </w:r>
      <w:r>
        <w:t>qu’un</w:t>
      </w:r>
      <w:r w:rsidRPr="002C4077">
        <w:t xml:space="preserve"> </w:t>
      </w:r>
      <w:r>
        <w:t>début,</w:t>
      </w:r>
      <w:r w:rsidRPr="002C4077">
        <w:t xml:space="preserve"> </w:t>
      </w:r>
      <w:r>
        <w:t>un</w:t>
      </w:r>
      <w:r w:rsidRPr="002C4077">
        <w:t xml:space="preserve"> </w:t>
      </w:r>
      <w:r>
        <w:t>germe</w:t>
      </w:r>
      <w:r w:rsidRPr="002C4077">
        <w:t xml:space="preserve"> </w:t>
      </w:r>
      <w:r>
        <w:t>que</w:t>
      </w:r>
      <w:r w:rsidRPr="002C4077">
        <w:t xml:space="preserve"> </w:t>
      </w:r>
      <w:r>
        <w:t>le</w:t>
      </w:r>
      <w:r w:rsidRPr="002C4077">
        <w:t xml:space="preserve"> </w:t>
      </w:r>
      <w:r>
        <w:t>prophète</w:t>
      </w:r>
      <w:r w:rsidRPr="002C4077">
        <w:t xml:space="preserve"> </w:t>
      </w:r>
      <w:r>
        <w:t>dépose</w:t>
      </w:r>
      <w:r w:rsidRPr="002C4077">
        <w:t xml:space="preserve"> </w:t>
      </w:r>
      <w:r>
        <w:t>et</w:t>
      </w:r>
      <w:r w:rsidRPr="002C4077">
        <w:t xml:space="preserve"> </w:t>
      </w:r>
      <w:r>
        <w:t>qu’il</w:t>
      </w:r>
      <w:r w:rsidRPr="002C4077">
        <w:t xml:space="preserve"> </w:t>
      </w:r>
      <w:r>
        <w:t>développe</w:t>
      </w:r>
      <w:r w:rsidRPr="002C4077">
        <w:t xml:space="preserve"> </w:t>
      </w:r>
      <w:r>
        <w:t>aussitôt</w:t>
      </w:r>
      <w:r w:rsidRPr="002C4077">
        <w:t xml:space="preserve"> </w:t>
      </w:r>
      <w:r>
        <w:t>après</w:t>
      </w:r>
      <w:r w:rsidRPr="002C4077">
        <w:t xml:space="preserve"> </w:t>
      </w:r>
      <w:r>
        <w:t>dans</w:t>
      </w:r>
      <w:r w:rsidRPr="002C4077">
        <w:t xml:space="preserve"> </w:t>
      </w:r>
      <w:r>
        <w:t>toutes</w:t>
      </w:r>
      <w:r w:rsidRPr="002C4077">
        <w:t xml:space="preserve"> </w:t>
      </w:r>
      <w:r>
        <w:t>les</w:t>
      </w:r>
      <w:r w:rsidRPr="002C4077">
        <w:t xml:space="preserve"> </w:t>
      </w:r>
      <w:r>
        <w:t>directions.</w:t>
      </w:r>
      <w:r w:rsidRPr="002C4077">
        <w:t xml:space="preserve"> </w:t>
      </w:r>
      <w:r>
        <w:t>L’interprétation</w:t>
      </w:r>
      <w:r w:rsidRPr="002C4077">
        <w:t xml:space="preserve"> </w:t>
      </w:r>
      <w:r>
        <w:t>doit</w:t>
      </w:r>
      <w:r w:rsidRPr="002C4077">
        <w:t xml:space="preserve"> </w:t>
      </w:r>
      <w:r>
        <w:t>donc</w:t>
      </w:r>
      <w:r w:rsidRPr="002C4077">
        <w:t xml:space="preserve"> </w:t>
      </w:r>
      <w:r>
        <w:t>prendre</w:t>
      </w:r>
      <w:r w:rsidRPr="002C4077">
        <w:t xml:space="preserve"> </w:t>
      </w:r>
      <w:r>
        <w:t>dès</w:t>
      </w:r>
      <w:r w:rsidRPr="002C4077">
        <w:t xml:space="preserve"> </w:t>
      </w:r>
      <w:r>
        <w:t>cet</w:t>
      </w:r>
      <w:r w:rsidRPr="002C4077">
        <w:t xml:space="preserve"> </w:t>
      </w:r>
      <w:r>
        <w:t>endroit</w:t>
      </w:r>
      <w:r w:rsidRPr="002C4077">
        <w:t xml:space="preserve"> </w:t>
      </w:r>
      <w:r>
        <w:t>Emmanuel</w:t>
      </w:r>
      <w:r w:rsidRPr="002C4077">
        <w:t xml:space="preserve"> </w:t>
      </w:r>
      <w:r>
        <w:t>pour</w:t>
      </w:r>
      <w:r w:rsidRPr="002C4077">
        <w:t xml:space="preserve"> </w:t>
      </w:r>
      <w:r>
        <w:t>ce</w:t>
      </w:r>
      <w:r w:rsidRPr="002C4077">
        <w:t xml:space="preserve"> </w:t>
      </w:r>
      <w:r>
        <w:t>qu’il</w:t>
      </w:r>
      <w:r w:rsidRPr="002C4077">
        <w:t xml:space="preserve"> </w:t>
      </w:r>
      <w:r w:rsidR="00425C50">
        <w:t>est</w:t>
      </w:r>
      <w:r w:rsidRPr="002C4077">
        <w:t xml:space="preserve"> </w:t>
      </w:r>
      <w:r>
        <w:t>aux</w:t>
      </w:r>
      <w:r w:rsidRPr="002C4077">
        <w:t xml:space="preserve"> </w:t>
      </w:r>
      <w:r>
        <w:t>chapitres</w:t>
      </w:r>
      <w:r w:rsidRPr="002C4077">
        <w:t xml:space="preserve"> </w:t>
      </w:r>
      <w:r>
        <w:t>IX</w:t>
      </w:r>
      <w:r w:rsidRPr="002C4077">
        <w:t xml:space="preserve"> </w:t>
      </w:r>
      <w:r>
        <w:t>et</w:t>
      </w:r>
      <w:r w:rsidRPr="002C4077">
        <w:t xml:space="preserve"> </w:t>
      </w:r>
      <w:r>
        <w:t>XI,</w:t>
      </w:r>
      <w:r w:rsidRPr="002C4077">
        <w:t xml:space="preserve"> </w:t>
      </w:r>
      <w:r>
        <w:t>de</w:t>
      </w:r>
      <w:r w:rsidRPr="002C4077">
        <w:t xml:space="preserve"> </w:t>
      </w:r>
      <w:r>
        <w:t>l’aveu</w:t>
      </w:r>
      <w:r w:rsidRPr="002C4077">
        <w:t xml:space="preserve"> </w:t>
      </w:r>
      <w:r>
        <w:t>des</w:t>
      </w:r>
      <w:r w:rsidRPr="002C4077">
        <w:t xml:space="preserve"> </w:t>
      </w:r>
      <w:r>
        <w:t>rationalistes</w:t>
      </w:r>
      <w:r w:rsidRPr="002C4077">
        <w:t xml:space="preserve"> </w:t>
      </w:r>
      <w:r>
        <w:t>eux-mêmes,</w:t>
      </w:r>
      <w:r w:rsidRPr="002C4077">
        <w:t xml:space="preserve"> </w:t>
      </w:r>
      <w:r>
        <w:t>puisque</w:t>
      </w:r>
      <w:r w:rsidRPr="002C4077">
        <w:t xml:space="preserve"> </w:t>
      </w:r>
      <w:r>
        <w:t>nous</w:t>
      </w:r>
      <w:r w:rsidRPr="002C4077">
        <w:t xml:space="preserve"> </w:t>
      </w:r>
      <w:r>
        <w:t>avons</w:t>
      </w:r>
      <w:r w:rsidRPr="002C4077">
        <w:t xml:space="preserve"> </w:t>
      </w:r>
      <w:r>
        <w:t>ici</w:t>
      </w:r>
      <w:r w:rsidRPr="002C4077">
        <w:t xml:space="preserve"> </w:t>
      </w:r>
      <w:r>
        <w:t>le</w:t>
      </w:r>
      <w:r w:rsidRPr="002C4077">
        <w:t xml:space="preserve"> </w:t>
      </w:r>
      <w:r>
        <w:t>point</w:t>
      </w:r>
      <w:r w:rsidRPr="002C4077">
        <w:t xml:space="preserve"> </w:t>
      </w:r>
      <w:r>
        <w:t>de</w:t>
      </w:r>
      <w:r w:rsidRPr="002C4077">
        <w:t xml:space="preserve"> </w:t>
      </w:r>
      <w:r>
        <w:t>départ</w:t>
      </w:r>
      <w:r w:rsidRPr="002C4077">
        <w:t xml:space="preserve"> </w:t>
      </w:r>
      <w:r>
        <w:t>du</w:t>
      </w:r>
      <w:r w:rsidRPr="002C4077">
        <w:t xml:space="preserve"> </w:t>
      </w:r>
      <w:r>
        <w:t>passage</w:t>
      </w:r>
      <w:r w:rsidRPr="002C4077">
        <w:t xml:space="preserve"> </w:t>
      </w:r>
      <w:r>
        <w:t>entier.</w:t>
      </w:r>
      <w:r w:rsidRPr="002C4077">
        <w:t xml:space="preserve"> </w:t>
      </w:r>
      <w:r>
        <w:t>Isaïe</w:t>
      </w:r>
      <w:r w:rsidRPr="002C4077">
        <w:t xml:space="preserve"> </w:t>
      </w:r>
      <w:r>
        <w:t>se</w:t>
      </w:r>
      <w:r w:rsidRPr="002C4077">
        <w:t xml:space="preserve"> </w:t>
      </w:r>
      <w:r>
        <w:t>complaît</w:t>
      </w:r>
      <w:r w:rsidRPr="002C4077">
        <w:t xml:space="preserve"> </w:t>
      </w:r>
      <w:r>
        <w:t>à</w:t>
      </w:r>
      <w:r w:rsidRPr="002C4077">
        <w:t xml:space="preserve"> </w:t>
      </w:r>
      <w:r>
        <w:t>n’indiquer</w:t>
      </w:r>
      <w:r w:rsidRPr="002C4077">
        <w:t xml:space="preserve"> </w:t>
      </w:r>
      <w:r>
        <w:t>d’abord</w:t>
      </w:r>
      <w:r w:rsidRPr="002C4077">
        <w:t xml:space="preserve"> </w:t>
      </w:r>
      <w:r>
        <w:t>que</w:t>
      </w:r>
      <w:r w:rsidRPr="002C4077">
        <w:t xml:space="preserve"> </w:t>
      </w:r>
      <w:r>
        <w:t>sommairement</w:t>
      </w:r>
      <w:r w:rsidRPr="002C4077">
        <w:t xml:space="preserve"> </w:t>
      </w:r>
      <w:r>
        <w:t>une</w:t>
      </w:r>
      <w:r w:rsidRPr="002C4077">
        <w:t xml:space="preserve"> </w:t>
      </w:r>
      <w:r>
        <w:t>idée</w:t>
      </w:r>
      <w:r w:rsidRPr="002C4077">
        <w:t xml:space="preserve"> </w:t>
      </w:r>
      <w:r>
        <w:t>féconde</w:t>
      </w:r>
      <w:r w:rsidRPr="002C4077">
        <w:t xml:space="preserve"> </w:t>
      </w:r>
      <w:r>
        <w:t>et</w:t>
      </w:r>
      <w:r w:rsidRPr="002C4077">
        <w:t xml:space="preserve"> </w:t>
      </w:r>
      <w:r>
        <w:t>à</w:t>
      </w:r>
      <w:r w:rsidRPr="002C4077">
        <w:t xml:space="preserve"> </w:t>
      </w:r>
      <w:r>
        <w:t>la</w:t>
      </w:r>
      <w:r w:rsidRPr="002C4077">
        <w:t xml:space="preserve"> </w:t>
      </w:r>
      <w:r>
        <w:t>développer</w:t>
      </w:r>
      <w:r w:rsidRPr="002C4077">
        <w:t xml:space="preserve"> </w:t>
      </w:r>
      <w:r>
        <w:t>ensuite</w:t>
      </w:r>
      <w:r w:rsidRPr="002C4077">
        <w:t xml:space="preserve"> </w:t>
      </w:r>
      <w:r>
        <w:t>complètement.</w:t>
      </w:r>
      <w:r w:rsidRPr="002C4077">
        <w:t xml:space="preserve"> </w:t>
      </w:r>
      <w:r>
        <w:t>De</w:t>
      </w:r>
      <w:r w:rsidRPr="002C4077">
        <w:t xml:space="preserve"> </w:t>
      </w:r>
      <w:r>
        <w:t>longs</w:t>
      </w:r>
      <w:r w:rsidRPr="002C4077">
        <w:t xml:space="preserve"> </w:t>
      </w:r>
      <w:r>
        <w:t>discours</w:t>
      </w:r>
      <w:r w:rsidRPr="002C4077">
        <w:t xml:space="preserve"> </w:t>
      </w:r>
      <w:r>
        <w:t>ont</w:t>
      </w:r>
      <w:r w:rsidRPr="002C4077">
        <w:t xml:space="preserve"> </w:t>
      </w:r>
      <w:r>
        <w:t>souvent</w:t>
      </w:r>
      <w:r w:rsidRPr="002C4077">
        <w:t xml:space="preserve"> </w:t>
      </w:r>
      <w:r>
        <w:t>leurs</w:t>
      </w:r>
      <w:r w:rsidRPr="002C4077">
        <w:t xml:space="preserve"> </w:t>
      </w:r>
      <w:r>
        <w:t>racines,</w:t>
      </w:r>
      <w:r w:rsidRPr="002C4077">
        <w:t xml:space="preserve"> </w:t>
      </w:r>
      <w:r>
        <w:t>leurs</w:t>
      </w:r>
      <w:r w:rsidRPr="002C4077">
        <w:t xml:space="preserve"> </w:t>
      </w:r>
      <w:r>
        <w:t>germes,</w:t>
      </w:r>
      <w:r w:rsidRPr="002C4077">
        <w:t xml:space="preserve"> </w:t>
      </w:r>
      <w:r>
        <w:t>dans</w:t>
      </w:r>
      <w:r w:rsidRPr="002C4077">
        <w:t xml:space="preserve"> </w:t>
      </w:r>
      <w:r>
        <w:t>des</w:t>
      </w:r>
      <w:r w:rsidRPr="002C4077">
        <w:t xml:space="preserve"> </w:t>
      </w:r>
      <w:r>
        <w:t>idées</w:t>
      </w:r>
      <w:r w:rsidRPr="002C4077">
        <w:t xml:space="preserve"> </w:t>
      </w:r>
      <w:r>
        <w:t>qu’il</w:t>
      </w:r>
      <w:r w:rsidRPr="002C4077">
        <w:t xml:space="preserve"> </w:t>
      </w:r>
      <w:r>
        <w:t>a</w:t>
      </w:r>
      <w:r w:rsidRPr="002C4077">
        <w:t xml:space="preserve"> </w:t>
      </w:r>
      <w:r>
        <w:t>précédemment</w:t>
      </w:r>
      <w:r w:rsidRPr="002C4077">
        <w:t xml:space="preserve"> </w:t>
      </w:r>
      <w:r>
        <w:t>lancées</w:t>
      </w:r>
      <w:r w:rsidRPr="002C4077">
        <w:t xml:space="preserve"> </w:t>
      </w:r>
      <w:r>
        <w:t>d’une</w:t>
      </w:r>
      <w:r w:rsidRPr="002C4077">
        <w:t xml:space="preserve"> </w:t>
      </w:r>
      <w:r>
        <w:t>manière</w:t>
      </w:r>
      <w:r w:rsidRPr="002C4077">
        <w:t xml:space="preserve"> </w:t>
      </w:r>
      <w:r>
        <w:t>rapide,</w:t>
      </w:r>
      <w:r w:rsidRPr="002C4077">
        <w:t xml:space="preserve"> </w:t>
      </w:r>
      <w:r>
        <w:t>sentencieuse.</w:t>
      </w:r>
      <w:r w:rsidRPr="002C4077">
        <w:t xml:space="preserve"> </w:t>
      </w:r>
      <w:r>
        <w:t>C’est</w:t>
      </w:r>
      <w:r w:rsidRPr="002C4077">
        <w:t xml:space="preserve"> </w:t>
      </w:r>
      <w:r>
        <w:t>actuellement</w:t>
      </w:r>
      <w:r w:rsidRPr="002C4077">
        <w:t xml:space="preserve"> </w:t>
      </w:r>
      <w:r>
        <w:t>le</w:t>
      </w:r>
      <w:r w:rsidRPr="002C4077">
        <w:t xml:space="preserve"> </w:t>
      </w:r>
      <w:r>
        <w:t>cas</w:t>
      </w:r>
      <w:r w:rsidR="00B546AF">
        <w:t> »</w:t>
      </w:r>
      <w:r>
        <w:t>.</w:t>
      </w:r>
      <w:r w:rsidRPr="002C4077">
        <w:t xml:space="preserve"> </w:t>
      </w:r>
    </w:p>
    <w:p w:rsidR="000A7AAB" w:rsidRDefault="000A7AAB" w:rsidP="000A7AAB">
      <w:r>
        <w:t>On</w:t>
      </w:r>
      <w:r w:rsidRPr="002C4077">
        <w:t xml:space="preserve"> </w:t>
      </w:r>
      <w:r>
        <w:t>voit</w:t>
      </w:r>
      <w:r w:rsidRPr="002C4077">
        <w:t xml:space="preserve"> </w:t>
      </w:r>
      <w:r>
        <w:t>par</w:t>
      </w:r>
      <w:r w:rsidRPr="002C4077">
        <w:t xml:space="preserve"> </w:t>
      </w:r>
      <w:r>
        <w:t>là</w:t>
      </w:r>
      <w:r w:rsidRPr="002C4077">
        <w:t xml:space="preserve"> </w:t>
      </w:r>
      <w:r>
        <w:t>combien</w:t>
      </w:r>
      <w:r w:rsidRPr="002C4077">
        <w:t xml:space="preserve"> </w:t>
      </w:r>
      <w:r>
        <w:t>se</w:t>
      </w:r>
      <w:r w:rsidRPr="002C4077">
        <w:t xml:space="preserve"> </w:t>
      </w:r>
      <w:r>
        <w:t>sont</w:t>
      </w:r>
      <w:r w:rsidRPr="002C4077">
        <w:t xml:space="preserve"> </w:t>
      </w:r>
      <w:r>
        <w:t>trompés</w:t>
      </w:r>
      <w:r w:rsidRPr="002C4077">
        <w:t xml:space="preserve"> </w:t>
      </w:r>
      <w:r>
        <w:t>les</w:t>
      </w:r>
      <w:r w:rsidRPr="002C4077">
        <w:t xml:space="preserve"> </w:t>
      </w:r>
      <w:r>
        <w:t>auteurs</w:t>
      </w:r>
      <w:r w:rsidRPr="002C4077">
        <w:t xml:space="preserve"> </w:t>
      </w:r>
      <w:r>
        <w:t>juifs</w:t>
      </w:r>
      <w:r w:rsidRPr="002C4077">
        <w:t xml:space="preserve"> </w:t>
      </w:r>
      <w:r>
        <w:t>postérieurs</w:t>
      </w:r>
      <w:r w:rsidRPr="002C4077">
        <w:t xml:space="preserve"> </w:t>
      </w:r>
      <w:r>
        <w:t>à</w:t>
      </w:r>
      <w:r w:rsidRPr="002C4077">
        <w:t xml:space="preserve"> </w:t>
      </w:r>
      <w:r>
        <w:t>l’è</w:t>
      </w:r>
      <w:r w:rsidR="00C577F1">
        <w:t>re</w:t>
      </w:r>
      <w:r w:rsidR="00C577F1" w:rsidRPr="002C4077">
        <w:t xml:space="preserve"> </w:t>
      </w:r>
      <w:r w:rsidR="00C577F1">
        <w:t>chrétienne</w:t>
      </w:r>
      <w:r w:rsidR="00C577F1">
        <w:rPr>
          <w:rStyle w:val="Appelnotedebasdep"/>
        </w:rPr>
        <w:footnoteReference w:id="78"/>
      </w:r>
      <w:r>
        <w:t>,</w:t>
      </w:r>
      <w:r w:rsidRPr="002C4077">
        <w:t xml:space="preserve"> </w:t>
      </w:r>
      <w:r>
        <w:t>et</w:t>
      </w:r>
      <w:r w:rsidRPr="002C4077">
        <w:t xml:space="preserve"> </w:t>
      </w:r>
      <w:r>
        <w:t>combien</w:t>
      </w:r>
      <w:r w:rsidRPr="002C4077">
        <w:t xml:space="preserve"> </w:t>
      </w:r>
      <w:r>
        <w:t>se</w:t>
      </w:r>
      <w:r w:rsidRPr="002C4077">
        <w:t xml:space="preserve"> </w:t>
      </w:r>
      <w:r>
        <w:t>trompent</w:t>
      </w:r>
      <w:r w:rsidRPr="002C4077">
        <w:t xml:space="preserve"> </w:t>
      </w:r>
      <w:r>
        <w:t>encore</w:t>
      </w:r>
      <w:r w:rsidRPr="002C4077">
        <w:t xml:space="preserve"> </w:t>
      </w:r>
      <w:r>
        <w:t>certains</w:t>
      </w:r>
      <w:r w:rsidRPr="002C4077">
        <w:t xml:space="preserve"> </w:t>
      </w:r>
      <w:r>
        <w:t>commentateurs</w:t>
      </w:r>
      <w:r w:rsidRPr="002C4077">
        <w:t xml:space="preserve"> </w:t>
      </w:r>
      <w:r>
        <w:t>rationalistes,</w:t>
      </w:r>
      <w:r w:rsidRPr="002C4077">
        <w:t xml:space="preserve"> </w:t>
      </w:r>
      <w:r>
        <w:t>en</w:t>
      </w:r>
      <w:r w:rsidRPr="002C4077">
        <w:t xml:space="preserve"> </w:t>
      </w:r>
      <w:r>
        <w:t>prétendant</w:t>
      </w:r>
      <w:r w:rsidRPr="002C4077">
        <w:t xml:space="preserve"> </w:t>
      </w:r>
      <w:r>
        <w:t>qu’Emmanuel</w:t>
      </w:r>
      <w:r w:rsidRPr="002C4077">
        <w:t xml:space="preserve"> </w:t>
      </w:r>
      <w:r w:rsidR="00425C50">
        <w:t>est</w:t>
      </w:r>
      <w:r w:rsidRPr="002C4077">
        <w:t xml:space="preserve"> </w:t>
      </w:r>
      <w:r>
        <w:t>simplement</w:t>
      </w:r>
      <w:r w:rsidRPr="002C4077">
        <w:t xml:space="preserve"> </w:t>
      </w:r>
      <w:r w:rsidR="0055004A">
        <w:t>Ézéchias</w:t>
      </w:r>
      <w:bookmarkStart w:id="114" w:name="z_Ezechias_o1"/>
      <w:bookmarkEnd w:id="114"/>
      <w:r>
        <w:t>,</w:t>
      </w:r>
      <w:r w:rsidRPr="002C4077">
        <w:t xml:space="preserve"> </w:t>
      </w:r>
      <w:r>
        <w:t>le</w:t>
      </w:r>
      <w:r w:rsidRPr="002C4077">
        <w:t xml:space="preserve"> </w:t>
      </w:r>
      <w:r>
        <w:t>fils</w:t>
      </w:r>
      <w:r w:rsidRPr="002C4077">
        <w:t xml:space="preserve"> </w:t>
      </w:r>
      <w:r>
        <w:t>d’Achaz.</w:t>
      </w:r>
      <w:r w:rsidRPr="002C4077">
        <w:t xml:space="preserve"> </w:t>
      </w:r>
      <w:r w:rsidR="0055004A">
        <w:t>Ézéchias</w:t>
      </w:r>
      <w:r w:rsidR="00B546AF">
        <w:t> !</w:t>
      </w:r>
      <w:r w:rsidRPr="002C4077">
        <w:t xml:space="preserve"> </w:t>
      </w:r>
      <w:r>
        <w:t>mais</w:t>
      </w:r>
      <w:r w:rsidRPr="002C4077">
        <w:t xml:space="preserve"> </w:t>
      </w:r>
      <w:r>
        <w:t>il</w:t>
      </w:r>
      <w:r w:rsidRPr="002C4077">
        <w:t xml:space="preserve"> </w:t>
      </w:r>
      <w:r>
        <w:t>avait</w:t>
      </w:r>
      <w:r w:rsidRPr="002C4077">
        <w:t xml:space="preserve"> </w:t>
      </w:r>
      <w:r>
        <w:t>alors</w:t>
      </w:r>
      <w:r w:rsidRPr="002C4077">
        <w:t xml:space="preserve"> </w:t>
      </w:r>
      <w:r>
        <w:t>environ</w:t>
      </w:r>
      <w:r w:rsidRPr="002C4077">
        <w:t xml:space="preserve"> </w:t>
      </w:r>
      <w:r>
        <w:t>dix</w:t>
      </w:r>
      <w:r w:rsidRPr="002C4077">
        <w:t xml:space="preserve"> </w:t>
      </w:r>
      <w:r>
        <w:t>ans,</w:t>
      </w:r>
      <w:r w:rsidRPr="002C4077">
        <w:t xml:space="preserve"> </w:t>
      </w:r>
      <w:r>
        <w:t>ainsi</w:t>
      </w:r>
      <w:r w:rsidRPr="002C4077">
        <w:t xml:space="preserve"> </w:t>
      </w:r>
      <w:r>
        <w:t>que</w:t>
      </w:r>
      <w:r w:rsidRPr="002C4077">
        <w:t xml:space="preserve"> </w:t>
      </w:r>
      <w:r>
        <w:t>le</w:t>
      </w:r>
      <w:r w:rsidRPr="002C4077">
        <w:t xml:space="preserve"> </w:t>
      </w:r>
      <w:r>
        <w:t>faisait</w:t>
      </w:r>
      <w:r w:rsidRPr="002C4077">
        <w:t xml:space="preserve"> </w:t>
      </w:r>
      <w:r>
        <w:t>remarquer</w:t>
      </w:r>
      <w:r w:rsidRPr="002C4077">
        <w:t xml:space="preserve"> </w:t>
      </w:r>
      <w:r>
        <w:t>saint</w:t>
      </w:r>
      <w:r w:rsidRPr="002C4077">
        <w:t xml:space="preserve"> </w:t>
      </w:r>
      <w:r>
        <w:t>Jérôme</w:t>
      </w:r>
      <w:r w:rsidRPr="002C4077">
        <w:t xml:space="preserve"> </w:t>
      </w:r>
      <w:r>
        <w:t>aux</w:t>
      </w:r>
      <w:r w:rsidRPr="002C4077">
        <w:t xml:space="preserve"> </w:t>
      </w:r>
      <w:r>
        <w:t>rabbins</w:t>
      </w:r>
      <w:r w:rsidRPr="002C4077">
        <w:t xml:space="preserve"> </w:t>
      </w:r>
      <w:r>
        <w:t>de</w:t>
      </w:r>
      <w:r w:rsidRPr="002C4077">
        <w:t xml:space="preserve"> </w:t>
      </w:r>
      <w:r>
        <w:t>son</w:t>
      </w:r>
      <w:r w:rsidRPr="002C4077">
        <w:t xml:space="preserve"> </w:t>
      </w:r>
      <w:r>
        <w:t>tem</w:t>
      </w:r>
      <w:r w:rsidR="00F6492C">
        <w:t>ps</w:t>
      </w:r>
      <w:r w:rsidR="00F6492C">
        <w:rPr>
          <w:rStyle w:val="Appelnotedebasdep"/>
        </w:rPr>
        <w:footnoteReference w:id="79"/>
      </w:r>
      <w:r w:rsidR="00F6492C">
        <w:t>.</w:t>
      </w:r>
      <w:r w:rsidRPr="002C4077">
        <w:t xml:space="preserve"> </w:t>
      </w:r>
      <w:r>
        <w:t>Et</w:t>
      </w:r>
      <w:r w:rsidRPr="002C4077">
        <w:t xml:space="preserve"> </w:t>
      </w:r>
      <w:r>
        <w:t>Isaïe</w:t>
      </w:r>
      <w:r w:rsidRPr="002C4077">
        <w:t xml:space="preserve"> </w:t>
      </w:r>
      <w:r>
        <w:t>viendrait</w:t>
      </w:r>
      <w:r w:rsidRPr="002C4077">
        <w:t xml:space="preserve"> </w:t>
      </w:r>
      <w:r>
        <w:t>prédire</w:t>
      </w:r>
      <w:r w:rsidRPr="002C4077">
        <w:t xml:space="preserve"> </w:t>
      </w:r>
      <w:r>
        <w:t>maintenant</w:t>
      </w:r>
      <w:r w:rsidRPr="002C4077">
        <w:t xml:space="preserve"> </w:t>
      </w:r>
      <w:r>
        <w:t>sa</w:t>
      </w:r>
      <w:r w:rsidRPr="002C4077">
        <w:t xml:space="preserve"> </w:t>
      </w:r>
      <w:r>
        <w:t>naissance</w:t>
      </w:r>
      <w:r w:rsidR="00B546AF">
        <w:t> !</w:t>
      </w:r>
      <w:r w:rsidRPr="002C4077">
        <w:t xml:space="preserve"> </w:t>
      </w:r>
      <w:r w:rsidR="0055004A" w:rsidRPr="000A34B5">
        <w:rPr>
          <w:rStyle w:val="italicus"/>
        </w:rPr>
        <w:t>Rid</w:t>
      </w:r>
      <w:r w:rsidR="0055004A">
        <w:rPr>
          <w:rStyle w:val="italicus"/>
        </w:rPr>
        <w:t>í</w:t>
      </w:r>
      <w:r w:rsidR="0055004A" w:rsidRPr="000A34B5">
        <w:rPr>
          <w:rStyle w:val="italicus"/>
        </w:rPr>
        <w:t>culum</w:t>
      </w:r>
      <w:bookmarkStart w:id="115" w:name="z_RationalistesFaiblesse_o3"/>
      <w:bookmarkEnd w:id="115"/>
      <w:r w:rsidR="0055004A" w:rsidRPr="002C4077">
        <w:t xml:space="preserve"> </w:t>
      </w:r>
      <w:r w:rsidR="00425C50">
        <w:rPr>
          <w:rStyle w:val="italicus"/>
        </w:rPr>
        <w:t>est</w:t>
      </w:r>
      <w:r w:rsidRPr="002C4077">
        <w:t xml:space="preserve"> </w:t>
      </w:r>
      <w:r w:rsidRPr="000A34B5">
        <w:rPr>
          <w:rStyle w:val="italicus"/>
        </w:rPr>
        <w:t>hoc,</w:t>
      </w:r>
      <w:r w:rsidRPr="002C4077">
        <w:t xml:space="preserve"> </w:t>
      </w:r>
      <w:r>
        <w:t>ne</w:t>
      </w:r>
      <w:r w:rsidRPr="002C4077">
        <w:t xml:space="preserve"> </w:t>
      </w:r>
      <w:r>
        <w:t>peut</w:t>
      </w:r>
      <w:r w:rsidRPr="002C4077">
        <w:t xml:space="preserve"> </w:t>
      </w:r>
      <w:r>
        <w:t>s’empêcher</w:t>
      </w:r>
      <w:r w:rsidRPr="002C4077">
        <w:t xml:space="preserve"> </w:t>
      </w:r>
      <w:r>
        <w:t>de</w:t>
      </w:r>
      <w:r w:rsidRPr="002C4077">
        <w:t xml:space="preserve"> </w:t>
      </w:r>
      <w:r>
        <w:t>dire</w:t>
      </w:r>
      <w:r w:rsidRPr="002C4077">
        <w:t xml:space="preserve"> </w:t>
      </w:r>
      <w:r>
        <w:t>la</w:t>
      </w:r>
      <w:r w:rsidRPr="002C4077">
        <w:t xml:space="preserve"> </w:t>
      </w:r>
      <w:r w:rsidRPr="000A34B5">
        <w:rPr>
          <w:rStyle w:val="italicus"/>
        </w:rPr>
        <w:t>Synopsis</w:t>
      </w:r>
      <w:r w:rsidRPr="002C4077">
        <w:t xml:space="preserve"> </w:t>
      </w:r>
      <w:r w:rsidRPr="000A34B5">
        <w:rPr>
          <w:rStyle w:val="italicus"/>
        </w:rPr>
        <w:t>cri</w:t>
      </w:r>
      <w:r w:rsidR="003B53FD" w:rsidRPr="000A34B5">
        <w:rPr>
          <w:rStyle w:val="italicus"/>
        </w:rPr>
        <w:t>tic</w:t>
      </w:r>
      <w:r w:rsidR="003B53FD">
        <w:rPr>
          <w:rStyle w:val="italicus"/>
        </w:rPr>
        <w:t>ó</w:t>
      </w:r>
      <w:r w:rsidR="003B53FD" w:rsidRPr="000A34B5">
        <w:rPr>
          <w:rStyle w:val="italicus"/>
        </w:rPr>
        <w:t>rum</w:t>
      </w:r>
      <w:r w:rsidR="00F6492C">
        <w:rPr>
          <w:rStyle w:val="Appelnotedebasdep"/>
          <w:i/>
        </w:rPr>
        <w:footnoteReference w:id="80"/>
      </w:r>
      <w:r w:rsidR="00F6492C" w:rsidRPr="000A34B5">
        <w:rPr>
          <w:rStyle w:val="italicus"/>
        </w:rPr>
        <w:t>.</w:t>
      </w:r>
      <w:r w:rsidR="00C45B47">
        <w:t xml:space="preserve"> {</w:t>
      </w:r>
      <w:r w:rsidR="000721C4">
        <w:t>30</w:t>
      </w:r>
      <w:bookmarkStart w:id="116" w:name="p030"/>
      <w:bookmarkEnd w:id="116"/>
      <w:r w:rsidR="000721C4">
        <w:t xml:space="preserve">} </w:t>
      </w:r>
      <w:r>
        <w:t>S’agirait-il</w:t>
      </w:r>
      <w:r w:rsidRPr="002C4077">
        <w:t xml:space="preserve"> </w:t>
      </w:r>
      <w:r>
        <w:t>d’un</w:t>
      </w:r>
      <w:r w:rsidRPr="002C4077">
        <w:t xml:space="preserve"> </w:t>
      </w:r>
      <w:r>
        <w:t>autre</w:t>
      </w:r>
      <w:r w:rsidRPr="002C4077">
        <w:t xml:space="preserve"> </w:t>
      </w:r>
      <w:r>
        <w:t>enfant</w:t>
      </w:r>
      <w:r w:rsidRPr="002C4077">
        <w:t xml:space="preserve"> </w:t>
      </w:r>
      <w:r>
        <w:t>d’Achaz,</w:t>
      </w:r>
      <w:r w:rsidRPr="002C4077">
        <w:t xml:space="preserve"> </w:t>
      </w:r>
      <w:r>
        <w:t>ou</w:t>
      </w:r>
      <w:r w:rsidRPr="002C4077">
        <w:t xml:space="preserve"> </w:t>
      </w:r>
      <w:r>
        <w:t>du</w:t>
      </w:r>
      <w:r w:rsidRPr="002C4077">
        <w:t xml:space="preserve"> </w:t>
      </w:r>
      <w:r>
        <w:t>fils</w:t>
      </w:r>
      <w:r w:rsidRPr="002C4077">
        <w:t xml:space="preserve"> </w:t>
      </w:r>
      <w:r>
        <w:t>d’Isaïe</w:t>
      </w:r>
      <w:r w:rsidRPr="002C4077">
        <w:t xml:space="preserve"> </w:t>
      </w:r>
      <w:r>
        <w:t>mentionné</w:t>
      </w:r>
      <w:r w:rsidRPr="002C4077">
        <w:t xml:space="preserve"> </w:t>
      </w:r>
      <w:r>
        <w:t>dans</w:t>
      </w:r>
      <w:r w:rsidRPr="002C4077">
        <w:t xml:space="preserve"> </w:t>
      </w:r>
      <w:r>
        <w:t>les</w:t>
      </w:r>
      <w:r w:rsidRPr="002C4077">
        <w:t xml:space="preserve"> </w:t>
      </w:r>
      <w:r>
        <w:t>premiers</w:t>
      </w:r>
      <w:r w:rsidRPr="002C4077">
        <w:t xml:space="preserve"> </w:t>
      </w:r>
      <w:r>
        <w:t>versets</w:t>
      </w:r>
      <w:r w:rsidRPr="002C4077">
        <w:t xml:space="preserve"> </w:t>
      </w:r>
      <w:r>
        <w:t>du</w:t>
      </w:r>
      <w:r w:rsidRPr="002C4077">
        <w:t xml:space="preserve"> </w:t>
      </w:r>
      <w:r w:rsidR="00C577F1">
        <w:t>chapitre</w:t>
      </w:r>
      <w:r w:rsidR="00C577F1" w:rsidRPr="002C4077">
        <w:t xml:space="preserve"> </w:t>
      </w:r>
      <w:r w:rsidR="00C577F1">
        <w:t>VII</w:t>
      </w:r>
      <w:r w:rsidRPr="002C4077">
        <w:t xml:space="preserve"> </w:t>
      </w:r>
      <w:r>
        <w:t>sous</w:t>
      </w:r>
      <w:r w:rsidRPr="002C4077">
        <w:t xml:space="preserve"> </w:t>
      </w:r>
      <w:r>
        <w:t>le</w:t>
      </w:r>
      <w:r w:rsidRPr="002C4077">
        <w:t xml:space="preserve"> </w:t>
      </w:r>
      <w:r>
        <w:t>nom</w:t>
      </w:r>
      <w:r w:rsidRPr="002C4077">
        <w:t xml:space="preserve"> </w:t>
      </w:r>
      <w:r>
        <w:t>de</w:t>
      </w:r>
      <w:r w:rsidRPr="002C4077">
        <w:t xml:space="preserve"> </w:t>
      </w:r>
      <w:r w:rsidRPr="000A34B5">
        <w:rPr>
          <w:rStyle w:val="italicus"/>
        </w:rPr>
        <w:t>Maher-Schalal</w:t>
      </w:r>
      <w:r w:rsidR="00B546AF">
        <w:rPr>
          <w:rStyle w:val="italicus"/>
        </w:rPr>
        <w:t> </w:t>
      </w:r>
      <w:r w:rsidR="00B546AF" w:rsidRPr="000A34B5">
        <w:rPr>
          <w:rStyle w:val="italicus"/>
        </w:rPr>
        <w:t>?</w:t>
      </w:r>
      <w:r w:rsidRPr="002C4077">
        <w:t xml:space="preserve"> </w:t>
      </w:r>
      <w:r>
        <w:t>Mais</w:t>
      </w:r>
      <w:r w:rsidRPr="002C4077">
        <w:t xml:space="preserve"> </w:t>
      </w:r>
      <w:r>
        <w:t>cela</w:t>
      </w:r>
      <w:r w:rsidRPr="002C4077">
        <w:t xml:space="preserve"> </w:t>
      </w:r>
      <w:r>
        <w:t>encore</w:t>
      </w:r>
      <w:r w:rsidRPr="002C4077">
        <w:t xml:space="preserve"> </w:t>
      </w:r>
      <w:r>
        <w:t>serait</w:t>
      </w:r>
      <w:r w:rsidRPr="002C4077">
        <w:t xml:space="preserve"> </w:t>
      </w:r>
      <w:r>
        <w:t>ridicule,</w:t>
      </w:r>
      <w:r w:rsidRPr="002C4077">
        <w:t xml:space="preserve"> </w:t>
      </w:r>
      <w:r>
        <w:t>car</w:t>
      </w:r>
      <w:r w:rsidRPr="002C4077">
        <w:t xml:space="preserve"> </w:t>
      </w:r>
      <w:r>
        <w:t>les</w:t>
      </w:r>
      <w:r w:rsidRPr="002C4077">
        <w:t xml:space="preserve"> </w:t>
      </w:r>
      <w:r>
        <w:t>titres</w:t>
      </w:r>
      <w:r w:rsidRPr="002C4077">
        <w:t xml:space="preserve"> </w:t>
      </w:r>
      <w:r>
        <w:t>donnés</w:t>
      </w:r>
      <w:r w:rsidRPr="002C4077">
        <w:t xml:space="preserve"> </w:t>
      </w:r>
      <w:r>
        <w:t>par</w:t>
      </w:r>
      <w:r w:rsidRPr="002C4077">
        <w:t xml:space="preserve"> </w:t>
      </w:r>
      <w:r>
        <w:t>le</w:t>
      </w:r>
      <w:r w:rsidRPr="002C4077">
        <w:t xml:space="preserve"> </w:t>
      </w:r>
      <w:r>
        <w:t>prophète</w:t>
      </w:r>
      <w:r w:rsidRPr="002C4077">
        <w:t xml:space="preserve"> </w:t>
      </w:r>
      <w:r>
        <w:t>au</w:t>
      </w:r>
      <w:r w:rsidRPr="002C4077">
        <w:t xml:space="preserve"> </w:t>
      </w:r>
      <w:r>
        <w:t>Sauveur</w:t>
      </w:r>
      <w:r w:rsidRPr="002C4077">
        <w:t xml:space="preserve"> </w:t>
      </w:r>
      <w:r>
        <w:t>qu’il</w:t>
      </w:r>
      <w:r w:rsidRPr="002C4077">
        <w:t xml:space="preserve"> </w:t>
      </w:r>
      <w:r>
        <w:t>promet</w:t>
      </w:r>
      <w:r w:rsidRPr="002C4077">
        <w:t xml:space="preserve"> </w:t>
      </w:r>
      <w:r>
        <w:t>au</w:t>
      </w:r>
      <w:r w:rsidRPr="002C4077">
        <w:t xml:space="preserve"> </w:t>
      </w:r>
      <w:r>
        <w:t>nom</w:t>
      </w:r>
      <w:r w:rsidRPr="002C4077">
        <w:t xml:space="preserve"> </w:t>
      </w:r>
      <w:r>
        <w:t>de</w:t>
      </w:r>
      <w:r w:rsidRPr="002C4077">
        <w:t xml:space="preserve"> </w:t>
      </w:r>
      <w:r>
        <w:t>Dieu</w:t>
      </w:r>
      <w:r w:rsidRPr="002C4077">
        <w:t xml:space="preserve"> </w:t>
      </w:r>
      <w:r>
        <w:t>sont</w:t>
      </w:r>
      <w:r w:rsidRPr="002C4077">
        <w:t xml:space="preserve"> </w:t>
      </w:r>
      <w:r>
        <w:t>tels,</w:t>
      </w:r>
      <w:r w:rsidRPr="002C4077">
        <w:t xml:space="preserve"> </w:t>
      </w:r>
      <w:r>
        <w:t>qu’ils</w:t>
      </w:r>
      <w:r w:rsidRPr="002C4077">
        <w:t xml:space="preserve"> </w:t>
      </w:r>
      <w:r>
        <w:t>ne</w:t>
      </w:r>
      <w:r w:rsidRPr="002C4077">
        <w:t xml:space="preserve"> </w:t>
      </w:r>
      <w:r>
        <w:t>peuvent,</w:t>
      </w:r>
      <w:r w:rsidRPr="002C4077">
        <w:t xml:space="preserve"> </w:t>
      </w:r>
      <w:r>
        <w:t>en</w:t>
      </w:r>
      <w:r w:rsidRPr="002C4077">
        <w:t xml:space="preserve"> </w:t>
      </w:r>
      <w:r>
        <w:t>aucune</w:t>
      </w:r>
      <w:r w:rsidRPr="002C4077">
        <w:t xml:space="preserve"> </w:t>
      </w:r>
      <w:r>
        <w:t>façon,</w:t>
      </w:r>
      <w:r w:rsidRPr="002C4077">
        <w:t xml:space="preserve"> </w:t>
      </w:r>
      <w:r>
        <w:t>convenir</w:t>
      </w:r>
      <w:r w:rsidRPr="002C4077">
        <w:t xml:space="preserve"> </w:t>
      </w:r>
      <w:r>
        <w:t>à</w:t>
      </w:r>
      <w:r w:rsidRPr="002C4077">
        <w:t xml:space="preserve"> </w:t>
      </w:r>
      <w:r>
        <w:t>un</w:t>
      </w:r>
      <w:r w:rsidRPr="002C4077">
        <w:t xml:space="preserve"> </w:t>
      </w:r>
      <w:r>
        <w:t>enfant</w:t>
      </w:r>
      <w:r w:rsidRPr="002C4077">
        <w:t xml:space="preserve"> </w:t>
      </w:r>
      <w:r>
        <w:t>ordinaire</w:t>
      </w:r>
      <w:r w:rsidR="00B546AF">
        <w:t> ;</w:t>
      </w:r>
      <w:r w:rsidRPr="002C4077">
        <w:t xml:space="preserve"> </w:t>
      </w:r>
      <w:r>
        <w:t>nous</w:t>
      </w:r>
      <w:r w:rsidRPr="002C4077">
        <w:t xml:space="preserve"> </w:t>
      </w:r>
      <w:r>
        <w:t>sommes</w:t>
      </w:r>
      <w:r w:rsidRPr="002C4077">
        <w:t xml:space="preserve"> </w:t>
      </w:r>
      <w:r>
        <w:t>forcés</w:t>
      </w:r>
      <w:r w:rsidRPr="002C4077">
        <w:t xml:space="preserve"> </w:t>
      </w:r>
      <w:r>
        <w:t>de</w:t>
      </w:r>
      <w:r w:rsidRPr="002C4077">
        <w:t xml:space="preserve"> </w:t>
      </w:r>
      <w:r>
        <w:t>les</w:t>
      </w:r>
      <w:r w:rsidRPr="002C4077">
        <w:t xml:space="preserve"> </w:t>
      </w:r>
      <w:r>
        <w:t>appliquer</w:t>
      </w:r>
      <w:r w:rsidRPr="002C4077">
        <w:t xml:space="preserve"> </w:t>
      </w:r>
      <w:r>
        <w:t>au</w:t>
      </w:r>
      <w:r w:rsidRPr="002C4077">
        <w:t xml:space="preserve"> </w:t>
      </w:r>
      <w:r>
        <w:t>Messie.</w:t>
      </w:r>
      <w:r w:rsidRPr="002C4077">
        <w:t xml:space="preserve"> </w:t>
      </w:r>
      <w:r>
        <w:t>Et</w:t>
      </w:r>
      <w:r w:rsidRPr="002C4077">
        <w:t xml:space="preserve"> </w:t>
      </w:r>
      <w:r>
        <w:t>quand,</w:t>
      </w:r>
      <w:r w:rsidRPr="002C4077">
        <w:t xml:space="preserve"> </w:t>
      </w:r>
      <w:r>
        <w:t>pour</w:t>
      </w:r>
      <w:r w:rsidRPr="002C4077">
        <w:t xml:space="preserve"> </w:t>
      </w:r>
      <w:r>
        <w:t>se</w:t>
      </w:r>
      <w:r w:rsidRPr="002C4077">
        <w:t xml:space="preserve"> </w:t>
      </w:r>
      <w:r>
        <w:t>tirer</w:t>
      </w:r>
      <w:r w:rsidRPr="002C4077">
        <w:t xml:space="preserve"> </w:t>
      </w:r>
      <w:r>
        <w:t>de</w:t>
      </w:r>
      <w:r w:rsidRPr="002C4077">
        <w:t xml:space="preserve"> </w:t>
      </w:r>
      <w:r>
        <w:t>cette</w:t>
      </w:r>
      <w:r w:rsidRPr="002C4077">
        <w:t xml:space="preserve"> </w:t>
      </w:r>
      <w:r>
        <w:t>impasse,</w:t>
      </w:r>
      <w:r w:rsidRPr="002C4077">
        <w:t xml:space="preserve"> </w:t>
      </w:r>
      <w:r>
        <w:t>nos</w:t>
      </w:r>
      <w:r w:rsidRPr="002C4077">
        <w:t xml:space="preserve"> </w:t>
      </w:r>
      <w:r>
        <w:t>adversaires</w:t>
      </w:r>
      <w:r w:rsidRPr="002C4077">
        <w:t xml:space="preserve"> </w:t>
      </w:r>
      <w:r>
        <w:t>allèguent</w:t>
      </w:r>
      <w:r w:rsidRPr="002C4077">
        <w:t xml:space="preserve"> </w:t>
      </w:r>
      <w:r>
        <w:t>l’exagération</w:t>
      </w:r>
      <w:r w:rsidRPr="002C4077">
        <w:t xml:space="preserve"> </w:t>
      </w:r>
      <w:r>
        <w:t>orientale,</w:t>
      </w:r>
      <w:r w:rsidRPr="002C4077">
        <w:t xml:space="preserve"> </w:t>
      </w:r>
      <w:r>
        <w:t>qui</w:t>
      </w:r>
      <w:r w:rsidRPr="002C4077">
        <w:t xml:space="preserve"> </w:t>
      </w:r>
      <w:r>
        <w:t>n’est</w:t>
      </w:r>
      <w:r w:rsidRPr="002C4077">
        <w:t xml:space="preserve"> </w:t>
      </w:r>
      <w:r>
        <w:t>satisfaite</w:t>
      </w:r>
      <w:r w:rsidRPr="002C4077">
        <w:t xml:space="preserve"> </w:t>
      </w:r>
      <w:r>
        <w:lastRenderedPageBreak/>
        <w:t>que</w:t>
      </w:r>
      <w:r w:rsidRPr="002C4077">
        <w:t xml:space="preserve"> </w:t>
      </w:r>
      <w:r>
        <w:t>lorsqu’elle</w:t>
      </w:r>
      <w:r w:rsidRPr="002C4077">
        <w:t xml:space="preserve"> </w:t>
      </w:r>
      <w:r>
        <w:t>a</w:t>
      </w:r>
      <w:r w:rsidRPr="002C4077">
        <w:t xml:space="preserve"> </w:t>
      </w:r>
      <w:r>
        <w:t>multiplié,</w:t>
      </w:r>
      <w:r w:rsidRPr="002C4077">
        <w:t xml:space="preserve"> </w:t>
      </w:r>
      <w:r>
        <w:t>accumulé</w:t>
      </w:r>
      <w:r w:rsidRPr="002C4077">
        <w:t xml:space="preserve"> </w:t>
      </w:r>
      <w:r>
        <w:t>les</w:t>
      </w:r>
      <w:r w:rsidRPr="002C4077">
        <w:t xml:space="preserve"> </w:t>
      </w:r>
      <w:r>
        <w:t>hyperboles,</w:t>
      </w:r>
      <w:r w:rsidRPr="002C4077">
        <w:t xml:space="preserve"> </w:t>
      </w:r>
      <w:r>
        <w:t>ils</w:t>
      </w:r>
      <w:r w:rsidRPr="002C4077">
        <w:t xml:space="preserve"> </w:t>
      </w:r>
      <w:r>
        <w:t>se</w:t>
      </w:r>
      <w:r w:rsidRPr="002C4077">
        <w:t xml:space="preserve"> </w:t>
      </w:r>
      <w:r>
        <w:t>conduisent</w:t>
      </w:r>
      <w:r w:rsidRPr="002C4077">
        <w:t xml:space="preserve"> </w:t>
      </w:r>
      <w:r w:rsidRPr="000A34B5">
        <w:rPr>
          <w:rStyle w:val="italicus"/>
        </w:rPr>
        <w:t>inepte</w:t>
      </w:r>
      <w:bookmarkStart w:id="117" w:name="z_RationalistesFaiblesse_o4"/>
      <w:bookmarkEnd w:id="117"/>
      <w:r w:rsidRPr="000A34B5">
        <w:rPr>
          <w:rStyle w:val="italicus"/>
        </w:rPr>
        <w:t>,</w:t>
      </w:r>
      <w:r w:rsidRPr="002C4077">
        <w:t xml:space="preserve"> </w:t>
      </w:r>
      <w:r>
        <w:t>comme</w:t>
      </w:r>
      <w:r w:rsidRPr="002C4077">
        <w:t xml:space="preserve"> </w:t>
      </w:r>
      <w:r>
        <w:t>le</w:t>
      </w:r>
      <w:r w:rsidRPr="002C4077">
        <w:t xml:space="preserve"> </w:t>
      </w:r>
      <w:r>
        <w:t>leur</w:t>
      </w:r>
      <w:r w:rsidRPr="002C4077">
        <w:t xml:space="preserve"> </w:t>
      </w:r>
      <w:r>
        <w:t>dit</w:t>
      </w:r>
      <w:r w:rsidRPr="002C4077">
        <w:t xml:space="preserve"> </w:t>
      </w:r>
      <w:r>
        <w:t>rondement</w:t>
      </w:r>
      <w:r w:rsidRPr="002C4077">
        <w:t xml:space="preserve"> </w:t>
      </w:r>
      <w:r>
        <w:t>M.</w:t>
      </w:r>
      <w:r w:rsidRPr="002C4077">
        <w:t xml:space="preserve"> </w:t>
      </w:r>
      <w:r>
        <w:t>Br</w:t>
      </w:r>
      <w:r w:rsidR="001730C6">
        <w:t>ed</w:t>
      </w:r>
      <w:r>
        <w:t>enkamp</w:t>
      </w:r>
      <w:r w:rsidR="001A54EA">
        <w:rPr>
          <w:rStyle w:val="Appelnotedebasdep"/>
        </w:rPr>
        <w:footnoteReference w:id="81"/>
      </w:r>
      <w:r>
        <w:t>.</w:t>
      </w:r>
      <w:r w:rsidRPr="002C4077">
        <w:t xml:space="preserve"> </w:t>
      </w:r>
    </w:p>
    <w:p w:rsidR="000A7AAB" w:rsidRDefault="000A7AAB" w:rsidP="000A7AAB">
      <w:r>
        <w:t>Que</w:t>
      </w:r>
      <w:r w:rsidRPr="002C4077">
        <w:t xml:space="preserve"> </w:t>
      </w:r>
      <w:r>
        <w:t>penser,</w:t>
      </w:r>
      <w:r w:rsidRPr="002C4077">
        <w:t xml:space="preserve"> </w:t>
      </w:r>
      <w:r>
        <w:t>après</w:t>
      </w:r>
      <w:r w:rsidRPr="002C4077">
        <w:t xml:space="preserve"> </w:t>
      </w:r>
      <w:r>
        <w:t>cela,</w:t>
      </w:r>
      <w:r w:rsidRPr="002C4077">
        <w:t xml:space="preserve"> </w:t>
      </w:r>
      <w:r>
        <w:t>de</w:t>
      </w:r>
      <w:r w:rsidRPr="002C4077">
        <w:t xml:space="preserve"> </w:t>
      </w:r>
      <w:r w:rsidR="0055004A">
        <w:t>l’opinion</w:t>
      </w:r>
      <w:r w:rsidR="0055004A" w:rsidRPr="002C4077">
        <w:t xml:space="preserve"> </w:t>
      </w:r>
      <w:r w:rsidR="0055004A">
        <w:t>de</w:t>
      </w:r>
      <w:r w:rsidR="0055004A" w:rsidRPr="002C4077">
        <w:t xml:space="preserve"> </w:t>
      </w:r>
      <w:r w:rsidR="0055004A">
        <w:t>M.</w:t>
      </w:r>
      <w:r w:rsidR="0055004A" w:rsidRPr="002C4077">
        <w:t xml:space="preserve"> </w:t>
      </w:r>
      <w:r w:rsidR="0055004A">
        <w:t>Hermann</w:t>
      </w:r>
      <w:r w:rsidR="0055004A" w:rsidRPr="002C4077">
        <w:t xml:space="preserve"> </w:t>
      </w:r>
      <w:r w:rsidR="0055004A">
        <w:t>Schultz</w:t>
      </w:r>
      <w:r w:rsidR="0055004A">
        <w:rPr>
          <w:rStyle w:val="Appelnotedebasdep"/>
        </w:rPr>
        <w:footnoteReference w:id="82"/>
      </w:r>
      <w:r w:rsidR="00B546AF">
        <w:t> :</w:t>
      </w:r>
      <w:r w:rsidRPr="002C4077">
        <w:t xml:space="preserve"> </w:t>
      </w:r>
      <w:r w:rsidR="00B546AF">
        <w:t>« </w:t>
      </w:r>
      <w:r>
        <w:t>Emmanuel</w:t>
      </w:r>
      <w:r w:rsidRPr="002C4077">
        <w:t xml:space="preserve"> </w:t>
      </w:r>
      <w:r>
        <w:t>doit</w:t>
      </w:r>
      <w:r w:rsidRPr="002C4077">
        <w:t xml:space="preserve"> </w:t>
      </w:r>
      <w:r>
        <w:t>être</w:t>
      </w:r>
      <w:r w:rsidRPr="002C4077">
        <w:t xml:space="preserve"> </w:t>
      </w:r>
      <w:r>
        <w:t>un</w:t>
      </w:r>
      <w:r w:rsidRPr="002C4077">
        <w:t xml:space="preserve"> </w:t>
      </w:r>
      <w:r>
        <w:t>enfant</w:t>
      </w:r>
      <w:r w:rsidRPr="002C4077">
        <w:t xml:space="preserve"> </w:t>
      </w:r>
      <w:r>
        <w:t>du</w:t>
      </w:r>
      <w:r w:rsidRPr="002C4077">
        <w:t xml:space="preserve"> </w:t>
      </w:r>
      <w:r>
        <w:t>peuple</w:t>
      </w:r>
      <w:r w:rsidR="00B546AF">
        <w:t> »</w:t>
      </w:r>
      <w:r>
        <w:t>,</w:t>
      </w:r>
      <w:r w:rsidRPr="002C4077">
        <w:t xml:space="preserve"> </w:t>
      </w:r>
      <w:r>
        <w:t>le</w:t>
      </w:r>
      <w:r w:rsidRPr="002C4077">
        <w:t xml:space="preserve"> </w:t>
      </w:r>
      <w:r>
        <w:t>premier</w:t>
      </w:r>
      <w:r w:rsidRPr="002C4077">
        <w:t xml:space="preserve"> </w:t>
      </w:r>
      <w:r>
        <w:t>venu,</w:t>
      </w:r>
      <w:r w:rsidRPr="002C4077">
        <w:t xml:space="preserve"> </w:t>
      </w:r>
      <w:r>
        <w:t>par</w:t>
      </w:r>
      <w:r w:rsidRPr="002C4077">
        <w:t xml:space="preserve"> </w:t>
      </w:r>
      <w:r>
        <w:t>conséquent</w:t>
      </w:r>
      <w:r w:rsidR="00B546AF">
        <w:t> ?</w:t>
      </w:r>
      <w:r w:rsidRPr="002C4077">
        <w:t xml:space="preserve"> </w:t>
      </w:r>
      <w:r>
        <w:t>C’est</w:t>
      </w:r>
      <w:r w:rsidRPr="002C4077">
        <w:t xml:space="preserve"> </w:t>
      </w:r>
      <w:r>
        <w:t>vraiment</w:t>
      </w:r>
      <w:r w:rsidRPr="002C4077">
        <w:t xml:space="preserve"> </w:t>
      </w:r>
      <w:r>
        <w:t>le</w:t>
      </w:r>
      <w:r w:rsidRPr="002C4077">
        <w:t xml:space="preserve"> </w:t>
      </w:r>
      <w:r>
        <w:t>comble</w:t>
      </w:r>
      <w:r w:rsidRPr="002C4077">
        <w:t xml:space="preserve"> </w:t>
      </w:r>
      <w:r>
        <w:t>du</w:t>
      </w:r>
      <w:r w:rsidRPr="002C4077">
        <w:t xml:space="preserve"> </w:t>
      </w:r>
      <w:r>
        <w:t>grotesque,</w:t>
      </w:r>
      <w:r w:rsidRPr="002C4077">
        <w:t xml:space="preserve"> </w:t>
      </w:r>
      <w:r>
        <w:t>ou,</w:t>
      </w:r>
      <w:r w:rsidRPr="002C4077">
        <w:t xml:space="preserve"> </w:t>
      </w:r>
      <w:r>
        <w:t>si</w:t>
      </w:r>
      <w:r w:rsidRPr="002C4077">
        <w:t xml:space="preserve"> </w:t>
      </w:r>
      <w:r>
        <w:t>l’on</w:t>
      </w:r>
      <w:r w:rsidRPr="002C4077">
        <w:t xml:space="preserve"> </w:t>
      </w:r>
      <w:r>
        <w:t>préfère,</w:t>
      </w:r>
      <w:r w:rsidRPr="002C4077">
        <w:t xml:space="preserve"> </w:t>
      </w:r>
      <w:r>
        <w:t>de</w:t>
      </w:r>
      <w:r w:rsidRPr="002C4077">
        <w:t xml:space="preserve"> </w:t>
      </w:r>
      <w:r>
        <w:t>l’audace.</w:t>
      </w:r>
      <w:r w:rsidRPr="002C4077">
        <w:t xml:space="preserve"> </w:t>
      </w:r>
    </w:p>
    <w:p w:rsidR="000A7AAB" w:rsidRDefault="000A7AAB" w:rsidP="000A7AAB">
      <w:r>
        <w:t>Non,</w:t>
      </w:r>
      <w:r w:rsidRPr="002C4077">
        <w:t xml:space="preserve"> </w:t>
      </w:r>
      <w:r>
        <w:t>il</w:t>
      </w:r>
      <w:r w:rsidRPr="002C4077">
        <w:t xml:space="preserve"> </w:t>
      </w:r>
      <w:r>
        <w:t>n’y</w:t>
      </w:r>
      <w:r w:rsidRPr="002C4077">
        <w:t xml:space="preserve"> </w:t>
      </w:r>
      <w:r>
        <w:t>a</w:t>
      </w:r>
      <w:r w:rsidRPr="002C4077">
        <w:t xml:space="preserve"> </w:t>
      </w:r>
      <w:r>
        <w:t>pas</w:t>
      </w:r>
      <w:r w:rsidRPr="002C4077">
        <w:t xml:space="preserve"> </w:t>
      </w:r>
      <w:r>
        <w:t>à</w:t>
      </w:r>
      <w:r w:rsidRPr="002C4077">
        <w:t xml:space="preserve"> </w:t>
      </w:r>
      <w:r>
        <w:t>hésiter,</w:t>
      </w:r>
      <w:r w:rsidRPr="002C4077">
        <w:t xml:space="preserve"> </w:t>
      </w:r>
      <w:r>
        <w:t>c’est</w:t>
      </w:r>
      <w:r w:rsidRPr="002C4077">
        <w:t xml:space="preserve"> </w:t>
      </w:r>
      <w:r>
        <w:t>un</w:t>
      </w:r>
      <w:r w:rsidRPr="002C4077">
        <w:t xml:space="preserve"> </w:t>
      </w:r>
      <w:r>
        <w:t>autre</w:t>
      </w:r>
      <w:r w:rsidRPr="002C4077">
        <w:t xml:space="preserve"> </w:t>
      </w:r>
      <w:r>
        <w:t>M.</w:t>
      </w:r>
      <w:r w:rsidRPr="002C4077">
        <w:t xml:space="preserve"> </w:t>
      </w:r>
      <w:r>
        <w:t>Schultz</w:t>
      </w:r>
      <w:r w:rsidRPr="002C4077">
        <w:t xml:space="preserve"> </w:t>
      </w:r>
      <w:r>
        <w:t>qui</w:t>
      </w:r>
      <w:r w:rsidRPr="002C4077">
        <w:t xml:space="preserve"> </w:t>
      </w:r>
      <w:r>
        <w:t>l’affirme,</w:t>
      </w:r>
      <w:r w:rsidRPr="002C4077">
        <w:t xml:space="preserve"> </w:t>
      </w:r>
      <w:r>
        <w:t>l’interprétation</w:t>
      </w:r>
      <w:r w:rsidRPr="002C4077">
        <w:t xml:space="preserve"> </w:t>
      </w:r>
      <w:r w:rsidRPr="000A34B5">
        <w:rPr>
          <w:rStyle w:val="italicus"/>
        </w:rPr>
        <w:t>doit</w:t>
      </w:r>
      <w:r w:rsidRPr="002C4077">
        <w:t xml:space="preserve"> </w:t>
      </w:r>
      <w:r>
        <w:t>être</w:t>
      </w:r>
      <w:r w:rsidRPr="002C4077">
        <w:t xml:space="preserve"> </w:t>
      </w:r>
      <w:r>
        <w:t>messianique</w:t>
      </w:r>
      <w:r w:rsidR="006B5CEF">
        <w:rPr>
          <w:rStyle w:val="Appelnotedebasdep"/>
        </w:rPr>
        <w:footnoteReference w:id="83"/>
      </w:r>
      <w:r w:rsidR="006B5CEF">
        <w:t>,</w:t>
      </w:r>
      <w:r w:rsidRPr="002C4077">
        <w:t xml:space="preserve"> </w:t>
      </w:r>
      <w:r>
        <w:t>ou</w:t>
      </w:r>
      <w:r w:rsidRPr="002C4077">
        <w:t xml:space="preserve"> </w:t>
      </w:r>
      <w:r>
        <w:t>elle</w:t>
      </w:r>
      <w:r w:rsidRPr="002C4077">
        <w:t xml:space="preserve"> </w:t>
      </w:r>
      <w:r>
        <w:t>devient</w:t>
      </w:r>
      <w:r w:rsidRPr="002C4077">
        <w:t xml:space="preserve"> </w:t>
      </w:r>
      <w:r>
        <w:t>un</w:t>
      </w:r>
      <w:r w:rsidRPr="002C4077">
        <w:t xml:space="preserve"> </w:t>
      </w:r>
      <w:r>
        <w:t>non-sens</w:t>
      </w:r>
      <w:r w:rsidRPr="002C4077">
        <w:t xml:space="preserve"> </w:t>
      </w:r>
      <w:r>
        <w:t>manifeste.</w:t>
      </w:r>
      <w:r w:rsidRPr="002C4077">
        <w:t xml:space="preserve"> </w:t>
      </w:r>
    </w:p>
    <w:p w:rsidR="000A7AAB" w:rsidRPr="000721C4" w:rsidRDefault="000A7AAB" w:rsidP="000A7AAB">
      <w:r>
        <w:t>Toutefois,</w:t>
      </w:r>
      <w:r w:rsidRPr="002C4077">
        <w:t xml:space="preserve"> </w:t>
      </w:r>
      <w:r>
        <w:t>ne</w:t>
      </w:r>
      <w:r w:rsidRPr="002C4077">
        <w:t xml:space="preserve"> </w:t>
      </w:r>
      <w:r>
        <w:t>pourrait-on</w:t>
      </w:r>
      <w:r w:rsidRPr="002C4077">
        <w:t xml:space="preserve"> </w:t>
      </w:r>
      <w:r>
        <w:t>pas,</w:t>
      </w:r>
      <w:r w:rsidRPr="002C4077">
        <w:t xml:space="preserve"> </w:t>
      </w:r>
      <w:r>
        <w:t>avec</w:t>
      </w:r>
      <w:r w:rsidRPr="002C4077">
        <w:t xml:space="preserve"> </w:t>
      </w:r>
      <w:r>
        <w:t>M.</w:t>
      </w:r>
      <w:r w:rsidRPr="002C4077">
        <w:t xml:space="preserve"> </w:t>
      </w:r>
      <w:r>
        <w:t>Reuss</w:t>
      </w:r>
      <w:bookmarkStart w:id="118" w:name="z_Reuss_o5"/>
      <w:bookmarkEnd w:id="118"/>
      <w:r w:rsidRPr="002C4077">
        <w:t xml:space="preserve"> </w:t>
      </w:r>
      <w:r>
        <w:t>et</w:t>
      </w:r>
      <w:r w:rsidRPr="002C4077">
        <w:t xml:space="preserve"> </w:t>
      </w:r>
      <w:r>
        <w:t>d’autres,</w:t>
      </w:r>
      <w:r w:rsidRPr="002C4077">
        <w:t xml:space="preserve"> </w:t>
      </w:r>
      <w:r>
        <w:t>établir</w:t>
      </w:r>
      <w:r w:rsidRPr="002C4077">
        <w:t xml:space="preserve"> </w:t>
      </w:r>
      <w:r>
        <w:t>une</w:t>
      </w:r>
      <w:r w:rsidRPr="002C4077">
        <w:t xml:space="preserve"> </w:t>
      </w:r>
      <w:r>
        <w:t>distinction</w:t>
      </w:r>
      <w:r w:rsidRPr="002C4077">
        <w:t xml:space="preserve"> </w:t>
      </w:r>
      <w:r>
        <w:t>entre</w:t>
      </w:r>
      <w:r w:rsidRPr="002C4077">
        <w:t xml:space="preserve"> </w:t>
      </w:r>
      <w:r>
        <w:t>l’Emmanuel</w:t>
      </w:r>
      <w:r w:rsidRPr="002C4077">
        <w:t xml:space="preserve"> </w:t>
      </w:r>
      <w:r>
        <w:t>des</w:t>
      </w:r>
      <w:r w:rsidRPr="002C4077">
        <w:t xml:space="preserve"> </w:t>
      </w:r>
      <w:r>
        <w:t>chapitres</w:t>
      </w:r>
      <w:r w:rsidRPr="002C4077">
        <w:t xml:space="preserve"> </w:t>
      </w:r>
      <w:r w:rsidR="00094CCA">
        <w:t>VII</w:t>
      </w:r>
      <w:r w:rsidRPr="002C4077">
        <w:t xml:space="preserve"> </w:t>
      </w:r>
      <w:r>
        <w:t>et</w:t>
      </w:r>
      <w:r w:rsidRPr="002C4077">
        <w:t xml:space="preserve"> </w:t>
      </w:r>
      <w:r>
        <w:t>VIII,</w:t>
      </w:r>
      <w:r w:rsidRPr="002C4077">
        <w:t xml:space="preserve"> </w:t>
      </w:r>
      <w:r>
        <w:t>et</w:t>
      </w:r>
      <w:r w:rsidRPr="002C4077">
        <w:t xml:space="preserve"> </w:t>
      </w:r>
      <w:r>
        <w:t>le</w:t>
      </w:r>
      <w:r w:rsidRPr="002C4077">
        <w:t xml:space="preserve"> </w:t>
      </w:r>
      <w:r>
        <w:t>prince</w:t>
      </w:r>
      <w:r w:rsidRPr="002C4077">
        <w:t xml:space="preserve"> </w:t>
      </w:r>
      <w:r>
        <w:t>libérateur</w:t>
      </w:r>
      <w:r w:rsidRPr="002C4077">
        <w:t xml:space="preserve"> </w:t>
      </w:r>
      <w:r>
        <w:t>dont</w:t>
      </w:r>
      <w:r w:rsidRPr="002C4077">
        <w:t xml:space="preserve"> </w:t>
      </w:r>
      <w:r>
        <w:t>Isaïe</w:t>
      </w:r>
      <w:r w:rsidRPr="002C4077">
        <w:t xml:space="preserve"> </w:t>
      </w:r>
      <w:r>
        <w:t>décrit</w:t>
      </w:r>
      <w:r w:rsidRPr="002C4077">
        <w:t xml:space="preserve"> </w:t>
      </w:r>
      <w:r>
        <w:t>si</w:t>
      </w:r>
      <w:r w:rsidRPr="002C4077">
        <w:t xml:space="preserve"> </w:t>
      </w:r>
      <w:r>
        <w:t>magnifiquement</w:t>
      </w:r>
      <w:r w:rsidRPr="002C4077">
        <w:t xml:space="preserve"> </w:t>
      </w:r>
      <w:r>
        <w:t>le</w:t>
      </w:r>
      <w:r w:rsidRPr="002C4077">
        <w:t xml:space="preserve"> </w:t>
      </w:r>
      <w:r>
        <w:t>rôle</w:t>
      </w:r>
      <w:r w:rsidRPr="002C4077">
        <w:t xml:space="preserve"> </w:t>
      </w:r>
      <w:r>
        <w:t>dans</w:t>
      </w:r>
      <w:r w:rsidRPr="002C4077">
        <w:t xml:space="preserve"> </w:t>
      </w:r>
      <w:r>
        <w:t>les</w:t>
      </w:r>
      <w:r w:rsidRPr="002C4077">
        <w:t xml:space="preserve"> </w:t>
      </w:r>
      <w:r>
        <w:t>chapitres</w:t>
      </w:r>
      <w:r w:rsidRPr="002C4077">
        <w:t xml:space="preserve"> </w:t>
      </w:r>
      <w:r>
        <w:t>IX,</w:t>
      </w:r>
      <w:r w:rsidRPr="002C4077">
        <w:t xml:space="preserve"> </w:t>
      </w:r>
      <w:r>
        <w:t>XI</w:t>
      </w:r>
      <w:r w:rsidRPr="002C4077">
        <w:t xml:space="preserve"> </w:t>
      </w:r>
      <w:r>
        <w:t>et</w:t>
      </w:r>
      <w:r w:rsidRPr="002C4077">
        <w:t xml:space="preserve"> </w:t>
      </w:r>
      <w:r>
        <w:rPr>
          <w:smallCaps/>
        </w:rPr>
        <w:t>XII</w:t>
      </w:r>
      <w:r w:rsidR="00B546AF">
        <w:t> ?</w:t>
      </w:r>
      <w:r w:rsidRPr="002C4077">
        <w:t xml:space="preserve"> </w:t>
      </w:r>
      <w:r>
        <w:t>Ici</w:t>
      </w:r>
      <w:r w:rsidRPr="002C4077">
        <w:t xml:space="preserve"> </w:t>
      </w:r>
      <w:r>
        <w:t>le</w:t>
      </w:r>
      <w:r w:rsidRPr="002C4077">
        <w:t xml:space="preserve"> </w:t>
      </w:r>
      <w:r>
        <w:t>prophète</w:t>
      </w:r>
      <w:r w:rsidRPr="002C4077">
        <w:t xml:space="preserve"> </w:t>
      </w:r>
      <w:r>
        <w:t>a</w:t>
      </w:r>
      <w:r w:rsidRPr="002C4077">
        <w:t xml:space="preserve"> </w:t>
      </w:r>
      <w:r>
        <w:t>voulu</w:t>
      </w:r>
      <w:r w:rsidRPr="002C4077">
        <w:t xml:space="preserve"> </w:t>
      </w:r>
      <w:r>
        <w:t>parler</w:t>
      </w:r>
      <w:r w:rsidRPr="002C4077">
        <w:t xml:space="preserve"> </w:t>
      </w:r>
      <w:r>
        <w:t>du</w:t>
      </w:r>
      <w:r w:rsidRPr="002C4077">
        <w:t xml:space="preserve"> </w:t>
      </w:r>
      <w:r>
        <w:t>Messie</w:t>
      </w:r>
      <w:r w:rsidR="00B546AF">
        <w:t> ;</w:t>
      </w:r>
      <w:r w:rsidRPr="002C4077">
        <w:t xml:space="preserve"> </w:t>
      </w:r>
      <w:r>
        <w:t>mais</w:t>
      </w:r>
      <w:r w:rsidRPr="002C4077">
        <w:t xml:space="preserve"> </w:t>
      </w:r>
      <w:r>
        <w:t>il</w:t>
      </w:r>
      <w:r w:rsidRPr="002C4077">
        <w:t xml:space="preserve"> </w:t>
      </w:r>
      <w:r>
        <w:t>ne</w:t>
      </w:r>
      <w:r w:rsidRPr="002C4077">
        <w:t xml:space="preserve"> </w:t>
      </w:r>
      <w:r>
        <w:t>songeait</w:t>
      </w:r>
      <w:r w:rsidRPr="002C4077">
        <w:t xml:space="preserve"> </w:t>
      </w:r>
      <w:r>
        <w:t>nullement</w:t>
      </w:r>
      <w:r w:rsidRPr="002C4077">
        <w:t xml:space="preserve"> </w:t>
      </w:r>
      <w:r>
        <w:t>à</w:t>
      </w:r>
      <w:r w:rsidRPr="002C4077">
        <w:t xml:space="preserve"> </w:t>
      </w:r>
      <w:r>
        <w:t>lui</w:t>
      </w:r>
      <w:r w:rsidRPr="002C4077">
        <w:t xml:space="preserve"> </w:t>
      </w:r>
      <w:r>
        <w:t>dans</w:t>
      </w:r>
      <w:r w:rsidRPr="002C4077">
        <w:t xml:space="preserve"> </w:t>
      </w:r>
      <w:r>
        <w:t>les</w:t>
      </w:r>
      <w:r w:rsidRPr="002C4077">
        <w:t xml:space="preserve"> </w:t>
      </w:r>
      <w:r>
        <w:t>chapitres</w:t>
      </w:r>
      <w:r w:rsidRPr="002C4077">
        <w:t xml:space="preserve"> </w:t>
      </w:r>
      <w:r>
        <w:t>antérieurs.</w:t>
      </w:r>
      <w:r w:rsidR="00C45B47">
        <w:t xml:space="preserve"> {</w:t>
      </w:r>
      <w:r w:rsidR="000721C4">
        <w:t>31</w:t>
      </w:r>
      <w:bookmarkStart w:id="119" w:name="p031"/>
      <w:bookmarkEnd w:id="119"/>
      <w:r w:rsidR="000721C4">
        <w:t xml:space="preserve">} </w:t>
      </w:r>
    </w:p>
    <w:p w:rsidR="000A7AAB" w:rsidRDefault="000A7AAB" w:rsidP="000A7AAB">
      <w:r>
        <w:t>Nous</w:t>
      </w:r>
      <w:r w:rsidRPr="002C4077">
        <w:t xml:space="preserve"> </w:t>
      </w:r>
      <w:r>
        <w:t>répondons</w:t>
      </w:r>
      <w:r w:rsidRPr="002C4077">
        <w:t xml:space="preserve"> </w:t>
      </w:r>
      <w:r>
        <w:t>qu’une</w:t>
      </w:r>
      <w:r w:rsidRPr="002C4077">
        <w:t xml:space="preserve"> </w:t>
      </w:r>
      <w:r>
        <w:t>pareille</w:t>
      </w:r>
      <w:r w:rsidRPr="002C4077">
        <w:t xml:space="preserve"> </w:t>
      </w:r>
      <w:r>
        <w:t>distinction</w:t>
      </w:r>
      <w:r w:rsidRPr="002C4077">
        <w:t xml:space="preserve"> </w:t>
      </w:r>
      <w:r w:rsidR="00425C50">
        <w:t>est</w:t>
      </w:r>
      <w:r w:rsidRPr="002C4077">
        <w:t xml:space="preserve"> </w:t>
      </w:r>
      <w:r w:rsidRPr="00131C78">
        <w:t>arbitraire,</w:t>
      </w:r>
      <w:r w:rsidRPr="002C4077">
        <w:t xml:space="preserve"> </w:t>
      </w:r>
      <w:r>
        <w:t>inadmissible.</w:t>
      </w:r>
      <w:r w:rsidRPr="002C4077">
        <w:t xml:space="preserve"> </w:t>
      </w:r>
      <w:r>
        <w:t>Le</w:t>
      </w:r>
      <w:r w:rsidRPr="002C4077">
        <w:t xml:space="preserve"> </w:t>
      </w:r>
      <w:r>
        <w:t>motif</w:t>
      </w:r>
      <w:r w:rsidRPr="002C4077">
        <w:t xml:space="preserve"> </w:t>
      </w:r>
      <w:r>
        <w:t>précédemment</w:t>
      </w:r>
      <w:r w:rsidRPr="002C4077">
        <w:t xml:space="preserve"> </w:t>
      </w:r>
      <w:r>
        <w:t>allégué,</w:t>
      </w:r>
      <w:r w:rsidRPr="002C4077">
        <w:t xml:space="preserve"> </w:t>
      </w:r>
      <w:r>
        <w:t>c’est-à-dire</w:t>
      </w:r>
      <w:r w:rsidRPr="002C4077">
        <w:t xml:space="preserve"> </w:t>
      </w:r>
      <w:r>
        <w:t>l’unité</w:t>
      </w:r>
      <w:bookmarkStart w:id="120" w:name="z_Almah_o3"/>
      <w:bookmarkEnd w:id="120"/>
      <w:r w:rsidRPr="002C4077">
        <w:t xml:space="preserve"> </w:t>
      </w:r>
      <w:r>
        <w:t>parfaite</w:t>
      </w:r>
      <w:r w:rsidRPr="002C4077">
        <w:t xml:space="preserve"> </w:t>
      </w:r>
      <w:r>
        <w:t>de</w:t>
      </w:r>
      <w:r w:rsidRPr="002C4077">
        <w:t xml:space="preserve"> </w:t>
      </w:r>
      <w:r>
        <w:t>tout</w:t>
      </w:r>
      <w:r w:rsidRPr="002C4077">
        <w:t xml:space="preserve"> </w:t>
      </w:r>
      <w:r>
        <w:t>cet</w:t>
      </w:r>
      <w:r w:rsidRPr="002C4077">
        <w:t xml:space="preserve"> </w:t>
      </w:r>
      <w:r>
        <w:t>oracle</w:t>
      </w:r>
      <w:r w:rsidRPr="004440EA">
        <w:t xml:space="preserve"> (</w:t>
      </w:r>
      <w:r>
        <w:t>chapitres</w:t>
      </w:r>
      <w:r w:rsidRPr="002C4077">
        <w:t xml:space="preserve"> </w:t>
      </w:r>
      <w:r>
        <w:rPr>
          <w:smallCaps/>
        </w:rPr>
        <w:t>VII-XII</w:t>
      </w:r>
      <w:r w:rsidR="00B546AF" w:rsidRPr="002C4077">
        <w:t>)</w:t>
      </w:r>
      <w:r w:rsidRPr="002C4077">
        <w:t xml:space="preserve"> </w:t>
      </w:r>
      <w:r>
        <w:t>ne</w:t>
      </w:r>
      <w:r w:rsidRPr="002C4077">
        <w:t xml:space="preserve"> </w:t>
      </w:r>
      <w:r>
        <w:t>le</w:t>
      </w:r>
      <w:r w:rsidRPr="002C4077">
        <w:t xml:space="preserve"> </w:t>
      </w:r>
      <w:r>
        <w:t>saurait</w:t>
      </w:r>
      <w:r w:rsidRPr="002C4077">
        <w:t xml:space="preserve"> </w:t>
      </w:r>
      <w:r>
        <w:t>permettre,</w:t>
      </w:r>
      <w:r w:rsidRPr="002C4077">
        <w:t xml:space="preserve"> </w:t>
      </w:r>
      <w:r>
        <w:t>et</w:t>
      </w:r>
      <w:r w:rsidRPr="002C4077">
        <w:t xml:space="preserve"> </w:t>
      </w:r>
      <w:r>
        <w:t>on</w:t>
      </w:r>
      <w:r w:rsidRPr="002C4077">
        <w:t xml:space="preserve"> </w:t>
      </w:r>
      <w:r>
        <w:t>ne</w:t>
      </w:r>
      <w:r w:rsidRPr="002C4077">
        <w:t xml:space="preserve"> </w:t>
      </w:r>
      <w:r>
        <w:t>peut</w:t>
      </w:r>
      <w:r w:rsidRPr="002C4077">
        <w:t xml:space="preserve"> </w:t>
      </w:r>
      <w:r>
        <w:t>l’opérer</w:t>
      </w:r>
      <w:r w:rsidRPr="002C4077">
        <w:t xml:space="preserve"> </w:t>
      </w:r>
      <w:r>
        <w:t>qu’en</w:t>
      </w:r>
      <w:r w:rsidRPr="002C4077">
        <w:t xml:space="preserve"> </w:t>
      </w:r>
      <w:r>
        <w:t>faisant</w:t>
      </w:r>
      <w:r w:rsidRPr="002C4077">
        <w:t xml:space="preserve"> </w:t>
      </w:r>
      <w:r>
        <w:t>violence</w:t>
      </w:r>
      <w:r w:rsidRPr="002C4077">
        <w:t xml:space="preserve"> </w:t>
      </w:r>
      <w:r>
        <w:t>à</w:t>
      </w:r>
      <w:r w:rsidRPr="002C4077">
        <w:t xml:space="preserve"> </w:t>
      </w:r>
      <w:r>
        <w:t>la</w:t>
      </w:r>
      <w:r w:rsidRPr="002C4077">
        <w:t xml:space="preserve"> </w:t>
      </w:r>
      <w:r>
        <w:t>suite</w:t>
      </w:r>
      <w:r w:rsidRPr="002C4077">
        <w:t xml:space="preserve"> </w:t>
      </w:r>
      <w:r>
        <w:t>logique</w:t>
      </w:r>
      <w:r w:rsidRPr="002C4077">
        <w:t xml:space="preserve"> </w:t>
      </w:r>
      <w:r>
        <w:t>des</w:t>
      </w:r>
      <w:r w:rsidRPr="002C4077">
        <w:t xml:space="preserve"> </w:t>
      </w:r>
      <w:r>
        <w:t>pensées.</w:t>
      </w:r>
      <w:r w:rsidRPr="002C4077">
        <w:t xml:space="preserve"> </w:t>
      </w:r>
      <w:r>
        <w:t>Tel</w:t>
      </w:r>
      <w:r w:rsidRPr="002C4077">
        <w:t xml:space="preserve"> </w:t>
      </w:r>
      <w:r>
        <w:t>était</w:t>
      </w:r>
      <w:r w:rsidRPr="002C4077">
        <w:t xml:space="preserve"> </w:t>
      </w:r>
      <w:r>
        <w:t>déjà</w:t>
      </w:r>
      <w:r w:rsidRPr="002C4077">
        <w:t xml:space="preserve"> </w:t>
      </w:r>
      <w:r>
        <w:t>l’avis</w:t>
      </w:r>
      <w:r w:rsidRPr="002C4077">
        <w:t xml:space="preserve"> </w:t>
      </w:r>
      <w:r>
        <w:t>unanime</w:t>
      </w:r>
      <w:r w:rsidRPr="002C4077">
        <w:t xml:space="preserve"> </w:t>
      </w:r>
      <w:r>
        <w:t>des</w:t>
      </w:r>
      <w:r w:rsidRPr="002C4077">
        <w:t xml:space="preserve"> </w:t>
      </w:r>
      <w:r>
        <w:t>anciens</w:t>
      </w:r>
      <w:r w:rsidRPr="002C4077">
        <w:t xml:space="preserve"> </w:t>
      </w:r>
      <w:r>
        <w:t>rabbins</w:t>
      </w:r>
      <w:r w:rsidR="00B91AF7">
        <w:rPr>
          <w:rStyle w:val="Appelnotedebasdep"/>
        </w:rPr>
        <w:footnoteReference w:id="84"/>
      </w:r>
      <w:r w:rsidR="00B546AF">
        <w:t> :</w:t>
      </w:r>
      <w:r w:rsidRPr="002C4077">
        <w:t xml:space="preserve"> </w:t>
      </w:r>
      <w:r>
        <w:t>l’oracle</w:t>
      </w:r>
      <w:r w:rsidRPr="002C4077">
        <w:t xml:space="preserve"> </w:t>
      </w:r>
      <w:r>
        <w:t>du</w:t>
      </w:r>
      <w:r w:rsidRPr="002C4077">
        <w:t xml:space="preserve"> </w:t>
      </w:r>
      <w:r>
        <w:t>chapitre</w:t>
      </w:r>
      <w:r w:rsidRPr="002C4077">
        <w:t xml:space="preserve"> </w:t>
      </w:r>
      <w:r>
        <w:t>IX,</w:t>
      </w:r>
      <w:r w:rsidRPr="002C4077">
        <w:t xml:space="preserve"> </w:t>
      </w:r>
      <w:r>
        <w:t>disaient-ils,</w:t>
      </w:r>
      <w:r w:rsidRPr="002C4077">
        <w:t xml:space="preserve"> </w:t>
      </w:r>
      <w:r w:rsidR="00425C50">
        <w:t>est</w:t>
      </w:r>
      <w:r w:rsidRPr="002C4077">
        <w:t xml:space="preserve"> </w:t>
      </w:r>
      <w:r>
        <w:t>le</w:t>
      </w:r>
      <w:r w:rsidRPr="002C4077">
        <w:t xml:space="preserve"> </w:t>
      </w:r>
      <w:r>
        <w:t>développement</w:t>
      </w:r>
      <w:r w:rsidRPr="002C4077">
        <w:t xml:space="preserve"> </w:t>
      </w:r>
      <w:r>
        <w:t>de</w:t>
      </w:r>
      <w:r w:rsidRPr="002C4077">
        <w:t xml:space="preserve"> </w:t>
      </w:r>
      <w:r>
        <w:t>la</w:t>
      </w:r>
      <w:r w:rsidRPr="002C4077">
        <w:t xml:space="preserve"> </w:t>
      </w:r>
      <w:r>
        <w:t>prophétie</w:t>
      </w:r>
      <w:r w:rsidRPr="002C4077">
        <w:t xml:space="preserve"> </w:t>
      </w:r>
      <w:r>
        <w:t>de</w:t>
      </w:r>
      <w:r w:rsidRPr="002C4077">
        <w:t xml:space="preserve"> </w:t>
      </w:r>
      <w:r w:rsidR="00D40830" w:rsidRPr="00D40830">
        <w:t>l’</w:t>
      </w:r>
      <w:r w:rsidR="00D40830" w:rsidRPr="00D05EA9">
        <w:rPr>
          <w:rStyle w:val="italicus"/>
        </w:rPr>
        <w:t>῾almah</w:t>
      </w:r>
      <w:r w:rsidRPr="000A34B5">
        <w:rPr>
          <w:rStyle w:val="italicus"/>
        </w:rPr>
        <w:t>.</w:t>
      </w:r>
      <w:r w:rsidRPr="002C4077">
        <w:t xml:space="preserve"> </w:t>
      </w:r>
    </w:p>
    <w:p w:rsidR="000A7AAB" w:rsidRPr="000721C4" w:rsidRDefault="000A7AAB" w:rsidP="000A7AAB">
      <w:r>
        <w:t>M.</w:t>
      </w:r>
      <w:r w:rsidRPr="002C4077">
        <w:t xml:space="preserve"> </w:t>
      </w:r>
      <w:r>
        <w:t>F.</w:t>
      </w:r>
      <w:r w:rsidRPr="002C4077">
        <w:t xml:space="preserve"> </w:t>
      </w:r>
      <w:r>
        <w:t>Delitzsch</w:t>
      </w:r>
      <w:r w:rsidRPr="002C4077">
        <w:t xml:space="preserve"> </w:t>
      </w:r>
      <w:r>
        <w:t>présente</w:t>
      </w:r>
      <w:r w:rsidRPr="002C4077">
        <w:t xml:space="preserve"> </w:t>
      </w:r>
      <w:r>
        <w:t>fort</w:t>
      </w:r>
      <w:r w:rsidRPr="002C4077">
        <w:t xml:space="preserve"> </w:t>
      </w:r>
      <w:r>
        <w:t>bien</w:t>
      </w:r>
      <w:r w:rsidRPr="002C4077">
        <w:t xml:space="preserve"> </w:t>
      </w:r>
      <w:r>
        <w:t>ce</w:t>
      </w:r>
      <w:r w:rsidRPr="002C4077">
        <w:t xml:space="preserve"> </w:t>
      </w:r>
      <w:r>
        <w:t>raisonnement,</w:t>
      </w:r>
      <w:r w:rsidRPr="002C4077">
        <w:t xml:space="preserve"> </w:t>
      </w:r>
      <w:r>
        <w:t>d’ailleurs</w:t>
      </w:r>
      <w:r w:rsidRPr="002C4077">
        <w:t xml:space="preserve"> </w:t>
      </w:r>
      <w:r>
        <w:t>si</w:t>
      </w:r>
      <w:r w:rsidRPr="002C4077">
        <w:t xml:space="preserve"> </w:t>
      </w:r>
      <w:r>
        <w:t>simple,</w:t>
      </w:r>
      <w:r w:rsidRPr="002C4077">
        <w:t xml:space="preserve"> </w:t>
      </w:r>
      <w:r>
        <w:t>et</w:t>
      </w:r>
      <w:r w:rsidRPr="002C4077">
        <w:t xml:space="preserve"> </w:t>
      </w:r>
      <w:r>
        <w:t>qui</w:t>
      </w:r>
      <w:r w:rsidRPr="002C4077">
        <w:t xml:space="preserve"> </w:t>
      </w:r>
      <w:r>
        <w:t>s’impose</w:t>
      </w:r>
      <w:r w:rsidRPr="002C4077">
        <w:t xml:space="preserve"> </w:t>
      </w:r>
      <w:r>
        <w:t>en</w:t>
      </w:r>
      <w:r w:rsidRPr="002C4077">
        <w:t xml:space="preserve"> </w:t>
      </w:r>
      <w:r>
        <w:t>quelque</w:t>
      </w:r>
      <w:r w:rsidRPr="002C4077">
        <w:t xml:space="preserve"> </w:t>
      </w:r>
      <w:r>
        <w:t>sorte</w:t>
      </w:r>
      <w:r w:rsidRPr="002C4077">
        <w:t xml:space="preserve"> </w:t>
      </w:r>
      <w:r>
        <w:t>de</w:t>
      </w:r>
      <w:r w:rsidRPr="002C4077">
        <w:t xml:space="preserve"> </w:t>
      </w:r>
      <w:r>
        <w:t>lui-même.</w:t>
      </w:r>
      <w:r w:rsidRPr="002C4077">
        <w:t xml:space="preserve"> </w:t>
      </w:r>
      <w:r w:rsidR="00B546AF">
        <w:t>« </w:t>
      </w:r>
      <w:r>
        <w:t>Le</w:t>
      </w:r>
      <w:r w:rsidRPr="002C4077">
        <w:t xml:space="preserve"> </w:t>
      </w:r>
      <w:r>
        <w:t>progrès,</w:t>
      </w:r>
      <w:r w:rsidRPr="002C4077">
        <w:t xml:space="preserve"> </w:t>
      </w:r>
      <w:r>
        <w:t>dit-il,</w:t>
      </w:r>
      <w:r w:rsidRPr="002C4077">
        <w:t xml:space="preserve"> </w:t>
      </w:r>
      <w:r>
        <w:t>que</w:t>
      </w:r>
      <w:r w:rsidRPr="002C4077">
        <w:t xml:space="preserve"> </w:t>
      </w:r>
      <w:r>
        <w:t>nous</w:t>
      </w:r>
      <w:r w:rsidRPr="002C4077">
        <w:t xml:space="preserve"> </w:t>
      </w:r>
      <w:r>
        <w:t>voyons</w:t>
      </w:r>
      <w:r w:rsidRPr="002C4077">
        <w:t xml:space="preserve"> </w:t>
      </w:r>
      <w:r>
        <w:t>dans</w:t>
      </w:r>
      <w:r w:rsidRPr="002C4077">
        <w:t xml:space="preserve"> </w:t>
      </w:r>
      <w:r>
        <w:t>ces</w:t>
      </w:r>
      <w:r w:rsidRPr="002C4077">
        <w:t xml:space="preserve"> </w:t>
      </w:r>
      <w:r>
        <w:t>passages</w:t>
      </w:r>
      <w:r w:rsidRPr="004440EA">
        <w:t xml:space="preserve"> (</w:t>
      </w:r>
      <w:r>
        <w:t>VII,</w:t>
      </w:r>
      <w:r w:rsidRPr="002C4077">
        <w:t xml:space="preserve"> </w:t>
      </w:r>
      <w:r>
        <w:t>14</w:t>
      </w:r>
      <w:r w:rsidR="00B546AF">
        <w:t> ;</w:t>
      </w:r>
      <w:r w:rsidRPr="002C4077">
        <w:t xml:space="preserve"> </w:t>
      </w:r>
      <w:r>
        <w:t>IX,</w:t>
      </w:r>
      <w:r w:rsidRPr="002C4077">
        <w:t xml:space="preserve"> </w:t>
      </w:r>
      <w:r>
        <w:t>5-7</w:t>
      </w:r>
      <w:r w:rsidR="00B546AF">
        <w:t> ;</w:t>
      </w:r>
      <w:r w:rsidRPr="002C4077">
        <w:t xml:space="preserve"> </w:t>
      </w:r>
      <w:r>
        <w:t>XI,</w:t>
      </w:r>
      <w:r w:rsidRPr="002C4077">
        <w:t xml:space="preserve"> </w:t>
      </w:r>
      <w:r>
        <w:t>1-10</w:t>
      </w:r>
      <w:r w:rsidR="00B546AF" w:rsidRPr="002C4077">
        <w:t>)</w:t>
      </w:r>
      <w:r w:rsidRPr="00950016">
        <w:t>,</w:t>
      </w:r>
      <w:r w:rsidRPr="002C4077">
        <w:t xml:space="preserve"> </w:t>
      </w:r>
      <w:r>
        <w:t>de</w:t>
      </w:r>
      <w:r w:rsidRPr="002C4077">
        <w:t xml:space="preserve"> </w:t>
      </w:r>
      <w:r>
        <w:t>la</w:t>
      </w:r>
      <w:r w:rsidRPr="002C4077">
        <w:t xml:space="preserve"> </w:t>
      </w:r>
      <w:r>
        <w:t>conception</w:t>
      </w:r>
      <w:r w:rsidRPr="002C4077">
        <w:t xml:space="preserve"> </w:t>
      </w:r>
      <w:r>
        <w:t>à</w:t>
      </w:r>
      <w:r w:rsidRPr="002C4077">
        <w:t xml:space="preserve"> </w:t>
      </w:r>
      <w:r>
        <w:t>la</w:t>
      </w:r>
      <w:r w:rsidRPr="002C4077">
        <w:t xml:space="preserve"> </w:t>
      </w:r>
      <w:r>
        <w:t>naissance</w:t>
      </w:r>
      <w:r w:rsidRPr="002C4077">
        <w:t xml:space="preserve"> </w:t>
      </w:r>
      <w:r>
        <w:t>et</w:t>
      </w:r>
      <w:r w:rsidRPr="002C4077">
        <w:t xml:space="preserve"> </w:t>
      </w:r>
      <w:r>
        <w:t>au</w:t>
      </w:r>
      <w:r w:rsidRPr="002C4077">
        <w:t xml:space="preserve"> </w:t>
      </w:r>
      <w:r>
        <w:t>commencement</w:t>
      </w:r>
      <w:r w:rsidRPr="002C4077">
        <w:t xml:space="preserve"> </w:t>
      </w:r>
      <w:r>
        <w:t>de</w:t>
      </w:r>
      <w:r w:rsidRPr="002C4077">
        <w:t xml:space="preserve"> </w:t>
      </w:r>
      <w:r>
        <w:t>la</w:t>
      </w:r>
      <w:r w:rsidRPr="002C4077">
        <w:t xml:space="preserve"> </w:t>
      </w:r>
      <w:r>
        <w:t>domination,</w:t>
      </w:r>
      <w:r w:rsidRPr="002C4077">
        <w:t xml:space="preserve"> </w:t>
      </w:r>
      <w:r w:rsidR="00425C50">
        <w:t>est</w:t>
      </w:r>
      <w:r w:rsidRPr="002C4077">
        <w:t xml:space="preserve"> </w:t>
      </w:r>
      <w:r>
        <w:t>frappant</w:t>
      </w:r>
      <w:r w:rsidRPr="002C4077">
        <w:t xml:space="preserve"> </w:t>
      </w:r>
      <w:r>
        <w:t>jusqu’à</w:t>
      </w:r>
      <w:r w:rsidRPr="002C4077">
        <w:t xml:space="preserve"> </w:t>
      </w:r>
      <w:r>
        <w:t>l’évidence.</w:t>
      </w:r>
      <w:r w:rsidRPr="002C4077">
        <w:t xml:space="preserve"> </w:t>
      </w:r>
      <w:r>
        <w:t>Si</w:t>
      </w:r>
      <w:r w:rsidRPr="002C4077">
        <w:t xml:space="preserve"> </w:t>
      </w:r>
      <w:r>
        <w:t>IX,</w:t>
      </w:r>
      <w:r w:rsidRPr="002C4077">
        <w:t xml:space="preserve"> </w:t>
      </w:r>
      <w:r>
        <w:t>5</w:t>
      </w:r>
      <w:r w:rsidRPr="002C4077">
        <w:t xml:space="preserve"> </w:t>
      </w:r>
      <w:r>
        <w:t>et</w:t>
      </w:r>
      <w:r w:rsidRPr="002C4077">
        <w:t xml:space="preserve"> </w:t>
      </w:r>
      <w:r>
        <w:t>XI,</w:t>
      </w:r>
      <w:r w:rsidRPr="002C4077">
        <w:t xml:space="preserve"> </w:t>
      </w:r>
      <w:r>
        <w:t>1</w:t>
      </w:r>
      <w:r w:rsidRPr="002C4077">
        <w:t xml:space="preserve"> </w:t>
      </w:r>
      <w:r>
        <w:t>sont</w:t>
      </w:r>
      <w:r w:rsidRPr="002C4077">
        <w:t xml:space="preserve"> </w:t>
      </w:r>
      <w:r>
        <w:t>des</w:t>
      </w:r>
      <w:r w:rsidRPr="002C4077">
        <w:t xml:space="preserve"> </w:t>
      </w:r>
      <w:r>
        <w:t>prédictions</w:t>
      </w:r>
      <w:r w:rsidRPr="002C4077">
        <w:t xml:space="preserve"> </w:t>
      </w:r>
      <w:r>
        <w:t>messianiques,</w:t>
      </w:r>
      <w:r w:rsidRPr="002C4077">
        <w:t xml:space="preserve"> </w:t>
      </w:r>
      <w:r>
        <w:t>VII,</w:t>
      </w:r>
      <w:r w:rsidRPr="002C4077">
        <w:t xml:space="preserve"> </w:t>
      </w:r>
      <w:r>
        <w:t>14,</w:t>
      </w:r>
      <w:r w:rsidRPr="002C4077">
        <w:t xml:space="preserve"> </w:t>
      </w:r>
      <w:r>
        <w:t>qui</w:t>
      </w:r>
      <w:r w:rsidRPr="002C4077">
        <w:t xml:space="preserve"> </w:t>
      </w:r>
      <w:r>
        <w:t>forme</w:t>
      </w:r>
      <w:r w:rsidRPr="002C4077">
        <w:t xml:space="preserve"> </w:t>
      </w:r>
      <w:r>
        <w:t>le</w:t>
      </w:r>
      <w:r w:rsidRPr="002C4077">
        <w:t xml:space="preserve"> </w:t>
      </w:r>
      <w:r>
        <w:t>premier</w:t>
      </w:r>
      <w:r w:rsidRPr="002C4077">
        <w:t xml:space="preserve"> </w:t>
      </w:r>
      <w:r>
        <w:t>anneau</w:t>
      </w:r>
      <w:r w:rsidRPr="002C4077">
        <w:t xml:space="preserve"> </w:t>
      </w:r>
      <w:r>
        <w:t>de</w:t>
      </w:r>
      <w:r w:rsidRPr="002C4077">
        <w:t xml:space="preserve"> </w:t>
      </w:r>
      <w:r>
        <w:t>la</w:t>
      </w:r>
      <w:r w:rsidRPr="002C4077">
        <w:t xml:space="preserve"> </w:t>
      </w:r>
      <w:r>
        <w:t>chaîne,</w:t>
      </w:r>
      <w:r w:rsidRPr="002C4077">
        <w:t xml:space="preserve"> </w:t>
      </w:r>
      <w:r w:rsidR="00425C50">
        <w:t>est</w:t>
      </w:r>
      <w:r w:rsidRPr="002C4077">
        <w:t xml:space="preserve"> </w:t>
      </w:r>
      <w:r>
        <w:t>aussi</w:t>
      </w:r>
      <w:r w:rsidRPr="002C4077">
        <w:t xml:space="preserve"> </w:t>
      </w:r>
      <w:r>
        <w:t>une</w:t>
      </w:r>
      <w:r w:rsidRPr="002C4077">
        <w:t xml:space="preserve"> </w:t>
      </w:r>
      <w:r>
        <w:t>prédiction</w:t>
      </w:r>
      <w:r w:rsidRPr="002C4077">
        <w:t xml:space="preserve"> </w:t>
      </w:r>
      <w:r>
        <w:t>messianique.</w:t>
      </w:r>
      <w:r w:rsidRPr="002C4077">
        <w:t xml:space="preserve"> </w:t>
      </w:r>
      <w:r>
        <w:t>Un</w:t>
      </w:r>
      <w:r w:rsidRPr="002C4077">
        <w:t xml:space="preserve"> </w:t>
      </w:r>
      <w:r>
        <w:t>rapprochement</w:t>
      </w:r>
      <w:r w:rsidRPr="002C4077">
        <w:t xml:space="preserve"> </w:t>
      </w:r>
      <w:r>
        <w:t>confirme</w:t>
      </w:r>
      <w:r w:rsidRPr="002C4077">
        <w:t xml:space="preserve"> </w:t>
      </w:r>
      <w:r>
        <w:t>cela.</w:t>
      </w:r>
      <w:r w:rsidRPr="002C4077">
        <w:t xml:space="preserve"> </w:t>
      </w:r>
      <w:r w:rsidR="0055004A" w:rsidRPr="0055004A">
        <w:rPr>
          <w:rStyle w:val="italicus"/>
        </w:rPr>
        <w:t>῾Immânou᾿</w:t>
      </w:r>
      <w:r w:rsidR="00273EFD">
        <w:rPr>
          <w:rStyle w:val="italicus"/>
        </w:rPr>
        <w:t>el</w:t>
      </w:r>
      <w:r w:rsidRPr="0055004A">
        <w:rPr>
          <w:rStyle w:val="italicus"/>
        </w:rPr>
        <w:t>,</w:t>
      </w:r>
      <w:r w:rsidRPr="002C4077">
        <w:t xml:space="preserve"> </w:t>
      </w:r>
      <w:r>
        <w:t>Dieu</w:t>
      </w:r>
      <w:r w:rsidRPr="002C4077">
        <w:t xml:space="preserve"> </w:t>
      </w:r>
      <w:r>
        <w:t>avec</w:t>
      </w:r>
      <w:r w:rsidRPr="002C4077">
        <w:t xml:space="preserve"> </w:t>
      </w:r>
      <w:r>
        <w:t>nous,</w:t>
      </w:r>
      <w:r w:rsidRPr="002C4077">
        <w:t xml:space="preserve"> </w:t>
      </w:r>
      <w:r>
        <w:t>correspond</w:t>
      </w:r>
      <w:r w:rsidRPr="002C4077">
        <w:t xml:space="preserve"> </w:t>
      </w:r>
      <w:r>
        <w:t>au</w:t>
      </w:r>
      <w:r w:rsidRPr="002C4077">
        <w:t xml:space="preserve"> </w:t>
      </w:r>
      <w:r>
        <w:t>nom</w:t>
      </w:r>
      <w:r w:rsidRPr="002C4077">
        <w:t xml:space="preserve"> </w:t>
      </w:r>
      <w:r w:rsidR="0055004A" w:rsidRPr="0055004A">
        <w:rPr>
          <w:rStyle w:val="italicus"/>
        </w:rPr>
        <w:t>᾿</w:t>
      </w:r>
      <w:r w:rsidRPr="0055004A">
        <w:rPr>
          <w:rStyle w:val="italicus"/>
        </w:rPr>
        <w:t>El-Ghi</w:t>
      </w:r>
      <w:r w:rsidR="001730C6" w:rsidRPr="0055004A">
        <w:rPr>
          <w:rStyle w:val="italicus"/>
        </w:rPr>
        <w:t>bb</w:t>
      </w:r>
      <w:r w:rsidRPr="0055004A">
        <w:rPr>
          <w:rStyle w:val="italicus"/>
        </w:rPr>
        <w:t>ôr</w:t>
      </w:r>
      <w:r w:rsidRPr="000A34B5">
        <w:rPr>
          <w:rStyle w:val="italicus"/>
        </w:rPr>
        <w:t>,</w:t>
      </w:r>
      <w:r w:rsidRPr="002C4077">
        <w:t xml:space="preserve"> </w:t>
      </w:r>
      <w:r>
        <w:t>Dieu</w:t>
      </w:r>
      <w:r w:rsidRPr="002C4077">
        <w:t xml:space="preserve"> </w:t>
      </w:r>
      <w:r>
        <w:t>puissant</w:t>
      </w:r>
      <w:r w:rsidRPr="004440EA">
        <w:t xml:space="preserve"> (</w:t>
      </w:r>
      <w:r>
        <w:t>IX,</w:t>
      </w:r>
      <w:r w:rsidRPr="002C4077">
        <w:t xml:space="preserve"> </w:t>
      </w:r>
      <w:r>
        <w:t>5</w:t>
      </w:r>
      <w:r w:rsidR="00B546AF" w:rsidRPr="002C4077">
        <w:t>)</w:t>
      </w:r>
      <w:r w:rsidRPr="00950016">
        <w:t>,</w:t>
      </w:r>
      <w:r w:rsidRPr="002C4077">
        <w:t xml:space="preserve"> </w:t>
      </w:r>
      <w:r>
        <w:t>qui</w:t>
      </w:r>
      <w:r w:rsidRPr="002C4077">
        <w:t xml:space="preserve"> </w:t>
      </w:r>
      <w:r w:rsidR="00425C50">
        <w:t>est</w:t>
      </w:r>
      <w:r w:rsidRPr="002C4077">
        <w:t xml:space="preserve"> </w:t>
      </w:r>
      <w:r>
        <w:t>donné</w:t>
      </w:r>
      <w:r w:rsidRPr="002C4077">
        <w:t xml:space="preserve"> </w:t>
      </w:r>
      <w:r>
        <w:t>à</w:t>
      </w:r>
      <w:r w:rsidRPr="002C4077">
        <w:t xml:space="preserve"> </w:t>
      </w:r>
      <w:r>
        <w:t>l’enfant</w:t>
      </w:r>
      <w:r w:rsidRPr="002C4077">
        <w:t xml:space="preserve"> </w:t>
      </w:r>
      <w:r>
        <w:t>nouveau-né,</w:t>
      </w:r>
      <w:r w:rsidRPr="002C4077">
        <w:t xml:space="preserve"> </w:t>
      </w:r>
      <w:r>
        <w:t>en</w:t>
      </w:r>
      <w:r w:rsidRPr="002C4077">
        <w:t xml:space="preserve"> </w:t>
      </w:r>
      <w:r>
        <w:t>tant</w:t>
      </w:r>
      <w:r w:rsidRPr="002C4077">
        <w:t xml:space="preserve"> </w:t>
      </w:r>
      <w:r>
        <w:t>que</w:t>
      </w:r>
      <w:r w:rsidRPr="002C4077">
        <w:t xml:space="preserve"> </w:t>
      </w:r>
      <w:r w:rsidR="003B53FD">
        <w:t>celui</w:t>
      </w:r>
      <w:r>
        <w:t>-ci</w:t>
      </w:r>
      <w:r w:rsidRPr="002C4077">
        <w:t xml:space="preserve"> </w:t>
      </w:r>
      <w:r>
        <w:t>incarne</w:t>
      </w:r>
      <w:r w:rsidRPr="002C4077">
        <w:t xml:space="preserve"> </w:t>
      </w:r>
      <w:r>
        <w:t>la</w:t>
      </w:r>
      <w:r w:rsidRPr="002C4077">
        <w:t xml:space="preserve"> </w:t>
      </w:r>
      <w:r>
        <w:t>présence</w:t>
      </w:r>
      <w:r w:rsidRPr="002C4077">
        <w:t xml:space="preserve"> </w:t>
      </w:r>
      <w:r>
        <w:t>de</w:t>
      </w:r>
      <w:r w:rsidRPr="002C4077">
        <w:t xml:space="preserve"> </w:t>
      </w:r>
      <w:r>
        <w:t>Dieu</w:t>
      </w:r>
      <w:r w:rsidRPr="002C4077">
        <w:t xml:space="preserve"> </w:t>
      </w:r>
      <w:r>
        <w:t>parmi</w:t>
      </w:r>
      <w:r w:rsidRPr="002C4077">
        <w:t xml:space="preserve"> </w:t>
      </w:r>
      <w:r>
        <w:t>son</w:t>
      </w:r>
      <w:r w:rsidRPr="002C4077">
        <w:t xml:space="preserve"> </w:t>
      </w:r>
      <w:r>
        <w:t>peuple.</w:t>
      </w:r>
      <w:r w:rsidRPr="002C4077">
        <w:t xml:space="preserve"> </w:t>
      </w:r>
      <w:r>
        <w:t>D’autre</w:t>
      </w:r>
      <w:r w:rsidRPr="002C4077">
        <w:t xml:space="preserve"> </w:t>
      </w:r>
      <w:r>
        <w:t>part</w:t>
      </w:r>
      <w:r w:rsidRPr="002C4077">
        <w:t xml:space="preserve"> </w:t>
      </w:r>
      <w:r>
        <w:t>la</w:t>
      </w:r>
      <w:r w:rsidRPr="002C4077">
        <w:t xml:space="preserve"> </w:t>
      </w:r>
      <w:r>
        <w:t>dénomination</w:t>
      </w:r>
      <w:r w:rsidRPr="002C4077">
        <w:t xml:space="preserve"> </w:t>
      </w:r>
      <w:r>
        <w:t>de</w:t>
      </w:r>
      <w:r w:rsidR="0055004A" w:rsidRPr="002C4077">
        <w:t xml:space="preserve"> </w:t>
      </w:r>
      <w:r w:rsidR="0055004A">
        <w:rPr>
          <w:rStyle w:val="italicus"/>
        </w:rPr>
        <w:t>P</w:t>
      </w:r>
      <w:r w:rsidR="00273EFD">
        <w:rPr>
          <w:rStyle w:val="italicus"/>
        </w:rPr>
        <w:t>é</w:t>
      </w:r>
      <w:r w:rsidRPr="000A34B5">
        <w:rPr>
          <w:rStyle w:val="italicus"/>
        </w:rPr>
        <w:t>lé,</w:t>
      </w:r>
      <w:r w:rsidRPr="002C4077">
        <w:t xml:space="preserve"> </w:t>
      </w:r>
      <w:r>
        <w:t>Admirable</w:t>
      </w:r>
      <w:r w:rsidRPr="004440EA">
        <w:t xml:space="preserve"> (</w:t>
      </w:r>
      <w:r>
        <w:t>littéralement</w:t>
      </w:r>
      <w:r w:rsidR="00B546AF">
        <w:t> :</w:t>
      </w:r>
      <w:r w:rsidRPr="002C4077">
        <w:t xml:space="preserve"> </w:t>
      </w:r>
      <w:r>
        <w:t>miracle,</w:t>
      </w:r>
      <w:r w:rsidRPr="002C4077">
        <w:t xml:space="preserve"> </w:t>
      </w:r>
      <w:r>
        <w:t>merveille</w:t>
      </w:r>
      <w:r w:rsidR="00B546AF" w:rsidRPr="002C4077">
        <w:t>)</w:t>
      </w:r>
      <w:r w:rsidRPr="00950016">
        <w:t>,</w:t>
      </w:r>
      <w:r w:rsidRPr="002C4077">
        <w:t xml:space="preserve"> </w:t>
      </w:r>
      <w:r>
        <w:t>qui</w:t>
      </w:r>
      <w:r w:rsidRPr="002C4077">
        <w:t xml:space="preserve"> </w:t>
      </w:r>
      <w:r>
        <w:t>ouvre</w:t>
      </w:r>
      <w:r w:rsidRPr="002C4077">
        <w:t xml:space="preserve"> </w:t>
      </w:r>
      <w:r>
        <w:t>la</w:t>
      </w:r>
      <w:r w:rsidRPr="002C4077">
        <w:t xml:space="preserve"> </w:t>
      </w:r>
      <w:r>
        <w:t>série</w:t>
      </w:r>
      <w:r w:rsidRPr="004440EA">
        <w:t xml:space="preserve"> (</w:t>
      </w:r>
      <w:r>
        <w:t>IX,</w:t>
      </w:r>
      <w:r w:rsidRPr="002C4077">
        <w:t xml:space="preserve"> </w:t>
      </w:r>
      <w:r>
        <w:t>5</w:t>
      </w:r>
      <w:r w:rsidR="00B546AF" w:rsidRPr="002C4077">
        <w:t>)</w:t>
      </w:r>
      <w:r w:rsidRPr="00950016">
        <w:t>,</w:t>
      </w:r>
      <w:r w:rsidRPr="002C4077">
        <w:t xml:space="preserve"> </w:t>
      </w:r>
      <w:r>
        <w:t>démontre</w:t>
      </w:r>
      <w:r w:rsidRPr="002C4077">
        <w:t xml:space="preserve"> </w:t>
      </w:r>
      <w:r>
        <w:t>que</w:t>
      </w:r>
      <w:r w:rsidRPr="002C4077">
        <w:t xml:space="preserve"> </w:t>
      </w:r>
      <w:r>
        <w:t>par</w:t>
      </w:r>
      <w:r w:rsidRPr="002C4077">
        <w:t xml:space="preserve"> </w:t>
      </w:r>
      <w:r w:rsidR="0055004A">
        <w:rPr>
          <w:rStyle w:val="italicus"/>
        </w:rPr>
        <w:t>᾿</w:t>
      </w:r>
      <w:r w:rsidRPr="0055004A">
        <w:rPr>
          <w:rStyle w:val="italicus"/>
        </w:rPr>
        <w:t>ôth</w:t>
      </w:r>
      <w:r w:rsidRPr="000A34B5">
        <w:rPr>
          <w:rStyle w:val="italicus"/>
        </w:rPr>
        <w:t>,</w:t>
      </w:r>
      <w:r w:rsidRPr="002C4077">
        <w:t xml:space="preserve"> </w:t>
      </w:r>
      <w:r w:rsidRPr="000A34B5">
        <w:rPr>
          <w:rStyle w:val="italicus"/>
        </w:rPr>
        <w:t>signum</w:t>
      </w:r>
      <w:r w:rsidRPr="004440EA">
        <w:t xml:space="preserve"> (</w:t>
      </w:r>
      <w:r>
        <w:rPr>
          <w:smallCaps/>
        </w:rPr>
        <w:t>VII</w:t>
      </w:r>
      <w:r>
        <w:t>,</w:t>
      </w:r>
      <w:r w:rsidRPr="002C4077">
        <w:t xml:space="preserve"> </w:t>
      </w:r>
      <w:r>
        <w:t>14</w:t>
      </w:r>
      <w:r w:rsidR="00B546AF" w:rsidRPr="002C4077">
        <w:t>)</w:t>
      </w:r>
      <w:r w:rsidRPr="00950016">
        <w:t>,</w:t>
      </w:r>
      <w:r w:rsidRPr="002C4077">
        <w:t xml:space="preserve"> </w:t>
      </w:r>
      <w:r>
        <w:t>il</w:t>
      </w:r>
      <w:r w:rsidRPr="002C4077">
        <w:t xml:space="preserve"> </w:t>
      </w:r>
      <w:r>
        <w:t>faut</w:t>
      </w:r>
      <w:r w:rsidRPr="002C4077">
        <w:t xml:space="preserve"> </w:t>
      </w:r>
      <w:r>
        <w:t>réellement</w:t>
      </w:r>
      <w:r w:rsidRPr="002C4077">
        <w:t xml:space="preserve"> </w:t>
      </w:r>
      <w:r>
        <w:t>entendre</w:t>
      </w:r>
      <w:r w:rsidRPr="002C4077">
        <w:t xml:space="preserve"> </w:t>
      </w:r>
      <w:r>
        <w:t>un</w:t>
      </w:r>
      <w:r w:rsidRPr="002C4077">
        <w:t xml:space="preserve"> </w:t>
      </w:r>
      <w:r>
        <w:t>signe</w:t>
      </w:r>
      <w:r w:rsidRPr="002C4077">
        <w:t xml:space="preserve"> </w:t>
      </w:r>
      <w:r>
        <w:t>miraculeux</w:t>
      </w:r>
      <w:r w:rsidR="0055004A">
        <w:rPr>
          <w:rStyle w:val="Appelnotedebasdep"/>
        </w:rPr>
        <w:footnoteReference w:id="85"/>
      </w:r>
      <w:r w:rsidR="00B546AF">
        <w:t> »</w:t>
      </w:r>
      <w:r>
        <w:t>.</w:t>
      </w:r>
      <w:r w:rsidRPr="002C4077">
        <w:t xml:space="preserve"> </w:t>
      </w:r>
      <w:r>
        <w:t>Tout</w:t>
      </w:r>
      <w:r w:rsidRPr="002C4077">
        <w:t xml:space="preserve"> </w:t>
      </w:r>
      <w:r>
        <w:t>se</w:t>
      </w:r>
      <w:r w:rsidRPr="002C4077">
        <w:t xml:space="preserve"> </w:t>
      </w:r>
      <w:r>
        <w:t>tient</w:t>
      </w:r>
      <w:r w:rsidRPr="002C4077">
        <w:t xml:space="preserve"> </w:t>
      </w:r>
      <w:r>
        <w:t>donc</w:t>
      </w:r>
      <w:r w:rsidRPr="002C4077">
        <w:t xml:space="preserve"> </w:t>
      </w:r>
      <w:r>
        <w:t>d’une</w:t>
      </w:r>
      <w:r w:rsidRPr="002C4077">
        <w:t xml:space="preserve"> </w:t>
      </w:r>
      <w:r>
        <w:t>manière</w:t>
      </w:r>
      <w:r w:rsidRPr="002C4077">
        <w:t xml:space="preserve"> </w:t>
      </w:r>
      <w:r>
        <w:t>inséparable</w:t>
      </w:r>
      <w:r w:rsidRPr="002C4077">
        <w:t xml:space="preserve"> </w:t>
      </w:r>
      <w:r>
        <w:t>dans</w:t>
      </w:r>
      <w:r w:rsidRPr="002C4077">
        <w:t xml:space="preserve"> </w:t>
      </w:r>
      <w:r>
        <w:t>notre</w:t>
      </w:r>
      <w:r w:rsidRPr="002C4077">
        <w:t xml:space="preserve"> </w:t>
      </w:r>
      <w:r>
        <w:t>grande</w:t>
      </w:r>
      <w:r w:rsidRPr="002C4077">
        <w:t xml:space="preserve"> </w:t>
      </w:r>
      <w:r>
        <w:t>prophétie.</w:t>
      </w:r>
      <w:r w:rsidRPr="002C4077">
        <w:t xml:space="preserve"> </w:t>
      </w:r>
      <w:r>
        <w:t>Il</w:t>
      </w:r>
      <w:r w:rsidRPr="002C4077">
        <w:t xml:space="preserve"> </w:t>
      </w:r>
      <w:r>
        <w:t>s’agit</w:t>
      </w:r>
      <w:r w:rsidRPr="002C4077">
        <w:t xml:space="preserve"> </w:t>
      </w:r>
      <w:r>
        <w:t>manifestement</w:t>
      </w:r>
      <w:r w:rsidRPr="002C4077">
        <w:t xml:space="preserve"> </w:t>
      </w:r>
      <w:r>
        <w:t>du</w:t>
      </w:r>
      <w:r w:rsidRPr="002C4077">
        <w:t xml:space="preserve"> </w:t>
      </w:r>
      <w:r w:rsidR="00425C50">
        <w:t>Christ</w:t>
      </w:r>
      <w:r w:rsidRPr="002C4077">
        <w:t xml:space="preserve"> </w:t>
      </w:r>
      <w:r>
        <w:t>au</w:t>
      </w:r>
      <w:r w:rsidRPr="002C4077">
        <w:t xml:space="preserve"> </w:t>
      </w:r>
      <w:r>
        <w:t>milieu,</w:t>
      </w:r>
      <w:r w:rsidRPr="002C4077">
        <w:t xml:space="preserve"> </w:t>
      </w:r>
      <w:r>
        <w:t>à</w:t>
      </w:r>
      <w:r w:rsidRPr="002C4077">
        <w:t xml:space="preserve"> </w:t>
      </w:r>
      <w:r>
        <w:t>la</w:t>
      </w:r>
      <w:r w:rsidRPr="002C4077">
        <w:t xml:space="preserve"> </w:t>
      </w:r>
      <w:r>
        <w:t>fin</w:t>
      </w:r>
      <w:r w:rsidR="00B546AF">
        <w:t> ;</w:t>
      </w:r>
      <w:r w:rsidRPr="002C4077">
        <w:t xml:space="preserve"> </w:t>
      </w:r>
      <w:r>
        <w:t>donc</w:t>
      </w:r>
      <w:r w:rsidRPr="002C4077">
        <w:t xml:space="preserve"> </w:t>
      </w:r>
      <w:r>
        <w:t>il</w:t>
      </w:r>
      <w:r w:rsidRPr="002C4077">
        <w:t xml:space="preserve"> </w:t>
      </w:r>
      <w:r>
        <w:t>s’agit</w:t>
      </w:r>
      <w:r w:rsidRPr="002C4077">
        <w:t xml:space="preserve"> </w:t>
      </w:r>
      <w:r>
        <w:t>du</w:t>
      </w:r>
      <w:r w:rsidRPr="002C4077">
        <w:t xml:space="preserve"> </w:t>
      </w:r>
      <w:r w:rsidR="00425C50">
        <w:t>Christ</w:t>
      </w:r>
      <w:r w:rsidRPr="002C4077">
        <w:t xml:space="preserve"> </w:t>
      </w:r>
      <w:r>
        <w:t>au</w:t>
      </w:r>
      <w:r w:rsidRPr="002C4077">
        <w:t xml:space="preserve"> </w:t>
      </w:r>
      <w:r>
        <w:t>début</w:t>
      </w:r>
      <w:r w:rsidR="00B546AF">
        <w:t> ;</w:t>
      </w:r>
      <w:r w:rsidRPr="002C4077">
        <w:t xml:space="preserve"> </w:t>
      </w:r>
      <w:r>
        <w:t>en</w:t>
      </w:r>
      <w:r w:rsidRPr="002C4077">
        <w:t xml:space="preserve"> </w:t>
      </w:r>
      <w:r>
        <w:t>effet,</w:t>
      </w:r>
      <w:r w:rsidRPr="002C4077">
        <w:t xml:space="preserve"> </w:t>
      </w:r>
      <w:r w:rsidRPr="000A34B5">
        <w:rPr>
          <w:rStyle w:val="italicus"/>
        </w:rPr>
        <w:t>du</w:t>
      </w:r>
      <w:r w:rsidR="003B53FD" w:rsidRPr="000A34B5">
        <w:rPr>
          <w:rStyle w:val="italicus"/>
        </w:rPr>
        <w:t>bit</w:t>
      </w:r>
      <w:r w:rsidR="003B53FD">
        <w:rPr>
          <w:rStyle w:val="italicus"/>
        </w:rPr>
        <w:t>á</w:t>
      </w:r>
      <w:r w:rsidR="003B53FD" w:rsidRPr="000A34B5">
        <w:rPr>
          <w:rStyle w:val="italicus"/>
        </w:rPr>
        <w:t>ri</w:t>
      </w:r>
      <w:r w:rsidRPr="002C4077">
        <w:t xml:space="preserve"> </w:t>
      </w:r>
      <w:r w:rsidRPr="000A34B5">
        <w:rPr>
          <w:rStyle w:val="italicus"/>
        </w:rPr>
        <w:t>non</w:t>
      </w:r>
      <w:r w:rsidRPr="002C4077">
        <w:t xml:space="preserve"> </w:t>
      </w:r>
      <w:r w:rsidRPr="000A34B5">
        <w:rPr>
          <w:rStyle w:val="italicus"/>
        </w:rPr>
        <w:t>potest</w:t>
      </w:r>
      <w:r w:rsidRPr="002C4077">
        <w:t xml:space="preserve"> </w:t>
      </w:r>
      <w:r w:rsidRPr="000A34B5">
        <w:rPr>
          <w:rStyle w:val="italicus"/>
        </w:rPr>
        <w:t>quin</w:t>
      </w:r>
      <w:r w:rsidRPr="00732E97">
        <w:rPr>
          <w:rStyle w:val="italicus"/>
        </w:rPr>
        <w:t xml:space="preserve"> </w:t>
      </w:r>
      <w:r w:rsidRPr="000A34B5">
        <w:rPr>
          <w:rStyle w:val="italicus"/>
        </w:rPr>
        <w:t>idem</w:t>
      </w:r>
      <w:r w:rsidRPr="002C4077">
        <w:t xml:space="preserve"> </w:t>
      </w:r>
      <w:r w:rsidRPr="000A34B5">
        <w:rPr>
          <w:rStyle w:val="italicus"/>
        </w:rPr>
        <w:t>puer</w:t>
      </w:r>
      <w:r w:rsidRPr="002C4077">
        <w:t xml:space="preserve"> </w:t>
      </w:r>
      <w:r w:rsidRPr="000A34B5">
        <w:rPr>
          <w:rStyle w:val="italicus"/>
        </w:rPr>
        <w:t>sit</w:t>
      </w:r>
      <w:r w:rsidRPr="002C4077">
        <w:t xml:space="preserve"> </w:t>
      </w:r>
      <w:r w:rsidRPr="000A34B5">
        <w:rPr>
          <w:rStyle w:val="italicus"/>
        </w:rPr>
        <w:t>qui</w:t>
      </w:r>
      <w:r w:rsidR="0055004A" w:rsidRPr="002C4077">
        <w:t xml:space="preserve"> </w:t>
      </w:r>
      <w:r w:rsidR="0055004A">
        <w:t>VII,</w:t>
      </w:r>
      <w:r w:rsidRPr="002C4077">
        <w:t xml:space="preserve"> </w:t>
      </w:r>
      <w:r>
        <w:t>14,</w:t>
      </w:r>
      <w:r w:rsidRPr="002C4077">
        <w:t xml:space="preserve"> </w:t>
      </w:r>
      <w:r w:rsidRPr="000A34B5">
        <w:rPr>
          <w:rStyle w:val="italicus"/>
        </w:rPr>
        <w:t>Immanuel</w:t>
      </w:r>
      <w:r w:rsidRPr="002C4077">
        <w:t xml:space="preserve"> </w:t>
      </w:r>
      <w:r w:rsidR="0055004A" w:rsidRPr="000A34B5">
        <w:rPr>
          <w:rStyle w:val="italicus"/>
        </w:rPr>
        <w:t>vocátur</w:t>
      </w:r>
      <w:r w:rsidR="0055004A">
        <w:rPr>
          <w:rStyle w:val="Appelnotedebasdep"/>
          <w:i/>
        </w:rPr>
        <w:footnoteReference w:id="86"/>
      </w:r>
      <w:r w:rsidRPr="000A34B5">
        <w:rPr>
          <w:rStyle w:val="italicus"/>
        </w:rPr>
        <w:t>.</w:t>
      </w:r>
      <w:r w:rsidR="00C45B47">
        <w:t xml:space="preserve"> {</w:t>
      </w:r>
      <w:r w:rsidR="000721C4">
        <w:t>32</w:t>
      </w:r>
      <w:bookmarkStart w:id="121" w:name="p032"/>
      <w:bookmarkEnd w:id="121"/>
      <w:r w:rsidR="000721C4">
        <w:t xml:space="preserve">} </w:t>
      </w:r>
    </w:p>
    <w:p w:rsidR="000A7AAB" w:rsidRDefault="000A7AAB" w:rsidP="000A7AAB">
      <w:r>
        <w:t>Mais</w:t>
      </w:r>
      <w:r w:rsidRPr="002C4077">
        <w:t xml:space="preserve"> </w:t>
      </w:r>
      <w:r>
        <w:t>le</w:t>
      </w:r>
      <w:r w:rsidRPr="002C4077">
        <w:t xml:space="preserve"> </w:t>
      </w:r>
      <w:r>
        <w:t>texte</w:t>
      </w:r>
      <w:r w:rsidRPr="002C4077">
        <w:t xml:space="preserve"> </w:t>
      </w:r>
      <w:r>
        <w:t>d’Isaïe</w:t>
      </w:r>
      <w:r w:rsidRPr="002C4077">
        <w:t xml:space="preserve"> </w:t>
      </w:r>
      <w:r>
        <w:t>nous</w:t>
      </w:r>
      <w:r w:rsidRPr="002C4077">
        <w:t xml:space="preserve"> </w:t>
      </w:r>
      <w:r>
        <w:t>permet</w:t>
      </w:r>
      <w:r w:rsidRPr="002C4077">
        <w:t xml:space="preserve"> </w:t>
      </w:r>
      <w:r>
        <w:t>de</w:t>
      </w:r>
      <w:r w:rsidRPr="002C4077">
        <w:t xml:space="preserve"> </w:t>
      </w:r>
      <w:r>
        <w:t>répondre</w:t>
      </w:r>
      <w:r w:rsidRPr="002C4077">
        <w:t xml:space="preserve"> </w:t>
      </w:r>
      <w:r>
        <w:t>plus</w:t>
      </w:r>
      <w:r w:rsidRPr="002C4077">
        <w:t xml:space="preserve"> </w:t>
      </w:r>
      <w:r>
        <w:t>explicitement</w:t>
      </w:r>
      <w:r w:rsidRPr="002C4077">
        <w:t xml:space="preserve"> </w:t>
      </w:r>
      <w:r>
        <w:t>encore</w:t>
      </w:r>
      <w:r w:rsidRPr="002C4077">
        <w:t xml:space="preserve"> </w:t>
      </w:r>
      <w:r>
        <w:t>à</w:t>
      </w:r>
      <w:r w:rsidRPr="002C4077">
        <w:t xml:space="preserve"> </w:t>
      </w:r>
      <w:r>
        <w:t>la</w:t>
      </w:r>
      <w:r w:rsidRPr="002C4077">
        <w:t xml:space="preserve"> </w:t>
      </w:r>
      <w:r>
        <w:t>question</w:t>
      </w:r>
      <w:r w:rsidRPr="002C4077">
        <w:t xml:space="preserve"> </w:t>
      </w:r>
      <w:r>
        <w:t>qui</w:t>
      </w:r>
      <w:r w:rsidRPr="002C4077">
        <w:t xml:space="preserve"> </w:t>
      </w:r>
      <w:r>
        <w:t>nous</w:t>
      </w:r>
      <w:r w:rsidRPr="002C4077">
        <w:t xml:space="preserve"> </w:t>
      </w:r>
      <w:r>
        <w:t>occupe</w:t>
      </w:r>
      <w:r w:rsidRPr="002C4077">
        <w:t xml:space="preserve"> </w:t>
      </w:r>
      <w:r>
        <w:t>dans</w:t>
      </w:r>
      <w:r w:rsidRPr="002C4077">
        <w:t xml:space="preserve"> </w:t>
      </w:r>
      <w:r>
        <w:t>ce</w:t>
      </w:r>
      <w:r w:rsidRPr="002C4077">
        <w:t xml:space="preserve"> </w:t>
      </w:r>
      <w:r>
        <w:t>paragraphe</w:t>
      </w:r>
      <w:r w:rsidR="00B546AF">
        <w:t> :</w:t>
      </w:r>
      <w:r w:rsidRPr="002C4077">
        <w:t xml:space="preserve"> </w:t>
      </w:r>
      <w:r>
        <w:t>Qui</w:t>
      </w:r>
      <w:r w:rsidRPr="002C4077">
        <w:t xml:space="preserve"> </w:t>
      </w:r>
      <w:r w:rsidR="00425C50">
        <w:t>est</w:t>
      </w:r>
      <w:r w:rsidRPr="002C4077">
        <w:t xml:space="preserve"> </w:t>
      </w:r>
      <w:r>
        <w:t>Emmanuel</w:t>
      </w:r>
      <w:r w:rsidR="00B546AF">
        <w:t> ?</w:t>
      </w:r>
      <w:r w:rsidRPr="002C4077">
        <w:t xml:space="preserve"> </w:t>
      </w:r>
    </w:p>
    <w:p w:rsidR="000A7AAB" w:rsidRDefault="000A7AAB" w:rsidP="000A7AAB">
      <w:r>
        <w:t>En</w:t>
      </w:r>
      <w:r w:rsidRPr="002C4077">
        <w:t xml:space="preserve"> </w:t>
      </w:r>
      <w:r>
        <w:t>dépit</w:t>
      </w:r>
      <w:r w:rsidRPr="002C4077">
        <w:t xml:space="preserve"> </w:t>
      </w:r>
      <w:r>
        <w:t>de</w:t>
      </w:r>
      <w:r w:rsidRPr="002C4077">
        <w:t xml:space="preserve"> </w:t>
      </w:r>
      <w:r>
        <w:t>la</w:t>
      </w:r>
      <w:r w:rsidRPr="002C4077">
        <w:t xml:space="preserve"> </w:t>
      </w:r>
      <w:r>
        <w:t>critique</w:t>
      </w:r>
      <w:r w:rsidRPr="002C4077">
        <w:t xml:space="preserve"> </w:t>
      </w:r>
      <w:r>
        <w:t>négative,</w:t>
      </w:r>
      <w:r w:rsidRPr="002C4077">
        <w:t xml:space="preserve"> </w:t>
      </w:r>
      <w:r>
        <w:t>s’il</w:t>
      </w:r>
      <w:r w:rsidRPr="002C4077">
        <w:t xml:space="preserve"> </w:t>
      </w:r>
      <w:r>
        <w:t>doit</w:t>
      </w:r>
      <w:r w:rsidRPr="002C4077">
        <w:t xml:space="preserve"> </w:t>
      </w:r>
      <w:r>
        <w:t>y</w:t>
      </w:r>
      <w:r w:rsidRPr="002C4077">
        <w:t xml:space="preserve"> </w:t>
      </w:r>
      <w:r>
        <w:t>avoir</w:t>
      </w:r>
      <w:r w:rsidRPr="002C4077">
        <w:t xml:space="preserve"> </w:t>
      </w:r>
      <w:r>
        <w:t>un</w:t>
      </w:r>
      <w:r w:rsidRPr="002C4077">
        <w:t xml:space="preserve"> </w:t>
      </w:r>
      <w:r>
        <w:t>Messie</w:t>
      </w:r>
      <w:r w:rsidRPr="002C4077">
        <w:t xml:space="preserve"> </w:t>
      </w:r>
      <w:r>
        <w:t>pour</w:t>
      </w:r>
      <w:r w:rsidRPr="002C4077">
        <w:t xml:space="preserve"> </w:t>
      </w:r>
      <w:r>
        <w:t>les</w:t>
      </w:r>
      <w:r w:rsidRPr="002C4077">
        <w:t xml:space="preserve"> </w:t>
      </w:r>
      <w:r>
        <w:t>Juifs,</w:t>
      </w:r>
      <w:r w:rsidRPr="002C4077">
        <w:t xml:space="preserve"> </w:t>
      </w:r>
      <w:r>
        <w:t>—</w:t>
      </w:r>
      <w:r w:rsidRPr="002C4077">
        <w:t xml:space="preserve"> </w:t>
      </w:r>
      <w:r>
        <w:t>et</w:t>
      </w:r>
      <w:r w:rsidRPr="002C4077">
        <w:t xml:space="preserve"> </w:t>
      </w:r>
      <w:r>
        <w:t>ce</w:t>
      </w:r>
      <w:r w:rsidRPr="002C4077">
        <w:t xml:space="preserve"> </w:t>
      </w:r>
      <w:r>
        <w:t>fait</w:t>
      </w:r>
      <w:r w:rsidRPr="002C4077">
        <w:t xml:space="preserve"> </w:t>
      </w:r>
      <w:r w:rsidR="00425C50">
        <w:t>est</w:t>
      </w:r>
      <w:r w:rsidRPr="002C4077">
        <w:t xml:space="preserve"> </w:t>
      </w:r>
      <w:r>
        <w:t>trop</w:t>
      </w:r>
      <w:r w:rsidRPr="002C4077">
        <w:t xml:space="preserve"> </w:t>
      </w:r>
      <w:r>
        <w:t>avéré</w:t>
      </w:r>
      <w:r w:rsidRPr="002C4077">
        <w:t xml:space="preserve"> </w:t>
      </w:r>
      <w:r>
        <w:t>pour</w:t>
      </w:r>
      <w:r w:rsidRPr="002C4077">
        <w:t xml:space="preserve"> </w:t>
      </w:r>
      <w:r>
        <w:t>qu’elle</w:t>
      </w:r>
      <w:r w:rsidRPr="002C4077">
        <w:t xml:space="preserve"> </w:t>
      </w:r>
      <w:r>
        <w:t>ait</w:t>
      </w:r>
      <w:r w:rsidRPr="002C4077">
        <w:t xml:space="preserve"> </w:t>
      </w:r>
      <w:r>
        <w:t>osé</w:t>
      </w:r>
      <w:r w:rsidRPr="002C4077">
        <w:t xml:space="preserve"> </w:t>
      </w:r>
      <w:r>
        <w:t>le</w:t>
      </w:r>
      <w:r w:rsidRPr="002C4077">
        <w:t xml:space="preserve"> </w:t>
      </w:r>
      <w:r>
        <w:t>nier,</w:t>
      </w:r>
      <w:r w:rsidRPr="002C4077">
        <w:t xml:space="preserve"> </w:t>
      </w:r>
      <w:r>
        <w:t>—</w:t>
      </w:r>
      <w:r w:rsidRPr="002C4077">
        <w:t xml:space="preserve"> </w:t>
      </w:r>
      <w:r>
        <w:t>l’Emmanuel</w:t>
      </w:r>
      <w:r w:rsidRPr="002C4077">
        <w:t xml:space="preserve"> </w:t>
      </w:r>
      <w:r>
        <w:t>prédit</w:t>
      </w:r>
      <w:r w:rsidRPr="002C4077">
        <w:t xml:space="preserve"> </w:t>
      </w:r>
      <w:r>
        <w:t>par</w:t>
      </w:r>
      <w:r w:rsidRPr="002C4077">
        <w:t xml:space="preserve"> </w:t>
      </w:r>
      <w:r>
        <w:t>Isaïe</w:t>
      </w:r>
      <w:r w:rsidRPr="002C4077">
        <w:t xml:space="preserve"> </w:t>
      </w:r>
      <w:r w:rsidR="00425C50">
        <w:t>est</w:t>
      </w:r>
      <w:r w:rsidRPr="002C4077">
        <w:t xml:space="preserve"> </w:t>
      </w:r>
      <w:r>
        <w:t>ce</w:t>
      </w:r>
      <w:r w:rsidRPr="002C4077">
        <w:t xml:space="preserve"> </w:t>
      </w:r>
      <w:r>
        <w:t>Messie.</w:t>
      </w:r>
      <w:r w:rsidRPr="002C4077">
        <w:t xml:space="preserve"> </w:t>
      </w:r>
      <w:r>
        <w:t>Mais</w:t>
      </w:r>
      <w:r w:rsidRPr="002C4077">
        <w:t xml:space="preserve"> </w:t>
      </w:r>
      <w:r>
        <w:t>quelle</w:t>
      </w:r>
      <w:r w:rsidRPr="002C4077">
        <w:t xml:space="preserve"> </w:t>
      </w:r>
      <w:r w:rsidR="00425C50">
        <w:t>est</w:t>
      </w:r>
      <w:r w:rsidRPr="002C4077">
        <w:t xml:space="preserve"> </w:t>
      </w:r>
      <w:r>
        <w:t>exactement</w:t>
      </w:r>
      <w:r w:rsidRPr="002C4077">
        <w:t xml:space="preserve"> </w:t>
      </w:r>
      <w:r>
        <w:t>la</w:t>
      </w:r>
      <w:r w:rsidRPr="002C4077">
        <w:t xml:space="preserve"> </w:t>
      </w:r>
      <w:r>
        <w:t>nature</w:t>
      </w:r>
      <w:r w:rsidRPr="002C4077">
        <w:t xml:space="preserve"> </w:t>
      </w:r>
      <w:r>
        <w:t>d’Emmanuel</w:t>
      </w:r>
      <w:r w:rsidR="00B546AF">
        <w:t> ?</w:t>
      </w:r>
      <w:r w:rsidRPr="002C4077">
        <w:t xml:space="preserve"> </w:t>
      </w:r>
    </w:p>
    <w:p w:rsidR="000A7AAB" w:rsidRDefault="000A7AAB" w:rsidP="000A7AAB">
      <w:r>
        <w:t>Quoiqu’elle</w:t>
      </w:r>
      <w:r w:rsidRPr="002C4077">
        <w:t xml:space="preserve"> </w:t>
      </w:r>
      <w:r>
        <w:t>doive</w:t>
      </w:r>
      <w:r w:rsidRPr="002C4077">
        <w:t xml:space="preserve"> </w:t>
      </w:r>
      <w:r>
        <w:t>l’enfanter</w:t>
      </w:r>
      <w:r w:rsidRPr="002C4077">
        <w:t xml:space="preserve"> </w:t>
      </w:r>
      <w:r>
        <w:t>par</w:t>
      </w:r>
      <w:r w:rsidRPr="002C4077">
        <w:t xml:space="preserve"> </w:t>
      </w:r>
      <w:r>
        <w:t>un</w:t>
      </w:r>
      <w:r w:rsidRPr="002C4077">
        <w:t xml:space="preserve"> </w:t>
      </w:r>
      <w:r>
        <w:t>prodige</w:t>
      </w:r>
      <w:r w:rsidRPr="002C4077">
        <w:t xml:space="preserve"> </w:t>
      </w:r>
      <w:r>
        <w:t>inouï,</w:t>
      </w:r>
      <w:r w:rsidRPr="002C4077">
        <w:t xml:space="preserve"> </w:t>
      </w:r>
      <w:r>
        <w:t>sa</w:t>
      </w:r>
      <w:r w:rsidRPr="002C4077">
        <w:t xml:space="preserve"> </w:t>
      </w:r>
      <w:r>
        <w:t>mère</w:t>
      </w:r>
      <w:r w:rsidRPr="002C4077">
        <w:t xml:space="preserve"> </w:t>
      </w:r>
      <w:r w:rsidR="00425C50">
        <w:t>est</w:t>
      </w:r>
      <w:r w:rsidRPr="002C4077">
        <w:t xml:space="preserve"> </w:t>
      </w:r>
      <w:r>
        <w:t>fille</w:t>
      </w:r>
      <w:r w:rsidRPr="002C4077">
        <w:t xml:space="preserve"> </w:t>
      </w:r>
      <w:r>
        <w:t>d’Adam,</w:t>
      </w:r>
      <w:r w:rsidRPr="002C4077">
        <w:t xml:space="preserve"> </w:t>
      </w:r>
      <w:r>
        <w:t>comme</w:t>
      </w:r>
      <w:r w:rsidRPr="002C4077">
        <w:t xml:space="preserve"> </w:t>
      </w:r>
      <w:r>
        <w:t>les</w:t>
      </w:r>
      <w:r w:rsidRPr="002C4077">
        <w:t xml:space="preserve"> </w:t>
      </w:r>
      <w:r>
        <w:t>nôtres.</w:t>
      </w:r>
      <w:r w:rsidRPr="002C4077">
        <w:t xml:space="preserve"> </w:t>
      </w:r>
      <w:r>
        <w:t>De</w:t>
      </w:r>
      <w:r w:rsidRPr="002C4077">
        <w:t xml:space="preserve"> </w:t>
      </w:r>
      <w:r>
        <w:t>ce</w:t>
      </w:r>
      <w:r w:rsidRPr="002C4077">
        <w:t xml:space="preserve"> </w:t>
      </w:r>
      <w:r>
        <w:t>côté,</w:t>
      </w:r>
      <w:r w:rsidRPr="002C4077">
        <w:t xml:space="preserve"> </w:t>
      </w:r>
      <w:r>
        <w:t>Emmanuel</w:t>
      </w:r>
      <w:r w:rsidRPr="002C4077">
        <w:t xml:space="preserve"> </w:t>
      </w:r>
      <w:r>
        <w:t>appartient</w:t>
      </w:r>
      <w:r w:rsidRPr="002C4077">
        <w:t xml:space="preserve"> </w:t>
      </w:r>
      <w:r>
        <w:t>donc</w:t>
      </w:r>
      <w:r w:rsidRPr="002C4077">
        <w:t xml:space="preserve"> </w:t>
      </w:r>
      <w:r>
        <w:t>à</w:t>
      </w:r>
      <w:r w:rsidRPr="002C4077">
        <w:t xml:space="preserve"> </w:t>
      </w:r>
      <w:r>
        <w:t>la</w:t>
      </w:r>
      <w:r w:rsidRPr="002C4077">
        <w:t xml:space="preserve"> </w:t>
      </w:r>
      <w:r>
        <w:t>terre.</w:t>
      </w:r>
      <w:r w:rsidRPr="002C4077">
        <w:t xml:space="preserve"> </w:t>
      </w:r>
      <w:r>
        <w:t>Mais</w:t>
      </w:r>
      <w:r w:rsidRPr="002C4077">
        <w:t xml:space="preserve"> </w:t>
      </w:r>
      <w:r>
        <w:t>ce</w:t>
      </w:r>
      <w:r w:rsidRPr="002C4077">
        <w:t xml:space="preserve"> </w:t>
      </w:r>
      <w:r>
        <w:t>nom</w:t>
      </w:r>
      <w:r w:rsidRPr="002C4077">
        <w:t xml:space="preserve"> </w:t>
      </w:r>
      <w:r>
        <w:t>d’Emmanuel,</w:t>
      </w:r>
      <w:r w:rsidRPr="002C4077">
        <w:t xml:space="preserve"> </w:t>
      </w:r>
      <w:r w:rsidR="003B53FD" w:rsidRPr="000A34B5">
        <w:rPr>
          <w:rStyle w:val="italicus"/>
        </w:rPr>
        <w:t>Nob</w:t>
      </w:r>
      <w:r w:rsidR="003B53FD">
        <w:rPr>
          <w:rStyle w:val="italicus"/>
        </w:rPr>
        <w:t>í</w:t>
      </w:r>
      <w:r w:rsidR="003B53FD" w:rsidRPr="000A34B5">
        <w:rPr>
          <w:rStyle w:val="italicus"/>
        </w:rPr>
        <w:t>scum</w:t>
      </w:r>
      <w:r w:rsidRPr="002C4077">
        <w:t xml:space="preserve"> </w:t>
      </w:r>
      <w:r w:rsidRPr="000A34B5">
        <w:rPr>
          <w:rStyle w:val="italicus"/>
        </w:rPr>
        <w:t>Deus,</w:t>
      </w:r>
      <w:r w:rsidRPr="002C4077">
        <w:t xml:space="preserve"> </w:t>
      </w:r>
      <w:r>
        <w:t>n’est-il</w:t>
      </w:r>
      <w:r w:rsidRPr="002C4077">
        <w:t xml:space="preserve"> </w:t>
      </w:r>
      <w:r>
        <w:t>qu’un</w:t>
      </w:r>
      <w:r w:rsidRPr="002C4077">
        <w:t xml:space="preserve"> </w:t>
      </w:r>
      <w:r>
        <w:t>gracieux</w:t>
      </w:r>
      <w:r w:rsidRPr="002C4077">
        <w:t xml:space="preserve"> </w:t>
      </w:r>
      <w:r>
        <w:t>emblème</w:t>
      </w:r>
      <w:r w:rsidRPr="002C4077">
        <w:t xml:space="preserve"> </w:t>
      </w:r>
      <w:r>
        <w:t>de</w:t>
      </w:r>
      <w:r w:rsidRPr="002C4077">
        <w:t xml:space="preserve"> </w:t>
      </w:r>
      <w:r>
        <w:t>la</w:t>
      </w:r>
      <w:r w:rsidRPr="002C4077">
        <w:t xml:space="preserve"> </w:t>
      </w:r>
      <w:r>
        <w:t>protection</w:t>
      </w:r>
      <w:r w:rsidRPr="002C4077">
        <w:t xml:space="preserve"> </w:t>
      </w:r>
      <w:r>
        <w:t>divine,</w:t>
      </w:r>
      <w:r w:rsidRPr="002C4077">
        <w:t xml:space="preserve"> </w:t>
      </w:r>
      <w:r>
        <w:t>qu’une</w:t>
      </w:r>
      <w:r w:rsidRPr="002C4077">
        <w:t xml:space="preserve"> </w:t>
      </w:r>
      <w:r>
        <w:t>consolante</w:t>
      </w:r>
      <w:r w:rsidRPr="002C4077">
        <w:t xml:space="preserve"> </w:t>
      </w:r>
      <w:r>
        <w:t>promesse</w:t>
      </w:r>
      <w:r w:rsidRPr="002C4077">
        <w:t xml:space="preserve"> </w:t>
      </w:r>
      <w:r>
        <w:t>d’avenir</w:t>
      </w:r>
      <w:r w:rsidR="00B546AF">
        <w:t> ?</w:t>
      </w:r>
      <w:r w:rsidRPr="002C4077">
        <w:t xml:space="preserve"> </w:t>
      </w:r>
      <w:r>
        <w:t>Il</w:t>
      </w:r>
      <w:r w:rsidRPr="002C4077">
        <w:t xml:space="preserve"> </w:t>
      </w:r>
      <w:r>
        <w:t>n’est</w:t>
      </w:r>
      <w:r w:rsidRPr="002C4077">
        <w:t xml:space="preserve"> </w:t>
      </w:r>
      <w:r>
        <w:t>pas</w:t>
      </w:r>
      <w:r w:rsidRPr="002C4077">
        <w:t xml:space="preserve"> </w:t>
      </w:r>
      <w:r>
        <w:t>autre</w:t>
      </w:r>
      <w:r w:rsidRPr="002C4077">
        <w:t xml:space="preserve"> </w:t>
      </w:r>
      <w:r>
        <w:t>chose,</w:t>
      </w:r>
      <w:r w:rsidRPr="002C4077">
        <w:t xml:space="preserve"> </w:t>
      </w:r>
      <w:r>
        <w:t>affirme</w:t>
      </w:r>
      <w:r w:rsidRPr="002C4077">
        <w:t xml:space="preserve"> </w:t>
      </w:r>
      <w:r>
        <w:t>carrément</w:t>
      </w:r>
      <w:r w:rsidRPr="002C4077">
        <w:t xml:space="preserve"> </w:t>
      </w:r>
      <w:r>
        <w:t>l’école</w:t>
      </w:r>
      <w:r w:rsidRPr="002C4077">
        <w:t xml:space="preserve"> </w:t>
      </w:r>
      <w:r>
        <w:t>rationaliste.</w:t>
      </w:r>
      <w:r w:rsidRPr="002C4077">
        <w:t xml:space="preserve"> </w:t>
      </w:r>
      <w:r w:rsidR="00B546AF">
        <w:t>« </w:t>
      </w:r>
      <w:r>
        <w:t>L’enfant</w:t>
      </w:r>
      <w:r w:rsidRPr="002C4077">
        <w:t xml:space="preserve"> </w:t>
      </w:r>
      <w:r>
        <w:t>recevra</w:t>
      </w:r>
      <w:r w:rsidRPr="002C4077">
        <w:t xml:space="preserve"> </w:t>
      </w:r>
      <w:r>
        <w:t>cette</w:t>
      </w:r>
      <w:r w:rsidRPr="002C4077">
        <w:t xml:space="preserve"> </w:t>
      </w:r>
      <w:r>
        <w:t>dénomination</w:t>
      </w:r>
      <w:r w:rsidRPr="002C4077">
        <w:t xml:space="preserve"> </w:t>
      </w:r>
      <w:r>
        <w:t>significative,</w:t>
      </w:r>
      <w:r w:rsidRPr="002C4077">
        <w:t xml:space="preserve"> </w:t>
      </w:r>
      <w:r>
        <w:t>dit</w:t>
      </w:r>
      <w:r w:rsidRPr="002C4077">
        <w:t xml:space="preserve"> </w:t>
      </w:r>
      <w:r>
        <w:t>Anger</w:t>
      </w:r>
      <w:r w:rsidR="00B91AF7">
        <w:rPr>
          <w:rStyle w:val="Appelnotedebasdep"/>
        </w:rPr>
        <w:footnoteReference w:id="87"/>
      </w:r>
      <w:r>
        <w:t>,</w:t>
      </w:r>
      <w:r w:rsidRPr="002C4077">
        <w:t xml:space="preserve"> </w:t>
      </w:r>
      <w:r>
        <w:t>à</w:t>
      </w:r>
      <w:r w:rsidRPr="002C4077">
        <w:t xml:space="preserve"> </w:t>
      </w:r>
      <w:r>
        <w:t>cause</w:t>
      </w:r>
      <w:r w:rsidRPr="002C4077">
        <w:t xml:space="preserve"> </w:t>
      </w:r>
      <w:r>
        <w:t>des</w:t>
      </w:r>
      <w:r w:rsidRPr="002C4077">
        <w:t xml:space="preserve"> </w:t>
      </w:r>
      <w:r>
        <w:t>heureuses</w:t>
      </w:r>
      <w:r w:rsidRPr="002C4077">
        <w:t xml:space="preserve"> </w:t>
      </w:r>
      <w:r>
        <w:t>circonstances</w:t>
      </w:r>
      <w:r w:rsidRPr="002C4077">
        <w:t xml:space="preserve"> </w:t>
      </w:r>
      <w:r>
        <w:t>des</w:t>
      </w:r>
      <w:r w:rsidRPr="002C4077">
        <w:t xml:space="preserve"> </w:t>
      </w:r>
      <w:r>
        <w:t>temps</w:t>
      </w:r>
      <w:r w:rsidR="00B546AF">
        <w:t> »</w:t>
      </w:r>
      <w:r>
        <w:t>.</w:t>
      </w:r>
      <w:r w:rsidRPr="002C4077">
        <w:t xml:space="preserve"> </w:t>
      </w:r>
      <w:r>
        <w:t>M.</w:t>
      </w:r>
      <w:r w:rsidRPr="002C4077">
        <w:t xml:space="preserve"> </w:t>
      </w:r>
      <w:r>
        <w:t>H.</w:t>
      </w:r>
      <w:r w:rsidRPr="002C4077">
        <w:t xml:space="preserve"> </w:t>
      </w:r>
      <w:r>
        <w:t>Schultz</w:t>
      </w:r>
      <w:r w:rsidRPr="002C4077">
        <w:t xml:space="preserve"> </w:t>
      </w:r>
      <w:r>
        <w:t>reproduit,</w:t>
      </w:r>
      <w:r w:rsidRPr="002C4077">
        <w:t xml:space="preserve"> </w:t>
      </w:r>
      <w:r>
        <w:t>en</w:t>
      </w:r>
      <w:r w:rsidRPr="002C4077">
        <w:t xml:space="preserve"> </w:t>
      </w:r>
      <w:r>
        <w:t>la</w:t>
      </w:r>
      <w:r w:rsidRPr="002C4077">
        <w:t xml:space="preserve"> </w:t>
      </w:r>
      <w:r>
        <w:t>délayant</w:t>
      </w:r>
      <w:r w:rsidRPr="002C4077">
        <w:t xml:space="preserve"> </w:t>
      </w:r>
      <w:r>
        <w:t>et</w:t>
      </w:r>
      <w:r w:rsidRPr="002C4077">
        <w:t xml:space="preserve"> </w:t>
      </w:r>
      <w:r>
        <w:t>en</w:t>
      </w:r>
      <w:r w:rsidRPr="002C4077">
        <w:t xml:space="preserve"> </w:t>
      </w:r>
      <w:r>
        <w:t>la</w:t>
      </w:r>
      <w:r w:rsidRPr="002C4077">
        <w:t xml:space="preserve"> </w:t>
      </w:r>
      <w:r>
        <w:t>rendant</w:t>
      </w:r>
      <w:r w:rsidRPr="002C4077">
        <w:t xml:space="preserve"> </w:t>
      </w:r>
      <w:r>
        <w:t>plus</w:t>
      </w:r>
      <w:r w:rsidRPr="002C4077">
        <w:t xml:space="preserve"> </w:t>
      </w:r>
      <w:r>
        <w:t>apparente,</w:t>
      </w:r>
      <w:r w:rsidRPr="002C4077">
        <w:t xml:space="preserve"> </w:t>
      </w:r>
      <w:r>
        <w:t>cette</w:t>
      </w:r>
      <w:r w:rsidRPr="002C4077">
        <w:t xml:space="preserve"> </w:t>
      </w:r>
      <w:r>
        <w:t>banalité.</w:t>
      </w:r>
      <w:r w:rsidRPr="002C4077">
        <w:t xml:space="preserve"> </w:t>
      </w:r>
      <w:r w:rsidR="00B546AF">
        <w:t>« </w:t>
      </w:r>
      <w:r>
        <w:t>Sa</w:t>
      </w:r>
      <w:r w:rsidRPr="002C4077">
        <w:t xml:space="preserve"> </w:t>
      </w:r>
      <w:r>
        <w:t>mère</w:t>
      </w:r>
      <w:r w:rsidRPr="002C4077">
        <w:t xml:space="preserve"> </w:t>
      </w:r>
      <w:r>
        <w:t>devra</w:t>
      </w:r>
      <w:r w:rsidRPr="002C4077">
        <w:t xml:space="preserve"> </w:t>
      </w:r>
      <w:r>
        <w:t>l’appeler</w:t>
      </w:r>
      <w:r w:rsidRPr="002C4077">
        <w:t xml:space="preserve"> </w:t>
      </w:r>
      <w:r>
        <w:t>Emmanuel,</w:t>
      </w:r>
      <w:r w:rsidRPr="002C4077">
        <w:t xml:space="preserve"> </w:t>
      </w:r>
      <w:r>
        <w:t>de</w:t>
      </w:r>
      <w:r w:rsidRPr="002C4077">
        <w:t xml:space="preserve"> </w:t>
      </w:r>
      <w:r>
        <w:t>même</w:t>
      </w:r>
      <w:r w:rsidRPr="002C4077">
        <w:t xml:space="preserve"> </w:t>
      </w:r>
      <w:r>
        <w:t>qu’Agar</w:t>
      </w:r>
      <w:r w:rsidRPr="002C4077">
        <w:t xml:space="preserve"> </w:t>
      </w:r>
      <w:r>
        <w:t>reçut</w:t>
      </w:r>
      <w:r w:rsidRPr="002C4077">
        <w:t xml:space="preserve"> </w:t>
      </w:r>
      <w:r>
        <w:t>l’ordre</w:t>
      </w:r>
      <w:r w:rsidRPr="002C4077">
        <w:t xml:space="preserve"> </w:t>
      </w:r>
      <w:r>
        <w:t>de</w:t>
      </w:r>
      <w:r w:rsidRPr="002C4077">
        <w:t xml:space="preserve"> </w:t>
      </w:r>
      <w:r>
        <w:t>nommer</w:t>
      </w:r>
      <w:r w:rsidRPr="002C4077">
        <w:t xml:space="preserve"> </w:t>
      </w:r>
      <w:r>
        <w:t>son</w:t>
      </w:r>
      <w:r w:rsidRPr="002C4077">
        <w:t xml:space="preserve"> </w:t>
      </w:r>
      <w:r>
        <w:t>fils</w:t>
      </w:r>
      <w:r w:rsidRPr="002C4077">
        <w:t xml:space="preserve"> </w:t>
      </w:r>
      <w:r>
        <w:t>Ismaël</w:t>
      </w:r>
      <w:r w:rsidRPr="004440EA">
        <w:t xml:space="preserve"> (</w:t>
      </w:r>
      <w:r>
        <w:t>Agar</w:t>
      </w:r>
      <w:r w:rsidRPr="002C4077">
        <w:t xml:space="preserve"> </w:t>
      </w:r>
      <w:r>
        <w:t>rapprochée</w:t>
      </w:r>
      <w:r w:rsidRPr="002C4077">
        <w:t xml:space="preserve"> </w:t>
      </w:r>
      <w:r>
        <w:t>de</w:t>
      </w:r>
      <w:r w:rsidRPr="002C4077">
        <w:t xml:space="preserve"> </w:t>
      </w:r>
      <w:r w:rsidR="00D40830" w:rsidRPr="00D40830">
        <w:t>l’</w:t>
      </w:r>
      <w:r w:rsidR="00D40830" w:rsidRPr="00D05EA9">
        <w:rPr>
          <w:rStyle w:val="italicus"/>
        </w:rPr>
        <w:t>῾almah</w:t>
      </w:r>
      <w:r w:rsidRPr="000A34B5">
        <w:rPr>
          <w:rStyle w:val="italicus"/>
        </w:rPr>
        <w:t>,</w:t>
      </w:r>
      <w:r w:rsidRPr="002C4077">
        <w:t xml:space="preserve"> </w:t>
      </w:r>
      <w:r>
        <w:t>Emmanuel</w:t>
      </w:r>
      <w:r w:rsidRPr="002C4077">
        <w:t xml:space="preserve"> </w:t>
      </w:r>
      <w:r>
        <w:t>du</w:t>
      </w:r>
      <w:r w:rsidRPr="002C4077">
        <w:t xml:space="preserve"> </w:t>
      </w:r>
      <w:r>
        <w:t>fils</w:t>
      </w:r>
      <w:r w:rsidRPr="002C4077">
        <w:t xml:space="preserve"> </w:t>
      </w:r>
      <w:r>
        <w:t>d’</w:t>
      </w:r>
      <w:r w:rsidR="001730C6">
        <w:t>Ag</w:t>
      </w:r>
      <w:r>
        <w:t>ar</w:t>
      </w:r>
      <w:r w:rsidR="0055004A">
        <w:t> !!</w:t>
      </w:r>
      <w:r w:rsidR="00B546AF" w:rsidRPr="002C4077">
        <w:t>)</w:t>
      </w:r>
      <w:r w:rsidRPr="00950016">
        <w:t>,</w:t>
      </w:r>
      <w:r w:rsidRPr="002C4077">
        <w:t xml:space="preserve"> </w:t>
      </w:r>
      <w:r>
        <w:t>non</w:t>
      </w:r>
      <w:r w:rsidRPr="002C4077">
        <w:t xml:space="preserve"> </w:t>
      </w:r>
      <w:r>
        <w:t>que</w:t>
      </w:r>
      <w:r w:rsidRPr="002C4077">
        <w:t xml:space="preserve"> </w:t>
      </w:r>
      <w:r>
        <w:t>Dieu</w:t>
      </w:r>
      <w:r w:rsidRPr="002C4077">
        <w:t xml:space="preserve"> </w:t>
      </w:r>
      <w:r>
        <w:t>dût</w:t>
      </w:r>
      <w:r w:rsidRPr="002C4077">
        <w:t xml:space="preserve"> </w:t>
      </w:r>
      <w:r>
        <w:t>être</w:t>
      </w:r>
      <w:r w:rsidRPr="002C4077">
        <w:t xml:space="preserve"> </w:t>
      </w:r>
      <w:r>
        <w:t>d’une</w:t>
      </w:r>
      <w:r w:rsidRPr="002C4077">
        <w:t xml:space="preserve"> </w:t>
      </w:r>
      <w:r>
        <w:t>manière</w:t>
      </w:r>
      <w:r w:rsidRPr="002C4077">
        <w:t xml:space="preserve"> </w:t>
      </w:r>
      <w:r>
        <w:t>particulière</w:t>
      </w:r>
      <w:r w:rsidRPr="002C4077">
        <w:t xml:space="preserve"> </w:t>
      </w:r>
      <w:r>
        <w:t>avec</w:t>
      </w:r>
      <w:r w:rsidRPr="002C4077">
        <w:t xml:space="preserve"> </w:t>
      </w:r>
      <w:r>
        <w:t>l’enfant</w:t>
      </w:r>
      <w:r w:rsidRPr="004440EA">
        <w:t xml:space="preserve"> (</w:t>
      </w:r>
      <w:r>
        <w:t>pas</w:t>
      </w:r>
      <w:r w:rsidRPr="002C4077">
        <w:t xml:space="preserve"> </w:t>
      </w:r>
      <w:r>
        <w:t>même</w:t>
      </w:r>
      <w:r w:rsidRPr="002C4077">
        <w:t xml:space="preserve"> </w:t>
      </w:r>
      <w:r>
        <w:t>cela</w:t>
      </w:r>
      <w:r w:rsidR="00B546AF">
        <w:t> !</w:t>
      </w:r>
      <w:r w:rsidR="00B546AF" w:rsidRPr="002C4077">
        <w:t>)</w:t>
      </w:r>
      <w:r w:rsidRPr="00950016">
        <w:t>,</w:t>
      </w:r>
      <w:r w:rsidRPr="002C4077">
        <w:t xml:space="preserve"> </w:t>
      </w:r>
      <w:r>
        <w:t>moins</w:t>
      </w:r>
      <w:r w:rsidRPr="002C4077">
        <w:t xml:space="preserve"> </w:t>
      </w:r>
      <w:r>
        <w:t>encore</w:t>
      </w:r>
      <w:r w:rsidRPr="002C4077">
        <w:t xml:space="preserve"> </w:t>
      </w:r>
      <w:r>
        <w:t>que</w:t>
      </w:r>
      <w:r w:rsidRPr="002C4077">
        <w:t xml:space="preserve"> </w:t>
      </w:r>
      <w:r>
        <w:t>l’enfant</w:t>
      </w:r>
      <w:r w:rsidRPr="002C4077">
        <w:t xml:space="preserve"> </w:t>
      </w:r>
      <w:r>
        <w:t>dût</w:t>
      </w:r>
      <w:r w:rsidRPr="002C4077">
        <w:t xml:space="preserve"> </w:t>
      </w:r>
      <w:r>
        <w:t>être</w:t>
      </w:r>
      <w:r w:rsidRPr="002C4077">
        <w:t xml:space="preserve"> </w:t>
      </w:r>
      <w:r>
        <w:t>Dieu</w:t>
      </w:r>
      <w:r w:rsidRPr="002C4077">
        <w:t xml:space="preserve"> </w:t>
      </w:r>
      <w:r>
        <w:t>vivant</w:t>
      </w:r>
      <w:r w:rsidRPr="002C4077">
        <w:t xml:space="preserve"> </w:t>
      </w:r>
      <w:r>
        <w:t>au</w:t>
      </w:r>
      <w:r w:rsidRPr="002C4077">
        <w:t xml:space="preserve"> </w:t>
      </w:r>
      <w:r>
        <w:t>milieu</w:t>
      </w:r>
      <w:r w:rsidRPr="002C4077">
        <w:t xml:space="preserve"> </w:t>
      </w:r>
      <w:r>
        <w:t>de</w:t>
      </w:r>
      <w:r w:rsidRPr="002C4077">
        <w:t xml:space="preserve"> </w:t>
      </w:r>
      <w:r>
        <w:t>son</w:t>
      </w:r>
      <w:r w:rsidRPr="002C4077">
        <w:t xml:space="preserve"> </w:t>
      </w:r>
      <w:r>
        <w:t>peuple,</w:t>
      </w:r>
      <w:r w:rsidRPr="002C4077">
        <w:t xml:space="preserve"> </w:t>
      </w:r>
      <w:r>
        <w:t>—</w:t>
      </w:r>
      <w:r w:rsidRPr="002C4077">
        <w:t xml:space="preserve"> </w:t>
      </w:r>
      <w:r>
        <w:t>mais</w:t>
      </w:r>
      <w:r w:rsidRPr="002C4077">
        <w:t xml:space="preserve"> </w:t>
      </w:r>
      <w:r>
        <w:t>elle</w:t>
      </w:r>
      <w:r w:rsidRPr="002C4077">
        <w:t xml:space="preserve"> </w:t>
      </w:r>
      <w:r w:rsidR="00425C50">
        <w:t>est</w:t>
      </w:r>
      <w:r w:rsidRPr="002C4077">
        <w:t xml:space="preserve"> </w:t>
      </w:r>
      <w:r>
        <w:t>chargée</w:t>
      </w:r>
      <w:r w:rsidRPr="002C4077">
        <w:t xml:space="preserve"> </w:t>
      </w:r>
      <w:r>
        <w:t>de</w:t>
      </w:r>
      <w:r w:rsidRPr="002C4077">
        <w:t xml:space="preserve"> </w:t>
      </w:r>
      <w:r>
        <w:t>garantir</w:t>
      </w:r>
      <w:r w:rsidRPr="002C4077">
        <w:t xml:space="preserve"> </w:t>
      </w:r>
      <w:r>
        <w:t>au</w:t>
      </w:r>
      <w:r w:rsidRPr="002C4077">
        <w:t xml:space="preserve"> </w:t>
      </w:r>
      <w:r>
        <w:t>peuple,</w:t>
      </w:r>
      <w:r w:rsidRPr="002C4077">
        <w:t xml:space="preserve"> </w:t>
      </w:r>
      <w:r>
        <w:t>par</w:t>
      </w:r>
      <w:r w:rsidRPr="002C4077">
        <w:t xml:space="preserve"> </w:t>
      </w:r>
      <w:r>
        <w:t>le</w:t>
      </w:r>
      <w:r w:rsidRPr="002C4077">
        <w:t xml:space="preserve"> </w:t>
      </w:r>
      <w:r>
        <w:t>nom</w:t>
      </w:r>
      <w:r w:rsidRPr="002C4077">
        <w:t xml:space="preserve"> </w:t>
      </w:r>
      <w:r>
        <w:t>de</w:t>
      </w:r>
      <w:r w:rsidRPr="002C4077">
        <w:t xml:space="preserve"> </w:t>
      </w:r>
      <w:r>
        <w:t>l’enfant,</w:t>
      </w:r>
      <w:r w:rsidRPr="002C4077">
        <w:t xml:space="preserve"> </w:t>
      </w:r>
      <w:r>
        <w:t>la</w:t>
      </w:r>
      <w:r w:rsidRPr="002C4077">
        <w:t xml:space="preserve"> </w:t>
      </w:r>
      <w:r>
        <w:t>promesse</w:t>
      </w:r>
      <w:r w:rsidRPr="002C4077">
        <w:t xml:space="preserve"> </w:t>
      </w:r>
      <w:r>
        <w:t>que</w:t>
      </w:r>
      <w:r w:rsidRPr="002C4077">
        <w:t xml:space="preserve"> </w:t>
      </w:r>
      <w:r>
        <w:t>Dieu</w:t>
      </w:r>
      <w:r w:rsidRPr="002C4077">
        <w:t xml:space="preserve"> </w:t>
      </w:r>
      <w:r>
        <w:t>n’abandonnera</w:t>
      </w:r>
      <w:r w:rsidRPr="002C4077">
        <w:t xml:space="preserve"> </w:t>
      </w:r>
      <w:r>
        <w:t>pas</w:t>
      </w:r>
      <w:r w:rsidRPr="002C4077">
        <w:t xml:space="preserve"> </w:t>
      </w:r>
      <w:r>
        <w:t>les</w:t>
      </w:r>
      <w:bookmarkStart w:id="122" w:name="z_Messieemmanuel_o2"/>
      <w:bookmarkEnd w:id="122"/>
      <w:r w:rsidRPr="002C4077">
        <w:t xml:space="preserve"> </w:t>
      </w:r>
      <w:r>
        <w:t>siens</w:t>
      </w:r>
      <w:r w:rsidR="00B91AF7">
        <w:rPr>
          <w:rStyle w:val="Appelnotedebasdep"/>
        </w:rPr>
        <w:footnoteReference w:id="88"/>
      </w:r>
      <w:r w:rsidR="00B546AF">
        <w:t> »</w:t>
      </w:r>
      <w:r>
        <w:t>.</w:t>
      </w:r>
      <w:r w:rsidRPr="002C4077">
        <w:t xml:space="preserve"> </w:t>
      </w:r>
    </w:p>
    <w:p w:rsidR="000A7AAB" w:rsidRDefault="000A7AAB" w:rsidP="000A7AAB">
      <w:r>
        <w:t>Qu’en</w:t>
      </w:r>
      <w:r w:rsidRPr="002C4077">
        <w:t xml:space="preserve"> </w:t>
      </w:r>
      <w:r>
        <w:t>soi</w:t>
      </w:r>
      <w:r w:rsidRPr="002C4077">
        <w:t xml:space="preserve"> </w:t>
      </w:r>
      <w:r>
        <w:t>et</w:t>
      </w:r>
      <w:r w:rsidRPr="002C4077">
        <w:t xml:space="preserve"> </w:t>
      </w:r>
      <w:r>
        <w:t>d’une</w:t>
      </w:r>
      <w:r w:rsidRPr="002C4077">
        <w:t xml:space="preserve"> </w:t>
      </w:r>
      <w:r>
        <w:t>manière</w:t>
      </w:r>
      <w:r w:rsidRPr="002C4077">
        <w:t xml:space="preserve"> </w:t>
      </w:r>
      <w:r>
        <w:t>générale</w:t>
      </w:r>
      <w:r w:rsidRPr="002C4077">
        <w:t xml:space="preserve"> </w:t>
      </w:r>
      <w:r>
        <w:t>la</w:t>
      </w:r>
      <w:r w:rsidRPr="002C4077">
        <w:t xml:space="preserve"> </w:t>
      </w:r>
      <w:r>
        <w:t>belle</w:t>
      </w:r>
      <w:r w:rsidRPr="002C4077">
        <w:t xml:space="preserve"> </w:t>
      </w:r>
      <w:r>
        <w:t>dénomination</w:t>
      </w:r>
      <w:r w:rsidRPr="002C4077">
        <w:t xml:space="preserve"> </w:t>
      </w:r>
      <w:r>
        <w:t>d’Emmanuel</w:t>
      </w:r>
      <w:r w:rsidRPr="002C4077">
        <w:t xml:space="preserve"> </w:t>
      </w:r>
      <w:r>
        <w:t>puisse</w:t>
      </w:r>
      <w:r w:rsidRPr="002C4077">
        <w:t xml:space="preserve"> </w:t>
      </w:r>
      <w:r>
        <w:t>n’être</w:t>
      </w:r>
      <w:r w:rsidRPr="002C4077">
        <w:t xml:space="preserve"> </w:t>
      </w:r>
      <w:r>
        <w:t>qu’un</w:t>
      </w:r>
      <w:r w:rsidRPr="002C4077">
        <w:t xml:space="preserve"> </w:t>
      </w:r>
      <w:r>
        <w:t>symbole,</w:t>
      </w:r>
      <w:r w:rsidRPr="002C4077">
        <w:t xml:space="preserve"> </w:t>
      </w:r>
      <w:r>
        <w:t>nous</w:t>
      </w:r>
      <w:r w:rsidRPr="002C4077">
        <w:t xml:space="preserve"> </w:t>
      </w:r>
      <w:r>
        <w:t>ne</w:t>
      </w:r>
      <w:r w:rsidRPr="002C4077">
        <w:t xml:space="preserve"> </w:t>
      </w:r>
      <w:r>
        <w:t>le</w:t>
      </w:r>
      <w:r w:rsidRPr="002C4077">
        <w:t xml:space="preserve"> </w:t>
      </w:r>
      <w:r>
        <w:t>contesterons</w:t>
      </w:r>
      <w:r w:rsidRPr="002C4077">
        <w:t xml:space="preserve"> </w:t>
      </w:r>
      <w:r>
        <w:t>pas</w:t>
      </w:r>
      <w:r w:rsidR="00B546AF">
        <w:t> ;</w:t>
      </w:r>
      <w:r w:rsidRPr="002C4077">
        <w:t xml:space="preserve"> </w:t>
      </w:r>
      <w:r>
        <w:t>mais</w:t>
      </w:r>
      <w:r w:rsidRPr="002C4077">
        <w:t xml:space="preserve"> </w:t>
      </w:r>
      <w:r>
        <w:t>ce</w:t>
      </w:r>
      <w:r w:rsidRPr="002C4077">
        <w:t xml:space="preserve"> </w:t>
      </w:r>
      <w:r>
        <w:t>qu’on</w:t>
      </w:r>
      <w:r w:rsidRPr="002C4077">
        <w:t xml:space="preserve"> </w:t>
      </w:r>
      <w:r>
        <w:t>ne</w:t>
      </w:r>
      <w:r w:rsidRPr="002C4077">
        <w:t xml:space="preserve"> </w:t>
      </w:r>
      <w:r>
        <w:t>nous</w:t>
      </w:r>
      <w:r w:rsidRPr="002C4077">
        <w:t xml:space="preserve"> </w:t>
      </w:r>
      <w:r>
        <w:t>fera</w:t>
      </w:r>
      <w:r w:rsidRPr="002C4077">
        <w:t xml:space="preserve"> </w:t>
      </w:r>
      <w:r>
        <w:t>jamais</w:t>
      </w:r>
      <w:r w:rsidRPr="002C4077">
        <w:t xml:space="preserve"> </w:t>
      </w:r>
      <w:r>
        <w:t>admettre,</w:t>
      </w:r>
      <w:r w:rsidRPr="002C4077">
        <w:t xml:space="preserve"> </w:t>
      </w:r>
      <w:r>
        <w:t>c’est</w:t>
      </w:r>
      <w:r w:rsidRPr="002C4077">
        <w:t xml:space="preserve"> </w:t>
      </w:r>
      <w:r>
        <w:t>qu’il</w:t>
      </w:r>
      <w:r w:rsidRPr="002C4077">
        <w:t xml:space="preserve"> </w:t>
      </w:r>
      <w:r>
        <w:t>faille</w:t>
      </w:r>
      <w:r w:rsidRPr="002C4077">
        <w:t xml:space="preserve"> </w:t>
      </w:r>
      <w:r>
        <w:t>la</w:t>
      </w:r>
      <w:r w:rsidRPr="002C4077">
        <w:t xml:space="preserve"> </w:t>
      </w:r>
      <w:r>
        <w:t>resserrer</w:t>
      </w:r>
      <w:r w:rsidRPr="002C4077">
        <w:t xml:space="preserve"> </w:t>
      </w:r>
      <w:r>
        <w:t>ici</w:t>
      </w:r>
      <w:r w:rsidRPr="002C4077">
        <w:t xml:space="preserve"> </w:t>
      </w:r>
      <w:r>
        <w:lastRenderedPageBreak/>
        <w:t>dans</w:t>
      </w:r>
      <w:r w:rsidRPr="002C4077">
        <w:t xml:space="preserve"> </w:t>
      </w:r>
      <w:r>
        <w:t>ces</w:t>
      </w:r>
      <w:r w:rsidRPr="002C4077">
        <w:t xml:space="preserve"> </w:t>
      </w:r>
      <w:r>
        <w:t>étroites</w:t>
      </w:r>
      <w:r w:rsidRPr="002C4077">
        <w:t xml:space="preserve"> </w:t>
      </w:r>
      <w:r>
        <w:t>limites.</w:t>
      </w:r>
      <w:r w:rsidRPr="002C4077">
        <w:t xml:space="preserve"> </w:t>
      </w:r>
      <w:r>
        <w:t>Nos</w:t>
      </w:r>
      <w:r w:rsidRPr="002C4077">
        <w:t xml:space="preserve"> </w:t>
      </w:r>
      <w:r>
        <w:t>adversaires</w:t>
      </w:r>
      <w:r w:rsidRPr="002C4077">
        <w:t xml:space="preserve"> </w:t>
      </w:r>
      <w:r>
        <w:t>recherchent</w:t>
      </w:r>
      <w:r w:rsidRPr="002C4077">
        <w:t xml:space="preserve"> </w:t>
      </w:r>
      <w:r>
        <w:t>avant</w:t>
      </w:r>
      <w:r w:rsidRPr="002C4077">
        <w:t xml:space="preserve"> </w:t>
      </w:r>
      <w:r>
        <w:t>tout</w:t>
      </w:r>
      <w:r w:rsidRPr="002C4077">
        <w:t xml:space="preserve"> </w:t>
      </w:r>
      <w:r>
        <w:t>le</w:t>
      </w:r>
      <w:r w:rsidRPr="002C4077">
        <w:t xml:space="preserve"> </w:t>
      </w:r>
      <w:r>
        <w:t>sens</w:t>
      </w:r>
      <w:r w:rsidRPr="002C4077">
        <w:t xml:space="preserve"> </w:t>
      </w:r>
      <w:r>
        <w:t>littéral</w:t>
      </w:r>
      <w:r w:rsidR="00B546AF">
        <w:t> ;</w:t>
      </w:r>
      <w:r w:rsidRPr="002C4077">
        <w:t xml:space="preserve"> </w:t>
      </w:r>
      <w:r>
        <w:t>nous</w:t>
      </w:r>
      <w:r w:rsidRPr="002C4077">
        <w:t xml:space="preserve"> </w:t>
      </w:r>
      <w:r>
        <w:t>aussi.</w:t>
      </w:r>
      <w:r w:rsidR="00C45B47">
        <w:t xml:space="preserve"> {</w:t>
      </w:r>
      <w:r w:rsidR="000721C4">
        <w:t>33</w:t>
      </w:r>
      <w:bookmarkStart w:id="123" w:name="p033"/>
      <w:bookmarkEnd w:id="123"/>
      <w:r w:rsidR="000721C4">
        <w:t xml:space="preserve">} </w:t>
      </w:r>
      <w:r>
        <w:t>Ils</w:t>
      </w:r>
      <w:r w:rsidRPr="002C4077">
        <w:t xml:space="preserve"> </w:t>
      </w:r>
      <w:r>
        <w:t>s’appuient</w:t>
      </w:r>
      <w:r w:rsidRPr="002C4077">
        <w:t xml:space="preserve"> </w:t>
      </w:r>
      <w:r>
        <w:t>sur</w:t>
      </w:r>
      <w:r w:rsidRPr="002C4077">
        <w:t xml:space="preserve"> </w:t>
      </w:r>
      <w:r>
        <w:t>la</w:t>
      </w:r>
      <w:r w:rsidRPr="002C4077">
        <w:t xml:space="preserve"> </w:t>
      </w:r>
      <w:r>
        <w:t>philologie,</w:t>
      </w:r>
      <w:r w:rsidRPr="002C4077">
        <w:t xml:space="preserve"> </w:t>
      </w:r>
      <w:r>
        <w:t>la</w:t>
      </w:r>
      <w:r w:rsidRPr="002C4077">
        <w:t xml:space="preserve"> </w:t>
      </w:r>
      <w:r>
        <w:t>grammaire,</w:t>
      </w:r>
      <w:r w:rsidRPr="002C4077">
        <w:t xml:space="preserve"> </w:t>
      </w:r>
      <w:r>
        <w:t>la</w:t>
      </w:r>
      <w:r w:rsidRPr="002C4077">
        <w:t xml:space="preserve"> </w:t>
      </w:r>
      <w:r>
        <w:t>logique</w:t>
      </w:r>
      <w:r w:rsidR="00B546AF">
        <w:t> ;</w:t>
      </w:r>
      <w:r w:rsidRPr="002C4077">
        <w:t xml:space="preserve"> </w:t>
      </w:r>
      <w:r>
        <w:t>pour</w:t>
      </w:r>
      <w:r w:rsidRPr="002C4077">
        <w:t xml:space="preserve"> </w:t>
      </w:r>
      <w:r>
        <w:t>le</w:t>
      </w:r>
      <w:r w:rsidRPr="002C4077">
        <w:t xml:space="preserve"> </w:t>
      </w:r>
      <w:r>
        <w:t>moment,</w:t>
      </w:r>
      <w:r w:rsidRPr="002C4077">
        <w:t xml:space="preserve"> </w:t>
      </w:r>
      <w:r>
        <w:t>nous</w:t>
      </w:r>
      <w:r w:rsidRPr="002C4077">
        <w:t xml:space="preserve"> </w:t>
      </w:r>
      <w:r>
        <w:t>ne</w:t>
      </w:r>
      <w:r w:rsidRPr="002C4077">
        <w:t xml:space="preserve"> </w:t>
      </w:r>
      <w:r>
        <w:t>voulons</w:t>
      </w:r>
      <w:r w:rsidRPr="002C4077">
        <w:t xml:space="preserve"> </w:t>
      </w:r>
      <w:r>
        <w:t>pas</w:t>
      </w:r>
      <w:r w:rsidRPr="002C4077">
        <w:t xml:space="preserve"> </w:t>
      </w:r>
      <w:r>
        <w:t>d’autre</w:t>
      </w:r>
      <w:r w:rsidRPr="002C4077">
        <w:t xml:space="preserve"> </w:t>
      </w:r>
      <w:r>
        <w:t>preuve.</w:t>
      </w:r>
      <w:r w:rsidRPr="002C4077">
        <w:t xml:space="preserve"> </w:t>
      </w:r>
      <w:r>
        <w:t>Or,</w:t>
      </w:r>
      <w:r w:rsidRPr="002C4077">
        <w:t xml:space="preserve"> </w:t>
      </w:r>
      <w:r>
        <w:t>dirons-nous</w:t>
      </w:r>
      <w:r w:rsidRPr="002C4077">
        <w:t xml:space="preserve"> </w:t>
      </w:r>
      <w:r>
        <w:t>avec</w:t>
      </w:r>
      <w:r w:rsidRPr="002C4077">
        <w:t xml:space="preserve"> </w:t>
      </w:r>
      <w:r>
        <w:t>l’un</w:t>
      </w:r>
      <w:r w:rsidRPr="002C4077">
        <w:t xml:space="preserve"> </w:t>
      </w:r>
      <w:r>
        <w:t>des</w:t>
      </w:r>
      <w:r w:rsidRPr="002C4077">
        <w:t xml:space="preserve"> </w:t>
      </w:r>
      <w:r>
        <w:t>hébraïsants</w:t>
      </w:r>
      <w:r w:rsidRPr="002C4077">
        <w:t xml:space="preserve"> </w:t>
      </w:r>
      <w:r>
        <w:t>contemporains</w:t>
      </w:r>
      <w:r w:rsidRPr="002C4077">
        <w:t xml:space="preserve"> </w:t>
      </w:r>
      <w:r>
        <w:t>les</w:t>
      </w:r>
      <w:r w:rsidRPr="002C4077">
        <w:t xml:space="preserve"> </w:t>
      </w:r>
      <w:r>
        <w:t>plus</w:t>
      </w:r>
      <w:r w:rsidRPr="002C4077">
        <w:t xml:space="preserve"> </w:t>
      </w:r>
      <w:r>
        <w:t>distingués</w:t>
      </w:r>
      <w:bookmarkStart w:id="124" w:name="z_LeHir_o1"/>
      <w:bookmarkEnd w:id="124"/>
      <w:r>
        <w:t>,</w:t>
      </w:r>
      <w:r w:rsidRPr="002C4077">
        <w:t xml:space="preserve"> </w:t>
      </w:r>
      <w:r w:rsidR="00B546AF">
        <w:t>« </w:t>
      </w:r>
      <w:r>
        <w:t>le</w:t>
      </w:r>
      <w:r w:rsidRPr="002C4077">
        <w:t xml:space="preserve"> </w:t>
      </w:r>
      <w:r>
        <w:t>philologue</w:t>
      </w:r>
      <w:r w:rsidRPr="002C4077">
        <w:t xml:space="preserve"> </w:t>
      </w:r>
      <w:r>
        <w:t>impartial,</w:t>
      </w:r>
      <w:r w:rsidRPr="002C4077">
        <w:t xml:space="preserve"> </w:t>
      </w:r>
      <w:r>
        <w:t>en</w:t>
      </w:r>
      <w:r w:rsidRPr="002C4077">
        <w:t xml:space="preserve"> </w:t>
      </w:r>
      <w:r>
        <w:t>étudiant</w:t>
      </w:r>
      <w:r w:rsidRPr="002C4077">
        <w:t xml:space="preserve"> </w:t>
      </w:r>
      <w:r>
        <w:t>ces</w:t>
      </w:r>
      <w:r w:rsidRPr="002C4077">
        <w:t xml:space="preserve"> </w:t>
      </w:r>
      <w:r>
        <w:t>pages,</w:t>
      </w:r>
      <w:r w:rsidRPr="002C4077">
        <w:t xml:space="preserve"> </w:t>
      </w:r>
      <w:r>
        <w:t>se</w:t>
      </w:r>
      <w:r w:rsidRPr="002C4077">
        <w:t xml:space="preserve"> </w:t>
      </w:r>
      <w:r>
        <w:t>convaincra</w:t>
      </w:r>
      <w:r w:rsidRPr="002C4077">
        <w:t xml:space="preserve"> </w:t>
      </w:r>
      <w:r>
        <w:t>qu’elles</w:t>
      </w:r>
      <w:r w:rsidRPr="002C4077">
        <w:t xml:space="preserve"> </w:t>
      </w:r>
      <w:r>
        <w:t>annoncent</w:t>
      </w:r>
      <w:r w:rsidRPr="002C4077">
        <w:t xml:space="preserve"> </w:t>
      </w:r>
      <w:r>
        <w:t>la</w:t>
      </w:r>
      <w:r w:rsidRPr="002C4077">
        <w:t xml:space="preserve"> </w:t>
      </w:r>
      <w:r>
        <w:t>naissance</w:t>
      </w:r>
      <w:r w:rsidRPr="002C4077">
        <w:t xml:space="preserve"> </w:t>
      </w:r>
      <w:r>
        <w:t>d’un</w:t>
      </w:r>
      <w:r w:rsidRPr="002C4077">
        <w:t xml:space="preserve"> </w:t>
      </w:r>
      <w:r>
        <w:t>Dieu,</w:t>
      </w:r>
      <w:r w:rsidRPr="002C4077">
        <w:t xml:space="preserve"> </w:t>
      </w:r>
      <w:r>
        <w:t>l’incarnation</w:t>
      </w:r>
      <w:r w:rsidRPr="002C4077">
        <w:t xml:space="preserve"> </w:t>
      </w:r>
      <w:r>
        <w:t>dans</w:t>
      </w:r>
      <w:r w:rsidRPr="002C4077">
        <w:t xml:space="preserve"> </w:t>
      </w:r>
      <w:r>
        <w:t>le</w:t>
      </w:r>
      <w:r w:rsidRPr="002C4077">
        <w:t xml:space="preserve"> </w:t>
      </w:r>
      <w:r>
        <w:t>sens</w:t>
      </w:r>
      <w:r w:rsidRPr="002C4077">
        <w:t xml:space="preserve"> </w:t>
      </w:r>
      <w:r>
        <w:t>rigoureux</w:t>
      </w:r>
      <w:r w:rsidRPr="002C4077">
        <w:t xml:space="preserve"> </w:t>
      </w:r>
      <w:r>
        <w:t>du</w:t>
      </w:r>
      <w:r w:rsidRPr="002C4077">
        <w:t xml:space="preserve"> </w:t>
      </w:r>
      <w:r>
        <w:t>terme</w:t>
      </w:r>
      <w:r w:rsidR="00B91AF7">
        <w:rPr>
          <w:rStyle w:val="Appelnotedebasdep"/>
        </w:rPr>
        <w:footnoteReference w:id="89"/>
      </w:r>
      <w:r w:rsidR="00B546AF">
        <w:t> »</w:t>
      </w:r>
      <w:r>
        <w:t>.</w:t>
      </w:r>
      <w:r w:rsidRPr="002C4077">
        <w:t xml:space="preserve"> </w:t>
      </w:r>
      <w:r>
        <w:t>Encore</w:t>
      </w:r>
      <w:r w:rsidRPr="002C4077">
        <w:t xml:space="preserve"> </w:t>
      </w:r>
      <w:r>
        <w:t>une</w:t>
      </w:r>
      <w:r w:rsidRPr="002C4077">
        <w:t xml:space="preserve"> </w:t>
      </w:r>
      <w:r>
        <w:t>fois</w:t>
      </w:r>
      <w:r w:rsidRPr="002C4077">
        <w:t xml:space="preserve"> </w:t>
      </w:r>
      <w:r>
        <w:t>nous</w:t>
      </w:r>
      <w:r w:rsidRPr="002C4077">
        <w:t xml:space="preserve"> </w:t>
      </w:r>
      <w:r>
        <w:t>faisons</w:t>
      </w:r>
      <w:r w:rsidRPr="002C4077">
        <w:t xml:space="preserve"> </w:t>
      </w:r>
      <w:r>
        <w:t>appel</w:t>
      </w:r>
      <w:r w:rsidRPr="002C4077">
        <w:t xml:space="preserve"> </w:t>
      </w:r>
      <w:r>
        <w:t>à</w:t>
      </w:r>
      <w:r w:rsidRPr="002C4077">
        <w:t xml:space="preserve"> </w:t>
      </w:r>
      <w:r>
        <w:t>la</w:t>
      </w:r>
      <w:r w:rsidRPr="002C4077">
        <w:t xml:space="preserve"> </w:t>
      </w:r>
      <w:r>
        <w:t>force</w:t>
      </w:r>
      <w:r w:rsidRPr="002C4077">
        <w:t xml:space="preserve"> </w:t>
      </w:r>
      <w:r>
        <w:t>irrési</w:t>
      </w:r>
      <w:r w:rsidR="00273EFD">
        <w:t>stible</w:t>
      </w:r>
      <w:r w:rsidR="00273EFD" w:rsidRPr="002C4077">
        <w:t xml:space="preserve"> </w:t>
      </w:r>
      <w:r w:rsidR="00273EFD">
        <w:t>du</w:t>
      </w:r>
      <w:r w:rsidR="00273EFD" w:rsidRPr="002C4077">
        <w:t xml:space="preserve"> </w:t>
      </w:r>
      <w:r w:rsidR="00273EFD">
        <w:t>contexte.</w:t>
      </w:r>
      <w:r w:rsidR="00273EFD" w:rsidRPr="002C4077">
        <w:t xml:space="preserve"> </w:t>
      </w:r>
      <w:r w:rsidR="00273EFD">
        <w:t>Le</w:t>
      </w:r>
      <w:r w:rsidR="00273EFD" w:rsidRPr="002C4077">
        <w:t xml:space="preserve"> </w:t>
      </w:r>
      <w:r w:rsidR="00273EFD">
        <w:t>verset</w:t>
      </w:r>
      <w:r w:rsidR="00273EFD" w:rsidRPr="002C4077">
        <w:t xml:space="preserve"> </w:t>
      </w:r>
      <w:r w:rsidR="00273EFD">
        <w:t>6e</w:t>
      </w:r>
      <w:r w:rsidRPr="002C4077">
        <w:t xml:space="preserve"> </w:t>
      </w:r>
      <w:r>
        <w:t>du</w:t>
      </w:r>
      <w:r w:rsidRPr="002C4077">
        <w:t xml:space="preserve"> </w:t>
      </w:r>
      <w:r w:rsidR="007B3C26">
        <w:t>IX</w:t>
      </w:r>
      <w:r w:rsidR="007B3C26" w:rsidRPr="007B3C26">
        <w:rPr>
          <w:vertAlign w:val="superscript"/>
        </w:rPr>
        <w:t>e</w:t>
      </w:r>
      <w:r w:rsidRPr="002C4077">
        <w:t xml:space="preserve"> </w:t>
      </w:r>
      <w:r>
        <w:t>chapitre</w:t>
      </w:r>
      <w:r w:rsidRPr="002C4077">
        <w:t xml:space="preserve"> </w:t>
      </w:r>
      <w:r>
        <w:t>d’Isaïe</w:t>
      </w:r>
      <w:r w:rsidRPr="002C4077">
        <w:t xml:space="preserve"> </w:t>
      </w:r>
      <w:r>
        <w:t>énonce</w:t>
      </w:r>
      <w:r w:rsidRPr="002C4077">
        <w:t xml:space="preserve"> </w:t>
      </w:r>
      <w:r>
        <w:t>formellement,</w:t>
      </w:r>
      <w:r w:rsidRPr="002C4077">
        <w:t xml:space="preserve"> </w:t>
      </w:r>
      <w:r>
        <w:t>en</w:t>
      </w:r>
      <w:r w:rsidRPr="002C4077">
        <w:t xml:space="preserve"> </w:t>
      </w:r>
      <w:r>
        <w:t>termes</w:t>
      </w:r>
      <w:r w:rsidRPr="002C4077">
        <w:t xml:space="preserve"> </w:t>
      </w:r>
      <w:r>
        <w:t>clairs</w:t>
      </w:r>
      <w:r w:rsidRPr="002C4077">
        <w:t xml:space="preserve"> </w:t>
      </w:r>
      <w:r>
        <w:t>comme</w:t>
      </w:r>
      <w:r w:rsidRPr="002C4077">
        <w:t xml:space="preserve"> </w:t>
      </w:r>
      <w:r>
        <w:t>le</w:t>
      </w:r>
      <w:r w:rsidRPr="002C4077">
        <w:t xml:space="preserve"> </w:t>
      </w:r>
      <w:r>
        <w:t>jour,</w:t>
      </w:r>
      <w:r w:rsidRPr="002C4077">
        <w:t xml:space="preserve"> </w:t>
      </w:r>
      <w:r>
        <w:t>que</w:t>
      </w:r>
      <w:r w:rsidRPr="002C4077">
        <w:t xml:space="preserve"> </w:t>
      </w:r>
      <w:r>
        <w:t>le</w:t>
      </w:r>
      <w:r w:rsidRPr="002C4077">
        <w:t xml:space="preserve"> </w:t>
      </w:r>
      <w:r>
        <w:t>futur</w:t>
      </w:r>
      <w:r w:rsidRPr="002C4077">
        <w:t xml:space="preserve"> </w:t>
      </w:r>
      <w:r>
        <w:t>libérateur</w:t>
      </w:r>
      <w:r w:rsidRPr="002C4077">
        <w:t xml:space="preserve"> </w:t>
      </w:r>
      <w:r>
        <w:t>d’Israël</w:t>
      </w:r>
      <w:r w:rsidRPr="002C4077">
        <w:t xml:space="preserve"> </w:t>
      </w:r>
      <w:r>
        <w:t>participera</w:t>
      </w:r>
      <w:r w:rsidRPr="002C4077">
        <w:t xml:space="preserve"> </w:t>
      </w:r>
      <w:r>
        <w:t>à</w:t>
      </w:r>
      <w:r w:rsidRPr="002C4077">
        <w:t xml:space="preserve"> </w:t>
      </w:r>
      <w:r>
        <w:t>la</w:t>
      </w:r>
      <w:r w:rsidRPr="002C4077">
        <w:t xml:space="preserve"> </w:t>
      </w:r>
      <w:r>
        <w:t>nature</w:t>
      </w:r>
      <w:r w:rsidRPr="002C4077">
        <w:t xml:space="preserve"> </w:t>
      </w:r>
      <w:r>
        <w:t>divine</w:t>
      </w:r>
      <w:r w:rsidR="00B546AF">
        <w:t> :</w:t>
      </w:r>
      <w:r w:rsidRPr="002C4077">
        <w:t xml:space="preserve"> </w:t>
      </w:r>
      <w:r w:rsidR="0055004A" w:rsidRPr="000A34B5">
        <w:rPr>
          <w:rStyle w:val="italicus"/>
        </w:rPr>
        <w:t>Párvulus</w:t>
      </w:r>
      <w:r w:rsidRPr="002C4077">
        <w:t xml:space="preserve"> </w:t>
      </w:r>
      <w:r w:rsidRPr="000A34B5">
        <w:rPr>
          <w:rStyle w:val="italicus"/>
        </w:rPr>
        <w:t>natus</w:t>
      </w:r>
      <w:r w:rsidRPr="002C4077">
        <w:t xml:space="preserve"> </w:t>
      </w:r>
      <w:r w:rsidR="00425C50">
        <w:rPr>
          <w:rStyle w:val="italicus"/>
        </w:rPr>
        <w:t>est</w:t>
      </w:r>
      <w:r w:rsidRPr="002C4077">
        <w:t xml:space="preserve"> </w:t>
      </w:r>
      <w:r w:rsidR="0055004A">
        <w:rPr>
          <w:rStyle w:val="italicus"/>
        </w:rPr>
        <w:t>n</w:t>
      </w:r>
      <w:r w:rsidRPr="000A34B5">
        <w:rPr>
          <w:rStyle w:val="italicus"/>
        </w:rPr>
        <w:t>obis,</w:t>
      </w:r>
      <w:r w:rsidRPr="002C4077">
        <w:t xml:space="preserve"> </w:t>
      </w:r>
      <w:r w:rsidRPr="000A34B5">
        <w:rPr>
          <w:rStyle w:val="italicus"/>
        </w:rPr>
        <w:t>et</w:t>
      </w:r>
      <w:r w:rsidRPr="002C4077">
        <w:t xml:space="preserve"> </w:t>
      </w:r>
      <w:r w:rsidRPr="000A34B5">
        <w:rPr>
          <w:rStyle w:val="italicus"/>
        </w:rPr>
        <w:t>f</w:t>
      </w:r>
      <w:r w:rsidR="003B53FD">
        <w:rPr>
          <w:rStyle w:val="italicus"/>
        </w:rPr>
        <w:t>í</w:t>
      </w:r>
      <w:r w:rsidR="003B53FD" w:rsidRPr="000A34B5">
        <w:rPr>
          <w:rStyle w:val="italicus"/>
        </w:rPr>
        <w:t>lius</w:t>
      </w:r>
      <w:r w:rsidRPr="002C4077">
        <w:t xml:space="preserve"> </w:t>
      </w:r>
      <w:r w:rsidRPr="000A34B5">
        <w:rPr>
          <w:rStyle w:val="italicus"/>
        </w:rPr>
        <w:t>datus</w:t>
      </w:r>
      <w:r w:rsidRPr="002C4077">
        <w:t xml:space="preserve"> </w:t>
      </w:r>
      <w:r w:rsidR="00425C50">
        <w:rPr>
          <w:rStyle w:val="italicus"/>
        </w:rPr>
        <w:t>est</w:t>
      </w:r>
      <w:r w:rsidRPr="002C4077">
        <w:t xml:space="preserve"> </w:t>
      </w:r>
      <w:r w:rsidR="0055004A" w:rsidRPr="000A34B5">
        <w:rPr>
          <w:rStyle w:val="italicus"/>
        </w:rPr>
        <w:t>nobis</w:t>
      </w:r>
      <w:r w:rsidR="00273EFD">
        <w:rPr>
          <w:rStyle w:val="italicus"/>
        </w:rPr>
        <w:t>…</w:t>
      </w:r>
      <w:r w:rsidR="00B546AF">
        <w:rPr>
          <w:rStyle w:val="italicus"/>
        </w:rPr>
        <w:t> </w:t>
      </w:r>
      <w:r w:rsidR="00B546AF" w:rsidRPr="000A34B5">
        <w:rPr>
          <w:rStyle w:val="italicus"/>
        </w:rPr>
        <w:t>;</w:t>
      </w:r>
      <w:r w:rsidRPr="002C4077">
        <w:t xml:space="preserve"> </w:t>
      </w:r>
      <w:r w:rsidRPr="000A34B5">
        <w:rPr>
          <w:rStyle w:val="italicus"/>
        </w:rPr>
        <w:t>et</w:t>
      </w:r>
      <w:r w:rsidRPr="002C4077">
        <w:t xml:space="preserve"> </w:t>
      </w:r>
      <w:r w:rsidR="0055004A" w:rsidRPr="000A34B5">
        <w:rPr>
          <w:rStyle w:val="italicus"/>
        </w:rPr>
        <w:t>vocábitur</w:t>
      </w:r>
      <w:r w:rsidRPr="002C4077">
        <w:t xml:space="preserve"> </w:t>
      </w:r>
      <w:r w:rsidRPr="000A34B5">
        <w:rPr>
          <w:rStyle w:val="italicus"/>
        </w:rPr>
        <w:t>nomen</w:t>
      </w:r>
      <w:r w:rsidRPr="002C4077">
        <w:t xml:space="preserve"> </w:t>
      </w:r>
      <w:r w:rsidRPr="000A34B5">
        <w:rPr>
          <w:rStyle w:val="italicus"/>
        </w:rPr>
        <w:t>ejus</w:t>
      </w:r>
      <w:r w:rsidRPr="002C4077">
        <w:t xml:space="preserve"> </w:t>
      </w:r>
      <w:r w:rsidR="0055004A" w:rsidRPr="000A34B5">
        <w:rPr>
          <w:rStyle w:val="italicus"/>
        </w:rPr>
        <w:t>Admirábilis</w:t>
      </w:r>
      <w:r w:rsidRPr="000A34B5">
        <w:rPr>
          <w:rStyle w:val="italicus"/>
        </w:rPr>
        <w:t>,</w:t>
      </w:r>
      <w:r w:rsidRPr="002C4077">
        <w:t xml:space="preserve"> </w:t>
      </w:r>
      <w:r w:rsidRPr="000A34B5">
        <w:rPr>
          <w:rStyle w:val="italicus"/>
        </w:rPr>
        <w:t>Consili</w:t>
      </w:r>
      <w:r w:rsidR="003B53FD">
        <w:rPr>
          <w:rStyle w:val="italicus"/>
        </w:rPr>
        <w:t>á</w:t>
      </w:r>
      <w:r w:rsidR="003B53FD" w:rsidRPr="000A34B5">
        <w:rPr>
          <w:rStyle w:val="italicus"/>
        </w:rPr>
        <w:t>rius</w:t>
      </w:r>
      <w:r w:rsidRPr="000A34B5">
        <w:rPr>
          <w:rStyle w:val="italicus"/>
        </w:rPr>
        <w:t>,</w:t>
      </w:r>
      <w:r w:rsidRPr="002C4077">
        <w:t xml:space="preserve"> </w:t>
      </w:r>
      <w:r w:rsidRPr="000A34B5">
        <w:rPr>
          <w:rStyle w:val="italicus"/>
        </w:rPr>
        <w:t>Deus</w:t>
      </w:r>
      <w:r w:rsidRPr="002C4077">
        <w:t xml:space="preserve"> </w:t>
      </w:r>
      <w:r w:rsidRPr="000A34B5">
        <w:rPr>
          <w:rStyle w:val="italicus"/>
        </w:rPr>
        <w:t>fortis,</w:t>
      </w:r>
      <w:r w:rsidRPr="002C4077">
        <w:t xml:space="preserve"> </w:t>
      </w:r>
      <w:r w:rsidRPr="000A34B5">
        <w:rPr>
          <w:rStyle w:val="italicus"/>
        </w:rPr>
        <w:t>Pater</w:t>
      </w:r>
      <w:r w:rsidRPr="002C4077">
        <w:t xml:space="preserve"> </w:t>
      </w:r>
      <w:r w:rsidR="0055004A" w:rsidRPr="000A34B5">
        <w:rPr>
          <w:rStyle w:val="italicus"/>
        </w:rPr>
        <w:t>futúri</w:t>
      </w:r>
      <w:r w:rsidRPr="002C4077">
        <w:t xml:space="preserve"> </w:t>
      </w:r>
      <w:r w:rsidR="0055004A" w:rsidRPr="000A34B5">
        <w:rPr>
          <w:rStyle w:val="italicus"/>
        </w:rPr>
        <w:t>sǽc</w:t>
      </w:r>
      <w:r w:rsidR="0055004A">
        <w:rPr>
          <w:rStyle w:val="italicus"/>
        </w:rPr>
        <w:t>u</w:t>
      </w:r>
      <w:r w:rsidR="0055004A" w:rsidRPr="000A34B5">
        <w:rPr>
          <w:rStyle w:val="italicus"/>
        </w:rPr>
        <w:t>li</w:t>
      </w:r>
      <w:r w:rsidRPr="000A34B5">
        <w:rPr>
          <w:rStyle w:val="italicus"/>
        </w:rPr>
        <w:t>,</w:t>
      </w:r>
      <w:r w:rsidRPr="002C4077">
        <w:t xml:space="preserve"> </w:t>
      </w:r>
      <w:r w:rsidRPr="000A34B5">
        <w:rPr>
          <w:rStyle w:val="italicus"/>
        </w:rPr>
        <w:t>Princeps</w:t>
      </w:r>
      <w:r w:rsidRPr="002C4077">
        <w:t xml:space="preserve"> </w:t>
      </w:r>
      <w:r w:rsidRPr="000A34B5">
        <w:rPr>
          <w:rStyle w:val="italicus"/>
        </w:rPr>
        <w:t>pacis.</w:t>
      </w:r>
      <w:r w:rsidRPr="002C4077">
        <w:t xml:space="preserve"> </w:t>
      </w:r>
      <w:r>
        <w:t>Or,</w:t>
      </w:r>
      <w:r w:rsidRPr="002C4077">
        <w:t xml:space="preserve"> </w:t>
      </w:r>
      <w:r>
        <w:t>cet</w:t>
      </w:r>
      <w:r w:rsidRPr="002C4077">
        <w:t xml:space="preserve"> </w:t>
      </w:r>
      <w:r>
        <w:t>Enfant-Dieu</w:t>
      </w:r>
      <w:r w:rsidRPr="002C4077">
        <w:t xml:space="preserve"> </w:t>
      </w:r>
      <w:r>
        <w:t>ne</w:t>
      </w:r>
      <w:r w:rsidRPr="002C4077">
        <w:t xml:space="preserve"> </w:t>
      </w:r>
      <w:r>
        <w:t>diffère</w:t>
      </w:r>
      <w:r w:rsidRPr="002C4077">
        <w:t xml:space="preserve"> </w:t>
      </w:r>
      <w:r>
        <w:t>pas</w:t>
      </w:r>
      <w:r w:rsidRPr="002C4077">
        <w:t xml:space="preserve"> </w:t>
      </w:r>
      <w:r>
        <w:t>d’Emmanuel</w:t>
      </w:r>
      <w:r w:rsidR="00B546AF">
        <w:t> :</w:t>
      </w:r>
      <w:r w:rsidRPr="002C4077">
        <w:t xml:space="preserve"> </w:t>
      </w:r>
      <w:r>
        <w:t>donc,</w:t>
      </w:r>
      <w:r w:rsidRPr="002C4077">
        <w:t xml:space="preserve"> </w:t>
      </w:r>
      <w:r>
        <w:t>la</w:t>
      </w:r>
      <w:r w:rsidRPr="002C4077">
        <w:t xml:space="preserve"> </w:t>
      </w:r>
      <w:r>
        <w:t>conclusion</w:t>
      </w:r>
      <w:r w:rsidRPr="002C4077">
        <w:t xml:space="preserve"> </w:t>
      </w:r>
      <w:r w:rsidR="00425C50">
        <w:t>est</w:t>
      </w:r>
      <w:r w:rsidRPr="002C4077">
        <w:t xml:space="preserve"> </w:t>
      </w:r>
      <w:r>
        <w:t>manifeste,</w:t>
      </w:r>
      <w:r w:rsidRPr="002C4077">
        <w:t xml:space="preserve"> </w:t>
      </w:r>
      <w:r>
        <w:t>Emmanuel</w:t>
      </w:r>
      <w:r w:rsidRPr="002C4077">
        <w:t xml:space="preserve"> </w:t>
      </w:r>
      <w:r w:rsidR="00425C50">
        <w:t>est</w:t>
      </w:r>
      <w:r w:rsidRPr="002C4077">
        <w:t xml:space="preserve"> </w:t>
      </w:r>
      <w:r>
        <w:t>Dieu,</w:t>
      </w:r>
      <w:r w:rsidRPr="002C4077">
        <w:t xml:space="preserve"> </w:t>
      </w:r>
      <w:r>
        <w:t>et</w:t>
      </w:r>
      <w:r w:rsidRPr="002C4077">
        <w:t xml:space="preserve"> </w:t>
      </w:r>
      <w:r>
        <w:t>il</w:t>
      </w:r>
      <w:r w:rsidRPr="002C4077">
        <w:t xml:space="preserve"> </w:t>
      </w:r>
      <w:r>
        <w:t>faut</w:t>
      </w:r>
      <w:r w:rsidRPr="002C4077">
        <w:t xml:space="preserve"> </w:t>
      </w:r>
      <w:r>
        <w:t>prendre</w:t>
      </w:r>
      <w:r w:rsidRPr="002C4077">
        <w:t xml:space="preserve"> </w:t>
      </w:r>
      <w:r>
        <w:t>à</w:t>
      </w:r>
      <w:r w:rsidRPr="002C4077">
        <w:t xml:space="preserve"> </w:t>
      </w:r>
      <w:r>
        <w:t>la</w:t>
      </w:r>
      <w:r w:rsidRPr="002C4077">
        <w:t xml:space="preserve"> </w:t>
      </w:r>
      <w:r>
        <w:t>lettre</w:t>
      </w:r>
      <w:r w:rsidRPr="002C4077">
        <w:t xml:space="preserve"> </w:t>
      </w:r>
      <w:r>
        <w:t>les</w:t>
      </w:r>
      <w:r w:rsidRPr="002C4077">
        <w:t xml:space="preserve"> </w:t>
      </w:r>
      <w:r>
        <w:t>mots</w:t>
      </w:r>
      <w:r w:rsidRPr="002C4077">
        <w:t xml:space="preserve"> </w:t>
      </w:r>
      <w:r w:rsidR="00B546AF">
        <w:t>« </w:t>
      </w:r>
      <w:r>
        <w:t>Dieu</w:t>
      </w:r>
      <w:r w:rsidRPr="002C4077">
        <w:t xml:space="preserve"> </w:t>
      </w:r>
      <w:r>
        <w:t>avec</w:t>
      </w:r>
      <w:r w:rsidRPr="002C4077">
        <w:t xml:space="preserve"> </w:t>
      </w:r>
      <w:r>
        <w:t>nous</w:t>
      </w:r>
      <w:r w:rsidR="00B546AF">
        <w:t> »</w:t>
      </w:r>
      <w:r>
        <w:t>.</w:t>
      </w:r>
      <w:r w:rsidRPr="002C4077">
        <w:t xml:space="preserve"> </w:t>
      </w:r>
    </w:p>
    <w:p w:rsidR="000A7AAB" w:rsidRDefault="000A7AAB" w:rsidP="000A7AAB">
      <w:r>
        <w:t>Bossuet</w:t>
      </w:r>
      <w:bookmarkStart w:id="125" w:name="z_Bossuet_o2"/>
      <w:bookmarkEnd w:id="125"/>
      <w:r w:rsidRPr="002C4077">
        <w:t xml:space="preserve"> </w:t>
      </w:r>
      <w:r>
        <w:t>l’a</w:t>
      </w:r>
      <w:r w:rsidRPr="002C4077">
        <w:t xml:space="preserve"> </w:t>
      </w:r>
      <w:r>
        <w:t>très</w:t>
      </w:r>
      <w:r w:rsidRPr="002C4077">
        <w:t xml:space="preserve"> </w:t>
      </w:r>
      <w:r>
        <w:t>bien</w:t>
      </w:r>
      <w:r w:rsidRPr="002C4077">
        <w:t xml:space="preserve"> </w:t>
      </w:r>
      <w:r>
        <w:t>dit</w:t>
      </w:r>
      <w:r w:rsidR="00B546AF">
        <w:t> :</w:t>
      </w:r>
      <w:r w:rsidRPr="002C4077">
        <w:t xml:space="preserve"> </w:t>
      </w:r>
      <w:r w:rsidR="00B546AF">
        <w:t>« </w:t>
      </w:r>
      <w:r>
        <w:t>C’est</w:t>
      </w:r>
      <w:r w:rsidRPr="002C4077">
        <w:t xml:space="preserve"> </w:t>
      </w:r>
      <w:r>
        <w:t>cet</w:t>
      </w:r>
      <w:r w:rsidRPr="002C4077">
        <w:t xml:space="preserve"> </w:t>
      </w:r>
      <w:r>
        <w:t>enfant</w:t>
      </w:r>
      <w:r w:rsidRPr="002C4077">
        <w:t xml:space="preserve"> </w:t>
      </w:r>
      <w:r>
        <w:t>que</w:t>
      </w:r>
      <w:r w:rsidRPr="002C4077">
        <w:t xml:space="preserve"> </w:t>
      </w:r>
      <w:r>
        <w:t>vous</w:t>
      </w:r>
      <w:r w:rsidRPr="002C4077">
        <w:t xml:space="preserve"> </w:t>
      </w:r>
      <w:r>
        <w:t>devez</w:t>
      </w:r>
      <w:r w:rsidRPr="002C4077">
        <w:t xml:space="preserve"> </w:t>
      </w:r>
      <w:r>
        <w:t>appeler</w:t>
      </w:r>
      <w:r w:rsidRPr="002C4077">
        <w:t xml:space="preserve"> </w:t>
      </w:r>
      <w:r>
        <w:t>Emmanuel,</w:t>
      </w:r>
      <w:r w:rsidRPr="002C4077">
        <w:t xml:space="preserve"> </w:t>
      </w:r>
      <w:r>
        <w:t>Dieu</w:t>
      </w:r>
      <w:r w:rsidRPr="002C4077">
        <w:t xml:space="preserve"> </w:t>
      </w:r>
      <w:r>
        <w:t>avec</w:t>
      </w:r>
      <w:r w:rsidRPr="002C4077">
        <w:t xml:space="preserve"> </w:t>
      </w:r>
      <w:r>
        <w:t>nous,</w:t>
      </w:r>
      <w:r w:rsidRPr="002C4077">
        <w:t xml:space="preserve"> </w:t>
      </w:r>
      <w:r>
        <w:t>non-seulement</w:t>
      </w:r>
      <w:r w:rsidRPr="002C4077">
        <w:t xml:space="preserve"> </w:t>
      </w:r>
      <w:r>
        <w:t>parce</w:t>
      </w:r>
      <w:r w:rsidRPr="002C4077">
        <w:t xml:space="preserve"> </w:t>
      </w:r>
      <w:r>
        <w:t>qu’il</w:t>
      </w:r>
      <w:r w:rsidRPr="002C4077">
        <w:t xml:space="preserve"> </w:t>
      </w:r>
      <w:r>
        <w:t>fera</w:t>
      </w:r>
      <w:r w:rsidRPr="002C4077">
        <w:t xml:space="preserve"> </w:t>
      </w:r>
      <w:r>
        <w:t>votre</w:t>
      </w:r>
      <w:r w:rsidRPr="002C4077">
        <w:t xml:space="preserve"> </w:t>
      </w:r>
      <w:r>
        <w:t>réconciliation</w:t>
      </w:r>
      <w:r w:rsidRPr="002C4077">
        <w:t xml:space="preserve"> </w:t>
      </w:r>
      <w:r>
        <w:t>avec</w:t>
      </w:r>
      <w:r w:rsidRPr="002C4077">
        <w:t xml:space="preserve"> </w:t>
      </w:r>
      <w:r>
        <w:t>Dieu,</w:t>
      </w:r>
      <w:r w:rsidRPr="002C4077">
        <w:t xml:space="preserve"> </w:t>
      </w:r>
      <w:r>
        <w:t>mais</w:t>
      </w:r>
      <w:r w:rsidRPr="002C4077">
        <w:t xml:space="preserve"> </w:t>
      </w:r>
      <w:r>
        <w:t>encore</w:t>
      </w:r>
      <w:r w:rsidRPr="002C4077">
        <w:t xml:space="preserve"> </w:t>
      </w:r>
      <w:r>
        <w:t>parce</w:t>
      </w:r>
      <w:r w:rsidRPr="002C4077">
        <w:t xml:space="preserve"> </w:t>
      </w:r>
      <w:r>
        <w:t>qu’il</w:t>
      </w:r>
      <w:r w:rsidRPr="002C4077">
        <w:t xml:space="preserve"> </w:t>
      </w:r>
      <w:r>
        <w:t>sera</w:t>
      </w:r>
      <w:r w:rsidRPr="002C4077">
        <w:t xml:space="preserve"> </w:t>
      </w:r>
      <w:r>
        <w:t>un</w:t>
      </w:r>
      <w:r w:rsidRPr="002C4077">
        <w:t xml:space="preserve"> </w:t>
      </w:r>
      <w:r>
        <w:t>composé</w:t>
      </w:r>
      <w:r w:rsidRPr="002C4077">
        <w:t xml:space="preserve"> </w:t>
      </w:r>
      <w:r>
        <w:t>miraculeux</w:t>
      </w:r>
      <w:r w:rsidRPr="002C4077">
        <w:t xml:space="preserve"> </w:t>
      </w:r>
      <w:r>
        <w:t>de</w:t>
      </w:r>
      <w:r w:rsidRPr="002C4077">
        <w:t xml:space="preserve"> </w:t>
      </w:r>
      <w:r>
        <w:t>Dieu</w:t>
      </w:r>
      <w:r w:rsidRPr="002C4077">
        <w:t xml:space="preserve"> </w:t>
      </w:r>
      <w:r>
        <w:t>et</w:t>
      </w:r>
      <w:r w:rsidRPr="002C4077">
        <w:t xml:space="preserve"> </w:t>
      </w:r>
      <w:r>
        <w:t>de</w:t>
      </w:r>
      <w:r w:rsidRPr="002C4077">
        <w:t xml:space="preserve"> </w:t>
      </w:r>
      <w:r>
        <w:t>l’homme,</w:t>
      </w:r>
      <w:r w:rsidRPr="002C4077">
        <w:t xml:space="preserve"> </w:t>
      </w:r>
      <w:r>
        <w:t>en</w:t>
      </w:r>
      <w:r w:rsidRPr="002C4077">
        <w:t xml:space="preserve"> </w:t>
      </w:r>
      <w:r>
        <w:t>qui</w:t>
      </w:r>
      <w:r w:rsidRPr="002C4077">
        <w:t xml:space="preserve"> </w:t>
      </w:r>
      <w:r>
        <w:t>la</w:t>
      </w:r>
      <w:r w:rsidRPr="002C4077">
        <w:t xml:space="preserve"> </w:t>
      </w:r>
      <w:r>
        <w:t>Divinité</w:t>
      </w:r>
      <w:r w:rsidRPr="002C4077">
        <w:t xml:space="preserve"> </w:t>
      </w:r>
      <w:r>
        <w:t>habitera</w:t>
      </w:r>
      <w:r w:rsidRPr="002C4077">
        <w:t xml:space="preserve"> </w:t>
      </w:r>
      <w:r w:rsidR="0055004A">
        <w:t>corporellement</w:t>
      </w:r>
      <w:r w:rsidR="00B91AF7">
        <w:rPr>
          <w:rStyle w:val="Appelnotedebasdep"/>
        </w:rPr>
        <w:footnoteReference w:id="90"/>
      </w:r>
      <w:r w:rsidR="00B546AF">
        <w:t> »</w:t>
      </w:r>
      <w:r>
        <w:t>.</w:t>
      </w:r>
      <w:r w:rsidRPr="002C4077">
        <w:t xml:space="preserve"> </w:t>
      </w:r>
      <w:r>
        <w:t>Telle</w:t>
      </w:r>
      <w:r w:rsidRPr="002C4077">
        <w:t xml:space="preserve"> </w:t>
      </w:r>
      <w:r w:rsidR="00425C50">
        <w:t>est</w:t>
      </w:r>
      <w:r>
        <w:t>,</w:t>
      </w:r>
      <w:r w:rsidRPr="002C4077">
        <w:t xml:space="preserve"> </w:t>
      </w:r>
      <w:r>
        <w:t>du</w:t>
      </w:r>
      <w:r w:rsidRPr="002C4077">
        <w:t xml:space="preserve"> </w:t>
      </w:r>
      <w:r>
        <w:t>reste,</w:t>
      </w:r>
      <w:r w:rsidRPr="002C4077">
        <w:t xml:space="preserve"> </w:t>
      </w:r>
      <w:r>
        <w:t>l’interprétation</w:t>
      </w:r>
      <w:r w:rsidRPr="002C4077">
        <w:t xml:space="preserve"> </w:t>
      </w:r>
      <w:r>
        <w:t>antique</w:t>
      </w:r>
      <w:r w:rsidRPr="002C4077">
        <w:t xml:space="preserve"> </w:t>
      </w:r>
      <w:r>
        <w:t>et</w:t>
      </w:r>
      <w:r w:rsidRPr="002C4077">
        <w:t xml:space="preserve"> </w:t>
      </w:r>
      <w:r>
        <w:t>traditionnelle,</w:t>
      </w:r>
      <w:r w:rsidRPr="002C4077">
        <w:t xml:space="preserve"> </w:t>
      </w:r>
      <w:r>
        <w:t>soit</w:t>
      </w:r>
      <w:r w:rsidRPr="002C4077">
        <w:t xml:space="preserve"> </w:t>
      </w:r>
      <w:r>
        <w:t>de</w:t>
      </w:r>
      <w:r w:rsidRPr="002C4077">
        <w:t xml:space="preserve"> </w:t>
      </w:r>
      <w:r>
        <w:t>la</w:t>
      </w:r>
      <w:r w:rsidRPr="002C4077">
        <w:t xml:space="preserve"> </w:t>
      </w:r>
      <w:r>
        <w:t>synagogue,</w:t>
      </w:r>
      <w:r w:rsidRPr="002C4077">
        <w:t xml:space="preserve"> </w:t>
      </w:r>
      <w:r>
        <w:t>soit</w:t>
      </w:r>
      <w:r w:rsidRPr="002C4077">
        <w:t xml:space="preserve"> </w:t>
      </w:r>
      <w:r>
        <w:t>de</w:t>
      </w:r>
      <w:r w:rsidRPr="002C4077">
        <w:t xml:space="preserve"> </w:t>
      </w:r>
      <w:r>
        <w:t>l’Église.</w:t>
      </w:r>
      <w:r w:rsidRPr="002C4077">
        <w:t xml:space="preserve"> </w:t>
      </w:r>
      <w:r>
        <w:t>Que</w:t>
      </w:r>
      <w:r w:rsidRPr="002C4077">
        <w:t xml:space="preserve"> </w:t>
      </w:r>
      <w:r>
        <w:t>M.</w:t>
      </w:r>
      <w:r w:rsidRPr="002C4077">
        <w:t xml:space="preserve"> </w:t>
      </w:r>
      <w:r>
        <w:t>Reuss</w:t>
      </w:r>
      <w:bookmarkStart w:id="126" w:name="z_Reuss_o6"/>
      <w:bookmarkEnd w:id="126"/>
      <w:r w:rsidRPr="002C4077">
        <w:t xml:space="preserve"> </w:t>
      </w:r>
      <w:r>
        <w:t>et</w:t>
      </w:r>
      <w:r w:rsidRPr="002C4077">
        <w:t xml:space="preserve"> </w:t>
      </w:r>
      <w:r>
        <w:t>ses</w:t>
      </w:r>
      <w:r w:rsidRPr="002C4077">
        <w:t xml:space="preserve"> </w:t>
      </w:r>
      <w:r>
        <w:t>auteurs</w:t>
      </w:r>
      <w:r w:rsidRPr="002C4077">
        <w:t xml:space="preserve"> </w:t>
      </w:r>
      <w:r>
        <w:t>favoris</w:t>
      </w:r>
      <w:r w:rsidRPr="002C4077">
        <w:t xml:space="preserve"> </w:t>
      </w:r>
      <w:r>
        <w:t>s’écrient</w:t>
      </w:r>
      <w:r w:rsidRPr="002C4077">
        <w:t xml:space="preserve"> </w:t>
      </w:r>
      <w:r>
        <w:t>tant</w:t>
      </w:r>
      <w:r w:rsidRPr="002C4077">
        <w:t xml:space="preserve"> </w:t>
      </w:r>
      <w:r>
        <w:t>qu’ils</w:t>
      </w:r>
      <w:r w:rsidRPr="002C4077">
        <w:t xml:space="preserve"> </w:t>
      </w:r>
      <w:r>
        <w:t>voudront,</w:t>
      </w:r>
      <w:r w:rsidRPr="002C4077">
        <w:t xml:space="preserve"> </w:t>
      </w:r>
      <w:r>
        <w:t>à</w:t>
      </w:r>
      <w:r w:rsidRPr="002C4077">
        <w:t xml:space="preserve"> </w:t>
      </w:r>
      <w:r>
        <w:t>propos</w:t>
      </w:r>
      <w:r w:rsidRPr="002C4077">
        <w:t xml:space="preserve"> </w:t>
      </w:r>
      <w:r>
        <w:t>de</w:t>
      </w:r>
      <w:r w:rsidRPr="002C4077">
        <w:t xml:space="preserve"> </w:t>
      </w:r>
      <w:r>
        <w:t>IX,</w:t>
      </w:r>
      <w:r w:rsidRPr="002C4077">
        <w:t xml:space="preserve"> </w:t>
      </w:r>
      <w:r>
        <w:t>6</w:t>
      </w:r>
      <w:r w:rsidR="00B546AF">
        <w:t> :</w:t>
      </w:r>
      <w:r w:rsidRPr="002C4077">
        <w:t xml:space="preserve"> </w:t>
      </w:r>
      <w:r w:rsidR="00B546AF">
        <w:t>« </w:t>
      </w:r>
      <w:r>
        <w:t>Parmi</w:t>
      </w:r>
      <w:r w:rsidRPr="002C4077">
        <w:t xml:space="preserve"> </w:t>
      </w:r>
      <w:r>
        <w:t>ces</w:t>
      </w:r>
      <w:r w:rsidRPr="002C4077">
        <w:t xml:space="preserve"> </w:t>
      </w:r>
      <w:r>
        <w:t>épithètes,</w:t>
      </w:r>
      <w:r w:rsidRPr="002C4077">
        <w:t xml:space="preserve"> </w:t>
      </w:r>
      <w:r>
        <w:t>il</w:t>
      </w:r>
      <w:r w:rsidRPr="002C4077">
        <w:t xml:space="preserve"> </w:t>
      </w:r>
      <w:r>
        <w:t>y</w:t>
      </w:r>
      <w:r w:rsidRPr="002C4077">
        <w:t xml:space="preserve"> </w:t>
      </w:r>
      <w:r>
        <w:t>en</w:t>
      </w:r>
      <w:r w:rsidRPr="002C4077">
        <w:t xml:space="preserve"> </w:t>
      </w:r>
      <w:r>
        <w:t>a</w:t>
      </w:r>
      <w:r w:rsidRPr="002C4077">
        <w:t xml:space="preserve"> </w:t>
      </w:r>
      <w:r>
        <w:t>plusieurs</w:t>
      </w:r>
      <w:r w:rsidRPr="002C4077">
        <w:t xml:space="preserve"> </w:t>
      </w:r>
      <w:r>
        <w:t>dont</w:t>
      </w:r>
      <w:r w:rsidRPr="002C4077">
        <w:t xml:space="preserve"> </w:t>
      </w:r>
      <w:r>
        <w:t>on</w:t>
      </w:r>
      <w:r w:rsidRPr="002C4077">
        <w:t xml:space="preserve"> </w:t>
      </w:r>
      <w:r>
        <w:t>s’est</w:t>
      </w:r>
      <w:r w:rsidRPr="002C4077">
        <w:t xml:space="preserve"> </w:t>
      </w:r>
      <w:r>
        <w:t>exagéré</w:t>
      </w:r>
      <w:r w:rsidRPr="002C4077">
        <w:t xml:space="preserve"> </w:t>
      </w:r>
      <w:r>
        <w:t>la</w:t>
      </w:r>
      <w:r w:rsidRPr="002C4077">
        <w:t xml:space="preserve"> </w:t>
      </w:r>
      <w:r>
        <w:t>portée</w:t>
      </w:r>
      <w:r w:rsidR="00732E97">
        <w:t xml:space="preserve">… </w:t>
      </w:r>
      <w:r>
        <w:t>Le</w:t>
      </w:r>
      <w:r w:rsidRPr="002C4077">
        <w:t xml:space="preserve"> </w:t>
      </w:r>
      <w:r>
        <w:t>texte</w:t>
      </w:r>
      <w:r w:rsidRPr="002C4077">
        <w:t xml:space="preserve"> </w:t>
      </w:r>
      <w:r>
        <w:t>ne</w:t>
      </w:r>
      <w:r w:rsidRPr="002C4077">
        <w:t xml:space="preserve"> </w:t>
      </w:r>
      <w:r>
        <w:t>veut</w:t>
      </w:r>
      <w:r w:rsidRPr="002C4077">
        <w:t xml:space="preserve"> </w:t>
      </w:r>
      <w:r>
        <w:t>pas</w:t>
      </w:r>
      <w:r w:rsidRPr="002C4077">
        <w:t xml:space="preserve"> </w:t>
      </w:r>
      <w:r>
        <w:t>revendiquer</w:t>
      </w:r>
      <w:r w:rsidRPr="002C4077">
        <w:t xml:space="preserve"> </w:t>
      </w:r>
      <w:r>
        <w:t>pour</w:t>
      </w:r>
      <w:r w:rsidRPr="002C4077">
        <w:t xml:space="preserve"> </w:t>
      </w:r>
      <w:r>
        <w:t>le</w:t>
      </w:r>
      <w:r w:rsidRPr="002C4077">
        <w:t xml:space="preserve"> </w:t>
      </w:r>
      <w:r>
        <w:t>Messie</w:t>
      </w:r>
      <w:r w:rsidRPr="002C4077">
        <w:t xml:space="preserve"> </w:t>
      </w:r>
      <w:r>
        <w:t>la</w:t>
      </w:r>
      <w:r w:rsidRPr="002C4077">
        <w:t xml:space="preserve"> </w:t>
      </w:r>
      <w:r>
        <w:t>nature</w:t>
      </w:r>
      <w:r w:rsidRPr="002C4077">
        <w:t xml:space="preserve"> </w:t>
      </w:r>
      <w:r>
        <w:t>divine</w:t>
      </w:r>
      <w:r w:rsidRPr="002C4077">
        <w:t xml:space="preserve"> </w:t>
      </w:r>
      <w:r>
        <w:t>dans</w:t>
      </w:r>
      <w:r w:rsidRPr="002C4077">
        <w:t xml:space="preserve"> </w:t>
      </w:r>
      <w:r>
        <w:t>le</w:t>
      </w:r>
      <w:r w:rsidRPr="002C4077">
        <w:t xml:space="preserve"> </w:t>
      </w:r>
      <w:r>
        <w:t>sens</w:t>
      </w:r>
      <w:r w:rsidRPr="002C4077">
        <w:t xml:space="preserve"> </w:t>
      </w:r>
      <w:r>
        <w:t>métaphysique,</w:t>
      </w:r>
      <w:r w:rsidRPr="002C4077">
        <w:t xml:space="preserve"> </w:t>
      </w:r>
      <w:r>
        <w:t>mais</w:t>
      </w:r>
      <w:r w:rsidRPr="002C4077">
        <w:t xml:space="preserve"> </w:t>
      </w:r>
      <w:r>
        <w:t>lui</w:t>
      </w:r>
      <w:r w:rsidRPr="002C4077">
        <w:t xml:space="preserve"> </w:t>
      </w:r>
      <w:r>
        <w:t>attribuer</w:t>
      </w:r>
      <w:r w:rsidRPr="002C4077">
        <w:t xml:space="preserve"> </w:t>
      </w:r>
      <w:r>
        <w:t>des</w:t>
      </w:r>
      <w:r w:rsidRPr="002C4077">
        <w:t xml:space="preserve"> </w:t>
      </w:r>
      <w:r>
        <w:t>forces</w:t>
      </w:r>
      <w:r w:rsidRPr="002C4077">
        <w:t xml:space="preserve"> </w:t>
      </w:r>
      <w:r>
        <w:t>divines</w:t>
      </w:r>
      <w:r w:rsidRPr="002C4077">
        <w:t xml:space="preserve"> </w:t>
      </w:r>
      <w:r>
        <w:t>qu’il</w:t>
      </w:r>
      <w:r w:rsidRPr="002C4077">
        <w:t xml:space="preserve"> </w:t>
      </w:r>
      <w:r>
        <w:t>tient</w:t>
      </w:r>
      <w:r w:rsidRPr="002C4077">
        <w:t xml:space="preserve"> </w:t>
      </w:r>
      <w:r>
        <w:t>de</w:t>
      </w:r>
      <w:r w:rsidRPr="002C4077">
        <w:t xml:space="preserve"> </w:t>
      </w:r>
      <w:r>
        <w:t>Dieu</w:t>
      </w:r>
      <w:r w:rsidR="00B91AF7">
        <w:rPr>
          <w:rStyle w:val="Appelnotedebasdep"/>
        </w:rPr>
        <w:footnoteReference w:id="91"/>
      </w:r>
      <w:r w:rsidR="00B546AF">
        <w:t> »</w:t>
      </w:r>
      <w:r>
        <w:t>.</w:t>
      </w:r>
      <w:r w:rsidR="00C45B47">
        <w:t xml:space="preserve"> {</w:t>
      </w:r>
      <w:r w:rsidR="000721C4">
        <w:t>34</w:t>
      </w:r>
      <w:bookmarkStart w:id="127" w:name="p034"/>
      <w:bookmarkEnd w:id="127"/>
      <w:r w:rsidR="000721C4">
        <w:t xml:space="preserve">} </w:t>
      </w:r>
      <w:r>
        <w:t>Le</w:t>
      </w:r>
      <w:r w:rsidRPr="002C4077">
        <w:t xml:space="preserve"> </w:t>
      </w:r>
      <w:r w:rsidRPr="000A34B5">
        <w:rPr>
          <w:rStyle w:val="italicus"/>
        </w:rPr>
        <w:t>Targum</w:t>
      </w:r>
      <w:r w:rsidRPr="002C4077">
        <w:t xml:space="preserve"> </w:t>
      </w:r>
      <w:r>
        <w:t>de</w:t>
      </w:r>
      <w:r w:rsidRPr="002C4077">
        <w:t xml:space="preserve"> </w:t>
      </w:r>
      <w:r>
        <w:t>Jonathan,</w:t>
      </w:r>
      <w:r w:rsidRPr="002C4077">
        <w:t xml:space="preserve"> </w:t>
      </w:r>
      <w:r>
        <w:t>composé</w:t>
      </w:r>
      <w:r w:rsidRPr="002C4077">
        <w:t xml:space="preserve"> </w:t>
      </w:r>
      <w:r>
        <w:t>au</w:t>
      </w:r>
      <w:r w:rsidRPr="002C4077">
        <w:t xml:space="preserve"> </w:t>
      </w:r>
      <w:r>
        <w:t>premier</w:t>
      </w:r>
      <w:r w:rsidRPr="002C4077">
        <w:t xml:space="preserve"> </w:t>
      </w:r>
      <w:r>
        <w:t>siècle</w:t>
      </w:r>
      <w:r w:rsidRPr="002C4077">
        <w:t xml:space="preserve"> </w:t>
      </w:r>
      <w:r>
        <w:t>de</w:t>
      </w:r>
      <w:r w:rsidRPr="002C4077">
        <w:t xml:space="preserve"> </w:t>
      </w:r>
      <w:r>
        <w:t>l’ère</w:t>
      </w:r>
      <w:r w:rsidRPr="002C4077">
        <w:t xml:space="preserve"> </w:t>
      </w:r>
      <w:r>
        <w:t>chrétienne,</w:t>
      </w:r>
      <w:r w:rsidRPr="002C4077">
        <w:t xml:space="preserve"> </w:t>
      </w:r>
      <w:r>
        <w:t>et</w:t>
      </w:r>
      <w:r w:rsidRPr="002C4077">
        <w:t xml:space="preserve"> </w:t>
      </w:r>
      <w:r>
        <w:t>si</w:t>
      </w:r>
      <w:r w:rsidRPr="002C4077">
        <w:t xml:space="preserve"> </w:t>
      </w:r>
      <w:r>
        <w:t>estimé</w:t>
      </w:r>
      <w:r w:rsidRPr="002C4077">
        <w:t xml:space="preserve"> </w:t>
      </w:r>
      <w:r>
        <w:t>des</w:t>
      </w:r>
      <w:r w:rsidRPr="002C4077">
        <w:t xml:space="preserve"> </w:t>
      </w:r>
      <w:r>
        <w:t>Juifs,</w:t>
      </w:r>
      <w:r w:rsidRPr="002C4077">
        <w:t xml:space="preserve"> </w:t>
      </w:r>
      <w:r>
        <w:t>leur</w:t>
      </w:r>
      <w:r w:rsidRPr="002C4077">
        <w:t xml:space="preserve"> </w:t>
      </w:r>
      <w:r>
        <w:t>répondra,</w:t>
      </w:r>
      <w:r w:rsidRPr="002C4077">
        <w:t xml:space="preserve"> </w:t>
      </w:r>
      <w:r>
        <w:t>en</w:t>
      </w:r>
      <w:r w:rsidRPr="002C4077">
        <w:t xml:space="preserve"> </w:t>
      </w:r>
      <w:r>
        <w:t>paraphrasant</w:t>
      </w:r>
      <w:r w:rsidRPr="002C4077">
        <w:t xml:space="preserve"> </w:t>
      </w:r>
      <w:r>
        <w:t>ce</w:t>
      </w:r>
      <w:r w:rsidRPr="002C4077">
        <w:t xml:space="preserve"> </w:t>
      </w:r>
      <w:r>
        <w:t>passage</w:t>
      </w:r>
      <w:r w:rsidR="00B546AF">
        <w:t> :</w:t>
      </w:r>
      <w:r w:rsidRPr="002C4077">
        <w:t xml:space="preserve"> </w:t>
      </w:r>
      <w:r w:rsidR="00B546AF">
        <w:t>« </w:t>
      </w:r>
      <w:r>
        <w:t>Dieu</w:t>
      </w:r>
      <w:r w:rsidRPr="002C4077">
        <w:t xml:space="preserve"> </w:t>
      </w:r>
      <w:r>
        <w:t>puissant,</w:t>
      </w:r>
      <w:r w:rsidRPr="002C4077">
        <w:t xml:space="preserve"> </w:t>
      </w:r>
      <w:r>
        <w:t>existant</w:t>
      </w:r>
      <w:r w:rsidRPr="002C4077">
        <w:t xml:space="preserve"> </w:t>
      </w:r>
      <w:r>
        <w:t>réellement,</w:t>
      </w:r>
      <w:r w:rsidRPr="002C4077">
        <w:t xml:space="preserve"> </w:t>
      </w:r>
      <w:r>
        <w:t>Messie</w:t>
      </w:r>
      <w:r w:rsidRPr="002C4077">
        <w:t xml:space="preserve"> </w:t>
      </w:r>
      <w:r>
        <w:t>dans</w:t>
      </w:r>
      <w:r w:rsidRPr="002C4077">
        <w:t xml:space="preserve"> </w:t>
      </w:r>
      <w:r>
        <w:t>les</w:t>
      </w:r>
      <w:r w:rsidRPr="002C4077">
        <w:t xml:space="preserve"> </w:t>
      </w:r>
      <w:r>
        <w:t>jours</w:t>
      </w:r>
      <w:r w:rsidRPr="002C4077">
        <w:t xml:space="preserve"> </w:t>
      </w:r>
      <w:r>
        <w:t>duquel</w:t>
      </w:r>
      <w:r w:rsidRPr="002C4077">
        <w:t xml:space="preserve"> </w:t>
      </w:r>
      <w:r>
        <w:t>la</w:t>
      </w:r>
      <w:r w:rsidRPr="002C4077">
        <w:t xml:space="preserve"> </w:t>
      </w:r>
      <w:r>
        <w:t>paix</w:t>
      </w:r>
      <w:r w:rsidRPr="002C4077">
        <w:t xml:space="preserve"> </w:t>
      </w:r>
      <w:r>
        <w:t>sera</w:t>
      </w:r>
      <w:r w:rsidRPr="002C4077">
        <w:t xml:space="preserve"> </w:t>
      </w:r>
      <w:r>
        <w:t>très</w:t>
      </w:r>
      <w:r w:rsidRPr="002C4077">
        <w:t xml:space="preserve"> </w:t>
      </w:r>
      <w:r>
        <w:t>grande</w:t>
      </w:r>
      <w:r w:rsidRPr="002C4077">
        <w:t xml:space="preserve"> </w:t>
      </w:r>
      <w:r>
        <w:t>sur</w:t>
      </w:r>
      <w:r w:rsidRPr="002C4077">
        <w:t xml:space="preserve"> </w:t>
      </w:r>
      <w:r>
        <w:t>no</w:t>
      </w:r>
      <w:r w:rsidR="00F6492C">
        <w:t>us</w:t>
      </w:r>
      <w:r w:rsidR="00F6492C">
        <w:rPr>
          <w:rStyle w:val="Appelnotedebasdep"/>
        </w:rPr>
        <w:footnoteReference w:id="92"/>
      </w:r>
      <w:r w:rsidR="00B546AF">
        <w:t> »</w:t>
      </w:r>
      <w:r>
        <w:t>.</w:t>
      </w:r>
      <w:r w:rsidRPr="002C4077">
        <w:t xml:space="preserve"> </w:t>
      </w:r>
      <w:r>
        <w:t>Les</w:t>
      </w:r>
      <w:r w:rsidRPr="002C4077">
        <w:t xml:space="preserve"> </w:t>
      </w:r>
      <w:r>
        <w:t>Irénée,</w:t>
      </w:r>
      <w:r w:rsidRPr="002C4077">
        <w:t xml:space="preserve"> </w:t>
      </w:r>
      <w:r>
        <w:t>les</w:t>
      </w:r>
      <w:r w:rsidRPr="002C4077">
        <w:t xml:space="preserve"> </w:t>
      </w:r>
      <w:r>
        <w:t>Te</w:t>
      </w:r>
      <w:r w:rsidR="001730C6">
        <w:t>rt</w:t>
      </w:r>
      <w:r>
        <w:t>ullien,</w:t>
      </w:r>
      <w:r w:rsidRPr="002C4077">
        <w:t xml:space="preserve"> </w:t>
      </w:r>
      <w:r>
        <w:t>les</w:t>
      </w:r>
      <w:r w:rsidRPr="002C4077">
        <w:t xml:space="preserve"> </w:t>
      </w:r>
      <w:r>
        <w:t>Chrysostome,</w:t>
      </w:r>
      <w:r w:rsidRPr="002C4077">
        <w:t xml:space="preserve"> </w:t>
      </w:r>
      <w:r>
        <w:t>les</w:t>
      </w:r>
      <w:r w:rsidRPr="002C4077">
        <w:t xml:space="preserve"> </w:t>
      </w:r>
      <w:r>
        <w:t>Basile,</w:t>
      </w:r>
      <w:r w:rsidRPr="002C4077">
        <w:t xml:space="preserve"> </w:t>
      </w:r>
      <w:r>
        <w:t>les</w:t>
      </w:r>
      <w:r w:rsidRPr="002C4077">
        <w:t xml:space="preserve"> </w:t>
      </w:r>
      <w:r>
        <w:t>Théodoret,</w:t>
      </w:r>
      <w:r w:rsidRPr="002C4077">
        <w:t xml:space="preserve"> </w:t>
      </w:r>
      <w:r>
        <w:t>qui,</w:t>
      </w:r>
      <w:r w:rsidRPr="002C4077">
        <w:t xml:space="preserve"> </w:t>
      </w:r>
      <w:r>
        <w:t>certes,</w:t>
      </w:r>
      <w:r w:rsidRPr="002C4077">
        <w:t xml:space="preserve"> </w:t>
      </w:r>
      <w:r>
        <w:t>avaient</w:t>
      </w:r>
      <w:r w:rsidRPr="002C4077">
        <w:t xml:space="preserve"> </w:t>
      </w:r>
      <w:r>
        <w:t>au</w:t>
      </w:r>
      <w:r w:rsidRPr="002C4077">
        <w:t xml:space="preserve"> </w:t>
      </w:r>
      <w:r>
        <w:t>moins</w:t>
      </w:r>
      <w:r w:rsidRPr="002C4077">
        <w:t xml:space="preserve"> </w:t>
      </w:r>
      <w:r>
        <w:t>autant</w:t>
      </w:r>
      <w:r w:rsidRPr="002C4077">
        <w:t xml:space="preserve"> </w:t>
      </w:r>
      <w:r>
        <w:t>que</w:t>
      </w:r>
      <w:r w:rsidRPr="002C4077">
        <w:t xml:space="preserve"> </w:t>
      </w:r>
      <w:r>
        <w:t>les</w:t>
      </w:r>
      <w:r w:rsidRPr="002C4077">
        <w:t xml:space="preserve"> </w:t>
      </w:r>
      <w:r>
        <w:t>rationalistes</w:t>
      </w:r>
      <w:r w:rsidRPr="002C4077">
        <w:t xml:space="preserve"> </w:t>
      </w:r>
      <w:r>
        <w:t>l’intelligence</w:t>
      </w:r>
      <w:r w:rsidRPr="002C4077">
        <w:t xml:space="preserve"> </w:t>
      </w:r>
      <w:r>
        <w:t>des</w:t>
      </w:r>
      <w:r w:rsidRPr="002C4077">
        <w:t xml:space="preserve"> </w:t>
      </w:r>
      <w:r>
        <w:t>saintes</w:t>
      </w:r>
      <w:r w:rsidRPr="002C4077">
        <w:t xml:space="preserve"> </w:t>
      </w:r>
      <w:r>
        <w:t>Écritures,</w:t>
      </w:r>
      <w:r w:rsidRPr="002C4077">
        <w:t xml:space="preserve"> </w:t>
      </w:r>
      <w:r>
        <w:t>leur</w:t>
      </w:r>
      <w:r w:rsidRPr="002C4077">
        <w:t xml:space="preserve"> </w:t>
      </w:r>
      <w:r>
        <w:t>répondront</w:t>
      </w:r>
      <w:r w:rsidRPr="002C4077">
        <w:t xml:space="preserve"> </w:t>
      </w:r>
      <w:r>
        <w:t>qu’Emmanuel</w:t>
      </w:r>
      <w:r w:rsidRPr="002C4077">
        <w:t xml:space="preserve"> </w:t>
      </w:r>
      <w:r w:rsidR="00425C50">
        <w:t>est</w:t>
      </w:r>
      <w:r w:rsidRPr="002C4077">
        <w:t xml:space="preserve"> </w:t>
      </w:r>
      <w:r>
        <w:t>synonyme</w:t>
      </w:r>
      <w:r w:rsidRPr="002C4077">
        <w:t xml:space="preserve"> </w:t>
      </w:r>
      <w:r>
        <w:t>de</w:t>
      </w:r>
      <w:r w:rsidRPr="002C4077">
        <w:t xml:space="preserve"> </w:t>
      </w:r>
      <w:r w:rsidR="00B546AF">
        <w:t>« </w:t>
      </w:r>
      <w:r w:rsidR="0055004A">
        <w:t>Homme-Dieu</w:t>
      </w:r>
      <w:bookmarkStart w:id="128" w:name="z_Messieemmanuel_o3"/>
      <w:bookmarkEnd w:id="128"/>
      <w:r w:rsidR="0055004A">
        <w:rPr>
          <w:rStyle w:val="Appelnotedebasdep"/>
        </w:rPr>
        <w:footnoteReference w:id="93"/>
      </w:r>
      <w:r w:rsidR="00B546AF">
        <w:t> »</w:t>
      </w:r>
      <w:r>
        <w:t>.</w:t>
      </w:r>
      <w:r w:rsidRPr="002C4077">
        <w:t xml:space="preserve"> </w:t>
      </w:r>
      <w:r w:rsidRPr="000A34B5">
        <w:rPr>
          <w:rStyle w:val="italicus"/>
        </w:rPr>
        <w:t>S</w:t>
      </w:r>
      <w:r w:rsidR="001730C6" w:rsidRPr="000A34B5">
        <w:rPr>
          <w:rStyle w:val="italicus"/>
        </w:rPr>
        <w:t>ig</w:t>
      </w:r>
      <w:r w:rsidRPr="000A34B5">
        <w:rPr>
          <w:rStyle w:val="italicus"/>
        </w:rPr>
        <w:t>ni</w:t>
      </w:r>
      <w:r w:rsidR="0055004A">
        <w:rPr>
          <w:rStyle w:val="italicus"/>
        </w:rPr>
        <w:t>f</w:t>
      </w:r>
      <w:r w:rsidRPr="000A34B5">
        <w:rPr>
          <w:rStyle w:val="italicus"/>
        </w:rPr>
        <w:t>icat</w:t>
      </w:r>
      <w:r w:rsidRPr="002C4077">
        <w:t xml:space="preserve"> </w:t>
      </w:r>
      <w:r w:rsidRPr="000A34B5">
        <w:rPr>
          <w:rStyle w:val="italicus"/>
        </w:rPr>
        <w:t>id</w:t>
      </w:r>
      <w:r w:rsidRPr="002C4077">
        <w:t xml:space="preserve"> </w:t>
      </w:r>
      <w:r w:rsidRPr="000A34B5">
        <w:rPr>
          <w:rStyle w:val="italicus"/>
        </w:rPr>
        <w:t>nomen</w:t>
      </w:r>
      <w:r w:rsidRPr="002C4077">
        <w:t xml:space="preserve"> </w:t>
      </w:r>
      <w:r w:rsidRPr="000A34B5">
        <w:rPr>
          <w:rStyle w:val="italicus"/>
        </w:rPr>
        <w:t>Deum</w:t>
      </w:r>
      <w:r w:rsidRPr="002C4077">
        <w:t xml:space="preserve"> </w:t>
      </w:r>
      <w:r w:rsidRPr="000A34B5">
        <w:rPr>
          <w:rStyle w:val="italicus"/>
        </w:rPr>
        <w:t>qui</w:t>
      </w:r>
      <w:r w:rsidRPr="002C4077">
        <w:t xml:space="preserve"> </w:t>
      </w:r>
      <w:r w:rsidR="003B53FD" w:rsidRPr="000A34B5">
        <w:rPr>
          <w:rStyle w:val="italicus"/>
        </w:rPr>
        <w:t>nob</w:t>
      </w:r>
      <w:r w:rsidR="003B53FD">
        <w:rPr>
          <w:rStyle w:val="italicus"/>
        </w:rPr>
        <w:t>í</w:t>
      </w:r>
      <w:r w:rsidR="003B53FD" w:rsidRPr="000A34B5">
        <w:rPr>
          <w:rStyle w:val="italicus"/>
        </w:rPr>
        <w:t>scum</w:t>
      </w:r>
      <w:r w:rsidRPr="000A34B5">
        <w:rPr>
          <w:rStyle w:val="italicus"/>
        </w:rPr>
        <w:t>,</w:t>
      </w:r>
      <w:r w:rsidRPr="002C4077">
        <w:t xml:space="preserve"> </w:t>
      </w:r>
      <w:r w:rsidRPr="000A34B5">
        <w:rPr>
          <w:rStyle w:val="italicus"/>
        </w:rPr>
        <w:t>Deum</w:t>
      </w:r>
      <w:r w:rsidRPr="002C4077">
        <w:t xml:space="preserve"> </w:t>
      </w:r>
      <w:r w:rsidR="003B53FD" w:rsidRPr="000A34B5">
        <w:rPr>
          <w:rStyle w:val="italicus"/>
        </w:rPr>
        <w:t>h</w:t>
      </w:r>
      <w:r w:rsidR="003B53FD">
        <w:rPr>
          <w:rStyle w:val="italicus"/>
        </w:rPr>
        <w:t>ó</w:t>
      </w:r>
      <w:r w:rsidR="003B53FD" w:rsidRPr="000A34B5">
        <w:rPr>
          <w:rStyle w:val="italicus"/>
        </w:rPr>
        <w:t>minem</w:t>
      </w:r>
      <w:r w:rsidRPr="002C4077">
        <w:t xml:space="preserve"> </w:t>
      </w:r>
      <w:r w:rsidRPr="000A34B5">
        <w:rPr>
          <w:rStyle w:val="italicus"/>
        </w:rPr>
        <w:t>factum,</w:t>
      </w:r>
      <w:r w:rsidRPr="002C4077">
        <w:t xml:space="preserve"> </w:t>
      </w:r>
      <w:r w:rsidRPr="000A34B5">
        <w:rPr>
          <w:rStyle w:val="italicus"/>
        </w:rPr>
        <w:t>Deum</w:t>
      </w:r>
      <w:r w:rsidRPr="002C4077">
        <w:t xml:space="preserve"> </w:t>
      </w:r>
      <w:r w:rsidRPr="000A34B5">
        <w:rPr>
          <w:rStyle w:val="italicus"/>
        </w:rPr>
        <w:t>qui</w:t>
      </w:r>
      <w:r w:rsidRPr="002C4077">
        <w:t xml:space="preserve"> </w:t>
      </w:r>
      <w:r w:rsidR="004377BC" w:rsidRPr="000A34B5">
        <w:rPr>
          <w:rStyle w:val="italicus"/>
        </w:rPr>
        <w:t>humánam</w:t>
      </w:r>
      <w:r w:rsidRPr="002C4077">
        <w:t xml:space="preserve"> </w:t>
      </w:r>
      <w:r w:rsidR="004377BC" w:rsidRPr="000A34B5">
        <w:rPr>
          <w:rStyle w:val="italicus"/>
        </w:rPr>
        <w:t>natúram</w:t>
      </w:r>
      <w:r w:rsidRPr="002C4077">
        <w:t xml:space="preserve"> </w:t>
      </w:r>
      <w:r w:rsidR="004377BC" w:rsidRPr="000A34B5">
        <w:rPr>
          <w:rStyle w:val="italicus"/>
        </w:rPr>
        <w:t>assúmpsit</w:t>
      </w:r>
      <w:r w:rsidRPr="000A34B5">
        <w:rPr>
          <w:rStyle w:val="italicus"/>
        </w:rPr>
        <w:t>,</w:t>
      </w:r>
      <w:r w:rsidRPr="002C4077">
        <w:t xml:space="preserve"> </w:t>
      </w:r>
      <w:r w:rsidRPr="000A34B5">
        <w:rPr>
          <w:rStyle w:val="italicus"/>
        </w:rPr>
        <w:t>Deum</w:t>
      </w:r>
      <w:r w:rsidRPr="002C4077">
        <w:t xml:space="preserve"> </w:t>
      </w:r>
      <w:r w:rsidRPr="000A34B5">
        <w:rPr>
          <w:rStyle w:val="italicus"/>
        </w:rPr>
        <w:t>huic</w:t>
      </w:r>
      <w:r w:rsidRPr="002C4077">
        <w:t xml:space="preserve"> </w:t>
      </w:r>
      <w:r w:rsidR="004377BC" w:rsidRPr="000A34B5">
        <w:rPr>
          <w:rStyle w:val="italicus"/>
        </w:rPr>
        <w:t>unítum</w:t>
      </w:r>
      <w:r w:rsidRPr="000A34B5">
        <w:rPr>
          <w:rStyle w:val="italicus"/>
        </w:rPr>
        <w:t>,</w:t>
      </w:r>
      <w:r w:rsidRPr="002C4077">
        <w:t xml:space="preserve"> </w:t>
      </w:r>
      <w:r w:rsidRPr="000A34B5">
        <w:rPr>
          <w:rStyle w:val="italicus"/>
        </w:rPr>
        <w:t>Dei</w:t>
      </w:r>
      <w:r w:rsidRPr="002C4077">
        <w:t xml:space="preserve"> </w:t>
      </w:r>
      <w:r w:rsidRPr="000A34B5">
        <w:rPr>
          <w:rStyle w:val="italicus"/>
        </w:rPr>
        <w:t>formam</w:t>
      </w:r>
      <w:r w:rsidRPr="002C4077">
        <w:t xml:space="preserve"> </w:t>
      </w:r>
      <w:r w:rsidRPr="000A34B5">
        <w:rPr>
          <w:rStyle w:val="italicus"/>
        </w:rPr>
        <w:t>et</w:t>
      </w:r>
      <w:r w:rsidRPr="002C4077">
        <w:t xml:space="preserve"> </w:t>
      </w:r>
      <w:r w:rsidRPr="000A34B5">
        <w:rPr>
          <w:rStyle w:val="italicus"/>
        </w:rPr>
        <w:t>servi</w:t>
      </w:r>
      <w:r w:rsidRPr="002C4077">
        <w:t xml:space="preserve"> </w:t>
      </w:r>
      <w:r w:rsidRPr="000A34B5">
        <w:rPr>
          <w:rStyle w:val="italicus"/>
        </w:rPr>
        <w:t>formam</w:t>
      </w:r>
      <w:r w:rsidRPr="002C4077">
        <w:t xml:space="preserve"> </w:t>
      </w:r>
      <w:r w:rsidRPr="000A34B5">
        <w:rPr>
          <w:rStyle w:val="italicus"/>
        </w:rPr>
        <w:t>in</w:t>
      </w:r>
      <w:r w:rsidRPr="002C4077">
        <w:t xml:space="preserve"> </w:t>
      </w:r>
      <w:r w:rsidRPr="000A34B5">
        <w:rPr>
          <w:rStyle w:val="italicus"/>
        </w:rPr>
        <w:t>uno</w:t>
      </w:r>
      <w:r w:rsidRPr="002C4077">
        <w:t xml:space="preserve"> </w:t>
      </w:r>
      <w:r w:rsidR="004377BC" w:rsidRPr="000A34B5">
        <w:rPr>
          <w:rStyle w:val="italicus"/>
        </w:rPr>
        <w:t>fílio</w:t>
      </w:r>
      <w:r w:rsidRPr="002C4077">
        <w:t xml:space="preserve"> </w:t>
      </w:r>
      <w:r w:rsidRPr="000A34B5">
        <w:rPr>
          <w:rStyle w:val="italicus"/>
        </w:rPr>
        <w:t>sp</w:t>
      </w:r>
      <w:r w:rsidR="003B53FD" w:rsidRPr="000A34B5">
        <w:rPr>
          <w:rStyle w:val="italicus"/>
        </w:rPr>
        <w:t>ect</w:t>
      </w:r>
      <w:r w:rsidR="003B53FD">
        <w:rPr>
          <w:rStyle w:val="italicus"/>
        </w:rPr>
        <w:t>á</w:t>
      </w:r>
      <w:r w:rsidR="003B53FD" w:rsidRPr="000A34B5">
        <w:rPr>
          <w:rStyle w:val="italicus"/>
        </w:rPr>
        <w:t>tam</w:t>
      </w:r>
      <w:r w:rsidR="00F6492C">
        <w:rPr>
          <w:rStyle w:val="Appelnotedebasdep"/>
          <w:i/>
        </w:rPr>
        <w:footnoteReference w:id="94"/>
      </w:r>
      <w:r w:rsidR="00F6492C">
        <w:t>.</w:t>
      </w:r>
      <w:r w:rsidRPr="002C4077">
        <w:t xml:space="preserve"> </w:t>
      </w:r>
      <w:r>
        <w:t>Les</w:t>
      </w:r>
      <w:r w:rsidRPr="002C4077">
        <w:t xml:space="preserve"> </w:t>
      </w:r>
      <w:r>
        <w:t>exégètes</w:t>
      </w:r>
      <w:r w:rsidRPr="002C4077">
        <w:t xml:space="preserve"> </w:t>
      </w:r>
      <w:r>
        <w:t>chrétiens</w:t>
      </w:r>
      <w:r w:rsidRPr="002C4077">
        <w:t xml:space="preserve"> </w:t>
      </w:r>
      <w:r>
        <w:t>les</w:t>
      </w:r>
      <w:r w:rsidRPr="002C4077">
        <w:t xml:space="preserve"> </w:t>
      </w:r>
      <w:r>
        <w:t>plus</w:t>
      </w:r>
      <w:r w:rsidRPr="002C4077">
        <w:t xml:space="preserve"> </w:t>
      </w:r>
      <w:r>
        <w:t>célèbres</w:t>
      </w:r>
      <w:r w:rsidRPr="002C4077">
        <w:t xml:space="preserve"> </w:t>
      </w:r>
      <w:r>
        <w:t>depuis</w:t>
      </w:r>
      <w:r w:rsidRPr="002C4077">
        <w:t xml:space="preserve"> </w:t>
      </w:r>
      <w:r>
        <w:t>l’époque</w:t>
      </w:r>
      <w:r w:rsidRPr="002C4077">
        <w:t xml:space="preserve"> </w:t>
      </w:r>
      <w:r>
        <w:t>des</w:t>
      </w:r>
      <w:r w:rsidRPr="002C4077">
        <w:t xml:space="preserve"> </w:t>
      </w:r>
      <w:r>
        <w:t>Pères,</w:t>
      </w:r>
      <w:r w:rsidRPr="002C4077">
        <w:t xml:space="preserve"> </w:t>
      </w:r>
      <w:r>
        <w:t>orthodoxes</w:t>
      </w:r>
      <w:r w:rsidRPr="002C4077">
        <w:t xml:space="preserve"> </w:t>
      </w:r>
      <w:r>
        <w:t>ou</w:t>
      </w:r>
      <w:r w:rsidRPr="002C4077">
        <w:t xml:space="preserve"> </w:t>
      </w:r>
      <w:r>
        <w:t>hérétiques,</w:t>
      </w:r>
      <w:r w:rsidRPr="002C4077">
        <w:t xml:space="preserve"> </w:t>
      </w:r>
      <w:r>
        <w:t>leur</w:t>
      </w:r>
      <w:r w:rsidRPr="002C4077">
        <w:t xml:space="preserve"> </w:t>
      </w:r>
      <w:r>
        <w:t>répondent</w:t>
      </w:r>
      <w:r w:rsidRPr="002C4077">
        <w:t xml:space="preserve"> </w:t>
      </w:r>
      <w:r>
        <w:t>à</w:t>
      </w:r>
      <w:r w:rsidRPr="002C4077">
        <w:t xml:space="preserve"> </w:t>
      </w:r>
      <w:r>
        <w:t>l’envi</w:t>
      </w:r>
      <w:r w:rsidRPr="002C4077">
        <w:t xml:space="preserve"> </w:t>
      </w:r>
      <w:r>
        <w:t>par</w:t>
      </w:r>
      <w:r w:rsidRPr="002C4077">
        <w:t xml:space="preserve"> </w:t>
      </w:r>
      <w:r>
        <w:t>ce</w:t>
      </w:r>
      <w:r w:rsidRPr="002C4077">
        <w:t xml:space="preserve"> </w:t>
      </w:r>
      <w:r>
        <w:t>mot</w:t>
      </w:r>
      <w:r w:rsidRPr="002C4077">
        <w:t xml:space="preserve"> </w:t>
      </w:r>
      <w:r>
        <w:t>de</w:t>
      </w:r>
      <w:r w:rsidRPr="002C4077">
        <w:t xml:space="preserve"> </w:t>
      </w:r>
      <w:r>
        <w:t>Vitringa</w:t>
      </w:r>
      <w:r w:rsidR="00B546AF">
        <w:t> :</w:t>
      </w:r>
      <w:r w:rsidRPr="002C4077">
        <w:t xml:space="preserve"> </w:t>
      </w:r>
      <w:r w:rsidR="004377BC" w:rsidRPr="000A34B5">
        <w:rPr>
          <w:rStyle w:val="italicus"/>
        </w:rPr>
        <w:t>Lev</w:t>
      </w:r>
      <w:r w:rsidR="004377BC">
        <w:rPr>
          <w:rStyle w:val="italicus"/>
        </w:rPr>
        <w:t>í</w:t>
      </w:r>
      <w:r w:rsidR="004377BC" w:rsidRPr="000A34B5">
        <w:rPr>
          <w:rStyle w:val="italicus"/>
        </w:rPr>
        <w:t>ssime</w:t>
      </w:r>
      <w:r w:rsidR="004377BC" w:rsidRPr="002C4077">
        <w:t xml:space="preserve"> </w:t>
      </w:r>
      <w:r w:rsidRPr="000A34B5">
        <w:rPr>
          <w:rStyle w:val="italicus"/>
        </w:rPr>
        <w:t>interpr</w:t>
      </w:r>
      <w:r w:rsidR="004377BC">
        <w:rPr>
          <w:rStyle w:val="italicus"/>
        </w:rPr>
        <w:t>é</w:t>
      </w:r>
      <w:r w:rsidRPr="000A34B5">
        <w:rPr>
          <w:rStyle w:val="italicus"/>
        </w:rPr>
        <w:t>ter</w:t>
      </w:r>
      <w:r w:rsidR="00F6492C" w:rsidRPr="000A34B5">
        <w:rPr>
          <w:rStyle w:val="italicus"/>
        </w:rPr>
        <w:t>is</w:t>
      </w:r>
      <w:r w:rsidR="00F6492C">
        <w:rPr>
          <w:rStyle w:val="Appelnotedebasdep"/>
          <w:i/>
        </w:rPr>
        <w:footnoteReference w:id="95"/>
      </w:r>
      <w:r w:rsidR="00F6492C" w:rsidRPr="000A34B5">
        <w:rPr>
          <w:rStyle w:val="italicus"/>
        </w:rPr>
        <w:t>.</w:t>
      </w:r>
      <w:r w:rsidRPr="002C4077">
        <w:t xml:space="preserve"> </w:t>
      </w:r>
      <w:r w:rsidR="00B546AF">
        <w:t>« </w:t>
      </w:r>
      <w:r>
        <w:t>Vous</w:t>
      </w:r>
      <w:r w:rsidRPr="002C4077">
        <w:t xml:space="preserve"> </w:t>
      </w:r>
      <w:r>
        <w:t>n’êtes</w:t>
      </w:r>
      <w:r w:rsidRPr="002C4077">
        <w:t xml:space="preserve"> </w:t>
      </w:r>
      <w:r>
        <w:t>que</w:t>
      </w:r>
      <w:r w:rsidRPr="002C4077">
        <w:t xml:space="preserve"> </w:t>
      </w:r>
      <w:r>
        <w:t>des</w:t>
      </w:r>
      <w:r w:rsidRPr="002C4077">
        <w:t xml:space="preserve"> </w:t>
      </w:r>
      <w:r>
        <w:t>interprètes</w:t>
      </w:r>
      <w:r w:rsidRPr="002C4077">
        <w:t xml:space="preserve"> </w:t>
      </w:r>
      <w:r>
        <w:t>superficiels</w:t>
      </w:r>
      <w:r w:rsidR="00B546AF">
        <w:t> ! »</w:t>
      </w:r>
      <w:r w:rsidRPr="002C4077">
        <w:t xml:space="preserve"> </w:t>
      </w:r>
    </w:p>
    <w:p w:rsidR="000A7AAB" w:rsidRDefault="000A7AAB" w:rsidP="000A7AAB">
      <w:r>
        <w:t>Emmanuel</w:t>
      </w:r>
      <w:r w:rsidRPr="002C4077">
        <w:t xml:space="preserve"> </w:t>
      </w:r>
      <w:r w:rsidR="00425C50">
        <w:t>est</w:t>
      </w:r>
      <w:r w:rsidRPr="002C4077">
        <w:t xml:space="preserve"> </w:t>
      </w:r>
      <w:r>
        <w:t>le</w:t>
      </w:r>
      <w:r w:rsidRPr="002C4077">
        <w:t xml:space="preserve"> </w:t>
      </w:r>
      <w:r>
        <w:t>Messie,</w:t>
      </w:r>
      <w:r w:rsidRPr="002C4077">
        <w:t xml:space="preserve"> </w:t>
      </w:r>
      <w:r>
        <w:t>Emmanuel</w:t>
      </w:r>
      <w:r w:rsidRPr="002C4077">
        <w:t xml:space="preserve"> </w:t>
      </w:r>
      <w:r w:rsidR="00425C50">
        <w:t>est</w:t>
      </w:r>
      <w:r w:rsidRPr="002C4077">
        <w:t xml:space="preserve"> </w:t>
      </w:r>
      <w:r>
        <w:t>Dieu.</w:t>
      </w:r>
      <w:r w:rsidRPr="002C4077">
        <w:t xml:space="preserve"> </w:t>
      </w:r>
      <w:r>
        <w:t>Mais</w:t>
      </w:r>
      <w:r w:rsidRPr="002C4077">
        <w:t xml:space="preserve"> </w:t>
      </w:r>
      <w:r>
        <w:t>s’est-il</w:t>
      </w:r>
      <w:r w:rsidRPr="002C4077">
        <w:t xml:space="preserve"> </w:t>
      </w:r>
      <w:r>
        <w:t>rencontré,</w:t>
      </w:r>
      <w:r w:rsidRPr="002C4077">
        <w:t xml:space="preserve"> </w:t>
      </w:r>
      <w:r>
        <w:t>dans</w:t>
      </w:r>
      <w:r w:rsidRPr="002C4077">
        <w:t xml:space="preserve"> </w:t>
      </w:r>
      <w:r>
        <w:t>le</w:t>
      </w:r>
      <w:r w:rsidRPr="002C4077">
        <w:t xml:space="preserve"> </w:t>
      </w:r>
      <w:r>
        <w:t>cours</w:t>
      </w:r>
      <w:r w:rsidRPr="002C4077">
        <w:t xml:space="preserve"> </w:t>
      </w:r>
      <w:r>
        <w:t>des</w:t>
      </w:r>
      <w:r w:rsidRPr="002C4077">
        <w:t xml:space="preserve"> </w:t>
      </w:r>
      <w:r>
        <w:t>siècles,</w:t>
      </w:r>
      <w:r w:rsidRPr="002C4077">
        <w:t xml:space="preserve"> </w:t>
      </w:r>
      <w:r>
        <w:t>quelqu’un</w:t>
      </w:r>
      <w:r w:rsidRPr="002C4077">
        <w:t xml:space="preserve"> </w:t>
      </w:r>
      <w:r>
        <w:t>qui</w:t>
      </w:r>
      <w:r w:rsidRPr="002C4077">
        <w:t xml:space="preserve"> </w:t>
      </w:r>
      <w:r>
        <w:t>se</w:t>
      </w:r>
      <w:r w:rsidRPr="002C4077">
        <w:t xml:space="preserve"> </w:t>
      </w:r>
      <w:r>
        <w:t>soit</w:t>
      </w:r>
      <w:r w:rsidRPr="002C4077">
        <w:t xml:space="preserve"> </w:t>
      </w:r>
      <w:r>
        <w:t>présenté</w:t>
      </w:r>
      <w:r w:rsidRPr="002C4077">
        <w:t xml:space="preserve"> </w:t>
      </w:r>
      <w:r>
        <w:t>comme</w:t>
      </w:r>
      <w:r w:rsidRPr="002C4077">
        <w:t xml:space="preserve"> </w:t>
      </w:r>
      <w:r>
        <w:t>le</w:t>
      </w:r>
      <w:r w:rsidRPr="002C4077">
        <w:t xml:space="preserve"> </w:t>
      </w:r>
      <w:r>
        <w:t>Messie-Dieu,</w:t>
      </w:r>
      <w:r w:rsidRPr="002C4077">
        <w:t xml:space="preserve"> </w:t>
      </w:r>
      <w:r>
        <w:t>comme</w:t>
      </w:r>
      <w:r w:rsidRPr="002C4077">
        <w:t xml:space="preserve"> </w:t>
      </w:r>
      <w:r>
        <w:t>l’Emmanuel</w:t>
      </w:r>
      <w:r w:rsidRPr="002C4077">
        <w:t xml:space="preserve"> </w:t>
      </w:r>
      <w:r>
        <w:t>d’Isaïe</w:t>
      </w:r>
      <w:r w:rsidR="00B546AF">
        <w:t> ?</w:t>
      </w:r>
      <w:r w:rsidRPr="002C4077">
        <w:t xml:space="preserve"> </w:t>
      </w:r>
    </w:p>
    <w:p w:rsidR="000A7AAB" w:rsidRDefault="000A7AAB" w:rsidP="000A7AAB">
      <w:r>
        <w:t>Oui,</w:t>
      </w:r>
      <w:bookmarkStart w:id="129" w:name="z_JesusEmmanuel_o1"/>
      <w:bookmarkEnd w:id="129"/>
      <w:r w:rsidRPr="002C4077">
        <w:t xml:space="preserve"> </w:t>
      </w:r>
      <w:r>
        <w:t>des</w:t>
      </w:r>
      <w:r w:rsidRPr="002C4077">
        <w:t xml:space="preserve"> </w:t>
      </w:r>
      <w:r>
        <w:t>millions</w:t>
      </w:r>
      <w:r w:rsidRPr="002C4077">
        <w:t xml:space="preserve"> </w:t>
      </w:r>
      <w:r>
        <w:t>d’hommes</w:t>
      </w:r>
      <w:r w:rsidRPr="002C4077">
        <w:t xml:space="preserve"> </w:t>
      </w:r>
      <w:r>
        <w:t>l’adorent</w:t>
      </w:r>
      <w:r w:rsidRPr="002C4077">
        <w:t xml:space="preserve"> </w:t>
      </w:r>
      <w:r>
        <w:t>sous</w:t>
      </w:r>
      <w:r w:rsidRPr="002C4077">
        <w:t xml:space="preserve"> </w:t>
      </w:r>
      <w:r>
        <w:t>le</w:t>
      </w:r>
      <w:r w:rsidRPr="002C4077">
        <w:t xml:space="preserve"> </w:t>
      </w:r>
      <w:r>
        <w:t>nom</w:t>
      </w:r>
      <w:r w:rsidRPr="002C4077">
        <w:t xml:space="preserve"> </w:t>
      </w:r>
      <w:r>
        <w:t>de</w:t>
      </w:r>
      <w:r w:rsidRPr="002C4077">
        <w:t xml:space="preserve"> </w:t>
      </w:r>
      <w:r w:rsidR="00425C50">
        <w:t>Jésus</w:t>
      </w:r>
      <w:r>
        <w:t>,</w:t>
      </w:r>
      <w:r w:rsidRPr="002C4077">
        <w:t xml:space="preserve"> </w:t>
      </w:r>
      <w:r>
        <w:t>car</w:t>
      </w:r>
      <w:r w:rsidRPr="002C4077">
        <w:t xml:space="preserve"> </w:t>
      </w:r>
      <w:r>
        <w:t>il</w:t>
      </w:r>
      <w:r w:rsidRPr="002C4077">
        <w:t xml:space="preserve"> </w:t>
      </w:r>
      <w:r>
        <w:t>a</w:t>
      </w:r>
      <w:r w:rsidRPr="002C4077">
        <w:t xml:space="preserve"> </w:t>
      </w:r>
      <w:r>
        <w:t>démontré</w:t>
      </w:r>
      <w:r w:rsidRPr="002C4077">
        <w:t xml:space="preserve"> </w:t>
      </w:r>
      <w:r>
        <w:t>de</w:t>
      </w:r>
      <w:r w:rsidRPr="002C4077">
        <w:t xml:space="preserve"> </w:t>
      </w:r>
      <w:r>
        <w:t>la</w:t>
      </w:r>
      <w:r w:rsidRPr="002C4077">
        <w:t xml:space="preserve"> </w:t>
      </w:r>
      <w:r>
        <w:t>façon</w:t>
      </w:r>
      <w:r w:rsidRPr="002C4077">
        <w:t xml:space="preserve"> </w:t>
      </w:r>
      <w:r>
        <w:t>la</w:t>
      </w:r>
      <w:r w:rsidRPr="002C4077">
        <w:t xml:space="preserve"> </w:t>
      </w:r>
      <w:r>
        <w:t>plus</w:t>
      </w:r>
      <w:r w:rsidRPr="002C4077">
        <w:t xml:space="preserve"> </w:t>
      </w:r>
      <w:r>
        <w:t>évidente,</w:t>
      </w:r>
      <w:r w:rsidRPr="002C4077">
        <w:t xml:space="preserve"> </w:t>
      </w:r>
      <w:r>
        <w:t>les</w:t>
      </w:r>
      <w:r w:rsidRPr="002C4077">
        <w:t xml:space="preserve"> </w:t>
      </w:r>
      <w:r>
        <w:t>Évangiles</w:t>
      </w:r>
      <w:r w:rsidRPr="002C4077">
        <w:t xml:space="preserve"> </w:t>
      </w:r>
      <w:r>
        <w:t>en</w:t>
      </w:r>
      <w:r w:rsidRPr="002C4077">
        <w:t xml:space="preserve"> </w:t>
      </w:r>
      <w:r>
        <w:t>font</w:t>
      </w:r>
      <w:r w:rsidRPr="002C4077">
        <w:t xml:space="preserve"> </w:t>
      </w:r>
      <w:r>
        <w:t>foi,</w:t>
      </w:r>
      <w:r w:rsidRPr="002C4077">
        <w:t xml:space="preserve"> </w:t>
      </w:r>
      <w:r>
        <w:t>qu’il</w:t>
      </w:r>
      <w:r w:rsidRPr="002C4077">
        <w:t xml:space="preserve"> </w:t>
      </w:r>
      <w:r>
        <w:t>était</w:t>
      </w:r>
      <w:r w:rsidRPr="002C4077">
        <w:t xml:space="preserve"> </w:t>
      </w:r>
      <w:r w:rsidRPr="000A34B5">
        <w:rPr>
          <w:rStyle w:val="italicus"/>
        </w:rPr>
        <w:t>le</w:t>
      </w:r>
      <w:r w:rsidRPr="002C4077">
        <w:t xml:space="preserve"> </w:t>
      </w:r>
      <w:r w:rsidR="00425C50">
        <w:rPr>
          <w:rStyle w:val="italicus"/>
        </w:rPr>
        <w:t>Christ</w:t>
      </w:r>
      <w:r w:rsidRPr="002C4077">
        <w:t xml:space="preserve"> </w:t>
      </w:r>
      <w:r w:rsidRPr="000A34B5">
        <w:rPr>
          <w:rStyle w:val="italicus"/>
        </w:rPr>
        <w:t>fils</w:t>
      </w:r>
      <w:r w:rsidRPr="002C4077">
        <w:t xml:space="preserve"> </w:t>
      </w:r>
      <w:r w:rsidRPr="000A34B5">
        <w:rPr>
          <w:rStyle w:val="italicus"/>
        </w:rPr>
        <w:t>du</w:t>
      </w:r>
      <w:r w:rsidRPr="002C4077">
        <w:t xml:space="preserve"> </w:t>
      </w:r>
      <w:r w:rsidRPr="000A34B5">
        <w:rPr>
          <w:rStyle w:val="italicus"/>
        </w:rPr>
        <w:t>Dieu</w:t>
      </w:r>
      <w:r w:rsidRPr="002C4077">
        <w:t xml:space="preserve"> </w:t>
      </w:r>
      <w:r w:rsidRPr="000A34B5">
        <w:rPr>
          <w:rStyle w:val="italicus"/>
        </w:rPr>
        <w:t>viva</w:t>
      </w:r>
      <w:r w:rsidR="00F6492C" w:rsidRPr="000A34B5">
        <w:rPr>
          <w:rStyle w:val="italicus"/>
        </w:rPr>
        <w:t>nt</w:t>
      </w:r>
      <w:r w:rsidR="00F6492C">
        <w:rPr>
          <w:rStyle w:val="Appelnotedebasdep"/>
          <w:i/>
        </w:rPr>
        <w:footnoteReference w:id="96"/>
      </w:r>
      <w:r w:rsidR="00F6492C" w:rsidRPr="000A34B5">
        <w:rPr>
          <w:rStyle w:val="italicus"/>
        </w:rPr>
        <w:t>.</w:t>
      </w:r>
      <w:r w:rsidRPr="002C4077">
        <w:t xml:space="preserve"> </w:t>
      </w:r>
      <w:r>
        <w:t>Nous</w:t>
      </w:r>
      <w:r w:rsidRPr="002C4077">
        <w:t xml:space="preserve"> </w:t>
      </w:r>
      <w:r>
        <w:t>n’avons</w:t>
      </w:r>
      <w:r w:rsidRPr="002C4077">
        <w:t xml:space="preserve"> </w:t>
      </w:r>
      <w:r>
        <w:t>pas</w:t>
      </w:r>
      <w:r w:rsidRPr="002C4077">
        <w:t xml:space="preserve"> </w:t>
      </w:r>
      <w:r>
        <w:t>à</w:t>
      </w:r>
      <w:r w:rsidRPr="002C4077">
        <w:t xml:space="preserve"> </w:t>
      </w:r>
      <w:r>
        <w:t>insister</w:t>
      </w:r>
      <w:r w:rsidRPr="002C4077">
        <w:t xml:space="preserve"> </w:t>
      </w:r>
      <w:r>
        <w:t>actuellement</w:t>
      </w:r>
      <w:r w:rsidRPr="002C4077">
        <w:t xml:space="preserve"> </w:t>
      </w:r>
      <w:r>
        <w:t>sur</w:t>
      </w:r>
      <w:r w:rsidRPr="002C4077">
        <w:t xml:space="preserve"> </w:t>
      </w:r>
      <w:r>
        <w:t>ce</w:t>
      </w:r>
      <w:r w:rsidRPr="002C4077">
        <w:t xml:space="preserve"> </w:t>
      </w:r>
      <w:r>
        <w:t>point,</w:t>
      </w:r>
      <w:r w:rsidRPr="002C4077">
        <w:t xml:space="preserve"> </w:t>
      </w:r>
      <w:r>
        <w:t>non</w:t>
      </w:r>
      <w:r w:rsidRPr="002C4077">
        <w:t xml:space="preserve"> </w:t>
      </w:r>
      <w:r>
        <w:t>plus</w:t>
      </w:r>
      <w:r w:rsidRPr="002C4077">
        <w:t xml:space="preserve"> </w:t>
      </w:r>
      <w:r>
        <w:t>qu’à</w:t>
      </w:r>
      <w:r w:rsidRPr="002C4077">
        <w:t xml:space="preserve"> </w:t>
      </w:r>
      <w:r>
        <w:t>discuter</w:t>
      </w:r>
      <w:r w:rsidRPr="002C4077">
        <w:t xml:space="preserve"> </w:t>
      </w:r>
      <w:r>
        <w:t>un</w:t>
      </w:r>
      <w:r w:rsidRPr="002C4077">
        <w:t xml:space="preserve"> </w:t>
      </w:r>
      <w:r>
        <w:t>passage</w:t>
      </w:r>
      <w:r w:rsidRPr="002C4077">
        <w:t xml:space="preserve"> </w:t>
      </w:r>
      <w:r>
        <w:t>célèbre</w:t>
      </w:r>
      <w:r w:rsidRPr="002C4077">
        <w:t xml:space="preserve"> </w:t>
      </w:r>
      <w:r>
        <w:t>de</w:t>
      </w:r>
      <w:r w:rsidRPr="002C4077">
        <w:t xml:space="preserve"> </w:t>
      </w:r>
      <w:r>
        <w:t>saint</w:t>
      </w:r>
      <w:r w:rsidRPr="002C4077">
        <w:t xml:space="preserve"> </w:t>
      </w:r>
      <w:r w:rsidR="00425C50">
        <w:t>Matth</w:t>
      </w:r>
      <w:r>
        <w:t>ieu</w:t>
      </w:r>
      <w:r w:rsidR="00B91AF7">
        <w:rPr>
          <w:rStyle w:val="Appelnotedebasdep"/>
        </w:rPr>
        <w:footnoteReference w:id="97"/>
      </w:r>
      <w:r w:rsidRPr="002C4077">
        <w:t xml:space="preserve"> </w:t>
      </w:r>
      <w:r>
        <w:t>qui</w:t>
      </w:r>
      <w:r w:rsidRPr="002C4077">
        <w:t xml:space="preserve"> </w:t>
      </w:r>
      <w:r>
        <w:t>viendra</w:t>
      </w:r>
      <w:r w:rsidRPr="002C4077">
        <w:t xml:space="preserve"> </w:t>
      </w:r>
      <w:r>
        <w:t>mieux</w:t>
      </w:r>
      <w:r w:rsidRPr="002C4077">
        <w:t xml:space="preserve"> </w:t>
      </w:r>
      <w:r w:rsidRPr="000A34B5">
        <w:rPr>
          <w:rStyle w:val="italicus"/>
        </w:rPr>
        <w:t>ad</w:t>
      </w:r>
      <w:r w:rsidRPr="002C4077">
        <w:t xml:space="preserve"> </w:t>
      </w:r>
      <w:r w:rsidRPr="000A34B5">
        <w:rPr>
          <w:rStyle w:val="italicus"/>
        </w:rPr>
        <w:t>rem</w:t>
      </w:r>
      <w:r w:rsidRPr="002C4077">
        <w:t xml:space="preserve"> </w:t>
      </w:r>
      <w:r>
        <w:t>au</w:t>
      </w:r>
      <w:r w:rsidRPr="002C4077">
        <w:t xml:space="preserve"> </w:t>
      </w:r>
      <w:r>
        <w:t>chapitre</w:t>
      </w:r>
      <w:r w:rsidRPr="002C4077">
        <w:t xml:space="preserve"> </w:t>
      </w:r>
      <w:r>
        <w:t>suivant.</w:t>
      </w:r>
      <w:r w:rsidR="00C45B47">
        <w:t xml:space="preserve"> {</w:t>
      </w:r>
      <w:r w:rsidR="000721C4">
        <w:t>35</w:t>
      </w:r>
      <w:bookmarkStart w:id="130" w:name="p035"/>
      <w:bookmarkEnd w:id="130"/>
      <w:r w:rsidR="000721C4">
        <w:t xml:space="preserve">} </w:t>
      </w:r>
      <w:r>
        <w:t>Nous</w:t>
      </w:r>
      <w:r w:rsidRPr="002C4077">
        <w:t xml:space="preserve"> </w:t>
      </w:r>
      <w:r>
        <w:t>nous</w:t>
      </w:r>
      <w:r w:rsidRPr="002C4077">
        <w:t xml:space="preserve"> </w:t>
      </w:r>
      <w:r>
        <w:t>bornerons</w:t>
      </w:r>
      <w:r w:rsidRPr="002C4077">
        <w:t xml:space="preserve"> </w:t>
      </w:r>
      <w:r>
        <w:t>à</w:t>
      </w:r>
      <w:r w:rsidRPr="002C4077">
        <w:t xml:space="preserve"> </w:t>
      </w:r>
      <w:r>
        <w:t>formuler</w:t>
      </w:r>
      <w:r w:rsidRPr="002C4077">
        <w:t xml:space="preserve"> </w:t>
      </w:r>
      <w:r>
        <w:t>cette</w:t>
      </w:r>
      <w:r w:rsidRPr="002C4077">
        <w:t xml:space="preserve"> </w:t>
      </w:r>
      <w:r>
        <w:t>troisième</w:t>
      </w:r>
      <w:r w:rsidRPr="002C4077">
        <w:t xml:space="preserve"> </w:t>
      </w:r>
      <w:r>
        <w:t>proposition,</w:t>
      </w:r>
      <w:r w:rsidRPr="002C4077">
        <w:t xml:space="preserve"> </w:t>
      </w:r>
      <w:r>
        <w:t>car</w:t>
      </w:r>
      <w:r w:rsidRPr="002C4077">
        <w:t xml:space="preserve"> </w:t>
      </w:r>
      <w:r>
        <w:t>elle</w:t>
      </w:r>
      <w:r w:rsidRPr="002C4077">
        <w:t xml:space="preserve"> </w:t>
      </w:r>
      <w:r w:rsidR="00425C50">
        <w:t>est</w:t>
      </w:r>
      <w:r w:rsidRPr="002C4077">
        <w:t xml:space="preserve"> </w:t>
      </w:r>
      <w:r>
        <w:t>une</w:t>
      </w:r>
      <w:r w:rsidRPr="002C4077">
        <w:t xml:space="preserve"> </w:t>
      </w:r>
      <w:r>
        <w:t>conséquence</w:t>
      </w:r>
      <w:r w:rsidRPr="002C4077">
        <w:t xml:space="preserve"> </w:t>
      </w:r>
      <w:r>
        <w:t>nécessaire</w:t>
      </w:r>
      <w:r w:rsidRPr="002C4077">
        <w:t xml:space="preserve"> </w:t>
      </w:r>
      <w:r>
        <w:t>des</w:t>
      </w:r>
      <w:r w:rsidRPr="002C4077">
        <w:t xml:space="preserve"> </w:t>
      </w:r>
      <w:r>
        <w:t>deux</w:t>
      </w:r>
      <w:r w:rsidRPr="002C4077">
        <w:t xml:space="preserve"> </w:t>
      </w:r>
      <w:r>
        <w:t>autres</w:t>
      </w:r>
      <w:r w:rsidR="00B546AF">
        <w:t> :</w:t>
      </w:r>
      <w:r w:rsidRPr="002C4077">
        <w:t xml:space="preserve"> </w:t>
      </w:r>
      <w:r>
        <w:t>Emmanuel</w:t>
      </w:r>
      <w:r w:rsidRPr="002C4077">
        <w:t xml:space="preserve"> </w:t>
      </w:r>
      <w:r w:rsidR="00425C50">
        <w:t>est</w:t>
      </w:r>
      <w:r w:rsidRPr="002C4077">
        <w:t xml:space="preserve"> </w:t>
      </w:r>
      <w:r>
        <w:t>Notre</w:t>
      </w:r>
      <w:r w:rsidRPr="002C4077">
        <w:t xml:space="preserve"> </w:t>
      </w:r>
      <w:r>
        <w:t>Seigneur</w:t>
      </w:r>
      <w:r w:rsidRPr="002C4077">
        <w:t xml:space="preserve"> </w:t>
      </w:r>
      <w:r w:rsidR="00425C50">
        <w:t>Jésus</w:t>
      </w:r>
      <w:r>
        <w:t>-</w:t>
      </w:r>
      <w:r w:rsidR="00425C50">
        <w:t>Christ</w:t>
      </w:r>
      <w:r>
        <w:t>.</w:t>
      </w:r>
      <w:r w:rsidRPr="002C4077">
        <w:t xml:space="preserve"> </w:t>
      </w:r>
    </w:p>
    <w:p w:rsidR="000A7AAB" w:rsidRDefault="000A7AAB" w:rsidP="000A7AAB">
      <w:r w:rsidRPr="004377BC">
        <w:t>Les</w:t>
      </w:r>
      <w:bookmarkStart w:id="131" w:name="z_Emmanuel_o6"/>
      <w:bookmarkEnd w:id="131"/>
      <w:r w:rsidRPr="002C4077">
        <w:t xml:space="preserve"> </w:t>
      </w:r>
      <w:r w:rsidRPr="004377BC">
        <w:t>Juifs</w:t>
      </w:r>
      <w:bookmarkStart w:id="132" w:name="z_MessieFilsAlmah_o1"/>
      <w:bookmarkEnd w:id="132"/>
      <w:r w:rsidRPr="002C4077">
        <w:t xml:space="preserve"> </w:t>
      </w:r>
      <w:r w:rsidRPr="004377BC">
        <w:t>ont</w:t>
      </w:r>
      <w:r w:rsidRPr="002C4077">
        <w:t xml:space="preserve"> </w:t>
      </w:r>
      <w:r w:rsidRPr="004377BC">
        <w:t>souvent</w:t>
      </w:r>
      <w:r w:rsidRPr="002C4077">
        <w:t xml:space="preserve"> </w:t>
      </w:r>
      <w:r w:rsidRPr="004377BC">
        <w:t>objecté,</w:t>
      </w:r>
      <w:r w:rsidRPr="002C4077">
        <w:t xml:space="preserve"> </w:t>
      </w:r>
      <w:r w:rsidRPr="004377BC">
        <w:t>il</w:t>
      </w:r>
      <w:r w:rsidRPr="002C4077">
        <w:t xml:space="preserve"> </w:t>
      </w:r>
      <w:r w:rsidR="00425C50">
        <w:t>est</w:t>
      </w:r>
      <w:r w:rsidRPr="002C4077">
        <w:t xml:space="preserve"> </w:t>
      </w:r>
      <w:r w:rsidRPr="004377BC">
        <w:t>vrai,</w:t>
      </w:r>
      <w:r w:rsidRPr="002C4077">
        <w:t xml:space="preserve"> </w:t>
      </w:r>
      <w:r w:rsidRPr="004377BC">
        <w:t>que</w:t>
      </w:r>
      <w:r w:rsidRPr="002C4077">
        <w:t xml:space="preserve"> </w:t>
      </w:r>
      <w:r w:rsidR="00425C50">
        <w:t>Jésus</w:t>
      </w:r>
      <w:r w:rsidRPr="002C4077">
        <w:t xml:space="preserve"> </w:t>
      </w:r>
      <w:r w:rsidRPr="004377BC">
        <w:t>n’a</w:t>
      </w:r>
      <w:r w:rsidRPr="002C4077">
        <w:t xml:space="preserve"> </w:t>
      </w:r>
      <w:r w:rsidRPr="004377BC">
        <w:t>jamais</w:t>
      </w:r>
      <w:r w:rsidRPr="002C4077">
        <w:t xml:space="preserve"> </w:t>
      </w:r>
      <w:r w:rsidRPr="004377BC">
        <w:t>porté</w:t>
      </w:r>
      <w:r w:rsidRPr="002C4077">
        <w:t xml:space="preserve"> </w:t>
      </w:r>
      <w:r w:rsidRPr="004377BC">
        <w:t>le</w:t>
      </w:r>
      <w:r w:rsidRPr="002C4077">
        <w:t xml:space="preserve"> </w:t>
      </w:r>
      <w:r w:rsidRPr="004377BC">
        <w:t>nom</w:t>
      </w:r>
      <w:r w:rsidRPr="002C4077">
        <w:t xml:space="preserve"> </w:t>
      </w:r>
      <w:r w:rsidRPr="004377BC">
        <w:t>d’Emmanuel,</w:t>
      </w:r>
      <w:r w:rsidRPr="002C4077">
        <w:t xml:space="preserve"> </w:t>
      </w:r>
      <w:r w:rsidRPr="004377BC">
        <w:t>et</w:t>
      </w:r>
      <w:r w:rsidRPr="002C4077">
        <w:t xml:space="preserve"> </w:t>
      </w:r>
      <w:r w:rsidRPr="004377BC">
        <w:t>que,</w:t>
      </w:r>
      <w:r w:rsidRPr="002C4077">
        <w:t xml:space="preserve"> </w:t>
      </w:r>
      <w:r w:rsidRPr="004377BC">
        <w:t>par</w:t>
      </w:r>
      <w:r w:rsidRPr="002C4077">
        <w:t xml:space="preserve"> </w:t>
      </w:r>
      <w:r w:rsidRPr="004377BC">
        <w:t>suite,</w:t>
      </w:r>
      <w:r w:rsidRPr="002C4077">
        <w:t xml:space="preserve"> </w:t>
      </w:r>
      <w:r w:rsidRPr="004377BC">
        <w:t>l’oracle</w:t>
      </w:r>
      <w:r w:rsidRPr="002C4077">
        <w:t xml:space="preserve"> </w:t>
      </w:r>
      <w:r w:rsidRPr="004377BC">
        <w:t>de</w:t>
      </w:r>
      <w:r w:rsidRPr="002C4077">
        <w:t xml:space="preserve"> </w:t>
      </w:r>
      <w:r w:rsidR="00D40830" w:rsidRPr="004377BC">
        <w:t>l’</w:t>
      </w:r>
      <w:r w:rsidR="00D40830" w:rsidRPr="004377BC">
        <w:rPr>
          <w:rStyle w:val="italicus"/>
        </w:rPr>
        <w:t>῾almah</w:t>
      </w:r>
      <w:r w:rsidRPr="002C4077">
        <w:t xml:space="preserve"> </w:t>
      </w:r>
      <w:r w:rsidRPr="004377BC">
        <w:t>ne</w:t>
      </w:r>
      <w:r w:rsidRPr="002C4077">
        <w:t xml:space="preserve"> </w:t>
      </w:r>
      <w:r w:rsidRPr="004377BC">
        <w:t>saurait</w:t>
      </w:r>
      <w:r w:rsidRPr="002C4077">
        <w:t xml:space="preserve"> </w:t>
      </w:r>
      <w:r w:rsidRPr="004377BC">
        <w:t>le</w:t>
      </w:r>
      <w:r w:rsidRPr="002C4077">
        <w:t xml:space="preserve"> </w:t>
      </w:r>
      <w:r w:rsidRPr="004377BC">
        <w:t>concerner</w:t>
      </w:r>
      <w:r w:rsidRPr="002C4077">
        <w:t xml:space="preserve"> </w:t>
      </w:r>
      <w:r w:rsidRPr="004377BC">
        <w:t>en</w:t>
      </w:r>
      <w:r w:rsidRPr="002C4077">
        <w:t xml:space="preserve"> </w:t>
      </w:r>
      <w:r w:rsidRPr="004377BC">
        <w:t>rien.</w:t>
      </w:r>
      <w:r w:rsidRPr="002C4077">
        <w:t xml:space="preserve"> </w:t>
      </w:r>
      <w:r w:rsidRPr="004377BC">
        <w:t>Les</w:t>
      </w:r>
      <w:r w:rsidRPr="002C4077">
        <w:t xml:space="preserve"> </w:t>
      </w:r>
      <w:r w:rsidRPr="004377BC">
        <w:t>Pères</w:t>
      </w:r>
      <w:r w:rsidRPr="002C4077">
        <w:t xml:space="preserve"> </w:t>
      </w:r>
      <w:r w:rsidRPr="004377BC">
        <w:t>leur</w:t>
      </w:r>
      <w:r w:rsidRPr="002C4077">
        <w:t xml:space="preserve"> </w:t>
      </w:r>
      <w:r w:rsidRPr="004377BC">
        <w:t>ont</w:t>
      </w:r>
      <w:r w:rsidRPr="002C4077">
        <w:t xml:space="preserve"> </w:t>
      </w:r>
      <w:r w:rsidRPr="004377BC">
        <w:t>fermé</w:t>
      </w:r>
      <w:r w:rsidRPr="002C4077">
        <w:t xml:space="preserve"> </w:t>
      </w:r>
      <w:r w:rsidRPr="004377BC">
        <w:t>la</w:t>
      </w:r>
      <w:r w:rsidRPr="002C4077">
        <w:t xml:space="preserve"> </w:t>
      </w:r>
      <w:r w:rsidRPr="004377BC">
        <w:t>bouche,</w:t>
      </w:r>
      <w:r w:rsidRPr="002C4077">
        <w:t xml:space="preserve"> </w:t>
      </w:r>
      <w:r w:rsidRPr="004377BC">
        <w:t>en</w:t>
      </w:r>
      <w:r w:rsidRPr="002C4077">
        <w:t xml:space="preserve"> </w:t>
      </w:r>
      <w:r w:rsidRPr="004377BC">
        <w:t>montrant</w:t>
      </w:r>
      <w:r w:rsidRPr="002C4077">
        <w:t xml:space="preserve"> </w:t>
      </w:r>
      <w:r w:rsidRPr="004377BC">
        <w:t>que</w:t>
      </w:r>
      <w:r w:rsidRPr="002C4077">
        <w:t xml:space="preserve"> </w:t>
      </w:r>
      <w:r w:rsidRPr="004377BC">
        <w:t>le</w:t>
      </w:r>
      <w:r w:rsidRPr="002C4077">
        <w:t xml:space="preserve"> </w:t>
      </w:r>
      <w:r w:rsidRPr="004377BC">
        <w:t>nom</w:t>
      </w:r>
      <w:r w:rsidRPr="002C4077">
        <w:t xml:space="preserve"> </w:t>
      </w:r>
      <w:r w:rsidRPr="004377BC">
        <w:t>d’Emmanuel</w:t>
      </w:r>
      <w:r w:rsidRPr="002C4077">
        <w:t xml:space="preserve"> </w:t>
      </w:r>
      <w:r w:rsidRPr="004377BC">
        <w:t>convenait</w:t>
      </w:r>
      <w:r w:rsidRPr="002C4077">
        <w:t xml:space="preserve"> </w:t>
      </w:r>
      <w:r w:rsidRPr="004377BC">
        <w:t>merveilleusement</w:t>
      </w:r>
      <w:r w:rsidRPr="002C4077">
        <w:t xml:space="preserve"> </w:t>
      </w:r>
      <w:r w:rsidRPr="004377BC">
        <w:t>à</w:t>
      </w:r>
      <w:r w:rsidRPr="002C4077">
        <w:t xml:space="preserve"> </w:t>
      </w:r>
      <w:r w:rsidR="00425C50">
        <w:t>Jésus</w:t>
      </w:r>
      <w:r w:rsidRPr="004377BC">
        <w:t>,</w:t>
      </w:r>
      <w:r w:rsidRPr="002C4077">
        <w:t xml:space="preserve"> </w:t>
      </w:r>
      <w:r w:rsidRPr="004377BC">
        <w:t>puisqu’il</w:t>
      </w:r>
      <w:r w:rsidRPr="002C4077">
        <w:t xml:space="preserve"> </w:t>
      </w:r>
      <w:r w:rsidRPr="004377BC">
        <w:t>en</w:t>
      </w:r>
      <w:r w:rsidRPr="002C4077">
        <w:t xml:space="preserve"> </w:t>
      </w:r>
      <w:r w:rsidRPr="004377BC">
        <w:t>a</w:t>
      </w:r>
      <w:r w:rsidRPr="002C4077">
        <w:t xml:space="preserve"> </w:t>
      </w:r>
      <w:r w:rsidRPr="004377BC">
        <w:t>si</w:t>
      </w:r>
      <w:r w:rsidRPr="002C4077">
        <w:t xml:space="preserve"> </w:t>
      </w:r>
      <w:r w:rsidRPr="004377BC">
        <w:t>bien</w:t>
      </w:r>
      <w:r w:rsidRPr="002C4077">
        <w:t xml:space="preserve"> </w:t>
      </w:r>
      <w:r w:rsidRPr="004377BC">
        <w:t>réalisé</w:t>
      </w:r>
      <w:r w:rsidRPr="002C4077">
        <w:t xml:space="preserve"> </w:t>
      </w:r>
      <w:r w:rsidRPr="004377BC">
        <w:t>la</w:t>
      </w:r>
      <w:r w:rsidRPr="002C4077">
        <w:t xml:space="preserve"> </w:t>
      </w:r>
      <w:r w:rsidRPr="004377BC">
        <w:t>significati</w:t>
      </w:r>
      <w:r w:rsidR="00F6492C" w:rsidRPr="004377BC">
        <w:t>on</w:t>
      </w:r>
      <w:r w:rsidR="00F6492C" w:rsidRPr="004377BC">
        <w:footnoteReference w:id="98"/>
      </w:r>
      <w:r w:rsidR="00F6492C" w:rsidRPr="004377BC">
        <w:t>.</w:t>
      </w:r>
      <w:r w:rsidRPr="002C4077">
        <w:t xml:space="preserve"> </w:t>
      </w:r>
      <w:r w:rsidRPr="004377BC">
        <w:t>Dès</w:t>
      </w:r>
      <w:r w:rsidRPr="002C4077">
        <w:t xml:space="preserve"> </w:t>
      </w:r>
      <w:r w:rsidRPr="004377BC">
        <w:t>là</w:t>
      </w:r>
      <w:r w:rsidRPr="002C4077">
        <w:t xml:space="preserve"> </w:t>
      </w:r>
      <w:r w:rsidRPr="004377BC">
        <w:t>que</w:t>
      </w:r>
      <w:r w:rsidRPr="002C4077">
        <w:t xml:space="preserve"> </w:t>
      </w:r>
      <w:r w:rsidRPr="004377BC">
        <w:t>le</w:t>
      </w:r>
      <w:r w:rsidRPr="002C4077">
        <w:t xml:space="preserve"> </w:t>
      </w:r>
      <w:r w:rsidRPr="004377BC">
        <w:t>Fils</w:t>
      </w:r>
      <w:r w:rsidRPr="002C4077">
        <w:t xml:space="preserve"> </w:t>
      </w:r>
      <w:r w:rsidRPr="004377BC">
        <w:t>de</w:t>
      </w:r>
      <w:r w:rsidRPr="002C4077">
        <w:t xml:space="preserve"> </w:t>
      </w:r>
      <w:r w:rsidRPr="004377BC">
        <w:t>Dieu</w:t>
      </w:r>
      <w:r w:rsidRPr="002C4077">
        <w:t xml:space="preserve"> </w:t>
      </w:r>
      <w:r w:rsidRPr="004377BC">
        <w:t>daignait</w:t>
      </w:r>
      <w:r w:rsidRPr="002C4077">
        <w:t xml:space="preserve"> </w:t>
      </w:r>
      <w:r w:rsidRPr="004377BC">
        <w:t>prendre</w:t>
      </w:r>
      <w:r w:rsidRPr="002C4077">
        <w:t xml:space="preserve"> </w:t>
      </w:r>
      <w:r w:rsidRPr="004377BC">
        <w:t>notre</w:t>
      </w:r>
      <w:r w:rsidRPr="002C4077">
        <w:t xml:space="preserve"> </w:t>
      </w:r>
      <w:r w:rsidRPr="004377BC">
        <w:t>nature,</w:t>
      </w:r>
      <w:r w:rsidRPr="002C4077">
        <w:t xml:space="preserve"> </w:t>
      </w:r>
      <w:r w:rsidRPr="004377BC">
        <w:t>il</w:t>
      </w:r>
      <w:r w:rsidRPr="002C4077">
        <w:t xml:space="preserve"> </w:t>
      </w:r>
      <w:r w:rsidRPr="004377BC">
        <w:t>devenait</w:t>
      </w:r>
      <w:r w:rsidRPr="002C4077">
        <w:t xml:space="preserve"> </w:t>
      </w:r>
      <w:r w:rsidRPr="004377BC">
        <w:t>excellemment</w:t>
      </w:r>
      <w:r w:rsidRPr="002C4077">
        <w:t xml:space="preserve"> </w:t>
      </w:r>
      <w:r w:rsidRPr="004377BC">
        <w:rPr>
          <w:rStyle w:val="italicus"/>
        </w:rPr>
        <w:t>Emmanuel.</w:t>
      </w:r>
      <w:r w:rsidRPr="002C4077">
        <w:t xml:space="preserve"> </w:t>
      </w:r>
      <w:r w:rsidRPr="004377BC">
        <w:t>C’est</w:t>
      </w:r>
      <w:r w:rsidRPr="002C4077">
        <w:t xml:space="preserve"> </w:t>
      </w:r>
      <w:r w:rsidRPr="004377BC">
        <w:t>ce</w:t>
      </w:r>
      <w:r w:rsidRPr="002C4077">
        <w:t xml:space="preserve"> </w:t>
      </w:r>
      <w:r w:rsidRPr="004377BC">
        <w:t>que</w:t>
      </w:r>
      <w:r w:rsidRPr="002C4077">
        <w:t xml:space="preserve"> </w:t>
      </w:r>
      <w:r w:rsidRPr="004377BC">
        <w:t>disait</w:t>
      </w:r>
      <w:r w:rsidRPr="002C4077">
        <w:t xml:space="preserve"> </w:t>
      </w:r>
      <w:r w:rsidRPr="004377BC">
        <w:t>déjà</w:t>
      </w:r>
      <w:r w:rsidRPr="002C4077">
        <w:t xml:space="preserve"> </w:t>
      </w:r>
      <w:r w:rsidRPr="004377BC">
        <w:t>le</w:t>
      </w:r>
      <w:r w:rsidRPr="002C4077">
        <w:t xml:space="preserve"> </w:t>
      </w:r>
      <w:r w:rsidRPr="004377BC">
        <w:t>grand</w:t>
      </w:r>
      <w:r w:rsidRPr="002C4077">
        <w:t xml:space="preserve"> </w:t>
      </w:r>
      <w:r w:rsidRPr="004377BC">
        <w:t>Origène</w:t>
      </w:r>
      <w:r w:rsidR="00B546AF" w:rsidRPr="004377BC">
        <w:t> :</w:t>
      </w:r>
      <w:r w:rsidRPr="002C4077">
        <w:t xml:space="preserve"> </w:t>
      </w:r>
      <w:r w:rsidRPr="004377BC">
        <w:t>Hoc,</w:t>
      </w:r>
      <w:r w:rsidRPr="002C4077">
        <w:t xml:space="preserve"> </w:t>
      </w:r>
      <w:r w:rsidRPr="004377BC">
        <w:t>quod</w:t>
      </w:r>
      <w:r w:rsidRPr="002C4077">
        <w:t xml:space="preserve"> </w:t>
      </w:r>
      <w:r w:rsidRPr="004377BC">
        <w:t>d</w:t>
      </w:r>
      <w:r w:rsidR="003B53FD" w:rsidRPr="004377BC">
        <w:t>ícitur</w:t>
      </w:r>
      <w:r w:rsidRPr="002C4077">
        <w:t xml:space="preserve"> </w:t>
      </w:r>
      <w:r w:rsidRPr="004377BC">
        <w:t>Emmanuel,</w:t>
      </w:r>
      <w:r w:rsidRPr="002C4077">
        <w:t xml:space="preserve"> </w:t>
      </w:r>
      <w:r w:rsidRPr="004377BC">
        <w:t>non</w:t>
      </w:r>
      <w:r w:rsidRPr="002C4077">
        <w:t xml:space="preserve"> </w:t>
      </w:r>
      <w:r w:rsidRPr="004377BC">
        <w:t>unum</w:t>
      </w:r>
      <w:r w:rsidRPr="002C4077">
        <w:t xml:space="preserve"> </w:t>
      </w:r>
      <w:r w:rsidRPr="004377BC">
        <w:t>nomen</w:t>
      </w:r>
      <w:r w:rsidRPr="002C4077">
        <w:t xml:space="preserve"> </w:t>
      </w:r>
      <w:r w:rsidRPr="004377BC">
        <w:t>sonat,</w:t>
      </w:r>
      <w:r w:rsidRPr="002C4077">
        <w:t xml:space="preserve"> </w:t>
      </w:r>
      <w:r w:rsidRPr="004377BC">
        <w:t>sed</w:t>
      </w:r>
      <w:r w:rsidRPr="002C4077">
        <w:t xml:space="preserve"> </w:t>
      </w:r>
      <w:r w:rsidRPr="004377BC">
        <w:t>rem</w:t>
      </w:r>
      <w:r w:rsidRPr="002C4077">
        <w:t xml:space="preserve"> </w:t>
      </w:r>
      <w:r w:rsidRPr="004377BC">
        <w:t>significat</w:t>
      </w:r>
      <w:r w:rsidR="00B546AF" w:rsidRPr="004377BC">
        <w:t> ;</w:t>
      </w:r>
      <w:r w:rsidRPr="002C4077">
        <w:t xml:space="preserve"> </w:t>
      </w:r>
      <w:r w:rsidR="004377BC" w:rsidRPr="004377BC">
        <w:t>adveniénte</w:t>
      </w:r>
      <w:r w:rsidRPr="002C4077">
        <w:t xml:space="preserve"> </w:t>
      </w:r>
      <w:r w:rsidRPr="004377BC">
        <w:t>quippe</w:t>
      </w:r>
      <w:r w:rsidRPr="002C4077">
        <w:t xml:space="preserve"> </w:t>
      </w:r>
      <w:r w:rsidRPr="004377BC">
        <w:t>Jesu,</w:t>
      </w:r>
      <w:r w:rsidRPr="002C4077">
        <w:t xml:space="preserve"> </w:t>
      </w:r>
      <w:r w:rsidR="004377BC" w:rsidRPr="004377BC">
        <w:t>dícimus</w:t>
      </w:r>
      <w:r w:rsidR="00B546AF" w:rsidRPr="004377BC">
        <w:t> :</w:t>
      </w:r>
      <w:r w:rsidRPr="002C4077">
        <w:t xml:space="preserve"> </w:t>
      </w:r>
      <w:r w:rsidR="003B53FD" w:rsidRPr="004377BC">
        <w:t>Nobíscum</w:t>
      </w:r>
      <w:r w:rsidR="004377BC" w:rsidRPr="002C4077">
        <w:t xml:space="preserve"> </w:t>
      </w:r>
      <w:r w:rsidR="004377BC" w:rsidRPr="004377BC">
        <w:t>Deus</w:t>
      </w:r>
      <w:r w:rsidR="004377BC" w:rsidRPr="004377BC">
        <w:footnoteReference w:id="99"/>
      </w:r>
      <w:r w:rsidRPr="004377BC">
        <w:t>.</w:t>
      </w:r>
      <w:r w:rsidRPr="002C4077">
        <w:t xml:space="preserve"> </w:t>
      </w:r>
      <w:r w:rsidRPr="004377BC">
        <w:t>De</w:t>
      </w:r>
      <w:r w:rsidRPr="002C4077">
        <w:t xml:space="preserve"> </w:t>
      </w:r>
      <w:r w:rsidRPr="004377BC">
        <w:t>même</w:t>
      </w:r>
      <w:r w:rsidRPr="002C4077">
        <w:t xml:space="preserve"> </w:t>
      </w:r>
      <w:r w:rsidRPr="004377BC">
        <w:t>La</w:t>
      </w:r>
      <w:r w:rsidR="001730C6" w:rsidRPr="004377BC">
        <w:t>ct</w:t>
      </w:r>
      <w:r w:rsidRPr="004377BC">
        <w:t>ance</w:t>
      </w:r>
      <w:r w:rsidR="00B546AF" w:rsidRPr="004377BC">
        <w:t> :</w:t>
      </w:r>
      <w:r w:rsidRPr="002C4077">
        <w:t xml:space="preserve"> </w:t>
      </w:r>
      <w:r w:rsidRPr="004377BC">
        <w:rPr>
          <w:rStyle w:val="italicus"/>
        </w:rPr>
        <w:t>Emmanuel</w:t>
      </w:r>
      <w:r w:rsidRPr="002C4077">
        <w:t xml:space="preserve"> </w:t>
      </w:r>
      <w:r w:rsidRPr="004377BC">
        <w:rPr>
          <w:rStyle w:val="italicus"/>
        </w:rPr>
        <w:t>nunquam</w:t>
      </w:r>
      <w:r w:rsidRPr="002C4077">
        <w:t xml:space="preserve"> </w:t>
      </w:r>
      <w:r w:rsidRPr="004377BC">
        <w:rPr>
          <w:rStyle w:val="italicus"/>
        </w:rPr>
        <w:t>vo</w:t>
      </w:r>
      <w:r w:rsidR="003B53FD" w:rsidRPr="004377BC">
        <w:rPr>
          <w:rStyle w:val="italicus"/>
        </w:rPr>
        <w:t>citátus</w:t>
      </w:r>
      <w:r w:rsidRPr="002C4077">
        <w:t xml:space="preserve"> </w:t>
      </w:r>
      <w:r w:rsidR="00425C50">
        <w:rPr>
          <w:rStyle w:val="italicus"/>
        </w:rPr>
        <w:t>est</w:t>
      </w:r>
      <w:r w:rsidRPr="004377BC">
        <w:rPr>
          <w:rStyle w:val="italicus"/>
        </w:rPr>
        <w:t>,</w:t>
      </w:r>
      <w:r w:rsidRPr="002C4077">
        <w:t xml:space="preserve"> </w:t>
      </w:r>
      <w:r w:rsidRPr="004377BC">
        <w:rPr>
          <w:rStyle w:val="italicus"/>
        </w:rPr>
        <w:t>sed</w:t>
      </w:r>
      <w:r w:rsidRPr="002C4077">
        <w:t xml:space="preserve"> </w:t>
      </w:r>
      <w:r w:rsidR="00425C50">
        <w:rPr>
          <w:rStyle w:val="italicus"/>
        </w:rPr>
        <w:t>Jésus</w:t>
      </w:r>
      <w:r w:rsidRPr="004377BC">
        <w:rPr>
          <w:rStyle w:val="italicus"/>
        </w:rPr>
        <w:t>,</w:t>
      </w:r>
      <w:r w:rsidRPr="002C4077">
        <w:t xml:space="preserve"> </w:t>
      </w:r>
      <w:r w:rsidRPr="004377BC">
        <w:rPr>
          <w:rStyle w:val="italicus"/>
        </w:rPr>
        <w:t>qui</w:t>
      </w:r>
      <w:r w:rsidRPr="002C4077">
        <w:t xml:space="preserve"> </w:t>
      </w:r>
      <w:r w:rsidRPr="004377BC">
        <w:rPr>
          <w:rStyle w:val="italicus"/>
        </w:rPr>
        <w:t>latine</w:t>
      </w:r>
      <w:r w:rsidRPr="002C4077">
        <w:t xml:space="preserve"> </w:t>
      </w:r>
      <w:r w:rsidRPr="004377BC">
        <w:rPr>
          <w:rStyle w:val="italicus"/>
        </w:rPr>
        <w:t>d</w:t>
      </w:r>
      <w:r w:rsidR="003B53FD" w:rsidRPr="004377BC">
        <w:rPr>
          <w:rStyle w:val="italicus"/>
        </w:rPr>
        <w:t>ícitur</w:t>
      </w:r>
      <w:r w:rsidRPr="002C4077">
        <w:t xml:space="preserve"> </w:t>
      </w:r>
      <w:r w:rsidR="004377BC" w:rsidRPr="004377BC">
        <w:rPr>
          <w:rStyle w:val="italicus"/>
        </w:rPr>
        <w:t>Salutáris</w:t>
      </w:r>
      <w:r w:rsidRPr="002C4077">
        <w:t xml:space="preserve"> </w:t>
      </w:r>
      <w:r w:rsidRPr="004377BC">
        <w:rPr>
          <w:rStyle w:val="italicus"/>
        </w:rPr>
        <w:t>sive</w:t>
      </w:r>
      <w:r w:rsidRPr="002C4077">
        <w:t xml:space="preserve"> </w:t>
      </w:r>
      <w:r w:rsidRPr="004377BC">
        <w:rPr>
          <w:rStyle w:val="italicus"/>
        </w:rPr>
        <w:t>Salv</w:t>
      </w:r>
      <w:r w:rsidR="003B53FD" w:rsidRPr="004377BC">
        <w:rPr>
          <w:rStyle w:val="italicus"/>
        </w:rPr>
        <w:t>átor</w:t>
      </w:r>
      <w:r w:rsidRPr="004377BC">
        <w:rPr>
          <w:rStyle w:val="italicus"/>
        </w:rPr>
        <w:t>,</w:t>
      </w:r>
      <w:r w:rsidRPr="002C4077">
        <w:t xml:space="preserve"> </w:t>
      </w:r>
      <w:r w:rsidRPr="004377BC">
        <w:rPr>
          <w:rStyle w:val="italicus"/>
        </w:rPr>
        <w:t>quia</w:t>
      </w:r>
      <w:r w:rsidRPr="002C4077">
        <w:t xml:space="preserve"> </w:t>
      </w:r>
      <w:r w:rsidRPr="004377BC">
        <w:rPr>
          <w:rStyle w:val="italicus"/>
        </w:rPr>
        <w:t>cunctis</w:t>
      </w:r>
      <w:r w:rsidRPr="002C4077">
        <w:t xml:space="preserve"> </w:t>
      </w:r>
      <w:r w:rsidRPr="004377BC">
        <w:rPr>
          <w:rStyle w:val="italicus"/>
        </w:rPr>
        <w:t>g</w:t>
      </w:r>
      <w:r w:rsidR="003B53FD" w:rsidRPr="004377BC">
        <w:rPr>
          <w:rStyle w:val="italicus"/>
        </w:rPr>
        <w:t>éntibus</w:t>
      </w:r>
      <w:r w:rsidRPr="002C4077">
        <w:t xml:space="preserve"> </w:t>
      </w:r>
      <w:r w:rsidRPr="004377BC">
        <w:rPr>
          <w:rStyle w:val="italicus"/>
        </w:rPr>
        <w:t>sal</w:t>
      </w:r>
      <w:r w:rsidR="004377BC" w:rsidRPr="004377BC">
        <w:rPr>
          <w:rStyle w:val="italicus"/>
        </w:rPr>
        <w:t>ú</w:t>
      </w:r>
      <w:r w:rsidRPr="004377BC">
        <w:rPr>
          <w:rStyle w:val="italicus"/>
        </w:rPr>
        <w:t>tifer</w:t>
      </w:r>
      <w:r w:rsidRPr="002C4077">
        <w:t xml:space="preserve"> </w:t>
      </w:r>
      <w:r w:rsidRPr="004377BC">
        <w:rPr>
          <w:rStyle w:val="italicus"/>
        </w:rPr>
        <w:t>venit.</w:t>
      </w:r>
      <w:r w:rsidRPr="002C4077">
        <w:t xml:space="preserve"> </w:t>
      </w:r>
      <w:r w:rsidRPr="004377BC">
        <w:rPr>
          <w:rStyle w:val="italicus"/>
        </w:rPr>
        <w:t>Sed</w:t>
      </w:r>
      <w:r w:rsidRPr="002C4077">
        <w:t xml:space="preserve"> </w:t>
      </w:r>
      <w:r w:rsidRPr="004377BC">
        <w:rPr>
          <w:rStyle w:val="italicus"/>
        </w:rPr>
        <w:t>pr</w:t>
      </w:r>
      <w:r w:rsidR="003B53FD" w:rsidRPr="004377BC">
        <w:rPr>
          <w:rStyle w:val="italicus"/>
        </w:rPr>
        <w:t>ophéta</w:t>
      </w:r>
      <w:r w:rsidRPr="002C4077">
        <w:t xml:space="preserve"> </w:t>
      </w:r>
      <w:r w:rsidRPr="004377BC">
        <w:rPr>
          <w:rStyle w:val="italicus"/>
        </w:rPr>
        <w:t>dec</w:t>
      </w:r>
      <w:r w:rsidR="003B53FD" w:rsidRPr="004377BC">
        <w:rPr>
          <w:rStyle w:val="italicus"/>
        </w:rPr>
        <w:t>larávit</w:t>
      </w:r>
      <w:r w:rsidRPr="002C4077">
        <w:t xml:space="preserve"> </w:t>
      </w:r>
      <w:r w:rsidRPr="004377BC">
        <w:rPr>
          <w:rStyle w:val="italicus"/>
        </w:rPr>
        <w:t>hoc</w:t>
      </w:r>
      <w:r w:rsidRPr="002C4077">
        <w:t xml:space="preserve"> </w:t>
      </w:r>
      <w:r w:rsidR="003B53FD" w:rsidRPr="004377BC">
        <w:rPr>
          <w:rStyle w:val="italicus"/>
        </w:rPr>
        <w:t>nómine</w:t>
      </w:r>
      <w:r w:rsidRPr="002C4077">
        <w:t xml:space="preserve"> </w:t>
      </w:r>
      <w:r w:rsidRPr="004377BC">
        <w:rPr>
          <w:rStyle w:val="italicus"/>
        </w:rPr>
        <w:t>quod</w:t>
      </w:r>
      <w:r w:rsidRPr="002C4077">
        <w:t xml:space="preserve"> </w:t>
      </w:r>
      <w:r w:rsidRPr="004377BC">
        <w:rPr>
          <w:rStyle w:val="italicus"/>
        </w:rPr>
        <w:t>Deus</w:t>
      </w:r>
      <w:r w:rsidRPr="002C4077">
        <w:t xml:space="preserve"> </w:t>
      </w:r>
      <w:r w:rsidRPr="004377BC">
        <w:rPr>
          <w:rStyle w:val="italicus"/>
        </w:rPr>
        <w:t>ad</w:t>
      </w:r>
      <w:r w:rsidRPr="002C4077">
        <w:t xml:space="preserve"> </w:t>
      </w:r>
      <w:r w:rsidRPr="004377BC">
        <w:rPr>
          <w:rStyle w:val="italicus"/>
        </w:rPr>
        <w:t>hommes</w:t>
      </w:r>
      <w:r w:rsidRPr="002C4077">
        <w:t xml:space="preserve"> </w:t>
      </w:r>
      <w:r w:rsidRPr="004377BC">
        <w:rPr>
          <w:rStyle w:val="italicus"/>
        </w:rPr>
        <w:t>in</w:t>
      </w:r>
      <w:r w:rsidRPr="002C4077">
        <w:t xml:space="preserve"> </w:t>
      </w:r>
      <w:r w:rsidRPr="004377BC">
        <w:rPr>
          <w:rStyle w:val="italicus"/>
        </w:rPr>
        <w:t>carne</w:t>
      </w:r>
      <w:r w:rsidRPr="002C4077">
        <w:t xml:space="preserve"> </w:t>
      </w:r>
      <w:r w:rsidR="004377BC" w:rsidRPr="004377BC">
        <w:rPr>
          <w:rStyle w:val="italicus"/>
        </w:rPr>
        <w:t>ventúrus</w:t>
      </w:r>
      <w:r w:rsidRPr="002C4077">
        <w:t xml:space="preserve"> </w:t>
      </w:r>
      <w:r w:rsidRPr="004377BC">
        <w:rPr>
          <w:rStyle w:val="italicus"/>
        </w:rPr>
        <w:t>esset</w:t>
      </w:r>
      <w:r w:rsidR="00B546AF" w:rsidRPr="004377BC">
        <w:rPr>
          <w:rStyle w:val="italicus"/>
        </w:rPr>
        <w:t> ;</w:t>
      </w:r>
      <w:r w:rsidRPr="002C4077">
        <w:t xml:space="preserve"> </w:t>
      </w:r>
      <w:r w:rsidRPr="004377BC">
        <w:rPr>
          <w:rStyle w:val="italicus"/>
        </w:rPr>
        <w:t>Emmanuel</w:t>
      </w:r>
      <w:r w:rsidRPr="002C4077">
        <w:t xml:space="preserve"> </w:t>
      </w:r>
      <w:r w:rsidRPr="004377BC">
        <w:rPr>
          <w:rStyle w:val="italicus"/>
        </w:rPr>
        <w:t>enim</w:t>
      </w:r>
      <w:r w:rsidRPr="002C4077">
        <w:t xml:space="preserve"> </w:t>
      </w:r>
      <w:r w:rsidRPr="004377BC">
        <w:rPr>
          <w:rStyle w:val="italicus"/>
        </w:rPr>
        <w:t>significat</w:t>
      </w:r>
      <w:r w:rsidRPr="002C4077">
        <w:t xml:space="preserve"> </w:t>
      </w:r>
      <w:r w:rsidR="003B53FD" w:rsidRPr="004377BC">
        <w:rPr>
          <w:rStyle w:val="italicus"/>
        </w:rPr>
        <w:t>Nobíscum</w:t>
      </w:r>
      <w:r w:rsidRPr="002C4077">
        <w:t xml:space="preserve"> </w:t>
      </w:r>
      <w:r w:rsidRPr="004377BC">
        <w:rPr>
          <w:rStyle w:val="italicus"/>
        </w:rPr>
        <w:t>Deus,</w:t>
      </w:r>
      <w:r w:rsidRPr="002C4077">
        <w:t xml:space="preserve"> </w:t>
      </w:r>
      <w:r w:rsidR="003B53FD" w:rsidRPr="004377BC">
        <w:rPr>
          <w:rStyle w:val="italicus"/>
        </w:rPr>
        <w:t>scílicet</w:t>
      </w:r>
      <w:r w:rsidRPr="002C4077">
        <w:t xml:space="preserve"> </w:t>
      </w:r>
      <w:r w:rsidRPr="004377BC">
        <w:rPr>
          <w:rStyle w:val="italicus"/>
        </w:rPr>
        <w:lastRenderedPageBreak/>
        <w:t>quia,</w:t>
      </w:r>
      <w:r w:rsidRPr="002C4077">
        <w:t xml:space="preserve"> </w:t>
      </w:r>
      <w:r w:rsidRPr="004377BC">
        <w:rPr>
          <w:rStyle w:val="italicus"/>
        </w:rPr>
        <w:t>illo</w:t>
      </w:r>
      <w:r w:rsidRPr="002C4077">
        <w:t xml:space="preserve"> </w:t>
      </w:r>
      <w:r w:rsidRPr="004377BC">
        <w:rPr>
          <w:rStyle w:val="italicus"/>
        </w:rPr>
        <w:t>per</w:t>
      </w:r>
      <w:r w:rsidRPr="002C4077">
        <w:t xml:space="preserve"> </w:t>
      </w:r>
      <w:r w:rsidRPr="004377BC">
        <w:rPr>
          <w:rStyle w:val="italicus"/>
        </w:rPr>
        <w:t>v</w:t>
      </w:r>
      <w:r w:rsidR="003B53FD" w:rsidRPr="004377BC">
        <w:rPr>
          <w:rStyle w:val="italicus"/>
        </w:rPr>
        <w:t>írginem</w:t>
      </w:r>
      <w:r w:rsidRPr="002C4077">
        <w:t xml:space="preserve"> </w:t>
      </w:r>
      <w:r w:rsidRPr="004377BC">
        <w:rPr>
          <w:rStyle w:val="italicus"/>
        </w:rPr>
        <w:t>nato,</w:t>
      </w:r>
      <w:r w:rsidRPr="002C4077">
        <w:t xml:space="preserve"> </w:t>
      </w:r>
      <w:r w:rsidR="004377BC" w:rsidRPr="004377BC">
        <w:rPr>
          <w:rStyle w:val="italicus"/>
        </w:rPr>
        <w:t>confitéri</w:t>
      </w:r>
      <w:r w:rsidRPr="002C4077">
        <w:t xml:space="preserve"> </w:t>
      </w:r>
      <w:r w:rsidRPr="004377BC">
        <w:rPr>
          <w:rStyle w:val="italicus"/>
        </w:rPr>
        <w:t>op</w:t>
      </w:r>
      <w:r w:rsidR="003B53FD" w:rsidRPr="004377BC">
        <w:rPr>
          <w:rStyle w:val="italicus"/>
        </w:rPr>
        <w:t>ortébat</w:t>
      </w:r>
      <w:r w:rsidRPr="002C4077">
        <w:t xml:space="preserve"> </w:t>
      </w:r>
      <w:r w:rsidRPr="004377BC">
        <w:rPr>
          <w:rStyle w:val="italicus"/>
        </w:rPr>
        <w:t>Deum</w:t>
      </w:r>
      <w:r w:rsidRPr="002C4077">
        <w:t xml:space="preserve"> </w:t>
      </w:r>
      <w:r w:rsidRPr="004377BC">
        <w:rPr>
          <w:rStyle w:val="italicus"/>
        </w:rPr>
        <w:t>suum</w:t>
      </w:r>
      <w:r w:rsidRPr="002C4077">
        <w:t xml:space="preserve"> </w:t>
      </w:r>
      <w:r w:rsidRPr="004377BC">
        <w:rPr>
          <w:rStyle w:val="italicus"/>
        </w:rPr>
        <w:t>esse,</w:t>
      </w:r>
      <w:r w:rsidRPr="002C4077">
        <w:t xml:space="preserve"> </w:t>
      </w:r>
      <w:r w:rsidRPr="004377BC">
        <w:rPr>
          <w:rStyle w:val="italicus"/>
        </w:rPr>
        <w:t>id</w:t>
      </w:r>
      <w:r w:rsidRPr="002C4077">
        <w:t xml:space="preserve"> </w:t>
      </w:r>
      <w:r w:rsidR="00425C50">
        <w:rPr>
          <w:rStyle w:val="italicus"/>
        </w:rPr>
        <w:t>est</w:t>
      </w:r>
      <w:r w:rsidRPr="002C4077">
        <w:t xml:space="preserve"> </w:t>
      </w:r>
      <w:r w:rsidRPr="004377BC">
        <w:rPr>
          <w:rStyle w:val="italicus"/>
        </w:rPr>
        <w:t>in</w:t>
      </w:r>
      <w:r w:rsidRPr="002C4077">
        <w:t xml:space="preserve"> </w:t>
      </w:r>
      <w:r w:rsidRPr="004377BC">
        <w:rPr>
          <w:rStyle w:val="italicus"/>
        </w:rPr>
        <w:t>terra</w:t>
      </w:r>
      <w:r w:rsidRPr="002C4077">
        <w:t xml:space="preserve"> </w:t>
      </w:r>
      <w:r w:rsidRPr="004377BC">
        <w:rPr>
          <w:rStyle w:val="italicus"/>
        </w:rPr>
        <w:t>et</w:t>
      </w:r>
      <w:r w:rsidRPr="002C4077">
        <w:t xml:space="preserve"> </w:t>
      </w:r>
      <w:r w:rsidRPr="004377BC">
        <w:rPr>
          <w:rStyle w:val="italicus"/>
        </w:rPr>
        <w:t>in</w:t>
      </w:r>
      <w:r w:rsidRPr="002C4077">
        <w:t xml:space="preserve"> </w:t>
      </w:r>
      <w:r w:rsidRPr="004377BC">
        <w:rPr>
          <w:rStyle w:val="italicus"/>
        </w:rPr>
        <w:t>carne</w:t>
      </w:r>
      <w:r w:rsidRPr="002C4077">
        <w:t xml:space="preserve"> </w:t>
      </w:r>
      <w:r w:rsidRPr="004377BC">
        <w:rPr>
          <w:rStyle w:val="italicus"/>
        </w:rPr>
        <w:t>mortali</w:t>
      </w:r>
      <w:r w:rsidR="00B91AF7" w:rsidRPr="004377BC">
        <w:rPr>
          <w:rStyle w:val="italicus"/>
        </w:rPr>
        <w:footnoteReference w:id="100"/>
      </w:r>
      <w:r w:rsidRPr="004377BC">
        <w:rPr>
          <w:rStyle w:val="italicus"/>
        </w:rPr>
        <w:t>.</w:t>
      </w:r>
      <w:r w:rsidRPr="002C4077">
        <w:t xml:space="preserve"> </w:t>
      </w:r>
      <w:r w:rsidRPr="004377BC">
        <w:t>Ou</w:t>
      </w:r>
      <w:r w:rsidRPr="002C4077">
        <w:t xml:space="preserve"> </w:t>
      </w:r>
      <w:r w:rsidRPr="004377BC">
        <w:t>plus</w:t>
      </w:r>
      <w:r w:rsidRPr="002C4077">
        <w:t xml:space="preserve"> </w:t>
      </w:r>
      <w:r w:rsidRPr="004377BC">
        <w:t>simplement</w:t>
      </w:r>
      <w:r w:rsidRPr="002C4077">
        <w:t xml:space="preserve"> </w:t>
      </w:r>
      <w:r w:rsidRPr="004377BC">
        <w:t>avec</w:t>
      </w:r>
      <w:r w:rsidRPr="002C4077">
        <w:t xml:space="preserve"> </w:t>
      </w:r>
      <w:r w:rsidRPr="004377BC">
        <w:t>Lightfoot</w:t>
      </w:r>
      <w:r w:rsidR="004377BC" w:rsidRPr="004377BC">
        <w:footnoteReference w:id="101"/>
      </w:r>
      <w:r w:rsidR="00B546AF" w:rsidRPr="004377BC">
        <w:t> :</w:t>
      </w:r>
      <w:r w:rsidRPr="002C4077">
        <w:t xml:space="preserve"> </w:t>
      </w:r>
      <w:r w:rsidRPr="004377BC">
        <w:rPr>
          <w:rStyle w:val="italicus"/>
        </w:rPr>
        <w:t>Nomen</w:t>
      </w:r>
      <w:r w:rsidRPr="002C4077">
        <w:t xml:space="preserve"> </w:t>
      </w:r>
      <w:r w:rsidR="004377BC" w:rsidRPr="004377BC">
        <w:rPr>
          <w:rStyle w:val="italicus"/>
        </w:rPr>
        <w:t>natúræ</w:t>
      </w:r>
      <w:r w:rsidRPr="004377BC">
        <w:rPr>
          <w:rStyle w:val="italicus"/>
        </w:rPr>
        <w:t>,</w:t>
      </w:r>
      <w:r w:rsidRPr="002C4077">
        <w:t xml:space="preserve"> </w:t>
      </w:r>
      <w:r w:rsidRPr="004377BC">
        <w:rPr>
          <w:rStyle w:val="italicus"/>
        </w:rPr>
        <w:t>non</w:t>
      </w:r>
      <w:r w:rsidRPr="002C4077">
        <w:t xml:space="preserve"> </w:t>
      </w:r>
      <w:r w:rsidRPr="004377BC">
        <w:rPr>
          <w:rStyle w:val="italicus"/>
        </w:rPr>
        <w:t>impositions</w:t>
      </w:r>
      <w:r w:rsidR="00B546AF" w:rsidRPr="004377BC">
        <w:rPr>
          <w:rStyle w:val="italicus"/>
        </w:rPr>
        <w:t> ;</w:t>
      </w:r>
      <w:r w:rsidRPr="002C4077">
        <w:t xml:space="preserve"> </w:t>
      </w:r>
      <w:r w:rsidRPr="004377BC">
        <w:rPr>
          <w:rStyle w:val="italicus"/>
        </w:rPr>
        <w:t>nempe</w:t>
      </w:r>
      <w:r w:rsidRPr="002C4077">
        <w:t xml:space="preserve"> </w:t>
      </w:r>
      <w:r w:rsidRPr="004377BC">
        <w:rPr>
          <w:rStyle w:val="italicus"/>
        </w:rPr>
        <w:t>Deum</w:t>
      </w:r>
      <w:r w:rsidRPr="002C4077">
        <w:t xml:space="preserve"> </w:t>
      </w:r>
      <w:r w:rsidRPr="004377BC">
        <w:rPr>
          <w:rStyle w:val="italicus"/>
        </w:rPr>
        <w:t>in</w:t>
      </w:r>
      <w:r w:rsidRPr="002C4077">
        <w:t xml:space="preserve"> </w:t>
      </w:r>
      <w:r w:rsidRPr="004377BC">
        <w:rPr>
          <w:rStyle w:val="italicus"/>
        </w:rPr>
        <w:t>nostra</w:t>
      </w:r>
      <w:r w:rsidRPr="002C4077">
        <w:t xml:space="preserve"> </w:t>
      </w:r>
      <w:r w:rsidR="004377BC" w:rsidRPr="004377BC">
        <w:rPr>
          <w:rStyle w:val="italicus"/>
        </w:rPr>
        <w:t>natúra</w:t>
      </w:r>
      <w:r w:rsidRPr="002C4077">
        <w:t xml:space="preserve"> </w:t>
      </w:r>
      <w:r w:rsidRPr="004377BC">
        <w:rPr>
          <w:rStyle w:val="italicus"/>
        </w:rPr>
        <w:t>agnit</w:t>
      </w:r>
      <w:r w:rsidR="004377BC">
        <w:rPr>
          <w:rStyle w:val="italicus"/>
        </w:rPr>
        <w:t>ú</w:t>
      </w:r>
      <w:r w:rsidRPr="004377BC">
        <w:rPr>
          <w:rStyle w:val="italicus"/>
        </w:rPr>
        <w:t>ri</w:t>
      </w:r>
      <w:r w:rsidRPr="002C4077">
        <w:t xml:space="preserve"> </w:t>
      </w:r>
      <w:r w:rsidRPr="004377BC">
        <w:rPr>
          <w:rStyle w:val="italicus"/>
        </w:rPr>
        <w:t>erant.</w:t>
      </w:r>
      <w:r w:rsidR="00C45B47">
        <w:t xml:space="preserve"> {</w:t>
      </w:r>
      <w:r w:rsidR="000721C4">
        <w:t>36</w:t>
      </w:r>
      <w:bookmarkStart w:id="133" w:name="p036"/>
      <w:bookmarkEnd w:id="133"/>
      <w:r w:rsidR="000721C4">
        <w:t xml:space="preserve">} </w:t>
      </w:r>
      <w:r w:rsidRPr="004377BC">
        <w:t>Au</w:t>
      </w:r>
      <w:r w:rsidRPr="002C4077">
        <w:t xml:space="preserve"> </w:t>
      </w:r>
      <w:r w:rsidRPr="004377BC">
        <w:t>reste,</w:t>
      </w:r>
      <w:r w:rsidRPr="002C4077">
        <w:t xml:space="preserve"> </w:t>
      </w:r>
      <w:r w:rsidRPr="004377BC">
        <w:t>la</w:t>
      </w:r>
      <w:r w:rsidRPr="002C4077">
        <w:t xml:space="preserve"> </w:t>
      </w:r>
      <w:r w:rsidRPr="004377BC">
        <w:t>difficulté</w:t>
      </w:r>
      <w:r w:rsidRPr="002C4077">
        <w:t xml:space="preserve"> </w:t>
      </w:r>
      <w:r w:rsidR="00425C50">
        <w:t>est</w:t>
      </w:r>
      <w:r w:rsidRPr="002C4077">
        <w:t xml:space="preserve"> </w:t>
      </w:r>
      <w:r w:rsidRPr="004377BC">
        <w:t>si</w:t>
      </w:r>
      <w:r w:rsidRPr="002C4077">
        <w:t xml:space="preserve"> </w:t>
      </w:r>
      <w:r w:rsidRPr="004377BC">
        <w:t>peu</w:t>
      </w:r>
      <w:r w:rsidRPr="002C4077">
        <w:t xml:space="preserve"> </w:t>
      </w:r>
      <w:r w:rsidRPr="004377BC">
        <w:t>sérieuse</w:t>
      </w:r>
      <w:r w:rsidRPr="002C4077">
        <w:t xml:space="preserve"> </w:t>
      </w:r>
      <w:r w:rsidRPr="004377BC">
        <w:t>qu’elle</w:t>
      </w:r>
      <w:r w:rsidRPr="002C4077">
        <w:t xml:space="preserve"> </w:t>
      </w:r>
      <w:r w:rsidR="00425C50">
        <w:t>est</w:t>
      </w:r>
      <w:r w:rsidRPr="002C4077">
        <w:t xml:space="preserve"> </w:t>
      </w:r>
      <w:r>
        <w:t>tombée</w:t>
      </w:r>
      <w:r w:rsidRPr="002C4077">
        <w:t xml:space="preserve"> </w:t>
      </w:r>
      <w:r>
        <w:t>depuis</w:t>
      </w:r>
      <w:r w:rsidRPr="002C4077">
        <w:t xml:space="preserve"> </w:t>
      </w:r>
      <w:r>
        <w:t>longtemps</w:t>
      </w:r>
      <w:r w:rsidRPr="002C4077">
        <w:t xml:space="preserve"> </w:t>
      </w:r>
      <w:r>
        <w:t>et</w:t>
      </w:r>
      <w:r w:rsidRPr="002C4077">
        <w:t xml:space="preserve"> </w:t>
      </w:r>
      <w:r>
        <w:t>n’a</w:t>
      </w:r>
      <w:r w:rsidRPr="002C4077">
        <w:t xml:space="preserve"> </w:t>
      </w:r>
      <w:r>
        <w:t>pas</w:t>
      </w:r>
      <w:r w:rsidRPr="002C4077">
        <w:t xml:space="preserve"> </w:t>
      </w:r>
      <w:r>
        <w:t>été</w:t>
      </w:r>
      <w:r w:rsidRPr="002C4077">
        <w:t xml:space="preserve"> </w:t>
      </w:r>
      <w:r>
        <w:t>relevée</w:t>
      </w:r>
      <w:r w:rsidRPr="002C4077">
        <w:t xml:space="preserve"> </w:t>
      </w:r>
      <w:r>
        <w:t>par</w:t>
      </w:r>
      <w:r w:rsidRPr="002C4077">
        <w:t xml:space="preserve"> </w:t>
      </w:r>
      <w:r>
        <w:t>les</w:t>
      </w:r>
      <w:r w:rsidRPr="002C4077">
        <w:t xml:space="preserve"> </w:t>
      </w:r>
      <w:r>
        <w:t>rationalistes.</w:t>
      </w:r>
      <w:r w:rsidRPr="002C4077">
        <w:t xml:space="preserve"> </w:t>
      </w:r>
    </w:p>
    <w:p w:rsidR="00732E97" w:rsidRDefault="00732E97" w:rsidP="000A7AAB"/>
    <w:p w:rsidR="000A7AAB" w:rsidRPr="000721C4" w:rsidRDefault="000A7AAB" w:rsidP="000A7AAB">
      <w:r>
        <w:t>Résumons</w:t>
      </w:r>
      <w:r w:rsidR="00B546AF">
        <w:t> :</w:t>
      </w:r>
      <w:r w:rsidRPr="002C4077">
        <w:t xml:space="preserve"> </w:t>
      </w:r>
      <w:r>
        <w:t>Notre</w:t>
      </w:r>
      <w:r w:rsidRPr="002C4077">
        <w:t xml:space="preserve"> </w:t>
      </w:r>
      <w:r>
        <w:t>Seigneur</w:t>
      </w:r>
      <w:r w:rsidRPr="002C4077">
        <w:t xml:space="preserve"> </w:t>
      </w:r>
      <w:r w:rsidR="00425C50">
        <w:t>Jésus</w:t>
      </w:r>
      <w:r>
        <w:t>-</w:t>
      </w:r>
      <w:r w:rsidR="00425C50">
        <w:t>Christ</w:t>
      </w:r>
      <w:r w:rsidRPr="002C4077">
        <w:t xml:space="preserve"> </w:t>
      </w:r>
      <w:r w:rsidR="00425C50">
        <w:t>est</w:t>
      </w:r>
      <w:r w:rsidRPr="002C4077">
        <w:t xml:space="preserve"> </w:t>
      </w:r>
      <w:r>
        <w:t>Emmanuel</w:t>
      </w:r>
      <w:r w:rsidR="00B546AF">
        <w:t> ;</w:t>
      </w:r>
      <w:r w:rsidRPr="002C4077">
        <w:t xml:space="preserve"> </w:t>
      </w:r>
      <w:r w:rsidR="00425C50">
        <w:t>Jésus</w:t>
      </w:r>
      <w:r w:rsidRPr="002C4077">
        <w:t xml:space="preserve"> </w:t>
      </w:r>
      <w:r w:rsidR="00425C50">
        <w:t>est</w:t>
      </w:r>
      <w:r w:rsidRPr="002C4077">
        <w:t xml:space="preserve"> </w:t>
      </w:r>
      <w:r>
        <w:t>le</w:t>
      </w:r>
      <w:r w:rsidRPr="002C4077">
        <w:t xml:space="preserve"> </w:t>
      </w:r>
      <w:r>
        <w:t>fils</w:t>
      </w:r>
      <w:r w:rsidRPr="002C4077">
        <w:t xml:space="preserve"> </w:t>
      </w:r>
      <w:r>
        <w:t>de</w:t>
      </w:r>
      <w:r w:rsidRPr="002C4077">
        <w:t xml:space="preserve"> </w:t>
      </w:r>
      <w:r w:rsidR="00D40830" w:rsidRPr="00D40830">
        <w:t>l’</w:t>
      </w:r>
      <w:r w:rsidR="00D40830" w:rsidRPr="00D05EA9">
        <w:rPr>
          <w:rStyle w:val="italicus"/>
        </w:rPr>
        <w:t>῾almah</w:t>
      </w:r>
      <w:r w:rsidRPr="000A34B5">
        <w:rPr>
          <w:rStyle w:val="italicus"/>
        </w:rPr>
        <w:t>.</w:t>
      </w:r>
      <w:r w:rsidRPr="002C4077">
        <w:t xml:space="preserve"> </w:t>
      </w:r>
      <w:r>
        <w:t>Qu’est-ce</w:t>
      </w:r>
      <w:r w:rsidRPr="002C4077">
        <w:t xml:space="preserve"> </w:t>
      </w:r>
      <w:r>
        <w:t>donc</w:t>
      </w:r>
      <w:r w:rsidRPr="002C4077">
        <w:t xml:space="preserve"> </w:t>
      </w:r>
      <w:r>
        <w:t>que</w:t>
      </w:r>
      <w:r w:rsidRPr="002C4077">
        <w:t xml:space="preserve"> </w:t>
      </w:r>
      <w:r w:rsidR="00D40830" w:rsidRPr="00D40830">
        <w:t>l’</w:t>
      </w:r>
      <w:r w:rsidR="00D40830" w:rsidRPr="00D05EA9">
        <w:rPr>
          <w:rStyle w:val="italicus"/>
        </w:rPr>
        <w:t>῾almah</w:t>
      </w:r>
      <w:r w:rsidR="00B546AF">
        <w:rPr>
          <w:rStyle w:val="italicus"/>
        </w:rPr>
        <w:t> </w:t>
      </w:r>
      <w:r w:rsidR="00B546AF" w:rsidRPr="000A34B5">
        <w:rPr>
          <w:rStyle w:val="italicus"/>
        </w:rPr>
        <w:t>?</w:t>
      </w:r>
      <w:r w:rsidRPr="002C4077">
        <w:t xml:space="preserve"> </w:t>
      </w:r>
      <w:r>
        <w:t>Nous</w:t>
      </w:r>
      <w:r w:rsidRPr="002C4077">
        <w:t xml:space="preserve"> </w:t>
      </w:r>
      <w:r>
        <w:t>voici</w:t>
      </w:r>
      <w:r w:rsidRPr="002C4077">
        <w:t xml:space="preserve"> </w:t>
      </w:r>
      <w:r>
        <w:t>arrivés</w:t>
      </w:r>
      <w:r w:rsidRPr="002C4077">
        <w:t xml:space="preserve"> </w:t>
      </w:r>
      <w:r>
        <w:t>au</w:t>
      </w:r>
      <w:r w:rsidRPr="002C4077">
        <w:t xml:space="preserve"> </w:t>
      </w:r>
      <w:r>
        <w:t>cœur</w:t>
      </w:r>
      <w:r w:rsidRPr="002C4077">
        <w:t xml:space="preserve"> </w:t>
      </w:r>
      <w:r>
        <w:t>même</w:t>
      </w:r>
      <w:r w:rsidRPr="002C4077">
        <w:t xml:space="preserve"> </w:t>
      </w:r>
      <w:r>
        <w:t>de</w:t>
      </w:r>
      <w:bookmarkStart w:id="134" w:name="z_JesusEmmanuel_o2"/>
      <w:bookmarkEnd w:id="134"/>
      <w:r w:rsidRPr="002C4077">
        <w:t xml:space="preserve"> </w:t>
      </w:r>
      <w:r>
        <w:t>la</w:t>
      </w:r>
      <w:bookmarkStart w:id="135" w:name="z_Emmanuel_o3"/>
      <w:bookmarkEnd w:id="135"/>
      <w:r w:rsidRPr="002C4077">
        <w:t xml:space="preserve"> </w:t>
      </w:r>
      <w:r>
        <w:t>prophétie.</w:t>
      </w:r>
      <w:r w:rsidR="00C45B47">
        <w:t xml:space="preserve"> {</w:t>
      </w:r>
      <w:r w:rsidR="000721C4">
        <w:t>37</w:t>
      </w:r>
      <w:bookmarkStart w:id="136" w:name="p037"/>
      <w:bookmarkEnd w:id="136"/>
      <w:r w:rsidR="000721C4">
        <w:t xml:space="preserve">} </w:t>
      </w:r>
    </w:p>
    <w:p w:rsidR="000A7AAB" w:rsidRDefault="000A7AAB" w:rsidP="00BE7D31">
      <w:pPr>
        <w:pStyle w:val="Titre2"/>
      </w:pPr>
      <w:bookmarkStart w:id="137" w:name="_Toc43882004"/>
      <w:r>
        <w:t>CHAPITRE</w:t>
      </w:r>
      <w:r w:rsidRPr="002C4077">
        <w:t xml:space="preserve"> </w:t>
      </w:r>
      <w:r>
        <w:t>IV.</w:t>
      </w:r>
      <w:bookmarkStart w:id="138" w:name="a0104"/>
      <w:bookmarkEnd w:id="137"/>
      <w:bookmarkEnd w:id="138"/>
      <w:r w:rsidRPr="002C4077">
        <w:t xml:space="preserve"> </w:t>
      </w:r>
    </w:p>
    <w:p w:rsidR="000A7AAB" w:rsidRDefault="00D40830" w:rsidP="007E58A7">
      <w:pPr>
        <w:pStyle w:val="st2"/>
      </w:pPr>
      <w:r w:rsidRPr="00D40830">
        <w:t>L’</w:t>
      </w:r>
      <w:r w:rsidRPr="00D05EA9">
        <w:rPr>
          <w:rStyle w:val="italicus"/>
        </w:rPr>
        <w:t>῾almah</w:t>
      </w:r>
      <w:r w:rsidR="000A7AAB">
        <w:t>.</w:t>
      </w:r>
      <w:r w:rsidR="000A7AAB" w:rsidRPr="002C4077">
        <w:t xml:space="preserve"> </w:t>
      </w:r>
    </w:p>
    <w:p w:rsidR="000A7AAB" w:rsidRDefault="00B546AF" w:rsidP="000A7AAB">
      <w:r>
        <w:t>« </w:t>
      </w:r>
      <w:r w:rsidR="000A7AAB">
        <w:t>Les</w:t>
      </w:r>
      <w:bookmarkStart w:id="139" w:name="z_AlmahPerso_o2"/>
      <w:bookmarkEnd w:id="139"/>
      <w:r w:rsidR="000A7AAB" w:rsidRPr="002C4077">
        <w:t xml:space="preserve"> </w:t>
      </w:r>
      <w:r w:rsidR="000A7AAB">
        <w:t>chrétiens</w:t>
      </w:r>
      <w:r w:rsidR="000A7AAB" w:rsidRPr="002C4077">
        <w:t xml:space="preserve"> </w:t>
      </w:r>
      <w:r w:rsidR="000A7AAB">
        <w:t>ont</w:t>
      </w:r>
      <w:r w:rsidR="000A7AAB" w:rsidRPr="002C4077">
        <w:t xml:space="preserve"> </w:t>
      </w:r>
      <w:r w:rsidR="000A7AAB">
        <w:t>fait</w:t>
      </w:r>
      <w:r w:rsidR="000A7AAB" w:rsidRPr="002C4077">
        <w:t xml:space="preserve"> </w:t>
      </w:r>
      <w:r w:rsidR="000A7AAB">
        <w:t>tant</w:t>
      </w:r>
      <w:r w:rsidR="000A7AAB" w:rsidRPr="002C4077">
        <w:t xml:space="preserve"> </w:t>
      </w:r>
      <w:r w:rsidR="000A7AAB">
        <w:t>de</w:t>
      </w:r>
      <w:r w:rsidR="000A7AAB" w:rsidRPr="002C4077">
        <w:t xml:space="preserve"> </w:t>
      </w:r>
      <w:r w:rsidR="000A7AAB">
        <w:t>bruit</w:t>
      </w:r>
      <w:r w:rsidR="000A7AAB" w:rsidRPr="002C4077">
        <w:t xml:space="preserve"> </w:t>
      </w:r>
      <w:r w:rsidR="000A7AAB">
        <w:t>à</w:t>
      </w:r>
      <w:r w:rsidR="000A7AAB" w:rsidRPr="002C4077">
        <w:t xml:space="preserve"> </w:t>
      </w:r>
      <w:r w:rsidR="000A7AAB">
        <w:t>propos</w:t>
      </w:r>
      <w:r w:rsidR="000A7AAB" w:rsidRPr="002C4077">
        <w:t xml:space="preserve"> </w:t>
      </w:r>
      <w:r w:rsidR="000A7AAB">
        <w:t>de</w:t>
      </w:r>
      <w:r w:rsidR="000A7AAB" w:rsidRPr="002C4077">
        <w:t xml:space="preserve"> </w:t>
      </w:r>
      <w:r w:rsidR="000A7AAB">
        <w:t>cette</w:t>
      </w:r>
      <w:r w:rsidR="000A7AAB" w:rsidRPr="002C4077">
        <w:t xml:space="preserve"> </w:t>
      </w:r>
      <w:r w:rsidR="00D40830" w:rsidRPr="00D05EA9">
        <w:rPr>
          <w:rStyle w:val="italicus"/>
        </w:rPr>
        <w:t>῾almah</w:t>
      </w:r>
      <w:r>
        <w:rPr>
          <w:rStyle w:val="italicus"/>
        </w:rPr>
        <w:t> </w:t>
      </w:r>
      <w:r w:rsidRPr="000A34B5">
        <w:rPr>
          <w:rStyle w:val="italicus"/>
        </w:rPr>
        <w:t>!</w:t>
      </w:r>
      <w:r>
        <w:t> »</w:t>
      </w:r>
      <w:r w:rsidR="000A7AAB" w:rsidRPr="002C4077">
        <w:t xml:space="preserve"> </w:t>
      </w:r>
      <w:r w:rsidR="000A7AAB">
        <w:t>a</w:t>
      </w:r>
      <w:r w:rsidR="000A7AAB" w:rsidRPr="002C4077">
        <w:t xml:space="preserve"> </w:t>
      </w:r>
      <w:r w:rsidR="000A7AAB">
        <w:t>dit</w:t>
      </w:r>
      <w:r w:rsidR="000A7AAB" w:rsidRPr="002C4077">
        <w:t xml:space="preserve"> </w:t>
      </w:r>
      <w:r w:rsidR="000A7AAB">
        <w:t>Abulwalid</w:t>
      </w:r>
      <w:bookmarkStart w:id="140" w:name="z_Abulwalid_o1"/>
      <w:bookmarkEnd w:id="140"/>
      <w:r w:rsidR="00B91AF7">
        <w:rPr>
          <w:rStyle w:val="Appelnotedebasdep"/>
        </w:rPr>
        <w:footnoteReference w:id="102"/>
      </w:r>
      <w:r w:rsidR="000A7AAB">
        <w:t>.</w:t>
      </w:r>
      <w:r w:rsidR="000A7AAB" w:rsidRPr="002C4077">
        <w:t xml:space="preserve"> </w:t>
      </w:r>
    </w:p>
    <w:p w:rsidR="000A7AAB" w:rsidRDefault="000A7AAB" w:rsidP="000A7AAB">
      <w:r>
        <w:t>Et</w:t>
      </w:r>
      <w:r w:rsidRPr="002C4077">
        <w:t xml:space="preserve"> </w:t>
      </w:r>
      <w:r>
        <w:t>pourtant</w:t>
      </w:r>
      <w:r w:rsidRPr="002C4077">
        <w:t xml:space="preserve"> </w:t>
      </w:r>
      <w:r>
        <w:t>les</w:t>
      </w:r>
      <w:r w:rsidRPr="002C4077">
        <w:t xml:space="preserve"> </w:t>
      </w:r>
      <w:r>
        <w:t>chrétiens</w:t>
      </w:r>
      <w:r w:rsidRPr="002C4077">
        <w:t xml:space="preserve"> </w:t>
      </w:r>
      <w:r>
        <w:t>se</w:t>
      </w:r>
      <w:r w:rsidRPr="002C4077">
        <w:t xml:space="preserve"> </w:t>
      </w:r>
      <w:r>
        <w:t>sont</w:t>
      </w:r>
      <w:r w:rsidRPr="002C4077">
        <w:t xml:space="preserve"> </w:t>
      </w:r>
      <w:r>
        <w:t>bornés</w:t>
      </w:r>
      <w:r w:rsidRPr="002C4077">
        <w:t xml:space="preserve"> </w:t>
      </w:r>
      <w:r>
        <w:t>à</w:t>
      </w:r>
      <w:r w:rsidRPr="002C4077">
        <w:t xml:space="preserve"> </w:t>
      </w:r>
      <w:r>
        <w:t>répondre</w:t>
      </w:r>
      <w:r w:rsidR="00B546AF">
        <w:t> ;</w:t>
      </w:r>
      <w:r w:rsidRPr="002C4077">
        <w:t xml:space="preserve"> </w:t>
      </w:r>
      <w:r>
        <w:t>car,</w:t>
      </w:r>
      <w:r w:rsidRPr="002C4077">
        <w:t xml:space="preserve"> </w:t>
      </w:r>
      <w:r>
        <w:t>en</w:t>
      </w:r>
      <w:r w:rsidRPr="002C4077">
        <w:t xml:space="preserve"> </w:t>
      </w:r>
      <w:r>
        <w:t>vérité,</w:t>
      </w:r>
      <w:r w:rsidRPr="002C4077">
        <w:t xml:space="preserve"> </w:t>
      </w:r>
      <w:r>
        <w:t>le</w:t>
      </w:r>
      <w:r w:rsidRPr="002C4077">
        <w:t xml:space="preserve"> </w:t>
      </w:r>
      <w:r>
        <w:t>bruit,</w:t>
      </w:r>
      <w:r w:rsidRPr="002C4077">
        <w:t xml:space="preserve"> </w:t>
      </w:r>
      <w:r>
        <w:t>ce</w:t>
      </w:r>
      <w:r w:rsidRPr="002C4077">
        <w:t xml:space="preserve"> </w:t>
      </w:r>
      <w:r>
        <w:t>sont</w:t>
      </w:r>
      <w:r w:rsidRPr="002C4077">
        <w:t xml:space="preserve"> </w:t>
      </w:r>
      <w:r>
        <w:t>les</w:t>
      </w:r>
      <w:r w:rsidRPr="002C4077">
        <w:t xml:space="preserve"> </w:t>
      </w:r>
      <w:r>
        <w:t>Juifs,</w:t>
      </w:r>
      <w:r w:rsidRPr="002C4077">
        <w:t xml:space="preserve"> </w:t>
      </w:r>
      <w:r>
        <w:t>puis</w:t>
      </w:r>
      <w:r w:rsidRPr="002C4077">
        <w:t xml:space="preserve"> </w:t>
      </w:r>
      <w:r>
        <w:t>les</w:t>
      </w:r>
      <w:r w:rsidRPr="002C4077">
        <w:t xml:space="preserve"> </w:t>
      </w:r>
      <w:r>
        <w:t>rationalistes</w:t>
      </w:r>
      <w:r w:rsidRPr="002C4077">
        <w:t xml:space="preserve"> </w:t>
      </w:r>
      <w:r>
        <w:t>qui</w:t>
      </w:r>
      <w:r w:rsidRPr="002C4077">
        <w:t xml:space="preserve"> </w:t>
      </w:r>
      <w:r>
        <w:t>l’ont</w:t>
      </w:r>
      <w:r w:rsidRPr="002C4077">
        <w:t xml:space="preserve"> </w:t>
      </w:r>
      <w:r>
        <w:t>fait.</w:t>
      </w:r>
      <w:r w:rsidRPr="002C4077">
        <w:t xml:space="preserve"> </w:t>
      </w:r>
      <w:r>
        <w:t>Ou</w:t>
      </w:r>
      <w:r w:rsidRPr="002C4077">
        <w:t xml:space="preserve"> </w:t>
      </w:r>
      <w:r>
        <w:t>plutôt,</w:t>
      </w:r>
      <w:r w:rsidRPr="002C4077">
        <w:t xml:space="preserve"> </w:t>
      </w:r>
      <w:r>
        <w:t>qu’on</w:t>
      </w:r>
      <w:r w:rsidRPr="002C4077">
        <w:t xml:space="preserve"> </w:t>
      </w:r>
      <w:r>
        <w:t>nous</w:t>
      </w:r>
      <w:r w:rsidRPr="002C4077">
        <w:t xml:space="preserve"> </w:t>
      </w:r>
      <w:r>
        <w:t>permette</w:t>
      </w:r>
      <w:r w:rsidRPr="002C4077">
        <w:t xml:space="preserve"> </w:t>
      </w:r>
      <w:r>
        <w:t>de</w:t>
      </w:r>
      <w:r w:rsidRPr="002C4077">
        <w:t xml:space="preserve"> </w:t>
      </w:r>
      <w:r>
        <w:t>le</w:t>
      </w:r>
      <w:r w:rsidRPr="002C4077">
        <w:t xml:space="preserve"> </w:t>
      </w:r>
      <w:r>
        <w:t>dire,</w:t>
      </w:r>
      <w:r w:rsidRPr="002C4077">
        <w:t xml:space="preserve"> </w:t>
      </w:r>
      <w:r>
        <w:t>c’est</w:t>
      </w:r>
      <w:r w:rsidRPr="002C4077">
        <w:t xml:space="preserve"> </w:t>
      </w:r>
      <w:r>
        <w:t>Isaïe,</w:t>
      </w:r>
      <w:r w:rsidRPr="002C4077">
        <w:t xml:space="preserve"> </w:t>
      </w:r>
      <w:r>
        <w:t>comme</w:t>
      </w:r>
      <w:r w:rsidRPr="002C4077">
        <w:t xml:space="preserve"> </w:t>
      </w:r>
      <w:r>
        <w:t>prophète</w:t>
      </w:r>
      <w:r w:rsidRPr="002C4077">
        <w:t xml:space="preserve"> </w:t>
      </w:r>
      <w:r>
        <w:t>inspiré,</w:t>
      </w:r>
      <w:r w:rsidRPr="002C4077">
        <w:t xml:space="preserve"> </w:t>
      </w:r>
      <w:r>
        <w:t>qui,</w:t>
      </w:r>
      <w:r w:rsidRPr="002C4077">
        <w:t xml:space="preserve"> </w:t>
      </w:r>
      <w:r>
        <w:t>le</w:t>
      </w:r>
      <w:r w:rsidRPr="002C4077">
        <w:t xml:space="preserve"> </w:t>
      </w:r>
      <w:r>
        <w:t>premier,</w:t>
      </w:r>
      <w:r w:rsidRPr="002C4077">
        <w:t xml:space="preserve"> </w:t>
      </w:r>
      <w:r>
        <w:t>a</w:t>
      </w:r>
      <w:r w:rsidRPr="002C4077">
        <w:t xml:space="preserve"> </w:t>
      </w:r>
      <w:r>
        <w:t>fait</w:t>
      </w:r>
      <w:r w:rsidRPr="002C4077">
        <w:t xml:space="preserve"> </w:t>
      </w:r>
      <w:r>
        <w:t>du</w:t>
      </w:r>
      <w:r w:rsidRPr="002C4077">
        <w:t xml:space="preserve"> </w:t>
      </w:r>
      <w:r>
        <w:t>bruit</w:t>
      </w:r>
      <w:r w:rsidRPr="002C4077">
        <w:t xml:space="preserve"> </w:t>
      </w:r>
      <w:r>
        <w:t>à</w:t>
      </w:r>
      <w:r w:rsidRPr="002C4077">
        <w:t xml:space="preserve"> </w:t>
      </w:r>
      <w:r>
        <w:t>propos</w:t>
      </w:r>
      <w:r w:rsidRPr="002C4077">
        <w:t xml:space="preserve"> </w:t>
      </w:r>
      <w:r>
        <w:t>de</w:t>
      </w:r>
      <w:r w:rsidRPr="002C4077">
        <w:t xml:space="preserve"> </w:t>
      </w:r>
      <w:r w:rsidR="00D40830" w:rsidRPr="00D40830">
        <w:t>l’</w:t>
      </w:r>
      <w:r w:rsidR="00D40830" w:rsidRPr="00D05EA9">
        <w:rPr>
          <w:rStyle w:val="italicus"/>
        </w:rPr>
        <w:t>῾almah</w:t>
      </w:r>
      <w:r w:rsidR="00F6492C">
        <w:rPr>
          <w:rStyle w:val="Appelnotedebasdep"/>
          <w:i/>
        </w:rPr>
        <w:footnoteReference w:id="103"/>
      </w:r>
      <w:r w:rsidR="00B546AF">
        <w:rPr>
          <w:rStyle w:val="italicus"/>
        </w:rPr>
        <w:t> </w:t>
      </w:r>
      <w:r w:rsidR="00B546AF" w:rsidRPr="000A34B5">
        <w:rPr>
          <w:rStyle w:val="italicus"/>
        </w:rPr>
        <w:t>;</w:t>
      </w:r>
      <w:r w:rsidRPr="002C4077">
        <w:t xml:space="preserve"> </w:t>
      </w:r>
      <w:r>
        <w:t>par</w:t>
      </w:r>
      <w:r w:rsidRPr="002C4077">
        <w:t xml:space="preserve"> </w:t>
      </w:r>
      <w:r>
        <w:t>conséquent,</w:t>
      </w:r>
      <w:r w:rsidRPr="002C4077">
        <w:t xml:space="preserve"> </w:t>
      </w:r>
      <w:r>
        <w:t>c’est</w:t>
      </w:r>
      <w:r w:rsidRPr="002C4077">
        <w:t xml:space="preserve"> </w:t>
      </w:r>
      <w:r>
        <w:t>Dieu</w:t>
      </w:r>
      <w:r w:rsidRPr="002C4077">
        <w:t xml:space="preserve"> </w:t>
      </w:r>
      <w:r>
        <w:t>lui-même.</w:t>
      </w:r>
      <w:r w:rsidR="004377BC" w:rsidRPr="002C4077">
        <w:t xml:space="preserve"> </w:t>
      </w:r>
      <w:r>
        <w:t>Et,</w:t>
      </w:r>
      <w:r w:rsidRPr="002C4077">
        <w:t xml:space="preserve"> </w:t>
      </w:r>
      <w:r>
        <w:t>à</w:t>
      </w:r>
      <w:r w:rsidRPr="002C4077">
        <w:t xml:space="preserve"> </w:t>
      </w:r>
      <w:r>
        <w:t>notre</w:t>
      </w:r>
      <w:r w:rsidRPr="002C4077">
        <w:t xml:space="preserve"> </w:t>
      </w:r>
      <w:r>
        <w:t>tour,</w:t>
      </w:r>
      <w:r w:rsidRPr="002C4077">
        <w:t xml:space="preserve"> </w:t>
      </w:r>
      <w:r>
        <w:t>nous</w:t>
      </w:r>
      <w:r w:rsidRPr="002C4077">
        <w:t xml:space="preserve"> </w:t>
      </w:r>
      <w:r>
        <w:t>serions</w:t>
      </w:r>
      <w:r w:rsidRPr="002C4077">
        <w:t xml:space="preserve"> </w:t>
      </w:r>
      <w:r>
        <w:t>heureux</w:t>
      </w:r>
      <w:r w:rsidRPr="002C4077">
        <w:t xml:space="preserve"> </w:t>
      </w:r>
      <w:r>
        <w:t>de</w:t>
      </w:r>
      <w:r w:rsidRPr="002C4077">
        <w:t xml:space="preserve"> </w:t>
      </w:r>
      <w:r>
        <w:t>faire</w:t>
      </w:r>
      <w:r w:rsidRPr="002C4077">
        <w:t xml:space="preserve"> </w:t>
      </w:r>
      <w:r>
        <w:t>un</w:t>
      </w:r>
      <w:r w:rsidRPr="002C4077">
        <w:t xml:space="preserve"> </w:t>
      </w:r>
      <w:r>
        <w:t>peu</w:t>
      </w:r>
      <w:r w:rsidRPr="002C4077">
        <w:t xml:space="preserve"> </w:t>
      </w:r>
      <w:r>
        <w:t>de</w:t>
      </w:r>
      <w:r w:rsidRPr="002C4077">
        <w:t xml:space="preserve"> </w:t>
      </w:r>
      <w:r>
        <w:t>bruit</w:t>
      </w:r>
      <w:r w:rsidRPr="002C4077">
        <w:t xml:space="preserve"> </w:t>
      </w:r>
      <w:r>
        <w:t>autour</w:t>
      </w:r>
      <w:r w:rsidRPr="002C4077">
        <w:t xml:space="preserve"> </w:t>
      </w:r>
      <w:r>
        <w:t>du</w:t>
      </w:r>
      <w:r w:rsidRPr="002C4077">
        <w:t xml:space="preserve"> </w:t>
      </w:r>
      <w:r>
        <w:t>nom</w:t>
      </w:r>
      <w:r w:rsidRPr="002C4077">
        <w:t xml:space="preserve"> </w:t>
      </w:r>
      <w:r>
        <w:t>de</w:t>
      </w:r>
      <w:r w:rsidRPr="002C4077">
        <w:t xml:space="preserve"> </w:t>
      </w:r>
      <w:r>
        <w:t>la</w:t>
      </w:r>
      <w:r w:rsidRPr="002C4077">
        <w:t xml:space="preserve"> </w:t>
      </w:r>
      <w:r>
        <w:t>céleste</w:t>
      </w:r>
      <w:r w:rsidRPr="002C4077">
        <w:t xml:space="preserve"> </w:t>
      </w:r>
      <w:r w:rsidR="00D40830" w:rsidRPr="00D05EA9">
        <w:rPr>
          <w:rStyle w:val="italicus"/>
        </w:rPr>
        <w:t>῾almah</w:t>
      </w:r>
      <w:r w:rsidRPr="000A34B5">
        <w:rPr>
          <w:rStyle w:val="italicus"/>
        </w:rPr>
        <w:t>.</w:t>
      </w:r>
      <w:r w:rsidRPr="002C4077">
        <w:t xml:space="preserve"> </w:t>
      </w:r>
    </w:p>
    <w:p w:rsidR="000A7AAB" w:rsidRPr="000721C4" w:rsidRDefault="000A7AAB" w:rsidP="000A7AAB">
      <w:r>
        <w:t>Nous</w:t>
      </w:r>
      <w:r w:rsidRPr="002C4077">
        <w:t xml:space="preserve"> </w:t>
      </w:r>
      <w:r>
        <w:t>avons</w:t>
      </w:r>
      <w:r w:rsidRPr="002C4077">
        <w:t xml:space="preserve"> </w:t>
      </w:r>
      <w:r>
        <w:t>à</w:t>
      </w:r>
      <w:r w:rsidRPr="002C4077">
        <w:t xml:space="preserve"> </w:t>
      </w:r>
      <w:r>
        <w:t>rechercher</w:t>
      </w:r>
      <w:r w:rsidRPr="002C4077">
        <w:t xml:space="preserve"> </w:t>
      </w:r>
      <w:r>
        <w:t>ici</w:t>
      </w:r>
      <w:r w:rsidRPr="002C4077">
        <w:t xml:space="preserve"> </w:t>
      </w:r>
      <w:r>
        <w:t>deux</w:t>
      </w:r>
      <w:r w:rsidRPr="002C4077">
        <w:t xml:space="preserve"> </w:t>
      </w:r>
      <w:r>
        <w:t>choses</w:t>
      </w:r>
      <w:r w:rsidR="00B546AF">
        <w:t> :</w:t>
      </w:r>
      <w:r w:rsidRPr="002C4077">
        <w:t xml:space="preserve"> </w:t>
      </w:r>
      <w:r>
        <w:t>Quelle</w:t>
      </w:r>
      <w:r w:rsidRPr="002C4077">
        <w:t xml:space="preserve"> </w:t>
      </w:r>
      <w:r w:rsidR="00425C50">
        <w:t>est</w:t>
      </w:r>
      <w:r w:rsidRPr="002C4077">
        <w:t xml:space="preserve"> </w:t>
      </w:r>
      <w:r>
        <w:t>la</w:t>
      </w:r>
      <w:r w:rsidRPr="002C4077">
        <w:t xml:space="preserve"> </w:t>
      </w:r>
      <w:r>
        <w:t>personne</w:t>
      </w:r>
      <w:r w:rsidRPr="002C4077">
        <w:t xml:space="preserve"> </w:t>
      </w:r>
      <w:r>
        <w:t>désignée</w:t>
      </w:r>
      <w:r w:rsidRPr="002C4077">
        <w:t xml:space="preserve"> </w:t>
      </w:r>
      <w:r>
        <w:t>par</w:t>
      </w:r>
      <w:r w:rsidRPr="002C4077">
        <w:t xml:space="preserve"> </w:t>
      </w:r>
      <w:r>
        <w:t>le</w:t>
      </w:r>
      <w:r w:rsidRPr="002C4077">
        <w:t xml:space="preserve"> </w:t>
      </w:r>
      <w:r>
        <w:t>mot</w:t>
      </w:r>
      <w:r w:rsidRPr="002C4077">
        <w:t xml:space="preserve"> </w:t>
      </w:r>
      <w:r w:rsidR="00D40830" w:rsidRPr="00D05EA9">
        <w:rPr>
          <w:rStyle w:val="italicus"/>
        </w:rPr>
        <w:t>῾almah</w:t>
      </w:r>
      <w:r w:rsidR="00B546AF">
        <w:rPr>
          <w:rStyle w:val="italicus"/>
        </w:rPr>
        <w:t> </w:t>
      </w:r>
      <w:r w:rsidR="00B546AF" w:rsidRPr="000A34B5">
        <w:rPr>
          <w:rStyle w:val="italicus"/>
        </w:rPr>
        <w:t>?</w:t>
      </w:r>
      <w:r w:rsidRPr="002C4077">
        <w:t xml:space="preserve"> </w:t>
      </w:r>
      <w:r>
        <w:t>Que</w:t>
      </w:r>
      <w:r w:rsidRPr="002C4077">
        <w:t xml:space="preserve"> </w:t>
      </w:r>
      <w:r>
        <w:t>signifie</w:t>
      </w:r>
      <w:r w:rsidRPr="002C4077">
        <w:t xml:space="preserve"> </w:t>
      </w:r>
      <w:r>
        <w:t>exactement</w:t>
      </w:r>
      <w:r w:rsidRPr="002C4077">
        <w:t xml:space="preserve"> </w:t>
      </w:r>
      <w:r>
        <w:t>ce</w:t>
      </w:r>
      <w:r w:rsidRPr="002C4077">
        <w:t xml:space="preserve"> </w:t>
      </w:r>
      <w:r>
        <w:t>mot</w:t>
      </w:r>
      <w:r w:rsidR="00B546AF">
        <w:t> ?</w:t>
      </w:r>
      <w:r w:rsidR="00C45B47">
        <w:t xml:space="preserve"> {</w:t>
      </w:r>
      <w:r w:rsidR="000721C4">
        <w:t>38</w:t>
      </w:r>
      <w:bookmarkStart w:id="142" w:name="p038"/>
      <w:bookmarkEnd w:id="142"/>
      <w:r w:rsidR="000721C4">
        <w:t xml:space="preserve">} </w:t>
      </w:r>
    </w:p>
    <w:p w:rsidR="000A7AAB" w:rsidRDefault="000A7AAB" w:rsidP="000A7AAB">
      <w:r>
        <w:t>1.</w:t>
      </w:r>
      <w:r w:rsidRPr="002C4077">
        <w:t xml:space="preserve"> </w:t>
      </w:r>
      <w:r w:rsidR="00D40830" w:rsidRPr="00D40830">
        <w:t>L’</w:t>
      </w:r>
      <w:r w:rsidR="00D40830" w:rsidRPr="00D05EA9">
        <w:rPr>
          <w:rStyle w:val="italicus"/>
        </w:rPr>
        <w:t>῾almah</w:t>
      </w:r>
      <w:r w:rsidRPr="002C4077">
        <w:t xml:space="preserve"> </w:t>
      </w:r>
      <w:r w:rsidRPr="000A34B5">
        <w:rPr>
          <w:rStyle w:val="italicus"/>
        </w:rPr>
        <w:t>et</w:t>
      </w:r>
      <w:r w:rsidRPr="002C4077">
        <w:t xml:space="preserve"> </w:t>
      </w:r>
      <w:r w:rsidRPr="000A34B5">
        <w:rPr>
          <w:rStyle w:val="italicus"/>
        </w:rPr>
        <w:t>saint</w:t>
      </w:r>
      <w:bookmarkStart w:id="143" w:name="z_MatthieuSaint_o1"/>
      <w:bookmarkEnd w:id="143"/>
      <w:r w:rsidRPr="002C4077">
        <w:t xml:space="preserve"> </w:t>
      </w:r>
      <w:r w:rsidR="00425C50">
        <w:rPr>
          <w:rStyle w:val="italicus"/>
        </w:rPr>
        <w:t>Matth</w:t>
      </w:r>
      <w:r w:rsidRPr="000A34B5">
        <w:rPr>
          <w:rStyle w:val="italicus"/>
        </w:rPr>
        <w:t>ieu.</w:t>
      </w:r>
      <w:bookmarkStart w:id="144" w:name="z_Almah_o9"/>
      <w:bookmarkEnd w:id="144"/>
      <w:r w:rsidRPr="002C4077">
        <w:t xml:space="preserve"> </w:t>
      </w:r>
      <w:r>
        <w:t>—</w:t>
      </w:r>
      <w:r w:rsidRPr="002C4077">
        <w:t xml:space="preserve"> </w:t>
      </w:r>
      <w:r>
        <w:t>L’évangéliste</w:t>
      </w:r>
      <w:r w:rsidRPr="002C4077">
        <w:t xml:space="preserve"> </w:t>
      </w:r>
      <w:r>
        <w:t>saint</w:t>
      </w:r>
      <w:r w:rsidRPr="002C4077">
        <w:t xml:space="preserve"> </w:t>
      </w:r>
      <w:r w:rsidR="00425C50">
        <w:t>Matth</w:t>
      </w:r>
      <w:r>
        <w:t>ieu,</w:t>
      </w:r>
      <w:r w:rsidRPr="002C4077">
        <w:t xml:space="preserve"> </w:t>
      </w:r>
      <w:r>
        <w:t>dans</w:t>
      </w:r>
      <w:r w:rsidRPr="002C4077">
        <w:t xml:space="preserve"> </w:t>
      </w:r>
      <w:r>
        <w:t>un</w:t>
      </w:r>
      <w:r w:rsidRPr="002C4077">
        <w:t xml:space="preserve"> </w:t>
      </w:r>
      <w:r>
        <w:t>passage</w:t>
      </w:r>
      <w:r w:rsidRPr="002C4077">
        <w:t xml:space="preserve"> </w:t>
      </w:r>
      <w:r>
        <w:t>qui</w:t>
      </w:r>
      <w:r w:rsidRPr="002C4077">
        <w:t xml:space="preserve"> </w:t>
      </w:r>
      <w:r>
        <w:t>cadre</w:t>
      </w:r>
      <w:r w:rsidRPr="002C4077">
        <w:t xml:space="preserve"> </w:t>
      </w:r>
      <w:r>
        <w:t>parfaitement</w:t>
      </w:r>
      <w:r w:rsidRPr="002C4077">
        <w:t xml:space="preserve"> </w:t>
      </w:r>
      <w:r>
        <w:t>avec</w:t>
      </w:r>
      <w:r w:rsidRPr="002C4077">
        <w:t xml:space="preserve"> </w:t>
      </w:r>
      <w:r>
        <w:t>le</w:t>
      </w:r>
      <w:r w:rsidRPr="002C4077">
        <w:t xml:space="preserve"> </w:t>
      </w:r>
      <w:r>
        <w:t>présent</w:t>
      </w:r>
      <w:r w:rsidRPr="002C4077">
        <w:t xml:space="preserve"> </w:t>
      </w:r>
      <w:r>
        <w:t>oracle</w:t>
      </w:r>
      <w:r w:rsidRPr="002C4077">
        <w:t xml:space="preserve"> </w:t>
      </w:r>
      <w:r>
        <w:t>d’Isaïe,</w:t>
      </w:r>
      <w:r w:rsidRPr="002C4077">
        <w:t xml:space="preserve"> </w:t>
      </w:r>
      <w:r>
        <w:t>répond</w:t>
      </w:r>
      <w:r w:rsidRPr="002C4077">
        <w:t xml:space="preserve"> </w:t>
      </w:r>
      <w:r>
        <w:t>simultanément</w:t>
      </w:r>
      <w:r w:rsidRPr="002C4077">
        <w:t xml:space="preserve"> </w:t>
      </w:r>
      <w:r>
        <w:t>à</w:t>
      </w:r>
      <w:r w:rsidRPr="002C4077">
        <w:t xml:space="preserve"> </w:t>
      </w:r>
      <w:r>
        <w:t>nos</w:t>
      </w:r>
      <w:r w:rsidRPr="002C4077">
        <w:t xml:space="preserve"> </w:t>
      </w:r>
      <w:r>
        <w:t>deux</w:t>
      </w:r>
      <w:r w:rsidRPr="002C4077">
        <w:t xml:space="preserve"> </w:t>
      </w:r>
      <w:r>
        <w:t>questions.</w:t>
      </w:r>
      <w:r w:rsidRPr="002C4077">
        <w:t xml:space="preserve"> </w:t>
      </w:r>
    </w:p>
    <w:p w:rsidR="000A7AAB" w:rsidRDefault="00B546AF" w:rsidP="000A7AAB">
      <w:r>
        <w:t>« </w:t>
      </w:r>
      <w:r w:rsidR="000A7AAB">
        <w:t>La</w:t>
      </w:r>
      <w:r w:rsidR="000A7AAB" w:rsidRPr="002C4077">
        <w:t xml:space="preserve"> </w:t>
      </w:r>
      <w:r w:rsidR="000A7AAB">
        <w:t>naissance</w:t>
      </w:r>
      <w:r w:rsidR="000A7AAB" w:rsidRPr="002C4077">
        <w:t xml:space="preserve"> </w:t>
      </w:r>
      <w:r w:rsidR="000A7AAB">
        <w:t>du</w:t>
      </w:r>
      <w:r w:rsidR="000A7AAB" w:rsidRPr="002C4077">
        <w:t xml:space="preserve"> </w:t>
      </w:r>
      <w:r w:rsidR="00425C50">
        <w:t>Christ</w:t>
      </w:r>
      <w:r w:rsidR="000A7AAB">
        <w:t>,</w:t>
      </w:r>
      <w:r w:rsidR="000A7AAB" w:rsidRPr="002C4077">
        <w:t xml:space="preserve"> </w:t>
      </w:r>
      <w:r w:rsidR="000A7AAB">
        <w:t>raconte-t-il,</w:t>
      </w:r>
      <w:r w:rsidR="000A7AAB" w:rsidRPr="002C4077">
        <w:t xml:space="preserve"> </w:t>
      </w:r>
      <w:r w:rsidR="000A7AAB">
        <w:t>arriva</w:t>
      </w:r>
      <w:r w:rsidR="000A7AAB" w:rsidRPr="002C4077">
        <w:t xml:space="preserve"> </w:t>
      </w:r>
      <w:r w:rsidR="000A7AAB">
        <w:t>ainsi.</w:t>
      </w:r>
      <w:r w:rsidR="000A7AAB" w:rsidRPr="002C4077">
        <w:t xml:space="preserve"> </w:t>
      </w:r>
      <w:r w:rsidR="000A7AAB">
        <w:t>Marie,</w:t>
      </w:r>
      <w:r w:rsidR="000A7AAB" w:rsidRPr="002C4077">
        <w:t xml:space="preserve"> </w:t>
      </w:r>
      <w:r w:rsidR="000A7AAB">
        <w:t>sa</w:t>
      </w:r>
      <w:r w:rsidR="000A7AAB" w:rsidRPr="002C4077">
        <w:t xml:space="preserve"> </w:t>
      </w:r>
      <w:r w:rsidR="000A7AAB">
        <w:t>mère,</w:t>
      </w:r>
      <w:r w:rsidR="000A7AAB" w:rsidRPr="002C4077">
        <w:t xml:space="preserve"> </w:t>
      </w:r>
      <w:r w:rsidR="000A7AAB">
        <w:t>étant</w:t>
      </w:r>
      <w:r w:rsidR="000A7AAB" w:rsidRPr="002C4077">
        <w:t xml:space="preserve"> </w:t>
      </w:r>
      <w:r w:rsidR="000A7AAB">
        <w:t>fiancée</w:t>
      </w:r>
      <w:r w:rsidR="000A7AAB" w:rsidRPr="002C4077">
        <w:t xml:space="preserve"> </w:t>
      </w:r>
      <w:r w:rsidR="000A7AAB">
        <w:t>à</w:t>
      </w:r>
      <w:r w:rsidR="000A7AAB" w:rsidRPr="002C4077">
        <w:t xml:space="preserve"> </w:t>
      </w:r>
      <w:r w:rsidR="000A7AAB">
        <w:t>Joseph,</w:t>
      </w:r>
      <w:r w:rsidR="000A7AAB" w:rsidRPr="002C4077">
        <w:t xml:space="preserve"> </w:t>
      </w:r>
      <w:r w:rsidR="000A7AAB">
        <w:t>avant</w:t>
      </w:r>
      <w:r w:rsidR="000A7AAB" w:rsidRPr="002C4077">
        <w:t xml:space="preserve"> </w:t>
      </w:r>
      <w:r w:rsidR="000A7AAB">
        <w:t>qu’ils</w:t>
      </w:r>
      <w:r w:rsidR="000A7AAB" w:rsidRPr="002C4077">
        <w:t xml:space="preserve"> </w:t>
      </w:r>
      <w:r w:rsidR="000A7AAB">
        <w:t>vinssent</w:t>
      </w:r>
      <w:r w:rsidR="000A7AAB" w:rsidRPr="002C4077">
        <w:t xml:space="preserve"> </w:t>
      </w:r>
      <w:r w:rsidR="000A7AAB">
        <w:t>ensemble</w:t>
      </w:r>
      <w:r w:rsidR="000A7AAB" w:rsidRPr="002C4077">
        <w:t xml:space="preserve"> </w:t>
      </w:r>
      <w:r w:rsidR="000A7AAB">
        <w:t>elle</w:t>
      </w:r>
      <w:r w:rsidR="000A7AAB" w:rsidRPr="002C4077">
        <w:t xml:space="preserve"> </w:t>
      </w:r>
      <w:r w:rsidR="000A7AAB">
        <w:t>se</w:t>
      </w:r>
      <w:r w:rsidR="000A7AAB" w:rsidRPr="002C4077">
        <w:t xml:space="preserve"> </w:t>
      </w:r>
      <w:r w:rsidR="000A7AAB">
        <w:t>trouva</w:t>
      </w:r>
      <w:r w:rsidR="000A7AAB" w:rsidRPr="002C4077">
        <w:t xml:space="preserve"> </w:t>
      </w:r>
      <w:r w:rsidR="000A7AAB">
        <w:t>enceinte</w:t>
      </w:r>
      <w:r w:rsidR="000A7AAB" w:rsidRPr="002C4077">
        <w:t xml:space="preserve"> </w:t>
      </w:r>
      <w:r w:rsidR="000A7AAB">
        <w:t>par</w:t>
      </w:r>
      <w:r w:rsidR="000A7AAB" w:rsidRPr="002C4077">
        <w:t xml:space="preserve"> </w:t>
      </w:r>
      <w:r w:rsidR="000A7AAB">
        <w:t>la</w:t>
      </w:r>
      <w:r w:rsidR="000A7AAB" w:rsidRPr="002C4077">
        <w:t xml:space="preserve"> </w:t>
      </w:r>
      <w:r w:rsidR="000A7AAB">
        <w:t>vertu</w:t>
      </w:r>
      <w:r w:rsidR="000A7AAB" w:rsidRPr="002C4077">
        <w:t xml:space="preserve"> </w:t>
      </w:r>
      <w:r w:rsidR="000A7AAB">
        <w:t>de</w:t>
      </w:r>
      <w:r w:rsidR="000A7AAB" w:rsidRPr="002C4077">
        <w:t xml:space="preserve"> </w:t>
      </w:r>
      <w:r w:rsidR="000A7AAB">
        <w:t>l’Esprit-Saint.</w:t>
      </w:r>
      <w:r w:rsidR="000A7AAB" w:rsidRPr="002C4077">
        <w:t xml:space="preserve"> </w:t>
      </w:r>
      <w:r w:rsidR="000A7AAB">
        <w:t>Or</w:t>
      </w:r>
      <w:r w:rsidR="000A7AAB" w:rsidRPr="002C4077">
        <w:t xml:space="preserve"> </w:t>
      </w:r>
      <w:r w:rsidR="000A7AAB">
        <w:t>Joseph,</w:t>
      </w:r>
      <w:r w:rsidR="000A7AAB" w:rsidRPr="002C4077">
        <w:t xml:space="preserve"> </w:t>
      </w:r>
      <w:r w:rsidR="000A7AAB">
        <w:t>son</w:t>
      </w:r>
      <w:r w:rsidR="000A7AAB" w:rsidRPr="002C4077">
        <w:t xml:space="preserve"> </w:t>
      </w:r>
      <w:r w:rsidR="000A7AAB">
        <w:t>époux,</w:t>
      </w:r>
      <w:r w:rsidR="000A7AAB" w:rsidRPr="002C4077">
        <w:t xml:space="preserve"> </w:t>
      </w:r>
      <w:r w:rsidR="000A7AAB">
        <w:t>qui</w:t>
      </w:r>
      <w:r w:rsidR="000A7AAB" w:rsidRPr="002C4077">
        <w:t xml:space="preserve"> </w:t>
      </w:r>
      <w:r w:rsidR="000A7AAB">
        <w:t>était</w:t>
      </w:r>
      <w:r w:rsidR="000A7AAB" w:rsidRPr="002C4077">
        <w:t xml:space="preserve"> </w:t>
      </w:r>
      <w:r w:rsidR="000A7AAB">
        <w:t>un</w:t>
      </w:r>
      <w:r w:rsidR="000A7AAB" w:rsidRPr="002C4077">
        <w:t xml:space="preserve"> </w:t>
      </w:r>
      <w:r w:rsidR="000A7AAB">
        <w:t>homme</w:t>
      </w:r>
      <w:r w:rsidR="000A7AAB" w:rsidRPr="002C4077">
        <w:t xml:space="preserve"> </w:t>
      </w:r>
      <w:r w:rsidR="000A7AAB">
        <w:t>juste</w:t>
      </w:r>
      <w:r w:rsidR="000A7AAB" w:rsidRPr="002C4077">
        <w:t xml:space="preserve"> </w:t>
      </w:r>
      <w:r w:rsidR="000A7AAB">
        <w:t>et</w:t>
      </w:r>
      <w:r w:rsidR="000A7AAB" w:rsidRPr="002C4077">
        <w:t xml:space="preserve"> </w:t>
      </w:r>
      <w:r w:rsidR="000A7AAB">
        <w:t>qui</w:t>
      </w:r>
      <w:r w:rsidR="000A7AAB" w:rsidRPr="002C4077">
        <w:t xml:space="preserve"> </w:t>
      </w:r>
      <w:r w:rsidR="000A7AAB">
        <w:t>ne</w:t>
      </w:r>
      <w:r w:rsidR="000A7AAB" w:rsidRPr="002C4077">
        <w:t xml:space="preserve"> </w:t>
      </w:r>
      <w:r w:rsidR="000A7AAB">
        <w:t>voulait</w:t>
      </w:r>
      <w:r w:rsidR="000A7AAB" w:rsidRPr="002C4077">
        <w:t xml:space="preserve"> </w:t>
      </w:r>
      <w:r w:rsidR="000A7AAB">
        <w:t>pas</w:t>
      </w:r>
      <w:r w:rsidR="000A7AAB" w:rsidRPr="002C4077">
        <w:t xml:space="preserve"> </w:t>
      </w:r>
      <w:r w:rsidR="000A7AAB">
        <w:t>la</w:t>
      </w:r>
      <w:r w:rsidR="000A7AAB" w:rsidRPr="002C4077">
        <w:t xml:space="preserve"> </w:t>
      </w:r>
      <w:r w:rsidR="000A7AAB">
        <w:t>diffamer,</w:t>
      </w:r>
      <w:r w:rsidR="000A7AAB" w:rsidRPr="002C4077">
        <w:t xml:space="preserve"> </w:t>
      </w:r>
      <w:r w:rsidR="000A7AAB">
        <w:t>résolut</w:t>
      </w:r>
      <w:r w:rsidR="000A7AAB" w:rsidRPr="002C4077">
        <w:t xml:space="preserve"> </w:t>
      </w:r>
      <w:r w:rsidR="000A7AAB">
        <w:t>de</w:t>
      </w:r>
      <w:r w:rsidR="000A7AAB" w:rsidRPr="002C4077">
        <w:t xml:space="preserve"> </w:t>
      </w:r>
      <w:r w:rsidR="000A7AAB">
        <w:t>la</w:t>
      </w:r>
      <w:r w:rsidR="000A7AAB" w:rsidRPr="002C4077">
        <w:t xml:space="preserve"> </w:t>
      </w:r>
      <w:r w:rsidR="000A7AAB">
        <w:t>renvoyer</w:t>
      </w:r>
      <w:r w:rsidR="000A7AAB" w:rsidRPr="002C4077">
        <w:t xml:space="preserve"> </w:t>
      </w:r>
      <w:r w:rsidR="000A7AAB">
        <w:t>secrètement.</w:t>
      </w:r>
      <w:r w:rsidR="000A7AAB" w:rsidRPr="002C4077">
        <w:t xml:space="preserve"> </w:t>
      </w:r>
      <w:r w:rsidR="000A7AAB">
        <w:t>Comme</w:t>
      </w:r>
      <w:r w:rsidR="000A7AAB" w:rsidRPr="002C4077">
        <w:t xml:space="preserve"> </w:t>
      </w:r>
      <w:r w:rsidR="000A7AAB">
        <w:t>il</w:t>
      </w:r>
      <w:r w:rsidR="000A7AAB" w:rsidRPr="002C4077">
        <w:t xml:space="preserve"> </w:t>
      </w:r>
      <w:r w:rsidR="000A7AAB">
        <w:t>était</w:t>
      </w:r>
      <w:r w:rsidR="000A7AAB" w:rsidRPr="002C4077">
        <w:t xml:space="preserve"> </w:t>
      </w:r>
      <w:r w:rsidR="000A7AAB">
        <w:t>en</w:t>
      </w:r>
      <w:r w:rsidR="000A7AAB" w:rsidRPr="002C4077">
        <w:t xml:space="preserve"> </w:t>
      </w:r>
      <w:r w:rsidR="000A7AAB">
        <w:t>cette</w:t>
      </w:r>
      <w:r w:rsidR="000A7AAB" w:rsidRPr="002C4077">
        <w:t xml:space="preserve"> </w:t>
      </w:r>
      <w:r w:rsidR="000A7AAB">
        <w:t>pensée,</w:t>
      </w:r>
      <w:r w:rsidR="000A7AAB" w:rsidRPr="002C4077">
        <w:t xml:space="preserve"> </w:t>
      </w:r>
      <w:r w:rsidR="000A7AAB">
        <w:t>voici</w:t>
      </w:r>
      <w:r w:rsidR="000A7AAB" w:rsidRPr="002C4077">
        <w:t xml:space="preserve"> </w:t>
      </w:r>
      <w:r w:rsidR="000A7AAB">
        <w:t>que</w:t>
      </w:r>
      <w:r w:rsidR="000A7AAB" w:rsidRPr="002C4077">
        <w:t xml:space="preserve"> </w:t>
      </w:r>
      <w:r w:rsidR="000A7AAB">
        <w:t>l’ange</w:t>
      </w:r>
      <w:r w:rsidR="000A7AAB" w:rsidRPr="002C4077">
        <w:t xml:space="preserve"> </w:t>
      </w:r>
      <w:r w:rsidR="000A7AAB">
        <w:t>du</w:t>
      </w:r>
      <w:r w:rsidR="000A7AAB" w:rsidRPr="002C4077">
        <w:t xml:space="preserve"> </w:t>
      </w:r>
      <w:r w:rsidR="000A7AAB">
        <w:t>Seigneur</w:t>
      </w:r>
      <w:r w:rsidR="000A7AAB" w:rsidRPr="002C4077">
        <w:t xml:space="preserve"> </w:t>
      </w:r>
      <w:r w:rsidR="000A7AAB">
        <w:t>lui</w:t>
      </w:r>
      <w:r w:rsidR="000A7AAB" w:rsidRPr="002C4077">
        <w:t xml:space="preserve"> </w:t>
      </w:r>
      <w:r w:rsidR="000A7AAB">
        <w:t>apparut</w:t>
      </w:r>
      <w:r w:rsidR="000A7AAB" w:rsidRPr="002C4077">
        <w:t xml:space="preserve"> </w:t>
      </w:r>
      <w:r w:rsidR="000A7AAB">
        <w:t>en</w:t>
      </w:r>
      <w:r w:rsidR="000A7AAB" w:rsidRPr="002C4077">
        <w:t xml:space="preserve"> </w:t>
      </w:r>
      <w:r w:rsidR="000A7AAB">
        <w:t>songe,</w:t>
      </w:r>
      <w:r w:rsidR="000A7AAB" w:rsidRPr="002C4077">
        <w:t xml:space="preserve"> </w:t>
      </w:r>
      <w:r w:rsidR="000A7AAB">
        <w:t>disant</w:t>
      </w:r>
      <w:r>
        <w:t> :</w:t>
      </w:r>
      <w:r w:rsidR="000A7AAB" w:rsidRPr="002C4077">
        <w:t xml:space="preserve"> </w:t>
      </w:r>
      <w:r w:rsidR="000A7AAB">
        <w:t>Joseph,</w:t>
      </w:r>
      <w:r w:rsidR="000A7AAB" w:rsidRPr="002C4077">
        <w:t xml:space="preserve"> </w:t>
      </w:r>
      <w:r w:rsidR="000A7AAB">
        <w:t>fils</w:t>
      </w:r>
      <w:r w:rsidR="000A7AAB" w:rsidRPr="002C4077">
        <w:t xml:space="preserve"> </w:t>
      </w:r>
      <w:r w:rsidR="000A7AAB">
        <w:t>de</w:t>
      </w:r>
      <w:r w:rsidR="000A7AAB" w:rsidRPr="002C4077">
        <w:t xml:space="preserve"> </w:t>
      </w:r>
      <w:r w:rsidR="000A7AAB">
        <w:t>David,</w:t>
      </w:r>
      <w:r w:rsidR="000A7AAB" w:rsidRPr="002C4077">
        <w:t xml:space="preserve"> </w:t>
      </w:r>
      <w:r w:rsidR="000A7AAB">
        <w:t>ne</w:t>
      </w:r>
      <w:r w:rsidR="000A7AAB" w:rsidRPr="002C4077">
        <w:t xml:space="preserve"> </w:t>
      </w:r>
      <w:r w:rsidR="000A7AAB">
        <w:t>crains</w:t>
      </w:r>
      <w:r w:rsidR="000A7AAB" w:rsidRPr="002C4077">
        <w:t xml:space="preserve"> </w:t>
      </w:r>
      <w:r w:rsidR="000A7AAB">
        <w:t>point</w:t>
      </w:r>
      <w:r w:rsidR="000A7AAB" w:rsidRPr="002C4077">
        <w:t xml:space="preserve"> </w:t>
      </w:r>
      <w:r w:rsidR="000A7AAB">
        <w:t>de</w:t>
      </w:r>
      <w:r w:rsidR="000A7AAB" w:rsidRPr="002C4077">
        <w:t xml:space="preserve"> </w:t>
      </w:r>
      <w:r w:rsidR="000A7AAB">
        <w:t>prendre</w:t>
      </w:r>
      <w:r w:rsidR="000A7AAB" w:rsidRPr="002C4077">
        <w:t xml:space="preserve"> </w:t>
      </w:r>
      <w:r w:rsidR="000A7AAB">
        <w:t>avec</w:t>
      </w:r>
      <w:r w:rsidR="000A7AAB" w:rsidRPr="002C4077">
        <w:t xml:space="preserve"> </w:t>
      </w:r>
      <w:r w:rsidR="000A7AAB">
        <w:t>toi</w:t>
      </w:r>
      <w:r w:rsidR="000A7AAB" w:rsidRPr="002C4077">
        <w:t xml:space="preserve"> </w:t>
      </w:r>
      <w:r w:rsidR="000A7AAB">
        <w:t>Marie,</w:t>
      </w:r>
      <w:r w:rsidR="000A7AAB" w:rsidRPr="002C4077">
        <w:t xml:space="preserve"> </w:t>
      </w:r>
      <w:r w:rsidR="000A7AAB">
        <w:t>ton</w:t>
      </w:r>
      <w:r w:rsidR="000A7AAB" w:rsidRPr="002C4077">
        <w:t xml:space="preserve"> </w:t>
      </w:r>
      <w:r w:rsidR="000A7AAB">
        <w:t>épouse,</w:t>
      </w:r>
      <w:r w:rsidR="000A7AAB" w:rsidRPr="002C4077">
        <w:t xml:space="preserve"> </w:t>
      </w:r>
      <w:r w:rsidR="000A7AAB">
        <w:t>car</w:t>
      </w:r>
      <w:r w:rsidR="000A7AAB" w:rsidRPr="002C4077">
        <w:t xml:space="preserve"> </w:t>
      </w:r>
      <w:r w:rsidR="000A7AAB">
        <w:t>ce</w:t>
      </w:r>
      <w:r w:rsidR="000A7AAB" w:rsidRPr="002C4077">
        <w:t xml:space="preserve"> </w:t>
      </w:r>
      <w:r w:rsidR="000A7AAB">
        <w:t>qu’elle</w:t>
      </w:r>
      <w:r w:rsidR="000A7AAB" w:rsidRPr="002C4077">
        <w:t xml:space="preserve"> </w:t>
      </w:r>
      <w:r w:rsidR="000A7AAB">
        <w:t>porte</w:t>
      </w:r>
      <w:r w:rsidR="000A7AAB" w:rsidRPr="002C4077">
        <w:t xml:space="preserve"> </w:t>
      </w:r>
      <w:r w:rsidR="000A7AAB">
        <w:t>en</w:t>
      </w:r>
      <w:r w:rsidR="000A7AAB" w:rsidRPr="002C4077">
        <w:t xml:space="preserve"> </w:t>
      </w:r>
      <w:r w:rsidR="000A7AAB">
        <w:t>elle</w:t>
      </w:r>
      <w:r w:rsidR="000A7AAB" w:rsidRPr="002C4077">
        <w:t xml:space="preserve"> </w:t>
      </w:r>
      <w:r w:rsidR="00425C50">
        <w:t>est</w:t>
      </w:r>
      <w:r w:rsidR="000A7AAB" w:rsidRPr="002C4077">
        <w:t xml:space="preserve"> </w:t>
      </w:r>
      <w:r w:rsidR="000A7AAB">
        <w:t>né</w:t>
      </w:r>
      <w:r w:rsidR="000A7AAB" w:rsidRPr="002C4077">
        <w:t xml:space="preserve"> </w:t>
      </w:r>
      <w:r w:rsidR="000A7AAB">
        <w:t>du</w:t>
      </w:r>
      <w:r w:rsidR="000A7AAB" w:rsidRPr="002C4077">
        <w:t xml:space="preserve"> </w:t>
      </w:r>
      <w:r w:rsidR="000A7AAB">
        <w:t>Saint-Esprit.</w:t>
      </w:r>
      <w:r w:rsidR="000A7AAB" w:rsidRPr="002C4077">
        <w:t xml:space="preserve"> </w:t>
      </w:r>
      <w:r w:rsidR="000A7AAB">
        <w:t>Elle</w:t>
      </w:r>
      <w:r w:rsidR="000A7AAB" w:rsidRPr="002C4077">
        <w:t xml:space="preserve"> </w:t>
      </w:r>
      <w:r w:rsidR="000A7AAB">
        <w:t>enfantera</w:t>
      </w:r>
      <w:r w:rsidR="000A7AAB" w:rsidRPr="002C4077">
        <w:t xml:space="preserve"> </w:t>
      </w:r>
      <w:r w:rsidR="000A7AAB">
        <w:t>un</w:t>
      </w:r>
      <w:r w:rsidR="000A7AAB" w:rsidRPr="002C4077">
        <w:t xml:space="preserve"> </w:t>
      </w:r>
      <w:r w:rsidR="000A7AAB">
        <w:t>fils,</w:t>
      </w:r>
      <w:r w:rsidR="000A7AAB" w:rsidRPr="002C4077">
        <w:t xml:space="preserve"> </w:t>
      </w:r>
      <w:r w:rsidR="000A7AAB">
        <w:t>et</w:t>
      </w:r>
      <w:r w:rsidR="000A7AAB" w:rsidRPr="002C4077">
        <w:t xml:space="preserve"> </w:t>
      </w:r>
      <w:r w:rsidR="000A7AAB">
        <w:t>tu</w:t>
      </w:r>
      <w:r w:rsidR="000A7AAB" w:rsidRPr="002C4077">
        <w:t xml:space="preserve"> </w:t>
      </w:r>
      <w:r w:rsidR="000A7AAB">
        <w:t>lui</w:t>
      </w:r>
      <w:r w:rsidR="000A7AAB" w:rsidRPr="002C4077">
        <w:t xml:space="preserve"> </w:t>
      </w:r>
      <w:r w:rsidR="000A7AAB">
        <w:t>donneras</w:t>
      </w:r>
      <w:r w:rsidR="000A7AAB" w:rsidRPr="002C4077">
        <w:t xml:space="preserve"> </w:t>
      </w:r>
      <w:r w:rsidR="000A7AAB">
        <w:t>le</w:t>
      </w:r>
      <w:r w:rsidR="000A7AAB" w:rsidRPr="002C4077">
        <w:t xml:space="preserve"> </w:t>
      </w:r>
      <w:r w:rsidR="000A7AAB">
        <w:t>nom</w:t>
      </w:r>
      <w:r w:rsidR="000A7AAB" w:rsidRPr="002C4077">
        <w:t xml:space="preserve"> </w:t>
      </w:r>
      <w:r w:rsidR="000A7AAB">
        <w:t>de</w:t>
      </w:r>
      <w:r w:rsidR="000A7AAB" w:rsidRPr="002C4077">
        <w:t xml:space="preserve"> </w:t>
      </w:r>
      <w:r w:rsidR="00425C50">
        <w:t>Jésus</w:t>
      </w:r>
      <w:r w:rsidR="000A7AAB">
        <w:t>,</w:t>
      </w:r>
      <w:r w:rsidR="000A7AAB" w:rsidRPr="002C4077">
        <w:t xml:space="preserve"> </w:t>
      </w:r>
      <w:r w:rsidR="000A7AAB">
        <w:t>car</w:t>
      </w:r>
      <w:r w:rsidR="000A7AAB" w:rsidRPr="002C4077">
        <w:t xml:space="preserve"> </w:t>
      </w:r>
      <w:r w:rsidR="000A7AAB">
        <w:t>il</w:t>
      </w:r>
      <w:r w:rsidR="000A7AAB" w:rsidRPr="002C4077">
        <w:t xml:space="preserve"> </w:t>
      </w:r>
      <w:r w:rsidR="000A7AAB">
        <w:t>sauvera</w:t>
      </w:r>
      <w:r w:rsidR="000A7AAB" w:rsidRPr="002C4077">
        <w:t xml:space="preserve"> </w:t>
      </w:r>
      <w:r w:rsidR="000A7AAB">
        <w:t>son</w:t>
      </w:r>
      <w:r w:rsidR="000A7AAB" w:rsidRPr="002C4077">
        <w:t xml:space="preserve"> </w:t>
      </w:r>
      <w:r w:rsidR="000A7AAB">
        <w:t>peuple</w:t>
      </w:r>
      <w:r w:rsidR="000A7AAB" w:rsidRPr="002C4077">
        <w:t xml:space="preserve"> </w:t>
      </w:r>
      <w:r w:rsidR="000A7AAB">
        <w:t>de</w:t>
      </w:r>
      <w:r w:rsidR="000A7AAB" w:rsidRPr="002C4077">
        <w:t xml:space="preserve"> </w:t>
      </w:r>
      <w:r w:rsidR="000A7AAB">
        <w:t>ses</w:t>
      </w:r>
      <w:r w:rsidR="000A7AAB" w:rsidRPr="002C4077">
        <w:t xml:space="preserve"> </w:t>
      </w:r>
      <w:r w:rsidR="000A7AAB">
        <w:t>péchés.</w:t>
      </w:r>
      <w:r w:rsidR="000A7AAB" w:rsidRPr="002C4077">
        <w:t xml:space="preserve"> </w:t>
      </w:r>
      <w:r w:rsidR="000A7AAB">
        <w:t>Or,</w:t>
      </w:r>
      <w:r w:rsidR="000A7AAB" w:rsidRPr="002C4077">
        <w:t xml:space="preserve"> </w:t>
      </w:r>
      <w:r w:rsidR="000A7AAB">
        <w:t>tout</w:t>
      </w:r>
      <w:r w:rsidR="000A7AAB" w:rsidRPr="002C4077">
        <w:t xml:space="preserve"> </w:t>
      </w:r>
      <w:r w:rsidR="000A7AAB">
        <w:t>cela</w:t>
      </w:r>
      <w:r w:rsidR="000A7AAB" w:rsidRPr="002C4077">
        <w:t xml:space="preserve"> </w:t>
      </w:r>
      <w:r w:rsidR="00425C50">
        <w:t>est</w:t>
      </w:r>
      <w:r w:rsidR="000A7AAB" w:rsidRPr="002C4077">
        <w:t xml:space="preserve"> </w:t>
      </w:r>
      <w:r w:rsidR="000A7AAB">
        <w:t>arrivé</w:t>
      </w:r>
      <w:r w:rsidR="000A7AAB" w:rsidRPr="002C4077">
        <w:t xml:space="preserve"> </w:t>
      </w:r>
      <w:r w:rsidR="000A7AAB">
        <w:t>afin</w:t>
      </w:r>
      <w:r w:rsidR="000A7AAB" w:rsidRPr="002C4077">
        <w:t xml:space="preserve"> </w:t>
      </w:r>
      <w:r w:rsidR="000A7AAB">
        <w:t>que</w:t>
      </w:r>
      <w:r w:rsidR="000A7AAB" w:rsidRPr="002C4077">
        <w:t xml:space="preserve"> </w:t>
      </w:r>
      <w:r w:rsidR="000A7AAB">
        <w:t>s’accomplît</w:t>
      </w:r>
      <w:r w:rsidR="000A7AAB" w:rsidRPr="002C4077">
        <w:t xml:space="preserve"> </w:t>
      </w:r>
      <w:r w:rsidR="000A7AAB">
        <w:t>ce</w:t>
      </w:r>
      <w:r w:rsidR="000A7AAB" w:rsidRPr="002C4077">
        <w:t xml:space="preserve"> </w:t>
      </w:r>
      <w:r w:rsidR="000A7AAB">
        <w:t>qu’avait</w:t>
      </w:r>
      <w:r w:rsidR="000A7AAB" w:rsidRPr="002C4077">
        <w:t xml:space="preserve"> </w:t>
      </w:r>
      <w:r w:rsidR="000A7AAB">
        <w:t>dit</w:t>
      </w:r>
      <w:r w:rsidR="000A7AAB" w:rsidRPr="002C4077">
        <w:t xml:space="preserve"> </w:t>
      </w:r>
      <w:r w:rsidR="000A7AAB">
        <w:t>le</w:t>
      </w:r>
      <w:r w:rsidR="000A7AAB" w:rsidRPr="002C4077">
        <w:t xml:space="preserve"> </w:t>
      </w:r>
      <w:r w:rsidR="000A7AAB">
        <w:t>Seigneur</w:t>
      </w:r>
      <w:r w:rsidR="000A7AAB" w:rsidRPr="002C4077">
        <w:t xml:space="preserve"> </w:t>
      </w:r>
      <w:r w:rsidR="000A7AAB">
        <w:t>par</w:t>
      </w:r>
      <w:r w:rsidR="000A7AAB" w:rsidRPr="002C4077">
        <w:t xml:space="preserve"> </w:t>
      </w:r>
      <w:r w:rsidR="000A7AAB">
        <w:t>le</w:t>
      </w:r>
      <w:r w:rsidR="000A7AAB" w:rsidRPr="002C4077">
        <w:t xml:space="preserve"> </w:t>
      </w:r>
      <w:r w:rsidR="000A7AAB">
        <w:t>prophète</w:t>
      </w:r>
      <w:r>
        <w:t> :</w:t>
      </w:r>
      <w:r w:rsidR="000A7AAB" w:rsidRPr="002C4077">
        <w:t xml:space="preserve"> </w:t>
      </w:r>
      <w:r w:rsidR="000A7AAB">
        <w:t>Voici,</w:t>
      </w:r>
      <w:r w:rsidR="000A7AAB" w:rsidRPr="002C4077">
        <w:t xml:space="preserve"> </w:t>
      </w:r>
      <w:r w:rsidR="000A7AAB">
        <w:t>la</w:t>
      </w:r>
      <w:r w:rsidR="000A7AAB" w:rsidRPr="002C4077">
        <w:t xml:space="preserve"> </w:t>
      </w:r>
      <w:r w:rsidR="000A7AAB">
        <w:t>Vierge</w:t>
      </w:r>
      <w:r w:rsidR="000A7AAB" w:rsidRPr="002C4077">
        <w:t xml:space="preserve"> </w:t>
      </w:r>
      <w:r w:rsidR="000A7AAB">
        <w:t>concevra</w:t>
      </w:r>
      <w:r w:rsidR="000A7AAB" w:rsidRPr="002C4077">
        <w:t xml:space="preserve"> </w:t>
      </w:r>
      <w:r w:rsidR="000A7AAB">
        <w:t>et</w:t>
      </w:r>
      <w:r w:rsidR="000A7AAB" w:rsidRPr="002C4077">
        <w:t xml:space="preserve"> </w:t>
      </w:r>
      <w:r w:rsidR="000A7AAB">
        <w:t>enfantera</w:t>
      </w:r>
      <w:r w:rsidR="000A7AAB" w:rsidRPr="002C4077">
        <w:t xml:space="preserve"> </w:t>
      </w:r>
      <w:r w:rsidR="000A7AAB">
        <w:t>un</w:t>
      </w:r>
      <w:r w:rsidR="000A7AAB" w:rsidRPr="002C4077">
        <w:t xml:space="preserve"> </w:t>
      </w:r>
      <w:r w:rsidR="000A7AAB">
        <w:t>fils,</w:t>
      </w:r>
      <w:r w:rsidR="000A7AAB" w:rsidRPr="002C4077">
        <w:t xml:space="preserve"> </w:t>
      </w:r>
      <w:r w:rsidR="000A7AAB">
        <w:t>et</w:t>
      </w:r>
      <w:r w:rsidR="000A7AAB" w:rsidRPr="002C4077">
        <w:t xml:space="preserve"> </w:t>
      </w:r>
      <w:r w:rsidR="000A7AAB">
        <w:t>on</w:t>
      </w:r>
      <w:r w:rsidR="000A7AAB" w:rsidRPr="002C4077">
        <w:t xml:space="preserve"> </w:t>
      </w:r>
      <w:r w:rsidR="000A7AAB">
        <w:t>le</w:t>
      </w:r>
      <w:r w:rsidR="000A7AAB" w:rsidRPr="002C4077">
        <w:t xml:space="preserve"> </w:t>
      </w:r>
      <w:r w:rsidR="000A7AAB">
        <w:t>nommera</w:t>
      </w:r>
      <w:r w:rsidR="000A7AAB" w:rsidRPr="002C4077">
        <w:t xml:space="preserve"> </w:t>
      </w:r>
      <w:r w:rsidR="000A7AAB">
        <w:t>Emmanuel,</w:t>
      </w:r>
      <w:r w:rsidR="000A7AAB" w:rsidRPr="002C4077">
        <w:t xml:space="preserve"> </w:t>
      </w:r>
      <w:r w:rsidR="000A7AAB">
        <w:t>ce</w:t>
      </w:r>
      <w:r w:rsidR="000A7AAB" w:rsidRPr="002C4077">
        <w:t xml:space="preserve"> </w:t>
      </w:r>
      <w:r w:rsidR="000A7AAB">
        <w:t>qui</w:t>
      </w:r>
      <w:r w:rsidR="000A7AAB" w:rsidRPr="002C4077">
        <w:t xml:space="preserve"> </w:t>
      </w:r>
      <w:r w:rsidR="000A7AAB">
        <w:t>signifie</w:t>
      </w:r>
      <w:r>
        <w:t> :</w:t>
      </w:r>
      <w:r w:rsidR="000A7AAB" w:rsidRPr="002C4077">
        <w:t xml:space="preserve"> </w:t>
      </w:r>
      <w:r w:rsidR="000A7AAB">
        <w:t>Dieu</w:t>
      </w:r>
      <w:r w:rsidR="000A7AAB" w:rsidRPr="002C4077">
        <w:t xml:space="preserve"> </w:t>
      </w:r>
      <w:r w:rsidR="000A7AAB">
        <w:t>avec</w:t>
      </w:r>
      <w:r w:rsidR="000A7AAB" w:rsidRPr="002C4077">
        <w:t xml:space="preserve"> </w:t>
      </w:r>
      <w:r w:rsidR="000A7AAB">
        <w:t>nous</w:t>
      </w:r>
      <w:r w:rsidR="00B91AF7">
        <w:rPr>
          <w:rStyle w:val="Appelnotedebasdep"/>
        </w:rPr>
        <w:footnoteReference w:id="104"/>
      </w:r>
      <w:r>
        <w:t> »</w:t>
      </w:r>
      <w:r w:rsidR="000A7AAB">
        <w:t>.</w:t>
      </w:r>
      <w:r w:rsidR="000A7AAB" w:rsidRPr="002C4077">
        <w:t xml:space="preserve"> </w:t>
      </w:r>
    </w:p>
    <w:p w:rsidR="000A7AAB" w:rsidRDefault="000A7AAB" w:rsidP="000A7AAB">
      <w:r>
        <w:t>Donc</w:t>
      </w:r>
      <w:r w:rsidRPr="002C4077">
        <w:t xml:space="preserve"> </w:t>
      </w:r>
      <w:r>
        <w:t>le</w:t>
      </w:r>
      <w:r w:rsidRPr="002C4077">
        <w:t xml:space="preserve"> </w:t>
      </w:r>
      <w:r>
        <w:t>mot</w:t>
      </w:r>
      <w:r w:rsidRPr="002C4077">
        <w:t xml:space="preserve"> </w:t>
      </w:r>
      <w:r w:rsidR="00D40830" w:rsidRPr="00D05EA9">
        <w:rPr>
          <w:rStyle w:val="italicus"/>
        </w:rPr>
        <w:t>῾almah</w:t>
      </w:r>
      <w:r w:rsidRPr="002C4077">
        <w:t xml:space="preserve"> </w:t>
      </w:r>
      <w:r>
        <w:t>désigne</w:t>
      </w:r>
      <w:r w:rsidRPr="002C4077">
        <w:t xml:space="preserve"> </w:t>
      </w:r>
      <w:r>
        <w:t>la</w:t>
      </w:r>
      <w:r w:rsidRPr="002C4077">
        <w:t xml:space="preserve"> </w:t>
      </w:r>
      <w:r>
        <w:t>vierge</w:t>
      </w:r>
      <w:r w:rsidRPr="002C4077">
        <w:t xml:space="preserve"> </w:t>
      </w:r>
      <w:r>
        <w:t>Marie,</w:t>
      </w:r>
      <w:r w:rsidRPr="002C4077">
        <w:t xml:space="preserve"> </w:t>
      </w:r>
      <w:r>
        <w:t>mère</w:t>
      </w:r>
      <w:r w:rsidRPr="002C4077">
        <w:t xml:space="preserve"> </w:t>
      </w:r>
      <w:r>
        <w:t>de</w:t>
      </w:r>
      <w:r w:rsidRPr="002C4077">
        <w:t xml:space="preserve"> </w:t>
      </w:r>
      <w:r w:rsidR="00425C50">
        <w:t>Jésus</w:t>
      </w:r>
      <w:r w:rsidR="00B546AF">
        <w:t> :</w:t>
      </w:r>
      <w:r w:rsidRPr="002C4077">
        <w:t xml:space="preserve"> </w:t>
      </w:r>
      <w:r>
        <w:t>conclusion</w:t>
      </w:r>
      <w:r w:rsidRPr="002C4077">
        <w:t xml:space="preserve"> </w:t>
      </w:r>
      <w:r>
        <w:t>d’ailleurs</w:t>
      </w:r>
      <w:r w:rsidRPr="002C4077">
        <w:t xml:space="preserve"> </w:t>
      </w:r>
      <w:r>
        <w:t>suffisamment</w:t>
      </w:r>
      <w:r w:rsidRPr="002C4077">
        <w:t xml:space="preserve"> </w:t>
      </w:r>
      <w:r>
        <w:t>évidente</w:t>
      </w:r>
      <w:r w:rsidRPr="002C4077">
        <w:t xml:space="preserve"> </w:t>
      </w:r>
      <w:r>
        <w:t>d’après</w:t>
      </w:r>
      <w:r w:rsidRPr="002C4077">
        <w:t xml:space="preserve"> </w:t>
      </w:r>
      <w:r>
        <w:t>le</w:t>
      </w:r>
      <w:r w:rsidRPr="002C4077">
        <w:t xml:space="preserve"> </w:t>
      </w:r>
      <w:r>
        <w:t>paragraphe</w:t>
      </w:r>
      <w:r w:rsidRPr="002C4077">
        <w:t xml:space="preserve"> </w:t>
      </w:r>
      <w:r>
        <w:t>qui</w:t>
      </w:r>
      <w:r w:rsidRPr="002C4077">
        <w:t xml:space="preserve"> </w:t>
      </w:r>
      <w:r>
        <w:t>précède</w:t>
      </w:r>
      <w:r w:rsidR="00B546AF">
        <w:t> ;</w:t>
      </w:r>
      <w:r w:rsidRPr="002C4077">
        <w:t xml:space="preserve"> </w:t>
      </w:r>
      <w:r>
        <w:t>donc</w:t>
      </w:r>
      <w:r w:rsidRPr="002C4077">
        <w:t xml:space="preserve"> </w:t>
      </w:r>
      <w:r w:rsidR="00D40830" w:rsidRPr="00D05EA9">
        <w:rPr>
          <w:rStyle w:val="italicus"/>
        </w:rPr>
        <w:t>῾almah</w:t>
      </w:r>
      <w:r w:rsidRPr="002C4077">
        <w:t xml:space="preserve"> </w:t>
      </w:r>
      <w:r>
        <w:t>signifie</w:t>
      </w:r>
      <w:r w:rsidRPr="002C4077">
        <w:t xml:space="preserve"> </w:t>
      </w:r>
      <w:r w:rsidR="00B546AF">
        <w:t>« </w:t>
      </w:r>
      <w:r>
        <w:t>vierge</w:t>
      </w:r>
      <w:r w:rsidR="00B546AF">
        <w:t> »</w:t>
      </w:r>
      <w:r w:rsidRPr="002C4077">
        <w:t xml:space="preserve"> </w:t>
      </w:r>
      <w:r>
        <w:t>dans</w:t>
      </w:r>
      <w:r w:rsidRPr="002C4077">
        <w:t xml:space="preserve"> </w:t>
      </w:r>
      <w:r>
        <w:t>le</w:t>
      </w:r>
      <w:r w:rsidRPr="002C4077">
        <w:t xml:space="preserve"> </w:t>
      </w:r>
      <w:r>
        <w:t>sens</w:t>
      </w:r>
      <w:r w:rsidRPr="002C4077">
        <w:t xml:space="preserve"> </w:t>
      </w:r>
      <w:r>
        <w:t>strict.</w:t>
      </w:r>
      <w:r w:rsidRPr="002C4077">
        <w:t xml:space="preserve"> </w:t>
      </w:r>
    </w:p>
    <w:p w:rsidR="000A7AAB" w:rsidRDefault="000A7AAB" w:rsidP="000A7AAB">
      <w:r>
        <w:t>Ce</w:t>
      </w:r>
      <w:r w:rsidRPr="002C4077">
        <w:t xml:space="preserve"> </w:t>
      </w:r>
      <w:r>
        <w:t>qu’était</w:t>
      </w:r>
      <w:r w:rsidRPr="002C4077">
        <w:t xml:space="preserve"> </w:t>
      </w:r>
      <w:r>
        <w:t>relativement</w:t>
      </w:r>
      <w:r w:rsidRPr="002C4077">
        <w:t xml:space="preserve"> </w:t>
      </w:r>
      <w:r>
        <w:t>à</w:t>
      </w:r>
      <w:r w:rsidRPr="002C4077">
        <w:t xml:space="preserve"> </w:t>
      </w:r>
      <w:r>
        <w:t>Emmanuel</w:t>
      </w:r>
      <w:r w:rsidRPr="002C4077">
        <w:t xml:space="preserve"> </w:t>
      </w:r>
      <w:r>
        <w:t>le</w:t>
      </w:r>
      <w:r w:rsidRPr="002C4077">
        <w:t xml:space="preserve"> </w:t>
      </w:r>
      <w:r>
        <w:t>contexte</w:t>
      </w:r>
      <w:r w:rsidRPr="002C4077">
        <w:t xml:space="preserve"> </w:t>
      </w:r>
      <w:r>
        <w:t>de</w:t>
      </w:r>
      <w:r w:rsidRPr="002C4077">
        <w:t xml:space="preserve"> </w:t>
      </w:r>
      <w:r>
        <w:t>la</w:t>
      </w:r>
      <w:r w:rsidRPr="002C4077">
        <w:t xml:space="preserve"> </w:t>
      </w:r>
      <w:r>
        <w:t>prophétie,</w:t>
      </w:r>
      <w:r w:rsidRPr="002C4077">
        <w:t xml:space="preserve"> </w:t>
      </w:r>
      <w:r>
        <w:t>c’est-à-dire</w:t>
      </w:r>
      <w:r w:rsidRPr="002C4077">
        <w:t xml:space="preserve"> </w:t>
      </w:r>
      <w:r>
        <w:t>l’explication</w:t>
      </w:r>
      <w:r w:rsidRPr="002C4077">
        <w:t xml:space="preserve"> </w:t>
      </w:r>
      <w:r>
        <w:t>donnée</w:t>
      </w:r>
      <w:r w:rsidRPr="002C4077">
        <w:t xml:space="preserve"> </w:t>
      </w:r>
      <w:r>
        <w:t>par</w:t>
      </w:r>
      <w:r w:rsidRPr="002C4077">
        <w:t xml:space="preserve"> </w:t>
      </w:r>
      <w:r>
        <w:t>le</w:t>
      </w:r>
      <w:r w:rsidRPr="002C4077">
        <w:t xml:space="preserve"> </w:t>
      </w:r>
      <w:r>
        <w:t>prophète</w:t>
      </w:r>
      <w:r w:rsidRPr="002C4077">
        <w:t xml:space="preserve"> </w:t>
      </w:r>
      <w:r>
        <w:t>lui-même,</w:t>
      </w:r>
      <w:r w:rsidRPr="002C4077">
        <w:t xml:space="preserve"> </w:t>
      </w:r>
      <w:r>
        <w:t>cette</w:t>
      </w:r>
      <w:r w:rsidRPr="002C4077">
        <w:t xml:space="preserve"> </w:t>
      </w:r>
      <w:r>
        <w:t>citation</w:t>
      </w:r>
      <w:r w:rsidRPr="002C4077">
        <w:t xml:space="preserve"> </w:t>
      </w:r>
      <w:r>
        <w:t>de</w:t>
      </w:r>
      <w:r w:rsidRPr="002C4077">
        <w:t xml:space="preserve"> </w:t>
      </w:r>
      <w:r>
        <w:t>notre</w:t>
      </w:r>
      <w:r w:rsidRPr="002C4077">
        <w:t xml:space="preserve"> </w:t>
      </w:r>
      <w:r>
        <w:t>oracle</w:t>
      </w:r>
      <w:r w:rsidRPr="002C4077">
        <w:t xml:space="preserve"> </w:t>
      </w:r>
      <w:r>
        <w:t>par</w:t>
      </w:r>
      <w:r w:rsidRPr="002C4077">
        <w:t xml:space="preserve"> </w:t>
      </w:r>
      <w:r>
        <w:t>saint</w:t>
      </w:r>
      <w:r w:rsidRPr="002C4077">
        <w:t xml:space="preserve"> </w:t>
      </w:r>
      <w:r w:rsidR="00425C50">
        <w:t>Matth</w:t>
      </w:r>
      <w:r>
        <w:t>ieu</w:t>
      </w:r>
      <w:r w:rsidRPr="002C4077">
        <w:t xml:space="preserve"> </w:t>
      </w:r>
      <w:r>
        <w:t>l’est</w:t>
      </w:r>
      <w:r w:rsidRPr="002C4077">
        <w:t xml:space="preserve"> </w:t>
      </w:r>
      <w:r>
        <w:t>relativement</w:t>
      </w:r>
      <w:r w:rsidRPr="002C4077">
        <w:t xml:space="preserve"> </w:t>
      </w:r>
      <w:r>
        <w:t>à</w:t>
      </w:r>
      <w:r w:rsidRPr="002C4077">
        <w:t xml:space="preserve"> </w:t>
      </w:r>
      <w:r w:rsidR="00D40830" w:rsidRPr="00D40830">
        <w:t>l’</w:t>
      </w:r>
      <w:r w:rsidR="00D40830" w:rsidRPr="00D05EA9">
        <w:rPr>
          <w:rStyle w:val="italicus"/>
        </w:rPr>
        <w:t>῾almah</w:t>
      </w:r>
      <w:r w:rsidRPr="000A34B5">
        <w:rPr>
          <w:rStyle w:val="italicus"/>
        </w:rPr>
        <w:t>.</w:t>
      </w:r>
      <w:r w:rsidRPr="002C4077">
        <w:t xml:space="preserve"> </w:t>
      </w:r>
      <w:r>
        <w:t>De</w:t>
      </w:r>
      <w:r w:rsidRPr="002C4077">
        <w:t xml:space="preserve"> </w:t>
      </w:r>
      <w:r>
        <w:t>part</w:t>
      </w:r>
      <w:r w:rsidRPr="002C4077">
        <w:t xml:space="preserve"> </w:t>
      </w:r>
      <w:r>
        <w:t>et</w:t>
      </w:r>
      <w:r w:rsidRPr="002C4077">
        <w:t xml:space="preserve"> </w:t>
      </w:r>
      <w:r>
        <w:t>d’autre,</w:t>
      </w:r>
      <w:r w:rsidRPr="002C4077">
        <w:t xml:space="preserve"> </w:t>
      </w:r>
      <w:r>
        <w:t>nous</w:t>
      </w:r>
      <w:r w:rsidRPr="002C4077">
        <w:t xml:space="preserve"> </w:t>
      </w:r>
      <w:r>
        <w:t>avons</w:t>
      </w:r>
      <w:r w:rsidRPr="002C4077">
        <w:t xml:space="preserve"> </w:t>
      </w:r>
      <w:r>
        <w:t>une</w:t>
      </w:r>
      <w:r w:rsidRPr="002C4077">
        <w:t xml:space="preserve"> </w:t>
      </w:r>
      <w:r>
        <w:t>interprétation</w:t>
      </w:r>
      <w:r w:rsidRPr="002C4077">
        <w:t xml:space="preserve"> </w:t>
      </w:r>
      <w:r>
        <w:t>authentique</w:t>
      </w:r>
      <w:r w:rsidRPr="002C4077">
        <w:t xml:space="preserve"> </w:t>
      </w:r>
      <w:r>
        <w:t>et</w:t>
      </w:r>
      <w:r w:rsidRPr="002C4077">
        <w:t xml:space="preserve"> </w:t>
      </w:r>
      <w:r>
        <w:t>irrésistible,</w:t>
      </w:r>
      <w:r w:rsidRPr="002C4077">
        <w:t xml:space="preserve"> </w:t>
      </w:r>
      <w:r>
        <w:t>soit</w:t>
      </w:r>
      <w:r w:rsidRPr="002C4077">
        <w:t xml:space="preserve"> </w:t>
      </w:r>
      <w:r>
        <w:t>pour</w:t>
      </w:r>
      <w:r w:rsidRPr="002C4077">
        <w:t xml:space="preserve"> </w:t>
      </w:r>
      <w:r>
        <w:t>les</w:t>
      </w:r>
      <w:r w:rsidRPr="002C4077">
        <w:t xml:space="preserve"> </w:t>
      </w:r>
      <w:r>
        <w:t>croyants,</w:t>
      </w:r>
      <w:r w:rsidRPr="002C4077">
        <w:t xml:space="preserve"> </w:t>
      </w:r>
      <w:r>
        <w:t>soit</w:t>
      </w:r>
      <w:r w:rsidRPr="002C4077">
        <w:t xml:space="preserve"> </w:t>
      </w:r>
      <w:r>
        <w:t>pour</w:t>
      </w:r>
      <w:r w:rsidRPr="002C4077">
        <w:t xml:space="preserve"> </w:t>
      </w:r>
      <w:r>
        <w:t>les</w:t>
      </w:r>
      <w:r w:rsidRPr="002C4077">
        <w:t xml:space="preserve"> </w:t>
      </w:r>
      <w:r>
        <w:t>incrédules.</w:t>
      </w:r>
      <w:r w:rsidRPr="002C4077">
        <w:t xml:space="preserve"> </w:t>
      </w:r>
      <w:r>
        <w:t>Pour</w:t>
      </w:r>
      <w:r w:rsidRPr="002C4077">
        <w:t xml:space="preserve"> </w:t>
      </w:r>
      <w:r>
        <w:t>les</w:t>
      </w:r>
      <w:r w:rsidRPr="002C4077">
        <w:t xml:space="preserve"> </w:t>
      </w:r>
      <w:r>
        <w:t>croyants,</w:t>
      </w:r>
      <w:r w:rsidRPr="002C4077">
        <w:t xml:space="preserve"> </w:t>
      </w:r>
      <w:r>
        <w:t>puisqu’ils</w:t>
      </w:r>
      <w:r w:rsidRPr="002C4077">
        <w:t xml:space="preserve"> </w:t>
      </w:r>
      <w:r>
        <w:t>admettent</w:t>
      </w:r>
      <w:r w:rsidRPr="002C4077">
        <w:t xml:space="preserve"> </w:t>
      </w:r>
      <w:r>
        <w:t>que</w:t>
      </w:r>
      <w:r w:rsidRPr="002C4077">
        <w:t xml:space="preserve"> </w:t>
      </w:r>
      <w:r>
        <w:t>les</w:t>
      </w:r>
      <w:r w:rsidRPr="002C4077">
        <w:t xml:space="preserve"> </w:t>
      </w:r>
      <w:r>
        <w:t>écrivains</w:t>
      </w:r>
      <w:r w:rsidRPr="002C4077">
        <w:t xml:space="preserve"> </w:t>
      </w:r>
      <w:r>
        <w:t>sacrés</w:t>
      </w:r>
      <w:r w:rsidRPr="002C4077">
        <w:t xml:space="preserve"> </w:t>
      </w:r>
      <w:r>
        <w:t>ont</w:t>
      </w:r>
      <w:r w:rsidRPr="002C4077">
        <w:t xml:space="preserve"> </w:t>
      </w:r>
      <w:r>
        <w:t>été</w:t>
      </w:r>
      <w:r w:rsidRPr="002C4077">
        <w:t xml:space="preserve"> </w:t>
      </w:r>
      <w:r>
        <w:t>inspirés</w:t>
      </w:r>
      <w:r w:rsidRPr="002C4077">
        <w:t xml:space="preserve"> </w:t>
      </w:r>
      <w:r>
        <w:t>d’en</w:t>
      </w:r>
      <w:r w:rsidRPr="002C4077">
        <w:t xml:space="preserve"> </w:t>
      </w:r>
      <w:r>
        <w:t>haut</w:t>
      </w:r>
      <w:r w:rsidR="00B546AF">
        <w:t> ;</w:t>
      </w:r>
      <w:r w:rsidR="00C45B47">
        <w:t xml:space="preserve"> {</w:t>
      </w:r>
      <w:r w:rsidR="000721C4">
        <w:t>39</w:t>
      </w:r>
      <w:bookmarkStart w:id="145" w:name="p039"/>
      <w:bookmarkEnd w:id="145"/>
      <w:r w:rsidR="000721C4">
        <w:t xml:space="preserve">} </w:t>
      </w:r>
      <w:r>
        <w:t>pour</w:t>
      </w:r>
      <w:r w:rsidRPr="002C4077">
        <w:t xml:space="preserve"> </w:t>
      </w:r>
      <w:r>
        <w:t>les</w:t>
      </w:r>
      <w:r w:rsidRPr="002C4077">
        <w:t xml:space="preserve"> </w:t>
      </w:r>
      <w:r>
        <w:t>incrédules,</w:t>
      </w:r>
      <w:r w:rsidRPr="002C4077">
        <w:t xml:space="preserve"> </w:t>
      </w:r>
      <w:r>
        <w:t>car,</w:t>
      </w:r>
      <w:r w:rsidRPr="002C4077">
        <w:t xml:space="preserve"> </w:t>
      </w:r>
      <w:r>
        <w:t>à</w:t>
      </w:r>
      <w:r w:rsidRPr="002C4077">
        <w:t xml:space="preserve"> </w:t>
      </w:r>
      <w:r>
        <w:t>ne</w:t>
      </w:r>
      <w:r w:rsidRPr="002C4077">
        <w:t xml:space="preserve"> </w:t>
      </w:r>
      <w:r>
        <w:t>pre</w:t>
      </w:r>
      <w:r w:rsidR="004377BC">
        <w:t>ndre</w:t>
      </w:r>
      <w:r w:rsidR="004377BC" w:rsidRPr="002C4077">
        <w:t xml:space="preserve"> </w:t>
      </w:r>
      <w:r w:rsidR="004377BC">
        <w:t>saint</w:t>
      </w:r>
      <w:r w:rsidR="004377BC" w:rsidRPr="002C4077">
        <w:t xml:space="preserve"> </w:t>
      </w:r>
      <w:r w:rsidR="00425C50">
        <w:t>Matth</w:t>
      </w:r>
      <w:r w:rsidR="004377BC">
        <w:t>ieu</w:t>
      </w:r>
      <w:r w:rsidR="004377BC" w:rsidRPr="002C4077">
        <w:t xml:space="preserve"> </w:t>
      </w:r>
      <w:r w:rsidR="004377BC">
        <w:t>que</w:t>
      </w:r>
      <w:r w:rsidR="004377BC" w:rsidRPr="002C4077">
        <w:t xml:space="preserve"> </w:t>
      </w:r>
      <w:r w:rsidR="004377BC">
        <w:t>comme</w:t>
      </w:r>
      <w:r w:rsidR="004377BC" w:rsidRPr="002C4077">
        <w:t xml:space="preserve"> </w:t>
      </w:r>
      <w:r w:rsidR="004377BC">
        <w:t>un</w:t>
      </w:r>
      <w:r w:rsidRPr="002C4077">
        <w:t xml:space="preserve"> </w:t>
      </w:r>
      <w:r>
        <w:t>historien</w:t>
      </w:r>
      <w:r w:rsidRPr="002C4077">
        <w:t xml:space="preserve"> </w:t>
      </w:r>
      <w:r>
        <w:t>ordinaire,</w:t>
      </w:r>
      <w:r w:rsidRPr="002C4077">
        <w:t xml:space="preserve"> </w:t>
      </w:r>
      <w:r>
        <w:t>il</w:t>
      </w:r>
      <w:r w:rsidRPr="002C4077">
        <w:t xml:space="preserve"> </w:t>
      </w:r>
      <w:r w:rsidR="00425C50">
        <w:t>est</w:t>
      </w:r>
      <w:r w:rsidRPr="002C4077">
        <w:t xml:space="preserve"> </w:t>
      </w:r>
      <w:r>
        <w:t>certain,</w:t>
      </w:r>
      <w:r w:rsidRPr="002C4077">
        <w:t xml:space="preserve"> </w:t>
      </w:r>
      <w:r>
        <w:t>dès</w:t>
      </w:r>
      <w:r w:rsidRPr="002C4077">
        <w:t xml:space="preserve"> </w:t>
      </w:r>
      <w:r>
        <w:t>là</w:t>
      </w:r>
      <w:r w:rsidRPr="002C4077">
        <w:t xml:space="preserve"> </w:t>
      </w:r>
      <w:r>
        <w:t>qu’il</w:t>
      </w:r>
      <w:r w:rsidRPr="002C4077">
        <w:t xml:space="preserve"> </w:t>
      </w:r>
      <w:r>
        <w:t>s’adressait</w:t>
      </w:r>
      <w:r w:rsidRPr="002C4077">
        <w:t xml:space="preserve"> </w:t>
      </w:r>
      <w:r>
        <w:t>aux</w:t>
      </w:r>
      <w:r w:rsidRPr="002C4077">
        <w:t xml:space="preserve"> </w:t>
      </w:r>
      <w:r>
        <w:t>Juifs,</w:t>
      </w:r>
      <w:r w:rsidRPr="002C4077">
        <w:t xml:space="preserve"> </w:t>
      </w:r>
      <w:r>
        <w:t>avec</w:t>
      </w:r>
      <w:r w:rsidRPr="002C4077">
        <w:t xml:space="preserve"> </w:t>
      </w:r>
      <w:r>
        <w:t>l’intention</w:t>
      </w:r>
      <w:r w:rsidRPr="002C4077">
        <w:t xml:space="preserve"> </w:t>
      </w:r>
      <w:r>
        <w:t>de</w:t>
      </w:r>
      <w:r w:rsidRPr="002C4077">
        <w:t xml:space="preserve"> </w:t>
      </w:r>
      <w:r>
        <w:t>leur</w:t>
      </w:r>
      <w:r w:rsidRPr="002C4077">
        <w:t xml:space="preserve"> </w:t>
      </w:r>
      <w:r>
        <w:t>prouver</w:t>
      </w:r>
      <w:r w:rsidRPr="002C4077">
        <w:t xml:space="preserve"> </w:t>
      </w:r>
      <w:r>
        <w:t>le</w:t>
      </w:r>
      <w:r w:rsidRPr="002C4077">
        <w:t xml:space="preserve"> </w:t>
      </w:r>
      <w:r>
        <w:t>caractère</w:t>
      </w:r>
      <w:r w:rsidRPr="002C4077">
        <w:t xml:space="preserve"> </w:t>
      </w:r>
      <w:r>
        <w:t>messianique</w:t>
      </w:r>
      <w:r w:rsidRPr="002C4077">
        <w:t xml:space="preserve"> </w:t>
      </w:r>
      <w:r>
        <w:t>de</w:t>
      </w:r>
      <w:r w:rsidRPr="002C4077">
        <w:t xml:space="preserve"> </w:t>
      </w:r>
      <w:r w:rsidR="00425C50">
        <w:t>Jésus</w:t>
      </w:r>
      <w:r>
        <w:t>,</w:t>
      </w:r>
      <w:r w:rsidRPr="002C4077">
        <w:t xml:space="preserve"> </w:t>
      </w:r>
      <w:r>
        <w:t>il</w:t>
      </w:r>
      <w:r w:rsidRPr="002C4077">
        <w:t xml:space="preserve"> </w:t>
      </w:r>
      <w:r w:rsidR="00425C50">
        <w:t>est</w:t>
      </w:r>
      <w:r w:rsidRPr="002C4077">
        <w:t xml:space="preserve"> </w:t>
      </w:r>
      <w:r>
        <w:t>certain,</w:t>
      </w:r>
      <w:r w:rsidRPr="002C4077">
        <w:t xml:space="preserve"> </w:t>
      </w:r>
      <w:r>
        <w:t>disons-nous,</w:t>
      </w:r>
      <w:r w:rsidRPr="002C4077">
        <w:t xml:space="preserve"> </w:t>
      </w:r>
      <w:r>
        <w:t>qu’il</w:t>
      </w:r>
      <w:r w:rsidRPr="002C4077">
        <w:t xml:space="preserve"> </w:t>
      </w:r>
      <w:r>
        <w:t>n’aura</w:t>
      </w:r>
      <w:r w:rsidRPr="002C4077">
        <w:t xml:space="preserve"> </w:t>
      </w:r>
      <w:r>
        <w:t>pas</w:t>
      </w:r>
      <w:r w:rsidRPr="002C4077">
        <w:t xml:space="preserve"> </w:t>
      </w:r>
      <w:r>
        <w:t>gâté</w:t>
      </w:r>
      <w:r w:rsidRPr="002C4077">
        <w:t xml:space="preserve"> </w:t>
      </w:r>
      <w:r>
        <w:t>sa</w:t>
      </w:r>
      <w:r w:rsidRPr="002C4077">
        <w:t xml:space="preserve"> </w:t>
      </w:r>
      <w:r>
        <w:t>cause</w:t>
      </w:r>
      <w:r w:rsidRPr="002C4077">
        <w:t xml:space="preserve"> </w:t>
      </w:r>
      <w:r>
        <w:t>à</w:t>
      </w:r>
      <w:r w:rsidRPr="002C4077">
        <w:t xml:space="preserve"> </w:t>
      </w:r>
      <w:r>
        <w:t>la</w:t>
      </w:r>
      <w:r w:rsidRPr="002C4077">
        <w:t xml:space="preserve"> </w:t>
      </w:r>
      <w:r>
        <w:t>première</w:t>
      </w:r>
      <w:r w:rsidRPr="002C4077">
        <w:t xml:space="preserve"> </w:t>
      </w:r>
      <w:r>
        <w:t>page</w:t>
      </w:r>
      <w:r w:rsidRPr="002C4077">
        <w:t xml:space="preserve"> </w:t>
      </w:r>
      <w:r>
        <w:t>de</w:t>
      </w:r>
      <w:r w:rsidRPr="002C4077">
        <w:t xml:space="preserve"> </w:t>
      </w:r>
      <w:r>
        <w:t>sa</w:t>
      </w:r>
      <w:r w:rsidRPr="002C4077">
        <w:t xml:space="preserve"> </w:t>
      </w:r>
      <w:r>
        <w:t>plaidoirie,</w:t>
      </w:r>
      <w:r w:rsidRPr="002C4077">
        <w:t xml:space="preserve"> </w:t>
      </w:r>
      <w:r>
        <w:t>en</w:t>
      </w:r>
      <w:r w:rsidRPr="002C4077">
        <w:t xml:space="preserve"> </w:t>
      </w:r>
      <w:r>
        <w:t>attribuant</w:t>
      </w:r>
      <w:r w:rsidRPr="002C4077">
        <w:t xml:space="preserve"> </w:t>
      </w:r>
      <w:r>
        <w:t>aux</w:t>
      </w:r>
      <w:r w:rsidRPr="002C4077">
        <w:t xml:space="preserve"> </w:t>
      </w:r>
      <w:r>
        <w:t>paroles</w:t>
      </w:r>
      <w:r w:rsidRPr="002C4077">
        <w:t xml:space="preserve"> </w:t>
      </w:r>
      <w:r>
        <w:t>d’Isaïe</w:t>
      </w:r>
      <w:r w:rsidRPr="002C4077">
        <w:t xml:space="preserve"> </w:t>
      </w:r>
      <w:r>
        <w:t>un</w:t>
      </w:r>
      <w:r w:rsidRPr="002C4077">
        <w:t xml:space="preserve"> </w:t>
      </w:r>
      <w:r>
        <w:t>sens</w:t>
      </w:r>
      <w:r w:rsidRPr="002C4077">
        <w:t xml:space="preserve"> </w:t>
      </w:r>
      <w:r>
        <w:t>qui</w:t>
      </w:r>
      <w:r w:rsidRPr="002C4077">
        <w:t xml:space="preserve"> </w:t>
      </w:r>
      <w:r>
        <w:t>n’aurait</w:t>
      </w:r>
      <w:r w:rsidRPr="002C4077">
        <w:t xml:space="preserve"> </w:t>
      </w:r>
      <w:r>
        <w:t>pas</w:t>
      </w:r>
      <w:r w:rsidRPr="002C4077">
        <w:t xml:space="preserve"> </w:t>
      </w:r>
      <w:r>
        <w:t>été</w:t>
      </w:r>
      <w:r w:rsidRPr="002C4077">
        <w:t xml:space="preserve"> </w:t>
      </w:r>
      <w:r>
        <w:t>généralement</w:t>
      </w:r>
      <w:r w:rsidRPr="002C4077">
        <w:t xml:space="preserve"> </w:t>
      </w:r>
      <w:r>
        <w:t>admis</w:t>
      </w:r>
      <w:r w:rsidRPr="002C4077">
        <w:t xml:space="preserve"> </w:t>
      </w:r>
      <w:r>
        <w:t>par</w:t>
      </w:r>
      <w:r w:rsidRPr="002C4077">
        <w:t xml:space="preserve"> </w:t>
      </w:r>
      <w:r>
        <w:t>ses</w:t>
      </w:r>
      <w:r w:rsidRPr="002C4077">
        <w:t xml:space="preserve"> </w:t>
      </w:r>
      <w:r>
        <w:t>compatriotes.</w:t>
      </w:r>
      <w:r w:rsidRPr="002C4077">
        <w:t xml:space="preserve"> </w:t>
      </w:r>
    </w:p>
    <w:p w:rsidR="000A7AAB" w:rsidRDefault="000A7AAB" w:rsidP="000A7AAB">
      <w:r>
        <w:lastRenderedPageBreak/>
        <w:t>Que</w:t>
      </w:r>
      <w:r w:rsidRPr="002C4077">
        <w:t xml:space="preserve"> </w:t>
      </w:r>
      <w:r>
        <w:t>ce</w:t>
      </w:r>
      <w:r w:rsidRPr="002C4077">
        <w:t xml:space="preserve"> </w:t>
      </w:r>
      <w:r>
        <w:t>raisonnement</w:t>
      </w:r>
      <w:r w:rsidRPr="002C4077">
        <w:t xml:space="preserve"> </w:t>
      </w:r>
      <w:r>
        <w:t>ne</w:t>
      </w:r>
      <w:r w:rsidRPr="002C4077">
        <w:t xml:space="preserve"> </w:t>
      </w:r>
      <w:r>
        <w:t>soit</w:t>
      </w:r>
      <w:r w:rsidRPr="002C4077">
        <w:t xml:space="preserve"> </w:t>
      </w:r>
      <w:r>
        <w:t>pas</w:t>
      </w:r>
      <w:r w:rsidRPr="002C4077">
        <w:t xml:space="preserve"> </w:t>
      </w:r>
      <w:r>
        <w:t>du</w:t>
      </w:r>
      <w:r w:rsidRPr="002C4077">
        <w:t xml:space="preserve"> </w:t>
      </w:r>
      <w:r>
        <w:t>goût</w:t>
      </w:r>
      <w:r w:rsidRPr="002C4077">
        <w:t xml:space="preserve"> </w:t>
      </w:r>
      <w:r>
        <w:t>de</w:t>
      </w:r>
      <w:r w:rsidRPr="002C4077">
        <w:t xml:space="preserve"> </w:t>
      </w:r>
      <w:r>
        <w:t>Strauss</w:t>
      </w:r>
      <w:bookmarkStart w:id="146" w:name="z_Strauss_o1"/>
      <w:bookmarkEnd w:id="146"/>
      <w:r>
        <w:t>,</w:t>
      </w:r>
      <w:r w:rsidRPr="002C4077">
        <w:t xml:space="preserve"> </w:t>
      </w:r>
      <w:r>
        <w:t>nous</w:t>
      </w:r>
      <w:r w:rsidRPr="002C4077">
        <w:t xml:space="preserve"> </w:t>
      </w:r>
      <w:r>
        <w:t>le</w:t>
      </w:r>
      <w:r w:rsidRPr="002C4077">
        <w:t xml:space="preserve"> </w:t>
      </w:r>
      <w:r>
        <w:t>comprenons</w:t>
      </w:r>
      <w:r w:rsidRPr="002C4077">
        <w:t xml:space="preserve"> </w:t>
      </w:r>
      <w:r>
        <w:t>sans</w:t>
      </w:r>
      <w:r w:rsidRPr="002C4077">
        <w:t xml:space="preserve"> </w:t>
      </w:r>
      <w:r>
        <w:t>peine</w:t>
      </w:r>
      <w:r w:rsidR="00B546AF">
        <w:t> ;</w:t>
      </w:r>
      <w:r w:rsidRPr="002C4077">
        <w:t xml:space="preserve"> </w:t>
      </w:r>
      <w:r>
        <w:t>il</w:t>
      </w:r>
      <w:r w:rsidRPr="002C4077">
        <w:t xml:space="preserve"> </w:t>
      </w:r>
      <w:r>
        <w:t>a,</w:t>
      </w:r>
      <w:r w:rsidRPr="002C4077">
        <w:t xml:space="preserve"> </w:t>
      </w:r>
      <w:r>
        <w:t>en</w:t>
      </w:r>
      <w:r w:rsidRPr="002C4077">
        <w:t xml:space="preserve"> </w:t>
      </w:r>
      <w:r>
        <w:t>effet,</w:t>
      </w:r>
      <w:r w:rsidRPr="002C4077">
        <w:t xml:space="preserve"> </w:t>
      </w:r>
      <w:r>
        <w:t>tout</w:t>
      </w:r>
      <w:r w:rsidRPr="002C4077">
        <w:t xml:space="preserve"> </w:t>
      </w:r>
      <w:r>
        <w:t>intérêt</w:t>
      </w:r>
      <w:r w:rsidRPr="002C4077">
        <w:t xml:space="preserve"> </w:t>
      </w:r>
      <w:r>
        <w:t>à</w:t>
      </w:r>
      <w:r w:rsidRPr="002C4077">
        <w:t xml:space="preserve"> </w:t>
      </w:r>
      <w:r>
        <w:t>nier</w:t>
      </w:r>
      <w:r w:rsidRPr="002C4077">
        <w:t xml:space="preserve"> </w:t>
      </w:r>
      <w:r>
        <w:t>la</w:t>
      </w:r>
      <w:r w:rsidRPr="002C4077">
        <w:t xml:space="preserve"> </w:t>
      </w:r>
      <w:r>
        <w:t>compétence</w:t>
      </w:r>
      <w:r w:rsidRPr="002C4077">
        <w:t xml:space="preserve"> </w:t>
      </w:r>
      <w:r>
        <w:t>de</w:t>
      </w:r>
      <w:r w:rsidRPr="002C4077">
        <w:t xml:space="preserve"> </w:t>
      </w:r>
      <w:r>
        <w:t>saint</w:t>
      </w:r>
      <w:r w:rsidRPr="002C4077">
        <w:t xml:space="preserve"> </w:t>
      </w:r>
      <w:r w:rsidR="00425C50">
        <w:t>Matth</w:t>
      </w:r>
      <w:r>
        <w:t>ieu</w:t>
      </w:r>
      <w:r w:rsidRPr="002C4077">
        <w:t xml:space="preserve"> </w:t>
      </w:r>
      <w:r>
        <w:t>en</w:t>
      </w:r>
      <w:r w:rsidRPr="002C4077">
        <w:t xml:space="preserve"> </w:t>
      </w:r>
      <w:r>
        <w:t>pareille</w:t>
      </w:r>
      <w:r w:rsidRPr="002C4077">
        <w:t xml:space="preserve"> </w:t>
      </w:r>
      <w:r>
        <w:t>matière.</w:t>
      </w:r>
      <w:r w:rsidRPr="002C4077">
        <w:t xml:space="preserve"> </w:t>
      </w:r>
      <w:r>
        <w:t>D’après</w:t>
      </w:r>
      <w:r w:rsidRPr="002C4077">
        <w:t xml:space="preserve"> </w:t>
      </w:r>
      <w:r>
        <w:t>le</w:t>
      </w:r>
      <w:r w:rsidRPr="002C4077">
        <w:t xml:space="preserve"> </w:t>
      </w:r>
      <w:r>
        <w:t>fameux</w:t>
      </w:r>
      <w:r w:rsidRPr="002C4077">
        <w:t xml:space="preserve"> </w:t>
      </w:r>
      <w:r>
        <w:t>pasteur</w:t>
      </w:r>
      <w:r w:rsidRPr="002C4077">
        <w:t xml:space="preserve"> </w:t>
      </w:r>
      <w:r>
        <w:t>rationaliste,</w:t>
      </w:r>
      <w:r w:rsidRPr="002C4077">
        <w:t xml:space="preserve"> </w:t>
      </w:r>
      <w:r>
        <w:t>c’est</w:t>
      </w:r>
      <w:r w:rsidRPr="002C4077">
        <w:t xml:space="preserve"> </w:t>
      </w:r>
      <w:r>
        <w:t>donc</w:t>
      </w:r>
      <w:r w:rsidRPr="002C4077">
        <w:t xml:space="preserve"> </w:t>
      </w:r>
      <w:r w:rsidR="00B546AF">
        <w:t>« </w:t>
      </w:r>
      <w:r>
        <w:t>de</w:t>
      </w:r>
      <w:r w:rsidRPr="002C4077">
        <w:t xml:space="preserve"> </w:t>
      </w:r>
      <w:r>
        <w:t>son</w:t>
      </w:r>
      <w:r w:rsidRPr="002C4077">
        <w:t xml:space="preserve"> </w:t>
      </w:r>
      <w:r>
        <w:t>chef</w:t>
      </w:r>
      <w:r w:rsidR="00B546AF">
        <w:t> »</w:t>
      </w:r>
      <w:r w:rsidRPr="002C4077">
        <w:t xml:space="preserve"> </w:t>
      </w:r>
      <w:r>
        <w:t>et</w:t>
      </w:r>
      <w:r w:rsidRPr="002C4077">
        <w:t xml:space="preserve"> </w:t>
      </w:r>
      <w:r>
        <w:t>d’une</w:t>
      </w:r>
      <w:r w:rsidRPr="002C4077">
        <w:t xml:space="preserve"> </w:t>
      </w:r>
      <w:r>
        <w:t>manière</w:t>
      </w:r>
      <w:r w:rsidRPr="002C4077">
        <w:t xml:space="preserve"> </w:t>
      </w:r>
      <w:r>
        <w:t>tout</w:t>
      </w:r>
      <w:r w:rsidRPr="002C4077">
        <w:t xml:space="preserve"> </w:t>
      </w:r>
      <w:r>
        <w:t>arbitraire</w:t>
      </w:r>
      <w:r w:rsidR="00B91AF7">
        <w:rPr>
          <w:rStyle w:val="Appelnotedebasdep"/>
        </w:rPr>
        <w:footnoteReference w:id="105"/>
      </w:r>
      <w:r>
        <w:t>,</w:t>
      </w:r>
      <w:r w:rsidRPr="002C4077">
        <w:t xml:space="preserve"> </w:t>
      </w:r>
      <w:r>
        <w:t>c’est</w:t>
      </w:r>
      <w:r w:rsidRPr="002C4077">
        <w:t xml:space="preserve"> </w:t>
      </w:r>
      <w:r>
        <w:t>en</w:t>
      </w:r>
      <w:r w:rsidRPr="002C4077">
        <w:t xml:space="preserve"> </w:t>
      </w:r>
      <w:r w:rsidR="00B546AF">
        <w:t>« </w:t>
      </w:r>
      <w:r>
        <w:t>forç</w:t>
      </w:r>
      <w:r w:rsidR="004377BC">
        <w:t>ant</w:t>
      </w:r>
      <w:bookmarkStart w:id="147" w:name="z_RationalistesHardiesses_o4"/>
      <w:bookmarkEnd w:id="147"/>
      <w:r w:rsidR="004377BC" w:rsidRPr="002C4077">
        <w:t xml:space="preserve"> </w:t>
      </w:r>
      <w:r w:rsidR="004377BC">
        <w:t>la</w:t>
      </w:r>
      <w:r w:rsidR="004377BC" w:rsidRPr="002C4077">
        <w:t xml:space="preserve"> </w:t>
      </w:r>
      <w:r w:rsidR="004377BC">
        <w:t>signification</w:t>
      </w:r>
      <w:r w:rsidR="004377BC" w:rsidRPr="002C4077">
        <w:t xml:space="preserve"> </w:t>
      </w:r>
      <w:r w:rsidR="004377BC">
        <w:t>des</w:t>
      </w:r>
      <w:r w:rsidR="004377BC" w:rsidRPr="002C4077">
        <w:t xml:space="preserve"> </w:t>
      </w:r>
      <w:r w:rsidR="004377BC">
        <w:t>termes</w:t>
      </w:r>
      <w:r w:rsidR="004377BC">
        <w:rPr>
          <w:rStyle w:val="Appelnotedebasdep"/>
        </w:rPr>
        <w:footnoteReference w:id="106"/>
      </w:r>
      <w:r w:rsidR="00B546AF">
        <w:t> »</w:t>
      </w:r>
      <w:r>
        <w:t>,</w:t>
      </w:r>
      <w:r w:rsidRPr="002C4077">
        <w:t xml:space="preserve"> </w:t>
      </w:r>
      <w:r>
        <w:t>que</w:t>
      </w:r>
      <w:r w:rsidRPr="002C4077">
        <w:t xml:space="preserve"> </w:t>
      </w:r>
      <w:r>
        <w:t>l’</w:t>
      </w:r>
      <w:r w:rsidR="001730C6">
        <w:t>év</w:t>
      </w:r>
      <w:r>
        <w:t>angéliste</w:t>
      </w:r>
      <w:r w:rsidRPr="002C4077">
        <w:t xml:space="preserve"> </w:t>
      </w:r>
      <w:r>
        <w:t>a</w:t>
      </w:r>
      <w:r w:rsidRPr="002C4077">
        <w:t xml:space="preserve"> </w:t>
      </w:r>
      <w:r>
        <w:t>pu</w:t>
      </w:r>
      <w:r w:rsidRPr="002C4077">
        <w:t xml:space="preserve"> </w:t>
      </w:r>
      <w:r>
        <w:t>faire</w:t>
      </w:r>
      <w:r w:rsidRPr="002C4077">
        <w:t xml:space="preserve"> </w:t>
      </w:r>
      <w:r>
        <w:t>de</w:t>
      </w:r>
      <w:r w:rsidRPr="002C4077">
        <w:t xml:space="preserve"> </w:t>
      </w:r>
      <w:r>
        <w:t>l’oracle</w:t>
      </w:r>
      <w:r w:rsidRPr="002C4077">
        <w:t xml:space="preserve"> </w:t>
      </w:r>
      <w:r>
        <w:t>d’Isaïe</w:t>
      </w:r>
      <w:r w:rsidRPr="002C4077">
        <w:t xml:space="preserve"> </w:t>
      </w:r>
      <w:r>
        <w:t>l’usage</w:t>
      </w:r>
      <w:r w:rsidRPr="002C4077">
        <w:t xml:space="preserve"> </w:t>
      </w:r>
      <w:r>
        <w:t>indiqué</w:t>
      </w:r>
      <w:r w:rsidRPr="002C4077">
        <w:t xml:space="preserve"> </w:t>
      </w:r>
      <w:r>
        <w:t>plus</w:t>
      </w:r>
      <w:r w:rsidRPr="002C4077">
        <w:t xml:space="preserve"> </w:t>
      </w:r>
      <w:r>
        <w:t>haut.</w:t>
      </w:r>
      <w:r w:rsidRPr="002C4077">
        <w:t xml:space="preserve"> </w:t>
      </w:r>
      <w:r>
        <w:t>De</w:t>
      </w:r>
      <w:r w:rsidRPr="002C4077">
        <w:t xml:space="preserve"> </w:t>
      </w:r>
      <w:r>
        <w:t>même</w:t>
      </w:r>
      <w:r w:rsidRPr="002C4077">
        <w:t xml:space="preserve"> </w:t>
      </w:r>
      <w:r>
        <w:t>d’après</w:t>
      </w:r>
      <w:r w:rsidRPr="002C4077">
        <w:t xml:space="preserve"> </w:t>
      </w:r>
      <w:r>
        <w:t>von</w:t>
      </w:r>
      <w:r w:rsidRPr="002C4077">
        <w:t xml:space="preserve"> </w:t>
      </w:r>
      <w:r>
        <w:t>Ammon</w:t>
      </w:r>
      <w:r w:rsidR="00B546AF">
        <w:t> :</w:t>
      </w:r>
      <w:r w:rsidRPr="002C4077">
        <w:t xml:space="preserve"> </w:t>
      </w:r>
      <w:r w:rsidR="00B546AF">
        <w:t>« </w:t>
      </w:r>
      <w:r>
        <w:t>L’opinion</w:t>
      </w:r>
      <w:r w:rsidRPr="002C4077">
        <w:t xml:space="preserve"> </w:t>
      </w:r>
      <w:r>
        <w:t>de</w:t>
      </w:r>
      <w:r w:rsidRPr="002C4077">
        <w:t xml:space="preserve"> </w:t>
      </w:r>
      <w:r w:rsidR="00425C50">
        <w:t>Matth</w:t>
      </w:r>
      <w:r>
        <w:t>ieu</w:t>
      </w:r>
      <w:r w:rsidRPr="002C4077">
        <w:t xml:space="preserve"> </w:t>
      </w:r>
      <w:r w:rsidR="00425C50">
        <w:t>est</w:t>
      </w:r>
      <w:r w:rsidRPr="002C4077">
        <w:t xml:space="preserve"> </w:t>
      </w:r>
      <w:r w:rsidR="00464AE8">
        <w:t>subjective</w:t>
      </w:r>
      <w:r w:rsidR="00464AE8">
        <w:rPr>
          <w:rStyle w:val="Appelnotedebasdep"/>
        </w:rPr>
        <w:footnoteReference w:id="107"/>
      </w:r>
      <w:r w:rsidR="00B546AF">
        <w:t> »</w:t>
      </w:r>
      <w:r>
        <w:t>,</w:t>
      </w:r>
      <w:r w:rsidRPr="002C4077">
        <w:t xml:space="preserve"> </w:t>
      </w:r>
      <w:r>
        <w:t>façon</w:t>
      </w:r>
      <w:r w:rsidRPr="002C4077">
        <w:t xml:space="preserve"> </w:t>
      </w:r>
      <w:r>
        <w:t>de</w:t>
      </w:r>
      <w:r w:rsidRPr="002C4077">
        <w:t xml:space="preserve"> </w:t>
      </w:r>
      <w:r>
        <w:t>dire</w:t>
      </w:r>
      <w:r w:rsidRPr="002C4077">
        <w:t xml:space="preserve"> </w:t>
      </w:r>
      <w:r>
        <w:t>qu’elle</w:t>
      </w:r>
      <w:r w:rsidRPr="002C4077">
        <w:t xml:space="preserve"> </w:t>
      </w:r>
      <w:r>
        <w:t>a</w:t>
      </w:r>
      <w:r w:rsidRPr="002C4077">
        <w:t xml:space="preserve"> </w:t>
      </w:r>
      <w:r>
        <w:t>été</w:t>
      </w:r>
      <w:r w:rsidRPr="002C4077">
        <w:t xml:space="preserve"> </w:t>
      </w:r>
      <w:r>
        <w:t>créée</w:t>
      </w:r>
      <w:r w:rsidRPr="002C4077">
        <w:t xml:space="preserve"> </w:t>
      </w:r>
      <w:r>
        <w:t>par</w:t>
      </w:r>
      <w:r w:rsidRPr="002C4077">
        <w:t xml:space="preserve"> </w:t>
      </w:r>
      <w:r>
        <w:t>lui</w:t>
      </w:r>
      <w:r w:rsidRPr="002C4077">
        <w:t xml:space="preserve"> </w:t>
      </w:r>
      <w:r>
        <w:t>de</w:t>
      </w:r>
      <w:r w:rsidRPr="002C4077">
        <w:t xml:space="preserve"> </w:t>
      </w:r>
      <w:r>
        <w:t>toutes</w:t>
      </w:r>
      <w:r w:rsidRPr="002C4077">
        <w:t xml:space="preserve"> </w:t>
      </w:r>
      <w:r>
        <w:t>pièces</w:t>
      </w:r>
      <w:r w:rsidR="00B546AF">
        <w:t> ;</w:t>
      </w:r>
      <w:r w:rsidRPr="002C4077">
        <w:t xml:space="preserve"> </w:t>
      </w:r>
      <w:r>
        <w:t>du</w:t>
      </w:r>
      <w:r w:rsidRPr="002C4077">
        <w:t xml:space="preserve"> </w:t>
      </w:r>
      <w:r>
        <w:t>reste,</w:t>
      </w:r>
      <w:r w:rsidRPr="002C4077">
        <w:t xml:space="preserve"> </w:t>
      </w:r>
      <w:r w:rsidR="00B546AF">
        <w:t>« </w:t>
      </w:r>
      <w:r>
        <w:t>elle</w:t>
      </w:r>
      <w:r w:rsidRPr="002C4077">
        <w:t xml:space="preserve"> </w:t>
      </w:r>
      <w:r>
        <w:t>pourrait</w:t>
      </w:r>
      <w:r w:rsidRPr="002C4077">
        <w:t xml:space="preserve"> </w:t>
      </w:r>
      <w:r>
        <w:t>difficilement</w:t>
      </w:r>
      <w:r w:rsidRPr="002C4077">
        <w:t xml:space="preserve"> </w:t>
      </w:r>
      <w:r>
        <w:t>passer</w:t>
      </w:r>
      <w:r w:rsidRPr="002C4077">
        <w:t xml:space="preserve"> </w:t>
      </w:r>
      <w:r>
        <w:t>pour</w:t>
      </w:r>
      <w:r w:rsidRPr="002C4077">
        <w:t xml:space="preserve"> </w:t>
      </w:r>
      <w:r>
        <w:t>un</w:t>
      </w:r>
      <w:r w:rsidRPr="002C4077">
        <w:t xml:space="preserve"> </w:t>
      </w:r>
      <w:r>
        <w:t>renseignement</w:t>
      </w:r>
      <w:r w:rsidRPr="002C4077">
        <w:t xml:space="preserve"> </w:t>
      </w:r>
      <w:r>
        <w:t>puisé</w:t>
      </w:r>
      <w:r w:rsidRPr="002C4077">
        <w:t xml:space="preserve"> </w:t>
      </w:r>
      <w:r>
        <w:t>à</w:t>
      </w:r>
      <w:r w:rsidRPr="002C4077">
        <w:t xml:space="preserve"> </w:t>
      </w:r>
      <w:r>
        <w:t>une</w:t>
      </w:r>
      <w:r w:rsidRPr="002C4077">
        <w:t xml:space="preserve"> </w:t>
      </w:r>
      <w:r>
        <w:t>tradition</w:t>
      </w:r>
      <w:r w:rsidRPr="002C4077">
        <w:t xml:space="preserve"> </w:t>
      </w:r>
      <w:r>
        <w:t>que</w:t>
      </w:r>
      <w:r w:rsidRPr="002C4077">
        <w:t xml:space="preserve"> </w:t>
      </w:r>
      <w:r>
        <w:t>tous</w:t>
      </w:r>
      <w:r w:rsidRPr="002C4077">
        <w:t xml:space="preserve"> </w:t>
      </w:r>
      <w:r>
        <w:t>auraient</w:t>
      </w:r>
      <w:r w:rsidRPr="002C4077">
        <w:t xml:space="preserve"> </w:t>
      </w:r>
      <w:r>
        <w:t>admise,</w:t>
      </w:r>
      <w:r w:rsidRPr="002C4077">
        <w:t xml:space="preserve"> </w:t>
      </w:r>
      <w:r>
        <w:t>vu</w:t>
      </w:r>
      <w:r w:rsidRPr="002C4077">
        <w:t xml:space="preserve"> </w:t>
      </w:r>
      <w:r>
        <w:t>que</w:t>
      </w:r>
      <w:r w:rsidRPr="002C4077">
        <w:t xml:space="preserve"> </w:t>
      </w:r>
      <w:r>
        <w:t>Paul,</w:t>
      </w:r>
      <w:r w:rsidRPr="002C4077">
        <w:t xml:space="preserve"> </w:t>
      </w:r>
      <w:r>
        <w:t>Marc</w:t>
      </w:r>
      <w:r w:rsidRPr="002C4077">
        <w:t xml:space="preserve"> </w:t>
      </w:r>
      <w:r>
        <w:t>et</w:t>
      </w:r>
      <w:r w:rsidRPr="002C4077">
        <w:t xml:space="preserve"> </w:t>
      </w:r>
      <w:r>
        <w:t>la</w:t>
      </w:r>
      <w:r w:rsidRPr="002C4077">
        <w:t xml:space="preserve"> </w:t>
      </w:r>
      <w:r>
        <w:t>plus</w:t>
      </w:r>
      <w:r w:rsidRPr="002C4077">
        <w:t xml:space="preserve"> </w:t>
      </w:r>
      <w:r>
        <w:t>grande</w:t>
      </w:r>
      <w:r w:rsidRPr="002C4077">
        <w:t xml:space="preserve"> </w:t>
      </w:r>
      <w:r>
        <w:t>partie</w:t>
      </w:r>
      <w:r w:rsidRPr="002C4077">
        <w:t xml:space="preserve"> </w:t>
      </w:r>
      <w:r>
        <w:t>des</w:t>
      </w:r>
      <w:r w:rsidRPr="002C4077">
        <w:t xml:space="preserve"> </w:t>
      </w:r>
      <w:r>
        <w:t>contemporains</w:t>
      </w:r>
      <w:r w:rsidRPr="002C4077">
        <w:t xml:space="preserve"> </w:t>
      </w:r>
      <w:r>
        <w:t>de</w:t>
      </w:r>
      <w:r w:rsidRPr="002C4077">
        <w:t xml:space="preserve"> </w:t>
      </w:r>
      <w:r w:rsidR="00425C50">
        <w:t>Jésus</w:t>
      </w:r>
      <w:r w:rsidRPr="002C4077">
        <w:t xml:space="preserve"> </w:t>
      </w:r>
      <w:r>
        <w:t>ne</w:t>
      </w:r>
      <w:r w:rsidRPr="002C4077">
        <w:t xml:space="preserve"> </w:t>
      </w:r>
      <w:r>
        <w:t>s’y</w:t>
      </w:r>
      <w:r w:rsidRPr="002C4077">
        <w:t xml:space="preserve"> </w:t>
      </w:r>
      <w:r>
        <w:t>sont</w:t>
      </w:r>
      <w:r w:rsidRPr="002C4077">
        <w:t xml:space="preserve"> </w:t>
      </w:r>
      <w:r>
        <w:t>pas</w:t>
      </w:r>
      <w:r w:rsidRPr="002C4077">
        <w:t xml:space="preserve"> </w:t>
      </w:r>
      <w:r>
        <w:t>rangés</w:t>
      </w:r>
      <w:r w:rsidR="00B91AF7">
        <w:rPr>
          <w:rStyle w:val="Appelnotedebasdep"/>
        </w:rPr>
        <w:footnoteReference w:id="108"/>
      </w:r>
      <w:r w:rsidR="00B546AF">
        <w:t> »</w:t>
      </w:r>
      <w:r>
        <w:t>.</w:t>
      </w:r>
      <w:r w:rsidRPr="002C4077">
        <w:t xml:space="preserve"> </w:t>
      </w:r>
      <w:r>
        <w:t>Voilà</w:t>
      </w:r>
      <w:r w:rsidRPr="002C4077">
        <w:t xml:space="preserve"> </w:t>
      </w:r>
      <w:r>
        <w:t>certes</w:t>
      </w:r>
      <w:r w:rsidRPr="002C4077">
        <w:t xml:space="preserve"> </w:t>
      </w:r>
      <w:r>
        <w:t>une</w:t>
      </w:r>
      <w:r w:rsidRPr="002C4077">
        <w:t xml:space="preserve"> </w:t>
      </w:r>
      <w:r>
        <w:t>belle</w:t>
      </w:r>
      <w:r w:rsidRPr="002C4077">
        <w:t xml:space="preserve"> </w:t>
      </w:r>
      <w:r>
        <w:t>raison</w:t>
      </w:r>
      <w:r w:rsidR="00B546AF">
        <w:t> !</w:t>
      </w:r>
      <w:r w:rsidRPr="002C4077">
        <w:t xml:space="preserve"> </w:t>
      </w:r>
      <w:r>
        <w:t>Chacun</w:t>
      </w:r>
      <w:r w:rsidRPr="002C4077">
        <w:t xml:space="preserve"> </w:t>
      </w:r>
      <w:r>
        <w:t>des</w:t>
      </w:r>
      <w:r w:rsidRPr="002C4077">
        <w:t xml:space="preserve"> </w:t>
      </w:r>
      <w:r>
        <w:t>écrivains</w:t>
      </w:r>
      <w:r w:rsidRPr="002C4077">
        <w:t xml:space="preserve"> </w:t>
      </w:r>
      <w:r>
        <w:t>sacrés</w:t>
      </w:r>
      <w:r w:rsidRPr="002C4077">
        <w:t xml:space="preserve"> </w:t>
      </w:r>
      <w:r>
        <w:t>était-il</w:t>
      </w:r>
      <w:r w:rsidRPr="002C4077">
        <w:t xml:space="preserve"> </w:t>
      </w:r>
      <w:r>
        <w:t>donc</w:t>
      </w:r>
      <w:r w:rsidRPr="002C4077">
        <w:t xml:space="preserve"> </w:t>
      </w:r>
      <w:r>
        <w:t>tenu</w:t>
      </w:r>
      <w:r w:rsidRPr="002C4077">
        <w:t xml:space="preserve"> </w:t>
      </w:r>
      <w:r>
        <w:t>de</w:t>
      </w:r>
      <w:r w:rsidRPr="002C4077">
        <w:t xml:space="preserve"> </w:t>
      </w:r>
      <w:r>
        <w:t>répéter</w:t>
      </w:r>
      <w:r w:rsidRPr="002C4077">
        <w:t xml:space="preserve"> </w:t>
      </w:r>
      <w:r>
        <w:t>mot</w:t>
      </w:r>
      <w:r w:rsidRPr="002C4077">
        <w:t xml:space="preserve"> </w:t>
      </w:r>
      <w:r>
        <w:t>pour</w:t>
      </w:r>
      <w:r w:rsidRPr="002C4077">
        <w:t xml:space="preserve"> </w:t>
      </w:r>
      <w:r>
        <w:t>mot</w:t>
      </w:r>
      <w:r w:rsidRPr="002C4077">
        <w:t xml:space="preserve"> </w:t>
      </w:r>
      <w:r>
        <w:t>ce</w:t>
      </w:r>
      <w:r w:rsidRPr="002C4077">
        <w:t xml:space="preserve"> </w:t>
      </w:r>
      <w:r>
        <w:t>que</w:t>
      </w:r>
      <w:r w:rsidRPr="002C4077">
        <w:t xml:space="preserve"> </w:t>
      </w:r>
      <w:r>
        <w:t>les</w:t>
      </w:r>
      <w:r w:rsidRPr="002C4077">
        <w:t xml:space="preserve"> </w:t>
      </w:r>
      <w:r>
        <w:t>autres</w:t>
      </w:r>
      <w:r w:rsidRPr="002C4077">
        <w:t xml:space="preserve"> </w:t>
      </w:r>
      <w:r>
        <w:t>avaient</w:t>
      </w:r>
      <w:r w:rsidRPr="002C4077">
        <w:t xml:space="preserve"> </w:t>
      </w:r>
      <w:r>
        <w:t>dit</w:t>
      </w:r>
      <w:r w:rsidR="00B546AF">
        <w:t> ?</w:t>
      </w:r>
      <w:r w:rsidRPr="002C4077">
        <w:t xml:space="preserve"> </w:t>
      </w:r>
      <w:r>
        <w:t>Les</w:t>
      </w:r>
      <w:r w:rsidRPr="002C4077">
        <w:t xml:space="preserve"> </w:t>
      </w:r>
      <w:r>
        <w:t>détails</w:t>
      </w:r>
      <w:r w:rsidRPr="002C4077">
        <w:t xml:space="preserve"> </w:t>
      </w:r>
      <w:r>
        <w:t>racontés</w:t>
      </w:r>
      <w:r w:rsidRPr="002C4077">
        <w:t xml:space="preserve"> </w:t>
      </w:r>
      <w:r>
        <w:t>par</w:t>
      </w:r>
      <w:r w:rsidRPr="002C4077">
        <w:t xml:space="preserve"> </w:t>
      </w:r>
      <w:r>
        <w:t>un</w:t>
      </w:r>
      <w:r w:rsidRPr="002C4077">
        <w:t xml:space="preserve"> </w:t>
      </w:r>
      <w:r>
        <w:t>historien</w:t>
      </w:r>
      <w:r w:rsidRPr="002C4077">
        <w:t xml:space="preserve"> </w:t>
      </w:r>
      <w:r>
        <w:t>n’ont-ils</w:t>
      </w:r>
      <w:r w:rsidRPr="002C4077">
        <w:t xml:space="preserve"> </w:t>
      </w:r>
      <w:r>
        <w:t>de</w:t>
      </w:r>
      <w:r w:rsidRPr="002C4077">
        <w:t xml:space="preserve"> </w:t>
      </w:r>
      <w:r>
        <w:t>valeur</w:t>
      </w:r>
      <w:r w:rsidRPr="002C4077">
        <w:t xml:space="preserve"> </w:t>
      </w:r>
      <w:r>
        <w:t>qu’autant</w:t>
      </w:r>
      <w:r w:rsidRPr="002C4077">
        <w:t xml:space="preserve"> </w:t>
      </w:r>
      <w:r>
        <w:t>qu’on</w:t>
      </w:r>
      <w:r w:rsidRPr="002C4077">
        <w:t xml:space="preserve"> </w:t>
      </w:r>
      <w:r>
        <w:t>les</w:t>
      </w:r>
      <w:r w:rsidRPr="002C4077">
        <w:t xml:space="preserve"> </w:t>
      </w:r>
      <w:r>
        <w:t>retrouve</w:t>
      </w:r>
      <w:r w:rsidRPr="002C4077">
        <w:t xml:space="preserve"> </w:t>
      </w:r>
      <w:r>
        <w:t>en</w:t>
      </w:r>
      <w:r w:rsidRPr="002C4077">
        <w:t xml:space="preserve"> </w:t>
      </w:r>
      <w:r>
        <w:t>d’autres</w:t>
      </w:r>
      <w:r w:rsidRPr="002C4077">
        <w:t xml:space="preserve"> </w:t>
      </w:r>
      <w:r>
        <w:t>relations</w:t>
      </w:r>
      <w:r w:rsidR="00B546AF">
        <w:t> ?</w:t>
      </w:r>
      <w:r w:rsidRPr="002C4077">
        <w:t xml:space="preserve"> </w:t>
      </w:r>
    </w:p>
    <w:p w:rsidR="000A7AAB" w:rsidRDefault="000A7AAB" w:rsidP="000A7AAB">
      <w:r>
        <w:t>Même</w:t>
      </w:r>
      <w:r w:rsidRPr="002C4077">
        <w:t xml:space="preserve"> </w:t>
      </w:r>
      <w:r>
        <w:t>dans</w:t>
      </w:r>
      <w:r w:rsidRPr="002C4077">
        <w:t xml:space="preserve"> </w:t>
      </w:r>
      <w:r>
        <w:t>ce</w:t>
      </w:r>
      <w:r w:rsidRPr="002C4077">
        <w:t xml:space="preserve"> </w:t>
      </w:r>
      <w:r>
        <w:t>cas,</w:t>
      </w:r>
      <w:r w:rsidRPr="002C4077">
        <w:t xml:space="preserve"> </w:t>
      </w:r>
      <w:r>
        <w:t>d’ailleurs,</w:t>
      </w:r>
      <w:r w:rsidRPr="002C4077">
        <w:t xml:space="preserve"> </w:t>
      </w:r>
      <w:r>
        <w:t>saint</w:t>
      </w:r>
      <w:r w:rsidRPr="002C4077">
        <w:t xml:space="preserve"> </w:t>
      </w:r>
      <w:r w:rsidR="00425C50">
        <w:t>Matth</w:t>
      </w:r>
      <w:r>
        <w:t>ieu</w:t>
      </w:r>
      <w:r w:rsidRPr="002C4077">
        <w:t xml:space="preserve"> </w:t>
      </w:r>
      <w:r>
        <w:t>ne</w:t>
      </w:r>
      <w:r w:rsidRPr="002C4077">
        <w:t xml:space="preserve"> </w:t>
      </w:r>
      <w:r>
        <w:t>serait</w:t>
      </w:r>
      <w:r w:rsidRPr="002C4077">
        <w:t xml:space="preserve"> </w:t>
      </w:r>
      <w:r>
        <w:t>pas</w:t>
      </w:r>
      <w:r w:rsidRPr="002C4077">
        <w:t xml:space="preserve"> </w:t>
      </w:r>
      <w:r>
        <w:t>seul,</w:t>
      </w:r>
      <w:r w:rsidRPr="002C4077">
        <w:t xml:space="preserve"> </w:t>
      </w:r>
      <w:r>
        <w:t>car</w:t>
      </w:r>
      <w:r w:rsidRPr="002C4077">
        <w:t xml:space="preserve"> </w:t>
      </w:r>
      <w:r>
        <w:t>saint</w:t>
      </w:r>
      <w:r w:rsidRPr="002C4077">
        <w:t xml:space="preserve"> </w:t>
      </w:r>
      <w:r>
        <w:t>Luc</w:t>
      </w:r>
      <w:bookmarkStart w:id="148" w:name="z_LucAlmah_o1"/>
      <w:bookmarkEnd w:id="148"/>
      <w:r w:rsidRPr="002C4077">
        <w:t xml:space="preserve"> </w:t>
      </w:r>
      <w:r>
        <w:t>aussi,</w:t>
      </w:r>
      <w:r w:rsidRPr="002C4077">
        <w:t xml:space="preserve"> </w:t>
      </w:r>
      <w:r>
        <w:t>et</w:t>
      </w:r>
      <w:r w:rsidRPr="002C4077">
        <w:t xml:space="preserve"> </w:t>
      </w:r>
      <w:r>
        <w:t>d’une</w:t>
      </w:r>
      <w:r w:rsidRPr="002C4077">
        <w:t xml:space="preserve"> </w:t>
      </w:r>
      <w:r>
        <w:t>manière</w:t>
      </w:r>
      <w:r w:rsidRPr="002C4077">
        <w:t xml:space="preserve"> </w:t>
      </w:r>
      <w:r>
        <w:t>suffisamment</w:t>
      </w:r>
      <w:r w:rsidRPr="002C4077">
        <w:t xml:space="preserve"> </w:t>
      </w:r>
      <w:r>
        <w:t>explicite,</w:t>
      </w:r>
      <w:r w:rsidRPr="002C4077">
        <w:t xml:space="preserve"> </w:t>
      </w:r>
      <w:r>
        <w:t>applique</w:t>
      </w:r>
      <w:r w:rsidRPr="002C4077">
        <w:t xml:space="preserve"> </w:t>
      </w:r>
      <w:r>
        <w:t>à</w:t>
      </w:r>
      <w:r w:rsidRPr="002C4077">
        <w:t xml:space="preserve"> </w:t>
      </w:r>
      <w:r>
        <w:t>Marie</w:t>
      </w:r>
      <w:r w:rsidRPr="002C4077">
        <w:t xml:space="preserve"> </w:t>
      </w:r>
      <w:r>
        <w:t>la</w:t>
      </w:r>
      <w:r w:rsidRPr="002C4077">
        <w:t xml:space="preserve"> </w:t>
      </w:r>
      <w:r>
        <w:t>prophétie</w:t>
      </w:r>
      <w:r w:rsidRPr="002C4077">
        <w:t xml:space="preserve"> </w:t>
      </w:r>
      <w:r>
        <w:t>de</w:t>
      </w:r>
      <w:r w:rsidRPr="002C4077">
        <w:t xml:space="preserve"> </w:t>
      </w:r>
      <w:r w:rsidR="00D40830" w:rsidRPr="00D40830">
        <w:t>l’</w:t>
      </w:r>
      <w:r w:rsidR="00D40830" w:rsidRPr="00D05EA9">
        <w:rPr>
          <w:rStyle w:val="italicus"/>
        </w:rPr>
        <w:t>῾almah</w:t>
      </w:r>
      <w:r w:rsidRPr="000A34B5">
        <w:rPr>
          <w:rStyle w:val="italicus"/>
        </w:rPr>
        <w:t>.</w:t>
      </w:r>
      <w:r w:rsidR="00C45B47">
        <w:t xml:space="preserve"> {</w:t>
      </w:r>
      <w:r w:rsidR="000721C4">
        <w:t>40</w:t>
      </w:r>
      <w:bookmarkStart w:id="149" w:name="p040"/>
      <w:bookmarkEnd w:id="149"/>
      <w:r w:rsidR="000721C4">
        <w:t xml:space="preserve">} </w:t>
      </w:r>
      <w:r w:rsidR="00B546AF">
        <w:t>« </w:t>
      </w:r>
      <w:r>
        <w:t>L’ange</w:t>
      </w:r>
      <w:r w:rsidRPr="002C4077">
        <w:t xml:space="preserve"> </w:t>
      </w:r>
      <w:r>
        <w:t>Gabriel</w:t>
      </w:r>
      <w:r w:rsidRPr="002C4077">
        <w:t xml:space="preserve"> </w:t>
      </w:r>
      <w:r>
        <w:t>fut</w:t>
      </w:r>
      <w:r w:rsidRPr="002C4077">
        <w:t xml:space="preserve"> </w:t>
      </w:r>
      <w:r>
        <w:t>envoyé</w:t>
      </w:r>
      <w:r w:rsidRPr="002C4077">
        <w:t xml:space="preserve"> </w:t>
      </w:r>
      <w:r>
        <w:t>de</w:t>
      </w:r>
      <w:r w:rsidRPr="002C4077">
        <w:t xml:space="preserve"> </w:t>
      </w:r>
      <w:r>
        <w:t>Dieu</w:t>
      </w:r>
      <w:r w:rsidRPr="002C4077">
        <w:t xml:space="preserve"> </w:t>
      </w:r>
      <w:r>
        <w:t>dans</w:t>
      </w:r>
      <w:r w:rsidRPr="002C4077">
        <w:t xml:space="preserve"> </w:t>
      </w:r>
      <w:r>
        <w:t>une</w:t>
      </w:r>
      <w:r w:rsidRPr="002C4077">
        <w:t xml:space="preserve"> </w:t>
      </w:r>
      <w:r>
        <w:t>ville</w:t>
      </w:r>
      <w:r w:rsidRPr="002C4077">
        <w:t xml:space="preserve"> </w:t>
      </w:r>
      <w:r>
        <w:t>de</w:t>
      </w:r>
      <w:r w:rsidRPr="002C4077">
        <w:t xml:space="preserve"> </w:t>
      </w:r>
      <w:r>
        <w:t>Galilée</w:t>
      </w:r>
      <w:r w:rsidRPr="002C4077">
        <w:t xml:space="preserve"> </w:t>
      </w:r>
      <w:r>
        <w:t>appelée</w:t>
      </w:r>
      <w:r w:rsidRPr="002C4077">
        <w:t xml:space="preserve"> </w:t>
      </w:r>
      <w:r>
        <w:t>Nazareth,</w:t>
      </w:r>
      <w:r w:rsidRPr="002C4077">
        <w:t xml:space="preserve"> </w:t>
      </w:r>
      <w:r>
        <w:t>à</w:t>
      </w:r>
      <w:r w:rsidRPr="002C4077">
        <w:t xml:space="preserve"> </w:t>
      </w:r>
      <w:r>
        <w:t>une</w:t>
      </w:r>
      <w:r w:rsidRPr="002C4077">
        <w:t xml:space="preserve"> </w:t>
      </w:r>
      <w:r>
        <w:t>vierge</w:t>
      </w:r>
      <w:r w:rsidRPr="002C4077">
        <w:t xml:space="preserve"> </w:t>
      </w:r>
      <w:r>
        <w:t>fiancée</w:t>
      </w:r>
      <w:r w:rsidRPr="002C4077">
        <w:t xml:space="preserve"> </w:t>
      </w:r>
      <w:r>
        <w:t>à</w:t>
      </w:r>
      <w:r w:rsidRPr="002C4077">
        <w:t xml:space="preserve"> </w:t>
      </w:r>
      <w:r>
        <w:t>un</w:t>
      </w:r>
      <w:r w:rsidRPr="002C4077">
        <w:t xml:space="preserve"> </w:t>
      </w:r>
      <w:r>
        <w:t>homme</w:t>
      </w:r>
      <w:r w:rsidRPr="002C4077">
        <w:t xml:space="preserve"> </w:t>
      </w:r>
      <w:r>
        <w:t>de</w:t>
      </w:r>
      <w:r w:rsidRPr="002C4077">
        <w:t xml:space="preserve"> </w:t>
      </w:r>
      <w:r>
        <w:t>la</w:t>
      </w:r>
      <w:r w:rsidRPr="002C4077">
        <w:t xml:space="preserve"> </w:t>
      </w:r>
      <w:r>
        <w:t>maison</w:t>
      </w:r>
      <w:r w:rsidRPr="002C4077">
        <w:t xml:space="preserve"> </w:t>
      </w:r>
      <w:r>
        <w:t>de</w:t>
      </w:r>
      <w:r w:rsidRPr="002C4077">
        <w:t xml:space="preserve"> </w:t>
      </w:r>
      <w:r>
        <w:t>David,</w:t>
      </w:r>
      <w:r w:rsidRPr="002C4077">
        <w:t xml:space="preserve"> </w:t>
      </w:r>
      <w:r>
        <w:t>nommé</w:t>
      </w:r>
      <w:r w:rsidRPr="002C4077">
        <w:t xml:space="preserve"> </w:t>
      </w:r>
      <w:r>
        <w:t>Joseph,</w:t>
      </w:r>
      <w:r w:rsidRPr="002C4077">
        <w:t xml:space="preserve"> </w:t>
      </w:r>
      <w:r>
        <w:t>et</w:t>
      </w:r>
      <w:r w:rsidRPr="002C4077">
        <w:t xml:space="preserve"> </w:t>
      </w:r>
      <w:r>
        <w:t>le</w:t>
      </w:r>
      <w:r w:rsidRPr="002C4077">
        <w:t xml:space="preserve"> </w:t>
      </w:r>
      <w:r>
        <w:t>nom</w:t>
      </w:r>
      <w:r w:rsidRPr="002C4077">
        <w:t xml:space="preserve"> </w:t>
      </w:r>
      <w:r>
        <w:t>de</w:t>
      </w:r>
      <w:r w:rsidRPr="002C4077">
        <w:t xml:space="preserve"> </w:t>
      </w:r>
      <w:r>
        <w:t>la</w:t>
      </w:r>
      <w:r w:rsidRPr="002C4077">
        <w:t xml:space="preserve"> </w:t>
      </w:r>
      <w:r>
        <w:t>vierge</w:t>
      </w:r>
      <w:r w:rsidRPr="002C4077">
        <w:t xml:space="preserve"> </w:t>
      </w:r>
      <w:r>
        <w:t>était</w:t>
      </w:r>
      <w:r w:rsidRPr="002C4077">
        <w:t xml:space="preserve"> </w:t>
      </w:r>
      <w:r>
        <w:t>Marie.</w:t>
      </w:r>
      <w:r w:rsidRPr="002C4077">
        <w:t xml:space="preserve"> </w:t>
      </w:r>
      <w:r>
        <w:t>Et</w:t>
      </w:r>
      <w:r w:rsidRPr="002C4077">
        <w:t xml:space="preserve"> </w:t>
      </w:r>
      <w:r>
        <w:t>l’ange</w:t>
      </w:r>
      <w:r w:rsidRPr="002C4077">
        <w:t xml:space="preserve"> </w:t>
      </w:r>
      <w:r>
        <w:t>étant</w:t>
      </w:r>
      <w:r w:rsidRPr="002C4077">
        <w:t xml:space="preserve"> </w:t>
      </w:r>
      <w:r>
        <w:t>entré,</w:t>
      </w:r>
      <w:r w:rsidRPr="002C4077">
        <w:t xml:space="preserve"> </w:t>
      </w:r>
      <w:r>
        <w:t>lui</w:t>
      </w:r>
      <w:r w:rsidRPr="002C4077">
        <w:t xml:space="preserve"> </w:t>
      </w:r>
      <w:r>
        <w:t>dit</w:t>
      </w:r>
      <w:r w:rsidR="00B546AF">
        <w:t> :</w:t>
      </w:r>
      <w:r w:rsidRPr="002C4077">
        <w:t xml:space="preserve"> </w:t>
      </w:r>
      <w:r>
        <w:t>Je</w:t>
      </w:r>
      <w:r w:rsidRPr="002C4077">
        <w:t xml:space="preserve"> </w:t>
      </w:r>
      <w:r>
        <w:t>vous</w:t>
      </w:r>
      <w:r w:rsidRPr="002C4077">
        <w:t xml:space="preserve"> </w:t>
      </w:r>
      <w:r>
        <w:t>salue,</w:t>
      </w:r>
      <w:r w:rsidRPr="002C4077">
        <w:t xml:space="preserve"> </w:t>
      </w:r>
      <w:r>
        <w:t>pleine</w:t>
      </w:r>
      <w:r w:rsidRPr="002C4077">
        <w:t xml:space="preserve"> </w:t>
      </w:r>
      <w:r>
        <w:t>de</w:t>
      </w:r>
      <w:r w:rsidRPr="002C4077">
        <w:t xml:space="preserve"> </w:t>
      </w:r>
      <w:r>
        <w:t>grâces,</w:t>
      </w:r>
      <w:r w:rsidRPr="002C4077">
        <w:t xml:space="preserve"> </w:t>
      </w:r>
      <w:r>
        <w:t>le</w:t>
      </w:r>
      <w:r w:rsidRPr="002C4077">
        <w:t xml:space="preserve"> </w:t>
      </w:r>
      <w:r>
        <w:t>Seigneur</w:t>
      </w:r>
      <w:r w:rsidRPr="002C4077">
        <w:t xml:space="preserve"> </w:t>
      </w:r>
      <w:r w:rsidR="00425C50">
        <w:t>est</w:t>
      </w:r>
      <w:r w:rsidRPr="002C4077">
        <w:t xml:space="preserve"> </w:t>
      </w:r>
      <w:r>
        <w:t>avec</w:t>
      </w:r>
      <w:r w:rsidRPr="002C4077">
        <w:t xml:space="preserve"> </w:t>
      </w:r>
      <w:r>
        <w:t>vous,</w:t>
      </w:r>
      <w:r w:rsidRPr="002C4077">
        <w:t xml:space="preserve"> </w:t>
      </w:r>
      <w:r>
        <w:t>vous</w:t>
      </w:r>
      <w:r w:rsidRPr="002C4077">
        <w:t xml:space="preserve"> </w:t>
      </w:r>
      <w:r>
        <w:t>êtes</w:t>
      </w:r>
      <w:r w:rsidRPr="002C4077">
        <w:t xml:space="preserve"> </w:t>
      </w:r>
      <w:r>
        <w:t>bénie</w:t>
      </w:r>
      <w:r w:rsidRPr="002C4077">
        <w:t xml:space="preserve"> </w:t>
      </w:r>
      <w:r>
        <w:t>entre</w:t>
      </w:r>
      <w:r w:rsidRPr="002C4077">
        <w:t xml:space="preserve"> </w:t>
      </w:r>
      <w:r>
        <w:t>toutes</w:t>
      </w:r>
      <w:r w:rsidRPr="002C4077">
        <w:t xml:space="preserve"> </w:t>
      </w:r>
      <w:r>
        <w:t>les</w:t>
      </w:r>
      <w:r w:rsidRPr="002C4077">
        <w:t xml:space="preserve"> </w:t>
      </w:r>
      <w:r>
        <w:t>femmes.</w:t>
      </w:r>
      <w:r w:rsidRPr="002C4077">
        <w:t xml:space="preserve"> </w:t>
      </w:r>
      <w:r>
        <w:t>Elle,</w:t>
      </w:r>
      <w:r w:rsidRPr="002C4077">
        <w:t xml:space="preserve"> </w:t>
      </w:r>
      <w:r>
        <w:t>l’ayant</w:t>
      </w:r>
      <w:r w:rsidRPr="002C4077">
        <w:t xml:space="preserve"> </w:t>
      </w:r>
      <w:r>
        <w:t>entendu,</w:t>
      </w:r>
      <w:r w:rsidRPr="002C4077">
        <w:t xml:space="preserve"> </w:t>
      </w:r>
      <w:r>
        <w:t>fut</w:t>
      </w:r>
      <w:r w:rsidRPr="002C4077">
        <w:t xml:space="preserve"> </w:t>
      </w:r>
      <w:r>
        <w:t>troublée</w:t>
      </w:r>
      <w:r w:rsidRPr="002C4077">
        <w:t xml:space="preserve"> </w:t>
      </w:r>
      <w:r>
        <w:t>de</w:t>
      </w:r>
      <w:r w:rsidRPr="002C4077">
        <w:t xml:space="preserve"> </w:t>
      </w:r>
      <w:r>
        <w:t>ses</w:t>
      </w:r>
      <w:r w:rsidRPr="002C4077">
        <w:t xml:space="preserve"> </w:t>
      </w:r>
      <w:r>
        <w:t>paroles,</w:t>
      </w:r>
      <w:r w:rsidRPr="002C4077">
        <w:t xml:space="preserve"> </w:t>
      </w:r>
      <w:r>
        <w:t>et</w:t>
      </w:r>
      <w:r w:rsidRPr="002C4077">
        <w:t xml:space="preserve"> </w:t>
      </w:r>
      <w:r>
        <w:t>elle</w:t>
      </w:r>
      <w:r w:rsidRPr="002C4077">
        <w:t xml:space="preserve"> </w:t>
      </w:r>
      <w:r>
        <w:t>pensait</w:t>
      </w:r>
      <w:r w:rsidRPr="002C4077">
        <w:t xml:space="preserve"> </w:t>
      </w:r>
      <w:r>
        <w:t>en</w:t>
      </w:r>
      <w:r w:rsidRPr="002C4077">
        <w:t xml:space="preserve"> </w:t>
      </w:r>
      <w:r>
        <w:t>elle-même</w:t>
      </w:r>
      <w:r w:rsidRPr="002C4077">
        <w:t xml:space="preserve"> </w:t>
      </w:r>
      <w:r>
        <w:t>quelle</w:t>
      </w:r>
      <w:r w:rsidRPr="002C4077">
        <w:t xml:space="preserve"> </w:t>
      </w:r>
      <w:r>
        <w:t>pouvait</w:t>
      </w:r>
      <w:r w:rsidRPr="002C4077">
        <w:t xml:space="preserve"> </w:t>
      </w:r>
      <w:r>
        <w:t>être</w:t>
      </w:r>
      <w:r w:rsidRPr="002C4077">
        <w:t xml:space="preserve"> </w:t>
      </w:r>
      <w:r>
        <w:t>cette</w:t>
      </w:r>
      <w:r w:rsidRPr="002C4077">
        <w:t xml:space="preserve"> </w:t>
      </w:r>
      <w:r>
        <w:t>salutation.</w:t>
      </w:r>
      <w:r w:rsidRPr="002C4077">
        <w:t xml:space="preserve"> </w:t>
      </w:r>
      <w:r>
        <w:t>Et</w:t>
      </w:r>
      <w:r w:rsidRPr="002C4077">
        <w:t xml:space="preserve"> </w:t>
      </w:r>
      <w:r>
        <w:t>l’ange</w:t>
      </w:r>
      <w:r w:rsidRPr="002C4077">
        <w:t xml:space="preserve"> </w:t>
      </w:r>
      <w:r>
        <w:t>lui</w:t>
      </w:r>
      <w:r w:rsidRPr="002C4077">
        <w:t xml:space="preserve"> </w:t>
      </w:r>
      <w:r>
        <w:t>dit</w:t>
      </w:r>
      <w:r w:rsidR="00B546AF">
        <w:t> :</w:t>
      </w:r>
      <w:r w:rsidRPr="002C4077">
        <w:t xml:space="preserve"> </w:t>
      </w:r>
      <w:r>
        <w:t>Ne</w:t>
      </w:r>
      <w:r w:rsidRPr="002C4077">
        <w:t xml:space="preserve"> </w:t>
      </w:r>
      <w:r>
        <w:t>craignez</w:t>
      </w:r>
      <w:r w:rsidRPr="002C4077">
        <w:t xml:space="preserve"> </w:t>
      </w:r>
      <w:r>
        <w:t>point,</w:t>
      </w:r>
      <w:r w:rsidRPr="002C4077">
        <w:t xml:space="preserve"> </w:t>
      </w:r>
      <w:r>
        <w:t>Marie,</w:t>
      </w:r>
      <w:r w:rsidRPr="002C4077">
        <w:t xml:space="preserve"> </w:t>
      </w:r>
      <w:r>
        <w:t>vous</w:t>
      </w:r>
      <w:r w:rsidRPr="002C4077">
        <w:t xml:space="preserve"> </w:t>
      </w:r>
      <w:r>
        <w:t>avez</w:t>
      </w:r>
      <w:r w:rsidRPr="002C4077">
        <w:t xml:space="preserve"> </w:t>
      </w:r>
      <w:r>
        <w:t>trouvé</w:t>
      </w:r>
      <w:r w:rsidRPr="002C4077">
        <w:t xml:space="preserve"> </w:t>
      </w:r>
      <w:r>
        <w:t>grâce</w:t>
      </w:r>
      <w:r w:rsidRPr="002C4077">
        <w:t xml:space="preserve"> </w:t>
      </w:r>
      <w:r>
        <w:t>devant</w:t>
      </w:r>
      <w:r w:rsidRPr="002C4077">
        <w:t xml:space="preserve"> </w:t>
      </w:r>
      <w:r>
        <w:t>Dieu.</w:t>
      </w:r>
      <w:r w:rsidRPr="002C4077">
        <w:t xml:space="preserve"> </w:t>
      </w:r>
      <w:r w:rsidRPr="000A34B5">
        <w:rPr>
          <w:rStyle w:val="italicus"/>
        </w:rPr>
        <w:t>Voilà</w:t>
      </w:r>
      <w:r w:rsidRPr="002C4077">
        <w:t xml:space="preserve"> </w:t>
      </w:r>
      <w:r w:rsidRPr="000A34B5">
        <w:rPr>
          <w:rStyle w:val="italicus"/>
        </w:rPr>
        <w:t>que</w:t>
      </w:r>
      <w:r w:rsidRPr="002C4077">
        <w:t xml:space="preserve"> </w:t>
      </w:r>
      <w:r w:rsidRPr="000A34B5">
        <w:rPr>
          <w:rStyle w:val="italicus"/>
        </w:rPr>
        <w:t>vous</w:t>
      </w:r>
      <w:r w:rsidRPr="002C4077">
        <w:t xml:space="preserve"> </w:t>
      </w:r>
      <w:r w:rsidRPr="000A34B5">
        <w:rPr>
          <w:rStyle w:val="italicus"/>
        </w:rPr>
        <w:t>concevrez</w:t>
      </w:r>
      <w:r w:rsidRPr="002C4077">
        <w:t xml:space="preserve"> </w:t>
      </w:r>
      <w:r w:rsidRPr="000A34B5">
        <w:rPr>
          <w:rStyle w:val="italicus"/>
        </w:rPr>
        <w:t>dans</w:t>
      </w:r>
      <w:r w:rsidRPr="002C4077">
        <w:t xml:space="preserve"> </w:t>
      </w:r>
      <w:r w:rsidRPr="000A34B5">
        <w:rPr>
          <w:rStyle w:val="italicus"/>
        </w:rPr>
        <w:t>votre</w:t>
      </w:r>
      <w:r w:rsidRPr="002C4077">
        <w:t xml:space="preserve"> </w:t>
      </w:r>
      <w:r w:rsidRPr="000A34B5">
        <w:rPr>
          <w:rStyle w:val="italicus"/>
        </w:rPr>
        <w:t>sein,</w:t>
      </w:r>
      <w:r w:rsidRPr="002C4077">
        <w:t xml:space="preserve"> </w:t>
      </w:r>
      <w:r w:rsidRPr="000A34B5">
        <w:rPr>
          <w:rStyle w:val="italicus"/>
        </w:rPr>
        <w:t>et</w:t>
      </w:r>
      <w:r w:rsidRPr="002C4077">
        <w:t xml:space="preserve"> </w:t>
      </w:r>
      <w:r w:rsidRPr="000A34B5">
        <w:rPr>
          <w:rStyle w:val="italicus"/>
        </w:rPr>
        <w:t>vous</w:t>
      </w:r>
      <w:r w:rsidRPr="002C4077">
        <w:t xml:space="preserve"> </w:t>
      </w:r>
      <w:r w:rsidRPr="000A34B5">
        <w:rPr>
          <w:rStyle w:val="italicus"/>
        </w:rPr>
        <w:t>enfanterez</w:t>
      </w:r>
      <w:r w:rsidRPr="002C4077">
        <w:t xml:space="preserve"> </w:t>
      </w:r>
      <w:r w:rsidRPr="000A34B5">
        <w:rPr>
          <w:rStyle w:val="italicus"/>
        </w:rPr>
        <w:t>un</w:t>
      </w:r>
      <w:r w:rsidRPr="002C4077">
        <w:t xml:space="preserve"> </w:t>
      </w:r>
      <w:r w:rsidRPr="000A34B5">
        <w:rPr>
          <w:rStyle w:val="italicus"/>
        </w:rPr>
        <w:t>fils,</w:t>
      </w:r>
      <w:r w:rsidRPr="002C4077">
        <w:t xml:space="preserve"> </w:t>
      </w:r>
      <w:r w:rsidRPr="000A34B5">
        <w:rPr>
          <w:rStyle w:val="italicus"/>
        </w:rPr>
        <w:t>et</w:t>
      </w:r>
      <w:r w:rsidRPr="002C4077">
        <w:t xml:space="preserve"> </w:t>
      </w:r>
      <w:r w:rsidRPr="000A34B5">
        <w:rPr>
          <w:rStyle w:val="italicus"/>
        </w:rPr>
        <w:t>vous</w:t>
      </w:r>
      <w:r w:rsidRPr="002C4077">
        <w:t xml:space="preserve"> </w:t>
      </w:r>
      <w:r w:rsidRPr="000A34B5">
        <w:rPr>
          <w:rStyle w:val="italicus"/>
        </w:rPr>
        <w:t>lui</w:t>
      </w:r>
      <w:r w:rsidRPr="002C4077">
        <w:t xml:space="preserve"> </w:t>
      </w:r>
      <w:r w:rsidRPr="000A34B5">
        <w:rPr>
          <w:rStyle w:val="italicus"/>
        </w:rPr>
        <w:t>donnerez</w:t>
      </w:r>
      <w:r w:rsidRPr="002C4077">
        <w:t xml:space="preserve"> </w:t>
      </w:r>
      <w:r w:rsidRPr="000A34B5">
        <w:rPr>
          <w:rStyle w:val="italicus"/>
        </w:rPr>
        <w:t>le</w:t>
      </w:r>
      <w:r w:rsidRPr="002C4077">
        <w:t xml:space="preserve"> </w:t>
      </w:r>
      <w:r w:rsidRPr="000A34B5">
        <w:rPr>
          <w:rStyle w:val="italicus"/>
        </w:rPr>
        <w:t>nom</w:t>
      </w:r>
      <w:r w:rsidRPr="002C4077">
        <w:t xml:space="preserve"> </w:t>
      </w:r>
      <w:r w:rsidRPr="000A34B5">
        <w:rPr>
          <w:rStyle w:val="italicus"/>
        </w:rPr>
        <w:t>de</w:t>
      </w:r>
      <w:r w:rsidRPr="002C4077">
        <w:t xml:space="preserve"> </w:t>
      </w:r>
      <w:r w:rsidR="00425C50">
        <w:rPr>
          <w:rStyle w:val="italicus"/>
        </w:rPr>
        <w:t>Jésus</w:t>
      </w:r>
      <w:r w:rsidRPr="000A34B5">
        <w:rPr>
          <w:rStyle w:val="italicus"/>
        </w:rPr>
        <w:t>.</w:t>
      </w:r>
      <w:r w:rsidRPr="002C4077">
        <w:t xml:space="preserve"> </w:t>
      </w:r>
      <w:r>
        <w:t>Il</w:t>
      </w:r>
      <w:r w:rsidRPr="002C4077">
        <w:t xml:space="preserve"> </w:t>
      </w:r>
      <w:r>
        <w:t>sera</w:t>
      </w:r>
      <w:r w:rsidRPr="002C4077">
        <w:t xml:space="preserve"> </w:t>
      </w:r>
      <w:r>
        <w:t>grand</w:t>
      </w:r>
      <w:r w:rsidRPr="002C4077">
        <w:t xml:space="preserve"> </w:t>
      </w:r>
      <w:r>
        <w:t>et</w:t>
      </w:r>
      <w:r w:rsidRPr="002C4077">
        <w:t xml:space="preserve"> </w:t>
      </w:r>
      <w:r>
        <w:t>sera</w:t>
      </w:r>
      <w:r w:rsidRPr="002C4077">
        <w:t xml:space="preserve"> </w:t>
      </w:r>
      <w:r>
        <w:t>appelé</w:t>
      </w:r>
      <w:r w:rsidRPr="002C4077">
        <w:t xml:space="preserve"> </w:t>
      </w:r>
      <w:r>
        <w:t>le</w:t>
      </w:r>
      <w:r w:rsidRPr="002C4077">
        <w:t xml:space="preserve"> </w:t>
      </w:r>
      <w:r>
        <w:t>Fils</w:t>
      </w:r>
      <w:r w:rsidRPr="002C4077">
        <w:t xml:space="preserve"> </w:t>
      </w:r>
      <w:r>
        <w:t>du</w:t>
      </w:r>
      <w:r w:rsidRPr="002C4077">
        <w:t xml:space="preserve"> </w:t>
      </w:r>
      <w:r>
        <w:t>Très-Haut,</w:t>
      </w:r>
      <w:r w:rsidRPr="002C4077">
        <w:t xml:space="preserve"> </w:t>
      </w:r>
      <w:r>
        <w:t>et</w:t>
      </w:r>
      <w:r w:rsidRPr="002C4077">
        <w:t xml:space="preserve"> </w:t>
      </w:r>
      <w:r>
        <w:t>le</w:t>
      </w:r>
      <w:r w:rsidRPr="002C4077">
        <w:t xml:space="preserve"> </w:t>
      </w:r>
      <w:r>
        <w:t>Seigneur</w:t>
      </w:r>
      <w:r w:rsidRPr="002C4077">
        <w:t xml:space="preserve"> </w:t>
      </w:r>
      <w:r>
        <w:t>Dieu</w:t>
      </w:r>
      <w:r w:rsidRPr="002C4077">
        <w:t xml:space="preserve"> </w:t>
      </w:r>
      <w:r>
        <w:t>lui</w:t>
      </w:r>
      <w:r w:rsidRPr="002C4077">
        <w:t xml:space="preserve"> </w:t>
      </w:r>
      <w:r>
        <w:t>donnera</w:t>
      </w:r>
      <w:r w:rsidRPr="002C4077">
        <w:t xml:space="preserve"> </w:t>
      </w:r>
      <w:r>
        <w:t>le</w:t>
      </w:r>
      <w:r w:rsidRPr="002C4077">
        <w:t xml:space="preserve"> </w:t>
      </w:r>
      <w:r>
        <w:t>trône</w:t>
      </w:r>
      <w:r w:rsidRPr="002C4077">
        <w:t xml:space="preserve"> </w:t>
      </w:r>
      <w:r>
        <w:t>de</w:t>
      </w:r>
      <w:r w:rsidRPr="002C4077">
        <w:t xml:space="preserve"> </w:t>
      </w:r>
      <w:r>
        <w:t>David,</w:t>
      </w:r>
      <w:r w:rsidRPr="002C4077">
        <w:t xml:space="preserve"> </w:t>
      </w:r>
      <w:r>
        <w:t>son</w:t>
      </w:r>
      <w:r w:rsidRPr="002C4077">
        <w:t xml:space="preserve"> </w:t>
      </w:r>
      <w:r>
        <w:t>père</w:t>
      </w:r>
      <w:r w:rsidR="00B546AF">
        <w:t> ;</w:t>
      </w:r>
      <w:r w:rsidRPr="002C4077">
        <w:t xml:space="preserve"> </w:t>
      </w:r>
      <w:r>
        <w:t>et</w:t>
      </w:r>
      <w:r w:rsidRPr="002C4077">
        <w:t xml:space="preserve"> </w:t>
      </w:r>
      <w:r>
        <w:t>il</w:t>
      </w:r>
      <w:r w:rsidRPr="002C4077">
        <w:t xml:space="preserve"> </w:t>
      </w:r>
      <w:r>
        <w:t>régnera</w:t>
      </w:r>
      <w:r w:rsidRPr="002C4077">
        <w:t xml:space="preserve"> </w:t>
      </w:r>
      <w:r>
        <w:t>éternellement</w:t>
      </w:r>
      <w:r w:rsidRPr="002C4077">
        <w:t xml:space="preserve"> </w:t>
      </w:r>
      <w:r>
        <w:t>sur</w:t>
      </w:r>
      <w:r w:rsidRPr="002C4077">
        <w:t xml:space="preserve"> </w:t>
      </w:r>
      <w:r>
        <w:t>la</w:t>
      </w:r>
      <w:r w:rsidRPr="002C4077">
        <w:t xml:space="preserve"> </w:t>
      </w:r>
      <w:r>
        <w:t>maison</w:t>
      </w:r>
      <w:r w:rsidRPr="002C4077">
        <w:t xml:space="preserve"> </w:t>
      </w:r>
      <w:r>
        <w:t>de</w:t>
      </w:r>
      <w:r w:rsidRPr="002C4077">
        <w:t xml:space="preserve"> </w:t>
      </w:r>
      <w:r>
        <w:t>Jacob</w:t>
      </w:r>
      <w:r w:rsidRPr="002C4077">
        <w:t xml:space="preserve"> </w:t>
      </w:r>
      <w:r>
        <w:t>et</w:t>
      </w:r>
      <w:r w:rsidRPr="002C4077">
        <w:t xml:space="preserve"> </w:t>
      </w:r>
      <w:r>
        <w:t>son</w:t>
      </w:r>
      <w:r w:rsidRPr="002C4077">
        <w:t xml:space="preserve"> </w:t>
      </w:r>
      <w:r>
        <w:t>règne</w:t>
      </w:r>
      <w:r w:rsidRPr="002C4077">
        <w:t xml:space="preserve"> </w:t>
      </w:r>
      <w:r>
        <w:t>n’aura</w:t>
      </w:r>
      <w:r w:rsidRPr="002C4077">
        <w:t xml:space="preserve"> </w:t>
      </w:r>
      <w:r>
        <w:t>point</w:t>
      </w:r>
      <w:r w:rsidRPr="002C4077">
        <w:t xml:space="preserve"> </w:t>
      </w:r>
      <w:r>
        <w:t>de</w:t>
      </w:r>
      <w:r w:rsidRPr="002C4077">
        <w:t xml:space="preserve"> </w:t>
      </w:r>
      <w:r>
        <w:t>fin.</w:t>
      </w:r>
      <w:r w:rsidRPr="002C4077">
        <w:t xml:space="preserve"> </w:t>
      </w:r>
      <w:r>
        <w:t>Marie</w:t>
      </w:r>
      <w:r w:rsidRPr="002C4077">
        <w:t xml:space="preserve"> </w:t>
      </w:r>
      <w:r>
        <w:t>dit</w:t>
      </w:r>
      <w:r w:rsidRPr="002C4077">
        <w:t xml:space="preserve"> </w:t>
      </w:r>
      <w:r>
        <w:t>à</w:t>
      </w:r>
      <w:r w:rsidRPr="002C4077">
        <w:t xml:space="preserve"> </w:t>
      </w:r>
      <w:r>
        <w:t>l’ange</w:t>
      </w:r>
      <w:r w:rsidR="00B546AF">
        <w:t> :</w:t>
      </w:r>
      <w:r w:rsidRPr="002C4077">
        <w:t xml:space="preserve"> </w:t>
      </w:r>
      <w:r>
        <w:t>Comment</w:t>
      </w:r>
      <w:r w:rsidRPr="002C4077">
        <w:t xml:space="preserve"> </w:t>
      </w:r>
      <w:r>
        <w:t>cela</w:t>
      </w:r>
      <w:r w:rsidRPr="002C4077">
        <w:t xml:space="preserve"> </w:t>
      </w:r>
      <w:r>
        <w:t>se</w:t>
      </w:r>
      <w:r w:rsidRPr="002C4077">
        <w:t xml:space="preserve"> </w:t>
      </w:r>
      <w:r>
        <w:t>fera-t-il</w:t>
      </w:r>
      <w:r w:rsidR="00B546AF">
        <w:t> ?</w:t>
      </w:r>
      <w:r w:rsidRPr="002C4077">
        <w:t xml:space="preserve"> </w:t>
      </w:r>
      <w:r>
        <w:t>car</w:t>
      </w:r>
      <w:r w:rsidRPr="002C4077">
        <w:t xml:space="preserve"> </w:t>
      </w:r>
      <w:r>
        <w:t>je</w:t>
      </w:r>
      <w:r w:rsidRPr="002C4077">
        <w:t xml:space="preserve"> </w:t>
      </w:r>
      <w:r>
        <w:t>ne</w:t>
      </w:r>
      <w:r w:rsidRPr="002C4077">
        <w:t xml:space="preserve"> </w:t>
      </w:r>
      <w:r>
        <w:t>connais</w:t>
      </w:r>
      <w:r w:rsidRPr="002C4077">
        <w:t xml:space="preserve"> </w:t>
      </w:r>
      <w:r>
        <w:t>point</w:t>
      </w:r>
      <w:r w:rsidRPr="002C4077">
        <w:t xml:space="preserve"> </w:t>
      </w:r>
      <w:r>
        <w:t>d’homme.</w:t>
      </w:r>
      <w:r w:rsidRPr="002C4077">
        <w:t xml:space="preserve"> </w:t>
      </w:r>
      <w:r>
        <w:t>Et</w:t>
      </w:r>
      <w:r w:rsidRPr="002C4077">
        <w:t xml:space="preserve"> </w:t>
      </w:r>
      <w:r>
        <w:t>l’ange</w:t>
      </w:r>
      <w:r w:rsidRPr="002C4077">
        <w:t xml:space="preserve"> </w:t>
      </w:r>
      <w:r>
        <w:t>lui</w:t>
      </w:r>
      <w:r w:rsidRPr="002C4077">
        <w:t xml:space="preserve"> </w:t>
      </w:r>
      <w:r>
        <w:t>répondit</w:t>
      </w:r>
      <w:r w:rsidR="00B546AF">
        <w:t> :</w:t>
      </w:r>
      <w:r w:rsidRPr="002C4077">
        <w:t xml:space="preserve"> </w:t>
      </w:r>
      <w:r>
        <w:t>L’Esprit-Saint</w:t>
      </w:r>
      <w:r w:rsidRPr="002C4077">
        <w:t xml:space="preserve"> </w:t>
      </w:r>
      <w:r>
        <w:t>surviendra</w:t>
      </w:r>
      <w:r w:rsidRPr="002C4077">
        <w:t xml:space="preserve"> </w:t>
      </w:r>
      <w:r>
        <w:t>en</w:t>
      </w:r>
      <w:r w:rsidRPr="002C4077">
        <w:t xml:space="preserve"> </w:t>
      </w:r>
      <w:r>
        <w:t>vous,</w:t>
      </w:r>
      <w:r w:rsidRPr="002C4077">
        <w:t xml:space="preserve"> </w:t>
      </w:r>
      <w:r>
        <w:t>et</w:t>
      </w:r>
      <w:r w:rsidRPr="002C4077">
        <w:t xml:space="preserve"> </w:t>
      </w:r>
      <w:r>
        <w:t>la</w:t>
      </w:r>
      <w:r w:rsidRPr="002C4077">
        <w:t xml:space="preserve"> </w:t>
      </w:r>
      <w:r>
        <w:t>vertu</w:t>
      </w:r>
      <w:r w:rsidRPr="002C4077">
        <w:t xml:space="preserve"> </w:t>
      </w:r>
      <w:r>
        <w:t>du</w:t>
      </w:r>
      <w:r w:rsidRPr="002C4077">
        <w:t xml:space="preserve"> </w:t>
      </w:r>
      <w:r>
        <w:t>Très-Haut</w:t>
      </w:r>
      <w:r w:rsidRPr="002C4077">
        <w:t xml:space="preserve"> </w:t>
      </w:r>
      <w:r>
        <w:t>vous</w:t>
      </w:r>
      <w:r w:rsidRPr="002C4077">
        <w:t xml:space="preserve"> </w:t>
      </w:r>
      <w:r>
        <w:t>couvrira</w:t>
      </w:r>
      <w:r w:rsidRPr="002C4077">
        <w:t xml:space="preserve"> </w:t>
      </w:r>
      <w:r>
        <w:t>de</w:t>
      </w:r>
      <w:r w:rsidRPr="002C4077">
        <w:t xml:space="preserve"> </w:t>
      </w:r>
      <w:r>
        <w:t>son</w:t>
      </w:r>
      <w:r w:rsidRPr="002C4077">
        <w:t xml:space="preserve"> </w:t>
      </w:r>
      <w:r>
        <w:t>ombre.</w:t>
      </w:r>
      <w:r w:rsidRPr="002C4077">
        <w:t xml:space="preserve"> </w:t>
      </w:r>
      <w:r>
        <w:t>C’est</w:t>
      </w:r>
      <w:r w:rsidRPr="002C4077">
        <w:t xml:space="preserve"> </w:t>
      </w:r>
      <w:r>
        <w:t>pourquoi</w:t>
      </w:r>
      <w:r w:rsidRPr="002C4077">
        <w:t xml:space="preserve"> </w:t>
      </w:r>
      <w:r>
        <w:t>le</w:t>
      </w:r>
      <w:r w:rsidRPr="002C4077">
        <w:t xml:space="preserve"> </w:t>
      </w:r>
      <w:r>
        <w:t>fruit</w:t>
      </w:r>
      <w:r w:rsidRPr="002C4077">
        <w:t xml:space="preserve"> </w:t>
      </w:r>
      <w:r>
        <w:t>saint</w:t>
      </w:r>
      <w:r w:rsidRPr="002C4077">
        <w:t xml:space="preserve"> </w:t>
      </w:r>
      <w:r>
        <w:t>qui</w:t>
      </w:r>
      <w:r w:rsidRPr="002C4077">
        <w:t xml:space="preserve"> </w:t>
      </w:r>
      <w:r>
        <w:t>naîtra</w:t>
      </w:r>
      <w:r w:rsidRPr="002C4077">
        <w:t xml:space="preserve"> </w:t>
      </w:r>
      <w:r>
        <w:t>de</w:t>
      </w:r>
      <w:r w:rsidRPr="002C4077">
        <w:t xml:space="preserve"> </w:t>
      </w:r>
      <w:r>
        <w:t>vous</w:t>
      </w:r>
      <w:r w:rsidRPr="002C4077">
        <w:t xml:space="preserve"> </w:t>
      </w:r>
      <w:r>
        <w:t>sera</w:t>
      </w:r>
      <w:r w:rsidRPr="002C4077">
        <w:t xml:space="preserve"> </w:t>
      </w:r>
      <w:r>
        <w:t>appelé</w:t>
      </w:r>
      <w:r w:rsidRPr="002C4077">
        <w:t xml:space="preserve"> </w:t>
      </w:r>
      <w:r>
        <w:t>le</w:t>
      </w:r>
      <w:r w:rsidRPr="002C4077">
        <w:t xml:space="preserve"> </w:t>
      </w:r>
      <w:r>
        <w:t>Fils</w:t>
      </w:r>
      <w:r w:rsidRPr="002C4077">
        <w:t xml:space="preserve"> </w:t>
      </w:r>
      <w:r>
        <w:t>de</w:t>
      </w:r>
      <w:r w:rsidRPr="002C4077">
        <w:t xml:space="preserve"> </w:t>
      </w:r>
      <w:r>
        <w:t>Dieu</w:t>
      </w:r>
      <w:r w:rsidR="00B91AF7">
        <w:rPr>
          <w:rStyle w:val="Appelnotedebasdep"/>
        </w:rPr>
        <w:footnoteReference w:id="109"/>
      </w:r>
      <w:r w:rsidR="00B546AF">
        <w:t> »</w:t>
      </w:r>
      <w:r>
        <w:t>.</w:t>
      </w:r>
      <w:r w:rsidRPr="002C4077">
        <w:t xml:space="preserve"> </w:t>
      </w:r>
    </w:p>
    <w:p w:rsidR="000A7AAB" w:rsidRPr="000721C4" w:rsidRDefault="000A7AAB" w:rsidP="000A7AAB">
      <w:r>
        <w:t>Nous</w:t>
      </w:r>
      <w:bookmarkStart w:id="150" w:name="z_MessiePere_o1"/>
      <w:bookmarkEnd w:id="150"/>
      <w:r w:rsidRPr="002C4077">
        <w:t xml:space="preserve"> </w:t>
      </w:r>
      <w:r>
        <w:t>n’avions</w:t>
      </w:r>
      <w:r w:rsidRPr="002C4077">
        <w:t xml:space="preserve"> </w:t>
      </w:r>
      <w:r>
        <w:t>pas</w:t>
      </w:r>
      <w:r w:rsidRPr="002C4077">
        <w:t xml:space="preserve"> </w:t>
      </w:r>
      <w:r>
        <w:t>besoin</w:t>
      </w:r>
      <w:r w:rsidRPr="002C4077">
        <w:t xml:space="preserve"> </w:t>
      </w:r>
      <w:r>
        <w:t>de</w:t>
      </w:r>
      <w:r w:rsidRPr="002C4077">
        <w:t xml:space="preserve"> </w:t>
      </w:r>
      <w:r>
        <w:t>souligner</w:t>
      </w:r>
      <w:r w:rsidRPr="002C4077">
        <w:t xml:space="preserve"> </w:t>
      </w:r>
      <w:r>
        <w:t>l’allusion</w:t>
      </w:r>
      <w:r w:rsidRPr="002C4077">
        <w:t xml:space="preserve"> </w:t>
      </w:r>
      <w:r>
        <w:t>à</w:t>
      </w:r>
      <w:r w:rsidRPr="002C4077">
        <w:t xml:space="preserve"> </w:t>
      </w:r>
      <w:r>
        <w:t>la</w:t>
      </w:r>
      <w:r w:rsidRPr="002C4077">
        <w:t xml:space="preserve"> </w:t>
      </w:r>
      <w:r>
        <w:t>prophétie</w:t>
      </w:r>
      <w:r w:rsidRPr="002C4077">
        <w:t xml:space="preserve"> </w:t>
      </w:r>
      <w:r>
        <w:t>d’Isaïe</w:t>
      </w:r>
      <w:r w:rsidR="00B546AF">
        <w:t> ;</w:t>
      </w:r>
      <w:r w:rsidRPr="002C4077">
        <w:t xml:space="preserve"> </w:t>
      </w:r>
      <w:r>
        <w:t>elle</w:t>
      </w:r>
      <w:r w:rsidRPr="002C4077">
        <w:t xml:space="preserve"> </w:t>
      </w:r>
      <w:r w:rsidR="00425C50">
        <w:t>est</w:t>
      </w:r>
      <w:r w:rsidRPr="002C4077">
        <w:t xml:space="preserve"> </w:t>
      </w:r>
      <w:r>
        <w:t>assez</w:t>
      </w:r>
      <w:r w:rsidRPr="002C4077">
        <w:t xml:space="preserve"> </w:t>
      </w:r>
      <w:r>
        <w:t>claire</w:t>
      </w:r>
      <w:r w:rsidRPr="002C4077">
        <w:t xml:space="preserve"> </w:t>
      </w:r>
      <w:r>
        <w:t>par</w:t>
      </w:r>
      <w:r w:rsidRPr="002C4077">
        <w:t xml:space="preserve"> </w:t>
      </w:r>
      <w:r>
        <w:t>elle-même.</w:t>
      </w:r>
      <w:r w:rsidRPr="002C4077">
        <w:t xml:space="preserve"> </w:t>
      </w:r>
      <w:r>
        <w:t>Donc,</w:t>
      </w:r>
      <w:r w:rsidRPr="002C4077">
        <w:t xml:space="preserve"> </w:t>
      </w:r>
      <w:r>
        <w:t>d’après</w:t>
      </w:r>
      <w:r w:rsidRPr="002C4077">
        <w:t xml:space="preserve"> </w:t>
      </w:r>
      <w:r>
        <w:t>saint</w:t>
      </w:r>
      <w:r w:rsidRPr="002C4077">
        <w:t xml:space="preserve"> </w:t>
      </w:r>
      <w:r>
        <w:t>Luc</w:t>
      </w:r>
      <w:r w:rsidRPr="002C4077">
        <w:t xml:space="preserve"> </w:t>
      </w:r>
      <w:r>
        <w:t>également,</w:t>
      </w:r>
      <w:r w:rsidRPr="002C4077">
        <w:t xml:space="preserve"> </w:t>
      </w:r>
      <w:r w:rsidR="00D40830" w:rsidRPr="00D05EA9">
        <w:rPr>
          <w:rStyle w:val="italicus"/>
        </w:rPr>
        <w:t>῾almah</w:t>
      </w:r>
      <w:r w:rsidRPr="002C4077">
        <w:t xml:space="preserve"> </w:t>
      </w:r>
      <w:r>
        <w:t>désigne</w:t>
      </w:r>
      <w:r w:rsidRPr="002C4077">
        <w:t xml:space="preserve"> </w:t>
      </w:r>
      <w:r>
        <w:t>une</w:t>
      </w:r>
      <w:r w:rsidRPr="002C4077">
        <w:t xml:space="preserve"> </w:t>
      </w:r>
      <w:r>
        <w:t>vierge</w:t>
      </w:r>
      <w:r w:rsidRPr="002C4077">
        <w:t xml:space="preserve"> </w:t>
      </w:r>
      <w:r>
        <w:t>devenant</w:t>
      </w:r>
      <w:r w:rsidRPr="002C4077">
        <w:t xml:space="preserve"> </w:t>
      </w:r>
      <w:r>
        <w:t>mère</w:t>
      </w:r>
      <w:r w:rsidRPr="002C4077">
        <w:t xml:space="preserve"> </w:t>
      </w:r>
      <w:r>
        <w:t>par</w:t>
      </w:r>
      <w:r w:rsidRPr="002C4077">
        <w:t xml:space="preserve"> </w:t>
      </w:r>
      <w:r>
        <w:t>un</w:t>
      </w:r>
      <w:r w:rsidRPr="002C4077">
        <w:t xml:space="preserve"> </w:t>
      </w:r>
      <w:r>
        <w:t>miracle</w:t>
      </w:r>
      <w:r w:rsidRPr="002C4077">
        <w:t xml:space="preserve"> </w:t>
      </w:r>
      <w:r>
        <w:t>inouï,</w:t>
      </w:r>
      <w:r w:rsidRPr="002C4077">
        <w:t xml:space="preserve"> </w:t>
      </w:r>
      <w:r>
        <w:t>et</w:t>
      </w:r>
      <w:r w:rsidRPr="002C4077">
        <w:t xml:space="preserve"> </w:t>
      </w:r>
      <w:r>
        <w:t>Marie,</w:t>
      </w:r>
      <w:r w:rsidRPr="002C4077">
        <w:t xml:space="preserve"> </w:t>
      </w:r>
      <w:r>
        <w:t>mère</w:t>
      </w:r>
      <w:r w:rsidRPr="002C4077">
        <w:t xml:space="preserve"> </w:t>
      </w:r>
      <w:r>
        <w:t>de</w:t>
      </w:r>
      <w:r w:rsidRPr="002C4077">
        <w:t xml:space="preserve"> </w:t>
      </w:r>
      <w:r w:rsidR="00425C50">
        <w:t>Jésus</w:t>
      </w:r>
      <w:r>
        <w:t>,</w:t>
      </w:r>
      <w:r w:rsidRPr="002C4077">
        <w:t xml:space="preserve"> </w:t>
      </w:r>
      <w:r w:rsidR="00425C50">
        <w:t>est</w:t>
      </w:r>
      <w:r w:rsidRPr="002C4077">
        <w:t xml:space="preserve"> </w:t>
      </w:r>
      <w:r>
        <w:t>cette</w:t>
      </w:r>
      <w:r w:rsidRPr="002C4077">
        <w:t xml:space="preserve"> </w:t>
      </w:r>
      <w:r>
        <w:t>vierge.</w:t>
      </w:r>
      <w:r w:rsidRPr="002C4077">
        <w:t xml:space="preserve"> </w:t>
      </w:r>
      <w:r>
        <w:t>Qu’on</w:t>
      </w:r>
      <w:r w:rsidRPr="002C4077">
        <w:t xml:space="preserve"> </w:t>
      </w:r>
      <w:r>
        <w:t>nous</w:t>
      </w:r>
      <w:r w:rsidRPr="002C4077">
        <w:t xml:space="preserve"> </w:t>
      </w:r>
      <w:r>
        <w:t>cite</w:t>
      </w:r>
      <w:r w:rsidRPr="002C4077">
        <w:t xml:space="preserve"> </w:t>
      </w:r>
      <w:r>
        <w:t>les</w:t>
      </w:r>
      <w:r w:rsidRPr="002C4077">
        <w:t xml:space="preserve"> </w:t>
      </w:r>
      <w:r>
        <w:t>endroits</w:t>
      </w:r>
      <w:r w:rsidRPr="002C4077">
        <w:t xml:space="preserve"> </w:t>
      </w:r>
      <w:r>
        <w:t>du</w:t>
      </w:r>
      <w:r w:rsidRPr="002C4077">
        <w:t xml:space="preserve"> </w:t>
      </w:r>
      <w:r>
        <w:t>Nouveau</w:t>
      </w:r>
      <w:r w:rsidRPr="002C4077">
        <w:t xml:space="preserve"> </w:t>
      </w:r>
      <w:r>
        <w:t>Testament</w:t>
      </w:r>
      <w:r w:rsidRPr="002C4077">
        <w:t xml:space="preserve"> </w:t>
      </w:r>
      <w:r>
        <w:t>qui</w:t>
      </w:r>
      <w:r w:rsidRPr="002C4077">
        <w:t xml:space="preserve"> </w:t>
      </w:r>
      <w:r>
        <w:t>attribuent</w:t>
      </w:r>
      <w:r w:rsidRPr="002C4077">
        <w:t xml:space="preserve"> </w:t>
      </w:r>
      <w:r>
        <w:t>à</w:t>
      </w:r>
      <w:r w:rsidRPr="002C4077">
        <w:t xml:space="preserve"> </w:t>
      </w:r>
      <w:r>
        <w:t>Notre</w:t>
      </w:r>
      <w:r w:rsidRPr="002C4077">
        <w:t xml:space="preserve"> </w:t>
      </w:r>
      <w:r>
        <w:t>Seigneur</w:t>
      </w:r>
      <w:r w:rsidRPr="002C4077">
        <w:t xml:space="preserve"> </w:t>
      </w:r>
      <w:r w:rsidR="00425C50">
        <w:t>Jésus</w:t>
      </w:r>
      <w:r>
        <w:t>-</w:t>
      </w:r>
      <w:r w:rsidR="00425C50">
        <w:t>Christ</w:t>
      </w:r>
      <w:r w:rsidRPr="002C4077">
        <w:t xml:space="preserve"> </w:t>
      </w:r>
      <w:r>
        <w:t>un</w:t>
      </w:r>
      <w:r w:rsidRPr="002C4077">
        <w:t xml:space="preserve"> </w:t>
      </w:r>
      <w:r>
        <w:t>père</w:t>
      </w:r>
      <w:r w:rsidRPr="002C4077">
        <w:t xml:space="preserve"> </w:t>
      </w:r>
      <w:r>
        <w:t>selon</w:t>
      </w:r>
      <w:r w:rsidRPr="002C4077">
        <w:t xml:space="preserve"> </w:t>
      </w:r>
      <w:r>
        <w:t>la</w:t>
      </w:r>
      <w:r w:rsidRPr="002C4077">
        <w:t xml:space="preserve"> </w:t>
      </w:r>
      <w:r>
        <w:t>chair</w:t>
      </w:r>
      <w:r w:rsidR="00B546AF">
        <w:t> ?</w:t>
      </w:r>
      <w:r w:rsidRPr="002C4077">
        <w:t xml:space="preserve"> </w:t>
      </w:r>
      <w:r w:rsidRPr="000A34B5">
        <w:rPr>
          <w:rStyle w:val="italicus"/>
        </w:rPr>
        <w:t>Factura</w:t>
      </w:r>
      <w:r w:rsidRPr="002C4077">
        <w:t xml:space="preserve"> </w:t>
      </w:r>
      <w:r w:rsidRPr="000A34B5">
        <w:rPr>
          <w:rStyle w:val="italicus"/>
        </w:rPr>
        <w:t>ex</w:t>
      </w:r>
      <w:r w:rsidRPr="002C4077">
        <w:t xml:space="preserve"> </w:t>
      </w:r>
      <w:r w:rsidR="003B53FD" w:rsidRPr="000A34B5">
        <w:rPr>
          <w:rStyle w:val="italicus"/>
        </w:rPr>
        <w:t>mul</w:t>
      </w:r>
      <w:r w:rsidR="003B53FD">
        <w:rPr>
          <w:rStyle w:val="italicus"/>
        </w:rPr>
        <w:t>í</w:t>
      </w:r>
      <w:r w:rsidR="003B53FD" w:rsidRPr="000A34B5">
        <w:rPr>
          <w:rStyle w:val="italicus"/>
        </w:rPr>
        <w:t>ere</w:t>
      </w:r>
      <w:r w:rsidRPr="000A34B5">
        <w:rPr>
          <w:rStyle w:val="italicus"/>
        </w:rPr>
        <w:t>,</w:t>
      </w:r>
      <w:r w:rsidRPr="002C4077">
        <w:t xml:space="preserve"> </w:t>
      </w:r>
      <w:r>
        <w:t>dira</w:t>
      </w:r>
      <w:r w:rsidRPr="002C4077">
        <w:t xml:space="preserve"> </w:t>
      </w:r>
      <w:r>
        <w:t>de</w:t>
      </w:r>
      <w:r w:rsidRPr="002C4077">
        <w:t xml:space="preserve"> </w:t>
      </w:r>
      <w:r>
        <w:t>lui</w:t>
      </w:r>
      <w:r w:rsidRPr="002C4077">
        <w:t xml:space="preserve"> </w:t>
      </w:r>
      <w:r>
        <w:t>saint</w:t>
      </w:r>
      <w:r w:rsidRPr="002C4077">
        <w:t xml:space="preserve"> </w:t>
      </w:r>
      <w:r>
        <w:t>Paul</w:t>
      </w:r>
      <w:r w:rsidR="00B91AF7">
        <w:rPr>
          <w:rStyle w:val="Appelnotedebasdep"/>
        </w:rPr>
        <w:footnoteReference w:id="110"/>
      </w:r>
      <w:r w:rsidR="00B546AF">
        <w:t> ;</w:t>
      </w:r>
      <w:r w:rsidRPr="002C4077">
        <w:t xml:space="preserve"> </w:t>
      </w:r>
      <w:r>
        <w:t>mais</w:t>
      </w:r>
      <w:r w:rsidRPr="002C4077">
        <w:t xml:space="preserve"> </w:t>
      </w:r>
      <w:r>
        <w:t>il</w:t>
      </w:r>
      <w:r w:rsidRPr="002C4077">
        <w:t xml:space="preserve"> </w:t>
      </w:r>
      <w:r>
        <w:t>n’ajoutera</w:t>
      </w:r>
      <w:r w:rsidRPr="002C4077">
        <w:t xml:space="preserve"> </w:t>
      </w:r>
      <w:r>
        <w:t>pas</w:t>
      </w:r>
      <w:r w:rsidRPr="002C4077">
        <w:t xml:space="preserve"> </w:t>
      </w:r>
      <w:r>
        <w:t>autre</w:t>
      </w:r>
      <w:r w:rsidRPr="002C4077">
        <w:t xml:space="preserve"> </w:t>
      </w:r>
      <w:r>
        <w:t>chose.</w:t>
      </w:r>
      <w:r w:rsidR="00C45B47">
        <w:t xml:space="preserve"> {</w:t>
      </w:r>
      <w:r w:rsidR="000721C4">
        <w:t>41</w:t>
      </w:r>
      <w:bookmarkStart w:id="151" w:name="p041"/>
      <w:bookmarkEnd w:id="151"/>
      <w:r w:rsidR="000721C4">
        <w:t xml:space="preserve">} </w:t>
      </w:r>
    </w:p>
    <w:p w:rsidR="000A7AAB" w:rsidRDefault="000A7AAB" w:rsidP="000A7AAB">
      <w:r>
        <w:t>Étant</w:t>
      </w:r>
      <w:r w:rsidRPr="002C4077">
        <w:t xml:space="preserve"> </w:t>
      </w:r>
      <w:r>
        <w:t>données</w:t>
      </w:r>
      <w:r w:rsidRPr="002C4077">
        <w:t xml:space="preserve"> </w:t>
      </w:r>
      <w:r>
        <w:t>ces</w:t>
      </w:r>
      <w:r w:rsidRPr="002C4077">
        <w:t xml:space="preserve"> </w:t>
      </w:r>
      <w:r>
        <w:t>garanties,</w:t>
      </w:r>
      <w:r w:rsidRPr="002C4077">
        <w:t xml:space="preserve"> </w:t>
      </w:r>
      <w:r>
        <w:t>soit</w:t>
      </w:r>
      <w:r w:rsidRPr="002C4077">
        <w:t xml:space="preserve"> </w:t>
      </w:r>
      <w:r>
        <w:t>directes,</w:t>
      </w:r>
      <w:r w:rsidRPr="002C4077">
        <w:t xml:space="preserve"> </w:t>
      </w:r>
      <w:r>
        <w:t>soit</w:t>
      </w:r>
      <w:r w:rsidRPr="002C4077">
        <w:t xml:space="preserve"> </w:t>
      </w:r>
      <w:r>
        <w:t>au</w:t>
      </w:r>
      <w:r w:rsidRPr="002C4077">
        <w:t xml:space="preserve"> </w:t>
      </w:r>
      <w:r>
        <w:t>moins</w:t>
      </w:r>
      <w:r w:rsidRPr="002C4077">
        <w:t xml:space="preserve"> </w:t>
      </w:r>
      <w:r>
        <w:t>négatives,</w:t>
      </w:r>
      <w:r w:rsidRPr="002C4077">
        <w:t xml:space="preserve"> </w:t>
      </w:r>
      <w:r>
        <w:t>qui</w:t>
      </w:r>
      <w:r w:rsidRPr="002C4077">
        <w:t xml:space="preserve"> </w:t>
      </w:r>
      <w:r>
        <w:t>viennent</w:t>
      </w:r>
      <w:r w:rsidRPr="002C4077">
        <w:t xml:space="preserve"> </w:t>
      </w:r>
      <w:r>
        <w:t>confirmer</w:t>
      </w:r>
      <w:r w:rsidRPr="002C4077">
        <w:t xml:space="preserve"> </w:t>
      </w:r>
      <w:r>
        <w:t>dans</w:t>
      </w:r>
      <w:r w:rsidRPr="002C4077">
        <w:t xml:space="preserve"> </w:t>
      </w:r>
      <w:r>
        <w:t>les</w:t>
      </w:r>
      <w:r w:rsidRPr="002C4077">
        <w:t xml:space="preserve"> </w:t>
      </w:r>
      <w:r>
        <w:t>écrits</w:t>
      </w:r>
      <w:r w:rsidRPr="002C4077">
        <w:t xml:space="preserve"> </w:t>
      </w:r>
      <w:r>
        <w:t>de</w:t>
      </w:r>
      <w:r w:rsidRPr="002C4077">
        <w:t xml:space="preserve"> </w:t>
      </w:r>
      <w:r>
        <w:t>la</w:t>
      </w:r>
      <w:r w:rsidRPr="002C4077">
        <w:t xml:space="preserve"> </w:t>
      </w:r>
      <w:r>
        <w:t>nouvelle</w:t>
      </w:r>
      <w:r w:rsidRPr="002C4077">
        <w:t xml:space="preserve"> </w:t>
      </w:r>
      <w:r>
        <w:t>Alliance</w:t>
      </w:r>
      <w:r w:rsidRPr="002C4077">
        <w:t xml:space="preserve"> </w:t>
      </w:r>
      <w:r>
        <w:t>le</w:t>
      </w:r>
      <w:r w:rsidRPr="002C4077">
        <w:t xml:space="preserve"> </w:t>
      </w:r>
      <w:r>
        <w:t>témoignage</w:t>
      </w:r>
      <w:r w:rsidRPr="002C4077">
        <w:t xml:space="preserve"> </w:t>
      </w:r>
      <w:r>
        <w:t>de</w:t>
      </w:r>
      <w:r w:rsidRPr="002C4077">
        <w:t xml:space="preserve"> </w:t>
      </w:r>
      <w:r>
        <w:t>saint</w:t>
      </w:r>
      <w:r w:rsidRPr="002C4077">
        <w:t xml:space="preserve"> </w:t>
      </w:r>
      <w:r w:rsidR="00425C50">
        <w:t>Matth</w:t>
      </w:r>
      <w:r>
        <w:t>ieu,</w:t>
      </w:r>
      <w:r w:rsidRPr="002C4077">
        <w:t xml:space="preserve"> </w:t>
      </w:r>
      <w:r>
        <w:t>—</w:t>
      </w:r>
      <w:r w:rsidRPr="002C4077">
        <w:t xml:space="preserve"> </w:t>
      </w:r>
      <w:r>
        <w:t>indépendamment</w:t>
      </w:r>
      <w:r w:rsidRPr="002C4077">
        <w:t xml:space="preserve"> </w:t>
      </w:r>
      <w:r>
        <w:t>de</w:t>
      </w:r>
      <w:r w:rsidRPr="002C4077">
        <w:t xml:space="preserve"> </w:t>
      </w:r>
      <w:r>
        <w:t>l’argument</w:t>
      </w:r>
      <w:r w:rsidRPr="002C4077">
        <w:t xml:space="preserve"> </w:t>
      </w:r>
      <w:r>
        <w:t>de</w:t>
      </w:r>
      <w:r w:rsidRPr="002C4077">
        <w:t xml:space="preserve"> </w:t>
      </w:r>
      <w:r>
        <w:t>tradition,</w:t>
      </w:r>
      <w:r w:rsidRPr="002C4077">
        <w:t xml:space="preserve"> </w:t>
      </w:r>
      <w:r>
        <w:t>auquel</w:t>
      </w:r>
      <w:r w:rsidRPr="002C4077">
        <w:t xml:space="preserve"> </w:t>
      </w:r>
      <w:r>
        <w:t>nous</w:t>
      </w:r>
      <w:r w:rsidRPr="002C4077">
        <w:t xml:space="preserve"> </w:t>
      </w:r>
      <w:r>
        <w:t>arriverons</w:t>
      </w:r>
      <w:r w:rsidRPr="002C4077">
        <w:t xml:space="preserve"> </w:t>
      </w:r>
      <w:r>
        <w:t>tout</w:t>
      </w:r>
      <w:r w:rsidRPr="002C4077">
        <w:t xml:space="preserve"> </w:t>
      </w:r>
      <w:r>
        <w:t>à</w:t>
      </w:r>
      <w:r w:rsidRPr="002C4077">
        <w:t xml:space="preserve"> </w:t>
      </w:r>
      <w:r>
        <w:t>l’heure,</w:t>
      </w:r>
      <w:r w:rsidRPr="002C4077">
        <w:t xml:space="preserve"> </w:t>
      </w:r>
      <w:r>
        <w:t>—</w:t>
      </w:r>
      <w:r w:rsidRPr="002C4077">
        <w:t xml:space="preserve"> </w:t>
      </w:r>
      <w:r>
        <w:t>comment</w:t>
      </w:r>
      <w:r w:rsidRPr="002C4077">
        <w:t xml:space="preserve"> </w:t>
      </w:r>
      <w:r>
        <w:t>expliquer</w:t>
      </w:r>
      <w:r w:rsidRPr="002C4077">
        <w:t xml:space="preserve"> </w:t>
      </w:r>
      <w:r>
        <w:t>cette</w:t>
      </w:r>
      <w:r w:rsidRPr="002C4077">
        <w:t xml:space="preserve"> </w:t>
      </w:r>
      <w:r>
        <w:t>réflexion</w:t>
      </w:r>
      <w:r w:rsidRPr="002C4077">
        <w:t xml:space="preserve"> </w:t>
      </w:r>
      <w:r>
        <w:t>plus</w:t>
      </w:r>
      <w:r w:rsidRPr="002C4077">
        <w:t xml:space="preserve"> </w:t>
      </w:r>
      <w:r>
        <w:t>qu’étrange</w:t>
      </w:r>
      <w:r w:rsidRPr="002C4077">
        <w:t xml:space="preserve"> </w:t>
      </w:r>
      <w:r>
        <w:t>du</w:t>
      </w:r>
      <w:r w:rsidRPr="002C4077">
        <w:t xml:space="preserve"> </w:t>
      </w:r>
      <w:r>
        <w:t>docteur</w:t>
      </w:r>
      <w:r w:rsidRPr="002C4077">
        <w:t xml:space="preserve"> </w:t>
      </w:r>
      <w:r>
        <w:t>Nægelsbach,</w:t>
      </w:r>
      <w:r w:rsidRPr="002C4077">
        <w:t xml:space="preserve"> </w:t>
      </w:r>
      <w:r>
        <w:t>savant</w:t>
      </w:r>
      <w:r w:rsidRPr="002C4077">
        <w:t xml:space="preserve"> </w:t>
      </w:r>
      <w:r>
        <w:t>d’ordinaire</w:t>
      </w:r>
      <w:r w:rsidRPr="002C4077">
        <w:t xml:space="preserve"> </w:t>
      </w:r>
      <w:r>
        <w:t>assez</w:t>
      </w:r>
      <w:r w:rsidRPr="002C4077">
        <w:t xml:space="preserve"> </w:t>
      </w:r>
      <w:r>
        <w:t>modéré</w:t>
      </w:r>
      <w:r w:rsidR="00B546AF">
        <w:t> ?</w:t>
      </w:r>
      <w:r w:rsidRPr="002C4077">
        <w:t xml:space="preserve"> </w:t>
      </w:r>
      <w:r w:rsidR="00B546AF">
        <w:t>« </w:t>
      </w:r>
      <w:r>
        <w:t>Je</w:t>
      </w:r>
      <w:r w:rsidRPr="002C4077">
        <w:t xml:space="preserve"> </w:t>
      </w:r>
      <w:r>
        <w:t>crois,</w:t>
      </w:r>
      <w:r w:rsidRPr="002C4077">
        <w:t xml:space="preserve"> </w:t>
      </w:r>
      <w:r>
        <w:t>dit-il,</w:t>
      </w:r>
      <w:r w:rsidRPr="002C4077">
        <w:t xml:space="preserve"> </w:t>
      </w:r>
      <w:r>
        <w:t>que</w:t>
      </w:r>
      <w:r w:rsidRPr="002C4077">
        <w:t xml:space="preserve"> </w:t>
      </w:r>
      <w:r>
        <w:t>c’est</w:t>
      </w:r>
      <w:r w:rsidRPr="002C4077">
        <w:t xml:space="preserve"> </w:t>
      </w:r>
      <w:r>
        <w:t>le</w:t>
      </w:r>
      <w:r w:rsidRPr="002C4077">
        <w:t xml:space="preserve"> </w:t>
      </w:r>
      <w:r>
        <w:t>devoir</w:t>
      </w:r>
      <w:r w:rsidRPr="002C4077">
        <w:t xml:space="preserve"> </w:t>
      </w:r>
      <w:r>
        <w:t>de</w:t>
      </w:r>
      <w:r w:rsidRPr="002C4077">
        <w:t xml:space="preserve"> </w:t>
      </w:r>
      <w:r>
        <w:t>l’exégète,</w:t>
      </w:r>
      <w:r w:rsidRPr="002C4077">
        <w:t xml:space="preserve"> </w:t>
      </w:r>
      <w:r>
        <w:t>en</w:t>
      </w:r>
      <w:r w:rsidRPr="002C4077">
        <w:t xml:space="preserve"> </w:t>
      </w:r>
      <w:r>
        <w:t>commentant</w:t>
      </w:r>
      <w:r w:rsidRPr="002C4077">
        <w:t xml:space="preserve"> </w:t>
      </w:r>
      <w:r>
        <w:t>ce</w:t>
      </w:r>
      <w:r w:rsidRPr="002C4077">
        <w:t xml:space="preserve"> </w:t>
      </w:r>
      <w:r>
        <w:t>passage</w:t>
      </w:r>
      <w:r w:rsidRPr="004440EA">
        <w:t xml:space="preserve"> (</w:t>
      </w:r>
      <w:r>
        <w:t>d’Isaïe</w:t>
      </w:r>
      <w:r w:rsidR="00B546AF" w:rsidRPr="002C4077">
        <w:t>)</w:t>
      </w:r>
      <w:r w:rsidRPr="00950016">
        <w:t>,</w:t>
      </w:r>
      <w:r w:rsidRPr="002C4077">
        <w:t xml:space="preserve"> </w:t>
      </w:r>
      <w:r>
        <w:t>de</w:t>
      </w:r>
      <w:r w:rsidRPr="002C4077">
        <w:t xml:space="preserve"> </w:t>
      </w:r>
      <w:r>
        <w:t>faire</w:t>
      </w:r>
      <w:r w:rsidRPr="002C4077">
        <w:t xml:space="preserve"> </w:t>
      </w:r>
      <w:r>
        <w:t>tout</w:t>
      </w:r>
      <w:r w:rsidRPr="002C4077">
        <w:t xml:space="preserve"> </w:t>
      </w:r>
      <w:r>
        <w:t>à</w:t>
      </w:r>
      <w:r w:rsidRPr="002C4077">
        <w:t xml:space="preserve"> </w:t>
      </w:r>
      <w:r>
        <w:t>fait</w:t>
      </w:r>
      <w:r w:rsidRPr="002C4077">
        <w:t xml:space="preserve"> </w:t>
      </w:r>
      <w:r>
        <w:t>abstraction,</w:t>
      </w:r>
      <w:r w:rsidRPr="002C4077">
        <w:t xml:space="preserve"> </w:t>
      </w:r>
      <w:r>
        <w:t>en</w:t>
      </w:r>
      <w:r w:rsidRPr="002C4077">
        <w:t xml:space="preserve"> </w:t>
      </w:r>
      <w:r>
        <w:t>première</w:t>
      </w:r>
      <w:r w:rsidRPr="002C4077">
        <w:t xml:space="preserve"> </w:t>
      </w:r>
      <w:r>
        <w:t>ligne,</w:t>
      </w:r>
      <w:r w:rsidRPr="002C4077">
        <w:t xml:space="preserve"> </w:t>
      </w:r>
      <w:r>
        <w:t>de</w:t>
      </w:r>
      <w:r w:rsidRPr="002C4077">
        <w:t xml:space="preserve"> </w:t>
      </w:r>
      <w:r w:rsidR="00425C50">
        <w:rPr>
          <w:rStyle w:val="italicus"/>
        </w:rPr>
        <w:t>Matth</w:t>
      </w:r>
      <w:r w:rsidRPr="000A34B5">
        <w:rPr>
          <w:rStyle w:val="italicus"/>
        </w:rPr>
        <w:t>.</w:t>
      </w:r>
      <w:r w:rsidRPr="002C4077">
        <w:t xml:space="preserve"> </w:t>
      </w:r>
      <w:r>
        <w:t>I,</w:t>
      </w:r>
      <w:r w:rsidRPr="002C4077">
        <w:t xml:space="preserve"> </w:t>
      </w:r>
      <w:r>
        <w:t>23</w:t>
      </w:r>
      <w:r w:rsidR="00B91AF7">
        <w:rPr>
          <w:rStyle w:val="Appelnotedebasdep"/>
        </w:rPr>
        <w:footnoteReference w:id="111"/>
      </w:r>
      <w:r w:rsidR="00B546AF">
        <w:t> »</w:t>
      </w:r>
      <w:r>
        <w:t>.</w:t>
      </w:r>
      <w:r w:rsidRPr="002C4077">
        <w:t xml:space="preserve"> </w:t>
      </w:r>
    </w:p>
    <w:p w:rsidR="000A7AAB" w:rsidRDefault="000A7AAB" w:rsidP="000A7AAB">
      <w:r>
        <w:t>Vous</w:t>
      </w:r>
      <w:r w:rsidRPr="002C4077">
        <w:t xml:space="preserve"> </w:t>
      </w:r>
      <w:r>
        <w:t>voulez</w:t>
      </w:r>
      <w:r w:rsidRPr="002C4077">
        <w:t xml:space="preserve"> </w:t>
      </w:r>
      <w:r>
        <w:t>entrer</w:t>
      </w:r>
      <w:r w:rsidRPr="002C4077">
        <w:t xml:space="preserve"> </w:t>
      </w:r>
      <w:r>
        <w:t>dans</w:t>
      </w:r>
      <w:r w:rsidRPr="002C4077">
        <w:t xml:space="preserve"> </w:t>
      </w:r>
      <w:r>
        <w:t>une</w:t>
      </w:r>
      <w:r w:rsidRPr="002C4077">
        <w:t xml:space="preserve"> </w:t>
      </w:r>
      <w:r>
        <w:t>maison</w:t>
      </w:r>
      <w:r w:rsidRPr="002C4077">
        <w:t xml:space="preserve"> </w:t>
      </w:r>
      <w:r>
        <w:t>bien</w:t>
      </w:r>
      <w:r w:rsidRPr="002C4077">
        <w:t xml:space="preserve"> </w:t>
      </w:r>
      <w:r>
        <w:t>close</w:t>
      </w:r>
      <w:r w:rsidR="00B546AF">
        <w:t> :</w:t>
      </w:r>
      <w:r w:rsidRPr="002C4077">
        <w:t xml:space="preserve"> </w:t>
      </w:r>
      <w:r>
        <w:t>commencez</w:t>
      </w:r>
      <w:r w:rsidRPr="002C4077">
        <w:t xml:space="preserve"> </w:t>
      </w:r>
      <w:r>
        <w:t>par</w:t>
      </w:r>
      <w:r w:rsidRPr="002C4077">
        <w:t xml:space="preserve"> </w:t>
      </w:r>
      <w:r>
        <w:t>jeter</w:t>
      </w:r>
      <w:r w:rsidRPr="002C4077">
        <w:t xml:space="preserve"> </w:t>
      </w:r>
      <w:r>
        <w:t>au</w:t>
      </w:r>
      <w:r w:rsidRPr="002C4077">
        <w:t xml:space="preserve"> </w:t>
      </w:r>
      <w:r>
        <w:t>loin</w:t>
      </w:r>
      <w:r w:rsidRPr="002C4077">
        <w:t xml:space="preserve"> </w:t>
      </w:r>
      <w:r>
        <w:t>la</w:t>
      </w:r>
      <w:r w:rsidRPr="002C4077">
        <w:t xml:space="preserve"> </w:t>
      </w:r>
      <w:r>
        <w:t>clef</w:t>
      </w:r>
      <w:r w:rsidRPr="002C4077">
        <w:t xml:space="preserve"> </w:t>
      </w:r>
      <w:r>
        <w:t>qui</w:t>
      </w:r>
      <w:r w:rsidRPr="002C4077">
        <w:t xml:space="preserve"> </w:t>
      </w:r>
      <w:r>
        <w:t>vous</w:t>
      </w:r>
      <w:r w:rsidRPr="002C4077">
        <w:t xml:space="preserve"> </w:t>
      </w:r>
      <w:r>
        <w:t>en</w:t>
      </w:r>
      <w:r w:rsidRPr="002C4077">
        <w:t xml:space="preserve"> </w:t>
      </w:r>
      <w:r>
        <w:t>ouvrirait</w:t>
      </w:r>
      <w:r w:rsidRPr="002C4077">
        <w:t xml:space="preserve"> </w:t>
      </w:r>
      <w:r>
        <w:t>commodément</w:t>
      </w:r>
      <w:r w:rsidRPr="002C4077">
        <w:t xml:space="preserve"> </w:t>
      </w:r>
      <w:r>
        <w:t>la</w:t>
      </w:r>
      <w:r w:rsidRPr="002C4077">
        <w:t xml:space="preserve"> </w:t>
      </w:r>
      <w:r>
        <w:t>porte.</w:t>
      </w:r>
      <w:r w:rsidRPr="002C4077">
        <w:t xml:space="preserve"> </w:t>
      </w:r>
      <w:r>
        <w:t>Or,</w:t>
      </w:r>
      <w:r w:rsidRPr="002C4077">
        <w:t xml:space="preserve"> </w:t>
      </w:r>
      <w:r>
        <w:t>l’application</w:t>
      </w:r>
      <w:r w:rsidRPr="002C4077">
        <w:t xml:space="preserve"> </w:t>
      </w:r>
      <w:r>
        <w:t>faite</w:t>
      </w:r>
      <w:r w:rsidRPr="002C4077">
        <w:t xml:space="preserve"> </w:t>
      </w:r>
      <w:r>
        <w:t>par</w:t>
      </w:r>
      <w:r w:rsidRPr="002C4077">
        <w:t xml:space="preserve"> </w:t>
      </w:r>
      <w:r>
        <w:t>S.</w:t>
      </w:r>
      <w:r w:rsidRPr="002C4077">
        <w:t xml:space="preserve"> </w:t>
      </w:r>
      <w:r w:rsidR="00425C50">
        <w:t>Matth</w:t>
      </w:r>
      <w:r>
        <w:t>ieu</w:t>
      </w:r>
      <w:r w:rsidRPr="002C4077">
        <w:t xml:space="preserve"> </w:t>
      </w:r>
      <w:r w:rsidR="00425C50">
        <w:t>est</w:t>
      </w:r>
      <w:r w:rsidRPr="002C4077">
        <w:t xml:space="preserve"> </w:t>
      </w:r>
      <w:r>
        <w:t>vraiment</w:t>
      </w:r>
      <w:r w:rsidRPr="002C4077">
        <w:t xml:space="preserve"> </w:t>
      </w:r>
      <w:r>
        <w:t>la</w:t>
      </w:r>
      <w:r w:rsidRPr="002C4077">
        <w:t xml:space="preserve"> </w:t>
      </w:r>
      <w:r>
        <w:t>clef</w:t>
      </w:r>
      <w:r w:rsidRPr="002C4077">
        <w:t xml:space="preserve"> </w:t>
      </w:r>
      <w:r>
        <w:t>d’or</w:t>
      </w:r>
      <w:r w:rsidRPr="002C4077">
        <w:t xml:space="preserve"> </w:t>
      </w:r>
      <w:r>
        <w:t>qui</w:t>
      </w:r>
      <w:r w:rsidRPr="002C4077">
        <w:t xml:space="preserve"> </w:t>
      </w:r>
      <w:r>
        <w:t>nous</w:t>
      </w:r>
      <w:r w:rsidRPr="002C4077">
        <w:t xml:space="preserve"> </w:t>
      </w:r>
      <w:r>
        <w:t>permet</w:t>
      </w:r>
      <w:r w:rsidRPr="002C4077">
        <w:t xml:space="preserve"> </w:t>
      </w:r>
      <w:r>
        <w:t>de</w:t>
      </w:r>
      <w:r w:rsidRPr="002C4077">
        <w:t xml:space="preserve"> </w:t>
      </w:r>
      <w:r>
        <w:t>pénétrer</w:t>
      </w:r>
      <w:r w:rsidRPr="002C4077">
        <w:t xml:space="preserve"> </w:t>
      </w:r>
      <w:r>
        <w:t>à</w:t>
      </w:r>
      <w:r w:rsidRPr="002C4077">
        <w:t xml:space="preserve"> </w:t>
      </w:r>
      <w:r>
        <w:t>notre</w:t>
      </w:r>
      <w:r w:rsidRPr="002C4077">
        <w:t xml:space="preserve"> </w:t>
      </w:r>
      <w:r>
        <w:t>aise</w:t>
      </w:r>
      <w:r w:rsidRPr="002C4077">
        <w:t xml:space="preserve"> </w:t>
      </w:r>
      <w:r>
        <w:t>dans</w:t>
      </w:r>
      <w:r w:rsidRPr="002C4077">
        <w:t xml:space="preserve"> </w:t>
      </w:r>
      <w:r>
        <w:t>la</w:t>
      </w:r>
      <w:r w:rsidRPr="002C4077">
        <w:t xml:space="preserve"> </w:t>
      </w:r>
      <w:r>
        <w:t>prophétie</w:t>
      </w:r>
      <w:r w:rsidRPr="002C4077">
        <w:t xml:space="preserve"> </w:t>
      </w:r>
      <w:r>
        <w:t>de</w:t>
      </w:r>
      <w:r w:rsidRPr="002C4077">
        <w:t xml:space="preserve"> </w:t>
      </w:r>
      <w:r w:rsidR="00D40830" w:rsidRPr="00D40830">
        <w:t>l’</w:t>
      </w:r>
      <w:r w:rsidR="00D40830" w:rsidRPr="00D05EA9">
        <w:rPr>
          <w:rStyle w:val="italicus"/>
        </w:rPr>
        <w:t>῾almah</w:t>
      </w:r>
      <w:r w:rsidRPr="000A34B5">
        <w:rPr>
          <w:rStyle w:val="italicus"/>
        </w:rPr>
        <w:t>.</w:t>
      </w:r>
      <w:r w:rsidRPr="002C4077">
        <w:t xml:space="preserve"> </w:t>
      </w:r>
      <w:r w:rsidR="004377BC">
        <w:t>Vitringa</w:t>
      </w:r>
      <w:r w:rsidRPr="002C4077">
        <w:t xml:space="preserve"> </w:t>
      </w:r>
      <w:r>
        <w:t>l’a</w:t>
      </w:r>
      <w:r w:rsidRPr="002C4077">
        <w:t xml:space="preserve"> </w:t>
      </w:r>
      <w:r>
        <w:t>dit</w:t>
      </w:r>
      <w:r w:rsidRPr="002C4077">
        <w:t xml:space="preserve"> </w:t>
      </w:r>
      <w:r>
        <w:t>très</w:t>
      </w:r>
      <w:r w:rsidRPr="002C4077">
        <w:t xml:space="preserve"> </w:t>
      </w:r>
      <w:r>
        <w:t>énergiquement</w:t>
      </w:r>
      <w:r w:rsidR="00B546AF">
        <w:t> :</w:t>
      </w:r>
      <w:r w:rsidRPr="002C4077">
        <w:t xml:space="preserve"> </w:t>
      </w:r>
      <w:r w:rsidR="00B546AF">
        <w:t>« </w:t>
      </w:r>
      <w:r>
        <w:t>Unica</w:t>
      </w:r>
      <w:r w:rsidRPr="002C4077">
        <w:t xml:space="preserve"> </w:t>
      </w:r>
      <w:r>
        <w:t>r</w:t>
      </w:r>
      <w:r w:rsidR="003B53FD">
        <w:t>átio</w:t>
      </w:r>
      <w:r w:rsidRPr="002C4077">
        <w:t xml:space="preserve"> </w:t>
      </w:r>
      <w:r>
        <w:t>loci</w:t>
      </w:r>
      <w:r w:rsidRPr="004440EA">
        <w:t xml:space="preserve"> (</w:t>
      </w:r>
      <w:r>
        <w:t>Is.</w:t>
      </w:r>
      <w:r w:rsidRPr="002C4077">
        <w:t xml:space="preserve"> </w:t>
      </w:r>
      <w:r>
        <w:t>VII,</w:t>
      </w:r>
      <w:r w:rsidRPr="002C4077">
        <w:t xml:space="preserve"> </w:t>
      </w:r>
      <w:r>
        <w:t>14</w:t>
      </w:r>
      <w:r w:rsidR="00B546AF" w:rsidRPr="002C4077">
        <w:t>)</w:t>
      </w:r>
      <w:r w:rsidRPr="002C4077">
        <w:t xml:space="preserve"> </w:t>
      </w:r>
      <w:r>
        <w:t>ad</w:t>
      </w:r>
      <w:r w:rsidRPr="002C4077">
        <w:t xml:space="preserve"> </w:t>
      </w:r>
      <w:r w:rsidR="003B53FD">
        <w:t>Christum</w:t>
      </w:r>
      <w:r w:rsidRPr="002C4077">
        <w:t xml:space="preserve"> </w:t>
      </w:r>
      <w:r>
        <w:t>tra</w:t>
      </w:r>
      <w:r w:rsidR="003B53FD">
        <w:t>nsláti</w:t>
      </w:r>
      <w:r w:rsidRPr="002C4077">
        <w:t xml:space="preserve"> </w:t>
      </w:r>
      <w:r>
        <w:t>apud</w:t>
      </w:r>
      <w:r w:rsidRPr="002C4077">
        <w:t xml:space="preserve"> </w:t>
      </w:r>
      <w:r>
        <w:t>a</w:t>
      </w:r>
      <w:r w:rsidR="003B53FD">
        <w:t>póstolum</w:t>
      </w:r>
      <w:r w:rsidRPr="004440EA">
        <w:t xml:space="preserve"> (</w:t>
      </w:r>
      <w:r w:rsidR="00425C50">
        <w:t>Matth</w:t>
      </w:r>
      <w:r>
        <w:t>.</w:t>
      </w:r>
      <w:r w:rsidRPr="002C4077">
        <w:t xml:space="preserve"> </w:t>
      </w:r>
      <w:r>
        <w:t>I,</w:t>
      </w:r>
      <w:r w:rsidRPr="002C4077">
        <w:t xml:space="preserve"> </w:t>
      </w:r>
      <w:r>
        <w:t>23</w:t>
      </w:r>
      <w:r w:rsidR="00B546AF" w:rsidRPr="002C4077">
        <w:t>)</w:t>
      </w:r>
      <w:r w:rsidRPr="002C4077">
        <w:t xml:space="preserve"> </w:t>
      </w:r>
      <w:r w:rsidR="00425C50">
        <w:t>est</w:t>
      </w:r>
      <w:r w:rsidRPr="002C4077">
        <w:t xml:space="preserve"> </w:t>
      </w:r>
      <w:r>
        <w:t>f</w:t>
      </w:r>
      <w:r w:rsidR="003B53FD">
        <w:t>undáta</w:t>
      </w:r>
      <w:r w:rsidRPr="002C4077">
        <w:t xml:space="preserve"> </w:t>
      </w:r>
      <w:r>
        <w:t>in</w:t>
      </w:r>
      <w:r w:rsidRPr="002C4077">
        <w:t xml:space="preserve"> </w:t>
      </w:r>
      <w:r w:rsidR="004377BC">
        <w:t>hypóthesi</w:t>
      </w:r>
      <w:r>
        <w:t>,</w:t>
      </w:r>
      <w:r w:rsidRPr="002C4077">
        <w:t xml:space="preserve"> </w:t>
      </w:r>
      <w:r>
        <w:t>agi</w:t>
      </w:r>
      <w:r w:rsidRPr="002C4077">
        <w:t xml:space="preserve"> </w:t>
      </w:r>
      <w:r>
        <w:t>apud</w:t>
      </w:r>
      <w:r w:rsidRPr="002C4077">
        <w:t xml:space="preserve"> </w:t>
      </w:r>
      <w:r w:rsidR="003B53FD">
        <w:t>Isaíam</w:t>
      </w:r>
      <w:r w:rsidRPr="002C4077">
        <w:t xml:space="preserve"> </w:t>
      </w:r>
      <w:r>
        <w:t>de</w:t>
      </w:r>
      <w:r w:rsidRPr="002C4077">
        <w:t xml:space="preserve"> </w:t>
      </w:r>
      <w:r>
        <w:t>v</w:t>
      </w:r>
      <w:r w:rsidR="003B53FD">
        <w:t>írgine</w:t>
      </w:r>
      <w:r w:rsidR="00B91AF7">
        <w:rPr>
          <w:rStyle w:val="Appelnotedebasdep"/>
        </w:rPr>
        <w:footnoteReference w:id="112"/>
      </w:r>
      <w:r w:rsidR="00B546AF">
        <w:t> »</w:t>
      </w:r>
      <w:r>
        <w:t>.</w:t>
      </w:r>
      <w:r w:rsidRPr="002C4077">
        <w:t xml:space="preserve"> </w:t>
      </w:r>
    </w:p>
    <w:p w:rsidR="000A7AAB" w:rsidRDefault="000A7AAB" w:rsidP="000A7AAB">
      <w:r>
        <w:t>Le</w:t>
      </w:r>
      <w:r w:rsidRPr="002C4077">
        <w:t xml:space="preserve"> </w:t>
      </w:r>
      <w:r>
        <w:t>lecteur</w:t>
      </w:r>
      <w:r w:rsidRPr="002C4077">
        <w:t xml:space="preserve"> </w:t>
      </w:r>
      <w:r>
        <w:t>aura</w:t>
      </w:r>
      <w:r w:rsidRPr="002C4077">
        <w:t xml:space="preserve"> </w:t>
      </w:r>
      <w:r>
        <w:t>sans</w:t>
      </w:r>
      <w:r w:rsidRPr="002C4077">
        <w:t xml:space="preserve"> </w:t>
      </w:r>
      <w:r>
        <w:t>doute</w:t>
      </w:r>
      <w:r w:rsidRPr="002C4077">
        <w:t xml:space="preserve"> </w:t>
      </w:r>
      <w:r>
        <w:t>remarqué</w:t>
      </w:r>
      <w:r w:rsidRPr="002C4077">
        <w:t xml:space="preserve"> </w:t>
      </w:r>
      <w:r>
        <w:t>la</w:t>
      </w:r>
      <w:r w:rsidRPr="002C4077">
        <w:t xml:space="preserve"> </w:t>
      </w:r>
      <w:r>
        <w:t>formule</w:t>
      </w:r>
      <w:r w:rsidRPr="002C4077">
        <w:t xml:space="preserve"> </w:t>
      </w:r>
      <w:r>
        <w:t>par</w:t>
      </w:r>
      <w:r w:rsidRPr="002C4077">
        <w:t xml:space="preserve"> </w:t>
      </w:r>
      <w:r>
        <w:t>laquelle</w:t>
      </w:r>
      <w:r w:rsidRPr="002C4077">
        <w:t xml:space="preserve"> </w:t>
      </w:r>
      <w:r>
        <w:t>S.</w:t>
      </w:r>
      <w:r w:rsidRPr="002C4077">
        <w:t xml:space="preserve"> </w:t>
      </w:r>
      <w:r w:rsidR="00425C50">
        <w:t>Matth</w:t>
      </w:r>
      <w:r>
        <w:t>ieu</w:t>
      </w:r>
      <w:r w:rsidRPr="002C4077">
        <w:t xml:space="preserve"> </w:t>
      </w:r>
      <w:r>
        <w:t>introduit</w:t>
      </w:r>
      <w:r w:rsidRPr="002C4077">
        <w:t xml:space="preserve"> </w:t>
      </w:r>
      <w:r>
        <w:t>les</w:t>
      </w:r>
      <w:r w:rsidRPr="002C4077">
        <w:t xml:space="preserve"> </w:t>
      </w:r>
      <w:r>
        <w:t>paroles</w:t>
      </w:r>
      <w:r w:rsidRPr="002C4077">
        <w:t xml:space="preserve"> </w:t>
      </w:r>
      <w:r>
        <w:t>empruntées</w:t>
      </w:r>
      <w:r w:rsidRPr="002C4077">
        <w:t xml:space="preserve"> </w:t>
      </w:r>
      <w:r>
        <w:t>à</w:t>
      </w:r>
      <w:r w:rsidRPr="002C4077">
        <w:t xml:space="preserve"> </w:t>
      </w:r>
      <w:r>
        <w:t>Isaïe.</w:t>
      </w:r>
      <w:r w:rsidRPr="002C4077">
        <w:t xml:space="preserve"> </w:t>
      </w:r>
      <w:r w:rsidRPr="000A34B5">
        <w:rPr>
          <w:rStyle w:val="italicus"/>
        </w:rPr>
        <w:t>Hoc</w:t>
      </w:r>
      <w:r w:rsidRPr="002C4077">
        <w:t xml:space="preserve"> </w:t>
      </w:r>
      <w:r w:rsidRPr="000A34B5">
        <w:rPr>
          <w:rStyle w:val="italicus"/>
        </w:rPr>
        <w:t>autem</w:t>
      </w:r>
      <w:r w:rsidRPr="002C4077">
        <w:t xml:space="preserve"> </w:t>
      </w:r>
      <w:r w:rsidRPr="000A34B5">
        <w:rPr>
          <w:rStyle w:val="italicus"/>
        </w:rPr>
        <w:t>totum</w:t>
      </w:r>
      <w:r w:rsidRPr="002C4077">
        <w:t xml:space="preserve"> </w:t>
      </w:r>
      <w:r w:rsidRPr="000A34B5">
        <w:rPr>
          <w:rStyle w:val="italicus"/>
        </w:rPr>
        <w:t>factura</w:t>
      </w:r>
      <w:r w:rsidRPr="002C4077">
        <w:t xml:space="preserve"> </w:t>
      </w:r>
      <w:r w:rsidR="00425C50">
        <w:rPr>
          <w:rStyle w:val="italicus"/>
        </w:rPr>
        <w:t>est</w:t>
      </w:r>
      <w:r w:rsidRPr="000A34B5">
        <w:rPr>
          <w:rStyle w:val="italicus"/>
        </w:rPr>
        <w:t>,</w:t>
      </w:r>
      <w:r w:rsidRPr="002C4077">
        <w:t xml:space="preserve"> </w:t>
      </w:r>
      <w:r w:rsidRPr="000A34B5">
        <w:rPr>
          <w:rStyle w:val="italicus"/>
        </w:rPr>
        <w:t>ut</w:t>
      </w:r>
      <w:r w:rsidRPr="002C4077">
        <w:t xml:space="preserve"> </w:t>
      </w:r>
      <w:r w:rsidRPr="000A34B5">
        <w:rPr>
          <w:rStyle w:val="italicus"/>
        </w:rPr>
        <w:t>adimp</w:t>
      </w:r>
      <w:r w:rsidR="003B53FD" w:rsidRPr="000A34B5">
        <w:rPr>
          <w:rStyle w:val="italicus"/>
        </w:rPr>
        <w:t>ler</w:t>
      </w:r>
      <w:r w:rsidR="003B53FD">
        <w:rPr>
          <w:rStyle w:val="italicus"/>
        </w:rPr>
        <w:t>é</w:t>
      </w:r>
      <w:r w:rsidR="003B53FD" w:rsidRPr="000A34B5">
        <w:rPr>
          <w:rStyle w:val="italicus"/>
        </w:rPr>
        <w:t>tur</w:t>
      </w:r>
      <w:r w:rsidRPr="004440EA">
        <w:t xml:space="preserve"> </w:t>
      </w:r>
      <w:r w:rsidR="004377BC" w:rsidRPr="004440EA">
        <w:t>(</w:t>
      </w:r>
      <w:r w:rsidR="004377BC" w:rsidRPr="004377BC">
        <w:t>ἵνα</w:t>
      </w:r>
      <w:r w:rsidR="004377BC" w:rsidRPr="002C4077">
        <w:t xml:space="preserve"> </w:t>
      </w:r>
      <w:r w:rsidR="004377BC" w:rsidRPr="002A5E7A">
        <w:t>πληρωθ</w:t>
      </w:r>
      <w:r w:rsidR="002A5E7A" w:rsidRPr="002A5E7A">
        <w:t>ῇ</w:t>
      </w:r>
      <w:r w:rsidR="004377BC" w:rsidRPr="002C4077">
        <w:t>)</w:t>
      </w:r>
      <w:r w:rsidRPr="002C4077">
        <w:t xml:space="preserve"> </w:t>
      </w:r>
      <w:r w:rsidRPr="000A34B5">
        <w:rPr>
          <w:rStyle w:val="italicus"/>
        </w:rPr>
        <w:t>quod</w:t>
      </w:r>
      <w:r w:rsidRPr="002C4077">
        <w:t xml:space="preserve"> </w:t>
      </w:r>
      <w:r w:rsidRPr="000A34B5">
        <w:rPr>
          <w:rStyle w:val="italicus"/>
        </w:rPr>
        <w:t>dictum</w:t>
      </w:r>
      <w:r w:rsidRPr="002C4077">
        <w:t xml:space="preserve"> </w:t>
      </w:r>
      <w:r w:rsidR="00425C50">
        <w:rPr>
          <w:rStyle w:val="italicus"/>
        </w:rPr>
        <w:t>est</w:t>
      </w:r>
      <w:r w:rsidRPr="002C4077">
        <w:t xml:space="preserve"> </w:t>
      </w:r>
      <w:r w:rsidRPr="000A34B5">
        <w:rPr>
          <w:rStyle w:val="italicus"/>
        </w:rPr>
        <w:t>a</w:t>
      </w:r>
      <w:r w:rsidRPr="002C4077">
        <w:t xml:space="preserve"> </w:t>
      </w:r>
      <w:r w:rsidRPr="000A34B5">
        <w:rPr>
          <w:rStyle w:val="italicus"/>
        </w:rPr>
        <w:t>D</w:t>
      </w:r>
      <w:r w:rsidR="003B53FD">
        <w:rPr>
          <w:rStyle w:val="italicus"/>
        </w:rPr>
        <w:t>ó</w:t>
      </w:r>
      <w:r w:rsidR="003B53FD" w:rsidRPr="000A34B5">
        <w:rPr>
          <w:rStyle w:val="italicus"/>
        </w:rPr>
        <w:t>mino</w:t>
      </w:r>
      <w:r w:rsidRPr="002C4077">
        <w:t xml:space="preserve"> </w:t>
      </w:r>
      <w:r w:rsidRPr="000A34B5">
        <w:rPr>
          <w:rStyle w:val="italicus"/>
        </w:rPr>
        <w:t>per</w:t>
      </w:r>
      <w:r w:rsidRPr="002C4077">
        <w:t xml:space="preserve"> </w:t>
      </w:r>
      <w:r w:rsidRPr="000A34B5">
        <w:rPr>
          <w:rStyle w:val="italicus"/>
        </w:rPr>
        <w:t>Pr</w:t>
      </w:r>
      <w:r w:rsidR="003B53FD" w:rsidRPr="000A34B5">
        <w:rPr>
          <w:rStyle w:val="italicus"/>
        </w:rPr>
        <w:t>oph</w:t>
      </w:r>
      <w:r w:rsidR="003B53FD">
        <w:rPr>
          <w:rStyle w:val="italicus"/>
        </w:rPr>
        <w:t>é</w:t>
      </w:r>
      <w:r w:rsidR="003B53FD" w:rsidRPr="000A34B5">
        <w:rPr>
          <w:rStyle w:val="italicus"/>
        </w:rPr>
        <w:t>tam</w:t>
      </w:r>
      <w:r w:rsidRPr="002C4077">
        <w:t xml:space="preserve"> </w:t>
      </w:r>
      <w:r w:rsidR="003B53FD" w:rsidRPr="000A34B5">
        <w:rPr>
          <w:rStyle w:val="italicus"/>
        </w:rPr>
        <w:t>dic</w:t>
      </w:r>
      <w:r w:rsidR="003B53FD">
        <w:rPr>
          <w:rStyle w:val="italicus"/>
        </w:rPr>
        <w:t>é</w:t>
      </w:r>
      <w:r w:rsidR="003B53FD" w:rsidRPr="000A34B5">
        <w:rPr>
          <w:rStyle w:val="italicus"/>
        </w:rPr>
        <w:t>ntem</w:t>
      </w:r>
      <w:r w:rsidR="00B546AF">
        <w:rPr>
          <w:rStyle w:val="italicus"/>
        </w:rPr>
        <w:t> </w:t>
      </w:r>
      <w:r w:rsidR="00B546AF" w:rsidRPr="000A34B5">
        <w:rPr>
          <w:rStyle w:val="italicus"/>
        </w:rPr>
        <w:t>:</w:t>
      </w:r>
      <w:r w:rsidRPr="002C4077">
        <w:t xml:space="preserve"> </w:t>
      </w:r>
      <w:r w:rsidRPr="000A34B5">
        <w:rPr>
          <w:rStyle w:val="italicus"/>
        </w:rPr>
        <w:t>Ecce</w:t>
      </w:r>
      <w:r w:rsidRPr="002C4077">
        <w:t xml:space="preserve"> </w:t>
      </w:r>
      <w:r w:rsidRPr="000A34B5">
        <w:rPr>
          <w:rStyle w:val="italicus"/>
        </w:rPr>
        <w:t>virgo</w:t>
      </w:r>
      <w:r w:rsidR="004377BC">
        <w:rPr>
          <w:rStyle w:val="Appelnotedebasdep"/>
          <w:i/>
        </w:rPr>
        <w:footnoteReference w:id="113"/>
      </w:r>
      <w:r w:rsidR="004377BC">
        <w:rPr>
          <w:rStyle w:val="italicus"/>
        </w:rPr>
        <w:t>…</w:t>
      </w:r>
      <w:r w:rsidR="004377BC" w:rsidRPr="002C4077">
        <w:t xml:space="preserve"> </w:t>
      </w:r>
      <w:r>
        <w:t>Strauss</w:t>
      </w:r>
      <w:bookmarkStart w:id="152" w:name="z_Strauss_o2"/>
      <w:bookmarkEnd w:id="152"/>
      <w:r w:rsidRPr="002C4077">
        <w:t xml:space="preserve"> </w:t>
      </w:r>
      <w:r>
        <w:t>en</w:t>
      </w:r>
      <w:r w:rsidRPr="002C4077">
        <w:t xml:space="preserve"> </w:t>
      </w:r>
      <w:r>
        <w:t>relève</w:t>
      </w:r>
      <w:r w:rsidRPr="002C4077">
        <w:t xml:space="preserve"> </w:t>
      </w:r>
      <w:r>
        <w:t>excellemment</w:t>
      </w:r>
      <w:r w:rsidRPr="002C4077">
        <w:t xml:space="preserve"> </w:t>
      </w:r>
      <w:r>
        <w:t>la</w:t>
      </w:r>
      <w:r w:rsidRPr="002C4077">
        <w:t xml:space="preserve"> </w:t>
      </w:r>
      <w:r>
        <w:t>force</w:t>
      </w:r>
      <w:r w:rsidRPr="002C4077">
        <w:t xml:space="preserve"> </w:t>
      </w:r>
      <w:r>
        <w:t>dans</w:t>
      </w:r>
      <w:r w:rsidRPr="002C4077">
        <w:t xml:space="preserve"> </w:t>
      </w:r>
      <w:r>
        <w:t>la</w:t>
      </w:r>
      <w:r w:rsidRPr="002C4077">
        <w:t xml:space="preserve"> </w:t>
      </w:r>
      <w:r>
        <w:t>page</w:t>
      </w:r>
      <w:r w:rsidRPr="002C4077">
        <w:t xml:space="preserve"> </w:t>
      </w:r>
      <w:r>
        <w:t>suivante,</w:t>
      </w:r>
      <w:r w:rsidRPr="002C4077">
        <w:t xml:space="preserve"> </w:t>
      </w:r>
      <w:r>
        <w:t>qu’on</w:t>
      </w:r>
      <w:r w:rsidRPr="002C4077">
        <w:t xml:space="preserve"> </w:t>
      </w:r>
      <w:r>
        <w:t>nous</w:t>
      </w:r>
      <w:r w:rsidRPr="002C4077">
        <w:t xml:space="preserve"> </w:t>
      </w:r>
      <w:r>
        <w:t>permettra</w:t>
      </w:r>
      <w:r w:rsidRPr="002C4077">
        <w:t xml:space="preserve"> </w:t>
      </w:r>
      <w:r>
        <w:t>de</w:t>
      </w:r>
      <w:r w:rsidRPr="002C4077">
        <w:t xml:space="preserve"> </w:t>
      </w:r>
      <w:r>
        <w:t>citer</w:t>
      </w:r>
      <w:r w:rsidRPr="002C4077">
        <w:t xml:space="preserve"> </w:t>
      </w:r>
      <w:r>
        <w:t>tout</w:t>
      </w:r>
      <w:r w:rsidRPr="002C4077">
        <w:t xml:space="preserve"> </w:t>
      </w:r>
      <w:r>
        <w:t>au</w:t>
      </w:r>
      <w:r w:rsidRPr="002C4077">
        <w:t xml:space="preserve"> </w:t>
      </w:r>
      <w:r>
        <w:t>long</w:t>
      </w:r>
      <w:r w:rsidR="00B546AF">
        <w:t> ;</w:t>
      </w:r>
      <w:r w:rsidRPr="002C4077">
        <w:t xml:space="preserve"> </w:t>
      </w:r>
      <w:r>
        <w:t>venant</w:t>
      </w:r>
      <w:r w:rsidRPr="002C4077">
        <w:t xml:space="preserve"> </w:t>
      </w:r>
      <w:r>
        <w:t>d’une</w:t>
      </w:r>
      <w:r w:rsidRPr="002C4077">
        <w:t xml:space="preserve"> </w:t>
      </w:r>
      <w:r>
        <w:t>telle</w:t>
      </w:r>
      <w:r w:rsidRPr="002C4077">
        <w:t xml:space="preserve"> </w:t>
      </w:r>
      <w:r>
        <w:t>source</w:t>
      </w:r>
      <w:r w:rsidRPr="002C4077">
        <w:t xml:space="preserve"> </w:t>
      </w:r>
      <w:r>
        <w:t>la</w:t>
      </w:r>
      <w:r w:rsidRPr="002C4077">
        <w:t xml:space="preserve"> </w:t>
      </w:r>
      <w:r>
        <w:t>démonstration</w:t>
      </w:r>
      <w:r w:rsidRPr="002C4077">
        <w:t xml:space="preserve"> </w:t>
      </w:r>
      <w:r>
        <w:t>ne</w:t>
      </w:r>
      <w:r w:rsidRPr="002C4077">
        <w:t xml:space="preserve"> </w:t>
      </w:r>
      <w:r>
        <w:t>sera</w:t>
      </w:r>
      <w:r w:rsidRPr="002C4077">
        <w:t xml:space="preserve"> </w:t>
      </w:r>
      <w:r>
        <w:t>que</w:t>
      </w:r>
      <w:r w:rsidRPr="002C4077">
        <w:t xml:space="preserve"> </w:t>
      </w:r>
      <w:r>
        <w:t>plus</w:t>
      </w:r>
      <w:r w:rsidRPr="002C4077">
        <w:t xml:space="preserve"> </w:t>
      </w:r>
      <w:r>
        <w:t>frappante.</w:t>
      </w:r>
      <w:r w:rsidRPr="002C4077">
        <w:t xml:space="preserve"> </w:t>
      </w:r>
      <w:r w:rsidR="00B546AF">
        <w:t>« </w:t>
      </w:r>
      <w:r>
        <w:t>On</w:t>
      </w:r>
      <w:r w:rsidRPr="002C4077">
        <w:t xml:space="preserve"> </w:t>
      </w:r>
      <w:r>
        <w:t>sait</w:t>
      </w:r>
      <w:r w:rsidRPr="002C4077">
        <w:t xml:space="preserve"> </w:t>
      </w:r>
      <w:r>
        <w:t>que</w:t>
      </w:r>
      <w:r w:rsidRPr="002C4077">
        <w:t xml:space="preserve"> </w:t>
      </w:r>
      <w:r>
        <w:t>les</w:t>
      </w:r>
      <w:r w:rsidRPr="002C4077">
        <w:t xml:space="preserve"> </w:t>
      </w:r>
      <w:r>
        <w:t>commentateurs</w:t>
      </w:r>
      <w:r w:rsidRPr="002C4077">
        <w:t xml:space="preserve"> </w:t>
      </w:r>
      <w:r>
        <w:t>orthodoxes,</w:t>
      </w:r>
      <w:r w:rsidRPr="002C4077">
        <w:t xml:space="preserve"> </w:t>
      </w:r>
      <w:r>
        <w:t>dans</w:t>
      </w:r>
      <w:r w:rsidRPr="002C4077">
        <w:t xml:space="preserve"> </w:t>
      </w:r>
      <w:r>
        <w:t>cette</w:t>
      </w:r>
      <w:r w:rsidRPr="002C4077">
        <w:t xml:space="preserve"> </w:t>
      </w:r>
      <w:r>
        <w:t>formule</w:t>
      </w:r>
      <w:r w:rsidR="00B546AF">
        <w:t> :</w:t>
      </w:r>
      <w:r w:rsidR="00C45B47">
        <w:t xml:space="preserve"> {</w:t>
      </w:r>
      <w:r w:rsidR="000721C4">
        <w:t>42</w:t>
      </w:r>
      <w:bookmarkStart w:id="153" w:name="p042"/>
      <w:bookmarkEnd w:id="153"/>
      <w:r w:rsidR="000721C4">
        <w:t xml:space="preserve">} </w:t>
      </w:r>
      <w:r w:rsidRPr="000A34B5">
        <w:rPr>
          <w:rStyle w:val="italicus"/>
        </w:rPr>
        <w:t>Afin</w:t>
      </w:r>
      <w:r w:rsidRPr="002C4077">
        <w:t xml:space="preserve"> </w:t>
      </w:r>
      <w:r w:rsidRPr="000A34B5">
        <w:rPr>
          <w:rStyle w:val="italicus"/>
        </w:rPr>
        <w:t>que</w:t>
      </w:r>
      <w:r w:rsidRPr="002C4077">
        <w:t xml:space="preserve"> </w:t>
      </w:r>
      <w:r w:rsidRPr="000A34B5">
        <w:rPr>
          <w:rStyle w:val="italicus"/>
        </w:rPr>
        <w:t>fût</w:t>
      </w:r>
      <w:r w:rsidRPr="002C4077">
        <w:t xml:space="preserve"> </w:t>
      </w:r>
      <w:r w:rsidRPr="000A34B5">
        <w:rPr>
          <w:rStyle w:val="italicus"/>
        </w:rPr>
        <w:t>accompli,</w:t>
      </w:r>
      <w:r w:rsidRPr="002C4077">
        <w:t xml:space="preserve"> </w:t>
      </w:r>
      <w:r>
        <w:t>et</w:t>
      </w:r>
      <w:r w:rsidRPr="002C4077">
        <w:t xml:space="preserve"> </w:t>
      </w:r>
      <w:r>
        <w:t>autres</w:t>
      </w:r>
      <w:r w:rsidRPr="002C4077">
        <w:t xml:space="preserve"> </w:t>
      </w:r>
      <w:r>
        <w:lastRenderedPageBreak/>
        <w:t>semblables,</w:t>
      </w:r>
      <w:r w:rsidRPr="002C4077">
        <w:t xml:space="preserve"> </w:t>
      </w:r>
      <w:r>
        <w:t>ont</w:t>
      </w:r>
      <w:r w:rsidRPr="002C4077">
        <w:t xml:space="preserve"> </w:t>
      </w:r>
      <w:r>
        <w:t>de</w:t>
      </w:r>
      <w:r w:rsidRPr="002C4077">
        <w:t xml:space="preserve"> </w:t>
      </w:r>
      <w:r>
        <w:t>tout</w:t>
      </w:r>
      <w:r w:rsidRPr="002C4077">
        <w:t xml:space="preserve"> </w:t>
      </w:r>
      <w:r>
        <w:t>temps</w:t>
      </w:r>
      <w:r w:rsidRPr="002C4077">
        <w:t xml:space="preserve"> </w:t>
      </w:r>
      <w:r>
        <w:t>trouvé</w:t>
      </w:r>
      <w:r w:rsidRPr="002C4077">
        <w:t xml:space="preserve"> </w:t>
      </w:r>
      <w:r>
        <w:t>la</w:t>
      </w:r>
      <w:r w:rsidRPr="002C4077">
        <w:t xml:space="preserve"> </w:t>
      </w:r>
      <w:r>
        <w:t>signification</w:t>
      </w:r>
      <w:r w:rsidRPr="002C4077">
        <w:t xml:space="preserve"> </w:t>
      </w:r>
      <w:r>
        <w:t>que</w:t>
      </w:r>
      <w:r w:rsidRPr="002C4077">
        <w:t xml:space="preserve"> </w:t>
      </w:r>
      <w:r>
        <w:t>voici</w:t>
      </w:r>
      <w:r w:rsidR="00B546AF">
        <w:t> :</w:t>
      </w:r>
      <w:r w:rsidRPr="002C4077">
        <w:t xml:space="preserve"> </w:t>
      </w:r>
      <w:r>
        <w:t>Cela</w:t>
      </w:r>
      <w:r w:rsidRPr="002C4077">
        <w:t xml:space="preserve"> </w:t>
      </w:r>
      <w:r w:rsidR="00425C50">
        <w:t>est</w:t>
      </w:r>
      <w:r w:rsidRPr="002C4077">
        <w:t xml:space="preserve"> </w:t>
      </w:r>
      <w:r>
        <w:t>arrivé</w:t>
      </w:r>
      <w:r w:rsidRPr="002C4077">
        <w:t xml:space="preserve"> </w:t>
      </w:r>
      <w:r>
        <w:t>d’après</w:t>
      </w:r>
      <w:r w:rsidRPr="002C4077">
        <w:t xml:space="preserve"> </w:t>
      </w:r>
      <w:r>
        <w:t>l’arrangement</w:t>
      </w:r>
      <w:r w:rsidRPr="002C4077">
        <w:t xml:space="preserve"> </w:t>
      </w:r>
      <w:r>
        <w:t>de</w:t>
      </w:r>
      <w:r w:rsidRPr="002C4077">
        <w:t xml:space="preserve"> </w:t>
      </w:r>
      <w:r>
        <w:t>Dieu,</w:t>
      </w:r>
      <w:r w:rsidRPr="002C4077">
        <w:t xml:space="preserve"> </w:t>
      </w:r>
      <w:r>
        <w:t>afin</w:t>
      </w:r>
      <w:r w:rsidRPr="002C4077">
        <w:t xml:space="preserve"> </w:t>
      </w:r>
      <w:r>
        <w:t>que</w:t>
      </w:r>
      <w:r w:rsidRPr="002C4077">
        <w:t xml:space="preserve"> </w:t>
      </w:r>
      <w:r>
        <w:t>s’accomplît</w:t>
      </w:r>
      <w:r w:rsidRPr="002C4077">
        <w:t xml:space="preserve"> </w:t>
      </w:r>
      <w:r>
        <w:t>la</w:t>
      </w:r>
      <w:r w:rsidRPr="002C4077">
        <w:t xml:space="preserve"> </w:t>
      </w:r>
      <w:r>
        <w:t>prophétie</w:t>
      </w:r>
      <w:r w:rsidRPr="002C4077">
        <w:t xml:space="preserve"> </w:t>
      </w:r>
      <w:r>
        <w:t>de</w:t>
      </w:r>
      <w:r w:rsidRPr="002C4077">
        <w:t xml:space="preserve"> </w:t>
      </w:r>
      <w:r>
        <w:t>l’Ancien</w:t>
      </w:r>
      <w:r w:rsidRPr="002C4077">
        <w:t xml:space="preserve"> </w:t>
      </w:r>
      <w:r>
        <w:t>Testament,</w:t>
      </w:r>
      <w:r w:rsidRPr="002C4077">
        <w:t xml:space="preserve"> </w:t>
      </w:r>
      <w:r>
        <w:t>laquelle,</w:t>
      </w:r>
      <w:r w:rsidRPr="002C4077">
        <w:t xml:space="preserve"> </w:t>
      </w:r>
      <w:r>
        <w:t>dès</w:t>
      </w:r>
      <w:r w:rsidRPr="002C4077">
        <w:t xml:space="preserve"> </w:t>
      </w:r>
      <w:r>
        <w:t>l’origine,</w:t>
      </w:r>
      <w:r w:rsidRPr="002C4077">
        <w:t xml:space="preserve"> </w:t>
      </w:r>
      <w:r>
        <w:t>avait</w:t>
      </w:r>
      <w:r w:rsidRPr="002C4077">
        <w:t xml:space="preserve"> </w:t>
      </w:r>
      <w:r>
        <w:t>en</w:t>
      </w:r>
      <w:r w:rsidRPr="002C4077">
        <w:t xml:space="preserve"> </w:t>
      </w:r>
      <w:r>
        <w:t>vue</w:t>
      </w:r>
      <w:r w:rsidRPr="002C4077">
        <w:t xml:space="preserve"> </w:t>
      </w:r>
      <w:r>
        <w:t>l’événement</w:t>
      </w:r>
      <w:r w:rsidRPr="002C4077">
        <w:t xml:space="preserve"> </w:t>
      </w:r>
      <w:r>
        <w:t>du</w:t>
      </w:r>
      <w:r w:rsidRPr="002C4077">
        <w:t xml:space="preserve"> </w:t>
      </w:r>
      <w:r>
        <w:t>Nouveau</w:t>
      </w:r>
      <w:r w:rsidRPr="002C4077">
        <w:t xml:space="preserve"> </w:t>
      </w:r>
      <w:r>
        <w:t>Testament.</w:t>
      </w:r>
      <w:r w:rsidRPr="002C4077">
        <w:t xml:space="preserve"> </w:t>
      </w:r>
      <w:r>
        <w:t>Les</w:t>
      </w:r>
      <w:r w:rsidRPr="002C4077">
        <w:t xml:space="preserve"> </w:t>
      </w:r>
      <w:r>
        <w:t>commentateurs</w:t>
      </w:r>
      <w:r w:rsidRPr="002C4077">
        <w:t xml:space="preserve"> </w:t>
      </w:r>
      <w:r>
        <w:t>rationalistes,</w:t>
      </w:r>
      <w:r w:rsidRPr="002C4077">
        <w:t xml:space="preserve"> </w:t>
      </w:r>
      <w:r>
        <w:t>au</w:t>
      </w:r>
      <w:r w:rsidRPr="002C4077">
        <w:t xml:space="preserve"> </w:t>
      </w:r>
      <w:r>
        <w:t>contraire,</w:t>
      </w:r>
      <w:r w:rsidRPr="002C4077">
        <w:t xml:space="preserve"> </w:t>
      </w:r>
      <w:r>
        <w:t>n’y</w:t>
      </w:r>
      <w:r w:rsidRPr="002C4077">
        <w:t xml:space="preserve"> </w:t>
      </w:r>
      <w:r>
        <w:t>trouvent</w:t>
      </w:r>
      <w:r w:rsidRPr="002C4077">
        <w:t xml:space="preserve"> </w:t>
      </w:r>
      <w:r>
        <w:t>que</w:t>
      </w:r>
      <w:r w:rsidRPr="002C4077">
        <w:t xml:space="preserve"> </w:t>
      </w:r>
      <w:r>
        <w:t>cette</w:t>
      </w:r>
      <w:r w:rsidRPr="002C4077">
        <w:t xml:space="preserve"> </w:t>
      </w:r>
      <w:r>
        <w:t>autre</w:t>
      </w:r>
      <w:r w:rsidRPr="002C4077">
        <w:t xml:space="preserve"> </w:t>
      </w:r>
      <w:r>
        <w:t>signification</w:t>
      </w:r>
      <w:r w:rsidR="00B546AF">
        <w:t> :</w:t>
      </w:r>
      <w:r w:rsidRPr="002C4077">
        <w:t xml:space="preserve"> </w:t>
      </w:r>
      <w:r>
        <w:t>Cela</w:t>
      </w:r>
      <w:r w:rsidRPr="002C4077">
        <w:t xml:space="preserve"> </w:t>
      </w:r>
      <w:r w:rsidR="00425C50">
        <w:t>est</w:t>
      </w:r>
      <w:r w:rsidRPr="002C4077">
        <w:t xml:space="preserve"> </w:t>
      </w:r>
      <w:r>
        <w:t>arrivé</w:t>
      </w:r>
      <w:r w:rsidRPr="002C4077">
        <w:t xml:space="preserve"> </w:t>
      </w:r>
      <w:r>
        <w:t>d’une</w:t>
      </w:r>
      <w:r w:rsidRPr="002C4077">
        <w:t xml:space="preserve"> </w:t>
      </w:r>
      <w:r>
        <w:t>telle</w:t>
      </w:r>
      <w:r w:rsidRPr="002C4077">
        <w:t xml:space="preserve"> </w:t>
      </w:r>
      <w:r>
        <w:t>façon,</w:t>
      </w:r>
      <w:r w:rsidRPr="002C4077">
        <w:t xml:space="preserve"> </w:t>
      </w:r>
      <w:r>
        <w:t>était</w:t>
      </w:r>
      <w:r w:rsidRPr="002C4077">
        <w:t xml:space="preserve"> </w:t>
      </w:r>
      <w:r>
        <w:t>de</w:t>
      </w:r>
      <w:r w:rsidRPr="002C4077">
        <w:t xml:space="preserve"> </w:t>
      </w:r>
      <w:r>
        <w:t>telle</w:t>
      </w:r>
      <w:r w:rsidRPr="002C4077">
        <w:t xml:space="preserve"> </w:t>
      </w:r>
      <w:r>
        <w:t>nature,</w:t>
      </w:r>
      <w:r w:rsidRPr="002C4077">
        <w:t xml:space="preserve"> </w:t>
      </w:r>
      <w:r>
        <w:t>que</w:t>
      </w:r>
      <w:r w:rsidRPr="002C4077">
        <w:t xml:space="preserve"> </w:t>
      </w:r>
      <w:r>
        <w:t>les</w:t>
      </w:r>
      <w:r w:rsidRPr="002C4077">
        <w:t xml:space="preserve"> </w:t>
      </w:r>
      <w:r>
        <w:t>paroles</w:t>
      </w:r>
      <w:r w:rsidRPr="002C4077">
        <w:t xml:space="preserve"> </w:t>
      </w:r>
      <w:r>
        <w:t>de</w:t>
      </w:r>
      <w:r w:rsidRPr="002C4077">
        <w:t xml:space="preserve"> </w:t>
      </w:r>
      <w:r>
        <w:t>l’Ancien</w:t>
      </w:r>
      <w:r w:rsidRPr="002C4077">
        <w:t xml:space="preserve"> </w:t>
      </w:r>
      <w:r>
        <w:t>Testament,</w:t>
      </w:r>
      <w:r w:rsidRPr="002C4077">
        <w:t xml:space="preserve"> </w:t>
      </w:r>
      <w:r>
        <w:t>lesquelles</w:t>
      </w:r>
      <w:r w:rsidRPr="002C4077">
        <w:t xml:space="preserve"> </w:t>
      </w:r>
      <w:r>
        <w:t>se</w:t>
      </w:r>
      <w:r w:rsidRPr="002C4077">
        <w:t xml:space="preserve"> </w:t>
      </w:r>
      <w:r>
        <w:t>rapportaient</w:t>
      </w:r>
      <w:r w:rsidRPr="002C4077">
        <w:t xml:space="preserve"> </w:t>
      </w:r>
      <w:r>
        <w:t>primitivement</w:t>
      </w:r>
      <w:r w:rsidRPr="002C4077">
        <w:t xml:space="preserve"> </w:t>
      </w:r>
      <w:r>
        <w:t>à</w:t>
      </w:r>
      <w:r w:rsidRPr="002C4077">
        <w:t xml:space="preserve"> </w:t>
      </w:r>
      <w:r>
        <w:t>autre</w:t>
      </w:r>
      <w:r w:rsidRPr="002C4077">
        <w:t xml:space="preserve"> </w:t>
      </w:r>
      <w:r>
        <w:t>chose,</w:t>
      </w:r>
      <w:r w:rsidRPr="002C4077">
        <w:t xml:space="preserve"> </w:t>
      </w:r>
      <w:r>
        <w:t>peuvent</w:t>
      </w:r>
      <w:r w:rsidRPr="002C4077">
        <w:t xml:space="preserve"> </w:t>
      </w:r>
      <w:r>
        <w:t>y</w:t>
      </w:r>
      <w:r w:rsidRPr="002C4077">
        <w:t xml:space="preserve"> </w:t>
      </w:r>
      <w:r>
        <w:t>être</w:t>
      </w:r>
      <w:r w:rsidRPr="002C4077">
        <w:t xml:space="preserve"> </w:t>
      </w:r>
      <w:r>
        <w:t>appliquées….</w:t>
      </w:r>
      <w:r w:rsidRPr="002C4077">
        <w:t xml:space="preserve"> </w:t>
      </w:r>
      <w:r>
        <w:t>Dans</w:t>
      </w:r>
      <w:r w:rsidRPr="002C4077">
        <w:t xml:space="preserve"> </w:t>
      </w:r>
      <w:r>
        <w:t>la</w:t>
      </w:r>
      <w:r w:rsidRPr="002C4077">
        <w:t xml:space="preserve"> </w:t>
      </w:r>
      <w:r>
        <w:t>première</w:t>
      </w:r>
      <w:r w:rsidRPr="002C4077">
        <w:t xml:space="preserve"> </w:t>
      </w:r>
      <w:r>
        <w:t>signification,</w:t>
      </w:r>
      <w:r w:rsidRPr="002C4077">
        <w:t xml:space="preserve"> </w:t>
      </w:r>
      <w:r>
        <w:t>le</w:t>
      </w:r>
      <w:r w:rsidRPr="002C4077">
        <w:t xml:space="preserve"> </w:t>
      </w:r>
      <w:r>
        <w:t>rapport</w:t>
      </w:r>
      <w:r w:rsidRPr="002C4077">
        <w:t xml:space="preserve"> </w:t>
      </w:r>
      <w:r>
        <w:t>entre</w:t>
      </w:r>
      <w:r w:rsidRPr="002C4077">
        <w:t xml:space="preserve"> </w:t>
      </w:r>
      <w:r>
        <w:t>le</w:t>
      </w:r>
      <w:r w:rsidRPr="002C4077">
        <w:t xml:space="preserve"> </w:t>
      </w:r>
      <w:r>
        <w:t>passage</w:t>
      </w:r>
      <w:r w:rsidRPr="002C4077">
        <w:t xml:space="preserve"> </w:t>
      </w:r>
      <w:r>
        <w:t>de</w:t>
      </w:r>
      <w:r w:rsidRPr="002C4077">
        <w:t xml:space="preserve"> </w:t>
      </w:r>
      <w:r>
        <w:t>l’Ancien</w:t>
      </w:r>
      <w:r w:rsidRPr="002C4077">
        <w:t xml:space="preserve"> </w:t>
      </w:r>
      <w:r>
        <w:t>Testament</w:t>
      </w:r>
      <w:r w:rsidRPr="002C4077">
        <w:t xml:space="preserve"> </w:t>
      </w:r>
      <w:r>
        <w:t>et</w:t>
      </w:r>
      <w:r w:rsidRPr="002C4077">
        <w:t xml:space="preserve"> </w:t>
      </w:r>
      <w:r>
        <w:t>l’événement</w:t>
      </w:r>
      <w:r w:rsidRPr="002C4077">
        <w:t xml:space="preserve"> </w:t>
      </w:r>
      <w:r>
        <w:t>du</w:t>
      </w:r>
      <w:r w:rsidRPr="002C4077">
        <w:t xml:space="preserve"> </w:t>
      </w:r>
      <w:r>
        <w:t>Nouveau</w:t>
      </w:r>
      <w:r w:rsidRPr="002C4077">
        <w:t xml:space="preserve"> </w:t>
      </w:r>
      <w:r w:rsidR="00425C50">
        <w:t>est</w:t>
      </w:r>
      <w:r w:rsidRPr="002C4077">
        <w:t xml:space="preserve"> </w:t>
      </w:r>
      <w:r>
        <w:t>un</w:t>
      </w:r>
      <w:r w:rsidRPr="002C4077">
        <w:t xml:space="preserve"> </w:t>
      </w:r>
      <w:r>
        <w:t>rapport</w:t>
      </w:r>
      <w:r w:rsidRPr="002C4077">
        <w:t xml:space="preserve"> </w:t>
      </w:r>
      <w:r>
        <w:t>existant</w:t>
      </w:r>
      <w:r w:rsidRPr="002C4077">
        <w:t xml:space="preserve"> </w:t>
      </w:r>
      <w:r>
        <w:t>dans</w:t>
      </w:r>
      <w:r w:rsidRPr="002C4077">
        <w:t xml:space="preserve"> </w:t>
      </w:r>
      <w:r>
        <w:t>les</w:t>
      </w:r>
      <w:r w:rsidRPr="002C4077">
        <w:t xml:space="preserve"> </w:t>
      </w:r>
      <w:r>
        <w:t>choses,</w:t>
      </w:r>
      <w:r w:rsidRPr="002C4077">
        <w:t xml:space="preserve"> </w:t>
      </w:r>
      <w:r>
        <w:t>arrangé</w:t>
      </w:r>
      <w:r w:rsidRPr="002C4077">
        <w:t xml:space="preserve"> </w:t>
      </w:r>
      <w:r>
        <w:t>par</w:t>
      </w:r>
      <w:r w:rsidRPr="002C4077">
        <w:t xml:space="preserve"> </w:t>
      </w:r>
      <w:r>
        <w:t>Dieu</w:t>
      </w:r>
      <w:r w:rsidRPr="002C4077">
        <w:t xml:space="preserve"> </w:t>
      </w:r>
      <w:r>
        <w:t>même</w:t>
      </w:r>
      <w:r w:rsidR="00B546AF">
        <w:t> ;</w:t>
      </w:r>
      <w:r w:rsidRPr="002C4077">
        <w:t xml:space="preserve"> </w:t>
      </w:r>
      <w:r>
        <w:t>dans</w:t>
      </w:r>
      <w:r w:rsidRPr="002C4077">
        <w:t xml:space="preserve"> </w:t>
      </w:r>
      <w:r>
        <w:t>la</w:t>
      </w:r>
      <w:r w:rsidRPr="002C4077">
        <w:t xml:space="preserve"> </w:t>
      </w:r>
      <w:r>
        <w:t>seconde</w:t>
      </w:r>
      <w:r w:rsidRPr="002C4077">
        <w:t xml:space="preserve"> </w:t>
      </w:r>
      <w:r>
        <w:t>signification,</w:t>
      </w:r>
      <w:r w:rsidRPr="002C4077">
        <w:t xml:space="preserve"> </w:t>
      </w:r>
      <w:r>
        <w:t>ce</w:t>
      </w:r>
      <w:r w:rsidRPr="002C4077">
        <w:t xml:space="preserve"> </w:t>
      </w:r>
      <w:r>
        <w:t>rapport</w:t>
      </w:r>
      <w:r w:rsidRPr="002C4077">
        <w:t xml:space="preserve"> </w:t>
      </w:r>
      <w:r>
        <w:t>n’a</w:t>
      </w:r>
      <w:r w:rsidRPr="002C4077">
        <w:t xml:space="preserve"> </w:t>
      </w:r>
      <w:r>
        <w:t>aucune</w:t>
      </w:r>
      <w:r w:rsidRPr="002C4077">
        <w:t xml:space="preserve"> </w:t>
      </w:r>
      <w:r>
        <w:t>réalité</w:t>
      </w:r>
      <w:r w:rsidRPr="002C4077">
        <w:t xml:space="preserve"> </w:t>
      </w:r>
      <w:r>
        <w:t>dans</w:t>
      </w:r>
      <w:r w:rsidRPr="002C4077">
        <w:t xml:space="preserve"> </w:t>
      </w:r>
      <w:r>
        <w:t>les</w:t>
      </w:r>
      <w:r w:rsidRPr="002C4077">
        <w:t xml:space="preserve"> </w:t>
      </w:r>
      <w:r>
        <w:t>choses,</w:t>
      </w:r>
      <w:r w:rsidRPr="002C4077">
        <w:t xml:space="preserve"> </w:t>
      </w:r>
      <w:r>
        <w:t>et</w:t>
      </w:r>
      <w:r w:rsidRPr="002C4077">
        <w:t xml:space="preserve"> </w:t>
      </w:r>
      <w:r>
        <w:t>il</w:t>
      </w:r>
      <w:r w:rsidRPr="002C4077">
        <w:t xml:space="preserve"> </w:t>
      </w:r>
      <w:r>
        <w:t>n’existe</w:t>
      </w:r>
      <w:r w:rsidRPr="002C4077">
        <w:t xml:space="preserve"> </w:t>
      </w:r>
      <w:r>
        <w:t>que</w:t>
      </w:r>
      <w:r w:rsidRPr="002C4077">
        <w:t xml:space="preserve"> </w:t>
      </w:r>
      <w:r>
        <w:t>dans</w:t>
      </w:r>
      <w:r w:rsidRPr="002C4077">
        <w:t xml:space="preserve"> </w:t>
      </w:r>
      <w:r>
        <w:t>l’esprit</w:t>
      </w:r>
      <w:r w:rsidRPr="002C4077">
        <w:t xml:space="preserve"> </w:t>
      </w:r>
      <w:r>
        <w:t>de</w:t>
      </w:r>
      <w:r w:rsidRPr="002C4077">
        <w:t xml:space="preserve"> </w:t>
      </w:r>
      <w:r>
        <w:t>l’écrivain</w:t>
      </w:r>
      <w:r w:rsidRPr="002C4077">
        <w:t xml:space="preserve"> </w:t>
      </w:r>
      <w:r>
        <w:t>postérieur</w:t>
      </w:r>
      <w:r w:rsidRPr="002C4077">
        <w:t xml:space="preserve"> </w:t>
      </w:r>
      <w:r>
        <w:t>qui</w:t>
      </w:r>
      <w:r w:rsidRPr="002C4077">
        <w:t xml:space="preserve"> </w:t>
      </w:r>
      <w:r>
        <w:t>l’a</w:t>
      </w:r>
      <w:r w:rsidRPr="002C4077">
        <w:t xml:space="preserve"> </w:t>
      </w:r>
      <w:r>
        <w:t>trouvé.</w:t>
      </w:r>
      <w:r w:rsidRPr="002C4077">
        <w:t xml:space="preserve"> </w:t>
      </w:r>
      <w:r>
        <w:t>Dans</w:t>
      </w:r>
      <w:r w:rsidRPr="002C4077">
        <w:t xml:space="preserve"> </w:t>
      </w:r>
      <w:r>
        <w:t>la</w:t>
      </w:r>
      <w:r w:rsidRPr="002C4077">
        <w:t xml:space="preserve"> </w:t>
      </w:r>
      <w:r>
        <w:t>première,</w:t>
      </w:r>
      <w:r w:rsidRPr="002C4077">
        <w:t xml:space="preserve"> </w:t>
      </w:r>
      <w:r>
        <w:t>c’est</w:t>
      </w:r>
      <w:r w:rsidRPr="002C4077">
        <w:t xml:space="preserve"> </w:t>
      </w:r>
      <w:r>
        <w:t>un</w:t>
      </w:r>
      <w:r w:rsidRPr="002C4077">
        <w:t xml:space="preserve"> </w:t>
      </w:r>
      <w:r>
        <w:t>rapport</w:t>
      </w:r>
      <w:r w:rsidRPr="002C4077">
        <w:t xml:space="preserve"> </w:t>
      </w:r>
      <w:r>
        <w:t>exact</w:t>
      </w:r>
      <w:r w:rsidRPr="002C4077">
        <w:t xml:space="preserve"> </w:t>
      </w:r>
      <w:r>
        <w:t>et</w:t>
      </w:r>
      <w:r w:rsidRPr="002C4077">
        <w:t xml:space="preserve"> </w:t>
      </w:r>
      <w:r>
        <w:t>essentiel</w:t>
      </w:r>
      <w:r w:rsidR="00B546AF">
        <w:t> ;</w:t>
      </w:r>
      <w:r w:rsidRPr="002C4077">
        <w:t xml:space="preserve"> </w:t>
      </w:r>
      <w:r>
        <w:t>dans</w:t>
      </w:r>
      <w:r w:rsidRPr="002C4077">
        <w:t xml:space="preserve"> </w:t>
      </w:r>
      <w:r>
        <w:t>la</w:t>
      </w:r>
      <w:r w:rsidRPr="002C4077">
        <w:t xml:space="preserve"> </w:t>
      </w:r>
      <w:r>
        <w:t>seconde,</w:t>
      </w:r>
      <w:r w:rsidRPr="002C4077">
        <w:t xml:space="preserve"> </w:t>
      </w:r>
      <w:r>
        <w:t>un</w:t>
      </w:r>
      <w:r w:rsidRPr="002C4077">
        <w:t xml:space="preserve"> </w:t>
      </w:r>
      <w:r>
        <w:t>rapport</w:t>
      </w:r>
      <w:r w:rsidRPr="002C4077">
        <w:t xml:space="preserve"> </w:t>
      </w:r>
      <w:r>
        <w:t>inexact</w:t>
      </w:r>
      <w:r w:rsidRPr="002C4077">
        <w:t xml:space="preserve"> </w:t>
      </w:r>
      <w:r>
        <w:t>et</w:t>
      </w:r>
      <w:r w:rsidRPr="002C4077">
        <w:t xml:space="preserve"> </w:t>
      </w:r>
      <w:r>
        <w:t>accidentel.</w:t>
      </w:r>
      <w:r w:rsidRPr="002C4077">
        <w:t xml:space="preserve"> </w:t>
      </w:r>
      <w:r>
        <w:t>Mais</w:t>
      </w:r>
      <w:r w:rsidR="004377BC">
        <w:t>,</w:t>
      </w:r>
      <w:r w:rsidR="004377BC" w:rsidRPr="002C4077">
        <w:t xml:space="preserve"> </w:t>
      </w:r>
      <w:r w:rsidR="004377BC">
        <w:t>e</w:t>
      </w:r>
      <w:r w:rsidR="001730C6">
        <w:t>nt</w:t>
      </w:r>
      <w:r>
        <w:t>endre</w:t>
      </w:r>
      <w:r w:rsidRPr="002C4077">
        <w:t xml:space="preserve"> </w:t>
      </w:r>
      <w:r>
        <w:t>de</w:t>
      </w:r>
      <w:r w:rsidRPr="002C4077">
        <w:t xml:space="preserve"> </w:t>
      </w:r>
      <w:r>
        <w:t>cette</w:t>
      </w:r>
      <w:r w:rsidRPr="002C4077">
        <w:t xml:space="preserve"> </w:t>
      </w:r>
      <w:r>
        <w:t>dernière</w:t>
      </w:r>
      <w:r w:rsidRPr="002C4077">
        <w:t xml:space="preserve"> </w:t>
      </w:r>
      <w:r>
        <w:t>manière</w:t>
      </w:r>
      <w:r w:rsidRPr="002C4077">
        <w:t xml:space="preserve"> </w:t>
      </w:r>
      <w:r>
        <w:t>le</w:t>
      </w:r>
      <w:r w:rsidRPr="002C4077">
        <w:t xml:space="preserve"> </w:t>
      </w:r>
      <w:r>
        <w:t>passage</w:t>
      </w:r>
      <w:r w:rsidRPr="002C4077">
        <w:t xml:space="preserve"> </w:t>
      </w:r>
      <w:r>
        <w:t>du</w:t>
      </w:r>
      <w:r w:rsidRPr="002C4077">
        <w:t xml:space="preserve"> </w:t>
      </w:r>
      <w:r>
        <w:t>Nouveau</w:t>
      </w:r>
      <w:r w:rsidRPr="002C4077">
        <w:t xml:space="preserve"> </w:t>
      </w:r>
      <w:r>
        <w:t>Testament</w:t>
      </w:r>
      <w:r w:rsidRPr="002C4077">
        <w:t xml:space="preserve"> </w:t>
      </w:r>
      <w:r>
        <w:t>qui</w:t>
      </w:r>
      <w:r w:rsidRPr="002C4077">
        <w:t xml:space="preserve"> </w:t>
      </w:r>
      <w:r>
        <w:t>représente</w:t>
      </w:r>
      <w:r w:rsidRPr="002C4077">
        <w:t xml:space="preserve"> </w:t>
      </w:r>
      <w:r>
        <w:t>une</w:t>
      </w:r>
      <w:r w:rsidRPr="002C4077">
        <w:t xml:space="preserve"> </w:t>
      </w:r>
      <w:r>
        <w:t>prophétie</w:t>
      </w:r>
      <w:r w:rsidRPr="002C4077">
        <w:t xml:space="preserve"> </w:t>
      </w:r>
      <w:r>
        <w:t>de</w:t>
      </w:r>
      <w:r w:rsidRPr="002C4077">
        <w:t xml:space="preserve"> </w:t>
      </w:r>
      <w:r>
        <w:t>l’Ancien</w:t>
      </w:r>
      <w:r w:rsidRPr="002C4077">
        <w:t xml:space="preserve"> </w:t>
      </w:r>
      <w:r>
        <w:t>Testament</w:t>
      </w:r>
      <w:r w:rsidRPr="002C4077">
        <w:t xml:space="preserve"> </w:t>
      </w:r>
      <w:r>
        <w:t>comme</w:t>
      </w:r>
      <w:r w:rsidRPr="002C4077">
        <w:t xml:space="preserve"> </w:t>
      </w:r>
      <w:r>
        <w:t>accomplie,</w:t>
      </w:r>
      <w:r w:rsidRPr="002C4077">
        <w:t xml:space="preserve"> </w:t>
      </w:r>
      <w:r>
        <w:t>c’est</w:t>
      </w:r>
      <w:r w:rsidRPr="002C4077">
        <w:t xml:space="preserve"> </w:t>
      </w:r>
      <w:r>
        <w:t>contredire</w:t>
      </w:r>
      <w:r w:rsidRPr="002C4077">
        <w:t xml:space="preserve"> </w:t>
      </w:r>
      <w:r>
        <w:t>aussi</w:t>
      </w:r>
      <w:r w:rsidRPr="002C4077">
        <w:t xml:space="preserve"> </w:t>
      </w:r>
      <w:r>
        <w:t>bien</w:t>
      </w:r>
      <w:r w:rsidRPr="002C4077">
        <w:t xml:space="preserve"> </w:t>
      </w:r>
      <w:r>
        <w:t>le</w:t>
      </w:r>
      <w:r w:rsidRPr="002C4077">
        <w:t xml:space="preserve"> </w:t>
      </w:r>
      <w:r>
        <w:t>texte</w:t>
      </w:r>
      <w:r w:rsidRPr="002C4077">
        <w:t xml:space="preserve"> </w:t>
      </w:r>
      <w:r>
        <w:t>que</w:t>
      </w:r>
      <w:r w:rsidRPr="002C4077">
        <w:t xml:space="preserve"> </w:t>
      </w:r>
      <w:r>
        <w:t>l’esprit</w:t>
      </w:r>
      <w:r w:rsidRPr="002C4077">
        <w:t xml:space="preserve"> </w:t>
      </w:r>
      <w:r>
        <w:t>des</w:t>
      </w:r>
      <w:r w:rsidRPr="002C4077">
        <w:t xml:space="preserve"> </w:t>
      </w:r>
      <w:r>
        <w:t>écrivains</w:t>
      </w:r>
      <w:r w:rsidRPr="002C4077">
        <w:t xml:space="preserve"> </w:t>
      </w:r>
      <w:r>
        <w:t>du</w:t>
      </w:r>
      <w:r w:rsidRPr="002C4077">
        <w:t xml:space="preserve"> </w:t>
      </w:r>
      <w:r>
        <w:t>Nouveau</w:t>
      </w:r>
      <w:r w:rsidRPr="002C4077">
        <w:t xml:space="preserve"> </w:t>
      </w:r>
      <w:r>
        <w:t>Testament</w:t>
      </w:r>
      <w:r w:rsidR="00B546AF">
        <w:t> :</w:t>
      </w:r>
      <w:r w:rsidRPr="002C4077">
        <w:t xml:space="preserve"> </w:t>
      </w:r>
      <w:r>
        <w:t>le</w:t>
      </w:r>
      <w:r w:rsidRPr="002C4077">
        <w:t xml:space="preserve"> </w:t>
      </w:r>
      <w:r>
        <w:t>texte,</w:t>
      </w:r>
      <w:r w:rsidRPr="002C4077">
        <w:t xml:space="preserve"> </w:t>
      </w:r>
      <w:r>
        <w:t>car</w:t>
      </w:r>
      <w:r w:rsidRPr="002C4077">
        <w:t xml:space="preserve"> </w:t>
      </w:r>
      <w:r>
        <w:t>ni</w:t>
      </w:r>
      <w:r w:rsidRPr="002C4077">
        <w:t xml:space="preserve"> </w:t>
      </w:r>
      <w:r w:rsidR="004377BC" w:rsidRPr="004377BC">
        <w:t>πληροῦσθ</w:t>
      </w:r>
      <w:r w:rsidR="004377BC">
        <w:t>αι</w:t>
      </w:r>
      <w:r>
        <w:t>,</w:t>
      </w:r>
      <w:r w:rsidRPr="002C4077">
        <w:t xml:space="preserve"> </w:t>
      </w:r>
      <w:r>
        <w:t>dans</w:t>
      </w:r>
      <w:r w:rsidRPr="002C4077">
        <w:t xml:space="preserve"> </w:t>
      </w:r>
      <w:r>
        <w:t>une</w:t>
      </w:r>
      <w:r w:rsidRPr="002C4077">
        <w:t xml:space="preserve"> </w:t>
      </w:r>
      <w:r>
        <w:t>telle</w:t>
      </w:r>
      <w:r w:rsidRPr="002C4077">
        <w:t xml:space="preserve"> </w:t>
      </w:r>
      <w:r>
        <w:t>connexion,</w:t>
      </w:r>
      <w:r w:rsidRPr="002C4077">
        <w:t xml:space="preserve"> </w:t>
      </w:r>
      <w:r>
        <w:t>ne</w:t>
      </w:r>
      <w:r w:rsidRPr="002C4077">
        <w:t xml:space="preserve"> </w:t>
      </w:r>
      <w:r>
        <w:t>peut</w:t>
      </w:r>
      <w:r w:rsidRPr="002C4077">
        <w:t xml:space="preserve"> </w:t>
      </w:r>
      <w:r>
        <w:t>signifier</w:t>
      </w:r>
      <w:r w:rsidRPr="002C4077">
        <w:t xml:space="preserve"> </w:t>
      </w:r>
      <w:r>
        <w:t>autre</w:t>
      </w:r>
      <w:r w:rsidRPr="002C4077">
        <w:t xml:space="preserve"> </w:t>
      </w:r>
      <w:r>
        <w:t>chose</w:t>
      </w:r>
      <w:r w:rsidRPr="002C4077">
        <w:t xml:space="preserve"> </w:t>
      </w:r>
      <w:r>
        <w:t>que</w:t>
      </w:r>
      <w:r w:rsidR="00B546AF">
        <w:t> :</w:t>
      </w:r>
      <w:r w:rsidRPr="002C4077">
        <w:t xml:space="preserve"> </w:t>
      </w:r>
      <w:r>
        <w:t>s’accomplir,</w:t>
      </w:r>
      <w:r w:rsidRPr="002C4077">
        <w:t xml:space="preserve"> </w:t>
      </w:r>
      <w:r w:rsidRPr="000A34B5">
        <w:rPr>
          <w:rStyle w:val="italicus"/>
        </w:rPr>
        <w:t>r</w:t>
      </w:r>
      <w:r w:rsidR="003B53FD">
        <w:rPr>
          <w:rStyle w:val="italicus"/>
        </w:rPr>
        <w:t>átum</w:t>
      </w:r>
      <w:r w:rsidRPr="002C4077">
        <w:t xml:space="preserve"> </w:t>
      </w:r>
      <w:r w:rsidRPr="000A34B5">
        <w:rPr>
          <w:rStyle w:val="italicus"/>
        </w:rPr>
        <w:t>f</w:t>
      </w:r>
      <w:r w:rsidR="003B53FD">
        <w:rPr>
          <w:rStyle w:val="italicus"/>
        </w:rPr>
        <w:t>í</w:t>
      </w:r>
      <w:r w:rsidR="003B53FD" w:rsidRPr="000A34B5">
        <w:rPr>
          <w:rStyle w:val="italicus"/>
        </w:rPr>
        <w:t>eri</w:t>
      </w:r>
      <w:r w:rsidRPr="000A34B5">
        <w:rPr>
          <w:rStyle w:val="italicus"/>
        </w:rPr>
        <w:t>,</w:t>
      </w:r>
      <w:r w:rsidRPr="002C4077">
        <w:t xml:space="preserve"> </w:t>
      </w:r>
      <w:r w:rsidR="00CF3BB3" w:rsidRPr="000A34B5">
        <w:rPr>
          <w:rStyle w:val="italicus"/>
        </w:rPr>
        <w:t>evéntu</w:t>
      </w:r>
      <w:r w:rsidRPr="002C4077">
        <w:t xml:space="preserve"> </w:t>
      </w:r>
      <w:r w:rsidRPr="000A34B5">
        <w:rPr>
          <w:rStyle w:val="italicus"/>
        </w:rPr>
        <w:t>comp</w:t>
      </w:r>
      <w:r w:rsidR="003B53FD" w:rsidRPr="000A34B5">
        <w:rPr>
          <w:rStyle w:val="italicus"/>
        </w:rPr>
        <w:t>rob</w:t>
      </w:r>
      <w:r w:rsidR="003B53FD">
        <w:rPr>
          <w:rStyle w:val="italicus"/>
        </w:rPr>
        <w:t>á</w:t>
      </w:r>
      <w:r w:rsidR="003B53FD" w:rsidRPr="000A34B5">
        <w:rPr>
          <w:rStyle w:val="italicus"/>
        </w:rPr>
        <w:t>ri</w:t>
      </w:r>
      <w:r w:rsidR="00B546AF">
        <w:rPr>
          <w:rStyle w:val="italicus"/>
        </w:rPr>
        <w:t> </w:t>
      </w:r>
      <w:r w:rsidR="00B546AF" w:rsidRPr="000A34B5">
        <w:rPr>
          <w:rStyle w:val="italicus"/>
        </w:rPr>
        <w:t>;</w:t>
      </w:r>
      <w:r w:rsidRPr="002C4077">
        <w:t xml:space="preserve"> </w:t>
      </w:r>
      <w:r w:rsidR="00CF3BB3">
        <w:t>ἵνα</w:t>
      </w:r>
      <w:r w:rsidR="00CF3BB3" w:rsidRPr="002C4077">
        <w:t xml:space="preserve"> </w:t>
      </w:r>
      <w:r w:rsidR="00CF3BB3">
        <w:t>ὅπως</w:t>
      </w:r>
      <w:r>
        <w:t>,</w:t>
      </w:r>
      <w:r w:rsidRPr="002C4077">
        <w:t xml:space="preserve"> </w:t>
      </w:r>
      <w:r>
        <w:t>autre</w:t>
      </w:r>
      <w:r w:rsidRPr="002C4077">
        <w:t xml:space="preserve"> </w:t>
      </w:r>
      <w:r>
        <w:t>chose</w:t>
      </w:r>
      <w:r w:rsidRPr="002C4077">
        <w:t xml:space="preserve"> </w:t>
      </w:r>
      <w:r>
        <w:t>que</w:t>
      </w:r>
      <w:r w:rsidR="00B546AF">
        <w:t> :</w:t>
      </w:r>
      <w:r w:rsidRPr="002C4077">
        <w:t xml:space="preserve"> </w:t>
      </w:r>
      <w:r>
        <w:t>à</w:t>
      </w:r>
      <w:r w:rsidRPr="002C4077">
        <w:t xml:space="preserve"> </w:t>
      </w:r>
      <w:r>
        <w:t>cet</w:t>
      </w:r>
      <w:r w:rsidRPr="002C4077">
        <w:t xml:space="preserve"> </w:t>
      </w:r>
      <w:r>
        <w:t>effet,</w:t>
      </w:r>
      <w:r w:rsidRPr="002C4077">
        <w:t xml:space="preserve"> </w:t>
      </w:r>
      <w:r w:rsidRPr="000A34B5">
        <w:rPr>
          <w:rStyle w:val="italicus"/>
        </w:rPr>
        <w:t>eo</w:t>
      </w:r>
      <w:r w:rsidRPr="002C4077">
        <w:t xml:space="preserve"> </w:t>
      </w:r>
      <w:r w:rsidRPr="000A34B5">
        <w:rPr>
          <w:rStyle w:val="italicus"/>
        </w:rPr>
        <w:t>cons</w:t>
      </w:r>
      <w:r w:rsidR="003B53FD">
        <w:rPr>
          <w:rStyle w:val="italicus"/>
        </w:rPr>
        <w:t>í</w:t>
      </w:r>
      <w:r w:rsidR="003B53FD" w:rsidRPr="000A34B5">
        <w:rPr>
          <w:rStyle w:val="italicus"/>
        </w:rPr>
        <w:t>lio</w:t>
      </w:r>
      <w:r w:rsidRPr="002C4077">
        <w:t xml:space="preserve"> </w:t>
      </w:r>
      <w:r w:rsidRPr="000A34B5">
        <w:rPr>
          <w:rStyle w:val="italicus"/>
        </w:rPr>
        <w:t>ut,</w:t>
      </w:r>
      <w:r w:rsidRPr="002C4077">
        <w:t xml:space="preserve"> </w:t>
      </w:r>
      <w:r>
        <w:t>attendu</w:t>
      </w:r>
      <w:r w:rsidRPr="002C4077">
        <w:t xml:space="preserve"> </w:t>
      </w:r>
      <w:r>
        <w:t>que</w:t>
      </w:r>
      <w:r w:rsidRPr="002C4077">
        <w:t xml:space="preserve"> </w:t>
      </w:r>
      <w:r>
        <w:t>l’adoption</w:t>
      </w:r>
      <w:r w:rsidRPr="002C4077">
        <w:t xml:space="preserve"> </w:t>
      </w:r>
      <w:r>
        <w:t>d’un</w:t>
      </w:r>
      <w:r w:rsidRPr="002C4077">
        <w:t xml:space="preserve"> </w:t>
      </w:r>
      <w:r w:rsidR="004E7C30">
        <w:t>ἵνα</w:t>
      </w:r>
      <w:r w:rsidR="004E7C30" w:rsidRPr="002C4077">
        <w:t xml:space="preserve"> </w:t>
      </w:r>
      <w:r w:rsidR="00CF3BB3">
        <w:t>ἐκ</w:t>
      </w:r>
      <w:r w:rsidR="00CF3BB3">
        <w:rPr>
          <w:lang w:val="el-GR" w:bidi="he-IL"/>
        </w:rPr>
        <w:t>βατιχόν</w:t>
      </w:r>
      <w:r w:rsidR="00CF3BB3" w:rsidRPr="002C4077">
        <w:t xml:space="preserve"> </w:t>
      </w:r>
      <w:r w:rsidR="00B91AF7">
        <w:rPr>
          <w:rStyle w:val="Appelnotedebasdep"/>
        </w:rPr>
        <w:footnoteReference w:id="114"/>
      </w:r>
      <w:r w:rsidRPr="002C4077">
        <w:t xml:space="preserve"> </w:t>
      </w:r>
      <w:r>
        <w:t>n’est</w:t>
      </w:r>
      <w:r w:rsidRPr="002C4077">
        <w:t xml:space="preserve"> </w:t>
      </w:r>
      <w:r>
        <w:t>venue</w:t>
      </w:r>
      <w:r w:rsidRPr="002C4077">
        <w:t xml:space="preserve"> </w:t>
      </w:r>
      <w:r>
        <w:t>que</w:t>
      </w:r>
      <w:r w:rsidRPr="002C4077">
        <w:t xml:space="preserve"> </w:t>
      </w:r>
      <w:r>
        <w:t>de</w:t>
      </w:r>
      <w:r w:rsidRPr="002C4077">
        <w:t xml:space="preserve"> </w:t>
      </w:r>
      <w:r>
        <w:t>difficultés</w:t>
      </w:r>
      <w:r w:rsidRPr="002C4077">
        <w:t xml:space="preserve"> </w:t>
      </w:r>
      <w:r>
        <w:t>dogmatiques</w:t>
      </w:r>
      <w:r w:rsidR="00B546AF">
        <w:t> ;</w:t>
      </w:r>
      <w:r w:rsidRPr="002C4077">
        <w:t xml:space="preserve"> </w:t>
      </w:r>
      <w:r>
        <w:t>l’esprit,</w:t>
      </w:r>
      <w:r w:rsidRPr="002C4077">
        <w:t xml:space="preserve"> </w:t>
      </w:r>
      <w:r>
        <w:t>car</w:t>
      </w:r>
      <w:r w:rsidRPr="002C4077">
        <w:t xml:space="preserve"> </w:t>
      </w:r>
      <w:r>
        <w:t>rien</w:t>
      </w:r>
      <w:r w:rsidRPr="002C4077">
        <w:t xml:space="preserve"> </w:t>
      </w:r>
      <w:r>
        <w:t>n’est</w:t>
      </w:r>
      <w:r w:rsidRPr="002C4077">
        <w:t xml:space="preserve"> </w:t>
      </w:r>
      <w:r>
        <w:t>plus</w:t>
      </w:r>
      <w:r w:rsidRPr="002C4077">
        <w:t xml:space="preserve"> </w:t>
      </w:r>
      <w:r>
        <w:t>contraire</w:t>
      </w:r>
      <w:r w:rsidRPr="002C4077">
        <w:t xml:space="preserve"> </w:t>
      </w:r>
      <w:r>
        <w:t>qu’une</w:t>
      </w:r>
      <w:r w:rsidRPr="002C4077">
        <w:t xml:space="preserve"> </w:t>
      </w:r>
      <w:r>
        <w:t>telle</w:t>
      </w:r>
      <w:r w:rsidRPr="002C4077">
        <w:t xml:space="preserve"> </w:t>
      </w:r>
      <w:r>
        <w:t>explication</w:t>
      </w:r>
      <w:r w:rsidRPr="002C4077">
        <w:t xml:space="preserve"> </w:t>
      </w:r>
      <w:r>
        <w:t>aux</w:t>
      </w:r>
      <w:r w:rsidRPr="002C4077">
        <w:t xml:space="preserve"> </w:t>
      </w:r>
      <w:r>
        <w:t>idées</w:t>
      </w:r>
      <w:r w:rsidRPr="002C4077">
        <w:t xml:space="preserve"> </w:t>
      </w:r>
      <w:r>
        <w:t>juives</w:t>
      </w:r>
      <w:r w:rsidRPr="002C4077">
        <w:t xml:space="preserve"> </w:t>
      </w:r>
      <w:r>
        <w:t>des</w:t>
      </w:r>
      <w:r w:rsidRPr="002C4077">
        <w:t xml:space="preserve"> </w:t>
      </w:r>
      <w:r>
        <w:t>écrivains</w:t>
      </w:r>
      <w:bookmarkStart w:id="154" w:name="z_Strauss_o3"/>
      <w:bookmarkEnd w:id="154"/>
      <w:r w:rsidRPr="002C4077">
        <w:t xml:space="preserve"> </w:t>
      </w:r>
      <w:r>
        <w:t>évangélistes</w:t>
      </w:r>
      <w:r w:rsidR="00B91AF7">
        <w:rPr>
          <w:rStyle w:val="Appelnotedebasdep"/>
        </w:rPr>
        <w:footnoteReference w:id="115"/>
      </w:r>
      <w:r w:rsidR="00B546AF">
        <w:t> »</w:t>
      </w:r>
      <w:r>
        <w:t>.</w:t>
      </w:r>
      <w:r w:rsidRPr="002C4077">
        <w:t xml:space="preserve"> </w:t>
      </w:r>
    </w:p>
    <w:p w:rsidR="000A7AAB" w:rsidRPr="000721C4" w:rsidRDefault="000A7AAB" w:rsidP="000A7AAB">
      <w:r>
        <w:t>L’aveu</w:t>
      </w:r>
      <w:r w:rsidRPr="002C4077">
        <w:t xml:space="preserve"> </w:t>
      </w:r>
      <w:r w:rsidR="00425C50">
        <w:t>est</w:t>
      </w:r>
      <w:r w:rsidRPr="002C4077">
        <w:t xml:space="preserve"> </w:t>
      </w:r>
      <w:r>
        <w:t>précieux</w:t>
      </w:r>
      <w:r w:rsidRPr="002C4077">
        <w:t xml:space="preserve"> </w:t>
      </w:r>
      <w:r>
        <w:t>et</w:t>
      </w:r>
      <w:r w:rsidRPr="002C4077">
        <w:t xml:space="preserve"> </w:t>
      </w:r>
      <w:r>
        <w:t>nous</w:t>
      </w:r>
      <w:r w:rsidRPr="002C4077">
        <w:t xml:space="preserve"> </w:t>
      </w:r>
      <w:r>
        <w:t>en</w:t>
      </w:r>
      <w:r w:rsidRPr="002C4077">
        <w:t xml:space="preserve"> </w:t>
      </w:r>
      <w:r>
        <w:t>prenons</w:t>
      </w:r>
      <w:r w:rsidRPr="002C4077">
        <w:t xml:space="preserve"> </w:t>
      </w:r>
      <w:r>
        <w:t>acte.</w:t>
      </w:r>
      <w:r w:rsidRPr="002C4077">
        <w:t xml:space="preserve"> </w:t>
      </w:r>
      <w:r>
        <w:t>Ainsi</w:t>
      </w:r>
      <w:r w:rsidRPr="002C4077">
        <w:t xml:space="preserve"> </w:t>
      </w:r>
      <w:r>
        <w:t>l’évangéliste,</w:t>
      </w:r>
      <w:r w:rsidRPr="002C4077">
        <w:t xml:space="preserve"> </w:t>
      </w:r>
      <w:r>
        <w:t>en</w:t>
      </w:r>
      <w:r w:rsidRPr="002C4077">
        <w:t xml:space="preserve"> </w:t>
      </w:r>
      <w:r>
        <w:t>citant</w:t>
      </w:r>
      <w:r w:rsidRPr="002C4077">
        <w:t xml:space="preserve"> </w:t>
      </w:r>
      <w:r>
        <w:t>l’oracle</w:t>
      </w:r>
      <w:r w:rsidRPr="002C4077">
        <w:t xml:space="preserve"> </w:t>
      </w:r>
      <w:r>
        <w:t>de</w:t>
      </w:r>
      <w:r w:rsidRPr="002C4077">
        <w:t xml:space="preserve"> </w:t>
      </w:r>
      <w:r w:rsidR="00D40830" w:rsidRPr="00D40830">
        <w:t>l’</w:t>
      </w:r>
      <w:r w:rsidR="00D40830" w:rsidRPr="00D05EA9">
        <w:rPr>
          <w:rStyle w:val="italicus"/>
        </w:rPr>
        <w:t>῾almah</w:t>
      </w:r>
      <w:r w:rsidRPr="000A34B5">
        <w:rPr>
          <w:rStyle w:val="italicus"/>
        </w:rPr>
        <w:t>,</w:t>
      </w:r>
      <w:r w:rsidRPr="002C4077">
        <w:t xml:space="preserve"> </w:t>
      </w:r>
      <w:r>
        <w:t>a</w:t>
      </w:r>
      <w:r w:rsidRPr="002C4077">
        <w:t xml:space="preserve"> </w:t>
      </w:r>
      <w:r>
        <w:t>voulu</w:t>
      </w:r>
      <w:r w:rsidRPr="002C4077">
        <w:t xml:space="preserve"> </w:t>
      </w:r>
      <w:r>
        <w:t>marquer</w:t>
      </w:r>
      <w:r w:rsidRPr="002C4077">
        <w:t xml:space="preserve"> </w:t>
      </w:r>
      <w:r>
        <w:t>un</w:t>
      </w:r>
      <w:r w:rsidRPr="002C4077">
        <w:t xml:space="preserve"> </w:t>
      </w:r>
      <w:r>
        <w:t>rapport</w:t>
      </w:r>
      <w:r w:rsidRPr="002C4077">
        <w:t xml:space="preserve"> </w:t>
      </w:r>
      <w:r>
        <w:t>réel,</w:t>
      </w:r>
      <w:r w:rsidRPr="002C4077">
        <w:t xml:space="preserve"> </w:t>
      </w:r>
      <w:r>
        <w:t>essentiel,</w:t>
      </w:r>
      <w:r w:rsidRPr="002C4077">
        <w:t xml:space="preserve"> </w:t>
      </w:r>
      <w:r>
        <w:t>qu’il</w:t>
      </w:r>
      <w:r w:rsidRPr="002C4077">
        <w:t xml:space="preserve"> </w:t>
      </w:r>
      <w:r>
        <w:t>croyait</w:t>
      </w:r>
      <w:r w:rsidRPr="002C4077">
        <w:t xml:space="preserve"> </w:t>
      </w:r>
      <w:r>
        <w:t>arrangé</w:t>
      </w:r>
      <w:r w:rsidRPr="002C4077">
        <w:t xml:space="preserve"> </w:t>
      </w:r>
      <w:r>
        <w:t>par</w:t>
      </w:r>
      <w:r w:rsidRPr="002C4077">
        <w:t xml:space="preserve"> </w:t>
      </w:r>
      <w:r>
        <w:t>Dieu</w:t>
      </w:r>
      <w:bookmarkStart w:id="155" w:name="z_MatthieuSaint_o2"/>
      <w:bookmarkEnd w:id="155"/>
      <w:r w:rsidRPr="002C4077">
        <w:t xml:space="preserve"> </w:t>
      </w:r>
      <w:r>
        <w:t>même</w:t>
      </w:r>
      <w:bookmarkStart w:id="156" w:name="z_Almah_o10"/>
      <w:bookmarkEnd w:id="156"/>
      <w:r>
        <w:t>.</w:t>
      </w:r>
      <w:r w:rsidR="00C45B47">
        <w:t xml:space="preserve"> {</w:t>
      </w:r>
      <w:r w:rsidR="000721C4">
        <w:t>43</w:t>
      </w:r>
      <w:bookmarkStart w:id="157" w:name="p043"/>
      <w:bookmarkEnd w:id="157"/>
      <w:r w:rsidR="000721C4">
        <w:t xml:space="preserve">} </w:t>
      </w:r>
    </w:p>
    <w:p w:rsidR="002A5E7A" w:rsidRDefault="002A5E7A" w:rsidP="000A7AAB"/>
    <w:p w:rsidR="000A7AAB" w:rsidRDefault="000A7AAB" w:rsidP="000A7AAB">
      <w:r>
        <w:t>2.</w:t>
      </w:r>
      <w:r w:rsidRPr="002C4077">
        <w:t xml:space="preserve"> </w:t>
      </w:r>
      <w:r w:rsidR="00D40830" w:rsidRPr="00D40830">
        <w:t>L’</w:t>
      </w:r>
      <w:r w:rsidR="00D40830" w:rsidRPr="00D05EA9">
        <w:rPr>
          <w:rStyle w:val="italicus"/>
        </w:rPr>
        <w:t>῾almah</w:t>
      </w:r>
      <w:r w:rsidRPr="002C4077">
        <w:t xml:space="preserve"> </w:t>
      </w:r>
      <w:r w:rsidRPr="000A34B5">
        <w:rPr>
          <w:rStyle w:val="italicus"/>
        </w:rPr>
        <w:t>et</w:t>
      </w:r>
      <w:r w:rsidRPr="002C4077">
        <w:t xml:space="preserve"> </w:t>
      </w:r>
      <w:r w:rsidRPr="000A34B5">
        <w:rPr>
          <w:rStyle w:val="italicus"/>
        </w:rPr>
        <w:t>les</w:t>
      </w:r>
      <w:bookmarkStart w:id="158" w:name="z_RationalistesFaiblesse_o5"/>
      <w:bookmarkEnd w:id="158"/>
      <w:r w:rsidRPr="002C4077">
        <w:t xml:space="preserve"> </w:t>
      </w:r>
      <w:r w:rsidRPr="000A34B5">
        <w:rPr>
          <w:rStyle w:val="italicus"/>
        </w:rPr>
        <w:t>rationalistes.</w:t>
      </w:r>
      <w:bookmarkStart w:id="159" w:name="z_Almah_o11"/>
      <w:bookmarkEnd w:id="159"/>
      <w:r w:rsidRPr="002C4077">
        <w:t xml:space="preserve"> </w:t>
      </w:r>
      <w:r>
        <w:t>—</w:t>
      </w:r>
      <w:r w:rsidRPr="002C4077">
        <w:t xml:space="preserve"> </w:t>
      </w:r>
      <w:r>
        <w:t>Que</w:t>
      </w:r>
      <w:r w:rsidRPr="002C4077">
        <w:t xml:space="preserve"> </w:t>
      </w:r>
      <w:r>
        <w:t>prétendent,</w:t>
      </w:r>
      <w:r w:rsidRPr="002C4077">
        <w:t xml:space="preserve"> </w:t>
      </w:r>
      <w:r>
        <w:t>maintenant,</w:t>
      </w:r>
      <w:r w:rsidRPr="002C4077">
        <w:t xml:space="preserve"> </w:t>
      </w:r>
      <w:r>
        <w:t>ceux</w:t>
      </w:r>
      <w:r w:rsidRPr="002C4077">
        <w:t xml:space="preserve"> </w:t>
      </w:r>
      <w:r>
        <w:t>qui</w:t>
      </w:r>
      <w:r w:rsidRPr="002C4077">
        <w:t xml:space="preserve"> </w:t>
      </w:r>
      <w:r>
        <w:t>rejettent</w:t>
      </w:r>
      <w:r w:rsidRPr="002C4077">
        <w:t xml:space="preserve"> </w:t>
      </w:r>
      <w:r>
        <w:t>cette</w:t>
      </w:r>
      <w:r w:rsidRPr="002C4077">
        <w:t xml:space="preserve"> </w:t>
      </w:r>
      <w:r>
        <w:t>explication</w:t>
      </w:r>
      <w:r w:rsidRPr="002C4077">
        <w:t xml:space="preserve"> </w:t>
      </w:r>
      <w:r>
        <w:t>à</w:t>
      </w:r>
      <w:r w:rsidRPr="002C4077">
        <w:t xml:space="preserve"> </w:t>
      </w:r>
      <w:r>
        <w:t>la</w:t>
      </w:r>
      <w:r w:rsidRPr="002C4077">
        <w:t xml:space="preserve"> </w:t>
      </w:r>
      <w:r>
        <w:t>fois</w:t>
      </w:r>
      <w:r w:rsidRPr="002C4077">
        <w:t xml:space="preserve"> </w:t>
      </w:r>
      <w:r>
        <w:t>si</w:t>
      </w:r>
      <w:r w:rsidRPr="002C4077">
        <w:t xml:space="preserve"> </w:t>
      </w:r>
      <w:r>
        <w:t>simple,</w:t>
      </w:r>
      <w:r w:rsidRPr="002C4077">
        <w:t xml:space="preserve"> </w:t>
      </w:r>
      <w:r>
        <w:t>si</w:t>
      </w:r>
      <w:r w:rsidRPr="002C4077">
        <w:t xml:space="preserve"> </w:t>
      </w:r>
      <w:r>
        <w:t>lumineuse</w:t>
      </w:r>
      <w:r w:rsidRPr="002C4077">
        <w:t xml:space="preserve"> </w:t>
      </w:r>
      <w:r>
        <w:t>et</w:t>
      </w:r>
      <w:r w:rsidRPr="002C4077">
        <w:t xml:space="preserve"> </w:t>
      </w:r>
      <w:r>
        <w:t>si</w:t>
      </w:r>
      <w:r w:rsidRPr="002C4077">
        <w:t xml:space="preserve"> </w:t>
      </w:r>
      <w:r>
        <w:t>consolante</w:t>
      </w:r>
      <w:r w:rsidR="00B546AF">
        <w:t> ?</w:t>
      </w:r>
      <w:r w:rsidRPr="002C4077">
        <w:t xml:space="preserve"> </w:t>
      </w:r>
      <w:r>
        <w:t>Nous</w:t>
      </w:r>
      <w:r w:rsidRPr="002C4077">
        <w:t xml:space="preserve"> </w:t>
      </w:r>
      <w:r>
        <w:t>allons</w:t>
      </w:r>
      <w:r w:rsidRPr="002C4077">
        <w:t xml:space="preserve"> </w:t>
      </w:r>
      <w:r>
        <w:t>les</w:t>
      </w:r>
      <w:r w:rsidRPr="002C4077">
        <w:t xml:space="preserve"> </w:t>
      </w:r>
      <w:r>
        <w:t>voir</w:t>
      </w:r>
      <w:r w:rsidRPr="002C4077">
        <w:t xml:space="preserve"> </w:t>
      </w:r>
      <w:r>
        <w:t>faire</w:t>
      </w:r>
      <w:r w:rsidRPr="002C4077">
        <w:t xml:space="preserve"> </w:t>
      </w:r>
      <w:r>
        <w:t>tristement</w:t>
      </w:r>
      <w:r w:rsidRPr="002C4077">
        <w:t xml:space="preserve"> </w:t>
      </w:r>
      <w:r>
        <w:t>naufrage</w:t>
      </w:r>
      <w:r w:rsidRPr="002C4077">
        <w:t xml:space="preserve"> </w:t>
      </w:r>
      <w:r>
        <w:t>contre</w:t>
      </w:r>
      <w:r w:rsidRPr="002C4077">
        <w:t xml:space="preserve"> </w:t>
      </w:r>
      <w:r>
        <w:t>les</w:t>
      </w:r>
      <w:r w:rsidRPr="002C4077">
        <w:t xml:space="preserve"> </w:t>
      </w:r>
      <w:r>
        <w:t>récifs</w:t>
      </w:r>
      <w:r w:rsidRPr="002C4077">
        <w:t xml:space="preserve"> </w:t>
      </w:r>
      <w:r>
        <w:t>de</w:t>
      </w:r>
      <w:r w:rsidRPr="002C4077">
        <w:t xml:space="preserve"> </w:t>
      </w:r>
      <w:r>
        <w:t>l’interprétation</w:t>
      </w:r>
      <w:r w:rsidRPr="002C4077">
        <w:t xml:space="preserve"> </w:t>
      </w:r>
      <w:r>
        <w:t>privée.</w:t>
      </w:r>
      <w:r w:rsidRPr="002C4077">
        <w:t xml:space="preserve"> </w:t>
      </w:r>
      <w:r>
        <w:t>C’est</w:t>
      </w:r>
      <w:r w:rsidRPr="002C4077">
        <w:t xml:space="preserve"> </w:t>
      </w:r>
      <w:r>
        <w:t>bien</w:t>
      </w:r>
      <w:r w:rsidRPr="002C4077">
        <w:t xml:space="preserve"> </w:t>
      </w:r>
      <w:r>
        <w:t>leur</w:t>
      </w:r>
      <w:r w:rsidRPr="002C4077">
        <w:t xml:space="preserve"> </w:t>
      </w:r>
      <w:r>
        <w:t>faute,</w:t>
      </w:r>
      <w:r w:rsidRPr="002C4077">
        <w:t xml:space="preserve"> </w:t>
      </w:r>
      <w:r>
        <w:t>puisqu’ils</w:t>
      </w:r>
      <w:r w:rsidRPr="002C4077">
        <w:t xml:space="preserve"> </w:t>
      </w:r>
      <w:r>
        <w:t>n’ont</w:t>
      </w:r>
      <w:r w:rsidRPr="002C4077">
        <w:t xml:space="preserve"> </w:t>
      </w:r>
      <w:r>
        <w:t>pas</w:t>
      </w:r>
      <w:r w:rsidRPr="002C4077">
        <w:t xml:space="preserve"> </w:t>
      </w:r>
      <w:r>
        <w:t>voulu</w:t>
      </w:r>
      <w:r w:rsidRPr="002C4077">
        <w:t xml:space="preserve"> </w:t>
      </w:r>
      <w:r>
        <w:t>regarder</w:t>
      </w:r>
      <w:r w:rsidRPr="002C4077">
        <w:t xml:space="preserve"> </w:t>
      </w:r>
      <w:r>
        <w:t>le</w:t>
      </w:r>
      <w:r w:rsidRPr="002C4077">
        <w:t xml:space="preserve"> </w:t>
      </w:r>
      <w:r>
        <w:t>phare</w:t>
      </w:r>
      <w:r w:rsidRPr="002C4077">
        <w:t xml:space="preserve"> </w:t>
      </w:r>
      <w:r>
        <w:t>destiné</w:t>
      </w:r>
      <w:r w:rsidRPr="002C4077">
        <w:t xml:space="preserve"> </w:t>
      </w:r>
      <w:r>
        <w:t>à</w:t>
      </w:r>
      <w:r w:rsidR="006E7907" w:rsidRPr="002C4077">
        <w:t xml:space="preserve"> </w:t>
      </w:r>
      <w:r>
        <w:t>les</w:t>
      </w:r>
      <w:r w:rsidRPr="002C4077">
        <w:t xml:space="preserve"> </w:t>
      </w:r>
      <w:r>
        <w:t>guider.</w:t>
      </w:r>
      <w:r w:rsidRPr="002C4077">
        <w:t xml:space="preserve"> </w:t>
      </w:r>
    </w:p>
    <w:p w:rsidR="000A7AAB" w:rsidRDefault="000A7AAB" w:rsidP="000A7AAB">
      <w:r>
        <w:t>Que</w:t>
      </w:r>
      <w:r w:rsidRPr="002C4077">
        <w:t xml:space="preserve"> </w:t>
      </w:r>
      <w:r>
        <w:t>vont-ils</w:t>
      </w:r>
      <w:r w:rsidRPr="002C4077">
        <w:t xml:space="preserve"> </w:t>
      </w:r>
      <w:r>
        <w:t>donc</w:t>
      </w:r>
      <w:r w:rsidRPr="002C4077">
        <w:t xml:space="preserve"> </w:t>
      </w:r>
      <w:r>
        <w:t>mettre</w:t>
      </w:r>
      <w:r w:rsidRPr="002C4077">
        <w:t xml:space="preserve"> </w:t>
      </w:r>
      <w:r>
        <w:t>à</w:t>
      </w:r>
      <w:r w:rsidRPr="002C4077">
        <w:t xml:space="preserve"> </w:t>
      </w:r>
      <w:r>
        <w:t>la</w:t>
      </w:r>
      <w:r w:rsidRPr="002C4077">
        <w:t xml:space="preserve"> </w:t>
      </w:r>
      <w:r>
        <w:t>place</w:t>
      </w:r>
      <w:r w:rsidRPr="002C4077">
        <w:t xml:space="preserve"> </w:t>
      </w:r>
      <w:r>
        <w:t>de</w:t>
      </w:r>
      <w:r w:rsidRPr="002C4077">
        <w:t xml:space="preserve"> </w:t>
      </w:r>
      <w:r>
        <w:t>la</w:t>
      </w:r>
      <w:r w:rsidRPr="002C4077">
        <w:t xml:space="preserve"> </w:t>
      </w:r>
      <w:r>
        <w:t>Vierge</w:t>
      </w:r>
      <w:r w:rsidRPr="002C4077">
        <w:t xml:space="preserve"> </w:t>
      </w:r>
      <w:r>
        <w:t>Marie,</w:t>
      </w:r>
      <w:r w:rsidRPr="002C4077">
        <w:t xml:space="preserve"> </w:t>
      </w:r>
      <w:r>
        <w:t>dont</w:t>
      </w:r>
      <w:r w:rsidRPr="002C4077">
        <w:t xml:space="preserve"> </w:t>
      </w:r>
      <w:r>
        <w:t>ils</w:t>
      </w:r>
      <w:r w:rsidRPr="002C4077">
        <w:t xml:space="preserve"> </w:t>
      </w:r>
      <w:r>
        <w:t>ne</w:t>
      </w:r>
      <w:r w:rsidRPr="002C4077">
        <w:t xml:space="preserve"> </w:t>
      </w:r>
      <w:r>
        <w:t>veulent</w:t>
      </w:r>
      <w:r w:rsidRPr="002C4077">
        <w:t xml:space="preserve"> </w:t>
      </w:r>
      <w:r>
        <w:t>à</w:t>
      </w:r>
      <w:r w:rsidRPr="002C4077">
        <w:t xml:space="preserve"> </w:t>
      </w:r>
      <w:r>
        <w:t>aucun</w:t>
      </w:r>
      <w:r w:rsidRPr="002C4077">
        <w:t xml:space="preserve"> </w:t>
      </w:r>
      <w:r>
        <w:t>prix</w:t>
      </w:r>
      <w:r w:rsidR="00B546AF">
        <w:t> ?</w:t>
      </w:r>
      <w:r w:rsidRPr="002C4077">
        <w:t xml:space="preserve"> </w:t>
      </w:r>
      <w:r>
        <w:t>Pourquoi</w:t>
      </w:r>
      <w:r w:rsidRPr="002C4077">
        <w:t xml:space="preserve"> </w:t>
      </w:r>
      <w:r>
        <w:t>ne</w:t>
      </w:r>
      <w:r w:rsidRPr="002C4077">
        <w:t xml:space="preserve"> </w:t>
      </w:r>
      <w:r>
        <w:t>l’avou</w:t>
      </w:r>
      <w:r w:rsidR="001730C6">
        <w:t>er</w:t>
      </w:r>
      <w:r>
        <w:t>ions-nous</w:t>
      </w:r>
      <w:r w:rsidRPr="002C4077">
        <w:t xml:space="preserve"> </w:t>
      </w:r>
      <w:r>
        <w:t>pas</w:t>
      </w:r>
      <w:r w:rsidR="00B546AF">
        <w:t> ?</w:t>
      </w:r>
      <w:r w:rsidRPr="002C4077">
        <w:t xml:space="preserve"> </w:t>
      </w:r>
      <w:r>
        <w:t>Le</w:t>
      </w:r>
      <w:r w:rsidRPr="002C4077">
        <w:t xml:space="preserve"> </w:t>
      </w:r>
      <w:r>
        <w:t>spectacle</w:t>
      </w:r>
      <w:r w:rsidRPr="002C4077">
        <w:t xml:space="preserve"> </w:t>
      </w:r>
      <w:r>
        <w:t>de</w:t>
      </w:r>
      <w:r w:rsidRPr="002C4077">
        <w:t xml:space="preserve"> </w:t>
      </w:r>
      <w:r>
        <w:t>leur</w:t>
      </w:r>
      <w:r w:rsidRPr="002C4077">
        <w:t xml:space="preserve"> </w:t>
      </w:r>
      <w:r>
        <w:t>impuissance</w:t>
      </w:r>
      <w:r w:rsidRPr="002C4077">
        <w:t xml:space="preserve"> </w:t>
      </w:r>
      <w:r>
        <w:t>a</w:t>
      </w:r>
      <w:r w:rsidRPr="002C4077">
        <w:t xml:space="preserve"> </w:t>
      </w:r>
      <w:r>
        <w:t>soutenu</w:t>
      </w:r>
      <w:r w:rsidRPr="002C4077">
        <w:t xml:space="preserve"> </w:t>
      </w:r>
      <w:r>
        <w:t>notre</w:t>
      </w:r>
      <w:r w:rsidRPr="002C4077">
        <w:t xml:space="preserve"> </w:t>
      </w:r>
      <w:r>
        <w:t>courage</w:t>
      </w:r>
      <w:r w:rsidRPr="002C4077">
        <w:t xml:space="preserve"> </w:t>
      </w:r>
      <w:r>
        <w:t>souvent</w:t>
      </w:r>
      <w:r w:rsidRPr="002C4077">
        <w:t xml:space="preserve"> </w:t>
      </w:r>
      <w:r>
        <w:t>prêt</w:t>
      </w:r>
      <w:r w:rsidRPr="002C4077">
        <w:t xml:space="preserve"> </w:t>
      </w:r>
      <w:r>
        <w:t>à</w:t>
      </w:r>
      <w:r w:rsidRPr="002C4077">
        <w:t xml:space="preserve"> </w:t>
      </w:r>
      <w:r>
        <w:t>défaillir</w:t>
      </w:r>
      <w:r w:rsidRPr="002C4077">
        <w:t xml:space="preserve"> </w:t>
      </w:r>
      <w:r>
        <w:t>durant</w:t>
      </w:r>
      <w:r w:rsidRPr="002C4077">
        <w:t xml:space="preserve"> </w:t>
      </w:r>
      <w:r>
        <w:t>les</w:t>
      </w:r>
      <w:r w:rsidRPr="002C4077">
        <w:t xml:space="preserve"> </w:t>
      </w:r>
      <w:r>
        <w:t>longues</w:t>
      </w:r>
      <w:r w:rsidRPr="002C4077">
        <w:t xml:space="preserve"> </w:t>
      </w:r>
      <w:r>
        <w:t>heures</w:t>
      </w:r>
      <w:r w:rsidRPr="002C4077">
        <w:t xml:space="preserve"> </w:t>
      </w:r>
      <w:r>
        <w:t>que</w:t>
      </w:r>
      <w:r w:rsidRPr="002C4077">
        <w:t xml:space="preserve"> </w:t>
      </w:r>
      <w:r>
        <w:t>nous</w:t>
      </w:r>
      <w:r w:rsidRPr="002C4077">
        <w:t xml:space="preserve"> </w:t>
      </w:r>
      <w:r>
        <w:t>avons</w:t>
      </w:r>
      <w:r w:rsidRPr="002C4077">
        <w:t xml:space="preserve"> </w:t>
      </w:r>
      <w:r>
        <w:t>dû</w:t>
      </w:r>
      <w:r w:rsidRPr="002C4077">
        <w:t xml:space="preserve"> </w:t>
      </w:r>
      <w:r>
        <w:t>employer</w:t>
      </w:r>
      <w:r w:rsidRPr="002C4077">
        <w:t xml:space="preserve"> </w:t>
      </w:r>
      <w:r>
        <w:t>à</w:t>
      </w:r>
      <w:r w:rsidRPr="002C4077">
        <w:t xml:space="preserve"> </w:t>
      </w:r>
      <w:r>
        <w:t>lire</w:t>
      </w:r>
      <w:r w:rsidRPr="002C4077">
        <w:t xml:space="preserve"> </w:t>
      </w:r>
      <w:r>
        <w:t>leurs</w:t>
      </w:r>
      <w:r w:rsidRPr="002C4077">
        <w:t xml:space="preserve"> </w:t>
      </w:r>
      <w:r>
        <w:t>creuses</w:t>
      </w:r>
      <w:r w:rsidRPr="002C4077">
        <w:t xml:space="preserve"> </w:t>
      </w:r>
      <w:r>
        <w:t>dissertations.</w:t>
      </w:r>
      <w:r w:rsidRPr="002C4077">
        <w:t xml:space="preserve"> </w:t>
      </w:r>
      <w:r>
        <w:t>Quelles</w:t>
      </w:r>
      <w:r w:rsidRPr="002C4077">
        <w:t xml:space="preserve"> </w:t>
      </w:r>
      <w:r>
        <w:t>hypothèses</w:t>
      </w:r>
      <w:r w:rsidR="00B546AF">
        <w:t> !</w:t>
      </w:r>
      <w:r w:rsidRPr="002C4077">
        <w:t xml:space="preserve"> </w:t>
      </w:r>
      <w:r>
        <w:t>et</w:t>
      </w:r>
      <w:r w:rsidRPr="002C4077">
        <w:t xml:space="preserve"> </w:t>
      </w:r>
      <w:r>
        <w:t>quelle</w:t>
      </w:r>
      <w:r w:rsidRPr="002C4077">
        <w:t xml:space="preserve"> </w:t>
      </w:r>
      <w:r>
        <w:t>harmonie</w:t>
      </w:r>
      <w:r w:rsidRPr="002C4077">
        <w:t xml:space="preserve"> </w:t>
      </w:r>
      <w:r>
        <w:t>entre</w:t>
      </w:r>
      <w:r w:rsidRPr="002C4077">
        <w:t xml:space="preserve"> </w:t>
      </w:r>
      <w:r>
        <w:t>ceux</w:t>
      </w:r>
      <w:r w:rsidRPr="002C4077">
        <w:t xml:space="preserve"> </w:t>
      </w:r>
      <w:r>
        <w:t>qui</w:t>
      </w:r>
      <w:r w:rsidRPr="002C4077">
        <w:t xml:space="preserve"> </w:t>
      </w:r>
      <w:r>
        <w:t>les</w:t>
      </w:r>
      <w:r w:rsidRPr="002C4077">
        <w:t xml:space="preserve"> </w:t>
      </w:r>
      <w:r>
        <w:t>inventent</w:t>
      </w:r>
      <w:r w:rsidR="00B546AF">
        <w:t> !</w:t>
      </w:r>
      <w:r w:rsidRPr="002C4077">
        <w:t xml:space="preserve"> </w:t>
      </w:r>
      <w:r>
        <w:t>Si</w:t>
      </w:r>
      <w:r w:rsidRPr="002C4077">
        <w:t xml:space="preserve"> </w:t>
      </w:r>
      <w:r>
        <w:t>la</w:t>
      </w:r>
      <w:r w:rsidRPr="002C4077">
        <w:t xml:space="preserve"> </w:t>
      </w:r>
      <w:r>
        <w:t>mise</w:t>
      </w:r>
      <w:r w:rsidRPr="002C4077">
        <w:t xml:space="preserve"> </w:t>
      </w:r>
      <w:r>
        <w:t>en</w:t>
      </w:r>
      <w:r w:rsidRPr="002C4077">
        <w:t xml:space="preserve"> </w:t>
      </w:r>
      <w:r>
        <w:t>scène</w:t>
      </w:r>
      <w:r w:rsidRPr="002C4077">
        <w:t xml:space="preserve"> </w:t>
      </w:r>
      <w:r>
        <w:t>n’eût</w:t>
      </w:r>
      <w:r w:rsidRPr="002C4077">
        <w:t xml:space="preserve"> </w:t>
      </w:r>
      <w:r>
        <w:t>demandé</w:t>
      </w:r>
      <w:r w:rsidRPr="002C4077">
        <w:t xml:space="preserve"> </w:t>
      </w:r>
      <w:r>
        <w:t>un</w:t>
      </w:r>
      <w:r w:rsidRPr="002C4077">
        <w:t xml:space="preserve"> </w:t>
      </w:r>
      <w:r>
        <w:t>temps</w:t>
      </w:r>
      <w:r w:rsidRPr="002C4077">
        <w:t xml:space="preserve"> </w:t>
      </w:r>
      <w:r>
        <w:t>considérable,</w:t>
      </w:r>
      <w:r w:rsidRPr="002C4077">
        <w:t xml:space="preserve"> </w:t>
      </w:r>
      <w:r>
        <w:t>que</w:t>
      </w:r>
      <w:r w:rsidRPr="002C4077">
        <w:t xml:space="preserve"> </w:t>
      </w:r>
      <w:r>
        <w:t>nous</w:t>
      </w:r>
      <w:r w:rsidRPr="002C4077">
        <w:t xml:space="preserve"> </w:t>
      </w:r>
      <w:r>
        <w:t>espérons</w:t>
      </w:r>
      <w:r w:rsidRPr="002C4077">
        <w:t xml:space="preserve"> </w:t>
      </w:r>
      <w:r>
        <w:t>pouvoir</w:t>
      </w:r>
      <w:r w:rsidRPr="002C4077">
        <w:t xml:space="preserve"> </w:t>
      </w:r>
      <w:r>
        <w:t>employer</w:t>
      </w:r>
      <w:r w:rsidRPr="002C4077">
        <w:t xml:space="preserve"> </w:t>
      </w:r>
      <w:r>
        <w:t>plus</w:t>
      </w:r>
      <w:r w:rsidRPr="002C4077">
        <w:t xml:space="preserve"> </w:t>
      </w:r>
      <w:r>
        <w:t>utilement,</w:t>
      </w:r>
      <w:r w:rsidRPr="002C4077">
        <w:t xml:space="preserve"> </w:t>
      </w:r>
      <w:r>
        <w:t>nous</w:t>
      </w:r>
      <w:r w:rsidRPr="002C4077">
        <w:t xml:space="preserve"> </w:t>
      </w:r>
      <w:r>
        <w:t>nous</w:t>
      </w:r>
      <w:r w:rsidRPr="002C4077">
        <w:t xml:space="preserve"> </w:t>
      </w:r>
      <w:r>
        <w:t>serions</w:t>
      </w:r>
      <w:r w:rsidRPr="002C4077">
        <w:t xml:space="preserve"> </w:t>
      </w:r>
      <w:r>
        <w:t>donné</w:t>
      </w:r>
      <w:r w:rsidRPr="002C4077">
        <w:t xml:space="preserve"> </w:t>
      </w:r>
      <w:r>
        <w:t>le</w:t>
      </w:r>
      <w:r w:rsidRPr="002C4077">
        <w:t xml:space="preserve"> </w:t>
      </w:r>
      <w:r>
        <w:t>plaisir</w:t>
      </w:r>
      <w:r w:rsidRPr="002C4077">
        <w:t xml:space="preserve"> </w:t>
      </w:r>
      <w:r>
        <w:t>de</w:t>
      </w:r>
      <w:r w:rsidRPr="002C4077">
        <w:t xml:space="preserve"> </w:t>
      </w:r>
      <w:r>
        <w:t>les</w:t>
      </w:r>
      <w:r w:rsidRPr="002C4077">
        <w:t xml:space="preserve"> </w:t>
      </w:r>
      <w:r>
        <w:t>ranger</w:t>
      </w:r>
      <w:r w:rsidRPr="002C4077">
        <w:t xml:space="preserve"> </w:t>
      </w:r>
      <w:r>
        <w:t>en</w:t>
      </w:r>
      <w:r w:rsidRPr="002C4077">
        <w:t xml:space="preserve"> </w:t>
      </w:r>
      <w:r>
        <w:t>ligne</w:t>
      </w:r>
      <w:r w:rsidRPr="002C4077">
        <w:t xml:space="preserve"> </w:t>
      </w:r>
      <w:r>
        <w:t>les</w:t>
      </w:r>
      <w:r w:rsidRPr="002C4077">
        <w:t xml:space="preserve"> </w:t>
      </w:r>
      <w:r>
        <w:t>uns</w:t>
      </w:r>
      <w:r w:rsidRPr="002C4077">
        <w:t xml:space="preserve"> </w:t>
      </w:r>
      <w:r>
        <w:t>contre</w:t>
      </w:r>
      <w:r w:rsidRPr="002C4077">
        <w:t xml:space="preserve"> </w:t>
      </w:r>
      <w:r>
        <w:t>les</w:t>
      </w:r>
      <w:r w:rsidRPr="002C4077">
        <w:t xml:space="preserve"> </w:t>
      </w:r>
      <w:r>
        <w:t>autres</w:t>
      </w:r>
      <w:r w:rsidR="00B546AF">
        <w:t> ;</w:t>
      </w:r>
      <w:r w:rsidRPr="002C4077">
        <w:t xml:space="preserve"> </w:t>
      </w:r>
      <w:r>
        <w:t>on</w:t>
      </w:r>
      <w:r w:rsidRPr="002C4077">
        <w:t xml:space="preserve"> </w:t>
      </w:r>
      <w:r>
        <w:t>ne</w:t>
      </w:r>
      <w:r w:rsidRPr="002C4077">
        <w:t xml:space="preserve"> </w:t>
      </w:r>
      <w:r>
        <w:t>trouverait</w:t>
      </w:r>
      <w:r w:rsidRPr="002C4077">
        <w:t xml:space="preserve"> </w:t>
      </w:r>
      <w:r>
        <w:t>ensuite</w:t>
      </w:r>
      <w:r w:rsidRPr="002C4077">
        <w:t xml:space="preserve"> </w:t>
      </w:r>
      <w:r>
        <w:t>que</w:t>
      </w:r>
      <w:r w:rsidRPr="002C4077">
        <w:t xml:space="preserve"> </w:t>
      </w:r>
      <w:r>
        <w:t>des</w:t>
      </w:r>
      <w:r w:rsidRPr="002C4077">
        <w:t xml:space="preserve"> </w:t>
      </w:r>
      <w:r>
        <w:t>morts</w:t>
      </w:r>
      <w:r w:rsidRPr="002C4077">
        <w:t xml:space="preserve"> </w:t>
      </w:r>
      <w:r>
        <w:t>sur</w:t>
      </w:r>
      <w:r w:rsidRPr="002C4077">
        <w:t xml:space="preserve"> </w:t>
      </w:r>
      <w:r>
        <w:t>le</w:t>
      </w:r>
      <w:r w:rsidRPr="002C4077">
        <w:t xml:space="preserve"> </w:t>
      </w:r>
      <w:r>
        <w:t>terrain,</w:t>
      </w:r>
      <w:r w:rsidRPr="002C4077">
        <w:t xml:space="preserve"> </w:t>
      </w:r>
      <w:r>
        <w:t>car</w:t>
      </w:r>
      <w:r w:rsidRPr="002C4077">
        <w:t xml:space="preserve"> </w:t>
      </w:r>
      <w:r>
        <w:t>il</w:t>
      </w:r>
      <w:r w:rsidRPr="002C4077">
        <w:t xml:space="preserve"> </w:t>
      </w:r>
      <w:r>
        <w:t>n’est</w:t>
      </w:r>
      <w:r w:rsidRPr="002C4077">
        <w:t xml:space="preserve"> </w:t>
      </w:r>
      <w:r>
        <w:t>pas</w:t>
      </w:r>
      <w:r w:rsidRPr="002C4077">
        <w:t xml:space="preserve"> </w:t>
      </w:r>
      <w:r>
        <w:t>une</w:t>
      </w:r>
      <w:r w:rsidRPr="002C4077">
        <w:t xml:space="preserve"> </w:t>
      </w:r>
      <w:r>
        <w:t>opinion</w:t>
      </w:r>
      <w:r w:rsidRPr="002C4077">
        <w:t xml:space="preserve"> </w:t>
      </w:r>
      <w:r>
        <w:t>rationaliste</w:t>
      </w:r>
      <w:r w:rsidRPr="002C4077">
        <w:t xml:space="preserve"> </w:t>
      </w:r>
      <w:r>
        <w:t>qui</w:t>
      </w:r>
      <w:r w:rsidRPr="002C4077">
        <w:t xml:space="preserve"> </w:t>
      </w:r>
      <w:r>
        <w:t>ne</w:t>
      </w:r>
      <w:r w:rsidRPr="002C4077">
        <w:t xml:space="preserve"> </w:t>
      </w:r>
      <w:r>
        <w:t>soit</w:t>
      </w:r>
      <w:r w:rsidRPr="002C4077">
        <w:t xml:space="preserve"> </w:t>
      </w:r>
      <w:r>
        <w:t>combattue,</w:t>
      </w:r>
      <w:r w:rsidRPr="002C4077">
        <w:t xml:space="preserve"> </w:t>
      </w:r>
      <w:r>
        <w:t>renversée,</w:t>
      </w:r>
      <w:r w:rsidRPr="002C4077">
        <w:t xml:space="preserve"> </w:t>
      </w:r>
      <w:r>
        <w:t>par</w:t>
      </w:r>
      <w:r w:rsidRPr="002C4077">
        <w:t xml:space="preserve"> </w:t>
      </w:r>
      <w:r>
        <w:t>dix</w:t>
      </w:r>
      <w:r w:rsidRPr="002C4077">
        <w:t xml:space="preserve"> </w:t>
      </w:r>
      <w:r>
        <w:t>rationalistes.</w:t>
      </w:r>
      <w:r w:rsidRPr="002C4077">
        <w:t xml:space="preserve"> </w:t>
      </w:r>
      <w:r>
        <w:t>Du</w:t>
      </w:r>
      <w:r w:rsidRPr="002C4077">
        <w:t xml:space="preserve"> </w:t>
      </w:r>
      <w:r>
        <w:t>reste,</w:t>
      </w:r>
      <w:r w:rsidRPr="002C4077">
        <w:t xml:space="preserve"> </w:t>
      </w:r>
      <w:r>
        <w:t>il</w:t>
      </w:r>
      <w:r w:rsidRPr="002C4077">
        <w:t xml:space="preserve"> </w:t>
      </w:r>
      <w:r>
        <w:t>ne</w:t>
      </w:r>
      <w:r w:rsidRPr="002C4077">
        <w:t xml:space="preserve"> </w:t>
      </w:r>
      <w:r>
        <w:t>leur</w:t>
      </w:r>
      <w:r w:rsidRPr="002C4077">
        <w:t xml:space="preserve"> </w:t>
      </w:r>
      <w:r>
        <w:t>en</w:t>
      </w:r>
      <w:r w:rsidRPr="002C4077">
        <w:t xml:space="preserve"> </w:t>
      </w:r>
      <w:r>
        <w:t>coûte</w:t>
      </w:r>
      <w:r w:rsidRPr="002C4077">
        <w:t xml:space="preserve"> </w:t>
      </w:r>
      <w:r>
        <w:t>rien</w:t>
      </w:r>
      <w:r w:rsidRPr="002C4077">
        <w:t xml:space="preserve"> </w:t>
      </w:r>
      <w:r>
        <w:t>d’admettre</w:t>
      </w:r>
      <w:r w:rsidRPr="002C4077">
        <w:t xml:space="preserve"> </w:t>
      </w:r>
      <w:r>
        <w:t>les</w:t>
      </w:r>
      <w:r w:rsidRPr="002C4077">
        <w:t xml:space="preserve"> </w:t>
      </w:r>
      <w:r>
        <w:t>erreurs</w:t>
      </w:r>
      <w:r w:rsidRPr="002C4077">
        <w:t xml:space="preserve"> </w:t>
      </w:r>
      <w:r>
        <w:t>les</w:t>
      </w:r>
      <w:r w:rsidRPr="002C4077">
        <w:t xml:space="preserve"> </w:t>
      </w:r>
      <w:r>
        <w:t>plus</w:t>
      </w:r>
      <w:r w:rsidRPr="002C4077">
        <w:t xml:space="preserve"> </w:t>
      </w:r>
      <w:r>
        <w:t>grossières</w:t>
      </w:r>
      <w:r w:rsidR="00B546AF">
        <w:t> ;</w:t>
      </w:r>
      <w:r w:rsidRPr="002C4077">
        <w:t xml:space="preserve"> </w:t>
      </w:r>
      <w:r>
        <w:t>ils</w:t>
      </w:r>
      <w:r w:rsidRPr="002C4077">
        <w:t xml:space="preserve"> </w:t>
      </w:r>
      <w:r>
        <w:t>adoptent</w:t>
      </w:r>
      <w:r w:rsidRPr="002C4077">
        <w:t xml:space="preserve"> </w:t>
      </w:r>
      <w:r>
        <w:t>les</w:t>
      </w:r>
      <w:r w:rsidRPr="002C4077">
        <w:t xml:space="preserve"> </w:t>
      </w:r>
      <w:r>
        <w:t>explications</w:t>
      </w:r>
      <w:r w:rsidRPr="002C4077">
        <w:t xml:space="preserve"> </w:t>
      </w:r>
      <w:r>
        <w:t>les</w:t>
      </w:r>
      <w:r w:rsidRPr="002C4077">
        <w:t xml:space="preserve"> </w:t>
      </w:r>
      <w:r>
        <w:t>plus</w:t>
      </w:r>
      <w:r w:rsidRPr="002C4077">
        <w:t xml:space="preserve"> </w:t>
      </w:r>
      <w:r>
        <w:t>arbitraires</w:t>
      </w:r>
      <w:r w:rsidRPr="002C4077">
        <w:t xml:space="preserve"> </w:t>
      </w:r>
      <w:r>
        <w:t>et</w:t>
      </w:r>
      <w:r w:rsidRPr="002C4077">
        <w:t xml:space="preserve"> </w:t>
      </w:r>
      <w:r>
        <w:t>les</w:t>
      </w:r>
      <w:r w:rsidRPr="002C4077">
        <w:t xml:space="preserve"> </w:t>
      </w:r>
      <w:r>
        <w:t>plus</w:t>
      </w:r>
      <w:r w:rsidRPr="002C4077">
        <w:t xml:space="preserve"> </w:t>
      </w:r>
      <w:r>
        <w:t>paradoxales,</w:t>
      </w:r>
      <w:r w:rsidRPr="002C4077">
        <w:t xml:space="preserve"> </w:t>
      </w:r>
      <w:r>
        <w:t>à</w:t>
      </w:r>
      <w:r w:rsidRPr="002C4077">
        <w:t xml:space="preserve"> </w:t>
      </w:r>
      <w:r>
        <w:t>la</w:t>
      </w:r>
      <w:r w:rsidRPr="002C4077">
        <w:t xml:space="preserve"> </w:t>
      </w:r>
      <w:r>
        <w:t>condition</w:t>
      </w:r>
      <w:r w:rsidRPr="002C4077">
        <w:t xml:space="preserve"> </w:t>
      </w:r>
      <w:r>
        <w:t>que</w:t>
      </w:r>
      <w:r w:rsidRPr="002C4077">
        <w:t xml:space="preserve"> </w:t>
      </w:r>
      <w:r>
        <w:t>l’on</w:t>
      </w:r>
      <w:r w:rsidRPr="002C4077">
        <w:t xml:space="preserve"> </w:t>
      </w:r>
      <w:r>
        <w:t>condamnera</w:t>
      </w:r>
      <w:r w:rsidRPr="002C4077">
        <w:t xml:space="preserve"> </w:t>
      </w:r>
      <w:r>
        <w:t>le</w:t>
      </w:r>
      <w:r w:rsidRPr="002C4077">
        <w:t xml:space="preserve"> </w:t>
      </w:r>
      <w:r>
        <w:t>sens</w:t>
      </w:r>
      <w:r w:rsidRPr="002C4077">
        <w:t xml:space="preserve"> </w:t>
      </w:r>
      <w:r>
        <w:t>messianique,</w:t>
      </w:r>
      <w:r w:rsidRPr="002C4077">
        <w:t xml:space="preserve"> </w:t>
      </w:r>
      <w:r>
        <w:t>c’est-à-dire</w:t>
      </w:r>
      <w:r w:rsidRPr="002C4077">
        <w:t xml:space="preserve"> </w:t>
      </w:r>
      <w:r>
        <w:t>la</w:t>
      </w:r>
      <w:r w:rsidRPr="002C4077">
        <w:t xml:space="preserve"> </w:t>
      </w:r>
      <w:r>
        <w:t>révélation,</w:t>
      </w:r>
      <w:r w:rsidRPr="002C4077">
        <w:t xml:space="preserve"> </w:t>
      </w:r>
      <w:r>
        <w:t>le</w:t>
      </w:r>
      <w:r w:rsidRPr="002C4077">
        <w:t xml:space="preserve"> </w:t>
      </w:r>
      <w:r>
        <w:t>miracle</w:t>
      </w:r>
      <w:r w:rsidR="00B91AF7">
        <w:rPr>
          <w:rStyle w:val="Appelnotedebasdep"/>
        </w:rPr>
        <w:footnoteReference w:id="116"/>
      </w:r>
      <w:r>
        <w:t>.</w:t>
      </w:r>
      <w:r w:rsidRPr="002C4077">
        <w:t xml:space="preserve"> </w:t>
      </w:r>
      <w:r>
        <w:t>Mais,</w:t>
      </w:r>
      <w:r w:rsidRPr="002C4077">
        <w:t xml:space="preserve"> </w:t>
      </w:r>
      <w:r>
        <w:t>s’il</w:t>
      </w:r>
      <w:r w:rsidRPr="002C4077">
        <w:t xml:space="preserve"> </w:t>
      </w:r>
      <w:r>
        <w:t>n’y</w:t>
      </w:r>
      <w:r w:rsidRPr="002C4077">
        <w:t xml:space="preserve"> </w:t>
      </w:r>
      <w:r>
        <w:t>a</w:t>
      </w:r>
      <w:r w:rsidRPr="002C4077">
        <w:t xml:space="preserve"> </w:t>
      </w:r>
      <w:r>
        <w:t>pas</w:t>
      </w:r>
      <w:r w:rsidRPr="002C4077">
        <w:t xml:space="preserve"> </w:t>
      </w:r>
      <w:r>
        <w:t>eu</w:t>
      </w:r>
      <w:r w:rsidRPr="002C4077">
        <w:t xml:space="preserve"> </w:t>
      </w:r>
      <w:r>
        <w:t>de</w:t>
      </w:r>
      <w:r w:rsidRPr="002C4077">
        <w:t xml:space="preserve"> </w:t>
      </w:r>
      <w:r>
        <w:t>révélation,</w:t>
      </w:r>
      <w:r w:rsidRPr="002C4077">
        <w:t xml:space="preserve"> </w:t>
      </w:r>
      <w:r>
        <w:t>comment</w:t>
      </w:r>
      <w:r w:rsidRPr="002C4077">
        <w:t xml:space="preserve"> </w:t>
      </w:r>
      <w:r>
        <w:t>Isaïe</w:t>
      </w:r>
      <w:r w:rsidRPr="002C4077">
        <w:t xml:space="preserve"> </w:t>
      </w:r>
      <w:r>
        <w:t>a-t-il</w:t>
      </w:r>
      <w:r w:rsidRPr="002C4077">
        <w:t xml:space="preserve"> </w:t>
      </w:r>
      <w:r>
        <w:t>pu</w:t>
      </w:r>
      <w:r w:rsidRPr="002C4077">
        <w:t xml:space="preserve"> </w:t>
      </w:r>
      <w:r>
        <w:t>prédire</w:t>
      </w:r>
      <w:r w:rsidRPr="002C4077">
        <w:t xml:space="preserve"> </w:t>
      </w:r>
      <w:r>
        <w:t>à</w:t>
      </w:r>
      <w:r w:rsidRPr="002C4077">
        <w:t xml:space="preserve"> </w:t>
      </w:r>
      <w:r w:rsidR="00D40830" w:rsidRPr="00D40830">
        <w:t>l’</w:t>
      </w:r>
      <w:r w:rsidR="00D40830" w:rsidRPr="00D05EA9">
        <w:rPr>
          <w:rStyle w:val="italicus"/>
        </w:rPr>
        <w:t>῾almah</w:t>
      </w:r>
      <w:r w:rsidRPr="002C4077">
        <w:t xml:space="preserve"> </w:t>
      </w:r>
      <w:r>
        <w:t>qu’elle</w:t>
      </w:r>
      <w:r w:rsidRPr="002C4077">
        <w:t xml:space="preserve"> </w:t>
      </w:r>
      <w:r>
        <w:t>mettrait</w:t>
      </w:r>
      <w:r w:rsidRPr="002C4077">
        <w:t xml:space="preserve"> </w:t>
      </w:r>
      <w:r>
        <w:t>au</w:t>
      </w:r>
      <w:r w:rsidRPr="002C4077">
        <w:t xml:space="preserve"> </w:t>
      </w:r>
      <w:r>
        <w:t>monde</w:t>
      </w:r>
      <w:r w:rsidRPr="002C4077">
        <w:t xml:space="preserve"> </w:t>
      </w:r>
      <w:r>
        <w:t>un</w:t>
      </w:r>
      <w:r w:rsidRPr="002C4077">
        <w:t xml:space="preserve"> </w:t>
      </w:r>
      <w:r>
        <w:t>fils,</w:t>
      </w:r>
      <w:r w:rsidRPr="002C4077">
        <w:t xml:space="preserve"> </w:t>
      </w:r>
      <w:r>
        <w:t>non</w:t>
      </w:r>
      <w:r w:rsidRPr="002C4077">
        <w:t xml:space="preserve"> </w:t>
      </w:r>
      <w:r>
        <w:t>une</w:t>
      </w:r>
      <w:r w:rsidRPr="002C4077">
        <w:t xml:space="preserve"> </w:t>
      </w:r>
      <w:r>
        <w:t>fille</w:t>
      </w:r>
      <w:r w:rsidR="00B546AF">
        <w:t> ?</w:t>
      </w:r>
      <w:r w:rsidRPr="002C4077">
        <w:t xml:space="preserve"> </w:t>
      </w:r>
      <w:r>
        <w:t>Knobel</w:t>
      </w:r>
      <w:r w:rsidRPr="002C4077">
        <w:t xml:space="preserve"> </w:t>
      </w:r>
      <w:r w:rsidR="00425C50">
        <w:t>est</w:t>
      </w:r>
      <w:r w:rsidRPr="002C4077">
        <w:t xml:space="preserve"> </w:t>
      </w:r>
      <w:r>
        <w:t>bien</w:t>
      </w:r>
      <w:r w:rsidRPr="002C4077">
        <w:t xml:space="preserve"> </w:t>
      </w:r>
      <w:r>
        <w:t>embarrassé</w:t>
      </w:r>
      <w:r w:rsidRPr="002C4077">
        <w:t xml:space="preserve"> </w:t>
      </w:r>
      <w:r>
        <w:t>par</w:t>
      </w:r>
      <w:r w:rsidRPr="002C4077">
        <w:t xml:space="preserve"> </w:t>
      </w:r>
      <w:r>
        <w:t>cette</w:t>
      </w:r>
      <w:r w:rsidRPr="002C4077">
        <w:t xml:space="preserve"> </w:t>
      </w:r>
      <w:r>
        <w:t>simple</w:t>
      </w:r>
      <w:r w:rsidRPr="002C4077">
        <w:t xml:space="preserve"> </w:t>
      </w:r>
      <w:r>
        <w:t>question.</w:t>
      </w:r>
      <w:r w:rsidR="00C45B47">
        <w:t xml:space="preserve"> {</w:t>
      </w:r>
      <w:r w:rsidR="000721C4">
        <w:t>44</w:t>
      </w:r>
      <w:bookmarkStart w:id="160" w:name="p044"/>
      <w:bookmarkEnd w:id="160"/>
      <w:r w:rsidR="000721C4">
        <w:t xml:space="preserve">} </w:t>
      </w:r>
      <w:r>
        <w:t>Il</w:t>
      </w:r>
      <w:r w:rsidRPr="002C4077">
        <w:t xml:space="preserve"> </w:t>
      </w:r>
      <w:r>
        <w:t>essaie</w:t>
      </w:r>
      <w:r w:rsidRPr="002C4077">
        <w:t xml:space="preserve"> </w:t>
      </w:r>
      <w:r>
        <w:t>pourtant</w:t>
      </w:r>
      <w:r w:rsidRPr="002C4077">
        <w:t xml:space="preserve"> </w:t>
      </w:r>
      <w:r>
        <w:t>de</w:t>
      </w:r>
      <w:r w:rsidRPr="002C4077">
        <w:t xml:space="preserve"> </w:t>
      </w:r>
      <w:r>
        <w:t>balbutier</w:t>
      </w:r>
      <w:r w:rsidRPr="002C4077">
        <w:t xml:space="preserve"> </w:t>
      </w:r>
      <w:r>
        <w:t>une</w:t>
      </w:r>
      <w:r w:rsidRPr="002C4077">
        <w:t xml:space="preserve"> </w:t>
      </w:r>
      <w:r>
        <w:t>réponse</w:t>
      </w:r>
      <w:r w:rsidR="00B546AF">
        <w:t> :</w:t>
      </w:r>
      <w:r w:rsidRPr="002C4077">
        <w:t xml:space="preserve"> </w:t>
      </w:r>
      <w:r w:rsidR="00B546AF">
        <w:t>« </w:t>
      </w:r>
      <w:r>
        <w:t>Le</w:t>
      </w:r>
      <w:r w:rsidRPr="002C4077">
        <w:t xml:space="preserve"> </w:t>
      </w:r>
      <w:r>
        <w:t>prophète</w:t>
      </w:r>
      <w:r w:rsidRPr="002C4077">
        <w:t xml:space="preserve"> </w:t>
      </w:r>
      <w:r>
        <w:t>ne</w:t>
      </w:r>
      <w:r w:rsidRPr="002C4077">
        <w:t xml:space="preserve"> </w:t>
      </w:r>
      <w:r>
        <w:t>parla</w:t>
      </w:r>
      <w:r w:rsidRPr="002C4077">
        <w:t xml:space="preserve"> </w:t>
      </w:r>
      <w:r>
        <w:t>sans</w:t>
      </w:r>
      <w:r w:rsidRPr="002C4077">
        <w:t xml:space="preserve"> </w:t>
      </w:r>
      <w:r>
        <w:t>doute</w:t>
      </w:r>
      <w:r w:rsidRPr="002C4077">
        <w:t xml:space="preserve"> </w:t>
      </w:r>
      <w:r>
        <w:t>que</w:t>
      </w:r>
      <w:r w:rsidRPr="002C4077">
        <w:t xml:space="preserve"> </w:t>
      </w:r>
      <w:r>
        <w:t>d’un</w:t>
      </w:r>
      <w:r w:rsidRPr="002C4077">
        <w:t xml:space="preserve"> </w:t>
      </w:r>
      <w:r w:rsidRPr="000A34B5">
        <w:rPr>
          <w:rStyle w:val="italicus"/>
        </w:rPr>
        <w:t>enfant</w:t>
      </w:r>
      <w:r w:rsidRPr="002C4077">
        <w:t xml:space="preserve"> </w:t>
      </w:r>
      <w:r>
        <w:t>en</w:t>
      </w:r>
      <w:r w:rsidRPr="002C4077">
        <w:t xml:space="preserve"> </w:t>
      </w:r>
      <w:r>
        <w:t>général,</w:t>
      </w:r>
      <w:r w:rsidRPr="002C4077">
        <w:t xml:space="preserve"> </w:t>
      </w:r>
      <w:r>
        <w:t>puis</w:t>
      </w:r>
      <w:r w:rsidRPr="002C4077">
        <w:t xml:space="preserve"> </w:t>
      </w:r>
      <w:r>
        <w:t>plus</w:t>
      </w:r>
      <w:r w:rsidRPr="002C4077">
        <w:t xml:space="preserve"> </w:t>
      </w:r>
      <w:r>
        <w:t>tard,</w:t>
      </w:r>
      <w:r w:rsidRPr="002C4077">
        <w:t xml:space="preserve"> </w:t>
      </w:r>
      <w:r>
        <w:t>quand</w:t>
      </w:r>
      <w:r w:rsidRPr="002C4077">
        <w:t xml:space="preserve"> </w:t>
      </w:r>
      <w:r>
        <w:t>il</w:t>
      </w:r>
      <w:r w:rsidRPr="002C4077">
        <w:t xml:space="preserve"> </w:t>
      </w:r>
      <w:r>
        <w:t>rédigea</w:t>
      </w:r>
      <w:r w:rsidRPr="002C4077">
        <w:t xml:space="preserve"> </w:t>
      </w:r>
      <w:r>
        <w:t>son</w:t>
      </w:r>
      <w:r w:rsidRPr="002C4077">
        <w:t xml:space="preserve"> </w:t>
      </w:r>
      <w:r>
        <w:t>oracle</w:t>
      </w:r>
      <w:r w:rsidRPr="002C4077">
        <w:t xml:space="preserve"> </w:t>
      </w:r>
      <w:r>
        <w:t>après</w:t>
      </w:r>
      <w:r w:rsidRPr="002C4077">
        <w:t xml:space="preserve"> </w:t>
      </w:r>
      <w:r>
        <w:t>l’événement,</w:t>
      </w:r>
      <w:r w:rsidRPr="002C4077">
        <w:t xml:space="preserve"> </w:t>
      </w:r>
      <w:r>
        <w:t>il</w:t>
      </w:r>
      <w:r w:rsidRPr="002C4077">
        <w:t xml:space="preserve"> </w:t>
      </w:r>
      <w:r>
        <w:t>put</w:t>
      </w:r>
      <w:r w:rsidRPr="002C4077">
        <w:t xml:space="preserve"> </w:t>
      </w:r>
      <w:r>
        <w:t>dire</w:t>
      </w:r>
      <w:r w:rsidRPr="002C4077">
        <w:t xml:space="preserve"> </w:t>
      </w:r>
      <w:r>
        <w:t>que</w:t>
      </w:r>
      <w:r w:rsidRPr="002C4077">
        <w:t xml:space="preserve"> </w:t>
      </w:r>
      <w:r>
        <w:t>c’était</w:t>
      </w:r>
      <w:r w:rsidRPr="002C4077">
        <w:t xml:space="preserve"> </w:t>
      </w:r>
      <w:r>
        <w:t>un</w:t>
      </w:r>
      <w:r w:rsidRPr="002C4077">
        <w:t xml:space="preserve"> </w:t>
      </w:r>
      <w:r>
        <w:t>fils</w:t>
      </w:r>
      <w:r w:rsidR="00B91AF7">
        <w:rPr>
          <w:rStyle w:val="Appelnotedebasdep"/>
        </w:rPr>
        <w:footnoteReference w:id="117"/>
      </w:r>
      <w:r w:rsidR="00B546AF">
        <w:t> »</w:t>
      </w:r>
      <w:r>
        <w:t>.</w:t>
      </w:r>
      <w:r w:rsidRPr="002C4077">
        <w:t xml:space="preserve"> </w:t>
      </w:r>
      <w:r>
        <w:t>C’est</w:t>
      </w:r>
      <w:r w:rsidRPr="002C4077">
        <w:t xml:space="preserve"> </w:t>
      </w:r>
      <w:r>
        <w:t>le</w:t>
      </w:r>
      <w:r w:rsidRPr="002C4077">
        <w:t xml:space="preserve"> </w:t>
      </w:r>
      <w:r>
        <w:t>cas</w:t>
      </w:r>
      <w:r w:rsidRPr="002C4077">
        <w:t xml:space="preserve"> </w:t>
      </w:r>
      <w:r>
        <w:t>de</w:t>
      </w:r>
      <w:r w:rsidRPr="002C4077">
        <w:t xml:space="preserve"> </w:t>
      </w:r>
      <w:r>
        <w:t>répéter</w:t>
      </w:r>
      <w:r w:rsidRPr="002C4077">
        <w:t xml:space="preserve"> </w:t>
      </w:r>
      <w:r>
        <w:t>le</w:t>
      </w:r>
      <w:r w:rsidRPr="002C4077">
        <w:t xml:space="preserve"> </w:t>
      </w:r>
      <w:r>
        <w:t>mot</w:t>
      </w:r>
      <w:r w:rsidRPr="002C4077">
        <w:t xml:space="preserve"> </w:t>
      </w:r>
      <w:r>
        <w:t>de</w:t>
      </w:r>
      <w:r w:rsidRPr="002C4077">
        <w:t xml:space="preserve"> </w:t>
      </w:r>
      <w:r>
        <w:t>Dante</w:t>
      </w:r>
      <w:r w:rsidR="00B546AF">
        <w:t> :</w:t>
      </w:r>
      <w:r w:rsidRPr="002C4077">
        <w:t xml:space="preserve"> </w:t>
      </w:r>
    </w:p>
    <w:p w:rsidR="000A7AAB" w:rsidRPr="00CF3BB3" w:rsidRDefault="000A7AAB" w:rsidP="00CF3BB3">
      <w:pPr>
        <w:pStyle w:val="locus"/>
      </w:pPr>
      <w:r w:rsidRPr="00CF3BB3">
        <w:t>Non</w:t>
      </w:r>
      <w:r w:rsidRPr="002C4077">
        <w:t xml:space="preserve"> </w:t>
      </w:r>
      <w:r w:rsidRPr="00CF3BB3">
        <w:t>ragi</w:t>
      </w:r>
      <w:r w:rsidR="00CF3BB3">
        <w:t>o</w:t>
      </w:r>
      <w:r w:rsidR="003B53FD" w:rsidRPr="00CF3BB3">
        <w:t>niam</w:t>
      </w:r>
      <w:r w:rsidRPr="002C4077">
        <w:t xml:space="preserve"> </w:t>
      </w:r>
      <w:r w:rsidRPr="00CF3BB3">
        <w:t>di</w:t>
      </w:r>
      <w:r w:rsidRPr="002C4077">
        <w:t xml:space="preserve"> </w:t>
      </w:r>
      <w:r w:rsidRPr="00CF3BB3">
        <w:t>lor,</w:t>
      </w:r>
      <w:r w:rsidRPr="002C4077">
        <w:t xml:space="preserve"> </w:t>
      </w:r>
      <w:r w:rsidRPr="00CF3BB3">
        <w:t>ma</w:t>
      </w:r>
      <w:r w:rsidRPr="002C4077">
        <w:t xml:space="preserve"> </w:t>
      </w:r>
      <w:r w:rsidRPr="00CF3BB3">
        <w:t>guarda</w:t>
      </w:r>
      <w:r w:rsidRPr="002C4077">
        <w:t xml:space="preserve"> </w:t>
      </w:r>
      <w:r w:rsidRPr="00CF3BB3">
        <w:t>e</w:t>
      </w:r>
      <w:r w:rsidRPr="002C4077">
        <w:t xml:space="preserve"> </w:t>
      </w:r>
      <w:r w:rsidRPr="00CF3BB3">
        <w:t>passa</w:t>
      </w:r>
      <w:r w:rsidR="00B546AF" w:rsidRPr="00CF3BB3">
        <w:t> !</w:t>
      </w:r>
      <w:r w:rsidRPr="002C4077">
        <w:t xml:space="preserve"> </w:t>
      </w:r>
    </w:p>
    <w:p w:rsidR="000A7AAB" w:rsidRDefault="000A7AAB" w:rsidP="000A7AAB">
      <w:r>
        <w:t>Revenons</w:t>
      </w:r>
      <w:r w:rsidRPr="002C4077">
        <w:t xml:space="preserve"> </w:t>
      </w:r>
      <w:r>
        <w:t>à</w:t>
      </w:r>
      <w:r w:rsidRPr="002C4077">
        <w:t xml:space="preserve"> </w:t>
      </w:r>
      <w:r>
        <w:t>notre</w:t>
      </w:r>
      <w:r w:rsidRPr="002C4077">
        <w:t xml:space="preserve"> </w:t>
      </w:r>
      <w:r>
        <w:t>thèse,</w:t>
      </w:r>
      <w:r w:rsidRPr="002C4077">
        <w:t xml:space="preserve"> </w:t>
      </w:r>
      <w:r>
        <w:t>et</w:t>
      </w:r>
      <w:r w:rsidRPr="002C4077">
        <w:t xml:space="preserve"> </w:t>
      </w:r>
      <w:r>
        <w:t>demandons</w:t>
      </w:r>
      <w:r w:rsidRPr="002C4077">
        <w:t xml:space="preserve"> </w:t>
      </w:r>
      <w:r>
        <w:t>aux</w:t>
      </w:r>
      <w:r w:rsidRPr="002C4077">
        <w:t xml:space="preserve"> </w:t>
      </w:r>
      <w:r>
        <w:t>Juifs</w:t>
      </w:r>
      <w:r w:rsidRPr="002C4077">
        <w:t xml:space="preserve"> </w:t>
      </w:r>
      <w:r>
        <w:t>et</w:t>
      </w:r>
      <w:r w:rsidRPr="002C4077">
        <w:t xml:space="preserve"> </w:t>
      </w:r>
      <w:r>
        <w:t>aux</w:t>
      </w:r>
      <w:r w:rsidRPr="002C4077">
        <w:t xml:space="preserve"> </w:t>
      </w:r>
      <w:r>
        <w:t>rationalistes</w:t>
      </w:r>
      <w:r w:rsidR="00B546AF">
        <w:t> :</w:t>
      </w:r>
      <w:r w:rsidRPr="002C4077">
        <w:t xml:space="preserve"> </w:t>
      </w:r>
      <w:r>
        <w:t>Qu’est-ce</w:t>
      </w:r>
      <w:r w:rsidRPr="002C4077">
        <w:t xml:space="preserve"> </w:t>
      </w:r>
      <w:r>
        <w:t>que</w:t>
      </w:r>
      <w:r w:rsidRPr="002C4077">
        <w:t xml:space="preserve"> </w:t>
      </w:r>
      <w:r w:rsidR="00D40830" w:rsidRPr="00D40830">
        <w:t>l’</w:t>
      </w:r>
      <w:r w:rsidR="00D40830" w:rsidRPr="00D05EA9">
        <w:rPr>
          <w:rStyle w:val="italicus"/>
        </w:rPr>
        <w:t>῾almah</w:t>
      </w:r>
      <w:r w:rsidRPr="002C4077">
        <w:t xml:space="preserve"> </w:t>
      </w:r>
      <w:r>
        <w:t>d’après</w:t>
      </w:r>
      <w:r w:rsidRPr="002C4077">
        <w:t xml:space="preserve"> </w:t>
      </w:r>
      <w:r>
        <w:t>vous</w:t>
      </w:r>
      <w:r w:rsidR="00B546AF">
        <w:t> ?</w:t>
      </w:r>
      <w:r w:rsidRPr="002C4077">
        <w:t xml:space="preserve"> </w:t>
      </w:r>
    </w:p>
    <w:p w:rsidR="000A7AAB" w:rsidRDefault="000A7AAB" w:rsidP="000A7AAB">
      <w:r>
        <w:t>Ceux</w:t>
      </w:r>
      <w:bookmarkStart w:id="161" w:name="z_AlmahPerso_o4"/>
      <w:bookmarkEnd w:id="161"/>
      <w:r w:rsidRPr="002C4077">
        <w:t xml:space="preserve"> </w:t>
      </w:r>
      <w:r>
        <w:t>d’entre</w:t>
      </w:r>
      <w:r w:rsidRPr="002C4077">
        <w:t xml:space="preserve"> </w:t>
      </w:r>
      <w:r>
        <w:t>eux</w:t>
      </w:r>
      <w:r w:rsidRPr="002C4077">
        <w:t xml:space="preserve"> </w:t>
      </w:r>
      <w:r>
        <w:t>qui</w:t>
      </w:r>
      <w:r w:rsidRPr="002C4077">
        <w:t xml:space="preserve"> </w:t>
      </w:r>
      <w:r>
        <w:t>ont</w:t>
      </w:r>
      <w:r w:rsidRPr="002C4077">
        <w:t xml:space="preserve"> </w:t>
      </w:r>
      <w:r>
        <w:t>identifié</w:t>
      </w:r>
      <w:r w:rsidRPr="002C4077">
        <w:t xml:space="preserve"> </w:t>
      </w:r>
      <w:r>
        <w:t>Emmanuel</w:t>
      </w:r>
      <w:r w:rsidRPr="002C4077">
        <w:t xml:space="preserve"> </w:t>
      </w:r>
      <w:r>
        <w:t>et</w:t>
      </w:r>
      <w:r w:rsidRPr="002C4077">
        <w:t xml:space="preserve"> </w:t>
      </w:r>
      <w:r w:rsidR="00CF3BB3">
        <w:t>Ézéchias</w:t>
      </w:r>
      <w:r w:rsidRPr="002C4077">
        <w:t xml:space="preserve"> </w:t>
      </w:r>
      <w:r>
        <w:t>font</w:t>
      </w:r>
      <w:r w:rsidRPr="002C4077">
        <w:t xml:space="preserve"> </w:t>
      </w:r>
      <w:r>
        <w:t>naturellement</w:t>
      </w:r>
      <w:r w:rsidRPr="002C4077">
        <w:t xml:space="preserve"> </w:t>
      </w:r>
      <w:r>
        <w:t>de</w:t>
      </w:r>
      <w:r w:rsidRPr="002C4077">
        <w:t xml:space="preserve"> </w:t>
      </w:r>
      <w:r w:rsidR="00D40830" w:rsidRPr="00D40830">
        <w:t>l’</w:t>
      </w:r>
      <w:r w:rsidR="00D40830" w:rsidRPr="00D05EA9">
        <w:rPr>
          <w:rStyle w:val="italicus"/>
        </w:rPr>
        <w:t>῾almah</w:t>
      </w:r>
      <w:r w:rsidRPr="002C4077">
        <w:t xml:space="preserve"> </w:t>
      </w:r>
      <w:r>
        <w:t>la</w:t>
      </w:r>
      <w:r w:rsidRPr="002C4077">
        <w:t xml:space="preserve"> </w:t>
      </w:r>
      <w:r>
        <w:t>femme,</w:t>
      </w:r>
      <w:r w:rsidRPr="002C4077">
        <w:t xml:space="preserve"> </w:t>
      </w:r>
      <w:r>
        <w:t>ou,</w:t>
      </w:r>
      <w:r w:rsidRPr="002C4077">
        <w:t xml:space="preserve"> </w:t>
      </w:r>
      <w:r>
        <w:t>pour</w:t>
      </w:r>
      <w:r w:rsidRPr="002C4077">
        <w:t xml:space="preserve"> </w:t>
      </w:r>
      <w:r w:rsidR="00CF3BB3">
        <w:t>employer</w:t>
      </w:r>
      <w:r w:rsidR="00CF3BB3" w:rsidRPr="002C4077">
        <w:t xml:space="preserve"> </w:t>
      </w:r>
      <w:r w:rsidR="00CF3BB3">
        <w:t>exactement</w:t>
      </w:r>
      <w:r w:rsidRPr="002C4077">
        <w:t xml:space="preserve"> </w:t>
      </w:r>
      <w:r>
        <w:t>leur</w:t>
      </w:r>
      <w:r w:rsidRPr="002C4077">
        <w:t xml:space="preserve"> </w:t>
      </w:r>
      <w:r>
        <w:t>langage,</w:t>
      </w:r>
      <w:r w:rsidRPr="002C4077">
        <w:t xml:space="preserve"> </w:t>
      </w:r>
      <w:r>
        <w:t>l’une</w:t>
      </w:r>
      <w:r w:rsidRPr="002C4077">
        <w:t xml:space="preserve"> </w:t>
      </w:r>
      <w:r>
        <w:t>des</w:t>
      </w:r>
      <w:r w:rsidRPr="002C4077">
        <w:t xml:space="preserve"> </w:t>
      </w:r>
      <w:r>
        <w:t>femmes</w:t>
      </w:r>
      <w:r w:rsidRPr="002C4077">
        <w:t xml:space="preserve"> </w:t>
      </w:r>
      <w:r>
        <w:t>du</w:t>
      </w:r>
      <w:r w:rsidRPr="002C4077">
        <w:t xml:space="preserve"> </w:t>
      </w:r>
      <w:r>
        <w:t>roi</w:t>
      </w:r>
      <w:r w:rsidRPr="002C4077">
        <w:t xml:space="preserve"> </w:t>
      </w:r>
      <w:r>
        <w:t>Achaz.</w:t>
      </w:r>
      <w:r w:rsidRPr="002C4077">
        <w:t xml:space="preserve"> </w:t>
      </w:r>
      <w:r>
        <w:t>—</w:t>
      </w:r>
      <w:r w:rsidRPr="002C4077">
        <w:t xml:space="preserve"> </w:t>
      </w:r>
      <w:r>
        <w:t>Ewald</w:t>
      </w:r>
      <w:bookmarkStart w:id="162" w:name="z_Ewald_o1"/>
      <w:bookmarkEnd w:id="162"/>
      <w:r w:rsidRPr="002C4077">
        <w:t xml:space="preserve"> </w:t>
      </w:r>
      <w:r>
        <w:t>ne</w:t>
      </w:r>
      <w:r w:rsidRPr="002C4077">
        <w:t xml:space="preserve"> </w:t>
      </w:r>
      <w:r>
        <w:t>leur</w:t>
      </w:r>
      <w:r w:rsidRPr="002C4077">
        <w:t xml:space="preserve"> </w:t>
      </w:r>
      <w:r>
        <w:t>fait</w:t>
      </w:r>
      <w:r w:rsidRPr="002C4077">
        <w:t xml:space="preserve"> </w:t>
      </w:r>
      <w:r>
        <w:t>pas</w:t>
      </w:r>
      <w:r w:rsidRPr="002C4077">
        <w:t xml:space="preserve"> </w:t>
      </w:r>
      <w:r>
        <w:t>l’honneur</w:t>
      </w:r>
      <w:r w:rsidRPr="002C4077">
        <w:t xml:space="preserve"> </w:t>
      </w:r>
      <w:r>
        <w:t>d’une</w:t>
      </w:r>
      <w:r w:rsidRPr="002C4077">
        <w:t xml:space="preserve"> </w:t>
      </w:r>
      <w:r>
        <w:t>longue</w:t>
      </w:r>
      <w:r w:rsidRPr="002C4077">
        <w:t xml:space="preserve"> </w:t>
      </w:r>
      <w:r>
        <w:t>réfutation</w:t>
      </w:r>
      <w:r w:rsidR="00B546AF">
        <w:t> :</w:t>
      </w:r>
      <w:r w:rsidRPr="002C4077">
        <w:t xml:space="preserve"> </w:t>
      </w:r>
      <w:r w:rsidR="00B546AF">
        <w:t>« </w:t>
      </w:r>
      <w:r>
        <w:t>On</w:t>
      </w:r>
      <w:r w:rsidRPr="002C4077">
        <w:t xml:space="preserve"> </w:t>
      </w:r>
      <w:r>
        <w:t>ne</w:t>
      </w:r>
      <w:r w:rsidRPr="002C4077">
        <w:t xml:space="preserve"> </w:t>
      </w:r>
      <w:r>
        <w:t>peut</w:t>
      </w:r>
      <w:r w:rsidRPr="002C4077">
        <w:t xml:space="preserve"> </w:t>
      </w:r>
      <w:r>
        <w:t>rien</w:t>
      </w:r>
      <w:r w:rsidRPr="002C4077">
        <w:t xml:space="preserve"> </w:t>
      </w:r>
      <w:r>
        <w:t>imaginer</w:t>
      </w:r>
      <w:r w:rsidRPr="002C4077">
        <w:t xml:space="preserve"> </w:t>
      </w:r>
      <w:r>
        <w:t>de</w:t>
      </w:r>
      <w:r w:rsidRPr="002C4077">
        <w:t xml:space="preserve"> </w:t>
      </w:r>
      <w:r>
        <w:t>plus</w:t>
      </w:r>
      <w:r w:rsidRPr="002C4077">
        <w:t xml:space="preserve"> </w:t>
      </w:r>
      <w:r>
        <w:t>absurde</w:t>
      </w:r>
      <w:r w:rsidR="00B546AF">
        <w:t> »</w:t>
      </w:r>
      <w:r>
        <w:t>,</w:t>
      </w:r>
      <w:r w:rsidRPr="002C4077">
        <w:t xml:space="preserve"> </w:t>
      </w:r>
      <w:r>
        <w:t>s’écrie-t-il</w:t>
      </w:r>
      <w:r w:rsidRPr="002C4077">
        <w:t xml:space="preserve"> </w:t>
      </w:r>
      <w:r>
        <w:t>justement</w:t>
      </w:r>
      <w:r w:rsidR="00B91AF7">
        <w:rPr>
          <w:rStyle w:val="Appelnotedebasdep"/>
        </w:rPr>
        <w:footnoteReference w:id="118"/>
      </w:r>
      <w:r>
        <w:t>.</w:t>
      </w:r>
      <w:r w:rsidRPr="002C4077">
        <w:t xml:space="preserve"> </w:t>
      </w:r>
      <w:r>
        <w:t>Nous</w:t>
      </w:r>
      <w:r w:rsidRPr="002C4077">
        <w:t xml:space="preserve"> </w:t>
      </w:r>
      <w:r>
        <w:t>avons</w:t>
      </w:r>
      <w:r w:rsidRPr="002C4077">
        <w:t xml:space="preserve"> </w:t>
      </w:r>
      <w:r>
        <w:t>vu</w:t>
      </w:r>
      <w:r w:rsidRPr="002C4077">
        <w:t xml:space="preserve"> </w:t>
      </w:r>
      <w:r>
        <w:t>en</w:t>
      </w:r>
      <w:r w:rsidRPr="002C4077">
        <w:t xml:space="preserve"> </w:t>
      </w:r>
      <w:r>
        <w:t>effet</w:t>
      </w:r>
      <w:r w:rsidRPr="002C4077">
        <w:t xml:space="preserve"> </w:t>
      </w:r>
      <w:r>
        <w:t>qu’Ézéchias</w:t>
      </w:r>
      <w:r w:rsidRPr="002C4077">
        <w:t xml:space="preserve"> </w:t>
      </w:r>
      <w:r>
        <w:t>avait</w:t>
      </w:r>
      <w:r w:rsidRPr="002C4077">
        <w:t xml:space="preserve"> </w:t>
      </w:r>
      <w:r>
        <w:t>alors</w:t>
      </w:r>
      <w:r w:rsidRPr="002C4077">
        <w:t xml:space="preserve"> </w:t>
      </w:r>
      <w:r>
        <w:t>une</w:t>
      </w:r>
      <w:r w:rsidRPr="002C4077">
        <w:t xml:space="preserve"> </w:t>
      </w:r>
      <w:r>
        <w:t>dizaine</w:t>
      </w:r>
      <w:r w:rsidRPr="002C4077">
        <w:t xml:space="preserve"> </w:t>
      </w:r>
      <w:r>
        <w:t>d’années.</w:t>
      </w:r>
      <w:r w:rsidRPr="002C4077">
        <w:t xml:space="preserve"> </w:t>
      </w:r>
    </w:p>
    <w:p w:rsidR="000A7AAB" w:rsidRDefault="000A7AAB" w:rsidP="000A7AAB">
      <w:r>
        <w:t>D’autres</w:t>
      </w:r>
      <w:r w:rsidRPr="002C4077">
        <w:t xml:space="preserve"> </w:t>
      </w:r>
      <w:r>
        <w:t>ont</w:t>
      </w:r>
      <w:r w:rsidRPr="002C4077">
        <w:t xml:space="preserve"> </w:t>
      </w:r>
      <w:r>
        <w:t>pensé</w:t>
      </w:r>
      <w:r w:rsidRPr="002C4077">
        <w:t xml:space="preserve"> </w:t>
      </w:r>
      <w:r>
        <w:t>à</w:t>
      </w:r>
      <w:r w:rsidRPr="002C4077">
        <w:t xml:space="preserve"> </w:t>
      </w:r>
      <w:r>
        <w:t>la</w:t>
      </w:r>
      <w:r w:rsidRPr="002C4077">
        <w:t xml:space="preserve"> </w:t>
      </w:r>
      <w:r>
        <w:t>femme</w:t>
      </w:r>
      <w:r w:rsidRPr="002C4077">
        <w:t xml:space="preserve"> </w:t>
      </w:r>
      <w:r>
        <w:t>du</w:t>
      </w:r>
      <w:r w:rsidRPr="002C4077">
        <w:t xml:space="preserve"> </w:t>
      </w:r>
      <w:r>
        <w:t>prophète</w:t>
      </w:r>
      <w:r w:rsidR="00B91AF7">
        <w:rPr>
          <w:rStyle w:val="Appelnotedebasdep"/>
        </w:rPr>
        <w:footnoteReference w:id="119"/>
      </w:r>
      <w:r>
        <w:t>.</w:t>
      </w:r>
      <w:r w:rsidRPr="002C4077">
        <w:t xml:space="preserve"> </w:t>
      </w:r>
      <w:r>
        <w:t>Toutefois</w:t>
      </w:r>
      <w:r w:rsidRPr="002C4077">
        <w:t xml:space="preserve"> </w:t>
      </w:r>
      <w:r>
        <w:t>plusieurs,</w:t>
      </w:r>
      <w:r w:rsidRPr="002C4077">
        <w:t xml:space="preserve"> </w:t>
      </w:r>
      <w:r>
        <w:t>parmi</w:t>
      </w:r>
      <w:r w:rsidRPr="002C4077">
        <w:t xml:space="preserve"> </w:t>
      </w:r>
      <w:r>
        <w:t>eux,</w:t>
      </w:r>
      <w:r w:rsidRPr="002C4077">
        <w:t xml:space="preserve"> </w:t>
      </w:r>
      <w:r>
        <w:t>dans</w:t>
      </w:r>
      <w:r w:rsidRPr="002C4077">
        <w:t xml:space="preserve"> </w:t>
      </w:r>
      <w:r>
        <w:t>la</w:t>
      </w:r>
      <w:r w:rsidRPr="002C4077">
        <w:t xml:space="preserve"> </w:t>
      </w:r>
      <w:r>
        <w:t>supposition</w:t>
      </w:r>
      <w:r w:rsidRPr="002C4077">
        <w:t xml:space="preserve"> </w:t>
      </w:r>
      <w:r>
        <w:t>très</w:t>
      </w:r>
      <w:r w:rsidRPr="002C4077">
        <w:t xml:space="preserve"> </w:t>
      </w:r>
      <w:r w:rsidRPr="00D40830">
        <w:t>fondée</w:t>
      </w:r>
      <w:r w:rsidRPr="002C4077">
        <w:t xml:space="preserve"> </w:t>
      </w:r>
      <w:r w:rsidRPr="00D40830">
        <w:t>que</w:t>
      </w:r>
      <w:r w:rsidRPr="002C4077">
        <w:t xml:space="preserve"> </w:t>
      </w:r>
      <w:r w:rsidRPr="00D40830">
        <w:t>le</w:t>
      </w:r>
      <w:r w:rsidRPr="002C4077">
        <w:t xml:space="preserve"> </w:t>
      </w:r>
      <w:r w:rsidRPr="00D40830">
        <w:t>nom</w:t>
      </w:r>
      <w:r w:rsidRPr="002C4077">
        <w:t xml:space="preserve"> </w:t>
      </w:r>
      <w:r w:rsidR="00D40830" w:rsidRPr="00D40830">
        <w:t>d’</w:t>
      </w:r>
      <w:r w:rsidR="00D40830" w:rsidRPr="00D05EA9">
        <w:rPr>
          <w:rStyle w:val="italicus"/>
        </w:rPr>
        <w:t>῾almah</w:t>
      </w:r>
      <w:r w:rsidRPr="000A34B5">
        <w:rPr>
          <w:rStyle w:val="italicus"/>
        </w:rPr>
        <w:t>,</w:t>
      </w:r>
      <w:r w:rsidRPr="002C4077">
        <w:t xml:space="preserve"> </w:t>
      </w:r>
      <w:r>
        <w:t>qui</w:t>
      </w:r>
      <w:r w:rsidRPr="002C4077">
        <w:t xml:space="preserve"> </w:t>
      </w:r>
      <w:r>
        <w:t>désignerait,</w:t>
      </w:r>
      <w:r w:rsidRPr="002C4077">
        <w:t xml:space="preserve"> </w:t>
      </w:r>
      <w:r>
        <w:t>disent-ils,</w:t>
      </w:r>
      <w:r w:rsidRPr="002C4077">
        <w:t xml:space="preserve"> </w:t>
      </w:r>
      <w:r>
        <w:t>tout</w:t>
      </w:r>
      <w:r w:rsidRPr="002C4077">
        <w:t xml:space="preserve"> </w:t>
      </w:r>
      <w:r>
        <w:t>au</w:t>
      </w:r>
      <w:r w:rsidRPr="002C4077">
        <w:t xml:space="preserve"> </w:t>
      </w:r>
      <w:r>
        <w:t>moins</w:t>
      </w:r>
      <w:r w:rsidRPr="002C4077">
        <w:t xml:space="preserve"> </w:t>
      </w:r>
      <w:r>
        <w:t>une</w:t>
      </w:r>
      <w:r w:rsidRPr="002C4077">
        <w:t xml:space="preserve"> </w:t>
      </w:r>
      <w:r>
        <w:t>jeune</w:t>
      </w:r>
      <w:r w:rsidRPr="002C4077">
        <w:t xml:space="preserve"> </w:t>
      </w:r>
      <w:r>
        <w:t>femme,</w:t>
      </w:r>
      <w:r w:rsidRPr="002C4077">
        <w:t xml:space="preserve"> </w:t>
      </w:r>
      <w:r>
        <w:t>ne</w:t>
      </w:r>
      <w:r w:rsidRPr="002C4077">
        <w:t xml:space="preserve"> </w:t>
      </w:r>
      <w:r>
        <w:t>pouvait</w:t>
      </w:r>
      <w:r w:rsidRPr="002C4077">
        <w:t xml:space="preserve"> </w:t>
      </w:r>
      <w:r>
        <w:t>guère</w:t>
      </w:r>
      <w:r w:rsidRPr="002C4077">
        <w:t xml:space="preserve"> </w:t>
      </w:r>
      <w:r>
        <w:t>lui</w:t>
      </w:r>
      <w:r w:rsidRPr="002C4077">
        <w:t xml:space="preserve"> </w:t>
      </w:r>
      <w:r>
        <w:t>convenir,</w:t>
      </w:r>
      <w:r w:rsidRPr="002C4077">
        <w:t xml:space="preserve"> </w:t>
      </w:r>
      <w:r>
        <w:t>puisqu’elle</w:t>
      </w:r>
      <w:r w:rsidRPr="002C4077">
        <w:t xml:space="preserve"> </w:t>
      </w:r>
      <w:r>
        <w:t>avait</w:t>
      </w:r>
      <w:r w:rsidRPr="002C4077">
        <w:t xml:space="preserve"> </w:t>
      </w:r>
      <w:r>
        <w:t>déjà</w:t>
      </w:r>
      <w:r w:rsidRPr="002C4077">
        <w:t xml:space="preserve"> </w:t>
      </w:r>
      <w:r>
        <w:t>un</w:t>
      </w:r>
      <w:r w:rsidRPr="002C4077">
        <w:t xml:space="preserve"> </w:t>
      </w:r>
      <w:r>
        <w:t>fils</w:t>
      </w:r>
      <w:r w:rsidRPr="002C4077">
        <w:t xml:space="preserve"> </w:t>
      </w:r>
      <w:r>
        <w:t>d’un</w:t>
      </w:r>
      <w:r w:rsidRPr="002C4077">
        <w:t xml:space="preserve"> </w:t>
      </w:r>
      <w:r>
        <w:t>certain</w:t>
      </w:r>
      <w:r w:rsidRPr="002C4077">
        <w:t xml:space="preserve"> </w:t>
      </w:r>
      <w:r>
        <w:t>âge</w:t>
      </w:r>
      <w:r w:rsidR="00B91AF7">
        <w:rPr>
          <w:rStyle w:val="Appelnotedebasdep"/>
        </w:rPr>
        <w:footnoteReference w:id="120"/>
      </w:r>
      <w:r>
        <w:t>,</w:t>
      </w:r>
      <w:r w:rsidRPr="002C4077">
        <w:t xml:space="preserve"> </w:t>
      </w:r>
      <w:r>
        <w:t>transforment</w:t>
      </w:r>
      <w:r w:rsidRPr="002C4077">
        <w:t xml:space="preserve"> </w:t>
      </w:r>
      <w:r>
        <w:t>sans</w:t>
      </w:r>
      <w:r w:rsidRPr="002C4077">
        <w:t xml:space="preserve"> </w:t>
      </w:r>
      <w:r>
        <w:t>plus</w:t>
      </w:r>
      <w:r w:rsidRPr="002C4077">
        <w:t xml:space="preserve"> </w:t>
      </w:r>
      <w:r>
        <w:t>d</w:t>
      </w:r>
      <w:r w:rsidR="00073827">
        <w:t>e</w:t>
      </w:r>
      <w:r w:rsidRPr="002C4077">
        <w:t xml:space="preserve"> </w:t>
      </w:r>
      <w:r>
        <w:t>façon</w:t>
      </w:r>
      <w:r w:rsidRPr="002C4077">
        <w:t xml:space="preserve"> </w:t>
      </w:r>
      <w:r>
        <w:t>Isaïe</w:t>
      </w:r>
      <w:r w:rsidRPr="002C4077">
        <w:t xml:space="preserve"> </w:t>
      </w:r>
      <w:r>
        <w:t>en</w:t>
      </w:r>
      <w:r w:rsidRPr="002C4077">
        <w:t xml:space="preserve"> </w:t>
      </w:r>
      <w:r>
        <w:t>bigame</w:t>
      </w:r>
      <w:r w:rsidRPr="002C4077">
        <w:t xml:space="preserve"> </w:t>
      </w:r>
      <w:r>
        <w:lastRenderedPageBreak/>
        <w:t>pour</w:t>
      </w:r>
      <w:r w:rsidRPr="002C4077">
        <w:t xml:space="preserve"> </w:t>
      </w:r>
      <w:r>
        <w:t>les</w:t>
      </w:r>
      <w:r w:rsidRPr="002C4077">
        <w:t xml:space="preserve"> </w:t>
      </w:r>
      <w:r>
        <w:t>besoins</w:t>
      </w:r>
      <w:r w:rsidRPr="002C4077">
        <w:t xml:space="preserve"> </w:t>
      </w:r>
      <w:r>
        <w:t>de</w:t>
      </w:r>
      <w:r w:rsidRPr="002C4077">
        <w:t xml:space="preserve"> </w:t>
      </w:r>
      <w:r>
        <w:t>leur</w:t>
      </w:r>
      <w:r w:rsidRPr="002C4077">
        <w:t xml:space="preserve"> </w:t>
      </w:r>
      <w:r>
        <w:t>cause</w:t>
      </w:r>
      <w:r w:rsidR="00B546AF">
        <w:t> ;</w:t>
      </w:r>
      <w:r w:rsidRPr="002C4077">
        <w:t xml:space="preserve"> </w:t>
      </w:r>
      <w:r>
        <w:t>ou</w:t>
      </w:r>
      <w:r w:rsidRPr="002C4077">
        <w:t xml:space="preserve"> </w:t>
      </w:r>
      <w:r>
        <w:t>bien,</w:t>
      </w:r>
      <w:r w:rsidRPr="002C4077">
        <w:t xml:space="preserve"> </w:t>
      </w:r>
      <w:r>
        <w:t>selon</w:t>
      </w:r>
      <w:r w:rsidRPr="002C4077">
        <w:t xml:space="preserve"> </w:t>
      </w:r>
      <w:r>
        <w:t>la</w:t>
      </w:r>
      <w:r w:rsidRPr="002C4077">
        <w:t xml:space="preserve"> </w:t>
      </w:r>
      <w:r>
        <w:t>méthode</w:t>
      </w:r>
      <w:r w:rsidRPr="002C4077">
        <w:t xml:space="preserve"> </w:t>
      </w:r>
      <w:r>
        <w:t>usitée</w:t>
      </w:r>
      <w:r w:rsidRPr="002C4077">
        <w:t xml:space="preserve"> </w:t>
      </w:r>
      <w:r>
        <w:t>dans</w:t>
      </w:r>
      <w:r w:rsidRPr="002C4077">
        <w:t xml:space="preserve"> </w:t>
      </w:r>
      <w:r>
        <w:t>les</w:t>
      </w:r>
      <w:r w:rsidRPr="002C4077">
        <w:t xml:space="preserve"> </w:t>
      </w:r>
      <w:r>
        <w:t>romans</w:t>
      </w:r>
      <w:r w:rsidRPr="002C4077">
        <w:t xml:space="preserve"> </w:t>
      </w:r>
      <w:r>
        <w:t>quand</w:t>
      </w:r>
      <w:r w:rsidRPr="002C4077">
        <w:t xml:space="preserve"> </w:t>
      </w:r>
      <w:r>
        <w:t>on</w:t>
      </w:r>
      <w:r w:rsidRPr="002C4077">
        <w:t xml:space="preserve"> </w:t>
      </w:r>
      <w:r w:rsidR="00425C50">
        <w:t>est</w:t>
      </w:r>
      <w:r w:rsidRPr="002C4077">
        <w:t xml:space="preserve"> </w:t>
      </w:r>
      <w:r>
        <w:t>embarrassé</w:t>
      </w:r>
      <w:r w:rsidRPr="002C4077">
        <w:t xml:space="preserve"> </w:t>
      </w:r>
      <w:r>
        <w:t>d’un</w:t>
      </w:r>
      <w:r w:rsidRPr="002C4077">
        <w:t xml:space="preserve"> </w:t>
      </w:r>
      <w:r>
        <w:t>personnage,</w:t>
      </w:r>
      <w:r w:rsidRPr="002C4077">
        <w:t xml:space="preserve"> </w:t>
      </w:r>
      <w:r>
        <w:t>ils</w:t>
      </w:r>
      <w:r w:rsidRPr="002C4077">
        <w:t xml:space="preserve"> </w:t>
      </w:r>
      <w:r>
        <w:t>font</w:t>
      </w:r>
      <w:r w:rsidRPr="002C4077">
        <w:t xml:space="preserve"> </w:t>
      </w:r>
      <w:r>
        <w:t>mourir</w:t>
      </w:r>
      <w:r w:rsidRPr="002C4077">
        <w:t xml:space="preserve"> </w:t>
      </w:r>
      <w:r>
        <w:t>fort</w:t>
      </w:r>
      <w:r w:rsidRPr="002C4077">
        <w:t xml:space="preserve"> </w:t>
      </w:r>
      <w:r>
        <w:t>à</w:t>
      </w:r>
      <w:r w:rsidRPr="002C4077">
        <w:t xml:space="preserve"> </w:t>
      </w:r>
      <w:r>
        <w:t>propos</w:t>
      </w:r>
      <w:r w:rsidRPr="002C4077">
        <w:t xml:space="preserve"> </w:t>
      </w:r>
      <w:r>
        <w:t>la</w:t>
      </w:r>
      <w:r w:rsidRPr="002C4077">
        <w:t xml:space="preserve"> </w:t>
      </w:r>
      <w:r>
        <w:t>mère</w:t>
      </w:r>
      <w:r w:rsidRPr="002C4077">
        <w:t xml:space="preserve"> </w:t>
      </w:r>
      <w:r>
        <w:t>de</w:t>
      </w:r>
      <w:r w:rsidRPr="002C4077">
        <w:t xml:space="preserve"> </w:t>
      </w:r>
      <w:r>
        <w:t>Schear-Iaschoub,</w:t>
      </w:r>
      <w:r w:rsidRPr="002C4077">
        <w:t xml:space="preserve"> </w:t>
      </w:r>
      <w:r>
        <w:t>et</w:t>
      </w:r>
      <w:r w:rsidRPr="002C4077">
        <w:t xml:space="preserve"> </w:t>
      </w:r>
      <w:r>
        <w:t>donnent</w:t>
      </w:r>
      <w:r w:rsidRPr="002C4077">
        <w:t xml:space="preserve"> </w:t>
      </w:r>
      <w:r>
        <w:t>au</w:t>
      </w:r>
      <w:r w:rsidRPr="002C4077">
        <w:t xml:space="preserve"> </w:t>
      </w:r>
      <w:r>
        <w:t>prophète</w:t>
      </w:r>
      <w:r w:rsidRPr="002C4077">
        <w:t xml:space="preserve"> </w:t>
      </w:r>
      <w:r>
        <w:t>une</w:t>
      </w:r>
      <w:r w:rsidRPr="002C4077">
        <w:t xml:space="preserve"> </w:t>
      </w:r>
      <w:r>
        <w:t>nouvelle</w:t>
      </w:r>
      <w:r w:rsidRPr="002C4077">
        <w:t xml:space="preserve"> </w:t>
      </w:r>
      <w:r>
        <w:t>compagne</w:t>
      </w:r>
      <w:r w:rsidRPr="002C4077">
        <w:t xml:space="preserve"> </w:t>
      </w:r>
      <w:r>
        <w:t>dans</w:t>
      </w:r>
      <w:r w:rsidRPr="002C4077">
        <w:t xml:space="preserve"> </w:t>
      </w:r>
      <w:r>
        <w:t>la</w:t>
      </w:r>
      <w:r w:rsidRPr="002C4077">
        <w:t xml:space="preserve"> </w:t>
      </w:r>
      <w:r>
        <w:t>personne</w:t>
      </w:r>
      <w:r w:rsidRPr="002C4077">
        <w:t xml:space="preserve"> </w:t>
      </w:r>
      <w:r>
        <w:t>de</w:t>
      </w:r>
      <w:r w:rsidRPr="002C4077">
        <w:t xml:space="preserve"> </w:t>
      </w:r>
      <w:r w:rsidR="00D40830" w:rsidRPr="00D40830">
        <w:t>l’</w:t>
      </w:r>
      <w:r w:rsidR="00D40830" w:rsidRPr="00D05EA9">
        <w:rPr>
          <w:rStyle w:val="italicus"/>
        </w:rPr>
        <w:t>῾almah</w:t>
      </w:r>
      <w:r w:rsidR="00B91AF7">
        <w:rPr>
          <w:rStyle w:val="Appelnotedebasdep"/>
          <w:i/>
        </w:rPr>
        <w:footnoteReference w:id="121"/>
      </w:r>
      <w:r>
        <w:t>.</w:t>
      </w:r>
      <w:r w:rsidRPr="002C4077">
        <w:t xml:space="preserve"> </w:t>
      </w:r>
      <w:r>
        <w:t>—</w:t>
      </w:r>
      <w:r w:rsidR="00C45B47">
        <w:t xml:space="preserve"> {</w:t>
      </w:r>
      <w:r w:rsidR="000721C4">
        <w:t>45</w:t>
      </w:r>
      <w:bookmarkStart w:id="163" w:name="p045"/>
      <w:bookmarkEnd w:id="163"/>
      <w:r w:rsidR="000721C4">
        <w:t xml:space="preserve">} </w:t>
      </w:r>
      <w:r>
        <w:t>Qui</w:t>
      </w:r>
      <w:r w:rsidRPr="002C4077">
        <w:t xml:space="preserve"> </w:t>
      </w:r>
      <w:r>
        <w:t>ne</w:t>
      </w:r>
      <w:r w:rsidRPr="002C4077">
        <w:t xml:space="preserve"> </w:t>
      </w:r>
      <w:r>
        <w:t>voit</w:t>
      </w:r>
      <w:r w:rsidRPr="002C4077">
        <w:t xml:space="preserve"> </w:t>
      </w:r>
      <w:r>
        <w:t>combien</w:t>
      </w:r>
      <w:r w:rsidRPr="002C4077">
        <w:t xml:space="preserve"> </w:t>
      </w:r>
      <w:r>
        <w:t>tout</w:t>
      </w:r>
      <w:r w:rsidRPr="002C4077">
        <w:t xml:space="preserve"> </w:t>
      </w:r>
      <w:r>
        <w:t>cela</w:t>
      </w:r>
      <w:r w:rsidRPr="002C4077">
        <w:t xml:space="preserve"> </w:t>
      </w:r>
      <w:r w:rsidR="00425C50">
        <w:t>est</w:t>
      </w:r>
      <w:r w:rsidRPr="002C4077">
        <w:t xml:space="preserve"> </w:t>
      </w:r>
      <w:r>
        <w:t>arbitraire</w:t>
      </w:r>
      <w:r w:rsidR="00B546AF">
        <w:t> ?</w:t>
      </w:r>
      <w:r w:rsidRPr="002C4077">
        <w:t xml:space="preserve"> </w:t>
      </w:r>
      <w:r>
        <w:t>C’est</w:t>
      </w:r>
      <w:r w:rsidRPr="002C4077">
        <w:t xml:space="preserve"> </w:t>
      </w:r>
      <w:r>
        <w:t>d’ailleurs</w:t>
      </w:r>
      <w:r w:rsidRPr="002C4077">
        <w:t xml:space="preserve"> </w:t>
      </w:r>
      <w:r w:rsidR="00B546AF">
        <w:t>« </w:t>
      </w:r>
      <w:r>
        <w:t>impossible</w:t>
      </w:r>
      <w:r w:rsidR="00B546AF">
        <w:t> »</w:t>
      </w:r>
      <w:r>
        <w:t>,</w:t>
      </w:r>
      <w:r w:rsidRPr="002C4077">
        <w:t xml:space="preserve"> </w:t>
      </w:r>
      <w:r>
        <w:t>ajoute</w:t>
      </w:r>
      <w:r w:rsidRPr="002C4077">
        <w:t xml:space="preserve"> </w:t>
      </w:r>
      <w:r w:rsidR="00CF3BB3">
        <w:t>Nægelsbach</w:t>
      </w:r>
      <w:r>
        <w:t>.</w:t>
      </w:r>
      <w:r w:rsidRPr="002C4077">
        <w:t xml:space="preserve"> </w:t>
      </w:r>
      <w:r w:rsidR="00B546AF">
        <w:t>« </w:t>
      </w:r>
      <w:r>
        <w:t>Comment,</w:t>
      </w:r>
      <w:r w:rsidRPr="002C4077">
        <w:t xml:space="preserve"> </w:t>
      </w:r>
      <w:r>
        <w:t>co</w:t>
      </w:r>
      <w:r w:rsidR="001730C6">
        <w:t>nt</w:t>
      </w:r>
      <w:r>
        <w:t>inue-t-il,</w:t>
      </w:r>
      <w:r w:rsidRPr="002C4077">
        <w:t xml:space="preserve"> </w:t>
      </w:r>
      <w:r>
        <w:t>la</w:t>
      </w:r>
      <w:r w:rsidRPr="002C4077">
        <w:t xml:space="preserve"> </w:t>
      </w:r>
      <w:r>
        <w:t>famille</w:t>
      </w:r>
      <w:r w:rsidRPr="002C4077">
        <w:t xml:space="preserve"> </w:t>
      </w:r>
      <w:r>
        <w:t>du</w:t>
      </w:r>
      <w:r w:rsidRPr="002C4077">
        <w:t xml:space="preserve"> </w:t>
      </w:r>
      <w:r>
        <w:t>prophète</w:t>
      </w:r>
      <w:r w:rsidRPr="002C4077">
        <w:t xml:space="preserve"> </w:t>
      </w:r>
      <w:r>
        <w:t>en</w:t>
      </w:r>
      <w:r w:rsidRPr="002C4077">
        <w:t xml:space="preserve"> </w:t>
      </w:r>
      <w:r>
        <w:t>serait-elle</w:t>
      </w:r>
      <w:r w:rsidRPr="002C4077">
        <w:t xml:space="preserve"> </w:t>
      </w:r>
      <w:r>
        <w:t>venue</w:t>
      </w:r>
      <w:r w:rsidRPr="002C4077">
        <w:t xml:space="preserve"> </w:t>
      </w:r>
      <w:r>
        <w:t>à</w:t>
      </w:r>
      <w:r w:rsidRPr="002C4077">
        <w:t xml:space="preserve"> </w:t>
      </w:r>
      <w:r>
        <w:t>ce</w:t>
      </w:r>
      <w:r w:rsidRPr="002C4077">
        <w:t xml:space="preserve"> </w:t>
      </w:r>
      <w:r>
        <w:t>degré</w:t>
      </w:r>
      <w:r w:rsidRPr="002C4077">
        <w:t xml:space="preserve"> </w:t>
      </w:r>
      <w:r>
        <w:t>d’honneur,</w:t>
      </w:r>
      <w:r w:rsidRPr="002C4077">
        <w:t xml:space="preserve"> </w:t>
      </w:r>
      <w:r>
        <w:t>qu’elle</w:t>
      </w:r>
      <w:r w:rsidRPr="002C4077">
        <w:t xml:space="preserve"> </w:t>
      </w:r>
      <w:r>
        <w:t>dût</w:t>
      </w:r>
      <w:r w:rsidRPr="002C4077">
        <w:t xml:space="preserve"> </w:t>
      </w:r>
      <w:r>
        <w:t>servir</w:t>
      </w:r>
      <w:r w:rsidRPr="002C4077">
        <w:t xml:space="preserve"> </w:t>
      </w:r>
      <w:r>
        <w:t>de</w:t>
      </w:r>
      <w:r w:rsidRPr="002C4077">
        <w:t xml:space="preserve"> </w:t>
      </w:r>
      <w:r>
        <w:t>souche</w:t>
      </w:r>
      <w:r w:rsidRPr="002C4077">
        <w:t xml:space="preserve"> </w:t>
      </w:r>
      <w:r>
        <w:t>à</w:t>
      </w:r>
      <w:r w:rsidRPr="002C4077">
        <w:t xml:space="preserve"> </w:t>
      </w:r>
      <w:r>
        <w:t>Emmanuel</w:t>
      </w:r>
      <w:r w:rsidR="00B546AF">
        <w:t> ?</w:t>
      </w:r>
      <w:r w:rsidRPr="002C4077">
        <w:t xml:space="preserve"> </w:t>
      </w:r>
      <w:r>
        <w:t>Les</w:t>
      </w:r>
      <w:r w:rsidRPr="002C4077">
        <w:t xml:space="preserve"> </w:t>
      </w:r>
      <w:r>
        <w:t>promesses</w:t>
      </w:r>
      <w:r w:rsidRPr="002C4077">
        <w:t xml:space="preserve"> </w:t>
      </w:r>
      <w:r>
        <w:t>faites</w:t>
      </w:r>
      <w:r w:rsidRPr="002C4077">
        <w:t xml:space="preserve"> </w:t>
      </w:r>
      <w:r>
        <w:t>à</w:t>
      </w:r>
      <w:r w:rsidRPr="002C4077">
        <w:t xml:space="preserve"> </w:t>
      </w:r>
      <w:r>
        <w:t>David</w:t>
      </w:r>
      <w:r w:rsidRPr="002C4077">
        <w:t xml:space="preserve"> </w:t>
      </w:r>
      <w:r>
        <w:t>passeraient-elles</w:t>
      </w:r>
      <w:r w:rsidRPr="002C4077">
        <w:t xml:space="preserve"> </w:t>
      </w:r>
      <w:r>
        <w:t>donc</w:t>
      </w:r>
      <w:r w:rsidRPr="002C4077">
        <w:t xml:space="preserve"> </w:t>
      </w:r>
      <w:r>
        <w:t>sur</w:t>
      </w:r>
      <w:r w:rsidRPr="002C4077">
        <w:t xml:space="preserve"> </w:t>
      </w:r>
      <w:r>
        <w:t>Isaïe</w:t>
      </w:r>
      <w:r w:rsidR="00B546AF">
        <w:t> ?</w:t>
      </w:r>
      <w:r w:rsidR="00B91AF7">
        <w:rPr>
          <w:rStyle w:val="Appelnotedebasdep"/>
        </w:rPr>
        <w:footnoteReference w:id="122"/>
      </w:r>
      <w:r w:rsidR="00B546AF">
        <w:t> »</w:t>
      </w:r>
      <w:r w:rsidRPr="002C4077">
        <w:t xml:space="preserve"> </w:t>
      </w:r>
      <w:r w:rsidR="00B546AF">
        <w:t>« </w:t>
      </w:r>
      <w:r>
        <w:t>Si</w:t>
      </w:r>
      <w:r w:rsidRPr="002C4077">
        <w:t xml:space="preserve"> </w:t>
      </w:r>
      <w:r w:rsidR="00D40830" w:rsidRPr="00D40830">
        <w:t>l’</w:t>
      </w:r>
      <w:r w:rsidR="00D40830" w:rsidRPr="00D05EA9">
        <w:rPr>
          <w:rStyle w:val="italicus"/>
        </w:rPr>
        <w:t>῾almah</w:t>
      </w:r>
      <w:r w:rsidRPr="002C4077">
        <w:t xml:space="preserve"> </w:t>
      </w:r>
      <w:r>
        <w:t>était</w:t>
      </w:r>
      <w:r w:rsidRPr="002C4077">
        <w:t xml:space="preserve"> </w:t>
      </w:r>
      <w:r>
        <w:t>la</w:t>
      </w:r>
      <w:r w:rsidRPr="002C4077">
        <w:t xml:space="preserve"> </w:t>
      </w:r>
      <w:r>
        <w:t>prophétesse,</w:t>
      </w:r>
      <w:r w:rsidRPr="002C4077">
        <w:t xml:space="preserve"> </w:t>
      </w:r>
      <w:r>
        <w:t>ainsi</w:t>
      </w:r>
      <w:r w:rsidRPr="002C4077">
        <w:t xml:space="preserve"> </w:t>
      </w:r>
      <w:r>
        <w:t>raisonne</w:t>
      </w:r>
      <w:r w:rsidRPr="002C4077">
        <w:t xml:space="preserve"> </w:t>
      </w:r>
      <w:r>
        <w:t>le</w:t>
      </w:r>
      <w:r w:rsidRPr="002C4077">
        <w:t xml:space="preserve"> </w:t>
      </w:r>
      <w:r>
        <w:t>rabbin</w:t>
      </w:r>
      <w:r w:rsidRPr="002C4077">
        <w:t xml:space="preserve"> </w:t>
      </w:r>
      <w:r>
        <w:t>Kimchi,</w:t>
      </w:r>
      <w:r w:rsidRPr="002C4077">
        <w:t xml:space="preserve"> </w:t>
      </w:r>
      <w:r>
        <w:t>on</w:t>
      </w:r>
      <w:r w:rsidRPr="002C4077">
        <w:t xml:space="preserve"> </w:t>
      </w:r>
      <w:r>
        <w:t>devrait</w:t>
      </w:r>
      <w:r w:rsidRPr="002C4077">
        <w:t xml:space="preserve"> </w:t>
      </w:r>
      <w:r>
        <w:t>s’attendre</w:t>
      </w:r>
      <w:r w:rsidRPr="002C4077">
        <w:t xml:space="preserve"> </w:t>
      </w:r>
      <w:r>
        <w:t>à</w:t>
      </w:r>
      <w:r w:rsidRPr="002C4077">
        <w:t xml:space="preserve"> </w:t>
      </w:r>
      <w:r>
        <w:t>ce</w:t>
      </w:r>
      <w:r w:rsidRPr="002C4077">
        <w:t xml:space="preserve"> </w:t>
      </w:r>
      <w:r>
        <w:t>qu’elle</w:t>
      </w:r>
      <w:r w:rsidRPr="002C4077">
        <w:t xml:space="preserve"> </w:t>
      </w:r>
      <w:r>
        <w:t>fût</w:t>
      </w:r>
      <w:r w:rsidRPr="002C4077">
        <w:t xml:space="preserve"> </w:t>
      </w:r>
      <w:r>
        <w:t>appelée</w:t>
      </w:r>
      <w:r w:rsidRPr="002C4077">
        <w:t xml:space="preserve"> </w:t>
      </w:r>
      <w:r>
        <w:t>ici,</w:t>
      </w:r>
      <w:r w:rsidRPr="002C4077">
        <w:t xml:space="preserve"> </w:t>
      </w:r>
      <w:r>
        <w:t>comme</w:t>
      </w:r>
      <w:r w:rsidRPr="002C4077">
        <w:t xml:space="preserve"> </w:t>
      </w:r>
      <w:r>
        <w:t>plus</w:t>
      </w:r>
      <w:r w:rsidRPr="002C4077">
        <w:t xml:space="preserve"> </w:t>
      </w:r>
      <w:r>
        <w:t>bas,</w:t>
      </w:r>
      <w:r w:rsidRPr="002C4077">
        <w:t xml:space="preserve"> </w:t>
      </w:r>
      <w:r>
        <w:t>VII,</w:t>
      </w:r>
      <w:r w:rsidRPr="002C4077">
        <w:t xml:space="preserve"> </w:t>
      </w:r>
      <w:r>
        <w:t>8,</w:t>
      </w:r>
      <w:r w:rsidRPr="002C4077">
        <w:t xml:space="preserve"> </w:t>
      </w:r>
      <w:r w:rsidR="00CF3BB3">
        <w:rPr>
          <w:rStyle w:val="italicus"/>
        </w:rPr>
        <w:t>Nebiy</w:t>
      </w:r>
      <w:r w:rsidRPr="000A34B5">
        <w:rPr>
          <w:rStyle w:val="italicus"/>
        </w:rPr>
        <w:t>ah,</w:t>
      </w:r>
      <w:r w:rsidRPr="002C4077">
        <w:t xml:space="preserve"> </w:t>
      </w:r>
      <w:r w:rsidR="00CF3BB3" w:rsidRPr="000A34B5">
        <w:rPr>
          <w:rStyle w:val="italicus"/>
        </w:rPr>
        <w:t>prophetíssa</w:t>
      </w:r>
      <w:r w:rsidR="00B546AF">
        <w:t> »</w:t>
      </w:r>
      <w:r>
        <w:t>.</w:t>
      </w:r>
      <w:r w:rsidRPr="002C4077">
        <w:t xml:space="preserve"> </w:t>
      </w:r>
      <w:r>
        <w:t>Sans</w:t>
      </w:r>
      <w:r w:rsidRPr="002C4077">
        <w:t xml:space="preserve"> </w:t>
      </w:r>
      <w:r>
        <w:t>compter</w:t>
      </w:r>
      <w:r w:rsidRPr="002C4077">
        <w:t xml:space="preserve"> </w:t>
      </w:r>
      <w:r>
        <w:t>que,</w:t>
      </w:r>
      <w:r w:rsidRPr="002C4077">
        <w:t xml:space="preserve"> </w:t>
      </w:r>
      <w:r>
        <w:t>dans</w:t>
      </w:r>
      <w:r w:rsidRPr="002C4077">
        <w:t xml:space="preserve"> </w:t>
      </w:r>
      <w:r>
        <w:t>la</w:t>
      </w:r>
      <w:r w:rsidRPr="002C4077">
        <w:t xml:space="preserve"> </w:t>
      </w:r>
      <w:r>
        <w:t>même</w:t>
      </w:r>
      <w:r w:rsidRPr="002C4077">
        <w:t xml:space="preserve"> </w:t>
      </w:r>
      <w:r>
        <w:t>hypothèse,</w:t>
      </w:r>
      <w:r w:rsidRPr="002C4077">
        <w:t xml:space="preserve"> </w:t>
      </w:r>
      <w:r w:rsidR="00B546AF">
        <w:t>« </w:t>
      </w:r>
      <w:r>
        <w:t>rien</w:t>
      </w:r>
      <w:r w:rsidRPr="002C4077">
        <w:t xml:space="preserve"> </w:t>
      </w:r>
      <w:r>
        <w:t>ne</w:t>
      </w:r>
      <w:r w:rsidRPr="002C4077">
        <w:t xml:space="preserve"> </w:t>
      </w:r>
      <w:r>
        <w:t>serait</w:t>
      </w:r>
      <w:r w:rsidRPr="002C4077">
        <w:t xml:space="preserve"> </w:t>
      </w:r>
      <w:r>
        <w:t>plus</w:t>
      </w:r>
      <w:r w:rsidRPr="002C4077">
        <w:t xml:space="preserve"> </w:t>
      </w:r>
      <w:r>
        <w:t>ambigu</w:t>
      </w:r>
      <w:r w:rsidRPr="002C4077">
        <w:t xml:space="preserve"> </w:t>
      </w:r>
      <w:r>
        <w:t>que</w:t>
      </w:r>
      <w:r w:rsidRPr="002C4077">
        <w:t xml:space="preserve"> </w:t>
      </w:r>
      <w:r>
        <w:t>les</w:t>
      </w:r>
      <w:r w:rsidRPr="002C4077">
        <w:t xml:space="preserve"> </w:t>
      </w:r>
      <w:r>
        <w:t>paroles</w:t>
      </w:r>
      <w:r w:rsidRPr="002C4077">
        <w:t xml:space="preserve"> </w:t>
      </w:r>
      <w:r>
        <w:t>du</w:t>
      </w:r>
      <w:r w:rsidRPr="002C4077">
        <w:t xml:space="preserve"> </w:t>
      </w:r>
      <w:r w:rsidR="00464AE8">
        <w:t>prophète</w:t>
      </w:r>
      <w:r w:rsidR="00464AE8">
        <w:rPr>
          <w:rStyle w:val="Appelnotedebasdep"/>
        </w:rPr>
        <w:footnoteReference w:id="123"/>
      </w:r>
      <w:r w:rsidR="00B546AF">
        <w:t> »</w:t>
      </w:r>
      <w:r>
        <w:t>.</w:t>
      </w:r>
      <w:r w:rsidRPr="002C4077">
        <w:t xml:space="preserve"> </w:t>
      </w:r>
      <w:r>
        <w:t>En</w:t>
      </w:r>
      <w:r w:rsidRPr="002C4077">
        <w:t xml:space="preserve"> </w:t>
      </w:r>
      <w:r>
        <w:t>somme,</w:t>
      </w:r>
      <w:r w:rsidRPr="002C4077">
        <w:t xml:space="preserve"> </w:t>
      </w:r>
      <w:r>
        <w:t>les</w:t>
      </w:r>
      <w:r w:rsidRPr="002C4077">
        <w:t xml:space="preserve"> </w:t>
      </w:r>
      <w:r>
        <w:t>défenseurs</w:t>
      </w:r>
      <w:r w:rsidRPr="002C4077">
        <w:t xml:space="preserve"> </w:t>
      </w:r>
      <w:r>
        <w:t>de</w:t>
      </w:r>
      <w:r w:rsidRPr="002C4077">
        <w:t xml:space="preserve"> </w:t>
      </w:r>
      <w:r>
        <w:t>cette</w:t>
      </w:r>
      <w:r w:rsidRPr="002C4077">
        <w:t xml:space="preserve"> </w:t>
      </w:r>
      <w:r>
        <w:t>opinion</w:t>
      </w:r>
      <w:r w:rsidRPr="002C4077">
        <w:t xml:space="preserve"> </w:t>
      </w:r>
      <w:r>
        <w:t>font</w:t>
      </w:r>
      <w:r w:rsidRPr="002C4077">
        <w:t xml:space="preserve"> </w:t>
      </w:r>
      <w:r w:rsidR="00B546AF">
        <w:t>« </w:t>
      </w:r>
      <w:r>
        <w:t>un</w:t>
      </w:r>
      <w:r w:rsidRPr="002C4077">
        <w:t xml:space="preserve"> </w:t>
      </w:r>
      <w:r>
        <w:t>singulier</w:t>
      </w:r>
      <w:r w:rsidRPr="002C4077">
        <w:t xml:space="preserve"> </w:t>
      </w:r>
      <w:bookmarkStart w:id="164" w:name="z_AlmahPerso_o5"/>
      <w:bookmarkEnd w:id="164"/>
      <w:r>
        <w:t>quiproquo</w:t>
      </w:r>
      <w:r w:rsidR="00B91AF7">
        <w:rPr>
          <w:rStyle w:val="Appelnotedebasdep"/>
        </w:rPr>
        <w:footnoteReference w:id="124"/>
      </w:r>
      <w:r w:rsidR="00B546AF">
        <w:t> »</w:t>
      </w:r>
      <w:r>
        <w:t>.</w:t>
      </w:r>
      <w:r w:rsidRPr="002C4077">
        <w:t xml:space="preserve"> </w:t>
      </w:r>
    </w:p>
    <w:p w:rsidR="000A7AAB" w:rsidRDefault="000A7AAB" w:rsidP="000A7AAB">
      <w:r>
        <w:t>Pour</w:t>
      </w:r>
      <w:bookmarkStart w:id="165" w:name="z_AlmahPerso_o6"/>
      <w:bookmarkEnd w:id="165"/>
      <w:r w:rsidRPr="002C4077">
        <w:t xml:space="preserve"> </w:t>
      </w:r>
      <w:r>
        <w:t>Isenbiehl</w:t>
      </w:r>
      <w:bookmarkStart w:id="166" w:name="z_Isenbiehl_o1"/>
      <w:bookmarkEnd w:id="166"/>
      <w:r w:rsidR="00B91AF7">
        <w:rPr>
          <w:rStyle w:val="Appelnotedebasdep"/>
        </w:rPr>
        <w:footnoteReference w:id="125"/>
      </w:r>
      <w:r>
        <w:t>,</w:t>
      </w:r>
      <w:r w:rsidRPr="002C4077">
        <w:t xml:space="preserve"> </w:t>
      </w:r>
      <w:r>
        <w:t>Umbreit,</w:t>
      </w:r>
      <w:r w:rsidRPr="002C4077">
        <w:t xml:space="preserve"> </w:t>
      </w:r>
      <w:r w:rsidR="00425C50">
        <w:t>etc</w:t>
      </w:r>
      <w:r>
        <w:t>.,</w:t>
      </w:r>
      <w:r w:rsidRPr="002C4077">
        <w:t xml:space="preserve"> </w:t>
      </w:r>
      <w:r w:rsidR="00D40830" w:rsidRPr="00D40830">
        <w:t>l’</w:t>
      </w:r>
      <w:r w:rsidR="00D40830" w:rsidRPr="00D05EA9">
        <w:rPr>
          <w:rStyle w:val="italicus"/>
        </w:rPr>
        <w:t>῾almah</w:t>
      </w:r>
      <w:r w:rsidRPr="002C4077">
        <w:t xml:space="preserve"> </w:t>
      </w:r>
      <w:r w:rsidR="00425C50">
        <w:t>est</w:t>
      </w:r>
      <w:r w:rsidRPr="002C4077">
        <w:t xml:space="preserve"> </w:t>
      </w:r>
      <w:r>
        <w:t>simplement,</w:t>
      </w:r>
      <w:r w:rsidRPr="002C4077">
        <w:t xml:space="preserve"> </w:t>
      </w:r>
      <w:r>
        <w:t>comme</w:t>
      </w:r>
      <w:r w:rsidRPr="002C4077">
        <w:t xml:space="preserve"> </w:t>
      </w:r>
      <w:r>
        <w:t>s’exprime</w:t>
      </w:r>
      <w:r w:rsidRPr="002C4077">
        <w:t xml:space="preserve"> </w:t>
      </w:r>
      <w:r>
        <w:t>Cast</w:t>
      </w:r>
      <w:r w:rsidR="00CF3BB3">
        <w:t>a</w:t>
      </w:r>
      <w:r w:rsidR="003B53FD">
        <w:t>lio</w:t>
      </w:r>
      <w:r>
        <w:t>,</w:t>
      </w:r>
      <w:r w:rsidRPr="002C4077">
        <w:t xml:space="preserve"> </w:t>
      </w:r>
      <w:r w:rsidR="00B546AF">
        <w:t>« </w:t>
      </w:r>
      <w:r w:rsidR="00CF3BB3">
        <w:t>puélla</w:t>
      </w:r>
      <w:r w:rsidRPr="002C4077">
        <w:t xml:space="preserve"> </w:t>
      </w:r>
      <w:r>
        <w:t>quædam</w:t>
      </w:r>
      <w:r w:rsidRPr="002C4077">
        <w:t xml:space="preserve"> </w:t>
      </w:r>
      <w:r>
        <w:t>jam</w:t>
      </w:r>
      <w:r w:rsidRPr="002C4077">
        <w:t xml:space="preserve"> </w:t>
      </w:r>
      <w:r>
        <w:t>pr</w:t>
      </w:r>
      <w:r w:rsidR="00CF3BB3">
        <w:t>æ</w:t>
      </w:r>
      <w:r>
        <w:t>gnans</w:t>
      </w:r>
      <w:r w:rsidR="00B546AF">
        <w:t> »</w:t>
      </w:r>
      <w:r w:rsidRPr="004440EA">
        <w:t xml:space="preserve"> (</w:t>
      </w:r>
      <w:r>
        <w:t>ou</w:t>
      </w:r>
      <w:r w:rsidRPr="002C4077">
        <w:t xml:space="preserve"> </w:t>
      </w:r>
      <w:r>
        <w:t>qui</w:t>
      </w:r>
      <w:r w:rsidRPr="002C4077">
        <w:t xml:space="preserve"> </w:t>
      </w:r>
      <w:r>
        <w:t>le</w:t>
      </w:r>
      <w:r w:rsidRPr="002C4077">
        <w:t xml:space="preserve"> </w:t>
      </w:r>
      <w:r>
        <w:t>deviendra</w:t>
      </w:r>
      <w:r w:rsidR="00B546AF" w:rsidRPr="002C4077">
        <w:t>)</w:t>
      </w:r>
      <w:r w:rsidRPr="00950016">
        <w:t>,</w:t>
      </w:r>
      <w:r w:rsidRPr="002C4077">
        <w:t xml:space="preserve"> </w:t>
      </w:r>
      <w:r>
        <w:t>une</w:t>
      </w:r>
      <w:r w:rsidRPr="002C4077">
        <w:t xml:space="preserve"> </w:t>
      </w:r>
      <w:r>
        <w:t>jeune</w:t>
      </w:r>
      <w:r w:rsidRPr="002C4077">
        <w:t xml:space="preserve"> </w:t>
      </w:r>
      <w:r>
        <w:t>fille</w:t>
      </w:r>
      <w:r w:rsidRPr="002C4077">
        <w:t xml:space="preserve"> </w:t>
      </w:r>
      <w:r>
        <w:t>inconnue,</w:t>
      </w:r>
      <w:r w:rsidRPr="002C4077">
        <w:t xml:space="preserve"> </w:t>
      </w:r>
      <w:r>
        <w:t>qui</w:t>
      </w:r>
      <w:r w:rsidRPr="002C4077">
        <w:t xml:space="preserve"> </w:t>
      </w:r>
      <w:r>
        <w:t>aurait</w:t>
      </w:r>
      <w:r w:rsidRPr="002C4077">
        <w:t xml:space="preserve"> </w:t>
      </w:r>
      <w:r>
        <w:t>par</w:t>
      </w:r>
      <w:r w:rsidRPr="002C4077">
        <w:t xml:space="preserve"> </w:t>
      </w:r>
      <w:r>
        <w:t>hasard</w:t>
      </w:r>
      <w:r w:rsidRPr="002C4077">
        <w:t xml:space="preserve"> </w:t>
      </w:r>
      <w:r>
        <w:t>assisté</w:t>
      </w:r>
      <w:r w:rsidRPr="002C4077">
        <w:t xml:space="preserve"> </w:t>
      </w:r>
      <w:r>
        <w:t>à</w:t>
      </w:r>
      <w:r w:rsidRPr="002C4077">
        <w:t xml:space="preserve"> </w:t>
      </w:r>
      <w:r>
        <w:t>l’entretien</w:t>
      </w:r>
      <w:r w:rsidRPr="002C4077">
        <w:t xml:space="preserve"> </w:t>
      </w:r>
      <w:r>
        <w:t>d’Achaz</w:t>
      </w:r>
      <w:r w:rsidRPr="002C4077">
        <w:t xml:space="preserve"> </w:t>
      </w:r>
      <w:r>
        <w:t>et</w:t>
      </w:r>
      <w:r w:rsidRPr="002C4077">
        <w:t xml:space="preserve"> </w:t>
      </w:r>
      <w:r>
        <w:t>d’Isaïe.</w:t>
      </w:r>
      <w:r w:rsidRPr="002C4077">
        <w:t xml:space="preserve"> </w:t>
      </w:r>
      <w:r>
        <w:t>Umbreit</w:t>
      </w:r>
      <w:r w:rsidRPr="002C4077">
        <w:t xml:space="preserve"> </w:t>
      </w:r>
      <w:r w:rsidR="00425C50">
        <w:t>est</w:t>
      </w:r>
      <w:r w:rsidRPr="002C4077">
        <w:t xml:space="preserve"> </w:t>
      </w:r>
      <w:r>
        <w:t>emporté</w:t>
      </w:r>
      <w:r w:rsidRPr="002C4077">
        <w:t xml:space="preserve"> </w:t>
      </w:r>
      <w:r>
        <w:t>par</w:t>
      </w:r>
      <w:r w:rsidRPr="002C4077">
        <w:t xml:space="preserve"> </w:t>
      </w:r>
      <w:r>
        <w:t>l’émotion</w:t>
      </w:r>
      <w:r w:rsidRPr="002C4077">
        <w:t xml:space="preserve"> </w:t>
      </w:r>
      <w:r>
        <w:t>lyrique</w:t>
      </w:r>
      <w:r w:rsidRPr="002C4077">
        <w:t xml:space="preserve"> </w:t>
      </w:r>
      <w:r>
        <w:t>en</w:t>
      </w:r>
      <w:r w:rsidRPr="002C4077">
        <w:t xml:space="preserve"> </w:t>
      </w:r>
      <w:r>
        <w:t>face</w:t>
      </w:r>
      <w:r w:rsidRPr="002C4077">
        <w:t xml:space="preserve"> </w:t>
      </w:r>
      <w:r>
        <w:t>de</w:t>
      </w:r>
      <w:r w:rsidRPr="002C4077">
        <w:t xml:space="preserve"> </w:t>
      </w:r>
      <w:r>
        <w:t>cette</w:t>
      </w:r>
      <w:r w:rsidRPr="002C4077">
        <w:t xml:space="preserve"> </w:t>
      </w:r>
      <w:r>
        <w:t>idée</w:t>
      </w:r>
      <w:r w:rsidRPr="002C4077">
        <w:t xml:space="preserve"> </w:t>
      </w:r>
      <w:r>
        <w:t>vulgaire.</w:t>
      </w:r>
      <w:r w:rsidRPr="002C4077">
        <w:t xml:space="preserve"> </w:t>
      </w:r>
      <w:r w:rsidR="00B546AF">
        <w:t>« </w:t>
      </w:r>
      <w:r>
        <w:t>Dans</w:t>
      </w:r>
      <w:r w:rsidRPr="002C4077">
        <w:t xml:space="preserve"> </w:t>
      </w:r>
      <w:r>
        <w:t>l’essor</w:t>
      </w:r>
      <w:r w:rsidRPr="002C4077">
        <w:t xml:space="preserve"> </w:t>
      </w:r>
      <w:r>
        <w:t>le</w:t>
      </w:r>
      <w:r w:rsidRPr="002C4077">
        <w:t xml:space="preserve"> </w:t>
      </w:r>
      <w:r>
        <w:t>plus</w:t>
      </w:r>
      <w:r w:rsidRPr="002C4077">
        <w:t xml:space="preserve"> </w:t>
      </w:r>
      <w:r>
        <w:t>sublime</w:t>
      </w:r>
      <w:r w:rsidRPr="002C4077">
        <w:t xml:space="preserve"> </w:t>
      </w:r>
      <w:r>
        <w:t>de</w:t>
      </w:r>
      <w:r w:rsidRPr="002C4077">
        <w:t xml:space="preserve"> </w:t>
      </w:r>
      <w:r>
        <w:t>l’esprit,</w:t>
      </w:r>
      <w:r w:rsidRPr="002C4077">
        <w:t xml:space="preserve"> </w:t>
      </w:r>
      <w:r>
        <w:t>Isaïe</w:t>
      </w:r>
      <w:r w:rsidRPr="002C4077">
        <w:t xml:space="preserve"> </w:t>
      </w:r>
      <w:r>
        <w:t>jette</w:t>
      </w:r>
      <w:r w:rsidRPr="002C4077">
        <w:t xml:space="preserve"> </w:t>
      </w:r>
      <w:r>
        <w:t>un</w:t>
      </w:r>
      <w:r w:rsidRPr="002C4077">
        <w:t xml:space="preserve"> </w:t>
      </w:r>
      <w:r>
        <w:t>regard</w:t>
      </w:r>
      <w:r w:rsidRPr="002C4077">
        <w:t xml:space="preserve"> </w:t>
      </w:r>
      <w:r>
        <w:t>sur</w:t>
      </w:r>
      <w:r w:rsidRPr="002C4077">
        <w:t xml:space="preserve"> </w:t>
      </w:r>
      <w:r>
        <w:t>son</w:t>
      </w:r>
      <w:r w:rsidRPr="002C4077">
        <w:t xml:space="preserve"> </w:t>
      </w:r>
      <w:r>
        <w:t>entourage,</w:t>
      </w:r>
      <w:r w:rsidRPr="002C4077">
        <w:t xml:space="preserve"> </w:t>
      </w:r>
      <w:r>
        <w:t>et</w:t>
      </w:r>
      <w:r w:rsidRPr="002C4077">
        <w:t xml:space="preserve"> </w:t>
      </w:r>
      <w:r>
        <w:t>voici</w:t>
      </w:r>
      <w:r w:rsidR="00B546AF">
        <w:t> !</w:t>
      </w:r>
      <w:r w:rsidRPr="002C4077">
        <w:t xml:space="preserve"> </w:t>
      </w:r>
      <w:r>
        <w:t>une</w:t>
      </w:r>
      <w:r w:rsidRPr="002C4077">
        <w:t xml:space="preserve"> </w:t>
      </w:r>
      <w:r>
        <w:t>jeune</w:t>
      </w:r>
      <w:r w:rsidRPr="002C4077">
        <w:t xml:space="preserve"> </w:t>
      </w:r>
      <w:r>
        <w:t>fille</w:t>
      </w:r>
      <w:r w:rsidRPr="002C4077">
        <w:t xml:space="preserve"> </w:t>
      </w:r>
      <w:r>
        <w:t>s’offre</w:t>
      </w:r>
      <w:r w:rsidRPr="002C4077">
        <w:t xml:space="preserve"> </w:t>
      </w:r>
      <w:r>
        <w:t>à</w:t>
      </w:r>
      <w:r w:rsidRPr="002C4077">
        <w:t xml:space="preserve"> </w:t>
      </w:r>
      <w:r>
        <w:t>ses</w:t>
      </w:r>
      <w:r w:rsidRPr="002C4077">
        <w:t xml:space="preserve"> </w:t>
      </w:r>
      <w:r>
        <w:t>yeux</w:t>
      </w:r>
      <w:r w:rsidR="00B546AF">
        <w:t> :</w:t>
      </w:r>
      <w:r w:rsidRPr="002C4077">
        <w:t xml:space="preserve"> </w:t>
      </w:r>
      <w:r>
        <w:t>en</w:t>
      </w:r>
      <w:r w:rsidRPr="002C4077">
        <w:t xml:space="preserve"> </w:t>
      </w:r>
      <w:r>
        <w:t>elle</w:t>
      </w:r>
      <w:r w:rsidRPr="002C4077">
        <w:t xml:space="preserve"> </w:t>
      </w:r>
      <w:r>
        <w:t>il</w:t>
      </w:r>
      <w:r w:rsidRPr="002C4077">
        <w:t xml:space="preserve"> </w:t>
      </w:r>
      <w:r>
        <w:t>contemple</w:t>
      </w:r>
      <w:r w:rsidRPr="002C4077">
        <w:t xml:space="preserve"> </w:t>
      </w:r>
      <w:r>
        <w:t>le</w:t>
      </w:r>
      <w:r w:rsidRPr="002C4077">
        <w:t xml:space="preserve"> </w:t>
      </w:r>
      <w:r>
        <w:t>symbole</w:t>
      </w:r>
      <w:r w:rsidRPr="002C4077">
        <w:t xml:space="preserve"> </w:t>
      </w:r>
      <w:r>
        <w:t>consolant</w:t>
      </w:r>
      <w:r w:rsidRPr="002C4077">
        <w:t xml:space="preserve"> </w:t>
      </w:r>
      <w:r>
        <w:t>de</w:t>
      </w:r>
      <w:r w:rsidRPr="002C4077">
        <w:t xml:space="preserve"> </w:t>
      </w:r>
      <w:r>
        <w:t>l’avenir.</w:t>
      </w:r>
      <w:r w:rsidRPr="002C4077">
        <w:t xml:space="preserve"> </w:t>
      </w:r>
      <w:r>
        <w:t>Elle</w:t>
      </w:r>
      <w:r w:rsidRPr="002C4077">
        <w:t xml:space="preserve"> </w:t>
      </w:r>
      <w:r>
        <w:t>prend</w:t>
      </w:r>
      <w:r w:rsidRPr="002C4077">
        <w:t xml:space="preserve"> </w:t>
      </w:r>
      <w:r>
        <w:t>pour</w:t>
      </w:r>
      <w:r w:rsidRPr="002C4077">
        <w:t xml:space="preserve"> </w:t>
      </w:r>
      <w:r>
        <w:t>lui</w:t>
      </w:r>
      <w:r w:rsidRPr="002C4077">
        <w:t xml:space="preserve"> </w:t>
      </w:r>
      <w:r>
        <w:t>la</w:t>
      </w:r>
      <w:r w:rsidRPr="002C4077">
        <w:t xml:space="preserve"> </w:t>
      </w:r>
      <w:r>
        <w:t>signification</w:t>
      </w:r>
      <w:r w:rsidRPr="002C4077">
        <w:t xml:space="preserve"> </w:t>
      </w:r>
      <w:r>
        <w:t>d’une</w:t>
      </w:r>
      <w:r w:rsidRPr="002C4077">
        <w:t xml:space="preserve"> </w:t>
      </w:r>
      <w:r>
        <w:t>heureuse</w:t>
      </w:r>
      <w:r w:rsidRPr="002C4077">
        <w:t xml:space="preserve"> </w:t>
      </w:r>
      <w:r>
        <w:t>espérance.</w:t>
      </w:r>
      <w:r w:rsidRPr="002C4077">
        <w:t xml:space="preserve"> </w:t>
      </w:r>
      <w:r>
        <w:t>En</w:t>
      </w:r>
      <w:r w:rsidRPr="002C4077">
        <w:t xml:space="preserve"> </w:t>
      </w:r>
      <w:r>
        <w:t>tant</w:t>
      </w:r>
      <w:r w:rsidRPr="002C4077">
        <w:t xml:space="preserve"> </w:t>
      </w:r>
      <w:r>
        <w:t>qu’elle</w:t>
      </w:r>
      <w:r w:rsidRPr="002C4077">
        <w:t xml:space="preserve"> </w:t>
      </w:r>
      <w:r w:rsidR="00425C50">
        <w:t>est</w:t>
      </w:r>
      <w:r w:rsidRPr="002C4077">
        <w:t xml:space="preserve"> </w:t>
      </w:r>
      <w:r>
        <w:t>mûre</w:t>
      </w:r>
      <w:r w:rsidRPr="002C4077">
        <w:t xml:space="preserve"> </w:t>
      </w:r>
      <w:r>
        <w:t>pour</w:t>
      </w:r>
      <w:r w:rsidRPr="002C4077">
        <w:t xml:space="preserve"> </w:t>
      </w:r>
      <w:r>
        <w:t>la</w:t>
      </w:r>
      <w:r w:rsidRPr="002C4077">
        <w:t xml:space="preserve"> </w:t>
      </w:r>
      <w:r>
        <w:t>maternité,</w:t>
      </w:r>
      <w:r w:rsidRPr="002C4077">
        <w:t xml:space="preserve"> </w:t>
      </w:r>
      <w:r>
        <w:t>elle</w:t>
      </w:r>
      <w:r w:rsidRPr="002C4077">
        <w:t xml:space="preserve"> </w:t>
      </w:r>
      <w:r>
        <w:t>rappelle,</w:t>
      </w:r>
      <w:r w:rsidRPr="002C4077">
        <w:t xml:space="preserve"> </w:t>
      </w:r>
      <w:r>
        <w:t>il</w:t>
      </w:r>
      <w:r w:rsidRPr="002C4077">
        <w:t xml:space="preserve"> </w:t>
      </w:r>
      <w:r w:rsidR="00425C50">
        <w:t>est</w:t>
      </w:r>
      <w:r w:rsidRPr="002C4077">
        <w:t xml:space="preserve"> </w:t>
      </w:r>
      <w:r>
        <w:t>vrai,</w:t>
      </w:r>
      <w:r w:rsidRPr="002C4077">
        <w:t xml:space="preserve"> </w:t>
      </w:r>
      <w:r>
        <w:t>l’angoisse</w:t>
      </w:r>
      <w:r w:rsidRPr="002C4077">
        <w:t xml:space="preserve"> </w:t>
      </w:r>
      <w:r>
        <w:t>et</w:t>
      </w:r>
      <w:r w:rsidRPr="002C4077">
        <w:t xml:space="preserve"> </w:t>
      </w:r>
      <w:r>
        <w:t>la</w:t>
      </w:r>
      <w:r w:rsidRPr="002C4077">
        <w:t xml:space="preserve"> </w:t>
      </w:r>
      <w:r>
        <w:t>douleur</w:t>
      </w:r>
      <w:r w:rsidR="00B546AF">
        <w:t> ;</w:t>
      </w:r>
      <w:r w:rsidRPr="002C4077">
        <w:t xml:space="preserve"> </w:t>
      </w:r>
      <w:r>
        <w:t>mais</w:t>
      </w:r>
      <w:r w:rsidRPr="002C4077">
        <w:t xml:space="preserve"> </w:t>
      </w:r>
      <w:r>
        <w:t>elle</w:t>
      </w:r>
      <w:r w:rsidRPr="002C4077">
        <w:t xml:space="preserve"> </w:t>
      </w:r>
      <w:r>
        <w:t>rappelle</w:t>
      </w:r>
      <w:r w:rsidRPr="002C4077">
        <w:t xml:space="preserve"> </w:t>
      </w:r>
      <w:r>
        <w:t>aussi</w:t>
      </w:r>
      <w:r w:rsidRPr="002C4077">
        <w:t xml:space="preserve"> </w:t>
      </w:r>
      <w:r>
        <w:t>la</w:t>
      </w:r>
      <w:r w:rsidRPr="002C4077">
        <w:t xml:space="preserve"> </w:t>
      </w:r>
      <w:r>
        <w:t>joyeuse</w:t>
      </w:r>
      <w:r w:rsidRPr="002C4077">
        <w:t xml:space="preserve"> </w:t>
      </w:r>
      <w:r>
        <w:t>apparition</w:t>
      </w:r>
      <w:r w:rsidRPr="002C4077">
        <w:t xml:space="preserve"> </w:t>
      </w:r>
      <w:r>
        <w:t>d’un</w:t>
      </w:r>
      <w:r w:rsidRPr="002C4077">
        <w:t xml:space="preserve"> </w:t>
      </w:r>
      <w:r>
        <w:t>enfant</w:t>
      </w:r>
      <w:r w:rsidRPr="002C4077">
        <w:t xml:space="preserve"> </w:t>
      </w:r>
      <w:r>
        <w:t>auquel</w:t>
      </w:r>
      <w:r w:rsidRPr="002C4077">
        <w:t xml:space="preserve"> </w:t>
      </w:r>
      <w:r>
        <w:t>le</w:t>
      </w:r>
      <w:r w:rsidRPr="002C4077">
        <w:t xml:space="preserve"> </w:t>
      </w:r>
      <w:r>
        <w:t>prophète</w:t>
      </w:r>
      <w:r w:rsidRPr="002C4077">
        <w:t xml:space="preserve"> </w:t>
      </w:r>
      <w:r>
        <w:t>fait</w:t>
      </w:r>
      <w:r w:rsidRPr="002C4077">
        <w:t xml:space="preserve"> </w:t>
      </w:r>
      <w:r>
        <w:t>donner</w:t>
      </w:r>
      <w:r w:rsidRPr="002C4077">
        <w:t xml:space="preserve"> </w:t>
      </w:r>
      <w:r>
        <w:t>le</w:t>
      </w:r>
      <w:r w:rsidRPr="002C4077">
        <w:t xml:space="preserve"> </w:t>
      </w:r>
      <w:r>
        <w:t>nom</w:t>
      </w:r>
      <w:r w:rsidRPr="002C4077">
        <w:t xml:space="preserve"> </w:t>
      </w:r>
      <w:r>
        <w:t>d’Emmanuel</w:t>
      </w:r>
      <w:r w:rsidR="00B91AF7">
        <w:rPr>
          <w:rStyle w:val="Appelnotedebasdep"/>
        </w:rPr>
        <w:footnoteReference w:id="126"/>
      </w:r>
      <w:r w:rsidR="00B546AF">
        <w:t> »</w:t>
      </w:r>
      <w:r>
        <w:t>.</w:t>
      </w:r>
      <w:r w:rsidR="00C45B47">
        <w:t xml:space="preserve"> {</w:t>
      </w:r>
      <w:r w:rsidR="000721C4">
        <w:t>46</w:t>
      </w:r>
      <w:bookmarkStart w:id="167" w:name="p046"/>
      <w:bookmarkEnd w:id="167"/>
      <w:r w:rsidR="000721C4">
        <w:t xml:space="preserve">} </w:t>
      </w:r>
      <w:r>
        <w:t>Tout</w:t>
      </w:r>
      <w:r w:rsidRPr="002C4077">
        <w:t xml:space="preserve"> </w:t>
      </w:r>
      <w:r>
        <w:t>cela</w:t>
      </w:r>
      <w:r w:rsidRPr="002C4077">
        <w:t xml:space="preserve"> </w:t>
      </w:r>
      <w:r>
        <w:t>sans</w:t>
      </w:r>
      <w:r w:rsidRPr="002C4077">
        <w:t xml:space="preserve"> </w:t>
      </w:r>
      <w:r>
        <w:t>le</w:t>
      </w:r>
      <w:r w:rsidRPr="002C4077">
        <w:t xml:space="preserve"> </w:t>
      </w:r>
      <w:r>
        <w:t>moindre</w:t>
      </w:r>
      <w:r w:rsidRPr="002C4077">
        <w:t xml:space="preserve"> </w:t>
      </w:r>
      <w:r>
        <w:t>miracle,</w:t>
      </w:r>
      <w:r w:rsidRPr="002C4077">
        <w:t xml:space="preserve"> </w:t>
      </w:r>
      <w:r>
        <w:t>bien</w:t>
      </w:r>
      <w:r w:rsidRPr="002C4077">
        <w:t xml:space="preserve"> </w:t>
      </w:r>
      <w:r>
        <w:t>entendu</w:t>
      </w:r>
      <w:r w:rsidR="00B546AF">
        <w:t> :</w:t>
      </w:r>
      <w:r w:rsidRPr="002C4077">
        <w:t xml:space="preserve"> </w:t>
      </w:r>
      <w:r>
        <w:t>il</w:t>
      </w:r>
      <w:r w:rsidRPr="002C4077">
        <w:t xml:space="preserve"> </w:t>
      </w:r>
      <w:r>
        <w:t>faut</w:t>
      </w:r>
      <w:r w:rsidRPr="002C4077">
        <w:t xml:space="preserve"> </w:t>
      </w:r>
      <w:r>
        <w:t>rejeter</w:t>
      </w:r>
      <w:r w:rsidRPr="002C4077">
        <w:t xml:space="preserve"> </w:t>
      </w:r>
      <w:r>
        <w:t>par</w:t>
      </w:r>
      <w:r w:rsidRPr="002C4077">
        <w:t xml:space="preserve"> </w:t>
      </w:r>
      <w:r>
        <w:t>conséquent</w:t>
      </w:r>
      <w:r w:rsidRPr="002C4077">
        <w:t xml:space="preserve"> </w:t>
      </w:r>
      <w:r>
        <w:t>l’interprétation</w:t>
      </w:r>
      <w:r w:rsidRPr="002C4077">
        <w:t xml:space="preserve"> </w:t>
      </w:r>
      <w:r>
        <w:t>messianique</w:t>
      </w:r>
      <w:r w:rsidR="00B546AF">
        <w:t> ;</w:t>
      </w:r>
      <w:r w:rsidRPr="002C4077">
        <w:t xml:space="preserve"> </w:t>
      </w:r>
      <w:r>
        <w:t>mais</w:t>
      </w:r>
      <w:r w:rsidRPr="002C4077">
        <w:t xml:space="preserve"> </w:t>
      </w:r>
      <w:r>
        <w:t>Umbreit</w:t>
      </w:r>
      <w:r w:rsidRPr="002C4077">
        <w:t xml:space="preserve"> </w:t>
      </w:r>
      <w:r>
        <w:t>s’en</w:t>
      </w:r>
      <w:r w:rsidRPr="002C4077">
        <w:t xml:space="preserve"> </w:t>
      </w:r>
      <w:r>
        <w:t>console</w:t>
      </w:r>
      <w:r w:rsidRPr="002C4077">
        <w:t xml:space="preserve"> </w:t>
      </w:r>
      <w:r>
        <w:t>par</w:t>
      </w:r>
      <w:r w:rsidRPr="002C4077">
        <w:t xml:space="preserve"> </w:t>
      </w:r>
      <w:r>
        <w:t>quelques</w:t>
      </w:r>
      <w:r w:rsidRPr="002C4077">
        <w:t xml:space="preserve"> </w:t>
      </w:r>
      <w:r>
        <w:t>phrases</w:t>
      </w:r>
      <w:r w:rsidRPr="002C4077">
        <w:t xml:space="preserve"> </w:t>
      </w:r>
      <w:r>
        <w:t>creuses</w:t>
      </w:r>
      <w:r w:rsidRPr="002C4077">
        <w:t xml:space="preserve"> </w:t>
      </w:r>
      <w:r>
        <w:t>et</w:t>
      </w:r>
      <w:r w:rsidRPr="002C4077">
        <w:t xml:space="preserve"> </w:t>
      </w:r>
      <w:r>
        <w:t>sentimentales</w:t>
      </w:r>
      <w:r w:rsidR="00B91AF7">
        <w:rPr>
          <w:rStyle w:val="Appelnotedebasdep"/>
        </w:rPr>
        <w:footnoteReference w:id="127"/>
      </w:r>
      <w:r>
        <w:t>.</w:t>
      </w:r>
      <w:r w:rsidRPr="002C4077">
        <w:t xml:space="preserve"> </w:t>
      </w:r>
      <w:r>
        <w:t>Emmanuel,</w:t>
      </w:r>
      <w:r w:rsidRPr="002C4077">
        <w:t xml:space="preserve"> </w:t>
      </w:r>
      <w:r>
        <w:t>dit-il,</w:t>
      </w:r>
      <w:r w:rsidRPr="002C4077">
        <w:t xml:space="preserve"> </w:t>
      </w:r>
      <w:r w:rsidR="00425C50">
        <w:t>est</w:t>
      </w:r>
      <w:r w:rsidRPr="002C4077">
        <w:t xml:space="preserve"> </w:t>
      </w:r>
      <w:r>
        <w:t>un</w:t>
      </w:r>
      <w:r w:rsidRPr="002C4077">
        <w:t xml:space="preserve"> </w:t>
      </w:r>
      <w:r>
        <w:t>si</w:t>
      </w:r>
      <w:r w:rsidRPr="002C4077">
        <w:t xml:space="preserve"> </w:t>
      </w:r>
      <w:r>
        <w:t>beau</w:t>
      </w:r>
      <w:r w:rsidRPr="002C4077">
        <w:t xml:space="preserve"> </w:t>
      </w:r>
      <w:r>
        <w:t>nom</w:t>
      </w:r>
      <w:r w:rsidR="00B546AF">
        <w:t> !</w:t>
      </w:r>
      <w:r w:rsidRPr="002C4077">
        <w:t xml:space="preserve"> </w:t>
      </w:r>
      <w:r>
        <w:t>Cela</w:t>
      </w:r>
      <w:r w:rsidRPr="002C4077">
        <w:t xml:space="preserve"> </w:t>
      </w:r>
      <w:r>
        <w:t>suffît,</w:t>
      </w:r>
      <w:r w:rsidRPr="002C4077">
        <w:t xml:space="preserve"> </w:t>
      </w:r>
      <w:r>
        <w:t>Qu’importe</w:t>
      </w:r>
      <w:r w:rsidRPr="002C4077">
        <w:t xml:space="preserve"> </w:t>
      </w:r>
      <w:r>
        <w:t>la</w:t>
      </w:r>
      <w:r w:rsidRPr="002C4077">
        <w:t xml:space="preserve"> </w:t>
      </w:r>
      <w:r>
        <w:t>mère</w:t>
      </w:r>
      <w:r w:rsidR="00B546AF">
        <w:t> ?</w:t>
      </w:r>
      <w:r>
        <w:t>—</w:t>
      </w:r>
      <w:r w:rsidRPr="002C4077">
        <w:t xml:space="preserve"> </w:t>
      </w:r>
      <w:r>
        <w:t>M.</w:t>
      </w:r>
      <w:r w:rsidRPr="002C4077">
        <w:t xml:space="preserve"> </w:t>
      </w:r>
      <w:r>
        <w:t>Duhm,</w:t>
      </w:r>
      <w:r w:rsidRPr="002C4077">
        <w:t xml:space="preserve"> </w:t>
      </w:r>
      <w:r>
        <w:t>qui</w:t>
      </w:r>
      <w:r w:rsidRPr="002C4077">
        <w:t xml:space="preserve"> </w:t>
      </w:r>
      <w:r>
        <w:t>n’est</w:t>
      </w:r>
      <w:r w:rsidRPr="002C4077">
        <w:t xml:space="preserve"> </w:t>
      </w:r>
      <w:r>
        <w:t>pas</w:t>
      </w:r>
      <w:r w:rsidRPr="002C4077">
        <w:t xml:space="preserve"> </w:t>
      </w:r>
      <w:r>
        <w:t>un</w:t>
      </w:r>
      <w:r w:rsidRPr="002C4077">
        <w:t xml:space="preserve"> </w:t>
      </w:r>
      <w:r>
        <w:t>clérical,</w:t>
      </w:r>
      <w:r w:rsidRPr="002C4077">
        <w:t xml:space="preserve"> </w:t>
      </w:r>
      <w:r>
        <w:t>se</w:t>
      </w:r>
      <w:r w:rsidRPr="002C4077">
        <w:t xml:space="preserve"> </w:t>
      </w:r>
      <w:r>
        <w:t>charge</w:t>
      </w:r>
      <w:r w:rsidRPr="002C4077">
        <w:t xml:space="preserve"> </w:t>
      </w:r>
      <w:r>
        <w:t>de</w:t>
      </w:r>
      <w:r w:rsidRPr="002C4077">
        <w:t xml:space="preserve"> </w:t>
      </w:r>
      <w:r>
        <w:t>répondre.</w:t>
      </w:r>
      <w:r w:rsidRPr="002C4077">
        <w:t xml:space="preserve"> </w:t>
      </w:r>
      <w:r w:rsidR="00B546AF">
        <w:t>« </w:t>
      </w:r>
      <w:r>
        <w:t>Les</w:t>
      </w:r>
      <w:r w:rsidRPr="002C4077">
        <w:t xml:space="preserve"> </w:t>
      </w:r>
      <w:r>
        <w:t>systèmes</w:t>
      </w:r>
      <w:r w:rsidRPr="002C4077">
        <w:t xml:space="preserve"> </w:t>
      </w:r>
      <w:r>
        <w:t>qui</w:t>
      </w:r>
      <w:r w:rsidRPr="002C4077">
        <w:t xml:space="preserve"> </w:t>
      </w:r>
      <w:r>
        <w:t>font</w:t>
      </w:r>
      <w:r w:rsidRPr="002C4077">
        <w:t xml:space="preserve"> </w:t>
      </w:r>
      <w:r>
        <w:t>d’Emmanuel</w:t>
      </w:r>
      <w:r w:rsidRPr="002C4077">
        <w:t xml:space="preserve"> </w:t>
      </w:r>
      <w:r>
        <w:t>un</w:t>
      </w:r>
      <w:r w:rsidRPr="002C4077">
        <w:t xml:space="preserve"> </w:t>
      </w:r>
      <w:r>
        <w:t>fils</w:t>
      </w:r>
      <w:r w:rsidRPr="002C4077">
        <w:t xml:space="preserve"> </w:t>
      </w:r>
      <w:r>
        <w:t>du</w:t>
      </w:r>
      <w:r w:rsidRPr="002C4077">
        <w:t xml:space="preserve"> </w:t>
      </w:r>
      <w:r>
        <w:t>prophète,</w:t>
      </w:r>
      <w:r w:rsidRPr="002C4077">
        <w:t xml:space="preserve"> </w:t>
      </w:r>
      <w:r>
        <w:t>ou</w:t>
      </w:r>
      <w:r w:rsidRPr="002C4077">
        <w:t xml:space="preserve"> </w:t>
      </w:r>
      <w:r>
        <w:t>de</w:t>
      </w:r>
      <w:r w:rsidRPr="002C4077">
        <w:t xml:space="preserve"> </w:t>
      </w:r>
      <w:r w:rsidR="00D40830" w:rsidRPr="00D40830">
        <w:t>l’</w:t>
      </w:r>
      <w:r w:rsidR="00D40830" w:rsidRPr="00D05EA9">
        <w:rPr>
          <w:rStyle w:val="italicus"/>
        </w:rPr>
        <w:t>῾almah</w:t>
      </w:r>
      <w:r w:rsidRPr="002C4077">
        <w:t xml:space="preserve"> </w:t>
      </w:r>
      <w:r>
        <w:t>une</w:t>
      </w:r>
      <w:r w:rsidRPr="002C4077">
        <w:t xml:space="preserve"> </w:t>
      </w:r>
      <w:r>
        <w:t>femme</w:t>
      </w:r>
      <w:r w:rsidRPr="002C4077">
        <w:t xml:space="preserve"> </w:t>
      </w:r>
      <w:r>
        <w:t>qui</w:t>
      </w:r>
      <w:r w:rsidRPr="002C4077">
        <w:t xml:space="preserve"> </w:t>
      </w:r>
      <w:r>
        <w:t>se</w:t>
      </w:r>
      <w:r w:rsidRPr="002C4077">
        <w:t xml:space="preserve"> </w:t>
      </w:r>
      <w:r>
        <w:t>trouvait</w:t>
      </w:r>
      <w:r w:rsidRPr="002C4077">
        <w:t xml:space="preserve"> </w:t>
      </w:r>
      <w:r>
        <w:t>là</w:t>
      </w:r>
      <w:r w:rsidRPr="002C4077">
        <w:t xml:space="preserve"> </w:t>
      </w:r>
      <w:r>
        <w:t>d’une</w:t>
      </w:r>
      <w:r w:rsidRPr="002C4077">
        <w:t xml:space="preserve"> </w:t>
      </w:r>
      <w:r>
        <w:t>manière</w:t>
      </w:r>
      <w:r w:rsidRPr="002C4077">
        <w:t xml:space="preserve"> </w:t>
      </w:r>
      <w:r>
        <w:t>accidentelle,</w:t>
      </w:r>
      <w:r w:rsidRPr="002C4077">
        <w:t xml:space="preserve"> </w:t>
      </w:r>
      <w:r>
        <w:t>ne</w:t>
      </w:r>
      <w:r w:rsidRPr="002C4077">
        <w:t xml:space="preserve"> </w:t>
      </w:r>
      <w:r>
        <w:t>méritent</w:t>
      </w:r>
      <w:r w:rsidRPr="002C4077">
        <w:t xml:space="preserve"> </w:t>
      </w:r>
      <w:r>
        <w:t>pas</w:t>
      </w:r>
      <w:r w:rsidRPr="002C4077">
        <w:t xml:space="preserve"> </w:t>
      </w:r>
      <w:r>
        <w:t>une</w:t>
      </w:r>
      <w:r w:rsidRPr="002C4077">
        <w:t xml:space="preserve"> </w:t>
      </w:r>
      <w:r>
        <w:t>réfutation</w:t>
      </w:r>
      <w:r w:rsidRPr="002C4077">
        <w:t xml:space="preserve"> </w:t>
      </w:r>
      <w:r>
        <w:t>sérieuse</w:t>
      </w:r>
      <w:r w:rsidR="00B91AF7">
        <w:rPr>
          <w:rStyle w:val="Appelnotedebasdep"/>
        </w:rPr>
        <w:footnoteReference w:id="128"/>
      </w:r>
      <w:r w:rsidR="00B546AF">
        <w:t> »</w:t>
      </w:r>
      <w:r>
        <w:t>.</w:t>
      </w:r>
      <w:r w:rsidRPr="002C4077">
        <w:t xml:space="preserve"> </w:t>
      </w:r>
      <w:r>
        <w:t>Le</w:t>
      </w:r>
      <w:r w:rsidRPr="002C4077">
        <w:t xml:space="preserve"> </w:t>
      </w:r>
      <w:r>
        <w:t>second</w:t>
      </w:r>
      <w:r w:rsidRPr="002C4077">
        <w:t xml:space="preserve"> </w:t>
      </w:r>
      <w:r>
        <w:t>de</w:t>
      </w:r>
      <w:r w:rsidRPr="002C4077">
        <w:t xml:space="preserve"> </w:t>
      </w:r>
      <w:r>
        <w:t>ces</w:t>
      </w:r>
      <w:r w:rsidRPr="002C4077">
        <w:t xml:space="preserve"> </w:t>
      </w:r>
      <w:r>
        <w:t>systèmes</w:t>
      </w:r>
      <w:r w:rsidRPr="002C4077">
        <w:t xml:space="preserve"> </w:t>
      </w:r>
      <w:r>
        <w:t>jure</w:t>
      </w:r>
      <w:r w:rsidRPr="002C4077">
        <w:t xml:space="preserve"> </w:t>
      </w:r>
      <w:r>
        <w:t>en</w:t>
      </w:r>
      <w:r w:rsidRPr="002C4077">
        <w:t xml:space="preserve"> </w:t>
      </w:r>
      <w:r>
        <w:t>effet</w:t>
      </w:r>
      <w:r w:rsidRPr="002C4077">
        <w:t xml:space="preserve"> </w:t>
      </w:r>
      <w:r>
        <w:t>avec</w:t>
      </w:r>
      <w:r w:rsidRPr="002C4077">
        <w:t xml:space="preserve"> </w:t>
      </w:r>
      <w:r>
        <w:t>le</w:t>
      </w:r>
      <w:r w:rsidRPr="002C4077">
        <w:t xml:space="preserve"> </w:t>
      </w:r>
      <w:r w:rsidRPr="000A34B5">
        <w:rPr>
          <w:rStyle w:val="italicus"/>
        </w:rPr>
        <w:t>magn</w:t>
      </w:r>
      <w:r w:rsidR="003B53FD">
        <w:rPr>
          <w:rStyle w:val="italicus"/>
        </w:rPr>
        <w:t>í</w:t>
      </w:r>
      <w:r w:rsidR="003B53FD" w:rsidRPr="000A34B5">
        <w:rPr>
          <w:rStyle w:val="italicus"/>
        </w:rPr>
        <w:t>ficus</w:t>
      </w:r>
      <w:r w:rsidRPr="002C4077">
        <w:t xml:space="preserve"> </w:t>
      </w:r>
      <w:r w:rsidRPr="000A34B5">
        <w:rPr>
          <w:rStyle w:val="italicus"/>
        </w:rPr>
        <w:t>v</w:t>
      </w:r>
      <w:r w:rsidR="003B53FD" w:rsidRPr="000A34B5">
        <w:rPr>
          <w:rStyle w:val="italicus"/>
        </w:rPr>
        <w:t>erb</w:t>
      </w:r>
      <w:r w:rsidR="003B53FD">
        <w:rPr>
          <w:rStyle w:val="italicus"/>
        </w:rPr>
        <w:t>ó</w:t>
      </w:r>
      <w:r w:rsidR="003B53FD" w:rsidRPr="000A34B5">
        <w:rPr>
          <w:rStyle w:val="italicus"/>
        </w:rPr>
        <w:t>rum</w:t>
      </w:r>
      <w:r w:rsidRPr="002C4077">
        <w:t xml:space="preserve"> </w:t>
      </w:r>
      <w:r w:rsidRPr="000A34B5">
        <w:rPr>
          <w:rStyle w:val="italicus"/>
        </w:rPr>
        <w:t>ap</w:t>
      </w:r>
      <w:r w:rsidR="003B53FD" w:rsidRPr="000A34B5">
        <w:rPr>
          <w:rStyle w:val="italicus"/>
        </w:rPr>
        <w:t>par</w:t>
      </w:r>
      <w:r w:rsidR="003B53FD">
        <w:rPr>
          <w:rStyle w:val="italicus"/>
        </w:rPr>
        <w:t>á</w:t>
      </w:r>
      <w:r w:rsidR="003B53FD" w:rsidRPr="000A34B5">
        <w:rPr>
          <w:rStyle w:val="italicus"/>
        </w:rPr>
        <w:t>tus</w:t>
      </w:r>
      <w:r w:rsidRPr="002C4077">
        <w:t xml:space="preserve"> </w:t>
      </w:r>
      <w:r w:rsidRPr="000A34B5">
        <w:rPr>
          <w:rStyle w:val="italicus"/>
        </w:rPr>
        <w:t>quo</w:t>
      </w:r>
      <w:r w:rsidRPr="002C4077">
        <w:t xml:space="preserve"> </w:t>
      </w:r>
      <w:r w:rsidRPr="000A34B5">
        <w:rPr>
          <w:rStyle w:val="italicus"/>
        </w:rPr>
        <w:t>ex</w:t>
      </w:r>
      <w:r w:rsidR="00CF3BB3">
        <w:rPr>
          <w:rStyle w:val="italicus"/>
        </w:rPr>
        <w:t>o</w:t>
      </w:r>
      <w:r w:rsidR="003B53FD" w:rsidRPr="000A34B5">
        <w:rPr>
          <w:rStyle w:val="italicus"/>
        </w:rPr>
        <w:t>rd</w:t>
      </w:r>
      <w:r w:rsidR="00CF3BB3">
        <w:rPr>
          <w:rStyle w:val="italicus"/>
        </w:rPr>
        <w:t>í</w:t>
      </w:r>
      <w:r w:rsidR="003B53FD" w:rsidRPr="000A34B5">
        <w:rPr>
          <w:rStyle w:val="italicus"/>
        </w:rPr>
        <w:t>tur</w:t>
      </w:r>
      <w:r w:rsidRPr="002C4077">
        <w:t xml:space="preserve"> </w:t>
      </w:r>
      <w:r w:rsidRPr="000A34B5">
        <w:rPr>
          <w:rStyle w:val="italicus"/>
        </w:rPr>
        <w:t>pr</w:t>
      </w:r>
      <w:r w:rsidR="003B53FD" w:rsidRPr="000A34B5">
        <w:rPr>
          <w:rStyle w:val="italicus"/>
        </w:rPr>
        <w:t>oph</w:t>
      </w:r>
      <w:r w:rsidR="003B53FD">
        <w:rPr>
          <w:rStyle w:val="italicus"/>
        </w:rPr>
        <w:t>é</w:t>
      </w:r>
      <w:r w:rsidR="003B53FD" w:rsidRPr="000A34B5">
        <w:rPr>
          <w:rStyle w:val="italicus"/>
        </w:rPr>
        <w:t>ta</w:t>
      </w:r>
      <w:r w:rsidR="00F6492C">
        <w:rPr>
          <w:rStyle w:val="Appelnotedebasdep"/>
          <w:i/>
        </w:rPr>
        <w:footnoteReference w:id="129"/>
      </w:r>
      <w:r w:rsidR="00F6492C" w:rsidRPr="000A34B5">
        <w:rPr>
          <w:rStyle w:val="italicus"/>
        </w:rPr>
        <w:t>.</w:t>
      </w:r>
      <w:r w:rsidRPr="002C4077">
        <w:t xml:space="preserve"> </w:t>
      </w:r>
    </w:p>
    <w:p w:rsidR="000A7AAB" w:rsidRPr="000721C4" w:rsidRDefault="000A7AAB" w:rsidP="000A7AAB">
      <w:r>
        <w:t>L’opinion</w:t>
      </w:r>
      <w:bookmarkStart w:id="168" w:name="z_AlmahPerso_o7"/>
      <w:bookmarkEnd w:id="168"/>
      <w:r w:rsidRPr="002C4077">
        <w:t xml:space="preserve"> </w:t>
      </w:r>
      <w:r>
        <w:t>qui</w:t>
      </w:r>
      <w:r w:rsidRPr="002C4077">
        <w:t xml:space="preserve"> </w:t>
      </w:r>
      <w:r>
        <w:t>suit,</w:t>
      </w:r>
      <w:r w:rsidRPr="002C4077">
        <w:t xml:space="preserve"> </w:t>
      </w:r>
      <w:r>
        <w:t>quoique</w:t>
      </w:r>
      <w:r w:rsidRPr="002C4077">
        <w:t xml:space="preserve"> </w:t>
      </w:r>
      <w:r>
        <w:t>plus</w:t>
      </w:r>
      <w:r w:rsidRPr="002C4077">
        <w:t xml:space="preserve"> </w:t>
      </w:r>
      <w:r>
        <w:t>singulière</w:t>
      </w:r>
      <w:r w:rsidRPr="002C4077">
        <w:t xml:space="preserve"> </w:t>
      </w:r>
      <w:r>
        <w:t>encore,</w:t>
      </w:r>
      <w:r w:rsidRPr="002C4077">
        <w:t xml:space="preserve"> </w:t>
      </w:r>
      <w:r>
        <w:t>a</w:t>
      </w:r>
      <w:r w:rsidRPr="002C4077">
        <w:t xml:space="preserve"> </w:t>
      </w:r>
      <w:r>
        <w:t>trouvé</w:t>
      </w:r>
      <w:r w:rsidRPr="002C4077">
        <w:t xml:space="preserve"> </w:t>
      </w:r>
      <w:r>
        <w:t>un</w:t>
      </w:r>
      <w:r w:rsidRPr="002C4077">
        <w:t xml:space="preserve"> </w:t>
      </w:r>
      <w:r>
        <w:t>assez</w:t>
      </w:r>
      <w:r w:rsidRPr="002C4077">
        <w:t xml:space="preserve"> </w:t>
      </w:r>
      <w:r>
        <w:t>grand</w:t>
      </w:r>
      <w:r w:rsidRPr="002C4077">
        <w:t xml:space="preserve"> </w:t>
      </w:r>
      <w:r>
        <w:t>nombre</w:t>
      </w:r>
      <w:r w:rsidRPr="002C4077">
        <w:t xml:space="preserve"> </w:t>
      </w:r>
      <w:r>
        <w:t>de</w:t>
      </w:r>
      <w:r w:rsidRPr="002C4077">
        <w:t xml:space="preserve"> </w:t>
      </w:r>
      <w:r>
        <w:t>partisans</w:t>
      </w:r>
      <w:r w:rsidRPr="002C4077">
        <w:t xml:space="preserve"> </w:t>
      </w:r>
      <w:r>
        <w:t>parmi</w:t>
      </w:r>
      <w:r w:rsidRPr="002C4077">
        <w:t xml:space="preserve"> </w:t>
      </w:r>
      <w:r>
        <w:t>les</w:t>
      </w:r>
      <w:r w:rsidRPr="002C4077">
        <w:t xml:space="preserve"> </w:t>
      </w:r>
      <w:r>
        <w:t>rationalistes.</w:t>
      </w:r>
      <w:r w:rsidRPr="002C4077">
        <w:t xml:space="preserve"> </w:t>
      </w:r>
      <w:r>
        <w:t>Elle</w:t>
      </w:r>
      <w:r w:rsidRPr="002C4077">
        <w:t xml:space="preserve"> </w:t>
      </w:r>
      <w:r w:rsidR="00425C50">
        <w:t>est</w:t>
      </w:r>
      <w:r w:rsidRPr="002C4077">
        <w:t xml:space="preserve"> </w:t>
      </w:r>
      <w:r>
        <w:t>d’ailleurs</w:t>
      </w:r>
      <w:r w:rsidRPr="002C4077">
        <w:t xml:space="preserve"> </w:t>
      </w:r>
      <w:r>
        <w:t>si</w:t>
      </w:r>
      <w:r w:rsidRPr="002C4077">
        <w:t xml:space="preserve"> </w:t>
      </w:r>
      <w:r>
        <w:t>commode</w:t>
      </w:r>
      <w:r w:rsidR="00B546AF">
        <w:t> !</w:t>
      </w:r>
      <w:r w:rsidRPr="002C4077">
        <w:t xml:space="preserve"> </w:t>
      </w:r>
      <w:r>
        <w:t>Suivant</w:t>
      </w:r>
      <w:r w:rsidRPr="002C4077">
        <w:t xml:space="preserve"> </w:t>
      </w:r>
      <w:r>
        <w:t>Eichhorn,</w:t>
      </w:r>
      <w:r w:rsidRPr="002C4077">
        <w:t xml:space="preserve"> </w:t>
      </w:r>
      <w:r>
        <w:t>Paulus,</w:t>
      </w:r>
      <w:r w:rsidRPr="002C4077">
        <w:t xml:space="preserve"> </w:t>
      </w:r>
      <w:r>
        <w:t>von</w:t>
      </w:r>
      <w:r w:rsidRPr="002C4077">
        <w:t xml:space="preserve"> </w:t>
      </w:r>
      <w:r>
        <w:t>Ammon</w:t>
      </w:r>
      <w:r w:rsidRPr="002C4077">
        <w:t xml:space="preserve"> </w:t>
      </w:r>
      <w:r>
        <w:t>et</w:t>
      </w:r>
      <w:r w:rsidRPr="002C4077">
        <w:t xml:space="preserve"> </w:t>
      </w:r>
      <w:r>
        <w:t>vingt</w:t>
      </w:r>
      <w:r w:rsidRPr="002C4077">
        <w:t xml:space="preserve"> </w:t>
      </w:r>
      <w:r>
        <w:t>autres,</w:t>
      </w:r>
      <w:r w:rsidRPr="002C4077">
        <w:t xml:space="preserve"> </w:t>
      </w:r>
      <w:r>
        <w:t>il</w:t>
      </w:r>
      <w:r w:rsidRPr="002C4077">
        <w:t xml:space="preserve"> </w:t>
      </w:r>
      <w:r>
        <w:t>s’agirait</w:t>
      </w:r>
      <w:r w:rsidRPr="002C4077">
        <w:t xml:space="preserve"> </w:t>
      </w:r>
      <w:r>
        <w:t>seulement,</w:t>
      </w:r>
      <w:r w:rsidRPr="002C4077">
        <w:t xml:space="preserve"> </w:t>
      </w:r>
      <w:r>
        <w:t>au</w:t>
      </w:r>
      <w:r w:rsidRPr="002C4077">
        <w:t xml:space="preserve"> </w:t>
      </w:r>
      <w:r>
        <w:t>verset</w:t>
      </w:r>
      <w:r w:rsidRPr="002C4077">
        <w:t xml:space="preserve"> </w:t>
      </w:r>
      <w:r>
        <w:t>14,</w:t>
      </w:r>
      <w:r w:rsidRPr="002C4077">
        <w:t xml:space="preserve"> </w:t>
      </w:r>
      <w:r>
        <w:t>d’une</w:t>
      </w:r>
      <w:r w:rsidRPr="002C4077">
        <w:t xml:space="preserve"> </w:t>
      </w:r>
      <w:r>
        <w:t>jeune</w:t>
      </w:r>
      <w:r w:rsidRPr="002C4077">
        <w:t xml:space="preserve"> </w:t>
      </w:r>
      <w:r>
        <w:t>fille</w:t>
      </w:r>
      <w:r w:rsidRPr="002C4077">
        <w:t xml:space="preserve"> </w:t>
      </w:r>
      <w:r w:rsidRPr="000A34B5">
        <w:rPr>
          <w:rStyle w:val="italicus"/>
        </w:rPr>
        <w:t>idéale</w:t>
      </w:r>
      <w:r w:rsidR="00B546AF">
        <w:rPr>
          <w:rStyle w:val="italicus"/>
        </w:rPr>
        <w:t> </w:t>
      </w:r>
      <w:r w:rsidR="00B546AF" w:rsidRPr="000A34B5">
        <w:rPr>
          <w:rStyle w:val="italicus"/>
        </w:rPr>
        <w:t>:</w:t>
      </w:r>
      <w:r w:rsidRPr="002C4077">
        <w:t xml:space="preserve"> </w:t>
      </w:r>
      <w:r>
        <w:t>tel</w:t>
      </w:r>
      <w:r w:rsidRPr="002C4077">
        <w:t xml:space="preserve"> </w:t>
      </w:r>
      <w:r w:rsidR="00425C50">
        <w:t>est</w:t>
      </w:r>
      <w:r w:rsidRPr="002C4077">
        <w:t xml:space="preserve"> </w:t>
      </w:r>
      <w:r>
        <w:t>le</w:t>
      </w:r>
      <w:r w:rsidRPr="002C4077">
        <w:t xml:space="preserve"> </w:t>
      </w:r>
      <w:r>
        <w:t>terme</w:t>
      </w:r>
      <w:r w:rsidRPr="002C4077">
        <w:t xml:space="preserve"> </w:t>
      </w:r>
      <w:r>
        <w:t>dont</w:t>
      </w:r>
      <w:r w:rsidRPr="002C4077">
        <w:t xml:space="preserve"> </w:t>
      </w:r>
      <w:r>
        <w:t>ils</w:t>
      </w:r>
      <w:r w:rsidRPr="002C4077">
        <w:t xml:space="preserve"> </w:t>
      </w:r>
      <w:r>
        <w:t>se</w:t>
      </w:r>
      <w:r w:rsidRPr="002C4077">
        <w:t xml:space="preserve"> </w:t>
      </w:r>
      <w:r>
        <w:t>servent.</w:t>
      </w:r>
      <w:r w:rsidRPr="002C4077">
        <w:t xml:space="preserve"> </w:t>
      </w:r>
      <w:r>
        <w:t>C’est-à-dire</w:t>
      </w:r>
      <w:r w:rsidRPr="002C4077">
        <w:t xml:space="preserve"> </w:t>
      </w:r>
      <w:r>
        <w:t>que</w:t>
      </w:r>
      <w:r w:rsidRPr="002C4077">
        <w:t xml:space="preserve"> </w:t>
      </w:r>
      <w:r w:rsidR="00D40830" w:rsidRPr="00D40830">
        <w:t>l’</w:t>
      </w:r>
      <w:r w:rsidR="00D40830" w:rsidRPr="00D05EA9">
        <w:rPr>
          <w:rStyle w:val="italicus"/>
        </w:rPr>
        <w:t>῾almah</w:t>
      </w:r>
      <w:r w:rsidRPr="002C4077">
        <w:t xml:space="preserve"> </w:t>
      </w:r>
      <w:r>
        <w:t>n’était</w:t>
      </w:r>
      <w:r w:rsidRPr="002C4077">
        <w:t xml:space="preserve"> </w:t>
      </w:r>
      <w:r>
        <w:t>pas</w:t>
      </w:r>
      <w:r w:rsidRPr="002C4077">
        <w:t xml:space="preserve"> </w:t>
      </w:r>
      <w:r>
        <w:t>alors,</w:t>
      </w:r>
      <w:r w:rsidRPr="002C4077">
        <w:t xml:space="preserve"> </w:t>
      </w:r>
      <w:r>
        <w:t>ne</w:t>
      </w:r>
      <w:r w:rsidRPr="002C4077">
        <w:t xml:space="preserve"> </w:t>
      </w:r>
      <w:r>
        <w:t>devait</w:t>
      </w:r>
      <w:r w:rsidRPr="002C4077">
        <w:t xml:space="preserve"> </w:t>
      </w:r>
      <w:r>
        <w:t>jamais</w:t>
      </w:r>
      <w:r w:rsidRPr="002C4077">
        <w:t xml:space="preserve"> </w:t>
      </w:r>
      <w:r>
        <w:t>être</w:t>
      </w:r>
      <w:r w:rsidRPr="002C4077">
        <w:t xml:space="preserve"> </w:t>
      </w:r>
      <w:r>
        <w:t>une</w:t>
      </w:r>
      <w:r w:rsidRPr="002C4077">
        <w:t xml:space="preserve"> </w:t>
      </w:r>
      <w:r>
        <w:t>personne</w:t>
      </w:r>
      <w:r w:rsidRPr="002C4077">
        <w:t xml:space="preserve"> </w:t>
      </w:r>
      <w:r>
        <w:t>réellement</w:t>
      </w:r>
      <w:r w:rsidRPr="002C4077">
        <w:t xml:space="preserve"> </w:t>
      </w:r>
      <w:r>
        <w:t>existante</w:t>
      </w:r>
      <w:r w:rsidR="00B546AF">
        <w:t> ;</w:t>
      </w:r>
      <w:r w:rsidRPr="002C4077">
        <w:t xml:space="preserve"> </w:t>
      </w:r>
      <w:r>
        <w:t>le</w:t>
      </w:r>
      <w:r w:rsidRPr="002C4077">
        <w:t xml:space="preserve"> </w:t>
      </w:r>
      <w:r>
        <w:t>prophète</w:t>
      </w:r>
      <w:r w:rsidRPr="002C4077">
        <w:t xml:space="preserve"> </w:t>
      </w:r>
      <w:r>
        <w:t>faisait</w:t>
      </w:r>
      <w:r w:rsidRPr="002C4077">
        <w:t xml:space="preserve"> </w:t>
      </w:r>
      <w:r>
        <w:t>une</w:t>
      </w:r>
      <w:r w:rsidRPr="002C4077">
        <w:t xml:space="preserve"> </w:t>
      </w:r>
      <w:r>
        <w:t>simple</w:t>
      </w:r>
      <w:r w:rsidRPr="002C4077">
        <w:t xml:space="preserve"> </w:t>
      </w:r>
      <w:r>
        <w:t>hypothèse</w:t>
      </w:r>
      <w:r w:rsidRPr="002C4077">
        <w:t xml:space="preserve"> </w:t>
      </w:r>
      <w:r>
        <w:t>et</w:t>
      </w:r>
      <w:r w:rsidRPr="002C4077">
        <w:t xml:space="preserve"> </w:t>
      </w:r>
      <w:r>
        <w:t>parlait</w:t>
      </w:r>
      <w:r w:rsidRPr="002C4077">
        <w:t xml:space="preserve"> </w:t>
      </w:r>
      <w:r>
        <w:t>de</w:t>
      </w:r>
      <w:r w:rsidRPr="002C4077">
        <w:t xml:space="preserve"> </w:t>
      </w:r>
      <w:r>
        <w:t>la</w:t>
      </w:r>
      <w:r w:rsidRPr="002C4077">
        <w:t xml:space="preserve"> </w:t>
      </w:r>
      <w:r>
        <w:t>façon</w:t>
      </w:r>
      <w:r w:rsidRPr="002C4077">
        <w:t xml:space="preserve"> </w:t>
      </w:r>
      <w:r>
        <w:t>la</w:t>
      </w:r>
      <w:r w:rsidRPr="002C4077">
        <w:t xml:space="preserve"> </w:t>
      </w:r>
      <w:r>
        <w:t>plus</w:t>
      </w:r>
      <w:r w:rsidRPr="002C4077">
        <w:t xml:space="preserve"> </w:t>
      </w:r>
      <w:r>
        <w:t>générale.</w:t>
      </w:r>
      <w:r w:rsidRPr="002C4077">
        <w:t xml:space="preserve"> </w:t>
      </w:r>
      <w:r>
        <w:t>Une</w:t>
      </w:r>
      <w:r w:rsidRPr="002C4077">
        <w:t xml:space="preserve"> </w:t>
      </w:r>
      <w:r>
        <w:t>jeune</w:t>
      </w:r>
      <w:r w:rsidRPr="002C4077">
        <w:t xml:space="preserve"> </w:t>
      </w:r>
      <w:r>
        <w:t>femme</w:t>
      </w:r>
      <w:r w:rsidRPr="002C4077">
        <w:t xml:space="preserve"> </w:t>
      </w:r>
      <w:r>
        <w:t>qui</w:t>
      </w:r>
      <w:r w:rsidRPr="002C4077">
        <w:t xml:space="preserve"> </w:t>
      </w:r>
      <w:r>
        <w:t>concevrait</w:t>
      </w:r>
      <w:r w:rsidRPr="002C4077">
        <w:t xml:space="preserve"> </w:t>
      </w:r>
      <w:r>
        <w:t>actuellement,</w:t>
      </w:r>
      <w:r w:rsidRPr="002C4077">
        <w:t xml:space="preserve"> </w:t>
      </w:r>
      <w:r>
        <w:t>telle</w:t>
      </w:r>
      <w:r w:rsidRPr="002C4077">
        <w:t xml:space="preserve"> </w:t>
      </w:r>
      <w:r>
        <w:t>eût</w:t>
      </w:r>
      <w:r w:rsidRPr="002C4077">
        <w:t xml:space="preserve"> </w:t>
      </w:r>
      <w:r>
        <w:t>été</w:t>
      </w:r>
      <w:r w:rsidRPr="002C4077">
        <w:t xml:space="preserve"> </w:t>
      </w:r>
      <w:r>
        <w:t>la</w:t>
      </w:r>
      <w:r w:rsidRPr="002C4077">
        <w:t xml:space="preserve"> </w:t>
      </w:r>
      <w:r>
        <w:t>pensée</w:t>
      </w:r>
      <w:r w:rsidRPr="002C4077">
        <w:t xml:space="preserve"> </w:t>
      </w:r>
      <w:r>
        <w:t>d’Isaïe,</w:t>
      </w:r>
      <w:r w:rsidRPr="002C4077">
        <w:t xml:space="preserve"> </w:t>
      </w:r>
      <w:r>
        <w:t>pourrait,</w:t>
      </w:r>
      <w:r w:rsidRPr="002C4077">
        <w:t xml:space="preserve"> </w:t>
      </w:r>
      <w:r>
        <w:t>quand</w:t>
      </w:r>
      <w:r w:rsidRPr="002C4077">
        <w:t xml:space="preserve"> </w:t>
      </w:r>
      <w:r>
        <w:t>elle</w:t>
      </w:r>
      <w:r w:rsidRPr="002C4077">
        <w:t xml:space="preserve"> </w:t>
      </w:r>
      <w:r>
        <w:t>enfantera,</w:t>
      </w:r>
      <w:r w:rsidRPr="002C4077">
        <w:t xml:space="preserve"> </w:t>
      </w:r>
      <w:r>
        <w:t>nommer</w:t>
      </w:r>
      <w:r w:rsidRPr="002C4077">
        <w:t xml:space="preserve"> </w:t>
      </w:r>
      <w:r>
        <w:t>son</w:t>
      </w:r>
      <w:r w:rsidRPr="002C4077">
        <w:t xml:space="preserve"> </w:t>
      </w:r>
      <w:r>
        <w:t>fils</w:t>
      </w:r>
      <w:r w:rsidRPr="002C4077">
        <w:t xml:space="preserve"> </w:t>
      </w:r>
      <w:r>
        <w:t>Emmanuel,</w:t>
      </w:r>
      <w:r w:rsidRPr="002C4077">
        <w:t xml:space="preserve"> </w:t>
      </w:r>
      <w:r w:rsidR="00B546AF">
        <w:t>« </w:t>
      </w:r>
      <w:r>
        <w:t>Dieu</w:t>
      </w:r>
      <w:r w:rsidRPr="002C4077">
        <w:t xml:space="preserve"> </w:t>
      </w:r>
      <w:r>
        <w:t>avec</w:t>
      </w:r>
      <w:r w:rsidRPr="002C4077">
        <w:t xml:space="preserve"> </w:t>
      </w:r>
      <w:r>
        <w:t>nous</w:t>
      </w:r>
      <w:r w:rsidR="00B546AF">
        <w:t> »</w:t>
      </w:r>
      <w:r>
        <w:t>,</w:t>
      </w:r>
      <w:r w:rsidRPr="002C4077">
        <w:t xml:space="preserve"> </w:t>
      </w:r>
      <w:r>
        <w:t>car,</w:t>
      </w:r>
      <w:r w:rsidRPr="002C4077">
        <w:t xml:space="preserve"> </w:t>
      </w:r>
      <w:r>
        <w:t>dans</w:t>
      </w:r>
      <w:r w:rsidRPr="002C4077">
        <w:t xml:space="preserve"> </w:t>
      </w:r>
      <w:r>
        <w:t>ce</w:t>
      </w:r>
      <w:r w:rsidRPr="002C4077">
        <w:t xml:space="preserve"> </w:t>
      </w:r>
      <w:r>
        <w:t>court</w:t>
      </w:r>
      <w:r w:rsidRPr="002C4077">
        <w:t xml:space="preserve"> </w:t>
      </w:r>
      <w:r>
        <w:t>intervalle</w:t>
      </w:r>
      <w:r w:rsidRPr="002C4077">
        <w:t xml:space="preserve"> </w:t>
      </w:r>
      <w:r>
        <w:t>de</w:t>
      </w:r>
      <w:r w:rsidRPr="002C4077">
        <w:t xml:space="preserve"> </w:t>
      </w:r>
      <w:r>
        <w:t>quelques</w:t>
      </w:r>
      <w:r w:rsidRPr="002C4077">
        <w:t xml:space="preserve"> </w:t>
      </w:r>
      <w:r>
        <w:t>mois,</w:t>
      </w:r>
      <w:r w:rsidRPr="002C4077">
        <w:t xml:space="preserve"> </w:t>
      </w:r>
      <w:r>
        <w:t>ceux</w:t>
      </w:r>
      <w:r w:rsidRPr="002C4077">
        <w:t xml:space="preserve"> </w:t>
      </w:r>
      <w:r>
        <w:t>qui</w:t>
      </w:r>
      <w:r w:rsidRPr="002C4077">
        <w:t xml:space="preserve"> </w:t>
      </w:r>
      <w:r>
        <w:t>oppriment</w:t>
      </w:r>
      <w:r w:rsidRPr="002C4077">
        <w:t xml:space="preserve"> </w:t>
      </w:r>
      <w:r>
        <w:t>maintenant</w:t>
      </w:r>
      <w:r w:rsidRPr="002C4077">
        <w:t xml:space="preserve"> </w:t>
      </w:r>
      <w:r>
        <w:t>la</w:t>
      </w:r>
      <w:r w:rsidRPr="002C4077">
        <w:t xml:space="preserve"> </w:t>
      </w:r>
      <w:r>
        <w:t>Judée</w:t>
      </w:r>
      <w:r w:rsidRPr="002C4077">
        <w:t xml:space="preserve"> </w:t>
      </w:r>
      <w:r>
        <w:t>auront</w:t>
      </w:r>
      <w:r w:rsidRPr="002C4077">
        <w:t xml:space="preserve"> </w:t>
      </w:r>
      <w:r>
        <w:t>perdu</w:t>
      </w:r>
      <w:r w:rsidRPr="002C4077">
        <w:t xml:space="preserve"> </w:t>
      </w:r>
      <w:r>
        <w:t>toute</w:t>
      </w:r>
      <w:r w:rsidRPr="002C4077">
        <w:t xml:space="preserve"> </w:t>
      </w:r>
      <w:r>
        <w:t>puissance</w:t>
      </w:r>
      <w:r w:rsidRPr="002C4077">
        <w:t xml:space="preserve"> </w:t>
      </w:r>
      <w:r>
        <w:t>de</w:t>
      </w:r>
      <w:r w:rsidRPr="002C4077">
        <w:t xml:space="preserve"> </w:t>
      </w:r>
      <w:r>
        <w:t>nuire.</w:t>
      </w:r>
      <w:r w:rsidRPr="002C4077">
        <w:t xml:space="preserve"> </w:t>
      </w:r>
      <w:r w:rsidR="00B546AF">
        <w:t>« </w:t>
      </w:r>
      <w:r w:rsidR="00D40830" w:rsidRPr="00D05EA9">
        <w:rPr>
          <w:rStyle w:val="italicus"/>
        </w:rPr>
        <w:t>῾Almah</w:t>
      </w:r>
      <w:r w:rsidR="00D40830" w:rsidRPr="002C4077">
        <w:t xml:space="preserve"> </w:t>
      </w:r>
      <w:r>
        <w:t>doit</w:t>
      </w:r>
      <w:r w:rsidRPr="002C4077">
        <w:t xml:space="preserve"> </w:t>
      </w:r>
      <w:r>
        <w:t>se</w:t>
      </w:r>
      <w:r w:rsidRPr="002C4077">
        <w:t xml:space="preserve"> </w:t>
      </w:r>
      <w:r>
        <w:t>traduire</w:t>
      </w:r>
      <w:r w:rsidRPr="002C4077">
        <w:t xml:space="preserve"> </w:t>
      </w:r>
      <w:r>
        <w:t>par</w:t>
      </w:r>
      <w:r w:rsidR="00B546AF">
        <w:t> :</w:t>
      </w:r>
      <w:r w:rsidRPr="002C4077">
        <w:t xml:space="preserve"> </w:t>
      </w:r>
      <w:r>
        <w:t>une</w:t>
      </w:r>
      <w:r w:rsidRPr="002C4077">
        <w:t xml:space="preserve"> </w:t>
      </w:r>
      <w:r>
        <w:t>jeune</w:t>
      </w:r>
      <w:r w:rsidRPr="002C4077">
        <w:t xml:space="preserve"> </w:t>
      </w:r>
      <w:r>
        <w:t>femme</w:t>
      </w:r>
      <w:r w:rsidRPr="002C4077">
        <w:t xml:space="preserve"> </w:t>
      </w:r>
      <w:r>
        <w:t>quelconque.</w:t>
      </w:r>
      <w:r w:rsidRPr="002C4077">
        <w:t xml:space="preserve"> </w:t>
      </w:r>
      <w:r>
        <w:t>Voici</w:t>
      </w:r>
      <w:r w:rsidR="00B546AF">
        <w:t> !</w:t>
      </w:r>
      <w:r w:rsidRPr="002C4077">
        <w:t xml:space="preserve"> </w:t>
      </w:r>
      <w:r>
        <w:t>toute</w:t>
      </w:r>
      <w:r w:rsidRPr="002C4077">
        <w:t xml:space="preserve"> </w:t>
      </w:r>
      <w:r>
        <w:t>jeune</w:t>
      </w:r>
      <w:r w:rsidRPr="002C4077">
        <w:t xml:space="preserve"> </w:t>
      </w:r>
      <w:r>
        <w:t>femme</w:t>
      </w:r>
      <w:r w:rsidRPr="002C4077">
        <w:t xml:space="preserve"> </w:t>
      </w:r>
      <w:r>
        <w:t>qui</w:t>
      </w:r>
      <w:r w:rsidRPr="002C4077">
        <w:t xml:space="preserve"> </w:t>
      </w:r>
      <w:r w:rsidR="00425C50">
        <w:t>est</w:t>
      </w:r>
      <w:r w:rsidRPr="002C4077">
        <w:t xml:space="preserve"> </w:t>
      </w:r>
      <w:r>
        <w:t>maintenant</w:t>
      </w:r>
      <w:r w:rsidRPr="002C4077">
        <w:t xml:space="preserve"> </w:t>
      </w:r>
      <w:r>
        <w:t>enceinte</w:t>
      </w:r>
      <w:r w:rsidRPr="002C4077">
        <w:t xml:space="preserve"> </w:t>
      </w:r>
      <w:r>
        <w:t>pourra</w:t>
      </w:r>
      <w:r w:rsidRPr="002C4077">
        <w:t xml:space="preserve"> </w:t>
      </w:r>
      <w:r>
        <w:t>nommer</w:t>
      </w:r>
      <w:r w:rsidRPr="002C4077">
        <w:t xml:space="preserve"> </w:t>
      </w:r>
      <w:r>
        <w:t>son</w:t>
      </w:r>
      <w:r w:rsidRPr="002C4077">
        <w:t xml:space="preserve"> </w:t>
      </w:r>
      <w:r>
        <w:t>fils</w:t>
      </w:r>
      <w:r w:rsidRPr="002C4077">
        <w:t xml:space="preserve"> </w:t>
      </w:r>
      <w:r>
        <w:t>Emmanuel</w:t>
      </w:r>
      <w:r w:rsidR="00B91AF7">
        <w:rPr>
          <w:rStyle w:val="Appelnotedebasdep"/>
        </w:rPr>
        <w:footnoteReference w:id="130"/>
      </w:r>
      <w:r w:rsidR="00B546AF">
        <w:t> »</w:t>
      </w:r>
      <w:r>
        <w:t>.</w:t>
      </w:r>
      <w:r w:rsidRPr="002C4077">
        <w:t xml:space="preserve"> </w:t>
      </w:r>
      <w:r>
        <w:t>M.</w:t>
      </w:r>
      <w:r w:rsidRPr="002C4077">
        <w:t xml:space="preserve"> </w:t>
      </w:r>
      <w:r>
        <w:t>Reuss</w:t>
      </w:r>
      <w:r w:rsidRPr="002C4077">
        <w:t xml:space="preserve"> </w:t>
      </w:r>
      <w:r w:rsidR="00425C50">
        <w:t>est</w:t>
      </w:r>
      <w:r w:rsidRPr="002C4077">
        <w:t xml:space="preserve"> </w:t>
      </w:r>
      <w:r>
        <w:t>du</w:t>
      </w:r>
      <w:r w:rsidRPr="002C4077">
        <w:t xml:space="preserve"> </w:t>
      </w:r>
      <w:r>
        <w:t>même</w:t>
      </w:r>
      <w:r w:rsidRPr="002C4077">
        <w:t xml:space="preserve"> </w:t>
      </w:r>
      <w:r>
        <w:t>avis</w:t>
      </w:r>
      <w:r w:rsidR="00B546AF">
        <w:t> :</w:t>
      </w:r>
      <w:r w:rsidR="00C45B47">
        <w:t xml:space="preserve"> {</w:t>
      </w:r>
      <w:r w:rsidR="000721C4">
        <w:t>47</w:t>
      </w:r>
      <w:bookmarkStart w:id="169" w:name="p047"/>
      <w:bookmarkEnd w:id="169"/>
      <w:r w:rsidR="000721C4">
        <w:t xml:space="preserve">} </w:t>
      </w:r>
      <w:r w:rsidR="00B546AF">
        <w:t>« </w:t>
      </w:r>
      <w:r>
        <w:t>Tout</w:t>
      </w:r>
      <w:r w:rsidRPr="002C4077">
        <w:t xml:space="preserve"> </w:t>
      </w:r>
      <w:r>
        <w:t>cela</w:t>
      </w:r>
      <w:r w:rsidRPr="002C4077">
        <w:t xml:space="preserve"> </w:t>
      </w:r>
      <w:r w:rsidR="00425C50">
        <w:t>est</w:t>
      </w:r>
      <w:r w:rsidRPr="002C4077">
        <w:t xml:space="preserve"> </w:t>
      </w:r>
      <w:r>
        <w:t>fort</w:t>
      </w:r>
      <w:r w:rsidRPr="002C4077">
        <w:t xml:space="preserve"> </w:t>
      </w:r>
      <w:r>
        <w:t>simple</w:t>
      </w:r>
      <w:r w:rsidRPr="002C4077">
        <w:t xml:space="preserve"> </w:t>
      </w:r>
      <w:r>
        <w:t>et</w:t>
      </w:r>
      <w:r w:rsidRPr="002C4077">
        <w:t xml:space="preserve"> </w:t>
      </w:r>
      <w:r>
        <w:t>le</w:t>
      </w:r>
      <w:r w:rsidRPr="002C4077">
        <w:t xml:space="preserve"> </w:t>
      </w:r>
      <w:r>
        <w:t>sera</w:t>
      </w:r>
      <w:r w:rsidRPr="002C4077">
        <w:t xml:space="preserve"> </w:t>
      </w:r>
      <w:r>
        <w:t>davantage</w:t>
      </w:r>
      <w:r w:rsidRPr="002C4077">
        <w:t xml:space="preserve"> </w:t>
      </w:r>
      <w:r>
        <w:t>si,</w:t>
      </w:r>
      <w:r w:rsidRPr="002C4077">
        <w:t xml:space="preserve"> </w:t>
      </w:r>
      <w:r>
        <w:t>par</w:t>
      </w:r>
      <w:r w:rsidRPr="002C4077">
        <w:t xml:space="preserve"> </w:t>
      </w:r>
      <w:r>
        <w:t>la</w:t>
      </w:r>
      <w:r w:rsidRPr="002C4077">
        <w:t xml:space="preserve"> </w:t>
      </w:r>
      <w:r>
        <w:t>femme</w:t>
      </w:r>
      <w:r w:rsidRPr="002C4077">
        <w:t xml:space="preserve"> </w:t>
      </w:r>
      <w:r>
        <w:t>en</w:t>
      </w:r>
      <w:r w:rsidRPr="002C4077">
        <w:t xml:space="preserve"> </w:t>
      </w:r>
      <w:r>
        <w:t>question,</w:t>
      </w:r>
      <w:r w:rsidRPr="002C4077">
        <w:t xml:space="preserve"> </w:t>
      </w:r>
      <w:r>
        <w:t>nous</w:t>
      </w:r>
      <w:r w:rsidRPr="002C4077">
        <w:t xml:space="preserve"> </w:t>
      </w:r>
      <w:r>
        <w:t>n’entendons</w:t>
      </w:r>
      <w:r w:rsidRPr="002C4077">
        <w:t xml:space="preserve"> </w:t>
      </w:r>
      <w:r>
        <w:t>pas</w:t>
      </w:r>
      <w:r w:rsidRPr="002C4077">
        <w:t xml:space="preserve"> </w:t>
      </w:r>
      <w:r>
        <w:t>celle</w:t>
      </w:r>
      <w:r w:rsidRPr="002C4077">
        <w:t xml:space="preserve"> </w:t>
      </w:r>
      <w:r>
        <w:t>du</w:t>
      </w:r>
      <w:r w:rsidRPr="002C4077">
        <w:t xml:space="preserve"> </w:t>
      </w:r>
      <w:r>
        <w:t>prophète,</w:t>
      </w:r>
      <w:r w:rsidRPr="002C4077">
        <w:t xml:space="preserve"> </w:t>
      </w:r>
      <w:r>
        <w:t>ni</w:t>
      </w:r>
      <w:r w:rsidRPr="002C4077">
        <w:t xml:space="preserve"> </w:t>
      </w:r>
      <w:r>
        <w:t>toute</w:t>
      </w:r>
      <w:r w:rsidRPr="002C4077">
        <w:t xml:space="preserve"> </w:t>
      </w:r>
      <w:r>
        <w:t>autre</w:t>
      </w:r>
      <w:r w:rsidRPr="002C4077">
        <w:t xml:space="preserve"> </w:t>
      </w:r>
      <w:r>
        <w:t>en</w:t>
      </w:r>
      <w:r w:rsidRPr="002C4077">
        <w:t xml:space="preserve"> </w:t>
      </w:r>
      <w:r>
        <w:t>particulier,</w:t>
      </w:r>
      <w:r w:rsidRPr="002C4077">
        <w:t xml:space="preserve"> </w:t>
      </w:r>
      <w:r>
        <w:t>mais</w:t>
      </w:r>
      <w:r w:rsidRPr="002C4077">
        <w:t xml:space="preserve"> </w:t>
      </w:r>
      <w:r w:rsidRPr="000A34B5">
        <w:rPr>
          <w:rStyle w:val="italicus"/>
        </w:rPr>
        <w:t>la</w:t>
      </w:r>
      <w:r w:rsidRPr="002C4077">
        <w:t xml:space="preserve"> </w:t>
      </w:r>
      <w:r>
        <w:t>femme</w:t>
      </w:r>
      <w:r w:rsidRPr="002C4077">
        <w:t xml:space="preserve"> </w:t>
      </w:r>
      <w:r>
        <w:t>comme</w:t>
      </w:r>
      <w:r w:rsidRPr="002C4077">
        <w:t xml:space="preserve"> </w:t>
      </w:r>
      <w:r>
        <w:t>telle</w:t>
      </w:r>
      <w:r w:rsidR="00B91AF7">
        <w:rPr>
          <w:rStyle w:val="Appelnotedebasdep"/>
        </w:rPr>
        <w:footnoteReference w:id="131"/>
      </w:r>
      <w:r w:rsidR="00B546AF">
        <w:t> »</w:t>
      </w:r>
      <w:r>
        <w:t>.</w:t>
      </w:r>
      <w:r w:rsidRPr="002C4077">
        <w:t xml:space="preserve"> </w:t>
      </w:r>
      <w:r>
        <w:t>M.</w:t>
      </w:r>
      <w:r w:rsidRPr="002C4077">
        <w:t xml:space="preserve"> </w:t>
      </w:r>
      <w:r>
        <w:t>Duhm</w:t>
      </w:r>
      <w:r w:rsidRPr="002C4077">
        <w:t xml:space="preserve"> </w:t>
      </w:r>
      <w:r>
        <w:t>prend</w:t>
      </w:r>
      <w:r w:rsidRPr="002C4077">
        <w:t xml:space="preserve"> </w:t>
      </w:r>
      <w:r>
        <w:t>la</w:t>
      </w:r>
      <w:r w:rsidRPr="002C4077">
        <w:t xml:space="preserve"> </w:t>
      </w:r>
      <w:r>
        <w:t>peine</w:t>
      </w:r>
      <w:r w:rsidRPr="002C4077">
        <w:t xml:space="preserve"> </w:t>
      </w:r>
      <w:r>
        <w:t>d’établir</w:t>
      </w:r>
      <w:r w:rsidRPr="002C4077">
        <w:t xml:space="preserve"> </w:t>
      </w:r>
      <w:r>
        <w:t>un</w:t>
      </w:r>
      <w:r w:rsidRPr="002C4077">
        <w:t xml:space="preserve"> </w:t>
      </w:r>
      <w:r>
        <w:t>rapprochement.</w:t>
      </w:r>
      <w:r w:rsidRPr="002C4077">
        <w:t xml:space="preserve"> </w:t>
      </w:r>
      <w:r w:rsidR="00B546AF">
        <w:t>« </w:t>
      </w:r>
      <w:r>
        <w:t>L’image,</w:t>
      </w:r>
      <w:r w:rsidRPr="002C4077">
        <w:t xml:space="preserve"> </w:t>
      </w:r>
      <w:r>
        <w:t>écrit-il</w:t>
      </w:r>
      <w:r w:rsidRPr="004440EA">
        <w:t xml:space="preserve"> (</w:t>
      </w:r>
      <w:r>
        <w:t>l’image</w:t>
      </w:r>
      <w:r w:rsidRPr="002C4077">
        <w:t xml:space="preserve"> </w:t>
      </w:r>
      <w:r>
        <w:t>de</w:t>
      </w:r>
      <w:r w:rsidRPr="002C4077">
        <w:t xml:space="preserve"> </w:t>
      </w:r>
      <w:r w:rsidR="00D40830" w:rsidRPr="00D40830">
        <w:t>l’</w:t>
      </w:r>
      <w:r w:rsidR="00D40830" w:rsidRPr="00D05EA9">
        <w:rPr>
          <w:rStyle w:val="italicus"/>
        </w:rPr>
        <w:t>῾almah</w:t>
      </w:r>
      <w:r w:rsidRPr="002C4077">
        <w:t xml:space="preserve"> </w:t>
      </w:r>
      <w:r>
        <w:t>et</w:t>
      </w:r>
      <w:r w:rsidRPr="002C4077">
        <w:t xml:space="preserve"> </w:t>
      </w:r>
      <w:r>
        <w:t>de</w:t>
      </w:r>
      <w:r w:rsidRPr="002C4077">
        <w:t xml:space="preserve"> </w:t>
      </w:r>
      <w:r>
        <w:t>son</w:t>
      </w:r>
      <w:r w:rsidRPr="002C4077">
        <w:t xml:space="preserve"> </w:t>
      </w:r>
      <w:r>
        <w:t>fils</w:t>
      </w:r>
      <w:r w:rsidR="00B546AF" w:rsidRPr="002C4077">
        <w:t>)</w:t>
      </w:r>
      <w:r w:rsidRPr="00950016">
        <w:t>,</w:t>
      </w:r>
      <w:r w:rsidRPr="002C4077">
        <w:t xml:space="preserve"> </w:t>
      </w:r>
      <w:r w:rsidR="00425C50">
        <w:t>est</w:t>
      </w:r>
      <w:r w:rsidRPr="002C4077">
        <w:t xml:space="preserve"> </w:t>
      </w:r>
      <w:r>
        <w:t>simplement</w:t>
      </w:r>
      <w:r w:rsidRPr="002C4077">
        <w:t xml:space="preserve"> </w:t>
      </w:r>
      <w:r>
        <w:t>une</w:t>
      </w:r>
      <w:r w:rsidRPr="002C4077">
        <w:t xml:space="preserve"> </w:t>
      </w:r>
      <w:r>
        <w:t>façon</w:t>
      </w:r>
      <w:r w:rsidRPr="002C4077">
        <w:t xml:space="preserve"> </w:t>
      </w:r>
      <w:r>
        <w:t>concrète</w:t>
      </w:r>
      <w:r w:rsidRPr="002C4077">
        <w:t xml:space="preserve"> </w:t>
      </w:r>
      <w:r>
        <w:t>de</w:t>
      </w:r>
      <w:r w:rsidRPr="002C4077">
        <w:t xml:space="preserve"> </w:t>
      </w:r>
      <w:r>
        <w:t>rendre</w:t>
      </w:r>
      <w:r w:rsidRPr="002C4077">
        <w:t xml:space="preserve"> </w:t>
      </w:r>
      <w:r>
        <w:t>la</w:t>
      </w:r>
      <w:r w:rsidRPr="002C4077">
        <w:t xml:space="preserve"> </w:t>
      </w:r>
      <w:r>
        <w:t>phrase</w:t>
      </w:r>
      <w:r w:rsidRPr="002C4077">
        <w:t xml:space="preserve"> </w:t>
      </w:r>
      <w:r>
        <w:t>plus</w:t>
      </w:r>
      <w:r w:rsidRPr="002C4077">
        <w:t xml:space="preserve"> </w:t>
      </w:r>
      <w:r>
        <w:t>pittoresque</w:t>
      </w:r>
      <w:r w:rsidRPr="002C4077">
        <w:t xml:space="preserve"> </w:t>
      </w:r>
      <w:r>
        <w:t>et</w:t>
      </w:r>
      <w:r w:rsidRPr="002C4077">
        <w:t xml:space="preserve"> </w:t>
      </w:r>
      <w:r>
        <w:t>plus</w:t>
      </w:r>
      <w:r w:rsidRPr="002C4077">
        <w:t xml:space="preserve"> </w:t>
      </w:r>
      <w:r>
        <w:t>capable</w:t>
      </w:r>
      <w:r w:rsidRPr="002C4077">
        <w:t xml:space="preserve"> </w:t>
      </w:r>
      <w:r>
        <w:t>de</w:t>
      </w:r>
      <w:r w:rsidRPr="002C4077">
        <w:t xml:space="preserve"> </w:t>
      </w:r>
      <w:r>
        <w:t>faire</w:t>
      </w:r>
      <w:r w:rsidRPr="002C4077">
        <w:t xml:space="preserve"> </w:t>
      </w:r>
      <w:r>
        <w:t>impression.</w:t>
      </w:r>
      <w:r w:rsidRPr="002C4077">
        <w:t xml:space="preserve"> </w:t>
      </w:r>
      <w:r>
        <w:t>Le</w:t>
      </w:r>
      <w:r w:rsidRPr="002C4077">
        <w:t xml:space="preserve"> </w:t>
      </w:r>
      <w:r>
        <w:t>prophète</w:t>
      </w:r>
      <w:r w:rsidRPr="002C4077">
        <w:t xml:space="preserve"> </w:t>
      </w:r>
      <w:r>
        <w:t>aurait</w:t>
      </w:r>
      <w:r w:rsidRPr="002C4077">
        <w:t xml:space="preserve"> </w:t>
      </w:r>
      <w:r>
        <w:t>pu</w:t>
      </w:r>
      <w:r w:rsidRPr="002C4077">
        <w:t xml:space="preserve"> </w:t>
      </w:r>
      <w:r>
        <w:t>dire</w:t>
      </w:r>
      <w:r w:rsidRPr="002C4077">
        <w:t xml:space="preserve"> </w:t>
      </w:r>
      <w:r>
        <w:t>tout</w:t>
      </w:r>
      <w:r w:rsidRPr="002C4077">
        <w:t xml:space="preserve"> </w:t>
      </w:r>
      <w:r>
        <w:t>aussi</w:t>
      </w:r>
      <w:r w:rsidRPr="002C4077">
        <w:t xml:space="preserve"> </w:t>
      </w:r>
      <w:r>
        <w:t>bien,</w:t>
      </w:r>
      <w:r w:rsidRPr="002C4077">
        <w:t xml:space="preserve"> </w:t>
      </w:r>
      <w:r>
        <w:t>quoique</w:t>
      </w:r>
      <w:r w:rsidRPr="002C4077">
        <w:t xml:space="preserve"> </w:t>
      </w:r>
      <w:r>
        <w:t>avec</w:t>
      </w:r>
      <w:r w:rsidRPr="002C4077">
        <w:t xml:space="preserve"> </w:t>
      </w:r>
      <w:r>
        <w:t>moins</w:t>
      </w:r>
      <w:r w:rsidRPr="002C4077">
        <w:t xml:space="preserve"> </w:t>
      </w:r>
      <w:r>
        <w:t>d’énergie</w:t>
      </w:r>
      <w:r w:rsidR="00B546AF">
        <w:t> :</w:t>
      </w:r>
      <w:r w:rsidRPr="002C4077">
        <w:t xml:space="preserve"> </w:t>
      </w:r>
      <w:r>
        <w:t>Voici</w:t>
      </w:r>
      <w:r w:rsidR="00B546AF">
        <w:t> !</w:t>
      </w:r>
      <w:r w:rsidRPr="002C4077">
        <w:t xml:space="preserve"> </w:t>
      </w:r>
      <w:r>
        <w:t>le</w:t>
      </w:r>
      <w:r w:rsidRPr="002C4077">
        <w:t xml:space="preserve"> </w:t>
      </w:r>
      <w:r>
        <w:t>figuier</w:t>
      </w:r>
      <w:r w:rsidRPr="002C4077">
        <w:t xml:space="preserve"> </w:t>
      </w:r>
      <w:r>
        <w:t>fleurit,</w:t>
      </w:r>
      <w:r w:rsidRPr="002C4077">
        <w:t xml:space="preserve"> </w:t>
      </w:r>
      <w:r>
        <w:t>il</w:t>
      </w:r>
      <w:r w:rsidRPr="002C4077">
        <w:t xml:space="preserve"> </w:t>
      </w:r>
      <w:r>
        <w:t>portera</w:t>
      </w:r>
      <w:r w:rsidRPr="002C4077">
        <w:t xml:space="preserve"> </w:t>
      </w:r>
      <w:r>
        <w:t>des</w:t>
      </w:r>
      <w:r w:rsidRPr="002C4077">
        <w:t xml:space="preserve"> </w:t>
      </w:r>
      <w:r>
        <w:t>fruits,</w:t>
      </w:r>
      <w:r w:rsidRPr="002C4077">
        <w:t xml:space="preserve"> </w:t>
      </w:r>
      <w:r>
        <w:t>—</w:t>
      </w:r>
      <w:r w:rsidRPr="002C4077">
        <w:t xml:space="preserve"> </w:t>
      </w:r>
      <w:r>
        <w:t>et</w:t>
      </w:r>
      <w:r w:rsidRPr="002C4077">
        <w:t xml:space="preserve"> </w:t>
      </w:r>
      <w:r>
        <w:t>alors</w:t>
      </w:r>
      <w:r w:rsidRPr="002C4077">
        <w:t xml:space="preserve"> </w:t>
      </w:r>
      <w:r>
        <w:t>on</w:t>
      </w:r>
      <w:r w:rsidRPr="002C4077">
        <w:t xml:space="preserve"> </w:t>
      </w:r>
      <w:r>
        <w:t>pourra</w:t>
      </w:r>
      <w:r w:rsidRPr="002C4077">
        <w:t xml:space="preserve"> </w:t>
      </w:r>
      <w:r>
        <w:t>dire</w:t>
      </w:r>
      <w:r w:rsidR="00B546AF">
        <w:t> :</w:t>
      </w:r>
      <w:r w:rsidRPr="002C4077">
        <w:t xml:space="preserve"> </w:t>
      </w:r>
      <w:r>
        <w:t>Dieu</w:t>
      </w:r>
      <w:r w:rsidRPr="002C4077">
        <w:t xml:space="preserve"> </w:t>
      </w:r>
      <w:r>
        <w:t>avec</w:t>
      </w:r>
      <w:r w:rsidRPr="002C4077">
        <w:t xml:space="preserve"> </w:t>
      </w:r>
      <w:r>
        <w:t>nous</w:t>
      </w:r>
      <w:r w:rsidR="00B546AF">
        <w:t> !</w:t>
      </w:r>
      <w:r w:rsidR="00B91AF7">
        <w:rPr>
          <w:rStyle w:val="Appelnotedebasdep"/>
        </w:rPr>
        <w:footnoteReference w:id="132"/>
      </w:r>
      <w:r w:rsidR="00B546AF">
        <w:t> »</w:t>
      </w:r>
      <w:r w:rsidRPr="002C4077">
        <w:t xml:space="preserve"> </w:t>
      </w:r>
      <w:r>
        <w:t>Il</w:t>
      </w:r>
      <w:r w:rsidRPr="002C4077">
        <w:t xml:space="preserve"> </w:t>
      </w:r>
      <w:r>
        <w:t>y</w:t>
      </w:r>
      <w:r w:rsidRPr="002C4077">
        <w:t xml:space="preserve"> </w:t>
      </w:r>
      <w:r>
        <w:t>a</w:t>
      </w:r>
      <w:r w:rsidRPr="002C4077">
        <w:t xml:space="preserve"> </w:t>
      </w:r>
      <w:r>
        <w:t>pourtant</w:t>
      </w:r>
      <w:r w:rsidRPr="002C4077">
        <w:t xml:space="preserve"> </w:t>
      </w:r>
      <w:r>
        <w:t>à</w:t>
      </w:r>
      <w:r w:rsidRPr="002C4077">
        <w:t xml:space="preserve"> </w:t>
      </w:r>
      <w:r>
        <w:t>cela</w:t>
      </w:r>
      <w:r w:rsidRPr="002C4077">
        <w:t xml:space="preserve"> </w:t>
      </w:r>
      <w:r>
        <w:t>une</w:t>
      </w:r>
      <w:r w:rsidRPr="002C4077">
        <w:t xml:space="preserve"> </w:t>
      </w:r>
      <w:r>
        <w:t>petite</w:t>
      </w:r>
      <w:r w:rsidRPr="002C4077">
        <w:t xml:space="preserve"> </w:t>
      </w:r>
      <w:r>
        <w:t>objection,</w:t>
      </w:r>
      <w:r w:rsidRPr="002C4077">
        <w:t xml:space="preserve"> </w:t>
      </w:r>
      <w:r>
        <w:t>c’est</w:t>
      </w:r>
      <w:r w:rsidRPr="002C4077">
        <w:t xml:space="preserve"> </w:t>
      </w:r>
      <w:r>
        <w:t>que</w:t>
      </w:r>
      <w:r w:rsidRPr="002C4077">
        <w:t xml:space="preserve"> </w:t>
      </w:r>
      <w:r>
        <w:t>le</w:t>
      </w:r>
      <w:r w:rsidRPr="002C4077">
        <w:t xml:space="preserve"> </w:t>
      </w:r>
      <w:r>
        <w:t>texte</w:t>
      </w:r>
      <w:r w:rsidRPr="002C4077">
        <w:t xml:space="preserve"> </w:t>
      </w:r>
      <w:r>
        <w:t>ne</w:t>
      </w:r>
      <w:r w:rsidRPr="002C4077">
        <w:t xml:space="preserve"> </w:t>
      </w:r>
      <w:r>
        <w:t>se</w:t>
      </w:r>
      <w:r w:rsidRPr="002C4077">
        <w:t xml:space="preserve"> </w:t>
      </w:r>
      <w:r>
        <w:t>prête</w:t>
      </w:r>
      <w:r w:rsidRPr="002C4077">
        <w:t xml:space="preserve"> </w:t>
      </w:r>
      <w:r>
        <w:t>guère</w:t>
      </w:r>
      <w:r w:rsidRPr="002C4077">
        <w:t xml:space="preserve"> </w:t>
      </w:r>
      <w:r>
        <w:t>à</w:t>
      </w:r>
      <w:r w:rsidRPr="002C4077">
        <w:t xml:space="preserve"> </w:t>
      </w:r>
      <w:r>
        <w:t>un</w:t>
      </w:r>
      <w:r w:rsidRPr="002C4077">
        <w:t xml:space="preserve"> </w:t>
      </w:r>
      <w:r>
        <w:t>tel</w:t>
      </w:r>
      <w:r w:rsidRPr="002C4077">
        <w:t xml:space="preserve"> </w:t>
      </w:r>
      <w:r>
        <w:t>procédé</w:t>
      </w:r>
      <w:r w:rsidRPr="002C4077">
        <w:t xml:space="preserve"> </w:t>
      </w:r>
      <w:r>
        <w:t>de</w:t>
      </w:r>
      <w:r w:rsidRPr="002C4077">
        <w:t xml:space="preserve"> </w:t>
      </w:r>
      <w:r>
        <w:t>généralisation.</w:t>
      </w:r>
      <w:r w:rsidRPr="002C4077">
        <w:t xml:space="preserve"> </w:t>
      </w:r>
      <w:r>
        <w:t>Mais</w:t>
      </w:r>
      <w:r w:rsidRPr="002C4077">
        <w:t xml:space="preserve"> </w:t>
      </w:r>
      <w:r>
        <w:t>qu’importe</w:t>
      </w:r>
      <w:r w:rsidRPr="002C4077">
        <w:t xml:space="preserve"> </w:t>
      </w:r>
      <w:r>
        <w:t>le</w:t>
      </w:r>
      <w:r w:rsidRPr="002C4077">
        <w:t xml:space="preserve"> </w:t>
      </w:r>
      <w:r>
        <w:t>texte</w:t>
      </w:r>
      <w:r w:rsidR="00B546AF">
        <w:t> ?</w:t>
      </w:r>
      <w:r w:rsidRPr="002C4077">
        <w:t xml:space="preserve"> </w:t>
      </w:r>
      <w:r>
        <w:t>On</w:t>
      </w:r>
      <w:r w:rsidRPr="002C4077">
        <w:t xml:space="preserve"> </w:t>
      </w:r>
      <w:r>
        <w:t>essaiera</w:t>
      </w:r>
      <w:r w:rsidRPr="002C4077">
        <w:t xml:space="preserve"> </w:t>
      </w:r>
      <w:r>
        <w:t>d’échapper</w:t>
      </w:r>
      <w:r w:rsidRPr="002C4077">
        <w:t xml:space="preserve"> </w:t>
      </w:r>
      <w:r>
        <w:t>à</w:t>
      </w:r>
      <w:r w:rsidRPr="002C4077">
        <w:t xml:space="preserve"> </w:t>
      </w:r>
      <w:r>
        <w:t>ses</w:t>
      </w:r>
      <w:r w:rsidRPr="002C4077">
        <w:t xml:space="preserve"> </w:t>
      </w:r>
      <w:r>
        <w:t>exigences</w:t>
      </w:r>
      <w:r w:rsidRPr="002C4077">
        <w:t xml:space="preserve"> </w:t>
      </w:r>
      <w:r>
        <w:t>par</w:t>
      </w:r>
      <w:r w:rsidRPr="002C4077">
        <w:t xml:space="preserve"> </w:t>
      </w:r>
      <w:r>
        <w:t>un</w:t>
      </w:r>
      <w:r w:rsidRPr="002C4077">
        <w:t xml:space="preserve"> </w:t>
      </w:r>
      <w:r>
        <w:t>tour</w:t>
      </w:r>
      <w:r w:rsidRPr="002C4077">
        <w:t xml:space="preserve"> </w:t>
      </w:r>
      <w:r>
        <w:t>de</w:t>
      </w:r>
      <w:r w:rsidRPr="002C4077">
        <w:t xml:space="preserve"> </w:t>
      </w:r>
      <w:r>
        <w:lastRenderedPageBreak/>
        <w:t>prestidigitation.</w:t>
      </w:r>
      <w:r w:rsidRPr="002C4077">
        <w:t xml:space="preserve"> </w:t>
      </w:r>
      <w:r w:rsidR="00B546AF">
        <w:t>« </w:t>
      </w:r>
      <w:r>
        <w:t>Au</w:t>
      </w:r>
      <w:r w:rsidRPr="002C4077">
        <w:t xml:space="preserve"> </w:t>
      </w:r>
      <w:r>
        <w:t>lieu</w:t>
      </w:r>
      <w:r w:rsidRPr="002C4077">
        <w:t xml:space="preserve"> </w:t>
      </w:r>
      <w:r>
        <w:t>de</w:t>
      </w:r>
      <w:r w:rsidRPr="002C4077">
        <w:t xml:space="preserve"> </w:t>
      </w:r>
      <w:r>
        <w:t>dire</w:t>
      </w:r>
      <w:r w:rsidRPr="002C4077">
        <w:t xml:space="preserve"> </w:t>
      </w:r>
      <w:r>
        <w:t>banalement</w:t>
      </w:r>
      <w:r w:rsidR="00B546AF">
        <w:t> :</w:t>
      </w:r>
      <w:r w:rsidRPr="002C4077">
        <w:t xml:space="preserve"> </w:t>
      </w:r>
      <w:r>
        <w:t>Si</w:t>
      </w:r>
      <w:r w:rsidRPr="002C4077">
        <w:t xml:space="preserve"> </w:t>
      </w:r>
      <w:r>
        <w:t>une</w:t>
      </w:r>
      <w:r w:rsidRPr="002C4077">
        <w:t xml:space="preserve"> </w:t>
      </w:r>
      <w:r>
        <w:t>jeune</w:t>
      </w:r>
      <w:r w:rsidRPr="002C4077">
        <w:t xml:space="preserve"> </w:t>
      </w:r>
      <w:r>
        <w:t>fille</w:t>
      </w:r>
      <w:r w:rsidRPr="002C4077">
        <w:t xml:space="preserve"> </w:t>
      </w:r>
      <w:r>
        <w:t>se</w:t>
      </w:r>
      <w:r w:rsidRPr="002C4077">
        <w:t xml:space="preserve"> </w:t>
      </w:r>
      <w:r>
        <w:t>mariait</w:t>
      </w:r>
      <w:r w:rsidRPr="002C4077">
        <w:t xml:space="preserve"> </w:t>
      </w:r>
      <w:r>
        <w:t>et</w:t>
      </w:r>
      <w:r w:rsidRPr="002C4077">
        <w:t xml:space="preserve"> </w:t>
      </w:r>
      <w:r>
        <w:t>devenait</w:t>
      </w:r>
      <w:r w:rsidRPr="002C4077">
        <w:t xml:space="preserve"> </w:t>
      </w:r>
      <w:r>
        <w:t>grosse,</w:t>
      </w:r>
      <w:r w:rsidRPr="002C4077">
        <w:t xml:space="preserve"> </w:t>
      </w:r>
      <w:r>
        <w:t>le</w:t>
      </w:r>
      <w:r w:rsidRPr="002C4077">
        <w:t xml:space="preserve"> </w:t>
      </w:r>
      <w:r w:rsidR="00425C50">
        <w:t>poéti</w:t>
      </w:r>
      <w:r>
        <w:t>que</w:t>
      </w:r>
      <w:r w:rsidRPr="002C4077">
        <w:t xml:space="preserve"> </w:t>
      </w:r>
      <w:r>
        <w:t>prophète,</w:t>
      </w:r>
      <w:r w:rsidRPr="002C4077">
        <w:t xml:space="preserve"> </w:t>
      </w:r>
      <w:r>
        <w:t>pour</w:t>
      </w:r>
      <w:r w:rsidRPr="002C4077">
        <w:t xml:space="preserve"> </w:t>
      </w:r>
      <w:r>
        <w:t>rendre</w:t>
      </w:r>
      <w:r w:rsidRPr="002C4077">
        <w:t xml:space="preserve"> </w:t>
      </w:r>
      <w:r>
        <w:t>son</w:t>
      </w:r>
      <w:r w:rsidRPr="002C4077">
        <w:t xml:space="preserve"> </w:t>
      </w:r>
      <w:r>
        <w:t>discours</w:t>
      </w:r>
      <w:r w:rsidRPr="002C4077">
        <w:t xml:space="preserve"> </w:t>
      </w:r>
      <w:r>
        <w:t>plus</w:t>
      </w:r>
      <w:r w:rsidRPr="002C4077">
        <w:t xml:space="preserve"> </w:t>
      </w:r>
      <w:r>
        <w:t>frappant</w:t>
      </w:r>
      <w:r w:rsidRPr="002C4077">
        <w:t xml:space="preserve"> </w:t>
      </w:r>
      <w:r>
        <w:t>et</w:t>
      </w:r>
      <w:r w:rsidRPr="002C4077">
        <w:t xml:space="preserve"> </w:t>
      </w:r>
      <w:r>
        <w:t>plus</w:t>
      </w:r>
      <w:r w:rsidRPr="002C4077">
        <w:t xml:space="preserve"> </w:t>
      </w:r>
      <w:r>
        <w:t>mystérieux,</w:t>
      </w:r>
      <w:r w:rsidRPr="002C4077">
        <w:t xml:space="preserve"> </w:t>
      </w:r>
      <w:r>
        <w:t>omet</w:t>
      </w:r>
      <w:r w:rsidRPr="002C4077">
        <w:t xml:space="preserve"> </w:t>
      </w:r>
      <w:r>
        <w:t>la</w:t>
      </w:r>
      <w:r w:rsidRPr="002C4077">
        <w:t xml:space="preserve"> </w:t>
      </w:r>
      <w:r>
        <w:t>circonstance</w:t>
      </w:r>
      <w:r w:rsidRPr="002C4077">
        <w:t xml:space="preserve"> </w:t>
      </w:r>
      <w:r>
        <w:t>préliminaire</w:t>
      </w:r>
      <w:r w:rsidRPr="002C4077">
        <w:t xml:space="preserve"> </w:t>
      </w:r>
      <w:r>
        <w:t>et</w:t>
      </w:r>
      <w:r w:rsidRPr="002C4077">
        <w:t xml:space="preserve"> </w:t>
      </w:r>
      <w:r>
        <w:t>dit</w:t>
      </w:r>
      <w:r w:rsidR="00B546AF">
        <w:t> :</w:t>
      </w:r>
      <w:r w:rsidRPr="002C4077">
        <w:t xml:space="preserve"> </w:t>
      </w:r>
      <w:r>
        <w:t>Si</w:t>
      </w:r>
      <w:r w:rsidRPr="002C4077">
        <w:t xml:space="preserve"> </w:t>
      </w:r>
      <w:r>
        <w:t>la</w:t>
      </w:r>
      <w:r w:rsidRPr="002C4077">
        <w:t xml:space="preserve"> </w:t>
      </w:r>
      <w:r>
        <w:t>jeune</w:t>
      </w:r>
      <w:r w:rsidRPr="002C4077">
        <w:t xml:space="preserve"> </w:t>
      </w:r>
      <w:r>
        <w:t>fille</w:t>
      </w:r>
      <w:r w:rsidRPr="002C4077">
        <w:t xml:space="preserve"> </w:t>
      </w:r>
      <w:r>
        <w:t>devient</w:t>
      </w:r>
      <w:r w:rsidRPr="002C4077">
        <w:t xml:space="preserve"> </w:t>
      </w:r>
      <w:r>
        <w:t>grosse,</w:t>
      </w:r>
      <w:r w:rsidRPr="002C4077">
        <w:t xml:space="preserve"> </w:t>
      </w:r>
      <w:r>
        <w:t>ou</w:t>
      </w:r>
      <w:r w:rsidRPr="002C4077">
        <w:t xml:space="preserve"> </w:t>
      </w:r>
      <w:r>
        <w:t>bien</w:t>
      </w:r>
      <w:r w:rsidRPr="002C4077">
        <w:t xml:space="preserve"> </w:t>
      </w:r>
      <w:r>
        <w:t>en</w:t>
      </w:r>
      <w:r w:rsidRPr="002C4077">
        <w:t xml:space="preserve"> </w:t>
      </w:r>
      <w:r>
        <w:t>termes</w:t>
      </w:r>
      <w:r w:rsidRPr="002C4077">
        <w:t xml:space="preserve"> </w:t>
      </w:r>
      <w:r>
        <w:t>affirmatifs,</w:t>
      </w:r>
      <w:r w:rsidRPr="002C4077">
        <w:t xml:space="preserve"> </w:t>
      </w:r>
      <w:r>
        <w:t>mais</w:t>
      </w:r>
      <w:r w:rsidRPr="002C4077">
        <w:t xml:space="preserve"> </w:t>
      </w:r>
      <w:r>
        <w:t>dans</w:t>
      </w:r>
      <w:r w:rsidRPr="002C4077">
        <w:t xml:space="preserve"> </w:t>
      </w:r>
      <w:r>
        <w:t>le</w:t>
      </w:r>
      <w:r w:rsidRPr="002C4077">
        <w:t xml:space="preserve"> </w:t>
      </w:r>
      <w:r>
        <w:t>même</w:t>
      </w:r>
      <w:r w:rsidRPr="002C4077">
        <w:t xml:space="preserve"> </w:t>
      </w:r>
      <w:r>
        <w:t>sens</w:t>
      </w:r>
      <w:r w:rsidR="00B546AF">
        <w:t> :</w:t>
      </w:r>
      <w:r w:rsidRPr="002C4077">
        <w:t xml:space="preserve"> </w:t>
      </w:r>
      <w:r>
        <w:t>Voici</w:t>
      </w:r>
      <w:r w:rsidR="00B546AF">
        <w:t> !</w:t>
      </w:r>
      <w:r w:rsidRPr="002C4077">
        <w:t xml:space="preserve"> </w:t>
      </w:r>
      <w:r>
        <w:t>cette</w:t>
      </w:r>
      <w:r w:rsidRPr="002C4077">
        <w:t xml:space="preserve"> </w:t>
      </w:r>
      <w:r>
        <w:t>jeune</w:t>
      </w:r>
      <w:r w:rsidRPr="002C4077">
        <w:t xml:space="preserve"> </w:t>
      </w:r>
      <w:r>
        <w:t>fille</w:t>
      </w:r>
      <w:r w:rsidRPr="002C4077">
        <w:t xml:space="preserve"> </w:t>
      </w:r>
      <w:r>
        <w:t>devient</w:t>
      </w:r>
      <w:r w:rsidRPr="002C4077">
        <w:t xml:space="preserve"> </w:t>
      </w:r>
      <w:r>
        <w:t>grosse</w:t>
      </w:r>
      <w:r w:rsidR="008D184D">
        <w:rPr>
          <w:rStyle w:val="Appelnotedebasdep"/>
        </w:rPr>
        <w:footnoteReference w:id="133"/>
      </w:r>
      <w:r w:rsidR="00B546AF">
        <w:t> »</w:t>
      </w:r>
      <w:r>
        <w:t>.</w:t>
      </w:r>
      <w:r w:rsidRPr="002C4077">
        <w:t xml:space="preserve"> </w:t>
      </w:r>
      <w:r>
        <w:t>On</w:t>
      </w:r>
      <w:r w:rsidRPr="002C4077">
        <w:t xml:space="preserve"> </w:t>
      </w:r>
      <w:r>
        <w:t>comprend</w:t>
      </w:r>
      <w:r w:rsidRPr="002C4077">
        <w:t xml:space="preserve"> </w:t>
      </w:r>
      <w:r>
        <w:t>à</w:t>
      </w:r>
      <w:r w:rsidRPr="002C4077">
        <w:t xml:space="preserve"> </w:t>
      </w:r>
      <w:r>
        <w:t>peine,</w:t>
      </w:r>
      <w:r w:rsidRPr="002C4077">
        <w:t xml:space="preserve"> </w:t>
      </w:r>
      <w:r>
        <w:t>répondrons-nous</w:t>
      </w:r>
      <w:r w:rsidRPr="002C4077">
        <w:t xml:space="preserve"> </w:t>
      </w:r>
      <w:r>
        <w:t>avec</w:t>
      </w:r>
      <w:r w:rsidRPr="002C4077">
        <w:t xml:space="preserve"> </w:t>
      </w:r>
      <w:r>
        <w:t>M.</w:t>
      </w:r>
      <w:r w:rsidRPr="002C4077">
        <w:t xml:space="preserve"> </w:t>
      </w:r>
      <w:r>
        <w:t>Reinke</w:t>
      </w:r>
      <w:r w:rsidR="00B91AF7">
        <w:rPr>
          <w:rStyle w:val="Appelnotedebasdep"/>
        </w:rPr>
        <w:footnoteReference w:id="134"/>
      </w:r>
      <w:r>
        <w:t>,</w:t>
      </w:r>
      <w:r w:rsidRPr="002C4077">
        <w:t xml:space="preserve"> </w:t>
      </w:r>
      <w:r>
        <w:t>que</w:t>
      </w:r>
      <w:r w:rsidRPr="002C4077">
        <w:t xml:space="preserve"> </w:t>
      </w:r>
      <w:r>
        <w:t>des</w:t>
      </w:r>
      <w:r w:rsidRPr="002C4077">
        <w:t xml:space="preserve"> </w:t>
      </w:r>
      <w:r>
        <w:t>savants</w:t>
      </w:r>
      <w:r w:rsidRPr="004440EA">
        <w:t xml:space="preserve"> (</w:t>
      </w:r>
      <w:r w:rsidR="00B546AF">
        <w:t> ? ?</w:t>
      </w:r>
      <w:r w:rsidR="00B546AF" w:rsidRPr="002C4077">
        <w:t>)</w:t>
      </w:r>
      <w:r w:rsidRPr="002C4077">
        <w:t xml:space="preserve"> </w:t>
      </w:r>
      <w:r>
        <w:t>aient</w:t>
      </w:r>
      <w:r w:rsidRPr="002C4077">
        <w:t xml:space="preserve"> </w:t>
      </w:r>
      <w:r>
        <w:t>pu</w:t>
      </w:r>
      <w:r w:rsidRPr="002C4077">
        <w:t xml:space="preserve"> </w:t>
      </w:r>
      <w:r>
        <w:t>imaginer</w:t>
      </w:r>
      <w:r w:rsidRPr="002C4077">
        <w:t xml:space="preserve"> </w:t>
      </w:r>
      <w:r>
        <w:t>une</w:t>
      </w:r>
      <w:r w:rsidRPr="002C4077">
        <w:t xml:space="preserve"> </w:t>
      </w:r>
      <w:r>
        <w:t>interprétation</w:t>
      </w:r>
      <w:r w:rsidRPr="002C4077">
        <w:t xml:space="preserve"> </w:t>
      </w:r>
      <w:r>
        <w:t>aussi</w:t>
      </w:r>
      <w:r w:rsidRPr="002C4077">
        <w:t xml:space="preserve"> </w:t>
      </w:r>
      <w:r>
        <w:t>ridicule.</w:t>
      </w:r>
      <w:r w:rsidRPr="002C4077">
        <w:t xml:space="preserve"> </w:t>
      </w:r>
      <w:r>
        <w:t>Isaïe</w:t>
      </w:r>
      <w:r w:rsidRPr="002C4077">
        <w:t xml:space="preserve"> </w:t>
      </w:r>
      <w:r>
        <w:t>ne</w:t>
      </w:r>
      <w:r w:rsidRPr="002C4077">
        <w:t xml:space="preserve"> </w:t>
      </w:r>
      <w:r>
        <w:t>parle-t-il</w:t>
      </w:r>
      <w:r w:rsidRPr="002C4077">
        <w:t xml:space="preserve"> </w:t>
      </w:r>
      <w:r>
        <w:t>pas</w:t>
      </w:r>
      <w:r w:rsidRPr="002C4077">
        <w:t xml:space="preserve"> </w:t>
      </w:r>
      <w:r>
        <w:t>ici</w:t>
      </w:r>
      <w:r w:rsidRPr="002C4077">
        <w:t xml:space="preserve"> </w:t>
      </w:r>
      <w:r>
        <w:t>de</w:t>
      </w:r>
      <w:r w:rsidRPr="002C4077">
        <w:t xml:space="preserve"> </w:t>
      </w:r>
      <w:r>
        <w:t>la</w:t>
      </w:r>
      <w:r w:rsidRPr="002C4077">
        <w:t xml:space="preserve"> </w:t>
      </w:r>
      <w:r>
        <w:t>façon</w:t>
      </w:r>
      <w:r w:rsidRPr="002C4077">
        <w:t xml:space="preserve"> </w:t>
      </w:r>
      <w:r>
        <w:t>la</w:t>
      </w:r>
      <w:r w:rsidRPr="002C4077">
        <w:t xml:space="preserve"> </w:t>
      </w:r>
      <w:r>
        <w:t>plus</w:t>
      </w:r>
      <w:r w:rsidRPr="002C4077">
        <w:t xml:space="preserve"> </w:t>
      </w:r>
      <w:r>
        <w:t>catégorique</w:t>
      </w:r>
      <w:r w:rsidR="00B546AF">
        <w:t> ?</w:t>
      </w:r>
      <w:r w:rsidRPr="002C4077">
        <w:t xml:space="preserve"> </w:t>
      </w:r>
      <w:r>
        <w:t>Ges</w:t>
      </w:r>
      <w:r w:rsidR="003B53FD">
        <w:t>énius</w:t>
      </w:r>
      <w:r w:rsidRPr="002C4077">
        <w:t xml:space="preserve"> </w:t>
      </w:r>
      <w:r>
        <w:t>lui-même</w:t>
      </w:r>
      <w:r w:rsidRPr="002C4077">
        <w:t xml:space="preserve"> </w:t>
      </w:r>
      <w:r>
        <w:t>proteste,</w:t>
      </w:r>
      <w:r w:rsidRPr="002C4077">
        <w:t xml:space="preserve"> </w:t>
      </w:r>
      <w:r>
        <w:t>en</w:t>
      </w:r>
      <w:r w:rsidRPr="002C4077">
        <w:t xml:space="preserve"> </w:t>
      </w:r>
      <w:r>
        <w:t>affirmant</w:t>
      </w:r>
      <w:r w:rsidRPr="002C4077">
        <w:t xml:space="preserve"> </w:t>
      </w:r>
      <w:r>
        <w:t>que</w:t>
      </w:r>
      <w:r w:rsidRPr="002C4077">
        <w:t xml:space="preserve"> </w:t>
      </w:r>
      <w:r w:rsidR="00B546AF">
        <w:t>« </w:t>
      </w:r>
      <w:r>
        <w:t>de</w:t>
      </w:r>
      <w:r w:rsidRPr="002C4077">
        <w:t xml:space="preserve"> </w:t>
      </w:r>
      <w:r>
        <w:t>telles</w:t>
      </w:r>
      <w:r w:rsidRPr="002C4077">
        <w:t xml:space="preserve"> </w:t>
      </w:r>
      <w:r>
        <w:t>prédictions</w:t>
      </w:r>
      <w:r w:rsidRPr="002C4077">
        <w:t xml:space="preserve"> </w:t>
      </w:r>
      <w:r>
        <w:t>hypothétiques</w:t>
      </w:r>
      <w:r w:rsidRPr="002C4077">
        <w:t xml:space="preserve"> </w:t>
      </w:r>
      <w:r>
        <w:t>sont</w:t>
      </w:r>
      <w:r w:rsidRPr="002C4077">
        <w:t xml:space="preserve"> </w:t>
      </w:r>
      <w:r>
        <w:t>contraires</w:t>
      </w:r>
      <w:r w:rsidRPr="002C4077">
        <w:t xml:space="preserve"> </w:t>
      </w:r>
      <w:r>
        <w:t>au</w:t>
      </w:r>
      <w:r w:rsidRPr="002C4077">
        <w:t xml:space="preserve"> </w:t>
      </w:r>
      <w:r>
        <w:t>genre</w:t>
      </w:r>
      <w:r w:rsidRPr="002C4077">
        <w:t xml:space="preserve"> </w:t>
      </w:r>
      <w:r>
        <w:t>des</w:t>
      </w:r>
      <w:r w:rsidRPr="002C4077">
        <w:t xml:space="preserve"> </w:t>
      </w:r>
      <w:r>
        <w:t>prophètes</w:t>
      </w:r>
      <w:r w:rsidR="00B91AF7">
        <w:rPr>
          <w:rStyle w:val="Appelnotedebasdep"/>
        </w:rPr>
        <w:footnoteReference w:id="135"/>
      </w:r>
      <w:r w:rsidR="00B546AF">
        <w:t> »</w:t>
      </w:r>
      <w:r>
        <w:t>.</w:t>
      </w:r>
      <w:r w:rsidRPr="002C4077">
        <w:t xml:space="preserve"> </w:t>
      </w:r>
      <w:r>
        <w:t>En</w:t>
      </w:r>
      <w:r w:rsidRPr="002C4077">
        <w:t xml:space="preserve"> </w:t>
      </w:r>
      <w:r>
        <w:t>vérité</w:t>
      </w:r>
      <w:r w:rsidRPr="002C4077">
        <w:t xml:space="preserve"> </w:t>
      </w:r>
      <w:r w:rsidR="00B546AF">
        <w:t>« </w:t>
      </w:r>
      <w:r>
        <w:t>ce</w:t>
      </w:r>
      <w:r w:rsidRPr="002C4077">
        <w:t xml:space="preserve"> </w:t>
      </w:r>
      <w:r>
        <w:t>qu’il</w:t>
      </w:r>
      <w:r w:rsidRPr="002C4077">
        <w:t xml:space="preserve"> </w:t>
      </w:r>
      <w:r>
        <w:t>y</w:t>
      </w:r>
      <w:r w:rsidRPr="002C4077">
        <w:t xml:space="preserve"> </w:t>
      </w:r>
      <w:r>
        <w:t>a</w:t>
      </w:r>
      <w:r w:rsidRPr="002C4077">
        <w:t xml:space="preserve"> </w:t>
      </w:r>
      <w:r>
        <w:t>d’arbitraire</w:t>
      </w:r>
      <w:r w:rsidRPr="002C4077">
        <w:t xml:space="preserve"> </w:t>
      </w:r>
      <w:r>
        <w:t>dans</w:t>
      </w:r>
      <w:r w:rsidRPr="002C4077">
        <w:t xml:space="preserve"> </w:t>
      </w:r>
      <w:r>
        <w:t>cette</w:t>
      </w:r>
      <w:r w:rsidRPr="002C4077">
        <w:t xml:space="preserve"> </w:t>
      </w:r>
      <w:r>
        <w:t>explication</w:t>
      </w:r>
      <w:r w:rsidRPr="002C4077">
        <w:t xml:space="preserve"> </w:t>
      </w:r>
      <w:r>
        <w:t>saute</w:t>
      </w:r>
      <w:r w:rsidRPr="002C4077">
        <w:t xml:space="preserve"> </w:t>
      </w:r>
      <w:r>
        <w:t>aux</w:t>
      </w:r>
      <w:r w:rsidRPr="002C4077">
        <w:t xml:space="preserve"> </w:t>
      </w:r>
      <w:r>
        <w:t>yeux</w:t>
      </w:r>
      <w:r w:rsidR="00B91AF7">
        <w:rPr>
          <w:rStyle w:val="Appelnotedebasdep"/>
        </w:rPr>
        <w:footnoteReference w:id="136"/>
      </w:r>
      <w:r w:rsidR="00B546AF">
        <w:t> »</w:t>
      </w:r>
      <w:r>
        <w:t>.</w:t>
      </w:r>
      <w:r w:rsidR="00C45B47">
        <w:t xml:space="preserve"> {</w:t>
      </w:r>
      <w:r w:rsidR="000721C4">
        <w:t>48</w:t>
      </w:r>
      <w:bookmarkStart w:id="170" w:name="p048"/>
      <w:bookmarkEnd w:id="170"/>
      <w:r w:rsidR="000721C4">
        <w:t xml:space="preserve">} </w:t>
      </w:r>
    </w:p>
    <w:p w:rsidR="000A7AAB" w:rsidRDefault="000A7AAB" w:rsidP="000A7AAB">
      <w:r>
        <w:t>Pour</w:t>
      </w:r>
      <w:bookmarkStart w:id="171" w:name="z_AlmahPerso_o8"/>
      <w:bookmarkEnd w:id="171"/>
      <w:r w:rsidRPr="002C4077">
        <w:t xml:space="preserve"> </w:t>
      </w:r>
      <w:r>
        <w:t>Meier</w:t>
      </w:r>
      <w:r w:rsidRPr="002C4077">
        <w:t xml:space="preserve"> </w:t>
      </w:r>
      <w:r>
        <w:t>et</w:t>
      </w:r>
      <w:r w:rsidRPr="002C4077">
        <w:t xml:space="preserve"> </w:t>
      </w:r>
      <w:r>
        <w:t>pour</w:t>
      </w:r>
      <w:r w:rsidRPr="002C4077">
        <w:t xml:space="preserve"> </w:t>
      </w:r>
      <w:r>
        <w:t>Hofmann</w:t>
      </w:r>
      <w:r w:rsidRPr="002C4077">
        <w:t xml:space="preserve"> </w:t>
      </w:r>
      <w:r w:rsidR="00D40830" w:rsidRPr="00D40830">
        <w:t>l’</w:t>
      </w:r>
      <w:r w:rsidR="00D40830" w:rsidRPr="00D05EA9">
        <w:rPr>
          <w:rStyle w:val="italicus"/>
        </w:rPr>
        <w:t>῾almah</w:t>
      </w:r>
      <w:r w:rsidRPr="002C4077">
        <w:t xml:space="preserve"> </w:t>
      </w:r>
      <w:r>
        <w:t>d’Isaïe</w:t>
      </w:r>
      <w:r w:rsidRPr="002C4077">
        <w:t xml:space="preserve"> </w:t>
      </w:r>
      <w:r>
        <w:t>n’est</w:t>
      </w:r>
      <w:r w:rsidRPr="002C4077">
        <w:t xml:space="preserve"> </w:t>
      </w:r>
      <w:r>
        <w:t>qu’un</w:t>
      </w:r>
      <w:r w:rsidRPr="002C4077">
        <w:t xml:space="preserve"> </w:t>
      </w:r>
      <w:r>
        <w:t>symbole</w:t>
      </w:r>
      <w:r w:rsidR="00B546AF">
        <w:t> :</w:t>
      </w:r>
      <w:r w:rsidRPr="002C4077">
        <w:t xml:space="preserve"> </w:t>
      </w:r>
      <w:r>
        <w:t>mais</w:t>
      </w:r>
      <w:r w:rsidRPr="002C4077">
        <w:t xml:space="preserve"> </w:t>
      </w:r>
      <w:r>
        <w:t>leurs</w:t>
      </w:r>
      <w:r w:rsidRPr="002C4077">
        <w:t xml:space="preserve"> </w:t>
      </w:r>
      <w:r>
        <w:t>systèmes</w:t>
      </w:r>
      <w:r w:rsidRPr="002C4077">
        <w:t xml:space="preserve"> </w:t>
      </w:r>
      <w:r>
        <w:t>varient</w:t>
      </w:r>
      <w:r w:rsidRPr="002C4077">
        <w:t xml:space="preserve"> </w:t>
      </w:r>
      <w:r>
        <w:t>notablement</w:t>
      </w:r>
      <w:r w:rsidRPr="002C4077">
        <w:t xml:space="preserve"> </w:t>
      </w:r>
      <w:r>
        <w:t>dans</w:t>
      </w:r>
      <w:r w:rsidRPr="002C4077">
        <w:t xml:space="preserve"> </w:t>
      </w:r>
      <w:r>
        <w:t>le</w:t>
      </w:r>
      <w:r w:rsidRPr="002C4077">
        <w:t xml:space="preserve"> </w:t>
      </w:r>
      <w:r>
        <w:t>détail.</w:t>
      </w:r>
      <w:r w:rsidRPr="002C4077">
        <w:t xml:space="preserve"> </w:t>
      </w:r>
      <w:r>
        <w:t>Meier</w:t>
      </w:r>
      <w:r w:rsidR="00B91AF7">
        <w:rPr>
          <w:rStyle w:val="Appelnotedebasdep"/>
        </w:rPr>
        <w:footnoteReference w:id="137"/>
      </w:r>
      <w:r w:rsidRPr="002C4077">
        <w:t xml:space="preserve"> </w:t>
      </w:r>
      <w:r>
        <w:t>voit</w:t>
      </w:r>
      <w:r w:rsidRPr="002C4077">
        <w:t xml:space="preserve"> </w:t>
      </w:r>
      <w:r>
        <w:t>en</w:t>
      </w:r>
      <w:r w:rsidRPr="002C4077">
        <w:t xml:space="preserve"> </w:t>
      </w:r>
      <w:r>
        <w:t>elle</w:t>
      </w:r>
      <w:r w:rsidRPr="002C4077">
        <w:t xml:space="preserve"> </w:t>
      </w:r>
      <w:r>
        <w:t>la</w:t>
      </w:r>
      <w:r w:rsidRPr="002C4077">
        <w:t xml:space="preserve"> </w:t>
      </w:r>
      <w:r>
        <w:t>figure</w:t>
      </w:r>
      <w:r w:rsidRPr="002C4077">
        <w:t xml:space="preserve"> </w:t>
      </w:r>
      <w:r>
        <w:t>de</w:t>
      </w:r>
      <w:r w:rsidRPr="002C4077">
        <w:t xml:space="preserve"> </w:t>
      </w:r>
      <w:r>
        <w:t>Jérusalem,</w:t>
      </w:r>
      <w:r w:rsidRPr="002C4077">
        <w:t xml:space="preserve"> </w:t>
      </w:r>
      <w:r>
        <w:t>qui</w:t>
      </w:r>
      <w:r w:rsidRPr="002C4077">
        <w:t xml:space="preserve"> </w:t>
      </w:r>
      <w:r>
        <w:t>ne</w:t>
      </w:r>
      <w:r w:rsidRPr="002C4077">
        <w:t xml:space="preserve"> </w:t>
      </w:r>
      <w:r>
        <w:t>devait</w:t>
      </w:r>
      <w:r w:rsidRPr="002C4077">
        <w:t xml:space="preserve"> </w:t>
      </w:r>
      <w:r>
        <w:t>pas</w:t>
      </w:r>
      <w:r w:rsidRPr="002C4077">
        <w:t xml:space="preserve"> </w:t>
      </w:r>
      <w:r>
        <w:t>être</w:t>
      </w:r>
      <w:r w:rsidRPr="002C4077">
        <w:t xml:space="preserve"> </w:t>
      </w:r>
      <w:r>
        <w:t>conquise</w:t>
      </w:r>
      <w:r w:rsidRPr="002C4077">
        <w:t xml:space="preserve"> </w:t>
      </w:r>
      <w:r>
        <w:t>par</w:t>
      </w:r>
      <w:r w:rsidRPr="002C4077">
        <w:t xml:space="preserve"> </w:t>
      </w:r>
      <w:r>
        <w:t>les</w:t>
      </w:r>
      <w:r w:rsidRPr="002C4077">
        <w:t xml:space="preserve"> </w:t>
      </w:r>
      <w:r>
        <w:t>rois</w:t>
      </w:r>
      <w:r w:rsidRPr="002C4077">
        <w:t xml:space="preserve"> </w:t>
      </w:r>
      <w:r>
        <w:t>confédérés,</w:t>
      </w:r>
      <w:r w:rsidRPr="002C4077">
        <w:t xml:space="preserve"> </w:t>
      </w:r>
      <w:r>
        <w:t>mais</w:t>
      </w:r>
      <w:r w:rsidRPr="002C4077">
        <w:t xml:space="preserve"> </w:t>
      </w:r>
      <w:r>
        <w:t>qui</w:t>
      </w:r>
      <w:r w:rsidRPr="002C4077">
        <w:t xml:space="preserve"> </w:t>
      </w:r>
      <w:r>
        <w:t>devait</w:t>
      </w:r>
      <w:r w:rsidRPr="002C4077">
        <w:t xml:space="preserve"> </w:t>
      </w:r>
      <w:r>
        <w:t>garder</w:t>
      </w:r>
      <w:r w:rsidRPr="002C4077">
        <w:t xml:space="preserve"> </w:t>
      </w:r>
      <w:r>
        <w:t>sa</w:t>
      </w:r>
      <w:r w:rsidRPr="002C4077">
        <w:t xml:space="preserve"> </w:t>
      </w:r>
      <w:r>
        <w:t>citadelle</w:t>
      </w:r>
      <w:r w:rsidRPr="002C4077">
        <w:t xml:space="preserve"> </w:t>
      </w:r>
      <w:r w:rsidR="00B546AF">
        <w:t>« </w:t>
      </w:r>
      <w:r>
        <w:t>vierge</w:t>
      </w:r>
      <w:r w:rsidR="00B546AF">
        <w:t> »</w:t>
      </w:r>
      <w:r w:rsidRPr="002C4077">
        <w:t xml:space="preserve"> </w:t>
      </w:r>
      <w:r>
        <w:t>de</w:t>
      </w:r>
      <w:r w:rsidRPr="002C4077">
        <w:t xml:space="preserve"> </w:t>
      </w:r>
      <w:r>
        <w:t>toute</w:t>
      </w:r>
      <w:r w:rsidRPr="002C4077">
        <w:t xml:space="preserve"> </w:t>
      </w:r>
      <w:r>
        <w:t>atteinte</w:t>
      </w:r>
      <w:r w:rsidR="00B91AF7">
        <w:rPr>
          <w:rStyle w:val="Appelnotedebasdep"/>
        </w:rPr>
        <w:footnoteReference w:id="138"/>
      </w:r>
      <w:r>
        <w:t>.</w:t>
      </w:r>
      <w:r w:rsidRPr="002C4077">
        <w:t xml:space="preserve"> </w:t>
      </w:r>
      <w:r w:rsidRPr="000A34B5">
        <w:rPr>
          <w:rStyle w:val="italicus"/>
        </w:rPr>
        <w:t>Dies</w:t>
      </w:r>
      <w:r w:rsidRPr="002C4077">
        <w:t xml:space="preserve"> </w:t>
      </w:r>
      <w:r w:rsidRPr="000A34B5">
        <w:rPr>
          <w:rStyle w:val="italicus"/>
        </w:rPr>
        <w:t>geht</w:t>
      </w:r>
      <w:r w:rsidRPr="002C4077">
        <w:t xml:space="preserve"> </w:t>
      </w:r>
      <w:r w:rsidRPr="000A34B5">
        <w:rPr>
          <w:rStyle w:val="italicus"/>
        </w:rPr>
        <w:t>nicht</w:t>
      </w:r>
      <w:r w:rsidRPr="002C4077">
        <w:t xml:space="preserve"> </w:t>
      </w:r>
      <w:r w:rsidRPr="000A34B5">
        <w:rPr>
          <w:rStyle w:val="italicus"/>
        </w:rPr>
        <w:t>an,</w:t>
      </w:r>
      <w:r w:rsidR="00B91AF7" w:rsidRPr="002C4077">
        <w:t xml:space="preserve"> </w:t>
      </w:r>
      <w:r w:rsidR="00B91AF7">
        <w:t>dit</w:t>
      </w:r>
      <w:r w:rsidR="00B91AF7" w:rsidRPr="002C4077">
        <w:t xml:space="preserve"> </w:t>
      </w:r>
      <w:r w:rsidR="00CF3BB3">
        <w:t>Knobel</w:t>
      </w:r>
      <w:r w:rsidR="00CF3BB3">
        <w:rPr>
          <w:rStyle w:val="Appelnotedebasdep"/>
        </w:rPr>
        <w:footnoteReference w:id="139"/>
      </w:r>
      <w:r w:rsidR="00B91AF7">
        <w:t>.</w:t>
      </w:r>
      <w:r w:rsidR="00B91AF7" w:rsidRPr="002C4077">
        <w:t xml:space="preserve"> </w:t>
      </w:r>
      <w:r w:rsidR="00B546AF">
        <w:t>« </w:t>
      </w:r>
      <w:r w:rsidR="00B91AF7">
        <w:t>Cela</w:t>
      </w:r>
      <w:r w:rsidR="00B91AF7" w:rsidRPr="002C4077">
        <w:t xml:space="preserve"> </w:t>
      </w:r>
      <w:r w:rsidR="00B91AF7">
        <w:t>ne</w:t>
      </w:r>
      <w:r w:rsidR="00B91AF7" w:rsidRPr="002C4077">
        <w:t xml:space="preserve"> </w:t>
      </w:r>
      <w:r w:rsidR="00B91AF7">
        <w:t>va</w:t>
      </w:r>
      <w:r w:rsidR="00B91AF7" w:rsidRPr="002C4077">
        <w:t xml:space="preserve"> </w:t>
      </w:r>
      <w:r w:rsidR="00B91AF7">
        <w:t>pas</w:t>
      </w:r>
      <w:r w:rsidR="00B546AF">
        <w:t> ! »</w:t>
      </w:r>
      <w:r w:rsidRPr="002C4077">
        <w:t xml:space="preserve"> </w:t>
      </w:r>
      <w:r>
        <w:t>Suivant</w:t>
      </w:r>
      <w:r w:rsidRPr="002C4077">
        <w:t xml:space="preserve"> </w:t>
      </w:r>
      <w:r>
        <w:t>Hofmann,</w:t>
      </w:r>
      <w:r w:rsidRPr="002C4077">
        <w:t xml:space="preserve"> </w:t>
      </w:r>
      <w:r w:rsidR="00D40830" w:rsidRPr="00D40830">
        <w:t>l’</w:t>
      </w:r>
      <w:r w:rsidR="00D40830" w:rsidRPr="00D05EA9">
        <w:rPr>
          <w:rStyle w:val="italicus"/>
        </w:rPr>
        <w:t>῾almah</w:t>
      </w:r>
      <w:r w:rsidRPr="002C4077">
        <w:t xml:space="preserve"> </w:t>
      </w:r>
      <w:r>
        <w:t>représenterait</w:t>
      </w:r>
      <w:r w:rsidRPr="002C4077">
        <w:t xml:space="preserve"> </w:t>
      </w:r>
      <w:r>
        <w:t>la</w:t>
      </w:r>
      <w:r w:rsidRPr="002C4077">
        <w:t xml:space="preserve"> </w:t>
      </w:r>
      <w:r>
        <w:t>maison</w:t>
      </w:r>
      <w:r w:rsidRPr="002C4077">
        <w:t xml:space="preserve"> </w:t>
      </w:r>
      <w:r>
        <w:t>royale</w:t>
      </w:r>
      <w:r w:rsidRPr="002C4077">
        <w:t xml:space="preserve"> </w:t>
      </w:r>
      <w:r>
        <w:t>de</w:t>
      </w:r>
      <w:r w:rsidRPr="002C4077">
        <w:t xml:space="preserve"> </w:t>
      </w:r>
      <w:r>
        <w:t>David</w:t>
      </w:r>
      <w:r w:rsidRPr="002C4077">
        <w:t xml:space="preserve"> </w:t>
      </w:r>
      <w:r>
        <w:t>à</w:t>
      </w:r>
      <w:r w:rsidRPr="002C4077">
        <w:t xml:space="preserve"> </w:t>
      </w:r>
      <w:r>
        <w:t>laquelle</w:t>
      </w:r>
      <w:r w:rsidRPr="002C4077">
        <w:t xml:space="preserve"> </w:t>
      </w:r>
      <w:r>
        <w:t>le</w:t>
      </w:r>
      <w:r w:rsidRPr="002C4077">
        <w:t xml:space="preserve"> </w:t>
      </w:r>
      <w:r>
        <w:t>prophète</w:t>
      </w:r>
      <w:r w:rsidRPr="002C4077">
        <w:t xml:space="preserve"> </w:t>
      </w:r>
      <w:r>
        <w:t>annonçait</w:t>
      </w:r>
      <w:r w:rsidRPr="002C4077">
        <w:t xml:space="preserve"> </w:t>
      </w:r>
      <w:r>
        <w:t>que,</w:t>
      </w:r>
      <w:r w:rsidRPr="002C4077">
        <w:t xml:space="preserve"> </w:t>
      </w:r>
      <w:r>
        <w:t>grâce</w:t>
      </w:r>
      <w:r w:rsidRPr="002C4077">
        <w:t xml:space="preserve"> </w:t>
      </w:r>
      <w:r>
        <w:t>au</w:t>
      </w:r>
      <w:r w:rsidRPr="002C4077">
        <w:t xml:space="preserve"> </w:t>
      </w:r>
      <w:r>
        <w:t>concours</w:t>
      </w:r>
      <w:r w:rsidRPr="002C4077">
        <w:t xml:space="preserve"> </w:t>
      </w:r>
      <w:r>
        <w:t>de</w:t>
      </w:r>
      <w:r w:rsidRPr="002C4077">
        <w:t xml:space="preserve"> </w:t>
      </w:r>
      <w:r>
        <w:t>Jéhovah,</w:t>
      </w:r>
      <w:r w:rsidRPr="002C4077">
        <w:t xml:space="preserve"> </w:t>
      </w:r>
      <w:r>
        <w:t>elle</w:t>
      </w:r>
      <w:r w:rsidRPr="002C4077">
        <w:t xml:space="preserve"> </w:t>
      </w:r>
      <w:r>
        <w:t>aurait</w:t>
      </w:r>
      <w:r w:rsidRPr="002C4077">
        <w:t xml:space="preserve"> </w:t>
      </w:r>
      <w:r>
        <w:t>de</w:t>
      </w:r>
      <w:r w:rsidRPr="002C4077">
        <w:t xml:space="preserve"> </w:t>
      </w:r>
      <w:r>
        <w:t>nombreux</w:t>
      </w:r>
      <w:r w:rsidRPr="002C4077">
        <w:t xml:space="preserve"> </w:t>
      </w:r>
      <w:r>
        <w:t>enfants</w:t>
      </w:r>
      <w:r w:rsidR="00B91AF7">
        <w:rPr>
          <w:rStyle w:val="Appelnotedebasdep"/>
        </w:rPr>
        <w:footnoteReference w:id="140"/>
      </w:r>
      <w:r>
        <w:t>.</w:t>
      </w:r>
      <w:r w:rsidRPr="002C4077">
        <w:t xml:space="preserve"> </w:t>
      </w:r>
      <w:r>
        <w:t>Mais</w:t>
      </w:r>
      <w:r w:rsidRPr="002C4077">
        <w:t xml:space="preserve"> </w:t>
      </w:r>
      <w:r>
        <w:t>cela</w:t>
      </w:r>
      <w:r w:rsidRPr="002C4077">
        <w:t xml:space="preserve"> </w:t>
      </w:r>
      <w:r>
        <w:t>aussi</w:t>
      </w:r>
      <w:r w:rsidRPr="002C4077">
        <w:t xml:space="preserve"> </w:t>
      </w:r>
      <w:r w:rsidR="00B546AF">
        <w:t>« </w:t>
      </w:r>
      <w:r>
        <w:t>t</w:t>
      </w:r>
      <w:r w:rsidR="003B53FD">
        <w:t>éxtui</w:t>
      </w:r>
      <w:r w:rsidRPr="002C4077">
        <w:t xml:space="preserve"> </w:t>
      </w:r>
      <w:r>
        <w:t>non</w:t>
      </w:r>
      <w:r w:rsidRPr="002C4077">
        <w:t xml:space="preserve"> </w:t>
      </w:r>
      <w:r w:rsidR="00CF3BB3">
        <w:t>cónvenit</w:t>
      </w:r>
      <w:r w:rsidR="00B546AF">
        <w:t> »</w:t>
      </w:r>
      <w:r>
        <w:t>,</w:t>
      </w:r>
      <w:r w:rsidRPr="002C4077">
        <w:t xml:space="preserve"> </w:t>
      </w:r>
      <w:r>
        <w:t>pour</w:t>
      </w:r>
      <w:r w:rsidRPr="002C4077">
        <w:t xml:space="preserve"> </w:t>
      </w:r>
      <w:r>
        <w:t>la</w:t>
      </w:r>
      <w:r w:rsidRPr="002C4077">
        <w:t xml:space="preserve"> </w:t>
      </w:r>
      <w:r>
        <w:t>bonne</w:t>
      </w:r>
      <w:r w:rsidRPr="002C4077">
        <w:t xml:space="preserve"> </w:t>
      </w:r>
      <w:r>
        <w:t>et</w:t>
      </w:r>
      <w:r w:rsidRPr="002C4077">
        <w:t xml:space="preserve"> </w:t>
      </w:r>
      <w:r>
        <w:t>évidente</w:t>
      </w:r>
      <w:r w:rsidRPr="002C4077">
        <w:t xml:space="preserve"> </w:t>
      </w:r>
      <w:r>
        <w:t>raison</w:t>
      </w:r>
      <w:r w:rsidRPr="002C4077">
        <w:t xml:space="preserve"> </w:t>
      </w:r>
      <w:r>
        <w:t>que</w:t>
      </w:r>
      <w:r w:rsidRPr="002C4077">
        <w:t xml:space="preserve"> </w:t>
      </w:r>
      <w:r w:rsidR="00B546AF">
        <w:t>« </w:t>
      </w:r>
      <w:r w:rsidR="00CF3BB3">
        <w:t>puélla</w:t>
      </w:r>
      <w:r w:rsidRPr="002C4077">
        <w:t xml:space="preserve"> </w:t>
      </w:r>
      <w:r>
        <w:t>necess</w:t>
      </w:r>
      <w:r w:rsidR="003B53FD">
        <w:t>ário</w:t>
      </w:r>
      <w:r w:rsidRPr="002C4077">
        <w:t xml:space="preserve"> </w:t>
      </w:r>
      <w:r w:rsidR="00425C50">
        <w:t>est</w:t>
      </w:r>
      <w:r w:rsidRPr="002C4077">
        <w:t xml:space="preserve"> </w:t>
      </w:r>
      <w:r w:rsidR="003B53FD">
        <w:t>áliqua</w:t>
      </w:r>
      <w:r w:rsidRPr="002C4077">
        <w:t xml:space="preserve"> </w:t>
      </w:r>
      <w:r>
        <w:t>p</w:t>
      </w:r>
      <w:r w:rsidR="003B53FD">
        <w:t>ersóna</w:t>
      </w:r>
      <w:r w:rsidR="00B91AF7">
        <w:rPr>
          <w:rStyle w:val="Appelnotedebasdep"/>
        </w:rPr>
        <w:footnoteReference w:id="141"/>
      </w:r>
      <w:r w:rsidR="00B546AF">
        <w:t> »</w:t>
      </w:r>
      <w:r>
        <w:t>.</w:t>
      </w:r>
      <w:r w:rsidRPr="002C4077">
        <w:t xml:space="preserve"> </w:t>
      </w:r>
    </w:p>
    <w:p w:rsidR="000A7AAB" w:rsidRDefault="000A7AAB" w:rsidP="000A7AAB">
      <w:r>
        <w:t>M.</w:t>
      </w:r>
      <w:bookmarkStart w:id="172" w:name="z_AlmahPerso_o9"/>
      <w:bookmarkEnd w:id="172"/>
      <w:r w:rsidRPr="002C4077">
        <w:t xml:space="preserve"> </w:t>
      </w:r>
      <w:r>
        <w:t>N</w:t>
      </w:r>
      <w:r w:rsidR="00CF3BB3">
        <w:t>æ</w:t>
      </w:r>
      <w:r>
        <w:t>gelsbach</w:t>
      </w:r>
      <w:r w:rsidRPr="002C4077">
        <w:t xml:space="preserve"> </w:t>
      </w:r>
      <w:r>
        <w:t>revient</w:t>
      </w:r>
      <w:r w:rsidRPr="002C4077">
        <w:t xml:space="preserve"> </w:t>
      </w:r>
      <w:r>
        <w:t>donc</w:t>
      </w:r>
      <w:r w:rsidRPr="002C4077">
        <w:t xml:space="preserve"> </w:t>
      </w:r>
      <w:r>
        <w:t>à</w:t>
      </w:r>
      <w:r w:rsidRPr="002C4077">
        <w:t xml:space="preserve"> </w:t>
      </w:r>
      <w:r>
        <w:t>l’idée</w:t>
      </w:r>
      <w:r w:rsidRPr="002C4077">
        <w:t xml:space="preserve"> </w:t>
      </w:r>
      <w:r>
        <w:t>d’une</w:t>
      </w:r>
      <w:r w:rsidRPr="002C4077">
        <w:t xml:space="preserve"> </w:t>
      </w:r>
      <w:r>
        <w:t>personne</w:t>
      </w:r>
      <w:r w:rsidRPr="002C4077">
        <w:t xml:space="preserve"> </w:t>
      </w:r>
      <w:r>
        <w:t>déterminée</w:t>
      </w:r>
      <w:r w:rsidR="00B546AF">
        <w:t> ;</w:t>
      </w:r>
      <w:r w:rsidRPr="002C4077">
        <w:t xml:space="preserve"> </w:t>
      </w:r>
      <w:r>
        <w:t>toutefois</w:t>
      </w:r>
      <w:r w:rsidRPr="002C4077">
        <w:t xml:space="preserve"> </w:t>
      </w:r>
      <w:r>
        <w:t>il</w:t>
      </w:r>
      <w:r w:rsidRPr="002C4077">
        <w:t xml:space="preserve"> </w:t>
      </w:r>
      <w:r>
        <w:t>le</w:t>
      </w:r>
      <w:r w:rsidRPr="002C4077">
        <w:t xml:space="preserve"> </w:t>
      </w:r>
      <w:r>
        <w:t>fait</w:t>
      </w:r>
      <w:r w:rsidRPr="002C4077">
        <w:t xml:space="preserve"> </w:t>
      </w:r>
      <w:r>
        <w:t>de</w:t>
      </w:r>
      <w:r w:rsidRPr="002C4077">
        <w:t xml:space="preserve"> </w:t>
      </w:r>
      <w:r>
        <w:t>la</w:t>
      </w:r>
      <w:r w:rsidRPr="002C4077">
        <w:t xml:space="preserve"> </w:t>
      </w:r>
      <w:r>
        <w:t>manière</w:t>
      </w:r>
      <w:r w:rsidRPr="002C4077">
        <w:t xml:space="preserve"> </w:t>
      </w:r>
      <w:r>
        <w:t>la</w:t>
      </w:r>
      <w:r w:rsidRPr="002C4077">
        <w:t xml:space="preserve"> </w:t>
      </w:r>
      <w:r>
        <w:t>plus</w:t>
      </w:r>
      <w:r w:rsidRPr="002C4077">
        <w:t xml:space="preserve"> </w:t>
      </w:r>
      <w:r>
        <w:t>singulière.</w:t>
      </w:r>
      <w:r w:rsidRPr="002C4077">
        <w:t xml:space="preserve"> </w:t>
      </w:r>
      <w:r>
        <w:t>D’après</w:t>
      </w:r>
      <w:r w:rsidRPr="002C4077">
        <w:t xml:space="preserve"> </w:t>
      </w:r>
      <w:r>
        <w:t>lui,</w:t>
      </w:r>
      <w:r w:rsidRPr="002C4077">
        <w:t xml:space="preserve"> </w:t>
      </w:r>
      <w:r w:rsidR="00D40830" w:rsidRPr="00D40830">
        <w:t>l’</w:t>
      </w:r>
      <w:r w:rsidR="00D40830" w:rsidRPr="00D05EA9">
        <w:rPr>
          <w:rStyle w:val="italicus"/>
        </w:rPr>
        <w:t>῾almah</w:t>
      </w:r>
      <w:r w:rsidRPr="002C4077">
        <w:t xml:space="preserve"> </w:t>
      </w:r>
      <w:r w:rsidR="00425C50">
        <w:t>est</w:t>
      </w:r>
      <w:r w:rsidRPr="002C4077">
        <w:t xml:space="preserve"> </w:t>
      </w:r>
      <w:r>
        <w:t>une</w:t>
      </w:r>
      <w:r w:rsidRPr="002C4077">
        <w:t xml:space="preserve"> </w:t>
      </w:r>
      <w:r>
        <w:t>princesse</w:t>
      </w:r>
      <w:r w:rsidRPr="002C4077">
        <w:t xml:space="preserve"> </w:t>
      </w:r>
      <w:r>
        <w:t>royale,</w:t>
      </w:r>
      <w:r w:rsidRPr="002C4077">
        <w:t xml:space="preserve"> </w:t>
      </w:r>
      <w:r>
        <w:t>la</w:t>
      </w:r>
      <w:r w:rsidRPr="002C4077">
        <w:t xml:space="preserve"> </w:t>
      </w:r>
      <w:r>
        <w:t>fille</w:t>
      </w:r>
      <w:r w:rsidRPr="002C4077">
        <w:t xml:space="preserve"> </w:t>
      </w:r>
      <w:r>
        <w:t>d’Achaz.</w:t>
      </w:r>
      <w:r w:rsidRPr="002C4077">
        <w:t xml:space="preserve"> </w:t>
      </w:r>
      <w:r>
        <w:t>Quoiqu’elle</w:t>
      </w:r>
      <w:r w:rsidRPr="002C4077">
        <w:t xml:space="preserve"> </w:t>
      </w:r>
      <w:r>
        <w:t>ne</w:t>
      </w:r>
      <w:r w:rsidRPr="002C4077">
        <w:t xml:space="preserve"> </w:t>
      </w:r>
      <w:r>
        <w:t>soit</w:t>
      </w:r>
      <w:r w:rsidRPr="002C4077">
        <w:t xml:space="preserve"> </w:t>
      </w:r>
      <w:r>
        <w:t>pas</w:t>
      </w:r>
      <w:r w:rsidRPr="002C4077">
        <w:t xml:space="preserve"> </w:t>
      </w:r>
      <w:r>
        <w:t>encore</w:t>
      </w:r>
      <w:r w:rsidRPr="002C4077">
        <w:t xml:space="preserve"> </w:t>
      </w:r>
      <w:r>
        <w:t>mariée,</w:t>
      </w:r>
      <w:r w:rsidRPr="002C4077">
        <w:t xml:space="preserve"> </w:t>
      </w:r>
      <w:r>
        <w:t>elle</w:t>
      </w:r>
      <w:r w:rsidRPr="002C4077">
        <w:t xml:space="preserve"> </w:t>
      </w:r>
      <w:r>
        <w:t>a</w:t>
      </w:r>
      <w:r w:rsidRPr="002C4077">
        <w:t xml:space="preserve"> </w:t>
      </w:r>
      <w:r>
        <w:t>perdu</w:t>
      </w:r>
      <w:r w:rsidRPr="002C4077">
        <w:t xml:space="preserve"> </w:t>
      </w:r>
      <w:r>
        <w:t>son</w:t>
      </w:r>
      <w:r w:rsidRPr="002C4077">
        <w:t xml:space="preserve"> </w:t>
      </w:r>
      <w:r>
        <w:t>honneur,</w:t>
      </w:r>
      <w:r w:rsidRPr="002C4077">
        <w:t xml:space="preserve"> </w:t>
      </w:r>
      <w:r>
        <w:t>et</w:t>
      </w:r>
      <w:r w:rsidRPr="002C4077">
        <w:t xml:space="preserve"> </w:t>
      </w:r>
      <w:r>
        <w:t>le</w:t>
      </w:r>
      <w:r w:rsidRPr="002C4077">
        <w:t xml:space="preserve"> </w:t>
      </w:r>
      <w:r>
        <w:t>prophète</w:t>
      </w:r>
      <w:r w:rsidRPr="002C4077">
        <w:t xml:space="preserve"> </w:t>
      </w:r>
      <w:r>
        <w:t>vient</w:t>
      </w:r>
      <w:r w:rsidRPr="002C4077">
        <w:t xml:space="preserve"> </w:t>
      </w:r>
      <w:r>
        <w:t>dénoncer</w:t>
      </w:r>
      <w:r w:rsidRPr="002C4077">
        <w:t xml:space="preserve"> </w:t>
      </w:r>
      <w:r>
        <w:t>ce</w:t>
      </w:r>
      <w:r w:rsidRPr="002C4077">
        <w:t xml:space="preserve"> </w:t>
      </w:r>
      <w:r>
        <w:t>triste</w:t>
      </w:r>
      <w:r w:rsidRPr="002C4077">
        <w:t xml:space="preserve"> </w:t>
      </w:r>
      <w:r>
        <w:t>secret</w:t>
      </w:r>
      <w:r w:rsidRPr="002C4077">
        <w:t xml:space="preserve"> </w:t>
      </w:r>
      <w:r>
        <w:t>devant</w:t>
      </w:r>
      <w:r w:rsidRPr="002C4077">
        <w:t xml:space="preserve"> </w:t>
      </w:r>
      <w:r>
        <w:t>toute</w:t>
      </w:r>
      <w:r w:rsidRPr="002C4077">
        <w:t xml:space="preserve"> </w:t>
      </w:r>
      <w:r>
        <w:t>la</w:t>
      </w:r>
      <w:r w:rsidRPr="002C4077">
        <w:t xml:space="preserve"> </w:t>
      </w:r>
      <w:r>
        <w:t>cour</w:t>
      </w:r>
      <w:r w:rsidR="00B91AF7">
        <w:rPr>
          <w:rStyle w:val="Appelnotedebasdep"/>
        </w:rPr>
        <w:footnoteReference w:id="142"/>
      </w:r>
      <w:r>
        <w:t>.</w:t>
      </w:r>
      <w:r w:rsidRPr="002C4077">
        <w:t xml:space="preserve"> </w:t>
      </w:r>
      <w:r>
        <w:t>—</w:t>
      </w:r>
      <w:r w:rsidRPr="002C4077">
        <w:t xml:space="preserve"> </w:t>
      </w:r>
      <w:r>
        <w:t>Ce</w:t>
      </w:r>
      <w:r w:rsidRPr="002C4077">
        <w:t xml:space="preserve"> </w:t>
      </w:r>
      <w:r>
        <w:t>sentiment</w:t>
      </w:r>
      <w:r w:rsidRPr="002C4077">
        <w:t xml:space="preserve"> </w:t>
      </w:r>
      <w:r w:rsidR="00425C50">
        <w:t>est</w:t>
      </w:r>
      <w:r w:rsidRPr="002C4077">
        <w:t xml:space="preserve"> </w:t>
      </w:r>
      <w:r>
        <w:t>tellement</w:t>
      </w:r>
      <w:r w:rsidRPr="002C4077">
        <w:t xml:space="preserve"> </w:t>
      </w:r>
      <w:r>
        <w:t>incompatible</w:t>
      </w:r>
      <w:r w:rsidRPr="002C4077">
        <w:t xml:space="preserve"> </w:t>
      </w:r>
      <w:r>
        <w:t>avec</w:t>
      </w:r>
      <w:r w:rsidRPr="002C4077">
        <w:t xml:space="preserve"> </w:t>
      </w:r>
      <w:r>
        <w:t>l’ensemble</w:t>
      </w:r>
      <w:r w:rsidRPr="002C4077">
        <w:t xml:space="preserve"> </w:t>
      </w:r>
      <w:r>
        <w:t>de</w:t>
      </w:r>
      <w:r w:rsidRPr="002C4077">
        <w:t xml:space="preserve"> </w:t>
      </w:r>
      <w:r>
        <w:t>la</w:t>
      </w:r>
      <w:r w:rsidRPr="002C4077">
        <w:t xml:space="preserve"> </w:t>
      </w:r>
      <w:r>
        <w:t>prophétie,</w:t>
      </w:r>
      <w:r w:rsidRPr="002C4077">
        <w:t xml:space="preserve"> </w:t>
      </w:r>
      <w:r>
        <w:t>qu’il</w:t>
      </w:r>
      <w:r w:rsidRPr="002C4077">
        <w:t xml:space="preserve"> </w:t>
      </w:r>
      <w:r w:rsidR="00425C50">
        <w:t>est</w:t>
      </w:r>
      <w:r w:rsidRPr="002C4077">
        <w:t xml:space="preserve"> </w:t>
      </w:r>
      <w:r>
        <w:t>à</w:t>
      </w:r>
      <w:r w:rsidRPr="002C4077">
        <w:t xml:space="preserve"> </w:t>
      </w:r>
      <w:r>
        <w:t>peine</w:t>
      </w:r>
      <w:r w:rsidRPr="002C4077">
        <w:t xml:space="preserve"> </w:t>
      </w:r>
      <w:r>
        <w:t>nécessaire</w:t>
      </w:r>
      <w:r w:rsidRPr="002C4077">
        <w:t xml:space="preserve"> </w:t>
      </w:r>
      <w:r>
        <w:t>de</w:t>
      </w:r>
      <w:r w:rsidRPr="002C4077">
        <w:t xml:space="preserve"> </w:t>
      </w:r>
      <w:r>
        <w:t>s’y</w:t>
      </w:r>
      <w:r w:rsidRPr="002C4077">
        <w:t xml:space="preserve"> </w:t>
      </w:r>
      <w:r>
        <w:t>arrêter.</w:t>
      </w:r>
      <w:r w:rsidRPr="002C4077">
        <w:t xml:space="preserve"> </w:t>
      </w:r>
      <w:r>
        <w:t>Du</w:t>
      </w:r>
      <w:r w:rsidRPr="002C4077">
        <w:t xml:space="preserve"> </w:t>
      </w:r>
      <w:r>
        <w:t>reste,</w:t>
      </w:r>
      <w:r w:rsidRPr="002C4077">
        <w:t xml:space="preserve"> </w:t>
      </w:r>
      <w:r>
        <w:t>son</w:t>
      </w:r>
      <w:r w:rsidRPr="002C4077">
        <w:t xml:space="preserve"> </w:t>
      </w:r>
      <w:r>
        <w:t>inventeur,</w:t>
      </w:r>
      <w:r w:rsidRPr="002C4077">
        <w:t xml:space="preserve"> </w:t>
      </w:r>
      <w:r>
        <w:t>qui</w:t>
      </w:r>
      <w:r w:rsidRPr="002C4077">
        <w:t xml:space="preserve"> </w:t>
      </w:r>
      <w:r w:rsidR="00425C50">
        <w:t>est</w:t>
      </w:r>
      <w:r w:rsidRPr="002C4077">
        <w:t xml:space="preserve"> </w:t>
      </w:r>
      <w:r>
        <w:t>aussi,</w:t>
      </w:r>
      <w:r w:rsidRPr="002C4077">
        <w:t xml:space="preserve"> </w:t>
      </w:r>
      <w:r>
        <w:t>croyons-nous,</w:t>
      </w:r>
      <w:r w:rsidRPr="002C4077">
        <w:t xml:space="preserve"> </w:t>
      </w:r>
      <w:r>
        <w:t>son</w:t>
      </w:r>
      <w:r w:rsidRPr="002C4077">
        <w:t xml:space="preserve"> </w:t>
      </w:r>
      <w:r>
        <w:t>unique</w:t>
      </w:r>
      <w:r w:rsidRPr="002C4077">
        <w:t xml:space="preserve"> </w:t>
      </w:r>
      <w:r>
        <w:t>partisan,</w:t>
      </w:r>
      <w:r w:rsidRPr="002C4077">
        <w:t xml:space="preserve"> </w:t>
      </w:r>
      <w:r>
        <w:t>sent</w:t>
      </w:r>
      <w:r w:rsidRPr="002C4077">
        <w:t xml:space="preserve"> </w:t>
      </w:r>
      <w:r>
        <w:t>lui-même,</w:t>
      </w:r>
      <w:r w:rsidRPr="002C4077">
        <w:t xml:space="preserve"> </w:t>
      </w:r>
      <w:r>
        <w:t>quand</w:t>
      </w:r>
      <w:r w:rsidRPr="002C4077">
        <w:t xml:space="preserve"> </w:t>
      </w:r>
      <w:r>
        <w:t>il</w:t>
      </w:r>
      <w:r w:rsidRPr="002C4077">
        <w:t xml:space="preserve"> </w:t>
      </w:r>
      <w:r>
        <w:t>passe</w:t>
      </w:r>
      <w:r w:rsidRPr="002C4077">
        <w:t xml:space="preserve"> </w:t>
      </w:r>
      <w:r>
        <w:t>aux</w:t>
      </w:r>
      <w:r w:rsidRPr="002C4077">
        <w:t xml:space="preserve"> </w:t>
      </w:r>
      <w:r>
        <w:t>développements,</w:t>
      </w:r>
      <w:r w:rsidRPr="002C4077">
        <w:t xml:space="preserve"> </w:t>
      </w:r>
      <w:r>
        <w:t>la</w:t>
      </w:r>
      <w:r w:rsidRPr="002C4077">
        <w:t xml:space="preserve"> </w:t>
      </w:r>
      <w:r>
        <w:t>difficulté</w:t>
      </w:r>
      <w:r w:rsidRPr="002C4077">
        <w:t xml:space="preserve"> </w:t>
      </w:r>
      <w:r>
        <w:t>de</w:t>
      </w:r>
      <w:r w:rsidRPr="002C4077">
        <w:t xml:space="preserve"> </w:t>
      </w:r>
      <w:r>
        <w:t>sa</w:t>
      </w:r>
      <w:r w:rsidRPr="002C4077">
        <w:t xml:space="preserve"> </w:t>
      </w:r>
      <w:r>
        <w:t>tâche,</w:t>
      </w:r>
      <w:r w:rsidRPr="002C4077">
        <w:t xml:space="preserve"> </w:t>
      </w:r>
      <w:r>
        <w:t>d’autant</w:t>
      </w:r>
      <w:r w:rsidRPr="002C4077">
        <w:t xml:space="preserve"> </w:t>
      </w:r>
      <w:r>
        <w:t>mieux</w:t>
      </w:r>
      <w:r w:rsidRPr="002C4077">
        <w:t xml:space="preserve"> </w:t>
      </w:r>
      <w:r>
        <w:t>qu’il</w:t>
      </w:r>
      <w:r w:rsidRPr="002C4077">
        <w:t xml:space="preserve"> </w:t>
      </w:r>
      <w:r>
        <w:t>admet</w:t>
      </w:r>
      <w:r w:rsidRPr="002C4077">
        <w:t xml:space="preserve"> </w:t>
      </w:r>
      <w:r>
        <w:t>une</w:t>
      </w:r>
      <w:r w:rsidRPr="002C4077">
        <w:t xml:space="preserve"> </w:t>
      </w:r>
      <w:r>
        <w:t>relation</w:t>
      </w:r>
      <w:r w:rsidRPr="002C4077">
        <w:t xml:space="preserve"> </w:t>
      </w:r>
      <w:r>
        <w:t>réelle</w:t>
      </w:r>
      <w:r w:rsidRPr="002C4077">
        <w:t xml:space="preserve"> </w:t>
      </w:r>
      <w:r>
        <w:t>entre</w:t>
      </w:r>
      <w:r w:rsidRPr="002C4077">
        <w:t xml:space="preserve"> </w:t>
      </w:r>
      <w:r>
        <w:t>l’oracle</w:t>
      </w:r>
      <w:r w:rsidRPr="002C4077">
        <w:t xml:space="preserve"> </w:t>
      </w:r>
      <w:r>
        <w:t>de</w:t>
      </w:r>
      <w:r w:rsidRPr="002C4077">
        <w:t xml:space="preserve"> </w:t>
      </w:r>
      <w:r w:rsidR="00D40830" w:rsidRPr="00D40830">
        <w:t>l’</w:t>
      </w:r>
      <w:r w:rsidR="00D40830" w:rsidRPr="00D05EA9">
        <w:rPr>
          <w:rStyle w:val="italicus"/>
        </w:rPr>
        <w:t>῾almah</w:t>
      </w:r>
      <w:r w:rsidRPr="002C4077">
        <w:t xml:space="preserve"> </w:t>
      </w:r>
      <w:r>
        <w:t>et</w:t>
      </w:r>
      <w:r w:rsidRPr="002C4077">
        <w:t xml:space="preserve"> </w:t>
      </w:r>
      <w:r>
        <w:t>l’incarnation</w:t>
      </w:r>
      <w:r w:rsidRPr="002C4077">
        <w:t xml:space="preserve"> </w:t>
      </w:r>
      <w:r>
        <w:t>du</w:t>
      </w:r>
      <w:r w:rsidRPr="002C4077">
        <w:t xml:space="preserve"> </w:t>
      </w:r>
      <w:r w:rsidR="007B3C26">
        <w:t>Ve</w:t>
      </w:r>
      <w:r>
        <w:t>rbe</w:t>
      </w:r>
      <w:r w:rsidRPr="002C4077">
        <w:t xml:space="preserve"> </w:t>
      </w:r>
      <w:r>
        <w:t>dans</w:t>
      </w:r>
      <w:r w:rsidRPr="002C4077">
        <w:t xml:space="preserve"> </w:t>
      </w:r>
      <w:r>
        <w:t>le</w:t>
      </w:r>
      <w:r w:rsidRPr="002C4077">
        <w:t xml:space="preserve"> </w:t>
      </w:r>
      <w:r>
        <w:t>sein</w:t>
      </w:r>
      <w:r w:rsidRPr="002C4077">
        <w:t xml:space="preserve"> </w:t>
      </w:r>
      <w:r>
        <w:t>de</w:t>
      </w:r>
      <w:r w:rsidRPr="002C4077">
        <w:t xml:space="preserve"> </w:t>
      </w:r>
      <w:r>
        <w:t>la</w:t>
      </w:r>
      <w:r w:rsidRPr="002C4077">
        <w:t xml:space="preserve"> </w:t>
      </w:r>
      <w:r>
        <w:t>vierge</w:t>
      </w:r>
      <w:r w:rsidRPr="002C4077">
        <w:t xml:space="preserve"> </w:t>
      </w:r>
      <w:r>
        <w:t>Marie.</w:t>
      </w:r>
      <w:r w:rsidRPr="002C4077">
        <w:t xml:space="preserve"> </w:t>
      </w:r>
      <w:r w:rsidR="00B546AF">
        <w:t>« </w:t>
      </w:r>
      <w:r>
        <w:t>Comment</w:t>
      </w:r>
      <w:r w:rsidRPr="002C4077">
        <w:t xml:space="preserve"> </w:t>
      </w:r>
      <w:r w:rsidR="00425C50">
        <w:t>est</w:t>
      </w:r>
      <w:r>
        <w:t>-il</w:t>
      </w:r>
      <w:r w:rsidRPr="002C4077">
        <w:t xml:space="preserve"> </w:t>
      </w:r>
      <w:r>
        <w:t>croyable</w:t>
      </w:r>
      <w:r w:rsidRPr="002C4077">
        <w:t xml:space="preserve"> </w:t>
      </w:r>
      <w:r>
        <w:t>que</w:t>
      </w:r>
      <w:r w:rsidRPr="002C4077">
        <w:t xml:space="preserve"> </w:t>
      </w:r>
      <w:r>
        <w:t>Dieu</w:t>
      </w:r>
      <w:r w:rsidRPr="002C4077">
        <w:t xml:space="preserve"> </w:t>
      </w:r>
      <w:r>
        <w:t>ait</w:t>
      </w:r>
      <w:r w:rsidRPr="002C4077">
        <w:t xml:space="preserve"> </w:t>
      </w:r>
      <w:r>
        <w:t>pu</w:t>
      </w:r>
      <w:r w:rsidRPr="002C4077">
        <w:t xml:space="preserve"> </w:t>
      </w:r>
      <w:r>
        <w:t>choisir</w:t>
      </w:r>
      <w:r w:rsidRPr="002C4077">
        <w:t xml:space="preserve"> </w:t>
      </w:r>
      <w:r>
        <w:t>un</w:t>
      </w:r>
      <w:r w:rsidRPr="002C4077">
        <w:t xml:space="preserve"> </w:t>
      </w:r>
      <w:r>
        <w:t>tel</w:t>
      </w:r>
      <w:r w:rsidRPr="002C4077">
        <w:t xml:space="preserve"> </w:t>
      </w:r>
      <w:r>
        <w:t>enfant</w:t>
      </w:r>
      <w:r w:rsidRPr="002C4077">
        <w:t xml:space="preserve"> </w:t>
      </w:r>
      <w:r>
        <w:t>pour</w:t>
      </w:r>
      <w:r w:rsidRPr="002C4077">
        <w:t xml:space="preserve"> </w:t>
      </w:r>
      <w:r>
        <w:t>être</w:t>
      </w:r>
      <w:r w:rsidRPr="002C4077">
        <w:t xml:space="preserve"> </w:t>
      </w:r>
      <w:r>
        <w:t>le</w:t>
      </w:r>
      <w:r w:rsidRPr="002C4077">
        <w:t xml:space="preserve"> </w:t>
      </w:r>
      <w:r>
        <w:t>porteur</w:t>
      </w:r>
      <w:r w:rsidRPr="002C4077">
        <w:t xml:space="preserve"> </w:t>
      </w:r>
      <w:r>
        <w:t>et</w:t>
      </w:r>
      <w:r w:rsidRPr="002C4077">
        <w:t xml:space="preserve"> </w:t>
      </w:r>
      <w:r>
        <w:t>l’emblème</w:t>
      </w:r>
      <w:r w:rsidRPr="002C4077">
        <w:t xml:space="preserve"> </w:t>
      </w:r>
      <w:r>
        <w:t>de</w:t>
      </w:r>
      <w:r w:rsidRPr="002C4077">
        <w:t xml:space="preserve"> </w:t>
      </w:r>
      <w:r>
        <w:t>ses</w:t>
      </w:r>
      <w:r w:rsidRPr="002C4077">
        <w:t xml:space="preserve"> </w:t>
      </w:r>
      <w:r>
        <w:t>desseins</w:t>
      </w:r>
      <w:r w:rsidRPr="002C4077">
        <w:t xml:space="preserve"> </w:t>
      </w:r>
      <w:r>
        <w:t>de</w:t>
      </w:r>
      <w:r w:rsidRPr="002C4077">
        <w:t xml:space="preserve"> </w:t>
      </w:r>
      <w:r>
        <w:t>salut</w:t>
      </w:r>
      <w:r w:rsidR="00B546AF">
        <w:t> ?</w:t>
      </w:r>
      <w:r w:rsidR="008D184D">
        <w:t>...</w:t>
      </w:r>
      <w:r w:rsidR="008D184D" w:rsidRPr="002C4077">
        <w:t xml:space="preserve"> </w:t>
      </w:r>
      <w:r>
        <w:t>Est-il</w:t>
      </w:r>
      <w:r w:rsidRPr="002C4077">
        <w:t xml:space="preserve"> </w:t>
      </w:r>
      <w:r>
        <w:t>permis</w:t>
      </w:r>
      <w:r w:rsidRPr="002C4077">
        <w:t xml:space="preserve"> </w:t>
      </w:r>
      <w:r>
        <w:t>de</w:t>
      </w:r>
      <w:r w:rsidRPr="002C4077">
        <w:t xml:space="preserve"> </w:t>
      </w:r>
      <w:r>
        <w:t>supposer</w:t>
      </w:r>
      <w:r w:rsidRPr="002C4077">
        <w:t xml:space="preserve"> </w:t>
      </w:r>
      <w:r>
        <w:t>que</w:t>
      </w:r>
      <w:r w:rsidRPr="002C4077">
        <w:t xml:space="preserve"> </w:t>
      </w:r>
      <w:r>
        <w:t>Dieu</w:t>
      </w:r>
      <w:r w:rsidRPr="002C4077">
        <w:t xml:space="preserve"> </w:t>
      </w:r>
      <w:r>
        <w:t>aura</w:t>
      </w:r>
      <w:r w:rsidRPr="002C4077">
        <w:t xml:space="preserve"> </w:t>
      </w:r>
      <w:r>
        <w:t>fait</w:t>
      </w:r>
      <w:r w:rsidRPr="002C4077">
        <w:t xml:space="preserve"> </w:t>
      </w:r>
      <w:r>
        <w:t>d’une</w:t>
      </w:r>
      <w:r w:rsidRPr="002C4077">
        <w:t xml:space="preserve"> </w:t>
      </w:r>
      <w:r>
        <w:t>femme</w:t>
      </w:r>
      <w:r w:rsidRPr="002C4077">
        <w:t xml:space="preserve"> </w:t>
      </w:r>
      <w:r>
        <w:t>déchue</w:t>
      </w:r>
      <w:r w:rsidRPr="002C4077">
        <w:t xml:space="preserve"> </w:t>
      </w:r>
      <w:r>
        <w:t>la</w:t>
      </w:r>
      <w:r w:rsidRPr="002C4077">
        <w:t xml:space="preserve"> </w:t>
      </w:r>
      <w:r>
        <w:t>figure</w:t>
      </w:r>
      <w:r w:rsidRPr="002C4077">
        <w:t xml:space="preserve"> </w:t>
      </w:r>
      <w:r>
        <w:t>de</w:t>
      </w:r>
      <w:r w:rsidRPr="002C4077">
        <w:t xml:space="preserve"> </w:t>
      </w:r>
      <w:r>
        <w:t>la</w:t>
      </w:r>
      <w:r w:rsidRPr="002C4077">
        <w:t xml:space="preserve"> </w:t>
      </w:r>
      <w:r w:rsidR="00CF3BB3">
        <w:t>θεοτόκος</w:t>
      </w:r>
      <w:r w:rsidR="00B546AF">
        <w:t> ?</w:t>
      </w:r>
      <w:r w:rsidR="00425C50">
        <w:t>…</w:t>
      </w:r>
      <w:r w:rsidR="00C45B47">
        <w:t xml:space="preserve"> {</w:t>
      </w:r>
      <w:r w:rsidR="000721C4">
        <w:t>49</w:t>
      </w:r>
      <w:bookmarkStart w:id="173" w:name="p049"/>
      <w:bookmarkEnd w:id="173"/>
      <w:r w:rsidR="000721C4">
        <w:t xml:space="preserve">} </w:t>
      </w:r>
      <w:r>
        <w:t>Comment</w:t>
      </w:r>
      <w:r w:rsidRPr="002C4077">
        <w:t xml:space="preserve"> </w:t>
      </w:r>
      <w:r>
        <w:t>nous</w:t>
      </w:r>
      <w:r w:rsidRPr="002C4077">
        <w:t xml:space="preserve"> </w:t>
      </w:r>
      <w:r>
        <w:t>expliquer</w:t>
      </w:r>
      <w:r w:rsidRPr="002C4077">
        <w:t xml:space="preserve"> </w:t>
      </w:r>
      <w:r>
        <w:t>qu’un</w:t>
      </w:r>
      <w:r w:rsidRPr="002C4077">
        <w:t xml:space="preserve"> </w:t>
      </w:r>
      <w:r>
        <w:t>honteux</w:t>
      </w:r>
      <w:r w:rsidRPr="002C4077">
        <w:t xml:space="preserve"> </w:t>
      </w:r>
      <w:r>
        <w:t>événement</w:t>
      </w:r>
      <w:r w:rsidRPr="002C4077">
        <w:t xml:space="preserve"> </w:t>
      </w:r>
      <w:r>
        <w:t>soit</w:t>
      </w:r>
      <w:r w:rsidRPr="002C4077">
        <w:t xml:space="preserve"> </w:t>
      </w:r>
      <w:r>
        <w:t>devenu</w:t>
      </w:r>
      <w:r w:rsidRPr="002C4077">
        <w:t xml:space="preserve"> </w:t>
      </w:r>
      <w:r>
        <w:t>le</w:t>
      </w:r>
      <w:r w:rsidRPr="002C4077">
        <w:t xml:space="preserve"> </w:t>
      </w:r>
      <w:r>
        <w:t>type</w:t>
      </w:r>
      <w:r w:rsidRPr="002C4077">
        <w:t xml:space="preserve"> </w:t>
      </w:r>
      <w:r>
        <w:t>du</w:t>
      </w:r>
      <w:r w:rsidRPr="002C4077">
        <w:t xml:space="preserve"> </w:t>
      </w:r>
      <w:r>
        <w:t>fait</w:t>
      </w:r>
      <w:r w:rsidRPr="002C4077">
        <w:t xml:space="preserve"> </w:t>
      </w:r>
      <w:r>
        <w:t>le</w:t>
      </w:r>
      <w:r w:rsidRPr="002C4077">
        <w:t xml:space="preserve"> </w:t>
      </w:r>
      <w:r>
        <w:t>plus</w:t>
      </w:r>
      <w:r w:rsidRPr="002C4077">
        <w:t xml:space="preserve"> </w:t>
      </w:r>
      <w:r>
        <w:t>sacré</w:t>
      </w:r>
      <w:r w:rsidRPr="002C4077">
        <w:t xml:space="preserve"> </w:t>
      </w:r>
      <w:r>
        <w:t>que</w:t>
      </w:r>
      <w:r w:rsidRPr="002C4077">
        <w:t xml:space="preserve"> </w:t>
      </w:r>
      <w:r>
        <w:t>contienne</w:t>
      </w:r>
      <w:r w:rsidRPr="002C4077">
        <w:t xml:space="preserve"> </w:t>
      </w:r>
      <w:r>
        <w:t>l’histoire</w:t>
      </w:r>
      <w:r w:rsidR="00B91AF7">
        <w:rPr>
          <w:rStyle w:val="Appelnotedebasdep"/>
        </w:rPr>
        <w:footnoteReference w:id="143"/>
      </w:r>
      <w:r w:rsidR="00B546AF">
        <w:t> ? »</w:t>
      </w:r>
      <w:r w:rsidRPr="002C4077">
        <w:t xml:space="preserve"> </w:t>
      </w:r>
      <w:r>
        <w:t>À</w:t>
      </w:r>
      <w:r w:rsidRPr="002C4077">
        <w:t xml:space="preserve"> </w:t>
      </w:r>
      <w:r>
        <w:t>ces</w:t>
      </w:r>
      <w:r w:rsidRPr="002C4077">
        <w:t xml:space="preserve"> </w:t>
      </w:r>
      <w:r>
        <w:t>objections,</w:t>
      </w:r>
      <w:r w:rsidRPr="002C4077">
        <w:t xml:space="preserve"> </w:t>
      </w:r>
      <w:r>
        <w:t>il</w:t>
      </w:r>
      <w:r w:rsidRPr="002C4077">
        <w:t xml:space="preserve"> </w:t>
      </w:r>
      <w:r>
        <w:t>ne</w:t>
      </w:r>
      <w:r w:rsidRPr="002C4077">
        <w:t xml:space="preserve"> </w:t>
      </w:r>
      <w:r>
        <w:t>répond</w:t>
      </w:r>
      <w:r w:rsidRPr="002C4077">
        <w:t xml:space="preserve"> </w:t>
      </w:r>
      <w:r>
        <w:t>pas</w:t>
      </w:r>
      <w:r w:rsidRPr="002C4077">
        <w:t xml:space="preserve"> </w:t>
      </w:r>
      <w:r>
        <w:t>et</w:t>
      </w:r>
      <w:r w:rsidRPr="002C4077">
        <w:t xml:space="preserve"> </w:t>
      </w:r>
      <w:r>
        <w:t>ne</w:t>
      </w:r>
      <w:r w:rsidRPr="002C4077">
        <w:t xml:space="preserve"> </w:t>
      </w:r>
      <w:r>
        <w:t>saurait</w:t>
      </w:r>
      <w:r w:rsidRPr="002C4077">
        <w:t xml:space="preserve"> </w:t>
      </w:r>
      <w:r>
        <w:t>répondre.</w:t>
      </w:r>
      <w:r w:rsidRPr="002C4077">
        <w:t xml:space="preserve"> </w:t>
      </w:r>
      <w:r>
        <w:t>Au</w:t>
      </w:r>
      <w:r w:rsidRPr="002C4077">
        <w:t xml:space="preserve"> </w:t>
      </w:r>
      <w:r>
        <w:t>surplus,</w:t>
      </w:r>
      <w:r w:rsidRPr="002C4077">
        <w:t xml:space="preserve"> </w:t>
      </w:r>
      <w:r>
        <w:t>indépendamment</w:t>
      </w:r>
      <w:r w:rsidRPr="002C4077">
        <w:t xml:space="preserve"> </w:t>
      </w:r>
      <w:r>
        <w:t>de</w:t>
      </w:r>
      <w:r w:rsidRPr="002C4077">
        <w:t xml:space="preserve"> </w:t>
      </w:r>
      <w:r>
        <w:t>cette</w:t>
      </w:r>
      <w:r w:rsidRPr="002C4077">
        <w:t xml:space="preserve"> </w:t>
      </w:r>
      <w:r>
        <w:t>difficulté</w:t>
      </w:r>
      <w:r w:rsidRPr="002C4077">
        <w:t xml:space="preserve"> </w:t>
      </w:r>
      <w:r>
        <w:t>insurmontable</w:t>
      </w:r>
      <w:r w:rsidRPr="002C4077">
        <w:t xml:space="preserve"> </w:t>
      </w:r>
      <w:r>
        <w:t>de</w:t>
      </w:r>
      <w:r w:rsidRPr="002C4077">
        <w:t xml:space="preserve"> </w:t>
      </w:r>
      <w:r>
        <w:t>son</w:t>
      </w:r>
      <w:r w:rsidRPr="002C4077">
        <w:t xml:space="preserve"> </w:t>
      </w:r>
      <w:r>
        <w:t>système,</w:t>
      </w:r>
      <w:r w:rsidRPr="002C4077">
        <w:t xml:space="preserve"> </w:t>
      </w:r>
      <w:r>
        <w:t>qui</w:t>
      </w:r>
      <w:r w:rsidRPr="002C4077">
        <w:t xml:space="preserve"> </w:t>
      </w:r>
      <w:r>
        <w:t>donc</w:t>
      </w:r>
      <w:r w:rsidRPr="002C4077">
        <w:t xml:space="preserve"> </w:t>
      </w:r>
      <w:r>
        <w:t>a</w:t>
      </w:r>
      <w:r w:rsidRPr="002C4077">
        <w:t xml:space="preserve"> </w:t>
      </w:r>
      <w:r>
        <w:t>révélé</w:t>
      </w:r>
      <w:r w:rsidRPr="002C4077">
        <w:t xml:space="preserve"> </w:t>
      </w:r>
      <w:r>
        <w:t>à</w:t>
      </w:r>
      <w:r w:rsidRPr="002C4077">
        <w:t xml:space="preserve"> </w:t>
      </w:r>
      <w:r>
        <w:t>M.</w:t>
      </w:r>
      <w:r w:rsidRPr="002C4077">
        <w:t xml:space="preserve"> </w:t>
      </w:r>
      <w:r>
        <w:t>Nægelsbach</w:t>
      </w:r>
      <w:r w:rsidRPr="002C4077">
        <w:t xml:space="preserve"> </w:t>
      </w:r>
      <w:r>
        <w:t>que</w:t>
      </w:r>
      <w:r w:rsidRPr="002C4077">
        <w:t xml:space="preserve"> </w:t>
      </w:r>
      <w:r w:rsidR="00D40830" w:rsidRPr="00D40830">
        <w:t>l’</w:t>
      </w:r>
      <w:r w:rsidR="00D40830" w:rsidRPr="00D05EA9">
        <w:rPr>
          <w:rStyle w:val="italicus"/>
        </w:rPr>
        <w:t>῾almah</w:t>
      </w:r>
      <w:r w:rsidRPr="002C4077">
        <w:t xml:space="preserve"> </w:t>
      </w:r>
      <w:r w:rsidR="00425C50">
        <w:t>est</w:t>
      </w:r>
      <w:r w:rsidRPr="002C4077">
        <w:t xml:space="preserve"> </w:t>
      </w:r>
      <w:r>
        <w:t>précisément</w:t>
      </w:r>
      <w:r w:rsidRPr="002C4077">
        <w:t xml:space="preserve"> </w:t>
      </w:r>
      <w:r>
        <w:t>la</w:t>
      </w:r>
      <w:r w:rsidRPr="002C4077">
        <w:t xml:space="preserve"> </w:t>
      </w:r>
      <w:r>
        <w:t>fille</w:t>
      </w:r>
      <w:r w:rsidRPr="002C4077">
        <w:t xml:space="preserve"> </w:t>
      </w:r>
      <w:r>
        <w:t>d’Achaz</w:t>
      </w:r>
      <w:r w:rsidR="00B546AF">
        <w:t> ?</w:t>
      </w:r>
      <w:r w:rsidRPr="002C4077">
        <w:t xml:space="preserve"> </w:t>
      </w:r>
    </w:p>
    <w:p w:rsidR="002A5E7A" w:rsidRDefault="002A5E7A" w:rsidP="000A7AAB"/>
    <w:p w:rsidR="000A7AAB" w:rsidRDefault="000A7AAB" w:rsidP="000A7AAB">
      <w:r>
        <w:t>M.</w:t>
      </w:r>
      <w:r w:rsidRPr="002C4077">
        <w:t xml:space="preserve"> </w:t>
      </w:r>
      <w:r>
        <w:t>Wilhelm</w:t>
      </w:r>
      <w:r w:rsidRPr="002C4077">
        <w:t xml:space="preserve"> </w:t>
      </w:r>
      <w:r>
        <w:t>Schultz</w:t>
      </w:r>
      <w:r w:rsidRPr="002C4077">
        <w:t xml:space="preserve"> </w:t>
      </w:r>
      <w:r>
        <w:t>l’a</w:t>
      </w:r>
      <w:r w:rsidRPr="002C4077">
        <w:t xml:space="preserve"> </w:t>
      </w:r>
      <w:r>
        <w:t>dit</w:t>
      </w:r>
      <w:r w:rsidRPr="002C4077">
        <w:t xml:space="preserve"> </w:t>
      </w:r>
      <w:r>
        <w:t>avec</w:t>
      </w:r>
      <w:r w:rsidRPr="002C4077">
        <w:t xml:space="preserve"> </w:t>
      </w:r>
      <w:r>
        <w:t>une</w:t>
      </w:r>
      <w:r w:rsidRPr="002C4077">
        <w:t xml:space="preserve"> </w:t>
      </w:r>
      <w:r>
        <w:t>franchise</w:t>
      </w:r>
      <w:r w:rsidRPr="002C4077">
        <w:t xml:space="preserve"> </w:t>
      </w:r>
      <w:r>
        <w:t>qui</w:t>
      </w:r>
      <w:r w:rsidRPr="002C4077">
        <w:t xml:space="preserve"> </w:t>
      </w:r>
      <w:r>
        <w:t>l’honore,</w:t>
      </w:r>
      <w:r w:rsidRPr="002C4077">
        <w:t xml:space="preserve"> </w:t>
      </w:r>
      <w:r w:rsidR="00B546AF">
        <w:t>« </w:t>
      </w:r>
      <w:r>
        <w:t>tout</w:t>
      </w:r>
      <w:r w:rsidRPr="002C4077">
        <w:t xml:space="preserve"> </w:t>
      </w:r>
      <w:r>
        <w:t>parle</w:t>
      </w:r>
      <w:r w:rsidRPr="002C4077">
        <w:t xml:space="preserve"> </w:t>
      </w:r>
      <w:r>
        <w:t>contre</w:t>
      </w:r>
      <w:r w:rsidRPr="002C4077">
        <w:t xml:space="preserve"> </w:t>
      </w:r>
      <w:r>
        <w:t>ces</w:t>
      </w:r>
      <w:r w:rsidRPr="002C4077">
        <w:t xml:space="preserve"> </w:t>
      </w:r>
      <w:r>
        <w:t>opinions,</w:t>
      </w:r>
      <w:r w:rsidRPr="002C4077">
        <w:t xml:space="preserve"> </w:t>
      </w:r>
      <w:r>
        <w:t>rien</w:t>
      </w:r>
      <w:r w:rsidRPr="002C4077">
        <w:t xml:space="preserve"> </w:t>
      </w:r>
      <w:r>
        <w:t>pour</w:t>
      </w:r>
      <w:r w:rsidRPr="002C4077">
        <w:t xml:space="preserve"> </w:t>
      </w:r>
      <w:r>
        <w:t>elles</w:t>
      </w:r>
      <w:r w:rsidR="00B91AF7">
        <w:rPr>
          <w:rStyle w:val="Appelnotedebasdep"/>
        </w:rPr>
        <w:footnoteReference w:id="144"/>
      </w:r>
      <w:r w:rsidR="00B546AF">
        <w:t> » ;</w:t>
      </w:r>
      <w:r w:rsidRPr="002C4077">
        <w:t xml:space="preserve"> </w:t>
      </w:r>
      <w:r>
        <w:t>aussi</w:t>
      </w:r>
      <w:r w:rsidRPr="002C4077">
        <w:t xml:space="preserve"> </w:t>
      </w:r>
      <w:r>
        <w:t>plusieurs</w:t>
      </w:r>
      <w:r w:rsidRPr="002C4077">
        <w:t xml:space="preserve"> </w:t>
      </w:r>
      <w:r>
        <w:t>exégètes</w:t>
      </w:r>
      <w:r w:rsidRPr="002C4077">
        <w:t xml:space="preserve"> </w:t>
      </w:r>
      <w:r>
        <w:t>rationalistes</w:t>
      </w:r>
      <w:r w:rsidRPr="002C4077">
        <w:t xml:space="preserve"> </w:t>
      </w:r>
      <w:r>
        <w:t>ont-ils</w:t>
      </w:r>
      <w:r w:rsidRPr="002C4077">
        <w:t xml:space="preserve"> </w:t>
      </w:r>
      <w:r>
        <w:t>été</w:t>
      </w:r>
      <w:r w:rsidRPr="002C4077">
        <w:t xml:space="preserve"> </w:t>
      </w:r>
      <w:r>
        <w:t>ramenés</w:t>
      </w:r>
      <w:r w:rsidRPr="002C4077">
        <w:t xml:space="preserve"> </w:t>
      </w:r>
      <w:r>
        <w:t>par</w:t>
      </w:r>
      <w:r w:rsidRPr="002C4077">
        <w:t xml:space="preserve"> </w:t>
      </w:r>
      <w:r>
        <w:t>tant</w:t>
      </w:r>
      <w:r w:rsidRPr="002C4077">
        <w:t xml:space="preserve"> </w:t>
      </w:r>
      <w:r>
        <w:t>de</w:t>
      </w:r>
      <w:r w:rsidRPr="002C4077">
        <w:t xml:space="preserve"> </w:t>
      </w:r>
      <w:r>
        <w:t>sottises</w:t>
      </w:r>
      <w:r w:rsidRPr="002C4077">
        <w:t xml:space="preserve"> </w:t>
      </w:r>
      <w:r>
        <w:t>à</w:t>
      </w:r>
      <w:r w:rsidRPr="002C4077">
        <w:t xml:space="preserve"> </w:t>
      </w:r>
      <w:r>
        <w:t>l’interprétation</w:t>
      </w:r>
      <w:r w:rsidRPr="002C4077">
        <w:t xml:space="preserve"> </w:t>
      </w:r>
      <w:r>
        <w:t>messianique.</w:t>
      </w:r>
      <w:r w:rsidRPr="002C4077">
        <w:t xml:space="preserve"> </w:t>
      </w:r>
      <w:r>
        <w:t>Entre</w:t>
      </w:r>
      <w:r w:rsidRPr="002C4077">
        <w:t xml:space="preserve"> </w:t>
      </w:r>
      <w:r>
        <w:t>autres,</w:t>
      </w:r>
      <w:r w:rsidRPr="002C4077">
        <w:t xml:space="preserve"> </w:t>
      </w:r>
      <w:r>
        <w:t>nous</w:t>
      </w:r>
      <w:r w:rsidRPr="002C4077">
        <w:t xml:space="preserve"> </w:t>
      </w:r>
      <w:r>
        <w:t>pouvons</w:t>
      </w:r>
      <w:r w:rsidRPr="002C4077">
        <w:t xml:space="preserve"> </w:t>
      </w:r>
      <w:r>
        <w:t>citer</w:t>
      </w:r>
      <w:r w:rsidRPr="002C4077">
        <w:t xml:space="preserve"> </w:t>
      </w:r>
      <w:r w:rsidR="00CF3BB3">
        <w:t>Rosenmüller</w:t>
      </w:r>
      <w:r>
        <w:t>,</w:t>
      </w:r>
      <w:r w:rsidRPr="002C4077">
        <w:t xml:space="preserve"> </w:t>
      </w:r>
      <w:r>
        <w:t>B.</w:t>
      </w:r>
      <w:r w:rsidRPr="002C4077">
        <w:t xml:space="preserve"> </w:t>
      </w:r>
      <w:r>
        <w:t>Bauer,</w:t>
      </w:r>
      <w:r w:rsidRPr="002C4077">
        <w:t xml:space="preserve"> </w:t>
      </w:r>
      <w:r>
        <w:t>Ewald</w:t>
      </w:r>
      <w:bookmarkStart w:id="174" w:name="z_Ewald_o2"/>
      <w:bookmarkEnd w:id="174"/>
      <w:r>
        <w:t>.</w:t>
      </w:r>
      <w:r w:rsidRPr="002C4077">
        <w:t xml:space="preserve"> </w:t>
      </w:r>
      <w:r>
        <w:t>Il</w:t>
      </w:r>
      <w:r w:rsidRPr="002C4077">
        <w:t xml:space="preserve"> </w:t>
      </w:r>
      <w:r w:rsidR="00425C50">
        <w:t>est</w:t>
      </w:r>
      <w:r w:rsidRPr="002C4077">
        <w:t xml:space="preserve"> </w:t>
      </w:r>
      <w:r>
        <w:t>vrai</w:t>
      </w:r>
      <w:r w:rsidRPr="002C4077">
        <w:t xml:space="preserve"> </w:t>
      </w:r>
      <w:r>
        <w:t>que,</w:t>
      </w:r>
      <w:r w:rsidRPr="002C4077">
        <w:t xml:space="preserve"> </w:t>
      </w:r>
      <w:r>
        <w:t>suivant</w:t>
      </w:r>
      <w:r w:rsidRPr="002C4077">
        <w:t xml:space="preserve"> </w:t>
      </w:r>
      <w:r>
        <w:t>eux,</w:t>
      </w:r>
      <w:r w:rsidRPr="002C4077">
        <w:t xml:space="preserve"> </w:t>
      </w:r>
      <w:r>
        <w:t>le</w:t>
      </w:r>
      <w:r w:rsidRPr="002C4077">
        <w:t xml:space="preserve"> </w:t>
      </w:r>
      <w:r>
        <w:t>prophète</w:t>
      </w:r>
      <w:r w:rsidRPr="002C4077">
        <w:t xml:space="preserve"> </w:t>
      </w:r>
      <w:r>
        <w:t>se</w:t>
      </w:r>
      <w:r w:rsidRPr="002C4077">
        <w:t xml:space="preserve"> </w:t>
      </w:r>
      <w:r>
        <w:t>serait</w:t>
      </w:r>
      <w:r w:rsidRPr="002C4077">
        <w:t xml:space="preserve"> </w:t>
      </w:r>
      <w:r>
        <w:t>trompé</w:t>
      </w:r>
      <w:r w:rsidRPr="002C4077">
        <w:t xml:space="preserve"> </w:t>
      </w:r>
      <w:r>
        <w:t>en</w:t>
      </w:r>
      <w:r w:rsidRPr="002C4077">
        <w:t xml:space="preserve"> </w:t>
      </w:r>
      <w:r>
        <w:t>annonçant</w:t>
      </w:r>
      <w:r w:rsidRPr="002C4077">
        <w:t xml:space="preserve"> </w:t>
      </w:r>
      <w:r>
        <w:t>pour</w:t>
      </w:r>
      <w:r w:rsidRPr="002C4077">
        <w:t xml:space="preserve"> </w:t>
      </w:r>
      <w:r>
        <w:t>un</w:t>
      </w:r>
      <w:r w:rsidRPr="002C4077">
        <w:t xml:space="preserve"> </w:t>
      </w:r>
      <w:r>
        <w:t>avenir</w:t>
      </w:r>
      <w:r w:rsidRPr="002C4077">
        <w:t xml:space="preserve"> </w:t>
      </w:r>
      <w:r>
        <w:t>trop</w:t>
      </w:r>
      <w:r w:rsidRPr="002C4077">
        <w:t xml:space="preserve"> </w:t>
      </w:r>
      <w:r>
        <w:t>prochain</w:t>
      </w:r>
      <w:r w:rsidRPr="002C4077">
        <w:t xml:space="preserve"> </w:t>
      </w:r>
      <w:r>
        <w:t>la</w:t>
      </w:r>
      <w:r w:rsidRPr="002C4077">
        <w:t xml:space="preserve"> </w:t>
      </w:r>
      <w:r>
        <w:t>venue</w:t>
      </w:r>
      <w:r w:rsidRPr="002C4077">
        <w:t xml:space="preserve"> </w:t>
      </w:r>
      <w:r>
        <w:t>du</w:t>
      </w:r>
      <w:r w:rsidRPr="002C4077">
        <w:t xml:space="preserve"> </w:t>
      </w:r>
      <w:r>
        <w:t>Libérateur</w:t>
      </w:r>
      <w:r w:rsidRPr="002C4077">
        <w:t xml:space="preserve"> </w:t>
      </w:r>
      <w:r>
        <w:t>d’Israël.</w:t>
      </w:r>
      <w:r w:rsidRPr="002C4077">
        <w:t xml:space="preserve"> </w:t>
      </w:r>
      <w:r>
        <w:t>Ce</w:t>
      </w:r>
      <w:r w:rsidRPr="002C4077">
        <w:t xml:space="preserve"> </w:t>
      </w:r>
      <w:r>
        <w:t>sont</w:t>
      </w:r>
      <w:r w:rsidRPr="002C4077">
        <w:t xml:space="preserve"> </w:t>
      </w:r>
      <w:r>
        <w:t>eux</w:t>
      </w:r>
      <w:r w:rsidRPr="002C4077">
        <w:t xml:space="preserve"> </w:t>
      </w:r>
      <w:r>
        <w:t>qui</w:t>
      </w:r>
      <w:r w:rsidRPr="002C4077">
        <w:t xml:space="preserve"> </w:t>
      </w:r>
      <w:r>
        <w:t>font</w:t>
      </w:r>
      <w:r w:rsidRPr="002C4077">
        <w:t xml:space="preserve"> </w:t>
      </w:r>
      <w:r>
        <w:t>erreur</w:t>
      </w:r>
      <w:r w:rsidR="00B546AF">
        <w:t> ;</w:t>
      </w:r>
      <w:r w:rsidRPr="002C4077">
        <w:t xml:space="preserve"> </w:t>
      </w:r>
      <w:r>
        <w:t>mais</w:t>
      </w:r>
      <w:r w:rsidRPr="002C4077">
        <w:t xml:space="preserve"> </w:t>
      </w:r>
      <w:r>
        <w:t>nous</w:t>
      </w:r>
      <w:r w:rsidRPr="002C4077">
        <w:t xml:space="preserve"> </w:t>
      </w:r>
      <w:r>
        <w:t>prenons</w:t>
      </w:r>
      <w:r w:rsidRPr="002C4077">
        <w:t xml:space="preserve"> </w:t>
      </w:r>
      <w:r>
        <w:t>acte</w:t>
      </w:r>
      <w:r w:rsidRPr="002C4077">
        <w:t xml:space="preserve"> </w:t>
      </w:r>
      <w:r>
        <w:t>quand</w:t>
      </w:r>
      <w:r w:rsidRPr="002C4077">
        <w:t xml:space="preserve"> </w:t>
      </w:r>
      <w:r>
        <w:t>même</w:t>
      </w:r>
      <w:r w:rsidRPr="002C4077">
        <w:t xml:space="preserve"> </w:t>
      </w:r>
      <w:r>
        <w:t>de</w:t>
      </w:r>
      <w:r w:rsidRPr="002C4077">
        <w:t xml:space="preserve"> </w:t>
      </w:r>
      <w:r>
        <w:t>leur</w:t>
      </w:r>
      <w:r w:rsidRPr="002C4077">
        <w:t xml:space="preserve"> </w:t>
      </w:r>
      <w:r>
        <w:t>acquiescement</w:t>
      </w:r>
      <w:r w:rsidRPr="002C4077">
        <w:t xml:space="preserve"> </w:t>
      </w:r>
      <w:r>
        <w:t>partiel</w:t>
      </w:r>
      <w:r w:rsidRPr="002C4077">
        <w:t xml:space="preserve"> </w:t>
      </w:r>
      <w:r>
        <w:t>à</w:t>
      </w:r>
      <w:r w:rsidRPr="002C4077">
        <w:t xml:space="preserve"> </w:t>
      </w:r>
      <w:r>
        <w:t>la</w:t>
      </w:r>
      <w:r w:rsidRPr="002C4077">
        <w:t xml:space="preserve"> </w:t>
      </w:r>
      <w:r>
        <w:t>vérité.</w:t>
      </w:r>
      <w:r w:rsidRPr="002C4077">
        <w:t xml:space="preserve"> </w:t>
      </w:r>
      <w:r>
        <w:t>Lorsque</w:t>
      </w:r>
      <w:r w:rsidRPr="002C4077">
        <w:t xml:space="preserve"> </w:t>
      </w:r>
      <w:r>
        <w:t>des</w:t>
      </w:r>
      <w:r w:rsidRPr="002C4077">
        <w:t xml:space="preserve"> </w:t>
      </w:r>
      <w:r>
        <w:t>savants</w:t>
      </w:r>
      <w:r w:rsidRPr="002C4077">
        <w:t xml:space="preserve"> </w:t>
      </w:r>
      <w:r>
        <w:t>d’une</w:t>
      </w:r>
      <w:r w:rsidRPr="002C4077">
        <w:t xml:space="preserve"> </w:t>
      </w:r>
      <w:r>
        <w:t>valeur</w:t>
      </w:r>
      <w:r w:rsidRPr="002C4077">
        <w:t xml:space="preserve"> </w:t>
      </w:r>
      <w:r>
        <w:t>réelle,</w:t>
      </w:r>
      <w:r w:rsidRPr="002C4077">
        <w:t xml:space="preserve"> </w:t>
      </w:r>
      <w:r>
        <w:t>et</w:t>
      </w:r>
      <w:r w:rsidRPr="002C4077">
        <w:t xml:space="preserve"> </w:t>
      </w:r>
      <w:r>
        <w:t>si</w:t>
      </w:r>
      <w:r w:rsidRPr="002C4077">
        <w:t xml:space="preserve"> </w:t>
      </w:r>
      <w:r>
        <w:t>peu</w:t>
      </w:r>
      <w:r w:rsidRPr="002C4077">
        <w:t xml:space="preserve"> </w:t>
      </w:r>
      <w:r>
        <w:t>favorables</w:t>
      </w:r>
      <w:r w:rsidRPr="002C4077">
        <w:t xml:space="preserve"> </w:t>
      </w:r>
      <w:r>
        <w:t>aux</w:t>
      </w:r>
      <w:r w:rsidRPr="002C4077">
        <w:t xml:space="preserve"> </w:t>
      </w:r>
      <w:r>
        <w:t>idées</w:t>
      </w:r>
      <w:r w:rsidRPr="002C4077">
        <w:t xml:space="preserve"> </w:t>
      </w:r>
      <w:r>
        <w:t>religieuses,</w:t>
      </w:r>
      <w:r w:rsidRPr="002C4077">
        <w:t xml:space="preserve"> </w:t>
      </w:r>
      <w:r>
        <w:t>viennent</w:t>
      </w:r>
      <w:r w:rsidRPr="002C4077">
        <w:t xml:space="preserve"> </w:t>
      </w:r>
      <w:r>
        <w:t>nous</w:t>
      </w:r>
      <w:r w:rsidRPr="002C4077">
        <w:t xml:space="preserve"> </w:t>
      </w:r>
      <w:r>
        <w:t>dire,</w:t>
      </w:r>
      <w:r w:rsidRPr="002C4077">
        <w:t xml:space="preserve"> </w:t>
      </w:r>
      <w:r>
        <w:t>après</w:t>
      </w:r>
      <w:r w:rsidRPr="002C4077">
        <w:t xml:space="preserve"> </w:t>
      </w:r>
      <w:r>
        <w:t>avoir</w:t>
      </w:r>
      <w:r w:rsidRPr="002C4077">
        <w:t xml:space="preserve"> </w:t>
      </w:r>
      <w:r>
        <w:t>retourné</w:t>
      </w:r>
      <w:r w:rsidRPr="002C4077">
        <w:t xml:space="preserve"> </w:t>
      </w:r>
      <w:r>
        <w:t>en</w:t>
      </w:r>
      <w:r w:rsidRPr="002C4077">
        <w:t xml:space="preserve"> </w:t>
      </w:r>
      <w:r>
        <w:t>tout</w:t>
      </w:r>
      <w:r w:rsidRPr="002C4077">
        <w:t xml:space="preserve"> </w:t>
      </w:r>
      <w:r>
        <w:t>sens</w:t>
      </w:r>
      <w:r w:rsidRPr="002C4077">
        <w:t xml:space="preserve"> </w:t>
      </w:r>
      <w:r>
        <w:t>un</w:t>
      </w:r>
      <w:r w:rsidRPr="002C4077">
        <w:t xml:space="preserve"> </w:t>
      </w:r>
      <w:r>
        <w:t>oracle</w:t>
      </w:r>
      <w:r w:rsidRPr="002C4077">
        <w:t xml:space="preserve"> </w:t>
      </w:r>
      <w:r>
        <w:t>prophétique</w:t>
      </w:r>
      <w:r w:rsidR="00B546AF">
        <w:t> :</w:t>
      </w:r>
      <w:r w:rsidRPr="002C4077">
        <w:t xml:space="preserve"> </w:t>
      </w:r>
      <w:r>
        <w:t>Ce</w:t>
      </w:r>
      <w:r w:rsidRPr="002C4077">
        <w:t xml:space="preserve"> </w:t>
      </w:r>
      <w:r>
        <w:t>passage,</w:t>
      </w:r>
      <w:r w:rsidRPr="002C4077">
        <w:t xml:space="preserve"> </w:t>
      </w:r>
      <w:r>
        <w:t>dans</w:t>
      </w:r>
      <w:r w:rsidRPr="002C4077">
        <w:t xml:space="preserve"> </w:t>
      </w:r>
      <w:r>
        <w:t>la</w:t>
      </w:r>
      <w:r w:rsidRPr="002C4077">
        <w:t xml:space="preserve"> </w:t>
      </w:r>
      <w:r>
        <w:t>pensée</w:t>
      </w:r>
      <w:r w:rsidRPr="002C4077">
        <w:t xml:space="preserve"> </w:t>
      </w:r>
      <w:r>
        <w:t>de</w:t>
      </w:r>
      <w:r w:rsidRPr="002C4077">
        <w:t xml:space="preserve"> </w:t>
      </w:r>
      <w:r>
        <w:t>son</w:t>
      </w:r>
      <w:r w:rsidRPr="002C4077">
        <w:t xml:space="preserve"> </w:t>
      </w:r>
      <w:r>
        <w:t>auteur,</w:t>
      </w:r>
      <w:r w:rsidRPr="002C4077">
        <w:t xml:space="preserve"> </w:t>
      </w:r>
      <w:r w:rsidR="00425C50">
        <w:t>est</w:t>
      </w:r>
      <w:r w:rsidRPr="002C4077">
        <w:t xml:space="preserve"> </w:t>
      </w:r>
      <w:r>
        <w:t>relatif</w:t>
      </w:r>
      <w:r w:rsidRPr="002C4077">
        <w:t xml:space="preserve"> </w:t>
      </w:r>
      <w:r>
        <w:t>au</w:t>
      </w:r>
      <w:r w:rsidRPr="002C4077">
        <w:t xml:space="preserve"> </w:t>
      </w:r>
      <w:r>
        <w:t>Messie,</w:t>
      </w:r>
      <w:r w:rsidRPr="002C4077">
        <w:t xml:space="preserve"> </w:t>
      </w:r>
      <w:r>
        <w:t>l’on</w:t>
      </w:r>
      <w:r w:rsidRPr="002C4077">
        <w:t xml:space="preserve"> </w:t>
      </w:r>
      <w:r>
        <w:t>peut</w:t>
      </w:r>
      <w:r w:rsidRPr="002C4077">
        <w:t xml:space="preserve"> </w:t>
      </w:r>
      <w:r>
        <w:t>croire</w:t>
      </w:r>
      <w:r w:rsidRPr="002C4077">
        <w:t xml:space="preserve"> </w:t>
      </w:r>
      <w:r>
        <w:t>que</w:t>
      </w:r>
      <w:r w:rsidRPr="002C4077">
        <w:t xml:space="preserve"> </w:t>
      </w:r>
      <w:r>
        <w:t>l’allusion</w:t>
      </w:r>
      <w:r w:rsidRPr="002C4077">
        <w:t xml:space="preserve"> </w:t>
      </w:r>
      <w:r>
        <w:t>au</w:t>
      </w:r>
      <w:r w:rsidRPr="002C4077">
        <w:t xml:space="preserve"> </w:t>
      </w:r>
      <w:r>
        <w:t>Messie</w:t>
      </w:r>
      <w:r w:rsidRPr="002C4077">
        <w:t xml:space="preserve"> </w:t>
      </w:r>
      <w:r w:rsidR="00425C50">
        <w:t>est</w:t>
      </w:r>
      <w:r w:rsidRPr="002C4077">
        <w:t xml:space="preserve"> </w:t>
      </w:r>
      <w:r>
        <w:t>bien</w:t>
      </w:r>
      <w:r w:rsidRPr="002C4077">
        <w:t xml:space="preserve"> </w:t>
      </w:r>
      <w:r>
        <w:t>frappante.</w:t>
      </w:r>
      <w:r w:rsidRPr="002C4077">
        <w:t xml:space="preserve"> </w:t>
      </w:r>
      <w:r>
        <w:t>Et</w:t>
      </w:r>
      <w:r w:rsidRPr="002C4077">
        <w:t xml:space="preserve"> </w:t>
      </w:r>
      <w:r>
        <w:t>elle</w:t>
      </w:r>
      <w:r w:rsidRPr="002C4077">
        <w:t xml:space="preserve"> </w:t>
      </w:r>
      <w:r>
        <w:t>l’est</w:t>
      </w:r>
      <w:r w:rsidRPr="002C4077">
        <w:t xml:space="preserve"> </w:t>
      </w:r>
      <w:r>
        <w:t>en</w:t>
      </w:r>
      <w:r w:rsidRPr="002C4077">
        <w:t xml:space="preserve"> </w:t>
      </w:r>
      <w:r>
        <w:t>effet</w:t>
      </w:r>
      <w:r w:rsidRPr="002C4077">
        <w:t xml:space="preserve"> </w:t>
      </w:r>
      <w:r>
        <w:t>dans</w:t>
      </w:r>
      <w:r w:rsidRPr="002C4077">
        <w:t xml:space="preserve"> </w:t>
      </w:r>
      <w:r>
        <w:t>la</w:t>
      </w:r>
      <w:r w:rsidRPr="002C4077">
        <w:t xml:space="preserve"> </w:t>
      </w:r>
      <w:r>
        <w:t>prédiction</w:t>
      </w:r>
      <w:r w:rsidRPr="002C4077">
        <w:t xml:space="preserve"> </w:t>
      </w:r>
      <w:r>
        <w:t>de</w:t>
      </w:r>
      <w:bookmarkStart w:id="175" w:name="z_RationalistesFaiblesse_o6"/>
      <w:bookmarkEnd w:id="175"/>
      <w:r w:rsidRPr="002C4077">
        <w:t xml:space="preserve"> </w:t>
      </w:r>
      <w:r w:rsidR="00D40830" w:rsidRPr="00D40830">
        <w:t>l’</w:t>
      </w:r>
      <w:r w:rsidR="00D40830" w:rsidRPr="00D05EA9">
        <w:rPr>
          <w:rStyle w:val="italicus"/>
        </w:rPr>
        <w:t>῾almah</w:t>
      </w:r>
      <w:bookmarkStart w:id="176" w:name="z_Almah_o12"/>
      <w:bookmarkEnd w:id="176"/>
      <w:r w:rsidRPr="000A34B5">
        <w:rPr>
          <w:rStyle w:val="italicus"/>
        </w:rPr>
        <w:t>.</w:t>
      </w:r>
      <w:r w:rsidRPr="002C4077">
        <w:t xml:space="preserve"> </w:t>
      </w:r>
    </w:p>
    <w:p w:rsidR="002A5E7A" w:rsidRDefault="002A5E7A" w:rsidP="000A7AAB"/>
    <w:p w:rsidR="000A7AAB" w:rsidRPr="000721C4" w:rsidRDefault="00B546AF" w:rsidP="000A7AAB">
      <w:r>
        <w:lastRenderedPageBreak/>
        <w:t>3.</w:t>
      </w:r>
      <w:r w:rsidRPr="002C4077">
        <w:t xml:space="preserve"> </w:t>
      </w:r>
      <w:r w:rsidRPr="00B546AF">
        <w:rPr>
          <w:rStyle w:val="italicus"/>
        </w:rPr>
        <w:t>L</w:t>
      </w:r>
      <w:r>
        <w:rPr>
          <w:rStyle w:val="italicus"/>
        </w:rPr>
        <w:t>’</w:t>
      </w:r>
      <w:r w:rsidRPr="00B546AF">
        <w:rPr>
          <w:rStyle w:val="italicus"/>
        </w:rPr>
        <w:t>argument</w:t>
      </w:r>
      <w:r w:rsidRPr="002C4077">
        <w:t xml:space="preserve"> </w:t>
      </w:r>
      <w:r w:rsidRPr="00B546AF">
        <w:rPr>
          <w:rStyle w:val="italicus"/>
        </w:rPr>
        <w:t>de</w:t>
      </w:r>
      <w:bookmarkStart w:id="177" w:name="z_TraditionAlmah_o1"/>
      <w:bookmarkEnd w:id="177"/>
      <w:r w:rsidRPr="002C4077">
        <w:t xml:space="preserve"> </w:t>
      </w:r>
      <w:r w:rsidRPr="00B546AF">
        <w:rPr>
          <w:rStyle w:val="italicus"/>
        </w:rPr>
        <w:t>tradition</w:t>
      </w:r>
      <w:bookmarkStart w:id="178" w:name="z_Almah_o13"/>
      <w:bookmarkEnd w:id="178"/>
      <w:r w:rsidRPr="00B546AF">
        <w:rPr>
          <w:rStyle w:val="italicus"/>
        </w:rPr>
        <w:t>.</w:t>
      </w:r>
      <w:r w:rsidRPr="002C4077">
        <w:t xml:space="preserve"> </w:t>
      </w:r>
      <w:r>
        <w:t>—</w:t>
      </w:r>
      <w:r w:rsidRPr="002C4077">
        <w:t xml:space="preserve"> </w:t>
      </w:r>
      <w:r>
        <w:t>Aucun</w:t>
      </w:r>
      <w:r w:rsidRPr="002C4077">
        <w:t xml:space="preserve"> </w:t>
      </w:r>
      <w:r>
        <w:t>de</w:t>
      </w:r>
      <w:r w:rsidRPr="002C4077">
        <w:t xml:space="preserve"> </w:t>
      </w:r>
      <w:r>
        <w:t>nos</w:t>
      </w:r>
      <w:r w:rsidRPr="002C4077">
        <w:t xml:space="preserve"> </w:t>
      </w:r>
      <w:r>
        <w:t>lecteurs</w:t>
      </w:r>
      <w:r w:rsidRPr="002C4077">
        <w:t xml:space="preserve"> </w:t>
      </w:r>
      <w:r>
        <w:t>ne</w:t>
      </w:r>
      <w:r w:rsidRPr="002C4077">
        <w:t xml:space="preserve"> </w:t>
      </w:r>
      <w:r>
        <w:t>le</w:t>
      </w:r>
      <w:r w:rsidRPr="002C4077">
        <w:t xml:space="preserve"> </w:t>
      </w:r>
      <w:r>
        <w:t>niera,</w:t>
      </w:r>
      <w:r w:rsidRPr="002C4077">
        <w:t xml:space="preserve"> </w:t>
      </w:r>
      <w:r>
        <w:t>l’interprétation</w:t>
      </w:r>
      <w:r w:rsidRPr="002C4077">
        <w:t xml:space="preserve"> </w:t>
      </w:r>
      <w:r>
        <w:t>du</w:t>
      </w:r>
      <w:r w:rsidRPr="002C4077">
        <w:t xml:space="preserve"> </w:t>
      </w:r>
      <w:r>
        <w:t>texte</w:t>
      </w:r>
      <w:r w:rsidRPr="002C4077">
        <w:t xml:space="preserve"> </w:t>
      </w:r>
      <w:r>
        <w:t>d’Isaïe</w:t>
      </w:r>
      <w:r w:rsidRPr="002C4077">
        <w:t xml:space="preserve"> </w:t>
      </w:r>
      <w:r>
        <w:t>par</w:t>
      </w:r>
      <w:r w:rsidRPr="002C4077">
        <w:t xml:space="preserve"> </w:t>
      </w:r>
      <w:r>
        <w:t>saint</w:t>
      </w:r>
      <w:r w:rsidRPr="002C4077">
        <w:t xml:space="preserve"> </w:t>
      </w:r>
      <w:r w:rsidR="00425C50">
        <w:t>Matth</w:t>
      </w:r>
      <w:r>
        <w:t>ieu</w:t>
      </w:r>
      <w:r w:rsidRPr="002C4077">
        <w:t xml:space="preserve"> </w:t>
      </w:r>
      <w:r>
        <w:t>vaut</w:t>
      </w:r>
      <w:r w:rsidRPr="002C4077">
        <w:t xml:space="preserve"> </w:t>
      </w:r>
      <w:r>
        <w:t>au</w:t>
      </w:r>
      <w:r w:rsidRPr="002C4077">
        <w:t xml:space="preserve"> </w:t>
      </w:r>
      <w:r>
        <w:t>moins</w:t>
      </w:r>
      <w:r w:rsidRPr="002C4077">
        <w:t xml:space="preserve"> </w:t>
      </w:r>
      <w:r>
        <w:t>autant</w:t>
      </w:r>
      <w:r w:rsidRPr="002C4077">
        <w:t xml:space="preserve"> </w:t>
      </w:r>
      <w:r>
        <w:t>que</w:t>
      </w:r>
      <w:r w:rsidRPr="002C4077">
        <w:t xml:space="preserve"> </w:t>
      </w:r>
      <w:r>
        <w:t>les</w:t>
      </w:r>
      <w:r w:rsidRPr="002C4077">
        <w:t xml:space="preserve"> </w:t>
      </w:r>
      <w:r>
        <w:t>interprétations</w:t>
      </w:r>
      <w:r w:rsidRPr="002C4077">
        <w:t xml:space="preserve"> </w:t>
      </w:r>
      <w:r>
        <w:t>privées,</w:t>
      </w:r>
      <w:r w:rsidRPr="002C4077">
        <w:t xml:space="preserve"> </w:t>
      </w:r>
      <w:r>
        <w:t>souvent</w:t>
      </w:r>
      <w:r w:rsidRPr="002C4077">
        <w:t xml:space="preserve"> </w:t>
      </w:r>
      <w:r>
        <w:t>si</w:t>
      </w:r>
      <w:r w:rsidRPr="002C4077">
        <w:t xml:space="preserve"> </w:t>
      </w:r>
      <w:r>
        <w:t>échevelées,</w:t>
      </w:r>
      <w:r w:rsidRPr="002C4077">
        <w:t xml:space="preserve"> </w:t>
      </w:r>
      <w:r>
        <w:t>des</w:t>
      </w:r>
      <w:r w:rsidRPr="002C4077">
        <w:t xml:space="preserve"> </w:t>
      </w:r>
      <w:r>
        <w:t>rabbins</w:t>
      </w:r>
      <w:r w:rsidRPr="002C4077">
        <w:t xml:space="preserve"> </w:t>
      </w:r>
      <w:r>
        <w:t>an</w:t>
      </w:r>
      <w:r w:rsidR="000A7AAB">
        <w:t>ciens</w:t>
      </w:r>
      <w:r w:rsidR="000A7AAB" w:rsidRPr="002C4077">
        <w:t xml:space="preserve"> </w:t>
      </w:r>
      <w:r w:rsidR="000A7AAB">
        <w:t>et</w:t>
      </w:r>
      <w:r w:rsidR="000A7AAB" w:rsidRPr="002C4077">
        <w:t xml:space="preserve"> </w:t>
      </w:r>
      <w:r w:rsidR="000A7AAB">
        <w:t>modernes,</w:t>
      </w:r>
      <w:r w:rsidR="000A7AAB" w:rsidRPr="002C4077">
        <w:t xml:space="preserve"> </w:t>
      </w:r>
      <w:r w:rsidR="000A7AAB">
        <w:t>et</w:t>
      </w:r>
      <w:r w:rsidR="000A7AAB" w:rsidRPr="002C4077">
        <w:t xml:space="preserve"> </w:t>
      </w:r>
      <w:r w:rsidR="000A7AAB">
        <w:t>des</w:t>
      </w:r>
      <w:r w:rsidR="000A7AAB" w:rsidRPr="002C4077">
        <w:t xml:space="preserve"> </w:t>
      </w:r>
      <w:r w:rsidR="000A7AAB">
        <w:t>rationalistes</w:t>
      </w:r>
      <w:r w:rsidR="000A7AAB" w:rsidRPr="002C4077">
        <w:t xml:space="preserve"> </w:t>
      </w:r>
      <w:r w:rsidR="000A7AAB">
        <w:t>contemporai</w:t>
      </w:r>
      <w:r w:rsidR="00F6492C">
        <w:t>ns</w:t>
      </w:r>
      <w:r w:rsidR="00F6492C">
        <w:rPr>
          <w:rStyle w:val="Appelnotedebasdep"/>
        </w:rPr>
        <w:footnoteReference w:id="145"/>
      </w:r>
      <w:r w:rsidR="00F6492C">
        <w:t>.</w:t>
      </w:r>
      <w:r w:rsidR="00C45B47">
        <w:t xml:space="preserve"> {</w:t>
      </w:r>
      <w:r w:rsidR="000721C4">
        <w:t>50</w:t>
      </w:r>
      <w:bookmarkStart w:id="179" w:name="p050"/>
      <w:bookmarkEnd w:id="179"/>
      <w:r w:rsidR="000721C4">
        <w:t xml:space="preserve">} </w:t>
      </w:r>
    </w:p>
    <w:p w:rsidR="000A7AAB" w:rsidRDefault="000A7AAB" w:rsidP="000A7AAB">
      <w:r>
        <w:t>Saint</w:t>
      </w:r>
      <w:r w:rsidRPr="002C4077">
        <w:t xml:space="preserve"> </w:t>
      </w:r>
      <w:r w:rsidR="00425C50">
        <w:t>Matth</w:t>
      </w:r>
      <w:r>
        <w:t>ieu,</w:t>
      </w:r>
      <w:r w:rsidRPr="002C4077">
        <w:t xml:space="preserve"> </w:t>
      </w:r>
      <w:r>
        <w:t>nous</w:t>
      </w:r>
      <w:r w:rsidRPr="002C4077">
        <w:t xml:space="preserve"> </w:t>
      </w:r>
      <w:r>
        <w:t>l’avons</w:t>
      </w:r>
      <w:r w:rsidRPr="002C4077">
        <w:t xml:space="preserve"> </w:t>
      </w:r>
      <w:r>
        <w:t>vu,</w:t>
      </w:r>
      <w:r w:rsidRPr="002C4077">
        <w:t xml:space="preserve"> </w:t>
      </w:r>
      <w:r>
        <w:t>ne</w:t>
      </w:r>
      <w:r w:rsidRPr="002C4077">
        <w:t xml:space="preserve"> </w:t>
      </w:r>
      <w:r>
        <w:t>pouvait</w:t>
      </w:r>
      <w:r w:rsidRPr="002C4077">
        <w:t xml:space="preserve"> </w:t>
      </w:r>
      <w:r>
        <w:t>pas</w:t>
      </w:r>
      <w:r w:rsidRPr="002C4077">
        <w:t xml:space="preserve"> </w:t>
      </w:r>
      <w:r>
        <w:t>innover</w:t>
      </w:r>
      <w:r w:rsidRPr="002C4077">
        <w:t xml:space="preserve"> </w:t>
      </w:r>
      <w:r>
        <w:t>sur</w:t>
      </w:r>
      <w:r w:rsidRPr="002C4077">
        <w:t xml:space="preserve"> </w:t>
      </w:r>
      <w:r>
        <w:t>un</w:t>
      </w:r>
      <w:r w:rsidRPr="002C4077">
        <w:t xml:space="preserve"> </w:t>
      </w:r>
      <w:r>
        <w:t>point</w:t>
      </w:r>
      <w:r w:rsidRPr="002C4077">
        <w:t xml:space="preserve"> </w:t>
      </w:r>
      <w:r>
        <w:t>d’une</w:t>
      </w:r>
      <w:r w:rsidRPr="002C4077">
        <w:t xml:space="preserve"> </w:t>
      </w:r>
      <w:r>
        <w:t>telle</w:t>
      </w:r>
      <w:r w:rsidRPr="002C4077">
        <w:t xml:space="preserve"> </w:t>
      </w:r>
      <w:r>
        <w:t>importance.</w:t>
      </w:r>
      <w:r w:rsidRPr="002C4077">
        <w:t xml:space="preserve"> </w:t>
      </w:r>
      <w:r>
        <w:t>Et</w:t>
      </w:r>
      <w:r w:rsidRPr="002C4077">
        <w:t xml:space="preserve"> </w:t>
      </w:r>
      <w:r>
        <w:t>puis,</w:t>
      </w:r>
      <w:r w:rsidRPr="002C4077">
        <w:t xml:space="preserve"> </w:t>
      </w:r>
      <w:r>
        <w:t>saint</w:t>
      </w:r>
      <w:r w:rsidRPr="002C4077">
        <w:t xml:space="preserve"> </w:t>
      </w:r>
      <w:r w:rsidR="00425C50">
        <w:t>Matth</w:t>
      </w:r>
      <w:r>
        <w:t>ieu</w:t>
      </w:r>
      <w:r w:rsidRPr="002C4077">
        <w:t xml:space="preserve"> </w:t>
      </w:r>
      <w:r>
        <w:t>n’est</w:t>
      </w:r>
      <w:r w:rsidRPr="002C4077">
        <w:t xml:space="preserve"> </w:t>
      </w:r>
      <w:r>
        <w:t>pas</w:t>
      </w:r>
      <w:r w:rsidRPr="002C4077">
        <w:t xml:space="preserve"> </w:t>
      </w:r>
      <w:r>
        <w:t>seul</w:t>
      </w:r>
      <w:r w:rsidR="00B546AF">
        <w:t> ;</w:t>
      </w:r>
      <w:r w:rsidRPr="002C4077">
        <w:t xml:space="preserve"> </w:t>
      </w:r>
      <w:r>
        <w:t>son</w:t>
      </w:r>
      <w:r w:rsidRPr="002C4077">
        <w:t xml:space="preserve"> </w:t>
      </w:r>
      <w:r>
        <w:t>récit</w:t>
      </w:r>
      <w:r w:rsidRPr="002C4077">
        <w:t xml:space="preserve"> </w:t>
      </w:r>
      <w:r w:rsidR="00425C50">
        <w:t>est</w:t>
      </w:r>
      <w:r w:rsidRPr="002C4077">
        <w:t xml:space="preserve"> </w:t>
      </w:r>
      <w:r>
        <w:t>un</w:t>
      </w:r>
      <w:r w:rsidRPr="002C4077">
        <w:t xml:space="preserve"> </w:t>
      </w:r>
      <w:r>
        <w:t>joyau</w:t>
      </w:r>
      <w:r w:rsidRPr="002C4077">
        <w:t xml:space="preserve"> </w:t>
      </w:r>
      <w:r>
        <w:t>magnifiquement</w:t>
      </w:r>
      <w:r w:rsidRPr="002C4077">
        <w:t xml:space="preserve"> </w:t>
      </w:r>
      <w:r>
        <w:t>enchâssé</w:t>
      </w:r>
      <w:r w:rsidRPr="002C4077">
        <w:t xml:space="preserve"> </w:t>
      </w:r>
      <w:r>
        <w:t>dans</w:t>
      </w:r>
      <w:r w:rsidRPr="002C4077">
        <w:t xml:space="preserve"> </w:t>
      </w:r>
      <w:r>
        <w:t>la</w:t>
      </w:r>
      <w:r w:rsidRPr="002C4077">
        <w:t xml:space="preserve"> </w:t>
      </w:r>
      <w:r>
        <w:t>riche</w:t>
      </w:r>
      <w:r w:rsidRPr="002C4077">
        <w:t xml:space="preserve"> </w:t>
      </w:r>
      <w:r>
        <w:t>couronne</w:t>
      </w:r>
      <w:r w:rsidRPr="002C4077">
        <w:t xml:space="preserve"> </w:t>
      </w:r>
      <w:r>
        <w:t>de</w:t>
      </w:r>
      <w:r w:rsidRPr="002C4077">
        <w:t xml:space="preserve"> </w:t>
      </w:r>
      <w:r>
        <w:t>la</w:t>
      </w:r>
      <w:r w:rsidRPr="002C4077">
        <w:t xml:space="preserve"> </w:t>
      </w:r>
      <w:r>
        <w:t>tradition</w:t>
      </w:r>
      <w:r w:rsidR="00B546AF">
        <w:t> :</w:t>
      </w:r>
      <w:r w:rsidRPr="002C4077">
        <w:t xml:space="preserve"> </w:t>
      </w:r>
      <w:r>
        <w:t>nouvelle</w:t>
      </w:r>
      <w:r w:rsidRPr="002C4077">
        <w:t xml:space="preserve"> </w:t>
      </w:r>
      <w:r>
        <w:t>preuve,</w:t>
      </w:r>
      <w:r w:rsidRPr="002C4077">
        <w:t xml:space="preserve"> </w:t>
      </w:r>
      <w:r>
        <w:t>et</w:t>
      </w:r>
      <w:r w:rsidRPr="002C4077">
        <w:t xml:space="preserve"> </w:t>
      </w:r>
      <w:r>
        <w:t>preuve</w:t>
      </w:r>
      <w:r w:rsidRPr="002C4077">
        <w:t xml:space="preserve"> </w:t>
      </w:r>
      <w:r>
        <w:t>très</w:t>
      </w:r>
      <w:r w:rsidRPr="002C4077">
        <w:t xml:space="preserve"> </w:t>
      </w:r>
      <w:r>
        <w:t>forte,</w:t>
      </w:r>
      <w:r w:rsidRPr="002C4077">
        <w:t xml:space="preserve"> </w:t>
      </w:r>
      <w:r>
        <w:t>que</w:t>
      </w:r>
      <w:r w:rsidRPr="002C4077">
        <w:t xml:space="preserve"> </w:t>
      </w:r>
      <w:r w:rsidR="00D40830" w:rsidRPr="00D40830">
        <w:t>l’</w:t>
      </w:r>
      <w:r w:rsidR="00D40830" w:rsidRPr="00D05EA9">
        <w:rPr>
          <w:rStyle w:val="italicus"/>
        </w:rPr>
        <w:t>῾almah</w:t>
      </w:r>
      <w:r w:rsidRPr="002C4077">
        <w:t xml:space="preserve"> </w:t>
      </w:r>
      <w:r w:rsidR="00425C50">
        <w:t>est</w:t>
      </w:r>
      <w:r w:rsidRPr="002C4077">
        <w:t xml:space="preserve"> </w:t>
      </w:r>
      <w:r>
        <w:t>la</w:t>
      </w:r>
      <w:r w:rsidRPr="002C4077">
        <w:t xml:space="preserve"> </w:t>
      </w:r>
      <w:r>
        <w:t>vierge</w:t>
      </w:r>
      <w:r w:rsidRPr="002C4077">
        <w:t xml:space="preserve"> </w:t>
      </w:r>
      <w:r>
        <w:t>Marie.</w:t>
      </w:r>
      <w:r w:rsidRPr="002C4077">
        <w:t xml:space="preserve"> </w:t>
      </w:r>
    </w:p>
    <w:p w:rsidR="000A7AAB" w:rsidRDefault="000A7AAB" w:rsidP="000A7AAB">
      <w:r>
        <w:t>En</w:t>
      </w:r>
      <w:r w:rsidRPr="002C4077">
        <w:t xml:space="preserve"> </w:t>
      </w:r>
      <w:r>
        <w:t>effet,</w:t>
      </w:r>
      <w:r w:rsidRPr="002C4077">
        <w:t xml:space="preserve"> </w:t>
      </w:r>
      <w:r w:rsidR="00B546AF">
        <w:t>« </w:t>
      </w:r>
      <w:r>
        <w:t>le</w:t>
      </w:r>
      <w:r w:rsidRPr="002C4077">
        <w:t xml:space="preserve"> </w:t>
      </w:r>
      <w:r>
        <w:t>plus,</w:t>
      </w:r>
      <w:r w:rsidRPr="002C4077">
        <w:t xml:space="preserve"> </w:t>
      </w:r>
      <w:r>
        <w:t>sûr</w:t>
      </w:r>
      <w:r w:rsidRPr="002C4077">
        <w:t xml:space="preserve"> </w:t>
      </w:r>
      <w:r>
        <w:t>moyen</w:t>
      </w:r>
      <w:r w:rsidRPr="002C4077">
        <w:t xml:space="preserve"> </w:t>
      </w:r>
      <w:r>
        <w:t>d’établir</w:t>
      </w:r>
      <w:r w:rsidRPr="002C4077">
        <w:t xml:space="preserve"> </w:t>
      </w:r>
      <w:r>
        <w:t>la</w:t>
      </w:r>
      <w:r w:rsidRPr="002C4077">
        <w:t xml:space="preserve"> </w:t>
      </w:r>
      <w:r>
        <w:t>vraie</w:t>
      </w:r>
      <w:r w:rsidRPr="002C4077">
        <w:t xml:space="preserve"> </w:t>
      </w:r>
      <w:r>
        <w:t>signification</w:t>
      </w:r>
      <w:r w:rsidRPr="002C4077">
        <w:t xml:space="preserve"> </w:t>
      </w:r>
      <w:r>
        <w:t>d’un</w:t>
      </w:r>
      <w:r w:rsidRPr="002C4077">
        <w:t xml:space="preserve"> </w:t>
      </w:r>
      <w:r>
        <w:t>terme,</w:t>
      </w:r>
      <w:r w:rsidRPr="002C4077">
        <w:t xml:space="preserve"> </w:t>
      </w:r>
      <w:r>
        <w:t>c’est</w:t>
      </w:r>
      <w:r w:rsidRPr="002C4077">
        <w:t xml:space="preserve"> </w:t>
      </w:r>
      <w:r>
        <w:t>de</w:t>
      </w:r>
      <w:r w:rsidRPr="002C4077">
        <w:t xml:space="preserve"> </w:t>
      </w:r>
      <w:r>
        <w:t>recourir</w:t>
      </w:r>
      <w:r w:rsidRPr="002C4077">
        <w:t xml:space="preserve"> </w:t>
      </w:r>
      <w:r>
        <w:t>au</w:t>
      </w:r>
      <w:r w:rsidRPr="002C4077">
        <w:t xml:space="preserve"> </w:t>
      </w:r>
      <w:r>
        <w:t>sens</w:t>
      </w:r>
      <w:r w:rsidRPr="002C4077">
        <w:t xml:space="preserve"> </w:t>
      </w:r>
      <w:r>
        <w:t>traditionnel</w:t>
      </w:r>
      <w:r w:rsidRPr="002C4077">
        <w:t xml:space="preserve"> </w:t>
      </w:r>
      <w:r>
        <w:t>quand</w:t>
      </w:r>
      <w:r w:rsidRPr="002C4077">
        <w:t xml:space="preserve"> </w:t>
      </w:r>
      <w:r>
        <w:t>il</w:t>
      </w:r>
      <w:r w:rsidRPr="002C4077">
        <w:t xml:space="preserve"> </w:t>
      </w:r>
      <w:r>
        <w:t>en</w:t>
      </w:r>
      <w:r w:rsidRPr="002C4077">
        <w:t xml:space="preserve"> </w:t>
      </w:r>
      <w:r>
        <w:t>existe</w:t>
      </w:r>
      <w:r w:rsidRPr="002C4077">
        <w:t xml:space="preserve"> </w:t>
      </w:r>
      <w:r>
        <w:t>des</w:t>
      </w:r>
      <w:r w:rsidRPr="002C4077">
        <w:t xml:space="preserve"> </w:t>
      </w:r>
      <w:r>
        <w:t>traces.</w:t>
      </w:r>
      <w:r w:rsidRPr="002C4077">
        <w:t xml:space="preserve"> </w:t>
      </w:r>
      <w:r>
        <w:t>Et</w:t>
      </w:r>
      <w:r w:rsidRPr="002C4077">
        <w:t xml:space="preserve"> </w:t>
      </w:r>
      <w:r>
        <w:t>si</w:t>
      </w:r>
      <w:r w:rsidRPr="002C4077">
        <w:t xml:space="preserve"> </w:t>
      </w:r>
      <w:r>
        <w:t>ce</w:t>
      </w:r>
      <w:r w:rsidRPr="002C4077">
        <w:t xml:space="preserve"> </w:t>
      </w:r>
      <w:r>
        <w:t>sens</w:t>
      </w:r>
      <w:r w:rsidRPr="002C4077">
        <w:t xml:space="preserve"> </w:t>
      </w:r>
      <w:r>
        <w:t>traditionnel</w:t>
      </w:r>
      <w:r w:rsidRPr="002C4077">
        <w:t xml:space="preserve"> </w:t>
      </w:r>
      <w:r>
        <w:t>existe,</w:t>
      </w:r>
      <w:r w:rsidRPr="002C4077">
        <w:t xml:space="preserve"> </w:t>
      </w:r>
      <w:r>
        <w:t>et</w:t>
      </w:r>
      <w:r w:rsidRPr="002C4077">
        <w:t xml:space="preserve"> </w:t>
      </w:r>
      <w:r>
        <w:t>qu’il</w:t>
      </w:r>
      <w:r w:rsidRPr="002C4077">
        <w:t xml:space="preserve"> </w:t>
      </w:r>
      <w:r>
        <w:t>soit</w:t>
      </w:r>
      <w:r w:rsidRPr="002C4077">
        <w:t xml:space="preserve"> </w:t>
      </w:r>
      <w:r>
        <w:t>confirmé</w:t>
      </w:r>
      <w:r w:rsidRPr="002C4077">
        <w:t xml:space="preserve"> </w:t>
      </w:r>
      <w:r>
        <w:t>par</w:t>
      </w:r>
      <w:r w:rsidRPr="002C4077">
        <w:t xml:space="preserve"> </w:t>
      </w:r>
      <w:r>
        <w:t>l’usage</w:t>
      </w:r>
      <w:r w:rsidRPr="002C4077">
        <w:t xml:space="preserve"> </w:t>
      </w:r>
      <w:r>
        <w:t>de</w:t>
      </w:r>
      <w:r w:rsidRPr="002C4077">
        <w:t xml:space="preserve"> </w:t>
      </w:r>
      <w:r>
        <w:t>la</w:t>
      </w:r>
      <w:r w:rsidRPr="002C4077">
        <w:t xml:space="preserve"> </w:t>
      </w:r>
      <w:r>
        <w:t>langue</w:t>
      </w:r>
      <w:r w:rsidRPr="002C4077">
        <w:t xml:space="preserve"> </w:t>
      </w:r>
      <w:r>
        <w:t>et</w:t>
      </w:r>
      <w:r w:rsidRPr="002C4077">
        <w:t xml:space="preserve"> </w:t>
      </w:r>
      <w:r>
        <w:t>par</w:t>
      </w:r>
      <w:r w:rsidRPr="002C4077">
        <w:t xml:space="preserve"> </w:t>
      </w:r>
      <w:r>
        <w:t>l’étymologie,</w:t>
      </w:r>
      <w:r w:rsidRPr="002C4077">
        <w:t xml:space="preserve"> </w:t>
      </w:r>
      <w:r>
        <w:t>on</w:t>
      </w:r>
      <w:r w:rsidRPr="002C4077">
        <w:t xml:space="preserve"> </w:t>
      </w:r>
      <w:r>
        <w:t>peut</w:t>
      </w:r>
      <w:r w:rsidRPr="002C4077">
        <w:t xml:space="preserve"> </w:t>
      </w:r>
      <w:r>
        <w:t>dire</w:t>
      </w:r>
      <w:r w:rsidRPr="002C4077">
        <w:t xml:space="preserve"> </w:t>
      </w:r>
      <w:r>
        <w:t>que</w:t>
      </w:r>
      <w:r w:rsidRPr="002C4077">
        <w:t xml:space="preserve"> </w:t>
      </w:r>
      <w:r>
        <w:t>la</w:t>
      </w:r>
      <w:r w:rsidRPr="002C4077">
        <w:t xml:space="preserve"> </w:t>
      </w:r>
      <w:r>
        <w:t>signification</w:t>
      </w:r>
      <w:r w:rsidRPr="002C4077">
        <w:t xml:space="preserve"> </w:t>
      </w:r>
      <w:r>
        <w:t>qu’on</w:t>
      </w:r>
      <w:r w:rsidRPr="002C4077">
        <w:t xml:space="preserve"> </w:t>
      </w:r>
      <w:r>
        <w:t>cherchait</w:t>
      </w:r>
      <w:r w:rsidRPr="002C4077">
        <w:t xml:space="preserve"> </w:t>
      </w:r>
      <w:r w:rsidR="00425C50">
        <w:t>est</w:t>
      </w:r>
      <w:r w:rsidRPr="002C4077">
        <w:t xml:space="preserve"> </w:t>
      </w:r>
      <w:r>
        <w:t>démontrée</w:t>
      </w:r>
      <w:r w:rsidRPr="002C4077">
        <w:t xml:space="preserve"> </w:t>
      </w:r>
      <w:r>
        <w:t>autant</w:t>
      </w:r>
      <w:r w:rsidRPr="002C4077">
        <w:t xml:space="preserve"> </w:t>
      </w:r>
      <w:r>
        <w:t>que</w:t>
      </w:r>
      <w:r w:rsidRPr="002C4077">
        <w:t xml:space="preserve"> </w:t>
      </w:r>
      <w:r>
        <w:t>possible</w:t>
      </w:r>
      <w:r w:rsidR="00B91AF7">
        <w:rPr>
          <w:rStyle w:val="Appelnotedebasdep"/>
        </w:rPr>
        <w:footnoteReference w:id="146"/>
      </w:r>
      <w:r w:rsidR="00B546AF">
        <w:t> »</w:t>
      </w:r>
      <w:r>
        <w:t>.</w:t>
      </w:r>
      <w:r w:rsidRPr="002C4077">
        <w:t xml:space="preserve"> </w:t>
      </w:r>
    </w:p>
    <w:p w:rsidR="000A7AAB" w:rsidRPr="000721C4" w:rsidRDefault="000A7AAB" w:rsidP="000A7AAB">
      <w:r>
        <w:t>Autour</w:t>
      </w:r>
      <w:r w:rsidRPr="002C4077">
        <w:t xml:space="preserve"> </w:t>
      </w:r>
      <w:r>
        <w:t>de</w:t>
      </w:r>
      <w:r w:rsidRPr="002C4077">
        <w:t xml:space="preserve"> </w:t>
      </w:r>
      <w:r>
        <w:t>l’interprétation</w:t>
      </w:r>
      <w:r w:rsidRPr="002C4077">
        <w:t xml:space="preserve"> </w:t>
      </w:r>
      <w:r>
        <w:t>donnée</w:t>
      </w:r>
      <w:r w:rsidRPr="002C4077">
        <w:t xml:space="preserve"> </w:t>
      </w:r>
      <w:r>
        <w:t>par</w:t>
      </w:r>
      <w:r w:rsidRPr="002C4077">
        <w:t xml:space="preserve"> </w:t>
      </w:r>
      <w:r>
        <w:t>l’Évangile</w:t>
      </w:r>
      <w:r w:rsidRPr="002C4077">
        <w:t xml:space="preserve"> </w:t>
      </w:r>
      <w:r>
        <w:t>à</w:t>
      </w:r>
      <w:r w:rsidRPr="002C4077">
        <w:t xml:space="preserve"> </w:t>
      </w:r>
      <w:r>
        <w:t>l’oracle</w:t>
      </w:r>
      <w:r w:rsidRPr="002C4077">
        <w:t xml:space="preserve"> </w:t>
      </w:r>
      <w:r>
        <w:t>de</w:t>
      </w:r>
      <w:r w:rsidRPr="002C4077">
        <w:t xml:space="preserve"> </w:t>
      </w:r>
      <w:r w:rsidR="00D40830" w:rsidRPr="00D40830">
        <w:t>l’</w:t>
      </w:r>
      <w:r w:rsidR="00D40830" w:rsidRPr="00D05EA9">
        <w:rPr>
          <w:rStyle w:val="italicus"/>
        </w:rPr>
        <w:t>῾almah</w:t>
      </w:r>
      <w:r w:rsidRPr="002C4077">
        <w:t xml:space="preserve"> </w:t>
      </w:r>
      <w:r>
        <w:t>nous</w:t>
      </w:r>
      <w:r w:rsidRPr="002C4077">
        <w:t xml:space="preserve"> </w:t>
      </w:r>
      <w:r>
        <w:t>trouvons</w:t>
      </w:r>
      <w:r w:rsidRPr="002C4077">
        <w:t xml:space="preserve"> </w:t>
      </w:r>
      <w:r>
        <w:t>une</w:t>
      </w:r>
      <w:r w:rsidRPr="002C4077">
        <w:t xml:space="preserve"> </w:t>
      </w:r>
      <w:r>
        <w:t>double</w:t>
      </w:r>
      <w:r w:rsidRPr="002C4077">
        <w:t xml:space="preserve"> </w:t>
      </w:r>
      <w:r>
        <w:t>tradition</w:t>
      </w:r>
      <w:r w:rsidR="00B546AF">
        <w:t> :</w:t>
      </w:r>
      <w:r w:rsidRPr="002C4077">
        <w:t xml:space="preserve"> </w:t>
      </w:r>
      <w:r>
        <w:t>celle</w:t>
      </w:r>
      <w:r w:rsidRPr="002C4077">
        <w:t xml:space="preserve"> </w:t>
      </w:r>
      <w:r>
        <w:t>des</w:t>
      </w:r>
      <w:r w:rsidRPr="002C4077">
        <w:t xml:space="preserve"> </w:t>
      </w:r>
      <w:r>
        <w:t>Juifs,</w:t>
      </w:r>
      <w:r w:rsidRPr="002C4077">
        <w:t xml:space="preserve"> </w:t>
      </w:r>
      <w:r>
        <w:t>et</w:t>
      </w:r>
      <w:r w:rsidRPr="002C4077">
        <w:t xml:space="preserve"> </w:t>
      </w:r>
      <w:r>
        <w:t>celle</w:t>
      </w:r>
      <w:r w:rsidRPr="002C4077">
        <w:t xml:space="preserve"> </w:t>
      </w:r>
      <w:r>
        <w:t>des</w:t>
      </w:r>
      <w:r w:rsidRPr="002C4077">
        <w:t xml:space="preserve"> </w:t>
      </w:r>
      <w:r>
        <w:t>chrétiens.</w:t>
      </w:r>
      <w:r w:rsidRPr="002C4077">
        <w:t xml:space="preserve"> </w:t>
      </w:r>
      <w:r>
        <w:t>Cette</w:t>
      </w:r>
      <w:r w:rsidRPr="002C4077">
        <w:t xml:space="preserve"> </w:t>
      </w:r>
      <w:r>
        <w:t>dernière</w:t>
      </w:r>
      <w:r w:rsidRPr="002C4077">
        <w:t xml:space="preserve"> </w:t>
      </w:r>
      <w:r w:rsidR="00425C50">
        <w:t>est</w:t>
      </w:r>
      <w:r w:rsidRPr="002C4077">
        <w:t xml:space="preserve"> </w:t>
      </w:r>
      <w:r>
        <w:t>évidente</w:t>
      </w:r>
      <w:r w:rsidR="00B546AF">
        <w:t> ;</w:t>
      </w:r>
      <w:r w:rsidRPr="002C4077">
        <w:t xml:space="preserve"> </w:t>
      </w:r>
      <w:r>
        <w:t>nous</w:t>
      </w:r>
      <w:r w:rsidRPr="002C4077">
        <w:t xml:space="preserve"> </w:t>
      </w:r>
      <w:r>
        <w:t>nous</w:t>
      </w:r>
      <w:r w:rsidRPr="002C4077">
        <w:t xml:space="preserve"> </w:t>
      </w:r>
      <w:r>
        <w:t>bornerons</w:t>
      </w:r>
      <w:r w:rsidRPr="002C4077">
        <w:t xml:space="preserve"> </w:t>
      </w:r>
      <w:r>
        <w:t>donc</w:t>
      </w:r>
      <w:r w:rsidRPr="002C4077">
        <w:t xml:space="preserve"> </w:t>
      </w:r>
      <w:r>
        <w:t>à</w:t>
      </w:r>
      <w:r w:rsidRPr="002C4077">
        <w:t xml:space="preserve"> </w:t>
      </w:r>
      <w:r>
        <w:t>la</w:t>
      </w:r>
      <w:r w:rsidRPr="002C4077">
        <w:t xml:space="preserve"> </w:t>
      </w:r>
      <w:r>
        <w:t>mentionner.</w:t>
      </w:r>
      <w:r w:rsidRPr="002C4077">
        <w:t xml:space="preserve"> </w:t>
      </w:r>
      <w:r>
        <w:t>Son</w:t>
      </w:r>
      <w:r w:rsidRPr="002C4077">
        <w:t xml:space="preserve"> </w:t>
      </w:r>
      <w:r>
        <w:t>poids</w:t>
      </w:r>
      <w:r w:rsidRPr="002C4077">
        <w:t xml:space="preserve"> </w:t>
      </w:r>
      <w:r w:rsidR="00425C50">
        <w:t>est</w:t>
      </w:r>
      <w:r w:rsidRPr="002C4077">
        <w:t xml:space="preserve"> </w:t>
      </w:r>
      <w:r>
        <w:t>énorme,</w:t>
      </w:r>
      <w:r w:rsidRPr="002C4077">
        <w:t xml:space="preserve"> </w:t>
      </w:r>
      <w:r>
        <w:t>assurément,</w:t>
      </w:r>
      <w:r w:rsidRPr="002C4077">
        <w:t xml:space="preserve"> </w:t>
      </w:r>
      <w:r>
        <w:t>car</w:t>
      </w:r>
      <w:r w:rsidRPr="002C4077">
        <w:t xml:space="preserve"> </w:t>
      </w:r>
      <w:r>
        <w:t>1°</w:t>
      </w:r>
      <w:r w:rsidRPr="002C4077">
        <w:t xml:space="preserve"> </w:t>
      </w:r>
      <w:r>
        <w:t>elle</w:t>
      </w:r>
      <w:r w:rsidRPr="002C4077">
        <w:t xml:space="preserve"> </w:t>
      </w:r>
      <w:r w:rsidR="00425C50">
        <w:t>est</w:t>
      </w:r>
      <w:r w:rsidRPr="002C4077">
        <w:t xml:space="preserve"> </w:t>
      </w:r>
      <w:r>
        <w:t>unanime,</w:t>
      </w:r>
      <w:r w:rsidRPr="002C4077">
        <w:t xml:space="preserve"> </w:t>
      </w:r>
      <w:r>
        <w:t>tout</w:t>
      </w:r>
      <w:r w:rsidRPr="002C4077">
        <w:t xml:space="preserve"> </w:t>
      </w:r>
      <w:r>
        <w:t>à</w:t>
      </w:r>
      <w:r w:rsidRPr="002C4077">
        <w:t xml:space="preserve"> </w:t>
      </w:r>
      <w:r>
        <w:t>fait</w:t>
      </w:r>
      <w:r w:rsidRPr="002C4077">
        <w:t xml:space="preserve"> </w:t>
      </w:r>
      <w:r>
        <w:t>antique,</w:t>
      </w:r>
      <w:r w:rsidRPr="002C4077">
        <w:t xml:space="preserve"> </w:t>
      </w:r>
      <w:r>
        <w:t>et</w:t>
      </w:r>
      <w:r w:rsidRPr="002C4077">
        <w:t xml:space="preserve"> </w:t>
      </w:r>
      <w:r>
        <w:t>se</w:t>
      </w:r>
      <w:r w:rsidRPr="002C4077">
        <w:t xml:space="preserve"> </w:t>
      </w:r>
      <w:r>
        <w:t>rencontre</w:t>
      </w:r>
      <w:r w:rsidRPr="002C4077">
        <w:t xml:space="preserve"> </w:t>
      </w:r>
      <w:r>
        <w:t>aussi</w:t>
      </w:r>
      <w:r w:rsidRPr="002C4077">
        <w:t xml:space="preserve"> </w:t>
      </w:r>
      <w:r>
        <w:t>bien</w:t>
      </w:r>
      <w:r w:rsidRPr="002C4077">
        <w:t xml:space="preserve"> </w:t>
      </w:r>
      <w:r>
        <w:t>chez</w:t>
      </w:r>
      <w:r w:rsidRPr="002C4077">
        <w:t xml:space="preserve"> </w:t>
      </w:r>
      <w:r>
        <w:t>les</w:t>
      </w:r>
      <w:r w:rsidRPr="002C4077">
        <w:t xml:space="preserve"> </w:t>
      </w:r>
      <w:r>
        <w:t>Pères</w:t>
      </w:r>
      <w:r w:rsidRPr="002C4077">
        <w:t xml:space="preserve"> </w:t>
      </w:r>
      <w:r>
        <w:t>amis</w:t>
      </w:r>
      <w:r w:rsidRPr="002C4077">
        <w:t xml:space="preserve"> </w:t>
      </w:r>
      <w:r>
        <w:t>du</w:t>
      </w:r>
      <w:r w:rsidRPr="002C4077">
        <w:t xml:space="preserve"> </w:t>
      </w:r>
      <w:r>
        <w:t>symbolisme</w:t>
      </w:r>
      <w:r w:rsidRPr="002C4077">
        <w:t xml:space="preserve"> </w:t>
      </w:r>
      <w:r>
        <w:t>et</w:t>
      </w:r>
      <w:r w:rsidRPr="002C4077">
        <w:t xml:space="preserve"> </w:t>
      </w:r>
      <w:r>
        <w:t>de</w:t>
      </w:r>
      <w:r w:rsidRPr="002C4077">
        <w:t xml:space="preserve"> </w:t>
      </w:r>
      <w:r>
        <w:t>l’allégorie</w:t>
      </w:r>
      <w:r w:rsidR="00B546AF">
        <w:rPr>
          <w:rStyle w:val="Appelnotedebasdep"/>
        </w:rPr>
        <w:footnoteReference w:id="147"/>
      </w:r>
      <w:r w:rsidRPr="002C4077">
        <w:t xml:space="preserve"> </w:t>
      </w:r>
      <w:r>
        <w:t>que</w:t>
      </w:r>
      <w:r w:rsidRPr="002C4077">
        <w:t xml:space="preserve"> </w:t>
      </w:r>
      <w:r>
        <w:t>chez</w:t>
      </w:r>
      <w:r w:rsidRPr="002C4077">
        <w:t xml:space="preserve"> </w:t>
      </w:r>
      <w:r>
        <w:t>les</w:t>
      </w:r>
      <w:r w:rsidRPr="002C4077">
        <w:t xml:space="preserve"> </w:t>
      </w:r>
      <w:r>
        <w:t>partisans</w:t>
      </w:r>
      <w:r w:rsidRPr="002C4077">
        <w:t xml:space="preserve"> </w:t>
      </w:r>
      <w:r>
        <w:t>les</w:t>
      </w:r>
      <w:r w:rsidRPr="002C4077">
        <w:t xml:space="preserve"> </w:t>
      </w:r>
      <w:r>
        <w:t>plus</w:t>
      </w:r>
      <w:r w:rsidRPr="002C4077">
        <w:t xml:space="preserve"> </w:t>
      </w:r>
      <w:r>
        <w:t>stricts</w:t>
      </w:r>
      <w:r w:rsidRPr="002C4077">
        <w:t xml:space="preserve"> </w:t>
      </w:r>
      <w:r>
        <w:t>du</w:t>
      </w:r>
      <w:r w:rsidRPr="002C4077">
        <w:t xml:space="preserve"> </w:t>
      </w:r>
      <w:r>
        <w:t>sens</w:t>
      </w:r>
      <w:r w:rsidRPr="002C4077">
        <w:t xml:space="preserve"> </w:t>
      </w:r>
      <w:r>
        <w:t>littéral</w:t>
      </w:r>
      <w:r w:rsidR="00B546AF">
        <w:t> ;</w:t>
      </w:r>
      <w:r w:rsidRPr="002C4077">
        <w:t xml:space="preserve"> </w:t>
      </w:r>
      <w:r>
        <w:t>2°</w:t>
      </w:r>
      <w:r w:rsidRPr="002C4077">
        <w:t xml:space="preserve"> </w:t>
      </w:r>
      <w:r>
        <w:t>elle</w:t>
      </w:r>
      <w:r w:rsidRPr="002C4077">
        <w:t xml:space="preserve"> </w:t>
      </w:r>
      <w:r w:rsidR="00425C50">
        <w:t>est</w:t>
      </w:r>
      <w:r w:rsidRPr="002C4077">
        <w:t xml:space="preserve"> </w:t>
      </w:r>
      <w:r>
        <w:t>indépendante</w:t>
      </w:r>
      <w:r w:rsidRPr="002C4077">
        <w:t xml:space="preserve"> </w:t>
      </w:r>
      <w:r>
        <w:t>du</w:t>
      </w:r>
      <w:r w:rsidRPr="002C4077">
        <w:t xml:space="preserve"> </w:t>
      </w:r>
      <w:r>
        <w:t>texte</w:t>
      </w:r>
      <w:r w:rsidRPr="002C4077">
        <w:t xml:space="preserve"> </w:t>
      </w:r>
      <w:r>
        <w:t>de</w:t>
      </w:r>
      <w:r w:rsidRPr="002C4077">
        <w:t xml:space="preserve"> </w:t>
      </w:r>
      <w:r>
        <w:t>saint</w:t>
      </w:r>
      <w:r w:rsidRPr="002C4077">
        <w:t xml:space="preserve"> </w:t>
      </w:r>
      <w:r w:rsidR="00425C50">
        <w:t>Matth</w:t>
      </w:r>
      <w:r>
        <w:t>ieu,</w:t>
      </w:r>
      <w:r w:rsidRPr="002C4077">
        <w:t xml:space="preserve"> </w:t>
      </w:r>
      <w:r>
        <w:t>puisque</w:t>
      </w:r>
      <w:r w:rsidRPr="002C4077">
        <w:t xml:space="preserve"> </w:t>
      </w:r>
      <w:r>
        <w:t>les</w:t>
      </w:r>
      <w:r w:rsidRPr="002C4077">
        <w:t xml:space="preserve"> </w:t>
      </w:r>
      <w:r>
        <w:t>anciens</w:t>
      </w:r>
      <w:r w:rsidRPr="002C4077">
        <w:t xml:space="preserve"> </w:t>
      </w:r>
      <w:r>
        <w:t>écrivains</w:t>
      </w:r>
      <w:r w:rsidRPr="002C4077">
        <w:t xml:space="preserve"> </w:t>
      </w:r>
      <w:r>
        <w:t>qui</w:t>
      </w:r>
      <w:r w:rsidRPr="002C4077">
        <w:t xml:space="preserve"> </w:t>
      </w:r>
      <w:r>
        <w:t>lui</w:t>
      </w:r>
      <w:r w:rsidRPr="002C4077">
        <w:t xml:space="preserve"> </w:t>
      </w:r>
      <w:r>
        <w:t>servent</w:t>
      </w:r>
      <w:r w:rsidRPr="002C4077">
        <w:t xml:space="preserve"> </w:t>
      </w:r>
      <w:r>
        <w:t>d’organes</w:t>
      </w:r>
      <w:r w:rsidRPr="002C4077">
        <w:t xml:space="preserve"> </w:t>
      </w:r>
      <w:r>
        <w:t>répondent</w:t>
      </w:r>
      <w:r w:rsidRPr="002C4077">
        <w:t xml:space="preserve"> </w:t>
      </w:r>
      <w:r>
        <w:t>aux</w:t>
      </w:r>
      <w:r w:rsidRPr="002C4077">
        <w:t xml:space="preserve"> </w:t>
      </w:r>
      <w:r>
        <w:t>objections</w:t>
      </w:r>
      <w:r w:rsidRPr="002C4077">
        <w:t xml:space="preserve"> </w:t>
      </w:r>
      <w:r>
        <w:t>des</w:t>
      </w:r>
      <w:r w:rsidRPr="002C4077">
        <w:t xml:space="preserve"> </w:t>
      </w:r>
      <w:r>
        <w:t>Juifs</w:t>
      </w:r>
      <w:r w:rsidRPr="002C4077">
        <w:t xml:space="preserve"> </w:t>
      </w:r>
      <w:r>
        <w:t>et</w:t>
      </w:r>
      <w:r w:rsidRPr="002C4077">
        <w:t xml:space="preserve"> </w:t>
      </w:r>
      <w:r>
        <w:t>raisonnent</w:t>
      </w:r>
      <w:r w:rsidRPr="002C4077">
        <w:t xml:space="preserve"> </w:t>
      </w:r>
      <w:r>
        <w:t>d’après</w:t>
      </w:r>
      <w:r w:rsidRPr="002C4077">
        <w:t xml:space="preserve"> </w:t>
      </w:r>
      <w:r>
        <w:t>les</w:t>
      </w:r>
      <w:r w:rsidRPr="002C4077">
        <w:t xml:space="preserve"> </w:t>
      </w:r>
      <w:r>
        <w:t>Septante,</w:t>
      </w:r>
      <w:r w:rsidRPr="002C4077">
        <w:t xml:space="preserve"> </w:t>
      </w:r>
      <w:r>
        <w:t>d’après</w:t>
      </w:r>
      <w:r w:rsidRPr="002C4077">
        <w:t xml:space="preserve"> </w:t>
      </w:r>
      <w:r>
        <w:t>la</w:t>
      </w:r>
      <w:r w:rsidRPr="002C4077">
        <w:t xml:space="preserve"> </w:t>
      </w:r>
      <w:r>
        <w:t>Bible</w:t>
      </w:r>
      <w:r w:rsidRPr="002C4077">
        <w:t xml:space="preserve"> </w:t>
      </w:r>
      <w:r>
        <w:t>hébraïque.</w:t>
      </w:r>
      <w:r w:rsidRPr="002C4077">
        <w:t xml:space="preserve"> </w:t>
      </w:r>
      <w:r>
        <w:t>Certes,</w:t>
      </w:r>
      <w:r w:rsidRPr="002C4077">
        <w:t xml:space="preserve"> </w:t>
      </w:r>
      <w:r>
        <w:t>des</w:t>
      </w:r>
      <w:r w:rsidRPr="002C4077">
        <w:t xml:space="preserve"> </w:t>
      </w:r>
      <w:r>
        <w:t>génies</w:t>
      </w:r>
      <w:r w:rsidRPr="002C4077">
        <w:t xml:space="preserve"> </w:t>
      </w:r>
      <w:r>
        <w:t>de</w:t>
      </w:r>
      <w:r w:rsidRPr="002C4077">
        <w:t xml:space="preserve"> </w:t>
      </w:r>
      <w:r>
        <w:t>la</w:t>
      </w:r>
      <w:r w:rsidRPr="002C4077">
        <w:t xml:space="preserve"> </w:t>
      </w:r>
      <w:r>
        <w:t>trempe</w:t>
      </w:r>
      <w:r w:rsidRPr="002C4077">
        <w:t xml:space="preserve"> </w:t>
      </w:r>
      <w:r>
        <w:t>de</w:t>
      </w:r>
      <w:r w:rsidRPr="002C4077">
        <w:t xml:space="preserve"> </w:t>
      </w:r>
      <w:r>
        <w:t>saint</w:t>
      </w:r>
      <w:r w:rsidRPr="002C4077">
        <w:t xml:space="preserve"> </w:t>
      </w:r>
      <w:r>
        <w:t>Justin,</w:t>
      </w:r>
      <w:r w:rsidRPr="002C4077">
        <w:t xml:space="preserve"> </w:t>
      </w:r>
      <w:r>
        <w:t>d’Origène,</w:t>
      </w:r>
      <w:r w:rsidRPr="002C4077">
        <w:t xml:space="preserve"> </w:t>
      </w:r>
      <w:r>
        <w:t>de</w:t>
      </w:r>
      <w:r w:rsidRPr="002C4077">
        <w:t xml:space="preserve"> </w:t>
      </w:r>
      <w:r>
        <w:t>saint</w:t>
      </w:r>
      <w:r w:rsidRPr="002C4077">
        <w:t xml:space="preserve"> </w:t>
      </w:r>
      <w:r>
        <w:t>Irénée,</w:t>
      </w:r>
      <w:r w:rsidRPr="002C4077">
        <w:t xml:space="preserve"> </w:t>
      </w:r>
      <w:r>
        <w:t>de</w:t>
      </w:r>
      <w:r w:rsidRPr="002C4077">
        <w:t xml:space="preserve"> </w:t>
      </w:r>
      <w:r>
        <w:t>saint</w:t>
      </w:r>
      <w:r w:rsidRPr="002C4077">
        <w:t xml:space="preserve"> </w:t>
      </w:r>
      <w:r>
        <w:t>Jean</w:t>
      </w:r>
      <w:r w:rsidRPr="002C4077">
        <w:t xml:space="preserve"> </w:t>
      </w:r>
      <w:r>
        <w:t>Chrysostome,</w:t>
      </w:r>
      <w:r w:rsidRPr="002C4077">
        <w:t xml:space="preserve"> </w:t>
      </w:r>
      <w:r>
        <w:t>de</w:t>
      </w:r>
      <w:r w:rsidRPr="002C4077">
        <w:t xml:space="preserve"> </w:t>
      </w:r>
      <w:r>
        <w:t>saint</w:t>
      </w:r>
      <w:r w:rsidRPr="002C4077">
        <w:t xml:space="preserve"> </w:t>
      </w:r>
      <w:r>
        <w:t>Jérôme,</w:t>
      </w:r>
      <w:r w:rsidRPr="002C4077">
        <w:t xml:space="preserve"> </w:t>
      </w:r>
      <w:r>
        <w:t>de</w:t>
      </w:r>
      <w:r w:rsidRPr="002C4077">
        <w:t xml:space="preserve"> </w:t>
      </w:r>
      <w:r>
        <w:t>saint</w:t>
      </w:r>
      <w:r w:rsidRPr="002C4077">
        <w:t xml:space="preserve"> </w:t>
      </w:r>
      <w:r>
        <w:t>Cyprien,</w:t>
      </w:r>
      <w:r w:rsidRPr="002C4077">
        <w:t xml:space="preserve"> </w:t>
      </w:r>
      <w:r>
        <w:t>de</w:t>
      </w:r>
      <w:r w:rsidRPr="002C4077">
        <w:t xml:space="preserve"> </w:t>
      </w:r>
      <w:r>
        <w:t>saint</w:t>
      </w:r>
      <w:r w:rsidRPr="002C4077">
        <w:t xml:space="preserve"> </w:t>
      </w:r>
      <w:r>
        <w:t>Augustin,</w:t>
      </w:r>
      <w:r w:rsidRPr="002C4077">
        <w:t xml:space="preserve"> </w:t>
      </w:r>
      <w:r w:rsidR="00425C50">
        <w:t>etc</w:t>
      </w:r>
      <w:r>
        <w:t>.,</w:t>
      </w:r>
      <w:r w:rsidRPr="002C4077">
        <w:t xml:space="preserve"> </w:t>
      </w:r>
      <w:r>
        <w:t>contrebalancent</w:t>
      </w:r>
      <w:r w:rsidRPr="002C4077">
        <w:t xml:space="preserve"> </w:t>
      </w:r>
      <w:r>
        <w:t>bien</w:t>
      </w:r>
      <w:r w:rsidRPr="002C4077">
        <w:t xml:space="preserve"> </w:t>
      </w:r>
      <w:r>
        <w:t>l’autorité</w:t>
      </w:r>
      <w:r w:rsidRPr="002C4077">
        <w:t xml:space="preserve"> </w:t>
      </w:r>
      <w:r>
        <w:t>d’un</w:t>
      </w:r>
      <w:r w:rsidRPr="002C4077">
        <w:t xml:space="preserve"> </w:t>
      </w:r>
      <w:r w:rsidR="00CF3BB3">
        <w:t>Küper</w:t>
      </w:r>
      <w:r>
        <w:t>,</w:t>
      </w:r>
      <w:r w:rsidRPr="002C4077">
        <w:t xml:space="preserve"> </w:t>
      </w:r>
      <w:r>
        <w:t>d’un</w:t>
      </w:r>
      <w:r w:rsidRPr="002C4077">
        <w:t xml:space="preserve"> </w:t>
      </w:r>
      <w:r>
        <w:t>Duhm,</w:t>
      </w:r>
      <w:r w:rsidRPr="002C4077">
        <w:t xml:space="preserve"> </w:t>
      </w:r>
      <w:r>
        <w:t>d’un</w:t>
      </w:r>
      <w:r w:rsidRPr="002C4077">
        <w:t xml:space="preserve"> </w:t>
      </w:r>
      <w:r>
        <w:t>Anger,</w:t>
      </w:r>
      <w:r w:rsidRPr="002C4077">
        <w:t xml:space="preserve"> </w:t>
      </w:r>
      <w:r>
        <w:t>d’un</w:t>
      </w:r>
      <w:r w:rsidRPr="002C4077">
        <w:t xml:space="preserve"> </w:t>
      </w:r>
      <w:r>
        <w:t>Reuss,</w:t>
      </w:r>
      <w:r w:rsidRPr="002C4077">
        <w:t xml:space="preserve"> </w:t>
      </w:r>
      <w:r>
        <w:t>d’un</w:t>
      </w:r>
      <w:r w:rsidRPr="002C4077">
        <w:t xml:space="preserve"> </w:t>
      </w:r>
      <w:r>
        <w:t>Umbreit,</w:t>
      </w:r>
      <w:r w:rsidRPr="002C4077">
        <w:t xml:space="preserve"> </w:t>
      </w:r>
      <w:r>
        <w:t>même</w:t>
      </w:r>
      <w:r w:rsidRPr="002C4077">
        <w:t xml:space="preserve"> </w:t>
      </w:r>
      <w:r>
        <w:t>d’un</w:t>
      </w:r>
      <w:r w:rsidRPr="002C4077">
        <w:t xml:space="preserve"> </w:t>
      </w:r>
      <w:r>
        <w:t>Ges</w:t>
      </w:r>
      <w:r w:rsidR="003B53FD">
        <w:t>énius</w:t>
      </w:r>
      <w:r w:rsidR="00B91AF7">
        <w:rPr>
          <w:rStyle w:val="Appelnotedebasdep"/>
        </w:rPr>
        <w:footnoteReference w:id="148"/>
      </w:r>
      <w:r>
        <w:t>.</w:t>
      </w:r>
      <w:r w:rsidR="00C45B47">
        <w:t xml:space="preserve"> {</w:t>
      </w:r>
      <w:r w:rsidR="000721C4">
        <w:t>51</w:t>
      </w:r>
      <w:bookmarkStart w:id="180" w:name="p051"/>
      <w:bookmarkEnd w:id="180"/>
      <w:r w:rsidR="000721C4">
        <w:t xml:space="preserve">} </w:t>
      </w:r>
    </w:p>
    <w:p w:rsidR="000A7AAB" w:rsidRDefault="000A7AAB" w:rsidP="000A7AAB">
      <w:r>
        <w:t>Néanmoins,</w:t>
      </w:r>
      <w:r w:rsidRPr="002C4077">
        <w:t xml:space="preserve"> </w:t>
      </w:r>
      <w:r>
        <w:t>c’est</w:t>
      </w:r>
      <w:r w:rsidRPr="002C4077">
        <w:t xml:space="preserve"> </w:t>
      </w:r>
      <w:r>
        <w:t>sur</w:t>
      </w:r>
      <w:r w:rsidRPr="002C4077">
        <w:t xml:space="preserve"> </w:t>
      </w:r>
      <w:r>
        <w:t>la</w:t>
      </w:r>
      <w:r w:rsidRPr="002C4077">
        <w:t xml:space="preserve"> </w:t>
      </w:r>
      <w:r>
        <w:t>tradition</w:t>
      </w:r>
      <w:r w:rsidRPr="002C4077">
        <w:t xml:space="preserve"> </w:t>
      </w:r>
      <w:r>
        <w:t>juive</w:t>
      </w:r>
      <w:bookmarkStart w:id="181" w:name="z_JuifsAlmah_o2"/>
      <w:bookmarkEnd w:id="181"/>
      <w:r w:rsidRPr="002C4077">
        <w:t xml:space="preserve"> </w:t>
      </w:r>
      <w:r>
        <w:t>contemporaine</w:t>
      </w:r>
      <w:r w:rsidRPr="002C4077">
        <w:t xml:space="preserve"> </w:t>
      </w:r>
      <w:r>
        <w:t>de</w:t>
      </w:r>
      <w:r w:rsidRPr="002C4077">
        <w:t xml:space="preserve"> </w:t>
      </w:r>
      <w:r>
        <w:t>saint</w:t>
      </w:r>
      <w:r w:rsidRPr="002C4077">
        <w:t xml:space="preserve"> </w:t>
      </w:r>
      <w:r w:rsidR="00425C50">
        <w:t>Matth</w:t>
      </w:r>
      <w:r>
        <w:t>ieu,</w:t>
      </w:r>
      <w:r w:rsidRPr="002C4077">
        <w:t xml:space="preserve"> </w:t>
      </w:r>
      <w:r>
        <w:t>et</w:t>
      </w:r>
      <w:r w:rsidRPr="002C4077">
        <w:t xml:space="preserve"> </w:t>
      </w:r>
      <w:r>
        <w:t>bien</w:t>
      </w:r>
      <w:r w:rsidRPr="002C4077">
        <w:t xml:space="preserve"> </w:t>
      </w:r>
      <w:r>
        <w:t>antérieure</w:t>
      </w:r>
      <w:r w:rsidRPr="002C4077">
        <w:t xml:space="preserve"> </w:t>
      </w:r>
      <w:r>
        <w:t>à</w:t>
      </w:r>
      <w:r w:rsidRPr="002C4077">
        <w:t xml:space="preserve"> </w:t>
      </w:r>
      <w:r>
        <w:t>saint</w:t>
      </w:r>
      <w:r w:rsidRPr="002C4077">
        <w:t xml:space="preserve"> </w:t>
      </w:r>
      <w:r w:rsidR="00425C50">
        <w:t>Matth</w:t>
      </w:r>
      <w:r>
        <w:t>ieu,</w:t>
      </w:r>
      <w:r w:rsidRPr="002C4077">
        <w:t xml:space="preserve"> </w:t>
      </w:r>
      <w:r>
        <w:t>que</w:t>
      </w:r>
      <w:r w:rsidRPr="002C4077">
        <w:t xml:space="preserve"> </w:t>
      </w:r>
      <w:r>
        <w:t>nous</w:t>
      </w:r>
      <w:r w:rsidRPr="002C4077">
        <w:t xml:space="preserve"> </w:t>
      </w:r>
      <w:r>
        <w:t>voulons</w:t>
      </w:r>
      <w:r w:rsidRPr="002C4077">
        <w:t xml:space="preserve"> </w:t>
      </w:r>
      <w:r>
        <w:t>surtout</w:t>
      </w:r>
      <w:r w:rsidRPr="002C4077">
        <w:t xml:space="preserve"> </w:t>
      </w:r>
      <w:r>
        <w:t>nous</w:t>
      </w:r>
      <w:r w:rsidRPr="002C4077">
        <w:t xml:space="preserve"> </w:t>
      </w:r>
      <w:r>
        <w:t>appuyer,</w:t>
      </w:r>
      <w:r w:rsidRPr="002C4077">
        <w:t xml:space="preserve"> </w:t>
      </w:r>
      <w:r>
        <w:t>attendu</w:t>
      </w:r>
      <w:r w:rsidRPr="002C4077">
        <w:t xml:space="preserve"> </w:t>
      </w:r>
      <w:r>
        <w:t>qu’elle</w:t>
      </w:r>
      <w:r w:rsidRPr="002C4077">
        <w:t xml:space="preserve"> </w:t>
      </w:r>
      <w:r>
        <w:t>a</w:t>
      </w:r>
      <w:r w:rsidRPr="002C4077">
        <w:t xml:space="preserve"> </w:t>
      </w:r>
      <w:r>
        <w:t>beaucoup</w:t>
      </w:r>
      <w:r w:rsidRPr="002C4077">
        <w:t xml:space="preserve"> </w:t>
      </w:r>
      <w:r>
        <w:t>plus</w:t>
      </w:r>
      <w:r w:rsidRPr="002C4077">
        <w:t xml:space="preserve"> </w:t>
      </w:r>
      <w:r>
        <w:t>de</w:t>
      </w:r>
      <w:r w:rsidRPr="002C4077">
        <w:t xml:space="preserve"> </w:t>
      </w:r>
      <w:r>
        <w:t>force</w:t>
      </w:r>
      <w:r w:rsidRPr="002C4077">
        <w:t xml:space="preserve"> </w:t>
      </w:r>
      <w:r>
        <w:t>pour</w:t>
      </w:r>
      <w:r w:rsidRPr="002C4077">
        <w:t xml:space="preserve"> </w:t>
      </w:r>
      <w:r>
        <w:t>nous</w:t>
      </w:r>
      <w:r w:rsidRPr="002C4077">
        <w:t xml:space="preserve"> </w:t>
      </w:r>
      <w:r>
        <w:t>en</w:t>
      </w:r>
      <w:r w:rsidRPr="002C4077">
        <w:t xml:space="preserve"> </w:t>
      </w:r>
      <w:r>
        <w:t>ce</w:t>
      </w:r>
      <w:r w:rsidRPr="002C4077">
        <w:t xml:space="preserve"> </w:t>
      </w:r>
      <w:r>
        <w:t>moment.</w:t>
      </w:r>
      <w:r w:rsidRPr="002C4077">
        <w:t xml:space="preserve"> </w:t>
      </w:r>
      <w:r>
        <w:t>Essayons</w:t>
      </w:r>
      <w:r w:rsidRPr="002C4077">
        <w:t xml:space="preserve"> </w:t>
      </w:r>
      <w:r>
        <w:t>donc</w:t>
      </w:r>
      <w:r w:rsidRPr="002C4077">
        <w:t xml:space="preserve"> </w:t>
      </w:r>
      <w:r>
        <w:t>d’en</w:t>
      </w:r>
      <w:r w:rsidRPr="002C4077">
        <w:t xml:space="preserve"> </w:t>
      </w:r>
      <w:r>
        <w:t>suivre</w:t>
      </w:r>
      <w:r w:rsidRPr="002C4077">
        <w:t xml:space="preserve"> </w:t>
      </w:r>
      <w:r>
        <w:t>les</w:t>
      </w:r>
      <w:r w:rsidRPr="002C4077">
        <w:t xml:space="preserve"> </w:t>
      </w:r>
      <w:r>
        <w:t>traces,</w:t>
      </w:r>
      <w:r w:rsidRPr="002C4077">
        <w:t xml:space="preserve"> </w:t>
      </w:r>
      <w:r>
        <w:t>en</w:t>
      </w:r>
      <w:r w:rsidRPr="002C4077">
        <w:t xml:space="preserve"> </w:t>
      </w:r>
      <w:r>
        <w:t>remontant</w:t>
      </w:r>
      <w:r w:rsidRPr="002C4077">
        <w:t xml:space="preserve"> </w:t>
      </w:r>
      <w:r>
        <w:t>jusqu’à</w:t>
      </w:r>
      <w:r w:rsidRPr="002C4077">
        <w:t xml:space="preserve"> </w:t>
      </w:r>
      <w:r>
        <w:t>l’époque</w:t>
      </w:r>
      <w:r w:rsidRPr="002C4077">
        <w:t xml:space="preserve"> </w:t>
      </w:r>
      <w:r>
        <w:t>d’Isaïe.</w:t>
      </w:r>
      <w:r w:rsidRPr="002C4077">
        <w:t xml:space="preserve"> </w:t>
      </w:r>
    </w:p>
    <w:p w:rsidR="000A7AAB" w:rsidRDefault="000A7AAB" w:rsidP="000A7AAB">
      <w:r>
        <w:t>Voici</w:t>
      </w:r>
      <w:r w:rsidRPr="002C4077">
        <w:t xml:space="preserve"> </w:t>
      </w:r>
      <w:r>
        <w:t>d’abord,</w:t>
      </w:r>
      <w:r w:rsidRPr="002C4077">
        <w:t xml:space="preserve"> </w:t>
      </w:r>
      <w:r>
        <w:t>sur</w:t>
      </w:r>
      <w:r w:rsidRPr="002C4077">
        <w:t xml:space="preserve"> </w:t>
      </w:r>
      <w:r>
        <w:t>ce</w:t>
      </w:r>
      <w:r w:rsidRPr="002C4077">
        <w:t xml:space="preserve"> </w:t>
      </w:r>
      <w:r>
        <w:t>point,</w:t>
      </w:r>
      <w:r w:rsidRPr="002C4077">
        <w:t xml:space="preserve"> </w:t>
      </w:r>
      <w:r>
        <w:t>des</w:t>
      </w:r>
      <w:r w:rsidRPr="002C4077">
        <w:t xml:space="preserve"> </w:t>
      </w:r>
      <w:r>
        <w:t>attestations</w:t>
      </w:r>
      <w:r w:rsidRPr="002C4077">
        <w:t xml:space="preserve"> </w:t>
      </w:r>
      <w:r>
        <w:t>d’hommes</w:t>
      </w:r>
      <w:r w:rsidRPr="002C4077">
        <w:t xml:space="preserve"> </w:t>
      </w:r>
      <w:r>
        <w:t>compétents.</w:t>
      </w:r>
      <w:r w:rsidRPr="002C4077">
        <w:t xml:space="preserve"> </w:t>
      </w:r>
      <w:r w:rsidR="00B546AF">
        <w:t>« </w:t>
      </w:r>
      <w:r>
        <w:t>Les</w:t>
      </w:r>
      <w:r w:rsidRPr="002C4077">
        <w:t xml:space="preserve"> </w:t>
      </w:r>
      <w:r>
        <w:t>Juifs</w:t>
      </w:r>
      <w:r w:rsidRPr="002C4077">
        <w:t xml:space="preserve"> </w:t>
      </w:r>
      <w:r>
        <w:t>ont</w:t>
      </w:r>
      <w:r w:rsidRPr="002C4077">
        <w:t xml:space="preserve"> </w:t>
      </w:r>
      <w:r>
        <w:t>toujours,</w:t>
      </w:r>
      <w:r w:rsidRPr="002C4077">
        <w:t xml:space="preserve"> </w:t>
      </w:r>
      <w:r>
        <w:t>depuis</w:t>
      </w:r>
      <w:r w:rsidRPr="004440EA">
        <w:t xml:space="preserve"> (</w:t>
      </w:r>
      <w:r>
        <w:t>l’époque</w:t>
      </w:r>
      <w:r w:rsidRPr="002C4077">
        <w:t xml:space="preserve"> </w:t>
      </w:r>
      <w:r>
        <w:t>d’Isaïe</w:t>
      </w:r>
      <w:r w:rsidR="00B546AF" w:rsidRPr="002C4077">
        <w:t>)</w:t>
      </w:r>
      <w:r w:rsidRPr="00950016">
        <w:t>,</w:t>
      </w:r>
      <w:r w:rsidRPr="002C4077">
        <w:t xml:space="preserve"> </w:t>
      </w:r>
      <w:r>
        <w:t>entretenu</w:t>
      </w:r>
      <w:r w:rsidRPr="002C4077">
        <w:t xml:space="preserve"> </w:t>
      </w:r>
      <w:r>
        <w:t>l’opinion,</w:t>
      </w:r>
      <w:r w:rsidRPr="002C4077">
        <w:t xml:space="preserve"> </w:t>
      </w:r>
      <w:r>
        <w:t>fondée</w:t>
      </w:r>
      <w:r w:rsidRPr="002C4077">
        <w:t xml:space="preserve"> </w:t>
      </w:r>
      <w:r>
        <w:t>sur</w:t>
      </w:r>
      <w:r w:rsidRPr="002C4077">
        <w:t xml:space="preserve"> </w:t>
      </w:r>
      <w:r>
        <w:t>cette</w:t>
      </w:r>
      <w:r w:rsidRPr="002C4077">
        <w:t xml:space="preserve"> </w:t>
      </w:r>
      <w:r>
        <w:t>prophétie,</w:t>
      </w:r>
      <w:r w:rsidRPr="002C4077">
        <w:t xml:space="preserve"> </w:t>
      </w:r>
      <w:r>
        <w:t>que</w:t>
      </w:r>
      <w:r w:rsidRPr="002C4077">
        <w:t xml:space="preserve"> </w:t>
      </w:r>
      <w:r>
        <w:t>le</w:t>
      </w:r>
      <w:r w:rsidRPr="002C4077">
        <w:t xml:space="preserve"> </w:t>
      </w:r>
      <w:r>
        <w:t>Messie</w:t>
      </w:r>
      <w:r w:rsidRPr="002C4077">
        <w:t xml:space="preserve"> </w:t>
      </w:r>
      <w:r>
        <w:t>attendu</w:t>
      </w:r>
      <w:r w:rsidRPr="002C4077">
        <w:t xml:space="preserve"> </w:t>
      </w:r>
      <w:r>
        <w:t>naîtrait</w:t>
      </w:r>
      <w:r w:rsidRPr="002C4077">
        <w:t xml:space="preserve"> </w:t>
      </w:r>
      <w:r>
        <w:t>d’une</w:t>
      </w:r>
      <w:r w:rsidRPr="002C4077">
        <w:t xml:space="preserve"> </w:t>
      </w:r>
      <w:r>
        <w:t>vierge</w:t>
      </w:r>
      <w:r w:rsidR="00B546AF">
        <w:t> »</w:t>
      </w:r>
      <w:r>
        <w:t>.</w:t>
      </w:r>
      <w:r w:rsidRPr="002C4077">
        <w:t xml:space="preserve"> </w:t>
      </w:r>
      <w:r>
        <w:t>Ainsi</w:t>
      </w:r>
      <w:r w:rsidRPr="002C4077">
        <w:t xml:space="preserve"> </w:t>
      </w:r>
      <w:r>
        <w:t>parle</w:t>
      </w:r>
      <w:r w:rsidRPr="002C4077">
        <w:t xml:space="preserve"> </w:t>
      </w:r>
      <w:r>
        <w:t>M.</w:t>
      </w:r>
      <w:r w:rsidRPr="002C4077">
        <w:t xml:space="preserve"> </w:t>
      </w:r>
      <w:r w:rsidR="00CF3BB3">
        <w:t>Kitto</w:t>
      </w:r>
      <w:r>
        <w:t>,</w:t>
      </w:r>
      <w:r w:rsidRPr="002C4077">
        <w:t xml:space="preserve"> </w:t>
      </w:r>
      <w:r>
        <w:t>célébré</w:t>
      </w:r>
      <w:r w:rsidRPr="002C4077">
        <w:t xml:space="preserve"> </w:t>
      </w:r>
      <w:r>
        <w:t>en</w:t>
      </w:r>
      <w:r w:rsidRPr="002C4077">
        <w:t xml:space="preserve"> </w:t>
      </w:r>
      <w:r>
        <w:t>Angleterre</w:t>
      </w:r>
      <w:r w:rsidRPr="002C4077">
        <w:t xml:space="preserve"> </w:t>
      </w:r>
      <w:r>
        <w:t>par</w:t>
      </w:r>
      <w:r w:rsidRPr="002C4077">
        <w:t xml:space="preserve"> </w:t>
      </w:r>
      <w:r>
        <w:t>ses</w:t>
      </w:r>
      <w:r w:rsidRPr="002C4077">
        <w:t xml:space="preserve"> </w:t>
      </w:r>
      <w:r>
        <w:t>connaissances</w:t>
      </w:r>
      <w:r w:rsidRPr="002C4077">
        <w:t xml:space="preserve"> </w:t>
      </w:r>
      <w:r>
        <w:t>bibliques</w:t>
      </w:r>
      <w:r w:rsidR="00B91AF7">
        <w:rPr>
          <w:rStyle w:val="Appelnotedebasdep"/>
        </w:rPr>
        <w:footnoteReference w:id="149"/>
      </w:r>
      <w:r>
        <w:t>.</w:t>
      </w:r>
      <w:r w:rsidRPr="002C4077">
        <w:t xml:space="preserve"> </w:t>
      </w:r>
      <w:r>
        <w:t>M.</w:t>
      </w:r>
      <w:r w:rsidRPr="002C4077">
        <w:t xml:space="preserve"> </w:t>
      </w:r>
      <w:r>
        <w:t>le</w:t>
      </w:r>
      <w:r w:rsidRPr="002C4077">
        <w:t xml:space="preserve"> </w:t>
      </w:r>
      <w:r>
        <w:t>chevalier</w:t>
      </w:r>
      <w:r w:rsidRPr="002C4077">
        <w:t xml:space="preserve"> </w:t>
      </w:r>
      <w:r>
        <w:t>Drach,</w:t>
      </w:r>
      <w:r w:rsidRPr="002C4077">
        <w:t xml:space="preserve"> </w:t>
      </w:r>
      <w:r>
        <w:t>ancien</w:t>
      </w:r>
      <w:r w:rsidRPr="002C4077">
        <w:t xml:space="preserve"> </w:t>
      </w:r>
      <w:r>
        <w:t>rabbin,</w:t>
      </w:r>
      <w:r w:rsidRPr="002C4077">
        <w:t xml:space="preserve"> </w:t>
      </w:r>
      <w:r>
        <w:t>et</w:t>
      </w:r>
      <w:r w:rsidRPr="002C4077">
        <w:t xml:space="preserve"> </w:t>
      </w:r>
      <w:r>
        <w:t>parfaitement</w:t>
      </w:r>
      <w:r w:rsidRPr="002C4077">
        <w:t xml:space="preserve"> </w:t>
      </w:r>
      <w:r>
        <w:t>au</w:t>
      </w:r>
      <w:r w:rsidRPr="002C4077">
        <w:t xml:space="preserve"> </w:t>
      </w:r>
      <w:r>
        <w:t>courant</w:t>
      </w:r>
      <w:r w:rsidRPr="002C4077">
        <w:t xml:space="preserve"> </w:t>
      </w:r>
      <w:r>
        <w:t>de</w:t>
      </w:r>
      <w:r w:rsidRPr="002C4077">
        <w:t xml:space="preserve"> </w:t>
      </w:r>
      <w:r>
        <w:t>la</w:t>
      </w:r>
      <w:r w:rsidRPr="002C4077">
        <w:t xml:space="preserve"> </w:t>
      </w:r>
      <w:r>
        <w:t>littérature</w:t>
      </w:r>
      <w:r w:rsidRPr="002C4077">
        <w:t xml:space="preserve"> </w:t>
      </w:r>
      <w:r>
        <w:t>juive</w:t>
      </w:r>
      <w:r w:rsidRPr="002C4077">
        <w:t xml:space="preserve"> </w:t>
      </w:r>
      <w:r>
        <w:t>à</w:t>
      </w:r>
      <w:r w:rsidRPr="002C4077">
        <w:t xml:space="preserve"> </w:t>
      </w:r>
      <w:r>
        <w:t>tous</w:t>
      </w:r>
      <w:r w:rsidRPr="002C4077">
        <w:t xml:space="preserve"> </w:t>
      </w:r>
      <w:r>
        <w:t>les</w:t>
      </w:r>
      <w:r w:rsidRPr="002C4077">
        <w:t xml:space="preserve"> </w:t>
      </w:r>
      <w:r>
        <w:t>âges,</w:t>
      </w:r>
      <w:r w:rsidRPr="002C4077">
        <w:t xml:space="preserve"> </w:t>
      </w:r>
      <w:r>
        <w:t>n’est</w:t>
      </w:r>
      <w:r w:rsidRPr="002C4077">
        <w:t xml:space="preserve"> </w:t>
      </w:r>
      <w:r>
        <w:t>pas</w:t>
      </w:r>
      <w:r w:rsidRPr="002C4077">
        <w:t xml:space="preserve"> </w:t>
      </w:r>
      <w:r>
        <w:t>moins</w:t>
      </w:r>
      <w:r w:rsidRPr="002C4077">
        <w:t xml:space="preserve"> </w:t>
      </w:r>
      <w:r>
        <w:t>explicite.</w:t>
      </w:r>
      <w:r w:rsidRPr="002C4077">
        <w:t xml:space="preserve"> </w:t>
      </w:r>
      <w:r w:rsidR="00B546AF">
        <w:t>« </w:t>
      </w:r>
      <w:r>
        <w:t>La</w:t>
      </w:r>
      <w:r w:rsidRPr="002C4077">
        <w:t xml:space="preserve"> </w:t>
      </w:r>
      <w:r>
        <w:t>sœur</w:t>
      </w:r>
      <w:r w:rsidRPr="002C4077">
        <w:t xml:space="preserve"> </w:t>
      </w:r>
      <w:r>
        <w:t>aînée</w:t>
      </w:r>
      <w:r w:rsidRPr="002C4077">
        <w:t xml:space="preserve"> </w:t>
      </w:r>
      <w:r>
        <w:t>de</w:t>
      </w:r>
      <w:r w:rsidRPr="002C4077">
        <w:t xml:space="preserve"> </w:t>
      </w:r>
      <w:r>
        <w:t>l’Église</w:t>
      </w:r>
      <w:r w:rsidRPr="004440EA">
        <w:t xml:space="preserve"> (</w:t>
      </w:r>
      <w:r>
        <w:t>la</w:t>
      </w:r>
      <w:r w:rsidRPr="002C4077">
        <w:t xml:space="preserve"> </w:t>
      </w:r>
      <w:r>
        <w:t>Synagogue</w:t>
      </w:r>
      <w:r w:rsidR="00B546AF" w:rsidRPr="002C4077">
        <w:t>)</w:t>
      </w:r>
      <w:r w:rsidRPr="00950016">
        <w:t>,</w:t>
      </w:r>
      <w:r w:rsidRPr="002C4077">
        <w:t xml:space="preserve"> </w:t>
      </w:r>
      <w:r>
        <w:t>écrit-il</w:t>
      </w:r>
      <w:r w:rsidR="00B91AF7">
        <w:rPr>
          <w:rStyle w:val="Appelnotedebasdep"/>
        </w:rPr>
        <w:footnoteReference w:id="150"/>
      </w:r>
      <w:r>
        <w:t>,</w:t>
      </w:r>
      <w:r w:rsidRPr="002C4077">
        <w:t xml:space="preserve"> </w:t>
      </w:r>
      <w:r>
        <w:t>admettait,</w:t>
      </w:r>
      <w:r w:rsidRPr="002C4077">
        <w:t xml:space="preserve"> </w:t>
      </w:r>
      <w:r>
        <w:t>comme</w:t>
      </w:r>
      <w:r w:rsidRPr="002C4077">
        <w:t xml:space="preserve"> </w:t>
      </w:r>
      <w:r>
        <w:t>une</w:t>
      </w:r>
      <w:r w:rsidRPr="002C4077">
        <w:t xml:space="preserve"> </w:t>
      </w:r>
      <w:r>
        <w:t>croyance</w:t>
      </w:r>
      <w:r w:rsidRPr="002C4077">
        <w:t xml:space="preserve"> </w:t>
      </w:r>
      <w:r>
        <w:t>antique,</w:t>
      </w:r>
      <w:r w:rsidRPr="002C4077">
        <w:t xml:space="preserve"> </w:t>
      </w:r>
      <w:r>
        <w:t>l’inaltérable</w:t>
      </w:r>
      <w:r w:rsidRPr="002C4077">
        <w:t xml:space="preserve"> </w:t>
      </w:r>
      <w:r>
        <w:t>pureté</w:t>
      </w:r>
      <w:r w:rsidRPr="002C4077">
        <w:t xml:space="preserve"> </w:t>
      </w:r>
      <w:r>
        <w:t>de</w:t>
      </w:r>
      <w:r w:rsidRPr="002C4077">
        <w:t xml:space="preserve"> </w:t>
      </w:r>
      <w:r>
        <w:t>la</w:t>
      </w:r>
      <w:r w:rsidRPr="002C4077">
        <w:t xml:space="preserve"> </w:t>
      </w:r>
      <w:r>
        <w:t>mère</w:t>
      </w:r>
      <w:r w:rsidRPr="002C4077">
        <w:t xml:space="preserve"> </w:t>
      </w:r>
      <w:r>
        <w:t>du</w:t>
      </w:r>
      <w:r w:rsidRPr="002C4077">
        <w:t xml:space="preserve"> </w:t>
      </w:r>
      <w:r>
        <w:t>futur</w:t>
      </w:r>
      <w:r w:rsidRPr="002C4077">
        <w:t xml:space="preserve"> </w:t>
      </w:r>
      <w:r>
        <w:t>Sauveur</w:t>
      </w:r>
      <w:r w:rsidR="00B546AF">
        <w:t> »</w:t>
      </w:r>
      <w:r>
        <w:t>.</w:t>
      </w:r>
      <w:r w:rsidRPr="002C4077">
        <w:t xml:space="preserve"> </w:t>
      </w:r>
      <w:r>
        <w:t>Il</w:t>
      </w:r>
      <w:r w:rsidRPr="002C4077">
        <w:t xml:space="preserve"> </w:t>
      </w:r>
      <w:r w:rsidR="00425C50">
        <w:t>est</w:t>
      </w:r>
      <w:r w:rsidRPr="002C4077">
        <w:t xml:space="preserve"> </w:t>
      </w:r>
      <w:r>
        <w:t>vrai</w:t>
      </w:r>
      <w:r w:rsidRPr="002C4077">
        <w:t xml:space="preserve"> </w:t>
      </w:r>
      <w:r>
        <w:t>que</w:t>
      </w:r>
      <w:r w:rsidRPr="002C4077">
        <w:t xml:space="preserve"> </w:t>
      </w:r>
      <w:r>
        <w:t>les</w:t>
      </w:r>
      <w:r w:rsidRPr="002C4077">
        <w:t xml:space="preserve"> </w:t>
      </w:r>
      <w:r>
        <w:t>Juifs</w:t>
      </w:r>
      <w:r w:rsidRPr="002C4077">
        <w:t xml:space="preserve"> </w:t>
      </w:r>
      <w:r>
        <w:t>plus</w:t>
      </w:r>
      <w:r w:rsidRPr="002C4077">
        <w:t xml:space="preserve"> </w:t>
      </w:r>
      <w:r>
        <w:t>récents</w:t>
      </w:r>
      <w:r w:rsidRPr="002C4077">
        <w:t xml:space="preserve"> </w:t>
      </w:r>
      <w:r>
        <w:t>ont</w:t>
      </w:r>
      <w:r w:rsidRPr="002C4077">
        <w:t xml:space="preserve"> </w:t>
      </w:r>
      <w:r>
        <w:t>rejeté</w:t>
      </w:r>
      <w:r w:rsidRPr="002C4077">
        <w:t xml:space="preserve"> </w:t>
      </w:r>
      <w:r>
        <w:t>cette</w:t>
      </w:r>
      <w:r w:rsidRPr="002C4077">
        <w:t xml:space="preserve"> </w:t>
      </w:r>
      <w:r>
        <w:t>croyance</w:t>
      </w:r>
      <w:r w:rsidRPr="002C4077">
        <w:t xml:space="preserve"> </w:t>
      </w:r>
      <w:r>
        <w:t>de</w:t>
      </w:r>
      <w:r w:rsidRPr="002C4077">
        <w:t xml:space="preserve"> </w:t>
      </w:r>
      <w:r>
        <w:t>leurs</w:t>
      </w:r>
      <w:r w:rsidRPr="002C4077">
        <w:t xml:space="preserve"> </w:t>
      </w:r>
      <w:r>
        <w:t>pères</w:t>
      </w:r>
      <w:r w:rsidR="00B546AF">
        <w:t> ;</w:t>
      </w:r>
      <w:r w:rsidRPr="002C4077">
        <w:t xml:space="preserve"> </w:t>
      </w:r>
      <w:r>
        <w:t>mais,</w:t>
      </w:r>
      <w:r w:rsidRPr="002C4077">
        <w:t xml:space="preserve"> </w:t>
      </w:r>
      <w:r>
        <w:t>en</w:t>
      </w:r>
      <w:r w:rsidRPr="002C4077">
        <w:t xml:space="preserve"> </w:t>
      </w:r>
      <w:r>
        <w:t>agissant</w:t>
      </w:r>
      <w:r w:rsidRPr="002C4077">
        <w:t xml:space="preserve"> </w:t>
      </w:r>
      <w:r>
        <w:t>ainsi,</w:t>
      </w:r>
      <w:r w:rsidRPr="002C4077">
        <w:t xml:space="preserve"> </w:t>
      </w:r>
      <w:r w:rsidR="00B546AF">
        <w:t>« </w:t>
      </w:r>
      <w:r>
        <w:t>ils</w:t>
      </w:r>
      <w:r w:rsidRPr="002C4077">
        <w:t xml:space="preserve"> </w:t>
      </w:r>
      <w:r>
        <w:t>se</w:t>
      </w:r>
      <w:r w:rsidRPr="002C4077">
        <w:t xml:space="preserve"> </w:t>
      </w:r>
      <w:r>
        <w:t>mettent</w:t>
      </w:r>
      <w:r w:rsidRPr="002C4077">
        <w:t xml:space="preserve"> </w:t>
      </w:r>
      <w:r>
        <w:t>en</w:t>
      </w:r>
      <w:r w:rsidRPr="002C4077">
        <w:t xml:space="preserve"> </w:t>
      </w:r>
      <w:r>
        <w:t>contradiction</w:t>
      </w:r>
      <w:r w:rsidRPr="002C4077">
        <w:t xml:space="preserve"> </w:t>
      </w:r>
      <w:r>
        <w:t>avec</w:t>
      </w:r>
      <w:r w:rsidRPr="002C4077">
        <w:t xml:space="preserve"> </w:t>
      </w:r>
      <w:r>
        <w:t>leur</w:t>
      </w:r>
      <w:r w:rsidRPr="002C4077">
        <w:t xml:space="preserve"> </w:t>
      </w:r>
      <w:r>
        <w:t>propre</w:t>
      </w:r>
      <w:r w:rsidRPr="002C4077">
        <w:t xml:space="preserve"> </w:t>
      </w:r>
      <w:r>
        <w:t>tradition</w:t>
      </w:r>
      <w:r w:rsidR="00B91AF7">
        <w:rPr>
          <w:rStyle w:val="Appelnotedebasdep"/>
        </w:rPr>
        <w:footnoteReference w:id="151"/>
      </w:r>
      <w:r w:rsidR="00B546AF">
        <w:t> »</w:t>
      </w:r>
      <w:r>
        <w:t>.</w:t>
      </w:r>
      <w:r w:rsidRPr="002C4077">
        <w:t xml:space="preserve"> </w:t>
      </w:r>
      <w:r>
        <w:t>Leur</w:t>
      </w:r>
      <w:r w:rsidRPr="002C4077">
        <w:t xml:space="preserve"> </w:t>
      </w:r>
      <w:r>
        <w:t>opinion</w:t>
      </w:r>
      <w:r w:rsidRPr="002C4077">
        <w:t xml:space="preserve"> </w:t>
      </w:r>
      <w:r>
        <w:t>actuelle</w:t>
      </w:r>
      <w:r w:rsidRPr="002C4077">
        <w:t xml:space="preserve"> </w:t>
      </w:r>
      <w:r w:rsidR="00425C50">
        <w:t>est</w:t>
      </w:r>
      <w:r w:rsidRPr="002C4077">
        <w:t xml:space="preserve"> </w:t>
      </w:r>
      <w:r>
        <w:t>donc</w:t>
      </w:r>
      <w:r w:rsidRPr="002C4077">
        <w:t xml:space="preserve"> </w:t>
      </w:r>
      <w:r>
        <w:t>suspecte</w:t>
      </w:r>
      <w:r w:rsidRPr="002C4077">
        <w:t xml:space="preserve"> </w:t>
      </w:r>
      <w:r>
        <w:t>de</w:t>
      </w:r>
      <w:r w:rsidRPr="002C4077">
        <w:t xml:space="preserve"> </w:t>
      </w:r>
      <w:r>
        <w:t>partialité,</w:t>
      </w:r>
      <w:r w:rsidRPr="002C4077">
        <w:t xml:space="preserve"> </w:t>
      </w:r>
      <w:r>
        <w:t>d’autant</w:t>
      </w:r>
      <w:r w:rsidRPr="002C4077">
        <w:t xml:space="preserve"> </w:t>
      </w:r>
      <w:r>
        <w:t>mieux</w:t>
      </w:r>
      <w:r w:rsidRPr="002C4077">
        <w:t xml:space="preserve"> </w:t>
      </w:r>
      <w:r>
        <w:t>qu’ils</w:t>
      </w:r>
      <w:r w:rsidRPr="002C4077">
        <w:t xml:space="preserve"> </w:t>
      </w:r>
      <w:r>
        <w:t>ne</w:t>
      </w:r>
      <w:r w:rsidRPr="002C4077">
        <w:t xml:space="preserve"> </w:t>
      </w:r>
      <w:r>
        <w:t>s’y</w:t>
      </w:r>
      <w:r w:rsidRPr="002C4077">
        <w:t xml:space="preserve"> </w:t>
      </w:r>
      <w:r>
        <w:t>sont</w:t>
      </w:r>
      <w:r w:rsidRPr="002C4077">
        <w:t xml:space="preserve"> </w:t>
      </w:r>
      <w:r>
        <w:t>rangés</w:t>
      </w:r>
      <w:r w:rsidRPr="002C4077">
        <w:t xml:space="preserve"> </w:t>
      </w:r>
      <w:r>
        <w:t>que</w:t>
      </w:r>
      <w:r w:rsidRPr="002C4077">
        <w:t xml:space="preserve"> </w:t>
      </w:r>
      <w:r>
        <w:t>pour</w:t>
      </w:r>
      <w:r w:rsidRPr="002C4077">
        <w:t xml:space="preserve"> </w:t>
      </w:r>
      <w:r>
        <w:t>faire</w:t>
      </w:r>
      <w:r w:rsidRPr="002C4077">
        <w:t xml:space="preserve"> </w:t>
      </w:r>
      <w:r>
        <w:t>pièce</w:t>
      </w:r>
      <w:r w:rsidRPr="002C4077">
        <w:t xml:space="preserve"> </w:t>
      </w:r>
      <w:r>
        <w:t>au</w:t>
      </w:r>
      <w:r w:rsidRPr="002C4077">
        <w:t xml:space="preserve"> </w:t>
      </w:r>
      <w:r>
        <w:t>christianisme.</w:t>
      </w:r>
      <w:r w:rsidR="00C45B47">
        <w:t xml:space="preserve"> {</w:t>
      </w:r>
      <w:r w:rsidR="000721C4">
        <w:t>52</w:t>
      </w:r>
      <w:bookmarkStart w:id="182" w:name="p052"/>
      <w:bookmarkEnd w:id="182"/>
      <w:r w:rsidR="000721C4">
        <w:t xml:space="preserve">} </w:t>
      </w:r>
      <w:r>
        <w:t>Que</w:t>
      </w:r>
      <w:r w:rsidRPr="002C4077">
        <w:t xml:space="preserve"> </w:t>
      </w:r>
      <w:r>
        <w:t>nous</w:t>
      </w:r>
      <w:r w:rsidRPr="002C4077">
        <w:t xml:space="preserve"> </w:t>
      </w:r>
      <w:r>
        <w:t>importe</w:t>
      </w:r>
      <w:r w:rsidRPr="002C4077">
        <w:t xml:space="preserve"> </w:t>
      </w:r>
      <w:r>
        <w:t>ce</w:t>
      </w:r>
      <w:r w:rsidRPr="002C4077">
        <w:t xml:space="preserve"> </w:t>
      </w:r>
      <w:r>
        <w:t>qu’ils</w:t>
      </w:r>
      <w:r w:rsidRPr="002C4077">
        <w:t xml:space="preserve"> </w:t>
      </w:r>
      <w:r>
        <w:t>pensent</w:t>
      </w:r>
      <w:r w:rsidRPr="002C4077">
        <w:t xml:space="preserve"> </w:t>
      </w:r>
      <w:r>
        <w:t>aujourd’hui</w:t>
      </w:r>
      <w:r w:rsidR="00B546AF">
        <w:t> ?</w:t>
      </w:r>
      <w:r w:rsidRPr="002C4077">
        <w:t xml:space="preserve"> </w:t>
      </w:r>
      <w:r>
        <w:t>Les</w:t>
      </w:r>
      <w:r w:rsidRPr="002C4077">
        <w:t xml:space="preserve"> </w:t>
      </w:r>
      <w:r>
        <w:t>anciens</w:t>
      </w:r>
      <w:r w:rsidRPr="002C4077">
        <w:t xml:space="preserve"> </w:t>
      </w:r>
      <w:r>
        <w:t>documents</w:t>
      </w:r>
      <w:r w:rsidRPr="002C4077">
        <w:t xml:space="preserve"> </w:t>
      </w:r>
      <w:r>
        <w:t>demeurent,</w:t>
      </w:r>
      <w:r w:rsidRPr="002C4077">
        <w:t xml:space="preserve"> </w:t>
      </w:r>
      <w:r>
        <w:t>et</w:t>
      </w:r>
      <w:r w:rsidRPr="002C4077">
        <w:t xml:space="preserve"> </w:t>
      </w:r>
      <w:r>
        <w:t>ils</w:t>
      </w:r>
      <w:r w:rsidRPr="002C4077">
        <w:t xml:space="preserve"> </w:t>
      </w:r>
      <w:r>
        <w:t>suffisent</w:t>
      </w:r>
      <w:r w:rsidRPr="002C4077">
        <w:t xml:space="preserve"> </w:t>
      </w:r>
      <w:r>
        <w:t>amplement</w:t>
      </w:r>
      <w:r w:rsidRPr="002C4077">
        <w:t xml:space="preserve"> </w:t>
      </w:r>
      <w:r>
        <w:t>pour</w:t>
      </w:r>
      <w:r w:rsidRPr="002C4077">
        <w:t xml:space="preserve"> </w:t>
      </w:r>
      <w:r>
        <w:t>notre</w:t>
      </w:r>
      <w:r w:rsidRPr="002C4077">
        <w:t xml:space="preserve"> </w:t>
      </w:r>
      <w:r>
        <w:t>démonstration.</w:t>
      </w:r>
      <w:r w:rsidRPr="002C4077">
        <w:t xml:space="preserve"> </w:t>
      </w:r>
    </w:p>
    <w:p w:rsidR="000A7AAB" w:rsidRDefault="000A7AAB" w:rsidP="000A7AAB">
      <w:r>
        <w:t>Nous</w:t>
      </w:r>
      <w:r w:rsidRPr="002C4077">
        <w:t xml:space="preserve"> </w:t>
      </w:r>
      <w:r>
        <w:t>y</w:t>
      </w:r>
      <w:r w:rsidRPr="002C4077">
        <w:t xml:space="preserve"> </w:t>
      </w:r>
      <w:r>
        <w:t>lisons</w:t>
      </w:r>
      <w:r w:rsidRPr="002C4077">
        <w:t xml:space="preserve"> </w:t>
      </w:r>
      <w:r>
        <w:t>en</w:t>
      </w:r>
      <w:r w:rsidRPr="002C4077">
        <w:t xml:space="preserve"> </w:t>
      </w:r>
      <w:r>
        <w:t>effet</w:t>
      </w:r>
      <w:r w:rsidRPr="002C4077">
        <w:t xml:space="preserve"> </w:t>
      </w:r>
      <w:r>
        <w:t>cette</w:t>
      </w:r>
      <w:r w:rsidRPr="002C4077">
        <w:t xml:space="preserve"> </w:t>
      </w:r>
      <w:r>
        <w:t>vérité,</w:t>
      </w:r>
      <w:r w:rsidRPr="002C4077">
        <w:t xml:space="preserve"> </w:t>
      </w:r>
      <w:r>
        <w:t>transmise</w:t>
      </w:r>
      <w:r w:rsidRPr="002C4077">
        <w:t xml:space="preserve"> </w:t>
      </w:r>
      <w:r>
        <w:t>de</w:t>
      </w:r>
      <w:r w:rsidRPr="002C4077">
        <w:t xml:space="preserve"> </w:t>
      </w:r>
      <w:r>
        <w:t>bouche</w:t>
      </w:r>
      <w:r w:rsidRPr="002C4077">
        <w:t xml:space="preserve"> </w:t>
      </w:r>
      <w:r>
        <w:t>en</w:t>
      </w:r>
      <w:r w:rsidRPr="002C4077">
        <w:t xml:space="preserve"> </w:t>
      </w:r>
      <w:r>
        <w:t>bouche</w:t>
      </w:r>
      <w:r w:rsidRPr="002C4077">
        <w:t xml:space="preserve"> </w:t>
      </w:r>
      <w:r>
        <w:t>par</w:t>
      </w:r>
      <w:r w:rsidRPr="002C4077">
        <w:t xml:space="preserve"> </w:t>
      </w:r>
      <w:r>
        <w:t>la</w:t>
      </w:r>
      <w:r w:rsidRPr="002C4077">
        <w:t xml:space="preserve"> </w:t>
      </w:r>
      <w:r>
        <w:t>tradition,</w:t>
      </w:r>
      <w:r w:rsidRPr="002C4077">
        <w:t xml:space="preserve"> </w:t>
      </w:r>
      <w:r w:rsidR="00B546AF">
        <w:t>« </w:t>
      </w:r>
      <w:r>
        <w:t>que</w:t>
      </w:r>
      <w:r w:rsidRPr="002C4077">
        <w:t xml:space="preserve"> </w:t>
      </w:r>
      <w:r>
        <w:t>le</w:t>
      </w:r>
      <w:r w:rsidRPr="002C4077">
        <w:t xml:space="preserve"> </w:t>
      </w:r>
      <w:r>
        <w:t>Rédempteur</w:t>
      </w:r>
      <w:r w:rsidRPr="002C4077">
        <w:t xml:space="preserve"> </w:t>
      </w:r>
      <w:r>
        <w:t>serait</w:t>
      </w:r>
      <w:r w:rsidRPr="002C4077">
        <w:t xml:space="preserve"> </w:t>
      </w:r>
      <w:r>
        <w:t>une</w:t>
      </w:r>
      <w:r w:rsidRPr="002C4077">
        <w:t xml:space="preserve"> </w:t>
      </w:r>
      <w:r>
        <w:t>créature</w:t>
      </w:r>
      <w:r w:rsidRPr="002C4077">
        <w:t xml:space="preserve"> </w:t>
      </w:r>
      <w:r>
        <w:t>nouvelle,</w:t>
      </w:r>
      <w:r w:rsidRPr="002C4077">
        <w:t xml:space="preserve"> </w:t>
      </w:r>
      <w:r>
        <w:t>venant</w:t>
      </w:r>
      <w:r w:rsidRPr="002C4077">
        <w:t xml:space="preserve"> </w:t>
      </w:r>
      <w:r>
        <w:t>d’ailleurs</w:t>
      </w:r>
      <w:r w:rsidRPr="002C4077">
        <w:t xml:space="preserve"> </w:t>
      </w:r>
      <w:r>
        <w:t>que</w:t>
      </w:r>
      <w:r w:rsidRPr="002C4077">
        <w:t xml:space="preserve"> </w:t>
      </w:r>
      <w:r>
        <w:t>le</w:t>
      </w:r>
      <w:r w:rsidRPr="002C4077">
        <w:t xml:space="preserve"> </w:t>
      </w:r>
      <w:r>
        <w:t>commun</w:t>
      </w:r>
      <w:r w:rsidRPr="002C4077">
        <w:t xml:space="preserve"> </w:t>
      </w:r>
      <w:r>
        <w:t>des</w:t>
      </w:r>
      <w:r w:rsidRPr="002C4077">
        <w:t xml:space="preserve"> </w:t>
      </w:r>
      <w:r>
        <w:t>hommes</w:t>
      </w:r>
      <w:r w:rsidR="00B91AF7">
        <w:rPr>
          <w:rStyle w:val="Appelnotedebasdep"/>
        </w:rPr>
        <w:footnoteReference w:id="152"/>
      </w:r>
      <w:r w:rsidR="00B546AF">
        <w:t> »</w:t>
      </w:r>
      <w:r>
        <w:t>.</w:t>
      </w:r>
      <w:r w:rsidRPr="002C4077">
        <w:t xml:space="preserve"> </w:t>
      </w:r>
      <w:r>
        <w:t>Témoin</w:t>
      </w:r>
      <w:r w:rsidRPr="002C4077">
        <w:t xml:space="preserve"> </w:t>
      </w:r>
      <w:r>
        <w:t>le</w:t>
      </w:r>
      <w:r w:rsidRPr="002C4077">
        <w:t xml:space="preserve"> </w:t>
      </w:r>
      <w:r>
        <w:t>Midrasch</w:t>
      </w:r>
      <w:r w:rsidRPr="002C4077">
        <w:t xml:space="preserve"> </w:t>
      </w:r>
      <w:r w:rsidRPr="000A34B5">
        <w:rPr>
          <w:rStyle w:val="italicus"/>
        </w:rPr>
        <w:t>Ber</w:t>
      </w:r>
      <w:r w:rsidR="001730C6" w:rsidRPr="000A34B5">
        <w:rPr>
          <w:rStyle w:val="italicus"/>
        </w:rPr>
        <w:t>es</w:t>
      </w:r>
      <w:r w:rsidRPr="000A34B5">
        <w:rPr>
          <w:rStyle w:val="italicus"/>
        </w:rPr>
        <w:t>chith-Rabba,</w:t>
      </w:r>
      <w:r w:rsidRPr="002C4077">
        <w:t xml:space="preserve"> </w:t>
      </w:r>
      <w:r>
        <w:t>sur</w:t>
      </w:r>
      <w:r w:rsidRPr="002C4077">
        <w:t xml:space="preserve"> </w:t>
      </w:r>
      <w:r>
        <w:t>ces</w:t>
      </w:r>
      <w:r w:rsidRPr="002C4077">
        <w:t xml:space="preserve"> </w:t>
      </w:r>
      <w:r>
        <w:t>paroles</w:t>
      </w:r>
      <w:r w:rsidRPr="002C4077">
        <w:t xml:space="preserve"> </w:t>
      </w:r>
      <w:r>
        <w:t>des</w:t>
      </w:r>
      <w:r w:rsidRPr="002C4077">
        <w:t xml:space="preserve"> </w:t>
      </w:r>
      <w:r>
        <w:t>filles</w:t>
      </w:r>
      <w:r w:rsidRPr="002C4077">
        <w:t xml:space="preserve"> </w:t>
      </w:r>
      <w:r>
        <w:t>de</w:t>
      </w:r>
      <w:r w:rsidRPr="002C4077">
        <w:t xml:space="preserve"> </w:t>
      </w:r>
      <w:r>
        <w:t>Lot</w:t>
      </w:r>
      <w:r w:rsidR="00B546AF">
        <w:t> :</w:t>
      </w:r>
      <w:r w:rsidRPr="002C4077">
        <w:t xml:space="preserve"> </w:t>
      </w:r>
      <w:r w:rsidRPr="000A34B5">
        <w:rPr>
          <w:rStyle w:val="italicus"/>
        </w:rPr>
        <w:t>Ut</w:t>
      </w:r>
      <w:r w:rsidR="00CF3BB3" w:rsidRPr="002C4077">
        <w:t xml:space="preserve"> </w:t>
      </w:r>
      <w:r w:rsidRPr="000A34B5">
        <w:rPr>
          <w:rStyle w:val="italicus"/>
        </w:rPr>
        <w:t>sus</w:t>
      </w:r>
      <w:r w:rsidR="003B53FD" w:rsidRPr="000A34B5">
        <w:rPr>
          <w:rStyle w:val="italicus"/>
        </w:rPr>
        <w:t>cit</w:t>
      </w:r>
      <w:r w:rsidR="003B53FD">
        <w:rPr>
          <w:rStyle w:val="italicus"/>
        </w:rPr>
        <w:t>é</w:t>
      </w:r>
      <w:r w:rsidR="003B53FD" w:rsidRPr="000A34B5">
        <w:rPr>
          <w:rStyle w:val="italicus"/>
        </w:rPr>
        <w:t>mus</w:t>
      </w:r>
      <w:r w:rsidRPr="002C4077">
        <w:t xml:space="preserve"> </w:t>
      </w:r>
      <w:r w:rsidRPr="000A34B5">
        <w:rPr>
          <w:rStyle w:val="italicus"/>
        </w:rPr>
        <w:t>ex</w:t>
      </w:r>
      <w:r w:rsidRPr="002C4077">
        <w:t xml:space="preserve"> </w:t>
      </w:r>
      <w:r w:rsidR="00590DC6">
        <w:rPr>
          <w:rStyle w:val="italicus"/>
        </w:rPr>
        <w:t>pa</w:t>
      </w:r>
      <w:r w:rsidRPr="000A34B5">
        <w:rPr>
          <w:rStyle w:val="italicus"/>
        </w:rPr>
        <w:t>tre</w:t>
      </w:r>
      <w:r w:rsidRPr="002C4077">
        <w:t xml:space="preserve"> </w:t>
      </w:r>
      <w:r w:rsidRPr="000A34B5">
        <w:rPr>
          <w:rStyle w:val="italicus"/>
        </w:rPr>
        <w:t>nostro</w:t>
      </w:r>
      <w:r w:rsidRPr="002C4077">
        <w:t xml:space="preserve"> </w:t>
      </w:r>
      <w:r w:rsidRPr="000A34B5">
        <w:rPr>
          <w:rStyle w:val="italicus"/>
        </w:rPr>
        <w:t>semen</w:t>
      </w:r>
      <w:r w:rsidRPr="004440EA">
        <w:t xml:space="preserve"> (</w:t>
      </w:r>
      <w:r>
        <w:t>Genèse</w:t>
      </w:r>
      <w:r w:rsidRPr="002C4077">
        <w:t xml:space="preserve"> </w:t>
      </w:r>
      <w:r>
        <w:t>XIX,</w:t>
      </w:r>
      <w:r w:rsidRPr="002C4077">
        <w:t xml:space="preserve"> </w:t>
      </w:r>
      <w:r>
        <w:t>32</w:t>
      </w:r>
      <w:r w:rsidR="00B546AF" w:rsidRPr="002C4077">
        <w:t>)</w:t>
      </w:r>
      <w:r>
        <w:t>.</w:t>
      </w:r>
      <w:r w:rsidRPr="002C4077">
        <w:t xml:space="preserve"> </w:t>
      </w:r>
      <w:r w:rsidR="00B546AF">
        <w:t>« </w:t>
      </w:r>
      <w:r>
        <w:t>Rabbi</w:t>
      </w:r>
      <w:r w:rsidRPr="002C4077">
        <w:t xml:space="preserve"> </w:t>
      </w:r>
      <w:r>
        <w:t>Tanchuma</w:t>
      </w:r>
      <w:r w:rsidRPr="002C4077">
        <w:t xml:space="preserve"> </w:t>
      </w:r>
      <w:r>
        <w:t>a</w:t>
      </w:r>
      <w:r w:rsidRPr="002C4077">
        <w:t xml:space="preserve"> </w:t>
      </w:r>
      <w:r>
        <w:t>dit</w:t>
      </w:r>
      <w:r w:rsidRPr="002C4077">
        <w:t xml:space="preserve"> </w:t>
      </w:r>
      <w:r>
        <w:t>au</w:t>
      </w:r>
      <w:r w:rsidRPr="002C4077">
        <w:t xml:space="preserve"> </w:t>
      </w:r>
      <w:r>
        <w:t>nom</w:t>
      </w:r>
      <w:r w:rsidRPr="002C4077">
        <w:t xml:space="preserve"> </w:t>
      </w:r>
      <w:r>
        <w:t>de</w:t>
      </w:r>
      <w:r w:rsidRPr="002C4077">
        <w:t xml:space="preserve"> </w:t>
      </w:r>
      <w:r>
        <w:t>Rabbi</w:t>
      </w:r>
      <w:r w:rsidRPr="002C4077">
        <w:t xml:space="preserve"> </w:t>
      </w:r>
      <w:r>
        <w:t>Samuel</w:t>
      </w:r>
      <w:r w:rsidR="00B546AF">
        <w:t> :</w:t>
      </w:r>
      <w:r w:rsidRPr="002C4077">
        <w:t xml:space="preserve"> </w:t>
      </w:r>
      <w:r>
        <w:t>Il</w:t>
      </w:r>
      <w:r w:rsidRPr="002C4077">
        <w:t xml:space="preserve"> </w:t>
      </w:r>
      <w:r>
        <w:t>n’est</w:t>
      </w:r>
      <w:r w:rsidRPr="002C4077">
        <w:t xml:space="preserve"> </w:t>
      </w:r>
      <w:r>
        <w:t>pas</w:t>
      </w:r>
      <w:r w:rsidRPr="002C4077">
        <w:t xml:space="preserve"> </w:t>
      </w:r>
      <w:r>
        <w:t>écrit</w:t>
      </w:r>
      <w:r w:rsidRPr="002C4077">
        <w:t xml:space="preserve"> </w:t>
      </w:r>
      <w:r>
        <w:t>ici</w:t>
      </w:r>
      <w:r w:rsidR="00B546AF">
        <w:t> :</w:t>
      </w:r>
      <w:r w:rsidRPr="002C4077">
        <w:t xml:space="preserve"> </w:t>
      </w:r>
      <w:r>
        <w:t>Et</w:t>
      </w:r>
      <w:r w:rsidRPr="002C4077">
        <w:t xml:space="preserve"> </w:t>
      </w:r>
      <w:r>
        <w:t>nous</w:t>
      </w:r>
      <w:r w:rsidRPr="002C4077">
        <w:t xml:space="preserve"> </w:t>
      </w:r>
      <w:r>
        <w:t>susciterons</w:t>
      </w:r>
      <w:r w:rsidRPr="002C4077">
        <w:t xml:space="preserve"> </w:t>
      </w:r>
      <w:r>
        <w:t>de</w:t>
      </w:r>
      <w:r w:rsidRPr="002C4077">
        <w:t xml:space="preserve"> </w:t>
      </w:r>
      <w:r>
        <w:t>notre</w:t>
      </w:r>
      <w:r w:rsidRPr="002C4077">
        <w:t xml:space="preserve"> </w:t>
      </w:r>
      <w:r>
        <w:t>père</w:t>
      </w:r>
      <w:r w:rsidRPr="002C4077">
        <w:t xml:space="preserve"> </w:t>
      </w:r>
      <w:r>
        <w:t>un</w:t>
      </w:r>
      <w:r w:rsidRPr="002C4077">
        <w:t xml:space="preserve"> </w:t>
      </w:r>
      <w:r>
        <w:t>fils,</w:t>
      </w:r>
      <w:r w:rsidRPr="002C4077">
        <w:t xml:space="preserve"> </w:t>
      </w:r>
      <w:r>
        <w:t>mais</w:t>
      </w:r>
      <w:r w:rsidR="00B546AF">
        <w:t> :</w:t>
      </w:r>
      <w:r w:rsidRPr="002C4077">
        <w:t xml:space="preserve"> </w:t>
      </w:r>
      <w:r>
        <w:t>Et</w:t>
      </w:r>
      <w:r w:rsidRPr="002C4077">
        <w:t xml:space="preserve"> </w:t>
      </w:r>
      <w:r>
        <w:t>nous</w:t>
      </w:r>
      <w:r w:rsidRPr="002C4077">
        <w:t xml:space="preserve"> </w:t>
      </w:r>
      <w:r>
        <w:t>susciterons</w:t>
      </w:r>
      <w:r w:rsidRPr="002C4077">
        <w:t xml:space="preserve"> </w:t>
      </w:r>
      <w:r>
        <w:t>de</w:t>
      </w:r>
      <w:r w:rsidRPr="002C4077">
        <w:t xml:space="preserve"> </w:t>
      </w:r>
      <w:r>
        <w:t>la</w:t>
      </w:r>
      <w:r w:rsidRPr="002C4077">
        <w:t xml:space="preserve"> </w:t>
      </w:r>
      <w:r>
        <w:t>géniture.</w:t>
      </w:r>
      <w:r w:rsidRPr="002C4077">
        <w:t xml:space="preserve"> </w:t>
      </w:r>
      <w:r>
        <w:t>C’est</w:t>
      </w:r>
      <w:r w:rsidRPr="002C4077">
        <w:t xml:space="preserve"> </w:t>
      </w:r>
      <w:r>
        <w:t>cette</w:t>
      </w:r>
      <w:r w:rsidRPr="002C4077">
        <w:t xml:space="preserve"> </w:t>
      </w:r>
      <w:r>
        <w:t>géniture</w:t>
      </w:r>
      <w:r w:rsidRPr="002C4077">
        <w:t xml:space="preserve"> </w:t>
      </w:r>
      <w:r>
        <w:t>qui</w:t>
      </w:r>
      <w:r w:rsidRPr="002C4077">
        <w:t xml:space="preserve"> </w:t>
      </w:r>
      <w:r>
        <w:t>viendra</w:t>
      </w:r>
      <w:r w:rsidRPr="002C4077">
        <w:t xml:space="preserve"> </w:t>
      </w:r>
      <w:r w:rsidRPr="000A34B5">
        <w:rPr>
          <w:rStyle w:val="italicus"/>
        </w:rPr>
        <w:t>d’ailleurs.</w:t>
      </w:r>
      <w:r w:rsidRPr="002C4077">
        <w:t xml:space="preserve"> </w:t>
      </w:r>
      <w:r>
        <w:t>Et</w:t>
      </w:r>
      <w:r w:rsidRPr="002C4077">
        <w:t xml:space="preserve"> </w:t>
      </w:r>
      <w:r>
        <w:t>quelle</w:t>
      </w:r>
      <w:r w:rsidRPr="002C4077">
        <w:t xml:space="preserve"> </w:t>
      </w:r>
      <w:r w:rsidR="00425C50">
        <w:t>est</w:t>
      </w:r>
      <w:r>
        <w:t>-elle,</w:t>
      </w:r>
      <w:r w:rsidRPr="002C4077">
        <w:t xml:space="preserve"> </w:t>
      </w:r>
      <w:r>
        <w:t>cette</w:t>
      </w:r>
      <w:r w:rsidRPr="002C4077">
        <w:t xml:space="preserve"> </w:t>
      </w:r>
      <w:r>
        <w:t>géniture</w:t>
      </w:r>
      <w:r w:rsidR="00B546AF">
        <w:t> ?</w:t>
      </w:r>
      <w:r w:rsidRPr="002C4077">
        <w:t xml:space="preserve"> </w:t>
      </w:r>
      <w:r>
        <w:t>C’est</w:t>
      </w:r>
      <w:r w:rsidRPr="002C4077">
        <w:t xml:space="preserve"> </w:t>
      </w:r>
      <w:r>
        <w:t>le</w:t>
      </w:r>
      <w:r w:rsidRPr="002C4077">
        <w:t xml:space="preserve"> </w:t>
      </w:r>
      <w:r>
        <w:t>Roi-Messie</w:t>
      </w:r>
      <w:r w:rsidR="00B546AF">
        <w:t> »</w:t>
      </w:r>
      <w:r>
        <w:t>.</w:t>
      </w:r>
      <w:r w:rsidRPr="002C4077">
        <w:t xml:space="preserve"> </w:t>
      </w:r>
      <w:r>
        <w:t>Le</w:t>
      </w:r>
      <w:r w:rsidRPr="002C4077">
        <w:t xml:space="preserve"> </w:t>
      </w:r>
      <w:r>
        <w:t>Midrasch</w:t>
      </w:r>
      <w:r w:rsidRPr="002C4077">
        <w:t xml:space="preserve"> </w:t>
      </w:r>
      <w:r w:rsidRPr="000A34B5">
        <w:rPr>
          <w:rStyle w:val="italicus"/>
        </w:rPr>
        <w:t>Ruth</w:t>
      </w:r>
      <w:r w:rsidRPr="002C4077">
        <w:t xml:space="preserve"> </w:t>
      </w:r>
      <w:r>
        <w:t>s’exprime</w:t>
      </w:r>
      <w:r w:rsidRPr="002C4077">
        <w:t xml:space="preserve"> </w:t>
      </w:r>
      <w:r>
        <w:t>tout</w:t>
      </w:r>
      <w:r w:rsidRPr="002C4077">
        <w:t xml:space="preserve"> </w:t>
      </w:r>
      <w:r>
        <w:t>à</w:t>
      </w:r>
      <w:r w:rsidRPr="002C4077">
        <w:t xml:space="preserve"> </w:t>
      </w:r>
      <w:r>
        <w:t>fait</w:t>
      </w:r>
      <w:r w:rsidRPr="002C4077">
        <w:t xml:space="preserve"> </w:t>
      </w:r>
      <w:r>
        <w:t>dans</w:t>
      </w:r>
      <w:r w:rsidRPr="002C4077">
        <w:t xml:space="preserve"> </w:t>
      </w:r>
      <w:r>
        <w:t>les</w:t>
      </w:r>
      <w:r w:rsidRPr="002C4077">
        <w:t xml:space="preserve"> </w:t>
      </w:r>
      <w:r>
        <w:t>mêmes</w:t>
      </w:r>
      <w:r w:rsidRPr="002C4077">
        <w:t xml:space="preserve"> </w:t>
      </w:r>
      <w:r>
        <w:t>termes.</w:t>
      </w:r>
      <w:r w:rsidRPr="002C4077">
        <w:t xml:space="preserve"> </w:t>
      </w:r>
      <w:r w:rsidRPr="000A34B5">
        <w:rPr>
          <w:rStyle w:val="italicus"/>
        </w:rPr>
        <w:t>D’ailleurs,</w:t>
      </w:r>
      <w:r w:rsidRPr="002C4077">
        <w:t xml:space="preserve"> </w:t>
      </w:r>
      <w:r>
        <w:t>cela</w:t>
      </w:r>
      <w:r w:rsidRPr="002C4077">
        <w:t xml:space="preserve"> </w:t>
      </w:r>
      <w:r>
        <w:t>signifie</w:t>
      </w:r>
      <w:r w:rsidR="00B546AF">
        <w:t> :</w:t>
      </w:r>
      <w:r w:rsidRPr="002C4077">
        <w:t xml:space="preserve"> </w:t>
      </w:r>
      <w:r>
        <w:t>Par</w:t>
      </w:r>
      <w:r w:rsidRPr="002C4077">
        <w:t xml:space="preserve"> </w:t>
      </w:r>
      <w:r>
        <w:t>une</w:t>
      </w:r>
      <w:r w:rsidRPr="002C4077">
        <w:t xml:space="preserve"> </w:t>
      </w:r>
      <w:r>
        <w:t>autre</w:t>
      </w:r>
      <w:r w:rsidRPr="002C4077">
        <w:t xml:space="preserve"> </w:t>
      </w:r>
      <w:r>
        <w:t>voie</w:t>
      </w:r>
      <w:r w:rsidRPr="002C4077">
        <w:t xml:space="preserve"> </w:t>
      </w:r>
      <w:r>
        <w:t>que</w:t>
      </w:r>
      <w:r w:rsidRPr="002C4077">
        <w:t xml:space="preserve"> </w:t>
      </w:r>
      <w:r>
        <w:t>la</w:t>
      </w:r>
      <w:r w:rsidRPr="002C4077">
        <w:t xml:space="preserve"> </w:t>
      </w:r>
      <w:r>
        <w:t>génération.</w:t>
      </w:r>
      <w:r w:rsidRPr="002C4077">
        <w:t xml:space="preserve"> </w:t>
      </w:r>
    </w:p>
    <w:p w:rsidR="000A7AAB" w:rsidRDefault="000A7AAB" w:rsidP="000A7AAB">
      <w:r>
        <w:lastRenderedPageBreak/>
        <w:t>Témoin</w:t>
      </w:r>
      <w:r w:rsidRPr="002C4077">
        <w:t xml:space="preserve"> </w:t>
      </w:r>
      <w:r>
        <w:t>aussi</w:t>
      </w:r>
      <w:r w:rsidRPr="002C4077">
        <w:t xml:space="preserve"> </w:t>
      </w:r>
      <w:r>
        <w:t>le</w:t>
      </w:r>
      <w:r w:rsidRPr="002C4077">
        <w:t xml:space="preserve"> </w:t>
      </w:r>
      <w:r>
        <w:t>traité</w:t>
      </w:r>
      <w:r w:rsidRPr="002C4077">
        <w:t xml:space="preserve"> </w:t>
      </w:r>
      <w:r w:rsidRPr="000A34B5">
        <w:rPr>
          <w:rStyle w:val="italicus"/>
        </w:rPr>
        <w:t>Berachoth</w:t>
      </w:r>
      <w:r w:rsidRPr="002C4077">
        <w:t xml:space="preserve"> </w:t>
      </w:r>
      <w:r>
        <w:t>de</w:t>
      </w:r>
      <w:r w:rsidRPr="002C4077">
        <w:t xml:space="preserve"> </w:t>
      </w:r>
      <w:r>
        <w:t>la</w:t>
      </w:r>
      <w:r w:rsidRPr="002C4077">
        <w:t xml:space="preserve"> </w:t>
      </w:r>
      <w:r>
        <w:t>Ghémara</w:t>
      </w:r>
      <w:r w:rsidRPr="002C4077">
        <w:t xml:space="preserve"> </w:t>
      </w:r>
      <w:r>
        <w:t>de</w:t>
      </w:r>
      <w:r w:rsidRPr="002C4077">
        <w:t xml:space="preserve"> </w:t>
      </w:r>
      <w:r>
        <w:t>Jérusalem</w:t>
      </w:r>
      <w:r w:rsidR="00B91AF7">
        <w:rPr>
          <w:rStyle w:val="Appelnotedebasdep"/>
        </w:rPr>
        <w:footnoteReference w:id="153"/>
      </w:r>
      <w:r>
        <w:t>,</w:t>
      </w:r>
      <w:r w:rsidRPr="002C4077">
        <w:t xml:space="preserve"> </w:t>
      </w:r>
      <w:r>
        <w:t>où</w:t>
      </w:r>
      <w:r w:rsidRPr="002C4077">
        <w:t xml:space="preserve"> </w:t>
      </w:r>
      <w:r>
        <w:t>nous</w:t>
      </w:r>
      <w:r w:rsidRPr="002C4077">
        <w:t xml:space="preserve"> </w:t>
      </w:r>
      <w:r>
        <w:t>lisons,</w:t>
      </w:r>
      <w:r w:rsidRPr="002C4077">
        <w:t xml:space="preserve"> </w:t>
      </w:r>
      <w:r>
        <w:t>à</w:t>
      </w:r>
      <w:r w:rsidRPr="002C4077">
        <w:t xml:space="preserve"> </w:t>
      </w:r>
      <w:r>
        <w:t>propos</w:t>
      </w:r>
      <w:r w:rsidRPr="002C4077">
        <w:t xml:space="preserve"> </w:t>
      </w:r>
      <w:r>
        <w:t>du</w:t>
      </w:r>
      <w:r w:rsidRPr="002C4077">
        <w:t xml:space="preserve"> </w:t>
      </w:r>
      <w:r>
        <w:t>psaume</w:t>
      </w:r>
      <w:r w:rsidRPr="002C4077">
        <w:t xml:space="preserve"> </w:t>
      </w:r>
      <w:r w:rsidR="00CF3BB3">
        <w:t>CIX</w:t>
      </w:r>
      <w:r w:rsidR="00CF3BB3" w:rsidRPr="004440EA">
        <w:t xml:space="preserve"> (</w:t>
      </w:r>
      <w:r w:rsidR="00CF3BB3">
        <w:t>hébreu</w:t>
      </w:r>
      <w:r w:rsidR="00CF3BB3" w:rsidRPr="002C4077">
        <w:t xml:space="preserve"> </w:t>
      </w:r>
      <w:r w:rsidR="00CF3BB3">
        <w:t>CX</w:t>
      </w:r>
      <w:r w:rsidR="00B546AF" w:rsidRPr="002C4077">
        <w:t>)</w:t>
      </w:r>
      <w:r w:rsidRPr="00950016">
        <w:t>,</w:t>
      </w:r>
      <w:r w:rsidRPr="002C4077">
        <w:t xml:space="preserve"> </w:t>
      </w:r>
      <w:r>
        <w:t>verset</w:t>
      </w:r>
      <w:r w:rsidRPr="002C4077">
        <w:t xml:space="preserve"> </w:t>
      </w:r>
      <w:r>
        <w:t>3,</w:t>
      </w:r>
      <w:r w:rsidRPr="002C4077">
        <w:t xml:space="preserve"> </w:t>
      </w:r>
      <w:r>
        <w:t>qui,</w:t>
      </w:r>
      <w:r w:rsidRPr="002C4077">
        <w:t xml:space="preserve"> </w:t>
      </w:r>
      <w:r>
        <w:t>de</w:t>
      </w:r>
      <w:r w:rsidRPr="002C4077">
        <w:t xml:space="preserve"> </w:t>
      </w:r>
      <w:r>
        <w:t>l’aveu</w:t>
      </w:r>
      <w:r w:rsidRPr="002C4077">
        <w:t xml:space="preserve"> </w:t>
      </w:r>
      <w:r>
        <w:t>des</w:t>
      </w:r>
      <w:r w:rsidRPr="002C4077">
        <w:t xml:space="preserve"> </w:t>
      </w:r>
      <w:r>
        <w:t>rabbins,</w:t>
      </w:r>
      <w:r w:rsidRPr="002C4077">
        <w:t xml:space="preserve"> </w:t>
      </w:r>
      <w:r>
        <w:t>concerne</w:t>
      </w:r>
      <w:r w:rsidRPr="002C4077">
        <w:t xml:space="preserve"> </w:t>
      </w:r>
      <w:r>
        <w:t>certainement</w:t>
      </w:r>
      <w:r w:rsidRPr="002C4077">
        <w:t xml:space="preserve"> </w:t>
      </w:r>
      <w:r>
        <w:t>le</w:t>
      </w:r>
      <w:r w:rsidRPr="002C4077">
        <w:t xml:space="preserve"> </w:t>
      </w:r>
      <w:r>
        <w:t>Messie</w:t>
      </w:r>
      <w:r w:rsidR="00B546AF">
        <w:t> :</w:t>
      </w:r>
      <w:r w:rsidRPr="002C4077">
        <w:t xml:space="preserve"> </w:t>
      </w:r>
      <w:r w:rsidR="00B546AF">
        <w:t>« </w:t>
      </w:r>
      <w:r>
        <w:t>Ta</w:t>
      </w:r>
      <w:r w:rsidRPr="002C4077">
        <w:t xml:space="preserve"> </w:t>
      </w:r>
      <w:r>
        <w:t>naissance</w:t>
      </w:r>
      <w:r w:rsidRPr="002C4077">
        <w:t xml:space="preserve"> </w:t>
      </w:r>
      <w:r>
        <w:t>du</w:t>
      </w:r>
      <w:r w:rsidRPr="002C4077">
        <w:t xml:space="preserve"> </w:t>
      </w:r>
      <w:r>
        <w:t>sein</w:t>
      </w:r>
      <w:r w:rsidRPr="002C4077">
        <w:t xml:space="preserve"> </w:t>
      </w:r>
      <w:r>
        <w:t>maternel</w:t>
      </w:r>
      <w:r w:rsidRPr="002C4077">
        <w:t xml:space="preserve"> </w:t>
      </w:r>
      <w:r w:rsidR="00425C50">
        <w:t>est</w:t>
      </w:r>
      <w:r w:rsidRPr="002C4077">
        <w:t xml:space="preserve"> </w:t>
      </w:r>
      <w:r>
        <w:t>comme</w:t>
      </w:r>
      <w:r w:rsidRPr="002C4077">
        <w:t xml:space="preserve"> </w:t>
      </w:r>
      <w:r>
        <w:t>la</w:t>
      </w:r>
      <w:r w:rsidRPr="002C4077">
        <w:t xml:space="preserve"> </w:t>
      </w:r>
      <w:r>
        <w:t>rosée</w:t>
      </w:r>
      <w:r w:rsidRPr="002C4077">
        <w:t xml:space="preserve"> </w:t>
      </w:r>
      <w:r>
        <w:t>du</w:t>
      </w:r>
      <w:r w:rsidRPr="002C4077">
        <w:t xml:space="preserve"> </w:t>
      </w:r>
      <w:r>
        <w:t>matin.</w:t>
      </w:r>
      <w:r w:rsidRPr="002C4077">
        <w:t xml:space="preserve"> </w:t>
      </w:r>
      <w:r>
        <w:t>C’est</w:t>
      </w:r>
      <w:r w:rsidRPr="002C4077">
        <w:t xml:space="preserve"> </w:t>
      </w:r>
      <w:r>
        <w:t>la</w:t>
      </w:r>
      <w:r w:rsidRPr="002C4077">
        <w:t xml:space="preserve"> </w:t>
      </w:r>
      <w:r>
        <w:t>rosée</w:t>
      </w:r>
      <w:r w:rsidRPr="002C4077">
        <w:t xml:space="preserve"> </w:t>
      </w:r>
      <w:r>
        <w:t>dont</w:t>
      </w:r>
      <w:r w:rsidRPr="002C4077">
        <w:t xml:space="preserve"> </w:t>
      </w:r>
      <w:r>
        <w:t>le</w:t>
      </w:r>
      <w:r w:rsidRPr="002C4077">
        <w:t xml:space="preserve"> </w:t>
      </w:r>
      <w:r>
        <w:t>prophète</w:t>
      </w:r>
      <w:r w:rsidRPr="002C4077">
        <w:t xml:space="preserve"> </w:t>
      </w:r>
      <w:r>
        <w:t>Michée</w:t>
      </w:r>
      <w:r w:rsidRPr="004440EA">
        <w:t xml:space="preserve"> (</w:t>
      </w:r>
      <w:r>
        <w:t>V,</w:t>
      </w:r>
      <w:r w:rsidRPr="002C4077">
        <w:t xml:space="preserve"> </w:t>
      </w:r>
      <w:r>
        <w:t>6</w:t>
      </w:r>
      <w:r w:rsidR="00B546AF" w:rsidRPr="002C4077">
        <w:t>)</w:t>
      </w:r>
      <w:r w:rsidRPr="002C4077">
        <w:t xml:space="preserve"> </w:t>
      </w:r>
      <w:r>
        <w:t>dit</w:t>
      </w:r>
      <w:r w:rsidRPr="002C4077">
        <w:t xml:space="preserve"> </w:t>
      </w:r>
      <w:r>
        <w:t>qu’elle</w:t>
      </w:r>
      <w:r w:rsidRPr="002C4077">
        <w:t xml:space="preserve"> </w:t>
      </w:r>
      <w:r>
        <w:t>descend</w:t>
      </w:r>
      <w:r w:rsidRPr="002C4077">
        <w:t xml:space="preserve"> </w:t>
      </w:r>
      <w:r>
        <w:t>d’auprès</w:t>
      </w:r>
      <w:r w:rsidRPr="002C4077">
        <w:t xml:space="preserve"> </w:t>
      </w:r>
      <w:r>
        <w:t>de</w:t>
      </w:r>
      <w:r w:rsidRPr="002C4077">
        <w:t xml:space="preserve"> </w:t>
      </w:r>
      <w:r>
        <w:t>Jéhovah</w:t>
      </w:r>
      <w:r w:rsidRPr="002C4077">
        <w:t xml:space="preserve"> </w:t>
      </w:r>
      <w:r>
        <w:t>sans</w:t>
      </w:r>
      <w:r w:rsidRPr="002C4077">
        <w:t xml:space="preserve"> </w:t>
      </w:r>
      <w:r>
        <w:t>le</w:t>
      </w:r>
      <w:r w:rsidRPr="002C4077">
        <w:t xml:space="preserve"> </w:t>
      </w:r>
      <w:r>
        <w:t>concours</w:t>
      </w:r>
      <w:r w:rsidRPr="002C4077">
        <w:t xml:space="preserve"> </w:t>
      </w:r>
      <w:r>
        <w:t>d’aucun</w:t>
      </w:r>
      <w:r w:rsidRPr="002C4077">
        <w:t xml:space="preserve"> </w:t>
      </w:r>
      <w:r>
        <w:t>homme,</w:t>
      </w:r>
      <w:r w:rsidRPr="002C4077">
        <w:t xml:space="preserve"> </w:t>
      </w:r>
      <w:r>
        <w:t>et</w:t>
      </w:r>
      <w:r w:rsidRPr="002C4077">
        <w:t xml:space="preserve"> </w:t>
      </w:r>
      <w:r>
        <w:t>sans</w:t>
      </w:r>
      <w:r w:rsidRPr="002C4077">
        <w:t xml:space="preserve"> </w:t>
      </w:r>
      <w:r>
        <w:t>la</w:t>
      </w:r>
      <w:r w:rsidRPr="002C4077">
        <w:t xml:space="preserve"> </w:t>
      </w:r>
      <w:r>
        <w:t>coopération</w:t>
      </w:r>
      <w:r w:rsidRPr="002C4077">
        <w:t xml:space="preserve"> </w:t>
      </w:r>
      <w:r>
        <w:t>d’aucun</w:t>
      </w:r>
      <w:r w:rsidRPr="002C4077">
        <w:t xml:space="preserve"> </w:t>
      </w:r>
      <w:r>
        <w:t>fils</w:t>
      </w:r>
      <w:r w:rsidRPr="002C4077">
        <w:t xml:space="preserve"> </w:t>
      </w:r>
      <w:r>
        <w:t>d’Adam</w:t>
      </w:r>
      <w:r w:rsidR="00B546AF">
        <w:t> »</w:t>
      </w:r>
      <w:r>
        <w:t>.</w:t>
      </w:r>
      <w:r w:rsidRPr="002C4077">
        <w:t xml:space="preserve"> </w:t>
      </w:r>
    </w:p>
    <w:p w:rsidR="000A7AAB" w:rsidRPr="000721C4" w:rsidRDefault="000A7AAB" w:rsidP="000A7AAB">
      <w:r>
        <w:t>Témoin</w:t>
      </w:r>
      <w:r w:rsidRPr="002C4077">
        <w:t xml:space="preserve"> </w:t>
      </w:r>
      <w:r>
        <w:t>le</w:t>
      </w:r>
      <w:r w:rsidRPr="002C4077">
        <w:t xml:space="preserve"> </w:t>
      </w:r>
      <w:r>
        <w:t>fameux</w:t>
      </w:r>
      <w:r w:rsidRPr="002C4077">
        <w:t xml:space="preserve"> </w:t>
      </w:r>
      <w:r w:rsidRPr="000A34B5">
        <w:rPr>
          <w:rStyle w:val="italicus"/>
        </w:rPr>
        <w:t>Mem</w:t>
      </w:r>
      <w:r w:rsidRPr="002C4077">
        <w:t xml:space="preserve"> </w:t>
      </w:r>
      <w:r w:rsidRPr="000A34B5">
        <w:rPr>
          <w:rStyle w:val="italicus"/>
        </w:rPr>
        <w:t>clausum</w:t>
      </w:r>
      <w:bookmarkStart w:id="183" w:name="z_MemClausum_o1"/>
      <w:bookmarkEnd w:id="183"/>
      <w:r w:rsidRPr="004440EA">
        <w:t xml:space="preserve"> (</w:t>
      </w:r>
      <w:r w:rsidR="00CF3BB3">
        <w:rPr>
          <w:rtl/>
          <w:lang w:bidi="he-IL"/>
        </w:rPr>
        <w:t>ם</w:t>
      </w:r>
      <w:r w:rsidR="00B546AF" w:rsidRPr="002C4077">
        <w:t>)</w:t>
      </w:r>
      <w:r w:rsidRPr="00950016">
        <w:t>,</w:t>
      </w:r>
      <w:r w:rsidRPr="002C4077">
        <w:t xml:space="preserve"> </w:t>
      </w:r>
      <w:r>
        <w:t>dont</w:t>
      </w:r>
      <w:r w:rsidRPr="002C4077">
        <w:t xml:space="preserve"> </w:t>
      </w:r>
      <w:r>
        <w:t>la</w:t>
      </w:r>
      <w:r w:rsidRPr="002C4077">
        <w:t xml:space="preserve"> </w:t>
      </w:r>
      <w:r>
        <w:t>Synagogue</w:t>
      </w:r>
      <w:r w:rsidRPr="002C4077">
        <w:t xml:space="preserve"> </w:t>
      </w:r>
      <w:r>
        <w:t>enseignait</w:t>
      </w:r>
      <w:r w:rsidRPr="002C4077">
        <w:t xml:space="preserve"> </w:t>
      </w:r>
      <w:r>
        <w:t>qu’il</w:t>
      </w:r>
      <w:r w:rsidRPr="002C4077">
        <w:t xml:space="preserve"> </w:t>
      </w:r>
      <w:r>
        <w:t>contenait</w:t>
      </w:r>
      <w:r w:rsidRPr="002C4077">
        <w:t xml:space="preserve"> </w:t>
      </w:r>
      <w:r>
        <w:t>un</w:t>
      </w:r>
      <w:r w:rsidRPr="002C4077">
        <w:t xml:space="preserve"> </w:t>
      </w:r>
      <w:r>
        <w:t>grand</w:t>
      </w:r>
      <w:r w:rsidRPr="002C4077">
        <w:t xml:space="preserve"> </w:t>
      </w:r>
      <w:r>
        <w:t>mystère,</w:t>
      </w:r>
      <w:r w:rsidRPr="002C4077">
        <w:t xml:space="preserve"> </w:t>
      </w:r>
      <w:r>
        <w:t>relatif</w:t>
      </w:r>
      <w:r w:rsidRPr="002C4077">
        <w:t xml:space="preserve"> </w:t>
      </w:r>
      <w:r>
        <w:t>à</w:t>
      </w:r>
      <w:r w:rsidRPr="002C4077">
        <w:t xml:space="preserve"> </w:t>
      </w:r>
      <w:r>
        <w:t>la</w:t>
      </w:r>
      <w:r w:rsidRPr="002C4077">
        <w:t xml:space="preserve"> </w:t>
      </w:r>
      <w:r>
        <w:t>manifestation</w:t>
      </w:r>
      <w:r w:rsidRPr="002C4077">
        <w:t xml:space="preserve"> </w:t>
      </w:r>
      <w:r>
        <w:t>du</w:t>
      </w:r>
      <w:r w:rsidRPr="002C4077">
        <w:t xml:space="preserve"> </w:t>
      </w:r>
      <w:r w:rsidR="00464AE8">
        <w:t>Messie</w:t>
      </w:r>
      <w:r w:rsidR="00464AE8">
        <w:rPr>
          <w:rStyle w:val="Appelnotedebasdep"/>
        </w:rPr>
        <w:footnoteReference w:id="154"/>
      </w:r>
      <w:r w:rsidR="00B546AF">
        <w:t> ;</w:t>
      </w:r>
      <w:r w:rsidRPr="002C4077">
        <w:t xml:space="preserve"> </w:t>
      </w:r>
      <w:r>
        <w:t>c’est-à-dire,</w:t>
      </w:r>
      <w:r w:rsidRPr="002C4077">
        <w:t xml:space="preserve"> </w:t>
      </w:r>
      <w:r>
        <w:t>comme</w:t>
      </w:r>
      <w:r w:rsidRPr="002C4077">
        <w:t xml:space="preserve"> </w:t>
      </w:r>
      <w:r>
        <w:t>l’explique</w:t>
      </w:r>
      <w:r w:rsidRPr="002C4077">
        <w:t xml:space="preserve"> </w:t>
      </w:r>
      <w:r>
        <w:t>M.</w:t>
      </w:r>
      <w:r w:rsidRPr="002C4077">
        <w:t xml:space="preserve"> </w:t>
      </w:r>
      <w:r>
        <w:t>Drach</w:t>
      </w:r>
      <w:r w:rsidR="00B91AF7">
        <w:rPr>
          <w:rStyle w:val="Appelnotedebasdep"/>
        </w:rPr>
        <w:footnoteReference w:id="155"/>
      </w:r>
      <w:r>
        <w:t>,</w:t>
      </w:r>
      <w:r w:rsidRPr="002C4077">
        <w:t xml:space="preserve"> </w:t>
      </w:r>
      <w:r>
        <w:t>relatif</w:t>
      </w:r>
      <w:r w:rsidRPr="002C4077">
        <w:t xml:space="preserve"> </w:t>
      </w:r>
      <w:r>
        <w:t>à</w:t>
      </w:r>
      <w:r w:rsidRPr="002C4077">
        <w:t xml:space="preserve"> </w:t>
      </w:r>
      <w:r>
        <w:t>la</w:t>
      </w:r>
      <w:r w:rsidRPr="002C4077">
        <w:t xml:space="preserve"> </w:t>
      </w:r>
      <w:r>
        <w:t>pureté</w:t>
      </w:r>
      <w:r w:rsidRPr="002C4077">
        <w:t xml:space="preserve"> </w:t>
      </w:r>
      <w:r>
        <w:t>toujours</w:t>
      </w:r>
      <w:r w:rsidRPr="002C4077">
        <w:t xml:space="preserve"> </w:t>
      </w:r>
      <w:r>
        <w:t>intacte</w:t>
      </w:r>
      <w:r w:rsidRPr="002C4077">
        <w:t xml:space="preserve"> </w:t>
      </w:r>
      <w:r>
        <w:t>de</w:t>
      </w:r>
      <w:r w:rsidRPr="002C4077">
        <w:t xml:space="preserve"> </w:t>
      </w:r>
      <w:r>
        <w:t>sa</w:t>
      </w:r>
      <w:r w:rsidRPr="002C4077">
        <w:t xml:space="preserve"> </w:t>
      </w:r>
      <w:r>
        <w:t>mère.</w:t>
      </w:r>
      <w:r w:rsidR="00C45B47">
        <w:t xml:space="preserve"> {</w:t>
      </w:r>
      <w:r w:rsidR="000721C4">
        <w:t>53</w:t>
      </w:r>
      <w:bookmarkStart w:id="184" w:name="p053"/>
      <w:bookmarkEnd w:id="184"/>
      <w:r w:rsidR="000721C4">
        <w:t xml:space="preserve">} </w:t>
      </w:r>
    </w:p>
    <w:p w:rsidR="000A7AAB" w:rsidRDefault="000A7AAB" w:rsidP="000A7AAB">
      <w:r>
        <w:t>Un</w:t>
      </w:r>
      <w:r w:rsidRPr="002C4077">
        <w:t xml:space="preserve"> </w:t>
      </w:r>
      <w:r>
        <w:t>autre</w:t>
      </w:r>
      <w:r w:rsidRPr="002C4077">
        <w:t xml:space="preserve"> </w:t>
      </w:r>
      <w:r>
        <w:t>garant</w:t>
      </w:r>
      <w:r w:rsidRPr="002C4077">
        <w:t xml:space="preserve"> </w:t>
      </w:r>
      <w:r>
        <w:t>meilleur</w:t>
      </w:r>
      <w:r w:rsidRPr="002C4077">
        <w:t xml:space="preserve"> </w:t>
      </w:r>
      <w:r>
        <w:t>encore</w:t>
      </w:r>
      <w:r w:rsidRPr="002C4077">
        <w:t xml:space="preserve"> </w:t>
      </w:r>
      <w:r>
        <w:t>de</w:t>
      </w:r>
      <w:r w:rsidRPr="002C4077">
        <w:t xml:space="preserve"> </w:t>
      </w:r>
      <w:r>
        <w:t>la</w:t>
      </w:r>
      <w:r w:rsidRPr="002C4077">
        <w:t xml:space="preserve"> </w:t>
      </w:r>
      <w:r>
        <w:t>tradition</w:t>
      </w:r>
      <w:r w:rsidRPr="002C4077">
        <w:t xml:space="preserve"> </w:t>
      </w:r>
      <w:r>
        <w:t>juive</w:t>
      </w:r>
      <w:r w:rsidRPr="002C4077">
        <w:t xml:space="preserve"> </w:t>
      </w:r>
      <w:r>
        <w:t>au</w:t>
      </w:r>
      <w:r w:rsidRPr="002C4077">
        <w:t xml:space="preserve"> </w:t>
      </w:r>
      <w:r>
        <w:t>sujet</w:t>
      </w:r>
      <w:r w:rsidRPr="002C4077">
        <w:t xml:space="preserve"> </w:t>
      </w:r>
      <w:r>
        <w:t>du</w:t>
      </w:r>
      <w:r w:rsidRPr="002C4077">
        <w:t xml:space="preserve"> </w:t>
      </w:r>
      <w:r>
        <w:t>mot</w:t>
      </w:r>
      <w:r w:rsidRPr="002C4077">
        <w:t xml:space="preserve"> </w:t>
      </w:r>
      <w:r w:rsidR="00D40830" w:rsidRPr="00D05EA9">
        <w:rPr>
          <w:rStyle w:val="italicus"/>
        </w:rPr>
        <w:t>῾almah</w:t>
      </w:r>
      <w:r w:rsidRPr="002C4077">
        <w:t xml:space="preserve"> </w:t>
      </w:r>
      <w:r>
        <w:t>et</w:t>
      </w:r>
      <w:r w:rsidRPr="002C4077">
        <w:t xml:space="preserve"> </w:t>
      </w:r>
      <w:r>
        <w:t>de</w:t>
      </w:r>
      <w:r w:rsidRPr="002C4077">
        <w:t xml:space="preserve"> </w:t>
      </w:r>
      <w:r>
        <w:t>sa</w:t>
      </w:r>
      <w:r w:rsidRPr="002C4077">
        <w:t xml:space="preserve"> </w:t>
      </w:r>
      <w:r>
        <w:t>signification,</w:t>
      </w:r>
      <w:r w:rsidRPr="002C4077">
        <w:t xml:space="preserve"> </w:t>
      </w:r>
      <w:r>
        <w:t>c’est</w:t>
      </w:r>
      <w:r w:rsidRPr="002C4077">
        <w:t xml:space="preserve"> </w:t>
      </w:r>
      <w:r>
        <w:t>la</w:t>
      </w:r>
      <w:r w:rsidRPr="002C4077">
        <w:t xml:space="preserve"> </w:t>
      </w:r>
      <w:r>
        <w:t>version</w:t>
      </w:r>
      <w:r w:rsidRPr="002C4077">
        <w:t xml:space="preserve"> </w:t>
      </w:r>
      <w:r>
        <w:t>grecque</w:t>
      </w:r>
      <w:r w:rsidRPr="002C4077">
        <w:t xml:space="preserve"> </w:t>
      </w:r>
      <w:r>
        <w:t>des</w:t>
      </w:r>
      <w:r w:rsidRPr="002C4077">
        <w:t xml:space="preserve"> </w:t>
      </w:r>
      <w:r>
        <w:t>Septante</w:t>
      </w:r>
      <w:bookmarkStart w:id="185" w:name="z_Septante_o1"/>
      <w:bookmarkEnd w:id="185"/>
      <w:r>
        <w:t>,</w:t>
      </w:r>
      <w:r w:rsidRPr="002C4077">
        <w:t xml:space="preserve"> </w:t>
      </w:r>
      <w:r>
        <w:t>qui</w:t>
      </w:r>
      <w:r w:rsidRPr="002C4077">
        <w:t xml:space="preserve"> </w:t>
      </w:r>
      <w:r>
        <w:t>date,</w:t>
      </w:r>
      <w:r w:rsidRPr="002C4077">
        <w:t xml:space="preserve"> </w:t>
      </w:r>
      <w:r>
        <w:t>pour</w:t>
      </w:r>
      <w:r w:rsidRPr="002C4077">
        <w:t xml:space="preserve"> </w:t>
      </w:r>
      <w:r>
        <w:t>le</w:t>
      </w:r>
      <w:r w:rsidRPr="002C4077">
        <w:t xml:space="preserve"> </w:t>
      </w:r>
      <w:r>
        <w:t>livre</w:t>
      </w:r>
      <w:r w:rsidRPr="002C4077">
        <w:t xml:space="preserve"> </w:t>
      </w:r>
      <w:r>
        <w:t>d’Isaïe,</w:t>
      </w:r>
      <w:r w:rsidRPr="002C4077">
        <w:t xml:space="preserve"> </w:t>
      </w:r>
      <w:r>
        <w:t>au</w:t>
      </w:r>
      <w:r w:rsidRPr="002C4077">
        <w:t xml:space="preserve"> </w:t>
      </w:r>
      <w:r>
        <w:t>moins</w:t>
      </w:r>
      <w:r w:rsidRPr="002C4077">
        <w:t xml:space="preserve"> </w:t>
      </w:r>
      <w:r>
        <w:t>du</w:t>
      </w:r>
      <w:r w:rsidRPr="002C4077">
        <w:t xml:space="preserve"> </w:t>
      </w:r>
      <w:r>
        <w:t>second,</w:t>
      </w:r>
      <w:r w:rsidRPr="002C4077">
        <w:t xml:space="preserve"> </w:t>
      </w:r>
      <w:r>
        <w:t>sinon</w:t>
      </w:r>
      <w:r w:rsidRPr="002C4077">
        <w:t xml:space="preserve"> </w:t>
      </w:r>
      <w:r>
        <w:t>du</w:t>
      </w:r>
      <w:r w:rsidRPr="002C4077">
        <w:t xml:space="preserve"> </w:t>
      </w:r>
      <w:r>
        <w:t>troisième</w:t>
      </w:r>
      <w:r w:rsidRPr="002C4077">
        <w:t xml:space="preserve"> </w:t>
      </w:r>
      <w:r>
        <w:t>siècle</w:t>
      </w:r>
      <w:r w:rsidRPr="002C4077">
        <w:t xml:space="preserve"> </w:t>
      </w:r>
      <w:r>
        <w:t>avant</w:t>
      </w:r>
      <w:r w:rsidRPr="002C4077">
        <w:t xml:space="preserve"> </w:t>
      </w:r>
      <w:r w:rsidR="00425C50">
        <w:t>Jésus</w:t>
      </w:r>
      <w:r>
        <w:t>-</w:t>
      </w:r>
      <w:r w:rsidR="00425C50">
        <w:t>Christ</w:t>
      </w:r>
      <w:r>
        <w:t>.</w:t>
      </w:r>
      <w:r w:rsidRPr="002C4077">
        <w:t xml:space="preserve"> </w:t>
      </w:r>
      <w:r>
        <w:t>Elle</w:t>
      </w:r>
      <w:r w:rsidRPr="002C4077">
        <w:t xml:space="preserve"> </w:t>
      </w:r>
      <w:r>
        <w:t>t</w:t>
      </w:r>
      <w:r w:rsidR="003B53FD">
        <w:t>raduit</w:t>
      </w:r>
      <w:r w:rsidRPr="002C4077">
        <w:t xml:space="preserve"> </w:t>
      </w:r>
      <w:r w:rsidR="00CF3BB3" w:rsidRPr="006C016F">
        <w:t>ici</w:t>
      </w:r>
      <w:r w:rsidR="00CF3BB3" w:rsidRPr="002C4077">
        <w:t xml:space="preserve"> </w:t>
      </w:r>
      <w:r w:rsidR="00CF3BB3" w:rsidRPr="006C016F">
        <w:rPr>
          <w:rtl/>
          <w:lang w:bidi="he-IL"/>
        </w:rPr>
        <w:t>העלמה</w:t>
      </w:r>
      <w:r w:rsidR="00CF3BB3" w:rsidRPr="002C4077">
        <w:t xml:space="preserve"> </w:t>
      </w:r>
      <w:r w:rsidR="00CF3BB3" w:rsidRPr="006C016F">
        <w:t>par</w:t>
      </w:r>
      <w:r w:rsidR="00CF3BB3" w:rsidRPr="002C4077">
        <w:t xml:space="preserve"> </w:t>
      </w:r>
      <w:r w:rsidR="00CF3BB3" w:rsidRPr="00CF3BB3">
        <w:t>παρθένος</w:t>
      </w:r>
      <w:r w:rsidRPr="00CF3BB3">
        <w:t>,</w:t>
      </w:r>
      <w:r w:rsidRPr="002C4077">
        <w:t xml:space="preserve"> </w:t>
      </w:r>
      <w:r w:rsidRPr="00CF3BB3">
        <w:t>la</w:t>
      </w:r>
      <w:r w:rsidRPr="002C4077">
        <w:t xml:space="preserve"> </w:t>
      </w:r>
      <w:r w:rsidRPr="000A34B5">
        <w:rPr>
          <w:rStyle w:val="italicus"/>
        </w:rPr>
        <w:t>vierge</w:t>
      </w:r>
      <w:r w:rsidRPr="002C4077">
        <w:t xml:space="preserve"> </w:t>
      </w:r>
      <w:r>
        <w:t>dans</w:t>
      </w:r>
      <w:r w:rsidRPr="002C4077">
        <w:t xml:space="preserve"> </w:t>
      </w:r>
      <w:r>
        <w:t>le</w:t>
      </w:r>
      <w:r w:rsidRPr="002C4077">
        <w:t xml:space="preserve"> </w:t>
      </w:r>
      <w:r>
        <w:t>sens</w:t>
      </w:r>
      <w:r w:rsidRPr="002C4077">
        <w:t xml:space="preserve"> </w:t>
      </w:r>
      <w:r>
        <w:t>strict.</w:t>
      </w:r>
      <w:r w:rsidRPr="002C4077">
        <w:t xml:space="preserve"> </w:t>
      </w:r>
      <w:r>
        <w:t>Jusqu’à</w:t>
      </w:r>
      <w:r w:rsidRPr="002C4077">
        <w:t xml:space="preserve"> </w:t>
      </w:r>
      <w:r>
        <w:t>l’établissement</w:t>
      </w:r>
      <w:r w:rsidRPr="002C4077">
        <w:t xml:space="preserve"> </w:t>
      </w:r>
      <w:r>
        <w:t>du</w:t>
      </w:r>
      <w:r w:rsidRPr="002C4077">
        <w:t xml:space="preserve"> </w:t>
      </w:r>
      <w:r>
        <w:t>christianisme</w:t>
      </w:r>
      <w:r w:rsidRPr="002C4077">
        <w:t xml:space="preserve"> </w:t>
      </w:r>
      <w:r>
        <w:t>les</w:t>
      </w:r>
      <w:r w:rsidRPr="002C4077">
        <w:t xml:space="preserve"> </w:t>
      </w:r>
      <w:r>
        <w:t>Juifs</w:t>
      </w:r>
      <w:r w:rsidRPr="002C4077">
        <w:t xml:space="preserve"> </w:t>
      </w:r>
      <w:r>
        <w:t>tinrent</w:t>
      </w:r>
      <w:r w:rsidRPr="002C4077">
        <w:t xml:space="preserve"> </w:t>
      </w:r>
      <w:r>
        <w:t>cette</w:t>
      </w:r>
      <w:r w:rsidRPr="002C4077">
        <w:t xml:space="preserve"> </w:t>
      </w:r>
      <w:r>
        <w:t>version</w:t>
      </w:r>
      <w:r w:rsidRPr="002C4077">
        <w:t xml:space="preserve"> </w:t>
      </w:r>
      <w:r>
        <w:t>en</w:t>
      </w:r>
      <w:r w:rsidRPr="002C4077">
        <w:t xml:space="preserve"> </w:t>
      </w:r>
      <w:r>
        <w:t>grande</w:t>
      </w:r>
      <w:r w:rsidRPr="002C4077">
        <w:t xml:space="preserve"> </w:t>
      </w:r>
      <w:r>
        <w:t>estime,</w:t>
      </w:r>
      <w:r w:rsidRPr="002C4077">
        <w:t xml:space="preserve"> </w:t>
      </w:r>
      <w:r>
        <w:t>et</w:t>
      </w:r>
      <w:r w:rsidRPr="002C4077">
        <w:t xml:space="preserve"> </w:t>
      </w:r>
      <w:r>
        <w:t>l’employèrent</w:t>
      </w:r>
      <w:r w:rsidRPr="002C4077">
        <w:t xml:space="preserve"> </w:t>
      </w:r>
      <w:r>
        <w:t>partout</w:t>
      </w:r>
      <w:r w:rsidRPr="002C4077">
        <w:t xml:space="preserve"> </w:t>
      </w:r>
      <w:r>
        <w:t>dans</w:t>
      </w:r>
      <w:r w:rsidRPr="002C4077">
        <w:t xml:space="preserve"> </w:t>
      </w:r>
      <w:r>
        <w:t>les</w:t>
      </w:r>
      <w:r w:rsidRPr="002C4077">
        <w:t xml:space="preserve"> </w:t>
      </w:r>
      <w:r>
        <w:t>pays</w:t>
      </w:r>
      <w:r w:rsidRPr="002C4077">
        <w:t xml:space="preserve"> </w:t>
      </w:r>
      <w:r>
        <w:t>de</w:t>
      </w:r>
      <w:r w:rsidRPr="002C4077">
        <w:t xml:space="preserve"> </w:t>
      </w:r>
      <w:r>
        <w:t>langue</w:t>
      </w:r>
      <w:r w:rsidRPr="002C4077">
        <w:t xml:space="preserve"> </w:t>
      </w:r>
      <w:r>
        <w:t>grecque</w:t>
      </w:r>
      <w:r w:rsidRPr="002C4077">
        <w:t xml:space="preserve"> </w:t>
      </w:r>
      <w:r>
        <w:t>à</w:t>
      </w:r>
      <w:r w:rsidRPr="002C4077">
        <w:t xml:space="preserve"> </w:t>
      </w:r>
      <w:r>
        <w:t>travers</w:t>
      </w:r>
      <w:r w:rsidRPr="002C4077">
        <w:t xml:space="preserve"> </w:t>
      </w:r>
      <w:r>
        <w:t>lesquels</w:t>
      </w:r>
      <w:r w:rsidRPr="002C4077">
        <w:t xml:space="preserve"> </w:t>
      </w:r>
      <w:r>
        <w:t>ils</w:t>
      </w:r>
      <w:r w:rsidRPr="002C4077">
        <w:t xml:space="preserve"> </w:t>
      </w:r>
      <w:r>
        <w:t>étaient</w:t>
      </w:r>
      <w:r w:rsidRPr="002C4077">
        <w:t xml:space="preserve"> </w:t>
      </w:r>
      <w:r>
        <w:t>disséminés</w:t>
      </w:r>
      <w:r w:rsidR="00B546AF">
        <w:t> ;</w:t>
      </w:r>
      <w:r w:rsidRPr="002C4077">
        <w:t xml:space="preserve"> </w:t>
      </w:r>
      <w:r>
        <w:t>ils</w:t>
      </w:r>
      <w:r w:rsidRPr="002C4077">
        <w:t xml:space="preserve"> </w:t>
      </w:r>
      <w:r>
        <w:t>acceptèrent</w:t>
      </w:r>
      <w:r w:rsidRPr="002C4077">
        <w:t xml:space="preserve"> </w:t>
      </w:r>
      <w:r>
        <w:t>sans</w:t>
      </w:r>
      <w:r w:rsidRPr="002C4077">
        <w:t xml:space="preserve"> </w:t>
      </w:r>
      <w:r>
        <w:t>la</w:t>
      </w:r>
      <w:r w:rsidRPr="002C4077">
        <w:t xml:space="preserve"> </w:t>
      </w:r>
      <w:r>
        <w:t>moindre</w:t>
      </w:r>
      <w:r w:rsidRPr="002C4077">
        <w:t xml:space="preserve"> </w:t>
      </w:r>
      <w:r>
        <w:t>répugnance</w:t>
      </w:r>
      <w:r w:rsidRPr="002C4077">
        <w:t xml:space="preserve"> </w:t>
      </w:r>
      <w:r>
        <w:t>l’interprétation</w:t>
      </w:r>
      <w:r w:rsidRPr="002C4077">
        <w:t xml:space="preserve"> </w:t>
      </w:r>
      <w:r>
        <w:t>donnée</w:t>
      </w:r>
      <w:r w:rsidRPr="002C4077">
        <w:t xml:space="preserve"> </w:t>
      </w:r>
      <w:r>
        <w:t>parles</w:t>
      </w:r>
      <w:r w:rsidRPr="002C4077">
        <w:t xml:space="preserve"> </w:t>
      </w:r>
      <w:r>
        <w:t>Septante</w:t>
      </w:r>
      <w:r w:rsidRPr="002C4077">
        <w:t xml:space="preserve"> </w:t>
      </w:r>
      <w:r>
        <w:t>au</w:t>
      </w:r>
      <w:r w:rsidRPr="002C4077">
        <w:t xml:space="preserve"> </w:t>
      </w:r>
      <w:r>
        <w:t>substantif</w:t>
      </w:r>
      <w:r w:rsidRPr="002C4077">
        <w:t xml:space="preserve"> </w:t>
      </w:r>
      <w:r w:rsidR="00D40830" w:rsidRPr="00D05EA9">
        <w:rPr>
          <w:rStyle w:val="italicus"/>
        </w:rPr>
        <w:t>῾almah</w:t>
      </w:r>
      <w:r w:rsidR="00BF1EE0">
        <w:rPr>
          <w:rStyle w:val="Appelnotedebasdep"/>
          <w:i/>
        </w:rPr>
        <w:footnoteReference w:id="156"/>
      </w:r>
      <w:r w:rsidRPr="000A34B5">
        <w:rPr>
          <w:rStyle w:val="italicus"/>
        </w:rPr>
        <w:t>.</w:t>
      </w:r>
      <w:r w:rsidRPr="002C4077">
        <w:t xml:space="preserve"> </w:t>
      </w:r>
      <w:r>
        <w:t>Plus</w:t>
      </w:r>
      <w:r w:rsidRPr="002C4077">
        <w:t xml:space="preserve"> </w:t>
      </w:r>
      <w:r>
        <w:t>tard</w:t>
      </w:r>
      <w:r w:rsidRPr="002C4077">
        <w:t xml:space="preserve"> </w:t>
      </w:r>
      <w:r>
        <w:t>seulement,</w:t>
      </w:r>
      <w:r w:rsidRPr="002C4077">
        <w:t xml:space="preserve"> </w:t>
      </w:r>
      <w:r>
        <w:t>ils</w:t>
      </w:r>
      <w:r w:rsidRPr="002C4077">
        <w:t xml:space="preserve"> </w:t>
      </w:r>
      <w:r>
        <w:t>se</w:t>
      </w:r>
      <w:r w:rsidRPr="002C4077">
        <w:t xml:space="preserve"> </w:t>
      </w:r>
      <w:r>
        <w:t>mirent</w:t>
      </w:r>
      <w:r w:rsidRPr="002C4077">
        <w:t xml:space="preserve"> </w:t>
      </w:r>
      <w:r>
        <w:t>à</w:t>
      </w:r>
      <w:r w:rsidRPr="002C4077">
        <w:t xml:space="preserve"> </w:t>
      </w:r>
      <w:r>
        <w:t>objecter</w:t>
      </w:r>
      <w:r w:rsidRPr="002C4077">
        <w:t xml:space="preserve"> </w:t>
      </w:r>
      <w:r>
        <w:t>que</w:t>
      </w:r>
      <w:r w:rsidRPr="002C4077">
        <w:t xml:space="preserve"> </w:t>
      </w:r>
      <w:r>
        <w:t>les</w:t>
      </w:r>
      <w:r w:rsidRPr="002C4077">
        <w:t xml:space="preserve"> </w:t>
      </w:r>
      <w:r>
        <w:t>traducteurs</w:t>
      </w:r>
      <w:r w:rsidRPr="002C4077">
        <w:t xml:space="preserve"> </w:t>
      </w:r>
      <w:r>
        <w:t>grecs</w:t>
      </w:r>
      <w:r w:rsidRPr="002C4077">
        <w:t xml:space="preserve"> </w:t>
      </w:r>
      <w:r>
        <w:t>postérieurs</w:t>
      </w:r>
      <w:r w:rsidRPr="002C4077">
        <w:t xml:space="preserve"> </w:t>
      </w:r>
      <w:r>
        <w:t>à</w:t>
      </w:r>
      <w:r w:rsidRPr="002C4077">
        <w:t xml:space="preserve"> </w:t>
      </w:r>
      <w:r>
        <w:t>l’ère</w:t>
      </w:r>
      <w:r w:rsidRPr="002C4077">
        <w:t xml:space="preserve"> </w:t>
      </w:r>
      <w:r>
        <w:t>chrétienne,</w:t>
      </w:r>
      <w:r w:rsidRPr="002C4077">
        <w:t xml:space="preserve"> </w:t>
      </w:r>
      <w:r>
        <w:t>Aquila,</w:t>
      </w:r>
      <w:r w:rsidRPr="002C4077">
        <w:t xml:space="preserve"> </w:t>
      </w:r>
      <w:r>
        <w:t>Symmaque</w:t>
      </w:r>
      <w:r w:rsidRPr="002C4077">
        <w:t xml:space="preserve"> </w:t>
      </w:r>
      <w:r>
        <w:t>et</w:t>
      </w:r>
      <w:r w:rsidRPr="002C4077">
        <w:t xml:space="preserve"> </w:t>
      </w:r>
      <w:r>
        <w:t>Théodotion</w:t>
      </w:r>
      <w:r w:rsidR="00B91AF7">
        <w:rPr>
          <w:rStyle w:val="Appelnotedebasdep"/>
        </w:rPr>
        <w:footnoteReference w:id="157"/>
      </w:r>
      <w:r>
        <w:t>,</w:t>
      </w:r>
      <w:r w:rsidRPr="002C4077">
        <w:t xml:space="preserve"> </w:t>
      </w:r>
      <w:r>
        <w:t>emploient</w:t>
      </w:r>
      <w:r w:rsidRPr="002C4077">
        <w:t xml:space="preserve"> </w:t>
      </w:r>
      <w:r>
        <w:t>comme</w:t>
      </w:r>
      <w:r w:rsidRPr="002C4077">
        <w:t xml:space="preserve"> </w:t>
      </w:r>
      <w:r>
        <w:t>corrélatif</w:t>
      </w:r>
      <w:r w:rsidRPr="002C4077">
        <w:t xml:space="preserve"> </w:t>
      </w:r>
      <w:r>
        <w:t>de</w:t>
      </w:r>
      <w:r w:rsidRPr="002C4077">
        <w:t xml:space="preserve"> </w:t>
      </w:r>
      <w:r w:rsidR="00D40830" w:rsidRPr="00D05EA9">
        <w:rPr>
          <w:rStyle w:val="italicus"/>
        </w:rPr>
        <w:t>῾almah</w:t>
      </w:r>
      <w:r w:rsidRPr="000A34B5">
        <w:rPr>
          <w:rStyle w:val="italicus"/>
        </w:rPr>
        <w:t>,</w:t>
      </w:r>
      <w:r w:rsidRPr="002C4077">
        <w:t xml:space="preserve"> </w:t>
      </w:r>
      <w:r>
        <w:t>non</w:t>
      </w:r>
      <w:r w:rsidRPr="002C4077">
        <w:t xml:space="preserve"> </w:t>
      </w:r>
      <w:r>
        <w:t>point</w:t>
      </w:r>
      <w:r w:rsidRPr="002C4077">
        <w:t xml:space="preserve"> </w:t>
      </w:r>
      <w:r w:rsidR="00CF3BB3">
        <w:rPr>
          <w:lang w:val="el-GR" w:bidi="he-IL"/>
        </w:rPr>
        <w:t>παρθένος</w:t>
      </w:r>
      <w:r>
        <w:t>,</w:t>
      </w:r>
      <w:r w:rsidRPr="002C4077">
        <w:t xml:space="preserve"> </w:t>
      </w:r>
      <w:r>
        <w:t>mais</w:t>
      </w:r>
      <w:r w:rsidR="00CF3BB3" w:rsidRPr="002C4077">
        <w:t xml:space="preserve"> </w:t>
      </w:r>
      <w:r w:rsidR="00BF1EE0">
        <w:t>νεᾶνις</w:t>
      </w:r>
      <w:r>
        <w:t>,</w:t>
      </w:r>
      <w:r w:rsidRPr="002C4077">
        <w:t xml:space="preserve"> </w:t>
      </w:r>
      <w:r>
        <w:t>qui</w:t>
      </w:r>
      <w:r w:rsidRPr="002C4077">
        <w:t xml:space="preserve"> </w:t>
      </w:r>
      <w:r>
        <w:t>désigne</w:t>
      </w:r>
      <w:r w:rsidRPr="002C4077">
        <w:t xml:space="preserve"> </w:t>
      </w:r>
      <w:r>
        <w:t>une</w:t>
      </w:r>
      <w:r w:rsidRPr="002C4077">
        <w:t xml:space="preserve"> </w:t>
      </w:r>
      <w:r>
        <w:t>jeune</w:t>
      </w:r>
      <w:r w:rsidRPr="002C4077">
        <w:t xml:space="preserve"> </w:t>
      </w:r>
      <w:r>
        <w:t>fille</w:t>
      </w:r>
      <w:r w:rsidRPr="002C4077">
        <w:t xml:space="preserve"> </w:t>
      </w:r>
      <w:r>
        <w:t>en</w:t>
      </w:r>
      <w:r w:rsidRPr="002C4077">
        <w:t xml:space="preserve"> </w:t>
      </w:r>
      <w:r>
        <w:t>général,</w:t>
      </w:r>
      <w:r w:rsidRPr="002C4077">
        <w:t xml:space="preserve"> </w:t>
      </w:r>
      <w:r>
        <w:t>sans</w:t>
      </w:r>
      <w:r w:rsidRPr="002C4077">
        <w:t xml:space="preserve"> </w:t>
      </w:r>
      <w:r>
        <w:t>égard</w:t>
      </w:r>
      <w:r w:rsidRPr="002C4077">
        <w:t xml:space="preserve"> </w:t>
      </w:r>
      <w:r>
        <w:t>à</w:t>
      </w:r>
      <w:r w:rsidRPr="002C4077">
        <w:t xml:space="preserve"> </w:t>
      </w:r>
      <w:r>
        <w:t>sa</w:t>
      </w:r>
      <w:r w:rsidRPr="002C4077">
        <w:t xml:space="preserve"> </w:t>
      </w:r>
      <w:r>
        <w:t>virginité.</w:t>
      </w:r>
      <w:r w:rsidRPr="002C4077">
        <w:t xml:space="preserve"> </w:t>
      </w:r>
      <w:r>
        <w:t>Toutefois,</w:t>
      </w:r>
      <w:r w:rsidRPr="002C4077">
        <w:t xml:space="preserve"> </w:t>
      </w:r>
      <w:r>
        <w:t>ainsi</w:t>
      </w:r>
      <w:r w:rsidRPr="002C4077">
        <w:t xml:space="preserve"> </w:t>
      </w:r>
      <w:r>
        <w:t>que</w:t>
      </w:r>
      <w:r w:rsidRPr="002C4077">
        <w:t xml:space="preserve"> </w:t>
      </w:r>
      <w:r>
        <w:t>l’ont</w:t>
      </w:r>
      <w:r w:rsidRPr="002C4077">
        <w:t xml:space="preserve"> </w:t>
      </w:r>
      <w:r>
        <w:t>fréquemment</w:t>
      </w:r>
      <w:r w:rsidRPr="002C4077">
        <w:t xml:space="preserve"> </w:t>
      </w:r>
      <w:r>
        <w:t>répété</w:t>
      </w:r>
      <w:r w:rsidRPr="002C4077">
        <w:t xml:space="preserve"> </w:t>
      </w:r>
      <w:r>
        <w:t>les</w:t>
      </w:r>
      <w:r w:rsidRPr="002C4077">
        <w:t xml:space="preserve"> </w:t>
      </w:r>
      <w:r>
        <w:t>saints</w:t>
      </w:r>
      <w:r w:rsidRPr="002C4077">
        <w:t xml:space="preserve"> </w:t>
      </w:r>
      <w:r>
        <w:t>Pères</w:t>
      </w:r>
      <w:r w:rsidR="00B91AF7">
        <w:rPr>
          <w:rStyle w:val="Appelnotedebasdep"/>
        </w:rPr>
        <w:footnoteReference w:id="158"/>
      </w:r>
      <w:r>
        <w:t>,</w:t>
      </w:r>
      <w:r w:rsidRPr="002C4077">
        <w:t xml:space="preserve"> </w:t>
      </w:r>
      <w:r>
        <w:t>ces</w:t>
      </w:r>
      <w:r w:rsidRPr="002C4077">
        <w:t xml:space="preserve"> </w:t>
      </w:r>
      <w:r>
        <w:t>traducteurs</w:t>
      </w:r>
      <w:r w:rsidRPr="002C4077">
        <w:t xml:space="preserve"> </w:t>
      </w:r>
      <w:r>
        <w:t>plus</w:t>
      </w:r>
      <w:r w:rsidRPr="002C4077">
        <w:t xml:space="preserve"> </w:t>
      </w:r>
      <w:r>
        <w:t>récents,</w:t>
      </w:r>
      <w:r w:rsidRPr="002C4077">
        <w:t xml:space="preserve"> </w:t>
      </w:r>
      <w:r>
        <w:t>ou</w:t>
      </w:r>
      <w:r w:rsidRPr="002C4077">
        <w:t xml:space="preserve"> </w:t>
      </w:r>
      <w:r>
        <w:t>du</w:t>
      </w:r>
      <w:r w:rsidRPr="002C4077">
        <w:t xml:space="preserve"> </w:t>
      </w:r>
      <w:r>
        <w:t>moins</w:t>
      </w:r>
      <w:r w:rsidRPr="002C4077">
        <w:t xml:space="preserve"> </w:t>
      </w:r>
      <w:r>
        <w:t>ceux</w:t>
      </w:r>
      <w:r w:rsidRPr="002C4077">
        <w:t xml:space="preserve"> </w:t>
      </w:r>
      <w:r>
        <w:t>qui</w:t>
      </w:r>
      <w:r w:rsidRPr="002C4077">
        <w:t xml:space="preserve"> </w:t>
      </w:r>
      <w:r>
        <w:t>s’appuyaient</w:t>
      </w:r>
      <w:r w:rsidRPr="002C4077">
        <w:t xml:space="preserve"> </w:t>
      </w:r>
      <w:r>
        <w:t>sur</w:t>
      </w:r>
      <w:r w:rsidRPr="002C4077">
        <w:t xml:space="preserve"> </w:t>
      </w:r>
      <w:r>
        <w:t>leur</w:t>
      </w:r>
      <w:r w:rsidRPr="002C4077">
        <w:t xml:space="preserve"> </w:t>
      </w:r>
      <w:r>
        <w:t>autorité,</w:t>
      </w:r>
      <w:r w:rsidRPr="002C4077">
        <w:t xml:space="preserve"> </w:t>
      </w:r>
      <w:r>
        <w:t>avaient</w:t>
      </w:r>
      <w:r w:rsidRPr="002C4077">
        <w:t xml:space="preserve"> </w:t>
      </w:r>
      <w:r>
        <w:t>un</w:t>
      </w:r>
      <w:r w:rsidRPr="002C4077">
        <w:t xml:space="preserve"> </w:t>
      </w:r>
      <w:r>
        <w:t>puissant</w:t>
      </w:r>
      <w:r w:rsidRPr="002C4077">
        <w:t xml:space="preserve"> </w:t>
      </w:r>
      <w:r>
        <w:t>intérêt</w:t>
      </w:r>
      <w:r w:rsidRPr="002C4077">
        <w:t xml:space="preserve"> </w:t>
      </w:r>
      <w:r>
        <w:t>à</w:t>
      </w:r>
      <w:r w:rsidRPr="002C4077">
        <w:t xml:space="preserve"> </w:t>
      </w:r>
      <w:r>
        <w:t>tempérer</w:t>
      </w:r>
      <w:r w:rsidRPr="002C4077">
        <w:t xml:space="preserve"> </w:t>
      </w:r>
      <w:r>
        <w:t>la</w:t>
      </w:r>
      <w:r w:rsidRPr="002C4077">
        <w:t xml:space="preserve"> </w:t>
      </w:r>
      <w:r>
        <w:t>force</w:t>
      </w:r>
      <w:r w:rsidRPr="002C4077">
        <w:t xml:space="preserve"> </w:t>
      </w:r>
      <w:r>
        <w:t>primitive</w:t>
      </w:r>
      <w:r w:rsidRPr="002C4077">
        <w:t xml:space="preserve"> </w:t>
      </w:r>
      <w:r>
        <w:t>du</w:t>
      </w:r>
      <w:r w:rsidRPr="002C4077">
        <w:t xml:space="preserve"> </w:t>
      </w:r>
      <w:r>
        <w:t>mot</w:t>
      </w:r>
      <w:r w:rsidRPr="002C4077">
        <w:t xml:space="preserve"> </w:t>
      </w:r>
      <w:r w:rsidR="00D40830" w:rsidRPr="00D05EA9">
        <w:rPr>
          <w:rStyle w:val="italicus"/>
        </w:rPr>
        <w:t>῾almah</w:t>
      </w:r>
      <w:r w:rsidRPr="000A34B5">
        <w:rPr>
          <w:rStyle w:val="italicus"/>
        </w:rPr>
        <w:t>,</w:t>
      </w:r>
      <w:r w:rsidRPr="002C4077">
        <w:t xml:space="preserve"> </w:t>
      </w:r>
      <w:r>
        <w:t>pour</w:t>
      </w:r>
      <w:r w:rsidRPr="002C4077">
        <w:t xml:space="preserve"> </w:t>
      </w:r>
      <w:r>
        <w:t>affaiblir</w:t>
      </w:r>
      <w:r w:rsidRPr="002C4077">
        <w:t xml:space="preserve"> </w:t>
      </w:r>
      <w:r>
        <w:t>la</w:t>
      </w:r>
      <w:r w:rsidRPr="002C4077">
        <w:t xml:space="preserve"> </w:t>
      </w:r>
      <w:r>
        <w:t>preuve</w:t>
      </w:r>
      <w:r w:rsidRPr="002C4077">
        <w:t xml:space="preserve"> </w:t>
      </w:r>
      <w:r>
        <w:t>que</w:t>
      </w:r>
      <w:r w:rsidRPr="002C4077">
        <w:t xml:space="preserve"> </w:t>
      </w:r>
      <w:r>
        <w:t>les</w:t>
      </w:r>
      <w:r w:rsidRPr="002C4077">
        <w:t xml:space="preserve"> </w:t>
      </w:r>
      <w:r>
        <w:t>chrétiens</w:t>
      </w:r>
      <w:r w:rsidRPr="002C4077">
        <w:t xml:space="preserve"> </w:t>
      </w:r>
      <w:r>
        <w:t>tiraient</w:t>
      </w:r>
      <w:r w:rsidRPr="002C4077">
        <w:t xml:space="preserve"> </w:t>
      </w:r>
      <w:r>
        <w:t>de</w:t>
      </w:r>
      <w:r w:rsidRPr="002C4077">
        <w:t xml:space="preserve"> </w:t>
      </w:r>
      <w:r>
        <w:t>ce</w:t>
      </w:r>
      <w:r w:rsidRPr="002C4077">
        <w:t xml:space="preserve"> </w:t>
      </w:r>
      <w:r>
        <w:t>texte</w:t>
      </w:r>
      <w:r w:rsidRPr="002C4077">
        <w:t xml:space="preserve"> </w:t>
      </w:r>
      <w:r>
        <w:t>contre</w:t>
      </w:r>
      <w:r w:rsidRPr="002C4077">
        <w:t xml:space="preserve"> </w:t>
      </w:r>
      <w:r>
        <w:t>le</w:t>
      </w:r>
      <w:r w:rsidRPr="002C4077">
        <w:t xml:space="preserve"> </w:t>
      </w:r>
      <w:r>
        <w:t>judaïsme.</w:t>
      </w:r>
      <w:r w:rsidRPr="002C4077">
        <w:t xml:space="preserve"> </w:t>
      </w:r>
      <w:r>
        <w:t>L’argument</w:t>
      </w:r>
      <w:r w:rsidRPr="002C4077">
        <w:t xml:space="preserve"> </w:t>
      </w:r>
      <w:r>
        <w:t>déduit</w:t>
      </w:r>
      <w:r w:rsidRPr="002C4077">
        <w:t xml:space="preserve"> </w:t>
      </w:r>
      <w:r>
        <w:t>de</w:t>
      </w:r>
      <w:r w:rsidRPr="002C4077">
        <w:t xml:space="preserve"> </w:t>
      </w:r>
      <w:r>
        <w:t>la</w:t>
      </w:r>
      <w:r w:rsidRPr="002C4077">
        <w:t xml:space="preserve"> </w:t>
      </w:r>
      <w:r>
        <w:t>substitution</w:t>
      </w:r>
      <w:r w:rsidRPr="002C4077">
        <w:t xml:space="preserve"> </w:t>
      </w:r>
      <w:r>
        <w:t>de</w:t>
      </w:r>
      <w:r w:rsidRPr="002C4077">
        <w:t xml:space="preserve"> </w:t>
      </w:r>
      <w:r w:rsidR="00BF1EE0">
        <w:t>νεᾶνις</w:t>
      </w:r>
      <w:r w:rsidRPr="002C4077">
        <w:t xml:space="preserve"> </w:t>
      </w:r>
      <w:r>
        <w:t>à</w:t>
      </w:r>
      <w:r w:rsidRPr="002C4077">
        <w:t xml:space="preserve"> </w:t>
      </w:r>
      <w:r w:rsidR="00BF1EE0">
        <w:rPr>
          <w:lang w:val="el-GR" w:bidi="he-IL"/>
        </w:rPr>
        <w:t>παρθένος</w:t>
      </w:r>
      <w:r w:rsidRPr="002C4077">
        <w:t xml:space="preserve"> </w:t>
      </w:r>
      <w:r>
        <w:t>ne</w:t>
      </w:r>
      <w:r w:rsidRPr="002C4077">
        <w:t xml:space="preserve"> </w:t>
      </w:r>
      <w:r>
        <w:t>démontre</w:t>
      </w:r>
      <w:r w:rsidRPr="002C4077">
        <w:t xml:space="preserve"> </w:t>
      </w:r>
      <w:r>
        <w:t>donc</w:t>
      </w:r>
      <w:r w:rsidRPr="002C4077">
        <w:t xml:space="preserve"> </w:t>
      </w:r>
      <w:r>
        <w:t>absolument</w:t>
      </w:r>
      <w:r w:rsidRPr="002C4077">
        <w:t xml:space="preserve"> </w:t>
      </w:r>
      <w:r>
        <w:t>rien</w:t>
      </w:r>
      <w:r w:rsidR="00B91AF7">
        <w:rPr>
          <w:rStyle w:val="Appelnotedebasdep"/>
        </w:rPr>
        <w:footnoteReference w:id="159"/>
      </w:r>
      <w:r>
        <w:t>,</w:t>
      </w:r>
      <w:r w:rsidRPr="002C4077">
        <w:t xml:space="preserve"> </w:t>
      </w:r>
      <w:r>
        <w:t>et</w:t>
      </w:r>
      <w:r w:rsidRPr="002C4077">
        <w:t xml:space="preserve"> </w:t>
      </w:r>
      <w:r>
        <w:t>les</w:t>
      </w:r>
      <w:r w:rsidRPr="002C4077">
        <w:t xml:space="preserve"> </w:t>
      </w:r>
      <w:r>
        <w:t>paroles</w:t>
      </w:r>
      <w:r w:rsidRPr="002C4077">
        <w:t xml:space="preserve"> </w:t>
      </w:r>
      <w:r>
        <w:t>de</w:t>
      </w:r>
      <w:r w:rsidRPr="002C4077">
        <w:t xml:space="preserve"> </w:t>
      </w:r>
      <w:r>
        <w:t>S.</w:t>
      </w:r>
      <w:r w:rsidRPr="002C4077">
        <w:t xml:space="preserve"> </w:t>
      </w:r>
      <w:r>
        <w:t>Jean</w:t>
      </w:r>
      <w:r w:rsidRPr="002C4077">
        <w:t xml:space="preserve"> </w:t>
      </w:r>
      <w:r>
        <w:t>Chrysostome</w:t>
      </w:r>
      <w:r w:rsidRPr="002C4077">
        <w:t xml:space="preserve"> </w:t>
      </w:r>
      <w:r>
        <w:t>à</w:t>
      </w:r>
      <w:r w:rsidRPr="002C4077">
        <w:t xml:space="preserve"> </w:t>
      </w:r>
      <w:r>
        <w:t>ce</w:t>
      </w:r>
      <w:r w:rsidRPr="002C4077">
        <w:t xml:space="preserve"> </w:t>
      </w:r>
      <w:r>
        <w:t>sujet</w:t>
      </w:r>
      <w:r w:rsidRPr="002C4077">
        <w:t xml:space="preserve"> </w:t>
      </w:r>
      <w:r>
        <w:t>ont</w:t>
      </w:r>
      <w:r w:rsidRPr="002C4077">
        <w:t xml:space="preserve"> </w:t>
      </w:r>
      <w:r>
        <w:t>encore</w:t>
      </w:r>
      <w:r w:rsidRPr="002C4077">
        <w:t xml:space="preserve"> </w:t>
      </w:r>
      <w:r>
        <w:t>toute</w:t>
      </w:r>
      <w:r w:rsidRPr="002C4077">
        <w:t xml:space="preserve"> </w:t>
      </w:r>
      <w:r>
        <w:t>leur</w:t>
      </w:r>
      <w:r w:rsidRPr="002C4077">
        <w:t xml:space="preserve"> </w:t>
      </w:r>
      <w:r>
        <w:t>valeur</w:t>
      </w:r>
      <w:r w:rsidR="00B546AF">
        <w:t> :</w:t>
      </w:r>
      <w:r w:rsidRPr="002C4077">
        <w:t xml:space="preserve"> </w:t>
      </w:r>
      <w:r w:rsidR="00B546AF">
        <w:t>« </w:t>
      </w:r>
      <w:r>
        <w:t>Quod</w:t>
      </w:r>
      <w:r w:rsidRPr="002C4077">
        <w:t xml:space="preserve"> </w:t>
      </w:r>
      <w:r>
        <w:t>si</w:t>
      </w:r>
      <w:r w:rsidRPr="002C4077">
        <w:t xml:space="preserve"> </w:t>
      </w:r>
      <w:r>
        <w:t>obj</w:t>
      </w:r>
      <w:r w:rsidR="00BF1EE0">
        <w:t>í</w:t>
      </w:r>
      <w:r>
        <w:t>ciant</w:t>
      </w:r>
      <w:r w:rsidRPr="002C4077">
        <w:t xml:space="preserve"> </w:t>
      </w:r>
      <w:r>
        <w:t>nobis</w:t>
      </w:r>
      <w:r w:rsidRPr="004440EA">
        <w:t xml:space="preserve"> (</w:t>
      </w:r>
      <w:r w:rsidR="003B53FD">
        <w:t>Judǽi</w:t>
      </w:r>
      <w:r w:rsidR="00B546AF" w:rsidRPr="002C4077">
        <w:t>)</w:t>
      </w:r>
      <w:r w:rsidRPr="002C4077">
        <w:t xml:space="preserve"> </w:t>
      </w:r>
      <w:r w:rsidR="003B53FD">
        <w:t>álios</w:t>
      </w:r>
      <w:r w:rsidR="00BF1EE0" w:rsidRPr="002C4077">
        <w:t xml:space="preserve"> </w:t>
      </w:r>
      <w:r w:rsidR="00BF1EE0">
        <w:t>intérpretes</w:t>
      </w:r>
      <w:r>
        <w:t>,</w:t>
      </w:r>
      <w:r w:rsidRPr="002C4077">
        <w:t xml:space="preserve"> </w:t>
      </w:r>
      <w:r w:rsidR="00BF1EE0">
        <w:t>dicéntes</w:t>
      </w:r>
      <w:r w:rsidR="00B546AF">
        <w:t> :</w:t>
      </w:r>
      <w:r w:rsidRPr="002C4077">
        <w:t xml:space="preserve"> </w:t>
      </w:r>
      <w:r>
        <w:t>Hi</w:t>
      </w:r>
      <w:r w:rsidRPr="002C4077">
        <w:t xml:space="preserve"> </w:t>
      </w:r>
      <w:r>
        <w:t>non</w:t>
      </w:r>
      <w:r w:rsidRPr="002C4077">
        <w:t xml:space="preserve"> </w:t>
      </w:r>
      <w:r>
        <w:t>dix</w:t>
      </w:r>
      <w:r w:rsidR="003B53FD">
        <w:t>érunt</w:t>
      </w:r>
      <w:r w:rsidRPr="002C4077">
        <w:t xml:space="preserve"> </w:t>
      </w:r>
      <w:r>
        <w:t>v</w:t>
      </w:r>
      <w:r w:rsidR="003B53FD">
        <w:t>írginem</w:t>
      </w:r>
      <w:r w:rsidRPr="004440EA">
        <w:t xml:space="preserve"> (</w:t>
      </w:r>
      <w:r w:rsidR="00BF1EE0">
        <w:rPr>
          <w:lang w:val="el-GR" w:bidi="he-IL"/>
        </w:rPr>
        <w:t>παρθένο</w:t>
      </w:r>
      <w:r w:rsidR="00BF1EE0">
        <w:rPr>
          <w:lang w:bidi="he-IL"/>
        </w:rPr>
        <w:t>ν</w:t>
      </w:r>
      <w:r w:rsidR="00B546AF" w:rsidRPr="002C4077">
        <w:t>)</w:t>
      </w:r>
      <w:r w:rsidRPr="00950016">
        <w:t>,</w:t>
      </w:r>
      <w:r w:rsidRPr="002C4077">
        <w:t xml:space="preserve"> </w:t>
      </w:r>
      <w:r>
        <w:t>sed</w:t>
      </w:r>
      <w:r w:rsidRPr="002C4077">
        <w:t xml:space="preserve"> </w:t>
      </w:r>
      <w:r w:rsidR="00BF1EE0">
        <w:t>puéllam</w:t>
      </w:r>
      <w:r w:rsidRPr="004440EA">
        <w:t xml:space="preserve"> (</w:t>
      </w:r>
      <w:r w:rsidR="00BF1EE0">
        <w:t>νεᾶνιν</w:t>
      </w:r>
      <w:r w:rsidR="00B546AF" w:rsidRPr="002C4077">
        <w:t>)</w:t>
      </w:r>
      <w:r w:rsidRPr="00950016">
        <w:t>,</w:t>
      </w:r>
      <w:r w:rsidRPr="002C4077">
        <w:t xml:space="preserve"> </w:t>
      </w:r>
      <w:r>
        <w:t>primo</w:t>
      </w:r>
      <w:r w:rsidRPr="002C4077">
        <w:t xml:space="preserve"> </w:t>
      </w:r>
      <w:r>
        <w:t>quidem</w:t>
      </w:r>
      <w:r w:rsidRPr="002C4077">
        <w:t xml:space="preserve"> </w:t>
      </w:r>
      <w:r>
        <w:t>illud</w:t>
      </w:r>
      <w:r w:rsidRPr="002C4077">
        <w:t xml:space="preserve"> </w:t>
      </w:r>
      <w:r w:rsidR="003B53FD">
        <w:t>dicémus</w:t>
      </w:r>
      <w:r>
        <w:t>,</w:t>
      </w:r>
      <w:r w:rsidRPr="002C4077">
        <w:t xml:space="preserve"> </w:t>
      </w:r>
      <w:r>
        <w:t>jure</w:t>
      </w:r>
      <w:r w:rsidRPr="002C4077">
        <w:t xml:space="preserve"> </w:t>
      </w:r>
      <w:r w:rsidR="00BF1EE0">
        <w:t>Septuagínta</w:t>
      </w:r>
      <w:r w:rsidR="00BF1EE0" w:rsidRPr="002C4077">
        <w:t xml:space="preserve"> </w:t>
      </w:r>
      <w:r w:rsidR="00BF1EE0">
        <w:t>intérpretes</w:t>
      </w:r>
      <w:r w:rsidRPr="002C4077">
        <w:t xml:space="preserve"> </w:t>
      </w:r>
      <w:r w:rsidR="003B53FD">
        <w:t>áliis</w:t>
      </w:r>
      <w:r w:rsidRPr="002C4077">
        <w:t xml:space="preserve"> </w:t>
      </w:r>
      <w:r>
        <w:t>fide</w:t>
      </w:r>
      <w:r w:rsidRPr="002C4077">
        <w:t xml:space="preserve"> </w:t>
      </w:r>
      <w:r>
        <w:t>dign</w:t>
      </w:r>
      <w:r w:rsidR="003B53FD">
        <w:t>ióres</w:t>
      </w:r>
      <w:r w:rsidRPr="002C4077">
        <w:t xml:space="preserve"> </w:t>
      </w:r>
      <w:r w:rsidR="00BF1EE0">
        <w:t>habéri.</w:t>
      </w:r>
      <w:r w:rsidR="00C45B47">
        <w:t xml:space="preserve"> {</w:t>
      </w:r>
      <w:r w:rsidR="000721C4">
        <w:t>54</w:t>
      </w:r>
      <w:bookmarkStart w:id="186" w:name="p054"/>
      <w:bookmarkEnd w:id="186"/>
      <w:r w:rsidR="000721C4">
        <w:t xml:space="preserve">} </w:t>
      </w:r>
      <w:r w:rsidR="00BF1EE0">
        <w:t>Nam</w:t>
      </w:r>
      <w:r w:rsidR="00BF1EE0" w:rsidRPr="002C4077">
        <w:t xml:space="preserve"> </w:t>
      </w:r>
      <w:r w:rsidR="00BF1EE0">
        <w:t>hi</w:t>
      </w:r>
      <w:r w:rsidR="00BF1EE0" w:rsidRPr="002C4077">
        <w:t xml:space="preserve"> </w:t>
      </w:r>
      <w:r w:rsidR="00BF1EE0">
        <w:t>postré</w:t>
      </w:r>
      <w:r>
        <w:t>mi</w:t>
      </w:r>
      <w:r w:rsidRPr="002C4077">
        <w:t xml:space="preserve"> </w:t>
      </w:r>
      <w:r>
        <w:t>post</w:t>
      </w:r>
      <w:r w:rsidRPr="002C4077">
        <w:t xml:space="preserve"> </w:t>
      </w:r>
      <w:r w:rsidR="003B53FD">
        <w:t>Christi</w:t>
      </w:r>
      <w:r w:rsidRPr="002C4077">
        <w:t xml:space="preserve"> </w:t>
      </w:r>
      <w:r w:rsidR="003B53FD">
        <w:t>advéntum</w:t>
      </w:r>
      <w:r w:rsidRPr="002C4077">
        <w:t xml:space="preserve"> </w:t>
      </w:r>
      <w:r>
        <w:t>interp</w:t>
      </w:r>
      <w:r w:rsidR="003B53FD">
        <w:t>retáti</w:t>
      </w:r>
      <w:r w:rsidR="00BF1EE0" w:rsidRPr="002C4077">
        <w:t xml:space="preserve"> </w:t>
      </w:r>
      <w:r w:rsidR="00BF1EE0">
        <w:t>sunt,</w:t>
      </w:r>
      <w:r w:rsidR="00BF1EE0" w:rsidRPr="002C4077">
        <w:t xml:space="preserve"> </w:t>
      </w:r>
      <w:r w:rsidR="00BF1EE0">
        <w:t>judæí</w:t>
      </w:r>
      <w:r>
        <w:t>que</w:t>
      </w:r>
      <w:r w:rsidRPr="002C4077">
        <w:t xml:space="preserve"> </w:t>
      </w:r>
      <w:r>
        <w:t>mans</w:t>
      </w:r>
      <w:r w:rsidR="003B53FD">
        <w:t>érunt</w:t>
      </w:r>
      <w:r>
        <w:t>,</w:t>
      </w:r>
      <w:r w:rsidRPr="002C4077">
        <w:t xml:space="preserve"> </w:t>
      </w:r>
      <w:r>
        <w:t>unde</w:t>
      </w:r>
      <w:r w:rsidRPr="002C4077">
        <w:t xml:space="preserve"> </w:t>
      </w:r>
      <w:r>
        <w:t>in</w:t>
      </w:r>
      <w:r w:rsidRPr="002C4077">
        <w:t xml:space="preserve"> </w:t>
      </w:r>
      <w:r>
        <w:t>suspic</w:t>
      </w:r>
      <w:r w:rsidR="003B53FD">
        <w:t>iónem</w:t>
      </w:r>
      <w:r w:rsidRPr="002C4077">
        <w:t xml:space="preserve"> </w:t>
      </w:r>
      <w:r>
        <w:t>cadunt</w:t>
      </w:r>
      <w:r w:rsidRPr="002C4077">
        <w:t xml:space="preserve"> </w:t>
      </w:r>
      <w:r w:rsidR="00BF1EE0">
        <w:t>útpote</w:t>
      </w:r>
      <w:r w:rsidRPr="002C4077">
        <w:t xml:space="preserve"> </w:t>
      </w:r>
      <w:r>
        <w:t>qui</w:t>
      </w:r>
      <w:r w:rsidRPr="002C4077">
        <w:t xml:space="preserve"> </w:t>
      </w:r>
      <w:r>
        <w:t>ex</w:t>
      </w:r>
      <w:r w:rsidRPr="002C4077">
        <w:t xml:space="preserve"> </w:t>
      </w:r>
      <w:r>
        <w:t>inimic</w:t>
      </w:r>
      <w:r w:rsidR="003B53FD">
        <w:t>ítia</w:t>
      </w:r>
      <w:r w:rsidRPr="002C4077">
        <w:t xml:space="preserve"> </w:t>
      </w:r>
      <w:r>
        <w:t>sic</w:t>
      </w:r>
      <w:r w:rsidRPr="002C4077">
        <w:t xml:space="preserve"> </w:t>
      </w:r>
      <w:r>
        <w:t>p</w:t>
      </w:r>
      <w:r w:rsidR="003B53FD">
        <w:t>ótius</w:t>
      </w:r>
      <w:r w:rsidRPr="002C4077">
        <w:t xml:space="preserve"> </w:t>
      </w:r>
      <w:r>
        <w:t>d</w:t>
      </w:r>
      <w:r w:rsidR="003B53FD">
        <w:t>íxerint</w:t>
      </w:r>
      <w:r>
        <w:t>,</w:t>
      </w:r>
      <w:r w:rsidRPr="002C4077">
        <w:t xml:space="preserve"> </w:t>
      </w:r>
      <w:r>
        <w:t>ac</w:t>
      </w:r>
      <w:r w:rsidRPr="002C4077">
        <w:t xml:space="preserve"> </w:t>
      </w:r>
      <w:r w:rsidR="003B53FD">
        <w:t>prophetías</w:t>
      </w:r>
      <w:r w:rsidRPr="002C4077">
        <w:t xml:space="preserve"> </w:t>
      </w:r>
      <w:r>
        <w:t>de</w:t>
      </w:r>
      <w:r w:rsidRPr="002C4077">
        <w:t xml:space="preserve"> </w:t>
      </w:r>
      <w:r>
        <w:t>ind</w:t>
      </w:r>
      <w:r w:rsidR="003B53FD">
        <w:t>ústria</w:t>
      </w:r>
      <w:r w:rsidRPr="002C4077">
        <w:t xml:space="preserve"> </w:t>
      </w:r>
      <w:r>
        <w:t>obscure</w:t>
      </w:r>
      <w:r w:rsidRPr="002C4077">
        <w:t xml:space="preserve"> </w:t>
      </w:r>
      <w:r>
        <w:t>conv</w:t>
      </w:r>
      <w:r w:rsidR="003B53FD">
        <w:t>érterint</w:t>
      </w:r>
      <w:r w:rsidR="00B546AF">
        <w:t> ;</w:t>
      </w:r>
      <w:r w:rsidRPr="002C4077">
        <w:t xml:space="preserve"> </w:t>
      </w:r>
      <w:r w:rsidR="00BF1EE0">
        <w:t>Septuagínta</w:t>
      </w:r>
      <w:r w:rsidRPr="002C4077">
        <w:t xml:space="preserve"> </w:t>
      </w:r>
      <w:r>
        <w:t>vero</w:t>
      </w:r>
      <w:r w:rsidRPr="002C4077">
        <w:t xml:space="preserve"> </w:t>
      </w:r>
      <w:r>
        <w:t>qui</w:t>
      </w:r>
      <w:r w:rsidRPr="002C4077">
        <w:t xml:space="preserve"> </w:t>
      </w:r>
      <w:r>
        <w:t>centum</w:t>
      </w:r>
      <w:r w:rsidRPr="002C4077">
        <w:t xml:space="preserve"> </w:t>
      </w:r>
      <w:r>
        <w:t>aut</w:t>
      </w:r>
      <w:r w:rsidRPr="002C4077">
        <w:t xml:space="preserve"> </w:t>
      </w:r>
      <w:r>
        <w:t>pl</w:t>
      </w:r>
      <w:r w:rsidR="003B53FD">
        <w:t>úribus</w:t>
      </w:r>
      <w:r w:rsidRPr="002C4077">
        <w:t xml:space="preserve"> </w:t>
      </w:r>
      <w:r>
        <w:t>annis</w:t>
      </w:r>
      <w:r w:rsidRPr="002C4077">
        <w:t xml:space="preserve"> </w:t>
      </w:r>
      <w:r>
        <w:t>ante</w:t>
      </w:r>
      <w:r w:rsidRPr="002C4077">
        <w:t xml:space="preserve"> </w:t>
      </w:r>
      <w:r w:rsidR="003B53FD">
        <w:t>Christi</w:t>
      </w:r>
      <w:r w:rsidRPr="002C4077">
        <w:t xml:space="preserve"> </w:t>
      </w:r>
      <w:r w:rsidR="003B53FD">
        <w:t>advéntum</w:t>
      </w:r>
      <w:r w:rsidRPr="002C4077">
        <w:t xml:space="preserve"> </w:t>
      </w:r>
      <w:r>
        <w:t>huic</w:t>
      </w:r>
      <w:r w:rsidRPr="002C4077">
        <w:t xml:space="preserve"> </w:t>
      </w:r>
      <w:r>
        <w:t>rei…</w:t>
      </w:r>
      <w:r w:rsidRPr="002C4077">
        <w:t xml:space="preserve"> </w:t>
      </w:r>
      <w:r>
        <w:t>manum</w:t>
      </w:r>
      <w:r w:rsidRPr="002C4077">
        <w:t xml:space="preserve"> </w:t>
      </w:r>
      <w:r>
        <w:t>admov</w:t>
      </w:r>
      <w:r w:rsidR="003B53FD">
        <w:t>érunt</w:t>
      </w:r>
      <w:r>
        <w:t>,</w:t>
      </w:r>
      <w:r w:rsidRPr="002C4077">
        <w:t xml:space="preserve"> </w:t>
      </w:r>
      <w:r>
        <w:t>ab</w:t>
      </w:r>
      <w:r w:rsidRPr="002C4077">
        <w:t xml:space="preserve"> </w:t>
      </w:r>
      <w:r>
        <w:t>omni</w:t>
      </w:r>
      <w:r w:rsidRPr="002C4077">
        <w:t xml:space="preserve"> </w:t>
      </w:r>
      <w:r w:rsidR="00BF1EE0">
        <w:t>hujúsmodi</w:t>
      </w:r>
      <w:r w:rsidRPr="002C4077">
        <w:t xml:space="preserve"> </w:t>
      </w:r>
      <w:r>
        <w:t>susp</w:t>
      </w:r>
      <w:r w:rsidR="001730C6">
        <w:t>ic</w:t>
      </w:r>
      <w:r w:rsidR="003B53FD">
        <w:t>ióne</w:t>
      </w:r>
      <w:r w:rsidRPr="002C4077">
        <w:t xml:space="preserve"> </w:t>
      </w:r>
      <w:r w:rsidR="00BF1EE0">
        <w:t>líberi</w:t>
      </w:r>
      <w:r w:rsidRPr="002C4077">
        <w:t xml:space="preserve"> </w:t>
      </w:r>
      <w:r>
        <w:t>sunt…,</w:t>
      </w:r>
      <w:r w:rsidRPr="002C4077">
        <w:t xml:space="preserve"> </w:t>
      </w:r>
      <w:r>
        <w:t>ac</w:t>
      </w:r>
      <w:r w:rsidRPr="002C4077">
        <w:t xml:space="preserve"> </w:t>
      </w:r>
      <w:r>
        <w:t>fide</w:t>
      </w:r>
      <w:r w:rsidRPr="002C4077">
        <w:t xml:space="preserve"> </w:t>
      </w:r>
      <w:r>
        <w:t>digni</w:t>
      </w:r>
      <w:r w:rsidRPr="002C4077">
        <w:t xml:space="preserve"> </w:t>
      </w:r>
      <w:r w:rsidR="00BF1EE0">
        <w:t>habéndi</w:t>
      </w:r>
      <w:r w:rsidRPr="002C4077">
        <w:t xml:space="preserve"> </w:t>
      </w:r>
      <w:r>
        <w:t>sunt</w:t>
      </w:r>
      <w:r w:rsidR="00B91AF7">
        <w:rPr>
          <w:rStyle w:val="Appelnotedebasdep"/>
        </w:rPr>
        <w:footnoteReference w:id="160"/>
      </w:r>
      <w:r w:rsidR="00B546AF">
        <w:t> »</w:t>
      </w:r>
      <w:r>
        <w:t>.</w:t>
      </w:r>
      <w:r w:rsidRPr="002C4077">
        <w:t xml:space="preserve"> </w:t>
      </w:r>
    </w:p>
    <w:p w:rsidR="000A7AAB" w:rsidRDefault="000A7AAB" w:rsidP="000A7AAB">
      <w:r>
        <w:t>L’emploi</w:t>
      </w:r>
      <w:r w:rsidRPr="002C4077">
        <w:t xml:space="preserve"> </w:t>
      </w:r>
      <w:r>
        <w:t>de</w:t>
      </w:r>
      <w:r w:rsidRPr="002C4077">
        <w:t xml:space="preserve"> </w:t>
      </w:r>
      <w:r w:rsidR="00BF1EE0">
        <w:rPr>
          <w:lang w:val="el-GR" w:bidi="he-IL"/>
        </w:rPr>
        <w:t>παρθένος</w:t>
      </w:r>
      <w:r w:rsidR="00BF1EE0" w:rsidRPr="002C4077">
        <w:t xml:space="preserve"> </w:t>
      </w:r>
      <w:r>
        <w:t>par</w:t>
      </w:r>
      <w:r w:rsidRPr="002C4077">
        <w:t xml:space="preserve"> </w:t>
      </w:r>
      <w:r>
        <w:t>les</w:t>
      </w:r>
      <w:r w:rsidRPr="002C4077">
        <w:t xml:space="preserve"> </w:t>
      </w:r>
      <w:r>
        <w:t>Septante</w:t>
      </w:r>
      <w:r w:rsidRPr="002C4077">
        <w:t xml:space="preserve"> </w:t>
      </w:r>
      <w:r>
        <w:t>montre</w:t>
      </w:r>
      <w:r w:rsidRPr="002C4077">
        <w:t xml:space="preserve"> </w:t>
      </w:r>
      <w:r>
        <w:t>donc</w:t>
      </w:r>
      <w:r w:rsidRPr="002C4077">
        <w:t xml:space="preserve"> </w:t>
      </w:r>
      <w:r>
        <w:t>nettement</w:t>
      </w:r>
      <w:r w:rsidRPr="002C4077">
        <w:t xml:space="preserve"> </w:t>
      </w:r>
      <w:r w:rsidR="00B546AF">
        <w:t>« </w:t>
      </w:r>
      <w:r>
        <w:t>le</w:t>
      </w:r>
      <w:r w:rsidRPr="002C4077">
        <w:t xml:space="preserve"> </w:t>
      </w:r>
      <w:r>
        <w:t>sens</w:t>
      </w:r>
      <w:r w:rsidRPr="002C4077">
        <w:t xml:space="preserve"> </w:t>
      </w:r>
      <w:r>
        <w:t>attaché</w:t>
      </w:r>
      <w:r w:rsidRPr="002C4077">
        <w:t xml:space="preserve"> </w:t>
      </w:r>
      <w:r>
        <w:t>à</w:t>
      </w:r>
      <w:r w:rsidRPr="002C4077">
        <w:t xml:space="preserve"> </w:t>
      </w:r>
      <w:r>
        <w:t>cette</w:t>
      </w:r>
      <w:r w:rsidRPr="002C4077">
        <w:t xml:space="preserve"> </w:t>
      </w:r>
      <w:r>
        <w:t>expression</w:t>
      </w:r>
      <w:r w:rsidRPr="002C4077">
        <w:t xml:space="preserve"> </w:t>
      </w:r>
      <w:r>
        <w:t>par</w:t>
      </w:r>
      <w:r w:rsidRPr="002C4077">
        <w:t xml:space="preserve"> </w:t>
      </w:r>
      <w:r>
        <w:t>les</w:t>
      </w:r>
      <w:r w:rsidRPr="002C4077">
        <w:t xml:space="preserve"> </w:t>
      </w:r>
      <w:r>
        <w:t>interprètes,</w:t>
      </w:r>
      <w:r w:rsidRPr="002C4077">
        <w:t xml:space="preserve"> </w:t>
      </w:r>
      <w:r>
        <w:t>quand</w:t>
      </w:r>
      <w:r w:rsidRPr="002C4077">
        <w:t xml:space="preserve"> </w:t>
      </w:r>
      <w:r>
        <w:t>aucune</w:t>
      </w:r>
      <w:r w:rsidRPr="002C4077">
        <w:t xml:space="preserve"> </w:t>
      </w:r>
      <w:r>
        <w:t>influence</w:t>
      </w:r>
      <w:r w:rsidRPr="002C4077">
        <w:t xml:space="preserve"> </w:t>
      </w:r>
      <w:r>
        <w:t>dogmatique</w:t>
      </w:r>
      <w:r w:rsidRPr="002C4077">
        <w:t xml:space="preserve"> </w:t>
      </w:r>
      <w:r>
        <w:t>ne</w:t>
      </w:r>
      <w:r w:rsidRPr="002C4077">
        <w:t xml:space="preserve"> </w:t>
      </w:r>
      <w:r>
        <w:t>portait</w:t>
      </w:r>
      <w:r w:rsidRPr="002C4077">
        <w:t xml:space="preserve"> </w:t>
      </w:r>
      <w:r>
        <w:t>à</w:t>
      </w:r>
      <w:r w:rsidRPr="002C4077">
        <w:t xml:space="preserve"> </w:t>
      </w:r>
      <w:r>
        <w:t>une</w:t>
      </w:r>
      <w:r w:rsidRPr="002C4077">
        <w:t xml:space="preserve"> </w:t>
      </w:r>
      <w:r>
        <w:t>autre</w:t>
      </w:r>
      <w:r w:rsidRPr="002C4077">
        <w:t xml:space="preserve"> </w:t>
      </w:r>
      <w:r>
        <w:t>traduction</w:t>
      </w:r>
      <w:r w:rsidR="00B91AF7">
        <w:rPr>
          <w:rStyle w:val="Appelnotedebasdep"/>
        </w:rPr>
        <w:footnoteReference w:id="161"/>
      </w:r>
      <w:r w:rsidR="00B546AF">
        <w:t> »</w:t>
      </w:r>
      <w:r>
        <w:t>.</w:t>
      </w:r>
      <w:r w:rsidRPr="002C4077">
        <w:t xml:space="preserve"> </w:t>
      </w:r>
    </w:p>
    <w:p w:rsidR="000A7AAB" w:rsidRPr="000721C4" w:rsidRDefault="000A7AAB" w:rsidP="000A7AAB">
      <w:r>
        <w:t>Il</w:t>
      </w:r>
      <w:r w:rsidRPr="002C4077">
        <w:t xml:space="preserve"> </w:t>
      </w:r>
      <w:r>
        <w:t>sera</w:t>
      </w:r>
      <w:r w:rsidRPr="002C4077">
        <w:t xml:space="preserve"> </w:t>
      </w:r>
      <w:r>
        <w:t>bon</w:t>
      </w:r>
      <w:r w:rsidRPr="002C4077">
        <w:t xml:space="preserve"> </w:t>
      </w:r>
      <w:r>
        <w:t>d’ajouter</w:t>
      </w:r>
      <w:r w:rsidRPr="002C4077">
        <w:t xml:space="preserve"> </w:t>
      </w:r>
      <w:r>
        <w:t>quelques</w:t>
      </w:r>
      <w:r w:rsidRPr="002C4077">
        <w:t xml:space="preserve"> </w:t>
      </w:r>
      <w:r>
        <w:t>traits</w:t>
      </w:r>
      <w:r w:rsidRPr="002C4077">
        <w:t xml:space="preserve"> </w:t>
      </w:r>
      <w:r>
        <w:t>de</w:t>
      </w:r>
      <w:r w:rsidRPr="002C4077">
        <w:t xml:space="preserve"> </w:t>
      </w:r>
      <w:r>
        <w:t>détail,</w:t>
      </w:r>
      <w:r w:rsidRPr="002C4077">
        <w:t xml:space="preserve"> </w:t>
      </w:r>
      <w:r>
        <w:t>pour</w:t>
      </w:r>
      <w:r w:rsidRPr="002C4077">
        <w:t xml:space="preserve"> </w:t>
      </w:r>
      <w:r>
        <w:t>justifier</w:t>
      </w:r>
      <w:r w:rsidRPr="002C4077">
        <w:t xml:space="preserve"> </w:t>
      </w:r>
      <w:r>
        <w:t>et</w:t>
      </w:r>
      <w:r w:rsidRPr="002C4077">
        <w:t xml:space="preserve"> </w:t>
      </w:r>
      <w:r>
        <w:t>corroborer</w:t>
      </w:r>
      <w:r w:rsidRPr="002C4077">
        <w:t xml:space="preserve"> </w:t>
      </w:r>
      <w:r>
        <w:t>encore</w:t>
      </w:r>
      <w:r w:rsidRPr="002C4077">
        <w:t xml:space="preserve"> </w:t>
      </w:r>
      <w:r>
        <w:t>ce</w:t>
      </w:r>
      <w:r w:rsidRPr="002C4077">
        <w:t xml:space="preserve"> </w:t>
      </w:r>
      <w:r>
        <w:t>qui</w:t>
      </w:r>
      <w:r w:rsidRPr="002C4077">
        <w:t xml:space="preserve"> </w:t>
      </w:r>
      <w:r>
        <w:t>vient</w:t>
      </w:r>
      <w:r w:rsidRPr="002C4077">
        <w:t xml:space="preserve"> </w:t>
      </w:r>
      <w:r>
        <w:t>d’être</w:t>
      </w:r>
      <w:r w:rsidRPr="002C4077">
        <w:t xml:space="preserve"> </w:t>
      </w:r>
      <w:r>
        <w:t>dit.</w:t>
      </w:r>
      <w:r w:rsidRPr="002C4077">
        <w:t xml:space="preserve"> </w:t>
      </w:r>
      <w:r>
        <w:t>1°</w:t>
      </w:r>
      <w:r w:rsidRPr="002C4077">
        <w:t xml:space="preserve"> </w:t>
      </w:r>
      <w:r>
        <w:t>Le</w:t>
      </w:r>
      <w:r w:rsidRPr="002C4077">
        <w:t xml:space="preserve"> </w:t>
      </w:r>
      <w:r>
        <w:t>substantif</w:t>
      </w:r>
      <w:r w:rsidRPr="002C4077">
        <w:t xml:space="preserve"> </w:t>
      </w:r>
      <w:r w:rsidR="00BF1EE0">
        <w:t>νεᾶνις</w:t>
      </w:r>
      <w:r w:rsidR="00BF1EE0" w:rsidRPr="002C4077">
        <w:t xml:space="preserve"> </w:t>
      </w:r>
      <w:r w:rsidR="00425C50">
        <w:t>est</w:t>
      </w:r>
      <w:r w:rsidRPr="002C4077">
        <w:t xml:space="preserve"> </w:t>
      </w:r>
      <w:r>
        <w:t>parfois</w:t>
      </w:r>
      <w:r w:rsidRPr="002C4077">
        <w:t xml:space="preserve"> </w:t>
      </w:r>
      <w:r>
        <w:t>employé</w:t>
      </w:r>
      <w:r w:rsidRPr="002C4077">
        <w:t xml:space="preserve"> </w:t>
      </w:r>
      <w:r>
        <w:t>dans</w:t>
      </w:r>
      <w:r w:rsidRPr="002C4077">
        <w:t xml:space="preserve"> </w:t>
      </w:r>
      <w:r>
        <w:t>les</w:t>
      </w:r>
      <w:r w:rsidRPr="002C4077">
        <w:t xml:space="preserve"> </w:t>
      </w:r>
      <w:r>
        <w:t>Septante</w:t>
      </w:r>
      <w:r w:rsidRPr="002C4077">
        <w:t xml:space="preserve"> </w:t>
      </w:r>
      <w:r>
        <w:t>comme</w:t>
      </w:r>
      <w:r w:rsidRPr="002C4077">
        <w:t xml:space="preserve"> </w:t>
      </w:r>
      <w:r>
        <w:t>synonyme</w:t>
      </w:r>
      <w:r w:rsidRPr="002C4077">
        <w:t xml:space="preserve"> </w:t>
      </w:r>
      <w:r>
        <w:t>de</w:t>
      </w:r>
      <w:r w:rsidRPr="002C4077">
        <w:t xml:space="preserve"> </w:t>
      </w:r>
      <w:r w:rsidR="00BF1EE0">
        <w:rPr>
          <w:lang w:val="el-GR" w:bidi="he-IL"/>
        </w:rPr>
        <w:t>παρθένος</w:t>
      </w:r>
      <w:r w:rsidRPr="002C4077">
        <w:t xml:space="preserve"> </w:t>
      </w:r>
      <w:r>
        <w:t>par</w:t>
      </w:r>
      <w:r w:rsidRPr="002C4077">
        <w:t xml:space="preserve"> </w:t>
      </w:r>
      <w:r>
        <w:t>exemple,</w:t>
      </w:r>
      <w:r w:rsidRPr="002C4077">
        <w:t xml:space="preserve"> </w:t>
      </w:r>
      <w:r>
        <w:t>au</w:t>
      </w:r>
      <w:r w:rsidRPr="002C4077">
        <w:t xml:space="preserve"> </w:t>
      </w:r>
      <w:r>
        <w:t>troisième</w:t>
      </w:r>
      <w:r w:rsidRPr="002C4077">
        <w:t xml:space="preserve"> </w:t>
      </w:r>
      <w:r>
        <w:t>livre</w:t>
      </w:r>
      <w:r w:rsidRPr="002C4077">
        <w:t xml:space="preserve"> </w:t>
      </w:r>
      <w:r>
        <w:t>des</w:t>
      </w:r>
      <w:r w:rsidRPr="002C4077">
        <w:t xml:space="preserve"> </w:t>
      </w:r>
      <w:r>
        <w:t>Rois,</w:t>
      </w:r>
      <w:r w:rsidRPr="002C4077">
        <w:t xml:space="preserve"> </w:t>
      </w:r>
      <w:r>
        <w:t>chap.</w:t>
      </w:r>
      <w:r w:rsidRPr="002C4077">
        <w:t xml:space="preserve"> </w:t>
      </w:r>
      <w:r>
        <w:t>I,</w:t>
      </w:r>
      <w:r w:rsidRPr="002C4077">
        <w:t xml:space="preserve"> </w:t>
      </w:r>
      <w:r>
        <w:t>verset</w:t>
      </w:r>
      <w:r w:rsidRPr="002C4077">
        <w:t xml:space="preserve"> </w:t>
      </w:r>
      <w:r>
        <w:t>2,</w:t>
      </w:r>
      <w:r w:rsidRPr="002C4077">
        <w:t xml:space="preserve"> </w:t>
      </w:r>
      <w:r>
        <w:t>passage</w:t>
      </w:r>
      <w:r w:rsidRPr="002C4077">
        <w:t xml:space="preserve"> </w:t>
      </w:r>
      <w:r>
        <w:t>où</w:t>
      </w:r>
      <w:r w:rsidRPr="002C4077">
        <w:t xml:space="preserve"> </w:t>
      </w:r>
      <w:r>
        <w:t>il</w:t>
      </w:r>
      <w:r w:rsidRPr="002C4077">
        <w:t xml:space="preserve"> </w:t>
      </w:r>
      <w:r>
        <w:t>s’agit</w:t>
      </w:r>
      <w:r w:rsidRPr="002C4077">
        <w:t xml:space="preserve"> </w:t>
      </w:r>
      <w:r>
        <w:t>incontestablement</w:t>
      </w:r>
      <w:r w:rsidRPr="002C4077">
        <w:t xml:space="preserve"> </w:t>
      </w:r>
      <w:r>
        <w:t>d’une</w:t>
      </w:r>
      <w:r w:rsidRPr="002C4077">
        <w:t xml:space="preserve"> </w:t>
      </w:r>
      <w:r>
        <w:t>vierge.</w:t>
      </w:r>
      <w:r w:rsidRPr="002C4077">
        <w:t xml:space="preserve"> </w:t>
      </w:r>
      <w:r>
        <w:t>2°</w:t>
      </w:r>
      <w:r w:rsidRPr="002C4077">
        <w:t xml:space="preserve"> </w:t>
      </w:r>
      <w:r>
        <w:t>Par</w:t>
      </w:r>
      <w:r w:rsidRPr="002C4077">
        <w:t xml:space="preserve"> </w:t>
      </w:r>
      <w:r>
        <w:t>contre,</w:t>
      </w:r>
      <w:r w:rsidRPr="002C4077">
        <w:t xml:space="preserve"> </w:t>
      </w:r>
      <w:r>
        <w:t>Aquila</w:t>
      </w:r>
      <w:r w:rsidRPr="002C4077">
        <w:t xml:space="preserve"> </w:t>
      </w:r>
      <w:r>
        <w:t>reconnaît</w:t>
      </w:r>
      <w:r w:rsidRPr="002C4077">
        <w:t xml:space="preserve"> </w:t>
      </w:r>
      <w:r>
        <w:t>incontestablement</w:t>
      </w:r>
      <w:r w:rsidRPr="002C4077">
        <w:t xml:space="preserve"> </w:t>
      </w:r>
      <w:r>
        <w:t>aussi</w:t>
      </w:r>
      <w:r w:rsidRPr="002C4077">
        <w:t xml:space="preserve"> </w:t>
      </w:r>
      <w:r>
        <w:t>au</w:t>
      </w:r>
      <w:r w:rsidRPr="002C4077">
        <w:t xml:space="preserve"> </w:t>
      </w:r>
      <w:r>
        <w:t>mot</w:t>
      </w:r>
      <w:r w:rsidRPr="002C4077">
        <w:t xml:space="preserve"> </w:t>
      </w:r>
      <w:r w:rsidR="00D40830" w:rsidRPr="00D05EA9">
        <w:rPr>
          <w:rStyle w:val="italicus"/>
        </w:rPr>
        <w:t>῾almah</w:t>
      </w:r>
      <w:r w:rsidRPr="002C4077">
        <w:t xml:space="preserve"> </w:t>
      </w:r>
      <w:r>
        <w:t>la</w:t>
      </w:r>
      <w:r w:rsidRPr="002C4077">
        <w:t xml:space="preserve"> </w:t>
      </w:r>
      <w:r>
        <w:t>signification</w:t>
      </w:r>
      <w:r w:rsidRPr="002C4077">
        <w:t xml:space="preserve"> </w:t>
      </w:r>
      <w:r>
        <w:t>de</w:t>
      </w:r>
      <w:r w:rsidRPr="002C4077">
        <w:t xml:space="preserve"> </w:t>
      </w:r>
      <w:r>
        <w:t>vierge,</w:t>
      </w:r>
      <w:r w:rsidRPr="002C4077">
        <w:t xml:space="preserve"> </w:t>
      </w:r>
      <w:r>
        <w:t>puisqu’il</w:t>
      </w:r>
      <w:r w:rsidRPr="002C4077">
        <w:t xml:space="preserve"> </w:t>
      </w:r>
      <w:r>
        <w:t>le</w:t>
      </w:r>
      <w:r w:rsidRPr="002C4077">
        <w:t xml:space="preserve"> </w:t>
      </w:r>
      <w:r>
        <w:t>t</w:t>
      </w:r>
      <w:r w:rsidR="003B53FD">
        <w:t>raduit</w:t>
      </w:r>
      <w:r>
        <w:t>,</w:t>
      </w:r>
      <w:r w:rsidRPr="002C4077">
        <w:t xml:space="preserve"> </w:t>
      </w:r>
      <w:r>
        <w:t>comme</w:t>
      </w:r>
      <w:r w:rsidRPr="002C4077">
        <w:t xml:space="preserve"> </w:t>
      </w:r>
      <w:r>
        <w:t>l’observe</w:t>
      </w:r>
      <w:r w:rsidRPr="002C4077">
        <w:t xml:space="preserve"> </w:t>
      </w:r>
      <w:r>
        <w:t>saint</w:t>
      </w:r>
      <w:r w:rsidRPr="002C4077">
        <w:t xml:space="preserve"> </w:t>
      </w:r>
      <w:r>
        <w:t>Jérôme,</w:t>
      </w:r>
      <w:r w:rsidRPr="002C4077">
        <w:t xml:space="preserve"> </w:t>
      </w:r>
      <w:r>
        <w:t>par</w:t>
      </w:r>
      <w:r w:rsidRPr="002C4077">
        <w:t xml:space="preserve"> </w:t>
      </w:r>
      <w:r w:rsidR="00B546AF">
        <w:t>« </w:t>
      </w:r>
      <w:r w:rsidR="00CE33FA">
        <w:t>abscóndita</w:t>
      </w:r>
      <w:r w:rsidR="00B546AF">
        <w:t> »</w:t>
      </w:r>
      <w:r w:rsidRPr="002C4077">
        <w:t xml:space="preserve"> </w:t>
      </w:r>
      <w:r>
        <w:t>au</w:t>
      </w:r>
      <w:r w:rsidRPr="002C4077">
        <w:t xml:space="preserve"> </w:t>
      </w:r>
      <w:r>
        <w:t>chapitre</w:t>
      </w:r>
      <w:r w:rsidRPr="002C4077">
        <w:t xml:space="preserve"> </w:t>
      </w:r>
      <w:r>
        <w:t>XXIV</w:t>
      </w:r>
      <w:r w:rsidRPr="002C4077">
        <w:t xml:space="preserve"> </w:t>
      </w:r>
      <w:r>
        <w:t>de</w:t>
      </w:r>
      <w:r w:rsidRPr="002C4077">
        <w:t xml:space="preserve"> </w:t>
      </w:r>
      <w:r>
        <w:t>la</w:t>
      </w:r>
      <w:r w:rsidRPr="002C4077">
        <w:t xml:space="preserve"> </w:t>
      </w:r>
      <w:r>
        <w:t>Genèse</w:t>
      </w:r>
      <w:r w:rsidRPr="004440EA">
        <w:t xml:space="preserve"> (</w:t>
      </w:r>
      <w:r>
        <w:t>verset</w:t>
      </w:r>
      <w:r w:rsidRPr="002C4077">
        <w:t xml:space="preserve"> </w:t>
      </w:r>
      <w:r>
        <w:t>43</w:t>
      </w:r>
      <w:r w:rsidR="00B546AF" w:rsidRPr="002C4077">
        <w:t>)</w:t>
      </w:r>
      <w:r>
        <w:t>.</w:t>
      </w:r>
      <w:r w:rsidRPr="002C4077">
        <w:t xml:space="preserve"> </w:t>
      </w:r>
      <w:r>
        <w:t>3°</w:t>
      </w:r>
      <w:r w:rsidRPr="002C4077">
        <w:t xml:space="preserve"> </w:t>
      </w:r>
      <w:r>
        <w:t>Selon</w:t>
      </w:r>
      <w:r w:rsidRPr="002C4077">
        <w:t xml:space="preserve"> </w:t>
      </w:r>
      <w:r>
        <w:t>la</w:t>
      </w:r>
      <w:r w:rsidRPr="002C4077">
        <w:t xml:space="preserve"> </w:t>
      </w:r>
      <w:r>
        <w:t>remarque</w:t>
      </w:r>
      <w:r w:rsidRPr="002C4077">
        <w:t xml:space="preserve"> </w:t>
      </w:r>
      <w:r>
        <w:t>très</w:t>
      </w:r>
      <w:r w:rsidRPr="002C4077">
        <w:t xml:space="preserve"> </w:t>
      </w:r>
      <w:r>
        <w:t>juste</w:t>
      </w:r>
      <w:r w:rsidRPr="002C4077">
        <w:t xml:space="preserve"> </w:t>
      </w:r>
      <w:r>
        <w:t>de</w:t>
      </w:r>
      <w:r w:rsidRPr="002C4077">
        <w:t xml:space="preserve"> </w:t>
      </w:r>
      <w:r>
        <w:t>M.</w:t>
      </w:r>
      <w:r w:rsidRPr="002C4077">
        <w:t xml:space="preserve"> </w:t>
      </w:r>
      <w:r>
        <w:t>Le</w:t>
      </w:r>
      <w:r w:rsidRPr="002C4077">
        <w:t xml:space="preserve"> </w:t>
      </w:r>
      <w:r>
        <w:t>Hir,</w:t>
      </w:r>
      <w:r w:rsidRPr="002C4077">
        <w:t xml:space="preserve"> </w:t>
      </w:r>
      <w:r w:rsidR="00B546AF">
        <w:t>« </w:t>
      </w:r>
      <w:r w:rsidR="00BF1EE0">
        <w:rPr>
          <w:lang w:val="el-GR" w:bidi="he-IL"/>
        </w:rPr>
        <w:t>παρθένος</w:t>
      </w:r>
      <w:r>
        <w:t>,</w:t>
      </w:r>
      <w:r w:rsidRPr="002C4077">
        <w:t xml:space="preserve"> </w:t>
      </w:r>
      <w:r>
        <w:t>ayant</w:t>
      </w:r>
      <w:r w:rsidRPr="002C4077">
        <w:t xml:space="preserve"> </w:t>
      </w:r>
      <w:r>
        <w:t>une</w:t>
      </w:r>
      <w:r w:rsidRPr="002C4077">
        <w:t xml:space="preserve"> </w:t>
      </w:r>
      <w:r>
        <w:t>signification</w:t>
      </w:r>
      <w:r w:rsidRPr="002C4077">
        <w:t xml:space="preserve"> </w:t>
      </w:r>
      <w:r>
        <w:t>plus</w:t>
      </w:r>
      <w:r w:rsidRPr="002C4077">
        <w:t xml:space="preserve"> </w:t>
      </w:r>
      <w:r>
        <w:t>déterminée,</w:t>
      </w:r>
      <w:r w:rsidRPr="002C4077">
        <w:t xml:space="preserve"> </w:t>
      </w:r>
      <w:r>
        <w:t>n’a</w:t>
      </w:r>
      <w:r w:rsidRPr="002C4077">
        <w:t xml:space="preserve"> </w:t>
      </w:r>
      <w:r>
        <w:t>pu</w:t>
      </w:r>
      <w:r w:rsidRPr="002C4077">
        <w:t xml:space="preserve"> </w:t>
      </w:r>
      <w:r>
        <w:t>se</w:t>
      </w:r>
      <w:r w:rsidRPr="002C4077">
        <w:t xml:space="preserve"> </w:t>
      </w:r>
      <w:r>
        <w:t>mettre</w:t>
      </w:r>
      <w:r w:rsidRPr="002C4077">
        <w:t xml:space="preserve"> </w:t>
      </w:r>
      <w:r>
        <w:t>sans</w:t>
      </w:r>
      <w:r w:rsidRPr="002C4077">
        <w:t xml:space="preserve"> </w:t>
      </w:r>
      <w:r>
        <w:t>dessein</w:t>
      </w:r>
      <w:r w:rsidRPr="004440EA">
        <w:t xml:space="preserve"> (</w:t>
      </w:r>
      <w:r>
        <w:t>delà</w:t>
      </w:r>
      <w:r w:rsidRPr="002C4077">
        <w:t xml:space="preserve"> </w:t>
      </w:r>
      <w:r>
        <w:t>part</w:t>
      </w:r>
      <w:r w:rsidRPr="002C4077">
        <w:t xml:space="preserve"> </w:t>
      </w:r>
      <w:r>
        <w:t>des</w:t>
      </w:r>
      <w:r w:rsidRPr="002C4077">
        <w:t xml:space="preserve"> </w:t>
      </w:r>
      <w:r>
        <w:t>Septante</w:t>
      </w:r>
      <w:r w:rsidR="00B546AF" w:rsidRPr="002C4077">
        <w:t>)</w:t>
      </w:r>
      <w:r w:rsidRPr="002C4077">
        <w:t xml:space="preserve"> </w:t>
      </w:r>
      <w:r>
        <w:t>à</w:t>
      </w:r>
      <w:r w:rsidRPr="002C4077">
        <w:t xml:space="preserve"> </w:t>
      </w:r>
      <w:r>
        <w:t>la</w:t>
      </w:r>
      <w:r w:rsidRPr="002C4077">
        <w:t xml:space="preserve"> </w:t>
      </w:r>
      <w:r>
        <w:t>place</w:t>
      </w:r>
      <w:r w:rsidRPr="002C4077">
        <w:t xml:space="preserve"> </w:t>
      </w:r>
      <w:r>
        <w:t>de</w:t>
      </w:r>
      <w:r w:rsidRPr="002C4077">
        <w:t xml:space="preserve"> </w:t>
      </w:r>
      <w:r w:rsidR="00BF1EE0">
        <w:t>νεᾶνις</w:t>
      </w:r>
      <w:r>
        <w:t>,</w:t>
      </w:r>
      <w:r w:rsidRPr="002C4077">
        <w:t xml:space="preserve"> </w:t>
      </w:r>
      <w:r>
        <w:t>surtout</w:t>
      </w:r>
      <w:r w:rsidRPr="002C4077">
        <w:t xml:space="preserve"> </w:t>
      </w:r>
      <w:r>
        <w:t>dans</w:t>
      </w:r>
      <w:r w:rsidRPr="002C4077">
        <w:t xml:space="preserve"> </w:t>
      </w:r>
      <w:r>
        <w:t>un</w:t>
      </w:r>
      <w:r w:rsidRPr="002C4077">
        <w:t xml:space="preserve"> </w:t>
      </w:r>
      <w:r>
        <w:t>endroit</w:t>
      </w:r>
      <w:r w:rsidRPr="002C4077">
        <w:t xml:space="preserve"> </w:t>
      </w:r>
      <w:r>
        <w:t>tel</w:t>
      </w:r>
      <w:r w:rsidRPr="002C4077">
        <w:t xml:space="preserve"> </w:t>
      </w:r>
      <w:r>
        <w:t>que</w:t>
      </w:r>
      <w:r w:rsidRPr="002C4077">
        <w:t xml:space="preserve"> </w:t>
      </w:r>
      <w:r w:rsidR="003B53FD">
        <w:t>celui</w:t>
      </w:r>
      <w:r w:rsidRPr="002C4077">
        <w:t xml:space="preserve"> </w:t>
      </w:r>
      <w:r>
        <w:t>d’Isaïe,</w:t>
      </w:r>
      <w:r w:rsidRPr="002C4077">
        <w:t xml:space="preserve"> </w:t>
      </w:r>
      <w:r>
        <w:t>où</w:t>
      </w:r>
      <w:r w:rsidRPr="002C4077">
        <w:t xml:space="preserve"> </w:t>
      </w:r>
      <w:r>
        <w:t>il</w:t>
      </w:r>
      <w:r w:rsidRPr="002C4077">
        <w:t xml:space="preserve"> </w:t>
      </w:r>
      <w:r>
        <w:t>s’agit</w:t>
      </w:r>
      <w:r w:rsidRPr="002C4077">
        <w:t xml:space="preserve"> </w:t>
      </w:r>
      <w:r>
        <w:t>d’un</w:t>
      </w:r>
      <w:r w:rsidRPr="002C4077">
        <w:t xml:space="preserve"> </w:t>
      </w:r>
      <w:r>
        <w:t>enfantement.</w:t>
      </w:r>
      <w:r w:rsidRPr="002C4077">
        <w:t xml:space="preserve"> </w:t>
      </w:r>
      <w:r>
        <w:t>Il</w:t>
      </w:r>
      <w:r w:rsidRPr="002C4077">
        <w:t xml:space="preserve"> </w:t>
      </w:r>
      <w:r w:rsidR="00425C50">
        <w:t>est</w:t>
      </w:r>
      <w:r w:rsidRPr="002C4077">
        <w:t xml:space="preserve"> </w:t>
      </w:r>
      <w:r>
        <w:t>donc</w:t>
      </w:r>
      <w:r w:rsidRPr="002C4077">
        <w:t xml:space="preserve"> </w:t>
      </w:r>
      <w:r>
        <w:t>constant</w:t>
      </w:r>
      <w:r w:rsidRPr="002C4077">
        <w:t xml:space="preserve"> </w:t>
      </w:r>
      <w:r>
        <w:t>que</w:t>
      </w:r>
      <w:r w:rsidRPr="002C4077">
        <w:t xml:space="preserve"> </w:t>
      </w:r>
      <w:r>
        <w:t>les</w:t>
      </w:r>
      <w:r w:rsidRPr="002C4077">
        <w:t xml:space="preserve"> </w:t>
      </w:r>
      <w:r>
        <w:t>traducteurs</w:t>
      </w:r>
      <w:r w:rsidRPr="002C4077">
        <w:t xml:space="preserve"> </w:t>
      </w:r>
      <w:r>
        <w:t>grecs</w:t>
      </w:r>
      <w:r w:rsidRPr="002C4077">
        <w:t xml:space="preserve"> </w:t>
      </w:r>
      <w:r>
        <w:t>ont</w:t>
      </w:r>
      <w:r w:rsidRPr="002C4077">
        <w:t xml:space="preserve"> </w:t>
      </w:r>
      <w:r>
        <w:t>cru</w:t>
      </w:r>
      <w:r w:rsidRPr="002C4077">
        <w:t xml:space="preserve"> </w:t>
      </w:r>
      <w:r>
        <w:t>que</w:t>
      </w:r>
      <w:r w:rsidRPr="002C4077">
        <w:t xml:space="preserve"> </w:t>
      </w:r>
      <w:r>
        <w:t>le</w:t>
      </w:r>
      <w:r w:rsidRPr="002C4077">
        <w:t xml:space="preserve"> </w:t>
      </w:r>
      <w:r>
        <w:t>mot</w:t>
      </w:r>
      <w:r w:rsidRPr="002C4077">
        <w:t xml:space="preserve"> </w:t>
      </w:r>
      <w:r w:rsidR="00D40830" w:rsidRPr="00D05EA9">
        <w:rPr>
          <w:rStyle w:val="italicus"/>
        </w:rPr>
        <w:t>῾almah</w:t>
      </w:r>
      <w:r w:rsidRPr="002C4077">
        <w:t xml:space="preserve"> </w:t>
      </w:r>
      <w:r>
        <w:t>réveillait</w:t>
      </w:r>
      <w:r w:rsidRPr="002C4077">
        <w:t xml:space="preserve"> </w:t>
      </w:r>
      <w:r>
        <w:t>naturellement</w:t>
      </w:r>
      <w:r w:rsidRPr="002C4077">
        <w:t xml:space="preserve"> </w:t>
      </w:r>
      <w:r>
        <w:t>l’idée</w:t>
      </w:r>
      <w:r w:rsidRPr="002C4077">
        <w:t xml:space="preserve"> </w:t>
      </w:r>
      <w:r>
        <w:t>de</w:t>
      </w:r>
      <w:r w:rsidRPr="002C4077">
        <w:t xml:space="preserve"> </w:t>
      </w:r>
      <w:r>
        <w:t>virginité</w:t>
      </w:r>
      <w:r w:rsidRPr="002C4077">
        <w:t xml:space="preserve"> </w:t>
      </w:r>
      <w:r>
        <w:t>dans</w:t>
      </w:r>
      <w:bookmarkStart w:id="187" w:name="z_Septante_o2"/>
      <w:bookmarkEnd w:id="187"/>
      <w:r w:rsidRPr="002C4077">
        <w:t xml:space="preserve"> </w:t>
      </w:r>
      <w:r w:rsidR="002A5E7A">
        <w:t>l’esprit</w:t>
      </w:r>
      <w:r w:rsidR="002A5E7A">
        <w:rPr>
          <w:rStyle w:val="Appelnotedebasdep"/>
        </w:rPr>
        <w:footnoteReference w:id="162"/>
      </w:r>
      <w:r w:rsidR="00B546AF">
        <w:t> »</w:t>
      </w:r>
      <w:r>
        <w:t>.</w:t>
      </w:r>
      <w:r w:rsidR="00C45B47">
        <w:t xml:space="preserve"> {</w:t>
      </w:r>
      <w:r w:rsidR="000721C4">
        <w:t>55</w:t>
      </w:r>
      <w:bookmarkStart w:id="189" w:name="p055"/>
      <w:bookmarkEnd w:id="189"/>
      <w:r w:rsidR="000721C4">
        <w:t xml:space="preserve">} </w:t>
      </w:r>
    </w:p>
    <w:p w:rsidR="000A7AAB" w:rsidRDefault="000A7AAB" w:rsidP="000A7AAB">
      <w:r>
        <w:lastRenderedPageBreak/>
        <w:t>Que</w:t>
      </w:r>
      <w:r w:rsidRPr="002C4077">
        <w:t xml:space="preserve"> </w:t>
      </w:r>
      <w:r>
        <w:t>penser,</w:t>
      </w:r>
      <w:r w:rsidRPr="002C4077">
        <w:t xml:space="preserve"> </w:t>
      </w:r>
      <w:r>
        <w:t>après</w:t>
      </w:r>
      <w:r w:rsidRPr="002C4077">
        <w:t xml:space="preserve"> </w:t>
      </w:r>
      <w:r>
        <w:t>cela,</w:t>
      </w:r>
      <w:r w:rsidRPr="002C4077">
        <w:t xml:space="preserve"> </w:t>
      </w:r>
      <w:r>
        <w:t>des</w:t>
      </w:r>
      <w:r w:rsidRPr="002C4077">
        <w:t xml:space="preserve"> </w:t>
      </w:r>
      <w:r>
        <w:t>audacieuses</w:t>
      </w:r>
      <w:r w:rsidRPr="002C4077">
        <w:t xml:space="preserve"> </w:t>
      </w:r>
      <w:r>
        <w:t>assertions</w:t>
      </w:r>
      <w:r w:rsidRPr="002C4077">
        <w:t xml:space="preserve"> </w:t>
      </w:r>
      <w:r>
        <w:t>de</w:t>
      </w:r>
      <w:r w:rsidRPr="002C4077">
        <w:t xml:space="preserve"> </w:t>
      </w:r>
      <w:r>
        <w:t>M.</w:t>
      </w:r>
      <w:r w:rsidRPr="002C4077">
        <w:t xml:space="preserve"> </w:t>
      </w:r>
      <w:r>
        <w:t>Reuss</w:t>
      </w:r>
      <w:bookmarkStart w:id="190" w:name="z_Reuss_o7"/>
      <w:bookmarkEnd w:id="190"/>
      <w:r w:rsidR="00B546AF">
        <w:t> ?</w:t>
      </w:r>
      <w:r w:rsidRPr="002C4077">
        <w:t xml:space="preserve"> </w:t>
      </w:r>
      <w:r w:rsidR="00B546AF">
        <w:t>« </w:t>
      </w:r>
      <w:r>
        <w:t>Jamais</w:t>
      </w:r>
      <w:r w:rsidRPr="002C4077">
        <w:t xml:space="preserve"> </w:t>
      </w:r>
      <w:r>
        <w:t>ce</w:t>
      </w:r>
      <w:r w:rsidRPr="002C4077">
        <w:t xml:space="preserve"> </w:t>
      </w:r>
      <w:r>
        <w:t>texte</w:t>
      </w:r>
      <w:r w:rsidRPr="004440EA">
        <w:t xml:space="preserve"> (</w:t>
      </w:r>
      <w:r>
        <w:t>Isaïe</w:t>
      </w:r>
      <w:r w:rsidR="0055004A" w:rsidRPr="002C4077">
        <w:t xml:space="preserve"> </w:t>
      </w:r>
      <w:r w:rsidR="0055004A">
        <w:t>VII,</w:t>
      </w:r>
      <w:r w:rsidRPr="002C4077">
        <w:t xml:space="preserve"> </w:t>
      </w:r>
      <w:r>
        <w:t>14</w:t>
      </w:r>
      <w:r w:rsidR="00B546AF" w:rsidRPr="002C4077">
        <w:t>)</w:t>
      </w:r>
      <w:r w:rsidRPr="002C4077">
        <w:t xml:space="preserve"> </w:t>
      </w:r>
      <w:r>
        <w:t>n’aurait</w:t>
      </w:r>
      <w:r w:rsidRPr="002C4077">
        <w:t xml:space="preserve"> </w:t>
      </w:r>
      <w:r>
        <w:t>donné</w:t>
      </w:r>
      <w:r w:rsidRPr="002C4077">
        <w:t xml:space="preserve"> </w:t>
      </w:r>
      <w:r>
        <w:t>lieu</w:t>
      </w:r>
      <w:r w:rsidRPr="002C4077">
        <w:t xml:space="preserve"> </w:t>
      </w:r>
      <w:r>
        <w:t>à</w:t>
      </w:r>
      <w:r w:rsidRPr="002C4077">
        <w:t xml:space="preserve"> </w:t>
      </w:r>
      <w:r>
        <w:t>de</w:t>
      </w:r>
      <w:r w:rsidRPr="002C4077">
        <w:t xml:space="preserve"> </w:t>
      </w:r>
      <w:r>
        <w:t>si</w:t>
      </w:r>
      <w:r w:rsidRPr="002C4077">
        <w:t xml:space="preserve"> </w:t>
      </w:r>
      <w:r>
        <w:t>étranges</w:t>
      </w:r>
      <w:r w:rsidRPr="002C4077">
        <w:t xml:space="preserve"> </w:t>
      </w:r>
      <w:r>
        <w:t>méprises,</w:t>
      </w:r>
      <w:r w:rsidRPr="002C4077">
        <w:t xml:space="preserve"> </w:t>
      </w:r>
      <w:r>
        <w:t>si</w:t>
      </w:r>
      <w:r w:rsidRPr="002C4077">
        <w:t xml:space="preserve"> </w:t>
      </w:r>
      <w:r>
        <w:t>les</w:t>
      </w:r>
      <w:r w:rsidRPr="002C4077">
        <w:t xml:space="preserve"> </w:t>
      </w:r>
      <w:r>
        <w:t>traducteurs</w:t>
      </w:r>
      <w:r w:rsidRPr="002C4077">
        <w:t xml:space="preserve"> </w:t>
      </w:r>
      <w:r>
        <w:t>alexandrins,</w:t>
      </w:r>
      <w:r w:rsidRPr="002C4077">
        <w:t xml:space="preserve"> </w:t>
      </w:r>
      <w:r>
        <w:t>dans</w:t>
      </w:r>
      <w:r w:rsidRPr="002C4077">
        <w:t xml:space="preserve"> </w:t>
      </w:r>
      <w:r>
        <w:t>leur</w:t>
      </w:r>
      <w:r w:rsidRPr="002C4077">
        <w:t xml:space="preserve"> </w:t>
      </w:r>
      <w:r>
        <w:t>ignorance</w:t>
      </w:r>
      <w:r w:rsidRPr="002C4077">
        <w:t xml:space="preserve"> </w:t>
      </w:r>
      <w:r>
        <w:t>du</w:t>
      </w:r>
      <w:r w:rsidRPr="002C4077">
        <w:t xml:space="preserve"> </w:t>
      </w:r>
      <w:r>
        <w:t>grec,</w:t>
      </w:r>
      <w:r w:rsidRPr="002C4077">
        <w:t xml:space="preserve"> </w:t>
      </w:r>
      <w:r>
        <w:t>n’avaient</w:t>
      </w:r>
      <w:r w:rsidRPr="002C4077">
        <w:t xml:space="preserve"> </w:t>
      </w:r>
      <w:r>
        <w:t>eu</w:t>
      </w:r>
      <w:r w:rsidRPr="002C4077">
        <w:t xml:space="preserve"> </w:t>
      </w:r>
      <w:r>
        <w:t>la</w:t>
      </w:r>
      <w:r w:rsidRPr="002C4077">
        <w:t xml:space="preserve"> </w:t>
      </w:r>
      <w:r>
        <w:t>maladresse</w:t>
      </w:r>
      <w:r w:rsidRPr="002C4077">
        <w:t xml:space="preserve"> </w:t>
      </w:r>
      <w:r>
        <w:t>de</w:t>
      </w:r>
      <w:r w:rsidRPr="002C4077">
        <w:t xml:space="preserve"> </w:t>
      </w:r>
      <w:r>
        <w:t>changer</w:t>
      </w:r>
      <w:r w:rsidRPr="002C4077">
        <w:t xml:space="preserve"> </w:t>
      </w:r>
      <w:r>
        <w:t>la</w:t>
      </w:r>
      <w:r w:rsidRPr="002C4077">
        <w:t xml:space="preserve"> </w:t>
      </w:r>
      <w:r w:rsidRPr="000A34B5">
        <w:rPr>
          <w:rStyle w:val="italicus"/>
        </w:rPr>
        <w:t>femme</w:t>
      </w:r>
      <w:r w:rsidRPr="002C4077">
        <w:t xml:space="preserve"> </w:t>
      </w:r>
      <w:r>
        <w:t>en</w:t>
      </w:r>
      <w:r w:rsidRPr="002C4077">
        <w:t xml:space="preserve"> </w:t>
      </w:r>
      <w:r w:rsidRPr="000A34B5">
        <w:rPr>
          <w:rStyle w:val="italicus"/>
        </w:rPr>
        <w:t>vierge,</w:t>
      </w:r>
      <w:r w:rsidRPr="002C4077">
        <w:t xml:space="preserve"> </w:t>
      </w:r>
      <w:r>
        <w:t>ce</w:t>
      </w:r>
      <w:r w:rsidRPr="002C4077">
        <w:t xml:space="preserve"> </w:t>
      </w:r>
      <w:r>
        <w:t>qui</w:t>
      </w:r>
      <w:r w:rsidRPr="002C4077">
        <w:t xml:space="preserve"> </w:t>
      </w:r>
      <w:r>
        <w:t>donna</w:t>
      </w:r>
      <w:r w:rsidRPr="002C4077">
        <w:t xml:space="preserve"> </w:t>
      </w:r>
      <w:r>
        <w:t>lieu</w:t>
      </w:r>
      <w:r w:rsidRPr="002C4077">
        <w:t xml:space="preserve"> </w:t>
      </w:r>
      <w:r>
        <w:t>à</w:t>
      </w:r>
      <w:r w:rsidRPr="002C4077">
        <w:t xml:space="preserve"> </w:t>
      </w:r>
      <w:r>
        <w:t>l’interprétation</w:t>
      </w:r>
      <w:r w:rsidRPr="002C4077">
        <w:t xml:space="preserve"> </w:t>
      </w:r>
      <w:r>
        <w:t>messianique</w:t>
      </w:r>
      <w:r w:rsidRPr="002C4077">
        <w:t xml:space="preserve"> </w:t>
      </w:r>
      <w:r>
        <w:t>en</w:t>
      </w:r>
      <w:r w:rsidRPr="002C4077">
        <w:t xml:space="preserve"> </w:t>
      </w:r>
      <w:r>
        <w:t>vogue</w:t>
      </w:r>
      <w:r w:rsidRPr="002C4077">
        <w:t xml:space="preserve"> </w:t>
      </w:r>
      <w:r>
        <w:t>dans</w:t>
      </w:r>
      <w:r w:rsidRPr="002C4077">
        <w:t xml:space="preserve"> </w:t>
      </w:r>
      <w:r>
        <w:t>l’Église</w:t>
      </w:r>
      <w:r w:rsidRPr="002C4077">
        <w:t xml:space="preserve"> </w:t>
      </w:r>
      <w:r>
        <w:t>chrétienne</w:t>
      </w:r>
      <w:r w:rsidR="00B91AF7">
        <w:rPr>
          <w:rStyle w:val="Appelnotedebasdep"/>
        </w:rPr>
        <w:footnoteReference w:id="163"/>
      </w:r>
      <w:r w:rsidR="00B546AF">
        <w:t> »</w:t>
      </w:r>
      <w:r>
        <w:t>.</w:t>
      </w:r>
      <w:r w:rsidRPr="002C4077">
        <w:t xml:space="preserve"> </w:t>
      </w:r>
      <w:r>
        <w:t>De</w:t>
      </w:r>
      <w:r w:rsidRPr="002C4077">
        <w:t xml:space="preserve"> </w:t>
      </w:r>
      <w:r>
        <w:t>quel</w:t>
      </w:r>
      <w:r w:rsidRPr="002C4077">
        <w:t xml:space="preserve"> </w:t>
      </w:r>
      <w:r>
        <w:t>côté</w:t>
      </w:r>
      <w:r w:rsidRPr="002C4077">
        <w:t xml:space="preserve"> </w:t>
      </w:r>
      <w:r>
        <w:t>vraiment</w:t>
      </w:r>
      <w:r w:rsidRPr="002C4077">
        <w:t xml:space="preserve"> </w:t>
      </w:r>
      <w:r>
        <w:t>sont</w:t>
      </w:r>
      <w:r w:rsidRPr="002C4077">
        <w:t xml:space="preserve"> </w:t>
      </w:r>
      <w:r>
        <w:t>les</w:t>
      </w:r>
      <w:r w:rsidRPr="002C4077">
        <w:t xml:space="preserve"> </w:t>
      </w:r>
      <w:r>
        <w:t>méprises,</w:t>
      </w:r>
      <w:r w:rsidRPr="002C4077">
        <w:t xml:space="preserve"> </w:t>
      </w:r>
      <w:r>
        <w:t>l’ignorance,</w:t>
      </w:r>
      <w:r w:rsidRPr="002C4077">
        <w:t xml:space="preserve"> </w:t>
      </w:r>
      <w:r>
        <w:t>la</w:t>
      </w:r>
      <w:r w:rsidRPr="002C4077">
        <w:t xml:space="preserve"> </w:t>
      </w:r>
      <w:r>
        <w:t>maladresse,</w:t>
      </w:r>
      <w:r w:rsidRPr="002C4077">
        <w:t xml:space="preserve"> </w:t>
      </w:r>
      <w:r>
        <w:t>pour</w:t>
      </w:r>
      <w:r w:rsidRPr="002C4077">
        <w:t xml:space="preserve"> </w:t>
      </w:r>
      <w:r>
        <w:t>ne</w:t>
      </w:r>
      <w:r w:rsidRPr="002C4077">
        <w:t xml:space="preserve"> </w:t>
      </w:r>
      <w:r>
        <w:t>rien</w:t>
      </w:r>
      <w:r w:rsidRPr="002C4077">
        <w:t xml:space="preserve"> </w:t>
      </w:r>
      <w:r>
        <w:t>dire</w:t>
      </w:r>
      <w:r w:rsidRPr="002C4077">
        <w:t xml:space="preserve"> </w:t>
      </w:r>
      <w:r>
        <w:t>de</w:t>
      </w:r>
      <w:r w:rsidRPr="002C4077">
        <w:t xml:space="preserve"> </w:t>
      </w:r>
      <w:r>
        <w:t>plus</w:t>
      </w:r>
      <w:r w:rsidR="00B546AF">
        <w:t> ?</w:t>
      </w:r>
      <w:r w:rsidRPr="002C4077">
        <w:t xml:space="preserve"> </w:t>
      </w:r>
    </w:p>
    <w:p w:rsidR="000A7AAB" w:rsidRDefault="000A7AAB" w:rsidP="000A7AAB">
      <w:r>
        <w:t>Non,</w:t>
      </w:r>
      <w:r w:rsidRPr="002C4077">
        <w:t xml:space="preserve"> </w:t>
      </w:r>
      <w:r>
        <w:t>les</w:t>
      </w:r>
      <w:r w:rsidRPr="002C4077">
        <w:t xml:space="preserve"> </w:t>
      </w:r>
      <w:r>
        <w:t>Septante</w:t>
      </w:r>
      <w:r w:rsidRPr="002C4077">
        <w:t xml:space="preserve"> </w:t>
      </w:r>
      <w:r>
        <w:t>ne</w:t>
      </w:r>
      <w:r w:rsidRPr="002C4077">
        <w:t xml:space="preserve"> </w:t>
      </w:r>
      <w:r>
        <w:t>se</w:t>
      </w:r>
      <w:r w:rsidRPr="002C4077">
        <w:t xml:space="preserve"> </w:t>
      </w:r>
      <w:r>
        <w:t>trompaient</w:t>
      </w:r>
      <w:r w:rsidRPr="002C4077">
        <w:t xml:space="preserve"> </w:t>
      </w:r>
      <w:r>
        <w:t>pas,</w:t>
      </w:r>
      <w:r w:rsidRPr="002C4077">
        <w:t xml:space="preserve"> </w:t>
      </w:r>
      <w:r>
        <w:t>car</w:t>
      </w:r>
      <w:r w:rsidRPr="002C4077">
        <w:t xml:space="preserve"> </w:t>
      </w:r>
      <w:r>
        <w:t>ils</w:t>
      </w:r>
      <w:r w:rsidRPr="002C4077">
        <w:t xml:space="preserve"> </w:t>
      </w:r>
      <w:r>
        <w:t>ne</w:t>
      </w:r>
      <w:r w:rsidRPr="002C4077">
        <w:t xml:space="preserve"> </w:t>
      </w:r>
      <w:r>
        <w:t>faisaient</w:t>
      </w:r>
      <w:r w:rsidRPr="002C4077">
        <w:t xml:space="preserve"> </w:t>
      </w:r>
      <w:r>
        <w:t>que</w:t>
      </w:r>
      <w:r w:rsidRPr="002C4077">
        <w:t xml:space="preserve"> </w:t>
      </w:r>
      <w:r>
        <w:t>se</w:t>
      </w:r>
      <w:r w:rsidRPr="002C4077">
        <w:t xml:space="preserve"> </w:t>
      </w:r>
      <w:r>
        <w:t>conformer</w:t>
      </w:r>
      <w:r w:rsidRPr="002C4077">
        <w:t xml:space="preserve"> </w:t>
      </w:r>
      <w:r>
        <w:t>eux-mêmes</w:t>
      </w:r>
      <w:r w:rsidRPr="002C4077">
        <w:t xml:space="preserve"> </w:t>
      </w:r>
      <w:r>
        <w:t>à</w:t>
      </w:r>
      <w:r w:rsidRPr="002C4077">
        <w:t xml:space="preserve"> </w:t>
      </w:r>
      <w:r>
        <w:t>une</w:t>
      </w:r>
      <w:r w:rsidRPr="002C4077">
        <w:t xml:space="preserve"> </w:t>
      </w:r>
      <w:r>
        <w:t>tradition</w:t>
      </w:r>
      <w:r w:rsidRPr="002C4077">
        <w:t xml:space="preserve"> </w:t>
      </w:r>
      <w:r>
        <w:t>beaucoup</w:t>
      </w:r>
      <w:r w:rsidRPr="002C4077">
        <w:t xml:space="preserve"> </w:t>
      </w:r>
      <w:r>
        <w:t>plus</w:t>
      </w:r>
      <w:r w:rsidRPr="002C4077">
        <w:t xml:space="preserve"> </w:t>
      </w:r>
      <w:r>
        <w:t>ancienne</w:t>
      </w:r>
      <w:r w:rsidRPr="002C4077">
        <w:t xml:space="preserve"> </w:t>
      </w:r>
      <w:r>
        <w:t>qu’eux.</w:t>
      </w:r>
      <w:r w:rsidRPr="002C4077">
        <w:t xml:space="preserve"> </w:t>
      </w:r>
    </w:p>
    <w:p w:rsidR="000A7AAB" w:rsidRDefault="000A7AAB" w:rsidP="000A7AAB">
      <w:r>
        <w:t>Au</w:t>
      </w:r>
      <w:r w:rsidRPr="002C4077">
        <w:t xml:space="preserve"> </w:t>
      </w:r>
      <w:r>
        <w:t>chapitre</w:t>
      </w:r>
      <w:r w:rsidRPr="002C4077">
        <w:t xml:space="preserve"> </w:t>
      </w:r>
      <w:r>
        <w:t>XX</w:t>
      </w:r>
      <w:r w:rsidR="007B3C26">
        <w:t>XI</w:t>
      </w:r>
      <w:r w:rsidR="007B3C26" w:rsidRPr="007B3C26">
        <w:rPr>
          <w:vertAlign w:val="superscript"/>
        </w:rPr>
        <w:t>e</w:t>
      </w:r>
      <w:r w:rsidRPr="002C4077">
        <w:t xml:space="preserve"> </w:t>
      </w:r>
      <w:r>
        <w:t>de</w:t>
      </w:r>
      <w:r w:rsidRPr="002C4077">
        <w:t xml:space="preserve"> </w:t>
      </w:r>
      <w:r>
        <w:t>Jérémie</w:t>
      </w:r>
      <w:bookmarkStart w:id="191" w:name="z_Jeremie_o1"/>
      <w:bookmarkEnd w:id="191"/>
      <w:r>
        <w:t>,</w:t>
      </w:r>
      <w:r w:rsidRPr="002C4077">
        <w:t xml:space="preserve"> </w:t>
      </w:r>
      <w:r>
        <w:t>verset</w:t>
      </w:r>
      <w:r w:rsidRPr="002C4077">
        <w:t xml:space="preserve"> </w:t>
      </w:r>
      <w:r>
        <w:t>22,</w:t>
      </w:r>
      <w:r w:rsidRPr="002C4077">
        <w:t xml:space="preserve"> </w:t>
      </w:r>
      <w:r>
        <w:t>nous</w:t>
      </w:r>
      <w:r w:rsidRPr="002C4077">
        <w:t xml:space="preserve"> </w:t>
      </w:r>
      <w:r>
        <w:t>lisons</w:t>
      </w:r>
      <w:r w:rsidRPr="002C4077">
        <w:t xml:space="preserve"> </w:t>
      </w:r>
      <w:r>
        <w:t>cet</w:t>
      </w:r>
      <w:r w:rsidRPr="002C4077">
        <w:t xml:space="preserve"> </w:t>
      </w:r>
      <w:r>
        <w:t>autre</w:t>
      </w:r>
      <w:r w:rsidRPr="002C4077">
        <w:t xml:space="preserve"> </w:t>
      </w:r>
      <w:r>
        <w:t>passage</w:t>
      </w:r>
      <w:r w:rsidRPr="002C4077">
        <w:t xml:space="preserve"> </w:t>
      </w:r>
      <w:r>
        <w:t>célèbre</w:t>
      </w:r>
      <w:r w:rsidR="00B546AF">
        <w:t> :</w:t>
      </w:r>
      <w:r w:rsidRPr="002C4077">
        <w:t xml:space="preserve"> </w:t>
      </w:r>
      <w:r w:rsidR="003B53FD" w:rsidRPr="000A34B5">
        <w:rPr>
          <w:rStyle w:val="italicus"/>
        </w:rPr>
        <w:t>Cre</w:t>
      </w:r>
      <w:r w:rsidR="003B53FD">
        <w:rPr>
          <w:rStyle w:val="italicus"/>
        </w:rPr>
        <w:t>á</w:t>
      </w:r>
      <w:r w:rsidR="003B53FD" w:rsidRPr="000A34B5">
        <w:rPr>
          <w:rStyle w:val="italicus"/>
        </w:rPr>
        <w:t>vit</w:t>
      </w:r>
      <w:r w:rsidRPr="002C4077">
        <w:t xml:space="preserve"> </w:t>
      </w:r>
      <w:r w:rsidRPr="000A34B5">
        <w:rPr>
          <w:rStyle w:val="italicus"/>
        </w:rPr>
        <w:t>D</w:t>
      </w:r>
      <w:r w:rsidR="003B53FD">
        <w:rPr>
          <w:rStyle w:val="italicus"/>
        </w:rPr>
        <w:t>ó</w:t>
      </w:r>
      <w:r w:rsidR="003B53FD" w:rsidRPr="000A34B5">
        <w:rPr>
          <w:rStyle w:val="italicus"/>
        </w:rPr>
        <w:t>minus</w:t>
      </w:r>
      <w:r w:rsidRPr="002C4077">
        <w:t xml:space="preserve"> </w:t>
      </w:r>
      <w:r w:rsidRPr="000A34B5">
        <w:rPr>
          <w:rStyle w:val="italicus"/>
        </w:rPr>
        <w:t>novum</w:t>
      </w:r>
      <w:r w:rsidRPr="002C4077">
        <w:t xml:space="preserve"> </w:t>
      </w:r>
      <w:r w:rsidRPr="000A34B5">
        <w:rPr>
          <w:rStyle w:val="italicus"/>
        </w:rPr>
        <w:t>super</w:t>
      </w:r>
      <w:r w:rsidRPr="002C4077">
        <w:t xml:space="preserve"> </w:t>
      </w:r>
      <w:r w:rsidRPr="000A34B5">
        <w:rPr>
          <w:rStyle w:val="italicus"/>
        </w:rPr>
        <w:t>terram</w:t>
      </w:r>
      <w:r w:rsidR="00B546AF">
        <w:rPr>
          <w:rStyle w:val="italicus"/>
        </w:rPr>
        <w:t> </w:t>
      </w:r>
      <w:r w:rsidR="00B546AF" w:rsidRPr="000A34B5">
        <w:rPr>
          <w:rStyle w:val="italicus"/>
        </w:rPr>
        <w:t>:</w:t>
      </w:r>
      <w:r w:rsidRPr="002C4077">
        <w:t xml:space="preserve"> </w:t>
      </w:r>
      <w:r>
        <w:rPr>
          <w:smallCaps/>
        </w:rPr>
        <w:t>f</w:t>
      </w:r>
      <w:r w:rsidR="003B53FD">
        <w:rPr>
          <w:smallCaps/>
        </w:rPr>
        <w:t>émina</w:t>
      </w:r>
      <w:r w:rsidRPr="002C4077">
        <w:t xml:space="preserve"> </w:t>
      </w:r>
      <w:r w:rsidR="003B53FD">
        <w:rPr>
          <w:smallCaps/>
        </w:rPr>
        <w:t>circúmdabit</w:t>
      </w:r>
      <w:r w:rsidRPr="002C4077">
        <w:t xml:space="preserve"> </w:t>
      </w:r>
      <w:r>
        <w:rPr>
          <w:smallCaps/>
        </w:rPr>
        <w:t>virum</w:t>
      </w:r>
      <w:r>
        <w:t>.</w:t>
      </w:r>
      <w:r w:rsidRPr="002C4077">
        <w:t xml:space="preserve"> </w:t>
      </w:r>
      <w:r>
        <w:t>Parla,</w:t>
      </w:r>
      <w:r w:rsidRPr="002C4077">
        <w:t xml:space="preserve"> </w:t>
      </w:r>
      <w:r>
        <w:t>Dieu</w:t>
      </w:r>
      <w:r w:rsidRPr="002C4077">
        <w:t xml:space="preserve"> </w:t>
      </w:r>
      <w:r>
        <w:t>annonçait</w:t>
      </w:r>
      <w:r w:rsidRPr="002C4077">
        <w:t xml:space="preserve"> </w:t>
      </w:r>
      <w:r>
        <w:t>une</w:t>
      </w:r>
      <w:r w:rsidRPr="002C4077">
        <w:t xml:space="preserve"> </w:t>
      </w:r>
      <w:r>
        <w:t>grande</w:t>
      </w:r>
      <w:r w:rsidRPr="002C4077">
        <w:t xml:space="preserve"> </w:t>
      </w:r>
      <w:r>
        <w:t>merveille</w:t>
      </w:r>
      <w:r w:rsidRPr="002C4077">
        <w:t xml:space="preserve"> </w:t>
      </w:r>
      <w:r>
        <w:t>qui</w:t>
      </w:r>
      <w:r w:rsidRPr="002C4077">
        <w:t xml:space="preserve"> </w:t>
      </w:r>
      <w:r>
        <w:t>devait</w:t>
      </w:r>
      <w:r w:rsidRPr="002C4077">
        <w:t xml:space="preserve"> </w:t>
      </w:r>
      <w:r>
        <w:t>s’opérer</w:t>
      </w:r>
      <w:r w:rsidRPr="002C4077">
        <w:t xml:space="preserve"> </w:t>
      </w:r>
      <w:r>
        <w:t>chez</w:t>
      </w:r>
      <w:r w:rsidRPr="002C4077">
        <w:t xml:space="preserve"> </w:t>
      </w:r>
      <w:r>
        <w:t>le</w:t>
      </w:r>
      <w:r w:rsidRPr="002C4077">
        <w:t xml:space="preserve"> </w:t>
      </w:r>
      <w:r>
        <w:t>peuple</w:t>
      </w:r>
      <w:r w:rsidRPr="002C4077">
        <w:t xml:space="preserve"> </w:t>
      </w:r>
      <w:r>
        <w:t>théocratique</w:t>
      </w:r>
      <w:r w:rsidRPr="002C4077">
        <w:t xml:space="preserve"> </w:t>
      </w:r>
      <w:r>
        <w:t>après</w:t>
      </w:r>
      <w:r w:rsidRPr="002C4077">
        <w:t xml:space="preserve"> </w:t>
      </w:r>
      <w:r>
        <w:t>le</w:t>
      </w:r>
      <w:r w:rsidRPr="002C4077">
        <w:t xml:space="preserve"> </w:t>
      </w:r>
      <w:r>
        <w:t>retour</w:t>
      </w:r>
      <w:r w:rsidRPr="002C4077">
        <w:t xml:space="preserve"> </w:t>
      </w:r>
      <w:r>
        <w:t>de</w:t>
      </w:r>
      <w:r w:rsidRPr="002C4077">
        <w:t xml:space="preserve"> </w:t>
      </w:r>
      <w:r>
        <w:t>l’exil,</w:t>
      </w:r>
      <w:r w:rsidRPr="002C4077">
        <w:t xml:space="preserve"> </w:t>
      </w:r>
      <w:r>
        <w:t>ou</w:t>
      </w:r>
      <w:r w:rsidRPr="002C4077">
        <w:t xml:space="preserve"> </w:t>
      </w:r>
      <w:r>
        <w:t>plus</w:t>
      </w:r>
      <w:r w:rsidRPr="002C4077">
        <w:t xml:space="preserve"> </w:t>
      </w:r>
      <w:r>
        <w:t>exactement,</w:t>
      </w:r>
      <w:r w:rsidRPr="002C4077">
        <w:t xml:space="preserve"> </w:t>
      </w:r>
      <w:r>
        <w:t>selon</w:t>
      </w:r>
      <w:r w:rsidRPr="002C4077">
        <w:t xml:space="preserve"> </w:t>
      </w:r>
      <w:r>
        <w:t>le</w:t>
      </w:r>
      <w:r w:rsidRPr="002C4077">
        <w:t xml:space="preserve"> </w:t>
      </w:r>
      <w:r>
        <w:t>langage</w:t>
      </w:r>
      <w:r w:rsidRPr="002C4077">
        <w:t xml:space="preserve"> </w:t>
      </w:r>
      <w:r>
        <w:t>des</w:t>
      </w:r>
      <w:r w:rsidRPr="002C4077">
        <w:t xml:space="preserve"> </w:t>
      </w:r>
      <w:r>
        <w:t>anciens</w:t>
      </w:r>
      <w:r w:rsidRPr="002C4077">
        <w:t xml:space="preserve"> </w:t>
      </w:r>
      <w:r>
        <w:t>rabbins,</w:t>
      </w:r>
      <w:r w:rsidRPr="002C4077">
        <w:t xml:space="preserve"> </w:t>
      </w:r>
      <w:r w:rsidR="00B546AF">
        <w:t>« </w:t>
      </w:r>
      <w:r>
        <w:t>lors</w:t>
      </w:r>
      <w:r w:rsidRPr="002C4077">
        <w:t xml:space="preserve"> </w:t>
      </w:r>
      <w:r>
        <w:t>de</w:t>
      </w:r>
      <w:r w:rsidRPr="002C4077">
        <w:t xml:space="preserve"> </w:t>
      </w:r>
      <w:r>
        <w:t>la</w:t>
      </w:r>
      <w:r w:rsidRPr="002C4077">
        <w:t xml:space="preserve"> </w:t>
      </w:r>
      <w:r>
        <w:t>venue</w:t>
      </w:r>
      <w:r w:rsidRPr="002C4077">
        <w:t xml:space="preserve"> </w:t>
      </w:r>
      <w:r>
        <w:t>du</w:t>
      </w:r>
      <w:r w:rsidRPr="002C4077">
        <w:t xml:space="preserve"> </w:t>
      </w:r>
      <w:r>
        <w:t>Messie</w:t>
      </w:r>
      <w:r w:rsidR="00B546AF">
        <w:t> »</w:t>
      </w:r>
      <w:r>
        <w:t>.</w:t>
      </w:r>
      <w:r w:rsidRPr="002C4077">
        <w:t xml:space="preserve"> </w:t>
      </w:r>
      <w:r w:rsidR="00B546AF">
        <w:t>« </w:t>
      </w:r>
      <w:r>
        <w:t>Rabbi</w:t>
      </w:r>
      <w:r w:rsidRPr="002C4077">
        <w:t xml:space="preserve"> </w:t>
      </w:r>
      <w:r>
        <w:t>Hanna</w:t>
      </w:r>
      <w:r w:rsidR="00CE33FA" w:rsidRPr="002C4077">
        <w:t xml:space="preserve"> </w:t>
      </w:r>
      <w:r>
        <w:t>dit</w:t>
      </w:r>
      <w:r w:rsidRPr="002C4077">
        <w:t xml:space="preserve"> </w:t>
      </w:r>
      <w:r>
        <w:t>au</w:t>
      </w:r>
      <w:r w:rsidRPr="002C4077">
        <w:t xml:space="preserve"> </w:t>
      </w:r>
      <w:r>
        <w:t>nom</w:t>
      </w:r>
      <w:r w:rsidRPr="002C4077">
        <w:t xml:space="preserve"> </w:t>
      </w:r>
      <w:r>
        <w:t>de</w:t>
      </w:r>
      <w:r w:rsidRPr="002C4077">
        <w:t xml:space="preserve"> </w:t>
      </w:r>
      <w:r>
        <w:t>Rabbi</w:t>
      </w:r>
      <w:r w:rsidRPr="002C4077">
        <w:t xml:space="preserve"> </w:t>
      </w:r>
      <w:r>
        <w:t>Idi</w:t>
      </w:r>
      <w:r w:rsidRPr="002C4077">
        <w:t xml:space="preserve"> </w:t>
      </w:r>
      <w:r>
        <w:t>et</w:t>
      </w:r>
      <w:r w:rsidRPr="002C4077">
        <w:t xml:space="preserve"> </w:t>
      </w:r>
      <w:r>
        <w:t>de</w:t>
      </w:r>
      <w:r w:rsidRPr="002C4077">
        <w:t xml:space="preserve"> </w:t>
      </w:r>
      <w:r>
        <w:t>Rabbi</w:t>
      </w:r>
      <w:r w:rsidRPr="002C4077">
        <w:t xml:space="preserve"> </w:t>
      </w:r>
      <w:r>
        <w:t>Josué</w:t>
      </w:r>
      <w:r w:rsidRPr="002C4077">
        <w:t xml:space="preserve"> </w:t>
      </w:r>
      <w:r>
        <w:t>ben</w:t>
      </w:r>
      <w:r w:rsidRPr="002C4077">
        <w:t xml:space="preserve"> </w:t>
      </w:r>
      <w:r>
        <w:t>Lévi</w:t>
      </w:r>
      <w:r w:rsidR="00B546AF">
        <w:t> :</w:t>
      </w:r>
      <w:r w:rsidRPr="002C4077">
        <w:t xml:space="preserve"> </w:t>
      </w:r>
      <w:r>
        <w:t>Ceci</w:t>
      </w:r>
      <w:r w:rsidRPr="002C4077">
        <w:t xml:space="preserve"> </w:t>
      </w:r>
      <w:r>
        <w:t>désigne</w:t>
      </w:r>
      <w:r w:rsidRPr="002C4077">
        <w:t xml:space="preserve"> </w:t>
      </w:r>
      <w:r>
        <w:t>le</w:t>
      </w:r>
      <w:r w:rsidRPr="002C4077">
        <w:t xml:space="preserve"> </w:t>
      </w:r>
      <w:r>
        <w:t>Roi</w:t>
      </w:r>
      <w:r w:rsidRPr="002C4077">
        <w:t xml:space="preserve"> </w:t>
      </w:r>
      <w:r>
        <w:t>Messie</w:t>
      </w:r>
      <w:r w:rsidRPr="002C4077">
        <w:t xml:space="preserve"> </w:t>
      </w:r>
      <w:r>
        <w:t>au</w:t>
      </w:r>
      <w:r w:rsidRPr="002C4077">
        <w:t xml:space="preserve"> </w:t>
      </w:r>
      <w:r>
        <w:t>sujet</w:t>
      </w:r>
      <w:r w:rsidRPr="002C4077">
        <w:t xml:space="preserve"> </w:t>
      </w:r>
      <w:r>
        <w:t>duquel</w:t>
      </w:r>
      <w:r w:rsidRPr="002C4077">
        <w:t xml:space="preserve"> </w:t>
      </w:r>
      <w:r>
        <w:t>il</w:t>
      </w:r>
      <w:r w:rsidRPr="002C4077">
        <w:t xml:space="preserve"> </w:t>
      </w:r>
      <w:r w:rsidR="00425C50">
        <w:t>est</w:t>
      </w:r>
      <w:r w:rsidRPr="002C4077">
        <w:t xml:space="preserve"> </w:t>
      </w:r>
      <w:r>
        <w:t>écrit</w:t>
      </w:r>
      <w:r w:rsidR="00B546AF">
        <w:t> :</w:t>
      </w:r>
      <w:r w:rsidRPr="002C4077">
        <w:t xml:space="preserve"> </w:t>
      </w:r>
      <w:r>
        <w:t>Je</w:t>
      </w:r>
      <w:r w:rsidRPr="002C4077">
        <w:t xml:space="preserve"> </w:t>
      </w:r>
      <w:r>
        <w:t>t’ai</w:t>
      </w:r>
      <w:r w:rsidRPr="002C4077">
        <w:t xml:space="preserve"> </w:t>
      </w:r>
      <w:r>
        <w:t>engendré</w:t>
      </w:r>
      <w:r w:rsidRPr="002C4077">
        <w:t xml:space="preserve"> </w:t>
      </w:r>
      <w:r>
        <w:t>aujourd’hui</w:t>
      </w:r>
      <w:r w:rsidR="00B91AF7">
        <w:rPr>
          <w:rStyle w:val="Appelnotedebasdep"/>
        </w:rPr>
        <w:footnoteReference w:id="164"/>
      </w:r>
      <w:r w:rsidR="00B546AF">
        <w:t> »</w:t>
      </w:r>
      <w:r>
        <w:t>.</w:t>
      </w:r>
      <w:r w:rsidRPr="002C4077">
        <w:t xml:space="preserve"> </w:t>
      </w:r>
      <w:r>
        <w:t>Donc</w:t>
      </w:r>
      <w:r w:rsidRPr="002C4077">
        <w:t xml:space="preserve"> </w:t>
      </w:r>
      <w:r>
        <w:t>c’est</w:t>
      </w:r>
      <w:r w:rsidRPr="002C4077">
        <w:t xml:space="preserve"> </w:t>
      </w:r>
      <w:r w:rsidR="00CE33FA">
        <w:t>également</w:t>
      </w:r>
      <w:r w:rsidR="00CE33FA" w:rsidRPr="002C4077">
        <w:t xml:space="preserve"> </w:t>
      </w:r>
      <w:r w:rsidR="00CE33FA">
        <w:t>la</w:t>
      </w:r>
      <w:r w:rsidRPr="002C4077">
        <w:t xml:space="preserve"> </w:t>
      </w:r>
      <w:r>
        <w:t>naissance</w:t>
      </w:r>
      <w:r w:rsidRPr="002C4077">
        <w:t xml:space="preserve"> </w:t>
      </w:r>
      <w:r>
        <w:t>virginale</w:t>
      </w:r>
      <w:r w:rsidRPr="002C4077">
        <w:t xml:space="preserve"> </w:t>
      </w:r>
      <w:r>
        <w:t>du</w:t>
      </w:r>
      <w:r w:rsidRPr="002C4077">
        <w:t xml:space="preserve"> </w:t>
      </w:r>
      <w:r>
        <w:t>Messie</w:t>
      </w:r>
      <w:r w:rsidRPr="002C4077">
        <w:t xml:space="preserve"> </w:t>
      </w:r>
      <w:r>
        <w:t>qui</w:t>
      </w:r>
      <w:r w:rsidRPr="002C4077">
        <w:t xml:space="preserve"> </w:t>
      </w:r>
      <w:r w:rsidR="00425C50">
        <w:t>est</w:t>
      </w:r>
      <w:r w:rsidRPr="002C4077">
        <w:t xml:space="preserve"> </w:t>
      </w:r>
      <w:r>
        <w:t>prédite</w:t>
      </w:r>
      <w:r w:rsidRPr="002C4077">
        <w:t xml:space="preserve"> </w:t>
      </w:r>
      <w:r>
        <w:t>en</w:t>
      </w:r>
      <w:r w:rsidRPr="002C4077">
        <w:t xml:space="preserve"> </w:t>
      </w:r>
      <w:r>
        <w:t>cet</w:t>
      </w:r>
      <w:r w:rsidRPr="002C4077">
        <w:t xml:space="preserve"> </w:t>
      </w:r>
      <w:r>
        <w:t>endroit</w:t>
      </w:r>
      <w:r w:rsidR="00B546AF">
        <w:t> :</w:t>
      </w:r>
      <w:r w:rsidRPr="002C4077">
        <w:t xml:space="preserve"> </w:t>
      </w:r>
      <w:r>
        <w:t>le</w:t>
      </w:r>
      <w:r w:rsidRPr="002C4077">
        <w:t xml:space="preserve"> </w:t>
      </w:r>
      <w:r>
        <w:t>prophète</w:t>
      </w:r>
      <w:r w:rsidRPr="002C4077">
        <w:t xml:space="preserve"> </w:t>
      </w:r>
      <w:r>
        <w:t>de</w:t>
      </w:r>
      <w:r w:rsidRPr="002C4077">
        <w:t xml:space="preserve"> </w:t>
      </w:r>
      <w:r>
        <w:t>la</w:t>
      </w:r>
      <w:r w:rsidRPr="002C4077">
        <w:t xml:space="preserve"> </w:t>
      </w:r>
      <w:r>
        <w:t>désolation</w:t>
      </w:r>
      <w:r w:rsidRPr="002C4077">
        <w:t xml:space="preserve"> </w:t>
      </w:r>
      <w:r>
        <w:t>confirme</w:t>
      </w:r>
      <w:r w:rsidRPr="002C4077">
        <w:t xml:space="preserve"> </w:t>
      </w:r>
      <w:r>
        <w:t>l’oracle</w:t>
      </w:r>
      <w:r w:rsidRPr="002C4077">
        <w:t xml:space="preserve"> </w:t>
      </w:r>
      <w:r>
        <w:t>du</w:t>
      </w:r>
      <w:r w:rsidRPr="002C4077">
        <w:t xml:space="preserve"> </w:t>
      </w:r>
      <w:r>
        <w:t>prophète</w:t>
      </w:r>
      <w:r w:rsidRPr="002C4077">
        <w:t xml:space="preserve"> </w:t>
      </w:r>
      <w:r>
        <w:t>de</w:t>
      </w:r>
      <w:r w:rsidRPr="002C4077">
        <w:t xml:space="preserve"> </w:t>
      </w:r>
      <w:r>
        <w:t>la</w:t>
      </w:r>
      <w:r w:rsidRPr="002C4077">
        <w:t xml:space="preserve"> </w:t>
      </w:r>
      <w:r>
        <w:t>joie.</w:t>
      </w:r>
      <w:r w:rsidRPr="002C4077">
        <w:t xml:space="preserve"> </w:t>
      </w:r>
      <w:r w:rsidR="00B546AF">
        <w:t>« </w:t>
      </w:r>
      <w:r>
        <w:t>Le</w:t>
      </w:r>
      <w:r w:rsidRPr="002C4077">
        <w:t xml:space="preserve"> </w:t>
      </w:r>
      <w:r>
        <w:t>Seigneur</w:t>
      </w:r>
      <w:r w:rsidRPr="002C4077">
        <w:t xml:space="preserve"> </w:t>
      </w:r>
      <w:r>
        <w:t>créera</w:t>
      </w:r>
      <w:r w:rsidRPr="002C4077">
        <w:t xml:space="preserve"> </w:t>
      </w:r>
      <w:r>
        <w:t>une</w:t>
      </w:r>
      <w:r w:rsidRPr="002C4077">
        <w:t xml:space="preserve"> </w:t>
      </w:r>
      <w:r>
        <w:t>créature</w:t>
      </w:r>
      <w:r w:rsidRPr="002C4077">
        <w:t xml:space="preserve"> </w:t>
      </w:r>
      <w:r>
        <w:t>nouvelle,</w:t>
      </w:r>
      <w:r w:rsidRPr="002C4077">
        <w:t xml:space="preserve"> </w:t>
      </w:r>
      <w:r>
        <w:t>un</w:t>
      </w:r>
      <w:r w:rsidRPr="002C4077">
        <w:t xml:space="preserve"> </w:t>
      </w:r>
      <w:r>
        <w:t>homme</w:t>
      </w:r>
      <w:r w:rsidRPr="002C4077">
        <w:t xml:space="preserve"> </w:t>
      </w:r>
      <w:r>
        <w:t>tel</w:t>
      </w:r>
      <w:r w:rsidRPr="002C4077">
        <w:t xml:space="preserve"> </w:t>
      </w:r>
      <w:r>
        <w:t>qu’il</w:t>
      </w:r>
      <w:r w:rsidRPr="002C4077">
        <w:t xml:space="preserve"> </w:t>
      </w:r>
      <w:r>
        <w:t>n’en</w:t>
      </w:r>
      <w:r w:rsidRPr="002C4077">
        <w:t xml:space="preserve"> </w:t>
      </w:r>
      <w:r>
        <w:t>a</w:t>
      </w:r>
      <w:r w:rsidRPr="002C4077">
        <w:t xml:space="preserve"> </w:t>
      </w:r>
      <w:r>
        <w:t>jamais</w:t>
      </w:r>
      <w:r w:rsidRPr="002C4077">
        <w:t xml:space="preserve"> </w:t>
      </w:r>
      <w:r>
        <w:t>existé</w:t>
      </w:r>
      <w:r w:rsidRPr="002C4077">
        <w:t xml:space="preserve"> </w:t>
      </w:r>
      <w:r>
        <w:t>sur</w:t>
      </w:r>
      <w:r w:rsidRPr="002C4077">
        <w:t xml:space="preserve"> </w:t>
      </w:r>
      <w:r>
        <w:t>la</w:t>
      </w:r>
      <w:r w:rsidRPr="002C4077">
        <w:t xml:space="preserve"> </w:t>
      </w:r>
      <w:r>
        <w:t>terre…</w:t>
      </w:r>
      <w:r w:rsidRPr="002C4077">
        <w:t xml:space="preserve"> </w:t>
      </w:r>
      <w:r>
        <w:t>Le</w:t>
      </w:r>
      <w:r w:rsidRPr="002C4077">
        <w:t xml:space="preserve"> </w:t>
      </w:r>
      <w:r w:rsidR="007B3C26">
        <w:t>Ve</w:t>
      </w:r>
      <w:r>
        <w:t>rbe</w:t>
      </w:r>
      <w:r w:rsidRPr="002C4077">
        <w:t xml:space="preserve"> </w:t>
      </w:r>
      <w:r>
        <w:t>s’unira</w:t>
      </w:r>
      <w:r w:rsidRPr="002C4077">
        <w:t xml:space="preserve"> </w:t>
      </w:r>
      <w:r>
        <w:t>hypostatiquement</w:t>
      </w:r>
      <w:r w:rsidRPr="002C4077">
        <w:t xml:space="preserve"> </w:t>
      </w:r>
      <w:r>
        <w:t>à</w:t>
      </w:r>
      <w:r w:rsidRPr="002C4077">
        <w:t xml:space="preserve"> </w:t>
      </w:r>
      <w:r>
        <w:t>la</w:t>
      </w:r>
      <w:r w:rsidRPr="002C4077">
        <w:t xml:space="preserve"> </w:t>
      </w:r>
      <w:r>
        <w:t>nature</w:t>
      </w:r>
      <w:r w:rsidRPr="002C4077">
        <w:t xml:space="preserve"> </w:t>
      </w:r>
      <w:r>
        <w:t>humaine…</w:t>
      </w:r>
      <w:r w:rsidRPr="002C4077">
        <w:t xml:space="preserve"> </w:t>
      </w:r>
      <w:r>
        <w:t>et</w:t>
      </w:r>
      <w:r w:rsidRPr="002C4077">
        <w:t xml:space="preserve"> </w:t>
      </w:r>
      <w:r>
        <w:t>une</w:t>
      </w:r>
      <w:r w:rsidRPr="002C4077">
        <w:t xml:space="preserve"> </w:t>
      </w:r>
      <w:r>
        <w:t>femme</w:t>
      </w:r>
      <w:r w:rsidRPr="002C4077">
        <w:t xml:space="preserve"> </w:t>
      </w:r>
      <w:r>
        <w:t>l’enfermera</w:t>
      </w:r>
      <w:r w:rsidRPr="002C4077">
        <w:t xml:space="preserve"> </w:t>
      </w:r>
      <w:r>
        <w:t>dans</w:t>
      </w:r>
      <w:r w:rsidRPr="002C4077">
        <w:t xml:space="preserve"> </w:t>
      </w:r>
      <w:r>
        <w:t>son</w:t>
      </w:r>
      <w:r w:rsidRPr="002C4077">
        <w:t xml:space="preserve"> </w:t>
      </w:r>
      <w:r>
        <w:t>sein.</w:t>
      </w:r>
      <w:r w:rsidR="00C45B47">
        <w:t xml:space="preserve"> {</w:t>
      </w:r>
      <w:r w:rsidR="000721C4">
        <w:t>56</w:t>
      </w:r>
      <w:bookmarkStart w:id="192" w:name="p056"/>
      <w:bookmarkEnd w:id="192"/>
      <w:r w:rsidR="000721C4">
        <w:t xml:space="preserve">} </w:t>
      </w:r>
      <w:r>
        <w:t>Car</w:t>
      </w:r>
      <w:r w:rsidRPr="002C4077">
        <w:t xml:space="preserve"> </w:t>
      </w:r>
      <w:r>
        <w:t>l’Esprit</w:t>
      </w:r>
      <w:r w:rsidRPr="002C4077">
        <w:t xml:space="preserve"> </w:t>
      </w:r>
      <w:r>
        <w:t>de</w:t>
      </w:r>
      <w:r w:rsidRPr="002C4077">
        <w:t xml:space="preserve"> </w:t>
      </w:r>
      <w:r>
        <w:t>Dieu</w:t>
      </w:r>
      <w:r w:rsidRPr="002C4077">
        <w:t xml:space="preserve"> </w:t>
      </w:r>
      <w:r>
        <w:t>développera</w:t>
      </w:r>
      <w:r w:rsidRPr="002C4077">
        <w:t xml:space="preserve"> </w:t>
      </w:r>
      <w:r>
        <w:t>en</w:t>
      </w:r>
      <w:r w:rsidRPr="002C4077">
        <w:t xml:space="preserve"> </w:t>
      </w:r>
      <w:r>
        <w:t>elle</w:t>
      </w:r>
      <w:r w:rsidRPr="002C4077">
        <w:t xml:space="preserve"> </w:t>
      </w:r>
      <w:r>
        <w:t>une</w:t>
      </w:r>
      <w:r w:rsidRPr="002C4077">
        <w:t xml:space="preserve"> </w:t>
      </w:r>
      <w:r>
        <w:t>fécondité</w:t>
      </w:r>
      <w:r w:rsidRPr="002C4077">
        <w:t xml:space="preserve"> </w:t>
      </w:r>
      <w:r>
        <w:t>qui</w:t>
      </w:r>
      <w:r w:rsidRPr="002C4077">
        <w:t xml:space="preserve"> </w:t>
      </w:r>
      <w:r>
        <w:t>lui</w:t>
      </w:r>
      <w:r w:rsidRPr="002C4077">
        <w:t xml:space="preserve"> </w:t>
      </w:r>
      <w:r>
        <w:t>sera</w:t>
      </w:r>
      <w:r w:rsidRPr="002C4077">
        <w:t xml:space="preserve"> </w:t>
      </w:r>
      <w:r>
        <w:t>propre…</w:t>
      </w:r>
      <w:r w:rsidRPr="002C4077">
        <w:t xml:space="preserve"> </w:t>
      </w:r>
      <w:r>
        <w:t>La</w:t>
      </w:r>
      <w:r w:rsidRPr="002C4077">
        <w:t xml:space="preserve"> </w:t>
      </w:r>
      <w:r>
        <w:t>seule</w:t>
      </w:r>
      <w:r w:rsidRPr="002C4077">
        <w:t xml:space="preserve"> </w:t>
      </w:r>
      <w:r>
        <w:t>nature</w:t>
      </w:r>
      <w:r w:rsidRPr="002C4077">
        <w:t xml:space="preserve"> </w:t>
      </w:r>
      <w:r>
        <w:t>de</w:t>
      </w:r>
      <w:r w:rsidRPr="002C4077">
        <w:t xml:space="preserve"> </w:t>
      </w:r>
      <w:r>
        <w:t>femme,</w:t>
      </w:r>
      <w:r w:rsidRPr="002C4077">
        <w:t xml:space="preserve"> </w:t>
      </w:r>
      <w:r w:rsidRPr="000A34B5">
        <w:rPr>
          <w:rStyle w:val="italicus"/>
        </w:rPr>
        <w:t>f</w:t>
      </w:r>
      <w:r w:rsidR="003B53FD">
        <w:rPr>
          <w:rStyle w:val="italicus"/>
        </w:rPr>
        <w:t>é</w:t>
      </w:r>
      <w:r w:rsidR="003B53FD" w:rsidRPr="000A34B5">
        <w:rPr>
          <w:rStyle w:val="italicus"/>
        </w:rPr>
        <w:t>mina</w:t>
      </w:r>
      <w:r w:rsidRPr="000A34B5">
        <w:rPr>
          <w:rStyle w:val="italicus"/>
        </w:rPr>
        <w:t>,</w:t>
      </w:r>
      <w:r w:rsidRPr="002C4077">
        <w:t xml:space="preserve"> </w:t>
      </w:r>
      <w:r>
        <w:t>suffira</w:t>
      </w:r>
      <w:r w:rsidRPr="002C4077">
        <w:t xml:space="preserve"> </w:t>
      </w:r>
      <w:r>
        <w:t>pour</w:t>
      </w:r>
      <w:r w:rsidRPr="002C4077">
        <w:t xml:space="preserve"> </w:t>
      </w:r>
      <w:r>
        <w:t>donner</w:t>
      </w:r>
      <w:r w:rsidRPr="002C4077">
        <w:t xml:space="preserve"> </w:t>
      </w:r>
      <w:r>
        <w:t>un</w:t>
      </w:r>
      <w:r w:rsidRPr="002C4077">
        <w:t xml:space="preserve"> </w:t>
      </w:r>
      <w:r>
        <w:t>corps</w:t>
      </w:r>
      <w:r w:rsidRPr="002C4077">
        <w:t xml:space="preserve"> </w:t>
      </w:r>
      <w:r>
        <w:t>au</w:t>
      </w:r>
      <w:r w:rsidRPr="002C4077">
        <w:t xml:space="preserve"> </w:t>
      </w:r>
      <w:r>
        <w:t>Dieu</w:t>
      </w:r>
      <w:r w:rsidRPr="002C4077">
        <w:t xml:space="preserve"> </w:t>
      </w:r>
      <w:r>
        <w:t>qui</w:t>
      </w:r>
      <w:r w:rsidRPr="002C4077">
        <w:t xml:space="preserve"> </w:t>
      </w:r>
      <w:r>
        <w:t>viendra</w:t>
      </w:r>
      <w:r w:rsidRPr="002C4077">
        <w:t xml:space="preserve"> </w:t>
      </w:r>
      <w:r>
        <w:t>s’incarner</w:t>
      </w:r>
      <w:r w:rsidRPr="002C4077">
        <w:t xml:space="preserve"> </w:t>
      </w:r>
      <w:r>
        <w:t>dans</w:t>
      </w:r>
      <w:r w:rsidRPr="002C4077">
        <w:t xml:space="preserve"> </w:t>
      </w:r>
      <w:r>
        <w:t>ses</w:t>
      </w:r>
      <w:r w:rsidRPr="002C4077">
        <w:t xml:space="preserve"> </w:t>
      </w:r>
      <w:r>
        <w:t>chastes</w:t>
      </w:r>
      <w:r w:rsidRPr="002C4077">
        <w:t xml:space="preserve"> </w:t>
      </w:r>
      <w:r>
        <w:t>flan</w:t>
      </w:r>
      <w:r w:rsidR="00F6492C">
        <w:t>cs</w:t>
      </w:r>
      <w:r w:rsidR="00F6492C">
        <w:rPr>
          <w:rStyle w:val="Appelnotedebasdep"/>
        </w:rPr>
        <w:footnoteReference w:id="165"/>
      </w:r>
      <w:r w:rsidR="00B546AF">
        <w:t> »</w:t>
      </w:r>
      <w:r>
        <w:t>.</w:t>
      </w:r>
      <w:r w:rsidRPr="002C4077">
        <w:t xml:space="preserve"> </w:t>
      </w:r>
      <w:r>
        <w:t>Telle</w:t>
      </w:r>
      <w:r w:rsidRPr="002C4077">
        <w:t xml:space="preserve"> </w:t>
      </w:r>
      <w:r w:rsidR="00425C50">
        <w:t>est</w:t>
      </w:r>
      <w:r w:rsidRPr="002C4077">
        <w:t xml:space="preserve"> </w:t>
      </w:r>
      <w:r>
        <w:t>bien</w:t>
      </w:r>
      <w:r w:rsidRPr="002C4077">
        <w:t xml:space="preserve"> </w:t>
      </w:r>
      <w:r>
        <w:t>l’interprétation</w:t>
      </w:r>
      <w:r w:rsidRPr="002C4077">
        <w:t xml:space="preserve"> </w:t>
      </w:r>
      <w:r>
        <w:t>traditionnelle</w:t>
      </w:r>
      <w:r w:rsidRPr="002C4077">
        <w:t xml:space="preserve"> </w:t>
      </w:r>
      <w:r>
        <w:t>de</w:t>
      </w:r>
      <w:r w:rsidRPr="002C4077">
        <w:t xml:space="preserve"> </w:t>
      </w:r>
      <w:r>
        <w:t>ces</w:t>
      </w:r>
      <w:r w:rsidRPr="002C4077">
        <w:t xml:space="preserve"> </w:t>
      </w:r>
      <w:r>
        <w:t>mystérieuses</w:t>
      </w:r>
      <w:r w:rsidRPr="002C4077">
        <w:t xml:space="preserve"> </w:t>
      </w:r>
      <w:r>
        <w:t>paroles,</w:t>
      </w:r>
      <w:r w:rsidRPr="002C4077">
        <w:t xml:space="preserve"> </w:t>
      </w:r>
      <w:r>
        <w:t>et,</w:t>
      </w:r>
      <w:r w:rsidRPr="002C4077">
        <w:t xml:space="preserve"> </w:t>
      </w:r>
      <w:r>
        <w:t>malgré</w:t>
      </w:r>
      <w:r w:rsidRPr="002C4077">
        <w:t xml:space="preserve"> </w:t>
      </w:r>
      <w:r>
        <w:t>le</w:t>
      </w:r>
      <w:r w:rsidRPr="002C4077">
        <w:t xml:space="preserve"> </w:t>
      </w:r>
      <w:r w:rsidRPr="000A34B5">
        <w:rPr>
          <w:rStyle w:val="italicus"/>
        </w:rPr>
        <w:t>veto</w:t>
      </w:r>
      <w:r w:rsidRPr="002C4077">
        <w:t xml:space="preserve"> </w:t>
      </w:r>
      <w:r>
        <w:t>du</w:t>
      </w:r>
      <w:r w:rsidRPr="002C4077">
        <w:t xml:space="preserve"> </w:t>
      </w:r>
      <w:r>
        <w:t>rationalisme,</w:t>
      </w:r>
      <w:r w:rsidRPr="002C4077">
        <w:t xml:space="preserve"> </w:t>
      </w:r>
      <w:r>
        <w:t>qui</w:t>
      </w:r>
      <w:r w:rsidRPr="002C4077">
        <w:t xml:space="preserve"> </w:t>
      </w:r>
      <w:r>
        <w:t>du</w:t>
      </w:r>
      <w:r w:rsidRPr="002C4077">
        <w:t xml:space="preserve"> </w:t>
      </w:r>
      <w:r>
        <w:t>reste</w:t>
      </w:r>
      <w:r w:rsidRPr="002C4077">
        <w:t xml:space="preserve"> </w:t>
      </w:r>
      <w:r>
        <w:t>ne</w:t>
      </w:r>
      <w:r w:rsidRPr="002C4077">
        <w:t xml:space="preserve"> </w:t>
      </w:r>
      <w:r>
        <w:t>sait</w:t>
      </w:r>
      <w:r w:rsidRPr="002C4077">
        <w:t xml:space="preserve"> </w:t>
      </w:r>
      <w:r>
        <w:t>par</w:t>
      </w:r>
      <w:r w:rsidRPr="002C4077">
        <w:t xml:space="preserve"> </w:t>
      </w:r>
      <w:r>
        <w:t>quoi</w:t>
      </w:r>
      <w:r w:rsidRPr="002C4077">
        <w:t xml:space="preserve"> </w:t>
      </w:r>
      <w:r>
        <w:t>la</w:t>
      </w:r>
      <w:r w:rsidRPr="002C4077">
        <w:t xml:space="preserve"> </w:t>
      </w:r>
      <w:r>
        <w:t>remplacer,</w:t>
      </w:r>
      <w:r w:rsidRPr="002C4077">
        <w:t xml:space="preserve"> </w:t>
      </w:r>
      <w:r>
        <w:t>nous</w:t>
      </w:r>
      <w:r w:rsidRPr="002C4077">
        <w:t xml:space="preserve"> </w:t>
      </w:r>
      <w:r>
        <w:t>n’hésiterons</w:t>
      </w:r>
      <w:r w:rsidRPr="002C4077">
        <w:t xml:space="preserve"> </w:t>
      </w:r>
      <w:r>
        <w:t>pas</w:t>
      </w:r>
      <w:r w:rsidRPr="002C4077">
        <w:t xml:space="preserve"> </w:t>
      </w:r>
      <w:r>
        <w:t>à</w:t>
      </w:r>
      <w:r w:rsidRPr="002C4077">
        <w:t xml:space="preserve"> </w:t>
      </w:r>
      <w:r>
        <w:t>présenter</w:t>
      </w:r>
      <w:r w:rsidRPr="002C4077">
        <w:t xml:space="preserve"> </w:t>
      </w:r>
      <w:r>
        <w:t>le</w:t>
      </w:r>
      <w:r w:rsidRPr="002C4077">
        <w:t xml:space="preserve"> </w:t>
      </w:r>
      <w:r w:rsidRPr="000A34B5">
        <w:rPr>
          <w:rStyle w:val="italicus"/>
        </w:rPr>
        <w:t>F</w:t>
      </w:r>
      <w:r w:rsidR="003B53FD">
        <w:rPr>
          <w:rStyle w:val="italicus"/>
        </w:rPr>
        <w:t>é</w:t>
      </w:r>
      <w:r w:rsidR="003B53FD" w:rsidRPr="000A34B5">
        <w:rPr>
          <w:rStyle w:val="italicus"/>
        </w:rPr>
        <w:t>mina</w:t>
      </w:r>
      <w:r w:rsidRPr="002C4077">
        <w:t xml:space="preserve"> </w:t>
      </w:r>
      <w:r w:rsidR="003B53FD" w:rsidRPr="000A34B5">
        <w:rPr>
          <w:rStyle w:val="italicus"/>
        </w:rPr>
        <w:t>circ</w:t>
      </w:r>
      <w:r w:rsidR="003B53FD">
        <w:rPr>
          <w:rStyle w:val="italicus"/>
        </w:rPr>
        <w:t>úmda</w:t>
      </w:r>
      <w:r w:rsidR="003B53FD" w:rsidRPr="000A34B5">
        <w:rPr>
          <w:rStyle w:val="italicus"/>
        </w:rPr>
        <w:t>bit</w:t>
      </w:r>
      <w:r w:rsidRPr="002C4077">
        <w:t xml:space="preserve"> </w:t>
      </w:r>
      <w:r w:rsidRPr="000A34B5">
        <w:rPr>
          <w:rStyle w:val="italicus"/>
        </w:rPr>
        <w:t>virum</w:t>
      </w:r>
      <w:r w:rsidRPr="002C4077">
        <w:t xml:space="preserve"> </w:t>
      </w:r>
      <w:r>
        <w:t>de</w:t>
      </w:r>
      <w:r w:rsidRPr="002C4077">
        <w:t xml:space="preserve"> </w:t>
      </w:r>
      <w:r>
        <w:t>Jérémie</w:t>
      </w:r>
      <w:r w:rsidRPr="002C4077">
        <w:t xml:space="preserve"> </w:t>
      </w:r>
      <w:r>
        <w:t>comme</w:t>
      </w:r>
      <w:r w:rsidRPr="002C4077">
        <w:t xml:space="preserve"> </w:t>
      </w:r>
      <w:r>
        <w:t>un</w:t>
      </w:r>
      <w:r w:rsidRPr="002C4077">
        <w:t xml:space="preserve"> </w:t>
      </w:r>
      <w:r>
        <w:t>renouvellement</w:t>
      </w:r>
      <w:r w:rsidRPr="002C4077">
        <w:t xml:space="preserve"> </w:t>
      </w:r>
      <w:r w:rsidRPr="002A5E7A">
        <w:t>de l’</w:t>
      </w:r>
      <w:r w:rsidRPr="000A34B5">
        <w:rPr>
          <w:rStyle w:val="italicus"/>
        </w:rPr>
        <w:t>Ecce</w:t>
      </w:r>
      <w:r w:rsidRPr="002C4077">
        <w:t xml:space="preserve"> </w:t>
      </w:r>
      <w:r w:rsidRPr="000A34B5">
        <w:rPr>
          <w:rStyle w:val="italicus"/>
        </w:rPr>
        <w:t>virgo</w:t>
      </w:r>
      <w:r w:rsidRPr="002C4077">
        <w:t xml:space="preserve"> </w:t>
      </w:r>
      <w:r w:rsidR="00CE33FA" w:rsidRPr="000A34B5">
        <w:rPr>
          <w:rStyle w:val="italicus"/>
        </w:rPr>
        <w:t>concípiet</w:t>
      </w:r>
      <w:r w:rsidRPr="002C4077">
        <w:t xml:space="preserve"> </w:t>
      </w:r>
      <w:r>
        <w:t>d’Isaïe</w:t>
      </w:r>
      <w:r w:rsidR="00B91AF7">
        <w:rPr>
          <w:rStyle w:val="Appelnotedebasdep"/>
        </w:rPr>
        <w:footnoteReference w:id="166"/>
      </w:r>
      <w:r>
        <w:t>.</w:t>
      </w:r>
      <w:r w:rsidRPr="002C4077">
        <w:t xml:space="preserve"> </w:t>
      </w:r>
    </w:p>
    <w:p w:rsidR="000A7AAB" w:rsidRDefault="000A7AAB" w:rsidP="000A7AAB">
      <w:r>
        <w:t>Mais</w:t>
      </w:r>
      <w:r w:rsidRPr="002C4077">
        <w:t xml:space="preserve"> </w:t>
      </w:r>
      <w:r>
        <w:t>remontons</w:t>
      </w:r>
      <w:r w:rsidRPr="002C4077">
        <w:t xml:space="preserve"> </w:t>
      </w:r>
      <w:r>
        <w:t>plus</w:t>
      </w:r>
      <w:r w:rsidRPr="002C4077">
        <w:t xml:space="preserve"> </w:t>
      </w:r>
      <w:r>
        <w:t>haut</w:t>
      </w:r>
      <w:r w:rsidRPr="002C4077">
        <w:t xml:space="preserve"> </w:t>
      </w:r>
      <w:r>
        <w:t>encore.</w:t>
      </w:r>
      <w:r w:rsidRPr="002C4077">
        <w:t xml:space="preserve"> </w:t>
      </w:r>
    </w:p>
    <w:p w:rsidR="000A7AAB" w:rsidRPr="000721C4" w:rsidRDefault="000A7AAB" w:rsidP="000A7AAB">
      <w:r>
        <w:t>En</w:t>
      </w:r>
      <w:r w:rsidRPr="002C4077">
        <w:t xml:space="preserve"> </w:t>
      </w:r>
      <w:r>
        <w:t>même</w:t>
      </w:r>
      <w:r w:rsidRPr="002C4077">
        <w:t xml:space="preserve"> </w:t>
      </w:r>
      <w:r>
        <w:t>temps</w:t>
      </w:r>
      <w:r w:rsidRPr="002C4077">
        <w:t xml:space="preserve"> </w:t>
      </w:r>
      <w:r>
        <w:t>qu’Isaïe,</w:t>
      </w:r>
      <w:r w:rsidRPr="002C4077">
        <w:t xml:space="preserve"> </w:t>
      </w:r>
      <w:r>
        <w:t>vivait</w:t>
      </w:r>
      <w:r w:rsidRPr="002C4077">
        <w:t xml:space="preserve"> </w:t>
      </w:r>
      <w:r>
        <w:t>en</w:t>
      </w:r>
      <w:r w:rsidRPr="002C4077">
        <w:t xml:space="preserve"> </w:t>
      </w:r>
      <w:r>
        <w:t>Palestine</w:t>
      </w:r>
      <w:r w:rsidRPr="002C4077">
        <w:t xml:space="preserve"> </w:t>
      </w:r>
      <w:r>
        <w:t>un</w:t>
      </w:r>
      <w:r w:rsidRPr="002C4077">
        <w:t xml:space="preserve"> </w:t>
      </w:r>
      <w:r>
        <w:t>autre</w:t>
      </w:r>
      <w:r w:rsidRPr="002C4077">
        <w:t xml:space="preserve"> </w:t>
      </w:r>
      <w:r>
        <w:t>prophète,</w:t>
      </w:r>
      <w:r w:rsidRPr="002C4077">
        <w:t xml:space="preserve"> </w:t>
      </w:r>
      <w:r>
        <w:t>Michée</w:t>
      </w:r>
      <w:bookmarkStart w:id="193" w:name="z_Michee_o1"/>
      <w:bookmarkEnd w:id="193"/>
      <w:r>
        <w:t>.</w:t>
      </w:r>
      <w:r w:rsidRPr="002C4077">
        <w:t xml:space="preserve"> </w:t>
      </w:r>
      <w:r>
        <w:t>Or,</w:t>
      </w:r>
      <w:r w:rsidRPr="002C4077">
        <w:t xml:space="preserve"> </w:t>
      </w:r>
      <w:r>
        <w:t>au</w:t>
      </w:r>
      <w:r w:rsidRPr="002C4077">
        <w:t xml:space="preserve"> </w:t>
      </w:r>
      <w:r>
        <w:t>cœur</w:t>
      </w:r>
      <w:r w:rsidRPr="002C4077">
        <w:t xml:space="preserve"> </w:t>
      </w:r>
      <w:r>
        <w:t>même</w:t>
      </w:r>
      <w:r w:rsidRPr="002C4077">
        <w:t xml:space="preserve"> </w:t>
      </w:r>
      <w:r>
        <w:t>du</w:t>
      </w:r>
      <w:r w:rsidRPr="002C4077">
        <w:t xml:space="preserve"> </w:t>
      </w:r>
      <w:r>
        <w:t>livre</w:t>
      </w:r>
      <w:r w:rsidRPr="002C4077">
        <w:t xml:space="preserve"> </w:t>
      </w:r>
      <w:r>
        <w:t>qui</w:t>
      </w:r>
      <w:r w:rsidRPr="002C4077">
        <w:t xml:space="preserve"> </w:t>
      </w:r>
      <w:r>
        <w:t>porte</w:t>
      </w:r>
      <w:r w:rsidRPr="002C4077">
        <w:t xml:space="preserve"> </w:t>
      </w:r>
      <w:r>
        <w:t>son</w:t>
      </w:r>
      <w:r w:rsidRPr="002C4077">
        <w:t xml:space="preserve"> </w:t>
      </w:r>
      <w:r>
        <w:t>nom,</w:t>
      </w:r>
      <w:r w:rsidRPr="002C4077">
        <w:t xml:space="preserve"> </w:t>
      </w:r>
      <w:r>
        <w:t>nous</w:t>
      </w:r>
      <w:r w:rsidRPr="002C4077">
        <w:t xml:space="preserve"> </w:t>
      </w:r>
      <w:r>
        <w:t>trouvons</w:t>
      </w:r>
      <w:r w:rsidRPr="002C4077">
        <w:t xml:space="preserve"> </w:t>
      </w:r>
      <w:r>
        <w:t>ce</w:t>
      </w:r>
      <w:r w:rsidRPr="002C4077">
        <w:t xml:space="preserve"> </w:t>
      </w:r>
      <w:r>
        <w:t>bel</w:t>
      </w:r>
      <w:r w:rsidRPr="002C4077">
        <w:t xml:space="preserve"> </w:t>
      </w:r>
      <w:r>
        <w:t>oracle</w:t>
      </w:r>
      <w:r w:rsidR="00B546AF">
        <w:t> :</w:t>
      </w:r>
      <w:r w:rsidRPr="002C4077">
        <w:t xml:space="preserve"> </w:t>
      </w:r>
      <w:r w:rsidRPr="000A34B5">
        <w:rPr>
          <w:rStyle w:val="italicus"/>
        </w:rPr>
        <w:t>Et</w:t>
      </w:r>
      <w:r w:rsidRPr="002C4077">
        <w:t xml:space="preserve"> </w:t>
      </w:r>
      <w:r w:rsidRPr="000A34B5">
        <w:rPr>
          <w:rStyle w:val="italicus"/>
        </w:rPr>
        <w:t>tu</w:t>
      </w:r>
      <w:r w:rsidRPr="002C4077">
        <w:t xml:space="preserve"> </w:t>
      </w:r>
      <w:r w:rsidR="00CE33FA">
        <w:rPr>
          <w:rStyle w:val="italicus"/>
        </w:rPr>
        <w:t>Bethlehé</w:t>
      </w:r>
      <w:r w:rsidR="00CE33FA" w:rsidRPr="000A34B5">
        <w:rPr>
          <w:rStyle w:val="italicus"/>
        </w:rPr>
        <w:t>m</w:t>
      </w:r>
      <w:r w:rsidRPr="002C4077">
        <w:t xml:space="preserve"> </w:t>
      </w:r>
      <w:r w:rsidR="00CE33FA" w:rsidRPr="000A34B5">
        <w:rPr>
          <w:rStyle w:val="italicus"/>
        </w:rPr>
        <w:t>Ephr</w:t>
      </w:r>
      <w:r w:rsidR="00CE33FA">
        <w:rPr>
          <w:rStyle w:val="italicus"/>
        </w:rPr>
        <w:t>a</w:t>
      </w:r>
      <w:r w:rsidR="00CE33FA" w:rsidRPr="000A34B5">
        <w:rPr>
          <w:rStyle w:val="italicus"/>
        </w:rPr>
        <w:t>tá</w:t>
      </w:r>
      <w:r w:rsidRPr="000A34B5">
        <w:rPr>
          <w:rStyle w:val="italicus"/>
        </w:rPr>
        <w:t>,</w:t>
      </w:r>
      <w:r w:rsidRPr="002C4077">
        <w:t xml:space="preserve"> </w:t>
      </w:r>
      <w:r w:rsidR="00CE33FA" w:rsidRPr="000A34B5">
        <w:rPr>
          <w:rStyle w:val="italicus"/>
        </w:rPr>
        <w:t>párvulus</w:t>
      </w:r>
      <w:r w:rsidRPr="002C4077">
        <w:t xml:space="preserve"> </w:t>
      </w:r>
      <w:r w:rsidRPr="000A34B5">
        <w:rPr>
          <w:rStyle w:val="italicus"/>
        </w:rPr>
        <w:t>es</w:t>
      </w:r>
      <w:r w:rsidRPr="002C4077">
        <w:t xml:space="preserve"> </w:t>
      </w:r>
      <w:r w:rsidRPr="000A34B5">
        <w:rPr>
          <w:rStyle w:val="italicus"/>
        </w:rPr>
        <w:t>in</w:t>
      </w:r>
      <w:r w:rsidRPr="002C4077">
        <w:t xml:space="preserve"> </w:t>
      </w:r>
      <w:r w:rsidRPr="000A34B5">
        <w:rPr>
          <w:rStyle w:val="italicus"/>
        </w:rPr>
        <w:t>m</w:t>
      </w:r>
      <w:r w:rsidR="003B53FD">
        <w:rPr>
          <w:rStyle w:val="italicus"/>
        </w:rPr>
        <w:t>í</w:t>
      </w:r>
      <w:r w:rsidR="003B53FD" w:rsidRPr="000A34B5">
        <w:rPr>
          <w:rStyle w:val="italicus"/>
        </w:rPr>
        <w:t>llibus</w:t>
      </w:r>
      <w:r w:rsidRPr="002C4077">
        <w:t xml:space="preserve"> </w:t>
      </w:r>
      <w:r w:rsidRPr="000A34B5">
        <w:rPr>
          <w:rStyle w:val="italicus"/>
        </w:rPr>
        <w:t>Juda</w:t>
      </w:r>
      <w:r w:rsidR="00B546AF">
        <w:rPr>
          <w:rStyle w:val="italicus"/>
        </w:rPr>
        <w:t> </w:t>
      </w:r>
      <w:r w:rsidR="00B546AF" w:rsidRPr="000A34B5">
        <w:rPr>
          <w:rStyle w:val="italicus"/>
        </w:rPr>
        <w:t>:</w:t>
      </w:r>
      <w:r w:rsidRPr="002C4077">
        <w:t xml:space="preserve"> </w:t>
      </w:r>
      <w:r w:rsidRPr="000A34B5">
        <w:rPr>
          <w:rStyle w:val="italicus"/>
        </w:rPr>
        <w:t>ex</w:t>
      </w:r>
      <w:r w:rsidRPr="002C4077">
        <w:t xml:space="preserve"> </w:t>
      </w:r>
      <w:r w:rsidRPr="000A34B5">
        <w:rPr>
          <w:rStyle w:val="italicus"/>
        </w:rPr>
        <w:t>te</w:t>
      </w:r>
      <w:r w:rsidRPr="002C4077">
        <w:t xml:space="preserve"> </w:t>
      </w:r>
      <w:r w:rsidRPr="000A34B5">
        <w:rPr>
          <w:rStyle w:val="italicus"/>
        </w:rPr>
        <w:t>mihi</w:t>
      </w:r>
      <w:r w:rsidRPr="002C4077">
        <w:t xml:space="preserve"> </w:t>
      </w:r>
      <w:r w:rsidRPr="000A34B5">
        <w:rPr>
          <w:rStyle w:val="italicus"/>
        </w:rPr>
        <w:t>egr</w:t>
      </w:r>
      <w:r w:rsidR="003B53FD" w:rsidRPr="000A34B5">
        <w:rPr>
          <w:rStyle w:val="italicus"/>
        </w:rPr>
        <w:t>edi</w:t>
      </w:r>
      <w:r w:rsidR="003B53FD">
        <w:rPr>
          <w:rStyle w:val="italicus"/>
        </w:rPr>
        <w:t>é</w:t>
      </w:r>
      <w:r w:rsidR="003B53FD" w:rsidRPr="000A34B5">
        <w:rPr>
          <w:rStyle w:val="italicus"/>
        </w:rPr>
        <w:t>tur</w:t>
      </w:r>
      <w:r w:rsidRPr="002C4077">
        <w:t xml:space="preserve"> </w:t>
      </w:r>
      <w:r w:rsidRPr="000A34B5">
        <w:rPr>
          <w:rStyle w:val="italicus"/>
        </w:rPr>
        <w:t>qui</w:t>
      </w:r>
      <w:r w:rsidRPr="002C4077">
        <w:t xml:space="preserve"> </w:t>
      </w:r>
      <w:r w:rsidRPr="000A34B5">
        <w:rPr>
          <w:rStyle w:val="italicus"/>
        </w:rPr>
        <w:t>sit</w:t>
      </w:r>
      <w:r w:rsidRPr="002C4077">
        <w:t xml:space="preserve"> </w:t>
      </w:r>
      <w:r w:rsidRPr="000A34B5">
        <w:rPr>
          <w:rStyle w:val="italicus"/>
        </w:rPr>
        <w:t>domin</w:t>
      </w:r>
      <w:r w:rsidR="003B53FD">
        <w:rPr>
          <w:rStyle w:val="italicus"/>
        </w:rPr>
        <w:t>á</w:t>
      </w:r>
      <w:r w:rsidR="003B53FD" w:rsidRPr="000A34B5">
        <w:rPr>
          <w:rStyle w:val="italicus"/>
        </w:rPr>
        <w:t>tor</w:t>
      </w:r>
      <w:r w:rsidRPr="002C4077">
        <w:t xml:space="preserve"> </w:t>
      </w:r>
      <w:r w:rsidRPr="000A34B5">
        <w:rPr>
          <w:rStyle w:val="italicus"/>
        </w:rPr>
        <w:t>in</w:t>
      </w:r>
      <w:r w:rsidRPr="002C4077">
        <w:t xml:space="preserve"> </w:t>
      </w:r>
      <w:r w:rsidRPr="000A34B5">
        <w:rPr>
          <w:rStyle w:val="italicus"/>
        </w:rPr>
        <w:t>Israël,</w:t>
      </w:r>
      <w:r w:rsidRPr="002C4077">
        <w:t xml:space="preserve"> </w:t>
      </w:r>
      <w:r w:rsidRPr="000A34B5">
        <w:rPr>
          <w:rStyle w:val="italicus"/>
        </w:rPr>
        <w:t>et</w:t>
      </w:r>
      <w:r w:rsidRPr="002C4077">
        <w:t xml:space="preserve"> </w:t>
      </w:r>
      <w:r w:rsidR="00CE33FA" w:rsidRPr="000A34B5">
        <w:rPr>
          <w:rStyle w:val="italicus"/>
        </w:rPr>
        <w:t>egréssus</w:t>
      </w:r>
      <w:r w:rsidRPr="002C4077">
        <w:t xml:space="preserve"> </w:t>
      </w:r>
      <w:r w:rsidRPr="000A34B5">
        <w:rPr>
          <w:rStyle w:val="italicus"/>
        </w:rPr>
        <w:t>ejus</w:t>
      </w:r>
      <w:r w:rsidRPr="002C4077">
        <w:t xml:space="preserve"> </w:t>
      </w:r>
      <w:r w:rsidRPr="000A34B5">
        <w:rPr>
          <w:rStyle w:val="italicus"/>
        </w:rPr>
        <w:t>ab</w:t>
      </w:r>
      <w:r w:rsidRPr="002C4077">
        <w:t xml:space="preserve"> </w:t>
      </w:r>
      <w:r w:rsidRPr="000A34B5">
        <w:rPr>
          <w:rStyle w:val="italicus"/>
        </w:rPr>
        <w:t>in</w:t>
      </w:r>
      <w:r w:rsidR="003B53FD">
        <w:rPr>
          <w:rStyle w:val="italicus"/>
        </w:rPr>
        <w:t>í</w:t>
      </w:r>
      <w:r w:rsidR="003B53FD" w:rsidRPr="000A34B5">
        <w:rPr>
          <w:rStyle w:val="italicus"/>
        </w:rPr>
        <w:t>tio</w:t>
      </w:r>
      <w:r w:rsidRPr="000A34B5">
        <w:rPr>
          <w:rStyle w:val="italicus"/>
        </w:rPr>
        <w:t>,</w:t>
      </w:r>
      <w:r w:rsidRPr="002C4077">
        <w:t xml:space="preserve"> </w:t>
      </w:r>
      <w:r w:rsidRPr="000A34B5">
        <w:rPr>
          <w:rStyle w:val="italicus"/>
        </w:rPr>
        <w:t>ex</w:t>
      </w:r>
      <w:r w:rsidRPr="002C4077">
        <w:t xml:space="preserve"> </w:t>
      </w:r>
      <w:r w:rsidRPr="000A34B5">
        <w:rPr>
          <w:rStyle w:val="italicus"/>
        </w:rPr>
        <w:t>di</w:t>
      </w:r>
      <w:r w:rsidR="003B53FD">
        <w:rPr>
          <w:rStyle w:val="italicus"/>
        </w:rPr>
        <w:t>ébus</w:t>
      </w:r>
      <w:r w:rsidRPr="002C4077">
        <w:t xml:space="preserve"> </w:t>
      </w:r>
      <w:r w:rsidRPr="000A34B5">
        <w:rPr>
          <w:rStyle w:val="italicus"/>
        </w:rPr>
        <w:t>æter</w:t>
      </w:r>
      <w:r w:rsidR="003B53FD" w:rsidRPr="000A34B5">
        <w:rPr>
          <w:rStyle w:val="italicus"/>
        </w:rPr>
        <w:t>nit</w:t>
      </w:r>
      <w:r w:rsidR="003B53FD">
        <w:rPr>
          <w:rStyle w:val="italicus"/>
        </w:rPr>
        <w:t>á</w:t>
      </w:r>
      <w:r w:rsidR="003B53FD" w:rsidRPr="000A34B5">
        <w:rPr>
          <w:rStyle w:val="italicus"/>
        </w:rPr>
        <w:t>tis</w:t>
      </w:r>
      <w:r w:rsidRPr="000A34B5">
        <w:rPr>
          <w:rStyle w:val="italicus"/>
        </w:rPr>
        <w:t>.</w:t>
      </w:r>
      <w:r w:rsidRPr="002C4077">
        <w:t xml:space="preserve"> </w:t>
      </w:r>
      <w:r w:rsidRPr="000A34B5">
        <w:rPr>
          <w:rStyle w:val="italicus"/>
        </w:rPr>
        <w:t>Propter</w:t>
      </w:r>
      <w:r w:rsidRPr="002C4077">
        <w:t xml:space="preserve"> </w:t>
      </w:r>
      <w:r w:rsidRPr="000A34B5">
        <w:rPr>
          <w:rStyle w:val="italicus"/>
        </w:rPr>
        <w:t>hoc</w:t>
      </w:r>
      <w:r w:rsidRPr="002C4077">
        <w:t xml:space="preserve"> </w:t>
      </w:r>
      <w:r w:rsidRPr="000A34B5">
        <w:rPr>
          <w:rStyle w:val="italicus"/>
        </w:rPr>
        <w:t>dabit</w:t>
      </w:r>
      <w:r w:rsidRPr="002C4077">
        <w:t xml:space="preserve"> </w:t>
      </w:r>
      <w:r w:rsidRPr="000A34B5">
        <w:rPr>
          <w:rStyle w:val="italicus"/>
        </w:rPr>
        <w:t>eos</w:t>
      </w:r>
      <w:r w:rsidRPr="002C4077">
        <w:t xml:space="preserve"> </w:t>
      </w:r>
      <w:r w:rsidRPr="000A34B5">
        <w:rPr>
          <w:rStyle w:val="italicus"/>
        </w:rPr>
        <w:t>u</w:t>
      </w:r>
      <w:r w:rsidR="001730C6" w:rsidRPr="000A34B5">
        <w:rPr>
          <w:rStyle w:val="italicus"/>
        </w:rPr>
        <w:t>sq</w:t>
      </w:r>
      <w:r w:rsidRPr="000A34B5">
        <w:rPr>
          <w:rStyle w:val="italicus"/>
        </w:rPr>
        <w:t>ue</w:t>
      </w:r>
      <w:r w:rsidRPr="002C4077">
        <w:t xml:space="preserve"> </w:t>
      </w:r>
      <w:r w:rsidR="00CE33FA" w:rsidRPr="000A34B5">
        <w:rPr>
          <w:rStyle w:val="italicus"/>
        </w:rPr>
        <w:t>ad</w:t>
      </w:r>
      <w:r w:rsidR="00CE33FA" w:rsidRPr="002C4077">
        <w:t xml:space="preserve"> </w:t>
      </w:r>
      <w:r w:rsidR="00CE33FA" w:rsidRPr="000A34B5">
        <w:rPr>
          <w:rStyle w:val="italicus"/>
        </w:rPr>
        <w:t>tempus</w:t>
      </w:r>
      <w:r w:rsidRPr="002C4077">
        <w:t xml:space="preserve"> </w:t>
      </w:r>
      <w:r w:rsidRPr="000A34B5">
        <w:rPr>
          <w:rStyle w:val="italicus"/>
        </w:rPr>
        <w:t>in</w:t>
      </w:r>
      <w:r w:rsidRPr="002C4077">
        <w:t xml:space="preserve"> </w:t>
      </w:r>
      <w:r w:rsidRPr="000A34B5">
        <w:rPr>
          <w:rStyle w:val="italicus"/>
        </w:rPr>
        <w:t>quo</w:t>
      </w:r>
      <w:r w:rsidRPr="002C4077">
        <w:t xml:space="preserve"> </w:t>
      </w:r>
      <w:r w:rsidR="00CE33FA">
        <w:rPr>
          <w:smallCaps/>
        </w:rPr>
        <w:t>partúriens</w:t>
      </w:r>
      <w:r w:rsidRPr="004440EA">
        <w:t xml:space="preserve"> (</w:t>
      </w:r>
      <w:r w:rsidR="00CE33FA" w:rsidRPr="007F1BBA">
        <w:rPr>
          <w:rtl/>
          <w:lang w:bidi="he-IL"/>
        </w:rPr>
        <w:t>יולדה</w:t>
      </w:r>
      <w:r>
        <w:rPr>
          <w:smallCaps/>
        </w:rPr>
        <w:t>,</w:t>
      </w:r>
      <w:r w:rsidRPr="002C4077">
        <w:t xml:space="preserve"> </w:t>
      </w:r>
      <w:r w:rsidRPr="000A34B5">
        <w:rPr>
          <w:rStyle w:val="italicus"/>
        </w:rPr>
        <w:t>iolédah</w:t>
      </w:r>
      <w:r w:rsidR="00B546AF" w:rsidRPr="002C4077">
        <w:t>)</w:t>
      </w:r>
      <w:r w:rsidRPr="002C4077">
        <w:t xml:space="preserve"> </w:t>
      </w:r>
      <w:r w:rsidR="00CE33FA">
        <w:rPr>
          <w:smallCaps/>
        </w:rPr>
        <w:t>páriet</w:t>
      </w:r>
      <w:r>
        <w:rPr>
          <w:smallCaps/>
        </w:rPr>
        <w:t>,</w:t>
      </w:r>
      <w:r w:rsidRPr="002C4077">
        <w:t xml:space="preserve"> </w:t>
      </w:r>
      <w:r w:rsidR="00CE33FA">
        <w:rPr>
          <w:rStyle w:val="italicus"/>
        </w:rPr>
        <w:t>et</w:t>
      </w:r>
      <w:r w:rsidR="00CE33FA" w:rsidRPr="002C4077">
        <w:t xml:space="preserve"> </w:t>
      </w:r>
      <w:r w:rsidR="00CE33FA">
        <w:rPr>
          <w:rStyle w:val="italicus"/>
        </w:rPr>
        <w:t>relíquiæ</w:t>
      </w:r>
      <w:r w:rsidRPr="002C4077">
        <w:t xml:space="preserve"> </w:t>
      </w:r>
      <w:r w:rsidRPr="000A34B5">
        <w:rPr>
          <w:rStyle w:val="italicus"/>
        </w:rPr>
        <w:t>fratrum</w:t>
      </w:r>
      <w:r w:rsidRPr="002C4077">
        <w:t xml:space="preserve"> </w:t>
      </w:r>
      <w:r w:rsidRPr="000A34B5">
        <w:rPr>
          <w:rStyle w:val="italicus"/>
        </w:rPr>
        <w:t>ejus</w:t>
      </w:r>
      <w:r w:rsidRPr="002C4077">
        <w:t xml:space="preserve"> </w:t>
      </w:r>
      <w:r w:rsidRPr="000A34B5">
        <w:rPr>
          <w:rStyle w:val="italicus"/>
        </w:rPr>
        <w:t>conv</w:t>
      </w:r>
      <w:r w:rsidR="003B53FD" w:rsidRPr="000A34B5">
        <w:rPr>
          <w:rStyle w:val="italicus"/>
        </w:rPr>
        <w:t>ert</w:t>
      </w:r>
      <w:r w:rsidR="003B53FD">
        <w:rPr>
          <w:rStyle w:val="italicus"/>
        </w:rPr>
        <w:t>é</w:t>
      </w:r>
      <w:r w:rsidR="003B53FD" w:rsidRPr="000A34B5">
        <w:rPr>
          <w:rStyle w:val="italicus"/>
        </w:rPr>
        <w:t>ntur</w:t>
      </w:r>
      <w:r w:rsidRPr="002C4077">
        <w:t xml:space="preserve"> </w:t>
      </w:r>
      <w:r w:rsidRPr="000A34B5">
        <w:rPr>
          <w:rStyle w:val="italicus"/>
        </w:rPr>
        <w:t>ad</w:t>
      </w:r>
      <w:r w:rsidRPr="002C4077">
        <w:t xml:space="preserve"> </w:t>
      </w:r>
      <w:r w:rsidRPr="000A34B5">
        <w:rPr>
          <w:rStyle w:val="italicus"/>
        </w:rPr>
        <w:t>f</w:t>
      </w:r>
      <w:r w:rsidR="003B53FD">
        <w:rPr>
          <w:rStyle w:val="italicus"/>
        </w:rPr>
        <w:t>í</w:t>
      </w:r>
      <w:r w:rsidR="003B53FD" w:rsidRPr="000A34B5">
        <w:rPr>
          <w:rStyle w:val="italicus"/>
        </w:rPr>
        <w:t>lios</w:t>
      </w:r>
      <w:r w:rsidR="00CE33FA" w:rsidRPr="002C4077">
        <w:t xml:space="preserve"> </w:t>
      </w:r>
      <w:r w:rsidR="00CE33FA">
        <w:rPr>
          <w:rStyle w:val="italicus"/>
        </w:rPr>
        <w:t>Israël</w:t>
      </w:r>
      <w:r w:rsidR="00CE33FA">
        <w:rPr>
          <w:rStyle w:val="Appelnotedebasdep"/>
          <w:i/>
        </w:rPr>
        <w:footnoteReference w:id="167"/>
      </w:r>
      <w:r w:rsidRPr="000A34B5">
        <w:rPr>
          <w:rStyle w:val="italicus"/>
        </w:rPr>
        <w:t>.</w:t>
      </w:r>
      <w:r w:rsidRPr="002C4077">
        <w:t xml:space="preserve"> </w:t>
      </w:r>
      <w:r>
        <w:t>Quelle</w:t>
      </w:r>
      <w:r w:rsidRPr="002C4077">
        <w:t xml:space="preserve"> </w:t>
      </w:r>
      <w:r w:rsidR="00425C50">
        <w:t>est</w:t>
      </w:r>
      <w:r w:rsidRPr="002C4077">
        <w:t xml:space="preserve"> </w:t>
      </w:r>
      <w:r>
        <w:t>cette</w:t>
      </w:r>
      <w:r w:rsidRPr="002C4077">
        <w:t xml:space="preserve"> </w:t>
      </w:r>
      <w:r w:rsidRPr="000A34B5">
        <w:rPr>
          <w:rStyle w:val="italicus"/>
        </w:rPr>
        <w:t>iolédah</w:t>
      </w:r>
      <w:r w:rsidR="00B546AF">
        <w:rPr>
          <w:rStyle w:val="italicus"/>
        </w:rPr>
        <w:t> </w:t>
      </w:r>
      <w:r w:rsidR="00B546AF" w:rsidRPr="000A34B5">
        <w:rPr>
          <w:rStyle w:val="italicus"/>
        </w:rPr>
        <w:t>?</w:t>
      </w:r>
      <w:r w:rsidRPr="002C4077">
        <w:t xml:space="preserve"> </w:t>
      </w:r>
      <w:r>
        <w:t>Certainement</w:t>
      </w:r>
      <w:r w:rsidRPr="002C4077">
        <w:t xml:space="preserve"> </w:t>
      </w:r>
      <w:r>
        <w:t>la</w:t>
      </w:r>
      <w:r w:rsidRPr="002C4077">
        <w:t xml:space="preserve"> </w:t>
      </w:r>
      <w:r>
        <w:t>mère</w:t>
      </w:r>
      <w:r w:rsidRPr="002C4077">
        <w:t xml:space="preserve"> </w:t>
      </w:r>
      <w:r>
        <w:t>du</w:t>
      </w:r>
      <w:r w:rsidRPr="002C4077">
        <w:t xml:space="preserve"> </w:t>
      </w:r>
      <w:r>
        <w:t>Messie,</w:t>
      </w:r>
      <w:r w:rsidRPr="002C4077">
        <w:t xml:space="preserve"> </w:t>
      </w:r>
      <w:r>
        <w:t>puisque</w:t>
      </w:r>
      <w:r w:rsidRPr="002C4077">
        <w:t xml:space="preserve"> </w:t>
      </w:r>
      <w:r>
        <w:t>le</w:t>
      </w:r>
      <w:r w:rsidRPr="002C4077">
        <w:t xml:space="preserve"> </w:t>
      </w:r>
      <w:r>
        <w:t>Sanhédrin</w:t>
      </w:r>
      <w:r w:rsidRPr="002C4077">
        <w:t xml:space="preserve"> </w:t>
      </w:r>
      <w:r>
        <w:t>juif,</w:t>
      </w:r>
      <w:r w:rsidRPr="002C4077">
        <w:t xml:space="preserve"> </w:t>
      </w:r>
      <w:r>
        <w:t>réuni</w:t>
      </w:r>
      <w:r w:rsidRPr="002C4077">
        <w:t xml:space="preserve"> </w:t>
      </w:r>
      <w:r>
        <w:t>par</w:t>
      </w:r>
      <w:r w:rsidRPr="002C4077">
        <w:t xml:space="preserve"> </w:t>
      </w:r>
      <w:r>
        <w:t>les</w:t>
      </w:r>
      <w:r w:rsidRPr="002C4077">
        <w:t xml:space="preserve"> </w:t>
      </w:r>
      <w:r>
        <w:t>ordres</w:t>
      </w:r>
      <w:r w:rsidRPr="002C4077">
        <w:t xml:space="preserve"> </w:t>
      </w:r>
      <w:r>
        <w:t>d’Hérode</w:t>
      </w:r>
      <w:r w:rsidRPr="002C4077">
        <w:t xml:space="preserve"> </w:t>
      </w:r>
      <w:r>
        <w:t>et</w:t>
      </w:r>
      <w:r w:rsidRPr="002C4077">
        <w:t xml:space="preserve"> </w:t>
      </w:r>
      <w:r>
        <w:t>interrogé</w:t>
      </w:r>
      <w:r w:rsidRPr="002C4077">
        <w:t xml:space="preserve"> </w:t>
      </w:r>
      <w:r>
        <w:t>sur</w:t>
      </w:r>
      <w:r w:rsidRPr="002C4077">
        <w:t xml:space="preserve"> </w:t>
      </w:r>
      <w:r>
        <w:t>le</w:t>
      </w:r>
      <w:r w:rsidRPr="002C4077">
        <w:t xml:space="preserve"> </w:t>
      </w:r>
      <w:r>
        <w:t>lieu</w:t>
      </w:r>
      <w:r w:rsidRPr="002C4077">
        <w:t xml:space="preserve"> </w:t>
      </w:r>
      <w:r>
        <w:t>de</w:t>
      </w:r>
      <w:r w:rsidRPr="002C4077">
        <w:t xml:space="preserve"> </w:t>
      </w:r>
      <w:r w:rsidR="008B0C1F">
        <w:t>la</w:t>
      </w:r>
      <w:r w:rsidRPr="002C4077">
        <w:t xml:space="preserve"> </w:t>
      </w:r>
      <w:r>
        <w:t>naissance</w:t>
      </w:r>
      <w:r w:rsidRPr="002C4077">
        <w:t xml:space="preserve"> </w:t>
      </w:r>
      <w:r>
        <w:t>du</w:t>
      </w:r>
      <w:r w:rsidRPr="002C4077">
        <w:t xml:space="preserve"> </w:t>
      </w:r>
      <w:r w:rsidR="00425C50">
        <w:t>Christ</w:t>
      </w:r>
      <w:r>
        <w:t>,</w:t>
      </w:r>
      <w:r w:rsidRPr="002C4077">
        <w:t xml:space="preserve"> </w:t>
      </w:r>
      <w:r>
        <w:t>renvoya</w:t>
      </w:r>
      <w:r w:rsidRPr="002C4077">
        <w:t xml:space="preserve"> </w:t>
      </w:r>
      <w:r>
        <w:t>sans</w:t>
      </w:r>
      <w:r w:rsidRPr="002C4077">
        <w:t xml:space="preserve"> </w:t>
      </w:r>
      <w:r>
        <w:t>hésiter</w:t>
      </w:r>
      <w:r w:rsidRPr="002C4077">
        <w:t xml:space="preserve"> </w:t>
      </w:r>
      <w:r>
        <w:t>le</w:t>
      </w:r>
      <w:r w:rsidRPr="002C4077">
        <w:t xml:space="preserve"> </w:t>
      </w:r>
      <w:r>
        <w:t>monarque</w:t>
      </w:r>
      <w:r w:rsidRPr="002C4077">
        <w:t xml:space="preserve"> </w:t>
      </w:r>
      <w:r>
        <w:t>à</w:t>
      </w:r>
      <w:r w:rsidRPr="002C4077">
        <w:t xml:space="preserve"> </w:t>
      </w:r>
      <w:r>
        <w:t>ce</w:t>
      </w:r>
      <w:r w:rsidRPr="002C4077">
        <w:t xml:space="preserve"> </w:t>
      </w:r>
      <w:r>
        <w:t>passage</w:t>
      </w:r>
      <w:r w:rsidRPr="002C4077">
        <w:t xml:space="preserve"> </w:t>
      </w:r>
      <w:r>
        <w:t>de</w:t>
      </w:r>
      <w:r w:rsidRPr="002C4077">
        <w:t xml:space="preserve"> </w:t>
      </w:r>
      <w:r>
        <w:t>Michée.</w:t>
      </w:r>
      <w:r w:rsidRPr="002C4077">
        <w:t xml:space="preserve"> </w:t>
      </w:r>
      <w:r w:rsidR="00B546AF">
        <w:t>« </w:t>
      </w:r>
      <w:r w:rsidR="00425C50">
        <w:t>Jésus</w:t>
      </w:r>
      <w:r w:rsidRPr="002C4077">
        <w:t xml:space="preserve"> </w:t>
      </w:r>
      <w:r>
        <w:t>donc</w:t>
      </w:r>
      <w:r w:rsidRPr="002C4077">
        <w:t xml:space="preserve"> </w:t>
      </w:r>
      <w:r>
        <w:t>étant</w:t>
      </w:r>
      <w:r w:rsidRPr="002C4077">
        <w:t xml:space="preserve"> </w:t>
      </w:r>
      <w:r>
        <w:t>né</w:t>
      </w:r>
      <w:r w:rsidRPr="002C4077">
        <w:t xml:space="preserve"> </w:t>
      </w:r>
      <w:r>
        <w:t>à</w:t>
      </w:r>
      <w:r w:rsidRPr="002C4077">
        <w:t xml:space="preserve"> </w:t>
      </w:r>
      <w:r>
        <w:t>Bethléem</w:t>
      </w:r>
      <w:r w:rsidRPr="002C4077">
        <w:t xml:space="preserve"> </w:t>
      </w:r>
      <w:r>
        <w:t>de</w:t>
      </w:r>
      <w:r w:rsidRPr="002C4077">
        <w:t xml:space="preserve"> </w:t>
      </w:r>
      <w:r>
        <w:t>Juda,</w:t>
      </w:r>
      <w:r w:rsidRPr="002C4077">
        <w:t xml:space="preserve"> </w:t>
      </w:r>
      <w:r>
        <w:t>aux</w:t>
      </w:r>
      <w:r w:rsidRPr="002C4077">
        <w:t xml:space="preserve"> </w:t>
      </w:r>
      <w:r>
        <w:t>jours</w:t>
      </w:r>
      <w:r w:rsidRPr="002C4077">
        <w:t xml:space="preserve"> </w:t>
      </w:r>
      <w:r>
        <w:t>du</w:t>
      </w:r>
      <w:r w:rsidRPr="002C4077">
        <w:t xml:space="preserve"> </w:t>
      </w:r>
      <w:r>
        <w:t>roi</w:t>
      </w:r>
      <w:r w:rsidRPr="002C4077">
        <w:t xml:space="preserve"> </w:t>
      </w:r>
      <w:r>
        <w:t>Hérode,</w:t>
      </w:r>
      <w:r w:rsidRPr="002C4077">
        <w:t xml:space="preserve"> </w:t>
      </w:r>
      <w:r>
        <w:t>voilà</w:t>
      </w:r>
      <w:r w:rsidRPr="002C4077">
        <w:t xml:space="preserve"> </w:t>
      </w:r>
      <w:r>
        <w:t>que</w:t>
      </w:r>
      <w:r w:rsidRPr="002C4077">
        <w:t xml:space="preserve"> </w:t>
      </w:r>
      <w:r>
        <w:t>des</w:t>
      </w:r>
      <w:r w:rsidRPr="002C4077">
        <w:t xml:space="preserve"> </w:t>
      </w:r>
      <w:r>
        <w:t>mages</w:t>
      </w:r>
      <w:r w:rsidRPr="002C4077">
        <w:t xml:space="preserve"> </w:t>
      </w:r>
      <w:r>
        <w:t>vinrent</w:t>
      </w:r>
      <w:r w:rsidRPr="002C4077">
        <w:t xml:space="preserve"> </w:t>
      </w:r>
      <w:r>
        <w:t>d’Orient</w:t>
      </w:r>
      <w:r w:rsidRPr="002C4077">
        <w:t xml:space="preserve"> </w:t>
      </w:r>
      <w:r>
        <w:t>à</w:t>
      </w:r>
      <w:r w:rsidRPr="002C4077">
        <w:t xml:space="preserve"> </w:t>
      </w:r>
      <w:r>
        <w:t>Jérusalem,</w:t>
      </w:r>
      <w:r w:rsidRPr="002C4077">
        <w:t xml:space="preserve"> </w:t>
      </w:r>
      <w:r>
        <w:t>disant</w:t>
      </w:r>
      <w:r w:rsidR="00B546AF">
        <w:t> :</w:t>
      </w:r>
      <w:r w:rsidRPr="002C4077">
        <w:t xml:space="preserve"> </w:t>
      </w:r>
      <w:r>
        <w:t>Où</w:t>
      </w:r>
      <w:r w:rsidRPr="002C4077">
        <w:t xml:space="preserve"> </w:t>
      </w:r>
      <w:r w:rsidR="00425C50">
        <w:t>est</w:t>
      </w:r>
      <w:r w:rsidRPr="002C4077">
        <w:t xml:space="preserve"> </w:t>
      </w:r>
      <w:r>
        <w:t>le</w:t>
      </w:r>
      <w:r w:rsidRPr="002C4077">
        <w:t xml:space="preserve"> </w:t>
      </w:r>
      <w:r>
        <w:t>roi</w:t>
      </w:r>
      <w:r w:rsidRPr="002C4077">
        <w:t xml:space="preserve"> </w:t>
      </w:r>
      <w:r>
        <w:t>des</w:t>
      </w:r>
      <w:r w:rsidRPr="002C4077">
        <w:t xml:space="preserve"> </w:t>
      </w:r>
      <w:r>
        <w:t>Juifs</w:t>
      </w:r>
      <w:r w:rsidRPr="002C4077">
        <w:t xml:space="preserve"> </w:t>
      </w:r>
      <w:r>
        <w:t>nouvellement</w:t>
      </w:r>
      <w:r w:rsidRPr="002C4077">
        <w:t xml:space="preserve"> </w:t>
      </w:r>
      <w:r>
        <w:t>né</w:t>
      </w:r>
      <w:r w:rsidR="00B546AF">
        <w:t> ?</w:t>
      </w:r>
      <w:r w:rsidRPr="002C4077">
        <w:t xml:space="preserve"> </w:t>
      </w:r>
      <w:r>
        <w:t>car</w:t>
      </w:r>
      <w:r w:rsidRPr="002C4077">
        <w:t xml:space="preserve"> </w:t>
      </w:r>
      <w:r>
        <w:t>nous</w:t>
      </w:r>
      <w:r w:rsidRPr="002C4077">
        <w:t xml:space="preserve"> </w:t>
      </w:r>
      <w:r>
        <w:t>avons</w:t>
      </w:r>
      <w:r w:rsidRPr="002C4077">
        <w:t xml:space="preserve"> </w:t>
      </w:r>
      <w:r>
        <w:t>vu</w:t>
      </w:r>
      <w:r w:rsidRPr="002C4077">
        <w:t xml:space="preserve"> </w:t>
      </w:r>
      <w:r>
        <w:t>son</w:t>
      </w:r>
      <w:r w:rsidRPr="002C4077">
        <w:t xml:space="preserve"> </w:t>
      </w:r>
      <w:r>
        <w:t>étoile</w:t>
      </w:r>
      <w:r w:rsidRPr="002C4077">
        <w:t xml:space="preserve"> </w:t>
      </w:r>
      <w:r>
        <w:t>en</w:t>
      </w:r>
      <w:r w:rsidRPr="002C4077">
        <w:t xml:space="preserve"> </w:t>
      </w:r>
      <w:r>
        <w:t>Orient,</w:t>
      </w:r>
      <w:r w:rsidRPr="002C4077">
        <w:t xml:space="preserve"> </w:t>
      </w:r>
      <w:r>
        <w:t>et</w:t>
      </w:r>
      <w:r w:rsidRPr="002C4077">
        <w:t xml:space="preserve"> </w:t>
      </w:r>
      <w:r>
        <w:t>nous</w:t>
      </w:r>
      <w:r w:rsidRPr="002C4077">
        <w:t xml:space="preserve"> </w:t>
      </w:r>
      <w:r>
        <w:t>venons</w:t>
      </w:r>
      <w:r w:rsidRPr="002C4077">
        <w:t xml:space="preserve"> </w:t>
      </w:r>
      <w:r>
        <w:t>l’adorer.</w:t>
      </w:r>
      <w:r w:rsidR="00C45B47">
        <w:t xml:space="preserve"> {</w:t>
      </w:r>
      <w:r w:rsidR="000721C4">
        <w:t>57</w:t>
      </w:r>
      <w:bookmarkStart w:id="194" w:name="p057"/>
      <w:bookmarkEnd w:id="194"/>
      <w:r w:rsidR="000721C4">
        <w:t xml:space="preserve">} </w:t>
      </w:r>
      <w:r>
        <w:t>Ce</w:t>
      </w:r>
      <w:r w:rsidRPr="002C4077">
        <w:t xml:space="preserve"> </w:t>
      </w:r>
      <w:r>
        <w:t>que</w:t>
      </w:r>
      <w:r w:rsidRPr="002C4077">
        <w:t xml:space="preserve"> </w:t>
      </w:r>
      <w:r>
        <w:t>le</w:t>
      </w:r>
      <w:r w:rsidRPr="002C4077">
        <w:t xml:space="preserve"> </w:t>
      </w:r>
      <w:r>
        <w:t>roi</w:t>
      </w:r>
      <w:r w:rsidRPr="002C4077">
        <w:t xml:space="preserve"> </w:t>
      </w:r>
      <w:r>
        <w:t>Hérode</w:t>
      </w:r>
      <w:r w:rsidRPr="002C4077">
        <w:t xml:space="preserve"> </w:t>
      </w:r>
      <w:r>
        <w:t>ayant</w:t>
      </w:r>
      <w:r w:rsidRPr="002C4077">
        <w:t xml:space="preserve"> </w:t>
      </w:r>
      <w:r>
        <w:t>appris,</w:t>
      </w:r>
      <w:r w:rsidRPr="002C4077">
        <w:t xml:space="preserve"> </w:t>
      </w:r>
      <w:r>
        <w:t>il</w:t>
      </w:r>
      <w:r w:rsidRPr="002C4077">
        <w:t xml:space="preserve"> </w:t>
      </w:r>
      <w:r>
        <w:t>en</w:t>
      </w:r>
      <w:r w:rsidRPr="002C4077">
        <w:t xml:space="preserve"> </w:t>
      </w:r>
      <w:r>
        <w:t>fut</w:t>
      </w:r>
      <w:r w:rsidRPr="002C4077">
        <w:t xml:space="preserve"> </w:t>
      </w:r>
      <w:r>
        <w:t>troublé,</w:t>
      </w:r>
      <w:r w:rsidRPr="002C4077">
        <w:t xml:space="preserve"> </w:t>
      </w:r>
      <w:r>
        <w:t>et</w:t>
      </w:r>
      <w:r w:rsidRPr="002C4077">
        <w:t xml:space="preserve"> </w:t>
      </w:r>
      <w:r>
        <w:t>tout</w:t>
      </w:r>
      <w:r w:rsidRPr="002C4077">
        <w:t xml:space="preserve"> </w:t>
      </w:r>
      <w:r>
        <w:t>Jérusalem</w:t>
      </w:r>
      <w:r w:rsidRPr="002C4077">
        <w:t xml:space="preserve"> </w:t>
      </w:r>
      <w:r>
        <w:t>avec</w:t>
      </w:r>
      <w:r w:rsidRPr="002C4077">
        <w:t xml:space="preserve"> </w:t>
      </w:r>
      <w:r>
        <w:t>lui.</w:t>
      </w:r>
      <w:r w:rsidRPr="002C4077">
        <w:t xml:space="preserve"> </w:t>
      </w:r>
      <w:r>
        <w:t>Et</w:t>
      </w:r>
      <w:r w:rsidRPr="002C4077">
        <w:t xml:space="preserve"> </w:t>
      </w:r>
      <w:r>
        <w:t>rassemblant</w:t>
      </w:r>
      <w:r w:rsidRPr="002C4077">
        <w:t xml:space="preserve"> </w:t>
      </w:r>
      <w:r>
        <w:t>tous</w:t>
      </w:r>
      <w:r w:rsidRPr="002C4077">
        <w:t xml:space="preserve"> </w:t>
      </w:r>
      <w:r>
        <w:t>les</w:t>
      </w:r>
      <w:r w:rsidRPr="002C4077">
        <w:t xml:space="preserve"> </w:t>
      </w:r>
      <w:r>
        <w:t>princes</w:t>
      </w:r>
      <w:r w:rsidRPr="002C4077">
        <w:t xml:space="preserve"> </w:t>
      </w:r>
      <w:r>
        <w:t>des</w:t>
      </w:r>
      <w:r w:rsidRPr="002C4077">
        <w:t xml:space="preserve"> </w:t>
      </w:r>
      <w:r w:rsidR="00425C50">
        <w:t>prêtre</w:t>
      </w:r>
      <w:r>
        <w:t>s</w:t>
      </w:r>
      <w:r w:rsidRPr="002C4077">
        <w:t xml:space="preserve"> </w:t>
      </w:r>
      <w:r>
        <w:t>et</w:t>
      </w:r>
      <w:r w:rsidRPr="002C4077">
        <w:t xml:space="preserve"> </w:t>
      </w:r>
      <w:r>
        <w:t>les</w:t>
      </w:r>
      <w:r w:rsidRPr="002C4077">
        <w:t xml:space="preserve"> </w:t>
      </w:r>
      <w:r>
        <w:t>scribes</w:t>
      </w:r>
      <w:r w:rsidRPr="002C4077">
        <w:t xml:space="preserve"> </w:t>
      </w:r>
      <w:r>
        <w:t>du</w:t>
      </w:r>
      <w:r w:rsidRPr="002C4077">
        <w:t xml:space="preserve"> </w:t>
      </w:r>
      <w:r>
        <w:t>peuple,</w:t>
      </w:r>
      <w:r w:rsidRPr="002C4077">
        <w:t xml:space="preserve"> </w:t>
      </w:r>
      <w:r>
        <w:t>il</w:t>
      </w:r>
      <w:r w:rsidRPr="002C4077">
        <w:t xml:space="preserve"> </w:t>
      </w:r>
      <w:r>
        <w:t>s’enquit</w:t>
      </w:r>
      <w:r w:rsidRPr="002C4077">
        <w:t xml:space="preserve"> </w:t>
      </w:r>
      <w:r>
        <w:t>d’eux</w:t>
      </w:r>
      <w:r w:rsidRPr="002C4077">
        <w:t xml:space="preserve"> </w:t>
      </w:r>
      <w:r>
        <w:t>où</w:t>
      </w:r>
      <w:r w:rsidRPr="002C4077">
        <w:t xml:space="preserve"> </w:t>
      </w:r>
      <w:r>
        <w:t>le</w:t>
      </w:r>
      <w:r w:rsidRPr="002C4077">
        <w:t xml:space="preserve"> </w:t>
      </w:r>
      <w:r w:rsidR="00425C50">
        <w:t>Christ</w:t>
      </w:r>
      <w:r w:rsidRPr="002C4077">
        <w:t xml:space="preserve"> </w:t>
      </w:r>
      <w:r>
        <w:t>naîtrait.</w:t>
      </w:r>
      <w:r w:rsidRPr="002C4077">
        <w:t xml:space="preserve"> </w:t>
      </w:r>
      <w:r>
        <w:t>Ils</w:t>
      </w:r>
      <w:r w:rsidRPr="002C4077">
        <w:t xml:space="preserve"> </w:t>
      </w:r>
      <w:r>
        <w:t>lui</w:t>
      </w:r>
      <w:r w:rsidRPr="002C4077">
        <w:t xml:space="preserve"> </w:t>
      </w:r>
      <w:r>
        <w:t>dirent</w:t>
      </w:r>
      <w:r w:rsidR="00B546AF">
        <w:t> :</w:t>
      </w:r>
      <w:r w:rsidRPr="002C4077">
        <w:t xml:space="preserve"> </w:t>
      </w:r>
      <w:r>
        <w:t>À</w:t>
      </w:r>
      <w:r w:rsidRPr="002C4077">
        <w:t xml:space="preserve"> </w:t>
      </w:r>
      <w:r>
        <w:t>Bethléem</w:t>
      </w:r>
      <w:r w:rsidRPr="002C4077">
        <w:t xml:space="preserve"> </w:t>
      </w:r>
      <w:r>
        <w:t>de</w:t>
      </w:r>
      <w:r w:rsidRPr="002C4077">
        <w:t xml:space="preserve"> </w:t>
      </w:r>
      <w:r>
        <w:t>Juda,</w:t>
      </w:r>
      <w:r w:rsidRPr="002C4077">
        <w:t xml:space="preserve"> </w:t>
      </w:r>
      <w:r>
        <w:t>car</w:t>
      </w:r>
      <w:r w:rsidRPr="002C4077">
        <w:t xml:space="preserve"> </w:t>
      </w:r>
      <w:r>
        <w:t>il</w:t>
      </w:r>
      <w:r w:rsidRPr="002C4077">
        <w:t xml:space="preserve"> </w:t>
      </w:r>
      <w:r w:rsidR="00425C50">
        <w:t>est</w:t>
      </w:r>
      <w:r w:rsidRPr="002C4077">
        <w:t xml:space="preserve"> </w:t>
      </w:r>
      <w:r>
        <w:t>ainsi</w:t>
      </w:r>
      <w:r w:rsidRPr="002C4077">
        <w:t xml:space="preserve"> </w:t>
      </w:r>
      <w:r>
        <w:t>écrit</w:t>
      </w:r>
      <w:r w:rsidRPr="002C4077">
        <w:t xml:space="preserve"> </w:t>
      </w:r>
      <w:r>
        <w:t>dans</w:t>
      </w:r>
      <w:r w:rsidRPr="002C4077">
        <w:t xml:space="preserve"> </w:t>
      </w:r>
      <w:r>
        <w:t>le</w:t>
      </w:r>
      <w:r w:rsidRPr="002C4077">
        <w:t xml:space="preserve"> </w:t>
      </w:r>
      <w:r>
        <w:t>prophète</w:t>
      </w:r>
      <w:r w:rsidR="00B546AF">
        <w:t> :</w:t>
      </w:r>
      <w:r w:rsidRPr="002C4077">
        <w:t xml:space="preserve"> </w:t>
      </w:r>
      <w:r>
        <w:t>Et</w:t>
      </w:r>
      <w:r w:rsidRPr="002C4077">
        <w:t xml:space="preserve"> </w:t>
      </w:r>
      <w:r>
        <w:t>toi,</w:t>
      </w:r>
      <w:r w:rsidRPr="002C4077">
        <w:t xml:space="preserve"> </w:t>
      </w:r>
      <w:r>
        <w:t>Bethléem,</w:t>
      </w:r>
      <w:r w:rsidRPr="002C4077">
        <w:t xml:space="preserve"> </w:t>
      </w:r>
      <w:r>
        <w:t>terre</w:t>
      </w:r>
      <w:r w:rsidRPr="002C4077">
        <w:t xml:space="preserve"> </w:t>
      </w:r>
      <w:r>
        <w:t>de</w:t>
      </w:r>
      <w:r w:rsidRPr="002C4077">
        <w:t xml:space="preserve"> </w:t>
      </w:r>
      <w:r>
        <w:t>Juda,</w:t>
      </w:r>
      <w:r w:rsidRPr="002C4077">
        <w:t xml:space="preserve"> </w:t>
      </w:r>
      <w:r>
        <w:t>tu</w:t>
      </w:r>
      <w:r w:rsidRPr="002C4077">
        <w:t xml:space="preserve"> </w:t>
      </w:r>
      <w:r>
        <w:t>n’es</w:t>
      </w:r>
      <w:r w:rsidRPr="002C4077">
        <w:t xml:space="preserve"> </w:t>
      </w:r>
      <w:r>
        <w:t>pas</w:t>
      </w:r>
      <w:r w:rsidRPr="002C4077">
        <w:t xml:space="preserve"> </w:t>
      </w:r>
      <w:r>
        <w:t>la</w:t>
      </w:r>
      <w:r w:rsidRPr="002C4077">
        <w:t xml:space="preserve"> </w:t>
      </w:r>
      <w:r>
        <w:t>moindre</w:t>
      </w:r>
      <w:r w:rsidRPr="002C4077">
        <w:t xml:space="preserve"> </w:t>
      </w:r>
      <w:r>
        <w:t>parmi</w:t>
      </w:r>
      <w:r w:rsidRPr="002C4077">
        <w:t xml:space="preserve"> </w:t>
      </w:r>
      <w:r>
        <w:t>les</w:t>
      </w:r>
      <w:r w:rsidRPr="002C4077">
        <w:t xml:space="preserve"> </w:t>
      </w:r>
      <w:r>
        <w:t>cités</w:t>
      </w:r>
      <w:r w:rsidRPr="002C4077">
        <w:t xml:space="preserve"> </w:t>
      </w:r>
      <w:r>
        <w:t>de</w:t>
      </w:r>
      <w:r w:rsidRPr="002C4077">
        <w:t xml:space="preserve"> </w:t>
      </w:r>
      <w:r>
        <w:t>Juda,</w:t>
      </w:r>
      <w:r w:rsidRPr="002C4077">
        <w:t xml:space="preserve"> </w:t>
      </w:r>
      <w:r>
        <w:t>car</w:t>
      </w:r>
      <w:r w:rsidRPr="002C4077">
        <w:t xml:space="preserve"> </w:t>
      </w:r>
      <w:r>
        <w:t>de</w:t>
      </w:r>
      <w:r w:rsidRPr="002C4077">
        <w:t xml:space="preserve"> </w:t>
      </w:r>
      <w:r>
        <w:t>toi</w:t>
      </w:r>
      <w:r w:rsidRPr="002C4077">
        <w:t xml:space="preserve"> </w:t>
      </w:r>
      <w:r>
        <w:t>sortira</w:t>
      </w:r>
      <w:r w:rsidRPr="002C4077">
        <w:t xml:space="preserve"> </w:t>
      </w:r>
      <w:r>
        <w:t>le</w:t>
      </w:r>
      <w:r w:rsidRPr="002C4077">
        <w:t xml:space="preserve"> </w:t>
      </w:r>
      <w:r>
        <w:t>chef</w:t>
      </w:r>
      <w:r w:rsidRPr="002C4077">
        <w:t xml:space="preserve"> </w:t>
      </w:r>
      <w:r>
        <w:t>qui</w:t>
      </w:r>
      <w:r w:rsidRPr="002C4077">
        <w:t xml:space="preserve"> </w:t>
      </w:r>
      <w:r>
        <w:t>doit</w:t>
      </w:r>
      <w:r w:rsidRPr="002C4077">
        <w:t xml:space="preserve"> </w:t>
      </w:r>
      <w:r>
        <w:t>régir</w:t>
      </w:r>
      <w:r w:rsidRPr="002C4077">
        <w:t xml:space="preserve"> </w:t>
      </w:r>
      <w:r>
        <w:t>Israël</w:t>
      </w:r>
      <w:r w:rsidRPr="002C4077">
        <w:t xml:space="preserve"> </w:t>
      </w:r>
      <w:r>
        <w:t>mon</w:t>
      </w:r>
      <w:r w:rsidRPr="002C4077">
        <w:t xml:space="preserve"> </w:t>
      </w:r>
      <w:r>
        <w:t>peuple</w:t>
      </w:r>
      <w:r w:rsidR="00B91AF7">
        <w:rPr>
          <w:rStyle w:val="Appelnotedebasdep"/>
        </w:rPr>
        <w:footnoteReference w:id="168"/>
      </w:r>
      <w:r w:rsidR="00B546AF">
        <w:t> »</w:t>
      </w:r>
      <w:r>
        <w:t>.</w:t>
      </w:r>
      <w:r w:rsidRPr="002C4077">
        <w:t xml:space="preserve"> </w:t>
      </w:r>
      <w:r>
        <w:t>Et</w:t>
      </w:r>
      <w:r w:rsidRPr="002C4077">
        <w:t xml:space="preserve"> </w:t>
      </w:r>
      <w:r>
        <w:t>cette</w:t>
      </w:r>
      <w:r w:rsidRPr="002C4077">
        <w:t xml:space="preserve"> </w:t>
      </w:r>
      <w:r w:rsidRPr="000A34B5">
        <w:rPr>
          <w:rStyle w:val="italicus"/>
        </w:rPr>
        <w:t>iolédah,</w:t>
      </w:r>
      <w:r w:rsidRPr="002C4077">
        <w:t xml:space="preserve"> </w:t>
      </w:r>
      <w:r>
        <w:t>dans</w:t>
      </w:r>
      <w:r w:rsidRPr="002C4077">
        <w:t xml:space="preserve"> </w:t>
      </w:r>
      <w:r>
        <w:t>quelles</w:t>
      </w:r>
      <w:r w:rsidRPr="002C4077">
        <w:t xml:space="preserve"> </w:t>
      </w:r>
      <w:r>
        <w:t>conditions</w:t>
      </w:r>
      <w:r w:rsidRPr="002C4077">
        <w:t xml:space="preserve"> </w:t>
      </w:r>
      <w:r>
        <w:t>enfantera-t-elle</w:t>
      </w:r>
      <w:r w:rsidRPr="002C4077">
        <w:t xml:space="preserve"> </w:t>
      </w:r>
      <w:r>
        <w:t>le</w:t>
      </w:r>
      <w:r w:rsidRPr="002C4077">
        <w:t xml:space="preserve"> </w:t>
      </w:r>
      <w:r>
        <w:t>Messie</w:t>
      </w:r>
      <w:r w:rsidR="00B546AF">
        <w:t> ?</w:t>
      </w:r>
      <w:r w:rsidRPr="002C4077">
        <w:t xml:space="preserve"> </w:t>
      </w:r>
      <w:r w:rsidRPr="000A34B5">
        <w:rPr>
          <w:rStyle w:val="italicus"/>
        </w:rPr>
        <w:t>In</w:t>
      </w:r>
      <w:r w:rsidRPr="002C4077">
        <w:t xml:space="preserve"> </w:t>
      </w:r>
      <w:r w:rsidRPr="000A34B5">
        <w:rPr>
          <w:rStyle w:val="italicus"/>
        </w:rPr>
        <w:t>visc</w:t>
      </w:r>
      <w:r w:rsidR="003B53FD">
        <w:rPr>
          <w:rStyle w:val="italicus"/>
        </w:rPr>
        <w:t>é</w:t>
      </w:r>
      <w:r w:rsidR="003B53FD" w:rsidRPr="000A34B5">
        <w:rPr>
          <w:rStyle w:val="italicus"/>
        </w:rPr>
        <w:t>ribus</w:t>
      </w:r>
      <w:r w:rsidRPr="002C4077">
        <w:t xml:space="preserve"> </w:t>
      </w:r>
      <w:r w:rsidRPr="000A34B5">
        <w:rPr>
          <w:rStyle w:val="italicus"/>
        </w:rPr>
        <w:t>virg</w:t>
      </w:r>
      <w:r w:rsidR="00CE33FA">
        <w:rPr>
          <w:rStyle w:val="italicus"/>
        </w:rPr>
        <w:t>í</w:t>
      </w:r>
      <w:r w:rsidRPr="000A34B5">
        <w:rPr>
          <w:rStyle w:val="italicus"/>
        </w:rPr>
        <w:t>neis</w:t>
      </w:r>
      <w:r w:rsidR="00B91AF7">
        <w:rPr>
          <w:rStyle w:val="Appelnotedebasdep"/>
          <w:i/>
        </w:rPr>
        <w:footnoteReference w:id="169"/>
      </w:r>
      <w:r w:rsidR="00B546AF">
        <w:t> ;</w:t>
      </w:r>
      <w:r w:rsidRPr="002C4077">
        <w:t xml:space="preserve"> </w:t>
      </w:r>
      <w:r>
        <w:t>cela</w:t>
      </w:r>
      <w:r w:rsidRPr="002C4077">
        <w:t xml:space="preserve"> </w:t>
      </w:r>
      <w:r>
        <w:t>ressort</w:t>
      </w:r>
      <w:r w:rsidRPr="002C4077">
        <w:t xml:space="preserve"> </w:t>
      </w:r>
      <w:r>
        <w:t>clairement</w:t>
      </w:r>
      <w:r w:rsidRPr="002C4077">
        <w:t xml:space="preserve"> </w:t>
      </w:r>
      <w:r>
        <w:t>du</w:t>
      </w:r>
      <w:r w:rsidRPr="002C4077">
        <w:t xml:space="preserve"> </w:t>
      </w:r>
      <w:r>
        <w:t>contexte,</w:t>
      </w:r>
      <w:r w:rsidRPr="002C4077">
        <w:t xml:space="preserve"> </w:t>
      </w:r>
      <w:r>
        <w:t>qui</w:t>
      </w:r>
      <w:r w:rsidRPr="002C4077">
        <w:t xml:space="preserve"> </w:t>
      </w:r>
      <w:r>
        <w:t>non-seulement</w:t>
      </w:r>
      <w:r w:rsidRPr="002C4077">
        <w:t xml:space="preserve"> </w:t>
      </w:r>
      <w:r>
        <w:t>ne</w:t>
      </w:r>
      <w:r w:rsidRPr="002C4077">
        <w:t xml:space="preserve"> </w:t>
      </w:r>
      <w:r>
        <w:t>mentionne</w:t>
      </w:r>
      <w:r w:rsidRPr="002C4077">
        <w:t xml:space="preserve"> </w:t>
      </w:r>
      <w:r>
        <w:t>pas</w:t>
      </w:r>
      <w:r w:rsidRPr="002C4077">
        <w:t xml:space="preserve"> </w:t>
      </w:r>
      <w:r>
        <w:t>de</w:t>
      </w:r>
      <w:r w:rsidRPr="002C4077">
        <w:t xml:space="preserve"> </w:t>
      </w:r>
      <w:r>
        <w:t>père</w:t>
      </w:r>
      <w:r w:rsidRPr="002C4077">
        <w:t xml:space="preserve"> </w:t>
      </w:r>
      <w:r>
        <w:t>humain,</w:t>
      </w:r>
      <w:r w:rsidRPr="002C4077">
        <w:t xml:space="preserve"> </w:t>
      </w:r>
      <w:r>
        <w:t>mais</w:t>
      </w:r>
      <w:r w:rsidRPr="002C4077">
        <w:t xml:space="preserve"> </w:t>
      </w:r>
      <w:r>
        <w:t>qui</w:t>
      </w:r>
      <w:r w:rsidRPr="002C4077">
        <w:t xml:space="preserve"> </w:t>
      </w:r>
      <w:r>
        <w:t>affirme</w:t>
      </w:r>
      <w:r w:rsidRPr="002C4077">
        <w:t xml:space="preserve"> </w:t>
      </w:r>
      <w:r>
        <w:t>en</w:t>
      </w:r>
      <w:r w:rsidRPr="002C4077">
        <w:t xml:space="preserve"> </w:t>
      </w:r>
      <w:r>
        <w:t>termes</w:t>
      </w:r>
      <w:r w:rsidRPr="002C4077">
        <w:t xml:space="preserve"> </w:t>
      </w:r>
      <w:r>
        <w:t>exprès</w:t>
      </w:r>
      <w:r w:rsidRPr="002C4077">
        <w:t xml:space="preserve"> </w:t>
      </w:r>
      <w:r>
        <w:t>que</w:t>
      </w:r>
      <w:r w:rsidRPr="002C4077">
        <w:t xml:space="preserve"> </w:t>
      </w:r>
      <w:r>
        <w:t>l’origine</w:t>
      </w:r>
      <w:r w:rsidRPr="002C4077">
        <w:t xml:space="preserve"> </w:t>
      </w:r>
      <w:r>
        <w:t>du</w:t>
      </w:r>
      <w:r w:rsidRPr="002C4077">
        <w:t xml:space="preserve"> </w:t>
      </w:r>
      <w:r>
        <w:t>fils</w:t>
      </w:r>
      <w:r w:rsidRPr="002C4077">
        <w:t xml:space="preserve"> </w:t>
      </w:r>
      <w:r>
        <w:t>de</w:t>
      </w:r>
      <w:r w:rsidRPr="002C4077">
        <w:t xml:space="preserve"> </w:t>
      </w:r>
      <w:r>
        <w:t>la</w:t>
      </w:r>
      <w:r w:rsidRPr="002C4077">
        <w:t xml:space="preserve"> </w:t>
      </w:r>
      <w:r w:rsidRPr="000A34B5">
        <w:rPr>
          <w:rStyle w:val="italicus"/>
        </w:rPr>
        <w:t>iolédah</w:t>
      </w:r>
      <w:r w:rsidRPr="002C4077">
        <w:t xml:space="preserve"> </w:t>
      </w:r>
      <w:r>
        <w:t>sera</w:t>
      </w:r>
      <w:r w:rsidRPr="002C4077">
        <w:t xml:space="preserve"> </w:t>
      </w:r>
      <w:r w:rsidR="00B546AF">
        <w:t>« </w:t>
      </w:r>
      <w:r>
        <w:t>ab</w:t>
      </w:r>
      <w:r w:rsidRPr="002C4077">
        <w:t xml:space="preserve"> </w:t>
      </w:r>
      <w:r>
        <w:t>in</w:t>
      </w:r>
      <w:r w:rsidR="003B53FD">
        <w:t>ítio</w:t>
      </w:r>
      <w:r>
        <w:t>,</w:t>
      </w:r>
      <w:r w:rsidRPr="002C4077">
        <w:t xml:space="preserve"> </w:t>
      </w:r>
      <w:r>
        <w:t>ex</w:t>
      </w:r>
      <w:r w:rsidR="00CE33FA" w:rsidRPr="002C4077">
        <w:t xml:space="preserve"> </w:t>
      </w:r>
      <w:r>
        <w:t>di</w:t>
      </w:r>
      <w:r w:rsidR="003B53FD">
        <w:t>ébus</w:t>
      </w:r>
      <w:r w:rsidRPr="002C4077">
        <w:t xml:space="preserve"> </w:t>
      </w:r>
      <w:r>
        <w:t>æter</w:t>
      </w:r>
      <w:r w:rsidR="003B53FD">
        <w:t>nitátis</w:t>
      </w:r>
      <w:r w:rsidR="00B546AF">
        <w:t> »</w:t>
      </w:r>
      <w:r>
        <w:t>.</w:t>
      </w:r>
      <w:r w:rsidRPr="002C4077">
        <w:t xml:space="preserve"> </w:t>
      </w:r>
      <w:r>
        <w:t>Si</w:t>
      </w:r>
      <w:r w:rsidRPr="002C4077">
        <w:t xml:space="preserve"> </w:t>
      </w:r>
      <w:r>
        <w:t>l’expression</w:t>
      </w:r>
      <w:r w:rsidRPr="002C4077">
        <w:t xml:space="preserve"> </w:t>
      </w:r>
      <w:r>
        <w:t>de</w:t>
      </w:r>
      <w:r w:rsidRPr="002C4077">
        <w:t xml:space="preserve"> </w:t>
      </w:r>
      <w:r>
        <w:t>Michée</w:t>
      </w:r>
      <w:r w:rsidRPr="002C4077">
        <w:t xml:space="preserve"> </w:t>
      </w:r>
      <w:r w:rsidR="00425C50">
        <w:t>est</w:t>
      </w:r>
      <w:r w:rsidRPr="002C4077">
        <w:t xml:space="preserve"> </w:t>
      </w:r>
      <w:r>
        <w:t>moins</w:t>
      </w:r>
      <w:r w:rsidRPr="002C4077">
        <w:t xml:space="preserve"> </w:t>
      </w:r>
      <w:r>
        <w:t>forte,</w:t>
      </w:r>
      <w:r w:rsidRPr="002C4077">
        <w:t xml:space="preserve"> </w:t>
      </w:r>
      <w:r>
        <w:t>moins</w:t>
      </w:r>
      <w:r w:rsidRPr="002C4077">
        <w:t xml:space="preserve"> </w:t>
      </w:r>
      <w:r>
        <w:t>nette</w:t>
      </w:r>
      <w:r w:rsidRPr="002C4077">
        <w:t xml:space="preserve"> </w:t>
      </w:r>
      <w:r>
        <w:t>que</w:t>
      </w:r>
      <w:r w:rsidRPr="002C4077">
        <w:t xml:space="preserve"> </w:t>
      </w:r>
      <w:r>
        <w:t>celle</w:t>
      </w:r>
      <w:r w:rsidRPr="002C4077">
        <w:t xml:space="preserve"> </w:t>
      </w:r>
      <w:r>
        <w:t>d’Isaïe,</w:t>
      </w:r>
      <w:r w:rsidRPr="002C4077">
        <w:t xml:space="preserve"> </w:t>
      </w:r>
      <w:r>
        <w:t>cela</w:t>
      </w:r>
      <w:r w:rsidRPr="002C4077">
        <w:t xml:space="preserve"> </w:t>
      </w:r>
      <w:r>
        <w:t>vient</w:t>
      </w:r>
      <w:r w:rsidRPr="002C4077">
        <w:t xml:space="preserve"> </w:t>
      </w:r>
      <w:r>
        <w:t>précisément</w:t>
      </w:r>
      <w:r w:rsidRPr="002C4077">
        <w:t xml:space="preserve"> </w:t>
      </w:r>
      <w:r>
        <w:t>de</w:t>
      </w:r>
      <w:r w:rsidRPr="002C4077">
        <w:t xml:space="preserve"> </w:t>
      </w:r>
      <w:r>
        <w:t>ce</w:t>
      </w:r>
      <w:r w:rsidRPr="002C4077">
        <w:t xml:space="preserve"> </w:t>
      </w:r>
      <w:r>
        <w:t>que</w:t>
      </w:r>
      <w:r w:rsidRPr="002C4077">
        <w:t xml:space="preserve"> </w:t>
      </w:r>
      <w:r>
        <w:t>l’oracle</w:t>
      </w:r>
      <w:r w:rsidRPr="002C4077">
        <w:t xml:space="preserve"> </w:t>
      </w:r>
      <w:r>
        <w:t>relatif</w:t>
      </w:r>
      <w:r w:rsidRPr="002C4077">
        <w:t xml:space="preserve"> </w:t>
      </w:r>
      <w:r>
        <w:t>à</w:t>
      </w:r>
      <w:r w:rsidRPr="002C4077">
        <w:t xml:space="preserve"> </w:t>
      </w:r>
      <w:r>
        <w:t>la</w:t>
      </w:r>
      <w:r w:rsidRPr="002C4077">
        <w:t xml:space="preserve"> </w:t>
      </w:r>
      <w:r w:rsidRPr="000A34B5">
        <w:rPr>
          <w:rStyle w:val="italicus"/>
        </w:rPr>
        <w:t>iolédah</w:t>
      </w:r>
      <w:r w:rsidRPr="002C4077">
        <w:t xml:space="preserve"> </w:t>
      </w:r>
      <w:r>
        <w:t>suppose</w:t>
      </w:r>
      <w:r w:rsidRPr="002C4077">
        <w:t xml:space="preserve"> </w:t>
      </w:r>
      <w:r w:rsidR="003B53FD">
        <w:t>celui</w:t>
      </w:r>
      <w:r w:rsidRPr="002C4077">
        <w:t xml:space="preserve"> </w:t>
      </w:r>
      <w:r>
        <w:t>qui</w:t>
      </w:r>
      <w:r w:rsidRPr="002C4077">
        <w:t xml:space="preserve"> </w:t>
      </w:r>
      <w:r>
        <w:t>concernait</w:t>
      </w:r>
      <w:r w:rsidRPr="002C4077">
        <w:t xml:space="preserve"> </w:t>
      </w:r>
      <w:r w:rsidR="00D40830" w:rsidRPr="00D40830">
        <w:t>l’</w:t>
      </w:r>
      <w:r w:rsidR="00D40830" w:rsidRPr="00D05EA9">
        <w:rPr>
          <w:rStyle w:val="italicus"/>
        </w:rPr>
        <w:t>῾almah</w:t>
      </w:r>
      <w:r w:rsidRPr="000A34B5">
        <w:rPr>
          <w:rStyle w:val="italicus"/>
        </w:rPr>
        <w:t>,</w:t>
      </w:r>
      <w:r w:rsidRPr="002C4077">
        <w:t xml:space="preserve"> </w:t>
      </w:r>
      <w:r>
        <w:t>et</w:t>
      </w:r>
      <w:r w:rsidRPr="002C4077">
        <w:t xml:space="preserve"> </w:t>
      </w:r>
      <w:r>
        <w:t>se</w:t>
      </w:r>
      <w:r w:rsidRPr="002C4077">
        <w:t xml:space="preserve"> </w:t>
      </w:r>
      <w:r>
        <w:t>borne</w:t>
      </w:r>
      <w:r w:rsidRPr="002C4077">
        <w:t xml:space="preserve"> </w:t>
      </w:r>
      <w:r>
        <w:t>à</w:t>
      </w:r>
      <w:r w:rsidRPr="002C4077">
        <w:t xml:space="preserve"> </w:t>
      </w:r>
      <w:r>
        <w:t>y</w:t>
      </w:r>
      <w:r w:rsidRPr="002C4077">
        <w:t xml:space="preserve"> </w:t>
      </w:r>
      <w:r>
        <w:t>faire</w:t>
      </w:r>
      <w:r w:rsidRPr="002C4077">
        <w:t xml:space="preserve"> </w:t>
      </w:r>
      <w:r>
        <w:t>allusion</w:t>
      </w:r>
      <w:r w:rsidRPr="002C4077">
        <w:t xml:space="preserve"> </w:t>
      </w:r>
      <w:r>
        <w:t>comme</w:t>
      </w:r>
      <w:r w:rsidRPr="002C4077">
        <w:t xml:space="preserve"> </w:t>
      </w:r>
      <w:r>
        <w:t>à</w:t>
      </w:r>
      <w:r w:rsidRPr="002C4077">
        <w:t xml:space="preserve"> </w:t>
      </w:r>
      <w:r>
        <w:t>une</w:t>
      </w:r>
      <w:r w:rsidRPr="002C4077">
        <w:t xml:space="preserve"> </w:t>
      </w:r>
      <w:r>
        <w:t>chose</w:t>
      </w:r>
      <w:r w:rsidRPr="002C4077">
        <w:t xml:space="preserve"> </w:t>
      </w:r>
      <w:r>
        <w:t>bien</w:t>
      </w:r>
      <w:r w:rsidRPr="002C4077">
        <w:t xml:space="preserve"> </w:t>
      </w:r>
      <w:r>
        <w:t>connue.</w:t>
      </w:r>
      <w:r w:rsidRPr="002C4077">
        <w:t xml:space="preserve"> </w:t>
      </w:r>
      <w:r w:rsidR="00B546AF">
        <w:t>« </w:t>
      </w:r>
      <w:r w:rsidR="003B53FD">
        <w:t>Cum</w:t>
      </w:r>
      <w:r w:rsidRPr="002C4077">
        <w:t xml:space="preserve"> </w:t>
      </w:r>
      <w:r>
        <w:t>Michas</w:t>
      </w:r>
      <w:r w:rsidRPr="002C4077">
        <w:t xml:space="preserve"> </w:t>
      </w:r>
      <w:r w:rsidR="00CE33FA">
        <w:t>Jesaíæ</w:t>
      </w:r>
      <w:r w:rsidRPr="002C4077">
        <w:t xml:space="preserve"> </w:t>
      </w:r>
      <w:r w:rsidR="00CE33FA" w:rsidRPr="00CE33FA">
        <w:t>σύγχρονος</w:t>
      </w:r>
      <w:r w:rsidRPr="004440EA">
        <w:t xml:space="preserve"> (</w:t>
      </w:r>
      <w:r>
        <w:t>contemporain</w:t>
      </w:r>
      <w:r w:rsidR="00B546AF" w:rsidRPr="002C4077">
        <w:t>)</w:t>
      </w:r>
      <w:r w:rsidRPr="002C4077">
        <w:t xml:space="preserve"> </w:t>
      </w:r>
      <w:r>
        <w:t>f</w:t>
      </w:r>
      <w:r w:rsidR="003B53FD">
        <w:t>úerit</w:t>
      </w:r>
      <w:r>
        <w:t>,</w:t>
      </w:r>
      <w:r w:rsidRPr="002C4077">
        <w:t xml:space="preserve"> </w:t>
      </w:r>
      <w:r>
        <w:t>ipso</w:t>
      </w:r>
      <w:r w:rsidRPr="002C4077">
        <w:t xml:space="preserve"> </w:t>
      </w:r>
      <w:r>
        <w:t>tamen</w:t>
      </w:r>
      <w:r w:rsidRPr="002C4077">
        <w:t xml:space="preserve"> </w:t>
      </w:r>
      <w:r>
        <w:t>post</w:t>
      </w:r>
      <w:r w:rsidR="003B53FD">
        <w:t>érior</w:t>
      </w:r>
      <w:r>
        <w:t>,</w:t>
      </w:r>
      <w:r w:rsidRPr="002C4077">
        <w:t xml:space="preserve"> </w:t>
      </w:r>
      <w:r>
        <w:t>et</w:t>
      </w:r>
      <w:r w:rsidRPr="002C4077">
        <w:t xml:space="preserve"> </w:t>
      </w:r>
      <w:r>
        <w:t>in</w:t>
      </w:r>
      <w:r w:rsidRPr="002C4077">
        <w:t xml:space="preserve"> </w:t>
      </w:r>
      <w:r>
        <w:t>pr</w:t>
      </w:r>
      <w:r w:rsidR="003B53FD">
        <w:t>ophetía</w:t>
      </w:r>
      <w:r w:rsidRPr="002C4077">
        <w:t xml:space="preserve"> </w:t>
      </w:r>
      <w:r>
        <w:t>non</w:t>
      </w:r>
      <w:r w:rsidRPr="002C4077">
        <w:t xml:space="preserve"> </w:t>
      </w:r>
      <w:r>
        <w:t>semel</w:t>
      </w:r>
      <w:r w:rsidRPr="002C4077">
        <w:t xml:space="preserve"> </w:t>
      </w:r>
      <w:r>
        <w:t>all</w:t>
      </w:r>
      <w:r w:rsidR="00CE33FA">
        <w:t>ú</w:t>
      </w:r>
      <w:r>
        <w:t>serit</w:t>
      </w:r>
      <w:r w:rsidRPr="002C4077">
        <w:t xml:space="preserve"> </w:t>
      </w:r>
      <w:r>
        <w:t>ad</w:t>
      </w:r>
      <w:r w:rsidRPr="002C4077">
        <w:t xml:space="preserve"> </w:t>
      </w:r>
      <w:r>
        <w:t>pr</w:t>
      </w:r>
      <w:r w:rsidR="003B53FD">
        <w:t>ophetíam</w:t>
      </w:r>
      <w:r w:rsidRPr="002C4077">
        <w:t xml:space="preserve"> </w:t>
      </w:r>
      <w:r w:rsidR="00CE33FA">
        <w:t>Jesaíæ</w:t>
      </w:r>
      <w:r>
        <w:t>,</w:t>
      </w:r>
      <w:r w:rsidRPr="002C4077">
        <w:t xml:space="preserve"> </w:t>
      </w:r>
      <w:r w:rsidR="00CE33FA">
        <w:t>ejúsque</w:t>
      </w:r>
      <w:r w:rsidRPr="002C4077">
        <w:t xml:space="preserve"> </w:t>
      </w:r>
      <w:r w:rsidR="003B53FD">
        <w:t>étiam</w:t>
      </w:r>
      <w:r w:rsidRPr="002C4077">
        <w:t xml:space="preserve"> </w:t>
      </w:r>
      <w:r>
        <w:t>verbis</w:t>
      </w:r>
      <w:r w:rsidRPr="002C4077">
        <w:t xml:space="preserve"> </w:t>
      </w:r>
      <w:r>
        <w:t>et</w:t>
      </w:r>
      <w:r w:rsidRPr="002C4077">
        <w:t xml:space="preserve"> </w:t>
      </w:r>
      <w:r>
        <w:t>phr</w:t>
      </w:r>
      <w:r w:rsidR="003B53FD">
        <w:t>ásibus</w:t>
      </w:r>
      <w:r w:rsidRPr="002C4077">
        <w:t xml:space="preserve"> </w:t>
      </w:r>
      <w:r>
        <w:t>usus</w:t>
      </w:r>
      <w:r w:rsidRPr="002C4077">
        <w:t xml:space="preserve"> </w:t>
      </w:r>
      <w:r>
        <w:t>sit,</w:t>
      </w:r>
      <w:r w:rsidRPr="002C4077">
        <w:t xml:space="preserve"> </w:t>
      </w:r>
      <w:r>
        <w:t>non</w:t>
      </w:r>
      <w:r w:rsidRPr="002C4077">
        <w:t xml:space="preserve"> </w:t>
      </w:r>
      <w:r>
        <w:t>licet</w:t>
      </w:r>
      <w:r w:rsidRPr="002C4077">
        <w:t xml:space="preserve"> </w:t>
      </w:r>
      <w:r>
        <w:t>du</w:t>
      </w:r>
      <w:r w:rsidR="003B53FD">
        <w:t>bitáre</w:t>
      </w:r>
      <w:r w:rsidRPr="002C4077">
        <w:t xml:space="preserve"> </w:t>
      </w:r>
      <w:r>
        <w:t>quin</w:t>
      </w:r>
      <w:r w:rsidRPr="002C4077">
        <w:t xml:space="preserve"> </w:t>
      </w:r>
      <w:r>
        <w:t>verba</w:t>
      </w:r>
      <w:r w:rsidRPr="002C4077">
        <w:t xml:space="preserve"> </w:t>
      </w:r>
      <w:r>
        <w:t>hæc</w:t>
      </w:r>
      <w:r w:rsidRPr="002C4077">
        <w:t xml:space="preserve"> </w:t>
      </w:r>
      <w:r w:rsidR="00CE33FA">
        <w:t>mýstica</w:t>
      </w:r>
      <w:r w:rsidRPr="002C4077">
        <w:t xml:space="preserve"> </w:t>
      </w:r>
      <w:r w:rsidR="00CE33FA">
        <w:t>respíciant</w:t>
      </w:r>
      <w:r w:rsidRPr="002C4077">
        <w:t xml:space="preserve"> </w:t>
      </w:r>
      <w:r w:rsidR="00CE33FA">
        <w:t>áliquam</w:t>
      </w:r>
      <w:r w:rsidRPr="002C4077">
        <w:t xml:space="preserve"> </w:t>
      </w:r>
      <w:r w:rsidR="00CE33FA">
        <w:t>Jesaíæ</w:t>
      </w:r>
      <w:r w:rsidRPr="002C4077">
        <w:t xml:space="preserve"> </w:t>
      </w:r>
      <w:r>
        <w:t>pr</w:t>
      </w:r>
      <w:r w:rsidR="003B53FD">
        <w:t>ophetíam</w:t>
      </w:r>
      <w:r>
        <w:t>,</w:t>
      </w:r>
      <w:r w:rsidRPr="002C4077">
        <w:t xml:space="preserve"> </w:t>
      </w:r>
      <w:r>
        <w:t>in</w:t>
      </w:r>
      <w:r w:rsidRPr="002C4077">
        <w:t xml:space="preserve"> </w:t>
      </w:r>
      <w:r>
        <w:t>qua</w:t>
      </w:r>
      <w:r w:rsidRPr="002C4077">
        <w:t xml:space="preserve"> </w:t>
      </w:r>
      <w:r>
        <w:t>facta</w:t>
      </w:r>
      <w:r w:rsidRPr="002C4077">
        <w:t xml:space="preserve"> </w:t>
      </w:r>
      <w:r>
        <w:t>erat</w:t>
      </w:r>
      <w:r w:rsidRPr="002C4077">
        <w:t xml:space="preserve"> </w:t>
      </w:r>
      <w:r>
        <w:t>m</w:t>
      </w:r>
      <w:r w:rsidR="003B53FD">
        <w:t>éntio</w:t>
      </w:r>
      <w:r w:rsidRPr="002C4077">
        <w:t xml:space="preserve"> </w:t>
      </w:r>
      <w:r>
        <w:t>nobil</w:t>
      </w:r>
      <w:r w:rsidR="003B53FD">
        <w:t>íssimi</w:t>
      </w:r>
      <w:r w:rsidRPr="002C4077">
        <w:t xml:space="preserve"> </w:t>
      </w:r>
      <w:r>
        <w:lastRenderedPageBreak/>
        <w:t>a</w:t>
      </w:r>
      <w:r w:rsidR="003B53FD">
        <w:t>licújus</w:t>
      </w:r>
      <w:r w:rsidRPr="002C4077">
        <w:t xml:space="preserve"> </w:t>
      </w:r>
      <w:r>
        <w:t>partus,</w:t>
      </w:r>
      <w:r w:rsidRPr="002C4077">
        <w:t xml:space="preserve"> </w:t>
      </w:r>
      <w:r>
        <w:t>cum</w:t>
      </w:r>
      <w:r w:rsidRPr="002C4077">
        <w:t xml:space="preserve"> </w:t>
      </w:r>
      <w:r>
        <w:t>quo</w:t>
      </w:r>
      <w:r w:rsidRPr="002C4077">
        <w:t xml:space="preserve"> </w:t>
      </w:r>
      <w:r w:rsidR="00CE33FA">
        <w:t>exspectánda</w:t>
      </w:r>
      <w:r w:rsidRPr="002C4077">
        <w:t xml:space="preserve"> </w:t>
      </w:r>
      <w:r>
        <w:t>esset</w:t>
      </w:r>
      <w:r w:rsidRPr="002C4077">
        <w:t xml:space="preserve"> </w:t>
      </w:r>
      <w:r>
        <w:t>liber</w:t>
      </w:r>
      <w:r w:rsidR="003B53FD">
        <w:t>átio</w:t>
      </w:r>
      <w:r w:rsidRPr="002C4077">
        <w:t xml:space="preserve"> </w:t>
      </w:r>
      <w:r>
        <w:t>et</w:t>
      </w:r>
      <w:r w:rsidRPr="002C4077">
        <w:t xml:space="preserve"> </w:t>
      </w:r>
      <w:r>
        <w:t>salus</w:t>
      </w:r>
      <w:r w:rsidRPr="002C4077">
        <w:t xml:space="preserve"> </w:t>
      </w:r>
      <w:r w:rsidR="00CE33FA">
        <w:t>Ecclésiæ</w:t>
      </w:r>
      <w:r w:rsidR="00CE33FA">
        <w:rPr>
          <w:rStyle w:val="Appelnotedebasdep"/>
        </w:rPr>
        <w:footnoteReference w:id="170"/>
      </w:r>
      <w:r w:rsidR="00B546AF">
        <w:t> »</w:t>
      </w:r>
      <w:r>
        <w:t>.</w:t>
      </w:r>
      <w:r w:rsidRPr="002C4077">
        <w:t xml:space="preserve"> </w:t>
      </w:r>
      <w:r>
        <w:t>Ajoutons</w:t>
      </w:r>
      <w:r w:rsidRPr="002C4077">
        <w:t xml:space="preserve"> </w:t>
      </w:r>
      <w:r>
        <w:t>avec</w:t>
      </w:r>
      <w:r w:rsidRPr="002C4077">
        <w:t xml:space="preserve"> </w:t>
      </w:r>
      <w:r w:rsidR="00CE33FA">
        <w:t>Rosenmüller</w:t>
      </w:r>
      <w:r w:rsidRPr="002C4077">
        <w:t xml:space="preserve"> </w:t>
      </w:r>
      <w:r>
        <w:t>que</w:t>
      </w:r>
      <w:r w:rsidRPr="002C4077">
        <w:t xml:space="preserve"> </w:t>
      </w:r>
      <w:r>
        <w:t>les</w:t>
      </w:r>
      <w:r w:rsidRPr="002C4077">
        <w:t xml:space="preserve"> </w:t>
      </w:r>
      <w:r>
        <w:t>deux</w:t>
      </w:r>
      <w:r w:rsidRPr="002C4077">
        <w:t xml:space="preserve"> </w:t>
      </w:r>
      <w:r>
        <w:t>prophéties</w:t>
      </w:r>
      <w:r w:rsidRPr="002C4077">
        <w:t xml:space="preserve"> </w:t>
      </w:r>
      <w:r>
        <w:t>se</w:t>
      </w:r>
      <w:r w:rsidRPr="002C4077">
        <w:t xml:space="preserve"> </w:t>
      </w:r>
      <w:r>
        <w:t>complètent</w:t>
      </w:r>
      <w:r w:rsidRPr="002C4077">
        <w:t xml:space="preserve"> </w:t>
      </w:r>
      <w:r>
        <w:t>et</w:t>
      </w:r>
      <w:r w:rsidRPr="002C4077">
        <w:t xml:space="preserve"> </w:t>
      </w:r>
      <w:r>
        <w:t>s’éclairent</w:t>
      </w:r>
      <w:r w:rsidRPr="002C4077">
        <w:t xml:space="preserve"> </w:t>
      </w:r>
      <w:r>
        <w:t>mutuellement.</w:t>
      </w:r>
      <w:r w:rsidRPr="002C4077">
        <w:t xml:space="preserve"> </w:t>
      </w:r>
      <w:r>
        <w:t>Leur</w:t>
      </w:r>
      <w:r w:rsidRPr="002C4077">
        <w:t xml:space="preserve"> </w:t>
      </w:r>
      <w:r>
        <w:t>ressemblance</w:t>
      </w:r>
      <w:r w:rsidRPr="002C4077">
        <w:t xml:space="preserve"> </w:t>
      </w:r>
      <w:r w:rsidR="00425C50">
        <w:t>est</w:t>
      </w:r>
      <w:r w:rsidRPr="002C4077">
        <w:t xml:space="preserve"> </w:t>
      </w:r>
      <w:r>
        <w:t>d’ailleurs</w:t>
      </w:r>
      <w:r w:rsidRPr="002C4077">
        <w:t xml:space="preserve"> </w:t>
      </w:r>
      <w:r>
        <w:t>tout</w:t>
      </w:r>
      <w:r w:rsidRPr="002C4077">
        <w:t xml:space="preserve"> </w:t>
      </w:r>
      <w:r>
        <w:t>à</w:t>
      </w:r>
      <w:r w:rsidRPr="002C4077">
        <w:t xml:space="preserve"> </w:t>
      </w:r>
      <w:r>
        <w:t>fait</w:t>
      </w:r>
      <w:r w:rsidRPr="002C4077">
        <w:t xml:space="preserve"> </w:t>
      </w:r>
      <w:r>
        <w:t>remarquable</w:t>
      </w:r>
      <w:r w:rsidR="00B546AF">
        <w:t> :</w:t>
      </w:r>
      <w:r w:rsidRPr="002C4077">
        <w:t xml:space="preserve"> </w:t>
      </w:r>
      <w:r>
        <w:t>de</w:t>
      </w:r>
      <w:r w:rsidRPr="002C4077">
        <w:t xml:space="preserve"> </w:t>
      </w:r>
      <w:r>
        <w:t>part</w:t>
      </w:r>
      <w:r w:rsidRPr="002C4077">
        <w:t xml:space="preserve"> </w:t>
      </w:r>
      <w:r>
        <w:t>et</w:t>
      </w:r>
      <w:r w:rsidRPr="002C4077">
        <w:t xml:space="preserve"> </w:t>
      </w:r>
      <w:r>
        <w:t>d’autre,</w:t>
      </w:r>
      <w:r w:rsidRPr="002C4077">
        <w:t xml:space="preserve"> </w:t>
      </w:r>
      <w:r>
        <w:t>de</w:t>
      </w:r>
      <w:r w:rsidRPr="002C4077">
        <w:t xml:space="preserve"> </w:t>
      </w:r>
      <w:r>
        <w:t>rudes</w:t>
      </w:r>
      <w:r w:rsidRPr="002C4077">
        <w:t xml:space="preserve"> </w:t>
      </w:r>
      <w:r>
        <w:t>épreuves</w:t>
      </w:r>
      <w:r w:rsidRPr="002C4077">
        <w:t xml:space="preserve"> </w:t>
      </w:r>
      <w:r>
        <w:t>sont</w:t>
      </w:r>
      <w:r w:rsidRPr="002C4077">
        <w:t xml:space="preserve"> </w:t>
      </w:r>
      <w:r>
        <w:t>annoncées</w:t>
      </w:r>
      <w:r w:rsidRPr="002C4077">
        <w:t xml:space="preserve"> </w:t>
      </w:r>
      <w:r>
        <w:t>comme</w:t>
      </w:r>
      <w:r w:rsidRPr="002C4077">
        <w:t xml:space="preserve"> </w:t>
      </w:r>
      <w:r>
        <w:t>devant</w:t>
      </w:r>
      <w:r w:rsidRPr="002C4077">
        <w:t xml:space="preserve"> </w:t>
      </w:r>
      <w:r>
        <w:t>précéder</w:t>
      </w:r>
      <w:r w:rsidRPr="002C4077">
        <w:t xml:space="preserve"> </w:t>
      </w:r>
      <w:r>
        <w:t>la</w:t>
      </w:r>
      <w:r w:rsidRPr="002C4077">
        <w:t xml:space="preserve"> </w:t>
      </w:r>
      <w:r>
        <w:t>merveilleuse</w:t>
      </w:r>
      <w:r w:rsidRPr="002C4077">
        <w:t xml:space="preserve"> </w:t>
      </w:r>
      <w:r>
        <w:t>naissance</w:t>
      </w:r>
      <w:r w:rsidRPr="002C4077">
        <w:t xml:space="preserve"> </w:t>
      </w:r>
      <w:r>
        <w:t>de</w:t>
      </w:r>
      <w:r w:rsidRPr="002C4077">
        <w:t xml:space="preserve"> </w:t>
      </w:r>
      <w:r>
        <w:t>l’Enfant</w:t>
      </w:r>
      <w:r w:rsidR="00B546AF">
        <w:t> ;</w:t>
      </w:r>
      <w:r w:rsidRPr="002C4077">
        <w:t xml:space="preserve"> </w:t>
      </w:r>
      <w:r>
        <w:t>de</w:t>
      </w:r>
      <w:r w:rsidRPr="002C4077">
        <w:t xml:space="preserve"> </w:t>
      </w:r>
      <w:r>
        <w:t>part</w:t>
      </w:r>
      <w:r w:rsidRPr="002C4077">
        <w:t xml:space="preserve"> </w:t>
      </w:r>
      <w:r>
        <w:t>et</w:t>
      </w:r>
      <w:r w:rsidRPr="002C4077">
        <w:t xml:space="preserve"> </w:t>
      </w:r>
      <w:r>
        <w:t>d’autre,</w:t>
      </w:r>
      <w:r w:rsidRPr="002C4077">
        <w:t xml:space="preserve"> </w:t>
      </w:r>
      <w:r>
        <w:t>sa</w:t>
      </w:r>
      <w:r w:rsidRPr="002C4077">
        <w:t xml:space="preserve"> </w:t>
      </w:r>
      <w:r>
        <w:t>nature</w:t>
      </w:r>
      <w:r w:rsidRPr="002C4077">
        <w:t xml:space="preserve"> </w:t>
      </w:r>
      <w:r>
        <w:t>divine</w:t>
      </w:r>
      <w:r w:rsidRPr="002C4077">
        <w:t xml:space="preserve"> </w:t>
      </w:r>
      <w:r w:rsidR="00425C50">
        <w:t>est</w:t>
      </w:r>
      <w:r w:rsidRPr="002C4077">
        <w:t xml:space="preserve"> </w:t>
      </w:r>
      <w:r>
        <w:t>opposée</w:t>
      </w:r>
      <w:r w:rsidRPr="002C4077">
        <w:t xml:space="preserve"> </w:t>
      </w:r>
      <w:r>
        <w:t>à</w:t>
      </w:r>
      <w:r w:rsidRPr="002C4077">
        <w:t xml:space="preserve"> </w:t>
      </w:r>
      <w:r>
        <w:t>son</w:t>
      </w:r>
      <w:r w:rsidRPr="002C4077">
        <w:t xml:space="preserve"> </w:t>
      </w:r>
      <w:r>
        <w:t>origine</w:t>
      </w:r>
      <w:r w:rsidRPr="002C4077">
        <w:t xml:space="preserve"> </w:t>
      </w:r>
      <w:r>
        <w:t>humaine.</w:t>
      </w:r>
      <w:r w:rsidR="00C45B47">
        <w:t xml:space="preserve"> {</w:t>
      </w:r>
      <w:r w:rsidR="000721C4">
        <w:t>58</w:t>
      </w:r>
      <w:bookmarkStart w:id="195" w:name="p058"/>
      <w:bookmarkEnd w:id="195"/>
      <w:r w:rsidR="000721C4">
        <w:t xml:space="preserve">} </w:t>
      </w:r>
    </w:p>
    <w:p w:rsidR="000A7AAB" w:rsidRDefault="000A7AAB" w:rsidP="000A7AAB">
      <w:r>
        <w:t>Voilà</w:t>
      </w:r>
      <w:r w:rsidRPr="002C4077">
        <w:t xml:space="preserve"> </w:t>
      </w:r>
      <w:r>
        <w:t>la</w:t>
      </w:r>
      <w:r w:rsidRPr="002C4077">
        <w:t xml:space="preserve"> </w:t>
      </w:r>
      <w:r>
        <w:t>tradition</w:t>
      </w:r>
      <w:r w:rsidRPr="002C4077">
        <w:t xml:space="preserve"> </w:t>
      </w:r>
      <w:r>
        <w:t>relative</w:t>
      </w:r>
      <w:r w:rsidRPr="002C4077">
        <w:t xml:space="preserve"> </w:t>
      </w:r>
      <w:r>
        <w:t>à</w:t>
      </w:r>
      <w:r w:rsidRPr="002C4077">
        <w:t xml:space="preserve"> </w:t>
      </w:r>
      <w:r w:rsidR="00D40830" w:rsidRPr="00D40830">
        <w:t>l’</w:t>
      </w:r>
      <w:r w:rsidR="00D40830" w:rsidRPr="00D05EA9">
        <w:rPr>
          <w:rStyle w:val="italicus"/>
        </w:rPr>
        <w:t>῾almah</w:t>
      </w:r>
      <w:r w:rsidRPr="000A34B5">
        <w:rPr>
          <w:rStyle w:val="italicus"/>
        </w:rPr>
        <w:t>.</w:t>
      </w:r>
      <w:r w:rsidRPr="002C4077">
        <w:t xml:space="preserve"> </w:t>
      </w:r>
    </w:p>
    <w:p w:rsidR="000A7AAB" w:rsidRDefault="000A7AAB" w:rsidP="000A7AAB">
      <w:r>
        <w:t>À</w:t>
      </w:r>
      <w:r w:rsidRPr="002C4077">
        <w:t xml:space="preserve"> </w:t>
      </w:r>
      <w:r>
        <w:t>qui</w:t>
      </w:r>
      <w:r w:rsidRPr="002C4077">
        <w:t xml:space="preserve"> </w:t>
      </w:r>
      <w:r>
        <w:t>donne-t-elle</w:t>
      </w:r>
      <w:r w:rsidRPr="002C4077">
        <w:t xml:space="preserve"> </w:t>
      </w:r>
      <w:r>
        <w:t>gain</w:t>
      </w:r>
      <w:r w:rsidRPr="002C4077">
        <w:t xml:space="preserve"> </w:t>
      </w:r>
      <w:r>
        <w:t>de</w:t>
      </w:r>
      <w:r w:rsidRPr="002C4077">
        <w:t xml:space="preserve"> </w:t>
      </w:r>
      <w:r>
        <w:t>cause</w:t>
      </w:r>
      <w:r w:rsidR="00B546AF">
        <w:t> ?</w:t>
      </w:r>
      <w:r w:rsidRPr="002C4077">
        <w:t xml:space="preserve"> </w:t>
      </w:r>
      <w:r>
        <w:t>Aux</w:t>
      </w:r>
      <w:r w:rsidRPr="002C4077">
        <w:t xml:space="preserve"> </w:t>
      </w:r>
      <w:r>
        <w:t>trivialités</w:t>
      </w:r>
      <w:r w:rsidRPr="002C4077">
        <w:t xml:space="preserve"> </w:t>
      </w:r>
      <w:r>
        <w:t>des</w:t>
      </w:r>
      <w:r w:rsidRPr="002C4077">
        <w:t xml:space="preserve"> </w:t>
      </w:r>
      <w:r>
        <w:t>rationalistes</w:t>
      </w:r>
      <w:r w:rsidRPr="002C4077">
        <w:t xml:space="preserve"> </w:t>
      </w:r>
      <w:r>
        <w:t>ou</w:t>
      </w:r>
      <w:r w:rsidRPr="002C4077">
        <w:t xml:space="preserve"> </w:t>
      </w:r>
      <w:r>
        <w:t>à</w:t>
      </w:r>
      <w:r w:rsidRPr="002C4077">
        <w:t xml:space="preserve"> </w:t>
      </w:r>
      <w:r>
        <w:t>l’interprétation</w:t>
      </w:r>
      <w:r w:rsidRPr="002C4077">
        <w:t xml:space="preserve"> </w:t>
      </w:r>
      <w:r>
        <w:t>messianique</w:t>
      </w:r>
      <w:r w:rsidR="00B546AF">
        <w:t> ?</w:t>
      </w:r>
      <w:r w:rsidRPr="002C4077">
        <w:t xml:space="preserve"> </w:t>
      </w:r>
      <w:r>
        <w:t>On</w:t>
      </w:r>
      <w:r w:rsidRPr="002C4077">
        <w:t xml:space="preserve"> </w:t>
      </w:r>
      <w:r>
        <w:t>conçoit</w:t>
      </w:r>
      <w:r w:rsidRPr="002C4077">
        <w:t xml:space="preserve"> </w:t>
      </w:r>
      <w:r>
        <w:t>que</w:t>
      </w:r>
      <w:r w:rsidRPr="002C4077">
        <w:t xml:space="preserve"> </w:t>
      </w:r>
      <w:r>
        <w:t>nos</w:t>
      </w:r>
      <w:r w:rsidRPr="002C4077">
        <w:t xml:space="preserve"> </w:t>
      </w:r>
      <w:r>
        <w:t>adversaires</w:t>
      </w:r>
      <w:r w:rsidRPr="002C4077">
        <w:t xml:space="preserve"> </w:t>
      </w:r>
      <w:r>
        <w:t>tiennent</w:t>
      </w:r>
      <w:r w:rsidRPr="002C4077">
        <w:t xml:space="preserve"> </w:t>
      </w:r>
      <w:r>
        <w:t>à</w:t>
      </w:r>
      <w:r w:rsidRPr="002C4077">
        <w:t xml:space="preserve"> </w:t>
      </w:r>
      <w:r>
        <w:t>en</w:t>
      </w:r>
      <w:r w:rsidRPr="002C4077">
        <w:t xml:space="preserve"> </w:t>
      </w:r>
      <w:r>
        <w:t>faire</w:t>
      </w:r>
      <w:r w:rsidRPr="002C4077">
        <w:t xml:space="preserve"> </w:t>
      </w:r>
      <w:r>
        <w:t>table</w:t>
      </w:r>
      <w:r w:rsidRPr="002C4077">
        <w:t xml:space="preserve"> </w:t>
      </w:r>
      <w:r>
        <w:t>rase,</w:t>
      </w:r>
      <w:r w:rsidRPr="002C4077">
        <w:t xml:space="preserve"> </w:t>
      </w:r>
      <w:r>
        <w:t>car</w:t>
      </w:r>
      <w:r w:rsidRPr="002C4077">
        <w:t xml:space="preserve"> </w:t>
      </w:r>
      <w:r>
        <w:t>elle</w:t>
      </w:r>
      <w:r w:rsidRPr="002C4077">
        <w:t xml:space="preserve"> </w:t>
      </w:r>
      <w:r>
        <w:t>ruine</w:t>
      </w:r>
      <w:r w:rsidRPr="002C4077">
        <w:t xml:space="preserve"> </w:t>
      </w:r>
      <w:r>
        <w:t>totalement</w:t>
      </w:r>
      <w:r w:rsidRPr="002C4077">
        <w:t xml:space="preserve"> </w:t>
      </w:r>
      <w:r>
        <w:t>leur</w:t>
      </w:r>
      <w:r w:rsidRPr="002C4077">
        <w:t xml:space="preserve"> </w:t>
      </w:r>
      <w:r>
        <w:t>système</w:t>
      </w:r>
      <w:bookmarkStart w:id="196" w:name="z_Almah_o14"/>
      <w:bookmarkEnd w:id="196"/>
      <w:r>
        <w:t>.</w:t>
      </w:r>
      <w:r w:rsidRPr="002C4077">
        <w:t xml:space="preserve"> </w:t>
      </w:r>
    </w:p>
    <w:p w:rsidR="002A5E7A" w:rsidRDefault="002A5E7A" w:rsidP="000A7AAB"/>
    <w:p w:rsidR="000A7AAB" w:rsidRDefault="000A7AAB" w:rsidP="000A7AAB">
      <w:r>
        <w:t>4.</w:t>
      </w:r>
      <w:r w:rsidRPr="002C4077">
        <w:t xml:space="preserve"> </w:t>
      </w:r>
      <w:r w:rsidRPr="000A34B5">
        <w:rPr>
          <w:rStyle w:val="italicus"/>
        </w:rPr>
        <w:t>L’usage</w:t>
      </w:r>
      <w:bookmarkStart w:id="197" w:name="z_Hermeneutique_o1"/>
      <w:bookmarkEnd w:id="197"/>
      <w:r w:rsidRPr="002C4077">
        <w:t xml:space="preserve"> </w:t>
      </w:r>
      <w:r w:rsidRPr="000A34B5">
        <w:rPr>
          <w:rStyle w:val="italicus"/>
        </w:rPr>
        <w:t>biblique</w:t>
      </w:r>
      <w:r w:rsidRPr="002C4077">
        <w:t xml:space="preserve"> </w:t>
      </w:r>
      <w:r w:rsidRPr="000A34B5">
        <w:rPr>
          <w:rStyle w:val="italicus"/>
        </w:rPr>
        <w:t>du</w:t>
      </w:r>
      <w:r w:rsidRPr="002C4077">
        <w:t xml:space="preserve"> </w:t>
      </w:r>
      <w:r w:rsidRPr="000A34B5">
        <w:rPr>
          <w:rStyle w:val="italicus"/>
        </w:rPr>
        <w:t>mot</w:t>
      </w:r>
      <w:r w:rsidRPr="002C4077">
        <w:t xml:space="preserve"> </w:t>
      </w:r>
      <w:r w:rsidR="00D40830" w:rsidRPr="00D40830">
        <w:t>῾almah</w:t>
      </w:r>
      <w:bookmarkStart w:id="198" w:name="z_Almah_o15"/>
      <w:bookmarkEnd w:id="198"/>
      <w:r>
        <w:t>.</w:t>
      </w:r>
      <w:r w:rsidRPr="002C4077">
        <w:t xml:space="preserve"> </w:t>
      </w:r>
      <w:r>
        <w:t>—</w:t>
      </w:r>
      <w:r w:rsidRPr="002C4077">
        <w:t xml:space="preserve"> </w:t>
      </w:r>
      <w:r>
        <w:t>L’emploi</w:t>
      </w:r>
      <w:r w:rsidRPr="002C4077">
        <w:t xml:space="preserve"> </w:t>
      </w:r>
      <w:r>
        <w:t>du</w:t>
      </w:r>
      <w:r w:rsidRPr="002C4077">
        <w:t xml:space="preserve"> </w:t>
      </w:r>
      <w:r>
        <w:t>mot</w:t>
      </w:r>
      <w:r w:rsidRPr="002C4077">
        <w:t xml:space="preserve"> </w:t>
      </w:r>
      <w:r w:rsidR="00D40830" w:rsidRPr="00D05EA9">
        <w:rPr>
          <w:rStyle w:val="italicus"/>
        </w:rPr>
        <w:t>῾almah</w:t>
      </w:r>
      <w:r w:rsidRPr="002C4077">
        <w:t xml:space="preserve"> </w:t>
      </w:r>
      <w:r>
        <w:t>dans</w:t>
      </w:r>
      <w:r w:rsidRPr="002C4077">
        <w:t xml:space="preserve"> </w:t>
      </w:r>
      <w:r>
        <w:t>la</w:t>
      </w:r>
      <w:r w:rsidRPr="002C4077">
        <w:t xml:space="preserve"> </w:t>
      </w:r>
      <w:r>
        <w:t>Bible</w:t>
      </w:r>
      <w:r w:rsidRPr="002C4077">
        <w:t xml:space="preserve"> </w:t>
      </w:r>
      <w:r>
        <w:t>va</w:t>
      </w:r>
      <w:r w:rsidRPr="002C4077">
        <w:t xml:space="preserve"> </w:t>
      </w:r>
      <w:r>
        <w:t>encore</w:t>
      </w:r>
      <w:r w:rsidRPr="002C4077">
        <w:t xml:space="preserve"> </w:t>
      </w:r>
      <w:r>
        <w:t>fortifier</w:t>
      </w:r>
      <w:r w:rsidRPr="002C4077">
        <w:t xml:space="preserve"> </w:t>
      </w:r>
      <w:r>
        <w:t>notablement</w:t>
      </w:r>
      <w:r w:rsidRPr="002C4077">
        <w:t xml:space="preserve"> </w:t>
      </w:r>
      <w:r>
        <w:t>notre</w:t>
      </w:r>
      <w:r w:rsidRPr="002C4077">
        <w:t xml:space="preserve"> </w:t>
      </w:r>
      <w:r>
        <w:t>thèse,</w:t>
      </w:r>
      <w:r w:rsidRPr="002C4077">
        <w:t xml:space="preserve"> </w:t>
      </w:r>
      <w:r>
        <w:t>et</w:t>
      </w:r>
      <w:r w:rsidRPr="002C4077">
        <w:t xml:space="preserve"> </w:t>
      </w:r>
      <w:r>
        <w:t>prouver</w:t>
      </w:r>
      <w:r w:rsidRPr="002C4077">
        <w:t xml:space="preserve"> </w:t>
      </w:r>
      <w:r>
        <w:t>de</w:t>
      </w:r>
      <w:r w:rsidRPr="002C4077">
        <w:t xml:space="preserve"> </w:t>
      </w:r>
      <w:r>
        <w:t>nouveau</w:t>
      </w:r>
      <w:r w:rsidRPr="002C4077">
        <w:t xml:space="preserve"> </w:t>
      </w:r>
      <w:r>
        <w:t>qu’Isaïe</w:t>
      </w:r>
      <w:r w:rsidRPr="002C4077">
        <w:t xml:space="preserve"> </w:t>
      </w:r>
      <w:r>
        <w:t>a</w:t>
      </w:r>
      <w:r w:rsidRPr="002C4077">
        <w:t xml:space="preserve"> </w:t>
      </w:r>
      <w:r>
        <w:t>voulu</w:t>
      </w:r>
      <w:r w:rsidRPr="002C4077">
        <w:t xml:space="preserve"> </w:t>
      </w:r>
      <w:r>
        <w:t>parler</w:t>
      </w:r>
      <w:r w:rsidRPr="002C4077">
        <w:t xml:space="preserve"> </w:t>
      </w:r>
      <w:r>
        <w:t>d’une</w:t>
      </w:r>
      <w:r w:rsidRPr="002C4077">
        <w:t xml:space="preserve"> </w:t>
      </w:r>
      <w:r>
        <w:t>mère</w:t>
      </w:r>
      <w:r w:rsidRPr="002C4077">
        <w:t xml:space="preserve"> </w:t>
      </w:r>
      <w:r>
        <w:t>enfantant</w:t>
      </w:r>
      <w:r w:rsidRPr="002C4077">
        <w:t xml:space="preserve"> </w:t>
      </w:r>
      <w:r>
        <w:t>en</w:t>
      </w:r>
      <w:r w:rsidRPr="002C4077">
        <w:t xml:space="preserve"> </w:t>
      </w:r>
      <w:r>
        <w:t>dehors</w:t>
      </w:r>
      <w:r w:rsidRPr="002C4077">
        <w:t xml:space="preserve"> </w:t>
      </w:r>
      <w:r>
        <w:t>des</w:t>
      </w:r>
      <w:r w:rsidRPr="002C4077">
        <w:t xml:space="preserve"> </w:t>
      </w:r>
      <w:r>
        <w:t>lois</w:t>
      </w:r>
      <w:r w:rsidRPr="002C4077">
        <w:t xml:space="preserve"> </w:t>
      </w:r>
      <w:r>
        <w:t>ordinaires</w:t>
      </w:r>
      <w:r w:rsidRPr="002C4077">
        <w:t xml:space="preserve"> </w:t>
      </w:r>
      <w:r>
        <w:t>de</w:t>
      </w:r>
      <w:r w:rsidRPr="002C4077">
        <w:t xml:space="preserve"> </w:t>
      </w:r>
      <w:r>
        <w:t>la</w:t>
      </w:r>
      <w:r w:rsidRPr="002C4077">
        <w:t xml:space="preserve"> </w:t>
      </w:r>
      <w:r>
        <w:t>nature,</w:t>
      </w:r>
      <w:r w:rsidRPr="002C4077">
        <w:t xml:space="preserve"> </w:t>
      </w:r>
      <w:r>
        <w:t>sans</w:t>
      </w:r>
      <w:r w:rsidRPr="002C4077">
        <w:t xml:space="preserve"> </w:t>
      </w:r>
      <w:r>
        <w:t>perdre</w:t>
      </w:r>
      <w:r w:rsidRPr="002C4077">
        <w:t xml:space="preserve"> </w:t>
      </w:r>
      <w:r>
        <w:t>l’éclat</w:t>
      </w:r>
      <w:r w:rsidRPr="002C4077">
        <w:t xml:space="preserve"> </w:t>
      </w:r>
      <w:r>
        <w:t>de</w:t>
      </w:r>
      <w:r w:rsidRPr="002C4077">
        <w:t xml:space="preserve"> </w:t>
      </w:r>
      <w:r>
        <w:t>sa</w:t>
      </w:r>
      <w:r w:rsidRPr="002C4077">
        <w:t xml:space="preserve"> </w:t>
      </w:r>
      <w:r>
        <w:t>virginité.</w:t>
      </w:r>
      <w:r w:rsidRPr="002C4077">
        <w:t xml:space="preserve"> </w:t>
      </w:r>
      <w:r w:rsidR="00B546AF">
        <w:t>« </w:t>
      </w:r>
      <w:r>
        <w:t>Nec</w:t>
      </w:r>
      <w:r w:rsidRPr="002C4077">
        <w:t xml:space="preserve"> </w:t>
      </w:r>
      <w:r>
        <w:t>primam</w:t>
      </w:r>
      <w:r w:rsidRPr="002C4077">
        <w:t xml:space="preserve"> </w:t>
      </w:r>
      <w:r>
        <w:t>sibi</w:t>
      </w:r>
      <w:r w:rsidRPr="002C4077">
        <w:t xml:space="preserve"> </w:t>
      </w:r>
      <w:r w:rsidR="003B53FD">
        <w:t>símilem</w:t>
      </w:r>
      <w:r w:rsidRPr="002C4077">
        <w:t xml:space="preserve"> </w:t>
      </w:r>
      <w:r>
        <w:t>visa</w:t>
      </w:r>
      <w:r w:rsidRPr="002C4077">
        <w:t xml:space="preserve"> </w:t>
      </w:r>
      <w:r w:rsidR="00425C50">
        <w:t>est</w:t>
      </w:r>
      <w:r w:rsidRPr="002C4077">
        <w:t xml:space="preserve"> </w:t>
      </w:r>
      <w:r>
        <w:t>nec</w:t>
      </w:r>
      <w:r w:rsidRPr="002C4077">
        <w:t xml:space="preserve"> </w:t>
      </w:r>
      <w:r w:rsidR="00CE33FA">
        <w:t>habére</w:t>
      </w:r>
      <w:r w:rsidRPr="002C4077">
        <w:t xml:space="preserve"> </w:t>
      </w:r>
      <w:r>
        <w:t>s</w:t>
      </w:r>
      <w:r w:rsidR="003B53FD">
        <w:t>equéntem</w:t>
      </w:r>
      <w:r>
        <w:t>,</w:t>
      </w:r>
      <w:r w:rsidRPr="002C4077">
        <w:t xml:space="preserve"> </w:t>
      </w:r>
      <w:r>
        <w:t>g</w:t>
      </w:r>
      <w:r w:rsidR="003B53FD">
        <w:t>áudia</w:t>
      </w:r>
      <w:r w:rsidRPr="002C4077">
        <w:t xml:space="preserve"> </w:t>
      </w:r>
      <w:r>
        <w:t>matris</w:t>
      </w:r>
      <w:r w:rsidRPr="002C4077">
        <w:t xml:space="preserve"> </w:t>
      </w:r>
      <w:r>
        <w:t>habens</w:t>
      </w:r>
      <w:r w:rsidRPr="002C4077">
        <w:t xml:space="preserve"> </w:t>
      </w:r>
      <w:r>
        <w:t>cum</w:t>
      </w:r>
      <w:r w:rsidRPr="002C4077">
        <w:t xml:space="preserve"> </w:t>
      </w:r>
      <w:r w:rsidR="00CE33FA">
        <w:t>virginitátis</w:t>
      </w:r>
      <w:r w:rsidRPr="002C4077">
        <w:t xml:space="preserve"> </w:t>
      </w:r>
      <w:r>
        <w:t>honore</w:t>
      </w:r>
      <w:r w:rsidR="00B546AF">
        <w:t> »</w:t>
      </w:r>
      <w:r>
        <w:t>,</w:t>
      </w:r>
      <w:r w:rsidRPr="002C4077">
        <w:t xml:space="preserve"> </w:t>
      </w:r>
      <w:r>
        <w:t>ainsi</w:t>
      </w:r>
      <w:r w:rsidRPr="002C4077">
        <w:t xml:space="preserve"> </w:t>
      </w:r>
      <w:r>
        <w:t>que</w:t>
      </w:r>
      <w:r w:rsidRPr="002C4077">
        <w:t xml:space="preserve"> </w:t>
      </w:r>
      <w:r>
        <w:t>l’Église</w:t>
      </w:r>
      <w:r w:rsidRPr="002C4077">
        <w:t xml:space="preserve"> </w:t>
      </w:r>
      <w:r>
        <w:t>le</w:t>
      </w:r>
      <w:r w:rsidRPr="002C4077">
        <w:t xml:space="preserve"> </w:t>
      </w:r>
      <w:r>
        <w:t>chante</w:t>
      </w:r>
      <w:r w:rsidRPr="002C4077">
        <w:t xml:space="preserve"> </w:t>
      </w:r>
      <w:r>
        <w:t>de</w:t>
      </w:r>
      <w:r w:rsidRPr="002C4077">
        <w:t xml:space="preserve"> </w:t>
      </w:r>
      <w:r>
        <w:t>Marie.</w:t>
      </w:r>
      <w:r w:rsidRPr="002C4077">
        <w:t xml:space="preserve"> </w:t>
      </w:r>
    </w:p>
    <w:p w:rsidR="000A7AAB" w:rsidRPr="000721C4" w:rsidRDefault="000A7AAB" w:rsidP="000A7AAB">
      <w:r>
        <w:t>Le</w:t>
      </w:r>
      <w:r w:rsidRPr="002C4077">
        <w:t xml:space="preserve"> </w:t>
      </w:r>
      <w:r>
        <w:t>Talmud</w:t>
      </w:r>
      <w:bookmarkStart w:id="199" w:name="z_Talmud_o1"/>
      <w:bookmarkEnd w:id="199"/>
      <w:r>
        <w:t>,</w:t>
      </w:r>
      <w:r w:rsidRPr="002C4077">
        <w:t xml:space="preserve"> </w:t>
      </w:r>
      <w:r>
        <w:t>qui</w:t>
      </w:r>
      <w:r w:rsidRPr="002C4077">
        <w:t xml:space="preserve"> </w:t>
      </w:r>
      <w:r>
        <w:t>contient</w:t>
      </w:r>
      <w:r w:rsidRPr="002C4077">
        <w:t xml:space="preserve"> </w:t>
      </w:r>
      <w:r>
        <w:t>des</w:t>
      </w:r>
      <w:r w:rsidRPr="002C4077">
        <w:t xml:space="preserve"> </w:t>
      </w:r>
      <w:r>
        <w:t>grains</w:t>
      </w:r>
      <w:r w:rsidRPr="002C4077">
        <w:t xml:space="preserve"> </w:t>
      </w:r>
      <w:r>
        <w:t>d’or</w:t>
      </w:r>
      <w:r w:rsidRPr="002C4077">
        <w:t xml:space="preserve"> </w:t>
      </w:r>
      <w:r>
        <w:t>dans</w:t>
      </w:r>
      <w:r w:rsidRPr="002C4077">
        <w:t xml:space="preserve"> </w:t>
      </w:r>
      <w:r>
        <w:t>ses</w:t>
      </w:r>
      <w:r w:rsidRPr="002C4077">
        <w:t xml:space="preserve"> </w:t>
      </w:r>
      <w:r>
        <w:t>masses</w:t>
      </w:r>
      <w:r w:rsidRPr="002C4077">
        <w:t xml:space="preserve"> </w:t>
      </w:r>
      <w:r>
        <w:t>sablonneuses,</w:t>
      </w:r>
      <w:r w:rsidRPr="002C4077">
        <w:t xml:space="preserve"> </w:t>
      </w:r>
      <w:r>
        <w:t>recommande</w:t>
      </w:r>
      <w:r w:rsidRPr="002C4077">
        <w:t xml:space="preserve"> </w:t>
      </w:r>
      <w:r>
        <w:t>aux</w:t>
      </w:r>
      <w:r w:rsidRPr="002C4077">
        <w:t xml:space="preserve"> </w:t>
      </w:r>
      <w:r>
        <w:t>interprètes</w:t>
      </w:r>
      <w:r w:rsidRPr="002C4077">
        <w:t xml:space="preserve"> </w:t>
      </w:r>
      <w:r>
        <w:t>des</w:t>
      </w:r>
      <w:r w:rsidRPr="002C4077">
        <w:t xml:space="preserve"> </w:t>
      </w:r>
      <w:r>
        <w:t>saints</w:t>
      </w:r>
      <w:r w:rsidRPr="002C4077">
        <w:t xml:space="preserve"> </w:t>
      </w:r>
      <w:r>
        <w:t>Livres</w:t>
      </w:r>
      <w:r w:rsidRPr="002C4077">
        <w:t xml:space="preserve"> </w:t>
      </w:r>
      <w:r>
        <w:t>cette</w:t>
      </w:r>
      <w:r w:rsidRPr="002C4077">
        <w:t xml:space="preserve"> </w:t>
      </w:r>
      <w:r>
        <w:t>excellente</w:t>
      </w:r>
      <w:r w:rsidRPr="002C4077">
        <w:t xml:space="preserve"> </w:t>
      </w:r>
      <w:r>
        <w:t>règle</w:t>
      </w:r>
      <w:r w:rsidR="00B91AF7">
        <w:rPr>
          <w:rStyle w:val="Appelnotedebasdep"/>
        </w:rPr>
        <w:footnoteReference w:id="171"/>
      </w:r>
      <w:r w:rsidR="00B546AF">
        <w:t> :</w:t>
      </w:r>
      <w:r w:rsidRPr="002C4077">
        <w:t xml:space="preserve"> </w:t>
      </w:r>
      <w:r w:rsidR="00B546AF">
        <w:t>« </w:t>
      </w:r>
      <w:r>
        <w:t>Lorsqu’une</w:t>
      </w:r>
      <w:r w:rsidRPr="002C4077">
        <w:t xml:space="preserve"> </w:t>
      </w:r>
      <w:r>
        <w:t>parole</w:t>
      </w:r>
      <w:r w:rsidRPr="002C4077">
        <w:t xml:space="preserve"> </w:t>
      </w:r>
      <w:r>
        <w:t>ou</w:t>
      </w:r>
      <w:r w:rsidRPr="002C4077">
        <w:t xml:space="preserve"> </w:t>
      </w:r>
      <w:r>
        <w:t>une</w:t>
      </w:r>
      <w:r w:rsidRPr="002C4077">
        <w:t xml:space="preserve"> </w:t>
      </w:r>
      <w:r>
        <w:t>chose</w:t>
      </w:r>
      <w:r w:rsidRPr="002C4077">
        <w:t xml:space="preserve"> </w:t>
      </w:r>
      <w:r w:rsidR="00425C50">
        <w:t>est</w:t>
      </w:r>
      <w:r w:rsidRPr="002C4077">
        <w:t xml:space="preserve"> </w:t>
      </w:r>
      <w:r>
        <w:t>définie</w:t>
      </w:r>
      <w:r w:rsidRPr="002C4077">
        <w:t xml:space="preserve"> </w:t>
      </w:r>
      <w:r>
        <w:t>dans</w:t>
      </w:r>
      <w:r w:rsidRPr="002C4077">
        <w:t xml:space="preserve"> </w:t>
      </w:r>
      <w:r>
        <w:t>un</w:t>
      </w:r>
      <w:r w:rsidRPr="002C4077">
        <w:t xml:space="preserve"> </w:t>
      </w:r>
      <w:r>
        <w:t>endroit</w:t>
      </w:r>
      <w:r w:rsidRPr="002C4077">
        <w:t xml:space="preserve"> </w:t>
      </w:r>
      <w:r>
        <w:t>de</w:t>
      </w:r>
      <w:r w:rsidRPr="002C4077">
        <w:t xml:space="preserve"> </w:t>
      </w:r>
      <w:r>
        <w:t>l’Écriture</w:t>
      </w:r>
      <w:r w:rsidRPr="002C4077">
        <w:t xml:space="preserve"> </w:t>
      </w:r>
      <w:r>
        <w:t>par</w:t>
      </w:r>
      <w:r w:rsidRPr="002C4077">
        <w:t xml:space="preserve"> </w:t>
      </w:r>
      <w:r>
        <w:t>l’explication</w:t>
      </w:r>
      <w:r w:rsidRPr="002C4077">
        <w:t xml:space="preserve"> </w:t>
      </w:r>
      <w:r>
        <w:t>qu’en</w:t>
      </w:r>
      <w:r w:rsidRPr="002C4077">
        <w:t xml:space="preserve"> </w:t>
      </w:r>
      <w:r>
        <w:t>donne</w:t>
      </w:r>
      <w:r w:rsidRPr="002C4077">
        <w:t xml:space="preserve"> </w:t>
      </w:r>
      <w:r>
        <w:t>le</w:t>
      </w:r>
      <w:r w:rsidRPr="002C4077">
        <w:t xml:space="preserve"> </w:t>
      </w:r>
      <w:r>
        <w:t>texte</w:t>
      </w:r>
      <w:r w:rsidRPr="002C4077">
        <w:t xml:space="preserve"> </w:t>
      </w:r>
      <w:r>
        <w:t>même,</w:t>
      </w:r>
      <w:r w:rsidRPr="002C4077">
        <w:t xml:space="preserve"> </w:t>
      </w:r>
      <w:r>
        <w:t>nous</w:t>
      </w:r>
      <w:r w:rsidRPr="002C4077">
        <w:t xml:space="preserve"> </w:t>
      </w:r>
      <w:r>
        <w:t>devons</w:t>
      </w:r>
      <w:r w:rsidRPr="002C4077">
        <w:t xml:space="preserve"> </w:t>
      </w:r>
      <w:r>
        <w:t>la</w:t>
      </w:r>
      <w:r w:rsidRPr="002C4077">
        <w:t xml:space="preserve"> </w:t>
      </w:r>
      <w:r>
        <w:t>prendre</w:t>
      </w:r>
      <w:r w:rsidRPr="002C4077">
        <w:t xml:space="preserve"> </w:t>
      </w:r>
      <w:r>
        <w:t>partout</w:t>
      </w:r>
      <w:r w:rsidRPr="002C4077">
        <w:t xml:space="preserve"> </w:t>
      </w:r>
      <w:r>
        <w:t>dans</w:t>
      </w:r>
      <w:r w:rsidRPr="002C4077">
        <w:t xml:space="preserve"> </w:t>
      </w:r>
      <w:r>
        <w:t>la</w:t>
      </w:r>
      <w:r w:rsidRPr="002C4077">
        <w:t xml:space="preserve"> </w:t>
      </w:r>
      <w:r>
        <w:t>même</w:t>
      </w:r>
      <w:r w:rsidRPr="002C4077">
        <w:t xml:space="preserve"> </w:t>
      </w:r>
      <w:r>
        <w:t>acception,</w:t>
      </w:r>
      <w:r w:rsidRPr="002C4077">
        <w:t xml:space="preserve"> </w:t>
      </w:r>
      <w:r>
        <w:t>à</w:t>
      </w:r>
      <w:r w:rsidRPr="002C4077">
        <w:t xml:space="preserve"> </w:t>
      </w:r>
      <w:r>
        <w:t>moins</w:t>
      </w:r>
      <w:r w:rsidRPr="002C4077">
        <w:t xml:space="preserve"> </w:t>
      </w:r>
      <w:r>
        <w:t>que</w:t>
      </w:r>
      <w:r w:rsidRPr="002C4077">
        <w:t xml:space="preserve"> </w:t>
      </w:r>
      <w:r>
        <w:t>le</w:t>
      </w:r>
      <w:r w:rsidRPr="002C4077">
        <w:t xml:space="preserve"> </w:t>
      </w:r>
      <w:r>
        <w:t>texte</w:t>
      </w:r>
      <w:r w:rsidRPr="002C4077">
        <w:t xml:space="preserve"> </w:t>
      </w:r>
      <w:r>
        <w:t>ne</w:t>
      </w:r>
      <w:r w:rsidRPr="002C4077">
        <w:t xml:space="preserve"> </w:t>
      </w:r>
      <w:r>
        <w:t>lui</w:t>
      </w:r>
      <w:r w:rsidRPr="002C4077">
        <w:t xml:space="preserve"> </w:t>
      </w:r>
      <w:r>
        <w:t>attribue</w:t>
      </w:r>
      <w:r w:rsidRPr="002C4077">
        <w:t xml:space="preserve"> </w:t>
      </w:r>
      <w:r>
        <w:t>quelque</w:t>
      </w:r>
      <w:r w:rsidRPr="002C4077">
        <w:t xml:space="preserve"> </w:t>
      </w:r>
      <w:r>
        <w:t>part</w:t>
      </w:r>
      <w:r w:rsidRPr="002C4077">
        <w:t xml:space="preserve"> </w:t>
      </w:r>
      <w:r>
        <w:t>ailleurs</w:t>
      </w:r>
      <w:r w:rsidRPr="002C4077">
        <w:t xml:space="preserve"> </w:t>
      </w:r>
      <w:r>
        <w:t>une</w:t>
      </w:r>
      <w:r w:rsidRPr="002C4077">
        <w:t xml:space="preserve"> </w:t>
      </w:r>
      <w:r>
        <w:t>nouvelle</w:t>
      </w:r>
      <w:r w:rsidRPr="002C4077">
        <w:t xml:space="preserve"> </w:t>
      </w:r>
      <w:r>
        <w:t>signification</w:t>
      </w:r>
      <w:r w:rsidR="00B546AF">
        <w:t> »</w:t>
      </w:r>
      <w:r>
        <w:t>.</w:t>
      </w:r>
      <w:r w:rsidRPr="002C4077">
        <w:t xml:space="preserve"> </w:t>
      </w:r>
      <w:r>
        <w:t>Or</w:t>
      </w:r>
      <w:r w:rsidRPr="002C4077">
        <w:t xml:space="preserve"> </w:t>
      </w:r>
      <w:r>
        <w:t>le</w:t>
      </w:r>
      <w:r w:rsidRPr="002C4077">
        <w:t xml:space="preserve"> </w:t>
      </w:r>
      <w:r>
        <w:t>substantif</w:t>
      </w:r>
      <w:r w:rsidRPr="002C4077">
        <w:t xml:space="preserve"> </w:t>
      </w:r>
      <w:r w:rsidR="00D40830" w:rsidRPr="00D05EA9">
        <w:rPr>
          <w:rStyle w:val="italicus"/>
        </w:rPr>
        <w:t>῾almah</w:t>
      </w:r>
      <w:r w:rsidRPr="002C4077">
        <w:t xml:space="preserve"> </w:t>
      </w:r>
      <w:r w:rsidR="00425C50">
        <w:t>est</w:t>
      </w:r>
      <w:r w:rsidRPr="002C4077">
        <w:t xml:space="preserve"> </w:t>
      </w:r>
      <w:r>
        <w:t>clairement</w:t>
      </w:r>
      <w:r w:rsidRPr="002C4077">
        <w:t xml:space="preserve"> </w:t>
      </w:r>
      <w:r>
        <w:t>défini</w:t>
      </w:r>
      <w:r w:rsidRPr="002C4077">
        <w:t xml:space="preserve"> </w:t>
      </w:r>
      <w:r>
        <w:t>dans</w:t>
      </w:r>
      <w:r w:rsidRPr="002C4077">
        <w:t xml:space="preserve"> </w:t>
      </w:r>
      <w:r>
        <w:t>la</w:t>
      </w:r>
      <w:r w:rsidRPr="002C4077">
        <w:t xml:space="preserve"> </w:t>
      </w:r>
      <w:r>
        <w:t>Bible,</w:t>
      </w:r>
      <w:r w:rsidRPr="002C4077">
        <w:t xml:space="preserve"> </w:t>
      </w:r>
      <w:r>
        <w:t>et</w:t>
      </w:r>
      <w:r w:rsidRPr="002C4077">
        <w:t xml:space="preserve"> </w:t>
      </w:r>
      <w:r>
        <w:t>nulle</w:t>
      </w:r>
      <w:r w:rsidRPr="002C4077">
        <w:t xml:space="preserve"> </w:t>
      </w:r>
      <w:r>
        <w:t>part</w:t>
      </w:r>
      <w:r w:rsidRPr="002C4077">
        <w:t xml:space="preserve"> </w:t>
      </w:r>
      <w:r>
        <w:t>on</w:t>
      </w:r>
      <w:r w:rsidRPr="002C4077">
        <w:t xml:space="preserve"> </w:t>
      </w:r>
      <w:r>
        <w:t>ne</w:t>
      </w:r>
      <w:r w:rsidRPr="002C4077">
        <w:t xml:space="preserve"> </w:t>
      </w:r>
      <w:r>
        <w:t>voit</w:t>
      </w:r>
      <w:r w:rsidRPr="002C4077">
        <w:t xml:space="preserve"> </w:t>
      </w:r>
      <w:r>
        <w:t>qu’il</w:t>
      </w:r>
      <w:r w:rsidRPr="002C4077">
        <w:t xml:space="preserve"> </w:t>
      </w:r>
      <w:r>
        <w:t>soit</w:t>
      </w:r>
      <w:r w:rsidRPr="002C4077">
        <w:t xml:space="preserve"> </w:t>
      </w:r>
      <w:r>
        <w:t>nécessaire</w:t>
      </w:r>
      <w:r w:rsidRPr="002C4077">
        <w:t xml:space="preserve"> </w:t>
      </w:r>
      <w:r>
        <w:t>de</w:t>
      </w:r>
      <w:r w:rsidRPr="002C4077">
        <w:t xml:space="preserve"> </w:t>
      </w:r>
      <w:r>
        <w:t>lui</w:t>
      </w:r>
      <w:r w:rsidRPr="002C4077">
        <w:t xml:space="preserve"> </w:t>
      </w:r>
      <w:r>
        <w:t>attribuer</w:t>
      </w:r>
      <w:r w:rsidRPr="002C4077">
        <w:t xml:space="preserve"> </w:t>
      </w:r>
      <w:r>
        <w:t>une</w:t>
      </w:r>
      <w:r w:rsidRPr="002C4077">
        <w:t xml:space="preserve"> </w:t>
      </w:r>
      <w:r>
        <w:t>signification</w:t>
      </w:r>
      <w:r w:rsidRPr="002C4077">
        <w:t xml:space="preserve"> </w:t>
      </w:r>
      <w:r>
        <w:t>autre</w:t>
      </w:r>
      <w:r w:rsidRPr="002C4077">
        <w:t xml:space="preserve"> </w:t>
      </w:r>
      <w:r>
        <w:t>que</w:t>
      </w:r>
      <w:r w:rsidRPr="002C4077">
        <w:t xml:space="preserve"> </w:t>
      </w:r>
      <w:r>
        <w:t>celle</w:t>
      </w:r>
      <w:r w:rsidRPr="002C4077">
        <w:t xml:space="preserve"> </w:t>
      </w:r>
      <w:r>
        <w:t>qui</w:t>
      </w:r>
      <w:r w:rsidRPr="002C4077">
        <w:t xml:space="preserve"> </w:t>
      </w:r>
      <w:r>
        <w:t>a</w:t>
      </w:r>
      <w:r w:rsidRPr="002C4077">
        <w:t xml:space="preserve"> </w:t>
      </w:r>
      <w:r>
        <w:t>été</w:t>
      </w:r>
      <w:r w:rsidRPr="002C4077">
        <w:t xml:space="preserve"> </w:t>
      </w:r>
      <w:r>
        <w:t>clairement</w:t>
      </w:r>
      <w:r w:rsidRPr="002C4077">
        <w:t xml:space="preserve"> </w:t>
      </w:r>
      <w:r>
        <w:t>définie.</w:t>
      </w:r>
      <w:r w:rsidRPr="002C4077">
        <w:t xml:space="preserve"> </w:t>
      </w:r>
      <w:r>
        <w:t>Il</w:t>
      </w:r>
      <w:r w:rsidRPr="002C4077">
        <w:t xml:space="preserve"> </w:t>
      </w:r>
      <w:r>
        <w:t>fallait</w:t>
      </w:r>
      <w:r w:rsidRPr="002C4077">
        <w:t xml:space="preserve"> </w:t>
      </w:r>
      <w:r>
        <w:t>que</w:t>
      </w:r>
      <w:r w:rsidRPr="002C4077">
        <w:t xml:space="preserve"> </w:t>
      </w:r>
      <w:r>
        <w:t>S.</w:t>
      </w:r>
      <w:r w:rsidRPr="002C4077">
        <w:t xml:space="preserve"> </w:t>
      </w:r>
      <w:r>
        <w:t>Jérôme</w:t>
      </w:r>
      <w:bookmarkStart w:id="200" w:name="z_TraditionAlmah_o2"/>
      <w:bookmarkEnd w:id="200"/>
      <w:r w:rsidRPr="004440EA">
        <w:t xml:space="preserve"> (</w:t>
      </w:r>
      <w:r>
        <w:t>il</w:t>
      </w:r>
      <w:r w:rsidRPr="002C4077">
        <w:t xml:space="preserve"> </w:t>
      </w:r>
      <w:r>
        <w:t>connaissait</w:t>
      </w:r>
      <w:r w:rsidRPr="002C4077">
        <w:t xml:space="preserve"> </w:t>
      </w:r>
      <w:r>
        <w:t>sa</w:t>
      </w:r>
      <w:r w:rsidRPr="002C4077">
        <w:t xml:space="preserve"> </w:t>
      </w:r>
      <w:r>
        <w:t>Bible</w:t>
      </w:r>
      <w:r w:rsidR="00B546AF">
        <w:t> !</w:t>
      </w:r>
      <w:r w:rsidR="00B546AF" w:rsidRPr="002C4077">
        <w:t>)</w:t>
      </w:r>
      <w:r w:rsidRPr="002C4077">
        <w:t xml:space="preserve"> </w:t>
      </w:r>
      <w:r>
        <w:t>fût</w:t>
      </w:r>
      <w:r w:rsidRPr="002C4077">
        <w:t xml:space="preserve"> </w:t>
      </w:r>
      <w:r>
        <w:t>bien</w:t>
      </w:r>
      <w:r w:rsidRPr="002C4077">
        <w:t xml:space="preserve"> </w:t>
      </w:r>
      <w:r>
        <w:t>sûr</w:t>
      </w:r>
      <w:r w:rsidRPr="002C4077">
        <w:t xml:space="preserve"> </w:t>
      </w:r>
      <w:r>
        <w:t>que</w:t>
      </w:r>
      <w:r w:rsidRPr="002C4077">
        <w:t xml:space="preserve"> </w:t>
      </w:r>
      <w:r>
        <w:t>l’usage</w:t>
      </w:r>
      <w:r w:rsidRPr="002C4077">
        <w:t xml:space="preserve"> </w:t>
      </w:r>
      <w:r>
        <w:t>de</w:t>
      </w:r>
      <w:r w:rsidRPr="002C4077">
        <w:t xml:space="preserve"> </w:t>
      </w:r>
      <w:r>
        <w:t>la</w:t>
      </w:r>
      <w:r w:rsidRPr="002C4077">
        <w:t xml:space="preserve"> </w:t>
      </w:r>
      <w:r>
        <w:t>langue</w:t>
      </w:r>
      <w:r w:rsidRPr="002C4077">
        <w:t xml:space="preserve"> </w:t>
      </w:r>
      <w:r>
        <w:t>confirmait</w:t>
      </w:r>
      <w:r w:rsidRPr="002C4077">
        <w:t xml:space="preserve"> </w:t>
      </w:r>
      <w:r>
        <w:t>en</w:t>
      </w:r>
      <w:r w:rsidRPr="002C4077">
        <w:t xml:space="preserve"> </w:t>
      </w:r>
      <w:r>
        <w:t>tous</w:t>
      </w:r>
      <w:r w:rsidRPr="002C4077">
        <w:t xml:space="preserve"> </w:t>
      </w:r>
      <w:r>
        <w:t>points</w:t>
      </w:r>
      <w:r w:rsidRPr="002C4077">
        <w:t xml:space="preserve"> </w:t>
      </w:r>
      <w:r>
        <w:t>l’explication</w:t>
      </w:r>
      <w:r w:rsidRPr="002C4077">
        <w:t xml:space="preserve"> </w:t>
      </w:r>
      <w:r>
        <w:t>traditionnelle</w:t>
      </w:r>
      <w:r w:rsidRPr="002C4077">
        <w:t xml:space="preserve"> </w:t>
      </w:r>
      <w:r>
        <w:t>de</w:t>
      </w:r>
      <w:r w:rsidRPr="002C4077">
        <w:t xml:space="preserve"> </w:t>
      </w:r>
      <w:r w:rsidR="009620EB" w:rsidRPr="009620EB">
        <w:rPr>
          <w:rtl/>
          <w:lang w:bidi="he-IL"/>
        </w:rPr>
        <w:t>צלמח</w:t>
      </w:r>
      <w:r>
        <w:t>,</w:t>
      </w:r>
      <w:r w:rsidRPr="002C4077">
        <w:t xml:space="preserve"> </w:t>
      </w:r>
      <w:r>
        <w:t>quand</w:t>
      </w:r>
      <w:r w:rsidRPr="002C4077">
        <w:t xml:space="preserve"> </w:t>
      </w:r>
      <w:r>
        <w:t>il</w:t>
      </w:r>
      <w:r w:rsidRPr="002C4077">
        <w:t xml:space="preserve"> </w:t>
      </w:r>
      <w:r>
        <w:t>lançait</w:t>
      </w:r>
      <w:r w:rsidRPr="002C4077">
        <w:t xml:space="preserve"> </w:t>
      </w:r>
      <w:r>
        <w:t>ce</w:t>
      </w:r>
      <w:r w:rsidRPr="002C4077">
        <w:t xml:space="preserve"> </w:t>
      </w:r>
      <w:r>
        <w:t>défi</w:t>
      </w:r>
      <w:r w:rsidRPr="002C4077">
        <w:t xml:space="preserve"> </w:t>
      </w:r>
      <w:r>
        <w:t>aux</w:t>
      </w:r>
      <w:r w:rsidRPr="002C4077">
        <w:t xml:space="preserve"> </w:t>
      </w:r>
      <w:r>
        <w:t>Juifs</w:t>
      </w:r>
      <w:r w:rsidRPr="002C4077">
        <w:t xml:space="preserve"> </w:t>
      </w:r>
      <w:r>
        <w:t>de</w:t>
      </w:r>
      <w:r w:rsidRPr="002C4077">
        <w:t xml:space="preserve"> </w:t>
      </w:r>
      <w:r>
        <w:t>son</w:t>
      </w:r>
      <w:r w:rsidRPr="002C4077">
        <w:t xml:space="preserve"> </w:t>
      </w:r>
      <w:r>
        <w:t>temps</w:t>
      </w:r>
      <w:r w:rsidR="00B546AF">
        <w:t> :</w:t>
      </w:r>
      <w:r w:rsidRPr="002C4077">
        <w:t xml:space="preserve"> </w:t>
      </w:r>
      <w:r w:rsidR="00B546AF">
        <w:t>« </w:t>
      </w:r>
      <w:r w:rsidR="009620EB">
        <w:t>Osténdant</w:t>
      </w:r>
      <w:r w:rsidRPr="002C4077">
        <w:t xml:space="preserve"> </w:t>
      </w:r>
      <w:r w:rsidR="003B53FD">
        <w:t>ígitur</w:t>
      </w:r>
      <w:r w:rsidRPr="002C4077">
        <w:t xml:space="preserve"> </w:t>
      </w:r>
      <w:r w:rsidR="003B53FD">
        <w:t>Judǽi</w:t>
      </w:r>
      <w:r w:rsidRPr="002C4077">
        <w:t xml:space="preserve"> </w:t>
      </w:r>
      <w:r>
        <w:t>in</w:t>
      </w:r>
      <w:r w:rsidRPr="002C4077">
        <w:t xml:space="preserve"> </w:t>
      </w:r>
      <w:r w:rsidR="009620EB">
        <w:t>scriptúris</w:t>
      </w:r>
      <w:r w:rsidRPr="002C4077">
        <w:t xml:space="preserve"> </w:t>
      </w:r>
      <w:r>
        <w:t>a</w:t>
      </w:r>
      <w:r w:rsidR="003B53FD">
        <w:t>lícubi</w:t>
      </w:r>
      <w:r w:rsidRPr="002C4077">
        <w:t xml:space="preserve"> </w:t>
      </w:r>
      <w:r w:rsidR="003B53FD">
        <w:t>pósitum</w:t>
      </w:r>
      <w:r w:rsidRPr="002C4077">
        <w:t xml:space="preserve"> </w:t>
      </w:r>
      <w:r w:rsidR="00D40830" w:rsidRPr="00D05EA9">
        <w:rPr>
          <w:rStyle w:val="italicus"/>
        </w:rPr>
        <w:t>῾almah</w:t>
      </w:r>
      <w:r w:rsidRPr="002C4077">
        <w:t xml:space="preserve"> </w:t>
      </w:r>
      <w:r>
        <w:t>ubi</w:t>
      </w:r>
      <w:r w:rsidRPr="002C4077">
        <w:t xml:space="preserve"> </w:t>
      </w:r>
      <w:r w:rsidR="009620EB">
        <w:t>adolescéntulam</w:t>
      </w:r>
      <w:r w:rsidRPr="002C4077">
        <w:t xml:space="preserve"> </w:t>
      </w:r>
      <w:r>
        <w:t>tantum,</w:t>
      </w:r>
      <w:r w:rsidRPr="002C4077">
        <w:t xml:space="preserve"> </w:t>
      </w:r>
      <w:r>
        <w:t>et</w:t>
      </w:r>
      <w:r w:rsidRPr="002C4077">
        <w:t xml:space="preserve"> </w:t>
      </w:r>
      <w:r>
        <w:t>non</w:t>
      </w:r>
      <w:r w:rsidRPr="002C4077">
        <w:t xml:space="preserve"> </w:t>
      </w:r>
      <w:r>
        <w:t>v</w:t>
      </w:r>
      <w:r w:rsidR="003B53FD">
        <w:t>írginem</w:t>
      </w:r>
      <w:r w:rsidRPr="002C4077">
        <w:t xml:space="preserve"> </w:t>
      </w:r>
      <w:r>
        <w:t>sonet,</w:t>
      </w:r>
      <w:r w:rsidRPr="002C4077">
        <w:t xml:space="preserve"> </w:t>
      </w:r>
      <w:r>
        <w:t>et</w:t>
      </w:r>
      <w:r w:rsidRPr="002C4077">
        <w:t xml:space="preserve"> </w:t>
      </w:r>
      <w:r w:rsidR="009620EB">
        <w:t>concédimus</w:t>
      </w:r>
      <w:r w:rsidRPr="002C4077">
        <w:t xml:space="preserve"> </w:t>
      </w:r>
      <w:r>
        <w:t>eis</w:t>
      </w:r>
      <w:r w:rsidRPr="002C4077">
        <w:t xml:space="preserve"> </w:t>
      </w:r>
      <w:r>
        <w:t>illud</w:t>
      </w:r>
      <w:r w:rsidRPr="002C4077">
        <w:t xml:space="preserve"> </w:t>
      </w:r>
      <w:r>
        <w:t>quod</w:t>
      </w:r>
      <w:r w:rsidRPr="002C4077">
        <w:t xml:space="preserve"> </w:t>
      </w:r>
      <w:r w:rsidR="003B53FD">
        <w:t>Isaía</w:t>
      </w:r>
      <w:r w:rsidRPr="002C4077">
        <w:t xml:space="preserve"> </w:t>
      </w:r>
      <w:r>
        <w:t>apud</w:t>
      </w:r>
      <w:r w:rsidRPr="002C4077">
        <w:t xml:space="preserve"> </w:t>
      </w:r>
      <w:r>
        <w:t>nos</w:t>
      </w:r>
      <w:r w:rsidRPr="002C4077">
        <w:t xml:space="preserve"> </w:t>
      </w:r>
      <w:r>
        <w:t>d</w:t>
      </w:r>
      <w:r w:rsidR="003B53FD">
        <w:t>ícitur</w:t>
      </w:r>
      <w:r>
        <w:t>,</w:t>
      </w:r>
      <w:r w:rsidRPr="002C4077">
        <w:t xml:space="preserve"> </w:t>
      </w:r>
      <w:r w:rsidRPr="000A34B5">
        <w:rPr>
          <w:rStyle w:val="italicus"/>
        </w:rPr>
        <w:t>Ecce</w:t>
      </w:r>
      <w:r w:rsidRPr="002C4077">
        <w:t xml:space="preserve"> </w:t>
      </w:r>
      <w:r w:rsidRPr="000A34B5">
        <w:rPr>
          <w:rStyle w:val="italicus"/>
        </w:rPr>
        <w:t>virgo</w:t>
      </w:r>
      <w:r w:rsidRPr="002C4077">
        <w:t xml:space="preserve"> </w:t>
      </w:r>
      <w:r w:rsidR="009620EB" w:rsidRPr="000A34B5">
        <w:rPr>
          <w:rStyle w:val="italicus"/>
        </w:rPr>
        <w:t>concípiet</w:t>
      </w:r>
      <w:r w:rsidRPr="002C4077">
        <w:t xml:space="preserve"> </w:t>
      </w:r>
      <w:r w:rsidRPr="000A34B5">
        <w:rPr>
          <w:rStyle w:val="italicus"/>
        </w:rPr>
        <w:t>et</w:t>
      </w:r>
      <w:r w:rsidRPr="002C4077">
        <w:t xml:space="preserve"> </w:t>
      </w:r>
      <w:r w:rsidR="009620EB" w:rsidRPr="000A34B5">
        <w:rPr>
          <w:rStyle w:val="italicus"/>
        </w:rPr>
        <w:t>páriet</w:t>
      </w:r>
      <w:r w:rsidRPr="000A34B5">
        <w:rPr>
          <w:rStyle w:val="italicus"/>
        </w:rPr>
        <w:t>,</w:t>
      </w:r>
      <w:r w:rsidRPr="002C4077">
        <w:t xml:space="preserve"> </w:t>
      </w:r>
      <w:r>
        <w:t>non</w:t>
      </w:r>
      <w:r w:rsidRPr="002C4077">
        <w:t xml:space="preserve"> </w:t>
      </w:r>
      <w:r w:rsidR="009620EB">
        <w:t>abscónditam</w:t>
      </w:r>
      <w:r w:rsidRPr="002C4077">
        <w:t xml:space="preserve"> </w:t>
      </w:r>
      <w:r>
        <w:t>v</w:t>
      </w:r>
      <w:r w:rsidR="003B53FD">
        <w:t>írginem</w:t>
      </w:r>
      <w:r>
        <w:t>,</w:t>
      </w:r>
      <w:r w:rsidRPr="002C4077">
        <w:t xml:space="preserve"> </w:t>
      </w:r>
      <w:r>
        <w:t>sed</w:t>
      </w:r>
      <w:r w:rsidRPr="002C4077">
        <w:t xml:space="preserve"> </w:t>
      </w:r>
      <w:r w:rsidR="009620EB">
        <w:t>adolescéntulam</w:t>
      </w:r>
      <w:r w:rsidRPr="002C4077">
        <w:t xml:space="preserve"> </w:t>
      </w:r>
      <w:r>
        <w:t>signi</w:t>
      </w:r>
      <w:r w:rsidR="003B53FD">
        <w:t>ficáre</w:t>
      </w:r>
      <w:r w:rsidRPr="002C4077">
        <w:t xml:space="preserve"> </w:t>
      </w:r>
      <w:r>
        <w:t>jam</w:t>
      </w:r>
      <w:r w:rsidRPr="002C4077">
        <w:t xml:space="preserve"> </w:t>
      </w:r>
      <w:r w:rsidR="003F6163">
        <w:t>nuptum</w:t>
      </w:r>
      <w:r w:rsidR="00B91AF7">
        <w:rPr>
          <w:rStyle w:val="Appelnotedebasdep"/>
        </w:rPr>
        <w:footnoteReference w:id="172"/>
      </w:r>
      <w:r w:rsidR="00B546AF">
        <w:t> »</w:t>
      </w:r>
      <w:r>
        <w:t>.</w:t>
      </w:r>
      <w:r w:rsidR="00C45B47">
        <w:t xml:space="preserve"> {</w:t>
      </w:r>
      <w:r w:rsidR="000721C4">
        <w:t>59</w:t>
      </w:r>
      <w:bookmarkStart w:id="202" w:name="p059"/>
      <w:bookmarkEnd w:id="202"/>
      <w:r w:rsidR="000721C4">
        <w:t xml:space="preserve">} </w:t>
      </w:r>
    </w:p>
    <w:p w:rsidR="000A7AAB" w:rsidRDefault="000A7AAB" w:rsidP="000A7AAB">
      <w:r>
        <w:t>Nous</w:t>
      </w:r>
      <w:r w:rsidRPr="002C4077">
        <w:t xml:space="preserve"> </w:t>
      </w:r>
      <w:r>
        <w:t>remplirions</w:t>
      </w:r>
      <w:r w:rsidRPr="002C4077">
        <w:t xml:space="preserve"> </w:t>
      </w:r>
      <w:r>
        <w:t>aisément</w:t>
      </w:r>
      <w:r w:rsidRPr="002C4077">
        <w:t xml:space="preserve"> </w:t>
      </w:r>
      <w:r>
        <w:t>plusieurs</w:t>
      </w:r>
      <w:r w:rsidRPr="002C4077">
        <w:t xml:space="preserve"> </w:t>
      </w:r>
      <w:r>
        <w:t>pages</w:t>
      </w:r>
      <w:r w:rsidRPr="002C4077">
        <w:t xml:space="preserve"> </w:t>
      </w:r>
      <w:r>
        <w:t>si</w:t>
      </w:r>
      <w:r w:rsidRPr="002C4077">
        <w:t xml:space="preserve"> </w:t>
      </w:r>
      <w:r>
        <w:t>nous</w:t>
      </w:r>
      <w:r w:rsidRPr="002C4077">
        <w:t xml:space="preserve"> </w:t>
      </w:r>
      <w:r>
        <w:t>voulions</w:t>
      </w:r>
      <w:r w:rsidRPr="002C4077">
        <w:t xml:space="preserve"> </w:t>
      </w:r>
      <w:r>
        <w:t>citer,</w:t>
      </w:r>
      <w:r w:rsidRPr="002C4077">
        <w:t xml:space="preserve"> </w:t>
      </w:r>
      <w:r>
        <w:t>même</w:t>
      </w:r>
      <w:r w:rsidRPr="002C4077">
        <w:t xml:space="preserve"> </w:t>
      </w:r>
      <w:r>
        <w:t>en</w:t>
      </w:r>
      <w:r w:rsidRPr="002C4077">
        <w:t xml:space="preserve"> </w:t>
      </w:r>
      <w:r>
        <w:t>nous</w:t>
      </w:r>
      <w:r w:rsidRPr="002C4077">
        <w:t xml:space="preserve"> </w:t>
      </w:r>
      <w:r>
        <w:t>bornant</w:t>
      </w:r>
      <w:r w:rsidRPr="002C4077">
        <w:t xml:space="preserve"> </w:t>
      </w:r>
      <w:r>
        <w:t>aux</w:t>
      </w:r>
      <w:r w:rsidRPr="002C4077">
        <w:t xml:space="preserve"> </w:t>
      </w:r>
      <w:r>
        <w:t>écrivains</w:t>
      </w:r>
      <w:r w:rsidRPr="002C4077">
        <w:t xml:space="preserve"> </w:t>
      </w:r>
      <w:r>
        <w:t>hétérodoxes</w:t>
      </w:r>
      <w:r w:rsidRPr="004440EA">
        <w:t xml:space="preserve"> (</w:t>
      </w:r>
      <w:r>
        <w:t>protestants</w:t>
      </w:r>
      <w:r w:rsidRPr="002C4077">
        <w:t xml:space="preserve"> </w:t>
      </w:r>
      <w:r>
        <w:t>et</w:t>
      </w:r>
      <w:r w:rsidRPr="002C4077">
        <w:t xml:space="preserve"> </w:t>
      </w:r>
      <w:r>
        <w:t>rationalistes</w:t>
      </w:r>
      <w:r w:rsidR="00B546AF" w:rsidRPr="002C4077">
        <w:t>)</w:t>
      </w:r>
      <w:r w:rsidRPr="002C4077">
        <w:t xml:space="preserve"> </w:t>
      </w:r>
      <w:r>
        <w:t>les</w:t>
      </w:r>
      <w:r w:rsidRPr="002C4077">
        <w:t xml:space="preserve"> </w:t>
      </w:r>
      <w:r>
        <w:t>plus</w:t>
      </w:r>
      <w:r w:rsidRPr="002C4077">
        <w:t xml:space="preserve"> </w:t>
      </w:r>
      <w:r>
        <w:t>récents,</w:t>
      </w:r>
      <w:r w:rsidRPr="002C4077">
        <w:t xml:space="preserve"> </w:t>
      </w:r>
      <w:r>
        <w:t>des</w:t>
      </w:r>
      <w:r w:rsidRPr="002C4077">
        <w:t xml:space="preserve"> </w:t>
      </w:r>
      <w:r>
        <w:t>témoignages</w:t>
      </w:r>
      <w:r w:rsidRPr="002C4077">
        <w:t xml:space="preserve"> </w:t>
      </w:r>
      <w:r>
        <w:t>conformes</w:t>
      </w:r>
      <w:r w:rsidRPr="002C4077">
        <w:t xml:space="preserve"> </w:t>
      </w:r>
      <w:r>
        <w:t>à</w:t>
      </w:r>
      <w:r w:rsidRPr="002C4077">
        <w:t xml:space="preserve"> </w:t>
      </w:r>
      <w:r w:rsidR="003B53FD">
        <w:t>celui</w:t>
      </w:r>
      <w:r w:rsidRPr="002C4077">
        <w:t xml:space="preserve"> </w:t>
      </w:r>
      <w:r>
        <w:t>de</w:t>
      </w:r>
      <w:r w:rsidRPr="002C4077">
        <w:t xml:space="preserve"> </w:t>
      </w:r>
      <w:r>
        <w:t>S.</w:t>
      </w:r>
      <w:r w:rsidRPr="002C4077">
        <w:t xml:space="preserve"> </w:t>
      </w:r>
      <w:r>
        <w:t>Jérôme</w:t>
      </w:r>
      <w:r w:rsidR="00B546AF">
        <w:t> :</w:t>
      </w:r>
      <w:r w:rsidRPr="002C4077">
        <w:t xml:space="preserve"> </w:t>
      </w:r>
      <w:r>
        <w:t>car</w:t>
      </w:r>
      <w:r w:rsidRPr="002C4077">
        <w:t xml:space="preserve"> </w:t>
      </w:r>
      <w:r>
        <w:t>c’est</w:t>
      </w:r>
      <w:r w:rsidRPr="002C4077">
        <w:t xml:space="preserve"> </w:t>
      </w:r>
      <w:r>
        <w:t>un</w:t>
      </w:r>
      <w:r w:rsidRPr="002C4077">
        <w:t xml:space="preserve"> </w:t>
      </w:r>
      <w:r>
        <w:t>fait</w:t>
      </w:r>
      <w:r w:rsidRPr="002C4077">
        <w:t xml:space="preserve"> </w:t>
      </w:r>
      <w:r>
        <w:t>certain</w:t>
      </w:r>
      <w:r w:rsidRPr="002C4077">
        <w:t xml:space="preserve"> </w:t>
      </w:r>
      <w:r>
        <w:t>que</w:t>
      </w:r>
      <w:r w:rsidRPr="002C4077">
        <w:t xml:space="preserve"> </w:t>
      </w:r>
      <w:r>
        <w:t>le</w:t>
      </w:r>
      <w:r w:rsidRPr="002C4077">
        <w:t xml:space="preserve"> </w:t>
      </w:r>
      <w:r>
        <w:t>mot</w:t>
      </w:r>
      <w:r w:rsidRPr="002C4077">
        <w:t xml:space="preserve"> </w:t>
      </w:r>
      <w:r w:rsidR="00D40830" w:rsidRPr="00D05EA9">
        <w:rPr>
          <w:rStyle w:val="italicus"/>
        </w:rPr>
        <w:t>῾almah</w:t>
      </w:r>
      <w:r w:rsidRPr="002C4077">
        <w:t xml:space="preserve"> </w:t>
      </w:r>
      <w:r>
        <w:t>désigne</w:t>
      </w:r>
      <w:r w:rsidRPr="002C4077">
        <w:t xml:space="preserve"> </w:t>
      </w:r>
      <w:r>
        <w:t>toujours</w:t>
      </w:r>
      <w:r w:rsidRPr="002C4077">
        <w:t xml:space="preserve"> </w:t>
      </w:r>
      <w:r>
        <w:t>et</w:t>
      </w:r>
      <w:r w:rsidRPr="002C4077">
        <w:t xml:space="preserve"> </w:t>
      </w:r>
      <w:r>
        <w:t>partout</w:t>
      </w:r>
      <w:r w:rsidRPr="002C4077">
        <w:t xml:space="preserve"> </w:t>
      </w:r>
      <w:r>
        <w:t>dans</w:t>
      </w:r>
      <w:r w:rsidRPr="002C4077">
        <w:t xml:space="preserve"> </w:t>
      </w:r>
      <w:r>
        <w:t>l’Écriture</w:t>
      </w:r>
      <w:r w:rsidRPr="002C4077">
        <w:t xml:space="preserve"> </w:t>
      </w:r>
      <w:r>
        <w:t>une</w:t>
      </w:r>
      <w:r w:rsidRPr="002C4077">
        <w:t xml:space="preserve"> </w:t>
      </w:r>
      <w:r>
        <w:t>jeune</w:t>
      </w:r>
      <w:r w:rsidRPr="002C4077">
        <w:t xml:space="preserve"> </w:t>
      </w:r>
      <w:r>
        <w:t>fille</w:t>
      </w:r>
      <w:r w:rsidRPr="002C4077">
        <w:t xml:space="preserve"> </w:t>
      </w:r>
      <w:r>
        <w:t>non</w:t>
      </w:r>
      <w:r w:rsidRPr="002C4077">
        <w:t xml:space="preserve"> </w:t>
      </w:r>
      <w:r>
        <w:t>mariée</w:t>
      </w:r>
      <w:r w:rsidR="00B91AF7">
        <w:rPr>
          <w:rStyle w:val="Appelnotedebasdep"/>
        </w:rPr>
        <w:footnoteReference w:id="173"/>
      </w:r>
      <w:r>
        <w:t>.</w:t>
      </w:r>
      <w:r w:rsidRPr="002C4077">
        <w:t xml:space="preserve"> </w:t>
      </w:r>
      <w:r>
        <w:t>Que</w:t>
      </w:r>
      <w:r w:rsidRPr="002C4077">
        <w:t xml:space="preserve"> </w:t>
      </w:r>
      <w:r w:rsidR="009620EB">
        <w:t>Rosenmüller</w:t>
      </w:r>
      <w:r w:rsidRPr="002C4077">
        <w:t xml:space="preserve"> </w:t>
      </w:r>
      <w:r>
        <w:t>soit</w:t>
      </w:r>
      <w:r w:rsidRPr="002C4077">
        <w:t xml:space="preserve"> </w:t>
      </w:r>
      <w:r>
        <w:t>leur</w:t>
      </w:r>
      <w:r w:rsidRPr="002C4077">
        <w:t xml:space="preserve"> </w:t>
      </w:r>
      <w:r>
        <w:t>porte-parole</w:t>
      </w:r>
      <w:r w:rsidRPr="002C4077">
        <w:t xml:space="preserve"> </w:t>
      </w:r>
      <w:r>
        <w:t>à</w:t>
      </w:r>
      <w:r w:rsidRPr="002C4077">
        <w:t xml:space="preserve"> </w:t>
      </w:r>
      <w:r>
        <w:t>tous</w:t>
      </w:r>
      <w:r w:rsidR="00B546AF">
        <w:t> :</w:t>
      </w:r>
      <w:r w:rsidRPr="002C4077">
        <w:t xml:space="preserve"> </w:t>
      </w:r>
      <w:r w:rsidR="00B546AF">
        <w:t>« </w:t>
      </w:r>
      <w:r>
        <w:t>Nobis</w:t>
      </w:r>
      <w:r w:rsidRPr="002C4077">
        <w:t xml:space="preserve"> </w:t>
      </w:r>
      <w:r w:rsidR="009620EB">
        <w:t>súfficit</w:t>
      </w:r>
      <w:r w:rsidRPr="002C4077">
        <w:t xml:space="preserve"> </w:t>
      </w:r>
      <w:r>
        <w:t>usus</w:t>
      </w:r>
      <w:r w:rsidRPr="002C4077">
        <w:t xml:space="preserve"> </w:t>
      </w:r>
      <w:r w:rsidR="009620EB">
        <w:t>loquéndi</w:t>
      </w:r>
      <w:r>
        <w:t>,</w:t>
      </w:r>
      <w:r w:rsidRPr="002C4077">
        <w:t xml:space="preserve"> </w:t>
      </w:r>
      <w:r>
        <w:t>qui</w:t>
      </w:r>
      <w:r w:rsidRPr="002C4077">
        <w:t xml:space="preserve"> </w:t>
      </w:r>
      <w:r w:rsidR="00D40830" w:rsidRPr="00D05EA9">
        <w:rPr>
          <w:rStyle w:val="italicus"/>
        </w:rPr>
        <w:t>῾almah</w:t>
      </w:r>
      <w:r w:rsidRPr="002C4077">
        <w:t xml:space="preserve"> </w:t>
      </w:r>
      <w:r>
        <w:t>de</w:t>
      </w:r>
      <w:r w:rsidRPr="002C4077">
        <w:t xml:space="preserve"> </w:t>
      </w:r>
      <w:r w:rsidR="009620EB">
        <w:t>puélla</w:t>
      </w:r>
      <w:r w:rsidRPr="002C4077">
        <w:t xml:space="preserve"> </w:t>
      </w:r>
      <w:r w:rsidR="009620EB">
        <w:t>innúpta</w:t>
      </w:r>
      <w:r w:rsidRPr="002C4077">
        <w:t xml:space="preserve"> </w:t>
      </w:r>
      <w:r>
        <w:t>us</w:t>
      </w:r>
      <w:r w:rsidR="009620EB">
        <w:t>ú</w:t>
      </w:r>
      <w:r>
        <w:t>rp</w:t>
      </w:r>
      <w:r w:rsidR="009620EB">
        <w:t>a</w:t>
      </w:r>
      <w:r>
        <w:t>t,</w:t>
      </w:r>
      <w:r w:rsidRPr="002C4077">
        <w:t xml:space="preserve"> </w:t>
      </w:r>
      <w:r>
        <w:t>seu</w:t>
      </w:r>
      <w:r w:rsidRPr="002C4077">
        <w:t xml:space="preserve"> </w:t>
      </w:r>
      <w:r>
        <w:t>virgo</w:t>
      </w:r>
      <w:r w:rsidRPr="002C4077">
        <w:t xml:space="preserve"> </w:t>
      </w:r>
      <w:r>
        <w:t>sit,</w:t>
      </w:r>
      <w:r w:rsidRPr="002C4077">
        <w:t xml:space="preserve"> </w:t>
      </w:r>
      <w:r>
        <w:t>seu</w:t>
      </w:r>
      <w:r w:rsidRPr="002C4077">
        <w:t xml:space="preserve"> </w:t>
      </w:r>
      <w:r>
        <w:t>talis</w:t>
      </w:r>
      <w:r w:rsidRPr="002C4077">
        <w:t xml:space="preserve"> </w:t>
      </w:r>
      <w:r>
        <w:t>ce</w:t>
      </w:r>
      <w:r w:rsidR="003B53FD">
        <w:t>nseátur</w:t>
      </w:r>
      <w:r>
        <w:t>,</w:t>
      </w:r>
      <w:r w:rsidRPr="002C4077">
        <w:t xml:space="preserve"> </w:t>
      </w:r>
      <w:r>
        <w:t>neque</w:t>
      </w:r>
      <w:r w:rsidRPr="002C4077">
        <w:t xml:space="preserve"> </w:t>
      </w:r>
      <w:r>
        <w:t>unquam</w:t>
      </w:r>
      <w:r w:rsidRPr="002C4077">
        <w:t xml:space="preserve"> </w:t>
      </w:r>
      <w:r w:rsidR="009620EB">
        <w:t>ádhibet</w:t>
      </w:r>
      <w:r w:rsidRPr="002C4077">
        <w:t xml:space="preserve"> </w:t>
      </w:r>
      <w:r>
        <w:t>in</w:t>
      </w:r>
      <w:r w:rsidRPr="002C4077">
        <w:t xml:space="preserve"> </w:t>
      </w:r>
      <w:r w:rsidR="009620EB">
        <w:t>puélla</w:t>
      </w:r>
      <w:r w:rsidRPr="002C4077">
        <w:t xml:space="preserve"> </w:t>
      </w:r>
      <w:r>
        <w:t>quæ</w:t>
      </w:r>
      <w:r w:rsidRPr="002C4077">
        <w:t xml:space="preserve"> </w:t>
      </w:r>
      <w:r w:rsidRPr="00464AE8">
        <w:t xml:space="preserve">sit </w:t>
      </w:r>
      <w:r w:rsidR="00464AE8" w:rsidRPr="00464AE8">
        <w:t>uxor</w:t>
      </w:r>
      <w:r w:rsidR="00464AE8">
        <w:rPr>
          <w:rStyle w:val="Appelnotedebasdep"/>
        </w:rPr>
        <w:footnoteReference w:id="174"/>
      </w:r>
      <w:r w:rsidR="00B546AF">
        <w:t> »</w:t>
      </w:r>
      <w:r>
        <w:t>.</w:t>
      </w:r>
      <w:r w:rsidRPr="002C4077">
        <w:t xml:space="preserve"> </w:t>
      </w:r>
    </w:p>
    <w:p w:rsidR="000A7AAB" w:rsidRDefault="000A7AAB" w:rsidP="000A7AAB">
      <w:r>
        <w:t>Indépendamment</w:t>
      </w:r>
      <w:r w:rsidRPr="002C4077">
        <w:t xml:space="preserve"> </w:t>
      </w:r>
      <w:r>
        <w:t>du</w:t>
      </w:r>
      <w:r w:rsidRPr="002C4077">
        <w:t xml:space="preserve"> </w:t>
      </w:r>
      <w:r>
        <w:t>texte</w:t>
      </w:r>
      <w:r w:rsidRPr="002C4077">
        <w:t xml:space="preserve"> </w:t>
      </w:r>
      <w:r>
        <w:t>que</w:t>
      </w:r>
      <w:r w:rsidRPr="002C4077">
        <w:t xml:space="preserve"> </w:t>
      </w:r>
      <w:r>
        <w:t>nous</w:t>
      </w:r>
      <w:r w:rsidRPr="002C4077">
        <w:t xml:space="preserve"> </w:t>
      </w:r>
      <w:r>
        <w:t>étudions,</w:t>
      </w:r>
      <w:r w:rsidRPr="002C4077">
        <w:t xml:space="preserve"> </w:t>
      </w:r>
      <w:r>
        <w:t>et</w:t>
      </w:r>
      <w:r w:rsidRPr="002C4077">
        <w:t xml:space="preserve"> </w:t>
      </w:r>
      <w:r>
        <w:t>abstraction</w:t>
      </w:r>
      <w:r w:rsidRPr="002C4077">
        <w:t xml:space="preserve"> </w:t>
      </w:r>
      <w:r>
        <w:t>faite</w:t>
      </w:r>
      <w:r w:rsidRPr="002C4077">
        <w:t xml:space="preserve"> </w:t>
      </w:r>
      <w:r>
        <w:t>de</w:t>
      </w:r>
      <w:r w:rsidRPr="002C4077">
        <w:t xml:space="preserve"> </w:t>
      </w:r>
      <w:r>
        <w:t>l’expression</w:t>
      </w:r>
      <w:r w:rsidRPr="002C4077">
        <w:t xml:space="preserve"> </w:t>
      </w:r>
      <w:r>
        <w:t>musicale</w:t>
      </w:r>
      <w:r w:rsidRPr="002C4077">
        <w:t xml:space="preserve"> </w:t>
      </w:r>
      <w:r w:rsidR="0055004A">
        <w:t>῾</w:t>
      </w:r>
      <w:r w:rsidR="009620EB">
        <w:rPr>
          <w:rStyle w:val="italicus"/>
        </w:rPr>
        <w:t>al-῾</w:t>
      </w:r>
      <w:r w:rsidRPr="000A34B5">
        <w:rPr>
          <w:rStyle w:val="italicus"/>
        </w:rPr>
        <w:t>alamôth</w:t>
      </w:r>
      <w:r w:rsidRPr="002C4077">
        <w:t xml:space="preserve"> </w:t>
      </w:r>
      <w:r>
        <w:t>que</w:t>
      </w:r>
      <w:r w:rsidRPr="002C4077">
        <w:t xml:space="preserve"> </w:t>
      </w:r>
      <w:r>
        <w:t>nous</w:t>
      </w:r>
      <w:r w:rsidRPr="002C4077">
        <w:t xml:space="preserve"> </w:t>
      </w:r>
      <w:r>
        <w:t>trouvons</w:t>
      </w:r>
      <w:r w:rsidRPr="002C4077">
        <w:t xml:space="preserve"> </w:t>
      </w:r>
      <w:r>
        <w:t>au</w:t>
      </w:r>
      <w:r w:rsidRPr="002C4077">
        <w:t xml:space="preserve"> </w:t>
      </w:r>
      <w:r>
        <w:t>Ps.</w:t>
      </w:r>
      <w:r w:rsidRPr="002C4077">
        <w:t xml:space="preserve"> </w:t>
      </w:r>
      <w:r>
        <w:rPr>
          <w:smallCaps/>
        </w:rPr>
        <w:t>XLVI</w:t>
      </w:r>
      <w:r w:rsidRPr="004440EA">
        <w:t xml:space="preserve"> (</w:t>
      </w:r>
      <w:r>
        <w:t>hébr.</w:t>
      </w:r>
      <w:r w:rsidR="00B546AF">
        <w:t> ;</w:t>
      </w:r>
      <w:r w:rsidRPr="002C4077">
        <w:t xml:space="preserve"> </w:t>
      </w:r>
      <w:r w:rsidRPr="009620EB">
        <w:t>Vulg.</w:t>
      </w:r>
      <w:r w:rsidRPr="002C4077">
        <w:t xml:space="preserve"> </w:t>
      </w:r>
      <w:r w:rsidR="009620EB" w:rsidRPr="009620EB">
        <w:t>XLV</w:t>
      </w:r>
      <w:r w:rsidR="00B546AF" w:rsidRPr="002C4077">
        <w:t>)</w:t>
      </w:r>
      <w:r w:rsidRPr="009620EB">
        <w:t>,</w:t>
      </w:r>
      <w:r w:rsidRPr="002C4077">
        <w:t xml:space="preserve"> </w:t>
      </w:r>
      <w:r w:rsidRPr="009620EB">
        <w:t>1,</w:t>
      </w:r>
      <w:r w:rsidRPr="002C4077">
        <w:t xml:space="preserve"> </w:t>
      </w:r>
      <w:r w:rsidRPr="009620EB">
        <w:t>et</w:t>
      </w:r>
      <w:r w:rsidRPr="002C4077">
        <w:t xml:space="preserve"> </w:t>
      </w:r>
      <w:r w:rsidRPr="009620EB">
        <w:t>au</w:t>
      </w:r>
      <w:r w:rsidRPr="002C4077">
        <w:t xml:space="preserve"> </w:t>
      </w:r>
      <w:r w:rsidRPr="009620EB">
        <w:t>premier</w:t>
      </w:r>
      <w:r w:rsidRPr="002C4077">
        <w:t xml:space="preserve"> </w:t>
      </w:r>
      <w:r w:rsidRPr="009620EB">
        <w:t>livre</w:t>
      </w:r>
      <w:r w:rsidRPr="002C4077">
        <w:t xml:space="preserve"> </w:t>
      </w:r>
      <w:r w:rsidRPr="009620EB">
        <w:t>des</w:t>
      </w:r>
      <w:r w:rsidRPr="002C4077">
        <w:t xml:space="preserve"> </w:t>
      </w:r>
      <w:r>
        <w:t>Paralipomènes</w:t>
      </w:r>
      <w:r w:rsidRPr="002C4077">
        <w:t xml:space="preserve"> </w:t>
      </w:r>
      <w:r>
        <w:t>XV,</w:t>
      </w:r>
      <w:r w:rsidRPr="002C4077">
        <w:t xml:space="preserve"> </w:t>
      </w:r>
      <w:r>
        <w:t>20,</w:t>
      </w:r>
      <w:r w:rsidRPr="002C4077">
        <w:t xml:space="preserve"> </w:t>
      </w:r>
      <w:r>
        <w:t>le</w:t>
      </w:r>
      <w:r w:rsidRPr="002C4077">
        <w:t xml:space="preserve"> </w:t>
      </w:r>
      <w:r>
        <w:t>mot</w:t>
      </w:r>
      <w:r w:rsidRPr="002C4077">
        <w:t xml:space="preserve"> </w:t>
      </w:r>
      <w:r w:rsidR="00D40830" w:rsidRPr="00D05EA9">
        <w:rPr>
          <w:rStyle w:val="italicus"/>
        </w:rPr>
        <w:t>῾almah</w:t>
      </w:r>
      <w:r w:rsidRPr="002C4077">
        <w:t xml:space="preserve"> </w:t>
      </w:r>
      <w:r>
        <w:t>apparaît</w:t>
      </w:r>
      <w:r w:rsidRPr="002C4077">
        <w:t xml:space="preserve"> </w:t>
      </w:r>
      <w:r>
        <w:t>six</w:t>
      </w:r>
      <w:r w:rsidRPr="002C4077">
        <w:t xml:space="preserve"> </w:t>
      </w:r>
      <w:r>
        <w:t>fois</w:t>
      </w:r>
      <w:r w:rsidRPr="002C4077">
        <w:t xml:space="preserve"> </w:t>
      </w:r>
      <w:r>
        <w:t>dans</w:t>
      </w:r>
      <w:r w:rsidRPr="002C4077">
        <w:t xml:space="preserve"> </w:t>
      </w:r>
      <w:r>
        <w:t>la</w:t>
      </w:r>
      <w:r w:rsidRPr="002C4077">
        <w:t xml:space="preserve"> </w:t>
      </w:r>
      <w:r>
        <w:t>Bible,</w:t>
      </w:r>
      <w:r w:rsidRPr="002C4077">
        <w:t xml:space="preserve"> </w:t>
      </w:r>
      <w:r>
        <w:t>et</w:t>
      </w:r>
      <w:r w:rsidRPr="002C4077">
        <w:t xml:space="preserve"> </w:t>
      </w:r>
      <w:r>
        <w:t>toujours,</w:t>
      </w:r>
      <w:r w:rsidRPr="002C4077">
        <w:t xml:space="preserve"> </w:t>
      </w:r>
      <w:r>
        <w:t>avons-nous</w:t>
      </w:r>
      <w:r w:rsidRPr="002C4077">
        <w:t xml:space="preserve"> </w:t>
      </w:r>
      <w:r>
        <w:t>dit,</w:t>
      </w:r>
      <w:r w:rsidRPr="002C4077">
        <w:t xml:space="preserve"> </w:t>
      </w:r>
      <w:r>
        <w:t>il</w:t>
      </w:r>
      <w:r w:rsidRPr="002C4077">
        <w:t xml:space="preserve"> </w:t>
      </w:r>
      <w:r>
        <w:t>s’emploie</w:t>
      </w:r>
      <w:r w:rsidRPr="002C4077">
        <w:t xml:space="preserve"> </w:t>
      </w:r>
      <w:r>
        <w:t>d’une</w:t>
      </w:r>
      <w:r w:rsidRPr="002C4077">
        <w:t xml:space="preserve"> </w:t>
      </w:r>
      <w:r>
        <w:t>personne</w:t>
      </w:r>
      <w:r w:rsidRPr="002C4077">
        <w:t xml:space="preserve"> </w:t>
      </w:r>
      <w:r>
        <w:t>vierge,</w:t>
      </w:r>
      <w:r w:rsidRPr="002C4077">
        <w:t xml:space="preserve"> </w:t>
      </w:r>
      <w:r>
        <w:t>ou,</w:t>
      </w:r>
      <w:r w:rsidRPr="002C4077">
        <w:t xml:space="preserve"> </w:t>
      </w:r>
      <w:r>
        <w:t>ce</w:t>
      </w:r>
      <w:r w:rsidRPr="002C4077">
        <w:t xml:space="preserve"> </w:t>
      </w:r>
      <w:r>
        <w:t>qui</w:t>
      </w:r>
      <w:r w:rsidRPr="002C4077">
        <w:t xml:space="preserve"> </w:t>
      </w:r>
      <w:r>
        <w:t>revient</w:t>
      </w:r>
      <w:r w:rsidRPr="002C4077">
        <w:t xml:space="preserve"> </w:t>
      </w:r>
      <w:r>
        <w:t>au</w:t>
      </w:r>
      <w:r w:rsidRPr="002C4077">
        <w:t xml:space="preserve"> </w:t>
      </w:r>
      <w:r>
        <w:t>même,</w:t>
      </w:r>
      <w:r w:rsidRPr="002C4077">
        <w:t xml:space="preserve"> </w:t>
      </w:r>
      <w:r>
        <w:t>censée</w:t>
      </w:r>
      <w:r w:rsidRPr="002C4077">
        <w:t xml:space="preserve"> </w:t>
      </w:r>
      <w:r>
        <w:t>telle</w:t>
      </w:r>
      <w:r w:rsidRPr="002C4077">
        <w:t xml:space="preserve"> </w:t>
      </w:r>
      <w:r>
        <w:t>dans</w:t>
      </w:r>
      <w:r w:rsidRPr="002C4077">
        <w:t xml:space="preserve"> </w:t>
      </w:r>
      <w:r>
        <w:t>l’opinion</w:t>
      </w:r>
      <w:r w:rsidRPr="002C4077">
        <w:t xml:space="preserve"> </w:t>
      </w:r>
      <w:r>
        <w:t>des</w:t>
      </w:r>
      <w:r w:rsidRPr="002C4077">
        <w:t xml:space="preserve"> </w:t>
      </w:r>
      <w:r>
        <w:t>hommes.</w:t>
      </w:r>
      <w:r w:rsidRPr="002C4077">
        <w:t xml:space="preserve"> </w:t>
      </w:r>
    </w:p>
    <w:p w:rsidR="000A7AAB" w:rsidRDefault="000A7AAB" w:rsidP="000A7AAB">
      <w:r>
        <w:t>1°</w:t>
      </w:r>
      <w:r w:rsidRPr="002C4077">
        <w:t xml:space="preserve"> </w:t>
      </w:r>
      <w:r>
        <w:t>Genèse</w:t>
      </w:r>
      <w:r w:rsidRPr="002C4077">
        <w:t xml:space="preserve"> </w:t>
      </w:r>
      <w:r>
        <w:t>XXIV,</w:t>
      </w:r>
      <w:r w:rsidRPr="002C4077">
        <w:t xml:space="preserve"> </w:t>
      </w:r>
      <w:r>
        <w:t>43.</w:t>
      </w:r>
      <w:r w:rsidRPr="002C4077">
        <w:t xml:space="preserve"> </w:t>
      </w:r>
      <w:r>
        <w:t>Éliézer</w:t>
      </w:r>
      <w:r w:rsidRPr="002C4077">
        <w:t xml:space="preserve"> </w:t>
      </w:r>
      <w:r>
        <w:t>adresse</w:t>
      </w:r>
      <w:r w:rsidRPr="002C4077">
        <w:t xml:space="preserve"> </w:t>
      </w:r>
      <w:r>
        <w:t>une</w:t>
      </w:r>
      <w:r w:rsidRPr="002C4077">
        <w:t xml:space="preserve"> </w:t>
      </w:r>
      <w:r>
        <w:t>prière</w:t>
      </w:r>
      <w:r w:rsidRPr="002C4077">
        <w:t xml:space="preserve"> </w:t>
      </w:r>
      <w:r>
        <w:t>à</w:t>
      </w:r>
      <w:r w:rsidRPr="002C4077">
        <w:t xml:space="preserve"> </w:t>
      </w:r>
      <w:r>
        <w:t>Dieu</w:t>
      </w:r>
      <w:r w:rsidRPr="002C4077">
        <w:t xml:space="preserve"> </w:t>
      </w:r>
      <w:r>
        <w:t>pour</w:t>
      </w:r>
      <w:r w:rsidRPr="002C4077">
        <w:t xml:space="preserve"> </w:t>
      </w:r>
      <w:r>
        <w:t>qu’il</w:t>
      </w:r>
      <w:r w:rsidRPr="002C4077">
        <w:t xml:space="preserve"> </w:t>
      </w:r>
      <w:r>
        <w:t>daigne</w:t>
      </w:r>
      <w:r w:rsidRPr="002C4077">
        <w:t xml:space="preserve"> </w:t>
      </w:r>
      <w:r>
        <w:t>lui</w:t>
      </w:r>
      <w:r w:rsidRPr="002C4077">
        <w:t xml:space="preserve"> </w:t>
      </w:r>
      <w:r>
        <w:t>faire</w:t>
      </w:r>
      <w:r w:rsidRPr="002C4077">
        <w:t xml:space="preserve"> </w:t>
      </w:r>
      <w:r>
        <w:t>connaître</w:t>
      </w:r>
      <w:r w:rsidRPr="002C4077">
        <w:t xml:space="preserve"> </w:t>
      </w:r>
      <w:r>
        <w:t>par</w:t>
      </w:r>
      <w:r w:rsidRPr="002C4077">
        <w:t xml:space="preserve"> </w:t>
      </w:r>
      <w:r>
        <w:t>un</w:t>
      </w:r>
      <w:r w:rsidRPr="002C4077">
        <w:t xml:space="preserve"> </w:t>
      </w:r>
      <w:r>
        <w:t>signe</w:t>
      </w:r>
      <w:r w:rsidRPr="002C4077">
        <w:t xml:space="preserve"> </w:t>
      </w:r>
      <w:r>
        <w:t>la</w:t>
      </w:r>
      <w:r w:rsidRPr="002C4077">
        <w:t xml:space="preserve"> </w:t>
      </w:r>
      <w:r>
        <w:t>femme</w:t>
      </w:r>
      <w:r w:rsidRPr="002C4077">
        <w:t xml:space="preserve"> </w:t>
      </w:r>
      <w:r>
        <w:t>destinée</w:t>
      </w:r>
      <w:r w:rsidRPr="002C4077">
        <w:t xml:space="preserve"> </w:t>
      </w:r>
      <w:r>
        <w:t>à</w:t>
      </w:r>
      <w:r w:rsidRPr="002C4077">
        <w:t xml:space="preserve"> </w:t>
      </w:r>
      <w:r>
        <w:t>Isaac.</w:t>
      </w:r>
      <w:r w:rsidRPr="002C4077">
        <w:t xml:space="preserve"> </w:t>
      </w:r>
      <w:r w:rsidR="00B546AF">
        <w:t>« </w:t>
      </w:r>
      <w:r>
        <w:t>Voici,</w:t>
      </w:r>
      <w:r w:rsidRPr="002C4077">
        <w:t xml:space="preserve"> </w:t>
      </w:r>
      <w:r>
        <w:t>dit-il,</w:t>
      </w:r>
      <w:r w:rsidRPr="002C4077">
        <w:t xml:space="preserve"> </w:t>
      </w:r>
      <w:r>
        <w:t>que</w:t>
      </w:r>
      <w:r w:rsidRPr="002C4077">
        <w:t xml:space="preserve"> </w:t>
      </w:r>
      <w:r>
        <w:t>je</w:t>
      </w:r>
      <w:r w:rsidRPr="002C4077">
        <w:t xml:space="preserve"> </w:t>
      </w:r>
      <w:r>
        <w:t>me</w:t>
      </w:r>
      <w:r w:rsidRPr="002C4077">
        <w:t xml:space="preserve"> </w:t>
      </w:r>
      <w:r>
        <w:t>tiens</w:t>
      </w:r>
      <w:r w:rsidRPr="002C4077">
        <w:t xml:space="preserve"> </w:t>
      </w:r>
      <w:r>
        <w:t>près</w:t>
      </w:r>
      <w:r w:rsidRPr="002C4077">
        <w:t xml:space="preserve"> </w:t>
      </w:r>
      <w:r>
        <w:t>de</w:t>
      </w:r>
      <w:r w:rsidRPr="002C4077">
        <w:t xml:space="preserve"> </w:t>
      </w:r>
      <w:r>
        <w:t>la</w:t>
      </w:r>
      <w:r w:rsidRPr="002C4077">
        <w:t xml:space="preserve"> </w:t>
      </w:r>
      <w:r>
        <w:t>fontaine</w:t>
      </w:r>
      <w:r w:rsidR="00B546AF">
        <w:t> ;</w:t>
      </w:r>
      <w:r w:rsidRPr="002C4077">
        <w:t xml:space="preserve"> </w:t>
      </w:r>
      <w:r>
        <w:t>et</w:t>
      </w:r>
      <w:r w:rsidRPr="002C4077">
        <w:t xml:space="preserve"> </w:t>
      </w:r>
      <w:r w:rsidR="00D40830" w:rsidRPr="00D40830">
        <w:t>l’</w:t>
      </w:r>
      <w:r w:rsidR="00D40830" w:rsidRPr="00D05EA9">
        <w:rPr>
          <w:rStyle w:val="italicus"/>
        </w:rPr>
        <w:t>῾almah</w:t>
      </w:r>
      <w:r w:rsidRPr="004440EA">
        <w:t xml:space="preserve"> (</w:t>
      </w:r>
      <w:r>
        <w:t>Vulg.,</w:t>
      </w:r>
      <w:r w:rsidRPr="002C4077">
        <w:t xml:space="preserve"> </w:t>
      </w:r>
      <w:r w:rsidR="00B546AF">
        <w:t>« </w:t>
      </w:r>
      <w:r>
        <w:t>virgo</w:t>
      </w:r>
      <w:r w:rsidR="00B546AF">
        <w:t> »</w:t>
      </w:r>
      <w:r w:rsidR="00B546AF" w:rsidRPr="002C4077">
        <w:t>)</w:t>
      </w:r>
      <w:r w:rsidRPr="002C4077">
        <w:t xml:space="preserve"> </w:t>
      </w:r>
      <w:r>
        <w:t>qui</w:t>
      </w:r>
      <w:r w:rsidRPr="002C4077">
        <w:t xml:space="preserve"> </w:t>
      </w:r>
      <w:r>
        <w:t>viendra</w:t>
      </w:r>
      <w:r w:rsidRPr="002C4077">
        <w:t xml:space="preserve"> </w:t>
      </w:r>
      <w:r>
        <w:t>puiser</w:t>
      </w:r>
      <w:r w:rsidRPr="002C4077">
        <w:t xml:space="preserve"> </w:t>
      </w:r>
      <w:r>
        <w:t>de</w:t>
      </w:r>
      <w:r w:rsidRPr="002C4077">
        <w:t xml:space="preserve"> </w:t>
      </w:r>
      <w:r>
        <w:t>l’eau</w:t>
      </w:r>
      <w:r w:rsidRPr="002C4077">
        <w:t xml:space="preserve"> </w:t>
      </w:r>
      <w:r>
        <w:t>et</w:t>
      </w:r>
      <w:r w:rsidRPr="002C4077">
        <w:t xml:space="preserve"> </w:t>
      </w:r>
      <w:r>
        <w:t>à</w:t>
      </w:r>
      <w:r w:rsidRPr="002C4077">
        <w:t xml:space="preserve"> </w:t>
      </w:r>
      <w:r>
        <w:t>qui</w:t>
      </w:r>
      <w:r w:rsidRPr="002C4077">
        <w:t xml:space="preserve"> </w:t>
      </w:r>
      <w:r>
        <w:t>je</w:t>
      </w:r>
      <w:r w:rsidRPr="002C4077">
        <w:t xml:space="preserve"> </w:t>
      </w:r>
      <w:r>
        <w:t>dirai</w:t>
      </w:r>
      <w:r w:rsidR="00B546AF">
        <w:t> :</w:t>
      </w:r>
      <w:r w:rsidR="00C45B47">
        <w:t xml:space="preserve"> {</w:t>
      </w:r>
      <w:r w:rsidR="000721C4">
        <w:t>60</w:t>
      </w:r>
      <w:bookmarkStart w:id="203" w:name="p060"/>
      <w:bookmarkEnd w:id="203"/>
      <w:r w:rsidR="000721C4">
        <w:t xml:space="preserve">} </w:t>
      </w:r>
      <w:r>
        <w:t>Donne-moi</w:t>
      </w:r>
      <w:r w:rsidRPr="002C4077">
        <w:t xml:space="preserve"> </w:t>
      </w:r>
      <w:r>
        <w:t>à</w:t>
      </w:r>
      <w:r w:rsidRPr="002C4077">
        <w:t xml:space="preserve"> </w:t>
      </w:r>
      <w:r>
        <w:t>boire</w:t>
      </w:r>
      <w:r w:rsidRPr="002C4077">
        <w:t xml:space="preserve"> </w:t>
      </w:r>
      <w:r>
        <w:t>un</w:t>
      </w:r>
      <w:r w:rsidRPr="002C4077">
        <w:t xml:space="preserve"> </w:t>
      </w:r>
      <w:r>
        <w:t>peu</w:t>
      </w:r>
      <w:r w:rsidRPr="002C4077">
        <w:t xml:space="preserve"> </w:t>
      </w:r>
      <w:r>
        <w:t>d’eau,</w:t>
      </w:r>
      <w:r w:rsidRPr="002C4077">
        <w:t xml:space="preserve"> </w:t>
      </w:r>
      <w:r>
        <w:t>et</w:t>
      </w:r>
      <w:r w:rsidRPr="002C4077">
        <w:t xml:space="preserve"> </w:t>
      </w:r>
      <w:r>
        <w:t>qui</w:t>
      </w:r>
      <w:r w:rsidRPr="002C4077">
        <w:t xml:space="preserve"> </w:t>
      </w:r>
      <w:r>
        <w:t>me</w:t>
      </w:r>
      <w:r w:rsidRPr="002C4077">
        <w:t xml:space="preserve"> </w:t>
      </w:r>
      <w:r>
        <w:t>répondra</w:t>
      </w:r>
      <w:r w:rsidR="00B546AF">
        <w:t> :</w:t>
      </w:r>
      <w:r w:rsidRPr="002C4077">
        <w:t xml:space="preserve"> </w:t>
      </w:r>
      <w:r>
        <w:t>Bois,</w:t>
      </w:r>
      <w:r w:rsidRPr="002C4077">
        <w:t xml:space="preserve"> </w:t>
      </w:r>
      <w:r>
        <w:t>et</w:t>
      </w:r>
      <w:r w:rsidRPr="002C4077">
        <w:t xml:space="preserve"> </w:t>
      </w:r>
      <w:r>
        <w:t>je</w:t>
      </w:r>
      <w:r w:rsidRPr="002C4077">
        <w:t xml:space="preserve"> </w:t>
      </w:r>
      <w:r>
        <w:t>vais</w:t>
      </w:r>
      <w:r w:rsidRPr="002C4077">
        <w:t xml:space="preserve"> </w:t>
      </w:r>
      <w:r>
        <w:t>puiser</w:t>
      </w:r>
      <w:r w:rsidRPr="002C4077">
        <w:t xml:space="preserve"> </w:t>
      </w:r>
      <w:r>
        <w:t>aussi</w:t>
      </w:r>
      <w:r w:rsidRPr="002C4077">
        <w:t xml:space="preserve"> </w:t>
      </w:r>
      <w:r>
        <w:t>pour</w:t>
      </w:r>
      <w:r w:rsidRPr="002C4077">
        <w:t xml:space="preserve"> </w:t>
      </w:r>
      <w:r>
        <w:t>tes</w:t>
      </w:r>
      <w:r w:rsidRPr="002C4077">
        <w:t xml:space="preserve"> </w:t>
      </w:r>
      <w:r>
        <w:t>chameaux,</w:t>
      </w:r>
      <w:r w:rsidRPr="002C4077">
        <w:t xml:space="preserve"> </w:t>
      </w:r>
      <w:r>
        <w:t>celle-là</w:t>
      </w:r>
      <w:r w:rsidRPr="002C4077">
        <w:t xml:space="preserve"> </w:t>
      </w:r>
      <w:r>
        <w:t>sera</w:t>
      </w:r>
      <w:r w:rsidRPr="002C4077">
        <w:t xml:space="preserve"> </w:t>
      </w:r>
      <w:r>
        <w:t>la</w:t>
      </w:r>
      <w:r w:rsidRPr="002C4077">
        <w:t xml:space="preserve"> </w:t>
      </w:r>
      <w:r>
        <w:t>femme</w:t>
      </w:r>
      <w:r w:rsidRPr="002C4077">
        <w:t xml:space="preserve"> </w:t>
      </w:r>
      <w:r>
        <w:t>que</w:t>
      </w:r>
      <w:r w:rsidRPr="002C4077">
        <w:t xml:space="preserve"> </w:t>
      </w:r>
      <w:r>
        <w:t>le</w:t>
      </w:r>
      <w:r w:rsidRPr="002C4077">
        <w:t xml:space="preserve"> </w:t>
      </w:r>
      <w:r>
        <w:t>Seigneur</w:t>
      </w:r>
      <w:r w:rsidRPr="002C4077">
        <w:t xml:space="preserve"> </w:t>
      </w:r>
      <w:r>
        <w:t>destine</w:t>
      </w:r>
      <w:r w:rsidRPr="002C4077">
        <w:t xml:space="preserve"> </w:t>
      </w:r>
      <w:r>
        <w:t>au</w:t>
      </w:r>
      <w:r w:rsidRPr="002C4077">
        <w:t xml:space="preserve"> </w:t>
      </w:r>
      <w:r>
        <w:t>fils</w:t>
      </w:r>
      <w:r w:rsidRPr="002C4077">
        <w:t xml:space="preserve"> </w:t>
      </w:r>
      <w:r>
        <w:t>de</w:t>
      </w:r>
      <w:r w:rsidRPr="002C4077">
        <w:t xml:space="preserve"> </w:t>
      </w:r>
      <w:r>
        <w:t>mon</w:t>
      </w:r>
      <w:r w:rsidRPr="002C4077">
        <w:t xml:space="preserve"> </w:t>
      </w:r>
      <w:r>
        <w:t>maître.</w:t>
      </w:r>
      <w:r w:rsidR="00B546AF">
        <w:t> »</w:t>
      </w:r>
      <w:r w:rsidRPr="002C4077">
        <w:t xml:space="preserve"> </w:t>
      </w:r>
      <w:r>
        <w:t>Or,</w:t>
      </w:r>
      <w:r w:rsidRPr="002C4077">
        <w:t xml:space="preserve"> </w:t>
      </w:r>
      <w:r>
        <w:t>plus</w:t>
      </w:r>
      <w:r w:rsidRPr="002C4077">
        <w:t xml:space="preserve"> </w:t>
      </w:r>
      <w:r>
        <w:t>haut,</w:t>
      </w:r>
      <w:r w:rsidRPr="002C4077">
        <w:t xml:space="preserve"> </w:t>
      </w:r>
      <w:r>
        <w:t>le</w:t>
      </w:r>
      <w:r w:rsidRPr="002C4077">
        <w:t xml:space="preserve"> </w:t>
      </w:r>
      <w:r>
        <w:t>récit</w:t>
      </w:r>
      <w:r w:rsidRPr="002C4077">
        <w:t xml:space="preserve"> </w:t>
      </w:r>
      <w:r>
        <w:t>sacré</w:t>
      </w:r>
      <w:r w:rsidRPr="002C4077">
        <w:t xml:space="preserve"> </w:t>
      </w:r>
      <w:r>
        <w:t>avait</w:t>
      </w:r>
      <w:r w:rsidRPr="002C4077">
        <w:t xml:space="preserve"> </w:t>
      </w:r>
      <w:r>
        <w:t>affirmé</w:t>
      </w:r>
      <w:r w:rsidRPr="002C4077">
        <w:t xml:space="preserve"> </w:t>
      </w:r>
      <w:r>
        <w:t>de</w:t>
      </w:r>
      <w:r w:rsidRPr="002C4077">
        <w:t xml:space="preserve"> </w:t>
      </w:r>
      <w:r>
        <w:t>la</w:t>
      </w:r>
      <w:r w:rsidRPr="002C4077">
        <w:t xml:space="preserve"> </w:t>
      </w:r>
      <w:r>
        <w:t>façon</w:t>
      </w:r>
      <w:r w:rsidRPr="002C4077">
        <w:t xml:space="preserve"> </w:t>
      </w:r>
      <w:r>
        <w:t>la</w:t>
      </w:r>
      <w:r w:rsidRPr="002C4077">
        <w:t xml:space="preserve"> </w:t>
      </w:r>
      <w:r>
        <w:t>plus</w:t>
      </w:r>
      <w:r w:rsidRPr="002C4077">
        <w:t xml:space="preserve"> </w:t>
      </w:r>
      <w:r>
        <w:t>expresse</w:t>
      </w:r>
      <w:r w:rsidRPr="002C4077">
        <w:t xml:space="preserve"> </w:t>
      </w:r>
      <w:r>
        <w:t>qu</w:t>
      </w:r>
      <w:r w:rsidR="006E7907">
        <w:t>’</w:t>
      </w:r>
      <w:r w:rsidR="00B546AF">
        <w:t>« </w:t>
      </w:r>
      <w:r>
        <w:t>elle</w:t>
      </w:r>
      <w:r w:rsidRPr="002C4077">
        <w:t xml:space="preserve"> </w:t>
      </w:r>
      <w:r w:rsidR="009620EB">
        <w:t>était</w:t>
      </w:r>
      <w:r w:rsidRPr="002C4077">
        <w:t xml:space="preserve"> </w:t>
      </w:r>
      <w:r>
        <w:t>vierge</w:t>
      </w:r>
      <w:r w:rsidRPr="004440EA">
        <w:t xml:space="preserve"> (</w:t>
      </w:r>
      <w:r w:rsidRPr="000A34B5">
        <w:rPr>
          <w:rStyle w:val="italicus"/>
        </w:rPr>
        <w:t>bethoulah</w:t>
      </w:r>
      <w:r w:rsidR="00B546AF" w:rsidRPr="002C4077">
        <w:t>)</w:t>
      </w:r>
      <w:r w:rsidRPr="002C4077">
        <w:t xml:space="preserve"> </w:t>
      </w:r>
      <w:r>
        <w:t>et</w:t>
      </w:r>
      <w:r w:rsidRPr="002C4077">
        <w:t xml:space="preserve"> </w:t>
      </w:r>
      <w:r>
        <w:t>que</w:t>
      </w:r>
      <w:r w:rsidRPr="002C4077">
        <w:t xml:space="preserve"> </w:t>
      </w:r>
      <w:r>
        <w:t>nul</w:t>
      </w:r>
      <w:r w:rsidRPr="002C4077">
        <w:t xml:space="preserve"> </w:t>
      </w:r>
      <w:r>
        <w:t>homme</w:t>
      </w:r>
      <w:r w:rsidRPr="002C4077">
        <w:t xml:space="preserve"> </w:t>
      </w:r>
      <w:r>
        <w:t>ne</w:t>
      </w:r>
      <w:r w:rsidRPr="002C4077">
        <w:t xml:space="preserve"> </w:t>
      </w:r>
      <w:r>
        <w:t>l’avait</w:t>
      </w:r>
      <w:r w:rsidRPr="002C4077">
        <w:t xml:space="preserve"> </w:t>
      </w:r>
      <w:r>
        <w:t>connue</w:t>
      </w:r>
      <w:r w:rsidR="00B91AF7">
        <w:rPr>
          <w:rStyle w:val="Appelnotedebasdep"/>
        </w:rPr>
        <w:footnoteReference w:id="175"/>
      </w:r>
      <w:r w:rsidR="00B546AF">
        <w:t> »</w:t>
      </w:r>
      <w:r>
        <w:t>.</w:t>
      </w:r>
      <w:r w:rsidRPr="002C4077">
        <w:t xml:space="preserve"> </w:t>
      </w:r>
      <w:r>
        <w:t>Voilà</w:t>
      </w:r>
      <w:r w:rsidRPr="002C4077">
        <w:t xml:space="preserve"> </w:t>
      </w:r>
      <w:r>
        <w:t>certes</w:t>
      </w:r>
      <w:r w:rsidRPr="002C4077">
        <w:t xml:space="preserve"> </w:t>
      </w:r>
      <w:r>
        <w:t>une</w:t>
      </w:r>
      <w:r w:rsidRPr="002C4077">
        <w:t xml:space="preserve"> </w:t>
      </w:r>
      <w:r>
        <w:t>définition</w:t>
      </w:r>
      <w:r w:rsidRPr="002C4077">
        <w:t xml:space="preserve"> </w:t>
      </w:r>
      <w:r>
        <w:t>officielle</w:t>
      </w:r>
      <w:r w:rsidRPr="002C4077">
        <w:t xml:space="preserve"> </w:t>
      </w:r>
      <w:r>
        <w:t>du</w:t>
      </w:r>
      <w:r w:rsidRPr="002C4077">
        <w:t xml:space="preserve"> </w:t>
      </w:r>
      <w:r>
        <w:t>mot</w:t>
      </w:r>
      <w:r w:rsidRPr="002C4077">
        <w:t xml:space="preserve"> </w:t>
      </w:r>
      <w:r w:rsidR="00D40830" w:rsidRPr="00D05EA9">
        <w:rPr>
          <w:rStyle w:val="italicus"/>
        </w:rPr>
        <w:t>῾almah</w:t>
      </w:r>
      <w:r w:rsidRPr="000A34B5">
        <w:rPr>
          <w:rStyle w:val="italicus"/>
        </w:rPr>
        <w:t>.</w:t>
      </w:r>
      <w:r w:rsidRPr="002C4077">
        <w:t xml:space="preserve"> </w:t>
      </w:r>
    </w:p>
    <w:p w:rsidR="000A7AAB" w:rsidRDefault="000A7AAB" w:rsidP="000A7AAB">
      <w:r>
        <w:t>2°</w:t>
      </w:r>
      <w:r w:rsidRPr="002C4077">
        <w:t xml:space="preserve"> </w:t>
      </w:r>
      <w:r>
        <w:t>Exode</w:t>
      </w:r>
      <w:r w:rsidRPr="002C4077">
        <w:t xml:space="preserve"> </w:t>
      </w:r>
      <w:r>
        <w:rPr>
          <w:smallCaps/>
        </w:rPr>
        <w:t>ii</w:t>
      </w:r>
      <w:r>
        <w:t>,</w:t>
      </w:r>
      <w:r w:rsidRPr="002C4077">
        <w:t xml:space="preserve"> </w:t>
      </w:r>
      <w:r>
        <w:t>8.</w:t>
      </w:r>
      <w:r w:rsidRPr="002C4077">
        <w:t xml:space="preserve"> </w:t>
      </w:r>
      <w:r w:rsidR="00B546AF">
        <w:t>« </w:t>
      </w:r>
      <w:r>
        <w:t>Et</w:t>
      </w:r>
      <w:r w:rsidRPr="002C4077">
        <w:t xml:space="preserve"> </w:t>
      </w:r>
      <w:r w:rsidR="00D40830" w:rsidRPr="00D40830">
        <w:t>l’</w:t>
      </w:r>
      <w:r w:rsidR="00D40830" w:rsidRPr="00D05EA9">
        <w:rPr>
          <w:rStyle w:val="italicus"/>
        </w:rPr>
        <w:t>῾almah</w:t>
      </w:r>
      <w:r w:rsidRPr="002C4077">
        <w:t xml:space="preserve"> </w:t>
      </w:r>
      <w:r>
        <w:t>alla</w:t>
      </w:r>
      <w:r w:rsidRPr="002C4077">
        <w:t xml:space="preserve"> </w:t>
      </w:r>
      <w:r>
        <w:t>et</w:t>
      </w:r>
      <w:r w:rsidRPr="002C4077">
        <w:t xml:space="preserve"> </w:t>
      </w:r>
      <w:r>
        <w:t>elle</w:t>
      </w:r>
      <w:r w:rsidRPr="002C4077">
        <w:t xml:space="preserve"> </w:t>
      </w:r>
      <w:r>
        <w:t>appela</w:t>
      </w:r>
      <w:r w:rsidRPr="002C4077">
        <w:t xml:space="preserve"> </w:t>
      </w:r>
      <w:r>
        <w:t>la</w:t>
      </w:r>
      <w:r w:rsidRPr="002C4077">
        <w:t xml:space="preserve"> </w:t>
      </w:r>
      <w:r>
        <w:t>mère</w:t>
      </w:r>
      <w:r w:rsidRPr="002C4077">
        <w:t xml:space="preserve"> </w:t>
      </w:r>
      <w:r>
        <w:t>de</w:t>
      </w:r>
      <w:r w:rsidRPr="002C4077">
        <w:t xml:space="preserve"> </w:t>
      </w:r>
      <w:r>
        <w:t>l’enfant</w:t>
      </w:r>
      <w:r w:rsidR="00B546AF">
        <w:t> »</w:t>
      </w:r>
      <w:r>
        <w:t>.</w:t>
      </w:r>
      <w:r w:rsidRPr="002C4077">
        <w:t xml:space="preserve"> </w:t>
      </w:r>
      <w:r>
        <w:t>Ici,</w:t>
      </w:r>
      <w:r w:rsidRPr="002C4077">
        <w:t xml:space="preserve"> </w:t>
      </w:r>
      <w:r w:rsidR="00D40830" w:rsidRPr="00D40830">
        <w:t>l’</w:t>
      </w:r>
      <w:r w:rsidR="00D40830" w:rsidRPr="00D05EA9">
        <w:rPr>
          <w:rStyle w:val="italicus"/>
        </w:rPr>
        <w:t>῾almah</w:t>
      </w:r>
      <w:r w:rsidRPr="002C4077">
        <w:t xml:space="preserve"> </w:t>
      </w:r>
      <w:r w:rsidR="00425C50">
        <w:t>est</w:t>
      </w:r>
      <w:r w:rsidRPr="002C4077">
        <w:t xml:space="preserve"> </w:t>
      </w:r>
      <w:r>
        <w:t>une</w:t>
      </w:r>
      <w:r w:rsidRPr="002C4077">
        <w:t xml:space="preserve"> </w:t>
      </w:r>
      <w:r>
        <w:t>jeune</w:t>
      </w:r>
      <w:r w:rsidRPr="002C4077">
        <w:t xml:space="preserve"> </w:t>
      </w:r>
      <w:r>
        <w:t>fille</w:t>
      </w:r>
      <w:r w:rsidRPr="002C4077">
        <w:t xml:space="preserve"> </w:t>
      </w:r>
      <w:r>
        <w:t>d’environ</w:t>
      </w:r>
      <w:r w:rsidRPr="002C4077">
        <w:t xml:space="preserve"> </w:t>
      </w:r>
      <w:r>
        <w:t>dix</w:t>
      </w:r>
      <w:r w:rsidRPr="002C4077">
        <w:t xml:space="preserve"> </w:t>
      </w:r>
      <w:r>
        <w:t>ans,</w:t>
      </w:r>
      <w:r w:rsidRPr="002C4077">
        <w:t xml:space="preserve"> </w:t>
      </w:r>
      <w:r>
        <w:t>Marie,</w:t>
      </w:r>
      <w:r w:rsidRPr="002C4077">
        <w:t xml:space="preserve"> </w:t>
      </w:r>
      <w:r>
        <w:t>sœur</w:t>
      </w:r>
      <w:r w:rsidRPr="002C4077">
        <w:t xml:space="preserve"> </w:t>
      </w:r>
      <w:r>
        <w:t>de</w:t>
      </w:r>
      <w:r w:rsidRPr="002C4077">
        <w:t xml:space="preserve"> </w:t>
      </w:r>
      <w:r>
        <w:t>Moïse,</w:t>
      </w:r>
      <w:r w:rsidRPr="002C4077">
        <w:t xml:space="preserve"> </w:t>
      </w:r>
      <w:r>
        <w:t>dont</w:t>
      </w:r>
      <w:r w:rsidRPr="002C4077">
        <w:t xml:space="preserve"> </w:t>
      </w:r>
      <w:r>
        <w:t>toute</w:t>
      </w:r>
      <w:r w:rsidRPr="002C4077">
        <w:t xml:space="preserve"> </w:t>
      </w:r>
      <w:r>
        <w:t>la</w:t>
      </w:r>
      <w:r w:rsidRPr="002C4077">
        <w:t xml:space="preserve"> </w:t>
      </w:r>
      <w:r>
        <w:t>tradition</w:t>
      </w:r>
      <w:r w:rsidRPr="002C4077">
        <w:t xml:space="preserve"> </w:t>
      </w:r>
      <w:r>
        <w:t>juive</w:t>
      </w:r>
      <w:r w:rsidRPr="002C4077">
        <w:t xml:space="preserve"> </w:t>
      </w:r>
      <w:r>
        <w:t>atteste</w:t>
      </w:r>
      <w:r w:rsidRPr="002C4077">
        <w:t xml:space="preserve"> </w:t>
      </w:r>
      <w:r>
        <w:t>la</w:t>
      </w:r>
      <w:r w:rsidRPr="002C4077">
        <w:t xml:space="preserve"> </w:t>
      </w:r>
      <w:r>
        <w:t>virginité</w:t>
      </w:r>
      <w:r w:rsidRPr="002C4077">
        <w:t xml:space="preserve"> </w:t>
      </w:r>
      <w:r>
        <w:t>perpétuelle.</w:t>
      </w:r>
      <w:r w:rsidRPr="002C4077">
        <w:t xml:space="preserve"> </w:t>
      </w:r>
    </w:p>
    <w:p w:rsidR="000A7AAB" w:rsidRDefault="000A7AAB" w:rsidP="000A7AAB">
      <w:r>
        <w:t>3°</w:t>
      </w:r>
      <w:r w:rsidRPr="002C4077">
        <w:t xml:space="preserve"> </w:t>
      </w:r>
      <w:r>
        <w:t>Psaume</w:t>
      </w:r>
      <w:r w:rsidRPr="002C4077">
        <w:t xml:space="preserve"> </w:t>
      </w:r>
      <w:r>
        <w:rPr>
          <w:smallCaps/>
        </w:rPr>
        <w:t>LXVIII</w:t>
      </w:r>
      <w:r w:rsidRPr="004440EA">
        <w:t xml:space="preserve"> (</w:t>
      </w:r>
      <w:r>
        <w:t>Vulg.</w:t>
      </w:r>
      <w:r w:rsidRPr="002C4077">
        <w:t xml:space="preserve"> </w:t>
      </w:r>
      <w:r>
        <w:rPr>
          <w:smallCaps/>
        </w:rPr>
        <w:t>LXVII</w:t>
      </w:r>
      <w:r w:rsidR="00B546AF" w:rsidRPr="002C4077">
        <w:t>)</w:t>
      </w:r>
      <w:r w:rsidRPr="00950016">
        <w:t>,</w:t>
      </w:r>
      <w:r w:rsidRPr="002C4077">
        <w:t xml:space="preserve"> </w:t>
      </w:r>
      <w:r>
        <w:t>26.</w:t>
      </w:r>
      <w:r w:rsidRPr="002C4077">
        <w:t xml:space="preserve"> </w:t>
      </w:r>
      <w:r>
        <w:t>Le</w:t>
      </w:r>
      <w:r w:rsidRPr="002C4077">
        <w:t xml:space="preserve"> </w:t>
      </w:r>
      <w:r>
        <w:t>poète</w:t>
      </w:r>
      <w:r w:rsidRPr="002C4077">
        <w:t xml:space="preserve"> </w:t>
      </w:r>
      <w:r>
        <w:t>inspiré</w:t>
      </w:r>
      <w:r w:rsidRPr="002C4077">
        <w:t xml:space="preserve"> </w:t>
      </w:r>
      <w:r>
        <w:t>décrit</w:t>
      </w:r>
      <w:r w:rsidRPr="002C4077">
        <w:t xml:space="preserve"> </w:t>
      </w:r>
      <w:r>
        <w:t>la</w:t>
      </w:r>
      <w:r w:rsidRPr="002C4077">
        <w:t xml:space="preserve"> </w:t>
      </w:r>
      <w:r>
        <w:t>marche</w:t>
      </w:r>
      <w:r w:rsidRPr="002C4077">
        <w:t xml:space="preserve"> </w:t>
      </w:r>
      <w:r>
        <w:t>triomphale</w:t>
      </w:r>
      <w:r w:rsidRPr="002C4077">
        <w:t xml:space="preserve"> </w:t>
      </w:r>
      <w:r>
        <w:t>des</w:t>
      </w:r>
      <w:r w:rsidRPr="002C4077">
        <w:t xml:space="preserve"> </w:t>
      </w:r>
      <w:r>
        <w:t>Hébreux</w:t>
      </w:r>
      <w:r w:rsidRPr="002C4077">
        <w:t xml:space="preserve"> </w:t>
      </w:r>
      <w:r>
        <w:t>accompagnant</w:t>
      </w:r>
      <w:r w:rsidRPr="002C4077">
        <w:t xml:space="preserve"> </w:t>
      </w:r>
      <w:r>
        <w:t>l’arche</w:t>
      </w:r>
      <w:r w:rsidR="00B546AF">
        <w:t> :</w:t>
      </w:r>
      <w:r w:rsidRPr="002C4077">
        <w:t xml:space="preserve"> </w:t>
      </w:r>
      <w:r w:rsidR="00B546AF">
        <w:t>« </w:t>
      </w:r>
      <w:r>
        <w:t>En</w:t>
      </w:r>
      <w:r w:rsidRPr="002C4077">
        <w:t xml:space="preserve"> </w:t>
      </w:r>
      <w:r>
        <w:t>tête</w:t>
      </w:r>
      <w:r w:rsidRPr="002C4077">
        <w:t xml:space="preserve"> </w:t>
      </w:r>
      <w:r>
        <w:t>vont</w:t>
      </w:r>
      <w:r w:rsidRPr="002C4077">
        <w:t xml:space="preserve"> </w:t>
      </w:r>
      <w:r>
        <w:t>les</w:t>
      </w:r>
      <w:r w:rsidRPr="002C4077">
        <w:t xml:space="preserve"> </w:t>
      </w:r>
      <w:r>
        <w:t>chanteurs,</w:t>
      </w:r>
      <w:r w:rsidRPr="002C4077">
        <w:t xml:space="preserve"> </w:t>
      </w:r>
      <w:r>
        <w:t>puis</w:t>
      </w:r>
      <w:r w:rsidRPr="002C4077">
        <w:t xml:space="preserve"> </w:t>
      </w:r>
      <w:r>
        <w:t>les</w:t>
      </w:r>
      <w:r w:rsidRPr="002C4077">
        <w:t xml:space="preserve"> </w:t>
      </w:r>
      <w:r>
        <w:t>joueurs</w:t>
      </w:r>
      <w:r w:rsidRPr="002C4077">
        <w:t xml:space="preserve"> </w:t>
      </w:r>
      <w:r>
        <w:t>d’instruments</w:t>
      </w:r>
      <w:r w:rsidRPr="002C4077">
        <w:t xml:space="preserve"> </w:t>
      </w:r>
      <w:r>
        <w:t>à</w:t>
      </w:r>
      <w:r w:rsidRPr="002C4077">
        <w:t xml:space="preserve"> </w:t>
      </w:r>
      <w:r>
        <w:t>cordes,</w:t>
      </w:r>
      <w:r w:rsidRPr="002C4077">
        <w:t xml:space="preserve"> </w:t>
      </w:r>
      <w:r>
        <w:t>au</w:t>
      </w:r>
      <w:r w:rsidRPr="002C4077">
        <w:t xml:space="preserve"> </w:t>
      </w:r>
      <w:r>
        <w:t>milieu</w:t>
      </w:r>
      <w:r w:rsidRPr="002C4077">
        <w:t xml:space="preserve"> </w:t>
      </w:r>
      <w:r>
        <w:t>des</w:t>
      </w:r>
      <w:r w:rsidRPr="002C4077">
        <w:t xml:space="preserve"> </w:t>
      </w:r>
      <w:r w:rsidR="0055004A">
        <w:t>῾</w:t>
      </w:r>
      <w:r w:rsidRPr="000A34B5">
        <w:rPr>
          <w:rStyle w:val="italicus"/>
        </w:rPr>
        <w:t>alamôth</w:t>
      </w:r>
      <w:r w:rsidRPr="002C4077">
        <w:t xml:space="preserve"> </w:t>
      </w:r>
      <w:r>
        <w:t>battant</w:t>
      </w:r>
      <w:r w:rsidRPr="002C4077">
        <w:t xml:space="preserve"> </w:t>
      </w:r>
      <w:r>
        <w:t>du</w:t>
      </w:r>
      <w:r w:rsidRPr="002C4077">
        <w:t xml:space="preserve"> </w:t>
      </w:r>
      <w:r>
        <w:t>tambourin</w:t>
      </w:r>
      <w:r w:rsidR="00B546AF">
        <w:t> »</w:t>
      </w:r>
      <w:r>
        <w:t>.</w:t>
      </w:r>
      <w:r w:rsidRPr="002C4077">
        <w:t xml:space="preserve"> </w:t>
      </w:r>
      <w:r>
        <w:t>Les</w:t>
      </w:r>
      <w:r w:rsidRPr="002C4077">
        <w:t xml:space="preserve"> </w:t>
      </w:r>
      <w:r>
        <w:t>commentateurs</w:t>
      </w:r>
      <w:r w:rsidRPr="002C4077">
        <w:t xml:space="preserve"> </w:t>
      </w:r>
      <w:r>
        <w:t>reconnaissent,</w:t>
      </w:r>
      <w:r w:rsidRPr="002C4077">
        <w:t xml:space="preserve"> </w:t>
      </w:r>
      <w:r>
        <w:t>sans</w:t>
      </w:r>
      <w:r w:rsidRPr="002C4077">
        <w:t xml:space="preserve"> </w:t>
      </w:r>
      <w:r>
        <w:t>distinction</w:t>
      </w:r>
      <w:r w:rsidRPr="002C4077">
        <w:t xml:space="preserve"> </w:t>
      </w:r>
      <w:r>
        <w:t>d’opinions,</w:t>
      </w:r>
      <w:r w:rsidRPr="002C4077">
        <w:t xml:space="preserve"> </w:t>
      </w:r>
      <w:r>
        <w:t>que</w:t>
      </w:r>
      <w:r w:rsidRPr="002C4077">
        <w:t xml:space="preserve"> </w:t>
      </w:r>
      <w:r>
        <w:t>ces</w:t>
      </w:r>
      <w:r w:rsidRPr="002C4077">
        <w:t xml:space="preserve"> </w:t>
      </w:r>
      <w:r>
        <w:lastRenderedPageBreak/>
        <w:t>jeunes</w:t>
      </w:r>
      <w:r w:rsidRPr="002C4077">
        <w:t xml:space="preserve"> </w:t>
      </w:r>
      <w:r>
        <w:t>filles</w:t>
      </w:r>
      <w:r w:rsidRPr="002C4077">
        <w:t xml:space="preserve"> </w:t>
      </w:r>
      <w:r>
        <w:t>employées</w:t>
      </w:r>
      <w:r w:rsidRPr="002C4077">
        <w:t xml:space="preserve"> </w:t>
      </w:r>
      <w:r>
        <w:t>à</w:t>
      </w:r>
      <w:r w:rsidRPr="002C4077">
        <w:t xml:space="preserve"> </w:t>
      </w:r>
      <w:r>
        <w:t>des</w:t>
      </w:r>
      <w:r w:rsidRPr="002C4077">
        <w:t xml:space="preserve"> </w:t>
      </w:r>
      <w:r>
        <w:t>fonctions</w:t>
      </w:r>
      <w:r w:rsidRPr="002C4077">
        <w:t xml:space="preserve"> </w:t>
      </w:r>
      <w:r>
        <w:t>religieuses</w:t>
      </w:r>
      <w:r w:rsidRPr="002C4077">
        <w:t xml:space="preserve"> </w:t>
      </w:r>
      <w:r>
        <w:t>devaient</w:t>
      </w:r>
      <w:r w:rsidRPr="002C4077">
        <w:t xml:space="preserve"> </w:t>
      </w:r>
      <w:r>
        <w:t>jouir</w:t>
      </w:r>
      <w:r w:rsidRPr="002C4077">
        <w:t xml:space="preserve"> </w:t>
      </w:r>
      <w:r>
        <w:t>de</w:t>
      </w:r>
      <w:r w:rsidRPr="002C4077">
        <w:t xml:space="preserve"> </w:t>
      </w:r>
      <w:r>
        <w:t>la</w:t>
      </w:r>
      <w:r w:rsidRPr="002C4077">
        <w:t xml:space="preserve"> </w:t>
      </w:r>
      <w:r>
        <w:t>plus</w:t>
      </w:r>
      <w:r w:rsidRPr="002C4077">
        <w:t xml:space="preserve"> </w:t>
      </w:r>
      <w:r>
        <w:t>parfaite</w:t>
      </w:r>
      <w:r w:rsidRPr="002C4077">
        <w:t xml:space="preserve"> </w:t>
      </w:r>
      <w:r>
        <w:t>réputation</w:t>
      </w:r>
      <w:r w:rsidR="00B91AF7">
        <w:rPr>
          <w:rStyle w:val="Appelnotedebasdep"/>
        </w:rPr>
        <w:footnoteReference w:id="176"/>
      </w:r>
      <w:r>
        <w:t>.</w:t>
      </w:r>
      <w:r w:rsidRPr="002C4077">
        <w:t xml:space="preserve"> </w:t>
      </w:r>
      <w:r>
        <w:t>Où</w:t>
      </w:r>
      <w:r w:rsidRPr="002C4077">
        <w:t xml:space="preserve"> </w:t>
      </w:r>
      <w:r>
        <w:t>Ges</w:t>
      </w:r>
      <w:r w:rsidR="003B53FD">
        <w:t>énius</w:t>
      </w:r>
      <w:r w:rsidRPr="002C4077">
        <w:t xml:space="preserve"> </w:t>
      </w:r>
      <w:r>
        <w:t>a-t-il</w:t>
      </w:r>
      <w:r w:rsidRPr="002C4077">
        <w:t xml:space="preserve"> </w:t>
      </w:r>
      <w:r>
        <w:t>appris</w:t>
      </w:r>
      <w:r w:rsidRPr="002C4077">
        <w:t xml:space="preserve"> </w:t>
      </w:r>
      <w:r>
        <w:t>que</w:t>
      </w:r>
      <w:r w:rsidRPr="002C4077">
        <w:t xml:space="preserve"> </w:t>
      </w:r>
      <w:r>
        <w:t>c’étaient</w:t>
      </w:r>
      <w:r w:rsidRPr="002C4077">
        <w:t xml:space="preserve"> </w:t>
      </w:r>
      <w:r>
        <w:t>des</w:t>
      </w:r>
      <w:r w:rsidRPr="002C4077">
        <w:t xml:space="preserve"> </w:t>
      </w:r>
      <w:r>
        <w:t>femmes</w:t>
      </w:r>
      <w:r w:rsidRPr="002C4077">
        <w:t xml:space="preserve"> </w:t>
      </w:r>
      <w:r>
        <w:t>mariées</w:t>
      </w:r>
      <w:r w:rsidR="00B546AF">
        <w:t> ?</w:t>
      </w:r>
      <w:r w:rsidRPr="002C4077">
        <w:t xml:space="preserve"> </w:t>
      </w:r>
    </w:p>
    <w:p w:rsidR="000A7AAB" w:rsidRPr="000721C4" w:rsidRDefault="000A7AAB" w:rsidP="000A7AAB">
      <w:r>
        <w:t>4°</w:t>
      </w:r>
      <w:r w:rsidRPr="002C4077">
        <w:t xml:space="preserve"> </w:t>
      </w:r>
      <w:r>
        <w:t>Cantique</w:t>
      </w:r>
      <w:r w:rsidRPr="002C4077">
        <w:t xml:space="preserve"> </w:t>
      </w:r>
      <w:r>
        <w:t>I,</w:t>
      </w:r>
      <w:r w:rsidRPr="002C4077">
        <w:t xml:space="preserve"> </w:t>
      </w:r>
      <w:r>
        <w:t>3.</w:t>
      </w:r>
      <w:r w:rsidRPr="002C4077">
        <w:t xml:space="preserve"> </w:t>
      </w:r>
      <w:r>
        <w:t>L’épouse</w:t>
      </w:r>
      <w:r w:rsidRPr="002C4077">
        <w:t xml:space="preserve"> </w:t>
      </w:r>
      <w:r>
        <w:t>mystique</w:t>
      </w:r>
      <w:r w:rsidRPr="002C4077">
        <w:t xml:space="preserve"> </w:t>
      </w:r>
      <w:r>
        <w:t>tient</w:t>
      </w:r>
      <w:r w:rsidRPr="002C4077">
        <w:t xml:space="preserve"> </w:t>
      </w:r>
      <w:r>
        <w:t>à</w:t>
      </w:r>
      <w:r w:rsidRPr="002C4077">
        <w:t xml:space="preserve"> </w:t>
      </w:r>
      <w:r>
        <w:t>l’époux</w:t>
      </w:r>
      <w:r w:rsidRPr="002C4077">
        <w:t xml:space="preserve"> </w:t>
      </w:r>
      <w:r>
        <w:t>ce</w:t>
      </w:r>
      <w:r w:rsidRPr="002C4077">
        <w:t xml:space="preserve"> </w:t>
      </w:r>
      <w:r>
        <w:t>langage</w:t>
      </w:r>
      <w:r w:rsidR="00B546AF">
        <w:t> :</w:t>
      </w:r>
      <w:r w:rsidRPr="002C4077">
        <w:t xml:space="preserve"> </w:t>
      </w:r>
      <w:r w:rsidR="00B546AF">
        <w:t>« </w:t>
      </w:r>
      <w:r>
        <w:t>Ton</w:t>
      </w:r>
      <w:r w:rsidRPr="002C4077">
        <w:t xml:space="preserve"> </w:t>
      </w:r>
      <w:r>
        <w:t>nom</w:t>
      </w:r>
      <w:r w:rsidRPr="002C4077">
        <w:t xml:space="preserve"> </w:t>
      </w:r>
      <w:r w:rsidR="00425C50">
        <w:t>est</w:t>
      </w:r>
      <w:r w:rsidRPr="002C4077">
        <w:t xml:space="preserve"> </w:t>
      </w:r>
      <w:r>
        <w:t>un</w:t>
      </w:r>
      <w:r w:rsidRPr="002C4077">
        <w:t xml:space="preserve"> </w:t>
      </w:r>
      <w:r>
        <w:t>parfum</w:t>
      </w:r>
      <w:r w:rsidRPr="002C4077">
        <w:t xml:space="preserve"> </w:t>
      </w:r>
      <w:r>
        <w:t>épanché,</w:t>
      </w:r>
      <w:r w:rsidRPr="002C4077">
        <w:t xml:space="preserve"> </w:t>
      </w:r>
      <w:r>
        <w:t>c’est</w:t>
      </w:r>
      <w:r w:rsidRPr="002C4077">
        <w:t xml:space="preserve"> </w:t>
      </w:r>
      <w:r>
        <w:t>pourquoi</w:t>
      </w:r>
      <w:r w:rsidRPr="002C4077">
        <w:t xml:space="preserve"> </w:t>
      </w:r>
      <w:r>
        <w:t>les</w:t>
      </w:r>
      <w:r w:rsidRPr="002C4077">
        <w:t xml:space="preserve"> </w:t>
      </w:r>
      <w:r w:rsidR="0055004A">
        <w:t>῾</w:t>
      </w:r>
      <w:r w:rsidRPr="000A34B5">
        <w:rPr>
          <w:rStyle w:val="italicus"/>
        </w:rPr>
        <w:t>alamôth</w:t>
      </w:r>
      <w:r w:rsidRPr="002C4077">
        <w:t xml:space="preserve"> </w:t>
      </w:r>
      <w:r>
        <w:t>t’aiment</w:t>
      </w:r>
      <w:r w:rsidR="00B546AF">
        <w:t> »</w:t>
      </w:r>
      <w:r>
        <w:t>.</w:t>
      </w:r>
      <w:r w:rsidRPr="002C4077">
        <w:t xml:space="preserve"> </w:t>
      </w:r>
      <w:r>
        <w:t>Dire</w:t>
      </w:r>
      <w:r w:rsidRPr="002C4077">
        <w:t xml:space="preserve"> </w:t>
      </w:r>
      <w:r>
        <w:t>du</w:t>
      </w:r>
      <w:r w:rsidRPr="002C4077">
        <w:t xml:space="preserve"> </w:t>
      </w:r>
      <w:r>
        <w:t>jeune</w:t>
      </w:r>
      <w:r w:rsidRPr="002C4077">
        <w:t xml:space="preserve"> </w:t>
      </w:r>
      <w:r>
        <w:t>époux</w:t>
      </w:r>
      <w:r w:rsidRPr="002C4077">
        <w:t xml:space="preserve"> </w:t>
      </w:r>
      <w:r>
        <w:t>qu’il</w:t>
      </w:r>
      <w:r w:rsidRPr="002C4077">
        <w:t xml:space="preserve"> </w:t>
      </w:r>
      <w:r w:rsidR="00425C50">
        <w:t>est</w:t>
      </w:r>
      <w:r w:rsidRPr="002C4077">
        <w:t xml:space="preserve"> </w:t>
      </w:r>
      <w:r>
        <w:t>aimé</w:t>
      </w:r>
      <w:r w:rsidRPr="002C4077">
        <w:t xml:space="preserve"> </w:t>
      </w:r>
      <w:r>
        <w:t>de</w:t>
      </w:r>
      <w:r w:rsidRPr="002C4077">
        <w:t xml:space="preserve"> </w:t>
      </w:r>
      <w:r>
        <w:t>femmes</w:t>
      </w:r>
      <w:r w:rsidRPr="002C4077">
        <w:t xml:space="preserve"> </w:t>
      </w:r>
      <w:r>
        <w:t>mariées</w:t>
      </w:r>
      <w:r w:rsidRPr="002C4077">
        <w:t xml:space="preserve"> </w:t>
      </w:r>
      <w:r>
        <w:t>ou</w:t>
      </w:r>
      <w:r w:rsidRPr="002C4077">
        <w:t xml:space="preserve"> </w:t>
      </w:r>
      <w:r>
        <w:t>non</w:t>
      </w:r>
      <w:r w:rsidRPr="002C4077">
        <w:t xml:space="preserve"> </w:t>
      </w:r>
      <w:r>
        <w:t>vierges</w:t>
      </w:r>
      <w:r w:rsidRPr="002C4077">
        <w:t xml:space="preserve"> </w:t>
      </w:r>
      <w:r>
        <w:t>serait</w:t>
      </w:r>
      <w:r w:rsidRPr="002C4077">
        <w:t xml:space="preserve"> </w:t>
      </w:r>
      <w:r>
        <w:t>un</w:t>
      </w:r>
      <w:r w:rsidRPr="002C4077">
        <w:t xml:space="preserve"> </w:t>
      </w:r>
      <w:r>
        <w:t>singulier</w:t>
      </w:r>
      <w:r w:rsidRPr="002C4077">
        <w:t xml:space="preserve"> </w:t>
      </w:r>
      <w:r>
        <w:t>éloge</w:t>
      </w:r>
      <w:r w:rsidR="00B546AF">
        <w:t> !</w:t>
      </w:r>
      <w:r w:rsidRPr="002C4077">
        <w:t xml:space="preserve"> </w:t>
      </w:r>
      <w:r>
        <w:t>Donc</w:t>
      </w:r>
      <w:r w:rsidRPr="002C4077">
        <w:t xml:space="preserve"> </w:t>
      </w:r>
      <w:r>
        <w:t>les</w:t>
      </w:r>
      <w:r w:rsidRPr="002C4077">
        <w:t xml:space="preserve"> </w:t>
      </w:r>
      <w:r w:rsidR="0055004A">
        <w:t>῾</w:t>
      </w:r>
      <w:r w:rsidRPr="000A34B5">
        <w:rPr>
          <w:rStyle w:val="italicus"/>
        </w:rPr>
        <w:t>alamôth</w:t>
      </w:r>
      <w:r w:rsidRPr="002C4077">
        <w:t xml:space="preserve"> </w:t>
      </w:r>
      <w:r>
        <w:t>auxquelles</w:t>
      </w:r>
      <w:r w:rsidRPr="002C4077">
        <w:t xml:space="preserve"> </w:t>
      </w:r>
      <w:r>
        <w:t>il</w:t>
      </w:r>
      <w:r w:rsidRPr="002C4077">
        <w:t xml:space="preserve"> </w:t>
      </w:r>
      <w:r>
        <w:t>avait</w:t>
      </w:r>
      <w:r w:rsidRPr="002C4077">
        <w:t xml:space="preserve"> </w:t>
      </w:r>
      <w:r>
        <w:t>plu</w:t>
      </w:r>
      <w:r w:rsidRPr="002C4077">
        <w:t xml:space="preserve"> </w:t>
      </w:r>
      <w:r>
        <w:t>étaient</w:t>
      </w:r>
      <w:r w:rsidRPr="002C4077">
        <w:t xml:space="preserve"> </w:t>
      </w:r>
      <w:r w:rsidR="00B546AF">
        <w:t>« </w:t>
      </w:r>
      <w:r>
        <w:t>de</w:t>
      </w:r>
      <w:r w:rsidRPr="002C4077">
        <w:t xml:space="preserve"> </w:t>
      </w:r>
      <w:r>
        <w:t>jeunes</w:t>
      </w:r>
      <w:r w:rsidRPr="002C4077">
        <w:t xml:space="preserve"> </w:t>
      </w:r>
      <w:r>
        <w:t>vierges</w:t>
      </w:r>
      <w:r w:rsidRPr="002C4077">
        <w:t xml:space="preserve"> </w:t>
      </w:r>
      <w:r>
        <w:t>honnêtes,</w:t>
      </w:r>
      <w:r w:rsidRPr="002C4077">
        <w:t xml:space="preserve"> </w:t>
      </w:r>
      <w:r>
        <w:t>pudiques,</w:t>
      </w:r>
      <w:r w:rsidRPr="002C4077">
        <w:t xml:space="preserve"> </w:t>
      </w:r>
      <w:r>
        <w:t>qui</w:t>
      </w:r>
      <w:r w:rsidRPr="002C4077">
        <w:t xml:space="preserve"> </w:t>
      </w:r>
      <w:r>
        <w:t>l’auraient</w:t>
      </w:r>
      <w:r w:rsidRPr="002C4077">
        <w:t xml:space="preserve"> </w:t>
      </w:r>
      <w:r>
        <w:t>volontiers</w:t>
      </w:r>
      <w:r w:rsidRPr="002C4077">
        <w:t xml:space="preserve"> </w:t>
      </w:r>
      <w:r>
        <w:t>accepté</w:t>
      </w:r>
      <w:r w:rsidRPr="002C4077">
        <w:t xml:space="preserve"> </w:t>
      </w:r>
      <w:r>
        <w:t>en</w:t>
      </w:r>
      <w:r w:rsidRPr="002C4077">
        <w:t xml:space="preserve"> </w:t>
      </w:r>
      <w:r w:rsidR="002A5E7A">
        <w:t>mariage</w:t>
      </w:r>
      <w:r w:rsidR="002A5E7A">
        <w:rPr>
          <w:rStyle w:val="Appelnotedebasdep"/>
        </w:rPr>
        <w:footnoteReference w:id="177"/>
      </w:r>
      <w:r w:rsidR="00B546AF">
        <w:t> »</w:t>
      </w:r>
      <w:r>
        <w:t>.</w:t>
      </w:r>
      <w:r w:rsidR="00C45B47">
        <w:t xml:space="preserve"> {</w:t>
      </w:r>
      <w:r w:rsidR="000721C4">
        <w:t>61</w:t>
      </w:r>
      <w:bookmarkStart w:id="204" w:name="p061"/>
      <w:bookmarkEnd w:id="204"/>
      <w:r w:rsidR="000721C4">
        <w:t xml:space="preserve">} </w:t>
      </w:r>
    </w:p>
    <w:p w:rsidR="000A7AAB" w:rsidRDefault="002A5E7A" w:rsidP="000A7AAB">
      <w:r>
        <w:t xml:space="preserve">5° </w:t>
      </w:r>
      <w:r w:rsidR="000A7AAB">
        <w:t>Cantique</w:t>
      </w:r>
      <w:r w:rsidR="000A7AAB" w:rsidRPr="002C4077">
        <w:t xml:space="preserve"> </w:t>
      </w:r>
      <w:r>
        <w:t>VI</w:t>
      </w:r>
      <w:r w:rsidR="000A7AAB">
        <w:t>,</w:t>
      </w:r>
      <w:r w:rsidR="000A7AAB" w:rsidRPr="002C4077">
        <w:t xml:space="preserve"> </w:t>
      </w:r>
      <w:r w:rsidR="000A7AAB">
        <w:t>8.</w:t>
      </w:r>
      <w:r w:rsidR="000A7AAB" w:rsidRPr="002C4077">
        <w:t xml:space="preserve"> </w:t>
      </w:r>
      <w:r w:rsidR="00B546AF">
        <w:t>« </w:t>
      </w:r>
      <w:r w:rsidR="000A7AAB">
        <w:t>Il</w:t>
      </w:r>
      <w:r w:rsidR="000A7AAB" w:rsidRPr="002C4077">
        <w:t xml:space="preserve"> </w:t>
      </w:r>
      <w:r w:rsidR="000A7AAB">
        <w:t>y</w:t>
      </w:r>
      <w:r w:rsidR="000A7AAB" w:rsidRPr="002C4077">
        <w:t xml:space="preserve"> </w:t>
      </w:r>
      <w:r w:rsidR="000A7AAB">
        <w:t>a</w:t>
      </w:r>
      <w:r w:rsidR="000A7AAB" w:rsidRPr="002C4077">
        <w:t xml:space="preserve"> </w:t>
      </w:r>
      <w:r w:rsidR="000A7AAB">
        <w:t>soixante</w:t>
      </w:r>
      <w:r w:rsidR="000A7AAB" w:rsidRPr="002C4077">
        <w:t xml:space="preserve"> </w:t>
      </w:r>
      <w:r w:rsidR="000A7AAB">
        <w:t>reines,</w:t>
      </w:r>
      <w:r w:rsidR="000A7AAB" w:rsidRPr="002C4077">
        <w:t xml:space="preserve"> </w:t>
      </w:r>
      <w:r w:rsidR="000A7AAB">
        <w:t>quatre-vingts</w:t>
      </w:r>
      <w:r w:rsidR="000A7AAB" w:rsidRPr="002C4077">
        <w:t xml:space="preserve"> </w:t>
      </w:r>
      <w:r w:rsidR="000A7AAB">
        <w:t>femmes</w:t>
      </w:r>
      <w:r w:rsidR="000A7AAB" w:rsidRPr="002C4077">
        <w:t xml:space="preserve"> </w:t>
      </w:r>
      <w:r w:rsidR="000A7AAB">
        <w:t>du</w:t>
      </w:r>
      <w:r w:rsidR="000A7AAB" w:rsidRPr="002C4077">
        <w:t xml:space="preserve"> </w:t>
      </w:r>
      <w:r w:rsidR="000A7AAB">
        <w:t>second</w:t>
      </w:r>
      <w:r w:rsidR="000A7AAB" w:rsidRPr="002C4077">
        <w:t xml:space="preserve"> </w:t>
      </w:r>
      <w:r w:rsidR="000A7AAB">
        <w:t>rang</w:t>
      </w:r>
      <w:r w:rsidR="000A7AAB" w:rsidRPr="002C4077">
        <w:t xml:space="preserve"> </w:t>
      </w:r>
      <w:r w:rsidR="000A7AAB">
        <w:t>et</w:t>
      </w:r>
      <w:r w:rsidR="000A7AAB" w:rsidRPr="002C4077">
        <w:t xml:space="preserve"> </w:t>
      </w:r>
      <w:r w:rsidR="000A7AAB">
        <w:t>des</w:t>
      </w:r>
      <w:r w:rsidR="000A7AAB" w:rsidRPr="002C4077">
        <w:t xml:space="preserve"> </w:t>
      </w:r>
      <w:r w:rsidR="0055004A">
        <w:t>῾</w:t>
      </w:r>
      <w:r w:rsidR="000A7AAB" w:rsidRPr="000A34B5">
        <w:rPr>
          <w:rStyle w:val="italicus"/>
        </w:rPr>
        <w:t>alamôth</w:t>
      </w:r>
      <w:r w:rsidR="000A7AAB" w:rsidRPr="002C4077">
        <w:t xml:space="preserve"> </w:t>
      </w:r>
      <w:r w:rsidR="000A7AAB">
        <w:t>sans</w:t>
      </w:r>
      <w:r w:rsidR="000A7AAB" w:rsidRPr="002C4077">
        <w:t xml:space="preserve"> </w:t>
      </w:r>
      <w:r w:rsidR="000A7AAB">
        <w:t>nombre</w:t>
      </w:r>
      <w:r w:rsidR="00B546AF">
        <w:t> »</w:t>
      </w:r>
      <w:r w:rsidR="000A7AAB">
        <w:t>.</w:t>
      </w:r>
      <w:r w:rsidR="000A7AAB" w:rsidRPr="002C4077">
        <w:t xml:space="preserve"> </w:t>
      </w:r>
      <w:r w:rsidR="000A7AAB">
        <w:t>Ainsi</w:t>
      </w:r>
      <w:r w:rsidR="000A7AAB" w:rsidRPr="002C4077">
        <w:t xml:space="preserve"> </w:t>
      </w:r>
      <w:r w:rsidR="000A7AAB">
        <w:t>distinguées</w:t>
      </w:r>
      <w:r w:rsidR="000A7AAB" w:rsidRPr="002C4077">
        <w:t xml:space="preserve"> </w:t>
      </w:r>
      <w:r w:rsidR="000A7AAB">
        <w:t>des</w:t>
      </w:r>
      <w:r w:rsidR="000A7AAB" w:rsidRPr="002C4077">
        <w:t xml:space="preserve"> </w:t>
      </w:r>
      <w:r w:rsidR="000A7AAB">
        <w:t>femmes</w:t>
      </w:r>
      <w:r w:rsidR="000A7AAB" w:rsidRPr="002C4077">
        <w:t xml:space="preserve"> </w:t>
      </w:r>
      <w:r w:rsidR="000A7AAB">
        <w:t>du</w:t>
      </w:r>
      <w:r w:rsidR="000A7AAB" w:rsidRPr="002C4077">
        <w:t xml:space="preserve"> </w:t>
      </w:r>
      <w:r w:rsidR="000A7AAB">
        <w:t>premier</w:t>
      </w:r>
      <w:r w:rsidR="000A7AAB" w:rsidRPr="002C4077">
        <w:t xml:space="preserve"> </w:t>
      </w:r>
      <w:r w:rsidR="000A7AAB">
        <w:t>et</w:t>
      </w:r>
      <w:r w:rsidR="000A7AAB" w:rsidRPr="002C4077">
        <w:t xml:space="preserve"> </w:t>
      </w:r>
      <w:r w:rsidR="000A7AAB">
        <w:t>du</w:t>
      </w:r>
      <w:r w:rsidR="000A7AAB" w:rsidRPr="002C4077">
        <w:t xml:space="preserve"> </w:t>
      </w:r>
      <w:r w:rsidR="000A7AAB">
        <w:t>second</w:t>
      </w:r>
      <w:r w:rsidR="000A7AAB" w:rsidRPr="002C4077">
        <w:t xml:space="preserve"> </w:t>
      </w:r>
      <w:r w:rsidR="000A7AAB">
        <w:t>rang,</w:t>
      </w:r>
      <w:r w:rsidR="000A7AAB" w:rsidRPr="002C4077">
        <w:t xml:space="preserve"> </w:t>
      </w:r>
      <w:r w:rsidR="000A7AAB">
        <w:t>les</w:t>
      </w:r>
      <w:r w:rsidR="000A7AAB" w:rsidRPr="002C4077">
        <w:t xml:space="preserve"> </w:t>
      </w:r>
      <w:r w:rsidR="009620EB">
        <w:rPr>
          <w:vertAlign w:val="superscript"/>
        </w:rPr>
        <w:t>῾</w:t>
      </w:r>
      <w:r w:rsidR="009620EB" w:rsidRPr="000A34B5">
        <w:rPr>
          <w:rStyle w:val="italicus"/>
        </w:rPr>
        <w:t>alamôth</w:t>
      </w:r>
      <w:r w:rsidR="000A7AAB" w:rsidRPr="002C4077">
        <w:t xml:space="preserve"> </w:t>
      </w:r>
      <w:r w:rsidR="000A7AAB">
        <w:t>ne</w:t>
      </w:r>
      <w:r w:rsidR="000A7AAB" w:rsidRPr="002C4077">
        <w:t xml:space="preserve"> </w:t>
      </w:r>
      <w:r w:rsidR="000A7AAB">
        <w:t>peuvent</w:t>
      </w:r>
      <w:r w:rsidR="000A7AAB" w:rsidRPr="002C4077">
        <w:t xml:space="preserve"> </w:t>
      </w:r>
      <w:r w:rsidR="000A7AAB">
        <w:t>être</w:t>
      </w:r>
      <w:r w:rsidR="000A7AAB" w:rsidRPr="002C4077">
        <w:t xml:space="preserve"> </w:t>
      </w:r>
      <w:r w:rsidR="000A7AAB">
        <w:t>que</w:t>
      </w:r>
      <w:r w:rsidR="000A7AAB" w:rsidRPr="002C4077">
        <w:t xml:space="preserve"> </w:t>
      </w:r>
      <w:r w:rsidR="000A7AAB">
        <w:t>des</w:t>
      </w:r>
      <w:r w:rsidR="000A7AAB" w:rsidRPr="002C4077">
        <w:t xml:space="preserve"> </w:t>
      </w:r>
      <w:r w:rsidR="000A7AAB">
        <w:t>vierges</w:t>
      </w:r>
      <w:r w:rsidR="00B546AF">
        <w:t> :</w:t>
      </w:r>
      <w:r w:rsidR="000A7AAB" w:rsidRPr="002C4077">
        <w:t xml:space="preserve"> </w:t>
      </w:r>
      <w:r w:rsidR="000A7AAB">
        <w:t>autrement,</w:t>
      </w:r>
      <w:r w:rsidR="000A7AAB" w:rsidRPr="002C4077">
        <w:t xml:space="preserve"> </w:t>
      </w:r>
      <w:r w:rsidR="000A7AAB">
        <w:t>que</w:t>
      </w:r>
      <w:r w:rsidR="000A7AAB" w:rsidRPr="002C4077">
        <w:t xml:space="preserve"> </w:t>
      </w:r>
      <w:r w:rsidR="000A7AAB">
        <w:t>signifierait</w:t>
      </w:r>
      <w:r w:rsidR="000A7AAB" w:rsidRPr="002C4077">
        <w:t xml:space="preserve"> </w:t>
      </w:r>
      <w:r w:rsidR="000A7AAB">
        <w:t>ce</w:t>
      </w:r>
      <w:r w:rsidR="000A7AAB" w:rsidRPr="002C4077">
        <w:t xml:space="preserve"> </w:t>
      </w:r>
      <w:r w:rsidR="000A7AAB">
        <w:t>passage</w:t>
      </w:r>
      <w:r w:rsidR="00B546AF">
        <w:t> ?</w:t>
      </w:r>
      <w:r w:rsidR="000A7AAB" w:rsidRPr="002C4077">
        <w:t xml:space="preserve"> </w:t>
      </w:r>
    </w:p>
    <w:p w:rsidR="000A7AAB" w:rsidRDefault="000A7AAB" w:rsidP="000A7AAB">
      <w:r>
        <w:t>6°</w:t>
      </w:r>
      <w:r w:rsidRPr="002C4077">
        <w:t xml:space="preserve"> </w:t>
      </w:r>
      <w:r>
        <w:t>Proverbes</w:t>
      </w:r>
      <w:r w:rsidRPr="002C4077">
        <w:t xml:space="preserve"> </w:t>
      </w:r>
      <w:r>
        <w:t>XXX,</w:t>
      </w:r>
      <w:r w:rsidRPr="002C4077">
        <w:t xml:space="preserve"> </w:t>
      </w:r>
      <w:r>
        <w:t>18-20.</w:t>
      </w:r>
      <w:r w:rsidRPr="002C4077">
        <w:t xml:space="preserve"> </w:t>
      </w:r>
      <w:r w:rsidR="00B546AF">
        <w:t>« </w:t>
      </w:r>
      <w:r>
        <w:t>Il</w:t>
      </w:r>
      <w:r w:rsidRPr="002C4077">
        <w:t xml:space="preserve"> </w:t>
      </w:r>
      <w:r>
        <w:t>y</w:t>
      </w:r>
      <w:r w:rsidRPr="002C4077">
        <w:t xml:space="preserve"> </w:t>
      </w:r>
      <w:r>
        <w:t>a</w:t>
      </w:r>
      <w:r w:rsidRPr="004440EA">
        <w:t xml:space="preserve"> (</w:t>
      </w:r>
      <w:r>
        <w:t>dit</w:t>
      </w:r>
      <w:r w:rsidRPr="002C4077">
        <w:t xml:space="preserve"> </w:t>
      </w:r>
      <w:r>
        <w:t>le</w:t>
      </w:r>
      <w:r w:rsidRPr="002C4077">
        <w:t xml:space="preserve"> </w:t>
      </w:r>
      <w:r>
        <w:t>Sage</w:t>
      </w:r>
      <w:r w:rsidR="00B546AF" w:rsidRPr="002C4077">
        <w:t>)</w:t>
      </w:r>
      <w:r w:rsidRPr="002C4077">
        <w:t xml:space="preserve"> </w:t>
      </w:r>
      <w:r>
        <w:t>trois</w:t>
      </w:r>
      <w:r w:rsidRPr="002C4077">
        <w:t xml:space="preserve"> </w:t>
      </w:r>
      <w:r>
        <w:t>choses</w:t>
      </w:r>
      <w:r w:rsidRPr="002C4077">
        <w:t xml:space="preserve"> </w:t>
      </w:r>
      <w:r>
        <w:t>qui</w:t>
      </w:r>
      <w:r w:rsidRPr="002C4077">
        <w:t xml:space="preserve"> </w:t>
      </w:r>
      <w:r>
        <w:t>sont</w:t>
      </w:r>
      <w:r w:rsidRPr="002C4077">
        <w:t xml:space="preserve"> </w:t>
      </w:r>
      <w:r>
        <w:t>au-dessus</w:t>
      </w:r>
      <w:r w:rsidRPr="002C4077">
        <w:t xml:space="preserve"> </w:t>
      </w:r>
      <w:r>
        <w:t>de</w:t>
      </w:r>
      <w:r w:rsidRPr="002C4077">
        <w:t xml:space="preserve"> </w:t>
      </w:r>
      <w:r>
        <w:t>ma</w:t>
      </w:r>
      <w:r w:rsidRPr="002C4077">
        <w:t xml:space="preserve"> </w:t>
      </w:r>
      <w:r>
        <w:t>portée,</w:t>
      </w:r>
      <w:r w:rsidRPr="002C4077">
        <w:t xml:space="preserve"> </w:t>
      </w:r>
      <w:r>
        <w:t>même</w:t>
      </w:r>
      <w:r w:rsidRPr="002C4077">
        <w:t xml:space="preserve"> </w:t>
      </w:r>
      <w:r>
        <w:t>quatre</w:t>
      </w:r>
      <w:r w:rsidRPr="002C4077">
        <w:t xml:space="preserve"> </w:t>
      </w:r>
      <w:r>
        <w:t>que</w:t>
      </w:r>
      <w:r w:rsidRPr="002C4077">
        <w:t xml:space="preserve"> </w:t>
      </w:r>
      <w:r>
        <w:t>je</w:t>
      </w:r>
      <w:r w:rsidRPr="002C4077">
        <w:t xml:space="preserve"> </w:t>
      </w:r>
      <w:r>
        <w:t>ne</w:t>
      </w:r>
      <w:r w:rsidRPr="002C4077">
        <w:t xml:space="preserve"> </w:t>
      </w:r>
      <w:r>
        <w:t>puis</w:t>
      </w:r>
      <w:r w:rsidRPr="002C4077">
        <w:t xml:space="preserve"> </w:t>
      </w:r>
      <w:r>
        <w:t>comprendre</w:t>
      </w:r>
      <w:r w:rsidR="00B546AF">
        <w:t> :</w:t>
      </w:r>
      <w:r w:rsidRPr="002C4077">
        <w:t xml:space="preserve"> </w:t>
      </w:r>
      <w:r>
        <w:t>la</w:t>
      </w:r>
      <w:r w:rsidRPr="002C4077">
        <w:t xml:space="preserve"> </w:t>
      </w:r>
      <w:r>
        <w:t>voie</w:t>
      </w:r>
      <w:r w:rsidRPr="002C4077">
        <w:t xml:space="preserve"> </w:t>
      </w:r>
      <w:r>
        <w:t>de</w:t>
      </w:r>
      <w:r w:rsidRPr="002C4077">
        <w:t xml:space="preserve"> </w:t>
      </w:r>
      <w:r>
        <w:t>l’aigle</w:t>
      </w:r>
      <w:r w:rsidRPr="002C4077">
        <w:t xml:space="preserve"> </w:t>
      </w:r>
      <w:r>
        <w:t>dans</w:t>
      </w:r>
      <w:r w:rsidRPr="002C4077">
        <w:t xml:space="preserve"> </w:t>
      </w:r>
      <w:r>
        <w:t>les</w:t>
      </w:r>
      <w:r w:rsidRPr="002C4077">
        <w:t xml:space="preserve"> </w:t>
      </w:r>
      <w:r>
        <w:t>deux,</w:t>
      </w:r>
      <w:r w:rsidRPr="002C4077">
        <w:t xml:space="preserve"> </w:t>
      </w:r>
      <w:r>
        <w:t>la</w:t>
      </w:r>
      <w:r w:rsidRPr="002C4077">
        <w:t xml:space="preserve"> </w:t>
      </w:r>
      <w:r>
        <w:t>voie</w:t>
      </w:r>
      <w:r w:rsidRPr="002C4077">
        <w:t xml:space="preserve"> </w:t>
      </w:r>
      <w:r>
        <w:t>du</w:t>
      </w:r>
      <w:r w:rsidRPr="002C4077">
        <w:t xml:space="preserve"> </w:t>
      </w:r>
      <w:r>
        <w:t>serpent</w:t>
      </w:r>
      <w:r w:rsidRPr="002C4077">
        <w:t xml:space="preserve"> </w:t>
      </w:r>
      <w:r>
        <w:t>sur</w:t>
      </w:r>
      <w:r w:rsidRPr="002C4077">
        <w:t xml:space="preserve"> </w:t>
      </w:r>
      <w:r>
        <w:t>le</w:t>
      </w:r>
      <w:r w:rsidRPr="002C4077">
        <w:t xml:space="preserve"> </w:t>
      </w:r>
      <w:r>
        <w:t>rocher,</w:t>
      </w:r>
      <w:r w:rsidRPr="002C4077">
        <w:t xml:space="preserve"> </w:t>
      </w:r>
      <w:r>
        <w:t>la</w:t>
      </w:r>
      <w:r w:rsidRPr="002C4077">
        <w:t xml:space="preserve"> </w:t>
      </w:r>
      <w:r>
        <w:t>voie</w:t>
      </w:r>
      <w:r w:rsidRPr="002C4077">
        <w:t xml:space="preserve"> </w:t>
      </w:r>
      <w:r>
        <w:t>d’un</w:t>
      </w:r>
      <w:r w:rsidRPr="002C4077">
        <w:t xml:space="preserve"> </w:t>
      </w:r>
      <w:r>
        <w:t>navire</w:t>
      </w:r>
      <w:r w:rsidRPr="002C4077">
        <w:t xml:space="preserve"> </w:t>
      </w:r>
      <w:r>
        <w:t>au</w:t>
      </w:r>
      <w:r w:rsidRPr="002C4077">
        <w:t xml:space="preserve"> </w:t>
      </w:r>
      <w:r>
        <w:t>milieu</w:t>
      </w:r>
      <w:r w:rsidRPr="002C4077">
        <w:t xml:space="preserve"> </w:t>
      </w:r>
      <w:r>
        <w:t>de</w:t>
      </w:r>
      <w:r w:rsidRPr="002C4077">
        <w:t xml:space="preserve"> </w:t>
      </w:r>
      <w:r>
        <w:t>la</w:t>
      </w:r>
      <w:r w:rsidRPr="002C4077">
        <w:t xml:space="preserve"> </w:t>
      </w:r>
      <w:r>
        <w:t>mer,</w:t>
      </w:r>
      <w:r w:rsidRPr="002C4077">
        <w:t xml:space="preserve"> </w:t>
      </w:r>
      <w:r>
        <w:t>et</w:t>
      </w:r>
      <w:r w:rsidRPr="002C4077">
        <w:t xml:space="preserve"> </w:t>
      </w:r>
      <w:r>
        <w:t>la</w:t>
      </w:r>
      <w:r w:rsidRPr="002C4077">
        <w:t xml:space="preserve"> </w:t>
      </w:r>
      <w:r>
        <w:t>voie</w:t>
      </w:r>
      <w:r w:rsidRPr="002C4077">
        <w:t xml:space="preserve"> </w:t>
      </w:r>
      <w:r>
        <w:t>de</w:t>
      </w:r>
      <w:r w:rsidRPr="002C4077">
        <w:t xml:space="preserve"> </w:t>
      </w:r>
      <w:r>
        <w:t>l’homme</w:t>
      </w:r>
      <w:r w:rsidRPr="002C4077">
        <w:t xml:space="preserve"> </w:t>
      </w:r>
      <w:r>
        <w:t>chez</w:t>
      </w:r>
      <w:r w:rsidRPr="002C4077">
        <w:t xml:space="preserve"> </w:t>
      </w:r>
      <w:r w:rsidR="00D40830" w:rsidRPr="00D40830">
        <w:t>l’</w:t>
      </w:r>
      <w:r w:rsidR="00D40830" w:rsidRPr="00D05EA9">
        <w:rPr>
          <w:rStyle w:val="italicus"/>
        </w:rPr>
        <w:t>῾almah</w:t>
      </w:r>
      <w:r w:rsidR="00464AE8">
        <w:rPr>
          <w:rStyle w:val="Appelnotedebasdep"/>
          <w:i/>
        </w:rPr>
        <w:footnoteReference w:id="178"/>
      </w:r>
      <w:r w:rsidR="00464AE8">
        <w:rPr>
          <w:rStyle w:val="italicus"/>
        </w:rPr>
        <w:t>.</w:t>
      </w:r>
      <w:r w:rsidR="00D40830" w:rsidRPr="002C4077">
        <w:t xml:space="preserve"> </w:t>
      </w:r>
      <w:r>
        <w:t>Telle</w:t>
      </w:r>
      <w:r w:rsidRPr="002C4077">
        <w:t xml:space="preserve"> </w:t>
      </w:r>
      <w:r w:rsidR="00425C50">
        <w:t>est</w:t>
      </w:r>
      <w:r w:rsidRPr="002C4077">
        <w:t xml:space="preserve"> </w:t>
      </w:r>
      <w:r>
        <w:t>la</w:t>
      </w:r>
      <w:r w:rsidRPr="002C4077">
        <w:t xml:space="preserve"> </w:t>
      </w:r>
      <w:r>
        <w:t>voie</w:t>
      </w:r>
      <w:r w:rsidRPr="002C4077">
        <w:t xml:space="preserve"> </w:t>
      </w:r>
      <w:r>
        <w:t>de</w:t>
      </w:r>
      <w:r w:rsidRPr="002C4077">
        <w:t xml:space="preserve"> </w:t>
      </w:r>
      <w:r>
        <w:t>la</w:t>
      </w:r>
      <w:r w:rsidRPr="002C4077">
        <w:t xml:space="preserve"> </w:t>
      </w:r>
      <w:r>
        <w:t>femme</w:t>
      </w:r>
      <w:r w:rsidRPr="002C4077">
        <w:t xml:space="preserve"> </w:t>
      </w:r>
      <w:r>
        <w:t>adultère</w:t>
      </w:r>
      <w:r w:rsidR="00B546AF">
        <w:t> ;</w:t>
      </w:r>
      <w:r w:rsidRPr="002C4077">
        <w:t xml:space="preserve"> </w:t>
      </w:r>
      <w:r>
        <w:t>elle</w:t>
      </w:r>
      <w:r w:rsidRPr="002C4077">
        <w:t xml:space="preserve"> </w:t>
      </w:r>
      <w:r>
        <w:t>mange</w:t>
      </w:r>
      <w:r w:rsidRPr="002C4077">
        <w:t xml:space="preserve"> </w:t>
      </w:r>
      <w:r>
        <w:t>et</w:t>
      </w:r>
      <w:r w:rsidRPr="002C4077">
        <w:t xml:space="preserve"> </w:t>
      </w:r>
      <w:r>
        <w:t>s’essuie</w:t>
      </w:r>
      <w:r w:rsidRPr="002C4077">
        <w:t xml:space="preserve"> </w:t>
      </w:r>
      <w:r>
        <w:t>la</w:t>
      </w:r>
      <w:r w:rsidRPr="002C4077">
        <w:t xml:space="preserve"> </w:t>
      </w:r>
      <w:r>
        <w:t>bouche,</w:t>
      </w:r>
      <w:r w:rsidRPr="002C4077">
        <w:t xml:space="preserve"> </w:t>
      </w:r>
      <w:r>
        <w:t>puis</w:t>
      </w:r>
      <w:r w:rsidRPr="002C4077">
        <w:t xml:space="preserve"> </w:t>
      </w:r>
      <w:r>
        <w:t>elle</w:t>
      </w:r>
      <w:r w:rsidRPr="002C4077">
        <w:t xml:space="preserve"> </w:t>
      </w:r>
      <w:r>
        <w:t>dit</w:t>
      </w:r>
      <w:r w:rsidR="00B546AF">
        <w:t> :</w:t>
      </w:r>
      <w:r w:rsidRPr="002C4077">
        <w:t xml:space="preserve"> </w:t>
      </w:r>
      <w:r>
        <w:t>Je</w:t>
      </w:r>
      <w:r w:rsidRPr="002C4077">
        <w:t xml:space="preserve"> </w:t>
      </w:r>
      <w:r>
        <w:t>n’ai</w:t>
      </w:r>
      <w:r w:rsidRPr="002C4077">
        <w:t xml:space="preserve"> </w:t>
      </w:r>
      <w:r>
        <w:t>point</w:t>
      </w:r>
      <w:r w:rsidRPr="002C4077">
        <w:t xml:space="preserve"> </w:t>
      </w:r>
      <w:r>
        <w:t>fait</w:t>
      </w:r>
      <w:r w:rsidRPr="002C4077">
        <w:t xml:space="preserve"> </w:t>
      </w:r>
      <w:r>
        <w:t>de</w:t>
      </w:r>
      <w:r w:rsidRPr="002C4077">
        <w:t xml:space="preserve"> </w:t>
      </w:r>
      <w:r>
        <w:t>mal</w:t>
      </w:r>
      <w:r w:rsidR="00B546AF">
        <w:t> »</w:t>
      </w:r>
      <w:r>
        <w:t>.</w:t>
      </w:r>
      <w:r w:rsidRPr="002C4077">
        <w:t xml:space="preserve"> </w:t>
      </w:r>
      <w:r>
        <w:t>Seul,</w:t>
      </w:r>
      <w:r w:rsidRPr="002C4077">
        <w:t xml:space="preserve"> </w:t>
      </w:r>
      <w:r>
        <w:t>ce</w:t>
      </w:r>
      <w:r w:rsidRPr="002C4077">
        <w:t xml:space="preserve"> </w:t>
      </w:r>
      <w:r>
        <w:t>passage</w:t>
      </w:r>
      <w:r w:rsidRPr="002C4077">
        <w:t xml:space="preserve"> </w:t>
      </w:r>
      <w:r>
        <w:t>présente</w:t>
      </w:r>
      <w:r w:rsidRPr="002C4077">
        <w:t xml:space="preserve"> </w:t>
      </w:r>
      <w:r>
        <w:t>quelques</w:t>
      </w:r>
      <w:r w:rsidRPr="002C4077">
        <w:t xml:space="preserve"> </w:t>
      </w:r>
      <w:r>
        <w:t>difficultés</w:t>
      </w:r>
      <w:r w:rsidR="00B546AF">
        <w:t> ;</w:t>
      </w:r>
      <w:r w:rsidRPr="002C4077">
        <w:t xml:space="preserve"> </w:t>
      </w:r>
      <w:r>
        <w:t>aussi</w:t>
      </w:r>
      <w:r w:rsidRPr="002C4077">
        <w:t xml:space="preserve"> </w:t>
      </w:r>
      <w:r>
        <w:t>nos</w:t>
      </w:r>
      <w:r w:rsidRPr="002C4077">
        <w:t xml:space="preserve"> </w:t>
      </w:r>
      <w:r>
        <w:t>adversaires</w:t>
      </w:r>
      <w:r w:rsidRPr="002C4077">
        <w:t xml:space="preserve"> </w:t>
      </w:r>
      <w:r>
        <w:t>ne</w:t>
      </w:r>
      <w:r w:rsidRPr="002C4077">
        <w:t xml:space="preserve"> </w:t>
      </w:r>
      <w:r>
        <w:t>manquent-ils</w:t>
      </w:r>
      <w:r w:rsidRPr="002C4077">
        <w:t xml:space="preserve"> </w:t>
      </w:r>
      <w:r>
        <w:t>pas</w:t>
      </w:r>
      <w:r w:rsidRPr="002C4077">
        <w:t xml:space="preserve"> </w:t>
      </w:r>
      <w:r>
        <w:t>de</w:t>
      </w:r>
      <w:r w:rsidRPr="002C4077">
        <w:t xml:space="preserve"> </w:t>
      </w:r>
      <w:r>
        <w:t>nous</w:t>
      </w:r>
      <w:r w:rsidRPr="002C4077">
        <w:t xml:space="preserve"> </w:t>
      </w:r>
      <w:r>
        <w:t>l’opposer</w:t>
      </w:r>
      <w:r w:rsidRPr="002C4077">
        <w:t xml:space="preserve"> </w:t>
      </w:r>
      <w:r>
        <w:t>sans</w:t>
      </w:r>
      <w:r w:rsidRPr="002C4077">
        <w:t xml:space="preserve"> </w:t>
      </w:r>
      <w:r>
        <w:t>cesse,</w:t>
      </w:r>
      <w:r w:rsidRPr="002C4077">
        <w:t xml:space="preserve"> </w:t>
      </w:r>
      <w:r>
        <w:t>comme</w:t>
      </w:r>
      <w:r w:rsidRPr="002C4077">
        <w:t xml:space="preserve"> </w:t>
      </w:r>
      <w:r>
        <w:t>tranchant</w:t>
      </w:r>
      <w:r w:rsidRPr="002C4077">
        <w:t xml:space="preserve"> </w:t>
      </w:r>
      <w:r>
        <w:t>la</w:t>
      </w:r>
      <w:r w:rsidRPr="002C4077">
        <w:t xml:space="preserve"> </w:t>
      </w:r>
      <w:r>
        <w:t>question</w:t>
      </w:r>
      <w:r w:rsidRPr="002C4077">
        <w:t xml:space="preserve"> </w:t>
      </w:r>
      <w:r>
        <w:t>en</w:t>
      </w:r>
      <w:r w:rsidRPr="002C4077">
        <w:t xml:space="preserve"> </w:t>
      </w:r>
      <w:r>
        <w:t>leur</w:t>
      </w:r>
      <w:r w:rsidRPr="002C4077">
        <w:t xml:space="preserve"> </w:t>
      </w:r>
      <w:r>
        <w:t>faveur.</w:t>
      </w:r>
      <w:r w:rsidRPr="002C4077">
        <w:t xml:space="preserve"> </w:t>
      </w:r>
      <w:r>
        <w:t>Il</w:t>
      </w:r>
      <w:r w:rsidRPr="002C4077">
        <w:t xml:space="preserve"> </w:t>
      </w:r>
      <w:r>
        <w:t>prouverait,</w:t>
      </w:r>
      <w:r w:rsidRPr="002C4077">
        <w:t xml:space="preserve"> </w:t>
      </w:r>
      <w:r>
        <w:t>suivant</w:t>
      </w:r>
      <w:r w:rsidRPr="002C4077">
        <w:t xml:space="preserve"> </w:t>
      </w:r>
      <w:r>
        <w:t>eux,</w:t>
      </w:r>
      <w:r w:rsidRPr="002C4077">
        <w:t xml:space="preserve"> </w:t>
      </w:r>
      <w:r>
        <w:t>que</w:t>
      </w:r>
      <w:r w:rsidRPr="002C4077">
        <w:t xml:space="preserve"> </w:t>
      </w:r>
      <w:r>
        <w:t>le</w:t>
      </w:r>
      <w:r w:rsidRPr="002C4077">
        <w:t xml:space="preserve"> </w:t>
      </w:r>
      <w:r>
        <w:t>mot</w:t>
      </w:r>
      <w:r w:rsidRPr="002C4077">
        <w:t xml:space="preserve"> </w:t>
      </w:r>
      <w:r w:rsidR="00D40830" w:rsidRPr="00D05EA9">
        <w:rPr>
          <w:rStyle w:val="italicus"/>
        </w:rPr>
        <w:t>῾almah</w:t>
      </w:r>
      <w:r w:rsidRPr="002C4077">
        <w:t xml:space="preserve"> </w:t>
      </w:r>
      <w:r>
        <w:t>peut</w:t>
      </w:r>
      <w:r w:rsidRPr="002C4077">
        <w:t xml:space="preserve"> </w:t>
      </w:r>
      <w:r>
        <w:t>servir</w:t>
      </w:r>
      <w:r w:rsidRPr="002C4077">
        <w:t xml:space="preserve"> </w:t>
      </w:r>
      <w:r>
        <w:t>à</w:t>
      </w:r>
      <w:r w:rsidRPr="002C4077">
        <w:t xml:space="preserve"> </w:t>
      </w:r>
      <w:r>
        <w:t>désigner</w:t>
      </w:r>
      <w:r w:rsidRPr="002C4077">
        <w:t xml:space="preserve"> </w:t>
      </w:r>
      <w:r>
        <w:t>une</w:t>
      </w:r>
      <w:r w:rsidRPr="002C4077">
        <w:t xml:space="preserve"> </w:t>
      </w:r>
      <w:r>
        <w:t>personne</w:t>
      </w:r>
      <w:r w:rsidRPr="002C4077">
        <w:t xml:space="preserve"> </w:t>
      </w:r>
      <w:r>
        <w:t>qui</w:t>
      </w:r>
      <w:r w:rsidRPr="002C4077">
        <w:t xml:space="preserve"> </w:t>
      </w:r>
      <w:r>
        <w:t>n’est</w:t>
      </w:r>
      <w:r w:rsidRPr="002C4077">
        <w:t xml:space="preserve"> </w:t>
      </w:r>
      <w:r>
        <w:t>plus</w:t>
      </w:r>
      <w:r w:rsidRPr="002C4077">
        <w:t xml:space="preserve"> </w:t>
      </w:r>
      <w:r>
        <w:t>vierge</w:t>
      </w:r>
      <w:r w:rsidR="00B546AF">
        <w:t> ;</w:t>
      </w:r>
      <w:r w:rsidRPr="002C4077">
        <w:t xml:space="preserve"> </w:t>
      </w:r>
      <w:r>
        <w:t>d’où</w:t>
      </w:r>
      <w:r w:rsidRPr="002C4077">
        <w:t xml:space="preserve"> </w:t>
      </w:r>
      <w:r>
        <w:t>ils</w:t>
      </w:r>
      <w:r w:rsidRPr="002C4077">
        <w:t xml:space="preserve"> </w:t>
      </w:r>
      <w:r>
        <w:t>concluent</w:t>
      </w:r>
      <w:r w:rsidRPr="002C4077">
        <w:t xml:space="preserve"> </w:t>
      </w:r>
      <w:r>
        <w:t>que</w:t>
      </w:r>
      <w:r w:rsidRPr="002C4077">
        <w:t xml:space="preserve"> </w:t>
      </w:r>
      <w:r w:rsidR="00D40830" w:rsidRPr="00D40830">
        <w:t>l’</w:t>
      </w:r>
      <w:r w:rsidR="00D40830" w:rsidRPr="00D05EA9">
        <w:rPr>
          <w:rStyle w:val="italicus"/>
        </w:rPr>
        <w:t>῾almah</w:t>
      </w:r>
      <w:r w:rsidRPr="002C4077">
        <w:t xml:space="preserve"> </w:t>
      </w:r>
      <w:r>
        <w:t>d’Isaïe</w:t>
      </w:r>
      <w:r w:rsidRPr="002C4077">
        <w:t xml:space="preserve"> </w:t>
      </w:r>
      <w:r>
        <w:t>n’est</w:t>
      </w:r>
      <w:r w:rsidRPr="002C4077">
        <w:t xml:space="preserve"> </w:t>
      </w:r>
      <w:r>
        <w:t>pas</w:t>
      </w:r>
      <w:r w:rsidRPr="002C4077">
        <w:t xml:space="preserve"> </w:t>
      </w:r>
      <w:r>
        <w:t>nécessairement</w:t>
      </w:r>
      <w:r w:rsidRPr="002C4077">
        <w:t xml:space="preserve"> </w:t>
      </w:r>
      <w:r>
        <w:t>une</w:t>
      </w:r>
      <w:r w:rsidRPr="002C4077">
        <w:t xml:space="preserve"> </w:t>
      </w:r>
      <w:r w:rsidR="00B546AF">
        <w:t>« </w:t>
      </w:r>
      <w:r>
        <w:t>virgo</w:t>
      </w:r>
      <w:r w:rsidRPr="002C4077">
        <w:t xml:space="preserve"> </w:t>
      </w:r>
      <w:r>
        <w:t>il</w:t>
      </w:r>
      <w:r w:rsidR="003B53FD">
        <w:t>libáta</w:t>
      </w:r>
      <w:r w:rsidR="00B91AF7">
        <w:rPr>
          <w:rStyle w:val="Appelnotedebasdep"/>
        </w:rPr>
        <w:footnoteReference w:id="179"/>
      </w:r>
      <w:r w:rsidR="00B546AF">
        <w:t> »</w:t>
      </w:r>
      <w:r>
        <w:t>.</w:t>
      </w:r>
      <w:r w:rsidRPr="002C4077">
        <w:t xml:space="preserve"> </w:t>
      </w:r>
      <w:r>
        <w:t>Conclusion</w:t>
      </w:r>
      <w:r w:rsidRPr="002C4077">
        <w:t xml:space="preserve"> </w:t>
      </w:r>
      <w:r>
        <w:t>trop</w:t>
      </w:r>
      <w:r w:rsidRPr="002C4077">
        <w:t xml:space="preserve"> </w:t>
      </w:r>
      <w:r>
        <w:t>prompte</w:t>
      </w:r>
      <w:r w:rsidRPr="002C4077">
        <w:t xml:space="preserve"> </w:t>
      </w:r>
      <w:r>
        <w:t>et</w:t>
      </w:r>
      <w:r w:rsidRPr="002C4077">
        <w:t xml:space="preserve"> </w:t>
      </w:r>
      <w:r>
        <w:t>toute</w:t>
      </w:r>
      <w:r w:rsidRPr="002C4077">
        <w:t xml:space="preserve"> </w:t>
      </w:r>
      <w:r>
        <w:t>superficielle,</w:t>
      </w:r>
      <w:r w:rsidRPr="002C4077">
        <w:t xml:space="preserve"> </w:t>
      </w:r>
      <w:r>
        <w:t>comme</w:t>
      </w:r>
      <w:r w:rsidRPr="002C4077">
        <w:t xml:space="preserve"> </w:t>
      </w:r>
      <w:r>
        <w:t>l’ont</w:t>
      </w:r>
      <w:r w:rsidRPr="002C4077">
        <w:t xml:space="preserve"> </w:t>
      </w:r>
      <w:r>
        <w:t>démontré</w:t>
      </w:r>
      <w:r w:rsidRPr="002C4077">
        <w:t xml:space="preserve"> </w:t>
      </w:r>
      <w:r>
        <w:t>des</w:t>
      </w:r>
      <w:r w:rsidRPr="002C4077">
        <w:t xml:space="preserve"> </w:t>
      </w:r>
      <w:r>
        <w:t>exégètes</w:t>
      </w:r>
      <w:r w:rsidRPr="002C4077">
        <w:t xml:space="preserve"> </w:t>
      </w:r>
      <w:r>
        <w:t>distingués,</w:t>
      </w:r>
      <w:r w:rsidRPr="002C4077">
        <w:t xml:space="preserve"> </w:t>
      </w:r>
      <w:r>
        <w:t>de</w:t>
      </w:r>
      <w:r w:rsidRPr="002C4077">
        <w:t xml:space="preserve"> </w:t>
      </w:r>
      <w:r>
        <w:t>doctes</w:t>
      </w:r>
      <w:r w:rsidRPr="002C4077">
        <w:t xml:space="preserve"> </w:t>
      </w:r>
      <w:r>
        <w:t>hébraïsant</w:t>
      </w:r>
      <w:r w:rsidR="004377BC">
        <w:t>s</w:t>
      </w:r>
      <w:r w:rsidR="004377BC">
        <w:rPr>
          <w:rStyle w:val="Appelnotedebasdep"/>
        </w:rPr>
        <w:footnoteReference w:id="180"/>
      </w:r>
      <w:r>
        <w:t>,</w:t>
      </w:r>
      <w:r w:rsidRPr="002C4077">
        <w:t xml:space="preserve"> </w:t>
      </w:r>
      <w:r>
        <w:t>à</w:t>
      </w:r>
      <w:r w:rsidRPr="002C4077">
        <w:t xml:space="preserve"> </w:t>
      </w:r>
      <w:r>
        <w:t>la</w:t>
      </w:r>
      <w:r w:rsidRPr="002C4077">
        <w:t xml:space="preserve"> </w:t>
      </w:r>
      <w:r>
        <w:t>suite</w:t>
      </w:r>
      <w:r w:rsidRPr="002C4077">
        <w:t xml:space="preserve"> </w:t>
      </w:r>
      <w:r>
        <w:t>desquels</w:t>
      </w:r>
      <w:r w:rsidRPr="002C4077">
        <w:t xml:space="preserve"> </w:t>
      </w:r>
      <w:r>
        <w:t>nous</w:t>
      </w:r>
      <w:r w:rsidRPr="002C4077">
        <w:t xml:space="preserve"> </w:t>
      </w:r>
      <w:r>
        <w:t>dirons,</w:t>
      </w:r>
      <w:r w:rsidRPr="002C4077">
        <w:t xml:space="preserve"> </w:t>
      </w:r>
      <w:r>
        <w:t>sans</w:t>
      </w:r>
      <w:r w:rsidRPr="002C4077">
        <w:t xml:space="preserve"> </w:t>
      </w:r>
      <w:r>
        <w:t>crainte</w:t>
      </w:r>
      <w:r w:rsidRPr="002C4077">
        <w:t xml:space="preserve"> </w:t>
      </w:r>
      <w:r>
        <w:t>d’être</w:t>
      </w:r>
      <w:r w:rsidRPr="002C4077">
        <w:t xml:space="preserve"> </w:t>
      </w:r>
      <w:r>
        <w:t>démenti,</w:t>
      </w:r>
      <w:r w:rsidRPr="002C4077">
        <w:t xml:space="preserve"> </w:t>
      </w:r>
      <w:r>
        <w:t>que</w:t>
      </w:r>
      <w:r w:rsidRPr="002C4077">
        <w:t xml:space="preserve"> </w:t>
      </w:r>
      <w:r>
        <w:t>le</w:t>
      </w:r>
      <w:r w:rsidRPr="002C4077">
        <w:t xml:space="preserve"> </w:t>
      </w:r>
      <w:r>
        <w:t>présent</w:t>
      </w:r>
      <w:r w:rsidRPr="002C4077">
        <w:t xml:space="preserve"> </w:t>
      </w:r>
      <w:r>
        <w:t>passage</w:t>
      </w:r>
      <w:r w:rsidRPr="002C4077">
        <w:t xml:space="preserve"> </w:t>
      </w:r>
      <w:r>
        <w:t>perd</w:t>
      </w:r>
      <w:r w:rsidRPr="002C4077">
        <w:t xml:space="preserve"> </w:t>
      </w:r>
      <w:r>
        <w:t>au</w:t>
      </w:r>
      <w:r w:rsidRPr="002C4077">
        <w:t xml:space="preserve"> </w:t>
      </w:r>
      <w:r>
        <w:t>contraire</w:t>
      </w:r>
      <w:r w:rsidRPr="002C4077">
        <w:t xml:space="preserve"> </w:t>
      </w:r>
      <w:r w:rsidR="00B546AF">
        <w:t>« </w:t>
      </w:r>
      <w:r>
        <w:t>sa</w:t>
      </w:r>
      <w:r w:rsidRPr="002C4077">
        <w:t xml:space="preserve"> </w:t>
      </w:r>
      <w:r>
        <w:t>pointe</w:t>
      </w:r>
      <w:r w:rsidRPr="002C4077">
        <w:t xml:space="preserve"> </w:t>
      </w:r>
      <w:r>
        <w:t>et</w:t>
      </w:r>
      <w:r w:rsidRPr="002C4077">
        <w:t xml:space="preserve"> </w:t>
      </w:r>
      <w:r>
        <w:t>sa</w:t>
      </w:r>
      <w:r w:rsidRPr="002C4077">
        <w:t xml:space="preserve"> </w:t>
      </w:r>
      <w:r>
        <w:t>valeur</w:t>
      </w:r>
      <w:r w:rsidRPr="002C4077">
        <w:t xml:space="preserve"> </w:t>
      </w:r>
      <w:r>
        <w:t>pratique</w:t>
      </w:r>
      <w:r w:rsidR="00B546AF">
        <w:t> »</w:t>
      </w:r>
      <w:r>
        <w:t>,</w:t>
      </w:r>
      <w:r w:rsidRPr="002C4077">
        <w:t xml:space="preserve"> </w:t>
      </w:r>
      <w:r>
        <w:t>si</w:t>
      </w:r>
      <w:r w:rsidRPr="002C4077">
        <w:t xml:space="preserve"> </w:t>
      </w:r>
      <w:r>
        <w:t>notre</w:t>
      </w:r>
      <w:r w:rsidRPr="002C4077">
        <w:t xml:space="preserve"> </w:t>
      </w:r>
      <w:r>
        <w:t>expression</w:t>
      </w:r>
      <w:r w:rsidRPr="002C4077">
        <w:t xml:space="preserve"> </w:t>
      </w:r>
      <w:r>
        <w:t>y</w:t>
      </w:r>
      <w:r w:rsidRPr="002C4077">
        <w:t xml:space="preserve"> </w:t>
      </w:r>
      <w:r>
        <w:t>désigne</w:t>
      </w:r>
      <w:r w:rsidRPr="002C4077">
        <w:t xml:space="preserve"> </w:t>
      </w:r>
      <w:r>
        <w:t>autre</w:t>
      </w:r>
      <w:r w:rsidRPr="002C4077">
        <w:t xml:space="preserve"> </w:t>
      </w:r>
      <w:r>
        <w:t>chose</w:t>
      </w:r>
      <w:r w:rsidRPr="002C4077">
        <w:t xml:space="preserve"> </w:t>
      </w:r>
      <w:r>
        <w:t>qu’une</w:t>
      </w:r>
      <w:r w:rsidRPr="002C4077">
        <w:t xml:space="preserve"> </w:t>
      </w:r>
      <w:r>
        <w:t>personne</w:t>
      </w:r>
      <w:r w:rsidRPr="002C4077">
        <w:t xml:space="preserve"> </w:t>
      </w:r>
      <w:r>
        <w:t>demeurée</w:t>
      </w:r>
      <w:r w:rsidRPr="002C4077">
        <w:t xml:space="preserve"> </w:t>
      </w:r>
      <w:r>
        <w:t>vierge</w:t>
      </w:r>
      <w:r w:rsidRPr="004440EA">
        <w:t xml:space="preserve"> (</w:t>
      </w:r>
      <w:r>
        <w:t>en</w:t>
      </w:r>
      <w:r w:rsidRPr="002C4077">
        <w:t xml:space="preserve"> </w:t>
      </w:r>
      <w:r>
        <w:t>réalité</w:t>
      </w:r>
      <w:r w:rsidRPr="002C4077">
        <w:t xml:space="preserve"> </w:t>
      </w:r>
      <w:r>
        <w:t>ou</w:t>
      </w:r>
      <w:r w:rsidRPr="002C4077">
        <w:t xml:space="preserve"> </w:t>
      </w:r>
      <w:r>
        <w:t>dans</w:t>
      </w:r>
      <w:r w:rsidRPr="002C4077">
        <w:t xml:space="preserve"> </w:t>
      </w:r>
      <w:r>
        <w:t>l’opinion</w:t>
      </w:r>
      <w:r w:rsidR="00B546AF" w:rsidRPr="002C4077">
        <w:t>)</w:t>
      </w:r>
      <w:r w:rsidRPr="002C4077">
        <w:t xml:space="preserve"> </w:t>
      </w:r>
      <w:r>
        <w:t>jusqu’au</w:t>
      </w:r>
      <w:r w:rsidRPr="002C4077">
        <w:t xml:space="preserve"> </w:t>
      </w:r>
      <w:r>
        <w:t>moment</w:t>
      </w:r>
      <w:r w:rsidRPr="002C4077">
        <w:t xml:space="preserve"> </w:t>
      </w:r>
      <w:r>
        <w:t>de</w:t>
      </w:r>
      <w:r w:rsidRPr="002C4077">
        <w:t xml:space="preserve"> </w:t>
      </w:r>
      <w:r>
        <w:t>son</w:t>
      </w:r>
      <w:r w:rsidRPr="002C4077">
        <w:t xml:space="preserve"> </w:t>
      </w:r>
      <w:r>
        <w:t>malheur</w:t>
      </w:r>
      <w:r w:rsidR="00B546AF">
        <w:t> ;</w:t>
      </w:r>
      <w:r w:rsidR="00C45B47">
        <w:t xml:space="preserve"> {</w:t>
      </w:r>
      <w:r w:rsidR="000721C4">
        <w:t>62</w:t>
      </w:r>
      <w:bookmarkStart w:id="205" w:name="p062"/>
      <w:bookmarkEnd w:id="205"/>
      <w:r w:rsidR="000721C4">
        <w:t xml:space="preserve">} </w:t>
      </w:r>
      <w:r>
        <w:t>bien</w:t>
      </w:r>
      <w:r w:rsidRPr="002C4077">
        <w:t xml:space="preserve"> </w:t>
      </w:r>
      <w:r>
        <w:t>plus,</w:t>
      </w:r>
      <w:r w:rsidRPr="002C4077">
        <w:t xml:space="preserve"> </w:t>
      </w:r>
      <w:r>
        <w:t>il</w:t>
      </w:r>
      <w:r w:rsidRPr="002C4077">
        <w:t xml:space="preserve"> </w:t>
      </w:r>
      <w:r w:rsidR="00425C50">
        <w:t>est</w:t>
      </w:r>
      <w:r w:rsidRPr="002C4077">
        <w:t xml:space="preserve"> </w:t>
      </w:r>
      <w:r>
        <w:t>aisé</w:t>
      </w:r>
      <w:r w:rsidRPr="002C4077">
        <w:t xml:space="preserve"> </w:t>
      </w:r>
      <w:r>
        <w:t>de</w:t>
      </w:r>
      <w:r w:rsidRPr="002C4077">
        <w:t xml:space="preserve"> </w:t>
      </w:r>
      <w:r>
        <w:t>se</w:t>
      </w:r>
      <w:r w:rsidRPr="002C4077">
        <w:t xml:space="preserve"> </w:t>
      </w:r>
      <w:r>
        <w:t>convaincre</w:t>
      </w:r>
      <w:r w:rsidRPr="002C4077">
        <w:t xml:space="preserve"> </w:t>
      </w:r>
      <w:r>
        <w:t>que</w:t>
      </w:r>
      <w:r w:rsidRPr="002C4077">
        <w:t xml:space="preserve"> </w:t>
      </w:r>
      <w:r>
        <w:t>ce</w:t>
      </w:r>
      <w:r w:rsidRPr="002C4077">
        <w:t xml:space="preserve"> </w:t>
      </w:r>
      <w:r>
        <w:t>même</w:t>
      </w:r>
      <w:r w:rsidRPr="002C4077">
        <w:t xml:space="preserve"> </w:t>
      </w:r>
      <w:r>
        <w:t>passage</w:t>
      </w:r>
      <w:r w:rsidRPr="002C4077">
        <w:t xml:space="preserve"> </w:t>
      </w:r>
      <w:r>
        <w:t>a</w:t>
      </w:r>
      <w:r w:rsidRPr="002C4077">
        <w:t xml:space="preserve"> </w:t>
      </w:r>
      <w:r w:rsidR="00B546AF">
        <w:t>« </w:t>
      </w:r>
      <w:r>
        <w:t>une</w:t>
      </w:r>
      <w:r w:rsidRPr="002C4077">
        <w:t xml:space="preserve"> </w:t>
      </w:r>
      <w:r>
        <w:t>force</w:t>
      </w:r>
      <w:r w:rsidRPr="002C4077">
        <w:t xml:space="preserve"> </w:t>
      </w:r>
      <w:r>
        <w:t>particulière</w:t>
      </w:r>
      <w:r w:rsidR="00B546AF">
        <w:t> »</w:t>
      </w:r>
      <w:r w:rsidRPr="002C4077">
        <w:t xml:space="preserve"> </w:t>
      </w:r>
      <w:r>
        <w:t>pour</w:t>
      </w:r>
      <w:r w:rsidRPr="002C4077">
        <w:t xml:space="preserve"> </w:t>
      </w:r>
      <w:r>
        <w:t>établir</w:t>
      </w:r>
      <w:r w:rsidRPr="002C4077">
        <w:t xml:space="preserve"> </w:t>
      </w:r>
      <w:r w:rsidR="00B546AF">
        <w:t>« </w:t>
      </w:r>
      <w:r>
        <w:t>l’interprétation</w:t>
      </w:r>
      <w:r w:rsidRPr="002C4077">
        <w:t xml:space="preserve"> </w:t>
      </w:r>
      <w:r>
        <w:t>orthodoxe</w:t>
      </w:r>
      <w:r w:rsidR="00B546AF">
        <w:t> »</w:t>
      </w:r>
      <w:r w:rsidRPr="002C4077">
        <w:t xml:space="preserve"> </w:t>
      </w:r>
      <w:r>
        <w:t>du</w:t>
      </w:r>
      <w:r w:rsidRPr="002C4077">
        <w:t xml:space="preserve"> </w:t>
      </w:r>
      <w:r>
        <w:t>mot</w:t>
      </w:r>
      <w:r w:rsidRPr="002C4077">
        <w:t xml:space="preserve"> </w:t>
      </w:r>
      <w:r w:rsidR="00D40830" w:rsidRPr="00D05EA9">
        <w:rPr>
          <w:rStyle w:val="italicus"/>
        </w:rPr>
        <w:t>῾almah</w:t>
      </w:r>
      <w:r w:rsidR="00F6492C">
        <w:rPr>
          <w:rStyle w:val="Appelnotedebasdep"/>
          <w:i/>
        </w:rPr>
        <w:footnoteReference w:id="181"/>
      </w:r>
      <w:r w:rsidR="00F6492C" w:rsidRPr="000A34B5">
        <w:rPr>
          <w:rStyle w:val="italicus"/>
        </w:rPr>
        <w:t>.</w:t>
      </w:r>
      <w:r w:rsidRPr="002C4077">
        <w:t xml:space="preserve"> </w:t>
      </w:r>
    </w:p>
    <w:p w:rsidR="000A7AAB" w:rsidRDefault="000A7AAB" w:rsidP="000A7AAB">
      <w:r>
        <w:t>Quelle</w:t>
      </w:r>
      <w:r w:rsidRPr="002C4077">
        <w:t xml:space="preserve"> </w:t>
      </w:r>
      <w:r w:rsidR="00425C50">
        <w:t>est</w:t>
      </w:r>
      <w:r>
        <w:t>,</w:t>
      </w:r>
      <w:r w:rsidRPr="002C4077">
        <w:t xml:space="preserve"> </w:t>
      </w:r>
      <w:r>
        <w:t>en</w:t>
      </w:r>
      <w:r w:rsidRPr="002C4077">
        <w:t xml:space="preserve"> </w:t>
      </w:r>
      <w:r>
        <w:t>effet,</w:t>
      </w:r>
      <w:r w:rsidRPr="002C4077">
        <w:t xml:space="preserve"> </w:t>
      </w:r>
      <w:r>
        <w:t>la</w:t>
      </w:r>
      <w:r w:rsidRPr="002C4077">
        <w:t xml:space="preserve"> </w:t>
      </w:r>
      <w:r>
        <w:t>pensée</w:t>
      </w:r>
      <w:r w:rsidRPr="002C4077">
        <w:t xml:space="preserve"> </w:t>
      </w:r>
      <w:r>
        <w:t>directe</w:t>
      </w:r>
      <w:r w:rsidRPr="002C4077">
        <w:t xml:space="preserve"> </w:t>
      </w:r>
      <w:r>
        <w:t>de</w:t>
      </w:r>
      <w:r w:rsidRPr="002C4077">
        <w:t xml:space="preserve"> </w:t>
      </w:r>
      <w:r>
        <w:t>l’écrivain</w:t>
      </w:r>
      <w:r w:rsidRPr="002C4077">
        <w:t xml:space="preserve"> </w:t>
      </w:r>
      <w:r>
        <w:t>sacré</w:t>
      </w:r>
      <w:r w:rsidR="00B546AF">
        <w:t> ?</w:t>
      </w:r>
      <w:r w:rsidRPr="002C4077">
        <w:t xml:space="preserve"> </w:t>
      </w:r>
      <w:r>
        <w:t>Il</w:t>
      </w:r>
      <w:r w:rsidRPr="002C4077">
        <w:t xml:space="preserve"> </w:t>
      </w:r>
      <w:r>
        <w:t>commence</w:t>
      </w:r>
      <w:r w:rsidRPr="002C4077">
        <w:t xml:space="preserve"> </w:t>
      </w:r>
      <w:r>
        <w:t>par</w:t>
      </w:r>
      <w:r w:rsidRPr="002C4077">
        <w:t xml:space="preserve"> </w:t>
      </w:r>
      <w:r>
        <w:t>indiquer</w:t>
      </w:r>
      <w:r w:rsidRPr="002C4077">
        <w:t xml:space="preserve"> </w:t>
      </w:r>
      <w:r>
        <w:t>trois</w:t>
      </w:r>
      <w:r w:rsidRPr="002C4077">
        <w:t xml:space="preserve"> </w:t>
      </w:r>
      <w:r>
        <w:t>choses</w:t>
      </w:r>
      <w:r w:rsidRPr="002C4077">
        <w:t xml:space="preserve"> </w:t>
      </w:r>
      <w:r>
        <w:t>qui</w:t>
      </w:r>
      <w:r w:rsidRPr="002C4077">
        <w:t xml:space="preserve"> </w:t>
      </w:r>
      <w:r>
        <w:t>vont</w:t>
      </w:r>
      <w:r w:rsidRPr="002C4077">
        <w:t xml:space="preserve"> </w:t>
      </w:r>
      <w:r>
        <w:t>et</w:t>
      </w:r>
      <w:r w:rsidRPr="002C4077">
        <w:t xml:space="preserve"> </w:t>
      </w:r>
      <w:r>
        <w:t>viennent</w:t>
      </w:r>
      <w:r w:rsidRPr="002C4077">
        <w:t xml:space="preserve"> </w:t>
      </w:r>
      <w:r>
        <w:t>sans</w:t>
      </w:r>
      <w:r w:rsidRPr="002C4077">
        <w:t xml:space="preserve"> </w:t>
      </w:r>
      <w:r>
        <w:t>laisser</w:t>
      </w:r>
      <w:r w:rsidRPr="002C4077">
        <w:t xml:space="preserve"> </w:t>
      </w:r>
      <w:r>
        <w:t>aucune</w:t>
      </w:r>
      <w:r w:rsidRPr="002C4077">
        <w:t xml:space="preserve"> </w:t>
      </w:r>
      <w:r>
        <w:t>trace</w:t>
      </w:r>
      <w:r w:rsidRPr="002C4077">
        <w:t xml:space="preserve"> </w:t>
      </w:r>
      <w:r>
        <w:t>durable</w:t>
      </w:r>
      <w:r w:rsidRPr="002C4077">
        <w:t xml:space="preserve"> </w:t>
      </w:r>
      <w:r>
        <w:t>de</w:t>
      </w:r>
      <w:r w:rsidRPr="002C4077">
        <w:t xml:space="preserve"> </w:t>
      </w:r>
      <w:r>
        <w:t>leur</w:t>
      </w:r>
      <w:r w:rsidRPr="002C4077">
        <w:t xml:space="preserve"> </w:t>
      </w:r>
      <w:r>
        <w:t>présence</w:t>
      </w:r>
      <w:r w:rsidR="00B546AF">
        <w:t> ;</w:t>
      </w:r>
      <w:r w:rsidRPr="002C4077">
        <w:t xml:space="preserve"> </w:t>
      </w:r>
      <w:r>
        <w:t>puis</w:t>
      </w:r>
      <w:r w:rsidRPr="002C4077">
        <w:t xml:space="preserve"> </w:t>
      </w:r>
      <w:r>
        <w:t>il</w:t>
      </w:r>
      <w:r w:rsidRPr="002C4077">
        <w:t xml:space="preserve"> </w:t>
      </w:r>
      <w:r>
        <w:t>en</w:t>
      </w:r>
      <w:r w:rsidRPr="002C4077">
        <w:t xml:space="preserve"> </w:t>
      </w:r>
      <w:r>
        <w:t>signale</w:t>
      </w:r>
      <w:r w:rsidRPr="002C4077">
        <w:t xml:space="preserve"> </w:t>
      </w:r>
      <w:r>
        <w:t>une</w:t>
      </w:r>
      <w:r w:rsidRPr="002C4077">
        <w:t xml:space="preserve"> </w:t>
      </w:r>
      <w:r>
        <w:t>quatrième,</w:t>
      </w:r>
      <w:r w:rsidRPr="002C4077">
        <w:t xml:space="preserve"> </w:t>
      </w:r>
      <w:r>
        <w:t>analogue</w:t>
      </w:r>
      <w:r w:rsidRPr="002C4077">
        <w:t xml:space="preserve"> </w:t>
      </w:r>
      <w:r>
        <w:t>aux</w:t>
      </w:r>
      <w:r w:rsidRPr="002C4077">
        <w:t xml:space="preserve"> </w:t>
      </w:r>
      <w:r>
        <w:t>premières</w:t>
      </w:r>
      <w:r w:rsidRPr="002C4077">
        <w:t xml:space="preserve"> </w:t>
      </w:r>
      <w:r>
        <w:t>dans</w:t>
      </w:r>
      <w:r w:rsidRPr="002C4077">
        <w:t xml:space="preserve"> </w:t>
      </w:r>
      <w:r>
        <w:t>ses</w:t>
      </w:r>
      <w:r w:rsidRPr="002C4077">
        <w:t xml:space="preserve"> </w:t>
      </w:r>
      <w:r>
        <w:t>effets</w:t>
      </w:r>
      <w:r w:rsidR="00B546AF">
        <w:t> :</w:t>
      </w:r>
      <w:r w:rsidRPr="002C4077">
        <w:t xml:space="preserve"> </w:t>
      </w:r>
      <w:r>
        <w:t>celles-là</w:t>
      </w:r>
      <w:r w:rsidRPr="002C4077">
        <w:t xml:space="preserve"> </w:t>
      </w:r>
      <w:r>
        <w:t>servant</w:t>
      </w:r>
      <w:r w:rsidRPr="002C4077">
        <w:t xml:space="preserve"> </w:t>
      </w:r>
      <w:r>
        <w:t>à</w:t>
      </w:r>
      <w:r w:rsidRPr="002C4077">
        <w:t xml:space="preserve"> </w:t>
      </w:r>
      <w:r>
        <w:t>celle-ci</w:t>
      </w:r>
      <w:r w:rsidRPr="002C4077">
        <w:t xml:space="preserve"> </w:t>
      </w:r>
      <w:r>
        <w:t>de</w:t>
      </w:r>
      <w:r w:rsidRPr="002C4077">
        <w:t xml:space="preserve"> </w:t>
      </w:r>
      <w:r>
        <w:t>terme</w:t>
      </w:r>
      <w:r w:rsidRPr="002C4077">
        <w:t xml:space="preserve"> </w:t>
      </w:r>
      <w:r>
        <w:t>de</w:t>
      </w:r>
      <w:r w:rsidRPr="002C4077">
        <w:t xml:space="preserve"> </w:t>
      </w:r>
      <w:r>
        <w:t>comparaison.</w:t>
      </w:r>
      <w:r w:rsidRPr="002C4077">
        <w:t xml:space="preserve"> </w:t>
      </w:r>
      <w:r>
        <w:t>C’est</w:t>
      </w:r>
      <w:r w:rsidRPr="002C4077">
        <w:t xml:space="preserve"> </w:t>
      </w:r>
      <w:r>
        <w:t>là</w:t>
      </w:r>
      <w:r w:rsidRPr="002C4077">
        <w:t xml:space="preserve"> </w:t>
      </w:r>
      <w:r>
        <w:t>un</w:t>
      </w:r>
      <w:r w:rsidRPr="002C4077">
        <w:t xml:space="preserve"> </w:t>
      </w:r>
      <w:r>
        <w:t>procédé</w:t>
      </w:r>
      <w:r w:rsidRPr="002C4077">
        <w:t xml:space="preserve"> </w:t>
      </w:r>
      <w:r>
        <w:t>oriental</w:t>
      </w:r>
      <w:r w:rsidRPr="002C4077">
        <w:t xml:space="preserve"> </w:t>
      </w:r>
      <w:r>
        <w:t>pour</w:t>
      </w:r>
      <w:r w:rsidRPr="002C4077">
        <w:t xml:space="preserve"> </w:t>
      </w:r>
      <w:r>
        <w:t>attirer</w:t>
      </w:r>
      <w:r w:rsidRPr="002C4077">
        <w:t xml:space="preserve"> </w:t>
      </w:r>
      <w:r>
        <w:t>l’attention</w:t>
      </w:r>
      <w:r w:rsidRPr="002C4077">
        <w:t xml:space="preserve"> </w:t>
      </w:r>
      <w:r>
        <w:t>sur</w:t>
      </w:r>
      <w:r w:rsidRPr="002C4077">
        <w:t xml:space="preserve"> </w:t>
      </w:r>
      <w:r>
        <w:t>le</w:t>
      </w:r>
      <w:r w:rsidRPr="002C4077">
        <w:t xml:space="preserve"> </w:t>
      </w:r>
      <w:r>
        <w:t>fait</w:t>
      </w:r>
      <w:r w:rsidRPr="002C4077">
        <w:t xml:space="preserve"> </w:t>
      </w:r>
      <w:r>
        <w:t>mentionné</w:t>
      </w:r>
      <w:r w:rsidRPr="002C4077">
        <w:t xml:space="preserve"> </w:t>
      </w:r>
      <w:r>
        <w:t>en</w:t>
      </w:r>
      <w:r w:rsidRPr="002C4077">
        <w:t xml:space="preserve"> </w:t>
      </w:r>
      <w:r>
        <w:t>dernier</w:t>
      </w:r>
      <w:r w:rsidRPr="002C4077">
        <w:t xml:space="preserve"> </w:t>
      </w:r>
      <w:r>
        <w:t>lieu,</w:t>
      </w:r>
      <w:r w:rsidRPr="002C4077">
        <w:t xml:space="preserve"> </w:t>
      </w:r>
      <w:r>
        <w:t>comme</w:t>
      </w:r>
      <w:r w:rsidRPr="002C4077">
        <w:t xml:space="preserve"> </w:t>
      </w:r>
      <w:r>
        <w:t>étant,</w:t>
      </w:r>
      <w:r w:rsidRPr="002C4077">
        <w:t xml:space="preserve"> </w:t>
      </w:r>
      <w:r>
        <w:t>d’après</w:t>
      </w:r>
      <w:r w:rsidRPr="002C4077">
        <w:t xml:space="preserve"> </w:t>
      </w:r>
      <w:r>
        <w:t>l’écrivain,</w:t>
      </w:r>
      <w:r w:rsidRPr="002C4077">
        <w:t xml:space="preserve"> </w:t>
      </w:r>
      <w:r>
        <w:t>le</w:t>
      </w:r>
      <w:r w:rsidRPr="002C4077">
        <w:t xml:space="preserve"> </w:t>
      </w:r>
      <w:r>
        <w:t>plus</w:t>
      </w:r>
      <w:r w:rsidRPr="002C4077">
        <w:t xml:space="preserve"> </w:t>
      </w:r>
      <w:r>
        <w:t>remarquable</w:t>
      </w:r>
      <w:r w:rsidRPr="002C4077">
        <w:t xml:space="preserve"> </w:t>
      </w:r>
      <w:r>
        <w:t>de</w:t>
      </w:r>
      <w:r w:rsidRPr="002C4077">
        <w:t xml:space="preserve"> </w:t>
      </w:r>
      <w:r>
        <w:t>tous.</w:t>
      </w:r>
      <w:r w:rsidRPr="002C4077">
        <w:t xml:space="preserve"> </w:t>
      </w:r>
    </w:p>
    <w:p w:rsidR="000A7AAB" w:rsidRDefault="000A7AAB" w:rsidP="000A7AAB">
      <w:r>
        <w:t>Il</w:t>
      </w:r>
      <w:r w:rsidRPr="002C4077">
        <w:t xml:space="preserve"> </w:t>
      </w:r>
      <w:r w:rsidR="00425C50">
        <w:t>est</w:t>
      </w:r>
      <w:r w:rsidRPr="002C4077">
        <w:t xml:space="preserve"> </w:t>
      </w:r>
      <w:r>
        <w:t>donc</w:t>
      </w:r>
      <w:r w:rsidRPr="002C4077">
        <w:t xml:space="preserve"> </w:t>
      </w:r>
      <w:r>
        <w:t>difficile</w:t>
      </w:r>
      <w:r w:rsidRPr="002C4077">
        <w:t xml:space="preserve"> </w:t>
      </w:r>
      <w:r>
        <w:t>de</w:t>
      </w:r>
      <w:r w:rsidRPr="002C4077">
        <w:t xml:space="preserve"> </w:t>
      </w:r>
      <w:r>
        <w:t>reconnaître</w:t>
      </w:r>
      <w:r w:rsidRPr="002C4077">
        <w:t xml:space="preserve"> </w:t>
      </w:r>
      <w:r>
        <w:t>qu’un</w:t>
      </w:r>
      <w:r w:rsidRPr="002C4077">
        <w:t xml:space="preserve"> </w:t>
      </w:r>
      <w:r>
        <w:t>aigle</w:t>
      </w:r>
      <w:r w:rsidRPr="002C4077">
        <w:t xml:space="preserve"> </w:t>
      </w:r>
      <w:r>
        <w:t>a</w:t>
      </w:r>
      <w:r w:rsidRPr="002C4077">
        <w:t xml:space="preserve"> </w:t>
      </w:r>
      <w:r>
        <w:t>traversé</w:t>
      </w:r>
      <w:r w:rsidRPr="002C4077">
        <w:t xml:space="preserve"> </w:t>
      </w:r>
      <w:r>
        <w:t>les</w:t>
      </w:r>
      <w:r w:rsidRPr="002C4077">
        <w:t xml:space="preserve"> </w:t>
      </w:r>
      <w:r>
        <w:t>airs,</w:t>
      </w:r>
      <w:r w:rsidRPr="002C4077">
        <w:t xml:space="preserve"> </w:t>
      </w:r>
      <w:r>
        <w:t>qu’un</w:t>
      </w:r>
      <w:r w:rsidRPr="002C4077">
        <w:t xml:space="preserve"> </w:t>
      </w:r>
      <w:r>
        <w:t>navire</w:t>
      </w:r>
      <w:r w:rsidRPr="002C4077">
        <w:t xml:space="preserve"> </w:t>
      </w:r>
      <w:r>
        <w:t>a</w:t>
      </w:r>
      <w:r w:rsidRPr="002C4077">
        <w:t xml:space="preserve"> </w:t>
      </w:r>
      <w:r>
        <w:t>fendu</w:t>
      </w:r>
      <w:r w:rsidRPr="002C4077">
        <w:t xml:space="preserve"> </w:t>
      </w:r>
      <w:r>
        <w:t>les</w:t>
      </w:r>
      <w:r w:rsidRPr="002C4077">
        <w:t xml:space="preserve"> </w:t>
      </w:r>
      <w:r>
        <w:t>flots</w:t>
      </w:r>
      <w:r w:rsidRPr="002C4077">
        <w:t xml:space="preserve"> </w:t>
      </w:r>
      <w:r>
        <w:t>de</w:t>
      </w:r>
      <w:r w:rsidRPr="002C4077">
        <w:t xml:space="preserve"> </w:t>
      </w:r>
      <w:r>
        <w:t>la</w:t>
      </w:r>
      <w:r w:rsidRPr="002C4077">
        <w:t xml:space="preserve"> </w:t>
      </w:r>
      <w:r>
        <w:t>mer,</w:t>
      </w:r>
      <w:r w:rsidRPr="002C4077">
        <w:t xml:space="preserve"> </w:t>
      </w:r>
      <w:r>
        <w:t>qu’un</w:t>
      </w:r>
      <w:r w:rsidRPr="002C4077">
        <w:t xml:space="preserve"> </w:t>
      </w:r>
      <w:r>
        <w:t>reptile</w:t>
      </w:r>
      <w:r w:rsidRPr="002C4077">
        <w:t xml:space="preserve"> </w:t>
      </w:r>
      <w:r>
        <w:t>a</w:t>
      </w:r>
      <w:r w:rsidRPr="002C4077">
        <w:t xml:space="preserve"> </w:t>
      </w:r>
      <w:r>
        <w:t>glissé</w:t>
      </w:r>
      <w:r w:rsidRPr="002C4077">
        <w:t xml:space="preserve"> </w:t>
      </w:r>
      <w:r>
        <w:t>sur</w:t>
      </w:r>
      <w:r w:rsidRPr="002C4077">
        <w:t xml:space="preserve"> </w:t>
      </w:r>
      <w:r>
        <w:t>un</w:t>
      </w:r>
      <w:r w:rsidRPr="002C4077">
        <w:t xml:space="preserve"> </w:t>
      </w:r>
      <w:r>
        <w:t>rocher</w:t>
      </w:r>
      <w:r w:rsidR="00B546AF">
        <w:t> :</w:t>
      </w:r>
      <w:r w:rsidRPr="002C4077">
        <w:t xml:space="preserve"> </w:t>
      </w:r>
      <w:r>
        <w:t>l’air</w:t>
      </w:r>
      <w:r w:rsidRPr="002C4077">
        <w:t xml:space="preserve"> </w:t>
      </w:r>
      <w:r>
        <w:t>et</w:t>
      </w:r>
      <w:r w:rsidRPr="002C4077">
        <w:t xml:space="preserve"> </w:t>
      </w:r>
      <w:r>
        <w:t>la</w:t>
      </w:r>
      <w:r w:rsidRPr="002C4077">
        <w:t xml:space="preserve"> </w:t>
      </w:r>
      <w:r>
        <w:t>mer</w:t>
      </w:r>
      <w:r w:rsidRPr="002C4077">
        <w:t xml:space="preserve"> </w:t>
      </w:r>
      <w:r>
        <w:t>referment</w:t>
      </w:r>
      <w:r w:rsidRPr="002C4077">
        <w:t xml:space="preserve"> </w:t>
      </w:r>
      <w:r>
        <w:t>aussitôt</w:t>
      </w:r>
      <w:r w:rsidRPr="002C4077">
        <w:t xml:space="preserve"> </w:t>
      </w:r>
      <w:r>
        <w:t>leurs</w:t>
      </w:r>
      <w:r w:rsidRPr="002C4077">
        <w:t xml:space="preserve"> </w:t>
      </w:r>
      <w:r>
        <w:t>ondes,</w:t>
      </w:r>
      <w:r w:rsidRPr="002C4077">
        <w:t xml:space="preserve"> </w:t>
      </w:r>
      <w:r>
        <w:t>le</w:t>
      </w:r>
      <w:r w:rsidRPr="002C4077">
        <w:t xml:space="preserve"> </w:t>
      </w:r>
      <w:r>
        <w:t>rocher</w:t>
      </w:r>
      <w:r w:rsidRPr="002C4077">
        <w:t xml:space="preserve"> </w:t>
      </w:r>
      <w:r>
        <w:t>n’a</w:t>
      </w:r>
      <w:r w:rsidRPr="002C4077">
        <w:t xml:space="preserve"> </w:t>
      </w:r>
      <w:r>
        <w:t>pas</w:t>
      </w:r>
      <w:r w:rsidRPr="002C4077">
        <w:t xml:space="preserve"> </w:t>
      </w:r>
      <w:r>
        <w:t>même</w:t>
      </w:r>
      <w:r w:rsidRPr="002C4077">
        <w:t xml:space="preserve"> </w:t>
      </w:r>
      <w:r>
        <w:t>été</w:t>
      </w:r>
      <w:r w:rsidRPr="002C4077">
        <w:t xml:space="preserve"> </w:t>
      </w:r>
      <w:r>
        <w:t>atteint</w:t>
      </w:r>
      <w:r w:rsidRPr="002C4077">
        <w:t xml:space="preserve"> </w:t>
      </w:r>
      <w:r>
        <w:t>à</w:t>
      </w:r>
      <w:r w:rsidRPr="002C4077">
        <w:t xml:space="preserve"> </w:t>
      </w:r>
      <w:r>
        <w:t>la</w:t>
      </w:r>
      <w:r w:rsidRPr="002C4077">
        <w:t xml:space="preserve"> </w:t>
      </w:r>
      <w:r>
        <w:t>surface.</w:t>
      </w:r>
      <w:r w:rsidRPr="002C4077">
        <w:t xml:space="preserve"> </w:t>
      </w:r>
      <w:r>
        <w:t>Or,</w:t>
      </w:r>
      <w:r w:rsidRPr="002C4077">
        <w:t xml:space="preserve"> </w:t>
      </w:r>
      <w:r>
        <w:t>il</w:t>
      </w:r>
      <w:r w:rsidRPr="002C4077">
        <w:t xml:space="preserve"> </w:t>
      </w:r>
      <w:r>
        <w:t>n’est</w:t>
      </w:r>
      <w:r w:rsidRPr="002C4077">
        <w:t xml:space="preserve"> </w:t>
      </w:r>
      <w:r>
        <w:t>pas</w:t>
      </w:r>
      <w:r w:rsidRPr="002C4077">
        <w:t xml:space="preserve"> </w:t>
      </w:r>
      <w:r>
        <w:t>moins</w:t>
      </w:r>
      <w:r w:rsidRPr="002C4077">
        <w:t xml:space="preserve"> </w:t>
      </w:r>
      <w:r>
        <w:t>difficile</w:t>
      </w:r>
      <w:r w:rsidRPr="002C4077">
        <w:t xml:space="preserve"> </w:t>
      </w:r>
      <w:r>
        <w:t>de</w:t>
      </w:r>
      <w:r w:rsidRPr="002C4077">
        <w:t xml:space="preserve"> </w:t>
      </w:r>
      <w:r>
        <w:t>constater</w:t>
      </w:r>
      <w:r w:rsidRPr="002C4077">
        <w:t xml:space="preserve"> </w:t>
      </w:r>
      <w:r>
        <w:t>qu’une</w:t>
      </w:r>
      <w:r w:rsidRPr="002C4077">
        <w:t xml:space="preserve"> </w:t>
      </w:r>
      <w:r w:rsidR="00D40830" w:rsidRPr="00D05EA9">
        <w:rPr>
          <w:rStyle w:val="italicus"/>
        </w:rPr>
        <w:t>῾almah</w:t>
      </w:r>
      <w:r w:rsidRPr="002C4077">
        <w:t xml:space="preserve"> </w:t>
      </w:r>
      <w:r>
        <w:t>a</w:t>
      </w:r>
      <w:r w:rsidRPr="002C4077">
        <w:t xml:space="preserve"> </w:t>
      </w:r>
      <w:r>
        <w:t>cessé</w:t>
      </w:r>
      <w:r w:rsidRPr="002C4077">
        <w:t xml:space="preserve"> </w:t>
      </w:r>
      <w:r>
        <w:t>d’être</w:t>
      </w:r>
      <w:r w:rsidRPr="002C4077">
        <w:t xml:space="preserve"> </w:t>
      </w:r>
      <w:r>
        <w:t>vierge,</w:t>
      </w:r>
      <w:r w:rsidRPr="002C4077">
        <w:t xml:space="preserve"> </w:t>
      </w:r>
      <w:r>
        <w:t>soit</w:t>
      </w:r>
      <w:r w:rsidRPr="002C4077">
        <w:t xml:space="preserve"> </w:t>
      </w:r>
      <w:r>
        <w:t>parce</w:t>
      </w:r>
      <w:r w:rsidRPr="002C4077">
        <w:t xml:space="preserve"> </w:t>
      </w:r>
      <w:r>
        <w:t>qu’elle</w:t>
      </w:r>
      <w:r w:rsidRPr="002C4077">
        <w:t xml:space="preserve"> </w:t>
      </w:r>
      <w:r>
        <w:t>saura</w:t>
      </w:r>
      <w:r w:rsidRPr="002C4077">
        <w:t xml:space="preserve"> </w:t>
      </w:r>
      <w:r>
        <w:t>dissimuler</w:t>
      </w:r>
      <w:r w:rsidRPr="002C4077">
        <w:t xml:space="preserve"> </w:t>
      </w:r>
      <w:r>
        <w:t>sa</w:t>
      </w:r>
      <w:r w:rsidRPr="002C4077">
        <w:t xml:space="preserve"> </w:t>
      </w:r>
      <w:r>
        <w:t>faute</w:t>
      </w:r>
      <w:r w:rsidRPr="002C4077">
        <w:t xml:space="preserve"> </w:t>
      </w:r>
      <w:r>
        <w:t>sous</w:t>
      </w:r>
      <w:r w:rsidRPr="002C4077">
        <w:t xml:space="preserve"> </w:t>
      </w:r>
      <w:r>
        <w:t>des</w:t>
      </w:r>
      <w:r w:rsidRPr="002C4077">
        <w:t xml:space="preserve"> </w:t>
      </w:r>
      <w:r>
        <w:t>dehors</w:t>
      </w:r>
      <w:r w:rsidRPr="002C4077">
        <w:t xml:space="preserve"> </w:t>
      </w:r>
      <w:r>
        <w:t>hypocrites,</w:t>
      </w:r>
      <w:r w:rsidRPr="002C4077">
        <w:t xml:space="preserve"> </w:t>
      </w:r>
      <w:r>
        <w:t>soit</w:t>
      </w:r>
      <w:r w:rsidRPr="002C4077">
        <w:t xml:space="preserve"> </w:t>
      </w:r>
      <w:r>
        <w:t>parce</w:t>
      </w:r>
      <w:r w:rsidRPr="002C4077">
        <w:t xml:space="preserve"> </w:t>
      </w:r>
      <w:r>
        <w:t>que</w:t>
      </w:r>
      <w:r w:rsidRPr="002C4077">
        <w:t xml:space="preserve"> </w:t>
      </w:r>
      <w:r>
        <w:t>le</w:t>
      </w:r>
      <w:r w:rsidRPr="002C4077">
        <w:t xml:space="preserve"> </w:t>
      </w:r>
      <w:r>
        <w:t>vice</w:t>
      </w:r>
      <w:r w:rsidRPr="002C4077">
        <w:t xml:space="preserve"> </w:t>
      </w:r>
      <w:r>
        <w:t>a</w:t>
      </w:r>
      <w:r w:rsidRPr="002C4077">
        <w:t xml:space="preserve"> </w:t>
      </w:r>
      <w:r>
        <w:t>des</w:t>
      </w:r>
      <w:r w:rsidRPr="002C4077">
        <w:t xml:space="preserve"> </w:t>
      </w:r>
      <w:r>
        <w:t>raffinements</w:t>
      </w:r>
      <w:r w:rsidRPr="002C4077">
        <w:t xml:space="preserve"> </w:t>
      </w:r>
      <w:r>
        <w:t>qui</w:t>
      </w:r>
      <w:r w:rsidRPr="002C4077">
        <w:t xml:space="preserve"> </w:t>
      </w:r>
      <w:r>
        <w:t>empêchent</w:t>
      </w:r>
      <w:r w:rsidRPr="002C4077">
        <w:t xml:space="preserve"> </w:t>
      </w:r>
      <w:r>
        <w:t>le</w:t>
      </w:r>
      <w:r w:rsidRPr="002C4077">
        <w:t xml:space="preserve"> </w:t>
      </w:r>
      <w:r>
        <w:t>mal</w:t>
      </w:r>
      <w:r w:rsidRPr="002C4077">
        <w:t xml:space="preserve"> </w:t>
      </w:r>
      <w:r>
        <w:t>de</w:t>
      </w:r>
      <w:r w:rsidRPr="002C4077">
        <w:t xml:space="preserve"> </w:t>
      </w:r>
      <w:r>
        <w:t>se</w:t>
      </w:r>
      <w:r w:rsidRPr="002C4077">
        <w:t xml:space="preserve"> </w:t>
      </w:r>
      <w:r>
        <w:t>manifester.</w:t>
      </w:r>
      <w:r w:rsidRPr="002C4077">
        <w:t xml:space="preserve"> </w:t>
      </w:r>
      <w:r w:rsidR="00B546AF">
        <w:t>« </w:t>
      </w:r>
      <w:r>
        <w:t>Locus</w:t>
      </w:r>
      <w:r w:rsidRPr="002C4077">
        <w:t xml:space="preserve"> </w:t>
      </w:r>
      <w:r>
        <w:t>agit</w:t>
      </w:r>
      <w:r w:rsidRPr="002C4077">
        <w:t xml:space="preserve"> </w:t>
      </w:r>
      <w:r>
        <w:t>de</w:t>
      </w:r>
      <w:r w:rsidRPr="002C4077">
        <w:t xml:space="preserve"> </w:t>
      </w:r>
      <w:r w:rsidR="009620EB">
        <w:t>congréssu</w:t>
      </w:r>
      <w:r w:rsidRPr="002C4077">
        <w:t xml:space="preserve"> </w:t>
      </w:r>
      <w:r>
        <w:t>quem</w:t>
      </w:r>
      <w:r w:rsidRPr="002C4077">
        <w:t xml:space="preserve"> </w:t>
      </w:r>
      <w:r>
        <w:t>vir</w:t>
      </w:r>
      <w:r w:rsidRPr="002C4077">
        <w:t xml:space="preserve"> </w:t>
      </w:r>
      <w:r>
        <w:t>cum</w:t>
      </w:r>
      <w:r w:rsidRPr="002C4077">
        <w:t xml:space="preserve"> </w:t>
      </w:r>
      <w:r>
        <w:t>v</w:t>
      </w:r>
      <w:r w:rsidR="003B53FD">
        <w:t>írgine</w:t>
      </w:r>
      <w:r w:rsidRPr="002C4077">
        <w:t xml:space="preserve"> </w:t>
      </w:r>
      <w:r w:rsidR="009620EB">
        <w:t>innúpta</w:t>
      </w:r>
      <w:r w:rsidRPr="002C4077">
        <w:t xml:space="preserve"> </w:t>
      </w:r>
      <w:r w:rsidR="009620EB">
        <w:t>exércet</w:t>
      </w:r>
      <w:r>
        <w:t>,</w:t>
      </w:r>
      <w:r w:rsidRPr="002C4077">
        <w:t xml:space="preserve"> </w:t>
      </w:r>
      <w:r w:rsidR="009620EB">
        <w:t>némine</w:t>
      </w:r>
      <w:r w:rsidRPr="002C4077">
        <w:t xml:space="preserve"> </w:t>
      </w:r>
      <w:r>
        <w:t>præter</w:t>
      </w:r>
      <w:r w:rsidRPr="002C4077">
        <w:t xml:space="preserve"> </w:t>
      </w:r>
      <w:r>
        <w:t>ipsos</w:t>
      </w:r>
      <w:r w:rsidRPr="002C4077">
        <w:t xml:space="preserve"> </w:t>
      </w:r>
      <w:r>
        <w:t>c</w:t>
      </w:r>
      <w:r w:rsidR="003B53FD">
        <w:t>ónscio</w:t>
      </w:r>
      <w:r>
        <w:t>,</w:t>
      </w:r>
      <w:r w:rsidRPr="002C4077">
        <w:t xml:space="preserve"> </w:t>
      </w:r>
      <w:r>
        <w:t>absque</w:t>
      </w:r>
      <w:r w:rsidRPr="002C4077">
        <w:t xml:space="preserve"> </w:t>
      </w:r>
      <w:r>
        <w:t>t</w:t>
      </w:r>
      <w:r w:rsidR="003B53FD">
        <w:t>éstibus</w:t>
      </w:r>
      <w:r w:rsidRPr="002C4077">
        <w:t xml:space="preserve"> </w:t>
      </w:r>
      <w:r>
        <w:t>et</w:t>
      </w:r>
      <w:r w:rsidRPr="002C4077">
        <w:t xml:space="preserve"> </w:t>
      </w:r>
      <w:r w:rsidR="009620EB">
        <w:t>árbitris</w:t>
      </w:r>
      <w:r>
        <w:t>,</w:t>
      </w:r>
      <w:r w:rsidRPr="002C4077">
        <w:t xml:space="preserve"> </w:t>
      </w:r>
      <w:r>
        <w:t>dum</w:t>
      </w:r>
      <w:r w:rsidRPr="002C4077">
        <w:t xml:space="preserve"> </w:t>
      </w:r>
      <w:r w:rsidR="009620EB">
        <w:t>intérea</w:t>
      </w:r>
      <w:r w:rsidRPr="002C4077">
        <w:t xml:space="preserve"> </w:t>
      </w:r>
      <w:r>
        <w:t>illa</w:t>
      </w:r>
      <w:r w:rsidRPr="002C4077">
        <w:t xml:space="preserve"> </w:t>
      </w:r>
      <w:r>
        <w:t>pro</w:t>
      </w:r>
      <w:r w:rsidRPr="002C4077">
        <w:t xml:space="preserve"> </w:t>
      </w:r>
      <w:r>
        <w:t>statu</w:t>
      </w:r>
      <w:r w:rsidRPr="002C4077">
        <w:t xml:space="preserve"> </w:t>
      </w:r>
      <w:r w:rsidR="009620EB">
        <w:t>præsénte</w:t>
      </w:r>
      <w:r w:rsidRPr="002C4077">
        <w:t xml:space="preserve"> </w:t>
      </w:r>
      <w:r>
        <w:t>c</w:t>
      </w:r>
      <w:r w:rsidR="003B53FD">
        <w:t>ólitur</w:t>
      </w:r>
      <w:r w:rsidRPr="002C4077">
        <w:t xml:space="preserve"> </w:t>
      </w:r>
      <w:r>
        <w:t>et</w:t>
      </w:r>
      <w:r w:rsidRPr="002C4077">
        <w:t xml:space="preserve"> </w:t>
      </w:r>
      <w:r>
        <w:t>ho</w:t>
      </w:r>
      <w:r w:rsidR="003B53FD">
        <w:t>norátur</w:t>
      </w:r>
      <w:r w:rsidRPr="002C4077">
        <w:t xml:space="preserve"> </w:t>
      </w:r>
      <w:r>
        <w:t>ut</w:t>
      </w:r>
      <w:r w:rsidRPr="002C4077">
        <w:t xml:space="preserve"> </w:t>
      </w:r>
      <w:r>
        <w:t>virgo,</w:t>
      </w:r>
      <w:r w:rsidRPr="002C4077">
        <w:t xml:space="preserve"> </w:t>
      </w:r>
      <w:r>
        <w:t>et</w:t>
      </w:r>
      <w:r w:rsidRPr="002C4077">
        <w:t xml:space="preserve"> </w:t>
      </w:r>
      <w:r>
        <w:t>quid</w:t>
      </w:r>
      <w:r w:rsidRPr="002C4077">
        <w:t xml:space="preserve"> </w:t>
      </w:r>
      <w:r>
        <w:t>sibi</w:t>
      </w:r>
      <w:r w:rsidRPr="002C4077">
        <w:t xml:space="preserve"> </w:t>
      </w:r>
      <w:r>
        <w:t>h</w:t>
      </w:r>
      <w:r w:rsidR="009620EB">
        <w:t>ǽ</w:t>
      </w:r>
      <w:r w:rsidR="003B53FD">
        <w:t>reat</w:t>
      </w:r>
      <w:r w:rsidRPr="002C4077">
        <w:t xml:space="preserve"> </w:t>
      </w:r>
      <w:r>
        <w:t>ita</w:t>
      </w:r>
      <w:r w:rsidRPr="002C4077">
        <w:t xml:space="preserve"> </w:t>
      </w:r>
      <w:r w:rsidR="009620EB">
        <w:t>dissímulat</w:t>
      </w:r>
      <w:r w:rsidRPr="002C4077">
        <w:t xml:space="preserve"> </w:t>
      </w:r>
      <w:r>
        <w:t>ut</w:t>
      </w:r>
      <w:r w:rsidRPr="002C4077">
        <w:t xml:space="preserve"> </w:t>
      </w:r>
      <w:r>
        <w:t>ab</w:t>
      </w:r>
      <w:r w:rsidRPr="002C4077">
        <w:t xml:space="preserve"> </w:t>
      </w:r>
      <w:r w:rsidR="003B53FD">
        <w:t>áliis</w:t>
      </w:r>
      <w:r w:rsidRPr="002C4077">
        <w:t xml:space="preserve"> </w:t>
      </w:r>
      <w:r>
        <w:t>id</w:t>
      </w:r>
      <w:r w:rsidRPr="002C4077">
        <w:t xml:space="preserve"> </w:t>
      </w:r>
      <w:r>
        <w:t>frustra</w:t>
      </w:r>
      <w:r w:rsidRPr="002C4077">
        <w:t xml:space="preserve"> </w:t>
      </w:r>
      <w:r>
        <w:t>perves</w:t>
      </w:r>
      <w:r w:rsidR="003B53FD">
        <w:t>tigétur</w:t>
      </w:r>
      <w:r w:rsidR="00B546AF">
        <w:t> »</w:t>
      </w:r>
      <w:r w:rsidRPr="004440EA">
        <w:t xml:space="preserve"> (</w:t>
      </w:r>
      <w:r w:rsidR="009620EB">
        <w:t>Rosenmüller</w:t>
      </w:r>
      <w:r w:rsidR="00B546AF" w:rsidRPr="002C4077">
        <w:t>)</w:t>
      </w:r>
      <w:r>
        <w:t>.</w:t>
      </w:r>
      <w:r w:rsidRPr="002C4077">
        <w:t xml:space="preserve"> </w:t>
      </w:r>
    </w:p>
    <w:p w:rsidR="000A7AAB" w:rsidRDefault="000A7AAB" w:rsidP="000A7AAB">
      <w:r>
        <w:t>Supposez</w:t>
      </w:r>
      <w:r w:rsidRPr="002C4077">
        <w:t xml:space="preserve"> </w:t>
      </w:r>
      <w:r>
        <w:t>un</w:t>
      </w:r>
      <w:r w:rsidRPr="002C4077">
        <w:t xml:space="preserve"> </w:t>
      </w:r>
      <w:r>
        <w:t>instant</w:t>
      </w:r>
      <w:r w:rsidRPr="002C4077">
        <w:t xml:space="preserve"> </w:t>
      </w:r>
      <w:r>
        <w:t>que</w:t>
      </w:r>
      <w:r w:rsidRPr="002C4077">
        <w:t xml:space="preserve"> </w:t>
      </w:r>
      <w:r>
        <w:t>le</w:t>
      </w:r>
      <w:r w:rsidRPr="002C4077">
        <w:t xml:space="preserve"> </w:t>
      </w:r>
      <w:r>
        <w:t>poète</w:t>
      </w:r>
      <w:r w:rsidRPr="002C4077">
        <w:t xml:space="preserve"> </w:t>
      </w:r>
      <w:r>
        <w:t>ne</w:t>
      </w:r>
      <w:r w:rsidRPr="002C4077">
        <w:t xml:space="preserve"> </w:t>
      </w:r>
      <w:r>
        <w:t>parle</w:t>
      </w:r>
      <w:r w:rsidRPr="002C4077">
        <w:t xml:space="preserve"> </w:t>
      </w:r>
      <w:r>
        <w:t>pas</w:t>
      </w:r>
      <w:r w:rsidRPr="002C4077">
        <w:t xml:space="preserve"> </w:t>
      </w:r>
      <w:r>
        <w:t>d’une</w:t>
      </w:r>
      <w:r w:rsidRPr="002C4077">
        <w:t xml:space="preserve"> </w:t>
      </w:r>
      <w:r>
        <w:t>vierge</w:t>
      </w:r>
      <w:r w:rsidR="00B546AF">
        <w:t> :</w:t>
      </w:r>
      <w:r w:rsidRPr="002C4077">
        <w:t xml:space="preserve"> </w:t>
      </w:r>
      <w:r>
        <w:t>sa</w:t>
      </w:r>
      <w:r w:rsidRPr="002C4077">
        <w:t xml:space="preserve"> </w:t>
      </w:r>
      <w:r>
        <w:t>phrase</w:t>
      </w:r>
      <w:r w:rsidRPr="002C4077">
        <w:t xml:space="preserve"> </w:t>
      </w:r>
      <w:r>
        <w:t>aussitôt</w:t>
      </w:r>
      <w:r w:rsidRPr="002C4077">
        <w:t xml:space="preserve"> </w:t>
      </w:r>
      <w:r>
        <w:t>devient</w:t>
      </w:r>
      <w:r w:rsidRPr="002C4077">
        <w:t xml:space="preserve"> </w:t>
      </w:r>
      <w:r>
        <w:t>banale,</w:t>
      </w:r>
      <w:r w:rsidRPr="002C4077">
        <w:t xml:space="preserve"> </w:t>
      </w:r>
      <w:r>
        <w:t>sans</w:t>
      </w:r>
      <w:r w:rsidRPr="002C4077">
        <w:t xml:space="preserve"> </w:t>
      </w:r>
      <w:r>
        <w:t>portée.</w:t>
      </w:r>
      <w:r w:rsidRPr="002C4077">
        <w:t xml:space="preserve"> </w:t>
      </w:r>
      <w:r>
        <w:t>Mais</w:t>
      </w:r>
      <w:r w:rsidRPr="002C4077">
        <w:t xml:space="preserve"> </w:t>
      </w:r>
      <w:r>
        <w:t>il</w:t>
      </w:r>
      <w:r w:rsidRPr="002C4077">
        <w:t xml:space="preserve"> </w:t>
      </w:r>
      <w:r>
        <w:t>se</w:t>
      </w:r>
      <w:r w:rsidRPr="002C4077">
        <w:t xml:space="preserve"> </w:t>
      </w:r>
      <w:r>
        <w:t>hâte</w:t>
      </w:r>
      <w:r w:rsidRPr="002C4077">
        <w:t xml:space="preserve"> </w:t>
      </w:r>
      <w:r>
        <w:t>de</w:t>
      </w:r>
      <w:r w:rsidRPr="002C4077">
        <w:t xml:space="preserve"> </w:t>
      </w:r>
      <w:r>
        <w:t>nous</w:t>
      </w:r>
      <w:r w:rsidRPr="002C4077">
        <w:t xml:space="preserve"> </w:t>
      </w:r>
      <w:r>
        <w:t>montrer</w:t>
      </w:r>
      <w:r w:rsidRPr="002C4077">
        <w:t xml:space="preserve"> </w:t>
      </w:r>
      <w:r>
        <w:t>lui-même,</w:t>
      </w:r>
      <w:r w:rsidRPr="002C4077">
        <w:t xml:space="preserve"> </w:t>
      </w:r>
      <w:r>
        <w:t>par</w:t>
      </w:r>
      <w:r w:rsidRPr="002C4077">
        <w:t xml:space="preserve"> </w:t>
      </w:r>
      <w:r>
        <w:t>un</w:t>
      </w:r>
      <w:r w:rsidRPr="002C4077">
        <w:t xml:space="preserve"> </w:t>
      </w:r>
      <w:r>
        <w:t>nouveau</w:t>
      </w:r>
      <w:r w:rsidRPr="002C4077">
        <w:t xml:space="preserve"> </w:t>
      </w:r>
      <w:r>
        <w:t>rapprochement,</w:t>
      </w:r>
      <w:r w:rsidRPr="002C4077">
        <w:t xml:space="preserve"> </w:t>
      </w:r>
      <w:r>
        <w:t>qu’il</w:t>
      </w:r>
      <w:r w:rsidRPr="002C4077">
        <w:t xml:space="preserve"> </w:t>
      </w:r>
      <w:r>
        <w:t>a</w:t>
      </w:r>
      <w:r w:rsidRPr="002C4077">
        <w:t xml:space="preserve"> </w:t>
      </w:r>
      <w:r>
        <w:t>voulu</w:t>
      </w:r>
      <w:r w:rsidRPr="002C4077">
        <w:t xml:space="preserve"> </w:t>
      </w:r>
      <w:r>
        <w:t>parler</w:t>
      </w:r>
      <w:r w:rsidRPr="002C4077">
        <w:t xml:space="preserve"> </w:t>
      </w:r>
      <w:r>
        <w:t>d’une</w:t>
      </w:r>
      <w:r w:rsidRPr="002C4077">
        <w:t xml:space="preserve"> </w:t>
      </w:r>
      <w:r>
        <w:t>vierge.</w:t>
      </w:r>
      <w:r w:rsidRPr="002C4077">
        <w:t xml:space="preserve"> </w:t>
      </w:r>
      <w:r w:rsidR="00B546AF">
        <w:t>« </w:t>
      </w:r>
      <w:r>
        <w:t>Telle</w:t>
      </w:r>
      <w:r w:rsidRPr="002C4077">
        <w:t xml:space="preserve"> </w:t>
      </w:r>
      <w:r w:rsidR="00425C50">
        <w:t>est</w:t>
      </w:r>
      <w:r>
        <w:t>,</w:t>
      </w:r>
      <w:r w:rsidRPr="002C4077">
        <w:t xml:space="preserve"> </w:t>
      </w:r>
      <w:r>
        <w:t>continue-t-il,</w:t>
      </w:r>
      <w:r w:rsidRPr="002C4077">
        <w:t xml:space="preserve"> </w:t>
      </w:r>
      <w:r>
        <w:t>la</w:t>
      </w:r>
      <w:r w:rsidRPr="002C4077">
        <w:t xml:space="preserve"> </w:t>
      </w:r>
      <w:r>
        <w:t>voie</w:t>
      </w:r>
      <w:r w:rsidRPr="002C4077">
        <w:t xml:space="preserve"> </w:t>
      </w:r>
      <w:r>
        <w:t>de</w:t>
      </w:r>
      <w:r w:rsidRPr="002C4077">
        <w:t xml:space="preserve"> </w:t>
      </w:r>
      <w:r>
        <w:t>la</w:t>
      </w:r>
      <w:r w:rsidRPr="002C4077">
        <w:t xml:space="preserve"> </w:t>
      </w:r>
      <w:r>
        <w:t>femme</w:t>
      </w:r>
      <w:r w:rsidRPr="002C4077">
        <w:t xml:space="preserve"> </w:t>
      </w:r>
      <w:r>
        <w:t>adultère</w:t>
      </w:r>
      <w:r w:rsidR="00B546AF">
        <w:t> ;</w:t>
      </w:r>
      <w:r w:rsidR="00C45B47">
        <w:t xml:space="preserve"> {</w:t>
      </w:r>
      <w:r w:rsidR="000721C4">
        <w:t>63</w:t>
      </w:r>
      <w:bookmarkStart w:id="206" w:name="p063"/>
      <w:bookmarkEnd w:id="206"/>
      <w:r w:rsidR="000721C4">
        <w:t xml:space="preserve">} </w:t>
      </w:r>
      <w:r>
        <w:t>elle</w:t>
      </w:r>
      <w:r w:rsidRPr="002C4077">
        <w:t xml:space="preserve"> </w:t>
      </w:r>
      <w:r>
        <w:t>mange…,</w:t>
      </w:r>
      <w:r w:rsidRPr="002C4077">
        <w:t xml:space="preserve"> </w:t>
      </w:r>
      <w:r>
        <w:t>puis</w:t>
      </w:r>
      <w:r w:rsidRPr="002C4077">
        <w:t xml:space="preserve"> </w:t>
      </w:r>
      <w:r>
        <w:t>elle</w:t>
      </w:r>
      <w:r w:rsidRPr="002C4077">
        <w:t xml:space="preserve"> </w:t>
      </w:r>
      <w:r>
        <w:t>dit</w:t>
      </w:r>
      <w:r w:rsidR="00B546AF">
        <w:t> :</w:t>
      </w:r>
      <w:r w:rsidRPr="002C4077">
        <w:t xml:space="preserve"> </w:t>
      </w:r>
      <w:r>
        <w:t>Je</w:t>
      </w:r>
      <w:r w:rsidRPr="002C4077">
        <w:t xml:space="preserve"> </w:t>
      </w:r>
      <w:r>
        <w:t>n’ai</w:t>
      </w:r>
      <w:r w:rsidRPr="002C4077">
        <w:t xml:space="preserve"> </w:t>
      </w:r>
      <w:r>
        <w:t>point</w:t>
      </w:r>
      <w:r w:rsidRPr="002C4077">
        <w:t xml:space="preserve"> </w:t>
      </w:r>
      <w:r>
        <w:t>fait</w:t>
      </w:r>
      <w:r w:rsidRPr="002C4077">
        <w:t xml:space="preserve"> </w:t>
      </w:r>
      <w:r>
        <w:t>de</w:t>
      </w:r>
      <w:r w:rsidRPr="002C4077">
        <w:t xml:space="preserve"> </w:t>
      </w:r>
      <w:r>
        <w:t>mal</w:t>
      </w:r>
      <w:r w:rsidR="00B546AF">
        <w:t> »</w:t>
      </w:r>
      <w:r>
        <w:t>.</w:t>
      </w:r>
      <w:r w:rsidRPr="002C4077">
        <w:t xml:space="preserve"> </w:t>
      </w:r>
      <w:r>
        <w:t>Évidemment</w:t>
      </w:r>
      <w:r w:rsidRPr="002C4077">
        <w:t xml:space="preserve"> </w:t>
      </w:r>
      <w:r w:rsidR="00D40830" w:rsidRPr="00D40830">
        <w:t>l’</w:t>
      </w:r>
      <w:r w:rsidR="00D40830" w:rsidRPr="00D05EA9">
        <w:rPr>
          <w:rStyle w:val="italicus"/>
        </w:rPr>
        <w:t>῾almah</w:t>
      </w:r>
      <w:r w:rsidRPr="002C4077">
        <w:t xml:space="preserve"> </w:t>
      </w:r>
      <w:r>
        <w:t>n’a</w:t>
      </w:r>
      <w:r w:rsidRPr="002C4077">
        <w:t xml:space="preserve"> </w:t>
      </w:r>
      <w:r>
        <w:t>été</w:t>
      </w:r>
      <w:r w:rsidRPr="002C4077">
        <w:t xml:space="preserve"> </w:t>
      </w:r>
      <w:r>
        <w:t>jusqu’alors</w:t>
      </w:r>
      <w:r w:rsidRPr="002C4077">
        <w:t xml:space="preserve"> </w:t>
      </w:r>
      <w:r>
        <w:t>ni</w:t>
      </w:r>
      <w:r w:rsidRPr="002C4077">
        <w:t xml:space="preserve"> </w:t>
      </w:r>
      <w:r>
        <w:t>mariée</w:t>
      </w:r>
      <w:r w:rsidRPr="002C4077">
        <w:t xml:space="preserve"> </w:t>
      </w:r>
      <w:r>
        <w:t>ni</w:t>
      </w:r>
      <w:r w:rsidRPr="002C4077">
        <w:t xml:space="preserve"> </w:t>
      </w:r>
      <w:r>
        <w:t>corrompue,</w:t>
      </w:r>
      <w:r w:rsidRPr="002C4077">
        <w:t xml:space="preserve"> </w:t>
      </w:r>
      <w:r>
        <w:t>puisqu’on</w:t>
      </w:r>
      <w:r w:rsidRPr="002C4077">
        <w:t xml:space="preserve"> </w:t>
      </w:r>
      <w:r>
        <w:t>la</w:t>
      </w:r>
      <w:r w:rsidRPr="002C4077">
        <w:t xml:space="preserve"> </w:t>
      </w:r>
      <w:r>
        <w:t>différencie</w:t>
      </w:r>
      <w:r w:rsidRPr="002C4077">
        <w:t xml:space="preserve"> </w:t>
      </w:r>
      <w:r>
        <w:t>d’avec</w:t>
      </w:r>
      <w:r w:rsidRPr="002C4077">
        <w:t xml:space="preserve"> </w:t>
      </w:r>
      <w:r>
        <w:lastRenderedPageBreak/>
        <w:t>l’épouse</w:t>
      </w:r>
      <w:r w:rsidRPr="002C4077">
        <w:t xml:space="preserve"> </w:t>
      </w:r>
      <w:r>
        <w:t>infidèle</w:t>
      </w:r>
      <w:r w:rsidR="002A5E7A">
        <w:rPr>
          <w:rStyle w:val="Appelnotedebasdep"/>
        </w:rPr>
        <w:footnoteReference w:id="182"/>
      </w:r>
      <w:r w:rsidR="002A5E7A">
        <w:t>.</w:t>
      </w:r>
      <w:r w:rsidRPr="002C4077">
        <w:t xml:space="preserve"> </w:t>
      </w:r>
      <w:r>
        <w:t>Elle</w:t>
      </w:r>
      <w:r w:rsidRPr="002C4077">
        <w:t xml:space="preserve"> </w:t>
      </w:r>
      <w:r w:rsidR="00425C50">
        <w:t>est</w:t>
      </w:r>
      <w:r w:rsidRPr="002C4077">
        <w:t xml:space="preserve"> </w:t>
      </w:r>
      <w:r w:rsidR="00B546AF">
        <w:t>« </w:t>
      </w:r>
      <w:r>
        <w:t>demeurée</w:t>
      </w:r>
      <w:r w:rsidRPr="002C4077">
        <w:t xml:space="preserve"> </w:t>
      </w:r>
      <w:r>
        <w:t>dans</w:t>
      </w:r>
      <w:r w:rsidRPr="002C4077">
        <w:t xml:space="preserve"> </w:t>
      </w:r>
      <w:r>
        <w:t>l’état</w:t>
      </w:r>
      <w:r w:rsidRPr="002C4077">
        <w:t xml:space="preserve"> </w:t>
      </w:r>
      <w:r>
        <w:t>virginal,</w:t>
      </w:r>
      <w:r w:rsidRPr="002C4077">
        <w:t xml:space="preserve"> </w:t>
      </w:r>
      <w:r>
        <w:t>dit</w:t>
      </w:r>
      <w:r w:rsidRPr="002C4077">
        <w:t xml:space="preserve"> </w:t>
      </w:r>
      <w:r>
        <w:t>très</w:t>
      </w:r>
      <w:r w:rsidRPr="002C4077">
        <w:t xml:space="preserve"> </w:t>
      </w:r>
      <w:r>
        <w:t>bien</w:t>
      </w:r>
      <w:r w:rsidRPr="002C4077">
        <w:t xml:space="preserve"> </w:t>
      </w:r>
      <w:r>
        <w:t>Hofmann,</w:t>
      </w:r>
      <w:r w:rsidRPr="002C4077">
        <w:t xml:space="preserve"> </w:t>
      </w:r>
      <w:r>
        <w:t>jusqu’à</w:t>
      </w:r>
      <w:r w:rsidRPr="002C4077">
        <w:t xml:space="preserve"> </w:t>
      </w:r>
      <w:r>
        <w:t>ce</w:t>
      </w:r>
      <w:r w:rsidRPr="002C4077">
        <w:t xml:space="preserve"> </w:t>
      </w:r>
      <w:r>
        <w:t>qu’un</w:t>
      </w:r>
      <w:r w:rsidRPr="002C4077">
        <w:t xml:space="preserve"> </w:t>
      </w:r>
      <w:r>
        <w:t>homme</w:t>
      </w:r>
      <w:r w:rsidRPr="002C4077">
        <w:t xml:space="preserve"> </w:t>
      </w:r>
      <w:r>
        <w:t>ait</w:t>
      </w:r>
      <w:r w:rsidRPr="002C4077">
        <w:t xml:space="preserve"> </w:t>
      </w:r>
      <w:r>
        <w:t>trouvé</w:t>
      </w:r>
      <w:r w:rsidRPr="002C4077">
        <w:t xml:space="preserve"> </w:t>
      </w:r>
      <w:r>
        <w:t>son</w:t>
      </w:r>
      <w:r w:rsidRPr="002C4077">
        <w:t xml:space="preserve"> </w:t>
      </w:r>
      <w:r>
        <w:t>chemin</w:t>
      </w:r>
      <w:r w:rsidRPr="002C4077">
        <w:t xml:space="preserve"> </w:t>
      </w:r>
      <w:r>
        <w:t>auprès</w:t>
      </w:r>
      <w:r w:rsidRPr="002C4077">
        <w:t xml:space="preserve"> </w:t>
      </w:r>
      <w:r>
        <w:t>d’elle</w:t>
      </w:r>
      <w:r w:rsidR="00B91AF7">
        <w:rPr>
          <w:rStyle w:val="Appelnotedebasdep"/>
        </w:rPr>
        <w:footnoteReference w:id="183"/>
      </w:r>
      <w:r w:rsidR="00B546AF">
        <w:t> »</w:t>
      </w:r>
      <w:r>
        <w:t>.</w:t>
      </w:r>
      <w:r w:rsidRPr="002C4077">
        <w:t xml:space="preserve"> </w:t>
      </w:r>
    </w:p>
    <w:p w:rsidR="000A7AAB" w:rsidRDefault="000A7AAB" w:rsidP="000A7AAB">
      <w:r>
        <w:t>Que</w:t>
      </w:r>
      <w:r w:rsidRPr="002C4077">
        <w:t xml:space="preserve"> </w:t>
      </w:r>
      <w:r>
        <w:t>le</w:t>
      </w:r>
      <w:r w:rsidRPr="002C4077">
        <w:t xml:space="preserve"> </w:t>
      </w:r>
      <w:r>
        <w:t>lecteur</w:t>
      </w:r>
      <w:r w:rsidRPr="002C4077">
        <w:t xml:space="preserve"> </w:t>
      </w:r>
      <w:r>
        <w:t>juge</w:t>
      </w:r>
      <w:r w:rsidRPr="002C4077">
        <w:t xml:space="preserve"> </w:t>
      </w:r>
      <w:r>
        <w:t>maintenant</w:t>
      </w:r>
      <w:r w:rsidRPr="002C4077">
        <w:t xml:space="preserve"> </w:t>
      </w:r>
      <w:r>
        <w:t>cette</w:t>
      </w:r>
      <w:r w:rsidRPr="002C4077">
        <w:t xml:space="preserve"> </w:t>
      </w:r>
      <w:r>
        <w:t>allégation</w:t>
      </w:r>
      <w:r w:rsidRPr="002C4077">
        <w:t xml:space="preserve"> </w:t>
      </w:r>
      <w:r>
        <w:t>de</w:t>
      </w:r>
      <w:r w:rsidRPr="002C4077">
        <w:t xml:space="preserve"> </w:t>
      </w:r>
      <w:r>
        <w:t>Voltaire</w:t>
      </w:r>
      <w:bookmarkStart w:id="207" w:name="z_Voltaire_o1"/>
      <w:bookmarkEnd w:id="207"/>
      <w:r w:rsidR="00B546AF">
        <w:t> :</w:t>
      </w:r>
      <w:r w:rsidRPr="002C4077">
        <w:t xml:space="preserve"> </w:t>
      </w:r>
      <w:r w:rsidR="00B546AF">
        <w:t>« </w:t>
      </w:r>
      <w:r>
        <w:t>Par</w:t>
      </w:r>
      <w:r w:rsidRPr="002C4077">
        <w:t xml:space="preserve"> </w:t>
      </w:r>
      <w:r>
        <w:t>quelle</w:t>
      </w:r>
      <w:r w:rsidRPr="002C4077">
        <w:t xml:space="preserve"> </w:t>
      </w:r>
      <w:r>
        <w:t>impudente</w:t>
      </w:r>
      <w:r w:rsidRPr="002C4077">
        <w:t xml:space="preserve"> </w:t>
      </w:r>
      <w:r>
        <w:t>mauvaise</w:t>
      </w:r>
      <w:r w:rsidRPr="002C4077">
        <w:t xml:space="preserve"> </w:t>
      </w:r>
      <w:r>
        <w:t>foi</w:t>
      </w:r>
      <w:r w:rsidRPr="002C4077">
        <w:t xml:space="preserve"> </w:t>
      </w:r>
      <w:r>
        <w:t>les</w:t>
      </w:r>
      <w:r w:rsidRPr="002C4077">
        <w:t xml:space="preserve"> </w:t>
      </w:r>
      <w:r>
        <w:t>christicoles</w:t>
      </w:r>
      <w:r w:rsidRPr="002C4077">
        <w:t xml:space="preserve"> </w:t>
      </w:r>
      <w:r>
        <w:t>ont-ils</w:t>
      </w:r>
      <w:r w:rsidRPr="002C4077">
        <w:t xml:space="preserve"> </w:t>
      </w:r>
      <w:r>
        <w:t>soutenu</w:t>
      </w:r>
      <w:r w:rsidRPr="002C4077">
        <w:t xml:space="preserve"> </w:t>
      </w:r>
      <w:r>
        <w:t>qu’</w:t>
      </w:r>
      <w:r w:rsidR="00D40830" w:rsidRPr="00D05EA9">
        <w:rPr>
          <w:rStyle w:val="italicus"/>
        </w:rPr>
        <w:t>῾almah</w:t>
      </w:r>
      <w:r w:rsidRPr="002C4077">
        <w:t xml:space="preserve"> </w:t>
      </w:r>
      <w:r>
        <w:t>signifiait</w:t>
      </w:r>
      <w:r w:rsidRPr="002C4077">
        <w:t xml:space="preserve"> </w:t>
      </w:r>
      <w:r>
        <w:t>toujours</w:t>
      </w:r>
      <w:r w:rsidRPr="002C4077">
        <w:t xml:space="preserve"> </w:t>
      </w:r>
      <w:r>
        <w:t>vierge</w:t>
      </w:r>
      <w:r w:rsidR="00B546AF">
        <w:t> !</w:t>
      </w:r>
      <w:r w:rsidRPr="002C4077">
        <w:t xml:space="preserve"> </w:t>
      </w:r>
      <w:r>
        <w:t>Il</w:t>
      </w:r>
      <w:r w:rsidRPr="002C4077">
        <w:t xml:space="preserve"> </w:t>
      </w:r>
      <w:r>
        <w:t>y</w:t>
      </w:r>
      <w:r w:rsidRPr="002C4077">
        <w:t xml:space="preserve"> </w:t>
      </w:r>
      <w:r>
        <w:t>a</w:t>
      </w:r>
      <w:r w:rsidRPr="002C4077">
        <w:t xml:space="preserve"> </w:t>
      </w:r>
      <w:r>
        <w:t>dans</w:t>
      </w:r>
      <w:r w:rsidRPr="002C4077">
        <w:t xml:space="preserve"> </w:t>
      </w:r>
      <w:r>
        <w:t>l’Ancien</w:t>
      </w:r>
      <w:r w:rsidRPr="002C4077">
        <w:t xml:space="preserve"> </w:t>
      </w:r>
      <w:r>
        <w:t>Testament</w:t>
      </w:r>
      <w:r w:rsidRPr="002C4077">
        <w:t xml:space="preserve"> </w:t>
      </w:r>
      <w:r w:rsidRPr="000A34B5">
        <w:rPr>
          <w:rStyle w:val="italicus"/>
        </w:rPr>
        <w:t>vingt</w:t>
      </w:r>
      <w:r w:rsidRPr="002C4077">
        <w:t xml:space="preserve"> </w:t>
      </w:r>
      <w:r>
        <w:t>passages</w:t>
      </w:r>
      <w:r w:rsidRPr="004440EA">
        <w:t xml:space="preserve"> (</w:t>
      </w:r>
      <w:r>
        <w:t>ailleurs</w:t>
      </w:r>
      <w:r w:rsidRPr="002C4077">
        <w:t xml:space="preserve"> </w:t>
      </w:r>
      <w:r>
        <w:t>il</w:t>
      </w:r>
      <w:r w:rsidRPr="002C4077">
        <w:t xml:space="preserve"> </w:t>
      </w:r>
      <w:r>
        <w:t>dit</w:t>
      </w:r>
      <w:r w:rsidRPr="002C4077">
        <w:t xml:space="preserve"> </w:t>
      </w:r>
      <w:r w:rsidRPr="000A34B5">
        <w:rPr>
          <w:rStyle w:val="italicus"/>
        </w:rPr>
        <w:t>cent</w:t>
      </w:r>
      <w:r w:rsidRPr="002C4077">
        <w:t xml:space="preserve"> </w:t>
      </w:r>
      <w:r>
        <w:t>passages</w:t>
      </w:r>
      <w:r w:rsidR="00B546AF" w:rsidRPr="002C4077">
        <w:t>)</w:t>
      </w:r>
      <w:r w:rsidRPr="002C4077">
        <w:t xml:space="preserve"> </w:t>
      </w:r>
      <w:r>
        <w:t>où</w:t>
      </w:r>
      <w:r w:rsidRPr="002C4077">
        <w:t xml:space="preserve"> </w:t>
      </w:r>
      <w:r w:rsidR="00D40830" w:rsidRPr="00D05EA9">
        <w:rPr>
          <w:rStyle w:val="italicus"/>
        </w:rPr>
        <w:t>῾almah</w:t>
      </w:r>
      <w:r w:rsidRPr="002C4077">
        <w:t xml:space="preserve"> </w:t>
      </w:r>
      <w:r w:rsidR="00425C50">
        <w:t>est</w:t>
      </w:r>
      <w:r w:rsidRPr="002C4077">
        <w:t xml:space="preserve"> </w:t>
      </w:r>
      <w:r>
        <w:t>pris</w:t>
      </w:r>
      <w:r w:rsidRPr="002C4077">
        <w:t xml:space="preserve"> </w:t>
      </w:r>
      <w:r>
        <w:t>pour</w:t>
      </w:r>
      <w:r w:rsidRPr="002C4077">
        <w:t xml:space="preserve"> </w:t>
      </w:r>
      <w:r>
        <w:t>femme</w:t>
      </w:r>
      <w:r w:rsidR="00B546AF">
        <w:t> »</w:t>
      </w:r>
      <w:r>
        <w:t>.</w:t>
      </w:r>
      <w:r w:rsidRPr="002C4077">
        <w:t xml:space="preserve"> </w:t>
      </w:r>
    </w:p>
    <w:p w:rsidR="000A7AAB" w:rsidRDefault="000A7AAB" w:rsidP="000A7AAB">
      <w:r>
        <w:t>La</w:t>
      </w:r>
      <w:r w:rsidRPr="002C4077">
        <w:t xml:space="preserve"> </w:t>
      </w:r>
      <w:r>
        <w:t>science</w:t>
      </w:r>
      <w:r w:rsidRPr="002C4077">
        <w:t xml:space="preserve"> </w:t>
      </w:r>
      <w:r>
        <w:t>biblique</w:t>
      </w:r>
      <w:r w:rsidRPr="002C4077">
        <w:t xml:space="preserve"> </w:t>
      </w:r>
      <w:r>
        <w:t>de</w:t>
      </w:r>
      <w:r w:rsidRPr="002C4077">
        <w:t xml:space="preserve"> </w:t>
      </w:r>
      <w:r>
        <w:t>Voltaire</w:t>
      </w:r>
      <w:r w:rsidRPr="002C4077">
        <w:t xml:space="preserve"> </w:t>
      </w:r>
      <w:r w:rsidR="00425C50">
        <w:t>est</w:t>
      </w:r>
      <w:r w:rsidRPr="002C4077">
        <w:t xml:space="preserve"> </w:t>
      </w:r>
      <w:r>
        <w:t>justement</w:t>
      </w:r>
      <w:r w:rsidRPr="002C4077">
        <w:t xml:space="preserve"> </w:t>
      </w:r>
      <w:r>
        <w:t>proverbiale</w:t>
      </w:r>
      <w:bookmarkStart w:id="208" w:name="z_Almah_o16"/>
      <w:bookmarkEnd w:id="208"/>
      <w:r w:rsidR="00B546AF">
        <w:t> !</w:t>
      </w:r>
      <w:r w:rsidRPr="002C4077">
        <w:t xml:space="preserve"> </w:t>
      </w:r>
    </w:p>
    <w:p w:rsidR="009620EB" w:rsidRDefault="009620EB" w:rsidP="000A7AAB"/>
    <w:p w:rsidR="000A7AAB" w:rsidRDefault="009620EB" w:rsidP="000A7AAB">
      <w:r>
        <w:t>5</w:t>
      </w:r>
      <w:r w:rsidR="000A7AAB">
        <w:t>.</w:t>
      </w:r>
      <w:r w:rsidR="000A7AAB" w:rsidRPr="002C4077">
        <w:t xml:space="preserve"> </w:t>
      </w:r>
      <w:r w:rsidR="000A7AAB" w:rsidRPr="000A34B5">
        <w:rPr>
          <w:rStyle w:val="italicus"/>
        </w:rPr>
        <w:t>L’étymologie.</w:t>
      </w:r>
      <w:bookmarkStart w:id="209" w:name="z_Almah_o17"/>
      <w:bookmarkEnd w:id="209"/>
      <w:r w:rsidR="000A7AAB" w:rsidRPr="002C4077">
        <w:t xml:space="preserve"> </w:t>
      </w:r>
      <w:r w:rsidR="000A7AAB">
        <w:t>—</w:t>
      </w:r>
      <w:r w:rsidR="000A7AAB" w:rsidRPr="002C4077">
        <w:t xml:space="preserve"> </w:t>
      </w:r>
      <w:r w:rsidR="000A7AAB">
        <w:t>Ici</w:t>
      </w:r>
      <w:r w:rsidR="000A7AAB" w:rsidRPr="002C4077">
        <w:t xml:space="preserve"> </w:t>
      </w:r>
      <w:r w:rsidR="000A7AAB">
        <w:t>encore</w:t>
      </w:r>
      <w:r w:rsidR="000A7AAB" w:rsidRPr="002C4077">
        <w:t xml:space="preserve"> </w:t>
      </w:r>
      <w:r w:rsidR="000A7AAB">
        <w:t>la</w:t>
      </w:r>
      <w:r w:rsidR="000A7AAB" w:rsidRPr="002C4077">
        <w:t xml:space="preserve"> </w:t>
      </w:r>
      <w:r w:rsidR="000A7AAB">
        <w:t>lutte</w:t>
      </w:r>
      <w:r w:rsidR="000A7AAB" w:rsidRPr="002C4077">
        <w:t xml:space="preserve"> </w:t>
      </w:r>
      <w:r w:rsidR="00425C50">
        <w:t>est</w:t>
      </w:r>
      <w:r w:rsidR="000A7AAB" w:rsidRPr="002C4077">
        <w:t xml:space="preserve"> </w:t>
      </w:r>
      <w:r w:rsidR="000A7AAB">
        <w:t>chaudement</w:t>
      </w:r>
      <w:r w:rsidR="000A7AAB" w:rsidRPr="002C4077">
        <w:t xml:space="preserve"> </w:t>
      </w:r>
      <w:r w:rsidR="000A7AAB">
        <w:t>engagée.</w:t>
      </w:r>
      <w:r w:rsidR="000A7AAB" w:rsidRPr="002C4077">
        <w:t xml:space="preserve"> </w:t>
      </w:r>
      <w:r w:rsidR="000A7AAB">
        <w:t>Au</w:t>
      </w:r>
      <w:r w:rsidR="000A7AAB" w:rsidRPr="002C4077">
        <w:t xml:space="preserve"> </w:t>
      </w:r>
      <w:r w:rsidR="000A7AAB">
        <w:t>surplus,</w:t>
      </w:r>
      <w:r w:rsidR="000A7AAB" w:rsidRPr="002C4077">
        <w:t xml:space="preserve"> </w:t>
      </w:r>
      <w:r w:rsidR="000A7AAB">
        <w:t>l’école</w:t>
      </w:r>
      <w:r w:rsidR="000A7AAB" w:rsidRPr="002C4077">
        <w:t xml:space="preserve"> </w:t>
      </w:r>
      <w:r w:rsidR="000A7AAB">
        <w:t>rationaliste</w:t>
      </w:r>
      <w:r w:rsidR="000A7AAB" w:rsidRPr="002C4077">
        <w:t xml:space="preserve"> </w:t>
      </w:r>
      <w:r w:rsidR="000A7AAB">
        <w:t>se</w:t>
      </w:r>
      <w:r w:rsidR="000A7AAB" w:rsidRPr="002C4077">
        <w:t xml:space="preserve"> </w:t>
      </w:r>
      <w:r w:rsidR="000A7AAB">
        <w:t>pique</w:t>
      </w:r>
      <w:r w:rsidR="000A7AAB" w:rsidRPr="002C4077">
        <w:t xml:space="preserve"> </w:t>
      </w:r>
      <w:r w:rsidR="000A7AAB">
        <w:t>de</w:t>
      </w:r>
      <w:r w:rsidR="000A7AAB" w:rsidRPr="002C4077">
        <w:t xml:space="preserve"> </w:t>
      </w:r>
      <w:r w:rsidR="000A7AAB">
        <w:t>faire</w:t>
      </w:r>
      <w:r w:rsidR="000A7AAB" w:rsidRPr="002C4077">
        <w:t xml:space="preserve"> </w:t>
      </w:r>
      <w:r w:rsidR="000A7AAB">
        <w:t>monts</w:t>
      </w:r>
      <w:r w:rsidR="000A7AAB" w:rsidRPr="002C4077">
        <w:t xml:space="preserve"> </w:t>
      </w:r>
      <w:r w:rsidR="000A7AAB">
        <w:t>et</w:t>
      </w:r>
      <w:r w:rsidR="000A7AAB" w:rsidRPr="002C4077">
        <w:t xml:space="preserve"> </w:t>
      </w:r>
      <w:r w:rsidR="000A7AAB">
        <w:t>merveilles</w:t>
      </w:r>
      <w:r w:rsidR="000A7AAB" w:rsidRPr="002C4077">
        <w:t xml:space="preserve"> </w:t>
      </w:r>
      <w:r w:rsidR="000A7AAB">
        <w:t>sur</w:t>
      </w:r>
      <w:r w:rsidR="000A7AAB" w:rsidRPr="002C4077">
        <w:t xml:space="preserve"> </w:t>
      </w:r>
      <w:r w:rsidR="000A7AAB">
        <w:t>le</w:t>
      </w:r>
      <w:r w:rsidR="000A7AAB" w:rsidRPr="002C4077">
        <w:t xml:space="preserve"> </w:t>
      </w:r>
      <w:r w:rsidR="000A7AAB">
        <w:t>terrain</w:t>
      </w:r>
      <w:r w:rsidR="000A7AAB" w:rsidRPr="002C4077">
        <w:t xml:space="preserve"> </w:t>
      </w:r>
      <w:r w:rsidR="000A7AAB">
        <w:t>de</w:t>
      </w:r>
      <w:r w:rsidR="000A7AAB" w:rsidRPr="002C4077">
        <w:t xml:space="preserve"> </w:t>
      </w:r>
      <w:r w:rsidR="000A7AAB">
        <w:t>la</w:t>
      </w:r>
      <w:r w:rsidR="000A7AAB" w:rsidRPr="002C4077">
        <w:t xml:space="preserve"> </w:t>
      </w:r>
      <w:r w:rsidR="000A7AAB">
        <w:t>philologie</w:t>
      </w:r>
      <w:r w:rsidR="00B546AF">
        <w:t> ;</w:t>
      </w:r>
      <w:r w:rsidR="000A7AAB" w:rsidRPr="002C4077">
        <w:t xml:space="preserve"> </w:t>
      </w:r>
      <w:r w:rsidR="000A7AAB">
        <w:t>il</w:t>
      </w:r>
      <w:r w:rsidR="000A7AAB" w:rsidRPr="002C4077">
        <w:t xml:space="preserve"> </w:t>
      </w:r>
      <w:r w:rsidR="000A7AAB">
        <w:t>fallait</w:t>
      </w:r>
      <w:r w:rsidR="000A7AAB" w:rsidRPr="002C4077">
        <w:t xml:space="preserve"> </w:t>
      </w:r>
      <w:r w:rsidR="000A7AAB">
        <w:t>donc</w:t>
      </w:r>
      <w:r w:rsidR="000A7AAB" w:rsidRPr="002C4077">
        <w:t xml:space="preserve"> </w:t>
      </w:r>
      <w:r w:rsidR="000A7AAB">
        <w:t>s’attendre</w:t>
      </w:r>
      <w:r w:rsidR="000A7AAB" w:rsidRPr="002C4077">
        <w:t xml:space="preserve"> </w:t>
      </w:r>
      <w:r w:rsidR="000A7AAB">
        <w:t>à</w:t>
      </w:r>
      <w:r w:rsidR="000A7AAB" w:rsidRPr="002C4077">
        <w:t xml:space="preserve"> </w:t>
      </w:r>
      <w:r w:rsidR="000A7AAB">
        <w:t>ce</w:t>
      </w:r>
      <w:r w:rsidR="000A7AAB" w:rsidRPr="002C4077">
        <w:t xml:space="preserve"> </w:t>
      </w:r>
      <w:r w:rsidR="000A7AAB">
        <w:t>qu’elle</w:t>
      </w:r>
      <w:r w:rsidR="000A7AAB" w:rsidRPr="002C4077">
        <w:t xml:space="preserve"> </w:t>
      </w:r>
      <w:r w:rsidR="000A7AAB">
        <w:t>dirigeât</w:t>
      </w:r>
      <w:r w:rsidR="000A7AAB" w:rsidRPr="002C4077">
        <w:t xml:space="preserve"> </w:t>
      </w:r>
      <w:r w:rsidR="000A7AAB">
        <w:t>de</w:t>
      </w:r>
      <w:r w:rsidR="000A7AAB" w:rsidRPr="002C4077">
        <w:t xml:space="preserve"> </w:t>
      </w:r>
      <w:r w:rsidR="000A7AAB">
        <w:t>ce</w:t>
      </w:r>
      <w:r w:rsidR="000A7AAB" w:rsidRPr="002C4077">
        <w:t xml:space="preserve"> </w:t>
      </w:r>
      <w:r w:rsidR="000A7AAB">
        <w:t>côté</w:t>
      </w:r>
      <w:r w:rsidR="000A7AAB" w:rsidRPr="002C4077">
        <w:t xml:space="preserve"> </w:t>
      </w:r>
      <w:r w:rsidR="000A7AAB">
        <w:t>le</w:t>
      </w:r>
      <w:r w:rsidR="000A7AAB" w:rsidRPr="002C4077">
        <w:t xml:space="preserve"> </w:t>
      </w:r>
      <w:r w:rsidR="000A7AAB">
        <w:t>débat</w:t>
      </w:r>
      <w:r w:rsidR="000A7AAB" w:rsidRPr="002C4077">
        <w:t xml:space="preserve"> </w:t>
      </w:r>
      <w:r w:rsidR="000A7AAB">
        <w:t>relatif</w:t>
      </w:r>
      <w:r w:rsidR="000A7AAB" w:rsidRPr="002C4077">
        <w:t xml:space="preserve"> </w:t>
      </w:r>
      <w:r w:rsidR="000A7AAB">
        <w:t>au</w:t>
      </w:r>
      <w:r w:rsidR="000A7AAB" w:rsidRPr="002C4077">
        <w:t xml:space="preserve"> </w:t>
      </w:r>
      <w:r w:rsidR="000A7AAB">
        <w:t>mot</w:t>
      </w:r>
      <w:r w:rsidR="000A7AAB" w:rsidRPr="002C4077">
        <w:t xml:space="preserve"> </w:t>
      </w:r>
      <w:r w:rsidR="00D40830" w:rsidRPr="00D05EA9">
        <w:rPr>
          <w:rStyle w:val="italicus"/>
        </w:rPr>
        <w:t>῾almah</w:t>
      </w:r>
      <w:r w:rsidR="000A7AAB" w:rsidRPr="000A34B5">
        <w:rPr>
          <w:rStyle w:val="italicus"/>
        </w:rPr>
        <w:t>.</w:t>
      </w:r>
      <w:r w:rsidR="000A7AAB" w:rsidRPr="002C4077">
        <w:t xml:space="preserve"> </w:t>
      </w:r>
    </w:p>
    <w:p w:rsidR="000A7AAB" w:rsidRPr="000721C4" w:rsidRDefault="000A7AAB" w:rsidP="000A7AAB">
      <w:r>
        <w:t>Et</w:t>
      </w:r>
      <w:r w:rsidRPr="002C4077">
        <w:t xml:space="preserve"> </w:t>
      </w:r>
      <w:r>
        <w:t>pourtant,</w:t>
      </w:r>
      <w:r w:rsidRPr="002C4077">
        <w:t xml:space="preserve"> </w:t>
      </w:r>
      <w:r>
        <w:t>ce</w:t>
      </w:r>
      <w:r w:rsidRPr="002C4077">
        <w:t xml:space="preserve"> </w:t>
      </w:r>
      <w:r>
        <w:t>n’est</w:t>
      </w:r>
      <w:r w:rsidRPr="002C4077">
        <w:t xml:space="preserve"> </w:t>
      </w:r>
      <w:r>
        <w:t>là</w:t>
      </w:r>
      <w:r w:rsidRPr="002C4077">
        <w:t xml:space="preserve"> </w:t>
      </w:r>
      <w:r>
        <w:t>qu’un</w:t>
      </w:r>
      <w:r w:rsidRPr="002C4077">
        <w:t xml:space="preserve"> </w:t>
      </w:r>
      <w:r>
        <w:t>point</w:t>
      </w:r>
      <w:r w:rsidRPr="002C4077">
        <w:t xml:space="preserve"> </w:t>
      </w:r>
      <w:r>
        <w:t>de</w:t>
      </w:r>
      <w:r w:rsidRPr="002C4077">
        <w:t xml:space="preserve"> </w:t>
      </w:r>
      <w:r>
        <w:t>vue</w:t>
      </w:r>
      <w:r w:rsidRPr="002C4077">
        <w:t xml:space="preserve"> </w:t>
      </w:r>
      <w:r>
        <w:t>tout</w:t>
      </w:r>
      <w:r w:rsidRPr="002C4077">
        <w:t xml:space="preserve"> </w:t>
      </w:r>
      <w:r>
        <w:t>à</w:t>
      </w:r>
      <w:r w:rsidRPr="002C4077">
        <w:t xml:space="preserve"> </w:t>
      </w:r>
      <w:r>
        <w:t>fait</w:t>
      </w:r>
      <w:r w:rsidRPr="002C4077">
        <w:t xml:space="preserve"> </w:t>
      </w:r>
      <w:r>
        <w:t>secondaire</w:t>
      </w:r>
      <w:r w:rsidRPr="002C4077">
        <w:t xml:space="preserve"> </w:t>
      </w:r>
      <w:r>
        <w:t>et</w:t>
      </w:r>
      <w:r w:rsidRPr="002C4077">
        <w:t xml:space="preserve"> </w:t>
      </w:r>
      <w:r>
        <w:t>de</w:t>
      </w:r>
      <w:r w:rsidRPr="002C4077">
        <w:t xml:space="preserve"> </w:t>
      </w:r>
      <w:r>
        <w:t>moindre</w:t>
      </w:r>
      <w:r w:rsidRPr="002C4077">
        <w:t xml:space="preserve"> </w:t>
      </w:r>
      <w:r>
        <w:t>importance.</w:t>
      </w:r>
      <w:r w:rsidRPr="002C4077">
        <w:t xml:space="preserve"> </w:t>
      </w:r>
      <w:r>
        <w:t>Si</w:t>
      </w:r>
      <w:r w:rsidRPr="002C4077">
        <w:t xml:space="preserve"> </w:t>
      </w:r>
      <w:r>
        <w:t>le</w:t>
      </w:r>
      <w:r w:rsidRPr="002C4077">
        <w:t xml:space="preserve"> </w:t>
      </w:r>
      <w:r>
        <w:t>texte,</w:t>
      </w:r>
      <w:r w:rsidRPr="002C4077">
        <w:t xml:space="preserve"> </w:t>
      </w:r>
      <w:r>
        <w:t>si</w:t>
      </w:r>
      <w:r w:rsidRPr="002C4077">
        <w:t xml:space="preserve"> </w:t>
      </w:r>
      <w:r>
        <w:t>le</w:t>
      </w:r>
      <w:r w:rsidRPr="002C4077">
        <w:t xml:space="preserve"> </w:t>
      </w:r>
      <w:r>
        <w:t>contexte,</w:t>
      </w:r>
      <w:r w:rsidRPr="002C4077">
        <w:t xml:space="preserve"> </w:t>
      </w:r>
      <w:r>
        <w:t>si</w:t>
      </w:r>
      <w:r w:rsidRPr="002C4077">
        <w:t xml:space="preserve"> </w:t>
      </w:r>
      <w:r>
        <w:t>la</w:t>
      </w:r>
      <w:r w:rsidRPr="002C4077">
        <w:t xml:space="preserve"> </w:t>
      </w:r>
      <w:r>
        <w:t>tradition,</w:t>
      </w:r>
      <w:r w:rsidRPr="002C4077">
        <w:t xml:space="preserve"> </w:t>
      </w:r>
      <w:r>
        <w:t>si</w:t>
      </w:r>
      <w:r w:rsidRPr="002C4077">
        <w:t xml:space="preserve"> </w:t>
      </w:r>
      <w:r>
        <w:t>l’usage</w:t>
      </w:r>
      <w:r w:rsidRPr="002C4077">
        <w:t xml:space="preserve"> </w:t>
      </w:r>
      <w:r>
        <w:t>de</w:t>
      </w:r>
      <w:r w:rsidRPr="002C4077">
        <w:t xml:space="preserve"> </w:t>
      </w:r>
      <w:r>
        <w:t>la</w:t>
      </w:r>
      <w:r w:rsidRPr="002C4077">
        <w:t xml:space="preserve"> </w:t>
      </w:r>
      <w:r>
        <w:t>langue,</w:t>
      </w:r>
      <w:r w:rsidRPr="002C4077">
        <w:t xml:space="preserve"> </w:t>
      </w:r>
      <w:r>
        <w:t>me</w:t>
      </w:r>
      <w:r w:rsidRPr="002C4077">
        <w:t xml:space="preserve"> </w:t>
      </w:r>
      <w:r>
        <w:t>démontrent</w:t>
      </w:r>
      <w:r w:rsidRPr="002C4077">
        <w:t xml:space="preserve"> </w:t>
      </w:r>
      <w:r>
        <w:t>que</w:t>
      </w:r>
      <w:r w:rsidRPr="002C4077">
        <w:t xml:space="preserve"> </w:t>
      </w:r>
      <w:r>
        <w:t>telle</w:t>
      </w:r>
      <w:r w:rsidRPr="002C4077">
        <w:t xml:space="preserve"> </w:t>
      </w:r>
      <w:r>
        <w:t>expression</w:t>
      </w:r>
      <w:r w:rsidRPr="002C4077">
        <w:t xml:space="preserve"> </w:t>
      </w:r>
      <w:r>
        <w:t>doit</w:t>
      </w:r>
      <w:r w:rsidRPr="002C4077">
        <w:t xml:space="preserve"> </w:t>
      </w:r>
      <w:r>
        <w:t>être</w:t>
      </w:r>
      <w:r w:rsidRPr="002C4077">
        <w:t xml:space="preserve"> </w:t>
      </w:r>
      <w:r>
        <w:t>prise,</w:t>
      </w:r>
      <w:r w:rsidRPr="002C4077">
        <w:t xml:space="preserve"> </w:t>
      </w:r>
      <w:r>
        <w:t>dans</w:t>
      </w:r>
      <w:r w:rsidRPr="002C4077">
        <w:t xml:space="preserve"> </w:t>
      </w:r>
      <w:r>
        <w:t>tel</w:t>
      </w:r>
      <w:r w:rsidRPr="002C4077">
        <w:t xml:space="preserve"> </w:t>
      </w:r>
      <w:r>
        <w:t>endroit,</w:t>
      </w:r>
      <w:r w:rsidRPr="002C4077">
        <w:t xml:space="preserve"> </w:t>
      </w:r>
      <w:r>
        <w:t>en</w:t>
      </w:r>
      <w:r w:rsidRPr="002C4077">
        <w:t xml:space="preserve"> </w:t>
      </w:r>
      <w:r>
        <w:t>un</w:t>
      </w:r>
      <w:r w:rsidRPr="002C4077">
        <w:t xml:space="preserve"> </w:t>
      </w:r>
      <w:r>
        <w:t>tel</w:t>
      </w:r>
      <w:r w:rsidRPr="002C4077">
        <w:t xml:space="preserve"> </w:t>
      </w:r>
      <w:r>
        <w:t>sens</w:t>
      </w:r>
      <w:r w:rsidRPr="002C4077">
        <w:t xml:space="preserve"> </w:t>
      </w:r>
      <w:r>
        <w:t>nettement</w:t>
      </w:r>
      <w:r w:rsidRPr="002C4077">
        <w:t xml:space="preserve"> </w:t>
      </w:r>
      <w:r>
        <w:t>déterminé,</w:t>
      </w:r>
      <w:r w:rsidRPr="002C4077">
        <w:t xml:space="preserve"> </w:t>
      </w:r>
      <w:r>
        <w:t>ce</w:t>
      </w:r>
      <w:r w:rsidRPr="002C4077">
        <w:t xml:space="preserve"> </w:t>
      </w:r>
      <w:r>
        <w:t>n’est</w:t>
      </w:r>
      <w:r w:rsidRPr="002C4077">
        <w:t xml:space="preserve"> </w:t>
      </w:r>
      <w:r>
        <w:t>pas</w:t>
      </w:r>
      <w:r w:rsidRPr="002C4077">
        <w:t xml:space="preserve"> </w:t>
      </w:r>
      <w:r>
        <w:t>une</w:t>
      </w:r>
      <w:r w:rsidRPr="002C4077">
        <w:t xml:space="preserve"> </w:t>
      </w:r>
      <w:r>
        <w:t>étymologie</w:t>
      </w:r>
      <w:r w:rsidRPr="002C4077">
        <w:t xml:space="preserve"> </w:t>
      </w:r>
      <w:r>
        <w:t>peut-être</w:t>
      </w:r>
      <w:r w:rsidRPr="002C4077">
        <w:t xml:space="preserve"> </w:t>
      </w:r>
      <w:r>
        <w:t>hasardée</w:t>
      </w:r>
      <w:r w:rsidRPr="002C4077">
        <w:t xml:space="preserve"> </w:t>
      </w:r>
      <w:r>
        <w:t>qui</w:t>
      </w:r>
      <w:r w:rsidRPr="002C4077">
        <w:t xml:space="preserve"> </w:t>
      </w:r>
      <w:r>
        <w:t>pourra</w:t>
      </w:r>
      <w:r w:rsidRPr="002C4077">
        <w:t xml:space="preserve"> </w:t>
      </w:r>
      <w:r>
        <w:t>ébranler</w:t>
      </w:r>
      <w:r w:rsidRPr="002C4077">
        <w:t xml:space="preserve"> </w:t>
      </w:r>
      <w:r>
        <w:t>mes</w:t>
      </w:r>
      <w:r w:rsidRPr="002C4077">
        <w:t xml:space="preserve"> </w:t>
      </w:r>
      <w:r>
        <w:t>convictions.</w:t>
      </w:r>
      <w:r w:rsidRPr="002C4077">
        <w:t xml:space="preserve"> </w:t>
      </w:r>
      <w:r>
        <w:t>Or,</w:t>
      </w:r>
      <w:r w:rsidRPr="002C4077">
        <w:t xml:space="preserve"> </w:t>
      </w:r>
      <w:r>
        <w:t>l’étymologie</w:t>
      </w:r>
      <w:r w:rsidRPr="002C4077">
        <w:t xml:space="preserve"> </w:t>
      </w:r>
      <w:r>
        <w:t>attribuée</w:t>
      </w:r>
      <w:r w:rsidRPr="002C4077">
        <w:t xml:space="preserve"> </w:t>
      </w:r>
      <w:r>
        <w:t>d’ordinaire</w:t>
      </w:r>
      <w:r w:rsidRPr="002C4077">
        <w:t xml:space="preserve"> </w:t>
      </w:r>
      <w:r>
        <w:t>par</w:t>
      </w:r>
      <w:r w:rsidRPr="002C4077">
        <w:t xml:space="preserve"> </w:t>
      </w:r>
      <w:r>
        <w:t>les</w:t>
      </w:r>
      <w:r w:rsidRPr="002C4077">
        <w:t xml:space="preserve"> </w:t>
      </w:r>
      <w:r>
        <w:t>rationalistes</w:t>
      </w:r>
      <w:r w:rsidRPr="002C4077">
        <w:t xml:space="preserve"> </w:t>
      </w:r>
      <w:r>
        <w:t>au</w:t>
      </w:r>
      <w:r w:rsidRPr="002C4077">
        <w:t xml:space="preserve"> </w:t>
      </w:r>
      <w:r>
        <w:t>substantif</w:t>
      </w:r>
      <w:r w:rsidRPr="002C4077">
        <w:t xml:space="preserve"> </w:t>
      </w:r>
      <w:r w:rsidR="00D40830" w:rsidRPr="00D05EA9">
        <w:rPr>
          <w:rStyle w:val="italicus"/>
        </w:rPr>
        <w:t>῾almah</w:t>
      </w:r>
      <w:r w:rsidRPr="002C4077">
        <w:t xml:space="preserve"> </w:t>
      </w:r>
      <w:r w:rsidR="00425C50">
        <w:t>est</w:t>
      </w:r>
      <w:r w:rsidRPr="002C4077">
        <w:t xml:space="preserve"> </w:t>
      </w:r>
      <w:r>
        <w:t>tout</w:t>
      </w:r>
      <w:r w:rsidRPr="002C4077">
        <w:t xml:space="preserve"> </w:t>
      </w:r>
      <w:r>
        <w:t>au</w:t>
      </w:r>
      <w:r w:rsidRPr="002C4077">
        <w:t xml:space="preserve"> </w:t>
      </w:r>
      <w:r>
        <w:t>moins</w:t>
      </w:r>
      <w:r w:rsidRPr="002C4077">
        <w:t xml:space="preserve"> </w:t>
      </w:r>
      <w:r>
        <w:t>—</w:t>
      </w:r>
      <w:r w:rsidRPr="002C4077">
        <w:t xml:space="preserve"> </w:t>
      </w:r>
      <w:r>
        <w:t>soyons</w:t>
      </w:r>
      <w:r w:rsidRPr="002C4077">
        <w:t xml:space="preserve"> </w:t>
      </w:r>
      <w:r>
        <w:t>modeste</w:t>
      </w:r>
      <w:r w:rsidR="00B546AF">
        <w:t> !</w:t>
      </w:r>
      <w:r w:rsidRPr="002C4077">
        <w:t xml:space="preserve"> </w:t>
      </w:r>
      <w:r>
        <w:t>—</w:t>
      </w:r>
      <w:r w:rsidRPr="002C4077">
        <w:t xml:space="preserve"> </w:t>
      </w:r>
      <w:r>
        <w:t>fort</w:t>
      </w:r>
      <w:r w:rsidRPr="002C4077">
        <w:t xml:space="preserve"> </w:t>
      </w:r>
      <w:r>
        <w:t>douteuse</w:t>
      </w:r>
      <w:r w:rsidRPr="002C4077">
        <w:t xml:space="preserve"> </w:t>
      </w:r>
      <w:r>
        <w:t>et</w:t>
      </w:r>
      <w:r w:rsidRPr="002C4077">
        <w:t xml:space="preserve"> </w:t>
      </w:r>
      <w:r>
        <w:t>hasardée.</w:t>
      </w:r>
      <w:r w:rsidR="00C45B47">
        <w:t xml:space="preserve"> {</w:t>
      </w:r>
      <w:r w:rsidR="000721C4">
        <w:t>64</w:t>
      </w:r>
      <w:bookmarkStart w:id="210" w:name="p064"/>
      <w:bookmarkEnd w:id="210"/>
      <w:r w:rsidR="000721C4">
        <w:t xml:space="preserve">} </w:t>
      </w:r>
    </w:p>
    <w:p w:rsidR="000A7AAB" w:rsidRDefault="000A7AAB" w:rsidP="000A7AAB">
      <w:r>
        <w:t>De</w:t>
      </w:r>
      <w:r w:rsidRPr="002C4077">
        <w:t xml:space="preserve"> </w:t>
      </w:r>
      <w:r>
        <w:t>nouveau,</w:t>
      </w:r>
      <w:r w:rsidRPr="002C4077">
        <w:t xml:space="preserve"> </w:t>
      </w:r>
      <w:r>
        <w:t>et</w:t>
      </w:r>
      <w:r w:rsidRPr="002C4077">
        <w:t xml:space="preserve"> </w:t>
      </w:r>
      <w:r>
        <w:t>à</w:t>
      </w:r>
      <w:r w:rsidRPr="002C4077">
        <w:t xml:space="preserve"> </w:t>
      </w:r>
      <w:r>
        <w:t>notre</w:t>
      </w:r>
      <w:r w:rsidRPr="002C4077">
        <w:t xml:space="preserve"> </w:t>
      </w:r>
      <w:r>
        <w:t>grand</w:t>
      </w:r>
      <w:r w:rsidRPr="002C4077">
        <w:t xml:space="preserve"> </w:t>
      </w:r>
      <w:r>
        <w:t>regret,</w:t>
      </w:r>
      <w:r w:rsidRPr="002C4077">
        <w:t xml:space="preserve"> </w:t>
      </w:r>
      <w:r>
        <w:t>nous</w:t>
      </w:r>
      <w:r w:rsidRPr="002C4077">
        <w:t xml:space="preserve"> </w:t>
      </w:r>
      <w:r>
        <w:t>allons</w:t>
      </w:r>
      <w:r w:rsidRPr="002C4077">
        <w:t xml:space="preserve"> </w:t>
      </w:r>
      <w:r>
        <w:t>être</w:t>
      </w:r>
      <w:r w:rsidRPr="002C4077">
        <w:t xml:space="preserve"> </w:t>
      </w:r>
      <w:r>
        <w:t>obligé</w:t>
      </w:r>
      <w:r w:rsidRPr="002C4077">
        <w:t xml:space="preserve"> </w:t>
      </w:r>
      <w:r>
        <w:t>de</w:t>
      </w:r>
      <w:r w:rsidRPr="002C4077">
        <w:t xml:space="preserve"> </w:t>
      </w:r>
      <w:r>
        <w:t>toucher</w:t>
      </w:r>
      <w:r w:rsidRPr="002C4077">
        <w:t xml:space="preserve"> </w:t>
      </w:r>
      <w:r>
        <w:t>à</w:t>
      </w:r>
      <w:r w:rsidRPr="002C4077">
        <w:t xml:space="preserve"> </w:t>
      </w:r>
      <w:r>
        <w:t>des</w:t>
      </w:r>
      <w:r w:rsidRPr="002C4077">
        <w:t xml:space="preserve"> </w:t>
      </w:r>
      <w:r>
        <w:t>détails</w:t>
      </w:r>
      <w:r w:rsidRPr="002C4077">
        <w:t xml:space="preserve"> </w:t>
      </w:r>
      <w:r>
        <w:t>bien</w:t>
      </w:r>
      <w:r w:rsidRPr="002C4077">
        <w:t xml:space="preserve"> </w:t>
      </w:r>
      <w:r>
        <w:t>peu</w:t>
      </w:r>
      <w:r w:rsidRPr="002C4077">
        <w:t xml:space="preserve"> </w:t>
      </w:r>
      <w:r>
        <w:t>en</w:t>
      </w:r>
      <w:r w:rsidRPr="002C4077">
        <w:t xml:space="preserve"> </w:t>
      </w:r>
      <w:r>
        <w:t>harmonie</w:t>
      </w:r>
      <w:r w:rsidRPr="002C4077">
        <w:t xml:space="preserve"> </w:t>
      </w:r>
      <w:r>
        <w:t>avec</w:t>
      </w:r>
      <w:r w:rsidRPr="002C4077">
        <w:t xml:space="preserve"> </w:t>
      </w:r>
      <w:r>
        <w:t>l’idée</w:t>
      </w:r>
      <w:r w:rsidRPr="002C4077">
        <w:t xml:space="preserve"> </w:t>
      </w:r>
      <w:r>
        <w:t>vraie</w:t>
      </w:r>
      <w:r w:rsidRPr="002C4077">
        <w:t xml:space="preserve"> </w:t>
      </w:r>
      <w:r>
        <w:t>de</w:t>
      </w:r>
      <w:r w:rsidRPr="002C4077">
        <w:t xml:space="preserve"> </w:t>
      </w:r>
      <w:r w:rsidR="00D40830" w:rsidRPr="00D40830">
        <w:t>l’</w:t>
      </w:r>
      <w:r w:rsidR="00D40830" w:rsidRPr="00D05EA9">
        <w:rPr>
          <w:rStyle w:val="italicus"/>
        </w:rPr>
        <w:t>῾almah</w:t>
      </w:r>
      <w:r w:rsidRPr="000A34B5">
        <w:rPr>
          <w:rStyle w:val="italicus"/>
        </w:rPr>
        <w:t>.</w:t>
      </w:r>
      <w:r w:rsidRPr="002C4077">
        <w:t xml:space="preserve"> </w:t>
      </w:r>
      <w:r>
        <w:t>Que</w:t>
      </w:r>
      <w:r w:rsidRPr="002C4077">
        <w:t xml:space="preserve"> </w:t>
      </w:r>
      <w:r>
        <w:t>l’odieux</w:t>
      </w:r>
      <w:r w:rsidRPr="002C4077">
        <w:t xml:space="preserve"> </w:t>
      </w:r>
      <w:r>
        <w:t>en</w:t>
      </w:r>
      <w:r w:rsidRPr="002C4077">
        <w:t xml:space="preserve"> </w:t>
      </w:r>
      <w:r>
        <w:t>retombe</w:t>
      </w:r>
      <w:r w:rsidRPr="002C4077">
        <w:t xml:space="preserve"> </w:t>
      </w:r>
      <w:r>
        <w:t>sur</w:t>
      </w:r>
      <w:r w:rsidRPr="002C4077">
        <w:t xml:space="preserve"> </w:t>
      </w:r>
      <w:r>
        <w:t>ceux</w:t>
      </w:r>
      <w:r w:rsidRPr="002C4077">
        <w:t xml:space="preserve"> </w:t>
      </w:r>
      <w:r>
        <w:t>qui</w:t>
      </w:r>
      <w:r w:rsidRPr="002C4077">
        <w:t xml:space="preserve"> </w:t>
      </w:r>
      <w:r>
        <w:t>ont</w:t>
      </w:r>
      <w:r w:rsidRPr="002C4077">
        <w:t xml:space="preserve"> </w:t>
      </w:r>
      <w:r>
        <w:t>osé</w:t>
      </w:r>
      <w:r w:rsidRPr="002C4077">
        <w:t xml:space="preserve"> </w:t>
      </w:r>
      <w:r>
        <w:t>faire</w:t>
      </w:r>
      <w:r w:rsidRPr="002C4077">
        <w:t xml:space="preserve"> </w:t>
      </w:r>
      <w:r>
        <w:t>les</w:t>
      </w:r>
      <w:r w:rsidRPr="002C4077">
        <w:t xml:space="preserve"> </w:t>
      </w:r>
      <w:r>
        <w:t>premiers</w:t>
      </w:r>
      <w:r w:rsidRPr="002C4077">
        <w:t xml:space="preserve"> </w:t>
      </w:r>
      <w:r>
        <w:t>de</w:t>
      </w:r>
      <w:r w:rsidRPr="002C4077">
        <w:t xml:space="preserve"> </w:t>
      </w:r>
      <w:r>
        <w:t>telles</w:t>
      </w:r>
      <w:r w:rsidRPr="002C4077">
        <w:t xml:space="preserve"> </w:t>
      </w:r>
      <w:r>
        <w:t>associations.</w:t>
      </w:r>
      <w:r w:rsidRPr="002C4077">
        <w:t xml:space="preserve"> </w:t>
      </w:r>
    </w:p>
    <w:p w:rsidR="000A7AAB" w:rsidRDefault="000A7AAB" w:rsidP="000A7AAB">
      <w:r>
        <w:t>Nous</w:t>
      </w:r>
      <w:r w:rsidRPr="002C4077">
        <w:t xml:space="preserve"> </w:t>
      </w:r>
      <w:r>
        <w:t>lisons</w:t>
      </w:r>
      <w:r w:rsidRPr="002C4077">
        <w:t xml:space="preserve"> </w:t>
      </w:r>
      <w:r>
        <w:t>dans</w:t>
      </w:r>
      <w:r w:rsidRPr="002C4077">
        <w:t xml:space="preserve"> </w:t>
      </w:r>
      <w:r>
        <w:t>Ges</w:t>
      </w:r>
      <w:r w:rsidR="003B53FD">
        <w:t>énius</w:t>
      </w:r>
      <w:bookmarkStart w:id="211" w:name="z_Gesenius_o1"/>
      <w:bookmarkEnd w:id="211"/>
      <w:r>
        <w:t>,</w:t>
      </w:r>
      <w:r w:rsidRPr="002C4077">
        <w:t xml:space="preserve"> </w:t>
      </w:r>
      <w:r w:rsidRPr="000A34B5">
        <w:rPr>
          <w:rStyle w:val="italicus"/>
        </w:rPr>
        <w:t>Thésaurus</w:t>
      </w:r>
      <w:r w:rsidRPr="002C4077">
        <w:t xml:space="preserve"> </w:t>
      </w:r>
      <w:r w:rsidR="009620EB" w:rsidRPr="000A34B5">
        <w:rPr>
          <w:rStyle w:val="italicus"/>
        </w:rPr>
        <w:t>philológicus</w:t>
      </w:r>
      <w:r w:rsidRPr="002C4077">
        <w:t xml:space="preserve"> </w:t>
      </w:r>
      <w:r w:rsidR="009620EB" w:rsidRPr="000A34B5">
        <w:rPr>
          <w:rStyle w:val="italicus"/>
        </w:rPr>
        <w:t>críticus</w:t>
      </w:r>
      <w:r w:rsidRPr="002C4077">
        <w:t xml:space="preserve"> </w:t>
      </w:r>
      <w:r w:rsidR="003B53FD" w:rsidRPr="000A34B5">
        <w:rPr>
          <w:rStyle w:val="italicus"/>
        </w:rPr>
        <w:t>l</w:t>
      </w:r>
      <w:r w:rsidR="003B53FD">
        <w:rPr>
          <w:rStyle w:val="italicus"/>
        </w:rPr>
        <w:t>i</w:t>
      </w:r>
      <w:r w:rsidR="003B53FD" w:rsidRPr="000A34B5">
        <w:rPr>
          <w:rStyle w:val="italicus"/>
        </w:rPr>
        <w:t>nguæ</w:t>
      </w:r>
      <w:r w:rsidRPr="002C4077">
        <w:t xml:space="preserve"> </w:t>
      </w:r>
      <w:r w:rsidR="009620EB" w:rsidRPr="000A34B5">
        <w:rPr>
          <w:rStyle w:val="italicus"/>
        </w:rPr>
        <w:t>hebrǽæ</w:t>
      </w:r>
      <w:r w:rsidR="009620EB" w:rsidRPr="002C4077">
        <w:t xml:space="preserve"> </w:t>
      </w:r>
      <w:r w:rsidR="009620EB">
        <w:rPr>
          <w:rStyle w:val="italicus"/>
        </w:rPr>
        <w:t>et</w:t>
      </w:r>
      <w:r w:rsidR="009620EB" w:rsidRPr="002C4077">
        <w:t xml:space="preserve"> </w:t>
      </w:r>
      <w:r w:rsidR="009620EB">
        <w:rPr>
          <w:rStyle w:val="italicus"/>
        </w:rPr>
        <w:t>chaldǽæ</w:t>
      </w:r>
      <w:r w:rsidRPr="002C4077">
        <w:t xml:space="preserve"> </w:t>
      </w:r>
      <w:r w:rsidR="009620EB" w:rsidRPr="000A34B5">
        <w:rPr>
          <w:rStyle w:val="italicus"/>
        </w:rPr>
        <w:t>Véteris</w:t>
      </w:r>
      <w:r w:rsidRPr="002C4077">
        <w:t xml:space="preserve"> </w:t>
      </w:r>
      <w:r w:rsidR="009620EB" w:rsidRPr="000A34B5">
        <w:rPr>
          <w:rStyle w:val="italicus"/>
        </w:rPr>
        <w:t>Testaménti</w:t>
      </w:r>
      <w:r w:rsidRPr="000A34B5">
        <w:rPr>
          <w:rStyle w:val="italicus"/>
        </w:rPr>
        <w:t>,</w:t>
      </w:r>
      <w:r w:rsidRPr="002C4077">
        <w:t xml:space="preserve"> </w:t>
      </w:r>
      <w:r>
        <w:t>au</w:t>
      </w:r>
      <w:r w:rsidRPr="002C4077">
        <w:t xml:space="preserve"> </w:t>
      </w:r>
      <w:r>
        <w:t>mot</w:t>
      </w:r>
      <w:r w:rsidR="009620EB" w:rsidRPr="002C4077">
        <w:t xml:space="preserve"> </w:t>
      </w:r>
      <w:r w:rsidR="009620EB" w:rsidRPr="009620EB">
        <w:rPr>
          <w:rtl/>
          <w:lang w:bidi="he-IL"/>
        </w:rPr>
        <w:t>צלמח</w:t>
      </w:r>
      <w:r w:rsidR="00B91AF7">
        <w:rPr>
          <w:rStyle w:val="Appelnotedebasdep"/>
        </w:rPr>
        <w:footnoteReference w:id="184"/>
      </w:r>
      <w:r w:rsidR="00B546AF">
        <w:t> :</w:t>
      </w:r>
      <w:r w:rsidRPr="002C4077">
        <w:t xml:space="preserve"> </w:t>
      </w:r>
      <w:r w:rsidR="00B546AF">
        <w:t>« </w:t>
      </w:r>
      <w:r w:rsidR="009620EB">
        <w:t>Puélla</w:t>
      </w:r>
      <w:r w:rsidRPr="002C4077">
        <w:t xml:space="preserve"> </w:t>
      </w:r>
      <w:r w:rsidR="009620EB">
        <w:t>núbilis</w:t>
      </w:r>
      <w:r>
        <w:t>,</w:t>
      </w:r>
      <w:r w:rsidRPr="002C4077">
        <w:t xml:space="preserve"> </w:t>
      </w:r>
      <w:r>
        <w:t>seu</w:t>
      </w:r>
      <w:r w:rsidRPr="002C4077">
        <w:t xml:space="preserve"> </w:t>
      </w:r>
      <w:r>
        <w:t>viro</w:t>
      </w:r>
      <w:r w:rsidRPr="002C4077">
        <w:t xml:space="preserve"> </w:t>
      </w:r>
      <w:r w:rsidR="009620EB">
        <w:t>matúra</w:t>
      </w:r>
      <w:r>
        <w:t>,</w:t>
      </w:r>
      <w:r w:rsidRPr="002C4077">
        <w:t xml:space="preserve"> </w:t>
      </w:r>
      <w:r w:rsidR="009620EB">
        <w:t>adolescéntula</w:t>
      </w:r>
      <w:r>
        <w:t>….</w:t>
      </w:r>
      <w:r w:rsidRPr="002C4077">
        <w:t xml:space="preserve"> </w:t>
      </w:r>
      <w:r>
        <w:t>Apud</w:t>
      </w:r>
      <w:r w:rsidRPr="002C4077">
        <w:t xml:space="preserve"> </w:t>
      </w:r>
      <w:r>
        <w:t>Jesa</w:t>
      </w:r>
      <w:r w:rsidR="009620EB">
        <w:t>í</w:t>
      </w:r>
      <w:r>
        <w:t>am</w:t>
      </w:r>
      <w:r w:rsidRPr="004440EA">
        <w:t xml:space="preserve"> (</w:t>
      </w:r>
      <w:r>
        <w:t>VII,</w:t>
      </w:r>
      <w:r w:rsidRPr="002C4077">
        <w:t xml:space="preserve"> </w:t>
      </w:r>
      <w:r>
        <w:t>14</w:t>
      </w:r>
      <w:r w:rsidR="00B546AF" w:rsidRPr="002C4077">
        <w:t>)</w:t>
      </w:r>
      <w:r w:rsidRPr="002C4077">
        <w:t xml:space="preserve"> </w:t>
      </w:r>
      <w:r>
        <w:t>dictum</w:t>
      </w:r>
      <w:r w:rsidRPr="002C4077">
        <w:t xml:space="preserve"> </w:t>
      </w:r>
      <w:r w:rsidR="00425C50">
        <w:t>est</w:t>
      </w:r>
      <w:r w:rsidRPr="002C4077">
        <w:t xml:space="preserve"> </w:t>
      </w:r>
      <w:r>
        <w:t>de</w:t>
      </w:r>
      <w:r w:rsidRPr="004440EA">
        <w:t xml:space="preserve"> (</w:t>
      </w:r>
      <w:r>
        <w:t>pr</w:t>
      </w:r>
      <w:r w:rsidR="003B53FD">
        <w:t>ophétæ</w:t>
      </w:r>
      <w:r w:rsidR="00B546AF" w:rsidRPr="002C4077">
        <w:t>)</w:t>
      </w:r>
      <w:r w:rsidRPr="002C4077">
        <w:t xml:space="preserve"> </w:t>
      </w:r>
      <w:r w:rsidR="009620EB">
        <w:t>cónjuge</w:t>
      </w:r>
      <w:r w:rsidRPr="002C4077">
        <w:t xml:space="preserve"> </w:t>
      </w:r>
      <w:r w:rsidR="009620EB">
        <w:t>juveníli…</w:t>
      </w:r>
      <w:r w:rsidR="009620EB" w:rsidRPr="002C4077">
        <w:t xml:space="preserve"> </w:t>
      </w:r>
      <w:r w:rsidR="009620EB">
        <w:t>Neque</w:t>
      </w:r>
      <w:r w:rsidR="009620EB" w:rsidRPr="002C4077">
        <w:t xml:space="preserve"> </w:t>
      </w:r>
      <w:r w:rsidR="009620EB">
        <w:t>enim</w:t>
      </w:r>
      <w:r w:rsidR="009620EB" w:rsidRPr="002C4077">
        <w:t xml:space="preserve"> </w:t>
      </w:r>
      <w:r w:rsidR="009620EB">
        <w:t>illibátæ</w:t>
      </w:r>
      <w:r w:rsidRPr="002C4077">
        <w:t xml:space="preserve"> </w:t>
      </w:r>
      <w:r>
        <w:t>virgi</w:t>
      </w:r>
      <w:r w:rsidR="003B53FD">
        <w:t>nitátis</w:t>
      </w:r>
      <w:r w:rsidRPr="002C4077">
        <w:t xml:space="preserve"> </w:t>
      </w:r>
      <w:r>
        <w:t>n</w:t>
      </w:r>
      <w:r w:rsidR="003B53FD">
        <w:t>ótio</w:t>
      </w:r>
      <w:r w:rsidR="009620EB">
        <w:t>,……</w:t>
      </w:r>
      <w:r w:rsidR="009620EB" w:rsidRPr="002C4077">
        <w:t xml:space="preserve"> </w:t>
      </w:r>
      <w:r>
        <w:t>quam</w:t>
      </w:r>
      <w:r w:rsidRPr="002C4077">
        <w:t xml:space="preserve"> </w:t>
      </w:r>
      <w:r>
        <w:t>H</w:t>
      </w:r>
      <w:r w:rsidR="003B53FD">
        <w:t>ebrǽi</w:t>
      </w:r>
      <w:r w:rsidRPr="002C4077">
        <w:t xml:space="preserve"> </w:t>
      </w:r>
      <w:r>
        <w:t>pr</w:t>
      </w:r>
      <w:r w:rsidR="003B53FD">
        <w:t>ópria</w:t>
      </w:r>
      <w:r w:rsidRPr="002C4077">
        <w:t xml:space="preserve"> </w:t>
      </w:r>
      <w:r>
        <w:t>voce</w:t>
      </w:r>
      <w:r w:rsidRPr="002C4077">
        <w:t xml:space="preserve"> </w:t>
      </w:r>
      <w:r w:rsidR="009620EB" w:rsidRPr="007F1BBA">
        <w:rPr>
          <w:rtl/>
          <w:lang w:bidi="he-IL"/>
        </w:rPr>
        <w:t>בתולה</w:t>
      </w:r>
      <w:r w:rsidR="009620EB" w:rsidRPr="002C4077">
        <w:t xml:space="preserve"> </w:t>
      </w:r>
      <w:r w:rsidR="009620EB">
        <w:t>é</w:t>
      </w:r>
      <w:r>
        <w:t>xprimunt,</w:t>
      </w:r>
      <w:r w:rsidRPr="002C4077">
        <w:t xml:space="preserve"> </w:t>
      </w:r>
      <w:r>
        <w:t>in</w:t>
      </w:r>
      <w:r w:rsidRPr="002C4077">
        <w:t xml:space="preserve"> </w:t>
      </w:r>
      <w:r>
        <w:t>hoc</w:t>
      </w:r>
      <w:r w:rsidRPr="002C4077">
        <w:t xml:space="preserve"> </w:t>
      </w:r>
      <w:r w:rsidR="009620EB">
        <w:t>vocábulo</w:t>
      </w:r>
      <w:r w:rsidRPr="002C4077">
        <w:t xml:space="preserve"> </w:t>
      </w:r>
      <w:r>
        <w:t>inest,</w:t>
      </w:r>
      <w:r w:rsidRPr="002C4077">
        <w:t xml:space="preserve"> </w:t>
      </w:r>
      <w:r>
        <w:t>neque</w:t>
      </w:r>
      <w:r w:rsidRPr="002C4077">
        <w:t xml:space="preserve"> </w:t>
      </w:r>
      <w:r>
        <w:t>condit</w:t>
      </w:r>
      <w:r w:rsidR="003B53FD">
        <w:t>iónis</w:t>
      </w:r>
      <w:r w:rsidRPr="002C4077">
        <w:t xml:space="preserve"> </w:t>
      </w:r>
      <w:r w:rsidR="009620EB">
        <w:t>innúptæ</w:t>
      </w:r>
      <w:r>
        <w:t>,</w:t>
      </w:r>
      <w:r w:rsidRPr="002C4077">
        <w:t xml:space="preserve"> </w:t>
      </w:r>
      <w:r>
        <w:t>sed</w:t>
      </w:r>
      <w:r w:rsidRPr="002C4077">
        <w:t xml:space="preserve"> </w:t>
      </w:r>
      <w:r>
        <w:t>pub</w:t>
      </w:r>
      <w:r w:rsidR="003B53FD">
        <w:t>ertátis</w:t>
      </w:r>
      <w:r w:rsidRPr="002C4077">
        <w:t xml:space="preserve"> </w:t>
      </w:r>
      <w:r>
        <w:t>et</w:t>
      </w:r>
      <w:r w:rsidRPr="002C4077">
        <w:t xml:space="preserve"> </w:t>
      </w:r>
      <w:r w:rsidR="009620EB">
        <w:t>ætátis</w:t>
      </w:r>
      <w:r w:rsidRPr="002C4077">
        <w:t xml:space="preserve"> </w:t>
      </w:r>
      <w:r w:rsidR="009620EB">
        <w:t>núbilis,</w:t>
      </w:r>
      <w:r w:rsidR="009620EB" w:rsidRPr="002C4077">
        <w:t xml:space="preserve"> </w:t>
      </w:r>
      <w:r w:rsidR="009620EB">
        <w:t>id</w:t>
      </w:r>
      <w:r w:rsidR="009620EB" w:rsidRPr="002C4077">
        <w:t xml:space="preserve"> </w:t>
      </w:r>
      <w:r w:rsidR="009620EB">
        <w:t>quod</w:t>
      </w:r>
      <w:r w:rsidR="009620EB" w:rsidRPr="002C4077">
        <w:t xml:space="preserve"> </w:t>
      </w:r>
      <w:r w:rsidR="009620EB">
        <w:t>tum</w:t>
      </w:r>
      <w:r w:rsidR="009620EB" w:rsidRPr="002C4077">
        <w:t xml:space="preserve"> </w:t>
      </w:r>
      <w:r w:rsidR="009620EB">
        <w:t>étymo</w:t>
      </w:r>
      <w:r w:rsidR="009620EB" w:rsidRPr="002C4077">
        <w:t xml:space="preserve"> </w:t>
      </w:r>
      <w:r w:rsidR="009620EB">
        <w:t>et</w:t>
      </w:r>
      <w:r w:rsidR="009620EB" w:rsidRPr="002C4077">
        <w:t xml:space="preserve"> </w:t>
      </w:r>
      <w:r w:rsidR="009620EB">
        <w:t>linguæ</w:t>
      </w:r>
      <w:r w:rsidRPr="002C4077">
        <w:t xml:space="preserve"> </w:t>
      </w:r>
      <w:r>
        <w:t>h</w:t>
      </w:r>
      <w:r w:rsidR="003B53FD">
        <w:t>ebrǽæ</w:t>
      </w:r>
      <w:r w:rsidRPr="002C4077">
        <w:t xml:space="preserve"> </w:t>
      </w:r>
      <w:r>
        <w:t>usu</w:t>
      </w:r>
      <w:r w:rsidRPr="002C4077">
        <w:t xml:space="preserve"> </w:t>
      </w:r>
      <w:r>
        <w:t>ev</w:t>
      </w:r>
      <w:r w:rsidR="003B53FD">
        <w:t>íncitur</w:t>
      </w:r>
      <w:r>
        <w:t>,</w:t>
      </w:r>
      <w:r w:rsidRPr="002C4077">
        <w:t xml:space="preserve"> </w:t>
      </w:r>
      <w:r>
        <w:t>tum</w:t>
      </w:r>
      <w:r w:rsidRPr="002C4077">
        <w:t xml:space="preserve"> </w:t>
      </w:r>
      <w:r>
        <w:t>lingu</w:t>
      </w:r>
      <w:r w:rsidR="003B53FD">
        <w:t>árum</w:t>
      </w:r>
      <w:r w:rsidRPr="002C4077">
        <w:t xml:space="preserve"> </w:t>
      </w:r>
      <w:r>
        <w:t>cognat</w:t>
      </w:r>
      <w:r w:rsidR="003B53FD">
        <w:t>árum</w:t>
      </w:r>
      <w:r w:rsidRPr="002C4077">
        <w:t xml:space="preserve"> </w:t>
      </w:r>
      <w:r>
        <w:t>veter</w:t>
      </w:r>
      <w:r w:rsidR="009620EB">
        <w:t>ú</w:t>
      </w:r>
      <w:r>
        <w:t>mque</w:t>
      </w:r>
      <w:r w:rsidRPr="002C4077">
        <w:t xml:space="preserve"> </w:t>
      </w:r>
      <w:r w:rsidR="003B53FD">
        <w:t>intérpretum</w:t>
      </w:r>
      <w:r w:rsidRPr="002C4077">
        <w:t xml:space="preserve"> </w:t>
      </w:r>
      <w:r w:rsidR="009620EB">
        <w:t>auctoritáte</w:t>
      </w:r>
      <w:r>
        <w:t>.</w:t>
      </w:r>
      <w:r w:rsidRPr="002C4077">
        <w:t xml:space="preserve"> </w:t>
      </w:r>
      <w:r>
        <w:t>Arab.</w:t>
      </w:r>
      <w:r w:rsidRPr="002C4077">
        <w:t xml:space="preserve"> </w:t>
      </w:r>
      <w:r w:rsidR="0055004A" w:rsidRPr="009620EB">
        <w:rPr>
          <w:rStyle w:val="italicus"/>
        </w:rPr>
        <w:t>῾</w:t>
      </w:r>
      <w:r w:rsidRPr="009620EB">
        <w:rPr>
          <w:rStyle w:val="italicus"/>
        </w:rPr>
        <w:t>oulamath</w:t>
      </w:r>
      <w:r w:rsidRPr="002C4077">
        <w:t xml:space="preserve"> </w:t>
      </w:r>
      <w:r w:rsidR="0080420C">
        <w:t>puélla</w:t>
      </w:r>
      <w:r w:rsidRPr="002C4077">
        <w:t xml:space="preserve"> </w:t>
      </w:r>
      <w:r>
        <w:t>pubes,</w:t>
      </w:r>
      <w:r w:rsidRPr="002C4077">
        <w:t xml:space="preserve"> </w:t>
      </w:r>
      <w:r w:rsidR="0055004A">
        <w:t>῾</w:t>
      </w:r>
      <w:r w:rsidRPr="000A34B5">
        <w:rPr>
          <w:rStyle w:val="italicus"/>
        </w:rPr>
        <w:t>ailam</w:t>
      </w:r>
      <w:r w:rsidRPr="002C4077">
        <w:t xml:space="preserve"> </w:t>
      </w:r>
      <w:r w:rsidR="0080420C">
        <w:t>puélla</w:t>
      </w:r>
      <w:r w:rsidRPr="002C4077">
        <w:t xml:space="preserve"> </w:t>
      </w:r>
      <w:r>
        <w:t>plenæ</w:t>
      </w:r>
      <w:r w:rsidRPr="002C4077">
        <w:t xml:space="preserve"> </w:t>
      </w:r>
      <w:r w:rsidR="0080420C">
        <w:t>æ</w:t>
      </w:r>
      <w:r w:rsidR="003B53FD" w:rsidRPr="0080420C">
        <w:t>tátis</w:t>
      </w:r>
      <w:r>
        <w:t>,</w:t>
      </w:r>
      <w:r w:rsidRPr="002C4077">
        <w:t xml:space="preserve"> </w:t>
      </w:r>
      <w:r w:rsidR="0080420C">
        <w:t>núbilis</w:t>
      </w:r>
      <w:r>
        <w:t>,</w:t>
      </w:r>
      <w:r w:rsidRPr="002C4077">
        <w:t xml:space="preserve"> </w:t>
      </w:r>
      <w:r w:rsidR="0080420C">
        <w:t>libídinem</w:t>
      </w:r>
      <w:r w:rsidRPr="002C4077">
        <w:t xml:space="preserve"> </w:t>
      </w:r>
      <w:r w:rsidR="0080420C">
        <w:t>séntiens</w:t>
      </w:r>
      <w:r>
        <w:t>,</w:t>
      </w:r>
      <w:r w:rsidRPr="002C4077">
        <w:t xml:space="preserve"> </w:t>
      </w:r>
      <w:r>
        <w:t>syr.</w:t>
      </w:r>
      <w:r w:rsidRPr="002C4077">
        <w:t xml:space="preserve"> </w:t>
      </w:r>
      <w:r w:rsidR="0055004A">
        <w:rPr>
          <w:rStyle w:val="italicus"/>
        </w:rPr>
        <w:t>῾</w:t>
      </w:r>
      <w:r w:rsidRPr="000A34B5">
        <w:rPr>
          <w:rStyle w:val="italicus"/>
        </w:rPr>
        <w:t>alim</w:t>
      </w:r>
      <w:r w:rsidR="0080420C">
        <w:rPr>
          <w:rStyle w:val="italicus"/>
        </w:rPr>
        <w:t>ᵉ</w:t>
      </w:r>
      <w:r w:rsidRPr="000A34B5">
        <w:rPr>
          <w:rStyle w:val="italicus"/>
        </w:rPr>
        <w:t>thôh</w:t>
      </w:r>
      <w:r w:rsidRPr="002C4077">
        <w:t xml:space="preserve"> </w:t>
      </w:r>
      <w:r>
        <w:t>pro</w:t>
      </w:r>
      <w:r w:rsidRPr="002C4077">
        <w:t xml:space="preserve"> </w:t>
      </w:r>
      <w:r>
        <w:t>gr.</w:t>
      </w:r>
      <w:r w:rsidRPr="002C4077">
        <w:t xml:space="preserve"> </w:t>
      </w:r>
      <w:r w:rsidR="009620EB" w:rsidRPr="009620EB">
        <w:t>παιδίσκη</w:t>
      </w:r>
      <w:r w:rsidRPr="00950016">
        <w:t>,</w:t>
      </w:r>
      <w:r w:rsidRPr="002C4077">
        <w:t xml:space="preserve"> </w:t>
      </w:r>
      <w:r>
        <w:t>chald.</w:t>
      </w:r>
      <w:r w:rsidRPr="002C4077">
        <w:t xml:space="preserve"> </w:t>
      </w:r>
      <w:r w:rsidR="0055004A">
        <w:rPr>
          <w:rStyle w:val="italicus"/>
        </w:rPr>
        <w:t>῾</w:t>
      </w:r>
      <w:r w:rsidR="0080420C">
        <w:rPr>
          <w:rStyle w:val="italicus"/>
        </w:rPr>
        <w:t>oulèmᵉ</w:t>
      </w:r>
      <w:r w:rsidRPr="000A34B5">
        <w:rPr>
          <w:rStyle w:val="italicus"/>
        </w:rPr>
        <w:t>thah…</w:t>
      </w:r>
      <w:r w:rsidRPr="002C4077">
        <w:t xml:space="preserve"> </w:t>
      </w:r>
      <w:r>
        <w:t>Etymon</w:t>
      </w:r>
      <w:r w:rsidRPr="002C4077">
        <w:t xml:space="preserve"> </w:t>
      </w:r>
      <w:r>
        <w:t>a</w:t>
      </w:r>
      <w:r w:rsidR="009620EB" w:rsidRPr="002C4077">
        <w:t xml:space="preserve"> </w:t>
      </w:r>
      <w:r w:rsidR="009620EB" w:rsidRPr="009620EB">
        <w:rPr>
          <w:rtl/>
          <w:lang w:bidi="he-IL"/>
        </w:rPr>
        <w:t>עלם</w:t>
      </w:r>
      <w:r>
        <w:t>,</w:t>
      </w:r>
      <w:r w:rsidRPr="002C4077">
        <w:t xml:space="preserve"> </w:t>
      </w:r>
      <w:r>
        <w:t>idem</w:t>
      </w:r>
      <w:r w:rsidRPr="002C4077">
        <w:t xml:space="preserve"> </w:t>
      </w:r>
      <w:r>
        <w:t>quod</w:t>
      </w:r>
      <w:r w:rsidRPr="002C4077">
        <w:t xml:space="preserve"> </w:t>
      </w:r>
      <w:r w:rsidR="0055004A">
        <w:rPr>
          <w:rStyle w:val="italicus"/>
        </w:rPr>
        <w:t>῾</w:t>
      </w:r>
      <w:r w:rsidRPr="000A34B5">
        <w:rPr>
          <w:rStyle w:val="italicus"/>
        </w:rPr>
        <w:t>alima</w:t>
      </w:r>
      <w:r w:rsidRPr="004440EA">
        <w:t xml:space="preserve"> (</w:t>
      </w:r>
      <w:r>
        <w:t>fuit</w:t>
      </w:r>
      <w:r w:rsidRPr="002C4077">
        <w:t xml:space="preserve"> </w:t>
      </w:r>
      <w:r>
        <w:t>pubes</w:t>
      </w:r>
      <w:r w:rsidR="00B546AF" w:rsidRPr="002C4077">
        <w:t>)</w:t>
      </w:r>
      <w:r w:rsidRPr="00950016">
        <w:t>,</w:t>
      </w:r>
      <w:r w:rsidRPr="002C4077">
        <w:t xml:space="preserve"> </w:t>
      </w:r>
      <w:r>
        <w:t>indu</w:t>
      </w:r>
      <w:r w:rsidR="003B53FD">
        <w:t>bitátum</w:t>
      </w:r>
      <w:r w:rsidRPr="002C4077">
        <w:t xml:space="preserve"> </w:t>
      </w:r>
      <w:r w:rsidR="00425C50">
        <w:t>est</w:t>
      </w:r>
      <w:r w:rsidR="00B546AF">
        <w:t> »</w:t>
      </w:r>
      <w:r>
        <w:t>.</w:t>
      </w:r>
      <w:r w:rsidRPr="002C4077">
        <w:t xml:space="preserve"> </w:t>
      </w:r>
      <w:r>
        <w:t>Ges</w:t>
      </w:r>
      <w:r w:rsidR="003B53FD">
        <w:t>énius</w:t>
      </w:r>
      <w:r w:rsidRPr="002C4077">
        <w:t xml:space="preserve"> </w:t>
      </w:r>
      <w:r>
        <w:t>ne</w:t>
      </w:r>
      <w:r w:rsidRPr="002C4077">
        <w:t xml:space="preserve"> </w:t>
      </w:r>
      <w:r>
        <w:t>fait</w:t>
      </w:r>
      <w:r w:rsidRPr="002C4077">
        <w:t xml:space="preserve"> </w:t>
      </w:r>
      <w:r>
        <w:t>d’ailleurs</w:t>
      </w:r>
      <w:r w:rsidRPr="002C4077">
        <w:t xml:space="preserve"> </w:t>
      </w:r>
      <w:r>
        <w:t>que</w:t>
      </w:r>
      <w:r w:rsidRPr="002C4077">
        <w:t xml:space="preserve"> </w:t>
      </w:r>
      <w:r>
        <w:t>répéter</w:t>
      </w:r>
      <w:r w:rsidRPr="002C4077">
        <w:t xml:space="preserve"> </w:t>
      </w:r>
      <w:r>
        <w:t>sommairement</w:t>
      </w:r>
      <w:r w:rsidRPr="002C4077">
        <w:t xml:space="preserve"> </w:t>
      </w:r>
      <w:r>
        <w:t>ici</w:t>
      </w:r>
      <w:r w:rsidRPr="002C4077">
        <w:t xml:space="preserve"> </w:t>
      </w:r>
      <w:r>
        <w:t>ce</w:t>
      </w:r>
      <w:r w:rsidRPr="002C4077">
        <w:t xml:space="preserve"> </w:t>
      </w:r>
      <w:r>
        <w:t>qu’il</w:t>
      </w:r>
      <w:r w:rsidRPr="002C4077">
        <w:t xml:space="preserve"> </w:t>
      </w:r>
      <w:r>
        <w:t>a</w:t>
      </w:r>
      <w:r w:rsidRPr="002C4077">
        <w:t xml:space="preserve"> </w:t>
      </w:r>
      <w:r>
        <w:t>affirmé</w:t>
      </w:r>
      <w:r w:rsidRPr="002C4077">
        <w:t xml:space="preserve"> </w:t>
      </w:r>
      <w:r>
        <w:t>plus</w:t>
      </w:r>
      <w:r w:rsidRPr="002C4077">
        <w:t xml:space="preserve"> </w:t>
      </w:r>
      <w:r>
        <w:t>au</w:t>
      </w:r>
      <w:r w:rsidRPr="002C4077">
        <w:t xml:space="preserve"> </w:t>
      </w:r>
      <w:r>
        <w:t>long</w:t>
      </w:r>
      <w:r w:rsidRPr="002C4077">
        <w:t xml:space="preserve"> </w:t>
      </w:r>
      <w:r>
        <w:t>dans</w:t>
      </w:r>
      <w:r w:rsidRPr="002C4077">
        <w:t xml:space="preserve"> </w:t>
      </w:r>
      <w:r>
        <w:t>son</w:t>
      </w:r>
      <w:r w:rsidRPr="002C4077">
        <w:t xml:space="preserve"> </w:t>
      </w:r>
      <w:r>
        <w:t>commentaire</w:t>
      </w:r>
      <w:r w:rsidRPr="002C4077">
        <w:t xml:space="preserve"> </w:t>
      </w:r>
      <w:r>
        <w:t>sur</w:t>
      </w:r>
      <w:r w:rsidRPr="002C4077">
        <w:t xml:space="preserve"> </w:t>
      </w:r>
      <w:r>
        <w:t>Isaïe</w:t>
      </w:r>
      <w:r w:rsidR="00B91AF7">
        <w:rPr>
          <w:rStyle w:val="Appelnotedebasdep"/>
        </w:rPr>
        <w:footnoteReference w:id="185"/>
      </w:r>
      <w:r>
        <w:t>.</w:t>
      </w:r>
      <w:r w:rsidRPr="002C4077">
        <w:t xml:space="preserve"> </w:t>
      </w:r>
    </w:p>
    <w:p w:rsidR="000A7AAB" w:rsidRDefault="000A7AAB" w:rsidP="000A7AAB">
      <w:r>
        <w:t>Tous</w:t>
      </w:r>
      <w:r w:rsidRPr="002C4077">
        <w:t xml:space="preserve"> </w:t>
      </w:r>
      <w:r>
        <w:t>ceux</w:t>
      </w:r>
      <w:r w:rsidRPr="002C4077">
        <w:t xml:space="preserve"> </w:t>
      </w:r>
      <w:r>
        <w:t>qui</w:t>
      </w:r>
      <w:r w:rsidRPr="002C4077">
        <w:t xml:space="preserve"> </w:t>
      </w:r>
      <w:r>
        <w:t>avaient</w:t>
      </w:r>
      <w:r w:rsidRPr="002C4077">
        <w:t xml:space="preserve"> </w:t>
      </w:r>
      <w:r>
        <w:t>quelque</w:t>
      </w:r>
      <w:r w:rsidRPr="002C4077">
        <w:t xml:space="preserve"> </w:t>
      </w:r>
      <w:r>
        <w:t>intérêt</w:t>
      </w:r>
      <w:r w:rsidRPr="002C4077">
        <w:t xml:space="preserve"> </w:t>
      </w:r>
      <w:r>
        <w:t>dogmatique</w:t>
      </w:r>
      <w:r w:rsidRPr="002C4077">
        <w:t xml:space="preserve"> </w:t>
      </w:r>
      <w:r>
        <w:t>à</w:t>
      </w:r>
      <w:r w:rsidRPr="002C4077">
        <w:t xml:space="preserve"> </w:t>
      </w:r>
      <w:r>
        <w:t>adopter</w:t>
      </w:r>
      <w:r w:rsidRPr="002C4077">
        <w:t xml:space="preserve"> </w:t>
      </w:r>
      <w:r>
        <w:t>cette</w:t>
      </w:r>
      <w:r w:rsidRPr="002C4077">
        <w:t xml:space="preserve"> </w:t>
      </w:r>
      <w:r>
        <w:t>dérivation,</w:t>
      </w:r>
      <w:r w:rsidRPr="002C4077">
        <w:t xml:space="preserve"> </w:t>
      </w:r>
      <w:r>
        <w:t>c’est-à-dire</w:t>
      </w:r>
      <w:r w:rsidRPr="002C4077">
        <w:t xml:space="preserve"> </w:t>
      </w:r>
      <w:r>
        <w:t>les</w:t>
      </w:r>
      <w:r w:rsidRPr="002C4077">
        <w:t xml:space="preserve"> </w:t>
      </w:r>
      <w:r>
        <w:t>Juifs</w:t>
      </w:r>
      <w:r w:rsidRPr="002C4077">
        <w:t xml:space="preserve"> </w:t>
      </w:r>
      <w:r>
        <w:t>et</w:t>
      </w:r>
      <w:r w:rsidRPr="002C4077">
        <w:t xml:space="preserve"> </w:t>
      </w:r>
      <w:r>
        <w:t>les</w:t>
      </w:r>
      <w:r w:rsidRPr="002C4077">
        <w:t xml:space="preserve"> </w:t>
      </w:r>
      <w:r>
        <w:t>rationalistes,</w:t>
      </w:r>
      <w:r w:rsidRPr="002C4077">
        <w:t xml:space="preserve"> </w:t>
      </w:r>
      <w:r>
        <w:t>regardèrent</w:t>
      </w:r>
      <w:r w:rsidRPr="002C4077">
        <w:t xml:space="preserve"> </w:t>
      </w:r>
      <w:r>
        <w:t>aussitôt</w:t>
      </w:r>
      <w:r w:rsidRPr="002C4077">
        <w:t xml:space="preserve"> </w:t>
      </w:r>
      <w:r>
        <w:t>la</w:t>
      </w:r>
      <w:r w:rsidRPr="002C4077">
        <w:t xml:space="preserve"> </w:t>
      </w:r>
      <w:r>
        <w:t>chose</w:t>
      </w:r>
      <w:r w:rsidRPr="002C4077">
        <w:t xml:space="preserve"> </w:t>
      </w:r>
      <w:r>
        <w:t>comme</w:t>
      </w:r>
      <w:r w:rsidRPr="002C4077">
        <w:t xml:space="preserve"> </w:t>
      </w:r>
      <w:r w:rsidR="002A5E7A">
        <w:t>conclue</w:t>
      </w:r>
      <w:r w:rsidR="002A5E7A">
        <w:rPr>
          <w:rStyle w:val="Appelnotedebasdep"/>
        </w:rPr>
        <w:footnoteReference w:id="186"/>
      </w:r>
      <w:r>
        <w:t>.</w:t>
      </w:r>
      <w:r w:rsidRPr="002C4077">
        <w:t xml:space="preserve"> </w:t>
      </w:r>
    </w:p>
    <w:p w:rsidR="000A7AAB" w:rsidRDefault="000A7AAB" w:rsidP="000A7AAB">
      <w:r>
        <w:t>L’autorité</w:t>
      </w:r>
      <w:r w:rsidRPr="002C4077">
        <w:t xml:space="preserve"> </w:t>
      </w:r>
      <w:r>
        <w:t>de</w:t>
      </w:r>
      <w:r w:rsidRPr="002C4077">
        <w:t xml:space="preserve"> </w:t>
      </w:r>
      <w:r>
        <w:t>Ges</w:t>
      </w:r>
      <w:r w:rsidR="003B53FD">
        <w:t>énius</w:t>
      </w:r>
      <w:r w:rsidRPr="002C4077">
        <w:t xml:space="preserve"> </w:t>
      </w:r>
      <w:r>
        <w:t>a</w:t>
      </w:r>
      <w:r w:rsidRPr="002C4077">
        <w:t xml:space="preserve"> </w:t>
      </w:r>
      <w:r>
        <w:t>même</w:t>
      </w:r>
      <w:r w:rsidRPr="002C4077">
        <w:t xml:space="preserve"> </w:t>
      </w:r>
      <w:r>
        <w:t>fait</w:t>
      </w:r>
      <w:r w:rsidRPr="002C4077">
        <w:t xml:space="preserve"> </w:t>
      </w:r>
      <w:r>
        <w:t>impression</w:t>
      </w:r>
      <w:r w:rsidRPr="002C4077">
        <w:t xml:space="preserve"> </w:t>
      </w:r>
      <w:r>
        <w:t>sur</w:t>
      </w:r>
      <w:r w:rsidRPr="002C4077">
        <w:t xml:space="preserve"> </w:t>
      </w:r>
      <w:r>
        <w:t>des</w:t>
      </w:r>
      <w:r w:rsidRPr="002C4077">
        <w:t xml:space="preserve"> </w:t>
      </w:r>
      <w:r>
        <w:t>interprètes</w:t>
      </w:r>
      <w:r w:rsidRPr="002C4077">
        <w:t xml:space="preserve"> </w:t>
      </w:r>
      <w:r>
        <w:t>croyants</w:t>
      </w:r>
      <w:r w:rsidRPr="002C4077">
        <w:t xml:space="preserve"> </w:t>
      </w:r>
      <w:r>
        <w:t>de</w:t>
      </w:r>
      <w:r w:rsidRPr="002C4077">
        <w:t xml:space="preserve"> </w:t>
      </w:r>
      <w:r>
        <w:t>la</w:t>
      </w:r>
      <w:r w:rsidRPr="002C4077">
        <w:t xml:space="preserve"> </w:t>
      </w:r>
      <w:r>
        <w:t>trempe</w:t>
      </w:r>
      <w:r w:rsidRPr="002C4077">
        <w:t xml:space="preserve"> </w:t>
      </w:r>
      <w:r>
        <w:t>de</w:t>
      </w:r>
      <w:r w:rsidRPr="002C4077">
        <w:t xml:space="preserve"> </w:t>
      </w:r>
      <w:r>
        <w:t>M.</w:t>
      </w:r>
      <w:r w:rsidRPr="002C4077">
        <w:t xml:space="preserve"> </w:t>
      </w:r>
      <w:r w:rsidR="0080420C">
        <w:t>Delitzsch</w:t>
      </w:r>
      <w:r w:rsidR="00B91AF7">
        <w:rPr>
          <w:rStyle w:val="Appelnotedebasdep"/>
        </w:rPr>
        <w:footnoteReference w:id="187"/>
      </w:r>
      <w:r>
        <w:t>,</w:t>
      </w:r>
      <w:r w:rsidR="00C45B47">
        <w:t xml:space="preserve"> {</w:t>
      </w:r>
      <w:r w:rsidR="000721C4">
        <w:t>65</w:t>
      </w:r>
      <w:bookmarkStart w:id="212" w:name="p065"/>
      <w:bookmarkEnd w:id="212"/>
      <w:r w:rsidR="000721C4">
        <w:t xml:space="preserve">} </w:t>
      </w:r>
      <w:r>
        <w:t>lesquels,</w:t>
      </w:r>
      <w:r w:rsidRPr="002C4077">
        <w:t xml:space="preserve"> </w:t>
      </w:r>
      <w:r>
        <w:t>tout</w:t>
      </w:r>
      <w:r w:rsidRPr="002C4077">
        <w:t xml:space="preserve"> </w:t>
      </w:r>
      <w:r>
        <w:t>en</w:t>
      </w:r>
      <w:r w:rsidRPr="002C4077">
        <w:t xml:space="preserve"> </w:t>
      </w:r>
      <w:r>
        <w:t>admettant</w:t>
      </w:r>
      <w:r w:rsidRPr="002C4077">
        <w:t xml:space="preserve"> </w:t>
      </w:r>
      <w:r>
        <w:t>qu’Isaïe</w:t>
      </w:r>
      <w:r w:rsidRPr="002C4077">
        <w:t xml:space="preserve"> </w:t>
      </w:r>
      <w:r>
        <w:t>a</w:t>
      </w:r>
      <w:r w:rsidRPr="002C4077">
        <w:t xml:space="preserve"> </w:t>
      </w:r>
      <w:r>
        <w:t>voulu</w:t>
      </w:r>
      <w:r w:rsidRPr="002C4077">
        <w:t xml:space="preserve"> </w:t>
      </w:r>
      <w:r>
        <w:t>parler</w:t>
      </w:r>
      <w:r w:rsidRPr="002C4077">
        <w:t xml:space="preserve"> </w:t>
      </w:r>
      <w:r>
        <w:t>d’une</w:t>
      </w:r>
      <w:r w:rsidRPr="002C4077">
        <w:t xml:space="preserve"> </w:t>
      </w:r>
      <w:r>
        <w:t>vierge,</w:t>
      </w:r>
      <w:r w:rsidRPr="002C4077">
        <w:t xml:space="preserve"> </w:t>
      </w:r>
      <w:r>
        <w:t>se</w:t>
      </w:r>
      <w:r w:rsidRPr="002C4077">
        <w:t xml:space="preserve"> </w:t>
      </w:r>
      <w:r>
        <w:t>refusent</w:t>
      </w:r>
      <w:r w:rsidRPr="002C4077">
        <w:t xml:space="preserve"> </w:t>
      </w:r>
      <w:r>
        <w:t>à</w:t>
      </w:r>
      <w:r w:rsidRPr="002C4077">
        <w:t xml:space="preserve"> </w:t>
      </w:r>
      <w:r>
        <w:t>voir</w:t>
      </w:r>
      <w:r w:rsidRPr="002C4077">
        <w:t xml:space="preserve"> </w:t>
      </w:r>
      <w:r>
        <w:t>l’idée</w:t>
      </w:r>
      <w:r w:rsidRPr="002C4077">
        <w:t xml:space="preserve"> </w:t>
      </w:r>
      <w:r>
        <w:t>de</w:t>
      </w:r>
      <w:r w:rsidRPr="002C4077">
        <w:t xml:space="preserve"> </w:t>
      </w:r>
      <w:r w:rsidRPr="000A34B5">
        <w:rPr>
          <w:rStyle w:val="italicus"/>
        </w:rPr>
        <w:t>virgo</w:t>
      </w:r>
      <w:r w:rsidRPr="002C4077">
        <w:t xml:space="preserve"> </w:t>
      </w:r>
      <w:r w:rsidRPr="000A34B5">
        <w:rPr>
          <w:rStyle w:val="italicus"/>
        </w:rPr>
        <w:t>il</w:t>
      </w:r>
      <w:r w:rsidR="003B53FD" w:rsidRPr="000A34B5">
        <w:rPr>
          <w:rStyle w:val="italicus"/>
        </w:rPr>
        <w:t>lib</w:t>
      </w:r>
      <w:r w:rsidR="003B53FD">
        <w:rPr>
          <w:rStyle w:val="italicus"/>
        </w:rPr>
        <w:t>á</w:t>
      </w:r>
      <w:r w:rsidR="003B53FD" w:rsidRPr="000A34B5">
        <w:rPr>
          <w:rStyle w:val="italicus"/>
        </w:rPr>
        <w:t>ta</w:t>
      </w:r>
      <w:r w:rsidRPr="002C4077">
        <w:t xml:space="preserve"> </w:t>
      </w:r>
      <w:r>
        <w:t>dans</w:t>
      </w:r>
      <w:r w:rsidRPr="002C4077">
        <w:t xml:space="preserve"> </w:t>
      </w:r>
      <w:r>
        <w:t>le</w:t>
      </w:r>
      <w:r w:rsidRPr="002C4077">
        <w:t xml:space="preserve"> </w:t>
      </w:r>
      <w:r>
        <w:t>mot</w:t>
      </w:r>
      <w:r w:rsidRPr="002C4077">
        <w:t xml:space="preserve"> </w:t>
      </w:r>
      <w:r>
        <w:t>employé</w:t>
      </w:r>
      <w:r w:rsidRPr="002C4077">
        <w:t xml:space="preserve"> </w:t>
      </w:r>
      <w:r>
        <w:t>par</w:t>
      </w:r>
      <w:r w:rsidRPr="002C4077">
        <w:t xml:space="preserve"> </w:t>
      </w:r>
      <w:r>
        <w:t>lui.</w:t>
      </w:r>
      <w:r w:rsidRPr="002C4077">
        <w:t xml:space="preserve"> </w:t>
      </w:r>
      <w:r>
        <w:t>Concession</w:t>
      </w:r>
      <w:r w:rsidRPr="002C4077">
        <w:t xml:space="preserve"> </w:t>
      </w:r>
      <w:r>
        <w:t>non</w:t>
      </w:r>
      <w:r w:rsidRPr="002C4077">
        <w:t xml:space="preserve"> </w:t>
      </w:r>
      <w:r>
        <w:t>moins</w:t>
      </w:r>
      <w:r w:rsidRPr="002C4077">
        <w:t xml:space="preserve"> </w:t>
      </w:r>
      <w:r>
        <w:t>inutile</w:t>
      </w:r>
      <w:r w:rsidRPr="002C4077">
        <w:t xml:space="preserve"> </w:t>
      </w:r>
      <w:r>
        <w:t>que</w:t>
      </w:r>
      <w:r w:rsidRPr="002C4077">
        <w:t xml:space="preserve"> </w:t>
      </w:r>
      <w:r>
        <w:t>dénuée</w:t>
      </w:r>
      <w:r w:rsidRPr="002C4077">
        <w:t xml:space="preserve"> </w:t>
      </w:r>
      <w:r>
        <w:t>de</w:t>
      </w:r>
      <w:r w:rsidRPr="002C4077">
        <w:t xml:space="preserve"> </w:t>
      </w:r>
      <w:r>
        <w:t>fondement.</w:t>
      </w:r>
      <w:r w:rsidRPr="002C4077">
        <w:t xml:space="preserve"> </w:t>
      </w:r>
      <w:r>
        <w:t>Elle</w:t>
      </w:r>
      <w:r w:rsidRPr="002C4077">
        <w:t xml:space="preserve"> </w:t>
      </w:r>
      <w:r w:rsidR="00425C50">
        <w:t>est</w:t>
      </w:r>
      <w:r w:rsidRPr="002C4077">
        <w:t xml:space="preserve"> </w:t>
      </w:r>
      <w:r>
        <w:t>inutile,</w:t>
      </w:r>
      <w:r w:rsidRPr="002C4077">
        <w:t xml:space="preserve"> </w:t>
      </w:r>
      <w:r>
        <w:t>car</w:t>
      </w:r>
      <w:r w:rsidRPr="002C4077">
        <w:t xml:space="preserve"> </w:t>
      </w:r>
      <w:r>
        <w:t>nos</w:t>
      </w:r>
      <w:r w:rsidRPr="002C4077">
        <w:t xml:space="preserve"> </w:t>
      </w:r>
      <w:r>
        <w:t>adversaires</w:t>
      </w:r>
      <w:r w:rsidRPr="002C4077">
        <w:t xml:space="preserve"> </w:t>
      </w:r>
      <w:r>
        <w:t>ne</w:t>
      </w:r>
      <w:r w:rsidRPr="002C4077">
        <w:t xml:space="preserve"> </w:t>
      </w:r>
      <w:r>
        <w:t>s’en</w:t>
      </w:r>
      <w:r w:rsidRPr="002C4077">
        <w:t xml:space="preserve"> </w:t>
      </w:r>
      <w:r>
        <w:t>contentent</w:t>
      </w:r>
      <w:r w:rsidRPr="002C4077">
        <w:t xml:space="preserve"> </w:t>
      </w:r>
      <w:r>
        <w:t>pas</w:t>
      </w:r>
      <w:r w:rsidR="00B546AF">
        <w:t> ;</w:t>
      </w:r>
      <w:r w:rsidRPr="002C4077">
        <w:t xml:space="preserve"> </w:t>
      </w:r>
      <w:r>
        <w:t>il</w:t>
      </w:r>
      <w:r w:rsidRPr="002C4077">
        <w:t xml:space="preserve"> </w:t>
      </w:r>
      <w:r>
        <w:t>leur</w:t>
      </w:r>
      <w:r w:rsidRPr="002C4077">
        <w:t xml:space="preserve"> </w:t>
      </w:r>
      <w:r>
        <w:t>échappe</w:t>
      </w:r>
      <w:r w:rsidRPr="002C4077">
        <w:t xml:space="preserve"> </w:t>
      </w:r>
      <w:r w:rsidR="00F042F3">
        <w:t>même</w:t>
      </w:r>
      <w:r w:rsidRPr="002C4077">
        <w:t xml:space="preserve"> </w:t>
      </w:r>
      <w:r>
        <w:t>ici</w:t>
      </w:r>
      <w:r w:rsidRPr="002C4077">
        <w:t xml:space="preserve"> </w:t>
      </w:r>
      <w:r>
        <w:t>de</w:t>
      </w:r>
      <w:r w:rsidRPr="002C4077">
        <w:t xml:space="preserve"> </w:t>
      </w:r>
      <w:r>
        <w:t>singuliers</w:t>
      </w:r>
      <w:r w:rsidRPr="002C4077">
        <w:t xml:space="preserve"> </w:t>
      </w:r>
      <w:r>
        <w:t>aveux.</w:t>
      </w:r>
      <w:r w:rsidRPr="002C4077">
        <w:t xml:space="preserve"> </w:t>
      </w:r>
      <w:r w:rsidR="00B546AF">
        <w:t>« </w:t>
      </w:r>
      <w:r>
        <w:t>Alors</w:t>
      </w:r>
      <w:r w:rsidRPr="002C4077">
        <w:t xml:space="preserve"> </w:t>
      </w:r>
      <w:r>
        <w:t>même</w:t>
      </w:r>
      <w:r w:rsidRPr="002C4077">
        <w:t xml:space="preserve"> </w:t>
      </w:r>
      <w:r>
        <w:t>que</w:t>
      </w:r>
      <w:r w:rsidRPr="002C4077">
        <w:t xml:space="preserve"> </w:t>
      </w:r>
      <w:r w:rsidR="00D40830" w:rsidRPr="00D05EA9">
        <w:rPr>
          <w:rStyle w:val="italicus"/>
        </w:rPr>
        <w:t>῾almah</w:t>
      </w:r>
      <w:r w:rsidRPr="002C4077">
        <w:t xml:space="preserve"> </w:t>
      </w:r>
      <w:r>
        <w:t>signifierait</w:t>
      </w:r>
      <w:r w:rsidRPr="002C4077">
        <w:t xml:space="preserve"> </w:t>
      </w:r>
      <w:r>
        <w:t>vierge</w:t>
      </w:r>
      <w:r w:rsidRPr="002C4077">
        <w:t xml:space="preserve"> </w:t>
      </w:r>
      <w:r>
        <w:t>sans</w:t>
      </w:r>
      <w:r w:rsidRPr="002C4077">
        <w:t xml:space="preserve"> </w:t>
      </w:r>
      <w:r>
        <w:t>tache,</w:t>
      </w:r>
      <w:r w:rsidRPr="002C4077">
        <w:t xml:space="preserve"> </w:t>
      </w:r>
      <w:r>
        <w:t>il</w:t>
      </w:r>
      <w:r w:rsidRPr="002C4077">
        <w:t xml:space="preserve"> </w:t>
      </w:r>
      <w:r>
        <w:t>n’y</w:t>
      </w:r>
      <w:r w:rsidRPr="002C4077">
        <w:t xml:space="preserve"> </w:t>
      </w:r>
      <w:r>
        <w:t>aurait</w:t>
      </w:r>
      <w:r w:rsidRPr="002C4077">
        <w:t xml:space="preserve"> </w:t>
      </w:r>
      <w:r>
        <w:t>cependant</w:t>
      </w:r>
      <w:r w:rsidRPr="002C4077">
        <w:t xml:space="preserve"> </w:t>
      </w:r>
      <w:r>
        <w:t>pas</w:t>
      </w:r>
      <w:r w:rsidRPr="002C4077">
        <w:t xml:space="preserve"> </w:t>
      </w:r>
      <w:r>
        <w:t>de</w:t>
      </w:r>
      <w:r w:rsidRPr="002C4077">
        <w:t xml:space="preserve"> </w:t>
      </w:r>
      <w:r>
        <w:t>miracle,</w:t>
      </w:r>
      <w:r w:rsidRPr="002C4077">
        <w:t xml:space="preserve"> </w:t>
      </w:r>
      <w:r>
        <w:t>à</w:t>
      </w:r>
      <w:r w:rsidRPr="002C4077">
        <w:t xml:space="preserve"> </w:t>
      </w:r>
      <w:r>
        <w:t>moins</w:t>
      </w:r>
      <w:r w:rsidRPr="002C4077">
        <w:t xml:space="preserve"> </w:t>
      </w:r>
      <w:r>
        <w:t>donc</w:t>
      </w:r>
      <w:r w:rsidRPr="002C4077">
        <w:t xml:space="preserve"> </w:t>
      </w:r>
      <w:r>
        <w:t>qu’on</w:t>
      </w:r>
      <w:r w:rsidRPr="002C4077">
        <w:t xml:space="preserve"> </w:t>
      </w:r>
      <w:r>
        <w:t>ne</w:t>
      </w:r>
      <w:r w:rsidRPr="002C4077">
        <w:t xml:space="preserve"> </w:t>
      </w:r>
      <w:r>
        <w:t>mît</w:t>
      </w:r>
      <w:r w:rsidRPr="002C4077">
        <w:t xml:space="preserve"> </w:t>
      </w:r>
      <w:r>
        <w:t>entre</w:t>
      </w:r>
      <w:r w:rsidRPr="002C4077">
        <w:t xml:space="preserve"> </w:t>
      </w:r>
      <w:r>
        <w:t>les</w:t>
      </w:r>
      <w:r w:rsidRPr="002C4077">
        <w:t xml:space="preserve"> </w:t>
      </w:r>
      <w:r>
        <w:t>lignes</w:t>
      </w:r>
      <w:r w:rsidRPr="002C4077">
        <w:t xml:space="preserve"> </w:t>
      </w:r>
      <w:r>
        <w:t>ce</w:t>
      </w:r>
      <w:r w:rsidRPr="002C4077">
        <w:t xml:space="preserve"> </w:t>
      </w:r>
      <w:r>
        <w:t>sens</w:t>
      </w:r>
      <w:r w:rsidRPr="002C4077">
        <w:t xml:space="preserve"> </w:t>
      </w:r>
      <w:r>
        <w:t>arbitraire,</w:t>
      </w:r>
      <w:r w:rsidRPr="002C4077">
        <w:t xml:space="preserve"> </w:t>
      </w:r>
      <w:r>
        <w:t>qu’elle</w:t>
      </w:r>
      <w:r w:rsidRPr="002C4077">
        <w:t xml:space="preserve"> </w:t>
      </w:r>
      <w:r>
        <w:t>devait</w:t>
      </w:r>
      <w:r w:rsidRPr="002C4077">
        <w:t xml:space="preserve"> </w:t>
      </w:r>
      <w:r>
        <w:t>demeurer</w:t>
      </w:r>
      <w:r w:rsidRPr="002C4077">
        <w:t xml:space="preserve"> </w:t>
      </w:r>
      <w:r>
        <w:t>vierge</w:t>
      </w:r>
      <w:r w:rsidRPr="002C4077">
        <w:t xml:space="preserve"> </w:t>
      </w:r>
      <w:r>
        <w:t>après</w:t>
      </w:r>
      <w:r w:rsidRPr="002C4077">
        <w:t xml:space="preserve"> </w:t>
      </w:r>
      <w:r>
        <w:t>la</w:t>
      </w:r>
      <w:r w:rsidRPr="002C4077">
        <w:t xml:space="preserve"> </w:t>
      </w:r>
      <w:r>
        <w:t>conception</w:t>
      </w:r>
      <w:r w:rsidRPr="002C4077">
        <w:t xml:space="preserve"> </w:t>
      </w:r>
      <w:r>
        <w:t>et</w:t>
      </w:r>
      <w:r w:rsidRPr="002C4077">
        <w:t xml:space="preserve"> </w:t>
      </w:r>
      <w:r>
        <w:t>la</w:t>
      </w:r>
      <w:r w:rsidRPr="002C4077">
        <w:t xml:space="preserve"> </w:t>
      </w:r>
      <w:r>
        <w:t>naissance.</w:t>
      </w:r>
      <w:r w:rsidRPr="002C4077">
        <w:t xml:space="preserve"> </w:t>
      </w:r>
      <w:r>
        <w:t>Mais</w:t>
      </w:r>
      <w:r w:rsidRPr="002C4077">
        <w:t xml:space="preserve"> </w:t>
      </w:r>
      <w:r>
        <w:t>cela</w:t>
      </w:r>
      <w:r w:rsidRPr="002C4077">
        <w:t xml:space="preserve"> </w:t>
      </w:r>
      <w:r>
        <w:t>ne</w:t>
      </w:r>
      <w:r w:rsidRPr="002C4077">
        <w:t xml:space="preserve"> </w:t>
      </w:r>
      <w:r>
        <w:t>vaudrait</w:t>
      </w:r>
      <w:r w:rsidRPr="002C4077">
        <w:t xml:space="preserve"> </w:t>
      </w:r>
      <w:r>
        <w:t>pas</w:t>
      </w:r>
      <w:r w:rsidRPr="002C4077">
        <w:t xml:space="preserve"> </w:t>
      </w:r>
      <w:r>
        <w:t>mieux</w:t>
      </w:r>
      <w:r w:rsidRPr="002C4077">
        <w:t xml:space="preserve"> </w:t>
      </w:r>
      <w:r>
        <w:t>que</w:t>
      </w:r>
      <w:r w:rsidRPr="002C4077">
        <w:t xml:space="preserve"> </w:t>
      </w:r>
      <w:r>
        <w:t>si</w:t>
      </w:r>
      <w:r w:rsidRPr="002C4077">
        <w:t xml:space="preserve"> </w:t>
      </w:r>
      <w:r>
        <w:t>l’on</w:t>
      </w:r>
      <w:r w:rsidRPr="002C4077">
        <w:t xml:space="preserve"> </w:t>
      </w:r>
      <w:r>
        <w:t>donnait</w:t>
      </w:r>
      <w:r w:rsidRPr="002C4077">
        <w:t xml:space="preserve"> </w:t>
      </w:r>
      <w:r>
        <w:t>à</w:t>
      </w:r>
      <w:r w:rsidRPr="002C4077">
        <w:t xml:space="preserve"> </w:t>
      </w:r>
      <w:r>
        <w:t>la</w:t>
      </w:r>
      <w:r w:rsidRPr="002C4077">
        <w:t xml:space="preserve"> </w:t>
      </w:r>
      <w:r>
        <w:t>phrase</w:t>
      </w:r>
      <w:r w:rsidR="00B546AF">
        <w:t> :</w:t>
      </w:r>
      <w:r w:rsidRPr="002C4077">
        <w:t xml:space="preserve"> </w:t>
      </w:r>
      <w:r>
        <w:t>Les</w:t>
      </w:r>
      <w:r w:rsidRPr="002C4077">
        <w:t xml:space="preserve"> </w:t>
      </w:r>
      <w:r>
        <w:t>aveugles</w:t>
      </w:r>
      <w:r w:rsidRPr="002C4077">
        <w:t xml:space="preserve"> </w:t>
      </w:r>
      <w:r>
        <w:t>voient,</w:t>
      </w:r>
      <w:r w:rsidRPr="002C4077">
        <w:t xml:space="preserve"> </w:t>
      </w:r>
      <w:r>
        <w:t>les</w:t>
      </w:r>
      <w:r w:rsidRPr="002C4077">
        <w:t xml:space="preserve"> </w:t>
      </w:r>
      <w:r w:rsidR="0080420C">
        <w:t>boiteux</w:t>
      </w:r>
      <w:r w:rsidRPr="002C4077">
        <w:t xml:space="preserve"> </w:t>
      </w:r>
      <w:r>
        <w:t>marchent,</w:t>
      </w:r>
      <w:r w:rsidRPr="002C4077">
        <w:t xml:space="preserve"> </w:t>
      </w:r>
      <w:r>
        <w:t>ce</w:t>
      </w:r>
      <w:r w:rsidRPr="002C4077">
        <w:t xml:space="preserve"> </w:t>
      </w:r>
      <w:r>
        <w:t>sens</w:t>
      </w:r>
      <w:r w:rsidRPr="002C4077">
        <w:t xml:space="preserve"> </w:t>
      </w:r>
      <w:r>
        <w:t>impossible</w:t>
      </w:r>
      <w:r w:rsidR="00B546AF">
        <w:t> :</w:t>
      </w:r>
      <w:r w:rsidRPr="002C4077">
        <w:t xml:space="preserve"> </w:t>
      </w:r>
      <w:r>
        <w:t>Néanmoins</w:t>
      </w:r>
      <w:r w:rsidRPr="002C4077">
        <w:t xml:space="preserve"> </w:t>
      </w:r>
      <w:r>
        <w:t>ils</w:t>
      </w:r>
      <w:r w:rsidRPr="002C4077">
        <w:t xml:space="preserve"> </w:t>
      </w:r>
      <w:r>
        <w:t>sont</w:t>
      </w:r>
      <w:r w:rsidRPr="002C4077">
        <w:t xml:space="preserve"> </w:t>
      </w:r>
      <w:r>
        <w:t>restés</w:t>
      </w:r>
      <w:r w:rsidRPr="002C4077">
        <w:t xml:space="preserve"> </w:t>
      </w:r>
      <w:r>
        <w:t>aveugles</w:t>
      </w:r>
      <w:r w:rsidRPr="002C4077">
        <w:t xml:space="preserve"> </w:t>
      </w:r>
      <w:r>
        <w:t>et</w:t>
      </w:r>
      <w:r w:rsidRPr="002C4077">
        <w:t xml:space="preserve"> </w:t>
      </w:r>
      <w:r w:rsidR="0080420C">
        <w:t>boiteux</w:t>
      </w:r>
      <w:r w:rsidR="00B546AF">
        <w:t> »</w:t>
      </w:r>
      <w:r>
        <w:t>.</w:t>
      </w:r>
      <w:r w:rsidRPr="002C4077">
        <w:t xml:space="preserve"> </w:t>
      </w:r>
    </w:p>
    <w:p w:rsidR="000A7AAB" w:rsidRDefault="000A7AAB" w:rsidP="000A7AAB">
      <w:r>
        <w:t>Qui</w:t>
      </w:r>
      <w:r w:rsidRPr="002C4077">
        <w:t xml:space="preserve"> </w:t>
      </w:r>
      <w:r>
        <w:t>fait</w:t>
      </w:r>
      <w:r w:rsidRPr="002C4077">
        <w:t xml:space="preserve"> </w:t>
      </w:r>
      <w:r>
        <w:t>ainsi</w:t>
      </w:r>
      <w:r w:rsidRPr="002C4077">
        <w:t xml:space="preserve"> </w:t>
      </w:r>
      <w:r>
        <w:t>le</w:t>
      </w:r>
      <w:r w:rsidRPr="002C4077">
        <w:t xml:space="preserve"> </w:t>
      </w:r>
      <w:r>
        <w:t>bel</w:t>
      </w:r>
      <w:r w:rsidRPr="002C4077">
        <w:t xml:space="preserve"> </w:t>
      </w:r>
      <w:r>
        <w:t>esprit</w:t>
      </w:r>
      <w:r w:rsidR="00B546AF">
        <w:t> ?</w:t>
      </w:r>
      <w:r w:rsidRPr="002C4077">
        <w:t xml:space="preserve"> </w:t>
      </w:r>
      <w:r>
        <w:t>Ges</w:t>
      </w:r>
      <w:r w:rsidR="003B53FD">
        <w:t>énius</w:t>
      </w:r>
      <w:r w:rsidR="00B91AF7">
        <w:rPr>
          <w:rStyle w:val="Appelnotedebasdep"/>
        </w:rPr>
        <w:footnoteReference w:id="188"/>
      </w:r>
      <w:r>
        <w:t>,</w:t>
      </w:r>
      <w:r w:rsidRPr="002C4077">
        <w:t xml:space="preserve"> </w:t>
      </w:r>
      <w:r>
        <w:t>et</w:t>
      </w:r>
      <w:r w:rsidRPr="002C4077">
        <w:t xml:space="preserve"> </w:t>
      </w:r>
      <w:r>
        <w:t>son</w:t>
      </w:r>
      <w:r w:rsidRPr="002C4077">
        <w:t xml:space="preserve"> </w:t>
      </w:r>
      <w:r>
        <w:t>raisonnement</w:t>
      </w:r>
      <w:r w:rsidRPr="002C4077">
        <w:t xml:space="preserve"> </w:t>
      </w:r>
      <w:r>
        <w:t>a</w:t>
      </w:r>
      <w:r w:rsidRPr="002C4077">
        <w:t xml:space="preserve"> </w:t>
      </w:r>
      <w:r>
        <w:t>paru</w:t>
      </w:r>
      <w:r w:rsidRPr="002C4077">
        <w:t xml:space="preserve"> </w:t>
      </w:r>
      <w:r>
        <w:t>si</w:t>
      </w:r>
      <w:r w:rsidRPr="002C4077">
        <w:t xml:space="preserve"> </w:t>
      </w:r>
      <w:r>
        <w:t>admirable,</w:t>
      </w:r>
      <w:r w:rsidRPr="002C4077">
        <w:t xml:space="preserve"> </w:t>
      </w:r>
      <w:r>
        <w:t>que</w:t>
      </w:r>
      <w:r w:rsidRPr="002C4077">
        <w:t xml:space="preserve"> </w:t>
      </w:r>
      <w:r>
        <w:t>trois</w:t>
      </w:r>
      <w:r w:rsidRPr="002C4077">
        <w:t xml:space="preserve"> </w:t>
      </w:r>
      <w:r>
        <w:t>ou</w:t>
      </w:r>
      <w:r w:rsidRPr="002C4077">
        <w:t xml:space="preserve"> </w:t>
      </w:r>
      <w:r>
        <w:t>quatre</w:t>
      </w:r>
      <w:r w:rsidRPr="002C4077">
        <w:t xml:space="preserve"> </w:t>
      </w:r>
      <w:r>
        <w:t>autres</w:t>
      </w:r>
      <w:r w:rsidRPr="002C4077">
        <w:t xml:space="preserve"> </w:t>
      </w:r>
      <w:r>
        <w:t>incrédules</w:t>
      </w:r>
      <w:r w:rsidRPr="002C4077">
        <w:t xml:space="preserve"> </w:t>
      </w:r>
      <w:r>
        <w:t>le</w:t>
      </w:r>
      <w:r w:rsidRPr="002C4077">
        <w:t xml:space="preserve"> </w:t>
      </w:r>
      <w:r>
        <w:t>répètent</w:t>
      </w:r>
      <w:r w:rsidRPr="002C4077">
        <w:t xml:space="preserve"> </w:t>
      </w:r>
      <w:r>
        <w:t>identiquement</w:t>
      </w:r>
      <w:r w:rsidRPr="002C4077">
        <w:t xml:space="preserve"> </w:t>
      </w:r>
      <w:r>
        <w:t>après</w:t>
      </w:r>
      <w:r w:rsidRPr="002C4077">
        <w:t xml:space="preserve"> </w:t>
      </w:r>
      <w:r>
        <w:t>lui</w:t>
      </w:r>
      <w:r w:rsidR="00B91AF7">
        <w:rPr>
          <w:rStyle w:val="Appelnotedebasdep"/>
        </w:rPr>
        <w:footnoteReference w:id="189"/>
      </w:r>
      <w:r>
        <w:t>.</w:t>
      </w:r>
      <w:r w:rsidRPr="002C4077">
        <w:t xml:space="preserve"> </w:t>
      </w:r>
      <w:r>
        <w:t>En</w:t>
      </w:r>
      <w:r w:rsidRPr="002C4077">
        <w:t xml:space="preserve"> </w:t>
      </w:r>
      <w:r>
        <w:t>vérité,</w:t>
      </w:r>
      <w:r w:rsidRPr="002C4077">
        <w:t xml:space="preserve"> </w:t>
      </w:r>
      <w:r>
        <w:t>qu’espère-t-on</w:t>
      </w:r>
      <w:r w:rsidRPr="002C4077">
        <w:t xml:space="preserve"> </w:t>
      </w:r>
      <w:r>
        <w:t>gagner</w:t>
      </w:r>
      <w:r w:rsidRPr="002C4077">
        <w:t xml:space="preserve"> </w:t>
      </w:r>
      <w:r>
        <w:t>en</w:t>
      </w:r>
      <w:r w:rsidRPr="002C4077">
        <w:t xml:space="preserve"> </w:t>
      </w:r>
      <w:r>
        <w:t>faisant</w:t>
      </w:r>
      <w:r w:rsidRPr="002C4077">
        <w:t xml:space="preserve"> </w:t>
      </w:r>
      <w:r>
        <w:t>des</w:t>
      </w:r>
      <w:r w:rsidRPr="002C4077">
        <w:t xml:space="preserve"> </w:t>
      </w:r>
      <w:r>
        <w:t>concessions</w:t>
      </w:r>
      <w:r w:rsidRPr="002C4077">
        <w:t xml:space="preserve"> </w:t>
      </w:r>
      <w:r>
        <w:t>à</w:t>
      </w:r>
      <w:r w:rsidRPr="002C4077">
        <w:t xml:space="preserve"> </w:t>
      </w:r>
      <w:r>
        <w:t>des</w:t>
      </w:r>
      <w:r w:rsidRPr="002C4077">
        <w:t xml:space="preserve"> </w:t>
      </w:r>
      <w:r>
        <w:t>hommes</w:t>
      </w:r>
      <w:r w:rsidRPr="002C4077">
        <w:t xml:space="preserve"> </w:t>
      </w:r>
      <w:r>
        <w:t>dont</w:t>
      </w:r>
      <w:r w:rsidRPr="002C4077">
        <w:t xml:space="preserve"> </w:t>
      </w:r>
      <w:r w:rsidRPr="000A34B5">
        <w:rPr>
          <w:rStyle w:val="italicus"/>
        </w:rPr>
        <w:t>le</w:t>
      </w:r>
      <w:r w:rsidRPr="002C4077">
        <w:t xml:space="preserve"> </w:t>
      </w:r>
      <w:r w:rsidRPr="000A34B5">
        <w:rPr>
          <w:rStyle w:val="italicus"/>
        </w:rPr>
        <w:t>siège</w:t>
      </w:r>
      <w:r w:rsidRPr="002C4077">
        <w:t xml:space="preserve"> </w:t>
      </w:r>
      <w:r w:rsidR="00425C50">
        <w:rPr>
          <w:rStyle w:val="italicus"/>
        </w:rPr>
        <w:t>est</w:t>
      </w:r>
      <w:r w:rsidRPr="002C4077">
        <w:t xml:space="preserve"> </w:t>
      </w:r>
      <w:r w:rsidRPr="000A34B5">
        <w:rPr>
          <w:rStyle w:val="italicus"/>
        </w:rPr>
        <w:t>fait</w:t>
      </w:r>
      <w:r w:rsidRPr="002C4077">
        <w:t xml:space="preserve"> </w:t>
      </w:r>
      <w:r>
        <w:t>d’une</w:t>
      </w:r>
      <w:r w:rsidRPr="002C4077">
        <w:t xml:space="preserve"> </w:t>
      </w:r>
      <w:r>
        <w:t>manière</w:t>
      </w:r>
      <w:r w:rsidRPr="002C4077">
        <w:t xml:space="preserve"> </w:t>
      </w:r>
      <w:r>
        <w:t>irrévocable</w:t>
      </w:r>
      <w:r w:rsidR="00B546AF">
        <w:t> ?</w:t>
      </w:r>
      <w:r w:rsidRPr="002C4077">
        <w:t xml:space="preserve"> </w:t>
      </w:r>
      <w:r>
        <w:t>Sans</w:t>
      </w:r>
      <w:r w:rsidRPr="002C4077">
        <w:t xml:space="preserve"> </w:t>
      </w:r>
      <w:r>
        <w:t>compter,</w:t>
      </w:r>
      <w:r w:rsidRPr="002C4077">
        <w:t xml:space="preserve"> </w:t>
      </w:r>
      <w:r>
        <w:t>avons-nous</w:t>
      </w:r>
      <w:r w:rsidRPr="002C4077">
        <w:t xml:space="preserve"> </w:t>
      </w:r>
      <w:r>
        <w:t>dit</w:t>
      </w:r>
      <w:r w:rsidRPr="002C4077">
        <w:t xml:space="preserve"> </w:t>
      </w:r>
      <w:r>
        <w:t>encore,</w:t>
      </w:r>
      <w:r w:rsidRPr="002C4077">
        <w:t xml:space="preserve"> </w:t>
      </w:r>
      <w:r>
        <w:t>qu’ici</w:t>
      </w:r>
      <w:r w:rsidRPr="002C4077">
        <w:t xml:space="preserve"> </w:t>
      </w:r>
      <w:r>
        <w:t>la</w:t>
      </w:r>
      <w:r w:rsidRPr="002C4077">
        <w:t xml:space="preserve"> </w:t>
      </w:r>
      <w:r>
        <w:t>concession</w:t>
      </w:r>
      <w:r w:rsidRPr="002C4077">
        <w:t xml:space="preserve"> </w:t>
      </w:r>
      <w:r>
        <w:t>n’est</w:t>
      </w:r>
      <w:r w:rsidRPr="002C4077">
        <w:t xml:space="preserve"> </w:t>
      </w:r>
      <w:r>
        <w:t>pas</w:t>
      </w:r>
      <w:r w:rsidRPr="002C4077">
        <w:t xml:space="preserve"> </w:t>
      </w:r>
      <w:r>
        <w:t>possible,</w:t>
      </w:r>
      <w:r w:rsidRPr="002C4077">
        <w:t xml:space="preserve"> </w:t>
      </w:r>
      <w:r>
        <w:t>parce</w:t>
      </w:r>
      <w:r w:rsidRPr="002C4077">
        <w:t xml:space="preserve"> </w:t>
      </w:r>
      <w:r>
        <w:t>que</w:t>
      </w:r>
      <w:r w:rsidRPr="002C4077">
        <w:t xml:space="preserve"> </w:t>
      </w:r>
      <w:r>
        <w:t>rien</w:t>
      </w:r>
      <w:r w:rsidRPr="002C4077">
        <w:t xml:space="preserve"> </w:t>
      </w:r>
      <w:r>
        <w:t>ne</w:t>
      </w:r>
      <w:r w:rsidRPr="002C4077">
        <w:t xml:space="preserve"> </w:t>
      </w:r>
      <w:r>
        <w:t>saurait</w:t>
      </w:r>
      <w:r w:rsidRPr="002C4077">
        <w:t xml:space="preserve"> </w:t>
      </w:r>
      <w:r>
        <w:t>l’autoriser.</w:t>
      </w:r>
      <w:r w:rsidRPr="002C4077">
        <w:t xml:space="preserve"> </w:t>
      </w:r>
    </w:p>
    <w:p w:rsidR="000A7AAB" w:rsidRDefault="000A7AAB" w:rsidP="000A7AAB">
      <w:r>
        <w:lastRenderedPageBreak/>
        <w:t>Laissons</w:t>
      </w:r>
      <w:r w:rsidRPr="002C4077">
        <w:t xml:space="preserve"> </w:t>
      </w:r>
      <w:r>
        <w:t>la</w:t>
      </w:r>
      <w:r w:rsidRPr="002C4077">
        <w:t xml:space="preserve"> </w:t>
      </w:r>
      <w:r>
        <w:t>parole</w:t>
      </w:r>
      <w:r w:rsidRPr="002C4077">
        <w:t xml:space="preserve"> </w:t>
      </w:r>
      <w:r>
        <w:t>à</w:t>
      </w:r>
      <w:r w:rsidRPr="002C4077">
        <w:t xml:space="preserve"> </w:t>
      </w:r>
      <w:r>
        <w:t>M.</w:t>
      </w:r>
      <w:r w:rsidRPr="002C4077">
        <w:t xml:space="preserve"> </w:t>
      </w:r>
      <w:r>
        <w:t>Le</w:t>
      </w:r>
      <w:r w:rsidRPr="002C4077">
        <w:t xml:space="preserve"> </w:t>
      </w:r>
      <w:r>
        <w:t>Hir</w:t>
      </w:r>
      <w:bookmarkStart w:id="213" w:name="z_LeHir_o2"/>
      <w:bookmarkEnd w:id="213"/>
      <w:r>
        <w:t>,</w:t>
      </w:r>
      <w:r w:rsidRPr="002C4077">
        <w:t xml:space="preserve"> </w:t>
      </w:r>
      <w:r>
        <w:t>et,</w:t>
      </w:r>
      <w:r w:rsidRPr="002C4077">
        <w:t xml:space="preserve"> </w:t>
      </w:r>
      <w:r>
        <w:t>à</w:t>
      </w:r>
      <w:r w:rsidRPr="002C4077">
        <w:t xml:space="preserve"> </w:t>
      </w:r>
      <w:r>
        <w:t>un</w:t>
      </w:r>
      <w:r w:rsidRPr="002C4077">
        <w:t xml:space="preserve"> </w:t>
      </w:r>
      <w:r>
        <w:t>grand</w:t>
      </w:r>
      <w:r w:rsidRPr="002C4077">
        <w:t xml:space="preserve"> </w:t>
      </w:r>
      <w:r>
        <w:t>philologue,</w:t>
      </w:r>
      <w:r w:rsidRPr="002C4077">
        <w:t xml:space="preserve"> </w:t>
      </w:r>
      <w:r>
        <w:t>—</w:t>
      </w:r>
      <w:r w:rsidRPr="002C4077">
        <w:t xml:space="preserve"> </w:t>
      </w:r>
      <w:r>
        <w:t>car</w:t>
      </w:r>
      <w:r w:rsidRPr="002C4077">
        <w:t xml:space="preserve"> </w:t>
      </w:r>
      <w:r>
        <w:t>nous</w:t>
      </w:r>
      <w:r w:rsidRPr="002C4077">
        <w:t xml:space="preserve"> </w:t>
      </w:r>
      <w:r>
        <w:t>ne</w:t>
      </w:r>
      <w:r w:rsidRPr="002C4077">
        <w:t xml:space="preserve"> </w:t>
      </w:r>
      <w:r>
        <w:t>prétendons</w:t>
      </w:r>
      <w:r w:rsidRPr="002C4077">
        <w:t xml:space="preserve"> </w:t>
      </w:r>
      <w:r>
        <w:t>pas</w:t>
      </w:r>
      <w:r w:rsidRPr="002C4077">
        <w:t xml:space="preserve"> </w:t>
      </w:r>
      <w:r>
        <w:t>enlever</w:t>
      </w:r>
      <w:r w:rsidRPr="002C4077">
        <w:t xml:space="preserve"> </w:t>
      </w:r>
      <w:r>
        <w:t>ce</w:t>
      </w:r>
      <w:r w:rsidRPr="002C4077">
        <w:t xml:space="preserve"> </w:t>
      </w:r>
      <w:r>
        <w:t>titre</w:t>
      </w:r>
      <w:r w:rsidRPr="002C4077">
        <w:t xml:space="preserve"> </w:t>
      </w:r>
      <w:r>
        <w:t>à</w:t>
      </w:r>
      <w:r w:rsidRPr="002C4077">
        <w:t xml:space="preserve"> </w:t>
      </w:r>
      <w:r>
        <w:t>Ges</w:t>
      </w:r>
      <w:r w:rsidR="003B53FD">
        <w:t>énius</w:t>
      </w:r>
      <w:r w:rsidRPr="002C4077">
        <w:t xml:space="preserve"> </w:t>
      </w:r>
      <w:r>
        <w:t>malgré</w:t>
      </w:r>
      <w:r w:rsidRPr="002C4077">
        <w:t xml:space="preserve"> </w:t>
      </w:r>
      <w:r>
        <w:t>ses</w:t>
      </w:r>
      <w:r w:rsidRPr="002C4077">
        <w:t xml:space="preserve"> </w:t>
      </w:r>
      <w:r>
        <w:t>faiblesses,</w:t>
      </w:r>
      <w:r w:rsidRPr="002C4077">
        <w:t xml:space="preserve"> </w:t>
      </w:r>
      <w:r>
        <w:t>—</w:t>
      </w:r>
      <w:r w:rsidRPr="002C4077">
        <w:t xml:space="preserve"> </w:t>
      </w:r>
      <w:r>
        <w:t>opposons</w:t>
      </w:r>
      <w:r w:rsidRPr="002C4077">
        <w:t xml:space="preserve"> </w:t>
      </w:r>
      <w:r>
        <w:t>un</w:t>
      </w:r>
      <w:r w:rsidRPr="002C4077">
        <w:t xml:space="preserve"> </w:t>
      </w:r>
      <w:r>
        <w:t>autre</w:t>
      </w:r>
      <w:r w:rsidRPr="002C4077">
        <w:t xml:space="preserve"> </w:t>
      </w:r>
      <w:r>
        <w:t>grand</w:t>
      </w:r>
      <w:r w:rsidRPr="002C4077">
        <w:t xml:space="preserve"> </w:t>
      </w:r>
      <w:r>
        <w:t>philologue.</w:t>
      </w:r>
      <w:r w:rsidRPr="002C4077">
        <w:t xml:space="preserve"> </w:t>
      </w:r>
      <w:r w:rsidR="00B546AF">
        <w:t>« </w:t>
      </w:r>
      <w:r>
        <w:t>Schultens</w:t>
      </w:r>
      <w:r w:rsidRPr="002C4077">
        <w:t xml:space="preserve"> </w:t>
      </w:r>
      <w:r>
        <w:t>avait</w:t>
      </w:r>
      <w:r w:rsidRPr="002C4077">
        <w:t xml:space="preserve"> </w:t>
      </w:r>
      <w:r>
        <w:t>déjà</w:t>
      </w:r>
      <w:r w:rsidRPr="002C4077">
        <w:t xml:space="preserve"> </w:t>
      </w:r>
      <w:r>
        <w:t>remarqué</w:t>
      </w:r>
      <w:r w:rsidRPr="002C4077">
        <w:t xml:space="preserve"> </w:t>
      </w:r>
      <w:r>
        <w:t>que</w:t>
      </w:r>
      <w:r w:rsidRPr="002C4077">
        <w:t xml:space="preserve"> </w:t>
      </w:r>
      <w:r>
        <w:t>le</w:t>
      </w:r>
      <w:r w:rsidRPr="002C4077">
        <w:t xml:space="preserve"> </w:t>
      </w:r>
      <w:r>
        <w:t>sens</w:t>
      </w:r>
      <w:r w:rsidRPr="002C4077">
        <w:t xml:space="preserve"> </w:t>
      </w:r>
      <w:r>
        <w:t>qu’on</w:t>
      </w:r>
      <w:r w:rsidRPr="002C4077">
        <w:t xml:space="preserve"> </w:t>
      </w:r>
      <w:r>
        <w:t>donne</w:t>
      </w:r>
      <w:r w:rsidRPr="002C4077">
        <w:t xml:space="preserve"> </w:t>
      </w:r>
      <w:r>
        <w:t>au</w:t>
      </w:r>
      <w:r w:rsidRPr="002C4077">
        <w:t xml:space="preserve"> </w:t>
      </w:r>
      <w:r>
        <w:t>verbe</w:t>
      </w:r>
      <w:r w:rsidRPr="002C4077">
        <w:t xml:space="preserve"> </w:t>
      </w:r>
      <w:r>
        <w:t>arabe</w:t>
      </w:r>
      <w:r w:rsidRPr="002C4077">
        <w:t xml:space="preserve"> </w:t>
      </w:r>
      <w:r w:rsidR="0055004A">
        <w:rPr>
          <w:rStyle w:val="italicus"/>
        </w:rPr>
        <w:t>῾</w:t>
      </w:r>
      <w:r w:rsidRPr="000A34B5">
        <w:rPr>
          <w:rStyle w:val="italicus"/>
        </w:rPr>
        <w:t>alimah</w:t>
      </w:r>
      <w:r w:rsidRPr="002C4077">
        <w:t xml:space="preserve"> </w:t>
      </w:r>
      <w:r>
        <w:t>ne</w:t>
      </w:r>
      <w:r w:rsidRPr="002C4077">
        <w:t xml:space="preserve"> </w:t>
      </w:r>
      <w:r>
        <w:t>peut</w:t>
      </w:r>
      <w:r w:rsidRPr="002C4077">
        <w:t xml:space="preserve"> </w:t>
      </w:r>
      <w:r>
        <w:t>être</w:t>
      </w:r>
      <w:r w:rsidRPr="002C4077">
        <w:t xml:space="preserve"> </w:t>
      </w:r>
      <w:r>
        <w:t>qu’une</w:t>
      </w:r>
      <w:r w:rsidRPr="002C4077">
        <w:t xml:space="preserve"> </w:t>
      </w:r>
      <w:r>
        <w:t>signification</w:t>
      </w:r>
      <w:r w:rsidRPr="002C4077">
        <w:t xml:space="preserve"> </w:t>
      </w:r>
      <w:r>
        <w:t>dérivée.</w:t>
      </w:r>
      <w:r w:rsidRPr="002C4077">
        <w:t xml:space="preserve"> </w:t>
      </w:r>
      <w:r>
        <w:t>Ges</w:t>
      </w:r>
      <w:r w:rsidR="003B53FD">
        <w:t>énius</w:t>
      </w:r>
      <w:r w:rsidRPr="002C4077">
        <w:t xml:space="preserve"> </w:t>
      </w:r>
      <w:r>
        <w:t>lui</w:t>
      </w:r>
      <w:r w:rsidRPr="002C4077">
        <w:t xml:space="preserve"> </w:t>
      </w:r>
      <w:r>
        <w:t>reproche</w:t>
      </w:r>
      <w:r w:rsidRPr="002C4077">
        <w:t xml:space="preserve"> </w:t>
      </w:r>
      <w:r>
        <w:t>de</w:t>
      </w:r>
      <w:r w:rsidRPr="002C4077">
        <w:t xml:space="preserve"> </w:t>
      </w:r>
      <w:r>
        <w:t>l’avoir</w:t>
      </w:r>
      <w:r w:rsidRPr="002C4077">
        <w:t xml:space="preserve"> </w:t>
      </w:r>
      <w:r>
        <w:t>soutenu</w:t>
      </w:r>
      <w:r w:rsidRPr="002C4077">
        <w:t xml:space="preserve"> </w:t>
      </w:r>
      <w:r>
        <w:t>sans</w:t>
      </w:r>
      <w:r w:rsidRPr="002C4077">
        <w:t xml:space="preserve"> </w:t>
      </w:r>
      <w:r>
        <w:t>preuve.</w:t>
      </w:r>
      <w:r w:rsidRPr="002C4077">
        <w:t xml:space="preserve"> </w:t>
      </w:r>
      <w:r>
        <w:t>Mais</w:t>
      </w:r>
      <w:r w:rsidRPr="002C4077">
        <w:t xml:space="preserve"> </w:t>
      </w:r>
      <w:r>
        <w:t>la</w:t>
      </w:r>
      <w:r w:rsidRPr="002C4077">
        <w:t xml:space="preserve"> </w:t>
      </w:r>
      <w:r>
        <w:t>preuve</w:t>
      </w:r>
      <w:r w:rsidRPr="002C4077">
        <w:t xml:space="preserve"> </w:t>
      </w:r>
      <w:r w:rsidR="00425C50">
        <w:t>est</w:t>
      </w:r>
      <w:r w:rsidRPr="002C4077">
        <w:t xml:space="preserve"> </w:t>
      </w:r>
      <w:r>
        <w:t>toute</w:t>
      </w:r>
      <w:r w:rsidRPr="002C4077">
        <w:t xml:space="preserve"> </w:t>
      </w:r>
      <w:r>
        <w:t>trouvée</w:t>
      </w:r>
      <w:r w:rsidRPr="002C4077">
        <w:t xml:space="preserve"> </w:t>
      </w:r>
      <w:r>
        <w:t>d’elle-même.</w:t>
      </w:r>
      <w:r w:rsidRPr="002C4077">
        <w:t xml:space="preserve"> </w:t>
      </w:r>
      <w:r>
        <w:t>Si</w:t>
      </w:r>
      <w:r w:rsidRPr="002C4077">
        <w:t xml:space="preserve"> </w:t>
      </w:r>
      <w:r>
        <w:t>le</w:t>
      </w:r>
      <w:r w:rsidRPr="002C4077">
        <w:t xml:space="preserve"> </w:t>
      </w:r>
      <w:r>
        <w:t>mot</w:t>
      </w:r>
      <w:r w:rsidRPr="002C4077">
        <w:t xml:space="preserve"> </w:t>
      </w:r>
      <w:r>
        <w:t>arabe</w:t>
      </w:r>
      <w:r w:rsidRPr="002C4077">
        <w:t xml:space="preserve"> </w:t>
      </w:r>
      <w:r>
        <w:t>désignait</w:t>
      </w:r>
      <w:r w:rsidRPr="002C4077">
        <w:t xml:space="preserve"> </w:t>
      </w:r>
      <w:r>
        <w:t>primitivement</w:t>
      </w:r>
      <w:r w:rsidRPr="002C4077">
        <w:t xml:space="preserve"> </w:t>
      </w:r>
      <w:r>
        <w:t>les</w:t>
      </w:r>
      <w:r w:rsidRPr="002C4077">
        <w:t xml:space="preserve"> </w:t>
      </w:r>
      <w:r>
        <w:t>impressions</w:t>
      </w:r>
      <w:r w:rsidRPr="002C4077">
        <w:t xml:space="preserve"> </w:t>
      </w:r>
      <w:r>
        <w:t>de</w:t>
      </w:r>
      <w:r w:rsidRPr="002C4077">
        <w:t xml:space="preserve"> </w:t>
      </w:r>
      <w:r>
        <w:t>l’âge</w:t>
      </w:r>
      <w:r w:rsidRPr="002C4077">
        <w:t xml:space="preserve"> </w:t>
      </w:r>
      <w:r>
        <w:t>nubile</w:t>
      </w:r>
      <w:r w:rsidRPr="002C4077">
        <w:t xml:space="preserve"> </w:t>
      </w:r>
      <w:r>
        <w:t>et</w:t>
      </w:r>
      <w:r w:rsidRPr="002C4077">
        <w:t xml:space="preserve"> </w:t>
      </w:r>
      <w:r>
        <w:t>le</w:t>
      </w:r>
      <w:r w:rsidRPr="002C4077">
        <w:t xml:space="preserve"> </w:t>
      </w:r>
      <w:r>
        <w:t>désir</w:t>
      </w:r>
      <w:r w:rsidRPr="002C4077">
        <w:t xml:space="preserve"> </w:t>
      </w:r>
      <w:r>
        <w:t>du</w:t>
      </w:r>
      <w:r w:rsidRPr="002C4077">
        <w:t xml:space="preserve"> </w:t>
      </w:r>
      <w:r>
        <w:t>mariage,</w:t>
      </w:r>
      <w:r w:rsidRPr="002C4077">
        <w:t xml:space="preserve"> </w:t>
      </w:r>
      <w:r>
        <w:t>il</w:t>
      </w:r>
      <w:r w:rsidRPr="002C4077">
        <w:t xml:space="preserve"> </w:t>
      </w:r>
      <w:r>
        <w:t>ne</w:t>
      </w:r>
      <w:r w:rsidRPr="002C4077">
        <w:t xml:space="preserve"> </w:t>
      </w:r>
      <w:r>
        <w:t>pourrait</w:t>
      </w:r>
      <w:r w:rsidRPr="002C4077">
        <w:t xml:space="preserve"> </w:t>
      </w:r>
      <w:r>
        <w:t>jamais</w:t>
      </w:r>
      <w:r w:rsidRPr="002C4077">
        <w:t xml:space="preserve"> </w:t>
      </w:r>
      <w:r>
        <w:t>sans</w:t>
      </w:r>
      <w:r w:rsidRPr="002C4077">
        <w:t xml:space="preserve"> </w:t>
      </w:r>
      <w:r>
        <w:t>contradiction</w:t>
      </w:r>
      <w:r w:rsidRPr="002C4077">
        <w:t xml:space="preserve"> </w:t>
      </w:r>
      <w:r>
        <w:t>s’appliquer</w:t>
      </w:r>
      <w:r w:rsidRPr="002C4077">
        <w:t xml:space="preserve"> </w:t>
      </w:r>
      <w:r>
        <w:t>à</w:t>
      </w:r>
      <w:r w:rsidRPr="002C4077">
        <w:t xml:space="preserve"> </w:t>
      </w:r>
      <w:r>
        <w:t>un</w:t>
      </w:r>
      <w:r w:rsidRPr="002C4077">
        <w:t xml:space="preserve"> </w:t>
      </w:r>
      <w:r>
        <w:t>enfant</w:t>
      </w:r>
      <w:r w:rsidRPr="002C4077">
        <w:t xml:space="preserve"> </w:t>
      </w:r>
      <w:r>
        <w:t>qui</w:t>
      </w:r>
      <w:r w:rsidRPr="002C4077">
        <w:t xml:space="preserve"> </w:t>
      </w:r>
      <w:r>
        <w:t>n’est</w:t>
      </w:r>
      <w:r w:rsidRPr="002C4077">
        <w:t xml:space="preserve"> </w:t>
      </w:r>
      <w:r>
        <w:t>pas</w:t>
      </w:r>
      <w:r w:rsidRPr="002C4077">
        <w:t xml:space="preserve"> </w:t>
      </w:r>
      <w:r>
        <w:t>en</w:t>
      </w:r>
      <w:r w:rsidRPr="002C4077">
        <w:t xml:space="preserve"> </w:t>
      </w:r>
      <w:r>
        <w:t>âge</w:t>
      </w:r>
      <w:r w:rsidRPr="002C4077">
        <w:t xml:space="preserve"> </w:t>
      </w:r>
      <w:r>
        <w:t>de</w:t>
      </w:r>
      <w:r w:rsidRPr="002C4077">
        <w:t xml:space="preserve"> </w:t>
      </w:r>
      <w:r>
        <w:t>puberté,</w:t>
      </w:r>
      <w:r w:rsidRPr="002C4077">
        <w:t xml:space="preserve"> </w:t>
      </w:r>
      <w:r>
        <w:t>ces</w:t>
      </w:r>
      <w:r w:rsidRPr="002C4077">
        <w:t xml:space="preserve"> </w:t>
      </w:r>
      <w:r>
        <w:t>deux</w:t>
      </w:r>
      <w:r w:rsidRPr="002C4077">
        <w:t xml:space="preserve"> </w:t>
      </w:r>
      <w:r>
        <w:t>idées,</w:t>
      </w:r>
      <w:r w:rsidRPr="002C4077">
        <w:t xml:space="preserve"> </w:t>
      </w:r>
      <w:r w:rsidRPr="000A34B5">
        <w:rPr>
          <w:rStyle w:val="italicus"/>
        </w:rPr>
        <w:t>nubile</w:t>
      </w:r>
      <w:r w:rsidRPr="002C4077">
        <w:t xml:space="preserve"> </w:t>
      </w:r>
      <w:r>
        <w:t>et</w:t>
      </w:r>
      <w:r w:rsidRPr="002C4077">
        <w:t xml:space="preserve"> </w:t>
      </w:r>
      <w:r w:rsidRPr="000A34B5">
        <w:rPr>
          <w:rStyle w:val="italicus"/>
        </w:rPr>
        <w:t>non</w:t>
      </w:r>
      <w:r w:rsidRPr="002C4077">
        <w:t xml:space="preserve"> </w:t>
      </w:r>
      <w:r w:rsidRPr="000A34B5">
        <w:rPr>
          <w:rStyle w:val="italicus"/>
        </w:rPr>
        <w:t>nubile,</w:t>
      </w:r>
      <w:r w:rsidRPr="002C4077">
        <w:t xml:space="preserve"> </w:t>
      </w:r>
      <w:r>
        <w:t>étant</w:t>
      </w:r>
      <w:r w:rsidRPr="002C4077">
        <w:t xml:space="preserve"> </w:t>
      </w:r>
      <w:r>
        <w:t>aussi</w:t>
      </w:r>
      <w:r w:rsidRPr="002C4077">
        <w:t xml:space="preserve"> </w:t>
      </w:r>
      <w:r>
        <w:t>contradictoires</w:t>
      </w:r>
      <w:r w:rsidRPr="002C4077">
        <w:t xml:space="preserve"> </w:t>
      </w:r>
      <w:r>
        <w:t>que</w:t>
      </w:r>
      <w:r w:rsidRPr="002C4077">
        <w:t xml:space="preserve"> </w:t>
      </w:r>
      <w:r>
        <w:t>celles</w:t>
      </w:r>
      <w:r w:rsidRPr="002C4077">
        <w:t xml:space="preserve"> </w:t>
      </w:r>
      <w:r>
        <w:t>de</w:t>
      </w:r>
      <w:r w:rsidRPr="002C4077">
        <w:t xml:space="preserve"> </w:t>
      </w:r>
      <w:r w:rsidRPr="000A34B5">
        <w:rPr>
          <w:rStyle w:val="italicus"/>
        </w:rPr>
        <w:t>jeune</w:t>
      </w:r>
      <w:r w:rsidRPr="002C4077">
        <w:t xml:space="preserve"> </w:t>
      </w:r>
      <w:r>
        <w:t>et</w:t>
      </w:r>
      <w:r w:rsidRPr="002C4077">
        <w:t xml:space="preserve"> </w:t>
      </w:r>
      <w:r>
        <w:t>de</w:t>
      </w:r>
      <w:r w:rsidRPr="002C4077">
        <w:t xml:space="preserve"> </w:t>
      </w:r>
      <w:r w:rsidRPr="000A34B5">
        <w:rPr>
          <w:rStyle w:val="italicus"/>
        </w:rPr>
        <w:t>vieux.</w:t>
      </w:r>
      <w:r w:rsidR="00C45B47">
        <w:t xml:space="preserve"> {</w:t>
      </w:r>
      <w:r w:rsidR="000721C4">
        <w:t>66</w:t>
      </w:r>
      <w:bookmarkStart w:id="214" w:name="p066"/>
      <w:bookmarkEnd w:id="214"/>
      <w:r w:rsidR="000721C4">
        <w:t xml:space="preserve">} </w:t>
      </w:r>
      <w:r w:rsidR="0080420C">
        <w:t>Or,</w:t>
      </w:r>
      <w:r w:rsidR="0080420C" w:rsidRPr="002C4077">
        <w:t xml:space="preserve"> </w:t>
      </w:r>
      <w:r w:rsidR="0080420C">
        <w:t>le</w:t>
      </w:r>
      <w:r w:rsidR="0080420C" w:rsidRPr="002C4077">
        <w:t xml:space="preserve"> </w:t>
      </w:r>
      <w:r w:rsidR="0080420C">
        <w:t>fait</w:t>
      </w:r>
      <w:r w:rsidR="0080420C" w:rsidRPr="002C4077">
        <w:t xml:space="preserve"> </w:t>
      </w:r>
      <w:r w:rsidR="00425C50">
        <w:t>est</w:t>
      </w:r>
      <w:r w:rsidR="0080420C" w:rsidRPr="002C4077">
        <w:t xml:space="preserve"> </w:t>
      </w:r>
      <w:r w:rsidR="0080420C">
        <w:t>que,</w:t>
      </w:r>
      <w:r w:rsidR="0080420C" w:rsidRPr="002C4077">
        <w:t xml:space="preserve"> </w:t>
      </w:r>
      <w:r w:rsidR="0080420C">
        <w:t>chez</w:t>
      </w:r>
      <w:r w:rsidR="0080420C" w:rsidRPr="002C4077">
        <w:t xml:space="preserve"> </w:t>
      </w:r>
      <w:r w:rsidR="0080420C">
        <w:t>les</w:t>
      </w:r>
      <w:r w:rsidR="0080420C" w:rsidRPr="002C4077">
        <w:t xml:space="preserve"> </w:t>
      </w:r>
      <w:r w:rsidR="0080420C">
        <w:t>Arabes,</w:t>
      </w:r>
      <w:r w:rsidR="0080420C" w:rsidRPr="002C4077">
        <w:t xml:space="preserve"> </w:t>
      </w:r>
      <w:r w:rsidR="0080420C">
        <w:t>on</w:t>
      </w:r>
      <w:r w:rsidR="0080420C" w:rsidRPr="002C4077">
        <w:t xml:space="preserve"> </w:t>
      </w:r>
      <w:r w:rsidR="0080420C">
        <w:t>appelle</w:t>
      </w:r>
      <w:r w:rsidR="0080420C" w:rsidRPr="002C4077">
        <w:t xml:space="preserve"> </w:t>
      </w:r>
      <w:r w:rsidR="0080420C">
        <w:rPr>
          <w:rStyle w:val="italicus"/>
        </w:rPr>
        <w:t>῾oul</w:t>
      </w:r>
      <w:r w:rsidR="0080420C" w:rsidRPr="000A34B5">
        <w:rPr>
          <w:rStyle w:val="italicus"/>
        </w:rPr>
        <w:t>am</w:t>
      </w:r>
      <w:r w:rsidR="0080420C" w:rsidRPr="002C4077">
        <w:t xml:space="preserve"> </w:t>
      </w:r>
      <w:r w:rsidR="0080420C">
        <w:t>un</w:t>
      </w:r>
      <w:r w:rsidR="0080420C" w:rsidRPr="002C4077">
        <w:t xml:space="preserve"> </w:t>
      </w:r>
      <w:r w:rsidR="0080420C">
        <w:t>tout</w:t>
      </w:r>
      <w:r w:rsidR="0080420C" w:rsidRPr="002C4077">
        <w:t xml:space="preserve"> </w:t>
      </w:r>
      <w:r w:rsidR="0080420C">
        <w:t>jeune</w:t>
      </w:r>
      <w:r w:rsidR="0080420C" w:rsidRPr="002C4077">
        <w:t xml:space="preserve"> </w:t>
      </w:r>
      <w:r w:rsidR="0080420C">
        <w:t>enfant</w:t>
      </w:r>
      <w:r w:rsidR="0080420C" w:rsidRPr="002C4077">
        <w:t xml:space="preserve"> </w:t>
      </w:r>
      <w:r w:rsidR="0080420C">
        <w:t>depuis</w:t>
      </w:r>
      <w:r w:rsidR="0080420C" w:rsidRPr="002C4077">
        <w:t xml:space="preserve"> </w:t>
      </w:r>
      <w:r w:rsidR="0080420C">
        <w:t>le</w:t>
      </w:r>
      <w:r w:rsidR="0080420C" w:rsidRPr="002C4077">
        <w:t xml:space="preserve"> </w:t>
      </w:r>
      <w:r w:rsidR="0080420C">
        <w:t>moment</w:t>
      </w:r>
      <w:r w:rsidR="0080420C" w:rsidRPr="002C4077">
        <w:t xml:space="preserve"> </w:t>
      </w:r>
      <w:r w:rsidR="0080420C">
        <w:t>de</w:t>
      </w:r>
      <w:r w:rsidR="0080420C" w:rsidRPr="002C4077">
        <w:t xml:space="preserve"> </w:t>
      </w:r>
      <w:r w:rsidR="0080420C">
        <w:t>la</w:t>
      </w:r>
      <w:r w:rsidR="0080420C" w:rsidRPr="002C4077">
        <w:t xml:space="preserve"> </w:t>
      </w:r>
      <w:r w:rsidR="0080420C">
        <w:t>naissance</w:t>
      </w:r>
      <w:r w:rsidR="0080420C" w:rsidRPr="002C4077">
        <w:t xml:space="preserve"> </w:t>
      </w:r>
      <w:r w:rsidR="0080420C">
        <w:t>jusqu’à</w:t>
      </w:r>
      <w:r w:rsidR="0080420C" w:rsidRPr="002C4077">
        <w:t xml:space="preserve"> </w:t>
      </w:r>
      <w:r w:rsidR="0080420C">
        <w:t>la</w:t>
      </w:r>
      <w:r w:rsidR="0080420C" w:rsidRPr="002C4077">
        <w:t xml:space="preserve"> </w:t>
      </w:r>
      <w:r w:rsidR="0080420C">
        <w:t>puberté,</w:t>
      </w:r>
      <w:r w:rsidR="0080420C" w:rsidRPr="002C4077">
        <w:t xml:space="preserve"> </w:t>
      </w:r>
      <w:r w:rsidR="0080420C">
        <w:t>c’est-à-dire</w:t>
      </w:r>
      <w:r w:rsidR="0080420C" w:rsidRPr="002C4077">
        <w:t xml:space="preserve"> </w:t>
      </w:r>
      <w:r w:rsidR="0080420C">
        <w:t>jusqu’au</w:t>
      </w:r>
      <w:r w:rsidR="0080420C" w:rsidRPr="002C4077">
        <w:t xml:space="preserve"> </w:t>
      </w:r>
      <w:r w:rsidR="0080420C">
        <w:t>mariage :</w:t>
      </w:r>
      <w:r w:rsidR="0080420C" w:rsidRPr="002C4077">
        <w:t xml:space="preserve"> </w:t>
      </w:r>
      <w:r w:rsidR="0080420C" w:rsidRPr="000A34B5">
        <w:rPr>
          <w:rStyle w:val="italicus"/>
        </w:rPr>
        <w:t>Adoléscens</w:t>
      </w:r>
      <w:r w:rsidR="0080420C" w:rsidRPr="002C4077">
        <w:t xml:space="preserve"> </w:t>
      </w:r>
      <w:r w:rsidR="0080420C" w:rsidRPr="000A34B5">
        <w:rPr>
          <w:rStyle w:val="italicus"/>
        </w:rPr>
        <w:t>a</w:t>
      </w:r>
      <w:r w:rsidR="0080420C" w:rsidRPr="002C4077">
        <w:t xml:space="preserve"> </w:t>
      </w:r>
      <w:r w:rsidR="0080420C" w:rsidRPr="000A34B5">
        <w:rPr>
          <w:rStyle w:val="italicus"/>
        </w:rPr>
        <w:t>nativátem</w:t>
      </w:r>
      <w:r w:rsidR="0080420C" w:rsidRPr="002C4077">
        <w:t xml:space="preserve"> </w:t>
      </w:r>
      <w:r w:rsidR="0080420C" w:rsidRPr="000A34B5">
        <w:rPr>
          <w:rStyle w:val="italicus"/>
        </w:rPr>
        <w:t>ad</w:t>
      </w:r>
      <w:r w:rsidR="0080420C" w:rsidRPr="002C4077">
        <w:t xml:space="preserve"> </w:t>
      </w:r>
      <w:r w:rsidR="0080420C" w:rsidRPr="000A34B5">
        <w:rPr>
          <w:rStyle w:val="italicus"/>
        </w:rPr>
        <w:t>juventútem,</w:t>
      </w:r>
      <w:r w:rsidR="0080420C" w:rsidRPr="002C4077">
        <w:t xml:space="preserve"> </w:t>
      </w:r>
      <w:r w:rsidR="0080420C">
        <w:t>dit</w:t>
      </w:r>
      <w:r w:rsidR="0080420C" w:rsidRPr="002C4077">
        <w:t xml:space="preserve"> </w:t>
      </w:r>
      <w:r w:rsidR="0080420C">
        <w:t>Golius,</w:t>
      </w:r>
      <w:r w:rsidR="0080420C" w:rsidRPr="002C4077">
        <w:t xml:space="preserve"> </w:t>
      </w:r>
      <w:r w:rsidR="0080420C" w:rsidRPr="000A34B5">
        <w:rPr>
          <w:rStyle w:val="italicus"/>
        </w:rPr>
        <w:t>et</w:t>
      </w:r>
      <w:r w:rsidR="0080420C" w:rsidRPr="002C4077">
        <w:t xml:space="preserve"> </w:t>
      </w:r>
      <w:r w:rsidR="0080420C" w:rsidRPr="000A34B5">
        <w:rPr>
          <w:rStyle w:val="italicus"/>
        </w:rPr>
        <w:t>júvenis</w:t>
      </w:r>
      <w:r w:rsidR="0080420C" w:rsidRPr="002C4077">
        <w:t xml:space="preserve"> </w:t>
      </w:r>
      <w:r w:rsidR="0080420C">
        <w:rPr>
          <w:rStyle w:val="italicus"/>
        </w:rPr>
        <w:t>plenæ</w:t>
      </w:r>
      <w:r w:rsidR="0080420C" w:rsidRPr="002C4077">
        <w:t xml:space="preserve"> </w:t>
      </w:r>
      <w:r w:rsidR="0080420C" w:rsidRPr="000A34B5">
        <w:rPr>
          <w:rStyle w:val="italicus"/>
        </w:rPr>
        <w:t>æt</w:t>
      </w:r>
      <w:r w:rsidR="0080420C">
        <w:rPr>
          <w:rStyle w:val="italicus"/>
        </w:rPr>
        <w:t>á</w:t>
      </w:r>
      <w:r w:rsidR="0080420C" w:rsidRPr="000A34B5">
        <w:rPr>
          <w:rStyle w:val="italicus"/>
        </w:rPr>
        <w:t>tis</w:t>
      </w:r>
      <w:r w:rsidR="0080420C" w:rsidRPr="002C4077">
        <w:t xml:space="preserve"> </w:t>
      </w:r>
      <w:r w:rsidR="0080420C" w:rsidRPr="000A34B5">
        <w:rPr>
          <w:rStyle w:val="italicus"/>
        </w:rPr>
        <w:t>ita</w:t>
      </w:r>
      <w:r w:rsidR="0080420C" w:rsidRPr="002C4077">
        <w:t xml:space="preserve"> </w:t>
      </w:r>
      <w:r w:rsidR="0080420C" w:rsidRPr="000A34B5">
        <w:rPr>
          <w:rStyle w:val="italicus"/>
        </w:rPr>
        <w:t>ut</w:t>
      </w:r>
      <w:r w:rsidR="0080420C" w:rsidRPr="002C4077">
        <w:t xml:space="preserve"> </w:t>
      </w:r>
      <w:r w:rsidR="0080420C" w:rsidRPr="000A34B5">
        <w:rPr>
          <w:rStyle w:val="italicus"/>
        </w:rPr>
        <w:t>barba</w:t>
      </w:r>
      <w:r w:rsidR="0080420C" w:rsidRPr="002C4077">
        <w:t xml:space="preserve"> </w:t>
      </w:r>
      <w:r w:rsidR="0080420C" w:rsidRPr="000A34B5">
        <w:rPr>
          <w:rStyle w:val="italicus"/>
        </w:rPr>
        <w:t>labi</w:t>
      </w:r>
      <w:r w:rsidR="0080420C">
        <w:rPr>
          <w:rStyle w:val="italicus"/>
        </w:rPr>
        <w:t>ó</w:t>
      </w:r>
      <w:r w:rsidR="0080420C" w:rsidRPr="000A34B5">
        <w:rPr>
          <w:rStyle w:val="italicus"/>
        </w:rPr>
        <w:t>rum</w:t>
      </w:r>
      <w:r w:rsidR="0080420C" w:rsidRPr="002C4077">
        <w:t xml:space="preserve"> </w:t>
      </w:r>
      <w:r w:rsidR="0080420C" w:rsidRPr="000A34B5">
        <w:rPr>
          <w:rStyle w:val="italicus"/>
        </w:rPr>
        <w:t>emérgat.</w:t>
      </w:r>
      <w:r w:rsidR="0080420C" w:rsidRPr="002C4077">
        <w:t xml:space="preserve"> </w:t>
      </w:r>
      <w:r>
        <w:t>Il</w:t>
      </w:r>
      <w:r w:rsidRPr="002C4077">
        <w:t xml:space="preserve"> </w:t>
      </w:r>
      <w:r>
        <w:t>en</w:t>
      </w:r>
      <w:r w:rsidRPr="002C4077">
        <w:t xml:space="preserve"> </w:t>
      </w:r>
      <w:r w:rsidR="00425C50">
        <w:t>est</w:t>
      </w:r>
      <w:r w:rsidRPr="002C4077">
        <w:t xml:space="preserve"> </w:t>
      </w:r>
      <w:r>
        <w:t>de</w:t>
      </w:r>
      <w:r w:rsidRPr="002C4077">
        <w:t xml:space="preserve"> </w:t>
      </w:r>
      <w:r>
        <w:t>même</w:t>
      </w:r>
      <w:r w:rsidRPr="002C4077">
        <w:t xml:space="preserve"> </w:t>
      </w:r>
      <w:r>
        <w:t>en</w:t>
      </w:r>
      <w:r w:rsidRPr="002C4077">
        <w:t xml:space="preserve"> </w:t>
      </w:r>
      <w:r>
        <w:t>chaldéen,</w:t>
      </w:r>
      <w:r w:rsidRPr="002C4077">
        <w:t xml:space="preserve"> </w:t>
      </w:r>
      <w:r>
        <w:t>et</w:t>
      </w:r>
      <w:r w:rsidRPr="002C4077">
        <w:t xml:space="preserve"> </w:t>
      </w:r>
      <w:r>
        <w:t>je</w:t>
      </w:r>
      <w:r w:rsidRPr="002C4077">
        <w:t xml:space="preserve"> </w:t>
      </w:r>
      <w:r>
        <w:t>n’en</w:t>
      </w:r>
      <w:r w:rsidRPr="002C4077">
        <w:t xml:space="preserve"> </w:t>
      </w:r>
      <w:r>
        <w:t>veux</w:t>
      </w:r>
      <w:r w:rsidRPr="002C4077">
        <w:t xml:space="preserve"> </w:t>
      </w:r>
      <w:r>
        <w:t>d’autre</w:t>
      </w:r>
      <w:r w:rsidRPr="002C4077">
        <w:t xml:space="preserve"> </w:t>
      </w:r>
      <w:r>
        <w:t>preuve</w:t>
      </w:r>
      <w:r w:rsidRPr="002C4077">
        <w:t xml:space="preserve"> </w:t>
      </w:r>
      <w:r>
        <w:t>que</w:t>
      </w:r>
      <w:r w:rsidRPr="002C4077">
        <w:t xml:space="preserve"> </w:t>
      </w:r>
      <w:r>
        <w:t>la</w:t>
      </w:r>
      <w:r w:rsidRPr="002C4077">
        <w:t xml:space="preserve"> </w:t>
      </w:r>
      <w:r>
        <w:t>para</w:t>
      </w:r>
      <w:r w:rsidR="00C577F1">
        <w:t>phrase</w:t>
      </w:r>
      <w:r w:rsidR="00C577F1" w:rsidRPr="002C4077">
        <w:t xml:space="preserve"> </w:t>
      </w:r>
      <w:r w:rsidR="00C577F1">
        <w:t>chaldéenne</w:t>
      </w:r>
      <w:r w:rsidR="00C577F1" w:rsidRPr="002C4077">
        <w:t xml:space="preserve"> </w:t>
      </w:r>
      <w:r w:rsidR="00C577F1">
        <w:t>du</w:t>
      </w:r>
      <w:r w:rsidR="00C577F1" w:rsidRPr="002C4077">
        <w:t xml:space="preserve"> </w:t>
      </w:r>
      <w:r w:rsidR="00C577F1">
        <w:t>chapitre</w:t>
      </w:r>
      <w:r w:rsidR="00C577F1" w:rsidRPr="002C4077">
        <w:t xml:space="preserve"> </w:t>
      </w:r>
      <w:r w:rsidR="00C577F1">
        <w:t>VII</w:t>
      </w:r>
      <w:r w:rsidRPr="002C4077">
        <w:t xml:space="preserve"> </w:t>
      </w:r>
      <w:r>
        <w:t>d’Isaïe,</w:t>
      </w:r>
      <w:r w:rsidRPr="002C4077">
        <w:t xml:space="preserve"> </w:t>
      </w:r>
      <w:r>
        <w:t>où</w:t>
      </w:r>
      <w:r w:rsidRPr="002C4077">
        <w:t xml:space="preserve"> </w:t>
      </w:r>
      <w:r>
        <w:t>non-seulement</w:t>
      </w:r>
      <w:r w:rsidRPr="002C4077">
        <w:t xml:space="preserve"> </w:t>
      </w:r>
      <w:r>
        <w:t>la</w:t>
      </w:r>
      <w:r w:rsidRPr="002C4077">
        <w:t xml:space="preserve"> </w:t>
      </w:r>
      <w:r>
        <w:t>mère</w:t>
      </w:r>
      <w:r w:rsidRPr="002C4077">
        <w:t xml:space="preserve"> </w:t>
      </w:r>
      <w:r>
        <w:t>d’Emmanuel</w:t>
      </w:r>
      <w:r w:rsidRPr="002C4077">
        <w:t xml:space="preserve"> </w:t>
      </w:r>
      <w:r w:rsidR="00425C50">
        <w:t>est</w:t>
      </w:r>
      <w:r w:rsidRPr="002C4077">
        <w:t xml:space="preserve"> </w:t>
      </w:r>
      <w:r>
        <w:t>appelée</w:t>
      </w:r>
      <w:r w:rsidRPr="002C4077">
        <w:t xml:space="preserve"> </w:t>
      </w:r>
      <w:r w:rsidR="0080420C" w:rsidRPr="0080420C">
        <w:rPr>
          <w:rtl/>
          <w:lang w:bidi="he-IL"/>
        </w:rPr>
        <w:t>עלמתא</w:t>
      </w:r>
      <w:r w:rsidR="0080420C" w:rsidRPr="004440EA">
        <w:t xml:space="preserve"> </w:t>
      </w:r>
      <w:r w:rsidRPr="004440EA">
        <w:t>(</w:t>
      </w:r>
      <w:r w:rsidR="0055004A">
        <w:t>῾</w:t>
      </w:r>
      <w:r w:rsidR="0080420C">
        <w:rPr>
          <w:rStyle w:val="italicus"/>
        </w:rPr>
        <w:t>alimᵉ</w:t>
      </w:r>
      <w:r w:rsidR="001730C6" w:rsidRPr="000A34B5">
        <w:rPr>
          <w:rStyle w:val="italicus"/>
        </w:rPr>
        <w:t>t</w:t>
      </w:r>
      <w:r w:rsidRPr="000A34B5">
        <w:rPr>
          <w:rStyle w:val="italicus"/>
        </w:rPr>
        <w:t>hah</w:t>
      </w:r>
      <w:r w:rsidR="00B546AF" w:rsidRPr="002C4077">
        <w:t>)</w:t>
      </w:r>
      <w:r w:rsidRPr="00950016">
        <w:t>,</w:t>
      </w:r>
      <w:r w:rsidRPr="002C4077">
        <w:t xml:space="preserve"> </w:t>
      </w:r>
      <w:r>
        <w:t>mais</w:t>
      </w:r>
      <w:r w:rsidRPr="002C4077">
        <w:t xml:space="preserve"> </w:t>
      </w:r>
      <w:r>
        <w:t>l’enfant</w:t>
      </w:r>
      <w:r w:rsidRPr="002C4077">
        <w:t xml:space="preserve"> </w:t>
      </w:r>
      <w:r>
        <w:t>lui-même….</w:t>
      </w:r>
      <w:r w:rsidRPr="002C4077">
        <w:t xml:space="preserve"> </w:t>
      </w:r>
      <w:r w:rsidR="00425C50">
        <w:t>est</w:t>
      </w:r>
      <w:r w:rsidRPr="002C4077">
        <w:t xml:space="preserve"> </w:t>
      </w:r>
      <w:r>
        <w:t>appelé</w:t>
      </w:r>
      <w:r w:rsidRPr="002C4077">
        <w:t xml:space="preserve"> </w:t>
      </w:r>
      <w:r w:rsidR="0080420C" w:rsidRPr="002038BC">
        <w:rPr>
          <w:rtl/>
          <w:lang w:bidi="he-IL"/>
        </w:rPr>
        <w:t>עלמא</w:t>
      </w:r>
      <w:r w:rsidR="0080420C" w:rsidRPr="004440EA">
        <w:t xml:space="preserve"> </w:t>
      </w:r>
      <w:r w:rsidRPr="004440EA">
        <w:t>(</w:t>
      </w:r>
      <w:r w:rsidR="0055004A">
        <w:t>῾</w:t>
      </w:r>
      <w:r w:rsidRPr="000A34B5">
        <w:rPr>
          <w:rStyle w:val="italicus"/>
        </w:rPr>
        <w:t>al</w:t>
      </w:r>
      <w:r w:rsidR="001730C6" w:rsidRPr="000A34B5">
        <w:rPr>
          <w:rStyle w:val="italicus"/>
        </w:rPr>
        <w:t>im</w:t>
      </w:r>
      <w:r w:rsidRPr="000A34B5">
        <w:rPr>
          <w:rStyle w:val="italicus"/>
        </w:rPr>
        <w:t>ah</w:t>
      </w:r>
      <w:r w:rsidR="00B546AF" w:rsidRPr="002C4077">
        <w:t>)</w:t>
      </w:r>
      <w:r>
        <w:t>.</w:t>
      </w:r>
      <w:r w:rsidRPr="002C4077">
        <w:t xml:space="preserve"> </w:t>
      </w:r>
      <w:r>
        <w:t>Le</w:t>
      </w:r>
      <w:r w:rsidRPr="002C4077">
        <w:t xml:space="preserve"> </w:t>
      </w:r>
      <w:r>
        <w:t>mot</w:t>
      </w:r>
      <w:r w:rsidRPr="002C4077">
        <w:t xml:space="preserve"> </w:t>
      </w:r>
      <w:r>
        <w:t>arabe</w:t>
      </w:r>
      <w:r w:rsidRPr="002C4077">
        <w:t xml:space="preserve"> </w:t>
      </w:r>
      <w:r>
        <w:t>désigne</w:t>
      </w:r>
      <w:r w:rsidRPr="002C4077">
        <w:t xml:space="preserve"> </w:t>
      </w:r>
      <w:r>
        <w:t>encore</w:t>
      </w:r>
      <w:r w:rsidRPr="002C4077">
        <w:t xml:space="preserve"> </w:t>
      </w:r>
      <w:r>
        <w:t>un</w:t>
      </w:r>
      <w:r w:rsidRPr="002C4077">
        <w:t xml:space="preserve"> </w:t>
      </w:r>
      <w:r>
        <w:t>serviteur,</w:t>
      </w:r>
      <w:r w:rsidRPr="002C4077">
        <w:t xml:space="preserve"> </w:t>
      </w:r>
      <w:r w:rsidRPr="000A34B5">
        <w:rPr>
          <w:rStyle w:val="italicus"/>
        </w:rPr>
        <w:t>puer,</w:t>
      </w:r>
      <w:r w:rsidRPr="002C4077">
        <w:t xml:space="preserve"> </w:t>
      </w:r>
      <w:r>
        <w:t>et</w:t>
      </w:r>
      <w:r w:rsidRPr="002C4077">
        <w:t xml:space="preserve"> </w:t>
      </w:r>
      <w:r>
        <w:t>la</w:t>
      </w:r>
      <w:r w:rsidRPr="002C4077">
        <w:t xml:space="preserve"> </w:t>
      </w:r>
      <w:r>
        <w:t>même</w:t>
      </w:r>
      <w:r w:rsidRPr="002C4077">
        <w:t xml:space="preserve"> </w:t>
      </w:r>
      <w:r>
        <w:t>figure</w:t>
      </w:r>
      <w:r w:rsidRPr="002C4077">
        <w:t xml:space="preserve"> </w:t>
      </w:r>
      <w:r>
        <w:t>se</w:t>
      </w:r>
      <w:r w:rsidRPr="002C4077">
        <w:t xml:space="preserve"> </w:t>
      </w:r>
      <w:r>
        <w:t>trouve</w:t>
      </w:r>
      <w:r w:rsidRPr="002C4077">
        <w:t xml:space="preserve"> </w:t>
      </w:r>
      <w:r>
        <w:t>clans</w:t>
      </w:r>
      <w:r w:rsidRPr="002C4077">
        <w:t xml:space="preserve"> </w:t>
      </w:r>
      <w:r>
        <w:t>toutes</w:t>
      </w:r>
      <w:r w:rsidRPr="002C4077">
        <w:t xml:space="preserve"> </w:t>
      </w:r>
      <w:r>
        <w:t>les</w:t>
      </w:r>
      <w:r w:rsidRPr="002C4077">
        <w:t xml:space="preserve"> </w:t>
      </w:r>
      <w:r>
        <w:t>langues,</w:t>
      </w:r>
      <w:r w:rsidRPr="002C4077">
        <w:t xml:space="preserve"> </w:t>
      </w:r>
      <w:r>
        <w:t>l’idée</w:t>
      </w:r>
      <w:r w:rsidRPr="002C4077">
        <w:t xml:space="preserve"> </w:t>
      </w:r>
      <w:r>
        <w:t>de</w:t>
      </w:r>
      <w:r w:rsidRPr="002C4077">
        <w:t xml:space="preserve"> </w:t>
      </w:r>
      <w:r>
        <w:t>service,</w:t>
      </w:r>
      <w:r w:rsidRPr="002C4077">
        <w:t xml:space="preserve"> </w:t>
      </w:r>
      <w:r>
        <w:t>de</w:t>
      </w:r>
      <w:r w:rsidRPr="002C4077">
        <w:t xml:space="preserve"> </w:t>
      </w:r>
      <w:r>
        <w:t>subordination,</w:t>
      </w:r>
      <w:r w:rsidRPr="002C4077">
        <w:t xml:space="preserve"> </w:t>
      </w:r>
      <w:r>
        <w:t>s’</w:t>
      </w:r>
      <w:r w:rsidR="0080420C">
        <w:t>attachant</w:t>
      </w:r>
      <w:r w:rsidRPr="002C4077">
        <w:t xml:space="preserve"> </w:t>
      </w:r>
      <w:r>
        <w:t>naturellement</w:t>
      </w:r>
      <w:r w:rsidRPr="002C4077">
        <w:t xml:space="preserve"> </w:t>
      </w:r>
      <w:r>
        <w:t>à</w:t>
      </w:r>
      <w:r w:rsidRPr="002C4077">
        <w:t xml:space="preserve"> </w:t>
      </w:r>
      <w:r>
        <w:t>celle</w:t>
      </w:r>
      <w:r w:rsidRPr="002C4077">
        <w:t xml:space="preserve"> </w:t>
      </w:r>
      <w:r>
        <w:t>d’un</w:t>
      </w:r>
      <w:r w:rsidRPr="002C4077">
        <w:t xml:space="preserve"> </w:t>
      </w:r>
      <w:r>
        <w:t>enfant</w:t>
      </w:r>
      <w:r w:rsidRPr="002C4077">
        <w:t xml:space="preserve"> </w:t>
      </w:r>
      <w:r>
        <w:t>ou</w:t>
      </w:r>
      <w:r w:rsidRPr="002C4077">
        <w:t xml:space="preserve"> </w:t>
      </w:r>
      <w:r>
        <w:t>d’un</w:t>
      </w:r>
      <w:r w:rsidRPr="002C4077">
        <w:t xml:space="preserve"> </w:t>
      </w:r>
      <w:r>
        <w:t>jeune</w:t>
      </w:r>
      <w:r w:rsidRPr="002C4077">
        <w:t xml:space="preserve"> </w:t>
      </w:r>
      <w:r>
        <w:t>homme</w:t>
      </w:r>
      <w:r w:rsidRPr="002C4077">
        <w:t xml:space="preserve"> </w:t>
      </w:r>
      <w:r>
        <w:t>en</w:t>
      </w:r>
      <w:r w:rsidRPr="002C4077">
        <w:t xml:space="preserve"> </w:t>
      </w:r>
      <w:r>
        <w:t>tutelle.</w:t>
      </w:r>
      <w:r w:rsidRPr="002C4077">
        <w:t xml:space="preserve"> </w:t>
      </w:r>
      <w:r>
        <w:t>Il</w:t>
      </w:r>
      <w:r w:rsidRPr="002C4077">
        <w:t xml:space="preserve"> </w:t>
      </w:r>
      <w:r>
        <w:t>paraît</w:t>
      </w:r>
      <w:r w:rsidRPr="002C4077">
        <w:t xml:space="preserve"> </w:t>
      </w:r>
      <w:r>
        <w:t>donc</w:t>
      </w:r>
      <w:r w:rsidRPr="002C4077">
        <w:t xml:space="preserve"> </w:t>
      </w:r>
      <w:r>
        <w:t>manifeste</w:t>
      </w:r>
      <w:r w:rsidRPr="002C4077">
        <w:t xml:space="preserve"> </w:t>
      </w:r>
      <w:r>
        <w:t>que</w:t>
      </w:r>
      <w:r w:rsidRPr="002C4077">
        <w:t xml:space="preserve"> </w:t>
      </w:r>
      <w:r>
        <w:t>le</w:t>
      </w:r>
      <w:r w:rsidRPr="002C4077">
        <w:t xml:space="preserve"> </w:t>
      </w:r>
      <w:r>
        <w:t>mot</w:t>
      </w:r>
      <w:r w:rsidRPr="002C4077">
        <w:t xml:space="preserve"> </w:t>
      </w:r>
      <w:r w:rsidR="0055004A">
        <w:rPr>
          <w:rStyle w:val="italicus"/>
        </w:rPr>
        <w:t>῾</w:t>
      </w:r>
      <w:r w:rsidRPr="000A34B5">
        <w:rPr>
          <w:rStyle w:val="italicus"/>
        </w:rPr>
        <w:t>oulam</w:t>
      </w:r>
      <w:r w:rsidRPr="002C4077">
        <w:t xml:space="preserve"> </w:t>
      </w:r>
      <w:r>
        <w:t>réveille</w:t>
      </w:r>
      <w:r w:rsidRPr="002C4077">
        <w:t xml:space="preserve"> </w:t>
      </w:r>
      <w:r>
        <w:t>l’idée</w:t>
      </w:r>
      <w:r w:rsidRPr="002C4077">
        <w:t xml:space="preserve"> </w:t>
      </w:r>
      <w:r>
        <w:t>de</w:t>
      </w:r>
      <w:r w:rsidRPr="002C4077">
        <w:t xml:space="preserve"> </w:t>
      </w:r>
      <w:r>
        <w:t>jeunesse</w:t>
      </w:r>
      <w:r w:rsidRPr="002C4077">
        <w:t xml:space="preserve"> </w:t>
      </w:r>
      <w:r>
        <w:t>avant</w:t>
      </w:r>
      <w:r w:rsidRPr="002C4077">
        <w:t xml:space="preserve"> </w:t>
      </w:r>
      <w:r>
        <w:t>de</w:t>
      </w:r>
      <w:r w:rsidRPr="002C4077">
        <w:t xml:space="preserve"> </w:t>
      </w:r>
      <w:r>
        <w:t>réveiller</w:t>
      </w:r>
      <w:r w:rsidRPr="002C4077">
        <w:t xml:space="preserve"> </w:t>
      </w:r>
      <w:r>
        <w:t>cette</w:t>
      </w:r>
      <w:r w:rsidRPr="002C4077">
        <w:t xml:space="preserve"> </w:t>
      </w:r>
      <w:r>
        <w:t>inclination</w:t>
      </w:r>
      <w:r w:rsidRPr="002C4077">
        <w:t xml:space="preserve"> </w:t>
      </w:r>
      <w:r>
        <w:t>au</w:t>
      </w:r>
      <w:r w:rsidRPr="002C4077">
        <w:t xml:space="preserve"> </w:t>
      </w:r>
      <w:r>
        <w:t>mariage,</w:t>
      </w:r>
      <w:r w:rsidRPr="002C4077">
        <w:t xml:space="preserve"> </w:t>
      </w:r>
      <w:r>
        <w:t>et</w:t>
      </w:r>
      <w:r w:rsidRPr="002C4077">
        <w:t xml:space="preserve"> </w:t>
      </w:r>
      <w:r>
        <w:t>qu’il</w:t>
      </w:r>
      <w:r w:rsidRPr="002C4077">
        <w:t xml:space="preserve"> </w:t>
      </w:r>
      <w:r>
        <w:t>a</w:t>
      </w:r>
      <w:r w:rsidRPr="002C4077">
        <w:t xml:space="preserve"> </w:t>
      </w:r>
      <w:r>
        <w:t>un</w:t>
      </w:r>
      <w:r w:rsidRPr="002C4077">
        <w:t xml:space="preserve"> </w:t>
      </w:r>
      <w:r>
        <w:t>sens</w:t>
      </w:r>
      <w:r w:rsidRPr="002C4077">
        <w:t xml:space="preserve"> </w:t>
      </w:r>
      <w:r>
        <w:t>bien</w:t>
      </w:r>
      <w:r w:rsidRPr="002C4077">
        <w:t xml:space="preserve"> </w:t>
      </w:r>
      <w:r>
        <w:t>plus</w:t>
      </w:r>
      <w:r w:rsidRPr="002C4077">
        <w:t xml:space="preserve"> </w:t>
      </w:r>
      <w:r>
        <w:t>étendu</w:t>
      </w:r>
      <w:r w:rsidR="00B91AF7">
        <w:rPr>
          <w:rStyle w:val="Appelnotedebasdep"/>
        </w:rPr>
        <w:footnoteReference w:id="190"/>
      </w:r>
      <w:r>
        <w:t>.</w:t>
      </w:r>
      <w:r w:rsidR="00B546AF">
        <w:t> »</w:t>
      </w:r>
      <w:r w:rsidRPr="002C4077">
        <w:t xml:space="preserve"> </w:t>
      </w:r>
    </w:p>
    <w:p w:rsidR="000A7AAB" w:rsidRDefault="000A7AAB" w:rsidP="000A7AAB">
      <w:r>
        <w:t>Il</w:t>
      </w:r>
      <w:r w:rsidRPr="002C4077">
        <w:t xml:space="preserve"> </w:t>
      </w:r>
      <w:r>
        <w:t>suit</w:t>
      </w:r>
      <w:r w:rsidRPr="002C4077">
        <w:t xml:space="preserve"> </w:t>
      </w:r>
      <w:r>
        <w:t>de</w:t>
      </w:r>
      <w:r w:rsidRPr="002C4077">
        <w:t xml:space="preserve"> </w:t>
      </w:r>
      <w:r>
        <w:t>là</w:t>
      </w:r>
      <w:r w:rsidRPr="002C4077">
        <w:t xml:space="preserve"> </w:t>
      </w:r>
      <w:r>
        <w:t>que</w:t>
      </w:r>
      <w:r w:rsidRPr="002C4077">
        <w:t xml:space="preserve"> </w:t>
      </w:r>
      <w:r>
        <w:t>Ges</w:t>
      </w:r>
      <w:r w:rsidR="003B53FD">
        <w:t>énius</w:t>
      </w:r>
      <w:r w:rsidRPr="002C4077">
        <w:t xml:space="preserve"> </w:t>
      </w:r>
      <w:r>
        <w:t>et</w:t>
      </w:r>
      <w:r w:rsidRPr="002C4077">
        <w:t xml:space="preserve"> </w:t>
      </w:r>
      <w:r>
        <w:t>ses</w:t>
      </w:r>
      <w:r w:rsidRPr="002C4077">
        <w:t xml:space="preserve"> </w:t>
      </w:r>
      <w:r>
        <w:t>fauteurs</w:t>
      </w:r>
      <w:r w:rsidRPr="002C4077">
        <w:t xml:space="preserve"> </w:t>
      </w:r>
      <w:r>
        <w:t>ont</w:t>
      </w:r>
      <w:r w:rsidRPr="002C4077">
        <w:t xml:space="preserve"> </w:t>
      </w:r>
      <w:r>
        <w:t>pris</w:t>
      </w:r>
      <w:r w:rsidRPr="002C4077">
        <w:t xml:space="preserve"> </w:t>
      </w:r>
      <w:r>
        <w:t>le</w:t>
      </w:r>
      <w:r w:rsidRPr="002C4077">
        <w:t xml:space="preserve"> </w:t>
      </w:r>
      <w:r>
        <w:t>sens</w:t>
      </w:r>
      <w:r w:rsidRPr="002C4077">
        <w:t xml:space="preserve"> </w:t>
      </w:r>
      <w:r>
        <w:t>dérivé</w:t>
      </w:r>
      <w:r w:rsidRPr="002C4077">
        <w:t xml:space="preserve"> </w:t>
      </w:r>
      <w:r>
        <w:t>pour</w:t>
      </w:r>
      <w:r w:rsidRPr="002C4077">
        <w:t xml:space="preserve"> </w:t>
      </w:r>
      <w:r>
        <w:t>l’acception</w:t>
      </w:r>
      <w:r w:rsidRPr="002C4077">
        <w:t xml:space="preserve"> </w:t>
      </w:r>
      <w:r>
        <w:t>primitive,</w:t>
      </w:r>
      <w:r w:rsidRPr="002C4077">
        <w:t xml:space="preserve"> </w:t>
      </w:r>
      <w:r>
        <w:t>ce</w:t>
      </w:r>
      <w:r w:rsidRPr="002C4077">
        <w:t xml:space="preserve"> </w:t>
      </w:r>
      <w:r>
        <w:t>qui</w:t>
      </w:r>
      <w:r w:rsidRPr="002C4077">
        <w:t xml:space="preserve"> </w:t>
      </w:r>
      <w:r>
        <w:t>fait</w:t>
      </w:r>
      <w:r w:rsidRPr="002C4077">
        <w:t xml:space="preserve"> </w:t>
      </w:r>
      <w:r>
        <w:t>une</w:t>
      </w:r>
      <w:r w:rsidRPr="002C4077">
        <w:t xml:space="preserve"> </w:t>
      </w:r>
      <w:r>
        <w:t>énorme</w:t>
      </w:r>
      <w:r w:rsidRPr="002C4077">
        <w:t xml:space="preserve"> </w:t>
      </w:r>
      <w:r>
        <w:t>différence.</w:t>
      </w:r>
      <w:r w:rsidRPr="002C4077">
        <w:t xml:space="preserve"> </w:t>
      </w:r>
    </w:p>
    <w:p w:rsidR="000A7AAB" w:rsidRDefault="000A7AAB" w:rsidP="000A7AAB">
      <w:r>
        <w:t>Qui</w:t>
      </w:r>
      <w:bookmarkStart w:id="215" w:name="z_Arabe_o1"/>
      <w:bookmarkEnd w:id="215"/>
      <w:r w:rsidRPr="002C4077">
        <w:t xml:space="preserve"> </w:t>
      </w:r>
      <w:r>
        <w:t>ne</w:t>
      </w:r>
      <w:r w:rsidRPr="002C4077">
        <w:t xml:space="preserve"> </w:t>
      </w:r>
      <w:r>
        <w:t>sait</w:t>
      </w:r>
      <w:r w:rsidRPr="002C4077">
        <w:t xml:space="preserve"> </w:t>
      </w:r>
      <w:r>
        <w:t>que</w:t>
      </w:r>
      <w:r w:rsidRPr="002C4077">
        <w:t xml:space="preserve"> </w:t>
      </w:r>
      <w:r>
        <w:t>les</w:t>
      </w:r>
      <w:r w:rsidRPr="002C4077">
        <w:t xml:space="preserve"> </w:t>
      </w:r>
      <w:r w:rsidR="003B53FD">
        <w:t>Arabes</w:t>
      </w:r>
      <w:r w:rsidRPr="002C4077">
        <w:t xml:space="preserve"> </w:t>
      </w:r>
      <w:r>
        <w:t>ont</w:t>
      </w:r>
      <w:r w:rsidRPr="002C4077">
        <w:t xml:space="preserve"> </w:t>
      </w:r>
      <w:r>
        <w:t>peu</w:t>
      </w:r>
      <w:r w:rsidRPr="002C4077">
        <w:t xml:space="preserve"> </w:t>
      </w:r>
      <w:r>
        <w:t>à</w:t>
      </w:r>
      <w:r w:rsidRPr="002C4077">
        <w:t xml:space="preserve"> </w:t>
      </w:r>
      <w:r>
        <w:t>peu</w:t>
      </w:r>
      <w:r w:rsidRPr="002C4077">
        <w:t xml:space="preserve"> </w:t>
      </w:r>
      <w:r>
        <w:t>développé</w:t>
      </w:r>
      <w:r w:rsidRPr="002C4077">
        <w:t xml:space="preserve"> </w:t>
      </w:r>
      <w:r>
        <w:t>notablement</w:t>
      </w:r>
      <w:r w:rsidRPr="002C4077">
        <w:t xml:space="preserve"> </w:t>
      </w:r>
      <w:r>
        <w:t>leur</w:t>
      </w:r>
      <w:r w:rsidRPr="002C4077">
        <w:t xml:space="preserve"> </w:t>
      </w:r>
      <w:r>
        <w:t>idiome,</w:t>
      </w:r>
      <w:r w:rsidRPr="002C4077">
        <w:t xml:space="preserve"> </w:t>
      </w:r>
      <w:r>
        <w:t>tandis</w:t>
      </w:r>
      <w:r w:rsidRPr="002C4077">
        <w:t xml:space="preserve"> </w:t>
      </w:r>
      <w:r>
        <w:t>que</w:t>
      </w:r>
      <w:r w:rsidRPr="002C4077">
        <w:t xml:space="preserve"> </w:t>
      </w:r>
      <w:r>
        <w:t>l’hébreu</w:t>
      </w:r>
      <w:r w:rsidRPr="002C4077">
        <w:t xml:space="preserve"> </w:t>
      </w:r>
      <w:r>
        <w:t>était</w:t>
      </w:r>
      <w:r w:rsidRPr="002C4077">
        <w:t xml:space="preserve"> </w:t>
      </w:r>
      <w:r>
        <w:t>fixé</w:t>
      </w:r>
      <w:r w:rsidRPr="002C4077">
        <w:t xml:space="preserve"> </w:t>
      </w:r>
      <w:r>
        <w:t>dans</w:t>
      </w:r>
      <w:r w:rsidRPr="002C4077">
        <w:t xml:space="preserve"> </w:t>
      </w:r>
      <w:r>
        <w:t>l’immobilité</w:t>
      </w:r>
      <w:r w:rsidRPr="002C4077">
        <w:t xml:space="preserve"> </w:t>
      </w:r>
      <w:r>
        <w:t>d’une</w:t>
      </w:r>
      <w:r w:rsidRPr="002C4077">
        <w:t xml:space="preserve"> </w:t>
      </w:r>
      <w:r>
        <w:t>langue</w:t>
      </w:r>
      <w:r w:rsidRPr="002C4077">
        <w:t xml:space="preserve"> </w:t>
      </w:r>
      <w:r>
        <w:t>morte</w:t>
      </w:r>
      <w:r w:rsidR="00B546AF">
        <w:t> ?</w:t>
      </w:r>
      <w:r w:rsidRPr="002C4077">
        <w:t xml:space="preserve"> </w:t>
      </w:r>
      <w:r>
        <w:t>Deux</w:t>
      </w:r>
      <w:r w:rsidRPr="002C4077">
        <w:t xml:space="preserve"> </w:t>
      </w:r>
      <w:r>
        <w:t>expressions</w:t>
      </w:r>
      <w:r w:rsidRPr="002C4077">
        <w:t xml:space="preserve"> </w:t>
      </w:r>
      <w:r>
        <w:t>qui,</w:t>
      </w:r>
      <w:r w:rsidRPr="002C4077">
        <w:t xml:space="preserve"> </w:t>
      </w:r>
      <w:r>
        <w:t>à</w:t>
      </w:r>
      <w:r w:rsidRPr="002C4077">
        <w:t xml:space="preserve"> </w:t>
      </w:r>
      <w:r>
        <w:t>l’origine,</w:t>
      </w:r>
      <w:r w:rsidRPr="002C4077">
        <w:t xml:space="preserve"> </w:t>
      </w:r>
      <w:r>
        <w:t>avaient</w:t>
      </w:r>
      <w:r w:rsidRPr="002C4077">
        <w:t xml:space="preserve"> </w:t>
      </w:r>
      <w:r>
        <w:t>de</w:t>
      </w:r>
      <w:r w:rsidRPr="002C4077">
        <w:t xml:space="preserve"> </w:t>
      </w:r>
      <w:r>
        <w:t>part</w:t>
      </w:r>
      <w:r w:rsidRPr="002C4077">
        <w:t xml:space="preserve"> </w:t>
      </w:r>
      <w:r>
        <w:t>et</w:t>
      </w:r>
      <w:r w:rsidRPr="002C4077">
        <w:t xml:space="preserve"> </w:t>
      </w:r>
      <w:r>
        <w:t>d’autre</w:t>
      </w:r>
      <w:r w:rsidRPr="002C4077">
        <w:t xml:space="preserve"> </w:t>
      </w:r>
      <w:r>
        <w:t>un</w:t>
      </w:r>
      <w:r w:rsidRPr="002C4077">
        <w:t xml:space="preserve"> </w:t>
      </w:r>
      <w:r>
        <w:t>sens</w:t>
      </w:r>
      <w:r w:rsidRPr="002C4077">
        <w:t xml:space="preserve"> </w:t>
      </w:r>
      <w:r>
        <w:t>identique,</w:t>
      </w:r>
      <w:r w:rsidRPr="002C4077">
        <w:t xml:space="preserve"> </w:t>
      </w:r>
      <w:r>
        <w:t>peuvent</w:t>
      </w:r>
      <w:r w:rsidRPr="002C4077">
        <w:t xml:space="preserve"> </w:t>
      </w:r>
      <w:r>
        <w:t>donc,</w:t>
      </w:r>
      <w:r w:rsidRPr="002C4077">
        <w:t xml:space="preserve"> </w:t>
      </w:r>
      <w:r>
        <w:t>au</w:t>
      </w:r>
      <w:r w:rsidRPr="002C4077">
        <w:t xml:space="preserve"> </w:t>
      </w:r>
      <w:r>
        <w:t>bout</w:t>
      </w:r>
      <w:r w:rsidRPr="002C4077">
        <w:t xml:space="preserve"> </w:t>
      </w:r>
      <w:r>
        <w:t>de</w:t>
      </w:r>
      <w:r w:rsidRPr="002C4077">
        <w:t xml:space="preserve"> </w:t>
      </w:r>
      <w:r>
        <w:t>quelques</w:t>
      </w:r>
      <w:r w:rsidRPr="002C4077">
        <w:t xml:space="preserve"> </w:t>
      </w:r>
      <w:r>
        <w:t>siècles,</w:t>
      </w:r>
      <w:r w:rsidRPr="002C4077">
        <w:t xml:space="preserve"> </w:t>
      </w:r>
      <w:r>
        <w:t>représenter</w:t>
      </w:r>
      <w:r w:rsidRPr="002C4077">
        <w:t xml:space="preserve"> </w:t>
      </w:r>
      <w:r>
        <w:t>des</w:t>
      </w:r>
      <w:r w:rsidRPr="002C4077">
        <w:t xml:space="preserve"> </w:t>
      </w:r>
      <w:r>
        <w:t>idées</w:t>
      </w:r>
      <w:r w:rsidRPr="002C4077">
        <w:t xml:space="preserve"> </w:t>
      </w:r>
      <w:r>
        <w:t>qui</w:t>
      </w:r>
      <w:r w:rsidRPr="002C4077">
        <w:t xml:space="preserve"> </w:t>
      </w:r>
      <w:r>
        <w:t>n’ont</w:t>
      </w:r>
      <w:r w:rsidRPr="002C4077">
        <w:t xml:space="preserve"> </w:t>
      </w:r>
      <w:r>
        <w:t>plus</w:t>
      </w:r>
      <w:r w:rsidRPr="002C4077">
        <w:t xml:space="preserve"> </w:t>
      </w:r>
      <w:r>
        <w:t>entre</w:t>
      </w:r>
      <w:r w:rsidRPr="002C4077">
        <w:t xml:space="preserve"> </w:t>
      </w:r>
      <w:r>
        <w:t>elles</w:t>
      </w:r>
      <w:r w:rsidRPr="002C4077">
        <w:t xml:space="preserve"> </w:t>
      </w:r>
      <w:r>
        <w:t>le</w:t>
      </w:r>
      <w:r w:rsidRPr="002C4077">
        <w:t xml:space="preserve"> </w:t>
      </w:r>
      <w:r>
        <w:t>moindre</w:t>
      </w:r>
      <w:r w:rsidRPr="002C4077">
        <w:t xml:space="preserve"> </w:t>
      </w:r>
      <w:r>
        <w:t>rapport.</w:t>
      </w:r>
      <w:r w:rsidRPr="002C4077">
        <w:t xml:space="preserve"> </w:t>
      </w:r>
      <w:r>
        <w:t>Aussi</w:t>
      </w:r>
      <w:r w:rsidRPr="002C4077">
        <w:t xml:space="preserve"> </w:t>
      </w:r>
      <w:r>
        <w:t>quoique,</w:t>
      </w:r>
      <w:r w:rsidRPr="002C4077">
        <w:t xml:space="preserve"> </w:t>
      </w:r>
      <w:r>
        <w:t>pendant</w:t>
      </w:r>
      <w:r w:rsidRPr="002C4077">
        <w:t xml:space="preserve"> </w:t>
      </w:r>
      <w:r>
        <w:t>un</w:t>
      </w:r>
      <w:r w:rsidRPr="002C4077">
        <w:t xml:space="preserve"> </w:t>
      </w:r>
      <w:r>
        <w:t>temps,</w:t>
      </w:r>
      <w:r w:rsidRPr="002C4077">
        <w:t xml:space="preserve"> </w:t>
      </w:r>
      <w:r>
        <w:t>il</w:t>
      </w:r>
      <w:r w:rsidRPr="002C4077">
        <w:t xml:space="preserve"> </w:t>
      </w:r>
      <w:r>
        <w:t>ait</w:t>
      </w:r>
      <w:r w:rsidRPr="002C4077">
        <w:t xml:space="preserve"> </w:t>
      </w:r>
      <w:r>
        <w:t>été</w:t>
      </w:r>
      <w:r w:rsidRPr="002C4077">
        <w:t xml:space="preserve"> </w:t>
      </w:r>
      <w:r>
        <w:t>de</w:t>
      </w:r>
      <w:r w:rsidRPr="002C4077">
        <w:t xml:space="preserve"> </w:t>
      </w:r>
      <w:r>
        <w:t>mode</w:t>
      </w:r>
      <w:r w:rsidRPr="002C4077">
        <w:t xml:space="preserve"> </w:t>
      </w:r>
      <w:r>
        <w:t>de</w:t>
      </w:r>
      <w:r w:rsidRPr="002C4077">
        <w:t xml:space="preserve"> </w:t>
      </w:r>
      <w:r>
        <w:t>rattacher</w:t>
      </w:r>
      <w:r w:rsidRPr="002C4077">
        <w:t xml:space="preserve"> </w:t>
      </w:r>
      <w:r>
        <w:t>à</w:t>
      </w:r>
      <w:r w:rsidRPr="002C4077">
        <w:t xml:space="preserve"> </w:t>
      </w:r>
      <w:r>
        <w:t>l’arabe</w:t>
      </w:r>
      <w:r w:rsidRPr="002C4077">
        <w:t xml:space="preserve"> </w:t>
      </w:r>
      <w:r>
        <w:t>la</w:t>
      </w:r>
      <w:r w:rsidRPr="002C4077">
        <w:t xml:space="preserve"> </w:t>
      </w:r>
      <w:r>
        <w:t>plupart</w:t>
      </w:r>
      <w:r w:rsidRPr="002C4077">
        <w:t xml:space="preserve"> </w:t>
      </w:r>
      <w:r>
        <w:t>des</w:t>
      </w:r>
      <w:r w:rsidRPr="002C4077">
        <w:t xml:space="preserve"> </w:t>
      </w:r>
      <w:r>
        <w:t>mots</w:t>
      </w:r>
      <w:r w:rsidRPr="002C4077">
        <w:t xml:space="preserve"> </w:t>
      </w:r>
      <w:r>
        <w:t>hébreux</w:t>
      </w:r>
      <w:r w:rsidRPr="002C4077">
        <w:t xml:space="preserve"> </w:t>
      </w:r>
      <w:r>
        <w:t>dont</w:t>
      </w:r>
      <w:r w:rsidRPr="002C4077">
        <w:t xml:space="preserve"> </w:t>
      </w:r>
      <w:r>
        <w:t>on</w:t>
      </w:r>
      <w:r w:rsidRPr="002C4077">
        <w:t xml:space="preserve"> </w:t>
      </w:r>
      <w:r>
        <w:t>ignorait</w:t>
      </w:r>
      <w:r w:rsidRPr="002C4077">
        <w:t xml:space="preserve"> </w:t>
      </w:r>
      <w:r>
        <w:t>la</w:t>
      </w:r>
      <w:r w:rsidRPr="002C4077">
        <w:t xml:space="preserve"> </w:t>
      </w:r>
      <w:r>
        <w:t>racine,</w:t>
      </w:r>
      <w:r w:rsidRPr="002C4077">
        <w:t xml:space="preserve"> </w:t>
      </w:r>
      <w:r>
        <w:t>on</w:t>
      </w:r>
      <w:r w:rsidRPr="002C4077">
        <w:t xml:space="preserve"> </w:t>
      </w:r>
      <w:r>
        <w:t>a</w:t>
      </w:r>
      <w:r w:rsidRPr="002C4077">
        <w:t xml:space="preserve"> </w:t>
      </w:r>
      <w:r>
        <w:t>fini</w:t>
      </w:r>
      <w:r w:rsidRPr="002C4077">
        <w:t xml:space="preserve"> </w:t>
      </w:r>
      <w:r>
        <w:t>par</w:t>
      </w:r>
      <w:r w:rsidRPr="002C4077">
        <w:t xml:space="preserve"> </w:t>
      </w:r>
      <w:r>
        <w:t>s’apercevoir</w:t>
      </w:r>
      <w:r w:rsidRPr="002C4077">
        <w:t xml:space="preserve"> </w:t>
      </w:r>
      <w:r>
        <w:t>que</w:t>
      </w:r>
      <w:r w:rsidRPr="002C4077">
        <w:t xml:space="preserve"> </w:t>
      </w:r>
      <w:r>
        <w:t>cette</w:t>
      </w:r>
      <w:r w:rsidRPr="002C4077">
        <w:t xml:space="preserve"> </w:t>
      </w:r>
      <w:r>
        <w:t>méthode,</w:t>
      </w:r>
      <w:r w:rsidRPr="002C4077">
        <w:t xml:space="preserve"> </w:t>
      </w:r>
      <w:r>
        <w:t>bonne</w:t>
      </w:r>
      <w:r w:rsidRPr="002C4077">
        <w:t xml:space="preserve"> </w:t>
      </w:r>
      <w:r>
        <w:t>en</w:t>
      </w:r>
      <w:r w:rsidRPr="002C4077">
        <w:t xml:space="preserve"> </w:t>
      </w:r>
      <w:r>
        <w:t>certains</w:t>
      </w:r>
      <w:r w:rsidRPr="002C4077">
        <w:t xml:space="preserve"> </w:t>
      </w:r>
      <w:r>
        <w:t>cas</w:t>
      </w:r>
      <w:r w:rsidRPr="002C4077">
        <w:t xml:space="preserve"> </w:t>
      </w:r>
      <w:r>
        <w:t>isolés,</w:t>
      </w:r>
      <w:r w:rsidRPr="002C4077">
        <w:t xml:space="preserve"> </w:t>
      </w:r>
      <w:r>
        <w:t>présentait</w:t>
      </w:r>
      <w:r w:rsidRPr="002C4077">
        <w:t xml:space="preserve"> </w:t>
      </w:r>
      <w:r>
        <w:t>dans</w:t>
      </w:r>
      <w:r w:rsidRPr="002C4077">
        <w:t xml:space="preserve"> </w:t>
      </w:r>
      <w:r>
        <w:t>l’ensemble</w:t>
      </w:r>
      <w:r w:rsidRPr="002C4077">
        <w:t xml:space="preserve"> </w:t>
      </w:r>
      <w:r>
        <w:t>de</w:t>
      </w:r>
      <w:r w:rsidRPr="002C4077">
        <w:t xml:space="preserve"> </w:t>
      </w:r>
      <w:r>
        <w:t>grands</w:t>
      </w:r>
      <w:r w:rsidRPr="002C4077">
        <w:t xml:space="preserve"> </w:t>
      </w:r>
      <w:r>
        <w:t>dangers</w:t>
      </w:r>
      <w:r w:rsidRPr="002C4077">
        <w:t xml:space="preserve"> </w:t>
      </w:r>
      <w:r>
        <w:t>d’erreurs</w:t>
      </w:r>
      <w:r w:rsidRPr="002C4077">
        <w:t xml:space="preserve"> </w:t>
      </w:r>
      <w:r>
        <w:t>et</w:t>
      </w:r>
      <w:r w:rsidRPr="002C4077">
        <w:t xml:space="preserve"> </w:t>
      </w:r>
      <w:r>
        <w:t>conduisait</w:t>
      </w:r>
      <w:r w:rsidRPr="002C4077">
        <w:t xml:space="preserve"> </w:t>
      </w:r>
      <w:r w:rsidRPr="000A34B5">
        <w:rPr>
          <w:rStyle w:val="italicus"/>
        </w:rPr>
        <w:t>extra</w:t>
      </w:r>
      <w:r w:rsidRPr="002C4077">
        <w:t xml:space="preserve"> </w:t>
      </w:r>
      <w:r w:rsidRPr="000A34B5">
        <w:rPr>
          <w:rStyle w:val="italicus"/>
        </w:rPr>
        <w:t>viam.</w:t>
      </w:r>
      <w:r w:rsidR="00C45B47">
        <w:t xml:space="preserve"> {</w:t>
      </w:r>
      <w:r w:rsidR="000721C4">
        <w:t>67</w:t>
      </w:r>
      <w:bookmarkStart w:id="216" w:name="p067"/>
      <w:bookmarkEnd w:id="216"/>
      <w:r w:rsidR="000721C4">
        <w:t xml:space="preserve">} </w:t>
      </w:r>
      <w:r>
        <w:t>On</w:t>
      </w:r>
      <w:r w:rsidRPr="002C4077">
        <w:t xml:space="preserve"> </w:t>
      </w:r>
      <w:r w:rsidR="00425C50">
        <w:t>est</w:t>
      </w:r>
      <w:r w:rsidRPr="002C4077">
        <w:t xml:space="preserve"> </w:t>
      </w:r>
      <w:r>
        <w:t>donc</w:t>
      </w:r>
      <w:r w:rsidRPr="002C4077">
        <w:t xml:space="preserve"> </w:t>
      </w:r>
      <w:r>
        <w:t>disposé</w:t>
      </w:r>
      <w:r w:rsidRPr="002C4077">
        <w:t xml:space="preserve"> </w:t>
      </w:r>
      <w:r>
        <w:t>à</w:t>
      </w:r>
      <w:r w:rsidRPr="002C4077">
        <w:t xml:space="preserve"> </w:t>
      </w:r>
      <w:r>
        <w:t>l’abandonner,</w:t>
      </w:r>
      <w:r w:rsidRPr="002C4077">
        <w:t xml:space="preserve"> </w:t>
      </w:r>
      <w:r>
        <w:t>et,</w:t>
      </w:r>
      <w:r w:rsidRPr="002C4077">
        <w:t xml:space="preserve"> </w:t>
      </w:r>
      <w:r>
        <w:t>tout</w:t>
      </w:r>
      <w:r w:rsidRPr="002C4077">
        <w:t xml:space="preserve"> </w:t>
      </w:r>
      <w:r>
        <w:t>récemment,</w:t>
      </w:r>
      <w:r w:rsidRPr="002C4077">
        <w:t xml:space="preserve"> </w:t>
      </w:r>
      <w:r>
        <w:t>les</w:t>
      </w:r>
      <w:r w:rsidRPr="002C4077">
        <w:t xml:space="preserve"> </w:t>
      </w:r>
      <w:r>
        <w:t>savants</w:t>
      </w:r>
      <w:r w:rsidRPr="002C4077">
        <w:t xml:space="preserve"> </w:t>
      </w:r>
      <w:r>
        <w:t>réunis</w:t>
      </w:r>
      <w:r w:rsidRPr="002C4077">
        <w:t xml:space="preserve"> </w:t>
      </w:r>
      <w:r>
        <w:t>au</w:t>
      </w:r>
      <w:r w:rsidRPr="002C4077">
        <w:t xml:space="preserve"> </w:t>
      </w:r>
      <w:r>
        <w:t>congrès</w:t>
      </w:r>
      <w:r w:rsidRPr="002C4077">
        <w:t xml:space="preserve"> </w:t>
      </w:r>
      <w:r>
        <w:t>orientaliste</w:t>
      </w:r>
      <w:r w:rsidRPr="002C4077">
        <w:t xml:space="preserve"> </w:t>
      </w:r>
      <w:r>
        <w:t>de</w:t>
      </w:r>
      <w:r w:rsidRPr="002C4077">
        <w:t xml:space="preserve"> </w:t>
      </w:r>
      <w:r>
        <w:t>Berlin</w:t>
      </w:r>
      <w:r w:rsidRPr="002C4077">
        <w:t xml:space="preserve"> </w:t>
      </w:r>
      <w:r>
        <w:t>décidaient</w:t>
      </w:r>
      <w:r w:rsidRPr="002C4077">
        <w:t xml:space="preserve"> </w:t>
      </w:r>
      <w:r>
        <w:t>qu’il</w:t>
      </w:r>
      <w:r w:rsidRPr="002C4077">
        <w:t xml:space="preserve"> </w:t>
      </w:r>
      <w:r>
        <w:t>serait</w:t>
      </w:r>
      <w:r w:rsidRPr="002C4077">
        <w:t xml:space="preserve"> </w:t>
      </w:r>
      <w:r>
        <w:t>bon</w:t>
      </w:r>
      <w:r w:rsidRPr="002C4077">
        <w:t xml:space="preserve"> </w:t>
      </w:r>
      <w:r>
        <w:t>de</w:t>
      </w:r>
      <w:r w:rsidRPr="002C4077">
        <w:t xml:space="preserve"> </w:t>
      </w:r>
      <w:r>
        <w:t>réviser</w:t>
      </w:r>
      <w:r w:rsidRPr="002C4077">
        <w:t xml:space="preserve"> </w:t>
      </w:r>
      <w:r>
        <w:t>le</w:t>
      </w:r>
      <w:r w:rsidRPr="002C4077">
        <w:t xml:space="preserve"> </w:t>
      </w:r>
      <w:r w:rsidRPr="000A34B5">
        <w:rPr>
          <w:rStyle w:val="italicus"/>
        </w:rPr>
        <w:t>Thésaurus</w:t>
      </w:r>
      <w:r w:rsidRPr="002C4077">
        <w:t xml:space="preserve"> </w:t>
      </w:r>
      <w:r>
        <w:t>de</w:t>
      </w:r>
      <w:r w:rsidRPr="002C4077">
        <w:t xml:space="preserve"> </w:t>
      </w:r>
      <w:r>
        <w:t>Ges</w:t>
      </w:r>
      <w:r w:rsidR="003B53FD">
        <w:t>énius</w:t>
      </w:r>
      <w:r w:rsidRPr="002C4077">
        <w:t xml:space="preserve"> </w:t>
      </w:r>
      <w:r>
        <w:t>en</w:t>
      </w:r>
      <w:r w:rsidRPr="002C4077">
        <w:t xml:space="preserve"> </w:t>
      </w:r>
      <w:r>
        <w:t>prenant</w:t>
      </w:r>
      <w:r w:rsidRPr="002C4077">
        <w:t xml:space="preserve"> </w:t>
      </w:r>
      <w:r>
        <w:t>pour</w:t>
      </w:r>
      <w:r w:rsidRPr="002C4077">
        <w:t xml:space="preserve"> </w:t>
      </w:r>
      <w:r>
        <w:t>base,</w:t>
      </w:r>
      <w:r w:rsidRPr="002C4077">
        <w:t xml:space="preserve"> </w:t>
      </w:r>
      <w:r>
        <w:t>non</w:t>
      </w:r>
      <w:r w:rsidRPr="002C4077">
        <w:t xml:space="preserve"> </w:t>
      </w:r>
      <w:r>
        <w:t>plus</w:t>
      </w:r>
      <w:bookmarkStart w:id="217" w:name="z_AssyrienneLaLangue_o1"/>
      <w:bookmarkEnd w:id="217"/>
      <w:r w:rsidRPr="002C4077">
        <w:t xml:space="preserve"> </w:t>
      </w:r>
      <w:r>
        <w:t>l’arabe,</w:t>
      </w:r>
      <w:r w:rsidRPr="002C4077">
        <w:t xml:space="preserve"> </w:t>
      </w:r>
      <w:r>
        <w:t>mais</w:t>
      </w:r>
      <w:bookmarkStart w:id="218" w:name="z_Arabe_o2"/>
      <w:bookmarkEnd w:id="218"/>
      <w:r w:rsidRPr="002C4077">
        <w:t xml:space="preserve"> </w:t>
      </w:r>
      <w:r>
        <w:t>l’assyrien</w:t>
      </w:r>
      <w:r w:rsidR="00B91AF7">
        <w:rPr>
          <w:rStyle w:val="Appelnotedebasdep"/>
        </w:rPr>
        <w:footnoteReference w:id="191"/>
      </w:r>
      <w:r w:rsidR="00B546AF">
        <w:t> !</w:t>
      </w:r>
      <w:r w:rsidRPr="002C4077">
        <w:t xml:space="preserve"> </w:t>
      </w:r>
    </w:p>
    <w:p w:rsidR="000A7AAB" w:rsidRDefault="000A7AAB" w:rsidP="000A7AAB">
      <w:r>
        <w:t>Voilà</w:t>
      </w:r>
      <w:r w:rsidRPr="002C4077">
        <w:t xml:space="preserve"> </w:t>
      </w:r>
      <w:r>
        <w:t>donc</w:t>
      </w:r>
      <w:r w:rsidRPr="002C4077">
        <w:t xml:space="preserve"> </w:t>
      </w:r>
      <w:r>
        <w:t>le</w:t>
      </w:r>
      <w:r w:rsidRPr="002C4077">
        <w:t xml:space="preserve"> </w:t>
      </w:r>
      <w:r>
        <w:t>fameux</w:t>
      </w:r>
      <w:r w:rsidRPr="002C4077">
        <w:t xml:space="preserve"> </w:t>
      </w:r>
      <w:r>
        <w:t>argument</w:t>
      </w:r>
      <w:r w:rsidRPr="002C4077">
        <w:t xml:space="preserve"> </w:t>
      </w:r>
      <w:r>
        <w:t>philologique</w:t>
      </w:r>
      <w:r w:rsidRPr="002C4077">
        <w:t xml:space="preserve"> </w:t>
      </w:r>
      <w:r>
        <w:t>bien</w:t>
      </w:r>
      <w:r w:rsidRPr="002C4077">
        <w:t xml:space="preserve"> </w:t>
      </w:r>
      <w:r>
        <w:t>compromis.</w:t>
      </w:r>
      <w:r w:rsidRPr="002C4077">
        <w:t xml:space="preserve"> </w:t>
      </w:r>
    </w:p>
    <w:p w:rsidR="000A7AAB" w:rsidRDefault="000A7AAB" w:rsidP="000A7AAB">
      <w:r>
        <w:t>À</w:t>
      </w:r>
      <w:r w:rsidRPr="002C4077">
        <w:t xml:space="preserve"> </w:t>
      </w:r>
      <w:r>
        <w:t>côté</w:t>
      </w:r>
      <w:r w:rsidRPr="002C4077">
        <w:t xml:space="preserve"> </w:t>
      </w:r>
      <w:r>
        <w:t>de</w:t>
      </w:r>
      <w:r w:rsidRPr="002C4077">
        <w:t xml:space="preserve"> </w:t>
      </w:r>
      <w:r>
        <w:t>la</w:t>
      </w:r>
      <w:r w:rsidRPr="002C4077">
        <w:t xml:space="preserve"> </w:t>
      </w:r>
      <w:r>
        <w:t>dérivation</w:t>
      </w:r>
      <w:r w:rsidRPr="002C4077">
        <w:t xml:space="preserve"> </w:t>
      </w:r>
      <w:r>
        <w:t>moderne,</w:t>
      </w:r>
      <w:r w:rsidRPr="002C4077">
        <w:t xml:space="preserve"> </w:t>
      </w:r>
      <w:r>
        <w:t>il</w:t>
      </w:r>
      <w:r w:rsidRPr="002C4077">
        <w:t xml:space="preserve"> </w:t>
      </w:r>
      <w:r>
        <w:t>y</w:t>
      </w:r>
      <w:r w:rsidRPr="002C4077">
        <w:t xml:space="preserve"> </w:t>
      </w:r>
      <w:r>
        <w:t>a</w:t>
      </w:r>
      <w:r w:rsidRPr="002C4077">
        <w:t xml:space="preserve"> </w:t>
      </w:r>
      <w:r>
        <w:t>l’étymologie</w:t>
      </w:r>
      <w:r w:rsidRPr="002C4077">
        <w:t xml:space="preserve"> </w:t>
      </w:r>
      <w:r>
        <w:t>antique,</w:t>
      </w:r>
      <w:r w:rsidRPr="002C4077">
        <w:t xml:space="preserve"> </w:t>
      </w:r>
      <w:r>
        <w:t>signalée</w:t>
      </w:r>
      <w:r w:rsidRPr="002C4077">
        <w:t xml:space="preserve"> </w:t>
      </w:r>
      <w:r>
        <w:t>plusieurs</w:t>
      </w:r>
      <w:r w:rsidRPr="002C4077">
        <w:t xml:space="preserve"> </w:t>
      </w:r>
      <w:r>
        <w:t>fois</w:t>
      </w:r>
      <w:r w:rsidRPr="002C4077">
        <w:t xml:space="preserve"> </w:t>
      </w:r>
      <w:r>
        <w:t>en</w:t>
      </w:r>
      <w:r w:rsidRPr="002C4077">
        <w:t xml:space="preserve"> </w:t>
      </w:r>
      <w:r>
        <w:t>termes</w:t>
      </w:r>
      <w:r w:rsidRPr="002C4077">
        <w:t xml:space="preserve"> </w:t>
      </w:r>
      <w:r>
        <w:t>très</w:t>
      </w:r>
      <w:r w:rsidRPr="002C4077">
        <w:t xml:space="preserve"> </w:t>
      </w:r>
      <w:r>
        <w:t>explicites</w:t>
      </w:r>
      <w:r w:rsidRPr="002C4077">
        <w:t xml:space="preserve"> </w:t>
      </w:r>
      <w:r>
        <w:t>par</w:t>
      </w:r>
      <w:r w:rsidRPr="002C4077">
        <w:t xml:space="preserve"> </w:t>
      </w:r>
      <w:r>
        <w:t>le</w:t>
      </w:r>
      <w:r w:rsidRPr="002C4077">
        <w:t xml:space="preserve"> </w:t>
      </w:r>
      <w:r>
        <w:t>plus</w:t>
      </w:r>
      <w:r w:rsidRPr="002C4077">
        <w:t xml:space="preserve"> </w:t>
      </w:r>
      <w:r>
        <w:t>célèbre</w:t>
      </w:r>
      <w:r w:rsidRPr="002C4077">
        <w:t xml:space="preserve"> </w:t>
      </w:r>
      <w:r>
        <w:t>hébraïsant</w:t>
      </w:r>
      <w:r w:rsidRPr="002C4077">
        <w:t xml:space="preserve"> </w:t>
      </w:r>
      <w:r>
        <w:t>des</w:t>
      </w:r>
      <w:r w:rsidRPr="002C4077">
        <w:t xml:space="preserve"> </w:t>
      </w:r>
      <w:r>
        <w:t>premiers</w:t>
      </w:r>
      <w:r w:rsidRPr="002C4077">
        <w:t xml:space="preserve"> </w:t>
      </w:r>
      <w:r>
        <w:t>siècles</w:t>
      </w:r>
      <w:r w:rsidRPr="002C4077">
        <w:t xml:space="preserve"> </w:t>
      </w:r>
      <w:r>
        <w:t>chrétiens,</w:t>
      </w:r>
      <w:r w:rsidRPr="002C4077">
        <w:t xml:space="preserve"> </w:t>
      </w:r>
      <w:r>
        <w:t>saint</w:t>
      </w:r>
      <w:r w:rsidRPr="002C4077">
        <w:t xml:space="preserve"> </w:t>
      </w:r>
      <w:r>
        <w:t>Jérôme</w:t>
      </w:r>
      <w:bookmarkStart w:id="219" w:name="z_JeromeSaint_o1"/>
      <w:bookmarkEnd w:id="219"/>
      <w:r>
        <w:t>.</w:t>
      </w:r>
      <w:r w:rsidRPr="002C4077">
        <w:t xml:space="preserve"> </w:t>
      </w:r>
      <w:r>
        <w:t>Nous</w:t>
      </w:r>
      <w:r w:rsidRPr="002C4077">
        <w:t xml:space="preserve"> </w:t>
      </w:r>
      <w:r>
        <w:t>citerons</w:t>
      </w:r>
      <w:r w:rsidRPr="002C4077">
        <w:t xml:space="preserve"> </w:t>
      </w:r>
      <w:r>
        <w:t>tout</w:t>
      </w:r>
      <w:r w:rsidRPr="002C4077">
        <w:t xml:space="preserve"> </w:t>
      </w:r>
      <w:r>
        <w:t>au</w:t>
      </w:r>
      <w:r w:rsidRPr="002C4077">
        <w:t xml:space="preserve"> </w:t>
      </w:r>
      <w:r>
        <w:t>long</w:t>
      </w:r>
      <w:r w:rsidRPr="002C4077">
        <w:t xml:space="preserve"> </w:t>
      </w:r>
      <w:r>
        <w:t>deux</w:t>
      </w:r>
      <w:r w:rsidRPr="002C4077">
        <w:t xml:space="preserve"> </w:t>
      </w:r>
      <w:r>
        <w:t>de</w:t>
      </w:r>
      <w:r w:rsidRPr="002C4077">
        <w:t xml:space="preserve"> </w:t>
      </w:r>
      <w:r>
        <w:t>ses</w:t>
      </w:r>
      <w:r w:rsidRPr="002C4077">
        <w:t xml:space="preserve"> </w:t>
      </w:r>
      <w:r>
        <w:t>passages</w:t>
      </w:r>
      <w:r w:rsidRPr="002C4077">
        <w:t xml:space="preserve"> </w:t>
      </w:r>
      <w:r>
        <w:t>principaux.</w:t>
      </w:r>
      <w:r w:rsidRPr="002C4077">
        <w:t xml:space="preserve"> </w:t>
      </w:r>
    </w:p>
    <w:p w:rsidR="000A7AAB" w:rsidRDefault="000A7AAB" w:rsidP="000A7AAB">
      <w:r w:rsidRPr="000A34B5">
        <w:rPr>
          <w:rStyle w:val="italicus"/>
        </w:rPr>
        <w:t>Tradit</w:t>
      </w:r>
      <w:r w:rsidR="003B53FD" w:rsidRPr="000A34B5">
        <w:rPr>
          <w:rStyle w:val="italicus"/>
        </w:rPr>
        <w:t>i</w:t>
      </w:r>
      <w:r w:rsidR="003B53FD">
        <w:rPr>
          <w:rStyle w:val="italicus"/>
        </w:rPr>
        <w:t>ó</w:t>
      </w:r>
      <w:r w:rsidR="003B53FD" w:rsidRPr="000A34B5">
        <w:rPr>
          <w:rStyle w:val="italicus"/>
        </w:rPr>
        <w:t>nes</w:t>
      </w:r>
      <w:r w:rsidRPr="002C4077">
        <w:t xml:space="preserve"> </w:t>
      </w:r>
      <w:r w:rsidRPr="000A34B5">
        <w:rPr>
          <w:rStyle w:val="italicus"/>
        </w:rPr>
        <w:t>Hebr.</w:t>
      </w:r>
      <w:r w:rsidRPr="002C4077">
        <w:t xml:space="preserve"> </w:t>
      </w:r>
      <w:r>
        <w:t>in</w:t>
      </w:r>
      <w:r w:rsidRPr="002C4077">
        <w:t xml:space="preserve"> </w:t>
      </w:r>
      <w:r>
        <w:t>Gen.</w:t>
      </w:r>
      <w:r w:rsidRPr="002C4077">
        <w:t xml:space="preserve"> </w:t>
      </w:r>
      <w:r>
        <w:t>XXIV,</w:t>
      </w:r>
      <w:r w:rsidRPr="002C4077">
        <w:t xml:space="preserve"> </w:t>
      </w:r>
      <w:r>
        <w:t>43</w:t>
      </w:r>
      <w:r w:rsidR="00B546AF">
        <w:t> :</w:t>
      </w:r>
      <w:r w:rsidRPr="002C4077">
        <w:t xml:space="preserve"> </w:t>
      </w:r>
      <w:r w:rsidR="00B546AF">
        <w:t>« </w:t>
      </w:r>
      <w:r>
        <w:t>Pro</w:t>
      </w:r>
      <w:r w:rsidRPr="002C4077">
        <w:t xml:space="preserve"> </w:t>
      </w:r>
      <w:r w:rsidR="0080420C">
        <w:t>adolescéntula</w:t>
      </w:r>
      <w:r w:rsidRPr="002C4077">
        <w:t xml:space="preserve"> </w:t>
      </w:r>
      <w:r>
        <w:t>quoque,</w:t>
      </w:r>
      <w:r w:rsidRPr="002C4077">
        <w:t xml:space="preserve"> </w:t>
      </w:r>
      <w:r>
        <w:t>quæ</w:t>
      </w:r>
      <w:r w:rsidRPr="002C4077">
        <w:t xml:space="preserve"> </w:t>
      </w:r>
      <w:r>
        <w:t>græco</w:t>
      </w:r>
      <w:r w:rsidRPr="002C4077">
        <w:t xml:space="preserve"> </w:t>
      </w:r>
      <w:r w:rsidR="0080420C">
        <w:t>sermóne</w:t>
      </w:r>
      <w:r w:rsidR="00422B3A">
        <w:t xml:space="preserve"> </w:t>
      </w:r>
      <w:r w:rsidR="0080420C" w:rsidRPr="0080420C">
        <w:t>νεᾶνις</w:t>
      </w:r>
      <w:r w:rsidR="0080420C" w:rsidRPr="002C4077">
        <w:t xml:space="preserve"> </w:t>
      </w:r>
      <w:r>
        <w:t>d</w:t>
      </w:r>
      <w:r w:rsidR="003B53FD">
        <w:t>ícitur</w:t>
      </w:r>
      <w:r>
        <w:t>,</w:t>
      </w:r>
      <w:r w:rsidRPr="002C4077">
        <w:t xml:space="preserve"> </w:t>
      </w:r>
      <w:r>
        <w:t>ibi</w:t>
      </w:r>
      <w:r w:rsidRPr="002C4077">
        <w:t xml:space="preserve"> </w:t>
      </w:r>
      <w:r w:rsidR="00860738">
        <w:t>légimus</w:t>
      </w:r>
      <w:r w:rsidR="00860738" w:rsidRPr="002C4077">
        <w:t xml:space="preserve"> </w:t>
      </w:r>
      <w:r w:rsidR="00860738">
        <w:rPr>
          <w:rStyle w:val="italicus"/>
        </w:rPr>
        <w:t>alm</w:t>
      </w:r>
      <w:r w:rsidRPr="000A34B5">
        <w:rPr>
          <w:rStyle w:val="italicus"/>
        </w:rPr>
        <w:t>a,</w:t>
      </w:r>
      <w:r w:rsidRPr="002C4077">
        <w:t xml:space="preserve"> </w:t>
      </w:r>
      <w:r>
        <w:t>quod</w:t>
      </w:r>
      <w:r w:rsidRPr="002C4077">
        <w:t xml:space="preserve"> </w:t>
      </w:r>
      <w:r>
        <w:t>quidem</w:t>
      </w:r>
      <w:r w:rsidRPr="002C4077">
        <w:t xml:space="preserve"> </w:t>
      </w:r>
      <w:r>
        <w:t>et</w:t>
      </w:r>
      <w:r w:rsidRPr="002C4077">
        <w:t xml:space="preserve"> </w:t>
      </w:r>
      <w:r>
        <w:t>in</w:t>
      </w:r>
      <w:r w:rsidRPr="002C4077">
        <w:t xml:space="preserve"> </w:t>
      </w:r>
      <w:r w:rsidR="003B53FD">
        <w:t>Isaía</w:t>
      </w:r>
      <w:r w:rsidRPr="002C4077">
        <w:t xml:space="preserve"> </w:t>
      </w:r>
      <w:r w:rsidR="003B53FD">
        <w:t>habétur</w:t>
      </w:r>
      <w:r>
        <w:t>.</w:t>
      </w:r>
      <w:r w:rsidRPr="002C4077">
        <w:t xml:space="preserve"> </w:t>
      </w:r>
      <w:r>
        <w:t>Nam</w:t>
      </w:r>
      <w:r w:rsidRPr="002C4077">
        <w:t xml:space="preserve"> </w:t>
      </w:r>
      <w:r>
        <w:t>in</w:t>
      </w:r>
      <w:r w:rsidRPr="002C4077">
        <w:t xml:space="preserve"> </w:t>
      </w:r>
      <w:r>
        <w:t>eo</w:t>
      </w:r>
      <w:r w:rsidRPr="002C4077">
        <w:t xml:space="preserve"> </w:t>
      </w:r>
      <w:r>
        <w:t>loco,</w:t>
      </w:r>
      <w:r w:rsidRPr="002C4077">
        <w:t xml:space="preserve"> </w:t>
      </w:r>
      <w:r>
        <w:t>ubi</w:t>
      </w:r>
      <w:r w:rsidRPr="002C4077">
        <w:t xml:space="preserve"> </w:t>
      </w:r>
      <w:r>
        <w:t>in</w:t>
      </w:r>
      <w:r w:rsidRPr="002C4077">
        <w:t xml:space="preserve"> </w:t>
      </w:r>
      <w:r>
        <w:t>nostris</w:t>
      </w:r>
      <w:r w:rsidRPr="002C4077">
        <w:t xml:space="preserve"> </w:t>
      </w:r>
      <w:r>
        <w:t>cod</w:t>
      </w:r>
      <w:r w:rsidR="003B53FD">
        <w:t>ícibus</w:t>
      </w:r>
      <w:r w:rsidRPr="002C4077">
        <w:t xml:space="preserve"> </w:t>
      </w:r>
      <w:r w:rsidR="003B53FD">
        <w:t>scriptum</w:t>
      </w:r>
      <w:r w:rsidRPr="002C4077">
        <w:t xml:space="preserve"> </w:t>
      </w:r>
      <w:r w:rsidR="00425C50">
        <w:t>est</w:t>
      </w:r>
      <w:r w:rsidR="00B546AF">
        <w:t> :</w:t>
      </w:r>
      <w:r w:rsidRPr="002C4077">
        <w:t xml:space="preserve"> </w:t>
      </w:r>
      <w:r w:rsidRPr="000A34B5">
        <w:rPr>
          <w:rStyle w:val="italicus"/>
        </w:rPr>
        <w:t>Ecce</w:t>
      </w:r>
      <w:r w:rsidRPr="002C4077">
        <w:t xml:space="preserve"> </w:t>
      </w:r>
      <w:r w:rsidRPr="000A34B5">
        <w:rPr>
          <w:rStyle w:val="italicus"/>
        </w:rPr>
        <w:t>Virgo</w:t>
      </w:r>
      <w:r w:rsidRPr="002C4077">
        <w:t xml:space="preserve"> </w:t>
      </w:r>
      <w:r w:rsidR="00860738" w:rsidRPr="000A34B5">
        <w:rPr>
          <w:rStyle w:val="italicus"/>
        </w:rPr>
        <w:t>concípiet</w:t>
      </w:r>
      <w:r w:rsidRPr="002C4077">
        <w:t xml:space="preserve"> </w:t>
      </w:r>
      <w:r w:rsidRPr="000A34B5">
        <w:rPr>
          <w:rStyle w:val="italicus"/>
        </w:rPr>
        <w:t>et</w:t>
      </w:r>
      <w:r w:rsidRPr="002C4077">
        <w:t xml:space="preserve"> </w:t>
      </w:r>
      <w:r w:rsidR="00860738" w:rsidRPr="000A34B5">
        <w:rPr>
          <w:rStyle w:val="italicus"/>
        </w:rPr>
        <w:t>páriet</w:t>
      </w:r>
      <w:r w:rsidRPr="000A34B5">
        <w:rPr>
          <w:rStyle w:val="italicus"/>
        </w:rPr>
        <w:t>,…</w:t>
      </w:r>
      <w:r w:rsidRPr="002C4077">
        <w:t xml:space="preserve"> </w:t>
      </w:r>
      <w:r>
        <w:t>in</w:t>
      </w:r>
      <w:r w:rsidRPr="002C4077">
        <w:t xml:space="preserve"> </w:t>
      </w:r>
      <w:r>
        <w:t>h</w:t>
      </w:r>
      <w:r w:rsidR="003B53FD">
        <w:t>ebrǽo</w:t>
      </w:r>
      <w:r w:rsidRPr="002C4077">
        <w:t xml:space="preserve"> </w:t>
      </w:r>
      <w:r>
        <w:t>l</w:t>
      </w:r>
      <w:r w:rsidR="003B53FD">
        <w:t>égitur</w:t>
      </w:r>
      <w:r w:rsidR="00B546AF">
        <w:t> :</w:t>
      </w:r>
      <w:r w:rsidR="00860738" w:rsidRPr="002C4077">
        <w:t xml:space="preserve"> </w:t>
      </w:r>
      <w:r w:rsidR="00860738">
        <w:rPr>
          <w:rStyle w:val="italicus"/>
        </w:rPr>
        <w:t>Ecce</w:t>
      </w:r>
      <w:r w:rsidR="00860738" w:rsidRPr="002C4077">
        <w:t xml:space="preserve"> </w:t>
      </w:r>
      <w:r w:rsidR="00860738">
        <w:rPr>
          <w:rStyle w:val="italicus"/>
        </w:rPr>
        <w:t>Al</w:t>
      </w:r>
      <w:r w:rsidRPr="000A34B5">
        <w:rPr>
          <w:rStyle w:val="italicus"/>
        </w:rPr>
        <w:t>ma</w:t>
      </w:r>
      <w:r w:rsidRPr="002C4077">
        <w:t xml:space="preserve"> </w:t>
      </w:r>
      <w:r w:rsidR="00860738" w:rsidRPr="000A34B5">
        <w:rPr>
          <w:rStyle w:val="italicus"/>
        </w:rPr>
        <w:t>concípiet</w:t>
      </w:r>
      <w:r w:rsidRPr="002C4077">
        <w:t xml:space="preserve"> </w:t>
      </w:r>
      <w:r w:rsidRPr="000A34B5">
        <w:rPr>
          <w:rStyle w:val="italicus"/>
        </w:rPr>
        <w:t>et</w:t>
      </w:r>
      <w:r w:rsidRPr="002C4077">
        <w:t xml:space="preserve"> </w:t>
      </w:r>
      <w:r w:rsidR="00860738" w:rsidRPr="000A34B5">
        <w:rPr>
          <w:rStyle w:val="italicus"/>
        </w:rPr>
        <w:t>páriet</w:t>
      </w:r>
      <w:r w:rsidRPr="000A34B5">
        <w:rPr>
          <w:rStyle w:val="italicus"/>
        </w:rPr>
        <w:t>.</w:t>
      </w:r>
      <w:r w:rsidRPr="002C4077">
        <w:t xml:space="preserve"> </w:t>
      </w:r>
      <w:r w:rsidR="003B53FD">
        <w:t>Notándum</w:t>
      </w:r>
      <w:r w:rsidRPr="002C4077">
        <w:t xml:space="preserve"> </w:t>
      </w:r>
      <w:r>
        <w:t>ergo</w:t>
      </w:r>
      <w:r w:rsidRPr="002C4077">
        <w:t xml:space="preserve"> </w:t>
      </w:r>
      <w:r>
        <w:t>quod</w:t>
      </w:r>
      <w:r w:rsidRPr="002C4077">
        <w:t xml:space="preserve"> </w:t>
      </w:r>
      <w:r>
        <w:t>verbum</w:t>
      </w:r>
      <w:r w:rsidR="00860738" w:rsidRPr="002C4077">
        <w:t xml:space="preserve"> </w:t>
      </w:r>
      <w:r w:rsidR="00860738">
        <w:rPr>
          <w:rStyle w:val="italicus"/>
        </w:rPr>
        <w:t>al</w:t>
      </w:r>
      <w:r w:rsidRPr="000A34B5">
        <w:rPr>
          <w:rStyle w:val="italicus"/>
        </w:rPr>
        <w:t>ma</w:t>
      </w:r>
      <w:r w:rsidRPr="002C4077">
        <w:t xml:space="preserve"> </w:t>
      </w:r>
      <w:r>
        <w:t>nunquam</w:t>
      </w:r>
      <w:r w:rsidRPr="002C4077">
        <w:t xml:space="preserve"> </w:t>
      </w:r>
      <w:r>
        <w:t>nisi</w:t>
      </w:r>
      <w:r w:rsidRPr="002C4077">
        <w:t xml:space="preserve"> </w:t>
      </w:r>
      <w:r>
        <w:t>in</w:t>
      </w:r>
      <w:r w:rsidRPr="002C4077">
        <w:t xml:space="preserve"> </w:t>
      </w:r>
      <w:r>
        <w:t>v</w:t>
      </w:r>
      <w:r w:rsidR="003B53FD">
        <w:t>írgine</w:t>
      </w:r>
      <w:r w:rsidRPr="002C4077">
        <w:t xml:space="preserve"> </w:t>
      </w:r>
      <w:r>
        <w:t>scr</w:t>
      </w:r>
      <w:r w:rsidR="003B53FD">
        <w:t>íbitur</w:t>
      </w:r>
      <w:r>
        <w:t>,</w:t>
      </w:r>
      <w:r w:rsidRPr="002C4077">
        <w:t xml:space="preserve"> </w:t>
      </w:r>
      <w:r>
        <w:t>et</w:t>
      </w:r>
      <w:r w:rsidRPr="002C4077">
        <w:t xml:space="preserve"> </w:t>
      </w:r>
      <w:r>
        <w:t>habet</w:t>
      </w:r>
      <w:r w:rsidRPr="002C4077">
        <w:t xml:space="preserve"> </w:t>
      </w:r>
      <w:r>
        <w:t>etymol</w:t>
      </w:r>
      <w:r w:rsidR="003B53FD">
        <w:t>ógiam</w:t>
      </w:r>
      <w:r w:rsidR="0080420C" w:rsidRPr="002C4077">
        <w:t xml:space="preserve"> </w:t>
      </w:r>
      <w:r w:rsidR="00860738" w:rsidRPr="002038BC">
        <w:t>ἀπόκρυφος</w:t>
      </w:r>
      <w:r>
        <w:t>,</w:t>
      </w:r>
      <w:r w:rsidRPr="002C4077">
        <w:t xml:space="preserve"> </w:t>
      </w:r>
      <w:r>
        <w:t>i.</w:t>
      </w:r>
      <w:r w:rsidRPr="002C4077">
        <w:t xml:space="preserve"> </w:t>
      </w:r>
      <w:r>
        <w:t>e.</w:t>
      </w:r>
      <w:r w:rsidRPr="002C4077">
        <w:t xml:space="preserve"> </w:t>
      </w:r>
      <w:r w:rsidR="00860738">
        <w:t>abscóndita</w:t>
      </w:r>
      <w:r>
        <w:t>.</w:t>
      </w:r>
      <w:r w:rsidRPr="002C4077">
        <w:t xml:space="preserve"> </w:t>
      </w:r>
      <w:r w:rsidR="003B53FD">
        <w:t>Scriptum</w:t>
      </w:r>
      <w:r w:rsidRPr="002C4077">
        <w:t xml:space="preserve"> </w:t>
      </w:r>
      <w:r w:rsidR="00860738">
        <w:t>síquidem</w:t>
      </w:r>
      <w:r w:rsidRPr="002C4077">
        <w:t xml:space="preserve"> </w:t>
      </w:r>
      <w:r w:rsidR="00425C50">
        <w:t>est</w:t>
      </w:r>
      <w:r w:rsidRPr="002C4077">
        <w:t xml:space="preserve"> </w:t>
      </w:r>
      <w:r>
        <w:t>in</w:t>
      </w:r>
      <w:r w:rsidRPr="002C4077">
        <w:t xml:space="preserve"> </w:t>
      </w:r>
      <w:r>
        <w:t>Job</w:t>
      </w:r>
      <w:r w:rsidR="00B91AF7">
        <w:rPr>
          <w:rStyle w:val="Appelnotedebasdep"/>
        </w:rPr>
        <w:footnoteReference w:id="192"/>
      </w:r>
      <w:r w:rsidRPr="002C4077">
        <w:t xml:space="preserve"> </w:t>
      </w:r>
      <w:r>
        <w:t>de</w:t>
      </w:r>
      <w:r w:rsidRPr="002C4077">
        <w:t xml:space="preserve"> </w:t>
      </w:r>
      <w:r>
        <w:t>sapi</w:t>
      </w:r>
      <w:r w:rsidR="003B53FD">
        <w:t>éntia</w:t>
      </w:r>
      <w:r w:rsidR="00B546AF">
        <w:t> :</w:t>
      </w:r>
      <w:r w:rsidRPr="002C4077">
        <w:t xml:space="preserve"> </w:t>
      </w:r>
      <w:r>
        <w:t>Unde</w:t>
      </w:r>
      <w:r w:rsidRPr="002C4077">
        <w:t xml:space="preserve"> </w:t>
      </w:r>
      <w:r>
        <w:t>inv</w:t>
      </w:r>
      <w:r w:rsidR="003B53FD">
        <w:t>eniétur</w:t>
      </w:r>
      <w:r w:rsidR="00B546AF">
        <w:t> ?</w:t>
      </w:r>
      <w:r w:rsidRPr="002C4077">
        <w:t xml:space="preserve"> </w:t>
      </w:r>
      <w:r>
        <w:t>et</w:t>
      </w:r>
      <w:r w:rsidRPr="002C4077">
        <w:t xml:space="preserve"> </w:t>
      </w:r>
      <w:r>
        <w:t>quis</w:t>
      </w:r>
      <w:r w:rsidRPr="002C4077">
        <w:t xml:space="preserve"> </w:t>
      </w:r>
      <w:r>
        <w:t>locus</w:t>
      </w:r>
      <w:r w:rsidRPr="002C4077">
        <w:t xml:space="preserve"> </w:t>
      </w:r>
      <w:r w:rsidR="00860738">
        <w:t>intelléctus</w:t>
      </w:r>
      <w:r w:rsidR="00B546AF">
        <w:t> ?</w:t>
      </w:r>
      <w:r w:rsidRPr="002C4077">
        <w:t xml:space="preserve"> </w:t>
      </w:r>
      <w:r>
        <w:t>et</w:t>
      </w:r>
      <w:r w:rsidRPr="002C4077">
        <w:t xml:space="preserve"> </w:t>
      </w:r>
      <w:r>
        <w:t>absc</w:t>
      </w:r>
      <w:r w:rsidR="003B53FD">
        <w:t>ondétur</w:t>
      </w:r>
      <w:r w:rsidRPr="002C4077">
        <w:t xml:space="preserve"> </w:t>
      </w:r>
      <w:r>
        <w:t>ab</w:t>
      </w:r>
      <w:r w:rsidRPr="002C4077">
        <w:t xml:space="preserve"> </w:t>
      </w:r>
      <w:r w:rsidR="00860738">
        <w:t>óculis</w:t>
      </w:r>
      <w:r w:rsidRPr="002C4077">
        <w:t xml:space="preserve"> </w:t>
      </w:r>
      <w:r>
        <w:t>omnis</w:t>
      </w:r>
      <w:r w:rsidRPr="002C4077">
        <w:t xml:space="preserve"> </w:t>
      </w:r>
      <w:r w:rsidR="00860738">
        <w:t>vivéntis</w:t>
      </w:r>
      <w:r>
        <w:t>.</w:t>
      </w:r>
      <w:r w:rsidRPr="002C4077">
        <w:t xml:space="preserve"> </w:t>
      </w:r>
      <w:r>
        <w:t>Ubi</w:t>
      </w:r>
      <w:r w:rsidRPr="002C4077">
        <w:t xml:space="preserve"> </w:t>
      </w:r>
      <w:r>
        <w:t>nunc</w:t>
      </w:r>
      <w:r w:rsidRPr="002C4077">
        <w:t xml:space="preserve"> </w:t>
      </w:r>
      <w:r w:rsidR="00860738">
        <w:t>díximus</w:t>
      </w:r>
      <w:r w:rsidRPr="002C4077">
        <w:t xml:space="preserve"> </w:t>
      </w:r>
      <w:r w:rsidRPr="000A34B5">
        <w:rPr>
          <w:rStyle w:val="italicus"/>
        </w:rPr>
        <w:t>absc</w:t>
      </w:r>
      <w:r w:rsidR="003B53FD" w:rsidRPr="000A34B5">
        <w:rPr>
          <w:rStyle w:val="italicus"/>
        </w:rPr>
        <w:t>ond</w:t>
      </w:r>
      <w:r w:rsidR="003B53FD">
        <w:rPr>
          <w:rStyle w:val="italicus"/>
        </w:rPr>
        <w:t>é</w:t>
      </w:r>
      <w:r w:rsidR="003B53FD" w:rsidRPr="000A34B5">
        <w:rPr>
          <w:rStyle w:val="italicus"/>
        </w:rPr>
        <w:t>tur</w:t>
      </w:r>
      <w:r w:rsidRPr="000A34B5">
        <w:rPr>
          <w:rStyle w:val="italicus"/>
        </w:rPr>
        <w:t>,</w:t>
      </w:r>
      <w:r w:rsidRPr="002C4077">
        <w:t xml:space="preserve"> </w:t>
      </w:r>
      <w:r>
        <w:t>in</w:t>
      </w:r>
      <w:r w:rsidRPr="002C4077">
        <w:t xml:space="preserve"> </w:t>
      </w:r>
      <w:r>
        <w:t>h</w:t>
      </w:r>
      <w:r w:rsidR="003B53FD">
        <w:t>ebrǽo</w:t>
      </w:r>
      <w:r>
        <w:t>…</w:t>
      </w:r>
      <w:r w:rsidRPr="002C4077">
        <w:t xml:space="preserve"> </w:t>
      </w:r>
      <w:r w:rsidRPr="000A34B5">
        <w:rPr>
          <w:rStyle w:val="italicus"/>
        </w:rPr>
        <w:t>neelma</w:t>
      </w:r>
      <w:r w:rsidRPr="004440EA">
        <w:t xml:space="preserve"> (</w:t>
      </w:r>
      <w:r w:rsidR="0080420C" w:rsidRPr="002038BC">
        <w:rPr>
          <w:rtl/>
          <w:lang w:bidi="he-IL"/>
        </w:rPr>
        <w:t>נערמה</w:t>
      </w:r>
      <w:r w:rsidR="00B546AF" w:rsidRPr="002C4077">
        <w:t>)</w:t>
      </w:r>
      <w:r w:rsidRPr="002C4077">
        <w:t xml:space="preserve"> </w:t>
      </w:r>
      <w:r>
        <w:t>d</w:t>
      </w:r>
      <w:r w:rsidR="003B53FD">
        <w:t>ícitur</w:t>
      </w:r>
      <w:r>
        <w:t>.</w:t>
      </w:r>
      <w:r w:rsidRPr="002C4077">
        <w:t xml:space="preserve"> </w:t>
      </w:r>
      <w:r>
        <w:t>Huic</w:t>
      </w:r>
      <w:r w:rsidRPr="002C4077">
        <w:t xml:space="preserve"> </w:t>
      </w:r>
      <w:r>
        <w:t>quid</w:t>
      </w:r>
      <w:r w:rsidRPr="002C4077">
        <w:t xml:space="preserve"> </w:t>
      </w:r>
      <w:r w:rsidR="003B53FD">
        <w:t>símile</w:t>
      </w:r>
      <w:r>
        <w:t>,</w:t>
      </w:r>
      <w:r w:rsidRPr="002C4077">
        <w:t xml:space="preserve"> </w:t>
      </w:r>
      <w:r>
        <w:t>licet</w:t>
      </w:r>
      <w:r w:rsidRPr="002C4077">
        <w:t xml:space="preserve"> </w:t>
      </w:r>
      <w:r w:rsidR="00860738">
        <w:t>masculíno</w:t>
      </w:r>
      <w:r w:rsidRPr="002C4077">
        <w:t xml:space="preserve"> </w:t>
      </w:r>
      <w:r w:rsidR="00860738">
        <w:t>génere</w:t>
      </w:r>
      <w:r w:rsidRPr="002C4077">
        <w:t xml:space="preserve"> </w:t>
      </w:r>
      <w:r>
        <w:t>dec</w:t>
      </w:r>
      <w:r w:rsidR="003B53FD">
        <w:t>linétur</w:t>
      </w:r>
      <w:r>
        <w:t>,</w:t>
      </w:r>
      <w:r w:rsidRPr="002C4077">
        <w:t xml:space="preserve"> </w:t>
      </w:r>
      <w:r>
        <w:t>et</w:t>
      </w:r>
      <w:r w:rsidRPr="002C4077">
        <w:t xml:space="preserve"> </w:t>
      </w:r>
      <w:r>
        <w:t>in</w:t>
      </w:r>
      <w:r w:rsidRPr="002C4077">
        <w:t xml:space="preserve"> </w:t>
      </w:r>
      <w:r>
        <w:t>R</w:t>
      </w:r>
      <w:r w:rsidR="003B53FD">
        <w:t>egnór</w:t>
      </w:r>
      <w:r w:rsidR="00860738">
        <w:t>u</w:t>
      </w:r>
      <w:r w:rsidR="003B53FD">
        <w:t>m</w:t>
      </w:r>
      <w:r w:rsidRPr="002C4077">
        <w:t xml:space="preserve"> </w:t>
      </w:r>
      <w:r>
        <w:t>libris</w:t>
      </w:r>
      <w:r w:rsidRPr="002C4077">
        <w:t xml:space="preserve"> </w:t>
      </w:r>
      <w:r w:rsidR="003B53FD">
        <w:t>scriptum</w:t>
      </w:r>
      <w:r w:rsidR="00860738" w:rsidRPr="002C4077">
        <w:t xml:space="preserve"> </w:t>
      </w:r>
      <w:r w:rsidR="00425C50">
        <w:t>est</w:t>
      </w:r>
      <w:r w:rsidR="00860738">
        <w:rPr>
          <w:rStyle w:val="Appelnotedebasdep"/>
        </w:rPr>
        <w:footnoteReference w:id="193"/>
      </w:r>
      <w:r>
        <w:t>,</w:t>
      </w:r>
      <w:r w:rsidRPr="002C4077">
        <w:t xml:space="preserve"> </w:t>
      </w:r>
      <w:r>
        <w:t>ex</w:t>
      </w:r>
      <w:r w:rsidRPr="002C4077">
        <w:t xml:space="preserve"> </w:t>
      </w:r>
      <w:r>
        <w:t>p</w:t>
      </w:r>
      <w:r w:rsidR="003B53FD">
        <w:t>ersóna</w:t>
      </w:r>
      <w:r w:rsidRPr="002C4077">
        <w:t xml:space="preserve"> </w:t>
      </w:r>
      <w:r>
        <w:t>Elis</w:t>
      </w:r>
      <w:r w:rsidR="00860738">
        <w:t>ǽ</w:t>
      </w:r>
      <w:r>
        <w:t>i</w:t>
      </w:r>
      <w:r w:rsidRPr="002C4077">
        <w:t xml:space="preserve"> </w:t>
      </w:r>
      <w:r w:rsidR="00860738">
        <w:t>loquéntis</w:t>
      </w:r>
      <w:r w:rsidRPr="002C4077">
        <w:t xml:space="preserve"> </w:t>
      </w:r>
      <w:r>
        <w:t>ad</w:t>
      </w:r>
      <w:r w:rsidRPr="002C4077">
        <w:t xml:space="preserve"> </w:t>
      </w:r>
      <w:r w:rsidR="00860738">
        <w:t>Giezí</w:t>
      </w:r>
      <w:r w:rsidR="00B546AF">
        <w:t> :</w:t>
      </w:r>
      <w:r w:rsidR="00C45B47">
        <w:t xml:space="preserve"> {</w:t>
      </w:r>
      <w:r w:rsidR="000721C4">
        <w:t>68</w:t>
      </w:r>
      <w:bookmarkStart w:id="220" w:name="p068"/>
      <w:bookmarkEnd w:id="220"/>
      <w:r w:rsidR="000721C4">
        <w:t xml:space="preserve">} </w:t>
      </w:r>
      <w:r>
        <w:t>Et</w:t>
      </w:r>
      <w:r w:rsidRPr="002C4077">
        <w:t xml:space="preserve"> </w:t>
      </w:r>
      <w:r>
        <w:t>D</w:t>
      </w:r>
      <w:r w:rsidR="003B53FD">
        <w:t>óminus</w:t>
      </w:r>
      <w:r w:rsidRPr="002C4077">
        <w:t xml:space="preserve"> </w:t>
      </w:r>
      <w:r>
        <w:t>abscondit</w:t>
      </w:r>
      <w:r w:rsidRPr="002C4077">
        <w:t xml:space="preserve"> </w:t>
      </w:r>
      <w:r>
        <w:t>me.</w:t>
      </w:r>
      <w:r w:rsidRPr="002C4077">
        <w:t xml:space="preserve"> </w:t>
      </w:r>
      <w:r>
        <w:t>Ergo</w:t>
      </w:r>
      <w:r w:rsidRPr="002C4077">
        <w:t xml:space="preserve"> </w:t>
      </w:r>
      <w:r w:rsidR="0054349A">
        <w:rPr>
          <w:rStyle w:val="italicus"/>
        </w:rPr>
        <w:t>alma</w:t>
      </w:r>
      <w:r w:rsidRPr="000A34B5">
        <w:rPr>
          <w:rStyle w:val="italicus"/>
        </w:rPr>
        <w:t>,</w:t>
      </w:r>
      <w:r w:rsidRPr="002C4077">
        <w:t xml:space="preserve"> </w:t>
      </w:r>
      <w:r>
        <w:t>quod</w:t>
      </w:r>
      <w:r w:rsidRPr="002C4077">
        <w:t xml:space="preserve"> </w:t>
      </w:r>
      <w:r w:rsidR="00860738">
        <w:t>interpretátur</w:t>
      </w:r>
      <w:r w:rsidRPr="002C4077">
        <w:t xml:space="preserve"> </w:t>
      </w:r>
      <w:r w:rsidR="00860738" w:rsidRPr="000A34B5">
        <w:rPr>
          <w:rStyle w:val="italicus"/>
        </w:rPr>
        <w:t>abscóndita</w:t>
      </w:r>
      <w:r w:rsidRPr="000A34B5">
        <w:rPr>
          <w:rStyle w:val="italicus"/>
        </w:rPr>
        <w:t>,</w:t>
      </w:r>
      <w:r w:rsidRPr="002C4077">
        <w:t xml:space="preserve"> </w:t>
      </w:r>
      <w:r>
        <w:t>id</w:t>
      </w:r>
      <w:r w:rsidRPr="002C4077">
        <w:t xml:space="preserve"> </w:t>
      </w:r>
      <w:r w:rsidR="00425C50">
        <w:t>est</w:t>
      </w:r>
      <w:r>
        <w:t>,</w:t>
      </w:r>
      <w:r w:rsidRPr="002C4077">
        <w:t xml:space="preserve"> </w:t>
      </w:r>
      <w:r>
        <w:t>virgo</w:t>
      </w:r>
      <w:r w:rsidRPr="002C4077">
        <w:t xml:space="preserve"> </w:t>
      </w:r>
      <w:r>
        <w:t>n</w:t>
      </w:r>
      <w:r w:rsidR="003B53FD">
        <w:t>ímia</w:t>
      </w:r>
      <w:r w:rsidRPr="002C4077">
        <w:t xml:space="preserve"> </w:t>
      </w:r>
      <w:r>
        <w:t>dilig</w:t>
      </w:r>
      <w:r w:rsidR="003B53FD">
        <w:t>éntia</w:t>
      </w:r>
      <w:r w:rsidRPr="002C4077">
        <w:t xml:space="preserve"> </w:t>
      </w:r>
      <w:r w:rsidR="00860738">
        <w:t>custodíta</w:t>
      </w:r>
      <w:r>
        <w:t>,</w:t>
      </w:r>
      <w:r w:rsidRPr="002C4077">
        <w:t xml:space="preserve"> </w:t>
      </w:r>
      <w:r>
        <w:t>m</w:t>
      </w:r>
      <w:r w:rsidR="003B53FD">
        <w:t>ajóris</w:t>
      </w:r>
      <w:r w:rsidRPr="002C4077">
        <w:t xml:space="preserve"> </w:t>
      </w:r>
      <w:r>
        <w:t>mihi</w:t>
      </w:r>
      <w:r w:rsidRPr="002C4077">
        <w:t xml:space="preserve"> </w:t>
      </w:r>
      <w:r w:rsidR="003B53FD">
        <w:t>vidétur</w:t>
      </w:r>
      <w:r w:rsidRPr="002C4077">
        <w:t xml:space="preserve"> </w:t>
      </w:r>
      <w:r>
        <w:t>laudis</w:t>
      </w:r>
      <w:r w:rsidRPr="002C4077">
        <w:t xml:space="preserve"> </w:t>
      </w:r>
      <w:r>
        <w:t>esse</w:t>
      </w:r>
      <w:r w:rsidRPr="002C4077">
        <w:t xml:space="preserve"> </w:t>
      </w:r>
      <w:r>
        <w:t>quam</w:t>
      </w:r>
      <w:r w:rsidRPr="002C4077">
        <w:t xml:space="preserve"> </w:t>
      </w:r>
      <w:r>
        <w:t>virgo.</w:t>
      </w:r>
      <w:r w:rsidRPr="002C4077">
        <w:t xml:space="preserve"> </w:t>
      </w:r>
      <w:r>
        <w:t>Virgo</w:t>
      </w:r>
      <w:r w:rsidRPr="002C4077">
        <w:t xml:space="preserve"> </w:t>
      </w:r>
      <w:r>
        <w:t>quippe</w:t>
      </w:r>
      <w:r w:rsidRPr="002C4077">
        <w:t xml:space="preserve"> </w:t>
      </w:r>
      <w:r>
        <w:t>juxta</w:t>
      </w:r>
      <w:r w:rsidRPr="002C4077">
        <w:t xml:space="preserve"> </w:t>
      </w:r>
      <w:r>
        <w:t>A</w:t>
      </w:r>
      <w:r w:rsidR="003B53FD">
        <w:t>póstolum</w:t>
      </w:r>
      <w:r w:rsidRPr="002C4077">
        <w:t xml:space="preserve"> </w:t>
      </w:r>
      <w:r>
        <w:t>potest</w:t>
      </w:r>
      <w:r w:rsidRPr="002C4077">
        <w:t xml:space="preserve"> </w:t>
      </w:r>
      <w:r>
        <w:t>esse</w:t>
      </w:r>
      <w:r w:rsidRPr="002C4077">
        <w:t xml:space="preserve"> </w:t>
      </w:r>
      <w:r>
        <w:t>c</w:t>
      </w:r>
      <w:r w:rsidR="003B53FD">
        <w:t>órpore</w:t>
      </w:r>
      <w:r w:rsidRPr="002C4077">
        <w:t xml:space="preserve"> </w:t>
      </w:r>
      <w:r>
        <w:t>et</w:t>
      </w:r>
      <w:r w:rsidRPr="002C4077">
        <w:t xml:space="preserve"> </w:t>
      </w:r>
      <w:r>
        <w:t>non</w:t>
      </w:r>
      <w:r w:rsidRPr="002C4077">
        <w:t xml:space="preserve"> </w:t>
      </w:r>
      <w:r>
        <w:t>s</w:t>
      </w:r>
      <w:r w:rsidR="003B53FD">
        <w:t>píritu</w:t>
      </w:r>
      <w:r>
        <w:t>.</w:t>
      </w:r>
      <w:r w:rsidRPr="002C4077">
        <w:t xml:space="preserve"> </w:t>
      </w:r>
      <w:r w:rsidR="00860738">
        <w:t>Abscóndita</w:t>
      </w:r>
      <w:r w:rsidRPr="002C4077">
        <w:t xml:space="preserve"> </w:t>
      </w:r>
      <w:r>
        <w:t>vero</w:t>
      </w:r>
      <w:r w:rsidRPr="002C4077">
        <w:t xml:space="preserve"> </w:t>
      </w:r>
      <w:r>
        <w:t>quæ</w:t>
      </w:r>
      <w:r w:rsidRPr="002C4077">
        <w:t xml:space="preserve"> </w:t>
      </w:r>
      <w:r>
        <w:t>virgo</w:t>
      </w:r>
      <w:r w:rsidRPr="002C4077">
        <w:t xml:space="preserve"> </w:t>
      </w:r>
      <w:r w:rsidR="00425C50">
        <w:t>est</w:t>
      </w:r>
      <w:r>
        <w:t>,</w:t>
      </w:r>
      <w:r w:rsidRPr="002C4077">
        <w:t xml:space="preserve"> </w:t>
      </w:r>
      <w:r w:rsidR="00860738" w:rsidRPr="00860738">
        <w:t>ἐπίτασιν</w:t>
      </w:r>
      <w:r w:rsidR="00860738" w:rsidRPr="002C4077">
        <w:t xml:space="preserve"> </w:t>
      </w:r>
      <w:r>
        <w:t>virgi</w:t>
      </w:r>
      <w:r w:rsidR="003B53FD">
        <w:t>nitátis</w:t>
      </w:r>
      <w:r w:rsidRPr="002C4077">
        <w:t xml:space="preserve"> </w:t>
      </w:r>
      <w:r>
        <w:t>habet,</w:t>
      </w:r>
      <w:r w:rsidRPr="002C4077">
        <w:t xml:space="preserve"> </w:t>
      </w:r>
      <w:r>
        <w:t>ut</w:t>
      </w:r>
      <w:r w:rsidRPr="002C4077">
        <w:t xml:space="preserve"> </w:t>
      </w:r>
      <w:r>
        <w:t>et</w:t>
      </w:r>
      <w:r w:rsidRPr="002C4077">
        <w:t xml:space="preserve"> </w:t>
      </w:r>
      <w:r>
        <w:t>virgo</w:t>
      </w:r>
      <w:r w:rsidRPr="002C4077">
        <w:t xml:space="preserve"> </w:t>
      </w:r>
      <w:r>
        <w:t>sit,</w:t>
      </w:r>
      <w:r w:rsidRPr="002C4077">
        <w:t xml:space="preserve"> </w:t>
      </w:r>
      <w:r>
        <w:t>et</w:t>
      </w:r>
      <w:r w:rsidRPr="002C4077">
        <w:t xml:space="preserve"> </w:t>
      </w:r>
      <w:r w:rsidR="00860738">
        <w:t>abscóndita</w:t>
      </w:r>
      <w:r w:rsidR="00B546AF">
        <w:t> ;</w:t>
      </w:r>
      <w:r w:rsidRPr="002C4077">
        <w:t xml:space="preserve"> </w:t>
      </w:r>
      <w:r>
        <w:t>et</w:t>
      </w:r>
      <w:r w:rsidRPr="002C4077">
        <w:t xml:space="preserve"> </w:t>
      </w:r>
      <w:r>
        <w:t>quæ</w:t>
      </w:r>
      <w:r w:rsidRPr="002C4077">
        <w:t xml:space="preserve"> </w:t>
      </w:r>
      <w:r w:rsidR="00860738">
        <w:t>abscóndita</w:t>
      </w:r>
      <w:r w:rsidRPr="002C4077">
        <w:t xml:space="preserve"> </w:t>
      </w:r>
      <w:r w:rsidR="00425C50">
        <w:t>est</w:t>
      </w:r>
      <w:r w:rsidRPr="002C4077">
        <w:t xml:space="preserve"> </w:t>
      </w:r>
      <w:r>
        <w:t>juxta</w:t>
      </w:r>
      <w:r w:rsidRPr="002C4077">
        <w:t xml:space="preserve"> </w:t>
      </w:r>
      <w:r>
        <w:t>idi</w:t>
      </w:r>
      <w:r w:rsidR="00860738">
        <w:t>óma</w:t>
      </w:r>
      <w:r w:rsidR="00860738" w:rsidRPr="002C4077">
        <w:t xml:space="preserve"> </w:t>
      </w:r>
      <w:r w:rsidR="00860738">
        <w:t>linguæ</w:t>
      </w:r>
      <w:r w:rsidRPr="002C4077">
        <w:t xml:space="preserve"> </w:t>
      </w:r>
      <w:r w:rsidR="00860738">
        <w:t>hebráicæ</w:t>
      </w:r>
      <w:r w:rsidRPr="002C4077">
        <w:t xml:space="preserve"> </w:t>
      </w:r>
      <w:r w:rsidR="00860738">
        <w:t>consequénter</w:t>
      </w:r>
      <w:r w:rsidRPr="002C4077">
        <w:t xml:space="preserve"> </w:t>
      </w:r>
      <w:r>
        <w:t>et</w:t>
      </w:r>
      <w:r w:rsidRPr="002C4077">
        <w:t xml:space="preserve"> </w:t>
      </w:r>
      <w:r>
        <w:t>virgo</w:t>
      </w:r>
      <w:r w:rsidRPr="002C4077">
        <w:t xml:space="preserve"> </w:t>
      </w:r>
      <w:r w:rsidR="00425C50">
        <w:t>est</w:t>
      </w:r>
      <w:r w:rsidR="00B546AF">
        <w:t> »</w:t>
      </w:r>
      <w:r>
        <w:t>.</w:t>
      </w:r>
      <w:r w:rsidRPr="002C4077">
        <w:t xml:space="preserve"> </w:t>
      </w:r>
      <w:r>
        <w:t>Et</w:t>
      </w:r>
      <w:r w:rsidRPr="002C4077">
        <w:t xml:space="preserve"> </w:t>
      </w:r>
      <w:r>
        <w:t>dans</w:t>
      </w:r>
      <w:r w:rsidRPr="002C4077">
        <w:t xml:space="preserve"> </w:t>
      </w:r>
      <w:r>
        <w:t>son</w:t>
      </w:r>
      <w:r w:rsidRPr="002C4077">
        <w:t xml:space="preserve"> </w:t>
      </w:r>
      <w:r w:rsidRPr="000A34B5">
        <w:rPr>
          <w:rStyle w:val="italicus"/>
        </w:rPr>
        <w:t>Commentaire</w:t>
      </w:r>
      <w:r w:rsidRPr="002C4077">
        <w:t xml:space="preserve"> </w:t>
      </w:r>
      <w:r>
        <w:t>sur</w:t>
      </w:r>
      <w:r w:rsidRPr="002C4077">
        <w:t xml:space="preserve"> </w:t>
      </w:r>
      <w:r>
        <w:t>Isaïe,</w:t>
      </w:r>
      <w:r w:rsidRPr="002C4077">
        <w:t xml:space="preserve"> </w:t>
      </w:r>
      <w:r>
        <w:t>VII,</w:t>
      </w:r>
      <w:r w:rsidRPr="002C4077">
        <w:t xml:space="preserve"> </w:t>
      </w:r>
      <w:r>
        <w:t>14</w:t>
      </w:r>
      <w:r w:rsidR="00B546AF">
        <w:t> :</w:t>
      </w:r>
      <w:r w:rsidRPr="002C4077">
        <w:t xml:space="preserve"> </w:t>
      </w:r>
      <w:r w:rsidR="00B546AF">
        <w:t>« </w:t>
      </w:r>
      <w:r w:rsidR="00860738">
        <w:t>Pro</w:t>
      </w:r>
      <w:r w:rsidR="00860738" w:rsidRPr="002C4077">
        <w:t xml:space="preserve"> </w:t>
      </w:r>
      <w:r w:rsidR="00860738">
        <w:t>eo</w:t>
      </w:r>
      <w:r w:rsidR="00860738" w:rsidRPr="002C4077">
        <w:t xml:space="preserve"> </w:t>
      </w:r>
      <w:r w:rsidR="00860738">
        <w:t>quod</w:t>
      </w:r>
      <w:r w:rsidR="00860738" w:rsidRPr="002C4077">
        <w:t xml:space="preserve"> </w:t>
      </w:r>
      <w:r>
        <w:t>in</w:t>
      </w:r>
      <w:r w:rsidRPr="002C4077">
        <w:t xml:space="preserve"> </w:t>
      </w:r>
      <w:r>
        <w:t>lat</w:t>
      </w:r>
      <w:r w:rsidR="00860738">
        <w:t>í</w:t>
      </w:r>
      <w:r>
        <w:t>no</w:t>
      </w:r>
      <w:r w:rsidRPr="002C4077">
        <w:t xml:space="preserve"> </w:t>
      </w:r>
      <w:r>
        <w:t>d</w:t>
      </w:r>
      <w:r w:rsidR="003B53FD">
        <w:t>ícitur</w:t>
      </w:r>
      <w:r w:rsidRPr="002C4077">
        <w:t xml:space="preserve"> </w:t>
      </w:r>
      <w:r w:rsidRPr="000A34B5">
        <w:rPr>
          <w:rStyle w:val="italicus"/>
        </w:rPr>
        <w:t>absc</w:t>
      </w:r>
      <w:r w:rsidR="00860738">
        <w:rPr>
          <w:rStyle w:val="italicus"/>
        </w:rPr>
        <w:t>ó</w:t>
      </w:r>
      <w:r w:rsidRPr="000A34B5">
        <w:rPr>
          <w:rStyle w:val="italicus"/>
        </w:rPr>
        <w:t>ndit</w:t>
      </w:r>
      <w:r w:rsidRPr="002C4077">
        <w:t xml:space="preserve"> </w:t>
      </w:r>
      <w:r w:rsidRPr="000A34B5">
        <w:rPr>
          <w:rStyle w:val="italicus"/>
        </w:rPr>
        <w:t>a</w:t>
      </w:r>
      <w:r w:rsidRPr="002C4077">
        <w:t xml:space="preserve"> </w:t>
      </w:r>
      <w:r w:rsidRPr="000A34B5">
        <w:rPr>
          <w:rStyle w:val="italicus"/>
        </w:rPr>
        <w:t>me,</w:t>
      </w:r>
      <w:r w:rsidRPr="002C4077">
        <w:t xml:space="preserve"> </w:t>
      </w:r>
      <w:r>
        <w:t>in</w:t>
      </w:r>
      <w:r w:rsidRPr="002C4077">
        <w:t xml:space="preserve"> </w:t>
      </w:r>
      <w:r>
        <w:t>h</w:t>
      </w:r>
      <w:r w:rsidR="003B53FD">
        <w:t>ebrǽo</w:t>
      </w:r>
      <w:r w:rsidRPr="002C4077">
        <w:t xml:space="preserve"> </w:t>
      </w:r>
      <w:r w:rsidR="003B53FD">
        <w:t>scriptum</w:t>
      </w:r>
      <w:r w:rsidRPr="002C4077">
        <w:t xml:space="preserve"> </w:t>
      </w:r>
      <w:r w:rsidR="00425C50">
        <w:t>est</w:t>
      </w:r>
      <w:r w:rsidRPr="002C4077">
        <w:t xml:space="preserve"> </w:t>
      </w:r>
      <w:r w:rsidRPr="000A34B5">
        <w:rPr>
          <w:rStyle w:val="italicus"/>
        </w:rPr>
        <w:t>eelim</w:t>
      </w:r>
      <w:r w:rsidRPr="002C4077">
        <w:t xml:space="preserve"> </w:t>
      </w:r>
      <w:r w:rsidRPr="000A34B5">
        <w:rPr>
          <w:rStyle w:val="italicus"/>
        </w:rPr>
        <w:t>mimmeni</w:t>
      </w:r>
      <w:r w:rsidRPr="004440EA">
        <w:t xml:space="preserve"> </w:t>
      </w:r>
      <w:r w:rsidR="00860738" w:rsidRPr="004440EA">
        <w:t>(</w:t>
      </w:r>
      <w:r w:rsidR="00860738" w:rsidRPr="00860738">
        <w:rPr>
          <w:rtl/>
          <w:lang w:bidi="he-IL"/>
        </w:rPr>
        <w:t>העלים</w:t>
      </w:r>
      <w:r w:rsidR="00860738" w:rsidRPr="002C4077">
        <w:rPr>
          <w:rtl/>
        </w:rPr>
        <w:t xml:space="preserve"> </w:t>
      </w:r>
      <w:r w:rsidR="00860738" w:rsidRPr="00860738">
        <w:rPr>
          <w:rtl/>
          <w:lang w:bidi="he-IL"/>
        </w:rPr>
        <w:t>מבוני</w:t>
      </w:r>
      <w:r w:rsidR="00860738" w:rsidRPr="002C4077">
        <w:t>)</w:t>
      </w:r>
      <w:r>
        <w:t>.</w:t>
      </w:r>
      <w:r w:rsidRPr="002C4077">
        <w:t xml:space="preserve"> </w:t>
      </w:r>
      <w:r>
        <w:t>Ergo</w:t>
      </w:r>
      <w:r w:rsidR="00860738" w:rsidRPr="002C4077">
        <w:t xml:space="preserve"> </w:t>
      </w:r>
      <w:r w:rsidR="00860738">
        <w:rPr>
          <w:rStyle w:val="italicus"/>
        </w:rPr>
        <w:t>al</w:t>
      </w:r>
      <w:r w:rsidRPr="000A34B5">
        <w:rPr>
          <w:rStyle w:val="italicus"/>
        </w:rPr>
        <w:t>ma</w:t>
      </w:r>
      <w:r w:rsidRPr="002C4077">
        <w:t xml:space="preserve"> </w:t>
      </w:r>
      <w:r>
        <w:t>non</w:t>
      </w:r>
      <w:r w:rsidRPr="002C4077">
        <w:t xml:space="preserve"> </w:t>
      </w:r>
      <w:r>
        <w:t>solum</w:t>
      </w:r>
      <w:r w:rsidRPr="002C4077">
        <w:t xml:space="preserve"> </w:t>
      </w:r>
      <w:r w:rsidR="00860738">
        <w:t>puélla</w:t>
      </w:r>
      <w:r w:rsidRPr="002C4077">
        <w:t xml:space="preserve"> </w:t>
      </w:r>
      <w:r>
        <w:t>vel</w:t>
      </w:r>
      <w:r w:rsidRPr="002C4077">
        <w:t xml:space="preserve"> </w:t>
      </w:r>
      <w:r>
        <w:t>virgo</w:t>
      </w:r>
      <w:r w:rsidR="00B546AF">
        <w:t> ;</w:t>
      </w:r>
      <w:r w:rsidRPr="002C4077">
        <w:t xml:space="preserve"> </w:t>
      </w:r>
      <w:r>
        <w:t>sed</w:t>
      </w:r>
      <w:r w:rsidRPr="002C4077">
        <w:t xml:space="preserve"> </w:t>
      </w:r>
      <w:r>
        <w:t>cum</w:t>
      </w:r>
      <w:r w:rsidRPr="002C4077">
        <w:t xml:space="preserve"> </w:t>
      </w:r>
      <w:r w:rsidR="00860738" w:rsidRPr="00860738">
        <w:t>ἐπίτασει</w:t>
      </w:r>
      <w:r w:rsidRPr="002C4077">
        <w:t xml:space="preserve"> </w:t>
      </w:r>
      <w:r>
        <w:t>virgo</w:t>
      </w:r>
      <w:r w:rsidRPr="002C4077">
        <w:t xml:space="preserve"> </w:t>
      </w:r>
      <w:r w:rsidR="00860738">
        <w:t>abscóndita</w:t>
      </w:r>
      <w:r w:rsidRPr="002C4077">
        <w:t xml:space="preserve"> </w:t>
      </w:r>
      <w:r>
        <w:t>d</w:t>
      </w:r>
      <w:r w:rsidR="003B53FD">
        <w:t>ícitur</w:t>
      </w:r>
      <w:r w:rsidRPr="002C4077">
        <w:t xml:space="preserve"> </w:t>
      </w:r>
      <w:r>
        <w:t>et</w:t>
      </w:r>
      <w:r w:rsidRPr="002C4077">
        <w:t xml:space="preserve"> </w:t>
      </w:r>
      <w:r>
        <w:t>sécréta,</w:t>
      </w:r>
      <w:r w:rsidRPr="002C4077">
        <w:t xml:space="preserve"> </w:t>
      </w:r>
      <w:r>
        <w:t>quæ</w:t>
      </w:r>
      <w:r w:rsidRPr="002C4077">
        <w:t xml:space="preserve"> </w:t>
      </w:r>
      <w:r>
        <w:t>nunquam</w:t>
      </w:r>
      <w:r w:rsidRPr="002C4077">
        <w:t xml:space="preserve"> </w:t>
      </w:r>
      <w:r w:rsidR="003B53FD">
        <w:t>virórum</w:t>
      </w:r>
      <w:r w:rsidRPr="002C4077">
        <w:t xml:space="preserve"> </w:t>
      </w:r>
      <w:r>
        <w:t>pat</w:t>
      </w:r>
      <w:r w:rsidR="003B53FD">
        <w:t>úerit</w:t>
      </w:r>
      <w:r w:rsidRPr="002C4077">
        <w:t xml:space="preserve"> </w:t>
      </w:r>
      <w:r>
        <w:t>asp</w:t>
      </w:r>
      <w:r w:rsidR="003B53FD">
        <w:t>éctibus</w:t>
      </w:r>
      <w:r>
        <w:t>,</w:t>
      </w:r>
      <w:r w:rsidRPr="002C4077">
        <w:t xml:space="preserve"> </w:t>
      </w:r>
      <w:r>
        <w:t>sed</w:t>
      </w:r>
      <w:r w:rsidRPr="002C4077">
        <w:t xml:space="preserve"> </w:t>
      </w:r>
      <w:r>
        <w:t>magna</w:t>
      </w:r>
      <w:r w:rsidRPr="002C4077">
        <w:t xml:space="preserve"> </w:t>
      </w:r>
      <w:r w:rsidR="003B53FD">
        <w:t>paréntum</w:t>
      </w:r>
      <w:r w:rsidRPr="002C4077">
        <w:t xml:space="preserve"> </w:t>
      </w:r>
      <w:r>
        <w:t>dilig</w:t>
      </w:r>
      <w:r w:rsidR="003B53FD">
        <w:t>éntia</w:t>
      </w:r>
      <w:r w:rsidRPr="002C4077">
        <w:t xml:space="preserve"> </w:t>
      </w:r>
      <w:r w:rsidR="00860738">
        <w:t>custodíta</w:t>
      </w:r>
      <w:r w:rsidRPr="002C4077">
        <w:t xml:space="preserve"> </w:t>
      </w:r>
      <w:r>
        <w:t>sit.</w:t>
      </w:r>
      <w:r w:rsidRPr="002C4077">
        <w:t xml:space="preserve"> </w:t>
      </w:r>
      <w:r w:rsidR="003B53FD">
        <w:t>Lingua</w:t>
      </w:r>
      <w:r w:rsidRPr="002C4077">
        <w:t xml:space="preserve"> </w:t>
      </w:r>
      <w:r>
        <w:t>quoque</w:t>
      </w:r>
      <w:r w:rsidRPr="002C4077">
        <w:t xml:space="preserve"> </w:t>
      </w:r>
      <w:r w:rsidR="00860738">
        <w:t>púnica</w:t>
      </w:r>
      <w:r>
        <w:t>,</w:t>
      </w:r>
      <w:r w:rsidRPr="002C4077">
        <w:t xml:space="preserve"> </w:t>
      </w:r>
      <w:r>
        <w:t>quæ</w:t>
      </w:r>
      <w:r w:rsidRPr="002C4077">
        <w:t xml:space="preserve"> </w:t>
      </w:r>
      <w:r>
        <w:t>de</w:t>
      </w:r>
      <w:r w:rsidRPr="002C4077">
        <w:t xml:space="preserve"> </w:t>
      </w:r>
      <w:r w:rsidR="00860738">
        <w:t>Hebræ</w:t>
      </w:r>
      <w:r w:rsidR="003B53FD">
        <w:t>órum</w:t>
      </w:r>
      <w:r w:rsidRPr="002C4077">
        <w:t xml:space="preserve"> </w:t>
      </w:r>
      <w:r w:rsidR="00860738">
        <w:t>fóntibus</w:t>
      </w:r>
      <w:r w:rsidRPr="002C4077">
        <w:t xml:space="preserve"> </w:t>
      </w:r>
      <w:r w:rsidR="003B53FD">
        <w:t>manáre</w:t>
      </w:r>
      <w:r w:rsidRPr="002C4077">
        <w:t xml:space="preserve"> </w:t>
      </w:r>
      <w:r>
        <w:t>d</w:t>
      </w:r>
      <w:r w:rsidR="003B53FD">
        <w:t>ícitur</w:t>
      </w:r>
      <w:r>
        <w:t>,</w:t>
      </w:r>
      <w:r w:rsidRPr="002C4077">
        <w:t xml:space="preserve"> </w:t>
      </w:r>
      <w:r w:rsidR="00860738">
        <w:t>próprie</w:t>
      </w:r>
      <w:r w:rsidRPr="002C4077">
        <w:t xml:space="preserve"> </w:t>
      </w:r>
      <w:r>
        <w:t>virgo</w:t>
      </w:r>
      <w:r w:rsidRPr="002C4077">
        <w:t xml:space="preserve"> </w:t>
      </w:r>
      <w:r w:rsidR="0054349A">
        <w:rPr>
          <w:rStyle w:val="italicus"/>
        </w:rPr>
        <w:t>alma</w:t>
      </w:r>
      <w:r w:rsidRPr="002C4077">
        <w:t xml:space="preserve"> </w:t>
      </w:r>
      <w:r>
        <w:t>app</w:t>
      </w:r>
      <w:r w:rsidR="003B53FD">
        <w:t>ellátur</w:t>
      </w:r>
      <w:r w:rsidR="00B546AF">
        <w:t> »</w:t>
      </w:r>
      <w:r>
        <w:t>.</w:t>
      </w:r>
      <w:r w:rsidRPr="002C4077">
        <w:t xml:space="preserve"> </w:t>
      </w:r>
    </w:p>
    <w:p w:rsidR="000A7AAB" w:rsidRDefault="000A7AAB" w:rsidP="000A7AAB">
      <w:r>
        <w:t>Ainsi,</w:t>
      </w:r>
      <w:r w:rsidRPr="002C4077">
        <w:t xml:space="preserve"> </w:t>
      </w:r>
      <w:r>
        <w:t>d’une</w:t>
      </w:r>
      <w:r w:rsidRPr="002C4077">
        <w:t xml:space="preserve"> </w:t>
      </w:r>
      <w:r>
        <w:t>part</w:t>
      </w:r>
      <w:r w:rsidRPr="002C4077">
        <w:t xml:space="preserve"> </w:t>
      </w:r>
      <w:r>
        <w:t>saint</w:t>
      </w:r>
      <w:r w:rsidRPr="002C4077">
        <w:t xml:space="preserve"> </w:t>
      </w:r>
      <w:r>
        <w:t>Jérôme</w:t>
      </w:r>
      <w:r w:rsidRPr="002C4077">
        <w:t xml:space="preserve"> </w:t>
      </w:r>
      <w:r>
        <w:t>rattache</w:t>
      </w:r>
      <w:r w:rsidRPr="002C4077">
        <w:t xml:space="preserve"> </w:t>
      </w:r>
      <w:r>
        <w:t>le</w:t>
      </w:r>
      <w:r w:rsidRPr="002C4077">
        <w:t xml:space="preserve"> </w:t>
      </w:r>
      <w:r>
        <w:t>mot</w:t>
      </w:r>
      <w:r w:rsidRPr="002C4077">
        <w:t xml:space="preserve"> </w:t>
      </w:r>
      <w:r w:rsidR="00D40830" w:rsidRPr="00D05EA9">
        <w:rPr>
          <w:rStyle w:val="italicus"/>
        </w:rPr>
        <w:t>῾almah</w:t>
      </w:r>
      <w:r w:rsidRPr="002C4077">
        <w:t xml:space="preserve"> </w:t>
      </w:r>
      <w:r>
        <w:t>à</w:t>
      </w:r>
      <w:r w:rsidRPr="002C4077">
        <w:t xml:space="preserve"> </w:t>
      </w:r>
      <w:r>
        <w:t>la</w:t>
      </w:r>
      <w:r w:rsidRPr="002C4077">
        <w:t xml:space="preserve"> </w:t>
      </w:r>
      <w:r>
        <w:t>racine</w:t>
      </w:r>
      <w:r w:rsidRPr="002C4077">
        <w:t xml:space="preserve"> </w:t>
      </w:r>
      <w:r>
        <w:t>hébraïque</w:t>
      </w:r>
      <w:r w:rsidRPr="002C4077">
        <w:t xml:space="preserve"> </w:t>
      </w:r>
      <w:r w:rsidR="0055004A">
        <w:t>῾</w:t>
      </w:r>
      <w:r w:rsidRPr="000A34B5">
        <w:rPr>
          <w:rStyle w:val="italicus"/>
        </w:rPr>
        <w:t>alam,</w:t>
      </w:r>
      <w:r w:rsidRPr="002C4077">
        <w:t xml:space="preserve"> </w:t>
      </w:r>
      <w:r>
        <w:t>cacher</w:t>
      </w:r>
      <w:r w:rsidR="00B546AF">
        <w:t> ;</w:t>
      </w:r>
      <w:r w:rsidRPr="002C4077">
        <w:t xml:space="preserve"> </w:t>
      </w:r>
      <w:r>
        <w:t>de</w:t>
      </w:r>
      <w:r w:rsidRPr="002C4077">
        <w:t xml:space="preserve"> </w:t>
      </w:r>
      <w:r>
        <w:t>l’autre</w:t>
      </w:r>
      <w:r w:rsidRPr="002C4077">
        <w:t xml:space="preserve"> </w:t>
      </w:r>
      <w:r>
        <w:t>il</w:t>
      </w:r>
      <w:r w:rsidRPr="002C4077">
        <w:t xml:space="preserve"> </w:t>
      </w:r>
      <w:r>
        <w:t>affirme</w:t>
      </w:r>
      <w:r w:rsidRPr="002C4077">
        <w:t xml:space="preserve"> </w:t>
      </w:r>
      <w:r>
        <w:t>que,</w:t>
      </w:r>
      <w:r w:rsidRPr="002C4077">
        <w:t xml:space="preserve"> </w:t>
      </w:r>
      <w:r>
        <w:t>dans</w:t>
      </w:r>
      <w:r w:rsidRPr="002C4077">
        <w:t xml:space="preserve"> </w:t>
      </w:r>
      <w:r>
        <w:t>l’idiome</w:t>
      </w:r>
      <w:r w:rsidRPr="002C4077">
        <w:t xml:space="preserve"> </w:t>
      </w:r>
      <w:r>
        <w:t>punique</w:t>
      </w:r>
      <w:r w:rsidRPr="002C4077">
        <w:t xml:space="preserve"> </w:t>
      </w:r>
      <w:r>
        <w:t>ou</w:t>
      </w:r>
      <w:r w:rsidRPr="002C4077">
        <w:t xml:space="preserve"> </w:t>
      </w:r>
      <w:r>
        <w:t>néo-phénicien,</w:t>
      </w:r>
      <w:r w:rsidRPr="002C4077">
        <w:t xml:space="preserve"> </w:t>
      </w:r>
      <w:r>
        <w:t>encore</w:t>
      </w:r>
      <w:r w:rsidRPr="002C4077">
        <w:t xml:space="preserve"> </w:t>
      </w:r>
      <w:r>
        <w:t>parlé</w:t>
      </w:r>
      <w:r w:rsidRPr="002C4077">
        <w:t xml:space="preserve"> </w:t>
      </w:r>
      <w:r>
        <w:t>de</w:t>
      </w:r>
      <w:r w:rsidRPr="002C4077">
        <w:t xml:space="preserve"> </w:t>
      </w:r>
      <w:r>
        <w:t>son</w:t>
      </w:r>
      <w:r w:rsidRPr="002C4077">
        <w:t xml:space="preserve"> </w:t>
      </w:r>
      <w:r>
        <w:t>temps</w:t>
      </w:r>
      <w:r w:rsidRPr="002C4077">
        <w:t xml:space="preserve"> </w:t>
      </w:r>
      <w:r>
        <w:t>et</w:t>
      </w:r>
      <w:r w:rsidRPr="002C4077">
        <w:t xml:space="preserve"> </w:t>
      </w:r>
      <w:r>
        <w:t>congénère</w:t>
      </w:r>
      <w:r w:rsidRPr="002C4077">
        <w:t xml:space="preserve"> </w:t>
      </w:r>
      <w:r>
        <w:t>de</w:t>
      </w:r>
      <w:r w:rsidRPr="002C4077">
        <w:t xml:space="preserve"> </w:t>
      </w:r>
      <w:r>
        <w:t>la</w:t>
      </w:r>
      <w:r w:rsidRPr="002C4077">
        <w:t xml:space="preserve"> </w:t>
      </w:r>
      <w:r>
        <w:t>langue</w:t>
      </w:r>
      <w:r w:rsidRPr="002C4077">
        <w:t xml:space="preserve"> </w:t>
      </w:r>
      <w:r>
        <w:lastRenderedPageBreak/>
        <w:t>hébraïque,</w:t>
      </w:r>
      <w:r w:rsidRPr="002C4077">
        <w:t xml:space="preserve"> </w:t>
      </w:r>
      <w:r>
        <w:t>le</w:t>
      </w:r>
      <w:r w:rsidRPr="002C4077">
        <w:t xml:space="preserve"> </w:t>
      </w:r>
      <w:r>
        <w:t>nom</w:t>
      </w:r>
      <w:r w:rsidRPr="002C4077">
        <w:t xml:space="preserve"> </w:t>
      </w:r>
      <w:r>
        <w:t>spécifique</w:t>
      </w:r>
      <w:r w:rsidRPr="002C4077">
        <w:t xml:space="preserve"> </w:t>
      </w:r>
      <w:r>
        <w:t>des</w:t>
      </w:r>
      <w:r w:rsidRPr="002C4077">
        <w:t xml:space="preserve"> </w:t>
      </w:r>
      <w:r>
        <w:t>vierges</w:t>
      </w:r>
      <w:r w:rsidRPr="002C4077">
        <w:t xml:space="preserve"> </w:t>
      </w:r>
      <w:r>
        <w:t>était</w:t>
      </w:r>
      <w:r w:rsidRPr="002C4077">
        <w:t xml:space="preserve"> </w:t>
      </w:r>
      <w:r w:rsidR="00D40830" w:rsidRPr="00D05EA9">
        <w:rPr>
          <w:rStyle w:val="italicus"/>
        </w:rPr>
        <w:t>῾almah</w:t>
      </w:r>
      <w:r w:rsidR="00B546AF">
        <w:rPr>
          <w:rStyle w:val="italicus"/>
        </w:rPr>
        <w:t> </w:t>
      </w:r>
      <w:r w:rsidR="00B546AF" w:rsidRPr="000A34B5">
        <w:rPr>
          <w:rStyle w:val="italicus"/>
        </w:rPr>
        <w:t>:</w:t>
      </w:r>
      <w:r w:rsidRPr="002C4077">
        <w:t xml:space="preserve"> </w:t>
      </w:r>
      <w:r>
        <w:t>deux</w:t>
      </w:r>
      <w:r w:rsidRPr="002C4077">
        <w:t xml:space="preserve"> </w:t>
      </w:r>
      <w:r>
        <w:t>faits</w:t>
      </w:r>
      <w:r w:rsidRPr="002C4077">
        <w:t xml:space="preserve"> </w:t>
      </w:r>
      <w:r>
        <w:t>du</w:t>
      </w:r>
      <w:r w:rsidRPr="002C4077">
        <w:t xml:space="preserve"> </w:t>
      </w:r>
      <w:r>
        <w:t>plus</w:t>
      </w:r>
      <w:r w:rsidRPr="002C4077">
        <w:t xml:space="preserve"> </w:t>
      </w:r>
      <w:r>
        <w:t>haut</w:t>
      </w:r>
      <w:r w:rsidRPr="002C4077">
        <w:t xml:space="preserve"> </w:t>
      </w:r>
      <w:r>
        <w:t>intérêt</w:t>
      </w:r>
      <w:r w:rsidRPr="002C4077">
        <w:t xml:space="preserve"> </w:t>
      </w:r>
      <w:r>
        <w:t>pour</w:t>
      </w:r>
      <w:r w:rsidRPr="002C4077">
        <w:t xml:space="preserve"> </w:t>
      </w:r>
      <w:r>
        <w:t>notre</w:t>
      </w:r>
      <w:r w:rsidRPr="002C4077">
        <w:t xml:space="preserve"> </w:t>
      </w:r>
      <w:r>
        <w:t>thèse,</w:t>
      </w:r>
      <w:r w:rsidRPr="002C4077">
        <w:t xml:space="preserve"> </w:t>
      </w:r>
      <w:r>
        <w:t>qu’ils</w:t>
      </w:r>
      <w:r w:rsidRPr="002C4077">
        <w:t xml:space="preserve"> </w:t>
      </w:r>
      <w:r>
        <w:t>confirment</w:t>
      </w:r>
      <w:r w:rsidRPr="002C4077">
        <w:t xml:space="preserve"> </w:t>
      </w:r>
      <w:r>
        <w:t>admirablement.</w:t>
      </w:r>
      <w:r w:rsidRPr="002C4077">
        <w:t xml:space="preserve"> </w:t>
      </w:r>
    </w:p>
    <w:p w:rsidR="000A7AAB" w:rsidRPr="000721C4" w:rsidRDefault="000A7AAB" w:rsidP="000A7AAB">
      <w:r>
        <w:t>Ges</w:t>
      </w:r>
      <w:r w:rsidR="003B53FD">
        <w:t>énius</w:t>
      </w:r>
      <w:r w:rsidRPr="002C4077">
        <w:t xml:space="preserve"> </w:t>
      </w:r>
      <w:r>
        <w:t>a</w:t>
      </w:r>
      <w:r w:rsidRPr="002C4077">
        <w:t xml:space="preserve"> </w:t>
      </w:r>
      <w:r>
        <w:t>compris</w:t>
      </w:r>
      <w:r w:rsidRPr="002C4077">
        <w:t xml:space="preserve"> </w:t>
      </w:r>
      <w:r>
        <w:t>la</w:t>
      </w:r>
      <w:r w:rsidRPr="002C4077">
        <w:t xml:space="preserve"> </w:t>
      </w:r>
      <w:r>
        <w:t>gravité</w:t>
      </w:r>
      <w:r w:rsidRPr="002C4077">
        <w:t xml:space="preserve"> </w:t>
      </w:r>
      <w:r>
        <w:t>de</w:t>
      </w:r>
      <w:r w:rsidRPr="002C4077">
        <w:t xml:space="preserve"> </w:t>
      </w:r>
      <w:r>
        <w:t>ce</w:t>
      </w:r>
      <w:r w:rsidRPr="002C4077">
        <w:t xml:space="preserve"> </w:t>
      </w:r>
      <w:r>
        <w:t>témoignage,</w:t>
      </w:r>
      <w:r w:rsidRPr="002C4077">
        <w:t xml:space="preserve"> </w:t>
      </w:r>
      <w:r>
        <w:t>car</w:t>
      </w:r>
      <w:r w:rsidRPr="002C4077">
        <w:t xml:space="preserve"> </w:t>
      </w:r>
      <w:r>
        <w:t>il</w:t>
      </w:r>
      <w:r w:rsidRPr="002C4077">
        <w:t xml:space="preserve"> </w:t>
      </w:r>
      <w:r>
        <w:t>s’efforce</w:t>
      </w:r>
      <w:r w:rsidRPr="002C4077">
        <w:t xml:space="preserve"> </w:t>
      </w:r>
      <w:r>
        <w:t>d’amoindrir</w:t>
      </w:r>
      <w:r w:rsidRPr="002C4077">
        <w:t xml:space="preserve"> </w:t>
      </w:r>
      <w:r>
        <w:t>le</w:t>
      </w:r>
      <w:r w:rsidRPr="002C4077">
        <w:t xml:space="preserve"> </w:t>
      </w:r>
      <w:r>
        <w:t>trait</w:t>
      </w:r>
      <w:r w:rsidRPr="002C4077">
        <w:t xml:space="preserve"> </w:t>
      </w:r>
      <w:r>
        <w:t>le</w:t>
      </w:r>
      <w:r w:rsidRPr="002C4077">
        <w:t xml:space="preserve"> </w:t>
      </w:r>
      <w:r>
        <w:t>plus</w:t>
      </w:r>
      <w:r w:rsidRPr="002C4077">
        <w:t xml:space="preserve"> </w:t>
      </w:r>
      <w:r>
        <w:t>positif,</w:t>
      </w:r>
      <w:r w:rsidRPr="002C4077">
        <w:t xml:space="preserve"> </w:t>
      </w:r>
      <w:r>
        <w:t>ou</w:t>
      </w:r>
      <w:r w:rsidRPr="002C4077">
        <w:t xml:space="preserve"> </w:t>
      </w:r>
      <w:r>
        <w:t>mieux,</w:t>
      </w:r>
      <w:r w:rsidRPr="002C4077">
        <w:t xml:space="preserve"> </w:t>
      </w:r>
      <w:r>
        <w:t>d’annuler</w:t>
      </w:r>
      <w:r w:rsidRPr="002C4077">
        <w:t xml:space="preserve"> </w:t>
      </w:r>
      <w:r>
        <w:t>complètement</w:t>
      </w:r>
      <w:r w:rsidRPr="002C4077">
        <w:t xml:space="preserve"> </w:t>
      </w:r>
      <w:r>
        <w:t>l’autorité</w:t>
      </w:r>
      <w:r w:rsidRPr="002C4077">
        <w:t xml:space="preserve"> </w:t>
      </w:r>
      <w:r>
        <w:t>de</w:t>
      </w:r>
      <w:r w:rsidRPr="002C4077">
        <w:t xml:space="preserve"> </w:t>
      </w:r>
      <w:r>
        <w:t>saint</w:t>
      </w:r>
      <w:r w:rsidRPr="002C4077">
        <w:t xml:space="preserve"> </w:t>
      </w:r>
      <w:r>
        <w:t>Jérôme</w:t>
      </w:r>
      <w:r w:rsidRPr="002C4077">
        <w:t xml:space="preserve"> </w:t>
      </w:r>
      <w:r>
        <w:t>sur</w:t>
      </w:r>
      <w:r w:rsidRPr="002C4077">
        <w:t xml:space="preserve"> </w:t>
      </w:r>
      <w:r>
        <w:t>le</w:t>
      </w:r>
      <w:r w:rsidRPr="002C4077">
        <w:t xml:space="preserve"> </w:t>
      </w:r>
      <w:r>
        <w:t>point</w:t>
      </w:r>
      <w:r w:rsidRPr="002C4077">
        <w:t xml:space="preserve"> </w:t>
      </w:r>
      <w:r>
        <w:t>en</w:t>
      </w:r>
      <w:r w:rsidRPr="002C4077">
        <w:t xml:space="preserve"> </w:t>
      </w:r>
      <w:r>
        <w:t>question.</w:t>
      </w:r>
      <w:r w:rsidRPr="002C4077">
        <w:t xml:space="preserve"> </w:t>
      </w:r>
      <w:r>
        <w:t>Pour</w:t>
      </w:r>
      <w:r w:rsidRPr="002C4077">
        <w:t xml:space="preserve"> </w:t>
      </w:r>
      <w:r>
        <w:t>cela</w:t>
      </w:r>
      <w:r w:rsidRPr="002C4077">
        <w:t xml:space="preserve"> </w:t>
      </w:r>
      <w:r>
        <w:t>tous</w:t>
      </w:r>
      <w:r w:rsidRPr="002C4077">
        <w:t xml:space="preserve"> </w:t>
      </w:r>
      <w:r>
        <w:t>les</w:t>
      </w:r>
      <w:r w:rsidRPr="002C4077">
        <w:t xml:space="preserve"> </w:t>
      </w:r>
      <w:r>
        <w:t>moyens</w:t>
      </w:r>
      <w:bookmarkStart w:id="221" w:name="z_RationalistesHardiesses_o5"/>
      <w:bookmarkEnd w:id="221"/>
      <w:r w:rsidRPr="002C4077">
        <w:t xml:space="preserve"> </w:t>
      </w:r>
      <w:r>
        <w:t>lui</w:t>
      </w:r>
      <w:r w:rsidRPr="002C4077">
        <w:t xml:space="preserve"> </w:t>
      </w:r>
      <w:r>
        <w:t>sont</w:t>
      </w:r>
      <w:r w:rsidRPr="002C4077">
        <w:t xml:space="preserve"> </w:t>
      </w:r>
      <w:r>
        <w:t>bons.</w:t>
      </w:r>
      <w:r w:rsidRPr="002C4077">
        <w:t xml:space="preserve"> </w:t>
      </w:r>
      <w:r w:rsidR="00B546AF">
        <w:t>« </w:t>
      </w:r>
      <w:r>
        <w:t>Jérôme,</w:t>
      </w:r>
      <w:r w:rsidRPr="002C4077">
        <w:t xml:space="preserve"> </w:t>
      </w:r>
      <w:r>
        <w:t>dit-il,</w:t>
      </w:r>
      <w:r w:rsidRPr="002C4077">
        <w:t xml:space="preserve"> </w:t>
      </w:r>
      <w:r>
        <w:t>ne</w:t>
      </w:r>
      <w:r w:rsidRPr="002C4077">
        <w:t xml:space="preserve"> </w:t>
      </w:r>
      <w:r>
        <w:t>possédait</w:t>
      </w:r>
      <w:r w:rsidRPr="002C4077">
        <w:t xml:space="preserve"> </w:t>
      </w:r>
      <w:r>
        <w:t>aucune</w:t>
      </w:r>
      <w:r w:rsidRPr="002C4077">
        <w:t xml:space="preserve"> </w:t>
      </w:r>
      <w:r>
        <w:t>notion</w:t>
      </w:r>
      <w:r w:rsidRPr="002C4077">
        <w:t xml:space="preserve"> </w:t>
      </w:r>
      <w:r>
        <w:t>de</w:t>
      </w:r>
      <w:r w:rsidRPr="002C4077">
        <w:t xml:space="preserve"> </w:t>
      </w:r>
      <w:r>
        <w:t>la</w:t>
      </w:r>
      <w:r w:rsidRPr="002C4077">
        <w:t xml:space="preserve"> </w:t>
      </w:r>
      <w:r>
        <w:t>langue</w:t>
      </w:r>
      <w:r w:rsidRPr="002C4077">
        <w:t xml:space="preserve"> </w:t>
      </w:r>
      <w:r>
        <w:t>punique,</w:t>
      </w:r>
      <w:r w:rsidRPr="002C4077">
        <w:t xml:space="preserve"> </w:t>
      </w:r>
      <w:r>
        <w:t>et</w:t>
      </w:r>
      <w:r w:rsidRPr="002C4077">
        <w:t xml:space="preserve"> </w:t>
      </w:r>
      <w:r>
        <w:t>il</w:t>
      </w:r>
      <w:r w:rsidRPr="002C4077">
        <w:t xml:space="preserve"> </w:t>
      </w:r>
      <w:r>
        <w:t>ne</w:t>
      </w:r>
      <w:r w:rsidRPr="002C4077">
        <w:t xml:space="preserve"> </w:t>
      </w:r>
      <w:r>
        <w:t>tenait</w:t>
      </w:r>
      <w:r w:rsidRPr="002C4077">
        <w:t xml:space="preserve"> </w:t>
      </w:r>
      <w:r>
        <w:t>peut-être</w:t>
      </w:r>
      <w:r w:rsidRPr="002C4077">
        <w:t xml:space="preserve"> </w:t>
      </w:r>
      <w:r>
        <w:t>cette</w:t>
      </w:r>
      <w:r w:rsidRPr="002C4077">
        <w:t xml:space="preserve"> </w:t>
      </w:r>
      <w:r>
        <w:t>note</w:t>
      </w:r>
      <w:r w:rsidRPr="002C4077">
        <w:t xml:space="preserve"> </w:t>
      </w:r>
      <w:r>
        <w:t>que</w:t>
      </w:r>
      <w:r w:rsidRPr="002C4077">
        <w:t xml:space="preserve"> </w:t>
      </w:r>
      <w:r>
        <w:t>d’Augustin,</w:t>
      </w:r>
      <w:r w:rsidRPr="002C4077">
        <w:t xml:space="preserve"> </w:t>
      </w:r>
      <w:r>
        <w:t>dans</w:t>
      </w:r>
      <w:r w:rsidRPr="002C4077">
        <w:t xml:space="preserve"> </w:t>
      </w:r>
      <w:r>
        <w:t>le</w:t>
      </w:r>
      <w:r w:rsidRPr="002C4077">
        <w:t xml:space="preserve"> </w:t>
      </w:r>
      <w:r>
        <w:t>voisinage</w:t>
      </w:r>
      <w:r w:rsidRPr="002C4077">
        <w:t xml:space="preserve"> </w:t>
      </w:r>
      <w:r>
        <w:t>duquel</w:t>
      </w:r>
      <w:r w:rsidRPr="002C4077">
        <w:t xml:space="preserve"> </w:t>
      </w:r>
      <w:r>
        <w:t>se</w:t>
      </w:r>
      <w:r w:rsidRPr="002C4077">
        <w:t xml:space="preserve"> </w:t>
      </w:r>
      <w:r>
        <w:t>trouvaient</w:t>
      </w:r>
      <w:r w:rsidRPr="002C4077">
        <w:t xml:space="preserve"> </w:t>
      </w:r>
      <w:r>
        <w:t>des</w:t>
      </w:r>
      <w:r w:rsidRPr="002C4077">
        <w:t xml:space="preserve"> </w:t>
      </w:r>
      <w:r>
        <w:t>localités</w:t>
      </w:r>
      <w:r w:rsidRPr="002C4077">
        <w:t xml:space="preserve"> </w:t>
      </w:r>
      <w:r>
        <w:t>où</w:t>
      </w:r>
      <w:r w:rsidRPr="002C4077">
        <w:t xml:space="preserve"> </w:t>
      </w:r>
      <w:r>
        <w:t>le</w:t>
      </w:r>
      <w:r w:rsidRPr="002C4077">
        <w:t xml:space="preserve"> </w:t>
      </w:r>
      <w:r>
        <w:t>punique</w:t>
      </w:r>
      <w:r w:rsidRPr="002C4077">
        <w:t xml:space="preserve"> </w:t>
      </w:r>
      <w:r w:rsidR="00860738">
        <w:t>était</w:t>
      </w:r>
      <w:r w:rsidRPr="002C4077">
        <w:t xml:space="preserve"> </w:t>
      </w:r>
      <w:r>
        <w:t>encore</w:t>
      </w:r>
      <w:r w:rsidRPr="002C4077">
        <w:t xml:space="preserve"> </w:t>
      </w:r>
      <w:r>
        <w:t>parlé</w:t>
      </w:r>
      <w:r w:rsidR="00B546AF">
        <w:t> ;</w:t>
      </w:r>
      <w:r w:rsidRPr="002C4077">
        <w:t xml:space="preserve"> </w:t>
      </w:r>
      <w:r>
        <w:t>mais</w:t>
      </w:r>
      <w:r w:rsidRPr="002C4077">
        <w:t xml:space="preserve"> </w:t>
      </w:r>
      <w:r>
        <w:t>l’on</w:t>
      </w:r>
      <w:r w:rsidRPr="002C4077">
        <w:t xml:space="preserve"> </w:t>
      </w:r>
      <w:r>
        <w:t>sait</w:t>
      </w:r>
      <w:r w:rsidRPr="002C4077">
        <w:t xml:space="preserve"> </w:t>
      </w:r>
      <w:r>
        <w:t>qu’il</w:t>
      </w:r>
      <w:r w:rsidRPr="002C4077">
        <w:t xml:space="preserve"> </w:t>
      </w:r>
      <w:r>
        <w:t>faut</w:t>
      </w:r>
      <w:r w:rsidRPr="002C4077">
        <w:t xml:space="preserve"> </w:t>
      </w:r>
      <w:r>
        <w:t>peu</w:t>
      </w:r>
      <w:r w:rsidRPr="002C4077">
        <w:t xml:space="preserve"> </w:t>
      </w:r>
      <w:r>
        <w:t>se</w:t>
      </w:r>
      <w:r w:rsidRPr="002C4077">
        <w:t xml:space="preserve"> </w:t>
      </w:r>
      <w:r>
        <w:t>fier</w:t>
      </w:r>
      <w:r w:rsidRPr="002C4077">
        <w:t xml:space="preserve"> </w:t>
      </w:r>
      <w:r>
        <w:t>aux</w:t>
      </w:r>
      <w:r w:rsidRPr="002C4077">
        <w:t xml:space="preserve"> </w:t>
      </w:r>
      <w:r>
        <w:t>données</w:t>
      </w:r>
      <w:r w:rsidRPr="002C4077">
        <w:t xml:space="preserve"> </w:t>
      </w:r>
      <w:r>
        <w:t>d’Augustin</w:t>
      </w:r>
      <w:r w:rsidRPr="002C4077">
        <w:t xml:space="preserve"> </w:t>
      </w:r>
      <w:r>
        <w:t>sur</w:t>
      </w:r>
      <w:r w:rsidRPr="002C4077">
        <w:t xml:space="preserve"> </w:t>
      </w:r>
      <w:r>
        <w:t>des</w:t>
      </w:r>
      <w:r w:rsidRPr="002C4077">
        <w:t xml:space="preserve"> </w:t>
      </w:r>
      <w:r>
        <w:t>ma</w:t>
      </w:r>
      <w:r w:rsidR="00860738">
        <w:t>tières</w:t>
      </w:r>
      <w:r w:rsidR="00860738" w:rsidRPr="002C4077">
        <w:t xml:space="preserve"> </w:t>
      </w:r>
      <w:r w:rsidR="00860738">
        <w:t>philologiques.</w:t>
      </w:r>
      <w:r w:rsidR="00860738" w:rsidRPr="002C4077">
        <w:t xml:space="preserve"> </w:t>
      </w:r>
      <w:r w:rsidR="00860738">
        <w:t>Du</w:t>
      </w:r>
      <w:r w:rsidR="00860738" w:rsidRPr="002C4077">
        <w:t xml:space="preserve"> </w:t>
      </w:r>
      <w:r w:rsidR="00860738">
        <w:t>reste,</w:t>
      </w:r>
      <w:r w:rsidR="00860738" w:rsidRPr="002C4077">
        <w:t xml:space="preserve"> </w:t>
      </w:r>
      <w:r>
        <w:t>on</w:t>
      </w:r>
      <w:r w:rsidRPr="002C4077">
        <w:t xml:space="preserve"> </w:t>
      </w:r>
      <w:r>
        <w:t>doit</w:t>
      </w:r>
      <w:r w:rsidRPr="002C4077">
        <w:t xml:space="preserve"> </w:t>
      </w:r>
      <w:r>
        <w:t>ici</w:t>
      </w:r>
      <w:r w:rsidRPr="002C4077">
        <w:t xml:space="preserve"> </w:t>
      </w:r>
      <w:r>
        <w:t>se</w:t>
      </w:r>
      <w:r w:rsidRPr="002C4077">
        <w:t xml:space="preserve"> </w:t>
      </w:r>
      <w:r>
        <w:t>tenir</w:t>
      </w:r>
      <w:r w:rsidRPr="002C4077">
        <w:t xml:space="preserve"> </w:t>
      </w:r>
      <w:r>
        <w:t>en</w:t>
      </w:r>
      <w:r w:rsidRPr="002C4077">
        <w:t xml:space="preserve"> </w:t>
      </w:r>
      <w:r>
        <w:t>garde</w:t>
      </w:r>
      <w:r w:rsidRPr="002C4077">
        <w:t xml:space="preserve"> </w:t>
      </w:r>
      <w:r>
        <w:t>contre</w:t>
      </w:r>
      <w:r w:rsidRPr="002C4077">
        <w:t xml:space="preserve"> </w:t>
      </w:r>
      <w:r>
        <w:t>le</w:t>
      </w:r>
      <w:r w:rsidRPr="002C4077">
        <w:t xml:space="preserve"> </w:t>
      </w:r>
      <w:r>
        <w:t>défenseur</w:t>
      </w:r>
      <w:r w:rsidRPr="002C4077">
        <w:t xml:space="preserve"> </w:t>
      </w:r>
      <w:r>
        <w:t>fanatique</w:t>
      </w:r>
      <w:r w:rsidRPr="004440EA">
        <w:t xml:space="preserve"> (</w:t>
      </w:r>
      <w:r w:rsidRPr="000A34B5">
        <w:rPr>
          <w:rStyle w:val="italicus"/>
        </w:rPr>
        <w:t>den</w:t>
      </w:r>
      <w:r w:rsidRPr="002C4077">
        <w:t xml:space="preserve"> </w:t>
      </w:r>
      <w:r w:rsidRPr="000A34B5">
        <w:rPr>
          <w:rStyle w:val="italicus"/>
        </w:rPr>
        <w:t>s</w:t>
      </w:r>
      <w:r w:rsidR="00860738">
        <w:rPr>
          <w:rStyle w:val="italicus"/>
        </w:rPr>
        <w:t>chwæ</w:t>
      </w:r>
      <w:r w:rsidR="001730C6" w:rsidRPr="000A34B5">
        <w:rPr>
          <w:rStyle w:val="italicus"/>
        </w:rPr>
        <w:t>rm</w:t>
      </w:r>
      <w:r w:rsidRPr="000A34B5">
        <w:rPr>
          <w:rStyle w:val="italicus"/>
        </w:rPr>
        <w:t>erischen</w:t>
      </w:r>
      <w:r w:rsidRPr="002C4077">
        <w:t xml:space="preserve"> </w:t>
      </w:r>
      <w:r w:rsidR="007B3C26">
        <w:rPr>
          <w:rStyle w:val="italicus"/>
        </w:rPr>
        <w:t>Ve</w:t>
      </w:r>
      <w:r w:rsidRPr="000A34B5">
        <w:rPr>
          <w:rStyle w:val="italicus"/>
        </w:rPr>
        <w:t>rtheidiger</w:t>
      </w:r>
      <w:r w:rsidR="00B546AF" w:rsidRPr="002C4077">
        <w:t>)</w:t>
      </w:r>
      <w:r w:rsidRPr="002C4077">
        <w:t xml:space="preserve"> </w:t>
      </w:r>
      <w:r>
        <w:t>de</w:t>
      </w:r>
      <w:r w:rsidRPr="002C4077">
        <w:t xml:space="preserve"> </w:t>
      </w:r>
      <w:r>
        <w:t>la</w:t>
      </w:r>
      <w:r w:rsidRPr="002C4077">
        <w:t xml:space="preserve"> </w:t>
      </w:r>
      <w:r>
        <w:t>virginité</w:t>
      </w:r>
      <w:r w:rsidRPr="002C4077">
        <w:t xml:space="preserve"> </w:t>
      </w:r>
      <w:r>
        <w:t>de</w:t>
      </w:r>
      <w:r w:rsidRPr="002C4077">
        <w:t xml:space="preserve"> </w:t>
      </w:r>
      <w:r>
        <w:t>Marie</w:t>
      </w:r>
      <w:r w:rsidR="00B91AF7">
        <w:rPr>
          <w:rStyle w:val="Appelnotedebasdep"/>
        </w:rPr>
        <w:footnoteReference w:id="194"/>
      </w:r>
      <w:r w:rsidR="00B546AF">
        <w:t> »</w:t>
      </w:r>
      <w:r>
        <w:t>.</w:t>
      </w:r>
      <w:r w:rsidR="00C45B47">
        <w:t xml:space="preserve"> {</w:t>
      </w:r>
      <w:r w:rsidR="000721C4">
        <w:t>69</w:t>
      </w:r>
      <w:bookmarkStart w:id="222" w:name="p069"/>
      <w:bookmarkEnd w:id="222"/>
      <w:r w:rsidR="000721C4">
        <w:t xml:space="preserve">} </w:t>
      </w:r>
    </w:p>
    <w:p w:rsidR="000A7AAB" w:rsidRDefault="000A7AAB" w:rsidP="000A7AAB">
      <w:r>
        <w:t>Que</w:t>
      </w:r>
      <w:r w:rsidRPr="002C4077">
        <w:t xml:space="preserve"> </w:t>
      </w:r>
      <w:r>
        <w:t>ce</w:t>
      </w:r>
      <w:r w:rsidRPr="002C4077">
        <w:t xml:space="preserve"> </w:t>
      </w:r>
      <w:r>
        <w:t>raisonnement</w:t>
      </w:r>
      <w:r w:rsidRPr="002C4077">
        <w:t xml:space="preserve"> </w:t>
      </w:r>
      <w:r w:rsidR="00425C50">
        <w:t>est</w:t>
      </w:r>
      <w:r w:rsidRPr="002C4077">
        <w:t xml:space="preserve"> </w:t>
      </w:r>
      <w:r>
        <w:t>scientifique</w:t>
      </w:r>
      <w:r w:rsidR="00B546AF">
        <w:t> !</w:t>
      </w:r>
      <w:r w:rsidRPr="002C4077">
        <w:t xml:space="preserve"> </w:t>
      </w:r>
      <w:r>
        <w:t>Et</w:t>
      </w:r>
      <w:r w:rsidRPr="002C4077">
        <w:t xml:space="preserve"> </w:t>
      </w:r>
      <w:r>
        <w:t>pourquoi</w:t>
      </w:r>
      <w:r w:rsidRPr="002C4077">
        <w:t xml:space="preserve"> </w:t>
      </w:r>
      <w:r>
        <w:t>ne</w:t>
      </w:r>
      <w:r w:rsidRPr="002C4077">
        <w:t xml:space="preserve"> </w:t>
      </w:r>
      <w:r>
        <w:t>récuserions-nous</w:t>
      </w:r>
      <w:r w:rsidRPr="002C4077">
        <w:t xml:space="preserve"> </w:t>
      </w:r>
      <w:r>
        <w:t>pas</w:t>
      </w:r>
      <w:r w:rsidRPr="002C4077">
        <w:t xml:space="preserve"> </w:t>
      </w:r>
      <w:r>
        <w:t>à</w:t>
      </w:r>
      <w:r w:rsidRPr="002C4077">
        <w:t xml:space="preserve"> </w:t>
      </w:r>
      <w:r>
        <w:t>notre</w:t>
      </w:r>
      <w:r w:rsidRPr="002C4077">
        <w:t xml:space="preserve"> </w:t>
      </w:r>
      <w:r>
        <w:t>tour,</w:t>
      </w:r>
      <w:r w:rsidRPr="002C4077">
        <w:t xml:space="preserve"> </w:t>
      </w:r>
      <w:r>
        <w:t>nous</w:t>
      </w:r>
      <w:r w:rsidRPr="002C4077">
        <w:t xml:space="preserve"> </w:t>
      </w:r>
      <w:r>
        <w:t>autres</w:t>
      </w:r>
      <w:r w:rsidRPr="002C4077">
        <w:t xml:space="preserve"> </w:t>
      </w:r>
      <w:r>
        <w:t>croyants,</w:t>
      </w:r>
      <w:r w:rsidRPr="002C4077">
        <w:t xml:space="preserve"> </w:t>
      </w:r>
      <w:r>
        <w:t>l’autorité</w:t>
      </w:r>
      <w:r w:rsidRPr="002C4077">
        <w:t xml:space="preserve"> </w:t>
      </w:r>
      <w:r>
        <w:t>de</w:t>
      </w:r>
      <w:r w:rsidRPr="002C4077">
        <w:t xml:space="preserve"> </w:t>
      </w:r>
      <w:r>
        <w:t>Ges</w:t>
      </w:r>
      <w:r w:rsidR="003B53FD">
        <w:t>énius</w:t>
      </w:r>
      <w:r>
        <w:t>,</w:t>
      </w:r>
      <w:r w:rsidRPr="002C4077">
        <w:t xml:space="preserve"> </w:t>
      </w:r>
      <w:r>
        <w:t>sous</w:t>
      </w:r>
      <w:r w:rsidRPr="002C4077">
        <w:t xml:space="preserve"> </w:t>
      </w:r>
      <w:r>
        <w:t>prétexte</w:t>
      </w:r>
      <w:r w:rsidRPr="002C4077">
        <w:t xml:space="preserve"> </w:t>
      </w:r>
      <w:r>
        <w:t>qu’il</w:t>
      </w:r>
      <w:r w:rsidRPr="002C4077">
        <w:t xml:space="preserve"> </w:t>
      </w:r>
      <w:r w:rsidR="00425C50">
        <w:t>est</w:t>
      </w:r>
      <w:r w:rsidRPr="002C4077">
        <w:t xml:space="preserve"> </w:t>
      </w:r>
      <w:r>
        <w:t>un</w:t>
      </w:r>
      <w:r w:rsidRPr="002C4077">
        <w:t xml:space="preserve"> </w:t>
      </w:r>
      <w:r>
        <w:t>fanatique</w:t>
      </w:r>
      <w:r w:rsidRPr="002C4077">
        <w:t xml:space="preserve"> </w:t>
      </w:r>
      <w:r>
        <w:t>adversaire</w:t>
      </w:r>
      <w:r w:rsidRPr="002C4077">
        <w:t xml:space="preserve"> </w:t>
      </w:r>
      <w:r>
        <w:t>de</w:t>
      </w:r>
      <w:r w:rsidRPr="002C4077">
        <w:t xml:space="preserve"> </w:t>
      </w:r>
      <w:r>
        <w:t>la</w:t>
      </w:r>
      <w:r w:rsidRPr="002C4077">
        <w:t xml:space="preserve"> </w:t>
      </w:r>
      <w:r>
        <w:t>virginité</w:t>
      </w:r>
      <w:r w:rsidRPr="002C4077">
        <w:t xml:space="preserve"> </w:t>
      </w:r>
      <w:r>
        <w:t>de</w:t>
      </w:r>
      <w:r w:rsidRPr="002C4077">
        <w:t xml:space="preserve"> </w:t>
      </w:r>
      <w:r>
        <w:t>Marie</w:t>
      </w:r>
      <w:r w:rsidR="00B546AF">
        <w:t> ?</w:t>
      </w:r>
      <w:r w:rsidRPr="002C4077">
        <w:t xml:space="preserve"> </w:t>
      </w:r>
      <w:r>
        <w:t>Contentons-nous</w:t>
      </w:r>
      <w:r w:rsidRPr="002C4077">
        <w:t xml:space="preserve"> </w:t>
      </w:r>
      <w:r>
        <w:t>de</w:t>
      </w:r>
      <w:r w:rsidRPr="002C4077">
        <w:t xml:space="preserve"> </w:t>
      </w:r>
      <w:r>
        <w:t>dire</w:t>
      </w:r>
      <w:r w:rsidRPr="002C4077">
        <w:t xml:space="preserve"> </w:t>
      </w:r>
      <w:r>
        <w:t>que</w:t>
      </w:r>
      <w:r w:rsidRPr="002C4077">
        <w:t xml:space="preserve"> </w:t>
      </w:r>
      <w:r>
        <w:t>c’est</w:t>
      </w:r>
      <w:r w:rsidRPr="002C4077">
        <w:t xml:space="preserve"> </w:t>
      </w:r>
      <w:r>
        <w:t>un</w:t>
      </w:r>
      <w:r w:rsidRPr="002C4077">
        <w:t xml:space="preserve"> </w:t>
      </w:r>
      <w:r>
        <w:t>acte</w:t>
      </w:r>
      <w:r w:rsidRPr="002C4077">
        <w:t xml:space="preserve"> </w:t>
      </w:r>
      <w:r w:rsidR="00B546AF">
        <w:t>« </w:t>
      </w:r>
      <w:r>
        <w:t>bien</w:t>
      </w:r>
      <w:r w:rsidRPr="002C4077">
        <w:t xml:space="preserve"> </w:t>
      </w:r>
      <w:r>
        <w:t>hardi</w:t>
      </w:r>
      <w:r w:rsidR="00B546AF">
        <w:t> »</w:t>
      </w:r>
      <w:r w:rsidRPr="002C4077">
        <w:t xml:space="preserve"> </w:t>
      </w:r>
      <w:r>
        <w:t>d’affirmer</w:t>
      </w:r>
      <w:r w:rsidRPr="002C4077">
        <w:t xml:space="preserve"> </w:t>
      </w:r>
      <w:r w:rsidR="00B546AF">
        <w:t>« </w:t>
      </w:r>
      <w:r>
        <w:t>sans</w:t>
      </w:r>
      <w:r w:rsidRPr="002C4077">
        <w:t xml:space="preserve"> </w:t>
      </w:r>
      <w:r>
        <w:t>la</w:t>
      </w:r>
      <w:r w:rsidRPr="002C4077">
        <w:t xml:space="preserve"> </w:t>
      </w:r>
      <w:r>
        <w:t>moindre</w:t>
      </w:r>
      <w:r w:rsidRPr="002C4077">
        <w:t xml:space="preserve"> </w:t>
      </w:r>
      <w:r>
        <w:t>preuve</w:t>
      </w:r>
      <w:r w:rsidR="00B546AF">
        <w:t> »</w:t>
      </w:r>
      <w:r w:rsidRPr="002C4077">
        <w:t xml:space="preserve"> </w:t>
      </w:r>
      <w:r>
        <w:t>que</w:t>
      </w:r>
      <w:r w:rsidRPr="002C4077">
        <w:t xml:space="preserve"> </w:t>
      </w:r>
      <w:r>
        <w:t>saint</w:t>
      </w:r>
      <w:r w:rsidRPr="002C4077">
        <w:t xml:space="preserve"> </w:t>
      </w:r>
      <w:r>
        <w:t>Jérôme</w:t>
      </w:r>
      <w:r w:rsidRPr="002C4077">
        <w:t xml:space="preserve"> </w:t>
      </w:r>
      <w:r>
        <w:t>ignorait</w:t>
      </w:r>
      <w:r w:rsidRPr="002C4077">
        <w:t xml:space="preserve"> </w:t>
      </w:r>
      <w:r>
        <w:t>la</w:t>
      </w:r>
      <w:r w:rsidRPr="002C4077">
        <w:t xml:space="preserve"> </w:t>
      </w:r>
      <w:r>
        <w:t>langue</w:t>
      </w:r>
      <w:r w:rsidRPr="002C4077">
        <w:t xml:space="preserve"> </w:t>
      </w:r>
      <w:r>
        <w:t>punique.</w:t>
      </w:r>
      <w:r w:rsidRPr="002C4077">
        <w:t xml:space="preserve"> </w:t>
      </w:r>
      <w:r w:rsidR="00B546AF">
        <w:t>« </w:t>
      </w:r>
      <w:r>
        <w:t>Car,</w:t>
      </w:r>
      <w:r w:rsidRPr="002C4077">
        <w:t xml:space="preserve"> </w:t>
      </w:r>
      <w:r>
        <w:t>quoi</w:t>
      </w:r>
      <w:r w:rsidRPr="002C4077">
        <w:t xml:space="preserve"> </w:t>
      </w:r>
      <w:r>
        <w:t>de</w:t>
      </w:r>
      <w:r w:rsidRPr="002C4077">
        <w:t xml:space="preserve"> </w:t>
      </w:r>
      <w:r>
        <w:t>plus</w:t>
      </w:r>
      <w:r w:rsidRPr="002C4077">
        <w:t xml:space="preserve"> </w:t>
      </w:r>
      <w:r>
        <w:t>facile</w:t>
      </w:r>
      <w:r w:rsidRPr="002C4077">
        <w:t xml:space="preserve"> </w:t>
      </w:r>
      <w:r>
        <w:t>pour</w:t>
      </w:r>
      <w:r w:rsidRPr="002C4077">
        <w:t xml:space="preserve"> </w:t>
      </w:r>
      <w:r>
        <w:t>un</w:t>
      </w:r>
      <w:r w:rsidRPr="002C4077">
        <w:t xml:space="preserve"> </w:t>
      </w:r>
      <w:r>
        <w:t>homme</w:t>
      </w:r>
      <w:r w:rsidRPr="002C4077">
        <w:t xml:space="preserve"> </w:t>
      </w:r>
      <w:r>
        <w:t>si</w:t>
      </w:r>
      <w:r w:rsidRPr="002C4077">
        <w:t xml:space="preserve"> </w:t>
      </w:r>
      <w:r>
        <w:t>habile,</w:t>
      </w:r>
      <w:r w:rsidRPr="002C4077">
        <w:t xml:space="preserve"> </w:t>
      </w:r>
      <w:r>
        <w:t>que</w:t>
      </w:r>
      <w:r w:rsidRPr="002C4077">
        <w:t xml:space="preserve"> </w:t>
      </w:r>
      <w:r>
        <w:t>de</w:t>
      </w:r>
      <w:r w:rsidRPr="002C4077">
        <w:t xml:space="preserve"> </w:t>
      </w:r>
      <w:r>
        <w:t>savoir</w:t>
      </w:r>
      <w:r w:rsidRPr="002C4077">
        <w:t xml:space="preserve"> </w:t>
      </w:r>
      <w:r>
        <w:t>le</w:t>
      </w:r>
      <w:r w:rsidRPr="002C4077">
        <w:t xml:space="preserve"> </w:t>
      </w:r>
      <w:r>
        <w:t>sens</w:t>
      </w:r>
      <w:r w:rsidRPr="002C4077">
        <w:t xml:space="preserve"> </w:t>
      </w:r>
      <w:r>
        <w:t>d’un</w:t>
      </w:r>
      <w:r w:rsidRPr="002C4077">
        <w:t xml:space="preserve"> </w:t>
      </w:r>
      <w:r>
        <w:t>mot</w:t>
      </w:r>
      <w:r w:rsidRPr="002C4077">
        <w:t xml:space="preserve"> </w:t>
      </w:r>
      <w:r>
        <w:t>punique</w:t>
      </w:r>
      <w:r w:rsidRPr="002C4077">
        <w:t xml:space="preserve"> </w:t>
      </w:r>
      <w:r>
        <w:t>qui</w:t>
      </w:r>
      <w:r w:rsidRPr="002C4077">
        <w:t xml:space="preserve"> </w:t>
      </w:r>
      <w:r>
        <w:t>l’intéressait</w:t>
      </w:r>
      <w:r w:rsidRPr="002C4077">
        <w:t xml:space="preserve"> </w:t>
      </w:r>
      <w:r>
        <w:t>si</w:t>
      </w:r>
      <w:r w:rsidRPr="002C4077">
        <w:t xml:space="preserve"> </w:t>
      </w:r>
      <w:r>
        <w:t>fort,</w:t>
      </w:r>
      <w:r w:rsidRPr="002C4077">
        <w:t xml:space="preserve"> </w:t>
      </w:r>
      <w:r>
        <w:t>et</w:t>
      </w:r>
      <w:r w:rsidRPr="002C4077">
        <w:t xml:space="preserve"> </w:t>
      </w:r>
      <w:r>
        <w:t>n’est-ce</w:t>
      </w:r>
      <w:r w:rsidRPr="002C4077">
        <w:t xml:space="preserve"> </w:t>
      </w:r>
      <w:r>
        <w:t>pas</w:t>
      </w:r>
      <w:r w:rsidRPr="002C4077">
        <w:t xml:space="preserve"> </w:t>
      </w:r>
      <w:r>
        <w:t>l’injurier</w:t>
      </w:r>
      <w:r w:rsidRPr="002C4077">
        <w:t xml:space="preserve"> </w:t>
      </w:r>
      <w:r>
        <w:t>gratuitement</w:t>
      </w:r>
      <w:r w:rsidRPr="002C4077">
        <w:t xml:space="preserve"> </w:t>
      </w:r>
      <w:r>
        <w:t>que</w:t>
      </w:r>
      <w:r w:rsidRPr="002C4077">
        <w:t xml:space="preserve"> </w:t>
      </w:r>
      <w:r>
        <w:t>de</w:t>
      </w:r>
      <w:r w:rsidRPr="002C4077">
        <w:t xml:space="preserve"> </w:t>
      </w:r>
      <w:r>
        <w:t>supposer</w:t>
      </w:r>
      <w:r w:rsidRPr="002C4077">
        <w:t xml:space="preserve"> </w:t>
      </w:r>
      <w:r>
        <w:t>qu’il</w:t>
      </w:r>
      <w:r w:rsidRPr="002C4077">
        <w:t xml:space="preserve"> </w:t>
      </w:r>
      <w:r>
        <w:t>a</w:t>
      </w:r>
      <w:r w:rsidRPr="002C4077">
        <w:t xml:space="preserve"> </w:t>
      </w:r>
      <w:r>
        <w:t>parlé</w:t>
      </w:r>
      <w:r w:rsidRPr="002C4077">
        <w:t xml:space="preserve"> </w:t>
      </w:r>
      <w:r>
        <w:t>de</w:t>
      </w:r>
      <w:r w:rsidRPr="002C4077">
        <w:t xml:space="preserve"> </w:t>
      </w:r>
      <w:r>
        <w:t>ce</w:t>
      </w:r>
      <w:r w:rsidRPr="002C4077">
        <w:t xml:space="preserve"> </w:t>
      </w:r>
      <w:r>
        <w:t>qu’il</w:t>
      </w:r>
      <w:r w:rsidRPr="002C4077">
        <w:t xml:space="preserve"> </w:t>
      </w:r>
      <w:r>
        <w:t>ignorait</w:t>
      </w:r>
      <w:r w:rsidR="00B91AF7">
        <w:rPr>
          <w:rStyle w:val="Appelnotedebasdep"/>
        </w:rPr>
        <w:footnoteReference w:id="195"/>
      </w:r>
      <w:r w:rsidR="00B546AF">
        <w:t> ? »</w:t>
      </w:r>
      <w:r>
        <w:t>.</w:t>
      </w:r>
      <w:r w:rsidRPr="002C4077">
        <w:t xml:space="preserve"> </w:t>
      </w:r>
      <w:r>
        <w:t>Qui</w:t>
      </w:r>
      <w:r w:rsidRPr="002C4077">
        <w:t xml:space="preserve"> </w:t>
      </w:r>
      <w:r>
        <w:t>ne</w:t>
      </w:r>
      <w:r w:rsidRPr="002C4077">
        <w:t xml:space="preserve"> </w:t>
      </w:r>
      <w:r>
        <w:t>sait,</w:t>
      </w:r>
      <w:r w:rsidRPr="002C4077">
        <w:t xml:space="preserve"> </w:t>
      </w:r>
      <w:r>
        <w:t>en</w:t>
      </w:r>
      <w:r w:rsidRPr="002C4077">
        <w:t xml:space="preserve"> </w:t>
      </w:r>
      <w:r>
        <w:t>effet,</w:t>
      </w:r>
      <w:r w:rsidRPr="002C4077">
        <w:t xml:space="preserve"> </w:t>
      </w:r>
      <w:r>
        <w:t>qu’il</w:t>
      </w:r>
      <w:r w:rsidRPr="002C4077">
        <w:t xml:space="preserve"> </w:t>
      </w:r>
      <w:r>
        <w:t>existait</w:t>
      </w:r>
      <w:r w:rsidRPr="002C4077">
        <w:t xml:space="preserve"> </w:t>
      </w:r>
      <w:r>
        <w:t>une</w:t>
      </w:r>
      <w:r w:rsidRPr="002C4077">
        <w:t xml:space="preserve"> </w:t>
      </w:r>
      <w:r>
        <w:t>très</w:t>
      </w:r>
      <w:r w:rsidRPr="002C4077">
        <w:t xml:space="preserve"> </w:t>
      </w:r>
      <w:r>
        <w:t>grande</w:t>
      </w:r>
      <w:r w:rsidRPr="002C4077">
        <w:t xml:space="preserve"> </w:t>
      </w:r>
      <w:r>
        <w:t>ressemblance</w:t>
      </w:r>
      <w:r w:rsidRPr="002C4077">
        <w:t xml:space="preserve"> </w:t>
      </w:r>
      <w:r>
        <w:t>entre</w:t>
      </w:r>
      <w:r w:rsidRPr="002C4077">
        <w:t xml:space="preserve"> </w:t>
      </w:r>
      <w:r>
        <w:t>l’hébreu</w:t>
      </w:r>
      <w:r w:rsidRPr="002C4077">
        <w:t xml:space="preserve"> </w:t>
      </w:r>
      <w:r>
        <w:t>et</w:t>
      </w:r>
      <w:r w:rsidRPr="002C4077">
        <w:t xml:space="preserve"> </w:t>
      </w:r>
      <w:r>
        <w:t>le</w:t>
      </w:r>
      <w:bookmarkStart w:id="223" w:name="z_JeromeSaint_o2"/>
      <w:bookmarkEnd w:id="223"/>
      <w:r w:rsidRPr="002C4077">
        <w:t xml:space="preserve"> </w:t>
      </w:r>
      <w:r>
        <w:t>phénicien</w:t>
      </w:r>
      <w:r w:rsidR="00B546AF">
        <w:t> ?</w:t>
      </w:r>
      <w:r w:rsidRPr="002C4077">
        <w:t xml:space="preserve"> </w:t>
      </w:r>
    </w:p>
    <w:p w:rsidR="000A7AAB" w:rsidRDefault="000A7AAB" w:rsidP="000A7AAB">
      <w:r>
        <w:t>Au</w:t>
      </w:r>
      <w:r w:rsidRPr="002C4077">
        <w:t xml:space="preserve"> </w:t>
      </w:r>
      <w:r>
        <w:t>surplus,</w:t>
      </w:r>
      <w:r w:rsidRPr="002C4077">
        <w:t xml:space="preserve"> </w:t>
      </w:r>
      <w:r>
        <w:t>à</w:t>
      </w:r>
      <w:r w:rsidRPr="002C4077">
        <w:t xml:space="preserve"> </w:t>
      </w:r>
      <w:r>
        <w:t>l’assertion</w:t>
      </w:r>
      <w:r w:rsidRPr="002C4077">
        <w:t xml:space="preserve"> </w:t>
      </w:r>
      <w:r>
        <w:t>toute</w:t>
      </w:r>
      <w:r w:rsidRPr="002C4077">
        <w:t xml:space="preserve"> </w:t>
      </w:r>
      <w:r>
        <w:t>gratuite</w:t>
      </w:r>
      <w:r w:rsidRPr="002C4077">
        <w:t xml:space="preserve"> </w:t>
      </w:r>
      <w:r>
        <w:t>de</w:t>
      </w:r>
      <w:r w:rsidRPr="002C4077">
        <w:t xml:space="preserve"> </w:t>
      </w:r>
      <w:r>
        <w:t>Ges</w:t>
      </w:r>
      <w:r w:rsidR="003B53FD">
        <w:t>énius</w:t>
      </w:r>
      <w:r>
        <w:t>,</w:t>
      </w:r>
      <w:r w:rsidRPr="002C4077">
        <w:t xml:space="preserve"> </w:t>
      </w:r>
      <w:r>
        <w:t>nous</w:t>
      </w:r>
      <w:r w:rsidRPr="002C4077">
        <w:t xml:space="preserve"> </w:t>
      </w:r>
      <w:r>
        <w:t>pouvons</w:t>
      </w:r>
      <w:r w:rsidRPr="002C4077">
        <w:t xml:space="preserve"> </w:t>
      </w:r>
      <w:r>
        <w:t>opposer</w:t>
      </w:r>
      <w:r w:rsidRPr="002C4077">
        <w:t xml:space="preserve"> </w:t>
      </w:r>
      <w:r>
        <w:t>l’appréciation</w:t>
      </w:r>
      <w:r w:rsidRPr="002C4077">
        <w:t xml:space="preserve"> </w:t>
      </w:r>
      <w:r>
        <w:t>d’exégètes</w:t>
      </w:r>
      <w:r w:rsidRPr="002C4077">
        <w:t xml:space="preserve"> </w:t>
      </w:r>
      <w:r>
        <w:t>et</w:t>
      </w:r>
      <w:r w:rsidRPr="002C4077">
        <w:t xml:space="preserve"> </w:t>
      </w:r>
      <w:r>
        <w:t>de</w:t>
      </w:r>
      <w:r w:rsidRPr="002C4077">
        <w:t xml:space="preserve"> </w:t>
      </w:r>
      <w:r>
        <w:t>philologues</w:t>
      </w:r>
      <w:r w:rsidRPr="002C4077">
        <w:t xml:space="preserve"> </w:t>
      </w:r>
      <w:r>
        <w:t>distingués,</w:t>
      </w:r>
      <w:r w:rsidRPr="002C4077">
        <w:t xml:space="preserve"> </w:t>
      </w:r>
      <w:r>
        <w:t>qui</w:t>
      </w:r>
      <w:r w:rsidRPr="002C4077">
        <w:t xml:space="preserve"> </w:t>
      </w:r>
      <w:r>
        <w:t>n’hésitent</w:t>
      </w:r>
      <w:r w:rsidRPr="002C4077">
        <w:t xml:space="preserve"> </w:t>
      </w:r>
      <w:r>
        <w:t>pas</w:t>
      </w:r>
      <w:r w:rsidRPr="002C4077">
        <w:t xml:space="preserve"> </w:t>
      </w:r>
      <w:r>
        <w:t>à</w:t>
      </w:r>
      <w:r w:rsidRPr="002C4077">
        <w:t xml:space="preserve"> </w:t>
      </w:r>
      <w:r>
        <w:t>prendre</w:t>
      </w:r>
      <w:r w:rsidRPr="002C4077">
        <w:t xml:space="preserve"> </w:t>
      </w:r>
      <w:r>
        <w:t>parti</w:t>
      </w:r>
      <w:r w:rsidRPr="002C4077">
        <w:t xml:space="preserve"> </w:t>
      </w:r>
      <w:r>
        <w:t>pour</w:t>
      </w:r>
      <w:r w:rsidRPr="002C4077">
        <w:t xml:space="preserve"> </w:t>
      </w:r>
      <w:r>
        <w:t>saint</w:t>
      </w:r>
      <w:bookmarkStart w:id="224" w:name="z_Gesenius_o2"/>
      <w:bookmarkEnd w:id="224"/>
      <w:r w:rsidRPr="002C4077">
        <w:t xml:space="preserve"> </w:t>
      </w:r>
      <w:r>
        <w:t>Jérôme.</w:t>
      </w:r>
      <w:r w:rsidRPr="002C4077">
        <w:t xml:space="preserve"> </w:t>
      </w:r>
    </w:p>
    <w:p w:rsidR="000A7AAB" w:rsidRPr="000721C4" w:rsidRDefault="000A7AAB" w:rsidP="000A7AAB">
      <w:r>
        <w:t>C’est</w:t>
      </w:r>
      <w:r w:rsidRPr="002C4077">
        <w:t xml:space="preserve"> </w:t>
      </w:r>
      <w:r>
        <w:t>d’abord</w:t>
      </w:r>
      <w:r w:rsidRPr="002C4077">
        <w:t xml:space="preserve"> </w:t>
      </w:r>
      <w:r>
        <w:t>Vitringa,</w:t>
      </w:r>
      <w:r w:rsidRPr="002C4077">
        <w:t xml:space="preserve"> </w:t>
      </w:r>
      <w:r>
        <w:t>ce</w:t>
      </w:r>
      <w:r w:rsidRPr="002C4077">
        <w:t xml:space="preserve"> </w:t>
      </w:r>
      <w:r>
        <w:t>vieux</w:t>
      </w:r>
      <w:r w:rsidRPr="002C4077">
        <w:t xml:space="preserve"> </w:t>
      </w:r>
      <w:r>
        <w:t>commentateur</w:t>
      </w:r>
      <w:r w:rsidRPr="002C4077">
        <w:t xml:space="preserve"> </w:t>
      </w:r>
      <w:r>
        <w:t>protestant</w:t>
      </w:r>
      <w:r w:rsidRPr="002C4077">
        <w:t xml:space="preserve"> </w:t>
      </w:r>
      <w:r>
        <w:t>si</w:t>
      </w:r>
      <w:r w:rsidRPr="002C4077">
        <w:t xml:space="preserve"> </w:t>
      </w:r>
      <w:r>
        <w:t>plein</w:t>
      </w:r>
      <w:r w:rsidRPr="002C4077">
        <w:t xml:space="preserve"> </w:t>
      </w:r>
      <w:r>
        <w:t>de</w:t>
      </w:r>
      <w:r w:rsidRPr="002C4077">
        <w:t xml:space="preserve"> </w:t>
      </w:r>
      <w:r>
        <w:t>sens.</w:t>
      </w:r>
      <w:r w:rsidRPr="002C4077">
        <w:t xml:space="preserve"> </w:t>
      </w:r>
      <w:r w:rsidR="00B546AF">
        <w:t>« </w:t>
      </w:r>
      <w:r w:rsidR="00860738">
        <w:t>Etymológia</w:t>
      </w:r>
      <w:r w:rsidR="00860738" w:rsidRPr="002C4077">
        <w:t xml:space="preserve"> </w:t>
      </w:r>
      <w:r>
        <w:t>vera</w:t>
      </w:r>
      <w:r w:rsidRPr="002C4077">
        <w:t xml:space="preserve"> </w:t>
      </w:r>
      <w:r>
        <w:t>vocis,</w:t>
      </w:r>
      <w:r w:rsidRPr="002C4077">
        <w:t xml:space="preserve"> </w:t>
      </w:r>
      <w:r>
        <w:t>dit-il,</w:t>
      </w:r>
      <w:r w:rsidRPr="002C4077">
        <w:t xml:space="preserve"> </w:t>
      </w:r>
      <w:r>
        <w:t>nostræ</w:t>
      </w:r>
      <w:r w:rsidRPr="002C4077">
        <w:t xml:space="preserve"> </w:t>
      </w:r>
      <w:r>
        <w:t>favet</w:t>
      </w:r>
      <w:r w:rsidRPr="002C4077">
        <w:t xml:space="preserve"> </w:t>
      </w:r>
      <w:r>
        <w:t>interpretat</w:t>
      </w:r>
      <w:r w:rsidR="003B53FD">
        <w:t>ióni</w:t>
      </w:r>
      <w:r>
        <w:t>.</w:t>
      </w:r>
      <w:r w:rsidRPr="002C4077">
        <w:t xml:space="preserve"> </w:t>
      </w:r>
      <w:r>
        <w:t>N</w:t>
      </w:r>
      <w:r w:rsidR="003B53FD">
        <w:t>ótio</w:t>
      </w:r>
      <w:r w:rsidRPr="002C4077">
        <w:t xml:space="preserve"> </w:t>
      </w:r>
      <w:r>
        <w:t>enim</w:t>
      </w:r>
      <w:r w:rsidRPr="002C4077">
        <w:t xml:space="preserve"> </w:t>
      </w:r>
      <w:r w:rsidR="00D40830" w:rsidRPr="00D05EA9">
        <w:rPr>
          <w:rStyle w:val="italicus"/>
        </w:rPr>
        <w:t>῾almah</w:t>
      </w:r>
      <w:r w:rsidRPr="002C4077">
        <w:t xml:space="preserve"> </w:t>
      </w:r>
      <w:r w:rsidR="00425C50">
        <w:t>est</w:t>
      </w:r>
      <w:r w:rsidRPr="002C4077">
        <w:t xml:space="preserve"> </w:t>
      </w:r>
      <w:r>
        <w:t>a</w:t>
      </w:r>
      <w:r w:rsidRPr="002C4077">
        <w:t xml:space="preserve"> </w:t>
      </w:r>
      <w:r w:rsidR="0055004A">
        <w:rPr>
          <w:rStyle w:val="italicus"/>
        </w:rPr>
        <w:t>῾</w:t>
      </w:r>
      <w:r w:rsidRPr="000A34B5">
        <w:rPr>
          <w:rStyle w:val="italicus"/>
        </w:rPr>
        <w:t>alam,</w:t>
      </w:r>
      <w:r w:rsidRPr="002C4077">
        <w:t xml:space="preserve"> </w:t>
      </w:r>
      <w:r>
        <w:t>forma</w:t>
      </w:r>
      <w:r w:rsidRPr="002C4077">
        <w:t xml:space="preserve"> </w:t>
      </w:r>
      <w:r>
        <w:t>Niphal</w:t>
      </w:r>
      <w:r w:rsidR="00860738">
        <w:rPr>
          <w:rStyle w:val="Appelnotedebasdep"/>
        </w:rPr>
        <w:footnoteReference w:id="196"/>
      </w:r>
      <w:r w:rsidRPr="002C4077">
        <w:t xml:space="preserve"> </w:t>
      </w:r>
      <w:r w:rsidRPr="000A34B5">
        <w:rPr>
          <w:rStyle w:val="italicus"/>
        </w:rPr>
        <w:t>ne</w:t>
      </w:r>
      <w:r w:rsidR="0055004A">
        <w:rPr>
          <w:rStyle w:val="italicus"/>
        </w:rPr>
        <w:t>῾</w:t>
      </w:r>
      <w:r w:rsidRPr="000A34B5">
        <w:rPr>
          <w:rStyle w:val="italicus"/>
        </w:rPr>
        <w:t>elam,</w:t>
      </w:r>
      <w:r w:rsidRPr="002C4077">
        <w:t xml:space="preserve"> </w:t>
      </w:r>
      <w:r w:rsidR="00860738">
        <w:t>abscónditum</w:t>
      </w:r>
      <w:r>
        <w:t>,</w:t>
      </w:r>
      <w:r w:rsidRPr="002C4077">
        <w:t xml:space="preserve"> </w:t>
      </w:r>
      <w:r w:rsidR="003B53FD">
        <w:t>occúltum</w:t>
      </w:r>
      <w:r w:rsidRPr="002C4077">
        <w:t xml:space="preserve"> </w:t>
      </w:r>
      <w:r>
        <w:t>esse,</w:t>
      </w:r>
      <w:r w:rsidRPr="002C4077">
        <w:t xml:space="preserve"> </w:t>
      </w:r>
      <w:r>
        <w:t>ig</w:t>
      </w:r>
      <w:r w:rsidR="003B53FD">
        <w:t>norári</w:t>
      </w:r>
      <w:r>
        <w:t>,</w:t>
      </w:r>
      <w:r w:rsidRPr="002C4077">
        <w:t xml:space="preserve"> </w:t>
      </w:r>
      <w:r>
        <w:t>ut</w:t>
      </w:r>
      <w:r w:rsidRPr="002C4077">
        <w:t xml:space="preserve"> </w:t>
      </w:r>
      <w:r w:rsidR="0055004A">
        <w:rPr>
          <w:rStyle w:val="italicus"/>
        </w:rPr>
        <w:t>῾</w:t>
      </w:r>
      <w:r w:rsidRPr="000A34B5">
        <w:rPr>
          <w:rStyle w:val="italicus"/>
        </w:rPr>
        <w:t>aloumim,</w:t>
      </w:r>
      <w:r w:rsidRPr="002C4077">
        <w:t xml:space="preserve"> </w:t>
      </w:r>
      <w:r>
        <w:t>ig</w:t>
      </w:r>
      <w:r w:rsidR="003B53FD">
        <w:t>noráta</w:t>
      </w:r>
      <w:r>
        <w:t>,</w:t>
      </w:r>
      <w:r w:rsidRPr="002C4077">
        <w:t xml:space="preserve"> </w:t>
      </w:r>
      <w:r>
        <w:t>occulta</w:t>
      </w:r>
      <w:r w:rsidR="00B546AF">
        <w:t> ;</w:t>
      </w:r>
      <w:r w:rsidRPr="002C4077">
        <w:t xml:space="preserve"> </w:t>
      </w:r>
      <w:r>
        <w:t>quam</w:t>
      </w:r>
      <w:r w:rsidRPr="002C4077">
        <w:t xml:space="preserve"> </w:t>
      </w:r>
      <w:r>
        <w:t>significat</w:t>
      </w:r>
      <w:r w:rsidR="003B53FD">
        <w:t>iónem</w:t>
      </w:r>
      <w:r w:rsidRPr="002C4077">
        <w:t xml:space="preserve"> </w:t>
      </w:r>
      <w:r w:rsidR="003B53FD">
        <w:t>ómnia</w:t>
      </w:r>
      <w:r w:rsidRPr="002C4077">
        <w:t xml:space="preserve"> </w:t>
      </w:r>
      <w:r w:rsidR="003B53FD">
        <w:t>thémata</w:t>
      </w:r>
      <w:r w:rsidRPr="002C4077">
        <w:t xml:space="preserve"> </w:t>
      </w:r>
      <w:r>
        <w:t>de</w:t>
      </w:r>
      <w:r w:rsidR="003B53FD">
        <w:t>riváta</w:t>
      </w:r>
      <w:r w:rsidRPr="002C4077">
        <w:t xml:space="preserve"> </w:t>
      </w:r>
      <w:r w:rsidR="00860738">
        <w:t>á</w:t>
      </w:r>
      <w:r>
        <w:t>dstruunt.</w:t>
      </w:r>
      <w:r w:rsidRPr="002C4077">
        <w:t xml:space="preserve"> </w:t>
      </w:r>
      <w:r>
        <w:t>A</w:t>
      </w:r>
      <w:r w:rsidR="001730C6">
        <w:t>tq</w:t>
      </w:r>
      <w:r>
        <w:t>ui</w:t>
      </w:r>
      <w:r w:rsidRPr="002C4077">
        <w:t xml:space="preserve"> </w:t>
      </w:r>
      <w:r>
        <w:t>hæc</w:t>
      </w:r>
      <w:r w:rsidRPr="002C4077">
        <w:t xml:space="preserve"> </w:t>
      </w:r>
      <w:r>
        <w:t>etymol</w:t>
      </w:r>
      <w:r w:rsidR="003B53FD">
        <w:t>ógia</w:t>
      </w:r>
      <w:r w:rsidRPr="002C4077">
        <w:t xml:space="preserve"> </w:t>
      </w:r>
      <w:r>
        <w:t>soli</w:t>
      </w:r>
      <w:r w:rsidRPr="002C4077">
        <w:t xml:space="preserve"> </w:t>
      </w:r>
      <w:r w:rsidR="00860738">
        <w:t>cónvenit</w:t>
      </w:r>
      <w:r w:rsidRPr="002C4077">
        <w:t xml:space="preserve"> </w:t>
      </w:r>
      <w:r>
        <w:t>v</w:t>
      </w:r>
      <w:r w:rsidR="003B53FD">
        <w:t>írgini</w:t>
      </w:r>
      <w:r w:rsidR="00B91AF7">
        <w:rPr>
          <w:rStyle w:val="Appelnotedebasdep"/>
        </w:rPr>
        <w:footnoteReference w:id="197"/>
      </w:r>
      <w:r w:rsidR="00B546AF">
        <w:t> »</w:t>
      </w:r>
      <w:r>
        <w:t>.</w:t>
      </w:r>
      <w:r w:rsidR="00C45B47">
        <w:t xml:space="preserve"> {</w:t>
      </w:r>
      <w:r w:rsidR="000721C4">
        <w:t>70</w:t>
      </w:r>
      <w:bookmarkStart w:id="225" w:name="p070"/>
      <w:bookmarkEnd w:id="225"/>
      <w:r w:rsidR="000721C4">
        <w:t xml:space="preserve">} </w:t>
      </w:r>
    </w:p>
    <w:p w:rsidR="000A7AAB" w:rsidRDefault="000A7AAB" w:rsidP="000A7AAB">
      <w:r>
        <w:t>Ce</w:t>
      </w:r>
      <w:r w:rsidRPr="002C4077">
        <w:t xml:space="preserve"> </w:t>
      </w:r>
      <w:r>
        <w:t>sont</w:t>
      </w:r>
      <w:r w:rsidRPr="002C4077">
        <w:t xml:space="preserve"> </w:t>
      </w:r>
      <w:r>
        <w:t>Casaubon</w:t>
      </w:r>
      <w:r w:rsidR="00B91AF7">
        <w:rPr>
          <w:rStyle w:val="Appelnotedebasdep"/>
        </w:rPr>
        <w:footnoteReference w:id="198"/>
      </w:r>
      <w:r>
        <w:t>,</w:t>
      </w:r>
      <w:r w:rsidRPr="002C4077">
        <w:t xml:space="preserve"> </w:t>
      </w:r>
      <w:r w:rsidR="00860738">
        <w:t>Grotius</w:t>
      </w:r>
      <w:r w:rsidR="00B91AF7">
        <w:rPr>
          <w:rStyle w:val="Appelnotedebasdep"/>
        </w:rPr>
        <w:footnoteReference w:id="199"/>
      </w:r>
      <w:r>
        <w:t>,</w:t>
      </w:r>
      <w:r w:rsidRPr="002C4077">
        <w:t xml:space="preserve"> </w:t>
      </w:r>
      <w:r>
        <w:t>Huet</w:t>
      </w:r>
      <w:r w:rsidR="00B91AF7">
        <w:rPr>
          <w:rStyle w:val="Appelnotedebasdep"/>
        </w:rPr>
        <w:footnoteReference w:id="200"/>
      </w:r>
      <w:r>
        <w:t>,</w:t>
      </w:r>
      <w:r w:rsidRPr="002C4077">
        <w:t xml:space="preserve"> </w:t>
      </w:r>
      <w:r>
        <w:t>Sanchez,</w:t>
      </w:r>
      <w:r w:rsidRPr="002C4077">
        <w:t xml:space="preserve"> </w:t>
      </w:r>
      <w:r>
        <w:t>Edouard</w:t>
      </w:r>
      <w:r w:rsidR="00860738" w:rsidRPr="002C4077">
        <w:t xml:space="preserve"> </w:t>
      </w:r>
      <w:r>
        <w:t>Leigh</w:t>
      </w:r>
      <w:r w:rsidR="00B91AF7">
        <w:rPr>
          <w:rStyle w:val="Appelnotedebasdep"/>
        </w:rPr>
        <w:footnoteReference w:id="201"/>
      </w:r>
      <w:r>
        <w:t>,</w:t>
      </w:r>
      <w:r w:rsidRPr="002C4077">
        <w:t xml:space="preserve"> </w:t>
      </w:r>
      <w:r>
        <w:t>D.</w:t>
      </w:r>
      <w:r w:rsidRPr="002C4077">
        <w:t xml:space="preserve"> </w:t>
      </w:r>
      <w:r>
        <w:t>Gataker</w:t>
      </w:r>
      <w:r w:rsidR="00B91AF7">
        <w:rPr>
          <w:rStyle w:val="Appelnotedebasdep"/>
        </w:rPr>
        <w:footnoteReference w:id="202"/>
      </w:r>
      <w:r>
        <w:t>,</w:t>
      </w:r>
      <w:r w:rsidRPr="002C4077">
        <w:t xml:space="preserve"> </w:t>
      </w:r>
      <w:r>
        <w:t>Albert</w:t>
      </w:r>
      <w:r w:rsidRPr="002C4077">
        <w:t xml:space="preserve"> </w:t>
      </w:r>
      <w:r>
        <w:t>Schulten</w:t>
      </w:r>
      <w:r w:rsidR="004377BC">
        <w:t>s</w:t>
      </w:r>
      <w:r w:rsidR="004377BC">
        <w:rPr>
          <w:rStyle w:val="Appelnotedebasdep"/>
        </w:rPr>
        <w:footnoteReference w:id="203"/>
      </w:r>
      <w:r>
        <w:t>,</w:t>
      </w:r>
      <w:r w:rsidRPr="002C4077">
        <w:t xml:space="preserve"> </w:t>
      </w:r>
      <w:r>
        <w:t>Hartmann</w:t>
      </w:r>
      <w:r w:rsidR="00B91AF7">
        <w:rPr>
          <w:rStyle w:val="Appelnotedebasdep"/>
        </w:rPr>
        <w:footnoteReference w:id="204"/>
      </w:r>
      <w:r>
        <w:t>,</w:t>
      </w:r>
      <w:r w:rsidRPr="002C4077">
        <w:t xml:space="preserve"> </w:t>
      </w:r>
      <w:r>
        <w:t>et</w:t>
      </w:r>
      <w:r w:rsidRPr="002C4077">
        <w:t xml:space="preserve"> </w:t>
      </w:r>
      <w:r>
        <w:t>cent</w:t>
      </w:r>
      <w:r w:rsidRPr="002C4077">
        <w:t xml:space="preserve"> </w:t>
      </w:r>
      <w:r>
        <w:t>autres.</w:t>
      </w:r>
      <w:r w:rsidRPr="002C4077">
        <w:t xml:space="preserve"> </w:t>
      </w:r>
    </w:p>
    <w:p w:rsidR="000A7AAB" w:rsidRDefault="000A7AAB" w:rsidP="000A7AAB">
      <w:r>
        <w:t>Hengstenberg</w:t>
      </w:r>
      <w:r w:rsidRPr="002C4077">
        <w:t xml:space="preserve"> </w:t>
      </w:r>
      <w:r>
        <w:t>nomme</w:t>
      </w:r>
      <w:r w:rsidRPr="002C4077">
        <w:t xml:space="preserve"> </w:t>
      </w:r>
      <w:r w:rsidRPr="000A34B5">
        <w:rPr>
          <w:rStyle w:val="italicus"/>
        </w:rPr>
        <w:t>treffend</w:t>
      </w:r>
      <w:r w:rsidRPr="004440EA">
        <w:t xml:space="preserve"> (</w:t>
      </w:r>
      <w:r>
        <w:t>excellente</w:t>
      </w:r>
      <w:r w:rsidR="00B546AF" w:rsidRPr="002C4077">
        <w:t>)</w:t>
      </w:r>
      <w:r w:rsidRPr="002C4077">
        <w:t xml:space="preserve"> </w:t>
      </w:r>
      <w:r>
        <w:t>la</w:t>
      </w:r>
      <w:r w:rsidRPr="002C4077">
        <w:t xml:space="preserve"> </w:t>
      </w:r>
      <w:r>
        <w:t>dérivation</w:t>
      </w:r>
      <w:r w:rsidRPr="002C4077">
        <w:t xml:space="preserve"> </w:t>
      </w:r>
      <w:r>
        <w:t>proposée</w:t>
      </w:r>
      <w:r w:rsidRPr="002C4077">
        <w:t xml:space="preserve"> </w:t>
      </w:r>
      <w:r>
        <w:t>par</w:t>
      </w:r>
      <w:r w:rsidRPr="002C4077">
        <w:t xml:space="preserve"> </w:t>
      </w:r>
      <w:r>
        <w:t>saint</w:t>
      </w:r>
      <w:r w:rsidRPr="002C4077">
        <w:t xml:space="preserve"> </w:t>
      </w:r>
      <w:r>
        <w:t>Jérôme.</w:t>
      </w:r>
      <w:r w:rsidRPr="002C4077">
        <w:t xml:space="preserve"> </w:t>
      </w:r>
      <w:r>
        <w:t>Il</w:t>
      </w:r>
      <w:r w:rsidRPr="002C4077">
        <w:t xml:space="preserve"> </w:t>
      </w:r>
      <w:r>
        <w:t>appelle</w:t>
      </w:r>
      <w:r w:rsidRPr="002C4077">
        <w:t xml:space="preserve"> </w:t>
      </w:r>
      <w:r>
        <w:t>au</w:t>
      </w:r>
      <w:r w:rsidRPr="002C4077">
        <w:t xml:space="preserve"> </w:t>
      </w:r>
      <w:r>
        <w:t>contraire</w:t>
      </w:r>
      <w:r w:rsidRPr="002C4077">
        <w:t xml:space="preserve"> </w:t>
      </w:r>
      <w:r w:rsidRPr="000A34B5">
        <w:rPr>
          <w:rStyle w:val="italicus"/>
        </w:rPr>
        <w:t>leicht</w:t>
      </w:r>
      <w:r w:rsidRPr="002C4077">
        <w:t xml:space="preserve"> </w:t>
      </w:r>
      <w:r w:rsidRPr="000A34B5">
        <w:rPr>
          <w:rStyle w:val="italicus"/>
        </w:rPr>
        <w:t>zu</w:t>
      </w:r>
      <w:r w:rsidRPr="002C4077">
        <w:t xml:space="preserve"> </w:t>
      </w:r>
      <w:r w:rsidRPr="000A34B5">
        <w:rPr>
          <w:rStyle w:val="italicus"/>
        </w:rPr>
        <w:t>widerlegende</w:t>
      </w:r>
      <w:r w:rsidRPr="002C4077">
        <w:t xml:space="preserve"> </w:t>
      </w:r>
      <w:r w:rsidR="00860738" w:rsidRPr="000A34B5">
        <w:rPr>
          <w:rStyle w:val="italicus"/>
        </w:rPr>
        <w:t>Gründ</w:t>
      </w:r>
      <w:r w:rsidR="00860738">
        <w:rPr>
          <w:rStyle w:val="italicus"/>
        </w:rPr>
        <w:t>e</w:t>
      </w:r>
      <w:r w:rsidRPr="004440EA">
        <w:t xml:space="preserve"> (</w:t>
      </w:r>
      <w:r>
        <w:t>raisons</w:t>
      </w:r>
      <w:r w:rsidRPr="002C4077">
        <w:t xml:space="preserve"> </w:t>
      </w:r>
      <w:r>
        <w:t>faciles</w:t>
      </w:r>
      <w:r w:rsidRPr="002C4077">
        <w:t xml:space="preserve"> </w:t>
      </w:r>
      <w:r>
        <w:t>à</w:t>
      </w:r>
      <w:r w:rsidRPr="002C4077">
        <w:t xml:space="preserve"> </w:t>
      </w:r>
      <w:r>
        <w:t>réfuter</w:t>
      </w:r>
      <w:r w:rsidR="00B546AF" w:rsidRPr="002C4077">
        <w:t>)</w:t>
      </w:r>
      <w:r w:rsidRPr="002C4077">
        <w:t xml:space="preserve"> </w:t>
      </w:r>
      <w:r>
        <w:t>les</w:t>
      </w:r>
      <w:r w:rsidRPr="002C4077">
        <w:t xml:space="preserve"> </w:t>
      </w:r>
      <w:r>
        <w:t>motifs</w:t>
      </w:r>
      <w:r w:rsidRPr="002C4077">
        <w:t xml:space="preserve"> </w:t>
      </w:r>
      <w:r>
        <w:t>allégués</w:t>
      </w:r>
      <w:r w:rsidRPr="002C4077">
        <w:t xml:space="preserve"> </w:t>
      </w:r>
      <w:r>
        <w:t>par</w:t>
      </w:r>
      <w:r w:rsidRPr="002C4077">
        <w:t xml:space="preserve"> </w:t>
      </w:r>
      <w:r>
        <w:t>ceux</w:t>
      </w:r>
      <w:r w:rsidRPr="002C4077">
        <w:t xml:space="preserve"> </w:t>
      </w:r>
      <w:r>
        <w:t>qui</w:t>
      </w:r>
      <w:r w:rsidRPr="002C4077">
        <w:t xml:space="preserve"> </w:t>
      </w:r>
      <w:r>
        <w:t>donnent</w:t>
      </w:r>
      <w:r w:rsidRPr="002C4077">
        <w:t xml:space="preserve"> </w:t>
      </w:r>
      <w:r>
        <w:t>à</w:t>
      </w:r>
      <w:r w:rsidRPr="002C4077">
        <w:t xml:space="preserve"> </w:t>
      </w:r>
      <w:r w:rsidR="00D40830" w:rsidRPr="00D05EA9">
        <w:rPr>
          <w:rStyle w:val="italicus"/>
        </w:rPr>
        <w:t>῾almah</w:t>
      </w:r>
      <w:r w:rsidRPr="002C4077">
        <w:t xml:space="preserve"> </w:t>
      </w:r>
      <w:r>
        <w:t>la</w:t>
      </w:r>
      <w:r w:rsidRPr="002C4077">
        <w:t xml:space="preserve"> </w:t>
      </w:r>
      <w:r>
        <w:t>signification</w:t>
      </w:r>
      <w:r w:rsidRPr="002C4077">
        <w:t xml:space="preserve"> </w:t>
      </w:r>
      <w:r>
        <w:t>de</w:t>
      </w:r>
      <w:r w:rsidRPr="002C4077">
        <w:t xml:space="preserve"> </w:t>
      </w:r>
      <w:r w:rsidR="00B546AF">
        <w:t>« </w:t>
      </w:r>
      <w:r>
        <w:t>jeune</w:t>
      </w:r>
      <w:r w:rsidRPr="002C4077">
        <w:t xml:space="preserve"> </w:t>
      </w:r>
      <w:r>
        <w:t>femme</w:t>
      </w:r>
      <w:r w:rsidRPr="002C4077">
        <w:t xml:space="preserve"> </w:t>
      </w:r>
      <w:r>
        <w:t>mariée</w:t>
      </w:r>
      <w:r w:rsidR="00B546AF">
        <w:t> »</w:t>
      </w:r>
      <w:r w:rsidR="00B91AF7">
        <w:rPr>
          <w:rStyle w:val="Appelnotedebasdep"/>
        </w:rPr>
        <w:footnoteReference w:id="205"/>
      </w:r>
      <w:r>
        <w:t>.</w:t>
      </w:r>
      <w:r w:rsidRPr="002C4077">
        <w:t xml:space="preserve"> </w:t>
      </w:r>
      <w:r>
        <w:t>Barnes</w:t>
      </w:r>
      <w:r w:rsidRPr="002C4077">
        <w:t xml:space="preserve"> </w:t>
      </w:r>
      <w:r>
        <w:t>assure</w:t>
      </w:r>
      <w:r w:rsidRPr="002C4077">
        <w:t xml:space="preserve"> </w:t>
      </w:r>
      <w:r>
        <w:t>également</w:t>
      </w:r>
      <w:r w:rsidRPr="002C4077">
        <w:t xml:space="preserve"> </w:t>
      </w:r>
      <w:r>
        <w:t>que</w:t>
      </w:r>
      <w:r w:rsidRPr="002C4077">
        <w:t xml:space="preserve"> </w:t>
      </w:r>
      <w:r>
        <w:t>le</w:t>
      </w:r>
      <w:r w:rsidRPr="002C4077">
        <w:t xml:space="preserve"> </w:t>
      </w:r>
      <w:r>
        <w:t>sentiment</w:t>
      </w:r>
      <w:r w:rsidRPr="002C4077">
        <w:t xml:space="preserve"> </w:t>
      </w:r>
      <w:r>
        <w:t>de</w:t>
      </w:r>
      <w:r w:rsidRPr="002C4077">
        <w:t xml:space="preserve"> </w:t>
      </w:r>
      <w:r>
        <w:t>saint</w:t>
      </w:r>
      <w:r w:rsidRPr="002C4077">
        <w:t xml:space="preserve"> </w:t>
      </w:r>
      <w:r>
        <w:t>Jérôme</w:t>
      </w:r>
      <w:r w:rsidRPr="002C4077">
        <w:t xml:space="preserve"> </w:t>
      </w:r>
      <w:r w:rsidR="00425C50">
        <w:t>est</w:t>
      </w:r>
      <w:r w:rsidRPr="002C4077">
        <w:t xml:space="preserve"> </w:t>
      </w:r>
      <w:r w:rsidRPr="000A34B5">
        <w:rPr>
          <w:rStyle w:val="italicus"/>
        </w:rPr>
        <w:t>the</w:t>
      </w:r>
      <w:r w:rsidRPr="002C4077">
        <w:t xml:space="preserve"> </w:t>
      </w:r>
      <w:r w:rsidRPr="000A34B5">
        <w:rPr>
          <w:rStyle w:val="italicus"/>
        </w:rPr>
        <w:t>more</w:t>
      </w:r>
      <w:r w:rsidRPr="002C4077">
        <w:t xml:space="preserve"> </w:t>
      </w:r>
      <w:r w:rsidRPr="000A34B5">
        <w:rPr>
          <w:rStyle w:val="italicus"/>
        </w:rPr>
        <w:t>probable</w:t>
      </w:r>
      <w:r w:rsidRPr="002C4077">
        <w:t xml:space="preserve"> </w:t>
      </w:r>
      <w:r w:rsidRPr="000A34B5">
        <w:rPr>
          <w:rStyle w:val="italicus"/>
        </w:rPr>
        <w:t>opinion</w:t>
      </w:r>
      <w:r w:rsidRPr="004440EA">
        <w:t xml:space="preserve"> (</w:t>
      </w:r>
      <w:r>
        <w:t>l’opinion</w:t>
      </w:r>
      <w:r w:rsidRPr="002C4077">
        <w:t xml:space="preserve"> </w:t>
      </w:r>
      <w:r>
        <w:t>la</w:t>
      </w:r>
      <w:r w:rsidRPr="002C4077">
        <w:t xml:space="preserve"> </w:t>
      </w:r>
      <w:r>
        <w:t>plus</w:t>
      </w:r>
      <w:r w:rsidRPr="002C4077">
        <w:t xml:space="preserve"> </w:t>
      </w:r>
      <w:r>
        <w:t>probable</w:t>
      </w:r>
      <w:r w:rsidR="00B546AF" w:rsidRPr="002C4077">
        <w:t>)</w:t>
      </w:r>
      <w:r w:rsidR="00B91AF7">
        <w:rPr>
          <w:rStyle w:val="Appelnotedebasdep"/>
        </w:rPr>
        <w:footnoteReference w:id="206"/>
      </w:r>
      <w:r>
        <w:t>.</w:t>
      </w:r>
      <w:r w:rsidRPr="002C4077">
        <w:t xml:space="preserve"> </w:t>
      </w:r>
      <w:r>
        <w:t>Le</w:t>
      </w:r>
      <w:r w:rsidRPr="002C4077">
        <w:t xml:space="preserve"> </w:t>
      </w:r>
      <w:r>
        <w:t>célèbre</w:t>
      </w:r>
      <w:r w:rsidRPr="002C4077">
        <w:t xml:space="preserve"> </w:t>
      </w:r>
      <w:r>
        <w:t>et</w:t>
      </w:r>
      <w:r w:rsidRPr="002C4077">
        <w:t xml:space="preserve"> </w:t>
      </w:r>
      <w:r>
        <w:t>savant</w:t>
      </w:r>
      <w:r w:rsidRPr="002C4077">
        <w:t xml:space="preserve"> </w:t>
      </w:r>
      <w:r>
        <w:t>docteur</w:t>
      </w:r>
      <w:r w:rsidRPr="002C4077">
        <w:t xml:space="preserve"> </w:t>
      </w:r>
      <w:r>
        <w:t>Pusey,</w:t>
      </w:r>
      <w:r w:rsidRPr="002C4077">
        <w:t xml:space="preserve"> </w:t>
      </w:r>
      <w:r>
        <w:t>dans</w:t>
      </w:r>
      <w:r w:rsidRPr="002C4077">
        <w:t xml:space="preserve"> </w:t>
      </w:r>
      <w:r>
        <w:t>son</w:t>
      </w:r>
      <w:r w:rsidRPr="002C4077">
        <w:t xml:space="preserve"> </w:t>
      </w:r>
      <w:r>
        <w:t>ouvrage</w:t>
      </w:r>
      <w:r w:rsidRPr="002C4077">
        <w:t xml:space="preserve"> </w:t>
      </w:r>
      <w:r>
        <w:t>intitulé</w:t>
      </w:r>
      <w:r w:rsidR="00B546AF">
        <w:t> :</w:t>
      </w:r>
      <w:r w:rsidRPr="002C4077">
        <w:t xml:space="preserve"> </w:t>
      </w:r>
      <w:r w:rsidRPr="000A34B5">
        <w:rPr>
          <w:rStyle w:val="italicus"/>
        </w:rPr>
        <w:t>Prophecy</w:t>
      </w:r>
      <w:r w:rsidRPr="002C4077">
        <w:t xml:space="preserve"> </w:t>
      </w:r>
      <w:r w:rsidRPr="000A34B5">
        <w:rPr>
          <w:rStyle w:val="italicus"/>
        </w:rPr>
        <w:t>of</w:t>
      </w:r>
      <w:r w:rsidRPr="002C4077">
        <w:t xml:space="preserve"> </w:t>
      </w:r>
      <w:r w:rsidR="00425C50">
        <w:rPr>
          <w:rStyle w:val="italicus"/>
        </w:rPr>
        <w:t>Jésus</w:t>
      </w:r>
      <w:r w:rsidRPr="004440EA">
        <w:t xml:space="preserve"> (</w:t>
      </w:r>
      <w:r>
        <w:t>Oxford</w:t>
      </w:r>
      <w:r w:rsidRPr="002C4077">
        <w:t xml:space="preserve"> </w:t>
      </w:r>
      <w:r>
        <w:t>1879</w:t>
      </w:r>
      <w:r w:rsidR="00B546AF" w:rsidRPr="002C4077">
        <w:t>)</w:t>
      </w:r>
      <w:r w:rsidRPr="00950016">
        <w:t>,</w:t>
      </w:r>
      <w:r w:rsidRPr="002C4077">
        <w:t xml:space="preserve"> </w:t>
      </w:r>
      <w:r>
        <w:t>p.</w:t>
      </w:r>
      <w:r w:rsidRPr="002C4077">
        <w:t xml:space="preserve"> </w:t>
      </w:r>
      <w:r>
        <w:t>48-31,</w:t>
      </w:r>
      <w:r w:rsidRPr="002C4077">
        <w:t xml:space="preserve"> </w:t>
      </w:r>
      <w:r>
        <w:t>maintient</w:t>
      </w:r>
      <w:r w:rsidRPr="002C4077">
        <w:t xml:space="preserve"> </w:t>
      </w:r>
      <w:r>
        <w:t>avec</w:t>
      </w:r>
      <w:r w:rsidRPr="002C4077">
        <w:t xml:space="preserve"> </w:t>
      </w:r>
      <w:r>
        <w:t>vigueur</w:t>
      </w:r>
      <w:r w:rsidRPr="002C4077">
        <w:t xml:space="preserve"> </w:t>
      </w:r>
      <w:r>
        <w:t>le</w:t>
      </w:r>
      <w:r w:rsidRPr="002C4077">
        <w:t xml:space="preserve"> </w:t>
      </w:r>
      <w:r>
        <w:t>sens</w:t>
      </w:r>
      <w:r w:rsidRPr="002C4077">
        <w:t xml:space="preserve"> </w:t>
      </w:r>
      <w:r>
        <w:t>de</w:t>
      </w:r>
      <w:r w:rsidRPr="002C4077">
        <w:t xml:space="preserve"> </w:t>
      </w:r>
      <w:r w:rsidR="00B546AF">
        <w:t>« </w:t>
      </w:r>
      <w:r>
        <w:t>virgo</w:t>
      </w:r>
      <w:r w:rsidRPr="002C4077">
        <w:t xml:space="preserve"> </w:t>
      </w:r>
      <w:r>
        <w:t>il</w:t>
      </w:r>
      <w:r w:rsidR="003B53FD">
        <w:t>libáta</w:t>
      </w:r>
      <w:r w:rsidR="00B546AF">
        <w:t> »</w:t>
      </w:r>
      <w:r w:rsidRPr="002C4077">
        <w:t xml:space="preserve"> </w:t>
      </w:r>
      <w:r>
        <w:t>et</w:t>
      </w:r>
      <w:r w:rsidRPr="002C4077">
        <w:t xml:space="preserve"> </w:t>
      </w:r>
      <w:r>
        <w:t>l’étymologie</w:t>
      </w:r>
      <w:r w:rsidR="0087749C" w:rsidRPr="002C4077">
        <w:t xml:space="preserve"> </w:t>
      </w:r>
      <w:r w:rsidR="0087749C" w:rsidRPr="000A7160">
        <w:rPr>
          <w:rtl/>
          <w:lang w:bidi="he-IL"/>
        </w:rPr>
        <w:t>עלם</w:t>
      </w:r>
      <w:r>
        <w:t>,</w:t>
      </w:r>
      <w:r w:rsidRPr="002C4077">
        <w:t xml:space="preserve"> </w:t>
      </w:r>
      <w:r w:rsidRPr="000A34B5">
        <w:rPr>
          <w:rStyle w:val="italicus"/>
        </w:rPr>
        <w:t>occ</w:t>
      </w:r>
      <w:r w:rsidR="003B53FD" w:rsidRPr="000A34B5">
        <w:rPr>
          <w:rStyle w:val="italicus"/>
        </w:rPr>
        <w:t>ult</w:t>
      </w:r>
      <w:r w:rsidR="003B53FD">
        <w:rPr>
          <w:rStyle w:val="italicus"/>
        </w:rPr>
        <w:t>á</w:t>
      </w:r>
      <w:r w:rsidR="003B53FD" w:rsidRPr="000A34B5">
        <w:rPr>
          <w:rStyle w:val="italicus"/>
        </w:rPr>
        <w:t>vit</w:t>
      </w:r>
      <w:r w:rsidRPr="000A34B5">
        <w:rPr>
          <w:rStyle w:val="italicus"/>
        </w:rPr>
        <w:t>.</w:t>
      </w:r>
      <w:r w:rsidRPr="002C4077">
        <w:t xml:space="preserve"> </w:t>
      </w:r>
    </w:p>
    <w:p w:rsidR="000A7AAB" w:rsidRDefault="000A7AAB" w:rsidP="000A7AAB">
      <w:r>
        <w:t>Ce</w:t>
      </w:r>
      <w:r w:rsidRPr="002C4077">
        <w:t xml:space="preserve"> </w:t>
      </w:r>
      <w:r>
        <w:t>n’est</w:t>
      </w:r>
      <w:r w:rsidRPr="002C4077">
        <w:t xml:space="preserve"> </w:t>
      </w:r>
      <w:r>
        <w:t>pas</w:t>
      </w:r>
      <w:r w:rsidRPr="002C4077">
        <w:t xml:space="preserve"> </w:t>
      </w:r>
      <w:r>
        <w:t>tout</w:t>
      </w:r>
      <w:r w:rsidRPr="002C4077">
        <w:t xml:space="preserve"> </w:t>
      </w:r>
      <w:r>
        <w:t>encore.</w:t>
      </w:r>
      <w:r w:rsidRPr="002C4077">
        <w:t xml:space="preserve"> </w:t>
      </w:r>
    </w:p>
    <w:p w:rsidR="000A7AAB" w:rsidRDefault="000A7AAB" w:rsidP="000A7AAB">
      <w:r>
        <w:t>D’anciens</w:t>
      </w:r>
      <w:r w:rsidRPr="002C4077">
        <w:t xml:space="preserve"> </w:t>
      </w:r>
      <w:r>
        <w:t>rabbins</w:t>
      </w:r>
      <w:bookmarkStart w:id="226" w:name="z_JuifsAlmah_o3"/>
      <w:bookmarkEnd w:id="226"/>
      <w:r>
        <w:t>,</w:t>
      </w:r>
      <w:r w:rsidRPr="002C4077">
        <w:t xml:space="preserve"> </w:t>
      </w:r>
      <w:r>
        <w:t>cités</w:t>
      </w:r>
      <w:r w:rsidRPr="002C4077">
        <w:t xml:space="preserve"> </w:t>
      </w:r>
      <w:r>
        <w:t>par</w:t>
      </w:r>
      <w:r w:rsidRPr="002C4077">
        <w:t xml:space="preserve"> </w:t>
      </w:r>
      <w:r>
        <w:t>M.</w:t>
      </w:r>
      <w:r w:rsidRPr="002C4077">
        <w:t xml:space="preserve"> </w:t>
      </w:r>
      <w:r>
        <w:t>Drach,</w:t>
      </w:r>
      <w:r w:rsidRPr="002C4077">
        <w:t xml:space="preserve"> </w:t>
      </w:r>
      <w:r>
        <w:t>confirment</w:t>
      </w:r>
      <w:r w:rsidRPr="002C4077">
        <w:t xml:space="preserve"> </w:t>
      </w:r>
      <w:r>
        <w:t>de</w:t>
      </w:r>
      <w:r w:rsidRPr="002C4077">
        <w:t xml:space="preserve"> </w:t>
      </w:r>
      <w:r>
        <w:t>leur</w:t>
      </w:r>
      <w:r w:rsidRPr="002C4077">
        <w:t xml:space="preserve"> </w:t>
      </w:r>
      <w:r>
        <w:t>côté</w:t>
      </w:r>
      <w:r w:rsidRPr="002C4077">
        <w:t xml:space="preserve"> </w:t>
      </w:r>
      <w:r>
        <w:t>l’étymologie</w:t>
      </w:r>
      <w:r w:rsidRPr="002C4077">
        <w:t xml:space="preserve"> </w:t>
      </w:r>
      <w:r>
        <w:t>donnée</w:t>
      </w:r>
      <w:r w:rsidRPr="002C4077">
        <w:t xml:space="preserve"> </w:t>
      </w:r>
      <w:r>
        <w:t>par</w:t>
      </w:r>
      <w:r w:rsidRPr="002C4077">
        <w:t xml:space="preserve"> </w:t>
      </w:r>
      <w:r>
        <w:t>saint</w:t>
      </w:r>
      <w:r w:rsidRPr="002C4077">
        <w:t xml:space="preserve"> </w:t>
      </w:r>
      <w:r>
        <w:t>Jérôme.</w:t>
      </w:r>
      <w:r w:rsidRPr="002C4077">
        <w:t xml:space="preserve"> </w:t>
      </w:r>
      <w:r>
        <w:t>Tel,</w:t>
      </w:r>
      <w:r w:rsidRPr="002C4077">
        <w:t xml:space="preserve"> </w:t>
      </w:r>
      <w:r>
        <w:t>Rabbi</w:t>
      </w:r>
      <w:r w:rsidRPr="002C4077">
        <w:t xml:space="preserve"> </w:t>
      </w:r>
      <w:r>
        <w:t>Isaac</w:t>
      </w:r>
      <w:r w:rsidRPr="002C4077">
        <w:t xml:space="preserve"> </w:t>
      </w:r>
      <w:r>
        <w:t>Yaabetz,</w:t>
      </w:r>
      <w:r w:rsidRPr="002C4077">
        <w:t xml:space="preserve"> </w:t>
      </w:r>
      <w:r>
        <w:t>qui</w:t>
      </w:r>
      <w:r w:rsidRPr="002C4077">
        <w:t xml:space="preserve"> </w:t>
      </w:r>
      <w:r>
        <w:t>s’exprime</w:t>
      </w:r>
      <w:r w:rsidRPr="002C4077">
        <w:t xml:space="preserve"> </w:t>
      </w:r>
      <w:r>
        <w:t>en</w:t>
      </w:r>
      <w:r w:rsidRPr="002C4077">
        <w:t xml:space="preserve"> </w:t>
      </w:r>
      <w:r>
        <w:t>ces</w:t>
      </w:r>
      <w:r w:rsidRPr="002C4077">
        <w:t xml:space="preserve"> </w:t>
      </w:r>
      <w:r>
        <w:t>termes</w:t>
      </w:r>
      <w:r w:rsidRPr="002C4077">
        <w:t xml:space="preserve"> </w:t>
      </w:r>
      <w:r>
        <w:t>dans</w:t>
      </w:r>
      <w:r w:rsidRPr="002C4077">
        <w:t xml:space="preserve"> </w:t>
      </w:r>
      <w:r>
        <w:t>son</w:t>
      </w:r>
      <w:r w:rsidRPr="002C4077">
        <w:t xml:space="preserve"> </w:t>
      </w:r>
      <w:r>
        <w:t>commentaire</w:t>
      </w:r>
      <w:r w:rsidRPr="002C4077">
        <w:t xml:space="preserve"> </w:t>
      </w:r>
      <w:r>
        <w:t>sur</w:t>
      </w:r>
      <w:r w:rsidRPr="002C4077">
        <w:t xml:space="preserve"> </w:t>
      </w:r>
      <w:r>
        <w:t>le</w:t>
      </w:r>
      <w:r w:rsidRPr="002C4077">
        <w:t xml:space="preserve"> </w:t>
      </w:r>
      <w:r>
        <w:t>Cantique</w:t>
      </w:r>
      <w:r w:rsidRPr="002C4077">
        <w:t xml:space="preserve"> </w:t>
      </w:r>
      <w:r>
        <w:t>des</w:t>
      </w:r>
      <w:r w:rsidRPr="002C4077">
        <w:t xml:space="preserve"> </w:t>
      </w:r>
      <w:r>
        <w:t>cantiques</w:t>
      </w:r>
      <w:r w:rsidR="00B546AF">
        <w:t> :</w:t>
      </w:r>
      <w:r w:rsidRPr="002C4077">
        <w:t xml:space="preserve"> </w:t>
      </w:r>
      <w:r w:rsidR="00B546AF">
        <w:t>« </w:t>
      </w:r>
      <w:r>
        <w:t>R.</w:t>
      </w:r>
      <w:r w:rsidRPr="002C4077">
        <w:t xml:space="preserve"> </w:t>
      </w:r>
      <w:r>
        <w:t>Itzschak-bar-Schêchet</w:t>
      </w:r>
      <w:r w:rsidRPr="002C4077">
        <w:t xml:space="preserve"> </w:t>
      </w:r>
      <w:r>
        <w:t>écrit</w:t>
      </w:r>
      <w:r w:rsidRPr="002C4077">
        <w:t xml:space="preserve"> </w:t>
      </w:r>
      <w:r>
        <w:t>que</w:t>
      </w:r>
      <w:r w:rsidRPr="002C4077">
        <w:t xml:space="preserve"> </w:t>
      </w:r>
      <w:r w:rsidR="0055004A">
        <w:t>῾</w:t>
      </w:r>
      <w:r w:rsidRPr="000A34B5">
        <w:rPr>
          <w:rStyle w:val="italicus"/>
        </w:rPr>
        <w:t>alamôth</w:t>
      </w:r>
      <w:r w:rsidRPr="002C4077">
        <w:t xml:space="preserve"> </w:t>
      </w:r>
      <w:r>
        <w:t>veut</w:t>
      </w:r>
      <w:r w:rsidRPr="002C4077">
        <w:t xml:space="preserve"> </w:t>
      </w:r>
      <w:r>
        <w:t>dire</w:t>
      </w:r>
      <w:r w:rsidRPr="002C4077">
        <w:t xml:space="preserve"> </w:t>
      </w:r>
      <w:r w:rsidRPr="000A34B5">
        <w:rPr>
          <w:rStyle w:val="italicus"/>
        </w:rPr>
        <w:t>vierges</w:t>
      </w:r>
      <w:r w:rsidRPr="002C4077">
        <w:t xml:space="preserve"> </w:t>
      </w:r>
      <w:r w:rsidRPr="000A34B5">
        <w:rPr>
          <w:rStyle w:val="italicus"/>
        </w:rPr>
        <w:t>jeunes,</w:t>
      </w:r>
      <w:r w:rsidRPr="002C4077">
        <w:t xml:space="preserve"> </w:t>
      </w:r>
      <w:r>
        <w:t>du</w:t>
      </w:r>
      <w:r w:rsidRPr="002C4077">
        <w:t xml:space="preserve"> </w:t>
      </w:r>
      <w:r>
        <w:t>nom</w:t>
      </w:r>
      <w:r w:rsidRPr="002C4077">
        <w:t xml:space="preserve"> </w:t>
      </w:r>
      <w:r>
        <w:t>masculin</w:t>
      </w:r>
      <w:r w:rsidRPr="002C4077">
        <w:t xml:space="preserve"> </w:t>
      </w:r>
      <w:r w:rsidR="0055004A">
        <w:t>῾</w:t>
      </w:r>
      <w:r w:rsidRPr="000A34B5">
        <w:rPr>
          <w:rStyle w:val="italicus"/>
        </w:rPr>
        <w:t>elem</w:t>
      </w:r>
      <w:r w:rsidR="00B91AF7">
        <w:rPr>
          <w:rStyle w:val="Appelnotedebasdep"/>
          <w:i/>
        </w:rPr>
        <w:footnoteReference w:id="207"/>
      </w:r>
      <w:r w:rsidR="00967DBA" w:rsidRPr="00967DBA">
        <w:t> »</w:t>
      </w:r>
      <w:r w:rsidRPr="00967DBA">
        <w:t>.</w:t>
      </w:r>
      <w:r w:rsidRPr="002C4077">
        <w:t xml:space="preserve"> </w:t>
      </w:r>
      <w:r w:rsidRPr="00967DBA">
        <w:t>Tel</w:t>
      </w:r>
      <w:r w:rsidRPr="002C4077">
        <w:t xml:space="preserve"> </w:t>
      </w:r>
      <w:r w:rsidRPr="00967DBA">
        <w:t>encore</w:t>
      </w:r>
      <w:r w:rsidRPr="002C4077">
        <w:t xml:space="preserve"> </w:t>
      </w:r>
      <w:r>
        <w:t>Rabbi</w:t>
      </w:r>
      <w:r w:rsidRPr="002C4077">
        <w:t xml:space="preserve"> </w:t>
      </w:r>
      <w:r>
        <w:t>Ibn-Iechaï,</w:t>
      </w:r>
      <w:r w:rsidRPr="002C4077">
        <w:t xml:space="preserve"> </w:t>
      </w:r>
      <w:r>
        <w:t>d’après</w:t>
      </w:r>
      <w:r w:rsidRPr="002C4077">
        <w:t xml:space="preserve"> </w:t>
      </w:r>
      <w:r>
        <w:t>lequel</w:t>
      </w:r>
      <w:r w:rsidRPr="002C4077">
        <w:t xml:space="preserve"> </w:t>
      </w:r>
      <w:r w:rsidR="00B546AF">
        <w:t>« </w:t>
      </w:r>
      <w:r w:rsidR="0055004A">
        <w:rPr>
          <w:rStyle w:val="italicus"/>
        </w:rPr>
        <w:t>῾</w:t>
      </w:r>
      <w:r w:rsidRPr="000A34B5">
        <w:rPr>
          <w:rStyle w:val="italicus"/>
        </w:rPr>
        <w:t>alamôth</w:t>
      </w:r>
      <w:r w:rsidRPr="002C4077">
        <w:t xml:space="preserve"> </w:t>
      </w:r>
      <w:r>
        <w:t>signifie</w:t>
      </w:r>
      <w:r w:rsidRPr="002C4077">
        <w:t xml:space="preserve"> </w:t>
      </w:r>
      <w:r w:rsidRPr="000A34B5">
        <w:rPr>
          <w:rStyle w:val="italicus"/>
        </w:rPr>
        <w:t>cachées,</w:t>
      </w:r>
      <w:r w:rsidRPr="002C4077">
        <w:t xml:space="preserve"> </w:t>
      </w:r>
      <w:r w:rsidRPr="000A34B5">
        <w:rPr>
          <w:rStyle w:val="italicus"/>
        </w:rPr>
        <w:t>éloignées</w:t>
      </w:r>
      <w:r w:rsidRPr="002C4077">
        <w:t xml:space="preserve"> </w:t>
      </w:r>
      <w:r w:rsidRPr="000A34B5">
        <w:rPr>
          <w:rStyle w:val="italicus"/>
        </w:rPr>
        <w:t>de</w:t>
      </w:r>
      <w:r w:rsidRPr="002C4077">
        <w:t xml:space="preserve"> </w:t>
      </w:r>
      <w:r w:rsidRPr="000A34B5">
        <w:rPr>
          <w:rStyle w:val="italicus"/>
        </w:rPr>
        <w:t>la</w:t>
      </w:r>
      <w:r w:rsidRPr="002C4077">
        <w:t xml:space="preserve"> </w:t>
      </w:r>
      <w:r w:rsidRPr="000A34B5">
        <w:rPr>
          <w:rStyle w:val="italicus"/>
        </w:rPr>
        <w:t>présen</w:t>
      </w:r>
      <w:r w:rsidR="00F6492C" w:rsidRPr="000A34B5">
        <w:rPr>
          <w:rStyle w:val="italicus"/>
        </w:rPr>
        <w:t>ce</w:t>
      </w:r>
      <w:r w:rsidR="00F6492C">
        <w:rPr>
          <w:rStyle w:val="Appelnotedebasdep"/>
          <w:i/>
        </w:rPr>
        <w:footnoteReference w:id="208"/>
      </w:r>
      <w:r w:rsidR="00B546AF">
        <w:rPr>
          <w:rStyle w:val="italicus"/>
        </w:rPr>
        <w:t> </w:t>
      </w:r>
      <w:r w:rsidR="00B546AF" w:rsidRPr="000A34B5">
        <w:rPr>
          <w:rStyle w:val="italicus"/>
        </w:rPr>
        <w:t>»</w:t>
      </w:r>
      <w:r w:rsidRPr="000A34B5">
        <w:rPr>
          <w:rStyle w:val="italicus"/>
        </w:rPr>
        <w:t>.</w:t>
      </w:r>
      <w:r w:rsidRPr="002C4077">
        <w:t xml:space="preserve"> </w:t>
      </w:r>
    </w:p>
    <w:p w:rsidR="000A7AAB" w:rsidRDefault="000A7AAB" w:rsidP="000A7AAB">
      <w:r>
        <w:lastRenderedPageBreak/>
        <w:t>D’autres</w:t>
      </w:r>
      <w:r w:rsidRPr="002C4077">
        <w:t xml:space="preserve"> </w:t>
      </w:r>
      <w:r>
        <w:t>témoins</w:t>
      </w:r>
      <w:r w:rsidRPr="002C4077">
        <w:t xml:space="preserve"> </w:t>
      </w:r>
      <w:r>
        <w:t>juifs</w:t>
      </w:r>
      <w:r w:rsidRPr="002C4077">
        <w:t xml:space="preserve"> </w:t>
      </w:r>
      <w:r>
        <w:t>déposent</w:t>
      </w:r>
      <w:r w:rsidRPr="002C4077">
        <w:t xml:space="preserve"> </w:t>
      </w:r>
      <w:r>
        <w:t>en</w:t>
      </w:r>
      <w:r w:rsidRPr="002C4077">
        <w:t xml:space="preserve"> </w:t>
      </w:r>
      <w:r>
        <w:t>faveur</w:t>
      </w:r>
      <w:r w:rsidRPr="002C4077">
        <w:t xml:space="preserve"> </w:t>
      </w:r>
      <w:r>
        <w:t>du</w:t>
      </w:r>
      <w:r w:rsidRPr="002C4077">
        <w:t xml:space="preserve"> </w:t>
      </w:r>
      <w:r w:rsidR="00F042F3">
        <w:t>même</w:t>
      </w:r>
      <w:r w:rsidRPr="002C4077">
        <w:t xml:space="preserve"> </w:t>
      </w:r>
      <w:r>
        <w:t>sentiment.</w:t>
      </w:r>
      <w:r w:rsidR="00C45B47">
        <w:t xml:space="preserve"> {</w:t>
      </w:r>
      <w:r w:rsidR="000721C4">
        <w:t>71</w:t>
      </w:r>
      <w:bookmarkStart w:id="227" w:name="p071"/>
      <w:bookmarkEnd w:id="227"/>
      <w:r w:rsidR="000721C4">
        <w:t xml:space="preserve">} </w:t>
      </w:r>
      <w:r>
        <w:t>Les</w:t>
      </w:r>
      <w:r w:rsidRPr="002C4077">
        <w:t xml:space="preserve"> </w:t>
      </w:r>
      <w:r>
        <w:t>auteurs</w:t>
      </w:r>
      <w:r w:rsidRPr="002C4077">
        <w:t xml:space="preserve"> </w:t>
      </w:r>
      <w:r>
        <w:t>du</w:t>
      </w:r>
      <w:r w:rsidRPr="002C4077">
        <w:t xml:space="preserve"> </w:t>
      </w:r>
      <w:r>
        <w:t>deuxième</w:t>
      </w:r>
      <w:r w:rsidRPr="002C4077">
        <w:t xml:space="preserve"> </w:t>
      </w:r>
      <w:r>
        <w:t>et</w:t>
      </w:r>
      <w:r w:rsidRPr="002C4077">
        <w:t xml:space="preserve"> </w:t>
      </w:r>
      <w:r>
        <w:t>du</w:t>
      </w:r>
      <w:r w:rsidRPr="002C4077">
        <w:t xml:space="preserve"> </w:t>
      </w:r>
      <w:r>
        <w:t>troisième</w:t>
      </w:r>
      <w:r w:rsidRPr="002C4077">
        <w:t xml:space="preserve"> </w:t>
      </w:r>
      <w:r>
        <w:t>livre</w:t>
      </w:r>
      <w:r w:rsidRPr="002C4077">
        <w:t xml:space="preserve"> </w:t>
      </w:r>
      <w:r>
        <w:t>des</w:t>
      </w:r>
      <w:r w:rsidRPr="002C4077">
        <w:t xml:space="preserve"> </w:t>
      </w:r>
      <w:r>
        <w:t>Machabées</w:t>
      </w:r>
      <w:r w:rsidRPr="002C4077">
        <w:t xml:space="preserve"> </w:t>
      </w:r>
      <w:r>
        <w:t>notent,</w:t>
      </w:r>
      <w:r w:rsidRPr="002C4077">
        <w:t xml:space="preserve"> </w:t>
      </w:r>
      <w:r>
        <w:t>comme</w:t>
      </w:r>
      <w:r w:rsidRPr="002C4077">
        <w:t xml:space="preserve"> </w:t>
      </w:r>
      <w:r>
        <w:t>une</w:t>
      </w:r>
      <w:r w:rsidRPr="002C4077">
        <w:t xml:space="preserve"> </w:t>
      </w:r>
      <w:r>
        <w:t>circonstance</w:t>
      </w:r>
      <w:r w:rsidRPr="002C4077">
        <w:t xml:space="preserve"> </w:t>
      </w:r>
      <w:r>
        <w:t>extraordinaire,</w:t>
      </w:r>
      <w:r w:rsidRPr="002C4077">
        <w:t xml:space="preserve"> </w:t>
      </w:r>
      <w:r>
        <w:t>qu’à</w:t>
      </w:r>
      <w:r w:rsidRPr="002C4077">
        <w:t xml:space="preserve"> </w:t>
      </w:r>
      <w:r>
        <w:t>des</w:t>
      </w:r>
      <w:r w:rsidRPr="002C4077">
        <w:t xml:space="preserve"> </w:t>
      </w:r>
      <w:r>
        <w:t>époques</w:t>
      </w:r>
      <w:r w:rsidRPr="002C4077">
        <w:t xml:space="preserve"> </w:t>
      </w:r>
      <w:r>
        <w:t>de</w:t>
      </w:r>
      <w:r w:rsidRPr="002C4077">
        <w:t xml:space="preserve"> </w:t>
      </w:r>
      <w:r>
        <w:t>grande</w:t>
      </w:r>
      <w:r w:rsidRPr="002C4077">
        <w:t xml:space="preserve"> </w:t>
      </w:r>
      <w:r>
        <w:t>tris</w:t>
      </w:r>
      <w:r w:rsidR="00967DBA">
        <w:t>tesse</w:t>
      </w:r>
      <w:r w:rsidR="00967DBA" w:rsidRPr="002C4077">
        <w:t xml:space="preserve"> </w:t>
      </w:r>
      <w:r w:rsidR="00967DBA">
        <w:t>pour</w:t>
      </w:r>
      <w:r w:rsidR="00967DBA" w:rsidRPr="002C4077">
        <w:t xml:space="preserve"> </w:t>
      </w:r>
      <w:r w:rsidR="00967DBA">
        <w:t>l</w:t>
      </w:r>
      <w:r w:rsidRPr="00967DBA">
        <w:t>eur</w:t>
      </w:r>
      <w:r w:rsidRPr="002C4077">
        <w:t xml:space="preserve"> </w:t>
      </w:r>
      <w:r w:rsidRPr="00967DBA">
        <w:t>peuple</w:t>
      </w:r>
      <w:r w:rsidRPr="002C4077">
        <w:t xml:space="preserve"> </w:t>
      </w:r>
      <w:r w:rsidRPr="00967DBA">
        <w:t>on</w:t>
      </w:r>
      <w:r w:rsidRPr="002C4077">
        <w:t xml:space="preserve"> </w:t>
      </w:r>
      <w:r w:rsidRPr="00967DBA">
        <w:t>voyait</w:t>
      </w:r>
      <w:r w:rsidRPr="002C4077">
        <w:t xml:space="preserve"> </w:t>
      </w:r>
      <w:r w:rsidRPr="00967DBA">
        <w:t>dans</w:t>
      </w:r>
      <w:r w:rsidRPr="002C4077">
        <w:t xml:space="preserve"> </w:t>
      </w:r>
      <w:r w:rsidRPr="00967DBA">
        <w:t>les</w:t>
      </w:r>
      <w:r w:rsidRPr="002C4077">
        <w:t xml:space="preserve"> </w:t>
      </w:r>
      <w:r w:rsidRPr="00967DBA">
        <w:t>rues</w:t>
      </w:r>
      <w:r w:rsidRPr="002C4077">
        <w:t xml:space="preserve"> </w:t>
      </w:r>
      <w:r w:rsidR="00967DBA" w:rsidRPr="00967DBA">
        <w:t>αἱ</w:t>
      </w:r>
      <w:r w:rsidR="00967DBA" w:rsidRPr="002C4077">
        <w:t xml:space="preserve"> </w:t>
      </w:r>
      <w:r w:rsidR="00967DBA" w:rsidRPr="008D184D">
        <w:t>κατακλεῖσται</w:t>
      </w:r>
      <w:r w:rsidR="00967DBA" w:rsidRPr="002C4077">
        <w:t xml:space="preserve"> </w:t>
      </w:r>
      <w:r w:rsidR="00967DBA" w:rsidRPr="00967DBA">
        <w:t>τῶν</w:t>
      </w:r>
      <w:r w:rsidR="00967DBA" w:rsidRPr="002C4077">
        <w:t xml:space="preserve"> </w:t>
      </w:r>
      <w:r w:rsidR="00967DBA" w:rsidRPr="00967DBA">
        <w:t>παρθένων,</w:t>
      </w:r>
      <w:r w:rsidR="00967DBA" w:rsidRPr="002C4077">
        <w:t xml:space="preserve"> </w:t>
      </w:r>
      <w:r w:rsidR="00967DBA" w:rsidRPr="00967DBA">
        <w:t>« les</w:t>
      </w:r>
      <w:r w:rsidR="00967DBA" w:rsidRPr="002C4077">
        <w:t xml:space="preserve"> </w:t>
      </w:r>
      <w:r w:rsidR="00967DBA" w:rsidRPr="00967DBA">
        <w:t>vierges</w:t>
      </w:r>
      <w:r w:rsidR="00967DBA" w:rsidRPr="002C4077">
        <w:t xml:space="preserve"> </w:t>
      </w:r>
      <w:r w:rsidR="00967DBA" w:rsidRPr="00967DBA">
        <w:t>renfermées »</w:t>
      </w:r>
      <w:r w:rsidR="00967DBA" w:rsidRPr="004440EA">
        <w:t xml:space="preserve"> (</w:t>
      </w:r>
      <w:r w:rsidR="00967DBA" w:rsidRPr="00967DBA">
        <w:t>II</w:t>
      </w:r>
      <w:r w:rsidR="00967DBA" w:rsidRPr="002C4077">
        <w:t xml:space="preserve"> </w:t>
      </w:r>
      <w:r w:rsidR="00967DBA" w:rsidRPr="00967DBA">
        <w:t>Mach.</w:t>
      </w:r>
      <w:r w:rsidR="00967DBA" w:rsidRPr="002C4077">
        <w:t xml:space="preserve"> </w:t>
      </w:r>
      <w:r w:rsidR="00967DBA" w:rsidRPr="00967DBA">
        <w:t>III,</w:t>
      </w:r>
      <w:r w:rsidR="00967DBA" w:rsidRPr="002C4077">
        <w:t xml:space="preserve"> </w:t>
      </w:r>
      <w:r w:rsidR="00967DBA" w:rsidRPr="00967DBA">
        <w:t>19</w:t>
      </w:r>
      <w:r w:rsidR="00967DBA" w:rsidRPr="002C4077">
        <w:t>)</w:t>
      </w:r>
      <w:r w:rsidR="00967DBA" w:rsidRPr="00967DBA">
        <w:t>,</w:t>
      </w:r>
      <w:r w:rsidR="00967DBA" w:rsidRPr="002C4077">
        <w:t xml:space="preserve"> </w:t>
      </w:r>
      <w:r w:rsidR="008D184D">
        <w:t>αἱ</w:t>
      </w:r>
      <w:r w:rsidR="00967DBA" w:rsidRPr="002C4077">
        <w:t xml:space="preserve"> </w:t>
      </w:r>
      <w:r w:rsidR="00967DBA">
        <w:t>κατακλεῖ</w:t>
      </w:r>
      <w:r w:rsidR="00967DBA" w:rsidRPr="00967DBA">
        <w:t>σται</w:t>
      </w:r>
      <w:r w:rsidR="00967DBA" w:rsidRPr="002C4077">
        <w:t xml:space="preserve"> </w:t>
      </w:r>
      <w:r w:rsidR="008D184D" w:rsidRPr="00967DBA">
        <w:t>παρθέναι</w:t>
      </w:r>
      <w:r w:rsidR="00967DBA" w:rsidRPr="002C4077">
        <w:t xml:space="preserve"> </w:t>
      </w:r>
      <w:r w:rsidR="00967DBA" w:rsidRPr="00967DBA">
        <w:t>ἐν</w:t>
      </w:r>
      <w:r w:rsidR="00967DBA" w:rsidRPr="002C4077">
        <w:t xml:space="preserve"> </w:t>
      </w:r>
      <w:r w:rsidR="00967DBA" w:rsidRPr="00967DBA">
        <w:t>θαλάμο</w:t>
      </w:r>
      <w:r w:rsidR="00967DBA">
        <w:t>ι</w:t>
      </w:r>
      <w:r w:rsidR="00967DBA" w:rsidRPr="00967DBA">
        <w:t>ς</w:t>
      </w:r>
      <w:r w:rsidR="00967DBA" w:rsidRPr="004440EA">
        <w:t xml:space="preserve"> (</w:t>
      </w:r>
      <w:r w:rsidR="00967DBA" w:rsidRPr="00967DBA">
        <w:t>III</w:t>
      </w:r>
      <w:r w:rsidR="00967DBA" w:rsidRPr="002C4077">
        <w:t xml:space="preserve"> </w:t>
      </w:r>
      <w:r w:rsidR="00967DBA" w:rsidRPr="00967DBA">
        <w:t>Mach.</w:t>
      </w:r>
      <w:r w:rsidR="00967DBA" w:rsidRPr="002C4077">
        <w:t xml:space="preserve"> </w:t>
      </w:r>
      <w:r w:rsidR="00967DBA" w:rsidRPr="00967DBA">
        <w:t>I,</w:t>
      </w:r>
      <w:r w:rsidR="00967DBA" w:rsidRPr="002C4077">
        <w:t xml:space="preserve"> </w:t>
      </w:r>
      <w:r w:rsidR="00967DBA" w:rsidRPr="00967DBA">
        <w:t>18</w:t>
      </w:r>
      <w:r w:rsidR="00967DBA" w:rsidRPr="002C4077">
        <w:t>)</w:t>
      </w:r>
      <w:r w:rsidR="00967DBA" w:rsidRPr="00967DBA">
        <w:t>,</w:t>
      </w:r>
      <w:r w:rsidR="00967DBA" w:rsidRPr="002C4077">
        <w:t xml:space="preserve"> </w:t>
      </w:r>
      <w:r w:rsidR="00B546AF">
        <w:t>« </w:t>
      </w:r>
      <w:r>
        <w:t>les</w:t>
      </w:r>
      <w:r w:rsidRPr="002C4077">
        <w:t xml:space="preserve"> </w:t>
      </w:r>
      <w:r>
        <w:t>vierges</w:t>
      </w:r>
      <w:r w:rsidRPr="002C4077">
        <w:t xml:space="preserve"> </w:t>
      </w:r>
      <w:r>
        <w:t>renfermées</w:t>
      </w:r>
      <w:r w:rsidRPr="002C4077">
        <w:t xml:space="preserve"> </w:t>
      </w:r>
      <w:r>
        <w:t>dans</w:t>
      </w:r>
      <w:r w:rsidRPr="002C4077">
        <w:t xml:space="preserve"> </w:t>
      </w:r>
      <w:r>
        <w:t>les</w:t>
      </w:r>
      <w:r w:rsidRPr="002C4077">
        <w:t xml:space="preserve"> </w:t>
      </w:r>
      <w:r>
        <w:t>appartements</w:t>
      </w:r>
      <w:r w:rsidR="00B546AF">
        <w:t> »</w:t>
      </w:r>
      <w:r>
        <w:t>.</w:t>
      </w:r>
      <w:r w:rsidRPr="002C4077">
        <w:t xml:space="preserve"> </w:t>
      </w:r>
      <w:r>
        <w:t>Comme</w:t>
      </w:r>
      <w:r w:rsidRPr="002C4077">
        <w:t xml:space="preserve"> </w:t>
      </w:r>
      <w:r>
        <w:t>le</w:t>
      </w:r>
      <w:r w:rsidRPr="002C4077">
        <w:t xml:space="preserve"> </w:t>
      </w:r>
      <w:r>
        <w:t>dit</w:t>
      </w:r>
      <w:r w:rsidRPr="002C4077">
        <w:t xml:space="preserve"> </w:t>
      </w:r>
      <w:r>
        <w:t>à</w:t>
      </w:r>
      <w:r w:rsidRPr="002C4077">
        <w:t xml:space="preserve"> </w:t>
      </w:r>
      <w:r>
        <w:t>bon</w:t>
      </w:r>
      <w:r w:rsidRPr="002C4077">
        <w:t xml:space="preserve"> </w:t>
      </w:r>
      <w:r>
        <w:t>droit</w:t>
      </w:r>
      <w:r w:rsidRPr="002C4077">
        <w:t xml:space="preserve"> </w:t>
      </w:r>
      <w:r>
        <w:t>M.</w:t>
      </w:r>
      <w:r w:rsidRPr="002C4077">
        <w:t xml:space="preserve"> </w:t>
      </w:r>
      <w:r>
        <w:t>Le</w:t>
      </w:r>
      <w:r w:rsidRPr="002C4077">
        <w:t xml:space="preserve"> </w:t>
      </w:r>
      <w:r>
        <w:t>Hir,</w:t>
      </w:r>
      <w:r w:rsidRPr="002C4077">
        <w:t xml:space="preserve"> </w:t>
      </w:r>
      <w:r w:rsidR="00B546AF">
        <w:t>« </w:t>
      </w:r>
      <w:r>
        <w:t>ces</w:t>
      </w:r>
      <w:r w:rsidRPr="002C4077">
        <w:t xml:space="preserve"> </w:t>
      </w:r>
      <w:r>
        <w:t>deux</w:t>
      </w:r>
      <w:r w:rsidRPr="002C4077">
        <w:t xml:space="preserve"> </w:t>
      </w:r>
      <w:r>
        <w:t>auteurs</w:t>
      </w:r>
      <w:r w:rsidRPr="002C4077">
        <w:t xml:space="preserve"> </w:t>
      </w:r>
      <w:r>
        <w:t>avaient</w:t>
      </w:r>
      <w:r w:rsidRPr="002C4077">
        <w:t xml:space="preserve"> </w:t>
      </w:r>
      <w:r>
        <w:t>intérêt</w:t>
      </w:r>
      <w:r w:rsidRPr="002C4077">
        <w:t xml:space="preserve"> </w:t>
      </w:r>
      <w:r>
        <w:t>à</w:t>
      </w:r>
      <w:r w:rsidRPr="002C4077">
        <w:t xml:space="preserve"> </w:t>
      </w:r>
      <w:r>
        <w:t>insister</w:t>
      </w:r>
      <w:r w:rsidRPr="002C4077">
        <w:t xml:space="preserve"> </w:t>
      </w:r>
      <w:r>
        <w:t>ainsi</w:t>
      </w:r>
      <w:r w:rsidRPr="002C4077">
        <w:t xml:space="preserve"> </w:t>
      </w:r>
      <w:r>
        <w:t>sur</w:t>
      </w:r>
      <w:r w:rsidRPr="002C4077">
        <w:t xml:space="preserve"> </w:t>
      </w:r>
      <w:r>
        <w:t>la</w:t>
      </w:r>
      <w:r w:rsidRPr="002C4077">
        <w:t xml:space="preserve"> </w:t>
      </w:r>
      <w:r>
        <w:t>force</w:t>
      </w:r>
      <w:r w:rsidRPr="002C4077">
        <w:t xml:space="preserve"> </w:t>
      </w:r>
      <w:r>
        <w:t>des</w:t>
      </w:r>
      <w:r w:rsidRPr="002C4077">
        <w:t xml:space="preserve"> </w:t>
      </w:r>
      <w:r>
        <w:t>termes,</w:t>
      </w:r>
      <w:r w:rsidRPr="002C4077">
        <w:t xml:space="preserve"> </w:t>
      </w:r>
      <w:r>
        <w:t>pour</w:t>
      </w:r>
      <w:r w:rsidRPr="002C4077">
        <w:t xml:space="preserve"> </w:t>
      </w:r>
      <w:r>
        <w:t>relever</w:t>
      </w:r>
      <w:r w:rsidRPr="002C4077">
        <w:t xml:space="preserve"> </w:t>
      </w:r>
      <w:r>
        <w:t>leur</w:t>
      </w:r>
      <w:r w:rsidRPr="002C4077">
        <w:t xml:space="preserve"> </w:t>
      </w:r>
      <w:r>
        <w:t>tableau</w:t>
      </w:r>
      <w:r w:rsidRPr="002C4077">
        <w:t xml:space="preserve"> </w:t>
      </w:r>
      <w:r>
        <w:t>d’un</w:t>
      </w:r>
      <w:r w:rsidRPr="002C4077">
        <w:t xml:space="preserve"> </w:t>
      </w:r>
      <w:r w:rsidR="00425C50">
        <w:t>deuil</w:t>
      </w:r>
      <w:r w:rsidRPr="002C4077">
        <w:t xml:space="preserve"> </w:t>
      </w:r>
      <w:r>
        <w:t>général,</w:t>
      </w:r>
      <w:r w:rsidRPr="002C4077">
        <w:t xml:space="preserve"> </w:t>
      </w:r>
      <w:r>
        <w:t>où</w:t>
      </w:r>
      <w:r w:rsidRPr="002C4077">
        <w:t xml:space="preserve"> </w:t>
      </w:r>
      <w:r>
        <w:t>les</w:t>
      </w:r>
      <w:r w:rsidRPr="002C4077">
        <w:t xml:space="preserve"> </w:t>
      </w:r>
      <w:r>
        <w:t>vierges</w:t>
      </w:r>
      <w:r w:rsidRPr="002C4077">
        <w:t xml:space="preserve"> </w:t>
      </w:r>
      <w:r>
        <w:t>même</w:t>
      </w:r>
      <w:r w:rsidRPr="002C4077">
        <w:t xml:space="preserve"> </w:t>
      </w:r>
      <w:r>
        <w:t>les</w:t>
      </w:r>
      <w:r w:rsidRPr="002C4077">
        <w:t xml:space="preserve"> </w:t>
      </w:r>
      <w:r>
        <w:t>plus</w:t>
      </w:r>
      <w:r w:rsidRPr="002C4077">
        <w:t xml:space="preserve"> </w:t>
      </w:r>
      <w:r>
        <w:t>strictement</w:t>
      </w:r>
      <w:r w:rsidRPr="002C4077">
        <w:t xml:space="preserve"> </w:t>
      </w:r>
      <w:r>
        <w:t>retenues</w:t>
      </w:r>
      <w:r w:rsidRPr="002C4077">
        <w:t xml:space="preserve"> </w:t>
      </w:r>
      <w:r>
        <w:t>dans</w:t>
      </w:r>
      <w:r w:rsidRPr="002C4077">
        <w:t xml:space="preserve"> </w:t>
      </w:r>
      <w:r>
        <w:t>les</w:t>
      </w:r>
      <w:r w:rsidRPr="002C4077">
        <w:t xml:space="preserve"> </w:t>
      </w:r>
      <w:r>
        <w:t>maisons</w:t>
      </w:r>
      <w:r w:rsidRPr="002C4077">
        <w:t xml:space="preserve"> </w:t>
      </w:r>
      <w:r>
        <w:t>par</w:t>
      </w:r>
      <w:r w:rsidRPr="002C4077">
        <w:t xml:space="preserve"> </w:t>
      </w:r>
      <w:r>
        <w:t>les</w:t>
      </w:r>
      <w:r w:rsidRPr="002C4077">
        <w:t xml:space="preserve"> </w:t>
      </w:r>
      <w:r>
        <w:t>lois</w:t>
      </w:r>
      <w:r w:rsidRPr="002C4077">
        <w:t xml:space="preserve"> </w:t>
      </w:r>
      <w:r>
        <w:t>de</w:t>
      </w:r>
      <w:r w:rsidRPr="002C4077">
        <w:t xml:space="preserve"> </w:t>
      </w:r>
      <w:r>
        <w:t>la</w:t>
      </w:r>
      <w:r w:rsidRPr="002C4077">
        <w:t xml:space="preserve"> </w:t>
      </w:r>
      <w:r>
        <w:t>modestie</w:t>
      </w:r>
      <w:r w:rsidRPr="002C4077">
        <w:t xml:space="preserve"> </w:t>
      </w:r>
      <w:r>
        <w:t>et</w:t>
      </w:r>
      <w:r w:rsidRPr="002C4077">
        <w:t xml:space="preserve"> </w:t>
      </w:r>
      <w:r>
        <w:t>par</w:t>
      </w:r>
      <w:r w:rsidRPr="002C4077">
        <w:t xml:space="preserve"> </w:t>
      </w:r>
      <w:r>
        <w:t>la</w:t>
      </w:r>
      <w:r w:rsidRPr="002C4077">
        <w:t xml:space="preserve"> </w:t>
      </w:r>
      <w:r>
        <w:t>vigilance</w:t>
      </w:r>
      <w:r w:rsidRPr="002C4077">
        <w:t xml:space="preserve"> </w:t>
      </w:r>
      <w:r>
        <w:t>paternelle</w:t>
      </w:r>
      <w:r w:rsidRPr="002C4077">
        <w:t xml:space="preserve"> </w:t>
      </w:r>
      <w:r>
        <w:t>se</w:t>
      </w:r>
      <w:r w:rsidRPr="002C4077">
        <w:t xml:space="preserve"> </w:t>
      </w:r>
      <w:r>
        <w:t>montraient</w:t>
      </w:r>
      <w:r w:rsidRPr="002C4077">
        <w:t xml:space="preserve"> </w:t>
      </w:r>
      <w:r>
        <w:t>ainsi</w:t>
      </w:r>
      <w:r w:rsidRPr="002C4077">
        <w:t xml:space="preserve"> </w:t>
      </w:r>
      <w:r>
        <w:t>en</w:t>
      </w:r>
      <w:r w:rsidRPr="002C4077">
        <w:t xml:space="preserve"> </w:t>
      </w:r>
      <w:r>
        <w:t>public</w:t>
      </w:r>
      <w:r w:rsidRPr="002C4077">
        <w:t xml:space="preserve"> </w:t>
      </w:r>
      <w:r>
        <w:t>vêtues</w:t>
      </w:r>
      <w:r w:rsidRPr="002C4077">
        <w:t xml:space="preserve"> </w:t>
      </w:r>
      <w:r>
        <w:t>du</w:t>
      </w:r>
      <w:r w:rsidRPr="002C4077">
        <w:t xml:space="preserve"> </w:t>
      </w:r>
      <w:r>
        <w:t>cilice</w:t>
      </w:r>
      <w:r w:rsidR="00B91AF7">
        <w:rPr>
          <w:rStyle w:val="Appelnotedebasdep"/>
        </w:rPr>
        <w:footnoteReference w:id="209"/>
      </w:r>
      <w:r w:rsidR="00B546AF">
        <w:t> »</w:t>
      </w:r>
      <w:r>
        <w:t>.</w:t>
      </w:r>
      <w:r w:rsidRPr="002C4077">
        <w:t xml:space="preserve"> </w:t>
      </w:r>
      <w:r>
        <w:t>On</w:t>
      </w:r>
      <w:r w:rsidRPr="002C4077">
        <w:t xml:space="preserve"> </w:t>
      </w:r>
      <w:r>
        <w:t>dirait</w:t>
      </w:r>
      <w:r w:rsidRPr="002C4077">
        <w:t xml:space="preserve"> </w:t>
      </w:r>
      <w:r>
        <w:t>vraiment</w:t>
      </w:r>
      <w:r w:rsidRPr="002C4077">
        <w:t xml:space="preserve"> </w:t>
      </w:r>
      <w:r>
        <w:t>qu’ils</w:t>
      </w:r>
      <w:r w:rsidRPr="002C4077">
        <w:t xml:space="preserve"> </w:t>
      </w:r>
      <w:r>
        <w:t>se</w:t>
      </w:r>
      <w:r w:rsidRPr="002C4077">
        <w:t xml:space="preserve"> </w:t>
      </w:r>
      <w:r>
        <w:t>proposaient</w:t>
      </w:r>
      <w:r w:rsidRPr="002C4077">
        <w:t xml:space="preserve"> </w:t>
      </w:r>
      <w:r>
        <w:t>d’affirmer,</w:t>
      </w:r>
      <w:r w:rsidRPr="002C4077">
        <w:t xml:space="preserve"> </w:t>
      </w:r>
      <w:r>
        <w:t>par</w:t>
      </w:r>
      <w:r w:rsidRPr="002C4077">
        <w:t xml:space="preserve"> </w:t>
      </w:r>
      <w:r>
        <w:t>ces</w:t>
      </w:r>
      <w:r w:rsidRPr="002C4077">
        <w:t xml:space="preserve"> </w:t>
      </w:r>
      <w:r>
        <w:t>périphrases,</w:t>
      </w:r>
      <w:r w:rsidRPr="002C4077">
        <w:t xml:space="preserve"> </w:t>
      </w:r>
      <w:r>
        <w:t>toute</w:t>
      </w:r>
      <w:r w:rsidRPr="002C4077">
        <w:t xml:space="preserve"> </w:t>
      </w:r>
      <w:r>
        <w:t>la</w:t>
      </w:r>
      <w:r w:rsidRPr="002C4077">
        <w:t xml:space="preserve"> </w:t>
      </w:r>
      <w:r>
        <w:t>force</w:t>
      </w:r>
      <w:r w:rsidRPr="002C4077">
        <w:t xml:space="preserve"> </w:t>
      </w:r>
      <w:r>
        <w:t>du</w:t>
      </w:r>
      <w:r w:rsidRPr="002C4077">
        <w:t xml:space="preserve"> </w:t>
      </w:r>
      <w:r>
        <w:t>mot</w:t>
      </w:r>
      <w:r w:rsidRPr="002C4077">
        <w:t xml:space="preserve"> </w:t>
      </w:r>
      <w:r w:rsidR="00D40830" w:rsidRPr="00D05EA9">
        <w:rPr>
          <w:rStyle w:val="italicus"/>
        </w:rPr>
        <w:t>῾almah</w:t>
      </w:r>
      <w:r w:rsidRPr="000A34B5">
        <w:rPr>
          <w:rStyle w:val="italicus"/>
        </w:rPr>
        <w:t>.</w:t>
      </w:r>
      <w:r w:rsidRPr="002C4077">
        <w:t xml:space="preserve"> </w:t>
      </w:r>
      <w:r>
        <w:t>De</w:t>
      </w:r>
      <w:r w:rsidRPr="002C4077">
        <w:t xml:space="preserve"> </w:t>
      </w:r>
      <w:r>
        <w:t>même</w:t>
      </w:r>
      <w:r w:rsidRPr="002C4077">
        <w:t xml:space="preserve"> </w:t>
      </w:r>
      <w:r>
        <w:t>Josèphe,</w:t>
      </w:r>
      <w:r w:rsidRPr="002C4077">
        <w:t xml:space="preserve"> </w:t>
      </w:r>
      <w:r>
        <w:t>d’après</w:t>
      </w:r>
      <w:r w:rsidRPr="002C4077">
        <w:t xml:space="preserve"> </w:t>
      </w:r>
      <w:r>
        <w:t>lequel</w:t>
      </w:r>
      <w:r w:rsidRPr="002C4077">
        <w:t xml:space="preserve"> </w:t>
      </w:r>
      <w:r>
        <w:t>la</w:t>
      </w:r>
      <w:r w:rsidRPr="002C4077">
        <w:t xml:space="preserve"> </w:t>
      </w:r>
      <w:r>
        <w:t>mère</w:t>
      </w:r>
      <w:r w:rsidRPr="002C4077">
        <w:t xml:space="preserve"> </w:t>
      </w:r>
      <w:r>
        <w:t>des</w:t>
      </w:r>
      <w:r w:rsidRPr="002C4077">
        <w:t xml:space="preserve"> </w:t>
      </w:r>
      <w:r>
        <w:t>Machabées</w:t>
      </w:r>
      <w:r w:rsidRPr="002C4077">
        <w:t xml:space="preserve"> </w:t>
      </w:r>
      <w:r>
        <w:t>dit</w:t>
      </w:r>
      <w:r w:rsidRPr="002C4077">
        <w:t xml:space="preserve"> </w:t>
      </w:r>
      <w:r>
        <w:t>à</w:t>
      </w:r>
      <w:r w:rsidRPr="002C4077">
        <w:t xml:space="preserve"> </w:t>
      </w:r>
      <w:r>
        <w:t>ses</w:t>
      </w:r>
      <w:r w:rsidRPr="002C4077">
        <w:t xml:space="preserve"> </w:t>
      </w:r>
      <w:r>
        <w:t>enfants</w:t>
      </w:r>
      <w:r w:rsidR="00B546AF">
        <w:t> :</w:t>
      </w:r>
      <w:r w:rsidRPr="002C4077">
        <w:t xml:space="preserve"> </w:t>
      </w:r>
      <w:r w:rsidR="00B546AF">
        <w:t>« </w:t>
      </w:r>
      <w:r>
        <w:t>Vierge,</w:t>
      </w:r>
      <w:r w:rsidRPr="002C4077">
        <w:t xml:space="preserve"> </w:t>
      </w:r>
      <w:r>
        <w:t>chaste</w:t>
      </w:r>
      <w:r w:rsidRPr="002C4077">
        <w:t xml:space="preserve"> </w:t>
      </w:r>
      <w:r>
        <w:t>depuis</w:t>
      </w:r>
      <w:r w:rsidRPr="002C4077">
        <w:t xml:space="preserve"> </w:t>
      </w:r>
      <w:r>
        <w:t>ma</w:t>
      </w:r>
      <w:r w:rsidRPr="002C4077">
        <w:t xml:space="preserve"> </w:t>
      </w:r>
      <w:r>
        <w:t>naissance,</w:t>
      </w:r>
      <w:r w:rsidRPr="002C4077">
        <w:t xml:space="preserve"> </w:t>
      </w:r>
      <w:r>
        <w:t>je</w:t>
      </w:r>
      <w:r w:rsidRPr="002C4077">
        <w:t xml:space="preserve"> </w:t>
      </w:r>
      <w:r>
        <w:t>n’ai</w:t>
      </w:r>
      <w:r w:rsidRPr="002C4077">
        <w:t xml:space="preserve"> </w:t>
      </w:r>
      <w:r>
        <w:t>jamais</w:t>
      </w:r>
      <w:r w:rsidRPr="002C4077">
        <w:t xml:space="preserve"> </w:t>
      </w:r>
      <w:r>
        <w:t>franchi</w:t>
      </w:r>
      <w:r w:rsidRPr="002C4077">
        <w:t xml:space="preserve"> </w:t>
      </w:r>
      <w:r>
        <w:t>le</w:t>
      </w:r>
      <w:r w:rsidRPr="002C4077">
        <w:t xml:space="preserve"> </w:t>
      </w:r>
      <w:r w:rsidR="00425C50">
        <w:t>seuil</w:t>
      </w:r>
      <w:r w:rsidRPr="002C4077">
        <w:t xml:space="preserve"> </w:t>
      </w:r>
      <w:r>
        <w:t>de</w:t>
      </w:r>
      <w:r w:rsidRPr="002C4077">
        <w:t xml:space="preserve"> </w:t>
      </w:r>
      <w:r>
        <w:t>la</w:t>
      </w:r>
      <w:r w:rsidRPr="002C4077">
        <w:t xml:space="preserve"> </w:t>
      </w:r>
      <w:r>
        <w:t>maison</w:t>
      </w:r>
      <w:r w:rsidRPr="002C4077">
        <w:t xml:space="preserve"> </w:t>
      </w:r>
      <w:r>
        <w:t>paternelle</w:t>
      </w:r>
      <w:r w:rsidR="00B91AF7">
        <w:rPr>
          <w:rStyle w:val="Appelnotedebasdep"/>
        </w:rPr>
        <w:footnoteReference w:id="210"/>
      </w:r>
      <w:r w:rsidR="00B546AF">
        <w:t> »</w:t>
      </w:r>
      <w:r>
        <w:t>.</w:t>
      </w:r>
      <w:r w:rsidRPr="002C4077">
        <w:t xml:space="preserve"> </w:t>
      </w:r>
      <w:r>
        <w:t>De</w:t>
      </w:r>
      <w:r w:rsidRPr="002C4077">
        <w:t xml:space="preserve"> </w:t>
      </w:r>
      <w:r>
        <w:t>même</w:t>
      </w:r>
      <w:r w:rsidRPr="002C4077">
        <w:t xml:space="preserve"> </w:t>
      </w:r>
      <w:r>
        <w:t>Philon,</w:t>
      </w:r>
      <w:r w:rsidRPr="002C4077">
        <w:t xml:space="preserve"> </w:t>
      </w:r>
      <w:r>
        <w:t>au</w:t>
      </w:r>
      <w:r w:rsidRPr="002C4077">
        <w:t xml:space="preserve"> </w:t>
      </w:r>
      <w:r>
        <w:t>dire</w:t>
      </w:r>
      <w:r w:rsidRPr="002C4077">
        <w:t xml:space="preserve"> </w:t>
      </w:r>
      <w:r>
        <w:t>de</w:t>
      </w:r>
      <w:r w:rsidRPr="002C4077">
        <w:t xml:space="preserve"> </w:t>
      </w:r>
      <w:r>
        <w:t>qui</w:t>
      </w:r>
      <w:r w:rsidRPr="002C4077">
        <w:t xml:space="preserve"> </w:t>
      </w:r>
      <w:r>
        <w:t>les</w:t>
      </w:r>
      <w:r w:rsidRPr="002C4077">
        <w:t xml:space="preserve"> </w:t>
      </w:r>
      <w:r>
        <w:t>vierges</w:t>
      </w:r>
      <w:r w:rsidRPr="002C4077">
        <w:t xml:space="preserve"> </w:t>
      </w:r>
      <w:r>
        <w:t>regardent</w:t>
      </w:r>
      <w:r w:rsidRPr="002C4077">
        <w:t xml:space="preserve"> </w:t>
      </w:r>
      <w:r>
        <w:t>comme</w:t>
      </w:r>
      <w:r w:rsidRPr="002C4077">
        <w:t xml:space="preserve"> </w:t>
      </w:r>
      <w:r>
        <w:t>une</w:t>
      </w:r>
      <w:r w:rsidRPr="002C4077">
        <w:t xml:space="preserve"> </w:t>
      </w:r>
      <w:r>
        <w:t>barrière</w:t>
      </w:r>
      <w:r w:rsidRPr="002C4077">
        <w:t xml:space="preserve"> </w:t>
      </w:r>
      <w:r>
        <w:t>infranchissable</w:t>
      </w:r>
      <w:r w:rsidRPr="002C4077">
        <w:t xml:space="preserve"> </w:t>
      </w:r>
      <w:r>
        <w:t>la</w:t>
      </w:r>
      <w:r w:rsidRPr="002C4077">
        <w:t xml:space="preserve"> </w:t>
      </w:r>
      <w:r>
        <w:t>porte</w:t>
      </w:r>
      <w:r w:rsidRPr="002C4077">
        <w:t xml:space="preserve"> </w:t>
      </w:r>
      <w:r>
        <w:t>des</w:t>
      </w:r>
      <w:r w:rsidRPr="002C4077">
        <w:t xml:space="preserve"> </w:t>
      </w:r>
      <w:r>
        <w:t>appartements</w:t>
      </w:r>
      <w:r w:rsidRPr="002C4077">
        <w:t xml:space="preserve"> </w:t>
      </w:r>
      <w:r>
        <w:t>intérieurs</w:t>
      </w:r>
      <w:r w:rsidRPr="002C4077">
        <w:t xml:space="preserve"> </w:t>
      </w:r>
      <w:r>
        <w:t>de</w:t>
      </w:r>
      <w:r w:rsidRPr="002C4077">
        <w:t xml:space="preserve"> </w:t>
      </w:r>
      <w:r>
        <w:t>la</w:t>
      </w:r>
      <w:r w:rsidRPr="002C4077">
        <w:t xml:space="preserve"> </w:t>
      </w:r>
      <w:r>
        <w:t>maison</w:t>
      </w:r>
      <w:r w:rsidR="008D184D">
        <w:rPr>
          <w:rStyle w:val="Appelnotedebasdep"/>
        </w:rPr>
        <w:footnoteReference w:id="211"/>
      </w:r>
      <w:r>
        <w:t>.</w:t>
      </w:r>
      <w:r w:rsidRPr="002C4077">
        <w:t xml:space="preserve"> </w:t>
      </w:r>
    </w:p>
    <w:p w:rsidR="000A7AAB" w:rsidRDefault="000A7AAB" w:rsidP="000A7AAB">
      <w:r>
        <w:t>Enfin</w:t>
      </w:r>
      <w:r w:rsidRPr="002C4077">
        <w:t xml:space="preserve"> </w:t>
      </w:r>
      <w:r>
        <w:t>voici</w:t>
      </w:r>
      <w:r w:rsidRPr="002C4077">
        <w:t xml:space="preserve"> </w:t>
      </w:r>
      <w:r>
        <w:t>que,</w:t>
      </w:r>
      <w:r w:rsidRPr="002C4077">
        <w:t xml:space="preserve"> </w:t>
      </w:r>
      <w:r>
        <w:t>providentiellement,</w:t>
      </w:r>
      <w:r w:rsidRPr="002C4077">
        <w:t xml:space="preserve"> </w:t>
      </w:r>
      <w:r>
        <w:t>un</w:t>
      </w:r>
      <w:r w:rsidRPr="002C4077">
        <w:t xml:space="preserve"> </w:t>
      </w:r>
      <w:r>
        <w:t>monument</w:t>
      </w:r>
      <w:r w:rsidRPr="002C4077">
        <w:t xml:space="preserve"> </w:t>
      </w:r>
      <w:r>
        <w:t>découvert</w:t>
      </w:r>
      <w:r w:rsidRPr="002C4077">
        <w:t xml:space="preserve"> </w:t>
      </w:r>
      <w:r>
        <w:t>il</w:t>
      </w:r>
      <w:r w:rsidRPr="002C4077">
        <w:t xml:space="preserve"> </w:t>
      </w:r>
      <w:r>
        <w:t>y</w:t>
      </w:r>
      <w:r w:rsidRPr="002C4077">
        <w:t xml:space="preserve"> </w:t>
      </w:r>
      <w:r>
        <w:t>a</w:t>
      </w:r>
      <w:r w:rsidRPr="002C4077">
        <w:t xml:space="preserve"> </w:t>
      </w:r>
      <w:r>
        <w:t>cinq</w:t>
      </w:r>
      <w:r w:rsidRPr="002C4077">
        <w:t xml:space="preserve"> </w:t>
      </w:r>
      <w:r>
        <w:t>ans</w:t>
      </w:r>
      <w:r w:rsidRPr="002C4077">
        <w:t xml:space="preserve"> </w:t>
      </w:r>
      <w:r>
        <w:t>à</w:t>
      </w:r>
      <w:r w:rsidRPr="002C4077">
        <w:t xml:space="preserve"> </w:t>
      </w:r>
      <w:r>
        <w:t>peine</w:t>
      </w:r>
      <w:r w:rsidRPr="004440EA">
        <w:t xml:space="preserve"> (</w:t>
      </w:r>
      <w:r>
        <w:t>1879</w:t>
      </w:r>
      <w:r w:rsidR="00B546AF" w:rsidRPr="002C4077">
        <w:t>)</w:t>
      </w:r>
      <w:r w:rsidRPr="002C4077">
        <w:t xml:space="preserve"> </w:t>
      </w:r>
      <w:r>
        <w:t>montre</w:t>
      </w:r>
      <w:r w:rsidRPr="002C4077">
        <w:t xml:space="preserve"> </w:t>
      </w:r>
      <w:r>
        <w:t>combien</w:t>
      </w:r>
      <w:r w:rsidRPr="002C4077">
        <w:t xml:space="preserve"> </w:t>
      </w:r>
      <w:r>
        <w:t>Ges</w:t>
      </w:r>
      <w:r w:rsidR="003B53FD">
        <w:t>énius</w:t>
      </w:r>
      <w:r w:rsidRPr="002C4077">
        <w:t xml:space="preserve"> </w:t>
      </w:r>
      <w:r>
        <w:t>a</w:t>
      </w:r>
      <w:r w:rsidRPr="002C4077">
        <w:t xml:space="preserve"> </w:t>
      </w:r>
      <w:r>
        <w:t>fait</w:t>
      </w:r>
      <w:r w:rsidRPr="002C4077">
        <w:t xml:space="preserve"> </w:t>
      </w:r>
      <w:r>
        <w:t>preuve</w:t>
      </w:r>
      <w:r w:rsidRPr="002C4077">
        <w:t xml:space="preserve"> </w:t>
      </w:r>
      <w:r>
        <w:t>de</w:t>
      </w:r>
      <w:r w:rsidRPr="002C4077">
        <w:t xml:space="preserve"> </w:t>
      </w:r>
      <w:r>
        <w:t>légèreté</w:t>
      </w:r>
      <w:r w:rsidRPr="002C4077">
        <w:t xml:space="preserve"> </w:t>
      </w:r>
      <w:r>
        <w:t>en</w:t>
      </w:r>
      <w:r w:rsidRPr="002C4077">
        <w:t xml:space="preserve"> </w:t>
      </w:r>
      <w:r>
        <w:t>accusant</w:t>
      </w:r>
      <w:r w:rsidRPr="002C4077">
        <w:t xml:space="preserve"> </w:t>
      </w:r>
      <w:r>
        <w:t>S.</w:t>
      </w:r>
      <w:r w:rsidRPr="002C4077">
        <w:t xml:space="preserve"> </w:t>
      </w:r>
      <w:r>
        <w:t>Jérôme</w:t>
      </w:r>
      <w:r w:rsidRPr="002C4077">
        <w:t xml:space="preserve"> </w:t>
      </w:r>
      <w:r>
        <w:t>de</w:t>
      </w:r>
      <w:r w:rsidRPr="002C4077">
        <w:t xml:space="preserve"> </w:t>
      </w:r>
      <w:r>
        <w:t>parler</w:t>
      </w:r>
      <w:r w:rsidRPr="002C4077">
        <w:t xml:space="preserve"> </w:t>
      </w:r>
      <w:r>
        <w:t>sans</w:t>
      </w:r>
      <w:r w:rsidRPr="002C4077">
        <w:t xml:space="preserve"> </w:t>
      </w:r>
      <w:r>
        <w:t>connaissance</w:t>
      </w:r>
      <w:r w:rsidRPr="002C4077">
        <w:t xml:space="preserve"> </w:t>
      </w:r>
      <w:r>
        <w:t>de</w:t>
      </w:r>
      <w:r w:rsidRPr="002C4077">
        <w:t xml:space="preserve"> </w:t>
      </w:r>
      <w:r>
        <w:t>cause.</w:t>
      </w:r>
      <w:r w:rsidRPr="002C4077">
        <w:t xml:space="preserve"> </w:t>
      </w:r>
      <w:r>
        <w:t>C’est</w:t>
      </w:r>
      <w:r w:rsidRPr="002C4077">
        <w:t xml:space="preserve"> </w:t>
      </w:r>
      <w:r>
        <w:t>une</w:t>
      </w:r>
      <w:r w:rsidRPr="002C4077">
        <w:t xml:space="preserve"> </w:t>
      </w:r>
      <w:r>
        <w:t>inscription</w:t>
      </w:r>
      <w:r w:rsidRPr="002C4077">
        <w:t xml:space="preserve"> </w:t>
      </w:r>
      <w:r>
        <w:t>phénicienne,</w:t>
      </w:r>
      <w:r w:rsidRPr="002C4077">
        <w:t xml:space="preserve"> </w:t>
      </w:r>
      <w:r>
        <w:t>trouvée</w:t>
      </w:r>
      <w:r w:rsidRPr="002C4077">
        <w:t xml:space="preserve"> </w:t>
      </w:r>
      <w:r>
        <w:t>à</w:t>
      </w:r>
      <w:r w:rsidRPr="002C4077">
        <w:t xml:space="preserve"> </w:t>
      </w:r>
      <w:r>
        <w:t>Rambula</w:t>
      </w:r>
      <w:bookmarkStart w:id="228" w:name="z_Rambula_o1"/>
      <w:bookmarkEnd w:id="228"/>
      <w:r w:rsidRPr="004440EA">
        <w:t xml:space="preserve"> (</w:t>
      </w:r>
      <w:r>
        <w:t>près</w:t>
      </w:r>
      <w:r w:rsidRPr="002C4077">
        <w:t xml:space="preserve"> </w:t>
      </w:r>
      <w:r>
        <w:t>de</w:t>
      </w:r>
      <w:r w:rsidRPr="002C4077">
        <w:t xml:space="preserve"> </w:t>
      </w:r>
      <w:r>
        <w:t>Larnaca</w:t>
      </w:r>
      <w:r w:rsidR="00B546AF" w:rsidRPr="002C4077">
        <w:t>)</w:t>
      </w:r>
      <w:r w:rsidRPr="002C4077">
        <w:t xml:space="preserve"> </w:t>
      </w:r>
      <w:r>
        <w:t>dans</w:t>
      </w:r>
      <w:r w:rsidRPr="002C4077">
        <w:t xml:space="preserve"> </w:t>
      </w:r>
      <w:r>
        <w:t>l’île</w:t>
      </w:r>
      <w:r w:rsidRPr="002C4077">
        <w:t xml:space="preserve"> </w:t>
      </w:r>
      <w:r>
        <w:t>de</w:t>
      </w:r>
      <w:r w:rsidRPr="002C4077">
        <w:t xml:space="preserve"> </w:t>
      </w:r>
      <w:r>
        <w:t>Chypre,</w:t>
      </w:r>
      <w:r w:rsidRPr="002C4077">
        <w:t xml:space="preserve"> </w:t>
      </w:r>
      <w:r>
        <w:t>et</w:t>
      </w:r>
      <w:r w:rsidRPr="002C4077">
        <w:t xml:space="preserve"> </w:t>
      </w:r>
      <w:r>
        <w:t>qui,</w:t>
      </w:r>
      <w:r w:rsidRPr="002C4077">
        <w:t xml:space="preserve"> </w:t>
      </w:r>
      <w:r>
        <w:t>malgré</w:t>
      </w:r>
      <w:r w:rsidRPr="002C4077">
        <w:t xml:space="preserve"> </w:t>
      </w:r>
      <w:r>
        <w:t>sa</w:t>
      </w:r>
      <w:r w:rsidRPr="002C4077">
        <w:t xml:space="preserve"> </w:t>
      </w:r>
      <w:r>
        <w:t>forme</w:t>
      </w:r>
      <w:r w:rsidRPr="002C4077">
        <w:t xml:space="preserve"> </w:t>
      </w:r>
      <w:r>
        <w:t>très</w:t>
      </w:r>
      <w:r w:rsidRPr="002C4077">
        <w:t xml:space="preserve"> </w:t>
      </w:r>
      <w:r>
        <w:t>fruste,</w:t>
      </w:r>
      <w:r w:rsidRPr="002C4077">
        <w:t xml:space="preserve"> </w:t>
      </w:r>
      <w:r>
        <w:t>semble</w:t>
      </w:r>
      <w:r w:rsidRPr="002C4077">
        <w:t xml:space="preserve"> </w:t>
      </w:r>
      <w:r>
        <w:t>contenir</w:t>
      </w:r>
      <w:r w:rsidRPr="002C4077">
        <w:t xml:space="preserve"> </w:t>
      </w:r>
      <w:r>
        <w:t>un</w:t>
      </w:r>
      <w:r w:rsidRPr="002C4077">
        <w:t xml:space="preserve"> </w:t>
      </w:r>
      <w:r>
        <w:t>compte</w:t>
      </w:r>
      <w:r w:rsidRPr="002C4077">
        <w:t xml:space="preserve"> </w:t>
      </w:r>
      <w:r>
        <w:t>des</w:t>
      </w:r>
      <w:r w:rsidRPr="002C4077">
        <w:t xml:space="preserve"> </w:t>
      </w:r>
      <w:r>
        <w:t>dépenses</w:t>
      </w:r>
      <w:r w:rsidRPr="002C4077">
        <w:t xml:space="preserve"> </w:t>
      </w:r>
      <w:r>
        <w:t>faites</w:t>
      </w:r>
      <w:r w:rsidRPr="002C4077">
        <w:t xml:space="preserve"> </w:t>
      </w:r>
      <w:r>
        <w:t>pour</w:t>
      </w:r>
      <w:r w:rsidRPr="002C4077">
        <w:t xml:space="preserve"> </w:t>
      </w:r>
      <w:r>
        <w:t>l’entretien</w:t>
      </w:r>
      <w:r w:rsidRPr="002C4077">
        <w:t xml:space="preserve"> </w:t>
      </w:r>
      <w:r>
        <w:t>des</w:t>
      </w:r>
      <w:r w:rsidRPr="002C4077">
        <w:t xml:space="preserve"> </w:t>
      </w:r>
      <w:r>
        <w:t>employés</w:t>
      </w:r>
      <w:r w:rsidRPr="002C4077">
        <w:t xml:space="preserve"> </w:t>
      </w:r>
      <w:r>
        <w:t>du</w:t>
      </w:r>
      <w:r w:rsidRPr="002C4077">
        <w:t xml:space="preserve"> </w:t>
      </w:r>
      <w:r>
        <w:t>temple.</w:t>
      </w:r>
      <w:r w:rsidRPr="002C4077">
        <w:t xml:space="preserve"> </w:t>
      </w:r>
      <w:r>
        <w:t>Elle</w:t>
      </w:r>
      <w:r w:rsidRPr="002C4077">
        <w:t xml:space="preserve"> </w:t>
      </w:r>
      <w:r w:rsidR="00425C50">
        <w:t>est</w:t>
      </w:r>
      <w:r w:rsidRPr="002C4077">
        <w:t xml:space="preserve"> </w:t>
      </w:r>
      <w:r>
        <w:t>écrite</w:t>
      </w:r>
      <w:r w:rsidRPr="002C4077">
        <w:t xml:space="preserve"> </w:t>
      </w:r>
      <w:r>
        <w:t>sur</w:t>
      </w:r>
      <w:r w:rsidRPr="002C4077">
        <w:t xml:space="preserve"> </w:t>
      </w:r>
      <w:r>
        <w:t>une</w:t>
      </w:r>
      <w:r w:rsidRPr="002C4077">
        <w:t xml:space="preserve"> </w:t>
      </w:r>
      <w:r>
        <w:t>pierre</w:t>
      </w:r>
      <w:r w:rsidRPr="002C4077">
        <w:t xml:space="preserve"> </w:t>
      </w:r>
      <w:r>
        <w:t>calcaire,</w:t>
      </w:r>
      <w:r w:rsidRPr="002C4077">
        <w:t xml:space="preserve"> </w:t>
      </w:r>
      <w:r>
        <w:t>a</w:t>
      </w:r>
      <w:r w:rsidRPr="002C4077">
        <w:t xml:space="preserve"> </w:t>
      </w:r>
      <w:r>
        <w:t>dix-sept</w:t>
      </w:r>
      <w:r w:rsidRPr="002C4077">
        <w:t xml:space="preserve"> </w:t>
      </w:r>
      <w:r>
        <w:t>lignes</w:t>
      </w:r>
      <w:r w:rsidRPr="002C4077">
        <w:t xml:space="preserve"> </w:t>
      </w:r>
      <w:r>
        <w:t>sur</w:t>
      </w:r>
      <w:r w:rsidRPr="002C4077">
        <w:t xml:space="preserve"> </w:t>
      </w:r>
      <w:r>
        <w:t>la</w:t>
      </w:r>
      <w:r w:rsidRPr="002C4077">
        <w:t xml:space="preserve"> </w:t>
      </w:r>
      <w:r>
        <w:t>première</w:t>
      </w:r>
      <w:r w:rsidRPr="002C4077">
        <w:t xml:space="preserve"> </w:t>
      </w:r>
      <w:r>
        <w:t>face,</w:t>
      </w:r>
      <w:r w:rsidRPr="002C4077">
        <w:t xml:space="preserve"> </w:t>
      </w:r>
      <w:r>
        <w:t>douze</w:t>
      </w:r>
      <w:r w:rsidRPr="002C4077">
        <w:t xml:space="preserve"> </w:t>
      </w:r>
      <w:r>
        <w:t>sur</w:t>
      </w:r>
      <w:r w:rsidRPr="002C4077">
        <w:t xml:space="preserve"> </w:t>
      </w:r>
      <w:r>
        <w:t>l’autre,</w:t>
      </w:r>
      <w:r w:rsidRPr="002C4077">
        <w:t xml:space="preserve"> </w:t>
      </w:r>
      <w:r>
        <w:t>et</w:t>
      </w:r>
      <w:r w:rsidRPr="002C4077">
        <w:t xml:space="preserve"> </w:t>
      </w:r>
      <w:r>
        <w:t>paraît</w:t>
      </w:r>
      <w:r w:rsidRPr="002C4077">
        <w:t xml:space="preserve"> </w:t>
      </w:r>
      <w:r>
        <w:t>dater,</w:t>
      </w:r>
      <w:r w:rsidRPr="002C4077">
        <w:t xml:space="preserve"> </w:t>
      </w:r>
      <w:r>
        <w:t>d’après</w:t>
      </w:r>
      <w:r w:rsidRPr="002C4077">
        <w:t xml:space="preserve"> </w:t>
      </w:r>
      <w:r>
        <w:t>les</w:t>
      </w:r>
      <w:r w:rsidRPr="002C4077">
        <w:t xml:space="preserve"> </w:t>
      </w:r>
      <w:r>
        <w:t>archéologues</w:t>
      </w:r>
      <w:r w:rsidRPr="002C4077">
        <w:t xml:space="preserve"> </w:t>
      </w:r>
      <w:r>
        <w:t>qui</w:t>
      </w:r>
      <w:r w:rsidRPr="002C4077">
        <w:t xml:space="preserve"> </w:t>
      </w:r>
      <w:r>
        <w:t>viennent</w:t>
      </w:r>
      <w:r w:rsidRPr="002C4077">
        <w:t xml:space="preserve"> </w:t>
      </w:r>
      <w:r>
        <w:t>de</w:t>
      </w:r>
      <w:r w:rsidRPr="002C4077">
        <w:t xml:space="preserve"> </w:t>
      </w:r>
      <w:r>
        <w:t>la</w:t>
      </w:r>
      <w:r w:rsidRPr="002C4077">
        <w:t xml:space="preserve"> </w:t>
      </w:r>
      <w:r>
        <w:t>publier</w:t>
      </w:r>
      <w:r w:rsidRPr="002C4077">
        <w:t xml:space="preserve"> </w:t>
      </w:r>
      <w:r>
        <w:t>dans</w:t>
      </w:r>
      <w:r w:rsidRPr="002C4077">
        <w:t xml:space="preserve"> </w:t>
      </w:r>
      <w:r>
        <w:t>le</w:t>
      </w:r>
      <w:r w:rsidRPr="002C4077">
        <w:t xml:space="preserve"> </w:t>
      </w:r>
      <w:r w:rsidRPr="000A34B5">
        <w:rPr>
          <w:rStyle w:val="italicus"/>
        </w:rPr>
        <w:t>Corpus</w:t>
      </w:r>
      <w:r w:rsidRPr="002C4077">
        <w:t xml:space="preserve"> </w:t>
      </w:r>
      <w:r w:rsidRPr="000A34B5">
        <w:rPr>
          <w:rStyle w:val="italicus"/>
        </w:rPr>
        <w:t>i</w:t>
      </w:r>
      <w:r w:rsidR="00033BCE">
        <w:rPr>
          <w:rStyle w:val="italicus"/>
        </w:rPr>
        <w:t>n</w:t>
      </w:r>
      <w:r w:rsidRPr="000A34B5">
        <w:rPr>
          <w:rStyle w:val="italicus"/>
        </w:rPr>
        <w:t>script</w:t>
      </w:r>
      <w:r w:rsidR="003B53FD" w:rsidRPr="000A34B5">
        <w:rPr>
          <w:rStyle w:val="italicus"/>
        </w:rPr>
        <w:t>i</w:t>
      </w:r>
      <w:r w:rsidR="003B53FD">
        <w:rPr>
          <w:rStyle w:val="italicus"/>
        </w:rPr>
        <w:t>ó</w:t>
      </w:r>
      <w:r w:rsidR="003B53FD" w:rsidRPr="000A34B5">
        <w:rPr>
          <w:rStyle w:val="italicus"/>
        </w:rPr>
        <w:t>num</w:t>
      </w:r>
      <w:r w:rsidRPr="002C4077">
        <w:t xml:space="preserve"> </w:t>
      </w:r>
      <w:r w:rsidRPr="000A34B5">
        <w:rPr>
          <w:rStyle w:val="italicus"/>
        </w:rPr>
        <w:t>semitic</w:t>
      </w:r>
      <w:r w:rsidR="00033BCE">
        <w:rPr>
          <w:rStyle w:val="italicus"/>
        </w:rPr>
        <w:t>á</w:t>
      </w:r>
      <w:r w:rsidRPr="000A34B5">
        <w:rPr>
          <w:rStyle w:val="italicus"/>
        </w:rPr>
        <w:t>rum</w:t>
      </w:r>
      <w:r w:rsidR="00033BCE">
        <w:rPr>
          <w:rStyle w:val="Appelnotedebasdep"/>
          <w:i/>
        </w:rPr>
        <w:footnoteReference w:id="212"/>
      </w:r>
      <w:r w:rsidR="00033BCE">
        <w:rPr>
          <w:rStyle w:val="italicus"/>
        </w:rPr>
        <w:t>,</w:t>
      </w:r>
      <w:r w:rsidR="00033BCE" w:rsidRPr="002C4077">
        <w:t xml:space="preserve"> </w:t>
      </w:r>
      <w:r>
        <w:t>de</w:t>
      </w:r>
      <w:r w:rsidRPr="002C4077">
        <w:t xml:space="preserve"> </w:t>
      </w:r>
      <w:r>
        <w:t>400</w:t>
      </w:r>
      <w:r w:rsidRPr="002C4077">
        <w:t xml:space="preserve"> </w:t>
      </w:r>
      <w:r>
        <w:t>à</w:t>
      </w:r>
      <w:r w:rsidRPr="002C4077">
        <w:t xml:space="preserve"> </w:t>
      </w:r>
      <w:r>
        <w:t>250</w:t>
      </w:r>
      <w:r w:rsidRPr="002C4077">
        <w:t xml:space="preserve"> </w:t>
      </w:r>
      <w:r>
        <w:t>ans</w:t>
      </w:r>
      <w:r w:rsidRPr="002C4077">
        <w:t xml:space="preserve"> </w:t>
      </w:r>
      <w:r>
        <w:t>avant</w:t>
      </w:r>
      <w:r w:rsidRPr="002C4077">
        <w:t xml:space="preserve"> </w:t>
      </w:r>
      <w:r w:rsidR="00425C50">
        <w:t>Jésus</w:t>
      </w:r>
      <w:r>
        <w:t>-</w:t>
      </w:r>
      <w:r w:rsidR="00425C50">
        <w:t>Christ</w:t>
      </w:r>
      <w:r>
        <w:t>.</w:t>
      </w:r>
      <w:r w:rsidR="00C45B47">
        <w:t xml:space="preserve"> {</w:t>
      </w:r>
      <w:r w:rsidR="000721C4">
        <w:t>72</w:t>
      </w:r>
      <w:bookmarkStart w:id="229" w:name="p072"/>
      <w:bookmarkEnd w:id="229"/>
      <w:r w:rsidR="000721C4">
        <w:t xml:space="preserve">} </w:t>
      </w:r>
      <w:r>
        <w:t>Nous</w:t>
      </w:r>
      <w:r w:rsidRPr="002C4077">
        <w:t xml:space="preserve"> </w:t>
      </w:r>
      <w:r>
        <w:t>lisons</w:t>
      </w:r>
      <w:r w:rsidRPr="002C4077">
        <w:t xml:space="preserve"> </w:t>
      </w:r>
      <w:r>
        <w:t>à</w:t>
      </w:r>
      <w:r w:rsidRPr="002C4077">
        <w:t xml:space="preserve"> </w:t>
      </w:r>
      <w:r>
        <w:t>la</w:t>
      </w:r>
      <w:r w:rsidRPr="002C4077">
        <w:t xml:space="preserve"> </w:t>
      </w:r>
      <w:r>
        <w:t>ligne</w:t>
      </w:r>
      <w:r w:rsidRPr="002C4077">
        <w:t xml:space="preserve"> </w:t>
      </w:r>
      <w:r>
        <w:t>3</w:t>
      </w:r>
      <w:r w:rsidRPr="002C4077">
        <w:t xml:space="preserve"> </w:t>
      </w:r>
      <w:r>
        <w:t>de</w:t>
      </w:r>
      <w:r w:rsidRPr="002C4077">
        <w:t xml:space="preserve"> </w:t>
      </w:r>
      <w:r>
        <w:t>la</w:t>
      </w:r>
      <w:r w:rsidRPr="002C4077">
        <w:t xml:space="preserve"> </w:t>
      </w:r>
      <w:r w:rsidRPr="00033BCE">
        <w:t>face</w:t>
      </w:r>
      <w:r w:rsidRPr="002C4077">
        <w:t xml:space="preserve"> </w:t>
      </w:r>
      <w:r w:rsidRPr="00033BCE">
        <w:t>postérieure</w:t>
      </w:r>
      <w:r w:rsidR="00B546AF" w:rsidRPr="00033BCE">
        <w:t> :</w:t>
      </w:r>
      <w:r w:rsidRPr="002C4077">
        <w:t xml:space="preserve"> </w:t>
      </w:r>
      <w:r w:rsidR="00B546AF" w:rsidRPr="00033BCE">
        <w:t>« </w:t>
      </w:r>
      <w:r w:rsidRPr="00033BCE">
        <w:t>Aux</w:t>
      </w:r>
      <w:r w:rsidRPr="002C4077">
        <w:t xml:space="preserve"> </w:t>
      </w:r>
      <w:r w:rsidRPr="00033BCE">
        <w:t>vierges</w:t>
      </w:r>
      <w:r w:rsidR="00033BCE" w:rsidRPr="004440EA">
        <w:t xml:space="preserve"> (</w:t>
      </w:r>
      <w:r w:rsidR="00033BCE" w:rsidRPr="00033BCE">
        <w:rPr>
          <w:rStyle w:val="italicus"/>
        </w:rPr>
        <w:t>῾</w:t>
      </w:r>
      <w:r w:rsidRPr="00033BCE">
        <w:rPr>
          <w:rStyle w:val="italicus"/>
        </w:rPr>
        <w:t>almôth</w:t>
      </w:r>
      <w:r w:rsidR="00B546AF" w:rsidRPr="002C4077">
        <w:t>)</w:t>
      </w:r>
      <w:r w:rsidRPr="00950016">
        <w:t>,</w:t>
      </w:r>
      <w:r w:rsidRPr="002C4077">
        <w:t xml:space="preserve"> </w:t>
      </w:r>
      <w:r>
        <w:rPr>
          <w:smallCaps/>
        </w:rPr>
        <w:t>XXII</w:t>
      </w:r>
      <w:r>
        <w:t>,</w:t>
      </w:r>
      <w:r w:rsidRPr="002C4077">
        <w:t xml:space="preserve"> </w:t>
      </w:r>
      <w:r>
        <w:t>pour</w:t>
      </w:r>
      <w:r w:rsidRPr="002C4077">
        <w:t xml:space="preserve"> </w:t>
      </w:r>
      <w:r>
        <w:t>les</w:t>
      </w:r>
      <w:r w:rsidRPr="002C4077">
        <w:t xml:space="preserve"> </w:t>
      </w:r>
      <w:r>
        <w:t>sacrifices</w:t>
      </w:r>
      <w:r w:rsidR="00B546AF">
        <w:t> »</w:t>
      </w:r>
      <w:r>
        <w:t>.</w:t>
      </w:r>
      <w:r w:rsidRPr="002C4077">
        <w:t xml:space="preserve"> </w:t>
      </w:r>
      <w:r>
        <w:t>Or</w:t>
      </w:r>
      <w:r w:rsidRPr="002C4077">
        <w:t xml:space="preserve"> </w:t>
      </w:r>
      <w:r>
        <w:t>c’est</w:t>
      </w:r>
      <w:r w:rsidRPr="002C4077">
        <w:t xml:space="preserve"> </w:t>
      </w:r>
      <w:r>
        <w:t>là</w:t>
      </w:r>
      <w:r w:rsidRPr="002C4077">
        <w:t xml:space="preserve"> </w:t>
      </w:r>
      <w:r>
        <w:t>précisément</w:t>
      </w:r>
      <w:r w:rsidRPr="002C4077">
        <w:t xml:space="preserve"> </w:t>
      </w:r>
      <w:r>
        <w:t>notre</w:t>
      </w:r>
      <w:r w:rsidRPr="002C4077">
        <w:t xml:space="preserve"> </w:t>
      </w:r>
      <w:r>
        <w:t>expression,</w:t>
      </w:r>
      <w:r w:rsidRPr="002C4077">
        <w:t xml:space="preserve"> </w:t>
      </w:r>
      <w:r>
        <w:t>et</w:t>
      </w:r>
      <w:r w:rsidRPr="002C4077">
        <w:t xml:space="preserve"> </w:t>
      </w:r>
      <w:r>
        <w:t>elle</w:t>
      </w:r>
      <w:r w:rsidRPr="002C4077">
        <w:t xml:space="preserve"> </w:t>
      </w:r>
      <w:r>
        <w:t>désigne</w:t>
      </w:r>
      <w:r w:rsidRPr="002C4077">
        <w:t xml:space="preserve"> </w:t>
      </w:r>
      <w:r>
        <w:t>les</w:t>
      </w:r>
      <w:r w:rsidRPr="002C4077">
        <w:t xml:space="preserve"> </w:t>
      </w:r>
      <w:r>
        <w:t>jeunes</w:t>
      </w:r>
      <w:r w:rsidRPr="002C4077">
        <w:t xml:space="preserve"> </w:t>
      </w:r>
      <w:r>
        <w:t>filles</w:t>
      </w:r>
      <w:r w:rsidRPr="002C4077">
        <w:t xml:space="preserve"> </w:t>
      </w:r>
      <w:r>
        <w:t>employées</w:t>
      </w:r>
      <w:r w:rsidRPr="002C4077">
        <w:t xml:space="preserve"> </w:t>
      </w:r>
      <w:r>
        <w:t>au</w:t>
      </w:r>
      <w:r w:rsidRPr="002C4077">
        <w:t xml:space="preserve"> </w:t>
      </w:r>
      <w:r>
        <w:t>service</w:t>
      </w:r>
      <w:r w:rsidRPr="002C4077">
        <w:t xml:space="preserve"> </w:t>
      </w:r>
      <w:r>
        <w:t>du</w:t>
      </w:r>
      <w:r w:rsidRPr="002C4077">
        <w:t xml:space="preserve"> </w:t>
      </w:r>
      <w:r>
        <w:t>temple.</w:t>
      </w:r>
      <w:r w:rsidRPr="002C4077">
        <w:t xml:space="preserve"> </w:t>
      </w:r>
    </w:p>
    <w:p w:rsidR="000A7AAB" w:rsidRDefault="000A7AAB" w:rsidP="000A7AAB">
      <w:r>
        <w:t>Au</w:t>
      </w:r>
      <w:r w:rsidRPr="002C4077">
        <w:t xml:space="preserve"> </w:t>
      </w:r>
      <w:r>
        <w:t>surplus,</w:t>
      </w:r>
      <w:r w:rsidRPr="002C4077">
        <w:t xml:space="preserve"> </w:t>
      </w:r>
      <w:r w:rsidR="0055004A">
        <w:rPr>
          <w:rStyle w:val="italicus"/>
        </w:rPr>
        <w:t>῾</w:t>
      </w:r>
      <w:r w:rsidRPr="000A34B5">
        <w:rPr>
          <w:rStyle w:val="italicus"/>
        </w:rPr>
        <w:t>élem</w:t>
      </w:r>
      <w:r w:rsidRPr="004440EA">
        <w:t xml:space="preserve"> </w:t>
      </w:r>
      <w:r w:rsidR="00033BCE" w:rsidRPr="004440EA">
        <w:t>(</w:t>
      </w:r>
      <w:r w:rsidR="00033BCE" w:rsidRPr="00E423CD">
        <w:rPr>
          <w:rtl/>
          <w:lang w:bidi="he-IL"/>
        </w:rPr>
        <w:t>עלם</w:t>
      </w:r>
      <w:r w:rsidR="00033BCE" w:rsidRPr="002C4077">
        <w:t>)</w:t>
      </w:r>
      <w:r w:rsidRPr="00950016">
        <w:t>,</w:t>
      </w:r>
      <w:r w:rsidRPr="002C4077">
        <w:t xml:space="preserve"> </w:t>
      </w:r>
      <w:r>
        <w:t>le</w:t>
      </w:r>
      <w:r w:rsidRPr="002C4077">
        <w:t xml:space="preserve"> </w:t>
      </w:r>
      <w:r>
        <w:t>masculin</w:t>
      </w:r>
      <w:r w:rsidRPr="002C4077">
        <w:t xml:space="preserve"> </w:t>
      </w:r>
      <w:r>
        <w:t>de</w:t>
      </w:r>
      <w:r w:rsidRPr="002C4077">
        <w:t xml:space="preserve"> </w:t>
      </w:r>
      <w:r w:rsidR="00D40830" w:rsidRPr="00D05EA9">
        <w:rPr>
          <w:rStyle w:val="italicus"/>
        </w:rPr>
        <w:t>῾almah</w:t>
      </w:r>
      <w:r w:rsidRPr="000A34B5">
        <w:rPr>
          <w:rStyle w:val="italicus"/>
        </w:rPr>
        <w:t>,</w:t>
      </w:r>
      <w:r w:rsidRPr="002C4077">
        <w:t xml:space="preserve"> </w:t>
      </w:r>
      <w:r>
        <w:t>ne</w:t>
      </w:r>
      <w:r w:rsidRPr="002C4077">
        <w:t xml:space="preserve"> </w:t>
      </w:r>
      <w:r>
        <w:t>désigne</w:t>
      </w:r>
      <w:r w:rsidRPr="002C4077">
        <w:t xml:space="preserve"> </w:t>
      </w:r>
      <w:r>
        <w:t>jamais</w:t>
      </w:r>
      <w:r w:rsidRPr="002C4077">
        <w:t xml:space="preserve"> </w:t>
      </w:r>
      <w:r>
        <w:t>un</w:t>
      </w:r>
      <w:r w:rsidRPr="002C4077">
        <w:t xml:space="preserve"> </w:t>
      </w:r>
      <w:r>
        <w:t>homme</w:t>
      </w:r>
      <w:r w:rsidRPr="002C4077">
        <w:t xml:space="preserve"> </w:t>
      </w:r>
      <w:r>
        <w:t>marié,</w:t>
      </w:r>
      <w:r w:rsidRPr="002C4077">
        <w:t xml:space="preserve"> </w:t>
      </w:r>
      <w:r>
        <w:t>mais,</w:t>
      </w:r>
      <w:r w:rsidRPr="002C4077">
        <w:t xml:space="preserve"> </w:t>
      </w:r>
      <w:r>
        <w:t>ou</w:t>
      </w:r>
      <w:r w:rsidRPr="002C4077">
        <w:t xml:space="preserve"> </w:t>
      </w:r>
      <w:r>
        <w:t>un</w:t>
      </w:r>
      <w:r w:rsidRPr="002C4077">
        <w:t xml:space="preserve"> </w:t>
      </w:r>
      <w:r>
        <w:t>enfant,</w:t>
      </w:r>
      <w:r w:rsidRPr="002C4077">
        <w:t xml:space="preserve"> </w:t>
      </w:r>
      <w:r>
        <w:t>ou</w:t>
      </w:r>
      <w:r w:rsidRPr="002C4077">
        <w:t xml:space="preserve"> </w:t>
      </w:r>
      <w:r>
        <w:t>un</w:t>
      </w:r>
      <w:r w:rsidRPr="002C4077">
        <w:t xml:space="preserve"> </w:t>
      </w:r>
      <w:r>
        <w:t>jeune</w:t>
      </w:r>
      <w:r w:rsidRPr="002C4077">
        <w:t xml:space="preserve"> </w:t>
      </w:r>
      <w:r>
        <w:t>homme</w:t>
      </w:r>
      <w:r w:rsidRPr="002C4077">
        <w:t xml:space="preserve"> </w:t>
      </w:r>
      <w:r>
        <w:t>qui</w:t>
      </w:r>
      <w:r w:rsidRPr="002C4077">
        <w:t xml:space="preserve"> </w:t>
      </w:r>
      <w:r w:rsidR="00425C50">
        <w:t>est</w:t>
      </w:r>
      <w:r w:rsidRPr="002C4077">
        <w:t xml:space="preserve"> </w:t>
      </w:r>
      <w:r>
        <w:t>encore</w:t>
      </w:r>
      <w:r w:rsidRPr="002C4077">
        <w:t xml:space="preserve"> </w:t>
      </w:r>
      <w:r>
        <w:t>en</w:t>
      </w:r>
      <w:r w:rsidRPr="002C4077">
        <w:t xml:space="preserve"> </w:t>
      </w:r>
      <w:bookmarkStart w:id="230" w:name="z_JuifsAlmah_o4"/>
      <w:bookmarkEnd w:id="230"/>
      <w:r>
        <w:t>croissance.</w:t>
      </w:r>
      <w:r w:rsidRPr="002C4077">
        <w:t xml:space="preserve"> </w:t>
      </w:r>
    </w:p>
    <w:p w:rsidR="000A7AAB" w:rsidRDefault="000A7AAB" w:rsidP="000A7AAB">
      <w:r>
        <w:t>Après</w:t>
      </w:r>
      <w:r w:rsidRPr="002C4077">
        <w:t xml:space="preserve"> </w:t>
      </w:r>
      <w:r>
        <w:t>tout</w:t>
      </w:r>
      <w:r w:rsidRPr="002C4077">
        <w:t xml:space="preserve"> </w:t>
      </w:r>
      <w:r>
        <w:t>cela,</w:t>
      </w:r>
      <w:r w:rsidRPr="002C4077">
        <w:t xml:space="preserve"> </w:t>
      </w:r>
      <w:r>
        <w:t>nous</w:t>
      </w:r>
      <w:r w:rsidRPr="002C4077">
        <w:t xml:space="preserve"> </w:t>
      </w:r>
      <w:r>
        <w:t>avons</w:t>
      </w:r>
      <w:r w:rsidRPr="002C4077">
        <w:t xml:space="preserve"> </w:t>
      </w:r>
      <w:r>
        <w:t>bien</w:t>
      </w:r>
      <w:r w:rsidRPr="002C4077">
        <w:t xml:space="preserve"> </w:t>
      </w:r>
      <w:r>
        <w:t>le</w:t>
      </w:r>
      <w:r w:rsidRPr="002C4077">
        <w:t xml:space="preserve"> </w:t>
      </w:r>
      <w:r>
        <w:t>droit</w:t>
      </w:r>
      <w:r w:rsidRPr="002C4077">
        <w:t xml:space="preserve"> </w:t>
      </w:r>
      <w:r>
        <w:t>de</w:t>
      </w:r>
      <w:r w:rsidRPr="002C4077">
        <w:t xml:space="preserve"> </w:t>
      </w:r>
      <w:r>
        <w:t>conclure</w:t>
      </w:r>
      <w:r w:rsidRPr="002C4077">
        <w:t xml:space="preserve"> </w:t>
      </w:r>
      <w:r>
        <w:t>avec</w:t>
      </w:r>
      <w:r w:rsidRPr="002C4077">
        <w:t xml:space="preserve"> </w:t>
      </w:r>
      <w:r>
        <w:t>Bossuet</w:t>
      </w:r>
      <w:bookmarkStart w:id="231" w:name="z_Bossuet_o4"/>
      <w:bookmarkEnd w:id="231"/>
      <w:r w:rsidR="00B546AF">
        <w:t> :</w:t>
      </w:r>
      <w:r w:rsidRPr="002C4077">
        <w:t xml:space="preserve"> </w:t>
      </w:r>
      <w:r w:rsidR="00B546AF">
        <w:t>« </w:t>
      </w:r>
      <w:r w:rsidR="00D40830" w:rsidRPr="00D05EA9">
        <w:rPr>
          <w:rStyle w:val="italicus"/>
        </w:rPr>
        <w:t>῾almah</w:t>
      </w:r>
      <w:r w:rsidRPr="002C4077">
        <w:t xml:space="preserve"> </w:t>
      </w:r>
      <w:r>
        <w:t>signifie</w:t>
      </w:r>
      <w:r w:rsidRPr="002C4077">
        <w:t xml:space="preserve"> </w:t>
      </w:r>
      <w:r>
        <w:t>dans</w:t>
      </w:r>
      <w:r w:rsidRPr="002C4077">
        <w:t xml:space="preserve"> </w:t>
      </w:r>
      <w:r>
        <w:t>son</w:t>
      </w:r>
      <w:r w:rsidRPr="002C4077">
        <w:t xml:space="preserve"> </w:t>
      </w:r>
      <w:r>
        <w:t>origine</w:t>
      </w:r>
      <w:r w:rsidR="00B546AF">
        <w:t> :</w:t>
      </w:r>
      <w:r w:rsidRPr="002C4077">
        <w:t xml:space="preserve"> </w:t>
      </w:r>
      <w:r w:rsidRPr="000A34B5">
        <w:rPr>
          <w:rStyle w:val="italicus"/>
        </w:rPr>
        <w:t>cachée,</w:t>
      </w:r>
      <w:r w:rsidRPr="002C4077">
        <w:t xml:space="preserve"> </w:t>
      </w:r>
      <w:r w:rsidRPr="000A34B5">
        <w:rPr>
          <w:rStyle w:val="italicus"/>
        </w:rPr>
        <w:t>renfermée,</w:t>
      </w:r>
      <w:r w:rsidRPr="002C4077">
        <w:t xml:space="preserve"> </w:t>
      </w:r>
      <w:r>
        <w:t>c’est-à-dire</w:t>
      </w:r>
      <w:r w:rsidRPr="002C4077">
        <w:t xml:space="preserve"> </w:t>
      </w:r>
      <w:r>
        <w:t>une</w:t>
      </w:r>
      <w:r w:rsidRPr="002C4077">
        <w:t xml:space="preserve"> </w:t>
      </w:r>
      <w:r>
        <w:t>fille</w:t>
      </w:r>
      <w:r w:rsidRPr="002C4077">
        <w:t xml:space="preserve"> </w:t>
      </w:r>
      <w:r>
        <w:t>comme</w:t>
      </w:r>
      <w:r w:rsidRPr="002C4077">
        <w:t xml:space="preserve"> </w:t>
      </w:r>
      <w:r>
        <w:t>recluse</w:t>
      </w:r>
      <w:r w:rsidRPr="002C4077">
        <w:t xml:space="preserve"> </w:t>
      </w:r>
      <w:r>
        <w:t>et</w:t>
      </w:r>
      <w:r w:rsidRPr="002C4077">
        <w:t xml:space="preserve"> </w:t>
      </w:r>
      <w:r>
        <w:t>inaccessible,</w:t>
      </w:r>
      <w:r w:rsidRPr="002C4077">
        <w:t xml:space="preserve"> </w:t>
      </w:r>
      <w:r>
        <w:t>à</w:t>
      </w:r>
      <w:r w:rsidRPr="002C4077">
        <w:t xml:space="preserve"> </w:t>
      </w:r>
      <w:r>
        <w:t>la</w:t>
      </w:r>
      <w:r w:rsidRPr="002C4077">
        <w:t xml:space="preserve"> </w:t>
      </w:r>
      <w:r>
        <w:t>manière</w:t>
      </w:r>
      <w:r w:rsidRPr="002C4077">
        <w:t xml:space="preserve"> </w:t>
      </w:r>
      <w:r>
        <w:t>d’une</w:t>
      </w:r>
      <w:r w:rsidRPr="002C4077">
        <w:t xml:space="preserve"> </w:t>
      </w:r>
      <w:r>
        <w:t>chose</w:t>
      </w:r>
      <w:r w:rsidRPr="002C4077">
        <w:t xml:space="preserve"> </w:t>
      </w:r>
      <w:r>
        <w:t>sacrée</w:t>
      </w:r>
      <w:r w:rsidRPr="002C4077">
        <w:t xml:space="preserve"> </w:t>
      </w:r>
      <w:r>
        <w:t>dont</w:t>
      </w:r>
      <w:r w:rsidRPr="002C4077">
        <w:t xml:space="preserve"> </w:t>
      </w:r>
      <w:r>
        <w:t>il</w:t>
      </w:r>
      <w:r w:rsidRPr="002C4077">
        <w:t xml:space="preserve"> </w:t>
      </w:r>
      <w:r>
        <w:t>n’est</w:t>
      </w:r>
      <w:r w:rsidRPr="002C4077">
        <w:t xml:space="preserve"> </w:t>
      </w:r>
      <w:r>
        <w:t>pas</w:t>
      </w:r>
      <w:r w:rsidRPr="002C4077">
        <w:t xml:space="preserve"> </w:t>
      </w:r>
      <w:r>
        <w:t>permis</w:t>
      </w:r>
      <w:r w:rsidRPr="002C4077">
        <w:t xml:space="preserve"> </w:t>
      </w:r>
      <w:r>
        <w:t>d’approcher</w:t>
      </w:r>
      <w:r w:rsidR="00B91AF7">
        <w:rPr>
          <w:rStyle w:val="Appelnotedebasdep"/>
        </w:rPr>
        <w:footnoteReference w:id="213"/>
      </w:r>
      <w:r w:rsidR="00B546AF">
        <w:t> »</w:t>
      </w:r>
      <w:r>
        <w:t>.</w:t>
      </w:r>
      <w:r w:rsidRPr="002C4077">
        <w:t xml:space="preserve"> </w:t>
      </w:r>
      <w:r>
        <w:t>Et</w:t>
      </w:r>
      <w:r w:rsidRPr="002C4077">
        <w:t xml:space="preserve"> </w:t>
      </w:r>
      <w:r>
        <w:t>encore</w:t>
      </w:r>
      <w:r w:rsidR="00B546AF">
        <w:t> :</w:t>
      </w:r>
      <w:r w:rsidRPr="002C4077">
        <w:t xml:space="preserve"> </w:t>
      </w:r>
      <w:r w:rsidR="00B546AF">
        <w:t>« </w:t>
      </w:r>
      <w:r>
        <w:t>Le</w:t>
      </w:r>
      <w:r w:rsidRPr="002C4077">
        <w:t xml:space="preserve"> </w:t>
      </w:r>
      <w:r>
        <w:t>dessein</w:t>
      </w:r>
      <w:r w:rsidRPr="002C4077">
        <w:t xml:space="preserve"> </w:t>
      </w:r>
      <w:r>
        <w:t>d’Isaïe</w:t>
      </w:r>
      <w:r w:rsidRPr="002C4077">
        <w:t xml:space="preserve"> </w:t>
      </w:r>
      <w:r w:rsidR="00425C50">
        <w:t>est</w:t>
      </w:r>
      <w:r w:rsidRPr="002C4077">
        <w:t xml:space="preserve"> </w:t>
      </w:r>
      <w:r>
        <w:t>de</w:t>
      </w:r>
      <w:r w:rsidRPr="002C4077">
        <w:t xml:space="preserve"> </w:t>
      </w:r>
      <w:r>
        <w:t>marquer,</w:t>
      </w:r>
      <w:r w:rsidRPr="002C4077">
        <w:t xml:space="preserve"> </w:t>
      </w:r>
      <w:r>
        <w:t>par</w:t>
      </w:r>
      <w:r w:rsidRPr="002C4077">
        <w:t xml:space="preserve"> </w:t>
      </w:r>
      <w:r>
        <w:t>la</w:t>
      </w:r>
      <w:r w:rsidRPr="002C4077">
        <w:t xml:space="preserve"> </w:t>
      </w:r>
      <w:r>
        <w:t>propriété</w:t>
      </w:r>
      <w:r w:rsidRPr="002C4077">
        <w:t xml:space="preserve"> </w:t>
      </w:r>
      <w:r>
        <w:t>du</w:t>
      </w:r>
      <w:r w:rsidRPr="002C4077">
        <w:t xml:space="preserve"> </w:t>
      </w:r>
      <w:r>
        <w:t>terme</w:t>
      </w:r>
      <w:r w:rsidRPr="002C4077">
        <w:t xml:space="preserve"> </w:t>
      </w:r>
      <w:r>
        <w:t>dont</w:t>
      </w:r>
      <w:r w:rsidRPr="002C4077">
        <w:t xml:space="preserve"> </w:t>
      </w:r>
      <w:r>
        <w:t>il</w:t>
      </w:r>
      <w:r w:rsidRPr="002C4077">
        <w:t xml:space="preserve"> </w:t>
      </w:r>
      <w:r>
        <w:t>se</w:t>
      </w:r>
      <w:r w:rsidRPr="002C4077">
        <w:t xml:space="preserve"> </w:t>
      </w:r>
      <w:r>
        <w:t>sert,</w:t>
      </w:r>
      <w:r w:rsidRPr="002C4077">
        <w:t xml:space="preserve"> </w:t>
      </w:r>
      <w:r>
        <w:t>qu’un</w:t>
      </w:r>
      <w:r w:rsidRPr="002C4077">
        <w:t xml:space="preserve"> </w:t>
      </w:r>
      <w:r>
        <w:t>des</w:t>
      </w:r>
      <w:r w:rsidRPr="002C4077">
        <w:t xml:space="preserve"> </w:t>
      </w:r>
      <w:r>
        <w:t>caractères</w:t>
      </w:r>
      <w:r w:rsidRPr="002C4077">
        <w:t xml:space="preserve"> </w:t>
      </w:r>
      <w:r>
        <w:t>du</w:t>
      </w:r>
      <w:r w:rsidRPr="002C4077">
        <w:t xml:space="preserve"> </w:t>
      </w:r>
      <w:r>
        <w:t>Messie</w:t>
      </w:r>
      <w:r w:rsidRPr="002C4077">
        <w:t xml:space="preserve"> </w:t>
      </w:r>
      <w:r>
        <w:t>c’est</w:t>
      </w:r>
      <w:r w:rsidRPr="002C4077">
        <w:t xml:space="preserve"> </w:t>
      </w:r>
      <w:r>
        <w:t>d’être</w:t>
      </w:r>
      <w:r w:rsidRPr="002C4077">
        <w:t xml:space="preserve"> </w:t>
      </w:r>
      <w:r>
        <w:t>fils</w:t>
      </w:r>
      <w:r w:rsidRPr="002C4077">
        <w:t xml:space="preserve"> </w:t>
      </w:r>
      <w:r>
        <w:t>d’une</w:t>
      </w:r>
      <w:r w:rsidRPr="002C4077">
        <w:t xml:space="preserve"> </w:t>
      </w:r>
      <w:r>
        <w:t>vierge</w:t>
      </w:r>
      <w:r w:rsidR="00B91AF7">
        <w:rPr>
          <w:rStyle w:val="Appelnotedebasdep"/>
        </w:rPr>
        <w:footnoteReference w:id="214"/>
      </w:r>
      <w:r w:rsidR="00B546AF">
        <w:t> »</w:t>
      </w:r>
      <w:r>
        <w:t>.</w:t>
      </w:r>
      <w:r w:rsidRPr="002C4077">
        <w:t xml:space="preserve"> </w:t>
      </w:r>
      <w:r>
        <w:t>Qu’on</w:t>
      </w:r>
      <w:r w:rsidRPr="002C4077">
        <w:t xml:space="preserve"> </w:t>
      </w:r>
      <w:r>
        <w:t>ne</w:t>
      </w:r>
      <w:r w:rsidRPr="002C4077">
        <w:t xml:space="preserve"> </w:t>
      </w:r>
      <w:r>
        <w:t>vienne</w:t>
      </w:r>
      <w:r w:rsidRPr="002C4077">
        <w:t xml:space="preserve"> </w:t>
      </w:r>
      <w:r>
        <w:t>donc</w:t>
      </w:r>
      <w:r w:rsidRPr="002C4077">
        <w:t xml:space="preserve"> </w:t>
      </w:r>
      <w:r>
        <w:t>plus</w:t>
      </w:r>
      <w:r w:rsidRPr="002C4077">
        <w:t xml:space="preserve"> </w:t>
      </w:r>
      <w:r>
        <w:t>nous</w:t>
      </w:r>
      <w:r w:rsidRPr="002C4077">
        <w:t xml:space="preserve"> </w:t>
      </w:r>
      <w:r>
        <w:t>dire,</w:t>
      </w:r>
      <w:r w:rsidRPr="002C4077">
        <w:t xml:space="preserve"> </w:t>
      </w:r>
      <w:r>
        <w:t>comme</w:t>
      </w:r>
      <w:r w:rsidRPr="002C4077">
        <w:t xml:space="preserve"> </w:t>
      </w:r>
      <w:r>
        <w:t>le</w:t>
      </w:r>
      <w:r w:rsidRPr="002C4077">
        <w:t xml:space="preserve"> </w:t>
      </w:r>
      <w:r>
        <w:t>fait</w:t>
      </w:r>
      <w:r w:rsidRPr="002C4077">
        <w:t xml:space="preserve"> </w:t>
      </w:r>
      <w:r>
        <w:t>Anger</w:t>
      </w:r>
      <w:r w:rsidRPr="002C4077">
        <w:t xml:space="preserve"> </w:t>
      </w:r>
      <w:r>
        <w:t>d’une</w:t>
      </w:r>
      <w:r w:rsidRPr="002C4077">
        <w:t xml:space="preserve"> </w:t>
      </w:r>
      <w:r>
        <w:t>manière</w:t>
      </w:r>
      <w:r w:rsidRPr="002C4077">
        <w:t xml:space="preserve"> </w:t>
      </w:r>
      <w:r>
        <w:t>toute</w:t>
      </w:r>
      <w:r w:rsidRPr="002C4077">
        <w:t xml:space="preserve"> </w:t>
      </w:r>
      <w:r>
        <w:t>déraisonnable,</w:t>
      </w:r>
      <w:r w:rsidRPr="002C4077">
        <w:t xml:space="preserve"> </w:t>
      </w:r>
      <w:r>
        <w:t>que,</w:t>
      </w:r>
      <w:r w:rsidRPr="002C4077">
        <w:t xml:space="preserve"> </w:t>
      </w:r>
      <w:r w:rsidR="00B546AF">
        <w:t>« </w:t>
      </w:r>
      <w:r>
        <w:t>si</w:t>
      </w:r>
      <w:r w:rsidRPr="002C4077">
        <w:t xml:space="preserve"> </w:t>
      </w:r>
      <w:r>
        <w:t>le</w:t>
      </w:r>
      <w:r w:rsidRPr="002C4077">
        <w:t xml:space="preserve"> </w:t>
      </w:r>
      <w:r>
        <w:t>prophète</w:t>
      </w:r>
      <w:r w:rsidRPr="002C4077">
        <w:t xml:space="preserve"> </w:t>
      </w:r>
      <w:r>
        <w:t>eût</w:t>
      </w:r>
      <w:r w:rsidRPr="002C4077">
        <w:t xml:space="preserve"> </w:t>
      </w:r>
      <w:r>
        <w:t>pensé</w:t>
      </w:r>
      <w:r w:rsidRPr="002C4077">
        <w:t xml:space="preserve"> </w:t>
      </w:r>
      <w:r>
        <w:t>à</w:t>
      </w:r>
      <w:r w:rsidRPr="002C4077">
        <w:t xml:space="preserve"> </w:t>
      </w:r>
      <w:r>
        <w:t>une</w:t>
      </w:r>
      <w:r w:rsidRPr="002C4077">
        <w:t xml:space="preserve"> </w:t>
      </w:r>
      <w:r>
        <w:t>vierge</w:t>
      </w:r>
      <w:r w:rsidRPr="002C4077">
        <w:t xml:space="preserve"> </w:t>
      </w:r>
      <w:r>
        <w:t>dans</w:t>
      </w:r>
      <w:r w:rsidRPr="002C4077">
        <w:t xml:space="preserve"> </w:t>
      </w:r>
      <w:r>
        <w:t>le</w:t>
      </w:r>
      <w:r w:rsidRPr="002C4077">
        <w:t xml:space="preserve"> </w:t>
      </w:r>
      <w:r>
        <w:t>sens</w:t>
      </w:r>
      <w:r w:rsidRPr="002C4077">
        <w:t xml:space="preserve"> </w:t>
      </w:r>
      <w:r>
        <w:t>strict,</w:t>
      </w:r>
      <w:r w:rsidRPr="002C4077">
        <w:t xml:space="preserve"> </w:t>
      </w:r>
      <w:r>
        <w:t>il</w:t>
      </w:r>
      <w:r w:rsidRPr="002C4077">
        <w:t xml:space="preserve"> </w:t>
      </w:r>
      <w:r>
        <w:t>aurait</w:t>
      </w:r>
      <w:r w:rsidRPr="002C4077">
        <w:t xml:space="preserve"> </w:t>
      </w:r>
      <w:r>
        <w:t>dû</w:t>
      </w:r>
      <w:r w:rsidRPr="002C4077">
        <w:t xml:space="preserve"> </w:t>
      </w:r>
      <w:r>
        <w:t>la</w:t>
      </w:r>
      <w:r w:rsidRPr="002C4077">
        <w:t xml:space="preserve"> </w:t>
      </w:r>
      <w:r>
        <w:t>désigner</w:t>
      </w:r>
      <w:r w:rsidRPr="002C4077">
        <w:t xml:space="preserve"> </w:t>
      </w:r>
      <w:r>
        <w:t>par</w:t>
      </w:r>
      <w:r w:rsidRPr="002C4077">
        <w:t xml:space="preserve"> </w:t>
      </w:r>
      <w:r>
        <w:t>le</w:t>
      </w:r>
      <w:r w:rsidRPr="002C4077">
        <w:t xml:space="preserve"> </w:t>
      </w:r>
      <w:r>
        <w:t>mot</w:t>
      </w:r>
      <w:r w:rsidRPr="002C4077">
        <w:t xml:space="preserve"> </w:t>
      </w:r>
      <w:r w:rsidR="00AA6E8D" w:rsidRPr="00AA6E8D">
        <w:rPr>
          <w:rtl/>
          <w:lang w:bidi="he-IL"/>
        </w:rPr>
        <w:t>בתולה</w:t>
      </w:r>
      <w:r w:rsidR="00AA6E8D" w:rsidRPr="004440EA">
        <w:t xml:space="preserve"> </w:t>
      </w:r>
      <w:r w:rsidRPr="004440EA">
        <w:t>(</w:t>
      </w:r>
      <w:r w:rsidRPr="000A34B5">
        <w:rPr>
          <w:rStyle w:val="italicus"/>
        </w:rPr>
        <w:t>bethoulah</w:t>
      </w:r>
      <w:bookmarkStart w:id="232" w:name="z_Bethoulah_o1"/>
      <w:bookmarkEnd w:id="232"/>
      <w:r w:rsidR="00B546AF" w:rsidRPr="002C4077">
        <w:t>)</w:t>
      </w:r>
      <w:r w:rsidRPr="00950016">
        <w:t>,</w:t>
      </w:r>
      <w:r w:rsidRPr="002C4077">
        <w:t xml:space="preserve"> </w:t>
      </w:r>
      <w:r>
        <w:t>pour</w:t>
      </w:r>
      <w:r w:rsidRPr="002C4077">
        <w:t xml:space="preserve"> </w:t>
      </w:r>
      <w:r>
        <w:t>appeler</w:t>
      </w:r>
      <w:r w:rsidRPr="002C4077">
        <w:t xml:space="preserve"> </w:t>
      </w:r>
      <w:r>
        <w:t>l’attention</w:t>
      </w:r>
      <w:r w:rsidRPr="002C4077">
        <w:t xml:space="preserve"> </w:t>
      </w:r>
      <w:r>
        <w:t>sur</w:t>
      </w:r>
      <w:r w:rsidRPr="002C4077">
        <w:t xml:space="preserve"> </w:t>
      </w:r>
      <w:r>
        <w:t>le</w:t>
      </w:r>
      <w:r w:rsidRPr="002C4077">
        <w:t xml:space="preserve"> </w:t>
      </w:r>
      <w:r>
        <w:t>miracle</w:t>
      </w:r>
      <w:r w:rsidR="00B91AF7">
        <w:rPr>
          <w:rStyle w:val="Appelnotedebasdep"/>
        </w:rPr>
        <w:footnoteReference w:id="215"/>
      </w:r>
      <w:r w:rsidR="00B546AF">
        <w:t> »</w:t>
      </w:r>
      <w:r>
        <w:t>.</w:t>
      </w:r>
      <w:r w:rsidRPr="002C4077">
        <w:t xml:space="preserve"> </w:t>
      </w:r>
      <w:r>
        <w:t>Nous</w:t>
      </w:r>
      <w:r w:rsidRPr="002C4077">
        <w:t xml:space="preserve"> </w:t>
      </w:r>
      <w:r>
        <w:t>répondrions</w:t>
      </w:r>
      <w:r w:rsidRPr="002C4077">
        <w:t xml:space="preserve"> </w:t>
      </w:r>
      <w:r>
        <w:t>avec</w:t>
      </w:r>
      <w:r w:rsidRPr="002C4077">
        <w:t xml:space="preserve"> </w:t>
      </w:r>
      <w:r>
        <w:t>Lightfoot</w:t>
      </w:r>
      <w:r w:rsidRPr="002C4077">
        <w:t xml:space="preserve"> </w:t>
      </w:r>
      <w:r w:rsidR="00B546AF">
        <w:t>« </w:t>
      </w:r>
      <w:r>
        <w:t>très</w:t>
      </w:r>
      <w:r w:rsidRPr="002C4077">
        <w:t xml:space="preserve"> </w:t>
      </w:r>
      <w:r>
        <w:t>esse</w:t>
      </w:r>
      <w:r w:rsidRPr="002C4077">
        <w:t xml:space="preserve"> </w:t>
      </w:r>
      <w:r>
        <w:t>voces</w:t>
      </w:r>
      <w:r w:rsidRPr="002C4077">
        <w:t xml:space="preserve"> </w:t>
      </w:r>
      <w:r>
        <w:t>hebr</w:t>
      </w:r>
      <w:r w:rsidR="00AA6E8D">
        <w:t>á</w:t>
      </w:r>
      <w:r>
        <w:t>icas</w:t>
      </w:r>
      <w:r w:rsidRPr="002C4077">
        <w:t xml:space="preserve"> </w:t>
      </w:r>
      <w:r>
        <w:t>quæ</w:t>
      </w:r>
      <w:r w:rsidRPr="002C4077">
        <w:t xml:space="preserve"> </w:t>
      </w:r>
      <w:r>
        <w:t>virgi</w:t>
      </w:r>
      <w:r w:rsidR="003B53FD">
        <w:t>nitátem</w:t>
      </w:r>
      <w:r w:rsidRPr="002C4077">
        <w:t xml:space="preserve"> </w:t>
      </w:r>
      <w:r w:rsidR="00AA6E8D">
        <w:t>signíficant</w:t>
      </w:r>
      <w:r w:rsidR="00B546AF">
        <w:t> ;</w:t>
      </w:r>
      <w:r w:rsidRPr="002C4077">
        <w:t xml:space="preserve"> </w:t>
      </w:r>
      <w:r>
        <w:t>hanc</w:t>
      </w:r>
      <w:r w:rsidRPr="002C4077">
        <w:t xml:space="preserve"> </w:t>
      </w:r>
      <w:r>
        <w:t>vero</w:t>
      </w:r>
      <w:r w:rsidRPr="004440EA">
        <w:t xml:space="preserve"> (</w:t>
      </w:r>
      <w:r>
        <w:t>scil.</w:t>
      </w:r>
      <w:r w:rsidRPr="002C4077">
        <w:t xml:space="preserve"> </w:t>
      </w:r>
      <w:r w:rsidR="00D40830" w:rsidRPr="00D05EA9">
        <w:rPr>
          <w:rStyle w:val="italicus"/>
        </w:rPr>
        <w:t>῾almah</w:t>
      </w:r>
      <w:r w:rsidR="00B546AF" w:rsidRPr="002C4077">
        <w:t>)</w:t>
      </w:r>
      <w:r w:rsidRPr="002C4077">
        <w:t xml:space="preserve"> </w:t>
      </w:r>
      <w:r>
        <w:t>maxime</w:t>
      </w:r>
      <w:r w:rsidRPr="002C4077">
        <w:t xml:space="preserve"> </w:t>
      </w:r>
      <w:r w:rsidR="00AA6E8D">
        <w:t>próprie</w:t>
      </w:r>
      <w:r w:rsidRPr="002C4077">
        <w:t xml:space="preserve"> </w:t>
      </w:r>
      <w:r>
        <w:t>ita</w:t>
      </w:r>
      <w:r w:rsidRPr="002C4077">
        <w:t xml:space="preserve"> </w:t>
      </w:r>
      <w:r>
        <w:t>signi</w:t>
      </w:r>
      <w:r w:rsidR="003B53FD">
        <w:t>ficáre</w:t>
      </w:r>
      <w:r>
        <w:t>.</w:t>
      </w:r>
      <w:r w:rsidRPr="002C4077">
        <w:t xml:space="preserve"> </w:t>
      </w:r>
      <w:r>
        <w:t>Nam</w:t>
      </w:r>
      <w:r w:rsidRPr="002C4077">
        <w:t xml:space="preserve"> </w:t>
      </w:r>
      <w:r>
        <w:t>1°</w:t>
      </w:r>
      <w:r w:rsidRPr="002C4077">
        <w:t xml:space="preserve"> </w:t>
      </w:r>
      <w:r w:rsidR="00AA6E8D" w:rsidRPr="00F97502">
        <w:rPr>
          <w:rtl/>
          <w:lang w:bidi="he-IL"/>
        </w:rPr>
        <w:t>נערה</w:t>
      </w:r>
      <w:r w:rsidR="00AA6E8D" w:rsidRPr="004440EA">
        <w:t xml:space="preserve"> </w:t>
      </w:r>
      <w:r w:rsidRPr="004440EA">
        <w:t>(</w:t>
      </w:r>
      <w:r w:rsidR="00AA6E8D" w:rsidRPr="000A34B5">
        <w:rPr>
          <w:rStyle w:val="italicus"/>
        </w:rPr>
        <w:t>na</w:t>
      </w:r>
      <w:r w:rsidR="00AA6E8D">
        <w:rPr>
          <w:rStyle w:val="italicus"/>
        </w:rPr>
        <w:t>῾</w:t>
      </w:r>
      <w:r w:rsidR="00AA6E8D" w:rsidRPr="000A34B5">
        <w:rPr>
          <w:rStyle w:val="italicus"/>
        </w:rPr>
        <w:t>arah</w:t>
      </w:r>
      <w:bookmarkStart w:id="233" w:name="z_Naarah_o1"/>
      <w:bookmarkEnd w:id="233"/>
      <w:r w:rsidR="00B546AF" w:rsidRPr="002C4077">
        <w:t>)</w:t>
      </w:r>
      <w:r w:rsidRPr="002C4077">
        <w:t xml:space="preserve"> </w:t>
      </w:r>
      <w:r>
        <w:t>v</w:t>
      </w:r>
      <w:r w:rsidR="003B53FD">
        <w:t>írginem</w:t>
      </w:r>
      <w:r w:rsidRPr="002C4077">
        <w:t xml:space="preserve"> </w:t>
      </w:r>
      <w:r>
        <w:t>quidem</w:t>
      </w:r>
      <w:r w:rsidRPr="002C4077">
        <w:t xml:space="preserve"> </w:t>
      </w:r>
      <w:r>
        <w:t>dénotât,</w:t>
      </w:r>
      <w:r w:rsidRPr="002C4077">
        <w:t xml:space="preserve"> </w:t>
      </w:r>
      <w:r>
        <w:t>sed</w:t>
      </w:r>
      <w:r w:rsidRPr="002C4077">
        <w:t xml:space="preserve"> </w:t>
      </w:r>
      <w:r>
        <w:t>non</w:t>
      </w:r>
      <w:r w:rsidRPr="002C4077">
        <w:t xml:space="preserve"> </w:t>
      </w:r>
      <w:r>
        <w:t>semper.</w:t>
      </w:r>
      <w:r w:rsidRPr="002C4077">
        <w:t xml:space="preserve"> </w:t>
      </w:r>
      <w:r w:rsidR="00AA6E8D">
        <w:t>Próprie</w:t>
      </w:r>
      <w:r w:rsidRPr="002C4077">
        <w:t xml:space="preserve"> </w:t>
      </w:r>
      <w:r w:rsidR="00AA6E8D">
        <w:t>adolescéntulam</w:t>
      </w:r>
      <w:r w:rsidRPr="002C4077">
        <w:t xml:space="preserve"> </w:t>
      </w:r>
      <w:r>
        <w:t>valet,</w:t>
      </w:r>
      <w:r w:rsidRPr="002C4077">
        <w:t xml:space="preserve"> </w:t>
      </w:r>
      <w:r>
        <w:t>sive</w:t>
      </w:r>
      <w:r w:rsidRPr="002C4077">
        <w:t xml:space="preserve"> </w:t>
      </w:r>
      <w:r>
        <w:t>virgo</w:t>
      </w:r>
      <w:r w:rsidRPr="002C4077">
        <w:t xml:space="preserve"> </w:t>
      </w:r>
      <w:r>
        <w:t>f</w:t>
      </w:r>
      <w:r w:rsidR="003B53FD">
        <w:t>úerit</w:t>
      </w:r>
      <w:r>
        <w:t>,</w:t>
      </w:r>
      <w:r w:rsidRPr="002C4077">
        <w:t xml:space="preserve"> </w:t>
      </w:r>
      <w:r>
        <w:t>sive</w:t>
      </w:r>
      <w:r w:rsidRPr="002C4077">
        <w:t xml:space="preserve"> </w:t>
      </w:r>
      <w:r>
        <w:t>virum</w:t>
      </w:r>
      <w:r w:rsidRPr="002C4077">
        <w:t xml:space="preserve"> </w:t>
      </w:r>
      <w:r>
        <w:t>n</w:t>
      </w:r>
      <w:r w:rsidR="003B53FD">
        <w:t>óverit</w:t>
      </w:r>
      <w:r>
        <w:t>.</w:t>
      </w:r>
      <w:r w:rsidRPr="002C4077">
        <w:t xml:space="preserve"> </w:t>
      </w:r>
      <w:r>
        <w:t>2°</w:t>
      </w:r>
      <w:r w:rsidRPr="002C4077">
        <w:t xml:space="preserve"> </w:t>
      </w:r>
      <w:r w:rsidR="00AA6E8D" w:rsidRPr="00AA6E8D">
        <w:rPr>
          <w:rtl/>
          <w:lang w:bidi="he-IL"/>
        </w:rPr>
        <w:t>בתולה</w:t>
      </w:r>
      <w:r w:rsidR="00AA6E8D" w:rsidRPr="004440EA">
        <w:t xml:space="preserve"> </w:t>
      </w:r>
      <w:r w:rsidRPr="004440EA">
        <w:t>(</w:t>
      </w:r>
      <w:r w:rsidRPr="000A34B5">
        <w:rPr>
          <w:rStyle w:val="italicus"/>
        </w:rPr>
        <w:t>bethoulah</w:t>
      </w:r>
      <w:r w:rsidR="00B546AF" w:rsidRPr="002C4077">
        <w:t>)</w:t>
      </w:r>
      <w:r w:rsidRPr="002C4077">
        <w:t xml:space="preserve"> </w:t>
      </w:r>
      <w:r>
        <w:t>usit</w:t>
      </w:r>
      <w:r w:rsidR="001730C6">
        <w:t>at</w:t>
      </w:r>
      <w:r w:rsidR="003B53FD">
        <w:t>íssime</w:t>
      </w:r>
      <w:r w:rsidRPr="002C4077">
        <w:t xml:space="preserve"> </w:t>
      </w:r>
      <w:r>
        <w:t>v</w:t>
      </w:r>
      <w:r w:rsidR="003B53FD">
        <w:t>írginem</w:t>
      </w:r>
      <w:r w:rsidRPr="002C4077">
        <w:t xml:space="preserve"> </w:t>
      </w:r>
      <w:r w:rsidR="00AA6E8D">
        <w:t>índicat</w:t>
      </w:r>
      <w:r>
        <w:t>…</w:t>
      </w:r>
      <w:r w:rsidRPr="002C4077">
        <w:t xml:space="preserve"> </w:t>
      </w:r>
      <w:r>
        <w:t>3°</w:t>
      </w:r>
      <w:r w:rsidRPr="002C4077">
        <w:t xml:space="preserve"> </w:t>
      </w:r>
      <w:r w:rsidRPr="00AA6E8D">
        <w:t>vero</w:t>
      </w:r>
      <w:r w:rsidR="00AA6E8D" w:rsidRPr="002C4077">
        <w:t xml:space="preserve"> </w:t>
      </w:r>
      <w:r w:rsidR="00AA6E8D" w:rsidRPr="00F97502">
        <w:rPr>
          <w:rtl/>
          <w:lang w:bidi="he-IL"/>
        </w:rPr>
        <w:t>עלמה</w:t>
      </w:r>
      <w:r w:rsidR="00AA6E8D" w:rsidRPr="004440EA">
        <w:t xml:space="preserve"> </w:t>
      </w:r>
      <w:r w:rsidRPr="004440EA">
        <w:t>(</w:t>
      </w:r>
      <w:r w:rsidR="00D40830" w:rsidRPr="00D05EA9">
        <w:rPr>
          <w:rStyle w:val="italicus"/>
        </w:rPr>
        <w:t>῾almah</w:t>
      </w:r>
      <w:r w:rsidR="00B546AF" w:rsidRPr="002C4077">
        <w:t>)</w:t>
      </w:r>
      <w:r w:rsidRPr="002C4077">
        <w:t xml:space="preserve"> </w:t>
      </w:r>
      <w:r>
        <w:t>v</w:t>
      </w:r>
      <w:r w:rsidR="003B53FD">
        <w:t>írginem</w:t>
      </w:r>
      <w:r w:rsidRPr="002C4077">
        <w:t xml:space="preserve"> </w:t>
      </w:r>
      <w:r w:rsidR="00AA6E8D">
        <w:t>ætáte</w:t>
      </w:r>
      <w:r w:rsidRPr="002C4077">
        <w:t xml:space="preserve"> </w:t>
      </w:r>
      <w:r>
        <w:t>t</w:t>
      </w:r>
      <w:r w:rsidR="003B53FD">
        <w:t>éneram</w:t>
      </w:r>
      <w:r w:rsidRPr="002C4077">
        <w:t xml:space="preserve"> </w:t>
      </w:r>
      <w:r>
        <w:t>et</w:t>
      </w:r>
      <w:r w:rsidRPr="002C4077">
        <w:t xml:space="preserve"> </w:t>
      </w:r>
      <w:r>
        <w:t>o</w:t>
      </w:r>
      <w:r w:rsidR="003B53FD">
        <w:t>mníno</w:t>
      </w:r>
      <w:r w:rsidRPr="002C4077">
        <w:t xml:space="preserve"> </w:t>
      </w:r>
      <w:r w:rsidR="003B53FD">
        <w:t>intáctam</w:t>
      </w:r>
      <w:r w:rsidRPr="002C4077">
        <w:t xml:space="preserve"> </w:t>
      </w:r>
      <w:r w:rsidR="00AA6E8D">
        <w:t>próprie</w:t>
      </w:r>
      <w:r w:rsidRPr="002C4077">
        <w:t xml:space="preserve"> </w:t>
      </w:r>
      <w:r>
        <w:t>sign</w:t>
      </w:r>
      <w:r w:rsidR="001730C6">
        <w:t>if</w:t>
      </w:r>
      <w:r>
        <w:t>icat</w:t>
      </w:r>
      <w:r w:rsidR="0055004A">
        <w:rPr>
          <w:rStyle w:val="Appelnotedebasdep"/>
        </w:rPr>
        <w:footnoteReference w:id="216"/>
      </w:r>
      <w:r w:rsidR="00B546AF">
        <w:t> »</w:t>
      </w:r>
      <w:r>
        <w:t>.</w:t>
      </w:r>
      <w:r w:rsidR="00C45B47">
        <w:t xml:space="preserve"> {</w:t>
      </w:r>
      <w:r w:rsidR="000721C4">
        <w:t>73</w:t>
      </w:r>
      <w:bookmarkStart w:id="234" w:name="p073"/>
      <w:bookmarkEnd w:id="234"/>
      <w:r w:rsidR="000721C4">
        <w:t xml:space="preserve">} </w:t>
      </w:r>
      <w:r>
        <w:t>Ou</w:t>
      </w:r>
      <w:r w:rsidRPr="002C4077">
        <w:t xml:space="preserve"> </w:t>
      </w:r>
      <w:r>
        <w:t>avec</w:t>
      </w:r>
      <w:r w:rsidRPr="002C4077">
        <w:t xml:space="preserve"> </w:t>
      </w:r>
      <w:r>
        <w:t>Bœhl</w:t>
      </w:r>
      <w:r w:rsidR="00B546AF">
        <w:t> :</w:t>
      </w:r>
      <w:r w:rsidRPr="002C4077">
        <w:t xml:space="preserve"> </w:t>
      </w:r>
      <w:r w:rsidR="00B546AF">
        <w:t>« </w:t>
      </w:r>
      <w:r w:rsidR="00D40830" w:rsidRPr="00D05EA9">
        <w:rPr>
          <w:rStyle w:val="italicus"/>
        </w:rPr>
        <w:t>῾Almah</w:t>
      </w:r>
      <w:r w:rsidR="00D40830" w:rsidRPr="002C4077">
        <w:t xml:space="preserve"> </w:t>
      </w:r>
      <w:r w:rsidR="00425C50">
        <w:t>est</w:t>
      </w:r>
      <w:r w:rsidRPr="002C4077">
        <w:t xml:space="preserve"> </w:t>
      </w:r>
      <w:r>
        <w:t>un</w:t>
      </w:r>
      <w:r w:rsidRPr="002C4077">
        <w:t xml:space="preserve"> </w:t>
      </w:r>
      <w:r>
        <w:t>nom</w:t>
      </w:r>
      <w:r w:rsidRPr="002C4077">
        <w:t xml:space="preserve"> </w:t>
      </w:r>
      <w:r>
        <w:t>semblable</w:t>
      </w:r>
      <w:r w:rsidRPr="002C4077">
        <w:t xml:space="preserve"> </w:t>
      </w:r>
      <w:r>
        <w:t>à</w:t>
      </w:r>
      <w:r w:rsidRPr="002C4077">
        <w:t xml:space="preserve"> </w:t>
      </w:r>
      <w:r>
        <w:t>l’allemand</w:t>
      </w:r>
      <w:r w:rsidRPr="002C4077">
        <w:t xml:space="preserve"> </w:t>
      </w:r>
      <w:r w:rsidR="00AA6E8D" w:rsidRPr="000A34B5">
        <w:rPr>
          <w:rStyle w:val="italicus"/>
        </w:rPr>
        <w:t>Fräulein</w:t>
      </w:r>
      <w:r w:rsidRPr="004440EA">
        <w:t xml:space="preserve"> (</w:t>
      </w:r>
      <w:r>
        <w:t>demoiselle</w:t>
      </w:r>
      <w:r w:rsidR="00B546AF" w:rsidRPr="002C4077">
        <w:t>)</w:t>
      </w:r>
      <w:r w:rsidR="00B546AF" w:rsidRPr="00950016">
        <w:t> ;</w:t>
      </w:r>
      <w:r w:rsidRPr="002C4077">
        <w:t xml:space="preserve"> </w:t>
      </w:r>
      <w:r>
        <w:t>c’est</w:t>
      </w:r>
      <w:r w:rsidRPr="002C4077">
        <w:t xml:space="preserve"> </w:t>
      </w:r>
      <w:r>
        <w:t>un</w:t>
      </w:r>
      <w:r w:rsidRPr="002C4077">
        <w:t xml:space="preserve"> </w:t>
      </w:r>
      <w:r>
        <w:t>nom</w:t>
      </w:r>
      <w:r w:rsidRPr="002C4077">
        <w:t xml:space="preserve"> </w:t>
      </w:r>
      <w:r>
        <w:t>plus</w:t>
      </w:r>
      <w:r w:rsidRPr="002C4077">
        <w:t xml:space="preserve"> </w:t>
      </w:r>
      <w:r>
        <w:t>noble</w:t>
      </w:r>
      <w:r w:rsidRPr="002C4077">
        <w:t xml:space="preserve"> </w:t>
      </w:r>
      <w:r>
        <w:t>que</w:t>
      </w:r>
      <w:r w:rsidRPr="002C4077">
        <w:t xml:space="preserve"> </w:t>
      </w:r>
      <w:r w:rsidRPr="000A34B5">
        <w:rPr>
          <w:rStyle w:val="italicus"/>
        </w:rPr>
        <w:t>bethoulah,</w:t>
      </w:r>
      <w:r w:rsidRPr="002C4077">
        <w:t xml:space="preserve"> </w:t>
      </w:r>
      <w:r>
        <w:t>qui</w:t>
      </w:r>
      <w:r w:rsidRPr="002C4077">
        <w:t xml:space="preserve"> </w:t>
      </w:r>
      <w:r>
        <w:t>était</w:t>
      </w:r>
      <w:r w:rsidRPr="002C4077">
        <w:t xml:space="preserve"> </w:t>
      </w:r>
      <w:r>
        <w:t>l’expression</w:t>
      </w:r>
      <w:bookmarkStart w:id="235" w:name="z_Bethoulah_o2"/>
      <w:bookmarkEnd w:id="235"/>
      <w:r w:rsidRPr="002C4077">
        <w:t xml:space="preserve"> </w:t>
      </w:r>
      <w:r>
        <w:t>plus</w:t>
      </w:r>
      <w:r w:rsidRPr="002C4077">
        <w:t xml:space="preserve"> </w:t>
      </w:r>
      <w:bookmarkStart w:id="236" w:name="z_Almah_o18"/>
      <w:bookmarkEnd w:id="236"/>
      <w:r>
        <w:t>commune</w:t>
      </w:r>
      <w:r w:rsidR="00B91AF7">
        <w:rPr>
          <w:rStyle w:val="Appelnotedebasdep"/>
        </w:rPr>
        <w:footnoteReference w:id="217"/>
      </w:r>
      <w:r w:rsidR="00B546AF">
        <w:t> »</w:t>
      </w:r>
      <w:r>
        <w:t>.</w:t>
      </w:r>
      <w:r w:rsidRPr="002C4077">
        <w:t xml:space="preserve"> </w:t>
      </w:r>
    </w:p>
    <w:p w:rsidR="002A5E7A" w:rsidRDefault="002A5E7A" w:rsidP="000A7AAB"/>
    <w:p w:rsidR="000A7AAB" w:rsidRDefault="000A7AAB" w:rsidP="000A7AAB">
      <w:r>
        <w:t>6.</w:t>
      </w:r>
      <w:r w:rsidRPr="002C4077">
        <w:t xml:space="preserve"> </w:t>
      </w:r>
      <w:r w:rsidRPr="000A34B5">
        <w:rPr>
          <w:rStyle w:val="italicus"/>
        </w:rPr>
        <w:t>Quelques</w:t>
      </w:r>
      <w:r w:rsidRPr="002C4077">
        <w:t xml:space="preserve"> </w:t>
      </w:r>
      <w:r w:rsidRPr="000A34B5">
        <w:rPr>
          <w:rStyle w:val="italicus"/>
        </w:rPr>
        <w:t>autres</w:t>
      </w:r>
      <w:r w:rsidRPr="002C4077">
        <w:t xml:space="preserve"> </w:t>
      </w:r>
      <w:r w:rsidRPr="000A34B5">
        <w:rPr>
          <w:rStyle w:val="italicus"/>
        </w:rPr>
        <w:t>motifs,</w:t>
      </w:r>
      <w:r w:rsidRPr="002C4077">
        <w:t xml:space="preserve"> </w:t>
      </w:r>
      <w:r w:rsidRPr="000A34B5">
        <w:rPr>
          <w:rStyle w:val="italicus"/>
        </w:rPr>
        <w:t>tirés</w:t>
      </w:r>
      <w:r w:rsidRPr="002C4077">
        <w:t xml:space="preserve"> </w:t>
      </w:r>
      <w:r w:rsidRPr="000A34B5">
        <w:rPr>
          <w:rStyle w:val="italicus"/>
        </w:rPr>
        <w:t>du</w:t>
      </w:r>
      <w:r w:rsidRPr="002C4077">
        <w:t xml:space="preserve"> </w:t>
      </w:r>
      <w:r w:rsidRPr="000A34B5">
        <w:rPr>
          <w:rStyle w:val="italicus"/>
        </w:rPr>
        <w:t>texte</w:t>
      </w:r>
      <w:r w:rsidRPr="002C4077">
        <w:t xml:space="preserve"> </w:t>
      </w:r>
      <w:r w:rsidRPr="000A34B5">
        <w:rPr>
          <w:rStyle w:val="italicus"/>
        </w:rPr>
        <w:t>même,</w:t>
      </w:r>
      <w:r w:rsidRPr="002C4077">
        <w:t xml:space="preserve"> </w:t>
      </w:r>
      <w:r w:rsidRPr="000A34B5">
        <w:rPr>
          <w:rStyle w:val="italicus"/>
        </w:rPr>
        <w:t>pour</w:t>
      </w:r>
      <w:r w:rsidRPr="002C4077">
        <w:t xml:space="preserve"> </w:t>
      </w:r>
      <w:r w:rsidRPr="000A34B5">
        <w:rPr>
          <w:rStyle w:val="italicus"/>
        </w:rPr>
        <w:t>prouver</w:t>
      </w:r>
      <w:r w:rsidRPr="002C4077">
        <w:t xml:space="preserve"> </w:t>
      </w:r>
      <w:r w:rsidRPr="000A34B5">
        <w:rPr>
          <w:rStyle w:val="italicus"/>
        </w:rPr>
        <w:t>que</w:t>
      </w:r>
      <w:r w:rsidRPr="002C4077">
        <w:t xml:space="preserve"> </w:t>
      </w:r>
      <w:r w:rsidRPr="000A34B5">
        <w:rPr>
          <w:rStyle w:val="italicus"/>
        </w:rPr>
        <w:t>le</w:t>
      </w:r>
      <w:r w:rsidRPr="002C4077">
        <w:t xml:space="preserve"> </w:t>
      </w:r>
      <w:r w:rsidRPr="000A34B5">
        <w:rPr>
          <w:rStyle w:val="italicus"/>
        </w:rPr>
        <w:t>mot</w:t>
      </w:r>
      <w:r w:rsidRPr="002C4077">
        <w:t xml:space="preserve"> </w:t>
      </w:r>
      <w:r w:rsidR="00D40830" w:rsidRPr="00D40830">
        <w:t>῾almah</w:t>
      </w:r>
      <w:r w:rsidRPr="002C4077">
        <w:t xml:space="preserve"> </w:t>
      </w:r>
      <w:r w:rsidRPr="000A34B5">
        <w:rPr>
          <w:rStyle w:val="italicus"/>
        </w:rPr>
        <w:t>ne</w:t>
      </w:r>
      <w:r w:rsidRPr="002C4077">
        <w:t xml:space="preserve"> </w:t>
      </w:r>
      <w:r w:rsidRPr="000A34B5">
        <w:rPr>
          <w:rStyle w:val="italicus"/>
        </w:rPr>
        <w:t>peut</w:t>
      </w:r>
      <w:r w:rsidRPr="002C4077">
        <w:t xml:space="preserve"> </w:t>
      </w:r>
      <w:r w:rsidRPr="000A34B5">
        <w:rPr>
          <w:rStyle w:val="italicus"/>
        </w:rPr>
        <w:t>désigner</w:t>
      </w:r>
      <w:r w:rsidRPr="002C4077">
        <w:t xml:space="preserve"> </w:t>
      </w:r>
      <w:r w:rsidRPr="000A34B5">
        <w:rPr>
          <w:rStyle w:val="italicus"/>
        </w:rPr>
        <w:t>qu’une</w:t>
      </w:r>
      <w:r w:rsidRPr="002C4077">
        <w:t xml:space="preserve"> </w:t>
      </w:r>
      <w:r w:rsidRPr="000A34B5">
        <w:rPr>
          <w:rStyle w:val="italicus"/>
        </w:rPr>
        <w:t>vierge</w:t>
      </w:r>
      <w:r w:rsidRPr="002C4077">
        <w:t xml:space="preserve"> </w:t>
      </w:r>
      <w:r w:rsidRPr="000A34B5">
        <w:rPr>
          <w:rStyle w:val="italicus"/>
        </w:rPr>
        <w:t>dans</w:t>
      </w:r>
      <w:r w:rsidRPr="002C4077">
        <w:t xml:space="preserve"> </w:t>
      </w:r>
      <w:r w:rsidRPr="000A34B5">
        <w:rPr>
          <w:rStyle w:val="italicus"/>
        </w:rPr>
        <w:t>l’oracle</w:t>
      </w:r>
      <w:r w:rsidRPr="002C4077">
        <w:t xml:space="preserve"> </w:t>
      </w:r>
      <w:r w:rsidRPr="000A34B5">
        <w:rPr>
          <w:rStyle w:val="italicus"/>
        </w:rPr>
        <w:t>d’Isaïe.</w:t>
      </w:r>
      <w:bookmarkStart w:id="237" w:name="z_Almah_o19"/>
      <w:bookmarkEnd w:id="237"/>
      <w:r w:rsidRPr="002C4077">
        <w:t xml:space="preserve"> </w:t>
      </w:r>
      <w:r>
        <w:t>—</w:t>
      </w:r>
      <w:r w:rsidRPr="002C4077">
        <w:t xml:space="preserve"> </w:t>
      </w:r>
      <w:r>
        <w:t>Il</w:t>
      </w:r>
      <w:r w:rsidRPr="002C4077">
        <w:t xml:space="preserve"> </w:t>
      </w:r>
      <w:r>
        <w:t>n’est</w:t>
      </w:r>
      <w:r w:rsidRPr="002C4077">
        <w:t xml:space="preserve"> </w:t>
      </w:r>
      <w:r>
        <w:t>pas</w:t>
      </w:r>
      <w:r w:rsidRPr="002C4077">
        <w:t xml:space="preserve"> </w:t>
      </w:r>
      <w:r>
        <w:t>une</w:t>
      </w:r>
      <w:r w:rsidRPr="002C4077">
        <w:t xml:space="preserve"> </w:t>
      </w:r>
      <w:r>
        <w:t>expression,</w:t>
      </w:r>
      <w:r w:rsidRPr="002C4077">
        <w:t xml:space="preserve"> </w:t>
      </w:r>
      <w:r>
        <w:t>pas</w:t>
      </w:r>
      <w:r w:rsidRPr="002C4077">
        <w:t xml:space="preserve"> </w:t>
      </w:r>
      <w:r>
        <w:t>une</w:t>
      </w:r>
      <w:r w:rsidRPr="002C4077">
        <w:t xml:space="preserve"> </w:t>
      </w:r>
      <w:r>
        <w:t>circonstance</w:t>
      </w:r>
      <w:r w:rsidRPr="002C4077">
        <w:t xml:space="preserve"> </w:t>
      </w:r>
      <w:r>
        <w:t>de</w:t>
      </w:r>
      <w:r w:rsidRPr="002C4077">
        <w:t xml:space="preserve"> </w:t>
      </w:r>
      <w:r>
        <w:t>cet</w:t>
      </w:r>
      <w:r w:rsidRPr="002C4077">
        <w:t xml:space="preserve"> </w:t>
      </w:r>
      <w:r>
        <w:t>oracle</w:t>
      </w:r>
      <w:r w:rsidRPr="002C4077">
        <w:t xml:space="preserve"> </w:t>
      </w:r>
      <w:r>
        <w:t>qui</w:t>
      </w:r>
      <w:r w:rsidRPr="002C4077">
        <w:t xml:space="preserve"> </w:t>
      </w:r>
      <w:r>
        <w:t>ne</w:t>
      </w:r>
      <w:r w:rsidRPr="002C4077">
        <w:t xml:space="preserve"> </w:t>
      </w:r>
      <w:r>
        <w:t>vienne</w:t>
      </w:r>
      <w:r w:rsidRPr="002C4077">
        <w:t xml:space="preserve"> </w:t>
      </w:r>
      <w:r>
        <w:t>appuyer</w:t>
      </w:r>
      <w:r w:rsidRPr="002C4077">
        <w:t xml:space="preserve"> </w:t>
      </w:r>
      <w:r>
        <w:t>nos</w:t>
      </w:r>
      <w:r w:rsidRPr="002C4077">
        <w:t xml:space="preserve"> </w:t>
      </w:r>
      <w:r>
        <w:t>arguments</w:t>
      </w:r>
      <w:r w:rsidRPr="002C4077">
        <w:t xml:space="preserve"> </w:t>
      </w:r>
      <w:r>
        <w:t>antérieurs,</w:t>
      </w:r>
      <w:r w:rsidRPr="002C4077">
        <w:t xml:space="preserve"> </w:t>
      </w:r>
      <w:r>
        <w:t>et</w:t>
      </w:r>
      <w:r w:rsidRPr="002C4077">
        <w:t xml:space="preserve"> </w:t>
      </w:r>
      <w:r>
        <w:t>ajouter</w:t>
      </w:r>
      <w:r w:rsidRPr="002C4077">
        <w:t xml:space="preserve"> </w:t>
      </w:r>
      <w:r>
        <w:t>quelque</w:t>
      </w:r>
      <w:r w:rsidRPr="002C4077">
        <w:t xml:space="preserve"> </w:t>
      </w:r>
      <w:r>
        <w:t>chose</w:t>
      </w:r>
      <w:r w:rsidRPr="002C4077">
        <w:t xml:space="preserve"> </w:t>
      </w:r>
      <w:r>
        <w:t>à</w:t>
      </w:r>
      <w:r w:rsidRPr="002C4077">
        <w:t xml:space="preserve"> </w:t>
      </w:r>
      <w:r>
        <w:t>la</w:t>
      </w:r>
      <w:r w:rsidRPr="002C4077">
        <w:t xml:space="preserve"> </w:t>
      </w:r>
      <w:r>
        <w:t>force</w:t>
      </w:r>
      <w:r w:rsidRPr="002C4077">
        <w:t xml:space="preserve"> </w:t>
      </w:r>
      <w:r>
        <w:t>de</w:t>
      </w:r>
      <w:r w:rsidRPr="002C4077">
        <w:t xml:space="preserve"> </w:t>
      </w:r>
      <w:r>
        <w:t>la</w:t>
      </w:r>
      <w:r w:rsidRPr="002C4077">
        <w:t xml:space="preserve"> </w:t>
      </w:r>
      <w:r>
        <w:t>démonstration</w:t>
      </w:r>
      <w:r w:rsidR="00B91AF7">
        <w:rPr>
          <w:rStyle w:val="Appelnotedebasdep"/>
        </w:rPr>
        <w:footnoteReference w:id="218"/>
      </w:r>
      <w:r>
        <w:t>.</w:t>
      </w:r>
      <w:r w:rsidRPr="002C4077">
        <w:t xml:space="preserve"> </w:t>
      </w:r>
    </w:p>
    <w:p w:rsidR="000A7AAB" w:rsidRDefault="000A7AAB" w:rsidP="000A7AAB">
      <w:r>
        <w:t>C’est,</w:t>
      </w:r>
      <w:r w:rsidRPr="002C4077">
        <w:t xml:space="preserve"> </w:t>
      </w:r>
      <w:r>
        <w:t>en</w:t>
      </w:r>
      <w:r w:rsidRPr="002C4077">
        <w:t xml:space="preserve"> </w:t>
      </w:r>
      <w:r>
        <w:t>premier</w:t>
      </w:r>
      <w:r w:rsidRPr="002C4077">
        <w:t xml:space="preserve"> </w:t>
      </w:r>
      <w:r>
        <w:t>lieu,</w:t>
      </w:r>
      <w:r w:rsidRPr="002C4077">
        <w:t xml:space="preserve"> </w:t>
      </w:r>
      <w:r>
        <w:t>l’emphase</w:t>
      </w:r>
      <w:r w:rsidRPr="002C4077">
        <w:t xml:space="preserve"> </w:t>
      </w:r>
      <w:r>
        <w:t>visible</w:t>
      </w:r>
      <w:r w:rsidRPr="002C4077">
        <w:t xml:space="preserve"> </w:t>
      </w:r>
      <w:r>
        <w:t>de</w:t>
      </w:r>
      <w:r w:rsidRPr="002C4077">
        <w:t xml:space="preserve"> </w:t>
      </w:r>
      <w:r>
        <w:t>la</w:t>
      </w:r>
      <w:r w:rsidRPr="002C4077">
        <w:t xml:space="preserve"> </w:t>
      </w:r>
      <w:r>
        <w:t>formule</w:t>
      </w:r>
      <w:r w:rsidRPr="002C4077">
        <w:t xml:space="preserve"> </w:t>
      </w:r>
      <w:r>
        <w:t>d’introduction</w:t>
      </w:r>
      <w:r w:rsidR="00B546AF">
        <w:t> :</w:t>
      </w:r>
      <w:r w:rsidRPr="002C4077">
        <w:t xml:space="preserve"> </w:t>
      </w:r>
      <w:r w:rsidRPr="000A34B5">
        <w:rPr>
          <w:rStyle w:val="italicus"/>
        </w:rPr>
        <w:t>Propter</w:t>
      </w:r>
      <w:r w:rsidRPr="002C4077">
        <w:t xml:space="preserve"> </w:t>
      </w:r>
      <w:r w:rsidRPr="000A34B5">
        <w:rPr>
          <w:rStyle w:val="italicus"/>
        </w:rPr>
        <w:t>hoc</w:t>
      </w:r>
      <w:r w:rsidRPr="002C4077">
        <w:t xml:space="preserve"> </w:t>
      </w:r>
      <w:r w:rsidRPr="000A34B5">
        <w:rPr>
          <w:rStyle w:val="italicus"/>
        </w:rPr>
        <w:t>dabit</w:t>
      </w:r>
      <w:r w:rsidRPr="002C4077">
        <w:t xml:space="preserve"> </w:t>
      </w:r>
      <w:r w:rsidRPr="000A34B5">
        <w:rPr>
          <w:rStyle w:val="italicus"/>
        </w:rPr>
        <w:t>D</w:t>
      </w:r>
      <w:r w:rsidR="003B53FD">
        <w:rPr>
          <w:rStyle w:val="italicus"/>
        </w:rPr>
        <w:t>ó</w:t>
      </w:r>
      <w:r w:rsidR="003B53FD" w:rsidRPr="000A34B5">
        <w:rPr>
          <w:rStyle w:val="italicus"/>
        </w:rPr>
        <w:t>minus</w:t>
      </w:r>
      <w:r w:rsidRPr="002C4077">
        <w:t xml:space="preserve"> </w:t>
      </w:r>
      <w:r w:rsidRPr="000A34B5">
        <w:rPr>
          <w:rStyle w:val="italicus"/>
        </w:rPr>
        <w:t>ipse</w:t>
      </w:r>
      <w:r w:rsidRPr="002C4077">
        <w:t xml:space="preserve"> </w:t>
      </w:r>
      <w:r w:rsidRPr="000A34B5">
        <w:rPr>
          <w:rStyle w:val="italicus"/>
        </w:rPr>
        <w:t>vobis</w:t>
      </w:r>
      <w:r w:rsidRPr="002C4077">
        <w:t xml:space="preserve"> </w:t>
      </w:r>
      <w:r w:rsidRPr="000A34B5">
        <w:rPr>
          <w:rStyle w:val="italicus"/>
        </w:rPr>
        <w:t>signum</w:t>
      </w:r>
      <w:bookmarkStart w:id="238" w:name="z_Signe_o2"/>
      <w:bookmarkEnd w:id="238"/>
      <w:r w:rsidRPr="000A34B5">
        <w:rPr>
          <w:rStyle w:val="italicus"/>
        </w:rPr>
        <w:t>.</w:t>
      </w:r>
      <w:r w:rsidRPr="002C4077">
        <w:t xml:space="preserve"> </w:t>
      </w:r>
      <w:r>
        <w:t>Le</w:t>
      </w:r>
      <w:r w:rsidRPr="002C4077">
        <w:t xml:space="preserve"> </w:t>
      </w:r>
      <w:r>
        <w:t>Seigneur</w:t>
      </w:r>
      <w:r w:rsidRPr="002C4077">
        <w:t xml:space="preserve"> </w:t>
      </w:r>
      <w:r w:rsidRPr="000A34B5">
        <w:rPr>
          <w:rStyle w:val="italicus"/>
        </w:rPr>
        <w:t>lui-même,</w:t>
      </w:r>
      <w:r w:rsidRPr="002C4077">
        <w:t xml:space="preserve"> </w:t>
      </w:r>
      <w:r>
        <w:t>se</w:t>
      </w:r>
      <w:r w:rsidRPr="002C4077">
        <w:t xml:space="preserve"> </w:t>
      </w:r>
      <w:r>
        <w:t>mettant</w:t>
      </w:r>
      <w:r w:rsidRPr="002C4077">
        <w:t xml:space="preserve"> </w:t>
      </w:r>
      <w:r>
        <w:t>à</w:t>
      </w:r>
      <w:r w:rsidRPr="002C4077">
        <w:t xml:space="preserve"> </w:t>
      </w:r>
      <w:r>
        <w:t>l’œuvre</w:t>
      </w:r>
      <w:r w:rsidRPr="002C4077">
        <w:t xml:space="preserve"> </w:t>
      </w:r>
      <w:r>
        <w:t>pour</w:t>
      </w:r>
      <w:r w:rsidRPr="002C4077">
        <w:t xml:space="preserve"> </w:t>
      </w:r>
      <w:r>
        <w:t>étonner</w:t>
      </w:r>
      <w:r w:rsidRPr="002C4077">
        <w:t xml:space="preserve"> </w:t>
      </w:r>
      <w:r>
        <w:t>son</w:t>
      </w:r>
      <w:r w:rsidRPr="002C4077">
        <w:t xml:space="preserve"> </w:t>
      </w:r>
      <w:r>
        <w:t>peuple,</w:t>
      </w:r>
      <w:r w:rsidRPr="002C4077">
        <w:t xml:space="preserve"> </w:t>
      </w:r>
      <w:r>
        <w:t>ne</w:t>
      </w:r>
      <w:r w:rsidRPr="002C4077">
        <w:t xml:space="preserve"> </w:t>
      </w:r>
      <w:r>
        <w:t>saurait-il</w:t>
      </w:r>
      <w:r w:rsidRPr="002C4077">
        <w:t xml:space="preserve"> </w:t>
      </w:r>
      <w:r>
        <w:t>donc</w:t>
      </w:r>
      <w:r w:rsidRPr="002C4077">
        <w:t xml:space="preserve"> </w:t>
      </w:r>
      <w:r>
        <w:t>produire</w:t>
      </w:r>
      <w:r w:rsidRPr="002C4077">
        <w:t xml:space="preserve"> </w:t>
      </w:r>
      <w:r>
        <w:t>que</w:t>
      </w:r>
      <w:r w:rsidRPr="002C4077">
        <w:t xml:space="preserve"> </w:t>
      </w:r>
      <w:r>
        <w:t>le</w:t>
      </w:r>
      <w:r w:rsidRPr="002C4077">
        <w:t xml:space="preserve"> </w:t>
      </w:r>
      <w:r>
        <w:t>fait</w:t>
      </w:r>
      <w:r w:rsidRPr="002C4077">
        <w:t xml:space="preserve"> </w:t>
      </w:r>
      <w:r>
        <w:t>le</w:t>
      </w:r>
      <w:r w:rsidRPr="002C4077">
        <w:t xml:space="preserve"> </w:t>
      </w:r>
      <w:r>
        <w:t>plus</w:t>
      </w:r>
      <w:r w:rsidRPr="002C4077">
        <w:t xml:space="preserve"> </w:t>
      </w:r>
      <w:r>
        <w:t>commun</w:t>
      </w:r>
      <w:r w:rsidR="00B546AF">
        <w:t> ?</w:t>
      </w:r>
      <w:r w:rsidRPr="002C4077">
        <w:t xml:space="preserve"> </w:t>
      </w:r>
      <w:r w:rsidR="00B546AF">
        <w:t>« </w:t>
      </w:r>
      <w:r w:rsidR="00AA6E8D">
        <w:t>Profécto</w:t>
      </w:r>
      <w:r>
        <w:t>,</w:t>
      </w:r>
      <w:r w:rsidRPr="002C4077">
        <w:t xml:space="preserve"> </w:t>
      </w:r>
      <w:r>
        <w:t>si</w:t>
      </w:r>
      <w:r w:rsidRPr="002C4077">
        <w:t xml:space="preserve"> </w:t>
      </w:r>
      <w:r>
        <w:t>hæc</w:t>
      </w:r>
      <w:r w:rsidRPr="002C4077">
        <w:t xml:space="preserve"> </w:t>
      </w:r>
      <w:r>
        <w:t>inte</w:t>
      </w:r>
      <w:r w:rsidR="001730C6">
        <w:t>rp</w:t>
      </w:r>
      <w:r>
        <w:t>ret</w:t>
      </w:r>
      <w:r w:rsidR="003B53FD">
        <w:t>átio</w:t>
      </w:r>
      <w:r w:rsidRPr="004440EA">
        <w:t xml:space="preserve"> (</w:t>
      </w:r>
      <w:r>
        <w:t>rationalist</w:t>
      </w:r>
      <w:r w:rsidR="003B53FD">
        <w:t>árum</w:t>
      </w:r>
      <w:r w:rsidR="00B546AF" w:rsidRPr="002C4077">
        <w:t>)</w:t>
      </w:r>
      <w:r w:rsidRPr="002C4077">
        <w:t xml:space="preserve"> </w:t>
      </w:r>
      <w:r>
        <w:t>esset</w:t>
      </w:r>
      <w:r w:rsidRPr="002C4077">
        <w:t xml:space="preserve"> </w:t>
      </w:r>
      <w:r>
        <w:t>recta,</w:t>
      </w:r>
      <w:r w:rsidRPr="002C4077">
        <w:t xml:space="preserve"> </w:t>
      </w:r>
      <w:r>
        <w:t>finis</w:t>
      </w:r>
      <w:r w:rsidRPr="002C4077">
        <w:t xml:space="preserve"> </w:t>
      </w:r>
      <w:r>
        <w:lastRenderedPageBreak/>
        <w:t>mis</w:t>
      </w:r>
      <w:r w:rsidR="003B53FD">
        <w:t>érrimus</w:t>
      </w:r>
      <w:r w:rsidRPr="002C4077">
        <w:t xml:space="preserve"> </w:t>
      </w:r>
      <w:r>
        <w:t>grandil</w:t>
      </w:r>
      <w:r w:rsidR="00AA6E8D">
        <w:t>ó</w:t>
      </w:r>
      <w:r>
        <w:t>quio</w:t>
      </w:r>
      <w:r w:rsidRPr="002C4077">
        <w:t xml:space="preserve"> </w:t>
      </w:r>
      <w:r>
        <w:t>et</w:t>
      </w:r>
      <w:r w:rsidRPr="002C4077">
        <w:t xml:space="preserve"> </w:t>
      </w:r>
      <w:r>
        <w:t>grav</w:t>
      </w:r>
      <w:r w:rsidR="003B53FD">
        <w:t>íssimo</w:t>
      </w:r>
      <w:r w:rsidRPr="002C4077">
        <w:t xml:space="preserve"> </w:t>
      </w:r>
      <w:r>
        <w:t>in</w:t>
      </w:r>
      <w:r w:rsidR="003B53FD">
        <w:t>ítio</w:t>
      </w:r>
      <w:r w:rsidRPr="002C4077">
        <w:t xml:space="preserve"> </w:t>
      </w:r>
      <w:r w:rsidR="00AA6E8D">
        <w:t>respondéret</w:t>
      </w:r>
      <w:r>
        <w:t>.</w:t>
      </w:r>
      <w:r w:rsidRPr="002C4077">
        <w:t xml:space="preserve"> </w:t>
      </w:r>
      <w:r w:rsidRPr="000A34B5">
        <w:rPr>
          <w:rStyle w:val="italicus"/>
        </w:rPr>
        <w:t>Quam</w:t>
      </w:r>
      <w:r w:rsidRPr="002C4077">
        <w:t xml:space="preserve"> </w:t>
      </w:r>
      <w:r w:rsidRPr="000A34B5">
        <w:rPr>
          <w:rStyle w:val="italicus"/>
        </w:rPr>
        <w:t>rid</w:t>
      </w:r>
      <w:r w:rsidR="00AA6E8D">
        <w:rPr>
          <w:rStyle w:val="italicus"/>
        </w:rPr>
        <w:t>í</w:t>
      </w:r>
      <w:r w:rsidRPr="000A34B5">
        <w:rPr>
          <w:rStyle w:val="italicus"/>
        </w:rPr>
        <w:t>cula</w:t>
      </w:r>
      <w:r w:rsidRPr="002C4077">
        <w:t xml:space="preserve"> </w:t>
      </w:r>
      <w:r w:rsidR="003B53FD" w:rsidRPr="000A34B5">
        <w:rPr>
          <w:rStyle w:val="italicus"/>
        </w:rPr>
        <w:t>fu</w:t>
      </w:r>
      <w:r w:rsidR="003B53FD">
        <w:rPr>
          <w:rStyle w:val="italicus"/>
        </w:rPr>
        <w:t>í</w:t>
      </w:r>
      <w:r w:rsidR="003B53FD" w:rsidRPr="000A34B5">
        <w:rPr>
          <w:rStyle w:val="italicus"/>
        </w:rPr>
        <w:t>sset</w:t>
      </w:r>
      <w:r w:rsidRPr="000A34B5">
        <w:rPr>
          <w:rStyle w:val="italicus"/>
        </w:rPr>
        <w:t>,</w:t>
      </w:r>
      <w:r w:rsidRPr="002C4077">
        <w:t xml:space="preserve"> </w:t>
      </w:r>
      <w:r>
        <w:t>ait</w:t>
      </w:r>
      <w:r w:rsidRPr="002C4077">
        <w:t xml:space="preserve"> </w:t>
      </w:r>
      <w:r>
        <w:t>jure</w:t>
      </w:r>
      <w:r w:rsidRPr="002C4077">
        <w:t xml:space="preserve"> </w:t>
      </w:r>
      <w:r w:rsidR="003B53FD">
        <w:t>Calvínus</w:t>
      </w:r>
      <w:r>
        <w:t>,</w:t>
      </w:r>
      <w:r w:rsidRPr="002C4077">
        <w:t xml:space="preserve"> </w:t>
      </w:r>
      <w:r w:rsidR="00AA6E8D" w:rsidRPr="000A34B5">
        <w:rPr>
          <w:rStyle w:val="italicus"/>
        </w:rPr>
        <w:t>magnífica</w:t>
      </w:r>
      <w:r w:rsidRPr="002C4077">
        <w:t xml:space="preserve"> </w:t>
      </w:r>
      <w:r w:rsidRPr="000A34B5">
        <w:rPr>
          <w:rStyle w:val="italicus"/>
        </w:rPr>
        <w:t>ista</w:t>
      </w:r>
      <w:r w:rsidRPr="002C4077">
        <w:t xml:space="preserve"> </w:t>
      </w:r>
      <w:r w:rsidRPr="000A34B5">
        <w:rPr>
          <w:rStyle w:val="italicus"/>
        </w:rPr>
        <w:t>pr</w:t>
      </w:r>
      <w:r w:rsidR="001730C6" w:rsidRPr="000A34B5">
        <w:rPr>
          <w:rStyle w:val="italicus"/>
        </w:rPr>
        <w:t>æf</w:t>
      </w:r>
      <w:r w:rsidR="003B53FD">
        <w:rPr>
          <w:rStyle w:val="italicus"/>
        </w:rPr>
        <w:t>á</w:t>
      </w:r>
      <w:r w:rsidR="003B53FD" w:rsidRPr="000A34B5">
        <w:rPr>
          <w:rStyle w:val="italicus"/>
        </w:rPr>
        <w:t>tio</w:t>
      </w:r>
      <w:r w:rsidR="003B53FD">
        <w:rPr>
          <w:rStyle w:val="Appelnotedebasdep"/>
          <w:i/>
        </w:rPr>
        <w:footnoteReference w:id="219"/>
      </w:r>
      <w:r w:rsidR="00B546AF">
        <w:rPr>
          <w:rStyle w:val="italicus"/>
        </w:rPr>
        <w:t> </w:t>
      </w:r>
      <w:r w:rsidR="00B546AF" w:rsidRPr="000A34B5">
        <w:rPr>
          <w:rStyle w:val="italicus"/>
        </w:rPr>
        <w:t>»</w:t>
      </w:r>
      <w:r w:rsidRPr="000A34B5">
        <w:rPr>
          <w:rStyle w:val="italicus"/>
        </w:rPr>
        <w:t>.</w:t>
      </w:r>
      <w:r w:rsidRPr="002C4077">
        <w:t xml:space="preserve"> </w:t>
      </w:r>
    </w:p>
    <w:p w:rsidR="000A7AAB" w:rsidRDefault="000A7AAB" w:rsidP="000A7AAB">
      <w:r>
        <w:t>C’est</w:t>
      </w:r>
      <w:r w:rsidRPr="002C4077">
        <w:t xml:space="preserve"> </w:t>
      </w:r>
      <w:r>
        <w:t>ensuite</w:t>
      </w:r>
      <w:r w:rsidRPr="002C4077">
        <w:t xml:space="preserve"> </w:t>
      </w:r>
      <w:r>
        <w:t>le</w:t>
      </w:r>
      <w:r w:rsidRPr="002C4077">
        <w:t xml:space="preserve"> </w:t>
      </w:r>
      <w:r>
        <w:t>mot</w:t>
      </w:r>
      <w:r w:rsidRPr="002C4077">
        <w:t xml:space="preserve"> </w:t>
      </w:r>
      <w:r w:rsidRPr="000A34B5">
        <w:rPr>
          <w:rStyle w:val="italicus"/>
        </w:rPr>
        <w:t>signum,</w:t>
      </w:r>
      <w:r w:rsidRPr="002C4077">
        <w:t xml:space="preserve"> </w:t>
      </w:r>
      <w:r>
        <w:t>si</w:t>
      </w:r>
      <w:r w:rsidRPr="002C4077">
        <w:t xml:space="preserve"> </w:t>
      </w:r>
      <w:r>
        <w:t>bien</w:t>
      </w:r>
      <w:r w:rsidRPr="002C4077">
        <w:t xml:space="preserve"> </w:t>
      </w:r>
      <w:r>
        <w:t>relevé</w:t>
      </w:r>
      <w:r w:rsidRPr="002C4077">
        <w:t xml:space="preserve"> </w:t>
      </w:r>
      <w:r>
        <w:t>par</w:t>
      </w:r>
      <w:r w:rsidRPr="002C4077">
        <w:t xml:space="preserve"> </w:t>
      </w:r>
      <w:r>
        <w:t>les</w:t>
      </w:r>
      <w:r w:rsidRPr="002C4077">
        <w:t xml:space="preserve"> </w:t>
      </w:r>
      <w:r>
        <w:t>SS.</w:t>
      </w:r>
      <w:r w:rsidRPr="002C4077">
        <w:t xml:space="preserve"> </w:t>
      </w:r>
      <w:r>
        <w:t>Pères.</w:t>
      </w:r>
      <w:r w:rsidRPr="002C4077">
        <w:t xml:space="preserve"> </w:t>
      </w:r>
      <w:r w:rsidR="00B546AF">
        <w:t>« </w:t>
      </w:r>
      <w:r>
        <w:t>Quid</w:t>
      </w:r>
      <w:r w:rsidRPr="002C4077">
        <w:t xml:space="preserve"> </w:t>
      </w:r>
      <w:r>
        <w:t>enim</w:t>
      </w:r>
      <w:r w:rsidRPr="002C4077">
        <w:t xml:space="preserve"> </w:t>
      </w:r>
      <w:r>
        <w:t>magnum,</w:t>
      </w:r>
      <w:r w:rsidRPr="002C4077">
        <w:t xml:space="preserve"> </w:t>
      </w:r>
      <w:r>
        <w:t>aut</w:t>
      </w:r>
      <w:r w:rsidRPr="002C4077">
        <w:t xml:space="preserve"> </w:t>
      </w:r>
      <w:r>
        <w:t>signum</w:t>
      </w:r>
      <w:r w:rsidRPr="002C4077">
        <w:t xml:space="preserve"> </w:t>
      </w:r>
      <w:r w:rsidR="00AA6E8D">
        <w:t>fíeret</w:t>
      </w:r>
      <w:r>
        <w:t>,</w:t>
      </w:r>
      <w:r w:rsidRPr="002C4077">
        <w:t xml:space="preserve"> </w:t>
      </w:r>
      <w:r>
        <w:t>demande</w:t>
      </w:r>
      <w:r w:rsidRPr="002C4077">
        <w:t xml:space="preserve"> </w:t>
      </w:r>
      <w:r>
        <w:t>saint</w:t>
      </w:r>
      <w:r w:rsidRPr="002C4077">
        <w:t xml:space="preserve"> </w:t>
      </w:r>
      <w:r>
        <w:t>Irénée</w:t>
      </w:r>
      <w:r w:rsidR="00B91AF7">
        <w:rPr>
          <w:rStyle w:val="Appelnotedebasdep"/>
        </w:rPr>
        <w:footnoteReference w:id="220"/>
      </w:r>
      <w:r>
        <w:t>,</w:t>
      </w:r>
      <w:r w:rsidRPr="002C4077">
        <w:t xml:space="preserve"> </w:t>
      </w:r>
      <w:r>
        <w:t>in</w:t>
      </w:r>
      <w:r w:rsidRPr="002C4077">
        <w:t xml:space="preserve"> </w:t>
      </w:r>
      <w:r>
        <w:t>eo</w:t>
      </w:r>
      <w:r w:rsidRPr="002C4077">
        <w:t xml:space="preserve"> </w:t>
      </w:r>
      <w:r>
        <w:t>quod</w:t>
      </w:r>
      <w:r w:rsidRPr="002C4077">
        <w:t xml:space="preserve"> </w:t>
      </w:r>
      <w:r w:rsidR="00AA6E8D">
        <w:t>adolescéntula</w:t>
      </w:r>
      <w:r w:rsidRPr="002C4077">
        <w:t xml:space="preserve"> </w:t>
      </w:r>
      <w:r w:rsidR="00AA6E8D">
        <w:t>concípiens</w:t>
      </w:r>
      <w:r w:rsidRPr="002C4077">
        <w:t xml:space="preserve"> </w:t>
      </w:r>
      <w:r>
        <w:t>ex</w:t>
      </w:r>
      <w:r w:rsidRPr="002C4077">
        <w:t xml:space="preserve"> </w:t>
      </w:r>
      <w:r>
        <w:t>viro,</w:t>
      </w:r>
      <w:r w:rsidRPr="002C4077">
        <w:t xml:space="preserve"> </w:t>
      </w:r>
      <w:r w:rsidR="00AA6E8D">
        <w:t>peperísset</w:t>
      </w:r>
      <w:r>
        <w:t>,</w:t>
      </w:r>
      <w:r w:rsidRPr="002C4077">
        <w:t xml:space="preserve"> </w:t>
      </w:r>
      <w:r>
        <w:t>quod</w:t>
      </w:r>
      <w:r w:rsidRPr="002C4077">
        <w:t xml:space="preserve"> </w:t>
      </w:r>
      <w:r w:rsidR="00AA6E8D">
        <w:t>evénit</w:t>
      </w:r>
      <w:r w:rsidRPr="002C4077">
        <w:t xml:space="preserve"> </w:t>
      </w:r>
      <w:r w:rsidR="003B53FD">
        <w:t>ómnibus</w:t>
      </w:r>
      <w:r w:rsidRPr="002C4077">
        <w:t xml:space="preserve"> </w:t>
      </w:r>
      <w:r>
        <w:t>quæ</w:t>
      </w:r>
      <w:r w:rsidRPr="002C4077">
        <w:t xml:space="preserve"> </w:t>
      </w:r>
      <w:r w:rsidR="00AA6E8D">
        <w:t>páriunt</w:t>
      </w:r>
      <w:r w:rsidRPr="002C4077">
        <w:t xml:space="preserve"> </w:t>
      </w:r>
      <w:r>
        <w:t>muli</w:t>
      </w:r>
      <w:r w:rsidR="003B53FD">
        <w:t>éribus</w:t>
      </w:r>
      <w:r w:rsidR="00B546AF">
        <w:t> ? »</w:t>
      </w:r>
      <w:r w:rsidRPr="002C4077">
        <w:t xml:space="preserve"> </w:t>
      </w:r>
      <w:r w:rsidR="00B546AF">
        <w:t>« </w:t>
      </w:r>
      <w:r>
        <w:t>Signum</w:t>
      </w:r>
      <w:r w:rsidRPr="002C4077">
        <w:t xml:space="preserve"> </w:t>
      </w:r>
      <w:r>
        <w:t>autem</w:t>
      </w:r>
      <w:r w:rsidRPr="002C4077">
        <w:t xml:space="preserve"> </w:t>
      </w:r>
      <w:r>
        <w:t>a</w:t>
      </w:r>
      <w:r w:rsidRPr="002C4077">
        <w:t xml:space="preserve"> </w:t>
      </w:r>
      <w:r>
        <w:t>Deo,</w:t>
      </w:r>
      <w:r w:rsidRPr="002C4077">
        <w:t xml:space="preserve"> </w:t>
      </w:r>
      <w:r>
        <w:t>nisi</w:t>
      </w:r>
      <w:r w:rsidRPr="002C4077">
        <w:t xml:space="preserve"> </w:t>
      </w:r>
      <w:r w:rsidR="00AA6E8D">
        <w:t>nóvitas</w:t>
      </w:r>
      <w:r w:rsidRPr="002C4077">
        <w:t xml:space="preserve"> </w:t>
      </w:r>
      <w:r w:rsidR="003B53FD">
        <w:t>áliqua</w:t>
      </w:r>
      <w:r w:rsidRPr="002C4077">
        <w:t xml:space="preserve"> </w:t>
      </w:r>
      <w:r w:rsidR="00AA6E8D">
        <w:t>monstrósa</w:t>
      </w:r>
      <w:r w:rsidRPr="002C4077">
        <w:t xml:space="preserve"> </w:t>
      </w:r>
      <w:r w:rsidR="003B53FD">
        <w:t>fuísset</w:t>
      </w:r>
      <w:r>
        <w:t>,</w:t>
      </w:r>
      <w:r w:rsidRPr="002C4077">
        <w:t xml:space="preserve"> </w:t>
      </w:r>
      <w:r>
        <w:t>signum</w:t>
      </w:r>
      <w:r w:rsidRPr="002C4077">
        <w:t xml:space="preserve"> </w:t>
      </w:r>
      <w:r>
        <w:t>non</w:t>
      </w:r>
      <w:r w:rsidRPr="002C4077">
        <w:t xml:space="preserve"> </w:t>
      </w:r>
      <w:r>
        <w:t>vi</w:t>
      </w:r>
      <w:r w:rsidR="003B53FD">
        <w:t>derétur</w:t>
      </w:r>
      <w:r w:rsidR="00B546AF">
        <w:t> »</w:t>
      </w:r>
      <w:r>
        <w:t>,</w:t>
      </w:r>
      <w:r w:rsidRPr="002C4077">
        <w:t xml:space="preserve"> </w:t>
      </w:r>
      <w:r>
        <w:t>écrit</w:t>
      </w:r>
      <w:r w:rsidRPr="002C4077">
        <w:t xml:space="preserve"> </w:t>
      </w:r>
      <w:r>
        <w:t>semblablement</w:t>
      </w:r>
      <w:r w:rsidRPr="002C4077">
        <w:t xml:space="preserve"> </w:t>
      </w:r>
      <w:r>
        <w:t>Tertullien.</w:t>
      </w:r>
      <w:r w:rsidR="00C45B47">
        <w:t xml:space="preserve"> {</w:t>
      </w:r>
      <w:r w:rsidR="000721C4">
        <w:t>74</w:t>
      </w:r>
      <w:bookmarkStart w:id="239" w:name="p074"/>
      <w:bookmarkEnd w:id="239"/>
      <w:r w:rsidR="000721C4">
        <w:t xml:space="preserve">} </w:t>
      </w:r>
      <w:r>
        <w:t>Puis</w:t>
      </w:r>
      <w:r w:rsidRPr="002C4077">
        <w:t xml:space="preserve"> </w:t>
      </w:r>
      <w:r>
        <w:t>il</w:t>
      </w:r>
      <w:r w:rsidRPr="002C4077">
        <w:t xml:space="preserve"> </w:t>
      </w:r>
      <w:r>
        <w:t>ajoute</w:t>
      </w:r>
      <w:r w:rsidR="00B546AF">
        <w:t> :</w:t>
      </w:r>
      <w:r w:rsidRPr="002C4077">
        <w:t xml:space="preserve"> </w:t>
      </w:r>
      <w:r w:rsidR="00B546AF">
        <w:t>« </w:t>
      </w:r>
      <w:r>
        <w:t>Nihil</w:t>
      </w:r>
      <w:r w:rsidRPr="002C4077">
        <w:t xml:space="preserve"> </w:t>
      </w:r>
      <w:r>
        <w:t>s</w:t>
      </w:r>
      <w:r w:rsidR="001730C6">
        <w:t>ig</w:t>
      </w:r>
      <w:r>
        <w:t>num</w:t>
      </w:r>
      <w:r w:rsidRPr="002C4077">
        <w:t xml:space="preserve"> </w:t>
      </w:r>
      <w:r w:rsidR="003B53FD">
        <w:t>vidéri</w:t>
      </w:r>
      <w:r w:rsidRPr="002C4077">
        <w:t xml:space="preserve"> </w:t>
      </w:r>
      <w:r>
        <w:t>possit</w:t>
      </w:r>
      <w:r w:rsidRPr="002C4077">
        <w:t xml:space="preserve"> </w:t>
      </w:r>
      <w:r>
        <w:t>re</w:t>
      </w:r>
      <w:r w:rsidRPr="002C4077">
        <w:t xml:space="preserve"> </w:t>
      </w:r>
      <w:r w:rsidR="00AA6E8D">
        <w:t>quotidiána,</w:t>
      </w:r>
      <w:r w:rsidR="00AA6E8D" w:rsidRPr="002C4077">
        <w:t xml:space="preserve"> </w:t>
      </w:r>
      <w:r w:rsidR="00AA6E8D">
        <w:t>juvénculæ</w:t>
      </w:r>
      <w:r w:rsidRPr="002C4077">
        <w:t xml:space="preserve"> </w:t>
      </w:r>
      <w:r w:rsidR="003B53FD">
        <w:t>scílicet</w:t>
      </w:r>
      <w:r w:rsidRPr="002C4077">
        <w:t xml:space="preserve"> </w:t>
      </w:r>
      <w:r>
        <w:t>pr</w:t>
      </w:r>
      <w:r w:rsidR="003B53FD">
        <w:t>ægnátus</w:t>
      </w:r>
      <w:r w:rsidRPr="002C4077">
        <w:t xml:space="preserve"> </w:t>
      </w:r>
      <w:r>
        <w:t>et</w:t>
      </w:r>
      <w:r w:rsidRPr="002C4077">
        <w:t xml:space="preserve"> </w:t>
      </w:r>
      <w:r>
        <w:t>partus</w:t>
      </w:r>
      <w:r w:rsidR="00B91AF7">
        <w:rPr>
          <w:rStyle w:val="Appelnotedebasdep"/>
        </w:rPr>
        <w:footnoteReference w:id="221"/>
      </w:r>
      <w:r w:rsidR="00B546AF">
        <w:t> »</w:t>
      </w:r>
      <w:r>
        <w:t>.</w:t>
      </w:r>
      <w:r w:rsidRPr="002C4077">
        <w:t xml:space="preserve"> </w:t>
      </w:r>
      <w:r>
        <w:t>De</w:t>
      </w:r>
      <w:r w:rsidRPr="002C4077">
        <w:t xml:space="preserve"> </w:t>
      </w:r>
      <w:r>
        <w:t>même</w:t>
      </w:r>
      <w:r w:rsidRPr="002C4077">
        <w:t xml:space="preserve"> </w:t>
      </w:r>
      <w:r>
        <w:t>saint</w:t>
      </w:r>
      <w:r w:rsidRPr="002C4077">
        <w:t xml:space="preserve"> </w:t>
      </w:r>
      <w:r>
        <w:t>Jérôme</w:t>
      </w:r>
      <w:r w:rsidR="00B91AF7">
        <w:rPr>
          <w:rStyle w:val="Appelnotedebasdep"/>
        </w:rPr>
        <w:footnoteReference w:id="222"/>
      </w:r>
      <w:r w:rsidR="00B546AF">
        <w:t> :</w:t>
      </w:r>
      <w:r w:rsidRPr="002C4077">
        <w:t xml:space="preserve"> </w:t>
      </w:r>
      <w:r w:rsidR="00B546AF">
        <w:t>« </w:t>
      </w:r>
      <w:r>
        <w:t>Quando</w:t>
      </w:r>
      <w:r w:rsidRPr="002C4077">
        <w:t xml:space="preserve"> </w:t>
      </w:r>
      <w:r>
        <w:t>d</w:t>
      </w:r>
      <w:r w:rsidR="003B53FD">
        <w:t>ícitur</w:t>
      </w:r>
      <w:r w:rsidRPr="002C4077">
        <w:t xml:space="preserve"> </w:t>
      </w:r>
      <w:r w:rsidRPr="000A34B5">
        <w:rPr>
          <w:rStyle w:val="italicus"/>
        </w:rPr>
        <w:t>signum,</w:t>
      </w:r>
      <w:r w:rsidRPr="002C4077">
        <w:t xml:space="preserve"> </w:t>
      </w:r>
      <w:r>
        <w:t>novum</w:t>
      </w:r>
      <w:r w:rsidRPr="002C4077">
        <w:t xml:space="preserve"> </w:t>
      </w:r>
      <w:r>
        <w:t>debet</w:t>
      </w:r>
      <w:r w:rsidRPr="002C4077">
        <w:t xml:space="preserve"> </w:t>
      </w:r>
      <w:r>
        <w:t>esse</w:t>
      </w:r>
      <w:r w:rsidRPr="002C4077">
        <w:t xml:space="preserve"> </w:t>
      </w:r>
      <w:r>
        <w:t>atque</w:t>
      </w:r>
      <w:r w:rsidRPr="002C4077">
        <w:t xml:space="preserve"> </w:t>
      </w:r>
      <w:r w:rsidR="00AA6E8D">
        <w:t>mirábile</w:t>
      </w:r>
      <w:r>
        <w:t>.</w:t>
      </w:r>
      <w:r w:rsidRPr="002C4077">
        <w:t xml:space="preserve"> </w:t>
      </w:r>
      <w:r>
        <w:t>Sin</w:t>
      </w:r>
      <w:r w:rsidRPr="002C4077">
        <w:t xml:space="preserve"> </w:t>
      </w:r>
      <w:r>
        <w:t>autem</w:t>
      </w:r>
      <w:r w:rsidRPr="002C4077">
        <w:t xml:space="preserve"> </w:t>
      </w:r>
      <w:r>
        <w:t>juv</w:t>
      </w:r>
      <w:r w:rsidR="00AA6E8D">
        <w:t>é</w:t>
      </w:r>
      <w:r>
        <w:t>ncula,</w:t>
      </w:r>
      <w:r w:rsidRPr="002C4077">
        <w:t xml:space="preserve"> </w:t>
      </w:r>
      <w:r>
        <w:t>vel</w:t>
      </w:r>
      <w:r w:rsidRPr="002C4077">
        <w:t xml:space="preserve"> </w:t>
      </w:r>
      <w:r w:rsidR="00AA6E8D">
        <w:t>puélla</w:t>
      </w:r>
      <w:r>
        <w:t>,</w:t>
      </w:r>
      <w:r w:rsidRPr="002C4077">
        <w:t xml:space="preserve"> </w:t>
      </w:r>
      <w:r>
        <w:t>ut</w:t>
      </w:r>
      <w:r w:rsidRPr="002C4077">
        <w:t xml:space="preserve"> </w:t>
      </w:r>
      <w:r w:rsidR="003B53FD">
        <w:t>Judǽi</w:t>
      </w:r>
      <w:r w:rsidRPr="002C4077">
        <w:t xml:space="preserve"> </w:t>
      </w:r>
      <w:r>
        <w:t>volunt,</w:t>
      </w:r>
      <w:r w:rsidRPr="002C4077">
        <w:t xml:space="preserve"> </w:t>
      </w:r>
      <w:r>
        <w:t>et</w:t>
      </w:r>
      <w:r w:rsidRPr="002C4077">
        <w:t xml:space="preserve"> </w:t>
      </w:r>
      <w:r>
        <w:t>non</w:t>
      </w:r>
      <w:r w:rsidRPr="002C4077">
        <w:t xml:space="preserve"> </w:t>
      </w:r>
      <w:r>
        <w:t>virgo</w:t>
      </w:r>
      <w:r w:rsidRPr="002C4077">
        <w:t xml:space="preserve"> </w:t>
      </w:r>
      <w:r w:rsidR="00AA6E8D">
        <w:t>páriat</w:t>
      </w:r>
      <w:r>
        <w:t>,</w:t>
      </w:r>
      <w:r w:rsidRPr="002C4077">
        <w:t xml:space="preserve"> </w:t>
      </w:r>
      <w:r>
        <w:t>quale</w:t>
      </w:r>
      <w:r w:rsidRPr="002C4077">
        <w:t xml:space="preserve"> </w:t>
      </w:r>
      <w:r>
        <w:t>signum</w:t>
      </w:r>
      <w:r w:rsidRPr="002C4077">
        <w:t xml:space="preserve"> </w:t>
      </w:r>
      <w:r>
        <w:t>p</w:t>
      </w:r>
      <w:r w:rsidR="003B53FD">
        <w:t>óterit</w:t>
      </w:r>
      <w:r w:rsidRPr="002C4077">
        <w:t xml:space="preserve"> </w:t>
      </w:r>
      <w:r>
        <w:t>app</w:t>
      </w:r>
      <w:r w:rsidR="003B53FD">
        <w:t>ellári</w:t>
      </w:r>
      <w:r>
        <w:t>,</w:t>
      </w:r>
      <w:r w:rsidRPr="002C4077">
        <w:t xml:space="preserve"> </w:t>
      </w:r>
      <w:r w:rsidR="003B53FD">
        <w:t>cum</w:t>
      </w:r>
      <w:r w:rsidRPr="002C4077">
        <w:t xml:space="preserve"> </w:t>
      </w:r>
      <w:r>
        <w:t>hoc</w:t>
      </w:r>
      <w:r w:rsidRPr="002C4077">
        <w:t xml:space="preserve"> </w:t>
      </w:r>
      <w:r>
        <w:t>nomen</w:t>
      </w:r>
      <w:r w:rsidRPr="002C4077">
        <w:t xml:space="preserve"> </w:t>
      </w:r>
      <w:r w:rsidR="00AA6E8D">
        <w:t>ætátis</w:t>
      </w:r>
      <w:r w:rsidRPr="002C4077">
        <w:t xml:space="preserve"> </w:t>
      </w:r>
      <w:r>
        <w:t>sit,</w:t>
      </w:r>
      <w:r w:rsidRPr="002C4077">
        <w:t xml:space="preserve"> </w:t>
      </w:r>
      <w:r>
        <w:t>non</w:t>
      </w:r>
      <w:r w:rsidRPr="002C4077">
        <w:t xml:space="preserve"> </w:t>
      </w:r>
      <w:r>
        <w:t>integ</w:t>
      </w:r>
      <w:r w:rsidR="003B53FD">
        <w:t>ritátis</w:t>
      </w:r>
      <w:r w:rsidR="00B546AF">
        <w:t> ? »</w:t>
      </w:r>
      <w:r w:rsidRPr="002C4077">
        <w:t xml:space="preserve"> </w:t>
      </w:r>
      <w:r w:rsidR="00AA6E8D">
        <w:t>Rosenmüller</w:t>
      </w:r>
      <w:r w:rsidRPr="002C4077">
        <w:t xml:space="preserve"> </w:t>
      </w:r>
      <w:r>
        <w:t>fait</w:t>
      </w:r>
      <w:r w:rsidRPr="002C4077">
        <w:t xml:space="preserve"> </w:t>
      </w:r>
      <w:r>
        <w:t>à</w:t>
      </w:r>
      <w:r w:rsidRPr="002C4077">
        <w:t xml:space="preserve"> </w:t>
      </w:r>
      <w:r>
        <w:t>c</w:t>
      </w:r>
      <w:r w:rsidR="008D184D">
        <w:t>e</w:t>
      </w:r>
      <w:r w:rsidR="008D184D" w:rsidRPr="002C4077">
        <w:t xml:space="preserve"> </w:t>
      </w:r>
      <w:r w:rsidR="008D184D">
        <w:t>sujet</w:t>
      </w:r>
      <w:r w:rsidR="008D184D" w:rsidRPr="002C4077">
        <w:t xml:space="preserve"> </w:t>
      </w:r>
      <w:r w:rsidR="008D184D">
        <w:t>une</w:t>
      </w:r>
      <w:r w:rsidR="008D184D" w:rsidRPr="002C4077">
        <w:t xml:space="preserve"> </w:t>
      </w:r>
      <w:r w:rsidR="008D184D">
        <w:t>frappante</w:t>
      </w:r>
      <w:r w:rsidR="008D184D" w:rsidRPr="002C4077">
        <w:t xml:space="preserve"> </w:t>
      </w:r>
      <w:r w:rsidR="008D184D">
        <w:t>réflexion</w:t>
      </w:r>
      <w:r w:rsidR="008D184D">
        <w:rPr>
          <w:rStyle w:val="Appelnotedebasdep"/>
        </w:rPr>
        <w:footnoteReference w:id="223"/>
      </w:r>
      <w:r w:rsidR="00B546AF">
        <w:t> :</w:t>
      </w:r>
      <w:r w:rsidRPr="002C4077">
        <w:t xml:space="preserve"> </w:t>
      </w:r>
      <w:r w:rsidR="00B546AF">
        <w:t>« </w:t>
      </w:r>
      <w:r w:rsidR="00AA6E8D">
        <w:t>Hærent</w:t>
      </w:r>
      <w:r w:rsidR="00AA6E8D" w:rsidRPr="002C4077">
        <w:t xml:space="preserve"> </w:t>
      </w:r>
      <w:r>
        <w:t>hic</w:t>
      </w:r>
      <w:r w:rsidRPr="002C4077">
        <w:t xml:space="preserve"> </w:t>
      </w:r>
      <w:r>
        <w:t>H</w:t>
      </w:r>
      <w:r w:rsidR="003B53FD">
        <w:t>ebrǽi</w:t>
      </w:r>
      <w:r w:rsidRPr="002C4077">
        <w:t xml:space="preserve"> </w:t>
      </w:r>
      <w:r>
        <w:t>et</w:t>
      </w:r>
      <w:r w:rsidRPr="002C4077">
        <w:t xml:space="preserve"> </w:t>
      </w:r>
      <w:r w:rsidR="00AA6E8D">
        <w:t>christiáni</w:t>
      </w:r>
      <w:r w:rsidRPr="002C4077">
        <w:t xml:space="preserve"> </w:t>
      </w:r>
      <w:r w:rsidR="00AA6E8D">
        <w:t>intérpretes</w:t>
      </w:r>
      <w:r w:rsidRPr="002C4077">
        <w:t xml:space="preserve"> </w:t>
      </w:r>
      <w:r>
        <w:t>illi</w:t>
      </w:r>
      <w:r w:rsidRPr="004440EA">
        <w:t xml:space="preserve"> (</w:t>
      </w:r>
      <w:r>
        <w:t>les</w:t>
      </w:r>
      <w:r w:rsidRPr="002C4077">
        <w:t xml:space="preserve"> </w:t>
      </w:r>
      <w:r>
        <w:t>rationalistes</w:t>
      </w:r>
      <w:r w:rsidR="00B546AF" w:rsidRPr="002C4077">
        <w:t>)</w:t>
      </w:r>
      <w:r w:rsidR="00AA6E8D" w:rsidRPr="002C4077">
        <w:t xml:space="preserve"> </w:t>
      </w:r>
      <w:r w:rsidR="00AA6E8D">
        <w:t>qui</w:t>
      </w:r>
      <w:r w:rsidR="00AA6E8D" w:rsidRPr="002C4077">
        <w:t xml:space="preserve"> </w:t>
      </w:r>
      <w:r w:rsidR="00AA6E8D" w:rsidRPr="00F97502">
        <w:rPr>
          <w:rtl/>
          <w:lang w:bidi="he-IL"/>
        </w:rPr>
        <w:t>עלמה</w:t>
      </w:r>
      <w:r w:rsidR="00AA6E8D" w:rsidRPr="002C4077">
        <w:t xml:space="preserve"> </w:t>
      </w:r>
      <w:r>
        <w:t>de</w:t>
      </w:r>
      <w:r w:rsidRPr="002C4077">
        <w:t xml:space="preserve"> </w:t>
      </w:r>
      <w:r>
        <w:t>nupta</w:t>
      </w:r>
      <w:r w:rsidRPr="002C4077">
        <w:t xml:space="preserve"> </w:t>
      </w:r>
      <w:r>
        <w:t>f</w:t>
      </w:r>
      <w:r w:rsidR="003B53FD">
        <w:t>émina</w:t>
      </w:r>
      <w:r w:rsidRPr="002C4077">
        <w:t xml:space="preserve"> </w:t>
      </w:r>
      <w:r w:rsidR="00AA6E8D">
        <w:t>cápiunt</w:t>
      </w:r>
      <w:r>
        <w:t>,</w:t>
      </w:r>
      <w:r w:rsidRPr="002C4077">
        <w:t xml:space="preserve"> </w:t>
      </w:r>
      <w:r>
        <w:t>neque</w:t>
      </w:r>
      <w:r w:rsidRPr="002C4077">
        <w:t xml:space="preserve"> </w:t>
      </w:r>
      <w:r>
        <w:t>q</w:t>
      </w:r>
      <w:r w:rsidR="003B53FD">
        <w:t>uómodo</w:t>
      </w:r>
      <w:r w:rsidRPr="002C4077">
        <w:t xml:space="preserve"> </w:t>
      </w:r>
      <w:r>
        <w:t>sese</w:t>
      </w:r>
      <w:r w:rsidRPr="002C4077">
        <w:t xml:space="preserve"> </w:t>
      </w:r>
      <w:r w:rsidR="00AA6E8D">
        <w:t>expédiant</w:t>
      </w:r>
      <w:r w:rsidRPr="002C4077">
        <w:t xml:space="preserve"> </w:t>
      </w:r>
      <w:r>
        <w:t>facile</w:t>
      </w:r>
      <w:r w:rsidRPr="002C4077">
        <w:t xml:space="preserve"> </w:t>
      </w:r>
      <w:r w:rsidR="00AA6E8D">
        <w:t>invéniunt</w:t>
      </w:r>
      <w:r w:rsidR="00B546AF">
        <w:t> »</w:t>
      </w:r>
      <w:r>
        <w:t>.</w:t>
      </w:r>
      <w:r w:rsidRPr="002C4077">
        <w:t xml:space="preserve"> </w:t>
      </w:r>
      <w:r>
        <w:t>Si</w:t>
      </w:r>
      <w:r w:rsidRPr="002C4077">
        <w:t xml:space="preserve"> </w:t>
      </w:r>
      <w:r>
        <w:t>du</w:t>
      </w:r>
      <w:r w:rsidRPr="002C4077">
        <w:t xml:space="preserve"> </w:t>
      </w:r>
      <w:r>
        <w:t>moins,</w:t>
      </w:r>
      <w:r w:rsidRPr="002C4077">
        <w:t xml:space="preserve"> </w:t>
      </w:r>
      <w:r>
        <w:t>dirons-nous</w:t>
      </w:r>
      <w:r w:rsidRPr="002C4077">
        <w:t xml:space="preserve"> </w:t>
      </w:r>
      <w:r>
        <w:t>avec</w:t>
      </w:r>
      <w:r w:rsidRPr="002C4077">
        <w:t xml:space="preserve"> </w:t>
      </w:r>
      <w:r>
        <w:t>M.</w:t>
      </w:r>
      <w:r w:rsidRPr="002C4077">
        <w:t xml:space="preserve"> </w:t>
      </w:r>
      <w:r>
        <w:t>Bœhl</w:t>
      </w:r>
      <w:r w:rsidR="00B91AF7">
        <w:rPr>
          <w:rStyle w:val="Appelnotedebasdep"/>
        </w:rPr>
        <w:footnoteReference w:id="224"/>
      </w:r>
      <w:r>
        <w:t>,</w:t>
      </w:r>
      <w:r w:rsidRPr="002C4077">
        <w:t xml:space="preserve"> </w:t>
      </w:r>
      <w:r>
        <w:t>si</w:t>
      </w:r>
      <w:r w:rsidRPr="002C4077">
        <w:t xml:space="preserve"> </w:t>
      </w:r>
      <w:r>
        <w:t>du</w:t>
      </w:r>
      <w:r w:rsidRPr="002C4077">
        <w:t xml:space="preserve"> </w:t>
      </w:r>
      <w:r>
        <w:t>moins</w:t>
      </w:r>
      <w:r w:rsidRPr="002C4077">
        <w:t xml:space="preserve"> </w:t>
      </w:r>
      <w:r>
        <w:t>c’était</w:t>
      </w:r>
      <w:r w:rsidRPr="002C4077">
        <w:t xml:space="preserve"> </w:t>
      </w:r>
      <w:r>
        <w:t>une</w:t>
      </w:r>
      <w:r w:rsidRPr="002C4077">
        <w:t xml:space="preserve"> </w:t>
      </w:r>
      <w:r>
        <w:t>f</w:t>
      </w:r>
      <w:r w:rsidR="00AA6E8D">
        <w:t>emme</w:t>
      </w:r>
      <w:r w:rsidR="00AA6E8D" w:rsidRPr="002C4077">
        <w:t xml:space="preserve"> </w:t>
      </w:r>
      <w:r w:rsidR="00AA6E8D">
        <w:t>âgée,</w:t>
      </w:r>
      <w:r w:rsidR="00AA6E8D" w:rsidRPr="002C4077">
        <w:t xml:space="preserve"> </w:t>
      </w:r>
      <w:r w:rsidR="00AA6E8D">
        <w:t>stérile,</w:t>
      </w:r>
      <w:r w:rsidR="00AA6E8D" w:rsidRPr="002C4077">
        <w:t xml:space="preserve"> </w:t>
      </w:r>
      <w:r w:rsidR="00AA6E8D">
        <w:t>comme</w:t>
      </w:r>
      <w:r w:rsidR="00AA6E8D" w:rsidRPr="002C4077">
        <w:t xml:space="preserve"> </w:t>
      </w:r>
      <w:r w:rsidR="00AA6E8D">
        <w:t>Sara</w:t>
      </w:r>
      <w:r>
        <w:t>,</w:t>
      </w:r>
      <w:r w:rsidRPr="002C4077">
        <w:t xml:space="preserve"> </w:t>
      </w:r>
      <w:r>
        <w:t>il</w:t>
      </w:r>
      <w:r w:rsidRPr="002C4077">
        <w:t xml:space="preserve"> </w:t>
      </w:r>
      <w:r>
        <w:t>y</w:t>
      </w:r>
      <w:r w:rsidRPr="002C4077">
        <w:t xml:space="preserve"> </w:t>
      </w:r>
      <w:r>
        <w:t>aurait</w:t>
      </w:r>
      <w:r w:rsidRPr="002C4077">
        <w:t xml:space="preserve"> </w:t>
      </w:r>
      <w:r>
        <w:t>encore</w:t>
      </w:r>
      <w:r w:rsidRPr="002C4077">
        <w:t xml:space="preserve"> </w:t>
      </w:r>
      <w:r>
        <w:t>quelque</w:t>
      </w:r>
      <w:r w:rsidRPr="002C4077">
        <w:t xml:space="preserve"> </w:t>
      </w:r>
      <w:r>
        <w:t>chose</w:t>
      </w:r>
      <w:r w:rsidRPr="002C4077">
        <w:t xml:space="preserve"> </w:t>
      </w:r>
      <w:r>
        <w:t>d’extraordinaire.</w:t>
      </w:r>
      <w:r w:rsidRPr="002C4077">
        <w:t xml:space="preserve"> </w:t>
      </w:r>
      <w:r>
        <w:t>Mais</w:t>
      </w:r>
      <w:r w:rsidRPr="002C4077">
        <w:t xml:space="preserve"> </w:t>
      </w:r>
      <w:r>
        <w:t>non,</w:t>
      </w:r>
      <w:r w:rsidRPr="002C4077">
        <w:t xml:space="preserve"> </w:t>
      </w:r>
      <w:r>
        <w:t>nos</w:t>
      </w:r>
      <w:r w:rsidRPr="002C4077">
        <w:t xml:space="preserve"> </w:t>
      </w:r>
      <w:r>
        <w:t>adversaires</w:t>
      </w:r>
      <w:r w:rsidRPr="002C4077">
        <w:t xml:space="preserve"> </w:t>
      </w:r>
      <w:r>
        <w:t>eux-mêmes</w:t>
      </w:r>
      <w:r w:rsidRPr="002C4077">
        <w:t xml:space="preserve"> </w:t>
      </w:r>
      <w:r>
        <w:t>conviennent</w:t>
      </w:r>
      <w:r w:rsidRPr="002C4077">
        <w:t xml:space="preserve"> </w:t>
      </w:r>
      <w:r>
        <w:t>qu’il</w:t>
      </w:r>
      <w:r w:rsidRPr="002C4077">
        <w:t xml:space="preserve"> </w:t>
      </w:r>
      <w:r w:rsidR="00425C50">
        <w:t>est</w:t>
      </w:r>
      <w:r w:rsidRPr="002C4077">
        <w:t xml:space="preserve"> </w:t>
      </w:r>
      <w:r>
        <w:t>ici</w:t>
      </w:r>
      <w:r w:rsidRPr="002C4077">
        <w:t xml:space="preserve"> </w:t>
      </w:r>
      <w:r>
        <w:t>question</w:t>
      </w:r>
      <w:r w:rsidRPr="002C4077">
        <w:t xml:space="preserve"> </w:t>
      </w:r>
      <w:r>
        <w:t>d’une</w:t>
      </w:r>
      <w:r w:rsidRPr="002C4077">
        <w:t xml:space="preserve"> </w:t>
      </w:r>
      <w:r>
        <w:t>jeune</w:t>
      </w:r>
      <w:r w:rsidRPr="002C4077">
        <w:t xml:space="preserve"> </w:t>
      </w:r>
      <w:r>
        <w:t>femme.</w:t>
      </w:r>
      <w:r w:rsidRPr="002C4077">
        <w:t xml:space="preserve"> </w:t>
      </w:r>
    </w:p>
    <w:p w:rsidR="000A7AAB" w:rsidRDefault="000A7AAB" w:rsidP="000A7AAB">
      <w:r>
        <w:t>C’est</w:t>
      </w:r>
      <w:r w:rsidRPr="002C4077">
        <w:t xml:space="preserve"> </w:t>
      </w:r>
      <w:r>
        <w:t>la</w:t>
      </w:r>
      <w:r w:rsidRPr="002C4077">
        <w:t xml:space="preserve"> </w:t>
      </w:r>
      <w:r>
        <w:t>particule</w:t>
      </w:r>
      <w:r w:rsidRPr="002C4077">
        <w:t xml:space="preserve"> </w:t>
      </w:r>
      <w:r w:rsidR="00AA6E8D" w:rsidRPr="00F97502">
        <w:rPr>
          <w:rtl/>
          <w:lang w:bidi="he-IL"/>
        </w:rPr>
        <w:t>הנה</w:t>
      </w:r>
      <w:r>
        <w:t>,</w:t>
      </w:r>
      <w:r w:rsidRPr="002C4077">
        <w:t xml:space="preserve"> </w:t>
      </w:r>
      <w:r w:rsidRPr="000A34B5">
        <w:rPr>
          <w:rStyle w:val="italicus"/>
        </w:rPr>
        <w:t>ecce,</w:t>
      </w:r>
      <w:r w:rsidRPr="002C4077">
        <w:t xml:space="preserve"> </w:t>
      </w:r>
      <w:r>
        <w:t>par</w:t>
      </w:r>
      <w:r w:rsidRPr="002C4077">
        <w:t xml:space="preserve"> </w:t>
      </w:r>
      <w:r>
        <w:t>laquelle</w:t>
      </w:r>
      <w:r w:rsidRPr="002C4077">
        <w:t xml:space="preserve"> </w:t>
      </w:r>
      <w:r>
        <w:t>le</w:t>
      </w:r>
      <w:r w:rsidRPr="002C4077">
        <w:t xml:space="preserve"> </w:t>
      </w:r>
      <w:r>
        <w:t>prophète</w:t>
      </w:r>
      <w:r w:rsidRPr="002C4077">
        <w:t xml:space="preserve"> </w:t>
      </w:r>
      <w:r w:rsidR="00B546AF">
        <w:t>« </w:t>
      </w:r>
      <w:r>
        <w:t>attent</w:t>
      </w:r>
      <w:r w:rsidR="003B53FD">
        <w:t>iónem</w:t>
      </w:r>
      <w:r w:rsidR="00AA6E8D" w:rsidRPr="002C4077">
        <w:t xml:space="preserve"> </w:t>
      </w:r>
      <w:r w:rsidR="00AA6E8D">
        <w:t>éxcitat</w:t>
      </w:r>
      <w:r w:rsidRPr="002C4077">
        <w:t xml:space="preserve"> </w:t>
      </w:r>
      <w:r>
        <w:t>au</w:t>
      </w:r>
      <w:r w:rsidR="003B53FD">
        <w:t>ditórum</w:t>
      </w:r>
      <w:r>
        <w:t>,</w:t>
      </w:r>
      <w:r w:rsidRPr="002C4077">
        <w:t xml:space="preserve"> </w:t>
      </w:r>
      <w:r>
        <w:t>argu</w:t>
      </w:r>
      <w:r w:rsidR="00AA6E8D">
        <w:t>í</w:t>
      </w:r>
      <w:r>
        <w:t>tque</w:t>
      </w:r>
      <w:r w:rsidRPr="002C4077">
        <w:t xml:space="preserve"> </w:t>
      </w:r>
      <w:r>
        <w:t>rem</w:t>
      </w:r>
      <w:r w:rsidRPr="002C4077">
        <w:t xml:space="preserve"> </w:t>
      </w:r>
      <w:r>
        <w:t>pr</w:t>
      </w:r>
      <w:r w:rsidR="001730C6">
        <w:t>o</w:t>
      </w:r>
      <w:r w:rsidR="003B53FD">
        <w:t>ponéndam</w:t>
      </w:r>
      <w:r w:rsidRPr="002C4077">
        <w:t xml:space="preserve"> </w:t>
      </w:r>
      <w:r>
        <w:t>esse</w:t>
      </w:r>
      <w:r w:rsidRPr="002C4077">
        <w:t xml:space="preserve"> </w:t>
      </w:r>
      <w:r>
        <w:t>prorsus</w:t>
      </w:r>
      <w:r w:rsidRPr="002C4077">
        <w:t xml:space="preserve"> </w:t>
      </w:r>
      <w:r w:rsidR="00AA6E8D">
        <w:t>singulárem</w:t>
      </w:r>
      <w:r>
        <w:t>,</w:t>
      </w:r>
      <w:r w:rsidRPr="002C4077">
        <w:t xml:space="preserve"> </w:t>
      </w:r>
      <w:r>
        <w:t>et</w:t>
      </w:r>
      <w:r w:rsidRPr="002C4077">
        <w:t xml:space="preserve"> </w:t>
      </w:r>
      <w:r>
        <w:t>animadvers</w:t>
      </w:r>
      <w:r w:rsidR="003B53FD">
        <w:t>ióne</w:t>
      </w:r>
      <w:r w:rsidRPr="002C4077">
        <w:t xml:space="preserve"> </w:t>
      </w:r>
      <w:r>
        <w:t>dignam</w:t>
      </w:r>
      <w:r w:rsidR="00B91AF7">
        <w:rPr>
          <w:rStyle w:val="Appelnotedebasdep"/>
        </w:rPr>
        <w:footnoteReference w:id="225"/>
      </w:r>
      <w:r w:rsidR="00B546AF">
        <w:t> »</w:t>
      </w:r>
      <w:r>
        <w:t>.</w:t>
      </w:r>
      <w:r w:rsidRPr="002C4077">
        <w:t xml:space="preserve"> </w:t>
      </w:r>
    </w:p>
    <w:p w:rsidR="000A7AAB" w:rsidRPr="000721C4" w:rsidRDefault="000A7AAB" w:rsidP="000A7AAB">
      <w:r>
        <w:t>C’est</w:t>
      </w:r>
      <w:r w:rsidRPr="002C4077">
        <w:t xml:space="preserve"> </w:t>
      </w:r>
      <w:r>
        <w:t>l’article,</w:t>
      </w:r>
      <w:r w:rsidRPr="002C4077">
        <w:t xml:space="preserve"> </w:t>
      </w:r>
      <w:r>
        <w:t>placé</w:t>
      </w:r>
      <w:r w:rsidRPr="002C4077">
        <w:t xml:space="preserve"> </w:t>
      </w:r>
      <w:r>
        <w:t>en</w:t>
      </w:r>
      <w:r w:rsidRPr="002C4077">
        <w:t xml:space="preserve"> </w:t>
      </w:r>
      <w:r>
        <w:t>avant</w:t>
      </w:r>
      <w:r w:rsidRPr="002C4077">
        <w:t xml:space="preserve"> </w:t>
      </w:r>
      <w:r>
        <w:t>du</w:t>
      </w:r>
      <w:r w:rsidRPr="002C4077">
        <w:t xml:space="preserve"> </w:t>
      </w:r>
      <w:r>
        <w:t>substantif</w:t>
      </w:r>
      <w:r w:rsidRPr="002C4077">
        <w:t xml:space="preserve"> </w:t>
      </w:r>
      <w:r w:rsidR="00D40830" w:rsidRPr="00D05EA9">
        <w:rPr>
          <w:rStyle w:val="italicus"/>
        </w:rPr>
        <w:t>῾almah</w:t>
      </w:r>
      <w:r w:rsidR="00F6492C">
        <w:rPr>
          <w:rStyle w:val="Appelnotedebasdep"/>
          <w:i/>
        </w:rPr>
        <w:footnoteReference w:id="226"/>
      </w:r>
      <w:r w:rsidR="00F6492C" w:rsidRPr="000A34B5">
        <w:rPr>
          <w:rStyle w:val="italicus"/>
        </w:rPr>
        <w:t>,</w:t>
      </w:r>
      <w:r w:rsidRPr="002C4077">
        <w:t xml:space="preserve"> </w:t>
      </w:r>
      <w:r>
        <w:t>de</w:t>
      </w:r>
      <w:r w:rsidRPr="002C4077">
        <w:t xml:space="preserve"> </w:t>
      </w:r>
      <w:r>
        <w:t>manière</w:t>
      </w:r>
      <w:r w:rsidRPr="002C4077">
        <w:t xml:space="preserve"> </w:t>
      </w:r>
      <w:r>
        <w:t>à</w:t>
      </w:r>
      <w:r w:rsidRPr="002C4077">
        <w:t xml:space="preserve"> </w:t>
      </w:r>
      <w:r>
        <w:t>le</w:t>
      </w:r>
      <w:r w:rsidRPr="002C4077">
        <w:t xml:space="preserve"> </w:t>
      </w:r>
      <w:r>
        <w:t>mettre</w:t>
      </w:r>
      <w:r w:rsidRPr="002C4077">
        <w:t xml:space="preserve"> </w:t>
      </w:r>
      <w:r>
        <w:t>beaucoup</w:t>
      </w:r>
      <w:r w:rsidRPr="002C4077">
        <w:t xml:space="preserve"> </w:t>
      </w:r>
      <w:r>
        <w:t>plus</w:t>
      </w:r>
      <w:r w:rsidRPr="002C4077">
        <w:t xml:space="preserve"> </w:t>
      </w:r>
      <w:r>
        <w:t>en</w:t>
      </w:r>
      <w:r w:rsidRPr="002C4077">
        <w:t xml:space="preserve"> </w:t>
      </w:r>
      <w:r>
        <w:t>relief.</w:t>
      </w:r>
      <w:r w:rsidRPr="002C4077">
        <w:t xml:space="preserve"> </w:t>
      </w:r>
      <w:r w:rsidR="00B546AF">
        <w:t>« </w:t>
      </w:r>
      <w:r>
        <w:t>Virgo</w:t>
      </w:r>
      <w:r w:rsidRPr="002C4077">
        <w:t xml:space="preserve"> </w:t>
      </w:r>
      <w:r>
        <w:t>illa</w:t>
      </w:r>
      <w:r w:rsidR="00B546AF">
        <w:t> »</w:t>
      </w:r>
      <w:r>
        <w:t>,</w:t>
      </w:r>
      <w:r w:rsidRPr="002C4077">
        <w:t xml:space="preserve"> </w:t>
      </w:r>
      <w:r>
        <w:t>pourrait-on</w:t>
      </w:r>
      <w:r w:rsidRPr="002C4077">
        <w:t xml:space="preserve"> </w:t>
      </w:r>
      <w:r>
        <w:t>traduire</w:t>
      </w:r>
      <w:r w:rsidR="00B546AF">
        <w:t> ;</w:t>
      </w:r>
      <w:r w:rsidRPr="002C4077">
        <w:t xml:space="preserve"> </w:t>
      </w:r>
      <w:r>
        <w:t>ou</w:t>
      </w:r>
      <w:r w:rsidRPr="002C4077">
        <w:t xml:space="preserve"> </w:t>
      </w:r>
      <w:r>
        <w:t>même</w:t>
      </w:r>
      <w:r w:rsidR="00B546AF">
        <w:t> :</w:t>
      </w:r>
      <w:r w:rsidRPr="002C4077">
        <w:t xml:space="preserve"> </w:t>
      </w:r>
      <w:r w:rsidR="00B546AF">
        <w:t>« </w:t>
      </w:r>
      <w:r>
        <w:t>Virgo</w:t>
      </w:r>
      <w:r w:rsidRPr="002C4077">
        <w:t xml:space="preserve"> </w:t>
      </w:r>
      <w:r>
        <w:t>illa</w:t>
      </w:r>
      <w:r w:rsidRPr="002C4077">
        <w:t xml:space="preserve"> </w:t>
      </w:r>
      <w:r w:rsidR="00AA6E8D">
        <w:t>singuláris</w:t>
      </w:r>
      <w:r w:rsidR="00B546AF">
        <w:t> »</w:t>
      </w:r>
      <w:r>
        <w:t>.</w:t>
      </w:r>
      <w:r w:rsidRPr="002C4077">
        <w:t xml:space="preserve"> </w:t>
      </w:r>
      <w:r>
        <w:t>Saint</w:t>
      </w:r>
      <w:r w:rsidRPr="002C4077">
        <w:t xml:space="preserve"> </w:t>
      </w:r>
      <w:r>
        <w:t>Jean</w:t>
      </w:r>
      <w:r w:rsidRPr="002C4077">
        <w:t xml:space="preserve"> </w:t>
      </w:r>
      <w:r>
        <w:t>Chrysostome</w:t>
      </w:r>
      <w:r w:rsidRPr="002C4077">
        <w:t xml:space="preserve"> </w:t>
      </w:r>
      <w:r>
        <w:t>n’a</w:t>
      </w:r>
      <w:r w:rsidRPr="002C4077">
        <w:t xml:space="preserve"> </w:t>
      </w:r>
      <w:r>
        <w:t>pas</w:t>
      </w:r>
      <w:r w:rsidRPr="002C4077">
        <w:t xml:space="preserve"> </w:t>
      </w:r>
      <w:r>
        <w:t>manqué</w:t>
      </w:r>
      <w:r w:rsidRPr="002C4077">
        <w:t xml:space="preserve"> </w:t>
      </w:r>
      <w:r>
        <w:t>de</w:t>
      </w:r>
      <w:r w:rsidRPr="002C4077">
        <w:t xml:space="preserve"> </w:t>
      </w:r>
      <w:r>
        <w:t>signaler</w:t>
      </w:r>
      <w:r w:rsidRPr="002C4077">
        <w:t xml:space="preserve"> </w:t>
      </w:r>
      <w:r>
        <w:t>cette</w:t>
      </w:r>
      <w:r w:rsidRPr="002C4077">
        <w:t xml:space="preserve"> </w:t>
      </w:r>
      <w:r>
        <w:t>circonstance.</w:t>
      </w:r>
      <w:r w:rsidRPr="002C4077">
        <w:t xml:space="preserve"> </w:t>
      </w:r>
      <w:r w:rsidR="00B546AF">
        <w:t>« </w:t>
      </w:r>
      <w:r>
        <w:t>Dès</w:t>
      </w:r>
      <w:r w:rsidRPr="002C4077">
        <w:t xml:space="preserve"> </w:t>
      </w:r>
      <w:r>
        <w:t>le</w:t>
      </w:r>
      <w:r w:rsidRPr="002C4077">
        <w:t xml:space="preserve"> </w:t>
      </w:r>
      <w:r>
        <w:t>début,</w:t>
      </w:r>
      <w:r w:rsidRPr="002C4077">
        <w:t xml:space="preserve"> </w:t>
      </w:r>
      <w:r>
        <w:t>Isaïe</w:t>
      </w:r>
      <w:r w:rsidRPr="002C4077">
        <w:t xml:space="preserve"> </w:t>
      </w:r>
      <w:r>
        <w:t>ne</w:t>
      </w:r>
      <w:r w:rsidRPr="002C4077">
        <w:t xml:space="preserve"> </w:t>
      </w:r>
      <w:r>
        <w:t>dit</w:t>
      </w:r>
      <w:r w:rsidRPr="002C4077">
        <w:t xml:space="preserve"> </w:t>
      </w:r>
      <w:r>
        <w:t>pas</w:t>
      </w:r>
      <w:r w:rsidRPr="002C4077">
        <w:t xml:space="preserve"> </w:t>
      </w:r>
      <w:r>
        <w:t>simplement</w:t>
      </w:r>
      <w:r w:rsidR="00B546AF">
        <w:t> :</w:t>
      </w:r>
      <w:r w:rsidRPr="002C4077">
        <w:t xml:space="preserve"> </w:t>
      </w:r>
      <w:r>
        <w:t>Voici</w:t>
      </w:r>
      <w:r w:rsidRPr="002C4077">
        <w:t xml:space="preserve"> </w:t>
      </w:r>
      <w:r>
        <w:t>qu’une</w:t>
      </w:r>
      <w:r w:rsidRPr="002C4077">
        <w:t xml:space="preserve"> </w:t>
      </w:r>
      <w:r>
        <w:t>vierge,</w:t>
      </w:r>
      <w:r w:rsidRPr="002C4077">
        <w:t xml:space="preserve"> </w:t>
      </w:r>
      <w:r>
        <w:t>mais</w:t>
      </w:r>
      <w:r w:rsidR="00B546AF">
        <w:t> :</w:t>
      </w:r>
      <w:r w:rsidRPr="002C4077">
        <w:t xml:space="preserve"> </w:t>
      </w:r>
      <w:r>
        <w:t>Voici</w:t>
      </w:r>
      <w:r w:rsidRPr="002C4077">
        <w:t xml:space="preserve"> </w:t>
      </w:r>
      <w:r>
        <w:t>que</w:t>
      </w:r>
      <w:r w:rsidRPr="002C4077">
        <w:t xml:space="preserve"> </w:t>
      </w:r>
      <w:r w:rsidRPr="000A34B5">
        <w:rPr>
          <w:rStyle w:val="italicus"/>
        </w:rPr>
        <w:t>la</w:t>
      </w:r>
      <w:r w:rsidRPr="002C4077">
        <w:t xml:space="preserve"> </w:t>
      </w:r>
      <w:r>
        <w:t>vierge</w:t>
      </w:r>
      <w:r w:rsidR="00B546AF">
        <w:t> ;</w:t>
      </w:r>
      <w:r w:rsidRPr="002C4077">
        <w:t xml:space="preserve"> </w:t>
      </w:r>
      <w:r>
        <w:t>il</w:t>
      </w:r>
      <w:r w:rsidRPr="002C4077">
        <w:t xml:space="preserve"> </w:t>
      </w:r>
      <w:r>
        <w:t>indique</w:t>
      </w:r>
      <w:r w:rsidRPr="002C4077">
        <w:t xml:space="preserve"> </w:t>
      </w:r>
      <w:r>
        <w:t>par</w:t>
      </w:r>
      <w:r w:rsidRPr="002C4077">
        <w:t xml:space="preserve"> </w:t>
      </w:r>
      <w:r>
        <w:t>l’addition</w:t>
      </w:r>
      <w:r w:rsidRPr="002C4077">
        <w:t xml:space="preserve"> </w:t>
      </w:r>
      <w:r>
        <w:t>de</w:t>
      </w:r>
      <w:r w:rsidRPr="002C4077">
        <w:t xml:space="preserve"> </w:t>
      </w:r>
      <w:r>
        <w:t>l’article</w:t>
      </w:r>
      <w:r w:rsidRPr="002C4077">
        <w:t xml:space="preserve"> </w:t>
      </w:r>
      <w:r>
        <w:t>qu’il</w:t>
      </w:r>
      <w:r w:rsidRPr="002C4077">
        <w:t xml:space="preserve"> </w:t>
      </w:r>
      <w:r>
        <w:t>veut</w:t>
      </w:r>
      <w:r w:rsidRPr="002C4077">
        <w:t xml:space="preserve"> </w:t>
      </w:r>
      <w:r>
        <w:t>parler</w:t>
      </w:r>
      <w:r w:rsidRPr="002C4077">
        <w:t xml:space="preserve"> </w:t>
      </w:r>
      <w:r>
        <w:t>d’une</w:t>
      </w:r>
      <w:r w:rsidRPr="002C4077">
        <w:t xml:space="preserve"> </w:t>
      </w:r>
      <w:r>
        <w:t>vierge</w:t>
      </w:r>
      <w:r w:rsidRPr="002C4077">
        <w:t xml:space="preserve"> </w:t>
      </w:r>
      <w:r>
        <w:t>fameuse</w:t>
      </w:r>
      <w:r w:rsidRPr="002C4077">
        <w:t xml:space="preserve"> </w:t>
      </w:r>
      <w:r>
        <w:t>et</w:t>
      </w:r>
      <w:r w:rsidRPr="002C4077">
        <w:t xml:space="preserve"> </w:t>
      </w:r>
      <w:r>
        <w:t>unique</w:t>
      </w:r>
      <w:r w:rsidR="00B91AF7">
        <w:rPr>
          <w:rStyle w:val="Appelnotedebasdep"/>
        </w:rPr>
        <w:footnoteReference w:id="227"/>
      </w:r>
      <w:r w:rsidR="00B546AF">
        <w:t> »</w:t>
      </w:r>
      <w:r>
        <w:t>.</w:t>
      </w:r>
      <w:r w:rsidRPr="002C4077">
        <w:t xml:space="preserve"> </w:t>
      </w:r>
      <w:r>
        <w:t>Les</w:t>
      </w:r>
      <w:r w:rsidRPr="002C4077">
        <w:t xml:space="preserve"> </w:t>
      </w:r>
      <w:r>
        <w:t>meilleurs</w:t>
      </w:r>
      <w:r w:rsidRPr="002C4077">
        <w:t xml:space="preserve"> </w:t>
      </w:r>
      <w:r>
        <w:t>exégètes</w:t>
      </w:r>
      <w:r w:rsidRPr="002C4077">
        <w:t xml:space="preserve"> </w:t>
      </w:r>
      <w:r>
        <w:t>anciens</w:t>
      </w:r>
      <w:r w:rsidRPr="002C4077">
        <w:t xml:space="preserve"> </w:t>
      </w:r>
      <w:r>
        <w:t>et</w:t>
      </w:r>
      <w:r w:rsidRPr="002C4077">
        <w:t xml:space="preserve"> </w:t>
      </w:r>
      <w:r>
        <w:t>contemporains</w:t>
      </w:r>
      <w:r w:rsidRPr="002C4077">
        <w:t xml:space="preserve"> </w:t>
      </w:r>
      <w:r>
        <w:t>font</w:t>
      </w:r>
      <w:r w:rsidRPr="002C4077">
        <w:t xml:space="preserve"> </w:t>
      </w:r>
      <w:r>
        <w:t>un</w:t>
      </w:r>
      <w:r w:rsidRPr="002C4077">
        <w:t xml:space="preserve"> </w:t>
      </w:r>
      <w:r>
        <w:t>raisonnement</w:t>
      </w:r>
      <w:r w:rsidRPr="002C4077">
        <w:t xml:space="preserve"> </w:t>
      </w:r>
      <w:r>
        <w:t>identique</w:t>
      </w:r>
      <w:r w:rsidR="00B91AF7">
        <w:rPr>
          <w:rStyle w:val="Appelnotedebasdep"/>
        </w:rPr>
        <w:footnoteReference w:id="228"/>
      </w:r>
      <w:r>
        <w:t>.</w:t>
      </w:r>
      <w:r w:rsidR="00C45B47">
        <w:t xml:space="preserve"> {</w:t>
      </w:r>
      <w:r w:rsidR="000721C4">
        <w:t>75</w:t>
      </w:r>
      <w:bookmarkStart w:id="240" w:name="p075"/>
      <w:bookmarkEnd w:id="240"/>
      <w:r w:rsidR="000721C4">
        <w:t xml:space="preserve">} </w:t>
      </w:r>
      <w:r>
        <w:t>Et</w:t>
      </w:r>
      <w:r w:rsidRPr="002C4077">
        <w:t xml:space="preserve"> </w:t>
      </w:r>
      <w:r>
        <w:t>nous</w:t>
      </w:r>
      <w:r w:rsidRPr="002C4077">
        <w:t xml:space="preserve"> </w:t>
      </w:r>
      <w:r>
        <w:t>avons</w:t>
      </w:r>
      <w:r w:rsidRPr="002C4077">
        <w:t xml:space="preserve"> </w:t>
      </w:r>
      <w:r>
        <w:t>démontré</w:t>
      </w:r>
      <w:r w:rsidRPr="002C4077">
        <w:t xml:space="preserve"> </w:t>
      </w:r>
      <w:r>
        <w:t>suffisamment</w:t>
      </w:r>
      <w:r w:rsidRPr="002C4077">
        <w:t xml:space="preserve"> </w:t>
      </w:r>
      <w:r>
        <w:t>que</w:t>
      </w:r>
      <w:r w:rsidRPr="002C4077">
        <w:t xml:space="preserve"> </w:t>
      </w:r>
      <w:r>
        <w:t>cette</w:t>
      </w:r>
      <w:r w:rsidRPr="002C4077">
        <w:t xml:space="preserve"> </w:t>
      </w:r>
      <w:r w:rsidR="00D40830" w:rsidRPr="00D05EA9">
        <w:rPr>
          <w:rStyle w:val="italicus"/>
        </w:rPr>
        <w:t>῾almah</w:t>
      </w:r>
      <w:r w:rsidRPr="002C4077">
        <w:t xml:space="preserve"> </w:t>
      </w:r>
      <w:r>
        <w:t>déterminée</w:t>
      </w:r>
      <w:r w:rsidRPr="002C4077">
        <w:t xml:space="preserve"> </w:t>
      </w:r>
      <w:r>
        <w:t>ne</w:t>
      </w:r>
      <w:r w:rsidRPr="002C4077">
        <w:t xml:space="preserve"> </w:t>
      </w:r>
      <w:r>
        <w:t>pouvait</w:t>
      </w:r>
      <w:r w:rsidRPr="002C4077">
        <w:t xml:space="preserve"> </w:t>
      </w:r>
      <w:r>
        <w:t>être</w:t>
      </w:r>
      <w:r w:rsidRPr="002C4077">
        <w:t xml:space="preserve"> </w:t>
      </w:r>
      <w:r>
        <w:t>que</w:t>
      </w:r>
      <w:r w:rsidRPr="002C4077">
        <w:t xml:space="preserve"> </w:t>
      </w:r>
      <w:r>
        <w:t>la</w:t>
      </w:r>
      <w:r w:rsidRPr="002C4077">
        <w:t xml:space="preserve"> </w:t>
      </w:r>
      <w:r>
        <w:t>Vierge</w:t>
      </w:r>
      <w:r w:rsidRPr="002C4077">
        <w:t xml:space="preserve"> </w:t>
      </w:r>
      <w:r>
        <w:t>Marie,</w:t>
      </w:r>
      <w:r w:rsidRPr="002C4077">
        <w:t xml:space="preserve"> </w:t>
      </w:r>
      <w:r>
        <w:t>mère</w:t>
      </w:r>
      <w:r w:rsidRPr="002C4077">
        <w:t xml:space="preserve"> </w:t>
      </w:r>
      <w:r>
        <w:t>de</w:t>
      </w:r>
      <w:r w:rsidRPr="002C4077">
        <w:t xml:space="preserve"> </w:t>
      </w:r>
      <w:r>
        <w:t>Notre</w:t>
      </w:r>
      <w:r w:rsidRPr="002C4077">
        <w:t xml:space="preserve"> </w:t>
      </w:r>
      <w:r>
        <w:t>Seigneur</w:t>
      </w:r>
      <w:r w:rsidRPr="002C4077">
        <w:t xml:space="preserve"> </w:t>
      </w:r>
      <w:r w:rsidR="00425C50">
        <w:t>Jésus</w:t>
      </w:r>
      <w:r>
        <w:t>-</w:t>
      </w:r>
      <w:r w:rsidR="00425C50">
        <w:t>Christ</w:t>
      </w:r>
      <w:r>
        <w:t>.</w:t>
      </w:r>
      <w:r w:rsidRPr="002C4077">
        <w:t xml:space="preserve"> </w:t>
      </w:r>
      <w:r>
        <w:t>Les</w:t>
      </w:r>
      <w:r w:rsidRPr="002C4077">
        <w:t xml:space="preserve"> </w:t>
      </w:r>
      <w:r>
        <w:t>rationalistes</w:t>
      </w:r>
      <w:r w:rsidRPr="002C4077">
        <w:t xml:space="preserve"> </w:t>
      </w:r>
      <w:r>
        <w:t>font</w:t>
      </w:r>
      <w:r w:rsidRPr="002C4077">
        <w:t xml:space="preserve"> </w:t>
      </w:r>
      <w:r>
        <w:t>d’inutiles</w:t>
      </w:r>
      <w:r w:rsidRPr="002C4077">
        <w:t xml:space="preserve"> </w:t>
      </w:r>
      <w:r>
        <w:t>efforts</w:t>
      </w:r>
      <w:r w:rsidRPr="002C4077">
        <w:t xml:space="preserve"> </w:t>
      </w:r>
      <w:r>
        <w:t>pour</w:t>
      </w:r>
      <w:r w:rsidRPr="002C4077">
        <w:t xml:space="preserve"> </w:t>
      </w:r>
      <w:r>
        <w:t>échapper</w:t>
      </w:r>
      <w:r w:rsidRPr="002C4077">
        <w:t xml:space="preserve"> </w:t>
      </w:r>
      <w:r>
        <w:t>à</w:t>
      </w:r>
      <w:r w:rsidRPr="002C4077">
        <w:t xml:space="preserve"> </w:t>
      </w:r>
      <w:r>
        <w:t>cette</w:t>
      </w:r>
      <w:r w:rsidRPr="002C4077">
        <w:t xml:space="preserve"> </w:t>
      </w:r>
      <w:r>
        <w:t>conclusion.</w:t>
      </w:r>
      <w:r w:rsidRPr="002C4077">
        <w:t xml:space="preserve"> </w:t>
      </w:r>
      <w:r w:rsidR="00B546AF">
        <w:t>« </w:t>
      </w:r>
      <w:r>
        <w:t>L’article,</w:t>
      </w:r>
      <w:r w:rsidRPr="002C4077">
        <w:t xml:space="preserve"> </w:t>
      </w:r>
      <w:r>
        <w:t>disent-ils,</w:t>
      </w:r>
      <w:r w:rsidRPr="002C4077">
        <w:t xml:space="preserve"> </w:t>
      </w:r>
      <w:r>
        <w:t>désigne</w:t>
      </w:r>
      <w:r w:rsidRPr="002C4077">
        <w:t xml:space="preserve"> </w:t>
      </w:r>
      <w:r>
        <w:t>ici</w:t>
      </w:r>
      <w:r w:rsidRPr="002C4077">
        <w:t xml:space="preserve"> </w:t>
      </w:r>
      <w:r>
        <w:t>la</w:t>
      </w:r>
      <w:r w:rsidRPr="002C4077">
        <w:t xml:space="preserve"> </w:t>
      </w:r>
      <w:r>
        <w:t>collection,</w:t>
      </w:r>
      <w:r w:rsidRPr="002C4077">
        <w:t xml:space="preserve"> </w:t>
      </w:r>
      <w:r>
        <w:t>toutes</w:t>
      </w:r>
      <w:r w:rsidRPr="002C4077">
        <w:t xml:space="preserve"> </w:t>
      </w:r>
      <w:r>
        <w:t>les</w:t>
      </w:r>
      <w:r w:rsidRPr="002C4077">
        <w:t xml:space="preserve"> </w:t>
      </w:r>
      <w:r>
        <w:t>jeunes</w:t>
      </w:r>
      <w:r w:rsidRPr="002C4077">
        <w:t xml:space="preserve"> </w:t>
      </w:r>
      <w:r>
        <w:t>femmes</w:t>
      </w:r>
      <w:r w:rsidR="00B91AF7">
        <w:rPr>
          <w:rStyle w:val="Appelnotedebasdep"/>
        </w:rPr>
        <w:footnoteReference w:id="229"/>
      </w:r>
      <w:r w:rsidR="00B546AF">
        <w:t> »</w:t>
      </w:r>
      <w:r>
        <w:t>.</w:t>
      </w:r>
      <w:r w:rsidRPr="002C4077">
        <w:t xml:space="preserve"> </w:t>
      </w:r>
      <w:r>
        <w:t>Ou</w:t>
      </w:r>
      <w:r w:rsidRPr="002C4077">
        <w:t xml:space="preserve"> </w:t>
      </w:r>
      <w:r>
        <w:t>bien</w:t>
      </w:r>
      <w:r w:rsidR="00B546AF">
        <w:t> :</w:t>
      </w:r>
      <w:r w:rsidRPr="002C4077">
        <w:t xml:space="preserve"> </w:t>
      </w:r>
      <w:r w:rsidR="00B546AF">
        <w:t>« </w:t>
      </w:r>
      <w:r>
        <w:t>L’article</w:t>
      </w:r>
      <w:r w:rsidRPr="002C4077">
        <w:t xml:space="preserve"> </w:t>
      </w:r>
      <w:r>
        <w:t>désigne</w:t>
      </w:r>
      <w:r w:rsidRPr="002C4077">
        <w:t xml:space="preserve"> </w:t>
      </w:r>
      <w:r>
        <w:t>une</w:t>
      </w:r>
      <w:r w:rsidRPr="002C4077">
        <w:t xml:space="preserve"> </w:t>
      </w:r>
      <w:r>
        <w:t>personne</w:t>
      </w:r>
      <w:r w:rsidRPr="002C4077">
        <w:t xml:space="preserve"> </w:t>
      </w:r>
      <w:r>
        <w:t>connue</w:t>
      </w:r>
      <w:r w:rsidRPr="002C4077">
        <w:t xml:space="preserve"> </w:t>
      </w:r>
      <w:r>
        <w:t>d’Achaz,</w:t>
      </w:r>
      <w:r w:rsidRPr="002C4077">
        <w:t xml:space="preserve"> </w:t>
      </w:r>
      <w:r>
        <w:t>et</w:t>
      </w:r>
      <w:r w:rsidRPr="002C4077">
        <w:t xml:space="preserve"> </w:t>
      </w:r>
      <w:r>
        <w:t>très</w:t>
      </w:r>
      <w:r w:rsidRPr="002C4077">
        <w:t xml:space="preserve"> </w:t>
      </w:r>
      <w:r>
        <w:t>probablement</w:t>
      </w:r>
      <w:r w:rsidRPr="002C4077">
        <w:t xml:space="preserve"> </w:t>
      </w:r>
      <w:r>
        <w:t>la</w:t>
      </w:r>
      <w:r w:rsidRPr="002C4077">
        <w:t xml:space="preserve"> </w:t>
      </w:r>
      <w:r>
        <w:t>fiancée</w:t>
      </w:r>
      <w:r w:rsidR="008D184D" w:rsidRPr="002C4077">
        <w:t xml:space="preserve"> </w:t>
      </w:r>
      <w:r w:rsidR="008D184D">
        <w:t>ou</w:t>
      </w:r>
      <w:r w:rsidR="008D184D" w:rsidRPr="002C4077">
        <w:t xml:space="preserve"> </w:t>
      </w:r>
      <w:r w:rsidR="008D184D">
        <w:t>la</w:t>
      </w:r>
      <w:r w:rsidR="008D184D" w:rsidRPr="002C4077">
        <w:t xml:space="preserve"> </w:t>
      </w:r>
      <w:r w:rsidR="008D184D">
        <w:t>jeune</w:t>
      </w:r>
      <w:r w:rsidR="008D184D" w:rsidRPr="002C4077">
        <w:t xml:space="preserve"> </w:t>
      </w:r>
      <w:r w:rsidR="008D184D">
        <w:t>épouse</w:t>
      </w:r>
      <w:r w:rsidR="008D184D" w:rsidRPr="002C4077">
        <w:t xml:space="preserve"> </w:t>
      </w:r>
      <w:r w:rsidR="008D184D">
        <w:t>du</w:t>
      </w:r>
      <w:r w:rsidR="008D184D" w:rsidRPr="002C4077">
        <w:t xml:space="preserve"> </w:t>
      </w:r>
      <w:r w:rsidR="008D184D">
        <w:t>prophète</w:t>
      </w:r>
      <w:r w:rsidR="008D184D">
        <w:rPr>
          <w:rStyle w:val="Appelnotedebasdep"/>
        </w:rPr>
        <w:footnoteReference w:id="230"/>
      </w:r>
      <w:r w:rsidR="00B546AF">
        <w:t> »</w:t>
      </w:r>
      <w:r>
        <w:t>.</w:t>
      </w:r>
      <w:r w:rsidRPr="002C4077">
        <w:t xml:space="preserve"> </w:t>
      </w:r>
      <w:r>
        <w:t>Ou</w:t>
      </w:r>
      <w:r w:rsidRPr="002C4077">
        <w:t xml:space="preserve"> </w:t>
      </w:r>
      <w:r>
        <w:t>encore,</w:t>
      </w:r>
      <w:r w:rsidRPr="002C4077">
        <w:t xml:space="preserve"> </w:t>
      </w:r>
      <w:r>
        <w:t>l’article</w:t>
      </w:r>
      <w:r w:rsidRPr="002C4077">
        <w:t xml:space="preserve"> </w:t>
      </w:r>
      <w:r>
        <w:t>ne</w:t>
      </w:r>
      <w:r w:rsidRPr="002C4077">
        <w:t xml:space="preserve"> </w:t>
      </w:r>
      <w:r>
        <w:t>désigne</w:t>
      </w:r>
      <w:r w:rsidRPr="002C4077">
        <w:t xml:space="preserve"> </w:t>
      </w:r>
      <w:r>
        <w:t>rien</w:t>
      </w:r>
      <w:r w:rsidRPr="002C4077">
        <w:t xml:space="preserve"> </w:t>
      </w:r>
      <w:r>
        <w:t>du</w:t>
      </w:r>
      <w:r w:rsidRPr="002C4077">
        <w:t xml:space="preserve"> </w:t>
      </w:r>
      <w:r>
        <w:t>tout,</w:t>
      </w:r>
      <w:r w:rsidRPr="002C4077">
        <w:t xml:space="preserve"> </w:t>
      </w:r>
      <w:r>
        <w:t>comme</w:t>
      </w:r>
      <w:r w:rsidRPr="002C4077">
        <w:t xml:space="preserve"> </w:t>
      </w:r>
      <w:r>
        <w:t>par</w:t>
      </w:r>
      <w:r w:rsidRPr="002C4077">
        <w:t xml:space="preserve"> </w:t>
      </w:r>
      <w:r>
        <w:t>exemple</w:t>
      </w:r>
      <w:r w:rsidRPr="002C4077">
        <w:t xml:space="preserve"> </w:t>
      </w:r>
      <w:r>
        <w:t>lorsqu’on</w:t>
      </w:r>
      <w:r w:rsidRPr="002C4077">
        <w:t xml:space="preserve"> </w:t>
      </w:r>
      <w:r>
        <w:t>dit</w:t>
      </w:r>
      <w:r w:rsidR="00B546AF">
        <w:t> :</w:t>
      </w:r>
      <w:r w:rsidRPr="002C4077">
        <w:t xml:space="preserve"> </w:t>
      </w:r>
      <w:r w:rsidRPr="000A34B5">
        <w:rPr>
          <w:rStyle w:val="italicus"/>
        </w:rPr>
        <w:t>Le</w:t>
      </w:r>
      <w:r w:rsidRPr="002C4077">
        <w:t xml:space="preserve"> </w:t>
      </w:r>
      <w:r>
        <w:t>loup</w:t>
      </w:r>
      <w:r w:rsidRPr="002C4077">
        <w:t xml:space="preserve"> </w:t>
      </w:r>
      <w:r>
        <w:t>s’est</w:t>
      </w:r>
      <w:r w:rsidRPr="002C4077">
        <w:t xml:space="preserve"> </w:t>
      </w:r>
      <w:r>
        <w:t>montré</w:t>
      </w:r>
      <w:r w:rsidRPr="002C4077">
        <w:t xml:space="preserve"> </w:t>
      </w:r>
      <w:r>
        <w:t>dans</w:t>
      </w:r>
      <w:r w:rsidRPr="002C4077">
        <w:t xml:space="preserve"> </w:t>
      </w:r>
      <w:r>
        <w:t>le</w:t>
      </w:r>
      <w:r w:rsidRPr="002C4077">
        <w:t xml:space="preserve"> </w:t>
      </w:r>
      <w:r>
        <w:t>pays,</w:t>
      </w:r>
      <w:r w:rsidRPr="002C4077">
        <w:t xml:space="preserve"> </w:t>
      </w:r>
      <w:r>
        <w:t>car</w:t>
      </w:r>
      <w:r w:rsidRPr="002C4077">
        <w:t xml:space="preserve"> </w:t>
      </w:r>
      <w:r>
        <w:t>il</w:t>
      </w:r>
      <w:r w:rsidRPr="002C4077">
        <w:t xml:space="preserve"> </w:t>
      </w:r>
      <w:r>
        <w:t>nous</w:t>
      </w:r>
      <w:r w:rsidRPr="002C4077">
        <w:t xml:space="preserve"> </w:t>
      </w:r>
      <w:r w:rsidR="00425C50">
        <w:t>est</w:t>
      </w:r>
      <w:r w:rsidRPr="002C4077">
        <w:t xml:space="preserve"> </w:t>
      </w:r>
      <w:r>
        <w:t>bien</w:t>
      </w:r>
      <w:r w:rsidRPr="002C4077">
        <w:t xml:space="preserve"> </w:t>
      </w:r>
      <w:r>
        <w:t>indifférent</w:t>
      </w:r>
      <w:r w:rsidRPr="002C4077">
        <w:t xml:space="preserve"> </w:t>
      </w:r>
      <w:r>
        <w:t>de</w:t>
      </w:r>
      <w:r w:rsidRPr="002C4077">
        <w:t xml:space="preserve"> </w:t>
      </w:r>
      <w:r>
        <w:t>savoir</w:t>
      </w:r>
      <w:r w:rsidRPr="002C4077">
        <w:t xml:space="preserve"> </w:t>
      </w:r>
      <w:r>
        <w:t>quel</w:t>
      </w:r>
      <w:r w:rsidRPr="002C4077">
        <w:t xml:space="preserve"> </w:t>
      </w:r>
      <w:r>
        <w:t>individu</w:t>
      </w:r>
      <w:r w:rsidRPr="002C4077">
        <w:t xml:space="preserve"> </w:t>
      </w:r>
      <w:r>
        <w:t>spécial</w:t>
      </w:r>
      <w:r w:rsidRPr="002C4077">
        <w:t xml:space="preserve"> </w:t>
      </w:r>
      <w:r>
        <w:t>d’entre</w:t>
      </w:r>
      <w:r w:rsidRPr="002C4077">
        <w:t xml:space="preserve"> </w:t>
      </w:r>
      <w:r>
        <w:t>les</w:t>
      </w:r>
      <w:r w:rsidRPr="002C4077">
        <w:t xml:space="preserve"> </w:t>
      </w:r>
      <w:r>
        <w:t>loups</w:t>
      </w:r>
      <w:r w:rsidRPr="002C4077">
        <w:t xml:space="preserve"> </w:t>
      </w:r>
      <w:r>
        <w:t>a</w:t>
      </w:r>
      <w:r w:rsidRPr="002C4077">
        <w:t xml:space="preserve"> </w:t>
      </w:r>
      <w:r>
        <w:t>pu</w:t>
      </w:r>
      <w:r w:rsidRPr="002C4077">
        <w:t xml:space="preserve"> </w:t>
      </w:r>
      <w:r>
        <w:t>se</w:t>
      </w:r>
      <w:r w:rsidRPr="002C4077">
        <w:t xml:space="preserve"> </w:t>
      </w:r>
      <w:r>
        <w:t>faire</w:t>
      </w:r>
      <w:r w:rsidRPr="002C4077">
        <w:t xml:space="preserve"> </w:t>
      </w:r>
      <w:r>
        <w:t>voir</w:t>
      </w:r>
      <w:r w:rsidR="00B91AF7">
        <w:rPr>
          <w:rStyle w:val="Appelnotedebasdep"/>
        </w:rPr>
        <w:footnoteReference w:id="231"/>
      </w:r>
      <w:r>
        <w:t>.</w:t>
      </w:r>
      <w:r w:rsidRPr="002C4077">
        <w:t xml:space="preserve"> </w:t>
      </w:r>
      <w:r>
        <w:t>D’après</w:t>
      </w:r>
      <w:r w:rsidRPr="002C4077">
        <w:t xml:space="preserve"> </w:t>
      </w:r>
      <w:r w:rsidR="00AA6E8D">
        <w:t>Nægelsbach</w:t>
      </w:r>
      <w:r>
        <w:t>,</w:t>
      </w:r>
      <w:r w:rsidRPr="002C4077">
        <w:t xml:space="preserve"> </w:t>
      </w:r>
      <w:r>
        <w:t>il</w:t>
      </w:r>
      <w:r w:rsidRPr="002C4077">
        <w:t xml:space="preserve"> </w:t>
      </w:r>
      <w:r>
        <w:t>n’y</w:t>
      </w:r>
      <w:r w:rsidRPr="002C4077">
        <w:t xml:space="preserve"> </w:t>
      </w:r>
      <w:r>
        <w:t>aurait</w:t>
      </w:r>
      <w:r w:rsidRPr="002C4077">
        <w:t xml:space="preserve"> </w:t>
      </w:r>
      <w:r>
        <w:t>eu</w:t>
      </w:r>
      <w:r w:rsidRPr="002C4077">
        <w:t xml:space="preserve"> </w:t>
      </w:r>
      <w:r>
        <w:t>alors</w:t>
      </w:r>
      <w:r w:rsidRPr="002C4077">
        <w:t xml:space="preserve"> </w:t>
      </w:r>
      <w:r>
        <w:t>dans</w:t>
      </w:r>
      <w:r w:rsidRPr="002C4077">
        <w:t xml:space="preserve"> </w:t>
      </w:r>
      <w:r>
        <w:t>l’entourage</w:t>
      </w:r>
      <w:r w:rsidRPr="002C4077">
        <w:t xml:space="preserve"> </w:t>
      </w:r>
      <w:r>
        <w:t>d’Achaz</w:t>
      </w:r>
      <w:r w:rsidRPr="002C4077">
        <w:t xml:space="preserve"> </w:t>
      </w:r>
      <w:r>
        <w:t>qu’une</w:t>
      </w:r>
      <w:r w:rsidRPr="002C4077">
        <w:t xml:space="preserve"> </w:t>
      </w:r>
      <w:r>
        <w:t>seule</w:t>
      </w:r>
      <w:r w:rsidRPr="002C4077">
        <w:t xml:space="preserve"> </w:t>
      </w:r>
      <w:r w:rsidR="00D40830" w:rsidRPr="00D05EA9">
        <w:rPr>
          <w:rStyle w:val="italicus"/>
        </w:rPr>
        <w:t>῾almah</w:t>
      </w:r>
      <w:r w:rsidRPr="000A34B5">
        <w:rPr>
          <w:rStyle w:val="italicus"/>
        </w:rPr>
        <w:t>,</w:t>
      </w:r>
      <w:r w:rsidRPr="002C4077">
        <w:t xml:space="preserve"> </w:t>
      </w:r>
      <w:r>
        <w:t>qu’une</w:t>
      </w:r>
      <w:r w:rsidRPr="002C4077">
        <w:t xml:space="preserve"> </w:t>
      </w:r>
      <w:r>
        <w:t>seule</w:t>
      </w:r>
      <w:r w:rsidRPr="002C4077">
        <w:t xml:space="preserve"> </w:t>
      </w:r>
      <w:r>
        <w:t>personne</w:t>
      </w:r>
      <w:r w:rsidRPr="002C4077">
        <w:t xml:space="preserve"> </w:t>
      </w:r>
      <w:r>
        <w:t>à</w:t>
      </w:r>
      <w:r w:rsidRPr="002C4077">
        <w:t xml:space="preserve"> </w:t>
      </w:r>
      <w:r>
        <w:t>qui</w:t>
      </w:r>
      <w:r w:rsidRPr="002C4077">
        <w:t xml:space="preserve"> </w:t>
      </w:r>
      <w:r>
        <w:t>ce</w:t>
      </w:r>
      <w:r w:rsidRPr="002C4077">
        <w:t xml:space="preserve"> </w:t>
      </w:r>
      <w:r>
        <w:t>nom</w:t>
      </w:r>
      <w:r w:rsidRPr="002C4077">
        <w:t xml:space="preserve"> </w:t>
      </w:r>
      <w:r>
        <w:t>pût</w:t>
      </w:r>
      <w:r w:rsidRPr="002C4077">
        <w:t xml:space="preserve"> </w:t>
      </w:r>
      <w:r>
        <w:t>convenir</w:t>
      </w:r>
      <w:r w:rsidR="00B546AF">
        <w:t> :</w:t>
      </w:r>
      <w:r w:rsidRPr="002C4077">
        <w:t xml:space="preserve"> </w:t>
      </w:r>
      <w:r>
        <w:t>de</w:t>
      </w:r>
      <w:r w:rsidRPr="002C4077">
        <w:t xml:space="preserve"> </w:t>
      </w:r>
      <w:r>
        <w:t>là</w:t>
      </w:r>
      <w:r w:rsidRPr="002C4077">
        <w:t xml:space="preserve"> </w:t>
      </w:r>
      <w:r>
        <w:t>l’article</w:t>
      </w:r>
      <w:r w:rsidR="001A54EA">
        <w:rPr>
          <w:rStyle w:val="Appelnotedebasdep"/>
        </w:rPr>
        <w:footnoteReference w:id="232"/>
      </w:r>
      <w:r>
        <w:t>.</w:t>
      </w:r>
      <w:r w:rsidRPr="002C4077">
        <w:t xml:space="preserve"> </w:t>
      </w:r>
      <w:r>
        <w:t>Nous</w:t>
      </w:r>
      <w:r w:rsidRPr="002C4077">
        <w:t xml:space="preserve"> </w:t>
      </w:r>
      <w:r>
        <w:t>disons,</w:t>
      </w:r>
      <w:r w:rsidRPr="002C4077">
        <w:t xml:space="preserve"> </w:t>
      </w:r>
      <w:r>
        <w:t>nous</w:t>
      </w:r>
      <w:r w:rsidRPr="002C4077">
        <w:t xml:space="preserve"> </w:t>
      </w:r>
      <w:r>
        <w:t>aussi,</w:t>
      </w:r>
      <w:r w:rsidRPr="002C4077">
        <w:t xml:space="preserve"> </w:t>
      </w:r>
      <w:r>
        <w:t>qu’il</w:t>
      </w:r>
      <w:r w:rsidRPr="002C4077">
        <w:t xml:space="preserve"> </w:t>
      </w:r>
      <w:r>
        <w:t>n’y</w:t>
      </w:r>
      <w:r w:rsidRPr="002C4077">
        <w:t xml:space="preserve"> </w:t>
      </w:r>
      <w:r>
        <w:t>avait</w:t>
      </w:r>
      <w:r w:rsidRPr="002C4077">
        <w:t xml:space="preserve"> </w:t>
      </w:r>
      <w:r>
        <w:t>en</w:t>
      </w:r>
      <w:r w:rsidRPr="002C4077">
        <w:t xml:space="preserve"> </w:t>
      </w:r>
      <w:r>
        <w:t>ce</w:t>
      </w:r>
      <w:r w:rsidRPr="002C4077">
        <w:t xml:space="preserve"> </w:t>
      </w:r>
      <w:r>
        <w:t>moment</w:t>
      </w:r>
      <w:r w:rsidRPr="002C4077">
        <w:t xml:space="preserve"> </w:t>
      </w:r>
      <w:r>
        <w:t>solennel</w:t>
      </w:r>
      <w:r w:rsidRPr="002C4077">
        <w:t xml:space="preserve"> </w:t>
      </w:r>
      <w:r>
        <w:t>qu’une</w:t>
      </w:r>
      <w:r w:rsidRPr="002C4077">
        <w:t xml:space="preserve"> </w:t>
      </w:r>
      <w:r>
        <w:t>seule</w:t>
      </w:r>
      <w:r w:rsidRPr="002C4077">
        <w:t xml:space="preserve"> </w:t>
      </w:r>
      <w:r>
        <w:t>personne</w:t>
      </w:r>
      <w:r w:rsidRPr="002C4077">
        <w:t xml:space="preserve"> </w:t>
      </w:r>
      <w:r>
        <w:t>à</w:t>
      </w:r>
      <w:r w:rsidRPr="002C4077">
        <w:t xml:space="preserve"> </w:t>
      </w:r>
      <w:r>
        <w:t>qui</w:t>
      </w:r>
      <w:r w:rsidRPr="002C4077">
        <w:t xml:space="preserve"> </w:t>
      </w:r>
      <w:r>
        <w:t>convînt</w:t>
      </w:r>
      <w:r w:rsidRPr="002C4077">
        <w:t xml:space="preserve"> </w:t>
      </w:r>
      <w:r>
        <w:t>la</w:t>
      </w:r>
      <w:r w:rsidRPr="002C4077">
        <w:t xml:space="preserve"> </w:t>
      </w:r>
      <w:r>
        <w:t>dénomination</w:t>
      </w:r>
      <w:r w:rsidRPr="002C4077">
        <w:t xml:space="preserve"> </w:t>
      </w:r>
      <w:r w:rsidR="00D40830" w:rsidRPr="00D05EA9">
        <w:rPr>
          <w:rStyle w:val="italicus"/>
        </w:rPr>
        <w:t>῾almah</w:t>
      </w:r>
      <w:r w:rsidR="00B546AF">
        <w:t> ;</w:t>
      </w:r>
      <w:r w:rsidRPr="002C4077">
        <w:t xml:space="preserve"> </w:t>
      </w:r>
      <w:r>
        <w:t>mais</w:t>
      </w:r>
      <w:r w:rsidRPr="002C4077">
        <w:t xml:space="preserve"> </w:t>
      </w:r>
      <w:r>
        <w:t>nous</w:t>
      </w:r>
      <w:r w:rsidRPr="002C4077">
        <w:t xml:space="preserve"> </w:t>
      </w:r>
      <w:r>
        <w:t>n’acceptons</w:t>
      </w:r>
      <w:r w:rsidRPr="002C4077">
        <w:t xml:space="preserve"> </w:t>
      </w:r>
      <w:r>
        <w:t>pas</w:t>
      </w:r>
      <w:r w:rsidRPr="002C4077">
        <w:t xml:space="preserve"> </w:t>
      </w:r>
      <w:r>
        <w:t>qu’elle</w:t>
      </w:r>
      <w:r w:rsidRPr="002C4077">
        <w:t xml:space="preserve"> </w:t>
      </w:r>
      <w:r>
        <w:t>fût</w:t>
      </w:r>
      <w:r w:rsidRPr="002C4077">
        <w:t xml:space="preserve"> </w:t>
      </w:r>
      <w:r>
        <w:t>dans</w:t>
      </w:r>
      <w:r w:rsidRPr="002C4077">
        <w:t xml:space="preserve"> </w:t>
      </w:r>
      <w:r>
        <w:t>l’entourage</w:t>
      </w:r>
      <w:r w:rsidRPr="002C4077">
        <w:t xml:space="preserve"> </w:t>
      </w:r>
      <w:r>
        <w:t>d’Achaz.</w:t>
      </w:r>
      <w:r w:rsidRPr="002C4077">
        <w:t xml:space="preserve"> </w:t>
      </w:r>
      <w:r>
        <w:t>Toutefois,</w:t>
      </w:r>
      <w:r w:rsidRPr="002C4077">
        <w:t xml:space="preserve"> </w:t>
      </w:r>
      <w:r>
        <w:t>elle</w:t>
      </w:r>
      <w:r w:rsidRPr="002C4077">
        <w:t xml:space="preserve"> </w:t>
      </w:r>
      <w:r>
        <w:t>était</w:t>
      </w:r>
      <w:r w:rsidRPr="002C4077">
        <w:t xml:space="preserve"> </w:t>
      </w:r>
      <w:r>
        <w:t>divinement</w:t>
      </w:r>
      <w:r w:rsidRPr="002C4077">
        <w:t xml:space="preserve"> </w:t>
      </w:r>
      <w:r>
        <w:t>présente</w:t>
      </w:r>
      <w:r w:rsidRPr="002C4077">
        <w:t xml:space="preserve"> </w:t>
      </w:r>
      <w:r>
        <w:t>à</w:t>
      </w:r>
      <w:r w:rsidRPr="002C4077">
        <w:t xml:space="preserve"> </w:t>
      </w:r>
      <w:r>
        <w:t>l’esprit</w:t>
      </w:r>
      <w:r w:rsidRPr="002C4077">
        <w:t xml:space="preserve"> </w:t>
      </w:r>
      <w:r>
        <w:t>d’Isaïe,</w:t>
      </w:r>
      <w:r w:rsidRPr="002C4077">
        <w:t xml:space="preserve"> </w:t>
      </w:r>
      <w:r>
        <w:t>qui</w:t>
      </w:r>
      <w:r w:rsidRPr="002C4077">
        <w:t xml:space="preserve"> </w:t>
      </w:r>
      <w:r>
        <w:t>la</w:t>
      </w:r>
      <w:r w:rsidRPr="002C4077">
        <w:t xml:space="preserve"> </w:t>
      </w:r>
      <w:r>
        <w:t>contemplait</w:t>
      </w:r>
      <w:r w:rsidRPr="002C4077">
        <w:t xml:space="preserve"> </w:t>
      </w:r>
      <w:r>
        <w:t>de</w:t>
      </w:r>
      <w:r w:rsidRPr="002C4077">
        <w:t xml:space="preserve"> </w:t>
      </w:r>
      <w:r>
        <w:t>la</w:t>
      </w:r>
      <w:r w:rsidRPr="002C4077">
        <w:t xml:space="preserve"> </w:t>
      </w:r>
      <w:r>
        <w:t>manière</w:t>
      </w:r>
      <w:r w:rsidRPr="002C4077">
        <w:t xml:space="preserve"> </w:t>
      </w:r>
      <w:r>
        <w:t>la</w:t>
      </w:r>
      <w:r w:rsidRPr="002C4077">
        <w:t xml:space="preserve"> </w:t>
      </w:r>
      <w:r>
        <w:t>plus</w:t>
      </w:r>
      <w:r w:rsidRPr="002C4077">
        <w:t xml:space="preserve"> </w:t>
      </w:r>
      <w:r>
        <w:t>distincte</w:t>
      </w:r>
      <w:r w:rsidRPr="002C4077">
        <w:t xml:space="preserve"> </w:t>
      </w:r>
      <w:r>
        <w:t>à</w:t>
      </w:r>
      <w:r w:rsidRPr="002C4077">
        <w:t xml:space="preserve"> </w:t>
      </w:r>
      <w:r>
        <w:t>travers</w:t>
      </w:r>
      <w:r w:rsidRPr="002C4077">
        <w:t xml:space="preserve"> </w:t>
      </w:r>
      <w:r>
        <w:t>les</w:t>
      </w:r>
      <w:r w:rsidRPr="002C4077">
        <w:t xml:space="preserve"> </w:t>
      </w:r>
      <w:r>
        <w:t>siècles.</w:t>
      </w:r>
      <w:r w:rsidRPr="002C4077">
        <w:t xml:space="preserve"> </w:t>
      </w:r>
      <w:r>
        <w:t>Voilà</w:t>
      </w:r>
      <w:r w:rsidRPr="002C4077">
        <w:t xml:space="preserve"> </w:t>
      </w:r>
      <w:r>
        <w:t>ce</w:t>
      </w:r>
      <w:r w:rsidRPr="002C4077">
        <w:t xml:space="preserve"> </w:t>
      </w:r>
      <w:r>
        <w:t>qu’exprime</w:t>
      </w:r>
      <w:r w:rsidRPr="002C4077">
        <w:t xml:space="preserve"> </w:t>
      </w:r>
      <w:r>
        <w:t>l’article</w:t>
      </w:r>
      <w:r w:rsidR="003B53FD">
        <w:rPr>
          <w:rStyle w:val="Appelnotedebasdep"/>
        </w:rPr>
        <w:footnoteReference w:id="233"/>
      </w:r>
      <w:r>
        <w:t>.</w:t>
      </w:r>
      <w:r w:rsidRPr="002C4077">
        <w:t xml:space="preserve"> </w:t>
      </w:r>
      <w:r>
        <w:t>M.</w:t>
      </w:r>
      <w:r w:rsidRPr="002C4077">
        <w:t xml:space="preserve"> </w:t>
      </w:r>
      <w:r>
        <w:t>Drach</w:t>
      </w:r>
      <w:r w:rsidRPr="002C4077">
        <w:t xml:space="preserve"> </w:t>
      </w:r>
      <w:r w:rsidR="00425C50">
        <w:t>est</w:t>
      </w:r>
      <w:r w:rsidRPr="002C4077">
        <w:t xml:space="preserve"> </w:t>
      </w:r>
      <w:r>
        <w:t>donc</w:t>
      </w:r>
      <w:r w:rsidRPr="002C4077">
        <w:t xml:space="preserve"> </w:t>
      </w:r>
      <w:r>
        <w:t>en</w:t>
      </w:r>
      <w:r w:rsidRPr="002C4077">
        <w:t xml:space="preserve"> </w:t>
      </w:r>
      <w:r>
        <w:t>droit</w:t>
      </w:r>
      <w:r w:rsidRPr="002C4077">
        <w:t xml:space="preserve"> </w:t>
      </w:r>
      <w:r>
        <w:t>d’affirmer</w:t>
      </w:r>
      <w:r w:rsidRPr="002C4077">
        <w:t xml:space="preserve"> </w:t>
      </w:r>
      <w:r>
        <w:t>que</w:t>
      </w:r>
      <w:r w:rsidRPr="002C4077">
        <w:t xml:space="preserve"> </w:t>
      </w:r>
      <w:r w:rsidR="00B546AF">
        <w:t>« </w:t>
      </w:r>
      <w:r>
        <w:t>cet</w:t>
      </w:r>
      <w:r w:rsidRPr="002C4077">
        <w:t xml:space="preserve"> </w:t>
      </w:r>
      <w:r>
        <w:t>article</w:t>
      </w:r>
      <w:r w:rsidRPr="002C4077">
        <w:t xml:space="preserve"> </w:t>
      </w:r>
      <w:r w:rsidR="00425C50">
        <w:t>est</w:t>
      </w:r>
      <w:r w:rsidRPr="002C4077">
        <w:t xml:space="preserve"> </w:t>
      </w:r>
      <w:r>
        <w:t>d’une</w:t>
      </w:r>
      <w:r w:rsidRPr="002C4077">
        <w:t xml:space="preserve"> </w:t>
      </w:r>
      <w:r>
        <w:t>grande</w:t>
      </w:r>
      <w:r w:rsidRPr="002C4077">
        <w:t xml:space="preserve"> </w:t>
      </w:r>
      <w:r>
        <w:t>importance</w:t>
      </w:r>
      <w:r w:rsidR="00B546AF">
        <w:t> ; »</w:t>
      </w:r>
      <w:r w:rsidRPr="002C4077">
        <w:t xml:space="preserve"> </w:t>
      </w:r>
      <w:r>
        <w:t>qu</w:t>
      </w:r>
      <w:r w:rsidR="006E7907">
        <w:t>’</w:t>
      </w:r>
      <w:r w:rsidR="00B546AF">
        <w:t>« </w:t>
      </w:r>
      <w:r>
        <w:t>on</w:t>
      </w:r>
      <w:r w:rsidRPr="002C4077">
        <w:t xml:space="preserve"> </w:t>
      </w:r>
      <w:r>
        <w:t>peut</w:t>
      </w:r>
      <w:r w:rsidRPr="002C4077">
        <w:t xml:space="preserve"> </w:t>
      </w:r>
      <w:r>
        <w:t>le</w:t>
      </w:r>
      <w:r w:rsidRPr="002C4077">
        <w:t xml:space="preserve"> </w:t>
      </w:r>
      <w:r>
        <w:t>regarder</w:t>
      </w:r>
      <w:r w:rsidRPr="002C4077">
        <w:t xml:space="preserve"> </w:t>
      </w:r>
      <w:r>
        <w:t>comme</w:t>
      </w:r>
      <w:r w:rsidRPr="002C4077">
        <w:t xml:space="preserve"> </w:t>
      </w:r>
      <w:r>
        <w:t>l’âme</w:t>
      </w:r>
      <w:r w:rsidRPr="002C4077">
        <w:t xml:space="preserve"> </w:t>
      </w:r>
      <w:r>
        <w:t>de</w:t>
      </w:r>
      <w:r w:rsidRPr="002C4077">
        <w:t xml:space="preserve"> </w:t>
      </w:r>
      <w:r>
        <w:t>la</w:t>
      </w:r>
      <w:r w:rsidRPr="002C4077">
        <w:t xml:space="preserve"> </w:t>
      </w:r>
      <w:r>
        <w:t>prophét</w:t>
      </w:r>
      <w:r w:rsidR="00F6492C">
        <w:t>ie</w:t>
      </w:r>
      <w:r w:rsidR="00F6492C">
        <w:rPr>
          <w:rStyle w:val="Appelnotedebasdep"/>
        </w:rPr>
        <w:footnoteReference w:id="234"/>
      </w:r>
      <w:r w:rsidR="00B546AF">
        <w:t> »</w:t>
      </w:r>
      <w:r>
        <w:t>.</w:t>
      </w:r>
      <w:r w:rsidR="00C45B47">
        <w:t xml:space="preserve"> {</w:t>
      </w:r>
      <w:r w:rsidR="000721C4">
        <w:t>76</w:t>
      </w:r>
      <w:bookmarkStart w:id="241" w:name="p076"/>
      <w:bookmarkEnd w:id="241"/>
      <w:r w:rsidR="000721C4">
        <w:t xml:space="preserve">} </w:t>
      </w:r>
    </w:p>
    <w:p w:rsidR="000A7AAB" w:rsidRDefault="000A7AAB" w:rsidP="000A7AAB">
      <w:r>
        <w:t>C’est</w:t>
      </w:r>
      <w:bookmarkStart w:id="242" w:name="z_Messiepere_o2"/>
      <w:bookmarkEnd w:id="242"/>
      <w:r w:rsidRPr="002C4077">
        <w:t xml:space="preserve"> </w:t>
      </w:r>
      <w:r>
        <w:t>le</w:t>
      </w:r>
      <w:r w:rsidRPr="002C4077">
        <w:t xml:space="preserve"> </w:t>
      </w:r>
      <w:r>
        <w:t>silence</w:t>
      </w:r>
      <w:r w:rsidRPr="002C4077">
        <w:t xml:space="preserve"> </w:t>
      </w:r>
      <w:r>
        <w:t>complet</w:t>
      </w:r>
      <w:r w:rsidRPr="002C4077">
        <w:t xml:space="preserve"> </w:t>
      </w:r>
      <w:r>
        <w:t>qui</w:t>
      </w:r>
      <w:r w:rsidRPr="002C4077">
        <w:t xml:space="preserve"> </w:t>
      </w:r>
      <w:r>
        <w:t>se</w:t>
      </w:r>
      <w:r w:rsidRPr="002C4077">
        <w:t xml:space="preserve"> </w:t>
      </w:r>
      <w:r>
        <w:t>fait</w:t>
      </w:r>
      <w:r w:rsidRPr="002C4077">
        <w:t xml:space="preserve"> </w:t>
      </w:r>
      <w:r>
        <w:t>ici</w:t>
      </w:r>
      <w:r w:rsidRPr="002C4077">
        <w:t xml:space="preserve"> </w:t>
      </w:r>
      <w:r>
        <w:t>autour</w:t>
      </w:r>
      <w:r w:rsidRPr="002C4077">
        <w:t xml:space="preserve"> </w:t>
      </w:r>
      <w:r>
        <w:t>du</w:t>
      </w:r>
      <w:r w:rsidRPr="002C4077">
        <w:t xml:space="preserve"> </w:t>
      </w:r>
      <w:r>
        <w:t>père</w:t>
      </w:r>
      <w:r w:rsidRPr="002C4077">
        <w:t xml:space="preserve"> </w:t>
      </w:r>
      <w:r>
        <w:t>d’Emmanuel</w:t>
      </w:r>
      <w:r w:rsidR="00B91AF7">
        <w:rPr>
          <w:rStyle w:val="Appelnotedebasdep"/>
        </w:rPr>
        <w:footnoteReference w:id="235"/>
      </w:r>
      <w:r>
        <w:t>.</w:t>
      </w:r>
      <w:r w:rsidRPr="002C4077">
        <w:t xml:space="preserve"> </w:t>
      </w:r>
      <w:r>
        <w:t>Et</w:t>
      </w:r>
      <w:r w:rsidRPr="002C4077">
        <w:t xml:space="preserve"> </w:t>
      </w:r>
      <w:r>
        <w:t>non-seulement</w:t>
      </w:r>
      <w:r w:rsidRPr="002C4077">
        <w:t xml:space="preserve"> </w:t>
      </w:r>
      <w:r>
        <w:t>ici,</w:t>
      </w:r>
      <w:r w:rsidRPr="002C4077">
        <w:t xml:space="preserve"> </w:t>
      </w:r>
      <w:r>
        <w:t>mais</w:t>
      </w:r>
      <w:r w:rsidRPr="002C4077">
        <w:t xml:space="preserve"> </w:t>
      </w:r>
      <w:r>
        <w:t>partout</w:t>
      </w:r>
      <w:r w:rsidRPr="002C4077">
        <w:t xml:space="preserve"> </w:t>
      </w:r>
      <w:r>
        <w:t>où</w:t>
      </w:r>
      <w:r w:rsidRPr="002C4077">
        <w:t xml:space="preserve"> </w:t>
      </w:r>
      <w:r>
        <w:t>il</w:t>
      </w:r>
      <w:r w:rsidRPr="002C4077">
        <w:t xml:space="preserve"> </w:t>
      </w:r>
      <w:r w:rsidR="00425C50">
        <w:t>est</w:t>
      </w:r>
      <w:r w:rsidRPr="002C4077">
        <w:t xml:space="preserve"> </w:t>
      </w:r>
      <w:r>
        <w:t>question</w:t>
      </w:r>
      <w:r w:rsidRPr="002C4077">
        <w:t xml:space="preserve"> </w:t>
      </w:r>
      <w:r>
        <w:t>du</w:t>
      </w:r>
      <w:r w:rsidRPr="002C4077">
        <w:t xml:space="preserve"> </w:t>
      </w:r>
      <w:r>
        <w:t>Messie</w:t>
      </w:r>
      <w:r w:rsidRPr="002C4077">
        <w:t xml:space="preserve"> </w:t>
      </w:r>
      <w:r>
        <w:t>dans</w:t>
      </w:r>
      <w:r w:rsidRPr="002C4077">
        <w:t xml:space="preserve"> </w:t>
      </w:r>
      <w:r>
        <w:t>l’Ancien</w:t>
      </w:r>
      <w:r w:rsidRPr="002C4077">
        <w:t xml:space="preserve"> </w:t>
      </w:r>
      <w:r>
        <w:t>Testament.</w:t>
      </w:r>
      <w:r w:rsidRPr="002C4077">
        <w:t xml:space="preserve"> </w:t>
      </w:r>
      <w:r>
        <w:t>Or,</w:t>
      </w:r>
      <w:r w:rsidRPr="002C4077">
        <w:t xml:space="preserve"> </w:t>
      </w:r>
      <w:r w:rsidR="00B546AF">
        <w:t>« </w:t>
      </w:r>
      <w:r>
        <w:t>tandis</w:t>
      </w:r>
      <w:r w:rsidRPr="002C4077">
        <w:t xml:space="preserve"> </w:t>
      </w:r>
      <w:r>
        <w:t>que</w:t>
      </w:r>
      <w:r w:rsidRPr="002C4077">
        <w:t xml:space="preserve"> </w:t>
      </w:r>
      <w:r>
        <w:t>le</w:t>
      </w:r>
      <w:r w:rsidRPr="002C4077">
        <w:t xml:space="preserve"> </w:t>
      </w:r>
      <w:r>
        <w:t>père</w:t>
      </w:r>
      <w:r w:rsidRPr="002C4077">
        <w:t xml:space="preserve"> </w:t>
      </w:r>
      <w:r>
        <w:t>des</w:t>
      </w:r>
      <w:r w:rsidRPr="002C4077">
        <w:t xml:space="preserve"> </w:t>
      </w:r>
      <w:r>
        <w:t>héros</w:t>
      </w:r>
      <w:r w:rsidRPr="002C4077">
        <w:t xml:space="preserve"> </w:t>
      </w:r>
      <w:r>
        <w:t>de</w:t>
      </w:r>
      <w:r w:rsidRPr="002C4077">
        <w:t xml:space="preserve"> </w:t>
      </w:r>
      <w:r>
        <w:t>l’ancienne</w:t>
      </w:r>
      <w:r w:rsidRPr="002C4077">
        <w:t xml:space="preserve"> </w:t>
      </w:r>
      <w:r>
        <w:lastRenderedPageBreak/>
        <w:t>Alliance</w:t>
      </w:r>
      <w:r w:rsidRPr="002C4077">
        <w:t xml:space="preserve"> </w:t>
      </w:r>
      <w:r w:rsidR="00425C50">
        <w:t>est</w:t>
      </w:r>
      <w:r w:rsidRPr="002C4077">
        <w:t xml:space="preserve"> </w:t>
      </w:r>
      <w:r>
        <w:t>d’ordinaire</w:t>
      </w:r>
      <w:r w:rsidRPr="002C4077">
        <w:t xml:space="preserve"> </w:t>
      </w:r>
      <w:r>
        <w:t>mentionné</w:t>
      </w:r>
      <w:r w:rsidRPr="002C4077">
        <w:t xml:space="preserve"> </w:t>
      </w:r>
      <w:r>
        <w:t>très</w:t>
      </w:r>
      <w:r w:rsidRPr="002C4077">
        <w:t xml:space="preserve"> </w:t>
      </w:r>
      <w:r>
        <w:t>exactement,</w:t>
      </w:r>
      <w:r w:rsidRPr="002C4077">
        <w:t xml:space="preserve"> </w:t>
      </w:r>
      <w:r>
        <w:t>on</w:t>
      </w:r>
      <w:r w:rsidRPr="002C4077">
        <w:t xml:space="preserve"> </w:t>
      </w:r>
      <w:r w:rsidR="00425C50">
        <w:t>est</w:t>
      </w:r>
      <w:r w:rsidRPr="002C4077">
        <w:t xml:space="preserve"> </w:t>
      </w:r>
      <w:r>
        <w:t>surpris</w:t>
      </w:r>
      <w:r w:rsidRPr="002C4077">
        <w:t xml:space="preserve"> </w:t>
      </w:r>
      <w:r>
        <w:t>de</w:t>
      </w:r>
      <w:r w:rsidRPr="002C4077">
        <w:t xml:space="preserve"> </w:t>
      </w:r>
      <w:r>
        <w:t>voir</w:t>
      </w:r>
      <w:r w:rsidRPr="002C4077">
        <w:t xml:space="preserve"> </w:t>
      </w:r>
      <w:r>
        <w:t>que</w:t>
      </w:r>
      <w:r w:rsidRPr="002C4077">
        <w:t xml:space="preserve"> </w:t>
      </w:r>
      <w:r>
        <w:t>le</w:t>
      </w:r>
      <w:r w:rsidRPr="002C4077">
        <w:t xml:space="preserve"> </w:t>
      </w:r>
      <w:r>
        <w:t>Messie</w:t>
      </w:r>
      <w:r w:rsidRPr="002C4077">
        <w:t xml:space="preserve"> </w:t>
      </w:r>
      <w:r>
        <w:t>ne</w:t>
      </w:r>
      <w:r w:rsidRPr="002C4077">
        <w:t xml:space="preserve"> </w:t>
      </w:r>
      <w:r>
        <w:t>reçoit</w:t>
      </w:r>
      <w:r w:rsidRPr="002C4077">
        <w:t xml:space="preserve"> </w:t>
      </w:r>
      <w:r>
        <w:t>d’autre</w:t>
      </w:r>
      <w:r w:rsidRPr="002C4077">
        <w:t xml:space="preserve"> </w:t>
      </w:r>
      <w:r>
        <w:t>père</w:t>
      </w:r>
      <w:r w:rsidRPr="002C4077">
        <w:t xml:space="preserve"> </w:t>
      </w:r>
      <w:r>
        <w:t>que</w:t>
      </w:r>
      <w:r w:rsidRPr="002C4077">
        <w:t xml:space="preserve"> </w:t>
      </w:r>
      <w:r>
        <w:t>Jéh</w:t>
      </w:r>
      <w:r w:rsidR="001730C6">
        <w:t>ov</w:t>
      </w:r>
      <w:r>
        <w:t>ah,</w:t>
      </w:r>
      <w:r w:rsidRPr="002C4077">
        <w:t xml:space="preserve"> </w:t>
      </w:r>
      <w:r>
        <w:t>avec</w:t>
      </w:r>
      <w:r w:rsidRPr="002C4077">
        <w:t xml:space="preserve"> </w:t>
      </w:r>
      <w:r>
        <w:t>une</w:t>
      </w:r>
      <w:r w:rsidRPr="002C4077">
        <w:t xml:space="preserve"> </w:t>
      </w:r>
      <w:r>
        <w:t>mère</w:t>
      </w:r>
      <w:r w:rsidRPr="002C4077">
        <w:t xml:space="preserve"> </w:t>
      </w:r>
      <w:r>
        <w:t>humaine</w:t>
      </w:r>
      <w:r w:rsidR="00B91AF7">
        <w:rPr>
          <w:rStyle w:val="Appelnotedebasdep"/>
        </w:rPr>
        <w:footnoteReference w:id="236"/>
      </w:r>
      <w:r w:rsidR="00B546AF">
        <w:t> »</w:t>
      </w:r>
      <w:r>
        <w:t>.</w:t>
      </w:r>
      <w:r w:rsidRPr="002C4077">
        <w:t xml:space="preserve"> </w:t>
      </w:r>
      <w:r>
        <w:t>Dès</w:t>
      </w:r>
      <w:r w:rsidRPr="002C4077">
        <w:t xml:space="preserve"> </w:t>
      </w:r>
      <w:r>
        <w:t>les</w:t>
      </w:r>
      <w:r w:rsidRPr="002C4077">
        <w:t xml:space="preserve"> </w:t>
      </w:r>
      <w:r>
        <w:t>premières</w:t>
      </w:r>
      <w:r w:rsidRPr="002C4077">
        <w:t xml:space="preserve"> </w:t>
      </w:r>
      <w:r>
        <w:t>pages</w:t>
      </w:r>
      <w:r w:rsidRPr="002C4077">
        <w:t xml:space="preserve"> </w:t>
      </w:r>
      <w:r>
        <w:t>de</w:t>
      </w:r>
      <w:r w:rsidRPr="002C4077">
        <w:t xml:space="preserve"> </w:t>
      </w:r>
      <w:r>
        <w:t>la</w:t>
      </w:r>
      <w:r w:rsidRPr="002C4077">
        <w:t xml:space="preserve"> </w:t>
      </w:r>
      <w:r>
        <w:t>Genèse</w:t>
      </w:r>
      <w:r w:rsidRPr="002C4077">
        <w:t xml:space="preserve"> </w:t>
      </w:r>
      <w:r>
        <w:t>III,</w:t>
      </w:r>
      <w:r w:rsidRPr="002C4077">
        <w:t xml:space="preserve"> </w:t>
      </w:r>
      <w:r>
        <w:t>15,</w:t>
      </w:r>
      <w:r w:rsidRPr="002C4077">
        <w:t xml:space="preserve"> </w:t>
      </w:r>
      <w:r>
        <w:t>le</w:t>
      </w:r>
      <w:r w:rsidRPr="002C4077">
        <w:t xml:space="preserve"> </w:t>
      </w:r>
      <w:r w:rsidR="00425C50">
        <w:t>Christ</w:t>
      </w:r>
      <w:r w:rsidRPr="002C4077">
        <w:t xml:space="preserve"> </w:t>
      </w:r>
      <w:r>
        <w:t>reçoit</w:t>
      </w:r>
      <w:r w:rsidRPr="002C4077">
        <w:t xml:space="preserve"> </w:t>
      </w:r>
      <w:r>
        <w:t>l’appellation</w:t>
      </w:r>
      <w:r w:rsidRPr="002C4077">
        <w:t xml:space="preserve"> </w:t>
      </w:r>
      <w:r>
        <w:t>étrange</w:t>
      </w:r>
      <w:r w:rsidRPr="002C4077">
        <w:t xml:space="preserve"> </w:t>
      </w:r>
      <w:r>
        <w:t>et</w:t>
      </w:r>
      <w:r w:rsidRPr="002C4077">
        <w:t xml:space="preserve"> </w:t>
      </w:r>
      <w:r>
        <w:t>unique</w:t>
      </w:r>
      <w:r w:rsidRPr="002C4077">
        <w:t xml:space="preserve"> </w:t>
      </w:r>
      <w:r>
        <w:t>de</w:t>
      </w:r>
      <w:r w:rsidRPr="002C4077">
        <w:t xml:space="preserve"> </w:t>
      </w:r>
      <w:r w:rsidRPr="000A34B5">
        <w:rPr>
          <w:rStyle w:val="italicus"/>
        </w:rPr>
        <w:t>semen</w:t>
      </w:r>
      <w:r w:rsidRPr="002C4077">
        <w:t xml:space="preserve"> </w:t>
      </w:r>
      <w:r w:rsidR="003B53FD" w:rsidRPr="000A34B5">
        <w:rPr>
          <w:rStyle w:val="italicus"/>
        </w:rPr>
        <w:t>mul</w:t>
      </w:r>
      <w:r w:rsidR="003B53FD">
        <w:rPr>
          <w:rStyle w:val="italicus"/>
        </w:rPr>
        <w:t>í</w:t>
      </w:r>
      <w:r w:rsidR="003B53FD" w:rsidRPr="000A34B5">
        <w:rPr>
          <w:rStyle w:val="italicus"/>
        </w:rPr>
        <w:t>eris</w:t>
      </w:r>
      <w:r w:rsidR="00B546AF">
        <w:rPr>
          <w:rStyle w:val="italicus"/>
        </w:rPr>
        <w:t> </w:t>
      </w:r>
      <w:r w:rsidR="00B546AF" w:rsidRPr="000A34B5">
        <w:rPr>
          <w:rStyle w:val="italicus"/>
        </w:rPr>
        <w:t>;</w:t>
      </w:r>
      <w:r w:rsidRPr="002C4077">
        <w:t xml:space="preserve"> </w:t>
      </w:r>
      <w:r>
        <w:t>au</w:t>
      </w:r>
      <w:r w:rsidRPr="002C4077">
        <w:t xml:space="preserve"> </w:t>
      </w:r>
      <w:r>
        <w:t>Psaume</w:t>
      </w:r>
      <w:r w:rsidRPr="002C4077">
        <w:t xml:space="preserve"> </w:t>
      </w:r>
      <w:r>
        <w:t>XXI,</w:t>
      </w:r>
      <w:r w:rsidRPr="002C4077">
        <w:t xml:space="preserve"> </w:t>
      </w:r>
      <w:r>
        <w:t>il</w:t>
      </w:r>
      <w:r w:rsidRPr="002C4077">
        <w:t xml:space="preserve"> </w:t>
      </w:r>
      <w:r>
        <w:t>ne</w:t>
      </w:r>
      <w:r w:rsidRPr="002C4077">
        <w:t xml:space="preserve"> </w:t>
      </w:r>
      <w:r>
        <w:t>parle</w:t>
      </w:r>
      <w:r w:rsidRPr="002C4077">
        <w:t xml:space="preserve"> </w:t>
      </w:r>
      <w:r>
        <w:t>lui-même</w:t>
      </w:r>
      <w:r w:rsidRPr="002C4077">
        <w:t xml:space="preserve"> </w:t>
      </w:r>
      <w:r>
        <w:t>que</w:t>
      </w:r>
      <w:r w:rsidRPr="002C4077">
        <w:t xml:space="preserve"> </w:t>
      </w:r>
      <w:r>
        <w:t>de</w:t>
      </w:r>
      <w:r w:rsidRPr="002C4077">
        <w:t xml:space="preserve"> </w:t>
      </w:r>
      <w:r>
        <w:t>sa</w:t>
      </w:r>
      <w:r w:rsidRPr="002C4077">
        <w:t xml:space="preserve"> </w:t>
      </w:r>
      <w:r>
        <w:t>mère</w:t>
      </w:r>
      <w:r w:rsidR="00B546AF">
        <w:t> ;</w:t>
      </w:r>
      <w:r w:rsidRPr="002C4077">
        <w:t xml:space="preserve"> </w:t>
      </w:r>
      <w:r>
        <w:t>Michée</w:t>
      </w:r>
      <w:r w:rsidRPr="002C4077">
        <w:t xml:space="preserve"> </w:t>
      </w:r>
      <w:r>
        <w:t>V,</w:t>
      </w:r>
      <w:r w:rsidRPr="002C4077">
        <w:t xml:space="preserve"> </w:t>
      </w:r>
      <w:r>
        <w:t>3,</w:t>
      </w:r>
      <w:r w:rsidRPr="002C4077">
        <w:t xml:space="preserve"> </w:t>
      </w:r>
      <w:r>
        <w:t>et</w:t>
      </w:r>
      <w:r w:rsidRPr="002C4077">
        <w:t xml:space="preserve"> </w:t>
      </w:r>
      <w:r>
        <w:t>Jérémie</w:t>
      </w:r>
      <w:r w:rsidRPr="002C4077">
        <w:t xml:space="preserve"> </w:t>
      </w:r>
      <w:r>
        <w:t>XXXI,</w:t>
      </w:r>
      <w:r w:rsidRPr="002C4077">
        <w:t xml:space="preserve"> </w:t>
      </w:r>
      <w:r>
        <w:t>22,</w:t>
      </w:r>
      <w:r w:rsidRPr="002C4077">
        <w:t xml:space="preserve"> </w:t>
      </w:r>
      <w:r>
        <w:t>ne</w:t>
      </w:r>
      <w:r w:rsidRPr="002C4077">
        <w:t xml:space="preserve"> </w:t>
      </w:r>
      <w:r>
        <w:t>signalent</w:t>
      </w:r>
      <w:r w:rsidRPr="002C4077">
        <w:t xml:space="preserve"> </w:t>
      </w:r>
      <w:r>
        <w:t>également</w:t>
      </w:r>
      <w:r w:rsidRPr="002C4077">
        <w:t xml:space="preserve"> </w:t>
      </w:r>
      <w:r>
        <w:t>que</w:t>
      </w:r>
      <w:r w:rsidRPr="002C4077">
        <w:t xml:space="preserve"> </w:t>
      </w:r>
      <w:r>
        <w:t>sa</w:t>
      </w:r>
      <w:r w:rsidRPr="002C4077">
        <w:t xml:space="preserve"> </w:t>
      </w:r>
      <w:r>
        <w:t>mère.</w:t>
      </w:r>
      <w:r w:rsidRPr="002C4077">
        <w:t xml:space="preserve"> </w:t>
      </w:r>
      <w:r>
        <w:t>Seul,</w:t>
      </w:r>
      <w:r w:rsidRPr="002C4077">
        <w:t xml:space="preserve"> </w:t>
      </w:r>
      <w:r>
        <w:t>Jéhovah</w:t>
      </w:r>
      <w:r w:rsidRPr="002C4077">
        <w:t xml:space="preserve"> </w:t>
      </w:r>
      <w:r>
        <w:t>lui</w:t>
      </w:r>
      <w:r w:rsidRPr="002C4077">
        <w:t xml:space="preserve"> </w:t>
      </w:r>
      <w:r>
        <w:t>dit</w:t>
      </w:r>
      <w:r w:rsidRPr="002C4077">
        <w:t xml:space="preserve"> </w:t>
      </w:r>
      <w:r>
        <w:t>au</w:t>
      </w:r>
      <w:r w:rsidRPr="002C4077">
        <w:t xml:space="preserve"> </w:t>
      </w:r>
      <w:r>
        <w:t>Psaume</w:t>
      </w:r>
      <w:r w:rsidRPr="002C4077">
        <w:t xml:space="preserve"> </w:t>
      </w:r>
      <w:r>
        <w:t>II,</w:t>
      </w:r>
      <w:r w:rsidRPr="002C4077">
        <w:t xml:space="preserve"> </w:t>
      </w:r>
      <w:r>
        <w:t>7</w:t>
      </w:r>
      <w:r w:rsidR="00B546AF">
        <w:t> :</w:t>
      </w:r>
      <w:r w:rsidR="008D184D" w:rsidRPr="002C4077">
        <w:t xml:space="preserve"> </w:t>
      </w:r>
      <w:r w:rsidR="008D184D">
        <w:rPr>
          <w:rStyle w:val="italicus"/>
        </w:rPr>
        <w:t>Fíliu</w:t>
      </w:r>
      <w:r w:rsidR="008D184D" w:rsidRPr="000A34B5">
        <w:rPr>
          <w:rStyle w:val="italicus"/>
        </w:rPr>
        <w:t>s</w:t>
      </w:r>
      <w:r w:rsidRPr="002C4077">
        <w:t xml:space="preserve"> </w:t>
      </w:r>
      <w:r w:rsidRPr="000A34B5">
        <w:rPr>
          <w:rStyle w:val="italicus"/>
        </w:rPr>
        <w:t>meus</w:t>
      </w:r>
      <w:r w:rsidRPr="002C4077">
        <w:t xml:space="preserve"> </w:t>
      </w:r>
      <w:r w:rsidRPr="000A34B5">
        <w:rPr>
          <w:rStyle w:val="italicus"/>
        </w:rPr>
        <w:t>es</w:t>
      </w:r>
      <w:r w:rsidRPr="002C4077">
        <w:t xml:space="preserve"> </w:t>
      </w:r>
      <w:r w:rsidRPr="000A34B5">
        <w:rPr>
          <w:rStyle w:val="italicus"/>
        </w:rPr>
        <w:t>tu.</w:t>
      </w:r>
      <w:r w:rsidRPr="002C4077">
        <w:t xml:space="preserve"> </w:t>
      </w:r>
      <w:r>
        <w:t>Cela</w:t>
      </w:r>
      <w:r w:rsidRPr="002C4077">
        <w:t xml:space="preserve"> </w:t>
      </w:r>
      <w:r>
        <w:t>ne</w:t>
      </w:r>
      <w:r w:rsidRPr="002C4077">
        <w:t xml:space="preserve"> </w:t>
      </w:r>
      <w:r>
        <w:t>prouve-t-il</w:t>
      </w:r>
      <w:r w:rsidRPr="002C4077">
        <w:t xml:space="preserve"> </w:t>
      </w:r>
      <w:r>
        <w:t>pas</w:t>
      </w:r>
      <w:r w:rsidRPr="002C4077">
        <w:t xml:space="preserve"> </w:t>
      </w:r>
      <w:r w:rsidR="00AA6E8D">
        <w:t>encore</w:t>
      </w:r>
      <w:r w:rsidRPr="002C4077">
        <w:t xml:space="preserve"> </w:t>
      </w:r>
      <w:r>
        <w:t>que</w:t>
      </w:r>
      <w:r w:rsidRPr="002C4077">
        <w:t xml:space="preserve"> </w:t>
      </w:r>
      <w:r w:rsidR="00D40830" w:rsidRPr="00D40830">
        <w:t>l’</w:t>
      </w:r>
      <w:r w:rsidR="00D40830" w:rsidRPr="00D05EA9">
        <w:rPr>
          <w:rStyle w:val="italicus"/>
        </w:rPr>
        <w:t>῾almah</w:t>
      </w:r>
      <w:r w:rsidRPr="002C4077">
        <w:t xml:space="preserve"> </w:t>
      </w:r>
      <w:r>
        <w:t>doit</w:t>
      </w:r>
      <w:r w:rsidRPr="002C4077">
        <w:t xml:space="preserve"> </w:t>
      </w:r>
      <w:r>
        <w:t>être</w:t>
      </w:r>
      <w:r w:rsidRPr="002C4077">
        <w:t xml:space="preserve"> </w:t>
      </w:r>
      <w:r>
        <w:t>nécessairement</w:t>
      </w:r>
      <w:r w:rsidRPr="002C4077">
        <w:t xml:space="preserve"> </w:t>
      </w:r>
      <w:r>
        <w:t>une</w:t>
      </w:r>
      <w:r w:rsidRPr="002C4077">
        <w:t xml:space="preserve"> </w:t>
      </w:r>
      <w:r w:rsidR="00004E88">
        <w:t>vierge</w:t>
      </w:r>
      <w:r w:rsidR="00004E88">
        <w:rPr>
          <w:rStyle w:val="Appelnotedebasdep"/>
        </w:rPr>
        <w:footnoteReference w:id="237"/>
      </w:r>
      <w:r w:rsidR="00B546AF">
        <w:t> ?</w:t>
      </w:r>
      <w:r w:rsidRPr="002C4077">
        <w:t xml:space="preserve"> </w:t>
      </w:r>
    </w:p>
    <w:p w:rsidR="000A7AAB" w:rsidRDefault="000A7AAB" w:rsidP="000A7AAB">
      <w:r>
        <w:t>C’est</w:t>
      </w:r>
      <w:r w:rsidRPr="002C4077">
        <w:t xml:space="preserve"> </w:t>
      </w:r>
      <w:r>
        <w:t>enfin</w:t>
      </w:r>
      <w:r w:rsidRPr="002C4077">
        <w:t xml:space="preserve"> </w:t>
      </w:r>
      <w:r>
        <w:t>la</w:t>
      </w:r>
      <w:r w:rsidRPr="002C4077">
        <w:t xml:space="preserve"> </w:t>
      </w:r>
      <w:r>
        <w:t>construction</w:t>
      </w:r>
      <w:r w:rsidRPr="002C4077">
        <w:t xml:space="preserve"> </w:t>
      </w:r>
      <w:r>
        <w:t>de</w:t>
      </w:r>
      <w:r w:rsidRPr="002C4077">
        <w:t xml:space="preserve"> </w:t>
      </w:r>
      <w:r>
        <w:t>la</w:t>
      </w:r>
      <w:r w:rsidRPr="002C4077">
        <w:t xml:space="preserve"> </w:t>
      </w:r>
      <w:r>
        <w:t>phrase</w:t>
      </w:r>
      <w:r w:rsidRPr="002C4077">
        <w:t xml:space="preserve"> </w:t>
      </w:r>
      <w:r>
        <w:t>dans</w:t>
      </w:r>
      <w:r w:rsidRPr="002C4077">
        <w:t xml:space="preserve"> </w:t>
      </w:r>
      <w:r>
        <w:t>le</w:t>
      </w:r>
      <w:r w:rsidRPr="002C4077">
        <w:t xml:space="preserve"> </w:t>
      </w:r>
      <w:r>
        <w:t>texte</w:t>
      </w:r>
      <w:r w:rsidRPr="002C4077">
        <w:t xml:space="preserve"> </w:t>
      </w:r>
      <w:r>
        <w:t>primitif.</w:t>
      </w:r>
      <w:r w:rsidRPr="002C4077">
        <w:t xml:space="preserve"> </w:t>
      </w:r>
      <w:r>
        <w:t>Traduite</w:t>
      </w:r>
      <w:r w:rsidRPr="002C4077">
        <w:t xml:space="preserve"> </w:t>
      </w:r>
      <w:r>
        <w:t>littéralement,</w:t>
      </w:r>
      <w:r w:rsidRPr="002C4077">
        <w:t xml:space="preserve"> </w:t>
      </w:r>
      <w:r>
        <w:t>la</w:t>
      </w:r>
      <w:r w:rsidRPr="002C4077">
        <w:t xml:space="preserve"> </w:t>
      </w:r>
      <w:r>
        <w:t>partie</w:t>
      </w:r>
      <w:r w:rsidRPr="002C4077">
        <w:t xml:space="preserve"> </w:t>
      </w:r>
      <w:r>
        <w:t>principale</w:t>
      </w:r>
      <w:r w:rsidRPr="002C4077">
        <w:t xml:space="preserve"> </w:t>
      </w:r>
      <w:r>
        <w:t>de</w:t>
      </w:r>
      <w:r w:rsidRPr="002C4077">
        <w:t xml:space="preserve"> </w:t>
      </w:r>
      <w:r>
        <w:t>l’oracle</w:t>
      </w:r>
      <w:r w:rsidRPr="002C4077">
        <w:t xml:space="preserve"> </w:t>
      </w:r>
      <w:r>
        <w:t>serait,</w:t>
      </w:r>
      <w:r w:rsidRPr="002C4077">
        <w:t xml:space="preserve"> </w:t>
      </w:r>
      <w:r>
        <w:t>en</w:t>
      </w:r>
      <w:r w:rsidRPr="002C4077">
        <w:t xml:space="preserve"> </w:t>
      </w:r>
      <w:r>
        <w:t>latin</w:t>
      </w:r>
      <w:r w:rsidR="00B546AF">
        <w:t> :</w:t>
      </w:r>
      <w:r w:rsidRPr="002C4077">
        <w:t xml:space="preserve"> </w:t>
      </w:r>
      <w:r w:rsidRPr="000A34B5">
        <w:rPr>
          <w:rStyle w:val="italicus"/>
        </w:rPr>
        <w:t>Ecce</w:t>
      </w:r>
      <w:r w:rsidRPr="002C4077">
        <w:t xml:space="preserve"> </w:t>
      </w:r>
      <w:r w:rsidRPr="000A34B5">
        <w:rPr>
          <w:rStyle w:val="italicus"/>
        </w:rPr>
        <w:t>virgo</w:t>
      </w:r>
      <w:r w:rsidRPr="002C4077">
        <w:t xml:space="preserve"> </w:t>
      </w:r>
      <w:r w:rsidRPr="000A34B5">
        <w:rPr>
          <w:rStyle w:val="italicus"/>
        </w:rPr>
        <w:t>illa</w:t>
      </w:r>
      <w:r w:rsidRPr="002C4077">
        <w:t xml:space="preserve"> </w:t>
      </w:r>
      <w:r w:rsidR="00AA6E8D" w:rsidRPr="000A34B5">
        <w:rPr>
          <w:rStyle w:val="italicus"/>
        </w:rPr>
        <w:t>grávida</w:t>
      </w:r>
      <w:r w:rsidRPr="002C4077">
        <w:t xml:space="preserve"> </w:t>
      </w:r>
      <w:r w:rsidRPr="000A34B5">
        <w:rPr>
          <w:rStyle w:val="italicus"/>
        </w:rPr>
        <w:t>et</w:t>
      </w:r>
      <w:r w:rsidR="003B53FD" w:rsidRPr="002C4077">
        <w:t xml:space="preserve"> </w:t>
      </w:r>
      <w:r w:rsidR="00AA6E8D" w:rsidRPr="000A34B5">
        <w:rPr>
          <w:rStyle w:val="italicus"/>
        </w:rPr>
        <w:t>páriens</w:t>
      </w:r>
      <w:r w:rsidRPr="002C4077">
        <w:t xml:space="preserve"> </w:t>
      </w:r>
      <w:r w:rsidRPr="000A34B5">
        <w:rPr>
          <w:rStyle w:val="italicus"/>
        </w:rPr>
        <w:t>f</w:t>
      </w:r>
      <w:r w:rsidR="003B53FD">
        <w:rPr>
          <w:rStyle w:val="italicus"/>
        </w:rPr>
        <w:t>í</w:t>
      </w:r>
      <w:r w:rsidR="003B53FD" w:rsidRPr="000A34B5">
        <w:rPr>
          <w:rStyle w:val="italicus"/>
        </w:rPr>
        <w:t>lium</w:t>
      </w:r>
      <w:r w:rsidRPr="000A34B5">
        <w:rPr>
          <w:rStyle w:val="italicus"/>
        </w:rPr>
        <w:t>.</w:t>
      </w:r>
      <w:r w:rsidRPr="002C4077">
        <w:t xml:space="preserve"> </w:t>
      </w:r>
      <w:r>
        <w:t>Or</w:t>
      </w:r>
      <w:r w:rsidRPr="002C4077">
        <w:t xml:space="preserve"> </w:t>
      </w:r>
      <w:r>
        <w:t>cette</w:t>
      </w:r>
      <w:r w:rsidRPr="002C4077">
        <w:t xml:space="preserve"> </w:t>
      </w:r>
      <w:r>
        <w:t>tournure</w:t>
      </w:r>
      <w:r w:rsidRPr="002C4077">
        <w:t xml:space="preserve"> </w:t>
      </w:r>
      <w:r>
        <w:t>même</w:t>
      </w:r>
      <w:r w:rsidRPr="002C4077">
        <w:t xml:space="preserve"> </w:t>
      </w:r>
      <w:r>
        <w:t>implique</w:t>
      </w:r>
      <w:r w:rsidRPr="002C4077">
        <w:t xml:space="preserve"> </w:t>
      </w:r>
      <w:r>
        <w:t>que</w:t>
      </w:r>
      <w:r w:rsidRPr="002C4077">
        <w:t xml:space="preserve"> </w:t>
      </w:r>
      <w:r w:rsidR="00D40830" w:rsidRPr="00D40830">
        <w:t>l’</w:t>
      </w:r>
      <w:r w:rsidR="00D40830" w:rsidRPr="00D05EA9">
        <w:rPr>
          <w:rStyle w:val="italicus"/>
        </w:rPr>
        <w:t>῾almah</w:t>
      </w:r>
      <w:r w:rsidRPr="002C4077">
        <w:t xml:space="preserve"> </w:t>
      </w:r>
      <w:r>
        <w:t>sera</w:t>
      </w:r>
      <w:r w:rsidRPr="002C4077">
        <w:t xml:space="preserve"> </w:t>
      </w:r>
      <w:r>
        <w:t>vierge</w:t>
      </w:r>
      <w:r w:rsidRPr="002C4077">
        <w:t xml:space="preserve"> </w:t>
      </w:r>
      <w:r>
        <w:t>à</w:t>
      </w:r>
      <w:r w:rsidRPr="002C4077">
        <w:t xml:space="preserve"> </w:t>
      </w:r>
      <w:r>
        <w:t>l’époque</w:t>
      </w:r>
      <w:r w:rsidRPr="002C4077">
        <w:t xml:space="preserve"> </w:t>
      </w:r>
      <w:r>
        <w:t>de</w:t>
      </w:r>
      <w:r w:rsidRPr="002C4077">
        <w:t xml:space="preserve"> </w:t>
      </w:r>
      <w:r>
        <w:t>sa</w:t>
      </w:r>
      <w:r w:rsidRPr="002C4077">
        <w:t xml:space="preserve"> </w:t>
      </w:r>
      <w:r>
        <w:t>grossesse.</w:t>
      </w:r>
      <w:r w:rsidRPr="002C4077">
        <w:t xml:space="preserve"> </w:t>
      </w:r>
      <w:r w:rsidR="00B546AF">
        <w:t>« </w:t>
      </w:r>
      <w:r>
        <w:t>Il</w:t>
      </w:r>
      <w:r w:rsidRPr="002C4077">
        <w:t xml:space="preserve"> </w:t>
      </w:r>
      <w:r w:rsidR="00425C50">
        <w:t>est</w:t>
      </w:r>
      <w:r w:rsidRPr="002C4077">
        <w:t xml:space="preserve"> </w:t>
      </w:r>
      <w:r>
        <w:t>à</w:t>
      </w:r>
      <w:r w:rsidRPr="002C4077">
        <w:t xml:space="preserve"> </w:t>
      </w:r>
      <w:r>
        <w:t>remarquer,</w:t>
      </w:r>
      <w:r w:rsidRPr="002C4077">
        <w:t xml:space="preserve"> </w:t>
      </w:r>
      <w:r>
        <w:t>écrivait</w:t>
      </w:r>
      <w:r w:rsidRPr="002C4077">
        <w:t xml:space="preserve"> </w:t>
      </w:r>
      <w:r>
        <w:t>M.</w:t>
      </w:r>
      <w:r w:rsidRPr="002C4077">
        <w:t xml:space="preserve"> </w:t>
      </w:r>
      <w:r>
        <w:t>Drach</w:t>
      </w:r>
      <w:r w:rsidR="00B91AF7">
        <w:rPr>
          <w:rStyle w:val="Appelnotedebasdep"/>
        </w:rPr>
        <w:footnoteReference w:id="238"/>
      </w:r>
      <w:r>
        <w:t>,</w:t>
      </w:r>
      <w:r w:rsidRPr="002C4077">
        <w:t xml:space="preserve"> </w:t>
      </w:r>
      <w:r>
        <w:t>que</w:t>
      </w:r>
      <w:r w:rsidRPr="002C4077">
        <w:t xml:space="preserve"> </w:t>
      </w:r>
      <w:r>
        <w:t>le</w:t>
      </w:r>
      <w:r w:rsidRPr="002C4077">
        <w:t xml:space="preserve"> </w:t>
      </w:r>
      <w:r>
        <w:t>texte</w:t>
      </w:r>
      <w:r w:rsidRPr="002C4077">
        <w:t xml:space="preserve"> </w:t>
      </w:r>
      <w:r>
        <w:t>original</w:t>
      </w:r>
      <w:r w:rsidRPr="002C4077">
        <w:t xml:space="preserve"> </w:t>
      </w:r>
      <w:r>
        <w:t>se</w:t>
      </w:r>
      <w:r w:rsidRPr="002C4077">
        <w:t xml:space="preserve"> </w:t>
      </w:r>
      <w:r>
        <w:t>sert</w:t>
      </w:r>
      <w:r w:rsidRPr="002C4077">
        <w:t xml:space="preserve"> </w:t>
      </w:r>
      <w:r>
        <w:t>ici</w:t>
      </w:r>
      <w:r w:rsidRPr="002C4077">
        <w:t xml:space="preserve"> </w:t>
      </w:r>
      <w:r>
        <w:t>de</w:t>
      </w:r>
      <w:r w:rsidRPr="002C4077">
        <w:t xml:space="preserve"> </w:t>
      </w:r>
      <w:r>
        <w:t>deux</w:t>
      </w:r>
      <w:r w:rsidRPr="002C4077">
        <w:t xml:space="preserve"> </w:t>
      </w:r>
      <w:r>
        <w:t>participes</w:t>
      </w:r>
      <w:r w:rsidRPr="002C4077">
        <w:t xml:space="preserve"> </w:t>
      </w:r>
      <w:r>
        <w:t>présents</w:t>
      </w:r>
      <w:r w:rsidR="00B546AF">
        <w:t> :</w:t>
      </w:r>
      <w:r w:rsidRPr="002C4077">
        <w:t xml:space="preserve"> </w:t>
      </w:r>
      <w:r>
        <w:t>Voici</w:t>
      </w:r>
      <w:r w:rsidRPr="002C4077">
        <w:t xml:space="preserve"> </w:t>
      </w:r>
      <w:r>
        <w:t>que</w:t>
      </w:r>
      <w:r w:rsidRPr="002C4077">
        <w:t xml:space="preserve"> </w:t>
      </w:r>
      <w:r>
        <w:t>la</w:t>
      </w:r>
      <w:r w:rsidRPr="002C4077">
        <w:t xml:space="preserve"> </w:t>
      </w:r>
      <w:r>
        <w:t>vierge</w:t>
      </w:r>
      <w:r w:rsidRPr="004440EA">
        <w:t xml:space="preserve"> (</w:t>
      </w:r>
      <w:r>
        <w:t>sera</w:t>
      </w:r>
      <w:r w:rsidR="00B546AF" w:rsidRPr="002C4077">
        <w:t>)</w:t>
      </w:r>
      <w:r w:rsidRPr="002C4077">
        <w:t xml:space="preserve"> </w:t>
      </w:r>
      <w:r w:rsidRPr="000A34B5">
        <w:rPr>
          <w:rStyle w:val="italicus"/>
        </w:rPr>
        <w:t>étant</w:t>
      </w:r>
      <w:r w:rsidRPr="002C4077">
        <w:t xml:space="preserve"> </w:t>
      </w:r>
      <w:r w:rsidRPr="000A34B5">
        <w:rPr>
          <w:rStyle w:val="italicus"/>
        </w:rPr>
        <w:t>enceinte</w:t>
      </w:r>
      <w:r w:rsidRPr="002C4077">
        <w:t xml:space="preserve"> </w:t>
      </w:r>
      <w:r w:rsidRPr="000A34B5">
        <w:rPr>
          <w:rStyle w:val="italicus"/>
        </w:rPr>
        <w:t>et</w:t>
      </w:r>
      <w:r w:rsidRPr="002C4077">
        <w:t xml:space="preserve"> </w:t>
      </w:r>
      <w:r w:rsidRPr="000A34B5">
        <w:rPr>
          <w:rStyle w:val="italicus"/>
        </w:rPr>
        <w:t>enfantant.</w:t>
      </w:r>
      <w:r w:rsidRPr="002C4077">
        <w:t xml:space="preserve"> </w:t>
      </w:r>
      <w:r>
        <w:t>C’est</w:t>
      </w:r>
      <w:r w:rsidRPr="002C4077">
        <w:t xml:space="preserve"> </w:t>
      </w:r>
      <w:r>
        <w:t>donc</w:t>
      </w:r>
      <w:r w:rsidRPr="002C4077">
        <w:t xml:space="preserve"> </w:t>
      </w:r>
      <w:r>
        <w:t>une</w:t>
      </w:r>
      <w:r w:rsidRPr="002C4077">
        <w:t xml:space="preserve"> </w:t>
      </w:r>
      <w:r w:rsidRPr="000A34B5">
        <w:rPr>
          <w:rStyle w:val="italicus"/>
        </w:rPr>
        <w:t>vierge</w:t>
      </w:r>
      <w:r w:rsidRPr="002C4077">
        <w:t xml:space="preserve"> </w:t>
      </w:r>
      <w:r>
        <w:t>enceinte,</w:t>
      </w:r>
      <w:r w:rsidRPr="002C4077">
        <w:t xml:space="preserve"> </w:t>
      </w:r>
      <w:r>
        <w:t>une</w:t>
      </w:r>
      <w:r w:rsidRPr="002C4077">
        <w:t xml:space="preserve"> </w:t>
      </w:r>
      <w:r w:rsidRPr="000A34B5">
        <w:rPr>
          <w:rStyle w:val="italicus"/>
        </w:rPr>
        <w:t>vierge</w:t>
      </w:r>
      <w:r w:rsidRPr="002C4077">
        <w:t xml:space="preserve"> </w:t>
      </w:r>
      <w:r>
        <w:t>enfantant</w:t>
      </w:r>
      <w:r w:rsidR="00B546AF">
        <w:t> ;</w:t>
      </w:r>
      <w:r w:rsidRPr="002C4077">
        <w:t xml:space="preserve"> </w:t>
      </w:r>
      <w:r>
        <w:t>dans</w:t>
      </w:r>
      <w:r w:rsidRPr="002C4077">
        <w:t xml:space="preserve"> </w:t>
      </w:r>
      <w:r>
        <w:t>ces</w:t>
      </w:r>
      <w:r w:rsidRPr="002C4077">
        <w:t xml:space="preserve"> </w:t>
      </w:r>
      <w:r>
        <w:t>deux</w:t>
      </w:r>
      <w:r w:rsidRPr="002C4077">
        <w:t xml:space="preserve"> </w:t>
      </w:r>
      <w:r>
        <w:t>conjectures,</w:t>
      </w:r>
      <w:r w:rsidRPr="002C4077">
        <w:t xml:space="preserve"> </w:t>
      </w:r>
      <w:r>
        <w:t>elle</w:t>
      </w:r>
      <w:r w:rsidRPr="002C4077">
        <w:t xml:space="preserve"> </w:t>
      </w:r>
      <w:r>
        <w:t>demeurera</w:t>
      </w:r>
      <w:r w:rsidRPr="002C4077">
        <w:t xml:space="preserve"> </w:t>
      </w:r>
      <w:r>
        <w:t>dans</w:t>
      </w:r>
      <w:r w:rsidRPr="002C4077">
        <w:t xml:space="preserve"> </w:t>
      </w:r>
      <w:r>
        <w:t>toute</w:t>
      </w:r>
      <w:r w:rsidRPr="002C4077">
        <w:t xml:space="preserve"> </w:t>
      </w:r>
      <w:r>
        <w:t>sa</w:t>
      </w:r>
      <w:r w:rsidRPr="002C4077">
        <w:t xml:space="preserve"> </w:t>
      </w:r>
      <w:r>
        <w:t>pureté</w:t>
      </w:r>
      <w:r w:rsidRPr="002C4077">
        <w:t xml:space="preserve"> </w:t>
      </w:r>
      <w:r>
        <w:t>virginale.</w:t>
      </w:r>
      <w:r w:rsidR="00C45B47">
        <w:t xml:space="preserve"> {</w:t>
      </w:r>
      <w:r w:rsidR="000721C4">
        <w:t>77</w:t>
      </w:r>
      <w:bookmarkStart w:id="243" w:name="p077"/>
      <w:bookmarkEnd w:id="243"/>
      <w:r w:rsidR="000721C4">
        <w:t xml:space="preserve">} </w:t>
      </w:r>
      <w:r>
        <w:t>Si</w:t>
      </w:r>
      <w:r w:rsidRPr="002C4077">
        <w:t xml:space="preserve"> </w:t>
      </w:r>
      <w:r>
        <w:t>le</w:t>
      </w:r>
      <w:r w:rsidRPr="002C4077">
        <w:t xml:space="preserve"> </w:t>
      </w:r>
      <w:r>
        <w:t>prophète</w:t>
      </w:r>
      <w:r w:rsidRPr="002C4077">
        <w:t xml:space="preserve"> </w:t>
      </w:r>
      <w:r>
        <w:t>avait</w:t>
      </w:r>
      <w:r w:rsidRPr="002C4077">
        <w:t xml:space="preserve"> </w:t>
      </w:r>
      <w:r>
        <w:t>adopté</w:t>
      </w:r>
      <w:r w:rsidRPr="002C4077">
        <w:t xml:space="preserve"> </w:t>
      </w:r>
      <w:r>
        <w:t>ce</w:t>
      </w:r>
      <w:r w:rsidRPr="002C4077">
        <w:t xml:space="preserve"> </w:t>
      </w:r>
      <w:r>
        <w:t>texte</w:t>
      </w:r>
      <w:r w:rsidR="00B546AF">
        <w:t> :</w:t>
      </w:r>
      <w:r w:rsidRPr="002C4077">
        <w:t xml:space="preserve"> </w:t>
      </w:r>
      <w:r>
        <w:t>Voici</w:t>
      </w:r>
      <w:r w:rsidRPr="002C4077">
        <w:t xml:space="preserve"> </w:t>
      </w:r>
      <w:r>
        <w:t>que</w:t>
      </w:r>
      <w:r w:rsidRPr="002C4077">
        <w:t xml:space="preserve"> </w:t>
      </w:r>
      <w:r>
        <w:t>la</w:t>
      </w:r>
      <w:r w:rsidRPr="002C4077">
        <w:t xml:space="preserve"> </w:t>
      </w:r>
      <w:r>
        <w:t>vierge</w:t>
      </w:r>
      <w:r w:rsidRPr="002C4077">
        <w:t xml:space="preserve"> </w:t>
      </w:r>
      <w:r>
        <w:t>concevra</w:t>
      </w:r>
      <w:r w:rsidRPr="002C4077">
        <w:t xml:space="preserve"> </w:t>
      </w:r>
      <w:r>
        <w:t>et</w:t>
      </w:r>
      <w:r w:rsidRPr="002C4077">
        <w:t xml:space="preserve"> </w:t>
      </w:r>
      <w:r>
        <w:t>enfantera,</w:t>
      </w:r>
      <w:r w:rsidRPr="002C4077">
        <w:t xml:space="preserve"> </w:t>
      </w:r>
      <w:r>
        <w:t>on</w:t>
      </w:r>
      <w:r w:rsidRPr="002C4077">
        <w:t xml:space="preserve"> </w:t>
      </w:r>
      <w:r>
        <w:t>aurait</w:t>
      </w:r>
      <w:r w:rsidRPr="002C4077">
        <w:t xml:space="preserve"> </w:t>
      </w:r>
      <w:r>
        <w:t>pu</w:t>
      </w:r>
      <w:r w:rsidRPr="002C4077">
        <w:t xml:space="preserve"> </w:t>
      </w:r>
      <w:r>
        <w:t>entendre</w:t>
      </w:r>
      <w:r w:rsidR="00B546AF">
        <w:t> :</w:t>
      </w:r>
      <w:r w:rsidRPr="002C4077">
        <w:t xml:space="preserve"> </w:t>
      </w:r>
      <w:r>
        <w:t>Celle</w:t>
      </w:r>
      <w:r w:rsidRPr="002C4077">
        <w:t xml:space="preserve"> </w:t>
      </w:r>
      <w:r>
        <w:t>qui</w:t>
      </w:r>
      <w:r w:rsidRPr="002C4077">
        <w:t xml:space="preserve"> </w:t>
      </w:r>
      <w:r w:rsidR="00425C50">
        <w:t>est</w:t>
      </w:r>
      <w:r w:rsidRPr="002C4077">
        <w:t xml:space="preserve"> </w:t>
      </w:r>
      <w:r>
        <w:t>vierge</w:t>
      </w:r>
      <w:r w:rsidRPr="002C4077">
        <w:t xml:space="preserve"> </w:t>
      </w:r>
      <w:r w:rsidRPr="000A34B5">
        <w:rPr>
          <w:rStyle w:val="italicus"/>
        </w:rPr>
        <w:t>maintenant</w:t>
      </w:r>
      <w:r w:rsidRPr="002C4077">
        <w:t xml:space="preserve"> </w:t>
      </w:r>
      <w:r>
        <w:t>concevra</w:t>
      </w:r>
      <w:r w:rsidRPr="002C4077">
        <w:t xml:space="preserve"> </w:t>
      </w:r>
      <w:r>
        <w:t>et</w:t>
      </w:r>
      <w:r w:rsidRPr="002C4077">
        <w:t xml:space="preserve"> </w:t>
      </w:r>
      <w:r>
        <w:t>deviendra</w:t>
      </w:r>
      <w:r w:rsidRPr="002C4077">
        <w:t xml:space="preserve"> </w:t>
      </w:r>
      <w:r>
        <w:t>mère,</w:t>
      </w:r>
      <w:r w:rsidRPr="002C4077">
        <w:t xml:space="preserve"> </w:t>
      </w:r>
      <w:r>
        <w:t>et</w:t>
      </w:r>
      <w:r w:rsidRPr="002C4077">
        <w:t xml:space="preserve"> </w:t>
      </w:r>
      <w:r>
        <w:t>l’on</w:t>
      </w:r>
      <w:r w:rsidRPr="002C4077">
        <w:t xml:space="preserve"> </w:t>
      </w:r>
      <w:r>
        <w:t>aurait</w:t>
      </w:r>
      <w:r w:rsidRPr="002C4077">
        <w:t xml:space="preserve"> </w:t>
      </w:r>
      <w:r>
        <w:t>pu</w:t>
      </w:r>
      <w:r w:rsidRPr="002C4077">
        <w:t xml:space="preserve"> </w:t>
      </w:r>
      <w:r>
        <w:t>supposer</w:t>
      </w:r>
      <w:r w:rsidRPr="002C4077">
        <w:t xml:space="preserve"> </w:t>
      </w:r>
      <w:r>
        <w:t>qu’elle</w:t>
      </w:r>
      <w:r w:rsidRPr="002C4077">
        <w:t xml:space="preserve"> </w:t>
      </w:r>
      <w:r>
        <w:t>cesserait</w:t>
      </w:r>
      <w:r w:rsidRPr="002C4077">
        <w:t xml:space="preserve"> </w:t>
      </w:r>
      <w:r>
        <w:t>d’être</w:t>
      </w:r>
      <w:r w:rsidRPr="002C4077">
        <w:t xml:space="preserve"> </w:t>
      </w:r>
      <w:r>
        <w:t>vierge</w:t>
      </w:r>
      <w:r w:rsidR="00B546AF">
        <w:t> »</w:t>
      </w:r>
      <w:r>
        <w:t>.</w:t>
      </w:r>
      <w:r w:rsidRPr="002C4077">
        <w:t xml:space="preserve"> </w:t>
      </w:r>
      <w:r>
        <w:t>Cette</w:t>
      </w:r>
      <w:r w:rsidRPr="002C4077">
        <w:t xml:space="preserve"> </w:t>
      </w:r>
      <w:r>
        <w:t>observation,</w:t>
      </w:r>
      <w:r w:rsidRPr="002C4077">
        <w:t xml:space="preserve"> </w:t>
      </w:r>
      <w:r>
        <w:t>fondée</w:t>
      </w:r>
      <w:r w:rsidRPr="002C4077">
        <w:t xml:space="preserve"> </w:t>
      </w:r>
      <w:r>
        <w:t>sur</w:t>
      </w:r>
      <w:r w:rsidRPr="002C4077">
        <w:t xml:space="preserve"> </w:t>
      </w:r>
      <w:r>
        <w:t>le</w:t>
      </w:r>
      <w:r w:rsidRPr="002C4077">
        <w:t xml:space="preserve"> </w:t>
      </w:r>
      <w:r>
        <w:t>génie</w:t>
      </w:r>
      <w:r w:rsidRPr="002C4077">
        <w:t xml:space="preserve"> </w:t>
      </w:r>
      <w:r>
        <w:t>de</w:t>
      </w:r>
      <w:r w:rsidRPr="002C4077">
        <w:t xml:space="preserve"> </w:t>
      </w:r>
      <w:r>
        <w:t>la</w:t>
      </w:r>
      <w:r w:rsidRPr="002C4077">
        <w:t xml:space="preserve"> </w:t>
      </w:r>
      <w:r>
        <w:t>langue</w:t>
      </w:r>
      <w:r w:rsidRPr="002C4077">
        <w:t xml:space="preserve"> </w:t>
      </w:r>
      <w:r>
        <w:t>hébraïque,</w:t>
      </w:r>
      <w:r w:rsidRPr="002C4077">
        <w:t xml:space="preserve"> </w:t>
      </w:r>
      <w:r>
        <w:t>a</w:t>
      </w:r>
      <w:r w:rsidRPr="002C4077">
        <w:t xml:space="preserve"> </w:t>
      </w:r>
      <w:r>
        <w:t>une</w:t>
      </w:r>
      <w:r w:rsidRPr="002C4077">
        <w:t xml:space="preserve"> </w:t>
      </w:r>
      <w:r>
        <w:t>très</w:t>
      </w:r>
      <w:r w:rsidRPr="002C4077">
        <w:t xml:space="preserve"> </w:t>
      </w:r>
      <w:r>
        <w:t>grande</w:t>
      </w:r>
      <w:r w:rsidRPr="002C4077">
        <w:t xml:space="preserve"> </w:t>
      </w:r>
      <w:r>
        <w:t>valeur</w:t>
      </w:r>
      <w:r w:rsidR="00B91AF7">
        <w:rPr>
          <w:rStyle w:val="Appelnotedebasdep"/>
        </w:rPr>
        <w:footnoteReference w:id="239"/>
      </w:r>
      <w:r>
        <w:t>.</w:t>
      </w:r>
      <w:r w:rsidRPr="002C4077">
        <w:t xml:space="preserve"> </w:t>
      </w:r>
    </w:p>
    <w:p w:rsidR="007B0987" w:rsidRDefault="007B0987" w:rsidP="000A7AAB"/>
    <w:p w:rsidR="000A7AAB" w:rsidRPr="000721C4" w:rsidRDefault="000A7AAB" w:rsidP="000A7AAB">
      <w:r>
        <w:t>En</w:t>
      </w:r>
      <w:r w:rsidRPr="002C4077">
        <w:t xml:space="preserve"> </w:t>
      </w:r>
      <w:r>
        <w:t>un</w:t>
      </w:r>
      <w:r w:rsidRPr="002C4077">
        <w:t xml:space="preserve"> </w:t>
      </w:r>
      <w:r>
        <w:t>mot,</w:t>
      </w:r>
      <w:r w:rsidRPr="002C4077">
        <w:t xml:space="preserve"> </w:t>
      </w:r>
      <w:r>
        <w:t>soit</w:t>
      </w:r>
      <w:r w:rsidRPr="002C4077">
        <w:t xml:space="preserve"> </w:t>
      </w:r>
      <w:r>
        <w:t>dans</w:t>
      </w:r>
      <w:r w:rsidRPr="002C4077">
        <w:t xml:space="preserve"> </w:t>
      </w:r>
      <w:r>
        <w:t>le</w:t>
      </w:r>
      <w:r w:rsidRPr="002C4077">
        <w:t xml:space="preserve"> </w:t>
      </w:r>
      <w:r>
        <w:t>texte,</w:t>
      </w:r>
      <w:r w:rsidRPr="002C4077">
        <w:t xml:space="preserve"> </w:t>
      </w:r>
      <w:r>
        <w:t>soit</w:t>
      </w:r>
      <w:r w:rsidRPr="002C4077">
        <w:t xml:space="preserve"> </w:t>
      </w:r>
      <w:r>
        <w:t>dans</w:t>
      </w:r>
      <w:r w:rsidRPr="002C4077">
        <w:t xml:space="preserve"> </w:t>
      </w:r>
      <w:r>
        <w:t>le</w:t>
      </w:r>
      <w:r w:rsidRPr="002C4077">
        <w:t xml:space="preserve"> </w:t>
      </w:r>
      <w:r>
        <w:t>contexte,</w:t>
      </w:r>
      <w:r w:rsidRPr="002C4077">
        <w:t xml:space="preserve"> </w:t>
      </w:r>
      <w:r>
        <w:t>soit</w:t>
      </w:r>
      <w:r w:rsidRPr="002C4077">
        <w:t xml:space="preserve"> </w:t>
      </w:r>
      <w:r>
        <w:t>dans</w:t>
      </w:r>
      <w:r w:rsidRPr="002C4077">
        <w:t xml:space="preserve"> </w:t>
      </w:r>
      <w:r>
        <w:t>l’antique</w:t>
      </w:r>
      <w:r w:rsidRPr="002C4077">
        <w:t xml:space="preserve"> </w:t>
      </w:r>
      <w:r>
        <w:t>tradition,</w:t>
      </w:r>
      <w:r w:rsidRPr="002C4077">
        <w:t xml:space="preserve"> </w:t>
      </w:r>
      <w:r>
        <w:t>tout</w:t>
      </w:r>
      <w:r w:rsidRPr="002C4077">
        <w:t xml:space="preserve"> </w:t>
      </w:r>
      <w:r w:rsidR="00425C50">
        <w:t>est</w:t>
      </w:r>
      <w:r w:rsidRPr="002C4077">
        <w:t xml:space="preserve"> </w:t>
      </w:r>
      <w:r>
        <w:t>pour</w:t>
      </w:r>
      <w:r w:rsidRPr="002C4077">
        <w:t xml:space="preserve"> </w:t>
      </w:r>
      <w:r>
        <w:t>la</w:t>
      </w:r>
      <w:r w:rsidRPr="002C4077">
        <w:t xml:space="preserve"> </w:t>
      </w:r>
      <w:r>
        <w:t>signification</w:t>
      </w:r>
      <w:r w:rsidRPr="002C4077">
        <w:t xml:space="preserve"> </w:t>
      </w:r>
      <w:r>
        <w:t>de</w:t>
      </w:r>
      <w:r w:rsidRPr="002C4077">
        <w:t xml:space="preserve"> </w:t>
      </w:r>
      <w:r>
        <w:t>vierge,</w:t>
      </w:r>
      <w:r w:rsidRPr="002C4077">
        <w:t xml:space="preserve"> </w:t>
      </w:r>
      <w:r>
        <w:t>rien</w:t>
      </w:r>
      <w:r w:rsidRPr="002C4077">
        <w:t xml:space="preserve"> </w:t>
      </w:r>
      <w:r>
        <w:t>contre</w:t>
      </w:r>
      <w:r w:rsidRPr="002C4077">
        <w:t xml:space="preserve"> </w:t>
      </w:r>
      <w:r>
        <w:t>elle.</w:t>
      </w:r>
      <w:r w:rsidRPr="002C4077">
        <w:t xml:space="preserve"> </w:t>
      </w:r>
      <w:r>
        <w:t>Aussi,</w:t>
      </w:r>
      <w:r w:rsidRPr="002C4077">
        <w:t xml:space="preserve"> </w:t>
      </w:r>
      <w:r>
        <w:t>comment</w:t>
      </w:r>
      <w:r w:rsidRPr="002C4077">
        <w:t xml:space="preserve"> </w:t>
      </w:r>
      <w:r>
        <w:t>concevoir</w:t>
      </w:r>
      <w:r w:rsidRPr="002C4077">
        <w:t xml:space="preserve"> </w:t>
      </w:r>
      <w:r>
        <w:t>ce</w:t>
      </w:r>
      <w:r w:rsidRPr="002C4077">
        <w:t xml:space="preserve"> </w:t>
      </w:r>
      <w:r>
        <w:t>scrupule</w:t>
      </w:r>
      <w:r w:rsidRPr="002C4077">
        <w:t xml:space="preserve"> </w:t>
      </w:r>
      <w:r>
        <w:t>rien</w:t>
      </w:r>
      <w:r w:rsidRPr="002C4077">
        <w:t xml:space="preserve"> </w:t>
      </w:r>
      <w:r>
        <w:t>moins</w:t>
      </w:r>
      <w:r w:rsidRPr="002C4077">
        <w:t xml:space="preserve"> </w:t>
      </w:r>
      <w:r>
        <w:t>que</w:t>
      </w:r>
      <w:r w:rsidRPr="002C4077">
        <w:t xml:space="preserve"> </w:t>
      </w:r>
      <w:r>
        <w:t>scientifique</w:t>
      </w:r>
      <w:r w:rsidRPr="002C4077">
        <w:t xml:space="preserve"> </w:t>
      </w:r>
      <w:r>
        <w:t>de</w:t>
      </w:r>
      <w:r w:rsidRPr="002C4077">
        <w:t xml:space="preserve"> </w:t>
      </w:r>
      <w:r>
        <w:t>M.</w:t>
      </w:r>
      <w:r w:rsidRPr="002C4077">
        <w:t xml:space="preserve"> </w:t>
      </w:r>
      <w:r>
        <w:t>Cheyne,</w:t>
      </w:r>
      <w:r w:rsidRPr="002C4077">
        <w:t xml:space="preserve"> </w:t>
      </w:r>
      <w:r>
        <w:t>le</w:t>
      </w:r>
      <w:r w:rsidRPr="002C4077">
        <w:t xml:space="preserve"> </w:t>
      </w:r>
      <w:r>
        <w:t>plus</w:t>
      </w:r>
      <w:r w:rsidRPr="002C4077">
        <w:t xml:space="preserve"> </w:t>
      </w:r>
      <w:r>
        <w:t>récent</w:t>
      </w:r>
      <w:r w:rsidRPr="002C4077">
        <w:t xml:space="preserve"> </w:t>
      </w:r>
      <w:r>
        <w:t>commentateur</w:t>
      </w:r>
      <w:r w:rsidRPr="002C4077">
        <w:t xml:space="preserve"> </w:t>
      </w:r>
      <w:r>
        <w:t>anglais</w:t>
      </w:r>
      <w:r w:rsidRPr="002C4077">
        <w:t xml:space="preserve"> </w:t>
      </w:r>
      <w:r>
        <w:t>d’Isaïe</w:t>
      </w:r>
      <w:r w:rsidR="00B546AF">
        <w:t> ?</w:t>
      </w:r>
      <w:r w:rsidRPr="002C4077">
        <w:t xml:space="preserve"> </w:t>
      </w:r>
      <w:r w:rsidR="00B546AF">
        <w:t>« </w:t>
      </w:r>
      <w:r>
        <w:t>Croyant</w:t>
      </w:r>
      <w:r w:rsidRPr="002C4077">
        <w:t xml:space="preserve"> </w:t>
      </w:r>
      <w:r>
        <w:t>personnellement,</w:t>
      </w:r>
      <w:r w:rsidRPr="002C4077">
        <w:t xml:space="preserve"> </w:t>
      </w:r>
      <w:r>
        <w:t>dit-il,</w:t>
      </w:r>
      <w:r w:rsidRPr="002C4077">
        <w:t xml:space="preserve"> </w:t>
      </w:r>
      <w:r>
        <w:t>au</w:t>
      </w:r>
      <w:r w:rsidRPr="002C4077">
        <w:t xml:space="preserve"> </w:t>
      </w:r>
      <w:r>
        <w:t>Fils</w:t>
      </w:r>
      <w:r w:rsidRPr="002C4077">
        <w:t xml:space="preserve"> </w:t>
      </w:r>
      <w:r>
        <w:t>de</w:t>
      </w:r>
      <w:r w:rsidRPr="002C4077">
        <w:t xml:space="preserve"> </w:t>
      </w:r>
      <w:r>
        <w:t>la</w:t>
      </w:r>
      <w:r w:rsidRPr="002C4077">
        <w:t xml:space="preserve"> </w:t>
      </w:r>
      <w:r>
        <w:t>Vierge,</w:t>
      </w:r>
      <w:r w:rsidRPr="002C4077">
        <w:t xml:space="preserve"> </w:t>
      </w:r>
      <w:r>
        <w:t>je</w:t>
      </w:r>
      <w:r w:rsidRPr="002C4077">
        <w:t xml:space="preserve"> </w:t>
      </w:r>
      <w:r>
        <w:t>n’ose</w:t>
      </w:r>
      <w:r w:rsidRPr="002C4077">
        <w:t xml:space="preserve"> </w:t>
      </w:r>
      <w:r>
        <w:t>point</w:t>
      </w:r>
      <w:r w:rsidRPr="002C4077">
        <w:t xml:space="preserve"> </w:t>
      </w:r>
      <w:r>
        <w:t>traduire</w:t>
      </w:r>
      <w:r w:rsidRPr="002C4077">
        <w:t xml:space="preserve"> </w:t>
      </w:r>
      <w:r>
        <w:t>certain</w:t>
      </w:r>
      <w:r w:rsidRPr="002C4077">
        <w:t xml:space="preserve"> </w:t>
      </w:r>
      <w:r>
        <w:t>passage</w:t>
      </w:r>
      <w:r w:rsidRPr="002C4077">
        <w:t xml:space="preserve"> </w:t>
      </w:r>
      <w:r>
        <w:t>fameux</w:t>
      </w:r>
      <w:r w:rsidRPr="002C4077">
        <w:t xml:space="preserve"> </w:t>
      </w:r>
      <w:r>
        <w:t>d’Isaïe</w:t>
      </w:r>
      <w:r w:rsidRPr="002C4077">
        <w:t xml:space="preserve"> </w:t>
      </w:r>
      <w:r>
        <w:t>par</w:t>
      </w:r>
      <w:r w:rsidRPr="002C4077">
        <w:t xml:space="preserve"> </w:t>
      </w:r>
      <w:r w:rsidRPr="000A34B5">
        <w:rPr>
          <w:rStyle w:val="italicus"/>
        </w:rPr>
        <w:t>La</w:t>
      </w:r>
      <w:r w:rsidRPr="002C4077">
        <w:t xml:space="preserve"> </w:t>
      </w:r>
      <w:r w:rsidRPr="000A34B5">
        <w:rPr>
          <w:rStyle w:val="italicus"/>
        </w:rPr>
        <w:t>Vierge</w:t>
      </w:r>
      <w:r w:rsidRPr="002C4077">
        <w:t xml:space="preserve"> </w:t>
      </w:r>
      <w:r w:rsidRPr="000A34B5">
        <w:rPr>
          <w:rStyle w:val="italicus"/>
        </w:rPr>
        <w:t>concevra</w:t>
      </w:r>
      <w:r w:rsidR="00B91AF7">
        <w:rPr>
          <w:rStyle w:val="Appelnotedebasdep"/>
          <w:i/>
        </w:rPr>
        <w:footnoteReference w:id="240"/>
      </w:r>
      <w:r w:rsidR="00B546AF">
        <w:t> »</w:t>
      </w:r>
      <w:r>
        <w:t>.</w:t>
      </w:r>
      <w:r w:rsidRPr="002C4077">
        <w:t xml:space="preserve"> </w:t>
      </w:r>
      <w:r>
        <w:t>Qu’il</w:t>
      </w:r>
      <w:r w:rsidRPr="002C4077">
        <w:t xml:space="preserve"> </w:t>
      </w:r>
      <w:r w:rsidR="00425C50">
        <w:t>est</w:t>
      </w:r>
      <w:r w:rsidRPr="002C4077">
        <w:t xml:space="preserve"> </w:t>
      </w:r>
      <w:r>
        <w:t>plus</w:t>
      </w:r>
      <w:r w:rsidR="00AA6E8D" w:rsidRPr="002C4077">
        <w:t xml:space="preserve"> </w:t>
      </w:r>
      <w:r w:rsidR="00AA6E8D">
        <w:t>juste</w:t>
      </w:r>
      <w:r w:rsidR="00AA6E8D" w:rsidRPr="002C4077">
        <w:t xml:space="preserve"> </w:t>
      </w:r>
      <w:r w:rsidR="00AA6E8D">
        <w:t>de</w:t>
      </w:r>
      <w:r w:rsidR="00AA6E8D" w:rsidRPr="002C4077">
        <w:t xml:space="preserve"> </w:t>
      </w:r>
      <w:r w:rsidR="00AA6E8D">
        <w:t>s’écrier</w:t>
      </w:r>
      <w:r w:rsidR="00AA6E8D" w:rsidRPr="002C4077">
        <w:t xml:space="preserve"> </w:t>
      </w:r>
      <w:r w:rsidR="00AA6E8D">
        <w:t>avec</w:t>
      </w:r>
      <w:r w:rsidR="00AA6E8D" w:rsidRPr="002C4077">
        <w:t xml:space="preserve"> </w:t>
      </w:r>
      <w:r w:rsidR="00AA6E8D">
        <w:t>Bossuet</w:t>
      </w:r>
      <w:bookmarkStart w:id="244" w:name="z_Bossuet_o5"/>
      <w:bookmarkEnd w:id="244"/>
      <w:r w:rsidR="00AA6E8D">
        <w:rPr>
          <w:rStyle w:val="Appelnotedebasdep"/>
        </w:rPr>
        <w:footnoteReference w:id="241"/>
      </w:r>
      <w:r w:rsidR="00B546AF">
        <w:t> :</w:t>
      </w:r>
      <w:r w:rsidRPr="002C4077">
        <w:t xml:space="preserve"> </w:t>
      </w:r>
      <w:r w:rsidR="00B546AF">
        <w:t>« </w:t>
      </w:r>
      <w:r>
        <w:t>Je</w:t>
      </w:r>
      <w:r w:rsidRPr="002C4077">
        <w:t xml:space="preserve"> </w:t>
      </w:r>
      <w:r>
        <w:t>dirai</w:t>
      </w:r>
      <w:r w:rsidRPr="002C4077">
        <w:t xml:space="preserve"> </w:t>
      </w:r>
      <w:r>
        <w:t>qu’il</w:t>
      </w:r>
      <w:r w:rsidRPr="002C4077">
        <w:t xml:space="preserve"> </w:t>
      </w:r>
      <w:r>
        <w:t>n’y</w:t>
      </w:r>
      <w:r w:rsidRPr="002C4077">
        <w:t xml:space="preserve"> </w:t>
      </w:r>
      <w:r>
        <w:t>a</w:t>
      </w:r>
      <w:r w:rsidRPr="002C4077">
        <w:t xml:space="preserve"> </w:t>
      </w:r>
      <w:r>
        <w:t>rien</w:t>
      </w:r>
      <w:r w:rsidRPr="002C4077">
        <w:t xml:space="preserve"> </w:t>
      </w:r>
      <w:r>
        <w:t>de</w:t>
      </w:r>
      <w:r w:rsidRPr="002C4077">
        <w:t xml:space="preserve"> </w:t>
      </w:r>
      <w:r>
        <w:t>plus</w:t>
      </w:r>
      <w:r w:rsidRPr="002C4077">
        <w:t xml:space="preserve"> </w:t>
      </w:r>
      <w:r>
        <w:t>précis</w:t>
      </w:r>
      <w:r w:rsidRPr="002C4077">
        <w:t xml:space="preserve"> </w:t>
      </w:r>
      <w:r>
        <w:t>que</w:t>
      </w:r>
      <w:r w:rsidRPr="002C4077">
        <w:t xml:space="preserve"> </w:t>
      </w:r>
      <w:r>
        <w:t>les</w:t>
      </w:r>
      <w:r w:rsidRPr="002C4077">
        <w:t xml:space="preserve"> </w:t>
      </w:r>
      <w:r>
        <w:t>paroles</w:t>
      </w:r>
      <w:r w:rsidRPr="002C4077">
        <w:t xml:space="preserve"> </w:t>
      </w:r>
      <w:r>
        <w:t>du</w:t>
      </w:r>
      <w:r w:rsidRPr="002C4077">
        <w:t xml:space="preserve"> </w:t>
      </w:r>
      <w:r>
        <w:t>prophète</w:t>
      </w:r>
      <w:r w:rsidRPr="002C4077">
        <w:t xml:space="preserve"> </w:t>
      </w:r>
      <w:r>
        <w:t>pour</w:t>
      </w:r>
      <w:r w:rsidRPr="002C4077">
        <w:t xml:space="preserve"> </w:t>
      </w:r>
      <w:r>
        <w:t>signifier</w:t>
      </w:r>
      <w:bookmarkStart w:id="245" w:name="z_AlmahPerso_o3"/>
      <w:bookmarkEnd w:id="245"/>
      <w:r w:rsidRPr="002C4077">
        <w:t xml:space="preserve"> </w:t>
      </w:r>
      <w:r>
        <w:t>la</w:t>
      </w:r>
      <w:r w:rsidRPr="002C4077">
        <w:t xml:space="preserve"> </w:t>
      </w:r>
      <w:bookmarkStart w:id="246" w:name="z_Almah_o20"/>
      <w:bookmarkEnd w:id="246"/>
      <w:r w:rsidRPr="000A34B5">
        <w:rPr>
          <w:rStyle w:val="italicus"/>
        </w:rPr>
        <w:t>vierge-mère</w:t>
      </w:r>
      <w:r w:rsidR="00B546AF">
        <w:rPr>
          <w:rStyle w:val="italicus"/>
        </w:rPr>
        <w:t> </w:t>
      </w:r>
      <w:r w:rsidR="00B546AF" w:rsidRPr="000A34B5">
        <w:rPr>
          <w:rStyle w:val="italicus"/>
        </w:rPr>
        <w:t>!</w:t>
      </w:r>
      <w:r w:rsidR="00B546AF">
        <w:rPr>
          <w:rStyle w:val="italicus"/>
        </w:rPr>
        <w:t> </w:t>
      </w:r>
      <w:r w:rsidR="00B546AF" w:rsidRPr="000A34B5">
        <w:rPr>
          <w:rStyle w:val="italicus"/>
        </w:rPr>
        <w:t>»</w:t>
      </w:r>
      <w:r w:rsidR="00C45B47">
        <w:t xml:space="preserve"> {</w:t>
      </w:r>
      <w:r w:rsidR="000721C4">
        <w:t>78</w:t>
      </w:r>
      <w:bookmarkStart w:id="247" w:name="p078"/>
      <w:bookmarkEnd w:id="247"/>
      <w:r w:rsidR="000721C4">
        <w:t xml:space="preserve">} </w:t>
      </w:r>
    </w:p>
    <w:p w:rsidR="000A7AAB" w:rsidRDefault="000A7AAB" w:rsidP="00BE7D31">
      <w:pPr>
        <w:pStyle w:val="Titre2"/>
      </w:pPr>
      <w:bookmarkStart w:id="248" w:name="_Toc43882005"/>
      <w:r>
        <w:t>CHAPITRE</w:t>
      </w:r>
      <w:r w:rsidRPr="002C4077">
        <w:t xml:space="preserve"> </w:t>
      </w:r>
      <w:r>
        <w:t>V.</w:t>
      </w:r>
      <w:bookmarkStart w:id="249" w:name="a0105"/>
      <w:bookmarkEnd w:id="248"/>
      <w:bookmarkEnd w:id="249"/>
      <w:r w:rsidRPr="002C4077">
        <w:t xml:space="preserve"> </w:t>
      </w:r>
    </w:p>
    <w:p w:rsidR="000A7AAB" w:rsidRDefault="000A7AAB" w:rsidP="007E58A7">
      <w:pPr>
        <w:pStyle w:val="st2"/>
      </w:pPr>
      <w:r>
        <w:t>Le</w:t>
      </w:r>
      <w:r w:rsidRPr="002C4077">
        <w:t xml:space="preserve"> </w:t>
      </w:r>
      <w:r>
        <w:t>signe</w:t>
      </w:r>
      <w:r w:rsidRPr="002C4077">
        <w:t xml:space="preserve"> </w:t>
      </w:r>
      <w:r>
        <w:t>et</w:t>
      </w:r>
      <w:r w:rsidRPr="002C4077">
        <w:t xml:space="preserve"> </w:t>
      </w:r>
      <w:r>
        <w:t>son</w:t>
      </w:r>
      <w:r w:rsidRPr="002C4077">
        <w:t xml:space="preserve"> </w:t>
      </w:r>
      <w:r>
        <w:t>accomplissement</w:t>
      </w:r>
      <w:r w:rsidRPr="002C4077">
        <w:t xml:space="preserve"> </w:t>
      </w:r>
      <w:r>
        <w:t>tardif.</w:t>
      </w:r>
      <w:r w:rsidRPr="002C4077">
        <w:t xml:space="preserve"> </w:t>
      </w:r>
    </w:p>
    <w:p w:rsidR="000A7AAB" w:rsidRDefault="000A7AAB" w:rsidP="000A7AAB">
      <w:r>
        <w:t>Nous</w:t>
      </w:r>
      <w:bookmarkStart w:id="250" w:name="z_Almah_o23"/>
      <w:bookmarkEnd w:id="250"/>
      <w:r w:rsidRPr="002C4077">
        <w:t xml:space="preserve"> </w:t>
      </w:r>
      <w:r>
        <w:t>avons</w:t>
      </w:r>
      <w:bookmarkStart w:id="251" w:name="z_Signe_o5"/>
      <w:bookmarkEnd w:id="251"/>
      <w:r w:rsidRPr="002C4077">
        <w:t xml:space="preserve"> </w:t>
      </w:r>
      <w:r>
        <w:t>amplement</w:t>
      </w:r>
      <w:r w:rsidRPr="002C4077">
        <w:t xml:space="preserve"> </w:t>
      </w:r>
      <w:r>
        <w:t>démontré,</w:t>
      </w:r>
      <w:r w:rsidRPr="002C4077">
        <w:t xml:space="preserve"> </w:t>
      </w:r>
      <w:r>
        <w:t>dans</w:t>
      </w:r>
      <w:r w:rsidRPr="002C4077">
        <w:t xml:space="preserve"> </w:t>
      </w:r>
      <w:r>
        <w:t>les</w:t>
      </w:r>
      <w:r w:rsidRPr="002C4077">
        <w:t xml:space="preserve"> </w:t>
      </w:r>
      <w:r>
        <w:t>pages</w:t>
      </w:r>
      <w:r w:rsidRPr="002C4077">
        <w:t xml:space="preserve"> </w:t>
      </w:r>
      <w:r>
        <w:t>qui</w:t>
      </w:r>
      <w:r w:rsidRPr="002C4077">
        <w:t xml:space="preserve"> </w:t>
      </w:r>
      <w:r>
        <w:t>précèdent,</w:t>
      </w:r>
      <w:r w:rsidRPr="002C4077">
        <w:t xml:space="preserve"> </w:t>
      </w:r>
      <w:r>
        <w:t>qu’il</w:t>
      </w:r>
      <w:r w:rsidRPr="002C4077">
        <w:t xml:space="preserve"> </w:t>
      </w:r>
      <w:r>
        <w:t>n’est</w:t>
      </w:r>
      <w:r w:rsidRPr="002C4077">
        <w:t xml:space="preserve"> </w:t>
      </w:r>
      <w:r>
        <w:t>pas</w:t>
      </w:r>
      <w:r w:rsidRPr="002C4077">
        <w:t xml:space="preserve"> </w:t>
      </w:r>
      <w:r>
        <w:t>possible</w:t>
      </w:r>
      <w:r w:rsidRPr="002C4077">
        <w:t xml:space="preserve"> </w:t>
      </w:r>
      <w:r>
        <w:t>d’appliquer</w:t>
      </w:r>
      <w:r w:rsidRPr="002C4077">
        <w:t xml:space="preserve"> </w:t>
      </w:r>
      <w:r>
        <w:t>à</w:t>
      </w:r>
      <w:r w:rsidRPr="002C4077">
        <w:t xml:space="preserve"> </w:t>
      </w:r>
      <w:r>
        <w:t>d’autres</w:t>
      </w:r>
      <w:r w:rsidRPr="002C4077">
        <w:t xml:space="preserve"> </w:t>
      </w:r>
      <w:r>
        <w:t>personnages</w:t>
      </w:r>
      <w:r w:rsidRPr="002C4077">
        <w:t xml:space="preserve"> </w:t>
      </w:r>
      <w:r>
        <w:t>que</w:t>
      </w:r>
      <w:r w:rsidRPr="002C4077">
        <w:t xml:space="preserve"> </w:t>
      </w:r>
      <w:r>
        <w:t>le</w:t>
      </w:r>
      <w:r w:rsidRPr="002C4077">
        <w:t xml:space="preserve"> </w:t>
      </w:r>
      <w:r>
        <w:t>Messie</w:t>
      </w:r>
      <w:r w:rsidRPr="002C4077">
        <w:t xml:space="preserve"> </w:t>
      </w:r>
      <w:r>
        <w:t>et</w:t>
      </w:r>
      <w:r w:rsidRPr="002C4077">
        <w:t xml:space="preserve"> </w:t>
      </w:r>
      <w:r>
        <w:t>sa</w:t>
      </w:r>
      <w:r w:rsidRPr="002C4077">
        <w:t xml:space="preserve"> </w:t>
      </w:r>
      <w:r>
        <w:t>mère,</w:t>
      </w:r>
      <w:r w:rsidRPr="002C4077">
        <w:t xml:space="preserve"> </w:t>
      </w:r>
      <w:r>
        <w:t>c’est-à-dire</w:t>
      </w:r>
      <w:r w:rsidRPr="002C4077">
        <w:t xml:space="preserve"> </w:t>
      </w:r>
      <w:r>
        <w:t>Notre</w:t>
      </w:r>
      <w:r w:rsidRPr="002C4077">
        <w:t xml:space="preserve"> </w:t>
      </w:r>
      <w:r>
        <w:t>Seigneur</w:t>
      </w:r>
      <w:r w:rsidRPr="002C4077">
        <w:t xml:space="preserve"> </w:t>
      </w:r>
      <w:r w:rsidR="00425C50">
        <w:t>Jésus</w:t>
      </w:r>
      <w:r>
        <w:t>-</w:t>
      </w:r>
      <w:r w:rsidR="00425C50">
        <w:t>Christ</w:t>
      </w:r>
      <w:r w:rsidRPr="002C4077">
        <w:t xml:space="preserve"> </w:t>
      </w:r>
      <w:r>
        <w:t>et</w:t>
      </w:r>
      <w:r w:rsidRPr="002C4077">
        <w:t xml:space="preserve"> </w:t>
      </w:r>
      <w:r>
        <w:t>la</w:t>
      </w:r>
      <w:r w:rsidRPr="002C4077">
        <w:t xml:space="preserve"> </w:t>
      </w:r>
      <w:r>
        <w:t>Vierge</w:t>
      </w:r>
      <w:r w:rsidRPr="002C4077">
        <w:t xml:space="preserve"> </w:t>
      </w:r>
      <w:r>
        <w:t>Marie,</w:t>
      </w:r>
      <w:r w:rsidRPr="002C4077">
        <w:t xml:space="preserve"> </w:t>
      </w:r>
      <w:r>
        <w:t>le</w:t>
      </w:r>
      <w:r w:rsidRPr="002C4077">
        <w:t xml:space="preserve"> </w:t>
      </w:r>
      <w:r>
        <w:t>magnifique</w:t>
      </w:r>
      <w:r w:rsidRPr="002C4077">
        <w:t xml:space="preserve"> </w:t>
      </w:r>
      <w:r>
        <w:t>oracle</w:t>
      </w:r>
      <w:r w:rsidRPr="002C4077">
        <w:t xml:space="preserve"> </w:t>
      </w:r>
      <w:r>
        <w:t>de</w:t>
      </w:r>
      <w:r w:rsidRPr="002C4077">
        <w:t xml:space="preserve"> </w:t>
      </w:r>
      <w:r w:rsidR="00D40830" w:rsidRPr="00D40830">
        <w:t>l’</w:t>
      </w:r>
      <w:r w:rsidR="00D40830" w:rsidRPr="00D05EA9">
        <w:rPr>
          <w:rStyle w:val="italicus"/>
        </w:rPr>
        <w:t>῾almah</w:t>
      </w:r>
      <w:r w:rsidRPr="002C4077">
        <w:t xml:space="preserve"> </w:t>
      </w:r>
      <w:r>
        <w:t>contenu</w:t>
      </w:r>
      <w:r w:rsidRPr="002C4077">
        <w:t xml:space="preserve"> </w:t>
      </w:r>
      <w:r>
        <w:t>au</w:t>
      </w:r>
      <w:r w:rsidRPr="002C4077">
        <w:t xml:space="preserve"> </w:t>
      </w:r>
      <w:r>
        <w:t>V</w:t>
      </w:r>
      <w:r w:rsidR="007B3C26">
        <w:t>II</w:t>
      </w:r>
      <w:r w:rsidR="007B3C26" w:rsidRPr="007B3C26">
        <w:rPr>
          <w:vertAlign w:val="superscript"/>
        </w:rPr>
        <w:t>e</w:t>
      </w:r>
      <w:r w:rsidRPr="002C4077">
        <w:t xml:space="preserve"> </w:t>
      </w:r>
      <w:r>
        <w:t>chapitre</w:t>
      </w:r>
      <w:r w:rsidRPr="002C4077">
        <w:t xml:space="preserve"> </w:t>
      </w:r>
      <w:r>
        <w:t>d’Isaïe,</w:t>
      </w:r>
      <w:r w:rsidRPr="002C4077">
        <w:t xml:space="preserve"> </w:t>
      </w:r>
      <w:r>
        <w:t>Il</w:t>
      </w:r>
      <w:r w:rsidRPr="002C4077">
        <w:t xml:space="preserve"> </w:t>
      </w:r>
      <w:r>
        <w:t>nous</w:t>
      </w:r>
      <w:r w:rsidRPr="002C4077">
        <w:t xml:space="preserve"> </w:t>
      </w:r>
      <w:r>
        <w:t>reste</w:t>
      </w:r>
      <w:r w:rsidRPr="002C4077">
        <w:t xml:space="preserve"> </w:t>
      </w:r>
      <w:r>
        <w:t>maintenant</w:t>
      </w:r>
      <w:r w:rsidRPr="002C4077">
        <w:t xml:space="preserve"> </w:t>
      </w:r>
      <w:r>
        <w:t>à</w:t>
      </w:r>
      <w:r w:rsidRPr="002C4077">
        <w:t xml:space="preserve"> </w:t>
      </w:r>
      <w:r>
        <w:t>résoudre,</w:t>
      </w:r>
      <w:r w:rsidRPr="002C4077">
        <w:t xml:space="preserve"> </w:t>
      </w:r>
      <w:r>
        <w:t>et</w:t>
      </w:r>
      <w:r w:rsidRPr="002C4077">
        <w:t xml:space="preserve"> </w:t>
      </w:r>
      <w:r>
        <w:t>ce</w:t>
      </w:r>
      <w:r w:rsidRPr="002C4077">
        <w:t xml:space="preserve"> </w:t>
      </w:r>
      <w:r>
        <w:t>sera</w:t>
      </w:r>
      <w:r w:rsidRPr="002C4077">
        <w:t xml:space="preserve"> </w:t>
      </w:r>
      <w:r>
        <w:t>la</w:t>
      </w:r>
      <w:r w:rsidRPr="002C4077">
        <w:t xml:space="preserve"> </w:t>
      </w:r>
      <w:r>
        <w:t>conclusion</w:t>
      </w:r>
      <w:r w:rsidRPr="002C4077">
        <w:t xml:space="preserve"> </w:t>
      </w:r>
      <w:r>
        <w:t>de</w:t>
      </w:r>
      <w:r w:rsidRPr="002C4077">
        <w:t xml:space="preserve"> </w:t>
      </w:r>
      <w:r>
        <w:t>notre</w:t>
      </w:r>
      <w:r w:rsidRPr="002C4077">
        <w:t xml:space="preserve"> </w:t>
      </w:r>
      <w:r>
        <w:t>travail,</w:t>
      </w:r>
      <w:r w:rsidRPr="002C4077">
        <w:t xml:space="preserve"> </w:t>
      </w:r>
      <w:r>
        <w:t>une</w:t>
      </w:r>
      <w:r w:rsidRPr="002C4077">
        <w:t xml:space="preserve"> </w:t>
      </w:r>
      <w:r>
        <w:t>difficulté</w:t>
      </w:r>
      <w:r w:rsidRPr="002C4077">
        <w:t xml:space="preserve"> </w:t>
      </w:r>
      <w:r>
        <w:t>réelle,</w:t>
      </w:r>
      <w:r w:rsidRPr="002C4077">
        <w:t xml:space="preserve"> </w:t>
      </w:r>
      <w:r>
        <w:t>sérieuse,</w:t>
      </w:r>
      <w:r w:rsidRPr="002C4077">
        <w:t xml:space="preserve"> </w:t>
      </w:r>
      <w:r>
        <w:t>que</w:t>
      </w:r>
      <w:r w:rsidRPr="002C4077">
        <w:t xml:space="preserve"> </w:t>
      </w:r>
      <w:r>
        <w:t>les</w:t>
      </w:r>
      <w:r w:rsidRPr="002C4077">
        <w:t xml:space="preserve"> </w:t>
      </w:r>
      <w:r>
        <w:t>rationalistes</w:t>
      </w:r>
      <w:r w:rsidRPr="002C4077">
        <w:t xml:space="preserve"> </w:t>
      </w:r>
      <w:r>
        <w:t>n’ont</w:t>
      </w:r>
      <w:r w:rsidRPr="002C4077">
        <w:t xml:space="preserve"> </w:t>
      </w:r>
      <w:r>
        <w:t>pas</w:t>
      </w:r>
      <w:r w:rsidRPr="002C4077">
        <w:t xml:space="preserve"> </w:t>
      </w:r>
      <w:r>
        <w:t>manqué</w:t>
      </w:r>
      <w:r w:rsidRPr="002C4077">
        <w:t xml:space="preserve"> </w:t>
      </w:r>
      <w:r>
        <w:t>d’opposer</w:t>
      </w:r>
      <w:r w:rsidRPr="002C4077">
        <w:t xml:space="preserve"> </w:t>
      </w:r>
      <w:r>
        <w:t>à</w:t>
      </w:r>
      <w:r w:rsidRPr="002C4077">
        <w:t xml:space="preserve"> </w:t>
      </w:r>
      <w:r>
        <w:t>l’interprétation</w:t>
      </w:r>
      <w:r w:rsidRPr="002C4077">
        <w:t xml:space="preserve"> </w:t>
      </w:r>
      <w:r>
        <w:t>messianique.</w:t>
      </w:r>
      <w:r w:rsidRPr="002C4077">
        <w:t xml:space="preserve"> </w:t>
      </w:r>
    </w:p>
    <w:p w:rsidR="000A7AAB" w:rsidRDefault="000A7AAB" w:rsidP="000A7AAB">
      <w:r>
        <w:t>Elle</w:t>
      </w:r>
      <w:r w:rsidRPr="002C4077">
        <w:t xml:space="preserve"> </w:t>
      </w:r>
      <w:r>
        <w:t>concerne</w:t>
      </w:r>
      <w:r w:rsidRPr="002C4077">
        <w:t xml:space="preserve"> </w:t>
      </w:r>
      <w:r>
        <w:t>l’accomplissement</w:t>
      </w:r>
      <w:r w:rsidRPr="002C4077">
        <w:t xml:space="preserve"> </w:t>
      </w:r>
      <w:r>
        <w:t>de</w:t>
      </w:r>
      <w:r w:rsidRPr="002C4077">
        <w:t xml:space="preserve"> </w:t>
      </w:r>
      <w:r>
        <w:t>la</w:t>
      </w:r>
      <w:r w:rsidRPr="002C4077">
        <w:t xml:space="preserve"> </w:t>
      </w:r>
      <w:r>
        <w:t>prophétie,</w:t>
      </w:r>
      <w:r w:rsidRPr="002C4077">
        <w:t xml:space="preserve"> </w:t>
      </w:r>
      <w:r>
        <w:t>qui</w:t>
      </w:r>
      <w:r w:rsidRPr="002C4077">
        <w:t xml:space="preserve"> </w:t>
      </w:r>
      <w:r>
        <w:t>fut</w:t>
      </w:r>
      <w:r w:rsidRPr="002C4077">
        <w:t xml:space="preserve"> </w:t>
      </w:r>
      <w:r>
        <w:t>si</w:t>
      </w:r>
      <w:r w:rsidRPr="002C4077">
        <w:t xml:space="preserve"> </w:t>
      </w:r>
      <w:r>
        <w:t>tardif,</w:t>
      </w:r>
      <w:r w:rsidRPr="002C4077">
        <w:t xml:space="preserve"> </w:t>
      </w:r>
      <w:r>
        <w:t>quoique</w:t>
      </w:r>
      <w:r w:rsidRPr="002C4077">
        <w:t xml:space="preserve"> </w:t>
      </w:r>
      <w:r>
        <w:t>Isaïe</w:t>
      </w:r>
      <w:r w:rsidRPr="002C4077">
        <w:t xml:space="preserve"> </w:t>
      </w:r>
      <w:r>
        <w:t>semble,</w:t>
      </w:r>
      <w:r w:rsidRPr="002C4077">
        <w:t xml:space="preserve"> </w:t>
      </w:r>
      <w:r>
        <w:t>de</w:t>
      </w:r>
      <w:r w:rsidRPr="002C4077">
        <w:t xml:space="preserve"> </w:t>
      </w:r>
      <w:r>
        <w:t>prime-abord,</w:t>
      </w:r>
      <w:r w:rsidRPr="002C4077">
        <w:t xml:space="preserve"> </w:t>
      </w:r>
      <w:r>
        <w:t>annoncer</w:t>
      </w:r>
      <w:r w:rsidRPr="002C4077">
        <w:t xml:space="preserve"> </w:t>
      </w:r>
      <w:r>
        <w:t>la</w:t>
      </w:r>
      <w:r w:rsidRPr="002C4077">
        <w:t xml:space="preserve"> </w:t>
      </w:r>
      <w:r>
        <w:t>prochaine</w:t>
      </w:r>
      <w:r w:rsidRPr="002C4077">
        <w:t xml:space="preserve"> </w:t>
      </w:r>
      <w:r>
        <w:t>conception</w:t>
      </w:r>
      <w:r w:rsidRPr="002C4077">
        <w:t xml:space="preserve"> </w:t>
      </w:r>
      <w:r>
        <w:t>de</w:t>
      </w:r>
      <w:r w:rsidRPr="002C4077">
        <w:t xml:space="preserve"> </w:t>
      </w:r>
      <w:r w:rsidR="00D40830" w:rsidRPr="00D40830">
        <w:t>l’</w:t>
      </w:r>
      <w:r w:rsidR="00D40830" w:rsidRPr="00D05EA9">
        <w:rPr>
          <w:rStyle w:val="italicus"/>
        </w:rPr>
        <w:t>῾almah</w:t>
      </w:r>
      <w:r w:rsidRPr="000A34B5">
        <w:rPr>
          <w:rStyle w:val="italicus"/>
        </w:rPr>
        <w:t>,</w:t>
      </w:r>
      <w:r w:rsidRPr="002C4077">
        <w:t xml:space="preserve"> </w:t>
      </w:r>
      <w:r>
        <w:t>la</w:t>
      </w:r>
      <w:r w:rsidRPr="002C4077">
        <w:t xml:space="preserve"> </w:t>
      </w:r>
      <w:r>
        <w:t>naissance</w:t>
      </w:r>
      <w:r w:rsidRPr="002C4077">
        <w:t xml:space="preserve"> </w:t>
      </w:r>
      <w:r>
        <w:t>prochaine</w:t>
      </w:r>
      <w:r w:rsidRPr="002C4077">
        <w:t xml:space="preserve"> </w:t>
      </w:r>
      <w:r>
        <w:t>d’Emmanuel.</w:t>
      </w:r>
      <w:r w:rsidRPr="002C4077">
        <w:t xml:space="preserve"> </w:t>
      </w:r>
    </w:p>
    <w:p w:rsidR="000A7AAB" w:rsidRDefault="000A7AAB" w:rsidP="000A7AAB">
      <w:r>
        <w:t>Mais</w:t>
      </w:r>
      <w:r w:rsidRPr="002C4077">
        <w:t xml:space="preserve"> </w:t>
      </w:r>
      <w:r>
        <w:t>citons,</w:t>
      </w:r>
      <w:r w:rsidRPr="002C4077">
        <w:t xml:space="preserve"> </w:t>
      </w:r>
      <w:r>
        <w:t>suivant</w:t>
      </w:r>
      <w:r w:rsidRPr="002C4077">
        <w:t xml:space="preserve"> </w:t>
      </w:r>
      <w:r>
        <w:t>notre</w:t>
      </w:r>
      <w:r w:rsidRPr="002C4077">
        <w:t xml:space="preserve"> </w:t>
      </w:r>
      <w:r>
        <w:t>coutume,</w:t>
      </w:r>
      <w:r w:rsidRPr="002C4077">
        <w:t xml:space="preserve"> </w:t>
      </w:r>
      <w:r w:rsidRPr="000A34B5">
        <w:rPr>
          <w:rStyle w:val="italicus"/>
        </w:rPr>
        <w:t>ips</w:t>
      </w:r>
      <w:r w:rsidR="003B53FD">
        <w:rPr>
          <w:rStyle w:val="italicus"/>
        </w:rPr>
        <w:t>í</w:t>
      </w:r>
      <w:r w:rsidR="003B53FD" w:rsidRPr="000A34B5">
        <w:rPr>
          <w:rStyle w:val="italicus"/>
        </w:rPr>
        <w:t>ssima</w:t>
      </w:r>
      <w:r w:rsidRPr="002C4077">
        <w:t xml:space="preserve"> </w:t>
      </w:r>
      <w:r w:rsidRPr="000A34B5">
        <w:rPr>
          <w:rStyle w:val="italicus"/>
        </w:rPr>
        <w:t>verba</w:t>
      </w:r>
      <w:r w:rsidRPr="002C4077">
        <w:t xml:space="preserve"> </w:t>
      </w:r>
      <w:r>
        <w:t>de</w:t>
      </w:r>
      <w:r w:rsidRPr="002C4077">
        <w:t xml:space="preserve"> </w:t>
      </w:r>
      <w:r>
        <w:t>nos</w:t>
      </w:r>
      <w:r w:rsidRPr="002C4077">
        <w:t xml:space="preserve"> </w:t>
      </w:r>
      <w:r>
        <w:t>adversaires,</w:t>
      </w:r>
      <w:r w:rsidRPr="002C4077">
        <w:t xml:space="preserve"> </w:t>
      </w:r>
      <w:r>
        <w:t>ou</w:t>
      </w:r>
      <w:r w:rsidRPr="002C4077">
        <w:t xml:space="preserve"> </w:t>
      </w:r>
      <w:r>
        <w:t>du</w:t>
      </w:r>
      <w:r w:rsidRPr="002C4077">
        <w:t xml:space="preserve"> </w:t>
      </w:r>
      <w:r>
        <w:t>moins</w:t>
      </w:r>
      <w:r w:rsidRPr="002C4077">
        <w:t xml:space="preserve"> </w:t>
      </w:r>
      <w:r>
        <w:t>des</w:t>
      </w:r>
      <w:r w:rsidRPr="002C4077">
        <w:t xml:space="preserve"> </w:t>
      </w:r>
      <w:r>
        <w:t>principaux</w:t>
      </w:r>
      <w:r w:rsidRPr="002C4077">
        <w:t xml:space="preserve"> </w:t>
      </w:r>
      <w:r>
        <w:t>d’entre</w:t>
      </w:r>
      <w:r w:rsidRPr="002C4077">
        <w:t xml:space="preserve"> </w:t>
      </w:r>
      <w:r>
        <w:t>eux.</w:t>
      </w:r>
      <w:r w:rsidRPr="002C4077">
        <w:t xml:space="preserve"> </w:t>
      </w:r>
      <w:r>
        <w:t>De</w:t>
      </w:r>
      <w:r w:rsidRPr="002C4077">
        <w:t xml:space="preserve"> </w:t>
      </w:r>
      <w:r>
        <w:t>la</w:t>
      </w:r>
      <w:r w:rsidRPr="002C4077">
        <w:t xml:space="preserve"> </w:t>
      </w:r>
      <w:r>
        <w:t>sorte,</w:t>
      </w:r>
      <w:r w:rsidRPr="002C4077">
        <w:t xml:space="preserve"> </w:t>
      </w:r>
      <w:r>
        <w:t>personne</w:t>
      </w:r>
      <w:r w:rsidRPr="002C4077">
        <w:t xml:space="preserve"> </w:t>
      </w:r>
      <w:r>
        <w:t>ne</w:t>
      </w:r>
      <w:r w:rsidRPr="002C4077">
        <w:t xml:space="preserve"> </w:t>
      </w:r>
      <w:r>
        <w:t>pourra</w:t>
      </w:r>
      <w:r w:rsidRPr="002C4077">
        <w:t xml:space="preserve"> </w:t>
      </w:r>
      <w:r>
        <w:t>nous</w:t>
      </w:r>
      <w:r w:rsidRPr="002C4077">
        <w:t xml:space="preserve"> </w:t>
      </w:r>
      <w:r>
        <w:t>accuser</w:t>
      </w:r>
      <w:r w:rsidRPr="002C4077">
        <w:t xml:space="preserve"> </w:t>
      </w:r>
      <w:r>
        <w:t>d’avoir</w:t>
      </w:r>
      <w:r w:rsidRPr="002C4077">
        <w:t xml:space="preserve"> </w:t>
      </w:r>
      <w:r>
        <w:t>affaibli</w:t>
      </w:r>
      <w:r w:rsidRPr="002C4077">
        <w:t xml:space="preserve"> </w:t>
      </w:r>
      <w:r>
        <w:t>la</w:t>
      </w:r>
      <w:r w:rsidRPr="002C4077">
        <w:t xml:space="preserve"> </w:t>
      </w:r>
      <w:r>
        <w:t>force</w:t>
      </w:r>
      <w:r w:rsidRPr="002C4077">
        <w:t xml:space="preserve"> </w:t>
      </w:r>
      <w:r>
        <w:t>de</w:t>
      </w:r>
      <w:r w:rsidRPr="002C4077">
        <w:t xml:space="preserve"> </w:t>
      </w:r>
      <w:r>
        <w:t>l’objection.</w:t>
      </w:r>
      <w:r w:rsidRPr="002C4077">
        <w:t xml:space="preserve"> </w:t>
      </w:r>
    </w:p>
    <w:p w:rsidR="007B0987" w:rsidRDefault="00B546AF" w:rsidP="000A7AAB">
      <w:r>
        <w:t>« </w:t>
      </w:r>
      <w:r w:rsidR="000A7AAB">
        <w:t>Toujours</w:t>
      </w:r>
      <w:r w:rsidR="000A7AAB" w:rsidRPr="002C4077">
        <w:t xml:space="preserve"> </w:t>
      </w:r>
      <w:r w:rsidR="00425C50">
        <w:t>est</w:t>
      </w:r>
      <w:r w:rsidR="000A7AAB">
        <w:t>-il</w:t>
      </w:r>
      <w:r w:rsidR="000A7AAB" w:rsidRPr="004440EA">
        <w:t xml:space="preserve"> (</w:t>
      </w:r>
      <w:r w:rsidR="000A7AAB">
        <w:t>c’est</w:t>
      </w:r>
      <w:r w:rsidR="000A7AAB" w:rsidRPr="002C4077">
        <w:t xml:space="preserve"> </w:t>
      </w:r>
      <w:r w:rsidR="000A7AAB">
        <w:t>un</w:t>
      </w:r>
      <w:r w:rsidR="000A7AAB" w:rsidRPr="002C4077">
        <w:t xml:space="preserve"> </w:t>
      </w:r>
      <w:r w:rsidR="000A7AAB">
        <w:t>point</w:t>
      </w:r>
      <w:r w:rsidR="000A7AAB" w:rsidRPr="002C4077">
        <w:t xml:space="preserve"> </w:t>
      </w:r>
      <w:r w:rsidR="000A7AAB">
        <w:t>porté</w:t>
      </w:r>
      <w:r w:rsidR="000A7AAB" w:rsidRPr="002C4077">
        <w:t xml:space="preserve"> </w:t>
      </w:r>
      <w:r w:rsidR="000A7AAB">
        <w:t>jusqu’à</w:t>
      </w:r>
      <w:r w:rsidR="000A7AAB" w:rsidRPr="002C4077">
        <w:t xml:space="preserve"> </w:t>
      </w:r>
      <w:r w:rsidR="000A7AAB">
        <w:t>l’évidence</w:t>
      </w:r>
      <w:r w:rsidR="000A7AAB" w:rsidRPr="002C4077">
        <w:t xml:space="preserve"> </w:t>
      </w:r>
      <w:r w:rsidR="000A7AAB">
        <w:t>par</w:t>
      </w:r>
      <w:r w:rsidR="000A7AAB" w:rsidRPr="002C4077">
        <w:t xml:space="preserve"> </w:t>
      </w:r>
      <w:r w:rsidR="000A7AAB">
        <w:t>la</w:t>
      </w:r>
      <w:r w:rsidR="000A7AAB" w:rsidRPr="002C4077">
        <w:t xml:space="preserve"> </w:t>
      </w:r>
      <w:r w:rsidR="000A7AAB">
        <w:t>critique</w:t>
      </w:r>
      <w:r w:rsidR="000A7AAB" w:rsidRPr="002C4077">
        <w:t xml:space="preserve"> </w:t>
      </w:r>
      <w:r w:rsidR="000A7AAB">
        <w:t>moderne</w:t>
      </w:r>
      <w:r w:rsidRPr="002C4077">
        <w:t>)</w:t>
      </w:r>
      <w:r w:rsidR="000A7AAB" w:rsidRPr="002C4077">
        <w:t xml:space="preserve"> </w:t>
      </w:r>
      <w:r w:rsidR="000A7AAB">
        <w:t>que,</w:t>
      </w:r>
      <w:r w:rsidR="000A7AAB" w:rsidRPr="002C4077">
        <w:t xml:space="preserve"> </w:t>
      </w:r>
      <w:r w:rsidR="000A7AAB">
        <w:t>dans</w:t>
      </w:r>
      <w:r w:rsidR="000A7AAB" w:rsidRPr="002C4077">
        <w:t xml:space="preserve"> </w:t>
      </w:r>
      <w:r w:rsidR="000A7AAB">
        <w:t>les</w:t>
      </w:r>
      <w:r w:rsidR="000A7AAB" w:rsidRPr="002C4077">
        <w:t xml:space="preserve"> </w:t>
      </w:r>
      <w:r w:rsidR="000A7AAB">
        <w:t>circonstances</w:t>
      </w:r>
      <w:r w:rsidR="000A7AAB" w:rsidRPr="002C4077">
        <w:t xml:space="preserve"> </w:t>
      </w:r>
      <w:r w:rsidR="000A7AAB">
        <w:t>qui</w:t>
      </w:r>
      <w:r w:rsidR="000A7AAB" w:rsidRPr="002C4077">
        <w:t xml:space="preserve"> </w:t>
      </w:r>
      <w:r w:rsidR="000A7AAB">
        <w:t>furent</w:t>
      </w:r>
      <w:r w:rsidR="000A7AAB" w:rsidRPr="002C4077">
        <w:t xml:space="preserve"> </w:t>
      </w:r>
      <w:r w:rsidR="000A7AAB">
        <w:t>l’occasion</w:t>
      </w:r>
      <w:r w:rsidR="000A7AAB" w:rsidRPr="002C4077">
        <w:t xml:space="preserve"> </w:t>
      </w:r>
      <w:r w:rsidR="000A7AAB">
        <w:t>de</w:t>
      </w:r>
      <w:r w:rsidR="000A7AAB" w:rsidRPr="002C4077">
        <w:t xml:space="preserve"> </w:t>
      </w:r>
      <w:r w:rsidR="000A7AAB">
        <w:t>la</w:t>
      </w:r>
      <w:r w:rsidR="000A7AAB" w:rsidRPr="002C4077">
        <w:t xml:space="preserve"> </w:t>
      </w:r>
      <w:r w:rsidR="000A7AAB">
        <w:t>prophétie</w:t>
      </w:r>
      <w:r w:rsidR="000A7AAB" w:rsidRPr="002C4077">
        <w:t xml:space="preserve"> </w:t>
      </w:r>
      <w:r w:rsidR="000A7AAB">
        <w:t>d’Isaïe,</w:t>
      </w:r>
      <w:r w:rsidR="000A7AAB" w:rsidRPr="002C4077">
        <w:t xml:space="preserve"> </w:t>
      </w:r>
      <w:r w:rsidR="000A7AAB">
        <w:t>un</w:t>
      </w:r>
      <w:r w:rsidR="000A7AAB" w:rsidRPr="002C4077">
        <w:t xml:space="preserve"> </w:t>
      </w:r>
      <w:r w:rsidR="000A7AAB">
        <w:t>signe</w:t>
      </w:r>
      <w:r w:rsidR="000A7AAB" w:rsidRPr="002C4077">
        <w:t xml:space="preserve"> </w:t>
      </w:r>
      <w:r w:rsidR="000A7AAB">
        <w:t>pris</w:t>
      </w:r>
      <w:r w:rsidR="000A7AAB" w:rsidRPr="002C4077">
        <w:t xml:space="preserve"> </w:t>
      </w:r>
      <w:r w:rsidR="000A7AAB">
        <w:t>au</w:t>
      </w:r>
      <w:r w:rsidR="000A7AAB" w:rsidRPr="002C4077">
        <w:t xml:space="preserve"> </w:t>
      </w:r>
      <w:r w:rsidR="000A7AAB">
        <w:t>moment</w:t>
      </w:r>
      <w:r w:rsidR="000A7AAB" w:rsidRPr="002C4077">
        <w:t xml:space="preserve"> </w:t>
      </w:r>
      <w:r w:rsidR="000A7AAB">
        <w:t>actuel</w:t>
      </w:r>
      <w:r w:rsidR="000A7AAB" w:rsidRPr="002C4077">
        <w:t xml:space="preserve"> </w:t>
      </w:r>
      <w:r w:rsidR="000A7AAB">
        <w:t>et</w:t>
      </w:r>
      <w:r w:rsidR="000A7AAB" w:rsidRPr="002C4077">
        <w:t xml:space="preserve"> </w:t>
      </w:r>
      <w:r w:rsidR="000A7AAB">
        <w:t>relatif</w:t>
      </w:r>
      <w:r w:rsidR="000A7AAB" w:rsidRPr="002C4077">
        <w:t xml:space="preserve"> </w:t>
      </w:r>
      <w:r w:rsidR="000A7AAB">
        <w:t>à</w:t>
      </w:r>
      <w:r w:rsidR="000A7AAB" w:rsidRPr="002C4077">
        <w:t xml:space="preserve"> </w:t>
      </w:r>
      <w:r w:rsidR="000A7AAB">
        <w:t>un</w:t>
      </w:r>
      <w:r w:rsidR="000A7AAB" w:rsidRPr="002C4077">
        <w:t xml:space="preserve"> </w:t>
      </w:r>
      <w:r w:rsidR="000A7AAB">
        <w:t>avenir</w:t>
      </w:r>
      <w:r w:rsidR="000A7AAB" w:rsidRPr="002C4077">
        <w:t xml:space="preserve"> </w:t>
      </w:r>
      <w:r w:rsidR="000A7AAB">
        <w:t>très</w:t>
      </w:r>
      <w:r w:rsidR="000A7AAB" w:rsidRPr="002C4077">
        <w:t xml:space="preserve"> </w:t>
      </w:r>
      <w:r w:rsidR="000A7AAB">
        <w:t>prochain,</w:t>
      </w:r>
      <w:r w:rsidR="000A7AAB" w:rsidRPr="002C4077">
        <w:t xml:space="preserve"> </w:t>
      </w:r>
      <w:r w:rsidR="000A7AAB">
        <w:t>pouvait</w:t>
      </w:r>
      <w:r w:rsidR="000A7AAB" w:rsidRPr="002C4077">
        <w:t xml:space="preserve"> </w:t>
      </w:r>
      <w:r w:rsidR="000A7AAB">
        <w:t>seul</w:t>
      </w:r>
      <w:r w:rsidR="000A7AAB" w:rsidRPr="002C4077">
        <w:t xml:space="preserve"> </w:t>
      </w:r>
      <w:r w:rsidR="000A7AAB">
        <w:t>avoir</w:t>
      </w:r>
      <w:r w:rsidR="000A7AAB" w:rsidRPr="002C4077">
        <w:t xml:space="preserve"> </w:t>
      </w:r>
      <w:r w:rsidR="000A7AAB">
        <w:t>un</w:t>
      </w:r>
      <w:r w:rsidR="000A7AAB" w:rsidRPr="002C4077">
        <w:t xml:space="preserve"> </w:t>
      </w:r>
      <w:r w:rsidR="000A7AAB">
        <w:t>sens.</w:t>
      </w:r>
      <w:r>
        <w:t> »</w:t>
      </w:r>
      <w:r w:rsidR="000A7AAB" w:rsidRPr="002C4077">
        <w:t xml:space="preserve"> </w:t>
      </w:r>
    </w:p>
    <w:p w:rsidR="007B0987" w:rsidRDefault="000A7AAB" w:rsidP="000A7AAB">
      <w:r>
        <w:t>Ainsi</w:t>
      </w:r>
      <w:r w:rsidRPr="002C4077">
        <w:t xml:space="preserve"> </w:t>
      </w:r>
      <w:r>
        <w:t>parle</w:t>
      </w:r>
      <w:r w:rsidRPr="002C4077">
        <w:t xml:space="preserve"> </w:t>
      </w:r>
      <w:r>
        <w:t>Strauss</w:t>
      </w:r>
      <w:bookmarkStart w:id="252" w:name="z_Strauss_o4"/>
      <w:bookmarkEnd w:id="252"/>
      <w:r w:rsidRPr="002C4077">
        <w:t xml:space="preserve"> </w:t>
      </w:r>
      <w:r>
        <w:t>dans</w:t>
      </w:r>
      <w:r w:rsidRPr="002C4077">
        <w:t xml:space="preserve"> </w:t>
      </w:r>
      <w:r>
        <w:t>sa</w:t>
      </w:r>
      <w:r w:rsidRPr="002C4077">
        <w:t xml:space="preserve"> </w:t>
      </w:r>
      <w:r w:rsidRPr="000A34B5">
        <w:rPr>
          <w:rStyle w:val="italicus"/>
        </w:rPr>
        <w:t>Vie</w:t>
      </w:r>
      <w:r w:rsidRPr="002C4077">
        <w:t xml:space="preserve"> </w:t>
      </w:r>
      <w:r w:rsidRPr="000A34B5">
        <w:rPr>
          <w:rStyle w:val="italicus"/>
        </w:rPr>
        <w:t>de</w:t>
      </w:r>
      <w:r w:rsidRPr="002C4077">
        <w:t xml:space="preserve"> </w:t>
      </w:r>
      <w:r w:rsidR="00425C50">
        <w:rPr>
          <w:rStyle w:val="italicus"/>
        </w:rPr>
        <w:t>Jésus</w:t>
      </w:r>
      <w:r w:rsidR="007B0987">
        <w:rPr>
          <w:rStyle w:val="Appelnotedebasdep"/>
          <w:i/>
        </w:rPr>
        <w:footnoteReference w:id="242"/>
      </w:r>
      <w:r w:rsidR="007B0987">
        <w:rPr>
          <w:rStyle w:val="italicus"/>
        </w:rPr>
        <w:t>.</w:t>
      </w:r>
      <w:r w:rsidRPr="002C4077">
        <w:t xml:space="preserve"> </w:t>
      </w:r>
    </w:p>
    <w:p w:rsidR="000A7AAB" w:rsidRDefault="000A7AAB" w:rsidP="000A7AAB">
      <w:r>
        <w:t>M.</w:t>
      </w:r>
      <w:r w:rsidRPr="002C4077">
        <w:t xml:space="preserve"> </w:t>
      </w:r>
      <w:r>
        <w:t>Reuss</w:t>
      </w:r>
      <w:bookmarkStart w:id="253" w:name="z_Reuss_o8"/>
      <w:bookmarkEnd w:id="253"/>
      <w:r w:rsidRPr="002C4077">
        <w:t xml:space="preserve"> </w:t>
      </w:r>
      <w:r>
        <w:t>fait</w:t>
      </w:r>
      <w:r w:rsidRPr="002C4077">
        <w:t xml:space="preserve"> </w:t>
      </w:r>
      <w:r>
        <w:t>un</w:t>
      </w:r>
      <w:r w:rsidRPr="002C4077">
        <w:t xml:space="preserve"> </w:t>
      </w:r>
      <w:r>
        <w:t>argument</w:t>
      </w:r>
      <w:r w:rsidRPr="002C4077">
        <w:t xml:space="preserve"> </w:t>
      </w:r>
      <w:r>
        <w:t>analogue.</w:t>
      </w:r>
      <w:r w:rsidR="00C45B47">
        <w:t xml:space="preserve"> {</w:t>
      </w:r>
      <w:r w:rsidR="000721C4">
        <w:t>79</w:t>
      </w:r>
      <w:bookmarkStart w:id="254" w:name="p079"/>
      <w:bookmarkEnd w:id="254"/>
      <w:r w:rsidR="000721C4">
        <w:t xml:space="preserve">} </w:t>
      </w:r>
      <w:r w:rsidR="00B546AF">
        <w:t>« </w:t>
      </w:r>
      <w:r>
        <w:t>Tout</w:t>
      </w:r>
      <w:r w:rsidRPr="002C4077">
        <w:t xml:space="preserve"> </w:t>
      </w:r>
      <w:r>
        <w:t>cela</w:t>
      </w:r>
      <w:r w:rsidRPr="002C4077">
        <w:t xml:space="preserve"> </w:t>
      </w:r>
      <w:r>
        <w:t>arrivera</w:t>
      </w:r>
      <w:r w:rsidRPr="002C4077">
        <w:t xml:space="preserve"> </w:t>
      </w:r>
      <w:r>
        <w:t>dans</w:t>
      </w:r>
      <w:r w:rsidRPr="002C4077">
        <w:t xml:space="preserve"> </w:t>
      </w:r>
      <w:r>
        <w:t>un</w:t>
      </w:r>
      <w:r w:rsidRPr="002C4077">
        <w:t xml:space="preserve"> </w:t>
      </w:r>
      <w:r>
        <w:t>bref</w:t>
      </w:r>
      <w:r w:rsidRPr="002C4077">
        <w:t xml:space="preserve"> </w:t>
      </w:r>
      <w:r>
        <w:t>délai.</w:t>
      </w:r>
      <w:r w:rsidRPr="002C4077">
        <w:t xml:space="preserve"> </w:t>
      </w:r>
      <w:r>
        <w:t>Quand</w:t>
      </w:r>
      <w:r w:rsidRPr="002C4077">
        <w:t xml:space="preserve"> </w:t>
      </w:r>
      <w:r>
        <w:t>une</w:t>
      </w:r>
      <w:r w:rsidRPr="002C4077">
        <w:t xml:space="preserve"> </w:t>
      </w:r>
      <w:r>
        <w:t>femme</w:t>
      </w:r>
      <w:r w:rsidRPr="002C4077">
        <w:t xml:space="preserve"> </w:t>
      </w:r>
      <w:r w:rsidR="00425C50">
        <w:t>est</w:t>
      </w:r>
      <w:r w:rsidRPr="002C4077">
        <w:t xml:space="preserve"> </w:t>
      </w:r>
      <w:r>
        <w:t>enceinte,</w:t>
      </w:r>
      <w:r w:rsidRPr="002C4077">
        <w:t xml:space="preserve"> </w:t>
      </w:r>
      <w:r>
        <w:t>en</w:t>
      </w:r>
      <w:r w:rsidRPr="002C4077">
        <w:t xml:space="preserve"> </w:t>
      </w:r>
      <w:r>
        <w:t>peut</w:t>
      </w:r>
      <w:r w:rsidRPr="002C4077">
        <w:t xml:space="preserve"> </w:t>
      </w:r>
      <w:r>
        <w:t>calculer</w:t>
      </w:r>
      <w:r w:rsidRPr="002C4077">
        <w:t xml:space="preserve"> </w:t>
      </w:r>
      <w:r>
        <w:t>le</w:t>
      </w:r>
      <w:r w:rsidRPr="002C4077">
        <w:t xml:space="preserve"> </w:t>
      </w:r>
      <w:r>
        <w:t>mome</w:t>
      </w:r>
      <w:r w:rsidR="00AA6E8D">
        <w:t>nt</w:t>
      </w:r>
      <w:r w:rsidR="00AA6E8D" w:rsidRPr="002C4077">
        <w:t xml:space="preserve"> </w:t>
      </w:r>
      <w:r w:rsidR="00AA6E8D">
        <w:t>de</w:t>
      </w:r>
      <w:r w:rsidR="00AA6E8D" w:rsidRPr="002C4077">
        <w:t xml:space="preserve"> </w:t>
      </w:r>
      <w:r w:rsidR="00AA6E8D">
        <w:t>sa</w:t>
      </w:r>
      <w:r w:rsidR="00AA6E8D" w:rsidRPr="002C4077">
        <w:t xml:space="preserve"> </w:t>
      </w:r>
      <w:r w:rsidR="00AA6E8D">
        <w:t>délivrance.</w:t>
      </w:r>
      <w:r w:rsidR="00AA6E8D" w:rsidRPr="002C4077">
        <w:t xml:space="preserve"> </w:t>
      </w:r>
      <w:r w:rsidR="00AA6E8D">
        <w:t>Isaïe</w:t>
      </w:r>
      <w:r w:rsidR="00AA6E8D" w:rsidRPr="002C4077">
        <w:t xml:space="preserve"> </w:t>
      </w:r>
      <w:r w:rsidR="00AA6E8D">
        <w:t>dit</w:t>
      </w:r>
      <w:r w:rsidR="00AA6E8D" w:rsidRPr="002C4077">
        <w:t xml:space="preserve"> </w:t>
      </w:r>
      <w:r w:rsidR="00AA6E8D">
        <w:t>d</w:t>
      </w:r>
      <w:r>
        <w:t>onc</w:t>
      </w:r>
      <w:r w:rsidR="00B546AF">
        <w:t> :</w:t>
      </w:r>
      <w:r w:rsidRPr="002C4077">
        <w:t xml:space="preserve"> </w:t>
      </w:r>
      <w:r>
        <w:t>Au</w:t>
      </w:r>
      <w:r w:rsidRPr="002C4077">
        <w:t xml:space="preserve"> </w:t>
      </w:r>
      <w:r>
        <w:t>bout</w:t>
      </w:r>
      <w:r w:rsidRPr="002C4077">
        <w:t xml:space="preserve"> </w:t>
      </w:r>
      <w:r>
        <w:t>de</w:t>
      </w:r>
      <w:r w:rsidRPr="002C4077">
        <w:t xml:space="preserve"> </w:t>
      </w:r>
      <w:r>
        <w:t>peu</w:t>
      </w:r>
      <w:r w:rsidRPr="002C4077">
        <w:t xml:space="preserve"> </w:t>
      </w:r>
      <w:r>
        <w:t>de</w:t>
      </w:r>
      <w:r w:rsidRPr="002C4077">
        <w:t xml:space="preserve"> </w:t>
      </w:r>
      <w:r>
        <w:t>mois</w:t>
      </w:r>
      <w:r w:rsidRPr="002C4077">
        <w:t xml:space="preserve"> </w:t>
      </w:r>
      <w:r>
        <w:t>un</w:t>
      </w:r>
      <w:r w:rsidRPr="002C4077">
        <w:t xml:space="preserve"> </w:t>
      </w:r>
      <w:r>
        <w:t>enfant</w:t>
      </w:r>
      <w:r w:rsidRPr="002C4077">
        <w:t xml:space="preserve"> </w:t>
      </w:r>
      <w:r>
        <w:t>qui</w:t>
      </w:r>
      <w:r w:rsidRPr="002C4077">
        <w:t xml:space="preserve"> </w:t>
      </w:r>
      <w:r>
        <w:t>va</w:t>
      </w:r>
      <w:r w:rsidRPr="002C4077">
        <w:t xml:space="preserve"> </w:t>
      </w:r>
      <w:r>
        <w:t>naître</w:t>
      </w:r>
      <w:r w:rsidRPr="002C4077">
        <w:t xml:space="preserve"> </w:t>
      </w:r>
      <w:r>
        <w:t>pourra</w:t>
      </w:r>
      <w:r w:rsidRPr="002C4077">
        <w:t xml:space="preserve"> </w:t>
      </w:r>
      <w:r>
        <w:t>être</w:t>
      </w:r>
      <w:r w:rsidRPr="002C4077">
        <w:t xml:space="preserve"> </w:t>
      </w:r>
      <w:r>
        <w:t>appelé</w:t>
      </w:r>
      <w:r w:rsidRPr="002C4077">
        <w:t xml:space="preserve"> </w:t>
      </w:r>
      <w:r w:rsidRPr="000A34B5">
        <w:rPr>
          <w:rStyle w:val="italicus"/>
        </w:rPr>
        <w:t>Dieu</w:t>
      </w:r>
      <w:r w:rsidRPr="002C4077">
        <w:t xml:space="preserve"> </w:t>
      </w:r>
      <w:r w:rsidRPr="000A34B5">
        <w:rPr>
          <w:rStyle w:val="italicus"/>
        </w:rPr>
        <w:t>avec</w:t>
      </w:r>
      <w:r w:rsidRPr="002C4077">
        <w:t xml:space="preserve"> </w:t>
      </w:r>
      <w:r w:rsidRPr="000A34B5">
        <w:rPr>
          <w:rStyle w:val="italicus"/>
        </w:rPr>
        <w:t>nous</w:t>
      </w:r>
      <w:r w:rsidR="00B546AF">
        <w:rPr>
          <w:rStyle w:val="italicus"/>
        </w:rPr>
        <w:t> </w:t>
      </w:r>
      <w:r w:rsidR="00B546AF" w:rsidRPr="000A34B5">
        <w:rPr>
          <w:rStyle w:val="italicus"/>
        </w:rPr>
        <w:t>;</w:t>
      </w:r>
      <w:r w:rsidRPr="002C4077">
        <w:t xml:space="preserve"> </w:t>
      </w:r>
      <w:r>
        <w:t>ce</w:t>
      </w:r>
      <w:r w:rsidRPr="002C4077">
        <w:t xml:space="preserve"> </w:t>
      </w:r>
      <w:r>
        <w:t>qui</w:t>
      </w:r>
      <w:r w:rsidRPr="002C4077">
        <w:t xml:space="preserve"> </w:t>
      </w:r>
      <w:r>
        <w:t>veut</w:t>
      </w:r>
      <w:r w:rsidRPr="002C4077">
        <w:t xml:space="preserve"> </w:t>
      </w:r>
      <w:r>
        <w:t>dire</w:t>
      </w:r>
      <w:r w:rsidRPr="002C4077">
        <w:t xml:space="preserve"> </w:t>
      </w:r>
      <w:r>
        <w:t>qu’on</w:t>
      </w:r>
      <w:r w:rsidRPr="002C4077">
        <w:t xml:space="preserve"> </w:t>
      </w:r>
      <w:r>
        <w:t>sera</w:t>
      </w:r>
      <w:r w:rsidRPr="002C4077">
        <w:t xml:space="preserve"> </w:t>
      </w:r>
      <w:r>
        <w:t>alors</w:t>
      </w:r>
      <w:r w:rsidRPr="002C4077">
        <w:t xml:space="preserve"> </w:t>
      </w:r>
      <w:r>
        <w:t>dans</w:t>
      </w:r>
      <w:r w:rsidRPr="002C4077">
        <w:t xml:space="preserve"> </w:t>
      </w:r>
      <w:r>
        <w:t>une</w:t>
      </w:r>
      <w:r w:rsidRPr="002C4077">
        <w:t xml:space="preserve"> </w:t>
      </w:r>
      <w:r>
        <w:t>situation</w:t>
      </w:r>
      <w:r w:rsidRPr="002C4077">
        <w:t xml:space="preserve"> </w:t>
      </w:r>
      <w:r>
        <w:t>rassurante</w:t>
      </w:r>
      <w:r w:rsidRPr="002C4077">
        <w:t xml:space="preserve"> </w:t>
      </w:r>
      <w:r>
        <w:t>à</w:t>
      </w:r>
      <w:r w:rsidRPr="002C4077">
        <w:t xml:space="preserve"> </w:t>
      </w:r>
      <w:r>
        <w:lastRenderedPageBreak/>
        <w:t>l’égard</w:t>
      </w:r>
      <w:r w:rsidRPr="002C4077">
        <w:t xml:space="preserve"> </w:t>
      </w:r>
      <w:r>
        <w:t>de</w:t>
      </w:r>
      <w:r w:rsidRPr="002C4077">
        <w:t xml:space="preserve"> </w:t>
      </w:r>
      <w:r>
        <w:t>l’invasion</w:t>
      </w:r>
      <w:r w:rsidRPr="002C4077">
        <w:t xml:space="preserve"> </w:t>
      </w:r>
      <w:r>
        <w:t>qui</w:t>
      </w:r>
      <w:r w:rsidRPr="002C4077">
        <w:t xml:space="preserve"> </w:t>
      </w:r>
      <w:r>
        <w:t>menace</w:t>
      </w:r>
      <w:r w:rsidRPr="002C4077">
        <w:t xml:space="preserve"> </w:t>
      </w:r>
      <w:r>
        <w:t>Jérusalem</w:t>
      </w:r>
      <w:r w:rsidR="00B91AF7">
        <w:rPr>
          <w:rStyle w:val="Appelnotedebasdep"/>
        </w:rPr>
        <w:footnoteReference w:id="243"/>
      </w:r>
      <w:r w:rsidR="00B546AF">
        <w:t> »</w:t>
      </w:r>
      <w:r>
        <w:t>.</w:t>
      </w:r>
      <w:r w:rsidRPr="002C4077">
        <w:t xml:space="preserve"> </w:t>
      </w:r>
      <w:r>
        <w:t>Et</w:t>
      </w:r>
      <w:r w:rsidRPr="002C4077">
        <w:t xml:space="preserve"> </w:t>
      </w:r>
      <w:r>
        <w:t>quelques</w:t>
      </w:r>
      <w:r w:rsidRPr="002C4077">
        <w:t xml:space="preserve"> </w:t>
      </w:r>
      <w:r>
        <w:t>lignes</w:t>
      </w:r>
      <w:r w:rsidRPr="002C4077">
        <w:t xml:space="preserve"> </w:t>
      </w:r>
      <w:r>
        <w:t>plus</w:t>
      </w:r>
      <w:r w:rsidRPr="002C4077">
        <w:t xml:space="preserve"> </w:t>
      </w:r>
      <w:r>
        <w:t>bas</w:t>
      </w:r>
      <w:r w:rsidR="00B546AF">
        <w:t> :</w:t>
      </w:r>
      <w:r w:rsidRPr="002C4077">
        <w:t xml:space="preserve"> </w:t>
      </w:r>
      <w:r w:rsidR="00B546AF">
        <w:t>« </w:t>
      </w:r>
      <w:r>
        <w:t>Quelle</w:t>
      </w:r>
      <w:r w:rsidRPr="002C4077">
        <w:t xml:space="preserve"> </w:t>
      </w:r>
      <w:r>
        <w:t>consolation</w:t>
      </w:r>
      <w:r w:rsidRPr="002C4077">
        <w:t xml:space="preserve"> </w:t>
      </w:r>
      <w:r>
        <w:t>y</w:t>
      </w:r>
      <w:r w:rsidRPr="002C4077">
        <w:t xml:space="preserve"> </w:t>
      </w:r>
      <w:r>
        <w:t>aurait-il</w:t>
      </w:r>
      <w:r w:rsidRPr="002C4077">
        <w:t xml:space="preserve"> </w:t>
      </w:r>
      <w:r>
        <w:t>pour</w:t>
      </w:r>
      <w:r w:rsidRPr="002C4077">
        <w:t xml:space="preserve"> </w:t>
      </w:r>
      <w:r>
        <w:t>Achaz</w:t>
      </w:r>
      <w:r w:rsidRPr="002C4077">
        <w:t xml:space="preserve"> </w:t>
      </w:r>
      <w:r>
        <w:t>si</w:t>
      </w:r>
      <w:r w:rsidRPr="002C4077">
        <w:t xml:space="preserve"> </w:t>
      </w:r>
      <w:r>
        <w:t>le</w:t>
      </w:r>
      <w:r w:rsidRPr="002C4077">
        <w:t xml:space="preserve"> </w:t>
      </w:r>
      <w:r>
        <w:t>prophète</w:t>
      </w:r>
      <w:r w:rsidRPr="002C4077">
        <w:t xml:space="preserve"> </w:t>
      </w:r>
      <w:r>
        <w:t>lui</w:t>
      </w:r>
      <w:r w:rsidRPr="002C4077">
        <w:t xml:space="preserve"> </w:t>
      </w:r>
      <w:r>
        <w:t>disait</w:t>
      </w:r>
      <w:r w:rsidR="00B546AF">
        <w:t> :</w:t>
      </w:r>
      <w:r w:rsidRPr="002C4077">
        <w:t xml:space="preserve"> </w:t>
      </w:r>
      <w:r>
        <w:t>N’aie</w:t>
      </w:r>
      <w:r w:rsidRPr="002C4077">
        <w:t xml:space="preserve"> </w:t>
      </w:r>
      <w:r>
        <w:t>pas</w:t>
      </w:r>
      <w:r w:rsidRPr="002C4077">
        <w:t xml:space="preserve"> </w:t>
      </w:r>
      <w:r>
        <w:t>peur</w:t>
      </w:r>
      <w:r w:rsidRPr="002C4077">
        <w:t xml:space="preserve"> </w:t>
      </w:r>
      <w:r>
        <w:t>de</w:t>
      </w:r>
      <w:r w:rsidRPr="002C4077">
        <w:t xml:space="preserve"> </w:t>
      </w:r>
      <w:r>
        <w:t>ces</w:t>
      </w:r>
      <w:r w:rsidRPr="002C4077">
        <w:t xml:space="preserve"> </w:t>
      </w:r>
      <w:r>
        <w:t>deux</w:t>
      </w:r>
      <w:r w:rsidRPr="002C4077">
        <w:t xml:space="preserve"> </w:t>
      </w:r>
      <w:r>
        <w:t>rois</w:t>
      </w:r>
      <w:r w:rsidR="00B546AF">
        <w:t> ;</w:t>
      </w:r>
      <w:r w:rsidRPr="002C4077">
        <w:t xml:space="preserve"> </w:t>
      </w:r>
      <w:r>
        <w:t>dans</w:t>
      </w:r>
      <w:r w:rsidRPr="002C4077">
        <w:t xml:space="preserve"> </w:t>
      </w:r>
      <w:r>
        <w:t>750</w:t>
      </w:r>
      <w:r w:rsidRPr="002C4077">
        <w:t xml:space="preserve"> </w:t>
      </w:r>
      <w:r>
        <w:t>ans</w:t>
      </w:r>
      <w:r w:rsidRPr="002C4077">
        <w:t xml:space="preserve"> </w:t>
      </w:r>
      <w:r>
        <w:t>naîtra</w:t>
      </w:r>
      <w:r w:rsidRPr="002C4077">
        <w:t xml:space="preserve"> </w:t>
      </w:r>
      <w:r>
        <w:t>le</w:t>
      </w:r>
      <w:r w:rsidRPr="002C4077">
        <w:t xml:space="preserve"> </w:t>
      </w:r>
      <w:r>
        <w:t>Messie</w:t>
      </w:r>
      <w:r w:rsidR="00B546AF">
        <w:t> »</w:t>
      </w:r>
      <w:r>
        <w:t>.</w:t>
      </w:r>
      <w:r w:rsidRPr="002C4077">
        <w:t xml:space="preserve"> </w:t>
      </w:r>
    </w:p>
    <w:p w:rsidR="000A7AAB" w:rsidRDefault="000A7AAB" w:rsidP="000A7AAB">
      <w:r>
        <w:t>De</w:t>
      </w:r>
      <w:r w:rsidRPr="002C4077">
        <w:t xml:space="preserve"> </w:t>
      </w:r>
      <w:r>
        <w:t>même</w:t>
      </w:r>
      <w:r w:rsidRPr="002C4077">
        <w:t xml:space="preserve"> </w:t>
      </w:r>
      <w:r>
        <w:t>Ges</w:t>
      </w:r>
      <w:r w:rsidR="003B53FD">
        <w:t>énius</w:t>
      </w:r>
      <w:r w:rsidR="00B91AF7">
        <w:rPr>
          <w:rStyle w:val="Appelnotedebasdep"/>
        </w:rPr>
        <w:footnoteReference w:id="244"/>
      </w:r>
      <w:r w:rsidR="00B546AF">
        <w:t> :</w:t>
      </w:r>
      <w:r w:rsidRPr="002C4077">
        <w:t xml:space="preserve"> </w:t>
      </w:r>
      <w:r w:rsidR="00B546AF">
        <w:t>« </w:t>
      </w:r>
      <w:r>
        <w:t>Il</w:t>
      </w:r>
      <w:r w:rsidRPr="002C4077">
        <w:t xml:space="preserve"> </w:t>
      </w:r>
      <w:r>
        <w:t>s’agissait</w:t>
      </w:r>
      <w:r w:rsidRPr="002C4077">
        <w:t xml:space="preserve"> </w:t>
      </w:r>
      <w:r>
        <w:t>avant</w:t>
      </w:r>
      <w:r w:rsidRPr="002C4077">
        <w:t xml:space="preserve"> </w:t>
      </w:r>
      <w:r>
        <w:t>tout</w:t>
      </w:r>
      <w:r w:rsidRPr="002C4077">
        <w:t xml:space="preserve"> </w:t>
      </w:r>
      <w:r>
        <w:t>de</w:t>
      </w:r>
      <w:r w:rsidRPr="002C4077">
        <w:t xml:space="preserve"> </w:t>
      </w:r>
      <w:r>
        <w:t>donner</w:t>
      </w:r>
      <w:r w:rsidRPr="002C4077">
        <w:t xml:space="preserve"> </w:t>
      </w:r>
      <w:r>
        <w:t>à</w:t>
      </w:r>
      <w:r w:rsidRPr="002C4077">
        <w:t xml:space="preserve"> </w:t>
      </w:r>
      <w:r>
        <w:t>l’incrédule</w:t>
      </w:r>
      <w:r w:rsidRPr="002C4077">
        <w:t xml:space="preserve"> </w:t>
      </w:r>
      <w:r>
        <w:t>Achaz</w:t>
      </w:r>
      <w:r w:rsidRPr="002C4077">
        <w:t xml:space="preserve"> </w:t>
      </w:r>
      <w:r>
        <w:t>un</w:t>
      </w:r>
      <w:r w:rsidRPr="002C4077">
        <w:t xml:space="preserve"> </w:t>
      </w:r>
      <w:r>
        <w:t>signe</w:t>
      </w:r>
      <w:r w:rsidRPr="002C4077">
        <w:t xml:space="preserve"> </w:t>
      </w:r>
      <w:r>
        <w:t>qui</w:t>
      </w:r>
      <w:r w:rsidRPr="002C4077">
        <w:t xml:space="preserve"> </w:t>
      </w:r>
      <w:r>
        <w:t>s’accomplît</w:t>
      </w:r>
      <w:r w:rsidRPr="002C4077">
        <w:t xml:space="preserve"> </w:t>
      </w:r>
      <w:r>
        <w:t>bientôt,</w:t>
      </w:r>
      <w:r w:rsidRPr="002C4077">
        <w:t xml:space="preserve"> </w:t>
      </w:r>
      <w:r>
        <w:t>et</w:t>
      </w:r>
      <w:r w:rsidRPr="002C4077">
        <w:t xml:space="preserve"> </w:t>
      </w:r>
      <w:r>
        <w:t>qui</w:t>
      </w:r>
      <w:r w:rsidRPr="002C4077">
        <w:t xml:space="preserve"> </w:t>
      </w:r>
      <w:r>
        <w:t>fût</w:t>
      </w:r>
      <w:r w:rsidRPr="002C4077">
        <w:t xml:space="preserve"> </w:t>
      </w:r>
      <w:r>
        <w:t>mis</w:t>
      </w:r>
      <w:r w:rsidRPr="002C4077">
        <w:t xml:space="preserve"> </w:t>
      </w:r>
      <w:r>
        <w:t>en</w:t>
      </w:r>
      <w:r w:rsidRPr="002C4077">
        <w:t xml:space="preserve"> </w:t>
      </w:r>
      <w:r>
        <w:t>quelque</w:t>
      </w:r>
      <w:r w:rsidRPr="002C4077">
        <w:t xml:space="preserve"> </w:t>
      </w:r>
      <w:r>
        <w:t>sorte</w:t>
      </w:r>
      <w:r w:rsidRPr="002C4077">
        <w:t xml:space="preserve"> </w:t>
      </w:r>
      <w:r>
        <w:t>sous</w:t>
      </w:r>
      <w:r w:rsidRPr="002C4077">
        <w:t xml:space="preserve"> </w:t>
      </w:r>
      <w:r>
        <w:t>ses</w:t>
      </w:r>
      <w:r w:rsidRPr="002C4077">
        <w:t xml:space="preserve"> </w:t>
      </w:r>
      <w:r>
        <w:t>yeux.</w:t>
      </w:r>
      <w:r w:rsidRPr="002C4077">
        <w:t xml:space="preserve"> </w:t>
      </w:r>
      <w:r>
        <w:t>Comment</w:t>
      </w:r>
      <w:r w:rsidRPr="002C4077">
        <w:t xml:space="preserve"> </w:t>
      </w:r>
      <w:r>
        <w:t>la</w:t>
      </w:r>
      <w:r w:rsidRPr="002C4077">
        <w:t xml:space="preserve"> </w:t>
      </w:r>
      <w:r>
        <w:t>promesse</w:t>
      </w:r>
      <w:r w:rsidRPr="002C4077">
        <w:t xml:space="preserve"> </w:t>
      </w:r>
      <w:r>
        <w:t>de</w:t>
      </w:r>
      <w:r w:rsidRPr="002C4077">
        <w:t xml:space="preserve"> </w:t>
      </w:r>
      <w:r>
        <w:t>la</w:t>
      </w:r>
      <w:r w:rsidRPr="002C4077">
        <w:t xml:space="preserve"> </w:t>
      </w:r>
      <w:r>
        <w:t>naissance</w:t>
      </w:r>
      <w:r w:rsidRPr="002C4077">
        <w:t xml:space="preserve"> </w:t>
      </w:r>
      <w:r>
        <w:t>merveilleuse</w:t>
      </w:r>
      <w:r w:rsidRPr="002C4077">
        <w:t xml:space="preserve"> </w:t>
      </w:r>
      <w:r>
        <w:t>du</w:t>
      </w:r>
      <w:r w:rsidRPr="002C4077">
        <w:t xml:space="preserve"> </w:t>
      </w:r>
      <w:r>
        <w:t>Messie,</w:t>
      </w:r>
      <w:r w:rsidRPr="002C4077">
        <w:t xml:space="preserve"> </w:t>
      </w:r>
      <w:r>
        <w:t>laquelle</w:t>
      </w:r>
      <w:r w:rsidRPr="002C4077">
        <w:t xml:space="preserve"> </w:t>
      </w:r>
      <w:r>
        <w:t>ne</w:t>
      </w:r>
      <w:r w:rsidRPr="002C4077">
        <w:t xml:space="preserve"> </w:t>
      </w:r>
      <w:r>
        <w:t>devait</w:t>
      </w:r>
      <w:r w:rsidRPr="002C4077">
        <w:t xml:space="preserve"> </w:t>
      </w:r>
      <w:r>
        <w:t>être</w:t>
      </w:r>
      <w:r w:rsidRPr="002C4077">
        <w:t xml:space="preserve"> </w:t>
      </w:r>
      <w:r>
        <w:t>réalisée</w:t>
      </w:r>
      <w:r w:rsidRPr="002C4077">
        <w:t xml:space="preserve"> </w:t>
      </w:r>
      <w:r>
        <w:t>que</w:t>
      </w:r>
      <w:r w:rsidRPr="002C4077">
        <w:t xml:space="preserve"> </w:t>
      </w:r>
      <w:r>
        <w:t>beaucoup</w:t>
      </w:r>
      <w:r w:rsidRPr="002C4077">
        <w:t xml:space="preserve"> </w:t>
      </w:r>
      <w:r>
        <w:t>plus</w:t>
      </w:r>
      <w:r w:rsidRPr="002C4077">
        <w:t xml:space="preserve"> </w:t>
      </w:r>
      <w:r>
        <w:t>tard,</w:t>
      </w:r>
      <w:r w:rsidRPr="002C4077">
        <w:t xml:space="preserve"> </w:t>
      </w:r>
      <w:r>
        <w:t>pouvait-elle</w:t>
      </w:r>
      <w:r w:rsidRPr="002C4077">
        <w:t xml:space="preserve"> </w:t>
      </w:r>
      <w:r>
        <w:t>remplir</w:t>
      </w:r>
      <w:r w:rsidRPr="002C4077">
        <w:t xml:space="preserve"> </w:t>
      </w:r>
      <w:r>
        <w:t>cette</w:t>
      </w:r>
      <w:r w:rsidRPr="002C4077">
        <w:t xml:space="preserve"> </w:t>
      </w:r>
      <w:r>
        <w:t>condition</w:t>
      </w:r>
      <w:r w:rsidR="00B546AF">
        <w:t> ?</w:t>
      </w:r>
      <w:r w:rsidRPr="002C4077">
        <w:t xml:space="preserve"> </w:t>
      </w:r>
      <w:r>
        <w:t>Comment</w:t>
      </w:r>
      <w:r w:rsidRPr="002C4077">
        <w:t xml:space="preserve"> </w:t>
      </w:r>
      <w:r>
        <w:t>Achaz</w:t>
      </w:r>
      <w:r w:rsidRPr="002C4077">
        <w:t xml:space="preserve"> </w:t>
      </w:r>
      <w:r>
        <w:t>aurait-il</w:t>
      </w:r>
      <w:r w:rsidRPr="002C4077">
        <w:t xml:space="preserve"> </w:t>
      </w:r>
      <w:r>
        <w:t>pu</w:t>
      </w:r>
      <w:r w:rsidRPr="002C4077">
        <w:t xml:space="preserve"> </w:t>
      </w:r>
      <w:r>
        <w:t>regarder</w:t>
      </w:r>
      <w:r w:rsidRPr="002C4077">
        <w:t xml:space="preserve"> </w:t>
      </w:r>
      <w:r>
        <w:t>comme</w:t>
      </w:r>
      <w:r w:rsidRPr="002C4077">
        <w:t xml:space="preserve"> </w:t>
      </w:r>
      <w:r>
        <w:t>la</w:t>
      </w:r>
      <w:r w:rsidRPr="002C4077">
        <w:t xml:space="preserve"> </w:t>
      </w:r>
      <w:r>
        <w:t>garantie</w:t>
      </w:r>
      <w:r w:rsidRPr="002C4077">
        <w:t xml:space="preserve"> </w:t>
      </w:r>
      <w:r>
        <w:t>d’un</w:t>
      </w:r>
      <w:r w:rsidRPr="002C4077">
        <w:t xml:space="preserve"> </w:t>
      </w:r>
      <w:r>
        <w:t>résultat</w:t>
      </w:r>
      <w:r w:rsidRPr="002C4077">
        <w:t xml:space="preserve"> </w:t>
      </w:r>
      <w:r>
        <w:t>à</w:t>
      </w:r>
      <w:r w:rsidRPr="002C4077">
        <w:t xml:space="preserve"> </w:t>
      </w:r>
      <w:r>
        <w:t>obtenir</w:t>
      </w:r>
      <w:r w:rsidRPr="002C4077">
        <w:t xml:space="preserve"> </w:t>
      </w:r>
      <w:r>
        <w:t>bientôt,</w:t>
      </w:r>
      <w:r w:rsidRPr="002C4077">
        <w:t xml:space="preserve"> </w:t>
      </w:r>
      <w:r>
        <w:t>une</w:t>
      </w:r>
      <w:r w:rsidRPr="002C4077">
        <w:t xml:space="preserve"> </w:t>
      </w:r>
      <w:r>
        <w:t>prédiction</w:t>
      </w:r>
      <w:r w:rsidRPr="002C4077">
        <w:t xml:space="preserve"> </w:t>
      </w:r>
      <w:r>
        <w:t>dont</w:t>
      </w:r>
      <w:r w:rsidRPr="002C4077">
        <w:t xml:space="preserve"> </w:t>
      </w:r>
      <w:r>
        <w:t>l’accomplissement</w:t>
      </w:r>
      <w:r w:rsidRPr="002C4077">
        <w:t xml:space="preserve"> </w:t>
      </w:r>
      <w:r>
        <w:t>n’aurait</w:t>
      </w:r>
      <w:r w:rsidRPr="002C4077">
        <w:t xml:space="preserve"> </w:t>
      </w:r>
      <w:r>
        <w:t>lieu</w:t>
      </w:r>
      <w:r w:rsidRPr="002C4077">
        <w:t xml:space="preserve"> </w:t>
      </w:r>
      <w:r>
        <w:t>qu’à</w:t>
      </w:r>
      <w:r w:rsidRPr="002C4077">
        <w:t xml:space="preserve"> </w:t>
      </w:r>
      <w:r>
        <w:t>une</w:t>
      </w:r>
      <w:r w:rsidRPr="002C4077">
        <w:t xml:space="preserve"> </w:t>
      </w:r>
      <w:r>
        <w:t>époque</w:t>
      </w:r>
      <w:r w:rsidRPr="002C4077">
        <w:t xml:space="preserve"> </w:t>
      </w:r>
      <w:r>
        <w:t>très</w:t>
      </w:r>
      <w:r w:rsidRPr="002C4077">
        <w:t xml:space="preserve"> </w:t>
      </w:r>
      <w:r>
        <w:t>éloignée</w:t>
      </w:r>
      <w:r w:rsidR="00B91AF7">
        <w:rPr>
          <w:rStyle w:val="Appelnotedebasdep"/>
        </w:rPr>
        <w:footnoteReference w:id="245"/>
      </w:r>
      <w:r w:rsidR="00B546AF">
        <w:t> ? »</w:t>
      </w:r>
      <w:r w:rsidRPr="002C4077">
        <w:t xml:space="preserve"> </w:t>
      </w:r>
    </w:p>
    <w:p w:rsidR="000A7AAB" w:rsidRDefault="000A7AAB" w:rsidP="000A7AAB">
      <w:r w:rsidRPr="00AA6E8D">
        <w:t>Mais,</w:t>
      </w:r>
      <w:r w:rsidRPr="002C4077">
        <w:t xml:space="preserve"> </w:t>
      </w:r>
      <w:r w:rsidRPr="00AA6E8D">
        <w:t>après</w:t>
      </w:r>
      <w:r w:rsidRPr="002C4077">
        <w:t xml:space="preserve"> </w:t>
      </w:r>
      <w:r w:rsidRPr="00AA6E8D">
        <w:t>tout,</w:t>
      </w:r>
      <w:r w:rsidRPr="002C4077">
        <w:t xml:space="preserve"> </w:t>
      </w:r>
      <w:r w:rsidRPr="00AA6E8D">
        <w:t>les</w:t>
      </w:r>
      <w:r w:rsidRPr="002C4077">
        <w:t xml:space="preserve"> </w:t>
      </w:r>
      <w:r w:rsidRPr="00AA6E8D">
        <w:t>exégètes</w:t>
      </w:r>
      <w:r w:rsidRPr="002C4077">
        <w:t xml:space="preserve"> </w:t>
      </w:r>
      <w:r w:rsidRPr="00AA6E8D">
        <w:t>croyants</w:t>
      </w:r>
      <w:r w:rsidRPr="002C4077">
        <w:t xml:space="preserve"> </w:t>
      </w:r>
      <w:r w:rsidRPr="00AA6E8D">
        <w:t>n’ont</w:t>
      </w:r>
      <w:r w:rsidRPr="002C4077">
        <w:t xml:space="preserve"> </w:t>
      </w:r>
      <w:r w:rsidRPr="00AA6E8D">
        <w:t>jamais</w:t>
      </w:r>
      <w:r w:rsidRPr="002C4077">
        <w:t xml:space="preserve"> </w:t>
      </w:r>
      <w:r w:rsidRPr="00AA6E8D">
        <w:t>hésité</w:t>
      </w:r>
      <w:r w:rsidRPr="002C4077">
        <w:t xml:space="preserve"> </w:t>
      </w:r>
      <w:r w:rsidRPr="00AA6E8D">
        <w:t>à</w:t>
      </w:r>
      <w:r w:rsidRPr="002C4077">
        <w:t xml:space="preserve"> </w:t>
      </w:r>
      <w:r w:rsidRPr="00AA6E8D">
        <w:t>reconnaître</w:t>
      </w:r>
      <w:r w:rsidRPr="002C4077">
        <w:t xml:space="preserve"> </w:t>
      </w:r>
      <w:r w:rsidRPr="00AA6E8D">
        <w:t>cette</w:t>
      </w:r>
      <w:r w:rsidRPr="002C4077">
        <w:t xml:space="preserve"> </w:t>
      </w:r>
      <w:r w:rsidRPr="00AA6E8D">
        <w:t>difficulté.</w:t>
      </w:r>
      <w:r w:rsidRPr="002C4077">
        <w:t xml:space="preserve"> </w:t>
      </w:r>
      <w:r w:rsidRPr="00AA6E8D">
        <w:rPr>
          <w:rStyle w:val="italicus"/>
        </w:rPr>
        <w:t>Quænam</w:t>
      </w:r>
      <w:r w:rsidRPr="002C4077">
        <w:t xml:space="preserve"> </w:t>
      </w:r>
      <w:r w:rsidRPr="00AA6E8D">
        <w:rPr>
          <w:rStyle w:val="italicus"/>
        </w:rPr>
        <w:t>conveni</w:t>
      </w:r>
      <w:r w:rsidR="003B53FD" w:rsidRPr="00AA6E8D">
        <w:rPr>
          <w:rStyle w:val="italicus"/>
        </w:rPr>
        <w:t>éntia</w:t>
      </w:r>
      <w:r w:rsidRPr="00AA6E8D">
        <w:rPr>
          <w:rStyle w:val="italicus"/>
        </w:rPr>
        <w:t>,</w:t>
      </w:r>
      <w:r w:rsidRPr="002C4077">
        <w:t xml:space="preserve"> </w:t>
      </w:r>
      <w:r w:rsidRPr="00AA6E8D">
        <w:t>se</w:t>
      </w:r>
      <w:r w:rsidRPr="002C4077">
        <w:t xml:space="preserve"> </w:t>
      </w:r>
      <w:r w:rsidRPr="00AA6E8D">
        <w:t>demande</w:t>
      </w:r>
      <w:r w:rsidRPr="002C4077">
        <w:t xml:space="preserve"> </w:t>
      </w:r>
      <w:r w:rsidRPr="00AA6E8D">
        <w:t>le</w:t>
      </w:r>
      <w:r w:rsidRPr="002C4077">
        <w:t xml:space="preserve"> </w:t>
      </w:r>
      <w:r w:rsidRPr="00AA6E8D">
        <w:t>P.</w:t>
      </w:r>
      <w:r w:rsidRPr="002C4077">
        <w:t xml:space="preserve"> </w:t>
      </w:r>
      <w:r w:rsidRPr="00AA6E8D">
        <w:t>Patriz</w:t>
      </w:r>
      <w:r w:rsidR="00F6492C" w:rsidRPr="00AA6E8D">
        <w:t>zi</w:t>
      </w:r>
      <w:r w:rsidR="00F6492C">
        <w:rPr>
          <w:rStyle w:val="Appelnotedebasdep"/>
          <w:i/>
        </w:rPr>
        <w:footnoteReference w:id="246"/>
      </w:r>
      <w:r w:rsidR="00F6492C" w:rsidRPr="000A34B5">
        <w:rPr>
          <w:rStyle w:val="italicus"/>
        </w:rPr>
        <w:t>,</w:t>
      </w:r>
      <w:r w:rsidRPr="002C4077">
        <w:t xml:space="preserve"> </w:t>
      </w:r>
      <w:r w:rsidRPr="00AA6E8D">
        <w:rPr>
          <w:rStyle w:val="italicus"/>
        </w:rPr>
        <w:t>ortus</w:t>
      </w:r>
      <w:r w:rsidRPr="002C4077">
        <w:t xml:space="preserve"> </w:t>
      </w:r>
      <w:r w:rsidR="003B53FD" w:rsidRPr="00AA6E8D">
        <w:rPr>
          <w:rStyle w:val="italicus"/>
        </w:rPr>
        <w:t>Christi</w:t>
      </w:r>
      <w:r w:rsidRPr="002C4077">
        <w:t xml:space="preserve"> </w:t>
      </w:r>
      <w:r w:rsidRPr="00AA6E8D">
        <w:rPr>
          <w:rStyle w:val="italicus"/>
        </w:rPr>
        <w:t>cum</w:t>
      </w:r>
      <w:r w:rsidRPr="002C4077">
        <w:t xml:space="preserve"> </w:t>
      </w:r>
      <w:r w:rsidRPr="00AA6E8D">
        <w:rPr>
          <w:rStyle w:val="italicus"/>
        </w:rPr>
        <w:t>eo</w:t>
      </w:r>
      <w:r w:rsidRPr="002C4077">
        <w:t xml:space="preserve"> </w:t>
      </w:r>
      <w:r w:rsidRPr="00AA6E8D">
        <w:rPr>
          <w:rStyle w:val="italicus"/>
        </w:rPr>
        <w:t>quod</w:t>
      </w:r>
      <w:r w:rsidRPr="002C4077">
        <w:t xml:space="preserve"> </w:t>
      </w:r>
      <w:r w:rsidR="003B53FD" w:rsidRPr="00AA6E8D">
        <w:rPr>
          <w:rStyle w:val="italicus"/>
        </w:rPr>
        <w:t>Isaías</w:t>
      </w:r>
      <w:r w:rsidRPr="002C4077">
        <w:t xml:space="preserve"> </w:t>
      </w:r>
      <w:r w:rsidRPr="00AA6E8D">
        <w:rPr>
          <w:rStyle w:val="italicus"/>
        </w:rPr>
        <w:t>brevi</w:t>
      </w:r>
      <w:r w:rsidRPr="002C4077">
        <w:t xml:space="preserve"> </w:t>
      </w:r>
      <w:r w:rsidRPr="00AA6E8D">
        <w:rPr>
          <w:rStyle w:val="italicus"/>
        </w:rPr>
        <w:t>i</w:t>
      </w:r>
      <w:r w:rsidR="003B53FD" w:rsidRPr="00AA6E8D">
        <w:rPr>
          <w:rStyle w:val="italicus"/>
        </w:rPr>
        <w:t>mpléndum</w:t>
      </w:r>
      <w:r w:rsidRPr="002C4077">
        <w:t xml:space="preserve"> </w:t>
      </w:r>
      <w:r w:rsidRPr="00AA6E8D">
        <w:rPr>
          <w:rStyle w:val="italicus"/>
        </w:rPr>
        <w:t>præ</w:t>
      </w:r>
      <w:r w:rsidR="003B53FD" w:rsidRPr="00AA6E8D">
        <w:rPr>
          <w:rStyle w:val="italicus"/>
        </w:rPr>
        <w:t>dicábat</w:t>
      </w:r>
      <w:r w:rsidRPr="00AA6E8D">
        <w:rPr>
          <w:rStyle w:val="italicus"/>
        </w:rPr>
        <w:t>,</w:t>
      </w:r>
      <w:r w:rsidRPr="002C4077">
        <w:t xml:space="preserve"> </w:t>
      </w:r>
      <w:r w:rsidRPr="00AA6E8D">
        <w:rPr>
          <w:rStyle w:val="italicus"/>
        </w:rPr>
        <w:t>ut</w:t>
      </w:r>
      <w:r w:rsidRPr="002C4077">
        <w:t xml:space="preserve"> </w:t>
      </w:r>
      <w:r w:rsidRPr="00AA6E8D">
        <w:rPr>
          <w:rStyle w:val="italicus"/>
        </w:rPr>
        <w:t>ex</w:t>
      </w:r>
      <w:r w:rsidRPr="002C4077">
        <w:t xml:space="preserve"> </w:t>
      </w:r>
      <w:r w:rsidRPr="00AA6E8D">
        <w:rPr>
          <w:rStyle w:val="italicus"/>
        </w:rPr>
        <w:t>illo</w:t>
      </w:r>
      <w:r w:rsidRPr="002C4077">
        <w:t xml:space="preserve"> </w:t>
      </w:r>
      <w:r w:rsidRPr="00AA6E8D">
        <w:rPr>
          <w:rStyle w:val="italicus"/>
        </w:rPr>
        <w:t>ta</w:t>
      </w:r>
      <w:r w:rsidR="001730C6" w:rsidRPr="00AA6E8D">
        <w:rPr>
          <w:rStyle w:val="italicus"/>
        </w:rPr>
        <w:t>nq</w:t>
      </w:r>
      <w:r w:rsidRPr="00AA6E8D">
        <w:rPr>
          <w:rStyle w:val="italicus"/>
        </w:rPr>
        <w:t>uam</w:t>
      </w:r>
      <w:r w:rsidRPr="002C4077">
        <w:t xml:space="preserve"> </w:t>
      </w:r>
      <w:r w:rsidRPr="00AA6E8D">
        <w:rPr>
          <w:rStyle w:val="italicus"/>
        </w:rPr>
        <w:t>ex</w:t>
      </w:r>
      <w:r w:rsidRPr="002C4077">
        <w:t xml:space="preserve"> </w:t>
      </w:r>
      <w:r w:rsidRPr="00AA6E8D">
        <w:rPr>
          <w:rStyle w:val="italicus"/>
        </w:rPr>
        <w:t>signo</w:t>
      </w:r>
      <w:r w:rsidRPr="002C4077">
        <w:t xml:space="preserve"> </w:t>
      </w:r>
      <w:r w:rsidRPr="00AA6E8D">
        <w:rPr>
          <w:rStyle w:val="italicus"/>
        </w:rPr>
        <w:t>prædicat</w:t>
      </w:r>
      <w:r w:rsidR="003B53FD" w:rsidRPr="00AA6E8D">
        <w:rPr>
          <w:rStyle w:val="italicus"/>
        </w:rPr>
        <w:t>iónis</w:t>
      </w:r>
      <w:r w:rsidRPr="002C4077">
        <w:t xml:space="preserve"> </w:t>
      </w:r>
      <w:r w:rsidRPr="00AA6E8D">
        <w:rPr>
          <w:rStyle w:val="italicus"/>
        </w:rPr>
        <w:t>hujus</w:t>
      </w:r>
      <w:r w:rsidRPr="002C4077">
        <w:t xml:space="preserve"> </w:t>
      </w:r>
      <w:r w:rsidRPr="00AA6E8D">
        <w:rPr>
          <w:rStyle w:val="italicus"/>
        </w:rPr>
        <w:t>v</w:t>
      </w:r>
      <w:r w:rsidR="003B53FD" w:rsidRPr="00AA6E8D">
        <w:rPr>
          <w:rStyle w:val="italicus"/>
        </w:rPr>
        <w:t>éritas</w:t>
      </w:r>
      <w:r w:rsidRPr="002C4077">
        <w:t xml:space="preserve"> </w:t>
      </w:r>
      <w:r w:rsidR="00623D96" w:rsidRPr="00AA6E8D">
        <w:rPr>
          <w:rStyle w:val="italicus"/>
        </w:rPr>
        <w:t>apparéret</w:t>
      </w:r>
      <w:r w:rsidR="00B546AF" w:rsidRPr="00AA6E8D">
        <w:rPr>
          <w:rStyle w:val="italicus"/>
        </w:rPr>
        <w:t> ?</w:t>
      </w:r>
      <w:r w:rsidR="00C45B47">
        <w:t xml:space="preserve"> {</w:t>
      </w:r>
      <w:r w:rsidR="000721C4">
        <w:t>80</w:t>
      </w:r>
      <w:bookmarkStart w:id="255" w:name="p080"/>
      <w:bookmarkEnd w:id="255"/>
      <w:r w:rsidR="000721C4">
        <w:t xml:space="preserve">} </w:t>
      </w:r>
      <w:r w:rsidR="00B546AF">
        <w:t>« </w:t>
      </w:r>
      <w:r>
        <w:t>Le</w:t>
      </w:r>
      <w:r w:rsidRPr="002C4077">
        <w:t xml:space="preserve"> </w:t>
      </w:r>
      <w:r>
        <w:t>contexte</w:t>
      </w:r>
      <w:r w:rsidRPr="002C4077">
        <w:t xml:space="preserve"> </w:t>
      </w:r>
      <w:r>
        <w:t>laisse</w:t>
      </w:r>
      <w:r w:rsidRPr="002C4077">
        <w:t xml:space="preserve"> </w:t>
      </w:r>
      <w:r>
        <w:t>croire</w:t>
      </w:r>
      <w:r w:rsidRPr="002C4077">
        <w:t xml:space="preserve"> </w:t>
      </w:r>
      <w:r>
        <w:t>que</w:t>
      </w:r>
      <w:r w:rsidRPr="002C4077">
        <w:t xml:space="preserve"> </w:t>
      </w:r>
      <w:r>
        <w:t>le</w:t>
      </w:r>
      <w:r w:rsidRPr="002C4077">
        <w:t xml:space="preserve"> </w:t>
      </w:r>
      <w:r>
        <w:t>prophète</w:t>
      </w:r>
      <w:r w:rsidRPr="002C4077">
        <w:t xml:space="preserve"> </w:t>
      </w:r>
      <w:r>
        <w:t>prédit</w:t>
      </w:r>
      <w:r w:rsidRPr="002C4077">
        <w:t xml:space="preserve"> </w:t>
      </w:r>
      <w:r>
        <w:t>des</w:t>
      </w:r>
      <w:r w:rsidRPr="002C4077">
        <w:t xml:space="preserve"> </w:t>
      </w:r>
      <w:r>
        <w:t>événements</w:t>
      </w:r>
      <w:r w:rsidRPr="002C4077">
        <w:t xml:space="preserve"> </w:t>
      </w:r>
      <w:r>
        <w:t>très</w:t>
      </w:r>
      <w:r w:rsidRPr="002C4077">
        <w:t xml:space="preserve"> </w:t>
      </w:r>
      <w:r>
        <w:t>prochains,</w:t>
      </w:r>
      <w:r w:rsidR="00B546AF">
        <w:t> »</w:t>
      </w:r>
      <w:r w:rsidRPr="002C4077">
        <w:t xml:space="preserve"> </w:t>
      </w:r>
      <w:r>
        <w:t>dit</w:t>
      </w:r>
      <w:r w:rsidRPr="002C4077">
        <w:t xml:space="preserve"> </w:t>
      </w:r>
      <w:r>
        <w:t>M.</w:t>
      </w:r>
      <w:r w:rsidRPr="002C4077">
        <w:t xml:space="preserve"> </w:t>
      </w:r>
      <w:r>
        <w:t>Le</w:t>
      </w:r>
      <w:r w:rsidRPr="002C4077">
        <w:t xml:space="preserve"> </w:t>
      </w:r>
      <w:r>
        <w:t>Hir</w:t>
      </w:r>
      <w:r w:rsidR="00B91AF7">
        <w:rPr>
          <w:rStyle w:val="Appelnotedebasdep"/>
        </w:rPr>
        <w:footnoteReference w:id="247"/>
      </w:r>
      <w:r>
        <w:t>.</w:t>
      </w:r>
      <w:r w:rsidRPr="002C4077">
        <w:t xml:space="preserve"> </w:t>
      </w:r>
      <w:r>
        <w:t>Et</w:t>
      </w:r>
      <w:r w:rsidRPr="002C4077">
        <w:t xml:space="preserve"> </w:t>
      </w:r>
      <w:r>
        <w:t>les</w:t>
      </w:r>
      <w:r w:rsidRPr="002C4077">
        <w:t xml:space="preserve"> </w:t>
      </w:r>
      <w:r>
        <w:t>auteurs</w:t>
      </w:r>
      <w:r w:rsidRPr="002C4077">
        <w:t xml:space="preserve"> </w:t>
      </w:r>
      <w:r>
        <w:t>de</w:t>
      </w:r>
      <w:r w:rsidRPr="002C4077">
        <w:t xml:space="preserve"> </w:t>
      </w:r>
      <w:r>
        <w:t>la</w:t>
      </w:r>
      <w:r w:rsidRPr="002C4077">
        <w:t xml:space="preserve"> </w:t>
      </w:r>
      <w:r w:rsidRPr="000A34B5">
        <w:rPr>
          <w:rStyle w:val="italicus"/>
        </w:rPr>
        <w:t>Bible</w:t>
      </w:r>
      <w:r w:rsidRPr="002C4077">
        <w:t xml:space="preserve"> </w:t>
      </w:r>
      <w:r w:rsidRPr="000A34B5">
        <w:rPr>
          <w:rStyle w:val="italicus"/>
        </w:rPr>
        <w:t>annotée</w:t>
      </w:r>
      <w:r w:rsidRPr="002C4077">
        <w:t xml:space="preserve"> </w:t>
      </w:r>
      <w:r>
        <w:t>ajoutent</w:t>
      </w:r>
      <w:r w:rsidRPr="002C4077">
        <w:t xml:space="preserve"> </w:t>
      </w:r>
      <w:r>
        <w:t>non</w:t>
      </w:r>
      <w:r w:rsidRPr="002C4077">
        <w:t xml:space="preserve"> </w:t>
      </w:r>
      <w:r>
        <w:t>moins</w:t>
      </w:r>
      <w:r w:rsidRPr="002C4077">
        <w:t xml:space="preserve"> </w:t>
      </w:r>
      <w:r>
        <w:t>consciencieusement</w:t>
      </w:r>
      <w:r w:rsidR="00B546AF">
        <w:t> :</w:t>
      </w:r>
      <w:r w:rsidRPr="002C4077">
        <w:t xml:space="preserve"> </w:t>
      </w:r>
      <w:r w:rsidR="00B546AF">
        <w:t>« </w:t>
      </w:r>
      <w:r>
        <w:t>C’est</w:t>
      </w:r>
      <w:r w:rsidRPr="002C4077">
        <w:t xml:space="preserve"> </w:t>
      </w:r>
      <w:r>
        <w:t>ici</w:t>
      </w:r>
      <w:r w:rsidRPr="002C4077">
        <w:t xml:space="preserve"> </w:t>
      </w:r>
      <w:r>
        <w:t>le</w:t>
      </w:r>
      <w:r w:rsidRPr="002C4077">
        <w:t xml:space="preserve"> </w:t>
      </w:r>
      <w:r>
        <w:t>seul</w:t>
      </w:r>
      <w:r w:rsidRPr="002C4077">
        <w:t xml:space="preserve"> </w:t>
      </w:r>
      <w:r>
        <w:t>argument</w:t>
      </w:r>
      <w:r w:rsidRPr="002C4077">
        <w:t xml:space="preserve"> </w:t>
      </w:r>
      <w:r>
        <w:t>sérieux</w:t>
      </w:r>
      <w:r w:rsidRPr="002C4077">
        <w:t xml:space="preserve"> </w:t>
      </w:r>
      <w:r>
        <w:t>contre</w:t>
      </w:r>
      <w:r w:rsidRPr="002C4077">
        <w:t xml:space="preserve"> </w:t>
      </w:r>
      <w:r>
        <w:t>l’application</w:t>
      </w:r>
      <w:r w:rsidRPr="002C4077">
        <w:t xml:space="preserve"> </w:t>
      </w:r>
      <w:r>
        <w:t>du</w:t>
      </w:r>
      <w:r w:rsidRPr="002C4077">
        <w:t xml:space="preserve"> </w:t>
      </w:r>
      <w:r>
        <w:t>verset</w:t>
      </w:r>
      <w:r w:rsidRPr="002C4077">
        <w:t xml:space="preserve"> </w:t>
      </w:r>
      <w:r>
        <w:t>14</w:t>
      </w:r>
      <w:r w:rsidRPr="002C4077">
        <w:t xml:space="preserve"> </w:t>
      </w:r>
      <w:r>
        <w:t>à</w:t>
      </w:r>
      <w:r w:rsidRPr="002C4077">
        <w:t xml:space="preserve"> </w:t>
      </w:r>
      <w:r>
        <w:t>la</w:t>
      </w:r>
      <w:r w:rsidRPr="002C4077">
        <w:t xml:space="preserve"> </w:t>
      </w:r>
      <w:r>
        <w:t>personne</w:t>
      </w:r>
      <w:r w:rsidRPr="002C4077">
        <w:t xml:space="preserve"> </w:t>
      </w:r>
      <w:r>
        <w:t>du</w:t>
      </w:r>
      <w:r w:rsidRPr="002C4077">
        <w:t xml:space="preserve"> </w:t>
      </w:r>
      <w:r>
        <w:t>Messie</w:t>
      </w:r>
      <w:r w:rsidR="00B546AF">
        <w:t> »</w:t>
      </w:r>
      <w:r>
        <w:t>.</w:t>
      </w:r>
      <w:r w:rsidRPr="002C4077">
        <w:t xml:space="preserve"> </w:t>
      </w:r>
    </w:p>
    <w:p w:rsidR="000A7AAB" w:rsidRDefault="000A7AAB" w:rsidP="000A7AAB">
      <w:r>
        <w:t>Il</w:t>
      </w:r>
      <w:r w:rsidRPr="002C4077">
        <w:t xml:space="preserve"> </w:t>
      </w:r>
      <w:r>
        <w:t>faut</w:t>
      </w:r>
      <w:r w:rsidRPr="002C4077">
        <w:t xml:space="preserve"> </w:t>
      </w:r>
      <w:r>
        <w:t>bien</w:t>
      </w:r>
      <w:r w:rsidRPr="002C4077">
        <w:t xml:space="preserve"> </w:t>
      </w:r>
      <w:r>
        <w:t>que</w:t>
      </w:r>
      <w:r w:rsidRPr="002C4077">
        <w:t xml:space="preserve"> </w:t>
      </w:r>
      <w:r>
        <w:t>l’on</w:t>
      </w:r>
      <w:r w:rsidRPr="002C4077">
        <w:t xml:space="preserve"> </w:t>
      </w:r>
      <w:r>
        <w:t>redoute</w:t>
      </w:r>
      <w:r w:rsidRPr="002C4077">
        <w:t xml:space="preserve"> </w:t>
      </w:r>
      <w:r>
        <w:t>peu</w:t>
      </w:r>
      <w:r w:rsidRPr="002C4077">
        <w:t xml:space="preserve"> </w:t>
      </w:r>
      <w:r>
        <w:t>l’objection,</w:t>
      </w:r>
      <w:r w:rsidRPr="002C4077">
        <w:t xml:space="preserve"> </w:t>
      </w:r>
      <w:r>
        <w:t>puisqu’on</w:t>
      </w:r>
      <w:r w:rsidRPr="002C4077">
        <w:t xml:space="preserve"> </w:t>
      </w:r>
      <w:r>
        <w:t>la</w:t>
      </w:r>
      <w:r w:rsidRPr="002C4077">
        <w:t xml:space="preserve"> </w:t>
      </w:r>
      <w:r>
        <w:t>formule</w:t>
      </w:r>
      <w:r w:rsidRPr="002C4077">
        <w:t xml:space="preserve"> </w:t>
      </w:r>
      <w:r>
        <w:t>si</w:t>
      </w:r>
      <w:r w:rsidRPr="002C4077">
        <w:t xml:space="preserve"> </w:t>
      </w:r>
      <w:r>
        <w:t>volontiers</w:t>
      </w:r>
      <w:r w:rsidRPr="002C4077">
        <w:t xml:space="preserve"> </w:t>
      </w:r>
      <w:r>
        <w:t>et</w:t>
      </w:r>
      <w:r w:rsidRPr="002C4077">
        <w:t xml:space="preserve"> </w:t>
      </w:r>
      <w:r>
        <w:t>non</w:t>
      </w:r>
      <w:r w:rsidRPr="002C4077">
        <w:t xml:space="preserve"> </w:t>
      </w:r>
      <w:r>
        <w:t>moins</w:t>
      </w:r>
      <w:r w:rsidRPr="002C4077">
        <w:t xml:space="preserve"> </w:t>
      </w:r>
      <w:r>
        <w:t>fortement</w:t>
      </w:r>
      <w:r w:rsidRPr="002C4077">
        <w:t xml:space="preserve"> </w:t>
      </w:r>
      <w:r>
        <w:t>que</w:t>
      </w:r>
      <w:r w:rsidRPr="002C4077">
        <w:t xml:space="preserve"> </w:t>
      </w:r>
      <w:r>
        <w:t>les</w:t>
      </w:r>
      <w:r w:rsidRPr="002C4077">
        <w:t xml:space="preserve"> </w:t>
      </w:r>
      <w:r>
        <w:t>ennemis</w:t>
      </w:r>
      <w:r w:rsidRPr="002C4077">
        <w:t xml:space="preserve"> </w:t>
      </w:r>
      <w:r>
        <w:t>de</w:t>
      </w:r>
      <w:r w:rsidRPr="002C4077">
        <w:t xml:space="preserve"> </w:t>
      </w:r>
      <w:r>
        <w:t>la</w:t>
      </w:r>
      <w:r w:rsidRPr="002C4077">
        <w:t xml:space="preserve"> </w:t>
      </w:r>
      <w:r>
        <w:t>Bible.</w:t>
      </w:r>
      <w:r w:rsidRPr="002C4077">
        <w:t xml:space="preserve"> </w:t>
      </w:r>
    </w:p>
    <w:p w:rsidR="007B0987" w:rsidRDefault="007B0987" w:rsidP="000A7AAB"/>
    <w:p w:rsidR="000A7AAB" w:rsidRDefault="000A7AAB" w:rsidP="000A7AAB">
      <w:r>
        <w:t>Avant</w:t>
      </w:r>
      <w:bookmarkStart w:id="256" w:name="z_Almah_o21"/>
      <w:bookmarkEnd w:id="256"/>
      <w:r w:rsidRPr="002C4077">
        <w:t xml:space="preserve"> </w:t>
      </w:r>
      <w:r>
        <w:t>d’en</w:t>
      </w:r>
      <w:r w:rsidRPr="002C4077">
        <w:t xml:space="preserve"> </w:t>
      </w:r>
      <w:r>
        <w:t>aborder</w:t>
      </w:r>
      <w:r w:rsidRPr="002C4077">
        <w:t xml:space="preserve"> </w:t>
      </w:r>
      <w:r>
        <w:t>la</w:t>
      </w:r>
      <w:r w:rsidRPr="002C4077">
        <w:t xml:space="preserve"> </w:t>
      </w:r>
      <w:r>
        <w:t>solution,</w:t>
      </w:r>
      <w:r w:rsidRPr="002C4077">
        <w:t xml:space="preserve"> </w:t>
      </w:r>
      <w:r>
        <w:t>peut-être</w:t>
      </w:r>
      <w:r w:rsidRPr="002C4077">
        <w:t xml:space="preserve"> </w:t>
      </w:r>
      <w:r>
        <w:t>ne</w:t>
      </w:r>
      <w:r w:rsidRPr="002C4077">
        <w:t xml:space="preserve"> </w:t>
      </w:r>
      <w:r>
        <w:t>sera-t-il</w:t>
      </w:r>
      <w:r w:rsidRPr="002C4077">
        <w:t xml:space="preserve"> </w:t>
      </w:r>
      <w:r>
        <w:t>pas</w:t>
      </w:r>
      <w:r w:rsidRPr="002C4077">
        <w:t xml:space="preserve"> </w:t>
      </w:r>
      <w:r>
        <w:t>inutile</w:t>
      </w:r>
      <w:r w:rsidRPr="002C4077">
        <w:t xml:space="preserve"> </w:t>
      </w:r>
      <w:r>
        <w:t>de</w:t>
      </w:r>
      <w:r w:rsidRPr="002C4077">
        <w:t xml:space="preserve"> </w:t>
      </w:r>
      <w:r>
        <w:t>rappeler</w:t>
      </w:r>
      <w:r w:rsidRPr="002C4077">
        <w:t xml:space="preserve"> </w:t>
      </w:r>
      <w:r>
        <w:t>brièvement</w:t>
      </w:r>
      <w:r w:rsidRPr="002C4077">
        <w:t xml:space="preserve"> </w:t>
      </w:r>
      <w:r>
        <w:t>au</w:t>
      </w:r>
      <w:r w:rsidRPr="002C4077">
        <w:t xml:space="preserve"> </w:t>
      </w:r>
      <w:r>
        <w:t>lecteur</w:t>
      </w:r>
      <w:r w:rsidRPr="002C4077">
        <w:t xml:space="preserve"> </w:t>
      </w:r>
      <w:r>
        <w:t>les</w:t>
      </w:r>
      <w:r w:rsidRPr="002C4077">
        <w:t xml:space="preserve"> </w:t>
      </w:r>
      <w:r>
        <w:t>dernières</w:t>
      </w:r>
      <w:r w:rsidRPr="002C4077">
        <w:t xml:space="preserve"> </w:t>
      </w:r>
      <w:r>
        <w:t>paroles</w:t>
      </w:r>
      <w:r w:rsidRPr="002C4077">
        <w:t xml:space="preserve"> </w:t>
      </w:r>
      <w:r>
        <w:t>de</w:t>
      </w:r>
      <w:r w:rsidRPr="002C4077">
        <w:t xml:space="preserve"> </w:t>
      </w:r>
      <w:r>
        <w:t>l’oracle,</w:t>
      </w:r>
      <w:r w:rsidRPr="002C4077">
        <w:t xml:space="preserve"> </w:t>
      </w:r>
      <w:r>
        <w:t>et</w:t>
      </w:r>
      <w:r w:rsidRPr="002C4077">
        <w:t xml:space="preserve"> </w:t>
      </w:r>
      <w:r>
        <w:t>leur</w:t>
      </w:r>
      <w:r w:rsidRPr="002C4077">
        <w:t xml:space="preserve"> </w:t>
      </w:r>
      <w:r>
        <w:t>liaison</w:t>
      </w:r>
      <w:r w:rsidRPr="002C4077">
        <w:t xml:space="preserve"> </w:t>
      </w:r>
      <w:r>
        <w:t>avec</w:t>
      </w:r>
      <w:r w:rsidRPr="002C4077">
        <w:t xml:space="preserve"> </w:t>
      </w:r>
      <w:r>
        <w:t>ce</w:t>
      </w:r>
      <w:r w:rsidRPr="002C4077">
        <w:t xml:space="preserve"> </w:t>
      </w:r>
      <w:r>
        <w:t>qui</w:t>
      </w:r>
      <w:r w:rsidRPr="002C4077">
        <w:t xml:space="preserve"> </w:t>
      </w:r>
      <w:r>
        <w:t>précède.</w:t>
      </w:r>
      <w:r w:rsidRPr="002C4077">
        <w:t xml:space="preserve"> </w:t>
      </w:r>
    </w:p>
    <w:p w:rsidR="000A7AAB" w:rsidRDefault="000A7AAB" w:rsidP="000A7AAB">
      <w:r>
        <w:t>Vous</w:t>
      </w:r>
      <w:r w:rsidRPr="002C4077">
        <w:t xml:space="preserve"> </w:t>
      </w:r>
      <w:r>
        <w:t>refusez</w:t>
      </w:r>
      <w:r w:rsidRPr="002C4077">
        <w:t xml:space="preserve"> </w:t>
      </w:r>
      <w:r>
        <w:t>le</w:t>
      </w:r>
      <w:r w:rsidRPr="002C4077">
        <w:t xml:space="preserve"> </w:t>
      </w:r>
      <w:r>
        <w:t>signe</w:t>
      </w:r>
      <w:r w:rsidRPr="002C4077">
        <w:t xml:space="preserve"> </w:t>
      </w:r>
      <w:r>
        <w:t>que</w:t>
      </w:r>
      <w:r w:rsidRPr="002C4077">
        <w:t xml:space="preserve"> </w:t>
      </w:r>
      <w:r>
        <w:t>Dieu</w:t>
      </w:r>
      <w:r w:rsidRPr="002C4077">
        <w:t xml:space="preserve"> </w:t>
      </w:r>
      <w:r>
        <w:t>vous</w:t>
      </w:r>
      <w:r w:rsidRPr="002C4077">
        <w:t xml:space="preserve"> </w:t>
      </w:r>
      <w:r>
        <w:t>offre,</w:t>
      </w:r>
      <w:r w:rsidRPr="002C4077">
        <w:t xml:space="preserve"> </w:t>
      </w:r>
      <w:r>
        <w:t>avait</w:t>
      </w:r>
      <w:r w:rsidRPr="002C4077">
        <w:t xml:space="preserve"> </w:t>
      </w:r>
      <w:r>
        <w:t>dit</w:t>
      </w:r>
      <w:r w:rsidRPr="002C4077">
        <w:t xml:space="preserve"> </w:t>
      </w:r>
      <w:r>
        <w:t>Isaïe</w:t>
      </w:r>
      <w:r w:rsidRPr="002C4077">
        <w:t xml:space="preserve"> </w:t>
      </w:r>
      <w:r>
        <w:t>au</w:t>
      </w:r>
      <w:r w:rsidRPr="002C4077">
        <w:t xml:space="preserve"> </w:t>
      </w:r>
      <w:r>
        <w:t>monarque</w:t>
      </w:r>
      <w:r w:rsidRPr="002C4077">
        <w:t xml:space="preserve"> </w:t>
      </w:r>
      <w:r>
        <w:t>incrédule</w:t>
      </w:r>
      <w:r w:rsidR="00B546AF">
        <w:t> ;</w:t>
      </w:r>
      <w:r w:rsidRPr="002C4077">
        <w:t xml:space="preserve"> </w:t>
      </w:r>
      <w:r>
        <w:t>eh</w:t>
      </w:r>
      <w:r w:rsidRPr="002C4077">
        <w:t xml:space="preserve"> </w:t>
      </w:r>
      <w:r>
        <w:t>bien</w:t>
      </w:r>
      <w:r w:rsidR="00B546AF">
        <w:t> !</w:t>
      </w:r>
      <w:r w:rsidRPr="002C4077">
        <w:t xml:space="preserve"> </w:t>
      </w:r>
      <w:r>
        <w:t>Dieu</w:t>
      </w:r>
      <w:r w:rsidRPr="002C4077">
        <w:t xml:space="preserve"> </w:t>
      </w:r>
      <w:r>
        <w:t>vous</w:t>
      </w:r>
      <w:r w:rsidRPr="002C4077">
        <w:t xml:space="preserve"> </w:t>
      </w:r>
      <w:r>
        <w:t>donnera</w:t>
      </w:r>
      <w:r w:rsidRPr="002C4077">
        <w:t xml:space="preserve"> </w:t>
      </w:r>
      <w:r>
        <w:t>de</w:t>
      </w:r>
      <w:r w:rsidRPr="002C4077">
        <w:t xml:space="preserve"> </w:t>
      </w:r>
      <w:r>
        <w:t>lui-même</w:t>
      </w:r>
      <w:r w:rsidRPr="002C4077">
        <w:t xml:space="preserve"> </w:t>
      </w:r>
      <w:r>
        <w:t>le</w:t>
      </w:r>
      <w:r w:rsidRPr="002C4077">
        <w:t xml:space="preserve"> </w:t>
      </w:r>
      <w:r>
        <w:t>signe</w:t>
      </w:r>
      <w:r w:rsidRPr="002C4077">
        <w:t xml:space="preserve"> </w:t>
      </w:r>
      <w:r>
        <w:t>du</w:t>
      </w:r>
      <w:r w:rsidRPr="002C4077">
        <w:t xml:space="preserve"> </w:t>
      </w:r>
      <w:r>
        <w:t>salut</w:t>
      </w:r>
      <w:r w:rsidRPr="004440EA">
        <w:t xml:space="preserve"> (</w:t>
      </w:r>
      <w:r>
        <w:t>verset</w:t>
      </w:r>
      <w:r w:rsidRPr="002C4077">
        <w:t xml:space="preserve"> </w:t>
      </w:r>
      <w:r>
        <w:t>14</w:t>
      </w:r>
      <w:r w:rsidR="00B546AF" w:rsidRPr="002C4077">
        <w:t>)</w:t>
      </w:r>
      <w:r w:rsidRPr="00950016">
        <w:t>,</w:t>
      </w:r>
      <w:r w:rsidRPr="002C4077">
        <w:t xml:space="preserve"> </w:t>
      </w:r>
      <w:r>
        <w:t>mais</w:t>
      </w:r>
      <w:r w:rsidRPr="002C4077">
        <w:t xml:space="preserve"> </w:t>
      </w:r>
      <w:r>
        <w:t>d’un</w:t>
      </w:r>
      <w:r w:rsidRPr="002C4077">
        <w:t xml:space="preserve"> </w:t>
      </w:r>
      <w:r>
        <w:t>salut</w:t>
      </w:r>
      <w:r w:rsidRPr="002C4077">
        <w:t xml:space="preserve"> </w:t>
      </w:r>
      <w:r>
        <w:t>qui</w:t>
      </w:r>
      <w:r w:rsidRPr="002C4077">
        <w:t xml:space="preserve"> </w:t>
      </w:r>
      <w:r>
        <w:t>n’empêchera</w:t>
      </w:r>
      <w:r w:rsidRPr="002C4077">
        <w:t xml:space="preserve"> </w:t>
      </w:r>
      <w:r>
        <w:t>pas</w:t>
      </w:r>
      <w:r w:rsidRPr="002C4077">
        <w:t xml:space="preserve"> </w:t>
      </w:r>
      <w:r>
        <w:t>votre</w:t>
      </w:r>
      <w:r w:rsidRPr="002C4077">
        <w:t xml:space="preserve"> </w:t>
      </w:r>
      <w:r>
        <w:t>ruine.</w:t>
      </w:r>
      <w:r w:rsidRPr="002C4077">
        <w:t xml:space="preserve"> </w:t>
      </w:r>
      <w:r>
        <w:t>Sans</w:t>
      </w:r>
      <w:r w:rsidRPr="002C4077">
        <w:t xml:space="preserve"> </w:t>
      </w:r>
      <w:r>
        <w:t>doute,</w:t>
      </w:r>
      <w:r w:rsidRPr="002C4077">
        <w:t xml:space="preserve"> </w:t>
      </w:r>
      <w:r>
        <w:t>d’ici</w:t>
      </w:r>
      <w:r w:rsidRPr="002C4077">
        <w:t xml:space="preserve"> </w:t>
      </w:r>
      <w:r>
        <w:t>à</w:t>
      </w:r>
      <w:r w:rsidRPr="002C4077">
        <w:t xml:space="preserve"> </w:t>
      </w:r>
      <w:r>
        <w:t>peu</w:t>
      </w:r>
      <w:r w:rsidRPr="002C4077">
        <w:t xml:space="preserve"> </w:t>
      </w:r>
      <w:r>
        <w:t>de</w:t>
      </w:r>
      <w:r w:rsidRPr="002C4077">
        <w:t xml:space="preserve"> </w:t>
      </w:r>
      <w:r>
        <w:t>temps</w:t>
      </w:r>
      <w:r w:rsidRPr="002C4077">
        <w:t xml:space="preserve"> </w:t>
      </w:r>
      <w:r>
        <w:t>vos</w:t>
      </w:r>
      <w:r w:rsidRPr="002C4077">
        <w:t xml:space="preserve"> </w:t>
      </w:r>
      <w:r>
        <w:t>ennemis</w:t>
      </w:r>
      <w:r w:rsidRPr="002C4077">
        <w:t xml:space="preserve"> </w:t>
      </w:r>
      <w:r>
        <w:t>actuels</w:t>
      </w:r>
      <w:r w:rsidRPr="002C4077">
        <w:t xml:space="preserve"> </w:t>
      </w:r>
      <w:r>
        <w:t>seront</w:t>
      </w:r>
      <w:r w:rsidRPr="002C4077">
        <w:t xml:space="preserve"> </w:t>
      </w:r>
      <w:r>
        <w:t>anéantis</w:t>
      </w:r>
      <w:r w:rsidRPr="004440EA">
        <w:t xml:space="preserve"> (</w:t>
      </w:r>
      <w:r>
        <w:t>versets</w:t>
      </w:r>
      <w:r w:rsidRPr="002C4077">
        <w:t xml:space="preserve"> </w:t>
      </w:r>
      <w:r>
        <w:t>15</w:t>
      </w:r>
      <w:r w:rsidRPr="002C4077">
        <w:t xml:space="preserve"> </w:t>
      </w:r>
      <w:r>
        <w:t>et</w:t>
      </w:r>
      <w:r w:rsidRPr="002C4077">
        <w:t xml:space="preserve"> </w:t>
      </w:r>
      <w:r>
        <w:t>16</w:t>
      </w:r>
      <w:r w:rsidR="00B546AF" w:rsidRPr="002C4077">
        <w:t>)</w:t>
      </w:r>
      <w:r w:rsidR="00B546AF" w:rsidRPr="00950016">
        <w:t> ;</w:t>
      </w:r>
      <w:r w:rsidRPr="002C4077">
        <w:t xml:space="preserve"> </w:t>
      </w:r>
      <w:r>
        <w:t>toutefois,</w:t>
      </w:r>
      <w:r w:rsidRPr="002C4077">
        <w:t xml:space="preserve"> </w:t>
      </w:r>
      <w:r>
        <w:t>les</w:t>
      </w:r>
      <w:r w:rsidRPr="002C4077">
        <w:t xml:space="preserve"> </w:t>
      </w:r>
      <w:r>
        <w:t>Assyriens</w:t>
      </w:r>
      <w:r w:rsidRPr="002C4077">
        <w:t xml:space="preserve"> </w:t>
      </w:r>
      <w:r>
        <w:t>qui</w:t>
      </w:r>
      <w:r w:rsidRPr="002C4077">
        <w:t xml:space="preserve"> </w:t>
      </w:r>
      <w:r>
        <w:t>viendront</w:t>
      </w:r>
      <w:r w:rsidRPr="002C4077">
        <w:t xml:space="preserve"> </w:t>
      </w:r>
      <w:r>
        <w:t>vous</w:t>
      </w:r>
      <w:r w:rsidRPr="002C4077">
        <w:t xml:space="preserve"> </w:t>
      </w:r>
      <w:r>
        <w:t>délivrer</w:t>
      </w:r>
      <w:r w:rsidRPr="002C4077">
        <w:t xml:space="preserve"> </w:t>
      </w:r>
      <w:r>
        <w:t>d’eux</w:t>
      </w:r>
      <w:r w:rsidRPr="002C4077">
        <w:t xml:space="preserve"> </w:t>
      </w:r>
      <w:r>
        <w:t>seront</w:t>
      </w:r>
      <w:r w:rsidRPr="002C4077">
        <w:t xml:space="preserve"> </w:t>
      </w:r>
      <w:r>
        <w:t>ensuite</w:t>
      </w:r>
      <w:r w:rsidRPr="002C4077">
        <w:t xml:space="preserve"> </w:t>
      </w:r>
      <w:r>
        <w:t>les</w:t>
      </w:r>
      <w:r w:rsidRPr="002C4077">
        <w:t xml:space="preserve"> </w:t>
      </w:r>
      <w:r>
        <w:t>exécuteurs</w:t>
      </w:r>
      <w:r w:rsidRPr="002C4077">
        <w:t xml:space="preserve"> </w:t>
      </w:r>
      <w:r>
        <w:t>de</w:t>
      </w:r>
      <w:r w:rsidRPr="002C4077">
        <w:t xml:space="preserve"> </w:t>
      </w:r>
      <w:r>
        <w:t>mon</w:t>
      </w:r>
      <w:r w:rsidRPr="002C4077">
        <w:t xml:space="preserve"> </w:t>
      </w:r>
      <w:r>
        <w:t>jugement</w:t>
      </w:r>
      <w:r w:rsidRPr="002C4077">
        <w:t xml:space="preserve"> </w:t>
      </w:r>
      <w:r>
        <w:t>sur</w:t>
      </w:r>
      <w:r w:rsidRPr="002C4077">
        <w:t xml:space="preserve"> </w:t>
      </w:r>
      <w:r>
        <w:t>votre</w:t>
      </w:r>
      <w:r w:rsidRPr="002C4077">
        <w:t xml:space="preserve"> </w:t>
      </w:r>
      <w:r>
        <w:t>incrédulité</w:t>
      </w:r>
      <w:r w:rsidRPr="004440EA">
        <w:t xml:space="preserve"> (</w:t>
      </w:r>
      <w:r>
        <w:t>versets</w:t>
      </w:r>
      <w:r w:rsidRPr="002C4077">
        <w:t xml:space="preserve"> </w:t>
      </w:r>
      <w:r>
        <w:t>17-25</w:t>
      </w:r>
      <w:r w:rsidR="00B546AF" w:rsidRPr="002C4077">
        <w:t>)</w:t>
      </w:r>
      <w:r w:rsidR="00B91AF7">
        <w:rPr>
          <w:rStyle w:val="Appelnotedebasdep"/>
        </w:rPr>
        <w:footnoteReference w:id="248"/>
      </w:r>
      <w:r>
        <w:t>.</w:t>
      </w:r>
      <w:r w:rsidRPr="002C4077">
        <w:t xml:space="preserve"> </w:t>
      </w:r>
    </w:p>
    <w:p w:rsidR="000A7AAB" w:rsidRDefault="000A7AAB" w:rsidP="000A7AAB">
      <w:r>
        <w:t>Telle</w:t>
      </w:r>
      <w:r w:rsidRPr="002C4077">
        <w:t xml:space="preserve"> </w:t>
      </w:r>
      <w:r w:rsidR="00425C50">
        <w:t>est</w:t>
      </w:r>
      <w:r w:rsidRPr="002C4077">
        <w:t xml:space="preserve"> </w:t>
      </w:r>
      <w:r>
        <w:t>l’idée</w:t>
      </w:r>
      <w:r w:rsidR="00B546AF">
        <w:t> ;</w:t>
      </w:r>
      <w:r w:rsidRPr="002C4077">
        <w:t xml:space="preserve"> </w:t>
      </w:r>
      <w:r>
        <w:t>mais</w:t>
      </w:r>
      <w:r w:rsidRPr="002C4077">
        <w:t xml:space="preserve"> </w:t>
      </w:r>
      <w:r>
        <w:t>plusieurs</w:t>
      </w:r>
      <w:r w:rsidRPr="002C4077">
        <w:t xml:space="preserve"> </w:t>
      </w:r>
      <w:r>
        <w:t>expressions</w:t>
      </w:r>
      <w:r w:rsidRPr="002C4077">
        <w:t xml:space="preserve"> </w:t>
      </w:r>
      <w:r>
        <w:t>des</w:t>
      </w:r>
      <w:r w:rsidRPr="002C4077">
        <w:t xml:space="preserve"> </w:t>
      </w:r>
      <w:r>
        <w:t>versets</w:t>
      </w:r>
      <w:r w:rsidRPr="002C4077">
        <w:t xml:space="preserve"> </w:t>
      </w:r>
      <w:r>
        <w:t>15</w:t>
      </w:r>
      <w:r w:rsidRPr="002C4077">
        <w:t xml:space="preserve"> </w:t>
      </w:r>
      <w:r>
        <w:t>et</w:t>
      </w:r>
      <w:r w:rsidRPr="002C4077">
        <w:t xml:space="preserve"> </w:t>
      </w:r>
      <w:r>
        <w:t>16</w:t>
      </w:r>
      <w:r w:rsidRPr="002C4077">
        <w:t xml:space="preserve"> </w:t>
      </w:r>
      <w:r>
        <w:t>demandent</w:t>
      </w:r>
      <w:r w:rsidRPr="002C4077">
        <w:t xml:space="preserve"> </w:t>
      </w:r>
      <w:r>
        <w:t>quelques</w:t>
      </w:r>
      <w:r w:rsidRPr="002C4077">
        <w:t xml:space="preserve"> </w:t>
      </w:r>
      <w:r>
        <w:t>lignes</w:t>
      </w:r>
      <w:r w:rsidRPr="002C4077">
        <w:t xml:space="preserve"> </w:t>
      </w:r>
      <w:r>
        <w:t>d’explication.</w:t>
      </w:r>
      <w:r w:rsidRPr="002C4077">
        <w:t xml:space="preserve"> </w:t>
      </w:r>
    </w:p>
    <w:p w:rsidR="000A7AAB" w:rsidRPr="000721C4" w:rsidRDefault="000A7AAB" w:rsidP="000A7AAB">
      <w:r>
        <w:t>Isaïe</w:t>
      </w:r>
      <w:r w:rsidRPr="002C4077">
        <w:t xml:space="preserve"> </w:t>
      </w:r>
      <w:r>
        <w:t>prédit</w:t>
      </w:r>
      <w:r w:rsidRPr="002C4077">
        <w:t xml:space="preserve"> </w:t>
      </w:r>
      <w:r>
        <w:t>que</w:t>
      </w:r>
      <w:r w:rsidRPr="002C4077">
        <w:t xml:space="preserve"> </w:t>
      </w:r>
      <w:r>
        <w:t>le</w:t>
      </w:r>
      <w:r w:rsidRPr="002C4077">
        <w:t xml:space="preserve"> </w:t>
      </w:r>
      <w:r>
        <w:t>fils</w:t>
      </w:r>
      <w:r w:rsidRPr="002C4077">
        <w:t xml:space="preserve"> </w:t>
      </w:r>
      <w:r>
        <w:t>de</w:t>
      </w:r>
      <w:r w:rsidRPr="002C4077">
        <w:t xml:space="preserve"> </w:t>
      </w:r>
      <w:r w:rsidR="00D40830" w:rsidRPr="00D40830">
        <w:t>l’</w:t>
      </w:r>
      <w:r w:rsidR="00D40830" w:rsidRPr="00D05EA9">
        <w:rPr>
          <w:rStyle w:val="italicus"/>
        </w:rPr>
        <w:t>῾almah</w:t>
      </w:r>
      <w:r w:rsidRPr="002C4077">
        <w:t xml:space="preserve"> </w:t>
      </w:r>
      <w:r w:rsidR="00B546AF">
        <w:t>« </w:t>
      </w:r>
      <w:r>
        <w:t>mangera</w:t>
      </w:r>
      <w:r w:rsidRPr="002C4077">
        <w:t xml:space="preserve"> </w:t>
      </w:r>
      <w:r>
        <w:t>delà</w:t>
      </w:r>
      <w:r w:rsidRPr="002C4077">
        <w:t xml:space="preserve"> </w:t>
      </w:r>
      <w:r>
        <w:t>crème</w:t>
      </w:r>
      <w:r w:rsidRPr="002C4077">
        <w:t xml:space="preserve"> </w:t>
      </w:r>
      <w:r w:rsidR="00B91AF7">
        <w:rPr>
          <w:rStyle w:val="Appelnotedebasdep"/>
        </w:rPr>
        <w:footnoteReference w:id="249"/>
      </w:r>
      <w:r w:rsidRPr="002C4077">
        <w:t xml:space="preserve"> </w:t>
      </w:r>
      <w:r>
        <w:t>et</w:t>
      </w:r>
      <w:r w:rsidRPr="002C4077">
        <w:t xml:space="preserve"> </w:t>
      </w:r>
      <w:r>
        <w:t>du</w:t>
      </w:r>
      <w:r w:rsidRPr="002C4077">
        <w:t xml:space="preserve"> </w:t>
      </w:r>
      <w:r>
        <w:t>miel</w:t>
      </w:r>
      <w:r w:rsidRPr="002C4077">
        <w:t xml:space="preserve"> </w:t>
      </w:r>
      <w:r>
        <w:t>jusqu’à</w:t>
      </w:r>
      <w:r w:rsidRPr="002C4077">
        <w:t xml:space="preserve"> </w:t>
      </w:r>
      <w:r>
        <w:t>ce</w:t>
      </w:r>
      <w:r w:rsidRPr="002C4077">
        <w:t xml:space="preserve"> </w:t>
      </w:r>
      <w:r>
        <w:t>qu’il</w:t>
      </w:r>
      <w:r w:rsidRPr="002C4077">
        <w:t xml:space="preserve"> </w:t>
      </w:r>
      <w:r>
        <w:t>sache</w:t>
      </w:r>
      <w:r w:rsidRPr="002C4077">
        <w:t xml:space="preserve"> </w:t>
      </w:r>
      <w:r>
        <w:t>rejeter</w:t>
      </w:r>
      <w:r w:rsidRPr="002C4077">
        <w:t xml:space="preserve"> </w:t>
      </w:r>
      <w:r>
        <w:t>le</w:t>
      </w:r>
      <w:r w:rsidRPr="002C4077">
        <w:t xml:space="preserve"> </w:t>
      </w:r>
      <w:r>
        <w:t>mal</w:t>
      </w:r>
      <w:r w:rsidRPr="002C4077">
        <w:t xml:space="preserve"> </w:t>
      </w:r>
      <w:r>
        <w:t>et</w:t>
      </w:r>
      <w:r w:rsidRPr="002C4077">
        <w:t xml:space="preserve"> </w:t>
      </w:r>
      <w:r>
        <w:t>choisir</w:t>
      </w:r>
      <w:r w:rsidRPr="002C4077">
        <w:t xml:space="preserve"> </w:t>
      </w:r>
      <w:r>
        <w:t>le</w:t>
      </w:r>
      <w:r w:rsidRPr="002C4077">
        <w:t xml:space="preserve"> </w:t>
      </w:r>
      <w:r>
        <w:t>bien.</w:t>
      </w:r>
      <w:r w:rsidR="00B546AF">
        <w:t> »</w:t>
      </w:r>
      <w:r w:rsidRPr="002C4077">
        <w:t xml:space="preserve"> </w:t>
      </w:r>
      <w:r>
        <w:t>Puis</w:t>
      </w:r>
      <w:r w:rsidRPr="002C4077">
        <w:t xml:space="preserve"> </w:t>
      </w:r>
      <w:r>
        <w:t>il</w:t>
      </w:r>
      <w:r w:rsidRPr="002C4077">
        <w:t xml:space="preserve"> </w:t>
      </w:r>
      <w:r>
        <w:t>ajoute</w:t>
      </w:r>
      <w:r w:rsidRPr="002C4077">
        <w:t xml:space="preserve"> </w:t>
      </w:r>
      <w:r>
        <w:t>en</w:t>
      </w:r>
      <w:r w:rsidRPr="002C4077">
        <w:t xml:space="preserve"> </w:t>
      </w:r>
      <w:r>
        <w:t>guise</w:t>
      </w:r>
      <w:r w:rsidRPr="002C4077">
        <w:t xml:space="preserve"> </w:t>
      </w:r>
      <w:r>
        <w:t>de</w:t>
      </w:r>
      <w:r w:rsidRPr="002C4077">
        <w:t xml:space="preserve"> </w:t>
      </w:r>
      <w:r>
        <w:t>commentaire</w:t>
      </w:r>
      <w:r w:rsidR="00B546AF">
        <w:t> :</w:t>
      </w:r>
      <w:r w:rsidRPr="002C4077">
        <w:t xml:space="preserve"> </w:t>
      </w:r>
      <w:r w:rsidR="00B546AF">
        <w:t>« </w:t>
      </w:r>
      <w:r>
        <w:t>Car</w:t>
      </w:r>
      <w:r w:rsidRPr="002C4077">
        <w:t xml:space="preserve"> </w:t>
      </w:r>
      <w:r>
        <w:t>avant</w:t>
      </w:r>
      <w:r w:rsidRPr="002C4077">
        <w:t xml:space="preserve"> </w:t>
      </w:r>
      <w:r>
        <w:t>que</w:t>
      </w:r>
      <w:r w:rsidRPr="002C4077">
        <w:t xml:space="preserve"> </w:t>
      </w:r>
      <w:r>
        <w:t>l’enfant</w:t>
      </w:r>
      <w:r w:rsidRPr="002C4077">
        <w:t xml:space="preserve"> </w:t>
      </w:r>
      <w:r>
        <w:t>sache</w:t>
      </w:r>
      <w:r w:rsidRPr="002C4077">
        <w:t xml:space="preserve"> </w:t>
      </w:r>
      <w:r>
        <w:t>rejeter</w:t>
      </w:r>
      <w:r w:rsidRPr="002C4077">
        <w:t xml:space="preserve"> </w:t>
      </w:r>
      <w:r>
        <w:t>le</w:t>
      </w:r>
      <w:r w:rsidRPr="002C4077">
        <w:t xml:space="preserve"> </w:t>
      </w:r>
      <w:r>
        <w:t>mal</w:t>
      </w:r>
      <w:r w:rsidRPr="002C4077">
        <w:t xml:space="preserve"> </w:t>
      </w:r>
      <w:r>
        <w:t>et</w:t>
      </w:r>
      <w:r w:rsidRPr="002C4077">
        <w:t xml:space="preserve"> </w:t>
      </w:r>
      <w:r>
        <w:t>choisir</w:t>
      </w:r>
      <w:r w:rsidRPr="002C4077">
        <w:t xml:space="preserve"> </w:t>
      </w:r>
      <w:r>
        <w:t>le</w:t>
      </w:r>
      <w:r w:rsidRPr="002C4077">
        <w:t xml:space="preserve"> </w:t>
      </w:r>
      <w:r>
        <w:t>bien,</w:t>
      </w:r>
      <w:r w:rsidRPr="002C4077">
        <w:t xml:space="preserve"> </w:t>
      </w:r>
      <w:r>
        <w:t>le</w:t>
      </w:r>
      <w:r w:rsidRPr="002C4077">
        <w:t xml:space="preserve"> </w:t>
      </w:r>
      <w:r>
        <w:t>pays</w:t>
      </w:r>
      <w:r w:rsidRPr="002C4077">
        <w:t xml:space="preserve"> </w:t>
      </w:r>
      <w:r>
        <w:t>dont</w:t>
      </w:r>
      <w:r w:rsidRPr="002C4077">
        <w:t xml:space="preserve"> </w:t>
      </w:r>
      <w:r>
        <w:t>les</w:t>
      </w:r>
      <w:r w:rsidRPr="002C4077">
        <w:t xml:space="preserve"> </w:t>
      </w:r>
      <w:r>
        <w:t>deux</w:t>
      </w:r>
      <w:r w:rsidRPr="002C4077">
        <w:t xml:space="preserve"> </w:t>
      </w:r>
      <w:r>
        <w:t>rois</w:t>
      </w:r>
      <w:r w:rsidRPr="002C4077">
        <w:t xml:space="preserve"> </w:t>
      </w:r>
      <w:r>
        <w:t>te</w:t>
      </w:r>
      <w:r w:rsidRPr="002C4077">
        <w:t xml:space="preserve"> </w:t>
      </w:r>
      <w:r>
        <w:t>font</w:t>
      </w:r>
      <w:r w:rsidRPr="002C4077">
        <w:t xml:space="preserve"> </w:t>
      </w:r>
      <w:r>
        <w:t>peur</w:t>
      </w:r>
      <w:r w:rsidRPr="002C4077">
        <w:t xml:space="preserve"> </w:t>
      </w:r>
      <w:r>
        <w:t>sera</w:t>
      </w:r>
      <w:r w:rsidRPr="002C4077">
        <w:t xml:space="preserve"> </w:t>
      </w:r>
      <w:r>
        <w:t>dévasté</w:t>
      </w:r>
      <w:r w:rsidR="00B546AF">
        <w:t> »</w:t>
      </w:r>
      <w:r>
        <w:t>.</w:t>
      </w:r>
      <w:r w:rsidR="00C45B47">
        <w:t xml:space="preserve"> {</w:t>
      </w:r>
      <w:r w:rsidR="000721C4">
        <w:t>81</w:t>
      </w:r>
      <w:bookmarkStart w:id="257" w:name="p081"/>
      <w:bookmarkEnd w:id="257"/>
      <w:r w:rsidR="000721C4">
        <w:t xml:space="preserve">} </w:t>
      </w:r>
    </w:p>
    <w:p w:rsidR="000A7AAB" w:rsidRDefault="000A7AAB" w:rsidP="000A7AAB">
      <w:r>
        <w:t>On</w:t>
      </w:r>
      <w:r w:rsidRPr="002C4077">
        <w:t xml:space="preserve"> </w:t>
      </w:r>
      <w:r>
        <w:t>le</w:t>
      </w:r>
      <w:r w:rsidRPr="002C4077">
        <w:t xml:space="preserve"> </w:t>
      </w:r>
      <w:r>
        <w:t>voit,</w:t>
      </w:r>
      <w:r w:rsidRPr="002C4077">
        <w:t xml:space="preserve"> </w:t>
      </w:r>
      <w:r>
        <w:t>le</w:t>
      </w:r>
      <w:r w:rsidRPr="002C4077">
        <w:t xml:space="preserve"> </w:t>
      </w:r>
      <w:r>
        <w:t>prophète</w:t>
      </w:r>
      <w:r w:rsidRPr="002C4077">
        <w:t xml:space="preserve"> </w:t>
      </w:r>
      <w:r>
        <w:t>veut</w:t>
      </w:r>
      <w:r w:rsidRPr="002C4077">
        <w:t xml:space="preserve"> </w:t>
      </w:r>
      <w:r>
        <w:t>ici</w:t>
      </w:r>
      <w:r w:rsidRPr="002C4077">
        <w:t xml:space="preserve"> </w:t>
      </w:r>
      <w:r>
        <w:t>fixer</w:t>
      </w:r>
      <w:r w:rsidRPr="002C4077">
        <w:t xml:space="preserve"> </w:t>
      </w:r>
      <w:r>
        <w:t>une</w:t>
      </w:r>
      <w:r w:rsidRPr="002C4077">
        <w:t xml:space="preserve"> </w:t>
      </w:r>
      <w:r>
        <w:t>date,</w:t>
      </w:r>
      <w:r w:rsidRPr="002C4077">
        <w:t xml:space="preserve"> </w:t>
      </w:r>
      <w:r>
        <w:t>la</w:t>
      </w:r>
      <w:r w:rsidRPr="002C4077">
        <w:t xml:space="preserve"> </w:t>
      </w:r>
      <w:r>
        <w:t>date</w:t>
      </w:r>
      <w:r w:rsidRPr="002C4077">
        <w:t xml:space="preserve"> </w:t>
      </w:r>
      <w:r>
        <w:t>à</w:t>
      </w:r>
      <w:r w:rsidRPr="002C4077">
        <w:t xml:space="preserve"> </w:t>
      </w:r>
      <w:r>
        <w:t>laquelle</w:t>
      </w:r>
      <w:r w:rsidRPr="002C4077">
        <w:t xml:space="preserve"> </w:t>
      </w:r>
      <w:r>
        <w:t>ses</w:t>
      </w:r>
      <w:r w:rsidRPr="002C4077">
        <w:t xml:space="preserve"> </w:t>
      </w:r>
      <w:r>
        <w:t>compatriotes</w:t>
      </w:r>
      <w:r w:rsidRPr="002C4077">
        <w:t xml:space="preserve"> </w:t>
      </w:r>
      <w:r>
        <w:t>seront</w:t>
      </w:r>
      <w:r w:rsidRPr="002C4077">
        <w:t xml:space="preserve"> </w:t>
      </w:r>
      <w:r>
        <w:t>délivrés</w:t>
      </w:r>
      <w:r w:rsidRPr="002C4077">
        <w:t xml:space="preserve"> </w:t>
      </w:r>
      <w:r>
        <w:t>du</w:t>
      </w:r>
      <w:r w:rsidRPr="002C4077">
        <w:t xml:space="preserve"> </w:t>
      </w:r>
      <w:r>
        <w:t>danger</w:t>
      </w:r>
      <w:r w:rsidRPr="002C4077">
        <w:t xml:space="preserve"> </w:t>
      </w:r>
      <w:r>
        <w:t>qui</w:t>
      </w:r>
      <w:r w:rsidRPr="002C4077">
        <w:t xml:space="preserve"> </w:t>
      </w:r>
      <w:r>
        <w:t>les</w:t>
      </w:r>
      <w:r w:rsidRPr="002C4077">
        <w:t xml:space="preserve"> </w:t>
      </w:r>
      <w:r>
        <w:t>menace</w:t>
      </w:r>
      <w:r w:rsidRPr="002C4077">
        <w:t xml:space="preserve"> </w:t>
      </w:r>
      <w:r>
        <w:t>dans</w:t>
      </w:r>
      <w:r w:rsidRPr="002C4077">
        <w:t xml:space="preserve"> </w:t>
      </w:r>
      <w:r>
        <w:t>le</w:t>
      </w:r>
      <w:r w:rsidRPr="002C4077">
        <w:t xml:space="preserve"> </w:t>
      </w:r>
      <w:r>
        <w:t>temps</w:t>
      </w:r>
      <w:r w:rsidRPr="002C4077">
        <w:t xml:space="preserve"> </w:t>
      </w:r>
      <w:r>
        <w:t>présent</w:t>
      </w:r>
      <w:r w:rsidRPr="004440EA">
        <w:t xml:space="preserve"> (</w:t>
      </w:r>
      <w:r>
        <w:t>VII,</w:t>
      </w:r>
      <w:r w:rsidRPr="002C4077">
        <w:t xml:space="preserve"> </w:t>
      </w:r>
      <w:r>
        <w:t>1</w:t>
      </w:r>
      <w:r w:rsidRPr="002C4077">
        <w:t xml:space="preserve"> </w:t>
      </w:r>
      <w:r>
        <w:t>et</w:t>
      </w:r>
      <w:r w:rsidRPr="002C4077">
        <w:t xml:space="preserve"> </w:t>
      </w:r>
      <w:r>
        <w:t>2</w:t>
      </w:r>
      <w:r w:rsidR="00B546AF" w:rsidRPr="002C4077">
        <w:t>)</w:t>
      </w:r>
      <w:r w:rsidR="00B546AF" w:rsidRPr="00950016">
        <w:t> ;</w:t>
      </w:r>
      <w:r w:rsidRPr="002C4077">
        <w:t xml:space="preserve"> </w:t>
      </w:r>
      <w:r>
        <w:t>or</w:t>
      </w:r>
      <w:r w:rsidRPr="002C4077">
        <w:t xml:space="preserve"> </w:t>
      </w:r>
      <w:r>
        <w:t>il</w:t>
      </w:r>
      <w:r w:rsidRPr="002C4077">
        <w:t xml:space="preserve"> </w:t>
      </w:r>
      <w:r>
        <w:t>se</w:t>
      </w:r>
      <w:r w:rsidRPr="002C4077">
        <w:t xml:space="preserve"> </w:t>
      </w:r>
      <w:r>
        <w:t>sert,</w:t>
      </w:r>
      <w:r w:rsidRPr="002C4077">
        <w:t xml:space="preserve"> </w:t>
      </w:r>
      <w:r>
        <w:t>pour</w:t>
      </w:r>
      <w:r w:rsidRPr="002C4077">
        <w:t xml:space="preserve"> </w:t>
      </w:r>
      <w:r>
        <w:t>la</w:t>
      </w:r>
      <w:r w:rsidRPr="002C4077">
        <w:t xml:space="preserve"> </w:t>
      </w:r>
      <w:r>
        <w:t>fixer,</w:t>
      </w:r>
      <w:r w:rsidRPr="002C4077">
        <w:t xml:space="preserve"> </w:t>
      </w:r>
      <w:r>
        <w:t>d’expressions</w:t>
      </w:r>
      <w:r w:rsidRPr="002C4077">
        <w:t xml:space="preserve"> </w:t>
      </w:r>
      <w:r>
        <w:t>figurées</w:t>
      </w:r>
      <w:r w:rsidR="00B546AF">
        <w:t> :</w:t>
      </w:r>
      <w:r w:rsidRPr="002C4077">
        <w:t xml:space="preserve"> </w:t>
      </w:r>
      <w:r w:rsidR="00B546AF">
        <w:t>« </w:t>
      </w:r>
      <w:r>
        <w:t>Savoir</w:t>
      </w:r>
      <w:r w:rsidRPr="002C4077">
        <w:t xml:space="preserve"> </w:t>
      </w:r>
      <w:r>
        <w:t>rejeter</w:t>
      </w:r>
      <w:r w:rsidRPr="002C4077">
        <w:t xml:space="preserve"> </w:t>
      </w:r>
      <w:r>
        <w:t>le</w:t>
      </w:r>
      <w:r w:rsidRPr="002C4077">
        <w:t xml:space="preserve"> </w:t>
      </w:r>
      <w:r>
        <w:t>mal</w:t>
      </w:r>
      <w:r w:rsidRPr="002C4077">
        <w:t xml:space="preserve"> </w:t>
      </w:r>
      <w:r>
        <w:t>et</w:t>
      </w:r>
      <w:r w:rsidRPr="002C4077">
        <w:t xml:space="preserve"> </w:t>
      </w:r>
      <w:r>
        <w:t>choisir</w:t>
      </w:r>
      <w:r w:rsidRPr="002C4077">
        <w:t xml:space="preserve"> </w:t>
      </w:r>
      <w:r>
        <w:t>le</w:t>
      </w:r>
      <w:r w:rsidRPr="002C4077">
        <w:t xml:space="preserve"> </w:t>
      </w:r>
      <w:r>
        <w:t>bien</w:t>
      </w:r>
      <w:r w:rsidR="00B546AF">
        <w:t> »</w:t>
      </w:r>
      <w:r>
        <w:t>.</w:t>
      </w:r>
      <w:r w:rsidRPr="002C4077">
        <w:t xml:space="preserve"> </w:t>
      </w:r>
      <w:r>
        <w:t>Ces</w:t>
      </w:r>
      <w:r w:rsidRPr="002C4077">
        <w:t xml:space="preserve"> </w:t>
      </w:r>
      <w:r>
        <w:t>mots,</w:t>
      </w:r>
      <w:r w:rsidRPr="002C4077">
        <w:t xml:space="preserve"> </w:t>
      </w:r>
      <w:r>
        <w:t>que</w:t>
      </w:r>
      <w:r w:rsidRPr="002C4077">
        <w:t xml:space="preserve"> </w:t>
      </w:r>
      <w:r>
        <w:t>nous</w:t>
      </w:r>
      <w:r w:rsidRPr="002C4077">
        <w:t xml:space="preserve"> </w:t>
      </w:r>
      <w:r>
        <w:t>lisons</w:t>
      </w:r>
      <w:r w:rsidRPr="002C4077">
        <w:t xml:space="preserve"> </w:t>
      </w:r>
      <w:r>
        <w:t>également</w:t>
      </w:r>
      <w:r w:rsidRPr="002C4077">
        <w:t xml:space="preserve"> </w:t>
      </w:r>
      <w:r>
        <w:t>dans</w:t>
      </w:r>
      <w:r w:rsidRPr="002C4077">
        <w:t xml:space="preserve"> </w:t>
      </w:r>
      <w:r>
        <w:t>le</w:t>
      </w:r>
      <w:r w:rsidRPr="002C4077">
        <w:t xml:space="preserve"> </w:t>
      </w:r>
      <w:r>
        <w:t>Deutéronome</w:t>
      </w:r>
      <w:r w:rsidR="00004E88">
        <w:rPr>
          <w:rStyle w:val="Appelnotedebasdep"/>
        </w:rPr>
        <w:footnoteReference w:id="250"/>
      </w:r>
      <w:r w:rsidR="00004E88">
        <w:t>,</w:t>
      </w:r>
      <w:r w:rsidRPr="002C4077">
        <w:t xml:space="preserve"> </w:t>
      </w:r>
      <w:r>
        <w:t>équivalent</w:t>
      </w:r>
      <w:r w:rsidRPr="002C4077">
        <w:t xml:space="preserve"> </w:t>
      </w:r>
      <w:r>
        <w:t>à</w:t>
      </w:r>
      <w:r w:rsidRPr="002C4077">
        <w:t xml:space="preserve"> </w:t>
      </w:r>
      <w:r>
        <w:t>la</w:t>
      </w:r>
      <w:r w:rsidRPr="002C4077">
        <w:t xml:space="preserve"> </w:t>
      </w:r>
      <w:r>
        <w:t>locution</w:t>
      </w:r>
      <w:r w:rsidRPr="002C4077">
        <w:t xml:space="preserve"> </w:t>
      </w:r>
      <w:r>
        <w:t>employée</w:t>
      </w:r>
      <w:r w:rsidRPr="002C4077">
        <w:t xml:space="preserve"> </w:t>
      </w:r>
      <w:r>
        <w:t>un</w:t>
      </w:r>
      <w:r w:rsidRPr="002C4077">
        <w:t xml:space="preserve"> </w:t>
      </w:r>
      <w:r>
        <w:t>peu</w:t>
      </w:r>
      <w:r w:rsidRPr="002C4077">
        <w:t xml:space="preserve"> </w:t>
      </w:r>
      <w:r>
        <w:t>plus</w:t>
      </w:r>
      <w:r w:rsidRPr="002C4077">
        <w:t xml:space="preserve"> </w:t>
      </w:r>
      <w:r>
        <w:t>bas</w:t>
      </w:r>
      <w:r w:rsidRPr="002C4077">
        <w:t xml:space="preserve"> </w:t>
      </w:r>
      <w:r>
        <w:t>par</w:t>
      </w:r>
      <w:r w:rsidRPr="002C4077">
        <w:t xml:space="preserve"> </w:t>
      </w:r>
      <w:r>
        <w:t>Isaïe</w:t>
      </w:r>
      <w:r w:rsidR="00B91AF7">
        <w:rPr>
          <w:rStyle w:val="Appelnotedebasdep"/>
        </w:rPr>
        <w:footnoteReference w:id="251"/>
      </w:r>
      <w:r w:rsidR="00B546AF">
        <w:t> :</w:t>
      </w:r>
      <w:r w:rsidRPr="002C4077">
        <w:t xml:space="preserve"> </w:t>
      </w:r>
      <w:r w:rsidR="00B546AF">
        <w:t>« </w:t>
      </w:r>
      <w:r>
        <w:t>Savoir</w:t>
      </w:r>
      <w:r w:rsidRPr="002C4077">
        <w:t xml:space="preserve"> </w:t>
      </w:r>
      <w:r>
        <w:t>appeler</w:t>
      </w:r>
      <w:r w:rsidRPr="002C4077">
        <w:t xml:space="preserve"> </w:t>
      </w:r>
      <w:r>
        <w:t>son</w:t>
      </w:r>
      <w:r w:rsidRPr="002C4077">
        <w:t xml:space="preserve"> </w:t>
      </w:r>
      <w:r>
        <w:t>père</w:t>
      </w:r>
      <w:r w:rsidRPr="002C4077">
        <w:t xml:space="preserve"> </w:t>
      </w:r>
      <w:r>
        <w:t>et</w:t>
      </w:r>
      <w:r w:rsidRPr="002C4077">
        <w:t xml:space="preserve"> </w:t>
      </w:r>
      <w:r>
        <w:t>sa</w:t>
      </w:r>
      <w:r w:rsidRPr="002C4077">
        <w:t xml:space="preserve"> </w:t>
      </w:r>
      <w:r>
        <w:t>mère</w:t>
      </w:r>
      <w:r w:rsidR="00B546AF">
        <w:t> »</w:t>
      </w:r>
      <w:r>
        <w:t>,</w:t>
      </w:r>
      <w:r w:rsidRPr="002C4077">
        <w:t xml:space="preserve"> </w:t>
      </w:r>
      <w:r>
        <w:t>et</w:t>
      </w:r>
      <w:r w:rsidRPr="002C4077">
        <w:t xml:space="preserve"> </w:t>
      </w:r>
      <w:r>
        <w:t>à</w:t>
      </w:r>
      <w:r w:rsidRPr="002C4077">
        <w:t xml:space="preserve"> </w:t>
      </w:r>
      <w:r>
        <w:t>celle</w:t>
      </w:r>
      <w:r w:rsidRPr="002C4077">
        <w:t xml:space="preserve"> </w:t>
      </w:r>
      <w:r>
        <w:t>de</w:t>
      </w:r>
      <w:r w:rsidRPr="002C4077">
        <w:t xml:space="preserve"> </w:t>
      </w:r>
      <w:r>
        <w:t>Jona</w:t>
      </w:r>
      <w:r w:rsidR="004377BC">
        <w:t>s</w:t>
      </w:r>
      <w:r w:rsidR="004377BC">
        <w:rPr>
          <w:rStyle w:val="Appelnotedebasdep"/>
        </w:rPr>
        <w:footnoteReference w:id="252"/>
      </w:r>
      <w:r w:rsidR="00B546AF">
        <w:t> :</w:t>
      </w:r>
      <w:r w:rsidRPr="002C4077">
        <w:t xml:space="preserve"> </w:t>
      </w:r>
      <w:r w:rsidR="00B546AF">
        <w:t>« </w:t>
      </w:r>
      <w:r>
        <w:t>Savoir</w:t>
      </w:r>
      <w:r w:rsidRPr="002C4077">
        <w:t xml:space="preserve"> </w:t>
      </w:r>
      <w:r>
        <w:t>distinguer</w:t>
      </w:r>
      <w:r w:rsidRPr="002C4077">
        <w:t xml:space="preserve"> </w:t>
      </w:r>
      <w:r>
        <w:t>sa</w:t>
      </w:r>
      <w:r w:rsidRPr="002C4077">
        <w:t xml:space="preserve"> </w:t>
      </w:r>
      <w:r>
        <w:t>main</w:t>
      </w:r>
      <w:r w:rsidRPr="002C4077">
        <w:t xml:space="preserve"> </w:t>
      </w:r>
      <w:r>
        <w:t>droite</w:t>
      </w:r>
      <w:r w:rsidRPr="002C4077">
        <w:t xml:space="preserve"> </w:t>
      </w:r>
      <w:r>
        <w:t>de</w:t>
      </w:r>
      <w:r w:rsidRPr="002C4077">
        <w:t xml:space="preserve"> </w:t>
      </w:r>
      <w:r>
        <w:t>sa</w:t>
      </w:r>
      <w:r w:rsidRPr="002C4077">
        <w:t xml:space="preserve"> </w:t>
      </w:r>
      <w:r>
        <w:t>main</w:t>
      </w:r>
      <w:r w:rsidRPr="002C4077">
        <w:t xml:space="preserve"> </w:t>
      </w:r>
      <w:r>
        <w:t>gauche</w:t>
      </w:r>
      <w:r w:rsidR="00B546AF">
        <w:t> »</w:t>
      </w:r>
      <w:r>
        <w:t>.</w:t>
      </w:r>
      <w:r w:rsidRPr="002C4077">
        <w:t xml:space="preserve"> </w:t>
      </w:r>
      <w:r>
        <w:t>Ils</w:t>
      </w:r>
      <w:r w:rsidRPr="002C4077">
        <w:t xml:space="preserve"> </w:t>
      </w:r>
      <w:r>
        <w:t>désignent</w:t>
      </w:r>
      <w:r w:rsidRPr="002C4077">
        <w:t xml:space="preserve"> </w:t>
      </w:r>
      <w:r>
        <w:t>donc</w:t>
      </w:r>
      <w:r w:rsidRPr="002C4077">
        <w:t xml:space="preserve"> </w:t>
      </w:r>
      <w:r>
        <w:t>l’âge</w:t>
      </w:r>
      <w:r w:rsidRPr="002C4077">
        <w:t xml:space="preserve"> </w:t>
      </w:r>
      <w:r>
        <w:t>de</w:t>
      </w:r>
      <w:r w:rsidRPr="002C4077">
        <w:t xml:space="preserve"> </w:t>
      </w:r>
      <w:r>
        <w:t>raison</w:t>
      </w:r>
      <w:r w:rsidR="00B546AF">
        <w:t> ;</w:t>
      </w:r>
      <w:r w:rsidRPr="002C4077">
        <w:t xml:space="preserve"> </w:t>
      </w:r>
      <w:r>
        <w:t>par</w:t>
      </w:r>
      <w:r w:rsidRPr="002C4077">
        <w:t xml:space="preserve"> </w:t>
      </w:r>
      <w:r>
        <w:t>conséquent,</w:t>
      </w:r>
      <w:r w:rsidRPr="002C4077">
        <w:t xml:space="preserve"> </w:t>
      </w:r>
      <w:r>
        <w:t>la</w:t>
      </w:r>
      <w:r w:rsidRPr="002C4077">
        <w:t xml:space="preserve"> </w:t>
      </w:r>
      <w:r>
        <w:t>partie</w:t>
      </w:r>
      <w:r w:rsidRPr="002C4077">
        <w:t xml:space="preserve"> </w:t>
      </w:r>
      <w:r>
        <w:t>de</w:t>
      </w:r>
      <w:r w:rsidRPr="002C4077">
        <w:t xml:space="preserve"> </w:t>
      </w:r>
      <w:r>
        <w:t>l’oracle</w:t>
      </w:r>
      <w:r w:rsidRPr="002C4077">
        <w:t xml:space="preserve"> </w:t>
      </w:r>
      <w:r>
        <w:t>qui</w:t>
      </w:r>
      <w:r w:rsidRPr="002C4077">
        <w:t xml:space="preserve"> </w:t>
      </w:r>
      <w:r>
        <w:t>concernait</w:t>
      </w:r>
      <w:r w:rsidRPr="002C4077">
        <w:t xml:space="preserve"> </w:t>
      </w:r>
      <w:r>
        <w:t>le</w:t>
      </w:r>
      <w:r w:rsidRPr="002C4077">
        <w:t xml:space="preserve"> </w:t>
      </w:r>
      <w:r>
        <w:t>renversement</w:t>
      </w:r>
      <w:r w:rsidRPr="002C4077">
        <w:t xml:space="preserve"> </w:t>
      </w:r>
      <w:r>
        <w:t>intégral</w:t>
      </w:r>
      <w:r w:rsidRPr="002C4077">
        <w:t xml:space="preserve"> </w:t>
      </w:r>
      <w:r>
        <w:t>des</w:t>
      </w:r>
      <w:r w:rsidRPr="002C4077">
        <w:t xml:space="preserve"> </w:t>
      </w:r>
      <w:r>
        <w:t>projets</w:t>
      </w:r>
      <w:r w:rsidRPr="002C4077">
        <w:t xml:space="preserve"> </w:t>
      </w:r>
      <w:r>
        <w:t>de</w:t>
      </w:r>
      <w:r w:rsidRPr="002C4077">
        <w:t xml:space="preserve"> </w:t>
      </w:r>
      <w:r>
        <w:t>Rasin</w:t>
      </w:r>
      <w:r w:rsidRPr="002C4077">
        <w:t xml:space="preserve"> </w:t>
      </w:r>
      <w:r>
        <w:t>et</w:t>
      </w:r>
      <w:r w:rsidRPr="002C4077">
        <w:t xml:space="preserve"> </w:t>
      </w:r>
      <w:r>
        <w:t>de</w:t>
      </w:r>
      <w:r w:rsidRPr="002C4077">
        <w:t xml:space="preserve"> </w:t>
      </w:r>
      <w:r>
        <w:t>Phacée,</w:t>
      </w:r>
      <w:r w:rsidRPr="002C4077">
        <w:t xml:space="preserve"> </w:t>
      </w:r>
      <w:r>
        <w:t>devait</w:t>
      </w:r>
      <w:r w:rsidRPr="002C4077">
        <w:t xml:space="preserve"> </w:t>
      </w:r>
      <w:r>
        <w:t>s’accomplir</w:t>
      </w:r>
      <w:r w:rsidRPr="002C4077">
        <w:t xml:space="preserve"> </w:t>
      </w:r>
      <w:r>
        <w:t>dans</w:t>
      </w:r>
      <w:r w:rsidRPr="002C4077">
        <w:t xml:space="preserve"> </w:t>
      </w:r>
      <w:r>
        <w:t>l’intervalle</w:t>
      </w:r>
      <w:r w:rsidRPr="002C4077">
        <w:t xml:space="preserve"> </w:t>
      </w:r>
      <w:r>
        <w:t>de</w:t>
      </w:r>
      <w:r w:rsidRPr="002C4077">
        <w:t xml:space="preserve"> </w:t>
      </w:r>
      <w:r>
        <w:t>quelques</w:t>
      </w:r>
      <w:r w:rsidRPr="002C4077">
        <w:t xml:space="preserve"> </w:t>
      </w:r>
      <w:r>
        <w:t>années</w:t>
      </w:r>
      <w:r w:rsidR="00004E88">
        <w:rPr>
          <w:rStyle w:val="Appelnotedebasdep"/>
        </w:rPr>
        <w:footnoteReference w:id="253"/>
      </w:r>
      <w:r w:rsidR="00004E88">
        <w:t>.</w:t>
      </w:r>
      <w:r w:rsidRPr="002C4077">
        <w:t xml:space="preserve"> </w:t>
      </w:r>
    </w:p>
    <w:p w:rsidR="000A7AAB" w:rsidRPr="000721C4" w:rsidRDefault="00B546AF" w:rsidP="000A7AAB">
      <w:r>
        <w:lastRenderedPageBreak/>
        <w:t>« </w:t>
      </w:r>
      <w:r w:rsidR="000A7AAB">
        <w:t>Manger</w:t>
      </w:r>
      <w:r w:rsidR="000A7AAB" w:rsidRPr="002C4077">
        <w:t xml:space="preserve"> </w:t>
      </w:r>
      <w:r w:rsidR="000A7AAB">
        <w:t>de</w:t>
      </w:r>
      <w:r w:rsidR="000A7AAB" w:rsidRPr="002C4077">
        <w:t xml:space="preserve"> </w:t>
      </w:r>
      <w:r w:rsidR="000A7AAB">
        <w:t>la</w:t>
      </w:r>
      <w:r w:rsidR="000A7AAB" w:rsidRPr="002C4077">
        <w:t xml:space="preserve"> </w:t>
      </w:r>
      <w:r w:rsidR="000A7AAB">
        <w:t>crème</w:t>
      </w:r>
      <w:r w:rsidR="000A7AAB" w:rsidRPr="002C4077">
        <w:t xml:space="preserve"> </w:t>
      </w:r>
      <w:r w:rsidR="000A7AAB">
        <w:t>et</w:t>
      </w:r>
      <w:r w:rsidR="000A7AAB" w:rsidRPr="002C4077">
        <w:t xml:space="preserve"> </w:t>
      </w:r>
      <w:r w:rsidR="000A7AAB">
        <w:t>du</w:t>
      </w:r>
      <w:r w:rsidR="000A7AAB" w:rsidRPr="002C4077">
        <w:t xml:space="preserve"> </w:t>
      </w:r>
      <w:r w:rsidR="000A7AAB">
        <w:t>miel</w:t>
      </w:r>
      <w:r>
        <w:t> »</w:t>
      </w:r>
      <w:r w:rsidR="000A7AAB" w:rsidRPr="002C4077">
        <w:t xml:space="preserve"> </w:t>
      </w:r>
      <w:r w:rsidR="000A7AAB">
        <w:t>n’est</w:t>
      </w:r>
      <w:r w:rsidR="000A7AAB" w:rsidRPr="002C4077">
        <w:t xml:space="preserve"> </w:t>
      </w:r>
      <w:r w:rsidR="000A7AAB">
        <w:t>pas,</w:t>
      </w:r>
      <w:r w:rsidR="000A7AAB" w:rsidRPr="002C4077">
        <w:t xml:space="preserve"> </w:t>
      </w:r>
      <w:r w:rsidR="000A7AAB">
        <w:t>comme</w:t>
      </w:r>
      <w:r w:rsidR="000A7AAB" w:rsidRPr="002C4077">
        <w:t xml:space="preserve"> </w:t>
      </w:r>
      <w:r w:rsidR="000A7AAB">
        <w:t>on</w:t>
      </w:r>
      <w:r w:rsidR="000A7AAB" w:rsidRPr="002C4077">
        <w:t xml:space="preserve"> </w:t>
      </w:r>
      <w:r w:rsidR="000A7AAB">
        <w:t>pourrait</w:t>
      </w:r>
      <w:r w:rsidR="000A7AAB" w:rsidRPr="002C4077">
        <w:t xml:space="preserve"> </w:t>
      </w:r>
      <w:r w:rsidR="000A7AAB">
        <w:t>le</w:t>
      </w:r>
      <w:r w:rsidR="000A7AAB" w:rsidRPr="002C4077">
        <w:t xml:space="preserve"> </w:t>
      </w:r>
      <w:r w:rsidR="000A7AAB">
        <w:t>croire</w:t>
      </w:r>
      <w:r w:rsidR="000A7AAB" w:rsidRPr="002C4077">
        <w:t xml:space="preserve"> </w:t>
      </w:r>
      <w:r w:rsidR="000A7AAB">
        <w:t>tout</w:t>
      </w:r>
      <w:r w:rsidR="000A7AAB" w:rsidRPr="002C4077">
        <w:t xml:space="preserve"> </w:t>
      </w:r>
      <w:r w:rsidR="000A7AAB">
        <w:t>d’abord,</w:t>
      </w:r>
      <w:r w:rsidR="000A7AAB" w:rsidRPr="002C4077">
        <w:t xml:space="preserve"> </w:t>
      </w:r>
      <w:r w:rsidR="000A7AAB">
        <w:t>une</w:t>
      </w:r>
      <w:r w:rsidR="000A7AAB" w:rsidRPr="002C4077">
        <w:t xml:space="preserve"> </w:t>
      </w:r>
      <w:r w:rsidR="000A7AAB">
        <w:t>image</w:t>
      </w:r>
      <w:r w:rsidR="000A7AAB" w:rsidRPr="002C4077">
        <w:t xml:space="preserve"> </w:t>
      </w:r>
      <w:r w:rsidR="000A7AAB">
        <w:t>d’abondance</w:t>
      </w:r>
      <w:r w:rsidR="000A7AAB" w:rsidRPr="002C4077">
        <w:t xml:space="preserve"> </w:t>
      </w:r>
      <w:r w:rsidR="000A7AAB">
        <w:t>et</w:t>
      </w:r>
      <w:r w:rsidR="000A7AAB" w:rsidRPr="002C4077">
        <w:t xml:space="preserve"> </w:t>
      </w:r>
      <w:r w:rsidR="000A7AAB">
        <w:t>de</w:t>
      </w:r>
      <w:r w:rsidR="000A7AAB" w:rsidRPr="002C4077">
        <w:t xml:space="preserve"> </w:t>
      </w:r>
      <w:r w:rsidR="000A7AAB">
        <w:t>prospérité</w:t>
      </w:r>
      <w:r>
        <w:t> :</w:t>
      </w:r>
      <w:r w:rsidR="000A7AAB" w:rsidRPr="002C4077">
        <w:t xml:space="preserve"> </w:t>
      </w:r>
      <w:r w:rsidR="000A7AAB">
        <w:t>tout</w:t>
      </w:r>
      <w:r w:rsidR="000A7AAB" w:rsidRPr="002C4077">
        <w:t xml:space="preserve"> </w:t>
      </w:r>
      <w:r w:rsidR="000A7AAB">
        <w:t>au</w:t>
      </w:r>
      <w:r w:rsidR="000A7AAB" w:rsidRPr="002C4077">
        <w:t xml:space="preserve"> </w:t>
      </w:r>
      <w:r w:rsidR="000A7AAB">
        <w:t>contraire,</w:t>
      </w:r>
      <w:r w:rsidR="000A7AAB" w:rsidRPr="002C4077">
        <w:t xml:space="preserve"> </w:t>
      </w:r>
      <w:r w:rsidR="000A7AAB">
        <w:t>ainsi</w:t>
      </w:r>
      <w:r w:rsidR="000A7AAB" w:rsidRPr="002C4077">
        <w:t xml:space="preserve"> </w:t>
      </w:r>
      <w:r w:rsidR="000A7AAB">
        <w:t>que</w:t>
      </w:r>
      <w:r w:rsidR="000A7AAB" w:rsidRPr="002C4077">
        <w:t xml:space="preserve"> </w:t>
      </w:r>
      <w:r w:rsidR="000A7AAB">
        <w:t>le</w:t>
      </w:r>
      <w:r w:rsidR="000A7AAB" w:rsidRPr="002C4077">
        <w:t xml:space="preserve"> </w:t>
      </w:r>
      <w:r w:rsidR="000A7AAB">
        <w:t>montre</w:t>
      </w:r>
      <w:r w:rsidR="000A7AAB" w:rsidRPr="002C4077">
        <w:t xml:space="preserve"> </w:t>
      </w:r>
      <w:r w:rsidR="000A7AAB">
        <w:t>la</w:t>
      </w:r>
      <w:r w:rsidR="000A7AAB" w:rsidRPr="002C4077">
        <w:t xml:space="preserve"> </w:t>
      </w:r>
      <w:r w:rsidR="000A7AAB">
        <w:t>suite</w:t>
      </w:r>
      <w:r w:rsidR="000A7AAB" w:rsidRPr="002C4077">
        <w:t xml:space="preserve"> </w:t>
      </w:r>
      <w:r w:rsidR="000A7AAB">
        <w:t>de</w:t>
      </w:r>
      <w:r w:rsidR="000A7AAB" w:rsidRPr="002C4077">
        <w:t xml:space="preserve"> </w:t>
      </w:r>
      <w:r w:rsidR="000A7AAB">
        <w:t>la</w:t>
      </w:r>
      <w:r w:rsidR="000A7AAB" w:rsidRPr="002C4077">
        <w:t xml:space="preserve"> </w:t>
      </w:r>
      <w:r w:rsidR="000A7AAB">
        <w:t>prophétie.</w:t>
      </w:r>
      <w:r w:rsidR="000A7AAB" w:rsidRPr="002C4077">
        <w:t xml:space="preserve"> </w:t>
      </w:r>
      <w:r w:rsidR="000A7AAB">
        <w:t>Aux</w:t>
      </w:r>
      <w:r w:rsidR="000A7AAB" w:rsidRPr="002C4077">
        <w:t xml:space="preserve"> </w:t>
      </w:r>
      <w:r w:rsidR="000A7AAB">
        <w:t>versets</w:t>
      </w:r>
      <w:r w:rsidR="000A7AAB" w:rsidRPr="002C4077">
        <w:t xml:space="preserve"> </w:t>
      </w:r>
      <w:r w:rsidR="000A7AAB">
        <w:t>21</w:t>
      </w:r>
      <w:r w:rsidR="000A7AAB" w:rsidRPr="002C4077">
        <w:t xml:space="preserve"> </w:t>
      </w:r>
      <w:r w:rsidR="000A7AAB">
        <w:t>et</w:t>
      </w:r>
      <w:r w:rsidR="000A7AAB" w:rsidRPr="002C4077">
        <w:t xml:space="preserve"> </w:t>
      </w:r>
      <w:r w:rsidR="000A7AAB">
        <w:t>22,</w:t>
      </w:r>
      <w:r w:rsidR="000A7AAB" w:rsidRPr="002C4077">
        <w:t xml:space="preserve"> </w:t>
      </w:r>
      <w:r w:rsidR="000A7AAB">
        <w:t>après</w:t>
      </w:r>
      <w:r w:rsidR="000A7AAB" w:rsidRPr="002C4077">
        <w:t xml:space="preserve"> </w:t>
      </w:r>
      <w:r w:rsidR="000A7AAB">
        <w:t>que</w:t>
      </w:r>
      <w:r w:rsidR="000A7AAB" w:rsidRPr="002C4077">
        <w:t xml:space="preserve"> </w:t>
      </w:r>
      <w:r w:rsidR="000A7AAB">
        <w:t>les</w:t>
      </w:r>
      <w:r w:rsidR="000A7AAB" w:rsidRPr="002C4077">
        <w:t xml:space="preserve"> </w:t>
      </w:r>
      <w:r w:rsidR="000A7AAB">
        <w:t>phalanges</w:t>
      </w:r>
      <w:r w:rsidR="000A7AAB" w:rsidRPr="002C4077">
        <w:t xml:space="preserve"> </w:t>
      </w:r>
      <w:r w:rsidR="000A7AAB">
        <w:t>assyriennes</w:t>
      </w:r>
      <w:r w:rsidR="000A7AAB" w:rsidRPr="002C4077">
        <w:t xml:space="preserve"> </w:t>
      </w:r>
      <w:r w:rsidR="000A7AAB">
        <w:t>et</w:t>
      </w:r>
      <w:r w:rsidR="000A7AAB" w:rsidRPr="002C4077">
        <w:t xml:space="preserve"> </w:t>
      </w:r>
      <w:r w:rsidR="000A7AAB">
        <w:t>égyptiennes</w:t>
      </w:r>
      <w:r w:rsidR="000A7AAB" w:rsidRPr="002C4077">
        <w:t xml:space="preserve"> </w:t>
      </w:r>
      <w:r w:rsidR="000A7AAB">
        <w:t>auront</w:t>
      </w:r>
      <w:r w:rsidR="000A7AAB" w:rsidRPr="002C4077">
        <w:t xml:space="preserve"> </w:t>
      </w:r>
      <w:r w:rsidR="000A7AAB">
        <w:t>passé</w:t>
      </w:r>
      <w:r w:rsidR="000A7AAB" w:rsidRPr="002C4077">
        <w:t xml:space="preserve"> </w:t>
      </w:r>
      <w:r w:rsidR="000A7AAB">
        <w:t>sur</w:t>
      </w:r>
      <w:r w:rsidR="000A7AAB" w:rsidRPr="002C4077">
        <w:t xml:space="preserve"> </w:t>
      </w:r>
      <w:r w:rsidR="000A7AAB">
        <w:t>la</w:t>
      </w:r>
      <w:r w:rsidR="000A7AAB" w:rsidRPr="002C4077">
        <w:t xml:space="preserve"> </w:t>
      </w:r>
      <w:r w:rsidR="000A7AAB">
        <w:t>Palestine,</w:t>
      </w:r>
      <w:r w:rsidR="000A7AAB" w:rsidRPr="002C4077">
        <w:t xml:space="preserve"> </w:t>
      </w:r>
      <w:r w:rsidR="000A7AAB">
        <w:t>semblables</w:t>
      </w:r>
      <w:r w:rsidR="000A7AAB" w:rsidRPr="002C4077">
        <w:t xml:space="preserve"> </w:t>
      </w:r>
      <w:r w:rsidR="000A7AAB">
        <w:t>à</w:t>
      </w:r>
      <w:r w:rsidR="000A7AAB" w:rsidRPr="002C4077">
        <w:t xml:space="preserve"> </w:t>
      </w:r>
      <w:r w:rsidR="000A7AAB">
        <w:t>un</w:t>
      </w:r>
      <w:r w:rsidR="000A7AAB" w:rsidRPr="002C4077">
        <w:t xml:space="preserve"> </w:t>
      </w:r>
      <w:r w:rsidR="000A7AAB">
        <w:t>torrent</w:t>
      </w:r>
      <w:r w:rsidR="000A7AAB" w:rsidRPr="002C4077">
        <w:t xml:space="preserve"> </w:t>
      </w:r>
      <w:r w:rsidR="000A7AAB">
        <w:t>dévastateur,</w:t>
      </w:r>
      <w:r w:rsidR="000A7AAB" w:rsidRPr="002C4077">
        <w:t xml:space="preserve"> </w:t>
      </w:r>
      <w:r w:rsidR="000A7AAB">
        <w:t>nous</w:t>
      </w:r>
      <w:r w:rsidR="000A7AAB" w:rsidRPr="002C4077">
        <w:t xml:space="preserve"> </w:t>
      </w:r>
      <w:r w:rsidR="000A7AAB">
        <w:t>voyons</w:t>
      </w:r>
      <w:r w:rsidR="000A7AAB" w:rsidRPr="002C4077">
        <w:t xml:space="preserve"> </w:t>
      </w:r>
      <w:r w:rsidR="000A7AAB">
        <w:t>les</w:t>
      </w:r>
      <w:r w:rsidR="000A7AAB" w:rsidRPr="002C4077">
        <w:t xml:space="preserve"> </w:t>
      </w:r>
      <w:r w:rsidR="000A7AAB">
        <w:t>rares</w:t>
      </w:r>
      <w:r w:rsidR="000A7AAB" w:rsidRPr="002C4077">
        <w:t xml:space="preserve"> </w:t>
      </w:r>
      <w:r w:rsidR="000A7AAB">
        <w:t>habitants</w:t>
      </w:r>
      <w:r w:rsidR="000A7AAB" w:rsidRPr="002C4077">
        <w:t xml:space="preserve"> </w:t>
      </w:r>
      <w:r w:rsidR="000A7AAB">
        <w:t>qui</w:t>
      </w:r>
      <w:r w:rsidR="000A7AAB" w:rsidRPr="002C4077">
        <w:t xml:space="preserve"> </w:t>
      </w:r>
      <w:r w:rsidR="000A7AAB">
        <w:t>auront</w:t>
      </w:r>
      <w:r w:rsidR="000A7AAB" w:rsidRPr="002C4077">
        <w:t xml:space="preserve"> </w:t>
      </w:r>
      <w:r w:rsidR="000A7AAB">
        <w:t>échappé</w:t>
      </w:r>
      <w:r w:rsidR="000A7AAB" w:rsidRPr="002C4077">
        <w:t xml:space="preserve"> </w:t>
      </w:r>
      <w:r w:rsidR="000A7AAB">
        <w:t>au</w:t>
      </w:r>
      <w:r w:rsidR="000A7AAB" w:rsidRPr="002C4077">
        <w:t xml:space="preserve"> </w:t>
      </w:r>
      <w:r w:rsidR="000A7AAB">
        <w:t>carnage</w:t>
      </w:r>
      <w:r w:rsidR="000A7AAB" w:rsidRPr="002C4077">
        <w:t xml:space="preserve"> </w:t>
      </w:r>
      <w:r w:rsidR="000A7AAB">
        <w:t>réduits</w:t>
      </w:r>
      <w:r w:rsidR="000A7AAB" w:rsidRPr="002C4077">
        <w:t xml:space="preserve"> </w:t>
      </w:r>
      <w:r w:rsidR="000A7AAB">
        <w:t>à</w:t>
      </w:r>
      <w:r w:rsidR="000A7AAB" w:rsidRPr="002C4077">
        <w:t xml:space="preserve"> </w:t>
      </w:r>
      <w:r w:rsidR="000A7AAB">
        <w:t>la</w:t>
      </w:r>
      <w:r w:rsidR="000A7AAB" w:rsidRPr="002C4077">
        <w:t xml:space="preserve"> </w:t>
      </w:r>
      <w:r w:rsidR="000A7AAB">
        <w:t>vie</w:t>
      </w:r>
      <w:r w:rsidR="000A7AAB" w:rsidRPr="002C4077">
        <w:t xml:space="preserve"> </w:t>
      </w:r>
      <w:r w:rsidR="000A7AAB">
        <w:t>nomade,</w:t>
      </w:r>
      <w:r w:rsidR="000A7AAB" w:rsidRPr="002C4077">
        <w:t xml:space="preserve"> </w:t>
      </w:r>
      <w:r w:rsidR="000A7AAB">
        <w:t>et</w:t>
      </w:r>
      <w:r w:rsidR="000A7AAB" w:rsidRPr="002C4077">
        <w:t xml:space="preserve"> </w:t>
      </w:r>
      <w:r w:rsidR="000A7AAB">
        <w:t>n’ayant</w:t>
      </w:r>
      <w:r w:rsidR="000A7AAB" w:rsidRPr="002C4077">
        <w:t xml:space="preserve"> </w:t>
      </w:r>
      <w:r w:rsidR="000A7AAB">
        <w:t>pour</w:t>
      </w:r>
      <w:r w:rsidR="000A7AAB" w:rsidRPr="002C4077">
        <w:t xml:space="preserve"> </w:t>
      </w:r>
      <w:r w:rsidR="000A7AAB">
        <w:t>toute</w:t>
      </w:r>
      <w:r w:rsidR="000A7AAB" w:rsidRPr="002C4077">
        <w:t xml:space="preserve"> </w:t>
      </w:r>
      <w:r w:rsidR="000A7AAB">
        <w:t>nourriture</w:t>
      </w:r>
      <w:r w:rsidR="000A7AAB" w:rsidRPr="002C4077">
        <w:t xml:space="preserve"> </w:t>
      </w:r>
      <w:r w:rsidR="000A7AAB">
        <w:t>que</w:t>
      </w:r>
      <w:r w:rsidR="000A7AAB" w:rsidRPr="002C4077">
        <w:t xml:space="preserve"> </w:t>
      </w:r>
      <w:r w:rsidR="000A7AAB">
        <w:t>le</w:t>
      </w:r>
      <w:r w:rsidR="000A7AAB" w:rsidRPr="002C4077">
        <w:t xml:space="preserve"> </w:t>
      </w:r>
      <w:r w:rsidR="000A7AAB">
        <w:t>lait</w:t>
      </w:r>
      <w:r w:rsidR="000A7AAB" w:rsidRPr="002C4077">
        <w:t xml:space="preserve"> </w:t>
      </w:r>
      <w:r w:rsidR="000A7AAB">
        <w:t>de</w:t>
      </w:r>
      <w:r w:rsidR="000A7AAB" w:rsidRPr="002C4077">
        <w:t xml:space="preserve"> </w:t>
      </w:r>
      <w:r w:rsidR="000A7AAB">
        <w:t>leurs</w:t>
      </w:r>
      <w:r w:rsidR="000A7AAB" w:rsidRPr="002C4077">
        <w:t xml:space="preserve"> </w:t>
      </w:r>
      <w:r w:rsidR="000A7AAB">
        <w:t>troupeaux</w:t>
      </w:r>
      <w:r w:rsidR="000A7AAB" w:rsidRPr="002C4077">
        <w:t xml:space="preserve"> </w:t>
      </w:r>
      <w:r w:rsidR="000A7AAB">
        <w:t>et</w:t>
      </w:r>
      <w:r w:rsidR="000A7AAB" w:rsidRPr="002C4077">
        <w:t xml:space="preserve"> </w:t>
      </w:r>
      <w:r w:rsidR="000A7AAB">
        <w:t>le</w:t>
      </w:r>
      <w:r w:rsidR="000A7AAB" w:rsidRPr="002C4077">
        <w:t xml:space="preserve"> </w:t>
      </w:r>
      <w:r w:rsidR="000A7AAB">
        <w:t>miel</w:t>
      </w:r>
      <w:r w:rsidR="000A7AAB" w:rsidRPr="002C4077">
        <w:t xml:space="preserve"> </w:t>
      </w:r>
      <w:r w:rsidR="000A7AAB">
        <w:t>sauvage</w:t>
      </w:r>
      <w:r w:rsidR="000A7AAB" w:rsidRPr="002C4077">
        <w:t xml:space="preserve"> </w:t>
      </w:r>
      <w:r w:rsidR="000A7AAB">
        <w:t>qu’on</w:t>
      </w:r>
      <w:r w:rsidR="000A7AAB" w:rsidRPr="002C4077">
        <w:t xml:space="preserve"> </w:t>
      </w:r>
      <w:r w:rsidR="000A7AAB">
        <w:t>trouve</w:t>
      </w:r>
      <w:r w:rsidR="000A7AAB" w:rsidRPr="002C4077">
        <w:t xml:space="preserve"> </w:t>
      </w:r>
      <w:r w:rsidR="000A7AAB">
        <w:t>à</w:t>
      </w:r>
      <w:r w:rsidR="000A7AAB" w:rsidRPr="002C4077">
        <w:t xml:space="preserve"> </w:t>
      </w:r>
      <w:r w:rsidR="000A7AAB">
        <w:t>chaque</w:t>
      </w:r>
      <w:r w:rsidR="000A7AAB" w:rsidRPr="002C4077">
        <w:t xml:space="preserve"> </w:t>
      </w:r>
      <w:r w:rsidR="000A7AAB">
        <w:t>pas</w:t>
      </w:r>
      <w:r w:rsidR="000A7AAB" w:rsidRPr="002C4077">
        <w:t xml:space="preserve"> </w:t>
      </w:r>
      <w:r w:rsidR="000A7AAB">
        <w:t>dans</w:t>
      </w:r>
      <w:r w:rsidR="000A7AAB" w:rsidRPr="002C4077">
        <w:t xml:space="preserve"> </w:t>
      </w:r>
      <w:r w:rsidR="000A7AAB">
        <w:t>la</w:t>
      </w:r>
      <w:r w:rsidR="000A7AAB" w:rsidRPr="002C4077">
        <w:t xml:space="preserve"> </w:t>
      </w:r>
      <w:r w:rsidR="000A7AAB">
        <w:t>Terre</w:t>
      </w:r>
      <w:r w:rsidR="000A7AAB" w:rsidRPr="002C4077">
        <w:t xml:space="preserve"> </w:t>
      </w:r>
      <w:r w:rsidR="000A7AAB">
        <w:t>promise</w:t>
      </w:r>
      <w:r>
        <w:t> :</w:t>
      </w:r>
      <w:r w:rsidR="000A7AAB" w:rsidRPr="002C4077">
        <w:t xml:space="preserve"> </w:t>
      </w:r>
      <w:r w:rsidR="00623D96" w:rsidRPr="000A34B5">
        <w:rPr>
          <w:rStyle w:val="italicus"/>
        </w:rPr>
        <w:t>Bútyrum</w:t>
      </w:r>
      <w:r w:rsidR="000A7AAB" w:rsidRPr="002C4077">
        <w:t xml:space="preserve"> </w:t>
      </w:r>
      <w:r w:rsidR="000A7AAB" w:rsidRPr="000A34B5">
        <w:rPr>
          <w:rStyle w:val="italicus"/>
        </w:rPr>
        <w:t>enim</w:t>
      </w:r>
      <w:r w:rsidR="000A7AAB" w:rsidRPr="002C4077">
        <w:t xml:space="preserve"> </w:t>
      </w:r>
      <w:r w:rsidR="000A7AAB" w:rsidRPr="000A34B5">
        <w:rPr>
          <w:rStyle w:val="italicus"/>
        </w:rPr>
        <w:t>et</w:t>
      </w:r>
      <w:r w:rsidR="000A7AAB" w:rsidRPr="002C4077">
        <w:t xml:space="preserve"> </w:t>
      </w:r>
      <w:r w:rsidR="000A7AAB" w:rsidRPr="000A34B5">
        <w:rPr>
          <w:rStyle w:val="italicus"/>
        </w:rPr>
        <w:t>mel</w:t>
      </w:r>
      <w:r w:rsidR="000A7AAB" w:rsidRPr="002C4077">
        <w:t xml:space="preserve"> </w:t>
      </w:r>
      <w:r w:rsidR="000A7AAB" w:rsidRPr="000A34B5">
        <w:rPr>
          <w:rStyle w:val="italicus"/>
        </w:rPr>
        <w:t>man</w:t>
      </w:r>
      <w:r w:rsidR="003B53FD" w:rsidRPr="000A34B5">
        <w:rPr>
          <w:rStyle w:val="italicus"/>
        </w:rPr>
        <w:t>duc</w:t>
      </w:r>
      <w:r w:rsidR="003B53FD">
        <w:rPr>
          <w:rStyle w:val="italicus"/>
        </w:rPr>
        <w:t>á</w:t>
      </w:r>
      <w:r w:rsidR="003B53FD" w:rsidRPr="000A34B5">
        <w:rPr>
          <w:rStyle w:val="italicus"/>
        </w:rPr>
        <w:t>bit</w:t>
      </w:r>
      <w:r w:rsidR="000A7AAB" w:rsidRPr="002C4077">
        <w:t xml:space="preserve"> </w:t>
      </w:r>
      <w:r w:rsidR="000A7AAB" w:rsidRPr="000A34B5">
        <w:rPr>
          <w:rStyle w:val="italicus"/>
        </w:rPr>
        <w:t>omnis</w:t>
      </w:r>
      <w:r w:rsidR="000A7AAB" w:rsidRPr="002C4077">
        <w:t xml:space="preserve"> </w:t>
      </w:r>
      <w:r w:rsidR="000A7AAB" w:rsidRPr="000A34B5">
        <w:rPr>
          <w:rStyle w:val="italicus"/>
        </w:rPr>
        <w:t>qui</w:t>
      </w:r>
      <w:r w:rsidR="000A7AAB" w:rsidRPr="002C4077">
        <w:t xml:space="preserve"> </w:t>
      </w:r>
      <w:r w:rsidR="00623D96" w:rsidRPr="000A34B5">
        <w:rPr>
          <w:rStyle w:val="italicus"/>
        </w:rPr>
        <w:t>relíctus</w:t>
      </w:r>
      <w:r w:rsidR="000A7AAB" w:rsidRPr="002C4077">
        <w:t xml:space="preserve"> </w:t>
      </w:r>
      <w:r w:rsidR="000A7AAB" w:rsidRPr="000A34B5">
        <w:rPr>
          <w:rStyle w:val="italicus"/>
        </w:rPr>
        <w:t>f</w:t>
      </w:r>
      <w:r w:rsidR="003B53FD">
        <w:rPr>
          <w:rStyle w:val="italicus"/>
        </w:rPr>
        <w:t>ú</w:t>
      </w:r>
      <w:r w:rsidR="003B53FD" w:rsidRPr="000A34B5">
        <w:rPr>
          <w:rStyle w:val="italicus"/>
        </w:rPr>
        <w:t>erit</w:t>
      </w:r>
      <w:r w:rsidR="000A7AAB" w:rsidRPr="002C4077">
        <w:t xml:space="preserve"> </w:t>
      </w:r>
      <w:r w:rsidR="000A7AAB" w:rsidRPr="000A34B5">
        <w:rPr>
          <w:rStyle w:val="italicus"/>
        </w:rPr>
        <w:t>in</w:t>
      </w:r>
      <w:r w:rsidR="000A7AAB" w:rsidRPr="002C4077">
        <w:t xml:space="preserve"> </w:t>
      </w:r>
      <w:r w:rsidR="000A7AAB" w:rsidRPr="000A34B5">
        <w:rPr>
          <w:rStyle w:val="italicus"/>
        </w:rPr>
        <w:t>m</w:t>
      </w:r>
      <w:r w:rsidR="003B53FD">
        <w:rPr>
          <w:rStyle w:val="italicus"/>
        </w:rPr>
        <w:t>é</w:t>
      </w:r>
      <w:r w:rsidR="003B53FD" w:rsidRPr="000A34B5">
        <w:rPr>
          <w:rStyle w:val="italicus"/>
        </w:rPr>
        <w:t>dio</w:t>
      </w:r>
      <w:r w:rsidR="000A7AAB" w:rsidRPr="002C4077">
        <w:t xml:space="preserve"> </w:t>
      </w:r>
      <w:r w:rsidR="00623D96" w:rsidRPr="000A34B5">
        <w:rPr>
          <w:rStyle w:val="italicus"/>
        </w:rPr>
        <w:t>terræ</w:t>
      </w:r>
      <w:r w:rsidR="000A7AAB" w:rsidRPr="000A34B5">
        <w:rPr>
          <w:rStyle w:val="italicus"/>
        </w:rPr>
        <w:t>.</w:t>
      </w:r>
      <w:r w:rsidR="000A7AAB" w:rsidRPr="002C4077">
        <w:t xml:space="preserve"> </w:t>
      </w:r>
      <w:r w:rsidR="000A7AAB">
        <w:t>De</w:t>
      </w:r>
      <w:r w:rsidR="000A7AAB" w:rsidRPr="002C4077">
        <w:t xml:space="preserve"> </w:t>
      </w:r>
      <w:r w:rsidR="000A7AAB">
        <w:t>part</w:t>
      </w:r>
      <w:r w:rsidR="000A7AAB" w:rsidRPr="002C4077">
        <w:t xml:space="preserve"> </w:t>
      </w:r>
      <w:r w:rsidR="000A7AAB">
        <w:t>et</w:t>
      </w:r>
      <w:r w:rsidR="000A7AAB" w:rsidRPr="002C4077">
        <w:t xml:space="preserve"> </w:t>
      </w:r>
      <w:r w:rsidR="000A7AAB">
        <w:t>d’autre,</w:t>
      </w:r>
      <w:r w:rsidR="000A7AAB" w:rsidRPr="002C4077">
        <w:t xml:space="preserve"> </w:t>
      </w:r>
      <w:r w:rsidR="000A7AAB">
        <w:t>c’est</w:t>
      </w:r>
      <w:r w:rsidR="000A7AAB" w:rsidRPr="002C4077">
        <w:t xml:space="preserve"> </w:t>
      </w:r>
      <w:r w:rsidR="000A7AAB">
        <w:t>donc</w:t>
      </w:r>
      <w:r w:rsidR="000A7AAB" w:rsidRPr="002C4077">
        <w:t xml:space="preserve"> </w:t>
      </w:r>
      <w:r w:rsidR="000A7AAB">
        <w:t>un</w:t>
      </w:r>
      <w:r w:rsidR="000A7AAB" w:rsidRPr="002C4077">
        <w:t xml:space="preserve"> </w:t>
      </w:r>
      <w:r w:rsidR="000A7AAB">
        <w:t>emblème</w:t>
      </w:r>
      <w:r w:rsidR="000A7AAB" w:rsidRPr="002C4077">
        <w:t xml:space="preserve"> </w:t>
      </w:r>
      <w:r w:rsidR="000A7AAB">
        <w:t>de</w:t>
      </w:r>
      <w:r w:rsidR="000A7AAB" w:rsidRPr="002C4077">
        <w:t xml:space="preserve"> </w:t>
      </w:r>
      <w:r w:rsidR="000A7AAB">
        <w:t>ravage</w:t>
      </w:r>
      <w:r w:rsidR="000A7AAB" w:rsidRPr="002C4077">
        <w:t xml:space="preserve"> </w:t>
      </w:r>
      <w:r w:rsidR="000A7AAB">
        <w:t>et</w:t>
      </w:r>
      <w:r w:rsidR="000A7AAB" w:rsidRPr="002C4077">
        <w:t xml:space="preserve"> </w:t>
      </w:r>
      <w:r w:rsidR="000A7AAB">
        <w:t>de</w:t>
      </w:r>
      <w:r w:rsidR="000A7AAB" w:rsidRPr="002C4077">
        <w:t xml:space="preserve"> </w:t>
      </w:r>
      <w:r w:rsidR="000A7AAB">
        <w:t>ruine.</w:t>
      </w:r>
      <w:r w:rsidR="000A7AAB" w:rsidRPr="002C4077">
        <w:t xml:space="preserve"> </w:t>
      </w:r>
      <w:r w:rsidR="000A7AAB">
        <w:t>La</w:t>
      </w:r>
      <w:r w:rsidR="000A7AAB" w:rsidRPr="002C4077">
        <w:t xml:space="preserve"> </w:t>
      </w:r>
      <w:r w:rsidR="000A7AAB">
        <w:t>culture</w:t>
      </w:r>
      <w:r w:rsidR="000A7AAB" w:rsidRPr="002C4077">
        <w:t xml:space="preserve"> </w:t>
      </w:r>
      <w:r w:rsidR="000A7AAB">
        <w:t>ayant</w:t>
      </w:r>
      <w:r w:rsidR="000A7AAB" w:rsidRPr="002C4077">
        <w:t xml:space="preserve"> </w:t>
      </w:r>
      <w:r w:rsidR="000A7AAB">
        <w:t>été</w:t>
      </w:r>
      <w:r w:rsidR="000A7AAB" w:rsidRPr="002C4077">
        <w:t xml:space="preserve"> </w:t>
      </w:r>
      <w:r w:rsidR="000A7AAB">
        <w:t>interrompue</w:t>
      </w:r>
      <w:r w:rsidR="000A7AAB" w:rsidRPr="002C4077">
        <w:t xml:space="preserve"> </w:t>
      </w:r>
      <w:r w:rsidR="000A7AAB">
        <w:t>durant</w:t>
      </w:r>
      <w:r w:rsidR="000A7AAB" w:rsidRPr="002C4077">
        <w:t xml:space="preserve"> </w:t>
      </w:r>
      <w:r w:rsidR="000A7AAB">
        <w:t>la</w:t>
      </w:r>
      <w:r w:rsidR="000A7AAB" w:rsidRPr="002C4077">
        <w:t xml:space="preserve"> </w:t>
      </w:r>
      <w:r w:rsidR="000A7AAB">
        <w:t>guerre,</w:t>
      </w:r>
      <w:r w:rsidR="000A7AAB" w:rsidRPr="002C4077">
        <w:t xml:space="preserve"> </w:t>
      </w:r>
      <w:r w:rsidR="000A7AAB">
        <w:t>les</w:t>
      </w:r>
      <w:r w:rsidR="000A7AAB" w:rsidRPr="002C4077">
        <w:t xml:space="preserve"> </w:t>
      </w:r>
      <w:r w:rsidR="000A7AAB">
        <w:t>Juifs</w:t>
      </w:r>
      <w:r w:rsidR="000A7AAB" w:rsidRPr="002C4077">
        <w:t xml:space="preserve"> </w:t>
      </w:r>
      <w:r w:rsidR="000A7AAB">
        <w:t>survivants</w:t>
      </w:r>
      <w:r w:rsidR="000A7AAB" w:rsidRPr="002C4077">
        <w:t xml:space="preserve"> </w:t>
      </w:r>
      <w:r w:rsidR="000A7AAB">
        <w:t>n’auront</w:t>
      </w:r>
      <w:r w:rsidR="000A7AAB" w:rsidRPr="002C4077">
        <w:t xml:space="preserve"> </w:t>
      </w:r>
      <w:r w:rsidR="000A7AAB">
        <w:t>pour</w:t>
      </w:r>
      <w:r w:rsidR="000A7AAB" w:rsidRPr="002C4077">
        <w:t xml:space="preserve"> </w:t>
      </w:r>
      <w:r w:rsidR="000A7AAB">
        <w:t>se</w:t>
      </w:r>
      <w:r w:rsidR="000A7AAB" w:rsidRPr="002C4077">
        <w:t xml:space="preserve"> </w:t>
      </w:r>
      <w:r w:rsidR="000A7AAB">
        <w:t>nourrir</w:t>
      </w:r>
      <w:r w:rsidR="000A7AAB" w:rsidRPr="002C4077">
        <w:t xml:space="preserve"> </w:t>
      </w:r>
      <w:r w:rsidR="000A7AAB">
        <w:t>que</w:t>
      </w:r>
      <w:r w:rsidR="000A7AAB" w:rsidRPr="002C4077">
        <w:t xml:space="preserve"> </w:t>
      </w:r>
      <w:r w:rsidR="000A7AAB">
        <w:t>les</w:t>
      </w:r>
      <w:r w:rsidR="000A7AAB" w:rsidRPr="002C4077">
        <w:t xml:space="preserve"> </w:t>
      </w:r>
      <w:r w:rsidR="000A7AAB">
        <w:t>produits</w:t>
      </w:r>
      <w:r w:rsidR="000A7AAB" w:rsidRPr="002C4077">
        <w:t xml:space="preserve"> </w:t>
      </w:r>
      <w:r w:rsidR="000A7AAB">
        <w:t>naturels</w:t>
      </w:r>
      <w:r w:rsidR="000A7AAB" w:rsidRPr="002C4077">
        <w:t xml:space="preserve"> </w:t>
      </w:r>
      <w:r w:rsidR="000A7AAB">
        <w:t>et</w:t>
      </w:r>
      <w:r w:rsidR="000A7AAB" w:rsidRPr="002C4077">
        <w:t xml:space="preserve"> </w:t>
      </w:r>
      <w:r w:rsidR="000A7AAB">
        <w:t>spontanés</w:t>
      </w:r>
      <w:r w:rsidR="000A7AAB" w:rsidRPr="002C4077">
        <w:t xml:space="preserve"> </w:t>
      </w:r>
      <w:r w:rsidR="000A7AAB">
        <w:t>du</w:t>
      </w:r>
      <w:r w:rsidR="000A7AAB" w:rsidRPr="002C4077">
        <w:t xml:space="preserve"> </w:t>
      </w:r>
      <w:r w:rsidR="000A7AAB">
        <w:t>pays</w:t>
      </w:r>
      <w:r>
        <w:t> :</w:t>
      </w:r>
      <w:r w:rsidR="000A7AAB" w:rsidRPr="002C4077">
        <w:t xml:space="preserve"> </w:t>
      </w:r>
      <w:r w:rsidR="000A7AAB">
        <w:t>Emmanuel</w:t>
      </w:r>
      <w:r w:rsidR="000A7AAB" w:rsidRPr="002C4077">
        <w:t xml:space="preserve"> </w:t>
      </w:r>
      <w:r w:rsidR="00425C50">
        <w:t>est</w:t>
      </w:r>
      <w:r w:rsidR="000A7AAB" w:rsidRPr="002C4077">
        <w:t xml:space="preserve"> </w:t>
      </w:r>
      <w:r w:rsidR="000A7AAB">
        <w:t>censé</w:t>
      </w:r>
      <w:r w:rsidR="000A7AAB" w:rsidRPr="002C4077">
        <w:t xml:space="preserve"> </w:t>
      </w:r>
      <w:r w:rsidR="000A7AAB">
        <w:t>devoir</w:t>
      </w:r>
      <w:r w:rsidR="000A7AAB" w:rsidRPr="002C4077">
        <w:t xml:space="preserve"> </w:t>
      </w:r>
      <w:r w:rsidR="000A7AAB">
        <w:t>partager</w:t>
      </w:r>
      <w:r w:rsidR="000A7AAB" w:rsidRPr="002C4077">
        <w:t xml:space="preserve"> </w:t>
      </w:r>
      <w:r w:rsidR="000A7AAB">
        <w:t>leurs</w:t>
      </w:r>
      <w:r w:rsidR="000A7AAB" w:rsidRPr="002C4077">
        <w:t xml:space="preserve"> </w:t>
      </w:r>
      <w:r w:rsidR="000A7AAB">
        <w:t>privations.</w:t>
      </w:r>
      <w:r w:rsidR="00C45B47">
        <w:t xml:space="preserve"> {</w:t>
      </w:r>
      <w:r w:rsidR="000721C4">
        <w:t>82</w:t>
      </w:r>
      <w:bookmarkStart w:id="258" w:name="p082"/>
      <w:bookmarkEnd w:id="258"/>
      <w:r w:rsidR="000721C4">
        <w:t xml:space="preserve">} </w:t>
      </w:r>
    </w:p>
    <w:p w:rsidR="000A7AAB" w:rsidRDefault="000A7AAB" w:rsidP="000A7AAB">
      <w:r>
        <w:t>Les</w:t>
      </w:r>
      <w:r w:rsidRPr="002C4077">
        <w:t xml:space="preserve"> </w:t>
      </w:r>
      <w:r>
        <w:t>Pères,</w:t>
      </w:r>
      <w:r w:rsidRPr="002C4077">
        <w:t xml:space="preserve"> </w:t>
      </w:r>
      <w:r>
        <w:t>il</w:t>
      </w:r>
      <w:r w:rsidRPr="002C4077">
        <w:t xml:space="preserve"> </w:t>
      </w:r>
      <w:r w:rsidR="00425C50">
        <w:t>est</w:t>
      </w:r>
      <w:r w:rsidRPr="002C4077">
        <w:t xml:space="preserve"> </w:t>
      </w:r>
      <w:r>
        <w:t>vrai,</w:t>
      </w:r>
      <w:r w:rsidRPr="002C4077">
        <w:t xml:space="preserve"> </w:t>
      </w:r>
      <w:r>
        <w:t>donnent</w:t>
      </w:r>
      <w:r w:rsidRPr="002C4077">
        <w:t xml:space="preserve"> </w:t>
      </w:r>
      <w:r>
        <w:t>à</w:t>
      </w:r>
      <w:r w:rsidRPr="002C4077">
        <w:t xml:space="preserve"> </w:t>
      </w:r>
      <w:r>
        <w:t>ce</w:t>
      </w:r>
      <w:r w:rsidRPr="002C4077">
        <w:t xml:space="preserve"> </w:t>
      </w:r>
      <w:r>
        <w:t>passage</w:t>
      </w:r>
      <w:r w:rsidRPr="002C4077">
        <w:t xml:space="preserve"> </w:t>
      </w:r>
      <w:r>
        <w:t>une</w:t>
      </w:r>
      <w:r w:rsidRPr="002C4077">
        <w:t xml:space="preserve"> </w:t>
      </w:r>
      <w:r>
        <w:t>signification</w:t>
      </w:r>
      <w:r w:rsidRPr="002C4077">
        <w:t xml:space="preserve"> </w:t>
      </w:r>
      <w:r>
        <w:t>beaucoup</w:t>
      </w:r>
      <w:r w:rsidRPr="002C4077">
        <w:t xml:space="preserve"> </w:t>
      </w:r>
      <w:r>
        <w:t>plus</w:t>
      </w:r>
      <w:r w:rsidRPr="002C4077">
        <w:t xml:space="preserve"> </w:t>
      </w:r>
      <w:r>
        <w:t>relevée</w:t>
      </w:r>
      <w:r w:rsidR="00B546AF">
        <w:t> ;</w:t>
      </w:r>
      <w:r w:rsidRPr="002C4077">
        <w:t xml:space="preserve"> </w:t>
      </w:r>
      <w:r>
        <w:t>car</w:t>
      </w:r>
      <w:r w:rsidRPr="002C4077">
        <w:t xml:space="preserve"> </w:t>
      </w:r>
      <w:r>
        <w:t>ils</w:t>
      </w:r>
      <w:r w:rsidRPr="002C4077">
        <w:t xml:space="preserve"> </w:t>
      </w:r>
      <w:r>
        <w:t>aiment</w:t>
      </w:r>
      <w:r w:rsidRPr="002C4077">
        <w:t xml:space="preserve"> </w:t>
      </w:r>
      <w:r>
        <w:t>à</w:t>
      </w:r>
      <w:r w:rsidRPr="002C4077">
        <w:t xml:space="preserve"> </w:t>
      </w:r>
      <w:r>
        <w:t>l’opposer</w:t>
      </w:r>
      <w:r w:rsidRPr="002C4077">
        <w:t xml:space="preserve"> </w:t>
      </w:r>
      <w:r>
        <w:t>aux</w:t>
      </w:r>
      <w:r w:rsidRPr="002C4077">
        <w:t xml:space="preserve"> </w:t>
      </w:r>
      <w:r>
        <w:t>Docètes</w:t>
      </w:r>
      <w:r w:rsidRPr="002C4077">
        <w:t xml:space="preserve"> </w:t>
      </w:r>
      <w:r>
        <w:t>comme</w:t>
      </w:r>
      <w:r w:rsidRPr="002C4077">
        <w:t xml:space="preserve"> </w:t>
      </w:r>
      <w:r>
        <w:t>une</w:t>
      </w:r>
      <w:r w:rsidRPr="002C4077">
        <w:t xml:space="preserve"> </w:t>
      </w:r>
      <w:r>
        <w:t>preuve</w:t>
      </w:r>
      <w:r w:rsidRPr="002C4077">
        <w:t xml:space="preserve"> </w:t>
      </w:r>
      <w:r>
        <w:t>très</w:t>
      </w:r>
      <w:r w:rsidRPr="002C4077">
        <w:t xml:space="preserve"> </w:t>
      </w:r>
      <w:r>
        <w:t>forte</w:t>
      </w:r>
      <w:r w:rsidRPr="002C4077">
        <w:t xml:space="preserve"> </w:t>
      </w:r>
      <w:r>
        <w:t>de</w:t>
      </w:r>
      <w:r w:rsidRPr="002C4077">
        <w:t xml:space="preserve"> </w:t>
      </w:r>
      <w:r>
        <w:t>la</w:t>
      </w:r>
      <w:r w:rsidRPr="002C4077">
        <w:t xml:space="preserve"> </w:t>
      </w:r>
      <w:r>
        <w:t>réalité</w:t>
      </w:r>
      <w:r w:rsidRPr="002C4077">
        <w:t xml:space="preserve"> </w:t>
      </w:r>
      <w:r>
        <w:t>de</w:t>
      </w:r>
      <w:r w:rsidRPr="002C4077">
        <w:t xml:space="preserve"> </w:t>
      </w:r>
      <w:r>
        <w:t>l’Incarnation.</w:t>
      </w:r>
      <w:r w:rsidRPr="002C4077">
        <w:t xml:space="preserve"> </w:t>
      </w:r>
      <w:r w:rsidR="00B546AF">
        <w:t>« </w:t>
      </w:r>
      <w:r>
        <w:t>Ne</w:t>
      </w:r>
      <w:r w:rsidRPr="002C4077">
        <w:t xml:space="preserve"> </w:t>
      </w:r>
      <w:r>
        <w:t>eum</w:t>
      </w:r>
      <w:r w:rsidRPr="004440EA">
        <w:t xml:space="preserve"> (</w:t>
      </w:r>
      <w:r w:rsidR="003B53FD">
        <w:t>Christum</w:t>
      </w:r>
      <w:r w:rsidR="00B546AF" w:rsidRPr="002C4077">
        <w:t>)</w:t>
      </w:r>
      <w:r w:rsidRPr="002C4077">
        <w:t xml:space="preserve"> </w:t>
      </w:r>
      <w:r>
        <w:t>putes</w:t>
      </w:r>
      <w:r w:rsidRPr="002C4077">
        <w:t xml:space="preserve"> </w:t>
      </w:r>
      <w:r>
        <w:t>in</w:t>
      </w:r>
      <w:r w:rsidRPr="002C4077">
        <w:t xml:space="preserve"> </w:t>
      </w:r>
      <w:r>
        <w:t>p</w:t>
      </w:r>
      <w:r w:rsidR="003B53FD">
        <w:t>hantásmate</w:t>
      </w:r>
      <w:r w:rsidRPr="002C4077">
        <w:t xml:space="preserve"> </w:t>
      </w:r>
      <w:r w:rsidR="00623D96">
        <w:t>nascitúrum</w:t>
      </w:r>
      <w:r>
        <w:t>,</w:t>
      </w:r>
      <w:r w:rsidRPr="002C4077">
        <w:t xml:space="preserve"> </w:t>
      </w:r>
      <w:r>
        <w:t>cibis</w:t>
      </w:r>
      <w:r w:rsidRPr="002C4077">
        <w:t xml:space="preserve"> </w:t>
      </w:r>
      <w:r w:rsidR="00623D96">
        <w:t>utétur</w:t>
      </w:r>
      <w:r w:rsidRPr="002C4077">
        <w:t xml:space="preserve"> </w:t>
      </w:r>
      <w:r w:rsidR="00623D96">
        <w:t>infántiæ</w:t>
      </w:r>
      <w:r w:rsidR="00B91AF7">
        <w:rPr>
          <w:rStyle w:val="Appelnotedebasdep"/>
        </w:rPr>
        <w:footnoteReference w:id="254"/>
      </w:r>
      <w:r w:rsidR="00B546AF">
        <w:t> »</w:t>
      </w:r>
      <w:r>
        <w:t>.</w:t>
      </w:r>
      <w:r w:rsidRPr="002C4077">
        <w:t xml:space="preserve"> </w:t>
      </w:r>
      <w:r>
        <w:t>Mais</w:t>
      </w:r>
      <w:r w:rsidRPr="002C4077">
        <w:t xml:space="preserve"> </w:t>
      </w:r>
      <w:r>
        <w:t>ce</w:t>
      </w:r>
      <w:r w:rsidRPr="002C4077">
        <w:t xml:space="preserve"> </w:t>
      </w:r>
      <w:r>
        <w:t>sens</w:t>
      </w:r>
      <w:r w:rsidRPr="002C4077">
        <w:t xml:space="preserve"> </w:t>
      </w:r>
      <w:r w:rsidR="00425C50">
        <w:t>est</w:t>
      </w:r>
      <w:r w:rsidRPr="002C4077">
        <w:t xml:space="preserve"> </w:t>
      </w:r>
      <w:r>
        <w:t>seulement</w:t>
      </w:r>
      <w:r w:rsidRPr="002C4077">
        <w:t xml:space="preserve"> </w:t>
      </w:r>
      <w:r>
        <w:t>dérivé</w:t>
      </w:r>
      <w:r w:rsidR="00B546AF">
        <w:t> :</w:t>
      </w:r>
      <w:r w:rsidRPr="002C4077">
        <w:t xml:space="preserve"> </w:t>
      </w:r>
      <w:r>
        <w:t>d’ailleurs,</w:t>
      </w:r>
      <w:r w:rsidRPr="002C4077">
        <w:t xml:space="preserve"> </w:t>
      </w:r>
      <w:r>
        <w:t>il</w:t>
      </w:r>
      <w:r w:rsidRPr="002C4077">
        <w:t xml:space="preserve"> </w:t>
      </w:r>
      <w:r>
        <w:t>n’est</w:t>
      </w:r>
      <w:r w:rsidRPr="002C4077">
        <w:t xml:space="preserve"> </w:t>
      </w:r>
      <w:r>
        <w:t>pas</w:t>
      </w:r>
      <w:r w:rsidRPr="002C4077">
        <w:t xml:space="preserve"> </w:t>
      </w:r>
      <w:r>
        <w:t>le</w:t>
      </w:r>
      <w:r w:rsidRPr="002C4077">
        <w:t xml:space="preserve"> </w:t>
      </w:r>
      <w:r>
        <w:t>moins</w:t>
      </w:r>
      <w:r w:rsidRPr="002C4077">
        <w:t xml:space="preserve"> </w:t>
      </w:r>
      <w:r>
        <w:t>du</w:t>
      </w:r>
      <w:r w:rsidRPr="002C4077">
        <w:t xml:space="preserve"> </w:t>
      </w:r>
      <w:r>
        <w:t>monde</w:t>
      </w:r>
      <w:r w:rsidRPr="002C4077">
        <w:t xml:space="preserve"> </w:t>
      </w:r>
      <w:r>
        <w:t>opposé</w:t>
      </w:r>
      <w:r w:rsidRPr="002C4077">
        <w:t xml:space="preserve"> </w:t>
      </w:r>
      <w:r>
        <w:t>à</w:t>
      </w:r>
      <w:r w:rsidRPr="002C4077">
        <w:t xml:space="preserve"> </w:t>
      </w:r>
      <w:r>
        <w:t>l’interprétation</w:t>
      </w:r>
      <w:r w:rsidRPr="002C4077">
        <w:t xml:space="preserve"> </w:t>
      </w:r>
      <w:r>
        <w:t>littérale.</w:t>
      </w:r>
      <w:r w:rsidRPr="002C4077">
        <w:t xml:space="preserve"> </w:t>
      </w:r>
    </w:p>
    <w:p w:rsidR="000A7AAB" w:rsidRDefault="000A7AAB" w:rsidP="000A7AAB">
      <w:r>
        <w:t>Le</w:t>
      </w:r>
      <w:r w:rsidRPr="002C4077">
        <w:t xml:space="preserve"> </w:t>
      </w:r>
      <w:r>
        <w:t>lecteur</w:t>
      </w:r>
      <w:r w:rsidRPr="002C4077">
        <w:t xml:space="preserve"> </w:t>
      </w:r>
      <w:r>
        <w:t>a</w:t>
      </w:r>
      <w:r w:rsidRPr="002C4077">
        <w:t xml:space="preserve"> </w:t>
      </w:r>
      <w:r>
        <w:t>pu</w:t>
      </w:r>
      <w:r w:rsidRPr="002C4077">
        <w:t xml:space="preserve"> </w:t>
      </w:r>
      <w:r>
        <w:t>remarquer</w:t>
      </w:r>
      <w:r w:rsidRPr="002C4077">
        <w:t xml:space="preserve"> </w:t>
      </w:r>
      <w:r>
        <w:t>que</w:t>
      </w:r>
      <w:r w:rsidRPr="002C4077">
        <w:t xml:space="preserve"> </w:t>
      </w:r>
      <w:r>
        <w:t>nous</w:t>
      </w:r>
      <w:r w:rsidRPr="002C4077">
        <w:t xml:space="preserve"> </w:t>
      </w:r>
      <w:r>
        <w:t>avons</w:t>
      </w:r>
      <w:r w:rsidRPr="002C4077">
        <w:t xml:space="preserve"> </w:t>
      </w:r>
      <w:r>
        <w:t>abandonné,</w:t>
      </w:r>
      <w:r w:rsidRPr="002C4077">
        <w:t xml:space="preserve"> </w:t>
      </w:r>
      <w:r>
        <w:t>au</w:t>
      </w:r>
      <w:r w:rsidRPr="002C4077">
        <w:t xml:space="preserve"> </w:t>
      </w:r>
      <w:r>
        <w:t>verset</w:t>
      </w:r>
      <w:r w:rsidRPr="002C4077">
        <w:t xml:space="preserve"> </w:t>
      </w:r>
      <w:r>
        <w:t>15,</w:t>
      </w:r>
      <w:r w:rsidRPr="002C4077">
        <w:t xml:space="preserve"> </w:t>
      </w:r>
      <w:r>
        <w:t>la</w:t>
      </w:r>
      <w:r w:rsidRPr="002C4077">
        <w:t xml:space="preserve"> </w:t>
      </w:r>
      <w:r>
        <w:t>traduction</w:t>
      </w:r>
      <w:r w:rsidRPr="002C4077">
        <w:t xml:space="preserve"> </w:t>
      </w:r>
      <w:r>
        <w:t>de</w:t>
      </w:r>
      <w:r w:rsidRPr="002C4077">
        <w:t xml:space="preserve"> </w:t>
      </w:r>
      <w:r>
        <w:t>la</w:t>
      </w:r>
      <w:r w:rsidRPr="002C4077">
        <w:t xml:space="preserve"> </w:t>
      </w:r>
      <w:r>
        <w:t>Vulgate</w:t>
      </w:r>
      <w:r w:rsidR="00B91AF7">
        <w:rPr>
          <w:rStyle w:val="Appelnotedebasdep"/>
        </w:rPr>
        <w:footnoteReference w:id="255"/>
      </w:r>
      <w:r>
        <w:t>,</w:t>
      </w:r>
      <w:r w:rsidRPr="002C4077">
        <w:t xml:space="preserve"> </w:t>
      </w:r>
      <w:r w:rsidRPr="000A34B5">
        <w:rPr>
          <w:rStyle w:val="italicus"/>
        </w:rPr>
        <w:t>ut</w:t>
      </w:r>
      <w:r w:rsidRPr="002C4077">
        <w:t xml:space="preserve"> </w:t>
      </w:r>
      <w:r w:rsidRPr="000A34B5">
        <w:rPr>
          <w:rStyle w:val="italicus"/>
        </w:rPr>
        <w:t>sci</w:t>
      </w:r>
      <w:r w:rsidR="000D4F31">
        <w:rPr>
          <w:rStyle w:val="italicus"/>
        </w:rPr>
        <w:t>a</w:t>
      </w:r>
      <w:r w:rsidRPr="000A34B5">
        <w:rPr>
          <w:rStyle w:val="italicus"/>
        </w:rPr>
        <w:t>t</w:t>
      </w:r>
      <w:r w:rsidRPr="004440EA">
        <w:t xml:space="preserve"> (</w:t>
      </w:r>
      <w:r w:rsidR="00B546AF">
        <w:t>« </w:t>
      </w:r>
      <w:r>
        <w:t>il</w:t>
      </w:r>
      <w:r w:rsidRPr="002C4077">
        <w:t xml:space="preserve"> </w:t>
      </w:r>
      <w:r>
        <w:t>mangera</w:t>
      </w:r>
      <w:r w:rsidRPr="002C4077">
        <w:t xml:space="preserve"> </w:t>
      </w:r>
      <w:r>
        <w:t>de</w:t>
      </w:r>
      <w:r w:rsidRPr="002C4077">
        <w:t xml:space="preserve"> </w:t>
      </w:r>
      <w:r>
        <w:t>la</w:t>
      </w:r>
      <w:r w:rsidRPr="002C4077">
        <w:t xml:space="preserve"> </w:t>
      </w:r>
      <w:r>
        <w:t>crème</w:t>
      </w:r>
      <w:r w:rsidRPr="002C4077">
        <w:t xml:space="preserve"> </w:t>
      </w:r>
      <w:r>
        <w:t>et</w:t>
      </w:r>
      <w:r w:rsidRPr="002C4077">
        <w:t xml:space="preserve"> </w:t>
      </w:r>
      <w:r>
        <w:t>du</w:t>
      </w:r>
      <w:r w:rsidRPr="002C4077">
        <w:t xml:space="preserve"> </w:t>
      </w:r>
      <w:r>
        <w:t>miel</w:t>
      </w:r>
      <w:r w:rsidRPr="002C4077">
        <w:t xml:space="preserve"> </w:t>
      </w:r>
      <w:r>
        <w:t>afin</w:t>
      </w:r>
      <w:r w:rsidRPr="002C4077">
        <w:t xml:space="preserve"> </w:t>
      </w:r>
      <w:r>
        <w:t>qu’il</w:t>
      </w:r>
      <w:r w:rsidRPr="002C4077">
        <w:t xml:space="preserve"> </w:t>
      </w:r>
      <w:r>
        <w:t>sache</w:t>
      </w:r>
      <w:r w:rsidR="00B546AF">
        <w:t> »</w:t>
      </w:r>
      <w:r w:rsidR="00B546AF" w:rsidRPr="002C4077">
        <w:t>)</w:t>
      </w:r>
      <w:r w:rsidR="00B546AF" w:rsidRPr="00950016">
        <w:t> ;</w:t>
      </w:r>
      <w:r w:rsidRPr="002C4077">
        <w:t xml:space="preserve"> </w:t>
      </w:r>
      <w:r>
        <w:t>elle</w:t>
      </w:r>
      <w:r w:rsidRPr="002C4077">
        <w:t xml:space="preserve"> </w:t>
      </w:r>
      <w:r w:rsidR="00425C50">
        <w:t>est</w:t>
      </w:r>
      <w:r>
        <w:t>,</w:t>
      </w:r>
      <w:r w:rsidRPr="002C4077">
        <w:t xml:space="preserve"> </w:t>
      </w:r>
      <w:r>
        <w:t>en</w:t>
      </w:r>
      <w:r w:rsidRPr="002C4077">
        <w:t xml:space="preserve"> </w:t>
      </w:r>
      <w:r>
        <w:t>effet,</w:t>
      </w:r>
      <w:r w:rsidRPr="002C4077">
        <w:t xml:space="preserve"> </w:t>
      </w:r>
      <w:r>
        <w:t>certainement</w:t>
      </w:r>
      <w:r w:rsidRPr="002C4077">
        <w:t xml:space="preserve"> </w:t>
      </w:r>
      <w:r w:rsidR="00313A9D">
        <w:t>inexacte</w:t>
      </w:r>
      <w:r w:rsidR="00313A9D">
        <w:rPr>
          <w:rStyle w:val="Appelnotedebasdep"/>
        </w:rPr>
        <w:footnoteReference w:id="256"/>
      </w:r>
      <w:r>
        <w:t>.</w:t>
      </w:r>
      <w:r w:rsidRPr="002C4077">
        <w:t xml:space="preserve"> </w:t>
      </w:r>
      <w:r>
        <w:t>L’hébreu</w:t>
      </w:r>
      <w:r w:rsidR="00623D96" w:rsidRPr="002C4077">
        <w:t xml:space="preserve"> </w:t>
      </w:r>
      <w:r w:rsidR="00623D96" w:rsidRPr="00F97502">
        <w:rPr>
          <w:rtl/>
          <w:lang w:bidi="he-IL"/>
        </w:rPr>
        <w:t>לדעתו</w:t>
      </w:r>
      <w:r w:rsidRPr="002C4077">
        <w:t xml:space="preserve"> </w:t>
      </w:r>
      <w:r>
        <w:t>signifie</w:t>
      </w:r>
      <w:r w:rsidRPr="002C4077">
        <w:t xml:space="preserve"> </w:t>
      </w:r>
      <w:r w:rsidR="00B546AF">
        <w:t>« </w:t>
      </w:r>
      <w:r>
        <w:t>avant</w:t>
      </w:r>
      <w:r w:rsidRPr="002C4077">
        <w:t xml:space="preserve"> </w:t>
      </w:r>
      <w:r>
        <w:t>qu’il</w:t>
      </w:r>
      <w:r w:rsidRPr="002C4077">
        <w:t xml:space="preserve"> </w:t>
      </w:r>
      <w:r>
        <w:t>sache</w:t>
      </w:r>
      <w:r w:rsidR="00B546AF">
        <w:t> »</w:t>
      </w:r>
      <w:r>
        <w:t>,</w:t>
      </w:r>
      <w:r w:rsidRPr="002C4077">
        <w:t xml:space="preserve"> </w:t>
      </w:r>
      <w:r>
        <w:t>comme</w:t>
      </w:r>
      <w:r w:rsidRPr="002C4077">
        <w:t xml:space="preserve"> </w:t>
      </w:r>
      <w:r>
        <w:t>traduisent</w:t>
      </w:r>
      <w:r w:rsidRPr="002C4077">
        <w:t xml:space="preserve"> </w:t>
      </w:r>
      <w:r>
        <w:t>les</w:t>
      </w:r>
      <w:r w:rsidRPr="002C4077">
        <w:t xml:space="preserve"> </w:t>
      </w:r>
      <w:r>
        <w:t>Septante</w:t>
      </w:r>
      <w:r w:rsidR="00B91AF7">
        <w:rPr>
          <w:rStyle w:val="Appelnotedebasdep"/>
        </w:rPr>
        <w:footnoteReference w:id="257"/>
      </w:r>
      <w:r>
        <w:t>,</w:t>
      </w:r>
      <w:r w:rsidRPr="002C4077">
        <w:t xml:space="preserve"> </w:t>
      </w:r>
      <w:r>
        <w:t>le</w:t>
      </w:r>
      <w:r w:rsidRPr="002C4077">
        <w:t xml:space="preserve"> </w:t>
      </w:r>
      <w:r>
        <w:t>Targum</w:t>
      </w:r>
      <w:r w:rsidRPr="002C4077">
        <w:t xml:space="preserve"> </w:t>
      </w:r>
      <w:r>
        <w:t>de</w:t>
      </w:r>
      <w:r w:rsidRPr="002C4077">
        <w:t xml:space="preserve"> </w:t>
      </w:r>
      <w:r>
        <w:t>Jonathan,</w:t>
      </w:r>
      <w:r w:rsidRPr="002C4077">
        <w:t xml:space="preserve"> </w:t>
      </w:r>
      <w:r>
        <w:t>Sa</w:t>
      </w:r>
      <w:r w:rsidR="00623D96">
        <w:t>a</w:t>
      </w:r>
      <w:r w:rsidR="003B53FD">
        <w:t>dias</w:t>
      </w:r>
      <w:r>
        <w:t>,</w:t>
      </w:r>
      <w:r w:rsidRPr="002C4077">
        <w:t xml:space="preserve"> </w:t>
      </w:r>
      <w:r>
        <w:t>Jarchi,</w:t>
      </w:r>
      <w:r w:rsidRPr="002C4077">
        <w:t xml:space="preserve"> </w:t>
      </w:r>
      <w:r w:rsidR="00425C50">
        <w:t>etc</w:t>
      </w:r>
      <w:r>
        <w:t>.</w:t>
      </w:r>
      <w:r w:rsidR="00B546AF">
        <w:t> ;</w:t>
      </w:r>
      <w:r w:rsidRPr="002C4077">
        <w:t xml:space="preserve"> </w:t>
      </w:r>
      <w:r>
        <w:t>ou</w:t>
      </w:r>
      <w:r w:rsidRPr="002C4077">
        <w:t xml:space="preserve"> </w:t>
      </w:r>
      <w:r>
        <w:t>mieux</w:t>
      </w:r>
      <w:r w:rsidRPr="002C4077">
        <w:t xml:space="preserve"> </w:t>
      </w:r>
      <w:r>
        <w:t>encore,</w:t>
      </w:r>
      <w:r w:rsidRPr="002C4077">
        <w:t xml:space="preserve"> </w:t>
      </w:r>
      <w:r w:rsidR="00B546AF">
        <w:t>« </w:t>
      </w:r>
      <w:r>
        <w:t>jusqu’à</w:t>
      </w:r>
      <w:r w:rsidRPr="002C4077">
        <w:t xml:space="preserve"> </w:t>
      </w:r>
      <w:r>
        <w:t>ce</w:t>
      </w:r>
      <w:r w:rsidRPr="002C4077">
        <w:t xml:space="preserve"> </w:t>
      </w:r>
      <w:r>
        <w:t>qu’il</w:t>
      </w:r>
      <w:r w:rsidRPr="002C4077">
        <w:t xml:space="preserve"> </w:t>
      </w:r>
      <w:r>
        <w:t>sache,</w:t>
      </w:r>
      <w:r w:rsidR="00B546AF">
        <w:t> »</w:t>
      </w:r>
      <w:r w:rsidRPr="002C4077">
        <w:t xml:space="preserve"> </w:t>
      </w:r>
      <w:r>
        <w:t>ainsi</w:t>
      </w:r>
      <w:r w:rsidRPr="002C4077">
        <w:t xml:space="preserve"> </w:t>
      </w:r>
      <w:r>
        <w:t>qu’on</w:t>
      </w:r>
      <w:r w:rsidRPr="002C4077">
        <w:t xml:space="preserve"> </w:t>
      </w:r>
      <w:r>
        <w:t>l’admet</w:t>
      </w:r>
      <w:r w:rsidRPr="002C4077">
        <w:t xml:space="preserve"> </w:t>
      </w:r>
      <w:r>
        <w:t>presque</w:t>
      </w:r>
      <w:r w:rsidRPr="002C4077">
        <w:t xml:space="preserve"> </w:t>
      </w:r>
      <w:r>
        <w:t>unanimement</w:t>
      </w:r>
      <w:r w:rsidRPr="002C4077">
        <w:t xml:space="preserve"> </w:t>
      </w:r>
      <w:r>
        <w:t>aujourd’hui</w:t>
      </w:r>
      <w:r w:rsidR="00B91AF7">
        <w:rPr>
          <w:rStyle w:val="Appelnotedebasdep"/>
        </w:rPr>
        <w:footnoteReference w:id="258"/>
      </w:r>
      <w:r>
        <w:t>.</w:t>
      </w:r>
      <w:r w:rsidRPr="002C4077">
        <w:t xml:space="preserve"> </w:t>
      </w:r>
      <w:r>
        <w:t>Ne</w:t>
      </w:r>
      <w:r w:rsidRPr="002C4077">
        <w:t xml:space="preserve"> </w:t>
      </w:r>
      <w:r>
        <w:t>résulte-t-il</w:t>
      </w:r>
      <w:r w:rsidRPr="002C4077">
        <w:t xml:space="preserve"> </w:t>
      </w:r>
      <w:r>
        <w:t>pas</w:t>
      </w:r>
      <w:r w:rsidRPr="002C4077">
        <w:t xml:space="preserve"> </w:t>
      </w:r>
      <w:r>
        <w:t>du</w:t>
      </w:r>
      <w:r w:rsidRPr="002C4077">
        <w:t xml:space="preserve"> </w:t>
      </w:r>
      <w:r>
        <w:t>contexte</w:t>
      </w:r>
      <w:r w:rsidRPr="002C4077">
        <w:t xml:space="preserve"> </w:t>
      </w:r>
      <w:r>
        <w:t>que</w:t>
      </w:r>
      <w:r w:rsidRPr="002C4077">
        <w:t xml:space="preserve"> </w:t>
      </w:r>
      <w:r>
        <w:t>le</w:t>
      </w:r>
      <w:r w:rsidRPr="002C4077">
        <w:t xml:space="preserve"> </w:t>
      </w:r>
      <w:r>
        <w:t>prophète</w:t>
      </w:r>
      <w:r w:rsidRPr="002C4077">
        <w:t xml:space="preserve"> </w:t>
      </w:r>
      <w:r>
        <w:t>veut</w:t>
      </w:r>
      <w:r w:rsidRPr="002C4077">
        <w:t xml:space="preserve"> </w:t>
      </w:r>
      <w:r>
        <w:t>déterminer</w:t>
      </w:r>
      <w:r w:rsidRPr="002C4077">
        <w:t xml:space="preserve"> </w:t>
      </w:r>
      <w:r>
        <w:t>l’époque</w:t>
      </w:r>
      <w:r w:rsidRPr="002C4077">
        <w:t xml:space="preserve"> </w:t>
      </w:r>
      <w:r>
        <w:t>du</w:t>
      </w:r>
      <w:r w:rsidRPr="002C4077">
        <w:t xml:space="preserve"> </w:t>
      </w:r>
      <w:r>
        <w:t>salut</w:t>
      </w:r>
      <w:r w:rsidRPr="002C4077">
        <w:t xml:space="preserve"> </w:t>
      </w:r>
      <w:r>
        <w:t>prédit</w:t>
      </w:r>
      <w:r w:rsidRPr="002C4077">
        <w:t xml:space="preserve"> </w:t>
      </w:r>
      <w:r>
        <w:t>par</w:t>
      </w:r>
      <w:r w:rsidRPr="002C4077">
        <w:t xml:space="preserve"> </w:t>
      </w:r>
      <w:r>
        <w:t>lui</w:t>
      </w:r>
      <w:r w:rsidR="00B546AF">
        <w:t> ?</w:t>
      </w:r>
      <w:r w:rsidRPr="002C4077">
        <w:t xml:space="preserve"> </w:t>
      </w:r>
      <w:r>
        <w:t>Au</w:t>
      </w:r>
      <w:r w:rsidRPr="002C4077">
        <w:t xml:space="preserve"> </w:t>
      </w:r>
      <w:r>
        <w:t>reste,</w:t>
      </w:r>
      <w:r w:rsidRPr="002C4077">
        <w:t xml:space="preserve"> </w:t>
      </w:r>
      <w:r w:rsidRPr="000A34B5">
        <w:rPr>
          <w:rStyle w:val="italicus"/>
        </w:rPr>
        <w:t>ut</w:t>
      </w:r>
      <w:r w:rsidRPr="002C4077">
        <w:t xml:space="preserve"> </w:t>
      </w:r>
      <w:r>
        <w:t>de</w:t>
      </w:r>
      <w:r w:rsidRPr="002C4077">
        <w:t xml:space="preserve"> </w:t>
      </w:r>
      <w:r>
        <w:t>la</w:t>
      </w:r>
      <w:r w:rsidRPr="002C4077">
        <w:t xml:space="preserve"> </w:t>
      </w:r>
      <w:r>
        <w:t>Vulgate</w:t>
      </w:r>
      <w:r w:rsidRPr="002C4077">
        <w:t xml:space="preserve"> </w:t>
      </w:r>
      <w:r>
        <w:t>n’indique</w:t>
      </w:r>
      <w:r w:rsidRPr="002C4077">
        <w:t xml:space="preserve"> </w:t>
      </w:r>
      <w:r>
        <w:t>pas</w:t>
      </w:r>
      <w:r w:rsidRPr="002C4077">
        <w:t xml:space="preserve"> </w:t>
      </w:r>
      <w:r>
        <w:t>une</w:t>
      </w:r>
      <w:r w:rsidRPr="002C4077">
        <w:t xml:space="preserve"> </w:t>
      </w:r>
      <w:r>
        <w:t>cause</w:t>
      </w:r>
      <w:r w:rsidRPr="002C4077">
        <w:t xml:space="preserve"> </w:t>
      </w:r>
      <w:r>
        <w:t>finale,</w:t>
      </w:r>
      <w:r w:rsidRPr="002C4077">
        <w:t xml:space="preserve"> </w:t>
      </w:r>
      <w:r>
        <w:t>mais</w:t>
      </w:r>
      <w:r w:rsidRPr="002C4077">
        <w:t xml:space="preserve"> </w:t>
      </w:r>
      <w:r>
        <w:t>une</w:t>
      </w:r>
      <w:r w:rsidRPr="002C4077">
        <w:t xml:space="preserve"> </w:t>
      </w:r>
      <w:r>
        <w:t>simple</w:t>
      </w:r>
      <w:r w:rsidRPr="002C4077">
        <w:t xml:space="preserve"> </w:t>
      </w:r>
      <w:bookmarkStart w:id="259" w:name="z_Almah_o22"/>
      <w:bookmarkEnd w:id="259"/>
      <w:r>
        <w:t>conséquence.</w:t>
      </w:r>
      <w:r w:rsidRPr="002C4077">
        <w:t xml:space="preserve"> </w:t>
      </w:r>
    </w:p>
    <w:p w:rsidR="000A7AAB" w:rsidRDefault="000A7AAB" w:rsidP="000A7AAB">
      <w:r>
        <w:t>Rappelons</w:t>
      </w:r>
      <w:r w:rsidRPr="002C4077">
        <w:t xml:space="preserve"> </w:t>
      </w:r>
      <w:r>
        <w:t>encore</w:t>
      </w:r>
      <w:r w:rsidRPr="002C4077">
        <w:t xml:space="preserve"> </w:t>
      </w:r>
      <w:r>
        <w:t>un</w:t>
      </w:r>
      <w:r w:rsidRPr="002C4077">
        <w:t xml:space="preserve"> </w:t>
      </w:r>
      <w:r>
        <w:t>point</w:t>
      </w:r>
      <w:r w:rsidRPr="002C4077">
        <w:t xml:space="preserve"> </w:t>
      </w:r>
      <w:r>
        <w:t>qui</w:t>
      </w:r>
      <w:r w:rsidRPr="002C4077">
        <w:t xml:space="preserve"> </w:t>
      </w:r>
      <w:r>
        <w:t>a</w:t>
      </w:r>
      <w:r w:rsidRPr="002C4077">
        <w:t xml:space="preserve"> </w:t>
      </w:r>
      <w:r>
        <w:t>une</w:t>
      </w:r>
      <w:r w:rsidRPr="002C4077">
        <w:t xml:space="preserve"> </w:t>
      </w:r>
      <w:r>
        <w:t>importance</w:t>
      </w:r>
      <w:r w:rsidRPr="002C4077">
        <w:t xml:space="preserve"> </w:t>
      </w:r>
      <w:r>
        <w:t>capitale</w:t>
      </w:r>
      <w:r w:rsidRPr="002C4077">
        <w:t xml:space="preserve"> </w:t>
      </w:r>
      <w:r>
        <w:t>dans</w:t>
      </w:r>
      <w:r w:rsidRPr="002C4077">
        <w:t xml:space="preserve"> </w:t>
      </w:r>
      <w:r>
        <w:t>la</w:t>
      </w:r>
      <w:r w:rsidRPr="002C4077">
        <w:t xml:space="preserve"> </w:t>
      </w:r>
      <w:r>
        <w:t>dernière</w:t>
      </w:r>
      <w:r w:rsidRPr="002C4077">
        <w:t xml:space="preserve"> </w:t>
      </w:r>
      <w:r>
        <w:t>discussion</w:t>
      </w:r>
      <w:r w:rsidRPr="002C4077">
        <w:t xml:space="preserve"> </w:t>
      </w:r>
      <w:r>
        <w:t>que</w:t>
      </w:r>
      <w:r w:rsidRPr="002C4077">
        <w:t xml:space="preserve"> </w:t>
      </w:r>
      <w:r>
        <w:t>nous</w:t>
      </w:r>
      <w:r w:rsidRPr="002C4077">
        <w:t xml:space="preserve"> </w:t>
      </w:r>
      <w:r>
        <w:t>allons</w:t>
      </w:r>
      <w:r w:rsidRPr="002C4077">
        <w:t xml:space="preserve"> </w:t>
      </w:r>
      <w:r>
        <w:t>bientôt</w:t>
      </w:r>
      <w:r w:rsidRPr="002C4077">
        <w:t xml:space="preserve"> </w:t>
      </w:r>
      <w:r>
        <w:t>directement</w:t>
      </w:r>
      <w:r w:rsidRPr="002C4077">
        <w:t xml:space="preserve"> </w:t>
      </w:r>
      <w:r>
        <w:t>aborder.</w:t>
      </w:r>
      <w:r w:rsidRPr="002C4077">
        <w:t xml:space="preserve"> </w:t>
      </w:r>
      <w:r>
        <w:t>Le</w:t>
      </w:r>
      <w:r w:rsidRPr="002C4077">
        <w:t xml:space="preserve"> </w:t>
      </w:r>
      <w:r w:rsidR="00B546AF">
        <w:t>« </w:t>
      </w:r>
      <w:r>
        <w:t>signe</w:t>
      </w:r>
      <w:bookmarkStart w:id="260" w:name="z_Signe_o3"/>
      <w:bookmarkEnd w:id="260"/>
      <w:r w:rsidR="00B546AF">
        <w:t> »</w:t>
      </w:r>
      <w:r>
        <w:t>,</w:t>
      </w:r>
      <w:r w:rsidRPr="002C4077">
        <w:t xml:space="preserve"> </w:t>
      </w:r>
      <w:r>
        <w:t>nous</w:t>
      </w:r>
      <w:r w:rsidRPr="002C4077">
        <w:t xml:space="preserve"> </w:t>
      </w:r>
      <w:r>
        <w:t>l’avons</w:t>
      </w:r>
      <w:r w:rsidRPr="002C4077">
        <w:t xml:space="preserve"> </w:t>
      </w:r>
      <w:r>
        <w:t>vu,</w:t>
      </w:r>
      <w:r w:rsidRPr="002C4077">
        <w:t xml:space="preserve"> </w:t>
      </w:r>
      <w:r>
        <w:t>devait</w:t>
      </w:r>
      <w:r w:rsidRPr="002C4077">
        <w:t xml:space="preserve"> </w:t>
      </w:r>
      <w:r>
        <w:t>consister</w:t>
      </w:r>
      <w:r w:rsidRPr="002C4077">
        <w:t xml:space="preserve"> </w:t>
      </w:r>
      <w:r>
        <w:t>en</w:t>
      </w:r>
      <w:r w:rsidRPr="002C4077">
        <w:t xml:space="preserve"> </w:t>
      </w:r>
      <w:r>
        <w:t>un</w:t>
      </w:r>
      <w:r w:rsidRPr="002C4077">
        <w:t xml:space="preserve"> </w:t>
      </w:r>
      <w:r>
        <w:t>prodige</w:t>
      </w:r>
      <w:r w:rsidRPr="002C4077">
        <w:t xml:space="preserve"> </w:t>
      </w:r>
      <w:r>
        <w:t>admirable,</w:t>
      </w:r>
      <w:r w:rsidRPr="002C4077">
        <w:t xml:space="preserve"> </w:t>
      </w:r>
      <w:r>
        <w:t>savoir</w:t>
      </w:r>
      <w:r w:rsidR="00B546AF">
        <w:t> :</w:t>
      </w:r>
      <w:r w:rsidRPr="002C4077">
        <w:t xml:space="preserve"> </w:t>
      </w:r>
      <w:r>
        <w:t>la</w:t>
      </w:r>
      <w:r w:rsidRPr="002C4077">
        <w:t xml:space="preserve"> </w:t>
      </w:r>
      <w:r>
        <w:t>naissance</w:t>
      </w:r>
      <w:r w:rsidRPr="002C4077">
        <w:t xml:space="preserve"> </w:t>
      </w:r>
      <w:r>
        <w:t>virginale</w:t>
      </w:r>
      <w:r w:rsidRPr="002C4077">
        <w:t xml:space="preserve"> </w:t>
      </w:r>
      <w:r>
        <w:t>du</w:t>
      </w:r>
      <w:r w:rsidRPr="002C4077">
        <w:t xml:space="preserve"> </w:t>
      </w:r>
      <w:r>
        <w:t>Messie,</w:t>
      </w:r>
      <w:r w:rsidRPr="002C4077">
        <w:t xml:space="preserve"> </w:t>
      </w:r>
      <w:r>
        <w:t>ce</w:t>
      </w:r>
      <w:r w:rsidRPr="002C4077">
        <w:t xml:space="preserve"> </w:t>
      </w:r>
      <w:r>
        <w:t>Fils</w:t>
      </w:r>
      <w:r w:rsidRPr="002C4077">
        <w:t xml:space="preserve"> </w:t>
      </w:r>
      <w:r>
        <w:t>des</w:t>
      </w:r>
      <w:r w:rsidRPr="002C4077">
        <w:t xml:space="preserve"> </w:t>
      </w:r>
      <w:r>
        <w:t>merveilles,</w:t>
      </w:r>
      <w:r w:rsidRPr="002C4077">
        <w:t xml:space="preserve"> </w:t>
      </w:r>
      <w:r>
        <w:t>comme</w:t>
      </w:r>
      <w:r w:rsidRPr="002C4077">
        <w:t xml:space="preserve"> </w:t>
      </w:r>
      <w:r>
        <w:t>l’appellent</w:t>
      </w:r>
      <w:r w:rsidRPr="002C4077">
        <w:t xml:space="preserve"> </w:t>
      </w:r>
      <w:r>
        <w:t>si</w:t>
      </w:r>
      <w:r w:rsidRPr="002C4077">
        <w:t xml:space="preserve"> </w:t>
      </w:r>
      <w:r>
        <w:t>justement</w:t>
      </w:r>
      <w:r w:rsidRPr="002C4077">
        <w:t xml:space="preserve"> </w:t>
      </w:r>
      <w:r>
        <w:t>les</w:t>
      </w:r>
      <w:r w:rsidRPr="002C4077">
        <w:t xml:space="preserve"> </w:t>
      </w:r>
      <w:r>
        <w:t>rabbins</w:t>
      </w:r>
      <w:r w:rsidR="00B91AF7">
        <w:rPr>
          <w:rStyle w:val="Appelnotedebasdep"/>
        </w:rPr>
        <w:footnoteReference w:id="259"/>
      </w:r>
      <w:r>
        <w:t>.</w:t>
      </w:r>
      <w:r w:rsidR="00C45B47">
        <w:t xml:space="preserve"> {</w:t>
      </w:r>
      <w:r w:rsidR="000721C4">
        <w:t>83</w:t>
      </w:r>
      <w:bookmarkStart w:id="261" w:name="p083"/>
      <w:bookmarkEnd w:id="261"/>
      <w:r w:rsidR="000721C4">
        <w:t xml:space="preserve">} </w:t>
      </w:r>
      <w:r>
        <w:t>Toutes</w:t>
      </w:r>
      <w:r w:rsidRPr="002C4077">
        <w:t xml:space="preserve"> </w:t>
      </w:r>
      <w:r>
        <w:t>les</w:t>
      </w:r>
      <w:r w:rsidRPr="002C4077">
        <w:t xml:space="preserve"> </w:t>
      </w:r>
      <w:r>
        <w:t>hypothèses</w:t>
      </w:r>
      <w:r w:rsidRPr="002C4077">
        <w:t xml:space="preserve"> </w:t>
      </w:r>
      <w:r>
        <w:t>contraires</w:t>
      </w:r>
      <w:r w:rsidRPr="002C4077">
        <w:t xml:space="preserve"> </w:t>
      </w:r>
      <w:r>
        <w:t>formulées</w:t>
      </w:r>
      <w:r w:rsidRPr="002C4077">
        <w:t xml:space="preserve"> </w:t>
      </w:r>
      <w:r>
        <w:t>par</w:t>
      </w:r>
      <w:r w:rsidRPr="002C4077">
        <w:t xml:space="preserve"> </w:t>
      </w:r>
      <w:r>
        <w:t>les</w:t>
      </w:r>
      <w:r w:rsidRPr="002C4077">
        <w:t xml:space="preserve"> </w:t>
      </w:r>
      <w:r>
        <w:t>rationalistes</w:t>
      </w:r>
      <w:r w:rsidRPr="002C4077">
        <w:t xml:space="preserve"> </w:t>
      </w:r>
      <w:r>
        <w:t>viennent</w:t>
      </w:r>
      <w:r w:rsidRPr="002C4077">
        <w:t xml:space="preserve"> </w:t>
      </w:r>
      <w:r>
        <w:t>se</w:t>
      </w:r>
      <w:r w:rsidRPr="002C4077">
        <w:t xml:space="preserve"> </w:t>
      </w:r>
      <w:r>
        <w:t>heurter</w:t>
      </w:r>
      <w:r w:rsidRPr="002C4077">
        <w:t xml:space="preserve"> </w:t>
      </w:r>
      <w:r>
        <w:t>contre</w:t>
      </w:r>
      <w:r w:rsidRPr="002C4077">
        <w:t xml:space="preserve"> </w:t>
      </w:r>
      <w:r>
        <w:t>l’interprétation</w:t>
      </w:r>
      <w:r w:rsidRPr="002C4077">
        <w:t xml:space="preserve"> </w:t>
      </w:r>
      <w:r>
        <w:t>soit</w:t>
      </w:r>
      <w:r w:rsidRPr="002C4077">
        <w:t xml:space="preserve"> </w:t>
      </w:r>
      <w:r>
        <w:t>naturelle,</w:t>
      </w:r>
      <w:r w:rsidRPr="002C4077">
        <w:t xml:space="preserve"> </w:t>
      </w:r>
      <w:r>
        <w:t>soit</w:t>
      </w:r>
      <w:r w:rsidRPr="002C4077">
        <w:t xml:space="preserve"> </w:t>
      </w:r>
      <w:r>
        <w:t>traditionnelle</w:t>
      </w:r>
      <w:r w:rsidRPr="002C4077">
        <w:t xml:space="preserve"> </w:t>
      </w:r>
      <w:r>
        <w:t>des</w:t>
      </w:r>
      <w:r w:rsidRPr="002C4077">
        <w:t xml:space="preserve"> </w:t>
      </w:r>
      <w:r>
        <w:t>paroles</w:t>
      </w:r>
      <w:r w:rsidRPr="002C4077">
        <w:t xml:space="preserve"> </w:t>
      </w:r>
      <w:r>
        <w:t>d’Isaïe.</w:t>
      </w:r>
      <w:r w:rsidRPr="002C4077">
        <w:t xml:space="preserve"> </w:t>
      </w:r>
      <w:r>
        <w:t>Il</w:t>
      </w:r>
      <w:r w:rsidRPr="002C4077">
        <w:t xml:space="preserve"> </w:t>
      </w:r>
      <w:r>
        <w:t>n’est</w:t>
      </w:r>
      <w:r w:rsidRPr="002C4077">
        <w:t xml:space="preserve"> </w:t>
      </w:r>
      <w:r>
        <w:t>permis</w:t>
      </w:r>
      <w:r w:rsidRPr="002C4077">
        <w:t xml:space="preserve"> </w:t>
      </w:r>
      <w:r>
        <w:t>de</w:t>
      </w:r>
      <w:r w:rsidRPr="002C4077">
        <w:t xml:space="preserve"> </w:t>
      </w:r>
      <w:r>
        <w:t>placer</w:t>
      </w:r>
      <w:r w:rsidRPr="002C4077">
        <w:t xml:space="preserve"> </w:t>
      </w:r>
      <w:r>
        <w:t>ce</w:t>
      </w:r>
      <w:r w:rsidRPr="002C4077">
        <w:t xml:space="preserve"> </w:t>
      </w:r>
      <w:r w:rsidRPr="000A34B5">
        <w:rPr>
          <w:rStyle w:val="italicus"/>
        </w:rPr>
        <w:t>signum</w:t>
      </w:r>
      <w:r w:rsidRPr="002C4077">
        <w:t xml:space="preserve"> </w:t>
      </w:r>
      <w:r>
        <w:t>offert</w:t>
      </w:r>
      <w:r w:rsidRPr="002C4077">
        <w:t xml:space="preserve"> </w:t>
      </w:r>
      <w:r>
        <w:t>au</w:t>
      </w:r>
      <w:r w:rsidRPr="002C4077">
        <w:t xml:space="preserve"> </w:t>
      </w:r>
      <w:r>
        <w:t>nom</w:t>
      </w:r>
      <w:r w:rsidRPr="002C4077">
        <w:t xml:space="preserve"> </w:t>
      </w:r>
      <w:r>
        <w:t>de</w:t>
      </w:r>
      <w:r w:rsidRPr="002C4077">
        <w:t xml:space="preserve"> </w:t>
      </w:r>
      <w:r>
        <w:t>Dieu,</w:t>
      </w:r>
      <w:r w:rsidRPr="002C4077">
        <w:t xml:space="preserve"> </w:t>
      </w:r>
      <w:r>
        <w:t>ni</w:t>
      </w:r>
      <w:r w:rsidRPr="002C4077">
        <w:t xml:space="preserve"> </w:t>
      </w:r>
      <w:r>
        <w:t>dans</w:t>
      </w:r>
      <w:r w:rsidRPr="002C4077">
        <w:t xml:space="preserve"> </w:t>
      </w:r>
      <w:r>
        <w:t>la</w:t>
      </w:r>
      <w:r w:rsidRPr="002C4077">
        <w:t xml:space="preserve"> </w:t>
      </w:r>
      <w:r>
        <w:t>simple</w:t>
      </w:r>
      <w:r w:rsidRPr="002C4077">
        <w:t xml:space="preserve"> </w:t>
      </w:r>
      <w:r>
        <w:t>prédiction</w:t>
      </w:r>
      <w:r w:rsidRPr="002C4077">
        <w:t xml:space="preserve"> </w:t>
      </w:r>
      <w:r>
        <w:t>de</w:t>
      </w:r>
      <w:r w:rsidRPr="002C4077">
        <w:t xml:space="preserve"> </w:t>
      </w:r>
      <w:r>
        <w:t>la</w:t>
      </w:r>
      <w:r w:rsidRPr="002C4077">
        <w:t xml:space="preserve"> </w:t>
      </w:r>
      <w:r>
        <w:t>naissance</w:t>
      </w:r>
      <w:r w:rsidRPr="002C4077">
        <w:t xml:space="preserve"> </w:t>
      </w:r>
      <w:r>
        <w:t>d’un</w:t>
      </w:r>
      <w:r w:rsidRPr="002C4077">
        <w:t xml:space="preserve"> </w:t>
      </w:r>
      <w:r>
        <w:t>enfant</w:t>
      </w:r>
      <w:r w:rsidRPr="002C4077">
        <w:t xml:space="preserve"> </w:t>
      </w:r>
      <w:r>
        <w:t>mâle,</w:t>
      </w:r>
      <w:r w:rsidRPr="002C4077">
        <w:t xml:space="preserve"> </w:t>
      </w:r>
      <w:r>
        <w:t>ni</w:t>
      </w:r>
      <w:r w:rsidRPr="002C4077">
        <w:t xml:space="preserve"> </w:t>
      </w:r>
      <w:r>
        <w:t>dans</w:t>
      </w:r>
      <w:r w:rsidRPr="002C4077">
        <w:t xml:space="preserve"> </w:t>
      </w:r>
      <w:r w:rsidR="00B546AF">
        <w:t>« </w:t>
      </w:r>
      <w:r>
        <w:t>le</w:t>
      </w:r>
      <w:r w:rsidRPr="002C4077">
        <w:t xml:space="preserve"> </w:t>
      </w:r>
      <w:r>
        <w:t>nom</w:t>
      </w:r>
      <w:r w:rsidRPr="002C4077">
        <w:t xml:space="preserve"> </w:t>
      </w:r>
      <w:r>
        <w:t>symbolique</w:t>
      </w:r>
      <w:r w:rsidRPr="002C4077">
        <w:t xml:space="preserve"> </w:t>
      </w:r>
      <w:r>
        <w:t>donné</w:t>
      </w:r>
      <w:r w:rsidRPr="002C4077">
        <w:t xml:space="preserve"> </w:t>
      </w:r>
      <w:r>
        <w:t>d’avance</w:t>
      </w:r>
      <w:r w:rsidRPr="002C4077">
        <w:t xml:space="preserve"> </w:t>
      </w:r>
      <w:r>
        <w:t>à</w:t>
      </w:r>
      <w:r w:rsidRPr="002C4077">
        <w:t xml:space="preserve"> </w:t>
      </w:r>
      <w:r>
        <w:t>cet</w:t>
      </w:r>
      <w:r w:rsidRPr="002C4077">
        <w:t xml:space="preserve"> </w:t>
      </w:r>
      <w:r>
        <w:t>enfant</w:t>
      </w:r>
      <w:r w:rsidRPr="002C4077">
        <w:t xml:space="preserve"> </w:t>
      </w:r>
      <w:r>
        <w:t>comme</w:t>
      </w:r>
      <w:r w:rsidRPr="002C4077">
        <w:t xml:space="preserve"> </w:t>
      </w:r>
      <w:r>
        <w:t>un</w:t>
      </w:r>
      <w:r w:rsidRPr="002C4077">
        <w:t xml:space="preserve"> </w:t>
      </w:r>
      <w:r>
        <w:t>gage</w:t>
      </w:r>
      <w:r w:rsidRPr="002C4077">
        <w:t xml:space="preserve"> </w:t>
      </w:r>
      <w:r>
        <w:t>de</w:t>
      </w:r>
      <w:r w:rsidRPr="002C4077">
        <w:t xml:space="preserve"> </w:t>
      </w:r>
      <w:r>
        <w:t>salu</w:t>
      </w:r>
      <w:r w:rsidR="00623D96">
        <w:t>t</w:t>
      </w:r>
      <w:r w:rsidR="00B91AF7">
        <w:rPr>
          <w:rStyle w:val="Appelnotedebasdep"/>
        </w:rPr>
        <w:footnoteReference w:id="260"/>
      </w:r>
      <w:r w:rsidR="00B546AF">
        <w:t> »</w:t>
      </w:r>
      <w:r>
        <w:t>,</w:t>
      </w:r>
      <w:r w:rsidRPr="002C4077">
        <w:t xml:space="preserve"> </w:t>
      </w:r>
      <w:r>
        <w:t>ni</w:t>
      </w:r>
      <w:r w:rsidRPr="002C4077">
        <w:t xml:space="preserve"> </w:t>
      </w:r>
      <w:r>
        <w:t>dans</w:t>
      </w:r>
      <w:r w:rsidRPr="002C4077">
        <w:t xml:space="preserve"> </w:t>
      </w:r>
      <w:r>
        <w:t>sa</w:t>
      </w:r>
      <w:r w:rsidRPr="002C4077">
        <w:t xml:space="preserve"> </w:t>
      </w:r>
      <w:r w:rsidR="00B546AF">
        <w:t>« </w:t>
      </w:r>
      <w:r>
        <w:t>destinée</w:t>
      </w:r>
      <w:r w:rsidR="00B546AF">
        <w:t> »</w:t>
      </w:r>
      <w:r w:rsidRPr="002C4077">
        <w:t xml:space="preserve"> </w:t>
      </w:r>
      <w:r>
        <w:t>merveilleuse</w:t>
      </w:r>
      <w:r w:rsidR="00B91AF7">
        <w:rPr>
          <w:rStyle w:val="Appelnotedebasdep"/>
        </w:rPr>
        <w:footnoteReference w:id="261"/>
      </w:r>
      <w:r>
        <w:t>,</w:t>
      </w:r>
      <w:r w:rsidRPr="002C4077">
        <w:t xml:space="preserve"> </w:t>
      </w:r>
      <w:r>
        <w:t>ni</w:t>
      </w:r>
      <w:r w:rsidRPr="002C4077">
        <w:t xml:space="preserve"> </w:t>
      </w:r>
      <w:r>
        <w:t>dans</w:t>
      </w:r>
      <w:r w:rsidRPr="002C4077">
        <w:t xml:space="preserve"> </w:t>
      </w:r>
      <w:r>
        <w:t>aucun</w:t>
      </w:r>
      <w:r w:rsidRPr="002C4077">
        <w:t xml:space="preserve"> </w:t>
      </w:r>
      <w:r>
        <w:t>autre</w:t>
      </w:r>
      <w:r w:rsidRPr="002C4077">
        <w:t xml:space="preserve"> </w:t>
      </w:r>
      <w:r>
        <w:t>détail</w:t>
      </w:r>
      <w:r w:rsidRPr="002C4077">
        <w:t xml:space="preserve"> </w:t>
      </w:r>
      <w:r>
        <w:t>accessoire</w:t>
      </w:r>
      <w:r w:rsidRPr="002C4077">
        <w:t xml:space="preserve"> </w:t>
      </w:r>
      <w:r>
        <w:t>de</w:t>
      </w:r>
      <w:r w:rsidRPr="002C4077">
        <w:t xml:space="preserve"> </w:t>
      </w:r>
      <w:r>
        <w:t>l’oracle.</w:t>
      </w:r>
      <w:r w:rsidRPr="002C4077">
        <w:t xml:space="preserve"> </w:t>
      </w:r>
      <w:r>
        <w:t>Raisonner</w:t>
      </w:r>
      <w:r w:rsidRPr="002C4077">
        <w:t xml:space="preserve"> </w:t>
      </w:r>
      <w:r>
        <w:t>ainsi,</w:t>
      </w:r>
      <w:r w:rsidRPr="002C4077">
        <w:t xml:space="preserve"> </w:t>
      </w:r>
      <w:r>
        <w:t>n’est-ce</w:t>
      </w:r>
      <w:r w:rsidRPr="002C4077">
        <w:t xml:space="preserve"> </w:t>
      </w:r>
      <w:r>
        <w:t>pas</w:t>
      </w:r>
      <w:r w:rsidRPr="002C4077">
        <w:t xml:space="preserve"> </w:t>
      </w:r>
      <w:r>
        <w:t>prendre</w:t>
      </w:r>
      <w:r w:rsidRPr="002C4077">
        <w:t xml:space="preserve"> </w:t>
      </w:r>
      <w:r>
        <w:t>la</w:t>
      </w:r>
      <w:r w:rsidRPr="002C4077">
        <w:t xml:space="preserve"> </w:t>
      </w:r>
      <w:r>
        <w:t>partie</w:t>
      </w:r>
      <w:r w:rsidRPr="002C4077">
        <w:t xml:space="preserve"> </w:t>
      </w:r>
      <w:r>
        <w:t>pour</w:t>
      </w:r>
      <w:r w:rsidRPr="002C4077">
        <w:t xml:space="preserve"> </w:t>
      </w:r>
      <w:r>
        <w:t>le</w:t>
      </w:r>
      <w:r w:rsidRPr="002C4077">
        <w:t xml:space="preserve"> </w:t>
      </w:r>
      <w:r>
        <w:t>tout</w:t>
      </w:r>
      <w:r w:rsidRPr="002C4077">
        <w:t xml:space="preserve"> </w:t>
      </w:r>
      <w:r>
        <w:t>et</w:t>
      </w:r>
      <w:r w:rsidRPr="002C4077">
        <w:t xml:space="preserve"> </w:t>
      </w:r>
      <w:r>
        <w:t>négliger</w:t>
      </w:r>
      <w:r w:rsidRPr="002C4077">
        <w:t xml:space="preserve"> </w:t>
      </w:r>
      <w:r>
        <w:t>ce</w:t>
      </w:r>
      <w:r w:rsidRPr="002C4077">
        <w:t xml:space="preserve"> </w:t>
      </w:r>
      <w:r>
        <w:t>qu’il</w:t>
      </w:r>
      <w:r w:rsidRPr="002C4077">
        <w:t xml:space="preserve"> </w:t>
      </w:r>
      <w:r>
        <w:t>y</w:t>
      </w:r>
      <w:r w:rsidRPr="002C4077">
        <w:t xml:space="preserve"> </w:t>
      </w:r>
      <w:r>
        <w:t>a</w:t>
      </w:r>
      <w:r w:rsidRPr="002C4077">
        <w:t xml:space="preserve"> </w:t>
      </w:r>
      <w:r>
        <w:t>de</w:t>
      </w:r>
      <w:r w:rsidRPr="002C4077">
        <w:t xml:space="preserve"> </w:t>
      </w:r>
      <w:r>
        <w:t>plus</w:t>
      </w:r>
      <w:r w:rsidRPr="002C4077">
        <w:t xml:space="preserve"> </w:t>
      </w:r>
      <w:r>
        <w:t>essentiel</w:t>
      </w:r>
      <w:r w:rsidR="00B546AF">
        <w:t> ?</w:t>
      </w:r>
      <w:r w:rsidRPr="002C4077">
        <w:t xml:space="preserve"> </w:t>
      </w:r>
      <w:r>
        <w:t>Malgré</w:t>
      </w:r>
      <w:r w:rsidRPr="002C4077">
        <w:t xml:space="preserve"> </w:t>
      </w:r>
      <w:r>
        <w:t>son</w:t>
      </w:r>
      <w:r w:rsidRPr="002C4077">
        <w:t xml:space="preserve"> </w:t>
      </w:r>
      <w:r>
        <w:t>étrange</w:t>
      </w:r>
      <w:r w:rsidRPr="002C4077">
        <w:t xml:space="preserve"> </w:t>
      </w:r>
      <w:r>
        <w:t>témérité</w:t>
      </w:r>
      <w:r w:rsidRPr="002C4077">
        <w:t xml:space="preserve"> </w:t>
      </w:r>
      <w:r>
        <w:t>d’interprétation,</w:t>
      </w:r>
      <w:r w:rsidRPr="002C4077">
        <w:t xml:space="preserve"> </w:t>
      </w:r>
      <w:r>
        <w:t>qui</w:t>
      </w:r>
      <w:r w:rsidRPr="002C4077">
        <w:t xml:space="preserve"> </w:t>
      </w:r>
      <w:r>
        <w:t>a</w:t>
      </w:r>
      <w:r w:rsidRPr="002C4077">
        <w:t xml:space="preserve"> </w:t>
      </w:r>
      <w:r>
        <w:t>récemment</w:t>
      </w:r>
      <w:r w:rsidRPr="002C4077">
        <w:t xml:space="preserve"> </w:t>
      </w:r>
      <w:r>
        <w:t>scandalisé</w:t>
      </w:r>
      <w:r w:rsidRPr="002C4077">
        <w:t xml:space="preserve"> </w:t>
      </w:r>
      <w:r>
        <w:t>plus</w:t>
      </w:r>
      <w:r w:rsidRPr="002C4077">
        <w:t xml:space="preserve"> </w:t>
      </w:r>
      <w:r>
        <w:t>d’une</w:t>
      </w:r>
      <w:r w:rsidRPr="002C4077">
        <w:t xml:space="preserve"> </w:t>
      </w:r>
      <w:r>
        <w:t>âme</w:t>
      </w:r>
      <w:r w:rsidRPr="002C4077">
        <w:t xml:space="preserve"> </w:t>
      </w:r>
      <w:r>
        <w:t>croyante</w:t>
      </w:r>
      <w:r w:rsidRPr="002C4077">
        <w:t xml:space="preserve"> </w:t>
      </w:r>
      <w:r>
        <w:t>en</w:t>
      </w:r>
      <w:r w:rsidRPr="002C4077">
        <w:t xml:space="preserve"> </w:t>
      </w:r>
      <w:r>
        <w:t>Angleterre,</w:t>
      </w:r>
      <w:r w:rsidRPr="002C4077">
        <w:t xml:space="preserve"> </w:t>
      </w:r>
      <w:r>
        <w:t>M.</w:t>
      </w:r>
      <w:r w:rsidRPr="002C4077">
        <w:t xml:space="preserve"> </w:t>
      </w:r>
      <w:r>
        <w:t>Cheyne</w:t>
      </w:r>
      <w:r w:rsidRPr="002C4077">
        <w:t xml:space="preserve"> </w:t>
      </w:r>
      <w:r>
        <w:t>lui-même</w:t>
      </w:r>
      <w:r w:rsidRPr="002C4077">
        <w:t xml:space="preserve"> </w:t>
      </w:r>
      <w:r>
        <w:t>le</w:t>
      </w:r>
      <w:r w:rsidRPr="002C4077">
        <w:t xml:space="preserve"> </w:t>
      </w:r>
      <w:r>
        <w:t>reconnaît,</w:t>
      </w:r>
      <w:r w:rsidRPr="002C4077">
        <w:t xml:space="preserve"> </w:t>
      </w:r>
      <w:r w:rsidR="00B546AF">
        <w:t>« </w:t>
      </w:r>
      <w:r>
        <w:t>la</w:t>
      </w:r>
      <w:r w:rsidRPr="002C4077">
        <w:t xml:space="preserve"> </w:t>
      </w:r>
      <w:r>
        <w:t>mère</w:t>
      </w:r>
      <w:r w:rsidRPr="002C4077">
        <w:t xml:space="preserve"> </w:t>
      </w:r>
      <w:r>
        <w:t>du</w:t>
      </w:r>
      <w:r w:rsidRPr="002C4077">
        <w:t xml:space="preserve"> </w:t>
      </w:r>
      <w:r w:rsidR="00425C50">
        <w:t>Christ</w:t>
      </w:r>
      <w:r w:rsidRPr="002C4077">
        <w:t xml:space="preserve"> </w:t>
      </w:r>
      <w:r>
        <w:t>ne</w:t>
      </w:r>
      <w:r w:rsidRPr="002C4077">
        <w:t xml:space="preserve"> </w:t>
      </w:r>
      <w:r>
        <w:t>doit</w:t>
      </w:r>
      <w:r w:rsidRPr="002C4077">
        <w:t xml:space="preserve"> </w:t>
      </w:r>
      <w:r>
        <w:t>pas</w:t>
      </w:r>
      <w:r w:rsidRPr="002C4077">
        <w:t xml:space="preserve"> </w:t>
      </w:r>
      <w:r>
        <w:t>être</w:t>
      </w:r>
      <w:r w:rsidRPr="002C4077">
        <w:t xml:space="preserve"> </w:t>
      </w:r>
      <w:r>
        <w:t>laissée</w:t>
      </w:r>
      <w:r w:rsidRPr="002C4077">
        <w:t xml:space="preserve"> </w:t>
      </w:r>
      <w:r>
        <w:t>complètement</w:t>
      </w:r>
      <w:r w:rsidRPr="002C4077">
        <w:t xml:space="preserve"> </w:t>
      </w:r>
      <w:r>
        <w:t>hors</w:t>
      </w:r>
      <w:r w:rsidRPr="002C4077">
        <w:t xml:space="preserve"> </w:t>
      </w:r>
      <w:r>
        <w:t>de</w:t>
      </w:r>
      <w:r w:rsidRPr="002C4077">
        <w:t xml:space="preserve"> </w:t>
      </w:r>
      <w:r>
        <w:t>compte</w:t>
      </w:r>
      <w:r w:rsidR="00313A9D">
        <w:rPr>
          <w:rStyle w:val="Appelnotedebasdep"/>
        </w:rPr>
        <w:footnoteReference w:id="262"/>
      </w:r>
      <w:r w:rsidR="00B546AF">
        <w:t> »</w:t>
      </w:r>
      <w:r>
        <w:t>.</w:t>
      </w:r>
      <w:r w:rsidRPr="002C4077">
        <w:t xml:space="preserve"> </w:t>
      </w:r>
      <w:r>
        <w:t>Je</w:t>
      </w:r>
      <w:r w:rsidRPr="002C4077">
        <w:t xml:space="preserve"> </w:t>
      </w:r>
      <w:r>
        <w:t>crois</w:t>
      </w:r>
      <w:r w:rsidRPr="002C4077">
        <w:t xml:space="preserve"> </w:t>
      </w:r>
      <w:r>
        <w:t>bien</w:t>
      </w:r>
      <w:r w:rsidR="00B546AF">
        <w:t> !</w:t>
      </w:r>
      <w:r w:rsidRPr="002C4077">
        <w:t xml:space="preserve"> </w:t>
      </w:r>
      <w:r>
        <w:t>puisque</w:t>
      </w:r>
      <w:r w:rsidRPr="002C4077">
        <w:t xml:space="preserve"> </w:t>
      </w:r>
      <w:r>
        <w:t>c’est</w:t>
      </w:r>
      <w:r w:rsidRPr="002C4077">
        <w:t xml:space="preserve"> </w:t>
      </w:r>
      <w:r>
        <w:t>elle</w:t>
      </w:r>
      <w:r w:rsidRPr="002C4077">
        <w:t xml:space="preserve"> </w:t>
      </w:r>
      <w:r>
        <w:t>qui</w:t>
      </w:r>
      <w:r w:rsidRPr="002C4077">
        <w:t xml:space="preserve"> </w:t>
      </w:r>
      <w:r w:rsidR="00425C50">
        <w:t>est</w:t>
      </w:r>
      <w:r w:rsidRPr="002C4077">
        <w:t xml:space="preserve"> </w:t>
      </w:r>
      <w:r>
        <w:t>le</w:t>
      </w:r>
      <w:r w:rsidRPr="002C4077">
        <w:t xml:space="preserve"> </w:t>
      </w:r>
      <w:r>
        <w:t>point</w:t>
      </w:r>
      <w:r w:rsidRPr="002C4077">
        <w:t xml:space="preserve"> </w:t>
      </w:r>
      <w:r>
        <w:t>culminant</w:t>
      </w:r>
      <w:r w:rsidRPr="002C4077">
        <w:t xml:space="preserve"> </w:t>
      </w:r>
      <w:r>
        <w:t>de</w:t>
      </w:r>
      <w:r w:rsidRPr="002C4077">
        <w:t xml:space="preserve"> </w:t>
      </w:r>
      <w:r>
        <w:t>l’oracle,</w:t>
      </w:r>
      <w:r w:rsidRPr="002C4077">
        <w:t xml:space="preserve"> </w:t>
      </w:r>
      <w:r>
        <w:t>l’élément</w:t>
      </w:r>
      <w:r w:rsidRPr="002C4077">
        <w:t xml:space="preserve"> </w:t>
      </w:r>
      <w:r>
        <w:t>nouveau</w:t>
      </w:r>
      <w:r w:rsidRPr="002C4077">
        <w:t xml:space="preserve"> </w:t>
      </w:r>
      <w:r>
        <w:t>ajouté</w:t>
      </w:r>
      <w:r w:rsidRPr="002C4077">
        <w:t xml:space="preserve"> </w:t>
      </w:r>
      <w:r>
        <w:t>aux</w:t>
      </w:r>
      <w:r w:rsidRPr="002C4077">
        <w:t xml:space="preserve"> </w:t>
      </w:r>
      <w:r>
        <w:t>prédictions</w:t>
      </w:r>
      <w:r w:rsidRPr="002C4077">
        <w:t xml:space="preserve"> </w:t>
      </w:r>
      <w:r>
        <w:t>messianiques</w:t>
      </w:r>
      <w:bookmarkStart w:id="262" w:name="z_Signe_o4"/>
      <w:bookmarkEnd w:id="262"/>
      <w:r w:rsidRPr="002C4077">
        <w:t xml:space="preserve"> </w:t>
      </w:r>
      <w:r>
        <w:t>antérieures.</w:t>
      </w:r>
      <w:r w:rsidRPr="002C4077">
        <w:t xml:space="preserve"> </w:t>
      </w:r>
    </w:p>
    <w:p w:rsidR="007B0987" w:rsidRDefault="007B0987" w:rsidP="000A7AAB"/>
    <w:p w:rsidR="000A7AAB" w:rsidRDefault="000A7AAB" w:rsidP="000A7AAB">
      <w:r>
        <w:t>Cela</w:t>
      </w:r>
      <w:r w:rsidRPr="002C4077">
        <w:t xml:space="preserve"> </w:t>
      </w:r>
      <w:r>
        <w:t>posé,</w:t>
      </w:r>
      <w:r w:rsidRPr="002C4077">
        <w:t xml:space="preserve"> </w:t>
      </w:r>
      <w:r>
        <w:t>revenons</w:t>
      </w:r>
      <w:r w:rsidRPr="002C4077">
        <w:t xml:space="preserve"> </w:t>
      </w:r>
      <w:r>
        <w:t>à</w:t>
      </w:r>
      <w:r w:rsidRPr="002C4077">
        <w:t xml:space="preserve"> </w:t>
      </w:r>
      <w:r>
        <w:t>l’objection</w:t>
      </w:r>
      <w:r w:rsidRPr="002C4077">
        <w:t xml:space="preserve"> </w:t>
      </w:r>
      <w:r>
        <w:t>pour</w:t>
      </w:r>
      <w:r w:rsidRPr="002C4077">
        <w:t xml:space="preserve"> </w:t>
      </w:r>
      <w:r>
        <w:t>la</w:t>
      </w:r>
      <w:r w:rsidRPr="002C4077">
        <w:t xml:space="preserve"> </w:t>
      </w:r>
      <w:r>
        <w:t>résoudre.</w:t>
      </w:r>
      <w:r w:rsidRPr="002C4077">
        <w:t xml:space="preserve"> </w:t>
      </w:r>
    </w:p>
    <w:p w:rsidR="000A7AAB" w:rsidRPr="000721C4" w:rsidRDefault="000A7AAB" w:rsidP="000A7AAB">
      <w:r>
        <w:t>Parmi</w:t>
      </w:r>
      <w:r w:rsidRPr="002C4077">
        <w:t xml:space="preserve"> </w:t>
      </w:r>
      <w:r>
        <w:t>les</w:t>
      </w:r>
      <w:r w:rsidRPr="002C4077">
        <w:t xml:space="preserve"> </w:t>
      </w:r>
      <w:r>
        <w:t>tentatives</w:t>
      </w:r>
      <w:r w:rsidRPr="002C4077">
        <w:t xml:space="preserve"> </w:t>
      </w:r>
      <w:r>
        <w:t>du</w:t>
      </w:r>
      <w:r w:rsidRPr="002C4077">
        <w:t xml:space="preserve"> </w:t>
      </w:r>
      <w:r>
        <w:t>même</w:t>
      </w:r>
      <w:r w:rsidRPr="002C4077">
        <w:t xml:space="preserve"> </w:t>
      </w:r>
      <w:r>
        <w:t>genre</w:t>
      </w:r>
      <w:r w:rsidRPr="002C4077">
        <w:t xml:space="preserve"> </w:t>
      </w:r>
      <w:r>
        <w:t>qui</w:t>
      </w:r>
      <w:r w:rsidRPr="002C4077">
        <w:t xml:space="preserve"> </w:t>
      </w:r>
      <w:r>
        <w:t>ont</w:t>
      </w:r>
      <w:r w:rsidRPr="002C4077">
        <w:t xml:space="preserve"> </w:t>
      </w:r>
      <w:r>
        <w:t>eu</w:t>
      </w:r>
      <w:r w:rsidRPr="002C4077">
        <w:t xml:space="preserve"> </w:t>
      </w:r>
      <w:r>
        <w:t>lieu</w:t>
      </w:r>
      <w:r w:rsidRPr="002C4077">
        <w:t xml:space="preserve"> </w:t>
      </w:r>
      <w:r>
        <w:t>dans</w:t>
      </w:r>
      <w:r w:rsidRPr="002C4077">
        <w:t xml:space="preserve"> </w:t>
      </w:r>
      <w:r>
        <w:t>le</w:t>
      </w:r>
      <w:r w:rsidRPr="002C4077">
        <w:t xml:space="preserve"> </w:t>
      </w:r>
      <w:r>
        <w:t>cours</w:t>
      </w:r>
      <w:r w:rsidRPr="002C4077">
        <w:t xml:space="preserve"> </w:t>
      </w:r>
      <w:r>
        <w:t>des</w:t>
      </w:r>
      <w:r w:rsidRPr="002C4077">
        <w:t xml:space="preserve"> </w:t>
      </w:r>
      <w:r>
        <w:t>siècles,</w:t>
      </w:r>
      <w:r w:rsidRPr="002C4077">
        <w:t xml:space="preserve"> </w:t>
      </w:r>
      <w:r>
        <w:t>il</w:t>
      </w:r>
      <w:r w:rsidRPr="002C4077">
        <w:t xml:space="preserve"> </w:t>
      </w:r>
      <w:r>
        <w:t>en</w:t>
      </w:r>
      <w:r w:rsidRPr="002C4077">
        <w:t xml:space="preserve"> </w:t>
      </w:r>
      <w:r w:rsidR="00425C50">
        <w:t>est</w:t>
      </w:r>
      <w:r w:rsidRPr="002C4077">
        <w:t xml:space="preserve"> </w:t>
      </w:r>
      <w:r>
        <w:t>plusieurs</w:t>
      </w:r>
      <w:r w:rsidRPr="002C4077">
        <w:t xml:space="preserve"> </w:t>
      </w:r>
      <w:r>
        <w:t>que</w:t>
      </w:r>
      <w:r w:rsidRPr="002C4077">
        <w:t xml:space="preserve"> </w:t>
      </w:r>
      <w:r>
        <w:t>nous</w:t>
      </w:r>
      <w:r w:rsidRPr="002C4077">
        <w:t xml:space="preserve"> </w:t>
      </w:r>
      <w:r>
        <w:t>rejetterons</w:t>
      </w:r>
      <w:r w:rsidRPr="002C4077">
        <w:t xml:space="preserve"> </w:t>
      </w:r>
      <w:r>
        <w:t>sans</w:t>
      </w:r>
      <w:r w:rsidRPr="002C4077">
        <w:t xml:space="preserve"> </w:t>
      </w:r>
      <w:r>
        <w:t>hésiter.</w:t>
      </w:r>
      <w:r w:rsidRPr="002C4077">
        <w:t xml:space="preserve"> </w:t>
      </w:r>
      <w:r>
        <w:t>Nous</w:t>
      </w:r>
      <w:r w:rsidRPr="002C4077">
        <w:t xml:space="preserve"> </w:t>
      </w:r>
      <w:r>
        <w:t>distinguerons</w:t>
      </w:r>
      <w:r w:rsidRPr="002C4077">
        <w:t xml:space="preserve"> </w:t>
      </w:r>
      <w:r>
        <w:t>donc</w:t>
      </w:r>
      <w:r w:rsidRPr="002C4077">
        <w:t xml:space="preserve"> </w:t>
      </w:r>
      <w:r>
        <w:t>les</w:t>
      </w:r>
      <w:r w:rsidRPr="002C4077">
        <w:t xml:space="preserve"> </w:t>
      </w:r>
      <w:r>
        <w:t>fausses</w:t>
      </w:r>
      <w:r w:rsidRPr="002C4077">
        <w:t xml:space="preserve"> </w:t>
      </w:r>
      <w:r>
        <w:t>solutions</w:t>
      </w:r>
      <w:r w:rsidRPr="002C4077">
        <w:t xml:space="preserve"> </w:t>
      </w:r>
      <w:r>
        <w:t>et</w:t>
      </w:r>
      <w:r w:rsidRPr="002C4077">
        <w:t xml:space="preserve"> </w:t>
      </w:r>
      <w:r>
        <w:t>la</w:t>
      </w:r>
      <w:r w:rsidRPr="002C4077">
        <w:t xml:space="preserve"> </w:t>
      </w:r>
      <w:r>
        <w:t>vraie</w:t>
      </w:r>
      <w:r w:rsidRPr="002C4077">
        <w:t xml:space="preserve"> </w:t>
      </w:r>
      <w:r>
        <w:t>solution.</w:t>
      </w:r>
      <w:r w:rsidRPr="002C4077">
        <w:t xml:space="preserve"> </w:t>
      </w:r>
      <w:r>
        <w:t>Cette</w:t>
      </w:r>
      <w:r w:rsidRPr="002C4077">
        <w:t xml:space="preserve"> </w:t>
      </w:r>
      <w:r>
        <w:t>dernière</w:t>
      </w:r>
      <w:r w:rsidRPr="002C4077">
        <w:t xml:space="preserve"> </w:t>
      </w:r>
      <w:r>
        <w:t>étant</w:t>
      </w:r>
      <w:r w:rsidRPr="002C4077">
        <w:t xml:space="preserve"> </w:t>
      </w:r>
      <w:r>
        <w:t>certainement</w:t>
      </w:r>
      <w:r w:rsidRPr="002C4077">
        <w:t xml:space="preserve"> </w:t>
      </w:r>
      <w:r>
        <w:t>la</w:t>
      </w:r>
      <w:r w:rsidRPr="002C4077">
        <w:t xml:space="preserve"> </w:t>
      </w:r>
      <w:r>
        <w:t>plus</w:t>
      </w:r>
      <w:r w:rsidRPr="002C4077">
        <w:t xml:space="preserve"> </w:t>
      </w:r>
      <w:r>
        <w:t>difficile,</w:t>
      </w:r>
      <w:r w:rsidRPr="002C4077">
        <w:t xml:space="preserve"> </w:t>
      </w:r>
      <w:r>
        <w:t>si</w:t>
      </w:r>
      <w:r w:rsidRPr="002C4077">
        <w:t xml:space="preserve"> </w:t>
      </w:r>
      <w:r>
        <w:t>nous</w:t>
      </w:r>
      <w:r w:rsidRPr="002C4077">
        <w:t xml:space="preserve"> </w:t>
      </w:r>
      <w:r>
        <w:t>réussissons,</w:t>
      </w:r>
      <w:r w:rsidRPr="002C4077">
        <w:t xml:space="preserve"> </w:t>
      </w:r>
      <w:r>
        <w:t>Dieu</w:t>
      </w:r>
      <w:r w:rsidRPr="002C4077">
        <w:t xml:space="preserve"> </w:t>
      </w:r>
      <w:r>
        <w:t>aidant,</w:t>
      </w:r>
      <w:r w:rsidRPr="002C4077">
        <w:t xml:space="preserve"> </w:t>
      </w:r>
      <w:r>
        <w:t>à</w:t>
      </w:r>
      <w:r w:rsidRPr="002C4077">
        <w:t xml:space="preserve"> </w:t>
      </w:r>
      <w:r>
        <w:t>la</w:t>
      </w:r>
      <w:r w:rsidRPr="002C4077">
        <w:t xml:space="preserve"> </w:t>
      </w:r>
      <w:r>
        <w:t>présenter</w:t>
      </w:r>
      <w:r w:rsidRPr="002C4077">
        <w:t xml:space="preserve"> </w:t>
      </w:r>
      <w:r>
        <w:t>d’une</w:t>
      </w:r>
      <w:r w:rsidRPr="002C4077">
        <w:t xml:space="preserve"> </w:t>
      </w:r>
      <w:r>
        <w:t>manière</w:t>
      </w:r>
      <w:r w:rsidRPr="002C4077">
        <w:t xml:space="preserve"> </w:t>
      </w:r>
      <w:r>
        <w:t>satisfaisante,</w:t>
      </w:r>
      <w:r w:rsidRPr="002C4077">
        <w:t xml:space="preserve"> </w:t>
      </w:r>
      <w:r>
        <w:t>l’oracle</w:t>
      </w:r>
      <w:r w:rsidRPr="002C4077">
        <w:t xml:space="preserve"> </w:t>
      </w:r>
      <w:r>
        <w:t>de</w:t>
      </w:r>
      <w:r w:rsidRPr="002C4077">
        <w:t xml:space="preserve"> </w:t>
      </w:r>
      <w:r w:rsidR="00D40830" w:rsidRPr="00D40830">
        <w:t>l’</w:t>
      </w:r>
      <w:r w:rsidR="00D40830" w:rsidRPr="00D05EA9">
        <w:rPr>
          <w:rStyle w:val="italicus"/>
        </w:rPr>
        <w:t>῾almah</w:t>
      </w:r>
      <w:r w:rsidRPr="002C4077">
        <w:t xml:space="preserve"> </w:t>
      </w:r>
      <w:r>
        <w:t>n’en</w:t>
      </w:r>
      <w:r w:rsidRPr="002C4077">
        <w:t xml:space="preserve"> </w:t>
      </w:r>
      <w:r>
        <w:t>apparaîtra</w:t>
      </w:r>
      <w:r w:rsidRPr="002C4077">
        <w:t xml:space="preserve"> </w:t>
      </w:r>
      <w:r>
        <w:t>que</w:t>
      </w:r>
      <w:r w:rsidRPr="002C4077">
        <w:t xml:space="preserve"> </w:t>
      </w:r>
      <w:r>
        <w:t>mieux</w:t>
      </w:r>
      <w:r w:rsidRPr="002C4077">
        <w:t xml:space="preserve"> </w:t>
      </w:r>
      <w:r>
        <w:t>clans</w:t>
      </w:r>
      <w:r w:rsidRPr="002C4077">
        <w:t xml:space="preserve"> </w:t>
      </w:r>
      <w:r>
        <w:t>toute</w:t>
      </w:r>
      <w:r w:rsidRPr="002C4077">
        <w:t xml:space="preserve"> </w:t>
      </w:r>
      <w:r>
        <w:t>sa</w:t>
      </w:r>
      <w:r w:rsidRPr="002C4077">
        <w:t xml:space="preserve"> </w:t>
      </w:r>
      <w:r>
        <w:t>force.</w:t>
      </w:r>
      <w:r w:rsidR="00C45B47">
        <w:t xml:space="preserve"> {</w:t>
      </w:r>
      <w:r w:rsidR="000721C4">
        <w:t>84</w:t>
      </w:r>
      <w:bookmarkStart w:id="263" w:name="p084"/>
      <w:bookmarkEnd w:id="263"/>
      <w:r w:rsidR="000721C4">
        <w:t xml:space="preserve">} </w:t>
      </w:r>
    </w:p>
    <w:p w:rsidR="007B0987" w:rsidRDefault="007B0987" w:rsidP="000A7AAB"/>
    <w:p w:rsidR="000A7AAB" w:rsidRDefault="000A7AAB" w:rsidP="000A7AAB">
      <w:r>
        <w:t>1.</w:t>
      </w:r>
      <w:r w:rsidRPr="002C4077">
        <w:t xml:space="preserve"> </w:t>
      </w:r>
      <w:r w:rsidRPr="000A34B5">
        <w:rPr>
          <w:rStyle w:val="italicus"/>
        </w:rPr>
        <w:t>Les</w:t>
      </w:r>
      <w:r w:rsidRPr="002C4077">
        <w:t xml:space="preserve"> </w:t>
      </w:r>
      <w:r w:rsidRPr="000A34B5">
        <w:rPr>
          <w:rStyle w:val="italicus"/>
        </w:rPr>
        <w:t>fausses</w:t>
      </w:r>
      <w:r w:rsidRPr="002C4077">
        <w:t xml:space="preserve"> </w:t>
      </w:r>
      <w:r w:rsidRPr="000A34B5">
        <w:rPr>
          <w:rStyle w:val="italicus"/>
        </w:rPr>
        <w:t>solutions.</w:t>
      </w:r>
      <w:bookmarkStart w:id="264" w:name="z_Almah_o24"/>
      <w:bookmarkEnd w:id="264"/>
      <w:r w:rsidRPr="002C4077">
        <w:t xml:space="preserve"> </w:t>
      </w:r>
      <w:r>
        <w:t>—</w:t>
      </w:r>
      <w:r w:rsidRPr="002C4077">
        <w:t xml:space="preserve"> </w:t>
      </w:r>
      <w:r>
        <w:t>1°</w:t>
      </w:r>
      <w:r w:rsidRPr="002C4077">
        <w:t xml:space="preserve"> </w:t>
      </w:r>
      <w:r>
        <w:t>Nous</w:t>
      </w:r>
      <w:r w:rsidRPr="002C4077">
        <w:t xml:space="preserve"> </w:t>
      </w:r>
      <w:r>
        <w:t>ne</w:t>
      </w:r>
      <w:r w:rsidRPr="002C4077">
        <w:t xml:space="preserve"> </w:t>
      </w:r>
      <w:r>
        <w:t>nous</w:t>
      </w:r>
      <w:r w:rsidRPr="002C4077">
        <w:t xml:space="preserve"> </w:t>
      </w:r>
      <w:r>
        <w:t>arrêterons</w:t>
      </w:r>
      <w:r w:rsidRPr="002C4077">
        <w:t xml:space="preserve"> </w:t>
      </w:r>
      <w:r>
        <w:t>pas</w:t>
      </w:r>
      <w:r w:rsidRPr="002C4077">
        <w:t xml:space="preserve"> </w:t>
      </w:r>
      <w:r>
        <w:t>à</w:t>
      </w:r>
      <w:r w:rsidRPr="002C4077">
        <w:t xml:space="preserve"> </w:t>
      </w:r>
      <w:r>
        <w:t>réfuter</w:t>
      </w:r>
      <w:r w:rsidRPr="002C4077">
        <w:t xml:space="preserve"> </w:t>
      </w:r>
      <w:r>
        <w:t>longuement</w:t>
      </w:r>
      <w:r w:rsidRPr="002C4077">
        <w:t xml:space="preserve"> </w:t>
      </w:r>
      <w:r>
        <w:t>l’hypothèse</w:t>
      </w:r>
      <w:r w:rsidRPr="002C4077">
        <w:t xml:space="preserve"> </w:t>
      </w:r>
      <w:r>
        <w:t>d’Ewald,</w:t>
      </w:r>
      <w:r w:rsidRPr="002C4077">
        <w:t xml:space="preserve"> </w:t>
      </w:r>
      <w:r>
        <w:t>d’Umbreit,</w:t>
      </w:r>
      <w:r w:rsidRPr="002C4077">
        <w:t xml:space="preserve"> </w:t>
      </w:r>
      <w:r w:rsidR="00425C50">
        <w:t>etc</w:t>
      </w:r>
      <w:r>
        <w:t>.,</w:t>
      </w:r>
      <w:r w:rsidRPr="002C4077">
        <w:t xml:space="preserve"> </w:t>
      </w:r>
      <w:r>
        <w:t>déjà</w:t>
      </w:r>
      <w:r w:rsidRPr="002C4077">
        <w:t xml:space="preserve"> </w:t>
      </w:r>
      <w:r>
        <w:t>signalée</w:t>
      </w:r>
      <w:r w:rsidRPr="002C4077">
        <w:t xml:space="preserve"> </w:t>
      </w:r>
      <w:r>
        <w:t>plus</w:t>
      </w:r>
      <w:r w:rsidRPr="002C4077">
        <w:t xml:space="preserve"> </w:t>
      </w:r>
      <w:r>
        <w:t>haut,</w:t>
      </w:r>
      <w:r w:rsidRPr="002C4077">
        <w:t xml:space="preserve"> </w:t>
      </w:r>
      <w:r>
        <w:t>et</w:t>
      </w:r>
      <w:r w:rsidRPr="002C4077">
        <w:t xml:space="preserve"> </w:t>
      </w:r>
      <w:r>
        <w:t>d’après</w:t>
      </w:r>
      <w:r w:rsidRPr="002C4077">
        <w:t xml:space="preserve"> </w:t>
      </w:r>
      <w:r>
        <w:t>laquelle</w:t>
      </w:r>
      <w:r w:rsidRPr="002C4077">
        <w:t xml:space="preserve"> </w:t>
      </w:r>
      <w:r>
        <w:t>Isaïe</w:t>
      </w:r>
      <w:r w:rsidRPr="002C4077">
        <w:t xml:space="preserve"> </w:t>
      </w:r>
      <w:r>
        <w:t>se</w:t>
      </w:r>
      <w:r w:rsidRPr="002C4077">
        <w:t xml:space="preserve"> </w:t>
      </w:r>
      <w:r>
        <w:t>serait</w:t>
      </w:r>
      <w:r w:rsidRPr="002C4077">
        <w:t xml:space="preserve"> </w:t>
      </w:r>
      <w:r>
        <w:t>trompé,</w:t>
      </w:r>
      <w:r w:rsidRPr="002C4077">
        <w:t xml:space="preserve"> </w:t>
      </w:r>
      <w:r>
        <w:t>sinon</w:t>
      </w:r>
      <w:r w:rsidRPr="002C4077">
        <w:t xml:space="preserve"> </w:t>
      </w:r>
      <w:r>
        <w:t>sur</w:t>
      </w:r>
      <w:r w:rsidRPr="002C4077">
        <w:t xml:space="preserve"> </w:t>
      </w:r>
      <w:r>
        <w:t>le</w:t>
      </w:r>
      <w:r w:rsidRPr="002C4077">
        <w:t xml:space="preserve"> </w:t>
      </w:r>
      <w:r>
        <w:t>fond</w:t>
      </w:r>
      <w:r w:rsidRPr="002C4077">
        <w:t xml:space="preserve"> </w:t>
      </w:r>
      <w:r>
        <w:t>même,</w:t>
      </w:r>
      <w:r w:rsidRPr="002C4077">
        <w:t xml:space="preserve"> </w:t>
      </w:r>
      <w:r>
        <w:t>du</w:t>
      </w:r>
      <w:r w:rsidRPr="002C4077">
        <w:t xml:space="preserve"> </w:t>
      </w:r>
      <w:r>
        <w:lastRenderedPageBreak/>
        <w:t>moins</w:t>
      </w:r>
      <w:r w:rsidRPr="002C4077">
        <w:t xml:space="preserve"> </w:t>
      </w:r>
      <w:r>
        <w:t>sur</w:t>
      </w:r>
      <w:r w:rsidRPr="002C4077">
        <w:t xml:space="preserve"> </w:t>
      </w:r>
      <w:r>
        <w:t>une</w:t>
      </w:r>
      <w:r w:rsidRPr="002C4077">
        <w:t xml:space="preserve"> </w:t>
      </w:r>
      <w:r>
        <w:t>circonstance</w:t>
      </w:r>
      <w:r w:rsidRPr="002C4077">
        <w:t xml:space="preserve"> </w:t>
      </w:r>
      <w:r>
        <w:t>de</w:t>
      </w:r>
      <w:r w:rsidRPr="002C4077">
        <w:t xml:space="preserve"> </w:t>
      </w:r>
      <w:r>
        <w:t>sa</w:t>
      </w:r>
      <w:r w:rsidRPr="002C4077">
        <w:t xml:space="preserve"> </w:t>
      </w:r>
      <w:r>
        <w:t>prédiction,</w:t>
      </w:r>
      <w:r w:rsidRPr="002C4077">
        <w:t xml:space="preserve"> </w:t>
      </w:r>
      <w:r>
        <w:t>en</w:t>
      </w:r>
      <w:r w:rsidRPr="002C4077">
        <w:t xml:space="preserve"> </w:t>
      </w:r>
      <w:r>
        <w:t>croyant</w:t>
      </w:r>
      <w:r w:rsidRPr="002C4077">
        <w:t xml:space="preserve"> </w:t>
      </w:r>
      <w:r>
        <w:t>que</w:t>
      </w:r>
      <w:r w:rsidRPr="002C4077">
        <w:t xml:space="preserve"> </w:t>
      </w:r>
      <w:r>
        <w:t>le</w:t>
      </w:r>
      <w:r w:rsidRPr="002C4077">
        <w:t xml:space="preserve"> </w:t>
      </w:r>
      <w:r>
        <w:t>libérateur</w:t>
      </w:r>
      <w:r w:rsidRPr="002C4077">
        <w:t xml:space="preserve"> </w:t>
      </w:r>
      <w:r>
        <w:t>d’Israël</w:t>
      </w:r>
      <w:r w:rsidRPr="002C4077">
        <w:t xml:space="preserve"> </w:t>
      </w:r>
      <w:r>
        <w:t>allait</w:t>
      </w:r>
      <w:r w:rsidRPr="002C4077">
        <w:t xml:space="preserve"> </w:t>
      </w:r>
      <w:r>
        <w:t>bientôt</w:t>
      </w:r>
      <w:r w:rsidRPr="002C4077">
        <w:t xml:space="preserve"> </w:t>
      </w:r>
      <w:r>
        <w:t>paraître</w:t>
      </w:r>
      <w:r w:rsidR="00B91AF7">
        <w:rPr>
          <w:rStyle w:val="Appelnotedebasdep"/>
        </w:rPr>
        <w:footnoteReference w:id="263"/>
      </w:r>
      <w:r>
        <w:t>.</w:t>
      </w:r>
      <w:r w:rsidRPr="002C4077">
        <w:t xml:space="preserve"> </w:t>
      </w:r>
      <w:r>
        <w:t>M.</w:t>
      </w:r>
      <w:r w:rsidRPr="002C4077">
        <w:t xml:space="preserve"> </w:t>
      </w:r>
      <w:r>
        <w:t>W.</w:t>
      </w:r>
      <w:r w:rsidRPr="002C4077">
        <w:t xml:space="preserve"> </w:t>
      </w:r>
      <w:r>
        <w:t>Schultz</w:t>
      </w:r>
      <w:r w:rsidRPr="002C4077">
        <w:t xml:space="preserve"> </w:t>
      </w:r>
      <w:r w:rsidR="00B91AF7">
        <w:rPr>
          <w:rStyle w:val="Appelnotedebasdep"/>
        </w:rPr>
        <w:footnoteReference w:id="264"/>
      </w:r>
      <w:r w:rsidRPr="002C4077">
        <w:t xml:space="preserve"> </w:t>
      </w:r>
      <w:r>
        <w:t>a</w:t>
      </w:r>
      <w:r w:rsidRPr="002C4077">
        <w:t xml:space="preserve"> </w:t>
      </w:r>
      <w:r>
        <w:t>tout</w:t>
      </w:r>
      <w:r w:rsidRPr="002C4077">
        <w:t xml:space="preserve"> </w:t>
      </w:r>
      <w:r>
        <w:t>à</w:t>
      </w:r>
      <w:r w:rsidRPr="002C4077">
        <w:t xml:space="preserve"> </w:t>
      </w:r>
      <w:r>
        <w:t>fait</w:t>
      </w:r>
      <w:r w:rsidRPr="002C4077">
        <w:t xml:space="preserve"> </w:t>
      </w:r>
      <w:r>
        <w:t>raison</w:t>
      </w:r>
      <w:r w:rsidRPr="002C4077">
        <w:t xml:space="preserve"> </w:t>
      </w:r>
      <w:r>
        <w:t>de</w:t>
      </w:r>
      <w:r w:rsidRPr="002C4077">
        <w:t xml:space="preserve"> </w:t>
      </w:r>
      <w:r>
        <w:t>dire</w:t>
      </w:r>
      <w:r w:rsidRPr="002C4077">
        <w:t xml:space="preserve"> </w:t>
      </w:r>
      <w:r w:rsidR="00B546AF">
        <w:t>« </w:t>
      </w:r>
      <w:r>
        <w:t>qu’elle</w:t>
      </w:r>
      <w:r w:rsidRPr="002C4077">
        <w:t xml:space="preserve"> </w:t>
      </w:r>
      <w:r>
        <w:t>n’est</w:t>
      </w:r>
      <w:r w:rsidRPr="002C4077">
        <w:t xml:space="preserve"> </w:t>
      </w:r>
      <w:r>
        <w:t>pas</w:t>
      </w:r>
      <w:r w:rsidRPr="002C4077">
        <w:t xml:space="preserve"> </w:t>
      </w:r>
      <w:r>
        <w:t>soutenable</w:t>
      </w:r>
      <w:r w:rsidR="00B546AF">
        <w:t> »</w:t>
      </w:r>
      <w:r>
        <w:t>.</w:t>
      </w:r>
      <w:r w:rsidRPr="002C4077">
        <w:t xml:space="preserve"> </w:t>
      </w:r>
      <w:r>
        <w:t>Que</w:t>
      </w:r>
      <w:r w:rsidRPr="002C4077">
        <w:t xml:space="preserve"> </w:t>
      </w:r>
      <w:r>
        <w:t>deviendrait</w:t>
      </w:r>
      <w:r w:rsidRPr="002C4077">
        <w:t xml:space="preserve"> </w:t>
      </w:r>
      <w:r>
        <w:t>la</w:t>
      </w:r>
      <w:r w:rsidRPr="002C4077">
        <w:t xml:space="preserve"> </w:t>
      </w:r>
      <w:r>
        <w:t>littérature</w:t>
      </w:r>
      <w:r w:rsidRPr="002C4077">
        <w:t xml:space="preserve"> </w:t>
      </w:r>
      <w:r>
        <w:t>prophétique,</w:t>
      </w:r>
      <w:r w:rsidRPr="002C4077">
        <w:t xml:space="preserve"> </w:t>
      </w:r>
      <w:r>
        <w:t>si</w:t>
      </w:r>
      <w:r w:rsidRPr="002C4077">
        <w:t xml:space="preserve"> </w:t>
      </w:r>
      <w:r>
        <w:t>les</w:t>
      </w:r>
      <w:r w:rsidRPr="002C4077">
        <w:t xml:space="preserve"> </w:t>
      </w:r>
      <w:r>
        <w:t>prophètes</w:t>
      </w:r>
      <w:r w:rsidRPr="002C4077">
        <w:t xml:space="preserve"> </w:t>
      </w:r>
      <w:r>
        <w:t>pouvaient</w:t>
      </w:r>
      <w:r w:rsidRPr="002C4077">
        <w:t xml:space="preserve"> </w:t>
      </w:r>
      <w:r>
        <w:t>errer</w:t>
      </w:r>
      <w:r w:rsidRPr="002C4077">
        <w:t xml:space="preserve"> </w:t>
      </w:r>
      <w:r>
        <w:t>en</w:t>
      </w:r>
      <w:r w:rsidRPr="002C4077">
        <w:t xml:space="preserve"> </w:t>
      </w:r>
      <w:r>
        <w:t>des</w:t>
      </w:r>
      <w:r w:rsidRPr="002C4077">
        <w:t xml:space="preserve"> </w:t>
      </w:r>
      <w:r>
        <w:t>matières</w:t>
      </w:r>
      <w:r w:rsidRPr="002C4077">
        <w:t xml:space="preserve"> </w:t>
      </w:r>
      <w:r>
        <w:t>d’une</w:t>
      </w:r>
      <w:r w:rsidRPr="002C4077">
        <w:t xml:space="preserve"> </w:t>
      </w:r>
      <w:r>
        <w:t>telle</w:t>
      </w:r>
      <w:r w:rsidRPr="002C4077">
        <w:t xml:space="preserve"> </w:t>
      </w:r>
      <w:r>
        <w:t>importance</w:t>
      </w:r>
      <w:r w:rsidR="00B546AF">
        <w:t> ?</w:t>
      </w:r>
      <w:r w:rsidRPr="002C4077">
        <w:t xml:space="preserve"> </w:t>
      </w:r>
      <w:r>
        <w:t>Au</w:t>
      </w:r>
      <w:r w:rsidRPr="002C4077">
        <w:t xml:space="preserve"> </w:t>
      </w:r>
      <w:r>
        <w:t>reste,</w:t>
      </w:r>
      <w:r w:rsidRPr="002C4077">
        <w:t xml:space="preserve"> </w:t>
      </w:r>
      <w:r>
        <w:t>nous</w:t>
      </w:r>
      <w:r w:rsidRPr="002C4077">
        <w:t xml:space="preserve"> </w:t>
      </w:r>
      <w:r>
        <w:t>verrons</w:t>
      </w:r>
      <w:r w:rsidRPr="002C4077">
        <w:t xml:space="preserve"> </w:t>
      </w:r>
      <w:r>
        <w:t>plus</w:t>
      </w:r>
      <w:r w:rsidRPr="002C4077">
        <w:t xml:space="preserve"> </w:t>
      </w:r>
      <w:r>
        <w:t>loin</w:t>
      </w:r>
      <w:r w:rsidRPr="002C4077">
        <w:t xml:space="preserve"> </w:t>
      </w:r>
      <w:r>
        <w:t>qu’Isaïe</w:t>
      </w:r>
      <w:r w:rsidRPr="002C4077">
        <w:t xml:space="preserve"> </w:t>
      </w:r>
      <w:r>
        <w:t>n’attendait</w:t>
      </w:r>
      <w:r w:rsidRPr="002C4077">
        <w:t xml:space="preserve"> </w:t>
      </w:r>
      <w:r>
        <w:t>pas</w:t>
      </w:r>
      <w:r w:rsidRPr="002C4077">
        <w:t xml:space="preserve"> </w:t>
      </w:r>
      <w:r>
        <w:t>le</w:t>
      </w:r>
      <w:r w:rsidRPr="002C4077">
        <w:t xml:space="preserve"> </w:t>
      </w:r>
      <w:r>
        <w:t>Messie</w:t>
      </w:r>
      <w:r w:rsidRPr="002C4077">
        <w:t xml:space="preserve"> </w:t>
      </w:r>
      <w:r>
        <w:t>dans</w:t>
      </w:r>
      <w:r w:rsidRPr="002C4077">
        <w:t xml:space="preserve"> </w:t>
      </w:r>
      <w:r>
        <w:t>un</w:t>
      </w:r>
      <w:r w:rsidRPr="002C4077">
        <w:t xml:space="preserve"> </w:t>
      </w:r>
      <w:r>
        <w:t>très</w:t>
      </w:r>
      <w:r w:rsidRPr="002C4077">
        <w:t xml:space="preserve"> </w:t>
      </w:r>
      <w:r>
        <w:t>prochain</w:t>
      </w:r>
      <w:r w:rsidRPr="002C4077">
        <w:t xml:space="preserve"> </w:t>
      </w:r>
      <w:r>
        <w:t>avenir.</w:t>
      </w:r>
      <w:r w:rsidRPr="002C4077">
        <w:t xml:space="preserve"> </w:t>
      </w:r>
      <w:r>
        <w:t>L’analyse</w:t>
      </w:r>
      <w:r w:rsidRPr="002C4077">
        <w:t xml:space="preserve"> </w:t>
      </w:r>
      <w:r>
        <w:t>que</w:t>
      </w:r>
      <w:r w:rsidRPr="002C4077">
        <w:t xml:space="preserve"> </w:t>
      </w:r>
      <w:r>
        <w:t>nous</w:t>
      </w:r>
      <w:r w:rsidRPr="002C4077">
        <w:t xml:space="preserve"> </w:t>
      </w:r>
      <w:r>
        <w:t>avons</w:t>
      </w:r>
      <w:r w:rsidRPr="002C4077">
        <w:t xml:space="preserve"> </w:t>
      </w:r>
      <w:r>
        <w:t>donnée</w:t>
      </w:r>
      <w:r w:rsidRPr="002C4077">
        <w:t xml:space="preserve"> </w:t>
      </w:r>
      <w:r>
        <w:t>du</w:t>
      </w:r>
      <w:r w:rsidRPr="002C4077">
        <w:t xml:space="preserve"> </w:t>
      </w:r>
      <w:r w:rsidRPr="000A34B5">
        <w:rPr>
          <w:rStyle w:val="italicus"/>
        </w:rPr>
        <w:t>Livre</w:t>
      </w:r>
      <w:r w:rsidRPr="002C4077">
        <w:t xml:space="preserve"> </w:t>
      </w:r>
      <w:r w:rsidRPr="000A34B5">
        <w:rPr>
          <w:rStyle w:val="italicus"/>
        </w:rPr>
        <w:t>d’Emmanuel</w:t>
      </w:r>
      <w:r w:rsidRPr="002C4077">
        <w:t xml:space="preserve"> </w:t>
      </w:r>
      <w:r>
        <w:t>a</w:t>
      </w:r>
      <w:r w:rsidRPr="002C4077">
        <w:t xml:space="preserve"> </w:t>
      </w:r>
      <w:r>
        <w:t>prouvé</w:t>
      </w:r>
      <w:r w:rsidRPr="002C4077">
        <w:t xml:space="preserve"> </w:t>
      </w:r>
      <w:r>
        <w:t>jusqu’à</w:t>
      </w:r>
      <w:r w:rsidRPr="002C4077">
        <w:t xml:space="preserve"> </w:t>
      </w:r>
      <w:r>
        <w:t>l’</w:t>
      </w:r>
      <w:r w:rsidR="00623D96">
        <w:t>évidence</w:t>
      </w:r>
      <w:r w:rsidRPr="002C4077">
        <w:t xml:space="preserve"> </w:t>
      </w:r>
      <w:r>
        <w:t>que</w:t>
      </w:r>
      <w:r w:rsidRPr="002C4077">
        <w:t xml:space="preserve"> </w:t>
      </w:r>
      <w:r>
        <w:t>le</w:t>
      </w:r>
      <w:r w:rsidRPr="002C4077">
        <w:t xml:space="preserve"> </w:t>
      </w:r>
      <w:r>
        <w:t>fils</w:t>
      </w:r>
      <w:r w:rsidRPr="002C4077">
        <w:t xml:space="preserve"> </w:t>
      </w:r>
      <w:r>
        <w:t>de</w:t>
      </w:r>
      <w:r w:rsidRPr="002C4077">
        <w:t xml:space="preserve"> </w:t>
      </w:r>
      <w:r w:rsidR="00D40830" w:rsidRPr="00D40830">
        <w:t>l’</w:t>
      </w:r>
      <w:r w:rsidR="00D40830" w:rsidRPr="00D05EA9">
        <w:rPr>
          <w:rStyle w:val="italicus"/>
        </w:rPr>
        <w:t>῾almah</w:t>
      </w:r>
      <w:r w:rsidRPr="002C4077">
        <w:t xml:space="preserve"> </w:t>
      </w:r>
      <w:r>
        <w:t>ne</w:t>
      </w:r>
      <w:r w:rsidRPr="002C4077">
        <w:t xml:space="preserve"> </w:t>
      </w:r>
      <w:r>
        <w:t>devait</w:t>
      </w:r>
      <w:r w:rsidRPr="002C4077">
        <w:t xml:space="preserve"> </w:t>
      </w:r>
      <w:r>
        <w:t>naître</w:t>
      </w:r>
      <w:r w:rsidRPr="002C4077">
        <w:t xml:space="preserve"> </w:t>
      </w:r>
      <w:r>
        <w:t>que</w:t>
      </w:r>
      <w:r w:rsidRPr="002C4077">
        <w:t xml:space="preserve"> </w:t>
      </w:r>
      <w:r>
        <w:t>longtemps</w:t>
      </w:r>
      <w:r w:rsidRPr="002C4077">
        <w:t xml:space="preserve"> </w:t>
      </w:r>
      <w:r>
        <w:t>après</w:t>
      </w:r>
      <w:r w:rsidRPr="002C4077">
        <w:t xml:space="preserve"> </w:t>
      </w:r>
      <w:r>
        <w:t>l’époque</w:t>
      </w:r>
      <w:r w:rsidRPr="002C4077">
        <w:t xml:space="preserve"> </w:t>
      </w:r>
      <w:r>
        <w:t>d’Isaïe.</w:t>
      </w:r>
      <w:r w:rsidRPr="002C4077">
        <w:t xml:space="preserve"> </w:t>
      </w:r>
      <w:r w:rsidRPr="000A34B5">
        <w:rPr>
          <w:rStyle w:val="italicus"/>
        </w:rPr>
        <w:t>Maherschalal</w:t>
      </w:r>
      <w:r w:rsidRPr="004440EA">
        <w:t xml:space="preserve"> (</w:t>
      </w:r>
      <w:r>
        <w:rPr>
          <w:smallCaps/>
        </w:rPr>
        <w:t>VIII</w:t>
      </w:r>
      <w:r>
        <w:t>,</w:t>
      </w:r>
      <w:r w:rsidRPr="002C4077">
        <w:t xml:space="preserve"> </w:t>
      </w:r>
      <w:r>
        <w:t>3</w:t>
      </w:r>
      <w:r w:rsidR="00B546AF" w:rsidRPr="002C4077">
        <w:t>)</w:t>
      </w:r>
      <w:r w:rsidRPr="002C4077">
        <w:t xml:space="preserve"> </w:t>
      </w:r>
      <w:r w:rsidRPr="000A34B5">
        <w:rPr>
          <w:rStyle w:val="italicus"/>
        </w:rPr>
        <w:t>cum</w:t>
      </w:r>
      <w:r w:rsidRPr="002C4077">
        <w:t xml:space="preserve"> </w:t>
      </w:r>
      <w:r w:rsidRPr="000A34B5">
        <w:rPr>
          <w:rStyle w:val="italicus"/>
        </w:rPr>
        <w:t>hoc</w:t>
      </w:r>
      <w:r w:rsidRPr="002C4077">
        <w:t xml:space="preserve"> </w:t>
      </w:r>
      <w:r w:rsidRPr="000A34B5">
        <w:rPr>
          <w:rStyle w:val="italicus"/>
        </w:rPr>
        <w:t>bello</w:t>
      </w:r>
      <w:r w:rsidRPr="004440EA">
        <w:t xml:space="preserve"> (</w:t>
      </w:r>
      <w:r>
        <w:t>VII,</w:t>
      </w:r>
      <w:r w:rsidRPr="002C4077">
        <w:t xml:space="preserve"> </w:t>
      </w:r>
      <w:r>
        <w:t>1</w:t>
      </w:r>
      <w:r w:rsidRPr="002C4077">
        <w:t xml:space="preserve"> </w:t>
      </w:r>
      <w:r>
        <w:t>et</w:t>
      </w:r>
      <w:r w:rsidRPr="002C4077">
        <w:t xml:space="preserve"> </w:t>
      </w:r>
      <w:r>
        <w:t>ss.</w:t>
      </w:r>
      <w:r w:rsidR="00B546AF" w:rsidRPr="002C4077">
        <w:t>)</w:t>
      </w:r>
      <w:r w:rsidRPr="002C4077">
        <w:t xml:space="preserve"> </w:t>
      </w:r>
      <w:r w:rsidR="00623D96" w:rsidRPr="000A34B5">
        <w:rPr>
          <w:rStyle w:val="italicus"/>
        </w:rPr>
        <w:t>conjúnctus</w:t>
      </w:r>
      <w:r w:rsidRPr="000A34B5">
        <w:rPr>
          <w:rStyle w:val="italicus"/>
        </w:rPr>
        <w:t>,</w:t>
      </w:r>
      <w:r w:rsidRPr="002C4077">
        <w:t xml:space="preserve"> </w:t>
      </w:r>
      <w:r w:rsidRPr="000A34B5">
        <w:rPr>
          <w:rStyle w:val="italicus"/>
        </w:rPr>
        <w:t>Immanuel</w:t>
      </w:r>
      <w:r w:rsidRPr="002C4077">
        <w:t xml:space="preserve"> </w:t>
      </w:r>
      <w:r w:rsidRPr="000A34B5">
        <w:rPr>
          <w:rStyle w:val="italicus"/>
        </w:rPr>
        <w:t>cum</w:t>
      </w:r>
      <w:r w:rsidRPr="002C4077">
        <w:t xml:space="preserve"> </w:t>
      </w:r>
      <w:r w:rsidRPr="000A34B5">
        <w:rPr>
          <w:rStyle w:val="italicus"/>
        </w:rPr>
        <w:t>Ass</w:t>
      </w:r>
      <w:r w:rsidR="003B53FD">
        <w:rPr>
          <w:rStyle w:val="italicus"/>
        </w:rPr>
        <w:t>ý</w:t>
      </w:r>
      <w:r w:rsidR="003B53FD" w:rsidRPr="000A34B5">
        <w:rPr>
          <w:rStyle w:val="italicus"/>
        </w:rPr>
        <w:t>ria</w:t>
      </w:r>
      <w:r w:rsidRPr="002C4077">
        <w:t xml:space="preserve"> </w:t>
      </w:r>
      <w:r w:rsidR="00623D96" w:rsidRPr="000A34B5">
        <w:rPr>
          <w:rStyle w:val="italicus"/>
        </w:rPr>
        <w:t>vel</w:t>
      </w:r>
      <w:r w:rsidR="00623D96" w:rsidRPr="002C4077">
        <w:t xml:space="preserve"> </w:t>
      </w:r>
      <w:r w:rsidR="00623D96">
        <w:rPr>
          <w:rStyle w:val="italicus"/>
        </w:rPr>
        <w:t>p</w:t>
      </w:r>
      <w:r w:rsidR="00623D96" w:rsidRPr="000A34B5">
        <w:rPr>
          <w:rStyle w:val="italicus"/>
        </w:rPr>
        <w:t>ótius</w:t>
      </w:r>
      <w:r w:rsidRPr="002C4077">
        <w:t xml:space="preserve"> </w:t>
      </w:r>
      <w:r w:rsidRPr="000A34B5">
        <w:rPr>
          <w:rStyle w:val="italicus"/>
        </w:rPr>
        <w:t>cum</w:t>
      </w:r>
      <w:r w:rsidRPr="002C4077">
        <w:t xml:space="preserve"> </w:t>
      </w:r>
      <w:r w:rsidRPr="000A34B5">
        <w:rPr>
          <w:rStyle w:val="italicus"/>
        </w:rPr>
        <w:t>g</w:t>
      </w:r>
      <w:r w:rsidR="003B53FD">
        <w:rPr>
          <w:rStyle w:val="italicus"/>
        </w:rPr>
        <w:t>é</w:t>
      </w:r>
      <w:r w:rsidR="003B53FD" w:rsidRPr="000A34B5">
        <w:rPr>
          <w:rStyle w:val="italicus"/>
        </w:rPr>
        <w:t>ntibus</w:t>
      </w:r>
      <w:r w:rsidRPr="002C4077">
        <w:t xml:space="preserve"> </w:t>
      </w:r>
      <w:r w:rsidRPr="000A34B5">
        <w:rPr>
          <w:rStyle w:val="italicus"/>
        </w:rPr>
        <w:t>et</w:t>
      </w:r>
      <w:r w:rsidRPr="002C4077">
        <w:t xml:space="preserve"> </w:t>
      </w:r>
      <w:r w:rsidR="00623D96" w:rsidRPr="000A34B5">
        <w:rPr>
          <w:rStyle w:val="italicus"/>
        </w:rPr>
        <w:t>longínquis</w:t>
      </w:r>
      <w:r w:rsidRPr="002C4077">
        <w:t xml:space="preserve"> </w:t>
      </w:r>
      <w:r w:rsidRPr="000A34B5">
        <w:rPr>
          <w:rStyle w:val="italicus"/>
        </w:rPr>
        <w:t>terr</w:t>
      </w:r>
      <w:r w:rsidR="003B53FD">
        <w:rPr>
          <w:rStyle w:val="italicus"/>
        </w:rPr>
        <w:t>árum</w:t>
      </w:r>
      <w:r w:rsidRPr="002C4077">
        <w:t xml:space="preserve"> </w:t>
      </w:r>
      <w:r w:rsidRPr="000A34B5">
        <w:rPr>
          <w:rStyle w:val="italicus"/>
        </w:rPr>
        <w:t>conn</w:t>
      </w:r>
      <w:r w:rsidR="00623D96">
        <w:rPr>
          <w:rStyle w:val="italicus"/>
        </w:rPr>
        <w:t>éxus</w:t>
      </w:r>
      <w:r w:rsidR="00623D96" w:rsidRPr="002C4077">
        <w:t xml:space="preserve"> </w:t>
      </w:r>
      <w:r w:rsidR="00425C50">
        <w:rPr>
          <w:rStyle w:val="italicus"/>
        </w:rPr>
        <w:t>est</w:t>
      </w:r>
      <w:r w:rsidR="00623D96">
        <w:rPr>
          <w:rStyle w:val="Appelnotedebasdep"/>
          <w:i/>
        </w:rPr>
        <w:footnoteReference w:id="265"/>
      </w:r>
      <w:r w:rsidRPr="000A34B5">
        <w:rPr>
          <w:rStyle w:val="italicus"/>
        </w:rPr>
        <w:t>.</w:t>
      </w:r>
      <w:r w:rsidRPr="002C4077">
        <w:t xml:space="preserve"> </w:t>
      </w:r>
    </w:p>
    <w:p w:rsidR="000A7AAB" w:rsidRPr="000721C4" w:rsidRDefault="000A7AAB" w:rsidP="000A7AAB">
      <w:r>
        <w:t>2°</w:t>
      </w:r>
      <w:r w:rsidRPr="002C4077">
        <w:t xml:space="preserve"> </w:t>
      </w:r>
      <w:r>
        <w:t>D’après</w:t>
      </w:r>
      <w:r w:rsidRPr="002C4077">
        <w:t xml:space="preserve"> </w:t>
      </w:r>
      <w:r>
        <w:t>Dathe</w:t>
      </w:r>
      <w:r w:rsidR="00B91AF7">
        <w:rPr>
          <w:rStyle w:val="Appelnotedebasdep"/>
        </w:rPr>
        <w:footnoteReference w:id="266"/>
      </w:r>
      <w:r>
        <w:t>,</w:t>
      </w:r>
      <w:r w:rsidRPr="002C4077">
        <w:t xml:space="preserve"> </w:t>
      </w:r>
      <w:r>
        <w:t>la</w:t>
      </w:r>
      <w:r w:rsidRPr="002C4077">
        <w:t xml:space="preserve"> </w:t>
      </w:r>
      <w:r>
        <w:t>prophétie</w:t>
      </w:r>
      <w:r w:rsidRPr="002C4077">
        <w:t xml:space="preserve"> </w:t>
      </w:r>
      <w:r>
        <w:t>d’Emmanuel</w:t>
      </w:r>
      <w:r w:rsidRPr="002C4077">
        <w:t xml:space="preserve"> </w:t>
      </w:r>
      <w:r>
        <w:t>se</w:t>
      </w:r>
      <w:r w:rsidRPr="002C4077">
        <w:t xml:space="preserve"> </w:t>
      </w:r>
      <w:r>
        <w:t>serait</w:t>
      </w:r>
      <w:r w:rsidRPr="002C4077">
        <w:t xml:space="preserve"> </w:t>
      </w:r>
      <w:r>
        <w:t>accomplie</w:t>
      </w:r>
      <w:r w:rsidRPr="002C4077">
        <w:t xml:space="preserve"> </w:t>
      </w:r>
      <w:r>
        <w:t>une</w:t>
      </w:r>
      <w:r w:rsidRPr="002C4077">
        <w:t xml:space="preserve"> </w:t>
      </w:r>
      <w:r>
        <w:t>première</w:t>
      </w:r>
      <w:r w:rsidRPr="002C4077">
        <w:t xml:space="preserve"> </w:t>
      </w:r>
      <w:r>
        <w:t>fois</w:t>
      </w:r>
      <w:r w:rsidRPr="002C4077">
        <w:t xml:space="preserve"> </w:t>
      </w:r>
      <w:r>
        <w:t>à</w:t>
      </w:r>
      <w:r w:rsidRPr="002C4077">
        <w:t xml:space="preserve"> </w:t>
      </w:r>
      <w:r>
        <w:t>la</w:t>
      </w:r>
      <w:r w:rsidRPr="002C4077">
        <w:t xml:space="preserve"> </w:t>
      </w:r>
      <w:r>
        <w:t>lettre</w:t>
      </w:r>
      <w:r w:rsidRPr="002C4077">
        <w:t xml:space="preserve"> </w:t>
      </w:r>
      <w:r>
        <w:t>dès</w:t>
      </w:r>
      <w:r w:rsidRPr="002C4077">
        <w:t xml:space="preserve"> </w:t>
      </w:r>
      <w:r>
        <w:t>le</w:t>
      </w:r>
      <w:r w:rsidRPr="002C4077">
        <w:t xml:space="preserve"> </w:t>
      </w:r>
      <w:r>
        <w:t>règne</w:t>
      </w:r>
      <w:r w:rsidRPr="002C4077">
        <w:t xml:space="preserve"> </w:t>
      </w:r>
      <w:r>
        <w:t>d’Achaz.</w:t>
      </w:r>
      <w:r w:rsidRPr="002C4077">
        <w:t xml:space="preserve"> </w:t>
      </w:r>
      <w:r>
        <w:t>Une</w:t>
      </w:r>
      <w:r w:rsidRPr="002C4077">
        <w:t xml:space="preserve"> </w:t>
      </w:r>
      <w:r>
        <w:t>vierge</w:t>
      </w:r>
      <w:r w:rsidRPr="002C4077">
        <w:t xml:space="preserve"> </w:t>
      </w:r>
      <w:r>
        <w:t>aurait</w:t>
      </w:r>
      <w:r w:rsidRPr="002C4077">
        <w:t xml:space="preserve"> </w:t>
      </w:r>
      <w:r>
        <w:t>enfanté</w:t>
      </w:r>
      <w:r w:rsidRPr="002C4077">
        <w:t xml:space="preserve"> </w:t>
      </w:r>
      <w:r>
        <w:t>alors</w:t>
      </w:r>
      <w:r w:rsidRPr="002C4077">
        <w:t xml:space="preserve"> </w:t>
      </w:r>
      <w:r>
        <w:t>sans</w:t>
      </w:r>
      <w:r w:rsidRPr="002C4077">
        <w:t xml:space="preserve"> </w:t>
      </w:r>
      <w:r>
        <w:t>le</w:t>
      </w:r>
      <w:r w:rsidRPr="002C4077">
        <w:t xml:space="preserve"> </w:t>
      </w:r>
      <w:r>
        <w:t>concours</w:t>
      </w:r>
      <w:r w:rsidRPr="002C4077">
        <w:t xml:space="preserve"> </w:t>
      </w:r>
      <w:r>
        <w:t>d’aucun</w:t>
      </w:r>
      <w:r w:rsidRPr="002C4077">
        <w:t xml:space="preserve"> </w:t>
      </w:r>
      <w:r>
        <w:t>homme,</w:t>
      </w:r>
      <w:r w:rsidRPr="002C4077">
        <w:t xml:space="preserve"> </w:t>
      </w:r>
      <w:r>
        <w:t>le</w:t>
      </w:r>
      <w:r w:rsidRPr="002C4077">
        <w:t xml:space="preserve"> </w:t>
      </w:r>
      <w:r>
        <w:t>Seigneur</w:t>
      </w:r>
      <w:r w:rsidRPr="002C4077">
        <w:t xml:space="preserve"> </w:t>
      </w:r>
      <w:r>
        <w:t>donnant</w:t>
      </w:r>
      <w:r w:rsidRPr="002C4077">
        <w:t xml:space="preserve"> </w:t>
      </w:r>
      <w:r>
        <w:t>ainsi</w:t>
      </w:r>
      <w:r w:rsidRPr="002C4077">
        <w:t xml:space="preserve"> </w:t>
      </w:r>
      <w:r>
        <w:t>aux</w:t>
      </w:r>
      <w:r w:rsidRPr="002C4077">
        <w:t xml:space="preserve"> </w:t>
      </w:r>
      <w:r>
        <w:t>Juifs</w:t>
      </w:r>
      <w:r w:rsidRPr="002C4077">
        <w:t xml:space="preserve"> </w:t>
      </w:r>
      <w:r>
        <w:t>une</w:t>
      </w:r>
      <w:r w:rsidRPr="002C4077">
        <w:t xml:space="preserve"> </w:t>
      </w:r>
      <w:r>
        <w:t>garantie</w:t>
      </w:r>
      <w:r w:rsidRPr="002C4077">
        <w:t xml:space="preserve"> </w:t>
      </w:r>
      <w:r>
        <w:t>immédiate</w:t>
      </w:r>
      <w:r w:rsidRPr="002C4077">
        <w:t xml:space="preserve"> </w:t>
      </w:r>
      <w:r>
        <w:t>et</w:t>
      </w:r>
      <w:r w:rsidRPr="002C4077">
        <w:t xml:space="preserve"> </w:t>
      </w:r>
      <w:r>
        <w:t>infaillible</w:t>
      </w:r>
      <w:r w:rsidRPr="002C4077">
        <w:t xml:space="preserve"> </w:t>
      </w:r>
      <w:r>
        <w:t>de</w:t>
      </w:r>
      <w:r w:rsidRPr="002C4077">
        <w:t xml:space="preserve"> </w:t>
      </w:r>
      <w:r>
        <w:t>sa</w:t>
      </w:r>
      <w:r w:rsidRPr="002C4077">
        <w:t xml:space="preserve"> </w:t>
      </w:r>
      <w:r>
        <w:t>protection</w:t>
      </w:r>
      <w:r w:rsidRPr="002C4077">
        <w:t xml:space="preserve"> </w:t>
      </w:r>
      <w:r>
        <w:t>contre</w:t>
      </w:r>
      <w:r w:rsidRPr="002C4077">
        <w:t xml:space="preserve"> </w:t>
      </w:r>
      <w:r>
        <w:t>les</w:t>
      </w:r>
      <w:r w:rsidRPr="002C4077">
        <w:t xml:space="preserve"> </w:t>
      </w:r>
      <w:r>
        <w:t>dangers</w:t>
      </w:r>
      <w:r w:rsidRPr="002C4077">
        <w:t xml:space="preserve"> </w:t>
      </w:r>
      <w:r>
        <w:t>actuels.</w:t>
      </w:r>
      <w:r w:rsidRPr="002C4077">
        <w:t xml:space="preserve"> </w:t>
      </w:r>
      <w:r>
        <w:t>Mais</w:t>
      </w:r>
      <w:r w:rsidRPr="002C4077">
        <w:t xml:space="preserve"> </w:t>
      </w:r>
      <w:r>
        <w:t>ce</w:t>
      </w:r>
      <w:r w:rsidRPr="002C4077">
        <w:t xml:space="preserve"> </w:t>
      </w:r>
      <w:r>
        <w:t>n’est</w:t>
      </w:r>
      <w:r w:rsidRPr="002C4077">
        <w:t xml:space="preserve"> </w:t>
      </w:r>
      <w:r>
        <w:t>là</w:t>
      </w:r>
      <w:r w:rsidRPr="002C4077">
        <w:t xml:space="preserve"> </w:t>
      </w:r>
      <w:r>
        <w:t>qu’une</w:t>
      </w:r>
      <w:r w:rsidRPr="002C4077">
        <w:t xml:space="preserve"> </w:t>
      </w:r>
      <w:r>
        <w:t>singulière</w:t>
      </w:r>
      <w:r w:rsidRPr="002C4077">
        <w:t xml:space="preserve"> </w:t>
      </w:r>
      <w:r>
        <w:t>assertion.</w:t>
      </w:r>
      <w:r w:rsidRPr="002C4077">
        <w:t xml:space="preserve"> </w:t>
      </w:r>
      <w:r>
        <w:t>L’histoire</w:t>
      </w:r>
      <w:r w:rsidRPr="002C4077">
        <w:t xml:space="preserve"> </w:t>
      </w:r>
      <w:r>
        <w:t>fût-elle</w:t>
      </w:r>
      <w:r w:rsidRPr="002C4077">
        <w:t xml:space="preserve"> </w:t>
      </w:r>
      <w:r>
        <w:t>donc</w:t>
      </w:r>
      <w:r w:rsidRPr="002C4077">
        <w:t xml:space="preserve"> </w:t>
      </w:r>
      <w:r>
        <w:t>demeurée</w:t>
      </w:r>
      <w:r w:rsidRPr="002C4077">
        <w:t xml:space="preserve"> </w:t>
      </w:r>
      <w:r>
        <w:t>muette</w:t>
      </w:r>
      <w:r w:rsidRPr="002C4077">
        <w:t xml:space="preserve"> </w:t>
      </w:r>
      <w:r>
        <w:t>sur</w:t>
      </w:r>
      <w:r w:rsidRPr="002C4077">
        <w:t xml:space="preserve"> </w:t>
      </w:r>
      <w:r>
        <w:t>un</w:t>
      </w:r>
      <w:r w:rsidRPr="002C4077">
        <w:t xml:space="preserve"> </w:t>
      </w:r>
      <w:r>
        <w:t>prodige</w:t>
      </w:r>
      <w:r w:rsidRPr="002C4077">
        <w:t xml:space="preserve"> </w:t>
      </w:r>
      <w:r>
        <w:t>si</w:t>
      </w:r>
      <w:r w:rsidRPr="002C4077">
        <w:t xml:space="preserve"> </w:t>
      </w:r>
      <w:r>
        <w:t>éclatant</w:t>
      </w:r>
      <w:r w:rsidR="00B546AF">
        <w:t> ?</w:t>
      </w:r>
      <w:r w:rsidRPr="002C4077">
        <w:t xml:space="preserve"> </w:t>
      </w:r>
      <w:r>
        <w:t>Ou</w:t>
      </w:r>
      <w:r w:rsidRPr="002C4077">
        <w:t xml:space="preserve"> </w:t>
      </w:r>
      <w:r>
        <w:t>plutôt,</w:t>
      </w:r>
      <w:r w:rsidRPr="002C4077">
        <w:t xml:space="preserve"> </w:t>
      </w:r>
      <w:r>
        <w:t>l’histoire</w:t>
      </w:r>
      <w:r w:rsidRPr="002C4077">
        <w:t xml:space="preserve"> </w:t>
      </w:r>
      <w:r>
        <w:t>n’est</w:t>
      </w:r>
      <w:r w:rsidRPr="002C4077">
        <w:t xml:space="preserve"> </w:t>
      </w:r>
      <w:r>
        <w:t>pas</w:t>
      </w:r>
      <w:r w:rsidRPr="002C4077">
        <w:t xml:space="preserve"> </w:t>
      </w:r>
      <w:r>
        <w:t>muette</w:t>
      </w:r>
      <w:r w:rsidR="00B546AF">
        <w:t> ;</w:t>
      </w:r>
      <w:r w:rsidRPr="002C4077">
        <w:t xml:space="preserve"> </w:t>
      </w:r>
      <w:r>
        <w:t>toutefois</w:t>
      </w:r>
      <w:r w:rsidRPr="002C4077">
        <w:t xml:space="preserve"> </w:t>
      </w:r>
      <w:r>
        <w:t>c’est</w:t>
      </w:r>
      <w:r w:rsidRPr="002C4077">
        <w:t xml:space="preserve"> </w:t>
      </w:r>
      <w:r>
        <w:t>bien</w:t>
      </w:r>
      <w:r w:rsidRPr="002C4077">
        <w:t xml:space="preserve"> </w:t>
      </w:r>
      <w:r>
        <w:t>loin</w:t>
      </w:r>
      <w:r w:rsidRPr="002C4077">
        <w:t xml:space="preserve"> </w:t>
      </w:r>
      <w:r>
        <w:t>du</w:t>
      </w:r>
      <w:r w:rsidRPr="002C4077">
        <w:t xml:space="preserve"> </w:t>
      </w:r>
      <w:r>
        <w:t>temps</w:t>
      </w:r>
      <w:r w:rsidRPr="002C4077">
        <w:t xml:space="preserve"> </w:t>
      </w:r>
      <w:r>
        <w:t>d’Achaz</w:t>
      </w:r>
      <w:r w:rsidRPr="002C4077">
        <w:t xml:space="preserve"> </w:t>
      </w:r>
      <w:r>
        <w:t>et</w:t>
      </w:r>
      <w:r w:rsidRPr="002C4077">
        <w:t xml:space="preserve"> </w:t>
      </w:r>
      <w:r>
        <w:t>d’Isaïe</w:t>
      </w:r>
      <w:r w:rsidRPr="002C4077">
        <w:t xml:space="preserve"> </w:t>
      </w:r>
      <w:r>
        <w:t>qu’elle</w:t>
      </w:r>
      <w:r w:rsidRPr="002C4077">
        <w:t xml:space="preserve"> </w:t>
      </w:r>
      <w:r>
        <w:t>place</w:t>
      </w:r>
      <w:r w:rsidRPr="002C4077">
        <w:t xml:space="preserve"> </w:t>
      </w:r>
      <w:r>
        <w:t>l’enfantement</w:t>
      </w:r>
      <w:r w:rsidRPr="002C4077">
        <w:t xml:space="preserve"> </w:t>
      </w:r>
      <w:r>
        <w:t>virginal</w:t>
      </w:r>
      <w:r w:rsidRPr="002C4077">
        <w:t xml:space="preserve"> </w:t>
      </w:r>
      <w:r>
        <w:t>de</w:t>
      </w:r>
      <w:r w:rsidRPr="002C4077">
        <w:t xml:space="preserve"> </w:t>
      </w:r>
      <w:r w:rsidR="00D40830" w:rsidRPr="00D40830">
        <w:t>l’</w:t>
      </w:r>
      <w:r w:rsidR="00D40830" w:rsidRPr="00D05EA9">
        <w:rPr>
          <w:rStyle w:val="italicus"/>
        </w:rPr>
        <w:t>῾almah</w:t>
      </w:r>
      <w:r w:rsidRPr="000A34B5">
        <w:rPr>
          <w:rStyle w:val="italicus"/>
        </w:rPr>
        <w:t>.</w:t>
      </w:r>
      <w:r w:rsidR="00C45B47">
        <w:t xml:space="preserve"> {</w:t>
      </w:r>
      <w:r w:rsidR="000721C4">
        <w:t>85</w:t>
      </w:r>
      <w:bookmarkStart w:id="265" w:name="p085"/>
      <w:bookmarkEnd w:id="265"/>
      <w:r w:rsidR="000721C4">
        <w:t xml:space="preserve">} </w:t>
      </w:r>
    </w:p>
    <w:p w:rsidR="000A7AAB" w:rsidRDefault="000A7AAB" w:rsidP="000A7AAB">
      <w:r>
        <w:t>3°</w:t>
      </w:r>
      <w:r w:rsidRPr="002C4077">
        <w:t xml:space="preserve"> </w:t>
      </w:r>
      <w:r>
        <w:t>Des</w:t>
      </w:r>
      <w:r w:rsidRPr="002C4077">
        <w:t xml:space="preserve"> </w:t>
      </w:r>
      <w:r>
        <w:t>interprètes</w:t>
      </w:r>
      <w:r w:rsidRPr="002C4077">
        <w:t xml:space="preserve"> </w:t>
      </w:r>
      <w:r>
        <w:t>non</w:t>
      </w:r>
      <w:r w:rsidRPr="002C4077">
        <w:t xml:space="preserve"> </w:t>
      </w:r>
      <w:r>
        <w:t>moins</w:t>
      </w:r>
      <w:r w:rsidRPr="002C4077">
        <w:t xml:space="preserve"> </w:t>
      </w:r>
      <w:r>
        <w:t>sérieux</w:t>
      </w:r>
      <w:r w:rsidRPr="002C4077">
        <w:t xml:space="preserve"> </w:t>
      </w:r>
      <w:r>
        <w:t>que</w:t>
      </w:r>
      <w:r w:rsidRPr="002C4077">
        <w:t xml:space="preserve"> </w:t>
      </w:r>
      <w:r>
        <w:t>croyants</w:t>
      </w:r>
      <w:r w:rsidRPr="002C4077">
        <w:t xml:space="preserve"> </w:t>
      </w:r>
      <w:r>
        <w:t>essaient</w:t>
      </w:r>
      <w:r w:rsidRPr="002C4077">
        <w:t xml:space="preserve"> </w:t>
      </w:r>
      <w:r>
        <w:t>de</w:t>
      </w:r>
      <w:r w:rsidRPr="002C4077">
        <w:t xml:space="preserve"> </w:t>
      </w:r>
      <w:r>
        <w:t>tourner</w:t>
      </w:r>
      <w:r w:rsidRPr="002C4077">
        <w:t xml:space="preserve"> </w:t>
      </w:r>
      <w:r>
        <w:t>la</w:t>
      </w:r>
      <w:r w:rsidRPr="002C4077">
        <w:t xml:space="preserve"> </w:t>
      </w:r>
      <w:r>
        <w:t>difficulté,</w:t>
      </w:r>
      <w:r w:rsidRPr="002C4077">
        <w:t xml:space="preserve"> </w:t>
      </w:r>
      <w:r>
        <w:t>en</w:t>
      </w:r>
      <w:r w:rsidRPr="002C4077">
        <w:t xml:space="preserve"> </w:t>
      </w:r>
      <w:r>
        <w:t>appliquant</w:t>
      </w:r>
      <w:r w:rsidRPr="002C4077">
        <w:t xml:space="preserve"> </w:t>
      </w:r>
      <w:r>
        <w:t>à</w:t>
      </w:r>
      <w:r w:rsidRPr="002C4077">
        <w:t xml:space="preserve"> </w:t>
      </w:r>
      <w:r>
        <w:t>deux</w:t>
      </w:r>
      <w:r w:rsidRPr="002C4077">
        <w:t xml:space="preserve"> </w:t>
      </w:r>
      <w:r>
        <w:t>enfants</w:t>
      </w:r>
      <w:r w:rsidRPr="002C4077">
        <w:t xml:space="preserve"> </w:t>
      </w:r>
      <w:r>
        <w:t>distincts</w:t>
      </w:r>
      <w:r w:rsidRPr="002C4077">
        <w:t xml:space="preserve"> </w:t>
      </w:r>
      <w:r>
        <w:t>les</w:t>
      </w:r>
      <w:r w:rsidRPr="002C4077">
        <w:t xml:space="preserve"> </w:t>
      </w:r>
      <w:r>
        <w:t>paroles</w:t>
      </w:r>
      <w:r w:rsidRPr="002C4077">
        <w:t xml:space="preserve"> </w:t>
      </w:r>
      <w:r>
        <w:t>des</w:t>
      </w:r>
      <w:r w:rsidRPr="002C4077">
        <w:t xml:space="preserve"> </w:t>
      </w:r>
      <w:r>
        <w:t>versets</w:t>
      </w:r>
      <w:r w:rsidRPr="002C4077">
        <w:t xml:space="preserve"> </w:t>
      </w:r>
      <w:r>
        <w:t>14</w:t>
      </w:r>
      <w:r w:rsidRPr="002C4077">
        <w:t xml:space="preserve"> </w:t>
      </w:r>
      <w:r>
        <w:t>et</w:t>
      </w:r>
      <w:r w:rsidRPr="002C4077">
        <w:t xml:space="preserve"> </w:t>
      </w:r>
      <w:r>
        <w:t>16.</w:t>
      </w:r>
      <w:r w:rsidRPr="002C4077">
        <w:t xml:space="preserve"> </w:t>
      </w:r>
      <w:r>
        <w:t>Le</w:t>
      </w:r>
      <w:r w:rsidRPr="002C4077">
        <w:t xml:space="preserve"> </w:t>
      </w:r>
      <w:r>
        <w:t>verset</w:t>
      </w:r>
      <w:r w:rsidRPr="002C4077">
        <w:t xml:space="preserve"> </w:t>
      </w:r>
      <w:r>
        <w:t>14</w:t>
      </w:r>
      <w:r w:rsidRPr="004440EA">
        <w:t xml:space="preserve"> (</w:t>
      </w:r>
      <w:r w:rsidRPr="000A34B5">
        <w:rPr>
          <w:rStyle w:val="italicus"/>
        </w:rPr>
        <w:t>Ecce</w:t>
      </w:r>
      <w:r w:rsidRPr="002C4077">
        <w:t xml:space="preserve"> </w:t>
      </w:r>
      <w:r w:rsidRPr="000A34B5">
        <w:rPr>
          <w:rStyle w:val="italicus"/>
        </w:rPr>
        <w:t>virgo</w:t>
      </w:r>
      <w:r w:rsidRPr="002C4077">
        <w:t xml:space="preserve"> </w:t>
      </w:r>
      <w:r w:rsidR="00623D96" w:rsidRPr="000A34B5">
        <w:rPr>
          <w:rStyle w:val="italicus"/>
        </w:rPr>
        <w:t>concípiet</w:t>
      </w:r>
      <w:r w:rsidRPr="002C4077">
        <w:t xml:space="preserve"> </w:t>
      </w:r>
      <w:r w:rsidRPr="000A34B5">
        <w:rPr>
          <w:rStyle w:val="italicus"/>
        </w:rPr>
        <w:t>et</w:t>
      </w:r>
      <w:r w:rsidRPr="002C4077">
        <w:t xml:space="preserve"> </w:t>
      </w:r>
      <w:r w:rsidR="00623D96" w:rsidRPr="000A34B5">
        <w:rPr>
          <w:rStyle w:val="italicus"/>
        </w:rPr>
        <w:t>páriet</w:t>
      </w:r>
      <w:r w:rsidRPr="002C4077">
        <w:t xml:space="preserve"> </w:t>
      </w:r>
      <w:r w:rsidRPr="000A34B5">
        <w:rPr>
          <w:rStyle w:val="italicus"/>
        </w:rPr>
        <w:t>f</w:t>
      </w:r>
      <w:r w:rsidR="003B53FD">
        <w:rPr>
          <w:rStyle w:val="italicus"/>
        </w:rPr>
        <w:t>í</w:t>
      </w:r>
      <w:r w:rsidR="003B53FD" w:rsidRPr="000A34B5">
        <w:rPr>
          <w:rStyle w:val="italicus"/>
        </w:rPr>
        <w:t>lium</w:t>
      </w:r>
      <w:r w:rsidRPr="000A34B5">
        <w:rPr>
          <w:rStyle w:val="italicus"/>
        </w:rPr>
        <w:t>,</w:t>
      </w:r>
      <w:r w:rsidRPr="002C4077">
        <w:t xml:space="preserve"> </w:t>
      </w:r>
      <w:r w:rsidRPr="000A34B5">
        <w:rPr>
          <w:rStyle w:val="italicus"/>
        </w:rPr>
        <w:t>et</w:t>
      </w:r>
      <w:r w:rsidRPr="002C4077">
        <w:t xml:space="preserve"> </w:t>
      </w:r>
      <w:r w:rsidRPr="000A34B5">
        <w:rPr>
          <w:rStyle w:val="italicus"/>
        </w:rPr>
        <w:t>v</w:t>
      </w:r>
      <w:r w:rsidR="001730C6" w:rsidRPr="000A34B5">
        <w:rPr>
          <w:rStyle w:val="italicus"/>
        </w:rPr>
        <w:t>oc</w:t>
      </w:r>
      <w:r w:rsidR="003B53FD">
        <w:rPr>
          <w:rStyle w:val="italicus"/>
        </w:rPr>
        <w:t>á</w:t>
      </w:r>
      <w:r w:rsidR="003B53FD" w:rsidRPr="000A34B5">
        <w:rPr>
          <w:rStyle w:val="italicus"/>
        </w:rPr>
        <w:t>bitur</w:t>
      </w:r>
      <w:r w:rsidRPr="002C4077">
        <w:t xml:space="preserve"> </w:t>
      </w:r>
      <w:r w:rsidRPr="000A34B5">
        <w:rPr>
          <w:rStyle w:val="italicus"/>
        </w:rPr>
        <w:t>nomen</w:t>
      </w:r>
      <w:r w:rsidRPr="002C4077">
        <w:t xml:space="preserve"> </w:t>
      </w:r>
      <w:r w:rsidRPr="000A34B5">
        <w:rPr>
          <w:rStyle w:val="italicus"/>
        </w:rPr>
        <w:t>ejus</w:t>
      </w:r>
      <w:r w:rsidRPr="002C4077">
        <w:t xml:space="preserve"> </w:t>
      </w:r>
      <w:r w:rsidRPr="000A34B5">
        <w:rPr>
          <w:rStyle w:val="italicus"/>
        </w:rPr>
        <w:t>Emmanuel</w:t>
      </w:r>
      <w:r w:rsidR="00B546AF" w:rsidRPr="002C4077">
        <w:t>)</w:t>
      </w:r>
      <w:r w:rsidRPr="002C4077">
        <w:t xml:space="preserve"> </w:t>
      </w:r>
      <w:r>
        <w:t>se</w:t>
      </w:r>
      <w:r w:rsidRPr="002C4077">
        <w:t xml:space="preserve"> </w:t>
      </w:r>
      <w:r>
        <w:t>rapporterait</w:t>
      </w:r>
      <w:r w:rsidRPr="002C4077">
        <w:t xml:space="preserve"> </w:t>
      </w:r>
      <w:r>
        <w:t>au</w:t>
      </w:r>
      <w:r w:rsidRPr="002C4077">
        <w:t xml:space="preserve"> </w:t>
      </w:r>
      <w:r>
        <w:t>Messie</w:t>
      </w:r>
      <w:r w:rsidR="00B546AF">
        <w:t> ;</w:t>
      </w:r>
      <w:r w:rsidRPr="002C4077">
        <w:t xml:space="preserve"> </w:t>
      </w:r>
      <w:r>
        <w:t>les</w:t>
      </w:r>
      <w:r w:rsidRPr="002C4077">
        <w:t xml:space="preserve"> </w:t>
      </w:r>
      <w:r>
        <w:t>versets</w:t>
      </w:r>
      <w:r w:rsidRPr="002C4077">
        <w:t xml:space="preserve"> </w:t>
      </w:r>
      <w:r>
        <w:t>15</w:t>
      </w:r>
      <w:r w:rsidRPr="002C4077">
        <w:t xml:space="preserve"> </w:t>
      </w:r>
      <w:r>
        <w:t>et</w:t>
      </w:r>
      <w:r w:rsidRPr="002C4077">
        <w:t xml:space="preserve"> </w:t>
      </w:r>
      <w:r>
        <w:t>16,</w:t>
      </w:r>
      <w:r w:rsidRPr="002C4077">
        <w:t xml:space="preserve"> </w:t>
      </w:r>
      <w:r>
        <w:t>ou</w:t>
      </w:r>
      <w:r w:rsidRPr="002C4077">
        <w:t xml:space="preserve"> </w:t>
      </w:r>
      <w:r>
        <w:t>seulement</w:t>
      </w:r>
      <w:r w:rsidRPr="002C4077">
        <w:t xml:space="preserve"> </w:t>
      </w:r>
      <w:r>
        <w:t>le</w:t>
      </w:r>
      <w:r w:rsidRPr="002C4077">
        <w:t xml:space="preserve"> </w:t>
      </w:r>
      <w:r>
        <w:t>verset</w:t>
      </w:r>
      <w:r w:rsidRPr="002C4077">
        <w:t xml:space="preserve"> </w:t>
      </w:r>
      <w:r>
        <w:t>16</w:t>
      </w:r>
      <w:r w:rsidRPr="002C4077">
        <w:t xml:space="preserve"> </w:t>
      </w:r>
      <w:r>
        <w:t>d’après</w:t>
      </w:r>
      <w:r w:rsidRPr="002C4077">
        <w:t xml:space="preserve"> </w:t>
      </w:r>
      <w:r>
        <w:t>quelques</w:t>
      </w:r>
      <w:r w:rsidRPr="002C4077">
        <w:t xml:space="preserve"> </w:t>
      </w:r>
      <w:r>
        <w:t>auteurs,</w:t>
      </w:r>
      <w:r w:rsidRPr="002C4077">
        <w:t xml:space="preserve"> </w:t>
      </w:r>
      <w:r>
        <w:t>désignerait</w:t>
      </w:r>
      <w:r w:rsidRPr="002C4077">
        <w:t xml:space="preserve"> </w:t>
      </w:r>
      <w:r>
        <w:t>l’un</w:t>
      </w:r>
      <w:r w:rsidRPr="002C4077">
        <w:t xml:space="preserve"> </w:t>
      </w:r>
      <w:r>
        <w:t>des</w:t>
      </w:r>
      <w:r w:rsidRPr="002C4077">
        <w:t xml:space="preserve"> </w:t>
      </w:r>
      <w:r>
        <w:t>fils</w:t>
      </w:r>
      <w:r w:rsidRPr="002C4077">
        <w:t xml:space="preserve"> </w:t>
      </w:r>
      <w:r>
        <w:t>d’Isaïe,</w:t>
      </w:r>
      <w:r w:rsidRPr="002C4077">
        <w:t xml:space="preserve"> </w:t>
      </w:r>
      <w:r>
        <w:t>soit</w:t>
      </w:r>
      <w:r w:rsidRPr="002C4077">
        <w:t xml:space="preserve"> </w:t>
      </w:r>
      <w:r>
        <w:t>Schear</w:t>
      </w:r>
      <w:r w:rsidRPr="002C4077">
        <w:t xml:space="preserve"> </w:t>
      </w:r>
      <w:r w:rsidR="00623D96">
        <w:t>Iaschoub</w:t>
      </w:r>
      <w:r w:rsidR="00B91AF7">
        <w:rPr>
          <w:rStyle w:val="Appelnotedebasdep"/>
        </w:rPr>
        <w:footnoteReference w:id="267"/>
      </w:r>
      <w:r>
        <w:t>,</w:t>
      </w:r>
      <w:r w:rsidRPr="002C4077">
        <w:t xml:space="preserve"> </w:t>
      </w:r>
      <w:r>
        <w:t>soit</w:t>
      </w:r>
      <w:r w:rsidRPr="002C4077">
        <w:t xml:space="preserve"> </w:t>
      </w:r>
      <w:r>
        <w:t>Maher</w:t>
      </w:r>
      <w:r w:rsidRPr="002C4077">
        <w:t xml:space="preserve"> </w:t>
      </w:r>
      <w:r>
        <w:t>Schalal</w:t>
      </w:r>
      <w:r w:rsidR="00B91AF7">
        <w:rPr>
          <w:rStyle w:val="Appelnotedebasdep"/>
        </w:rPr>
        <w:footnoteReference w:id="268"/>
      </w:r>
      <w:r>
        <w:t>.</w:t>
      </w:r>
      <w:r w:rsidRPr="002C4077">
        <w:t xml:space="preserve"> </w:t>
      </w:r>
      <w:r>
        <w:t>De</w:t>
      </w:r>
      <w:r w:rsidRPr="002C4077">
        <w:t xml:space="preserve"> </w:t>
      </w:r>
      <w:r>
        <w:t>la</w:t>
      </w:r>
      <w:r w:rsidRPr="002C4077">
        <w:t xml:space="preserve"> </w:t>
      </w:r>
      <w:r>
        <w:t>sorte,</w:t>
      </w:r>
      <w:r w:rsidRPr="002C4077">
        <w:t xml:space="preserve"> </w:t>
      </w:r>
      <w:r>
        <w:t>rien</w:t>
      </w:r>
      <w:r w:rsidRPr="002C4077">
        <w:t xml:space="preserve"> </w:t>
      </w:r>
      <w:r>
        <w:t>ne</w:t>
      </w:r>
      <w:r w:rsidRPr="002C4077">
        <w:t xml:space="preserve"> </w:t>
      </w:r>
      <w:r>
        <w:t>serait</w:t>
      </w:r>
      <w:r w:rsidRPr="002C4077">
        <w:t xml:space="preserve"> </w:t>
      </w:r>
      <w:r>
        <w:t>dit</w:t>
      </w:r>
      <w:r w:rsidRPr="002C4077">
        <w:t xml:space="preserve"> </w:t>
      </w:r>
      <w:r>
        <w:t>en</w:t>
      </w:r>
      <w:r w:rsidRPr="002C4077">
        <w:t xml:space="preserve"> </w:t>
      </w:r>
      <w:r>
        <w:t>cet</w:t>
      </w:r>
      <w:r w:rsidRPr="002C4077">
        <w:t xml:space="preserve"> </w:t>
      </w:r>
      <w:r>
        <w:t>endroit</w:t>
      </w:r>
      <w:r w:rsidRPr="002C4077">
        <w:t xml:space="preserve"> </w:t>
      </w:r>
      <w:r>
        <w:t>sur</w:t>
      </w:r>
      <w:r w:rsidRPr="002C4077">
        <w:t xml:space="preserve"> </w:t>
      </w:r>
      <w:r>
        <w:t>l’époque</w:t>
      </w:r>
      <w:r w:rsidRPr="002C4077">
        <w:t xml:space="preserve"> </w:t>
      </w:r>
      <w:r>
        <w:t>de</w:t>
      </w:r>
      <w:r w:rsidRPr="002C4077">
        <w:t xml:space="preserve"> </w:t>
      </w:r>
      <w:r>
        <w:t>la</w:t>
      </w:r>
      <w:r w:rsidRPr="002C4077">
        <w:t xml:space="preserve"> </w:t>
      </w:r>
      <w:r>
        <w:t>naissance</w:t>
      </w:r>
      <w:r w:rsidRPr="002C4077">
        <w:t xml:space="preserve"> </w:t>
      </w:r>
      <w:r>
        <w:t>d’Emmanuel,</w:t>
      </w:r>
      <w:r w:rsidRPr="002C4077">
        <w:t xml:space="preserve"> </w:t>
      </w:r>
      <w:r>
        <w:t>puisque</w:t>
      </w:r>
      <w:r w:rsidRPr="002C4077">
        <w:t xml:space="preserve"> </w:t>
      </w:r>
      <w:r>
        <w:t>les</w:t>
      </w:r>
      <w:r w:rsidRPr="002C4077">
        <w:t xml:space="preserve"> </w:t>
      </w:r>
      <w:r>
        <w:t>mots</w:t>
      </w:r>
      <w:r w:rsidRPr="002C4077">
        <w:t xml:space="preserve"> </w:t>
      </w:r>
      <w:r w:rsidR="003B53FD">
        <w:rPr>
          <w:rStyle w:val="italicus"/>
        </w:rPr>
        <w:t>ántequam</w:t>
      </w:r>
      <w:r w:rsidRPr="002C4077">
        <w:t xml:space="preserve"> </w:t>
      </w:r>
      <w:r w:rsidRPr="000A34B5">
        <w:rPr>
          <w:rStyle w:val="italicus"/>
        </w:rPr>
        <w:t>sci</w:t>
      </w:r>
      <w:r w:rsidR="000D4F31">
        <w:rPr>
          <w:rStyle w:val="italicus"/>
        </w:rPr>
        <w:t>a</w:t>
      </w:r>
      <w:r w:rsidRPr="000A34B5">
        <w:rPr>
          <w:rStyle w:val="italicus"/>
        </w:rPr>
        <w:t>t</w:t>
      </w:r>
      <w:r w:rsidRPr="002C4077">
        <w:t xml:space="preserve"> </w:t>
      </w:r>
      <w:r w:rsidRPr="000A34B5">
        <w:rPr>
          <w:rStyle w:val="italicus"/>
        </w:rPr>
        <w:t>puer</w:t>
      </w:r>
      <w:r w:rsidRPr="002C4077">
        <w:t xml:space="preserve"> </w:t>
      </w:r>
      <w:r w:rsidRPr="000A34B5">
        <w:rPr>
          <w:rStyle w:val="italicus"/>
        </w:rPr>
        <w:t>rep</w:t>
      </w:r>
      <w:r w:rsidR="003B53FD" w:rsidRPr="000A34B5">
        <w:rPr>
          <w:rStyle w:val="italicus"/>
        </w:rPr>
        <w:t>rob</w:t>
      </w:r>
      <w:r w:rsidR="003B53FD">
        <w:rPr>
          <w:rStyle w:val="italicus"/>
        </w:rPr>
        <w:t>á</w:t>
      </w:r>
      <w:r w:rsidR="003B53FD" w:rsidRPr="000A34B5">
        <w:rPr>
          <w:rStyle w:val="italicus"/>
        </w:rPr>
        <w:t>re</w:t>
      </w:r>
      <w:r w:rsidRPr="002C4077">
        <w:t xml:space="preserve"> </w:t>
      </w:r>
      <w:r w:rsidRPr="000A34B5">
        <w:rPr>
          <w:rStyle w:val="italicus"/>
        </w:rPr>
        <w:t>malum…</w:t>
      </w:r>
      <w:r w:rsidRPr="002C4077">
        <w:t xml:space="preserve"> </w:t>
      </w:r>
      <w:r w:rsidR="000D4F31" w:rsidRPr="000A34B5">
        <w:rPr>
          <w:rStyle w:val="italicus"/>
        </w:rPr>
        <w:t>derelinqu</w:t>
      </w:r>
      <w:r w:rsidR="000D4F31">
        <w:rPr>
          <w:rStyle w:val="italicus"/>
        </w:rPr>
        <w:t>ét</w:t>
      </w:r>
      <w:r w:rsidR="000D4F31" w:rsidRPr="000A34B5">
        <w:rPr>
          <w:rStyle w:val="italicus"/>
        </w:rPr>
        <w:t>ur</w:t>
      </w:r>
      <w:r w:rsidRPr="000A34B5">
        <w:rPr>
          <w:rStyle w:val="italicus"/>
        </w:rPr>
        <w:t>,</w:t>
      </w:r>
      <w:r w:rsidRPr="002C4077">
        <w:t xml:space="preserve"> </w:t>
      </w:r>
      <w:r w:rsidR="00425C50">
        <w:t>etc</w:t>
      </w:r>
      <w:r>
        <w:t>.,</w:t>
      </w:r>
      <w:r w:rsidRPr="002C4077">
        <w:t xml:space="preserve"> </w:t>
      </w:r>
      <w:r>
        <w:t>concernaient</w:t>
      </w:r>
      <w:r w:rsidRPr="002C4077">
        <w:t xml:space="preserve"> </w:t>
      </w:r>
      <w:r>
        <w:t>une</w:t>
      </w:r>
      <w:r w:rsidRPr="002C4077">
        <w:t xml:space="preserve"> </w:t>
      </w:r>
      <w:r>
        <w:t>autre</w:t>
      </w:r>
      <w:r w:rsidRPr="002C4077">
        <w:t xml:space="preserve"> </w:t>
      </w:r>
      <w:r>
        <w:t>naissance,</w:t>
      </w:r>
      <w:r w:rsidRPr="002C4077">
        <w:t xml:space="preserve"> </w:t>
      </w:r>
      <w:r>
        <w:t>un</w:t>
      </w:r>
      <w:r w:rsidRPr="002C4077">
        <w:t xml:space="preserve"> </w:t>
      </w:r>
      <w:r>
        <w:t>autre</w:t>
      </w:r>
      <w:r w:rsidRPr="002C4077">
        <w:t xml:space="preserve"> </w:t>
      </w:r>
      <w:r>
        <w:t>enfant.</w:t>
      </w:r>
      <w:r w:rsidRPr="002C4077">
        <w:t xml:space="preserve"> </w:t>
      </w:r>
    </w:p>
    <w:p w:rsidR="000A7AAB" w:rsidRDefault="000A7AAB" w:rsidP="000A7AAB">
      <w:r>
        <w:t>M.</w:t>
      </w:r>
      <w:r w:rsidRPr="002C4077">
        <w:t xml:space="preserve"> </w:t>
      </w:r>
      <w:r>
        <w:t>Trochon</w:t>
      </w:r>
      <w:r w:rsidRPr="002C4077">
        <w:t xml:space="preserve"> </w:t>
      </w:r>
      <w:r w:rsidR="00B91AF7">
        <w:rPr>
          <w:rStyle w:val="Appelnotedebasdep"/>
        </w:rPr>
        <w:footnoteReference w:id="269"/>
      </w:r>
      <w:r w:rsidRPr="002C4077">
        <w:t xml:space="preserve"> </w:t>
      </w:r>
      <w:r>
        <w:t>pense</w:t>
      </w:r>
      <w:r w:rsidRPr="002C4077">
        <w:t xml:space="preserve"> </w:t>
      </w:r>
      <w:r>
        <w:t>que</w:t>
      </w:r>
      <w:r w:rsidRPr="002C4077">
        <w:t xml:space="preserve"> </w:t>
      </w:r>
      <w:r>
        <w:t>cette</w:t>
      </w:r>
      <w:r w:rsidRPr="002C4077">
        <w:t xml:space="preserve"> </w:t>
      </w:r>
      <w:r>
        <w:t>interprétation</w:t>
      </w:r>
      <w:r w:rsidRPr="002C4077">
        <w:t xml:space="preserve"> </w:t>
      </w:r>
      <w:r>
        <w:t>mérite</w:t>
      </w:r>
      <w:r w:rsidRPr="002C4077">
        <w:t xml:space="preserve"> </w:t>
      </w:r>
      <w:r>
        <w:t>d’être</w:t>
      </w:r>
      <w:r w:rsidRPr="002C4077">
        <w:t xml:space="preserve"> </w:t>
      </w:r>
      <w:r>
        <w:t>étudiée</w:t>
      </w:r>
      <w:r w:rsidRPr="002C4077">
        <w:t xml:space="preserve"> </w:t>
      </w:r>
      <w:r>
        <w:t>sérieusement.</w:t>
      </w:r>
      <w:r w:rsidRPr="002C4077">
        <w:t xml:space="preserve"> </w:t>
      </w:r>
    </w:p>
    <w:p w:rsidR="000A7AAB" w:rsidRDefault="000A7AAB" w:rsidP="000A7AAB">
      <w:r>
        <w:t>M.</w:t>
      </w:r>
      <w:r w:rsidRPr="002C4077">
        <w:t xml:space="preserve"> </w:t>
      </w:r>
      <w:r>
        <w:t>Bœhl,</w:t>
      </w:r>
      <w:r w:rsidRPr="002C4077">
        <w:t xml:space="preserve"> </w:t>
      </w:r>
      <w:r>
        <w:t>qui</w:t>
      </w:r>
      <w:r w:rsidRPr="002C4077">
        <w:t xml:space="preserve"> </w:t>
      </w:r>
      <w:r>
        <w:t>la</w:t>
      </w:r>
      <w:r w:rsidRPr="002C4077">
        <w:t xml:space="preserve"> </w:t>
      </w:r>
      <w:r>
        <w:t>patronne</w:t>
      </w:r>
      <w:r w:rsidRPr="002C4077">
        <w:t xml:space="preserve"> </w:t>
      </w:r>
      <w:r>
        <w:t>aussi,</w:t>
      </w:r>
      <w:r w:rsidRPr="002C4077">
        <w:t xml:space="preserve"> </w:t>
      </w:r>
      <w:r>
        <w:t>s’appuie</w:t>
      </w:r>
      <w:r w:rsidRPr="002C4077">
        <w:t xml:space="preserve"> </w:t>
      </w:r>
      <w:r>
        <w:t>sur</w:t>
      </w:r>
      <w:r w:rsidRPr="002C4077">
        <w:t xml:space="preserve"> </w:t>
      </w:r>
      <w:r>
        <w:t>l’emploi</w:t>
      </w:r>
      <w:r w:rsidRPr="002C4077">
        <w:t xml:space="preserve"> </w:t>
      </w:r>
      <w:r>
        <w:t>de</w:t>
      </w:r>
      <w:r w:rsidRPr="002C4077">
        <w:t xml:space="preserve"> </w:t>
      </w:r>
      <w:r>
        <w:t>l’article</w:t>
      </w:r>
      <w:r w:rsidRPr="002C4077">
        <w:t xml:space="preserve"> </w:t>
      </w:r>
      <w:r>
        <w:t>démonstratif</w:t>
      </w:r>
      <w:r w:rsidRPr="004440EA">
        <w:t xml:space="preserve"> (</w:t>
      </w:r>
      <w:r w:rsidR="001A54EA" w:rsidRPr="001A54EA">
        <w:rPr>
          <w:rtl/>
          <w:lang w:bidi="he-IL"/>
        </w:rPr>
        <w:t>הנע</w:t>
      </w:r>
      <w:r w:rsidR="001A54EA">
        <w:rPr>
          <w:rtl/>
          <w:lang w:bidi="he-IL"/>
        </w:rPr>
        <w:t>ר</w:t>
      </w:r>
      <w:r w:rsidRPr="000A34B5">
        <w:rPr>
          <w:rStyle w:val="italicus"/>
        </w:rPr>
        <w:t>,</w:t>
      </w:r>
      <w:r w:rsidRPr="002C4077">
        <w:t xml:space="preserve"> </w:t>
      </w:r>
      <w:r w:rsidRPr="000A34B5">
        <w:rPr>
          <w:rStyle w:val="italicus"/>
        </w:rPr>
        <w:t>puer</w:t>
      </w:r>
      <w:r w:rsidRPr="002C4077">
        <w:t xml:space="preserve"> </w:t>
      </w:r>
      <w:r w:rsidRPr="000A34B5">
        <w:rPr>
          <w:rStyle w:val="italicus"/>
        </w:rPr>
        <w:t>ille</w:t>
      </w:r>
      <w:r w:rsidR="00B546AF" w:rsidRPr="002C4077">
        <w:t>)</w:t>
      </w:r>
      <w:r w:rsidRPr="00950016">
        <w:t>,</w:t>
      </w:r>
      <w:r w:rsidRPr="002C4077">
        <w:t xml:space="preserve"> </w:t>
      </w:r>
      <w:r>
        <w:t>lequel,</w:t>
      </w:r>
      <w:r w:rsidRPr="002C4077">
        <w:t xml:space="preserve"> </w:t>
      </w:r>
      <w:r>
        <w:t>dit-il,</w:t>
      </w:r>
      <w:r w:rsidRPr="002C4077">
        <w:t xml:space="preserve"> </w:t>
      </w:r>
      <w:r>
        <w:t>serait</w:t>
      </w:r>
      <w:r w:rsidRPr="002C4077">
        <w:t xml:space="preserve"> </w:t>
      </w:r>
      <w:r>
        <w:t>inutile,</w:t>
      </w:r>
      <w:r w:rsidRPr="002C4077">
        <w:t xml:space="preserve"> </w:t>
      </w:r>
      <w:r>
        <w:t>s’il</w:t>
      </w:r>
      <w:r w:rsidRPr="002C4077">
        <w:t xml:space="preserve"> </w:t>
      </w:r>
      <w:r>
        <w:t>était</w:t>
      </w:r>
      <w:r w:rsidRPr="002C4077">
        <w:t xml:space="preserve"> </w:t>
      </w:r>
      <w:r>
        <w:t>question</w:t>
      </w:r>
      <w:r w:rsidRPr="002C4077">
        <w:t xml:space="preserve"> </w:t>
      </w:r>
      <w:r>
        <w:t>d’un</w:t>
      </w:r>
      <w:r w:rsidRPr="002C4077">
        <w:t xml:space="preserve"> </w:t>
      </w:r>
      <w:r>
        <w:t>seul</w:t>
      </w:r>
      <w:r w:rsidRPr="002C4077">
        <w:t xml:space="preserve"> </w:t>
      </w:r>
      <w:r>
        <w:t>et</w:t>
      </w:r>
      <w:r w:rsidRPr="002C4077">
        <w:t xml:space="preserve"> </w:t>
      </w:r>
      <w:r>
        <w:t>même</w:t>
      </w:r>
      <w:r w:rsidRPr="002C4077">
        <w:t xml:space="preserve"> </w:t>
      </w:r>
      <w:r>
        <w:t>enfant</w:t>
      </w:r>
      <w:r w:rsidR="00BF1EE0">
        <w:rPr>
          <w:rStyle w:val="Appelnotedebasdep"/>
        </w:rPr>
        <w:footnoteReference w:id="270"/>
      </w:r>
      <w:r>
        <w:t>.</w:t>
      </w:r>
      <w:r w:rsidRPr="002C4077">
        <w:t xml:space="preserve"> </w:t>
      </w:r>
      <w:r>
        <w:t>La</w:t>
      </w:r>
      <w:r w:rsidRPr="002C4077">
        <w:t xml:space="preserve"> </w:t>
      </w:r>
      <w:r w:rsidRPr="000A34B5">
        <w:rPr>
          <w:rStyle w:val="italicus"/>
        </w:rPr>
        <w:t>Bible</w:t>
      </w:r>
      <w:r w:rsidRPr="002C4077">
        <w:t xml:space="preserve"> </w:t>
      </w:r>
      <w:r w:rsidRPr="000A34B5">
        <w:rPr>
          <w:rStyle w:val="italicus"/>
        </w:rPr>
        <w:t>annotée</w:t>
      </w:r>
      <w:r w:rsidR="00BF1EE0">
        <w:rPr>
          <w:rStyle w:val="Appelnotedebasdep"/>
          <w:i/>
        </w:rPr>
        <w:footnoteReference w:id="271"/>
      </w:r>
      <w:r w:rsidRPr="002C4077">
        <w:t xml:space="preserve"> </w:t>
      </w:r>
      <w:r>
        <w:t>penche</w:t>
      </w:r>
      <w:r w:rsidRPr="002C4077">
        <w:t xml:space="preserve"> </w:t>
      </w:r>
      <w:r>
        <w:t>également</w:t>
      </w:r>
      <w:r w:rsidRPr="002C4077">
        <w:t xml:space="preserve"> </w:t>
      </w:r>
      <w:r>
        <w:t>vers</w:t>
      </w:r>
      <w:r w:rsidRPr="002C4077">
        <w:t xml:space="preserve"> </w:t>
      </w:r>
      <w:r>
        <w:t>cette</w:t>
      </w:r>
      <w:r w:rsidRPr="002C4077">
        <w:t xml:space="preserve"> </w:t>
      </w:r>
      <w:r>
        <w:t>solution</w:t>
      </w:r>
      <w:r w:rsidRPr="002C4077">
        <w:t xml:space="preserve"> </w:t>
      </w:r>
      <w:r>
        <w:t>et</w:t>
      </w:r>
      <w:r w:rsidRPr="002C4077">
        <w:t xml:space="preserve"> </w:t>
      </w:r>
      <w:r>
        <w:t>suppose,</w:t>
      </w:r>
      <w:r w:rsidRPr="002C4077">
        <w:t xml:space="preserve"> </w:t>
      </w:r>
      <w:r>
        <w:t>pour</w:t>
      </w:r>
      <w:r w:rsidRPr="002C4077">
        <w:t xml:space="preserve"> </w:t>
      </w:r>
      <w:r>
        <w:t>la</w:t>
      </w:r>
      <w:r w:rsidRPr="002C4077">
        <w:t xml:space="preserve"> </w:t>
      </w:r>
      <w:r>
        <w:t>rendre</w:t>
      </w:r>
      <w:r w:rsidRPr="002C4077">
        <w:t xml:space="preserve"> </w:t>
      </w:r>
      <w:r>
        <w:t>plus</w:t>
      </w:r>
      <w:r w:rsidRPr="002C4077">
        <w:t xml:space="preserve"> </w:t>
      </w:r>
      <w:r>
        <w:t>acceptable,</w:t>
      </w:r>
      <w:r w:rsidRPr="002C4077">
        <w:t xml:space="preserve"> </w:t>
      </w:r>
      <w:r>
        <w:t>que</w:t>
      </w:r>
      <w:r w:rsidRPr="002C4077">
        <w:t xml:space="preserve"> </w:t>
      </w:r>
      <w:r w:rsidR="00B546AF">
        <w:t>« </w:t>
      </w:r>
      <w:r>
        <w:t>peut-être</w:t>
      </w:r>
      <w:r w:rsidRPr="002C4077">
        <w:t xml:space="preserve"> </w:t>
      </w:r>
      <w:r>
        <w:t>Isaïe</w:t>
      </w:r>
      <w:r w:rsidRPr="002C4077">
        <w:t xml:space="preserve"> </w:t>
      </w:r>
      <w:r>
        <w:t>montrait</w:t>
      </w:r>
      <w:r w:rsidRPr="002C4077">
        <w:t xml:space="preserve"> </w:t>
      </w:r>
      <w:r>
        <w:t>son</w:t>
      </w:r>
      <w:r w:rsidRPr="002C4077">
        <w:t xml:space="preserve"> </w:t>
      </w:r>
      <w:r>
        <w:t>fils</w:t>
      </w:r>
      <w:r w:rsidRPr="002C4077">
        <w:t xml:space="preserve"> </w:t>
      </w:r>
      <w:r>
        <w:t>du</w:t>
      </w:r>
      <w:r w:rsidRPr="002C4077">
        <w:t xml:space="preserve"> </w:t>
      </w:r>
      <w:r>
        <w:t>geste</w:t>
      </w:r>
      <w:r w:rsidRPr="002C4077">
        <w:t xml:space="preserve"> </w:t>
      </w:r>
      <w:r>
        <w:t>en</w:t>
      </w:r>
      <w:r w:rsidRPr="002C4077">
        <w:t xml:space="preserve"> </w:t>
      </w:r>
      <w:r>
        <w:t>prononçant</w:t>
      </w:r>
      <w:r w:rsidRPr="002C4077">
        <w:t xml:space="preserve"> </w:t>
      </w:r>
      <w:r>
        <w:t>la</w:t>
      </w:r>
      <w:r w:rsidRPr="002C4077">
        <w:t xml:space="preserve"> </w:t>
      </w:r>
      <w:r>
        <w:t>partie</w:t>
      </w:r>
      <w:r w:rsidRPr="002C4077">
        <w:t xml:space="preserve"> </w:t>
      </w:r>
      <w:r>
        <w:t>de</w:t>
      </w:r>
      <w:r w:rsidRPr="002C4077">
        <w:t xml:space="preserve"> </w:t>
      </w:r>
      <w:r>
        <w:t>l’oracle</w:t>
      </w:r>
      <w:r w:rsidRPr="002C4077">
        <w:t xml:space="preserve"> </w:t>
      </w:r>
      <w:r>
        <w:t>conservée</w:t>
      </w:r>
      <w:r w:rsidRPr="002C4077">
        <w:t xml:space="preserve"> </w:t>
      </w:r>
      <w:r>
        <w:t>dans</w:t>
      </w:r>
      <w:r w:rsidRPr="002C4077">
        <w:t xml:space="preserve"> </w:t>
      </w:r>
      <w:r>
        <w:t>les</w:t>
      </w:r>
      <w:r w:rsidRPr="002C4077">
        <w:t xml:space="preserve"> </w:t>
      </w:r>
      <w:r>
        <w:t>versets</w:t>
      </w:r>
      <w:r w:rsidRPr="002C4077">
        <w:t xml:space="preserve"> </w:t>
      </w:r>
      <w:r>
        <w:t>15</w:t>
      </w:r>
      <w:r w:rsidRPr="002C4077">
        <w:t xml:space="preserve"> </w:t>
      </w:r>
      <w:r>
        <w:t>et</w:t>
      </w:r>
      <w:r w:rsidRPr="002C4077">
        <w:t xml:space="preserve"> </w:t>
      </w:r>
      <w:r>
        <w:t>16</w:t>
      </w:r>
      <w:r w:rsidR="00B546AF">
        <w:t> »</w:t>
      </w:r>
      <w:r>
        <w:t>.</w:t>
      </w:r>
      <w:r w:rsidRPr="002C4077">
        <w:t xml:space="preserve"> </w:t>
      </w:r>
      <w:r>
        <w:t>Elle</w:t>
      </w:r>
      <w:r w:rsidRPr="002C4077">
        <w:t xml:space="preserve"> </w:t>
      </w:r>
      <w:r>
        <w:t>se</w:t>
      </w:r>
      <w:r w:rsidRPr="002C4077">
        <w:t xml:space="preserve"> </w:t>
      </w:r>
      <w:r>
        <w:t>hâte</w:t>
      </w:r>
      <w:r w:rsidRPr="002C4077">
        <w:t xml:space="preserve"> </w:t>
      </w:r>
      <w:r>
        <w:t>pourtant</w:t>
      </w:r>
      <w:r w:rsidRPr="002C4077">
        <w:t xml:space="preserve"> </w:t>
      </w:r>
      <w:r>
        <w:t>d’ajouter,</w:t>
      </w:r>
      <w:r w:rsidRPr="002C4077">
        <w:t xml:space="preserve"> </w:t>
      </w:r>
      <w:r>
        <w:t>et</w:t>
      </w:r>
      <w:r w:rsidRPr="002C4077">
        <w:t xml:space="preserve"> </w:t>
      </w:r>
      <w:r>
        <w:t>nous</w:t>
      </w:r>
      <w:r w:rsidRPr="002C4077">
        <w:t xml:space="preserve"> </w:t>
      </w:r>
      <w:r>
        <w:t>l’en</w:t>
      </w:r>
      <w:r w:rsidRPr="002C4077">
        <w:t xml:space="preserve"> </w:t>
      </w:r>
      <w:r>
        <w:t>approuvons</w:t>
      </w:r>
      <w:r w:rsidR="00B546AF">
        <w:t> :</w:t>
      </w:r>
      <w:r w:rsidRPr="002C4077">
        <w:t xml:space="preserve"> </w:t>
      </w:r>
      <w:r w:rsidR="00B546AF">
        <w:t>« </w:t>
      </w:r>
      <w:r>
        <w:t>Il</w:t>
      </w:r>
      <w:r w:rsidRPr="002C4077">
        <w:t xml:space="preserve"> </w:t>
      </w:r>
      <w:r>
        <w:t>faut</w:t>
      </w:r>
      <w:r w:rsidRPr="002C4077">
        <w:t xml:space="preserve"> </w:t>
      </w:r>
      <w:r>
        <w:t>reconnaître</w:t>
      </w:r>
      <w:r w:rsidRPr="002C4077">
        <w:t xml:space="preserve"> </w:t>
      </w:r>
      <w:r>
        <w:t>que</w:t>
      </w:r>
      <w:r w:rsidRPr="002C4077">
        <w:t xml:space="preserve"> </w:t>
      </w:r>
      <w:r>
        <w:t>le</w:t>
      </w:r>
      <w:r w:rsidRPr="002C4077">
        <w:t xml:space="preserve"> </w:t>
      </w:r>
      <w:r>
        <w:t>texte</w:t>
      </w:r>
      <w:r w:rsidRPr="002C4077">
        <w:t xml:space="preserve"> </w:t>
      </w:r>
      <w:r>
        <w:t>ne</w:t>
      </w:r>
      <w:r w:rsidRPr="002C4077">
        <w:t xml:space="preserve"> </w:t>
      </w:r>
      <w:r>
        <w:t>permet</w:t>
      </w:r>
      <w:r w:rsidRPr="002C4077">
        <w:t xml:space="preserve"> </w:t>
      </w:r>
      <w:r>
        <w:t>guère</w:t>
      </w:r>
      <w:r w:rsidRPr="002C4077">
        <w:t xml:space="preserve"> </w:t>
      </w:r>
      <w:r>
        <w:t>un</w:t>
      </w:r>
      <w:r w:rsidRPr="002C4077">
        <w:t xml:space="preserve"> </w:t>
      </w:r>
      <w:r>
        <w:t>changement</w:t>
      </w:r>
      <w:r w:rsidRPr="002C4077">
        <w:t xml:space="preserve"> </w:t>
      </w:r>
      <w:r>
        <w:t>de</w:t>
      </w:r>
      <w:r w:rsidRPr="002C4077">
        <w:t xml:space="preserve"> </w:t>
      </w:r>
      <w:r>
        <w:t>personne</w:t>
      </w:r>
      <w:r w:rsidRPr="002C4077">
        <w:t xml:space="preserve"> </w:t>
      </w:r>
      <w:r>
        <w:t>entre</w:t>
      </w:r>
      <w:r w:rsidRPr="002C4077">
        <w:t xml:space="preserve"> </w:t>
      </w:r>
      <w:r>
        <w:t>le</w:t>
      </w:r>
      <w:r w:rsidRPr="002C4077">
        <w:t xml:space="preserve"> </w:t>
      </w:r>
      <w:r>
        <w:t>verset</w:t>
      </w:r>
      <w:r w:rsidRPr="002C4077">
        <w:t xml:space="preserve"> </w:t>
      </w:r>
      <w:r>
        <w:t>14</w:t>
      </w:r>
      <w:r w:rsidRPr="002C4077">
        <w:t xml:space="preserve"> </w:t>
      </w:r>
      <w:r>
        <w:t>et</w:t>
      </w:r>
      <w:r w:rsidRPr="002C4077">
        <w:t xml:space="preserve"> </w:t>
      </w:r>
      <w:r>
        <w:t>le</w:t>
      </w:r>
      <w:r w:rsidRPr="002C4077">
        <w:t xml:space="preserve"> </w:t>
      </w:r>
      <w:r>
        <w:t>verset</w:t>
      </w:r>
      <w:r w:rsidRPr="002C4077">
        <w:t xml:space="preserve"> </w:t>
      </w:r>
      <w:r>
        <w:t>15,</w:t>
      </w:r>
      <w:r w:rsidRPr="002C4077">
        <w:t xml:space="preserve"> </w:t>
      </w:r>
      <w:r>
        <w:t>et</w:t>
      </w:r>
      <w:r w:rsidRPr="002C4077">
        <w:t xml:space="preserve"> </w:t>
      </w:r>
      <w:r>
        <w:t>que</w:t>
      </w:r>
      <w:r w:rsidRPr="002C4077">
        <w:t xml:space="preserve"> </w:t>
      </w:r>
      <w:r>
        <w:t>le</w:t>
      </w:r>
      <w:r w:rsidRPr="002C4077">
        <w:t xml:space="preserve"> </w:t>
      </w:r>
      <w:r>
        <w:t>jeune</w:t>
      </w:r>
      <w:r w:rsidRPr="002C4077">
        <w:t xml:space="preserve"> </w:t>
      </w:r>
      <w:r>
        <w:t>garçon</w:t>
      </w:r>
      <w:r w:rsidRPr="002C4077">
        <w:t xml:space="preserve"> </w:t>
      </w:r>
      <w:r>
        <w:t>du</w:t>
      </w:r>
      <w:r w:rsidRPr="002C4077">
        <w:t xml:space="preserve"> </w:t>
      </w:r>
      <w:r>
        <w:t>verset</w:t>
      </w:r>
      <w:r w:rsidRPr="002C4077">
        <w:t xml:space="preserve"> </w:t>
      </w:r>
      <w:r>
        <w:t>16</w:t>
      </w:r>
      <w:r w:rsidRPr="002C4077">
        <w:t xml:space="preserve"> </w:t>
      </w:r>
      <w:r>
        <w:t>paraît</w:t>
      </w:r>
      <w:r w:rsidRPr="002C4077">
        <w:t xml:space="preserve"> </w:t>
      </w:r>
      <w:r>
        <w:t>ne</w:t>
      </w:r>
      <w:r w:rsidRPr="002C4077">
        <w:t xml:space="preserve"> </w:t>
      </w:r>
      <w:r>
        <w:t>pouvoir</w:t>
      </w:r>
      <w:r w:rsidRPr="002C4077">
        <w:t xml:space="preserve"> </w:t>
      </w:r>
      <w:r>
        <w:t>être</w:t>
      </w:r>
      <w:r w:rsidRPr="002C4077">
        <w:t xml:space="preserve"> </w:t>
      </w:r>
      <w:r>
        <w:t>autre</w:t>
      </w:r>
      <w:r w:rsidRPr="002C4077">
        <w:t xml:space="preserve"> </w:t>
      </w:r>
      <w:r>
        <w:t>qu’Emmanuel</w:t>
      </w:r>
      <w:r w:rsidR="00B91AF7">
        <w:rPr>
          <w:rStyle w:val="Appelnotedebasdep"/>
        </w:rPr>
        <w:footnoteReference w:id="272"/>
      </w:r>
      <w:r w:rsidR="00B546AF">
        <w:t> »</w:t>
      </w:r>
      <w:r>
        <w:t>.</w:t>
      </w:r>
      <w:r w:rsidRPr="002C4077">
        <w:t xml:space="preserve"> </w:t>
      </w:r>
      <w:r>
        <w:t>En</w:t>
      </w:r>
      <w:r w:rsidRPr="002C4077">
        <w:t xml:space="preserve"> </w:t>
      </w:r>
      <w:r>
        <w:t>effet,</w:t>
      </w:r>
      <w:r w:rsidRPr="002C4077">
        <w:t xml:space="preserve"> </w:t>
      </w:r>
      <w:r>
        <w:t>rien</w:t>
      </w:r>
      <w:r w:rsidRPr="002C4077">
        <w:t xml:space="preserve"> </w:t>
      </w:r>
      <w:r>
        <w:t>ne</w:t>
      </w:r>
      <w:r w:rsidRPr="002C4077">
        <w:t xml:space="preserve"> </w:t>
      </w:r>
      <w:r>
        <w:t>serait</w:t>
      </w:r>
      <w:r w:rsidRPr="002C4077">
        <w:t xml:space="preserve"> </w:t>
      </w:r>
      <w:r>
        <w:t>plus</w:t>
      </w:r>
      <w:r w:rsidRPr="002C4077">
        <w:t xml:space="preserve"> </w:t>
      </w:r>
      <w:r w:rsidR="00B546AF">
        <w:t>« </w:t>
      </w:r>
      <w:r>
        <w:t>violent</w:t>
      </w:r>
      <w:r w:rsidR="00B546AF">
        <w:t> »</w:t>
      </w:r>
      <w:r w:rsidRPr="002C4077">
        <w:t xml:space="preserve"> </w:t>
      </w:r>
      <w:r>
        <w:t>—</w:t>
      </w:r>
      <w:r w:rsidRPr="002C4077">
        <w:t xml:space="preserve"> </w:t>
      </w:r>
      <w:r>
        <w:t>le</w:t>
      </w:r>
      <w:r w:rsidRPr="002C4077">
        <w:t xml:space="preserve"> </w:t>
      </w:r>
      <w:r>
        <w:t>mot</w:t>
      </w:r>
      <w:r w:rsidRPr="002C4077">
        <w:t xml:space="preserve"> </w:t>
      </w:r>
      <w:r w:rsidR="00425C50">
        <w:t>est</w:t>
      </w:r>
      <w:r w:rsidRPr="002C4077">
        <w:t xml:space="preserve"> </w:t>
      </w:r>
      <w:r>
        <w:t>de</w:t>
      </w:r>
      <w:r w:rsidRPr="002C4077">
        <w:t xml:space="preserve"> </w:t>
      </w:r>
      <w:r>
        <w:t>M.</w:t>
      </w:r>
      <w:r w:rsidRPr="002C4077">
        <w:t xml:space="preserve"> </w:t>
      </w:r>
      <w:r>
        <w:t>Le</w:t>
      </w:r>
      <w:r w:rsidRPr="002C4077">
        <w:t xml:space="preserve"> </w:t>
      </w:r>
      <w:r>
        <w:t>Hir</w:t>
      </w:r>
      <w:r w:rsidR="00B91AF7">
        <w:rPr>
          <w:rStyle w:val="Appelnotedebasdep"/>
        </w:rPr>
        <w:footnoteReference w:id="273"/>
      </w:r>
      <w:r>
        <w:t>,</w:t>
      </w:r>
      <w:r w:rsidRPr="002C4077">
        <w:t xml:space="preserve"> </w:t>
      </w:r>
      <w:r>
        <w:t>—</w:t>
      </w:r>
      <w:r w:rsidRPr="002C4077">
        <w:t xml:space="preserve"> </w:t>
      </w:r>
      <w:r>
        <w:t>que</w:t>
      </w:r>
      <w:r w:rsidRPr="002C4077">
        <w:t xml:space="preserve"> </w:t>
      </w:r>
      <w:r>
        <w:t>l’application</w:t>
      </w:r>
      <w:r w:rsidRPr="002C4077">
        <w:t xml:space="preserve"> </w:t>
      </w:r>
      <w:r>
        <w:t>du</w:t>
      </w:r>
      <w:r w:rsidRPr="002C4077">
        <w:t xml:space="preserve"> </w:t>
      </w:r>
      <w:r>
        <w:t>verset</w:t>
      </w:r>
      <w:r w:rsidRPr="002C4077">
        <w:t xml:space="preserve"> </w:t>
      </w:r>
      <w:r>
        <w:t>15</w:t>
      </w:r>
      <w:r w:rsidRPr="002C4077">
        <w:t xml:space="preserve"> </w:t>
      </w:r>
      <w:r>
        <w:t>à</w:t>
      </w:r>
      <w:r w:rsidRPr="002C4077">
        <w:t xml:space="preserve"> </w:t>
      </w:r>
      <w:r>
        <w:t>un</w:t>
      </w:r>
      <w:r w:rsidRPr="002C4077">
        <w:t xml:space="preserve"> </w:t>
      </w:r>
      <w:r>
        <w:t>enfant</w:t>
      </w:r>
      <w:r w:rsidRPr="002C4077">
        <w:t xml:space="preserve"> </w:t>
      </w:r>
      <w:r>
        <w:t>distinct</w:t>
      </w:r>
      <w:r w:rsidRPr="002C4077">
        <w:t xml:space="preserve"> </w:t>
      </w:r>
      <w:r>
        <w:t>d’Emmanuel,</w:t>
      </w:r>
      <w:r w:rsidRPr="002C4077">
        <w:t xml:space="preserve"> </w:t>
      </w:r>
      <w:r w:rsidR="00B546AF">
        <w:t>« </w:t>
      </w:r>
      <w:r>
        <w:t>puisqu’il</w:t>
      </w:r>
      <w:r w:rsidRPr="002C4077">
        <w:t xml:space="preserve"> </w:t>
      </w:r>
      <w:r w:rsidR="00425C50">
        <w:t>est</w:t>
      </w:r>
      <w:r w:rsidRPr="002C4077">
        <w:t xml:space="preserve"> </w:t>
      </w:r>
      <w:r>
        <w:t>manifeste</w:t>
      </w:r>
      <w:r w:rsidRPr="002C4077">
        <w:t xml:space="preserve"> </w:t>
      </w:r>
      <w:r>
        <w:t>que</w:t>
      </w:r>
      <w:r w:rsidRPr="002C4077">
        <w:t xml:space="preserve"> </w:t>
      </w:r>
      <w:r>
        <w:t>cet</w:t>
      </w:r>
      <w:r w:rsidRPr="002C4077">
        <w:t xml:space="preserve"> </w:t>
      </w:r>
      <w:r>
        <w:t>enfant,</w:t>
      </w:r>
      <w:r w:rsidRPr="002C4077">
        <w:t xml:space="preserve"> </w:t>
      </w:r>
      <w:r>
        <w:t>qu’on</w:t>
      </w:r>
      <w:r w:rsidRPr="002C4077">
        <w:t xml:space="preserve"> </w:t>
      </w:r>
      <w:r>
        <w:t>nous</w:t>
      </w:r>
      <w:r w:rsidRPr="002C4077">
        <w:t xml:space="preserve"> </w:t>
      </w:r>
      <w:r>
        <w:t>montre</w:t>
      </w:r>
      <w:r w:rsidRPr="002C4077">
        <w:t xml:space="preserve"> </w:t>
      </w:r>
      <w:r>
        <w:t>au</w:t>
      </w:r>
      <w:r w:rsidRPr="002C4077">
        <w:t xml:space="preserve"> </w:t>
      </w:r>
      <w:r>
        <w:t>verset</w:t>
      </w:r>
      <w:r w:rsidRPr="002C4077">
        <w:t xml:space="preserve"> </w:t>
      </w:r>
      <w:r>
        <w:t>15</w:t>
      </w:r>
      <w:r w:rsidRPr="002C4077">
        <w:t xml:space="preserve"> </w:t>
      </w:r>
      <w:r>
        <w:t>nourri</w:t>
      </w:r>
      <w:r w:rsidRPr="002C4077">
        <w:t xml:space="preserve"> </w:t>
      </w:r>
      <w:r>
        <w:t>de</w:t>
      </w:r>
      <w:r w:rsidRPr="002C4077">
        <w:t xml:space="preserve"> </w:t>
      </w:r>
      <w:r>
        <w:t>lait</w:t>
      </w:r>
      <w:r w:rsidRPr="002C4077">
        <w:t xml:space="preserve"> </w:t>
      </w:r>
      <w:r>
        <w:t>et</w:t>
      </w:r>
      <w:r w:rsidRPr="002C4077">
        <w:t xml:space="preserve"> </w:t>
      </w:r>
      <w:r>
        <w:t>de</w:t>
      </w:r>
      <w:r w:rsidRPr="002C4077">
        <w:t xml:space="preserve"> </w:t>
      </w:r>
      <w:r>
        <w:t>miel</w:t>
      </w:r>
      <w:r w:rsidRPr="002C4077">
        <w:t xml:space="preserve"> </w:t>
      </w:r>
      <w:r>
        <w:t>jusqu’à</w:t>
      </w:r>
      <w:r w:rsidRPr="002C4077">
        <w:t xml:space="preserve"> </w:t>
      </w:r>
      <w:r>
        <w:t>l’âge</w:t>
      </w:r>
      <w:r w:rsidRPr="002C4077">
        <w:t xml:space="preserve"> </w:t>
      </w:r>
      <w:r>
        <w:t>de</w:t>
      </w:r>
      <w:r w:rsidRPr="002C4077">
        <w:t xml:space="preserve"> </w:t>
      </w:r>
      <w:r>
        <w:t>discernement</w:t>
      </w:r>
      <w:r w:rsidRPr="002C4077">
        <w:t xml:space="preserve"> </w:t>
      </w:r>
      <w:r>
        <w:t>du</w:t>
      </w:r>
      <w:r w:rsidRPr="002C4077">
        <w:t xml:space="preserve"> </w:t>
      </w:r>
      <w:r>
        <w:t>bien</w:t>
      </w:r>
      <w:r w:rsidRPr="002C4077">
        <w:t xml:space="preserve"> </w:t>
      </w:r>
      <w:r>
        <w:t>et</w:t>
      </w:r>
      <w:r w:rsidRPr="002C4077">
        <w:t xml:space="preserve"> </w:t>
      </w:r>
      <w:r>
        <w:t>du</w:t>
      </w:r>
      <w:r w:rsidRPr="002C4077">
        <w:t xml:space="preserve"> </w:t>
      </w:r>
      <w:r>
        <w:t>mal,</w:t>
      </w:r>
      <w:r w:rsidRPr="002C4077">
        <w:t xml:space="preserve"> </w:t>
      </w:r>
      <w:r w:rsidR="00425C50">
        <w:t>est</w:t>
      </w:r>
      <w:r w:rsidRPr="002C4077">
        <w:t xml:space="preserve"> </w:t>
      </w:r>
      <w:r>
        <w:t>le</w:t>
      </w:r>
      <w:r w:rsidRPr="002C4077">
        <w:t xml:space="preserve"> </w:t>
      </w:r>
      <w:r>
        <w:t>même</w:t>
      </w:r>
      <w:r w:rsidRPr="002C4077">
        <w:t xml:space="preserve"> </w:t>
      </w:r>
      <w:r>
        <w:t>dont</w:t>
      </w:r>
      <w:r w:rsidRPr="002C4077">
        <w:t xml:space="preserve"> </w:t>
      </w:r>
      <w:r>
        <w:t>on</w:t>
      </w:r>
      <w:r w:rsidRPr="002C4077">
        <w:t xml:space="preserve"> </w:t>
      </w:r>
      <w:r>
        <w:t>ajoute</w:t>
      </w:r>
      <w:r w:rsidRPr="002C4077">
        <w:t xml:space="preserve"> </w:t>
      </w:r>
      <w:r w:rsidR="003B53FD">
        <w:rPr>
          <w:rStyle w:val="italicus"/>
        </w:rPr>
        <w:t>ántequam</w:t>
      </w:r>
      <w:r w:rsidRPr="002C4077">
        <w:t xml:space="preserve"> </w:t>
      </w:r>
      <w:r w:rsidRPr="000A34B5">
        <w:rPr>
          <w:rStyle w:val="italicus"/>
        </w:rPr>
        <w:t>sci</w:t>
      </w:r>
      <w:r w:rsidR="000D4F31">
        <w:rPr>
          <w:rStyle w:val="italicus"/>
        </w:rPr>
        <w:t>a</w:t>
      </w:r>
      <w:r w:rsidRPr="000A34B5">
        <w:rPr>
          <w:rStyle w:val="italicus"/>
        </w:rPr>
        <w:t>t</w:t>
      </w:r>
      <w:r w:rsidR="00B546AF">
        <w:t> »</w:t>
      </w:r>
      <w:r>
        <w:t>.</w:t>
      </w:r>
      <w:r w:rsidR="00C45B47">
        <w:t xml:space="preserve"> {</w:t>
      </w:r>
      <w:r w:rsidR="000721C4">
        <w:t>86</w:t>
      </w:r>
      <w:bookmarkStart w:id="266" w:name="p086"/>
      <w:bookmarkEnd w:id="266"/>
      <w:r w:rsidR="000721C4">
        <w:t xml:space="preserve">} </w:t>
      </w:r>
      <w:r>
        <w:t>Selon</w:t>
      </w:r>
      <w:r w:rsidRPr="002C4077">
        <w:t xml:space="preserve"> </w:t>
      </w:r>
      <w:r>
        <w:t>l’excellente</w:t>
      </w:r>
      <w:r w:rsidRPr="002C4077">
        <w:t xml:space="preserve"> </w:t>
      </w:r>
      <w:r>
        <w:t>remarque</w:t>
      </w:r>
      <w:r w:rsidRPr="002C4077">
        <w:t xml:space="preserve"> </w:t>
      </w:r>
      <w:r>
        <w:t>du</w:t>
      </w:r>
      <w:r w:rsidRPr="002C4077">
        <w:t xml:space="preserve"> </w:t>
      </w:r>
      <w:r>
        <w:t>P.</w:t>
      </w:r>
      <w:r w:rsidRPr="002C4077">
        <w:t xml:space="preserve"> </w:t>
      </w:r>
      <w:r>
        <w:t>Berthier</w:t>
      </w:r>
      <w:r w:rsidR="00B91AF7">
        <w:rPr>
          <w:rStyle w:val="Appelnotedebasdep"/>
        </w:rPr>
        <w:footnoteReference w:id="274"/>
      </w:r>
      <w:r>
        <w:t>,</w:t>
      </w:r>
      <w:r w:rsidRPr="002C4077">
        <w:t xml:space="preserve"> </w:t>
      </w:r>
      <w:r>
        <w:t>quoique,</w:t>
      </w:r>
      <w:r w:rsidRPr="002C4077">
        <w:t xml:space="preserve"> </w:t>
      </w:r>
      <w:r>
        <w:t>dans</w:t>
      </w:r>
      <w:r w:rsidRPr="002C4077">
        <w:t xml:space="preserve"> </w:t>
      </w:r>
      <w:r>
        <w:t>les</w:t>
      </w:r>
      <w:r w:rsidRPr="002C4077">
        <w:t xml:space="preserve"> </w:t>
      </w:r>
      <w:r>
        <w:t>prophéties,</w:t>
      </w:r>
      <w:r w:rsidRPr="002C4077">
        <w:t xml:space="preserve"> </w:t>
      </w:r>
      <w:r>
        <w:t>l’harmonie</w:t>
      </w:r>
      <w:r w:rsidRPr="002C4077">
        <w:t xml:space="preserve"> </w:t>
      </w:r>
      <w:r>
        <w:t>du</w:t>
      </w:r>
      <w:r w:rsidRPr="002C4077">
        <w:t xml:space="preserve"> </w:t>
      </w:r>
      <w:r>
        <w:t>discours</w:t>
      </w:r>
      <w:r w:rsidRPr="002C4077">
        <w:t xml:space="preserve"> </w:t>
      </w:r>
      <w:r>
        <w:t>ne</w:t>
      </w:r>
      <w:r w:rsidRPr="002C4077">
        <w:t xml:space="preserve"> </w:t>
      </w:r>
      <w:r>
        <w:t>soit</w:t>
      </w:r>
      <w:r w:rsidRPr="002C4077">
        <w:t xml:space="preserve"> </w:t>
      </w:r>
      <w:r>
        <w:t>pas</w:t>
      </w:r>
      <w:r w:rsidRPr="002C4077">
        <w:t xml:space="preserve"> </w:t>
      </w:r>
      <w:r>
        <w:t>toujours</w:t>
      </w:r>
      <w:r w:rsidRPr="002C4077">
        <w:t xml:space="preserve"> </w:t>
      </w:r>
      <w:r>
        <w:t>soutenue</w:t>
      </w:r>
      <w:r w:rsidRPr="002C4077">
        <w:t xml:space="preserve"> </w:t>
      </w:r>
      <w:r>
        <w:t>comme</w:t>
      </w:r>
      <w:r w:rsidRPr="002C4077">
        <w:t xml:space="preserve"> </w:t>
      </w:r>
      <w:r>
        <w:t>une</w:t>
      </w:r>
      <w:r w:rsidRPr="002C4077">
        <w:t xml:space="preserve"> </w:t>
      </w:r>
      <w:r>
        <w:t>narration</w:t>
      </w:r>
      <w:r w:rsidRPr="002C4077">
        <w:t xml:space="preserve"> </w:t>
      </w:r>
      <w:r>
        <w:t>historique,</w:t>
      </w:r>
      <w:r w:rsidRPr="002C4077">
        <w:t xml:space="preserve"> </w:t>
      </w:r>
      <w:r>
        <w:t>elle</w:t>
      </w:r>
      <w:r w:rsidRPr="002C4077">
        <w:t xml:space="preserve"> </w:t>
      </w:r>
      <w:r>
        <w:t>doit</w:t>
      </w:r>
      <w:r w:rsidRPr="002C4077">
        <w:t xml:space="preserve"> </w:t>
      </w:r>
      <w:r>
        <w:t>l’être</w:t>
      </w:r>
      <w:r w:rsidRPr="002C4077">
        <w:t xml:space="preserve"> </w:t>
      </w:r>
      <w:r>
        <w:t>cependant</w:t>
      </w:r>
      <w:r w:rsidRPr="002C4077">
        <w:t xml:space="preserve"> </w:t>
      </w:r>
      <w:r>
        <w:t>assez</w:t>
      </w:r>
      <w:r w:rsidRPr="002C4077">
        <w:t xml:space="preserve"> </w:t>
      </w:r>
      <w:r>
        <w:t>pour</w:t>
      </w:r>
      <w:r w:rsidRPr="002C4077">
        <w:t xml:space="preserve"> </w:t>
      </w:r>
      <w:r>
        <w:t>ne</w:t>
      </w:r>
      <w:r w:rsidRPr="002C4077">
        <w:t xml:space="preserve"> </w:t>
      </w:r>
      <w:r>
        <w:t>pas</w:t>
      </w:r>
      <w:r w:rsidRPr="002C4077">
        <w:t xml:space="preserve"> </w:t>
      </w:r>
      <w:r>
        <w:t>heurter</w:t>
      </w:r>
      <w:r w:rsidRPr="002C4077">
        <w:t xml:space="preserve"> </w:t>
      </w:r>
      <w:r>
        <w:t>les</w:t>
      </w:r>
      <w:r w:rsidRPr="002C4077">
        <w:t xml:space="preserve"> </w:t>
      </w:r>
      <w:r>
        <w:t>règles</w:t>
      </w:r>
      <w:r w:rsidRPr="002C4077">
        <w:t xml:space="preserve"> </w:t>
      </w:r>
      <w:r>
        <w:t>de</w:t>
      </w:r>
      <w:r w:rsidRPr="002C4077">
        <w:t xml:space="preserve"> </w:t>
      </w:r>
      <w:r>
        <w:t>la</w:t>
      </w:r>
      <w:r w:rsidRPr="002C4077">
        <w:t xml:space="preserve"> </w:t>
      </w:r>
      <w:r>
        <w:t>grammaire,</w:t>
      </w:r>
      <w:r w:rsidRPr="002C4077">
        <w:t xml:space="preserve"> </w:t>
      </w:r>
      <w:r>
        <w:t>et</w:t>
      </w:r>
      <w:r w:rsidRPr="002C4077">
        <w:t xml:space="preserve"> </w:t>
      </w:r>
      <w:r>
        <w:t>pour</w:t>
      </w:r>
      <w:r w:rsidRPr="002C4077">
        <w:t xml:space="preserve"> </w:t>
      </w:r>
      <w:r>
        <w:t>ne</w:t>
      </w:r>
      <w:r w:rsidRPr="002C4077">
        <w:t xml:space="preserve"> </w:t>
      </w:r>
      <w:r>
        <w:t>pas</w:t>
      </w:r>
      <w:r w:rsidRPr="002C4077">
        <w:t xml:space="preserve"> </w:t>
      </w:r>
      <w:r>
        <w:t>troubler</w:t>
      </w:r>
      <w:r w:rsidRPr="002C4077">
        <w:t xml:space="preserve"> </w:t>
      </w:r>
      <w:r>
        <w:t>les</w:t>
      </w:r>
      <w:r w:rsidRPr="002C4077">
        <w:t xml:space="preserve"> </w:t>
      </w:r>
      <w:r>
        <w:t>idées</w:t>
      </w:r>
      <w:r w:rsidRPr="002C4077">
        <w:t xml:space="preserve"> </w:t>
      </w:r>
      <w:r>
        <w:t>du</w:t>
      </w:r>
      <w:r w:rsidRPr="002C4077">
        <w:t xml:space="preserve"> </w:t>
      </w:r>
      <w:r>
        <w:t>lecteur.</w:t>
      </w:r>
      <w:r w:rsidRPr="002C4077">
        <w:t xml:space="preserve"> </w:t>
      </w:r>
      <w:r>
        <w:t>Or,</w:t>
      </w:r>
      <w:r w:rsidRPr="002C4077">
        <w:t xml:space="preserve"> </w:t>
      </w:r>
      <w:r>
        <w:t>cette</w:t>
      </w:r>
      <w:r w:rsidRPr="002C4077">
        <w:t xml:space="preserve"> </w:t>
      </w:r>
      <w:r>
        <w:t>solution</w:t>
      </w:r>
      <w:r w:rsidRPr="002C4077">
        <w:t xml:space="preserve"> </w:t>
      </w:r>
      <w:r>
        <w:t>facile</w:t>
      </w:r>
      <w:r w:rsidRPr="002C4077">
        <w:t xml:space="preserve"> </w:t>
      </w:r>
      <w:r>
        <w:t>ne</w:t>
      </w:r>
      <w:r w:rsidRPr="002C4077">
        <w:t xml:space="preserve"> </w:t>
      </w:r>
      <w:r>
        <w:t>jetterait-elle</w:t>
      </w:r>
      <w:r w:rsidRPr="002C4077">
        <w:t xml:space="preserve"> </w:t>
      </w:r>
      <w:r>
        <w:t>pas</w:t>
      </w:r>
      <w:r w:rsidRPr="002C4077">
        <w:t xml:space="preserve"> </w:t>
      </w:r>
      <w:r>
        <w:t>le</w:t>
      </w:r>
      <w:r w:rsidRPr="002C4077">
        <w:t xml:space="preserve"> </w:t>
      </w:r>
      <w:r>
        <w:t>lecteur</w:t>
      </w:r>
      <w:r w:rsidRPr="002C4077">
        <w:t xml:space="preserve"> </w:t>
      </w:r>
      <w:r>
        <w:t>dans</w:t>
      </w:r>
      <w:r w:rsidRPr="002C4077">
        <w:t xml:space="preserve"> </w:t>
      </w:r>
      <w:r>
        <w:t>une</w:t>
      </w:r>
      <w:r w:rsidRPr="002C4077">
        <w:t xml:space="preserve"> </w:t>
      </w:r>
      <w:r>
        <w:t>complète</w:t>
      </w:r>
      <w:r w:rsidRPr="002C4077">
        <w:t xml:space="preserve"> </w:t>
      </w:r>
      <w:r>
        <w:t>confusion</w:t>
      </w:r>
      <w:r w:rsidR="00B546AF">
        <w:t> ?</w:t>
      </w:r>
      <w:r w:rsidRPr="002C4077">
        <w:t xml:space="preserve"> </w:t>
      </w:r>
    </w:p>
    <w:p w:rsidR="000A7AAB" w:rsidRDefault="000A7AAB" w:rsidP="000A7AAB">
      <w:r>
        <w:t>4°</w:t>
      </w:r>
      <w:r w:rsidRPr="002C4077">
        <w:t xml:space="preserve"> </w:t>
      </w:r>
      <w:r>
        <w:t>Nous</w:t>
      </w:r>
      <w:r w:rsidRPr="002C4077">
        <w:t xml:space="preserve"> </w:t>
      </w:r>
      <w:r>
        <w:t>ne</w:t>
      </w:r>
      <w:r w:rsidRPr="002C4077">
        <w:t xml:space="preserve"> </w:t>
      </w:r>
      <w:r>
        <w:t>craignons</w:t>
      </w:r>
      <w:r w:rsidRPr="002C4077">
        <w:t xml:space="preserve"> </w:t>
      </w:r>
      <w:r>
        <w:t>pas</w:t>
      </w:r>
      <w:r w:rsidRPr="002C4077">
        <w:t xml:space="preserve"> </w:t>
      </w:r>
      <w:r>
        <w:t>de</w:t>
      </w:r>
      <w:r w:rsidRPr="002C4077">
        <w:t xml:space="preserve"> </w:t>
      </w:r>
      <w:r>
        <w:t>regarder</w:t>
      </w:r>
      <w:r w:rsidRPr="002C4077">
        <w:t xml:space="preserve"> </w:t>
      </w:r>
      <w:r>
        <w:t>aussi</w:t>
      </w:r>
      <w:r w:rsidRPr="002C4077">
        <w:t xml:space="preserve"> </w:t>
      </w:r>
      <w:r>
        <w:t>comme</w:t>
      </w:r>
      <w:r w:rsidRPr="002C4077">
        <w:t xml:space="preserve"> </w:t>
      </w:r>
      <w:r>
        <w:t>une</w:t>
      </w:r>
      <w:r w:rsidRPr="002C4077">
        <w:t xml:space="preserve"> </w:t>
      </w:r>
      <w:r>
        <w:t>fausse</w:t>
      </w:r>
      <w:r w:rsidRPr="002C4077">
        <w:t xml:space="preserve"> </w:t>
      </w:r>
      <w:r>
        <w:t>solution</w:t>
      </w:r>
      <w:r w:rsidRPr="002C4077">
        <w:t xml:space="preserve"> </w:t>
      </w:r>
      <w:r>
        <w:t>l’hypothèse</w:t>
      </w:r>
      <w:r w:rsidRPr="002C4077">
        <w:t xml:space="preserve"> </w:t>
      </w:r>
      <w:r>
        <w:t>dite</w:t>
      </w:r>
      <w:r w:rsidRPr="002C4077">
        <w:t xml:space="preserve"> </w:t>
      </w:r>
      <w:r>
        <w:t>du</w:t>
      </w:r>
      <w:r w:rsidRPr="002C4077">
        <w:t xml:space="preserve"> </w:t>
      </w:r>
      <w:r w:rsidRPr="000A34B5">
        <w:rPr>
          <w:rStyle w:val="italicus"/>
        </w:rPr>
        <w:t>double</w:t>
      </w:r>
      <w:r w:rsidRPr="002C4077">
        <w:t xml:space="preserve"> </w:t>
      </w:r>
      <w:r w:rsidRPr="000A34B5">
        <w:rPr>
          <w:rStyle w:val="italicus"/>
        </w:rPr>
        <w:t>sens.</w:t>
      </w:r>
      <w:r w:rsidRPr="002C4077">
        <w:t xml:space="preserve"> </w:t>
      </w:r>
    </w:p>
    <w:p w:rsidR="000A7AAB" w:rsidRDefault="000A7AAB" w:rsidP="000A7AAB">
      <w:r>
        <w:t>Elle</w:t>
      </w:r>
      <w:r w:rsidRPr="002C4077">
        <w:t xml:space="preserve"> </w:t>
      </w:r>
      <w:r w:rsidR="00425C50">
        <w:t>est</w:t>
      </w:r>
      <w:r w:rsidRPr="002C4077">
        <w:t xml:space="preserve"> </w:t>
      </w:r>
      <w:r>
        <w:t>pourtant</w:t>
      </w:r>
      <w:r w:rsidRPr="002C4077">
        <w:t xml:space="preserve"> </w:t>
      </w:r>
      <w:r>
        <w:t>très</w:t>
      </w:r>
      <w:r w:rsidRPr="002C4077">
        <w:t xml:space="preserve"> </w:t>
      </w:r>
      <w:r>
        <w:t>ancienne,</w:t>
      </w:r>
      <w:r w:rsidRPr="002C4077">
        <w:t xml:space="preserve"> </w:t>
      </w:r>
      <w:r>
        <w:t>puisque</w:t>
      </w:r>
      <w:r w:rsidRPr="002C4077">
        <w:t xml:space="preserve"> </w:t>
      </w:r>
      <w:r>
        <w:t>saint</w:t>
      </w:r>
      <w:r w:rsidRPr="002C4077">
        <w:t xml:space="preserve"> </w:t>
      </w:r>
      <w:r>
        <w:t>Éphrem</w:t>
      </w:r>
      <w:r w:rsidRPr="002C4077">
        <w:t xml:space="preserve"> </w:t>
      </w:r>
      <w:r>
        <w:t>l’enseignait</w:t>
      </w:r>
      <w:r w:rsidRPr="002C4077">
        <w:t xml:space="preserve"> </w:t>
      </w:r>
      <w:r>
        <w:t>ouvertement,</w:t>
      </w:r>
      <w:r w:rsidRPr="002C4077">
        <w:t xml:space="preserve"> </w:t>
      </w:r>
      <w:r>
        <w:t>et</w:t>
      </w:r>
      <w:r w:rsidRPr="002C4077">
        <w:t xml:space="preserve"> </w:t>
      </w:r>
      <w:r>
        <w:t>que</w:t>
      </w:r>
      <w:r w:rsidRPr="002C4077">
        <w:t xml:space="preserve"> </w:t>
      </w:r>
      <w:r>
        <w:t>saint</w:t>
      </w:r>
      <w:r w:rsidRPr="002C4077">
        <w:t xml:space="preserve"> </w:t>
      </w:r>
      <w:r>
        <w:t>Jérôme</w:t>
      </w:r>
      <w:r w:rsidRPr="002C4077">
        <w:t xml:space="preserve"> </w:t>
      </w:r>
      <w:r>
        <w:t>la</w:t>
      </w:r>
      <w:r w:rsidRPr="002C4077">
        <w:t xml:space="preserve"> </w:t>
      </w:r>
      <w:r>
        <w:t>mentionne</w:t>
      </w:r>
      <w:r w:rsidRPr="002C4077">
        <w:t xml:space="preserve"> </w:t>
      </w:r>
      <w:r>
        <w:t>comme</w:t>
      </w:r>
      <w:r w:rsidRPr="002C4077">
        <w:t xml:space="preserve"> </w:t>
      </w:r>
      <w:r>
        <w:t>suivie</w:t>
      </w:r>
      <w:r w:rsidRPr="002C4077">
        <w:t xml:space="preserve"> </w:t>
      </w:r>
      <w:r>
        <w:t>de</w:t>
      </w:r>
      <w:r w:rsidRPr="002C4077">
        <w:t xml:space="preserve"> </w:t>
      </w:r>
      <w:r>
        <w:t>son</w:t>
      </w:r>
      <w:r w:rsidRPr="002C4077">
        <w:t xml:space="preserve"> </w:t>
      </w:r>
      <w:r>
        <w:t>temps</w:t>
      </w:r>
      <w:r w:rsidRPr="002C4077">
        <w:t xml:space="preserve"> </w:t>
      </w:r>
      <w:r>
        <w:t>par</w:t>
      </w:r>
      <w:r w:rsidRPr="002C4077">
        <w:t xml:space="preserve"> </w:t>
      </w:r>
      <w:r>
        <w:t>divers</w:t>
      </w:r>
      <w:r w:rsidRPr="002C4077">
        <w:t xml:space="preserve"> </w:t>
      </w:r>
      <w:r>
        <w:t>exégètes</w:t>
      </w:r>
      <w:r w:rsidR="00B91AF7">
        <w:rPr>
          <w:rStyle w:val="Appelnotedebasdep"/>
        </w:rPr>
        <w:footnoteReference w:id="275"/>
      </w:r>
      <w:r>
        <w:t>.</w:t>
      </w:r>
      <w:r w:rsidRPr="002C4077">
        <w:t xml:space="preserve"> </w:t>
      </w:r>
      <w:r>
        <w:t>En</w:t>
      </w:r>
      <w:r w:rsidRPr="002C4077">
        <w:t xml:space="preserve"> </w:t>
      </w:r>
      <w:r>
        <w:t>outre,</w:t>
      </w:r>
      <w:r w:rsidRPr="002C4077">
        <w:t xml:space="preserve"> </w:t>
      </w:r>
      <w:r>
        <w:t>elle</w:t>
      </w:r>
      <w:r w:rsidRPr="002C4077">
        <w:t xml:space="preserve"> </w:t>
      </w:r>
      <w:r>
        <w:t>a</w:t>
      </w:r>
      <w:r w:rsidRPr="002C4077">
        <w:t xml:space="preserve"> </w:t>
      </w:r>
      <w:r>
        <w:t>trouvé</w:t>
      </w:r>
      <w:r w:rsidRPr="002C4077">
        <w:t xml:space="preserve"> </w:t>
      </w:r>
      <w:r>
        <w:t>dans</w:t>
      </w:r>
      <w:r w:rsidRPr="002C4077">
        <w:t xml:space="preserve"> </w:t>
      </w:r>
      <w:r>
        <w:t>les</w:t>
      </w:r>
      <w:r w:rsidRPr="002C4077">
        <w:t xml:space="preserve"> </w:t>
      </w:r>
      <w:r>
        <w:t>derniers</w:t>
      </w:r>
      <w:r w:rsidRPr="002C4077">
        <w:t xml:space="preserve"> </w:t>
      </w:r>
      <w:r>
        <w:t>siècles</w:t>
      </w:r>
      <w:r w:rsidRPr="002C4077">
        <w:t xml:space="preserve"> </w:t>
      </w:r>
      <w:r>
        <w:lastRenderedPageBreak/>
        <w:t>des</w:t>
      </w:r>
      <w:r w:rsidRPr="002C4077">
        <w:t xml:space="preserve"> </w:t>
      </w:r>
      <w:r>
        <w:t>partisans</w:t>
      </w:r>
      <w:r w:rsidRPr="002C4077">
        <w:t xml:space="preserve"> </w:t>
      </w:r>
      <w:r>
        <w:t>nombreux</w:t>
      </w:r>
      <w:r w:rsidRPr="002C4077">
        <w:t xml:space="preserve"> </w:t>
      </w:r>
      <w:r>
        <w:t>et</w:t>
      </w:r>
      <w:r w:rsidRPr="002C4077">
        <w:t xml:space="preserve"> </w:t>
      </w:r>
      <w:r>
        <w:t>distingués,</w:t>
      </w:r>
      <w:r w:rsidRPr="002C4077">
        <w:t xml:space="preserve"> </w:t>
      </w:r>
      <w:r>
        <w:t>catholiques</w:t>
      </w:r>
      <w:r w:rsidRPr="002C4077">
        <w:t xml:space="preserve"> </w:t>
      </w:r>
      <w:r>
        <w:t>pour</w:t>
      </w:r>
      <w:r w:rsidRPr="002C4077">
        <w:t xml:space="preserve"> </w:t>
      </w:r>
      <w:r>
        <w:t>la</w:t>
      </w:r>
      <w:r w:rsidRPr="002C4077">
        <w:t xml:space="preserve"> </w:t>
      </w:r>
      <w:r>
        <w:t>plupart,</w:t>
      </w:r>
      <w:r w:rsidRPr="002C4077">
        <w:t xml:space="preserve"> </w:t>
      </w:r>
      <w:r>
        <w:t>entre</w:t>
      </w:r>
      <w:r w:rsidRPr="002C4077">
        <w:t xml:space="preserve"> </w:t>
      </w:r>
      <w:r>
        <w:t>autres</w:t>
      </w:r>
      <w:r w:rsidRPr="002C4077">
        <w:t xml:space="preserve"> </w:t>
      </w:r>
      <w:r>
        <w:t>Richard</w:t>
      </w:r>
      <w:r w:rsidRPr="002C4077">
        <w:t xml:space="preserve"> </w:t>
      </w:r>
      <w:r>
        <w:t>Simon</w:t>
      </w:r>
      <w:r w:rsidR="00623D96">
        <w:rPr>
          <w:rStyle w:val="Appelnotedebasdep"/>
        </w:rPr>
        <w:footnoteReference w:id="276"/>
      </w:r>
      <w:r>
        <w:t>,</w:t>
      </w:r>
      <w:r w:rsidRPr="002C4077">
        <w:t xml:space="preserve"> </w:t>
      </w:r>
      <w:r>
        <w:t>Huet,</w:t>
      </w:r>
      <w:r w:rsidRPr="002C4077">
        <w:t xml:space="preserve"> </w:t>
      </w:r>
      <w:r>
        <w:t>B.</w:t>
      </w:r>
      <w:r w:rsidRPr="002C4077">
        <w:t xml:space="preserve"> </w:t>
      </w:r>
      <w:r>
        <w:t>Lamy,</w:t>
      </w:r>
      <w:r w:rsidRPr="002C4077">
        <w:t xml:space="preserve"> </w:t>
      </w:r>
      <w:r>
        <w:t>Tirin,</w:t>
      </w:r>
      <w:r w:rsidRPr="002C4077">
        <w:t xml:space="preserve"> </w:t>
      </w:r>
      <w:r>
        <w:t>D.</w:t>
      </w:r>
      <w:r w:rsidRPr="002C4077">
        <w:t xml:space="preserve"> </w:t>
      </w:r>
      <w:r>
        <w:t>Calmet</w:t>
      </w:r>
      <w:r w:rsidR="00B546AF">
        <w:t> ;</w:t>
      </w:r>
      <w:r w:rsidRPr="002C4077">
        <w:t xml:space="preserve"> </w:t>
      </w:r>
      <w:r>
        <w:t>de</w:t>
      </w:r>
      <w:r w:rsidRPr="002C4077">
        <w:t xml:space="preserve"> </w:t>
      </w:r>
      <w:r>
        <w:t>nos</w:t>
      </w:r>
      <w:r w:rsidRPr="002C4077">
        <w:t xml:space="preserve"> </w:t>
      </w:r>
      <w:r>
        <w:t>jours</w:t>
      </w:r>
      <w:r w:rsidRPr="002C4077">
        <w:t xml:space="preserve"> </w:t>
      </w:r>
      <w:r>
        <w:t>Dieringer</w:t>
      </w:r>
      <w:r w:rsidR="00B91AF7">
        <w:rPr>
          <w:rStyle w:val="Appelnotedebasdep"/>
        </w:rPr>
        <w:footnoteReference w:id="277"/>
      </w:r>
      <w:r>
        <w:t>,</w:t>
      </w:r>
      <w:r w:rsidRPr="002C4077">
        <w:t xml:space="preserve"> </w:t>
      </w:r>
      <w:r>
        <w:t>Gratz</w:t>
      </w:r>
      <w:r w:rsidR="00B91AF7">
        <w:rPr>
          <w:rStyle w:val="Appelnotedebasdep"/>
        </w:rPr>
        <w:footnoteReference w:id="278"/>
      </w:r>
      <w:r>
        <w:t>,</w:t>
      </w:r>
      <w:r w:rsidRPr="002C4077">
        <w:t xml:space="preserve"> </w:t>
      </w:r>
      <w:r>
        <w:t>Schegg</w:t>
      </w:r>
      <w:r w:rsidR="00B91AF7">
        <w:rPr>
          <w:rStyle w:val="Appelnotedebasdep"/>
        </w:rPr>
        <w:footnoteReference w:id="279"/>
      </w:r>
      <w:r>
        <w:t>,</w:t>
      </w:r>
      <w:r w:rsidRPr="002C4077">
        <w:t xml:space="preserve"> </w:t>
      </w:r>
      <w:r>
        <w:t>M.</w:t>
      </w:r>
      <w:r w:rsidRPr="002C4077">
        <w:t xml:space="preserve"> </w:t>
      </w:r>
      <w:r>
        <w:t>Le</w:t>
      </w:r>
      <w:r w:rsidRPr="002C4077">
        <w:t xml:space="preserve"> </w:t>
      </w:r>
      <w:r>
        <w:t>Hir</w:t>
      </w:r>
      <w:r w:rsidR="00B91AF7">
        <w:rPr>
          <w:rStyle w:val="Appelnotedebasdep"/>
        </w:rPr>
        <w:footnoteReference w:id="280"/>
      </w:r>
      <w:r>
        <w:t>,</w:t>
      </w:r>
      <w:r w:rsidRPr="002C4077">
        <w:t xml:space="preserve"> </w:t>
      </w:r>
      <w:r w:rsidR="00425C50">
        <w:t>etc</w:t>
      </w:r>
      <w:r>
        <w:t>.</w:t>
      </w:r>
      <w:r w:rsidRPr="002C4077">
        <w:t xml:space="preserve"> </w:t>
      </w:r>
    </w:p>
    <w:p w:rsidR="000A7AAB" w:rsidRDefault="000A7AAB" w:rsidP="000A7AAB">
      <w:r>
        <w:t>Elle</w:t>
      </w:r>
      <w:r w:rsidRPr="002C4077">
        <w:t xml:space="preserve"> </w:t>
      </w:r>
      <w:r>
        <w:t>consiste</w:t>
      </w:r>
      <w:r w:rsidRPr="002C4077">
        <w:t xml:space="preserve"> </w:t>
      </w:r>
      <w:r>
        <w:t>à</w:t>
      </w:r>
      <w:r w:rsidRPr="002C4077">
        <w:t xml:space="preserve"> </w:t>
      </w:r>
      <w:r>
        <w:t>dire</w:t>
      </w:r>
      <w:r w:rsidRPr="002C4077">
        <w:t xml:space="preserve"> </w:t>
      </w:r>
      <w:r>
        <w:t>que</w:t>
      </w:r>
      <w:r w:rsidRPr="002C4077">
        <w:t xml:space="preserve"> </w:t>
      </w:r>
      <w:r>
        <w:t>l’oracle</w:t>
      </w:r>
      <w:r w:rsidRPr="002C4077">
        <w:t xml:space="preserve"> </w:t>
      </w:r>
      <w:r>
        <w:t>de</w:t>
      </w:r>
      <w:r w:rsidRPr="002C4077">
        <w:t xml:space="preserve"> </w:t>
      </w:r>
      <w:r w:rsidR="00D40830" w:rsidRPr="00D40830">
        <w:t>l’</w:t>
      </w:r>
      <w:r w:rsidR="00D40830" w:rsidRPr="00D05EA9">
        <w:rPr>
          <w:rStyle w:val="italicus"/>
        </w:rPr>
        <w:t>῾almah</w:t>
      </w:r>
      <w:r w:rsidRPr="002C4077">
        <w:t xml:space="preserve"> </w:t>
      </w:r>
      <w:r>
        <w:t>devait</w:t>
      </w:r>
      <w:r w:rsidRPr="002C4077">
        <w:t xml:space="preserve"> </w:t>
      </w:r>
      <w:r>
        <w:t>recevoir</w:t>
      </w:r>
      <w:r w:rsidRPr="002C4077">
        <w:t xml:space="preserve"> </w:t>
      </w:r>
      <w:r>
        <w:t>un</w:t>
      </w:r>
      <w:r w:rsidRPr="002C4077">
        <w:t xml:space="preserve"> </w:t>
      </w:r>
      <w:r>
        <w:t>double</w:t>
      </w:r>
      <w:r w:rsidRPr="002C4077">
        <w:t xml:space="preserve"> </w:t>
      </w:r>
      <w:r>
        <w:t>accomplissement</w:t>
      </w:r>
      <w:r w:rsidRPr="002C4077">
        <w:t xml:space="preserve"> </w:t>
      </w:r>
      <w:r>
        <w:t>dans</w:t>
      </w:r>
      <w:r w:rsidRPr="002C4077">
        <w:t xml:space="preserve"> </w:t>
      </w:r>
      <w:r>
        <w:t>la</w:t>
      </w:r>
      <w:r w:rsidRPr="002C4077">
        <w:t xml:space="preserve"> </w:t>
      </w:r>
      <w:r>
        <w:t>suite</w:t>
      </w:r>
      <w:r w:rsidRPr="002C4077">
        <w:t xml:space="preserve"> </w:t>
      </w:r>
      <w:r>
        <w:t>des</w:t>
      </w:r>
      <w:r w:rsidRPr="002C4077">
        <w:t xml:space="preserve"> </w:t>
      </w:r>
      <w:r>
        <w:t>âges</w:t>
      </w:r>
      <w:r w:rsidR="00B546AF">
        <w:t> :</w:t>
      </w:r>
      <w:r w:rsidRPr="002C4077">
        <w:t xml:space="preserve"> </w:t>
      </w:r>
      <w:r>
        <w:t>le</w:t>
      </w:r>
      <w:r w:rsidRPr="002C4077">
        <w:t xml:space="preserve"> </w:t>
      </w:r>
      <w:r>
        <w:t>premier,</w:t>
      </w:r>
      <w:r w:rsidRPr="002C4077">
        <w:t xml:space="preserve"> </w:t>
      </w:r>
      <w:r>
        <w:t>presque</w:t>
      </w:r>
      <w:r w:rsidRPr="002C4077">
        <w:t xml:space="preserve"> </w:t>
      </w:r>
      <w:r>
        <w:t>immédiatement,</w:t>
      </w:r>
      <w:r w:rsidRPr="002C4077">
        <w:t xml:space="preserve"> </w:t>
      </w:r>
      <w:r>
        <w:t>quelques</w:t>
      </w:r>
      <w:r w:rsidRPr="002C4077">
        <w:t xml:space="preserve"> </w:t>
      </w:r>
      <w:r>
        <w:t>mois</w:t>
      </w:r>
      <w:r w:rsidRPr="002C4077">
        <w:t xml:space="preserve"> </w:t>
      </w:r>
      <w:r>
        <w:t>après</w:t>
      </w:r>
      <w:r w:rsidRPr="002C4077">
        <w:t xml:space="preserve"> </w:t>
      </w:r>
      <w:r>
        <w:t>la</w:t>
      </w:r>
      <w:r w:rsidRPr="002C4077">
        <w:t xml:space="preserve"> </w:t>
      </w:r>
      <w:r>
        <w:t>scène</w:t>
      </w:r>
      <w:r w:rsidRPr="002C4077">
        <w:t xml:space="preserve"> </w:t>
      </w:r>
      <w:r>
        <w:t>racontée</w:t>
      </w:r>
      <w:r w:rsidRPr="002C4077">
        <w:t xml:space="preserve"> </w:t>
      </w:r>
      <w:r>
        <w:t>au</w:t>
      </w:r>
      <w:r w:rsidRPr="002C4077">
        <w:t xml:space="preserve"> </w:t>
      </w:r>
      <w:r>
        <w:t>V</w:t>
      </w:r>
      <w:r w:rsidR="007B3C26">
        <w:t>II</w:t>
      </w:r>
      <w:r w:rsidR="007B3C26" w:rsidRPr="007B3C26">
        <w:rPr>
          <w:vertAlign w:val="superscript"/>
        </w:rPr>
        <w:t>e</w:t>
      </w:r>
      <w:r w:rsidRPr="002C4077">
        <w:t xml:space="preserve"> </w:t>
      </w:r>
      <w:r>
        <w:t>chapitre</w:t>
      </w:r>
      <w:r w:rsidRPr="002C4077">
        <w:t xml:space="preserve"> </w:t>
      </w:r>
      <w:r>
        <w:t>d’Isaïe,</w:t>
      </w:r>
      <w:r w:rsidRPr="002C4077">
        <w:t xml:space="preserve"> </w:t>
      </w:r>
      <w:r>
        <w:t>le</w:t>
      </w:r>
      <w:r w:rsidRPr="002C4077">
        <w:t xml:space="preserve"> </w:t>
      </w:r>
      <w:r>
        <w:t>second</w:t>
      </w:r>
      <w:r w:rsidRPr="002C4077">
        <w:t xml:space="preserve"> </w:t>
      </w:r>
      <w:r>
        <w:t>sept</w:t>
      </w:r>
      <w:r w:rsidRPr="002C4077">
        <w:t xml:space="preserve"> </w:t>
      </w:r>
      <w:r>
        <w:t>siècles</w:t>
      </w:r>
      <w:r w:rsidRPr="002C4077">
        <w:t xml:space="preserve"> </w:t>
      </w:r>
      <w:r>
        <w:t>plus</w:t>
      </w:r>
      <w:r w:rsidRPr="002C4077">
        <w:t xml:space="preserve"> </w:t>
      </w:r>
      <w:r>
        <w:t>tard</w:t>
      </w:r>
      <w:r w:rsidR="00B546AF">
        <w:t> ;</w:t>
      </w:r>
      <w:r w:rsidR="00C45B47">
        <w:t xml:space="preserve"> {</w:t>
      </w:r>
      <w:r w:rsidR="000721C4">
        <w:t>87</w:t>
      </w:r>
      <w:bookmarkStart w:id="267" w:name="p087"/>
      <w:bookmarkEnd w:id="267"/>
      <w:r w:rsidR="000721C4">
        <w:t xml:space="preserve">} </w:t>
      </w:r>
      <w:r>
        <w:t>le</w:t>
      </w:r>
      <w:r w:rsidRPr="002C4077">
        <w:t xml:space="preserve"> </w:t>
      </w:r>
      <w:r>
        <w:t>premier</w:t>
      </w:r>
      <w:r w:rsidRPr="002C4077">
        <w:t xml:space="preserve"> </w:t>
      </w:r>
      <w:r>
        <w:t>dans</w:t>
      </w:r>
      <w:r w:rsidRPr="002C4077">
        <w:t xml:space="preserve"> </w:t>
      </w:r>
      <w:r>
        <w:t>un</w:t>
      </w:r>
      <w:r w:rsidRPr="002C4077">
        <w:t xml:space="preserve"> </w:t>
      </w:r>
      <w:r>
        <w:t>fait</w:t>
      </w:r>
      <w:r w:rsidRPr="002C4077">
        <w:t xml:space="preserve"> </w:t>
      </w:r>
      <w:r>
        <w:t>tout</w:t>
      </w:r>
      <w:r w:rsidRPr="002C4077">
        <w:t xml:space="preserve"> </w:t>
      </w:r>
      <w:r>
        <w:t>ordinaire,</w:t>
      </w:r>
      <w:r w:rsidRPr="002C4077">
        <w:t xml:space="preserve"> </w:t>
      </w:r>
      <w:r>
        <w:t>l’enfantement</w:t>
      </w:r>
      <w:r w:rsidRPr="002C4077">
        <w:t xml:space="preserve"> </w:t>
      </w:r>
      <w:r>
        <w:t>d’une</w:t>
      </w:r>
      <w:r w:rsidRPr="002C4077">
        <w:t xml:space="preserve"> </w:t>
      </w:r>
      <w:r>
        <w:t>femme</w:t>
      </w:r>
      <w:r w:rsidRPr="002C4077">
        <w:t xml:space="preserve"> </w:t>
      </w:r>
      <w:r>
        <w:t>d’après</w:t>
      </w:r>
      <w:r w:rsidRPr="002C4077">
        <w:t xml:space="preserve"> </w:t>
      </w:r>
      <w:r>
        <w:t>les</w:t>
      </w:r>
      <w:r w:rsidRPr="002C4077">
        <w:t xml:space="preserve"> </w:t>
      </w:r>
      <w:r w:rsidRPr="000A34B5">
        <w:rPr>
          <w:rStyle w:val="italicus"/>
        </w:rPr>
        <w:t>lois</w:t>
      </w:r>
      <w:r w:rsidRPr="002C4077">
        <w:t xml:space="preserve"> </w:t>
      </w:r>
      <w:r>
        <w:t>communes</w:t>
      </w:r>
      <w:r w:rsidRPr="002C4077">
        <w:t xml:space="preserve"> </w:t>
      </w:r>
      <w:r>
        <w:t>de</w:t>
      </w:r>
      <w:r w:rsidRPr="002C4077">
        <w:t xml:space="preserve"> </w:t>
      </w:r>
      <w:r>
        <w:t>la</w:t>
      </w:r>
      <w:r w:rsidRPr="002C4077">
        <w:t xml:space="preserve"> </w:t>
      </w:r>
      <w:r>
        <w:t>nature,</w:t>
      </w:r>
      <w:r w:rsidRPr="002C4077">
        <w:t xml:space="preserve"> </w:t>
      </w:r>
      <w:r>
        <w:t>le</w:t>
      </w:r>
      <w:r w:rsidRPr="002C4077">
        <w:t xml:space="preserve"> </w:t>
      </w:r>
      <w:r>
        <w:t>second</w:t>
      </w:r>
      <w:r w:rsidRPr="002C4077">
        <w:t xml:space="preserve"> </w:t>
      </w:r>
      <w:r>
        <w:t>dans</w:t>
      </w:r>
      <w:r w:rsidRPr="002C4077">
        <w:t xml:space="preserve"> </w:t>
      </w:r>
      <w:r>
        <w:t>un</w:t>
      </w:r>
      <w:r w:rsidRPr="002C4077">
        <w:t xml:space="preserve"> </w:t>
      </w:r>
      <w:r>
        <w:t>événement</w:t>
      </w:r>
      <w:r w:rsidRPr="002C4077">
        <w:t xml:space="preserve"> </w:t>
      </w:r>
      <w:r>
        <w:t>supérieur,</w:t>
      </w:r>
      <w:r w:rsidRPr="002C4077">
        <w:t xml:space="preserve"> </w:t>
      </w:r>
      <w:r>
        <w:t>tout</w:t>
      </w:r>
      <w:r w:rsidRPr="002C4077">
        <w:t xml:space="preserve"> </w:t>
      </w:r>
      <w:r>
        <w:t>céleste,</w:t>
      </w:r>
      <w:r w:rsidRPr="002C4077">
        <w:t xml:space="preserve"> </w:t>
      </w:r>
      <w:r>
        <w:t>la</w:t>
      </w:r>
      <w:r w:rsidRPr="002C4077">
        <w:t xml:space="preserve"> </w:t>
      </w:r>
      <w:r>
        <w:t>maternité</w:t>
      </w:r>
      <w:r w:rsidRPr="002C4077">
        <w:t xml:space="preserve"> </w:t>
      </w:r>
      <w:r>
        <w:t>virginale</w:t>
      </w:r>
      <w:r w:rsidRPr="002C4077">
        <w:t xml:space="preserve"> </w:t>
      </w:r>
      <w:r>
        <w:t>de</w:t>
      </w:r>
      <w:r w:rsidRPr="002C4077">
        <w:t xml:space="preserve"> </w:t>
      </w:r>
      <w:r>
        <w:t>Marie</w:t>
      </w:r>
      <w:r w:rsidR="00B546AF">
        <w:t> ;</w:t>
      </w:r>
      <w:r w:rsidRPr="002C4077">
        <w:t xml:space="preserve"> </w:t>
      </w:r>
      <w:r>
        <w:t>le</w:t>
      </w:r>
      <w:r w:rsidRPr="002C4077">
        <w:t xml:space="preserve"> </w:t>
      </w:r>
      <w:r>
        <w:t>premier,</w:t>
      </w:r>
      <w:r w:rsidRPr="002C4077">
        <w:t xml:space="preserve"> </w:t>
      </w:r>
      <w:r>
        <w:t>simple</w:t>
      </w:r>
      <w:r w:rsidRPr="002C4077">
        <w:t xml:space="preserve"> </w:t>
      </w:r>
      <w:r>
        <w:t>type</w:t>
      </w:r>
      <w:r w:rsidRPr="002C4077">
        <w:t xml:space="preserve"> </w:t>
      </w:r>
      <w:r>
        <w:t>et</w:t>
      </w:r>
      <w:r w:rsidRPr="002C4077">
        <w:t xml:space="preserve"> </w:t>
      </w:r>
      <w:r>
        <w:t>figure,</w:t>
      </w:r>
      <w:r w:rsidRPr="002C4077">
        <w:t xml:space="preserve"> </w:t>
      </w:r>
      <w:r>
        <w:t>le</w:t>
      </w:r>
      <w:r w:rsidRPr="002C4077">
        <w:t xml:space="preserve"> </w:t>
      </w:r>
      <w:r>
        <w:t>second,</w:t>
      </w:r>
      <w:r w:rsidRPr="002C4077">
        <w:t xml:space="preserve"> </w:t>
      </w:r>
      <w:r>
        <w:t>réalisation</w:t>
      </w:r>
      <w:r w:rsidRPr="002C4077">
        <w:t xml:space="preserve"> </w:t>
      </w:r>
      <w:r>
        <w:t>adéquate</w:t>
      </w:r>
      <w:r w:rsidRPr="002C4077">
        <w:t xml:space="preserve"> </w:t>
      </w:r>
      <w:r>
        <w:t>du</w:t>
      </w:r>
      <w:r w:rsidRPr="002C4077">
        <w:t xml:space="preserve"> </w:t>
      </w:r>
      <w:r>
        <w:t>type</w:t>
      </w:r>
      <w:r w:rsidR="00B546AF">
        <w:t> ;</w:t>
      </w:r>
      <w:r w:rsidRPr="002C4077">
        <w:t xml:space="preserve"> </w:t>
      </w:r>
      <w:r>
        <w:t>le</w:t>
      </w:r>
      <w:r w:rsidRPr="002C4077">
        <w:t xml:space="preserve"> </w:t>
      </w:r>
      <w:r>
        <w:t>premier,</w:t>
      </w:r>
      <w:r w:rsidRPr="002C4077">
        <w:t xml:space="preserve"> </w:t>
      </w:r>
      <w:r>
        <w:t>direct</w:t>
      </w:r>
      <w:r w:rsidRPr="002C4077">
        <w:t xml:space="preserve"> </w:t>
      </w:r>
      <w:r>
        <w:t>et</w:t>
      </w:r>
      <w:r w:rsidRPr="002C4077">
        <w:t xml:space="preserve"> </w:t>
      </w:r>
      <w:r>
        <w:t>immédiat,</w:t>
      </w:r>
      <w:r w:rsidRPr="002C4077">
        <w:t xml:space="preserve"> </w:t>
      </w:r>
      <w:r>
        <w:t>le</w:t>
      </w:r>
      <w:r w:rsidRPr="002C4077">
        <w:t xml:space="preserve"> </w:t>
      </w:r>
      <w:r>
        <w:t>second</w:t>
      </w:r>
      <w:r w:rsidRPr="002C4077">
        <w:t xml:space="preserve"> </w:t>
      </w:r>
      <w:r>
        <w:t>indirect</w:t>
      </w:r>
      <w:r w:rsidRPr="002C4077">
        <w:t xml:space="preserve"> </w:t>
      </w:r>
      <w:r>
        <w:t>quoique</w:t>
      </w:r>
      <w:r w:rsidRPr="002C4077">
        <w:t xml:space="preserve"> </w:t>
      </w:r>
      <w:r>
        <w:t>principal.</w:t>
      </w:r>
      <w:r w:rsidRPr="002C4077">
        <w:t xml:space="preserve"> </w:t>
      </w:r>
      <w:r>
        <w:t>Ainsi</w:t>
      </w:r>
      <w:r w:rsidRPr="002C4077">
        <w:t xml:space="preserve"> </w:t>
      </w:r>
      <w:r>
        <w:t>donc,</w:t>
      </w:r>
      <w:r w:rsidRPr="002C4077">
        <w:t xml:space="preserve"> </w:t>
      </w:r>
      <w:r>
        <w:t>selon</w:t>
      </w:r>
      <w:r w:rsidRPr="002C4077">
        <w:t xml:space="preserve"> </w:t>
      </w:r>
      <w:r>
        <w:t>ce</w:t>
      </w:r>
      <w:r w:rsidRPr="002C4077">
        <w:t xml:space="preserve"> </w:t>
      </w:r>
      <w:r>
        <w:t>sentiment,</w:t>
      </w:r>
      <w:r w:rsidRPr="002C4077">
        <w:t xml:space="preserve"> </w:t>
      </w:r>
      <w:r>
        <w:t>le</w:t>
      </w:r>
      <w:r w:rsidRPr="002C4077">
        <w:t xml:space="preserve"> </w:t>
      </w:r>
      <w:r>
        <w:t>prophète</w:t>
      </w:r>
      <w:r w:rsidRPr="002C4077">
        <w:t xml:space="preserve"> </w:t>
      </w:r>
      <w:r>
        <w:t>aurait</w:t>
      </w:r>
      <w:r w:rsidRPr="002C4077">
        <w:t xml:space="preserve"> </w:t>
      </w:r>
      <w:r>
        <w:t>directement</w:t>
      </w:r>
      <w:r w:rsidRPr="002C4077">
        <w:t xml:space="preserve"> </w:t>
      </w:r>
      <w:r>
        <w:t>prédit</w:t>
      </w:r>
      <w:r w:rsidRPr="002C4077">
        <w:t xml:space="preserve"> </w:t>
      </w:r>
      <w:r>
        <w:t>que</w:t>
      </w:r>
      <w:r w:rsidRPr="002C4077">
        <w:t xml:space="preserve"> </w:t>
      </w:r>
      <w:r>
        <w:t>bientôt</w:t>
      </w:r>
      <w:r w:rsidRPr="002C4077">
        <w:t xml:space="preserve"> </w:t>
      </w:r>
      <w:r>
        <w:t>une</w:t>
      </w:r>
      <w:r w:rsidRPr="002C4077">
        <w:t xml:space="preserve"> </w:t>
      </w:r>
      <w:r>
        <w:t>femme</w:t>
      </w:r>
      <w:r w:rsidRPr="002C4077">
        <w:t xml:space="preserve"> </w:t>
      </w:r>
      <w:r>
        <w:t>juive</w:t>
      </w:r>
      <w:r w:rsidRPr="002C4077">
        <w:t xml:space="preserve"> </w:t>
      </w:r>
      <w:r>
        <w:t>mettrait</w:t>
      </w:r>
      <w:r w:rsidRPr="002C4077">
        <w:t xml:space="preserve"> </w:t>
      </w:r>
      <w:r>
        <w:t>au</w:t>
      </w:r>
      <w:r w:rsidRPr="002C4077">
        <w:t xml:space="preserve"> </w:t>
      </w:r>
      <w:r>
        <w:t>monde</w:t>
      </w:r>
      <w:r w:rsidRPr="002C4077">
        <w:t xml:space="preserve"> </w:t>
      </w:r>
      <w:r>
        <w:t>un</w:t>
      </w:r>
      <w:r w:rsidRPr="002C4077">
        <w:t xml:space="preserve"> </w:t>
      </w:r>
      <w:r>
        <w:t>fils,</w:t>
      </w:r>
      <w:r w:rsidRPr="002C4077">
        <w:t xml:space="preserve"> </w:t>
      </w:r>
      <w:r>
        <w:t>dont</w:t>
      </w:r>
      <w:r w:rsidRPr="002C4077">
        <w:t xml:space="preserve"> </w:t>
      </w:r>
      <w:r>
        <w:t>le</w:t>
      </w:r>
      <w:r w:rsidRPr="002C4077">
        <w:t xml:space="preserve"> </w:t>
      </w:r>
      <w:r>
        <w:t>nom</w:t>
      </w:r>
      <w:r w:rsidRPr="002C4077">
        <w:t xml:space="preserve"> </w:t>
      </w:r>
      <w:r>
        <w:t>et</w:t>
      </w:r>
      <w:r w:rsidRPr="002C4077">
        <w:t xml:space="preserve"> </w:t>
      </w:r>
      <w:r>
        <w:t>la</w:t>
      </w:r>
      <w:r w:rsidRPr="002C4077">
        <w:t xml:space="preserve"> </w:t>
      </w:r>
      <w:r>
        <w:t>destinée</w:t>
      </w:r>
      <w:r w:rsidRPr="002C4077">
        <w:t xml:space="preserve"> </w:t>
      </w:r>
      <w:r>
        <w:t>seraient</w:t>
      </w:r>
      <w:r w:rsidRPr="002C4077">
        <w:t xml:space="preserve"> </w:t>
      </w:r>
      <w:r>
        <w:t>un</w:t>
      </w:r>
      <w:r w:rsidRPr="002C4077">
        <w:t xml:space="preserve"> </w:t>
      </w:r>
      <w:r>
        <w:t>gage</w:t>
      </w:r>
      <w:r w:rsidRPr="002C4077">
        <w:t xml:space="preserve"> </w:t>
      </w:r>
      <w:r>
        <w:t>de</w:t>
      </w:r>
      <w:r w:rsidRPr="002C4077">
        <w:t xml:space="preserve"> </w:t>
      </w:r>
      <w:r>
        <w:t>la</w:t>
      </w:r>
      <w:r w:rsidRPr="002C4077">
        <w:t xml:space="preserve"> </w:t>
      </w:r>
      <w:r>
        <w:t>protection</w:t>
      </w:r>
      <w:r w:rsidRPr="002C4077">
        <w:t xml:space="preserve"> </w:t>
      </w:r>
      <w:r>
        <w:t>de</w:t>
      </w:r>
      <w:r w:rsidRPr="002C4077">
        <w:t xml:space="preserve"> </w:t>
      </w:r>
      <w:r>
        <w:t>Dieu</w:t>
      </w:r>
      <w:r w:rsidRPr="002C4077">
        <w:t xml:space="preserve"> </w:t>
      </w:r>
      <w:r>
        <w:t>sur</w:t>
      </w:r>
      <w:r w:rsidRPr="002C4077">
        <w:t xml:space="preserve"> </w:t>
      </w:r>
      <w:r>
        <w:t>le</w:t>
      </w:r>
      <w:r w:rsidRPr="002C4077">
        <w:t xml:space="preserve"> </w:t>
      </w:r>
      <w:r>
        <w:t>peuple</w:t>
      </w:r>
      <w:r w:rsidRPr="002C4077">
        <w:t xml:space="preserve"> </w:t>
      </w:r>
      <w:r>
        <w:t>théocratique.</w:t>
      </w:r>
      <w:r w:rsidRPr="002C4077">
        <w:t xml:space="preserve"> </w:t>
      </w:r>
      <w:r>
        <w:t>Toutefois,</w:t>
      </w:r>
      <w:r w:rsidRPr="002C4077">
        <w:t xml:space="preserve"> </w:t>
      </w:r>
      <w:r>
        <w:t>le</w:t>
      </w:r>
      <w:r w:rsidRPr="002C4077">
        <w:t xml:space="preserve"> </w:t>
      </w:r>
      <w:r>
        <w:t>Seigneur,</w:t>
      </w:r>
      <w:r w:rsidRPr="002C4077">
        <w:t xml:space="preserve"> </w:t>
      </w:r>
      <w:r>
        <w:t>en</w:t>
      </w:r>
      <w:r w:rsidRPr="002C4077">
        <w:t xml:space="preserve"> </w:t>
      </w:r>
      <w:r>
        <w:t>inspirant</w:t>
      </w:r>
      <w:r w:rsidRPr="002C4077">
        <w:t xml:space="preserve"> </w:t>
      </w:r>
      <w:r>
        <w:t>cet</w:t>
      </w:r>
      <w:r w:rsidRPr="002C4077">
        <w:t xml:space="preserve"> </w:t>
      </w:r>
      <w:r>
        <w:t>oracle</w:t>
      </w:r>
      <w:r w:rsidRPr="002C4077">
        <w:t xml:space="preserve"> </w:t>
      </w:r>
      <w:r>
        <w:t>à</w:t>
      </w:r>
      <w:r w:rsidRPr="002C4077">
        <w:t xml:space="preserve"> </w:t>
      </w:r>
      <w:r>
        <w:t>Isaïe,</w:t>
      </w:r>
      <w:r w:rsidRPr="002C4077">
        <w:t xml:space="preserve"> </w:t>
      </w:r>
      <w:r>
        <w:t>se</w:t>
      </w:r>
      <w:r w:rsidRPr="002C4077">
        <w:t xml:space="preserve"> </w:t>
      </w:r>
      <w:r>
        <w:t>serait</w:t>
      </w:r>
      <w:r w:rsidRPr="002C4077">
        <w:t xml:space="preserve"> </w:t>
      </w:r>
      <w:r>
        <w:t>plus</w:t>
      </w:r>
      <w:r w:rsidRPr="002C4077">
        <w:t xml:space="preserve"> </w:t>
      </w:r>
      <w:r>
        <w:t>spécialement</w:t>
      </w:r>
      <w:r w:rsidRPr="002C4077">
        <w:t xml:space="preserve"> </w:t>
      </w:r>
      <w:r>
        <w:t>proposé</w:t>
      </w:r>
      <w:r w:rsidRPr="002C4077">
        <w:t xml:space="preserve"> </w:t>
      </w:r>
      <w:r>
        <w:t>d’annoncer</w:t>
      </w:r>
      <w:r w:rsidRPr="002C4077">
        <w:t xml:space="preserve"> </w:t>
      </w:r>
      <w:r>
        <w:t>le</w:t>
      </w:r>
      <w:r w:rsidRPr="002C4077">
        <w:t xml:space="preserve"> </w:t>
      </w:r>
      <w:r>
        <w:t>salut</w:t>
      </w:r>
      <w:r w:rsidRPr="002C4077">
        <w:t xml:space="preserve"> </w:t>
      </w:r>
      <w:r>
        <w:t>que</w:t>
      </w:r>
      <w:r w:rsidRPr="002C4077">
        <w:t xml:space="preserve"> </w:t>
      </w:r>
      <w:r>
        <w:t>son</w:t>
      </w:r>
      <w:r w:rsidRPr="002C4077">
        <w:t xml:space="preserve"> </w:t>
      </w:r>
      <w:r w:rsidR="00425C50">
        <w:t>Christ</w:t>
      </w:r>
      <w:r>
        <w:t>,</w:t>
      </w:r>
      <w:r w:rsidRPr="002C4077">
        <w:t xml:space="preserve"> </w:t>
      </w:r>
      <w:r>
        <w:t>né</w:t>
      </w:r>
      <w:r w:rsidRPr="002C4077">
        <w:t xml:space="preserve"> </w:t>
      </w:r>
      <w:r>
        <w:t>d’une</w:t>
      </w:r>
      <w:r w:rsidRPr="002C4077">
        <w:t xml:space="preserve"> </w:t>
      </w:r>
      <w:r>
        <w:t>vierge,</w:t>
      </w:r>
      <w:r w:rsidRPr="002C4077">
        <w:t xml:space="preserve"> </w:t>
      </w:r>
      <w:r>
        <w:t>devait</w:t>
      </w:r>
      <w:r w:rsidRPr="002C4077">
        <w:t xml:space="preserve"> </w:t>
      </w:r>
      <w:r>
        <w:t>un</w:t>
      </w:r>
      <w:r w:rsidRPr="002C4077">
        <w:t xml:space="preserve"> </w:t>
      </w:r>
      <w:r>
        <w:t>jour</w:t>
      </w:r>
      <w:r w:rsidRPr="002C4077">
        <w:t xml:space="preserve"> </w:t>
      </w:r>
      <w:r>
        <w:t>apporter</w:t>
      </w:r>
      <w:r w:rsidRPr="002C4077">
        <w:t xml:space="preserve"> </w:t>
      </w:r>
      <w:r>
        <w:t>au</w:t>
      </w:r>
      <w:r w:rsidRPr="002C4077">
        <w:t xml:space="preserve"> </w:t>
      </w:r>
      <w:r>
        <w:t>monde.</w:t>
      </w:r>
      <w:r w:rsidRPr="002C4077">
        <w:t xml:space="preserve"> </w:t>
      </w:r>
      <w:r w:rsidR="00B546AF">
        <w:t>« </w:t>
      </w:r>
      <w:r>
        <w:t>Le</w:t>
      </w:r>
      <w:r w:rsidRPr="002C4077">
        <w:t xml:space="preserve"> </w:t>
      </w:r>
      <w:r>
        <w:t>Messie</w:t>
      </w:r>
      <w:r w:rsidRPr="002C4077">
        <w:t xml:space="preserve"> </w:t>
      </w:r>
      <w:r>
        <w:t>ne</w:t>
      </w:r>
      <w:r w:rsidRPr="002C4077">
        <w:t xml:space="preserve"> </w:t>
      </w:r>
      <w:r>
        <w:t>doit</w:t>
      </w:r>
      <w:r w:rsidRPr="002C4077">
        <w:t xml:space="preserve"> </w:t>
      </w:r>
      <w:r>
        <w:t>paraître</w:t>
      </w:r>
      <w:r w:rsidRPr="002C4077">
        <w:t xml:space="preserve"> </w:t>
      </w:r>
      <w:r>
        <w:t>en</w:t>
      </w:r>
      <w:r w:rsidRPr="002C4077">
        <w:t xml:space="preserve"> </w:t>
      </w:r>
      <w:r>
        <w:t>personne</w:t>
      </w:r>
      <w:r w:rsidRPr="002C4077">
        <w:t xml:space="preserve"> </w:t>
      </w:r>
      <w:r>
        <w:t>que</w:t>
      </w:r>
      <w:r w:rsidRPr="002C4077">
        <w:t xml:space="preserve"> </w:t>
      </w:r>
      <w:r>
        <w:t>plus</w:t>
      </w:r>
      <w:r w:rsidRPr="002C4077">
        <w:t xml:space="preserve"> </w:t>
      </w:r>
      <w:r>
        <w:t>lard,</w:t>
      </w:r>
      <w:r w:rsidRPr="002C4077">
        <w:t xml:space="preserve"> </w:t>
      </w:r>
      <w:r>
        <w:t>mais</w:t>
      </w:r>
      <w:r w:rsidRPr="002C4077">
        <w:t xml:space="preserve"> </w:t>
      </w:r>
      <w:r>
        <w:t>il</w:t>
      </w:r>
      <w:r w:rsidRPr="002C4077">
        <w:t xml:space="preserve"> </w:t>
      </w:r>
      <w:r>
        <w:t>va</w:t>
      </w:r>
      <w:r w:rsidRPr="002C4077">
        <w:t xml:space="preserve"> </w:t>
      </w:r>
      <w:r>
        <w:t>naître</w:t>
      </w:r>
      <w:r w:rsidRPr="002C4077">
        <w:t xml:space="preserve"> </w:t>
      </w:r>
      <w:r>
        <w:t>en</w:t>
      </w:r>
      <w:r w:rsidRPr="002C4077">
        <w:t xml:space="preserve"> </w:t>
      </w:r>
      <w:r>
        <w:t>figure</w:t>
      </w:r>
      <w:r w:rsidR="00B546AF">
        <w:t> ;</w:t>
      </w:r>
      <w:r w:rsidRPr="002C4077">
        <w:t xml:space="preserve"> </w:t>
      </w:r>
      <w:r>
        <w:t>le</w:t>
      </w:r>
      <w:r w:rsidRPr="002C4077">
        <w:t xml:space="preserve"> </w:t>
      </w:r>
      <w:r>
        <w:t>mystère</w:t>
      </w:r>
      <w:r w:rsidRPr="002C4077">
        <w:t xml:space="preserve"> </w:t>
      </w:r>
      <w:r>
        <w:t>de</w:t>
      </w:r>
      <w:r w:rsidRPr="002C4077">
        <w:t xml:space="preserve"> </w:t>
      </w:r>
      <w:r>
        <w:t>sa</w:t>
      </w:r>
      <w:r w:rsidRPr="002C4077">
        <w:t xml:space="preserve"> </w:t>
      </w:r>
      <w:r>
        <w:t>naissance</w:t>
      </w:r>
      <w:r w:rsidRPr="002C4077">
        <w:t xml:space="preserve"> </w:t>
      </w:r>
      <w:r>
        <w:t>va,</w:t>
      </w:r>
      <w:r w:rsidRPr="002C4077">
        <w:t xml:space="preserve"> </w:t>
      </w:r>
      <w:r>
        <w:t>pour</w:t>
      </w:r>
      <w:r w:rsidRPr="002C4077">
        <w:t xml:space="preserve"> </w:t>
      </w:r>
      <w:r>
        <w:t>ainsi</w:t>
      </w:r>
      <w:r w:rsidRPr="002C4077">
        <w:t xml:space="preserve"> </w:t>
      </w:r>
      <w:r>
        <w:t>parler,</w:t>
      </w:r>
      <w:r w:rsidRPr="002C4077">
        <w:t xml:space="preserve"> </w:t>
      </w:r>
      <w:r>
        <w:t>être</w:t>
      </w:r>
      <w:r w:rsidRPr="002C4077">
        <w:t xml:space="preserve"> </w:t>
      </w:r>
      <w:r>
        <w:t>joué</w:t>
      </w:r>
      <w:r w:rsidRPr="002C4077">
        <w:t xml:space="preserve"> </w:t>
      </w:r>
      <w:r>
        <w:t>devant</w:t>
      </w:r>
      <w:r w:rsidRPr="002C4077">
        <w:t xml:space="preserve"> </w:t>
      </w:r>
      <w:r>
        <w:t>tout</w:t>
      </w:r>
      <w:r w:rsidRPr="002C4077">
        <w:t xml:space="preserve"> </w:t>
      </w:r>
      <w:r>
        <w:t>un</w:t>
      </w:r>
      <w:r w:rsidRPr="002C4077">
        <w:t xml:space="preserve"> </w:t>
      </w:r>
      <w:r>
        <w:t>peuple</w:t>
      </w:r>
      <w:r w:rsidRPr="002C4077">
        <w:t xml:space="preserve"> </w:t>
      </w:r>
      <w:r>
        <w:t>pour</w:t>
      </w:r>
      <w:r w:rsidRPr="002C4077">
        <w:t xml:space="preserve"> </w:t>
      </w:r>
      <w:r>
        <w:t>réveiller</w:t>
      </w:r>
      <w:r w:rsidRPr="002C4077">
        <w:t xml:space="preserve"> </w:t>
      </w:r>
      <w:r>
        <w:t>sa</w:t>
      </w:r>
      <w:r w:rsidRPr="002C4077">
        <w:t xml:space="preserve"> </w:t>
      </w:r>
      <w:r>
        <w:t>foi</w:t>
      </w:r>
      <w:r w:rsidRPr="002C4077">
        <w:t xml:space="preserve"> </w:t>
      </w:r>
      <w:r>
        <w:t>à</w:t>
      </w:r>
      <w:r w:rsidRPr="002C4077">
        <w:t xml:space="preserve"> </w:t>
      </w:r>
      <w:r>
        <w:t>la</w:t>
      </w:r>
      <w:r w:rsidRPr="002C4077">
        <w:t xml:space="preserve"> </w:t>
      </w:r>
      <w:r>
        <w:t>promesse</w:t>
      </w:r>
      <w:r w:rsidR="00B91AF7">
        <w:rPr>
          <w:rStyle w:val="Appelnotedebasdep"/>
        </w:rPr>
        <w:footnoteReference w:id="281"/>
      </w:r>
      <w:r w:rsidR="00B546AF">
        <w:t> »</w:t>
      </w:r>
      <w:r>
        <w:t>.</w:t>
      </w:r>
      <w:r w:rsidRPr="002C4077">
        <w:t xml:space="preserve"> </w:t>
      </w:r>
    </w:p>
    <w:p w:rsidR="000A7AAB" w:rsidRDefault="000A7AAB" w:rsidP="000A7AAB">
      <w:r>
        <w:t>Cette</w:t>
      </w:r>
      <w:r w:rsidRPr="002C4077">
        <w:t xml:space="preserve"> </w:t>
      </w:r>
      <w:r>
        <w:t>opinion</w:t>
      </w:r>
      <w:r w:rsidRPr="002C4077">
        <w:t xml:space="preserve"> </w:t>
      </w:r>
      <w:r>
        <w:t>plaît</w:t>
      </w:r>
      <w:r w:rsidRPr="002C4077">
        <w:t xml:space="preserve"> </w:t>
      </w:r>
      <w:r>
        <w:t>beaucoup</w:t>
      </w:r>
      <w:r w:rsidRPr="002C4077">
        <w:t xml:space="preserve"> </w:t>
      </w:r>
      <w:r>
        <w:t>au</w:t>
      </w:r>
      <w:r w:rsidRPr="002C4077">
        <w:t xml:space="preserve"> </w:t>
      </w:r>
      <w:r>
        <w:t>premier</w:t>
      </w:r>
      <w:r w:rsidRPr="002C4077">
        <w:t xml:space="preserve"> </w:t>
      </w:r>
      <w:r>
        <w:t>regard,</w:t>
      </w:r>
      <w:r w:rsidRPr="002C4077">
        <w:t xml:space="preserve"> </w:t>
      </w:r>
      <w:r>
        <w:t>parce</w:t>
      </w:r>
      <w:r w:rsidRPr="002C4077">
        <w:t xml:space="preserve"> </w:t>
      </w:r>
      <w:r>
        <w:t>qu’elle</w:t>
      </w:r>
      <w:r w:rsidRPr="002C4077">
        <w:t xml:space="preserve"> </w:t>
      </w:r>
      <w:r>
        <w:t>semble</w:t>
      </w:r>
      <w:r w:rsidRPr="002C4077">
        <w:t xml:space="preserve"> </w:t>
      </w:r>
      <w:r>
        <w:t>concilier</w:t>
      </w:r>
      <w:r w:rsidRPr="002C4077">
        <w:t xml:space="preserve"> </w:t>
      </w:r>
      <w:r>
        <w:t>toutes</w:t>
      </w:r>
      <w:r w:rsidRPr="002C4077">
        <w:t xml:space="preserve"> </w:t>
      </w:r>
      <w:r>
        <w:t>choses.</w:t>
      </w:r>
      <w:r w:rsidRPr="002C4077">
        <w:t xml:space="preserve"> </w:t>
      </w:r>
      <w:r>
        <w:t>En</w:t>
      </w:r>
      <w:r w:rsidRPr="002C4077">
        <w:t xml:space="preserve"> </w:t>
      </w:r>
      <w:r>
        <w:t>effet,</w:t>
      </w:r>
      <w:r w:rsidRPr="002C4077">
        <w:t xml:space="preserve"> </w:t>
      </w:r>
      <w:r>
        <w:t>d’une</w:t>
      </w:r>
      <w:r w:rsidRPr="002C4077">
        <w:t xml:space="preserve"> </w:t>
      </w:r>
      <w:r>
        <w:t>part,</w:t>
      </w:r>
      <w:r w:rsidRPr="002C4077">
        <w:t xml:space="preserve"> </w:t>
      </w:r>
      <w:r>
        <w:t>elle</w:t>
      </w:r>
      <w:r w:rsidRPr="002C4077">
        <w:t xml:space="preserve"> </w:t>
      </w:r>
      <w:r>
        <w:t>laisse</w:t>
      </w:r>
      <w:r w:rsidRPr="002C4077">
        <w:t xml:space="preserve"> </w:t>
      </w:r>
      <w:r>
        <w:t>intacte</w:t>
      </w:r>
      <w:r w:rsidRPr="002C4077">
        <w:t xml:space="preserve"> </w:t>
      </w:r>
      <w:r>
        <w:t>la</w:t>
      </w:r>
      <w:r w:rsidRPr="002C4077">
        <w:t xml:space="preserve"> </w:t>
      </w:r>
      <w:r>
        <w:t>signification</w:t>
      </w:r>
      <w:r w:rsidRPr="002C4077">
        <w:t xml:space="preserve"> </w:t>
      </w:r>
      <w:r>
        <w:t>messianique</w:t>
      </w:r>
      <w:r w:rsidRPr="002C4077">
        <w:t xml:space="preserve"> </w:t>
      </w:r>
      <w:r>
        <w:t>de</w:t>
      </w:r>
      <w:r w:rsidRPr="002C4077">
        <w:t xml:space="preserve"> </w:t>
      </w:r>
      <w:r>
        <w:t>l’oracle</w:t>
      </w:r>
      <w:r w:rsidR="00B546AF">
        <w:t> ;</w:t>
      </w:r>
      <w:r w:rsidRPr="002C4077">
        <w:t xml:space="preserve"> </w:t>
      </w:r>
      <w:r>
        <w:t>d’autre</w:t>
      </w:r>
      <w:r w:rsidRPr="002C4077">
        <w:t xml:space="preserve"> </w:t>
      </w:r>
      <w:r>
        <w:t>part,</w:t>
      </w:r>
      <w:r w:rsidRPr="002C4077">
        <w:t xml:space="preserve"> </w:t>
      </w:r>
      <w:r>
        <w:t>elle</w:t>
      </w:r>
      <w:r w:rsidRPr="002C4077">
        <w:t xml:space="preserve"> </w:t>
      </w:r>
      <w:r>
        <w:t>admet,</w:t>
      </w:r>
      <w:r w:rsidRPr="002C4077">
        <w:t xml:space="preserve"> </w:t>
      </w:r>
      <w:r>
        <w:t>au</w:t>
      </w:r>
      <w:r w:rsidRPr="002C4077">
        <w:t xml:space="preserve"> </w:t>
      </w:r>
      <w:r>
        <w:t>moins</w:t>
      </w:r>
      <w:r w:rsidRPr="002C4077">
        <w:t xml:space="preserve"> </w:t>
      </w:r>
      <w:r>
        <w:t>d’une</w:t>
      </w:r>
      <w:r w:rsidRPr="002C4077">
        <w:t xml:space="preserve"> </w:t>
      </w:r>
      <w:r>
        <w:t>manière</w:t>
      </w:r>
      <w:r w:rsidRPr="002C4077">
        <w:t xml:space="preserve"> </w:t>
      </w:r>
      <w:r>
        <w:t>partielle,</w:t>
      </w:r>
      <w:r w:rsidRPr="002C4077">
        <w:t xml:space="preserve"> </w:t>
      </w:r>
      <w:r>
        <w:t>l’accomplissement</w:t>
      </w:r>
      <w:r w:rsidRPr="002C4077">
        <w:t xml:space="preserve"> </w:t>
      </w:r>
      <w:r>
        <w:t>de</w:t>
      </w:r>
      <w:r w:rsidRPr="002C4077">
        <w:t xml:space="preserve"> </w:t>
      </w:r>
      <w:r>
        <w:t>la</w:t>
      </w:r>
      <w:r w:rsidRPr="002C4077">
        <w:t xml:space="preserve"> </w:t>
      </w:r>
      <w:r>
        <w:t>prophétie</w:t>
      </w:r>
      <w:r w:rsidRPr="002C4077">
        <w:t xml:space="preserve"> </w:t>
      </w:r>
      <w:r>
        <w:t>pour</w:t>
      </w:r>
      <w:r w:rsidRPr="002C4077">
        <w:t xml:space="preserve"> </w:t>
      </w:r>
      <w:r>
        <w:t>l’époque</w:t>
      </w:r>
      <w:r w:rsidRPr="002C4077">
        <w:t xml:space="preserve"> </w:t>
      </w:r>
      <w:r>
        <w:t>même</w:t>
      </w:r>
      <w:r w:rsidRPr="002C4077">
        <w:t xml:space="preserve"> </w:t>
      </w:r>
      <w:r>
        <w:t>d’Isaïe</w:t>
      </w:r>
      <w:r w:rsidR="00B91AF7">
        <w:rPr>
          <w:rStyle w:val="Appelnotedebasdep"/>
        </w:rPr>
        <w:footnoteReference w:id="282"/>
      </w:r>
      <w:r>
        <w:t>.</w:t>
      </w:r>
      <w:r w:rsidRPr="002C4077">
        <w:t xml:space="preserve"> </w:t>
      </w:r>
    </w:p>
    <w:p w:rsidR="000A7AAB" w:rsidRPr="000721C4" w:rsidRDefault="000A7AAB" w:rsidP="000A7AAB">
      <w:r>
        <w:t>Néanmoins,</w:t>
      </w:r>
      <w:r w:rsidRPr="002C4077">
        <w:t xml:space="preserve"> </w:t>
      </w:r>
      <w:r>
        <w:t>quand</w:t>
      </w:r>
      <w:r w:rsidRPr="002C4077">
        <w:t xml:space="preserve"> </w:t>
      </w:r>
      <w:r>
        <w:t>on</w:t>
      </w:r>
      <w:r w:rsidRPr="002C4077">
        <w:t xml:space="preserve"> </w:t>
      </w:r>
      <w:r>
        <w:t>l’examine</w:t>
      </w:r>
      <w:r w:rsidRPr="002C4077">
        <w:t xml:space="preserve"> </w:t>
      </w:r>
      <w:r>
        <w:t>de</w:t>
      </w:r>
      <w:r w:rsidRPr="002C4077">
        <w:t xml:space="preserve"> </w:t>
      </w:r>
      <w:r>
        <w:t>près,</w:t>
      </w:r>
      <w:r w:rsidRPr="002C4077">
        <w:t xml:space="preserve"> </w:t>
      </w:r>
      <w:r>
        <w:t>on</w:t>
      </w:r>
      <w:r w:rsidRPr="002C4077">
        <w:t xml:space="preserve"> </w:t>
      </w:r>
      <w:r>
        <w:t>se</w:t>
      </w:r>
      <w:r w:rsidRPr="002C4077">
        <w:t xml:space="preserve"> </w:t>
      </w:r>
      <w:r>
        <w:t>voit</w:t>
      </w:r>
      <w:r w:rsidRPr="002C4077">
        <w:t xml:space="preserve"> </w:t>
      </w:r>
      <w:r>
        <w:t>aussitôt</w:t>
      </w:r>
      <w:r w:rsidRPr="002C4077">
        <w:t xml:space="preserve"> </w:t>
      </w:r>
      <w:r>
        <w:t>forcé</w:t>
      </w:r>
      <w:r w:rsidRPr="002C4077">
        <w:t xml:space="preserve"> </w:t>
      </w:r>
      <w:r>
        <w:t>de</w:t>
      </w:r>
      <w:r w:rsidRPr="002C4077">
        <w:t xml:space="preserve"> </w:t>
      </w:r>
      <w:r>
        <w:t>la</w:t>
      </w:r>
      <w:r w:rsidRPr="002C4077">
        <w:t xml:space="preserve"> </w:t>
      </w:r>
      <w:r>
        <w:t>rejeter</w:t>
      </w:r>
      <w:r w:rsidRPr="002C4077">
        <w:t xml:space="preserve"> </w:t>
      </w:r>
      <w:r>
        <w:t>comme</w:t>
      </w:r>
      <w:r w:rsidRPr="002C4077">
        <w:t xml:space="preserve"> </w:t>
      </w:r>
      <w:r>
        <w:t>la</w:t>
      </w:r>
      <w:r w:rsidRPr="002C4077">
        <w:t xml:space="preserve"> </w:t>
      </w:r>
      <w:r>
        <w:t>précédente.</w:t>
      </w:r>
      <w:r w:rsidRPr="002C4077">
        <w:t xml:space="preserve"> </w:t>
      </w:r>
      <w:r>
        <w:t>Non,</w:t>
      </w:r>
      <w:r w:rsidRPr="002C4077">
        <w:t xml:space="preserve"> </w:t>
      </w:r>
      <w:r>
        <w:t>il</w:t>
      </w:r>
      <w:r w:rsidRPr="002C4077">
        <w:t xml:space="preserve"> </w:t>
      </w:r>
      <w:r>
        <w:t>n’y</w:t>
      </w:r>
      <w:r w:rsidRPr="002C4077">
        <w:t xml:space="preserve"> </w:t>
      </w:r>
      <w:r>
        <w:t>a</w:t>
      </w:r>
      <w:r w:rsidRPr="002C4077">
        <w:t xml:space="preserve"> </w:t>
      </w:r>
      <w:r>
        <w:t>pas</w:t>
      </w:r>
      <w:r w:rsidRPr="002C4077">
        <w:t xml:space="preserve"> </w:t>
      </w:r>
      <w:r>
        <w:t>ici</w:t>
      </w:r>
      <w:r w:rsidRPr="002C4077">
        <w:t xml:space="preserve"> </w:t>
      </w:r>
      <w:r>
        <w:t>deux</w:t>
      </w:r>
      <w:r w:rsidRPr="002C4077">
        <w:t xml:space="preserve"> </w:t>
      </w:r>
      <w:r>
        <w:t>sens</w:t>
      </w:r>
      <w:r w:rsidRPr="002C4077">
        <w:t xml:space="preserve"> </w:t>
      </w:r>
      <w:r>
        <w:t>superposés</w:t>
      </w:r>
      <w:r w:rsidRPr="002C4077">
        <w:t xml:space="preserve"> </w:t>
      </w:r>
      <w:r>
        <w:t>l’un</w:t>
      </w:r>
      <w:r w:rsidRPr="002C4077">
        <w:t xml:space="preserve"> </w:t>
      </w:r>
      <w:r>
        <w:t>à</w:t>
      </w:r>
      <w:r w:rsidRPr="002C4077">
        <w:t xml:space="preserve"> </w:t>
      </w:r>
      <w:r>
        <w:t>l’autre</w:t>
      </w:r>
      <w:r w:rsidRPr="002C4077">
        <w:t xml:space="preserve"> </w:t>
      </w:r>
      <w:r>
        <w:t>au</w:t>
      </w:r>
      <w:r w:rsidRPr="002C4077">
        <w:t xml:space="preserve"> </w:t>
      </w:r>
      <w:r>
        <w:t>point</w:t>
      </w:r>
      <w:r w:rsidRPr="002C4077">
        <w:t xml:space="preserve"> </w:t>
      </w:r>
      <w:r>
        <w:t>de</w:t>
      </w:r>
      <w:r w:rsidRPr="002C4077">
        <w:t xml:space="preserve"> </w:t>
      </w:r>
      <w:r>
        <w:t>vue</w:t>
      </w:r>
      <w:r w:rsidRPr="002C4077">
        <w:t xml:space="preserve"> </w:t>
      </w:r>
      <w:r>
        <w:t>du</w:t>
      </w:r>
      <w:r w:rsidRPr="002C4077">
        <w:t xml:space="preserve"> </w:t>
      </w:r>
      <w:r>
        <w:t>temps</w:t>
      </w:r>
      <w:r w:rsidRPr="002C4077">
        <w:t xml:space="preserve"> </w:t>
      </w:r>
      <w:r>
        <w:t>et</w:t>
      </w:r>
      <w:r w:rsidRPr="002C4077">
        <w:t xml:space="preserve"> </w:t>
      </w:r>
      <w:r>
        <w:t>de</w:t>
      </w:r>
      <w:r w:rsidRPr="002C4077">
        <w:t xml:space="preserve"> </w:t>
      </w:r>
      <w:r>
        <w:t>la</w:t>
      </w:r>
      <w:r w:rsidRPr="002C4077">
        <w:t xml:space="preserve"> </w:t>
      </w:r>
      <w:r>
        <w:t>dignité</w:t>
      </w:r>
      <w:r w:rsidR="00B546AF">
        <w:t> ;</w:t>
      </w:r>
      <w:r w:rsidRPr="002C4077">
        <w:t xml:space="preserve"> </w:t>
      </w:r>
      <w:r>
        <w:t>les</w:t>
      </w:r>
      <w:r w:rsidRPr="002C4077">
        <w:t xml:space="preserve"> </w:t>
      </w:r>
      <w:r>
        <w:t>paroles</w:t>
      </w:r>
      <w:r w:rsidRPr="002C4077">
        <w:t xml:space="preserve"> </w:t>
      </w:r>
      <w:r>
        <w:t>d’Isaïe</w:t>
      </w:r>
      <w:r w:rsidRPr="002C4077">
        <w:t xml:space="preserve"> </w:t>
      </w:r>
      <w:r>
        <w:t>ne</w:t>
      </w:r>
      <w:r w:rsidRPr="002C4077">
        <w:t xml:space="preserve"> </w:t>
      </w:r>
      <w:r>
        <w:t>sont</w:t>
      </w:r>
      <w:r w:rsidRPr="002C4077">
        <w:t xml:space="preserve"> </w:t>
      </w:r>
      <w:r>
        <w:t>susceptibles</w:t>
      </w:r>
      <w:r w:rsidRPr="002C4077">
        <w:t xml:space="preserve"> </w:t>
      </w:r>
      <w:r>
        <w:t>que</w:t>
      </w:r>
      <w:r w:rsidRPr="002C4077">
        <w:t xml:space="preserve"> </w:t>
      </w:r>
      <w:r>
        <w:t>d’une</w:t>
      </w:r>
      <w:r w:rsidRPr="002C4077">
        <w:t xml:space="preserve"> </w:t>
      </w:r>
      <w:r>
        <w:t>seule</w:t>
      </w:r>
      <w:r w:rsidRPr="002C4077">
        <w:t xml:space="preserve"> </w:t>
      </w:r>
      <w:r>
        <w:t>interprétation,</w:t>
      </w:r>
      <w:r w:rsidRPr="002C4077">
        <w:t xml:space="preserve"> </w:t>
      </w:r>
      <w:r>
        <w:t>propre</w:t>
      </w:r>
      <w:r w:rsidRPr="002C4077">
        <w:t xml:space="preserve"> </w:t>
      </w:r>
      <w:r>
        <w:t>et</w:t>
      </w:r>
      <w:r w:rsidRPr="002C4077">
        <w:t xml:space="preserve"> </w:t>
      </w:r>
      <w:r>
        <w:t>littérale.</w:t>
      </w:r>
      <w:r w:rsidR="00C45B47">
        <w:t xml:space="preserve"> {</w:t>
      </w:r>
      <w:r w:rsidR="000721C4">
        <w:t>88</w:t>
      </w:r>
      <w:bookmarkStart w:id="268" w:name="p088"/>
      <w:bookmarkEnd w:id="268"/>
      <w:r w:rsidR="000721C4">
        <w:t xml:space="preserve">} </w:t>
      </w:r>
    </w:p>
    <w:p w:rsidR="000A7AAB" w:rsidRDefault="000A7AAB" w:rsidP="007B0987">
      <w:r>
        <w:t>L’application</w:t>
      </w:r>
      <w:r w:rsidRPr="002C4077">
        <w:t xml:space="preserve"> </w:t>
      </w:r>
      <w:r>
        <w:t>que</w:t>
      </w:r>
      <w:r w:rsidRPr="002C4077">
        <w:t xml:space="preserve"> </w:t>
      </w:r>
      <w:r>
        <w:t>saint</w:t>
      </w:r>
      <w:r w:rsidRPr="002C4077">
        <w:t xml:space="preserve"> </w:t>
      </w:r>
      <w:r w:rsidR="00425C50">
        <w:t>Matth</w:t>
      </w:r>
      <w:r>
        <w:t>ieu</w:t>
      </w:r>
      <w:r w:rsidRPr="002C4077">
        <w:t xml:space="preserve"> </w:t>
      </w:r>
      <w:r>
        <w:t>fait</w:t>
      </w:r>
      <w:r w:rsidRPr="002C4077">
        <w:t xml:space="preserve"> </w:t>
      </w:r>
      <w:r>
        <w:t>du</w:t>
      </w:r>
      <w:r w:rsidRPr="002C4077">
        <w:t xml:space="preserve"> </w:t>
      </w:r>
      <w:r>
        <w:t>verset</w:t>
      </w:r>
      <w:r w:rsidRPr="002C4077">
        <w:t xml:space="preserve"> </w:t>
      </w:r>
      <w:r>
        <w:t>14</w:t>
      </w:r>
      <w:r w:rsidRPr="002C4077">
        <w:t xml:space="preserve"> </w:t>
      </w:r>
      <w:r>
        <w:t>à</w:t>
      </w:r>
      <w:r w:rsidRPr="002C4077">
        <w:t xml:space="preserve"> </w:t>
      </w:r>
      <w:r w:rsidR="00425C50">
        <w:t>Jésus</w:t>
      </w:r>
      <w:r w:rsidRPr="002C4077">
        <w:t xml:space="preserve"> </w:t>
      </w:r>
      <w:r>
        <w:t>et</w:t>
      </w:r>
      <w:r w:rsidRPr="002C4077">
        <w:t xml:space="preserve"> </w:t>
      </w:r>
      <w:r>
        <w:t>à</w:t>
      </w:r>
      <w:r w:rsidRPr="002C4077">
        <w:t xml:space="preserve"> </w:t>
      </w:r>
      <w:r>
        <w:t>Marie</w:t>
      </w:r>
      <w:r w:rsidRPr="002C4077">
        <w:t xml:space="preserve"> </w:t>
      </w:r>
      <w:r>
        <w:t>exclut</w:t>
      </w:r>
      <w:r w:rsidRPr="002C4077">
        <w:t xml:space="preserve"> </w:t>
      </w:r>
      <w:r>
        <w:t>complètement</w:t>
      </w:r>
      <w:r w:rsidRPr="002C4077">
        <w:t xml:space="preserve"> </w:t>
      </w:r>
      <w:r>
        <w:t>l’idée</w:t>
      </w:r>
      <w:r w:rsidRPr="002C4077">
        <w:t xml:space="preserve"> </w:t>
      </w:r>
      <w:r>
        <w:t>d’une</w:t>
      </w:r>
      <w:r w:rsidRPr="002C4077">
        <w:t xml:space="preserve"> </w:t>
      </w:r>
      <w:r>
        <w:t>figure,</w:t>
      </w:r>
      <w:r w:rsidRPr="002C4077">
        <w:t xml:space="preserve"> </w:t>
      </w:r>
      <w:r>
        <w:t>d’un</w:t>
      </w:r>
      <w:r w:rsidRPr="002C4077">
        <w:t xml:space="preserve"> </w:t>
      </w:r>
      <w:r>
        <w:t>symbole.</w:t>
      </w:r>
      <w:r w:rsidRPr="002C4077">
        <w:t xml:space="preserve"> </w:t>
      </w:r>
      <w:r w:rsidRPr="000A34B5">
        <w:rPr>
          <w:rStyle w:val="italicus"/>
        </w:rPr>
        <w:t>Hoc</w:t>
      </w:r>
      <w:r w:rsidRPr="002C4077">
        <w:t xml:space="preserve"> </w:t>
      </w:r>
      <w:r w:rsidRPr="000A34B5">
        <w:rPr>
          <w:rStyle w:val="italicus"/>
        </w:rPr>
        <w:t>totum</w:t>
      </w:r>
      <w:r w:rsidRPr="002C4077">
        <w:t xml:space="preserve"> </w:t>
      </w:r>
      <w:r w:rsidRPr="000A34B5">
        <w:rPr>
          <w:rStyle w:val="italicus"/>
        </w:rPr>
        <w:t>factum</w:t>
      </w:r>
      <w:r w:rsidRPr="002C4077">
        <w:t xml:space="preserve"> </w:t>
      </w:r>
      <w:r w:rsidR="00425C50">
        <w:rPr>
          <w:rStyle w:val="italicus"/>
        </w:rPr>
        <w:t>est</w:t>
      </w:r>
      <w:r w:rsidRPr="002C4077">
        <w:t xml:space="preserve"> </w:t>
      </w:r>
      <w:r w:rsidRPr="000A34B5">
        <w:rPr>
          <w:rStyle w:val="italicus"/>
        </w:rPr>
        <w:t>ut</w:t>
      </w:r>
      <w:r w:rsidRPr="002C4077">
        <w:t xml:space="preserve"> </w:t>
      </w:r>
      <w:r w:rsidRPr="000A34B5">
        <w:rPr>
          <w:rStyle w:val="italicus"/>
        </w:rPr>
        <w:t>adimp</w:t>
      </w:r>
      <w:r w:rsidR="003B53FD" w:rsidRPr="000A34B5">
        <w:rPr>
          <w:rStyle w:val="italicus"/>
        </w:rPr>
        <w:t>ler</w:t>
      </w:r>
      <w:r w:rsidR="003B53FD">
        <w:rPr>
          <w:rStyle w:val="italicus"/>
        </w:rPr>
        <w:t>é</w:t>
      </w:r>
      <w:r w:rsidR="003B53FD" w:rsidRPr="000A34B5">
        <w:rPr>
          <w:rStyle w:val="italicus"/>
        </w:rPr>
        <w:t>tur</w:t>
      </w:r>
      <w:r w:rsidRPr="000A34B5">
        <w:rPr>
          <w:rStyle w:val="italicus"/>
        </w:rPr>
        <w:t>…</w:t>
      </w:r>
      <w:r w:rsidRPr="002C4077">
        <w:t xml:space="preserve"> </w:t>
      </w:r>
      <w:r>
        <w:t>Comment</w:t>
      </w:r>
      <w:r w:rsidRPr="002C4077">
        <w:t xml:space="preserve"> </w:t>
      </w:r>
      <w:r>
        <w:t>associer</w:t>
      </w:r>
      <w:r w:rsidRPr="002C4077">
        <w:t xml:space="preserve"> </w:t>
      </w:r>
      <w:r>
        <w:t>une</w:t>
      </w:r>
      <w:r w:rsidRPr="002C4077">
        <w:t xml:space="preserve"> </w:t>
      </w:r>
      <w:r>
        <w:t>telle</w:t>
      </w:r>
      <w:r w:rsidRPr="002C4077">
        <w:t xml:space="preserve"> </w:t>
      </w:r>
      <w:r>
        <w:t>formule</w:t>
      </w:r>
      <w:r w:rsidRPr="002C4077">
        <w:t xml:space="preserve"> </w:t>
      </w:r>
      <w:r>
        <w:t>avec</w:t>
      </w:r>
      <w:r w:rsidRPr="002C4077">
        <w:t xml:space="preserve"> </w:t>
      </w:r>
      <w:r>
        <w:t>un</w:t>
      </w:r>
      <w:r w:rsidRPr="002C4077">
        <w:t xml:space="preserve"> </w:t>
      </w:r>
      <w:r>
        <w:t>type</w:t>
      </w:r>
      <w:r w:rsidRPr="002C4077">
        <w:t xml:space="preserve"> </w:t>
      </w:r>
      <w:r>
        <w:t>qui</w:t>
      </w:r>
      <w:r w:rsidRPr="002C4077">
        <w:t xml:space="preserve"> </w:t>
      </w:r>
      <w:r>
        <w:t>aurait</w:t>
      </w:r>
      <w:r w:rsidRPr="002C4077">
        <w:t xml:space="preserve"> </w:t>
      </w:r>
      <w:r>
        <w:t>déjà</w:t>
      </w:r>
      <w:r w:rsidRPr="002C4077">
        <w:t xml:space="preserve"> </w:t>
      </w:r>
      <w:r>
        <w:t>réalisé</w:t>
      </w:r>
      <w:r w:rsidRPr="002C4077">
        <w:t xml:space="preserve"> </w:t>
      </w:r>
      <w:r>
        <w:t>la</w:t>
      </w:r>
      <w:r w:rsidRPr="002C4077">
        <w:t xml:space="preserve"> </w:t>
      </w:r>
      <w:r>
        <w:t>prophétie</w:t>
      </w:r>
      <w:r w:rsidRPr="002C4077">
        <w:t xml:space="preserve"> </w:t>
      </w:r>
      <w:r>
        <w:t>en</w:t>
      </w:r>
      <w:r w:rsidRPr="002C4077">
        <w:t xml:space="preserve"> </w:t>
      </w:r>
      <w:r>
        <w:t>quelque</w:t>
      </w:r>
      <w:r w:rsidRPr="002C4077">
        <w:t xml:space="preserve"> </w:t>
      </w:r>
      <w:r>
        <w:t>façon</w:t>
      </w:r>
      <w:r w:rsidR="00B546AF">
        <w:t> ?</w:t>
      </w:r>
      <w:r w:rsidRPr="002C4077">
        <w:t xml:space="preserve"> </w:t>
      </w:r>
      <w:r>
        <w:t>Dans</w:t>
      </w:r>
      <w:r w:rsidRPr="002C4077">
        <w:t xml:space="preserve"> </w:t>
      </w:r>
      <w:r>
        <w:t>la</w:t>
      </w:r>
      <w:r w:rsidRPr="002C4077">
        <w:t xml:space="preserve"> </w:t>
      </w:r>
      <w:r>
        <w:t>pensée</w:t>
      </w:r>
      <w:r w:rsidRPr="002C4077">
        <w:t xml:space="preserve"> </w:t>
      </w:r>
      <w:r>
        <w:t>de</w:t>
      </w:r>
      <w:r w:rsidRPr="002C4077">
        <w:t xml:space="preserve"> </w:t>
      </w:r>
      <w:r>
        <w:t>l’évangéliste,</w:t>
      </w:r>
      <w:r w:rsidRPr="002C4077">
        <w:t xml:space="preserve"> </w:t>
      </w:r>
      <w:r>
        <w:t>le</w:t>
      </w:r>
      <w:r w:rsidRPr="002C4077">
        <w:t xml:space="preserve"> </w:t>
      </w:r>
      <w:r>
        <w:t>passage</w:t>
      </w:r>
      <w:r w:rsidRPr="002C4077">
        <w:t xml:space="preserve"> </w:t>
      </w:r>
      <w:r>
        <w:t>d’Isaïe</w:t>
      </w:r>
      <w:r w:rsidRPr="002C4077">
        <w:t xml:space="preserve"> </w:t>
      </w:r>
      <w:r w:rsidR="00425C50">
        <w:t>est</w:t>
      </w:r>
      <w:r w:rsidRPr="002C4077">
        <w:t xml:space="preserve"> </w:t>
      </w:r>
      <w:r>
        <w:t>directement</w:t>
      </w:r>
      <w:r w:rsidRPr="002C4077">
        <w:t xml:space="preserve"> </w:t>
      </w:r>
      <w:r>
        <w:t>messianique</w:t>
      </w:r>
      <w:r w:rsidRPr="002C4077">
        <w:t xml:space="preserve"> </w:t>
      </w:r>
      <w:r>
        <w:t>et</w:t>
      </w:r>
      <w:r w:rsidRPr="002C4077">
        <w:t xml:space="preserve"> </w:t>
      </w:r>
      <w:r>
        <w:t>pas</w:t>
      </w:r>
      <w:r w:rsidRPr="002C4077">
        <w:t xml:space="preserve"> </w:t>
      </w:r>
      <w:r>
        <w:t>autre</w:t>
      </w:r>
      <w:r w:rsidRPr="002C4077">
        <w:t xml:space="preserve"> </w:t>
      </w:r>
      <w:r>
        <w:t>chose</w:t>
      </w:r>
      <w:r w:rsidR="00B91AF7">
        <w:rPr>
          <w:rStyle w:val="Appelnotedebasdep"/>
        </w:rPr>
        <w:footnoteReference w:id="283"/>
      </w:r>
      <w:r>
        <w:t>.</w:t>
      </w:r>
      <w:r w:rsidRPr="002C4077">
        <w:t xml:space="preserve"> </w:t>
      </w:r>
    </w:p>
    <w:p w:rsidR="000A7AAB" w:rsidRDefault="000A7AAB" w:rsidP="000A7AAB">
      <w:r>
        <w:t>De</w:t>
      </w:r>
      <w:r w:rsidRPr="002C4077">
        <w:t xml:space="preserve"> </w:t>
      </w:r>
      <w:r>
        <w:t>plus,</w:t>
      </w:r>
      <w:r w:rsidRPr="002C4077">
        <w:t xml:space="preserve"> </w:t>
      </w:r>
      <w:r>
        <w:t>demanderons-nous</w:t>
      </w:r>
      <w:r w:rsidRPr="002C4077">
        <w:t xml:space="preserve"> </w:t>
      </w:r>
      <w:r>
        <w:t>avec</w:t>
      </w:r>
      <w:r w:rsidRPr="002C4077">
        <w:t xml:space="preserve"> </w:t>
      </w:r>
      <w:r>
        <w:t>les</w:t>
      </w:r>
      <w:r w:rsidRPr="002C4077">
        <w:t xml:space="preserve"> </w:t>
      </w:r>
      <w:r>
        <w:t>auteurs</w:t>
      </w:r>
      <w:r w:rsidRPr="002C4077">
        <w:t xml:space="preserve"> </w:t>
      </w:r>
      <w:r>
        <w:t>de</w:t>
      </w:r>
      <w:r w:rsidRPr="002C4077">
        <w:t xml:space="preserve"> </w:t>
      </w:r>
      <w:r>
        <w:t>la</w:t>
      </w:r>
      <w:r w:rsidRPr="002C4077">
        <w:t xml:space="preserve"> </w:t>
      </w:r>
      <w:r w:rsidRPr="000A34B5">
        <w:rPr>
          <w:rStyle w:val="italicus"/>
        </w:rPr>
        <w:t>Bible</w:t>
      </w:r>
      <w:r w:rsidRPr="002C4077">
        <w:t xml:space="preserve"> </w:t>
      </w:r>
      <w:r w:rsidRPr="000A34B5">
        <w:rPr>
          <w:rStyle w:val="italicus"/>
        </w:rPr>
        <w:t>annot</w:t>
      </w:r>
      <w:r w:rsidR="00F6492C" w:rsidRPr="000A34B5">
        <w:rPr>
          <w:rStyle w:val="italicus"/>
        </w:rPr>
        <w:t>ée</w:t>
      </w:r>
      <w:r w:rsidR="00F6492C">
        <w:rPr>
          <w:rStyle w:val="Appelnotedebasdep"/>
          <w:i/>
        </w:rPr>
        <w:footnoteReference w:id="284"/>
      </w:r>
      <w:r w:rsidR="00F6492C" w:rsidRPr="000A34B5">
        <w:rPr>
          <w:rStyle w:val="italicus"/>
        </w:rPr>
        <w:t>,</w:t>
      </w:r>
      <w:r w:rsidRPr="002C4077">
        <w:t xml:space="preserve"> </w:t>
      </w:r>
      <w:r w:rsidR="00B546AF">
        <w:t>« </w:t>
      </w:r>
      <w:r>
        <w:t>quel</w:t>
      </w:r>
      <w:r w:rsidRPr="002C4077">
        <w:t xml:space="preserve"> </w:t>
      </w:r>
      <w:r>
        <w:t>serait</w:t>
      </w:r>
      <w:r w:rsidRPr="002C4077">
        <w:t xml:space="preserve"> </w:t>
      </w:r>
      <w:r>
        <w:t>cet</w:t>
      </w:r>
      <w:r w:rsidRPr="002C4077">
        <w:t xml:space="preserve"> </w:t>
      </w:r>
      <w:r>
        <w:t>enfant</w:t>
      </w:r>
      <w:r w:rsidRPr="002C4077">
        <w:t xml:space="preserve"> </w:t>
      </w:r>
      <w:r>
        <w:t>type</w:t>
      </w:r>
      <w:r w:rsidR="00B546AF">
        <w:t> ?</w:t>
      </w:r>
      <w:r w:rsidRPr="002C4077">
        <w:t xml:space="preserve"> </w:t>
      </w:r>
      <w:r>
        <w:t>et</w:t>
      </w:r>
      <w:r w:rsidRPr="002C4077">
        <w:t xml:space="preserve"> </w:t>
      </w:r>
      <w:r>
        <w:t>comment</w:t>
      </w:r>
      <w:r w:rsidRPr="002C4077">
        <w:t xml:space="preserve"> </w:t>
      </w:r>
      <w:r>
        <w:t>appliquer</w:t>
      </w:r>
      <w:r w:rsidRPr="002C4077">
        <w:t xml:space="preserve"> </w:t>
      </w:r>
      <w:r>
        <w:t>à</w:t>
      </w:r>
      <w:r w:rsidRPr="002C4077">
        <w:t xml:space="preserve"> </w:t>
      </w:r>
      <w:r>
        <w:t>deux</w:t>
      </w:r>
      <w:r w:rsidRPr="002C4077">
        <w:t xml:space="preserve"> </w:t>
      </w:r>
      <w:r>
        <w:t>individus</w:t>
      </w:r>
      <w:r w:rsidRPr="002C4077">
        <w:t xml:space="preserve"> </w:t>
      </w:r>
      <w:r>
        <w:t>différents</w:t>
      </w:r>
      <w:r w:rsidRPr="002C4077">
        <w:t xml:space="preserve"> </w:t>
      </w:r>
      <w:r>
        <w:t>la</w:t>
      </w:r>
      <w:r w:rsidRPr="002C4077">
        <w:t xml:space="preserve"> </w:t>
      </w:r>
      <w:r>
        <w:t>prophétie</w:t>
      </w:r>
      <w:r w:rsidRPr="002C4077">
        <w:t xml:space="preserve"> </w:t>
      </w:r>
      <w:r>
        <w:t>si</w:t>
      </w:r>
      <w:r w:rsidRPr="002C4077">
        <w:t xml:space="preserve"> </w:t>
      </w:r>
      <w:r>
        <w:t>concrète</w:t>
      </w:r>
      <w:r w:rsidRPr="002C4077">
        <w:t xml:space="preserve"> </w:t>
      </w:r>
      <w:r>
        <w:t>et</w:t>
      </w:r>
      <w:r w:rsidRPr="002C4077">
        <w:t xml:space="preserve"> </w:t>
      </w:r>
      <w:r>
        <w:t>si</w:t>
      </w:r>
      <w:r w:rsidRPr="002C4077">
        <w:t xml:space="preserve"> </w:t>
      </w:r>
      <w:r>
        <w:t>précise</w:t>
      </w:r>
      <w:r w:rsidRPr="002C4077">
        <w:t xml:space="preserve"> </w:t>
      </w:r>
      <w:r>
        <w:t>du</w:t>
      </w:r>
      <w:r w:rsidRPr="002C4077">
        <w:t xml:space="preserve"> </w:t>
      </w:r>
      <w:r>
        <w:t>verset</w:t>
      </w:r>
      <w:r w:rsidRPr="002C4077">
        <w:t xml:space="preserve"> </w:t>
      </w:r>
      <w:r>
        <w:t>14</w:t>
      </w:r>
      <w:r w:rsidR="00B546AF">
        <w:t> ? »</w:t>
      </w:r>
      <w:r w:rsidRPr="002C4077">
        <w:t xml:space="preserve"> </w:t>
      </w:r>
    </w:p>
    <w:p w:rsidR="000A7AAB" w:rsidRDefault="000A7AAB" w:rsidP="000A7AAB">
      <w:r>
        <w:t>Tout</w:t>
      </w:r>
      <w:r w:rsidRPr="002C4077">
        <w:t xml:space="preserve"> </w:t>
      </w:r>
      <w:r>
        <w:t>sens</w:t>
      </w:r>
      <w:r w:rsidRPr="002C4077">
        <w:t xml:space="preserve"> </w:t>
      </w:r>
      <w:r>
        <w:t>intermédiaire</w:t>
      </w:r>
      <w:r w:rsidRPr="002C4077">
        <w:t xml:space="preserve"> </w:t>
      </w:r>
      <w:r>
        <w:t>aboutirait</w:t>
      </w:r>
      <w:r w:rsidRPr="002C4077">
        <w:t xml:space="preserve"> </w:t>
      </w:r>
      <w:r>
        <w:t>fatalement</w:t>
      </w:r>
      <w:r w:rsidRPr="002C4077">
        <w:t xml:space="preserve"> </w:t>
      </w:r>
      <w:r>
        <w:t>à</w:t>
      </w:r>
      <w:r w:rsidRPr="002C4077">
        <w:t xml:space="preserve"> </w:t>
      </w:r>
      <w:r>
        <w:t>ce</w:t>
      </w:r>
      <w:r w:rsidRPr="002C4077">
        <w:t xml:space="preserve"> </w:t>
      </w:r>
      <w:r>
        <w:t>résultat</w:t>
      </w:r>
      <w:r w:rsidR="00B546AF">
        <w:t> :</w:t>
      </w:r>
      <w:r w:rsidRPr="002C4077">
        <w:t xml:space="preserve"> </w:t>
      </w:r>
      <w:r>
        <w:t>mettre</w:t>
      </w:r>
      <w:r w:rsidRPr="002C4077">
        <w:t xml:space="preserve"> </w:t>
      </w:r>
      <w:r>
        <w:t>le</w:t>
      </w:r>
      <w:r w:rsidRPr="002C4077">
        <w:t xml:space="preserve"> </w:t>
      </w:r>
      <w:r>
        <w:t>prophète</w:t>
      </w:r>
      <w:r w:rsidRPr="002C4077">
        <w:t xml:space="preserve"> </w:t>
      </w:r>
      <w:r>
        <w:t>en</w:t>
      </w:r>
      <w:r w:rsidRPr="002C4077">
        <w:t xml:space="preserve"> </w:t>
      </w:r>
      <w:r>
        <w:t>contradiction</w:t>
      </w:r>
      <w:r w:rsidRPr="002C4077">
        <w:t xml:space="preserve"> </w:t>
      </w:r>
      <w:r>
        <w:t>avec</w:t>
      </w:r>
      <w:r w:rsidRPr="002C4077">
        <w:t xml:space="preserve"> </w:t>
      </w:r>
      <w:r>
        <w:t>lui-même.</w:t>
      </w:r>
      <w:r w:rsidRPr="002C4077">
        <w:t xml:space="preserve"> </w:t>
      </w:r>
      <w:r w:rsidR="00B546AF">
        <w:t>« </w:t>
      </w:r>
      <w:r>
        <w:t>Si</w:t>
      </w:r>
      <w:r w:rsidRPr="002C4077">
        <w:t xml:space="preserve"> </w:t>
      </w:r>
      <w:r>
        <w:t>un</w:t>
      </w:r>
      <w:r w:rsidRPr="002C4077">
        <w:t xml:space="preserve"> </w:t>
      </w:r>
      <w:r>
        <w:t>historien</w:t>
      </w:r>
      <w:r w:rsidRPr="002C4077">
        <w:t xml:space="preserve"> </w:t>
      </w:r>
      <w:r>
        <w:t>ou</w:t>
      </w:r>
      <w:r w:rsidRPr="002C4077">
        <w:t xml:space="preserve"> </w:t>
      </w:r>
      <w:r>
        <w:t>un</w:t>
      </w:r>
      <w:r w:rsidRPr="002C4077">
        <w:t xml:space="preserve"> </w:t>
      </w:r>
      <w:r>
        <w:t>littérateur</w:t>
      </w:r>
      <w:r w:rsidRPr="002C4077">
        <w:t xml:space="preserve"> </w:t>
      </w:r>
      <w:r>
        <w:t>introduit</w:t>
      </w:r>
      <w:r w:rsidRPr="002C4077">
        <w:t xml:space="preserve"> </w:t>
      </w:r>
      <w:r>
        <w:t>à</w:t>
      </w:r>
      <w:r w:rsidRPr="002C4077">
        <w:t xml:space="preserve"> </w:t>
      </w:r>
      <w:r>
        <w:t>la</w:t>
      </w:r>
      <w:r w:rsidRPr="002C4077">
        <w:t xml:space="preserve"> </w:t>
      </w:r>
      <w:r>
        <w:t>page</w:t>
      </w:r>
      <w:r w:rsidRPr="002C4077">
        <w:t xml:space="preserve"> </w:t>
      </w:r>
      <w:r>
        <w:t>7</w:t>
      </w:r>
      <w:r w:rsidRPr="002C4077">
        <w:t xml:space="preserve"> </w:t>
      </w:r>
      <w:r>
        <w:t>un</w:t>
      </w:r>
      <w:r w:rsidRPr="002C4077">
        <w:t xml:space="preserve"> </w:t>
      </w:r>
      <w:r>
        <w:t>personnage</w:t>
      </w:r>
      <w:r w:rsidRPr="002C4077">
        <w:t xml:space="preserve"> </w:t>
      </w:r>
      <w:r>
        <w:t>nommé</w:t>
      </w:r>
      <w:r w:rsidRPr="002C4077">
        <w:t xml:space="preserve"> </w:t>
      </w:r>
      <w:r>
        <w:t>Emmanuel,</w:t>
      </w:r>
      <w:r w:rsidRPr="002C4077">
        <w:t xml:space="preserve"> </w:t>
      </w:r>
      <w:r>
        <w:t>puis</w:t>
      </w:r>
      <w:r w:rsidRPr="002C4077">
        <w:t xml:space="preserve"> </w:t>
      </w:r>
      <w:r>
        <w:t>s’il</w:t>
      </w:r>
      <w:r w:rsidRPr="002C4077">
        <w:t xml:space="preserve"> </w:t>
      </w:r>
      <w:r>
        <w:t>parle</w:t>
      </w:r>
      <w:r w:rsidRPr="002C4077">
        <w:t xml:space="preserve"> </w:t>
      </w:r>
      <w:r>
        <w:t>d’Emmanuel</w:t>
      </w:r>
      <w:r w:rsidRPr="002C4077">
        <w:t xml:space="preserve"> </w:t>
      </w:r>
      <w:r>
        <w:t>et</w:t>
      </w:r>
      <w:r w:rsidRPr="002C4077">
        <w:t xml:space="preserve"> </w:t>
      </w:r>
      <w:r>
        <w:t>décrit</w:t>
      </w:r>
      <w:r w:rsidRPr="002C4077">
        <w:t xml:space="preserve"> </w:t>
      </w:r>
      <w:r>
        <w:t>son</w:t>
      </w:r>
      <w:r w:rsidRPr="002C4077">
        <w:t xml:space="preserve"> </w:t>
      </w:r>
      <w:r>
        <w:t>caractère</w:t>
      </w:r>
      <w:r w:rsidRPr="002C4077">
        <w:t xml:space="preserve"> </w:t>
      </w:r>
      <w:r>
        <w:t>aux</w:t>
      </w:r>
      <w:r w:rsidRPr="002C4077">
        <w:t xml:space="preserve"> </w:t>
      </w:r>
      <w:r>
        <w:t>pages</w:t>
      </w:r>
      <w:r w:rsidRPr="002C4077">
        <w:t xml:space="preserve"> </w:t>
      </w:r>
      <w:r>
        <w:t>8,</w:t>
      </w:r>
      <w:r w:rsidRPr="002C4077">
        <w:t xml:space="preserve"> </w:t>
      </w:r>
      <w:r>
        <w:t>9,</w:t>
      </w:r>
      <w:r w:rsidRPr="002C4077">
        <w:t xml:space="preserve"> </w:t>
      </w:r>
      <w:r>
        <w:t>11</w:t>
      </w:r>
      <w:r w:rsidRPr="002C4077">
        <w:t xml:space="preserve"> </w:t>
      </w:r>
      <w:r>
        <w:t>et</w:t>
      </w:r>
      <w:r w:rsidRPr="002C4077">
        <w:t xml:space="preserve"> </w:t>
      </w:r>
      <w:r>
        <w:t>suivantes,</w:t>
      </w:r>
      <w:r w:rsidRPr="002C4077">
        <w:t xml:space="preserve"> </w:t>
      </w:r>
      <w:r>
        <w:t>qui</w:t>
      </w:r>
      <w:r w:rsidRPr="002C4077">
        <w:t xml:space="preserve"> </w:t>
      </w:r>
      <w:r>
        <w:t>donc</w:t>
      </w:r>
      <w:r w:rsidRPr="002C4077">
        <w:t xml:space="preserve"> </w:t>
      </w:r>
      <w:r>
        <w:t>aura</w:t>
      </w:r>
      <w:r w:rsidRPr="002C4077">
        <w:t xml:space="preserve"> </w:t>
      </w:r>
      <w:r>
        <w:t>la</w:t>
      </w:r>
      <w:r w:rsidRPr="002C4077">
        <w:t xml:space="preserve"> </w:t>
      </w:r>
      <w:r>
        <w:t>pensée</w:t>
      </w:r>
      <w:r w:rsidRPr="002C4077">
        <w:t xml:space="preserve"> </w:t>
      </w:r>
      <w:r>
        <w:t>de</w:t>
      </w:r>
      <w:r w:rsidRPr="002C4077">
        <w:t xml:space="preserve"> </w:t>
      </w:r>
      <w:r>
        <w:t>glisser</w:t>
      </w:r>
      <w:r w:rsidRPr="002C4077">
        <w:t xml:space="preserve"> </w:t>
      </w:r>
      <w:r>
        <w:t>dans</w:t>
      </w:r>
      <w:r w:rsidRPr="002C4077">
        <w:t xml:space="preserve"> </w:t>
      </w:r>
      <w:r>
        <w:t>le</w:t>
      </w:r>
      <w:r w:rsidRPr="002C4077">
        <w:t xml:space="preserve"> </w:t>
      </w:r>
      <w:r>
        <w:t>texte</w:t>
      </w:r>
      <w:r w:rsidRPr="002C4077">
        <w:t xml:space="preserve"> </w:t>
      </w:r>
      <w:r>
        <w:t>un</w:t>
      </w:r>
      <w:r w:rsidRPr="002C4077">
        <w:t xml:space="preserve"> </w:t>
      </w:r>
      <w:r>
        <w:t>second</w:t>
      </w:r>
      <w:r w:rsidRPr="002C4077">
        <w:t xml:space="preserve"> </w:t>
      </w:r>
      <w:r>
        <w:t>personnage</w:t>
      </w:r>
      <w:r w:rsidR="00B546AF">
        <w:t> »</w:t>
      </w:r>
      <w:r w:rsidRPr="002C4077">
        <w:t xml:space="preserve"> </w:t>
      </w:r>
      <w:r>
        <w:t>différent</w:t>
      </w:r>
      <w:r w:rsidRPr="002C4077">
        <w:t xml:space="preserve"> </w:t>
      </w:r>
      <w:r>
        <w:t>du</w:t>
      </w:r>
      <w:r w:rsidRPr="002C4077">
        <w:t xml:space="preserve"> </w:t>
      </w:r>
      <w:r>
        <w:t>premier</w:t>
      </w:r>
      <w:r w:rsidR="00B546AF">
        <w:t> ?</w:t>
      </w:r>
      <w:r w:rsidRPr="002C4077">
        <w:t xml:space="preserve"> </w:t>
      </w:r>
      <w:r>
        <w:t>Rien</w:t>
      </w:r>
      <w:r w:rsidRPr="002C4077">
        <w:t xml:space="preserve"> </w:t>
      </w:r>
      <w:r>
        <w:t>de</w:t>
      </w:r>
      <w:r w:rsidRPr="002C4077">
        <w:t xml:space="preserve"> </w:t>
      </w:r>
      <w:r>
        <w:t>plus</w:t>
      </w:r>
      <w:r w:rsidRPr="002C4077">
        <w:t xml:space="preserve"> </w:t>
      </w:r>
      <w:r>
        <w:t>sensé</w:t>
      </w:r>
      <w:r w:rsidRPr="002C4077">
        <w:t xml:space="preserve"> </w:t>
      </w:r>
      <w:r>
        <w:t>que</w:t>
      </w:r>
      <w:r w:rsidRPr="002C4077">
        <w:t xml:space="preserve"> </w:t>
      </w:r>
      <w:r>
        <w:t>ce</w:t>
      </w:r>
      <w:r w:rsidR="00623D96">
        <w:t>tte</w:t>
      </w:r>
      <w:r w:rsidR="00623D96" w:rsidRPr="002C4077">
        <w:t xml:space="preserve"> </w:t>
      </w:r>
      <w:r w:rsidR="00623D96">
        <w:t>réflexion</w:t>
      </w:r>
      <w:r w:rsidR="00623D96" w:rsidRPr="002C4077">
        <w:t xml:space="preserve"> </w:t>
      </w:r>
      <w:r w:rsidR="00623D96">
        <w:t>du</w:t>
      </w:r>
      <w:r w:rsidR="00623D96" w:rsidRPr="002C4077">
        <w:t xml:space="preserve"> </w:t>
      </w:r>
      <w:r w:rsidR="00623D96">
        <w:t>P.</w:t>
      </w:r>
      <w:r w:rsidR="00623D96" w:rsidRPr="002C4077">
        <w:t xml:space="preserve"> </w:t>
      </w:r>
      <w:r w:rsidR="00623D96">
        <w:t>Knabenbauer</w:t>
      </w:r>
      <w:r w:rsidR="00623D96">
        <w:rPr>
          <w:rStyle w:val="Appelnotedebasdep"/>
        </w:rPr>
        <w:footnoteReference w:id="285"/>
      </w:r>
      <w:r>
        <w:t>.</w:t>
      </w:r>
      <w:r w:rsidRPr="002C4077">
        <w:t xml:space="preserve"> </w:t>
      </w:r>
    </w:p>
    <w:p w:rsidR="000A7AAB" w:rsidRPr="000721C4" w:rsidRDefault="000A7AAB" w:rsidP="000A7AAB">
      <w:r>
        <w:t>Mais</w:t>
      </w:r>
      <w:r w:rsidRPr="002C4077">
        <w:t xml:space="preserve"> </w:t>
      </w:r>
      <w:r>
        <w:t>surtout,</w:t>
      </w:r>
      <w:r w:rsidRPr="002C4077">
        <w:t xml:space="preserve"> </w:t>
      </w:r>
      <w:r>
        <w:t>pour</w:t>
      </w:r>
      <w:r w:rsidRPr="002C4077">
        <w:t xml:space="preserve"> </w:t>
      </w:r>
      <w:r>
        <w:t>ce</w:t>
      </w:r>
      <w:r w:rsidRPr="002C4077">
        <w:t xml:space="preserve"> </w:t>
      </w:r>
      <w:r>
        <w:t>qui</w:t>
      </w:r>
      <w:r w:rsidRPr="002C4077">
        <w:t xml:space="preserve"> </w:t>
      </w:r>
      <w:r>
        <w:t>regarde</w:t>
      </w:r>
      <w:r w:rsidRPr="002C4077">
        <w:t xml:space="preserve"> </w:t>
      </w:r>
      <w:r>
        <w:t>la</w:t>
      </w:r>
      <w:r w:rsidRPr="002C4077">
        <w:t xml:space="preserve"> </w:t>
      </w:r>
      <w:r>
        <w:t>mère,</w:t>
      </w:r>
      <w:r w:rsidRPr="002C4077">
        <w:t xml:space="preserve"> </w:t>
      </w:r>
      <w:r>
        <w:t>où</w:t>
      </w:r>
      <w:r w:rsidRPr="002C4077">
        <w:t xml:space="preserve"> </w:t>
      </w:r>
      <w:r>
        <w:t>serait</w:t>
      </w:r>
      <w:r w:rsidRPr="002C4077">
        <w:t xml:space="preserve"> </w:t>
      </w:r>
      <w:r>
        <w:t>l’analogie</w:t>
      </w:r>
      <w:r w:rsidR="00B546AF">
        <w:t> ?</w:t>
      </w:r>
      <w:r w:rsidRPr="002C4077">
        <w:t xml:space="preserve"> </w:t>
      </w:r>
      <w:r>
        <w:t>Ici,</w:t>
      </w:r>
      <w:r w:rsidRPr="002C4077">
        <w:t xml:space="preserve"> </w:t>
      </w:r>
      <w:r>
        <w:t>dans</w:t>
      </w:r>
      <w:r w:rsidRPr="002C4077">
        <w:t xml:space="preserve"> </w:t>
      </w:r>
      <w:r>
        <w:t>la</w:t>
      </w:r>
      <w:r w:rsidRPr="002C4077">
        <w:t xml:space="preserve"> </w:t>
      </w:r>
      <w:r>
        <w:t>figure,</w:t>
      </w:r>
      <w:r w:rsidRPr="002C4077">
        <w:t xml:space="preserve"> </w:t>
      </w:r>
      <w:r>
        <w:t>une</w:t>
      </w:r>
      <w:r w:rsidRPr="002C4077">
        <w:t xml:space="preserve"> </w:t>
      </w:r>
      <w:r>
        <w:t>femme</w:t>
      </w:r>
      <w:r w:rsidRPr="002C4077">
        <w:t xml:space="preserve"> </w:t>
      </w:r>
      <w:r>
        <w:t>vulgaire</w:t>
      </w:r>
      <w:r w:rsidR="00B546AF">
        <w:t> ;</w:t>
      </w:r>
      <w:r w:rsidRPr="002C4077">
        <w:t xml:space="preserve"> </w:t>
      </w:r>
      <w:r>
        <w:t>là,</w:t>
      </w:r>
      <w:r w:rsidRPr="002C4077">
        <w:t xml:space="preserve"> </w:t>
      </w:r>
      <w:r>
        <w:t>dans</w:t>
      </w:r>
      <w:r w:rsidRPr="002C4077">
        <w:t xml:space="preserve"> </w:t>
      </w:r>
      <w:r>
        <w:t>la</w:t>
      </w:r>
      <w:r w:rsidRPr="002C4077">
        <w:t xml:space="preserve"> </w:t>
      </w:r>
      <w:r>
        <w:t>réalisation</w:t>
      </w:r>
      <w:r w:rsidRPr="002C4077">
        <w:t xml:space="preserve"> </w:t>
      </w:r>
      <w:r>
        <w:t>finale,</w:t>
      </w:r>
      <w:r w:rsidRPr="002C4077">
        <w:t xml:space="preserve"> </w:t>
      </w:r>
      <w:r>
        <w:t>une</w:t>
      </w:r>
      <w:r w:rsidRPr="002C4077">
        <w:t xml:space="preserve"> </w:t>
      </w:r>
      <w:r w:rsidR="00D40830" w:rsidRPr="00D05EA9">
        <w:rPr>
          <w:rStyle w:val="italicus"/>
        </w:rPr>
        <w:t>῾almah</w:t>
      </w:r>
      <w:r w:rsidRPr="002C4077">
        <w:t xml:space="preserve"> </w:t>
      </w:r>
      <w:r>
        <w:t>ou</w:t>
      </w:r>
      <w:r w:rsidRPr="002C4077">
        <w:t xml:space="preserve"> </w:t>
      </w:r>
      <w:r>
        <w:t>vierge-mère.</w:t>
      </w:r>
      <w:r w:rsidRPr="002C4077">
        <w:t xml:space="preserve"> </w:t>
      </w:r>
      <w:r>
        <w:t>Donc,</w:t>
      </w:r>
      <w:r w:rsidRPr="002C4077">
        <w:t xml:space="preserve"> </w:t>
      </w:r>
      <w:r>
        <w:t>suivant</w:t>
      </w:r>
      <w:r w:rsidRPr="002C4077">
        <w:t xml:space="preserve"> </w:t>
      </w:r>
      <w:r>
        <w:t>l’observation</w:t>
      </w:r>
      <w:r w:rsidRPr="002C4077">
        <w:t xml:space="preserve"> </w:t>
      </w:r>
      <w:r>
        <w:t>très</w:t>
      </w:r>
      <w:r w:rsidRPr="002C4077">
        <w:t xml:space="preserve"> </w:t>
      </w:r>
      <w:r>
        <w:t>légitime</w:t>
      </w:r>
      <w:r w:rsidRPr="002C4077">
        <w:t xml:space="preserve"> </w:t>
      </w:r>
      <w:r>
        <w:t>de</w:t>
      </w:r>
      <w:r w:rsidRPr="002C4077">
        <w:t xml:space="preserve"> </w:t>
      </w:r>
      <w:r>
        <w:t>Hengste</w:t>
      </w:r>
      <w:r w:rsidR="001730C6">
        <w:t>nb</w:t>
      </w:r>
      <w:r>
        <w:t>erg,</w:t>
      </w:r>
      <w:r w:rsidRPr="002C4077">
        <w:t xml:space="preserve"> </w:t>
      </w:r>
      <w:r>
        <w:t>il</w:t>
      </w:r>
      <w:r w:rsidRPr="002C4077">
        <w:t xml:space="preserve"> </w:t>
      </w:r>
      <w:r>
        <w:t>n’y</w:t>
      </w:r>
      <w:r w:rsidRPr="002C4077">
        <w:t xml:space="preserve"> </w:t>
      </w:r>
      <w:r>
        <w:t>aurait</w:t>
      </w:r>
      <w:r w:rsidRPr="002C4077">
        <w:t xml:space="preserve"> </w:t>
      </w:r>
      <w:r>
        <w:t>plus</w:t>
      </w:r>
      <w:r w:rsidRPr="002C4077">
        <w:t xml:space="preserve"> </w:t>
      </w:r>
      <w:r>
        <w:t>de</w:t>
      </w:r>
      <w:r w:rsidRPr="002C4077">
        <w:t xml:space="preserve"> </w:t>
      </w:r>
      <w:r w:rsidR="00B546AF">
        <w:t>« </w:t>
      </w:r>
      <w:r>
        <w:t>t</w:t>
      </w:r>
      <w:r w:rsidR="003B53FD">
        <w:t>értium</w:t>
      </w:r>
      <w:r w:rsidRPr="002C4077">
        <w:t xml:space="preserve"> </w:t>
      </w:r>
      <w:r>
        <w:t>comparat</w:t>
      </w:r>
      <w:r w:rsidR="003B53FD">
        <w:t>iónis</w:t>
      </w:r>
      <w:r w:rsidR="00B546AF">
        <w:t> »</w:t>
      </w:r>
      <w:r>
        <w:t>.</w:t>
      </w:r>
      <w:r w:rsidRPr="002C4077">
        <w:t xml:space="preserve"> </w:t>
      </w:r>
      <w:r>
        <w:t>Ces</w:t>
      </w:r>
      <w:r w:rsidRPr="002C4077">
        <w:t xml:space="preserve"> </w:t>
      </w:r>
      <w:r>
        <w:t>deux</w:t>
      </w:r>
      <w:r w:rsidRPr="002C4077">
        <w:t xml:space="preserve"> </w:t>
      </w:r>
      <w:r>
        <w:t>notions</w:t>
      </w:r>
      <w:r w:rsidR="00B546AF">
        <w:t> :</w:t>
      </w:r>
      <w:r w:rsidRPr="002C4077">
        <w:t xml:space="preserve"> </w:t>
      </w:r>
      <w:r>
        <w:t>Elle</w:t>
      </w:r>
      <w:r w:rsidRPr="002C4077">
        <w:t xml:space="preserve"> </w:t>
      </w:r>
      <w:r>
        <w:t>concevra</w:t>
      </w:r>
      <w:r w:rsidRPr="002C4077">
        <w:t xml:space="preserve"> </w:t>
      </w:r>
      <w:r>
        <w:t>et</w:t>
      </w:r>
      <w:r w:rsidRPr="002C4077">
        <w:t xml:space="preserve"> </w:t>
      </w:r>
      <w:r>
        <w:t>enfantera</w:t>
      </w:r>
      <w:r w:rsidRPr="002C4077">
        <w:t xml:space="preserve"> </w:t>
      </w:r>
      <w:r>
        <w:t>en</w:t>
      </w:r>
      <w:r w:rsidRPr="002C4077">
        <w:t xml:space="preserve"> </w:t>
      </w:r>
      <w:r>
        <w:t>perdant</w:t>
      </w:r>
      <w:r w:rsidRPr="002C4077">
        <w:t xml:space="preserve"> </w:t>
      </w:r>
      <w:r>
        <w:t>sa</w:t>
      </w:r>
      <w:r w:rsidRPr="002C4077">
        <w:t xml:space="preserve"> </w:t>
      </w:r>
      <w:r>
        <w:t>virginité,</w:t>
      </w:r>
      <w:r w:rsidRPr="002C4077">
        <w:t xml:space="preserve"> </w:t>
      </w:r>
      <w:r>
        <w:t>Elle</w:t>
      </w:r>
      <w:r w:rsidRPr="002C4077">
        <w:t xml:space="preserve"> </w:t>
      </w:r>
      <w:r>
        <w:t>concevra</w:t>
      </w:r>
      <w:r w:rsidRPr="002C4077">
        <w:t xml:space="preserve"> </w:t>
      </w:r>
      <w:r>
        <w:t>et</w:t>
      </w:r>
      <w:r w:rsidRPr="002C4077">
        <w:t xml:space="preserve"> </w:t>
      </w:r>
      <w:r>
        <w:t>enfantera</w:t>
      </w:r>
      <w:r w:rsidRPr="002C4077">
        <w:t xml:space="preserve"> </w:t>
      </w:r>
      <w:r>
        <w:t>sans</w:t>
      </w:r>
      <w:r w:rsidRPr="002C4077">
        <w:t xml:space="preserve"> </w:t>
      </w:r>
      <w:r>
        <w:t>cesser</w:t>
      </w:r>
      <w:r w:rsidRPr="002C4077">
        <w:t xml:space="preserve"> </w:t>
      </w:r>
      <w:r>
        <w:t>d’être</w:t>
      </w:r>
      <w:r w:rsidRPr="002C4077">
        <w:t xml:space="preserve"> </w:t>
      </w:r>
      <w:r>
        <w:t>vierge,</w:t>
      </w:r>
      <w:r w:rsidRPr="002C4077">
        <w:t xml:space="preserve"> </w:t>
      </w:r>
      <w:r>
        <w:t>ne</w:t>
      </w:r>
      <w:r w:rsidRPr="002C4077">
        <w:t xml:space="preserve"> </w:t>
      </w:r>
      <w:r>
        <w:t>pourront</w:t>
      </w:r>
      <w:r w:rsidRPr="002C4077">
        <w:t xml:space="preserve"> </w:t>
      </w:r>
      <w:r>
        <w:t>jamais</w:t>
      </w:r>
      <w:r w:rsidRPr="002C4077">
        <w:t xml:space="preserve"> </w:t>
      </w:r>
      <w:r>
        <w:t>être</w:t>
      </w:r>
      <w:r w:rsidRPr="002C4077">
        <w:t xml:space="preserve"> </w:t>
      </w:r>
      <w:r>
        <w:t>exprimées</w:t>
      </w:r>
      <w:r w:rsidRPr="002C4077">
        <w:t xml:space="preserve"> </w:t>
      </w:r>
      <w:r>
        <w:t>par</w:t>
      </w:r>
      <w:r w:rsidRPr="002C4077">
        <w:t xml:space="preserve"> </w:t>
      </w:r>
      <w:r>
        <w:t>une</w:t>
      </w:r>
      <w:r w:rsidRPr="002C4077">
        <w:t xml:space="preserve"> </w:t>
      </w:r>
      <w:r>
        <w:t>seule</w:t>
      </w:r>
      <w:r w:rsidRPr="002C4077">
        <w:t xml:space="preserve"> </w:t>
      </w:r>
      <w:r>
        <w:t>et</w:t>
      </w:r>
      <w:r w:rsidRPr="002C4077">
        <w:t xml:space="preserve"> </w:t>
      </w:r>
      <w:r>
        <w:t>même</w:t>
      </w:r>
      <w:r w:rsidRPr="002C4077">
        <w:t xml:space="preserve"> </w:t>
      </w:r>
      <w:r>
        <w:t>proposition</w:t>
      </w:r>
      <w:r w:rsidR="00B91AF7">
        <w:rPr>
          <w:rStyle w:val="Appelnotedebasdep"/>
        </w:rPr>
        <w:footnoteReference w:id="286"/>
      </w:r>
      <w:r>
        <w:t>.</w:t>
      </w:r>
      <w:r w:rsidR="00C45B47">
        <w:t xml:space="preserve"> {</w:t>
      </w:r>
      <w:r w:rsidR="000721C4">
        <w:t>89</w:t>
      </w:r>
      <w:bookmarkStart w:id="269" w:name="p089"/>
      <w:bookmarkEnd w:id="269"/>
      <w:r w:rsidR="000721C4">
        <w:t xml:space="preserve">} </w:t>
      </w:r>
    </w:p>
    <w:p w:rsidR="000A7AAB" w:rsidRDefault="000A7AAB" w:rsidP="000A7AAB">
      <w:r>
        <w:t>Concluons</w:t>
      </w:r>
      <w:r w:rsidRPr="002C4077">
        <w:t xml:space="preserve"> </w:t>
      </w:r>
      <w:r>
        <w:t>que</w:t>
      </w:r>
      <w:r w:rsidRPr="002C4077">
        <w:t xml:space="preserve"> </w:t>
      </w:r>
      <w:r>
        <w:t>la</w:t>
      </w:r>
      <w:r w:rsidRPr="002C4077">
        <w:t xml:space="preserve"> </w:t>
      </w:r>
      <w:r>
        <w:t>célèbre</w:t>
      </w:r>
      <w:r w:rsidRPr="002C4077">
        <w:t xml:space="preserve"> </w:t>
      </w:r>
      <w:r>
        <w:t>hypothèse</w:t>
      </w:r>
      <w:r w:rsidRPr="002C4077">
        <w:t xml:space="preserve"> </w:t>
      </w:r>
      <w:r>
        <w:t>d’une</w:t>
      </w:r>
      <w:r w:rsidRPr="002C4077">
        <w:t xml:space="preserve"> </w:t>
      </w:r>
      <w:r>
        <w:t>double</w:t>
      </w:r>
      <w:r w:rsidRPr="002C4077">
        <w:t xml:space="preserve"> </w:t>
      </w:r>
      <w:r>
        <w:t>interprétation,</w:t>
      </w:r>
      <w:r w:rsidRPr="002C4077">
        <w:t xml:space="preserve"> </w:t>
      </w:r>
      <w:r>
        <w:t>bien</w:t>
      </w:r>
      <w:r w:rsidRPr="002C4077">
        <w:t xml:space="preserve"> </w:t>
      </w:r>
      <w:r>
        <w:t>loin</w:t>
      </w:r>
      <w:r w:rsidRPr="002C4077">
        <w:t xml:space="preserve"> </w:t>
      </w:r>
      <w:r>
        <w:t>d’être</w:t>
      </w:r>
      <w:r w:rsidRPr="002C4077">
        <w:t xml:space="preserve"> </w:t>
      </w:r>
      <w:r w:rsidRPr="000A34B5">
        <w:rPr>
          <w:rStyle w:val="italicus"/>
        </w:rPr>
        <w:t>obvions,</w:t>
      </w:r>
      <w:r w:rsidRPr="002C4077">
        <w:t xml:space="preserve"> </w:t>
      </w:r>
      <w:r>
        <w:t>comme</w:t>
      </w:r>
      <w:r w:rsidRPr="002C4077">
        <w:t xml:space="preserve"> </w:t>
      </w:r>
      <w:r>
        <w:t>le</w:t>
      </w:r>
      <w:r w:rsidRPr="002C4077">
        <w:t xml:space="preserve"> </w:t>
      </w:r>
      <w:r>
        <w:t>prétend</w:t>
      </w:r>
      <w:r w:rsidRPr="002C4077">
        <w:t xml:space="preserve"> </w:t>
      </w:r>
      <w:r>
        <w:t>M.</w:t>
      </w:r>
      <w:r w:rsidRPr="002C4077">
        <w:t xml:space="preserve"> </w:t>
      </w:r>
      <w:r>
        <w:t>Barnes,</w:t>
      </w:r>
      <w:r w:rsidRPr="002C4077">
        <w:t xml:space="preserve"> </w:t>
      </w:r>
      <w:r w:rsidR="00425C50">
        <w:t>est</w:t>
      </w:r>
      <w:r w:rsidRPr="002C4077">
        <w:t xml:space="preserve"> </w:t>
      </w:r>
      <w:r>
        <w:t>au</w:t>
      </w:r>
      <w:r w:rsidRPr="002C4077">
        <w:t xml:space="preserve"> </w:t>
      </w:r>
      <w:r>
        <w:t>contraire</w:t>
      </w:r>
      <w:r w:rsidRPr="002C4077">
        <w:t xml:space="preserve"> </w:t>
      </w:r>
      <w:r w:rsidRPr="000A34B5">
        <w:rPr>
          <w:rStyle w:val="italicus"/>
        </w:rPr>
        <w:t>ganz</w:t>
      </w:r>
      <w:r w:rsidRPr="002C4077">
        <w:t xml:space="preserve"> </w:t>
      </w:r>
      <w:r w:rsidRPr="000A34B5">
        <w:rPr>
          <w:rStyle w:val="italicus"/>
        </w:rPr>
        <w:t>verfehlt,</w:t>
      </w:r>
      <w:r w:rsidRPr="002C4077">
        <w:t xml:space="preserve"> </w:t>
      </w:r>
      <w:r w:rsidR="00B546AF">
        <w:t>« </w:t>
      </w:r>
      <w:r>
        <w:t>tout</w:t>
      </w:r>
      <w:r w:rsidRPr="002C4077">
        <w:t xml:space="preserve"> </w:t>
      </w:r>
      <w:r>
        <w:t>à</w:t>
      </w:r>
      <w:r w:rsidRPr="002C4077">
        <w:t xml:space="preserve"> </w:t>
      </w:r>
      <w:r>
        <w:t>fait</w:t>
      </w:r>
      <w:r w:rsidRPr="002C4077">
        <w:t xml:space="preserve"> </w:t>
      </w:r>
      <w:bookmarkStart w:id="270" w:name="z_Almah_o25"/>
      <w:bookmarkEnd w:id="270"/>
      <w:r>
        <w:t>manquée</w:t>
      </w:r>
      <w:r w:rsidR="00B91AF7">
        <w:rPr>
          <w:rStyle w:val="Appelnotedebasdep"/>
        </w:rPr>
        <w:footnoteReference w:id="287"/>
      </w:r>
      <w:r w:rsidR="00B546AF">
        <w:t> »</w:t>
      </w:r>
      <w:r>
        <w:t>.</w:t>
      </w:r>
      <w:r w:rsidRPr="002C4077">
        <w:t xml:space="preserve"> </w:t>
      </w:r>
    </w:p>
    <w:p w:rsidR="007B0987" w:rsidRDefault="007B0987" w:rsidP="000A7AAB">
      <w:pPr>
        <w:rPr>
          <w:rStyle w:val="italicus"/>
        </w:rPr>
      </w:pPr>
    </w:p>
    <w:p w:rsidR="000A7AAB" w:rsidRDefault="000A7AAB" w:rsidP="000A7AAB">
      <w:r w:rsidRPr="007B0987">
        <w:t>2.</w:t>
      </w:r>
      <w:r w:rsidRPr="002C4077">
        <w:t xml:space="preserve"> </w:t>
      </w:r>
      <w:r w:rsidRPr="000A34B5">
        <w:rPr>
          <w:rStyle w:val="italicus"/>
        </w:rPr>
        <w:t>La</w:t>
      </w:r>
      <w:r w:rsidRPr="002C4077">
        <w:t xml:space="preserve"> </w:t>
      </w:r>
      <w:r w:rsidRPr="000A34B5">
        <w:rPr>
          <w:rStyle w:val="italicus"/>
        </w:rPr>
        <w:t>vraie</w:t>
      </w:r>
      <w:r w:rsidRPr="002C4077">
        <w:t xml:space="preserve"> </w:t>
      </w:r>
      <w:r w:rsidRPr="000A34B5">
        <w:rPr>
          <w:rStyle w:val="italicus"/>
        </w:rPr>
        <w:t>solution.</w:t>
      </w:r>
      <w:bookmarkStart w:id="271" w:name="z_Almah_o26"/>
      <w:bookmarkEnd w:id="271"/>
      <w:r w:rsidRPr="002C4077">
        <w:t xml:space="preserve"> </w:t>
      </w:r>
      <w:r>
        <w:t>—</w:t>
      </w:r>
      <w:r w:rsidRPr="002C4077">
        <w:t xml:space="preserve"> </w:t>
      </w:r>
      <w:r w:rsidR="00B546AF">
        <w:t>« </w:t>
      </w:r>
      <w:r>
        <w:t>Je</w:t>
      </w:r>
      <w:bookmarkStart w:id="272" w:name="z_Propheties_o1"/>
      <w:bookmarkEnd w:id="272"/>
      <w:r w:rsidRPr="002C4077">
        <w:t xml:space="preserve"> </w:t>
      </w:r>
      <w:r>
        <w:t>pourrais,</w:t>
      </w:r>
      <w:r w:rsidRPr="002C4077">
        <w:t xml:space="preserve"> </w:t>
      </w:r>
      <w:r>
        <w:t>dit</w:t>
      </w:r>
      <w:r w:rsidRPr="002C4077">
        <w:t xml:space="preserve"> </w:t>
      </w:r>
      <w:r>
        <w:t>Bossuet</w:t>
      </w:r>
      <w:r w:rsidR="00B91AF7">
        <w:rPr>
          <w:rStyle w:val="Appelnotedebasdep"/>
        </w:rPr>
        <w:footnoteReference w:id="288"/>
      </w:r>
      <w:r>
        <w:t>,</w:t>
      </w:r>
      <w:r w:rsidRPr="002C4077">
        <w:t xml:space="preserve"> </w:t>
      </w:r>
      <w:r>
        <w:t>m’ouvrir</w:t>
      </w:r>
      <w:r w:rsidRPr="002C4077">
        <w:t xml:space="preserve"> </w:t>
      </w:r>
      <w:r>
        <w:t>ici</w:t>
      </w:r>
      <w:r w:rsidRPr="002C4077">
        <w:t xml:space="preserve"> </w:t>
      </w:r>
      <w:r>
        <w:t>une</w:t>
      </w:r>
      <w:r w:rsidRPr="002C4077">
        <w:t xml:space="preserve"> </w:t>
      </w:r>
      <w:r>
        <w:t>longue</w:t>
      </w:r>
      <w:r w:rsidRPr="002C4077">
        <w:t xml:space="preserve"> </w:t>
      </w:r>
      <w:r>
        <w:t>carrière,</w:t>
      </w:r>
      <w:r w:rsidRPr="002C4077">
        <w:t xml:space="preserve"> </w:t>
      </w:r>
      <w:r>
        <w:t>si</w:t>
      </w:r>
      <w:r w:rsidRPr="002C4077">
        <w:t xml:space="preserve"> </w:t>
      </w:r>
      <w:r>
        <w:t>je</w:t>
      </w:r>
      <w:r w:rsidRPr="002C4077">
        <w:t xml:space="preserve"> </w:t>
      </w:r>
      <w:r>
        <w:t>voulais</w:t>
      </w:r>
      <w:r w:rsidRPr="002C4077">
        <w:t xml:space="preserve"> </w:t>
      </w:r>
      <w:r>
        <w:t>rechercher</w:t>
      </w:r>
      <w:r w:rsidRPr="002C4077">
        <w:t xml:space="preserve"> </w:t>
      </w:r>
      <w:r>
        <w:t>avec</w:t>
      </w:r>
      <w:r w:rsidRPr="002C4077">
        <w:t xml:space="preserve"> </w:t>
      </w:r>
      <w:r>
        <w:t>les</w:t>
      </w:r>
      <w:r w:rsidRPr="002C4077">
        <w:t xml:space="preserve"> </w:t>
      </w:r>
      <w:r>
        <w:t>saints</w:t>
      </w:r>
      <w:r w:rsidRPr="002C4077">
        <w:t xml:space="preserve"> </w:t>
      </w:r>
      <w:r>
        <w:t>Pères</w:t>
      </w:r>
      <w:r w:rsidRPr="002C4077">
        <w:t xml:space="preserve"> </w:t>
      </w:r>
      <w:r>
        <w:t>la</w:t>
      </w:r>
      <w:r w:rsidRPr="002C4077">
        <w:t xml:space="preserve"> </w:t>
      </w:r>
      <w:r>
        <w:t>cause</w:t>
      </w:r>
      <w:r w:rsidRPr="002C4077">
        <w:t xml:space="preserve"> </w:t>
      </w:r>
      <w:r>
        <w:t>de</w:t>
      </w:r>
      <w:r w:rsidRPr="002C4077">
        <w:t xml:space="preserve"> </w:t>
      </w:r>
      <w:r>
        <w:t>l’obscurité</w:t>
      </w:r>
      <w:r w:rsidRPr="002C4077">
        <w:t xml:space="preserve"> </w:t>
      </w:r>
      <w:r>
        <w:t>de</w:t>
      </w:r>
      <w:r w:rsidRPr="002C4077">
        <w:t xml:space="preserve"> </w:t>
      </w:r>
      <w:r>
        <w:t>quelques</w:t>
      </w:r>
      <w:r w:rsidRPr="002C4077">
        <w:t xml:space="preserve"> </w:t>
      </w:r>
      <w:r>
        <w:t>prophètes.</w:t>
      </w:r>
      <w:r w:rsidRPr="002C4077">
        <w:t xml:space="preserve"> </w:t>
      </w:r>
      <w:r>
        <w:t>Saint</w:t>
      </w:r>
      <w:r w:rsidRPr="002C4077">
        <w:t xml:space="preserve"> </w:t>
      </w:r>
      <w:r>
        <w:t>Pierre</w:t>
      </w:r>
      <w:r w:rsidRPr="002C4077">
        <w:t xml:space="preserve"> </w:t>
      </w:r>
      <w:r>
        <w:t>nous</w:t>
      </w:r>
      <w:r w:rsidRPr="002C4077">
        <w:t xml:space="preserve"> </w:t>
      </w:r>
      <w:r>
        <w:t>dit,</w:t>
      </w:r>
      <w:r w:rsidRPr="002C4077">
        <w:t xml:space="preserve"> </w:t>
      </w:r>
      <w:r>
        <w:t>dans</w:t>
      </w:r>
      <w:r w:rsidRPr="002C4077">
        <w:t xml:space="preserve"> </w:t>
      </w:r>
      <w:r>
        <w:t>sa</w:t>
      </w:r>
      <w:r w:rsidRPr="002C4077">
        <w:t xml:space="preserve"> </w:t>
      </w:r>
      <w:r>
        <w:t>seconde</w:t>
      </w:r>
      <w:r w:rsidRPr="002C4077">
        <w:t xml:space="preserve"> </w:t>
      </w:r>
      <w:r>
        <w:t>épître,</w:t>
      </w:r>
      <w:r w:rsidRPr="002C4077">
        <w:t xml:space="preserve"> </w:t>
      </w:r>
      <w:r>
        <w:t>que</w:t>
      </w:r>
      <w:r w:rsidRPr="002C4077">
        <w:t xml:space="preserve"> </w:t>
      </w:r>
      <w:r w:rsidRPr="000A34B5">
        <w:rPr>
          <w:rStyle w:val="italicus"/>
        </w:rPr>
        <w:t>nous</w:t>
      </w:r>
      <w:r w:rsidRPr="002C4077">
        <w:t xml:space="preserve"> </w:t>
      </w:r>
      <w:r w:rsidRPr="000A34B5">
        <w:rPr>
          <w:rStyle w:val="italicus"/>
        </w:rPr>
        <w:t>n’avons</w:t>
      </w:r>
      <w:r w:rsidRPr="002C4077">
        <w:t xml:space="preserve"> </w:t>
      </w:r>
      <w:r w:rsidRPr="000A34B5">
        <w:rPr>
          <w:rStyle w:val="italicus"/>
        </w:rPr>
        <w:t>rien</w:t>
      </w:r>
      <w:r w:rsidRPr="002C4077">
        <w:t xml:space="preserve"> </w:t>
      </w:r>
      <w:r w:rsidRPr="000A34B5">
        <w:rPr>
          <w:rStyle w:val="italicus"/>
        </w:rPr>
        <w:t>de</w:t>
      </w:r>
      <w:r w:rsidRPr="002C4077">
        <w:t xml:space="preserve"> </w:t>
      </w:r>
      <w:r w:rsidRPr="000A34B5">
        <w:rPr>
          <w:rStyle w:val="italicus"/>
        </w:rPr>
        <w:t>plus</w:t>
      </w:r>
      <w:r w:rsidRPr="002C4077">
        <w:t xml:space="preserve"> </w:t>
      </w:r>
      <w:r w:rsidRPr="000A34B5">
        <w:rPr>
          <w:rStyle w:val="italicus"/>
        </w:rPr>
        <w:t>ferme</w:t>
      </w:r>
      <w:r w:rsidRPr="002C4077">
        <w:t xml:space="preserve"> </w:t>
      </w:r>
      <w:r w:rsidRPr="000A34B5">
        <w:rPr>
          <w:rStyle w:val="italicus"/>
        </w:rPr>
        <w:t>que</w:t>
      </w:r>
      <w:r w:rsidRPr="002C4077">
        <w:t xml:space="preserve"> </w:t>
      </w:r>
      <w:r w:rsidRPr="000A34B5">
        <w:rPr>
          <w:rStyle w:val="italicus"/>
        </w:rPr>
        <w:t>le</w:t>
      </w:r>
      <w:r w:rsidRPr="002C4077">
        <w:t xml:space="preserve"> </w:t>
      </w:r>
      <w:r w:rsidRPr="000A34B5">
        <w:rPr>
          <w:rStyle w:val="italicus"/>
        </w:rPr>
        <w:t>discours</w:t>
      </w:r>
      <w:r w:rsidRPr="002C4077">
        <w:t xml:space="preserve"> </w:t>
      </w:r>
      <w:r w:rsidRPr="000A34B5">
        <w:rPr>
          <w:rStyle w:val="italicus"/>
        </w:rPr>
        <w:t>prophétique,</w:t>
      </w:r>
      <w:r w:rsidRPr="002C4077">
        <w:t xml:space="preserve"> </w:t>
      </w:r>
      <w:r>
        <w:t>et</w:t>
      </w:r>
      <w:r w:rsidRPr="002C4077">
        <w:t xml:space="preserve"> </w:t>
      </w:r>
      <w:r>
        <w:t>que</w:t>
      </w:r>
      <w:r w:rsidRPr="002C4077">
        <w:t xml:space="preserve"> </w:t>
      </w:r>
      <w:r>
        <w:t>nous</w:t>
      </w:r>
      <w:r w:rsidRPr="002C4077">
        <w:t xml:space="preserve"> </w:t>
      </w:r>
      <w:r>
        <w:t>devons</w:t>
      </w:r>
      <w:r w:rsidRPr="002C4077">
        <w:t xml:space="preserve"> </w:t>
      </w:r>
      <w:r>
        <w:t>y</w:t>
      </w:r>
      <w:r w:rsidRPr="002C4077">
        <w:t xml:space="preserve"> </w:t>
      </w:r>
      <w:r>
        <w:t>être</w:t>
      </w:r>
      <w:r w:rsidRPr="002C4077">
        <w:t xml:space="preserve"> </w:t>
      </w:r>
      <w:r w:rsidRPr="000A34B5">
        <w:rPr>
          <w:rStyle w:val="italicus"/>
        </w:rPr>
        <w:t>attentifs</w:t>
      </w:r>
      <w:r w:rsidRPr="002C4077">
        <w:t xml:space="preserve"> </w:t>
      </w:r>
      <w:r w:rsidRPr="000A34B5">
        <w:rPr>
          <w:rStyle w:val="italicus"/>
        </w:rPr>
        <w:t>comme</w:t>
      </w:r>
      <w:r w:rsidRPr="002C4077">
        <w:t xml:space="preserve"> </w:t>
      </w:r>
      <w:r w:rsidRPr="000A34B5">
        <w:rPr>
          <w:rStyle w:val="italicus"/>
        </w:rPr>
        <w:t>à</w:t>
      </w:r>
      <w:r w:rsidRPr="002C4077">
        <w:t xml:space="preserve"> </w:t>
      </w:r>
      <w:r w:rsidRPr="000A34B5">
        <w:rPr>
          <w:rStyle w:val="italicus"/>
        </w:rPr>
        <w:t>un</w:t>
      </w:r>
      <w:r w:rsidRPr="002C4077">
        <w:t xml:space="preserve"> </w:t>
      </w:r>
      <w:r w:rsidRPr="000A34B5">
        <w:rPr>
          <w:rStyle w:val="italicus"/>
        </w:rPr>
        <w:t>flambeau</w:t>
      </w:r>
      <w:r w:rsidRPr="002C4077">
        <w:t xml:space="preserve"> </w:t>
      </w:r>
      <w:r w:rsidRPr="000A34B5">
        <w:rPr>
          <w:rStyle w:val="italicus"/>
        </w:rPr>
        <w:t>qui</w:t>
      </w:r>
      <w:r w:rsidRPr="002C4077">
        <w:t xml:space="preserve"> </w:t>
      </w:r>
      <w:r w:rsidRPr="000A34B5">
        <w:rPr>
          <w:rStyle w:val="italicus"/>
        </w:rPr>
        <w:t>reluit</w:t>
      </w:r>
      <w:r w:rsidRPr="002C4077">
        <w:t xml:space="preserve"> </w:t>
      </w:r>
      <w:r w:rsidRPr="000A34B5">
        <w:rPr>
          <w:rStyle w:val="italicus"/>
        </w:rPr>
        <w:t>dans</w:t>
      </w:r>
      <w:r w:rsidRPr="002C4077">
        <w:t xml:space="preserve"> </w:t>
      </w:r>
      <w:r w:rsidRPr="000A34B5">
        <w:rPr>
          <w:rStyle w:val="italicus"/>
        </w:rPr>
        <w:t>un</w:t>
      </w:r>
      <w:r w:rsidRPr="002C4077">
        <w:t xml:space="preserve"> </w:t>
      </w:r>
      <w:r w:rsidRPr="000A34B5">
        <w:rPr>
          <w:rStyle w:val="italicus"/>
        </w:rPr>
        <w:t>lieu</w:t>
      </w:r>
      <w:r w:rsidRPr="002C4077">
        <w:t xml:space="preserve"> </w:t>
      </w:r>
      <w:r w:rsidRPr="000A34B5">
        <w:rPr>
          <w:rStyle w:val="italicus"/>
        </w:rPr>
        <w:t>obscur</w:t>
      </w:r>
      <w:r w:rsidRPr="002C4077">
        <w:t xml:space="preserve"> </w:t>
      </w:r>
      <w:r w:rsidRPr="000A34B5">
        <w:rPr>
          <w:rStyle w:val="italicus"/>
        </w:rPr>
        <w:t>et</w:t>
      </w:r>
      <w:r w:rsidRPr="002C4077">
        <w:t xml:space="preserve"> </w:t>
      </w:r>
      <w:r w:rsidRPr="000A34B5">
        <w:rPr>
          <w:rStyle w:val="italicus"/>
        </w:rPr>
        <w:t>ténébreux</w:t>
      </w:r>
      <w:r w:rsidR="006E0521">
        <w:rPr>
          <w:rStyle w:val="Appelnotedebasdep"/>
          <w:i/>
        </w:rPr>
        <w:footnoteReference w:id="289"/>
      </w:r>
      <w:r>
        <w:t>.</w:t>
      </w:r>
      <w:r w:rsidRPr="002C4077">
        <w:t xml:space="preserve"> </w:t>
      </w:r>
      <w:r>
        <w:t>C’est</w:t>
      </w:r>
      <w:r w:rsidRPr="002C4077">
        <w:t xml:space="preserve"> </w:t>
      </w:r>
      <w:r>
        <w:t>donc</w:t>
      </w:r>
      <w:r w:rsidRPr="002C4077">
        <w:t xml:space="preserve"> </w:t>
      </w:r>
      <w:r>
        <w:t>un</w:t>
      </w:r>
      <w:r w:rsidRPr="002C4077">
        <w:t xml:space="preserve"> </w:t>
      </w:r>
      <w:r>
        <w:t>flambeau,</w:t>
      </w:r>
      <w:r w:rsidRPr="002C4077">
        <w:t xml:space="preserve"> </w:t>
      </w:r>
      <w:r>
        <w:t>qui</w:t>
      </w:r>
      <w:r w:rsidRPr="002C4077">
        <w:t xml:space="preserve"> </w:t>
      </w:r>
      <w:r>
        <w:t>reluit</w:t>
      </w:r>
      <w:r w:rsidRPr="002C4077">
        <w:t xml:space="preserve"> </w:t>
      </w:r>
      <w:r>
        <w:t>dans</w:t>
      </w:r>
      <w:r w:rsidRPr="002C4077">
        <w:t xml:space="preserve"> </w:t>
      </w:r>
      <w:r>
        <w:t>un</w:t>
      </w:r>
      <w:r w:rsidRPr="002C4077">
        <w:t xml:space="preserve"> </w:t>
      </w:r>
      <w:r>
        <w:t>lieu</w:t>
      </w:r>
      <w:r w:rsidRPr="002C4077">
        <w:t xml:space="preserve"> </w:t>
      </w:r>
      <w:r>
        <w:t>obscur,</w:t>
      </w:r>
      <w:r w:rsidRPr="002C4077">
        <w:t xml:space="preserve"> </w:t>
      </w:r>
      <w:r>
        <w:t>dont</w:t>
      </w:r>
      <w:r w:rsidRPr="002C4077">
        <w:t xml:space="preserve"> </w:t>
      </w:r>
      <w:r>
        <w:t>il</w:t>
      </w:r>
      <w:r w:rsidRPr="002C4077">
        <w:t xml:space="preserve"> </w:t>
      </w:r>
      <w:r>
        <w:t>ne</w:t>
      </w:r>
      <w:r w:rsidRPr="002C4077">
        <w:t xml:space="preserve"> </w:t>
      </w:r>
      <w:r>
        <w:t>dissipe</w:t>
      </w:r>
      <w:r w:rsidRPr="002C4077">
        <w:t xml:space="preserve"> </w:t>
      </w:r>
      <w:r>
        <w:t>pas</w:t>
      </w:r>
      <w:r w:rsidRPr="002C4077">
        <w:t xml:space="preserve"> </w:t>
      </w:r>
      <w:r>
        <w:t>toutes</w:t>
      </w:r>
      <w:r w:rsidRPr="002C4077">
        <w:t xml:space="preserve"> </w:t>
      </w:r>
      <w:r>
        <w:t>les</w:t>
      </w:r>
      <w:r w:rsidRPr="002C4077">
        <w:t xml:space="preserve"> </w:t>
      </w:r>
      <w:r>
        <w:t>ténèbres.</w:t>
      </w:r>
      <w:r w:rsidRPr="002C4077">
        <w:t xml:space="preserve"> </w:t>
      </w:r>
      <w:r>
        <w:t>Si</w:t>
      </w:r>
      <w:r w:rsidRPr="002C4077">
        <w:t xml:space="preserve"> </w:t>
      </w:r>
      <w:r>
        <w:t>tout</w:t>
      </w:r>
      <w:r w:rsidRPr="002C4077">
        <w:t xml:space="preserve"> </w:t>
      </w:r>
      <w:r>
        <w:t>était</w:t>
      </w:r>
      <w:r w:rsidRPr="002C4077">
        <w:t xml:space="preserve"> </w:t>
      </w:r>
      <w:r>
        <w:t>obscur</w:t>
      </w:r>
      <w:r w:rsidRPr="002C4077">
        <w:t xml:space="preserve"> </w:t>
      </w:r>
      <w:r>
        <w:t>dans</w:t>
      </w:r>
      <w:r w:rsidRPr="002C4077">
        <w:t xml:space="preserve"> </w:t>
      </w:r>
      <w:r>
        <w:t>les</w:t>
      </w:r>
      <w:r w:rsidRPr="002C4077">
        <w:t xml:space="preserve"> </w:t>
      </w:r>
      <w:r>
        <w:t>prophéties,</w:t>
      </w:r>
      <w:r w:rsidRPr="002C4077">
        <w:t xml:space="preserve"> </w:t>
      </w:r>
      <w:r>
        <w:t>nous</w:t>
      </w:r>
      <w:r w:rsidRPr="002C4077">
        <w:t xml:space="preserve"> </w:t>
      </w:r>
      <w:r>
        <w:t>marcherions</w:t>
      </w:r>
      <w:r w:rsidRPr="002C4077">
        <w:t xml:space="preserve"> </w:t>
      </w:r>
      <w:r>
        <w:t>à</w:t>
      </w:r>
      <w:r w:rsidRPr="002C4077">
        <w:t xml:space="preserve"> </w:t>
      </w:r>
      <w:r>
        <w:t>tâtons</w:t>
      </w:r>
      <w:r w:rsidRPr="002C4077">
        <w:t xml:space="preserve"> </w:t>
      </w:r>
      <w:r>
        <w:t>dans</w:t>
      </w:r>
      <w:r w:rsidRPr="002C4077">
        <w:t xml:space="preserve"> </w:t>
      </w:r>
      <w:r>
        <w:t>une</w:t>
      </w:r>
      <w:r w:rsidRPr="002C4077">
        <w:t xml:space="preserve"> </w:t>
      </w:r>
      <w:r>
        <w:t>nuit</w:t>
      </w:r>
      <w:r w:rsidRPr="002C4077">
        <w:t xml:space="preserve"> </w:t>
      </w:r>
      <w:r>
        <w:t>profonde,</w:t>
      </w:r>
      <w:r w:rsidRPr="002C4077">
        <w:t xml:space="preserve"> </w:t>
      </w:r>
      <w:r>
        <w:t>en</w:t>
      </w:r>
      <w:r w:rsidRPr="002C4077">
        <w:t xml:space="preserve"> </w:t>
      </w:r>
      <w:r>
        <w:t>danger</w:t>
      </w:r>
      <w:r w:rsidRPr="002C4077">
        <w:t xml:space="preserve"> </w:t>
      </w:r>
      <w:r>
        <w:t>de</w:t>
      </w:r>
      <w:r w:rsidRPr="002C4077">
        <w:t xml:space="preserve"> </w:t>
      </w:r>
      <w:r>
        <w:t>nous</w:t>
      </w:r>
      <w:r w:rsidRPr="002C4077">
        <w:t xml:space="preserve"> </w:t>
      </w:r>
      <w:r>
        <w:t>heurter</w:t>
      </w:r>
      <w:r w:rsidRPr="002C4077">
        <w:t xml:space="preserve"> </w:t>
      </w:r>
      <w:r>
        <w:t>à</w:t>
      </w:r>
      <w:r w:rsidRPr="002C4077">
        <w:t xml:space="preserve"> </w:t>
      </w:r>
      <w:r>
        <w:t>chaque</w:t>
      </w:r>
      <w:r w:rsidRPr="002C4077">
        <w:t xml:space="preserve"> </w:t>
      </w:r>
      <w:r>
        <w:t>pas</w:t>
      </w:r>
      <w:r w:rsidRPr="002C4077">
        <w:t xml:space="preserve"> </w:t>
      </w:r>
      <w:r>
        <w:t>et</w:t>
      </w:r>
      <w:r w:rsidRPr="002C4077">
        <w:t xml:space="preserve"> </w:t>
      </w:r>
      <w:r>
        <w:t>sans</w:t>
      </w:r>
      <w:r w:rsidRPr="002C4077">
        <w:t xml:space="preserve"> </w:t>
      </w:r>
      <w:r>
        <w:t>pouvoir</w:t>
      </w:r>
      <w:r w:rsidRPr="002C4077">
        <w:t xml:space="preserve"> </w:t>
      </w:r>
      <w:r>
        <w:t>nous</w:t>
      </w:r>
      <w:r w:rsidRPr="002C4077">
        <w:t xml:space="preserve"> </w:t>
      </w:r>
      <w:r>
        <w:t>convaincre</w:t>
      </w:r>
      <w:r w:rsidR="00B546AF">
        <w:t> ;</w:t>
      </w:r>
      <w:r w:rsidRPr="002C4077">
        <w:t xml:space="preserve"> </w:t>
      </w:r>
      <w:r>
        <w:t>mais</w:t>
      </w:r>
      <w:r w:rsidRPr="002C4077">
        <w:t xml:space="preserve"> </w:t>
      </w:r>
      <w:r>
        <w:t>aussi,</w:t>
      </w:r>
      <w:r w:rsidRPr="002C4077">
        <w:t xml:space="preserve"> </w:t>
      </w:r>
      <w:r>
        <w:t>si</w:t>
      </w:r>
      <w:r w:rsidRPr="002C4077">
        <w:t xml:space="preserve"> </w:t>
      </w:r>
      <w:r>
        <w:t>tout</w:t>
      </w:r>
      <w:r w:rsidRPr="002C4077">
        <w:t xml:space="preserve"> </w:t>
      </w:r>
      <w:r>
        <w:t>y</w:t>
      </w:r>
      <w:r w:rsidRPr="002C4077">
        <w:t xml:space="preserve"> </w:t>
      </w:r>
      <w:r>
        <w:t>était</w:t>
      </w:r>
      <w:r w:rsidRPr="002C4077">
        <w:t xml:space="preserve"> </w:t>
      </w:r>
      <w:r>
        <w:t>clair,</w:t>
      </w:r>
      <w:r w:rsidRPr="002C4077">
        <w:t xml:space="preserve"> </w:t>
      </w:r>
      <w:r>
        <w:t>nous</w:t>
      </w:r>
      <w:r w:rsidRPr="002C4077">
        <w:t xml:space="preserve"> </w:t>
      </w:r>
      <w:r>
        <w:t>croirions</w:t>
      </w:r>
      <w:r w:rsidRPr="002C4077">
        <w:t xml:space="preserve"> </w:t>
      </w:r>
      <w:r>
        <w:t>être</w:t>
      </w:r>
      <w:r w:rsidRPr="002C4077">
        <w:t xml:space="preserve"> </w:t>
      </w:r>
      <w:r>
        <w:t>dans</w:t>
      </w:r>
      <w:r w:rsidRPr="002C4077">
        <w:t xml:space="preserve"> </w:t>
      </w:r>
      <w:r>
        <w:t>la</w:t>
      </w:r>
      <w:r w:rsidRPr="002C4077">
        <w:t xml:space="preserve"> </w:t>
      </w:r>
      <w:r>
        <w:t>patrie</w:t>
      </w:r>
      <w:r w:rsidRPr="002C4077">
        <w:t xml:space="preserve"> </w:t>
      </w:r>
      <w:r>
        <w:t>et</w:t>
      </w:r>
      <w:r w:rsidRPr="002C4077">
        <w:t xml:space="preserve"> </w:t>
      </w:r>
      <w:r>
        <w:t>dans</w:t>
      </w:r>
      <w:r w:rsidRPr="002C4077">
        <w:t xml:space="preserve"> </w:t>
      </w:r>
      <w:r>
        <w:t>la</w:t>
      </w:r>
      <w:r w:rsidRPr="002C4077">
        <w:t xml:space="preserve"> </w:t>
      </w:r>
      <w:r>
        <w:t>pleine</w:t>
      </w:r>
      <w:r w:rsidRPr="002C4077">
        <w:t xml:space="preserve"> </w:t>
      </w:r>
      <w:r>
        <w:t>lumière</w:t>
      </w:r>
      <w:r w:rsidRPr="002C4077">
        <w:t xml:space="preserve"> </w:t>
      </w:r>
      <w:r>
        <w:t>de</w:t>
      </w:r>
      <w:r w:rsidRPr="002C4077">
        <w:t xml:space="preserve"> </w:t>
      </w:r>
      <w:r>
        <w:t>la</w:t>
      </w:r>
      <w:r w:rsidRPr="002C4077">
        <w:t xml:space="preserve"> </w:t>
      </w:r>
      <w:r>
        <w:t>vérité,</w:t>
      </w:r>
      <w:r w:rsidRPr="002C4077">
        <w:t xml:space="preserve"> </w:t>
      </w:r>
      <w:r>
        <w:t>sans</w:t>
      </w:r>
      <w:r w:rsidRPr="002C4077">
        <w:t xml:space="preserve"> </w:t>
      </w:r>
      <w:r>
        <w:t>connaître</w:t>
      </w:r>
      <w:r w:rsidRPr="002C4077">
        <w:t xml:space="preserve"> </w:t>
      </w:r>
      <w:r>
        <w:t>le</w:t>
      </w:r>
      <w:r w:rsidRPr="002C4077">
        <w:t xml:space="preserve"> </w:t>
      </w:r>
      <w:r>
        <w:t>besoin</w:t>
      </w:r>
      <w:r w:rsidRPr="002C4077">
        <w:t xml:space="preserve"> </w:t>
      </w:r>
      <w:r>
        <w:t>que</w:t>
      </w:r>
      <w:r w:rsidRPr="002C4077">
        <w:t xml:space="preserve"> </w:t>
      </w:r>
      <w:r>
        <w:t>nous</w:t>
      </w:r>
      <w:r w:rsidRPr="002C4077">
        <w:t xml:space="preserve"> </w:t>
      </w:r>
      <w:r>
        <w:t>avons</w:t>
      </w:r>
      <w:r w:rsidRPr="002C4077">
        <w:t xml:space="preserve"> </w:t>
      </w:r>
      <w:r>
        <w:t>d’être</w:t>
      </w:r>
      <w:r w:rsidRPr="002C4077">
        <w:t xml:space="preserve"> </w:t>
      </w:r>
      <w:r>
        <w:t>guidés,</w:t>
      </w:r>
      <w:r w:rsidRPr="002C4077">
        <w:t xml:space="preserve"> </w:t>
      </w:r>
      <w:r>
        <w:t>d’être</w:t>
      </w:r>
      <w:r w:rsidRPr="002C4077">
        <w:t xml:space="preserve"> </w:t>
      </w:r>
      <w:r>
        <w:t>instruits,</w:t>
      </w:r>
      <w:r w:rsidRPr="002C4077">
        <w:t xml:space="preserve"> </w:t>
      </w:r>
      <w:r>
        <w:t>d’être</w:t>
      </w:r>
      <w:r w:rsidRPr="002C4077">
        <w:t xml:space="preserve"> </w:t>
      </w:r>
      <w:r>
        <w:t>éclairés</w:t>
      </w:r>
      <w:r w:rsidRPr="002C4077">
        <w:t xml:space="preserve"> </w:t>
      </w:r>
      <w:r>
        <w:t>dans</w:t>
      </w:r>
      <w:r w:rsidRPr="002C4077">
        <w:t xml:space="preserve"> </w:t>
      </w:r>
      <w:r>
        <w:t>l’intérieur</w:t>
      </w:r>
      <w:r w:rsidRPr="002C4077">
        <w:t xml:space="preserve"> </w:t>
      </w:r>
      <w:r>
        <w:t>par</w:t>
      </w:r>
      <w:r w:rsidRPr="002C4077">
        <w:t xml:space="preserve"> </w:t>
      </w:r>
      <w:r>
        <w:t>le</w:t>
      </w:r>
      <w:r w:rsidRPr="002C4077">
        <w:t xml:space="preserve"> </w:t>
      </w:r>
      <w:r>
        <w:t>Saint-Esprit,</w:t>
      </w:r>
      <w:r w:rsidRPr="002C4077">
        <w:t xml:space="preserve"> </w:t>
      </w:r>
      <w:r>
        <w:t>et</w:t>
      </w:r>
      <w:r w:rsidRPr="002C4077">
        <w:t xml:space="preserve"> </w:t>
      </w:r>
      <w:r>
        <w:t>au</w:t>
      </w:r>
      <w:r w:rsidRPr="002C4077">
        <w:t xml:space="preserve"> </w:t>
      </w:r>
      <w:r>
        <w:t>dehors</w:t>
      </w:r>
      <w:r w:rsidRPr="002C4077">
        <w:t xml:space="preserve"> </w:t>
      </w:r>
      <w:r>
        <w:t>par</w:t>
      </w:r>
      <w:r w:rsidRPr="002C4077">
        <w:t xml:space="preserve"> </w:t>
      </w:r>
      <w:r>
        <w:t>l’autorité</w:t>
      </w:r>
      <w:r w:rsidRPr="002C4077">
        <w:t xml:space="preserve"> </w:t>
      </w:r>
      <w:r>
        <w:t>de</w:t>
      </w:r>
      <w:r w:rsidRPr="002C4077">
        <w:t xml:space="preserve"> </w:t>
      </w:r>
      <w:r>
        <w:t>l’Église.</w:t>
      </w:r>
      <w:r w:rsidRPr="002C4077">
        <w:t xml:space="preserve"> </w:t>
      </w:r>
      <w:r>
        <w:t>Je</w:t>
      </w:r>
      <w:r w:rsidRPr="002C4077">
        <w:t xml:space="preserve"> </w:t>
      </w:r>
      <w:r>
        <w:t>pourrais</w:t>
      </w:r>
      <w:r w:rsidRPr="002C4077">
        <w:t xml:space="preserve"> </w:t>
      </w:r>
      <w:r>
        <w:t>encore</w:t>
      </w:r>
      <w:r w:rsidRPr="002C4077">
        <w:t xml:space="preserve"> </w:t>
      </w:r>
      <w:r>
        <w:t>me</w:t>
      </w:r>
      <w:r w:rsidRPr="002C4077">
        <w:t xml:space="preserve"> </w:t>
      </w:r>
      <w:r>
        <w:t>jeter</w:t>
      </w:r>
      <w:r w:rsidRPr="002C4077">
        <w:t xml:space="preserve"> </w:t>
      </w:r>
      <w:r>
        <w:t>dans</w:t>
      </w:r>
      <w:r w:rsidRPr="002C4077">
        <w:t xml:space="preserve"> </w:t>
      </w:r>
      <w:r>
        <w:t>une</w:t>
      </w:r>
      <w:r w:rsidRPr="002C4077">
        <w:t xml:space="preserve"> </w:t>
      </w:r>
      <w:r>
        <w:t>plus</w:t>
      </w:r>
      <w:r w:rsidRPr="002C4077">
        <w:t xml:space="preserve"> </w:t>
      </w:r>
      <w:r>
        <w:t>haute</w:t>
      </w:r>
      <w:r w:rsidRPr="002C4077">
        <w:t xml:space="preserve"> </w:t>
      </w:r>
      <w:r>
        <w:t>contemplation</w:t>
      </w:r>
      <w:r w:rsidRPr="002C4077">
        <w:t xml:space="preserve"> </w:t>
      </w:r>
      <w:r>
        <w:t>sur</w:t>
      </w:r>
      <w:r w:rsidRPr="002C4077">
        <w:t xml:space="preserve"> </w:t>
      </w:r>
      <w:r>
        <w:t>le</w:t>
      </w:r>
      <w:r w:rsidRPr="002C4077">
        <w:t xml:space="preserve"> </w:t>
      </w:r>
      <w:r>
        <w:t>tissu</w:t>
      </w:r>
      <w:r w:rsidRPr="002C4077">
        <w:t xml:space="preserve"> </w:t>
      </w:r>
      <w:r>
        <w:t>des</w:t>
      </w:r>
      <w:r w:rsidRPr="002C4077">
        <w:t xml:space="preserve"> </w:t>
      </w:r>
      <w:r>
        <w:t>Écritures,</w:t>
      </w:r>
      <w:r w:rsidRPr="002C4077">
        <w:t xml:space="preserve"> </w:t>
      </w:r>
      <w:r>
        <w:t>que</w:t>
      </w:r>
      <w:r w:rsidRPr="002C4077">
        <w:t xml:space="preserve"> </w:t>
      </w:r>
      <w:r>
        <w:t>Dieu</w:t>
      </w:r>
      <w:r w:rsidRPr="002C4077">
        <w:t xml:space="preserve"> </w:t>
      </w:r>
      <w:r>
        <w:t>a</w:t>
      </w:r>
      <w:r w:rsidRPr="002C4077">
        <w:t xml:space="preserve"> </w:t>
      </w:r>
      <w:r>
        <w:t>voulu</w:t>
      </w:r>
      <w:r w:rsidRPr="002C4077">
        <w:t xml:space="preserve"> </w:t>
      </w:r>
      <w:r>
        <w:t>composer</w:t>
      </w:r>
      <w:r w:rsidRPr="002C4077">
        <w:t xml:space="preserve"> </w:t>
      </w:r>
      <w:r>
        <w:t>exprès</w:t>
      </w:r>
      <w:r w:rsidRPr="002C4077">
        <w:t xml:space="preserve"> </w:t>
      </w:r>
      <w:r>
        <w:t>d’obscurité</w:t>
      </w:r>
      <w:r w:rsidRPr="002C4077">
        <w:t xml:space="preserve"> </w:t>
      </w:r>
      <w:r>
        <w:t>et</w:t>
      </w:r>
      <w:r w:rsidRPr="002C4077">
        <w:t xml:space="preserve"> </w:t>
      </w:r>
      <w:r>
        <w:t>de</w:t>
      </w:r>
      <w:r w:rsidRPr="002C4077">
        <w:t xml:space="preserve"> </w:t>
      </w:r>
      <w:r>
        <w:t>lumière,</w:t>
      </w:r>
      <w:r w:rsidRPr="002C4077">
        <w:t xml:space="preserve"> </w:t>
      </w:r>
      <w:r>
        <w:t>afin,</w:t>
      </w:r>
      <w:r w:rsidRPr="002C4077">
        <w:t xml:space="preserve"> </w:t>
      </w:r>
      <w:r>
        <w:t>comme</w:t>
      </w:r>
      <w:r w:rsidRPr="002C4077">
        <w:t xml:space="preserve"> </w:t>
      </w:r>
      <w:r>
        <w:t>dit</w:t>
      </w:r>
      <w:r w:rsidRPr="002C4077">
        <w:t xml:space="preserve"> </w:t>
      </w:r>
      <w:r>
        <w:t>saint</w:t>
      </w:r>
      <w:r w:rsidRPr="002C4077">
        <w:t xml:space="preserve"> </w:t>
      </w:r>
      <w:r>
        <w:t>Augustin,</w:t>
      </w:r>
      <w:r w:rsidRPr="002C4077">
        <w:t xml:space="preserve"> </w:t>
      </w:r>
      <w:r>
        <w:t>de</w:t>
      </w:r>
      <w:r w:rsidRPr="002C4077">
        <w:t xml:space="preserve"> </w:t>
      </w:r>
      <w:r>
        <w:t>rassasier</w:t>
      </w:r>
      <w:r w:rsidRPr="002C4077">
        <w:t xml:space="preserve"> </w:t>
      </w:r>
      <w:r>
        <w:t>notre</w:t>
      </w:r>
      <w:r w:rsidRPr="002C4077">
        <w:t xml:space="preserve"> </w:t>
      </w:r>
      <w:r>
        <w:t>intelligence</w:t>
      </w:r>
      <w:r w:rsidRPr="002C4077">
        <w:t xml:space="preserve"> </w:t>
      </w:r>
      <w:r>
        <w:t>par</w:t>
      </w:r>
      <w:r w:rsidRPr="002C4077">
        <w:t xml:space="preserve"> </w:t>
      </w:r>
      <w:r>
        <w:t>la</w:t>
      </w:r>
      <w:r w:rsidRPr="002C4077">
        <w:t xml:space="preserve"> </w:t>
      </w:r>
      <w:r>
        <w:t>lumière</w:t>
      </w:r>
      <w:r w:rsidRPr="002C4077">
        <w:t xml:space="preserve"> </w:t>
      </w:r>
      <w:r>
        <w:t>manifeste,</w:t>
      </w:r>
      <w:r w:rsidRPr="002C4077">
        <w:t xml:space="preserve"> </w:t>
      </w:r>
      <w:r>
        <w:t>et</w:t>
      </w:r>
      <w:r w:rsidRPr="002C4077">
        <w:t xml:space="preserve"> </w:t>
      </w:r>
      <w:r>
        <w:t>de</w:t>
      </w:r>
      <w:r w:rsidRPr="002C4077">
        <w:t xml:space="preserve"> </w:t>
      </w:r>
      <w:r>
        <w:t>mettre</w:t>
      </w:r>
      <w:r w:rsidRPr="002C4077">
        <w:t xml:space="preserve"> </w:t>
      </w:r>
      <w:r>
        <w:t>notre</w:t>
      </w:r>
      <w:r w:rsidRPr="002C4077">
        <w:t xml:space="preserve"> </w:t>
      </w:r>
      <w:r>
        <w:t>foi</w:t>
      </w:r>
      <w:r w:rsidRPr="002C4077">
        <w:t xml:space="preserve"> </w:t>
      </w:r>
      <w:r>
        <w:t>à</w:t>
      </w:r>
      <w:r w:rsidRPr="002C4077">
        <w:t xml:space="preserve"> </w:t>
      </w:r>
      <w:r>
        <w:t>l’épreuve</w:t>
      </w:r>
      <w:r w:rsidRPr="002C4077">
        <w:t xml:space="preserve"> </w:t>
      </w:r>
      <w:r>
        <w:t>par</w:t>
      </w:r>
      <w:r w:rsidRPr="002C4077">
        <w:t xml:space="preserve"> </w:t>
      </w:r>
      <w:r>
        <w:t>les</w:t>
      </w:r>
      <w:r w:rsidRPr="002C4077">
        <w:t xml:space="preserve"> </w:t>
      </w:r>
      <w:r>
        <w:t>endroits</w:t>
      </w:r>
      <w:r w:rsidRPr="002C4077">
        <w:t xml:space="preserve"> </w:t>
      </w:r>
      <w:r>
        <w:t>obscurs.</w:t>
      </w:r>
      <w:r w:rsidR="00C45B47">
        <w:t xml:space="preserve"> {</w:t>
      </w:r>
      <w:r w:rsidR="000721C4">
        <w:t>90</w:t>
      </w:r>
      <w:bookmarkStart w:id="273" w:name="p090"/>
      <w:bookmarkEnd w:id="273"/>
      <w:r w:rsidR="000721C4">
        <w:t xml:space="preserve">} </w:t>
      </w:r>
      <w:r>
        <w:t>En</w:t>
      </w:r>
      <w:r w:rsidRPr="002C4077">
        <w:t xml:space="preserve"> </w:t>
      </w:r>
      <w:r>
        <w:t>un</w:t>
      </w:r>
      <w:r w:rsidRPr="002C4077">
        <w:t xml:space="preserve"> </w:t>
      </w:r>
      <w:r>
        <w:t>mot,</w:t>
      </w:r>
      <w:r w:rsidRPr="002C4077">
        <w:t xml:space="preserve"> </w:t>
      </w:r>
      <w:r>
        <w:t>il</w:t>
      </w:r>
      <w:r w:rsidRPr="002C4077">
        <w:t xml:space="preserve"> </w:t>
      </w:r>
      <w:r>
        <w:t>a</w:t>
      </w:r>
      <w:r w:rsidRPr="002C4077">
        <w:t xml:space="preserve"> </w:t>
      </w:r>
      <w:r>
        <w:t>voulu</w:t>
      </w:r>
      <w:r w:rsidRPr="002C4077">
        <w:t xml:space="preserve"> </w:t>
      </w:r>
      <w:r>
        <w:t>qu’on</w:t>
      </w:r>
      <w:r w:rsidRPr="002C4077">
        <w:t xml:space="preserve"> </w:t>
      </w:r>
      <w:r>
        <w:t>ait</w:t>
      </w:r>
      <w:r w:rsidRPr="002C4077">
        <w:t xml:space="preserve"> </w:t>
      </w:r>
      <w:r>
        <w:t>pu</w:t>
      </w:r>
      <w:r w:rsidRPr="002C4077">
        <w:t xml:space="preserve"> </w:t>
      </w:r>
      <w:r>
        <w:t>faire</w:t>
      </w:r>
      <w:r w:rsidRPr="002C4077">
        <w:t xml:space="preserve"> </w:t>
      </w:r>
      <w:r>
        <w:t>à</w:t>
      </w:r>
      <w:r w:rsidRPr="002C4077">
        <w:t xml:space="preserve"> </w:t>
      </w:r>
      <w:r>
        <w:t>l’Église</w:t>
      </w:r>
      <w:r w:rsidRPr="002C4077">
        <w:t xml:space="preserve"> </w:t>
      </w:r>
      <w:r>
        <w:t>de</w:t>
      </w:r>
      <w:r w:rsidRPr="002C4077">
        <w:t xml:space="preserve"> </w:t>
      </w:r>
      <w:r>
        <w:t>mauvais</w:t>
      </w:r>
      <w:r w:rsidRPr="002C4077">
        <w:t xml:space="preserve"> </w:t>
      </w:r>
      <w:r>
        <w:t>procès,</w:t>
      </w:r>
      <w:r w:rsidRPr="002C4077">
        <w:t xml:space="preserve"> </w:t>
      </w:r>
      <w:r>
        <w:t>mais</w:t>
      </w:r>
      <w:r w:rsidRPr="002C4077">
        <w:t xml:space="preserve"> </w:t>
      </w:r>
      <w:r>
        <w:t>il</w:t>
      </w:r>
      <w:r w:rsidRPr="002C4077">
        <w:t xml:space="preserve"> </w:t>
      </w:r>
      <w:r>
        <w:t>a</w:t>
      </w:r>
      <w:r w:rsidRPr="002C4077">
        <w:t xml:space="preserve"> </w:t>
      </w:r>
      <w:r>
        <w:t>voulu</w:t>
      </w:r>
      <w:r w:rsidRPr="002C4077">
        <w:t xml:space="preserve"> </w:t>
      </w:r>
      <w:r>
        <w:t>aussi</w:t>
      </w:r>
      <w:r w:rsidRPr="002C4077">
        <w:t xml:space="preserve"> </w:t>
      </w:r>
      <w:r>
        <w:t>que</w:t>
      </w:r>
      <w:r w:rsidRPr="002C4077">
        <w:t xml:space="preserve"> </w:t>
      </w:r>
      <w:r>
        <w:t>les</w:t>
      </w:r>
      <w:r w:rsidRPr="002C4077">
        <w:t xml:space="preserve"> </w:t>
      </w:r>
      <w:r>
        <w:t>humbles</w:t>
      </w:r>
      <w:r w:rsidRPr="002C4077">
        <w:t xml:space="preserve"> </w:t>
      </w:r>
      <w:r>
        <w:t>enfants</w:t>
      </w:r>
      <w:r w:rsidRPr="002C4077">
        <w:t xml:space="preserve"> </w:t>
      </w:r>
      <w:r>
        <w:t>de</w:t>
      </w:r>
      <w:r w:rsidRPr="002C4077">
        <w:t xml:space="preserve"> </w:t>
      </w:r>
      <w:r>
        <w:t>l’Église</w:t>
      </w:r>
      <w:r w:rsidRPr="002C4077">
        <w:t xml:space="preserve"> </w:t>
      </w:r>
      <w:r>
        <w:t>y</w:t>
      </w:r>
      <w:r w:rsidRPr="002C4077">
        <w:t xml:space="preserve"> </w:t>
      </w:r>
      <w:r>
        <w:t>pussent</w:t>
      </w:r>
      <w:r w:rsidRPr="002C4077">
        <w:t xml:space="preserve"> </w:t>
      </w:r>
      <w:r>
        <w:t>assez</w:t>
      </w:r>
      <w:r w:rsidRPr="002C4077">
        <w:t xml:space="preserve"> </w:t>
      </w:r>
      <w:r>
        <w:t>aisément</w:t>
      </w:r>
      <w:r w:rsidRPr="002C4077">
        <w:t xml:space="preserve"> </w:t>
      </w:r>
      <w:r>
        <w:t>trouver</w:t>
      </w:r>
      <w:r w:rsidRPr="002C4077">
        <w:t xml:space="preserve"> </w:t>
      </w:r>
      <w:r>
        <w:t>des</w:t>
      </w:r>
      <w:r w:rsidRPr="002C4077">
        <w:t xml:space="preserve"> </w:t>
      </w:r>
      <w:r>
        <w:t>principes</w:t>
      </w:r>
      <w:r w:rsidRPr="002C4077">
        <w:t xml:space="preserve"> </w:t>
      </w:r>
      <w:r>
        <w:t>pour</w:t>
      </w:r>
      <w:r w:rsidRPr="002C4077">
        <w:t xml:space="preserve"> </w:t>
      </w:r>
      <w:r>
        <w:t>les</w:t>
      </w:r>
      <w:r w:rsidRPr="002C4077">
        <w:t xml:space="preserve"> </w:t>
      </w:r>
      <w:r>
        <w:t>décider</w:t>
      </w:r>
      <w:r w:rsidR="00B546AF">
        <w:t> ;</w:t>
      </w:r>
      <w:r w:rsidRPr="002C4077">
        <w:t xml:space="preserve"> </w:t>
      </w:r>
      <w:r>
        <w:t>et</w:t>
      </w:r>
      <w:r w:rsidRPr="002C4077">
        <w:t xml:space="preserve"> </w:t>
      </w:r>
      <w:r>
        <w:t>s’il</w:t>
      </w:r>
      <w:r w:rsidRPr="002C4077">
        <w:t xml:space="preserve"> </w:t>
      </w:r>
      <w:r>
        <w:t>reste,</w:t>
      </w:r>
      <w:r w:rsidRPr="002C4077">
        <w:t xml:space="preserve"> </w:t>
      </w:r>
      <w:r>
        <w:t>comme</w:t>
      </w:r>
      <w:r w:rsidRPr="002C4077">
        <w:t xml:space="preserve"> </w:t>
      </w:r>
      <w:r>
        <w:t>il</w:t>
      </w:r>
      <w:r w:rsidRPr="002C4077">
        <w:t xml:space="preserve"> </w:t>
      </w:r>
      <w:r>
        <w:t>en</w:t>
      </w:r>
      <w:r w:rsidRPr="002C4077">
        <w:t xml:space="preserve"> </w:t>
      </w:r>
      <w:r>
        <w:t>reste</w:t>
      </w:r>
      <w:r w:rsidRPr="002C4077">
        <w:t xml:space="preserve"> </w:t>
      </w:r>
      <w:r>
        <w:t>beaucoup,</w:t>
      </w:r>
      <w:r w:rsidRPr="002C4077">
        <w:t xml:space="preserve"> </w:t>
      </w:r>
      <w:r>
        <w:t>des</w:t>
      </w:r>
      <w:r w:rsidRPr="002C4077">
        <w:t xml:space="preserve"> </w:t>
      </w:r>
      <w:r>
        <w:t>endroits</w:t>
      </w:r>
      <w:r w:rsidRPr="002C4077">
        <w:t xml:space="preserve"> </w:t>
      </w:r>
      <w:r>
        <w:t>impénétrables,</w:t>
      </w:r>
      <w:r w:rsidRPr="002C4077">
        <w:t xml:space="preserve"> </w:t>
      </w:r>
      <w:r>
        <w:t>le</w:t>
      </w:r>
      <w:r w:rsidRPr="002C4077">
        <w:t xml:space="preserve"> </w:t>
      </w:r>
      <w:r>
        <w:t>même</w:t>
      </w:r>
      <w:r w:rsidRPr="002C4077">
        <w:t xml:space="preserve"> </w:t>
      </w:r>
      <w:r>
        <w:t>saint</w:t>
      </w:r>
      <w:r w:rsidRPr="002C4077">
        <w:t xml:space="preserve"> </w:t>
      </w:r>
      <w:r>
        <w:t>Augustin</w:t>
      </w:r>
      <w:r w:rsidRPr="002C4077">
        <w:t xml:space="preserve"> </w:t>
      </w:r>
      <w:r>
        <w:t>nous</w:t>
      </w:r>
      <w:r w:rsidRPr="002C4077">
        <w:t xml:space="preserve"> </w:t>
      </w:r>
      <w:r>
        <w:t>console,</w:t>
      </w:r>
      <w:r w:rsidRPr="002C4077">
        <w:t xml:space="preserve"> </w:t>
      </w:r>
      <w:r>
        <w:t>en</w:t>
      </w:r>
      <w:r w:rsidRPr="002C4077">
        <w:t xml:space="preserve"> </w:t>
      </w:r>
      <w:r>
        <w:t>disant</w:t>
      </w:r>
      <w:r w:rsidRPr="002C4077">
        <w:t xml:space="preserve"> </w:t>
      </w:r>
      <w:r>
        <w:t>que,</w:t>
      </w:r>
      <w:r w:rsidRPr="002C4077">
        <w:t xml:space="preserve"> </w:t>
      </w:r>
      <w:r>
        <w:t>soit</w:t>
      </w:r>
      <w:r w:rsidRPr="002C4077">
        <w:t xml:space="preserve"> </w:t>
      </w:r>
      <w:r>
        <w:t>dans</w:t>
      </w:r>
      <w:r w:rsidRPr="002C4077">
        <w:t xml:space="preserve"> </w:t>
      </w:r>
      <w:r>
        <w:t>les</w:t>
      </w:r>
      <w:r w:rsidRPr="002C4077">
        <w:t xml:space="preserve"> </w:t>
      </w:r>
      <w:r>
        <w:t>lieux</w:t>
      </w:r>
      <w:r w:rsidRPr="002C4077">
        <w:t xml:space="preserve"> </w:t>
      </w:r>
      <w:r>
        <w:t>obscurs,</w:t>
      </w:r>
      <w:r w:rsidRPr="002C4077">
        <w:t xml:space="preserve"> </w:t>
      </w:r>
      <w:r>
        <w:t>soit</w:t>
      </w:r>
      <w:r w:rsidRPr="002C4077">
        <w:t xml:space="preserve"> </w:t>
      </w:r>
      <w:r>
        <w:t>dans</w:t>
      </w:r>
      <w:r w:rsidRPr="002C4077">
        <w:t xml:space="preserve"> </w:t>
      </w:r>
      <w:r>
        <w:t>les</w:t>
      </w:r>
      <w:r w:rsidRPr="002C4077">
        <w:t xml:space="preserve"> </w:t>
      </w:r>
      <w:r>
        <w:t>lieux</w:t>
      </w:r>
      <w:r w:rsidRPr="002C4077">
        <w:t xml:space="preserve"> </w:t>
      </w:r>
      <w:r>
        <w:t>clairs,</w:t>
      </w:r>
      <w:r w:rsidRPr="002C4077">
        <w:t xml:space="preserve"> </w:t>
      </w:r>
      <w:r>
        <w:t>l’Écriture</w:t>
      </w:r>
      <w:r w:rsidRPr="002C4077">
        <w:t xml:space="preserve"> </w:t>
      </w:r>
      <w:r>
        <w:t>contient</w:t>
      </w:r>
      <w:r w:rsidRPr="002C4077">
        <w:t xml:space="preserve"> </w:t>
      </w:r>
      <w:r>
        <w:t>toujours</w:t>
      </w:r>
      <w:r w:rsidRPr="002C4077">
        <w:t xml:space="preserve"> </w:t>
      </w:r>
      <w:r>
        <w:t>les</w:t>
      </w:r>
      <w:r w:rsidRPr="002C4077">
        <w:t xml:space="preserve"> </w:t>
      </w:r>
      <w:r>
        <w:t>mêmes</w:t>
      </w:r>
      <w:r w:rsidRPr="002C4077">
        <w:t xml:space="preserve"> </w:t>
      </w:r>
      <w:r>
        <w:t>vérités,</w:t>
      </w:r>
      <w:r w:rsidRPr="002C4077">
        <w:t xml:space="preserve"> </w:t>
      </w:r>
      <w:r>
        <w:t>qu’on</w:t>
      </w:r>
      <w:r w:rsidRPr="002C4077">
        <w:t xml:space="preserve"> </w:t>
      </w:r>
      <w:r w:rsidR="00425C50">
        <w:t>est</w:t>
      </w:r>
      <w:r w:rsidRPr="002C4077">
        <w:t xml:space="preserve"> </w:t>
      </w:r>
      <w:r>
        <w:t>bien</w:t>
      </w:r>
      <w:r w:rsidRPr="002C4077">
        <w:t xml:space="preserve"> </w:t>
      </w:r>
      <w:r>
        <w:t>aise</w:t>
      </w:r>
      <w:r w:rsidRPr="002C4077">
        <w:t xml:space="preserve"> </w:t>
      </w:r>
      <w:r>
        <w:t>d’avoir</w:t>
      </w:r>
      <w:r w:rsidRPr="002C4077">
        <w:t xml:space="preserve"> </w:t>
      </w:r>
      <w:r>
        <w:t>à</w:t>
      </w:r>
      <w:r w:rsidRPr="002C4077">
        <w:t xml:space="preserve"> </w:t>
      </w:r>
      <w:r>
        <w:t>chercher</w:t>
      </w:r>
      <w:r w:rsidRPr="002C4077">
        <w:t xml:space="preserve"> </w:t>
      </w:r>
      <w:r>
        <w:t>pour</w:t>
      </w:r>
      <w:r w:rsidRPr="002C4077">
        <w:t xml:space="preserve"> </w:t>
      </w:r>
      <w:r>
        <w:t>mieux</w:t>
      </w:r>
      <w:r w:rsidRPr="002C4077">
        <w:t xml:space="preserve"> </w:t>
      </w:r>
      <w:r>
        <w:t>les</w:t>
      </w:r>
      <w:r w:rsidRPr="002C4077">
        <w:t xml:space="preserve"> </w:t>
      </w:r>
      <w:r>
        <w:t>goûter</w:t>
      </w:r>
      <w:r w:rsidRPr="002C4077">
        <w:t xml:space="preserve"> </w:t>
      </w:r>
      <w:r>
        <w:t>quand</w:t>
      </w:r>
      <w:r w:rsidRPr="002C4077">
        <w:t xml:space="preserve"> </w:t>
      </w:r>
      <w:r>
        <w:t>on</w:t>
      </w:r>
      <w:r w:rsidRPr="002C4077">
        <w:t xml:space="preserve"> </w:t>
      </w:r>
      <w:r>
        <w:t>les</w:t>
      </w:r>
      <w:r w:rsidRPr="002C4077">
        <w:t xml:space="preserve"> </w:t>
      </w:r>
      <w:r>
        <w:t>trouve…</w:t>
      </w:r>
      <w:r w:rsidRPr="002C4077">
        <w:t xml:space="preserve"> </w:t>
      </w:r>
      <w:r>
        <w:t>Marchons</w:t>
      </w:r>
      <w:r w:rsidRPr="002C4077">
        <w:t xml:space="preserve"> </w:t>
      </w:r>
      <w:r>
        <w:t>donc</w:t>
      </w:r>
      <w:r w:rsidRPr="002C4077">
        <w:t xml:space="preserve"> </w:t>
      </w:r>
      <w:r>
        <w:t>dans</w:t>
      </w:r>
      <w:r w:rsidRPr="002C4077">
        <w:t xml:space="preserve"> </w:t>
      </w:r>
      <w:r>
        <w:t>les</w:t>
      </w:r>
      <w:r w:rsidRPr="002C4077">
        <w:t xml:space="preserve"> </w:t>
      </w:r>
      <w:r>
        <w:t>Écritures</w:t>
      </w:r>
      <w:r w:rsidRPr="002C4077">
        <w:t xml:space="preserve"> </w:t>
      </w:r>
      <w:r>
        <w:t>en</w:t>
      </w:r>
      <w:r w:rsidRPr="002C4077">
        <w:t xml:space="preserve"> </w:t>
      </w:r>
      <w:r>
        <w:t>toute</w:t>
      </w:r>
      <w:r w:rsidRPr="002C4077">
        <w:t xml:space="preserve"> </w:t>
      </w:r>
      <w:r>
        <w:t>humilité</w:t>
      </w:r>
      <w:r w:rsidRPr="002C4077">
        <w:t xml:space="preserve"> </w:t>
      </w:r>
      <w:r>
        <w:t>et</w:t>
      </w:r>
      <w:r w:rsidRPr="002C4077">
        <w:t xml:space="preserve"> </w:t>
      </w:r>
      <w:r>
        <w:t>tremblement</w:t>
      </w:r>
      <w:r w:rsidR="00B546AF">
        <w:t> ;</w:t>
      </w:r>
      <w:r w:rsidRPr="002C4077">
        <w:t xml:space="preserve"> </w:t>
      </w:r>
      <w:r>
        <w:t>et</w:t>
      </w:r>
      <w:r w:rsidRPr="002C4077">
        <w:t xml:space="preserve"> </w:t>
      </w:r>
      <w:r>
        <w:t>pour</w:t>
      </w:r>
      <w:r w:rsidRPr="002C4077">
        <w:t xml:space="preserve"> </w:t>
      </w:r>
      <w:r>
        <w:t>ne</w:t>
      </w:r>
      <w:r w:rsidRPr="002C4077">
        <w:t xml:space="preserve"> </w:t>
      </w:r>
      <w:r>
        <w:t>chopper</w:t>
      </w:r>
      <w:r w:rsidRPr="002C4077">
        <w:t xml:space="preserve"> </w:t>
      </w:r>
      <w:r>
        <w:t>jamais,</w:t>
      </w:r>
      <w:r w:rsidRPr="002C4077">
        <w:t xml:space="preserve"> </w:t>
      </w:r>
      <w:r>
        <w:t>ne</w:t>
      </w:r>
      <w:r w:rsidRPr="002C4077">
        <w:t xml:space="preserve"> </w:t>
      </w:r>
      <w:r>
        <w:t>soyons</w:t>
      </w:r>
      <w:r w:rsidRPr="002C4077">
        <w:t xml:space="preserve"> </w:t>
      </w:r>
      <w:r>
        <w:t>pas</w:t>
      </w:r>
      <w:r w:rsidRPr="002C4077">
        <w:t xml:space="preserve"> </w:t>
      </w:r>
      <w:r>
        <w:t>plus</w:t>
      </w:r>
      <w:r w:rsidRPr="002C4077">
        <w:t xml:space="preserve"> </w:t>
      </w:r>
      <w:r>
        <w:t>sages</w:t>
      </w:r>
      <w:r w:rsidRPr="002C4077">
        <w:t xml:space="preserve"> </w:t>
      </w:r>
      <w:r>
        <w:t>ni</w:t>
      </w:r>
      <w:r w:rsidRPr="002C4077">
        <w:t xml:space="preserve"> </w:t>
      </w:r>
      <w:r>
        <w:t>plus</w:t>
      </w:r>
      <w:r w:rsidRPr="002C4077">
        <w:t xml:space="preserve"> </w:t>
      </w:r>
      <w:r>
        <w:t>savants</w:t>
      </w:r>
      <w:r w:rsidRPr="002C4077">
        <w:t xml:space="preserve"> </w:t>
      </w:r>
      <w:r>
        <w:t>qu’il</w:t>
      </w:r>
      <w:r w:rsidRPr="002C4077">
        <w:t xml:space="preserve"> </w:t>
      </w:r>
      <w:r>
        <w:t>ne</w:t>
      </w:r>
      <w:r w:rsidRPr="002C4077">
        <w:t xml:space="preserve"> </w:t>
      </w:r>
      <w:r>
        <w:t>le</w:t>
      </w:r>
      <w:r w:rsidRPr="002C4077">
        <w:t xml:space="preserve"> </w:t>
      </w:r>
      <w:r>
        <w:t>faut</w:t>
      </w:r>
      <w:r w:rsidR="00B546AF">
        <w:t> ;</w:t>
      </w:r>
      <w:r w:rsidRPr="002C4077">
        <w:t xml:space="preserve"> </w:t>
      </w:r>
      <w:r>
        <w:t>mais</w:t>
      </w:r>
      <w:r w:rsidRPr="002C4077">
        <w:t xml:space="preserve"> </w:t>
      </w:r>
      <w:r>
        <w:t>tenons-nous</w:t>
      </w:r>
      <w:r w:rsidRPr="002C4077">
        <w:t xml:space="preserve"> </w:t>
      </w:r>
      <w:r>
        <w:t>chacun</w:t>
      </w:r>
      <w:r w:rsidRPr="002C4077">
        <w:t xml:space="preserve"> </w:t>
      </w:r>
      <w:r>
        <w:t>renfermé</w:t>
      </w:r>
      <w:r w:rsidRPr="002C4077">
        <w:t xml:space="preserve"> </w:t>
      </w:r>
      <w:r>
        <w:t>dans</w:t>
      </w:r>
      <w:r w:rsidRPr="002C4077">
        <w:t xml:space="preserve"> </w:t>
      </w:r>
      <w:r>
        <w:t>les</w:t>
      </w:r>
      <w:r w:rsidRPr="002C4077">
        <w:t xml:space="preserve"> </w:t>
      </w:r>
      <w:r>
        <w:t>bornes</w:t>
      </w:r>
      <w:r w:rsidRPr="002C4077">
        <w:t xml:space="preserve"> </w:t>
      </w:r>
      <w:r>
        <w:t>qui</w:t>
      </w:r>
      <w:r w:rsidRPr="002C4077">
        <w:t xml:space="preserve"> </w:t>
      </w:r>
      <w:r>
        <w:t>nous</w:t>
      </w:r>
      <w:r w:rsidRPr="002C4077">
        <w:t xml:space="preserve"> </w:t>
      </w:r>
      <w:r>
        <w:t>sont</w:t>
      </w:r>
      <w:r w:rsidRPr="002C4077">
        <w:t xml:space="preserve"> </w:t>
      </w:r>
      <w:r>
        <w:t>données</w:t>
      </w:r>
      <w:r w:rsidR="00B546AF">
        <w:t> »</w:t>
      </w:r>
      <w:r>
        <w:t>.</w:t>
      </w:r>
      <w:r w:rsidRPr="002C4077">
        <w:t xml:space="preserve"> </w:t>
      </w:r>
    </w:p>
    <w:p w:rsidR="000A7AAB" w:rsidRDefault="000A7AAB" w:rsidP="000A7AAB">
      <w:r>
        <w:t>Magnifiques</w:t>
      </w:r>
      <w:r w:rsidRPr="002C4077">
        <w:t xml:space="preserve"> </w:t>
      </w:r>
      <w:r>
        <w:t>paroles,</w:t>
      </w:r>
      <w:r w:rsidRPr="002C4077">
        <w:t xml:space="preserve"> </w:t>
      </w:r>
      <w:r>
        <w:t>qui</w:t>
      </w:r>
      <w:r w:rsidRPr="002C4077">
        <w:t xml:space="preserve"> </w:t>
      </w:r>
      <w:r>
        <w:t>avaient</w:t>
      </w:r>
      <w:r w:rsidRPr="002C4077">
        <w:t xml:space="preserve"> </w:t>
      </w:r>
      <w:r>
        <w:t>ici</w:t>
      </w:r>
      <w:r w:rsidRPr="002C4077">
        <w:t xml:space="preserve"> </w:t>
      </w:r>
      <w:r>
        <w:t>leur</w:t>
      </w:r>
      <w:r w:rsidRPr="002C4077">
        <w:t xml:space="preserve"> </w:t>
      </w:r>
      <w:r>
        <w:t>place</w:t>
      </w:r>
      <w:r w:rsidRPr="002C4077">
        <w:t xml:space="preserve"> </w:t>
      </w:r>
      <w:r>
        <w:t>toute</w:t>
      </w:r>
      <w:r w:rsidRPr="002C4077">
        <w:t xml:space="preserve"> </w:t>
      </w:r>
      <w:r>
        <w:t>marquée.</w:t>
      </w:r>
      <w:r w:rsidRPr="002C4077">
        <w:t xml:space="preserve"> </w:t>
      </w:r>
      <w:r>
        <w:t>Néanmoins,</w:t>
      </w:r>
      <w:r w:rsidRPr="002C4077">
        <w:t xml:space="preserve"> </w:t>
      </w:r>
      <w:r>
        <w:t>comme</w:t>
      </w:r>
      <w:r w:rsidRPr="002C4077">
        <w:t xml:space="preserve"> </w:t>
      </w:r>
      <w:r>
        <w:t>il</w:t>
      </w:r>
      <w:r w:rsidRPr="002C4077">
        <w:t xml:space="preserve"> </w:t>
      </w:r>
      <w:r w:rsidR="00425C50">
        <w:t>est</w:t>
      </w:r>
      <w:r w:rsidRPr="002C4077">
        <w:t xml:space="preserve"> </w:t>
      </w:r>
      <w:r>
        <w:t>nécessaire</w:t>
      </w:r>
      <w:r w:rsidRPr="002C4077">
        <w:t xml:space="preserve"> </w:t>
      </w:r>
      <w:r>
        <w:t>d’avoir</w:t>
      </w:r>
      <w:r w:rsidRPr="002C4077">
        <w:t xml:space="preserve"> </w:t>
      </w:r>
      <w:r>
        <w:t>la</w:t>
      </w:r>
      <w:r w:rsidRPr="002C4077">
        <w:t xml:space="preserve"> </w:t>
      </w:r>
      <w:r>
        <w:t>foi</w:t>
      </w:r>
      <w:r w:rsidRPr="002C4077">
        <w:t xml:space="preserve"> </w:t>
      </w:r>
      <w:r>
        <w:t>pour</w:t>
      </w:r>
      <w:r w:rsidRPr="002C4077">
        <w:t xml:space="preserve"> </w:t>
      </w:r>
      <w:r>
        <w:t>les</w:t>
      </w:r>
      <w:r w:rsidRPr="002C4077">
        <w:t xml:space="preserve"> </w:t>
      </w:r>
      <w:r>
        <w:t>comprendre,</w:t>
      </w:r>
      <w:r w:rsidRPr="002C4077">
        <w:t xml:space="preserve"> </w:t>
      </w:r>
      <w:r>
        <w:t>nous</w:t>
      </w:r>
      <w:r w:rsidRPr="002C4077">
        <w:t xml:space="preserve"> </w:t>
      </w:r>
      <w:r>
        <w:t>ne</w:t>
      </w:r>
      <w:r w:rsidRPr="002C4077">
        <w:t xml:space="preserve"> </w:t>
      </w:r>
      <w:r>
        <w:t>les</w:t>
      </w:r>
      <w:r w:rsidRPr="002C4077">
        <w:t xml:space="preserve"> </w:t>
      </w:r>
      <w:r>
        <w:t>adressons</w:t>
      </w:r>
      <w:r w:rsidRPr="002C4077">
        <w:t xml:space="preserve"> </w:t>
      </w:r>
      <w:r>
        <w:t>pas</w:t>
      </w:r>
      <w:r w:rsidRPr="002C4077">
        <w:t xml:space="preserve"> </w:t>
      </w:r>
      <w:r>
        <w:t>indistinctement</w:t>
      </w:r>
      <w:r w:rsidRPr="002C4077">
        <w:t xml:space="preserve"> </w:t>
      </w:r>
      <w:r>
        <w:t>à</w:t>
      </w:r>
      <w:r w:rsidRPr="002C4077">
        <w:t xml:space="preserve"> </w:t>
      </w:r>
      <w:r>
        <w:t>tout</w:t>
      </w:r>
      <w:r w:rsidRPr="002C4077">
        <w:t xml:space="preserve"> </w:t>
      </w:r>
      <w:r>
        <w:t>le</w:t>
      </w:r>
      <w:r w:rsidRPr="002C4077">
        <w:t xml:space="preserve"> </w:t>
      </w:r>
      <w:r>
        <w:t>monde.</w:t>
      </w:r>
      <w:r w:rsidRPr="002C4077">
        <w:t xml:space="preserve"> </w:t>
      </w:r>
      <w:r>
        <w:t>Grâce</w:t>
      </w:r>
      <w:r w:rsidRPr="002C4077">
        <w:t xml:space="preserve"> </w:t>
      </w:r>
      <w:r>
        <w:t>à</w:t>
      </w:r>
      <w:r w:rsidRPr="002C4077">
        <w:t xml:space="preserve"> </w:t>
      </w:r>
      <w:r>
        <w:t>Dieu,</w:t>
      </w:r>
      <w:r w:rsidRPr="002C4077">
        <w:t xml:space="preserve"> </w:t>
      </w:r>
      <w:r>
        <w:t>nous</w:t>
      </w:r>
      <w:r w:rsidRPr="002C4077">
        <w:t xml:space="preserve"> </w:t>
      </w:r>
      <w:r>
        <w:t>ne</w:t>
      </w:r>
      <w:r w:rsidRPr="002C4077">
        <w:t xml:space="preserve"> </w:t>
      </w:r>
      <w:r>
        <w:t>manquons</w:t>
      </w:r>
      <w:r w:rsidRPr="002C4077">
        <w:t xml:space="preserve"> </w:t>
      </w:r>
      <w:r>
        <w:t>pas</w:t>
      </w:r>
      <w:r w:rsidRPr="002C4077">
        <w:t xml:space="preserve"> </w:t>
      </w:r>
      <w:r>
        <w:t>d’arguments</w:t>
      </w:r>
      <w:r w:rsidRPr="002C4077">
        <w:t xml:space="preserve"> </w:t>
      </w:r>
      <w:r>
        <w:t>pour</w:t>
      </w:r>
      <w:r w:rsidRPr="002C4077">
        <w:t xml:space="preserve"> </w:t>
      </w:r>
      <w:r>
        <w:t>ceux</w:t>
      </w:r>
      <w:r w:rsidRPr="002C4077">
        <w:t xml:space="preserve"> </w:t>
      </w:r>
      <w:r>
        <w:t>qui</w:t>
      </w:r>
      <w:r w:rsidRPr="002C4077">
        <w:t xml:space="preserve"> </w:t>
      </w:r>
      <w:r>
        <w:t>font</w:t>
      </w:r>
      <w:r w:rsidRPr="002C4077">
        <w:t xml:space="preserve"> </w:t>
      </w:r>
      <w:r>
        <w:t>si</w:t>
      </w:r>
      <w:r w:rsidRPr="002C4077">
        <w:t xml:space="preserve"> </w:t>
      </w:r>
      <w:r>
        <w:t>volontiers</w:t>
      </w:r>
      <w:r w:rsidRPr="002C4077">
        <w:t xml:space="preserve"> </w:t>
      </w:r>
      <w:r w:rsidR="00B546AF">
        <w:t>« </w:t>
      </w:r>
      <w:r>
        <w:t>de</w:t>
      </w:r>
      <w:r w:rsidRPr="002C4077">
        <w:t xml:space="preserve"> </w:t>
      </w:r>
      <w:r>
        <w:t>mauvais</w:t>
      </w:r>
      <w:r w:rsidRPr="002C4077">
        <w:t xml:space="preserve"> </w:t>
      </w:r>
      <w:r>
        <w:t>procès</w:t>
      </w:r>
      <w:r w:rsidR="00B546AF">
        <w:t> »</w:t>
      </w:r>
      <w:r w:rsidRPr="002C4077">
        <w:t xml:space="preserve"> </w:t>
      </w:r>
      <w:r>
        <w:t>à</w:t>
      </w:r>
      <w:r w:rsidRPr="002C4077">
        <w:t xml:space="preserve"> </w:t>
      </w:r>
      <w:r>
        <w:t>la</w:t>
      </w:r>
      <w:r w:rsidRPr="002C4077">
        <w:t xml:space="preserve"> </w:t>
      </w:r>
      <w:r>
        <w:t>Bible.</w:t>
      </w:r>
      <w:r w:rsidRPr="002C4077">
        <w:t xml:space="preserve"> </w:t>
      </w:r>
    </w:p>
    <w:p w:rsidR="000A7AAB" w:rsidRDefault="000A7AAB" w:rsidP="000A7AAB">
      <w:r>
        <w:t>Nous</w:t>
      </w:r>
      <w:bookmarkStart w:id="274" w:name="z_Achaz_o7"/>
      <w:bookmarkEnd w:id="274"/>
      <w:r w:rsidRPr="002C4077">
        <w:t xml:space="preserve"> </w:t>
      </w:r>
      <w:r>
        <w:t>allons</w:t>
      </w:r>
      <w:r w:rsidRPr="002C4077">
        <w:t xml:space="preserve"> </w:t>
      </w:r>
      <w:r>
        <w:t>nous</w:t>
      </w:r>
      <w:r w:rsidRPr="002C4077">
        <w:t xml:space="preserve"> </w:t>
      </w:r>
      <w:r>
        <w:t>placer</w:t>
      </w:r>
      <w:r w:rsidRPr="002C4077">
        <w:t xml:space="preserve"> </w:t>
      </w:r>
      <w:r>
        <w:t>au</w:t>
      </w:r>
      <w:r w:rsidRPr="002C4077">
        <w:t xml:space="preserve"> </w:t>
      </w:r>
      <w:r>
        <w:t>triple</w:t>
      </w:r>
      <w:r w:rsidRPr="002C4077">
        <w:t xml:space="preserve"> </w:t>
      </w:r>
      <w:r>
        <w:t>point</w:t>
      </w:r>
      <w:r w:rsidRPr="002C4077">
        <w:t xml:space="preserve"> </w:t>
      </w:r>
      <w:r>
        <w:t>de</w:t>
      </w:r>
      <w:r w:rsidRPr="002C4077">
        <w:t xml:space="preserve"> </w:t>
      </w:r>
      <w:r>
        <w:t>vue</w:t>
      </w:r>
      <w:r w:rsidRPr="002C4077">
        <w:t xml:space="preserve"> </w:t>
      </w:r>
      <w:r>
        <w:t>d’Achaz,</w:t>
      </w:r>
      <w:r w:rsidRPr="002C4077">
        <w:t xml:space="preserve"> </w:t>
      </w:r>
      <w:r>
        <w:t>des</w:t>
      </w:r>
      <w:r w:rsidRPr="002C4077">
        <w:t xml:space="preserve"> </w:t>
      </w:r>
      <w:r>
        <w:t>Juifs</w:t>
      </w:r>
      <w:r w:rsidRPr="002C4077">
        <w:t xml:space="preserve"> </w:t>
      </w:r>
      <w:r>
        <w:t>contemporains,</w:t>
      </w:r>
      <w:r w:rsidRPr="002C4077">
        <w:t xml:space="preserve"> </w:t>
      </w:r>
      <w:r>
        <w:t>d’Isaïe</w:t>
      </w:r>
      <w:r w:rsidRPr="002C4077">
        <w:t xml:space="preserve"> </w:t>
      </w:r>
      <w:r>
        <w:t>lui-même,</w:t>
      </w:r>
      <w:r w:rsidRPr="002C4077">
        <w:t xml:space="preserve"> </w:t>
      </w:r>
      <w:r>
        <w:t>afin</w:t>
      </w:r>
      <w:r w:rsidRPr="002C4077">
        <w:t xml:space="preserve"> </w:t>
      </w:r>
      <w:r>
        <w:t>de</w:t>
      </w:r>
      <w:r w:rsidRPr="002C4077">
        <w:t xml:space="preserve"> </w:t>
      </w:r>
      <w:r>
        <w:t>démontrer</w:t>
      </w:r>
      <w:r w:rsidRPr="002C4077">
        <w:t xml:space="preserve"> </w:t>
      </w:r>
      <w:r>
        <w:t>que,</w:t>
      </w:r>
      <w:r w:rsidRPr="002C4077">
        <w:t xml:space="preserve"> </w:t>
      </w:r>
      <w:r>
        <w:t>sous</w:t>
      </w:r>
      <w:r w:rsidRPr="002C4077">
        <w:t xml:space="preserve"> </w:t>
      </w:r>
      <w:r>
        <w:t>ces</w:t>
      </w:r>
      <w:r w:rsidRPr="002C4077">
        <w:t xml:space="preserve"> </w:t>
      </w:r>
      <w:r>
        <w:t>divers</w:t>
      </w:r>
      <w:r w:rsidRPr="002C4077">
        <w:t xml:space="preserve"> </w:t>
      </w:r>
      <w:r>
        <w:t>aspects,</w:t>
      </w:r>
      <w:r w:rsidRPr="002C4077">
        <w:t xml:space="preserve"> </w:t>
      </w:r>
      <w:r>
        <w:t>l’accomplissement</w:t>
      </w:r>
      <w:r w:rsidRPr="002C4077">
        <w:t xml:space="preserve"> </w:t>
      </w:r>
      <w:r>
        <w:t>tardif</w:t>
      </w:r>
      <w:r w:rsidRPr="002C4077">
        <w:t xml:space="preserve"> </w:t>
      </w:r>
      <w:r>
        <w:t>du</w:t>
      </w:r>
      <w:r w:rsidRPr="002C4077">
        <w:t xml:space="preserve"> </w:t>
      </w:r>
      <w:r>
        <w:t>signe,</w:t>
      </w:r>
      <w:r w:rsidRPr="002C4077">
        <w:t xml:space="preserve"> </w:t>
      </w:r>
      <w:r>
        <w:t>dans</w:t>
      </w:r>
      <w:r w:rsidRPr="002C4077">
        <w:t xml:space="preserve"> </w:t>
      </w:r>
      <w:r>
        <w:t>l’oracle</w:t>
      </w:r>
      <w:r w:rsidRPr="002C4077">
        <w:t xml:space="preserve"> </w:t>
      </w:r>
      <w:r>
        <w:t>de</w:t>
      </w:r>
      <w:r w:rsidRPr="002C4077">
        <w:t xml:space="preserve"> </w:t>
      </w:r>
      <w:r w:rsidR="00D40830" w:rsidRPr="00D40830">
        <w:t>l’</w:t>
      </w:r>
      <w:r w:rsidR="00D40830" w:rsidRPr="00D05EA9">
        <w:rPr>
          <w:rStyle w:val="italicus"/>
        </w:rPr>
        <w:t>῾almah</w:t>
      </w:r>
      <w:r w:rsidRPr="000A34B5">
        <w:rPr>
          <w:rStyle w:val="italicus"/>
        </w:rPr>
        <w:t>,</w:t>
      </w:r>
      <w:r w:rsidRPr="002C4077">
        <w:t xml:space="preserve"> </w:t>
      </w:r>
      <w:r w:rsidR="00425C50">
        <w:t>est</w:t>
      </w:r>
      <w:r w:rsidRPr="002C4077">
        <w:t xml:space="preserve"> </w:t>
      </w:r>
      <w:r>
        <w:t>parfaitement</w:t>
      </w:r>
      <w:r w:rsidRPr="002C4077">
        <w:t xml:space="preserve"> </w:t>
      </w:r>
      <w:r>
        <w:t>justifiable</w:t>
      </w:r>
      <w:r w:rsidR="00B546AF">
        <w:t> ;</w:t>
      </w:r>
      <w:r w:rsidRPr="002C4077">
        <w:t xml:space="preserve"> </w:t>
      </w:r>
      <w:r>
        <w:t>en</w:t>
      </w:r>
      <w:r w:rsidRPr="002C4077">
        <w:t xml:space="preserve"> </w:t>
      </w:r>
      <w:r>
        <w:t>d’autres</w:t>
      </w:r>
      <w:r w:rsidRPr="002C4077">
        <w:t xml:space="preserve"> </w:t>
      </w:r>
      <w:r>
        <w:t>termes,</w:t>
      </w:r>
      <w:r w:rsidRPr="002C4077">
        <w:t xml:space="preserve"> </w:t>
      </w:r>
      <w:r>
        <w:t>que</w:t>
      </w:r>
      <w:r w:rsidRPr="002C4077">
        <w:t xml:space="preserve"> </w:t>
      </w:r>
      <w:r w:rsidR="00B546AF">
        <w:t>« </w:t>
      </w:r>
      <w:r>
        <w:t>les</w:t>
      </w:r>
      <w:r w:rsidRPr="002C4077">
        <w:t xml:space="preserve"> </w:t>
      </w:r>
      <w:r>
        <w:t>difficultés</w:t>
      </w:r>
      <w:r w:rsidRPr="002C4077">
        <w:t xml:space="preserve"> </w:t>
      </w:r>
      <w:r>
        <w:t>soulevées</w:t>
      </w:r>
      <w:r w:rsidRPr="002C4077">
        <w:t xml:space="preserve"> </w:t>
      </w:r>
      <w:r>
        <w:t>par</w:t>
      </w:r>
      <w:r w:rsidRPr="002C4077">
        <w:t xml:space="preserve"> </w:t>
      </w:r>
      <w:r>
        <w:t>l’interprétation</w:t>
      </w:r>
      <w:r w:rsidRPr="002C4077">
        <w:t xml:space="preserve"> </w:t>
      </w:r>
      <w:r>
        <w:t>strictement</w:t>
      </w:r>
      <w:r w:rsidRPr="002C4077">
        <w:t xml:space="preserve"> </w:t>
      </w:r>
      <w:r>
        <w:t>messianique</w:t>
      </w:r>
      <w:r w:rsidRPr="002C4077">
        <w:t xml:space="preserve"> </w:t>
      </w:r>
      <w:r>
        <w:t>ne</w:t>
      </w:r>
      <w:r w:rsidRPr="002C4077">
        <w:t xml:space="preserve"> </w:t>
      </w:r>
      <w:r>
        <w:t>sont</w:t>
      </w:r>
      <w:r w:rsidRPr="002C4077">
        <w:t xml:space="preserve"> </w:t>
      </w:r>
      <w:r>
        <w:t>qu’apparentes</w:t>
      </w:r>
      <w:r w:rsidR="00B91AF7">
        <w:rPr>
          <w:rStyle w:val="Appelnotedebasdep"/>
        </w:rPr>
        <w:footnoteReference w:id="290"/>
      </w:r>
      <w:r w:rsidR="00B546AF">
        <w:t> »</w:t>
      </w:r>
      <w:r>
        <w:t>.</w:t>
      </w:r>
      <w:r w:rsidRPr="002C4077">
        <w:t xml:space="preserve"> </w:t>
      </w:r>
    </w:p>
    <w:p w:rsidR="007B0987" w:rsidRDefault="007B0987" w:rsidP="000A7AAB"/>
    <w:p w:rsidR="000A7AAB" w:rsidRDefault="000A7AAB" w:rsidP="000A7AAB">
      <w:r>
        <w:t>1°</w:t>
      </w:r>
      <w:r w:rsidRPr="002C4077">
        <w:t xml:space="preserve"> </w:t>
      </w:r>
      <w:r>
        <w:t>Si</w:t>
      </w:r>
      <w:r w:rsidRPr="002C4077">
        <w:t xml:space="preserve"> </w:t>
      </w:r>
      <w:r>
        <w:t>votre</w:t>
      </w:r>
      <w:r w:rsidRPr="002C4077">
        <w:t xml:space="preserve"> </w:t>
      </w:r>
      <w:r>
        <w:t>application</w:t>
      </w:r>
      <w:r w:rsidRPr="002C4077">
        <w:t xml:space="preserve"> </w:t>
      </w:r>
      <w:r>
        <w:t>de</w:t>
      </w:r>
      <w:r w:rsidRPr="002C4077">
        <w:t xml:space="preserve"> </w:t>
      </w:r>
      <w:r>
        <w:t>la</w:t>
      </w:r>
      <w:r w:rsidRPr="002C4077">
        <w:t xml:space="preserve"> </w:t>
      </w:r>
      <w:r>
        <w:t>prophétie</w:t>
      </w:r>
      <w:r w:rsidRPr="002C4077">
        <w:t xml:space="preserve"> </w:t>
      </w:r>
      <w:r w:rsidR="00425C50">
        <w:t>est</w:t>
      </w:r>
      <w:r w:rsidRPr="002C4077">
        <w:t xml:space="preserve"> </w:t>
      </w:r>
      <w:r>
        <w:t>exacte,</w:t>
      </w:r>
      <w:r w:rsidRPr="002C4077">
        <w:t xml:space="preserve"> </w:t>
      </w:r>
      <w:r>
        <w:t>nous</w:t>
      </w:r>
      <w:r w:rsidRPr="002C4077">
        <w:t xml:space="preserve"> </w:t>
      </w:r>
      <w:r>
        <w:t>dit-on</w:t>
      </w:r>
      <w:r w:rsidRPr="002C4077">
        <w:t xml:space="preserve"> </w:t>
      </w:r>
      <w:r>
        <w:t>d’abord,</w:t>
      </w:r>
      <w:r w:rsidRPr="002C4077">
        <w:t xml:space="preserve"> </w:t>
      </w:r>
      <w:r>
        <w:t>Achaz</w:t>
      </w:r>
      <w:r w:rsidRPr="002C4077">
        <w:t xml:space="preserve"> </w:t>
      </w:r>
      <w:r>
        <w:t>eût</w:t>
      </w:r>
      <w:r w:rsidRPr="002C4077">
        <w:t xml:space="preserve"> </w:t>
      </w:r>
      <w:r>
        <w:t>été</w:t>
      </w:r>
      <w:r w:rsidRPr="002C4077">
        <w:t xml:space="preserve"> </w:t>
      </w:r>
      <w:r>
        <w:t>dans</w:t>
      </w:r>
      <w:r w:rsidRPr="002C4077">
        <w:t xml:space="preserve"> </w:t>
      </w:r>
      <w:r>
        <w:t>l’impossibilité</w:t>
      </w:r>
      <w:r w:rsidRPr="002C4077">
        <w:t xml:space="preserve"> </w:t>
      </w:r>
      <w:r>
        <w:t>de</w:t>
      </w:r>
      <w:r w:rsidRPr="002C4077">
        <w:t xml:space="preserve"> </w:t>
      </w:r>
      <w:r>
        <w:t>comprendre</w:t>
      </w:r>
      <w:r w:rsidRPr="002C4077">
        <w:t xml:space="preserve"> </w:t>
      </w:r>
      <w:r>
        <w:t>ce</w:t>
      </w:r>
      <w:r w:rsidRPr="002C4077">
        <w:t xml:space="preserve"> </w:t>
      </w:r>
      <w:r>
        <w:t>qu’Isaïe</w:t>
      </w:r>
      <w:r w:rsidRPr="002C4077">
        <w:t xml:space="preserve"> </w:t>
      </w:r>
      <w:r>
        <w:t>lui</w:t>
      </w:r>
      <w:r w:rsidRPr="002C4077">
        <w:t xml:space="preserve"> </w:t>
      </w:r>
      <w:r>
        <w:t>promettait.</w:t>
      </w:r>
      <w:r w:rsidRPr="002C4077">
        <w:t xml:space="preserve"> </w:t>
      </w:r>
    </w:p>
    <w:p w:rsidR="000A7AAB" w:rsidRDefault="000A7AAB" w:rsidP="000A7AAB">
      <w:r>
        <w:t>Soit,</w:t>
      </w:r>
      <w:r w:rsidRPr="002C4077">
        <w:t xml:space="preserve"> </w:t>
      </w:r>
      <w:r>
        <w:t>répondrons-nous.</w:t>
      </w:r>
      <w:r w:rsidRPr="002C4077">
        <w:t xml:space="preserve"> </w:t>
      </w:r>
      <w:r>
        <w:t>Mais</w:t>
      </w:r>
      <w:r w:rsidRPr="002C4077">
        <w:t xml:space="preserve"> </w:t>
      </w:r>
      <w:r>
        <w:t>nous</w:t>
      </w:r>
      <w:r w:rsidRPr="002C4077">
        <w:t xml:space="preserve"> </w:t>
      </w:r>
      <w:r>
        <w:t>taxerait-on</w:t>
      </w:r>
      <w:r w:rsidRPr="002C4077">
        <w:t xml:space="preserve"> </w:t>
      </w:r>
      <w:r>
        <w:t>d’exagération</w:t>
      </w:r>
      <w:r w:rsidRPr="002C4077">
        <w:t xml:space="preserve"> </w:t>
      </w:r>
      <w:r>
        <w:t>si</w:t>
      </w:r>
      <w:r w:rsidRPr="002C4077">
        <w:t xml:space="preserve"> </w:t>
      </w:r>
      <w:r>
        <w:t>nous</w:t>
      </w:r>
      <w:r w:rsidRPr="002C4077">
        <w:t xml:space="preserve"> </w:t>
      </w:r>
      <w:r>
        <w:t>affirmions</w:t>
      </w:r>
      <w:r w:rsidRPr="002C4077">
        <w:t xml:space="preserve"> </w:t>
      </w:r>
      <w:r>
        <w:t>qu’il</w:t>
      </w:r>
      <w:r w:rsidRPr="002C4077">
        <w:t xml:space="preserve"> </w:t>
      </w:r>
      <w:r>
        <w:t>ne</w:t>
      </w:r>
      <w:r w:rsidRPr="002C4077">
        <w:t xml:space="preserve"> </w:t>
      </w:r>
      <w:r>
        <w:t>méritait</w:t>
      </w:r>
      <w:r w:rsidRPr="002C4077">
        <w:t xml:space="preserve"> </w:t>
      </w:r>
      <w:r>
        <w:t>pas</w:t>
      </w:r>
      <w:r w:rsidRPr="002C4077">
        <w:t xml:space="preserve"> </w:t>
      </w:r>
      <w:r>
        <w:t>de</w:t>
      </w:r>
      <w:r w:rsidRPr="002C4077">
        <w:t xml:space="preserve"> </w:t>
      </w:r>
      <w:r>
        <w:t>comprendre</w:t>
      </w:r>
      <w:r w:rsidR="00B546AF">
        <w:t> ?</w:t>
      </w:r>
      <w:r w:rsidR="00C45B47">
        <w:t xml:space="preserve"> {</w:t>
      </w:r>
      <w:r w:rsidR="000721C4">
        <w:t>91</w:t>
      </w:r>
      <w:bookmarkStart w:id="275" w:name="p091"/>
      <w:bookmarkEnd w:id="275"/>
      <w:r w:rsidR="000721C4">
        <w:t xml:space="preserve">} </w:t>
      </w:r>
      <w:r>
        <w:t>N’avait-il</w:t>
      </w:r>
      <w:r w:rsidRPr="002C4077">
        <w:t xml:space="preserve"> </w:t>
      </w:r>
      <w:r>
        <w:t>pas</w:t>
      </w:r>
      <w:r w:rsidRPr="002C4077">
        <w:t xml:space="preserve"> </w:t>
      </w:r>
      <w:r>
        <w:t>rejeté</w:t>
      </w:r>
      <w:r w:rsidRPr="002C4077">
        <w:t xml:space="preserve"> </w:t>
      </w:r>
      <w:r>
        <w:t>d’une</w:t>
      </w:r>
      <w:r w:rsidRPr="002C4077">
        <w:t xml:space="preserve"> </w:t>
      </w:r>
      <w:r>
        <w:t>manière</w:t>
      </w:r>
      <w:r w:rsidRPr="002C4077">
        <w:t xml:space="preserve"> </w:t>
      </w:r>
      <w:r>
        <w:t>sacrilège</w:t>
      </w:r>
      <w:r w:rsidRPr="002C4077">
        <w:t xml:space="preserve"> </w:t>
      </w:r>
      <w:r>
        <w:t>les</w:t>
      </w:r>
      <w:r w:rsidRPr="002C4077">
        <w:t xml:space="preserve"> </w:t>
      </w:r>
      <w:r>
        <w:t>avantages</w:t>
      </w:r>
      <w:r w:rsidRPr="002C4077">
        <w:t xml:space="preserve"> </w:t>
      </w:r>
      <w:r>
        <w:t>que</w:t>
      </w:r>
      <w:r w:rsidRPr="002C4077">
        <w:t xml:space="preserve"> </w:t>
      </w:r>
      <w:r>
        <w:t>Jéhovah</w:t>
      </w:r>
      <w:r w:rsidRPr="002C4077">
        <w:t xml:space="preserve"> </w:t>
      </w:r>
      <w:r>
        <w:t>daignait</w:t>
      </w:r>
      <w:r w:rsidRPr="002C4077">
        <w:t xml:space="preserve"> </w:t>
      </w:r>
      <w:r>
        <w:t>lui</w:t>
      </w:r>
      <w:r w:rsidRPr="002C4077">
        <w:t xml:space="preserve"> </w:t>
      </w:r>
      <w:r>
        <w:t>offrir</w:t>
      </w:r>
      <w:r w:rsidRPr="002C4077">
        <w:t xml:space="preserve"> </w:t>
      </w:r>
      <w:r>
        <w:t>avec</w:t>
      </w:r>
      <w:r w:rsidRPr="002C4077">
        <w:t xml:space="preserve"> </w:t>
      </w:r>
      <w:r>
        <w:t>tant</w:t>
      </w:r>
      <w:r w:rsidRPr="002C4077">
        <w:t xml:space="preserve"> </w:t>
      </w:r>
      <w:r>
        <w:t>de</w:t>
      </w:r>
      <w:r w:rsidRPr="002C4077">
        <w:t xml:space="preserve"> </w:t>
      </w:r>
      <w:r>
        <w:t>bonté</w:t>
      </w:r>
      <w:r w:rsidR="00B546AF">
        <w:t> ?</w:t>
      </w:r>
      <w:r w:rsidRPr="002C4077">
        <w:t xml:space="preserve"> </w:t>
      </w:r>
      <w:r>
        <w:t>Des</w:t>
      </w:r>
      <w:r w:rsidRPr="002C4077">
        <w:t xml:space="preserve"> </w:t>
      </w:r>
      <w:r>
        <w:t>auteurs</w:t>
      </w:r>
      <w:r w:rsidRPr="002C4077">
        <w:t xml:space="preserve"> </w:t>
      </w:r>
      <w:r>
        <w:t>peu</w:t>
      </w:r>
      <w:r w:rsidRPr="002C4077">
        <w:t xml:space="preserve"> </w:t>
      </w:r>
      <w:r>
        <w:t>suspects</w:t>
      </w:r>
      <w:r w:rsidRPr="002C4077">
        <w:t xml:space="preserve"> </w:t>
      </w:r>
      <w:r>
        <w:t>de</w:t>
      </w:r>
      <w:r w:rsidRPr="002C4077">
        <w:t xml:space="preserve"> </w:t>
      </w:r>
      <w:r>
        <w:t>concéder</w:t>
      </w:r>
      <w:r w:rsidRPr="002C4077">
        <w:t xml:space="preserve"> </w:t>
      </w:r>
      <w:r>
        <w:t>trop</w:t>
      </w:r>
      <w:r w:rsidRPr="002C4077">
        <w:t xml:space="preserve"> </w:t>
      </w:r>
      <w:r>
        <w:t>à</w:t>
      </w:r>
      <w:r w:rsidRPr="002C4077">
        <w:t xml:space="preserve"> </w:t>
      </w:r>
      <w:r>
        <w:t>la</w:t>
      </w:r>
      <w:r w:rsidRPr="002C4077">
        <w:t xml:space="preserve"> </w:t>
      </w:r>
      <w:r>
        <w:t>foi</w:t>
      </w:r>
      <w:r w:rsidRPr="002C4077">
        <w:t xml:space="preserve"> </w:t>
      </w:r>
      <w:r>
        <w:t>le</w:t>
      </w:r>
      <w:r w:rsidRPr="002C4077">
        <w:t xml:space="preserve"> </w:t>
      </w:r>
      <w:r>
        <w:t>reconnaissent,</w:t>
      </w:r>
      <w:r w:rsidRPr="002C4077">
        <w:t xml:space="preserve"> </w:t>
      </w:r>
      <w:r w:rsidR="00B546AF">
        <w:t>« </w:t>
      </w:r>
      <w:r>
        <w:t>Achaz</w:t>
      </w:r>
      <w:r w:rsidRPr="002C4077">
        <w:t xml:space="preserve"> </w:t>
      </w:r>
      <w:r>
        <w:t>et</w:t>
      </w:r>
      <w:r w:rsidRPr="002C4077">
        <w:t xml:space="preserve"> </w:t>
      </w:r>
      <w:r>
        <w:t>sa</w:t>
      </w:r>
      <w:r w:rsidRPr="002C4077">
        <w:t xml:space="preserve"> </w:t>
      </w:r>
      <w:r>
        <w:t>maison</w:t>
      </w:r>
      <w:r w:rsidRPr="002C4077">
        <w:t xml:space="preserve"> </w:t>
      </w:r>
      <w:r>
        <w:t>étaient</w:t>
      </w:r>
      <w:r w:rsidRPr="002C4077">
        <w:t xml:space="preserve"> </w:t>
      </w:r>
      <w:r>
        <w:t>endurcis</w:t>
      </w:r>
      <w:r w:rsidR="00B546AF">
        <w:t> ;</w:t>
      </w:r>
      <w:r w:rsidRPr="002C4077">
        <w:t xml:space="preserve"> </w:t>
      </w:r>
      <w:r>
        <w:t>et</w:t>
      </w:r>
      <w:r w:rsidRPr="002C4077">
        <w:t xml:space="preserve"> </w:t>
      </w:r>
      <w:r>
        <w:t>leur</w:t>
      </w:r>
      <w:r w:rsidRPr="002C4077">
        <w:t xml:space="preserve"> </w:t>
      </w:r>
      <w:r>
        <w:t>incrédulité</w:t>
      </w:r>
      <w:r w:rsidRPr="002C4077">
        <w:t xml:space="preserve"> </w:t>
      </w:r>
      <w:r>
        <w:t>en</w:t>
      </w:r>
      <w:r w:rsidRPr="002C4077">
        <w:t xml:space="preserve"> </w:t>
      </w:r>
      <w:r>
        <w:t>cette</w:t>
      </w:r>
      <w:r w:rsidRPr="002C4077">
        <w:t xml:space="preserve"> </w:t>
      </w:r>
      <w:r>
        <w:t>occasion</w:t>
      </w:r>
      <w:r w:rsidRPr="002C4077">
        <w:t xml:space="preserve"> </w:t>
      </w:r>
      <w:r>
        <w:t>était</w:t>
      </w:r>
      <w:r w:rsidRPr="002C4077">
        <w:t xml:space="preserve"> </w:t>
      </w:r>
      <w:r>
        <w:t>un</w:t>
      </w:r>
      <w:r w:rsidRPr="002C4077">
        <w:t xml:space="preserve"> </w:t>
      </w:r>
      <w:r>
        <w:t>nouveau</w:t>
      </w:r>
      <w:r w:rsidRPr="002C4077">
        <w:t xml:space="preserve"> </w:t>
      </w:r>
      <w:r>
        <w:t>degré</w:t>
      </w:r>
      <w:r w:rsidRPr="002C4077">
        <w:t xml:space="preserve"> </w:t>
      </w:r>
      <w:r>
        <w:t>d’endurcissement.</w:t>
      </w:r>
      <w:r w:rsidRPr="002C4077">
        <w:t xml:space="preserve"> </w:t>
      </w:r>
      <w:r>
        <w:t>La</w:t>
      </w:r>
      <w:r w:rsidRPr="002C4077">
        <w:t xml:space="preserve"> </w:t>
      </w:r>
      <w:r>
        <w:t>prophétie</w:t>
      </w:r>
      <w:r w:rsidRPr="002C4077">
        <w:t xml:space="preserve"> </w:t>
      </w:r>
      <w:r>
        <w:t>était</w:t>
      </w:r>
      <w:r w:rsidRPr="002C4077">
        <w:t xml:space="preserve"> </w:t>
      </w:r>
      <w:r>
        <w:t>en</w:t>
      </w:r>
      <w:r w:rsidRPr="002C4077">
        <w:t xml:space="preserve"> </w:t>
      </w:r>
      <w:r>
        <w:t>réalité</w:t>
      </w:r>
      <w:r w:rsidRPr="002C4077">
        <w:t xml:space="preserve"> </w:t>
      </w:r>
      <w:r>
        <w:t>proférée</w:t>
      </w:r>
      <w:r w:rsidRPr="002C4077">
        <w:t xml:space="preserve"> </w:t>
      </w:r>
      <w:r>
        <w:t>pour</w:t>
      </w:r>
      <w:r w:rsidRPr="002C4077">
        <w:t xml:space="preserve"> </w:t>
      </w:r>
      <w:r>
        <w:t>ceux</w:t>
      </w:r>
      <w:r w:rsidRPr="002C4077">
        <w:t xml:space="preserve"> </w:t>
      </w:r>
      <w:r>
        <w:t>qui</w:t>
      </w:r>
      <w:r w:rsidRPr="002C4077">
        <w:t xml:space="preserve"> </w:t>
      </w:r>
      <w:r>
        <w:t>étaient</w:t>
      </w:r>
      <w:r w:rsidRPr="002C4077">
        <w:t xml:space="preserve"> </w:t>
      </w:r>
      <w:r>
        <w:t>capables</w:t>
      </w:r>
      <w:r w:rsidRPr="002C4077">
        <w:t xml:space="preserve"> </w:t>
      </w:r>
      <w:r>
        <w:t>de</w:t>
      </w:r>
      <w:r w:rsidRPr="002C4077">
        <w:t xml:space="preserve"> </w:t>
      </w:r>
      <w:r>
        <w:t>la</w:t>
      </w:r>
      <w:r w:rsidRPr="002C4077">
        <w:t xml:space="preserve"> </w:t>
      </w:r>
      <w:r>
        <w:t>recevoir,</w:t>
      </w:r>
      <w:r w:rsidRPr="002C4077">
        <w:t xml:space="preserve"> </w:t>
      </w:r>
      <w:r>
        <w:t>tels</w:t>
      </w:r>
      <w:r w:rsidRPr="002C4077">
        <w:t xml:space="preserve"> </w:t>
      </w:r>
      <w:r>
        <w:t>que</w:t>
      </w:r>
      <w:r w:rsidRPr="002C4077">
        <w:t xml:space="preserve"> </w:t>
      </w:r>
      <w:r>
        <w:t>les</w:t>
      </w:r>
      <w:r w:rsidRPr="002C4077">
        <w:t xml:space="preserve"> </w:t>
      </w:r>
      <w:r>
        <w:t>disciples</w:t>
      </w:r>
      <w:r w:rsidRPr="002C4077">
        <w:t xml:space="preserve"> </w:t>
      </w:r>
      <w:r>
        <w:t>d’Isaïe,</w:t>
      </w:r>
      <w:r w:rsidRPr="002C4077">
        <w:t xml:space="preserve"> </w:t>
      </w:r>
      <w:r w:rsidR="00425C50">
        <w:t>etc</w:t>
      </w:r>
      <w:r>
        <w:t>.</w:t>
      </w:r>
      <w:r w:rsidR="00B546AF">
        <w:t> »</w:t>
      </w:r>
      <w:r>
        <w:t>.</w:t>
      </w:r>
      <w:r w:rsidRPr="002C4077">
        <w:t xml:space="preserve"> </w:t>
      </w:r>
      <w:r>
        <w:t>Ce</w:t>
      </w:r>
      <w:r w:rsidRPr="002C4077">
        <w:t xml:space="preserve"> </w:t>
      </w:r>
      <w:r>
        <w:t>n’est</w:t>
      </w:r>
      <w:r w:rsidRPr="002C4077">
        <w:t xml:space="preserve"> </w:t>
      </w:r>
      <w:r>
        <w:t>pas</w:t>
      </w:r>
      <w:r w:rsidRPr="002C4077">
        <w:t xml:space="preserve"> </w:t>
      </w:r>
      <w:r>
        <w:t>sans</w:t>
      </w:r>
      <w:r w:rsidRPr="002C4077">
        <w:t xml:space="preserve"> </w:t>
      </w:r>
      <w:r>
        <w:t>surprise</w:t>
      </w:r>
      <w:r w:rsidRPr="002C4077">
        <w:t xml:space="preserve"> </w:t>
      </w:r>
      <w:r>
        <w:t>que</w:t>
      </w:r>
      <w:r w:rsidRPr="002C4077">
        <w:t xml:space="preserve"> </w:t>
      </w:r>
      <w:r>
        <w:t>nous</w:t>
      </w:r>
      <w:r w:rsidRPr="002C4077">
        <w:t xml:space="preserve"> </w:t>
      </w:r>
      <w:r>
        <w:t>avons</w:t>
      </w:r>
      <w:r w:rsidRPr="002C4077">
        <w:t xml:space="preserve"> </w:t>
      </w:r>
      <w:r>
        <w:t>trouvé</w:t>
      </w:r>
      <w:r w:rsidRPr="002C4077">
        <w:t xml:space="preserve"> </w:t>
      </w:r>
      <w:r>
        <w:t>ces</w:t>
      </w:r>
      <w:r w:rsidRPr="002C4077">
        <w:t xml:space="preserve"> </w:t>
      </w:r>
      <w:r>
        <w:t>lignes</w:t>
      </w:r>
      <w:r w:rsidRPr="002C4077">
        <w:t xml:space="preserve"> </w:t>
      </w:r>
      <w:r>
        <w:t>dans</w:t>
      </w:r>
      <w:r w:rsidRPr="002C4077">
        <w:t xml:space="preserve"> </w:t>
      </w:r>
      <w:r>
        <w:t>le</w:t>
      </w:r>
      <w:r w:rsidRPr="002C4077">
        <w:t xml:space="preserve"> </w:t>
      </w:r>
      <w:r>
        <w:t>commentaire</w:t>
      </w:r>
      <w:r w:rsidRPr="002C4077">
        <w:t xml:space="preserve"> </w:t>
      </w:r>
      <w:r>
        <w:t>de</w:t>
      </w:r>
      <w:r w:rsidRPr="002C4077">
        <w:t xml:space="preserve"> </w:t>
      </w:r>
      <w:r>
        <w:t>M.</w:t>
      </w:r>
      <w:r w:rsidRPr="002C4077">
        <w:t xml:space="preserve"> </w:t>
      </w:r>
      <w:r>
        <w:t>Cheyne</w:t>
      </w:r>
      <w:r w:rsidR="00B91AF7">
        <w:rPr>
          <w:rStyle w:val="Appelnotedebasdep"/>
        </w:rPr>
        <w:footnoteReference w:id="291"/>
      </w:r>
      <w:r>
        <w:t>.</w:t>
      </w:r>
      <w:r w:rsidRPr="002C4077">
        <w:t xml:space="preserve"> </w:t>
      </w:r>
      <w:r>
        <w:t>Le</w:t>
      </w:r>
      <w:r w:rsidRPr="002C4077">
        <w:t xml:space="preserve"> </w:t>
      </w:r>
      <w:r>
        <w:t>prophète</w:t>
      </w:r>
      <w:r w:rsidRPr="002C4077">
        <w:t xml:space="preserve"> </w:t>
      </w:r>
      <w:r>
        <w:t>parlait</w:t>
      </w:r>
      <w:r w:rsidRPr="002C4077">
        <w:t xml:space="preserve"> </w:t>
      </w:r>
      <w:r>
        <w:t>donc</w:t>
      </w:r>
      <w:r w:rsidRPr="002C4077">
        <w:t xml:space="preserve"> </w:t>
      </w:r>
      <w:r>
        <w:t>moins</w:t>
      </w:r>
      <w:r w:rsidRPr="002C4077">
        <w:t xml:space="preserve"> </w:t>
      </w:r>
      <w:r>
        <w:t>pour</w:t>
      </w:r>
      <w:r w:rsidRPr="002C4077">
        <w:t xml:space="preserve"> </w:t>
      </w:r>
      <w:r>
        <w:t>le</w:t>
      </w:r>
      <w:r w:rsidRPr="002C4077">
        <w:t xml:space="preserve"> </w:t>
      </w:r>
      <w:r>
        <w:t>monarque</w:t>
      </w:r>
      <w:r w:rsidRPr="002C4077">
        <w:t xml:space="preserve"> </w:t>
      </w:r>
      <w:r>
        <w:t>incrédule</w:t>
      </w:r>
      <w:r w:rsidRPr="002C4077">
        <w:t xml:space="preserve"> </w:t>
      </w:r>
      <w:r>
        <w:t>que</w:t>
      </w:r>
      <w:r w:rsidRPr="002C4077">
        <w:t xml:space="preserve"> </w:t>
      </w:r>
      <w:r>
        <w:t>pour</w:t>
      </w:r>
      <w:r w:rsidRPr="002C4077">
        <w:t xml:space="preserve"> </w:t>
      </w:r>
      <w:r>
        <w:t>la</w:t>
      </w:r>
      <w:r w:rsidRPr="002C4077">
        <w:t xml:space="preserve"> </w:t>
      </w:r>
      <w:r>
        <w:t>partie</w:t>
      </w:r>
      <w:r w:rsidRPr="002C4077">
        <w:t xml:space="preserve"> </w:t>
      </w:r>
      <w:r>
        <w:t>du</w:t>
      </w:r>
      <w:r w:rsidRPr="002C4077">
        <w:t xml:space="preserve"> </w:t>
      </w:r>
      <w:r>
        <w:t>peuple</w:t>
      </w:r>
      <w:r w:rsidRPr="002C4077">
        <w:t xml:space="preserve"> </w:t>
      </w:r>
      <w:r>
        <w:t>demeurée</w:t>
      </w:r>
      <w:r w:rsidRPr="002C4077">
        <w:t xml:space="preserve"> </w:t>
      </w:r>
      <w:r>
        <w:t>fidèle.</w:t>
      </w:r>
      <w:r w:rsidRPr="002C4077">
        <w:t xml:space="preserve"> </w:t>
      </w:r>
      <w:r>
        <w:t>Cela</w:t>
      </w:r>
      <w:r w:rsidRPr="002C4077">
        <w:t xml:space="preserve"> </w:t>
      </w:r>
      <w:r>
        <w:t>étant,</w:t>
      </w:r>
      <w:r w:rsidRPr="002C4077">
        <w:t xml:space="preserve"> </w:t>
      </w:r>
      <w:r>
        <w:t>on</w:t>
      </w:r>
      <w:r w:rsidRPr="002C4077">
        <w:t xml:space="preserve"> </w:t>
      </w:r>
      <w:r>
        <w:t>concevrait</w:t>
      </w:r>
      <w:r w:rsidRPr="002C4077">
        <w:t xml:space="preserve"> </w:t>
      </w:r>
      <w:r>
        <w:t>qu’il</w:t>
      </w:r>
      <w:r w:rsidRPr="002C4077">
        <w:t xml:space="preserve"> </w:t>
      </w:r>
      <w:r>
        <w:t>se</w:t>
      </w:r>
      <w:r w:rsidRPr="002C4077">
        <w:t xml:space="preserve"> </w:t>
      </w:r>
      <w:r>
        <w:t>fût</w:t>
      </w:r>
      <w:r w:rsidRPr="002C4077">
        <w:t xml:space="preserve"> </w:t>
      </w:r>
      <w:r>
        <w:t>volontairement</w:t>
      </w:r>
      <w:r w:rsidRPr="002C4077">
        <w:t xml:space="preserve"> </w:t>
      </w:r>
      <w:r>
        <w:t>servi</w:t>
      </w:r>
      <w:r w:rsidRPr="002C4077">
        <w:t xml:space="preserve"> </w:t>
      </w:r>
      <w:r>
        <w:t>d’expressions</w:t>
      </w:r>
      <w:r w:rsidRPr="002C4077">
        <w:t xml:space="preserve"> </w:t>
      </w:r>
      <w:r>
        <w:t>à</w:t>
      </w:r>
      <w:r w:rsidRPr="002C4077">
        <w:t xml:space="preserve"> </w:t>
      </w:r>
      <w:r>
        <w:t>demi</w:t>
      </w:r>
      <w:r w:rsidRPr="002C4077">
        <w:t xml:space="preserve"> </w:t>
      </w:r>
      <w:r>
        <w:t>laissées</w:t>
      </w:r>
      <w:r w:rsidRPr="002C4077">
        <w:t xml:space="preserve"> </w:t>
      </w:r>
      <w:r>
        <w:t>dans</w:t>
      </w:r>
      <w:r w:rsidRPr="002C4077">
        <w:t xml:space="preserve"> </w:t>
      </w:r>
      <w:r>
        <w:t>le</w:t>
      </w:r>
      <w:r w:rsidRPr="002C4077">
        <w:t xml:space="preserve"> </w:t>
      </w:r>
      <w:r>
        <w:t>vague,</w:t>
      </w:r>
      <w:r w:rsidRPr="002C4077">
        <w:t xml:space="preserve"> </w:t>
      </w:r>
      <w:r>
        <w:t>du</w:t>
      </w:r>
      <w:r w:rsidRPr="002C4077">
        <w:t xml:space="preserve"> </w:t>
      </w:r>
      <w:r>
        <w:t>moins</w:t>
      </w:r>
      <w:r w:rsidRPr="002C4077">
        <w:t xml:space="preserve"> </w:t>
      </w:r>
      <w:r>
        <w:t>par</w:t>
      </w:r>
      <w:r w:rsidRPr="002C4077">
        <w:t xml:space="preserve"> </w:t>
      </w:r>
      <w:r>
        <w:t>rapport</w:t>
      </w:r>
      <w:r w:rsidRPr="002C4077">
        <w:t xml:space="preserve"> </w:t>
      </w:r>
      <w:r>
        <w:t>à</w:t>
      </w:r>
      <w:r w:rsidRPr="002C4077">
        <w:t xml:space="preserve"> </w:t>
      </w:r>
      <w:r>
        <w:t>l’époque</w:t>
      </w:r>
      <w:r w:rsidRPr="002C4077">
        <w:t xml:space="preserve"> </w:t>
      </w:r>
      <w:r>
        <w:t>de</w:t>
      </w:r>
      <w:r w:rsidRPr="002C4077">
        <w:t xml:space="preserve"> </w:t>
      </w:r>
      <w:r>
        <w:t>l’accomplissement</w:t>
      </w:r>
      <w:r w:rsidRPr="002C4077">
        <w:t xml:space="preserve"> </w:t>
      </w:r>
      <w:r>
        <w:t>de</w:t>
      </w:r>
      <w:r w:rsidRPr="002C4077">
        <w:t xml:space="preserve"> </w:t>
      </w:r>
      <w:r>
        <w:t>l’oracle.</w:t>
      </w:r>
      <w:r w:rsidRPr="002C4077">
        <w:t xml:space="preserve"> </w:t>
      </w:r>
      <w:r>
        <w:t>Plus</w:t>
      </w:r>
      <w:r w:rsidRPr="002C4077">
        <w:t xml:space="preserve"> </w:t>
      </w:r>
      <w:r>
        <w:t>tard,</w:t>
      </w:r>
      <w:r w:rsidRPr="002C4077">
        <w:t xml:space="preserve"> </w:t>
      </w:r>
      <w:r>
        <w:t>le</w:t>
      </w:r>
      <w:r w:rsidRPr="002C4077">
        <w:t xml:space="preserve"> </w:t>
      </w:r>
      <w:r>
        <w:t>divin</w:t>
      </w:r>
      <w:r w:rsidRPr="002C4077">
        <w:t xml:space="preserve"> </w:t>
      </w:r>
      <w:r>
        <w:t>Emmanuel</w:t>
      </w:r>
      <w:r w:rsidRPr="002C4077">
        <w:t xml:space="preserve"> </w:t>
      </w:r>
      <w:r>
        <w:t>lui-même</w:t>
      </w:r>
      <w:r w:rsidRPr="002C4077">
        <w:t xml:space="preserve"> </w:t>
      </w:r>
      <w:r>
        <w:t>ne</w:t>
      </w:r>
      <w:r w:rsidRPr="002C4077">
        <w:t xml:space="preserve"> </w:t>
      </w:r>
      <w:r>
        <w:t>proposera-t-il</w:t>
      </w:r>
      <w:r w:rsidRPr="002C4077">
        <w:t xml:space="preserve"> </w:t>
      </w:r>
      <w:r>
        <w:t>pas</w:t>
      </w:r>
      <w:r w:rsidRPr="002C4077">
        <w:t xml:space="preserve"> </w:t>
      </w:r>
      <w:r>
        <w:t>la</w:t>
      </w:r>
      <w:r w:rsidRPr="002C4077">
        <w:t xml:space="preserve"> </w:t>
      </w:r>
      <w:r>
        <w:t>doctrine</w:t>
      </w:r>
      <w:r w:rsidRPr="002C4077">
        <w:t xml:space="preserve"> </w:t>
      </w:r>
      <w:r>
        <w:t>du</w:t>
      </w:r>
      <w:r w:rsidRPr="002C4077">
        <w:t xml:space="preserve"> </w:t>
      </w:r>
      <w:r>
        <w:t>royaume</w:t>
      </w:r>
      <w:r w:rsidRPr="002C4077">
        <w:t xml:space="preserve"> </w:t>
      </w:r>
      <w:r>
        <w:t>des</w:t>
      </w:r>
      <w:r w:rsidRPr="002C4077">
        <w:t xml:space="preserve"> </w:t>
      </w:r>
      <w:r>
        <w:t>cieux</w:t>
      </w:r>
      <w:r w:rsidRPr="002C4077">
        <w:t xml:space="preserve"> </w:t>
      </w:r>
      <w:r>
        <w:t>sous</w:t>
      </w:r>
      <w:r w:rsidRPr="002C4077">
        <w:t xml:space="preserve"> </w:t>
      </w:r>
      <w:r>
        <w:t>le</w:t>
      </w:r>
      <w:r w:rsidRPr="002C4077">
        <w:t xml:space="preserve"> </w:t>
      </w:r>
      <w:r>
        <w:t>voile</w:t>
      </w:r>
      <w:r w:rsidRPr="002C4077">
        <w:t xml:space="preserve"> </w:t>
      </w:r>
      <w:r>
        <w:t>des</w:t>
      </w:r>
      <w:r w:rsidRPr="002C4077">
        <w:t xml:space="preserve"> </w:t>
      </w:r>
      <w:r>
        <w:t>paraboles,</w:t>
      </w:r>
      <w:r w:rsidRPr="002C4077">
        <w:t xml:space="preserve"> </w:t>
      </w:r>
      <w:r>
        <w:t>dans</w:t>
      </w:r>
      <w:r w:rsidRPr="002C4077">
        <w:t xml:space="preserve"> </w:t>
      </w:r>
      <w:r>
        <w:t>l’intention</w:t>
      </w:r>
      <w:r w:rsidRPr="002C4077">
        <w:t xml:space="preserve"> </w:t>
      </w:r>
      <w:r>
        <w:t>expresse</w:t>
      </w:r>
      <w:r w:rsidRPr="002C4077">
        <w:t xml:space="preserve"> </w:t>
      </w:r>
      <w:r>
        <w:t>de</w:t>
      </w:r>
      <w:r w:rsidRPr="002C4077">
        <w:t xml:space="preserve"> </w:t>
      </w:r>
      <w:r>
        <w:t>la</w:t>
      </w:r>
      <w:r w:rsidRPr="002C4077">
        <w:t xml:space="preserve"> </w:t>
      </w:r>
      <w:r>
        <w:t>rendre</w:t>
      </w:r>
      <w:r w:rsidRPr="002C4077">
        <w:t xml:space="preserve"> </w:t>
      </w:r>
      <w:r>
        <w:t>moins</w:t>
      </w:r>
      <w:r w:rsidRPr="002C4077">
        <w:t xml:space="preserve"> </w:t>
      </w:r>
      <w:r>
        <w:t>claire</w:t>
      </w:r>
      <w:r w:rsidRPr="002C4077">
        <w:t xml:space="preserve"> </w:t>
      </w:r>
      <w:r>
        <w:t>pour</w:t>
      </w:r>
      <w:r w:rsidRPr="002C4077">
        <w:t xml:space="preserve"> </w:t>
      </w:r>
      <w:r>
        <w:t>les</w:t>
      </w:r>
      <w:r w:rsidRPr="002C4077">
        <w:t xml:space="preserve"> </w:t>
      </w:r>
      <w:r>
        <w:t>indignes</w:t>
      </w:r>
      <w:r w:rsidR="00B546AF">
        <w:t> ?</w:t>
      </w:r>
      <w:r w:rsidRPr="002C4077">
        <w:t xml:space="preserve"> </w:t>
      </w:r>
      <w:r w:rsidR="006E0521" w:rsidRPr="000A34B5">
        <w:rPr>
          <w:rStyle w:val="italicus"/>
        </w:rPr>
        <w:t>Figúris</w:t>
      </w:r>
      <w:r w:rsidRPr="002C4077">
        <w:t xml:space="preserve"> </w:t>
      </w:r>
      <w:r w:rsidRPr="000A34B5">
        <w:rPr>
          <w:rStyle w:val="italicus"/>
        </w:rPr>
        <w:t>defend</w:t>
      </w:r>
      <w:r w:rsidR="003B53FD">
        <w:rPr>
          <w:rStyle w:val="italicus"/>
        </w:rPr>
        <w:t>é</w:t>
      </w:r>
      <w:r w:rsidR="003B53FD" w:rsidRPr="000A34B5">
        <w:rPr>
          <w:rStyle w:val="italicus"/>
        </w:rPr>
        <w:t>ntibus</w:t>
      </w:r>
      <w:r w:rsidRPr="002C4077">
        <w:t xml:space="preserve"> </w:t>
      </w:r>
      <w:r w:rsidRPr="000A34B5">
        <w:rPr>
          <w:rStyle w:val="italicus"/>
        </w:rPr>
        <w:t>a</w:t>
      </w:r>
      <w:r w:rsidRPr="002C4077">
        <w:t xml:space="preserve"> </w:t>
      </w:r>
      <w:r w:rsidRPr="000A34B5">
        <w:rPr>
          <w:rStyle w:val="italicus"/>
        </w:rPr>
        <w:t>vilit</w:t>
      </w:r>
      <w:r w:rsidR="006E0521">
        <w:rPr>
          <w:rStyle w:val="italicus"/>
        </w:rPr>
        <w:t>á</w:t>
      </w:r>
      <w:r w:rsidRPr="000A34B5">
        <w:rPr>
          <w:rStyle w:val="italicus"/>
        </w:rPr>
        <w:t>te</w:t>
      </w:r>
      <w:r w:rsidRPr="002C4077">
        <w:t xml:space="preserve"> </w:t>
      </w:r>
      <w:r w:rsidRPr="000A34B5">
        <w:rPr>
          <w:rStyle w:val="italicus"/>
        </w:rPr>
        <w:t>s</w:t>
      </w:r>
      <w:r w:rsidR="003B53FD" w:rsidRPr="000A34B5">
        <w:rPr>
          <w:rStyle w:val="italicus"/>
        </w:rPr>
        <w:t>ecr</w:t>
      </w:r>
      <w:r w:rsidR="003B53FD">
        <w:rPr>
          <w:rStyle w:val="italicus"/>
        </w:rPr>
        <w:t>é</w:t>
      </w:r>
      <w:r w:rsidR="003B53FD" w:rsidRPr="000A34B5">
        <w:rPr>
          <w:rStyle w:val="italicus"/>
        </w:rPr>
        <w:t>tum</w:t>
      </w:r>
      <w:r w:rsidRPr="000A34B5">
        <w:rPr>
          <w:rStyle w:val="italicus"/>
        </w:rPr>
        <w:t>,</w:t>
      </w:r>
      <w:r w:rsidRPr="002C4077">
        <w:t xml:space="preserve"> </w:t>
      </w:r>
      <w:r>
        <w:t>comme</w:t>
      </w:r>
      <w:r w:rsidRPr="002C4077">
        <w:t xml:space="preserve"> </w:t>
      </w:r>
      <w:r>
        <w:t>l’a</w:t>
      </w:r>
      <w:r w:rsidRPr="002C4077">
        <w:t xml:space="preserve"> </w:t>
      </w:r>
      <w:r>
        <w:t>écrit</w:t>
      </w:r>
      <w:r w:rsidRPr="002C4077">
        <w:t xml:space="preserve"> </w:t>
      </w:r>
      <w:r>
        <w:t>Macrobe</w:t>
      </w:r>
      <w:r w:rsidR="00B91AF7">
        <w:rPr>
          <w:rStyle w:val="Appelnotedebasdep"/>
        </w:rPr>
        <w:footnoteReference w:id="292"/>
      </w:r>
      <w:r>
        <w:t>.</w:t>
      </w:r>
      <w:r w:rsidRPr="002C4077">
        <w:t xml:space="preserve"> </w:t>
      </w:r>
    </w:p>
    <w:p w:rsidR="000A7AAB" w:rsidRDefault="000A7AAB" w:rsidP="000A7AAB">
      <w:r>
        <w:t>De</w:t>
      </w:r>
      <w:r w:rsidRPr="002C4077">
        <w:t xml:space="preserve"> </w:t>
      </w:r>
      <w:r>
        <w:t>la</w:t>
      </w:r>
      <w:r w:rsidRPr="002C4077">
        <w:t xml:space="preserve"> </w:t>
      </w:r>
      <w:r>
        <w:t>sorte,</w:t>
      </w:r>
      <w:r w:rsidRPr="002C4077">
        <w:t xml:space="preserve"> </w:t>
      </w:r>
      <w:r>
        <w:t>le</w:t>
      </w:r>
      <w:r w:rsidRPr="002C4077">
        <w:t xml:space="preserve"> </w:t>
      </w:r>
      <w:r>
        <w:t>signe</w:t>
      </w:r>
      <w:r w:rsidRPr="002C4077">
        <w:t xml:space="preserve"> </w:t>
      </w:r>
      <w:r w:rsidR="00425C50">
        <w:t>est</w:t>
      </w:r>
      <w:r>
        <w:t>,</w:t>
      </w:r>
      <w:r w:rsidRPr="002C4077">
        <w:t xml:space="preserve"> </w:t>
      </w:r>
      <w:r>
        <w:t>d’une</w:t>
      </w:r>
      <w:r w:rsidRPr="002C4077">
        <w:t xml:space="preserve"> </w:t>
      </w:r>
      <w:r>
        <w:t>part,</w:t>
      </w:r>
      <w:r w:rsidRPr="002C4077">
        <w:t xml:space="preserve"> </w:t>
      </w:r>
      <w:r>
        <w:t>un</w:t>
      </w:r>
      <w:r w:rsidRPr="002C4077">
        <w:t xml:space="preserve"> </w:t>
      </w:r>
      <w:r>
        <w:t>mystère</w:t>
      </w:r>
      <w:r w:rsidRPr="002C4077">
        <w:t xml:space="preserve"> </w:t>
      </w:r>
      <w:r>
        <w:t>sombre</w:t>
      </w:r>
      <w:r w:rsidRPr="002C4077">
        <w:t xml:space="preserve"> </w:t>
      </w:r>
      <w:r>
        <w:t>et</w:t>
      </w:r>
      <w:r w:rsidRPr="002C4077">
        <w:t xml:space="preserve"> </w:t>
      </w:r>
      <w:r>
        <w:t>menaçant</w:t>
      </w:r>
      <w:r w:rsidRPr="002C4077">
        <w:t xml:space="preserve"> </w:t>
      </w:r>
      <w:r>
        <w:t>pour</w:t>
      </w:r>
      <w:r w:rsidRPr="002C4077">
        <w:t xml:space="preserve"> </w:t>
      </w:r>
      <w:r>
        <w:t>la</w:t>
      </w:r>
      <w:r w:rsidRPr="002C4077">
        <w:t xml:space="preserve"> </w:t>
      </w:r>
      <w:r>
        <w:t>maison</w:t>
      </w:r>
      <w:r w:rsidRPr="002C4077">
        <w:t xml:space="preserve"> </w:t>
      </w:r>
      <w:r>
        <w:t>de</w:t>
      </w:r>
      <w:r w:rsidRPr="002C4077">
        <w:t xml:space="preserve"> </w:t>
      </w:r>
      <w:r>
        <w:t>David</w:t>
      </w:r>
      <w:r w:rsidR="00B546AF">
        <w:t> ;</w:t>
      </w:r>
      <w:r w:rsidRPr="002C4077">
        <w:t xml:space="preserve"> </w:t>
      </w:r>
      <w:r>
        <w:t>d’autre</w:t>
      </w:r>
      <w:r w:rsidRPr="002C4077">
        <w:t xml:space="preserve"> </w:t>
      </w:r>
      <w:r>
        <w:t>part,</w:t>
      </w:r>
      <w:r w:rsidRPr="002C4077">
        <w:t xml:space="preserve"> </w:t>
      </w:r>
      <w:r>
        <w:t>c’est</w:t>
      </w:r>
      <w:r w:rsidRPr="002C4077">
        <w:t xml:space="preserve"> </w:t>
      </w:r>
      <w:r>
        <w:t>un</w:t>
      </w:r>
      <w:r w:rsidRPr="002C4077">
        <w:t xml:space="preserve"> </w:t>
      </w:r>
      <w:r>
        <w:t>mystère</w:t>
      </w:r>
      <w:r w:rsidRPr="002C4077">
        <w:t xml:space="preserve"> </w:t>
      </w:r>
      <w:r>
        <w:t>gracieux</w:t>
      </w:r>
      <w:r w:rsidRPr="002C4077">
        <w:t xml:space="preserve"> </w:t>
      </w:r>
      <w:r>
        <w:t>et</w:t>
      </w:r>
      <w:r w:rsidRPr="002C4077">
        <w:t xml:space="preserve"> </w:t>
      </w:r>
      <w:r>
        <w:t>consolant</w:t>
      </w:r>
      <w:r w:rsidRPr="002C4077">
        <w:t xml:space="preserve"> </w:t>
      </w:r>
      <w:r>
        <w:t>pour</w:t>
      </w:r>
      <w:r w:rsidRPr="002C4077">
        <w:t xml:space="preserve"> </w:t>
      </w:r>
      <w:r>
        <w:t>le</w:t>
      </w:r>
      <w:r w:rsidRPr="002C4077">
        <w:t xml:space="preserve"> </w:t>
      </w:r>
      <w:r>
        <w:t>prophète</w:t>
      </w:r>
      <w:r w:rsidRPr="002C4077">
        <w:t xml:space="preserve"> </w:t>
      </w:r>
      <w:r>
        <w:t>et</w:t>
      </w:r>
      <w:r w:rsidRPr="002C4077">
        <w:t xml:space="preserve"> </w:t>
      </w:r>
      <w:r>
        <w:t>pour</w:t>
      </w:r>
      <w:r w:rsidRPr="002C4077">
        <w:t xml:space="preserve"> </w:t>
      </w:r>
      <w:r>
        <w:t>tous</w:t>
      </w:r>
      <w:r w:rsidRPr="002C4077">
        <w:t xml:space="preserve"> </w:t>
      </w:r>
      <w:r>
        <w:t>les</w:t>
      </w:r>
      <w:r w:rsidRPr="002C4077">
        <w:t xml:space="preserve"> </w:t>
      </w:r>
      <w:r>
        <w:t>fidèles.</w:t>
      </w:r>
      <w:r w:rsidRPr="002C4077">
        <w:t xml:space="preserve"> </w:t>
      </w:r>
      <w:r>
        <w:t>Il</w:t>
      </w:r>
      <w:r w:rsidRPr="002C4077">
        <w:t xml:space="preserve"> </w:t>
      </w:r>
      <w:r>
        <w:t>a</w:t>
      </w:r>
      <w:r w:rsidRPr="002C4077">
        <w:t xml:space="preserve"> </w:t>
      </w:r>
      <w:r>
        <w:t>reçu</w:t>
      </w:r>
      <w:r w:rsidRPr="002C4077">
        <w:t xml:space="preserve"> </w:t>
      </w:r>
      <w:r>
        <w:t>cette</w:t>
      </w:r>
      <w:r w:rsidRPr="002C4077">
        <w:t xml:space="preserve"> </w:t>
      </w:r>
      <w:r>
        <w:t>forme</w:t>
      </w:r>
      <w:r w:rsidRPr="002C4077">
        <w:t xml:space="preserve"> </w:t>
      </w:r>
      <w:r>
        <w:t>énigmatique</w:t>
      </w:r>
      <w:r w:rsidRPr="002C4077">
        <w:t xml:space="preserve"> </w:t>
      </w:r>
      <w:r>
        <w:t>afin</w:t>
      </w:r>
      <w:r w:rsidRPr="002C4077">
        <w:t xml:space="preserve"> </w:t>
      </w:r>
      <w:r>
        <w:t>que</w:t>
      </w:r>
      <w:r w:rsidRPr="002C4077">
        <w:t xml:space="preserve"> </w:t>
      </w:r>
      <w:r>
        <w:t>ceux</w:t>
      </w:r>
      <w:r w:rsidRPr="002C4077">
        <w:t xml:space="preserve"> </w:t>
      </w:r>
      <w:r>
        <w:t>qui</w:t>
      </w:r>
      <w:r w:rsidRPr="002C4077">
        <w:t xml:space="preserve"> </w:t>
      </w:r>
      <w:r>
        <w:t>s’endurcissaient</w:t>
      </w:r>
      <w:r w:rsidRPr="002C4077">
        <w:t xml:space="preserve"> </w:t>
      </w:r>
      <w:r>
        <w:t>eux-mêmes</w:t>
      </w:r>
      <w:r w:rsidRPr="002C4077">
        <w:t xml:space="preserve"> </w:t>
      </w:r>
      <w:r>
        <w:t>fussent</w:t>
      </w:r>
      <w:r w:rsidRPr="002C4077">
        <w:t xml:space="preserve"> </w:t>
      </w:r>
      <w:r>
        <w:t>incapables</w:t>
      </w:r>
      <w:r w:rsidRPr="002C4077">
        <w:t xml:space="preserve"> </w:t>
      </w:r>
      <w:r>
        <w:t>de</w:t>
      </w:r>
      <w:r w:rsidRPr="002C4077">
        <w:t xml:space="preserve"> </w:t>
      </w:r>
      <w:r>
        <w:t>le</w:t>
      </w:r>
      <w:r w:rsidRPr="002C4077">
        <w:t xml:space="preserve"> </w:t>
      </w:r>
      <w:r>
        <w:t>comprendre,</w:t>
      </w:r>
      <w:r w:rsidRPr="002C4077">
        <w:t xml:space="preserve"> </w:t>
      </w:r>
      <w:r>
        <w:t>et</w:t>
      </w:r>
      <w:r w:rsidRPr="002C4077">
        <w:t xml:space="preserve"> </w:t>
      </w:r>
      <w:r>
        <w:t>que</w:t>
      </w:r>
      <w:r w:rsidRPr="002C4077">
        <w:t xml:space="preserve"> </w:t>
      </w:r>
      <w:r>
        <w:t>les</w:t>
      </w:r>
      <w:r w:rsidRPr="002C4077">
        <w:t xml:space="preserve"> </w:t>
      </w:r>
      <w:r>
        <w:lastRenderedPageBreak/>
        <w:t>âmes</w:t>
      </w:r>
      <w:r w:rsidRPr="002C4077">
        <w:t xml:space="preserve"> </w:t>
      </w:r>
      <w:r>
        <w:t>croyantes</w:t>
      </w:r>
      <w:r w:rsidRPr="002C4077">
        <w:t xml:space="preserve"> </w:t>
      </w:r>
      <w:r>
        <w:t>fussent</w:t>
      </w:r>
      <w:r w:rsidRPr="002C4077">
        <w:t xml:space="preserve"> </w:t>
      </w:r>
      <w:r>
        <w:t>au</w:t>
      </w:r>
      <w:r w:rsidRPr="002C4077">
        <w:t xml:space="preserve"> </w:t>
      </w:r>
      <w:r>
        <w:t>contraire</w:t>
      </w:r>
      <w:r w:rsidRPr="002C4077">
        <w:t xml:space="preserve"> </w:t>
      </w:r>
      <w:r>
        <w:t>excitées</w:t>
      </w:r>
      <w:r w:rsidRPr="002C4077">
        <w:t xml:space="preserve"> </w:t>
      </w:r>
      <w:r>
        <w:t>à</w:t>
      </w:r>
      <w:r w:rsidRPr="002C4077">
        <w:t xml:space="preserve"> </w:t>
      </w:r>
      <w:r>
        <w:t>en</w:t>
      </w:r>
      <w:r w:rsidRPr="002C4077">
        <w:t xml:space="preserve"> </w:t>
      </w:r>
      <w:r>
        <w:t>chercher</w:t>
      </w:r>
      <w:r w:rsidRPr="002C4077">
        <w:t xml:space="preserve"> </w:t>
      </w:r>
      <w:r>
        <w:t>plus</w:t>
      </w:r>
      <w:r w:rsidRPr="002C4077">
        <w:t xml:space="preserve"> </w:t>
      </w:r>
      <w:r>
        <w:t>vivement</w:t>
      </w:r>
      <w:r w:rsidRPr="002C4077">
        <w:t xml:space="preserve"> </w:t>
      </w:r>
      <w:bookmarkStart w:id="276" w:name="z_Propheties_o2"/>
      <w:bookmarkEnd w:id="276"/>
      <w:r>
        <w:t>l’intelligence</w:t>
      </w:r>
      <w:r w:rsidR="00B91AF7">
        <w:rPr>
          <w:rStyle w:val="Appelnotedebasdep"/>
        </w:rPr>
        <w:footnoteReference w:id="293"/>
      </w:r>
      <w:r>
        <w:t>.</w:t>
      </w:r>
      <w:r w:rsidR="00C45B47">
        <w:t xml:space="preserve"> {</w:t>
      </w:r>
      <w:r w:rsidR="000721C4">
        <w:t>92</w:t>
      </w:r>
      <w:bookmarkStart w:id="277" w:name="p092"/>
      <w:bookmarkEnd w:id="277"/>
      <w:r w:rsidR="000721C4">
        <w:t xml:space="preserve">} </w:t>
      </w:r>
      <w:r>
        <w:t>Au</w:t>
      </w:r>
      <w:r w:rsidRPr="002C4077">
        <w:t xml:space="preserve"> </w:t>
      </w:r>
      <w:r>
        <w:t>reste,</w:t>
      </w:r>
      <w:r w:rsidRPr="002C4077">
        <w:t xml:space="preserve"> </w:t>
      </w:r>
      <w:r>
        <w:t>Achaz</w:t>
      </w:r>
      <w:r w:rsidRPr="002C4077">
        <w:t xml:space="preserve"> </w:t>
      </w:r>
      <w:r>
        <w:t>ne</w:t>
      </w:r>
      <w:r w:rsidRPr="002C4077">
        <w:t xml:space="preserve"> </w:t>
      </w:r>
      <w:r>
        <w:t>pouvait-il</w:t>
      </w:r>
      <w:r w:rsidRPr="002C4077">
        <w:t xml:space="preserve"> </w:t>
      </w:r>
      <w:r>
        <w:t>pas</w:t>
      </w:r>
      <w:r w:rsidRPr="002C4077">
        <w:t xml:space="preserve"> </w:t>
      </w:r>
      <w:r>
        <w:t>demander</w:t>
      </w:r>
      <w:r w:rsidRPr="002C4077">
        <w:t xml:space="preserve"> </w:t>
      </w:r>
      <w:r>
        <w:t>à</w:t>
      </w:r>
      <w:r w:rsidRPr="002C4077">
        <w:t xml:space="preserve"> </w:t>
      </w:r>
      <w:r>
        <w:t>Isaïe</w:t>
      </w:r>
      <w:r w:rsidRPr="002C4077">
        <w:t xml:space="preserve"> </w:t>
      </w:r>
      <w:r>
        <w:t>un</w:t>
      </w:r>
      <w:r w:rsidRPr="002C4077">
        <w:t xml:space="preserve"> </w:t>
      </w:r>
      <w:r>
        <w:t>mot</w:t>
      </w:r>
      <w:r w:rsidRPr="002C4077">
        <w:t xml:space="preserve"> </w:t>
      </w:r>
      <w:r>
        <w:t>d’explication</w:t>
      </w:r>
      <w:r w:rsidR="00B546AF">
        <w:t> ?</w:t>
      </w:r>
      <w:r w:rsidRPr="002C4077">
        <w:t xml:space="preserve"> </w:t>
      </w:r>
      <w:r>
        <w:t>Et</w:t>
      </w:r>
      <w:r w:rsidRPr="002C4077">
        <w:t xml:space="preserve"> </w:t>
      </w:r>
      <w:r>
        <w:t>qu’importe,</w:t>
      </w:r>
      <w:r w:rsidRPr="002C4077">
        <w:t xml:space="preserve"> </w:t>
      </w:r>
      <w:r>
        <w:t>après</w:t>
      </w:r>
      <w:r w:rsidRPr="002C4077">
        <w:t xml:space="preserve"> </w:t>
      </w:r>
      <w:r>
        <w:t>tout,</w:t>
      </w:r>
      <w:r w:rsidRPr="002C4077">
        <w:t xml:space="preserve"> </w:t>
      </w:r>
      <w:r>
        <w:t>que</w:t>
      </w:r>
      <w:r w:rsidRPr="002C4077">
        <w:t xml:space="preserve"> </w:t>
      </w:r>
      <w:r>
        <w:t>le</w:t>
      </w:r>
      <w:r w:rsidRPr="002C4077">
        <w:t xml:space="preserve"> </w:t>
      </w:r>
      <w:r>
        <w:t>roi</w:t>
      </w:r>
      <w:r w:rsidRPr="002C4077">
        <w:t xml:space="preserve"> </w:t>
      </w:r>
      <w:r>
        <w:t>ait</w:t>
      </w:r>
      <w:r w:rsidRPr="002C4077">
        <w:t xml:space="preserve"> </w:t>
      </w:r>
      <w:r>
        <w:t>compris</w:t>
      </w:r>
      <w:r w:rsidRPr="002C4077">
        <w:t xml:space="preserve"> </w:t>
      </w:r>
      <w:r>
        <w:t>ou</w:t>
      </w:r>
      <w:r w:rsidRPr="002C4077">
        <w:t xml:space="preserve"> </w:t>
      </w:r>
      <w:r>
        <w:t>n’ait</w:t>
      </w:r>
      <w:r w:rsidRPr="002C4077">
        <w:t xml:space="preserve"> </w:t>
      </w:r>
      <w:r>
        <w:t>pas</w:t>
      </w:r>
      <w:r w:rsidRPr="002C4077">
        <w:t xml:space="preserve"> </w:t>
      </w:r>
      <w:r>
        <w:t>compris</w:t>
      </w:r>
      <w:r w:rsidR="00B546AF">
        <w:t> ?</w:t>
      </w:r>
      <w:r w:rsidRPr="002C4077">
        <w:t xml:space="preserve"> </w:t>
      </w:r>
      <w:r>
        <w:t>En</w:t>
      </w:r>
      <w:r w:rsidRPr="002C4077">
        <w:t xml:space="preserve"> </w:t>
      </w:r>
      <w:r>
        <w:t>quoi</w:t>
      </w:r>
      <w:r w:rsidRPr="002C4077">
        <w:t xml:space="preserve"> </w:t>
      </w:r>
      <w:r>
        <w:t>cela</w:t>
      </w:r>
      <w:r w:rsidRPr="002C4077">
        <w:t xml:space="preserve"> </w:t>
      </w:r>
      <w:r>
        <w:t>touche-t-il</w:t>
      </w:r>
      <w:r w:rsidRPr="002C4077">
        <w:t xml:space="preserve"> </w:t>
      </w:r>
      <w:r>
        <w:t>le</w:t>
      </w:r>
      <w:r w:rsidRPr="002C4077">
        <w:t xml:space="preserve"> </w:t>
      </w:r>
      <w:r>
        <w:t>fond</w:t>
      </w:r>
      <w:r w:rsidRPr="002C4077">
        <w:t xml:space="preserve"> </w:t>
      </w:r>
      <w:r>
        <w:t>de</w:t>
      </w:r>
      <w:r w:rsidRPr="002C4077">
        <w:t xml:space="preserve"> </w:t>
      </w:r>
      <w:r>
        <w:t>l’oracle</w:t>
      </w:r>
      <w:r w:rsidR="00B546AF">
        <w:t> ?</w:t>
      </w:r>
      <w:r w:rsidRPr="002C4077">
        <w:t xml:space="preserve"> </w:t>
      </w:r>
      <w:r>
        <w:t>Ce</w:t>
      </w:r>
      <w:r w:rsidRPr="002C4077">
        <w:t xml:space="preserve"> </w:t>
      </w:r>
      <w:r>
        <w:t>n’est</w:t>
      </w:r>
      <w:r w:rsidRPr="002C4077">
        <w:t xml:space="preserve"> </w:t>
      </w:r>
      <w:r>
        <w:t>là</w:t>
      </w:r>
      <w:r w:rsidRPr="002C4077">
        <w:t xml:space="preserve"> </w:t>
      </w:r>
      <w:r>
        <w:t>qu’une</w:t>
      </w:r>
      <w:r w:rsidRPr="002C4077">
        <w:t xml:space="preserve"> </w:t>
      </w:r>
      <w:r>
        <w:t>circonstance</w:t>
      </w:r>
      <w:r w:rsidRPr="002C4077">
        <w:t xml:space="preserve"> </w:t>
      </w:r>
      <w:r>
        <w:t>très</w:t>
      </w:r>
      <w:r w:rsidRPr="002C4077">
        <w:t xml:space="preserve"> </w:t>
      </w:r>
      <w:r>
        <w:t>accessoire</w:t>
      </w:r>
      <w:r w:rsidRPr="002C4077">
        <w:t xml:space="preserve"> </w:t>
      </w:r>
      <w:r>
        <w:t>pour</w:t>
      </w:r>
      <w:r w:rsidRPr="002C4077">
        <w:t xml:space="preserve"> </w:t>
      </w:r>
      <w:r>
        <w:t>l’interprète,</w:t>
      </w:r>
      <w:r w:rsidRPr="002C4077">
        <w:t xml:space="preserve"> </w:t>
      </w:r>
      <w:r>
        <w:t>qui</w:t>
      </w:r>
      <w:r w:rsidRPr="002C4077">
        <w:t xml:space="preserve"> </w:t>
      </w:r>
      <w:r>
        <w:t>doit</w:t>
      </w:r>
      <w:r w:rsidRPr="002C4077">
        <w:t xml:space="preserve"> </w:t>
      </w:r>
      <w:r>
        <w:t>s’occuper</w:t>
      </w:r>
      <w:r w:rsidRPr="002C4077">
        <w:t xml:space="preserve"> </w:t>
      </w:r>
      <w:r>
        <w:t>par-dessus</w:t>
      </w:r>
      <w:r w:rsidRPr="002C4077">
        <w:t xml:space="preserve"> </w:t>
      </w:r>
      <w:r>
        <w:t>toutes</w:t>
      </w:r>
      <w:r w:rsidRPr="002C4077">
        <w:t xml:space="preserve"> </w:t>
      </w:r>
      <w:r>
        <w:t>choses,</w:t>
      </w:r>
      <w:r w:rsidRPr="002C4077">
        <w:t xml:space="preserve"> </w:t>
      </w:r>
      <w:r>
        <w:t>ainsi</w:t>
      </w:r>
      <w:r w:rsidRPr="002C4077">
        <w:t xml:space="preserve"> </w:t>
      </w:r>
      <w:r>
        <w:t>que</w:t>
      </w:r>
      <w:r w:rsidRPr="002C4077">
        <w:t xml:space="preserve"> </w:t>
      </w:r>
      <w:r>
        <w:t>nous</w:t>
      </w:r>
      <w:r w:rsidRPr="002C4077">
        <w:t xml:space="preserve"> </w:t>
      </w:r>
      <w:r>
        <w:t>l’avons</w:t>
      </w:r>
      <w:r w:rsidRPr="002C4077">
        <w:t xml:space="preserve"> </w:t>
      </w:r>
      <w:r>
        <w:t>fait</w:t>
      </w:r>
      <w:r w:rsidRPr="002C4077">
        <w:t xml:space="preserve"> </w:t>
      </w:r>
      <w:r>
        <w:t>précédemment,</w:t>
      </w:r>
      <w:r w:rsidRPr="002C4077">
        <w:t xml:space="preserve"> </w:t>
      </w:r>
      <w:r>
        <w:t>du</w:t>
      </w:r>
      <w:r w:rsidRPr="002C4077">
        <w:t xml:space="preserve"> </w:t>
      </w:r>
      <w:r>
        <w:t>sens</w:t>
      </w:r>
      <w:r w:rsidRPr="002C4077">
        <w:t xml:space="preserve"> </w:t>
      </w:r>
      <w:r>
        <w:t>naturel</w:t>
      </w:r>
      <w:r w:rsidRPr="002C4077">
        <w:t xml:space="preserve"> </w:t>
      </w:r>
      <w:r>
        <w:t>des</w:t>
      </w:r>
      <w:r w:rsidRPr="002C4077">
        <w:t xml:space="preserve"> </w:t>
      </w:r>
      <w:r>
        <w:t>termes</w:t>
      </w:r>
      <w:r w:rsidRPr="002C4077">
        <w:t xml:space="preserve"> </w:t>
      </w:r>
      <w:r>
        <w:t>d’après</w:t>
      </w:r>
      <w:r w:rsidRPr="002C4077">
        <w:t xml:space="preserve"> </w:t>
      </w:r>
      <w:r>
        <w:t>les</w:t>
      </w:r>
      <w:r w:rsidRPr="002C4077">
        <w:t xml:space="preserve"> </w:t>
      </w:r>
      <w:r>
        <w:t>règles</w:t>
      </w:r>
      <w:r w:rsidRPr="002C4077">
        <w:t xml:space="preserve"> </w:t>
      </w:r>
      <w:r>
        <w:t>ordinaires</w:t>
      </w:r>
      <w:r w:rsidRPr="002C4077">
        <w:t xml:space="preserve"> </w:t>
      </w:r>
      <w:r>
        <w:t>de</w:t>
      </w:r>
      <w:r w:rsidRPr="002C4077">
        <w:t xml:space="preserve"> </w:t>
      </w:r>
      <w:r>
        <w:t>l’herméneutique</w:t>
      </w:r>
      <w:r w:rsidR="00B91AF7">
        <w:rPr>
          <w:rStyle w:val="Appelnotedebasdep"/>
        </w:rPr>
        <w:footnoteReference w:id="294"/>
      </w:r>
      <w:r>
        <w:t>.</w:t>
      </w:r>
      <w:r w:rsidRPr="002C4077">
        <w:t xml:space="preserve"> </w:t>
      </w:r>
    </w:p>
    <w:p w:rsidR="000A7AAB" w:rsidRDefault="000A7AAB" w:rsidP="000A7AAB">
      <w:r>
        <w:t>Mais</w:t>
      </w:r>
      <w:r w:rsidRPr="002C4077">
        <w:t xml:space="preserve"> </w:t>
      </w:r>
      <w:r>
        <w:t>nous</w:t>
      </w:r>
      <w:r w:rsidRPr="002C4077">
        <w:t xml:space="preserve"> </w:t>
      </w:r>
      <w:r>
        <w:t>irons</w:t>
      </w:r>
      <w:r w:rsidRPr="002C4077">
        <w:t xml:space="preserve"> </w:t>
      </w:r>
      <w:r>
        <w:t>plus</w:t>
      </w:r>
      <w:r w:rsidRPr="002C4077">
        <w:t xml:space="preserve"> </w:t>
      </w:r>
      <w:r>
        <w:t>loin</w:t>
      </w:r>
      <w:r w:rsidRPr="002C4077">
        <w:t xml:space="preserve"> </w:t>
      </w:r>
      <w:r>
        <w:t>et</w:t>
      </w:r>
      <w:r w:rsidRPr="002C4077">
        <w:t xml:space="preserve"> </w:t>
      </w:r>
      <w:r>
        <w:t>nous</w:t>
      </w:r>
      <w:r w:rsidRPr="002C4077">
        <w:t xml:space="preserve"> </w:t>
      </w:r>
      <w:r>
        <w:t>ne</w:t>
      </w:r>
      <w:r w:rsidRPr="002C4077">
        <w:t xml:space="preserve"> </w:t>
      </w:r>
      <w:r>
        <w:t>craindrons</w:t>
      </w:r>
      <w:r w:rsidRPr="002C4077">
        <w:t xml:space="preserve"> </w:t>
      </w:r>
      <w:r>
        <w:t>pas</w:t>
      </w:r>
      <w:r w:rsidRPr="002C4077">
        <w:t xml:space="preserve"> </w:t>
      </w:r>
      <w:r>
        <w:t>d’affirmer,</w:t>
      </w:r>
      <w:r w:rsidRPr="002C4077">
        <w:t xml:space="preserve"> </w:t>
      </w:r>
      <w:r>
        <w:t>à</w:t>
      </w:r>
      <w:r w:rsidRPr="002C4077">
        <w:t xml:space="preserve"> </w:t>
      </w:r>
      <w:r>
        <w:t>la</w:t>
      </w:r>
      <w:r w:rsidRPr="002C4077">
        <w:t xml:space="preserve"> </w:t>
      </w:r>
      <w:r>
        <w:t>suite</w:t>
      </w:r>
      <w:r w:rsidRPr="002C4077">
        <w:t xml:space="preserve"> </w:t>
      </w:r>
      <w:r>
        <w:t>de</w:t>
      </w:r>
      <w:r w:rsidRPr="002C4077">
        <w:t xml:space="preserve"> </w:t>
      </w:r>
      <w:r>
        <w:t>plusieurs</w:t>
      </w:r>
      <w:r w:rsidRPr="002C4077">
        <w:t xml:space="preserve"> </w:t>
      </w:r>
      <w:r>
        <w:t>exégètes,</w:t>
      </w:r>
      <w:r w:rsidRPr="002C4077">
        <w:t xml:space="preserve"> </w:t>
      </w:r>
      <w:r>
        <w:t>que</w:t>
      </w:r>
      <w:r w:rsidRPr="002C4077">
        <w:t xml:space="preserve"> </w:t>
      </w:r>
      <w:r>
        <w:t>le</w:t>
      </w:r>
      <w:r w:rsidRPr="002C4077">
        <w:t xml:space="preserve"> </w:t>
      </w:r>
      <w:r>
        <w:t>roi</w:t>
      </w:r>
      <w:r w:rsidRPr="002C4077">
        <w:t xml:space="preserve"> </w:t>
      </w:r>
      <w:r>
        <w:t>Achaz</w:t>
      </w:r>
      <w:r w:rsidRPr="002C4077">
        <w:t xml:space="preserve"> </w:t>
      </w:r>
      <w:r>
        <w:t>pouvait</w:t>
      </w:r>
      <w:r w:rsidRPr="002C4077">
        <w:t xml:space="preserve"> </w:t>
      </w:r>
      <w:r>
        <w:t>comprendre</w:t>
      </w:r>
      <w:r w:rsidR="00B546AF">
        <w:t> ;</w:t>
      </w:r>
      <w:r w:rsidRPr="002C4077">
        <w:t xml:space="preserve"> </w:t>
      </w:r>
      <w:r>
        <w:t>bien</w:t>
      </w:r>
      <w:r w:rsidRPr="002C4077">
        <w:t xml:space="preserve"> </w:t>
      </w:r>
      <w:r>
        <w:t>plus,</w:t>
      </w:r>
      <w:r w:rsidRPr="002C4077">
        <w:t xml:space="preserve"> </w:t>
      </w:r>
      <w:r>
        <w:t>qu’il</w:t>
      </w:r>
      <w:r w:rsidRPr="002C4077">
        <w:t xml:space="preserve"> </w:t>
      </w:r>
      <w:r>
        <w:t>n’était</w:t>
      </w:r>
      <w:r w:rsidRPr="002C4077">
        <w:t xml:space="preserve"> </w:t>
      </w:r>
      <w:r>
        <w:t>pas</w:t>
      </w:r>
      <w:r w:rsidRPr="002C4077">
        <w:t xml:space="preserve"> </w:t>
      </w:r>
      <w:r>
        <w:t>possible</w:t>
      </w:r>
      <w:r w:rsidRPr="002C4077">
        <w:t xml:space="preserve"> </w:t>
      </w:r>
      <w:r>
        <w:t>de</w:t>
      </w:r>
      <w:r w:rsidRPr="002C4077">
        <w:t xml:space="preserve"> </w:t>
      </w:r>
      <w:r>
        <w:t>lui</w:t>
      </w:r>
      <w:r w:rsidRPr="002C4077">
        <w:t xml:space="preserve"> </w:t>
      </w:r>
      <w:r>
        <w:t>donner</w:t>
      </w:r>
      <w:r w:rsidRPr="002C4077">
        <w:t xml:space="preserve"> </w:t>
      </w:r>
      <w:r>
        <w:t>une</w:t>
      </w:r>
      <w:r w:rsidRPr="002C4077">
        <w:t xml:space="preserve"> </w:t>
      </w:r>
      <w:r>
        <w:t>garantie</w:t>
      </w:r>
      <w:r w:rsidRPr="002C4077">
        <w:t xml:space="preserve"> </w:t>
      </w:r>
      <w:r>
        <w:t>plus</w:t>
      </w:r>
      <w:r w:rsidRPr="002C4077">
        <w:t xml:space="preserve"> </w:t>
      </w:r>
      <w:r>
        <w:t>forte</w:t>
      </w:r>
      <w:r w:rsidRPr="002C4077">
        <w:t xml:space="preserve"> </w:t>
      </w:r>
      <w:r>
        <w:t>de</w:t>
      </w:r>
      <w:r w:rsidRPr="002C4077">
        <w:t xml:space="preserve"> </w:t>
      </w:r>
      <w:r>
        <w:t>salut.</w:t>
      </w:r>
      <w:r w:rsidRPr="002C4077">
        <w:t xml:space="preserve"> </w:t>
      </w:r>
    </w:p>
    <w:p w:rsidR="000A7AAB" w:rsidRPr="000721C4" w:rsidRDefault="000A7AAB" w:rsidP="000A7AAB">
      <w:r>
        <w:t>Pour</w:t>
      </w:r>
      <w:r w:rsidRPr="002C4077">
        <w:t xml:space="preserve"> </w:t>
      </w:r>
      <w:r>
        <w:t>lui,</w:t>
      </w:r>
      <w:r w:rsidRPr="002C4077">
        <w:t xml:space="preserve"> </w:t>
      </w:r>
      <w:r>
        <w:t>comme</w:t>
      </w:r>
      <w:r w:rsidRPr="002C4077">
        <w:t xml:space="preserve"> </w:t>
      </w:r>
      <w:r>
        <w:t>pour</w:t>
      </w:r>
      <w:r w:rsidRPr="002C4077">
        <w:t xml:space="preserve"> </w:t>
      </w:r>
      <w:r>
        <w:t>nous,</w:t>
      </w:r>
      <w:r w:rsidRPr="002C4077">
        <w:t xml:space="preserve"> </w:t>
      </w:r>
      <w:r>
        <w:t>le</w:t>
      </w:r>
      <w:r w:rsidRPr="002C4077">
        <w:t xml:space="preserve"> </w:t>
      </w:r>
      <w:r>
        <w:t>fils</w:t>
      </w:r>
      <w:r w:rsidRPr="002C4077">
        <w:t xml:space="preserve"> </w:t>
      </w:r>
      <w:r>
        <w:t>de</w:t>
      </w:r>
      <w:r w:rsidRPr="002C4077">
        <w:t xml:space="preserve"> </w:t>
      </w:r>
      <w:r w:rsidR="00D40830" w:rsidRPr="00D40830">
        <w:t>l’</w:t>
      </w:r>
      <w:r w:rsidR="00D40830" w:rsidRPr="00D05EA9">
        <w:rPr>
          <w:rStyle w:val="italicus"/>
        </w:rPr>
        <w:t>῾almah</w:t>
      </w:r>
      <w:r w:rsidRPr="002C4077">
        <w:t xml:space="preserve"> </w:t>
      </w:r>
      <w:r>
        <w:t>était</w:t>
      </w:r>
      <w:r w:rsidRPr="002C4077">
        <w:t xml:space="preserve"> </w:t>
      </w:r>
      <w:r>
        <w:t>nécessairement</w:t>
      </w:r>
      <w:r w:rsidRPr="002C4077">
        <w:t xml:space="preserve"> </w:t>
      </w:r>
      <w:r>
        <w:t>le</w:t>
      </w:r>
      <w:r w:rsidRPr="002C4077">
        <w:t xml:space="preserve"> </w:t>
      </w:r>
      <w:r>
        <w:t>Messie</w:t>
      </w:r>
      <w:r w:rsidR="00B91AF7">
        <w:rPr>
          <w:rStyle w:val="Appelnotedebasdep"/>
        </w:rPr>
        <w:footnoteReference w:id="295"/>
      </w:r>
      <w:r w:rsidR="00B546AF">
        <w:t> ;</w:t>
      </w:r>
      <w:r w:rsidRPr="002C4077">
        <w:t xml:space="preserve"> </w:t>
      </w:r>
      <w:r>
        <w:t>or,</w:t>
      </w:r>
      <w:r w:rsidRPr="002C4077">
        <w:t xml:space="preserve"> </w:t>
      </w:r>
      <w:r>
        <w:t>en</w:t>
      </w:r>
      <w:r w:rsidRPr="002C4077">
        <w:t xml:space="preserve"> </w:t>
      </w:r>
      <w:r>
        <w:t>de</w:t>
      </w:r>
      <w:r w:rsidRPr="002C4077">
        <w:t xml:space="preserve"> </w:t>
      </w:r>
      <w:r>
        <w:t>pareilles</w:t>
      </w:r>
      <w:r w:rsidRPr="002C4077">
        <w:t xml:space="preserve"> </w:t>
      </w:r>
      <w:r>
        <w:t>circonstances,</w:t>
      </w:r>
      <w:r w:rsidRPr="002C4077">
        <w:t xml:space="preserve"> </w:t>
      </w:r>
      <w:r>
        <w:t>promettre</w:t>
      </w:r>
      <w:r w:rsidRPr="002C4077">
        <w:t xml:space="preserve"> </w:t>
      </w:r>
      <w:r>
        <w:t>la</w:t>
      </w:r>
      <w:r w:rsidRPr="002C4077">
        <w:t xml:space="preserve"> </w:t>
      </w:r>
      <w:r>
        <w:t>naissance</w:t>
      </w:r>
      <w:r w:rsidRPr="002C4077">
        <w:t xml:space="preserve"> </w:t>
      </w:r>
      <w:r>
        <w:t>du</w:t>
      </w:r>
      <w:r w:rsidRPr="002C4077">
        <w:t xml:space="preserve"> </w:t>
      </w:r>
      <w:r>
        <w:t>Messie,</w:t>
      </w:r>
      <w:r w:rsidRPr="002C4077">
        <w:t xml:space="preserve"> </w:t>
      </w:r>
      <w:r>
        <w:t>à</w:t>
      </w:r>
      <w:r w:rsidRPr="002C4077">
        <w:t xml:space="preserve"> </w:t>
      </w:r>
      <w:r>
        <w:t>quelque</w:t>
      </w:r>
      <w:r w:rsidRPr="002C4077">
        <w:t xml:space="preserve"> </w:t>
      </w:r>
      <w:r>
        <w:t>époque</w:t>
      </w:r>
      <w:r w:rsidRPr="002C4077">
        <w:t xml:space="preserve"> </w:t>
      </w:r>
      <w:r>
        <w:t>d’ailleurs</w:t>
      </w:r>
      <w:r w:rsidRPr="002C4077">
        <w:t xml:space="preserve"> </w:t>
      </w:r>
      <w:r>
        <w:t>qu’elle</w:t>
      </w:r>
      <w:r w:rsidRPr="002C4077">
        <w:t xml:space="preserve"> </w:t>
      </w:r>
      <w:r>
        <w:t>dût</w:t>
      </w:r>
      <w:r w:rsidRPr="002C4077">
        <w:t xml:space="preserve"> </w:t>
      </w:r>
      <w:r>
        <w:t>avoir</w:t>
      </w:r>
      <w:r w:rsidRPr="002C4077">
        <w:t xml:space="preserve"> </w:t>
      </w:r>
      <w:r>
        <w:t>lieu,</w:t>
      </w:r>
      <w:r w:rsidRPr="002C4077">
        <w:t xml:space="preserve"> </w:t>
      </w:r>
      <w:r>
        <w:t>c’était</w:t>
      </w:r>
      <w:r w:rsidRPr="002C4077">
        <w:t xml:space="preserve"> </w:t>
      </w:r>
      <w:r>
        <w:t>annoncer</w:t>
      </w:r>
      <w:r w:rsidRPr="002C4077">
        <w:t xml:space="preserve"> </w:t>
      </w:r>
      <w:r>
        <w:t>avec</w:t>
      </w:r>
      <w:r w:rsidRPr="002C4077">
        <w:t xml:space="preserve"> </w:t>
      </w:r>
      <w:r>
        <w:t>certitude</w:t>
      </w:r>
      <w:r w:rsidRPr="002C4077">
        <w:t xml:space="preserve"> </w:t>
      </w:r>
      <w:r>
        <w:t>que</w:t>
      </w:r>
      <w:r w:rsidRPr="002C4077">
        <w:t xml:space="preserve"> </w:t>
      </w:r>
      <w:r>
        <w:t>la</w:t>
      </w:r>
      <w:r w:rsidRPr="002C4077">
        <w:t xml:space="preserve"> </w:t>
      </w:r>
      <w:r>
        <w:t>race</w:t>
      </w:r>
      <w:r w:rsidRPr="002C4077">
        <w:t xml:space="preserve"> </w:t>
      </w:r>
      <w:r>
        <w:t>royale</w:t>
      </w:r>
      <w:r w:rsidRPr="002C4077">
        <w:t xml:space="preserve"> </w:t>
      </w:r>
      <w:r>
        <w:t>ne</w:t>
      </w:r>
      <w:r w:rsidRPr="002C4077">
        <w:t xml:space="preserve"> </w:t>
      </w:r>
      <w:r>
        <w:t>périrait</w:t>
      </w:r>
      <w:r w:rsidRPr="002C4077">
        <w:t xml:space="preserve"> </w:t>
      </w:r>
      <w:r>
        <w:t>pas,</w:t>
      </w:r>
      <w:r w:rsidRPr="002C4077">
        <w:t xml:space="preserve"> </w:t>
      </w:r>
      <w:r>
        <w:t>puisque</w:t>
      </w:r>
      <w:r w:rsidRPr="002C4077">
        <w:t xml:space="preserve"> </w:t>
      </w:r>
      <w:r>
        <w:t>Dieu</w:t>
      </w:r>
      <w:r w:rsidRPr="002C4077">
        <w:t xml:space="preserve"> </w:t>
      </w:r>
      <w:r>
        <w:t>avait</w:t>
      </w:r>
      <w:r w:rsidRPr="002C4077">
        <w:t xml:space="preserve"> </w:t>
      </w:r>
      <w:r>
        <w:t>promis</w:t>
      </w:r>
      <w:r w:rsidRPr="002C4077">
        <w:t xml:space="preserve"> </w:t>
      </w:r>
      <w:r>
        <w:t>explicitement</w:t>
      </w:r>
      <w:r w:rsidRPr="002C4077">
        <w:t xml:space="preserve"> </w:t>
      </w:r>
      <w:r>
        <w:t>que</w:t>
      </w:r>
      <w:r w:rsidRPr="002C4077">
        <w:t xml:space="preserve"> </w:t>
      </w:r>
      <w:r>
        <w:t>le</w:t>
      </w:r>
      <w:r w:rsidRPr="002C4077">
        <w:t xml:space="preserve"> </w:t>
      </w:r>
      <w:r w:rsidR="00425C50">
        <w:t>Christ</w:t>
      </w:r>
      <w:r w:rsidRPr="002C4077">
        <w:t xml:space="preserve"> </w:t>
      </w:r>
      <w:r>
        <w:t>serait</w:t>
      </w:r>
      <w:r w:rsidRPr="002C4077">
        <w:t xml:space="preserve"> </w:t>
      </w:r>
      <w:r>
        <w:t>le</w:t>
      </w:r>
      <w:r w:rsidRPr="002C4077">
        <w:t xml:space="preserve"> </w:t>
      </w:r>
      <w:r>
        <w:t>fils</w:t>
      </w:r>
      <w:r w:rsidRPr="002C4077">
        <w:t xml:space="preserve"> </w:t>
      </w:r>
      <w:r>
        <w:t>de</w:t>
      </w:r>
      <w:r w:rsidRPr="002C4077">
        <w:t xml:space="preserve"> </w:t>
      </w:r>
      <w:r>
        <w:t>David</w:t>
      </w:r>
      <w:r w:rsidRPr="002C4077">
        <w:t xml:space="preserve"> </w:t>
      </w:r>
      <w:r>
        <w:t>selon</w:t>
      </w:r>
      <w:r w:rsidRPr="002C4077">
        <w:t xml:space="preserve"> </w:t>
      </w:r>
      <w:r>
        <w:t>la</w:t>
      </w:r>
      <w:r w:rsidRPr="002C4077">
        <w:t xml:space="preserve"> </w:t>
      </w:r>
      <w:r>
        <w:t>chair</w:t>
      </w:r>
      <w:r w:rsidR="006B5CEF">
        <w:rPr>
          <w:rStyle w:val="Appelnotedebasdep"/>
        </w:rPr>
        <w:footnoteReference w:id="296"/>
      </w:r>
      <w:r>
        <w:t>.</w:t>
      </w:r>
      <w:r w:rsidRPr="002C4077">
        <w:t xml:space="preserve"> </w:t>
      </w:r>
      <w:r>
        <w:t>Vitringa</w:t>
      </w:r>
      <w:r w:rsidRPr="002C4077">
        <w:t xml:space="preserve"> </w:t>
      </w:r>
      <w:r w:rsidR="00425C50">
        <w:t>est</w:t>
      </w:r>
      <w:r w:rsidRPr="002C4077">
        <w:t xml:space="preserve"> </w:t>
      </w:r>
      <w:r>
        <w:t>donc</w:t>
      </w:r>
      <w:r w:rsidRPr="002C4077">
        <w:t xml:space="preserve"> </w:t>
      </w:r>
      <w:r>
        <w:t>parfaitement</w:t>
      </w:r>
      <w:r w:rsidRPr="002C4077">
        <w:t xml:space="preserve"> </w:t>
      </w:r>
      <w:r>
        <w:t>en</w:t>
      </w:r>
      <w:r w:rsidRPr="002C4077">
        <w:t xml:space="preserve"> </w:t>
      </w:r>
      <w:r>
        <w:t>droit</w:t>
      </w:r>
      <w:r w:rsidRPr="002C4077">
        <w:t xml:space="preserve"> </w:t>
      </w:r>
      <w:r>
        <w:t>de</w:t>
      </w:r>
      <w:r w:rsidRPr="002C4077">
        <w:t xml:space="preserve"> </w:t>
      </w:r>
      <w:r>
        <w:t>dire</w:t>
      </w:r>
      <w:r w:rsidRPr="002C4077">
        <w:t xml:space="preserve"> </w:t>
      </w:r>
      <w:r>
        <w:t>qu’un</w:t>
      </w:r>
      <w:r w:rsidRPr="002C4077">
        <w:t xml:space="preserve"> </w:t>
      </w:r>
      <w:r>
        <w:t>homme</w:t>
      </w:r>
      <w:r w:rsidRPr="002C4077">
        <w:t xml:space="preserve"> </w:t>
      </w:r>
      <w:r>
        <w:t>impie</w:t>
      </w:r>
      <w:r w:rsidRPr="002C4077">
        <w:t xml:space="preserve"> </w:t>
      </w:r>
      <w:r>
        <w:t>et</w:t>
      </w:r>
      <w:r w:rsidRPr="002C4077">
        <w:t xml:space="preserve"> </w:t>
      </w:r>
      <w:r>
        <w:t>grossier</w:t>
      </w:r>
      <w:r w:rsidRPr="002C4077">
        <w:t xml:space="preserve"> </w:t>
      </w:r>
      <w:r>
        <w:t>comme</w:t>
      </w:r>
      <w:r w:rsidRPr="002C4077">
        <w:t xml:space="preserve"> </w:t>
      </w:r>
      <w:r>
        <w:t>l’était</w:t>
      </w:r>
      <w:r w:rsidRPr="002C4077">
        <w:t xml:space="preserve"> </w:t>
      </w:r>
      <w:r>
        <w:t>Achaz</w:t>
      </w:r>
      <w:r w:rsidRPr="002C4077">
        <w:t xml:space="preserve"> </w:t>
      </w:r>
      <w:r>
        <w:t>ne</w:t>
      </w:r>
      <w:r w:rsidRPr="002C4077">
        <w:t xml:space="preserve"> </w:t>
      </w:r>
      <w:r>
        <w:t>pouvait</w:t>
      </w:r>
      <w:r w:rsidRPr="002C4077">
        <w:t xml:space="preserve"> </w:t>
      </w:r>
      <w:r>
        <w:t>recevoir</w:t>
      </w:r>
      <w:r w:rsidRPr="002C4077">
        <w:t xml:space="preserve"> </w:t>
      </w:r>
      <w:r>
        <w:t>du</w:t>
      </w:r>
      <w:r w:rsidRPr="002C4077">
        <w:t xml:space="preserve"> </w:t>
      </w:r>
      <w:r>
        <w:t>ciel</w:t>
      </w:r>
      <w:r w:rsidRPr="002C4077">
        <w:t xml:space="preserve"> </w:t>
      </w:r>
      <w:r>
        <w:t>un</w:t>
      </w:r>
      <w:r w:rsidRPr="002C4077">
        <w:t xml:space="preserve"> </w:t>
      </w:r>
      <w:r>
        <w:t>signe</w:t>
      </w:r>
      <w:r w:rsidRPr="002C4077">
        <w:t xml:space="preserve"> </w:t>
      </w:r>
      <w:r>
        <w:t>plus</w:t>
      </w:r>
      <w:r w:rsidRPr="002C4077">
        <w:t xml:space="preserve"> </w:t>
      </w:r>
      <w:r>
        <w:t>frappant.</w:t>
      </w:r>
      <w:r w:rsidRPr="002C4077">
        <w:t xml:space="preserve"> </w:t>
      </w:r>
      <w:r w:rsidRPr="000A34B5">
        <w:rPr>
          <w:rStyle w:val="italicus"/>
        </w:rPr>
        <w:t>Sane</w:t>
      </w:r>
      <w:r w:rsidRPr="002C4077">
        <w:t xml:space="preserve"> </w:t>
      </w:r>
      <w:r w:rsidR="00425C50">
        <w:rPr>
          <w:rStyle w:val="italicus"/>
        </w:rPr>
        <w:t>est</w:t>
      </w:r>
      <w:r w:rsidRPr="002C4077">
        <w:t xml:space="preserve"> </w:t>
      </w:r>
      <w:r w:rsidRPr="000A34B5">
        <w:rPr>
          <w:rStyle w:val="italicus"/>
        </w:rPr>
        <w:t>hic</w:t>
      </w:r>
      <w:r w:rsidRPr="002C4077">
        <w:t xml:space="preserve"> </w:t>
      </w:r>
      <w:r w:rsidRPr="000A34B5">
        <w:rPr>
          <w:rStyle w:val="italicus"/>
        </w:rPr>
        <w:t>in</w:t>
      </w:r>
      <w:r w:rsidRPr="002C4077">
        <w:t xml:space="preserve"> </w:t>
      </w:r>
      <w:r w:rsidRPr="000A34B5">
        <w:rPr>
          <w:rStyle w:val="italicus"/>
        </w:rPr>
        <w:t>quo</w:t>
      </w:r>
      <w:r w:rsidRPr="002C4077">
        <w:t xml:space="preserve"> </w:t>
      </w:r>
      <w:r w:rsidRPr="000A34B5">
        <w:rPr>
          <w:rStyle w:val="italicus"/>
        </w:rPr>
        <w:t>homo</w:t>
      </w:r>
      <w:r w:rsidRPr="002C4077">
        <w:t xml:space="preserve"> </w:t>
      </w:r>
      <w:r w:rsidRPr="000A34B5">
        <w:rPr>
          <w:rStyle w:val="italicus"/>
        </w:rPr>
        <w:t>c</w:t>
      </w:r>
      <w:r w:rsidR="003B53FD" w:rsidRPr="000A34B5">
        <w:rPr>
          <w:rStyle w:val="italicus"/>
        </w:rPr>
        <w:t>arn</w:t>
      </w:r>
      <w:r w:rsidR="003B53FD">
        <w:rPr>
          <w:rStyle w:val="italicus"/>
        </w:rPr>
        <w:t>á</w:t>
      </w:r>
      <w:r w:rsidR="003B53FD" w:rsidRPr="000A34B5">
        <w:rPr>
          <w:rStyle w:val="italicus"/>
        </w:rPr>
        <w:t>lis</w:t>
      </w:r>
      <w:r w:rsidRPr="002C4077">
        <w:t xml:space="preserve"> </w:t>
      </w:r>
      <w:r w:rsidRPr="000A34B5">
        <w:rPr>
          <w:rStyle w:val="italicus"/>
        </w:rPr>
        <w:t>potest</w:t>
      </w:r>
      <w:r w:rsidRPr="002C4077">
        <w:t xml:space="preserve"> </w:t>
      </w:r>
      <w:r w:rsidR="006E0521" w:rsidRPr="000A34B5">
        <w:rPr>
          <w:rStyle w:val="italicus"/>
        </w:rPr>
        <w:t>h</w:t>
      </w:r>
      <w:r w:rsidR="006E0521">
        <w:rPr>
          <w:rStyle w:val="italicus"/>
        </w:rPr>
        <w:t>æ</w:t>
      </w:r>
      <w:r w:rsidR="006E0521" w:rsidRPr="000A34B5">
        <w:rPr>
          <w:rStyle w:val="italicus"/>
        </w:rPr>
        <w:t>rére</w:t>
      </w:r>
      <w:r w:rsidR="00B91AF7">
        <w:rPr>
          <w:rStyle w:val="Appelnotedebasdep"/>
          <w:i/>
        </w:rPr>
        <w:footnoteReference w:id="297"/>
      </w:r>
      <w:r>
        <w:t>.</w:t>
      </w:r>
      <w:r w:rsidRPr="002C4077">
        <w:t xml:space="preserve"> </w:t>
      </w:r>
      <w:r w:rsidR="00B546AF">
        <w:t>« </w:t>
      </w:r>
      <w:r>
        <w:t>La</w:t>
      </w:r>
      <w:r w:rsidRPr="002C4077">
        <w:t xml:space="preserve"> </w:t>
      </w:r>
      <w:r>
        <w:t>maison</w:t>
      </w:r>
      <w:r w:rsidRPr="002C4077">
        <w:t xml:space="preserve"> </w:t>
      </w:r>
      <w:r>
        <w:t>de</w:t>
      </w:r>
      <w:r w:rsidRPr="002C4077">
        <w:t xml:space="preserve"> </w:t>
      </w:r>
      <w:r>
        <w:t>David</w:t>
      </w:r>
      <w:r w:rsidRPr="002C4077">
        <w:t xml:space="preserve"> </w:t>
      </w:r>
      <w:r>
        <w:t>ne</w:t>
      </w:r>
      <w:r w:rsidRPr="002C4077">
        <w:t xml:space="preserve"> </w:t>
      </w:r>
      <w:r>
        <w:t>peut</w:t>
      </w:r>
      <w:r w:rsidRPr="002C4077">
        <w:t xml:space="preserve"> </w:t>
      </w:r>
      <w:r>
        <w:t>pas,</w:t>
      </w:r>
      <w:r w:rsidRPr="002C4077">
        <w:t xml:space="preserve"> </w:t>
      </w:r>
      <w:r>
        <w:t>ne</w:t>
      </w:r>
      <w:r w:rsidRPr="002C4077">
        <w:t xml:space="preserve"> </w:t>
      </w:r>
      <w:r>
        <w:t>doit</w:t>
      </w:r>
      <w:r w:rsidRPr="002C4077">
        <w:t xml:space="preserve"> </w:t>
      </w:r>
      <w:r>
        <w:t>pas</w:t>
      </w:r>
      <w:r w:rsidRPr="002C4077">
        <w:t xml:space="preserve"> </w:t>
      </w:r>
      <w:r>
        <w:t>succomber</w:t>
      </w:r>
      <w:r w:rsidR="00B546AF">
        <w:t> ;</w:t>
      </w:r>
      <w:r w:rsidRPr="002C4077">
        <w:t xml:space="preserve"> </w:t>
      </w:r>
      <w:r>
        <w:t>elle</w:t>
      </w:r>
      <w:r w:rsidRPr="002C4077">
        <w:t xml:space="preserve"> </w:t>
      </w:r>
      <w:r>
        <w:t>ne</w:t>
      </w:r>
      <w:r w:rsidRPr="002C4077">
        <w:t xml:space="preserve"> </w:t>
      </w:r>
      <w:r>
        <w:t>peut</w:t>
      </w:r>
      <w:r w:rsidRPr="002C4077">
        <w:t xml:space="preserve"> </w:t>
      </w:r>
      <w:r>
        <w:t>pas</w:t>
      </w:r>
      <w:r w:rsidRPr="002C4077">
        <w:t xml:space="preserve"> </w:t>
      </w:r>
      <w:r>
        <w:t>être</w:t>
      </w:r>
      <w:r w:rsidRPr="002C4077">
        <w:t xml:space="preserve"> </w:t>
      </w:r>
      <w:r>
        <w:t>extirpée</w:t>
      </w:r>
      <w:r w:rsidRPr="002C4077">
        <w:t xml:space="preserve"> </w:t>
      </w:r>
      <w:r>
        <w:t>par</w:t>
      </w:r>
      <w:r w:rsidRPr="002C4077">
        <w:t xml:space="preserve"> </w:t>
      </w:r>
      <w:r>
        <w:t>ses</w:t>
      </w:r>
      <w:r w:rsidRPr="002C4077">
        <w:t xml:space="preserve"> </w:t>
      </w:r>
      <w:r>
        <w:t>ennemis.</w:t>
      </w:r>
      <w:r w:rsidRPr="002C4077">
        <w:t xml:space="preserve"> </w:t>
      </w:r>
      <w:r>
        <w:t>Pour</w:t>
      </w:r>
      <w:r w:rsidRPr="002C4077">
        <w:t xml:space="preserve"> </w:t>
      </w:r>
      <w:r>
        <w:t>attester</w:t>
      </w:r>
      <w:r w:rsidRPr="002C4077">
        <w:t xml:space="preserve"> </w:t>
      </w:r>
      <w:r>
        <w:t>que</w:t>
      </w:r>
      <w:r w:rsidRPr="002C4077">
        <w:t xml:space="preserve"> </w:t>
      </w:r>
      <w:r>
        <w:t>tel</w:t>
      </w:r>
      <w:r w:rsidRPr="002C4077">
        <w:t xml:space="preserve"> </w:t>
      </w:r>
      <w:r w:rsidR="00425C50">
        <w:t>est</w:t>
      </w:r>
      <w:r w:rsidRPr="002C4077">
        <w:t xml:space="preserve"> </w:t>
      </w:r>
      <w:r>
        <w:t>son</w:t>
      </w:r>
      <w:r w:rsidRPr="002C4077">
        <w:t xml:space="preserve"> </w:t>
      </w:r>
      <w:r>
        <w:t>décret,</w:t>
      </w:r>
      <w:r w:rsidRPr="002C4077">
        <w:t xml:space="preserve"> </w:t>
      </w:r>
      <w:r>
        <w:t>Dieu</w:t>
      </w:r>
      <w:r w:rsidRPr="002C4077">
        <w:t xml:space="preserve"> </w:t>
      </w:r>
      <w:r>
        <w:t>donnera</w:t>
      </w:r>
      <w:r w:rsidRPr="002C4077">
        <w:t xml:space="preserve"> </w:t>
      </w:r>
      <w:r>
        <w:t>le</w:t>
      </w:r>
      <w:r w:rsidRPr="002C4077">
        <w:t xml:space="preserve"> </w:t>
      </w:r>
      <w:r>
        <w:t>signe</w:t>
      </w:r>
      <w:r w:rsidRPr="002C4077">
        <w:t xml:space="preserve"> </w:t>
      </w:r>
      <w:r>
        <w:t>le</w:t>
      </w:r>
      <w:r w:rsidRPr="002C4077">
        <w:t xml:space="preserve"> </w:t>
      </w:r>
      <w:r>
        <w:t>plus</w:t>
      </w:r>
      <w:r w:rsidRPr="002C4077">
        <w:t xml:space="preserve"> </w:t>
      </w:r>
      <w:r>
        <w:t>décisif,</w:t>
      </w:r>
      <w:r w:rsidRPr="002C4077">
        <w:t xml:space="preserve"> </w:t>
      </w:r>
      <w:r>
        <w:t>c’est-à-dire</w:t>
      </w:r>
      <w:r w:rsidRPr="002C4077">
        <w:t xml:space="preserve"> </w:t>
      </w:r>
      <w:r>
        <w:t>le</w:t>
      </w:r>
      <w:r w:rsidRPr="002C4077">
        <w:t xml:space="preserve"> </w:t>
      </w:r>
      <w:r>
        <w:t>Messie</w:t>
      </w:r>
      <w:r w:rsidRPr="002C4077">
        <w:t xml:space="preserve"> </w:t>
      </w:r>
      <w:r>
        <w:t>en</w:t>
      </w:r>
      <w:r w:rsidRPr="002C4077">
        <w:t xml:space="preserve"> </w:t>
      </w:r>
      <w:r>
        <w:t>personne,</w:t>
      </w:r>
      <w:r w:rsidRPr="002C4077">
        <w:t xml:space="preserve"> </w:t>
      </w:r>
      <w:r>
        <w:t>qui</w:t>
      </w:r>
      <w:r w:rsidRPr="002C4077">
        <w:t xml:space="preserve"> </w:t>
      </w:r>
      <w:r>
        <w:t>naîtra</w:t>
      </w:r>
      <w:r w:rsidRPr="002C4077">
        <w:t xml:space="preserve"> </w:t>
      </w:r>
      <w:r>
        <w:t>de</w:t>
      </w:r>
      <w:r w:rsidRPr="002C4077">
        <w:t xml:space="preserve"> </w:t>
      </w:r>
      <w:r>
        <w:t>la</w:t>
      </w:r>
      <w:r w:rsidRPr="002C4077">
        <w:t xml:space="preserve"> </w:t>
      </w:r>
      <w:r>
        <w:t>maison</w:t>
      </w:r>
      <w:r w:rsidRPr="002C4077">
        <w:t xml:space="preserve"> </w:t>
      </w:r>
      <w:r>
        <w:t>de</w:t>
      </w:r>
      <w:r w:rsidRPr="002C4077">
        <w:t xml:space="preserve"> </w:t>
      </w:r>
      <w:r>
        <w:t>David</w:t>
      </w:r>
      <w:bookmarkStart w:id="278" w:name="z_Achaz_o8"/>
      <w:bookmarkEnd w:id="278"/>
      <w:r w:rsidR="00B91AF7">
        <w:rPr>
          <w:rStyle w:val="Appelnotedebasdep"/>
        </w:rPr>
        <w:footnoteReference w:id="298"/>
      </w:r>
      <w:r w:rsidR="00B546AF">
        <w:t> »</w:t>
      </w:r>
      <w:r>
        <w:t>.</w:t>
      </w:r>
      <w:r w:rsidR="00C45B47">
        <w:t xml:space="preserve"> {</w:t>
      </w:r>
      <w:r w:rsidR="000721C4">
        <w:t>93</w:t>
      </w:r>
      <w:bookmarkStart w:id="279" w:name="p093"/>
      <w:bookmarkEnd w:id="279"/>
      <w:r w:rsidR="000721C4">
        <w:t xml:space="preserve">} </w:t>
      </w:r>
    </w:p>
    <w:p w:rsidR="000A7AAB" w:rsidRDefault="000A7AAB" w:rsidP="000A7AAB">
      <w:r>
        <w:t>2°</w:t>
      </w:r>
      <w:r w:rsidRPr="002C4077">
        <w:t xml:space="preserve"> </w:t>
      </w:r>
      <w:r>
        <w:t>Le</w:t>
      </w:r>
      <w:r w:rsidRPr="002C4077">
        <w:t xml:space="preserve"> </w:t>
      </w:r>
      <w:r>
        <w:t>peuple</w:t>
      </w:r>
      <w:r w:rsidRPr="002C4077">
        <w:t xml:space="preserve"> </w:t>
      </w:r>
      <w:r>
        <w:t>aussi</w:t>
      </w:r>
      <w:r w:rsidRPr="002C4077">
        <w:t xml:space="preserve"> </w:t>
      </w:r>
      <w:r>
        <w:t>pouvait</w:t>
      </w:r>
      <w:r w:rsidRPr="002C4077">
        <w:t xml:space="preserve"> </w:t>
      </w:r>
      <w:r>
        <w:t>comprendre,</w:t>
      </w:r>
      <w:r w:rsidRPr="002C4077">
        <w:t xml:space="preserve"> </w:t>
      </w:r>
      <w:r>
        <w:t>et</w:t>
      </w:r>
      <w:r w:rsidRPr="002C4077">
        <w:t xml:space="preserve"> </w:t>
      </w:r>
      <w:r>
        <w:t>nous</w:t>
      </w:r>
      <w:r w:rsidRPr="002C4077">
        <w:t xml:space="preserve"> </w:t>
      </w:r>
      <w:r>
        <w:t>avons</w:t>
      </w:r>
      <w:r w:rsidRPr="002C4077">
        <w:t xml:space="preserve"> </w:t>
      </w:r>
      <w:r>
        <w:t>vu</w:t>
      </w:r>
      <w:r w:rsidRPr="002C4077">
        <w:t xml:space="preserve"> </w:t>
      </w:r>
      <w:r>
        <w:t>que</w:t>
      </w:r>
      <w:r w:rsidRPr="002C4077">
        <w:t xml:space="preserve"> </w:t>
      </w:r>
      <w:r>
        <w:t>la</w:t>
      </w:r>
      <w:r w:rsidRPr="002C4077">
        <w:t xml:space="preserve"> </w:t>
      </w:r>
      <w:r>
        <w:t>prophétie</w:t>
      </w:r>
      <w:r w:rsidRPr="002C4077">
        <w:t xml:space="preserve"> </w:t>
      </w:r>
      <w:r>
        <w:t>n’était</w:t>
      </w:r>
      <w:r w:rsidRPr="002C4077">
        <w:t xml:space="preserve"> </w:t>
      </w:r>
      <w:r>
        <w:t>pas</w:t>
      </w:r>
      <w:r w:rsidRPr="002C4077">
        <w:t xml:space="preserve"> </w:t>
      </w:r>
      <w:r>
        <w:t>moins</w:t>
      </w:r>
      <w:r w:rsidRPr="002C4077">
        <w:t xml:space="preserve"> </w:t>
      </w:r>
      <w:r>
        <w:t>pour</w:t>
      </w:r>
      <w:r w:rsidRPr="002C4077">
        <w:t xml:space="preserve"> </w:t>
      </w:r>
      <w:r>
        <w:t>lui</w:t>
      </w:r>
      <w:r w:rsidRPr="002C4077">
        <w:t xml:space="preserve"> </w:t>
      </w:r>
      <w:r>
        <w:t>que</w:t>
      </w:r>
      <w:r w:rsidRPr="002C4077">
        <w:t xml:space="preserve"> </w:t>
      </w:r>
      <w:r>
        <w:t>pour</w:t>
      </w:r>
      <w:r w:rsidRPr="002C4077">
        <w:t xml:space="preserve"> </w:t>
      </w:r>
      <w:r>
        <w:t>Achaz.</w:t>
      </w:r>
      <w:r w:rsidRPr="002C4077">
        <w:t xml:space="preserve"> </w:t>
      </w:r>
    </w:p>
    <w:p w:rsidR="000A7AAB" w:rsidRDefault="000A7AAB" w:rsidP="000A7AAB">
      <w:r>
        <w:t>Nos</w:t>
      </w:r>
      <w:r w:rsidRPr="002C4077">
        <w:t xml:space="preserve"> </w:t>
      </w:r>
      <w:r>
        <w:t>adversaires</w:t>
      </w:r>
      <w:r w:rsidRPr="002C4077">
        <w:t xml:space="preserve"> </w:t>
      </w:r>
      <w:r>
        <w:t>le</w:t>
      </w:r>
      <w:r w:rsidRPr="002C4077">
        <w:t xml:space="preserve"> </w:t>
      </w:r>
      <w:r>
        <w:t>reconnaissent</w:t>
      </w:r>
      <w:r w:rsidRPr="002C4077">
        <w:t xml:space="preserve"> </w:t>
      </w:r>
      <w:r>
        <w:t>tout</w:t>
      </w:r>
      <w:r w:rsidRPr="002C4077">
        <w:t xml:space="preserve"> </w:t>
      </w:r>
      <w:r>
        <w:t>aussi</w:t>
      </w:r>
      <w:r w:rsidRPr="002C4077">
        <w:t xml:space="preserve"> </w:t>
      </w:r>
      <w:r>
        <w:t>bien</w:t>
      </w:r>
      <w:r w:rsidRPr="002C4077">
        <w:t xml:space="preserve"> </w:t>
      </w:r>
      <w:r>
        <w:t>que</w:t>
      </w:r>
      <w:r w:rsidRPr="002C4077">
        <w:t xml:space="preserve"> </w:t>
      </w:r>
      <w:r>
        <w:t>nous,</w:t>
      </w:r>
      <w:r w:rsidRPr="002C4077">
        <w:t xml:space="preserve"> </w:t>
      </w:r>
      <w:r>
        <w:t>quoiqu’ils</w:t>
      </w:r>
      <w:r w:rsidRPr="002C4077">
        <w:t xml:space="preserve"> </w:t>
      </w:r>
      <w:r>
        <w:t>oublient</w:t>
      </w:r>
      <w:r w:rsidRPr="002C4077">
        <w:t xml:space="preserve"> </w:t>
      </w:r>
      <w:r>
        <w:t>ensuite</w:t>
      </w:r>
      <w:r w:rsidRPr="002C4077">
        <w:t xml:space="preserve"> </w:t>
      </w:r>
      <w:r>
        <w:t>trop</w:t>
      </w:r>
      <w:r w:rsidRPr="002C4077">
        <w:t xml:space="preserve"> </w:t>
      </w:r>
      <w:r>
        <w:t>facilement</w:t>
      </w:r>
      <w:r w:rsidRPr="002C4077">
        <w:t xml:space="preserve"> </w:t>
      </w:r>
      <w:r>
        <w:t>dans</w:t>
      </w:r>
      <w:r w:rsidRPr="002C4077">
        <w:t xml:space="preserve"> </w:t>
      </w:r>
      <w:r>
        <w:t>la</w:t>
      </w:r>
      <w:r w:rsidRPr="002C4077">
        <w:t xml:space="preserve"> </w:t>
      </w:r>
      <w:r>
        <w:t>pratique</w:t>
      </w:r>
      <w:r w:rsidRPr="002C4077">
        <w:t xml:space="preserve"> </w:t>
      </w:r>
      <w:r>
        <w:t>ce</w:t>
      </w:r>
      <w:r w:rsidRPr="002C4077">
        <w:t xml:space="preserve"> </w:t>
      </w:r>
      <w:r>
        <w:t>point</w:t>
      </w:r>
      <w:r w:rsidRPr="002C4077">
        <w:t xml:space="preserve"> </w:t>
      </w:r>
      <w:r>
        <w:t>fondamental</w:t>
      </w:r>
      <w:r w:rsidR="00B546AF">
        <w:t> :</w:t>
      </w:r>
      <w:r w:rsidRPr="002C4077">
        <w:t xml:space="preserve"> </w:t>
      </w:r>
      <w:r>
        <w:t>le</w:t>
      </w:r>
      <w:r w:rsidRPr="002C4077">
        <w:t xml:space="preserve"> </w:t>
      </w:r>
      <w:r>
        <w:t>Messie</w:t>
      </w:r>
      <w:r w:rsidRPr="002C4077">
        <w:t xml:space="preserve"> </w:t>
      </w:r>
      <w:r>
        <w:t>était</w:t>
      </w:r>
      <w:r w:rsidRPr="002C4077">
        <w:t xml:space="preserve"> </w:t>
      </w:r>
      <w:r>
        <w:t>presque</w:t>
      </w:r>
      <w:r w:rsidRPr="002C4077">
        <w:t xml:space="preserve"> </w:t>
      </w:r>
      <w:r>
        <w:t>toutes</w:t>
      </w:r>
      <w:r w:rsidRPr="002C4077">
        <w:t xml:space="preserve"> </w:t>
      </w:r>
      <w:r>
        <w:t>choses</w:t>
      </w:r>
      <w:r w:rsidRPr="002C4077">
        <w:t xml:space="preserve"> </w:t>
      </w:r>
      <w:r>
        <w:t>dans</w:t>
      </w:r>
      <w:r w:rsidRPr="002C4077">
        <w:t xml:space="preserve"> </w:t>
      </w:r>
      <w:r>
        <w:t>la</w:t>
      </w:r>
      <w:r w:rsidRPr="002C4077">
        <w:t xml:space="preserve"> </w:t>
      </w:r>
      <w:r>
        <w:t>religion</w:t>
      </w:r>
      <w:r w:rsidRPr="002C4077">
        <w:t xml:space="preserve"> </w:t>
      </w:r>
      <w:r>
        <w:t>d’Israël.</w:t>
      </w:r>
      <w:r w:rsidRPr="002C4077">
        <w:t xml:space="preserve"> </w:t>
      </w:r>
      <w:r w:rsidR="007B3C26">
        <w:t>Ve</w:t>
      </w:r>
      <w:r>
        <w:t>rs</w:t>
      </w:r>
      <w:r w:rsidRPr="002C4077">
        <w:t xml:space="preserve"> </w:t>
      </w:r>
      <w:r>
        <w:t>ce</w:t>
      </w:r>
      <w:r w:rsidRPr="002C4077">
        <w:t xml:space="preserve"> </w:t>
      </w:r>
      <w:r>
        <w:t>centre</w:t>
      </w:r>
      <w:bookmarkStart w:id="280" w:name="z_MessieCentre_o1"/>
      <w:bookmarkEnd w:id="280"/>
      <w:r w:rsidRPr="002C4077">
        <w:t xml:space="preserve"> </w:t>
      </w:r>
      <w:r>
        <w:t>admirable</w:t>
      </w:r>
      <w:r w:rsidRPr="002C4077">
        <w:t xml:space="preserve"> </w:t>
      </w:r>
      <w:r>
        <w:t>convergeaient</w:t>
      </w:r>
      <w:r w:rsidRPr="002C4077">
        <w:t xml:space="preserve"> </w:t>
      </w:r>
      <w:r>
        <w:t>les</w:t>
      </w:r>
      <w:r w:rsidRPr="002C4077">
        <w:t xml:space="preserve"> </w:t>
      </w:r>
      <w:r>
        <w:t>espérances,</w:t>
      </w:r>
      <w:r w:rsidRPr="002C4077">
        <w:t xml:space="preserve"> </w:t>
      </w:r>
      <w:r>
        <w:t>les</w:t>
      </w:r>
      <w:r w:rsidRPr="002C4077">
        <w:t xml:space="preserve"> </w:t>
      </w:r>
      <w:r>
        <w:t>désirs,</w:t>
      </w:r>
      <w:r w:rsidRPr="002C4077">
        <w:t xml:space="preserve"> </w:t>
      </w:r>
      <w:r>
        <w:t>les</w:t>
      </w:r>
      <w:r w:rsidRPr="002C4077">
        <w:t xml:space="preserve"> </w:t>
      </w:r>
      <w:r>
        <w:t>prières,</w:t>
      </w:r>
      <w:r w:rsidRPr="002C4077">
        <w:t xml:space="preserve"> </w:t>
      </w:r>
      <w:r>
        <w:t>les</w:t>
      </w:r>
      <w:r w:rsidRPr="002C4077">
        <w:t xml:space="preserve"> </w:t>
      </w:r>
      <w:r>
        <w:t>rites</w:t>
      </w:r>
      <w:r w:rsidRPr="002C4077">
        <w:t xml:space="preserve"> </w:t>
      </w:r>
      <w:r>
        <w:t>de</w:t>
      </w:r>
      <w:r w:rsidRPr="002C4077">
        <w:t xml:space="preserve"> </w:t>
      </w:r>
      <w:r>
        <w:t>la</w:t>
      </w:r>
      <w:r w:rsidRPr="002C4077">
        <w:t xml:space="preserve"> </w:t>
      </w:r>
      <w:r>
        <w:t>nation</w:t>
      </w:r>
      <w:r w:rsidRPr="002C4077">
        <w:t xml:space="preserve"> </w:t>
      </w:r>
      <w:r>
        <w:t>entière.</w:t>
      </w:r>
      <w:r w:rsidRPr="002C4077">
        <w:t xml:space="preserve"> </w:t>
      </w:r>
      <w:r>
        <w:t>Rien</w:t>
      </w:r>
      <w:r w:rsidRPr="002C4077">
        <w:t xml:space="preserve"> </w:t>
      </w:r>
      <w:r>
        <w:t>de</w:t>
      </w:r>
      <w:r w:rsidRPr="002C4077">
        <w:t xml:space="preserve"> </w:t>
      </w:r>
      <w:r>
        <w:t>plus</w:t>
      </w:r>
      <w:r w:rsidRPr="002C4077">
        <w:t xml:space="preserve"> </w:t>
      </w:r>
      <w:r>
        <w:t>beau</w:t>
      </w:r>
      <w:r w:rsidRPr="002C4077">
        <w:t xml:space="preserve"> </w:t>
      </w:r>
      <w:r>
        <w:t>que</w:t>
      </w:r>
      <w:r w:rsidRPr="002C4077">
        <w:t xml:space="preserve"> </w:t>
      </w:r>
      <w:r>
        <w:t>ce</w:t>
      </w:r>
      <w:r w:rsidRPr="002C4077">
        <w:t xml:space="preserve"> </w:t>
      </w:r>
      <w:r>
        <w:t>spectacle</w:t>
      </w:r>
      <w:r w:rsidRPr="002C4077">
        <w:t xml:space="preserve"> </w:t>
      </w:r>
      <w:r>
        <w:t>unique</w:t>
      </w:r>
      <w:r w:rsidRPr="002C4077">
        <w:t xml:space="preserve"> </w:t>
      </w:r>
      <w:r>
        <w:t>au</w:t>
      </w:r>
      <w:r w:rsidRPr="002C4077">
        <w:t xml:space="preserve"> </w:t>
      </w:r>
      <w:r>
        <w:t>monde,</w:t>
      </w:r>
      <w:r w:rsidRPr="002C4077">
        <w:t xml:space="preserve"> </w:t>
      </w:r>
      <w:r>
        <w:t>offert</w:t>
      </w:r>
      <w:r w:rsidRPr="002C4077">
        <w:t xml:space="preserve"> </w:t>
      </w:r>
      <w:r>
        <w:t>parle</w:t>
      </w:r>
      <w:r w:rsidRPr="002C4077">
        <w:t xml:space="preserve"> </w:t>
      </w:r>
      <w:r>
        <w:t>peuple</w:t>
      </w:r>
      <w:r w:rsidRPr="002C4077">
        <w:t xml:space="preserve"> </w:t>
      </w:r>
      <w:r>
        <w:t>choisi</w:t>
      </w:r>
      <w:r w:rsidR="00B546AF">
        <w:t> ;</w:t>
      </w:r>
      <w:r w:rsidRPr="002C4077">
        <w:t xml:space="preserve"> </w:t>
      </w:r>
      <w:r>
        <w:t>pendant</w:t>
      </w:r>
      <w:r w:rsidRPr="002C4077">
        <w:t xml:space="preserve"> </w:t>
      </w:r>
      <w:r>
        <w:t>des</w:t>
      </w:r>
      <w:r w:rsidRPr="002C4077">
        <w:t xml:space="preserve"> </w:t>
      </w:r>
      <w:r>
        <w:t>siècles</w:t>
      </w:r>
      <w:r w:rsidRPr="002C4077">
        <w:t xml:space="preserve"> </w:t>
      </w:r>
      <w:r>
        <w:t>et</w:t>
      </w:r>
      <w:r w:rsidRPr="002C4077">
        <w:t xml:space="preserve"> </w:t>
      </w:r>
      <w:r>
        <w:t>des</w:t>
      </w:r>
      <w:r w:rsidRPr="002C4077">
        <w:t xml:space="preserve"> </w:t>
      </w:r>
      <w:r>
        <w:t>siècles</w:t>
      </w:r>
      <w:r w:rsidRPr="002C4077">
        <w:t xml:space="preserve"> </w:t>
      </w:r>
      <w:r>
        <w:t>encore,</w:t>
      </w:r>
      <w:r w:rsidRPr="002C4077">
        <w:t xml:space="preserve"> </w:t>
      </w:r>
      <w:r>
        <w:t>tous</w:t>
      </w:r>
      <w:r w:rsidRPr="002C4077">
        <w:t xml:space="preserve"> </w:t>
      </w:r>
      <w:r>
        <w:t>les</w:t>
      </w:r>
      <w:r w:rsidRPr="002C4077">
        <w:t xml:space="preserve"> </w:t>
      </w:r>
      <w:r>
        <w:t>regards</w:t>
      </w:r>
      <w:r w:rsidRPr="002C4077">
        <w:t xml:space="preserve"> </w:t>
      </w:r>
      <w:r>
        <w:t>en</w:t>
      </w:r>
      <w:r w:rsidRPr="002C4077">
        <w:t xml:space="preserve"> </w:t>
      </w:r>
      <w:r>
        <w:t>Israël</w:t>
      </w:r>
      <w:r w:rsidRPr="002C4077">
        <w:t xml:space="preserve"> </w:t>
      </w:r>
      <w:r>
        <w:t>furent</w:t>
      </w:r>
      <w:r w:rsidRPr="002C4077">
        <w:t xml:space="preserve"> </w:t>
      </w:r>
      <w:r>
        <w:t>dirigés</w:t>
      </w:r>
      <w:r w:rsidRPr="002C4077">
        <w:t xml:space="preserve"> </w:t>
      </w:r>
      <w:r>
        <w:t>vers</w:t>
      </w:r>
      <w:r w:rsidRPr="002C4077">
        <w:t xml:space="preserve"> </w:t>
      </w:r>
      <w:r>
        <w:t>l’avenir,</w:t>
      </w:r>
      <w:r w:rsidRPr="002C4077">
        <w:t xml:space="preserve"> </w:t>
      </w:r>
      <w:r>
        <w:t>vers</w:t>
      </w:r>
      <w:r w:rsidRPr="002C4077">
        <w:t xml:space="preserve"> </w:t>
      </w:r>
      <w:r>
        <w:t>le</w:t>
      </w:r>
      <w:r w:rsidRPr="002C4077">
        <w:t xml:space="preserve"> </w:t>
      </w:r>
      <w:r>
        <w:t>Libérateur</w:t>
      </w:r>
      <w:r w:rsidRPr="002C4077">
        <w:t xml:space="preserve"> </w:t>
      </w:r>
      <w:r>
        <w:t>impatiemment</w:t>
      </w:r>
      <w:r w:rsidRPr="002C4077">
        <w:t xml:space="preserve"> </w:t>
      </w:r>
      <w:r>
        <w:t>attendu.</w:t>
      </w:r>
      <w:r w:rsidRPr="002C4077">
        <w:t xml:space="preserve"> </w:t>
      </w:r>
      <w:r w:rsidR="006E0521" w:rsidRPr="000A34B5">
        <w:rPr>
          <w:rStyle w:val="italicus"/>
        </w:rPr>
        <w:t>Roráte</w:t>
      </w:r>
      <w:r w:rsidRPr="002C4077">
        <w:t xml:space="preserve"> </w:t>
      </w:r>
      <w:r w:rsidRPr="000A34B5">
        <w:rPr>
          <w:rStyle w:val="italicus"/>
        </w:rPr>
        <w:t>cœli</w:t>
      </w:r>
      <w:r w:rsidRPr="002C4077">
        <w:t xml:space="preserve"> </w:t>
      </w:r>
      <w:r w:rsidR="006E0521" w:rsidRPr="000A34B5">
        <w:rPr>
          <w:rStyle w:val="italicus"/>
        </w:rPr>
        <w:t>désuper</w:t>
      </w:r>
      <w:r w:rsidRPr="002C4077">
        <w:t xml:space="preserve"> </w:t>
      </w:r>
      <w:r w:rsidRPr="000A34B5">
        <w:rPr>
          <w:rStyle w:val="italicus"/>
        </w:rPr>
        <w:t>et</w:t>
      </w:r>
      <w:r w:rsidRPr="002C4077">
        <w:t xml:space="preserve"> </w:t>
      </w:r>
      <w:r w:rsidRPr="000A34B5">
        <w:rPr>
          <w:rStyle w:val="italicus"/>
        </w:rPr>
        <w:t>nubes</w:t>
      </w:r>
      <w:r w:rsidRPr="002C4077">
        <w:t xml:space="preserve"> </w:t>
      </w:r>
      <w:r w:rsidRPr="000A34B5">
        <w:rPr>
          <w:rStyle w:val="italicus"/>
        </w:rPr>
        <w:t>pluant</w:t>
      </w:r>
      <w:r w:rsidRPr="002C4077">
        <w:t xml:space="preserve"> </w:t>
      </w:r>
      <w:r w:rsidRPr="000A34B5">
        <w:rPr>
          <w:rStyle w:val="italicus"/>
        </w:rPr>
        <w:t>Justum</w:t>
      </w:r>
      <w:r w:rsidR="00B546AF">
        <w:rPr>
          <w:rStyle w:val="italicus"/>
        </w:rPr>
        <w:t> </w:t>
      </w:r>
      <w:r w:rsidR="00B546AF" w:rsidRPr="000A34B5">
        <w:rPr>
          <w:rStyle w:val="italicus"/>
        </w:rPr>
        <w:t>;</w:t>
      </w:r>
      <w:r w:rsidRPr="002C4077">
        <w:t xml:space="preserve"> </w:t>
      </w:r>
      <w:r w:rsidRPr="000A34B5">
        <w:rPr>
          <w:rStyle w:val="italicus"/>
        </w:rPr>
        <w:t>ap</w:t>
      </w:r>
      <w:r w:rsidR="003B53FD" w:rsidRPr="000A34B5">
        <w:rPr>
          <w:rStyle w:val="italicus"/>
        </w:rPr>
        <w:t>eri</w:t>
      </w:r>
      <w:r w:rsidR="003B53FD">
        <w:rPr>
          <w:rStyle w:val="italicus"/>
        </w:rPr>
        <w:t>á</w:t>
      </w:r>
      <w:r w:rsidR="003B53FD" w:rsidRPr="000A34B5">
        <w:rPr>
          <w:rStyle w:val="italicus"/>
        </w:rPr>
        <w:t>tur</w:t>
      </w:r>
      <w:r w:rsidRPr="002C4077">
        <w:t xml:space="preserve"> </w:t>
      </w:r>
      <w:r w:rsidRPr="000A34B5">
        <w:rPr>
          <w:rStyle w:val="italicus"/>
        </w:rPr>
        <w:t>terra</w:t>
      </w:r>
      <w:r w:rsidRPr="002C4077">
        <w:t xml:space="preserve"> </w:t>
      </w:r>
      <w:r w:rsidRPr="000A34B5">
        <w:rPr>
          <w:rStyle w:val="italicus"/>
        </w:rPr>
        <w:t>et</w:t>
      </w:r>
      <w:r w:rsidRPr="002C4077">
        <w:t xml:space="preserve"> </w:t>
      </w:r>
      <w:r w:rsidR="006E0521" w:rsidRPr="000A34B5">
        <w:rPr>
          <w:rStyle w:val="italicus"/>
        </w:rPr>
        <w:t>gérminet</w:t>
      </w:r>
      <w:r w:rsidRPr="002C4077">
        <w:t xml:space="preserve"> </w:t>
      </w:r>
      <w:r w:rsidR="006E0521" w:rsidRPr="000A34B5">
        <w:rPr>
          <w:rStyle w:val="italicus"/>
        </w:rPr>
        <w:t>Salvatóre</w:t>
      </w:r>
      <w:r w:rsidR="006E0521">
        <w:rPr>
          <w:rStyle w:val="italicus"/>
        </w:rPr>
        <w:t>m</w:t>
      </w:r>
      <w:r w:rsidR="00F6492C">
        <w:rPr>
          <w:rStyle w:val="Appelnotedebasdep"/>
          <w:i/>
        </w:rPr>
        <w:footnoteReference w:id="299"/>
      </w:r>
      <w:r w:rsidR="00B546AF">
        <w:t> :</w:t>
      </w:r>
      <w:r w:rsidRPr="002C4077">
        <w:t xml:space="preserve"> </w:t>
      </w:r>
      <w:r>
        <w:t>voilà</w:t>
      </w:r>
      <w:r w:rsidRPr="002C4077">
        <w:t xml:space="preserve"> </w:t>
      </w:r>
      <w:r>
        <w:t>quel</w:t>
      </w:r>
      <w:r w:rsidRPr="002C4077">
        <w:t xml:space="preserve"> </w:t>
      </w:r>
      <w:r>
        <w:t>fut</w:t>
      </w:r>
      <w:r w:rsidRPr="002C4077">
        <w:t xml:space="preserve"> </w:t>
      </w:r>
      <w:r>
        <w:t>le</w:t>
      </w:r>
      <w:r w:rsidRPr="002C4077">
        <w:t xml:space="preserve"> </w:t>
      </w:r>
      <w:r>
        <w:t>souhait</w:t>
      </w:r>
      <w:r w:rsidRPr="002C4077">
        <w:t xml:space="preserve"> </w:t>
      </w:r>
      <w:r>
        <w:t>constamment</w:t>
      </w:r>
      <w:r w:rsidRPr="002C4077">
        <w:t xml:space="preserve"> </w:t>
      </w:r>
      <w:r>
        <w:t>répété</w:t>
      </w:r>
      <w:r w:rsidRPr="002C4077">
        <w:t xml:space="preserve"> </w:t>
      </w:r>
      <w:r>
        <w:t>de</w:t>
      </w:r>
      <w:r w:rsidRPr="002C4077">
        <w:t xml:space="preserve"> </w:t>
      </w:r>
      <w:r>
        <w:t>chaque</w:t>
      </w:r>
      <w:r w:rsidRPr="002C4077">
        <w:t xml:space="preserve"> </w:t>
      </w:r>
      <w:r>
        <w:t>Israélite,</w:t>
      </w:r>
      <w:r w:rsidRPr="002C4077">
        <w:t xml:space="preserve"> </w:t>
      </w:r>
      <w:r>
        <w:t>depuis</w:t>
      </w:r>
      <w:r w:rsidRPr="002C4077">
        <w:t xml:space="preserve"> </w:t>
      </w:r>
      <w:r>
        <w:t>Abraham</w:t>
      </w:r>
      <w:r w:rsidRPr="002C4077">
        <w:t xml:space="preserve"> </w:t>
      </w:r>
      <w:r>
        <w:t>jusqu’à</w:t>
      </w:r>
      <w:r w:rsidRPr="002C4077">
        <w:t xml:space="preserve"> </w:t>
      </w:r>
      <w:r>
        <w:t>Zacharie,</w:t>
      </w:r>
      <w:r w:rsidRPr="002C4077">
        <w:t xml:space="preserve"> </w:t>
      </w:r>
      <w:r>
        <w:t>père</w:t>
      </w:r>
      <w:r w:rsidRPr="002C4077">
        <w:t xml:space="preserve"> </w:t>
      </w:r>
      <w:r>
        <w:t>du</w:t>
      </w:r>
      <w:r w:rsidRPr="002C4077">
        <w:t xml:space="preserve"> </w:t>
      </w:r>
      <w:r>
        <w:t>Précurseur.</w:t>
      </w:r>
      <w:r w:rsidRPr="002C4077">
        <w:t xml:space="preserve"> </w:t>
      </w:r>
    </w:p>
    <w:p w:rsidR="000A7AAB" w:rsidRDefault="000A7AAB" w:rsidP="000A7AAB">
      <w:r>
        <w:t>On</w:t>
      </w:r>
      <w:r w:rsidRPr="002C4077">
        <w:t xml:space="preserve"> </w:t>
      </w:r>
      <w:r>
        <w:t>écoutait</w:t>
      </w:r>
      <w:r w:rsidRPr="002C4077">
        <w:t xml:space="preserve"> </w:t>
      </w:r>
      <w:r>
        <w:t>donc</w:t>
      </w:r>
      <w:r w:rsidRPr="002C4077">
        <w:t xml:space="preserve"> </w:t>
      </w:r>
      <w:r>
        <w:t>avec</w:t>
      </w:r>
      <w:r w:rsidRPr="002C4077">
        <w:t xml:space="preserve"> </w:t>
      </w:r>
      <w:r>
        <w:t>l’attention</w:t>
      </w:r>
      <w:r w:rsidRPr="002C4077">
        <w:t xml:space="preserve"> </w:t>
      </w:r>
      <w:r>
        <w:t>la</w:t>
      </w:r>
      <w:r w:rsidRPr="002C4077">
        <w:t xml:space="preserve"> </w:t>
      </w:r>
      <w:r>
        <w:t>plus</w:t>
      </w:r>
      <w:r w:rsidRPr="002C4077">
        <w:t xml:space="preserve"> </w:t>
      </w:r>
      <w:r>
        <w:t>vive,</w:t>
      </w:r>
      <w:r w:rsidRPr="002C4077">
        <w:t xml:space="preserve"> </w:t>
      </w:r>
      <w:r>
        <w:t>avec</w:t>
      </w:r>
      <w:r w:rsidRPr="002C4077">
        <w:t xml:space="preserve"> </w:t>
      </w:r>
      <w:r>
        <w:t>la</w:t>
      </w:r>
      <w:r w:rsidRPr="002C4077">
        <w:t xml:space="preserve"> </w:t>
      </w:r>
      <w:r>
        <w:t>foi</w:t>
      </w:r>
      <w:r w:rsidRPr="002C4077">
        <w:t xml:space="preserve"> </w:t>
      </w:r>
      <w:r>
        <w:t>la</w:t>
      </w:r>
      <w:r w:rsidRPr="002C4077">
        <w:t xml:space="preserve"> </w:t>
      </w:r>
      <w:r>
        <w:t>plus</w:t>
      </w:r>
      <w:r w:rsidRPr="002C4077">
        <w:t xml:space="preserve"> </w:t>
      </w:r>
      <w:r>
        <w:t>inébranlable,</w:t>
      </w:r>
      <w:r w:rsidRPr="002C4077">
        <w:t xml:space="preserve"> </w:t>
      </w:r>
      <w:r>
        <w:t>les</w:t>
      </w:r>
      <w:r w:rsidRPr="002C4077">
        <w:t xml:space="preserve"> </w:t>
      </w:r>
      <w:r>
        <w:t>oracles</w:t>
      </w:r>
      <w:r w:rsidRPr="002C4077">
        <w:t xml:space="preserve"> </w:t>
      </w:r>
      <w:r>
        <w:t>des</w:t>
      </w:r>
      <w:r w:rsidRPr="002C4077">
        <w:t xml:space="preserve"> </w:t>
      </w:r>
      <w:r>
        <w:t>prophètes</w:t>
      </w:r>
      <w:r w:rsidRPr="002C4077">
        <w:t xml:space="preserve"> </w:t>
      </w:r>
      <w:r>
        <w:t>qui</w:t>
      </w:r>
      <w:r w:rsidRPr="002C4077">
        <w:t xml:space="preserve"> </w:t>
      </w:r>
      <w:r>
        <w:t>venaient</w:t>
      </w:r>
      <w:r w:rsidRPr="002C4077">
        <w:t xml:space="preserve"> </w:t>
      </w:r>
      <w:r>
        <w:t>l’un</w:t>
      </w:r>
      <w:r w:rsidRPr="002C4077">
        <w:t xml:space="preserve"> </w:t>
      </w:r>
      <w:r>
        <w:t>après</w:t>
      </w:r>
      <w:r w:rsidRPr="002C4077">
        <w:t xml:space="preserve"> </w:t>
      </w:r>
      <w:r>
        <w:t>l’autre</w:t>
      </w:r>
      <w:r w:rsidRPr="002C4077">
        <w:t xml:space="preserve"> </w:t>
      </w:r>
      <w:r>
        <w:t>apporter</w:t>
      </w:r>
      <w:r w:rsidRPr="002C4077">
        <w:t xml:space="preserve"> </w:t>
      </w:r>
      <w:r>
        <w:t>quelque</w:t>
      </w:r>
      <w:r w:rsidRPr="002C4077">
        <w:t xml:space="preserve"> </w:t>
      </w:r>
      <w:r>
        <w:t>nouvelle</w:t>
      </w:r>
      <w:r w:rsidRPr="002C4077">
        <w:t xml:space="preserve"> </w:t>
      </w:r>
      <w:r>
        <w:t>gemme</w:t>
      </w:r>
      <w:r w:rsidRPr="002C4077">
        <w:t xml:space="preserve"> </w:t>
      </w:r>
      <w:r>
        <w:t>dans</w:t>
      </w:r>
      <w:r w:rsidRPr="002C4077">
        <w:t xml:space="preserve"> </w:t>
      </w:r>
      <w:r>
        <w:t>le</w:t>
      </w:r>
      <w:r w:rsidRPr="002C4077">
        <w:t xml:space="preserve"> </w:t>
      </w:r>
      <w:r>
        <w:t>trésor</w:t>
      </w:r>
      <w:r w:rsidRPr="002C4077">
        <w:t xml:space="preserve"> </w:t>
      </w:r>
      <w:r>
        <w:t>de</w:t>
      </w:r>
      <w:r w:rsidRPr="002C4077">
        <w:t xml:space="preserve"> </w:t>
      </w:r>
      <w:r>
        <w:t>la</w:t>
      </w:r>
      <w:r w:rsidRPr="002C4077">
        <w:t xml:space="preserve"> </w:t>
      </w:r>
      <w:r>
        <w:t>révélation</w:t>
      </w:r>
      <w:r w:rsidRPr="002C4077">
        <w:t xml:space="preserve"> </w:t>
      </w:r>
      <w:r>
        <w:t>messianique.</w:t>
      </w:r>
      <w:r w:rsidRPr="002C4077">
        <w:t xml:space="preserve"> </w:t>
      </w:r>
      <w:r>
        <w:t>Cette</w:t>
      </w:r>
      <w:r w:rsidRPr="002C4077">
        <w:t xml:space="preserve"> </w:t>
      </w:r>
      <w:r>
        <w:t>attention</w:t>
      </w:r>
      <w:r w:rsidRPr="002C4077">
        <w:t xml:space="preserve"> </w:t>
      </w:r>
      <w:r>
        <w:t>et</w:t>
      </w:r>
      <w:r w:rsidRPr="002C4077">
        <w:t xml:space="preserve"> </w:t>
      </w:r>
      <w:r>
        <w:t>cette</w:t>
      </w:r>
      <w:r w:rsidRPr="002C4077">
        <w:t xml:space="preserve"> </w:t>
      </w:r>
      <w:r>
        <w:t>foi</w:t>
      </w:r>
      <w:r w:rsidRPr="002C4077">
        <w:t xml:space="preserve"> </w:t>
      </w:r>
      <w:r>
        <w:t>redoublaient</w:t>
      </w:r>
      <w:r w:rsidRPr="002C4077">
        <w:t xml:space="preserve"> </w:t>
      </w:r>
      <w:r>
        <w:t>naturellement</w:t>
      </w:r>
      <w:r w:rsidRPr="002C4077">
        <w:t xml:space="preserve"> </w:t>
      </w:r>
      <w:r>
        <w:t>aux</w:t>
      </w:r>
      <w:r w:rsidRPr="002C4077">
        <w:t xml:space="preserve"> </w:t>
      </w:r>
      <w:r>
        <w:t>jours</w:t>
      </w:r>
      <w:r w:rsidRPr="002C4077">
        <w:t xml:space="preserve"> </w:t>
      </w:r>
      <w:r>
        <w:t>d’épreuves</w:t>
      </w:r>
      <w:r w:rsidRPr="002C4077">
        <w:t xml:space="preserve"> </w:t>
      </w:r>
      <w:r>
        <w:t>et</w:t>
      </w:r>
      <w:r w:rsidRPr="002C4077">
        <w:t xml:space="preserve"> </w:t>
      </w:r>
      <w:r>
        <w:t>de</w:t>
      </w:r>
      <w:r w:rsidRPr="002C4077">
        <w:t xml:space="preserve"> </w:t>
      </w:r>
      <w:r>
        <w:t>dangers,</w:t>
      </w:r>
      <w:r w:rsidRPr="002C4077">
        <w:t xml:space="preserve"> </w:t>
      </w:r>
      <w:r>
        <w:t>parce</w:t>
      </w:r>
      <w:r w:rsidRPr="002C4077">
        <w:t xml:space="preserve"> </w:t>
      </w:r>
      <w:r>
        <w:t>qu’on</w:t>
      </w:r>
      <w:r w:rsidRPr="002C4077">
        <w:t xml:space="preserve"> </w:t>
      </w:r>
      <w:r>
        <w:t>savait</w:t>
      </w:r>
      <w:r w:rsidRPr="002C4077">
        <w:t xml:space="preserve"> </w:t>
      </w:r>
      <w:r>
        <w:t>que</w:t>
      </w:r>
      <w:r w:rsidRPr="002C4077">
        <w:t xml:space="preserve"> </w:t>
      </w:r>
      <w:r>
        <w:t>le</w:t>
      </w:r>
      <w:r w:rsidRPr="002C4077">
        <w:t xml:space="preserve"> </w:t>
      </w:r>
      <w:r>
        <w:t>Messie</w:t>
      </w:r>
      <w:r w:rsidRPr="002C4077">
        <w:t xml:space="preserve"> </w:t>
      </w:r>
      <w:r>
        <w:t>apporterait</w:t>
      </w:r>
      <w:r w:rsidRPr="002C4077">
        <w:t xml:space="preserve"> </w:t>
      </w:r>
      <w:r>
        <w:t>le</w:t>
      </w:r>
      <w:r w:rsidRPr="002C4077">
        <w:t xml:space="preserve"> </w:t>
      </w:r>
      <w:r>
        <w:t>salut.</w:t>
      </w:r>
      <w:r w:rsidRPr="002C4077">
        <w:t xml:space="preserve"> </w:t>
      </w:r>
      <w:r>
        <w:t>Or,</w:t>
      </w:r>
      <w:r w:rsidRPr="002C4077">
        <w:t xml:space="preserve"> </w:t>
      </w:r>
      <w:r>
        <w:t>la</w:t>
      </w:r>
      <w:r w:rsidRPr="002C4077">
        <w:t xml:space="preserve"> </w:t>
      </w:r>
      <w:r>
        <w:t>prophétie</w:t>
      </w:r>
      <w:r w:rsidRPr="002C4077">
        <w:t xml:space="preserve"> </w:t>
      </w:r>
      <w:r>
        <w:t>relative</w:t>
      </w:r>
      <w:r w:rsidRPr="002C4077">
        <w:t xml:space="preserve"> </w:t>
      </w:r>
      <w:r>
        <w:t>à</w:t>
      </w:r>
      <w:r w:rsidRPr="002C4077">
        <w:t xml:space="preserve"> </w:t>
      </w:r>
      <w:r>
        <w:t>Emmanuel</w:t>
      </w:r>
      <w:r w:rsidRPr="002C4077">
        <w:t xml:space="preserve"> </w:t>
      </w:r>
      <w:r>
        <w:t>et</w:t>
      </w:r>
      <w:r w:rsidRPr="002C4077">
        <w:t xml:space="preserve"> </w:t>
      </w:r>
      <w:r>
        <w:t>à</w:t>
      </w:r>
      <w:r w:rsidRPr="002C4077">
        <w:t xml:space="preserve"> </w:t>
      </w:r>
      <w:r>
        <w:t>sa</w:t>
      </w:r>
      <w:r w:rsidRPr="002C4077">
        <w:t xml:space="preserve"> </w:t>
      </w:r>
      <w:r>
        <w:t>mère</w:t>
      </w:r>
      <w:r w:rsidRPr="002C4077">
        <w:t xml:space="preserve"> </w:t>
      </w:r>
      <w:r>
        <w:t>très</w:t>
      </w:r>
      <w:r w:rsidRPr="002C4077">
        <w:t xml:space="preserve"> </w:t>
      </w:r>
      <w:r>
        <w:t>chaste</w:t>
      </w:r>
      <w:r w:rsidRPr="002C4077">
        <w:t xml:space="preserve"> </w:t>
      </w:r>
      <w:r>
        <w:t>ne</w:t>
      </w:r>
      <w:r w:rsidRPr="002C4077">
        <w:t xml:space="preserve"> </w:t>
      </w:r>
      <w:r>
        <w:t>venait-elle</w:t>
      </w:r>
      <w:r w:rsidRPr="002C4077">
        <w:t xml:space="preserve"> </w:t>
      </w:r>
      <w:r>
        <w:t>pas</w:t>
      </w:r>
      <w:r w:rsidRPr="002C4077">
        <w:t xml:space="preserve"> </w:t>
      </w:r>
      <w:r>
        <w:t>fort</w:t>
      </w:r>
      <w:r w:rsidRPr="002C4077">
        <w:t xml:space="preserve"> </w:t>
      </w:r>
      <w:r>
        <w:t>à</w:t>
      </w:r>
      <w:r w:rsidRPr="002C4077">
        <w:t xml:space="preserve"> </w:t>
      </w:r>
      <w:r>
        <w:t>propos</w:t>
      </w:r>
      <w:r w:rsidRPr="002C4077">
        <w:t xml:space="preserve"> </w:t>
      </w:r>
      <w:r>
        <w:t>renouveler,</w:t>
      </w:r>
      <w:r w:rsidRPr="002C4077">
        <w:t xml:space="preserve"> </w:t>
      </w:r>
      <w:r>
        <w:t>confirmer</w:t>
      </w:r>
      <w:r w:rsidRPr="002C4077">
        <w:t xml:space="preserve"> </w:t>
      </w:r>
      <w:r>
        <w:t>toutes</w:t>
      </w:r>
      <w:r w:rsidRPr="002C4077">
        <w:t xml:space="preserve"> </w:t>
      </w:r>
      <w:r>
        <w:t>les</w:t>
      </w:r>
      <w:r w:rsidRPr="002C4077">
        <w:t xml:space="preserve"> </w:t>
      </w:r>
      <w:r>
        <w:t>promesses</w:t>
      </w:r>
      <w:r w:rsidRPr="002C4077">
        <w:t xml:space="preserve"> </w:t>
      </w:r>
      <w:r>
        <w:t>antiques,</w:t>
      </w:r>
      <w:r w:rsidRPr="002C4077">
        <w:t xml:space="preserve"> </w:t>
      </w:r>
      <w:r>
        <w:t>et</w:t>
      </w:r>
      <w:r w:rsidRPr="002C4077">
        <w:t xml:space="preserve"> </w:t>
      </w:r>
      <w:r>
        <w:t>redire</w:t>
      </w:r>
      <w:r w:rsidRPr="002C4077">
        <w:t xml:space="preserve"> </w:t>
      </w:r>
      <w:r>
        <w:t>à</w:t>
      </w:r>
      <w:r w:rsidRPr="002C4077">
        <w:t xml:space="preserve"> </w:t>
      </w:r>
      <w:r>
        <w:t>la</w:t>
      </w:r>
      <w:r w:rsidRPr="002C4077">
        <w:t xml:space="preserve"> </w:t>
      </w:r>
      <w:r>
        <w:t>nation</w:t>
      </w:r>
      <w:r w:rsidRPr="002C4077">
        <w:t xml:space="preserve"> </w:t>
      </w:r>
      <w:r>
        <w:t>épouvantée</w:t>
      </w:r>
      <w:r w:rsidR="00B546AF">
        <w:t> :</w:t>
      </w:r>
      <w:r w:rsidRPr="002C4077">
        <w:t xml:space="preserve"> </w:t>
      </w:r>
      <w:r>
        <w:t>Vous</w:t>
      </w:r>
      <w:r w:rsidRPr="002C4077">
        <w:t xml:space="preserve"> </w:t>
      </w:r>
      <w:r>
        <w:t>serez</w:t>
      </w:r>
      <w:r w:rsidRPr="002C4077">
        <w:t xml:space="preserve"> </w:t>
      </w:r>
      <w:r>
        <w:t>infailliblement</w:t>
      </w:r>
      <w:r w:rsidRPr="002C4077">
        <w:t xml:space="preserve"> </w:t>
      </w:r>
      <w:r>
        <w:t>délivrés</w:t>
      </w:r>
      <w:r w:rsidR="00B91AF7">
        <w:rPr>
          <w:rStyle w:val="Appelnotedebasdep"/>
        </w:rPr>
        <w:footnoteReference w:id="300"/>
      </w:r>
      <w:r w:rsidR="00B546AF">
        <w:t> ?</w:t>
      </w:r>
      <w:r w:rsidRPr="002C4077">
        <w:t xml:space="preserve"> </w:t>
      </w:r>
      <w:r>
        <w:t>Au</w:t>
      </w:r>
      <w:r w:rsidRPr="002C4077">
        <w:t xml:space="preserve"> </w:t>
      </w:r>
      <w:r>
        <w:t>fond,</w:t>
      </w:r>
      <w:r w:rsidRPr="002C4077">
        <w:t xml:space="preserve"> </w:t>
      </w:r>
      <w:r>
        <w:t>l’essentiel</w:t>
      </w:r>
      <w:r w:rsidRPr="002C4077">
        <w:t xml:space="preserve"> </w:t>
      </w:r>
      <w:r>
        <w:t>n’était</w:t>
      </w:r>
      <w:r w:rsidRPr="002C4077">
        <w:t xml:space="preserve"> </w:t>
      </w:r>
      <w:r>
        <w:t>pas</w:t>
      </w:r>
      <w:r w:rsidRPr="002C4077">
        <w:t xml:space="preserve"> </w:t>
      </w:r>
      <w:r>
        <w:t>de</w:t>
      </w:r>
      <w:r w:rsidRPr="002C4077">
        <w:t xml:space="preserve"> </w:t>
      </w:r>
      <w:r>
        <w:t>fixer</w:t>
      </w:r>
      <w:r w:rsidRPr="002C4077">
        <w:t xml:space="preserve"> </w:t>
      </w:r>
      <w:r>
        <w:t>la</w:t>
      </w:r>
      <w:r w:rsidRPr="002C4077">
        <w:t xml:space="preserve"> </w:t>
      </w:r>
      <w:r>
        <w:t>date</w:t>
      </w:r>
      <w:r w:rsidRPr="002C4077">
        <w:t xml:space="preserve"> </w:t>
      </w:r>
      <w:r>
        <w:t>précise</w:t>
      </w:r>
      <w:r w:rsidRPr="002C4077">
        <w:t xml:space="preserve"> </w:t>
      </w:r>
      <w:r>
        <w:t>à</w:t>
      </w:r>
      <w:r w:rsidRPr="002C4077">
        <w:t xml:space="preserve"> </w:t>
      </w:r>
      <w:r>
        <w:t>laquelle</w:t>
      </w:r>
      <w:r w:rsidRPr="002C4077">
        <w:t xml:space="preserve"> </w:t>
      </w:r>
      <w:r>
        <w:t>le</w:t>
      </w:r>
      <w:r w:rsidRPr="002C4077">
        <w:t xml:space="preserve"> </w:t>
      </w:r>
      <w:r>
        <w:t>Messie</w:t>
      </w:r>
      <w:r w:rsidRPr="002C4077">
        <w:t xml:space="preserve"> </w:t>
      </w:r>
      <w:r>
        <w:t>ferait</w:t>
      </w:r>
      <w:r w:rsidRPr="002C4077">
        <w:t xml:space="preserve"> </w:t>
      </w:r>
      <w:r>
        <w:t>son</w:t>
      </w:r>
      <w:r w:rsidRPr="002C4077">
        <w:t xml:space="preserve"> </w:t>
      </w:r>
      <w:r>
        <w:t>apparition,</w:t>
      </w:r>
      <w:r w:rsidRPr="002C4077">
        <w:t xml:space="preserve"> </w:t>
      </w:r>
      <w:r>
        <w:t>mais</w:t>
      </w:r>
      <w:r w:rsidRPr="002C4077">
        <w:t xml:space="preserve"> </w:t>
      </w:r>
      <w:r>
        <w:t>de</w:t>
      </w:r>
      <w:r w:rsidRPr="002C4077">
        <w:t xml:space="preserve"> </w:t>
      </w:r>
      <w:r>
        <w:t>rappeler</w:t>
      </w:r>
      <w:r w:rsidRPr="002C4077">
        <w:t xml:space="preserve"> </w:t>
      </w:r>
      <w:r>
        <w:t>qu’il</w:t>
      </w:r>
      <w:r w:rsidRPr="002C4077">
        <w:t xml:space="preserve"> </w:t>
      </w:r>
      <w:r>
        <w:t>viendrait,</w:t>
      </w:r>
      <w:r w:rsidRPr="002C4077">
        <w:t xml:space="preserve"> </w:t>
      </w:r>
      <w:r>
        <w:t>et</w:t>
      </w:r>
      <w:r w:rsidRPr="002C4077">
        <w:t xml:space="preserve"> </w:t>
      </w:r>
      <w:r>
        <w:t>que,</w:t>
      </w:r>
      <w:r w:rsidRPr="002C4077">
        <w:t xml:space="preserve"> </w:t>
      </w:r>
      <w:r>
        <w:t>même</w:t>
      </w:r>
      <w:r w:rsidRPr="002C4077">
        <w:t xml:space="preserve"> </w:t>
      </w:r>
      <w:r>
        <w:t>avant</w:t>
      </w:r>
      <w:r w:rsidRPr="002C4077">
        <w:t xml:space="preserve"> </w:t>
      </w:r>
      <w:r>
        <w:t>sa</w:t>
      </w:r>
      <w:r w:rsidRPr="002C4077">
        <w:t xml:space="preserve"> </w:t>
      </w:r>
      <w:r>
        <w:t>naissance,</w:t>
      </w:r>
      <w:r w:rsidRPr="002C4077">
        <w:t xml:space="preserve"> </w:t>
      </w:r>
      <w:r>
        <w:t>on</w:t>
      </w:r>
      <w:r w:rsidRPr="002C4077">
        <w:t xml:space="preserve"> </w:t>
      </w:r>
      <w:r>
        <w:t>serait</w:t>
      </w:r>
      <w:r w:rsidRPr="002C4077">
        <w:t xml:space="preserve"> </w:t>
      </w:r>
      <w:r>
        <w:t>sauvé</w:t>
      </w:r>
      <w:r w:rsidRPr="002C4077">
        <w:t xml:space="preserve"> </w:t>
      </w:r>
      <w:r>
        <w:t>par</w:t>
      </w:r>
      <w:r w:rsidRPr="002C4077">
        <w:t xml:space="preserve"> </w:t>
      </w:r>
      <w:r>
        <w:t>lui.</w:t>
      </w:r>
      <w:r w:rsidR="00C45B47">
        <w:t xml:space="preserve"> {</w:t>
      </w:r>
      <w:r w:rsidR="000721C4">
        <w:t>94</w:t>
      </w:r>
      <w:bookmarkStart w:id="281" w:name="p094"/>
      <w:bookmarkEnd w:id="281"/>
      <w:r w:rsidR="000721C4">
        <w:t xml:space="preserve">} </w:t>
      </w:r>
      <w:r>
        <w:t>C’est</w:t>
      </w:r>
      <w:r w:rsidRPr="002C4077">
        <w:t xml:space="preserve"> </w:t>
      </w:r>
      <w:r>
        <w:t>là</w:t>
      </w:r>
      <w:r w:rsidRPr="002C4077">
        <w:t xml:space="preserve"> </w:t>
      </w:r>
      <w:r>
        <w:t>justement</w:t>
      </w:r>
      <w:r w:rsidRPr="002C4077">
        <w:t xml:space="preserve"> </w:t>
      </w:r>
      <w:r>
        <w:t>ce</w:t>
      </w:r>
      <w:r w:rsidRPr="002C4077">
        <w:t xml:space="preserve"> </w:t>
      </w:r>
      <w:r>
        <w:t>qu’annonce</w:t>
      </w:r>
      <w:r w:rsidRPr="002C4077">
        <w:t xml:space="preserve"> </w:t>
      </w:r>
      <w:r>
        <w:t>Isaïe</w:t>
      </w:r>
      <w:r w:rsidRPr="002C4077">
        <w:t xml:space="preserve"> </w:t>
      </w:r>
      <w:r>
        <w:t>au</w:t>
      </w:r>
      <w:r w:rsidRPr="002C4077">
        <w:t xml:space="preserve"> </w:t>
      </w:r>
      <w:r>
        <w:t>verset</w:t>
      </w:r>
      <w:r w:rsidRPr="002C4077">
        <w:t xml:space="preserve"> </w:t>
      </w:r>
      <w:r>
        <w:t>16,</w:t>
      </w:r>
      <w:r w:rsidRPr="002C4077">
        <w:t xml:space="preserve"> </w:t>
      </w:r>
      <w:r>
        <w:t>quand</w:t>
      </w:r>
      <w:r w:rsidRPr="002C4077">
        <w:t xml:space="preserve"> </w:t>
      </w:r>
      <w:r>
        <w:t>il</w:t>
      </w:r>
      <w:r w:rsidRPr="002C4077">
        <w:t xml:space="preserve"> </w:t>
      </w:r>
      <w:r>
        <w:t>dit</w:t>
      </w:r>
      <w:r w:rsidRPr="002C4077">
        <w:t xml:space="preserve"> </w:t>
      </w:r>
      <w:r>
        <w:t>que</w:t>
      </w:r>
      <w:r w:rsidRPr="002C4077">
        <w:t xml:space="preserve"> </w:t>
      </w:r>
      <w:r>
        <w:t>le</w:t>
      </w:r>
      <w:r w:rsidRPr="002C4077">
        <w:t xml:space="preserve"> </w:t>
      </w:r>
      <w:r>
        <w:t>secours</w:t>
      </w:r>
      <w:r w:rsidRPr="002C4077">
        <w:t xml:space="preserve"> </w:t>
      </w:r>
      <w:r>
        <w:t>dont</w:t>
      </w:r>
      <w:r w:rsidRPr="002C4077">
        <w:t xml:space="preserve"> </w:t>
      </w:r>
      <w:r>
        <w:t>on</w:t>
      </w:r>
      <w:r w:rsidRPr="002C4077">
        <w:t xml:space="preserve"> </w:t>
      </w:r>
      <w:r>
        <w:t>a</w:t>
      </w:r>
      <w:r w:rsidRPr="002C4077">
        <w:t xml:space="preserve"> </w:t>
      </w:r>
      <w:r>
        <w:t>un</w:t>
      </w:r>
      <w:r w:rsidRPr="002C4077">
        <w:t xml:space="preserve"> </w:t>
      </w:r>
      <w:r>
        <w:t>besoin</w:t>
      </w:r>
      <w:r w:rsidRPr="002C4077">
        <w:t xml:space="preserve"> </w:t>
      </w:r>
      <w:r>
        <w:t>si</w:t>
      </w:r>
      <w:r w:rsidRPr="002C4077">
        <w:t xml:space="preserve"> </w:t>
      </w:r>
      <w:r>
        <w:t>pressant</w:t>
      </w:r>
      <w:r w:rsidRPr="002C4077">
        <w:t xml:space="preserve"> </w:t>
      </w:r>
      <w:r>
        <w:t>ne</w:t>
      </w:r>
      <w:r w:rsidRPr="002C4077">
        <w:t xml:space="preserve"> </w:t>
      </w:r>
      <w:r>
        <w:t>manquera</w:t>
      </w:r>
      <w:r w:rsidRPr="002C4077">
        <w:t xml:space="preserve"> </w:t>
      </w:r>
      <w:r>
        <w:t>pas</w:t>
      </w:r>
      <w:r w:rsidRPr="002C4077">
        <w:t xml:space="preserve"> </w:t>
      </w:r>
      <w:r>
        <w:t>d’être</w:t>
      </w:r>
      <w:r w:rsidRPr="002C4077">
        <w:t xml:space="preserve"> </w:t>
      </w:r>
      <w:r>
        <w:t>accordé</w:t>
      </w:r>
      <w:r w:rsidRPr="002C4077">
        <w:t xml:space="preserve"> </w:t>
      </w:r>
      <w:r>
        <w:t>par</w:t>
      </w:r>
      <w:r w:rsidRPr="002C4077">
        <w:t xml:space="preserve"> </w:t>
      </w:r>
      <w:r>
        <w:t>Dieu</w:t>
      </w:r>
      <w:r w:rsidRPr="002C4077">
        <w:t xml:space="preserve"> </w:t>
      </w:r>
      <w:r>
        <w:t>en</w:t>
      </w:r>
      <w:r w:rsidRPr="002C4077">
        <w:t xml:space="preserve"> </w:t>
      </w:r>
      <w:r>
        <w:t>un</w:t>
      </w:r>
      <w:r w:rsidRPr="002C4077">
        <w:t xml:space="preserve"> </w:t>
      </w:r>
      <w:r>
        <w:t>temps</w:t>
      </w:r>
      <w:r w:rsidRPr="002C4077">
        <w:t xml:space="preserve"> </w:t>
      </w:r>
      <w:r>
        <w:t>opportun,</w:t>
      </w:r>
      <w:r w:rsidRPr="002C4077">
        <w:t xml:space="preserve"> </w:t>
      </w:r>
      <w:r>
        <w:t>c’est-à-dire,</w:t>
      </w:r>
      <w:r w:rsidRPr="002C4077">
        <w:t xml:space="preserve"> </w:t>
      </w:r>
      <w:r>
        <w:t>dans</w:t>
      </w:r>
      <w:r w:rsidRPr="002C4077">
        <w:t xml:space="preserve"> </w:t>
      </w:r>
      <w:r>
        <w:t>peu</w:t>
      </w:r>
      <w:r w:rsidRPr="002C4077">
        <w:t xml:space="preserve"> </w:t>
      </w:r>
      <w:r>
        <w:t>d’années.</w:t>
      </w:r>
      <w:r w:rsidRPr="002C4077">
        <w:t xml:space="preserve"> </w:t>
      </w:r>
    </w:p>
    <w:p w:rsidR="000A7AAB" w:rsidRDefault="000A7AAB" w:rsidP="000A7AAB">
      <w:r>
        <w:t>Il</w:t>
      </w:r>
      <w:r w:rsidRPr="002C4077">
        <w:t xml:space="preserve"> </w:t>
      </w:r>
      <w:r>
        <w:t>en</w:t>
      </w:r>
      <w:r w:rsidRPr="002C4077">
        <w:t xml:space="preserve"> </w:t>
      </w:r>
      <w:r w:rsidR="00425C50">
        <w:t>est</w:t>
      </w:r>
      <w:r w:rsidRPr="002C4077">
        <w:t xml:space="preserve"> </w:t>
      </w:r>
      <w:r>
        <w:t>donc</w:t>
      </w:r>
      <w:r w:rsidRPr="002C4077">
        <w:t xml:space="preserve"> </w:t>
      </w:r>
      <w:r>
        <w:t>du</w:t>
      </w:r>
      <w:r w:rsidRPr="002C4077">
        <w:t xml:space="preserve"> </w:t>
      </w:r>
      <w:r>
        <w:t>signe</w:t>
      </w:r>
      <w:r w:rsidRPr="002C4077">
        <w:t xml:space="preserve"> </w:t>
      </w:r>
      <w:r>
        <w:t>donné</w:t>
      </w:r>
      <w:r w:rsidRPr="002C4077">
        <w:t xml:space="preserve"> </w:t>
      </w:r>
      <w:r>
        <w:t>aux</w:t>
      </w:r>
      <w:r w:rsidRPr="002C4077">
        <w:t xml:space="preserve"> </w:t>
      </w:r>
      <w:r>
        <w:t>Juifs</w:t>
      </w:r>
      <w:r w:rsidRPr="002C4077">
        <w:t xml:space="preserve"> </w:t>
      </w:r>
      <w:r>
        <w:t>par</w:t>
      </w:r>
      <w:r w:rsidRPr="002C4077">
        <w:t xml:space="preserve"> </w:t>
      </w:r>
      <w:r>
        <w:t>Isaïe</w:t>
      </w:r>
      <w:r w:rsidRPr="002C4077">
        <w:t xml:space="preserve"> </w:t>
      </w:r>
      <w:r>
        <w:t>comme</w:t>
      </w:r>
      <w:r w:rsidRPr="002C4077">
        <w:t xml:space="preserve"> </w:t>
      </w:r>
      <w:r>
        <w:t>de</w:t>
      </w:r>
      <w:r w:rsidRPr="002C4077">
        <w:t xml:space="preserve"> </w:t>
      </w:r>
      <w:r w:rsidR="003B53FD">
        <w:t>celui</w:t>
      </w:r>
      <w:r w:rsidRPr="002C4077">
        <w:t xml:space="preserve"> </w:t>
      </w:r>
      <w:r>
        <w:t>du</w:t>
      </w:r>
      <w:r w:rsidRPr="002C4077">
        <w:t xml:space="preserve"> </w:t>
      </w:r>
      <w:r>
        <w:t>prophète</w:t>
      </w:r>
      <w:r w:rsidRPr="002C4077">
        <w:t xml:space="preserve"> </w:t>
      </w:r>
      <w:r>
        <w:t>Jonas,</w:t>
      </w:r>
      <w:r w:rsidRPr="002C4077">
        <w:t xml:space="preserve"> </w:t>
      </w:r>
      <w:r>
        <w:t>auquel</w:t>
      </w:r>
      <w:r w:rsidRPr="002C4077">
        <w:t xml:space="preserve"> </w:t>
      </w:r>
      <w:r>
        <w:t>N.</w:t>
      </w:r>
      <w:r w:rsidRPr="002C4077">
        <w:t xml:space="preserve"> </w:t>
      </w:r>
      <w:r>
        <w:t>S.</w:t>
      </w:r>
      <w:r w:rsidRPr="002C4077">
        <w:t xml:space="preserve"> </w:t>
      </w:r>
      <w:r w:rsidR="00425C50">
        <w:t>Jésus</w:t>
      </w:r>
      <w:r>
        <w:t>-</w:t>
      </w:r>
      <w:r w:rsidR="00425C50">
        <w:t>Christ</w:t>
      </w:r>
      <w:r w:rsidRPr="002C4077">
        <w:t xml:space="preserve"> </w:t>
      </w:r>
      <w:r>
        <w:t>renvoya</w:t>
      </w:r>
      <w:r w:rsidRPr="002C4077">
        <w:t xml:space="preserve"> </w:t>
      </w:r>
      <w:r>
        <w:t>ses</w:t>
      </w:r>
      <w:r w:rsidRPr="002C4077">
        <w:t xml:space="preserve"> </w:t>
      </w:r>
      <w:r>
        <w:t>propres</w:t>
      </w:r>
      <w:r w:rsidRPr="002C4077">
        <w:t xml:space="preserve"> </w:t>
      </w:r>
      <w:r>
        <w:t>contemporains</w:t>
      </w:r>
      <w:r w:rsidR="00B546AF">
        <w:t> :</w:t>
      </w:r>
      <w:r w:rsidRPr="002C4077">
        <w:t xml:space="preserve"> </w:t>
      </w:r>
      <w:r>
        <w:t>c’était</w:t>
      </w:r>
      <w:r w:rsidRPr="002C4077">
        <w:t xml:space="preserve"> </w:t>
      </w:r>
      <w:r>
        <w:t>une</w:t>
      </w:r>
      <w:r w:rsidRPr="002C4077">
        <w:t xml:space="preserve"> </w:t>
      </w:r>
      <w:r>
        <w:t>chose</w:t>
      </w:r>
      <w:r w:rsidRPr="002C4077">
        <w:t xml:space="preserve"> </w:t>
      </w:r>
      <w:r>
        <w:t>de</w:t>
      </w:r>
      <w:r w:rsidRPr="002C4077">
        <w:t xml:space="preserve"> </w:t>
      </w:r>
      <w:r>
        <w:t>foi,</w:t>
      </w:r>
      <w:r w:rsidRPr="002C4077">
        <w:t xml:space="preserve"> </w:t>
      </w:r>
      <w:r>
        <w:t>qui</w:t>
      </w:r>
      <w:r w:rsidRPr="002C4077">
        <w:t xml:space="preserve"> </w:t>
      </w:r>
      <w:r>
        <w:t>n’était</w:t>
      </w:r>
      <w:r w:rsidRPr="002C4077">
        <w:t xml:space="preserve"> </w:t>
      </w:r>
      <w:r>
        <w:t>pas</w:t>
      </w:r>
      <w:r w:rsidRPr="002C4077">
        <w:t xml:space="preserve"> </w:t>
      </w:r>
      <w:r>
        <w:t>perceptible</w:t>
      </w:r>
      <w:r w:rsidRPr="002C4077">
        <w:t xml:space="preserve"> </w:t>
      </w:r>
      <w:r>
        <w:t>extérieurement</w:t>
      </w:r>
      <w:r w:rsidRPr="002C4077">
        <w:t xml:space="preserve"> </w:t>
      </w:r>
      <w:r>
        <w:t>d’une</w:t>
      </w:r>
      <w:r w:rsidRPr="002C4077">
        <w:t xml:space="preserve"> </w:t>
      </w:r>
      <w:r>
        <w:t>manière</w:t>
      </w:r>
      <w:r w:rsidRPr="002C4077">
        <w:t xml:space="preserve"> </w:t>
      </w:r>
      <w:r>
        <w:t>immédiate,</w:t>
      </w:r>
      <w:r w:rsidRPr="002C4077">
        <w:t xml:space="preserve"> </w:t>
      </w:r>
      <w:r>
        <w:t>mais</w:t>
      </w:r>
      <w:r w:rsidRPr="002C4077">
        <w:t xml:space="preserve"> </w:t>
      </w:r>
      <w:r>
        <w:t>qui</w:t>
      </w:r>
      <w:r w:rsidRPr="002C4077">
        <w:t xml:space="preserve"> </w:t>
      </w:r>
      <w:r>
        <w:t>était</w:t>
      </w:r>
      <w:r w:rsidRPr="002C4077">
        <w:t xml:space="preserve"> </w:t>
      </w:r>
      <w:r>
        <w:t>néanmoins</w:t>
      </w:r>
      <w:r w:rsidRPr="002C4077">
        <w:t xml:space="preserve"> </w:t>
      </w:r>
      <w:r>
        <w:t>d’une</w:t>
      </w:r>
      <w:r w:rsidRPr="002C4077">
        <w:t xml:space="preserve"> </w:t>
      </w:r>
      <w:r>
        <w:t>certitude</w:t>
      </w:r>
      <w:r w:rsidRPr="002C4077">
        <w:t xml:space="preserve"> </w:t>
      </w:r>
      <w:r>
        <w:t>absolue</w:t>
      </w:r>
      <w:r w:rsidR="00D22163">
        <w:rPr>
          <w:rStyle w:val="Appelnotedebasdep"/>
        </w:rPr>
        <w:footnoteReference w:id="301"/>
      </w:r>
      <w:r w:rsidR="00D22163">
        <w:t>.</w:t>
      </w:r>
      <w:r w:rsidRPr="002C4077">
        <w:t xml:space="preserve"> </w:t>
      </w:r>
    </w:p>
    <w:p w:rsidR="000A7AAB" w:rsidRDefault="000A7AAB" w:rsidP="000A7AAB">
      <w:r>
        <w:t>De</w:t>
      </w:r>
      <w:r w:rsidRPr="002C4077">
        <w:t xml:space="preserve"> </w:t>
      </w:r>
      <w:r>
        <w:t>plus,</w:t>
      </w:r>
      <w:r w:rsidRPr="002C4077">
        <w:t xml:space="preserve"> </w:t>
      </w:r>
      <w:r>
        <w:t>Isaïe</w:t>
      </w:r>
      <w:r w:rsidRPr="002C4077">
        <w:t xml:space="preserve"> </w:t>
      </w:r>
      <w:r>
        <w:t>n’en</w:t>
      </w:r>
      <w:r w:rsidRPr="002C4077">
        <w:t xml:space="preserve"> </w:t>
      </w:r>
      <w:r>
        <w:t>était</w:t>
      </w:r>
      <w:r w:rsidRPr="002C4077">
        <w:t xml:space="preserve"> </w:t>
      </w:r>
      <w:r>
        <w:t>pas</w:t>
      </w:r>
      <w:r w:rsidRPr="002C4077">
        <w:t xml:space="preserve"> </w:t>
      </w:r>
      <w:r>
        <w:t>alors</w:t>
      </w:r>
      <w:r w:rsidRPr="002C4077">
        <w:t xml:space="preserve"> </w:t>
      </w:r>
      <w:r>
        <w:t>à</w:t>
      </w:r>
      <w:r w:rsidRPr="002C4077">
        <w:t xml:space="preserve"> </w:t>
      </w:r>
      <w:r>
        <w:t>sa</w:t>
      </w:r>
      <w:r w:rsidRPr="002C4077">
        <w:t xml:space="preserve"> </w:t>
      </w:r>
      <w:r>
        <w:t>première</w:t>
      </w:r>
      <w:r w:rsidRPr="002C4077">
        <w:t xml:space="preserve"> </w:t>
      </w:r>
      <w:r>
        <w:t>prédiction</w:t>
      </w:r>
      <w:r w:rsidR="00B546AF">
        <w:t> ;</w:t>
      </w:r>
      <w:r w:rsidRPr="002C4077">
        <w:t xml:space="preserve"> </w:t>
      </w:r>
      <w:r>
        <w:t>mais</w:t>
      </w:r>
      <w:r w:rsidRPr="002C4077">
        <w:t xml:space="preserve"> </w:t>
      </w:r>
      <w:r>
        <w:t>il</w:t>
      </w:r>
      <w:r w:rsidRPr="002C4077">
        <w:t xml:space="preserve"> </w:t>
      </w:r>
      <w:r>
        <w:t>avait</w:t>
      </w:r>
      <w:r w:rsidRPr="002C4077">
        <w:t xml:space="preserve"> </w:t>
      </w:r>
      <w:r>
        <w:t>déjà</w:t>
      </w:r>
      <w:r w:rsidRPr="002C4077">
        <w:t xml:space="preserve"> </w:t>
      </w:r>
      <w:r>
        <w:t>donné</w:t>
      </w:r>
      <w:r w:rsidRPr="002C4077">
        <w:t xml:space="preserve"> </w:t>
      </w:r>
      <w:r>
        <w:t>les</w:t>
      </w:r>
      <w:r w:rsidRPr="002C4077">
        <w:t xml:space="preserve"> </w:t>
      </w:r>
      <w:r>
        <w:t>preuves</w:t>
      </w:r>
      <w:r w:rsidRPr="002C4077">
        <w:t xml:space="preserve"> </w:t>
      </w:r>
      <w:r>
        <w:t>les</w:t>
      </w:r>
      <w:r w:rsidRPr="002C4077">
        <w:t xml:space="preserve"> </w:t>
      </w:r>
      <w:r>
        <w:t>plus</w:t>
      </w:r>
      <w:r w:rsidRPr="002C4077">
        <w:t xml:space="preserve"> </w:t>
      </w:r>
      <w:r>
        <w:t>palpables</w:t>
      </w:r>
      <w:r w:rsidRPr="002C4077">
        <w:t xml:space="preserve"> </w:t>
      </w:r>
      <w:r>
        <w:t>de</w:t>
      </w:r>
      <w:r w:rsidRPr="002C4077">
        <w:t xml:space="preserve"> </w:t>
      </w:r>
      <w:r>
        <w:t>sa</w:t>
      </w:r>
      <w:r w:rsidRPr="002C4077">
        <w:t xml:space="preserve"> </w:t>
      </w:r>
      <w:r>
        <w:t>mission</w:t>
      </w:r>
      <w:r w:rsidRPr="002C4077">
        <w:t xml:space="preserve"> </w:t>
      </w:r>
      <w:r>
        <w:t>divine,</w:t>
      </w:r>
      <w:r w:rsidRPr="002C4077">
        <w:t xml:space="preserve"> </w:t>
      </w:r>
      <w:r>
        <w:t>qui</w:t>
      </w:r>
      <w:r w:rsidRPr="002C4077">
        <w:t xml:space="preserve"> </w:t>
      </w:r>
      <w:r>
        <w:t>était</w:t>
      </w:r>
      <w:r w:rsidRPr="002C4077">
        <w:t xml:space="preserve"> </w:t>
      </w:r>
      <w:r>
        <w:t>universellement</w:t>
      </w:r>
      <w:r w:rsidRPr="002C4077">
        <w:t xml:space="preserve"> </w:t>
      </w:r>
      <w:r>
        <w:t>reconnue</w:t>
      </w:r>
      <w:r w:rsidRPr="002C4077">
        <w:t xml:space="preserve"> </w:t>
      </w:r>
      <w:r>
        <w:t>par</w:t>
      </w:r>
      <w:r w:rsidRPr="002C4077">
        <w:t xml:space="preserve"> </w:t>
      </w:r>
      <w:r>
        <w:t>ses</w:t>
      </w:r>
      <w:r w:rsidRPr="002C4077">
        <w:t xml:space="preserve"> </w:t>
      </w:r>
      <w:r>
        <w:t>compatriotes.</w:t>
      </w:r>
      <w:r w:rsidRPr="002C4077">
        <w:t xml:space="preserve"> </w:t>
      </w:r>
      <w:r>
        <w:t>Dans</w:t>
      </w:r>
      <w:r w:rsidRPr="002C4077">
        <w:t xml:space="preserve"> </w:t>
      </w:r>
      <w:r>
        <w:t>ces</w:t>
      </w:r>
      <w:r w:rsidRPr="002C4077">
        <w:t xml:space="preserve"> </w:t>
      </w:r>
      <w:r>
        <w:t>conditions,</w:t>
      </w:r>
      <w:r w:rsidRPr="002C4077">
        <w:t xml:space="preserve"> </w:t>
      </w:r>
      <w:r>
        <w:t>un</w:t>
      </w:r>
      <w:r w:rsidRPr="002C4077">
        <w:t xml:space="preserve"> </w:t>
      </w:r>
      <w:r>
        <w:t>oracle</w:t>
      </w:r>
      <w:r w:rsidRPr="002C4077">
        <w:t xml:space="preserve"> </w:t>
      </w:r>
      <w:r w:rsidRPr="000A34B5">
        <w:rPr>
          <w:rStyle w:val="italicus"/>
        </w:rPr>
        <w:t>de</w:t>
      </w:r>
      <w:r w:rsidRPr="002C4077">
        <w:t xml:space="preserve"> </w:t>
      </w:r>
      <w:r w:rsidRPr="000A34B5">
        <w:rPr>
          <w:rStyle w:val="italicus"/>
        </w:rPr>
        <w:t>re</w:t>
      </w:r>
      <w:r w:rsidRPr="002C4077">
        <w:t xml:space="preserve"> </w:t>
      </w:r>
      <w:r w:rsidR="006E0521" w:rsidRPr="000A34B5">
        <w:rPr>
          <w:rStyle w:val="italicus"/>
        </w:rPr>
        <w:t>futúra</w:t>
      </w:r>
      <w:r w:rsidRPr="002C4077">
        <w:t xml:space="preserve"> </w:t>
      </w:r>
      <w:r>
        <w:t>possédait</w:t>
      </w:r>
      <w:r w:rsidRPr="002C4077">
        <w:t xml:space="preserve"> </w:t>
      </w:r>
      <w:r>
        <w:t>une</w:t>
      </w:r>
      <w:r w:rsidRPr="002C4077">
        <w:t xml:space="preserve"> </w:t>
      </w:r>
      <w:r>
        <w:t>force</w:t>
      </w:r>
      <w:r w:rsidRPr="002C4077">
        <w:t xml:space="preserve"> </w:t>
      </w:r>
      <w:r>
        <w:t>dont</w:t>
      </w:r>
      <w:r w:rsidRPr="002C4077">
        <w:t xml:space="preserve"> </w:t>
      </w:r>
      <w:r>
        <w:t>il</w:t>
      </w:r>
      <w:r w:rsidRPr="002C4077">
        <w:t xml:space="preserve"> </w:t>
      </w:r>
      <w:r>
        <w:t>serait</w:t>
      </w:r>
      <w:r w:rsidRPr="002C4077">
        <w:t xml:space="preserve"> </w:t>
      </w:r>
      <w:r>
        <w:t>illogique</w:t>
      </w:r>
      <w:r w:rsidRPr="002C4077">
        <w:t xml:space="preserve"> </w:t>
      </w:r>
      <w:r>
        <w:t>de</w:t>
      </w:r>
      <w:r w:rsidRPr="002C4077">
        <w:t xml:space="preserve"> </w:t>
      </w:r>
      <w:r>
        <w:t>ne</w:t>
      </w:r>
      <w:r w:rsidRPr="002C4077">
        <w:t xml:space="preserve"> </w:t>
      </w:r>
      <w:r>
        <w:t>pas</w:t>
      </w:r>
      <w:r w:rsidRPr="002C4077">
        <w:t xml:space="preserve"> </w:t>
      </w:r>
      <w:r>
        <w:t>tenir</w:t>
      </w:r>
      <w:r w:rsidRPr="002C4077">
        <w:t xml:space="preserve"> </w:t>
      </w:r>
      <w:r>
        <w:t>compte.</w:t>
      </w:r>
      <w:r w:rsidRPr="002C4077">
        <w:t xml:space="preserve"> </w:t>
      </w:r>
      <w:r w:rsidR="00B546AF">
        <w:t>« </w:t>
      </w:r>
      <w:r>
        <w:t>Par</w:t>
      </w:r>
      <w:r w:rsidRPr="002C4077">
        <w:t xml:space="preserve"> </w:t>
      </w:r>
      <w:r>
        <w:t>là,</w:t>
      </w:r>
      <w:r w:rsidRPr="002C4077">
        <w:t xml:space="preserve"> </w:t>
      </w:r>
      <w:r>
        <w:t>en</w:t>
      </w:r>
      <w:r w:rsidRPr="002C4077">
        <w:t xml:space="preserve"> </w:t>
      </w:r>
      <w:r>
        <w:t>effet,</w:t>
      </w:r>
      <w:r w:rsidRPr="002C4077">
        <w:t xml:space="preserve"> </w:t>
      </w:r>
      <w:r>
        <w:t>il</w:t>
      </w:r>
      <w:r w:rsidRPr="002C4077">
        <w:t xml:space="preserve"> </w:t>
      </w:r>
      <w:r w:rsidR="00425C50">
        <w:t>est</w:t>
      </w:r>
      <w:r w:rsidRPr="002C4077">
        <w:t xml:space="preserve"> </w:t>
      </w:r>
      <w:r>
        <w:t>montré</w:t>
      </w:r>
      <w:r w:rsidRPr="002C4077">
        <w:t xml:space="preserve"> </w:t>
      </w:r>
      <w:r>
        <w:t>de</w:t>
      </w:r>
      <w:r w:rsidRPr="002C4077">
        <w:t xml:space="preserve"> </w:t>
      </w:r>
      <w:r>
        <w:t>la</w:t>
      </w:r>
      <w:r w:rsidRPr="002C4077">
        <w:t xml:space="preserve"> </w:t>
      </w:r>
      <w:r>
        <w:t>façon</w:t>
      </w:r>
      <w:r w:rsidRPr="002C4077">
        <w:t xml:space="preserve"> </w:t>
      </w:r>
      <w:r>
        <w:t>la</w:t>
      </w:r>
      <w:r w:rsidRPr="002C4077">
        <w:t xml:space="preserve"> </w:t>
      </w:r>
      <w:r>
        <w:t>plus</w:t>
      </w:r>
      <w:r w:rsidRPr="002C4077">
        <w:t xml:space="preserve"> </w:t>
      </w:r>
      <w:r>
        <w:t>frappante</w:t>
      </w:r>
      <w:r w:rsidRPr="002C4077">
        <w:t xml:space="preserve"> </w:t>
      </w:r>
      <w:r>
        <w:t>comment</w:t>
      </w:r>
      <w:r w:rsidRPr="002C4077">
        <w:t xml:space="preserve"> </w:t>
      </w:r>
      <w:r>
        <w:t>l’avenir</w:t>
      </w:r>
      <w:r w:rsidRPr="002C4077">
        <w:t xml:space="preserve"> </w:t>
      </w:r>
      <w:r>
        <w:t>se</w:t>
      </w:r>
      <w:r w:rsidRPr="002C4077">
        <w:t xml:space="preserve"> </w:t>
      </w:r>
      <w:r>
        <w:t>déroule</w:t>
      </w:r>
      <w:r w:rsidRPr="002C4077">
        <w:t xml:space="preserve"> </w:t>
      </w:r>
      <w:r>
        <w:t>devant</w:t>
      </w:r>
      <w:r w:rsidRPr="002C4077">
        <w:t xml:space="preserve"> </w:t>
      </w:r>
      <w:r>
        <w:t>Dieu</w:t>
      </w:r>
      <w:r w:rsidRPr="002C4077">
        <w:t xml:space="preserve"> </w:t>
      </w:r>
      <w:r>
        <w:t>et</w:t>
      </w:r>
      <w:r w:rsidRPr="002C4077">
        <w:t xml:space="preserve"> </w:t>
      </w:r>
      <w:r>
        <w:t>comment</w:t>
      </w:r>
      <w:r w:rsidRPr="002C4077">
        <w:t xml:space="preserve"> </w:t>
      </w:r>
      <w:r>
        <w:t>toutes</w:t>
      </w:r>
      <w:r w:rsidRPr="002C4077">
        <w:t xml:space="preserve"> </w:t>
      </w:r>
      <w:r>
        <w:t>choses,</w:t>
      </w:r>
      <w:r w:rsidRPr="002C4077">
        <w:t xml:space="preserve"> </w:t>
      </w:r>
      <w:r>
        <w:t>même</w:t>
      </w:r>
      <w:r w:rsidRPr="002C4077">
        <w:t xml:space="preserve"> </w:t>
      </w:r>
      <w:r>
        <w:t>les</w:t>
      </w:r>
      <w:r w:rsidRPr="002C4077">
        <w:t xml:space="preserve"> </w:t>
      </w:r>
      <w:r>
        <w:t>plus</w:t>
      </w:r>
      <w:r w:rsidRPr="002C4077">
        <w:t xml:space="preserve"> </w:t>
      </w:r>
      <w:r>
        <w:t>éloignées,</w:t>
      </w:r>
      <w:r w:rsidRPr="002C4077">
        <w:t xml:space="preserve"> </w:t>
      </w:r>
      <w:r>
        <w:t>sont</w:t>
      </w:r>
      <w:r w:rsidRPr="002C4077">
        <w:t xml:space="preserve"> </w:t>
      </w:r>
      <w:r>
        <w:t>soumises</w:t>
      </w:r>
      <w:r w:rsidRPr="002C4077">
        <w:t xml:space="preserve"> </w:t>
      </w:r>
      <w:r>
        <w:t>à</w:t>
      </w:r>
      <w:r w:rsidRPr="002C4077">
        <w:t xml:space="preserve"> </w:t>
      </w:r>
      <w:r>
        <w:t>sa</w:t>
      </w:r>
      <w:r w:rsidRPr="002C4077">
        <w:t xml:space="preserve"> </w:t>
      </w:r>
      <w:r>
        <w:t>direction</w:t>
      </w:r>
      <w:r w:rsidRPr="002C4077">
        <w:t xml:space="preserve"> </w:t>
      </w:r>
      <w:r>
        <w:t>et</w:t>
      </w:r>
      <w:r w:rsidRPr="002C4077">
        <w:t xml:space="preserve"> </w:t>
      </w:r>
      <w:r>
        <w:t>à</w:t>
      </w:r>
      <w:r w:rsidRPr="002C4077">
        <w:t xml:space="preserve"> </w:t>
      </w:r>
      <w:r>
        <w:t>sa</w:t>
      </w:r>
      <w:r w:rsidRPr="002C4077">
        <w:t xml:space="preserve"> </w:t>
      </w:r>
      <w:r>
        <w:t>volonté</w:t>
      </w:r>
      <w:r w:rsidR="00B546AF">
        <w:t> ;</w:t>
      </w:r>
      <w:r w:rsidRPr="002C4077">
        <w:t xml:space="preserve"> </w:t>
      </w:r>
      <w:r>
        <w:t>or,</w:t>
      </w:r>
      <w:r w:rsidRPr="002C4077">
        <w:t xml:space="preserve"> </w:t>
      </w:r>
      <w:r>
        <w:t>la</w:t>
      </w:r>
      <w:r w:rsidRPr="002C4077">
        <w:t xml:space="preserve"> </w:t>
      </w:r>
      <w:r>
        <w:t>foi</w:t>
      </w:r>
      <w:r w:rsidRPr="002C4077">
        <w:t xml:space="preserve"> </w:t>
      </w:r>
      <w:r>
        <w:t>puise</w:t>
      </w:r>
      <w:r w:rsidRPr="002C4077">
        <w:t xml:space="preserve"> </w:t>
      </w:r>
      <w:r>
        <w:t>précisément</w:t>
      </w:r>
      <w:r w:rsidRPr="002C4077">
        <w:t xml:space="preserve"> </w:t>
      </w:r>
      <w:r>
        <w:t>dans</w:t>
      </w:r>
      <w:r w:rsidRPr="002C4077">
        <w:t xml:space="preserve"> </w:t>
      </w:r>
      <w:r>
        <w:t>une</w:t>
      </w:r>
      <w:r w:rsidRPr="002C4077">
        <w:t xml:space="preserve"> </w:t>
      </w:r>
      <w:r>
        <w:lastRenderedPageBreak/>
        <w:t>vue</w:t>
      </w:r>
      <w:r w:rsidRPr="002C4077">
        <w:t xml:space="preserve"> </w:t>
      </w:r>
      <w:r>
        <w:t>de</w:t>
      </w:r>
      <w:r w:rsidRPr="002C4077">
        <w:t xml:space="preserve"> </w:t>
      </w:r>
      <w:r>
        <w:t>ce</w:t>
      </w:r>
      <w:r w:rsidRPr="002C4077">
        <w:t xml:space="preserve"> </w:t>
      </w:r>
      <w:r>
        <w:t>genre</w:t>
      </w:r>
      <w:r w:rsidRPr="002C4077">
        <w:t xml:space="preserve"> </w:t>
      </w:r>
      <w:r>
        <w:t>espoir</w:t>
      </w:r>
      <w:r w:rsidRPr="002C4077">
        <w:t xml:space="preserve"> </w:t>
      </w:r>
      <w:r>
        <w:t>et</w:t>
      </w:r>
      <w:r w:rsidRPr="002C4077">
        <w:t xml:space="preserve"> </w:t>
      </w:r>
      <w:r>
        <w:t>confiance</w:t>
      </w:r>
      <w:r w:rsidRPr="002C4077">
        <w:t xml:space="preserve"> </w:t>
      </w:r>
      <w:r>
        <w:t>pour</w:t>
      </w:r>
      <w:r w:rsidRPr="002C4077">
        <w:t xml:space="preserve"> </w:t>
      </w:r>
      <w:r>
        <w:t>le</w:t>
      </w:r>
      <w:r w:rsidRPr="002C4077">
        <w:t xml:space="preserve"> </w:t>
      </w:r>
      <w:r>
        <w:t>présent.</w:t>
      </w:r>
      <w:r w:rsidRPr="002C4077">
        <w:t xml:space="preserve"> </w:t>
      </w:r>
      <w:r>
        <w:t>C’est</w:t>
      </w:r>
      <w:r w:rsidRPr="002C4077">
        <w:t xml:space="preserve"> </w:t>
      </w:r>
      <w:r>
        <w:t>une</w:t>
      </w:r>
      <w:r w:rsidRPr="002C4077">
        <w:t xml:space="preserve"> </w:t>
      </w:r>
      <w:r>
        <w:t>garantie</w:t>
      </w:r>
      <w:r w:rsidRPr="002C4077">
        <w:t xml:space="preserve"> </w:t>
      </w:r>
      <w:r>
        <w:t>de</w:t>
      </w:r>
      <w:r w:rsidRPr="002C4077">
        <w:t xml:space="preserve"> </w:t>
      </w:r>
      <w:r>
        <w:t>premier</w:t>
      </w:r>
      <w:r w:rsidRPr="002C4077">
        <w:t xml:space="preserve"> </w:t>
      </w:r>
      <w:r>
        <w:t>ordre,</w:t>
      </w:r>
      <w:r w:rsidRPr="002C4077">
        <w:t xml:space="preserve"> </w:t>
      </w:r>
      <w:r>
        <w:t>quand</w:t>
      </w:r>
      <w:r w:rsidRPr="002C4077">
        <w:t xml:space="preserve"> </w:t>
      </w:r>
      <w:r>
        <w:t>Dieu,</w:t>
      </w:r>
      <w:r w:rsidRPr="002C4077">
        <w:t xml:space="preserve"> </w:t>
      </w:r>
      <w:r>
        <w:t>par</w:t>
      </w:r>
      <w:r w:rsidRPr="002C4077">
        <w:t xml:space="preserve"> </w:t>
      </w:r>
      <w:r>
        <w:t>un</w:t>
      </w:r>
      <w:r w:rsidRPr="002C4077">
        <w:t xml:space="preserve"> </w:t>
      </w:r>
      <w:r>
        <w:t>de</w:t>
      </w:r>
      <w:r w:rsidRPr="002C4077">
        <w:t xml:space="preserve"> </w:t>
      </w:r>
      <w:r>
        <w:t>ses</w:t>
      </w:r>
      <w:r w:rsidRPr="002C4077">
        <w:t xml:space="preserve"> </w:t>
      </w:r>
      <w:r>
        <w:t>prophètes,</w:t>
      </w:r>
      <w:r w:rsidRPr="002C4077">
        <w:t xml:space="preserve"> </w:t>
      </w:r>
      <w:r>
        <w:t>soulève</w:t>
      </w:r>
      <w:r w:rsidRPr="002C4077">
        <w:t xml:space="preserve"> </w:t>
      </w:r>
      <w:r>
        <w:t>pour</w:t>
      </w:r>
      <w:r w:rsidRPr="002C4077">
        <w:t xml:space="preserve"> </w:t>
      </w:r>
      <w:r>
        <w:t>les</w:t>
      </w:r>
      <w:r w:rsidRPr="002C4077">
        <w:t xml:space="preserve"> </w:t>
      </w:r>
      <w:r>
        <w:t>hommes</w:t>
      </w:r>
      <w:r w:rsidRPr="002C4077">
        <w:t xml:space="preserve"> </w:t>
      </w:r>
      <w:r>
        <w:t>le</w:t>
      </w:r>
      <w:r w:rsidRPr="002C4077">
        <w:t xml:space="preserve"> </w:t>
      </w:r>
      <w:r>
        <w:t>voile</w:t>
      </w:r>
      <w:r w:rsidRPr="002C4077">
        <w:t xml:space="preserve"> </w:t>
      </w:r>
      <w:r>
        <w:t>de</w:t>
      </w:r>
      <w:r w:rsidRPr="002C4077">
        <w:t xml:space="preserve"> </w:t>
      </w:r>
      <w:r>
        <w:t>l’avenir</w:t>
      </w:r>
      <w:r w:rsidRPr="002C4077">
        <w:t xml:space="preserve"> </w:t>
      </w:r>
      <w:r>
        <w:t>et</w:t>
      </w:r>
      <w:r w:rsidRPr="002C4077">
        <w:t xml:space="preserve"> </w:t>
      </w:r>
      <w:r>
        <w:t>leur</w:t>
      </w:r>
      <w:r w:rsidRPr="002C4077">
        <w:t xml:space="preserve"> </w:t>
      </w:r>
      <w:r>
        <w:t>fournit</w:t>
      </w:r>
      <w:r w:rsidRPr="002C4077">
        <w:t xml:space="preserve"> </w:t>
      </w:r>
      <w:r>
        <w:t>ainsi,</w:t>
      </w:r>
      <w:r w:rsidRPr="002C4077">
        <w:t xml:space="preserve"> </w:t>
      </w:r>
      <w:r>
        <w:t>dans</w:t>
      </w:r>
      <w:r w:rsidRPr="002C4077">
        <w:t xml:space="preserve"> </w:t>
      </w:r>
      <w:r>
        <w:t>la</w:t>
      </w:r>
      <w:r w:rsidRPr="002C4077">
        <w:t xml:space="preserve"> </w:t>
      </w:r>
      <w:r>
        <w:t>claire</w:t>
      </w:r>
      <w:r w:rsidRPr="002C4077">
        <w:t xml:space="preserve"> </w:t>
      </w:r>
      <w:r>
        <w:t>vue</w:t>
      </w:r>
      <w:r w:rsidRPr="002C4077">
        <w:t xml:space="preserve"> </w:t>
      </w:r>
      <w:r>
        <w:t>des</w:t>
      </w:r>
      <w:r w:rsidRPr="002C4077">
        <w:t xml:space="preserve"> </w:t>
      </w:r>
      <w:r>
        <w:t>événements</w:t>
      </w:r>
      <w:r w:rsidRPr="002C4077">
        <w:t xml:space="preserve"> </w:t>
      </w:r>
      <w:r>
        <w:t>futurs,</w:t>
      </w:r>
      <w:r w:rsidRPr="002C4077">
        <w:t xml:space="preserve"> </w:t>
      </w:r>
      <w:r>
        <w:t>un</w:t>
      </w:r>
      <w:r w:rsidRPr="002C4077">
        <w:t xml:space="preserve"> </w:t>
      </w:r>
      <w:r>
        <w:t>gage</w:t>
      </w:r>
      <w:r w:rsidRPr="002C4077">
        <w:t xml:space="preserve"> </w:t>
      </w:r>
      <w:r>
        <w:t>pour</w:t>
      </w:r>
      <w:r w:rsidRPr="002C4077">
        <w:t xml:space="preserve"> </w:t>
      </w:r>
      <w:r>
        <w:t>le</w:t>
      </w:r>
      <w:r w:rsidRPr="002C4077">
        <w:t xml:space="preserve"> </w:t>
      </w:r>
      <w:r>
        <w:t>temps</w:t>
      </w:r>
      <w:r w:rsidRPr="002C4077">
        <w:t xml:space="preserve"> </w:t>
      </w:r>
      <w:r>
        <w:t>présent.</w:t>
      </w:r>
      <w:r w:rsidRPr="002C4077">
        <w:t xml:space="preserve"> </w:t>
      </w:r>
      <w:r>
        <w:t>La</w:t>
      </w:r>
      <w:r w:rsidRPr="002C4077">
        <w:t xml:space="preserve"> </w:t>
      </w:r>
      <w:r>
        <w:t>prophétie</w:t>
      </w:r>
      <w:r w:rsidRPr="002C4077">
        <w:t xml:space="preserve"> </w:t>
      </w:r>
      <w:r>
        <w:t>prise</w:t>
      </w:r>
      <w:r w:rsidRPr="002C4077">
        <w:t xml:space="preserve"> </w:t>
      </w:r>
      <w:r>
        <w:t>dans</w:t>
      </w:r>
      <w:r w:rsidRPr="002C4077">
        <w:t xml:space="preserve"> </w:t>
      </w:r>
      <w:r>
        <w:t>le</w:t>
      </w:r>
      <w:r w:rsidRPr="002C4077">
        <w:t xml:space="preserve"> </w:t>
      </w:r>
      <w:r>
        <w:t>sens</w:t>
      </w:r>
      <w:r w:rsidRPr="002C4077">
        <w:t xml:space="preserve"> </w:t>
      </w:r>
      <w:r>
        <w:t>strict,</w:t>
      </w:r>
      <w:r w:rsidRPr="002C4077">
        <w:t xml:space="preserve"> </w:t>
      </w:r>
      <w:r>
        <w:t>c’est-à-dire,</w:t>
      </w:r>
      <w:r w:rsidRPr="002C4077">
        <w:t xml:space="preserve"> </w:t>
      </w:r>
      <w:r>
        <w:t>la</w:t>
      </w:r>
      <w:r w:rsidRPr="002C4077">
        <w:t xml:space="preserve"> </w:t>
      </w:r>
      <w:r>
        <w:t>prévision</w:t>
      </w:r>
      <w:r w:rsidRPr="002C4077">
        <w:t xml:space="preserve"> </w:t>
      </w:r>
      <w:r>
        <w:t>des</w:t>
      </w:r>
      <w:r w:rsidRPr="002C4077">
        <w:t xml:space="preserve"> </w:t>
      </w:r>
      <w:r>
        <w:t>actes</w:t>
      </w:r>
      <w:r w:rsidRPr="002C4077">
        <w:t xml:space="preserve"> </w:t>
      </w:r>
      <w:r>
        <w:t>libres,</w:t>
      </w:r>
      <w:r w:rsidRPr="002C4077">
        <w:t xml:space="preserve"> </w:t>
      </w:r>
      <w:r>
        <w:t>étant</w:t>
      </w:r>
      <w:r w:rsidRPr="002C4077">
        <w:t xml:space="preserve"> </w:t>
      </w:r>
      <w:r>
        <w:t>le</w:t>
      </w:r>
      <w:r w:rsidRPr="002C4077">
        <w:t xml:space="preserve"> </w:t>
      </w:r>
      <w:r>
        <w:t>plus</w:t>
      </w:r>
      <w:r w:rsidRPr="002C4077">
        <w:t xml:space="preserve"> </w:t>
      </w:r>
      <w:r>
        <w:t>grand</w:t>
      </w:r>
      <w:r w:rsidRPr="002C4077">
        <w:t xml:space="preserve"> </w:t>
      </w:r>
      <w:r>
        <w:t>des</w:t>
      </w:r>
      <w:r w:rsidRPr="002C4077">
        <w:t xml:space="preserve"> </w:t>
      </w:r>
      <w:r>
        <w:t>miracles,</w:t>
      </w:r>
      <w:r w:rsidRPr="002C4077">
        <w:t xml:space="preserve"> </w:t>
      </w:r>
      <w:r>
        <w:t>qui</w:t>
      </w:r>
      <w:r w:rsidRPr="002C4077">
        <w:t xml:space="preserve"> </w:t>
      </w:r>
      <w:r>
        <w:t>peut</w:t>
      </w:r>
      <w:r w:rsidRPr="002C4077">
        <w:t xml:space="preserve"> </w:t>
      </w:r>
      <w:r>
        <w:t>provenir</w:t>
      </w:r>
      <w:r w:rsidRPr="002C4077">
        <w:t xml:space="preserve"> </w:t>
      </w:r>
      <w:r>
        <w:t>seulement</w:t>
      </w:r>
      <w:r w:rsidRPr="002C4077">
        <w:t xml:space="preserve"> </w:t>
      </w:r>
      <w:r>
        <w:t>de</w:t>
      </w:r>
      <w:r w:rsidRPr="002C4077">
        <w:t xml:space="preserve"> </w:t>
      </w:r>
      <w:r w:rsidR="003B53FD">
        <w:t>Celui</w:t>
      </w:r>
      <w:r w:rsidRPr="002C4077">
        <w:t xml:space="preserve"> </w:t>
      </w:r>
      <w:r>
        <w:t>qui</w:t>
      </w:r>
      <w:r w:rsidRPr="002C4077">
        <w:t xml:space="preserve"> </w:t>
      </w:r>
      <w:r>
        <w:t>sait</w:t>
      </w:r>
      <w:r w:rsidRPr="002C4077">
        <w:t xml:space="preserve"> </w:t>
      </w:r>
      <w:r>
        <w:t>tout,</w:t>
      </w:r>
      <w:r w:rsidRPr="002C4077">
        <w:t xml:space="preserve"> </w:t>
      </w:r>
      <w:r>
        <w:t>un</w:t>
      </w:r>
      <w:r w:rsidRPr="002C4077">
        <w:t xml:space="preserve"> </w:t>
      </w:r>
      <w:r>
        <w:t>tel</w:t>
      </w:r>
      <w:r w:rsidRPr="002C4077">
        <w:t xml:space="preserve"> </w:t>
      </w:r>
      <w:r>
        <w:t>signe</w:t>
      </w:r>
      <w:r w:rsidRPr="002C4077">
        <w:t xml:space="preserve"> </w:t>
      </w:r>
      <w:r w:rsidR="00425C50">
        <w:t>est</w:t>
      </w:r>
      <w:r w:rsidRPr="002C4077">
        <w:t xml:space="preserve"> </w:t>
      </w:r>
      <w:r>
        <w:t>très</w:t>
      </w:r>
      <w:r w:rsidRPr="002C4077">
        <w:t xml:space="preserve"> </w:t>
      </w:r>
      <w:r>
        <w:t>nettement</w:t>
      </w:r>
      <w:r w:rsidRPr="002C4077">
        <w:t xml:space="preserve"> </w:t>
      </w:r>
      <w:r>
        <w:t>marqué</w:t>
      </w:r>
      <w:r w:rsidRPr="002C4077">
        <w:t xml:space="preserve"> </w:t>
      </w:r>
      <w:r>
        <w:t>au</w:t>
      </w:r>
      <w:r w:rsidRPr="002C4077">
        <w:t xml:space="preserve"> </w:t>
      </w:r>
      <w:r>
        <w:t>sceau</w:t>
      </w:r>
      <w:r w:rsidRPr="002C4077">
        <w:t xml:space="preserve"> </w:t>
      </w:r>
      <w:r>
        <w:t>divin</w:t>
      </w:r>
      <w:r w:rsidRPr="002C4077">
        <w:t xml:space="preserve"> </w:t>
      </w:r>
      <w:r>
        <w:t>et</w:t>
      </w:r>
      <w:r w:rsidRPr="002C4077">
        <w:t xml:space="preserve"> </w:t>
      </w:r>
      <w:r>
        <w:t>démontre</w:t>
      </w:r>
      <w:r w:rsidRPr="002C4077">
        <w:t xml:space="preserve"> </w:t>
      </w:r>
      <w:r>
        <w:t>admirablement</w:t>
      </w:r>
      <w:r w:rsidRPr="002C4077">
        <w:t xml:space="preserve"> </w:t>
      </w:r>
      <w:r>
        <w:t>combien</w:t>
      </w:r>
      <w:r w:rsidRPr="002C4077">
        <w:t xml:space="preserve"> </w:t>
      </w:r>
      <w:r>
        <w:t>Dieu</w:t>
      </w:r>
      <w:r w:rsidRPr="002C4077">
        <w:t xml:space="preserve"> </w:t>
      </w:r>
      <w:r>
        <w:t>prend</w:t>
      </w:r>
      <w:r w:rsidRPr="002C4077">
        <w:t xml:space="preserve"> </w:t>
      </w:r>
      <w:r>
        <w:t>d’intérêt,</w:t>
      </w:r>
      <w:r w:rsidRPr="002C4077">
        <w:t xml:space="preserve"> </w:t>
      </w:r>
      <w:r>
        <w:t>s’il</w:t>
      </w:r>
      <w:r w:rsidRPr="002C4077">
        <w:t xml:space="preserve"> </w:t>
      </w:r>
      <w:r w:rsidR="00425C50">
        <w:t>est</w:t>
      </w:r>
      <w:r w:rsidRPr="002C4077">
        <w:t xml:space="preserve"> </w:t>
      </w:r>
      <w:r>
        <w:t>permis</w:t>
      </w:r>
      <w:r w:rsidRPr="002C4077">
        <w:t xml:space="preserve"> </w:t>
      </w:r>
      <w:r>
        <w:t>de</w:t>
      </w:r>
      <w:r w:rsidRPr="002C4077">
        <w:t xml:space="preserve"> </w:t>
      </w:r>
      <w:r>
        <w:t>parler</w:t>
      </w:r>
      <w:r w:rsidRPr="002C4077">
        <w:t xml:space="preserve"> </w:t>
      </w:r>
      <w:r>
        <w:t>ainsi,</w:t>
      </w:r>
      <w:r w:rsidRPr="002C4077">
        <w:t xml:space="preserve"> </w:t>
      </w:r>
      <w:r>
        <w:t>à</w:t>
      </w:r>
      <w:r w:rsidRPr="002C4077">
        <w:t xml:space="preserve"> </w:t>
      </w:r>
      <w:r>
        <w:t>la</w:t>
      </w:r>
      <w:r w:rsidRPr="002C4077">
        <w:t xml:space="preserve"> </w:t>
      </w:r>
      <w:r>
        <w:t>promesse</w:t>
      </w:r>
      <w:r w:rsidRPr="002C4077">
        <w:t xml:space="preserve"> </w:t>
      </w:r>
      <w:r>
        <w:t>qu’il</w:t>
      </w:r>
      <w:r w:rsidRPr="002C4077">
        <w:t xml:space="preserve"> </w:t>
      </w:r>
      <w:r>
        <w:t>daigne</w:t>
      </w:r>
      <w:r w:rsidRPr="002C4077">
        <w:t xml:space="preserve"> </w:t>
      </w:r>
      <w:r>
        <w:t>confirmer</w:t>
      </w:r>
      <w:r w:rsidRPr="002C4077">
        <w:t xml:space="preserve"> </w:t>
      </w:r>
      <w:r>
        <w:t>en</w:t>
      </w:r>
      <w:r w:rsidRPr="002C4077">
        <w:t xml:space="preserve"> </w:t>
      </w:r>
      <w:r>
        <w:t>ouvrant</w:t>
      </w:r>
      <w:r w:rsidRPr="002C4077">
        <w:t xml:space="preserve"> </w:t>
      </w:r>
      <w:r>
        <w:t>à</w:t>
      </w:r>
      <w:r w:rsidRPr="002C4077">
        <w:t xml:space="preserve"> </w:t>
      </w:r>
      <w:r>
        <w:t>ses</w:t>
      </w:r>
      <w:r w:rsidRPr="002C4077">
        <w:t xml:space="preserve"> </w:t>
      </w:r>
      <w:r>
        <w:t>créatures</w:t>
      </w:r>
      <w:r w:rsidRPr="002C4077">
        <w:t xml:space="preserve"> </w:t>
      </w:r>
      <w:r>
        <w:t>le</w:t>
      </w:r>
      <w:r w:rsidRPr="002C4077">
        <w:t xml:space="preserve"> </w:t>
      </w:r>
      <w:r>
        <w:t>trésor</w:t>
      </w:r>
      <w:r w:rsidRPr="002C4077">
        <w:t xml:space="preserve"> </w:t>
      </w:r>
      <w:r>
        <w:t>des</w:t>
      </w:r>
      <w:r w:rsidRPr="002C4077">
        <w:t xml:space="preserve"> </w:t>
      </w:r>
      <w:r>
        <w:t>choses</w:t>
      </w:r>
      <w:r w:rsidRPr="002C4077">
        <w:t xml:space="preserve"> </w:t>
      </w:r>
      <w:r>
        <w:t>à</w:t>
      </w:r>
      <w:r w:rsidRPr="002C4077">
        <w:t xml:space="preserve"> </w:t>
      </w:r>
      <w:r>
        <w:t>venir,</w:t>
      </w:r>
      <w:r w:rsidRPr="002C4077">
        <w:t xml:space="preserve"> </w:t>
      </w:r>
      <w:r>
        <w:t>dont</w:t>
      </w:r>
      <w:r w:rsidRPr="002C4077">
        <w:t xml:space="preserve"> </w:t>
      </w:r>
      <w:r>
        <w:t>la</w:t>
      </w:r>
      <w:r w:rsidRPr="002C4077">
        <w:t xml:space="preserve"> </w:t>
      </w:r>
      <w:r>
        <w:t>connaissance</w:t>
      </w:r>
      <w:r w:rsidRPr="002C4077">
        <w:t xml:space="preserve"> </w:t>
      </w:r>
      <w:r w:rsidR="00425C50">
        <w:t>est</w:t>
      </w:r>
      <w:r w:rsidRPr="002C4077">
        <w:t xml:space="preserve"> </w:t>
      </w:r>
      <w:r>
        <w:t>d’ordinaire</w:t>
      </w:r>
      <w:r w:rsidRPr="002C4077">
        <w:t xml:space="preserve"> </w:t>
      </w:r>
      <w:r>
        <w:t>réservée</w:t>
      </w:r>
      <w:r w:rsidRPr="002C4077">
        <w:t xml:space="preserve"> </w:t>
      </w:r>
      <w:r>
        <w:t>à</w:t>
      </w:r>
      <w:r w:rsidRPr="002C4077">
        <w:t xml:space="preserve"> </w:t>
      </w:r>
      <w:r>
        <w:t>lui</w:t>
      </w:r>
      <w:r w:rsidRPr="002C4077">
        <w:t xml:space="preserve"> </w:t>
      </w:r>
      <w:r>
        <w:t>seul.</w:t>
      </w:r>
      <w:r w:rsidR="00C45B47">
        <w:t xml:space="preserve"> {</w:t>
      </w:r>
      <w:r w:rsidR="000721C4">
        <w:t>95</w:t>
      </w:r>
      <w:bookmarkStart w:id="282" w:name="p095"/>
      <w:bookmarkEnd w:id="282"/>
      <w:r w:rsidR="000721C4">
        <w:t xml:space="preserve">} </w:t>
      </w:r>
      <w:r>
        <w:t>Ainsi</w:t>
      </w:r>
      <w:r w:rsidRPr="002C4077">
        <w:t xml:space="preserve"> </w:t>
      </w:r>
      <w:r>
        <w:t>donc,</w:t>
      </w:r>
      <w:r w:rsidRPr="002C4077">
        <w:t xml:space="preserve"> </w:t>
      </w:r>
      <w:r>
        <w:t>un</w:t>
      </w:r>
      <w:r w:rsidRPr="002C4077">
        <w:t xml:space="preserve"> </w:t>
      </w:r>
      <w:r>
        <w:t>signe</w:t>
      </w:r>
      <w:r w:rsidRPr="002C4077">
        <w:t xml:space="preserve"> </w:t>
      </w:r>
      <w:r>
        <w:t>futur,</w:t>
      </w:r>
      <w:r w:rsidRPr="002C4077">
        <w:t xml:space="preserve"> </w:t>
      </w:r>
      <w:r>
        <w:t>bien</w:t>
      </w:r>
      <w:r w:rsidRPr="002C4077">
        <w:t xml:space="preserve"> </w:t>
      </w:r>
      <w:r>
        <w:t>loin</w:t>
      </w:r>
      <w:r w:rsidRPr="002C4077">
        <w:t xml:space="preserve"> </w:t>
      </w:r>
      <w:r>
        <w:t>de</w:t>
      </w:r>
      <w:r w:rsidRPr="002C4077">
        <w:t xml:space="preserve"> </w:t>
      </w:r>
      <w:r>
        <w:t>manquer</w:t>
      </w:r>
      <w:r w:rsidRPr="002C4077">
        <w:t xml:space="preserve"> </w:t>
      </w:r>
      <w:r>
        <w:t>de</w:t>
      </w:r>
      <w:r w:rsidRPr="002C4077">
        <w:t xml:space="preserve"> </w:t>
      </w:r>
      <w:r>
        <w:t>force,</w:t>
      </w:r>
      <w:r w:rsidRPr="002C4077">
        <w:t xml:space="preserve"> </w:t>
      </w:r>
      <w:r>
        <w:t>atteste</w:t>
      </w:r>
      <w:r w:rsidRPr="002C4077">
        <w:t xml:space="preserve"> </w:t>
      </w:r>
      <w:r>
        <w:t>au</w:t>
      </w:r>
      <w:r w:rsidRPr="002C4077">
        <w:t xml:space="preserve"> </w:t>
      </w:r>
      <w:r>
        <w:t>contraire</w:t>
      </w:r>
      <w:r w:rsidRPr="002C4077">
        <w:t xml:space="preserve"> </w:t>
      </w:r>
      <w:r>
        <w:t>avec</w:t>
      </w:r>
      <w:r w:rsidRPr="002C4077">
        <w:t xml:space="preserve"> </w:t>
      </w:r>
      <w:r>
        <w:t>la</w:t>
      </w:r>
      <w:r w:rsidRPr="002C4077">
        <w:t xml:space="preserve"> </w:t>
      </w:r>
      <w:r>
        <w:t>plus</w:t>
      </w:r>
      <w:r w:rsidRPr="002C4077">
        <w:t xml:space="preserve"> </w:t>
      </w:r>
      <w:r>
        <w:t>grande</w:t>
      </w:r>
      <w:r w:rsidRPr="002C4077">
        <w:t xml:space="preserve"> </w:t>
      </w:r>
      <w:r>
        <w:t>clarté</w:t>
      </w:r>
      <w:r w:rsidRPr="002C4077">
        <w:t xml:space="preserve"> </w:t>
      </w:r>
      <w:r>
        <w:t>la</w:t>
      </w:r>
      <w:r w:rsidRPr="002C4077">
        <w:t xml:space="preserve"> </w:t>
      </w:r>
      <w:r>
        <w:t>volonté</w:t>
      </w:r>
      <w:r w:rsidRPr="002C4077">
        <w:t xml:space="preserve"> </w:t>
      </w:r>
      <w:r>
        <w:t>énergique</w:t>
      </w:r>
      <w:r w:rsidRPr="002C4077">
        <w:t xml:space="preserve"> </w:t>
      </w:r>
      <w:r>
        <w:t>qu’a</w:t>
      </w:r>
      <w:r w:rsidRPr="002C4077">
        <w:t xml:space="preserve"> </w:t>
      </w:r>
      <w:r>
        <w:t>le</w:t>
      </w:r>
      <w:r w:rsidRPr="002C4077">
        <w:t xml:space="preserve"> </w:t>
      </w:r>
      <w:r>
        <w:t>Seigneur</w:t>
      </w:r>
      <w:r w:rsidRPr="002C4077">
        <w:t xml:space="preserve"> </w:t>
      </w:r>
      <w:r>
        <w:t>d’agir</w:t>
      </w:r>
      <w:r w:rsidRPr="002C4077">
        <w:t xml:space="preserve"> </w:t>
      </w:r>
      <w:r>
        <w:t>avec</w:t>
      </w:r>
      <w:r w:rsidRPr="002C4077">
        <w:t xml:space="preserve"> </w:t>
      </w:r>
      <w:r>
        <w:t>vigueur,</w:t>
      </w:r>
      <w:r w:rsidRPr="002C4077">
        <w:t xml:space="preserve"> </w:t>
      </w:r>
      <w:r>
        <w:t>attendu</w:t>
      </w:r>
      <w:r w:rsidRPr="002C4077">
        <w:t xml:space="preserve"> </w:t>
      </w:r>
      <w:r>
        <w:t>que</w:t>
      </w:r>
      <w:r w:rsidRPr="002C4077">
        <w:t xml:space="preserve"> </w:t>
      </w:r>
      <w:r>
        <w:t>c’est</w:t>
      </w:r>
      <w:r w:rsidRPr="002C4077">
        <w:t xml:space="preserve"> </w:t>
      </w:r>
      <w:r>
        <w:t>là</w:t>
      </w:r>
      <w:r w:rsidRPr="002C4077">
        <w:t xml:space="preserve"> </w:t>
      </w:r>
      <w:r>
        <w:t>une</w:t>
      </w:r>
      <w:r w:rsidRPr="002C4077">
        <w:t xml:space="preserve"> </w:t>
      </w:r>
      <w:r>
        <w:t>manifestation</w:t>
      </w:r>
      <w:r w:rsidRPr="002C4077">
        <w:t xml:space="preserve"> </w:t>
      </w:r>
      <w:r>
        <w:t>éclatante</w:t>
      </w:r>
      <w:r w:rsidRPr="002C4077">
        <w:t xml:space="preserve"> </w:t>
      </w:r>
      <w:r>
        <w:t>de</w:t>
      </w:r>
      <w:r w:rsidRPr="002C4077">
        <w:t xml:space="preserve"> </w:t>
      </w:r>
      <w:r>
        <w:t>sa</w:t>
      </w:r>
      <w:r w:rsidRPr="002C4077">
        <w:t xml:space="preserve"> </w:t>
      </w:r>
      <w:r>
        <w:t>providence,</w:t>
      </w:r>
      <w:r w:rsidRPr="002C4077">
        <w:t xml:space="preserve"> </w:t>
      </w:r>
      <w:r>
        <w:t>de</w:t>
      </w:r>
      <w:r w:rsidRPr="002C4077">
        <w:t xml:space="preserve"> </w:t>
      </w:r>
      <w:r>
        <w:t>sa</w:t>
      </w:r>
      <w:r w:rsidRPr="002C4077">
        <w:t xml:space="preserve"> </w:t>
      </w:r>
      <w:r>
        <w:t>sagesse,</w:t>
      </w:r>
      <w:r w:rsidRPr="002C4077">
        <w:t xml:space="preserve"> </w:t>
      </w:r>
      <w:r>
        <w:t>de</w:t>
      </w:r>
      <w:r w:rsidRPr="002C4077">
        <w:t xml:space="preserve"> </w:t>
      </w:r>
      <w:r>
        <w:t>son</w:t>
      </w:r>
      <w:r w:rsidRPr="002C4077">
        <w:t xml:space="preserve"> </w:t>
      </w:r>
      <w:r>
        <w:t>omn</w:t>
      </w:r>
      <w:r w:rsidR="001730C6">
        <w:t>is</w:t>
      </w:r>
      <w:r>
        <w:t>cience</w:t>
      </w:r>
      <w:r w:rsidR="00B546AF">
        <w:t> »</w:t>
      </w:r>
      <w:r>
        <w:t>.</w:t>
      </w:r>
      <w:r w:rsidRPr="002C4077">
        <w:t xml:space="preserve"> </w:t>
      </w:r>
    </w:p>
    <w:p w:rsidR="000A7AAB" w:rsidRDefault="000A7AAB" w:rsidP="000A7AAB">
      <w:r>
        <w:t>Nous</w:t>
      </w:r>
      <w:r w:rsidRPr="002C4077">
        <w:t xml:space="preserve"> </w:t>
      </w:r>
      <w:r>
        <w:t>n’avons</w:t>
      </w:r>
      <w:r w:rsidRPr="002C4077">
        <w:t xml:space="preserve"> </w:t>
      </w:r>
      <w:r>
        <w:t>pas</w:t>
      </w:r>
      <w:r w:rsidRPr="002C4077">
        <w:t xml:space="preserve"> </w:t>
      </w:r>
      <w:r>
        <w:t>voulu</w:t>
      </w:r>
      <w:r w:rsidRPr="002C4077">
        <w:t xml:space="preserve"> </w:t>
      </w:r>
      <w:r>
        <w:t>retrancher</w:t>
      </w:r>
      <w:r w:rsidRPr="002C4077">
        <w:t xml:space="preserve"> </w:t>
      </w:r>
      <w:r>
        <w:t>une</w:t>
      </w:r>
      <w:r w:rsidRPr="002C4077">
        <w:t xml:space="preserve"> </w:t>
      </w:r>
      <w:r>
        <w:t>seule</w:t>
      </w:r>
      <w:r w:rsidRPr="002C4077">
        <w:t xml:space="preserve"> </w:t>
      </w:r>
      <w:r>
        <w:t>ligne</w:t>
      </w:r>
      <w:r w:rsidRPr="002C4077">
        <w:t xml:space="preserve"> </w:t>
      </w:r>
      <w:r>
        <w:t>de</w:t>
      </w:r>
      <w:r w:rsidRPr="002C4077">
        <w:t xml:space="preserve"> </w:t>
      </w:r>
      <w:r>
        <w:t>ce</w:t>
      </w:r>
      <w:r w:rsidRPr="002C4077">
        <w:t xml:space="preserve"> </w:t>
      </w:r>
      <w:r>
        <w:t>beau</w:t>
      </w:r>
      <w:r w:rsidRPr="002C4077">
        <w:t xml:space="preserve"> </w:t>
      </w:r>
      <w:r>
        <w:t>raisonnement</w:t>
      </w:r>
      <w:r w:rsidRPr="002C4077">
        <w:t xml:space="preserve"> </w:t>
      </w:r>
      <w:r>
        <w:t>du</w:t>
      </w:r>
      <w:r w:rsidRPr="002C4077">
        <w:t xml:space="preserve"> </w:t>
      </w:r>
      <w:r>
        <w:t>P.</w:t>
      </w:r>
      <w:r w:rsidRPr="002C4077">
        <w:t xml:space="preserve"> </w:t>
      </w:r>
      <w:r>
        <w:t>Knabenbauer</w:t>
      </w:r>
      <w:r w:rsidR="006B5CEF">
        <w:rPr>
          <w:rStyle w:val="Appelnotedebasdep"/>
        </w:rPr>
        <w:footnoteReference w:id="302"/>
      </w:r>
      <w:r w:rsidR="006B5CEF">
        <w:t>,</w:t>
      </w:r>
      <w:r w:rsidRPr="002C4077">
        <w:t xml:space="preserve"> </w:t>
      </w:r>
      <w:r>
        <w:t>auquel</w:t>
      </w:r>
      <w:r w:rsidRPr="002C4077">
        <w:t xml:space="preserve"> </w:t>
      </w:r>
      <w:r>
        <w:t>nous</w:t>
      </w:r>
      <w:r w:rsidRPr="002C4077">
        <w:t xml:space="preserve"> </w:t>
      </w:r>
      <w:r>
        <w:t>ne</w:t>
      </w:r>
      <w:r w:rsidRPr="002C4077">
        <w:t xml:space="preserve"> </w:t>
      </w:r>
      <w:r>
        <w:t>voyons</w:t>
      </w:r>
      <w:r w:rsidRPr="002C4077">
        <w:t xml:space="preserve"> </w:t>
      </w:r>
      <w:r>
        <w:t>guère</w:t>
      </w:r>
      <w:r w:rsidRPr="002C4077">
        <w:t xml:space="preserve"> </w:t>
      </w:r>
      <w:r>
        <w:t>ce</w:t>
      </w:r>
      <w:r w:rsidRPr="002C4077">
        <w:t xml:space="preserve"> </w:t>
      </w:r>
      <w:r>
        <w:t>qu’on</w:t>
      </w:r>
      <w:r w:rsidRPr="002C4077">
        <w:t xml:space="preserve"> </w:t>
      </w:r>
      <w:r>
        <w:t>pourrait</w:t>
      </w:r>
      <w:r w:rsidRPr="002C4077">
        <w:t xml:space="preserve"> </w:t>
      </w:r>
      <w:r>
        <w:t>opposer.</w:t>
      </w:r>
      <w:r w:rsidRPr="002C4077">
        <w:t xml:space="preserve"> </w:t>
      </w:r>
    </w:p>
    <w:p w:rsidR="000A7AAB" w:rsidRDefault="000A7AAB" w:rsidP="000A7AAB">
      <w:r>
        <w:t>Pour</w:t>
      </w:r>
      <w:r w:rsidRPr="002C4077">
        <w:t xml:space="preserve"> </w:t>
      </w:r>
      <w:r>
        <w:t>la</w:t>
      </w:r>
      <w:r w:rsidRPr="002C4077">
        <w:t xml:space="preserve"> </w:t>
      </w:r>
      <w:r>
        <w:t>partie</w:t>
      </w:r>
      <w:r w:rsidRPr="002C4077">
        <w:t xml:space="preserve"> </w:t>
      </w:r>
      <w:r>
        <w:t>fidèle</w:t>
      </w:r>
      <w:r w:rsidRPr="002C4077">
        <w:t xml:space="preserve"> </w:t>
      </w:r>
      <w:r>
        <w:t>du</w:t>
      </w:r>
      <w:r w:rsidRPr="002C4077">
        <w:t xml:space="preserve"> </w:t>
      </w:r>
      <w:r>
        <w:t>peuple</w:t>
      </w:r>
      <w:r w:rsidRPr="002C4077">
        <w:t xml:space="preserve"> </w:t>
      </w:r>
      <w:r>
        <w:t>comme</w:t>
      </w:r>
      <w:r w:rsidRPr="002C4077">
        <w:t xml:space="preserve"> </w:t>
      </w:r>
      <w:r>
        <w:t>pour</w:t>
      </w:r>
      <w:r w:rsidRPr="002C4077">
        <w:t xml:space="preserve"> </w:t>
      </w:r>
      <w:r>
        <w:t>le</w:t>
      </w:r>
      <w:r w:rsidRPr="002C4077">
        <w:t xml:space="preserve"> </w:t>
      </w:r>
      <w:r>
        <w:t>monarque</w:t>
      </w:r>
      <w:r w:rsidRPr="002C4077">
        <w:t xml:space="preserve"> </w:t>
      </w:r>
      <w:r>
        <w:t>incrédule,</w:t>
      </w:r>
      <w:r w:rsidRPr="002C4077">
        <w:t xml:space="preserve"> </w:t>
      </w:r>
      <w:r>
        <w:t>le</w:t>
      </w:r>
      <w:r w:rsidRPr="002C4077">
        <w:t xml:space="preserve"> </w:t>
      </w:r>
      <w:r>
        <w:t>signe</w:t>
      </w:r>
      <w:r w:rsidRPr="002C4077">
        <w:t xml:space="preserve"> </w:t>
      </w:r>
      <w:r>
        <w:t>présentait</w:t>
      </w:r>
      <w:r w:rsidRPr="002C4077">
        <w:t xml:space="preserve"> </w:t>
      </w:r>
      <w:r>
        <w:t>donc,</w:t>
      </w:r>
      <w:r w:rsidRPr="002C4077">
        <w:t xml:space="preserve"> </w:t>
      </w:r>
      <w:r>
        <w:t>nous</w:t>
      </w:r>
      <w:r w:rsidRPr="002C4077">
        <w:t xml:space="preserve"> </w:t>
      </w:r>
      <w:r>
        <w:t>ne</w:t>
      </w:r>
      <w:r w:rsidRPr="002C4077">
        <w:t xml:space="preserve"> </w:t>
      </w:r>
      <w:r>
        <w:t>le</w:t>
      </w:r>
      <w:r w:rsidRPr="002C4077">
        <w:t xml:space="preserve"> </w:t>
      </w:r>
      <w:r>
        <w:t>nions</w:t>
      </w:r>
      <w:r w:rsidRPr="002C4077">
        <w:t xml:space="preserve"> </w:t>
      </w:r>
      <w:r>
        <w:t>pas,</w:t>
      </w:r>
      <w:r w:rsidRPr="002C4077">
        <w:t xml:space="preserve"> </w:t>
      </w:r>
      <w:r>
        <w:t>quelque</w:t>
      </w:r>
      <w:r w:rsidRPr="002C4077">
        <w:t xml:space="preserve"> </w:t>
      </w:r>
      <w:r>
        <w:t>obscurité,</w:t>
      </w:r>
      <w:r w:rsidRPr="002C4077">
        <w:t xml:space="preserve"> </w:t>
      </w:r>
      <w:r>
        <w:t>parce</w:t>
      </w:r>
      <w:r w:rsidRPr="002C4077">
        <w:t xml:space="preserve"> </w:t>
      </w:r>
      <w:r>
        <w:t>qu’il</w:t>
      </w:r>
      <w:r w:rsidRPr="002C4077">
        <w:t xml:space="preserve"> </w:t>
      </w:r>
      <w:r>
        <w:t>ne</w:t>
      </w:r>
      <w:r w:rsidRPr="002C4077">
        <w:t xml:space="preserve"> </w:t>
      </w:r>
      <w:r>
        <w:t>devait</w:t>
      </w:r>
      <w:r w:rsidRPr="002C4077">
        <w:t xml:space="preserve"> </w:t>
      </w:r>
      <w:r>
        <w:t>s’accomplir</w:t>
      </w:r>
      <w:r w:rsidRPr="002C4077">
        <w:t xml:space="preserve"> </w:t>
      </w:r>
      <w:r>
        <w:t>que</w:t>
      </w:r>
      <w:r w:rsidRPr="002C4077">
        <w:t xml:space="preserve"> </w:t>
      </w:r>
      <w:r>
        <w:t>tardivement.</w:t>
      </w:r>
      <w:r w:rsidRPr="002C4077">
        <w:t xml:space="preserve"> </w:t>
      </w:r>
      <w:r>
        <w:t>Toutefois,</w:t>
      </w:r>
      <w:r w:rsidRPr="002C4077">
        <w:t xml:space="preserve"> </w:t>
      </w:r>
      <w:r>
        <w:t>ce</w:t>
      </w:r>
      <w:r w:rsidRPr="002C4077">
        <w:t xml:space="preserve"> </w:t>
      </w:r>
      <w:r>
        <w:t>signe</w:t>
      </w:r>
      <w:r w:rsidRPr="002C4077">
        <w:t xml:space="preserve"> </w:t>
      </w:r>
      <w:r>
        <w:t>était</w:t>
      </w:r>
      <w:r w:rsidRPr="002C4077">
        <w:t xml:space="preserve"> </w:t>
      </w:r>
      <w:r>
        <w:t>de</w:t>
      </w:r>
      <w:r w:rsidRPr="002C4077">
        <w:t xml:space="preserve"> </w:t>
      </w:r>
      <w:r>
        <w:t>telle</w:t>
      </w:r>
      <w:r w:rsidRPr="002C4077">
        <w:t xml:space="preserve"> </w:t>
      </w:r>
      <w:r>
        <w:t>nature,</w:t>
      </w:r>
      <w:r w:rsidRPr="002C4077">
        <w:t xml:space="preserve"> </w:t>
      </w:r>
      <w:r>
        <w:t>nous</w:t>
      </w:r>
      <w:r w:rsidRPr="002C4077">
        <w:t xml:space="preserve"> </w:t>
      </w:r>
      <w:r>
        <w:t>voulons</w:t>
      </w:r>
      <w:r w:rsidRPr="002C4077">
        <w:t xml:space="preserve"> </w:t>
      </w:r>
      <w:r>
        <w:t>dire,</w:t>
      </w:r>
      <w:r w:rsidRPr="002C4077">
        <w:t xml:space="preserve"> </w:t>
      </w:r>
      <w:r>
        <w:t>si</w:t>
      </w:r>
      <w:r w:rsidRPr="002C4077">
        <w:t xml:space="preserve"> </w:t>
      </w:r>
      <w:r>
        <w:t>difficile,</w:t>
      </w:r>
      <w:r w:rsidRPr="002C4077">
        <w:t xml:space="preserve"> </w:t>
      </w:r>
      <w:r>
        <w:t>si</w:t>
      </w:r>
      <w:r w:rsidRPr="002C4077">
        <w:t xml:space="preserve"> </w:t>
      </w:r>
      <w:r>
        <w:t>délicat</w:t>
      </w:r>
      <w:r w:rsidRPr="002C4077">
        <w:t xml:space="preserve"> </w:t>
      </w:r>
      <w:r>
        <w:t>à</w:t>
      </w:r>
      <w:r w:rsidRPr="002C4077">
        <w:t xml:space="preserve"> </w:t>
      </w:r>
      <w:r>
        <w:t>réaliser,</w:t>
      </w:r>
      <w:r w:rsidRPr="002C4077">
        <w:t xml:space="preserve"> </w:t>
      </w:r>
      <w:r>
        <w:t>qu’il</w:t>
      </w:r>
      <w:r w:rsidRPr="002C4077">
        <w:t xml:space="preserve"> </w:t>
      </w:r>
      <w:r>
        <w:t>démontrait</w:t>
      </w:r>
      <w:r w:rsidRPr="002C4077">
        <w:t xml:space="preserve"> </w:t>
      </w:r>
      <w:r>
        <w:t>beaucoup</w:t>
      </w:r>
      <w:r w:rsidRPr="002C4077">
        <w:t xml:space="preserve"> </w:t>
      </w:r>
      <w:r>
        <w:t>mieux</w:t>
      </w:r>
      <w:r w:rsidRPr="002C4077">
        <w:t xml:space="preserve"> </w:t>
      </w:r>
      <w:r>
        <w:t>que</w:t>
      </w:r>
      <w:r w:rsidRPr="002C4077">
        <w:t xml:space="preserve"> </w:t>
      </w:r>
      <w:r>
        <w:t>tout</w:t>
      </w:r>
      <w:r w:rsidRPr="002C4077">
        <w:t xml:space="preserve"> </w:t>
      </w:r>
      <w:r>
        <w:t>événement</w:t>
      </w:r>
      <w:r w:rsidRPr="002C4077">
        <w:t xml:space="preserve"> </w:t>
      </w:r>
      <w:r>
        <w:t>actuel</w:t>
      </w:r>
      <w:r w:rsidRPr="002C4077">
        <w:t xml:space="preserve"> </w:t>
      </w:r>
      <w:r>
        <w:t>et</w:t>
      </w:r>
      <w:r w:rsidRPr="002C4077">
        <w:t xml:space="preserve"> </w:t>
      </w:r>
      <w:r>
        <w:t>immédiat,</w:t>
      </w:r>
      <w:r w:rsidRPr="002C4077">
        <w:t xml:space="preserve"> </w:t>
      </w:r>
      <w:r>
        <w:t>jusqu’à</w:t>
      </w:r>
      <w:r w:rsidRPr="002C4077">
        <w:t xml:space="preserve"> </w:t>
      </w:r>
      <w:r>
        <w:t>quel</w:t>
      </w:r>
      <w:r w:rsidRPr="002C4077">
        <w:t xml:space="preserve"> </w:t>
      </w:r>
      <w:r>
        <w:t>point</w:t>
      </w:r>
      <w:r w:rsidRPr="002C4077">
        <w:t xml:space="preserve"> </w:t>
      </w:r>
      <w:r>
        <w:t>Jéhovah</w:t>
      </w:r>
      <w:r w:rsidRPr="002C4077">
        <w:t xml:space="preserve"> </w:t>
      </w:r>
      <w:r>
        <w:t>était</w:t>
      </w:r>
      <w:r w:rsidRPr="002C4077">
        <w:t xml:space="preserve"> </w:t>
      </w:r>
      <w:r>
        <w:t>résolu</w:t>
      </w:r>
      <w:r w:rsidRPr="002C4077">
        <w:t xml:space="preserve"> </w:t>
      </w:r>
      <w:r>
        <w:t>à</w:t>
      </w:r>
      <w:r w:rsidRPr="002C4077">
        <w:t xml:space="preserve"> </w:t>
      </w:r>
      <w:r>
        <w:t>sauver</w:t>
      </w:r>
      <w:r w:rsidRPr="002C4077">
        <w:t xml:space="preserve"> </w:t>
      </w:r>
      <w:r>
        <w:t>sa</w:t>
      </w:r>
      <w:r w:rsidRPr="002C4077">
        <w:t xml:space="preserve"> </w:t>
      </w:r>
      <w:r>
        <w:t>nation</w:t>
      </w:r>
      <w:r w:rsidRPr="002C4077">
        <w:t xml:space="preserve"> </w:t>
      </w:r>
      <w:r>
        <w:t>privilégiée.</w:t>
      </w:r>
      <w:r w:rsidRPr="002C4077">
        <w:t xml:space="preserve"> </w:t>
      </w:r>
      <w:r w:rsidR="003B53FD">
        <w:t>Celui</w:t>
      </w:r>
      <w:r w:rsidRPr="002C4077">
        <w:t xml:space="preserve"> </w:t>
      </w:r>
      <w:r>
        <w:t>qui</w:t>
      </w:r>
      <w:r w:rsidRPr="002C4077">
        <w:t xml:space="preserve"> </w:t>
      </w:r>
      <w:r>
        <w:t>se</w:t>
      </w:r>
      <w:r w:rsidRPr="002C4077">
        <w:t xml:space="preserve"> </w:t>
      </w:r>
      <w:r>
        <w:t>proposait</w:t>
      </w:r>
      <w:r w:rsidRPr="002C4077">
        <w:t xml:space="preserve"> </w:t>
      </w:r>
      <w:r>
        <w:t>de</w:t>
      </w:r>
      <w:r w:rsidRPr="002C4077">
        <w:t xml:space="preserve"> </w:t>
      </w:r>
      <w:r>
        <w:t>briser</w:t>
      </w:r>
      <w:r w:rsidRPr="002C4077">
        <w:t xml:space="preserve"> </w:t>
      </w:r>
      <w:r>
        <w:t>un</w:t>
      </w:r>
      <w:r w:rsidRPr="002C4077">
        <w:t xml:space="preserve"> </w:t>
      </w:r>
      <w:r>
        <w:t>jour</w:t>
      </w:r>
      <w:r w:rsidRPr="002C4077">
        <w:t xml:space="preserve"> </w:t>
      </w:r>
      <w:r>
        <w:t>les</w:t>
      </w:r>
      <w:r w:rsidRPr="002C4077">
        <w:t xml:space="preserve"> </w:t>
      </w:r>
      <w:r>
        <w:t>lois</w:t>
      </w:r>
      <w:r w:rsidRPr="002C4077">
        <w:t xml:space="preserve"> </w:t>
      </w:r>
      <w:r>
        <w:t>du</w:t>
      </w:r>
      <w:r w:rsidRPr="002C4077">
        <w:t xml:space="preserve"> </w:t>
      </w:r>
      <w:r>
        <w:t>monde,</w:t>
      </w:r>
      <w:r w:rsidRPr="002C4077">
        <w:t xml:space="preserve"> </w:t>
      </w:r>
      <w:r>
        <w:t>pour</w:t>
      </w:r>
      <w:r w:rsidRPr="002C4077">
        <w:t xml:space="preserve"> </w:t>
      </w:r>
      <w:r>
        <w:t>faire</w:t>
      </w:r>
      <w:r w:rsidRPr="002C4077">
        <w:t xml:space="preserve"> </w:t>
      </w:r>
      <w:r>
        <w:t>naître</w:t>
      </w:r>
      <w:r w:rsidRPr="002C4077">
        <w:t xml:space="preserve"> </w:t>
      </w:r>
      <w:r>
        <w:t>son</w:t>
      </w:r>
      <w:r w:rsidRPr="002C4077">
        <w:t xml:space="preserve"> </w:t>
      </w:r>
      <w:r w:rsidR="00425C50">
        <w:t>Christ</w:t>
      </w:r>
      <w:r w:rsidRPr="002C4077">
        <w:t xml:space="preserve"> </w:t>
      </w:r>
      <w:r>
        <w:t>d’une</w:t>
      </w:r>
      <w:r w:rsidRPr="002C4077">
        <w:t xml:space="preserve"> </w:t>
      </w:r>
      <w:r>
        <w:t>mère</w:t>
      </w:r>
      <w:r w:rsidRPr="002C4077">
        <w:t xml:space="preserve"> </w:t>
      </w:r>
      <w:r>
        <w:t>vierge,</w:t>
      </w:r>
      <w:r w:rsidRPr="002C4077">
        <w:t xml:space="preserve"> </w:t>
      </w:r>
      <w:r>
        <w:t>aurait-il</w:t>
      </w:r>
      <w:r w:rsidRPr="002C4077">
        <w:t xml:space="preserve"> </w:t>
      </w:r>
      <w:r>
        <w:t>donc</w:t>
      </w:r>
      <w:r w:rsidRPr="002C4077">
        <w:t xml:space="preserve"> </w:t>
      </w:r>
      <w:r>
        <w:t>quelque</w:t>
      </w:r>
      <w:r w:rsidRPr="002C4077">
        <w:t xml:space="preserve"> </w:t>
      </w:r>
      <w:r>
        <w:t>peine</w:t>
      </w:r>
      <w:r w:rsidRPr="002C4077">
        <w:t xml:space="preserve"> </w:t>
      </w:r>
      <w:r>
        <w:t>à</w:t>
      </w:r>
      <w:r w:rsidRPr="002C4077">
        <w:t xml:space="preserve"> </w:t>
      </w:r>
      <w:r>
        <w:t>mettre</w:t>
      </w:r>
      <w:r w:rsidRPr="002C4077">
        <w:t xml:space="preserve"> </w:t>
      </w:r>
      <w:r>
        <w:t>en</w:t>
      </w:r>
      <w:r w:rsidRPr="002C4077">
        <w:t xml:space="preserve"> </w:t>
      </w:r>
      <w:r>
        <w:t>fuite</w:t>
      </w:r>
      <w:r w:rsidRPr="002C4077">
        <w:t xml:space="preserve"> </w:t>
      </w:r>
      <w:r>
        <w:t>Rasin,</w:t>
      </w:r>
      <w:r w:rsidRPr="002C4077">
        <w:t xml:space="preserve"> </w:t>
      </w:r>
      <w:r>
        <w:t>Phacée</w:t>
      </w:r>
      <w:r w:rsidRPr="002C4077">
        <w:t xml:space="preserve"> </w:t>
      </w:r>
      <w:r>
        <w:t>et</w:t>
      </w:r>
      <w:r w:rsidRPr="002C4077">
        <w:t xml:space="preserve"> </w:t>
      </w:r>
      <w:r>
        <w:t>leurs</w:t>
      </w:r>
      <w:r w:rsidRPr="002C4077">
        <w:t xml:space="preserve"> </w:t>
      </w:r>
      <w:r>
        <w:t>soldats</w:t>
      </w:r>
      <w:r w:rsidR="00B546AF">
        <w:t> ?</w:t>
      </w:r>
      <w:r w:rsidRPr="002C4077">
        <w:t xml:space="preserve"> </w:t>
      </w:r>
    </w:p>
    <w:p w:rsidR="007B0987" w:rsidRDefault="007B0987" w:rsidP="000A7AAB"/>
    <w:p w:rsidR="000A7AAB" w:rsidRDefault="000A7AAB" w:rsidP="000A7AAB">
      <w:r>
        <w:t>3°</w:t>
      </w:r>
      <w:r w:rsidRPr="002C4077">
        <w:t xml:space="preserve"> </w:t>
      </w:r>
      <w:r>
        <w:t>Mais</w:t>
      </w:r>
      <w:r w:rsidRPr="002C4077">
        <w:t xml:space="preserve"> </w:t>
      </w:r>
      <w:r>
        <w:t>voici</w:t>
      </w:r>
      <w:r w:rsidRPr="002C4077">
        <w:t xml:space="preserve"> </w:t>
      </w:r>
      <w:r>
        <w:t>un</w:t>
      </w:r>
      <w:r w:rsidRPr="002C4077">
        <w:t xml:space="preserve"> </w:t>
      </w:r>
      <w:r>
        <w:t>argument</w:t>
      </w:r>
      <w:r w:rsidRPr="002C4077">
        <w:t xml:space="preserve"> </w:t>
      </w:r>
      <w:r>
        <w:t>que</w:t>
      </w:r>
      <w:r w:rsidRPr="002C4077">
        <w:t xml:space="preserve"> </w:t>
      </w:r>
      <w:r>
        <w:t>nous</w:t>
      </w:r>
      <w:r w:rsidRPr="002C4077">
        <w:t xml:space="preserve"> </w:t>
      </w:r>
      <w:r>
        <w:t>croyons</w:t>
      </w:r>
      <w:r w:rsidRPr="002C4077">
        <w:t xml:space="preserve"> </w:t>
      </w:r>
      <w:r>
        <w:t>plus</w:t>
      </w:r>
      <w:r w:rsidRPr="002C4077">
        <w:t xml:space="preserve"> </w:t>
      </w:r>
      <w:r>
        <w:t>décisif</w:t>
      </w:r>
      <w:r w:rsidRPr="002C4077">
        <w:t xml:space="preserve"> </w:t>
      </w:r>
      <w:r>
        <w:t>encore.</w:t>
      </w:r>
      <w:r w:rsidRPr="002C4077">
        <w:t xml:space="preserve"> </w:t>
      </w:r>
    </w:p>
    <w:p w:rsidR="000A7AAB" w:rsidRPr="000721C4" w:rsidRDefault="000A7AAB" w:rsidP="000A7AAB">
      <w:r>
        <w:t>Nous</w:t>
      </w:r>
      <w:r w:rsidRPr="002C4077">
        <w:t xml:space="preserve"> </w:t>
      </w:r>
      <w:r>
        <w:t>allons</w:t>
      </w:r>
      <w:r w:rsidRPr="002C4077">
        <w:t xml:space="preserve"> </w:t>
      </w:r>
      <w:r>
        <w:t>nous</w:t>
      </w:r>
      <w:r w:rsidRPr="002C4077">
        <w:t xml:space="preserve"> </w:t>
      </w:r>
      <w:r>
        <w:t>placer</w:t>
      </w:r>
      <w:r w:rsidRPr="002C4077">
        <w:t xml:space="preserve"> </w:t>
      </w:r>
      <w:r>
        <w:t>au</w:t>
      </w:r>
      <w:r w:rsidRPr="002C4077">
        <w:t xml:space="preserve"> </w:t>
      </w:r>
      <w:r>
        <w:t>point</w:t>
      </w:r>
      <w:r w:rsidRPr="002C4077">
        <w:t xml:space="preserve"> </w:t>
      </w:r>
      <w:r>
        <w:t>de</w:t>
      </w:r>
      <w:r w:rsidRPr="002C4077">
        <w:t xml:space="preserve"> </w:t>
      </w:r>
      <w:r>
        <w:t>vue</w:t>
      </w:r>
      <w:r w:rsidRPr="002C4077">
        <w:t xml:space="preserve"> </w:t>
      </w:r>
      <w:r>
        <w:t>du</w:t>
      </w:r>
      <w:r w:rsidRPr="002C4077">
        <w:t xml:space="preserve"> </w:t>
      </w:r>
      <w:r>
        <w:t>prophète</w:t>
      </w:r>
      <w:r w:rsidRPr="002C4077">
        <w:t xml:space="preserve"> </w:t>
      </w:r>
      <w:r>
        <w:t>lui-même,</w:t>
      </w:r>
      <w:r w:rsidRPr="002C4077">
        <w:t xml:space="preserve"> </w:t>
      </w:r>
      <w:r>
        <w:t>et</w:t>
      </w:r>
      <w:r w:rsidRPr="002C4077">
        <w:t xml:space="preserve"> </w:t>
      </w:r>
      <w:r>
        <w:t>nous</w:t>
      </w:r>
      <w:r w:rsidRPr="002C4077">
        <w:t xml:space="preserve"> </w:t>
      </w:r>
      <w:r>
        <w:t>prouverons</w:t>
      </w:r>
      <w:r w:rsidRPr="002C4077">
        <w:t xml:space="preserve"> </w:t>
      </w:r>
      <w:r>
        <w:t>que</w:t>
      </w:r>
      <w:r w:rsidRPr="002C4077">
        <w:t xml:space="preserve"> </w:t>
      </w:r>
      <w:r>
        <w:t>si,</w:t>
      </w:r>
      <w:r w:rsidRPr="002C4077">
        <w:t xml:space="preserve"> </w:t>
      </w:r>
      <w:r>
        <w:t>d’un</w:t>
      </w:r>
      <w:r w:rsidRPr="002C4077">
        <w:t xml:space="preserve"> </w:t>
      </w:r>
      <w:r>
        <w:t>côté,</w:t>
      </w:r>
      <w:r w:rsidRPr="002C4077">
        <w:t xml:space="preserve"> </w:t>
      </w:r>
      <w:r>
        <w:t>il</w:t>
      </w:r>
      <w:r w:rsidRPr="002C4077">
        <w:t xml:space="preserve"> </w:t>
      </w:r>
      <w:r>
        <w:t>parle</w:t>
      </w:r>
      <w:r w:rsidRPr="002C4077">
        <w:t xml:space="preserve"> </w:t>
      </w:r>
      <w:r>
        <w:t>d’un</w:t>
      </w:r>
      <w:r w:rsidRPr="002C4077">
        <w:t xml:space="preserve"> </w:t>
      </w:r>
      <w:r>
        <w:t>lointain</w:t>
      </w:r>
      <w:r w:rsidRPr="002C4077">
        <w:t xml:space="preserve"> </w:t>
      </w:r>
      <w:r>
        <w:t>avenir,</w:t>
      </w:r>
      <w:r w:rsidRPr="002C4077">
        <w:t xml:space="preserve"> </w:t>
      </w:r>
      <w:r>
        <w:t>de</w:t>
      </w:r>
      <w:r w:rsidRPr="002C4077">
        <w:t xml:space="preserve"> </w:t>
      </w:r>
      <w:r>
        <w:t>l’autre,</w:t>
      </w:r>
      <w:r w:rsidRPr="002C4077">
        <w:t xml:space="preserve"> </w:t>
      </w:r>
      <w:r>
        <w:t>sa</w:t>
      </w:r>
      <w:r w:rsidRPr="002C4077">
        <w:t xml:space="preserve"> </w:t>
      </w:r>
      <w:r>
        <w:t>prédiction</w:t>
      </w:r>
      <w:r w:rsidRPr="002C4077">
        <w:t xml:space="preserve"> </w:t>
      </w:r>
      <w:r w:rsidR="00425C50">
        <w:t>est</w:t>
      </w:r>
      <w:r w:rsidRPr="002C4077">
        <w:t xml:space="preserve"> </w:t>
      </w:r>
      <w:r>
        <w:t>en</w:t>
      </w:r>
      <w:r w:rsidRPr="002C4077">
        <w:t xml:space="preserve"> </w:t>
      </w:r>
      <w:r>
        <w:t>relation</w:t>
      </w:r>
      <w:r w:rsidRPr="002C4077">
        <w:t xml:space="preserve"> </w:t>
      </w:r>
      <w:r>
        <w:t>très</w:t>
      </w:r>
      <w:r w:rsidRPr="002C4077">
        <w:t xml:space="preserve"> </w:t>
      </w:r>
      <w:r>
        <w:t>étroite</w:t>
      </w:r>
      <w:r w:rsidRPr="002C4077">
        <w:t xml:space="preserve"> </w:t>
      </w:r>
      <w:r>
        <w:t>et</w:t>
      </w:r>
      <w:r w:rsidRPr="002C4077">
        <w:t xml:space="preserve"> </w:t>
      </w:r>
      <w:r>
        <w:t>très</w:t>
      </w:r>
      <w:r w:rsidRPr="002C4077">
        <w:t xml:space="preserve"> </w:t>
      </w:r>
      <w:r>
        <w:t>directe</w:t>
      </w:r>
      <w:r w:rsidRPr="002C4077">
        <w:t xml:space="preserve"> </w:t>
      </w:r>
      <w:r>
        <w:t>avec</w:t>
      </w:r>
      <w:r w:rsidRPr="002C4077">
        <w:t xml:space="preserve"> </w:t>
      </w:r>
      <w:r>
        <w:t>le</w:t>
      </w:r>
      <w:r w:rsidRPr="002C4077">
        <w:t xml:space="preserve"> </w:t>
      </w:r>
      <w:r>
        <w:t>temps</w:t>
      </w:r>
      <w:r w:rsidRPr="002C4077">
        <w:t xml:space="preserve"> </w:t>
      </w:r>
      <w:r>
        <w:t>présent.</w:t>
      </w:r>
      <w:r w:rsidR="00C45B47">
        <w:t xml:space="preserve"> {</w:t>
      </w:r>
      <w:r w:rsidR="000721C4">
        <w:t>96</w:t>
      </w:r>
      <w:bookmarkStart w:id="283" w:name="p096"/>
      <w:bookmarkEnd w:id="283"/>
      <w:r w:rsidR="000721C4">
        <w:t xml:space="preserve">} </w:t>
      </w:r>
    </w:p>
    <w:p w:rsidR="000A7AAB" w:rsidRDefault="00B546AF" w:rsidP="000A7AAB">
      <w:r>
        <w:t>« </w:t>
      </w:r>
      <w:r w:rsidR="000A7AAB">
        <w:t>Ce</w:t>
      </w:r>
      <w:r w:rsidR="000A7AAB" w:rsidRPr="002C4077">
        <w:t xml:space="preserve"> </w:t>
      </w:r>
      <w:r w:rsidR="000A7AAB">
        <w:t>que</w:t>
      </w:r>
      <w:r w:rsidR="000A7AAB" w:rsidRPr="002C4077">
        <w:t xml:space="preserve"> </w:t>
      </w:r>
      <w:r w:rsidR="000A7AAB">
        <w:t>l’Église,</w:t>
      </w:r>
      <w:r w:rsidR="000A7AAB" w:rsidRPr="002C4077">
        <w:t xml:space="preserve"> </w:t>
      </w:r>
      <w:r w:rsidR="000A7AAB">
        <w:t>héritière</w:t>
      </w:r>
      <w:r w:rsidR="000A7AAB" w:rsidRPr="002C4077">
        <w:t xml:space="preserve"> </w:t>
      </w:r>
      <w:r w:rsidR="000A7AAB">
        <w:t>de</w:t>
      </w:r>
      <w:r w:rsidR="000A7AAB" w:rsidRPr="002C4077">
        <w:t xml:space="preserve"> </w:t>
      </w:r>
      <w:r w:rsidR="000A7AAB">
        <w:t>la</w:t>
      </w:r>
      <w:r w:rsidR="000A7AAB" w:rsidRPr="002C4077">
        <w:t xml:space="preserve"> </w:t>
      </w:r>
      <w:r w:rsidR="000A7AAB">
        <w:t>Synagogue,</w:t>
      </w:r>
      <w:r w:rsidR="000A7AAB" w:rsidRPr="002C4077">
        <w:t xml:space="preserve"> </w:t>
      </w:r>
      <w:r w:rsidR="000A7AAB">
        <w:t>enseigne</w:t>
      </w:r>
      <w:r w:rsidR="000A7AAB" w:rsidRPr="002C4077">
        <w:t xml:space="preserve"> </w:t>
      </w:r>
      <w:r w:rsidR="000A7AAB">
        <w:t>touchant</w:t>
      </w:r>
      <w:r w:rsidR="000A7AAB" w:rsidRPr="002C4077">
        <w:t xml:space="preserve"> </w:t>
      </w:r>
      <w:r w:rsidR="000A7AAB">
        <w:t>les</w:t>
      </w:r>
      <w:r w:rsidR="000A7AAB" w:rsidRPr="002C4077">
        <w:t xml:space="preserve"> </w:t>
      </w:r>
      <w:r w:rsidR="000A7AAB">
        <w:t>prophéties,</w:t>
      </w:r>
      <w:r w:rsidR="000A7AAB" w:rsidRPr="002C4077">
        <w:t xml:space="preserve"> </w:t>
      </w:r>
      <w:r w:rsidR="000A7AAB">
        <w:t>c’est</w:t>
      </w:r>
      <w:r w:rsidR="000A7AAB" w:rsidRPr="002C4077">
        <w:t xml:space="preserve"> </w:t>
      </w:r>
      <w:r w:rsidR="000A7AAB">
        <w:t>que</w:t>
      </w:r>
      <w:r w:rsidR="000A7AAB" w:rsidRPr="002C4077">
        <w:t xml:space="preserve"> </w:t>
      </w:r>
      <w:r w:rsidR="000A7AAB">
        <w:t>leur</w:t>
      </w:r>
      <w:r w:rsidR="000A7AAB" w:rsidRPr="002C4077">
        <w:t xml:space="preserve"> </w:t>
      </w:r>
      <w:r w:rsidR="000A7AAB">
        <w:t>horizon</w:t>
      </w:r>
      <w:r w:rsidR="000A7AAB" w:rsidRPr="002C4077">
        <w:t xml:space="preserve"> </w:t>
      </w:r>
      <w:r w:rsidR="000A7AAB">
        <w:t>s’étend</w:t>
      </w:r>
      <w:r w:rsidR="000A7AAB" w:rsidRPr="002C4077">
        <w:t xml:space="preserve"> </w:t>
      </w:r>
      <w:r w:rsidR="000A7AAB">
        <w:t>d’ordinaire</w:t>
      </w:r>
      <w:r w:rsidR="000A7AAB" w:rsidRPr="002C4077">
        <w:t xml:space="preserve"> </w:t>
      </w:r>
      <w:r w:rsidR="000A7AAB">
        <w:t>au</w:t>
      </w:r>
      <w:r w:rsidR="000A7AAB" w:rsidRPr="002C4077">
        <w:t xml:space="preserve"> </w:t>
      </w:r>
      <w:r w:rsidR="000A7AAB">
        <w:t>delà</w:t>
      </w:r>
      <w:r w:rsidR="000A7AAB" w:rsidRPr="002C4077">
        <w:t xml:space="preserve"> </w:t>
      </w:r>
      <w:r w:rsidR="000A7AAB">
        <w:t>de</w:t>
      </w:r>
      <w:r w:rsidR="000A7AAB" w:rsidRPr="002C4077">
        <w:t xml:space="preserve"> </w:t>
      </w:r>
      <w:r w:rsidR="000A7AAB">
        <w:t>ce</w:t>
      </w:r>
      <w:r w:rsidR="000A7AAB" w:rsidRPr="002C4077">
        <w:t xml:space="preserve"> </w:t>
      </w:r>
      <w:r w:rsidR="000A7AAB">
        <w:t>qui</w:t>
      </w:r>
      <w:r w:rsidR="000A7AAB" w:rsidRPr="002C4077">
        <w:t xml:space="preserve"> </w:t>
      </w:r>
      <w:r w:rsidR="000A7AAB">
        <w:t>en</w:t>
      </w:r>
      <w:r w:rsidR="000A7AAB" w:rsidRPr="002C4077">
        <w:t xml:space="preserve"> </w:t>
      </w:r>
      <w:r w:rsidR="000A7AAB">
        <w:t>paraît</w:t>
      </w:r>
      <w:r w:rsidR="000A7AAB" w:rsidRPr="002C4077">
        <w:t xml:space="preserve"> </w:t>
      </w:r>
      <w:r w:rsidR="000A7AAB">
        <w:t>d’abord,</w:t>
      </w:r>
      <w:r w:rsidR="000A7AAB" w:rsidRPr="002C4077">
        <w:t xml:space="preserve"> </w:t>
      </w:r>
      <w:r w:rsidR="000A7AAB">
        <w:t>et</w:t>
      </w:r>
      <w:r w:rsidR="000A7AAB" w:rsidRPr="002C4077">
        <w:t xml:space="preserve"> </w:t>
      </w:r>
      <w:r w:rsidR="000A7AAB">
        <w:t>que</w:t>
      </w:r>
      <w:r w:rsidR="000A7AAB" w:rsidRPr="002C4077">
        <w:t xml:space="preserve"> </w:t>
      </w:r>
      <w:r w:rsidR="000A7AAB">
        <w:t>la</w:t>
      </w:r>
      <w:r w:rsidR="000A7AAB" w:rsidRPr="002C4077">
        <w:t xml:space="preserve"> </w:t>
      </w:r>
      <w:r w:rsidR="000A7AAB">
        <w:t>réflexion</w:t>
      </w:r>
      <w:r w:rsidR="000A7AAB" w:rsidRPr="002C4077">
        <w:t xml:space="preserve"> </w:t>
      </w:r>
      <w:r w:rsidR="000A7AAB">
        <w:t>y</w:t>
      </w:r>
      <w:r w:rsidR="000A7AAB" w:rsidRPr="002C4077">
        <w:t xml:space="preserve"> </w:t>
      </w:r>
      <w:r w:rsidR="000A7AAB">
        <w:t>découvre</w:t>
      </w:r>
      <w:r w:rsidR="000A7AAB" w:rsidRPr="002C4077">
        <w:t xml:space="preserve"> </w:t>
      </w:r>
      <w:r w:rsidR="000A7AAB">
        <w:t>d’admirables</w:t>
      </w:r>
      <w:r w:rsidR="000A7AAB" w:rsidRPr="002C4077">
        <w:t xml:space="preserve"> </w:t>
      </w:r>
      <w:r w:rsidR="000A7AAB">
        <w:t>profondeurs.</w:t>
      </w:r>
      <w:r w:rsidR="000A7AAB" w:rsidRPr="002C4077">
        <w:t xml:space="preserve"> </w:t>
      </w:r>
      <w:r w:rsidR="000A7AAB">
        <w:t>Une</w:t>
      </w:r>
      <w:r w:rsidR="000A7AAB" w:rsidRPr="002C4077">
        <w:t xml:space="preserve"> </w:t>
      </w:r>
      <w:r w:rsidR="000A7AAB">
        <w:t>prophétie</w:t>
      </w:r>
      <w:r w:rsidR="000A7AAB" w:rsidRPr="002C4077">
        <w:t xml:space="preserve"> </w:t>
      </w:r>
      <w:r w:rsidR="000A7AAB">
        <w:t>peut</w:t>
      </w:r>
      <w:r w:rsidR="000A7AAB" w:rsidRPr="002C4077">
        <w:t xml:space="preserve"> </w:t>
      </w:r>
      <w:r w:rsidR="000A7AAB">
        <w:t>être</w:t>
      </w:r>
      <w:r w:rsidR="000A7AAB" w:rsidRPr="002C4077">
        <w:t xml:space="preserve"> </w:t>
      </w:r>
      <w:r w:rsidR="000A7AAB">
        <w:t>générale</w:t>
      </w:r>
      <w:r w:rsidR="000A7AAB" w:rsidRPr="002C4077">
        <w:t xml:space="preserve"> </w:t>
      </w:r>
      <w:r w:rsidR="000A7AAB">
        <w:t>sans</w:t>
      </w:r>
      <w:r w:rsidR="000A7AAB" w:rsidRPr="002C4077">
        <w:t xml:space="preserve"> </w:t>
      </w:r>
      <w:r w:rsidR="000A7AAB">
        <w:t>être</w:t>
      </w:r>
      <w:r w:rsidR="000A7AAB" w:rsidRPr="002C4077">
        <w:t xml:space="preserve"> </w:t>
      </w:r>
      <w:r w:rsidR="000A7AAB">
        <w:t>indéterminée,</w:t>
      </w:r>
      <w:r w:rsidR="000A7AAB" w:rsidRPr="002C4077">
        <w:t xml:space="preserve"> </w:t>
      </w:r>
      <w:r w:rsidR="000A7AAB">
        <w:t>et,</w:t>
      </w:r>
      <w:r w:rsidR="000A7AAB" w:rsidRPr="002C4077">
        <w:t xml:space="preserve"> </w:t>
      </w:r>
      <w:r w:rsidR="000A7AAB">
        <w:t>dans</w:t>
      </w:r>
      <w:r w:rsidR="000A7AAB" w:rsidRPr="002C4077">
        <w:t xml:space="preserve"> </w:t>
      </w:r>
      <w:r w:rsidR="000A7AAB">
        <w:t>l’unité</w:t>
      </w:r>
      <w:r w:rsidR="000A7AAB" w:rsidRPr="002C4077">
        <w:t xml:space="preserve"> </w:t>
      </w:r>
      <w:r w:rsidR="000A7AAB">
        <w:t>d’un</w:t>
      </w:r>
      <w:r w:rsidR="000A7AAB" w:rsidRPr="002C4077">
        <w:t xml:space="preserve"> </w:t>
      </w:r>
      <w:r w:rsidR="000A7AAB">
        <w:t>grand</w:t>
      </w:r>
      <w:r w:rsidR="000A7AAB" w:rsidRPr="002C4077">
        <w:t xml:space="preserve"> </w:t>
      </w:r>
      <w:r w:rsidR="000A7AAB">
        <w:t>fait</w:t>
      </w:r>
      <w:r w:rsidR="000A7AAB" w:rsidRPr="002C4077">
        <w:t xml:space="preserve"> </w:t>
      </w:r>
      <w:r w:rsidR="000A7AAB">
        <w:t>historique</w:t>
      </w:r>
      <w:r w:rsidR="000A7AAB" w:rsidRPr="002C4077">
        <w:t xml:space="preserve"> </w:t>
      </w:r>
      <w:r w:rsidR="000A7AAB">
        <w:t>et</w:t>
      </w:r>
      <w:r w:rsidR="000A7AAB" w:rsidRPr="002C4077">
        <w:t xml:space="preserve"> </w:t>
      </w:r>
      <w:r w:rsidR="000A7AAB">
        <w:t>social,</w:t>
      </w:r>
      <w:r w:rsidR="000A7AAB" w:rsidRPr="002C4077">
        <w:t xml:space="preserve"> </w:t>
      </w:r>
      <w:r w:rsidR="000A7AAB">
        <w:t>embrasser</w:t>
      </w:r>
      <w:r w:rsidR="000A7AAB" w:rsidRPr="002C4077">
        <w:t xml:space="preserve"> </w:t>
      </w:r>
      <w:r w:rsidR="000A7AAB">
        <w:t>une</w:t>
      </w:r>
      <w:r w:rsidR="000A7AAB" w:rsidRPr="002C4077">
        <w:t xml:space="preserve"> </w:t>
      </w:r>
      <w:r w:rsidR="000A7AAB">
        <w:t>multitude</w:t>
      </w:r>
      <w:r w:rsidR="000A7AAB" w:rsidRPr="002C4077">
        <w:t xml:space="preserve"> </w:t>
      </w:r>
      <w:r w:rsidR="000A7AAB">
        <w:t>de</w:t>
      </w:r>
      <w:r w:rsidR="000A7AAB" w:rsidRPr="002C4077">
        <w:t xml:space="preserve"> </w:t>
      </w:r>
      <w:r w:rsidR="000A7AAB">
        <w:t>faits</w:t>
      </w:r>
      <w:r w:rsidR="000A7AAB" w:rsidRPr="002C4077">
        <w:t xml:space="preserve"> </w:t>
      </w:r>
      <w:r w:rsidR="000A7AAB">
        <w:t>individuels</w:t>
      </w:r>
      <w:r w:rsidR="000A7AAB" w:rsidRPr="002C4077">
        <w:t xml:space="preserve"> </w:t>
      </w:r>
      <w:r w:rsidR="000A7AAB">
        <w:t>et</w:t>
      </w:r>
      <w:r w:rsidR="000A7AAB" w:rsidRPr="002C4077">
        <w:t xml:space="preserve"> </w:t>
      </w:r>
      <w:r w:rsidR="000A7AAB">
        <w:t>plus</w:t>
      </w:r>
      <w:r w:rsidR="000A7AAB" w:rsidRPr="002C4077">
        <w:t xml:space="preserve"> </w:t>
      </w:r>
      <w:r w:rsidR="000A7AAB">
        <w:t>obscurs.</w:t>
      </w:r>
      <w:r w:rsidR="000A7AAB" w:rsidRPr="002C4077">
        <w:t xml:space="preserve"> </w:t>
      </w:r>
      <w:r w:rsidR="000A7AAB">
        <w:t>Ce</w:t>
      </w:r>
      <w:r w:rsidR="000A7AAB" w:rsidRPr="002C4077">
        <w:t xml:space="preserve"> </w:t>
      </w:r>
      <w:r w:rsidR="000A7AAB">
        <w:t>fait</w:t>
      </w:r>
      <w:r w:rsidR="000A7AAB" w:rsidRPr="002C4077">
        <w:t xml:space="preserve"> </w:t>
      </w:r>
      <w:r w:rsidR="000A7AAB">
        <w:t>peut</w:t>
      </w:r>
      <w:r w:rsidR="000A7AAB" w:rsidRPr="002C4077">
        <w:t xml:space="preserve"> </w:t>
      </w:r>
      <w:r w:rsidR="000A7AAB">
        <w:t>même</w:t>
      </w:r>
      <w:r w:rsidR="000A7AAB" w:rsidRPr="002C4077">
        <w:t xml:space="preserve"> </w:t>
      </w:r>
      <w:r w:rsidR="000A7AAB">
        <w:t>être</w:t>
      </w:r>
      <w:r w:rsidR="000A7AAB" w:rsidRPr="002C4077">
        <w:t xml:space="preserve"> </w:t>
      </w:r>
      <w:r w:rsidR="000A7AAB">
        <w:t>tel,</w:t>
      </w:r>
      <w:r w:rsidR="000A7AAB" w:rsidRPr="002C4077">
        <w:t xml:space="preserve"> </w:t>
      </w:r>
      <w:r w:rsidR="000A7AAB">
        <w:t>qu’il</w:t>
      </w:r>
      <w:r w:rsidR="000A7AAB" w:rsidRPr="002C4077">
        <w:t xml:space="preserve"> </w:t>
      </w:r>
      <w:r w:rsidR="000A7AAB">
        <w:t>ait</w:t>
      </w:r>
      <w:r w:rsidR="000A7AAB" w:rsidRPr="002C4077">
        <w:t xml:space="preserve"> </w:t>
      </w:r>
      <w:r w:rsidR="000A7AAB">
        <w:t>besoin</w:t>
      </w:r>
      <w:r w:rsidR="000A7AAB" w:rsidRPr="002C4077">
        <w:t xml:space="preserve"> </w:t>
      </w:r>
      <w:r w:rsidR="000A7AAB">
        <w:t>de</w:t>
      </w:r>
      <w:r w:rsidR="000A7AAB" w:rsidRPr="002C4077">
        <w:t xml:space="preserve"> </w:t>
      </w:r>
      <w:r w:rsidR="000A7AAB">
        <w:t>toute</w:t>
      </w:r>
      <w:r w:rsidR="000A7AAB" w:rsidRPr="002C4077">
        <w:t xml:space="preserve"> </w:t>
      </w:r>
      <w:r w:rsidR="000A7AAB">
        <w:t>la</w:t>
      </w:r>
      <w:r w:rsidR="000A7AAB" w:rsidRPr="002C4077">
        <w:t xml:space="preserve"> </w:t>
      </w:r>
      <w:r w:rsidR="000A7AAB">
        <w:t>suite</w:t>
      </w:r>
      <w:r w:rsidR="000A7AAB" w:rsidRPr="002C4077">
        <w:t xml:space="preserve"> </w:t>
      </w:r>
      <w:r w:rsidR="000A7AAB">
        <w:t>des</w:t>
      </w:r>
      <w:r w:rsidR="000A7AAB" w:rsidRPr="002C4077">
        <w:t xml:space="preserve"> </w:t>
      </w:r>
      <w:r w:rsidR="000A7AAB">
        <w:t>siècles</w:t>
      </w:r>
      <w:r w:rsidR="000A7AAB" w:rsidRPr="002C4077">
        <w:t xml:space="preserve"> </w:t>
      </w:r>
      <w:r w:rsidR="000A7AAB">
        <w:t>pour</w:t>
      </w:r>
      <w:r w:rsidR="000A7AAB" w:rsidRPr="002C4077">
        <w:t xml:space="preserve"> </w:t>
      </w:r>
      <w:r w:rsidR="000A7AAB">
        <w:t>se</w:t>
      </w:r>
      <w:r w:rsidR="000A7AAB" w:rsidRPr="002C4077">
        <w:t xml:space="preserve"> </w:t>
      </w:r>
      <w:r w:rsidR="000A7AAB">
        <w:t>développer</w:t>
      </w:r>
      <w:r w:rsidR="000A7AAB" w:rsidRPr="002C4077">
        <w:t xml:space="preserve"> </w:t>
      </w:r>
      <w:r w:rsidR="000A7AAB">
        <w:t>et</w:t>
      </w:r>
      <w:r w:rsidR="000A7AAB" w:rsidRPr="002C4077">
        <w:t xml:space="preserve"> </w:t>
      </w:r>
      <w:r w:rsidR="000A7AAB">
        <w:t>atteindre</w:t>
      </w:r>
      <w:r w:rsidR="000A7AAB" w:rsidRPr="002C4077">
        <w:t xml:space="preserve"> </w:t>
      </w:r>
      <w:r w:rsidR="000A7AAB">
        <w:t>son</w:t>
      </w:r>
      <w:r w:rsidR="000A7AAB" w:rsidRPr="002C4077">
        <w:t xml:space="preserve"> </w:t>
      </w:r>
      <w:r w:rsidR="000A7AAB">
        <w:t>dernier</w:t>
      </w:r>
      <w:r w:rsidR="000A7AAB" w:rsidRPr="002C4077">
        <w:t xml:space="preserve"> </w:t>
      </w:r>
      <w:r w:rsidR="000A7AAB">
        <w:t>terme,</w:t>
      </w:r>
      <w:r w:rsidR="000A7AAB" w:rsidRPr="002C4077">
        <w:t xml:space="preserve"> </w:t>
      </w:r>
      <w:r w:rsidR="000A7AAB">
        <w:t>bien</w:t>
      </w:r>
      <w:r w:rsidR="000A7AAB" w:rsidRPr="002C4077">
        <w:t xml:space="preserve"> </w:t>
      </w:r>
      <w:r w:rsidR="000A7AAB">
        <w:t>qu’il</w:t>
      </w:r>
      <w:r w:rsidR="000A7AAB" w:rsidRPr="002C4077">
        <w:t xml:space="preserve"> </w:t>
      </w:r>
      <w:r w:rsidR="000A7AAB">
        <w:t>ressorte</w:t>
      </w:r>
      <w:r w:rsidR="000A7AAB" w:rsidRPr="002C4077">
        <w:t xml:space="preserve"> </w:t>
      </w:r>
      <w:r w:rsidR="000A7AAB">
        <w:t>avec</w:t>
      </w:r>
      <w:r w:rsidR="000A7AAB" w:rsidRPr="002C4077">
        <w:t xml:space="preserve"> </w:t>
      </w:r>
      <w:r w:rsidR="000A7AAB">
        <w:t>un</w:t>
      </w:r>
      <w:r w:rsidR="000A7AAB" w:rsidRPr="002C4077">
        <w:t xml:space="preserve"> </w:t>
      </w:r>
      <w:r w:rsidR="000A7AAB">
        <w:t>éclat</w:t>
      </w:r>
      <w:r w:rsidR="000A7AAB" w:rsidRPr="002C4077">
        <w:t xml:space="preserve"> </w:t>
      </w:r>
      <w:r w:rsidR="000A7AAB">
        <w:t>extraordinaire</w:t>
      </w:r>
      <w:r w:rsidR="000A7AAB" w:rsidRPr="002C4077">
        <w:t xml:space="preserve"> </w:t>
      </w:r>
      <w:r w:rsidR="000A7AAB">
        <w:t>à</w:t>
      </w:r>
      <w:r w:rsidR="000A7AAB" w:rsidRPr="002C4077">
        <w:t xml:space="preserve"> </w:t>
      </w:r>
      <w:r w:rsidR="000A7AAB">
        <w:t>certaines</w:t>
      </w:r>
      <w:r w:rsidR="000A7AAB" w:rsidRPr="002C4077">
        <w:t xml:space="preserve"> </w:t>
      </w:r>
      <w:r w:rsidR="000A7AAB">
        <w:t>époques</w:t>
      </w:r>
      <w:r w:rsidR="000A7AAB" w:rsidRPr="002C4077">
        <w:t xml:space="preserve"> </w:t>
      </w:r>
      <w:r w:rsidR="000A7AAB">
        <w:t>privilégiées</w:t>
      </w:r>
      <w:r w:rsidR="00B91AF7">
        <w:rPr>
          <w:rStyle w:val="Appelnotedebasdep"/>
        </w:rPr>
        <w:footnoteReference w:id="303"/>
      </w:r>
      <w:r>
        <w:t> »</w:t>
      </w:r>
      <w:r w:rsidR="000A7AAB">
        <w:t>.</w:t>
      </w:r>
      <w:r w:rsidR="000A7AAB" w:rsidRPr="002C4077">
        <w:t xml:space="preserve"> </w:t>
      </w:r>
      <w:r w:rsidR="000A7AAB">
        <w:t>Ah</w:t>
      </w:r>
      <w:r>
        <w:t> !</w:t>
      </w:r>
      <w:r w:rsidR="000A7AAB" w:rsidRPr="002C4077">
        <w:t xml:space="preserve"> </w:t>
      </w:r>
      <w:r w:rsidR="000A7AAB">
        <w:t>si</w:t>
      </w:r>
      <w:r w:rsidR="000A7AAB" w:rsidRPr="002C4077">
        <w:t xml:space="preserve"> </w:t>
      </w:r>
      <w:r w:rsidR="000A7AAB">
        <w:t>les</w:t>
      </w:r>
      <w:r w:rsidR="000A7AAB" w:rsidRPr="002C4077">
        <w:t xml:space="preserve"> </w:t>
      </w:r>
      <w:r w:rsidR="000A7AAB">
        <w:t>ennemis</w:t>
      </w:r>
      <w:r w:rsidR="000A7AAB" w:rsidRPr="002C4077">
        <w:t xml:space="preserve"> </w:t>
      </w:r>
      <w:r w:rsidR="000A7AAB">
        <w:t>de</w:t>
      </w:r>
      <w:r w:rsidR="000A7AAB" w:rsidRPr="002C4077">
        <w:t xml:space="preserve"> </w:t>
      </w:r>
      <w:r w:rsidR="000A7AAB">
        <w:t>la</w:t>
      </w:r>
      <w:r w:rsidR="000A7AAB" w:rsidRPr="002C4077">
        <w:t xml:space="preserve"> </w:t>
      </w:r>
      <w:r w:rsidR="000A7AAB">
        <w:t>révélation,</w:t>
      </w:r>
      <w:r w:rsidR="000A7AAB" w:rsidRPr="002C4077">
        <w:t xml:space="preserve"> </w:t>
      </w:r>
      <w:r w:rsidR="000A7AAB">
        <w:t>au</w:t>
      </w:r>
      <w:r w:rsidR="000A7AAB" w:rsidRPr="002C4077">
        <w:t xml:space="preserve"> </w:t>
      </w:r>
      <w:r w:rsidR="000A7AAB">
        <w:t>lieu</w:t>
      </w:r>
      <w:r w:rsidR="000A7AAB" w:rsidRPr="002C4077">
        <w:t xml:space="preserve"> </w:t>
      </w:r>
      <w:r w:rsidR="000A7AAB">
        <w:t>de</w:t>
      </w:r>
      <w:r w:rsidR="000A7AAB" w:rsidRPr="002C4077">
        <w:t xml:space="preserve"> </w:t>
      </w:r>
      <w:r w:rsidR="000A7AAB">
        <w:t>faire</w:t>
      </w:r>
      <w:r w:rsidR="000A7AAB" w:rsidRPr="002C4077">
        <w:t xml:space="preserve"> </w:t>
      </w:r>
      <w:r w:rsidR="000A7AAB">
        <w:t>sans</w:t>
      </w:r>
      <w:r w:rsidR="000A7AAB" w:rsidRPr="002C4077">
        <w:t xml:space="preserve"> </w:t>
      </w:r>
      <w:r w:rsidR="000A7AAB">
        <w:t>cesse</w:t>
      </w:r>
      <w:r w:rsidR="000A7AAB" w:rsidRPr="002C4077">
        <w:t xml:space="preserve"> </w:t>
      </w:r>
      <w:r w:rsidR="000A7AAB">
        <w:t>de</w:t>
      </w:r>
      <w:r w:rsidR="000A7AAB" w:rsidRPr="002C4077">
        <w:t xml:space="preserve"> </w:t>
      </w:r>
      <w:r w:rsidR="000A7AAB">
        <w:t>la</w:t>
      </w:r>
      <w:r w:rsidR="000A7AAB" w:rsidRPr="002C4077">
        <w:t xml:space="preserve"> </w:t>
      </w:r>
      <w:r w:rsidR="000A7AAB" w:rsidRPr="000A34B5">
        <w:rPr>
          <w:rStyle w:val="italicus"/>
        </w:rPr>
        <w:t>micrologie</w:t>
      </w:r>
      <w:r w:rsidR="000A7AAB" w:rsidRPr="002C4077">
        <w:t xml:space="preserve"> </w:t>
      </w:r>
      <w:r w:rsidR="000A7AAB">
        <w:t>à</w:t>
      </w:r>
      <w:r w:rsidR="000A7AAB" w:rsidRPr="002C4077">
        <w:t xml:space="preserve"> </w:t>
      </w:r>
      <w:r w:rsidR="000A7AAB">
        <w:t>propos</w:t>
      </w:r>
      <w:r w:rsidR="000A7AAB" w:rsidRPr="002C4077">
        <w:t xml:space="preserve"> </w:t>
      </w:r>
      <w:r w:rsidR="000A7AAB">
        <w:t>de</w:t>
      </w:r>
      <w:r w:rsidR="000A7AAB" w:rsidRPr="002C4077">
        <w:t xml:space="preserve"> </w:t>
      </w:r>
      <w:r w:rsidR="000A7AAB">
        <w:t>menus</w:t>
      </w:r>
      <w:r w:rsidR="000A7AAB" w:rsidRPr="002C4077">
        <w:t xml:space="preserve"> </w:t>
      </w:r>
      <w:r w:rsidR="000A7AAB">
        <w:t>détails,</w:t>
      </w:r>
      <w:r w:rsidR="000A7AAB" w:rsidRPr="002C4077">
        <w:t xml:space="preserve"> </w:t>
      </w:r>
      <w:r w:rsidR="000A7AAB">
        <w:t>se</w:t>
      </w:r>
      <w:r w:rsidR="000A7AAB" w:rsidRPr="002C4077">
        <w:t xml:space="preserve"> </w:t>
      </w:r>
      <w:r w:rsidR="000A7AAB">
        <w:t>laissaient</w:t>
      </w:r>
      <w:r w:rsidR="000A7AAB" w:rsidRPr="002C4077">
        <w:t xml:space="preserve"> </w:t>
      </w:r>
      <w:r w:rsidR="000A7AAB">
        <w:t>guider</w:t>
      </w:r>
      <w:r w:rsidR="000A7AAB" w:rsidRPr="002C4077">
        <w:t xml:space="preserve"> </w:t>
      </w:r>
      <w:r w:rsidR="000A7AAB">
        <w:t>par</w:t>
      </w:r>
      <w:r w:rsidR="000A7AAB" w:rsidRPr="002C4077">
        <w:t xml:space="preserve"> </w:t>
      </w:r>
      <w:r w:rsidR="000A7AAB">
        <w:t>ces</w:t>
      </w:r>
      <w:r w:rsidR="000A7AAB" w:rsidRPr="002C4077">
        <w:t xml:space="preserve"> </w:t>
      </w:r>
      <w:r w:rsidR="000A7AAB">
        <w:t>grandes</w:t>
      </w:r>
      <w:r w:rsidR="000A7AAB" w:rsidRPr="002C4077">
        <w:t xml:space="preserve"> </w:t>
      </w:r>
      <w:r w:rsidR="000A7AAB">
        <w:t>lois</w:t>
      </w:r>
      <w:r w:rsidR="000A7AAB" w:rsidRPr="002C4077">
        <w:t xml:space="preserve"> </w:t>
      </w:r>
      <w:r w:rsidR="000A7AAB">
        <w:t>de</w:t>
      </w:r>
      <w:r w:rsidR="000A7AAB" w:rsidRPr="002C4077">
        <w:t xml:space="preserve"> </w:t>
      </w:r>
      <w:r w:rsidR="000A7AAB">
        <w:t>l’histoire</w:t>
      </w:r>
      <w:r w:rsidR="000A7AAB" w:rsidRPr="002C4077">
        <w:t xml:space="preserve"> </w:t>
      </w:r>
      <w:r w:rsidR="000A7AAB">
        <w:t>du</w:t>
      </w:r>
      <w:r w:rsidR="000A7AAB" w:rsidRPr="002C4077">
        <w:t xml:space="preserve"> </w:t>
      </w:r>
      <w:r w:rsidR="000A7AAB">
        <w:t>royaume</w:t>
      </w:r>
      <w:r w:rsidR="000A7AAB" w:rsidRPr="002C4077">
        <w:t xml:space="preserve"> </w:t>
      </w:r>
      <w:r w:rsidR="000A7AAB">
        <w:t>de</w:t>
      </w:r>
      <w:r w:rsidR="000A7AAB" w:rsidRPr="002C4077">
        <w:t xml:space="preserve"> </w:t>
      </w:r>
      <w:r w:rsidR="000A7AAB">
        <w:t>Dieu</w:t>
      </w:r>
      <w:r w:rsidR="000A7AAB" w:rsidRPr="002C4077">
        <w:t xml:space="preserve"> </w:t>
      </w:r>
      <w:r w:rsidR="000A7AAB">
        <w:t>sur</w:t>
      </w:r>
      <w:r w:rsidR="000A7AAB" w:rsidRPr="002C4077">
        <w:t xml:space="preserve"> </w:t>
      </w:r>
      <w:r w:rsidR="000A7AAB">
        <w:t>la</w:t>
      </w:r>
      <w:r w:rsidR="000A7AAB" w:rsidRPr="002C4077">
        <w:t xml:space="preserve"> </w:t>
      </w:r>
      <w:r w:rsidR="000A7AAB">
        <w:t>terre,</w:t>
      </w:r>
      <w:r w:rsidR="000A7AAB" w:rsidRPr="002C4077">
        <w:t xml:space="preserve"> </w:t>
      </w:r>
      <w:r w:rsidR="000A7AAB">
        <w:t>comme</w:t>
      </w:r>
      <w:r w:rsidR="000A7AAB" w:rsidRPr="002C4077">
        <w:t xml:space="preserve"> </w:t>
      </w:r>
      <w:r w:rsidR="000A7AAB">
        <w:t>ils</w:t>
      </w:r>
      <w:r w:rsidR="000A7AAB" w:rsidRPr="002C4077">
        <w:t xml:space="preserve"> </w:t>
      </w:r>
      <w:r w:rsidR="000A7AAB">
        <w:t>seraient</w:t>
      </w:r>
      <w:r w:rsidR="000A7AAB" w:rsidRPr="002C4077">
        <w:t xml:space="preserve"> </w:t>
      </w:r>
      <w:r w:rsidR="000A7AAB">
        <w:t>promptement</w:t>
      </w:r>
      <w:r w:rsidR="000A7AAB" w:rsidRPr="002C4077">
        <w:t xml:space="preserve"> </w:t>
      </w:r>
      <w:r w:rsidR="000A7AAB">
        <w:t>d’accord</w:t>
      </w:r>
      <w:r w:rsidR="000A7AAB" w:rsidRPr="002C4077">
        <w:t xml:space="preserve"> </w:t>
      </w:r>
      <w:r w:rsidR="000A7AAB">
        <w:t>avec</w:t>
      </w:r>
      <w:r w:rsidR="000A7AAB" w:rsidRPr="002C4077">
        <w:t xml:space="preserve"> </w:t>
      </w:r>
      <w:r w:rsidR="000A7AAB">
        <w:t>nous</w:t>
      </w:r>
      <w:r>
        <w:t> !</w:t>
      </w:r>
      <w:r w:rsidR="000A7AAB" w:rsidRPr="002C4077">
        <w:t xml:space="preserve"> </w:t>
      </w:r>
      <w:r w:rsidR="000A7AAB">
        <w:t>Mais,</w:t>
      </w:r>
      <w:r w:rsidR="000A7AAB" w:rsidRPr="002C4077">
        <w:t xml:space="preserve"> </w:t>
      </w:r>
      <w:r w:rsidR="000A7AAB">
        <w:t>pour</w:t>
      </w:r>
      <w:r w:rsidR="000A7AAB" w:rsidRPr="002C4077">
        <w:t xml:space="preserve"> </w:t>
      </w:r>
      <w:r w:rsidR="000A7AAB">
        <w:t>eux,</w:t>
      </w:r>
      <w:r w:rsidR="000A7AAB" w:rsidRPr="002C4077">
        <w:t xml:space="preserve"> </w:t>
      </w:r>
      <w:r w:rsidR="000A7AAB">
        <w:t>il</w:t>
      </w:r>
      <w:r w:rsidR="000A7AAB" w:rsidRPr="002C4077">
        <w:t xml:space="preserve"> </w:t>
      </w:r>
      <w:r w:rsidR="000A7AAB">
        <w:t>n’existe</w:t>
      </w:r>
      <w:r w:rsidR="000A7AAB" w:rsidRPr="002C4077">
        <w:t xml:space="preserve"> </w:t>
      </w:r>
      <w:r w:rsidR="000A7AAB">
        <w:t>que</w:t>
      </w:r>
      <w:r w:rsidR="000A7AAB" w:rsidRPr="002C4077">
        <w:t xml:space="preserve"> </w:t>
      </w:r>
      <w:r w:rsidR="000A7AAB">
        <w:t>de</w:t>
      </w:r>
      <w:r w:rsidR="000A7AAB" w:rsidRPr="002C4077">
        <w:t xml:space="preserve"> </w:t>
      </w:r>
      <w:r w:rsidR="000A7AAB">
        <w:t>l’humain</w:t>
      </w:r>
      <w:r w:rsidR="000A7AAB" w:rsidRPr="002C4077">
        <w:t xml:space="preserve"> </w:t>
      </w:r>
      <w:r w:rsidR="000A7AAB">
        <w:t>dans</w:t>
      </w:r>
      <w:r w:rsidR="000A7AAB" w:rsidRPr="002C4077">
        <w:t xml:space="preserve"> </w:t>
      </w:r>
      <w:r w:rsidR="000A7AAB">
        <w:t>la</w:t>
      </w:r>
      <w:r w:rsidR="000A7AAB" w:rsidRPr="002C4077">
        <w:t xml:space="preserve"> </w:t>
      </w:r>
      <w:r w:rsidR="000A7AAB">
        <w:t>Bible.</w:t>
      </w:r>
      <w:r w:rsidR="000A7AAB" w:rsidRPr="002C4077">
        <w:t xml:space="preserve"> </w:t>
      </w:r>
      <w:r w:rsidR="000A7AAB">
        <w:t>Eh</w:t>
      </w:r>
      <w:r w:rsidR="000A7AAB" w:rsidRPr="002C4077">
        <w:t xml:space="preserve"> </w:t>
      </w:r>
      <w:r w:rsidR="000A7AAB">
        <w:t>bien</w:t>
      </w:r>
      <w:r>
        <w:t> !</w:t>
      </w:r>
      <w:r w:rsidR="000A7AAB" w:rsidRPr="002C4077">
        <w:t xml:space="preserve"> </w:t>
      </w:r>
      <w:r w:rsidR="000A7AAB">
        <w:t>nous</w:t>
      </w:r>
      <w:r w:rsidR="000A7AAB" w:rsidRPr="002C4077">
        <w:t xml:space="preserve"> </w:t>
      </w:r>
      <w:r w:rsidR="000A7AAB">
        <w:t>prétendons</w:t>
      </w:r>
      <w:r w:rsidR="000A7AAB" w:rsidRPr="002C4077">
        <w:t xml:space="preserve"> </w:t>
      </w:r>
      <w:r w:rsidR="000A7AAB">
        <w:t>qu’Isaïe,</w:t>
      </w:r>
      <w:r w:rsidR="000A7AAB" w:rsidRPr="002C4077">
        <w:t xml:space="preserve"> </w:t>
      </w:r>
      <w:r w:rsidR="000A7AAB">
        <w:t>simplement</w:t>
      </w:r>
      <w:r w:rsidR="000A7AAB" w:rsidRPr="002C4077">
        <w:t xml:space="preserve"> </w:t>
      </w:r>
      <w:r w:rsidR="000A7AAB">
        <w:t>envisagé</w:t>
      </w:r>
      <w:r w:rsidR="000A7AAB" w:rsidRPr="002C4077">
        <w:t xml:space="preserve"> </w:t>
      </w:r>
      <w:r w:rsidR="000A7AAB">
        <w:t>comme</w:t>
      </w:r>
      <w:r w:rsidR="000A7AAB" w:rsidRPr="002C4077">
        <w:t xml:space="preserve"> </w:t>
      </w:r>
      <w:r w:rsidR="000A7AAB">
        <w:t>un</w:t>
      </w:r>
      <w:r w:rsidR="000A7AAB" w:rsidRPr="002C4077">
        <w:t xml:space="preserve"> </w:t>
      </w:r>
      <w:r w:rsidR="000A7AAB">
        <w:t>écrivain</w:t>
      </w:r>
      <w:r w:rsidR="000A7AAB" w:rsidRPr="002C4077">
        <w:t xml:space="preserve"> </w:t>
      </w:r>
      <w:r w:rsidR="000A7AAB">
        <w:t>ordinaire,</w:t>
      </w:r>
      <w:r w:rsidR="000A7AAB" w:rsidRPr="002C4077">
        <w:t xml:space="preserve"> </w:t>
      </w:r>
      <w:r w:rsidR="000A7AAB">
        <w:t>a</w:t>
      </w:r>
      <w:r w:rsidR="000A7AAB" w:rsidRPr="002C4077">
        <w:t xml:space="preserve"> </w:t>
      </w:r>
      <w:r w:rsidR="000A7AAB">
        <w:t>proposé</w:t>
      </w:r>
      <w:r w:rsidR="000A7AAB" w:rsidRPr="002C4077">
        <w:t xml:space="preserve"> </w:t>
      </w:r>
      <w:r w:rsidR="000A7AAB">
        <w:t>au</w:t>
      </w:r>
      <w:r w:rsidR="000A7AAB" w:rsidRPr="002C4077">
        <w:t xml:space="preserve"> </w:t>
      </w:r>
      <w:r w:rsidR="000A7AAB">
        <w:t>roi</w:t>
      </w:r>
      <w:r w:rsidR="000A7AAB" w:rsidRPr="002C4077">
        <w:t xml:space="preserve"> </w:t>
      </w:r>
      <w:r w:rsidR="000A7AAB">
        <w:t>Achaz</w:t>
      </w:r>
      <w:r w:rsidR="000A7AAB" w:rsidRPr="002C4077">
        <w:t xml:space="preserve"> </w:t>
      </w:r>
      <w:r w:rsidR="000A7AAB">
        <w:t>un</w:t>
      </w:r>
      <w:r w:rsidR="000A7AAB" w:rsidRPr="002C4077">
        <w:t xml:space="preserve"> </w:t>
      </w:r>
      <w:r w:rsidR="000A7AAB">
        <w:t>signe</w:t>
      </w:r>
      <w:r w:rsidR="000A7AAB" w:rsidRPr="002C4077">
        <w:t xml:space="preserve"> </w:t>
      </w:r>
      <w:r w:rsidR="000A7AAB">
        <w:t>futur</w:t>
      </w:r>
      <w:r w:rsidR="000A7AAB" w:rsidRPr="002C4077">
        <w:t xml:space="preserve"> </w:t>
      </w:r>
      <w:r w:rsidR="000A7AAB">
        <w:t>et</w:t>
      </w:r>
      <w:r w:rsidR="000A7AAB" w:rsidRPr="002C4077">
        <w:t xml:space="preserve"> </w:t>
      </w:r>
      <w:r w:rsidR="000A7AAB">
        <w:t>lointain,</w:t>
      </w:r>
      <w:r w:rsidR="000A7AAB" w:rsidRPr="002C4077">
        <w:t xml:space="preserve"> </w:t>
      </w:r>
      <w:r w:rsidR="000A7AAB">
        <w:t>nullement</w:t>
      </w:r>
      <w:r w:rsidR="000A7AAB" w:rsidRPr="002C4077">
        <w:t xml:space="preserve"> </w:t>
      </w:r>
      <w:r w:rsidR="000A7AAB">
        <w:t>un</w:t>
      </w:r>
      <w:r w:rsidR="000A7AAB" w:rsidRPr="002C4077">
        <w:t xml:space="preserve"> </w:t>
      </w:r>
      <w:r w:rsidR="000A7AAB">
        <w:t>signe</w:t>
      </w:r>
      <w:r w:rsidR="000A7AAB" w:rsidRPr="002C4077">
        <w:t xml:space="preserve"> </w:t>
      </w:r>
      <w:r w:rsidR="000A7AAB">
        <w:t>d’une</w:t>
      </w:r>
      <w:r w:rsidR="000A7AAB" w:rsidRPr="002C4077">
        <w:t xml:space="preserve"> </w:t>
      </w:r>
      <w:r w:rsidR="000A7AAB">
        <w:t>réalisation</w:t>
      </w:r>
      <w:r w:rsidR="000A7AAB" w:rsidRPr="002C4077">
        <w:t xml:space="preserve"> </w:t>
      </w:r>
      <w:r w:rsidR="000A7AAB">
        <w:t>prochaine.</w:t>
      </w:r>
      <w:r w:rsidR="000A7AAB" w:rsidRPr="002C4077">
        <w:t xml:space="preserve"> </w:t>
      </w:r>
    </w:p>
    <w:p w:rsidR="000A7AAB" w:rsidRDefault="000A7AAB" w:rsidP="000A7AAB">
      <w:r>
        <w:t>D’abord,</w:t>
      </w:r>
      <w:r w:rsidRPr="002C4077">
        <w:t xml:space="preserve"> </w:t>
      </w:r>
      <w:r>
        <w:t>l’ensemble</w:t>
      </w:r>
      <w:r w:rsidRPr="002C4077">
        <w:t xml:space="preserve"> </w:t>
      </w:r>
      <w:r>
        <w:t>du</w:t>
      </w:r>
      <w:r w:rsidRPr="002C4077">
        <w:t xml:space="preserve"> </w:t>
      </w:r>
      <w:r>
        <w:t>contexte</w:t>
      </w:r>
      <w:r w:rsidRPr="002C4077">
        <w:t xml:space="preserve"> </w:t>
      </w:r>
      <w:r>
        <w:t>ne</w:t>
      </w:r>
      <w:r w:rsidRPr="002C4077">
        <w:t xml:space="preserve"> </w:t>
      </w:r>
      <w:r>
        <w:t>laisse</w:t>
      </w:r>
      <w:r w:rsidRPr="002C4077">
        <w:t xml:space="preserve"> </w:t>
      </w:r>
      <w:r>
        <w:t>aucun</w:t>
      </w:r>
      <w:r w:rsidRPr="002C4077">
        <w:t xml:space="preserve"> </w:t>
      </w:r>
      <w:r>
        <w:t>doute</w:t>
      </w:r>
      <w:r w:rsidRPr="002C4077">
        <w:t xml:space="preserve"> </w:t>
      </w:r>
      <w:r>
        <w:t>là-dessus,</w:t>
      </w:r>
      <w:r w:rsidRPr="002C4077">
        <w:t xml:space="preserve"> </w:t>
      </w:r>
      <w:r>
        <w:t>si</w:t>
      </w:r>
      <w:r w:rsidRPr="002C4077">
        <w:t xml:space="preserve"> </w:t>
      </w:r>
      <w:r>
        <w:t>l’on</w:t>
      </w:r>
      <w:r w:rsidRPr="002C4077">
        <w:t xml:space="preserve"> </w:t>
      </w:r>
      <w:r>
        <w:t>consent</w:t>
      </w:r>
      <w:r w:rsidRPr="002C4077">
        <w:t xml:space="preserve"> </w:t>
      </w:r>
      <w:r>
        <w:t>à</w:t>
      </w:r>
      <w:r w:rsidRPr="002C4077">
        <w:t xml:space="preserve"> </w:t>
      </w:r>
      <w:r>
        <w:t>l’étudier</w:t>
      </w:r>
      <w:r w:rsidRPr="002C4077">
        <w:t xml:space="preserve"> </w:t>
      </w:r>
      <w:r>
        <w:t>sans</w:t>
      </w:r>
      <w:r w:rsidRPr="002C4077">
        <w:t xml:space="preserve"> </w:t>
      </w:r>
      <w:r>
        <w:t>parti</w:t>
      </w:r>
      <w:r w:rsidRPr="002C4077">
        <w:t xml:space="preserve"> </w:t>
      </w:r>
      <w:r>
        <w:t>pris</w:t>
      </w:r>
      <w:r w:rsidRPr="002C4077">
        <w:t xml:space="preserve"> </w:t>
      </w:r>
      <w:r>
        <w:t>et</w:t>
      </w:r>
      <w:r w:rsidRPr="002C4077">
        <w:t xml:space="preserve"> </w:t>
      </w:r>
      <w:r>
        <w:t>d’une</w:t>
      </w:r>
      <w:r w:rsidRPr="002C4077">
        <w:t xml:space="preserve"> </w:t>
      </w:r>
      <w:r>
        <w:t>manière</w:t>
      </w:r>
      <w:r w:rsidRPr="002C4077">
        <w:t xml:space="preserve"> </w:t>
      </w:r>
      <w:r>
        <w:t>attentive.</w:t>
      </w:r>
      <w:r w:rsidRPr="002C4077">
        <w:t xml:space="preserve"> </w:t>
      </w:r>
    </w:p>
    <w:p w:rsidR="000A7AAB" w:rsidRDefault="000A7AAB" w:rsidP="000A7AAB">
      <w:r>
        <w:t>Dans</w:t>
      </w:r>
      <w:r w:rsidRPr="002C4077">
        <w:t xml:space="preserve"> </w:t>
      </w:r>
      <w:r>
        <w:t>le</w:t>
      </w:r>
      <w:r w:rsidRPr="002C4077">
        <w:t xml:space="preserve"> </w:t>
      </w:r>
      <w:r>
        <w:t>chapitre</w:t>
      </w:r>
      <w:r w:rsidRPr="002C4077">
        <w:t xml:space="preserve"> </w:t>
      </w:r>
      <w:r>
        <w:t>vi,</w:t>
      </w:r>
      <w:r w:rsidRPr="002C4077">
        <w:t xml:space="preserve"> </w:t>
      </w:r>
      <w:r>
        <w:t>Isaïe</w:t>
      </w:r>
      <w:r w:rsidRPr="002C4077">
        <w:t xml:space="preserve"> </w:t>
      </w:r>
      <w:r>
        <w:t>a</w:t>
      </w:r>
      <w:r w:rsidRPr="002C4077">
        <w:t xml:space="preserve"> </w:t>
      </w:r>
      <w:r>
        <w:t>prédit</w:t>
      </w:r>
      <w:r w:rsidRPr="002C4077">
        <w:t xml:space="preserve"> </w:t>
      </w:r>
      <w:r>
        <w:t>pour</w:t>
      </w:r>
      <w:r w:rsidRPr="002C4077">
        <w:t xml:space="preserve"> </w:t>
      </w:r>
      <w:r>
        <w:t>Israël</w:t>
      </w:r>
      <w:r w:rsidRPr="002C4077">
        <w:t xml:space="preserve"> </w:t>
      </w:r>
      <w:r>
        <w:t>une</w:t>
      </w:r>
      <w:r w:rsidRPr="002C4077">
        <w:t xml:space="preserve"> </w:t>
      </w:r>
      <w:r>
        <w:t>longue</w:t>
      </w:r>
      <w:r w:rsidRPr="002C4077">
        <w:t xml:space="preserve"> </w:t>
      </w:r>
      <w:r>
        <w:t>période</w:t>
      </w:r>
      <w:r w:rsidRPr="002C4077">
        <w:t xml:space="preserve"> </w:t>
      </w:r>
      <w:r>
        <w:t>d’épreuves</w:t>
      </w:r>
      <w:r w:rsidRPr="004440EA">
        <w:t xml:space="preserve"> (</w:t>
      </w:r>
      <w:r>
        <w:t>versets</w:t>
      </w:r>
      <w:r w:rsidRPr="002C4077">
        <w:t xml:space="preserve"> </w:t>
      </w:r>
      <w:r>
        <w:t>9-13</w:t>
      </w:r>
      <w:r w:rsidR="00B546AF" w:rsidRPr="002C4077">
        <w:t>)</w:t>
      </w:r>
      <w:r w:rsidRPr="00950016">
        <w:t>,</w:t>
      </w:r>
      <w:r w:rsidRPr="002C4077">
        <w:t xml:space="preserve"> </w:t>
      </w:r>
      <w:r>
        <w:t>laquelle</w:t>
      </w:r>
      <w:r w:rsidRPr="002C4077">
        <w:t xml:space="preserve"> </w:t>
      </w:r>
      <w:r>
        <w:t>n’aboutira</w:t>
      </w:r>
      <w:r w:rsidRPr="002C4077">
        <w:t xml:space="preserve"> </w:t>
      </w:r>
      <w:r>
        <w:t>cependant</w:t>
      </w:r>
      <w:r w:rsidRPr="002C4077">
        <w:t xml:space="preserve"> </w:t>
      </w:r>
      <w:r>
        <w:t>qu’à</w:t>
      </w:r>
      <w:r w:rsidRPr="002C4077">
        <w:t xml:space="preserve"> </w:t>
      </w:r>
      <w:r>
        <w:t>préparer</w:t>
      </w:r>
      <w:r w:rsidRPr="002C4077">
        <w:t xml:space="preserve"> </w:t>
      </w:r>
      <w:r>
        <w:t>un</w:t>
      </w:r>
      <w:r w:rsidRPr="002C4077">
        <w:t xml:space="preserve"> </w:t>
      </w:r>
      <w:r w:rsidRPr="000A34B5">
        <w:rPr>
          <w:rStyle w:val="italicus"/>
        </w:rPr>
        <w:t>semen</w:t>
      </w:r>
      <w:r w:rsidRPr="002C4077">
        <w:t xml:space="preserve"> </w:t>
      </w:r>
      <w:r w:rsidRPr="000A34B5">
        <w:rPr>
          <w:rStyle w:val="italicus"/>
        </w:rPr>
        <w:t>sanctum,</w:t>
      </w:r>
      <w:r w:rsidRPr="002C4077">
        <w:t xml:space="preserve"> </w:t>
      </w:r>
      <w:r>
        <w:t>dont</w:t>
      </w:r>
      <w:r w:rsidRPr="002C4077">
        <w:t xml:space="preserve"> </w:t>
      </w:r>
      <w:r>
        <w:t>sortira</w:t>
      </w:r>
      <w:r w:rsidRPr="002C4077">
        <w:t xml:space="preserve"> </w:t>
      </w:r>
      <w:r>
        <w:t>le</w:t>
      </w:r>
      <w:r w:rsidRPr="002C4077">
        <w:t xml:space="preserve"> </w:t>
      </w:r>
      <w:r>
        <w:t>vrai</w:t>
      </w:r>
      <w:r w:rsidRPr="002C4077">
        <w:t xml:space="preserve"> </w:t>
      </w:r>
      <w:r>
        <w:t>peuple</w:t>
      </w:r>
      <w:r w:rsidRPr="002C4077">
        <w:t xml:space="preserve"> </w:t>
      </w:r>
      <w:r>
        <w:t>du</w:t>
      </w:r>
      <w:r w:rsidRPr="002C4077">
        <w:t xml:space="preserve"> </w:t>
      </w:r>
      <w:r>
        <w:t>Messie.</w:t>
      </w:r>
      <w:r w:rsidRPr="002C4077">
        <w:t xml:space="preserve"> </w:t>
      </w:r>
      <w:r>
        <w:t>Dans</w:t>
      </w:r>
      <w:r w:rsidRPr="002C4077">
        <w:t xml:space="preserve"> </w:t>
      </w:r>
      <w:r>
        <w:t>l’oracle</w:t>
      </w:r>
      <w:r w:rsidRPr="002C4077">
        <w:t xml:space="preserve"> </w:t>
      </w:r>
      <w:r>
        <w:t>même</w:t>
      </w:r>
      <w:r w:rsidRPr="002C4077">
        <w:t xml:space="preserve"> </w:t>
      </w:r>
      <w:r>
        <w:t>de</w:t>
      </w:r>
      <w:r w:rsidRPr="002C4077">
        <w:t xml:space="preserve"> </w:t>
      </w:r>
      <w:r w:rsidR="00D40830" w:rsidRPr="00D40830">
        <w:t>l’</w:t>
      </w:r>
      <w:r w:rsidR="00D40830" w:rsidRPr="00D05EA9">
        <w:rPr>
          <w:rStyle w:val="italicus"/>
        </w:rPr>
        <w:t>῾almah</w:t>
      </w:r>
      <w:r w:rsidRPr="002C4077">
        <w:t xml:space="preserve"> </w:t>
      </w:r>
      <w:r>
        <w:t>il</w:t>
      </w:r>
      <w:r w:rsidRPr="002C4077">
        <w:t xml:space="preserve"> </w:t>
      </w:r>
      <w:r>
        <w:t>emploie</w:t>
      </w:r>
      <w:r w:rsidRPr="002C4077">
        <w:t xml:space="preserve"> </w:t>
      </w:r>
      <w:r>
        <w:t>la</w:t>
      </w:r>
      <w:r w:rsidRPr="002C4077">
        <w:t xml:space="preserve"> </w:t>
      </w:r>
      <w:r>
        <w:t>particule</w:t>
      </w:r>
      <w:r w:rsidRPr="002C4077">
        <w:t xml:space="preserve"> </w:t>
      </w:r>
      <w:r w:rsidRPr="000A34B5">
        <w:rPr>
          <w:rStyle w:val="italicus"/>
        </w:rPr>
        <w:t>ecce,</w:t>
      </w:r>
      <w:r w:rsidRPr="002C4077">
        <w:t xml:space="preserve"> </w:t>
      </w:r>
      <w:r>
        <w:t>qui</w:t>
      </w:r>
      <w:r w:rsidRPr="002C4077">
        <w:t xml:space="preserve"> </w:t>
      </w:r>
      <w:r>
        <w:t>lui</w:t>
      </w:r>
      <w:r w:rsidRPr="002C4077">
        <w:t xml:space="preserve"> </w:t>
      </w:r>
      <w:r>
        <w:t>sert</w:t>
      </w:r>
      <w:r w:rsidRPr="002C4077">
        <w:t xml:space="preserve"> </w:t>
      </w:r>
      <w:r>
        <w:t>ordinairement,</w:t>
      </w:r>
      <w:r w:rsidRPr="002C4077">
        <w:t xml:space="preserve"> </w:t>
      </w:r>
      <w:r>
        <w:t>au</w:t>
      </w:r>
      <w:r w:rsidRPr="002C4077">
        <w:t xml:space="preserve"> </w:t>
      </w:r>
      <w:r>
        <w:t>dire</w:t>
      </w:r>
      <w:r w:rsidRPr="002C4077">
        <w:t xml:space="preserve"> </w:t>
      </w:r>
      <w:r>
        <w:t>des</w:t>
      </w:r>
      <w:r w:rsidRPr="002C4077">
        <w:t xml:space="preserve"> </w:t>
      </w:r>
      <w:r>
        <w:t>meilleurs</w:t>
      </w:r>
      <w:r w:rsidRPr="002C4077">
        <w:t xml:space="preserve"> </w:t>
      </w:r>
      <w:r>
        <w:t>interprètes</w:t>
      </w:r>
      <w:r w:rsidR="006B5CEF">
        <w:rPr>
          <w:rStyle w:val="Appelnotedebasdep"/>
        </w:rPr>
        <w:footnoteReference w:id="304"/>
      </w:r>
      <w:r w:rsidR="006B5CEF">
        <w:t>,</w:t>
      </w:r>
      <w:r w:rsidRPr="002C4077">
        <w:t xml:space="preserve"> </w:t>
      </w:r>
      <w:r>
        <w:t>pour</w:t>
      </w:r>
      <w:r w:rsidRPr="002C4077">
        <w:t xml:space="preserve"> </w:t>
      </w:r>
      <w:r>
        <w:t>indiquer</w:t>
      </w:r>
      <w:r w:rsidRPr="007B0987">
        <w:t xml:space="preserve"> l’avenir. Cf. III, 1</w:t>
      </w:r>
      <w:r w:rsidR="00B546AF" w:rsidRPr="007B0987">
        <w:t> ;</w:t>
      </w:r>
      <w:r w:rsidRPr="007B0987">
        <w:t xml:space="preserve"> V, 26</w:t>
      </w:r>
      <w:r w:rsidR="00B546AF" w:rsidRPr="007B0987">
        <w:t> ;</w:t>
      </w:r>
      <w:r w:rsidRPr="007B0987">
        <w:t xml:space="preserve"> VIII, 7</w:t>
      </w:r>
      <w:r w:rsidR="00B546AF" w:rsidRPr="007B0987">
        <w:t> ;</w:t>
      </w:r>
      <w:r w:rsidRPr="007B0987">
        <w:t xml:space="preserve"> X, 33</w:t>
      </w:r>
      <w:r w:rsidR="00B546AF" w:rsidRPr="007B0987">
        <w:t> ;</w:t>
      </w:r>
      <w:r w:rsidRPr="007B0987">
        <w:t xml:space="preserve"> XIII, 9,17</w:t>
      </w:r>
      <w:r w:rsidR="00B546AF" w:rsidRPr="007B0987">
        <w:t> ;</w:t>
      </w:r>
      <w:r w:rsidRPr="007B0987">
        <w:t xml:space="preserve"> XVII, 1</w:t>
      </w:r>
      <w:r w:rsidR="00B546AF" w:rsidRPr="007B0987">
        <w:t> ;</w:t>
      </w:r>
      <w:r w:rsidRPr="007B0987">
        <w:t xml:space="preserve"> XIX, 1</w:t>
      </w:r>
      <w:r w:rsidR="00B546AF" w:rsidRPr="007B0987">
        <w:t> ;</w:t>
      </w:r>
      <w:r w:rsidRPr="007B0987">
        <w:t xml:space="preserve"> XXII, 17</w:t>
      </w:r>
      <w:r w:rsidR="00B546AF" w:rsidRPr="007B0987">
        <w:t> ;</w:t>
      </w:r>
      <w:r w:rsidRPr="007B0987">
        <w:t xml:space="preserve"> XXIV, 1</w:t>
      </w:r>
      <w:r w:rsidR="00B546AF" w:rsidRPr="007B0987">
        <w:t> ;</w:t>
      </w:r>
      <w:r w:rsidRPr="007B0987">
        <w:t xml:space="preserve"> XXVI, 21</w:t>
      </w:r>
      <w:r w:rsidR="00B546AF" w:rsidRPr="007B0987">
        <w:t> ;</w:t>
      </w:r>
      <w:r w:rsidRPr="007B0987">
        <w:t xml:space="preserve"> XXVIII, 16</w:t>
      </w:r>
      <w:r w:rsidR="00B546AF" w:rsidRPr="007B0987">
        <w:t> ;</w:t>
      </w:r>
      <w:r w:rsidRPr="007B0987">
        <w:t xml:space="preserve"> XXX, 27</w:t>
      </w:r>
      <w:r w:rsidR="00B546AF" w:rsidRPr="007B0987">
        <w:t> ;</w:t>
      </w:r>
      <w:r w:rsidRPr="007B0987">
        <w:t xml:space="preserve"> </w:t>
      </w:r>
      <w:r w:rsidR="00425C50" w:rsidRPr="007B0987">
        <w:t>etc</w:t>
      </w:r>
      <w:r w:rsidRPr="007B0987">
        <w:t xml:space="preserve">., </w:t>
      </w:r>
      <w:r w:rsidR="00425C50" w:rsidRPr="007B0987">
        <w:t>etc</w:t>
      </w:r>
      <w:r w:rsidRPr="007B0987">
        <w:t>.</w:t>
      </w:r>
      <w:r w:rsidR="00C45B47">
        <w:t xml:space="preserve"> {</w:t>
      </w:r>
      <w:r w:rsidR="000721C4">
        <w:t>97</w:t>
      </w:r>
      <w:bookmarkStart w:id="284" w:name="p097"/>
      <w:bookmarkEnd w:id="284"/>
      <w:r w:rsidR="000721C4">
        <w:t xml:space="preserve">} </w:t>
      </w:r>
      <w:r w:rsidRPr="007B0987">
        <w:t>Quand il affirme que le</w:t>
      </w:r>
      <w:r w:rsidRPr="002C4077">
        <w:t xml:space="preserve"> </w:t>
      </w:r>
      <w:r>
        <w:t>pays</w:t>
      </w:r>
      <w:r w:rsidRPr="002C4077">
        <w:t xml:space="preserve"> </w:t>
      </w:r>
      <w:r>
        <w:t>sera</w:t>
      </w:r>
      <w:r w:rsidRPr="002C4077">
        <w:t xml:space="preserve"> </w:t>
      </w:r>
      <w:r>
        <w:t>bientôt</w:t>
      </w:r>
      <w:r w:rsidRPr="002C4077">
        <w:t xml:space="preserve"> </w:t>
      </w:r>
      <w:r>
        <w:t>ruiné</w:t>
      </w:r>
      <w:r w:rsidRPr="002C4077">
        <w:t xml:space="preserve"> </w:t>
      </w:r>
      <w:r>
        <w:t>par</w:t>
      </w:r>
      <w:r w:rsidRPr="002C4077">
        <w:t xml:space="preserve"> </w:t>
      </w:r>
      <w:r>
        <w:t>les</w:t>
      </w:r>
      <w:r w:rsidRPr="002C4077">
        <w:t xml:space="preserve"> </w:t>
      </w:r>
      <w:r>
        <w:t>Assyriens</w:t>
      </w:r>
      <w:r w:rsidRPr="002C4077">
        <w:t xml:space="preserve"> </w:t>
      </w:r>
      <w:r>
        <w:t>et</w:t>
      </w:r>
      <w:r w:rsidRPr="002C4077">
        <w:t xml:space="preserve"> </w:t>
      </w:r>
      <w:r>
        <w:t>les</w:t>
      </w:r>
      <w:r w:rsidRPr="002C4077">
        <w:t xml:space="preserve"> </w:t>
      </w:r>
      <w:r>
        <w:t>Égyptiens,</w:t>
      </w:r>
      <w:r w:rsidRPr="002C4077">
        <w:t xml:space="preserve"> </w:t>
      </w:r>
      <w:r>
        <w:t>et</w:t>
      </w:r>
      <w:r w:rsidRPr="002C4077">
        <w:t xml:space="preserve"> </w:t>
      </w:r>
      <w:r>
        <w:t>quand</w:t>
      </w:r>
      <w:r w:rsidRPr="002C4077">
        <w:t xml:space="preserve"> </w:t>
      </w:r>
      <w:r>
        <w:t>il</w:t>
      </w:r>
      <w:r w:rsidRPr="002C4077">
        <w:t xml:space="preserve"> </w:t>
      </w:r>
      <w:r>
        <w:t>décrit</w:t>
      </w:r>
      <w:r w:rsidRPr="002C4077">
        <w:t xml:space="preserve"> </w:t>
      </w:r>
      <w:r>
        <w:t>leurs</w:t>
      </w:r>
      <w:r w:rsidRPr="002C4077">
        <w:t xml:space="preserve"> </w:t>
      </w:r>
      <w:r>
        <w:t>affreux</w:t>
      </w:r>
      <w:r w:rsidRPr="002C4077">
        <w:t xml:space="preserve"> </w:t>
      </w:r>
      <w:r>
        <w:t>ravages,</w:t>
      </w:r>
      <w:r w:rsidRPr="002C4077">
        <w:t xml:space="preserve"> </w:t>
      </w:r>
      <w:r>
        <w:t>il</w:t>
      </w:r>
      <w:r w:rsidRPr="002C4077">
        <w:t xml:space="preserve"> </w:t>
      </w:r>
      <w:r>
        <w:t>cesse</w:t>
      </w:r>
      <w:r w:rsidRPr="002C4077">
        <w:t xml:space="preserve"> </w:t>
      </w:r>
      <w:r>
        <w:t>de</w:t>
      </w:r>
      <w:r w:rsidRPr="002C4077">
        <w:t xml:space="preserve"> </w:t>
      </w:r>
      <w:r>
        <w:t>mentionner</w:t>
      </w:r>
      <w:r w:rsidRPr="002C4077">
        <w:t xml:space="preserve"> </w:t>
      </w:r>
      <w:r>
        <w:t>Emmanuel.</w:t>
      </w:r>
      <w:r w:rsidRPr="002C4077">
        <w:t xml:space="preserve"> </w:t>
      </w:r>
      <w:r>
        <w:t>Il</w:t>
      </w:r>
      <w:r w:rsidRPr="002C4077">
        <w:t xml:space="preserve"> </w:t>
      </w:r>
      <w:r>
        <w:t>croit</w:t>
      </w:r>
      <w:r w:rsidRPr="002C4077">
        <w:t xml:space="preserve"> </w:t>
      </w:r>
      <w:r>
        <w:t>si</w:t>
      </w:r>
      <w:r w:rsidRPr="002C4077">
        <w:t xml:space="preserve"> </w:t>
      </w:r>
      <w:r>
        <w:t>bien</w:t>
      </w:r>
      <w:r w:rsidRPr="002C4077">
        <w:t xml:space="preserve"> </w:t>
      </w:r>
      <w:r>
        <w:t>le</w:t>
      </w:r>
      <w:r w:rsidRPr="002C4077">
        <w:t xml:space="preserve"> </w:t>
      </w:r>
      <w:r>
        <w:t>présent</w:t>
      </w:r>
      <w:r w:rsidRPr="002C4077">
        <w:t xml:space="preserve"> </w:t>
      </w:r>
      <w:r>
        <w:t>perdu</w:t>
      </w:r>
      <w:r w:rsidRPr="002C4077">
        <w:t xml:space="preserve"> </w:t>
      </w:r>
      <w:r>
        <w:t>sans</w:t>
      </w:r>
      <w:r w:rsidRPr="002C4077">
        <w:t xml:space="preserve"> </w:t>
      </w:r>
      <w:r>
        <w:t>ressource,</w:t>
      </w:r>
      <w:r w:rsidRPr="002C4077">
        <w:t xml:space="preserve"> </w:t>
      </w:r>
      <w:r>
        <w:t>qu’il</w:t>
      </w:r>
      <w:r w:rsidRPr="002C4077">
        <w:t xml:space="preserve"> </w:t>
      </w:r>
      <w:r>
        <w:t>ne</w:t>
      </w:r>
      <w:r w:rsidRPr="002C4077">
        <w:t xml:space="preserve"> </w:t>
      </w:r>
      <w:r>
        <w:t>peut</w:t>
      </w:r>
      <w:r w:rsidRPr="002C4077">
        <w:t xml:space="preserve"> </w:t>
      </w:r>
      <w:r>
        <w:t>retenir</w:t>
      </w:r>
      <w:r w:rsidRPr="002C4077">
        <w:t xml:space="preserve"> </w:t>
      </w:r>
      <w:r>
        <w:t>au</w:t>
      </w:r>
      <w:r w:rsidRPr="002C4077">
        <w:t xml:space="preserve"> </w:t>
      </w:r>
      <w:r>
        <w:t>chapitre</w:t>
      </w:r>
      <w:r w:rsidRPr="002C4077">
        <w:t xml:space="preserve"> </w:t>
      </w:r>
      <w:r>
        <w:t>VIII</w:t>
      </w:r>
      <w:r w:rsidRPr="004440EA">
        <w:t xml:space="preserve"> (</w:t>
      </w:r>
      <w:r>
        <w:t>verset</w:t>
      </w:r>
      <w:r w:rsidRPr="002C4077">
        <w:t xml:space="preserve"> </w:t>
      </w:r>
      <w:r>
        <w:t>17</w:t>
      </w:r>
      <w:r w:rsidR="00B546AF" w:rsidRPr="002C4077">
        <w:t>)</w:t>
      </w:r>
      <w:r w:rsidRPr="002C4077">
        <w:t xml:space="preserve"> </w:t>
      </w:r>
      <w:r>
        <w:t>ce</w:t>
      </w:r>
      <w:r w:rsidRPr="002C4077">
        <w:t xml:space="preserve"> </w:t>
      </w:r>
      <w:r>
        <w:t>cri</w:t>
      </w:r>
      <w:r w:rsidRPr="002C4077">
        <w:t xml:space="preserve"> </w:t>
      </w:r>
      <w:r>
        <w:t>de</w:t>
      </w:r>
      <w:r w:rsidRPr="002C4077">
        <w:t xml:space="preserve"> </w:t>
      </w:r>
      <w:r>
        <w:t>douleur</w:t>
      </w:r>
      <w:r w:rsidR="00B546AF">
        <w:t> :</w:t>
      </w:r>
      <w:r w:rsidRPr="002C4077">
        <w:t xml:space="preserve"> </w:t>
      </w:r>
      <w:r w:rsidR="00B546AF">
        <w:t>« </w:t>
      </w:r>
      <w:r>
        <w:t>Je</w:t>
      </w:r>
      <w:r w:rsidRPr="002C4077">
        <w:t xml:space="preserve"> </w:t>
      </w:r>
      <w:r>
        <w:t>m’attends</w:t>
      </w:r>
      <w:r w:rsidRPr="002C4077">
        <w:t xml:space="preserve"> </w:t>
      </w:r>
      <w:r>
        <w:t>donc</w:t>
      </w:r>
      <w:r w:rsidRPr="002C4077">
        <w:t xml:space="preserve"> </w:t>
      </w:r>
      <w:r>
        <w:t>au</w:t>
      </w:r>
      <w:r w:rsidRPr="002C4077">
        <w:t xml:space="preserve"> </w:t>
      </w:r>
      <w:r>
        <w:t>Seigneur,</w:t>
      </w:r>
      <w:r w:rsidRPr="002C4077">
        <w:t xml:space="preserve"> </w:t>
      </w:r>
      <w:r>
        <w:t>qui</w:t>
      </w:r>
      <w:r w:rsidRPr="002C4077">
        <w:t xml:space="preserve"> </w:t>
      </w:r>
      <w:r>
        <w:t>cache</w:t>
      </w:r>
      <w:r w:rsidRPr="002C4077">
        <w:t xml:space="preserve"> </w:t>
      </w:r>
      <w:r>
        <w:t>sa</w:t>
      </w:r>
      <w:r w:rsidRPr="002C4077">
        <w:t xml:space="preserve"> </w:t>
      </w:r>
      <w:r>
        <w:t>face</w:t>
      </w:r>
      <w:r w:rsidRPr="002C4077">
        <w:t xml:space="preserve"> </w:t>
      </w:r>
      <w:r>
        <w:t>à</w:t>
      </w:r>
      <w:r w:rsidRPr="002C4077">
        <w:t xml:space="preserve"> </w:t>
      </w:r>
      <w:r>
        <w:t>la</w:t>
      </w:r>
      <w:r w:rsidRPr="002C4077">
        <w:t xml:space="preserve"> </w:t>
      </w:r>
      <w:r>
        <w:t>maison</w:t>
      </w:r>
      <w:r w:rsidRPr="002C4077">
        <w:t xml:space="preserve"> </w:t>
      </w:r>
      <w:r>
        <w:t>de</w:t>
      </w:r>
      <w:r w:rsidRPr="002C4077">
        <w:t xml:space="preserve"> </w:t>
      </w:r>
      <w:r>
        <w:t>Jacob,</w:t>
      </w:r>
      <w:r w:rsidRPr="002C4077">
        <w:t xml:space="preserve"> </w:t>
      </w:r>
      <w:r>
        <w:t>et</w:t>
      </w:r>
      <w:r w:rsidRPr="002C4077">
        <w:t xml:space="preserve"> </w:t>
      </w:r>
      <w:r>
        <w:t>j’espère</w:t>
      </w:r>
      <w:r w:rsidRPr="002C4077">
        <w:t xml:space="preserve"> </w:t>
      </w:r>
      <w:r>
        <w:t>en</w:t>
      </w:r>
      <w:r w:rsidRPr="002C4077">
        <w:t xml:space="preserve"> </w:t>
      </w:r>
      <w:r>
        <w:t>lui.</w:t>
      </w:r>
      <w:r w:rsidR="00B546AF">
        <w:t> »</w:t>
      </w:r>
      <w:r w:rsidRPr="002C4077">
        <w:t xml:space="preserve"> </w:t>
      </w:r>
      <w:r>
        <w:t>Voyez,</w:t>
      </w:r>
      <w:r w:rsidRPr="002C4077">
        <w:t xml:space="preserve"> </w:t>
      </w:r>
      <w:r>
        <w:t>un</w:t>
      </w:r>
      <w:r w:rsidRPr="002C4077">
        <w:t xml:space="preserve"> </w:t>
      </w:r>
      <w:r>
        <w:t>peu</w:t>
      </w:r>
      <w:r w:rsidRPr="002C4077">
        <w:t xml:space="preserve"> </w:t>
      </w:r>
      <w:r>
        <w:t>plus</w:t>
      </w:r>
      <w:r w:rsidRPr="002C4077">
        <w:t xml:space="preserve"> </w:t>
      </w:r>
      <w:r>
        <w:t>loin,</w:t>
      </w:r>
      <w:r w:rsidRPr="002C4077">
        <w:t xml:space="preserve"> </w:t>
      </w:r>
      <w:r>
        <w:t>au</w:t>
      </w:r>
      <w:r w:rsidRPr="002C4077">
        <w:t xml:space="preserve"> </w:t>
      </w:r>
      <w:r>
        <w:t>début</w:t>
      </w:r>
      <w:r w:rsidRPr="002C4077">
        <w:t xml:space="preserve"> </w:t>
      </w:r>
      <w:r>
        <w:t>du</w:t>
      </w:r>
      <w:r w:rsidRPr="002C4077">
        <w:t xml:space="preserve"> </w:t>
      </w:r>
      <w:r>
        <w:t>chapitre</w:t>
      </w:r>
      <w:r w:rsidRPr="002C4077">
        <w:t xml:space="preserve"> </w:t>
      </w:r>
      <w:r w:rsidR="007B3C26">
        <w:t>IX</w:t>
      </w:r>
      <w:r w:rsidR="007B3C26" w:rsidRPr="007B3C26">
        <w:rPr>
          <w:vertAlign w:val="superscript"/>
        </w:rPr>
        <w:t>e</w:t>
      </w:r>
      <w:r>
        <w:t>,</w:t>
      </w:r>
      <w:r w:rsidRPr="002C4077">
        <w:t xml:space="preserve"> </w:t>
      </w:r>
      <w:r>
        <w:t>avec</w:t>
      </w:r>
      <w:r w:rsidRPr="002C4077">
        <w:t xml:space="preserve"> </w:t>
      </w:r>
      <w:r>
        <w:t>quelle</w:t>
      </w:r>
      <w:r w:rsidRPr="002C4077">
        <w:t xml:space="preserve"> </w:t>
      </w:r>
      <w:r>
        <w:t>précision</w:t>
      </w:r>
      <w:r w:rsidRPr="002C4077">
        <w:t xml:space="preserve"> </w:t>
      </w:r>
      <w:r>
        <w:t>il</w:t>
      </w:r>
      <w:r w:rsidRPr="002C4077">
        <w:t xml:space="preserve"> </w:t>
      </w:r>
      <w:r>
        <w:t>distingue</w:t>
      </w:r>
      <w:r w:rsidRPr="002C4077">
        <w:t xml:space="preserve"> </w:t>
      </w:r>
      <w:r>
        <w:t>le</w:t>
      </w:r>
      <w:r w:rsidRPr="002C4077">
        <w:t xml:space="preserve"> </w:t>
      </w:r>
      <w:r w:rsidRPr="000A34B5">
        <w:rPr>
          <w:rStyle w:val="italicus"/>
        </w:rPr>
        <w:t>primum</w:t>
      </w:r>
      <w:r w:rsidRPr="002C4077">
        <w:t xml:space="preserve"> </w:t>
      </w:r>
      <w:r w:rsidRPr="000A34B5">
        <w:rPr>
          <w:rStyle w:val="italicus"/>
        </w:rPr>
        <w:t>tempus,</w:t>
      </w:r>
      <w:r w:rsidRPr="002C4077">
        <w:t xml:space="preserve"> </w:t>
      </w:r>
      <w:r>
        <w:t>ou</w:t>
      </w:r>
      <w:r w:rsidRPr="002C4077">
        <w:t xml:space="preserve"> </w:t>
      </w:r>
      <w:r>
        <w:t>le</w:t>
      </w:r>
      <w:r w:rsidRPr="002C4077">
        <w:t xml:space="preserve"> </w:t>
      </w:r>
      <w:r>
        <w:t>présent,</w:t>
      </w:r>
      <w:r w:rsidRPr="002C4077">
        <w:t xml:space="preserve"> </w:t>
      </w:r>
      <w:r>
        <w:t>du</w:t>
      </w:r>
      <w:r w:rsidRPr="002C4077">
        <w:t xml:space="preserve"> </w:t>
      </w:r>
      <w:r w:rsidRPr="000A34B5">
        <w:rPr>
          <w:rStyle w:val="italicus"/>
        </w:rPr>
        <w:t>nov</w:t>
      </w:r>
      <w:r w:rsidR="003B53FD">
        <w:rPr>
          <w:rStyle w:val="italicus"/>
        </w:rPr>
        <w:t>í</w:t>
      </w:r>
      <w:r w:rsidR="003B53FD" w:rsidRPr="000A34B5">
        <w:rPr>
          <w:rStyle w:val="italicus"/>
        </w:rPr>
        <w:t>ssimum</w:t>
      </w:r>
      <w:r w:rsidRPr="000A34B5">
        <w:rPr>
          <w:rStyle w:val="italicus"/>
        </w:rPr>
        <w:t>,</w:t>
      </w:r>
      <w:r w:rsidRPr="002C4077">
        <w:t xml:space="preserve"> </w:t>
      </w:r>
      <w:r>
        <w:t>ou</w:t>
      </w:r>
      <w:r w:rsidRPr="002C4077">
        <w:t xml:space="preserve"> </w:t>
      </w:r>
      <w:r>
        <w:t>de</w:t>
      </w:r>
      <w:r w:rsidRPr="002C4077">
        <w:t xml:space="preserve"> </w:t>
      </w:r>
      <w:r>
        <w:t>l’avenir</w:t>
      </w:r>
      <w:r w:rsidRPr="002C4077">
        <w:t xml:space="preserve"> </w:t>
      </w:r>
      <w:r>
        <w:t>messianique.</w:t>
      </w:r>
      <w:r w:rsidRPr="002C4077">
        <w:t xml:space="preserve"> </w:t>
      </w:r>
      <w:r>
        <w:t>Ne</w:t>
      </w:r>
      <w:r w:rsidRPr="002C4077">
        <w:t xml:space="preserve"> </w:t>
      </w:r>
      <w:r>
        <w:t>suppose-t-il</w:t>
      </w:r>
      <w:r w:rsidRPr="002C4077">
        <w:t xml:space="preserve"> </w:t>
      </w:r>
      <w:r>
        <w:t>pas,</w:t>
      </w:r>
      <w:r w:rsidRPr="002C4077">
        <w:t xml:space="preserve"> </w:t>
      </w:r>
      <w:r>
        <w:t>au</w:t>
      </w:r>
      <w:r w:rsidRPr="002C4077">
        <w:t xml:space="preserve"> </w:t>
      </w:r>
      <w:r>
        <w:t>chapitre</w:t>
      </w:r>
      <w:r w:rsidRPr="002C4077">
        <w:t xml:space="preserve"> </w:t>
      </w:r>
      <w:r w:rsidR="007B3C26">
        <w:t>XI</w:t>
      </w:r>
      <w:r w:rsidR="007B3C26" w:rsidRPr="007B3C26">
        <w:rPr>
          <w:vertAlign w:val="superscript"/>
        </w:rPr>
        <w:t>e</w:t>
      </w:r>
      <w:r>
        <w:t>,</w:t>
      </w:r>
      <w:r w:rsidRPr="002C4077">
        <w:t xml:space="preserve"> </w:t>
      </w:r>
      <w:r>
        <w:t>que</w:t>
      </w:r>
      <w:r w:rsidRPr="002C4077">
        <w:t xml:space="preserve"> </w:t>
      </w:r>
      <w:r>
        <w:t>la</w:t>
      </w:r>
      <w:r w:rsidRPr="002C4077">
        <w:t xml:space="preserve"> </w:t>
      </w:r>
      <w:r>
        <w:t>famille</w:t>
      </w:r>
      <w:r w:rsidRPr="002C4077">
        <w:t xml:space="preserve"> </w:t>
      </w:r>
      <w:r>
        <w:t>royale</w:t>
      </w:r>
      <w:r w:rsidRPr="002C4077">
        <w:t xml:space="preserve"> </w:t>
      </w:r>
      <w:r>
        <w:t>sera</w:t>
      </w:r>
      <w:r w:rsidRPr="002C4077">
        <w:t xml:space="preserve"> </w:t>
      </w:r>
      <w:r>
        <w:t>réduite</w:t>
      </w:r>
      <w:r w:rsidRPr="002C4077">
        <w:t xml:space="preserve"> </w:t>
      </w:r>
      <w:r>
        <w:t>aux</w:t>
      </w:r>
      <w:r w:rsidRPr="002C4077">
        <w:t xml:space="preserve"> </w:t>
      </w:r>
      <w:r>
        <w:t>conditions</w:t>
      </w:r>
      <w:r w:rsidRPr="002C4077">
        <w:t xml:space="preserve"> </w:t>
      </w:r>
      <w:r>
        <w:t>les</w:t>
      </w:r>
      <w:r w:rsidRPr="002C4077">
        <w:t xml:space="preserve"> </w:t>
      </w:r>
      <w:r>
        <w:t>plus</w:t>
      </w:r>
      <w:r w:rsidRPr="002C4077">
        <w:t xml:space="preserve"> </w:t>
      </w:r>
      <w:r>
        <w:t>humbles,</w:t>
      </w:r>
      <w:r w:rsidRPr="002C4077">
        <w:t xml:space="preserve"> </w:t>
      </w:r>
      <w:r>
        <w:t>lorsque</w:t>
      </w:r>
      <w:r w:rsidRPr="002C4077">
        <w:t xml:space="preserve"> </w:t>
      </w:r>
      <w:r>
        <w:t>le</w:t>
      </w:r>
      <w:r w:rsidRPr="002C4077">
        <w:t xml:space="preserve"> </w:t>
      </w:r>
      <w:r w:rsidR="00425C50">
        <w:t>Christ</w:t>
      </w:r>
      <w:r w:rsidRPr="002C4077">
        <w:t xml:space="preserve"> </w:t>
      </w:r>
      <w:r>
        <w:t>fera</w:t>
      </w:r>
      <w:r w:rsidRPr="002C4077">
        <w:t xml:space="preserve"> </w:t>
      </w:r>
      <w:r>
        <w:t>son</w:t>
      </w:r>
      <w:r w:rsidRPr="002C4077">
        <w:t xml:space="preserve"> </w:t>
      </w:r>
      <w:r>
        <w:t>apparition</w:t>
      </w:r>
      <w:r w:rsidR="00B546AF">
        <w:t> ?</w:t>
      </w:r>
      <w:r w:rsidRPr="002C4077">
        <w:t xml:space="preserve"> </w:t>
      </w:r>
      <w:r>
        <w:t>Bref,</w:t>
      </w:r>
      <w:r w:rsidRPr="002C4077">
        <w:t xml:space="preserve"> </w:t>
      </w:r>
      <w:r w:rsidR="00B546AF">
        <w:t>« </w:t>
      </w:r>
      <w:r>
        <w:t>la</w:t>
      </w:r>
      <w:r w:rsidRPr="002C4077">
        <w:t xml:space="preserve"> </w:t>
      </w:r>
      <w:r>
        <w:t>grande</w:t>
      </w:r>
      <w:r w:rsidRPr="002C4077">
        <w:t xml:space="preserve"> </w:t>
      </w:r>
      <w:r>
        <w:t>dévastation</w:t>
      </w:r>
      <w:r w:rsidRPr="002C4077">
        <w:t xml:space="preserve"> </w:t>
      </w:r>
      <w:r>
        <w:t>qu’Isaïe</w:t>
      </w:r>
      <w:r w:rsidRPr="002C4077">
        <w:t xml:space="preserve"> </w:t>
      </w:r>
      <w:r>
        <w:t>prédit</w:t>
      </w:r>
      <w:r w:rsidRPr="002C4077">
        <w:t xml:space="preserve"> </w:t>
      </w:r>
      <w:r>
        <w:t>ici,</w:t>
      </w:r>
      <w:r w:rsidRPr="002C4077">
        <w:t xml:space="preserve"> </w:t>
      </w:r>
      <w:r>
        <w:t>il</w:t>
      </w:r>
      <w:r w:rsidRPr="002C4077">
        <w:t xml:space="preserve"> </w:t>
      </w:r>
      <w:r>
        <w:t>la</w:t>
      </w:r>
      <w:r w:rsidRPr="002C4077">
        <w:t xml:space="preserve"> </w:t>
      </w:r>
      <w:r>
        <w:t>prédit</w:t>
      </w:r>
      <w:r w:rsidRPr="002C4077">
        <w:t xml:space="preserve"> </w:t>
      </w:r>
      <w:r>
        <w:t>seulement</w:t>
      </w:r>
      <w:r w:rsidRPr="002C4077">
        <w:t xml:space="preserve"> </w:t>
      </w:r>
      <w:r>
        <w:t>comme</w:t>
      </w:r>
      <w:r w:rsidRPr="002C4077">
        <w:t xml:space="preserve"> </w:t>
      </w:r>
      <w:r>
        <w:t>la</w:t>
      </w:r>
      <w:r w:rsidRPr="002C4077">
        <w:t xml:space="preserve"> </w:t>
      </w:r>
      <w:r>
        <w:t>première</w:t>
      </w:r>
      <w:r w:rsidRPr="002C4077">
        <w:t xml:space="preserve"> </w:t>
      </w:r>
      <w:r>
        <w:t>de</w:t>
      </w:r>
      <w:r w:rsidRPr="002C4077">
        <w:t xml:space="preserve"> </w:t>
      </w:r>
      <w:r>
        <w:t>celles</w:t>
      </w:r>
      <w:r w:rsidRPr="002C4077">
        <w:t xml:space="preserve"> </w:t>
      </w:r>
      <w:r>
        <w:t>qui</w:t>
      </w:r>
      <w:r w:rsidRPr="002C4077">
        <w:t xml:space="preserve"> </w:t>
      </w:r>
      <w:r>
        <w:t>doivent</w:t>
      </w:r>
      <w:r w:rsidRPr="002C4077">
        <w:t xml:space="preserve"> </w:t>
      </w:r>
      <w:r>
        <w:t>avoir</w:t>
      </w:r>
      <w:r w:rsidRPr="002C4077">
        <w:t xml:space="preserve"> </w:t>
      </w:r>
      <w:r>
        <w:t>lieu</w:t>
      </w:r>
      <w:r w:rsidRPr="002C4077">
        <w:t xml:space="preserve"> </w:t>
      </w:r>
      <w:r>
        <w:t>avant</w:t>
      </w:r>
      <w:r w:rsidRPr="002C4077">
        <w:t xml:space="preserve"> </w:t>
      </w:r>
      <w:r>
        <w:t>la</w:t>
      </w:r>
      <w:r w:rsidRPr="002C4077">
        <w:t xml:space="preserve"> </w:t>
      </w:r>
      <w:r>
        <w:t>rédemption</w:t>
      </w:r>
      <w:r w:rsidRPr="002C4077">
        <w:t xml:space="preserve"> </w:t>
      </w:r>
      <w:r>
        <w:t>par</w:t>
      </w:r>
      <w:r w:rsidRPr="002C4077">
        <w:t xml:space="preserve"> </w:t>
      </w:r>
      <w:r>
        <w:t>le</w:t>
      </w:r>
      <w:r w:rsidRPr="002C4077">
        <w:t xml:space="preserve"> </w:t>
      </w:r>
      <w:r>
        <w:t>Messie,</w:t>
      </w:r>
      <w:r w:rsidRPr="002C4077">
        <w:t xml:space="preserve"> </w:t>
      </w:r>
      <w:r>
        <w:t>et</w:t>
      </w:r>
      <w:r w:rsidRPr="002C4077">
        <w:t xml:space="preserve"> </w:t>
      </w:r>
      <w:r>
        <w:t>non</w:t>
      </w:r>
      <w:r w:rsidRPr="002C4077">
        <w:t xml:space="preserve"> </w:t>
      </w:r>
      <w:r>
        <w:t>comme</w:t>
      </w:r>
      <w:r w:rsidRPr="002C4077">
        <w:t xml:space="preserve"> </w:t>
      </w:r>
      <w:r>
        <w:t>la</w:t>
      </w:r>
      <w:r w:rsidRPr="002C4077">
        <w:t xml:space="preserve"> </w:t>
      </w:r>
      <w:r>
        <w:t>dernière…</w:t>
      </w:r>
      <w:r w:rsidRPr="002C4077">
        <w:t xml:space="preserve"> </w:t>
      </w:r>
      <w:r>
        <w:t>Emmanuel</w:t>
      </w:r>
      <w:r w:rsidRPr="002C4077">
        <w:t xml:space="preserve"> </w:t>
      </w:r>
      <w:r>
        <w:t>survivra</w:t>
      </w:r>
      <w:r w:rsidRPr="002C4077">
        <w:t xml:space="preserve"> </w:t>
      </w:r>
      <w:r>
        <w:t>et</w:t>
      </w:r>
      <w:r w:rsidRPr="002C4077">
        <w:t xml:space="preserve"> </w:t>
      </w:r>
      <w:r>
        <w:t>aux</w:t>
      </w:r>
      <w:r w:rsidRPr="002C4077">
        <w:t xml:space="preserve"> </w:t>
      </w:r>
      <w:r>
        <w:t>prochains</w:t>
      </w:r>
      <w:r w:rsidRPr="002C4077">
        <w:t xml:space="preserve"> </w:t>
      </w:r>
      <w:r>
        <w:t>malheurs,</w:t>
      </w:r>
      <w:r w:rsidRPr="002C4077">
        <w:t xml:space="preserve"> </w:t>
      </w:r>
      <w:r>
        <w:t>et</w:t>
      </w:r>
      <w:r w:rsidRPr="002C4077">
        <w:t xml:space="preserve"> </w:t>
      </w:r>
      <w:r>
        <w:t>aux</w:t>
      </w:r>
      <w:r w:rsidRPr="002C4077">
        <w:t xml:space="preserve"> </w:t>
      </w:r>
      <w:r>
        <w:lastRenderedPageBreak/>
        <w:t>calamités</w:t>
      </w:r>
      <w:r w:rsidRPr="002C4077">
        <w:t xml:space="preserve"> </w:t>
      </w:r>
      <w:r>
        <w:t>subséquentes</w:t>
      </w:r>
      <w:r w:rsidRPr="002C4077">
        <w:t xml:space="preserve"> </w:t>
      </w:r>
      <w:r>
        <w:t>d’Israël</w:t>
      </w:r>
      <w:r w:rsidR="00B546AF">
        <w:t> ;</w:t>
      </w:r>
      <w:r w:rsidRPr="002C4077">
        <w:t xml:space="preserve"> </w:t>
      </w:r>
      <w:r>
        <w:t>c’est,</w:t>
      </w:r>
      <w:r w:rsidRPr="002C4077">
        <w:t xml:space="preserve"> </w:t>
      </w:r>
      <w:r>
        <w:t>pour</w:t>
      </w:r>
      <w:r w:rsidRPr="002C4077">
        <w:t xml:space="preserve"> </w:t>
      </w:r>
      <w:r>
        <w:t>le</w:t>
      </w:r>
      <w:r w:rsidRPr="002C4077">
        <w:t xml:space="preserve"> </w:t>
      </w:r>
      <w:r>
        <w:t>prophète,</w:t>
      </w:r>
      <w:r w:rsidRPr="002C4077">
        <w:t xml:space="preserve"> </w:t>
      </w:r>
      <w:r>
        <w:t>une</w:t>
      </w:r>
      <w:r w:rsidRPr="002C4077">
        <w:t xml:space="preserve"> </w:t>
      </w:r>
      <w:r>
        <w:t>grande</w:t>
      </w:r>
      <w:r w:rsidRPr="002C4077">
        <w:t xml:space="preserve"> </w:t>
      </w:r>
      <w:r>
        <w:t>figure</w:t>
      </w:r>
      <w:r w:rsidRPr="002C4077">
        <w:t xml:space="preserve"> </w:t>
      </w:r>
      <w:r>
        <w:t>qui</w:t>
      </w:r>
      <w:r w:rsidRPr="002C4077">
        <w:t xml:space="preserve"> </w:t>
      </w:r>
      <w:r>
        <w:t>domine</w:t>
      </w:r>
      <w:r w:rsidRPr="002C4077">
        <w:t xml:space="preserve"> </w:t>
      </w:r>
      <w:r>
        <w:t>toute</w:t>
      </w:r>
      <w:r w:rsidRPr="002C4077">
        <w:t xml:space="preserve"> </w:t>
      </w:r>
      <w:r>
        <w:t>l’histoire</w:t>
      </w:r>
      <w:r w:rsidRPr="002C4077">
        <w:t xml:space="preserve"> </w:t>
      </w:r>
      <w:r>
        <w:t>du</w:t>
      </w:r>
      <w:r w:rsidRPr="002C4077">
        <w:t xml:space="preserve"> </w:t>
      </w:r>
      <w:r>
        <w:t>peuple</w:t>
      </w:r>
      <w:r w:rsidRPr="002C4077">
        <w:t xml:space="preserve"> </w:t>
      </w:r>
      <w:r>
        <w:t>privilégié</w:t>
      </w:r>
      <w:r w:rsidR="00B91AF7">
        <w:rPr>
          <w:rStyle w:val="Appelnotedebasdep"/>
        </w:rPr>
        <w:footnoteReference w:id="305"/>
      </w:r>
      <w:r w:rsidR="00B546AF">
        <w:t> »</w:t>
      </w:r>
      <w:r>
        <w:t>.</w:t>
      </w:r>
      <w:r w:rsidR="007B0987">
        <w:t xml:space="preserve"> </w:t>
      </w:r>
    </w:p>
    <w:p w:rsidR="000A7AAB" w:rsidRPr="000721C4" w:rsidRDefault="000A7AAB" w:rsidP="000A7AAB">
      <w:r>
        <w:t>Ces</w:t>
      </w:r>
      <w:r w:rsidRPr="002C4077">
        <w:t xml:space="preserve"> </w:t>
      </w:r>
      <w:r>
        <w:t>raisons</w:t>
      </w:r>
      <w:r w:rsidRPr="002C4077">
        <w:t xml:space="preserve"> </w:t>
      </w:r>
      <w:r>
        <w:t>ont</w:t>
      </w:r>
      <w:r w:rsidRPr="002C4077">
        <w:t xml:space="preserve"> </w:t>
      </w:r>
      <w:r>
        <w:t>influencé</w:t>
      </w:r>
      <w:r w:rsidRPr="002C4077">
        <w:t xml:space="preserve"> </w:t>
      </w:r>
      <w:r>
        <w:t>Ewald</w:t>
      </w:r>
      <w:bookmarkStart w:id="285" w:name="z_Ewald_o3"/>
      <w:bookmarkEnd w:id="285"/>
      <w:r w:rsidRPr="002C4077">
        <w:t xml:space="preserve"> </w:t>
      </w:r>
      <w:r>
        <w:t>lui-même,</w:t>
      </w:r>
      <w:r w:rsidRPr="002C4077">
        <w:t xml:space="preserve"> </w:t>
      </w:r>
      <w:r>
        <w:t>malgré</w:t>
      </w:r>
      <w:r w:rsidRPr="002C4077">
        <w:t xml:space="preserve"> </w:t>
      </w:r>
      <w:r>
        <w:t>les</w:t>
      </w:r>
      <w:r w:rsidRPr="002C4077">
        <w:t xml:space="preserve"> </w:t>
      </w:r>
      <w:r>
        <w:t>erreurs</w:t>
      </w:r>
      <w:r w:rsidRPr="002C4077">
        <w:t xml:space="preserve"> </w:t>
      </w:r>
      <w:r>
        <w:t>que</w:t>
      </w:r>
      <w:r w:rsidRPr="002C4077">
        <w:t xml:space="preserve"> </w:t>
      </w:r>
      <w:r>
        <w:t>nous</w:t>
      </w:r>
      <w:r w:rsidRPr="002C4077">
        <w:t xml:space="preserve"> </w:t>
      </w:r>
      <w:r>
        <w:t>avons</w:t>
      </w:r>
      <w:r w:rsidRPr="002C4077">
        <w:t xml:space="preserve"> </w:t>
      </w:r>
      <w:r>
        <w:t>signalées</w:t>
      </w:r>
      <w:r w:rsidRPr="002C4077">
        <w:t xml:space="preserve"> </w:t>
      </w:r>
      <w:r>
        <w:t>antérieurement</w:t>
      </w:r>
      <w:r w:rsidRPr="002C4077">
        <w:t xml:space="preserve"> </w:t>
      </w:r>
      <w:r>
        <w:t>dans</w:t>
      </w:r>
      <w:r w:rsidRPr="002C4077">
        <w:t xml:space="preserve"> </w:t>
      </w:r>
      <w:r>
        <w:t>son</w:t>
      </w:r>
      <w:r w:rsidRPr="002C4077">
        <w:t xml:space="preserve"> </w:t>
      </w:r>
      <w:r>
        <w:t>interprétation.</w:t>
      </w:r>
      <w:r w:rsidRPr="002C4077">
        <w:t xml:space="preserve"> </w:t>
      </w:r>
      <w:r>
        <w:t>Il</w:t>
      </w:r>
      <w:r w:rsidRPr="002C4077">
        <w:t xml:space="preserve"> </w:t>
      </w:r>
      <w:r>
        <w:t>distingue</w:t>
      </w:r>
      <w:r w:rsidRPr="002C4077">
        <w:t xml:space="preserve"> </w:t>
      </w:r>
      <w:r>
        <w:t>fort</w:t>
      </w:r>
      <w:r w:rsidRPr="002C4077">
        <w:t xml:space="preserve"> </w:t>
      </w:r>
      <w:r>
        <w:t>bien</w:t>
      </w:r>
      <w:r w:rsidRPr="002C4077">
        <w:t xml:space="preserve"> </w:t>
      </w:r>
      <w:r>
        <w:t>ici</w:t>
      </w:r>
      <w:r w:rsidRPr="002C4077">
        <w:t xml:space="preserve"> </w:t>
      </w:r>
      <w:r>
        <w:t>trois</w:t>
      </w:r>
      <w:r w:rsidRPr="002C4077">
        <w:t xml:space="preserve"> </w:t>
      </w:r>
      <w:r>
        <w:t>époques</w:t>
      </w:r>
      <w:r w:rsidRPr="002C4077">
        <w:t xml:space="preserve"> </w:t>
      </w:r>
      <w:r>
        <w:t>successives</w:t>
      </w:r>
      <w:r w:rsidR="00B546AF">
        <w:t> :</w:t>
      </w:r>
      <w:r w:rsidRPr="002C4077">
        <w:t xml:space="preserve"> </w:t>
      </w:r>
      <w:r w:rsidR="00B546AF">
        <w:t>« </w:t>
      </w:r>
      <w:r>
        <w:t>D’abord,</w:t>
      </w:r>
      <w:r w:rsidRPr="002C4077">
        <w:t xml:space="preserve"> </w:t>
      </w:r>
      <w:r>
        <w:t>dit-il,</w:t>
      </w:r>
      <w:r w:rsidRPr="002C4077">
        <w:t xml:space="preserve"> </w:t>
      </w:r>
      <w:r>
        <w:t>la</w:t>
      </w:r>
      <w:r w:rsidRPr="002C4077">
        <w:t xml:space="preserve"> </w:t>
      </w:r>
      <w:r>
        <w:t>préservation</w:t>
      </w:r>
      <w:r w:rsidRPr="002C4077">
        <w:t xml:space="preserve"> </w:t>
      </w:r>
      <w:r>
        <w:t>du</w:t>
      </w:r>
      <w:r w:rsidRPr="002C4077">
        <w:t xml:space="preserve"> </w:t>
      </w:r>
      <w:r>
        <w:t>danger</w:t>
      </w:r>
      <w:r w:rsidRPr="002C4077">
        <w:t xml:space="preserve"> </w:t>
      </w:r>
      <w:r>
        <w:t>présent,</w:t>
      </w:r>
      <w:r w:rsidRPr="002C4077">
        <w:t xml:space="preserve"> </w:t>
      </w:r>
      <w:r>
        <w:t>préservation</w:t>
      </w:r>
      <w:r w:rsidRPr="002C4077">
        <w:t xml:space="preserve"> </w:t>
      </w:r>
      <w:r>
        <w:t>merveilleuse</w:t>
      </w:r>
      <w:r w:rsidRPr="002C4077">
        <w:t xml:space="preserve"> </w:t>
      </w:r>
      <w:r>
        <w:t>et</w:t>
      </w:r>
      <w:r w:rsidRPr="002C4077">
        <w:t xml:space="preserve"> </w:t>
      </w:r>
      <w:r>
        <w:t>divine,</w:t>
      </w:r>
      <w:r w:rsidRPr="002C4077">
        <w:t xml:space="preserve"> </w:t>
      </w:r>
      <w:r>
        <w:t>malgré</w:t>
      </w:r>
      <w:r w:rsidRPr="002C4077">
        <w:t xml:space="preserve"> </w:t>
      </w:r>
      <w:r>
        <w:t>les</w:t>
      </w:r>
      <w:r w:rsidRPr="002C4077">
        <w:t xml:space="preserve"> </w:t>
      </w:r>
      <w:r>
        <w:t>craintes</w:t>
      </w:r>
      <w:r w:rsidRPr="002C4077">
        <w:t xml:space="preserve"> </w:t>
      </w:r>
      <w:r>
        <w:t>et</w:t>
      </w:r>
      <w:r w:rsidRPr="002C4077">
        <w:t xml:space="preserve"> </w:t>
      </w:r>
      <w:r>
        <w:t>l’incrédulité</w:t>
      </w:r>
      <w:r w:rsidRPr="002C4077">
        <w:t xml:space="preserve"> </w:t>
      </w:r>
      <w:r>
        <w:t>d’Achaz</w:t>
      </w:r>
      <w:r w:rsidR="00B546AF">
        <w:t> ;</w:t>
      </w:r>
      <w:r w:rsidRPr="002C4077">
        <w:t xml:space="preserve"> </w:t>
      </w:r>
      <w:r>
        <w:t>puis,</w:t>
      </w:r>
      <w:r w:rsidRPr="002C4077">
        <w:t xml:space="preserve"> </w:t>
      </w:r>
      <w:r>
        <w:t>plus</w:t>
      </w:r>
      <w:r w:rsidRPr="002C4077">
        <w:t xml:space="preserve"> </w:t>
      </w:r>
      <w:r>
        <w:t>tard,</w:t>
      </w:r>
      <w:r w:rsidRPr="002C4077">
        <w:t xml:space="preserve"> </w:t>
      </w:r>
      <w:r>
        <w:t>la</w:t>
      </w:r>
      <w:r w:rsidRPr="002C4077">
        <w:t xml:space="preserve"> </w:t>
      </w:r>
      <w:r>
        <w:t>grande</w:t>
      </w:r>
      <w:r w:rsidRPr="002C4077">
        <w:t xml:space="preserve"> </w:t>
      </w:r>
      <w:r>
        <w:t>conquête</w:t>
      </w:r>
      <w:r w:rsidRPr="002C4077">
        <w:t xml:space="preserve"> </w:t>
      </w:r>
      <w:r>
        <w:t>assyrienne…,</w:t>
      </w:r>
      <w:r w:rsidRPr="002C4077">
        <w:t xml:space="preserve"> </w:t>
      </w:r>
      <w:r>
        <w:t>d’autant</w:t>
      </w:r>
      <w:r w:rsidRPr="002C4077">
        <w:t xml:space="preserve"> </w:t>
      </w:r>
      <w:r>
        <w:t>plus</w:t>
      </w:r>
      <w:r w:rsidRPr="002C4077">
        <w:t xml:space="preserve"> </w:t>
      </w:r>
      <w:r>
        <w:t>nécessaire</w:t>
      </w:r>
      <w:r w:rsidRPr="002C4077">
        <w:t xml:space="preserve"> </w:t>
      </w:r>
      <w:r>
        <w:t>pour</w:t>
      </w:r>
      <w:r w:rsidRPr="002C4077">
        <w:t xml:space="preserve"> </w:t>
      </w:r>
      <w:r>
        <w:t>le</w:t>
      </w:r>
      <w:r w:rsidRPr="002C4077">
        <w:t xml:space="preserve"> </w:t>
      </w:r>
      <w:r>
        <w:t>châtiment</w:t>
      </w:r>
      <w:r w:rsidRPr="002C4077">
        <w:t xml:space="preserve"> </w:t>
      </w:r>
      <w:r>
        <w:t>du</w:t>
      </w:r>
      <w:r w:rsidRPr="002C4077">
        <w:t xml:space="preserve"> </w:t>
      </w:r>
      <w:r>
        <w:t>pays</w:t>
      </w:r>
      <w:r w:rsidRPr="002C4077">
        <w:t xml:space="preserve"> </w:t>
      </w:r>
      <w:r>
        <w:t>entier,</w:t>
      </w:r>
      <w:r w:rsidRPr="002C4077">
        <w:t xml:space="preserve"> </w:t>
      </w:r>
      <w:r>
        <w:t>et</w:t>
      </w:r>
      <w:r w:rsidRPr="002C4077">
        <w:t xml:space="preserve"> </w:t>
      </w:r>
      <w:r>
        <w:t>en</w:t>
      </w:r>
      <w:r w:rsidRPr="002C4077">
        <w:t xml:space="preserve"> </w:t>
      </w:r>
      <w:r>
        <w:t>particulier</w:t>
      </w:r>
      <w:r w:rsidRPr="002C4077">
        <w:t xml:space="preserve"> </w:t>
      </w:r>
      <w:r>
        <w:t>de</w:t>
      </w:r>
      <w:r w:rsidRPr="002C4077">
        <w:t xml:space="preserve"> </w:t>
      </w:r>
      <w:r>
        <w:t>la</w:t>
      </w:r>
      <w:r w:rsidRPr="002C4077">
        <w:t xml:space="preserve"> </w:t>
      </w:r>
      <w:r>
        <w:t>famille</w:t>
      </w:r>
      <w:r w:rsidRPr="002C4077">
        <w:t xml:space="preserve"> </w:t>
      </w:r>
      <w:r>
        <w:t>royale,</w:t>
      </w:r>
      <w:r w:rsidRPr="002C4077">
        <w:t xml:space="preserve"> </w:t>
      </w:r>
      <w:r>
        <w:t>que</w:t>
      </w:r>
      <w:r w:rsidRPr="002C4077">
        <w:t xml:space="preserve"> </w:t>
      </w:r>
      <w:r>
        <w:t>tous</w:t>
      </w:r>
      <w:r w:rsidRPr="002C4077">
        <w:t xml:space="preserve"> </w:t>
      </w:r>
      <w:r>
        <w:t>se</w:t>
      </w:r>
      <w:r w:rsidRPr="002C4077">
        <w:t xml:space="preserve"> </w:t>
      </w:r>
      <w:r>
        <w:t>sont</w:t>
      </w:r>
      <w:r w:rsidRPr="002C4077">
        <w:t xml:space="preserve"> </w:t>
      </w:r>
      <w:r>
        <w:t>détournés</w:t>
      </w:r>
      <w:r w:rsidRPr="002C4077">
        <w:t xml:space="preserve"> </w:t>
      </w:r>
      <w:r>
        <w:t>de</w:t>
      </w:r>
      <w:r w:rsidRPr="002C4077">
        <w:t xml:space="preserve"> </w:t>
      </w:r>
      <w:r>
        <w:t>la</w:t>
      </w:r>
      <w:r w:rsidRPr="002C4077">
        <w:t xml:space="preserve"> </w:t>
      </w:r>
      <w:r>
        <w:t>vraie</w:t>
      </w:r>
      <w:r w:rsidRPr="002C4077">
        <w:t xml:space="preserve"> </w:t>
      </w:r>
      <w:r>
        <w:t>foi</w:t>
      </w:r>
      <w:r w:rsidR="00B546AF">
        <w:t> ;</w:t>
      </w:r>
      <w:r w:rsidRPr="002C4077">
        <w:t xml:space="preserve"> </w:t>
      </w:r>
      <w:r>
        <w:t>enfin,</w:t>
      </w:r>
      <w:r w:rsidRPr="002C4077">
        <w:t xml:space="preserve"> </w:t>
      </w:r>
      <w:r>
        <w:t>le</w:t>
      </w:r>
      <w:r w:rsidRPr="002C4077">
        <w:t xml:space="preserve"> </w:t>
      </w:r>
      <w:r>
        <w:t>salut</w:t>
      </w:r>
      <w:r w:rsidRPr="002C4077">
        <w:t xml:space="preserve"> </w:t>
      </w:r>
      <w:r>
        <w:t>grandiose</w:t>
      </w:r>
      <w:r w:rsidRPr="002C4077">
        <w:t xml:space="preserve"> </w:t>
      </w:r>
      <w:r>
        <w:t>promis</w:t>
      </w:r>
      <w:r w:rsidRPr="002C4077">
        <w:t xml:space="preserve"> </w:t>
      </w:r>
      <w:r>
        <w:t>depuis</w:t>
      </w:r>
      <w:r w:rsidRPr="002C4077">
        <w:t xml:space="preserve"> </w:t>
      </w:r>
      <w:r>
        <w:t>longtemps,</w:t>
      </w:r>
      <w:r w:rsidRPr="002C4077">
        <w:t xml:space="preserve"> </w:t>
      </w:r>
      <w:r>
        <w:t>et</w:t>
      </w:r>
      <w:r w:rsidRPr="002C4077">
        <w:t xml:space="preserve"> </w:t>
      </w:r>
      <w:r>
        <w:t>auquel</w:t>
      </w:r>
      <w:r w:rsidRPr="002C4077">
        <w:t xml:space="preserve"> </w:t>
      </w:r>
      <w:r>
        <w:t>participera</w:t>
      </w:r>
      <w:r w:rsidRPr="002C4077">
        <w:t xml:space="preserve"> </w:t>
      </w:r>
      <w:r>
        <w:t>la</w:t>
      </w:r>
      <w:r w:rsidRPr="002C4077">
        <w:t xml:space="preserve"> </w:t>
      </w:r>
      <w:r>
        <w:t>partie</w:t>
      </w:r>
      <w:r w:rsidRPr="002C4077">
        <w:t xml:space="preserve"> </w:t>
      </w:r>
      <w:r>
        <w:t>du</w:t>
      </w:r>
      <w:r w:rsidRPr="002C4077">
        <w:t xml:space="preserve"> </w:t>
      </w:r>
      <w:r>
        <w:t>peuple</w:t>
      </w:r>
      <w:r w:rsidRPr="002C4077">
        <w:t xml:space="preserve"> </w:t>
      </w:r>
      <w:r>
        <w:t>demeurée</w:t>
      </w:r>
      <w:r w:rsidRPr="002C4077">
        <w:t xml:space="preserve"> </w:t>
      </w:r>
      <w:r>
        <w:t>fidèle</w:t>
      </w:r>
      <w:r w:rsidRPr="002C4077">
        <w:t xml:space="preserve"> </w:t>
      </w:r>
      <w:r>
        <w:t>au</w:t>
      </w:r>
      <w:r w:rsidRPr="002C4077">
        <w:t xml:space="preserve"> </w:t>
      </w:r>
      <w:r>
        <w:t>milieu</w:t>
      </w:r>
      <w:r w:rsidRPr="002C4077">
        <w:t xml:space="preserve"> </w:t>
      </w:r>
      <w:r>
        <w:t>de</w:t>
      </w:r>
      <w:r w:rsidRPr="002C4077">
        <w:t xml:space="preserve"> </w:t>
      </w:r>
      <w:r>
        <w:t>l’épreuve</w:t>
      </w:r>
      <w:r w:rsidR="00B91AF7">
        <w:rPr>
          <w:rStyle w:val="Appelnotedebasdep"/>
        </w:rPr>
        <w:footnoteReference w:id="306"/>
      </w:r>
      <w:r w:rsidR="00B546AF">
        <w:t> »</w:t>
      </w:r>
      <w:r>
        <w:t>.</w:t>
      </w:r>
      <w:r w:rsidR="00C45B47">
        <w:t xml:space="preserve"> {</w:t>
      </w:r>
      <w:r w:rsidR="000721C4">
        <w:t>98</w:t>
      </w:r>
      <w:bookmarkStart w:id="286" w:name="p098"/>
      <w:bookmarkEnd w:id="286"/>
      <w:r w:rsidR="000721C4">
        <w:t xml:space="preserve">} </w:t>
      </w:r>
    </w:p>
    <w:p w:rsidR="000A7AAB" w:rsidRDefault="000A7AAB" w:rsidP="000A7AAB">
      <w:r>
        <w:t>Et</w:t>
      </w:r>
      <w:r w:rsidRPr="002C4077">
        <w:t xml:space="preserve"> </w:t>
      </w:r>
      <w:r>
        <w:t>que</w:t>
      </w:r>
      <w:r w:rsidRPr="002C4077">
        <w:t xml:space="preserve"> </w:t>
      </w:r>
      <w:r>
        <w:t>ne</w:t>
      </w:r>
      <w:r w:rsidRPr="002C4077">
        <w:t xml:space="preserve"> </w:t>
      </w:r>
      <w:r>
        <w:t>dirions-nous</w:t>
      </w:r>
      <w:r w:rsidRPr="002C4077">
        <w:t xml:space="preserve"> </w:t>
      </w:r>
      <w:r>
        <w:t>pas</w:t>
      </w:r>
      <w:r w:rsidRPr="002C4077">
        <w:t xml:space="preserve"> </w:t>
      </w:r>
      <w:r>
        <w:t>si,</w:t>
      </w:r>
      <w:r w:rsidRPr="002C4077">
        <w:t xml:space="preserve"> </w:t>
      </w:r>
      <w:r>
        <w:t>parcourant</w:t>
      </w:r>
      <w:r w:rsidRPr="002C4077">
        <w:t xml:space="preserve"> </w:t>
      </w:r>
      <w:r>
        <w:t>les</w:t>
      </w:r>
      <w:r w:rsidRPr="002C4077">
        <w:t xml:space="preserve"> </w:t>
      </w:r>
      <w:r>
        <w:t>soixante-six</w:t>
      </w:r>
      <w:r w:rsidRPr="002C4077">
        <w:t xml:space="preserve"> </w:t>
      </w:r>
      <w:r>
        <w:t>chapitres</w:t>
      </w:r>
      <w:r w:rsidRPr="002C4077">
        <w:t xml:space="preserve"> </w:t>
      </w:r>
      <w:r>
        <w:t>d’Isaïe</w:t>
      </w:r>
      <w:r w:rsidRPr="002C4077">
        <w:t xml:space="preserve"> </w:t>
      </w:r>
      <w:r>
        <w:t>au</w:t>
      </w:r>
      <w:r w:rsidRPr="002C4077">
        <w:t xml:space="preserve"> </w:t>
      </w:r>
      <w:r>
        <w:t>lieu</w:t>
      </w:r>
      <w:r w:rsidRPr="002C4077">
        <w:t xml:space="preserve"> </w:t>
      </w:r>
      <w:r>
        <w:t>de</w:t>
      </w:r>
      <w:r w:rsidRPr="002C4077">
        <w:t xml:space="preserve"> </w:t>
      </w:r>
      <w:r>
        <w:t>nous</w:t>
      </w:r>
      <w:r w:rsidRPr="002C4077">
        <w:t xml:space="preserve"> </w:t>
      </w:r>
      <w:r>
        <w:t>en</w:t>
      </w:r>
      <w:r w:rsidRPr="002C4077">
        <w:t xml:space="preserve"> </w:t>
      </w:r>
      <w:r>
        <w:t>tenir</w:t>
      </w:r>
      <w:r w:rsidRPr="002C4077">
        <w:t xml:space="preserve"> </w:t>
      </w:r>
      <w:r>
        <w:t>au</w:t>
      </w:r>
      <w:r w:rsidRPr="002C4077">
        <w:t xml:space="preserve"> </w:t>
      </w:r>
      <w:r>
        <w:t>livre</w:t>
      </w:r>
      <w:r w:rsidRPr="002C4077">
        <w:t xml:space="preserve"> </w:t>
      </w:r>
      <w:r>
        <w:t>d’Emmanuel,</w:t>
      </w:r>
      <w:r w:rsidRPr="002C4077">
        <w:t xml:space="preserve"> </w:t>
      </w:r>
      <w:r>
        <w:t>nous</w:t>
      </w:r>
      <w:r w:rsidRPr="002C4077">
        <w:t xml:space="preserve"> </w:t>
      </w:r>
      <w:r>
        <w:t>alléguions</w:t>
      </w:r>
      <w:r w:rsidRPr="002C4077">
        <w:t xml:space="preserve"> </w:t>
      </w:r>
      <w:r>
        <w:t>cent</w:t>
      </w:r>
      <w:r w:rsidRPr="002C4077">
        <w:t xml:space="preserve"> </w:t>
      </w:r>
      <w:r>
        <w:t>autres</w:t>
      </w:r>
      <w:r w:rsidRPr="002C4077">
        <w:t xml:space="preserve"> </w:t>
      </w:r>
      <w:r>
        <w:t>passages,</w:t>
      </w:r>
      <w:r w:rsidRPr="002C4077">
        <w:t xml:space="preserve"> </w:t>
      </w:r>
      <w:r>
        <w:t>desquels</w:t>
      </w:r>
      <w:r w:rsidRPr="002C4077">
        <w:t xml:space="preserve"> </w:t>
      </w:r>
      <w:r>
        <w:t>il</w:t>
      </w:r>
      <w:r w:rsidRPr="002C4077">
        <w:t xml:space="preserve"> </w:t>
      </w:r>
      <w:r>
        <w:t>résulte</w:t>
      </w:r>
      <w:r w:rsidRPr="002C4077">
        <w:t xml:space="preserve"> </w:t>
      </w:r>
      <w:r>
        <w:t>de</w:t>
      </w:r>
      <w:r w:rsidRPr="002C4077">
        <w:t xml:space="preserve"> </w:t>
      </w:r>
      <w:r>
        <w:t>la</w:t>
      </w:r>
      <w:r w:rsidRPr="002C4077">
        <w:t xml:space="preserve"> </w:t>
      </w:r>
      <w:r>
        <w:t>manière</w:t>
      </w:r>
      <w:r w:rsidRPr="002C4077">
        <w:t xml:space="preserve"> </w:t>
      </w:r>
      <w:r>
        <w:t>la</w:t>
      </w:r>
      <w:r w:rsidRPr="002C4077">
        <w:t xml:space="preserve"> </w:t>
      </w:r>
      <w:r>
        <w:t>plus</w:t>
      </w:r>
      <w:r w:rsidRPr="002C4077">
        <w:t xml:space="preserve"> </w:t>
      </w:r>
      <w:r>
        <w:t>manifeste</w:t>
      </w:r>
      <w:r w:rsidRPr="002C4077">
        <w:t xml:space="preserve"> </w:t>
      </w:r>
      <w:r>
        <w:t>que</w:t>
      </w:r>
      <w:r w:rsidRPr="002C4077">
        <w:t xml:space="preserve"> </w:t>
      </w:r>
      <w:r>
        <w:t>le</w:t>
      </w:r>
      <w:r w:rsidRPr="002C4077">
        <w:t xml:space="preserve"> </w:t>
      </w:r>
      <w:r>
        <w:t>fils</w:t>
      </w:r>
      <w:r w:rsidRPr="002C4077">
        <w:t xml:space="preserve"> </w:t>
      </w:r>
      <w:r>
        <w:t>d’Amos</w:t>
      </w:r>
      <w:r w:rsidRPr="002C4077">
        <w:t xml:space="preserve"> </w:t>
      </w:r>
      <w:r>
        <w:t>n’attendait</w:t>
      </w:r>
      <w:r w:rsidRPr="002C4077">
        <w:t xml:space="preserve"> </w:t>
      </w:r>
      <w:r>
        <w:t>le</w:t>
      </w:r>
      <w:r w:rsidRPr="002C4077">
        <w:t xml:space="preserve"> </w:t>
      </w:r>
      <w:r>
        <w:t>Messie</w:t>
      </w:r>
      <w:r w:rsidRPr="002C4077">
        <w:t xml:space="preserve"> </w:t>
      </w:r>
      <w:r>
        <w:t>qu’après</w:t>
      </w:r>
      <w:r w:rsidRPr="002C4077">
        <w:t xml:space="preserve"> </w:t>
      </w:r>
      <w:r>
        <w:t>l’exil</w:t>
      </w:r>
      <w:r w:rsidRPr="002C4077">
        <w:t xml:space="preserve"> </w:t>
      </w:r>
      <w:r>
        <w:t>des</w:t>
      </w:r>
      <w:r w:rsidRPr="002C4077">
        <w:t xml:space="preserve"> </w:t>
      </w:r>
      <w:r>
        <w:t>Juifs</w:t>
      </w:r>
      <w:r w:rsidRPr="002C4077">
        <w:t xml:space="preserve"> </w:t>
      </w:r>
      <w:r>
        <w:t>à</w:t>
      </w:r>
      <w:r w:rsidRPr="002C4077">
        <w:t xml:space="preserve"> </w:t>
      </w:r>
      <w:r>
        <w:t>Babylone</w:t>
      </w:r>
      <w:r w:rsidR="00B546AF">
        <w:t> ?</w:t>
      </w:r>
      <w:r w:rsidRPr="002C4077">
        <w:t xml:space="preserve"> </w:t>
      </w:r>
      <w:r>
        <w:t>Mais</w:t>
      </w:r>
      <w:r w:rsidRPr="002C4077">
        <w:t xml:space="preserve"> </w:t>
      </w:r>
      <w:r>
        <w:t>à</w:t>
      </w:r>
      <w:r w:rsidRPr="002C4077">
        <w:t xml:space="preserve"> </w:t>
      </w:r>
      <w:r>
        <w:t>quoi</w:t>
      </w:r>
      <w:r w:rsidRPr="002C4077">
        <w:t xml:space="preserve"> </w:t>
      </w:r>
      <w:r>
        <w:t>bon</w:t>
      </w:r>
      <w:r w:rsidRPr="002C4077">
        <w:t xml:space="preserve"> </w:t>
      </w:r>
      <w:r>
        <w:t>développer</w:t>
      </w:r>
      <w:r w:rsidRPr="002C4077">
        <w:t xml:space="preserve"> </w:t>
      </w:r>
      <w:r>
        <w:t>davantage</w:t>
      </w:r>
      <w:r w:rsidRPr="002C4077">
        <w:t xml:space="preserve"> </w:t>
      </w:r>
      <w:r>
        <w:t>un</w:t>
      </w:r>
      <w:r w:rsidRPr="002C4077">
        <w:t xml:space="preserve"> </w:t>
      </w:r>
      <w:r>
        <w:t>point</w:t>
      </w:r>
      <w:r w:rsidRPr="002C4077">
        <w:t xml:space="preserve"> </w:t>
      </w:r>
      <w:r>
        <w:t>très</w:t>
      </w:r>
      <w:r w:rsidRPr="002C4077">
        <w:t xml:space="preserve"> </w:t>
      </w:r>
      <w:r>
        <w:t>évident</w:t>
      </w:r>
      <w:r w:rsidR="00B546AF">
        <w:t> ?</w:t>
      </w:r>
      <w:r w:rsidR="00B91AF7">
        <w:rPr>
          <w:rStyle w:val="Appelnotedebasdep"/>
        </w:rPr>
        <w:footnoteReference w:id="307"/>
      </w:r>
      <w:r w:rsidRPr="002C4077">
        <w:t xml:space="preserve"> </w:t>
      </w:r>
    </w:p>
    <w:p w:rsidR="000A7AAB" w:rsidRDefault="000A7AAB" w:rsidP="000A7AAB">
      <w:r>
        <w:t>Maintenant</w:t>
      </w:r>
      <w:bookmarkStart w:id="287" w:name="z_Anticipation_o1"/>
      <w:bookmarkEnd w:id="287"/>
      <w:r w:rsidRPr="002C4077">
        <w:t xml:space="preserve"> </w:t>
      </w:r>
      <w:r>
        <w:t>nous</w:t>
      </w:r>
      <w:r w:rsidRPr="002C4077">
        <w:t xml:space="preserve"> </w:t>
      </w:r>
      <w:r>
        <w:t>ajouterons</w:t>
      </w:r>
      <w:r w:rsidRPr="002C4077">
        <w:t xml:space="preserve"> </w:t>
      </w:r>
      <w:r>
        <w:t>avec</w:t>
      </w:r>
      <w:r w:rsidRPr="002C4077">
        <w:t xml:space="preserve"> </w:t>
      </w:r>
      <w:r>
        <w:t>S.</w:t>
      </w:r>
      <w:r w:rsidRPr="002C4077">
        <w:t xml:space="preserve"> </w:t>
      </w:r>
      <w:r>
        <w:t>Jérôme,</w:t>
      </w:r>
      <w:r w:rsidRPr="002C4077">
        <w:t xml:space="preserve"> </w:t>
      </w:r>
      <w:r>
        <w:t>et</w:t>
      </w:r>
      <w:r w:rsidRPr="002C4077">
        <w:t xml:space="preserve"> </w:t>
      </w:r>
      <w:r>
        <w:t>toute</w:t>
      </w:r>
      <w:r w:rsidRPr="002C4077">
        <w:t xml:space="preserve"> </w:t>
      </w:r>
      <w:r>
        <w:t>difficulté,</w:t>
      </w:r>
      <w:r w:rsidRPr="002C4077">
        <w:t xml:space="preserve"> </w:t>
      </w:r>
      <w:r>
        <w:t>nous</w:t>
      </w:r>
      <w:r w:rsidRPr="002C4077">
        <w:t xml:space="preserve"> </w:t>
      </w:r>
      <w:r>
        <w:t>l’espérons,</w:t>
      </w:r>
      <w:r w:rsidRPr="002C4077">
        <w:t xml:space="preserve"> </w:t>
      </w:r>
      <w:r>
        <w:t>aura</w:t>
      </w:r>
      <w:r w:rsidRPr="002C4077">
        <w:t xml:space="preserve"> </w:t>
      </w:r>
      <w:r>
        <w:t>disparu</w:t>
      </w:r>
      <w:r w:rsidR="00B546AF">
        <w:t> :</w:t>
      </w:r>
      <w:r w:rsidRPr="002C4077">
        <w:t xml:space="preserve"> </w:t>
      </w:r>
      <w:r w:rsidRPr="000A34B5">
        <w:rPr>
          <w:rStyle w:val="italicus"/>
        </w:rPr>
        <w:t>Sic</w:t>
      </w:r>
      <w:r w:rsidRPr="002C4077">
        <w:t xml:space="preserve"> </w:t>
      </w:r>
      <w:r w:rsidRPr="000A34B5">
        <w:rPr>
          <w:rStyle w:val="italicus"/>
        </w:rPr>
        <w:t>fu</w:t>
      </w:r>
      <w:r w:rsidR="003B53FD" w:rsidRPr="000A34B5">
        <w:rPr>
          <w:rStyle w:val="italicus"/>
        </w:rPr>
        <w:t>tur</w:t>
      </w:r>
      <w:r w:rsidR="003B53FD">
        <w:rPr>
          <w:rStyle w:val="italicus"/>
        </w:rPr>
        <w:t>ó</w:t>
      </w:r>
      <w:r w:rsidR="003B53FD" w:rsidRPr="000A34B5">
        <w:rPr>
          <w:rStyle w:val="italicus"/>
        </w:rPr>
        <w:t>rum</w:t>
      </w:r>
      <w:r w:rsidRPr="004440EA">
        <w:t xml:space="preserve"> (</w:t>
      </w:r>
      <w:r w:rsidRPr="000A34B5">
        <w:rPr>
          <w:rStyle w:val="italicus"/>
        </w:rPr>
        <w:t>pr</w:t>
      </w:r>
      <w:r w:rsidR="003B53FD" w:rsidRPr="000A34B5">
        <w:rPr>
          <w:rStyle w:val="italicus"/>
        </w:rPr>
        <w:t>oph</w:t>
      </w:r>
      <w:r w:rsidR="003B53FD">
        <w:rPr>
          <w:rStyle w:val="italicus"/>
        </w:rPr>
        <w:t>é</w:t>
      </w:r>
      <w:r w:rsidR="003B53FD" w:rsidRPr="000A34B5">
        <w:rPr>
          <w:rStyle w:val="italicus"/>
        </w:rPr>
        <w:t>ta</w:t>
      </w:r>
      <w:r w:rsidR="00B546AF" w:rsidRPr="002C4077">
        <w:t>)</w:t>
      </w:r>
      <w:r w:rsidRPr="002C4077">
        <w:t xml:space="preserve"> </w:t>
      </w:r>
      <w:r w:rsidRPr="000A34B5">
        <w:rPr>
          <w:rStyle w:val="italicus"/>
        </w:rPr>
        <w:t>texit</w:t>
      </w:r>
      <w:r w:rsidRPr="002C4077">
        <w:t xml:space="preserve"> </w:t>
      </w:r>
      <w:r w:rsidRPr="000A34B5">
        <w:rPr>
          <w:rStyle w:val="italicus"/>
        </w:rPr>
        <w:t>vatic</w:t>
      </w:r>
      <w:r w:rsidR="003B53FD">
        <w:rPr>
          <w:rStyle w:val="italicus"/>
        </w:rPr>
        <w:t>í</w:t>
      </w:r>
      <w:r w:rsidR="003B53FD" w:rsidRPr="000A34B5">
        <w:rPr>
          <w:rStyle w:val="italicus"/>
        </w:rPr>
        <w:t>nium</w:t>
      </w:r>
      <w:r w:rsidRPr="000A34B5">
        <w:rPr>
          <w:rStyle w:val="italicus"/>
        </w:rPr>
        <w:t>,</w:t>
      </w:r>
      <w:r w:rsidRPr="002C4077">
        <w:t xml:space="preserve"> </w:t>
      </w:r>
      <w:r w:rsidRPr="000A34B5">
        <w:rPr>
          <w:rStyle w:val="italicus"/>
        </w:rPr>
        <w:t>ut</w:t>
      </w:r>
      <w:r w:rsidRPr="002C4077">
        <w:t xml:space="preserve"> </w:t>
      </w:r>
      <w:r w:rsidRPr="000A34B5">
        <w:rPr>
          <w:rStyle w:val="italicus"/>
        </w:rPr>
        <w:t>pr</w:t>
      </w:r>
      <w:r w:rsidR="006E0521">
        <w:rPr>
          <w:rStyle w:val="italicus"/>
        </w:rPr>
        <w:t>æ</w:t>
      </w:r>
      <w:r w:rsidRPr="000A34B5">
        <w:rPr>
          <w:rStyle w:val="italicus"/>
        </w:rPr>
        <w:t>sens</w:t>
      </w:r>
      <w:r w:rsidRPr="002C4077">
        <w:t xml:space="preserve"> </w:t>
      </w:r>
      <w:r w:rsidRPr="000A34B5">
        <w:rPr>
          <w:rStyle w:val="italicus"/>
        </w:rPr>
        <w:t>tempus</w:t>
      </w:r>
      <w:r w:rsidRPr="002C4077">
        <w:t xml:space="preserve"> </w:t>
      </w:r>
      <w:r w:rsidRPr="000A34B5">
        <w:rPr>
          <w:rStyle w:val="italicus"/>
        </w:rPr>
        <w:t>no</w:t>
      </w:r>
      <w:r w:rsidR="006E0521">
        <w:rPr>
          <w:rStyle w:val="italicus"/>
        </w:rPr>
        <w:t>n</w:t>
      </w:r>
      <w:r w:rsidR="006E0521" w:rsidRPr="002C4077">
        <w:t xml:space="preserve"> </w:t>
      </w:r>
      <w:r w:rsidR="006E0521">
        <w:rPr>
          <w:rStyle w:val="italicus"/>
        </w:rPr>
        <w:t>d</w:t>
      </w:r>
      <w:r w:rsidRPr="000A34B5">
        <w:rPr>
          <w:rStyle w:val="italicus"/>
        </w:rPr>
        <w:t>ésera</w:t>
      </w:r>
      <w:r w:rsidR="006E0521">
        <w:rPr>
          <w:rStyle w:val="italicus"/>
        </w:rPr>
        <w:t>t</w:t>
      </w:r>
      <w:r w:rsidR="00B91AF7">
        <w:rPr>
          <w:rStyle w:val="Appelnotedebasdep"/>
        </w:rPr>
        <w:footnoteReference w:id="308"/>
      </w:r>
      <w:r>
        <w:t>.</w:t>
      </w:r>
      <w:r w:rsidRPr="002C4077">
        <w:t xml:space="preserve"> </w:t>
      </w:r>
      <w:r>
        <w:t>Cela</w:t>
      </w:r>
      <w:r w:rsidRPr="002C4077">
        <w:t xml:space="preserve"> </w:t>
      </w:r>
      <w:r>
        <w:t>s’appelle</w:t>
      </w:r>
      <w:r w:rsidRPr="002C4077">
        <w:t xml:space="preserve"> </w:t>
      </w:r>
      <w:r>
        <w:t>l’anticipation</w:t>
      </w:r>
      <w:r w:rsidRPr="002C4077">
        <w:t xml:space="preserve"> </w:t>
      </w:r>
      <w:r>
        <w:t>prophétique,</w:t>
      </w:r>
      <w:r w:rsidRPr="002C4077">
        <w:t xml:space="preserve"> </w:t>
      </w:r>
      <w:r>
        <w:t>dont</w:t>
      </w:r>
      <w:r w:rsidRPr="002C4077">
        <w:t xml:space="preserve"> </w:t>
      </w:r>
      <w:r>
        <w:t>la</w:t>
      </w:r>
      <w:r w:rsidRPr="002C4077">
        <w:t xml:space="preserve"> </w:t>
      </w:r>
      <w:r>
        <w:t>Bible</w:t>
      </w:r>
      <w:r w:rsidRPr="002C4077">
        <w:t xml:space="preserve"> </w:t>
      </w:r>
      <w:r>
        <w:t>contient</w:t>
      </w:r>
      <w:r w:rsidRPr="002C4077">
        <w:t xml:space="preserve"> </w:t>
      </w:r>
      <w:r>
        <w:t>de</w:t>
      </w:r>
      <w:r w:rsidRPr="002C4077">
        <w:t xml:space="preserve"> </w:t>
      </w:r>
      <w:r>
        <w:t>si</w:t>
      </w:r>
      <w:r w:rsidRPr="002C4077">
        <w:t xml:space="preserve"> </w:t>
      </w:r>
      <w:r>
        <w:t>nombreux</w:t>
      </w:r>
      <w:r w:rsidRPr="002C4077">
        <w:t xml:space="preserve"> </w:t>
      </w:r>
      <w:r>
        <w:t>et</w:t>
      </w:r>
      <w:r w:rsidRPr="002C4077">
        <w:t xml:space="preserve"> </w:t>
      </w:r>
      <w:r>
        <w:t>de</w:t>
      </w:r>
      <w:r w:rsidRPr="002C4077">
        <w:t xml:space="preserve"> </w:t>
      </w:r>
      <w:r>
        <w:t>si</w:t>
      </w:r>
      <w:r w:rsidRPr="002C4077">
        <w:t xml:space="preserve"> </w:t>
      </w:r>
      <w:r>
        <w:t>beaux</w:t>
      </w:r>
      <w:r w:rsidRPr="002C4077">
        <w:t xml:space="preserve"> </w:t>
      </w:r>
      <w:r>
        <w:t>exemples.</w:t>
      </w:r>
      <w:r w:rsidRPr="002C4077">
        <w:t xml:space="preserve"> </w:t>
      </w:r>
      <w:r>
        <w:t>À</w:t>
      </w:r>
      <w:r w:rsidRPr="002C4077">
        <w:t xml:space="preserve"> </w:t>
      </w:r>
      <w:r>
        <w:t>chaque</w:t>
      </w:r>
      <w:r w:rsidRPr="002C4077">
        <w:t xml:space="preserve"> </w:t>
      </w:r>
      <w:r>
        <w:t>instant</w:t>
      </w:r>
      <w:r w:rsidRPr="002C4077">
        <w:t xml:space="preserve"> </w:t>
      </w:r>
      <w:r>
        <w:t>les</w:t>
      </w:r>
      <w:r w:rsidRPr="002C4077">
        <w:t xml:space="preserve"> </w:t>
      </w:r>
      <w:r>
        <w:t>prophètes,</w:t>
      </w:r>
      <w:r w:rsidRPr="002C4077">
        <w:t xml:space="preserve"> </w:t>
      </w:r>
      <w:r>
        <w:t>les</w:t>
      </w:r>
      <w:r w:rsidRPr="002C4077">
        <w:t xml:space="preserve"> </w:t>
      </w:r>
      <w:r>
        <w:t>voyants,</w:t>
      </w:r>
      <w:r w:rsidRPr="002C4077">
        <w:t xml:space="preserve"> </w:t>
      </w:r>
      <w:r>
        <w:t>ainsi</w:t>
      </w:r>
      <w:r w:rsidRPr="002C4077">
        <w:t xml:space="preserve"> </w:t>
      </w:r>
      <w:r>
        <w:t>que</w:t>
      </w:r>
      <w:r w:rsidRPr="002C4077">
        <w:t xml:space="preserve"> </w:t>
      </w:r>
      <w:r>
        <w:t>les</w:t>
      </w:r>
      <w:r w:rsidRPr="002C4077">
        <w:t xml:space="preserve"> </w:t>
      </w:r>
      <w:r>
        <w:t>nomme</w:t>
      </w:r>
      <w:r w:rsidRPr="002C4077">
        <w:t xml:space="preserve"> </w:t>
      </w:r>
      <w:r>
        <w:t>l’Esprit-Saint,</w:t>
      </w:r>
      <w:r w:rsidRPr="002C4077">
        <w:t xml:space="preserve"> </w:t>
      </w:r>
      <w:r>
        <w:t>s’élèvent</w:t>
      </w:r>
      <w:r w:rsidRPr="002C4077">
        <w:t xml:space="preserve"> </w:t>
      </w:r>
      <w:r>
        <w:t>au-dessus</w:t>
      </w:r>
      <w:r w:rsidRPr="002C4077">
        <w:t xml:space="preserve"> </w:t>
      </w:r>
      <w:r>
        <w:t>des</w:t>
      </w:r>
      <w:r w:rsidRPr="002C4077">
        <w:t xml:space="preserve"> </w:t>
      </w:r>
      <w:r>
        <w:t>sphères</w:t>
      </w:r>
      <w:r w:rsidRPr="002C4077">
        <w:t xml:space="preserve"> </w:t>
      </w:r>
      <w:r>
        <w:t>contemporaines,</w:t>
      </w:r>
      <w:r w:rsidRPr="002C4077">
        <w:t xml:space="preserve"> </w:t>
      </w:r>
      <w:r>
        <w:t>et</w:t>
      </w:r>
      <w:r w:rsidRPr="002C4077">
        <w:t xml:space="preserve"> </w:t>
      </w:r>
      <w:r>
        <w:t>leur</w:t>
      </w:r>
      <w:r w:rsidRPr="002C4077">
        <w:t xml:space="preserve"> </w:t>
      </w:r>
      <w:r>
        <w:t>regard</w:t>
      </w:r>
      <w:r w:rsidRPr="002C4077">
        <w:t xml:space="preserve"> </w:t>
      </w:r>
      <w:r>
        <w:t>divinement</w:t>
      </w:r>
      <w:r w:rsidRPr="002C4077">
        <w:t xml:space="preserve"> </w:t>
      </w:r>
      <w:r>
        <w:t>éclairé</w:t>
      </w:r>
      <w:r w:rsidRPr="002C4077">
        <w:t xml:space="preserve"> </w:t>
      </w:r>
      <w:r>
        <w:t>contemple</w:t>
      </w:r>
      <w:r w:rsidRPr="002C4077">
        <w:t xml:space="preserve"> </w:t>
      </w:r>
      <w:r>
        <w:t>les</w:t>
      </w:r>
      <w:r w:rsidRPr="002C4077">
        <w:t xml:space="preserve"> </w:t>
      </w:r>
      <w:r>
        <w:t>choses</w:t>
      </w:r>
      <w:r w:rsidRPr="002C4077">
        <w:t xml:space="preserve"> </w:t>
      </w:r>
      <w:r>
        <w:t>futures</w:t>
      </w:r>
      <w:r w:rsidRPr="002C4077">
        <w:t xml:space="preserve"> </w:t>
      </w:r>
      <w:r>
        <w:t>comme</w:t>
      </w:r>
      <w:r w:rsidRPr="002C4077">
        <w:t xml:space="preserve"> </w:t>
      </w:r>
      <w:r>
        <w:t>si</w:t>
      </w:r>
      <w:r w:rsidRPr="002C4077">
        <w:t xml:space="preserve"> </w:t>
      </w:r>
      <w:r>
        <w:t>elles</w:t>
      </w:r>
      <w:r w:rsidRPr="002C4077">
        <w:t xml:space="preserve"> </w:t>
      </w:r>
      <w:r>
        <w:t>existaient</w:t>
      </w:r>
      <w:r w:rsidRPr="002C4077">
        <w:t xml:space="preserve"> </w:t>
      </w:r>
      <w:r>
        <w:t>déjà.</w:t>
      </w:r>
      <w:r w:rsidRPr="002C4077">
        <w:t xml:space="preserve"> </w:t>
      </w:r>
      <w:r>
        <w:t>La</w:t>
      </w:r>
      <w:r w:rsidRPr="002C4077">
        <w:t xml:space="preserve"> </w:t>
      </w:r>
      <w:r>
        <w:t>vue</w:t>
      </w:r>
      <w:r w:rsidRPr="002C4077">
        <w:t xml:space="preserve"> </w:t>
      </w:r>
      <w:r>
        <w:t>de</w:t>
      </w:r>
      <w:r w:rsidRPr="002C4077">
        <w:t xml:space="preserve"> </w:t>
      </w:r>
      <w:r>
        <w:t>l’avenir</w:t>
      </w:r>
      <w:r w:rsidRPr="002C4077">
        <w:t xml:space="preserve"> </w:t>
      </w:r>
      <w:r>
        <w:t>se</w:t>
      </w:r>
      <w:r w:rsidRPr="002C4077">
        <w:t xml:space="preserve"> </w:t>
      </w:r>
      <w:r>
        <w:t>reliant</w:t>
      </w:r>
      <w:r w:rsidRPr="002C4077">
        <w:t xml:space="preserve"> </w:t>
      </w:r>
      <w:r>
        <w:t>alors</w:t>
      </w:r>
      <w:r w:rsidRPr="002C4077">
        <w:t xml:space="preserve"> </w:t>
      </w:r>
      <w:r>
        <w:t>pour</w:t>
      </w:r>
      <w:r w:rsidRPr="002C4077">
        <w:t xml:space="preserve"> </w:t>
      </w:r>
      <w:r>
        <w:t>eux</w:t>
      </w:r>
      <w:r w:rsidRPr="002C4077">
        <w:t xml:space="preserve"> </w:t>
      </w:r>
      <w:r>
        <w:t>à</w:t>
      </w:r>
      <w:r w:rsidRPr="002C4077">
        <w:t xml:space="preserve"> </w:t>
      </w:r>
      <w:r>
        <w:t>celle</w:t>
      </w:r>
      <w:r w:rsidRPr="002C4077">
        <w:t xml:space="preserve"> </w:t>
      </w:r>
      <w:r>
        <w:t>du</w:t>
      </w:r>
      <w:r w:rsidRPr="002C4077">
        <w:t xml:space="preserve"> </w:t>
      </w:r>
      <w:r>
        <w:t>présent,</w:t>
      </w:r>
      <w:r w:rsidRPr="002C4077">
        <w:t xml:space="preserve"> </w:t>
      </w:r>
      <w:r>
        <w:t>ils</w:t>
      </w:r>
      <w:r w:rsidRPr="002C4077">
        <w:t xml:space="preserve"> </w:t>
      </w:r>
      <w:r>
        <w:t>associent</w:t>
      </w:r>
      <w:r w:rsidRPr="002C4077">
        <w:t xml:space="preserve"> </w:t>
      </w:r>
      <w:r>
        <w:t>le</w:t>
      </w:r>
      <w:r w:rsidRPr="002C4077">
        <w:t xml:space="preserve"> </w:t>
      </w:r>
      <w:r>
        <w:t>tout</w:t>
      </w:r>
      <w:r w:rsidRPr="002C4077">
        <w:t xml:space="preserve"> </w:t>
      </w:r>
      <w:r>
        <w:t>ensemble</w:t>
      </w:r>
      <w:r w:rsidRPr="002C4077">
        <w:t xml:space="preserve"> </w:t>
      </w:r>
      <w:r>
        <w:t>dans</w:t>
      </w:r>
      <w:r w:rsidRPr="002C4077">
        <w:t xml:space="preserve"> </w:t>
      </w:r>
      <w:r>
        <w:t>leurs</w:t>
      </w:r>
      <w:r w:rsidRPr="002C4077">
        <w:t xml:space="preserve"> </w:t>
      </w:r>
      <w:r>
        <w:t>descriptions.</w:t>
      </w:r>
      <w:r w:rsidRPr="002C4077">
        <w:t xml:space="preserve"> </w:t>
      </w:r>
      <w:r>
        <w:t>C’est</w:t>
      </w:r>
      <w:r w:rsidRPr="002C4077">
        <w:t xml:space="preserve"> </w:t>
      </w:r>
      <w:r>
        <w:t>la</w:t>
      </w:r>
      <w:r w:rsidRPr="002C4077">
        <w:t xml:space="preserve"> </w:t>
      </w:r>
      <w:r>
        <w:t>loi</w:t>
      </w:r>
      <w:r w:rsidRPr="002C4077">
        <w:t xml:space="preserve"> </w:t>
      </w:r>
      <w:r>
        <w:t>du</w:t>
      </w:r>
      <w:r w:rsidRPr="002C4077">
        <w:t xml:space="preserve"> </w:t>
      </w:r>
      <w:r>
        <w:t>raccourci</w:t>
      </w:r>
      <w:r w:rsidRPr="002C4077">
        <w:t xml:space="preserve"> </w:t>
      </w:r>
      <w:r>
        <w:t>en</w:t>
      </w:r>
      <w:r w:rsidRPr="002C4077">
        <w:t xml:space="preserve"> </w:t>
      </w:r>
      <w:r>
        <w:t>perspective,</w:t>
      </w:r>
      <w:r w:rsidRPr="002C4077">
        <w:t xml:space="preserve"> </w:t>
      </w:r>
      <w:r>
        <w:t>selon</w:t>
      </w:r>
      <w:r w:rsidRPr="002C4077">
        <w:t xml:space="preserve"> </w:t>
      </w:r>
      <w:r>
        <w:t>le</w:t>
      </w:r>
      <w:r w:rsidRPr="002C4077">
        <w:t xml:space="preserve"> </w:t>
      </w:r>
      <w:r>
        <w:t>mo</w:t>
      </w:r>
      <w:r w:rsidR="006E0521">
        <w:t>t</w:t>
      </w:r>
      <w:r w:rsidR="006E0521" w:rsidRPr="002C4077">
        <w:t xml:space="preserve"> </w:t>
      </w:r>
      <w:r w:rsidR="006E0521">
        <w:t>très</w:t>
      </w:r>
      <w:r w:rsidR="006E0521" w:rsidRPr="002C4077">
        <w:t xml:space="preserve"> </w:t>
      </w:r>
      <w:r w:rsidR="006E0521">
        <w:t>juste</w:t>
      </w:r>
      <w:r w:rsidR="006E0521" w:rsidRPr="002C4077">
        <w:t xml:space="preserve"> </w:t>
      </w:r>
      <w:r w:rsidR="006E0521">
        <w:t>de</w:t>
      </w:r>
      <w:r w:rsidR="006E0521" w:rsidRPr="002C4077">
        <w:t xml:space="preserve"> </w:t>
      </w:r>
      <w:r w:rsidR="006E0521">
        <w:t>M.</w:t>
      </w:r>
      <w:r w:rsidR="006E0521" w:rsidRPr="002C4077">
        <w:t xml:space="preserve"> </w:t>
      </w:r>
      <w:r w:rsidR="006E0521">
        <w:t>F.</w:t>
      </w:r>
      <w:r w:rsidR="006E0521" w:rsidRPr="002C4077">
        <w:t xml:space="preserve"> </w:t>
      </w:r>
      <w:r w:rsidR="006E0521">
        <w:t>Delitzsch</w:t>
      </w:r>
      <w:r w:rsidR="006E0521">
        <w:rPr>
          <w:rStyle w:val="Appelnotedebasdep"/>
        </w:rPr>
        <w:footnoteReference w:id="309"/>
      </w:r>
      <w:r>
        <w:t>.</w:t>
      </w:r>
      <w:r w:rsidRPr="002C4077">
        <w:t xml:space="preserve"> </w:t>
      </w:r>
      <w:r>
        <w:t>Lisez</w:t>
      </w:r>
      <w:r w:rsidRPr="002C4077">
        <w:t xml:space="preserve"> </w:t>
      </w:r>
      <w:r>
        <w:t>Jérémie,</w:t>
      </w:r>
      <w:r w:rsidRPr="002C4077">
        <w:t xml:space="preserve"> </w:t>
      </w:r>
      <w:r>
        <w:t>Éz</w:t>
      </w:r>
      <w:r w:rsidR="001730C6">
        <w:t>éc</w:t>
      </w:r>
      <w:r>
        <w:t>hiel,</w:t>
      </w:r>
      <w:r w:rsidRPr="002C4077">
        <w:t xml:space="preserve"> </w:t>
      </w:r>
      <w:r>
        <w:t>Daniel,</w:t>
      </w:r>
      <w:r w:rsidRPr="002C4077">
        <w:t xml:space="preserve"> </w:t>
      </w:r>
      <w:r>
        <w:t>Osée,</w:t>
      </w:r>
      <w:r w:rsidRPr="002C4077">
        <w:t xml:space="preserve"> </w:t>
      </w:r>
      <w:r>
        <w:t>Michée,</w:t>
      </w:r>
      <w:r w:rsidRPr="002C4077">
        <w:t xml:space="preserve"> </w:t>
      </w:r>
      <w:r>
        <w:t>Habacuc</w:t>
      </w:r>
      <w:r w:rsidR="00B546AF">
        <w:t> ;</w:t>
      </w:r>
      <w:r w:rsidRPr="002C4077">
        <w:t xml:space="preserve"> </w:t>
      </w:r>
      <w:r>
        <w:t>partout</w:t>
      </w:r>
      <w:r w:rsidRPr="002C4077">
        <w:t xml:space="preserve"> </w:t>
      </w:r>
      <w:r>
        <w:t>vous</w:t>
      </w:r>
      <w:r w:rsidRPr="002C4077">
        <w:t xml:space="preserve"> </w:t>
      </w:r>
      <w:r>
        <w:t>retrouverez</w:t>
      </w:r>
      <w:r w:rsidRPr="002C4077">
        <w:t xml:space="preserve"> </w:t>
      </w:r>
      <w:r>
        <w:t>les</w:t>
      </w:r>
      <w:r w:rsidRPr="002C4077">
        <w:t xml:space="preserve"> </w:t>
      </w:r>
      <w:r>
        <w:t>oracles</w:t>
      </w:r>
      <w:r w:rsidRPr="002C4077">
        <w:t xml:space="preserve"> </w:t>
      </w:r>
      <w:r>
        <w:t>relatifs</w:t>
      </w:r>
      <w:r w:rsidRPr="002C4077">
        <w:t xml:space="preserve"> </w:t>
      </w:r>
      <w:r>
        <w:t>à</w:t>
      </w:r>
      <w:r w:rsidRPr="002C4077">
        <w:t xml:space="preserve"> </w:t>
      </w:r>
      <w:r>
        <w:t>l’avenir</w:t>
      </w:r>
      <w:r w:rsidRPr="002C4077">
        <w:t xml:space="preserve"> </w:t>
      </w:r>
      <w:r>
        <w:t>unis</w:t>
      </w:r>
      <w:r w:rsidRPr="002C4077">
        <w:t xml:space="preserve"> </w:t>
      </w:r>
      <w:r>
        <w:t>aux</w:t>
      </w:r>
      <w:r w:rsidRPr="002C4077">
        <w:t xml:space="preserve"> </w:t>
      </w:r>
      <w:r>
        <w:t>événements</w:t>
      </w:r>
      <w:r w:rsidRPr="002C4077">
        <w:t xml:space="preserve"> </w:t>
      </w:r>
      <w:r>
        <w:t>actuels,</w:t>
      </w:r>
      <w:r w:rsidRPr="002C4077">
        <w:t xml:space="preserve"> </w:t>
      </w:r>
      <w:r>
        <w:t>qui</w:t>
      </w:r>
      <w:r w:rsidRPr="002C4077">
        <w:t xml:space="preserve"> </w:t>
      </w:r>
      <w:r>
        <w:t>leur</w:t>
      </w:r>
      <w:r w:rsidRPr="002C4077">
        <w:t xml:space="preserve"> </w:t>
      </w:r>
      <w:r>
        <w:t>prêtent</w:t>
      </w:r>
      <w:r w:rsidRPr="002C4077">
        <w:t xml:space="preserve"> </w:t>
      </w:r>
      <w:r>
        <w:t>leurs</w:t>
      </w:r>
      <w:r w:rsidRPr="002C4077">
        <w:t xml:space="preserve"> </w:t>
      </w:r>
      <w:r>
        <w:t>couleurs.</w:t>
      </w:r>
      <w:r w:rsidRPr="002C4077">
        <w:t xml:space="preserve"> </w:t>
      </w:r>
    </w:p>
    <w:p w:rsidR="000A7AAB" w:rsidRDefault="000A7AAB" w:rsidP="000A7AAB">
      <w:r>
        <w:t>Pour</w:t>
      </w:r>
      <w:r w:rsidRPr="002C4077">
        <w:t xml:space="preserve"> </w:t>
      </w:r>
      <w:r>
        <w:t>Isaïe,</w:t>
      </w:r>
      <w:r w:rsidRPr="002C4077">
        <w:t xml:space="preserve"> </w:t>
      </w:r>
      <w:r>
        <w:t>la</w:t>
      </w:r>
      <w:r w:rsidRPr="002C4077">
        <w:t xml:space="preserve"> </w:t>
      </w:r>
      <w:r>
        <w:t>Vierge</w:t>
      </w:r>
      <w:r w:rsidRPr="002C4077">
        <w:t xml:space="preserve"> </w:t>
      </w:r>
      <w:r>
        <w:t>et</w:t>
      </w:r>
      <w:r w:rsidRPr="002C4077">
        <w:t xml:space="preserve"> </w:t>
      </w:r>
      <w:r>
        <w:t>son</w:t>
      </w:r>
      <w:r w:rsidRPr="002C4077">
        <w:t xml:space="preserve"> </w:t>
      </w:r>
      <w:r>
        <w:t>fils</w:t>
      </w:r>
      <w:r w:rsidRPr="002C4077">
        <w:t xml:space="preserve"> </w:t>
      </w:r>
      <w:r>
        <w:t>étaient</w:t>
      </w:r>
      <w:r w:rsidRPr="002C4077">
        <w:t xml:space="preserve"> </w:t>
      </w:r>
      <w:r>
        <w:t>donc</w:t>
      </w:r>
      <w:r w:rsidRPr="002C4077">
        <w:t xml:space="preserve"> </w:t>
      </w:r>
      <w:r>
        <w:t>déjà</w:t>
      </w:r>
      <w:r w:rsidRPr="002C4077">
        <w:t xml:space="preserve"> </w:t>
      </w:r>
      <w:r>
        <w:t>présents</w:t>
      </w:r>
      <w:r w:rsidRPr="002C4077">
        <w:t xml:space="preserve"> </w:t>
      </w:r>
      <w:r>
        <w:t>d’une</w:t>
      </w:r>
      <w:r w:rsidRPr="002C4077">
        <w:t xml:space="preserve"> </w:t>
      </w:r>
      <w:r>
        <w:t>présence</w:t>
      </w:r>
      <w:r w:rsidRPr="002C4077">
        <w:t xml:space="preserve"> </w:t>
      </w:r>
      <w:r>
        <w:t>idéale,</w:t>
      </w:r>
      <w:r w:rsidRPr="002C4077">
        <w:t xml:space="preserve"> </w:t>
      </w:r>
      <w:r>
        <w:t>par</w:t>
      </w:r>
      <w:r w:rsidRPr="002C4077">
        <w:t xml:space="preserve"> </w:t>
      </w:r>
      <w:r>
        <w:t>suite</w:t>
      </w:r>
      <w:r w:rsidRPr="002C4077">
        <w:t xml:space="preserve"> </w:t>
      </w:r>
      <w:r>
        <w:t>de</w:t>
      </w:r>
      <w:r w:rsidRPr="002C4077">
        <w:t xml:space="preserve"> </w:t>
      </w:r>
      <w:r>
        <w:t>la</w:t>
      </w:r>
      <w:r w:rsidRPr="002C4077">
        <w:t xml:space="preserve"> </w:t>
      </w:r>
      <w:r>
        <w:t>contemplation</w:t>
      </w:r>
      <w:r w:rsidRPr="002C4077">
        <w:t xml:space="preserve"> </w:t>
      </w:r>
      <w:r>
        <w:t>extatique</w:t>
      </w:r>
      <w:r w:rsidRPr="002C4077">
        <w:t xml:space="preserve"> </w:t>
      </w:r>
      <w:r>
        <w:t>que</w:t>
      </w:r>
      <w:r w:rsidRPr="002C4077">
        <w:t xml:space="preserve"> </w:t>
      </w:r>
      <w:r>
        <w:t>Dieu</w:t>
      </w:r>
      <w:r w:rsidRPr="002C4077">
        <w:t xml:space="preserve"> </w:t>
      </w:r>
      <w:r>
        <w:t>lui</w:t>
      </w:r>
      <w:r w:rsidRPr="002C4077">
        <w:t xml:space="preserve"> </w:t>
      </w:r>
      <w:r>
        <w:t>avait</w:t>
      </w:r>
      <w:r w:rsidRPr="002C4077">
        <w:t xml:space="preserve"> </w:t>
      </w:r>
      <w:r>
        <w:t>miraculeusement</w:t>
      </w:r>
      <w:r w:rsidRPr="002C4077">
        <w:t xml:space="preserve"> </w:t>
      </w:r>
      <w:r>
        <w:t>accordée.</w:t>
      </w:r>
      <w:r w:rsidRPr="002C4077">
        <w:t xml:space="preserve"> </w:t>
      </w:r>
      <w:r>
        <w:t>Or,</w:t>
      </w:r>
      <w:r w:rsidRPr="002C4077">
        <w:t xml:space="preserve"> </w:t>
      </w:r>
      <w:r w:rsidR="00B546AF">
        <w:t>« </w:t>
      </w:r>
      <w:r>
        <w:t>si</w:t>
      </w:r>
      <w:r w:rsidRPr="002C4077">
        <w:t xml:space="preserve"> </w:t>
      </w:r>
      <w:r>
        <w:t>le</w:t>
      </w:r>
      <w:r w:rsidRPr="002C4077">
        <w:t xml:space="preserve"> </w:t>
      </w:r>
      <w:r>
        <w:t>prophète</w:t>
      </w:r>
      <w:r w:rsidRPr="002C4077">
        <w:t xml:space="preserve"> </w:t>
      </w:r>
      <w:r>
        <w:t>avait</w:t>
      </w:r>
      <w:r w:rsidRPr="002C4077">
        <w:t xml:space="preserve"> </w:t>
      </w:r>
      <w:r>
        <w:t>sous</w:t>
      </w:r>
      <w:r w:rsidRPr="002C4077">
        <w:t xml:space="preserve"> </w:t>
      </w:r>
      <w:r>
        <w:t>son</w:t>
      </w:r>
      <w:r w:rsidRPr="002C4077">
        <w:t xml:space="preserve"> </w:t>
      </w:r>
      <w:r>
        <w:t>regard</w:t>
      </w:r>
      <w:r w:rsidRPr="002C4077">
        <w:t xml:space="preserve"> </w:t>
      </w:r>
      <w:r>
        <w:t>intérieur</w:t>
      </w:r>
      <w:r w:rsidRPr="002C4077">
        <w:t xml:space="preserve"> </w:t>
      </w:r>
      <w:r>
        <w:t>une</w:t>
      </w:r>
      <w:r w:rsidRPr="002C4077">
        <w:t xml:space="preserve"> </w:t>
      </w:r>
      <w:r w:rsidR="00D40830" w:rsidRPr="00D05EA9">
        <w:rPr>
          <w:rStyle w:val="italicus"/>
        </w:rPr>
        <w:t>῾almah</w:t>
      </w:r>
      <w:r w:rsidRPr="002C4077">
        <w:t xml:space="preserve"> </w:t>
      </w:r>
      <w:r>
        <w:t>déterminée</w:t>
      </w:r>
      <w:r w:rsidRPr="002C4077">
        <w:t xml:space="preserve"> </w:t>
      </w:r>
      <w:r>
        <w:t>et</w:t>
      </w:r>
      <w:r w:rsidRPr="002C4077">
        <w:t xml:space="preserve"> </w:t>
      </w:r>
      <w:r>
        <w:t>son</w:t>
      </w:r>
      <w:r w:rsidRPr="002C4077">
        <w:t xml:space="preserve"> </w:t>
      </w:r>
      <w:r>
        <w:t>fils,</w:t>
      </w:r>
      <w:r w:rsidRPr="002C4077">
        <w:t xml:space="preserve"> </w:t>
      </w:r>
      <w:r>
        <w:t>il</w:t>
      </w:r>
      <w:r w:rsidRPr="002C4077">
        <w:t xml:space="preserve"> </w:t>
      </w:r>
      <w:r>
        <w:t>pouvait</w:t>
      </w:r>
      <w:r w:rsidRPr="002C4077">
        <w:t xml:space="preserve"> </w:t>
      </w:r>
      <w:r>
        <w:t>parler</w:t>
      </w:r>
      <w:r w:rsidRPr="002C4077">
        <w:t xml:space="preserve"> </w:t>
      </w:r>
      <w:r>
        <w:t>d’eux</w:t>
      </w:r>
      <w:r w:rsidRPr="002C4077">
        <w:t xml:space="preserve"> </w:t>
      </w:r>
      <w:r>
        <w:t>comme</w:t>
      </w:r>
      <w:r w:rsidRPr="002C4077">
        <w:t xml:space="preserve"> </w:t>
      </w:r>
      <w:r>
        <w:t>de</w:t>
      </w:r>
      <w:r w:rsidRPr="002C4077">
        <w:t xml:space="preserve"> </w:t>
      </w:r>
      <w:r>
        <w:t>personnes</w:t>
      </w:r>
      <w:r w:rsidRPr="002C4077">
        <w:t xml:space="preserve"> </w:t>
      </w:r>
      <w:r>
        <w:t>vivantes</w:t>
      </w:r>
      <w:r w:rsidRPr="002C4077">
        <w:t xml:space="preserve"> </w:t>
      </w:r>
      <w:r>
        <w:t>et</w:t>
      </w:r>
      <w:r w:rsidRPr="002C4077">
        <w:t xml:space="preserve"> </w:t>
      </w:r>
      <w:r>
        <w:t>se</w:t>
      </w:r>
      <w:r w:rsidRPr="002C4077">
        <w:t xml:space="preserve"> </w:t>
      </w:r>
      <w:r>
        <w:t>servir</w:t>
      </w:r>
      <w:r w:rsidRPr="002C4077">
        <w:t xml:space="preserve"> </w:t>
      </w:r>
      <w:r>
        <w:t>d’eux</w:t>
      </w:r>
      <w:r w:rsidRPr="002C4077">
        <w:t xml:space="preserve"> </w:t>
      </w:r>
      <w:r>
        <w:t>pour</w:t>
      </w:r>
      <w:r w:rsidRPr="002C4077">
        <w:t xml:space="preserve"> </w:t>
      </w:r>
      <w:r>
        <w:t>fixer</w:t>
      </w:r>
      <w:r w:rsidRPr="002C4077">
        <w:t xml:space="preserve"> </w:t>
      </w:r>
      <w:r>
        <w:t>une</w:t>
      </w:r>
      <w:r w:rsidRPr="002C4077">
        <w:t xml:space="preserve"> </w:t>
      </w:r>
      <w:r>
        <w:t>époque</w:t>
      </w:r>
      <w:r w:rsidR="00B91AF7">
        <w:rPr>
          <w:rStyle w:val="Appelnotedebasdep"/>
        </w:rPr>
        <w:footnoteReference w:id="310"/>
      </w:r>
      <w:r w:rsidR="00B546AF">
        <w:t> »</w:t>
      </w:r>
      <w:r>
        <w:t>.</w:t>
      </w:r>
      <w:r w:rsidR="00C45B47">
        <w:t xml:space="preserve"> {</w:t>
      </w:r>
      <w:r w:rsidR="000721C4">
        <w:t>99</w:t>
      </w:r>
      <w:bookmarkStart w:id="288" w:name="p099"/>
      <w:bookmarkEnd w:id="288"/>
      <w:r w:rsidR="000721C4">
        <w:t xml:space="preserve">} </w:t>
      </w:r>
      <w:r>
        <w:t>C’est</w:t>
      </w:r>
      <w:r w:rsidRPr="002C4077">
        <w:t xml:space="preserve"> </w:t>
      </w:r>
      <w:r>
        <w:t>précisément</w:t>
      </w:r>
      <w:r w:rsidRPr="002C4077">
        <w:t xml:space="preserve"> </w:t>
      </w:r>
      <w:r>
        <w:t>ce</w:t>
      </w:r>
      <w:r w:rsidRPr="002C4077">
        <w:t xml:space="preserve"> </w:t>
      </w:r>
      <w:r>
        <w:t>qu’il</w:t>
      </w:r>
      <w:r w:rsidRPr="002C4077">
        <w:t xml:space="preserve"> </w:t>
      </w:r>
      <w:r>
        <w:t>a</w:t>
      </w:r>
      <w:r w:rsidRPr="002C4077">
        <w:t xml:space="preserve"> </w:t>
      </w:r>
      <w:r>
        <w:t>fait,</w:t>
      </w:r>
      <w:r w:rsidRPr="002C4077">
        <w:t xml:space="preserve"> </w:t>
      </w:r>
      <w:r>
        <w:t>prenant</w:t>
      </w:r>
      <w:r w:rsidRPr="002C4077">
        <w:t xml:space="preserve"> </w:t>
      </w:r>
      <w:r>
        <w:t>la</w:t>
      </w:r>
      <w:r w:rsidRPr="002C4077">
        <w:t xml:space="preserve"> </w:t>
      </w:r>
      <w:r>
        <w:t>bienheureuse</w:t>
      </w:r>
      <w:r w:rsidRPr="002C4077">
        <w:t xml:space="preserve"> </w:t>
      </w:r>
      <w:r>
        <w:t>naissance</w:t>
      </w:r>
      <w:r w:rsidRPr="002C4077">
        <w:t xml:space="preserve"> </w:t>
      </w:r>
      <w:r>
        <w:t>d’Emmanuel</w:t>
      </w:r>
      <w:r w:rsidRPr="002C4077">
        <w:t xml:space="preserve"> </w:t>
      </w:r>
      <w:r>
        <w:t>pour</w:t>
      </w:r>
      <w:r w:rsidRPr="002C4077">
        <w:t xml:space="preserve"> </w:t>
      </w:r>
      <w:r>
        <w:t>point</w:t>
      </w:r>
      <w:r w:rsidRPr="002C4077">
        <w:t xml:space="preserve"> </w:t>
      </w:r>
      <w:r>
        <w:t>de</w:t>
      </w:r>
      <w:r w:rsidRPr="002C4077">
        <w:t xml:space="preserve"> </w:t>
      </w:r>
      <w:r>
        <w:t>départ</w:t>
      </w:r>
      <w:r w:rsidRPr="002C4077">
        <w:t xml:space="preserve"> </w:t>
      </w:r>
      <w:r>
        <w:t>d’événements</w:t>
      </w:r>
      <w:r w:rsidRPr="002C4077">
        <w:t xml:space="preserve"> </w:t>
      </w:r>
      <w:r>
        <w:t>qui</w:t>
      </w:r>
      <w:r w:rsidRPr="002C4077">
        <w:t xml:space="preserve"> </w:t>
      </w:r>
      <w:r>
        <w:t>devaient</w:t>
      </w:r>
      <w:r w:rsidRPr="002C4077">
        <w:t xml:space="preserve"> </w:t>
      </w:r>
      <w:r>
        <w:t>en</w:t>
      </w:r>
      <w:r w:rsidRPr="002C4077">
        <w:t xml:space="preserve"> </w:t>
      </w:r>
      <w:r>
        <w:t>réalité</w:t>
      </w:r>
      <w:r w:rsidRPr="002C4077">
        <w:t xml:space="preserve"> </w:t>
      </w:r>
      <w:r>
        <w:t>s’accomplir</w:t>
      </w:r>
      <w:r w:rsidRPr="002C4077">
        <w:t xml:space="preserve"> </w:t>
      </w:r>
      <w:r>
        <w:t>longtemps</w:t>
      </w:r>
      <w:r w:rsidRPr="002C4077">
        <w:t xml:space="preserve"> </w:t>
      </w:r>
      <w:r>
        <w:t>avant</w:t>
      </w:r>
      <w:r w:rsidRPr="002C4077">
        <w:t xml:space="preserve"> </w:t>
      </w:r>
      <w:r>
        <w:t>elle</w:t>
      </w:r>
      <w:r w:rsidR="00B91AF7">
        <w:rPr>
          <w:rStyle w:val="Appelnotedebasdep"/>
        </w:rPr>
        <w:footnoteReference w:id="311"/>
      </w:r>
      <w:r>
        <w:t>,</w:t>
      </w:r>
      <w:r w:rsidRPr="002C4077">
        <w:t xml:space="preserve"> </w:t>
      </w:r>
      <w:r>
        <w:t>mais</w:t>
      </w:r>
      <w:r w:rsidRPr="002C4077">
        <w:t xml:space="preserve"> </w:t>
      </w:r>
      <w:r>
        <w:t>qu’il</w:t>
      </w:r>
      <w:r w:rsidRPr="002C4077">
        <w:t xml:space="preserve"> </w:t>
      </w:r>
      <w:r>
        <w:t>envisageait,</w:t>
      </w:r>
      <w:r w:rsidRPr="002C4077">
        <w:t xml:space="preserve"> </w:t>
      </w:r>
      <w:r>
        <w:t>dans</w:t>
      </w:r>
      <w:r w:rsidRPr="002C4077">
        <w:t xml:space="preserve"> </w:t>
      </w:r>
      <w:r>
        <w:t>les</w:t>
      </w:r>
      <w:r w:rsidRPr="002C4077">
        <w:t xml:space="preserve"> </w:t>
      </w:r>
      <w:r>
        <w:t>splendeurs</w:t>
      </w:r>
      <w:r w:rsidRPr="002C4077">
        <w:t xml:space="preserve"> </w:t>
      </w:r>
      <w:r>
        <w:t>de</w:t>
      </w:r>
      <w:r w:rsidRPr="002C4077">
        <w:t xml:space="preserve"> </w:t>
      </w:r>
      <w:r>
        <w:t>la</w:t>
      </w:r>
      <w:r w:rsidRPr="002C4077">
        <w:t xml:space="preserve"> </w:t>
      </w:r>
      <w:r>
        <w:t>prophétie,</w:t>
      </w:r>
      <w:r w:rsidRPr="002C4077">
        <w:t xml:space="preserve"> </w:t>
      </w:r>
      <w:r>
        <w:t>comme</w:t>
      </w:r>
      <w:r w:rsidRPr="002C4077">
        <w:t xml:space="preserve"> </w:t>
      </w:r>
      <w:r>
        <w:t>ayant</w:t>
      </w:r>
      <w:r w:rsidRPr="002C4077">
        <w:t xml:space="preserve"> </w:t>
      </w:r>
      <w:r>
        <w:t>avec</w:t>
      </w:r>
      <w:r w:rsidRPr="002C4077">
        <w:t xml:space="preserve"> </w:t>
      </w:r>
      <w:r>
        <w:t>elle</w:t>
      </w:r>
      <w:r w:rsidRPr="002C4077">
        <w:t xml:space="preserve"> </w:t>
      </w:r>
      <w:r>
        <w:t>une</w:t>
      </w:r>
      <w:r w:rsidRPr="002C4077">
        <w:t xml:space="preserve"> </w:t>
      </w:r>
      <w:r>
        <w:t>étroite</w:t>
      </w:r>
      <w:r w:rsidRPr="002C4077">
        <w:t xml:space="preserve"> </w:t>
      </w:r>
      <w:r>
        <w:t>connexion.</w:t>
      </w:r>
      <w:r w:rsidRPr="002C4077">
        <w:t xml:space="preserve"> </w:t>
      </w:r>
      <w:r>
        <w:t>À</w:t>
      </w:r>
      <w:r w:rsidRPr="002C4077">
        <w:t xml:space="preserve"> </w:t>
      </w:r>
      <w:r>
        <w:t>ses</w:t>
      </w:r>
      <w:r w:rsidRPr="002C4077">
        <w:t xml:space="preserve"> </w:t>
      </w:r>
      <w:r>
        <w:t>yeux,</w:t>
      </w:r>
      <w:r w:rsidRPr="002C4077">
        <w:t xml:space="preserve"> </w:t>
      </w:r>
      <w:r>
        <w:t>le</w:t>
      </w:r>
      <w:r w:rsidRPr="002C4077">
        <w:t xml:space="preserve"> </w:t>
      </w:r>
      <w:r>
        <w:t>divin</w:t>
      </w:r>
      <w:r w:rsidRPr="002C4077">
        <w:t xml:space="preserve"> </w:t>
      </w:r>
      <w:r>
        <w:t>enfant</w:t>
      </w:r>
      <w:bookmarkStart w:id="289" w:name="z_JesusEmmanuel_o3"/>
      <w:bookmarkEnd w:id="289"/>
      <w:r w:rsidRPr="002C4077">
        <w:t xml:space="preserve"> </w:t>
      </w:r>
      <w:r>
        <w:t>de</w:t>
      </w:r>
      <w:r w:rsidRPr="002C4077">
        <w:t xml:space="preserve"> </w:t>
      </w:r>
      <w:r w:rsidR="00D40830" w:rsidRPr="00D40830">
        <w:t>l’</w:t>
      </w:r>
      <w:r w:rsidR="00D40830" w:rsidRPr="00D05EA9">
        <w:rPr>
          <w:rStyle w:val="italicus"/>
        </w:rPr>
        <w:t>῾almah</w:t>
      </w:r>
      <w:r w:rsidRPr="002C4077">
        <w:t xml:space="preserve"> </w:t>
      </w:r>
      <w:r w:rsidR="00425C50">
        <w:t>est</w:t>
      </w:r>
      <w:r w:rsidRPr="002C4077">
        <w:t xml:space="preserve"> </w:t>
      </w:r>
      <w:r>
        <w:t>en</w:t>
      </w:r>
      <w:r w:rsidRPr="002C4077">
        <w:t xml:space="preserve"> </w:t>
      </w:r>
      <w:r>
        <w:t>quelque</w:t>
      </w:r>
      <w:r w:rsidRPr="002C4077">
        <w:t xml:space="preserve"> </w:t>
      </w:r>
      <w:r>
        <w:t>sorte</w:t>
      </w:r>
      <w:r w:rsidRPr="002C4077">
        <w:t xml:space="preserve"> </w:t>
      </w:r>
      <w:r>
        <w:t>déjà</w:t>
      </w:r>
      <w:r w:rsidRPr="002C4077">
        <w:t xml:space="preserve"> </w:t>
      </w:r>
      <w:r>
        <w:t>né,</w:t>
      </w:r>
      <w:r w:rsidRPr="002C4077">
        <w:t xml:space="preserve"> </w:t>
      </w:r>
      <w:r>
        <w:t>et</w:t>
      </w:r>
      <w:r w:rsidRPr="002C4077">
        <w:t xml:space="preserve"> </w:t>
      </w:r>
      <w:r>
        <w:t>il</w:t>
      </w:r>
      <w:r w:rsidRPr="002C4077">
        <w:t xml:space="preserve"> </w:t>
      </w:r>
      <w:r>
        <w:t>le</w:t>
      </w:r>
      <w:r w:rsidRPr="002C4077">
        <w:t xml:space="preserve"> </w:t>
      </w:r>
      <w:r>
        <w:t>voit</w:t>
      </w:r>
      <w:r w:rsidRPr="002C4077">
        <w:t xml:space="preserve"> </w:t>
      </w:r>
      <w:r>
        <w:t>vivant</w:t>
      </w:r>
      <w:r w:rsidRPr="002C4077">
        <w:t xml:space="preserve"> </w:t>
      </w:r>
      <w:r>
        <w:t>au</w:t>
      </w:r>
      <w:r w:rsidRPr="002C4077">
        <w:t xml:space="preserve"> </w:t>
      </w:r>
      <w:r>
        <w:t>milieu</w:t>
      </w:r>
      <w:r w:rsidRPr="002C4077">
        <w:t xml:space="preserve"> </w:t>
      </w:r>
      <w:r>
        <w:t>de</w:t>
      </w:r>
      <w:r w:rsidRPr="002C4077">
        <w:t xml:space="preserve"> </w:t>
      </w:r>
      <w:r>
        <w:t>son</w:t>
      </w:r>
      <w:r w:rsidRPr="002C4077">
        <w:t xml:space="preserve"> </w:t>
      </w:r>
      <w:r>
        <w:t>peuple</w:t>
      </w:r>
      <w:r w:rsidRPr="002C4077">
        <w:t xml:space="preserve"> </w:t>
      </w:r>
      <w:r>
        <w:t>dont</w:t>
      </w:r>
      <w:r w:rsidRPr="002C4077">
        <w:t xml:space="preserve"> </w:t>
      </w:r>
      <w:r>
        <w:t>il</w:t>
      </w:r>
      <w:r w:rsidRPr="002C4077">
        <w:t xml:space="preserve"> </w:t>
      </w:r>
      <w:r>
        <w:t>partage</w:t>
      </w:r>
      <w:r w:rsidRPr="002C4077">
        <w:t xml:space="preserve"> </w:t>
      </w:r>
      <w:r>
        <w:t>les</w:t>
      </w:r>
      <w:r w:rsidRPr="002C4077">
        <w:t xml:space="preserve"> </w:t>
      </w:r>
      <w:r>
        <w:t>souffrances</w:t>
      </w:r>
      <w:r w:rsidR="00B91AF7">
        <w:rPr>
          <w:rStyle w:val="Appelnotedebasdep"/>
        </w:rPr>
        <w:footnoteReference w:id="312"/>
      </w:r>
      <w:r>
        <w:t>.</w:t>
      </w:r>
      <w:r w:rsidRPr="002C4077">
        <w:t xml:space="preserve"> </w:t>
      </w:r>
    </w:p>
    <w:p w:rsidR="007B0987" w:rsidRDefault="007B0987" w:rsidP="000A7AAB"/>
    <w:p w:rsidR="000A7AAB" w:rsidRPr="000721C4" w:rsidRDefault="000A7AAB" w:rsidP="000A7AAB">
      <w:r>
        <w:t>Après</w:t>
      </w:r>
      <w:r w:rsidRPr="002C4077">
        <w:t xml:space="preserve"> </w:t>
      </w:r>
      <w:r>
        <w:t>tant</w:t>
      </w:r>
      <w:r w:rsidRPr="002C4077">
        <w:t xml:space="preserve"> </w:t>
      </w:r>
      <w:r>
        <w:t>de</w:t>
      </w:r>
      <w:r w:rsidRPr="002C4077">
        <w:t xml:space="preserve"> </w:t>
      </w:r>
      <w:r>
        <w:t>preuves</w:t>
      </w:r>
      <w:r w:rsidRPr="002C4077">
        <w:t xml:space="preserve"> </w:t>
      </w:r>
      <w:r>
        <w:t>accumulées,</w:t>
      </w:r>
      <w:r w:rsidRPr="002C4077">
        <w:t xml:space="preserve"> </w:t>
      </w:r>
      <w:r>
        <w:t>nous</w:t>
      </w:r>
      <w:r w:rsidRPr="002C4077">
        <w:t xml:space="preserve"> </w:t>
      </w:r>
      <w:r>
        <w:t>avons</w:t>
      </w:r>
      <w:r w:rsidRPr="002C4077">
        <w:t xml:space="preserve"> </w:t>
      </w:r>
      <w:r>
        <w:t>assurément</w:t>
      </w:r>
      <w:r w:rsidRPr="002C4077">
        <w:t xml:space="preserve"> </w:t>
      </w:r>
      <w:r>
        <w:t>le</w:t>
      </w:r>
      <w:r w:rsidRPr="002C4077">
        <w:t xml:space="preserve"> </w:t>
      </w:r>
      <w:r>
        <w:t>droit</w:t>
      </w:r>
      <w:r w:rsidRPr="002C4077">
        <w:t xml:space="preserve"> </w:t>
      </w:r>
      <w:r>
        <w:t>de</w:t>
      </w:r>
      <w:r w:rsidRPr="002C4077">
        <w:t xml:space="preserve"> </w:t>
      </w:r>
      <w:r>
        <w:t>conclure</w:t>
      </w:r>
      <w:r w:rsidRPr="002C4077">
        <w:t xml:space="preserve"> </w:t>
      </w:r>
      <w:r>
        <w:t>avec</w:t>
      </w:r>
      <w:r w:rsidRPr="002C4077">
        <w:t xml:space="preserve"> </w:t>
      </w:r>
      <w:r>
        <w:t>S.</w:t>
      </w:r>
      <w:r w:rsidRPr="002C4077">
        <w:t xml:space="preserve"> </w:t>
      </w:r>
      <w:r>
        <w:t>Augustin</w:t>
      </w:r>
      <w:bookmarkStart w:id="290" w:name="z_TraditionAlmah_o3"/>
      <w:bookmarkEnd w:id="290"/>
      <w:r w:rsidR="00B546AF">
        <w:t> :</w:t>
      </w:r>
      <w:r w:rsidRPr="002C4077">
        <w:t xml:space="preserve"> </w:t>
      </w:r>
      <w:r w:rsidRPr="000A34B5">
        <w:rPr>
          <w:rStyle w:val="italicus"/>
        </w:rPr>
        <w:t>Sicut</w:t>
      </w:r>
      <w:r w:rsidRPr="002C4077">
        <w:t xml:space="preserve"> </w:t>
      </w:r>
      <w:r w:rsidRPr="000A34B5">
        <w:rPr>
          <w:rStyle w:val="italicus"/>
        </w:rPr>
        <w:t>Adam</w:t>
      </w:r>
      <w:r w:rsidRPr="002C4077">
        <w:t xml:space="preserve"> </w:t>
      </w:r>
      <w:r w:rsidRPr="000A34B5">
        <w:rPr>
          <w:rStyle w:val="italicus"/>
        </w:rPr>
        <w:t>ex</w:t>
      </w:r>
      <w:r w:rsidRPr="002C4077">
        <w:t xml:space="preserve"> </w:t>
      </w:r>
      <w:r w:rsidRPr="000A34B5">
        <w:rPr>
          <w:rStyle w:val="italicus"/>
        </w:rPr>
        <w:t>terra</w:t>
      </w:r>
      <w:r w:rsidRPr="002C4077">
        <w:t xml:space="preserve"> </w:t>
      </w:r>
      <w:r w:rsidRPr="000A34B5">
        <w:rPr>
          <w:rStyle w:val="italicus"/>
        </w:rPr>
        <w:t>v</w:t>
      </w:r>
      <w:r w:rsidR="003B53FD">
        <w:rPr>
          <w:rStyle w:val="italicus"/>
        </w:rPr>
        <w:t>í</w:t>
      </w:r>
      <w:r w:rsidR="003B53FD" w:rsidRPr="000A34B5">
        <w:rPr>
          <w:rStyle w:val="italicus"/>
        </w:rPr>
        <w:t>rgine</w:t>
      </w:r>
      <w:r w:rsidRPr="002C4077">
        <w:t xml:space="preserve"> </w:t>
      </w:r>
      <w:r w:rsidRPr="000A34B5">
        <w:rPr>
          <w:rStyle w:val="italicus"/>
        </w:rPr>
        <w:t>fi</w:t>
      </w:r>
      <w:r w:rsidR="003B53FD" w:rsidRPr="000A34B5">
        <w:rPr>
          <w:rStyle w:val="italicus"/>
        </w:rPr>
        <w:t>gur</w:t>
      </w:r>
      <w:r w:rsidR="003B53FD">
        <w:rPr>
          <w:rStyle w:val="italicus"/>
        </w:rPr>
        <w:t>á</w:t>
      </w:r>
      <w:r w:rsidR="003B53FD" w:rsidRPr="000A34B5">
        <w:rPr>
          <w:rStyle w:val="italicus"/>
        </w:rPr>
        <w:t>tus</w:t>
      </w:r>
      <w:r w:rsidRPr="002C4077">
        <w:t xml:space="preserve"> </w:t>
      </w:r>
      <w:r w:rsidR="00425C50">
        <w:rPr>
          <w:rStyle w:val="italicus"/>
        </w:rPr>
        <w:t>est</w:t>
      </w:r>
      <w:r w:rsidRPr="000A34B5">
        <w:rPr>
          <w:rStyle w:val="italicus"/>
        </w:rPr>
        <w:t>,</w:t>
      </w:r>
      <w:r w:rsidRPr="002C4077">
        <w:t xml:space="preserve"> </w:t>
      </w:r>
      <w:r w:rsidRPr="000A34B5">
        <w:rPr>
          <w:rStyle w:val="italicus"/>
        </w:rPr>
        <w:t>ita</w:t>
      </w:r>
      <w:r w:rsidRPr="002C4077">
        <w:t xml:space="preserve"> </w:t>
      </w:r>
      <w:r w:rsidRPr="000A34B5">
        <w:rPr>
          <w:rStyle w:val="italicus"/>
        </w:rPr>
        <w:t>et</w:t>
      </w:r>
      <w:r w:rsidRPr="002C4077">
        <w:t xml:space="preserve"> </w:t>
      </w:r>
      <w:r w:rsidRPr="000A34B5">
        <w:rPr>
          <w:rStyle w:val="italicus"/>
        </w:rPr>
        <w:t>Christus</w:t>
      </w:r>
      <w:r w:rsidRPr="002C4077">
        <w:t xml:space="preserve"> </w:t>
      </w:r>
      <w:r w:rsidRPr="000A34B5">
        <w:rPr>
          <w:rStyle w:val="italicus"/>
        </w:rPr>
        <w:t>ex</w:t>
      </w:r>
      <w:r w:rsidRPr="002C4077">
        <w:t xml:space="preserve"> </w:t>
      </w:r>
      <w:r w:rsidRPr="000A34B5">
        <w:rPr>
          <w:rStyle w:val="italicus"/>
        </w:rPr>
        <w:t>v</w:t>
      </w:r>
      <w:r w:rsidR="003B53FD">
        <w:rPr>
          <w:rStyle w:val="italicus"/>
        </w:rPr>
        <w:t>í</w:t>
      </w:r>
      <w:r w:rsidR="003B53FD" w:rsidRPr="000A34B5">
        <w:rPr>
          <w:rStyle w:val="italicus"/>
        </w:rPr>
        <w:t>rgine</w:t>
      </w:r>
      <w:r w:rsidRPr="002C4077">
        <w:t xml:space="preserve"> </w:t>
      </w:r>
      <w:r w:rsidRPr="000A34B5">
        <w:rPr>
          <w:rStyle w:val="italicus"/>
        </w:rPr>
        <w:t>natus</w:t>
      </w:r>
      <w:r w:rsidRPr="002C4077">
        <w:t xml:space="preserve"> </w:t>
      </w:r>
      <w:r w:rsidRPr="000A34B5">
        <w:rPr>
          <w:rStyle w:val="italicus"/>
        </w:rPr>
        <w:t>agn</w:t>
      </w:r>
      <w:r w:rsidR="003B53FD">
        <w:rPr>
          <w:rStyle w:val="italicus"/>
        </w:rPr>
        <w:t>ó</w:t>
      </w:r>
      <w:r w:rsidR="003B53FD" w:rsidRPr="000A34B5">
        <w:rPr>
          <w:rStyle w:val="italicus"/>
        </w:rPr>
        <w:t>scitur</w:t>
      </w:r>
      <w:r w:rsidR="00B91AF7">
        <w:rPr>
          <w:rStyle w:val="Appelnotedebasdep"/>
          <w:i/>
        </w:rPr>
        <w:footnoteReference w:id="313"/>
      </w:r>
      <w:r w:rsidR="00B546AF">
        <w:t> ;</w:t>
      </w:r>
      <w:r w:rsidRPr="002C4077">
        <w:t xml:space="preserve"> </w:t>
      </w:r>
      <w:r>
        <w:t>ou</w:t>
      </w:r>
      <w:r w:rsidRPr="002C4077">
        <w:t xml:space="preserve"> </w:t>
      </w:r>
      <w:r>
        <w:t>plus</w:t>
      </w:r>
      <w:r w:rsidRPr="002C4077">
        <w:t xml:space="preserve"> </w:t>
      </w:r>
      <w:r>
        <w:t>fortement</w:t>
      </w:r>
      <w:r w:rsidRPr="002C4077">
        <w:t xml:space="preserve"> </w:t>
      </w:r>
      <w:r>
        <w:t>encore</w:t>
      </w:r>
      <w:r w:rsidRPr="002C4077">
        <w:t xml:space="preserve"> </w:t>
      </w:r>
      <w:r>
        <w:t>avec</w:t>
      </w:r>
      <w:r w:rsidRPr="002C4077">
        <w:t xml:space="preserve"> </w:t>
      </w:r>
      <w:r>
        <w:t>Bo</w:t>
      </w:r>
      <w:r w:rsidR="001730C6">
        <w:t>ss</w:t>
      </w:r>
      <w:r>
        <w:t>uet</w:t>
      </w:r>
      <w:bookmarkStart w:id="291" w:name="z_Bossuet_o6"/>
      <w:bookmarkEnd w:id="291"/>
      <w:r w:rsidR="00B546AF">
        <w:t> :</w:t>
      </w:r>
      <w:r w:rsidRPr="002C4077">
        <w:t xml:space="preserve"> </w:t>
      </w:r>
      <w:r w:rsidR="00B546AF">
        <w:t>« </w:t>
      </w:r>
      <w:r>
        <w:t>Que</w:t>
      </w:r>
      <w:r w:rsidRPr="002C4077">
        <w:t xml:space="preserve"> </w:t>
      </w:r>
      <w:r>
        <w:t>ce</w:t>
      </w:r>
      <w:r w:rsidRPr="002C4077">
        <w:t xml:space="preserve"> </w:t>
      </w:r>
      <w:r>
        <w:t>soit</w:t>
      </w:r>
      <w:r w:rsidRPr="002C4077">
        <w:t xml:space="preserve"> </w:t>
      </w:r>
      <w:r>
        <w:t>donc</w:t>
      </w:r>
      <w:r w:rsidRPr="002C4077">
        <w:t xml:space="preserve"> </w:t>
      </w:r>
      <w:r>
        <w:t>là</w:t>
      </w:r>
      <w:r w:rsidRPr="002C4077">
        <w:t xml:space="preserve"> </w:t>
      </w:r>
      <w:r>
        <w:t>le</w:t>
      </w:r>
      <w:r w:rsidRPr="002C4077">
        <w:t xml:space="preserve"> </w:t>
      </w:r>
      <w:r>
        <w:t>glorieux</w:t>
      </w:r>
      <w:r w:rsidRPr="002C4077">
        <w:t xml:space="preserve"> </w:t>
      </w:r>
      <w:r>
        <w:t>titre</w:t>
      </w:r>
      <w:r w:rsidRPr="002C4077">
        <w:t xml:space="preserve"> </w:t>
      </w:r>
      <w:r>
        <w:t>du</w:t>
      </w:r>
      <w:r w:rsidRPr="002C4077">
        <w:t xml:space="preserve"> </w:t>
      </w:r>
      <w:r>
        <w:t>Messie,</w:t>
      </w:r>
      <w:r w:rsidRPr="002C4077">
        <w:t xml:space="preserve"> </w:t>
      </w:r>
      <w:r>
        <w:t>d’être</w:t>
      </w:r>
      <w:r w:rsidRPr="002C4077">
        <w:t xml:space="preserve"> </w:t>
      </w:r>
      <w:r>
        <w:t>le</w:t>
      </w:r>
      <w:r w:rsidRPr="002C4077">
        <w:t xml:space="preserve"> </w:t>
      </w:r>
      <w:r>
        <w:t>fils</w:t>
      </w:r>
      <w:r w:rsidRPr="002C4077">
        <w:t xml:space="preserve"> </w:t>
      </w:r>
      <w:r>
        <w:t>d’une</w:t>
      </w:r>
      <w:r w:rsidRPr="002C4077">
        <w:t xml:space="preserve"> </w:t>
      </w:r>
      <w:r>
        <w:t>Vierge</w:t>
      </w:r>
      <w:r w:rsidR="00B546AF">
        <w:t> !</w:t>
      </w:r>
      <w:r w:rsidRPr="002C4077">
        <w:t xml:space="preserve"> </w:t>
      </w:r>
      <w:r>
        <w:t>qu’il</w:t>
      </w:r>
      <w:r w:rsidRPr="002C4077">
        <w:t xml:space="preserve"> </w:t>
      </w:r>
      <w:r>
        <w:t>soit</w:t>
      </w:r>
      <w:r w:rsidRPr="002C4077">
        <w:t xml:space="preserve"> </w:t>
      </w:r>
      <w:r>
        <w:t>seul</w:t>
      </w:r>
      <w:r w:rsidRPr="002C4077">
        <w:t xml:space="preserve"> </w:t>
      </w:r>
      <w:r>
        <w:t>caractérisé</w:t>
      </w:r>
      <w:r w:rsidRPr="002C4077">
        <w:t xml:space="preserve"> </w:t>
      </w:r>
      <w:r>
        <w:t>par</w:t>
      </w:r>
      <w:r w:rsidRPr="002C4077">
        <w:t xml:space="preserve"> </w:t>
      </w:r>
      <w:r>
        <w:t>ce</w:t>
      </w:r>
      <w:r w:rsidRPr="002C4077">
        <w:t xml:space="preserve"> </w:t>
      </w:r>
      <w:r>
        <w:t>beau</w:t>
      </w:r>
      <w:r w:rsidRPr="002C4077">
        <w:t xml:space="preserve"> </w:t>
      </w:r>
      <w:r>
        <w:t>nom</w:t>
      </w:r>
      <w:r w:rsidR="00B546AF">
        <w:t> !</w:t>
      </w:r>
      <w:r w:rsidR="00B91AF7">
        <w:rPr>
          <w:rStyle w:val="Appelnotedebasdep"/>
        </w:rPr>
        <w:footnoteReference w:id="314"/>
      </w:r>
      <w:r w:rsidR="00B546AF">
        <w:t> »</w:t>
      </w:r>
      <w:r w:rsidR="00C45B47">
        <w:t xml:space="preserve"> {</w:t>
      </w:r>
      <w:r w:rsidR="000721C4">
        <w:t>100</w:t>
      </w:r>
      <w:bookmarkStart w:id="292" w:name="p100"/>
      <w:bookmarkEnd w:id="292"/>
      <w:r w:rsidR="000721C4">
        <w:t>}</w:t>
      </w:r>
      <w:r w:rsidR="00C45B47">
        <w:t xml:space="preserve"> {</w:t>
      </w:r>
      <w:r w:rsidR="000721C4">
        <w:t>101</w:t>
      </w:r>
      <w:bookmarkStart w:id="293" w:name="p101"/>
      <w:bookmarkEnd w:id="293"/>
      <w:r w:rsidR="000721C4">
        <w:t xml:space="preserve">} </w:t>
      </w:r>
    </w:p>
    <w:p w:rsidR="000A7AAB" w:rsidRDefault="000A7AAB" w:rsidP="00D67FA8">
      <w:pPr>
        <w:pStyle w:val="Titre1"/>
      </w:pPr>
      <w:bookmarkStart w:id="294" w:name="_Toc43882006"/>
      <w:r>
        <w:lastRenderedPageBreak/>
        <w:t>II.</w:t>
      </w:r>
      <w:r w:rsidR="002A6EDB">
        <w:br/>
      </w:r>
      <w:r>
        <w:t>L’ANGE</w:t>
      </w:r>
      <w:r w:rsidRPr="002C4077">
        <w:t xml:space="preserve"> </w:t>
      </w:r>
      <w:r>
        <w:t>ET</w:t>
      </w:r>
      <w:r w:rsidRPr="002C4077">
        <w:t xml:space="preserve"> </w:t>
      </w:r>
      <w:r>
        <w:t>LA</w:t>
      </w:r>
      <w:r w:rsidRPr="002C4077">
        <w:t xml:space="preserve"> </w:t>
      </w:r>
      <w:r>
        <w:t>SUEUR</w:t>
      </w:r>
      <w:r w:rsidRPr="002C4077">
        <w:t xml:space="preserve"> </w:t>
      </w:r>
      <w:r>
        <w:t>DE</w:t>
      </w:r>
      <w:r w:rsidRPr="002C4077">
        <w:t xml:space="preserve"> </w:t>
      </w:r>
      <w:r>
        <w:t>SANG</w:t>
      </w:r>
      <w:r w:rsidRPr="002C4077">
        <w:t xml:space="preserve"> </w:t>
      </w:r>
      <w:r>
        <w:t>À</w:t>
      </w:r>
      <w:r w:rsidRPr="002C4077">
        <w:t xml:space="preserve"> </w:t>
      </w:r>
      <w:r>
        <w:t>GETHSÉMANI.</w:t>
      </w:r>
      <w:bookmarkStart w:id="295" w:name="a02"/>
      <w:bookmarkEnd w:id="294"/>
      <w:bookmarkEnd w:id="295"/>
      <w:r w:rsidRPr="002C4077">
        <w:t xml:space="preserve"> </w:t>
      </w:r>
    </w:p>
    <w:p w:rsidR="000A7AAB" w:rsidRDefault="00B546AF" w:rsidP="00077BD8">
      <w:pPr>
        <w:pStyle w:val="exergue"/>
      </w:pPr>
      <w:r>
        <w:t>« </w:t>
      </w:r>
      <w:r w:rsidR="000A7AAB">
        <w:t>Un</w:t>
      </w:r>
      <w:r w:rsidR="000A7AAB" w:rsidRPr="002C4077">
        <w:t xml:space="preserve"> </w:t>
      </w:r>
      <w:r w:rsidR="000A7AAB">
        <w:t>ange</w:t>
      </w:r>
      <w:r w:rsidR="000A7AAB" w:rsidRPr="002C4077">
        <w:t xml:space="preserve"> </w:t>
      </w:r>
      <w:r w:rsidR="000A7AAB">
        <w:t>du</w:t>
      </w:r>
      <w:r w:rsidR="000A7AAB" w:rsidRPr="002C4077">
        <w:t xml:space="preserve"> </w:t>
      </w:r>
      <w:r w:rsidR="000A7AAB">
        <w:t>ciel</w:t>
      </w:r>
      <w:r w:rsidR="000A7AAB" w:rsidRPr="002C4077">
        <w:t xml:space="preserve"> </w:t>
      </w:r>
      <w:r w:rsidR="000A7AAB">
        <w:t>apparut</w:t>
      </w:r>
      <w:r w:rsidR="000A7AAB" w:rsidRPr="002C4077">
        <w:t xml:space="preserve"> </w:t>
      </w:r>
      <w:r w:rsidR="000A7AAB">
        <w:t>à</w:t>
      </w:r>
      <w:r w:rsidR="000A7AAB" w:rsidRPr="002C4077">
        <w:t xml:space="preserve"> </w:t>
      </w:r>
      <w:r w:rsidR="00425C50">
        <w:t>Jésus</w:t>
      </w:r>
      <w:r w:rsidR="000A7AAB">
        <w:t>,</w:t>
      </w:r>
      <w:r w:rsidR="000A7AAB" w:rsidRPr="002C4077">
        <w:t xml:space="preserve"> </w:t>
      </w:r>
      <w:r w:rsidR="000A7AAB">
        <w:t>le</w:t>
      </w:r>
      <w:r w:rsidR="000A7AAB" w:rsidRPr="002C4077">
        <w:t xml:space="preserve"> </w:t>
      </w:r>
      <w:r w:rsidR="000A7AAB">
        <w:t>fortifiant</w:t>
      </w:r>
      <w:r>
        <w:t> ;</w:t>
      </w:r>
      <w:r w:rsidR="000A7AAB" w:rsidRPr="002C4077">
        <w:t xml:space="preserve"> </w:t>
      </w:r>
      <w:r w:rsidR="000A7AAB">
        <w:t>et</w:t>
      </w:r>
      <w:r w:rsidR="000A7AAB" w:rsidRPr="002C4077">
        <w:t xml:space="preserve"> </w:t>
      </w:r>
      <w:r w:rsidR="000A7AAB">
        <w:t>étant</w:t>
      </w:r>
      <w:r w:rsidR="000A7AAB" w:rsidRPr="002C4077">
        <w:t xml:space="preserve"> </w:t>
      </w:r>
      <w:r w:rsidR="000A7AAB">
        <w:t>tombé</w:t>
      </w:r>
      <w:r w:rsidR="000A7AAB" w:rsidRPr="002C4077">
        <w:t xml:space="preserve"> </w:t>
      </w:r>
      <w:r w:rsidR="000A7AAB">
        <w:t>en</w:t>
      </w:r>
      <w:r w:rsidR="000A7AAB" w:rsidRPr="002C4077">
        <w:t xml:space="preserve"> </w:t>
      </w:r>
      <w:r w:rsidR="000A7AAB">
        <w:t>agonie,</w:t>
      </w:r>
      <w:r w:rsidR="000A7AAB" w:rsidRPr="002C4077">
        <w:t xml:space="preserve"> </w:t>
      </w:r>
      <w:r w:rsidR="000A7AAB">
        <w:t>il</w:t>
      </w:r>
      <w:r w:rsidR="000A7AAB" w:rsidRPr="002C4077">
        <w:t xml:space="preserve"> </w:t>
      </w:r>
      <w:r w:rsidR="000A7AAB">
        <w:t>priait</w:t>
      </w:r>
      <w:r w:rsidR="000A7AAB" w:rsidRPr="002C4077">
        <w:t xml:space="preserve"> </w:t>
      </w:r>
      <w:r w:rsidR="000A7AAB">
        <w:t>avec</w:t>
      </w:r>
      <w:r w:rsidR="000A7AAB" w:rsidRPr="002C4077">
        <w:t xml:space="preserve"> </w:t>
      </w:r>
      <w:r w:rsidR="000A7AAB">
        <w:t>plus</w:t>
      </w:r>
      <w:r w:rsidR="000A7AAB" w:rsidRPr="002C4077">
        <w:t xml:space="preserve"> </w:t>
      </w:r>
      <w:r w:rsidR="000A7AAB">
        <w:t>d’intensité,</w:t>
      </w:r>
      <w:r w:rsidR="000A7AAB" w:rsidRPr="002C4077">
        <w:t xml:space="preserve"> </w:t>
      </w:r>
      <w:r w:rsidR="000A7AAB">
        <w:t>et</w:t>
      </w:r>
      <w:r w:rsidR="000A7AAB" w:rsidRPr="002C4077">
        <w:t xml:space="preserve"> </w:t>
      </w:r>
      <w:r w:rsidR="000A7AAB">
        <w:t>sa</w:t>
      </w:r>
      <w:r w:rsidR="000A7AAB" w:rsidRPr="002C4077">
        <w:t xml:space="preserve"> </w:t>
      </w:r>
      <w:r w:rsidR="000A7AAB">
        <w:t>sueur</w:t>
      </w:r>
      <w:r w:rsidR="000A7AAB" w:rsidRPr="002C4077">
        <w:t xml:space="preserve"> </w:t>
      </w:r>
      <w:r w:rsidR="000A7AAB">
        <w:t>devint</w:t>
      </w:r>
      <w:r w:rsidR="000A7AAB" w:rsidRPr="002C4077">
        <w:t xml:space="preserve"> </w:t>
      </w:r>
      <w:r w:rsidR="000A7AAB">
        <w:t>comme</w:t>
      </w:r>
      <w:r w:rsidR="000A7AAB" w:rsidRPr="002C4077">
        <w:t xml:space="preserve"> </w:t>
      </w:r>
      <w:r w:rsidR="000A7AAB">
        <w:t>des</w:t>
      </w:r>
      <w:r w:rsidR="000A7AAB" w:rsidRPr="002C4077">
        <w:t xml:space="preserve"> </w:t>
      </w:r>
      <w:r w:rsidR="000A7AAB">
        <w:t>gouttes</w:t>
      </w:r>
      <w:r w:rsidR="000A7AAB" w:rsidRPr="002C4077">
        <w:t xml:space="preserve"> </w:t>
      </w:r>
      <w:r w:rsidR="000A7AAB">
        <w:t>de</w:t>
      </w:r>
      <w:r w:rsidR="000A7AAB" w:rsidRPr="002C4077">
        <w:t xml:space="preserve"> </w:t>
      </w:r>
      <w:r w:rsidR="000A7AAB">
        <w:t>sang</w:t>
      </w:r>
      <w:r w:rsidR="000A7AAB" w:rsidRPr="002C4077">
        <w:t xml:space="preserve"> </w:t>
      </w:r>
      <w:r w:rsidR="000A7AAB">
        <w:t>découlant</w:t>
      </w:r>
      <w:r w:rsidR="000A7AAB" w:rsidRPr="002C4077">
        <w:t xml:space="preserve"> </w:t>
      </w:r>
      <w:r w:rsidR="000A7AAB">
        <w:t>jusqu’à</w:t>
      </w:r>
      <w:r w:rsidR="000A7AAB" w:rsidRPr="002C4077">
        <w:t xml:space="preserve"> </w:t>
      </w:r>
      <w:r w:rsidR="000A7AAB">
        <w:t>terre</w:t>
      </w:r>
      <w:r>
        <w:t> »</w:t>
      </w:r>
      <w:r w:rsidR="000A7AAB">
        <w:t>.</w:t>
      </w:r>
      <w:r w:rsidR="000A7AAB" w:rsidRPr="002C4077">
        <w:t xml:space="preserve"> </w:t>
      </w:r>
    </w:p>
    <w:p w:rsidR="000A7AAB" w:rsidRPr="001077D9" w:rsidRDefault="000A7AAB" w:rsidP="00575D3E">
      <w:pPr>
        <w:pStyle w:val="dextra"/>
      </w:pPr>
      <w:r w:rsidRPr="001077D9">
        <w:t xml:space="preserve">(S. </w:t>
      </w:r>
      <w:r w:rsidRPr="001077D9">
        <w:rPr>
          <w:rStyle w:val="italicus"/>
        </w:rPr>
        <w:t>Luc XXII</w:t>
      </w:r>
      <w:r w:rsidRPr="001077D9">
        <w:t>, 43 et 44</w:t>
      </w:r>
      <w:r w:rsidR="00B546AF" w:rsidRPr="001077D9">
        <w:t>)</w:t>
      </w:r>
      <w:r w:rsidR="00077BD8">
        <w:rPr>
          <w:rStyle w:val="Appelnotedebasdep"/>
        </w:rPr>
        <w:footnoteReference w:id="315"/>
      </w:r>
      <w:r w:rsidRPr="001077D9">
        <w:t xml:space="preserve">. </w:t>
      </w:r>
    </w:p>
    <w:p w:rsidR="00575D3E" w:rsidRDefault="00575D3E" w:rsidP="000A7AAB"/>
    <w:p w:rsidR="000A7AAB" w:rsidRDefault="000A7AAB" w:rsidP="000A7AAB">
      <w:r>
        <w:t>Il</w:t>
      </w:r>
      <w:bookmarkStart w:id="296" w:name="z_Gethsemani_o1"/>
      <w:bookmarkEnd w:id="296"/>
      <w:r w:rsidRPr="002C4077">
        <w:t xml:space="preserve"> </w:t>
      </w:r>
      <w:r>
        <w:t>n’est</w:t>
      </w:r>
      <w:bookmarkStart w:id="297" w:name="z_JesusAgonie_o1"/>
      <w:bookmarkEnd w:id="297"/>
      <w:r w:rsidRPr="002C4077">
        <w:t xml:space="preserve"> </w:t>
      </w:r>
      <w:r>
        <w:t>sorte</w:t>
      </w:r>
      <w:bookmarkStart w:id="298" w:name="z_LucAgonie_o1"/>
      <w:bookmarkEnd w:id="298"/>
      <w:r w:rsidRPr="002C4077">
        <w:t xml:space="preserve"> </w:t>
      </w:r>
      <w:r>
        <w:t>de</w:t>
      </w:r>
      <w:bookmarkStart w:id="299" w:name="z_SueurDeSang_o1"/>
      <w:bookmarkEnd w:id="299"/>
      <w:r w:rsidRPr="002C4077">
        <w:t xml:space="preserve"> </w:t>
      </w:r>
      <w:r>
        <w:t>récriminations</w:t>
      </w:r>
      <w:r w:rsidRPr="002C4077">
        <w:t xml:space="preserve"> </w:t>
      </w:r>
      <w:r>
        <w:t>et</w:t>
      </w:r>
      <w:r w:rsidRPr="002C4077">
        <w:t xml:space="preserve"> </w:t>
      </w:r>
      <w:r>
        <w:t>d’erreurs</w:t>
      </w:r>
      <w:r w:rsidRPr="002C4077">
        <w:t xml:space="preserve"> </w:t>
      </w:r>
      <w:r>
        <w:t>que</w:t>
      </w:r>
      <w:r w:rsidRPr="002C4077">
        <w:t xml:space="preserve"> </w:t>
      </w:r>
      <w:r>
        <w:t>n’aient</w:t>
      </w:r>
      <w:r w:rsidRPr="002C4077">
        <w:t xml:space="preserve"> </w:t>
      </w:r>
      <w:r>
        <w:t>suscitées,</w:t>
      </w:r>
      <w:r w:rsidRPr="002C4077">
        <w:t xml:space="preserve"> </w:t>
      </w:r>
      <w:r>
        <w:t>dans</w:t>
      </w:r>
      <w:r w:rsidRPr="002C4077">
        <w:t xml:space="preserve"> </w:t>
      </w:r>
      <w:r>
        <w:t>le</w:t>
      </w:r>
      <w:r w:rsidRPr="002C4077">
        <w:t xml:space="preserve"> </w:t>
      </w:r>
      <w:r>
        <w:t>cours</w:t>
      </w:r>
      <w:r w:rsidRPr="002C4077">
        <w:t xml:space="preserve"> </w:t>
      </w:r>
      <w:r>
        <w:t>des</w:t>
      </w:r>
      <w:r w:rsidRPr="002C4077">
        <w:t xml:space="preserve"> </w:t>
      </w:r>
      <w:r>
        <w:t>temps,</w:t>
      </w:r>
      <w:r w:rsidRPr="002C4077">
        <w:t xml:space="preserve"> </w:t>
      </w:r>
      <w:r>
        <w:t>ces</w:t>
      </w:r>
      <w:r w:rsidRPr="002C4077">
        <w:t xml:space="preserve"> </w:t>
      </w:r>
      <w:r>
        <w:t>deux</w:t>
      </w:r>
      <w:r w:rsidRPr="002C4077">
        <w:t xml:space="preserve"> </w:t>
      </w:r>
      <w:r>
        <w:t>versets</w:t>
      </w:r>
      <w:r w:rsidRPr="002C4077">
        <w:t xml:space="preserve"> </w:t>
      </w:r>
      <w:r>
        <w:t>du</w:t>
      </w:r>
      <w:r w:rsidRPr="002C4077">
        <w:t xml:space="preserve"> </w:t>
      </w:r>
      <w:r>
        <w:t>troisième</w:t>
      </w:r>
      <w:r w:rsidRPr="002C4077">
        <w:t xml:space="preserve"> </w:t>
      </w:r>
      <w:r>
        <w:t>évangile.</w:t>
      </w:r>
      <w:r w:rsidRPr="002C4077">
        <w:t xml:space="preserve"> </w:t>
      </w:r>
    </w:p>
    <w:p w:rsidR="00575D3E" w:rsidRDefault="00575D3E" w:rsidP="000A7AAB"/>
    <w:p w:rsidR="000A7AAB" w:rsidRDefault="000A7AAB" w:rsidP="000A7AAB">
      <w:r>
        <w:t>On</w:t>
      </w:r>
      <w:r w:rsidRPr="002C4077">
        <w:t xml:space="preserve"> </w:t>
      </w:r>
      <w:r>
        <w:t>a</w:t>
      </w:r>
      <w:r w:rsidRPr="002C4077">
        <w:t xml:space="preserve"> </w:t>
      </w:r>
      <w:r>
        <w:t>nié</w:t>
      </w:r>
      <w:r w:rsidRPr="002C4077">
        <w:t xml:space="preserve"> </w:t>
      </w:r>
      <w:r>
        <w:t>leur</w:t>
      </w:r>
      <w:r w:rsidRPr="002C4077">
        <w:t xml:space="preserve"> </w:t>
      </w:r>
      <w:r>
        <w:t>authenticité.</w:t>
      </w:r>
      <w:r w:rsidRPr="002C4077">
        <w:t xml:space="preserve"> </w:t>
      </w:r>
    </w:p>
    <w:p w:rsidR="000A7AAB" w:rsidRDefault="000A7AAB" w:rsidP="000A7AAB">
      <w:r>
        <w:t>On</w:t>
      </w:r>
      <w:r w:rsidRPr="002C4077">
        <w:t xml:space="preserve"> </w:t>
      </w:r>
      <w:r>
        <w:t>a</w:t>
      </w:r>
      <w:r w:rsidRPr="002C4077">
        <w:t xml:space="preserve"> </w:t>
      </w:r>
      <w:r>
        <w:t>contesté</w:t>
      </w:r>
      <w:r w:rsidRPr="002C4077">
        <w:t xml:space="preserve"> </w:t>
      </w:r>
      <w:r>
        <w:t>leur</w:t>
      </w:r>
      <w:r w:rsidRPr="002C4077">
        <w:t xml:space="preserve"> </w:t>
      </w:r>
      <w:r>
        <w:t>caractère</w:t>
      </w:r>
      <w:r w:rsidRPr="002C4077">
        <w:t xml:space="preserve"> </w:t>
      </w:r>
      <w:r>
        <w:t>historique.</w:t>
      </w:r>
      <w:r w:rsidRPr="002C4077">
        <w:t xml:space="preserve"> </w:t>
      </w:r>
    </w:p>
    <w:p w:rsidR="000A7AAB" w:rsidRDefault="000A7AAB" w:rsidP="000A7AAB">
      <w:r>
        <w:t>On</w:t>
      </w:r>
      <w:r w:rsidRPr="002C4077">
        <w:t xml:space="preserve"> </w:t>
      </w:r>
      <w:r>
        <w:t>a</w:t>
      </w:r>
      <w:r w:rsidRPr="002C4077">
        <w:t xml:space="preserve"> </w:t>
      </w:r>
      <w:r>
        <w:t>faussé</w:t>
      </w:r>
      <w:r w:rsidRPr="002C4077">
        <w:t xml:space="preserve"> </w:t>
      </w:r>
      <w:r>
        <w:t>leur</w:t>
      </w:r>
      <w:r w:rsidRPr="002C4077">
        <w:t xml:space="preserve"> </w:t>
      </w:r>
      <w:r>
        <w:t>sens</w:t>
      </w:r>
      <w:r w:rsidRPr="002C4077">
        <w:t xml:space="preserve"> </w:t>
      </w:r>
      <w:r>
        <w:t>de</w:t>
      </w:r>
      <w:r w:rsidRPr="002C4077">
        <w:t xml:space="preserve"> </w:t>
      </w:r>
      <w:r>
        <w:t>différentes</w:t>
      </w:r>
      <w:r w:rsidRPr="002C4077">
        <w:t xml:space="preserve"> </w:t>
      </w:r>
      <w:r>
        <w:t>manières.</w:t>
      </w:r>
      <w:r w:rsidRPr="002C4077">
        <w:t xml:space="preserve"> </w:t>
      </w:r>
    </w:p>
    <w:p w:rsidR="000A7AAB" w:rsidRPr="004C5B7A" w:rsidRDefault="000A7AAB" w:rsidP="000A7AAB">
      <w:r>
        <w:t>Enfin,</w:t>
      </w:r>
      <w:r w:rsidRPr="002C4077">
        <w:t xml:space="preserve"> </w:t>
      </w:r>
      <w:r>
        <w:t>on</w:t>
      </w:r>
      <w:r w:rsidRPr="002C4077">
        <w:t xml:space="preserve"> </w:t>
      </w:r>
      <w:r>
        <w:t>a</w:t>
      </w:r>
      <w:r w:rsidRPr="002C4077">
        <w:t xml:space="preserve"> </w:t>
      </w:r>
      <w:r>
        <w:t>refusé</w:t>
      </w:r>
      <w:r w:rsidRPr="002C4077">
        <w:t xml:space="preserve"> </w:t>
      </w:r>
      <w:r>
        <w:t>d’admettre</w:t>
      </w:r>
      <w:r w:rsidRPr="002C4077">
        <w:t xml:space="preserve"> </w:t>
      </w:r>
      <w:r>
        <w:t>la</w:t>
      </w:r>
      <w:r w:rsidRPr="002C4077">
        <w:t xml:space="preserve"> </w:t>
      </w:r>
      <w:r>
        <w:t>possibilité</w:t>
      </w:r>
      <w:r w:rsidRPr="002C4077">
        <w:t xml:space="preserve"> </w:t>
      </w:r>
      <w:r>
        <w:t>des</w:t>
      </w:r>
      <w:r w:rsidRPr="002C4077">
        <w:t xml:space="preserve"> </w:t>
      </w:r>
      <w:r>
        <w:t>faits</w:t>
      </w:r>
      <w:r w:rsidRPr="002C4077">
        <w:t xml:space="preserve"> </w:t>
      </w:r>
      <w:r>
        <w:t>qu’ils</w:t>
      </w:r>
      <w:r w:rsidRPr="002C4077">
        <w:t xml:space="preserve"> </w:t>
      </w:r>
      <w:r>
        <w:t>racontent.</w:t>
      </w:r>
      <w:r w:rsidR="00C45B47">
        <w:t xml:space="preserve"> {</w:t>
      </w:r>
      <w:r w:rsidR="004C5B7A">
        <w:t>102</w:t>
      </w:r>
      <w:bookmarkStart w:id="300" w:name="p102"/>
      <w:bookmarkEnd w:id="300"/>
      <w:r w:rsidR="004C5B7A">
        <w:t xml:space="preserve">} </w:t>
      </w:r>
    </w:p>
    <w:p w:rsidR="00575D3E" w:rsidRDefault="00575D3E" w:rsidP="000A7AAB"/>
    <w:p w:rsidR="000A7AAB" w:rsidRDefault="000A7AAB" w:rsidP="000A7AAB">
      <w:r>
        <w:t>Nous</w:t>
      </w:r>
      <w:r w:rsidRPr="002C4077">
        <w:t xml:space="preserve"> </w:t>
      </w:r>
      <w:r>
        <w:t>essaierons</w:t>
      </w:r>
      <w:r w:rsidRPr="002C4077">
        <w:t xml:space="preserve"> </w:t>
      </w:r>
      <w:r>
        <w:t>de</w:t>
      </w:r>
      <w:r w:rsidRPr="002C4077">
        <w:t xml:space="preserve"> </w:t>
      </w:r>
      <w:r>
        <w:t>conduire</w:t>
      </w:r>
      <w:r w:rsidRPr="002C4077">
        <w:t xml:space="preserve"> </w:t>
      </w:r>
      <w:r>
        <w:t>le</w:t>
      </w:r>
      <w:r w:rsidRPr="002C4077">
        <w:t xml:space="preserve"> </w:t>
      </w:r>
      <w:r>
        <w:t>lecteur</w:t>
      </w:r>
      <w:r w:rsidRPr="002C4077">
        <w:t xml:space="preserve"> </w:t>
      </w:r>
      <w:r>
        <w:t>à</w:t>
      </w:r>
      <w:r w:rsidRPr="002C4077">
        <w:t xml:space="preserve"> </w:t>
      </w:r>
      <w:r>
        <w:t>travers</w:t>
      </w:r>
      <w:r w:rsidRPr="002C4077">
        <w:t xml:space="preserve"> </w:t>
      </w:r>
      <w:r>
        <w:t>le</w:t>
      </w:r>
      <w:r w:rsidRPr="002C4077">
        <w:t xml:space="preserve"> </w:t>
      </w:r>
      <w:r>
        <w:t>dédale</w:t>
      </w:r>
      <w:r w:rsidRPr="002C4077">
        <w:t xml:space="preserve"> </w:t>
      </w:r>
      <w:r>
        <w:t>de</w:t>
      </w:r>
      <w:r w:rsidRPr="002C4077">
        <w:t xml:space="preserve"> </w:t>
      </w:r>
      <w:r>
        <w:t>toutes</w:t>
      </w:r>
      <w:r w:rsidRPr="002C4077">
        <w:t xml:space="preserve"> </w:t>
      </w:r>
      <w:r>
        <w:t>ces</w:t>
      </w:r>
      <w:r w:rsidRPr="002C4077">
        <w:t xml:space="preserve"> </w:t>
      </w:r>
      <w:r>
        <w:t>objections,</w:t>
      </w:r>
      <w:r w:rsidRPr="002C4077">
        <w:t xml:space="preserve"> </w:t>
      </w:r>
      <w:r>
        <w:t>d’en</w:t>
      </w:r>
      <w:r w:rsidRPr="002C4077">
        <w:t xml:space="preserve"> </w:t>
      </w:r>
      <w:r>
        <w:t>prouver</w:t>
      </w:r>
      <w:r w:rsidRPr="002C4077">
        <w:t xml:space="preserve"> </w:t>
      </w:r>
      <w:r>
        <w:t>scientifiquement</w:t>
      </w:r>
      <w:r w:rsidRPr="002C4077">
        <w:t xml:space="preserve"> </w:t>
      </w:r>
      <w:r>
        <w:t>la</w:t>
      </w:r>
      <w:r w:rsidRPr="002C4077">
        <w:t xml:space="preserve"> </w:t>
      </w:r>
      <w:r>
        <w:t>fausseté,</w:t>
      </w:r>
      <w:r w:rsidRPr="002C4077">
        <w:t xml:space="preserve"> </w:t>
      </w:r>
      <w:r>
        <w:t>et</w:t>
      </w:r>
      <w:r w:rsidRPr="002C4077">
        <w:t xml:space="preserve"> </w:t>
      </w:r>
      <w:r>
        <w:t>de</w:t>
      </w:r>
      <w:r w:rsidRPr="002C4077">
        <w:t xml:space="preserve"> </w:t>
      </w:r>
      <w:r>
        <w:t>revendiquer</w:t>
      </w:r>
      <w:bookmarkStart w:id="301" w:name="y_CredibiliteParfaite"/>
      <w:bookmarkEnd w:id="301"/>
      <w:r w:rsidRPr="002C4077">
        <w:t xml:space="preserve"> </w:t>
      </w:r>
      <w:r>
        <w:t>sur</w:t>
      </w:r>
      <w:r w:rsidRPr="002C4077">
        <w:t xml:space="preserve"> </w:t>
      </w:r>
      <w:r>
        <w:t>toute</w:t>
      </w:r>
      <w:r w:rsidRPr="002C4077">
        <w:t xml:space="preserve"> </w:t>
      </w:r>
      <w:r>
        <w:t>la</w:t>
      </w:r>
      <w:r w:rsidRPr="002C4077">
        <w:t xml:space="preserve"> </w:t>
      </w:r>
      <w:r>
        <w:t>ligne</w:t>
      </w:r>
      <w:r w:rsidRPr="002C4077">
        <w:t xml:space="preserve"> </w:t>
      </w:r>
      <w:r>
        <w:t>la</w:t>
      </w:r>
      <w:r w:rsidRPr="002C4077">
        <w:t xml:space="preserve"> </w:t>
      </w:r>
      <w:r>
        <w:t>crédibilité</w:t>
      </w:r>
      <w:r w:rsidRPr="002C4077">
        <w:t xml:space="preserve"> </w:t>
      </w:r>
      <w:r>
        <w:t>parfaite</w:t>
      </w:r>
      <w:r w:rsidRPr="002C4077">
        <w:t xml:space="preserve"> </w:t>
      </w:r>
      <w:r>
        <w:t>des</w:t>
      </w:r>
      <w:r w:rsidRPr="002C4077">
        <w:t xml:space="preserve"> </w:t>
      </w:r>
      <w:r>
        <w:t>précieux</w:t>
      </w:r>
      <w:r w:rsidRPr="002C4077">
        <w:t xml:space="preserve"> </w:t>
      </w:r>
      <w:r>
        <w:t>détails</w:t>
      </w:r>
      <w:r w:rsidRPr="002C4077">
        <w:t xml:space="preserve"> </w:t>
      </w:r>
      <w:r>
        <w:t>que</w:t>
      </w:r>
      <w:r w:rsidRPr="002C4077">
        <w:t xml:space="preserve"> </w:t>
      </w:r>
      <w:r>
        <w:t>nous</w:t>
      </w:r>
      <w:r w:rsidRPr="002C4077">
        <w:t xml:space="preserve"> </w:t>
      </w:r>
      <w:r>
        <w:t>a</w:t>
      </w:r>
      <w:r w:rsidRPr="002C4077">
        <w:t xml:space="preserve"> </w:t>
      </w:r>
      <w:r>
        <w:t>seul</w:t>
      </w:r>
      <w:r w:rsidRPr="002C4077">
        <w:t xml:space="preserve"> </w:t>
      </w:r>
      <w:r>
        <w:t>conservés</w:t>
      </w:r>
      <w:r w:rsidRPr="002C4077">
        <w:t xml:space="preserve"> </w:t>
      </w:r>
      <w:r>
        <w:t>l’évangéliste</w:t>
      </w:r>
      <w:r w:rsidRPr="002C4077">
        <w:t xml:space="preserve"> </w:t>
      </w:r>
      <w:r>
        <w:t>médecin.</w:t>
      </w:r>
      <w:r w:rsidRPr="002C4077">
        <w:t xml:space="preserve"> </w:t>
      </w:r>
      <w:r>
        <w:t>Sans</w:t>
      </w:r>
      <w:r w:rsidRPr="002C4077">
        <w:t xml:space="preserve"> </w:t>
      </w:r>
      <w:r>
        <w:t>négliger</w:t>
      </w:r>
      <w:r w:rsidRPr="002C4077">
        <w:t xml:space="preserve"> </w:t>
      </w:r>
      <w:r>
        <w:t>les</w:t>
      </w:r>
      <w:r w:rsidRPr="002C4077">
        <w:t xml:space="preserve"> </w:t>
      </w:r>
      <w:r>
        <w:t>préjugés</w:t>
      </w:r>
      <w:r w:rsidRPr="002C4077">
        <w:t xml:space="preserve"> </w:t>
      </w:r>
      <w:r>
        <w:t>anciens,</w:t>
      </w:r>
      <w:r w:rsidRPr="002C4077">
        <w:t xml:space="preserve"> </w:t>
      </w:r>
      <w:r>
        <w:t>c’est</w:t>
      </w:r>
      <w:r w:rsidRPr="002C4077">
        <w:t xml:space="preserve"> </w:t>
      </w:r>
      <w:r>
        <w:t>naturellement</w:t>
      </w:r>
      <w:r w:rsidRPr="002C4077">
        <w:t xml:space="preserve"> </w:t>
      </w:r>
      <w:r>
        <w:t>contre</w:t>
      </w:r>
      <w:r w:rsidRPr="002C4077">
        <w:t xml:space="preserve"> </w:t>
      </w:r>
      <w:r>
        <w:t>les</w:t>
      </w:r>
      <w:r w:rsidRPr="002C4077">
        <w:t xml:space="preserve"> </w:t>
      </w:r>
      <w:r>
        <w:t>erreurs</w:t>
      </w:r>
      <w:r w:rsidRPr="002C4077">
        <w:t xml:space="preserve"> </w:t>
      </w:r>
      <w:r>
        <w:t>les</w:t>
      </w:r>
      <w:r w:rsidRPr="002C4077">
        <w:t xml:space="preserve"> </w:t>
      </w:r>
      <w:r>
        <w:t>plus</w:t>
      </w:r>
      <w:r w:rsidRPr="002C4077">
        <w:t xml:space="preserve"> </w:t>
      </w:r>
      <w:r>
        <w:t>récentes</w:t>
      </w:r>
      <w:r w:rsidRPr="002C4077">
        <w:t xml:space="preserve"> </w:t>
      </w:r>
      <w:r>
        <w:t>que</w:t>
      </w:r>
      <w:r w:rsidRPr="002C4077">
        <w:t xml:space="preserve"> </w:t>
      </w:r>
      <w:r>
        <w:t>nous</w:t>
      </w:r>
      <w:r w:rsidRPr="002C4077">
        <w:t xml:space="preserve"> </w:t>
      </w:r>
      <w:r>
        <w:t>dirigerons</w:t>
      </w:r>
      <w:r w:rsidRPr="002C4077">
        <w:t xml:space="preserve"> </w:t>
      </w:r>
      <w:r>
        <w:t>surtout</w:t>
      </w:r>
      <w:r w:rsidRPr="002C4077">
        <w:t xml:space="preserve"> </w:t>
      </w:r>
      <w:r>
        <w:t>l’attaque.</w:t>
      </w:r>
      <w:r w:rsidRPr="002C4077">
        <w:t xml:space="preserve"> </w:t>
      </w:r>
      <w:r>
        <w:t>On</w:t>
      </w:r>
      <w:r w:rsidRPr="002C4077">
        <w:t xml:space="preserve"> </w:t>
      </w:r>
      <w:r>
        <w:t>nous</w:t>
      </w:r>
      <w:r w:rsidRPr="002C4077">
        <w:t xml:space="preserve"> </w:t>
      </w:r>
      <w:r>
        <w:t>permettra,</w:t>
      </w:r>
      <w:r w:rsidRPr="002C4077">
        <w:t xml:space="preserve"> </w:t>
      </w:r>
      <w:r>
        <w:t>—</w:t>
      </w:r>
      <w:r w:rsidRPr="002C4077">
        <w:t xml:space="preserve"> </w:t>
      </w:r>
      <w:r>
        <w:t>les</w:t>
      </w:r>
      <w:r w:rsidRPr="002C4077">
        <w:t xml:space="preserve"> </w:t>
      </w:r>
      <w:r>
        <w:t>coups</w:t>
      </w:r>
      <w:r w:rsidRPr="002C4077">
        <w:t xml:space="preserve"> </w:t>
      </w:r>
      <w:r>
        <w:t>auront</w:t>
      </w:r>
      <w:r w:rsidRPr="002C4077">
        <w:t xml:space="preserve"> </w:t>
      </w:r>
      <w:r>
        <w:t>ainsi</w:t>
      </w:r>
      <w:r w:rsidRPr="002C4077">
        <w:t xml:space="preserve"> </w:t>
      </w:r>
      <w:r>
        <w:t>plus</w:t>
      </w:r>
      <w:r w:rsidRPr="002C4077">
        <w:t xml:space="preserve"> </w:t>
      </w:r>
      <w:r>
        <w:t>de</w:t>
      </w:r>
      <w:r w:rsidRPr="002C4077">
        <w:t xml:space="preserve"> </w:t>
      </w:r>
      <w:r>
        <w:t>force,</w:t>
      </w:r>
      <w:r w:rsidRPr="002C4077">
        <w:t xml:space="preserve"> </w:t>
      </w:r>
      <w:r>
        <w:t>—</w:t>
      </w:r>
      <w:r w:rsidRPr="002C4077">
        <w:t xml:space="preserve"> </w:t>
      </w:r>
      <w:r>
        <w:t>de</w:t>
      </w:r>
      <w:r w:rsidRPr="002C4077">
        <w:t xml:space="preserve"> </w:t>
      </w:r>
      <w:r>
        <w:t>répondre</w:t>
      </w:r>
      <w:r w:rsidRPr="002C4077">
        <w:t xml:space="preserve"> </w:t>
      </w:r>
      <w:r>
        <w:t>parfois</w:t>
      </w:r>
      <w:r w:rsidRPr="002C4077">
        <w:t xml:space="preserve"> </w:t>
      </w:r>
      <w:r>
        <w:t>à</w:t>
      </w:r>
      <w:r w:rsidRPr="002C4077">
        <w:t xml:space="preserve"> </w:t>
      </w:r>
      <w:r>
        <w:t>un</w:t>
      </w:r>
      <w:r w:rsidRPr="002C4077">
        <w:t xml:space="preserve"> </w:t>
      </w:r>
      <w:r>
        <w:t>rationaliste</w:t>
      </w:r>
      <w:r w:rsidRPr="002C4077">
        <w:t xml:space="preserve"> </w:t>
      </w:r>
      <w:r>
        <w:t>en</w:t>
      </w:r>
      <w:r w:rsidRPr="002C4077">
        <w:t xml:space="preserve"> </w:t>
      </w:r>
      <w:r>
        <w:t>empruntant</w:t>
      </w:r>
      <w:r w:rsidRPr="002C4077">
        <w:t xml:space="preserve"> </w:t>
      </w:r>
      <w:r>
        <w:t>les</w:t>
      </w:r>
      <w:r w:rsidRPr="002C4077">
        <w:t xml:space="preserve"> </w:t>
      </w:r>
      <w:r>
        <w:t>paroles</w:t>
      </w:r>
      <w:r w:rsidRPr="002C4077">
        <w:t xml:space="preserve"> </w:t>
      </w:r>
      <w:r>
        <w:t>d’un</w:t>
      </w:r>
      <w:r w:rsidRPr="002C4077">
        <w:t xml:space="preserve"> </w:t>
      </w:r>
      <w:r>
        <w:t>autre</w:t>
      </w:r>
      <w:r w:rsidRPr="002C4077">
        <w:t xml:space="preserve"> </w:t>
      </w:r>
      <w:r>
        <w:t>rationaliste,</w:t>
      </w:r>
      <w:r w:rsidRPr="002C4077">
        <w:t xml:space="preserve"> </w:t>
      </w:r>
      <w:r>
        <w:t>et</w:t>
      </w:r>
      <w:r w:rsidRPr="002C4077">
        <w:t xml:space="preserve"> </w:t>
      </w:r>
      <w:r>
        <w:t>d’aller</w:t>
      </w:r>
      <w:r w:rsidRPr="002C4077">
        <w:t xml:space="preserve"> </w:t>
      </w:r>
      <w:r>
        <w:t>chercher</w:t>
      </w:r>
      <w:r w:rsidRPr="002C4077">
        <w:t xml:space="preserve"> </w:t>
      </w:r>
      <w:r>
        <w:t>nos</w:t>
      </w:r>
      <w:r w:rsidRPr="002C4077">
        <w:t xml:space="preserve"> </w:t>
      </w:r>
      <w:r>
        <w:t>réponses</w:t>
      </w:r>
      <w:r w:rsidRPr="002C4077">
        <w:t xml:space="preserve"> </w:t>
      </w:r>
      <w:r>
        <w:t>dans</w:t>
      </w:r>
      <w:r w:rsidRPr="002C4077">
        <w:t xml:space="preserve"> </w:t>
      </w:r>
      <w:r>
        <w:t>les</w:t>
      </w:r>
      <w:r w:rsidRPr="002C4077">
        <w:t xml:space="preserve"> </w:t>
      </w:r>
      <w:r>
        <w:t>écrits</w:t>
      </w:r>
      <w:r w:rsidRPr="002C4077">
        <w:t xml:space="preserve"> </w:t>
      </w:r>
      <w:r>
        <w:t>des</w:t>
      </w:r>
      <w:r w:rsidRPr="002C4077">
        <w:t xml:space="preserve"> </w:t>
      </w:r>
      <w:r>
        <w:t>exégètes</w:t>
      </w:r>
      <w:r w:rsidRPr="002C4077">
        <w:t xml:space="preserve"> </w:t>
      </w:r>
      <w:r>
        <w:t>protestants</w:t>
      </w:r>
      <w:r w:rsidRPr="002C4077">
        <w:t xml:space="preserve"> </w:t>
      </w:r>
      <w:r>
        <w:t>quand</w:t>
      </w:r>
      <w:r w:rsidRPr="002C4077">
        <w:t xml:space="preserve"> </w:t>
      </w:r>
      <w:r>
        <w:t>ils</w:t>
      </w:r>
      <w:r w:rsidRPr="002C4077">
        <w:t xml:space="preserve"> </w:t>
      </w:r>
      <w:r>
        <w:t>contiendront</w:t>
      </w:r>
      <w:r w:rsidRPr="002C4077">
        <w:t xml:space="preserve"> </w:t>
      </w:r>
      <w:r>
        <w:t>la</w:t>
      </w:r>
      <w:r w:rsidRPr="002C4077">
        <w:t xml:space="preserve"> </w:t>
      </w:r>
      <w:r>
        <w:t>vraie</w:t>
      </w:r>
      <w:r w:rsidRPr="002C4077">
        <w:t xml:space="preserve"> </w:t>
      </w:r>
      <w:r>
        <w:t>doctrine.</w:t>
      </w:r>
      <w:r w:rsidRPr="002C4077">
        <w:t xml:space="preserve"> </w:t>
      </w:r>
      <w:r>
        <w:t>Lorsqu’il</w:t>
      </w:r>
      <w:r w:rsidRPr="002C4077">
        <w:t xml:space="preserve"> </w:t>
      </w:r>
      <w:r>
        <w:t>n’y</w:t>
      </w:r>
      <w:r w:rsidRPr="002C4077">
        <w:t xml:space="preserve"> </w:t>
      </w:r>
      <w:r>
        <w:t>a</w:t>
      </w:r>
      <w:r w:rsidRPr="002C4077">
        <w:t xml:space="preserve"> </w:t>
      </w:r>
      <w:r>
        <w:t>pas</w:t>
      </w:r>
      <w:r w:rsidRPr="002C4077">
        <w:t xml:space="preserve"> </w:t>
      </w:r>
      <w:r>
        <w:t>de</w:t>
      </w:r>
      <w:r w:rsidRPr="002C4077">
        <w:t xml:space="preserve"> </w:t>
      </w:r>
      <w:r>
        <w:t>sang</w:t>
      </w:r>
      <w:r w:rsidRPr="002C4077">
        <w:t xml:space="preserve"> </w:t>
      </w:r>
      <w:r>
        <w:t>versé</w:t>
      </w:r>
      <w:r w:rsidRPr="002C4077">
        <w:t xml:space="preserve"> </w:t>
      </w:r>
      <w:r>
        <w:t>et</w:t>
      </w:r>
      <w:r w:rsidRPr="002C4077">
        <w:t xml:space="preserve"> </w:t>
      </w:r>
      <w:r>
        <w:t>que</w:t>
      </w:r>
      <w:r w:rsidRPr="002C4077">
        <w:t xml:space="preserve"> </w:t>
      </w:r>
      <w:r>
        <w:t>les</w:t>
      </w:r>
      <w:r w:rsidRPr="002C4077">
        <w:t xml:space="preserve"> </w:t>
      </w:r>
      <w:r>
        <w:t>batailles</w:t>
      </w:r>
      <w:r w:rsidRPr="002C4077">
        <w:t xml:space="preserve"> </w:t>
      </w:r>
      <w:r>
        <w:t>sont</w:t>
      </w:r>
      <w:r w:rsidRPr="002C4077">
        <w:t xml:space="preserve"> </w:t>
      </w:r>
      <w:r>
        <w:t>livrées</w:t>
      </w:r>
      <w:r w:rsidRPr="002C4077">
        <w:t xml:space="preserve"> </w:t>
      </w:r>
      <w:r>
        <w:t>dans</w:t>
      </w:r>
      <w:r w:rsidRPr="002C4077">
        <w:t xml:space="preserve"> </w:t>
      </w:r>
      <w:r>
        <w:t>les</w:t>
      </w:r>
      <w:r w:rsidRPr="002C4077">
        <w:t xml:space="preserve"> </w:t>
      </w:r>
      <w:r>
        <w:t>plaines</w:t>
      </w:r>
      <w:r w:rsidRPr="002C4077">
        <w:t xml:space="preserve"> </w:t>
      </w:r>
      <w:r>
        <w:t>idéales</w:t>
      </w:r>
      <w:r w:rsidRPr="002C4077">
        <w:t xml:space="preserve"> </w:t>
      </w:r>
      <w:r>
        <w:t>de</w:t>
      </w:r>
      <w:r w:rsidRPr="002C4077">
        <w:t xml:space="preserve"> </w:t>
      </w:r>
      <w:r>
        <w:t>l’intelligence,</w:t>
      </w:r>
      <w:r w:rsidRPr="002C4077">
        <w:t xml:space="preserve"> </w:t>
      </w:r>
      <w:r>
        <w:t>il</w:t>
      </w:r>
      <w:r w:rsidRPr="002C4077">
        <w:t xml:space="preserve"> </w:t>
      </w:r>
      <w:r>
        <w:t>n’est</w:t>
      </w:r>
      <w:r w:rsidRPr="002C4077">
        <w:t xml:space="preserve"> </w:t>
      </w:r>
      <w:r>
        <w:t>ni</w:t>
      </w:r>
      <w:r w:rsidRPr="002C4077">
        <w:t xml:space="preserve"> </w:t>
      </w:r>
      <w:r>
        <w:t>sans</w:t>
      </w:r>
      <w:r w:rsidRPr="002C4077">
        <w:t xml:space="preserve"> </w:t>
      </w:r>
      <w:r>
        <w:t>intérêt</w:t>
      </w:r>
      <w:r w:rsidRPr="002C4077">
        <w:t xml:space="preserve"> </w:t>
      </w:r>
      <w:r>
        <w:t>ni</w:t>
      </w:r>
      <w:r w:rsidRPr="002C4077">
        <w:t xml:space="preserve"> </w:t>
      </w:r>
      <w:r>
        <w:t>sans</w:t>
      </w:r>
      <w:r w:rsidRPr="002C4077">
        <w:t xml:space="preserve"> </w:t>
      </w:r>
      <w:r>
        <w:t>profit</w:t>
      </w:r>
      <w:r w:rsidRPr="002C4077">
        <w:t xml:space="preserve"> </w:t>
      </w:r>
      <w:r>
        <w:t>d’assister</w:t>
      </w:r>
      <w:r w:rsidRPr="002C4077">
        <w:t xml:space="preserve"> </w:t>
      </w:r>
      <w:r>
        <w:t>à</w:t>
      </w:r>
      <w:r w:rsidRPr="002C4077">
        <w:t xml:space="preserve"> </w:t>
      </w:r>
      <w:r>
        <w:t>une</w:t>
      </w:r>
      <w:r w:rsidRPr="002C4077">
        <w:t xml:space="preserve"> </w:t>
      </w:r>
      <w:r>
        <w:t>guerre</w:t>
      </w:r>
      <w:r w:rsidRPr="002C4077">
        <w:t xml:space="preserve"> </w:t>
      </w:r>
      <w:r>
        <w:t>civile.</w:t>
      </w:r>
      <w:r w:rsidRPr="002C4077">
        <w:t xml:space="preserve"> </w:t>
      </w:r>
    </w:p>
    <w:p w:rsidR="000A7AAB" w:rsidRDefault="000A7AAB" w:rsidP="00EC6E3D">
      <w:pPr>
        <w:pStyle w:val="Titre2"/>
      </w:pPr>
      <w:bookmarkStart w:id="302" w:name="_Toc43882007"/>
      <w:r>
        <w:t>§</w:t>
      </w:r>
      <w:r w:rsidRPr="002C4077">
        <w:t xml:space="preserve"> </w:t>
      </w:r>
      <w:r>
        <w:t>I.</w:t>
      </w:r>
      <w:r w:rsidR="00575D3E">
        <w:br/>
      </w:r>
      <w:r>
        <w:t>La</w:t>
      </w:r>
      <w:r w:rsidRPr="002C4077">
        <w:t xml:space="preserve"> </w:t>
      </w:r>
      <w:r>
        <w:t>question</w:t>
      </w:r>
      <w:r w:rsidRPr="002C4077">
        <w:t xml:space="preserve"> </w:t>
      </w:r>
      <w:r>
        <w:t>d’authenticité.</w:t>
      </w:r>
      <w:bookmarkStart w:id="303" w:name="a0201"/>
      <w:bookmarkEnd w:id="302"/>
      <w:bookmarkEnd w:id="303"/>
      <w:r w:rsidRPr="002C4077">
        <w:t xml:space="preserve"> </w:t>
      </w:r>
    </w:p>
    <w:p w:rsidR="000A7AAB" w:rsidRPr="004C5B7A" w:rsidRDefault="000A7AAB" w:rsidP="000A7AAB">
      <w:r>
        <w:rPr>
          <w:smallCaps/>
        </w:rPr>
        <w:t>1°</w:t>
      </w:r>
      <w:r w:rsidRPr="002C4077">
        <w:t xml:space="preserve"> </w:t>
      </w:r>
      <w:r>
        <w:t>Il</w:t>
      </w:r>
      <w:bookmarkStart w:id="304" w:name="z_SueurDeSang_o2"/>
      <w:bookmarkEnd w:id="304"/>
      <w:r w:rsidRPr="002C4077">
        <w:t xml:space="preserve"> </w:t>
      </w:r>
      <w:r w:rsidR="00425C50">
        <w:t>est</w:t>
      </w:r>
      <w:r>
        <w:t>-certain</w:t>
      </w:r>
      <w:r w:rsidRPr="002C4077">
        <w:t xml:space="preserve"> </w:t>
      </w:r>
      <w:r>
        <w:t>que</w:t>
      </w:r>
      <w:r w:rsidRPr="002C4077">
        <w:t xml:space="preserve"> </w:t>
      </w:r>
      <w:r>
        <w:t>les</w:t>
      </w:r>
      <w:r w:rsidRPr="002C4077">
        <w:t xml:space="preserve"> </w:t>
      </w:r>
      <w:r>
        <w:t>versets</w:t>
      </w:r>
      <w:r w:rsidRPr="002C4077">
        <w:t xml:space="preserve"> </w:t>
      </w:r>
      <w:r>
        <w:t>43</w:t>
      </w:r>
      <w:r w:rsidRPr="002C4077">
        <w:t xml:space="preserve"> </w:t>
      </w:r>
      <w:r>
        <w:t>et</w:t>
      </w:r>
      <w:r w:rsidRPr="002C4077">
        <w:t xml:space="preserve"> </w:t>
      </w:r>
      <w:r>
        <w:t>44</w:t>
      </w:r>
      <w:r w:rsidRPr="002C4077">
        <w:t xml:space="preserve"> </w:t>
      </w:r>
      <w:r>
        <w:t>du</w:t>
      </w:r>
      <w:r w:rsidRPr="002C4077">
        <w:t xml:space="preserve"> </w:t>
      </w:r>
      <w:r w:rsidRPr="007E58A7">
        <w:t>XX</w:t>
      </w:r>
      <w:r w:rsidR="007B3C26">
        <w:t>II</w:t>
      </w:r>
      <w:r w:rsidR="007B3C26" w:rsidRPr="007B3C26">
        <w:rPr>
          <w:vertAlign w:val="superscript"/>
        </w:rPr>
        <w:t>e</w:t>
      </w:r>
      <w:r w:rsidRPr="007E58A7">
        <w:t xml:space="preserve"> </w:t>
      </w:r>
      <w:r>
        <w:t>chapitre</w:t>
      </w:r>
      <w:r w:rsidRPr="002C4077">
        <w:t xml:space="preserve"> </w:t>
      </w:r>
      <w:r>
        <w:t>de</w:t>
      </w:r>
      <w:r w:rsidRPr="002C4077">
        <w:t xml:space="preserve"> </w:t>
      </w:r>
      <w:r>
        <w:t>S.</w:t>
      </w:r>
      <w:r w:rsidRPr="002C4077">
        <w:t xml:space="preserve"> </w:t>
      </w:r>
      <w:r>
        <w:t>Luc</w:t>
      </w:r>
      <w:r w:rsidRPr="002C4077">
        <w:t xml:space="preserve"> </w:t>
      </w:r>
      <w:r>
        <w:t>manquent</w:t>
      </w:r>
      <w:r w:rsidRPr="002C4077">
        <w:t xml:space="preserve"> </w:t>
      </w:r>
      <w:r>
        <w:t>dans</w:t>
      </w:r>
      <w:r w:rsidRPr="002C4077">
        <w:t xml:space="preserve"> </w:t>
      </w:r>
      <w:r>
        <w:t>plusieurs</w:t>
      </w:r>
      <w:r w:rsidRPr="002C4077">
        <w:t xml:space="preserve"> </w:t>
      </w:r>
      <w:r>
        <w:t>manuscrits</w:t>
      </w:r>
      <w:r w:rsidRPr="002C4077">
        <w:t xml:space="preserve"> </w:t>
      </w:r>
      <w:r>
        <w:t>de</w:t>
      </w:r>
      <w:r w:rsidRPr="002C4077">
        <w:t xml:space="preserve"> </w:t>
      </w:r>
      <w:r>
        <w:t>valeur,</w:t>
      </w:r>
      <w:r w:rsidRPr="002C4077">
        <w:t xml:space="preserve"> </w:t>
      </w:r>
      <w:r>
        <w:t>en</w:t>
      </w:r>
      <w:r w:rsidRPr="002C4077">
        <w:t xml:space="preserve"> </w:t>
      </w:r>
      <w:r>
        <w:t>particulier</w:t>
      </w:r>
      <w:r w:rsidRPr="002C4077">
        <w:t xml:space="preserve"> </w:t>
      </w:r>
      <w:r>
        <w:t>dans</w:t>
      </w:r>
      <w:r w:rsidRPr="002C4077">
        <w:t xml:space="preserve"> </w:t>
      </w:r>
      <w:r>
        <w:t>le</w:t>
      </w:r>
      <w:r w:rsidRPr="002C4077">
        <w:t xml:space="preserve"> </w:t>
      </w:r>
      <w:r>
        <w:t>célèbre</w:t>
      </w:r>
      <w:r w:rsidRPr="002C4077">
        <w:t xml:space="preserve"> </w:t>
      </w:r>
      <w:r w:rsidRPr="000A34B5">
        <w:rPr>
          <w:rStyle w:val="italicus"/>
        </w:rPr>
        <w:t>Codex</w:t>
      </w:r>
      <w:r w:rsidRPr="002C4077">
        <w:t xml:space="preserve"> </w:t>
      </w:r>
      <w:r w:rsidRPr="000A34B5">
        <w:rPr>
          <w:rStyle w:val="italicus"/>
        </w:rPr>
        <w:t>Vaticanus</w:t>
      </w:r>
      <w:r w:rsidRPr="004440EA">
        <w:t xml:space="preserve"> (</w:t>
      </w:r>
      <w:r>
        <w:t>B</w:t>
      </w:r>
      <w:r w:rsidR="00B546AF" w:rsidRPr="002C4077">
        <w:t>)</w:t>
      </w:r>
      <w:r w:rsidRPr="002C4077">
        <w:t xml:space="preserve"> </w:t>
      </w:r>
      <w:r>
        <w:t>que</w:t>
      </w:r>
      <w:r w:rsidRPr="002C4077">
        <w:t xml:space="preserve"> </w:t>
      </w:r>
      <w:r>
        <w:t>les</w:t>
      </w:r>
      <w:r w:rsidRPr="002C4077">
        <w:t xml:space="preserve"> </w:t>
      </w:r>
      <w:r>
        <w:t>meilleurs</w:t>
      </w:r>
      <w:r w:rsidRPr="002C4077">
        <w:t xml:space="preserve"> </w:t>
      </w:r>
      <w:r>
        <w:t>critiques</w:t>
      </w:r>
      <w:r w:rsidRPr="002C4077">
        <w:t xml:space="preserve"> </w:t>
      </w:r>
      <w:r>
        <w:t>font</w:t>
      </w:r>
      <w:r w:rsidRPr="002C4077">
        <w:t xml:space="preserve"> </w:t>
      </w:r>
      <w:r>
        <w:t>remonter</w:t>
      </w:r>
      <w:r w:rsidRPr="002C4077">
        <w:t xml:space="preserve"> </w:t>
      </w:r>
      <w:r>
        <w:t>au</w:t>
      </w:r>
      <w:r w:rsidRPr="002C4077">
        <w:t xml:space="preserve"> </w:t>
      </w:r>
      <w:r>
        <w:t>commencement</w:t>
      </w:r>
      <w:r w:rsidRPr="002C4077">
        <w:t xml:space="preserve"> </w:t>
      </w:r>
      <w:r>
        <w:t>du</w:t>
      </w:r>
      <w:r w:rsidRPr="002C4077">
        <w:t xml:space="preserve"> </w:t>
      </w:r>
      <w:r w:rsidR="007B3C26">
        <w:t>IV</w:t>
      </w:r>
      <w:r w:rsidR="007B3C26" w:rsidRPr="007B3C26">
        <w:rPr>
          <w:vertAlign w:val="superscript"/>
        </w:rPr>
        <w:t>e</w:t>
      </w:r>
      <w:r w:rsidRPr="002C4077">
        <w:t xml:space="preserve"> </w:t>
      </w:r>
      <w:r>
        <w:t>siècle,</w:t>
      </w:r>
      <w:r w:rsidRPr="002C4077">
        <w:t xml:space="preserve"> </w:t>
      </w:r>
      <w:r>
        <w:t>dans</w:t>
      </w:r>
      <w:r w:rsidRPr="002C4077">
        <w:t xml:space="preserve"> </w:t>
      </w:r>
      <w:r>
        <w:t>le</w:t>
      </w:r>
      <w:r w:rsidRPr="002C4077">
        <w:t xml:space="preserve"> </w:t>
      </w:r>
      <w:r>
        <w:t>non</w:t>
      </w:r>
      <w:r w:rsidRPr="002C4077">
        <w:t xml:space="preserve"> </w:t>
      </w:r>
      <w:r>
        <w:t>moins</w:t>
      </w:r>
      <w:r w:rsidRPr="002C4077">
        <w:t xml:space="preserve"> </w:t>
      </w:r>
      <w:r>
        <w:t>célèbre</w:t>
      </w:r>
      <w:r w:rsidRPr="002C4077">
        <w:t xml:space="preserve"> </w:t>
      </w:r>
      <w:r w:rsidRPr="000A34B5">
        <w:rPr>
          <w:rStyle w:val="italicus"/>
        </w:rPr>
        <w:t>Codex</w:t>
      </w:r>
      <w:r w:rsidRPr="002C4077">
        <w:t xml:space="preserve"> </w:t>
      </w:r>
      <w:r w:rsidRPr="000A34B5">
        <w:rPr>
          <w:rStyle w:val="italicus"/>
        </w:rPr>
        <w:t>Alex</w:t>
      </w:r>
      <w:r w:rsidR="003B53FD" w:rsidRPr="000A34B5">
        <w:rPr>
          <w:rStyle w:val="italicus"/>
        </w:rPr>
        <w:t>andr</w:t>
      </w:r>
      <w:r w:rsidR="003B53FD">
        <w:rPr>
          <w:rStyle w:val="italicus"/>
        </w:rPr>
        <w:t>í</w:t>
      </w:r>
      <w:r w:rsidR="003B53FD" w:rsidRPr="000A34B5">
        <w:rPr>
          <w:rStyle w:val="italicus"/>
        </w:rPr>
        <w:t>nus</w:t>
      </w:r>
      <w:r w:rsidRPr="004440EA">
        <w:t xml:space="preserve"> (</w:t>
      </w:r>
      <w:r>
        <w:t>A</w:t>
      </w:r>
      <w:r w:rsidR="00B546AF" w:rsidRPr="002C4077">
        <w:t>)</w:t>
      </w:r>
      <w:r w:rsidRPr="002C4077">
        <w:t xml:space="preserve"> </w:t>
      </w:r>
      <w:r>
        <w:t>dont</w:t>
      </w:r>
      <w:r w:rsidRPr="002C4077">
        <w:t xml:space="preserve"> </w:t>
      </w:r>
      <w:r>
        <w:t>on</w:t>
      </w:r>
      <w:r w:rsidRPr="002C4077">
        <w:t xml:space="preserve"> </w:t>
      </w:r>
      <w:r>
        <w:t>assigne</w:t>
      </w:r>
      <w:r w:rsidRPr="002C4077">
        <w:t xml:space="preserve"> </w:t>
      </w:r>
      <w:r>
        <w:t>l’origine</w:t>
      </w:r>
      <w:r w:rsidRPr="002C4077">
        <w:t xml:space="preserve"> </w:t>
      </w:r>
      <w:r>
        <w:t>au</w:t>
      </w:r>
      <w:r w:rsidRPr="002C4077">
        <w:t xml:space="preserve"> </w:t>
      </w:r>
      <w:r w:rsidR="007B3C26">
        <w:t>V</w:t>
      </w:r>
      <w:r w:rsidR="007B3C26" w:rsidRPr="007B3C26">
        <w:rPr>
          <w:vertAlign w:val="superscript"/>
        </w:rPr>
        <w:t>e</w:t>
      </w:r>
      <w:r w:rsidRPr="002C4077">
        <w:t xml:space="preserve"> </w:t>
      </w:r>
      <w:r>
        <w:t>siècle,</w:t>
      </w:r>
      <w:r w:rsidRPr="002C4077">
        <w:t xml:space="preserve"> </w:t>
      </w:r>
      <w:r>
        <w:t>et</w:t>
      </w:r>
      <w:r w:rsidRPr="002C4077">
        <w:t xml:space="preserve"> </w:t>
      </w:r>
      <w:r>
        <w:t>dans</w:t>
      </w:r>
      <w:r w:rsidRPr="002C4077">
        <w:t xml:space="preserve"> </w:t>
      </w:r>
      <w:r>
        <w:t>deux</w:t>
      </w:r>
      <w:r w:rsidRPr="002C4077">
        <w:t xml:space="preserve"> </w:t>
      </w:r>
      <w:r w:rsidR="006E0521" w:rsidRPr="000A34B5">
        <w:rPr>
          <w:rStyle w:val="italicus"/>
        </w:rPr>
        <w:t>Códices</w:t>
      </w:r>
      <w:r w:rsidRPr="002C4077">
        <w:t xml:space="preserve"> </w:t>
      </w:r>
      <w:r>
        <w:t>un</w:t>
      </w:r>
      <w:r w:rsidRPr="002C4077">
        <w:t xml:space="preserve"> </w:t>
      </w:r>
      <w:r>
        <w:t>peu</w:t>
      </w:r>
      <w:r w:rsidRPr="002C4077">
        <w:t xml:space="preserve"> </w:t>
      </w:r>
      <w:r>
        <w:t>plus</w:t>
      </w:r>
      <w:r w:rsidRPr="002C4077">
        <w:t xml:space="preserve"> </w:t>
      </w:r>
      <w:r>
        <w:t>récents</w:t>
      </w:r>
      <w:r w:rsidRPr="002C4077">
        <w:t xml:space="preserve"> </w:t>
      </w:r>
      <w:r>
        <w:t>classés</w:t>
      </w:r>
      <w:r w:rsidRPr="002C4077">
        <w:t xml:space="preserve"> </w:t>
      </w:r>
      <w:r>
        <w:t>sous</w:t>
      </w:r>
      <w:r w:rsidRPr="002C4077">
        <w:t xml:space="preserve"> </w:t>
      </w:r>
      <w:r>
        <w:t>les</w:t>
      </w:r>
      <w:r w:rsidRPr="002C4077">
        <w:t xml:space="preserve"> </w:t>
      </w:r>
      <w:r>
        <w:t>lettres</w:t>
      </w:r>
      <w:r w:rsidRPr="002C4077">
        <w:t xml:space="preserve"> </w:t>
      </w:r>
      <w:r>
        <w:t>R</w:t>
      </w:r>
      <w:r w:rsidRPr="002C4077">
        <w:t xml:space="preserve"> </w:t>
      </w:r>
      <w:r>
        <w:t>et</w:t>
      </w:r>
      <w:r w:rsidRPr="002C4077">
        <w:t xml:space="preserve"> </w:t>
      </w:r>
      <w:r>
        <w:t>T.</w:t>
      </w:r>
      <w:r w:rsidRPr="002C4077">
        <w:t xml:space="preserve"> </w:t>
      </w:r>
      <w:r>
        <w:t>Ils</w:t>
      </w:r>
      <w:r w:rsidRPr="002C4077">
        <w:t xml:space="preserve"> </w:t>
      </w:r>
      <w:r>
        <w:t>sont</w:t>
      </w:r>
      <w:r w:rsidRPr="002C4077">
        <w:t xml:space="preserve"> </w:t>
      </w:r>
      <w:r>
        <w:t>munis</w:t>
      </w:r>
      <w:r w:rsidRPr="002C4077">
        <w:t xml:space="preserve"> </w:t>
      </w:r>
      <w:r>
        <w:t>d’</w:t>
      </w:r>
      <w:r w:rsidR="006E0521">
        <w:t>astérisques</w:t>
      </w:r>
      <w:r>
        <w:t>,</w:t>
      </w:r>
      <w:r w:rsidRPr="002C4077">
        <w:t xml:space="preserve"> </w:t>
      </w:r>
      <w:r>
        <w:t>c’est-à-dire</w:t>
      </w:r>
      <w:r w:rsidRPr="002C4077">
        <w:t xml:space="preserve"> </w:t>
      </w:r>
      <w:r>
        <w:t>regardés</w:t>
      </w:r>
      <w:r w:rsidRPr="002C4077">
        <w:t xml:space="preserve"> </w:t>
      </w:r>
      <w:r>
        <w:t>comme</w:t>
      </w:r>
      <w:r w:rsidRPr="002C4077">
        <w:t xml:space="preserve"> </w:t>
      </w:r>
      <w:r>
        <w:t>douteux,</w:t>
      </w:r>
      <w:r w:rsidRPr="002C4077">
        <w:t xml:space="preserve"> </w:t>
      </w:r>
      <w:r>
        <w:t>dans</w:t>
      </w:r>
      <w:r w:rsidRPr="002C4077">
        <w:t xml:space="preserve"> </w:t>
      </w:r>
      <w:r>
        <w:t>les</w:t>
      </w:r>
      <w:r w:rsidRPr="002C4077">
        <w:t xml:space="preserve"> </w:t>
      </w:r>
      <w:r>
        <w:t>manuscrits</w:t>
      </w:r>
      <w:r w:rsidRPr="002C4077">
        <w:t xml:space="preserve"> </w:t>
      </w:r>
      <w:r>
        <w:t>E,</w:t>
      </w:r>
      <w:r w:rsidRPr="002C4077">
        <w:t xml:space="preserve"> </w:t>
      </w:r>
      <w:r>
        <w:t>G,</w:t>
      </w:r>
      <w:r w:rsidRPr="002C4077">
        <w:t xml:space="preserve"> </w:t>
      </w:r>
      <w:r>
        <w:t>V,</w:t>
      </w:r>
      <w:r w:rsidRPr="002C4077">
        <w:t xml:space="preserve"> </w:t>
      </w:r>
      <w:r w:rsidR="00EC6E3D">
        <w:rPr>
          <w:smallCaps/>
        </w:rPr>
        <w:t>Δ</w:t>
      </w:r>
      <w:r w:rsidRPr="004440EA">
        <w:t xml:space="preserve"> (</w:t>
      </w:r>
      <w:r w:rsidRPr="00EC6E3D">
        <w:t>du</w:t>
      </w:r>
      <w:r w:rsidRPr="002C4077">
        <w:t xml:space="preserve"> </w:t>
      </w:r>
      <w:r w:rsidRPr="00EC6E3D">
        <w:t>VI</w:t>
      </w:r>
      <w:r w:rsidR="007B3C26">
        <w:t>II</w:t>
      </w:r>
      <w:r w:rsidR="007B3C26" w:rsidRPr="007B3C26">
        <w:rPr>
          <w:vertAlign w:val="superscript"/>
        </w:rPr>
        <w:t>e</w:t>
      </w:r>
      <w:r w:rsidRPr="002C4077">
        <w:t xml:space="preserve"> </w:t>
      </w:r>
      <w:r w:rsidRPr="00EC6E3D">
        <w:t>au</w:t>
      </w:r>
      <w:r w:rsidRPr="002C4077">
        <w:t xml:space="preserve"> </w:t>
      </w:r>
      <w:r w:rsidR="007B3C26">
        <w:t>X</w:t>
      </w:r>
      <w:r w:rsidR="007B3C26" w:rsidRPr="007B3C26">
        <w:rPr>
          <w:vertAlign w:val="superscript"/>
        </w:rPr>
        <w:t>e</w:t>
      </w:r>
      <w:r w:rsidRPr="002C4077">
        <w:t xml:space="preserve"> </w:t>
      </w:r>
      <w:r w:rsidRPr="00EC6E3D">
        <w:t>siècle</w:t>
      </w:r>
      <w:r w:rsidR="00B546AF" w:rsidRPr="002C4077">
        <w:t>)</w:t>
      </w:r>
      <w:r w:rsidRPr="00EC6E3D">
        <w:t>.</w:t>
      </w:r>
      <w:r w:rsidR="00C45B47">
        <w:t xml:space="preserve"> {</w:t>
      </w:r>
      <w:r w:rsidR="004C5B7A">
        <w:t>103</w:t>
      </w:r>
      <w:bookmarkStart w:id="305" w:name="p103"/>
      <w:bookmarkEnd w:id="305"/>
      <w:r w:rsidR="004C5B7A">
        <w:t xml:space="preserve">} </w:t>
      </w:r>
    </w:p>
    <w:p w:rsidR="000A7AAB" w:rsidRDefault="000A7AAB" w:rsidP="000A7AAB">
      <w:r>
        <w:t>2°</w:t>
      </w:r>
      <w:r w:rsidRPr="002C4077">
        <w:t xml:space="preserve"> </w:t>
      </w:r>
      <w:r>
        <w:t>S.</w:t>
      </w:r>
      <w:r w:rsidRPr="002C4077">
        <w:t xml:space="preserve"> </w:t>
      </w:r>
      <w:r>
        <w:t>Hilaire</w:t>
      </w:r>
      <w:r w:rsidRPr="002C4077">
        <w:t xml:space="preserve"> </w:t>
      </w:r>
      <w:r w:rsidR="00B91AF7">
        <w:rPr>
          <w:rStyle w:val="Appelnotedebasdep"/>
        </w:rPr>
        <w:footnoteReference w:id="316"/>
      </w:r>
      <w:r w:rsidRPr="002C4077">
        <w:t xml:space="preserve"> </w:t>
      </w:r>
      <w:r>
        <w:t>et</w:t>
      </w:r>
      <w:r w:rsidRPr="002C4077">
        <w:t xml:space="preserve"> </w:t>
      </w:r>
      <w:r>
        <w:t>S.</w:t>
      </w:r>
      <w:r w:rsidRPr="002C4077">
        <w:t xml:space="preserve"> </w:t>
      </w:r>
      <w:r>
        <w:t>Jérôme</w:t>
      </w:r>
      <w:r w:rsidR="00B91AF7">
        <w:rPr>
          <w:rStyle w:val="Appelnotedebasdep"/>
        </w:rPr>
        <w:footnoteReference w:id="317"/>
      </w:r>
      <w:r w:rsidRPr="002C4077">
        <w:t xml:space="preserve"> </w:t>
      </w:r>
      <w:r>
        <w:t>affirment</w:t>
      </w:r>
      <w:r w:rsidRPr="002C4077">
        <w:t xml:space="preserve"> </w:t>
      </w:r>
      <w:r>
        <w:t>que</w:t>
      </w:r>
      <w:r w:rsidRPr="002C4077">
        <w:t xml:space="preserve"> </w:t>
      </w:r>
      <w:r>
        <w:t>de</w:t>
      </w:r>
      <w:r w:rsidRPr="002C4077">
        <w:t xml:space="preserve"> </w:t>
      </w:r>
      <w:r>
        <w:t>leur</w:t>
      </w:r>
      <w:r w:rsidRPr="002C4077">
        <w:t xml:space="preserve"> </w:t>
      </w:r>
      <w:r>
        <w:t>temps</w:t>
      </w:r>
      <w:r w:rsidRPr="002C4077">
        <w:t xml:space="preserve"> </w:t>
      </w:r>
      <w:r>
        <w:t>cette</w:t>
      </w:r>
      <w:r w:rsidRPr="002C4077">
        <w:t xml:space="preserve"> </w:t>
      </w:r>
      <w:r>
        <w:t>omission</w:t>
      </w:r>
      <w:r w:rsidRPr="002C4077">
        <w:t xml:space="preserve"> </w:t>
      </w:r>
      <w:r>
        <w:t>était</w:t>
      </w:r>
      <w:r w:rsidRPr="002C4077">
        <w:t xml:space="preserve"> </w:t>
      </w:r>
      <w:r>
        <w:t>déjà</w:t>
      </w:r>
      <w:r w:rsidRPr="002C4077">
        <w:t xml:space="preserve"> </w:t>
      </w:r>
      <w:r>
        <w:t>constatée</w:t>
      </w:r>
      <w:r w:rsidRPr="002C4077">
        <w:t xml:space="preserve"> </w:t>
      </w:r>
      <w:r>
        <w:t>dans</w:t>
      </w:r>
      <w:r w:rsidRPr="002C4077">
        <w:t xml:space="preserve"> </w:t>
      </w:r>
      <w:r>
        <w:t>un</w:t>
      </w:r>
      <w:r w:rsidRPr="002C4077">
        <w:t xml:space="preserve"> </w:t>
      </w:r>
      <w:r>
        <w:t>nombre</w:t>
      </w:r>
      <w:r w:rsidRPr="002C4077">
        <w:t xml:space="preserve"> </w:t>
      </w:r>
      <w:r>
        <w:t>assez</w:t>
      </w:r>
      <w:r w:rsidRPr="002C4077">
        <w:t xml:space="preserve"> </w:t>
      </w:r>
      <w:r>
        <w:t>considérable</w:t>
      </w:r>
      <w:r w:rsidRPr="002C4077">
        <w:t xml:space="preserve"> </w:t>
      </w:r>
      <w:r>
        <w:t>de</w:t>
      </w:r>
      <w:r w:rsidRPr="002C4077">
        <w:t xml:space="preserve"> </w:t>
      </w:r>
      <w:r w:rsidR="006E0521" w:rsidRPr="000A34B5">
        <w:rPr>
          <w:rStyle w:val="italicus"/>
        </w:rPr>
        <w:t>Códices</w:t>
      </w:r>
      <w:r w:rsidRPr="000A34B5">
        <w:rPr>
          <w:rStyle w:val="italicus"/>
        </w:rPr>
        <w:t>.</w:t>
      </w:r>
      <w:r w:rsidRPr="002C4077">
        <w:t xml:space="preserve"> </w:t>
      </w:r>
    </w:p>
    <w:p w:rsidR="000A7AAB" w:rsidRDefault="000A7AAB" w:rsidP="000A7AAB">
      <w:r>
        <w:t>3°</w:t>
      </w:r>
      <w:r w:rsidRPr="002C4077">
        <w:t xml:space="preserve"> </w:t>
      </w:r>
      <w:r>
        <w:t>S.</w:t>
      </w:r>
      <w:r w:rsidRPr="002C4077">
        <w:t xml:space="preserve"> </w:t>
      </w:r>
      <w:r>
        <w:t>Cyrille</w:t>
      </w:r>
      <w:r w:rsidRPr="002C4077">
        <w:t xml:space="preserve"> </w:t>
      </w:r>
      <w:r>
        <w:t>et</w:t>
      </w:r>
      <w:r w:rsidRPr="002C4077">
        <w:t xml:space="preserve"> </w:t>
      </w:r>
      <w:r>
        <w:t>S.</w:t>
      </w:r>
      <w:r w:rsidRPr="002C4077">
        <w:t xml:space="preserve"> </w:t>
      </w:r>
      <w:r>
        <w:t>Ambroise</w:t>
      </w:r>
      <w:r w:rsidRPr="002C4077">
        <w:t xml:space="preserve"> </w:t>
      </w:r>
      <w:r>
        <w:t>passent</w:t>
      </w:r>
      <w:r w:rsidRPr="002C4077">
        <w:t xml:space="preserve"> </w:t>
      </w:r>
      <w:r>
        <w:t>nos</w:t>
      </w:r>
      <w:r w:rsidRPr="002C4077">
        <w:t xml:space="preserve"> </w:t>
      </w:r>
      <w:r>
        <w:t>deux</w:t>
      </w:r>
      <w:r w:rsidRPr="002C4077">
        <w:t xml:space="preserve"> </w:t>
      </w:r>
      <w:r>
        <w:t>versets</w:t>
      </w:r>
      <w:r w:rsidRPr="002C4077">
        <w:t xml:space="preserve"> </w:t>
      </w:r>
      <w:r>
        <w:t>sous</w:t>
      </w:r>
      <w:r w:rsidRPr="002C4077">
        <w:t xml:space="preserve"> </w:t>
      </w:r>
      <w:r>
        <w:t>silence</w:t>
      </w:r>
      <w:r w:rsidRPr="002C4077">
        <w:t xml:space="preserve"> </w:t>
      </w:r>
      <w:r>
        <w:t>dans</w:t>
      </w:r>
      <w:r w:rsidRPr="002C4077">
        <w:t xml:space="preserve"> </w:t>
      </w:r>
      <w:r>
        <w:t>leurs</w:t>
      </w:r>
      <w:r w:rsidRPr="002C4077">
        <w:t xml:space="preserve"> </w:t>
      </w:r>
      <w:r>
        <w:t>commentaires.</w:t>
      </w:r>
      <w:r w:rsidRPr="002C4077">
        <w:t xml:space="preserve"> </w:t>
      </w:r>
    </w:p>
    <w:p w:rsidR="00EC6E3D" w:rsidRDefault="00EC6E3D" w:rsidP="000A7AAB"/>
    <w:p w:rsidR="000A7AAB" w:rsidRDefault="000A7AAB" w:rsidP="000A7AAB">
      <w:r>
        <w:t>Assurément</w:t>
      </w:r>
      <w:r w:rsidRPr="002C4077">
        <w:t xml:space="preserve"> </w:t>
      </w:r>
      <w:r>
        <w:t>ces</w:t>
      </w:r>
      <w:r w:rsidRPr="002C4077">
        <w:t xml:space="preserve"> </w:t>
      </w:r>
      <w:r>
        <w:t>faits</w:t>
      </w:r>
      <w:r w:rsidRPr="002C4077">
        <w:t xml:space="preserve"> </w:t>
      </w:r>
      <w:r>
        <w:t>ont</w:t>
      </w:r>
      <w:r w:rsidRPr="002C4077">
        <w:t xml:space="preserve"> </w:t>
      </w:r>
      <w:r>
        <w:t>une</w:t>
      </w:r>
      <w:r w:rsidRPr="002C4077">
        <w:t xml:space="preserve"> </w:t>
      </w:r>
      <w:r>
        <w:t>certaine</w:t>
      </w:r>
      <w:r w:rsidRPr="002C4077">
        <w:t xml:space="preserve"> </w:t>
      </w:r>
      <w:r>
        <w:t>gravité,</w:t>
      </w:r>
      <w:r w:rsidRPr="002C4077">
        <w:t xml:space="preserve"> </w:t>
      </w:r>
      <w:r>
        <w:t>les</w:t>
      </w:r>
      <w:r w:rsidRPr="002C4077">
        <w:t xml:space="preserve"> </w:t>
      </w:r>
      <w:r>
        <w:t>deux</w:t>
      </w:r>
      <w:r w:rsidRPr="002C4077">
        <w:t xml:space="preserve"> </w:t>
      </w:r>
      <w:r>
        <w:t>premiers</w:t>
      </w:r>
      <w:r w:rsidRPr="002C4077">
        <w:t xml:space="preserve"> </w:t>
      </w:r>
      <w:r>
        <w:t>surtout.</w:t>
      </w:r>
      <w:r w:rsidRPr="002C4077">
        <w:t xml:space="preserve"> </w:t>
      </w:r>
      <w:r>
        <w:t>Mais,</w:t>
      </w:r>
      <w:r w:rsidRPr="002C4077">
        <w:t xml:space="preserve"> </w:t>
      </w:r>
      <w:r>
        <w:t>à</w:t>
      </w:r>
      <w:r w:rsidRPr="002C4077">
        <w:t xml:space="preserve"> </w:t>
      </w:r>
      <w:r>
        <w:t>vrai</w:t>
      </w:r>
      <w:r w:rsidRPr="002C4077">
        <w:t xml:space="preserve"> </w:t>
      </w:r>
      <w:r>
        <w:t>dire,</w:t>
      </w:r>
      <w:r w:rsidRPr="002C4077">
        <w:t xml:space="preserve"> </w:t>
      </w:r>
      <w:r>
        <w:t>ils</w:t>
      </w:r>
      <w:r w:rsidRPr="002C4077">
        <w:t xml:space="preserve"> </w:t>
      </w:r>
      <w:r>
        <w:t>ne</w:t>
      </w:r>
      <w:r w:rsidRPr="002C4077">
        <w:t xml:space="preserve"> </w:t>
      </w:r>
      <w:r>
        <w:t>constituent</w:t>
      </w:r>
      <w:r w:rsidRPr="002C4077">
        <w:t xml:space="preserve"> </w:t>
      </w:r>
      <w:r>
        <w:t>qu’une</w:t>
      </w:r>
      <w:r w:rsidRPr="002C4077">
        <w:t xml:space="preserve"> </w:t>
      </w:r>
      <w:r>
        <w:t>preuve</w:t>
      </w:r>
      <w:r w:rsidRPr="002C4077">
        <w:t xml:space="preserve"> </w:t>
      </w:r>
      <w:r>
        <w:t>négative,</w:t>
      </w:r>
      <w:r w:rsidRPr="002C4077">
        <w:t xml:space="preserve"> </w:t>
      </w:r>
      <w:r>
        <w:t>et</w:t>
      </w:r>
      <w:r w:rsidRPr="002C4077">
        <w:t xml:space="preserve"> </w:t>
      </w:r>
      <w:r>
        <w:t>la</w:t>
      </w:r>
      <w:r w:rsidRPr="002C4077">
        <w:t xml:space="preserve"> </w:t>
      </w:r>
      <w:r>
        <w:t>critique</w:t>
      </w:r>
      <w:r w:rsidRPr="002C4077">
        <w:t xml:space="preserve"> </w:t>
      </w:r>
      <w:r>
        <w:t>peut</w:t>
      </w:r>
      <w:r w:rsidRPr="002C4077">
        <w:t xml:space="preserve"> </w:t>
      </w:r>
      <w:r>
        <w:t>leur</w:t>
      </w:r>
      <w:r w:rsidRPr="002C4077">
        <w:t xml:space="preserve"> </w:t>
      </w:r>
      <w:r>
        <w:t>opposer</w:t>
      </w:r>
      <w:r w:rsidRPr="002C4077">
        <w:t xml:space="preserve"> </w:t>
      </w:r>
      <w:r>
        <w:t>d’autres</w:t>
      </w:r>
      <w:r w:rsidRPr="002C4077">
        <w:t xml:space="preserve"> </w:t>
      </w:r>
      <w:r>
        <w:t>faits,</w:t>
      </w:r>
      <w:r w:rsidRPr="002C4077">
        <w:t xml:space="preserve"> </w:t>
      </w:r>
      <w:r>
        <w:t>positifs</w:t>
      </w:r>
      <w:r w:rsidRPr="002C4077">
        <w:t xml:space="preserve"> </w:t>
      </w:r>
      <w:r>
        <w:t>par</w:t>
      </w:r>
      <w:r w:rsidRPr="002C4077">
        <w:t xml:space="preserve"> </w:t>
      </w:r>
      <w:r>
        <w:t>leur</w:t>
      </w:r>
      <w:r w:rsidRPr="002C4077">
        <w:t xml:space="preserve"> </w:t>
      </w:r>
      <w:r>
        <w:t>nature,</w:t>
      </w:r>
      <w:r w:rsidRPr="002C4077">
        <w:t xml:space="preserve"> </w:t>
      </w:r>
      <w:r>
        <w:t>dont</w:t>
      </w:r>
      <w:r w:rsidRPr="002C4077">
        <w:t xml:space="preserve"> </w:t>
      </w:r>
      <w:r>
        <w:t>la</w:t>
      </w:r>
      <w:r w:rsidRPr="002C4077">
        <w:t xml:space="preserve"> </w:t>
      </w:r>
      <w:r>
        <w:t>force</w:t>
      </w:r>
      <w:r w:rsidRPr="002C4077">
        <w:t xml:space="preserve"> </w:t>
      </w:r>
      <w:r>
        <w:t>probante</w:t>
      </w:r>
      <w:r w:rsidRPr="002C4077">
        <w:t xml:space="preserve"> </w:t>
      </w:r>
      <w:r w:rsidR="00425C50">
        <w:t>est</w:t>
      </w:r>
      <w:r w:rsidRPr="002C4077">
        <w:t xml:space="preserve"> </w:t>
      </w:r>
      <w:r>
        <w:t>si</w:t>
      </w:r>
      <w:r w:rsidRPr="002C4077">
        <w:t xml:space="preserve"> </w:t>
      </w:r>
      <w:r>
        <w:t>manifeste,</w:t>
      </w:r>
      <w:r w:rsidRPr="002C4077">
        <w:t xml:space="preserve"> </w:t>
      </w:r>
      <w:r>
        <w:t>que</w:t>
      </w:r>
      <w:r w:rsidRPr="002C4077">
        <w:t xml:space="preserve"> </w:t>
      </w:r>
      <w:r>
        <w:t>même</w:t>
      </w:r>
      <w:r w:rsidRPr="002C4077">
        <w:t xml:space="preserve"> </w:t>
      </w:r>
      <w:r>
        <w:t>de</w:t>
      </w:r>
      <w:r w:rsidRPr="002C4077">
        <w:t xml:space="preserve"> </w:t>
      </w:r>
      <w:r>
        <w:t>Wette,</w:t>
      </w:r>
      <w:r w:rsidRPr="002C4077">
        <w:t xml:space="preserve"> </w:t>
      </w:r>
      <w:r>
        <w:t>même</w:t>
      </w:r>
      <w:r w:rsidRPr="002C4077">
        <w:t xml:space="preserve"> </w:t>
      </w:r>
      <w:r>
        <w:t>Strauss,</w:t>
      </w:r>
      <w:r w:rsidRPr="002C4077">
        <w:t xml:space="preserve"> </w:t>
      </w:r>
      <w:r>
        <w:t>même</w:t>
      </w:r>
      <w:r w:rsidRPr="002C4077">
        <w:t xml:space="preserve"> </w:t>
      </w:r>
      <w:r>
        <w:t>MM.</w:t>
      </w:r>
      <w:r w:rsidRPr="002C4077">
        <w:t xml:space="preserve"> </w:t>
      </w:r>
      <w:r>
        <w:t>Renan,</w:t>
      </w:r>
      <w:r w:rsidRPr="002C4077">
        <w:t xml:space="preserve"> </w:t>
      </w:r>
      <w:r>
        <w:t>Keim,</w:t>
      </w:r>
      <w:r w:rsidRPr="002C4077">
        <w:t xml:space="preserve"> </w:t>
      </w:r>
      <w:r w:rsidR="00425C50">
        <w:t>etc</w:t>
      </w:r>
      <w:r>
        <w:t>.,</w:t>
      </w:r>
      <w:r w:rsidRPr="002C4077">
        <w:t xml:space="preserve"> </w:t>
      </w:r>
      <w:r>
        <w:t>s’en</w:t>
      </w:r>
      <w:r w:rsidRPr="002C4077">
        <w:t xml:space="preserve"> </w:t>
      </w:r>
      <w:r>
        <w:t>disent</w:t>
      </w:r>
      <w:r w:rsidRPr="002C4077">
        <w:t xml:space="preserve"> </w:t>
      </w:r>
      <w:r>
        <w:t>ou</w:t>
      </w:r>
      <w:r w:rsidRPr="002C4077">
        <w:t xml:space="preserve"> </w:t>
      </w:r>
      <w:r>
        <w:t>s’en</w:t>
      </w:r>
      <w:r w:rsidRPr="002C4077">
        <w:t xml:space="preserve"> </w:t>
      </w:r>
      <w:r>
        <w:t>montrent</w:t>
      </w:r>
      <w:r w:rsidRPr="002C4077">
        <w:t xml:space="preserve"> </w:t>
      </w:r>
      <w:r>
        <w:t>rassurés.</w:t>
      </w:r>
      <w:r w:rsidRPr="002C4077">
        <w:t xml:space="preserve"> </w:t>
      </w:r>
    </w:p>
    <w:p w:rsidR="000A7AAB" w:rsidRDefault="000A7AAB" w:rsidP="000A7AAB">
      <w:r>
        <w:t>En</w:t>
      </w:r>
      <w:r w:rsidRPr="002C4077">
        <w:t xml:space="preserve"> </w:t>
      </w:r>
      <w:r>
        <w:t>face</w:t>
      </w:r>
      <w:r w:rsidRPr="002C4077">
        <w:t xml:space="preserve"> </w:t>
      </w:r>
      <w:r>
        <w:t>des</w:t>
      </w:r>
      <w:r w:rsidRPr="002C4077">
        <w:t xml:space="preserve"> </w:t>
      </w:r>
      <w:r>
        <w:t>rares</w:t>
      </w:r>
      <w:r w:rsidRPr="002C4077">
        <w:t xml:space="preserve"> </w:t>
      </w:r>
      <w:r w:rsidR="006E0521" w:rsidRPr="000A34B5">
        <w:rPr>
          <w:rStyle w:val="italicus"/>
        </w:rPr>
        <w:t>Códices</w:t>
      </w:r>
      <w:r w:rsidRPr="002C4077">
        <w:t xml:space="preserve"> </w:t>
      </w:r>
      <w:r>
        <w:t>mentionnés</w:t>
      </w:r>
      <w:r w:rsidRPr="002C4077">
        <w:t xml:space="preserve"> </w:t>
      </w:r>
      <w:r>
        <w:t>plus</w:t>
      </w:r>
      <w:r w:rsidRPr="002C4077">
        <w:t xml:space="preserve"> </w:t>
      </w:r>
      <w:r>
        <w:t>haut,</w:t>
      </w:r>
      <w:r w:rsidRPr="002C4077">
        <w:t xml:space="preserve"> </w:t>
      </w:r>
      <w:r>
        <w:t>nous</w:t>
      </w:r>
      <w:r w:rsidRPr="002C4077">
        <w:t xml:space="preserve"> </w:t>
      </w:r>
      <w:r>
        <w:t>rangeons</w:t>
      </w:r>
      <w:r w:rsidRPr="002C4077">
        <w:t xml:space="preserve"> </w:t>
      </w:r>
      <w:r>
        <w:t>d’abord</w:t>
      </w:r>
      <w:r w:rsidRPr="002C4077">
        <w:t xml:space="preserve"> </w:t>
      </w:r>
      <w:r>
        <w:t>l’armée</w:t>
      </w:r>
      <w:r w:rsidRPr="002C4077">
        <w:t xml:space="preserve"> </w:t>
      </w:r>
      <w:r>
        <w:t>compacte</w:t>
      </w:r>
      <w:r w:rsidRPr="002C4077">
        <w:t xml:space="preserve"> </w:t>
      </w:r>
      <w:r>
        <w:t>des</w:t>
      </w:r>
      <w:r w:rsidRPr="002C4077">
        <w:t xml:space="preserve"> </w:t>
      </w:r>
      <w:r>
        <w:t>manuscrits</w:t>
      </w:r>
      <w:r w:rsidRPr="002C4077">
        <w:t xml:space="preserve"> </w:t>
      </w:r>
      <w:r>
        <w:t>antiques,</w:t>
      </w:r>
      <w:r w:rsidRPr="002C4077">
        <w:t xml:space="preserve"> </w:t>
      </w:r>
      <w:r>
        <w:t>commandée</w:t>
      </w:r>
      <w:r w:rsidRPr="002C4077">
        <w:t xml:space="preserve"> </w:t>
      </w:r>
      <w:r>
        <w:t>par</w:t>
      </w:r>
      <w:r w:rsidRPr="002C4077">
        <w:t xml:space="preserve"> </w:t>
      </w:r>
      <w:r>
        <w:t>son</w:t>
      </w:r>
      <w:r w:rsidRPr="002C4077">
        <w:t xml:space="preserve"> </w:t>
      </w:r>
      <w:r>
        <w:t>Nestor</w:t>
      </w:r>
      <w:r w:rsidRPr="002C4077">
        <w:t xml:space="preserve"> </w:t>
      </w:r>
      <w:r>
        <w:t>probable,</w:t>
      </w:r>
      <w:r w:rsidRPr="002C4077">
        <w:t xml:space="preserve"> </w:t>
      </w:r>
      <w:r>
        <w:t>le</w:t>
      </w:r>
      <w:r w:rsidRPr="002C4077">
        <w:t xml:space="preserve"> </w:t>
      </w:r>
      <w:r w:rsidRPr="000A34B5">
        <w:rPr>
          <w:rStyle w:val="italicus"/>
        </w:rPr>
        <w:t>Cod.</w:t>
      </w:r>
      <w:r w:rsidRPr="002C4077">
        <w:t xml:space="preserve"> </w:t>
      </w:r>
      <w:r w:rsidRPr="000A34B5">
        <w:rPr>
          <w:rStyle w:val="italicus"/>
        </w:rPr>
        <w:t>S</w:t>
      </w:r>
      <w:r w:rsidR="001730C6" w:rsidRPr="000A34B5">
        <w:rPr>
          <w:rStyle w:val="italicus"/>
        </w:rPr>
        <w:t>in</w:t>
      </w:r>
      <w:r w:rsidRPr="000A34B5">
        <w:rPr>
          <w:rStyle w:val="italicus"/>
        </w:rPr>
        <w:t>aiticus</w:t>
      </w:r>
      <w:r w:rsidRPr="004440EA">
        <w:t xml:space="preserve"> (</w:t>
      </w:r>
      <w:r w:rsidR="00EC6E3D">
        <w:rPr>
          <w:smallCaps/>
          <w:rtl/>
          <w:lang w:bidi="he-IL"/>
        </w:rPr>
        <w:t>א</w:t>
      </w:r>
      <w:r w:rsidR="00B546AF" w:rsidRPr="002C4077">
        <w:t>)</w:t>
      </w:r>
      <w:r>
        <w:t>.</w:t>
      </w:r>
      <w:r w:rsidRPr="002C4077">
        <w:t xml:space="preserve"> </w:t>
      </w:r>
      <w:r>
        <w:t>Cela</w:t>
      </w:r>
      <w:r w:rsidRPr="002C4077">
        <w:t xml:space="preserve"> </w:t>
      </w:r>
      <w:r>
        <w:t>fait</w:t>
      </w:r>
      <w:r w:rsidRPr="002C4077">
        <w:t xml:space="preserve"> </w:t>
      </w:r>
      <w:r>
        <w:t>plusieurs</w:t>
      </w:r>
      <w:r w:rsidRPr="002C4077">
        <w:t xml:space="preserve"> </w:t>
      </w:r>
      <w:r>
        <w:t>centaines</w:t>
      </w:r>
      <w:r w:rsidRPr="002C4077">
        <w:t xml:space="preserve"> </w:t>
      </w:r>
      <w:r>
        <w:t>de</w:t>
      </w:r>
      <w:r w:rsidRPr="002C4077">
        <w:t xml:space="preserve"> </w:t>
      </w:r>
      <w:r>
        <w:t>documents</w:t>
      </w:r>
      <w:r w:rsidRPr="002C4077">
        <w:t xml:space="preserve"> </w:t>
      </w:r>
      <w:r>
        <w:t>dans</w:t>
      </w:r>
      <w:r w:rsidRPr="002C4077">
        <w:t xml:space="preserve"> </w:t>
      </w:r>
      <w:r>
        <w:t>lesquels</w:t>
      </w:r>
      <w:r w:rsidRPr="002C4077">
        <w:t xml:space="preserve"> </w:t>
      </w:r>
      <w:r>
        <w:t>le</w:t>
      </w:r>
      <w:r w:rsidRPr="002C4077">
        <w:t xml:space="preserve"> </w:t>
      </w:r>
      <w:r>
        <w:t>passage</w:t>
      </w:r>
      <w:r w:rsidRPr="002C4077">
        <w:t xml:space="preserve"> </w:t>
      </w:r>
      <w:r>
        <w:t>incriminé</w:t>
      </w:r>
      <w:r w:rsidRPr="002C4077">
        <w:t xml:space="preserve"> </w:t>
      </w:r>
      <w:r>
        <w:t>se</w:t>
      </w:r>
      <w:r w:rsidRPr="002C4077">
        <w:t xml:space="preserve"> </w:t>
      </w:r>
      <w:r>
        <w:t>lit</w:t>
      </w:r>
      <w:r w:rsidRPr="002C4077">
        <w:t xml:space="preserve"> </w:t>
      </w:r>
      <w:r>
        <w:t>en</w:t>
      </w:r>
      <w:r w:rsidRPr="002C4077">
        <w:t xml:space="preserve"> </w:t>
      </w:r>
      <w:r>
        <w:t>toutes</w:t>
      </w:r>
      <w:r w:rsidRPr="002C4077">
        <w:t xml:space="preserve"> </w:t>
      </w:r>
      <w:r>
        <w:t>lettres,</w:t>
      </w:r>
      <w:r w:rsidRPr="002C4077">
        <w:t xml:space="preserve"> </w:t>
      </w:r>
      <w:r>
        <w:t>ce</w:t>
      </w:r>
      <w:r w:rsidRPr="002C4077">
        <w:t xml:space="preserve"> </w:t>
      </w:r>
      <w:r>
        <w:t>qui</w:t>
      </w:r>
      <w:r w:rsidRPr="002C4077">
        <w:t xml:space="preserve"> </w:t>
      </w:r>
      <w:r>
        <w:t>n’est</w:t>
      </w:r>
      <w:r w:rsidRPr="002C4077">
        <w:t xml:space="preserve"> </w:t>
      </w:r>
      <w:r>
        <w:t>pas</w:t>
      </w:r>
      <w:r w:rsidRPr="002C4077">
        <w:t xml:space="preserve"> </w:t>
      </w:r>
      <w:r>
        <w:t>une</w:t>
      </w:r>
      <w:r w:rsidRPr="002C4077">
        <w:t xml:space="preserve"> </w:t>
      </w:r>
      <w:r>
        <w:t>mince</w:t>
      </w:r>
      <w:r w:rsidRPr="002C4077">
        <w:t xml:space="preserve"> </w:t>
      </w:r>
      <w:r>
        <w:t>garantie.</w:t>
      </w:r>
      <w:r w:rsidRPr="002C4077">
        <w:t xml:space="preserve"> </w:t>
      </w:r>
    </w:p>
    <w:p w:rsidR="000A7AAB" w:rsidRDefault="000A7AAB" w:rsidP="000A7AAB">
      <w:r>
        <w:t>De</w:t>
      </w:r>
      <w:r w:rsidRPr="002C4077">
        <w:t xml:space="preserve"> </w:t>
      </w:r>
      <w:r>
        <w:t>plus,</w:t>
      </w:r>
      <w:r w:rsidRPr="002C4077">
        <w:t xml:space="preserve"> </w:t>
      </w:r>
      <w:r>
        <w:t>en</w:t>
      </w:r>
      <w:r w:rsidRPr="002C4077">
        <w:t xml:space="preserve"> </w:t>
      </w:r>
      <w:r>
        <w:t>faveur</w:t>
      </w:r>
      <w:r w:rsidRPr="002C4077">
        <w:t xml:space="preserve"> </w:t>
      </w:r>
      <w:r>
        <w:t>des</w:t>
      </w:r>
      <w:r w:rsidRPr="002C4077">
        <w:t xml:space="preserve"> </w:t>
      </w:r>
      <w:r>
        <w:t>versets</w:t>
      </w:r>
      <w:r w:rsidRPr="002C4077">
        <w:t xml:space="preserve"> </w:t>
      </w:r>
      <w:r>
        <w:t>43</w:t>
      </w:r>
      <w:r w:rsidRPr="002C4077">
        <w:t xml:space="preserve"> </w:t>
      </w:r>
      <w:r>
        <w:t>et</w:t>
      </w:r>
      <w:r w:rsidRPr="002C4077">
        <w:t xml:space="preserve"> </w:t>
      </w:r>
      <w:r>
        <w:t>44</w:t>
      </w:r>
      <w:r w:rsidRPr="002C4077">
        <w:t xml:space="preserve"> </w:t>
      </w:r>
      <w:r>
        <w:t>on</w:t>
      </w:r>
      <w:r w:rsidRPr="002C4077">
        <w:t xml:space="preserve"> </w:t>
      </w:r>
      <w:r>
        <w:t>peut</w:t>
      </w:r>
      <w:r w:rsidRPr="002C4077">
        <w:t xml:space="preserve"> </w:t>
      </w:r>
      <w:r>
        <w:t>alléguer</w:t>
      </w:r>
      <w:r w:rsidRPr="002C4077">
        <w:t xml:space="preserve"> </w:t>
      </w:r>
      <w:r>
        <w:t>le</w:t>
      </w:r>
      <w:r w:rsidRPr="002C4077">
        <w:t xml:space="preserve"> </w:t>
      </w:r>
      <w:r>
        <w:t>témoignage</w:t>
      </w:r>
      <w:r w:rsidRPr="002C4077">
        <w:t xml:space="preserve"> </w:t>
      </w:r>
      <w:r>
        <w:t>non</w:t>
      </w:r>
      <w:r w:rsidRPr="002C4077">
        <w:t xml:space="preserve"> </w:t>
      </w:r>
      <w:r>
        <w:t>moins</w:t>
      </w:r>
      <w:r w:rsidRPr="002C4077">
        <w:t xml:space="preserve"> </w:t>
      </w:r>
      <w:r>
        <w:t>fort</w:t>
      </w:r>
      <w:r w:rsidRPr="002C4077">
        <w:t xml:space="preserve"> </w:t>
      </w:r>
      <w:r>
        <w:t>des</w:t>
      </w:r>
      <w:r w:rsidRPr="002C4077">
        <w:t xml:space="preserve"> </w:t>
      </w:r>
      <w:r>
        <w:t>versions</w:t>
      </w:r>
      <w:r w:rsidRPr="002C4077">
        <w:t xml:space="preserve"> </w:t>
      </w:r>
      <w:r>
        <w:t>les</w:t>
      </w:r>
      <w:r w:rsidRPr="002C4077">
        <w:t xml:space="preserve"> </w:t>
      </w:r>
      <w:r>
        <w:t>plus</w:t>
      </w:r>
      <w:r w:rsidRPr="002C4077">
        <w:t xml:space="preserve"> </w:t>
      </w:r>
      <w:r>
        <w:t>anciennes</w:t>
      </w:r>
      <w:r w:rsidRPr="002C4077">
        <w:t xml:space="preserve"> </w:t>
      </w:r>
      <w:r>
        <w:t>et</w:t>
      </w:r>
      <w:r w:rsidRPr="002C4077">
        <w:t xml:space="preserve"> </w:t>
      </w:r>
      <w:r>
        <w:t>les</w:t>
      </w:r>
      <w:r w:rsidRPr="002C4077">
        <w:t xml:space="preserve"> </w:t>
      </w:r>
      <w:r>
        <w:t>plus</w:t>
      </w:r>
      <w:r w:rsidRPr="002C4077">
        <w:t xml:space="preserve"> </w:t>
      </w:r>
      <w:r>
        <w:t>estimées.</w:t>
      </w:r>
      <w:r w:rsidRPr="002C4077">
        <w:t xml:space="preserve"> </w:t>
      </w:r>
      <w:r>
        <w:t>À</w:t>
      </w:r>
      <w:r w:rsidRPr="002C4077">
        <w:t xml:space="preserve"> </w:t>
      </w:r>
      <w:r>
        <w:t>part</w:t>
      </w:r>
      <w:r w:rsidRPr="002C4077">
        <w:t xml:space="preserve"> </w:t>
      </w:r>
      <w:r>
        <w:t>quelques</w:t>
      </w:r>
      <w:r w:rsidRPr="002C4077">
        <w:t xml:space="preserve"> </w:t>
      </w:r>
      <w:r>
        <w:t>copies</w:t>
      </w:r>
      <w:r w:rsidRPr="002C4077">
        <w:t xml:space="preserve"> </w:t>
      </w:r>
      <w:r>
        <w:t>des</w:t>
      </w:r>
      <w:r w:rsidRPr="002C4077">
        <w:t xml:space="preserve"> </w:t>
      </w:r>
      <w:r>
        <w:t>traductions</w:t>
      </w:r>
      <w:r w:rsidRPr="002C4077">
        <w:t xml:space="preserve"> </w:t>
      </w:r>
      <w:r>
        <w:t>arménienne</w:t>
      </w:r>
      <w:r w:rsidRPr="002C4077">
        <w:t xml:space="preserve"> </w:t>
      </w:r>
      <w:r>
        <w:t>et</w:t>
      </w:r>
      <w:r w:rsidRPr="002C4077">
        <w:t xml:space="preserve"> </w:t>
      </w:r>
      <w:r>
        <w:t>sahidique,</w:t>
      </w:r>
      <w:r w:rsidRPr="002C4077">
        <w:t xml:space="preserve"> </w:t>
      </w:r>
      <w:r>
        <w:t>toutes</w:t>
      </w:r>
      <w:r w:rsidRPr="002C4077">
        <w:t xml:space="preserve"> </w:t>
      </w:r>
      <w:r>
        <w:lastRenderedPageBreak/>
        <w:t>les</w:t>
      </w:r>
      <w:r w:rsidRPr="002C4077">
        <w:t xml:space="preserve"> </w:t>
      </w:r>
      <w:r>
        <w:t>contiennent</w:t>
      </w:r>
      <w:r w:rsidR="00B546AF">
        <w:t> :</w:t>
      </w:r>
      <w:r w:rsidRPr="002C4077">
        <w:t xml:space="preserve"> </w:t>
      </w:r>
      <w:r>
        <w:t>l’Itala,</w:t>
      </w:r>
      <w:r w:rsidRPr="002C4077">
        <w:t xml:space="preserve"> </w:t>
      </w:r>
      <w:r>
        <w:t>la</w:t>
      </w:r>
      <w:r w:rsidRPr="002C4077">
        <w:t xml:space="preserve"> </w:t>
      </w:r>
      <w:r>
        <w:t>Vulgate,</w:t>
      </w:r>
      <w:r w:rsidRPr="002C4077">
        <w:t xml:space="preserve"> </w:t>
      </w:r>
      <w:r>
        <w:t>les</w:t>
      </w:r>
      <w:r w:rsidRPr="002C4077">
        <w:t xml:space="preserve"> </w:t>
      </w:r>
      <w:r>
        <w:t>versions</w:t>
      </w:r>
      <w:r w:rsidRPr="002C4077">
        <w:t xml:space="preserve"> </w:t>
      </w:r>
      <w:r>
        <w:t>syriennes,</w:t>
      </w:r>
      <w:r w:rsidRPr="002C4077">
        <w:t xml:space="preserve"> </w:t>
      </w:r>
      <w:r>
        <w:t>arabe,</w:t>
      </w:r>
      <w:r w:rsidRPr="002C4077">
        <w:t xml:space="preserve"> </w:t>
      </w:r>
      <w:r>
        <w:t>gothique,</w:t>
      </w:r>
      <w:r w:rsidRPr="002C4077">
        <w:t xml:space="preserve"> </w:t>
      </w:r>
      <w:r w:rsidR="00425C50">
        <w:t>etc</w:t>
      </w:r>
      <w:r>
        <w:t>.</w:t>
      </w:r>
      <w:r w:rsidR="00B546AF">
        <w:t> ;</w:t>
      </w:r>
      <w:r w:rsidRPr="002C4077">
        <w:t xml:space="preserve"> </w:t>
      </w:r>
      <w:r>
        <w:t>et</w:t>
      </w:r>
      <w:r w:rsidRPr="002C4077">
        <w:t xml:space="preserve"> </w:t>
      </w:r>
      <w:r>
        <w:t>nous</w:t>
      </w:r>
      <w:r w:rsidRPr="002C4077">
        <w:t xml:space="preserve"> </w:t>
      </w:r>
      <w:r>
        <w:t>obtenons</w:t>
      </w:r>
      <w:r w:rsidRPr="002C4077">
        <w:t xml:space="preserve"> </w:t>
      </w:r>
      <w:r>
        <w:t>ainsi</w:t>
      </w:r>
      <w:r w:rsidR="006E0521" w:rsidRPr="002C4077">
        <w:t xml:space="preserve"> </w:t>
      </w:r>
      <w:r>
        <w:t>une</w:t>
      </w:r>
      <w:r w:rsidRPr="002C4077">
        <w:t xml:space="preserve"> </w:t>
      </w:r>
      <w:r>
        <w:t>autre</w:t>
      </w:r>
      <w:r w:rsidRPr="002C4077">
        <w:t xml:space="preserve"> </w:t>
      </w:r>
      <w:r>
        <w:t>série</w:t>
      </w:r>
      <w:r w:rsidRPr="002C4077">
        <w:t xml:space="preserve"> </w:t>
      </w:r>
      <w:r>
        <w:t>imposante</w:t>
      </w:r>
      <w:r w:rsidRPr="002C4077">
        <w:t xml:space="preserve"> </w:t>
      </w:r>
      <w:r>
        <w:t>de</w:t>
      </w:r>
      <w:r w:rsidRPr="002C4077">
        <w:t xml:space="preserve"> </w:t>
      </w:r>
      <w:r>
        <w:t>suffrages,</w:t>
      </w:r>
      <w:r w:rsidRPr="002C4077">
        <w:t xml:space="preserve"> </w:t>
      </w:r>
      <w:r>
        <w:t>dont</w:t>
      </w:r>
      <w:r w:rsidRPr="002C4077">
        <w:t xml:space="preserve"> </w:t>
      </w:r>
      <w:r>
        <w:t>plusieurs</w:t>
      </w:r>
      <w:r w:rsidRPr="002C4077">
        <w:t xml:space="preserve"> </w:t>
      </w:r>
      <w:r>
        <w:t>remontent</w:t>
      </w:r>
      <w:r w:rsidRPr="002C4077">
        <w:t xml:space="preserve"> </w:t>
      </w:r>
      <w:r>
        <w:t>au</w:t>
      </w:r>
      <w:r w:rsidRPr="002C4077">
        <w:t xml:space="preserve"> </w:t>
      </w:r>
      <w:r>
        <w:t>second</w:t>
      </w:r>
      <w:r w:rsidRPr="002C4077">
        <w:t xml:space="preserve"> </w:t>
      </w:r>
      <w:r>
        <w:t>siècle.</w:t>
      </w:r>
      <w:r w:rsidRPr="002C4077">
        <w:t xml:space="preserve"> </w:t>
      </w:r>
    </w:p>
    <w:p w:rsidR="000A7AAB" w:rsidRDefault="000A7AAB" w:rsidP="000A7AAB">
      <w:r>
        <w:t>Les</w:t>
      </w:r>
      <w:r w:rsidRPr="002C4077">
        <w:t xml:space="preserve"> </w:t>
      </w:r>
      <w:r>
        <w:t>premiers</w:t>
      </w:r>
      <w:r w:rsidRPr="002C4077">
        <w:t xml:space="preserve"> </w:t>
      </w:r>
      <w:r>
        <w:t>Pères</w:t>
      </w:r>
      <w:r w:rsidRPr="002C4077">
        <w:t xml:space="preserve"> </w:t>
      </w:r>
      <w:r>
        <w:t>connaissent</w:t>
      </w:r>
      <w:r w:rsidRPr="002C4077">
        <w:t xml:space="preserve"> </w:t>
      </w:r>
      <w:r>
        <w:t>également</w:t>
      </w:r>
      <w:r w:rsidRPr="002C4077">
        <w:t xml:space="preserve"> </w:t>
      </w:r>
      <w:r>
        <w:t>nos</w:t>
      </w:r>
      <w:r w:rsidRPr="002C4077">
        <w:t xml:space="preserve"> </w:t>
      </w:r>
      <w:r>
        <w:t>deux</w:t>
      </w:r>
      <w:r w:rsidRPr="002C4077">
        <w:t xml:space="preserve"> </w:t>
      </w:r>
      <w:r>
        <w:t>versets.</w:t>
      </w:r>
      <w:r w:rsidRPr="002C4077">
        <w:t xml:space="preserve"> </w:t>
      </w:r>
      <w:r>
        <w:t>S.</w:t>
      </w:r>
      <w:r w:rsidRPr="002C4077">
        <w:t xml:space="preserve"> </w:t>
      </w:r>
      <w:r>
        <w:t>Justin</w:t>
      </w:r>
      <w:r w:rsidRPr="002C4077">
        <w:t xml:space="preserve"> </w:t>
      </w:r>
      <w:r>
        <w:t>a</w:t>
      </w:r>
      <w:r w:rsidRPr="002C4077">
        <w:t xml:space="preserve"> </w:t>
      </w:r>
      <w:r>
        <w:t>sur</w:t>
      </w:r>
      <w:r w:rsidRPr="002C4077">
        <w:t xml:space="preserve"> </w:t>
      </w:r>
      <w:r>
        <w:t>eux</w:t>
      </w:r>
      <w:r w:rsidRPr="002C4077">
        <w:t xml:space="preserve"> </w:t>
      </w:r>
      <w:r>
        <w:t>quelques</w:t>
      </w:r>
      <w:r w:rsidRPr="002C4077">
        <w:t xml:space="preserve"> </w:t>
      </w:r>
      <w:r>
        <w:t>lignes</w:t>
      </w:r>
      <w:r w:rsidRPr="002C4077">
        <w:t xml:space="preserve"> </w:t>
      </w:r>
      <w:r>
        <w:t>célèbres</w:t>
      </w:r>
      <w:r w:rsidR="00B546AF">
        <w:t> :</w:t>
      </w:r>
      <w:r w:rsidRPr="002C4077">
        <w:t xml:space="preserve"> </w:t>
      </w:r>
      <w:r w:rsidR="00B546AF">
        <w:t>« </w:t>
      </w:r>
      <w:r>
        <w:t>Dans</w:t>
      </w:r>
      <w:r w:rsidRPr="002C4077">
        <w:t xml:space="preserve"> </w:t>
      </w:r>
      <w:r>
        <w:t>les</w:t>
      </w:r>
      <w:r w:rsidRPr="002C4077">
        <w:t xml:space="preserve"> </w:t>
      </w:r>
      <w:r>
        <w:t>Mémoires</w:t>
      </w:r>
      <w:r w:rsidRPr="002C4077">
        <w:t xml:space="preserve"> </w:t>
      </w:r>
      <w:r>
        <w:t>que</w:t>
      </w:r>
      <w:r w:rsidRPr="002C4077">
        <w:t xml:space="preserve"> </w:t>
      </w:r>
      <w:r>
        <w:t>je</w:t>
      </w:r>
      <w:r w:rsidRPr="002C4077">
        <w:t xml:space="preserve"> </w:t>
      </w:r>
      <w:r>
        <w:t>dis</w:t>
      </w:r>
      <w:r w:rsidRPr="002C4077">
        <w:t xml:space="preserve"> </w:t>
      </w:r>
      <w:r>
        <w:t>avoir</w:t>
      </w:r>
      <w:r w:rsidRPr="002C4077">
        <w:t xml:space="preserve"> </w:t>
      </w:r>
      <w:r>
        <w:t>été</w:t>
      </w:r>
      <w:r w:rsidRPr="002C4077">
        <w:t xml:space="preserve"> </w:t>
      </w:r>
      <w:r>
        <w:t>composés</w:t>
      </w:r>
      <w:r w:rsidRPr="002C4077">
        <w:t xml:space="preserve"> </w:t>
      </w:r>
      <w:r>
        <w:t>par</w:t>
      </w:r>
      <w:r w:rsidRPr="002C4077">
        <w:t xml:space="preserve"> </w:t>
      </w:r>
      <w:r>
        <w:t>les</w:t>
      </w:r>
      <w:r w:rsidRPr="002C4077">
        <w:t xml:space="preserve"> </w:t>
      </w:r>
      <w:r>
        <w:t>Apôtres</w:t>
      </w:r>
      <w:r w:rsidRPr="002C4077">
        <w:t xml:space="preserve"> </w:t>
      </w:r>
      <w:r>
        <w:t>et</w:t>
      </w:r>
      <w:r w:rsidRPr="002C4077">
        <w:t xml:space="preserve"> </w:t>
      </w:r>
      <w:r>
        <w:t>leurs</w:t>
      </w:r>
      <w:r w:rsidRPr="002C4077">
        <w:t xml:space="preserve"> </w:t>
      </w:r>
      <w:r>
        <w:t>disciples,</w:t>
      </w:r>
      <w:r w:rsidRPr="002C4077">
        <w:t xml:space="preserve"> </w:t>
      </w:r>
      <w:r>
        <w:t>il</w:t>
      </w:r>
      <w:r w:rsidRPr="002C4077">
        <w:t xml:space="preserve"> </w:t>
      </w:r>
      <w:r w:rsidR="00425C50">
        <w:t>est</w:t>
      </w:r>
      <w:r w:rsidRPr="002C4077">
        <w:t xml:space="preserve"> </w:t>
      </w:r>
      <w:r>
        <w:t>écrit</w:t>
      </w:r>
      <w:r w:rsidRPr="002C4077">
        <w:t xml:space="preserve"> </w:t>
      </w:r>
      <w:r>
        <w:t>que</w:t>
      </w:r>
      <w:r w:rsidRPr="002C4077">
        <w:t xml:space="preserve"> </w:t>
      </w:r>
      <w:r w:rsidR="00425C50">
        <w:t>Jésus</w:t>
      </w:r>
      <w:r>
        <w:t>,</w:t>
      </w:r>
      <w:r w:rsidRPr="002C4077">
        <w:t xml:space="preserve"> </w:t>
      </w:r>
      <w:r>
        <w:t>pendant</w:t>
      </w:r>
      <w:r w:rsidRPr="002C4077">
        <w:t xml:space="preserve"> </w:t>
      </w:r>
      <w:r>
        <w:t>qu’il</w:t>
      </w:r>
      <w:r w:rsidRPr="002C4077">
        <w:t xml:space="preserve"> </w:t>
      </w:r>
      <w:r>
        <w:t>priait,</w:t>
      </w:r>
      <w:r w:rsidRPr="002C4077">
        <w:t xml:space="preserve"> </w:t>
      </w:r>
      <w:r>
        <w:t>fut</w:t>
      </w:r>
      <w:r w:rsidRPr="002C4077">
        <w:t xml:space="preserve"> </w:t>
      </w:r>
      <w:r>
        <w:t>saisi</w:t>
      </w:r>
      <w:r w:rsidRPr="002C4077">
        <w:t xml:space="preserve"> </w:t>
      </w:r>
      <w:r>
        <w:t>d’une</w:t>
      </w:r>
      <w:r w:rsidRPr="002C4077">
        <w:t xml:space="preserve"> </w:t>
      </w:r>
      <w:r>
        <w:t>sueur</w:t>
      </w:r>
      <w:r w:rsidRPr="002C4077">
        <w:t xml:space="preserve"> </w:t>
      </w:r>
      <w:r>
        <w:t>semblable</w:t>
      </w:r>
      <w:r w:rsidRPr="002C4077">
        <w:t xml:space="preserve"> </w:t>
      </w:r>
      <w:r>
        <w:t>à</w:t>
      </w:r>
      <w:r w:rsidRPr="002C4077">
        <w:t xml:space="preserve"> </w:t>
      </w:r>
      <w:r>
        <w:t>des</w:t>
      </w:r>
      <w:r w:rsidRPr="002C4077">
        <w:t xml:space="preserve"> </w:t>
      </w:r>
      <w:r>
        <w:t>caillots</w:t>
      </w:r>
      <w:r w:rsidR="00B91AF7">
        <w:rPr>
          <w:rStyle w:val="Appelnotedebasdep"/>
        </w:rPr>
        <w:footnoteReference w:id="318"/>
      </w:r>
      <w:r>
        <w:t>.</w:t>
      </w:r>
      <w:r w:rsidR="00B546AF">
        <w:t> »</w:t>
      </w:r>
      <w:r w:rsidR="00C45B47">
        <w:t xml:space="preserve"> {</w:t>
      </w:r>
      <w:r w:rsidR="004C5B7A">
        <w:t>104</w:t>
      </w:r>
      <w:bookmarkStart w:id="306" w:name="p104"/>
      <w:bookmarkEnd w:id="306"/>
      <w:r w:rsidR="004C5B7A">
        <w:t xml:space="preserve">} </w:t>
      </w:r>
      <w:r>
        <w:t>S.</w:t>
      </w:r>
      <w:r w:rsidRPr="002C4077">
        <w:t xml:space="preserve"> </w:t>
      </w:r>
      <w:r>
        <w:t>Irénée</w:t>
      </w:r>
      <w:r w:rsidR="006B5CEF">
        <w:rPr>
          <w:rStyle w:val="Appelnotedebasdep"/>
        </w:rPr>
        <w:footnoteReference w:id="319"/>
      </w:r>
      <w:r w:rsidR="006E0521" w:rsidRPr="002C4077">
        <w:t xml:space="preserve"> </w:t>
      </w:r>
      <w:r>
        <w:t>y</w:t>
      </w:r>
      <w:r w:rsidR="006E0521" w:rsidRPr="002C4077">
        <w:t xml:space="preserve"> </w:t>
      </w:r>
      <w:r>
        <w:t>fait</w:t>
      </w:r>
      <w:r w:rsidRPr="002C4077">
        <w:t xml:space="preserve"> </w:t>
      </w:r>
      <w:r>
        <w:t>une</w:t>
      </w:r>
      <w:r w:rsidRPr="002C4077">
        <w:t xml:space="preserve"> </w:t>
      </w:r>
      <w:r>
        <w:t>allusion</w:t>
      </w:r>
      <w:r w:rsidRPr="002C4077">
        <w:t xml:space="preserve"> </w:t>
      </w:r>
      <w:r>
        <w:t>évidente</w:t>
      </w:r>
      <w:r w:rsidRPr="002C4077">
        <w:t xml:space="preserve"> </w:t>
      </w:r>
      <w:r>
        <w:t>lorsqu’il</w:t>
      </w:r>
      <w:r w:rsidRPr="002C4077">
        <w:t xml:space="preserve"> </w:t>
      </w:r>
      <w:r>
        <w:t>écrit,</w:t>
      </w:r>
      <w:r w:rsidRPr="002C4077">
        <w:t xml:space="preserve"> </w:t>
      </w:r>
      <w:r>
        <w:t>parlant</w:t>
      </w:r>
      <w:r w:rsidRPr="002C4077">
        <w:t xml:space="preserve"> </w:t>
      </w:r>
      <w:r>
        <w:t>de</w:t>
      </w:r>
      <w:r w:rsidRPr="002C4077">
        <w:t xml:space="preserve"> </w:t>
      </w:r>
      <w:r>
        <w:t>Notre</w:t>
      </w:r>
      <w:r w:rsidRPr="002C4077">
        <w:t xml:space="preserve"> </w:t>
      </w:r>
      <w:r>
        <w:t>Seigneur</w:t>
      </w:r>
      <w:r w:rsidR="00B546AF">
        <w:t> :</w:t>
      </w:r>
      <w:r w:rsidRPr="002C4077">
        <w:t xml:space="preserve"> </w:t>
      </w:r>
      <w:r w:rsidR="00B546AF">
        <w:t>« </w:t>
      </w:r>
      <w:r>
        <w:t>Il</w:t>
      </w:r>
      <w:r w:rsidRPr="002C4077">
        <w:t xml:space="preserve"> </w:t>
      </w:r>
      <w:r>
        <w:t>n’aurait</w:t>
      </w:r>
      <w:r w:rsidRPr="002C4077">
        <w:t xml:space="preserve"> </w:t>
      </w:r>
      <w:r>
        <w:t>pas</w:t>
      </w:r>
      <w:r w:rsidRPr="002C4077">
        <w:t xml:space="preserve"> </w:t>
      </w:r>
      <w:r>
        <w:t>sué</w:t>
      </w:r>
      <w:r w:rsidRPr="002C4077">
        <w:t xml:space="preserve"> </w:t>
      </w:r>
      <w:r>
        <w:t>des</w:t>
      </w:r>
      <w:r w:rsidRPr="002C4077">
        <w:t xml:space="preserve"> </w:t>
      </w:r>
      <w:r>
        <w:t>gouttes</w:t>
      </w:r>
      <w:r w:rsidRPr="002C4077">
        <w:t xml:space="preserve"> </w:t>
      </w:r>
      <w:r>
        <w:t>de</w:t>
      </w:r>
      <w:r w:rsidRPr="002C4077">
        <w:t xml:space="preserve"> </w:t>
      </w:r>
      <w:r>
        <w:t>sang</w:t>
      </w:r>
      <w:r w:rsidR="00B546AF">
        <w:t> »</w:t>
      </w:r>
      <w:r>
        <w:t>.</w:t>
      </w:r>
      <w:r w:rsidRPr="002C4077">
        <w:t xml:space="preserve"> </w:t>
      </w:r>
    </w:p>
    <w:p w:rsidR="000A7AAB" w:rsidRDefault="000A7AAB" w:rsidP="000A7AAB">
      <w:r>
        <w:t>De</w:t>
      </w:r>
      <w:r w:rsidRPr="002C4077">
        <w:t xml:space="preserve"> </w:t>
      </w:r>
      <w:r>
        <w:t>même</w:t>
      </w:r>
      <w:r w:rsidRPr="002C4077">
        <w:t xml:space="preserve"> </w:t>
      </w:r>
      <w:r>
        <w:t>Théodoret,</w:t>
      </w:r>
      <w:r w:rsidRPr="002C4077">
        <w:t xml:space="preserve"> </w:t>
      </w:r>
      <w:r>
        <w:t>S.</w:t>
      </w:r>
      <w:r w:rsidRPr="002C4077">
        <w:t xml:space="preserve"> </w:t>
      </w:r>
      <w:r>
        <w:t>Hippolyte</w:t>
      </w:r>
      <w:r w:rsidRPr="002C4077">
        <w:t xml:space="preserve"> </w:t>
      </w:r>
      <w:r>
        <w:t>et</w:t>
      </w:r>
      <w:r w:rsidRPr="002C4077">
        <w:t xml:space="preserve"> </w:t>
      </w:r>
      <w:r>
        <w:t>leurs</w:t>
      </w:r>
      <w:r w:rsidRPr="002C4077">
        <w:t xml:space="preserve"> </w:t>
      </w:r>
      <w:r>
        <w:t>successeurs.</w:t>
      </w:r>
      <w:r w:rsidRPr="002C4077">
        <w:t xml:space="preserve"> </w:t>
      </w:r>
      <w:r>
        <w:t>Et</w:t>
      </w:r>
      <w:r w:rsidRPr="002C4077">
        <w:t xml:space="preserve"> </w:t>
      </w:r>
      <w:r>
        <w:t>ne</w:t>
      </w:r>
      <w:r w:rsidRPr="002C4077">
        <w:t xml:space="preserve"> </w:t>
      </w:r>
      <w:r>
        <w:t>pourrions-nous</w:t>
      </w:r>
      <w:r w:rsidRPr="002C4077">
        <w:t xml:space="preserve"> </w:t>
      </w:r>
      <w:r>
        <w:t>pas</w:t>
      </w:r>
      <w:r w:rsidRPr="002C4077">
        <w:t xml:space="preserve"> </w:t>
      </w:r>
      <w:r>
        <w:t>alléguer</w:t>
      </w:r>
      <w:r w:rsidRPr="002C4077">
        <w:t xml:space="preserve"> </w:t>
      </w:r>
      <w:r>
        <w:t>le</w:t>
      </w:r>
      <w:r w:rsidRPr="002C4077">
        <w:t xml:space="preserve"> </w:t>
      </w:r>
      <w:r>
        <w:t>témoignage</w:t>
      </w:r>
      <w:r w:rsidRPr="002C4077">
        <w:t xml:space="preserve"> </w:t>
      </w:r>
      <w:r>
        <w:t>de</w:t>
      </w:r>
      <w:r w:rsidRPr="002C4077">
        <w:t xml:space="preserve"> </w:t>
      </w:r>
      <w:r>
        <w:t>S.</w:t>
      </w:r>
      <w:r w:rsidRPr="002C4077">
        <w:t xml:space="preserve"> </w:t>
      </w:r>
      <w:r>
        <w:t>Paul</w:t>
      </w:r>
      <w:r w:rsidRPr="002C4077">
        <w:t xml:space="preserve"> </w:t>
      </w:r>
      <w:r>
        <w:t>en</w:t>
      </w:r>
      <w:r w:rsidRPr="002C4077">
        <w:t xml:space="preserve"> </w:t>
      </w:r>
      <w:r>
        <w:t>personne</w:t>
      </w:r>
      <w:r w:rsidR="00B546AF">
        <w:t> ?</w:t>
      </w:r>
      <w:r w:rsidRPr="002C4077">
        <w:t xml:space="preserve"> </w:t>
      </w:r>
      <w:r>
        <w:t>Car</w:t>
      </w:r>
      <w:r w:rsidRPr="002C4077">
        <w:t xml:space="preserve"> </w:t>
      </w:r>
      <w:r>
        <w:t>il</w:t>
      </w:r>
      <w:r w:rsidRPr="002C4077">
        <w:t xml:space="preserve"> </w:t>
      </w:r>
      <w:r w:rsidR="00425C50">
        <w:t>est</w:t>
      </w:r>
      <w:r w:rsidRPr="002C4077">
        <w:t xml:space="preserve"> </w:t>
      </w:r>
      <w:r>
        <w:t>difficile</w:t>
      </w:r>
      <w:r w:rsidRPr="002C4077">
        <w:t xml:space="preserve"> </w:t>
      </w:r>
      <w:r>
        <w:t>qu’il</w:t>
      </w:r>
      <w:r w:rsidRPr="002C4077">
        <w:t xml:space="preserve"> </w:t>
      </w:r>
      <w:r>
        <w:t>n’ait</w:t>
      </w:r>
      <w:r w:rsidRPr="002C4077">
        <w:t xml:space="preserve"> </w:t>
      </w:r>
      <w:r>
        <w:t>pas</w:t>
      </w:r>
      <w:r w:rsidRPr="002C4077">
        <w:t xml:space="preserve"> </w:t>
      </w:r>
      <w:r>
        <w:t>eu</w:t>
      </w:r>
      <w:r w:rsidRPr="002C4077">
        <w:t xml:space="preserve"> </w:t>
      </w:r>
      <w:r>
        <w:t>en</w:t>
      </w:r>
      <w:r w:rsidRPr="002C4077">
        <w:t xml:space="preserve"> </w:t>
      </w:r>
      <w:r>
        <w:t>vue</w:t>
      </w:r>
      <w:r w:rsidRPr="002C4077">
        <w:t xml:space="preserve"> </w:t>
      </w:r>
      <w:r>
        <w:t>le</w:t>
      </w:r>
      <w:r w:rsidRPr="002C4077">
        <w:t xml:space="preserve"> </w:t>
      </w:r>
      <w:r>
        <w:t>présent</w:t>
      </w:r>
      <w:r w:rsidRPr="002C4077">
        <w:t xml:space="preserve"> </w:t>
      </w:r>
      <w:r>
        <w:t>épisode</w:t>
      </w:r>
      <w:r w:rsidRPr="002C4077">
        <w:t xml:space="preserve"> </w:t>
      </w:r>
      <w:r>
        <w:t>du</w:t>
      </w:r>
      <w:r w:rsidRPr="002C4077">
        <w:t xml:space="preserve"> </w:t>
      </w:r>
      <w:r>
        <w:t>troisième</w:t>
      </w:r>
      <w:r w:rsidRPr="002C4077">
        <w:t xml:space="preserve"> </w:t>
      </w:r>
      <w:r>
        <w:t>évangile,</w:t>
      </w:r>
      <w:r w:rsidRPr="002C4077">
        <w:t xml:space="preserve"> </w:t>
      </w:r>
      <w:r>
        <w:t>quand</w:t>
      </w:r>
      <w:r w:rsidRPr="002C4077">
        <w:t xml:space="preserve"> </w:t>
      </w:r>
      <w:r>
        <w:t>il</w:t>
      </w:r>
      <w:r w:rsidRPr="002C4077">
        <w:t xml:space="preserve"> </w:t>
      </w:r>
      <w:r>
        <w:t>écrivait</w:t>
      </w:r>
      <w:r w:rsidRPr="002C4077">
        <w:t xml:space="preserve"> </w:t>
      </w:r>
      <w:r>
        <w:t>aux</w:t>
      </w:r>
      <w:r w:rsidRPr="002C4077">
        <w:t xml:space="preserve"> </w:t>
      </w:r>
      <w:r>
        <w:t>Hébreux</w:t>
      </w:r>
      <w:r w:rsidR="00B546AF">
        <w:t> :</w:t>
      </w:r>
      <w:r w:rsidRPr="002C4077">
        <w:t xml:space="preserve"> </w:t>
      </w:r>
      <w:r w:rsidR="00B546AF">
        <w:t>« </w:t>
      </w:r>
      <w:r>
        <w:t>Vous</w:t>
      </w:r>
      <w:r w:rsidRPr="002C4077">
        <w:t xml:space="preserve"> </w:t>
      </w:r>
      <w:r>
        <w:t>n’avez</w:t>
      </w:r>
      <w:r w:rsidRPr="002C4077">
        <w:t xml:space="preserve"> </w:t>
      </w:r>
      <w:r>
        <w:t>pas</w:t>
      </w:r>
      <w:r w:rsidRPr="002C4077">
        <w:t xml:space="preserve"> </w:t>
      </w:r>
      <w:r>
        <w:t>encore</w:t>
      </w:r>
      <w:r w:rsidRPr="002C4077">
        <w:t xml:space="preserve"> </w:t>
      </w:r>
      <w:r>
        <w:t>résisté</w:t>
      </w:r>
      <w:r w:rsidRPr="002C4077">
        <w:t xml:space="preserve"> </w:t>
      </w:r>
      <w:r>
        <w:t>jusqu’au</w:t>
      </w:r>
      <w:r w:rsidRPr="002C4077">
        <w:t xml:space="preserve"> </w:t>
      </w:r>
      <w:r>
        <w:t>sang,</w:t>
      </w:r>
      <w:r w:rsidRPr="002C4077">
        <w:t xml:space="preserve"> </w:t>
      </w:r>
      <w:r>
        <w:t>en</w:t>
      </w:r>
      <w:r w:rsidRPr="002C4077">
        <w:t xml:space="preserve"> </w:t>
      </w:r>
      <w:r>
        <w:t>luttant</w:t>
      </w:r>
      <w:r w:rsidRPr="002C4077">
        <w:t xml:space="preserve"> </w:t>
      </w:r>
      <w:r>
        <w:t>contre</w:t>
      </w:r>
      <w:r w:rsidRPr="002C4077">
        <w:t xml:space="preserve"> </w:t>
      </w:r>
      <w:r>
        <w:t>le</w:t>
      </w:r>
      <w:r w:rsidRPr="002C4077">
        <w:t xml:space="preserve"> </w:t>
      </w:r>
      <w:r w:rsidR="006B5CEF">
        <w:t>péché</w:t>
      </w:r>
      <w:r w:rsidR="006B5CEF">
        <w:rPr>
          <w:rStyle w:val="Appelnotedebasdep"/>
        </w:rPr>
        <w:footnoteReference w:id="320"/>
      </w:r>
      <w:r w:rsidR="00B546AF">
        <w:t> »</w:t>
      </w:r>
      <w:r>
        <w:t>.</w:t>
      </w:r>
      <w:r w:rsidRPr="002C4077">
        <w:t xml:space="preserve"> </w:t>
      </w:r>
    </w:p>
    <w:p w:rsidR="00EC6E3D" w:rsidRDefault="00EC6E3D" w:rsidP="000A7AAB"/>
    <w:p w:rsidR="000A7AAB" w:rsidRDefault="000A7AAB" w:rsidP="000A7AAB">
      <w:r>
        <w:t>Voilà,</w:t>
      </w:r>
      <w:r w:rsidRPr="002C4077">
        <w:t xml:space="preserve"> </w:t>
      </w:r>
      <w:r>
        <w:t>certes,</w:t>
      </w:r>
      <w:r w:rsidRPr="002C4077">
        <w:t xml:space="preserve"> </w:t>
      </w:r>
      <w:r>
        <w:t>des</w:t>
      </w:r>
      <w:r w:rsidRPr="002C4077">
        <w:t xml:space="preserve"> </w:t>
      </w:r>
      <w:r>
        <w:t>preuves</w:t>
      </w:r>
      <w:r w:rsidRPr="002C4077">
        <w:t xml:space="preserve"> </w:t>
      </w:r>
      <w:r>
        <w:t>extrinsèques</w:t>
      </w:r>
      <w:r w:rsidRPr="002C4077">
        <w:t xml:space="preserve"> </w:t>
      </w:r>
      <w:r>
        <w:t>qui</w:t>
      </w:r>
      <w:r w:rsidRPr="002C4077">
        <w:t xml:space="preserve"> </w:t>
      </w:r>
      <w:r>
        <w:t>contrebalancent,</w:t>
      </w:r>
      <w:r w:rsidRPr="002C4077">
        <w:t xml:space="preserve"> </w:t>
      </w:r>
      <w:r>
        <w:t>ou</w:t>
      </w:r>
      <w:r w:rsidRPr="002C4077">
        <w:t xml:space="preserve"> </w:t>
      </w:r>
      <w:r>
        <w:t>plutôt</w:t>
      </w:r>
      <w:r w:rsidRPr="002C4077">
        <w:t xml:space="preserve"> </w:t>
      </w:r>
      <w:r>
        <w:t>qui</w:t>
      </w:r>
      <w:r w:rsidRPr="002C4077">
        <w:t xml:space="preserve"> </w:t>
      </w:r>
      <w:r>
        <w:t>renversent</w:t>
      </w:r>
      <w:r w:rsidRPr="002C4077">
        <w:t xml:space="preserve"> </w:t>
      </w:r>
      <w:r>
        <w:t>tout</w:t>
      </w:r>
      <w:r w:rsidRPr="002C4077">
        <w:t xml:space="preserve"> </w:t>
      </w:r>
      <w:r>
        <w:t>à</w:t>
      </w:r>
      <w:r w:rsidRPr="002C4077">
        <w:t xml:space="preserve"> </w:t>
      </w:r>
      <w:r>
        <w:t>fait</w:t>
      </w:r>
      <w:r w:rsidRPr="002C4077">
        <w:t xml:space="preserve"> </w:t>
      </w:r>
      <w:r>
        <w:t>l’argument</w:t>
      </w:r>
      <w:r w:rsidRPr="002C4077">
        <w:t xml:space="preserve"> </w:t>
      </w:r>
      <w:r>
        <w:t>négatif</w:t>
      </w:r>
      <w:r w:rsidRPr="002C4077">
        <w:t xml:space="preserve"> </w:t>
      </w:r>
      <w:r>
        <w:t>sur</w:t>
      </w:r>
      <w:r w:rsidRPr="002C4077">
        <w:t xml:space="preserve"> </w:t>
      </w:r>
      <w:r>
        <w:t>lequel</w:t>
      </w:r>
      <w:r w:rsidRPr="002C4077">
        <w:t xml:space="preserve"> </w:t>
      </w:r>
      <w:r>
        <w:t>s’appuient</w:t>
      </w:r>
      <w:r w:rsidRPr="002C4077">
        <w:t xml:space="preserve"> </w:t>
      </w:r>
      <w:r>
        <w:t>les</w:t>
      </w:r>
      <w:r w:rsidRPr="002C4077">
        <w:t xml:space="preserve"> </w:t>
      </w:r>
      <w:r>
        <w:t>adversaires</w:t>
      </w:r>
      <w:r w:rsidRPr="002C4077">
        <w:t xml:space="preserve"> </w:t>
      </w:r>
      <w:r>
        <w:t>de</w:t>
      </w:r>
      <w:r w:rsidRPr="002C4077">
        <w:t xml:space="preserve"> </w:t>
      </w:r>
      <w:r>
        <w:t>l’authenticité.</w:t>
      </w:r>
      <w:r w:rsidRPr="002C4077">
        <w:t xml:space="preserve"> </w:t>
      </w:r>
      <w:r>
        <w:t>Nous</w:t>
      </w:r>
      <w:r w:rsidRPr="002C4077">
        <w:t xml:space="preserve"> </w:t>
      </w:r>
      <w:r>
        <w:t>pouvons</w:t>
      </w:r>
      <w:r w:rsidRPr="002C4077">
        <w:t xml:space="preserve"> </w:t>
      </w:r>
      <w:r>
        <w:t>y</w:t>
      </w:r>
      <w:r w:rsidRPr="002C4077">
        <w:t xml:space="preserve"> </w:t>
      </w:r>
      <w:r>
        <w:t>joindre</w:t>
      </w:r>
      <w:r w:rsidRPr="002C4077">
        <w:t xml:space="preserve"> </w:t>
      </w:r>
      <w:r>
        <w:t>des</w:t>
      </w:r>
      <w:r w:rsidRPr="002C4077">
        <w:t xml:space="preserve"> </w:t>
      </w:r>
      <w:r>
        <w:t>preuves</w:t>
      </w:r>
      <w:r w:rsidRPr="002C4077">
        <w:t xml:space="preserve"> </w:t>
      </w:r>
      <w:r>
        <w:t>intrinsèques</w:t>
      </w:r>
      <w:r w:rsidRPr="002C4077">
        <w:t xml:space="preserve"> </w:t>
      </w:r>
      <w:r>
        <w:t>dignes</w:t>
      </w:r>
      <w:r w:rsidRPr="002C4077">
        <w:t xml:space="preserve"> </w:t>
      </w:r>
      <w:r>
        <w:t>d’une</w:t>
      </w:r>
      <w:r w:rsidRPr="002C4077">
        <w:t xml:space="preserve"> </w:t>
      </w:r>
      <w:r>
        <w:t>sérieuse</w:t>
      </w:r>
      <w:r w:rsidRPr="002C4077">
        <w:t xml:space="preserve"> </w:t>
      </w:r>
      <w:r>
        <w:t>attention.</w:t>
      </w:r>
      <w:r w:rsidRPr="002C4077">
        <w:t xml:space="preserve"> </w:t>
      </w:r>
    </w:p>
    <w:p w:rsidR="000A7AAB" w:rsidRDefault="000A7AAB" w:rsidP="000A7AAB">
      <w:r>
        <w:t>Il</w:t>
      </w:r>
      <w:r w:rsidRPr="002C4077">
        <w:t xml:space="preserve"> </w:t>
      </w:r>
      <w:r>
        <w:t>n’y</w:t>
      </w:r>
      <w:r w:rsidRPr="002C4077">
        <w:t xml:space="preserve"> </w:t>
      </w:r>
      <w:r>
        <w:t>a</w:t>
      </w:r>
      <w:r w:rsidRPr="002C4077">
        <w:t xml:space="preserve"> </w:t>
      </w:r>
      <w:r>
        <w:t>rien,</w:t>
      </w:r>
      <w:r w:rsidRPr="002C4077">
        <w:t xml:space="preserve"> </w:t>
      </w:r>
      <w:r>
        <w:t>ni</w:t>
      </w:r>
      <w:r w:rsidRPr="002C4077">
        <w:t xml:space="preserve"> </w:t>
      </w:r>
      <w:r>
        <w:t>dans</w:t>
      </w:r>
      <w:r w:rsidRPr="002C4077">
        <w:t xml:space="preserve"> </w:t>
      </w:r>
      <w:r>
        <w:t>le</w:t>
      </w:r>
      <w:r w:rsidRPr="002C4077">
        <w:t xml:space="preserve"> </w:t>
      </w:r>
      <w:r>
        <w:t>style,</w:t>
      </w:r>
      <w:r w:rsidRPr="002C4077">
        <w:t xml:space="preserve"> </w:t>
      </w:r>
      <w:r>
        <w:t>ni</w:t>
      </w:r>
      <w:r w:rsidRPr="002C4077">
        <w:t xml:space="preserve"> </w:t>
      </w:r>
      <w:r>
        <w:t>dans</w:t>
      </w:r>
      <w:r w:rsidRPr="002C4077">
        <w:t xml:space="preserve"> </w:t>
      </w:r>
      <w:r>
        <w:t>les</w:t>
      </w:r>
      <w:r w:rsidRPr="002C4077">
        <w:t xml:space="preserve"> </w:t>
      </w:r>
      <w:r>
        <w:t>faits</w:t>
      </w:r>
      <w:r w:rsidRPr="002C4077">
        <w:t xml:space="preserve"> </w:t>
      </w:r>
      <w:r>
        <w:t>racontés,</w:t>
      </w:r>
      <w:r w:rsidRPr="002C4077">
        <w:t xml:space="preserve"> </w:t>
      </w:r>
      <w:r>
        <w:t>qui</w:t>
      </w:r>
      <w:r w:rsidRPr="002C4077">
        <w:t xml:space="preserve"> </w:t>
      </w:r>
      <w:r>
        <w:t>ne</w:t>
      </w:r>
      <w:r w:rsidRPr="002C4077">
        <w:t xml:space="preserve"> </w:t>
      </w:r>
      <w:r>
        <w:t>soit</w:t>
      </w:r>
      <w:r w:rsidRPr="002C4077">
        <w:t xml:space="preserve"> </w:t>
      </w:r>
      <w:r>
        <w:t>conforme</w:t>
      </w:r>
      <w:r w:rsidRPr="002C4077">
        <w:t xml:space="preserve"> </w:t>
      </w:r>
      <w:r>
        <w:t>au</w:t>
      </w:r>
      <w:r w:rsidRPr="002C4077">
        <w:t xml:space="preserve"> </w:t>
      </w:r>
      <w:r>
        <w:t>genre</w:t>
      </w:r>
      <w:r w:rsidRPr="002C4077">
        <w:t xml:space="preserve"> </w:t>
      </w:r>
      <w:r>
        <w:t>de</w:t>
      </w:r>
      <w:r w:rsidRPr="002C4077">
        <w:t xml:space="preserve"> </w:t>
      </w:r>
      <w:r>
        <w:t>l’évangéliste</w:t>
      </w:r>
      <w:r w:rsidRPr="002C4077">
        <w:t xml:space="preserve"> </w:t>
      </w:r>
      <w:r>
        <w:t>S.</w:t>
      </w:r>
      <w:r w:rsidRPr="002C4077">
        <w:t xml:space="preserve"> </w:t>
      </w:r>
      <w:r>
        <w:t>Luc.</w:t>
      </w:r>
      <w:r w:rsidRPr="002C4077">
        <w:t xml:space="preserve"> </w:t>
      </w:r>
      <w:r>
        <w:t>Cet</w:t>
      </w:r>
      <w:r w:rsidRPr="002C4077">
        <w:t xml:space="preserve"> </w:t>
      </w:r>
      <w:r>
        <w:t>écrivain</w:t>
      </w:r>
      <w:r w:rsidRPr="002C4077">
        <w:t xml:space="preserve"> </w:t>
      </w:r>
      <w:r>
        <w:t>sacré</w:t>
      </w:r>
      <w:r w:rsidRPr="002C4077">
        <w:t xml:space="preserve"> </w:t>
      </w:r>
      <w:r>
        <w:t>emploie</w:t>
      </w:r>
      <w:r w:rsidRPr="002C4077">
        <w:t xml:space="preserve"> </w:t>
      </w:r>
      <w:r>
        <w:t>un</w:t>
      </w:r>
      <w:r w:rsidRPr="002C4077">
        <w:t xml:space="preserve"> </w:t>
      </w:r>
      <w:r>
        <w:t>grand</w:t>
      </w:r>
      <w:r w:rsidRPr="002C4077">
        <w:t xml:space="preserve"> </w:t>
      </w:r>
      <w:r>
        <w:t>nombre</w:t>
      </w:r>
      <w:r w:rsidRPr="002C4077">
        <w:t xml:space="preserve"> </w:t>
      </w:r>
      <w:r>
        <w:t>d’expressions</w:t>
      </w:r>
      <w:r w:rsidRPr="002C4077">
        <w:t xml:space="preserve"> </w:t>
      </w:r>
      <w:r>
        <w:t>grecques</w:t>
      </w:r>
      <w:r w:rsidRPr="002C4077">
        <w:t xml:space="preserve"> </w:t>
      </w:r>
      <w:r>
        <w:t>qu’on</w:t>
      </w:r>
      <w:r w:rsidRPr="002C4077">
        <w:t xml:space="preserve"> </w:t>
      </w:r>
      <w:r>
        <w:t>ne</w:t>
      </w:r>
      <w:r w:rsidRPr="002C4077">
        <w:t xml:space="preserve"> </w:t>
      </w:r>
      <w:r>
        <w:t>rencontre</w:t>
      </w:r>
      <w:r w:rsidRPr="002C4077">
        <w:t xml:space="preserve"> </w:t>
      </w:r>
      <w:r>
        <w:t>pas</w:t>
      </w:r>
      <w:r w:rsidRPr="002C4077">
        <w:t xml:space="preserve"> </w:t>
      </w:r>
      <w:r>
        <w:t>ailleurs</w:t>
      </w:r>
      <w:r w:rsidRPr="002C4077">
        <w:t xml:space="preserve"> </w:t>
      </w:r>
      <w:r>
        <w:t>dans</w:t>
      </w:r>
      <w:r w:rsidRPr="002C4077">
        <w:t xml:space="preserve"> </w:t>
      </w:r>
      <w:r>
        <w:t>les</w:t>
      </w:r>
      <w:r w:rsidRPr="002C4077">
        <w:t xml:space="preserve"> </w:t>
      </w:r>
      <w:r>
        <w:t>livres</w:t>
      </w:r>
      <w:r w:rsidRPr="002C4077">
        <w:t xml:space="preserve"> </w:t>
      </w:r>
      <w:r>
        <w:t>du</w:t>
      </w:r>
      <w:r w:rsidRPr="002C4077">
        <w:t xml:space="preserve"> </w:t>
      </w:r>
      <w:r>
        <w:t>Nouveau</w:t>
      </w:r>
      <w:r w:rsidRPr="002C4077">
        <w:t xml:space="preserve"> </w:t>
      </w:r>
      <w:r>
        <w:t>Testament</w:t>
      </w:r>
      <w:r w:rsidR="00B546AF">
        <w:t> :</w:t>
      </w:r>
      <w:r w:rsidRPr="002C4077">
        <w:t xml:space="preserve"> </w:t>
      </w:r>
      <w:r>
        <w:t>or,</w:t>
      </w:r>
      <w:r w:rsidRPr="002C4077">
        <w:t xml:space="preserve"> </w:t>
      </w:r>
      <w:r>
        <w:t>nous</w:t>
      </w:r>
      <w:r w:rsidRPr="002C4077">
        <w:t xml:space="preserve"> </w:t>
      </w:r>
      <w:r>
        <w:t>trouvons</w:t>
      </w:r>
      <w:r w:rsidRPr="002C4077">
        <w:t xml:space="preserve"> </w:t>
      </w:r>
      <w:r>
        <w:t>précisément</w:t>
      </w:r>
      <w:r w:rsidRPr="002C4077">
        <w:t xml:space="preserve"> </w:t>
      </w:r>
      <w:r>
        <w:t>ici</w:t>
      </w:r>
      <w:r w:rsidRPr="002C4077">
        <w:t xml:space="preserve"> </w:t>
      </w:r>
      <w:r>
        <w:t>trois</w:t>
      </w:r>
      <w:r w:rsidRPr="002C4077">
        <w:t xml:space="preserve"> </w:t>
      </w:r>
      <w:r>
        <w:t>substantifs</w:t>
      </w:r>
      <w:r w:rsidRPr="004440EA">
        <w:t xml:space="preserve"> </w:t>
      </w:r>
      <w:r w:rsidR="006E0521" w:rsidRPr="004440EA">
        <w:t>(</w:t>
      </w:r>
      <w:r w:rsidR="006E0521" w:rsidRPr="00F97502">
        <w:t>ἀγωνία,</w:t>
      </w:r>
      <w:r w:rsidR="006E0521" w:rsidRPr="002C4077">
        <w:t xml:space="preserve"> </w:t>
      </w:r>
      <w:r w:rsidR="006E0521" w:rsidRPr="00F97502">
        <w:t>ἱδρ</w:t>
      </w:r>
      <w:r w:rsidR="006E0521">
        <w:t>ώ</w:t>
      </w:r>
      <w:r w:rsidR="006E0521" w:rsidRPr="00F97502">
        <w:t>ς,</w:t>
      </w:r>
      <w:r w:rsidR="006E0521" w:rsidRPr="002C4077">
        <w:t xml:space="preserve"> </w:t>
      </w:r>
      <w:r w:rsidR="006E0521" w:rsidRPr="00F97502">
        <w:t>θρό</w:t>
      </w:r>
      <w:r w:rsidR="006E0521">
        <w:t>μβο</w:t>
      </w:r>
      <w:r w:rsidR="006E0521" w:rsidRPr="00F97502">
        <w:t>ς</w:t>
      </w:r>
      <w:r w:rsidR="006E0521" w:rsidRPr="002C4077">
        <w:t xml:space="preserve">) </w:t>
      </w:r>
      <w:r>
        <w:t>qui</w:t>
      </w:r>
      <w:r w:rsidRPr="002C4077">
        <w:t xml:space="preserve"> </w:t>
      </w:r>
      <w:r>
        <w:t>lui</w:t>
      </w:r>
      <w:r w:rsidRPr="002C4077">
        <w:t xml:space="preserve"> </w:t>
      </w:r>
      <w:r>
        <w:t>sont</w:t>
      </w:r>
      <w:r w:rsidRPr="002C4077">
        <w:t xml:space="preserve"> </w:t>
      </w:r>
      <w:r>
        <w:t>propres</w:t>
      </w:r>
      <w:r w:rsidR="00B91AF7">
        <w:rPr>
          <w:rStyle w:val="Appelnotedebasdep"/>
        </w:rPr>
        <w:footnoteReference w:id="321"/>
      </w:r>
      <w:r>
        <w:t>.</w:t>
      </w:r>
      <w:r w:rsidRPr="002C4077">
        <w:t xml:space="preserve"> </w:t>
      </w:r>
      <w:r>
        <w:t>S.</w:t>
      </w:r>
      <w:r w:rsidRPr="002C4077">
        <w:t xml:space="preserve"> </w:t>
      </w:r>
      <w:r>
        <w:t>Luc</w:t>
      </w:r>
      <w:r w:rsidRPr="002C4077">
        <w:t xml:space="preserve"> </w:t>
      </w:r>
      <w:r>
        <w:t>était</w:t>
      </w:r>
      <w:r w:rsidRPr="002C4077">
        <w:t xml:space="preserve"> </w:t>
      </w:r>
      <w:r>
        <w:t>médecin</w:t>
      </w:r>
      <w:bookmarkStart w:id="307" w:name="z_LucMedecin_o1"/>
      <w:bookmarkEnd w:id="307"/>
      <w:r>
        <w:t>,</w:t>
      </w:r>
      <w:r w:rsidRPr="002C4077">
        <w:t xml:space="preserve"> </w:t>
      </w:r>
      <w:r>
        <w:t>le</w:t>
      </w:r>
      <w:r w:rsidRPr="002C4077">
        <w:t xml:space="preserve"> </w:t>
      </w:r>
      <w:r w:rsidR="006E0521" w:rsidRPr="000A34B5">
        <w:rPr>
          <w:rStyle w:val="italicus"/>
        </w:rPr>
        <w:t>médicus</w:t>
      </w:r>
      <w:r w:rsidRPr="002C4077">
        <w:t xml:space="preserve"> </w:t>
      </w:r>
      <w:r w:rsidRPr="000A34B5">
        <w:rPr>
          <w:rStyle w:val="italicus"/>
        </w:rPr>
        <w:t>car</w:t>
      </w:r>
      <w:r w:rsidR="003B53FD">
        <w:rPr>
          <w:rStyle w:val="italicus"/>
        </w:rPr>
        <w:t>í</w:t>
      </w:r>
      <w:r w:rsidR="003B53FD" w:rsidRPr="000A34B5">
        <w:rPr>
          <w:rStyle w:val="italicus"/>
        </w:rPr>
        <w:t>ssimus</w:t>
      </w:r>
      <w:r w:rsidRPr="002C4077">
        <w:t xml:space="preserve"> </w:t>
      </w:r>
      <w:r>
        <w:t>de</w:t>
      </w:r>
      <w:r w:rsidRPr="002C4077">
        <w:t xml:space="preserve"> </w:t>
      </w:r>
      <w:r>
        <w:t>S.</w:t>
      </w:r>
      <w:r w:rsidRPr="002C4077">
        <w:t xml:space="preserve"> </w:t>
      </w:r>
      <w:r>
        <w:t>Paul</w:t>
      </w:r>
      <w:r w:rsidRPr="004440EA">
        <w:t xml:space="preserve"> (</w:t>
      </w:r>
      <w:r w:rsidRPr="000A34B5">
        <w:rPr>
          <w:rStyle w:val="italicus"/>
        </w:rPr>
        <w:t>Col.</w:t>
      </w:r>
      <w:r w:rsidRPr="002C4077">
        <w:t xml:space="preserve"> </w:t>
      </w:r>
      <w:r>
        <w:t>IV,</w:t>
      </w:r>
      <w:r w:rsidRPr="002C4077">
        <w:t xml:space="preserve"> </w:t>
      </w:r>
      <w:r>
        <w:t>14</w:t>
      </w:r>
      <w:r w:rsidR="00B546AF" w:rsidRPr="002C4077">
        <w:t>)</w:t>
      </w:r>
      <w:r w:rsidR="00B546AF" w:rsidRPr="00950016">
        <w:t> ;</w:t>
      </w:r>
      <w:r w:rsidR="006E0521" w:rsidRPr="002C4077">
        <w:t xml:space="preserve"> </w:t>
      </w:r>
      <w:r w:rsidR="006E0521">
        <w:t>or</w:t>
      </w:r>
      <w:r w:rsidR="006E0521" w:rsidRPr="002C4077">
        <w:t xml:space="preserve"> </w:t>
      </w:r>
      <w:r w:rsidR="006E0521">
        <w:t>la</w:t>
      </w:r>
      <w:r w:rsidR="006E0521" w:rsidRPr="002C4077">
        <w:t xml:space="preserve"> </w:t>
      </w:r>
      <w:r w:rsidR="006E0521">
        <w:t>sueur</w:t>
      </w:r>
      <w:r w:rsidR="006E0521" w:rsidRPr="002C4077">
        <w:t xml:space="preserve"> </w:t>
      </w:r>
      <w:r w:rsidR="006E0521">
        <w:t>de</w:t>
      </w:r>
      <w:r w:rsidR="006E0521" w:rsidRPr="002C4077">
        <w:t xml:space="preserve"> </w:t>
      </w:r>
      <w:r w:rsidR="006E0521">
        <w:t>sang</w:t>
      </w:r>
      <w:r w:rsidR="006E0521" w:rsidRPr="002C4077">
        <w:t xml:space="preserve"> </w:t>
      </w:r>
      <w:r w:rsidR="00425C50">
        <w:t>est</w:t>
      </w:r>
      <w:r w:rsidR="006E0521" w:rsidRPr="002C4077">
        <w:t xml:space="preserve"> </w:t>
      </w:r>
      <w:r>
        <w:t>un</w:t>
      </w:r>
      <w:r w:rsidRPr="002C4077">
        <w:t xml:space="preserve"> </w:t>
      </w:r>
      <w:r>
        <w:t>phénomène</w:t>
      </w:r>
      <w:r w:rsidRPr="002C4077">
        <w:t xml:space="preserve"> </w:t>
      </w:r>
      <w:r>
        <w:t>pathologique,</w:t>
      </w:r>
      <w:r w:rsidRPr="002C4077">
        <w:t xml:space="preserve"> </w:t>
      </w:r>
      <w:r>
        <w:t>qui</w:t>
      </w:r>
      <w:r w:rsidRPr="002C4077">
        <w:t xml:space="preserve"> </w:t>
      </w:r>
      <w:r>
        <w:t>avait</w:t>
      </w:r>
      <w:r w:rsidRPr="002C4077">
        <w:t xml:space="preserve"> </w:t>
      </w:r>
      <w:r>
        <w:t>pour</w:t>
      </w:r>
      <w:r w:rsidRPr="002C4077">
        <w:t xml:space="preserve"> </w:t>
      </w:r>
      <w:r>
        <w:t>lui</w:t>
      </w:r>
      <w:r w:rsidRPr="002C4077">
        <w:t xml:space="preserve"> </w:t>
      </w:r>
      <w:r>
        <w:t>un</w:t>
      </w:r>
      <w:r w:rsidRPr="002C4077">
        <w:t xml:space="preserve"> </w:t>
      </w:r>
      <w:r>
        <w:t>intérêt</w:t>
      </w:r>
      <w:r w:rsidRPr="002C4077">
        <w:t xml:space="preserve"> </w:t>
      </w:r>
      <w:r>
        <w:t>particulier.</w:t>
      </w:r>
      <w:r w:rsidRPr="002C4077">
        <w:t xml:space="preserve"> </w:t>
      </w:r>
    </w:p>
    <w:p w:rsidR="000A7AAB" w:rsidRDefault="00EC6E3D" w:rsidP="000A7AAB">
      <w:r>
        <w:rPr>
          <w:rStyle w:val="italicus"/>
        </w:rPr>
        <w:t>Α</w:t>
      </w:r>
      <w:r w:rsidR="000A7AAB" w:rsidRPr="002C4077">
        <w:t xml:space="preserve"> </w:t>
      </w:r>
      <w:r w:rsidR="000A7AAB" w:rsidRPr="00EC6E3D">
        <w:rPr>
          <w:rStyle w:val="italicus"/>
        </w:rPr>
        <w:t>pr</w:t>
      </w:r>
      <w:r w:rsidR="003B53FD" w:rsidRPr="00EC6E3D">
        <w:rPr>
          <w:rStyle w:val="italicus"/>
        </w:rPr>
        <w:t>ióri</w:t>
      </w:r>
      <w:r w:rsidR="000A7AAB" w:rsidRPr="00EC6E3D">
        <w:rPr>
          <w:rStyle w:val="italicus"/>
        </w:rPr>
        <w:t>,</w:t>
      </w:r>
      <w:r w:rsidR="000A7AAB" w:rsidRPr="002C4077">
        <w:t xml:space="preserve"> </w:t>
      </w:r>
      <w:r w:rsidR="000A7AAB">
        <w:t>selon</w:t>
      </w:r>
      <w:r w:rsidR="000A7AAB" w:rsidRPr="002C4077">
        <w:t xml:space="preserve"> </w:t>
      </w:r>
      <w:r w:rsidR="000A7AAB">
        <w:t>la</w:t>
      </w:r>
      <w:r w:rsidR="000A7AAB" w:rsidRPr="002C4077">
        <w:t xml:space="preserve"> </w:t>
      </w:r>
      <w:r w:rsidR="000A7AAB">
        <w:t>judicieuse</w:t>
      </w:r>
      <w:r w:rsidR="000A7AAB" w:rsidRPr="002C4077">
        <w:t xml:space="preserve"> </w:t>
      </w:r>
      <w:r w:rsidR="000A7AAB">
        <w:t>réflexion</w:t>
      </w:r>
      <w:r w:rsidR="000A7AAB" w:rsidRPr="002C4077">
        <w:t xml:space="preserve"> </w:t>
      </w:r>
      <w:r w:rsidR="000A7AAB">
        <w:t>de</w:t>
      </w:r>
      <w:r w:rsidR="000A7AAB" w:rsidRPr="002C4077">
        <w:t xml:space="preserve"> </w:t>
      </w:r>
      <w:r w:rsidR="000A7AAB">
        <w:t>Maldonat</w:t>
      </w:r>
      <w:r w:rsidR="00B91AF7">
        <w:rPr>
          <w:rStyle w:val="Appelnotedebasdep"/>
        </w:rPr>
        <w:footnoteReference w:id="322"/>
      </w:r>
      <w:r w:rsidR="000A7AAB">
        <w:t>,</w:t>
      </w:r>
      <w:r w:rsidR="000A7AAB" w:rsidRPr="002C4077">
        <w:t xml:space="preserve"> </w:t>
      </w:r>
      <w:r w:rsidR="000A7AAB">
        <w:t>il</w:t>
      </w:r>
      <w:r w:rsidR="000A7AAB" w:rsidRPr="002C4077">
        <w:t xml:space="preserve"> </w:t>
      </w:r>
      <w:r w:rsidR="00425C50">
        <w:t>est</w:t>
      </w:r>
      <w:r w:rsidR="000A7AAB" w:rsidRPr="002C4077">
        <w:t xml:space="preserve"> </w:t>
      </w:r>
      <w:r w:rsidR="000A7AAB">
        <w:t>plus</w:t>
      </w:r>
      <w:r w:rsidR="000A7AAB" w:rsidRPr="002C4077">
        <w:t xml:space="preserve"> </w:t>
      </w:r>
      <w:r w:rsidR="000A7AAB">
        <w:t>naturel</w:t>
      </w:r>
      <w:r w:rsidR="000A7AAB" w:rsidRPr="002C4077">
        <w:t xml:space="preserve"> </w:t>
      </w:r>
      <w:r w:rsidR="000A7AAB">
        <w:t>de</w:t>
      </w:r>
      <w:r w:rsidR="000A7AAB" w:rsidRPr="002C4077">
        <w:t xml:space="preserve"> </w:t>
      </w:r>
      <w:r w:rsidR="000A7AAB">
        <w:t>croire</w:t>
      </w:r>
      <w:r w:rsidR="000A7AAB" w:rsidRPr="002C4077">
        <w:t xml:space="preserve"> </w:t>
      </w:r>
      <w:r w:rsidR="000A7AAB">
        <w:t>que</w:t>
      </w:r>
      <w:r w:rsidR="000A7AAB" w:rsidRPr="002C4077">
        <w:t xml:space="preserve"> </w:t>
      </w:r>
      <w:r w:rsidR="000A7AAB">
        <w:t>ce</w:t>
      </w:r>
      <w:r w:rsidR="000A7AAB" w:rsidRPr="002C4077">
        <w:t xml:space="preserve"> </w:t>
      </w:r>
      <w:r w:rsidR="000A7AAB">
        <w:t>passage</w:t>
      </w:r>
      <w:r w:rsidR="000A7AAB" w:rsidRPr="002C4077">
        <w:t xml:space="preserve"> </w:t>
      </w:r>
      <w:r w:rsidR="000A7AAB">
        <w:t>aura</w:t>
      </w:r>
      <w:r w:rsidR="000A7AAB" w:rsidRPr="002C4077">
        <w:t xml:space="preserve"> </w:t>
      </w:r>
      <w:r w:rsidR="000A7AAB">
        <w:t>été</w:t>
      </w:r>
      <w:r w:rsidR="000A7AAB" w:rsidRPr="002C4077">
        <w:t xml:space="preserve"> </w:t>
      </w:r>
      <w:r w:rsidR="000A7AAB">
        <w:t>retranché</w:t>
      </w:r>
      <w:r w:rsidR="000A7AAB" w:rsidRPr="002C4077">
        <w:t xml:space="preserve"> </w:t>
      </w:r>
      <w:r w:rsidR="000A7AAB">
        <w:t>qu’ajouté.</w:t>
      </w:r>
      <w:r w:rsidR="00C45B47">
        <w:t xml:space="preserve"> {</w:t>
      </w:r>
      <w:r w:rsidR="004C5B7A">
        <w:t>105</w:t>
      </w:r>
      <w:bookmarkStart w:id="308" w:name="p105"/>
      <w:bookmarkEnd w:id="308"/>
      <w:r w:rsidR="004C5B7A">
        <w:t xml:space="preserve">} </w:t>
      </w:r>
      <w:r w:rsidR="000A7AAB">
        <w:t>Et</w:t>
      </w:r>
      <w:r w:rsidR="000A7AAB" w:rsidRPr="002C4077">
        <w:t xml:space="preserve"> </w:t>
      </w:r>
      <w:r w:rsidR="000A7AAB">
        <w:t>de</w:t>
      </w:r>
      <w:r w:rsidR="000A7AAB" w:rsidRPr="002C4077">
        <w:t xml:space="preserve"> </w:t>
      </w:r>
      <w:r w:rsidR="000A7AAB">
        <w:t>fait,</w:t>
      </w:r>
      <w:r w:rsidR="000A7AAB" w:rsidRPr="002C4077">
        <w:t xml:space="preserve"> </w:t>
      </w:r>
      <w:r w:rsidR="000A7AAB">
        <w:t>on</w:t>
      </w:r>
      <w:r w:rsidR="000A7AAB" w:rsidRPr="002C4077">
        <w:t xml:space="preserve"> </w:t>
      </w:r>
      <w:r w:rsidR="000A7AAB">
        <w:t>ne</w:t>
      </w:r>
      <w:r w:rsidR="000A7AAB" w:rsidRPr="002C4077">
        <w:t xml:space="preserve"> </w:t>
      </w:r>
      <w:r w:rsidR="000A7AAB">
        <w:t>peut</w:t>
      </w:r>
      <w:r w:rsidR="000A7AAB" w:rsidRPr="002C4077">
        <w:t xml:space="preserve"> </w:t>
      </w:r>
      <w:r w:rsidR="000A7AAB">
        <w:t>assigner</w:t>
      </w:r>
      <w:r w:rsidR="000A7AAB" w:rsidRPr="002C4077">
        <w:t xml:space="preserve"> </w:t>
      </w:r>
      <w:r w:rsidR="000A7AAB">
        <w:t>aucune</w:t>
      </w:r>
      <w:r w:rsidR="000A7AAB" w:rsidRPr="002C4077">
        <w:t xml:space="preserve"> </w:t>
      </w:r>
      <w:r w:rsidR="000A7AAB">
        <w:t>cause</w:t>
      </w:r>
      <w:r w:rsidR="000A7AAB" w:rsidRPr="002C4077">
        <w:t xml:space="preserve"> </w:t>
      </w:r>
      <w:r w:rsidR="000A7AAB">
        <w:t>raisonnable</w:t>
      </w:r>
      <w:r w:rsidR="000A7AAB" w:rsidRPr="002C4077">
        <w:t xml:space="preserve"> </w:t>
      </w:r>
      <w:r w:rsidR="000A7AAB">
        <w:t>qui</w:t>
      </w:r>
      <w:r w:rsidR="000A7AAB" w:rsidRPr="002C4077">
        <w:t xml:space="preserve"> </w:t>
      </w:r>
      <w:r w:rsidR="000A7AAB">
        <w:t>ait</w:t>
      </w:r>
      <w:r w:rsidR="000A7AAB" w:rsidRPr="002C4077">
        <w:t xml:space="preserve"> </w:t>
      </w:r>
      <w:r w:rsidR="000A7AAB">
        <w:t>porté</w:t>
      </w:r>
      <w:r w:rsidR="000A7AAB" w:rsidRPr="002C4077">
        <w:t xml:space="preserve"> </w:t>
      </w:r>
      <w:r w:rsidR="000A7AAB">
        <w:t>les</w:t>
      </w:r>
      <w:r w:rsidR="000A7AAB" w:rsidRPr="002C4077">
        <w:t xml:space="preserve"> </w:t>
      </w:r>
      <w:r w:rsidR="000A7AAB">
        <w:t>copistes</w:t>
      </w:r>
      <w:r w:rsidR="000A7AAB" w:rsidRPr="002C4077">
        <w:t xml:space="preserve"> </w:t>
      </w:r>
      <w:r w:rsidR="000A7AAB">
        <w:t>à</w:t>
      </w:r>
      <w:r w:rsidR="000A7AAB" w:rsidRPr="002C4077">
        <w:t xml:space="preserve"> </w:t>
      </w:r>
      <w:r w:rsidR="000A7AAB">
        <w:t>insérer</w:t>
      </w:r>
      <w:r w:rsidR="000A7AAB" w:rsidRPr="002C4077">
        <w:t xml:space="preserve"> </w:t>
      </w:r>
      <w:r w:rsidR="000A7AAB">
        <w:t>frauduleusement</w:t>
      </w:r>
      <w:r w:rsidR="000A7AAB" w:rsidRPr="002C4077">
        <w:t xml:space="preserve"> </w:t>
      </w:r>
      <w:r w:rsidR="000A7AAB">
        <w:t>les</w:t>
      </w:r>
      <w:r w:rsidR="000A7AAB" w:rsidRPr="002C4077">
        <w:t xml:space="preserve"> </w:t>
      </w:r>
      <w:r w:rsidR="000A7AAB">
        <w:t>versets</w:t>
      </w:r>
      <w:r w:rsidR="000A7AAB" w:rsidRPr="002C4077">
        <w:t xml:space="preserve"> </w:t>
      </w:r>
      <w:r w:rsidR="000A7AAB">
        <w:t>43</w:t>
      </w:r>
      <w:r w:rsidR="000A7AAB" w:rsidRPr="002C4077">
        <w:t xml:space="preserve"> </w:t>
      </w:r>
      <w:r w:rsidR="000A7AAB">
        <w:t>et</w:t>
      </w:r>
      <w:r w:rsidR="000A7AAB" w:rsidRPr="002C4077">
        <w:t xml:space="preserve"> </w:t>
      </w:r>
      <w:r w:rsidR="000A7AAB">
        <w:t>44</w:t>
      </w:r>
      <w:r w:rsidR="000A7AAB" w:rsidRPr="002C4077">
        <w:t xml:space="preserve"> </w:t>
      </w:r>
      <w:r w:rsidR="000A7AAB">
        <w:t>dans</w:t>
      </w:r>
      <w:r w:rsidR="000A7AAB" w:rsidRPr="002C4077">
        <w:t xml:space="preserve"> </w:t>
      </w:r>
      <w:r w:rsidR="000A7AAB">
        <w:t>le</w:t>
      </w:r>
      <w:r w:rsidR="000A7AAB" w:rsidRPr="002C4077">
        <w:t xml:space="preserve"> </w:t>
      </w:r>
      <w:r w:rsidR="000A7AAB">
        <w:t>texte</w:t>
      </w:r>
      <w:r w:rsidR="000A7AAB" w:rsidRPr="002C4077">
        <w:t xml:space="preserve"> </w:t>
      </w:r>
      <w:r w:rsidR="000A7AAB">
        <w:t>primitif</w:t>
      </w:r>
      <w:r w:rsidR="00B546AF">
        <w:t> ;</w:t>
      </w:r>
      <w:r w:rsidR="000A7AAB" w:rsidRPr="002C4077">
        <w:t xml:space="preserve"> </w:t>
      </w:r>
      <w:r w:rsidR="000A7AAB">
        <w:t>au</w:t>
      </w:r>
      <w:r w:rsidR="000A7AAB" w:rsidRPr="002C4077">
        <w:t xml:space="preserve"> </w:t>
      </w:r>
      <w:r w:rsidR="000A7AAB">
        <w:t>contraire,</w:t>
      </w:r>
      <w:r w:rsidR="000A7AAB" w:rsidRPr="002C4077">
        <w:t xml:space="preserve"> </w:t>
      </w:r>
      <w:r w:rsidR="000A7AAB">
        <w:t>il</w:t>
      </w:r>
      <w:r w:rsidR="000A7AAB" w:rsidRPr="002C4077">
        <w:t xml:space="preserve"> </w:t>
      </w:r>
      <w:r w:rsidR="00425C50">
        <w:t>est</w:t>
      </w:r>
      <w:r w:rsidR="000A7AAB" w:rsidRPr="002C4077">
        <w:t xml:space="preserve"> </w:t>
      </w:r>
      <w:r w:rsidR="000A7AAB">
        <w:t>aisé</w:t>
      </w:r>
      <w:r w:rsidR="000A7AAB" w:rsidRPr="002C4077">
        <w:t xml:space="preserve"> </w:t>
      </w:r>
      <w:r w:rsidR="000A7AAB">
        <w:t>de</w:t>
      </w:r>
      <w:r w:rsidR="000A7AAB" w:rsidRPr="002C4077">
        <w:t xml:space="preserve"> </w:t>
      </w:r>
      <w:r w:rsidR="000A7AAB">
        <w:t>concevoir</w:t>
      </w:r>
      <w:r w:rsidR="000A7AAB" w:rsidRPr="002C4077">
        <w:t xml:space="preserve"> </w:t>
      </w:r>
      <w:r w:rsidR="000A7AAB">
        <w:t>que</w:t>
      </w:r>
      <w:r w:rsidR="000A7AAB" w:rsidRPr="002C4077">
        <w:t xml:space="preserve"> </w:t>
      </w:r>
      <w:r w:rsidR="000A7AAB">
        <w:t>des</w:t>
      </w:r>
      <w:r w:rsidR="000A7AAB" w:rsidRPr="002C4077">
        <w:t xml:space="preserve"> </w:t>
      </w:r>
      <w:r w:rsidR="000A7AAB">
        <w:t>préjugés</w:t>
      </w:r>
      <w:r w:rsidR="000A7AAB" w:rsidRPr="002C4077">
        <w:t xml:space="preserve"> </w:t>
      </w:r>
      <w:r w:rsidR="000A7AAB">
        <w:t>dogmatiques</w:t>
      </w:r>
      <w:r w:rsidR="000A7AAB" w:rsidRPr="002C4077">
        <w:t xml:space="preserve"> </w:t>
      </w:r>
      <w:r w:rsidR="000A7AAB">
        <w:t>aient</w:t>
      </w:r>
      <w:r w:rsidR="000A7AAB" w:rsidRPr="002C4077">
        <w:t xml:space="preserve"> </w:t>
      </w:r>
      <w:r w:rsidR="000A7AAB">
        <w:t>été</w:t>
      </w:r>
      <w:r w:rsidR="000A7AAB" w:rsidRPr="002C4077">
        <w:t xml:space="preserve"> </w:t>
      </w:r>
      <w:r w:rsidR="000A7AAB">
        <w:t>assez</w:t>
      </w:r>
      <w:r w:rsidR="000A7AAB" w:rsidRPr="002C4077">
        <w:t xml:space="preserve"> </w:t>
      </w:r>
      <w:r w:rsidR="000A7AAB">
        <w:t>puissants</w:t>
      </w:r>
      <w:r w:rsidR="000A7AAB" w:rsidRPr="002C4077">
        <w:t xml:space="preserve"> </w:t>
      </w:r>
      <w:r w:rsidR="000A7AAB">
        <w:t>en</w:t>
      </w:r>
      <w:r w:rsidR="000A7AAB" w:rsidRPr="002C4077">
        <w:t xml:space="preserve"> </w:t>
      </w:r>
      <w:r w:rsidR="000A7AAB">
        <w:t>divers</w:t>
      </w:r>
      <w:r w:rsidR="000A7AAB" w:rsidRPr="002C4077">
        <w:t xml:space="preserve"> </w:t>
      </w:r>
      <w:r w:rsidR="000A7AAB">
        <w:t>lieux</w:t>
      </w:r>
      <w:r w:rsidR="000A7AAB" w:rsidRPr="002C4077">
        <w:t xml:space="preserve"> </w:t>
      </w:r>
      <w:r w:rsidR="000A7AAB">
        <w:t>pour</w:t>
      </w:r>
      <w:r w:rsidR="000A7AAB" w:rsidRPr="002C4077">
        <w:t xml:space="preserve"> </w:t>
      </w:r>
      <w:r w:rsidR="000A7AAB">
        <w:t>les</w:t>
      </w:r>
      <w:r w:rsidR="000A7AAB" w:rsidRPr="002C4077">
        <w:t xml:space="preserve"> </w:t>
      </w:r>
      <w:r w:rsidR="000A7AAB">
        <w:t>faire</w:t>
      </w:r>
      <w:r w:rsidR="000A7AAB" w:rsidRPr="002C4077">
        <w:t xml:space="preserve"> </w:t>
      </w:r>
      <w:r w:rsidR="000A7AAB">
        <w:t>éliminer.</w:t>
      </w:r>
      <w:r w:rsidR="000A7AAB" w:rsidRPr="002C4077">
        <w:t xml:space="preserve"> </w:t>
      </w:r>
      <w:r w:rsidR="000A7AAB">
        <w:t>Déjà</w:t>
      </w:r>
      <w:r w:rsidR="000A7AAB" w:rsidRPr="002C4077">
        <w:t xml:space="preserve"> </w:t>
      </w:r>
      <w:r w:rsidR="000A7AAB">
        <w:t>S.</w:t>
      </w:r>
      <w:r w:rsidR="000A7AAB" w:rsidRPr="002C4077">
        <w:t xml:space="preserve"> </w:t>
      </w:r>
      <w:r w:rsidR="000A7AAB">
        <w:t>Épiphane</w:t>
      </w:r>
      <w:r w:rsidR="000A7AAB" w:rsidRPr="002C4077">
        <w:t xml:space="preserve"> </w:t>
      </w:r>
      <w:r w:rsidR="00B91AF7">
        <w:rPr>
          <w:rStyle w:val="Appelnotedebasdep"/>
        </w:rPr>
        <w:footnoteReference w:id="323"/>
      </w:r>
      <w:r w:rsidR="000A7AAB" w:rsidRPr="002C4077">
        <w:t xml:space="preserve"> </w:t>
      </w:r>
      <w:r w:rsidR="000A7AAB">
        <w:t>nous</w:t>
      </w:r>
      <w:r w:rsidR="000A7AAB" w:rsidRPr="002C4077">
        <w:t xml:space="preserve"> </w:t>
      </w:r>
      <w:r w:rsidR="000A7AAB">
        <w:t>apprend</w:t>
      </w:r>
      <w:r w:rsidR="000A7AAB" w:rsidRPr="002C4077">
        <w:t xml:space="preserve"> </w:t>
      </w:r>
      <w:r w:rsidR="000A7AAB">
        <w:t>que</w:t>
      </w:r>
      <w:r w:rsidR="000A7AAB" w:rsidRPr="002C4077">
        <w:t xml:space="preserve"> </w:t>
      </w:r>
      <w:r w:rsidR="000A7AAB">
        <w:t>les</w:t>
      </w:r>
      <w:r w:rsidR="000A7AAB" w:rsidRPr="002C4077">
        <w:t xml:space="preserve"> </w:t>
      </w:r>
      <w:r w:rsidR="000A7AAB">
        <w:t>choses</w:t>
      </w:r>
      <w:r w:rsidR="000A7AAB" w:rsidRPr="002C4077">
        <w:t xml:space="preserve"> </w:t>
      </w:r>
      <w:r w:rsidR="000A7AAB">
        <w:t>se</w:t>
      </w:r>
      <w:r w:rsidR="000A7AAB" w:rsidRPr="002C4077">
        <w:t xml:space="preserve"> </w:t>
      </w:r>
      <w:r w:rsidR="000A7AAB">
        <w:t>passèrent</w:t>
      </w:r>
      <w:r w:rsidR="000A7AAB" w:rsidRPr="002C4077">
        <w:t xml:space="preserve"> </w:t>
      </w:r>
      <w:r w:rsidR="000A7AAB">
        <w:t>positivement</w:t>
      </w:r>
      <w:r w:rsidR="000A7AAB" w:rsidRPr="002C4077">
        <w:t xml:space="preserve"> </w:t>
      </w:r>
      <w:r w:rsidR="000A7AAB">
        <w:t>ainsi.</w:t>
      </w:r>
      <w:r w:rsidR="000A7AAB" w:rsidRPr="002C4077">
        <w:t xml:space="preserve"> </w:t>
      </w:r>
      <w:r w:rsidR="000A7AAB">
        <w:t>Nos</w:t>
      </w:r>
      <w:r w:rsidR="000A7AAB" w:rsidRPr="002C4077">
        <w:t xml:space="preserve"> </w:t>
      </w:r>
      <w:r w:rsidR="000A7AAB">
        <w:t>deux</w:t>
      </w:r>
      <w:r w:rsidR="000A7AAB" w:rsidRPr="002C4077">
        <w:t xml:space="preserve"> </w:t>
      </w:r>
      <w:r w:rsidR="000A7AAB">
        <w:t>versets</w:t>
      </w:r>
      <w:r w:rsidR="000A7AAB" w:rsidRPr="002C4077">
        <w:t xml:space="preserve"> </w:t>
      </w:r>
      <w:r w:rsidR="000A7AAB">
        <w:t>furent</w:t>
      </w:r>
      <w:r w:rsidR="000A7AAB" w:rsidRPr="002C4077">
        <w:t xml:space="preserve"> </w:t>
      </w:r>
      <w:r w:rsidR="000A7AAB">
        <w:t>biffés,</w:t>
      </w:r>
      <w:r w:rsidR="000A7AAB" w:rsidRPr="002C4077">
        <w:t xml:space="preserve"> </w:t>
      </w:r>
      <w:r w:rsidR="000A7AAB">
        <w:t>tantôt</w:t>
      </w:r>
      <w:r w:rsidR="000A7AAB" w:rsidRPr="002C4077">
        <w:t xml:space="preserve"> </w:t>
      </w:r>
      <w:r w:rsidR="000A7AAB">
        <w:t>par</w:t>
      </w:r>
      <w:r w:rsidR="000A7AAB" w:rsidRPr="002C4077">
        <w:t xml:space="preserve"> </w:t>
      </w:r>
      <w:r w:rsidR="000A7AAB">
        <w:t>de</w:t>
      </w:r>
      <w:r w:rsidR="000A7AAB" w:rsidRPr="002C4077">
        <w:t xml:space="preserve"> </w:t>
      </w:r>
      <w:r w:rsidR="000A7AAB">
        <w:t>prétendus</w:t>
      </w:r>
      <w:r w:rsidR="000A7AAB" w:rsidRPr="002C4077">
        <w:t xml:space="preserve"> </w:t>
      </w:r>
      <w:r w:rsidR="000A7AAB">
        <w:t>orthodoxes,</w:t>
      </w:r>
      <w:r w:rsidR="000A7AAB" w:rsidRPr="002C4077">
        <w:t xml:space="preserve"> </w:t>
      </w:r>
      <w:r w:rsidR="000A7AAB">
        <w:t>comme</w:t>
      </w:r>
      <w:r w:rsidR="000A7AAB" w:rsidRPr="002C4077">
        <w:t xml:space="preserve"> </w:t>
      </w:r>
      <w:r w:rsidR="000A7AAB">
        <w:t>inconciliables</w:t>
      </w:r>
      <w:r w:rsidR="000A7AAB" w:rsidRPr="002C4077">
        <w:t xml:space="preserve"> </w:t>
      </w:r>
      <w:r w:rsidR="000A7AAB">
        <w:t>avec</w:t>
      </w:r>
      <w:r w:rsidR="000A7AAB" w:rsidRPr="002C4077">
        <w:t xml:space="preserve"> </w:t>
      </w:r>
      <w:r w:rsidR="000A7AAB">
        <w:t>la</w:t>
      </w:r>
      <w:r w:rsidR="000A7AAB" w:rsidRPr="002C4077">
        <w:t xml:space="preserve"> </w:t>
      </w:r>
      <w:r w:rsidR="000A7AAB">
        <w:t>nature</w:t>
      </w:r>
      <w:r w:rsidR="000A7AAB" w:rsidRPr="002C4077">
        <w:t xml:space="preserve"> </w:t>
      </w:r>
      <w:r w:rsidR="000A7AAB">
        <w:t>divine</w:t>
      </w:r>
      <w:r w:rsidR="000A7AAB" w:rsidRPr="002C4077">
        <w:t xml:space="preserve"> </w:t>
      </w:r>
      <w:r w:rsidR="000A7AAB">
        <w:t>de</w:t>
      </w:r>
      <w:r w:rsidR="000A7AAB" w:rsidRPr="002C4077">
        <w:t xml:space="preserve"> </w:t>
      </w:r>
      <w:r w:rsidR="000A7AAB">
        <w:t>N.</w:t>
      </w:r>
      <w:r w:rsidR="000A7AAB" w:rsidRPr="002C4077">
        <w:t xml:space="preserve"> </w:t>
      </w:r>
      <w:r w:rsidR="000A7AAB">
        <w:t>S.</w:t>
      </w:r>
      <w:r w:rsidR="000A7AAB" w:rsidRPr="002C4077">
        <w:t xml:space="preserve"> </w:t>
      </w:r>
      <w:r w:rsidR="00425C50">
        <w:t>Jésus</w:t>
      </w:r>
      <w:r w:rsidR="000A7AAB">
        <w:t>-</w:t>
      </w:r>
      <w:r w:rsidR="00425C50">
        <w:t>Christ</w:t>
      </w:r>
      <w:r w:rsidR="00B546AF">
        <w:t> ;</w:t>
      </w:r>
      <w:r w:rsidR="000A7AAB" w:rsidRPr="002C4077">
        <w:t xml:space="preserve"> </w:t>
      </w:r>
      <w:r w:rsidR="000A7AAB">
        <w:t>tantôt</w:t>
      </w:r>
      <w:r w:rsidR="000A7AAB" w:rsidRPr="002C4077">
        <w:t xml:space="preserve"> </w:t>
      </w:r>
      <w:r w:rsidR="000A7AAB">
        <w:t>par</w:t>
      </w:r>
      <w:r w:rsidR="000A7AAB" w:rsidRPr="002C4077">
        <w:t xml:space="preserve"> </w:t>
      </w:r>
      <w:r w:rsidR="000A7AAB">
        <w:t>des</w:t>
      </w:r>
      <w:r w:rsidR="000A7AAB" w:rsidRPr="002C4077">
        <w:t xml:space="preserve"> </w:t>
      </w:r>
      <w:r w:rsidR="000A7AAB">
        <w:t>hérétiques</w:t>
      </w:r>
      <w:r w:rsidR="000A7AAB" w:rsidRPr="002C4077">
        <w:t xml:space="preserve"> </w:t>
      </w:r>
      <w:r w:rsidR="000A7AAB">
        <w:t>partisans</w:t>
      </w:r>
      <w:r w:rsidR="000A7AAB" w:rsidRPr="002C4077">
        <w:t xml:space="preserve"> </w:t>
      </w:r>
      <w:r w:rsidR="000A7AAB">
        <w:t>du</w:t>
      </w:r>
      <w:r w:rsidR="000A7AAB" w:rsidRPr="002C4077">
        <w:t xml:space="preserve"> </w:t>
      </w:r>
      <w:r w:rsidR="000A7AAB">
        <w:t>Docétisme,</w:t>
      </w:r>
      <w:r w:rsidR="000A7AAB" w:rsidRPr="002C4077">
        <w:t xml:space="preserve"> </w:t>
      </w:r>
      <w:r w:rsidR="000A7AAB">
        <w:t>comme</w:t>
      </w:r>
      <w:r w:rsidR="000A7AAB" w:rsidRPr="002C4077">
        <w:t xml:space="preserve"> </w:t>
      </w:r>
      <w:r w:rsidR="000A7AAB">
        <w:t>prouvant</w:t>
      </w:r>
      <w:r w:rsidR="000A7AAB" w:rsidRPr="002C4077">
        <w:t xml:space="preserve"> </w:t>
      </w:r>
      <w:r w:rsidR="000A7AAB">
        <w:t>trop</w:t>
      </w:r>
      <w:r w:rsidR="000A7AAB" w:rsidRPr="002C4077">
        <w:t xml:space="preserve"> </w:t>
      </w:r>
      <w:r w:rsidR="000A7AAB">
        <w:t>bien</w:t>
      </w:r>
      <w:r w:rsidR="000A7AAB" w:rsidRPr="002C4077">
        <w:t xml:space="preserve"> </w:t>
      </w:r>
      <w:r w:rsidR="000A7AAB">
        <w:t>la</w:t>
      </w:r>
      <w:r w:rsidR="000A7AAB" w:rsidRPr="002C4077">
        <w:t xml:space="preserve"> </w:t>
      </w:r>
      <w:r w:rsidR="000A7AAB">
        <w:t>réalité</w:t>
      </w:r>
      <w:r w:rsidR="000A7AAB" w:rsidRPr="002C4077">
        <w:t xml:space="preserve"> </w:t>
      </w:r>
      <w:r w:rsidR="000A7AAB">
        <w:t>de</w:t>
      </w:r>
      <w:r w:rsidR="000A7AAB" w:rsidRPr="002C4077">
        <w:t xml:space="preserve"> </w:t>
      </w:r>
      <w:r w:rsidR="000A7AAB">
        <w:t>sa</w:t>
      </w:r>
      <w:r w:rsidR="000A7AAB" w:rsidRPr="002C4077">
        <w:t xml:space="preserve"> </w:t>
      </w:r>
      <w:r w:rsidR="000A7AAB">
        <w:t>nature</w:t>
      </w:r>
      <w:r w:rsidR="000A7AAB" w:rsidRPr="002C4077">
        <w:t xml:space="preserve"> </w:t>
      </w:r>
      <w:r w:rsidR="000A7AAB">
        <w:t>humaine</w:t>
      </w:r>
      <w:r w:rsidR="006B5CEF">
        <w:rPr>
          <w:rStyle w:val="Appelnotedebasdep"/>
        </w:rPr>
        <w:footnoteReference w:id="324"/>
      </w:r>
      <w:r w:rsidR="006B5CEF">
        <w:t>.</w:t>
      </w:r>
      <w:r w:rsidR="000A7AAB" w:rsidRPr="002C4077">
        <w:t xml:space="preserve"> </w:t>
      </w:r>
      <w:r w:rsidR="000A7AAB">
        <w:t>Nicon</w:t>
      </w:r>
      <w:r w:rsidR="000A7AAB" w:rsidRPr="002C4077">
        <w:t xml:space="preserve"> </w:t>
      </w:r>
      <w:r w:rsidR="000A7AAB">
        <w:t>reprochait</w:t>
      </w:r>
      <w:r w:rsidR="000A7AAB" w:rsidRPr="002C4077">
        <w:t xml:space="preserve"> </w:t>
      </w:r>
      <w:r w:rsidR="000A7AAB">
        <w:t>sévèrement</w:t>
      </w:r>
      <w:r w:rsidR="000A7AAB" w:rsidRPr="002C4077">
        <w:t xml:space="preserve"> </w:t>
      </w:r>
      <w:r w:rsidR="000A7AAB">
        <w:t>aux</w:t>
      </w:r>
      <w:r w:rsidR="000A7AAB" w:rsidRPr="002C4077">
        <w:t xml:space="preserve"> </w:t>
      </w:r>
      <w:r w:rsidR="000A7AAB">
        <w:t>Arméniens</w:t>
      </w:r>
      <w:r w:rsidR="00B91AF7">
        <w:rPr>
          <w:rStyle w:val="Appelnotedebasdep"/>
        </w:rPr>
        <w:footnoteReference w:id="325"/>
      </w:r>
      <w:r w:rsidR="000A7AAB">
        <w:t>,</w:t>
      </w:r>
      <w:r w:rsidR="000A7AAB" w:rsidRPr="002C4077">
        <w:t xml:space="preserve"> </w:t>
      </w:r>
      <w:r w:rsidR="000A7AAB">
        <w:t>et</w:t>
      </w:r>
      <w:r w:rsidR="000A7AAB" w:rsidRPr="002C4077">
        <w:t xml:space="preserve"> </w:t>
      </w:r>
      <w:r w:rsidR="006E0521">
        <w:t>Photius</w:t>
      </w:r>
      <w:r w:rsidR="000A7AAB" w:rsidRPr="002C4077">
        <w:t xml:space="preserve"> </w:t>
      </w:r>
      <w:r w:rsidR="000A7AAB">
        <w:t>aux</w:t>
      </w:r>
      <w:r w:rsidR="000A7AAB" w:rsidRPr="002C4077">
        <w:t xml:space="preserve"> </w:t>
      </w:r>
      <w:r w:rsidR="000A7AAB">
        <w:t>Syriens</w:t>
      </w:r>
      <w:r w:rsidR="006B5CEF">
        <w:rPr>
          <w:rStyle w:val="Appelnotedebasdep"/>
        </w:rPr>
        <w:footnoteReference w:id="326"/>
      </w:r>
      <w:r w:rsidR="006B5CEF">
        <w:t>,</w:t>
      </w:r>
      <w:r w:rsidR="000A7AAB" w:rsidRPr="002C4077">
        <w:t xml:space="preserve"> </w:t>
      </w:r>
      <w:r w:rsidR="000A7AAB">
        <w:t>cette</w:t>
      </w:r>
      <w:r w:rsidR="000A7AAB" w:rsidRPr="002C4077">
        <w:t xml:space="preserve"> </w:t>
      </w:r>
      <w:r w:rsidR="000A7AAB">
        <w:t>suppression</w:t>
      </w:r>
      <w:r w:rsidR="000A7AAB" w:rsidRPr="002C4077">
        <w:t xml:space="preserve"> </w:t>
      </w:r>
      <w:r w:rsidR="000A7AAB">
        <w:t>arbitraire,</w:t>
      </w:r>
      <w:r w:rsidR="000A7AAB" w:rsidRPr="002C4077">
        <w:t xml:space="preserve"> </w:t>
      </w:r>
      <w:r w:rsidR="000A7AAB">
        <w:t>sacrilège.</w:t>
      </w:r>
      <w:r w:rsidR="000A7AAB" w:rsidRPr="002C4077">
        <w:t xml:space="preserve"> </w:t>
      </w:r>
    </w:p>
    <w:p w:rsidR="000A7AAB" w:rsidRDefault="000A7AAB" w:rsidP="000A7AAB">
      <w:r>
        <w:t>Pour</w:t>
      </w:r>
      <w:r w:rsidRPr="002C4077">
        <w:t xml:space="preserve"> </w:t>
      </w:r>
      <w:r>
        <w:t>ces</w:t>
      </w:r>
      <w:r w:rsidRPr="002C4077">
        <w:t xml:space="preserve"> </w:t>
      </w:r>
      <w:r>
        <w:t>divers</w:t>
      </w:r>
      <w:r w:rsidRPr="002C4077">
        <w:t xml:space="preserve"> </w:t>
      </w:r>
      <w:r>
        <w:t>motifs,</w:t>
      </w:r>
      <w:r w:rsidRPr="002C4077">
        <w:t xml:space="preserve"> </w:t>
      </w:r>
      <w:r>
        <w:t>les</w:t>
      </w:r>
      <w:r w:rsidRPr="002C4077">
        <w:t xml:space="preserve"> </w:t>
      </w:r>
      <w:r>
        <w:t>critiques</w:t>
      </w:r>
      <w:r w:rsidRPr="002C4077">
        <w:t xml:space="preserve"> </w:t>
      </w:r>
      <w:r>
        <w:t>les</w:t>
      </w:r>
      <w:r w:rsidRPr="002C4077">
        <w:t xml:space="preserve"> </w:t>
      </w:r>
      <w:r>
        <w:t>plus</w:t>
      </w:r>
      <w:r w:rsidRPr="002C4077">
        <w:t xml:space="preserve"> </w:t>
      </w:r>
      <w:r>
        <w:t>difficiles</w:t>
      </w:r>
      <w:r w:rsidRPr="002C4077">
        <w:t xml:space="preserve"> </w:t>
      </w:r>
      <w:r>
        <w:t>et</w:t>
      </w:r>
      <w:r w:rsidRPr="002C4077">
        <w:t xml:space="preserve"> </w:t>
      </w:r>
      <w:r>
        <w:t>les</w:t>
      </w:r>
      <w:r w:rsidRPr="002C4077">
        <w:t xml:space="preserve"> </w:t>
      </w:r>
      <w:r>
        <w:t>plus</w:t>
      </w:r>
      <w:r w:rsidRPr="002C4077">
        <w:t xml:space="preserve"> </w:t>
      </w:r>
      <w:r>
        <w:t>compétents,</w:t>
      </w:r>
      <w:r w:rsidRPr="002C4077">
        <w:t xml:space="preserve"> </w:t>
      </w:r>
      <w:r>
        <w:t>tels</w:t>
      </w:r>
      <w:r w:rsidRPr="002C4077">
        <w:t xml:space="preserve"> </w:t>
      </w:r>
      <w:r>
        <w:t>que</w:t>
      </w:r>
      <w:r w:rsidRPr="002C4077">
        <w:t xml:space="preserve"> </w:t>
      </w:r>
      <w:r>
        <w:t>Alford,</w:t>
      </w:r>
      <w:r w:rsidRPr="002C4077">
        <w:t xml:space="preserve"> </w:t>
      </w:r>
      <w:r>
        <w:t>Tischendorf,</w:t>
      </w:r>
      <w:r w:rsidRPr="002C4077">
        <w:t xml:space="preserve"> </w:t>
      </w:r>
      <w:r>
        <w:t>Tregelles,</w:t>
      </w:r>
      <w:r w:rsidRPr="002C4077">
        <w:t xml:space="preserve"> </w:t>
      </w:r>
      <w:r>
        <w:t>ont</w:t>
      </w:r>
      <w:r w:rsidRPr="002C4077">
        <w:t xml:space="preserve"> </w:t>
      </w:r>
      <w:r>
        <w:t>conservé</w:t>
      </w:r>
      <w:r w:rsidRPr="002C4077">
        <w:t xml:space="preserve"> </w:t>
      </w:r>
      <w:r>
        <w:t>dans</w:t>
      </w:r>
      <w:r w:rsidRPr="002C4077">
        <w:t xml:space="preserve"> </w:t>
      </w:r>
      <w:r>
        <w:t>leurs</w:t>
      </w:r>
      <w:r w:rsidRPr="002C4077">
        <w:t xml:space="preserve"> </w:t>
      </w:r>
      <w:r>
        <w:t>savantes</w:t>
      </w:r>
      <w:r w:rsidRPr="002C4077">
        <w:t xml:space="preserve"> </w:t>
      </w:r>
      <w:r>
        <w:t>éditions,</w:t>
      </w:r>
      <w:r w:rsidRPr="002C4077">
        <w:t xml:space="preserve"> </w:t>
      </w:r>
      <w:r>
        <w:t>comme</w:t>
      </w:r>
      <w:r w:rsidRPr="002C4077">
        <w:t xml:space="preserve"> </w:t>
      </w:r>
      <w:r>
        <w:t>partie</w:t>
      </w:r>
      <w:r w:rsidRPr="002C4077">
        <w:t xml:space="preserve"> </w:t>
      </w:r>
      <w:r>
        <w:t>intégrante</w:t>
      </w:r>
      <w:r w:rsidRPr="002C4077">
        <w:t xml:space="preserve"> </w:t>
      </w:r>
      <w:r>
        <w:t>du</w:t>
      </w:r>
      <w:r w:rsidRPr="002C4077">
        <w:t xml:space="preserve"> </w:t>
      </w:r>
      <w:r>
        <w:t>texte</w:t>
      </w:r>
      <w:r w:rsidRPr="002C4077">
        <w:t xml:space="preserve"> </w:t>
      </w:r>
      <w:r>
        <w:t>primitif,</w:t>
      </w:r>
      <w:r w:rsidRPr="002C4077">
        <w:t xml:space="preserve"> </w:t>
      </w:r>
      <w:r>
        <w:t>ce</w:t>
      </w:r>
      <w:r w:rsidRPr="002C4077">
        <w:t xml:space="preserve"> </w:t>
      </w:r>
      <w:r>
        <w:t>passage</w:t>
      </w:r>
      <w:r w:rsidRPr="002C4077">
        <w:t xml:space="preserve"> </w:t>
      </w:r>
      <w:r>
        <w:t>injustement</w:t>
      </w:r>
      <w:r w:rsidRPr="002C4077">
        <w:t xml:space="preserve"> </w:t>
      </w:r>
      <w:r>
        <w:t>attaqué</w:t>
      </w:r>
      <w:r w:rsidR="00B91AF7">
        <w:rPr>
          <w:rStyle w:val="Appelnotedebasdep"/>
        </w:rPr>
        <w:footnoteReference w:id="327"/>
      </w:r>
      <w:r>
        <w:t>.</w:t>
      </w:r>
      <w:r w:rsidRPr="002C4077">
        <w:t xml:space="preserve"> </w:t>
      </w:r>
      <w:r>
        <w:t>Tel</w:t>
      </w:r>
      <w:r w:rsidRPr="002C4077">
        <w:t xml:space="preserve"> </w:t>
      </w:r>
      <w:r w:rsidR="00425C50">
        <w:t>est</w:t>
      </w:r>
      <w:r w:rsidRPr="002C4077">
        <w:t xml:space="preserve"> </w:t>
      </w:r>
      <w:r>
        <w:t>le</w:t>
      </w:r>
      <w:r w:rsidRPr="002C4077">
        <w:t xml:space="preserve"> </w:t>
      </w:r>
      <w:r>
        <w:t>dernier</w:t>
      </w:r>
      <w:r w:rsidRPr="002C4077">
        <w:t xml:space="preserve"> </w:t>
      </w:r>
      <w:r>
        <w:t>mot</w:t>
      </w:r>
      <w:r w:rsidRPr="002C4077">
        <w:t xml:space="preserve"> </w:t>
      </w:r>
      <w:r>
        <w:t>de</w:t>
      </w:r>
      <w:r w:rsidRPr="002C4077">
        <w:t xml:space="preserve"> </w:t>
      </w:r>
      <w:r>
        <w:t>la</w:t>
      </w:r>
      <w:r w:rsidRPr="002C4077">
        <w:t xml:space="preserve"> </w:t>
      </w:r>
      <w:r>
        <w:t>science,</w:t>
      </w:r>
      <w:r w:rsidRPr="002C4077">
        <w:t xml:space="preserve"> </w:t>
      </w:r>
      <w:r>
        <w:t>et</w:t>
      </w:r>
      <w:r w:rsidRPr="002C4077">
        <w:t xml:space="preserve"> </w:t>
      </w:r>
      <w:r>
        <w:t>les</w:t>
      </w:r>
      <w:r w:rsidRPr="002C4077">
        <w:t xml:space="preserve"> </w:t>
      </w:r>
      <w:r>
        <w:t>protestations</w:t>
      </w:r>
      <w:r w:rsidRPr="002C4077">
        <w:t xml:space="preserve"> </w:t>
      </w:r>
      <w:r>
        <w:t>seraient</w:t>
      </w:r>
      <w:r w:rsidRPr="002C4077">
        <w:t xml:space="preserve"> </w:t>
      </w:r>
      <w:r>
        <w:t>aussi</w:t>
      </w:r>
      <w:r w:rsidRPr="002C4077">
        <w:t xml:space="preserve"> </w:t>
      </w:r>
      <w:r>
        <w:t>vaines</w:t>
      </w:r>
      <w:r w:rsidRPr="002C4077">
        <w:t xml:space="preserve"> </w:t>
      </w:r>
      <w:r>
        <w:t>que</w:t>
      </w:r>
      <w:r w:rsidRPr="002C4077">
        <w:t xml:space="preserve"> </w:t>
      </w:r>
      <w:r>
        <w:t>ridicules.</w:t>
      </w:r>
      <w:r w:rsidRPr="002C4077">
        <w:t xml:space="preserve"> </w:t>
      </w:r>
    </w:p>
    <w:p w:rsidR="000721C4" w:rsidRDefault="000721C4" w:rsidP="000A7AAB"/>
    <w:p w:rsidR="000A7AAB" w:rsidRPr="004C5B7A" w:rsidRDefault="000A7AAB" w:rsidP="000A7AAB">
      <w:r>
        <w:t>Après</w:t>
      </w:r>
      <w:r w:rsidRPr="002C4077">
        <w:t xml:space="preserve"> </w:t>
      </w:r>
      <w:r>
        <w:t>avoir</w:t>
      </w:r>
      <w:r w:rsidRPr="002C4077">
        <w:t xml:space="preserve"> </w:t>
      </w:r>
      <w:r>
        <w:t>établi</w:t>
      </w:r>
      <w:r w:rsidRPr="002C4077">
        <w:t xml:space="preserve"> </w:t>
      </w:r>
      <w:r>
        <w:t>ce</w:t>
      </w:r>
      <w:r w:rsidRPr="002C4077">
        <w:t xml:space="preserve"> </w:t>
      </w:r>
      <w:r>
        <w:t>point</w:t>
      </w:r>
      <w:r w:rsidRPr="002C4077">
        <w:t xml:space="preserve"> </w:t>
      </w:r>
      <w:r>
        <w:t>fondamental,</w:t>
      </w:r>
      <w:r w:rsidRPr="002C4077">
        <w:t xml:space="preserve"> </w:t>
      </w:r>
      <w:r>
        <w:t>nous</w:t>
      </w:r>
      <w:r w:rsidRPr="002C4077">
        <w:t xml:space="preserve"> </w:t>
      </w:r>
      <w:r>
        <w:t>pouvons</w:t>
      </w:r>
      <w:r w:rsidRPr="002C4077">
        <w:t xml:space="preserve"> </w:t>
      </w:r>
      <w:r>
        <w:t>procéder</w:t>
      </w:r>
      <w:r w:rsidRPr="002C4077">
        <w:t xml:space="preserve"> </w:t>
      </w:r>
      <w:r>
        <w:t>à</w:t>
      </w:r>
      <w:r w:rsidRPr="002C4077">
        <w:t xml:space="preserve"> </w:t>
      </w:r>
      <w:r>
        <w:t>l’examen</w:t>
      </w:r>
      <w:r w:rsidRPr="002C4077">
        <w:t xml:space="preserve"> </w:t>
      </w:r>
      <w:r>
        <w:t>des</w:t>
      </w:r>
      <w:r w:rsidRPr="002C4077">
        <w:t xml:space="preserve"> </w:t>
      </w:r>
      <w:r>
        <w:t>autres</w:t>
      </w:r>
      <w:bookmarkStart w:id="309" w:name="z_SueurDeSang_o3"/>
      <w:bookmarkEnd w:id="309"/>
      <w:r w:rsidRPr="002C4077">
        <w:t xml:space="preserve"> </w:t>
      </w:r>
      <w:r>
        <w:t>objections.</w:t>
      </w:r>
      <w:r w:rsidR="00C45B47">
        <w:t xml:space="preserve"> {</w:t>
      </w:r>
      <w:r w:rsidR="004C5B7A">
        <w:t>106</w:t>
      </w:r>
      <w:bookmarkStart w:id="310" w:name="p106"/>
      <w:bookmarkEnd w:id="310"/>
      <w:r w:rsidR="004C5B7A">
        <w:t xml:space="preserve">} </w:t>
      </w:r>
    </w:p>
    <w:p w:rsidR="000A7AAB" w:rsidRDefault="008D184D" w:rsidP="00EC6E3D">
      <w:pPr>
        <w:pStyle w:val="Titre2"/>
      </w:pPr>
      <w:bookmarkStart w:id="311" w:name="_Toc43882008"/>
      <w:r>
        <w:t>§</w:t>
      </w:r>
      <w:r w:rsidRPr="002C4077">
        <w:t xml:space="preserve"> </w:t>
      </w:r>
      <w:r>
        <w:t>II.</w:t>
      </w:r>
      <w:r w:rsidR="00575D3E">
        <w:br/>
      </w:r>
      <w:r w:rsidR="000A7AAB">
        <w:t>Caractère</w:t>
      </w:r>
      <w:r w:rsidR="000A7AAB" w:rsidRPr="002C4077">
        <w:t xml:space="preserve"> </w:t>
      </w:r>
      <w:r w:rsidR="000A7AAB">
        <w:t>historique</w:t>
      </w:r>
      <w:r w:rsidR="000A7AAB" w:rsidRPr="002C4077">
        <w:t xml:space="preserve"> </w:t>
      </w:r>
      <w:r w:rsidR="000A7AAB">
        <w:t>du</w:t>
      </w:r>
      <w:r w:rsidR="000A7AAB" w:rsidRPr="002C4077">
        <w:t xml:space="preserve"> </w:t>
      </w:r>
      <w:r w:rsidR="000A7AAB">
        <w:t>récit.</w:t>
      </w:r>
      <w:bookmarkStart w:id="312" w:name="a0202"/>
      <w:bookmarkEnd w:id="311"/>
      <w:bookmarkEnd w:id="312"/>
      <w:r w:rsidR="000A7AAB" w:rsidRPr="002C4077">
        <w:t xml:space="preserve"> </w:t>
      </w:r>
    </w:p>
    <w:p w:rsidR="000A7AAB" w:rsidRDefault="000A7AAB" w:rsidP="000A7AAB">
      <w:r>
        <w:t>Est-il</w:t>
      </w:r>
      <w:bookmarkStart w:id="313" w:name="z_RationalistesAgonie_o1"/>
      <w:bookmarkEnd w:id="313"/>
      <w:r w:rsidRPr="002C4077">
        <w:t xml:space="preserve"> </w:t>
      </w:r>
      <w:r>
        <w:t>vrai</w:t>
      </w:r>
      <w:bookmarkStart w:id="314" w:name="z_SueurDeSang_o4"/>
      <w:bookmarkEnd w:id="314"/>
      <w:r w:rsidRPr="002C4077">
        <w:t xml:space="preserve"> </w:t>
      </w:r>
      <w:r>
        <w:t>que,</w:t>
      </w:r>
      <w:r w:rsidRPr="002C4077">
        <w:t xml:space="preserve"> </w:t>
      </w:r>
      <w:r>
        <w:t>sous</w:t>
      </w:r>
      <w:r w:rsidRPr="002C4077">
        <w:t xml:space="preserve"> </w:t>
      </w:r>
      <w:r>
        <w:t>ce</w:t>
      </w:r>
      <w:r w:rsidRPr="002C4077">
        <w:t xml:space="preserve"> </w:t>
      </w:r>
      <w:r>
        <w:t>nouvel</w:t>
      </w:r>
      <w:r w:rsidRPr="002C4077">
        <w:t xml:space="preserve"> </w:t>
      </w:r>
      <w:r>
        <w:t>aspect,</w:t>
      </w:r>
      <w:r w:rsidRPr="002C4077">
        <w:t xml:space="preserve"> </w:t>
      </w:r>
      <w:r w:rsidR="00B546AF">
        <w:t>« </w:t>
      </w:r>
      <w:r>
        <w:t>la</w:t>
      </w:r>
      <w:r w:rsidRPr="002C4077">
        <w:t xml:space="preserve"> </w:t>
      </w:r>
      <w:r>
        <w:t>critique</w:t>
      </w:r>
      <w:r w:rsidRPr="002C4077">
        <w:t xml:space="preserve"> </w:t>
      </w:r>
      <w:r>
        <w:t>puisse</w:t>
      </w:r>
      <w:r w:rsidRPr="002C4077">
        <w:t xml:space="preserve"> </w:t>
      </w:r>
      <w:r>
        <w:t>attaquer</w:t>
      </w:r>
      <w:r w:rsidRPr="002C4077">
        <w:t xml:space="preserve"> </w:t>
      </w:r>
      <w:r>
        <w:t>avec</w:t>
      </w:r>
      <w:r w:rsidRPr="002C4077">
        <w:t xml:space="preserve"> </w:t>
      </w:r>
      <w:r>
        <w:t>plus</w:t>
      </w:r>
      <w:r w:rsidRPr="002C4077">
        <w:t xml:space="preserve"> </w:t>
      </w:r>
      <w:r>
        <w:t>de</w:t>
      </w:r>
      <w:r w:rsidRPr="002C4077">
        <w:t xml:space="preserve"> </w:t>
      </w:r>
      <w:r>
        <w:t>fondement</w:t>
      </w:r>
      <w:r w:rsidR="00B546AF">
        <w:t> »</w:t>
      </w:r>
      <w:r>
        <w:t>,</w:t>
      </w:r>
      <w:r w:rsidRPr="002C4077">
        <w:t xml:space="preserve"> </w:t>
      </w:r>
      <w:r>
        <w:t>ainsi</w:t>
      </w:r>
      <w:r w:rsidRPr="002C4077">
        <w:t xml:space="preserve"> </w:t>
      </w:r>
      <w:r>
        <w:t>que</w:t>
      </w:r>
      <w:r w:rsidRPr="002C4077">
        <w:t xml:space="preserve"> </w:t>
      </w:r>
      <w:r>
        <w:t>l’a</w:t>
      </w:r>
      <w:r w:rsidRPr="002C4077">
        <w:t xml:space="preserve"> </w:t>
      </w:r>
      <w:r>
        <w:t>prétendu</w:t>
      </w:r>
      <w:r w:rsidRPr="002C4077">
        <w:t xml:space="preserve"> </w:t>
      </w:r>
      <w:r>
        <w:t>Strauss</w:t>
      </w:r>
      <w:bookmarkStart w:id="315" w:name="z_Strauss_o5"/>
      <w:bookmarkEnd w:id="315"/>
      <w:r w:rsidRPr="002C4077">
        <w:t xml:space="preserve"> </w:t>
      </w:r>
      <w:r w:rsidR="00205F90">
        <w:rPr>
          <w:rStyle w:val="Appelnotedebasdep"/>
        </w:rPr>
        <w:footnoteReference w:id="328"/>
      </w:r>
      <w:r w:rsidR="00205F90">
        <w:t>,</w:t>
      </w:r>
      <w:r w:rsidRPr="002C4077">
        <w:t xml:space="preserve"> </w:t>
      </w:r>
      <w:r>
        <w:t>la</w:t>
      </w:r>
      <w:r w:rsidRPr="002C4077">
        <w:t xml:space="preserve"> </w:t>
      </w:r>
      <w:r>
        <w:t>narration</w:t>
      </w:r>
      <w:r w:rsidRPr="002C4077">
        <w:t xml:space="preserve"> </w:t>
      </w:r>
      <w:r>
        <w:t>de</w:t>
      </w:r>
      <w:r w:rsidRPr="002C4077">
        <w:t xml:space="preserve"> </w:t>
      </w:r>
      <w:r>
        <w:t>notre</w:t>
      </w:r>
      <w:r w:rsidRPr="002C4077">
        <w:t xml:space="preserve"> </w:t>
      </w:r>
      <w:r>
        <w:t>évangéliste</w:t>
      </w:r>
      <w:r w:rsidR="00B546AF">
        <w:t> ?</w:t>
      </w:r>
      <w:r w:rsidRPr="002C4077">
        <w:t xml:space="preserve"> </w:t>
      </w:r>
    </w:p>
    <w:p w:rsidR="000A7AAB" w:rsidRDefault="000A7AAB" w:rsidP="000A7AAB">
      <w:r>
        <w:lastRenderedPageBreak/>
        <w:t>Nous</w:t>
      </w:r>
      <w:r w:rsidRPr="002C4077">
        <w:t xml:space="preserve"> </w:t>
      </w:r>
      <w:r>
        <w:t>espérons</w:t>
      </w:r>
      <w:r w:rsidRPr="002C4077">
        <w:t xml:space="preserve"> </w:t>
      </w:r>
      <w:r>
        <w:t>démontrer</w:t>
      </w:r>
      <w:r w:rsidRPr="002C4077">
        <w:t xml:space="preserve"> </w:t>
      </w:r>
      <w:r>
        <w:t>qu’il</w:t>
      </w:r>
      <w:r w:rsidRPr="002C4077">
        <w:t xml:space="preserve"> </w:t>
      </w:r>
      <w:r>
        <w:t>n’en</w:t>
      </w:r>
      <w:r w:rsidRPr="002C4077">
        <w:t xml:space="preserve"> </w:t>
      </w:r>
      <w:r w:rsidR="00425C50">
        <w:t>est</w:t>
      </w:r>
      <w:r w:rsidRPr="002C4077">
        <w:t xml:space="preserve"> </w:t>
      </w:r>
      <w:r>
        <w:t>rien.</w:t>
      </w:r>
      <w:r w:rsidRPr="002C4077">
        <w:t xml:space="preserve"> </w:t>
      </w:r>
    </w:p>
    <w:p w:rsidR="000A7AAB" w:rsidRDefault="000A7AAB" w:rsidP="000A7AAB">
      <w:r>
        <w:t>L’attaque</w:t>
      </w:r>
      <w:r w:rsidRPr="002C4077">
        <w:t xml:space="preserve"> </w:t>
      </w:r>
      <w:r>
        <w:t>revêt</w:t>
      </w:r>
      <w:r w:rsidRPr="002C4077">
        <w:t xml:space="preserve"> </w:t>
      </w:r>
      <w:r>
        <w:t>ici</w:t>
      </w:r>
      <w:r w:rsidRPr="002C4077">
        <w:t xml:space="preserve"> </w:t>
      </w:r>
      <w:r>
        <w:t>différentes</w:t>
      </w:r>
      <w:r w:rsidRPr="002C4077">
        <w:t xml:space="preserve"> </w:t>
      </w:r>
      <w:r>
        <w:t>formes.</w:t>
      </w:r>
      <w:r w:rsidRPr="002C4077">
        <w:t xml:space="preserve"> </w:t>
      </w:r>
      <w:r>
        <w:t>On</w:t>
      </w:r>
      <w:r w:rsidRPr="002C4077">
        <w:t xml:space="preserve"> </w:t>
      </w:r>
      <w:r>
        <w:t>a</w:t>
      </w:r>
      <w:r w:rsidRPr="002C4077">
        <w:t xml:space="preserve"> </w:t>
      </w:r>
      <w:r>
        <w:t>prononcé</w:t>
      </w:r>
      <w:r w:rsidRPr="002C4077">
        <w:t xml:space="preserve"> </w:t>
      </w:r>
      <w:r>
        <w:t>tour</w:t>
      </w:r>
      <w:r w:rsidRPr="002C4077">
        <w:t xml:space="preserve"> </w:t>
      </w:r>
      <w:r>
        <w:t>à</w:t>
      </w:r>
      <w:r w:rsidRPr="002C4077">
        <w:t xml:space="preserve"> </w:t>
      </w:r>
      <w:r>
        <w:t>tour,</w:t>
      </w:r>
      <w:r w:rsidRPr="002C4077">
        <w:t xml:space="preserve"> </w:t>
      </w:r>
      <w:r>
        <w:t>soit</w:t>
      </w:r>
      <w:r w:rsidRPr="002C4077">
        <w:t xml:space="preserve"> </w:t>
      </w:r>
      <w:r>
        <w:t>pour</w:t>
      </w:r>
      <w:r w:rsidRPr="002C4077">
        <w:t xml:space="preserve"> </w:t>
      </w:r>
      <w:r>
        <w:t>l’apparition</w:t>
      </w:r>
      <w:r w:rsidRPr="002C4077">
        <w:t xml:space="preserve"> </w:t>
      </w:r>
      <w:r>
        <w:t>de</w:t>
      </w:r>
      <w:r w:rsidRPr="002C4077">
        <w:t xml:space="preserve"> </w:t>
      </w:r>
      <w:r>
        <w:t>l’ange,</w:t>
      </w:r>
      <w:r w:rsidRPr="002C4077">
        <w:t xml:space="preserve"> </w:t>
      </w:r>
      <w:r>
        <w:t>soit</w:t>
      </w:r>
      <w:r w:rsidRPr="002C4077">
        <w:t xml:space="preserve"> </w:t>
      </w:r>
      <w:r>
        <w:t>pour</w:t>
      </w:r>
      <w:r w:rsidRPr="002C4077">
        <w:t xml:space="preserve"> </w:t>
      </w:r>
      <w:r>
        <w:t>la</w:t>
      </w:r>
      <w:r w:rsidRPr="002C4077">
        <w:t xml:space="preserve"> </w:t>
      </w:r>
      <w:r>
        <w:t>sueur</w:t>
      </w:r>
      <w:r w:rsidRPr="002C4077">
        <w:t xml:space="preserve"> </w:t>
      </w:r>
      <w:r>
        <w:t>sanglante</w:t>
      </w:r>
      <w:r w:rsidRPr="002C4077">
        <w:t xml:space="preserve"> </w:t>
      </w:r>
      <w:r>
        <w:t>du</w:t>
      </w:r>
      <w:r w:rsidRPr="002C4077">
        <w:t xml:space="preserve"> </w:t>
      </w:r>
      <w:r>
        <w:t>Sauveur,</w:t>
      </w:r>
      <w:r w:rsidRPr="002C4077">
        <w:t xml:space="preserve"> </w:t>
      </w:r>
      <w:r>
        <w:t>les</w:t>
      </w:r>
      <w:r w:rsidRPr="002C4077">
        <w:t xml:space="preserve"> </w:t>
      </w:r>
      <w:r>
        <w:t>noms</w:t>
      </w:r>
      <w:r w:rsidRPr="002C4077">
        <w:t xml:space="preserve"> </w:t>
      </w:r>
      <w:r>
        <w:t>de</w:t>
      </w:r>
      <w:r w:rsidRPr="002C4077">
        <w:t xml:space="preserve"> </w:t>
      </w:r>
      <w:r>
        <w:t>mythe,</w:t>
      </w:r>
      <w:r w:rsidRPr="002C4077">
        <w:t xml:space="preserve"> </w:t>
      </w:r>
      <w:r>
        <w:t>de</w:t>
      </w:r>
      <w:r w:rsidRPr="002C4077">
        <w:t xml:space="preserve"> </w:t>
      </w:r>
      <w:r>
        <w:t>légende,</w:t>
      </w:r>
      <w:r w:rsidRPr="002C4077">
        <w:t xml:space="preserve"> </w:t>
      </w:r>
      <w:r>
        <w:t>d’embellissement</w:t>
      </w:r>
      <w:r w:rsidRPr="002C4077">
        <w:t xml:space="preserve"> </w:t>
      </w:r>
      <w:r w:rsidR="00425C50">
        <w:t>poéti</w:t>
      </w:r>
      <w:r>
        <w:t>que,</w:t>
      </w:r>
      <w:r w:rsidRPr="002C4077">
        <w:t xml:space="preserve"> </w:t>
      </w:r>
      <w:r>
        <w:t>d’exagération</w:t>
      </w:r>
      <w:r w:rsidRPr="002C4077">
        <w:t xml:space="preserve"> </w:t>
      </w:r>
      <w:r>
        <w:t>pure</w:t>
      </w:r>
      <w:r w:rsidRPr="002C4077">
        <w:t xml:space="preserve"> </w:t>
      </w:r>
      <w:r>
        <w:t>et</w:t>
      </w:r>
      <w:r w:rsidRPr="002C4077">
        <w:t xml:space="preserve"> </w:t>
      </w:r>
      <w:r>
        <w:t>simple.</w:t>
      </w:r>
      <w:r w:rsidRPr="002C4077">
        <w:t xml:space="preserve"> </w:t>
      </w:r>
    </w:p>
    <w:p w:rsidR="000A7AAB" w:rsidRDefault="00B546AF" w:rsidP="000A7AAB">
      <w:r>
        <w:t>« </w:t>
      </w:r>
      <w:r w:rsidR="000A7AAB">
        <w:t>En</w:t>
      </w:r>
      <w:r w:rsidR="000A7AAB" w:rsidRPr="002C4077">
        <w:t xml:space="preserve"> </w:t>
      </w:r>
      <w:r w:rsidR="000A7AAB">
        <w:t>raison</w:t>
      </w:r>
      <w:r w:rsidR="000A7AAB" w:rsidRPr="002C4077">
        <w:t xml:space="preserve"> </w:t>
      </w:r>
      <w:r w:rsidR="000A7AAB">
        <w:t>du</w:t>
      </w:r>
      <w:r w:rsidR="000A7AAB" w:rsidRPr="002C4077">
        <w:t xml:space="preserve"> </w:t>
      </w:r>
      <w:r w:rsidR="000A7AAB">
        <w:t>soupçon</w:t>
      </w:r>
      <w:r w:rsidR="000A7AAB" w:rsidRPr="002C4077">
        <w:t xml:space="preserve"> </w:t>
      </w:r>
      <w:r w:rsidR="000A7AAB">
        <w:t>qui,</w:t>
      </w:r>
      <w:r w:rsidR="000A7AAB" w:rsidRPr="002C4077">
        <w:t xml:space="preserve"> </w:t>
      </w:r>
      <w:r w:rsidR="000A7AAB">
        <w:t>de</w:t>
      </w:r>
      <w:r w:rsidR="000A7AAB" w:rsidRPr="002C4077">
        <w:t xml:space="preserve"> </w:t>
      </w:r>
      <w:r w:rsidR="000A7AAB">
        <w:t>tout</w:t>
      </w:r>
      <w:r w:rsidR="000A7AAB" w:rsidRPr="002C4077">
        <w:t xml:space="preserve"> </w:t>
      </w:r>
      <w:r w:rsidR="000A7AAB">
        <w:t>temps</w:t>
      </w:r>
      <w:r w:rsidR="000A7AAB" w:rsidRPr="004440EA">
        <w:t xml:space="preserve"> (</w:t>
      </w:r>
      <w:r>
        <w:t> ! ?</w:t>
      </w:r>
      <w:r w:rsidRPr="002C4077">
        <w:t>)</w:t>
      </w:r>
      <w:r w:rsidR="000A7AAB" w:rsidRPr="00950016">
        <w:t>,</w:t>
      </w:r>
      <w:r w:rsidR="000A7AAB" w:rsidRPr="002C4077">
        <w:t xml:space="preserve"> </w:t>
      </w:r>
      <w:r w:rsidR="000A7AAB">
        <w:t>s’est</w:t>
      </w:r>
      <w:r w:rsidR="000A7AAB" w:rsidRPr="002C4077">
        <w:t xml:space="preserve"> </w:t>
      </w:r>
      <w:r w:rsidR="000A7AAB">
        <w:t>attaché</w:t>
      </w:r>
      <w:r w:rsidR="000A7AAB" w:rsidRPr="002C4077">
        <w:t xml:space="preserve"> </w:t>
      </w:r>
      <w:r w:rsidR="000A7AAB">
        <w:t>aux</w:t>
      </w:r>
      <w:r w:rsidR="000A7AAB" w:rsidRPr="002C4077">
        <w:t xml:space="preserve"> </w:t>
      </w:r>
      <w:r w:rsidR="000A7AAB">
        <w:t>prétendues</w:t>
      </w:r>
      <w:r w:rsidR="000A7AAB" w:rsidRPr="002C4077">
        <w:t xml:space="preserve"> </w:t>
      </w:r>
      <w:r w:rsidR="000A7AAB">
        <w:t>angélophanies</w:t>
      </w:r>
      <w:r w:rsidR="00B91AF7">
        <w:rPr>
          <w:rStyle w:val="Appelnotedebasdep"/>
        </w:rPr>
        <w:footnoteReference w:id="329"/>
      </w:r>
      <w:r>
        <w:t> »</w:t>
      </w:r>
      <w:r w:rsidR="000A7AAB">
        <w:t>,</w:t>
      </w:r>
      <w:r w:rsidR="000A7AAB" w:rsidRPr="002C4077">
        <w:t xml:space="preserve"> </w:t>
      </w:r>
      <w:r w:rsidR="000A7AAB">
        <w:t>Eichhorn</w:t>
      </w:r>
      <w:r w:rsidR="000A7AAB" w:rsidRPr="002C4077">
        <w:t xml:space="preserve"> </w:t>
      </w:r>
      <w:r w:rsidR="00B91AF7">
        <w:rPr>
          <w:rStyle w:val="Appelnotedebasdep"/>
        </w:rPr>
        <w:footnoteReference w:id="330"/>
      </w:r>
      <w:r w:rsidR="000A7AAB" w:rsidRPr="002C4077">
        <w:t xml:space="preserve"> </w:t>
      </w:r>
      <w:r w:rsidR="000A7AAB">
        <w:t>ne</w:t>
      </w:r>
      <w:r w:rsidR="000A7AAB" w:rsidRPr="002C4077">
        <w:t xml:space="preserve"> </w:t>
      </w:r>
      <w:r w:rsidR="000A7AAB">
        <w:t>voit</w:t>
      </w:r>
      <w:r w:rsidR="000A7AAB" w:rsidRPr="002C4077">
        <w:t xml:space="preserve"> </w:t>
      </w:r>
      <w:r w:rsidR="000A7AAB">
        <w:t>dans</w:t>
      </w:r>
      <w:r w:rsidR="000A7AAB" w:rsidRPr="002C4077">
        <w:t xml:space="preserve"> </w:t>
      </w:r>
      <w:r w:rsidR="000A7AAB">
        <w:t>l’ange</w:t>
      </w:r>
      <w:r w:rsidR="000A7AAB" w:rsidRPr="002C4077">
        <w:t xml:space="preserve"> </w:t>
      </w:r>
      <w:r w:rsidR="000A7AAB">
        <w:t>qu’une</w:t>
      </w:r>
      <w:r w:rsidR="000A7AAB" w:rsidRPr="002C4077">
        <w:t xml:space="preserve"> </w:t>
      </w:r>
      <w:r w:rsidR="000A7AAB">
        <w:t>image</w:t>
      </w:r>
      <w:r w:rsidR="000A7AAB" w:rsidRPr="002C4077">
        <w:t xml:space="preserve"> </w:t>
      </w:r>
      <w:r w:rsidR="000A7AAB">
        <w:t>du</w:t>
      </w:r>
      <w:r w:rsidR="000A7AAB" w:rsidRPr="002C4077">
        <w:t xml:space="preserve"> </w:t>
      </w:r>
      <w:r w:rsidR="000A7AAB">
        <w:t>calme</w:t>
      </w:r>
      <w:r w:rsidR="000A7AAB" w:rsidRPr="002C4077">
        <w:t xml:space="preserve"> </w:t>
      </w:r>
      <w:r w:rsidR="000A7AAB">
        <w:t>recouvré</w:t>
      </w:r>
      <w:r w:rsidR="000A7AAB" w:rsidRPr="002C4077">
        <w:t xml:space="preserve"> </w:t>
      </w:r>
      <w:r w:rsidR="000A7AAB">
        <w:t>par</w:t>
      </w:r>
      <w:r w:rsidR="000A7AAB" w:rsidRPr="002C4077">
        <w:t xml:space="preserve"> </w:t>
      </w:r>
      <w:r w:rsidR="00425C50">
        <w:t>Jésus</w:t>
      </w:r>
      <w:r w:rsidR="000A7AAB" w:rsidRPr="002C4077">
        <w:t xml:space="preserve"> </w:t>
      </w:r>
      <w:r w:rsidR="000A7AAB">
        <w:t>après</w:t>
      </w:r>
      <w:r w:rsidR="000A7AAB" w:rsidRPr="002C4077">
        <w:t xml:space="preserve"> </w:t>
      </w:r>
      <w:r w:rsidR="000A7AAB">
        <w:t>son</w:t>
      </w:r>
      <w:r w:rsidR="000A7AAB" w:rsidRPr="002C4077">
        <w:t xml:space="preserve"> </w:t>
      </w:r>
      <w:r w:rsidR="000A7AAB">
        <w:t>laborieux</w:t>
      </w:r>
      <w:r w:rsidR="000A7AAB" w:rsidRPr="002C4077">
        <w:t xml:space="preserve"> </w:t>
      </w:r>
      <w:r w:rsidR="000A7AAB">
        <w:t>combat</w:t>
      </w:r>
      <w:r w:rsidR="000A7AAB" w:rsidRPr="002C4077">
        <w:t xml:space="preserve"> </w:t>
      </w:r>
      <w:r w:rsidR="000A7AAB">
        <w:t>de</w:t>
      </w:r>
      <w:r w:rsidR="000A7AAB" w:rsidRPr="002C4077">
        <w:t xml:space="preserve"> </w:t>
      </w:r>
      <w:r w:rsidR="000A7AAB">
        <w:t>Geths</w:t>
      </w:r>
      <w:r w:rsidR="001730C6">
        <w:t>ém</w:t>
      </w:r>
      <w:r w:rsidR="000A7AAB">
        <w:t>ani.</w:t>
      </w:r>
      <w:r w:rsidR="000A7AAB" w:rsidRPr="002C4077">
        <w:t xml:space="preserve"> </w:t>
      </w:r>
      <w:r w:rsidR="000A7AAB">
        <w:t>C’est</w:t>
      </w:r>
      <w:r w:rsidR="000A7AAB" w:rsidRPr="002C4077">
        <w:t xml:space="preserve"> </w:t>
      </w:r>
      <w:r w:rsidR="000A7AAB">
        <w:t>aussi</w:t>
      </w:r>
      <w:r w:rsidR="000A7AAB" w:rsidRPr="002C4077">
        <w:t xml:space="preserve"> </w:t>
      </w:r>
      <w:r w:rsidR="000A7AAB">
        <w:t>l’opinion</w:t>
      </w:r>
      <w:r w:rsidR="000A7AAB" w:rsidRPr="002C4077">
        <w:t xml:space="preserve"> </w:t>
      </w:r>
      <w:r w:rsidR="000A7AAB">
        <w:t>de</w:t>
      </w:r>
      <w:r w:rsidR="000A7AAB" w:rsidRPr="002C4077">
        <w:t xml:space="preserve"> </w:t>
      </w:r>
      <w:r w:rsidR="000A7AAB">
        <w:t>Gabier</w:t>
      </w:r>
      <w:r w:rsidR="000A7AAB" w:rsidRPr="002C4077">
        <w:t xml:space="preserve"> </w:t>
      </w:r>
      <w:r w:rsidR="000A7AAB">
        <w:t>et</w:t>
      </w:r>
      <w:r w:rsidR="000A7AAB" w:rsidRPr="002C4077">
        <w:t xml:space="preserve"> </w:t>
      </w:r>
      <w:r w:rsidR="000A7AAB">
        <w:t>de</w:t>
      </w:r>
      <w:r w:rsidR="000A7AAB" w:rsidRPr="002C4077">
        <w:t xml:space="preserve"> </w:t>
      </w:r>
      <w:r w:rsidR="000A7AAB">
        <w:t>Strauss</w:t>
      </w:r>
      <w:bookmarkStart w:id="316" w:name="z_Strauss_o6"/>
      <w:bookmarkEnd w:id="316"/>
      <w:r w:rsidR="000A7AAB">
        <w:t>.</w:t>
      </w:r>
      <w:r w:rsidR="000A7AAB" w:rsidRPr="002C4077">
        <w:t xml:space="preserve"> </w:t>
      </w:r>
      <w:r>
        <w:t>« </w:t>
      </w:r>
      <w:r w:rsidR="000A7AAB">
        <w:t>Tout</w:t>
      </w:r>
      <w:r w:rsidR="000A7AAB" w:rsidRPr="002C4077">
        <w:t xml:space="preserve"> </w:t>
      </w:r>
      <w:r w:rsidR="000A7AAB">
        <w:t>se</w:t>
      </w:r>
      <w:r w:rsidR="000A7AAB" w:rsidRPr="002C4077">
        <w:t xml:space="preserve"> </w:t>
      </w:r>
      <w:r w:rsidR="000A7AAB">
        <w:t>réunit,</w:t>
      </w:r>
      <w:r w:rsidR="000A7AAB" w:rsidRPr="002C4077">
        <w:t xml:space="preserve"> </w:t>
      </w:r>
      <w:r w:rsidR="000A7AAB">
        <w:t>écrit</w:t>
      </w:r>
      <w:r w:rsidR="000A7AAB" w:rsidRPr="002C4077">
        <w:t xml:space="preserve"> </w:t>
      </w:r>
      <w:r w:rsidR="000A7AAB">
        <w:t>ce</w:t>
      </w:r>
      <w:r w:rsidR="000A7AAB" w:rsidRPr="002C4077">
        <w:t xml:space="preserve"> </w:t>
      </w:r>
      <w:r w:rsidR="000A7AAB">
        <w:t>dernier</w:t>
      </w:r>
      <w:r w:rsidR="00B91AF7">
        <w:rPr>
          <w:rStyle w:val="Appelnotedebasdep"/>
        </w:rPr>
        <w:footnoteReference w:id="331"/>
      </w:r>
      <w:r w:rsidR="000A7AAB">
        <w:t>,</w:t>
      </w:r>
      <w:r w:rsidR="000A7AAB" w:rsidRPr="002C4077">
        <w:t xml:space="preserve"> </w:t>
      </w:r>
      <w:r w:rsidR="000A7AAB">
        <w:t>contre</w:t>
      </w:r>
      <w:r w:rsidR="000A7AAB" w:rsidRPr="002C4077">
        <w:t xml:space="preserve"> </w:t>
      </w:r>
      <w:r w:rsidR="000A7AAB">
        <w:t>le</w:t>
      </w:r>
      <w:r w:rsidR="000A7AAB" w:rsidRPr="002C4077">
        <w:t xml:space="preserve"> </w:t>
      </w:r>
      <w:r w:rsidR="000A7AAB">
        <w:t>caractère</w:t>
      </w:r>
      <w:r w:rsidR="000A7AAB" w:rsidRPr="002C4077">
        <w:t xml:space="preserve"> </w:t>
      </w:r>
      <w:r w:rsidR="000A7AAB">
        <w:t>historique</w:t>
      </w:r>
      <w:r w:rsidR="000A7AAB" w:rsidRPr="002C4077">
        <w:t xml:space="preserve"> </w:t>
      </w:r>
      <w:r w:rsidR="000A7AAB">
        <w:t>de</w:t>
      </w:r>
      <w:r w:rsidR="000A7AAB" w:rsidRPr="002C4077">
        <w:t xml:space="preserve"> </w:t>
      </w:r>
      <w:r w:rsidR="000A7AAB">
        <w:t>l’apparition</w:t>
      </w:r>
      <w:r w:rsidR="000A7AAB" w:rsidRPr="002C4077">
        <w:t xml:space="preserve"> </w:t>
      </w:r>
      <w:r w:rsidR="000A7AAB">
        <w:t>de</w:t>
      </w:r>
      <w:r w:rsidR="000A7AAB" w:rsidRPr="002C4077">
        <w:t xml:space="preserve"> </w:t>
      </w:r>
      <w:r w:rsidR="000A7AAB">
        <w:t>l’ange.</w:t>
      </w:r>
      <w:r w:rsidR="000A7AAB" w:rsidRPr="002C4077">
        <w:t xml:space="preserve"> </w:t>
      </w:r>
      <w:r w:rsidR="000A7AAB">
        <w:t>Pourquoi</w:t>
      </w:r>
      <w:r w:rsidR="000A7AAB" w:rsidRPr="002C4077">
        <w:t xml:space="preserve"> </w:t>
      </w:r>
      <w:r w:rsidR="000A7AAB">
        <w:t>n’y</w:t>
      </w:r>
      <w:r w:rsidR="000A7AAB" w:rsidRPr="002C4077">
        <w:t xml:space="preserve"> </w:t>
      </w:r>
      <w:r w:rsidR="000A7AAB">
        <w:t>verrions-nous</w:t>
      </w:r>
      <w:r w:rsidR="000A7AAB" w:rsidRPr="002C4077">
        <w:t xml:space="preserve"> </w:t>
      </w:r>
      <w:r w:rsidR="000A7AAB">
        <w:t>pas</w:t>
      </w:r>
      <w:r w:rsidR="000A7AAB" w:rsidRPr="002C4077">
        <w:t xml:space="preserve"> </w:t>
      </w:r>
      <w:r w:rsidR="000A7AAB">
        <w:t>un</w:t>
      </w:r>
      <w:r w:rsidR="000A7AAB" w:rsidRPr="002C4077">
        <w:t xml:space="preserve"> </w:t>
      </w:r>
      <w:r w:rsidR="000A7AAB">
        <w:t>mythe,</w:t>
      </w:r>
      <w:r w:rsidR="000A7AAB" w:rsidRPr="002C4077">
        <w:t xml:space="preserve"> </w:t>
      </w:r>
      <w:r w:rsidR="000A7AAB">
        <w:t>comme</w:t>
      </w:r>
      <w:r w:rsidR="000A7AAB" w:rsidRPr="002C4077">
        <w:t xml:space="preserve"> </w:t>
      </w:r>
      <w:r w:rsidR="000A7AAB">
        <w:t>dans</w:t>
      </w:r>
      <w:r w:rsidR="000A7AAB" w:rsidRPr="002C4077">
        <w:t xml:space="preserve"> </w:t>
      </w:r>
      <w:r w:rsidR="000A7AAB">
        <w:t>les</w:t>
      </w:r>
      <w:r w:rsidR="000A7AAB" w:rsidRPr="002C4077">
        <w:t xml:space="preserve"> </w:t>
      </w:r>
      <w:r w:rsidR="000A7AAB">
        <w:t>autres</w:t>
      </w:r>
      <w:r w:rsidR="000A7AAB" w:rsidRPr="002C4077">
        <w:t xml:space="preserve"> </w:t>
      </w:r>
      <w:r w:rsidR="000A7AAB">
        <w:t>apparitions</w:t>
      </w:r>
      <w:r w:rsidR="000A7AAB" w:rsidRPr="002C4077">
        <w:t xml:space="preserve"> </w:t>
      </w:r>
      <w:r w:rsidR="000A7AAB">
        <w:t>de</w:t>
      </w:r>
      <w:r w:rsidR="000A7AAB" w:rsidRPr="002C4077">
        <w:t xml:space="preserve"> </w:t>
      </w:r>
      <w:r w:rsidR="000A7AAB">
        <w:t>ce</w:t>
      </w:r>
      <w:r w:rsidR="000A7AAB" w:rsidRPr="002C4077">
        <w:t xml:space="preserve"> </w:t>
      </w:r>
      <w:r w:rsidR="000A7AAB">
        <w:t>genre</w:t>
      </w:r>
      <w:r w:rsidR="000A7AAB" w:rsidRPr="002C4077">
        <w:t xml:space="preserve"> </w:t>
      </w:r>
      <w:r w:rsidR="000A7AAB">
        <w:t>que</w:t>
      </w:r>
      <w:r w:rsidR="000A7AAB" w:rsidRPr="002C4077">
        <w:t xml:space="preserve"> </w:t>
      </w:r>
      <w:r w:rsidR="000A7AAB">
        <w:t>le</w:t>
      </w:r>
      <w:r w:rsidR="000A7AAB" w:rsidRPr="002C4077">
        <w:t xml:space="preserve"> </w:t>
      </w:r>
      <w:r w:rsidR="000A7AAB">
        <w:t>cours</w:t>
      </w:r>
      <w:r w:rsidR="000A7AAB" w:rsidRPr="002C4077">
        <w:t xml:space="preserve"> </w:t>
      </w:r>
      <w:r w:rsidR="000A7AAB">
        <w:t>de</w:t>
      </w:r>
      <w:r w:rsidR="000A7AAB" w:rsidRPr="002C4077">
        <w:t xml:space="preserve"> </w:t>
      </w:r>
      <w:r w:rsidR="000A7AAB">
        <w:t>l’histoire</w:t>
      </w:r>
      <w:r w:rsidR="000A7AAB" w:rsidRPr="002C4077">
        <w:t xml:space="preserve"> </w:t>
      </w:r>
      <w:r w:rsidR="000A7AAB">
        <w:t>de</w:t>
      </w:r>
      <w:r w:rsidR="000A7AAB" w:rsidRPr="002C4077">
        <w:t xml:space="preserve"> </w:t>
      </w:r>
      <w:r w:rsidR="00425C50">
        <w:t>Jésus</w:t>
      </w:r>
      <w:r w:rsidR="000A7AAB" w:rsidRPr="002C4077">
        <w:t xml:space="preserve"> </w:t>
      </w:r>
      <w:r w:rsidR="000A7AAB">
        <w:t>nous</w:t>
      </w:r>
      <w:r w:rsidR="000A7AAB" w:rsidRPr="002C4077">
        <w:t xml:space="preserve"> </w:t>
      </w:r>
      <w:r w:rsidR="000A7AAB">
        <w:t>a</w:t>
      </w:r>
      <w:r w:rsidR="000A7AAB" w:rsidRPr="002C4077">
        <w:t xml:space="preserve"> </w:t>
      </w:r>
      <w:r w:rsidR="000A7AAB">
        <w:t>présentées</w:t>
      </w:r>
      <w:r>
        <w:t> ? »</w:t>
      </w:r>
      <w:r w:rsidR="00C45B47">
        <w:t xml:space="preserve"> {</w:t>
      </w:r>
      <w:r w:rsidR="004C5B7A">
        <w:t>107</w:t>
      </w:r>
      <w:bookmarkStart w:id="317" w:name="p107"/>
      <w:bookmarkEnd w:id="317"/>
      <w:r w:rsidR="004C5B7A">
        <w:t xml:space="preserve">} </w:t>
      </w:r>
      <w:r w:rsidR="007B3C26">
        <w:t>Ve</w:t>
      </w:r>
      <w:r w:rsidR="000A7AAB">
        <w:t>nturini</w:t>
      </w:r>
      <w:r w:rsidR="00B91AF7">
        <w:rPr>
          <w:rStyle w:val="Appelnotedebasdep"/>
        </w:rPr>
        <w:footnoteReference w:id="332"/>
      </w:r>
      <w:r w:rsidR="000A7AAB" w:rsidRPr="002C4077">
        <w:t xml:space="preserve"> </w:t>
      </w:r>
      <w:r w:rsidR="000A7AAB">
        <w:t>fait</w:t>
      </w:r>
      <w:r w:rsidR="000A7AAB" w:rsidRPr="002C4077">
        <w:t xml:space="preserve"> </w:t>
      </w:r>
      <w:r w:rsidR="000A7AAB">
        <w:t>du</w:t>
      </w:r>
      <w:r w:rsidR="000A7AAB" w:rsidRPr="002C4077">
        <w:t xml:space="preserve"> </w:t>
      </w:r>
      <w:r w:rsidR="000A7AAB">
        <w:t>céleste</w:t>
      </w:r>
      <w:r w:rsidR="000A7AAB" w:rsidRPr="002C4077">
        <w:t xml:space="preserve"> </w:t>
      </w:r>
      <w:r w:rsidR="000A7AAB">
        <w:t>messager</w:t>
      </w:r>
      <w:r w:rsidR="000A7AAB" w:rsidRPr="002C4077">
        <w:t xml:space="preserve"> </w:t>
      </w:r>
      <w:r w:rsidR="000A7AAB">
        <w:t>un</w:t>
      </w:r>
      <w:r w:rsidR="000A7AAB" w:rsidRPr="002C4077">
        <w:t xml:space="preserve"> </w:t>
      </w:r>
      <w:r w:rsidR="000A7AAB">
        <w:t>mortel</w:t>
      </w:r>
      <w:r w:rsidR="000A7AAB" w:rsidRPr="002C4077">
        <w:t xml:space="preserve"> </w:t>
      </w:r>
      <w:r w:rsidR="000A7AAB">
        <w:t>vulgaire,</w:t>
      </w:r>
      <w:r w:rsidR="000A7AAB" w:rsidRPr="002C4077">
        <w:t xml:space="preserve"> </w:t>
      </w:r>
      <w:r w:rsidR="000A7AAB">
        <w:t>qui</w:t>
      </w:r>
      <w:r w:rsidR="000A7AAB" w:rsidRPr="002C4077">
        <w:t xml:space="preserve"> </w:t>
      </w:r>
      <w:r w:rsidR="000A7AAB">
        <w:t>serait</w:t>
      </w:r>
      <w:r w:rsidR="000A7AAB" w:rsidRPr="002C4077">
        <w:t xml:space="preserve"> </w:t>
      </w:r>
      <w:r w:rsidR="000A7AAB">
        <w:t>venu</w:t>
      </w:r>
      <w:r w:rsidR="000A7AAB" w:rsidRPr="002C4077">
        <w:t xml:space="preserve"> </w:t>
      </w:r>
      <w:r w:rsidR="000A7AAB">
        <w:t>consoler</w:t>
      </w:r>
      <w:r w:rsidR="000A7AAB" w:rsidRPr="002C4077">
        <w:t xml:space="preserve"> </w:t>
      </w:r>
      <w:r w:rsidR="000A7AAB">
        <w:t>Notre</w:t>
      </w:r>
      <w:r w:rsidR="000A7AAB" w:rsidRPr="002C4077">
        <w:t xml:space="preserve"> </w:t>
      </w:r>
      <w:r w:rsidR="000A7AAB">
        <w:t>Seigneur.</w:t>
      </w:r>
      <w:r w:rsidR="000A7AAB" w:rsidRPr="002C4077">
        <w:t xml:space="preserve"> </w:t>
      </w:r>
      <w:r w:rsidR="000A7AAB">
        <w:t>D’après</w:t>
      </w:r>
      <w:r w:rsidR="000A7AAB" w:rsidRPr="002C4077">
        <w:t xml:space="preserve"> </w:t>
      </w:r>
      <w:r w:rsidR="006E0521">
        <w:t>Schleiermacher</w:t>
      </w:r>
      <w:r w:rsidR="00357A85">
        <w:rPr>
          <w:rStyle w:val="Appelnotedebasdep"/>
        </w:rPr>
        <w:footnoteReference w:id="333"/>
      </w:r>
      <w:r w:rsidR="00357A85">
        <w:t>,</w:t>
      </w:r>
      <w:r w:rsidR="006E0521" w:rsidRPr="002C4077">
        <w:t xml:space="preserve"> </w:t>
      </w:r>
      <w:r w:rsidR="006E0521">
        <w:t>ce</w:t>
      </w:r>
      <w:r w:rsidR="000A7AAB" w:rsidRPr="002C4077">
        <w:t xml:space="preserve"> </w:t>
      </w:r>
      <w:r w:rsidR="000A7AAB">
        <w:t>qu’il</w:t>
      </w:r>
      <w:r w:rsidR="000A7AAB" w:rsidRPr="002C4077">
        <w:t xml:space="preserve"> </w:t>
      </w:r>
      <w:r w:rsidR="000A7AAB">
        <w:t>y</w:t>
      </w:r>
      <w:r w:rsidR="000A7AAB" w:rsidRPr="002C4077">
        <w:t xml:space="preserve"> </w:t>
      </w:r>
      <w:r w:rsidR="000A7AAB">
        <w:t>a</w:t>
      </w:r>
      <w:r w:rsidR="000A7AAB" w:rsidRPr="002C4077">
        <w:t xml:space="preserve"> </w:t>
      </w:r>
      <w:r w:rsidR="000A7AAB">
        <w:t>de</w:t>
      </w:r>
      <w:r w:rsidR="000A7AAB" w:rsidRPr="002C4077">
        <w:t xml:space="preserve"> </w:t>
      </w:r>
      <w:r w:rsidR="000A7AAB">
        <w:t>plus</w:t>
      </w:r>
      <w:r w:rsidR="000A7AAB" w:rsidRPr="002C4077">
        <w:t xml:space="preserve"> </w:t>
      </w:r>
      <w:r w:rsidR="000A7AAB">
        <w:t>vraisemblable,</w:t>
      </w:r>
      <w:r w:rsidR="000A7AAB" w:rsidRPr="002C4077">
        <w:t xml:space="preserve"> </w:t>
      </w:r>
      <w:r w:rsidR="000A7AAB">
        <w:t>c’est</w:t>
      </w:r>
      <w:r w:rsidR="000A7AAB" w:rsidRPr="002C4077">
        <w:t xml:space="preserve"> </w:t>
      </w:r>
      <w:r w:rsidR="000A7AAB">
        <w:t>que</w:t>
      </w:r>
      <w:r w:rsidR="000A7AAB" w:rsidRPr="002C4077">
        <w:t xml:space="preserve"> </w:t>
      </w:r>
      <w:r w:rsidR="000A7AAB">
        <w:t>de</w:t>
      </w:r>
      <w:r w:rsidR="000A7AAB" w:rsidRPr="002C4077">
        <w:t xml:space="preserve"> </w:t>
      </w:r>
      <w:r w:rsidR="000A7AAB">
        <w:t>bonne</w:t>
      </w:r>
      <w:r w:rsidR="000A7AAB" w:rsidRPr="002C4077">
        <w:t xml:space="preserve"> </w:t>
      </w:r>
      <w:r w:rsidR="000A7AAB">
        <w:t>heure,</w:t>
      </w:r>
      <w:r w:rsidR="000A7AAB" w:rsidRPr="002C4077">
        <w:t xml:space="preserve"> </w:t>
      </w:r>
      <w:r w:rsidR="000A7AAB">
        <w:t>pour</w:t>
      </w:r>
      <w:r w:rsidR="000A7AAB" w:rsidRPr="002C4077">
        <w:t xml:space="preserve"> </w:t>
      </w:r>
      <w:r w:rsidR="000A7AAB">
        <w:t>célébrer</w:t>
      </w:r>
      <w:r w:rsidR="000A7AAB" w:rsidRPr="002C4077">
        <w:t xml:space="preserve"> </w:t>
      </w:r>
      <w:r w:rsidR="000A7AAB">
        <w:t>ces</w:t>
      </w:r>
      <w:r w:rsidR="000A7AAB" w:rsidRPr="002C4077">
        <w:t xml:space="preserve"> </w:t>
      </w:r>
      <w:r w:rsidR="000A7AAB">
        <w:t>instants</w:t>
      </w:r>
      <w:r w:rsidR="000A7AAB" w:rsidRPr="002C4077">
        <w:t xml:space="preserve"> </w:t>
      </w:r>
      <w:r w:rsidR="000A7AAB">
        <w:t>difficiles</w:t>
      </w:r>
      <w:r w:rsidR="000A7AAB" w:rsidRPr="002C4077">
        <w:t xml:space="preserve"> </w:t>
      </w:r>
      <w:r w:rsidR="000A7AAB">
        <w:t>de</w:t>
      </w:r>
      <w:r w:rsidR="000A7AAB" w:rsidRPr="002C4077">
        <w:t xml:space="preserve"> </w:t>
      </w:r>
      <w:r w:rsidR="000A7AAB">
        <w:t>la</w:t>
      </w:r>
      <w:r w:rsidR="000A7AAB" w:rsidRPr="002C4077">
        <w:t xml:space="preserve"> </w:t>
      </w:r>
      <w:r w:rsidR="000A7AAB">
        <w:t>vie</w:t>
      </w:r>
      <w:r w:rsidR="000A7AAB" w:rsidRPr="002C4077">
        <w:t xml:space="preserve"> </w:t>
      </w:r>
      <w:r w:rsidR="000A7AAB">
        <w:t>de</w:t>
      </w:r>
      <w:r w:rsidR="000A7AAB" w:rsidRPr="002C4077">
        <w:t xml:space="preserve"> </w:t>
      </w:r>
      <w:r w:rsidR="00425C50">
        <w:t>Jésus</w:t>
      </w:r>
      <w:r w:rsidR="000A7AAB">
        <w:t>,</w:t>
      </w:r>
      <w:r w:rsidR="000A7AAB" w:rsidRPr="002C4077">
        <w:t xml:space="preserve"> </w:t>
      </w:r>
      <w:r w:rsidR="000A7AAB">
        <w:t>on</w:t>
      </w:r>
      <w:r w:rsidR="000A7AAB" w:rsidRPr="002C4077">
        <w:t xml:space="preserve"> </w:t>
      </w:r>
      <w:r w:rsidR="000A7AAB">
        <w:t>composa</w:t>
      </w:r>
      <w:r w:rsidR="000A7AAB" w:rsidRPr="002C4077">
        <w:t xml:space="preserve"> </w:t>
      </w:r>
      <w:r w:rsidR="000A7AAB">
        <w:t>des</w:t>
      </w:r>
      <w:r w:rsidR="000A7AAB" w:rsidRPr="002C4077">
        <w:t xml:space="preserve"> </w:t>
      </w:r>
      <w:r w:rsidR="000A7AAB">
        <w:t>hymnes</w:t>
      </w:r>
      <w:r w:rsidR="000A7AAB" w:rsidRPr="002C4077">
        <w:t xml:space="preserve"> </w:t>
      </w:r>
      <w:r w:rsidR="000A7AAB">
        <w:t>où</w:t>
      </w:r>
      <w:r w:rsidR="000A7AAB" w:rsidRPr="002C4077">
        <w:t xml:space="preserve"> </w:t>
      </w:r>
      <w:r w:rsidR="000A7AAB">
        <w:t>figuraient</w:t>
      </w:r>
      <w:r w:rsidR="000A7AAB" w:rsidRPr="002C4077">
        <w:t xml:space="preserve"> </w:t>
      </w:r>
      <w:r w:rsidR="000A7AAB">
        <w:t>des</w:t>
      </w:r>
      <w:r w:rsidR="000A7AAB" w:rsidRPr="002C4077">
        <w:t xml:space="preserve"> </w:t>
      </w:r>
      <w:r w:rsidR="000A7AAB">
        <w:t>apparitions</w:t>
      </w:r>
      <w:r w:rsidR="000A7AAB" w:rsidRPr="002C4077">
        <w:t xml:space="preserve"> </w:t>
      </w:r>
      <w:r w:rsidR="000A7AAB">
        <w:t>angéliques,</w:t>
      </w:r>
      <w:r w:rsidR="000A7AAB" w:rsidRPr="002C4077">
        <w:t xml:space="preserve"> </w:t>
      </w:r>
      <w:r w:rsidR="000A7AAB">
        <w:t>et</w:t>
      </w:r>
      <w:r w:rsidR="000A7AAB" w:rsidRPr="002C4077">
        <w:t xml:space="preserve"> </w:t>
      </w:r>
      <w:r w:rsidR="000A7AAB">
        <w:t>que</w:t>
      </w:r>
      <w:r w:rsidR="000A7AAB" w:rsidRPr="002C4077">
        <w:t xml:space="preserve"> </w:t>
      </w:r>
      <w:r w:rsidR="000A7AAB">
        <w:t>le</w:t>
      </w:r>
      <w:r w:rsidR="000A7AAB" w:rsidRPr="002C4077">
        <w:t xml:space="preserve"> </w:t>
      </w:r>
      <w:r w:rsidR="000A7AAB">
        <w:t>rédacteur</w:t>
      </w:r>
      <w:r w:rsidR="000A7AAB" w:rsidRPr="002C4077">
        <w:t xml:space="preserve"> </w:t>
      </w:r>
      <w:r w:rsidR="000A7AAB">
        <w:t>du</w:t>
      </w:r>
      <w:r w:rsidR="000A7AAB" w:rsidRPr="002C4077">
        <w:t xml:space="preserve"> </w:t>
      </w:r>
      <w:r w:rsidR="000A7AAB">
        <w:t>troisième</w:t>
      </w:r>
      <w:r w:rsidR="000A7AAB" w:rsidRPr="002C4077">
        <w:t xml:space="preserve"> </w:t>
      </w:r>
      <w:r w:rsidR="000A7AAB">
        <w:t>Évangile</w:t>
      </w:r>
      <w:r w:rsidR="000A7AAB" w:rsidRPr="002C4077">
        <w:t xml:space="preserve"> </w:t>
      </w:r>
      <w:r w:rsidR="000A7AAB">
        <w:t>prit</w:t>
      </w:r>
      <w:r w:rsidR="000A7AAB" w:rsidRPr="002C4077">
        <w:t xml:space="preserve"> </w:t>
      </w:r>
      <w:r w:rsidR="000A7AAB">
        <w:t>dans</w:t>
      </w:r>
      <w:r w:rsidR="000A7AAB" w:rsidRPr="002C4077">
        <w:t xml:space="preserve"> </w:t>
      </w:r>
      <w:r w:rsidR="000A7AAB">
        <w:t>le</w:t>
      </w:r>
      <w:r w:rsidR="000A7AAB" w:rsidRPr="002C4077">
        <w:t xml:space="preserve"> </w:t>
      </w:r>
      <w:r w:rsidR="000A7AAB">
        <w:t>sens</w:t>
      </w:r>
      <w:r w:rsidR="000A7AAB" w:rsidRPr="002C4077">
        <w:t xml:space="preserve"> </w:t>
      </w:r>
      <w:r w:rsidR="000A7AAB">
        <w:t>strictement</w:t>
      </w:r>
      <w:r w:rsidR="000A7AAB" w:rsidRPr="002C4077">
        <w:t xml:space="preserve"> </w:t>
      </w:r>
      <w:r w:rsidR="000A7AAB">
        <w:t>littéral</w:t>
      </w:r>
      <w:r w:rsidR="000A7AAB" w:rsidRPr="002C4077">
        <w:t xml:space="preserve"> </w:t>
      </w:r>
      <w:r w:rsidR="000A7AAB">
        <w:t>ce</w:t>
      </w:r>
      <w:r w:rsidR="000A7AAB" w:rsidRPr="002C4077">
        <w:t xml:space="preserve"> </w:t>
      </w:r>
      <w:r w:rsidR="000A7AAB">
        <w:t>qui</w:t>
      </w:r>
      <w:r w:rsidR="000A7AAB" w:rsidRPr="002C4077">
        <w:t xml:space="preserve"> </w:t>
      </w:r>
      <w:r w:rsidR="000A7AAB">
        <w:t>n’avait</w:t>
      </w:r>
      <w:r w:rsidR="000A7AAB" w:rsidRPr="002C4077">
        <w:t xml:space="preserve"> </w:t>
      </w:r>
      <w:r w:rsidR="000A7AAB">
        <w:t>primitivement</w:t>
      </w:r>
      <w:r w:rsidR="000A7AAB" w:rsidRPr="002C4077">
        <w:t xml:space="preserve"> </w:t>
      </w:r>
      <w:r w:rsidR="000A7AAB">
        <w:t>qu’une</w:t>
      </w:r>
      <w:r w:rsidR="000A7AAB" w:rsidRPr="002C4077">
        <w:t xml:space="preserve"> </w:t>
      </w:r>
      <w:r w:rsidR="000A7AAB">
        <w:t>intention</w:t>
      </w:r>
      <w:r w:rsidR="000A7AAB" w:rsidRPr="002C4077">
        <w:t xml:space="preserve"> </w:t>
      </w:r>
      <w:r w:rsidR="00425C50">
        <w:t>poéti</w:t>
      </w:r>
      <w:r w:rsidR="000A7AAB">
        <w:t>que.</w:t>
      </w:r>
      <w:r w:rsidR="000A7AAB" w:rsidRPr="002C4077">
        <w:t xml:space="preserve"> </w:t>
      </w:r>
    </w:p>
    <w:p w:rsidR="000A7AAB" w:rsidRDefault="000A7AAB" w:rsidP="000A7AAB">
      <w:r>
        <w:t>Quant</w:t>
      </w:r>
      <w:r w:rsidRPr="002C4077">
        <w:t xml:space="preserve"> </w:t>
      </w:r>
      <w:r>
        <w:t>à</w:t>
      </w:r>
      <w:r w:rsidRPr="002C4077">
        <w:t xml:space="preserve"> </w:t>
      </w:r>
      <w:r>
        <w:t>la</w:t>
      </w:r>
      <w:r w:rsidRPr="002C4077">
        <w:t xml:space="preserve"> </w:t>
      </w:r>
      <w:r>
        <w:t>sueur</w:t>
      </w:r>
      <w:r w:rsidRPr="002C4077">
        <w:t xml:space="preserve"> </w:t>
      </w:r>
      <w:r>
        <w:t>de</w:t>
      </w:r>
      <w:r w:rsidRPr="002C4077">
        <w:t xml:space="preserve"> </w:t>
      </w:r>
      <w:r>
        <w:t>sang,</w:t>
      </w:r>
      <w:r w:rsidRPr="002C4077">
        <w:t xml:space="preserve"> </w:t>
      </w:r>
      <w:r w:rsidR="00B546AF">
        <w:t>« </w:t>
      </w:r>
      <w:r>
        <w:t>prenons</w:t>
      </w:r>
      <w:r w:rsidRPr="002C4077">
        <w:t xml:space="preserve"> </w:t>
      </w:r>
      <w:r>
        <w:t>ce</w:t>
      </w:r>
      <w:r w:rsidRPr="002C4077">
        <w:t xml:space="preserve"> </w:t>
      </w:r>
      <w:r>
        <w:t>trait…</w:t>
      </w:r>
      <w:r w:rsidRPr="002C4077">
        <w:t xml:space="preserve"> </w:t>
      </w:r>
      <w:r>
        <w:t>comme</w:t>
      </w:r>
      <w:r w:rsidRPr="002C4077">
        <w:t xml:space="preserve"> </w:t>
      </w:r>
      <w:r>
        <w:t>un</w:t>
      </w:r>
      <w:r w:rsidRPr="002C4077">
        <w:t xml:space="preserve"> </w:t>
      </w:r>
      <w:r>
        <w:t>trait</w:t>
      </w:r>
      <w:r w:rsidRPr="002C4077">
        <w:t xml:space="preserve"> </w:t>
      </w:r>
      <w:r>
        <w:t>mythique</w:t>
      </w:r>
      <w:r w:rsidRPr="002C4077">
        <w:t xml:space="preserve"> </w:t>
      </w:r>
      <w:r>
        <w:t>dont</w:t>
      </w:r>
      <w:r w:rsidRPr="002C4077">
        <w:t xml:space="preserve"> </w:t>
      </w:r>
      <w:r>
        <w:t>l’origine</w:t>
      </w:r>
      <w:r w:rsidRPr="002C4077">
        <w:t xml:space="preserve"> </w:t>
      </w:r>
      <w:r w:rsidR="00425C50">
        <w:t>est</w:t>
      </w:r>
      <w:r w:rsidRPr="002C4077">
        <w:t xml:space="preserve"> </w:t>
      </w:r>
      <w:r>
        <w:t>facile</w:t>
      </w:r>
      <w:r w:rsidRPr="002C4077">
        <w:t xml:space="preserve"> </w:t>
      </w:r>
      <w:r>
        <w:t>à</w:t>
      </w:r>
      <w:r w:rsidRPr="002C4077">
        <w:t xml:space="preserve"> </w:t>
      </w:r>
      <w:r>
        <w:t>expliquer.</w:t>
      </w:r>
      <w:r w:rsidRPr="002C4077">
        <w:t xml:space="preserve"> </w:t>
      </w:r>
      <w:r>
        <w:t>En</w:t>
      </w:r>
      <w:r w:rsidRPr="002C4077">
        <w:t xml:space="preserve"> </w:t>
      </w:r>
      <w:r>
        <w:t>effet,</w:t>
      </w:r>
      <w:r w:rsidRPr="002C4077">
        <w:t xml:space="preserve"> </w:t>
      </w:r>
      <w:r>
        <w:t>l’angoisse</w:t>
      </w:r>
      <w:r w:rsidRPr="002C4077">
        <w:t xml:space="preserve"> </w:t>
      </w:r>
      <w:r>
        <w:t>dans</w:t>
      </w:r>
      <w:r w:rsidRPr="002C4077">
        <w:t xml:space="preserve"> </w:t>
      </w:r>
      <w:r>
        <w:t>le</w:t>
      </w:r>
      <w:r w:rsidRPr="002C4077">
        <w:t xml:space="preserve"> </w:t>
      </w:r>
      <w:r>
        <w:t>jardin</w:t>
      </w:r>
      <w:r w:rsidRPr="002C4077">
        <w:t xml:space="preserve"> </w:t>
      </w:r>
      <w:r>
        <w:t>étant</w:t>
      </w:r>
      <w:r w:rsidRPr="002C4077">
        <w:t xml:space="preserve"> </w:t>
      </w:r>
      <w:r>
        <w:t>le</w:t>
      </w:r>
      <w:r w:rsidRPr="002C4077">
        <w:t xml:space="preserve"> </w:t>
      </w:r>
      <w:r>
        <w:t>prélude</w:t>
      </w:r>
      <w:r w:rsidRPr="002C4077">
        <w:t xml:space="preserve"> </w:t>
      </w:r>
      <w:r>
        <w:t>de</w:t>
      </w:r>
      <w:r w:rsidRPr="002C4077">
        <w:t xml:space="preserve"> </w:t>
      </w:r>
      <w:r>
        <w:t>la</w:t>
      </w:r>
      <w:r w:rsidRPr="002C4077">
        <w:t xml:space="preserve"> </w:t>
      </w:r>
      <w:r>
        <w:t>souffrance</w:t>
      </w:r>
      <w:r w:rsidRPr="002C4077">
        <w:t xml:space="preserve"> </w:t>
      </w:r>
      <w:r>
        <w:t>de</w:t>
      </w:r>
      <w:r w:rsidRPr="002C4077">
        <w:t xml:space="preserve"> </w:t>
      </w:r>
      <w:r w:rsidR="00425C50">
        <w:t>Jésus</w:t>
      </w:r>
      <w:r w:rsidRPr="002C4077">
        <w:t xml:space="preserve"> </w:t>
      </w:r>
      <w:r>
        <w:t>sur</w:t>
      </w:r>
      <w:r w:rsidRPr="002C4077">
        <w:t xml:space="preserve"> </w:t>
      </w:r>
      <w:r>
        <w:t>la</w:t>
      </w:r>
      <w:r w:rsidRPr="002C4077">
        <w:t xml:space="preserve"> </w:t>
      </w:r>
      <w:r>
        <w:t>croix,</w:t>
      </w:r>
      <w:r w:rsidRPr="002C4077">
        <w:t xml:space="preserve"> </w:t>
      </w:r>
      <w:r>
        <w:t>on</w:t>
      </w:r>
      <w:r w:rsidRPr="002C4077">
        <w:t xml:space="preserve"> </w:t>
      </w:r>
      <w:r>
        <w:t>se</w:t>
      </w:r>
      <w:r w:rsidRPr="002C4077">
        <w:t xml:space="preserve"> </w:t>
      </w:r>
      <w:r>
        <w:t>sentit</w:t>
      </w:r>
      <w:r w:rsidRPr="002C4077">
        <w:t xml:space="preserve"> </w:t>
      </w:r>
      <w:r>
        <w:t>invité</w:t>
      </w:r>
      <w:r w:rsidRPr="002C4077">
        <w:t xml:space="preserve"> </w:t>
      </w:r>
      <w:r>
        <w:t>à</w:t>
      </w:r>
      <w:r w:rsidRPr="002C4077">
        <w:t xml:space="preserve"> </w:t>
      </w:r>
      <w:r>
        <w:t>en</w:t>
      </w:r>
      <w:r w:rsidRPr="002C4077">
        <w:t xml:space="preserve"> </w:t>
      </w:r>
      <w:r>
        <w:t>compléter</w:t>
      </w:r>
      <w:r w:rsidRPr="002C4077">
        <w:t xml:space="preserve"> </w:t>
      </w:r>
      <w:r>
        <w:t>le</w:t>
      </w:r>
      <w:r w:rsidRPr="002C4077">
        <w:t xml:space="preserve"> </w:t>
      </w:r>
      <w:r>
        <w:t>tableau,</w:t>
      </w:r>
      <w:r w:rsidRPr="002C4077">
        <w:t xml:space="preserve"> </w:t>
      </w:r>
      <w:r>
        <w:t>en</w:t>
      </w:r>
      <w:r w:rsidRPr="002C4077">
        <w:t xml:space="preserve"> </w:t>
      </w:r>
      <w:r>
        <w:t>représentant</w:t>
      </w:r>
      <w:r w:rsidRPr="002C4077">
        <w:t xml:space="preserve"> </w:t>
      </w:r>
      <w:r>
        <w:t>non-seulement</w:t>
      </w:r>
      <w:r w:rsidRPr="002C4077">
        <w:t xml:space="preserve"> </w:t>
      </w:r>
      <w:r>
        <w:t>la</w:t>
      </w:r>
      <w:r w:rsidRPr="002C4077">
        <w:t xml:space="preserve"> </w:t>
      </w:r>
      <w:r>
        <w:t>phase</w:t>
      </w:r>
      <w:r w:rsidRPr="002C4077">
        <w:t xml:space="preserve"> </w:t>
      </w:r>
      <w:r>
        <w:t>psychologique</w:t>
      </w:r>
      <w:r w:rsidRPr="002C4077">
        <w:t xml:space="preserve"> </w:t>
      </w:r>
      <w:r>
        <w:t>de</w:t>
      </w:r>
      <w:r w:rsidRPr="002C4077">
        <w:t xml:space="preserve"> </w:t>
      </w:r>
      <w:r>
        <w:t>cette</w:t>
      </w:r>
      <w:r w:rsidRPr="002C4077">
        <w:t xml:space="preserve"> </w:t>
      </w:r>
      <w:r>
        <w:t>passion</w:t>
      </w:r>
      <w:r w:rsidRPr="002C4077">
        <w:t xml:space="preserve"> </w:t>
      </w:r>
      <w:r>
        <w:t>dans</w:t>
      </w:r>
      <w:r w:rsidRPr="002C4077">
        <w:t xml:space="preserve"> </w:t>
      </w:r>
      <w:r>
        <w:t>l’affliction,</w:t>
      </w:r>
      <w:r w:rsidRPr="002C4077">
        <w:t xml:space="preserve"> </w:t>
      </w:r>
      <w:r>
        <w:t>mais</w:t>
      </w:r>
      <w:r w:rsidRPr="002C4077">
        <w:t xml:space="preserve"> </w:t>
      </w:r>
      <w:r>
        <w:t>encore</w:t>
      </w:r>
      <w:r w:rsidRPr="002C4077">
        <w:t xml:space="preserve"> </w:t>
      </w:r>
      <w:r>
        <w:t>la</w:t>
      </w:r>
      <w:r w:rsidRPr="002C4077">
        <w:t xml:space="preserve"> </w:t>
      </w:r>
      <w:r>
        <w:t>phase</w:t>
      </w:r>
      <w:r w:rsidRPr="002C4077">
        <w:t xml:space="preserve"> </w:t>
      </w:r>
      <w:r>
        <w:t>physiologique</w:t>
      </w:r>
      <w:r w:rsidRPr="002C4077">
        <w:t xml:space="preserve"> </w:t>
      </w:r>
      <w:r>
        <w:t>dans</w:t>
      </w:r>
      <w:r w:rsidRPr="002C4077">
        <w:t xml:space="preserve"> </w:t>
      </w:r>
      <w:r>
        <w:t>la</w:t>
      </w:r>
      <w:r w:rsidRPr="002C4077">
        <w:t xml:space="preserve"> </w:t>
      </w:r>
      <w:r>
        <w:t>sueur</w:t>
      </w:r>
      <w:r w:rsidRPr="002C4077">
        <w:t xml:space="preserve"> </w:t>
      </w:r>
      <w:r>
        <w:t>de</w:t>
      </w:r>
      <w:r w:rsidRPr="002C4077">
        <w:t xml:space="preserve"> </w:t>
      </w:r>
      <w:r>
        <w:t>sang</w:t>
      </w:r>
      <w:r w:rsidR="00B91AF7">
        <w:rPr>
          <w:rStyle w:val="Appelnotedebasdep"/>
        </w:rPr>
        <w:footnoteReference w:id="334"/>
      </w:r>
      <w:r w:rsidR="00B546AF">
        <w:t> »</w:t>
      </w:r>
      <w:r>
        <w:t>.</w:t>
      </w:r>
      <w:r w:rsidRPr="002C4077">
        <w:t xml:space="preserve"> </w:t>
      </w:r>
    </w:p>
    <w:p w:rsidR="000A7AAB" w:rsidRDefault="000A7AAB" w:rsidP="000A7AAB">
      <w:r>
        <w:t>Vraiment,</w:t>
      </w:r>
      <w:r w:rsidRPr="002C4077">
        <w:t xml:space="preserve"> </w:t>
      </w:r>
      <w:r>
        <w:t>dans</w:t>
      </w:r>
      <w:r w:rsidRPr="002C4077">
        <w:t xml:space="preserve"> </w:t>
      </w:r>
      <w:r>
        <w:t>ce</w:t>
      </w:r>
      <w:r w:rsidRPr="002C4077">
        <w:t xml:space="preserve"> </w:t>
      </w:r>
      <w:r>
        <w:t>récit,</w:t>
      </w:r>
      <w:r w:rsidRPr="002C4077">
        <w:t xml:space="preserve"> </w:t>
      </w:r>
      <w:r w:rsidR="00B546AF">
        <w:t>« </w:t>
      </w:r>
      <w:r>
        <w:t>tout</w:t>
      </w:r>
      <w:r w:rsidRPr="002C4077">
        <w:t xml:space="preserve"> </w:t>
      </w:r>
      <w:r w:rsidR="00425C50">
        <w:t>est</w:t>
      </w:r>
      <w:r w:rsidRPr="002C4077">
        <w:t xml:space="preserve"> </w:t>
      </w:r>
      <w:r>
        <w:t>exagéré,</w:t>
      </w:r>
      <w:r w:rsidRPr="002C4077">
        <w:t xml:space="preserve"> </w:t>
      </w:r>
      <w:r>
        <w:t>légendaire</w:t>
      </w:r>
      <w:r w:rsidR="00B546AF">
        <w:t> :</w:t>
      </w:r>
      <w:r w:rsidRPr="002C4077">
        <w:t xml:space="preserve"> </w:t>
      </w:r>
      <w:r>
        <w:t>Luc</w:t>
      </w:r>
      <w:r w:rsidRPr="002C4077">
        <w:t xml:space="preserve"> </w:t>
      </w:r>
      <w:r>
        <w:t>ajoute</w:t>
      </w:r>
      <w:r w:rsidRPr="002C4077">
        <w:t xml:space="preserve"> </w:t>
      </w:r>
      <w:r>
        <w:t>l’ange,</w:t>
      </w:r>
      <w:r w:rsidRPr="002C4077">
        <w:t xml:space="preserve"> </w:t>
      </w:r>
      <w:r>
        <w:t>la</w:t>
      </w:r>
      <w:r w:rsidRPr="002C4077">
        <w:t xml:space="preserve"> </w:t>
      </w:r>
      <w:r>
        <w:t>sueur</w:t>
      </w:r>
      <w:r w:rsidRPr="002C4077">
        <w:t xml:space="preserve"> </w:t>
      </w:r>
      <w:r>
        <w:t>de</w:t>
      </w:r>
      <w:r w:rsidRPr="002C4077">
        <w:t xml:space="preserve"> </w:t>
      </w:r>
      <w:r w:rsidR="00357A85">
        <w:t>sang</w:t>
      </w:r>
      <w:r w:rsidR="00357A85">
        <w:rPr>
          <w:rStyle w:val="Appelnotedebasdep"/>
        </w:rPr>
        <w:footnoteReference w:id="335"/>
      </w:r>
      <w:r w:rsidR="00B546AF">
        <w:t> » ;</w:t>
      </w:r>
      <w:r w:rsidRPr="002C4077">
        <w:t xml:space="preserve"> </w:t>
      </w:r>
      <w:r>
        <w:t>à</w:t>
      </w:r>
      <w:r w:rsidRPr="002C4077">
        <w:t xml:space="preserve"> </w:t>
      </w:r>
      <w:r>
        <w:t>moins</w:t>
      </w:r>
      <w:r w:rsidRPr="002C4077">
        <w:t xml:space="preserve"> </w:t>
      </w:r>
      <w:r>
        <w:t>que</w:t>
      </w:r>
      <w:r w:rsidRPr="002C4077">
        <w:t xml:space="preserve"> </w:t>
      </w:r>
      <w:r>
        <w:t>ces</w:t>
      </w:r>
      <w:r w:rsidRPr="002C4077">
        <w:t xml:space="preserve"> </w:t>
      </w:r>
      <w:r>
        <w:t>additions</w:t>
      </w:r>
      <w:r w:rsidRPr="002C4077">
        <w:t xml:space="preserve"> </w:t>
      </w:r>
      <w:r>
        <w:t>audacieuses</w:t>
      </w:r>
      <w:r w:rsidRPr="002C4077">
        <w:t xml:space="preserve"> </w:t>
      </w:r>
      <w:r>
        <w:t>ne</w:t>
      </w:r>
      <w:r w:rsidRPr="002C4077">
        <w:t xml:space="preserve"> </w:t>
      </w:r>
      <w:r>
        <w:t>proviennent</w:t>
      </w:r>
      <w:r w:rsidRPr="002C4077">
        <w:t xml:space="preserve"> </w:t>
      </w:r>
      <w:r>
        <w:t>de</w:t>
      </w:r>
      <w:r w:rsidRPr="002C4077">
        <w:t xml:space="preserve"> </w:t>
      </w:r>
      <w:r>
        <w:t>la</w:t>
      </w:r>
      <w:r w:rsidRPr="002C4077">
        <w:t xml:space="preserve"> </w:t>
      </w:r>
      <w:r>
        <w:t>tradition,</w:t>
      </w:r>
      <w:r w:rsidRPr="002C4077">
        <w:t xml:space="preserve"> </w:t>
      </w:r>
      <w:r>
        <w:t>ce</w:t>
      </w:r>
      <w:r w:rsidRPr="002C4077">
        <w:t xml:space="preserve"> </w:t>
      </w:r>
      <w:r>
        <w:t>qui</w:t>
      </w:r>
      <w:r w:rsidRPr="002C4077">
        <w:t xml:space="preserve"> </w:t>
      </w:r>
      <w:r>
        <w:t>pallie</w:t>
      </w:r>
      <w:r w:rsidRPr="002C4077">
        <w:t xml:space="preserve"> </w:t>
      </w:r>
      <w:r>
        <w:t>un</w:t>
      </w:r>
      <w:r w:rsidRPr="002C4077">
        <w:t xml:space="preserve"> </w:t>
      </w:r>
      <w:r>
        <w:t>peu</w:t>
      </w:r>
      <w:r w:rsidRPr="002C4077">
        <w:t xml:space="preserve"> </w:t>
      </w:r>
      <w:r>
        <w:t>la</w:t>
      </w:r>
      <w:r w:rsidRPr="002C4077">
        <w:t xml:space="preserve"> </w:t>
      </w:r>
      <w:r>
        <w:t>faute</w:t>
      </w:r>
      <w:r w:rsidRPr="002C4077">
        <w:t xml:space="preserve"> </w:t>
      </w:r>
      <w:r>
        <w:t>en</w:t>
      </w:r>
      <w:r w:rsidRPr="002C4077">
        <w:t xml:space="preserve"> </w:t>
      </w:r>
      <w:r>
        <w:t>la</w:t>
      </w:r>
      <w:r w:rsidRPr="002C4077">
        <w:t xml:space="preserve"> </w:t>
      </w:r>
      <w:r>
        <w:t>rendant</w:t>
      </w:r>
      <w:r w:rsidRPr="002C4077">
        <w:t xml:space="preserve"> </w:t>
      </w:r>
      <w:r>
        <w:t>plus</w:t>
      </w:r>
      <w:r w:rsidRPr="002C4077">
        <w:t xml:space="preserve"> </w:t>
      </w:r>
      <w:r>
        <w:t>générale</w:t>
      </w:r>
      <w:r w:rsidR="00B91AF7">
        <w:rPr>
          <w:rStyle w:val="Appelnotedebasdep"/>
        </w:rPr>
        <w:footnoteReference w:id="336"/>
      </w:r>
      <w:r>
        <w:t>.</w:t>
      </w:r>
      <w:r w:rsidRPr="002C4077">
        <w:t xml:space="preserve"> </w:t>
      </w:r>
      <w:r>
        <w:t>Mais</w:t>
      </w:r>
      <w:r w:rsidRPr="002C4077">
        <w:t xml:space="preserve"> </w:t>
      </w:r>
      <w:r>
        <w:t>alors</w:t>
      </w:r>
      <w:r w:rsidRPr="002C4077">
        <w:t xml:space="preserve"> </w:t>
      </w:r>
      <w:r>
        <w:t>la</w:t>
      </w:r>
      <w:r w:rsidRPr="002C4077">
        <w:t xml:space="preserve"> </w:t>
      </w:r>
      <w:r>
        <w:t>tradition</w:t>
      </w:r>
      <w:r w:rsidRPr="002C4077">
        <w:t xml:space="preserve"> </w:t>
      </w:r>
      <w:r>
        <w:t>aura</w:t>
      </w:r>
      <w:r w:rsidRPr="002C4077">
        <w:t xml:space="preserve"> </w:t>
      </w:r>
      <w:r>
        <w:t>fait</w:t>
      </w:r>
      <w:r w:rsidRPr="002C4077">
        <w:t xml:space="preserve"> </w:t>
      </w:r>
      <w:r>
        <w:t>preuve</w:t>
      </w:r>
      <w:r w:rsidRPr="002C4077">
        <w:t xml:space="preserve"> </w:t>
      </w:r>
      <w:r>
        <w:t>d’une</w:t>
      </w:r>
      <w:r w:rsidRPr="002C4077">
        <w:t xml:space="preserve"> </w:t>
      </w:r>
      <w:r w:rsidR="00B546AF">
        <w:t>« </w:t>
      </w:r>
      <w:r>
        <w:t>fausse</w:t>
      </w:r>
      <w:r w:rsidRPr="002C4077">
        <w:t xml:space="preserve"> </w:t>
      </w:r>
      <w:r>
        <w:t>sentimentalité,</w:t>
      </w:r>
      <w:r w:rsidRPr="002C4077">
        <w:t xml:space="preserve"> </w:t>
      </w:r>
      <w:r>
        <w:t>qui</w:t>
      </w:r>
      <w:r w:rsidRPr="002C4077">
        <w:t xml:space="preserve"> </w:t>
      </w:r>
      <w:r>
        <w:t>compromet</w:t>
      </w:r>
      <w:r w:rsidRPr="002C4077">
        <w:t xml:space="preserve"> </w:t>
      </w:r>
      <w:r>
        <w:t>la</w:t>
      </w:r>
      <w:r w:rsidRPr="002C4077">
        <w:t xml:space="preserve"> </w:t>
      </w:r>
      <w:r>
        <w:t>dignité</w:t>
      </w:r>
      <w:r w:rsidRPr="002C4077">
        <w:t xml:space="preserve"> </w:t>
      </w:r>
      <w:r>
        <w:t>de</w:t>
      </w:r>
      <w:r w:rsidRPr="002C4077">
        <w:t xml:space="preserve"> </w:t>
      </w:r>
      <w:r w:rsidR="00425C50">
        <w:t>Jésus</w:t>
      </w:r>
      <w:r w:rsidR="00B91AF7">
        <w:rPr>
          <w:rStyle w:val="Appelnotedebasdep"/>
        </w:rPr>
        <w:footnoteReference w:id="337"/>
      </w:r>
      <w:r w:rsidR="00B546AF">
        <w:t> »</w:t>
      </w:r>
      <w:r>
        <w:t>.</w:t>
      </w:r>
      <w:r w:rsidRPr="002C4077">
        <w:t xml:space="preserve"> </w:t>
      </w:r>
      <w:r>
        <w:t>—</w:t>
      </w:r>
      <w:r w:rsidRPr="002C4077">
        <w:t xml:space="preserve"> </w:t>
      </w:r>
      <w:r>
        <w:t>Nous</w:t>
      </w:r>
      <w:r w:rsidRPr="002C4077">
        <w:t xml:space="preserve"> </w:t>
      </w:r>
      <w:r>
        <w:t>devons</w:t>
      </w:r>
      <w:r w:rsidRPr="002C4077">
        <w:t xml:space="preserve"> </w:t>
      </w:r>
      <w:r>
        <w:t>savoir</w:t>
      </w:r>
      <w:r w:rsidRPr="002C4077">
        <w:t xml:space="preserve"> </w:t>
      </w:r>
      <w:r>
        <w:t>gré</w:t>
      </w:r>
      <w:r w:rsidRPr="002C4077">
        <w:t xml:space="preserve"> </w:t>
      </w:r>
      <w:r>
        <w:t>aux</w:t>
      </w:r>
      <w:r w:rsidRPr="002C4077">
        <w:t xml:space="preserve"> </w:t>
      </w:r>
      <w:r>
        <w:t>écrivains</w:t>
      </w:r>
      <w:r w:rsidRPr="002C4077">
        <w:t xml:space="preserve"> </w:t>
      </w:r>
      <w:r>
        <w:t>rationalistes</w:t>
      </w:r>
      <w:r w:rsidRPr="002C4077">
        <w:t xml:space="preserve"> </w:t>
      </w:r>
      <w:r>
        <w:t>de</w:t>
      </w:r>
      <w:r w:rsidRPr="002C4077">
        <w:t xml:space="preserve"> </w:t>
      </w:r>
      <w:r>
        <w:t>manifester</w:t>
      </w:r>
      <w:r w:rsidRPr="002C4077">
        <w:t xml:space="preserve"> </w:t>
      </w:r>
      <w:r>
        <w:t>un</w:t>
      </w:r>
      <w:r w:rsidRPr="002C4077">
        <w:t xml:space="preserve"> </w:t>
      </w:r>
      <w:r>
        <w:t>si</w:t>
      </w:r>
      <w:r w:rsidRPr="002C4077">
        <w:t xml:space="preserve"> </w:t>
      </w:r>
      <w:r>
        <w:t>vif</w:t>
      </w:r>
      <w:r w:rsidRPr="002C4077">
        <w:t xml:space="preserve"> </w:t>
      </w:r>
      <w:r>
        <w:t>intérêt</w:t>
      </w:r>
      <w:r w:rsidRPr="002C4077">
        <w:t xml:space="preserve"> </w:t>
      </w:r>
      <w:r>
        <w:t>pour</w:t>
      </w:r>
      <w:r w:rsidRPr="002C4077">
        <w:t xml:space="preserve"> </w:t>
      </w:r>
      <w:r>
        <w:t>la</w:t>
      </w:r>
      <w:r w:rsidRPr="002C4077">
        <w:t xml:space="preserve"> </w:t>
      </w:r>
      <w:r>
        <w:t>dignité,</w:t>
      </w:r>
      <w:r w:rsidRPr="002C4077">
        <w:t xml:space="preserve"> </w:t>
      </w:r>
      <w:r>
        <w:t>compromise</w:t>
      </w:r>
      <w:r w:rsidRPr="002C4077">
        <w:t xml:space="preserve"> </w:t>
      </w:r>
      <w:r>
        <w:t>avant</w:t>
      </w:r>
      <w:r w:rsidRPr="002C4077">
        <w:t xml:space="preserve"> </w:t>
      </w:r>
      <w:r>
        <w:t>eux,</w:t>
      </w:r>
      <w:r w:rsidRPr="002C4077">
        <w:t xml:space="preserve"> </w:t>
      </w:r>
      <w:r>
        <w:t>de</w:t>
      </w:r>
      <w:r w:rsidRPr="002C4077">
        <w:t xml:space="preserve"> </w:t>
      </w:r>
      <w:r>
        <w:t>N.</w:t>
      </w:r>
      <w:r w:rsidRPr="002C4077">
        <w:t xml:space="preserve"> </w:t>
      </w:r>
      <w:r>
        <w:t>S.</w:t>
      </w:r>
      <w:r w:rsidRPr="002C4077">
        <w:t xml:space="preserve"> </w:t>
      </w:r>
      <w:r w:rsidR="00425C50">
        <w:t>Jésus</w:t>
      </w:r>
      <w:r>
        <w:t>-</w:t>
      </w:r>
      <w:r w:rsidR="00425C50">
        <w:t>Christ</w:t>
      </w:r>
      <w:r w:rsidR="00B546AF">
        <w:t> !</w:t>
      </w:r>
      <w:r w:rsidRPr="002C4077">
        <w:t xml:space="preserve"> </w:t>
      </w:r>
    </w:p>
    <w:p w:rsidR="000A7AAB" w:rsidRDefault="000A7AAB" w:rsidP="000A7AAB">
      <w:r>
        <w:t>D’après</w:t>
      </w:r>
      <w:r w:rsidRPr="002C4077">
        <w:t xml:space="preserve"> </w:t>
      </w:r>
      <w:r>
        <w:t>Keim</w:t>
      </w:r>
      <w:r w:rsidRPr="002C4077">
        <w:t xml:space="preserve"> </w:t>
      </w:r>
      <w:r>
        <w:t>aussi</w:t>
      </w:r>
      <w:r w:rsidR="00B91AF7">
        <w:rPr>
          <w:rStyle w:val="Appelnotedebasdep"/>
        </w:rPr>
        <w:footnoteReference w:id="338"/>
      </w:r>
      <w:r w:rsidRPr="002C4077">
        <w:t xml:space="preserve"> </w:t>
      </w:r>
      <w:r w:rsidR="000D12F1">
        <w:t>« </w:t>
      </w:r>
      <w:r>
        <w:t>Luc</w:t>
      </w:r>
      <w:r w:rsidRPr="002C4077">
        <w:t xml:space="preserve"> </w:t>
      </w:r>
      <w:r>
        <w:t>exagère…</w:t>
      </w:r>
      <w:r w:rsidRPr="002C4077">
        <w:t xml:space="preserve"> </w:t>
      </w:r>
      <w:r>
        <w:t>quand</w:t>
      </w:r>
      <w:r w:rsidRPr="002C4077">
        <w:t xml:space="preserve"> </w:t>
      </w:r>
      <w:r>
        <w:t>d’une</w:t>
      </w:r>
      <w:r w:rsidRPr="002C4077">
        <w:t xml:space="preserve"> </w:t>
      </w:r>
      <w:r>
        <w:t>part,</w:t>
      </w:r>
      <w:r w:rsidRPr="002C4077">
        <w:t xml:space="preserve"> </w:t>
      </w:r>
      <w:r>
        <w:t>pour</w:t>
      </w:r>
      <w:r w:rsidRPr="002C4077">
        <w:t xml:space="preserve"> </w:t>
      </w:r>
      <w:r>
        <w:t>mettre</w:t>
      </w:r>
      <w:r w:rsidRPr="002C4077">
        <w:t xml:space="preserve"> </w:t>
      </w:r>
      <w:r>
        <w:t>en</w:t>
      </w:r>
      <w:r w:rsidRPr="002C4077">
        <w:t xml:space="preserve"> </w:t>
      </w:r>
      <w:r>
        <w:t>relief</w:t>
      </w:r>
      <w:r w:rsidRPr="002C4077">
        <w:t xml:space="preserve"> </w:t>
      </w:r>
      <w:r>
        <w:t>le</w:t>
      </w:r>
      <w:r w:rsidRPr="002C4077">
        <w:t xml:space="preserve"> </w:t>
      </w:r>
      <w:r>
        <w:t>caractère</w:t>
      </w:r>
      <w:r w:rsidRPr="002C4077">
        <w:t xml:space="preserve"> </w:t>
      </w:r>
      <w:r>
        <w:t>épouvantable</w:t>
      </w:r>
      <w:r w:rsidRPr="002C4077">
        <w:t xml:space="preserve"> </w:t>
      </w:r>
      <w:r>
        <w:t>de</w:t>
      </w:r>
      <w:r w:rsidRPr="002C4077">
        <w:t xml:space="preserve"> </w:t>
      </w:r>
      <w:r>
        <w:t>l’agonie</w:t>
      </w:r>
      <w:r w:rsidRPr="002C4077">
        <w:t xml:space="preserve"> </w:t>
      </w:r>
      <w:r>
        <w:t>de</w:t>
      </w:r>
      <w:r w:rsidRPr="002C4077">
        <w:t xml:space="preserve"> </w:t>
      </w:r>
      <w:r w:rsidR="00425C50">
        <w:t>Jésus</w:t>
      </w:r>
      <w:r>
        <w:t>…,</w:t>
      </w:r>
      <w:r w:rsidRPr="002C4077">
        <w:t xml:space="preserve"> </w:t>
      </w:r>
      <w:r>
        <w:t>il</w:t>
      </w:r>
      <w:r w:rsidRPr="002C4077">
        <w:t xml:space="preserve"> </w:t>
      </w:r>
      <w:r>
        <w:t>mentionne</w:t>
      </w:r>
      <w:r w:rsidRPr="002C4077">
        <w:t xml:space="preserve"> </w:t>
      </w:r>
      <w:r>
        <w:t>une</w:t>
      </w:r>
      <w:r w:rsidRPr="002C4077">
        <w:t xml:space="preserve"> </w:t>
      </w:r>
      <w:r>
        <w:t>sueur</w:t>
      </w:r>
      <w:r w:rsidRPr="002C4077">
        <w:t xml:space="preserve"> </w:t>
      </w:r>
      <w:r>
        <w:t>de</w:t>
      </w:r>
      <w:r w:rsidRPr="002C4077">
        <w:t xml:space="preserve"> </w:t>
      </w:r>
      <w:r>
        <w:t>sang</w:t>
      </w:r>
      <w:r w:rsidRPr="002C4077">
        <w:t xml:space="preserve"> </w:t>
      </w:r>
      <w:r>
        <w:t>qui</w:t>
      </w:r>
      <w:r w:rsidRPr="002C4077">
        <w:t xml:space="preserve"> </w:t>
      </w:r>
      <w:r>
        <w:t>découla</w:t>
      </w:r>
      <w:r w:rsidRPr="002C4077">
        <w:t xml:space="preserve"> </w:t>
      </w:r>
      <w:r>
        <w:t>jusqu’à</w:t>
      </w:r>
      <w:r w:rsidRPr="002C4077">
        <w:t xml:space="preserve"> </w:t>
      </w:r>
      <w:r>
        <w:t>terre…,</w:t>
      </w:r>
      <w:r w:rsidRPr="002C4077">
        <w:t xml:space="preserve"> </w:t>
      </w:r>
      <w:r>
        <w:t>et</w:t>
      </w:r>
      <w:r w:rsidRPr="002C4077">
        <w:t xml:space="preserve"> </w:t>
      </w:r>
      <w:r>
        <w:t>que,</w:t>
      </w:r>
      <w:r w:rsidRPr="002C4077">
        <w:t xml:space="preserve"> </w:t>
      </w:r>
      <w:r>
        <w:t>d’autre</w:t>
      </w:r>
      <w:r w:rsidRPr="002C4077">
        <w:t xml:space="preserve"> </w:t>
      </w:r>
      <w:r>
        <w:t>part,</w:t>
      </w:r>
      <w:r w:rsidRPr="002C4077">
        <w:t xml:space="preserve"> </w:t>
      </w:r>
      <w:r>
        <w:t>pour</w:t>
      </w:r>
      <w:r w:rsidRPr="002C4077">
        <w:t xml:space="preserve"> </w:t>
      </w:r>
      <w:r>
        <w:t>rehausser</w:t>
      </w:r>
      <w:r w:rsidRPr="002C4077">
        <w:t xml:space="preserve"> </w:t>
      </w:r>
      <w:r>
        <w:t>la</w:t>
      </w:r>
      <w:r w:rsidRPr="002C4077">
        <w:t xml:space="preserve"> </w:t>
      </w:r>
      <w:r>
        <w:t>majesté</w:t>
      </w:r>
      <w:r w:rsidRPr="002C4077">
        <w:t xml:space="preserve"> </w:t>
      </w:r>
      <w:r>
        <w:t>du</w:t>
      </w:r>
      <w:r w:rsidRPr="002C4077">
        <w:t xml:space="preserve"> </w:t>
      </w:r>
      <w:r>
        <w:t>patient,</w:t>
      </w:r>
      <w:r w:rsidRPr="002C4077">
        <w:t xml:space="preserve"> </w:t>
      </w:r>
      <w:r>
        <w:t>il</w:t>
      </w:r>
      <w:r w:rsidRPr="002C4077">
        <w:t xml:space="preserve"> </w:t>
      </w:r>
      <w:r>
        <w:t>signale</w:t>
      </w:r>
      <w:r w:rsidRPr="002C4077">
        <w:t xml:space="preserve"> </w:t>
      </w:r>
      <w:r>
        <w:t>l’apparition</w:t>
      </w:r>
      <w:r w:rsidRPr="002C4077">
        <w:t xml:space="preserve"> </w:t>
      </w:r>
      <w:r>
        <w:t>d’un</w:t>
      </w:r>
      <w:r w:rsidRPr="002C4077">
        <w:t xml:space="preserve"> </w:t>
      </w:r>
      <w:r>
        <w:t>ange…</w:t>
      </w:r>
      <w:r w:rsidR="00C45B47">
        <w:t xml:space="preserve"> {</w:t>
      </w:r>
      <w:r w:rsidR="004C5B7A">
        <w:t>108</w:t>
      </w:r>
      <w:bookmarkStart w:id="318" w:name="p108"/>
      <w:bookmarkEnd w:id="318"/>
      <w:r w:rsidR="004C5B7A">
        <w:t xml:space="preserve">} </w:t>
      </w:r>
      <w:r>
        <w:t>On</w:t>
      </w:r>
      <w:r w:rsidRPr="002C4077">
        <w:t xml:space="preserve"> </w:t>
      </w:r>
      <w:r>
        <w:t>voit</w:t>
      </w:r>
      <w:r w:rsidRPr="002C4077">
        <w:t xml:space="preserve"> </w:t>
      </w:r>
      <w:r>
        <w:t>ici</w:t>
      </w:r>
      <w:r w:rsidRPr="002C4077">
        <w:t xml:space="preserve"> </w:t>
      </w:r>
      <w:r>
        <w:t>les</w:t>
      </w:r>
      <w:r w:rsidRPr="002C4077">
        <w:t xml:space="preserve"> </w:t>
      </w:r>
      <w:r>
        <w:t>tendances</w:t>
      </w:r>
      <w:r w:rsidRPr="002C4077">
        <w:t xml:space="preserve"> </w:t>
      </w:r>
      <w:r>
        <w:t>artificielles</w:t>
      </w:r>
      <w:r w:rsidRPr="002C4077">
        <w:t xml:space="preserve"> </w:t>
      </w:r>
      <w:r>
        <w:t>d’une</w:t>
      </w:r>
      <w:r w:rsidRPr="002C4077">
        <w:t xml:space="preserve"> </w:t>
      </w:r>
      <w:r>
        <w:t>narration</w:t>
      </w:r>
      <w:r w:rsidRPr="002C4077">
        <w:t xml:space="preserve"> </w:t>
      </w:r>
      <w:r>
        <w:t>évangélique</w:t>
      </w:r>
      <w:r w:rsidRPr="002C4077">
        <w:t xml:space="preserve"> </w:t>
      </w:r>
      <w:r>
        <w:t>tardive,</w:t>
      </w:r>
      <w:r w:rsidRPr="002C4077">
        <w:t xml:space="preserve"> </w:t>
      </w:r>
      <w:r>
        <w:t>qui</w:t>
      </w:r>
      <w:r w:rsidRPr="002C4077">
        <w:t xml:space="preserve"> </w:t>
      </w:r>
      <w:r>
        <w:t>ne</w:t>
      </w:r>
      <w:r w:rsidRPr="002C4077">
        <w:t xml:space="preserve"> </w:t>
      </w:r>
      <w:r>
        <w:t>trouva</w:t>
      </w:r>
      <w:r w:rsidRPr="002C4077">
        <w:t xml:space="preserve"> </w:t>
      </w:r>
      <w:r>
        <w:t>ni</w:t>
      </w:r>
      <w:r w:rsidRPr="002C4077">
        <w:t xml:space="preserve"> </w:t>
      </w:r>
      <w:r>
        <w:t>les</w:t>
      </w:r>
      <w:r w:rsidRPr="002C4077">
        <w:t xml:space="preserve"> </w:t>
      </w:r>
      <w:r>
        <w:t>souffrances</w:t>
      </w:r>
      <w:r w:rsidRPr="002C4077">
        <w:t xml:space="preserve"> </w:t>
      </w:r>
      <w:r>
        <w:t>de</w:t>
      </w:r>
      <w:r w:rsidRPr="002C4077">
        <w:t xml:space="preserve"> </w:t>
      </w:r>
      <w:r w:rsidR="00425C50">
        <w:t>Jésus</w:t>
      </w:r>
      <w:r w:rsidRPr="002C4077">
        <w:t xml:space="preserve"> </w:t>
      </w:r>
      <w:r>
        <w:t>assez</w:t>
      </w:r>
      <w:r w:rsidRPr="002C4077">
        <w:t xml:space="preserve"> </w:t>
      </w:r>
      <w:r>
        <w:t>terribles,</w:t>
      </w:r>
      <w:r w:rsidRPr="002C4077">
        <w:t xml:space="preserve"> </w:t>
      </w:r>
      <w:r>
        <w:t>ni</w:t>
      </w:r>
      <w:r w:rsidRPr="002C4077">
        <w:t xml:space="preserve"> </w:t>
      </w:r>
      <w:r>
        <w:t>sa</w:t>
      </w:r>
      <w:r w:rsidRPr="002C4077">
        <w:t xml:space="preserve"> </w:t>
      </w:r>
      <w:r>
        <w:t>grandeur</w:t>
      </w:r>
      <w:r w:rsidRPr="002C4077">
        <w:t xml:space="preserve"> </w:t>
      </w:r>
      <w:r>
        <w:t>assez</w:t>
      </w:r>
      <w:r w:rsidRPr="002C4077">
        <w:t xml:space="preserve"> </w:t>
      </w:r>
      <w:r>
        <w:t>sublime</w:t>
      </w:r>
      <w:r w:rsidR="00B546AF">
        <w:t> »</w:t>
      </w:r>
      <w:r>
        <w:t>.</w:t>
      </w:r>
      <w:r w:rsidRPr="002C4077">
        <w:t xml:space="preserve"> </w:t>
      </w:r>
    </w:p>
    <w:p w:rsidR="000A7AAB" w:rsidRDefault="000A7AAB" w:rsidP="000A7AAB">
      <w:r>
        <w:t>En</w:t>
      </w:r>
      <w:r w:rsidRPr="002C4077">
        <w:t xml:space="preserve"> </w:t>
      </w:r>
      <w:r>
        <w:t>un</w:t>
      </w:r>
      <w:r w:rsidRPr="002C4077">
        <w:t xml:space="preserve"> </w:t>
      </w:r>
      <w:r>
        <w:t>mot</w:t>
      </w:r>
      <w:r w:rsidRPr="004440EA">
        <w:t xml:space="preserve"> (</w:t>
      </w:r>
      <w:r w:rsidR="006E0521">
        <w:t>car</w:t>
      </w:r>
      <w:r w:rsidR="006E0521" w:rsidRPr="002C4077">
        <w:t xml:space="preserve"> </w:t>
      </w:r>
      <w:r w:rsidR="006E0521">
        <w:t>nous</w:t>
      </w:r>
      <w:r w:rsidRPr="002C4077">
        <w:t xml:space="preserve"> </w:t>
      </w:r>
      <w:r>
        <w:t>n’en</w:t>
      </w:r>
      <w:r w:rsidRPr="002C4077">
        <w:t xml:space="preserve"> </w:t>
      </w:r>
      <w:r>
        <w:t>finirions</w:t>
      </w:r>
      <w:r w:rsidRPr="002C4077">
        <w:t xml:space="preserve"> </w:t>
      </w:r>
      <w:r>
        <w:t>pas</w:t>
      </w:r>
      <w:r w:rsidRPr="002C4077">
        <w:t xml:space="preserve"> </w:t>
      </w:r>
      <w:r>
        <w:t>si</w:t>
      </w:r>
      <w:r w:rsidRPr="002C4077">
        <w:t xml:space="preserve"> </w:t>
      </w:r>
      <w:r>
        <w:t>nous</w:t>
      </w:r>
      <w:r w:rsidRPr="002C4077">
        <w:t xml:space="preserve"> </w:t>
      </w:r>
      <w:r>
        <w:t>voulions</w:t>
      </w:r>
      <w:r w:rsidRPr="002C4077">
        <w:t xml:space="preserve"> </w:t>
      </w:r>
      <w:r>
        <w:t>tout</w:t>
      </w:r>
      <w:r w:rsidRPr="002C4077">
        <w:t xml:space="preserve"> </w:t>
      </w:r>
      <w:r>
        <w:t>citer</w:t>
      </w:r>
      <w:r w:rsidR="00B546AF" w:rsidRPr="002C4077">
        <w:t>)</w:t>
      </w:r>
      <w:r w:rsidRPr="00950016">
        <w:t>,</w:t>
      </w:r>
      <w:r w:rsidRPr="002C4077">
        <w:t xml:space="preserve"> </w:t>
      </w:r>
      <w:r w:rsidR="00B546AF">
        <w:t>« </w:t>
      </w:r>
      <w:r>
        <w:t>l’ange</w:t>
      </w:r>
      <w:r w:rsidRPr="002C4077">
        <w:t xml:space="preserve"> </w:t>
      </w:r>
      <w:r>
        <w:t>et</w:t>
      </w:r>
      <w:r w:rsidRPr="002C4077">
        <w:t xml:space="preserve"> </w:t>
      </w:r>
      <w:r>
        <w:t>la</w:t>
      </w:r>
      <w:r w:rsidRPr="002C4077">
        <w:t xml:space="preserve"> </w:t>
      </w:r>
      <w:r>
        <w:t>sueur</w:t>
      </w:r>
      <w:r w:rsidRPr="002C4077">
        <w:t xml:space="preserve"> </w:t>
      </w:r>
      <w:r>
        <w:t>de</w:t>
      </w:r>
      <w:r w:rsidRPr="002C4077">
        <w:t xml:space="preserve"> </w:t>
      </w:r>
      <w:r>
        <w:t>sang</w:t>
      </w:r>
      <w:r w:rsidRPr="002C4077">
        <w:t xml:space="preserve"> </w:t>
      </w:r>
      <w:r>
        <w:t>dans</w:t>
      </w:r>
      <w:r w:rsidRPr="002C4077">
        <w:t xml:space="preserve"> </w:t>
      </w:r>
      <w:r>
        <w:t>S.</w:t>
      </w:r>
      <w:r w:rsidRPr="002C4077">
        <w:t xml:space="preserve"> </w:t>
      </w:r>
      <w:r>
        <w:t>Luc</w:t>
      </w:r>
      <w:r w:rsidRPr="002C4077">
        <w:t xml:space="preserve"> </w:t>
      </w:r>
      <w:r>
        <w:t>sont</w:t>
      </w:r>
      <w:r w:rsidRPr="002C4077">
        <w:t xml:space="preserve"> </w:t>
      </w:r>
      <w:r>
        <w:t>des</w:t>
      </w:r>
      <w:r w:rsidRPr="002C4077">
        <w:t xml:space="preserve"> </w:t>
      </w:r>
      <w:r>
        <w:t>conceptions</w:t>
      </w:r>
      <w:r w:rsidRPr="002C4077">
        <w:t xml:space="preserve"> </w:t>
      </w:r>
      <w:r>
        <w:t>légendaires</w:t>
      </w:r>
      <w:r w:rsidR="00B91AF7">
        <w:rPr>
          <w:rStyle w:val="Appelnotedebasdep"/>
        </w:rPr>
        <w:footnoteReference w:id="339"/>
      </w:r>
      <w:r w:rsidR="00B546AF">
        <w:t> »</w:t>
      </w:r>
      <w:r>
        <w:t>.</w:t>
      </w:r>
      <w:r w:rsidRPr="002C4077">
        <w:t xml:space="preserve"> </w:t>
      </w:r>
      <w:r>
        <w:t>Le</w:t>
      </w:r>
      <w:r w:rsidRPr="002C4077">
        <w:t xml:space="preserve"> </w:t>
      </w:r>
      <w:r>
        <w:t>caractère</w:t>
      </w:r>
      <w:r w:rsidRPr="002C4077">
        <w:t xml:space="preserve"> </w:t>
      </w:r>
      <w:r>
        <w:t>de</w:t>
      </w:r>
      <w:r w:rsidRPr="002C4077">
        <w:t xml:space="preserve"> </w:t>
      </w:r>
      <w:r>
        <w:t>la</w:t>
      </w:r>
      <w:r w:rsidRPr="002C4077">
        <w:t xml:space="preserve"> </w:t>
      </w:r>
      <w:r>
        <w:t>scène</w:t>
      </w:r>
      <w:r w:rsidRPr="002C4077">
        <w:t xml:space="preserve"> </w:t>
      </w:r>
      <w:r>
        <w:t>entière</w:t>
      </w:r>
      <w:r w:rsidRPr="002C4077">
        <w:t xml:space="preserve"> </w:t>
      </w:r>
      <w:r w:rsidR="00B546AF">
        <w:t>« </w:t>
      </w:r>
      <w:r w:rsidR="00425C50">
        <w:t>est</w:t>
      </w:r>
      <w:r w:rsidRPr="002C4077">
        <w:t xml:space="preserve"> </w:t>
      </w:r>
      <w:r>
        <w:t>évidemment</w:t>
      </w:r>
      <w:r w:rsidRPr="002C4077">
        <w:t xml:space="preserve"> </w:t>
      </w:r>
      <w:r>
        <w:t>plus</w:t>
      </w:r>
      <w:r w:rsidRPr="002C4077">
        <w:t xml:space="preserve"> </w:t>
      </w:r>
      <w:r w:rsidR="00425C50">
        <w:t>poéti</w:t>
      </w:r>
      <w:r>
        <w:t>que</w:t>
      </w:r>
      <w:r w:rsidRPr="002C4077">
        <w:t xml:space="preserve"> </w:t>
      </w:r>
      <w:r>
        <w:t>qu’historique</w:t>
      </w:r>
      <w:r w:rsidR="00B91AF7">
        <w:rPr>
          <w:rStyle w:val="Appelnotedebasdep"/>
        </w:rPr>
        <w:footnoteReference w:id="340"/>
      </w:r>
      <w:r w:rsidR="00B546AF">
        <w:t> »</w:t>
      </w:r>
      <w:r>
        <w:t>.</w:t>
      </w:r>
      <w:r w:rsidRPr="002C4077">
        <w:t xml:space="preserve"> </w:t>
      </w:r>
    </w:p>
    <w:p w:rsidR="000A7AAB" w:rsidRDefault="000A7AAB" w:rsidP="000A7AAB">
      <w:r>
        <w:t>Allons-nous</w:t>
      </w:r>
      <w:r w:rsidRPr="002C4077">
        <w:t xml:space="preserve"> </w:t>
      </w:r>
      <w:r>
        <w:t>réfuter</w:t>
      </w:r>
      <w:r w:rsidRPr="002C4077">
        <w:t xml:space="preserve"> </w:t>
      </w:r>
      <w:r>
        <w:t>longuement</w:t>
      </w:r>
      <w:r w:rsidRPr="002C4077">
        <w:t xml:space="preserve"> </w:t>
      </w:r>
      <w:r>
        <w:t>et</w:t>
      </w:r>
      <w:r w:rsidRPr="002C4077">
        <w:t xml:space="preserve"> </w:t>
      </w:r>
      <w:r>
        <w:t>une</w:t>
      </w:r>
      <w:r w:rsidRPr="002C4077">
        <w:t xml:space="preserve"> </w:t>
      </w:r>
      <w:r>
        <w:t>à</w:t>
      </w:r>
      <w:r w:rsidRPr="002C4077">
        <w:t xml:space="preserve"> </w:t>
      </w:r>
      <w:r>
        <w:t>une</w:t>
      </w:r>
      <w:r w:rsidRPr="002C4077">
        <w:t xml:space="preserve"> </w:t>
      </w:r>
      <w:r>
        <w:t>toutes</w:t>
      </w:r>
      <w:r w:rsidRPr="002C4077">
        <w:t xml:space="preserve"> </w:t>
      </w:r>
      <w:r>
        <w:t>ces</w:t>
      </w:r>
      <w:r w:rsidRPr="002C4077">
        <w:t xml:space="preserve"> </w:t>
      </w:r>
      <w:r>
        <w:t>fantaisies</w:t>
      </w:r>
      <w:r w:rsidR="00B546AF">
        <w:t> ?</w:t>
      </w:r>
      <w:r w:rsidRPr="002C4077">
        <w:t xml:space="preserve"> </w:t>
      </w:r>
      <w:r>
        <w:t>Dieu</w:t>
      </w:r>
      <w:r w:rsidRPr="002C4077">
        <w:t xml:space="preserve"> </w:t>
      </w:r>
      <w:r>
        <w:t>nous</w:t>
      </w:r>
      <w:r w:rsidRPr="002C4077">
        <w:t xml:space="preserve"> </w:t>
      </w:r>
      <w:r>
        <w:t>garde</w:t>
      </w:r>
      <w:r w:rsidRPr="002C4077">
        <w:t xml:space="preserve"> </w:t>
      </w:r>
      <w:r>
        <w:t>de</w:t>
      </w:r>
      <w:r w:rsidRPr="002C4077">
        <w:t xml:space="preserve"> </w:t>
      </w:r>
      <w:r>
        <w:t>leur</w:t>
      </w:r>
      <w:r w:rsidRPr="002C4077">
        <w:t xml:space="preserve"> </w:t>
      </w:r>
      <w:r>
        <w:t>faire</w:t>
      </w:r>
      <w:r w:rsidRPr="002C4077">
        <w:t xml:space="preserve"> </w:t>
      </w:r>
      <w:r>
        <w:t>un</w:t>
      </w:r>
      <w:r w:rsidRPr="002C4077">
        <w:t xml:space="preserve"> </w:t>
      </w:r>
      <w:r>
        <w:t>tel</w:t>
      </w:r>
      <w:r w:rsidRPr="002C4077">
        <w:t xml:space="preserve"> </w:t>
      </w:r>
      <w:r>
        <w:t>honneur</w:t>
      </w:r>
      <w:r w:rsidR="00B546AF">
        <w:t> !</w:t>
      </w:r>
      <w:r w:rsidRPr="002C4077">
        <w:t xml:space="preserve"> </w:t>
      </w:r>
      <w:r>
        <w:t>Nous</w:t>
      </w:r>
      <w:r w:rsidRPr="002C4077">
        <w:t xml:space="preserve"> </w:t>
      </w:r>
      <w:r>
        <w:t>sommes</w:t>
      </w:r>
      <w:r w:rsidRPr="002C4077">
        <w:t xml:space="preserve"> </w:t>
      </w:r>
      <w:r>
        <w:t>dans</w:t>
      </w:r>
      <w:r w:rsidRPr="002C4077">
        <w:t xml:space="preserve"> </w:t>
      </w:r>
      <w:r>
        <w:t>notre</w:t>
      </w:r>
      <w:r w:rsidRPr="002C4077">
        <w:t xml:space="preserve"> </w:t>
      </w:r>
      <w:r>
        <w:t>droit</w:t>
      </w:r>
      <w:r w:rsidRPr="002C4077">
        <w:t xml:space="preserve"> </w:t>
      </w:r>
      <w:r>
        <w:t>en</w:t>
      </w:r>
      <w:r w:rsidRPr="002C4077">
        <w:t xml:space="preserve"> </w:t>
      </w:r>
      <w:r>
        <w:t>leur</w:t>
      </w:r>
      <w:r w:rsidRPr="002C4077">
        <w:t xml:space="preserve"> </w:t>
      </w:r>
      <w:r>
        <w:t>opposant</w:t>
      </w:r>
      <w:r w:rsidRPr="002C4077">
        <w:t xml:space="preserve"> </w:t>
      </w:r>
      <w:r>
        <w:t>la</w:t>
      </w:r>
      <w:r w:rsidRPr="002C4077">
        <w:t xml:space="preserve"> </w:t>
      </w:r>
      <w:r>
        <w:t>question</w:t>
      </w:r>
      <w:r w:rsidRPr="002C4077">
        <w:t xml:space="preserve"> </w:t>
      </w:r>
      <w:r>
        <w:t>préalable</w:t>
      </w:r>
      <w:r w:rsidR="00B546AF">
        <w:t> ;</w:t>
      </w:r>
      <w:r w:rsidRPr="002C4077">
        <w:t xml:space="preserve"> </w:t>
      </w:r>
      <w:r>
        <w:t>car,</w:t>
      </w:r>
      <w:r w:rsidRPr="002C4077">
        <w:t xml:space="preserve"> </w:t>
      </w:r>
      <w:r>
        <w:t>dit</w:t>
      </w:r>
      <w:r w:rsidRPr="002C4077">
        <w:t xml:space="preserve"> </w:t>
      </w:r>
      <w:r>
        <w:t>justement</w:t>
      </w:r>
      <w:r w:rsidRPr="002C4077">
        <w:t xml:space="preserve"> </w:t>
      </w:r>
      <w:r>
        <w:t>M.</w:t>
      </w:r>
      <w:r w:rsidRPr="002C4077">
        <w:t xml:space="preserve"> </w:t>
      </w:r>
      <w:r>
        <w:t>Langen</w:t>
      </w:r>
      <w:r w:rsidR="006E0521">
        <w:rPr>
          <w:rStyle w:val="Appelnotedebasdep"/>
        </w:rPr>
        <w:footnoteReference w:id="341"/>
      </w:r>
      <w:r>
        <w:t>,</w:t>
      </w:r>
      <w:r w:rsidRPr="002C4077">
        <w:t xml:space="preserve"> </w:t>
      </w:r>
      <w:r w:rsidR="00B546AF">
        <w:t>« </w:t>
      </w:r>
      <w:r>
        <w:t>rien</w:t>
      </w:r>
      <w:r w:rsidRPr="002C4077">
        <w:t xml:space="preserve"> </w:t>
      </w:r>
      <w:r>
        <w:t>de</w:t>
      </w:r>
      <w:r w:rsidRPr="002C4077">
        <w:t xml:space="preserve"> </w:t>
      </w:r>
      <w:r>
        <w:t>ce</w:t>
      </w:r>
      <w:r w:rsidRPr="002C4077">
        <w:t xml:space="preserve"> </w:t>
      </w:r>
      <w:r>
        <w:t>qui</w:t>
      </w:r>
      <w:r w:rsidRPr="002C4077">
        <w:t xml:space="preserve"> </w:t>
      </w:r>
      <w:r>
        <w:t>a</w:t>
      </w:r>
      <w:r w:rsidRPr="002C4077">
        <w:t xml:space="preserve"> </w:t>
      </w:r>
      <w:r>
        <w:t>été</w:t>
      </w:r>
      <w:r w:rsidRPr="002C4077">
        <w:t xml:space="preserve"> </w:t>
      </w:r>
      <w:r>
        <w:t>objecté</w:t>
      </w:r>
      <w:r w:rsidRPr="002C4077">
        <w:t xml:space="preserve"> </w:t>
      </w:r>
      <w:r>
        <w:t>de</w:t>
      </w:r>
      <w:r w:rsidRPr="002C4077">
        <w:t xml:space="preserve"> </w:t>
      </w:r>
      <w:r>
        <w:t>nos</w:t>
      </w:r>
      <w:r w:rsidRPr="002C4077">
        <w:t xml:space="preserve"> </w:t>
      </w:r>
      <w:r>
        <w:t>jours</w:t>
      </w:r>
      <w:r w:rsidRPr="002C4077">
        <w:t xml:space="preserve"> </w:t>
      </w:r>
      <w:r>
        <w:t>contre</w:t>
      </w:r>
      <w:r w:rsidRPr="002C4077">
        <w:t xml:space="preserve"> </w:t>
      </w:r>
      <w:r>
        <w:t>la</w:t>
      </w:r>
      <w:r w:rsidRPr="002C4077">
        <w:t xml:space="preserve"> </w:t>
      </w:r>
      <w:r>
        <w:t>véracité</w:t>
      </w:r>
      <w:r w:rsidRPr="002C4077">
        <w:t xml:space="preserve"> </w:t>
      </w:r>
      <w:r>
        <w:t>du</w:t>
      </w:r>
      <w:r w:rsidRPr="002C4077">
        <w:t xml:space="preserve"> </w:t>
      </w:r>
      <w:r>
        <w:t>récit</w:t>
      </w:r>
      <w:r w:rsidRPr="002C4077">
        <w:t xml:space="preserve"> </w:t>
      </w:r>
      <w:r>
        <w:t>de</w:t>
      </w:r>
      <w:r w:rsidRPr="002C4077">
        <w:t xml:space="preserve"> </w:t>
      </w:r>
      <w:r>
        <w:t>S.</w:t>
      </w:r>
      <w:r w:rsidRPr="002C4077">
        <w:t xml:space="preserve"> </w:t>
      </w:r>
      <w:r>
        <w:t>Luc</w:t>
      </w:r>
      <w:r w:rsidRPr="002C4077">
        <w:t xml:space="preserve"> </w:t>
      </w:r>
      <w:r>
        <w:t>ne</w:t>
      </w:r>
      <w:r w:rsidRPr="002C4077">
        <w:t xml:space="preserve"> </w:t>
      </w:r>
      <w:r>
        <w:t>provient</w:t>
      </w:r>
      <w:r w:rsidRPr="002C4077">
        <w:t xml:space="preserve"> </w:t>
      </w:r>
      <w:r>
        <w:t>du</w:t>
      </w:r>
      <w:r w:rsidRPr="002C4077">
        <w:t xml:space="preserve"> </w:t>
      </w:r>
      <w:r>
        <w:t>domaine</w:t>
      </w:r>
      <w:r w:rsidRPr="002C4077">
        <w:t xml:space="preserve"> </w:t>
      </w:r>
      <w:r>
        <w:t>historique</w:t>
      </w:r>
      <w:r w:rsidR="00B546AF">
        <w:t> :</w:t>
      </w:r>
      <w:r w:rsidRPr="002C4077">
        <w:t xml:space="preserve"> </w:t>
      </w:r>
      <w:r>
        <w:t>tout</w:t>
      </w:r>
      <w:r w:rsidRPr="002C4077">
        <w:t xml:space="preserve"> </w:t>
      </w:r>
      <w:r w:rsidR="00425C50">
        <w:t>est</w:t>
      </w:r>
      <w:r w:rsidRPr="002C4077">
        <w:t xml:space="preserve"> </w:t>
      </w:r>
      <w:r>
        <w:t>tiré</w:t>
      </w:r>
      <w:r w:rsidRPr="002C4077">
        <w:t xml:space="preserve"> </w:t>
      </w:r>
      <w:r>
        <w:t>des</w:t>
      </w:r>
      <w:r w:rsidRPr="002C4077">
        <w:t xml:space="preserve"> </w:t>
      </w:r>
      <w:r>
        <w:t>régions</w:t>
      </w:r>
      <w:r w:rsidRPr="002C4077">
        <w:t xml:space="preserve"> </w:t>
      </w:r>
      <w:r>
        <w:t>du</w:t>
      </w:r>
      <w:r w:rsidRPr="002C4077">
        <w:t xml:space="preserve"> </w:t>
      </w:r>
      <w:r>
        <w:t>dogme</w:t>
      </w:r>
      <w:r w:rsidRPr="004440EA">
        <w:t xml:space="preserve"> (</w:t>
      </w:r>
      <w:r>
        <w:t>et</w:t>
      </w:r>
      <w:r w:rsidRPr="002C4077">
        <w:t xml:space="preserve"> </w:t>
      </w:r>
      <w:r>
        <w:t>consiste,</w:t>
      </w:r>
      <w:r w:rsidRPr="002C4077">
        <w:t xml:space="preserve"> </w:t>
      </w:r>
      <w:r>
        <w:t>le</w:t>
      </w:r>
      <w:r w:rsidRPr="002C4077">
        <w:t xml:space="preserve"> </w:t>
      </w:r>
      <w:r>
        <w:t>lecteur</w:t>
      </w:r>
      <w:r w:rsidRPr="002C4077">
        <w:t xml:space="preserve"> </w:t>
      </w:r>
      <w:r>
        <w:t>a</w:t>
      </w:r>
      <w:r w:rsidRPr="002C4077">
        <w:t xml:space="preserve"> </w:t>
      </w:r>
      <w:r>
        <w:t>pu</w:t>
      </w:r>
      <w:r w:rsidRPr="002C4077">
        <w:t xml:space="preserve"> </w:t>
      </w:r>
      <w:r>
        <w:t>le</w:t>
      </w:r>
      <w:r w:rsidRPr="002C4077">
        <w:t xml:space="preserve"> </w:t>
      </w:r>
      <w:r>
        <w:t>reconnaître,</w:t>
      </w:r>
      <w:r w:rsidRPr="002C4077">
        <w:t xml:space="preserve"> </w:t>
      </w:r>
      <w:r>
        <w:t>en</w:t>
      </w:r>
      <w:r w:rsidRPr="002C4077">
        <w:t xml:space="preserve"> </w:t>
      </w:r>
      <w:r>
        <w:t>idées</w:t>
      </w:r>
      <w:r w:rsidRPr="002C4077">
        <w:t xml:space="preserve"> </w:t>
      </w:r>
      <w:r>
        <w:t>préconçues</w:t>
      </w:r>
      <w:r w:rsidR="00B546AF" w:rsidRPr="002C4077">
        <w:t>)</w:t>
      </w:r>
      <w:r>
        <w:t>.</w:t>
      </w:r>
      <w:r w:rsidRPr="002C4077">
        <w:t xml:space="preserve"> </w:t>
      </w:r>
      <w:r>
        <w:t>L’attaque</w:t>
      </w:r>
      <w:r w:rsidRPr="002C4077">
        <w:t xml:space="preserve"> </w:t>
      </w:r>
      <w:r>
        <w:t>ne</w:t>
      </w:r>
      <w:r w:rsidRPr="002C4077">
        <w:t xml:space="preserve"> </w:t>
      </w:r>
      <w:r>
        <w:t>porte</w:t>
      </w:r>
      <w:r w:rsidRPr="002C4077">
        <w:t xml:space="preserve"> </w:t>
      </w:r>
      <w:r>
        <w:t>point</w:t>
      </w:r>
      <w:r w:rsidRPr="002C4077">
        <w:t xml:space="preserve"> </w:t>
      </w:r>
      <w:r>
        <w:t>sur</w:t>
      </w:r>
      <w:r w:rsidRPr="002C4077">
        <w:t xml:space="preserve"> </w:t>
      </w:r>
      <w:r>
        <w:t>l’épisode</w:t>
      </w:r>
      <w:r w:rsidRPr="002C4077">
        <w:t xml:space="preserve"> </w:t>
      </w:r>
      <w:r>
        <w:t>considéré</w:t>
      </w:r>
      <w:r w:rsidRPr="002C4077">
        <w:t xml:space="preserve"> </w:t>
      </w:r>
      <w:r>
        <w:t>en</w:t>
      </w:r>
      <w:r w:rsidRPr="002C4077">
        <w:t xml:space="preserve"> </w:t>
      </w:r>
      <w:r>
        <w:t>lui-même,</w:t>
      </w:r>
      <w:r w:rsidRPr="002C4077">
        <w:t xml:space="preserve"> </w:t>
      </w:r>
      <w:r>
        <w:t>mais</w:t>
      </w:r>
      <w:r w:rsidRPr="002C4077">
        <w:t xml:space="preserve"> </w:t>
      </w:r>
      <w:r>
        <w:t>sur</w:t>
      </w:r>
      <w:r w:rsidRPr="002C4077">
        <w:t xml:space="preserve"> </w:t>
      </w:r>
      <w:r>
        <w:t>tous</w:t>
      </w:r>
      <w:r w:rsidRPr="002C4077">
        <w:t xml:space="preserve"> </w:t>
      </w:r>
      <w:r>
        <w:t>les</w:t>
      </w:r>
      <w:r w:rsidRPr="002C4077">
        <w:t xml:space="preserve"> </w:t>
      </w:r>
      <w:r>
        <w:t>phénomènes</w:t>
      </w:r>
      <w:r w:rsidRPr="002C4077">
        <w:t xml:space="preserve"> </w:t>
      </w:r>
      <w:r>
        <w:t>analogues.</w:t>
      </w:r>
      <w:r w:rsidRPr="002C4077">
        <w:t xml:space="preserve"> </w:t>
      </w:r>
      <w:r>
        <w:t>Donc,</w:t>
      </w:r>
      <w:r w:rsidRPr="002C4077">
        <w:t xml:space="preserve"> </w:t>
      </w:r>
      <w:r>
        <w:t>nous</w:t>
      </w:r>
      <w:r w:rsidRPr="002C4077">
        <w:t xml:space="preserve"> </w:t>
      </w:r>
      <w:r>
        <w:t>n’avons</w:t>
      </w:r>
      <w:r w:rsidRPr="002C4077">
        <w:t xml:space="preserve"> </w:t>
      </w:r>
      <w:r>
        <w:t>pas</w:t>
      </w:r>
      <w:r w:rsidRPr="002C4077">
        <w:t xml:space="preserve"> </w:t>
      </w:r>
      <w:r>
        <w:t>à</w:t>
      </w:r>
      <w:r w:rsidRPr="002C4077">
        <w:t xml:space="preserve"> </w:t>
      </w:r>
      <w:r>
        <w:t>entrer</w:t>
      </w:r>
      <w:r w:rsidRPr="002C4077">
        <w:t xml:space="preserve"> </w:t>
      </w:r>
      <w:r>
        <w:t>dans</w:t>
      </w:r>
      <w:r w:rsidRPr="002C4077">
        <w:t xml:space="preserve"> </w:t>
      </w:r>
      <w:r>
        <w:t>la</w:t>
      </w:r>
      <w:r w:rsidRPr="002C4077">
        <w:t xml:space="preserve"> </w:t>
      </w:r>
      <w:r>
        <w:t>réfutation</w:t>
      </w:r>
      <w:r w:rsidRPr="002C4077">
        <w:t xml:space="preserve"> </w:t>
      </w:r>
      <w:r>
        <w:t>détaillée</w:t>
      </w:r>
      <w:r w:rsidRPr="002C4077">
        <w:t xml:space="preserve"> </w:t>
      </w:r>
      <w:r>
        <w:t>des</w:t>
      </w:r>
      <w:r w:rsidRPr="002C4077">
        <w:t xml:space="preserve"> </w:t>
      </w:r>
      <w:r>
        <w:t>objections</w:t>
      </w:r>
      <w:r w:rsidRPr="002C4077">
        <w:t xml:space="preserve"> </w:t>
      </w:r>
      <w:r>
        <w:t>de</w:t>
      </w:r>
      <w:r w:rsidRPr="002C4077">
        <w:t xml:space="preserve"> </w:t>
      </w:r>
      <w:r>
        <w:t>nos</w:t>
      </w:r>
      <w:r w:rsidRPr="002C4077">
        <w:t xml:space="preserve"> </w:t>
      </w:r>
      <w:r>
        <w:t>adversaires</w:t>
      </w:r>
      <w:r w:rsidR="00B546AF">
        <w:t> :</w:t>
      </w:r>
      <w:r w:rsidRPr="002C4077">
        <w:t xml:space="preserve"> </w:t>
      </w:r>
      <w:r>
        <w:t>il</w:t>
      </w:r>
      <w:r w:rsidRPr="002C4077">
        <w:t xml:space="preserve"> </w:t>
      </w:r>
      <w:r>
        <w:t>nous</w:t>
      </w:r>
      <w:r w:rsidRPr="002C4077">
        <w:t xml:space="preserve"> </w:t>
      </w:r>
      <w:r>
        <w:t>suffit</w:t>
      </w:r>
      <w:r w:rsidRPr="002C4077">
        <w:t xml:space="preserve"> </w:t>
      </w:r>
      <w:r>
        <w:t>de</w:t>
      </w:r>
      <w:r w:rsidRPr="002C4077">
        <w:t xml:space="preserve"> </w:t>
      </w:r>
      <w:r>
        <w:t>nous</w:t>
      </w:r>
      <w:r w:rsidRPr="002C4077">
        <w:t xml:space="preserve"> </w:t>
      </w:r>
      <w:r>
        <w:t>assurer</w:t>
      </w:r>
      <w:r w:rsidRPr="002C4077">
        <w:t xml:space="preserve"> </w:t>
      </w:r>
      <w:r>
        <w:t>si</w:t>
      </w:r>
      <w:r w:rsidRPr="002C4077">
        <w:t xml:space="preserve"> </w:t>
      </w:r>
      <w:r>
        <w:t>le</w:t>
      </w:r>
      <w:r w:rsidRPr="002C4077">
        <w:t xml:space="preserve"> </w:t>
      </w:r>
      <w:r>
        <w:t>fait</w:t>
      </w:r>
      <w:r w:rsidRPr="002C4077">
        <w:t xml:space="preserve"> </w:t>
      </w:r>
      <w:r>
        <w:t>a</w:t>
      </w:r>
      <w:r w:rsidRPr="002C4077">
        <w:t xml:space="preserve"> </w:t>
      </w:r>
      <w:r>
        <w:t>eu</w:t>
      </w:r>
      <w:r w:rsidRPr="002C4077">
        <w:t xml:space="preserve"> </w:t>
      </w:r>
      <w:r>
        <w:t>lieu</w:t>
      </w:r>
      <w:r w:rsidRPr="002C4077">
        <w:t xml:space="preserve"> </w:t>
      </w:r>
      <w:r>
        <w:t>réellement,</w:t>
      </w:r>
      <w:r w:rsidRPr="002C4077">
        <w:t xml:space="preserve"> </w:t>
      </w:r>
      <w:r>
        <w:t>et</w:t>
      </w:r>
      <w:r w:rsidRPr="002C4077">
        <w:t xml:space="preserve"> </w:t>
      </w:r>
      <w:r>
        <w:t>d’en</w:t>
      </w:r>
      <w:r w:rsidRPr="002C4077">
        <w:t xml:space="preserve"> </w:t>
      </w:r>
      <w:r>
        <w:t>expliquer</w:t>
      </w:r>
      <w:r w:rsidRPr="002C4077">
        <w:t xml:space="preserve"> </w:t>
      </w:r>
      <w:r>
        <w:t>la</w:t>
      </w:r>
      <w:r w:rsidRPr="002C4077">
        <w:t xml:space="preserve"> </w:t>
      </w:r>
      <w:r>
        <w:t>signification</w:t>
      </w:r>
      <w:r w:rsidR="00B546AF">
        <w:t> »</w:t>
      </w:r>
      <w:r>
        <w:t>.</w:t>
      </w:r>
      <w:r w:rsidRPr="002C4077">
        <w:t xml:space="preserve"> </w:t>
      </w:r>
    </w:p>
    <w:p w:rsidR="000A7AAB" w:rsidRDefault="000A7AAB" w:rsidP="000A7AAB">
      <w:r>
        <w:t>Or,</w:t>
      </w:r>
      <w:r w:rsidRPr="002C4077">
        <w:t xml:space="preserve"> </w:t>
      </w:r>
      <w:r>
        <w:t>je</w:t>
      </w:r>
      <w:r w:rsidRPr="002C4077">
        <w:t xml:space="preserve"> </w:t>
      </w:r>
      <w:r>
        <w:t>crois</w:t>
      </w:r>
      <w:r w:rsidRPr="002C4077">
        <w:t xml:space="preserve"> </w:t>
      </w:r>
      <w:r>
        <w:t>que</w:t>
      </w:r>
      <w:r w:rsidRPr="002C4077">
        <w:t xml:space="preserve"> </w:t>
      </w:r>
      <w:r>
        <w:t>le</w:t>
      </w:r>
      <w:r w:rsidRPr="002C4077">
        <w:t xml:space="preserve"> </w:t>
      </w:r>
      <w:r>
        <w:t>fait</w:t>
      </w:r>
      <w:r w:rsidRPr="002C4077">
        <w:t xml:space="preserve"> </w:t>
      </w:r>
      <w:r>
        <w:t>a</w:t>
      </w:r>
      <w:r w:rsidRPr="002C4077">
        <w:t xml:space="preserve"> </w:t>
      </w:r>
      <w:r>
        <w:t>eu</w:t>
      </w:r>
      <w:r w:rsidRPr="002C4077">
        <w:t xml:space="preserve"> </w:t>
      </w:r>
      <w:r>
        <w:t>lieu</w:t>
      </w:r>
      <w:r w:rsidRPr="002C4077">
        <w:t xml:space="preserve"> </w:t>
      </w:r>
      <w:r>
        <w:t>réellement,</w:t>
      </w:r>
      <w:r w:rsidRPr="002C4077">
        <w:t xml:space="preserve"> </w:t>
      </w:r>
      <w:r>
        <w:t>parce</w:t>
      </w:r>
      <w:r w:rsidRPr="002C4077">
        <w:t xml:space="preserve"> </w:t>
      </w:r>
      <w:r>
        <w:t>qu’un</w:t>
      </w:r>
      <w:r w:rsidRPr="002C4077">
        <w:t xml:space="preserve"> </w:t>
      </w:r>
      <w:r>
        <w:t>écrivain</w:t>
      </w:r>
      <w:r w:rsidRPr="002C4077">
        <w:t xml:space="preserve"> </w:t>
      </w:r>
      <w:r>
        <w:t>sérieux</w:t>
      </w:r>
      <w:r w:rsidRPr="002C4077">
        <w:t xml:space="preserve"> </w:t>
      </w:r>
      <w:r>
        <w:t>me</w:t>
      </w:r>
      <w:r w:rsidRPr="002C4077">
        <w:t xml:space="preserve"> </w:t>
      </w:r>
      <w:r>
        <w:t>le</w:t>
      </w:r>
      <w:r w:rsidRPr="002C4077">
        <w:t xml:space="preserve"> </w:t>
      </w:r>
      <w:r>
        <w:t>raconte</w:t>
      </w:r>
      <w:r w:rsidRPr="002C4077">
        <w:t xml:space="preserve"> </w:t>
      </w:r>
      <w:r>
        <w:t>avec</w:t>
      </w:r>
      <w:r w:rsidRPr="002C4077">
        <w:t xml:space="preserve"> </w:t>
      </w:r>
      <w:r>
        <w:t>toutes</w:t>
      </w:r>
      <w:r w:rsidRPr="002C4077">
        <w:t xml:space="preserve"> </w:t>
      </w:r>
      <w:r>
        <w:t>les</w:t>
      </w:r>
      <w:r w:rsidRPr="002C4077">
        <w:t xml:space="preserve"> </w:t>
      </w:r>
      <w:r>
        <w:t>marques</w:t>
      </w:r>
      <w:r w:rsidRPr="002C4077">
        <w:t xml:space="preserve"> </w:t>
      </w:r>
      <w:r>
        <w:t>de</w:t>
      </w:r>
      <w:r w:rsidRPr="002C4077">
        <w:t xml:space="preserve"> </w:t>
      </w:r>
      <w:r>
        <w:t>la</w:t>
      </w:r>
      <w:r w:rsidRPr="002C4077">
        <w:t xml:space="preserve"> </w:t>
      </w:r>
      <w:r>
        <w:t>sincérité</w:t>
      </w:r>
      <w:r w:rsidRPr="002C4077">
        <w:t xml:space="preserve"> </w:t>
      </w:r>
      <w:r>
        <w:t>et</w:t>
      </w:r>
      <w:r w:rsidRPr="002C4077">
        <w:t xml:space="preserve"> </w:t>
      </w:r>
      <w:r>
        <w:t>d’une</w:t>
      </w:r>
      <w:r w:rsidRPr="002C4077">
        <w:t xml:space="preserve"> </w:t>
      </w:r>
      <w:r>
        <w:t>pleine</w:t>
      </w:r>
      <w:r w:rsidRPr="002C4077">
        <w:t xml:space="preserve"> </w:t>
      </w:r>
      <w:r>
        <w:t>connaissance</w:t>
      </w:r>
      <w:r w:rsidRPr="002C4077">
        <w:t xml:space="preserve"> </w:t>
      </w:r>
      <w:r>
        <w:t>de</w:t>
      </w:r>
      <w:r w:rsidRPr="002C4077">
        <w:t xml:space="preserve"> </w:t>
      </w:r>
      <w:r>
        <w:t>cause.</w:t>
      </w:r>
      <w:r w:rsidRPr="002C4077">
        <w:t xml:space="preserve"> </w:t>
      </w:r>
      <w:r>
        <w:t>Dans</w:t>
      </w:r>
      <w:r w:rsidRPr="002C4077">
        <w:t xml:space="preserve"> </w:t>
      </w:r>
      <w:r>
        <w:t>ce</w:t>
      </w:r>
      <w:r w:rsidRPr="002C4077">
        <w:t xml:space="preserve"> </w:t>
      </w:r>
      <w:r>
        <w:t>langage</w:t>
      </w:r>
      <w:r w:rsidRPr="002C4077">
        <w:t xml:space="preserve"> </w:t>
      </w:r>
      <w:r>
        <w:t>si</w:t>
      </w:r>
      <w:r w:rsidRPr="002C4077">
        <w:t xml:space="preserve"> </w:t>
      </w:r>
      <w:r>
        <w:t>sobre,</w:t>
      </w:r>
      <w:r w:rsidRPr="002C4077">
        <w:t xml:space="preserve"> </w:t>
      </w:r>
      <w:r>
        <w:t>si</w:t>
      </w:r>
      <w:r w:rsidRPr="002C4077">
        <w:t xml:space="preserve"> </w:t>
      </w:r>
      <w:r>
        <w:t>clair,</w:t>
      </w:r>
      <w:r w:rsidRPr="002C4077">
        <w:t xml:space="preserve"> </w:t>
      </w:r>
      <w:r>
        <w:t>si</w:t>
      </w:r>
      <w:r w:rsidRPr="002C4077">
        <w:t xml:space="preserve"> </w:t>
      </w:r>
      <w:r>
        <w:t>précis,</w:t>
      </w:r>
      <w:r w:rsidRPr="002C4077">
        <w:t xml:space="preserve"> </w:t>
      </w:r>
      <w:r>
        <w:t>où</w:t>
      </w:r>
      <w:r w:rsidRPr="002C4077">
        <w:t xml:space="preserve"> </w:t>
      </w:r>
      <w:r w:rsidR="00425C50">
        <w:t>est</w:t>
      </w:r>
      <w:r w:rsidRPr="002C4077">
        <w:t xml:space="preserve"> </w:t>
      </w:r>
      <w:r>
        <w:t>le</w:t>
      </w:r>
      <w:r w:rsidRPr="002C4077">
        <w:t xml:space="preserve"> </w:t>
      </w:r>
      <w:r>
        <w:t>coloris</w:t>
      </w:r>
      <w:r w:rsidRPr="002C4077">
        <w:t xml:space="preserve"> </w:t>
      </w:r>
      <w:r w:rsidR="00425C50">
        <w:t>poéti</w:t>
      </w:r>
      <w:r>
        <w:t>que</w:t>
      </w:r>
      <w:r w:rsidR="00B546AF">
        <w:t> ?</w:t>
      </w:r>
      <w:r w:rsidR="00C45B47">
        <w:t xml:space="preserve"> {</w:t>
      </w:r>
      <w:r w:rsidR="004C5B7A">
        <w:t>109</w:t>
      </w:r>
      <w:bookmarkStart w:id="319" w:name="p109"/>
      <w:bookmarkEnd w:id="319"/>
      <w:r w:rsidR="004C5B7A">
        <w:t xml:space="preserve">} </w:t>
      </w:r>
      <w:r w:rsidR="00B546AF">
        <w:t>« </w:t>
      </w:r>
      <w:r>
        <w:t>Un</w:t>
      </w:r>
      <w:r w:rsidRPr="002C4077">
        <w:t xml:space="preserve"> </w:t>
      </w:r>
      <w:r>
        <w:t>ange</w:t>
      </w:r>
      <w:r w:rsidRPr="002C4077">
        <w:t xml:space="preserve"> </w:t>
      </w:r>
      <w:r>
        <w:t>du</w:t>
      </w:r>
      <w:r w:rsidRPr="002C4077">
        <w:t xml:space="preserve"> </w:t>
      </w:r>
      <w:r>
        <w:t>ciel</w:t>
      </w:r>
      <w:r w:rsidRPr="002C4077">
        <w:t xml:space="preserve"> </w:t>
      </w:r>
      <w:r>
        <w:t>lui</w:t>
      </w:r>
      <w:r w:rsidRPr="002C4077">
        <w:t xml:space="preserve"> </w:t>
      </w:r>
      <w:r>
        <w:t>apparut,</w:t>
      </w:r>
      <w:r w:rsidRPr="002C4077">
        <w:t xml:space="preserve"> </w:t>
      </w:r>
      <w:r>
        <w:t>le</w:t>
      </w:r>
      <w:r w:rsidRPr="002C4077">
        <w:t xml:space="preserve"> </w:t>
      </w:r>
      <w:r>
        <w:t>fortifiant…,</w:t>
      </w:r>
      <w:r w:rsidRPr="002C4077">
        <w:t xml:space="preserve"> </w:t>
      </w:r>
      <w:r>
        <w:t>et</w:t>
      </w:r>
      <w:r w:rsidRPr="002C4077">
        <w:t xml:space="preserve"> </w:t>
      </w:r>
      <w:r>
        <w:t>sa</w:t>
      </w:r>
      <w:r w:rsidRPr="002C4077">
        <w:t xml:space="preserve"> </w:t>
      </w:r>
      <w:r>
        <w:t>sueur</w:t>
      </w:r>
      <w:r w:rsidRPr="002C4077">
        <w:t xml:space="preserve"> </w:t>
      </w:r>
      <w:r>
        <w:t>devint</w:t>
      </w:r>
      <w:r w:rsidRPr="002C4077">
        <w:t xml:space="preserve"> </w:t>
      </w:r>
      <w:r>
        <w:t>comme</w:t>
      </w:r>
      <w:r w:rsidRPr="002C4077">
        <w:t xml:space="preserve"> </w:t>
      </w:r>
      <w:r>
        <w:t>des</w:t>
      </w:r>
      <w:r w:rsidRPr="002C4077">
        <w:t xml:space="preserve"> </w:t>
      </w:r>
      <w:r>
        <w:t>gouttes</w:t>
      </w:r>
      <w:r w:rsidRPr="002C4077">
        <w:t xml:space="preserve"> </w:t>
      </w:r>
      <w:r>
        <w:t>de</w:t>
      </w:r>
      <w:r w:rsidRPr="002C4077">
        <w:t xml:space="preserve"> </w:t>
      </w:r>
      <w:r>
        <w:t>sang</w:t>
      </w:r>
      <w:r w:rsidRPr="002C4077">
        <w:t xml:space="preserve"> </w:t>
      </w:r>
      <w:r>
        <w:t>découlant</w:t>
      </w:r>
      <w:r w:rsidRPr="002C4077">
        <w:t xml:space="preserve"> </w:t>
      </w:r>
      <w:r>
        <w:t>jusqu’à</w:t>
      </w:r>
      <w:r w:rsidRPr="002C4077">
        <w:t xml:space="preserve"> </w:t>
      </w:r>
      <w:r>
        <w:t>terre</w:t>
      </w:r>
      <w:r w:rsidR="00B546AF">
        <w:t> »</w:t>
      </w:r>
      <w:r>
        <w:t>.</w:t>
      </w:r>
      <w:r w:rsidRPr="002C4077">
        <w:t xml:space="preserve"> </w:t>
      </w:r>
      <w:r>
        <w:t>Où</w:t>
      </w:r>
      <w:r w:rsidRPr="002C4077">
        <w:t xml:space="preserve"> </w:t>
      </w:r>
      <w:r>
        <w:t>voyez-vous</w:t>
      </w:r>
      <w:r w:rsidRPr="002C4077">
        <w:t xml:space="preserve"> </w:t>
      </w:r>
      <w:r>
        <w:t>la</w:t>
      </w:r>
      <w:r w:rsidRPr="002C4077">
        <w:t xml:space="preserve"> </w:t>
      </w:r>
      <w:r>
        <w:t>moindre</w:t>
      </w:r>
      <w:r w:rsidRPr="002C4077">
        <w:t xml:space="preserve"> </w:t>
      </w:r>
      <w:r>
        <w:t>trace</w:t>
      </w:r>
      <w:r w:rsidRPr="002C4077">
        <w:t xml:space="preserve"> </w:t>
      </w:r>
      <w:r>
        <w:t>d’exagération</w:t>
      </w:r>
      <w:r w:rsidR="00B546AF">
        <w:t> ?</w:t>
      </w:r>
      <w:r w:rsidRPr="002C4077">
        <w:t xml:space="preserve"> </w:t>
      </w:r>
      <w:r>
        <w:t>Oubliez-vous</w:t>
      </w:r>
      <w:r w:rsidRPr="002C4077">
        <w:t xml:space="preserve"> </w:t>
      </w:r>
      <w:r>
        <w:t>que</w:t>
      </w:r>
      <w:r w:rsidRPr="002C4077">
        <w:t xml:space="preserve"> </w:t>
      </w:r>
      <w:r>
        <w:lastRenderedPageBreak/>
        <w:t>le</w:t>
      </w:r>
      <w:r w:rsidRPr="002C4077">
        <w:t xml:space="preserve"> </w:t>
      </w:r>
      <w:r>
        <w:t>narrateur</w:t>
      </w:r>
      <w:r w:rsidRPr="002C4077">
        <w:t xml:space="preserve"> </w:t>
      </w:r>
      <w:r w:rsidR="00425C50">
        <w:t>est</w:t>
      </w:r>
      <w:r w:rsidRPr="002C4077">
        <w:t xml:space="preserve"> </w:t>
      </w:r>
      <w:r>
        <w:t>un</w:t>
      </w:r>
      <w:r w:rsidRPr="002C4077">
        <w:t xml:space="preserve"> </w:t>
      </w:r>
      <w:r>
        <w:t>médecin,</w:t>
      </w:r>
      <w:r w:rsidRPr="002C4077">
        <w:t xml:space="preserve"> </w:t>
      </w:r>
      <w:r>
        <w:t>homme</w:t>
      </w:r>
      <w:r w:rsidRPr="002C4077">
        <w:t xml:space="preserve"> </w:t>
      </w:r>
      <w:r>
        <w:t>d’observation</w:t>
      </w:r>
      <w:r w:rsidRPr="002C4077">
        <w:t xml:space="preserve"> </w:t>
      </w:r>
      <w:r>
        <w:t>par</w:t>
      </w:r>
      <w:r w:rsidRPr="002C4077">
        <w:t xml:space="preserve"> </w:t>
      </w:r>
      <w:r>
        <w:t>état,</w:t>
      </w:r>
      <w:r w:rsidRPr="002C4077">
        <w:t xml:space="preserve"> </w:t>
      </w:r>
      <w:r>
        <w:t>par</w:t>
      </w:r>
      <w:r w:rsidRPr="002C4077">
        <w:t xml:space="preserve"> </w:t>
      </w:r>
      <w:r>
        <w:t>habitude,</w:t>
      </w:r>
      <w:r w:rsidRPr="002C4077">
        <w:t xml:space="preserve"> </w:t>
      </w:r>
      <w:r>
        <w:t>et</w:t>
      </w:r>
      <w:r w:rsidRPr="002C4077">
        <w:t xml:space="preserve"> </w:t>
      </w:r>
      <w:r>
        <w:t>que</w:t>
      </w:r>
      <w:r w:rsidRPr="002C4077">
        <w:t xml:space="preserve"> </w:t>
      </w:r>
      <w:r>
        <w:t>l’un</w:t>
      </w:r>
      <w:r w:rsidRPr="002C4077">
        <w:t xml:space="preserve"> </w:t>
      </w:r>
      <w:r>
        <w:t>des</w:t>
      </w:r>
      <w:r w:rsidRPr="002C4077">
        <w:t xml:space="preserve"> </w:t>
      </w:r>
      <w:r>
        <w:t>deux</w:t>
      </w:r>
      <w:r w:rsidRPr="002C4077">
        <w:t xml:space="preserve"> </w:t>
      </w:r>
      <w:r>
        <w:t>phénomènes,</w:t>
      </w:r>
      <w:r w:rsidRPr="002C4077">
        <w:t xml:space="preserve"> </w:t>
      </w:r>
      <w:r>
        <w:t>la</w:t>
      </w:r>
      <w:r w:rsidRPr="002C4077">
        <w:t xml:space="preserve"> </w:t>
      </w:r>
      <w:r>
        <w:t>sueur</w:t>
      </w:r>
      <w:r w:rsidRPr="002C4077">
        <w:t xml:space="preserve"> </w:t>
      </w:r>
      <w:r>
        <w:t>de</w:t>
      </w:r>
      <w:r w:rsidRPr="002C4077">
        <w:t xml:space="preserve"> </w:t>
      </w:r>
      <w:r>
        <w:t>sang,</w:t>
      </w:r>
      <w:r w:rsidRPr="002C4077">
        <w:t xml:space="preserve"> </w:t>
      </w:r>
      <w:r>
        <w:t>rentre</w:t>
      </w:r>
      <w:r w:rsidRPr="002C4077">
        <w:t xml:space="preserve"> </w:t>
      </w:r>
      <w:r>
        <w:t>tout</w:t>
      </w:r>
      <w:r w:rsidRPr="002C4077">
        <w:t xml:space="preserve"> </w:t>
      </w:r>
      <w:r>
        <w:t>à</w:t>
      </w:r>
      <w:r w:rsidRPr="002C4077">
        <w:t xml:space="preserve"> </w:t>
      </w:r>
      <w:r>
        <w:t>fait</w:t>
      </w:r>
      <w:r w:rsidRPr="002C4077">
        <w:t xml:space="preserve"> </w:t>
      </w:r>
      <w:r>
        <w:t>dans</w:t>
      </w:r>
      <w:r w:rsidRPr="002C4077">
        <w:t xml:space="preserve"> </w:t>
      </w:r>
      <w:r>
        <w:t>son</w:t>
      </w:r>
      <w:r w:rsidRPr="002C4077">
        <w:t xml:space="preserve"> </w:t>
      </w:r>
      <w:r>
        <w:t>domaine</w:t>
      </w:r>
      <w:r w:rsidRPr="002C4077">
        <w:t xml:space="preserve"> </w:t>
      </w:r>
      <w:r>
        <w:t>officiel,</w:t>
      </w:r>
      <w:r w:rsidRPr="002C4077">
        <w:t xml:space="preserve"> </w:t>
      </w:r>
      <w:r>
        <w:t>preuve</w:t>
      </w:r>
      <w:r w:rsidRPr="002C4077">
        <w:t xml:space="preserve"> </w:t>
      </w:r>
      <w:r>
        <w:t>qu’en</w:t>
      </w:r>
      <w:r w:rsidRPr="002C4077">
        <w:t xml:space="preserve"> </w:t>
      </w:r>
      <w:r>
        <w:t>mentionnant</w:t>
      </w:r>
      <w:r w:rsidRPr="002C4077">
        <w:t xml:space="preserve"> </w:t>
      </w:r>
      <w:r>
        <w:t>l’autre</w:t>
      </w:r>
      <w:r w:rsidRPr="002C4077">
        <w:t xml:space="preserve"> </w:t>
      </w:r>
      <w:r>
        <w:t>il</w:t>
      </w:r>
      <w:r w:rsidRPr="002C4077">
        <w:t xml:space="preserve"> </w:t>
      </w:r>
      <w:r>
        <w:t>avait</w:t>
      </w:r>
      <w:r w:rsidRPr="002C4077">
        <w:t xml:space="preserve"> </w:t>
      </w:r>
      <w:r>
        <w:t>naturellement</w:t>
      </w:r>
      <w:r w:rsidRPr="002C4077">
        <w:t xml:space="preserve"> </w:t>
      </w:r>
      <w:r>
        <w:t>à</w:t>
      </w:r>
      <w:r w:rsidRPr="002C4077">
        <w:t xml:space="preserve"> </w:t>
      </w:r>
      <w:r>
        <w:t>la</w:t>
      </w:r>
      <w:r w:rsidRPr="002C4077">
        <w:t xml:space="preserve"> </w:t>
      </w:r>
      <w:r>
        <w:t>pensée</w:t>
      </w:r>
      <w:r w:rsidRPr="002C4077">
        <w:t xml:space="preserve"> </w:t>
      </w:r>
      <w:r>
        <w:t>quelque</w:t>
      </w:r>
      <w:r w:rsidRPr="002C4077">
        <w:t xml:space="preserve"> </w:t>
      </w:r>
      <w:r>
        <w:t>chose</w:t>
      </w:r>
      <w:r w:rsidRPr="002C4077">
        <w:t xml:space="preserve"> </w:t>
      </w:r>
      <w:r>
        <w:t>de</w:t>
      </w:r>
      <w:r w:rsidRPr="002C4077">
        <w:t xml:space="preserve"> </w:t>
      </w:r>
      <w:r>
        <w:t>réel,</w:t>
      </w:r>
      <w:r w:rsidRPr="002C4077">
        <w:t xml:space="preserve"> </w:t>
      </w:r>
      <w:r>
        <w:t>d’objectif,</w:t>
      </w:r>
      <w:r w:rsidRPr="002C4077">
        <w:t xml:space="preserve"> </w:t>
      </w:r>
      <w:r>
        <w:t>de</w:t>
      </w:r>
      <w:r w:rsidRPr="002C4077">
        <w:t xml:space="preserve"> </w:t>
      </w:r>
      <w:r>
        <w:t>certain.</w:t>
      </w:r>
      <w:r w:rsidRPr="002C4077">
        <w:t xml:space="preserve"> </w:t>
      </w:r>
      <w:r>
        <w:t>Mythe</w:t>
      </w:r>
      <w:r w:rsidRPr="002C4077">
        <w:t xml:space="preserve"> </w:t>
      </w:r>
      <w:r>
        <w:t>et</w:t>
      </w:r>
      <w:r w:rsidRPr="002C4077">
        <w:t xml:space="preserve"> </w:t>
      </w:r>
      <w:r>
        <w:t>légende</w:t>
      </w:r>
      <w:r w:rsidR="00B546AF">
        <w:t> !</w:t>
      </w:r>
      <w:r w:rsidRPr="002C4077">
        <w:t xml:space="preserve"> </w:t>
      </w:r>
      <w:r>
        <w:t>Mais,</w:t>
      </w:r>
      <w:r w:rsidRPr="002C4077">
        <w:t xml:space="preserve"> </w:t>
      </w:r>
      <w:r>
        <w:t>si</w:t>
      </w:r>
      <w:r w:rsidRPr="002C4077">
        <w:t xml:space="preserve"> </w:t>
      </w:r>
      <w:r>
        <w:t>j’appliquais</w:t>
      </w:r>
      <w:r w:rsidRPr="002C4077">
        <w:t xml:space="preserve"> </w:t>
      </w:r>
      <w:r>
        <w:t>à</w:t>
      </w:r>
      <w:r w:rsidRPr="002C4077">
        <w:t xml:space="preserve"> </w:t>
      </w:r>
      <w:r>
        <w:t>tous</w:t>
      </w:r>
      <w:r w:rsidRPr="002C4077">
        <w:t xml:space="preserve"> </w:t>
      </w:r>
      <w:r>
        <w:t>les</w:t>
      </w:r>
      <w:r w:rsidRPr="002C4077">
        <w:t xml:space="preserve"> </w:t>
      </w:r>
      <w:r>
        <w:t>anciens</w:t>
      </w:r>
      <w:r w:rsidRPr="002C4077">
        <w:t xml:space="preserve"> </w:t>
      </w:r>
      <w:r>
        <w:t>documents</w:t>
      </w:r>
      <w:r w:rsidRPr="002C4077">
        <w:t xml:space="preserve"> </w:t>
      </w:r>
      <w:r>
        <w:t>historiques,</w:t>
      </w:r>
      <w:r w:rsidRPr="002C4077">
        <w:t xml:space="preserve"> </w:t>
      </w:r>
      <w:r>
        <w:t>par</w:t>
      </w:r>
      <w:r w:rsidRPr="002C4077">
        <w:t xml:space="preserve"> </w:t>
      </w:r>
      <w:r>
        <w:t>exemple</w:t>
      </w:r>
      <w:r w:rsidRPr="002C4077">
        <w:t xml:space="preserve"> </w:t>
      </w:r>
      <w:r>
        <w:t>aux</w:t>
      </w:r>
      <w:r w:rsidRPr="002C4077">
        <w:t xml:space="preserve"> </w:t>
      </w:r>
      <w:r>
        <w:t>écrits</w:t>
      </w:r>
      <w:r w:rsidRPr="002C4077">
        <w:t xml:space="preserve"> </w:t>
      </w:r>
      <w:r>
        <w:t>de</w:t>
      </w:r>
      <w:r w:rsidRPr="002C4077">
        <w:t xml:space="preserve"> </w:t>
      </w:r>
      <w:r>
        <w:t>Xénophon,</w:t>
      </w:r>
      <w:r w:rsidRPr="002C4077">
        <w:t xml:space="preserve"> </w:t>
      </w:r>
      <w:r>
        <w:t>de</w:t>
      </w:r>
      <w:r w:rsidRPr="002C4077">
        <w:t xml:space="preserve"> </w:t>
      </w:r>
      <w:r>
        <w:t>César,</w:t>
      </w:r>
      <w:r w:rsidRPr="002C4077">
        <w:t xml:space="preserve"> </w:t>
      </w:r>
      <w:r>
        <w:t>les</w:t>
      </w:r>
      <w:r w:rsidRPr="002C4077">
        <w:t xml:space="preserve"> </w:t>
      </w:r>
      <w:r>
        <w:t>procédés</w:t>
      </w:r>
      <w:r w:rsidRPr="002C4077">
        <w:t xml:space="preserve"> </w:t>
      </w:r>
      <w:r>
        <w:t>dont</w:t>
      </w:r>
      <w:r w:rsidRPr="002C4077">
        <w:t xml:space="preserve"> </w:t>
      </w:r>
      <w:r>
        <w:t>vous</w:t>
      </w:r>
      <w:r w:rsidRPr="002C4077">
        <w:t xml:space="preserve"> </w:t>
      </w:r>
      <w:r>
        <w:t>ne</w:t>
      </w:r>
      <w:r w:rsidRPr="002C4077">
        <w:t xml:space="preserve"> </w:t>
      </w:r>
      <w:r>
        <w:t>craignez</w:t>
      </w:r>
      <w:r w:rsidRPr="002C4077">
        <w:t xml:space="preserve"> </w:t>
      </w:r>
      <w:r>
        <w:t>pas</w:t>
      </w:r>
      <w:r w:rsidRPr="002C4077">
        <w:t xml:space="preserve"> </w:t>
      </w:r>
      <w:r>
        <w:t>d’user</w:t>
      </w:r>
      <w:r w:rsidRPr="002C4077">
        <w:t xml:space="preserve"> </w:t>
      </w:r>
      <w:r>
        <w:t>à</w:t>
      </w:r>
      <w:r w:rsidRPr="002C4077">
        <w:t xml:space="preserve"> </w:t>
      </w:r>
      <w:r>
        <w:t>l’égard</w:t>
      </w:r>
      <w:r w:rsidRPr="002C4077">
        <w:t xml:space="preserve"> </w:t>
      </w:r>
      <w:r>
        <w:t>des</w:t>
      </w:r>
      <w:r w:rsidRPr="002C4077">
        <w:t xml:space="preserve"> </w:t>
      </w:r>
      <w:r>
        <w:t>évangiles,</w:t>
      </w:r>
      <w:r w:rsidRPr="002C4077">
        <w:t xml:space="preserve"> </w:t>
      </w:r>
      <w:r>
        <w:t>vous</w:t>
      </w:r>
      <w:r w:rsidRPr="002C4077">
        <w:t xml:space="preserve"> </w:t>
      </w:r>
      <w:r>
        <w:t>auriez</w:t>
      </w:r>
      <w:r w:rsidRPr="002C4077">
        <w:t xml:space="preserve"> </w:t>
      </w:r>
      <w:r>
        <w:t>le</w:t>
      </w:r>
      <w:r w:rsidRPr="002C4077">
        <w:t xml:space="preserve"> </w:t>
      </w:r>
      <w:r>
        <w:t>droit</w:t>
      </w:r>
      <w:r w:rsidRPr="002C4077">
        <w:t xml:space="preserve"> </w:t>
      </w:r>
      <w:r>
        <w:t>de</w:t>
      </w:r>
      <w:r w:rsidRPr="002C4077">
        <w:t xml:space="preserve"> </w:t>
      </w:r>
      <w:r>
        <w:t>me</w:t>
      </w:r>
      <w:r w:rsidRPr="002C4077">
        <w:t xml:space="preserve"> </w:t>
      </w:r>
      <w:r>
        <w:t>rire</w:t>
      </w:r>
      <w:r w:rsidRPr="002C4077">
        <w:t xml:space="preserve"> </w:t>
      </w:r>
      <w:r>
        <w:t>au</w:t>
      </w:r>
      <w:r w:rsidRPr="002C4077">
        <w:t xml:space="preserve"> </w:t>
      </w:r>
      <w:r>
        <w:t>visage.</w:t>
      </w:r>
      <w:r w:rsidRPr="002C4077">
        <w:t xml:space="preserve"> </w:t>
      </w:r>
      <w:r>
        <w:t>Que</w:t>
      </w:r>
      <w:r w:rsidRPr="002C4077">
        <w:t xml:space="preserve"> </w:t>
      </w:r>
      <w:r>
        <w:t>dis-je</w:t>
      </w:r>
      <w:r w:rsidR="00B546AF">
        <w:t> ?</w:t>
      </w:r>
      <w:r w:rsidRPr="002C4077">
        <w:t xml:space="preserve"> </w:t>
      </w:r>
      <w:r w:rsidR="00B546AF">
        <w:t>« </w:t>
      </w:r>
      <w:r>
        <w:t>Anciens</w:t>
      </w:r>
      <w:r w:rsidRPr="002C4077">
        <w:t xml:space="preserve"> </w:t>
      </w:r>
      <w:r>
        <w:t>monuments</w:t>
      </w:r>
      <w:r w:rsidRPr="002C4077">
        <w:t xml:space="preserve"> </w:t>
      </w:r>
      <w:r>
        <w:t>historiques</w:t>
      </w:r>
      <w:r w:rsidR="00B546AF">
        <w:t> ! »</w:t>
      </w:r>
      <w:r w:rsidRPr="002C4077">
        <w:t xml:space="preserve"> </w:t>
      </w:r>
      <w:r>
        <w:t>À</w:t>
      </w:r>
      <w:r w:rsidRPr="002C4077">
        <w:t xml:space="preserve"> </w:t>
      </w:r>
      <w:r>
        <w:t>vous</w:t>
      </w:r>
      <w:r w:rsidRPr="002C4077">
        <w:t xml:space="preserve"> </w:t>
      </w:r>
      <w:r>
        <w:t>imiter,</w:t>
      </w:r>
      <w:r w:rsidRPr="002C4077">
        <w:t xml:space="preserve"> </w:t>
      </w:r>
      <w:r>
        <w:t>je</w:t>
      </w:r>
      <w:r w:rsidRPr="002C4077">
        <w:t xml:space="preserve"> </w:t>
      </w:r>
      <w:r>
        <w:t>puis</w:t>
      </w:r>
      <w:r w:rsidRPr="002C4077">
        <w:t xml:space="preserve"> </w:t>
      </w:r>
      <w:r>
        <w:t>trouver</w:t>
      </w:r>
      <w:r w:rsidRPr="002C4077">
        <w:t xml:space="preserve"> </w:t>
      </w:r>
      <w:r>
        <w:t>du</w:t>
      </w:r>
      <w:r w:rsidRPr="002C4077">
        <w:t xml:space="preserve"> </w:t>
      </w:r>
      <w:r>
        <w:t>mythe</w:t>
      </w:r>
      <w:r w:rsidRPr="002C4077">
        <w:t xml:space="preserve"> </w:t>
      </w:r>
      <w:r>
        <w:t>et</w:t>
      </w:r>
      <w:r w:rsidRPr="002C4077">
        <w:t xml:space="preserve"> </w:t>
      </w:r>
      <w:r>
        <w:t>de</w:t>
      </w:r>
      <w:r w:rsidRPr="002C4077">
        <w:t xml:space="preserve"> </w:t>
      </w:r>
      <w:r>
        <w:t>la</w:t>
      </w:r>
      <w:r w:rsidRPr="002C4077">
        <w:t xml:space="preserve"> </w:t>
      </w:r>
      <w:r>
        <w:t>légende</w:t>
      </w:r>
      <w:r w:rsidRPr="002C4077">
        <w:t xml:space="preserve"> </w:t>
      </w:r>
      <w:r>
        <w:t>jusque</w:t>
      </w:r>
      <w:r w:rsidRPr="002C4077">
        <w:t xml:space="preserve"> </w:t>
      </w:r>
      <w:r>
        <w:t>dans</w:t>
      </w:r>
      <w:r w:rsidRPr="002C4077">
        <w:t xml:space="preserve"> </w:t>
      </w:r>
      <w:r>
        <w:t>les</w:t>
      </w:r>
      <w:r w:rsidRPr="002C4077">
        <w:t xml:space="preserve"> </w:t>
      </w:r>
      <w:r>
        <w:t>pâles</w:t>
      </w:r>
      <w:r w:rsidRPr="002C4077">
        <w:t xml:space="preserve"> </w:t>
      </w:r>
      <w:r>
        <w:t>et</w:t>
      </w:r>
      <w:r w:rsidRPr="002C4077">
        <w:t xml:space="preserve"> </w:t>
      </w:r>
      <w:r>
        <w:t>froides</w:t>
      </w:r>
      <w:r w:rsidRPr="002C4077">
        <w:t xml:space="preserve"> </w:t>
      </w:r>
      <w:r>
        <w:t>dépêches</w:t>
      </w:r>
      <w:r w:rsidRPr="002C4077">
        <w:t xml:space="preserve"> </w:t>
      </w:r>
      <w:r>
        <w:t>communiquées</w:t>
      </w:r>
      <w:r w:rsidRPr="002C4077">
        <w:t xml:space="preserve"> </w:t>
      </w:r>
      <w:r>
        <w:t>par</w:t>
      </w:r>
      <w:r w:rsidRPr="002C4077">
        <w:t xml:space="preserve"> </w:t>
      </w:r>
      <w:r w:rsidRPr="000A34B5">
        <w:rPr>
          <w:rStyle w:val="italicus"/>
        </w:rPr>
        <w:t>Y</w:t>
      </w:r>
      <w:r w:rsidRPr="002C4077">
        <w:t xml:space="preserve"> </w:t>
      </w:r>
      <w:r w:rsidRPr="000A34B5">
        <w:rPr>
          <w:rStyle w:val="italicus"/>
        </w:rPr>
        <w:t>Agence</w:t>
      </w:r>
      <w:r w:rsidRPr="002C4077">
        <w:t xml:space="preserve"> </w:t>
      </w:r>
      <w:r w:rsidRPr="000A34B5">
        <w:rPr>
          <w:rStyle w:val="italicus"/>
        </w:rPr>
        <w:t>Havas</w:t>
      </w:r>
      <w:r w:rsidRPr="002C4077">
        <w:t xml:space="preserve"> </w:t>
      </w:r>
      <w:r>
        <w:t>à</w:t>
      </w:r>
      <w:r w:rsidRPr="002C4077">
        <w:t xml:space="preserve"> </w:t>
      </w:r>
      <w:r>
        <w:t>mon</w:t>
      </w:r>
      <w:r w:rsidRPr="002C4077">
        <w:t xml:space="preserve"> </w:t>
      </w:r>
      <w:r>
        <w:t>journal.</w:t>
      </w:r>
      <w:r w:rsidRPr="002C4077">
        <w:t xml:space="preserve"> </w:t>
      </w:r>
    </w:p>
    <w:p w:rsidR="000A7AAB" w:rsidRDefault="00B546AF" w:rsidP="000A7AAB">
      <w:r>
        <w:t>« </w:t>
      </w:r>
      <w:r w:rsidR="000A7AAB">
        <w:t>M.</w:t>
      </w:r>
      <w:r w:rsidR="000A7AAB" w:rsidRPr="002C4077">
        <w:t xml:space="preserve"> </w:t>
      </w:r>
      <w:r w:rsidR="000A7AAB">
        <w:t>Renan</w:t>
      </w:r>
      <w:r w:rsidR="000A7AAB" w:rsidRPr="002C4077">
        <w:t xml:space="preserve"> </w:t>
      </w:r>
      <w:r w:rsidR="000A7AAB">
        <w:t>a</w:t>
      </w:r>
      <w:r w:rsidR="000A7AAB" w:rsidRPr="002C4077">
        <w:t xml:space="preserve"> </w:t>
      </w:r>
      <w:r w:rsidR="000A7AAB">
        <w:t>été</w:t>
      </w:r>
      <w:r w:rsidR="000A7AAB" w:rsidRPr="002C4077">
        <w:t xml:space="preserve"> </w:t>
      </w:r>
      <w:r w:rsidR="000A7AAB">
        <w:t>reçu</w:t>
      </w:r>
      <w:r w:rsidR="000A7AAB" w:rsidRPr="002C4077">
        <w:t xml:space="preserve"> </w:t>
      </w:r>
      <w:r w:rsidR="000A7AAB">
        <w:t>membre</w:t>
      </w:r>
      <w:r w:rsidR="000A7AAB" w:rsidRPr="002C4077">
        <w:t xml:space="preserve"> </w:t>
      </w:r>
      <w:r w:rsidR="000A7AAB">
        <w:t>de</w:t>
      </w:r>
      <w:r w:rsidR="000A7AAB" w:rsidRPr="002C4077">
        <w:t xml:space="preserve"> </w:t>
      </w:r>
      <w:r w:rsidR="000A7AAB">
        <w:t>l’Académie</w:t>
      </w:r>
      <w:r>
        <w:t> »</w:t>
      </w:r>
      <w:r w:rsidR="000A7AAB">
        <w:t>.</w:t>
      </w:r>
      <w:r w:rsidR="000A7AAB" w:rsidRPr="002C4077">
        <w:t xml:space="preserve"> </w:t>
      </w:r>
    </w:p>
    <w:p w:rsidR="000A7AAB" w:rsidRDefault="000A7AAB" w:rsidP="000A7AAB">
      <w:r>
        <w:t>Légende</w:t>
      </w:r>
      <w:r w:rsidR="00B546AF">
        <w:t> !</w:t>
      </w:r>
      <w:r w:rsidRPr="002C4077">
        <w:t xml:space="preserve"> </w:t>
      </w:r>
      <w:r>
        <w:t>car</w:t>
      </w:r>
      <w:r w:rsidRPr="002C4077">
        <w:t xml:space="preserve"> </w:t>
      </w:r>
      <w:r>
        <w:t>d’autres</w:t>
      </w:r>
      <w:r w:rsidRPr="002C4077">
        <w:t xml:space="preserve"> </w:t>
      </w:r>
      <w:r>
        <w:t>dépêches</w:t>
      </w:r>
      <w:r w:rsidRPr="002C4077">
        <w:t xml:space="preserve"> </w:t>
      </w:r>
      <w:r>
        <w:t>m’ont</w:t>
      </w:r>
      <w:r w:rsidRPr="002C4077">
        <w:t xml:space="preserve"> </w:t>
      </w:r>
      <w:r>
        <w:t>appris</w:t>
      </w:r>
      <w:r w:rsidRPr="002C4077">
        <w:t xml:space="preserve"> </w:t>
      </w:r>
      <w:r>
        <w:t>que</w:t>
      </w:r>
      <w:r w:rsidRPr="002C4077">
        <w:t xml:space="preserve"> </w:t>
      </w:r>
      <w:r>
        <w:t>M.</w:t>
      </w:r>
      <w:r w:rsidRPr="002C4077">
        <w:t xml:space="preserve"> </w:t>
      </w:r>
      <w:r>
        <w:t>Renan</w:t>
      </w:r>
      <w:r w:rsidRPr="002C4077">
        <w:t xml:space="preserve"> </w:t>
      </w:r>
      <w:r>
        <w:t>n’a</w:t>
      </w:r>
      <w:r w:rsidRPr="002C4077">
        <w:t xml:space="preserve"> </w:t>
      </w:r>
      <w:r>
        <w:t>pu</w:t>
      </w:r>
      <w:r w:rsidRPr="002C4077">
        <w:t xml:space="preserve"> </w:t>
      </w:r>
      <w:r>
        <w:t>réussir</w:t>
      </w:r>
      <w:r w:rsidRPr="002C4077">
        <w:t xml:space="preserve"> </w:t>
      </w:r>
      <w:r>
        <w:t>à</w:t>
      </w:r>
      <w:r w:rsidRPr="002C4077">
        <w:t xml:space="preserve"> </w:t>
      </w:r>
      <w:r>
        <w:t>se</w:t>
      </w:r>
      <w:r w:rsidRPr="002C4077">
        <w:t xml:space="preserve"> </w:t>
      </w:r>
      <w:r>
        <w:t>faire</w:t>
      </w:r>
      <w:r w:rsidRPr="002C4077">
        <w:t xml:space="preserve"> </w:t>
      </w:r>
      <w:r>
        <w:t>élire</w:t>
      </w:r>
      <w:r w:rsidRPr="002C4077">
        <w:t xml:space="preserve"> </w:t>
      </w:r>
      <w:r>
        <w:t>sénateur</w:t>
      </w:r>
      <w:r w:rsidR="00B546AF">
        <w:t> ;</w:t>
      </w:r>
      <w:r w:rsidRPr="002C4077">
        <w:t xml:space="preserve"> </w:t>
      </w:r>
      <w:r>
        <w:t>du</w:t>
      </w:r>
      <w:r w:rsidRPr="002C4077">
        <w:t xml:space="preserve"> </w:t>
      </w:r>
      <w:r>
        <w:t>reste,</w:t>
      </w:r>
      <w:r w:rsidRPr="002C4077">
        <w:t xml:space="preserve"> </w:t>
      </w:r>
      <w:r>
        <w:t>l’Académie</w:t>
      </w:r>
      <w:r w:rsidRPr="002C4077">
        <w:t xml:space="preserve"> </w:t>
      </w:r>
      <w:r>
        <w:t>était</w:t>
      </w:r>
      <w:r w:rsidRPr="002C4077">
        <w:t xml:space="preserve"> </w:t>
      </w:r>
      <w:r>
        <w:t>à</w:t>
      </w:r>
      <w:r w:rsidRPr="002C4077">
        <w:t xml:space="preserve"> </w:t>
      </w:r>
      <w:r>
        <w:t>son</w:t>
      </w:r>
      <w:r w:rsidRPr="002C4077">
        <w:t xml:space="preserve"> </w:t>
      </w:r>
      <w:r>
        <w:t>origine</w:t>
      </w:r>
      <w:r w:rsidRPr="002C4077">
        <w:t xml:space="preserve"> </w:t>
      </w:r>
      <w:r>
        <w:t>un</w:t>
      </w:r>
      <w:r w:rsidRPr="002C4077">
        <w:t xml:space="preserve"> </w:t>
      </w:r>
      <w:r>
        <w:t>corps</w:t>
      </w:r>
      <w:r w:rsidRPr="002C4077">
        <w:t xml:space="preserve"> </w:t>
      </w:r>
      <w:r>
        <w:t>profondément</w:t>
      </w:r>
      <w:r w:rsidRPr="002C4077">
        <w:t xml:space="preserve"> </w:t>
      </w:r>
      <w:r>
        <w:t>religieux</w:t>
      </w:r>
      <w:r w:rsidR="00B546AF">
        <w:t> :</w:t>
      </w:r>
      <w:r w:rsidRPr="002C4077">
        <w:t xml:space="preserve"> </w:t>
      </w:r>
      <w:r>
        <w:t>elle</w:t>
      </w:r>
      <w:r w:rsidRPr="002C4077">
        <w:t xml:space="preserve"> </w:t>
      </w:r>
      <w:r>
        <w:t>ne</w:t>
      </w:r>
      <w:r w:rsidRPr="002C4077">
        <w:t xml:space="preserve"> </w:t>
      </w:r>
      <w:r>
        <w:t>saurait</w:t>
      </w:r>
      <w:r w:rsidRPr="002C4077">
        <w:t xml:space="preserve"> </w:t>
      </w:r>
      <w:r>
        <w:t>avoir</w:t>
      </w:r>
      <w:r w:rsidRPr="002C4077">
        <w:t xml:space="preserve"> </w:t>
      </w:r>
      <w:r>
        <w:t>admis</w:t>
      </w:r>
      <w:r w:rsidRPr="002C4077">
        <w:t xml:space="preserve"> </w:t>
      </w:r>
      <w:r>
        <w:t>un</w:t>
      </w:r>
      <w:r w:rsidRPr="002C4077">
        <w:t xml:space="preserve"> </w:t>
      </w:r>
      <w:r>
        <w:t>renégat</w:t>
      </w:r>
      <w:r w:rsidRPr="002C4077">
        <w:t xml:space="preserve"> </w:t>
      </w:r>
      <w:r>
        <w:t>dans</w:t>
      </w:r>
      <w:r w:rsidRPr="002C4077">
        <w:t xml:space="preserve"> </w:t>
      </w:r>
      <w:r>
        <w:t>son</w:t>
      </w:r>
      <w:r w:rsidRPr="002C4077">
        <w:t xml:space="preserve"> </w:t>
      </w:r>
      <w:r>
        <w:t>sein.</w:t>
      </w:r>
      <w:r w:rsidRPr="002C4077">
        <w:t xml:space="preserve"> </w:t>
      </w:r>
      <w:r>
        <w:t>Donc,</w:t>
      </w:r>
      <w:r w:rsidRPr="002C4077">
        <w:t xml:space="preserve"> </w:t>
      </w:r>
      <w:r>
        <w:t>le</w:t>
      </w:r>
      <w:r w:rsidRPr="002C4077">
        <w:t xml:space="preserve"> </w:t>
      </w:r>
      <w:r>
        <w:t>seul</w:t>
      </w:r>
      <w:r w:rsidRPr="002C4077">
        <w:t xml:space="preserve"> </w:t>
      </w:r>
      <w:r>
        <w:t>point</w:t>
      </w:r>
      <w:r w:rsidRPr="002C4077">
        <w:t xml:space="preserve"> </w:t>
      </w:r>
      <w:r>
        <w:t>vrai</w:t>
      </w:r>
      <w:r w:rsidRPr="002C4077">
        <w:t xml:space="preserve"> </w:t>
      </w:r>
      <w:r>
        <w:t>de</w:t>
      </w:r>
      <w:r w:rsidRPr="002C4077">
        <w:t xml:space="preserve"> </w:t>
      </w:r>
      <w:r>
        <w:t>la</w:t>
      </w:r>
      <w:r w:rsidRPr="002C4077">
        <w:t xml:space="preserve"> </w:t>
      </w:r>
      <w:r>
        <w:t>nouvelle,</w:t>
      </w:r>
      <w:r w:rsidRPr="002C4077">
        <w:t xml:space="preserve"> </w:t>
      </w:r>
      <w:r>
        <w:t>c’est</w:t>
      </w:r>
      <w:r w:rsidRPr="002C4077">
        <w:t xml:space="preserve"> </w:t>
      </w:r>
      <w:r>
        <w:t>que</w:t>
      </w:r>
      <w:r w:rsidRPr="002C4077">
        <w:t xml:space="preserve"> </w:t>
      </w:r>
      <w:r>
        <w:t>M.</w:t>
      </w:r>
      <w:r w:rsidRPr="002C4077">
        <w:t xml:space="preserve"> </w:t>
      </w:r>
      <w:r>
        <w:t>Renan</w:t>
      </w:r>
      <w:r w:rsidRPr="002C4077">
        <w:t xml:space="preserve"> </w:t>
      </w:r>
      <w:r>
        <w:t>avait</w:t>
      </w:r>
      <w:r w:rsidRPr="002C4077">
        <w:t xml:space="preserve"> </w:t>
      </w:r>
      <w:r>
        <w:t>fortement</w:t>
      </w:r>
      <w:r w:rsidRPr="002C4077">
        <w:t xml:space="preserve"> </w:t>
      </w:r>
      <w:r>
        <w:t>envie</w:t>
      </w:r>
      <w:r w:rsidRPr="002C4077">
        <w:t xml:space="preserve"> </w:t>
      </w:r>
      <w:r>
        <w:t>d’être</w:t>
      </w:r>
      <w:r w:rsidRPr="002C4077">
        <w:t xml:space="preserve"> </w:t>
      </w:r>
      <w:r>
        <w:t>académicien.</w:t>
      </w:r>
      <w:r w:rsidRPr="002C4077">
        <w:t xml:space="preserve"> </w:t>
      </w:r>
    </w:p>
    <w:p w:rsidR="000A7AAB" w:rsidRDefault="00B546AF" w:rsidP="000A7AAB">
      <w:r>
        <w:t>« </w:t>
      </w:r>
      <w:r w:rsidR="000A7AAB">
        <w:t>M.</w:t>
      </w:r>
      <w:r w:rsidR="000A7AAB" w:rsidRPr="002C4077">
        <w:t xml:space="preserve"> </w:t>
      </w:r>
      <w:r w:rsidR="000A7AAB">
        <w:t>Littré,</w:t>
      </w:r>
      <w:r w:rsidR="000A7AAB" w:rsidRPr="002C4077">
        <w:t xml:space="preserve"> </w:t>
      </w:r>
      <w:r w:rsidR="000A7AAB">
        <w:t>dans</w:t>
      </w:r>
      <w:r w:rsidR="000A7AAB" w:rsidRPr="002C4077">
        <w:t xml:space="preserve"> </w:t>
      </w:r>
      <w:r w:rsidR="000A7AAB">
        <w:t>sa</w:t>
      </w:r>
      <w:r w:rsidR="000A7AAB" w:rsidRPr="002C4077">
        <w:t xml:space="preserve"> </w:t>
      </w:r>
      <w:r w:rsidR="000A7AAB">
        <w:t>dernière</w:t>
      </w:r>
      <w:r w:rsidR="000A7AAB" w:rsidRPr="002C4077">
        <w:t xml:space="preserve"> </w:t>
      </w:r>
      <w:r w:rsidR="000A7AAB">
        <w:t>maladie,</w:t>
      </w:r>
      <w:r w:rsidR="000A7AAB" w:rsidRPr="002C4077">
        <w:t xml:space="preserve"> </w:t>
      </w:r>
      <w:r w:rsidR="000A7AAB">
        <w:t>s’est</w:t>
      </w:r>
      <w:r w:rsidR="000A7AAB" w:rsidRPr="002C4077">
        <w:t xml:space="preserve"> </w:t>
      </w:r>
      <w:r w:rsidR="000A7AAB">
        <w:t>fait</w:t>
      </w:r>
      <w:r w:rsidR="000A7AAB" w:rsidRPr="002C4077">
        <w:t xml:space="preserve"> </w:t>
      </w:r>
      <w:r w:rsidR="000A7AAB">
        <w:t>soigner</w:t>
      </w:r>
      <w:r w:rsidR="000A7AAB" w:rsidRPr="002C4077">
        <w:t xml:space="preserve"> </w:t>
      </w:r>
      <w:r w:rsidR="000A7AAB">
        <w:t>par</w:t>
      </w:r>
      <w:r w:rsidR="000A7AAB" w:rsidRPr="002C4077">
        <w:t xml:space="preserve"> </w:t>
      </w:r>
      <w:r w:rsidR="000A7AAB">
        <w:t>une</w:t>
      </w:r>
      <w:r w:rsidR="000A7AAB" w:rsidRPr="002C4077">
        <w:t xml:space="preserve"> </w:t>
      </w:r>
      <w:r w:rsidR="000A7AAB">
        <w:t>religieuse</w:t>
      </w:r>
      <w:r w:rsidR="000A7AAB" w:rsidRPr="002C4077">
        <w:t xml:space="preserve"> </w:t>
      </w:r>
      <w:r w:rsidR="000A7AAB">
        <w:t>garde-malade</w:t>
      </w:r>
      <w:r>
        <w:t> »</w:t>
      </w:r>
      <w:r w:rsidR="000A7AAB">
        <w:t>.</w:t>
      </w:r>
      <w:r w:rsidR="000A7AAB" w:rsidRPr="002C4077">
        <w:t xml:space="preserve"> </w:t>
      </w:r>
    </w:p>
    <w:p w:rsidR="000A7AAB" w:rsidRPr="004C5B7A" w:rsidRDefault="000A7AAB" w:rsidP="000A7AAB">
      <w:r>
        <w:t>Mythe</w:t>
      </w:r>
      <w:r w:rsidRPr="002C4077">
        <w:t xml:space="preserve"> </w:t>
      </w:r>
      <w:r>
        <w:t>complet</w:t>
      </w:r>
      <w:r w:rsidR="00B546AF">
        <w:t> !</w:t>
      </w:r>
      <w:r w:rsidRPr="002C4077">
        <w:t xml:space="preserve"> </w:t>
      </w:r>
      <w:r>
        <w:t>Les</w:t>
      </w:r>
      <w:r w:rsidRPr="002C4077">
        <w:t xml:space="preserve"> </w:t>
      </w:r>
      <w:r>
        <w:t>catholiques</w:t>
      </w:r>
      <w:r w:rsidRPr="002C4077">
        <w:t xml:space="preserve"> </w:t>
      </w:r>
      <w:r>
        <w:t>ont</w:t>
      </w:r>
      <w:r w:rsidRPr="002C4077">
        <w:t xml:space="preserve"> </w:t>
      </w:r>
      <w:r>
        <w:t>propagé</w:t>
      </w:r>
      <w:r w:rsidRPr="002C4077">
        <w:t xml:space="preserve"> </w:t>
      </w:r>
      <w:r>
        <w:t>ce</w:t>
      </w:r>
      <w:r w:rsidRPr="002C4077">
        <w:t xml:space="preserve"> </w:t>
      </w:r>
      <w:r>
        <w:t>bruit</w:t>
      </w:r>
      <w:r w:rsidRPr="002C4077">
        <w:t xml:space="preserve"> </w:t>
      </w:r>
      <w:r>
        <w:t>pour</w:t>
      </w:r>
      <w:r w:rsidRPr="002C4077">
        <w:t xml:space="preserve"> </w:t>
      </w:r>
      <w:r>
        <w:t>faire</w:t>
      </w:r>
      <w:r w:rsidRPr="002C4077">
        <w:t xml:space="preserve"> </w:t>
      </w:r>
      <w:r>
        <w:t>accroire</w:t>
      </w:r>
      <w:r w:rsidRPr="002C4077">
        <w:t xml:space="preserve"> </w:t>
      </w:r>
      <w:r>
        <w:t>au</w:t>
      </w:r>
      <w:r w:rsidRPr="002C4077">
        <w:t xml:space="preserve"> </w:t>
      </w:r>
      <w:r>
        <w:t>vulgaire</w:t>
      </w:r>
      <w:r w:rsidRPr="002C4077">
        <w:t xml:space="preserve"> </w:t>
      </w:r>
      <w:r>
        <w:t>que</w:t>
      </w:r>
      <w:r w:rsidRPr="002C4077">
        <w:t xml:space="preserve"> </w:t>
      </w:r>
      <w:r>
        <w:t>leur</w:t>
      </w:r>
      <w:r w:rsidRPr="002C4077">
        <w:t xml:space="preserve"> </w:t>
      </w:r>
      <w:r>
        <w:t>religion</w:t>
      </w:r>
      <w:r w:rsidRPr="002C4077">
        <w:t xml:space="preserve"> </w:t>
      </w:r>
      <w:r>
        <w:t>finit</w:t>
      </w:r>
      <w:r w:rsidRPr="002C4077">
        <w:t xml:space="preserve"> </w:t>
      </w:r>
      <w:r>
        <w:t>toujours</w:t>
      </w:r>
      <w:r w:rsidRPr="002C4077">
        <w:t xml:space="preserve"> </w:t>
      </w:r>
      <w:r>
        <w:t>par</w:t>
      </w:r>
      <w:r w:rsidRPr="002C4077">
        <w:t xml:space="preserve"> </w:t>
      </w:r>
      <w:r>
        <w:t>triompher</w:t>
      </w:r>
      <w:r w:rsidRPr="002C4077">
        <w:t xml:space="preserve"> </w:t>
      </w:r>
      <w:r>
        <w:t>de</w:t>
      </w:r>
      <w:r w:rsidRPr="002C4077">
        <w:t xml:space="preserve"> </w:t>
      </w:r>
      <w:r>
        <w:t>ses</w:t>
      </w:r>
      <w:r w:rsidRPr="002C4077">
        <w:t xml:space="preserve"> </w:t>
      </w:r>
      <w:r>
        <w:t>plus</w:t>
      </w:r>
      <w:r w:rsidRPr="002C4077">
        <w:t xml:space="preserve"> </w:t>
      </w:r>
      <w:r>
        <w:t>redoutables</w:t>
      </w:r>
      <w:r w:rsidRPr="002C4077">
        <w:t xml:space="preserve"> </w:t>
      </w:r>
      <w:r>
        <w:t>ennemis…</w:t>
      </w:r>
      <w:r w:rsidRPr="002C4077">
        <w:t xml:space="preserve"> </w:t>
      </w:r>
      <w:r>
        <w:t>Et</w:t>
      </w:r>
      <w:r w:rsidRPr="002C4077">
        <w:t xml:space="preserve"> </w:t>
      </w:r>
      <w:r>
        <w:t>ainsi</w:t>
      </w:r>
      <w:r w:rsidRPr="002C4077">
        <w:t xml:space="preserve"> </w:t>
      </w:r>
      <w:r>
        <w:t>de</w:t>
      </w:r>
      <w:r w:rsidRPr="002C4077">
        <w:t xml:space="preserve"> </w:t>
      </w:r>
      <w:r>
        <w:t>suite.</w:t>
      </w:r>
      <w:r w:rsidRPr="002C4077">
        <w:t xml:space="preserve"> </w:t>
      </w:r>
      <w:r>
        <w:t>Prendrez-vous</w:t>
      </w:r>
      <w:r w:rsidRPr="002C4077">
        <w:t xml:space="preserve"> </w:t>
      </w:r>
      <w:r>
        <w:t>la</w:t>
      </w:r>
      <w:r w:rsidRPr="002C4077">
        <w:t xml:space="preserve"> </w:t>
      </w:r>
      <w:r>
        <w:t>peine</w:t>
      </w:r>
      <w:r w:rsidRPr="002C4077">
        <w:t xml:space="preserve"> </w:t>
      </w:r>
      <w:r>
        <w:t>de</w:t>
      </w:r>
      <w:r w:rsidRPr="002C4077">
        <w:t xml:space="preserve"> </w:t>
      </w:r>
      <w:r>
        <w:t>me</w:t>
      </w:r>
      <w:r w:rsidRPr="002C4077">
        <w:t xml:space="preserve"> </w:t>
      </w:r>
      <w:r>
        <w:t>démontrer</w:t>
      </w:r>
      <w:r w:rsidRPr="002C4077">
        <w:t xml:space="preserve"> </w:t>
      </w:r>
      <w:r>
        <w:t>que</w:t>
      </w:r>
      <w:r w:rsidRPr="002C4077">
        <w:t xml:space="preserve"> </w:t>
      </w:r>
      <w:r>
        <w:t>j’ai</w:t>
      </w:r>
      <w:r w:rsidRPr="002C4077">
        <w:t xml:space="preserve"> </w:t>
      </w:r>
      <w:r>
        <w:t>tort</w:t>
      </w:r>
      <w:r w:rsidR="00B546AF">
        <w:t> ?</w:t>
      </w:r>
      <w:r w:rsidRPr="002C4077">
        <w:t xml:space="preserve"> </w:t>
      </w:r>
      <w:r>
        <w:t>Et</w:t>
      </w:r>
      <w:r w:rsidRPr="002C4077">
        <w:t xml:space="preserve"> </w:t>
      </w:r>
      <w:r>
        <w:t>pourtant,</w:t>
      </w:r>
      <w:r w:rsidRPr="002C4077">
        <w:t xml:space="preserve"> </w:t>
      </w:r>
      <w:r>
        <w:t>je</w:t>
      </w:r>
      <w:r w:rsidRPr="002C4077">
        <w:t xml:space="preserve"> </w:t>
      </w:r>
      <w:r>
        <w:t>n’ai</w:t>
      </w:r>
      <w:r w:rsidRPr="002C4077">
        <w:t xml:space="preserve"> </w:t>
      </w:r>
      <w:r>
        <w:t>fait</w:t>
      </w:r>
      <w:r w:rsidRPr="002C4077">
        <w:t xml:space="preserve"> </w:t>
      </w:r>
      <w:r>
        <w:t>que</w:t>
      </w:r>
      <w:r w:rsidRPr="002C4077">
        <w:t xml:space="preserve"> </w:t>
      </w:r>
      <w:r>
        <w:t>suivre</w:t>
      </w:r>
      <w:r w:rsidRPr="002C4077">
        <w:t xml:space="preserve"> </w:t>
      </w:r>
      <w:r>
        <w:t>en</w:t>
      </w:r>
      <w:r w:rsidRPr="002C4077">
        <w:t xml:space="preserve"> </w:t>
      </w:r>
      <w:r>
        <w:t>tout</w:t>
      </w:r>
      <w:r w:rsidRPr="002C4077">
        <w:t xml:space="preserve"> </w:t>
      </w:r>
      <w:r>
        <w:t>point</w:t>
      </w:r>
      <w:r w:rsidRPr="002C4077">
        <w:t xml:space="preserve"> </w:t>
      </w:r>
      <w:r>
        <w:t>votre</w:t>
      </w:r>
      <w:r w:rsidRPr="002C4077">
        <w:t xml:space="preserve"> </w:t>
      </w:r>
      <w:r>
        <w:t>méthode.</w:t>
      </w:r>
      <w:r w:rsidR="00C45B47">
        <w:t xml:space="preserve"> {</w:t>
      </w:r>
      <w:r w:rsidR="004C5B7A">
        <w:t>110</w:t>
      </w:r>
      <w:bookmarkStart w:id="320" w:name="p110"/>
      <w:bookmarkEnd w:id="320"/>
      <w:r w:rsidR="004C5B7A">
        <w:t xml:space="preserve">} </w:t>
      </w:r>
    </w:p>
    <w:p w:rsidR="000A7AAB" w:rsidRDefault="000A7AAB" w:rsidP="000A7AAB">
      <w:r>
        <w:t>Commencez</w:t>
      </w:r>
      <w:r w:rsidRPr="002C4077">
        <w:t xml:space="preserve"> </w:t>
      </w:r>
      <w:r>
        <w:t>par</w:t>
      </w:r>
      <w:r w:rsidRPr="002C4077">
        <w:t xml:space="preserve"> </w:t>
      </w:r>
      <w:r>
        <w:t>être</w:t>
      </w:r>
      <w:r w:rsidRPr="002C4077">
        <w:t xml:space="preserve"> </w:t>
      </w:r>
      <w:r>
        <w:t>scientifiques,</w:t>
      </w:r>
      <w:r w:rsidRPr="002C4077">
        <w:t xml:space="preserve"> </w:t>
      </w:r>
      <w:r>
        <w:t>et</w:t>
      </w:r>
      <w:r w:rsidRPr="002C4077">
        <w:t xml:space="preserve"> </w:t>
      </w:r>
      <w:r>
        <w:t>songez</w:t>
      </w:r>
      <w:r w:rsidRPr="002C4077">
        <w:t xml:space="preserve"> </w:t>
      </w:r>
      <w:r>
        <w:t>à</w:t>
      </w:r>
      <w:r w:rsidRPr="002C4077">
        <w:t xml:space="preserve"> </w:t>
      </w:r>
      <w:r>
        <w:t>vous</w:t>
      </w:r>
      <w:r w:rsidRPr="002C4077">
        <w:t xml:space="preserve"> </w:t>
      </w:r>
      <w:r>
        <w:t>mettre</w:t>
      </w:r>
      <w:r w:rsidRPr="002C4077">
        <w:t xml:space="preserve"> </w:t>
      </w:r>
      <w:r>
        <w:t>d’accord.</w:t>
      </w:r>
      <w:r w:rsidRPr="002C4077">
        <w:t xml:space="preserve"> </w:t>
      </w:r>
      <w:r>
        <w:t>En</w:t>
      </w:r>
      <w:r w:rsidRPr="002C4077">
        <w:t xml:space="preserve"> </w:t>
      </w:r>
      <w:r>
        <w:t>attendant,</w:t>
      </w:r>
      <w:r w:rsidRPr="002C4077">
        <w:t xml:space="preserve"> </w:t>
      </w:r>
      <w:r>
        <w:t>nous</w:t>
      </w:r>
      <w:r w:rsidRPr="002C4077">
        <w:t xml:space="preserve"> </w:t>
      </w:r>
      <w:r>
        <w:t>vous</w:t>
      </w:r>
      <w:r w:rsidRPr="002C4077">
        <w:t xml:space="preserve"> </w:t>
      </w:r>
      <w:r>
        <w:t>renvoyons</w:t>
      </w:r>
      <w:r w:rsidRPr="002C4077">
        <w:t xml:space="preserve"> </w:t>
      </w:r>
      <w:r>
        <w:t>à</w:t>
      </w:r>
      <w:r w:rsidRPr="002C4077">
        <w:t xml:space="preserve"> </w:t>
      </w:r>
      <w:r>
        <w:t>tous</w:t>
      </w:r>
      <w:r w:rsidRPr="002C4077">
        <w:t xml:space="preserve"> </w:t>
      </w:r>
      <w:r>
        <w:t>la</w:t>
      </w:r>
      <w:r w:rsidRPr="002C4077">
        <w:t xml:space="preserve"> </w:t>
      </w:r>
      <w:r>
        <w:t>parole</w:t>
      </w:r>
      <w:r w:rsidRPr="002C4077">
        <w:t xml:space="preserve"> </w:t>
      </w:r>
      <w:r>
        <w:t>que</w:t>
      </w:r>
      <w:r w:rsidRPr="002C4077">
        <w:t xml:space="preserve"> </w:t>
      </w:r>
      <w:r>
        <w:t>l’un</w:t>
      </w:r>
      <w:r w:rsidRPr="002C4077">
        <w:t xml:space="preserve"> </w:t>
      </w:r>
      <w:r>
        <w:t>des</w:t>
      </w:r>
      <w:r w:rsidRPr="002C4077">
        <w:t xml:space="preserve"> </w:t>
      </w:r>
      <w:r>
        <w:t>vôtres,</w:t>
      </w:r>
      <w:r w:rsidRPr="002C4077">
        <w:t xml:space="preserve"> </w:t>
      </w:r>
      <w:r>
        <w:t>Steinmeyer</w:t>
      </w:r>
      <w:r w:rsidR="00B91AF7">
        <w:rPr>
          <w:rStyle w:val="Appelnotedebasdep"/>
        </w:rPr>
        <w:footnoteReference w:id="342"/>
      </w:r>
      <w:r>
        <w:t>,</w:t>
      </w:r>
      <w:r w:rsidRPr="002C4077">
        <w:t xml:space="preserve"> </w:t>
      </w:r>
      <w:r>
        <w:t>adressait</w:t>
      </w:r>
      <w:r w:rsidRPr="002C4077">
        <w:t xml:space="preserve"> </w:t>
      </w:r>
      <w:r>
        <w:t>au</w:t>
      </w:r>
      <w:r w:rsidRPr="002C4077">
        <w:t xml:space="preserve"> </w:t>
      </w:r>
      <w:r>
        <w:t>D</w:t>
      </w:r>
      <w:r>
        <w:rPr>
          <w:vertAlign w:val="superscript"/>
        </w:rPr>
        <w:t>r</w:t>
      </w:r>
      <w:r w:rsidRPr="002C4077">
        <w:t xml:space="preserve"> </w:t>
      </w:r>
      <w:r>
        <w:t>Strauss</w:t>
      </w:r>
      <w:bookmarkStart w:id="321" w:name="z_Strauss_o7"/>
      <w:bookmarkEnd w:id="321"/>
      <w:r w:rsidR="00B546AF">
        <w:t> :</w:t>
      </w:r>
      <w:r w:rsidRPr="002C4077">
        <w:t xml:space="preserve"> </w:t>
      </w:r>
      <w:r w:rsidR="00B546AF">
        <w:t>« </w:t>
      </w:r>
      <w:r>
        <w:t>Vos</w:t>
      </w:r>
      <w:r w:rsidRPr="002C4077">
        <w:t xml:space="preserve"> </w:t>
      </w:r>
      <w:r>
        <w:t>phrases</w:t>
      </w:r>
      <w:r w:rsidRPr="002C4077">
        <w:t xml:space="preserve"> </w:t>
      </w:r>
      <w:r>
        <w:t>sont</w:t>
      </w:r>
      <w:r w:rsidRPr="002C4077">
        <w:t xml:space="preserve"> </w:t>
      </w:r>
      <w:r>
        <w:t>des</w:t>
      </w:r>
      <w:r w:rsidRPr="002C4077">
        <w:t xml:space="preserve"> </w:t>
      </w:r>
      <w:r>
        <w:t>phrases</w:t>
      </w:r>
      <w:r w:rsidRPr="002C4077">
        <w:t xml:space="preserve"> </w:t>
      </w:r>
      <w:r>
        <w:t>creuses</w:t>
      </w:r>
      <w:r w:rsidR="00B91AF7">
        <w:rPr>
          <w:rStyle w:val="Appelnotedebasdep"/>
        </w:rPr>
        <w:footnoteReference w:id="343"/>
      </w:r>
      <w:r w:rsidR="00B546AF">
        <w:t> »</w:t>
      </w:r>
      <w:r>
        <w:t>.</w:t>
      </w:r>
      <w:r w:rsidRPr="002C4077">
        <w:t xml:space="preserve"> </w:t>
      </w:r>
    </w:p>
    <w:p w:rsidR="000D12F1" w:rsidRDefault="000D12F1" w:rsidP="000A7AAB"/>
    <w:p w:rsidR="000A7AAB" w:rsidRDefault="000A7AAB" w:rsidP="000A7AAB">
      <w:r>
        <w:t>Toutefois,</w:t>
      </w:r>
      <w:r w:rsidRPr="002C4077">
        <w:t xml:space="preserve"> </w:t>
      </w:r>
      <w:r>
        <w:t>les</w:t>
      </w:r>
      <w:r w:rsidRPr="002C4077">
        <w:t xml:space="preserve"> </w:t>
      </w:r>
      <w:r>
        <w:t>rationalistes</w:t>
      </w:r>
      <w:r w:rsidRPr="002C4077">
        <w:t xml:space="preserve"> </w:t>
      </w:r>
      <w:r>
        <w:t>ont</w:t>
      </w:r>
      <w:r w:rsidRPr="002C4077">
        <w:t xml:space="preserve"> </w:t>
      </w:r>
      <w:r>
        <w:t>essayé</w:t>
      </w:r>
      <w:r w:rsidRPr="002C4077">
        <w:t xml:space="preserve"> </w:t>
      </w:r>
      <w:r>
        <w:t>d’apporter</w:t>
      </w:r>
      <w:r w:rsidRPr="002C4077">
        <w:t xml:space="preserve"> </w:t>
      </w:r>
      <w:r>
        <w:t>une</w:t>
      </w:r>
      <w:r w:rsidRPr="002C4077">
        <w:t xml:space="preserve"> </w:t>
      </w:r>
      <w:r>
        <w:t>ou</w:t>
      </w:r>
      <w:r w:rsidRPr="002C4077">
        <w:t xml:space="preserve"> </w:t>
      </w:r>
      <w:r>
        <w:t>deux</w:t>
      </w:r>
      <w:r w:rsidRPr="002C4077">
        <w:t xml:space="preserve"> </w:t>
      </w:r>
      <w:r>
        <w:t>preuves</w:t>
      </w:r>
      <w:r w:rsidRPr="002C4077">
        <w:t xml:space="preserve"> </w:t>
      </w:r>
      <w:r>
        <w:t>à</w:t>
      </w:r>
      <w:r w:rsidRPr="002C4077">
        <w:t xml:space="preserve"> </w:t>
      </w:r>
      <w:r>
        <w:t>l’</w:t>
      </w:r>
      <w:r w:rsidR="003B53FD">
        <w:t>appui</w:t>
      </w:r>
      <w:r w:rsidRPr="002C4077">
        <w:t xml:space="preserve"> </w:t>
      </w:r>
      <w:r>
        <w:t>de</w:t>
      </w:r>
      <w:r w:rsidRPr="002C4077">
        <w:t xml:space="preserve"> </w:t>
      </w:r>
      <w:r>
        <w:t>leurs</w:t>
      </w:r>
      <w:r w:rsidRPr="002C4077">
        <w:t xml:space="preserve"> </w:t>
      </w:r>
      <w:r>
        <w:t>théories.</w:t>
      </w:r>
      <w:r w:rsidRPr="002C4077">
        <w:t xml:space="preserve"> </w:t>
      </w:r>
    </w:p>
    <w:p w:rsidR="000A7AAB" w:rsidRPr="004C5B7A" w:rsidRDefault="000A7AAB" w:rsidP="000A7AAB">
      <w:r>
        <w:t>1°</w:t>
      </w:r>
      <w:r w:rsidRPr="002C4077">
        <w:t xml:space="preserve"> </w:t>
      </w:r>
      <w:r w:rsidR="00B546AF">
        <w:t>« </w:t>
      </w:r>
      <w:r>
        <w:t>Toute</w:t>
      </w:r>
      <w:r w:rsidRPr="002C4077">
        <w:t xml:space="preserve"> </w:t>
      </w:r>
      <w:r>
        <w:t>cette</w:t>
      </w:r>
      <w:r w:rsidRPr="002C4077">
        <w:t xml:space="preserve"> </w:t>
      </w:r>
      <w:r>
        <w:t>histoire</w:t>
      </w:r>
      <w:r w:rsidRPr="002C4077">
        <w:t xml:space="preserve"> </w:t>
      </w:r>
      <w:r>
        <w:t>manque</w:t>
      </w:r>
      <w:r w:rsidRPr="002C4077">
        <w:t xml:space="preserve"> </w:t>
      </w:r>
      <w:r>
        <w:t>dans</w:t>
      </w:r>
      <w:r w:rsidRPr="002C4077">
        <w:t xml:space="preserve"> </w:t>
      </w:r>
      <w:r>
        <w:t>le</w:t>
      </w:r>
      <w:r w:rsidRPr="002C4077">
        <w:t xml:space="preserve"> </w:t>
      </w:r>
      <w:r>
        <w:t>quatrième</w:t>
      </w:r>
      <w:r w:rsidRPr="002C4077">
        <w:t xml:space="preserve"> </w:t>
      </w:r>
      <w:r w:rsidR="00F44410">
        <w:t>évangile</w:t>
      </w:r>
      <w:r w:rsidR="00F44410">
        <w:rPr>
          <w:rStyle w:val="Appelnotedebasdep"/>
        </w:rPr>
        <w:footnoteReference w:id="344"/>
      </w:r>
      <w:r w:rsidR="00B546AF">
        <w:t> »</w:t>
      </w:r>
      <w:r>
        <w:t>.</w:t>
      </w:r>
      <w:r w:rsidRPr="002C4077">
        <w:t xml:space="preserve"> </w:t>
      </w:r>
      <w:r>
        <w:t>Mais</w:t>
      </w:r>
      <w:r w:rsidRPr="002C4077">
        <w:t xml:space="preserve"> </w:t>
      </w:r>
      <w:r>
        <w:t>elle</w:t>
      </w:r>
      <w:r w:rsidRPr="002C4077">
        <w:t xml:space="preserve"> </w:t>
      </w:r>
      <w:r>
        <w:t>manque</w:t>
      </w:r>
      <w:r w:rsidRPr="002C4077">
        <w:t xml:space="preserve"> </w:t>
      </w:r>
      <w:r>
        <w:t>aussi</w:t>
      </w:r>
      <w:r w:rsidRPr="002C4077">
        <w:t xml:space="preserve"> </w:t>
      </w:r>
      <w:r>
        <w:t>dans</w:t>
      </w:r>
      <w:r w:rsidRPr="002C4077">
        <w:t xml:space="preserve"> </w:t>
      </w:r>
      <w:r>
        <w:t>S.</w:t>
      </w:r>
      <w:r w:rsidRPr="002C4077">
        <w:t xml:space="preserve"> </w:t>
      </w:r>
      <w:r w:rsidR="00425C50">
        <w:t>Matth</w:t>
      </w:r>
      <w:r>
        <w:t>ieu</w:t>
      </w:r>
      <w:r w:rsidRPr="002C4077">
        <w:t xml:space="preserve"> </w:t>
      </w:r>
      <w:r>
        <w:t>et</w:t>
      </w:r>
      <w:r w:rsidRPr="002C4077">
        <w:t xml:space="preserve"> </w:t>
      </w:r>
      <w:r>
        <w:t>clans</w:t>
      </w:r>
      <w:r w:rsidRPr="002C4077">
        <w:t xml:space="preserve"> </w:t>
      </w:r>
      <w:r>
        <w:t>S.</w:t>
      </w:r>
      <w:r w:rsidRPr="002C4077">
        <w:t xml:space="preserve"> </w:t>
      </w:r>
      <w:r>
        <w:t>Marc.</w:t>
      </w:r>
      <w:r w:rsidRPr="002C4077">
        <w:t xml:space="preserve"> </w:t>
      </w:r>
      <w:r>
        <w:t>Voulez-vous</w:t>
      </w:r>
      <w:r w:rsidRPr="002C4077">
        <w:t xml:space="preserve"> </w:t>
      </w:r>
      <w:r>
        <w:t>dire</w:t>
      </w:r>
      <w:r w:rsidRPr="002C4077">
        <w:t xml:space="preserve"> </w:t>
      </w:r>
      <w:r>
        <w:t>que,</w:t>
      </w:r>
      <w:r w:rsidRPr="002C4077">
        <w:t xml:space="preserve"> </w:t>
      </w:r>
      <w:r>
        <w:t>lorsque</w:t>
      </w:r>
      <w:r w:rsidRPr="002C4077">
        <w:t xml:space="preserve"> </w:t>
      </w:r>
      <w:r>
        <w:t>plusieurs</w:t>
      </w:r>
      <w:r w:rsidRPr="002C4077">
        <w:t xml:space="preserve"> </w:t>
      </w:r>
      <w:r>
        <w:t>écrivains</w:t>
      </w:r>
      <w:r w:rsidRPr="002C4077">
        <w:t xml:space="preserve"> </w:t>
      </w:r>
      <w:r>
        <w:t>entreprennent,</w:t>
      </w:r>
      <w:r w:rsidRPr="002C4077">
        <w:t xml:space="preserve"> </w:t>
      </w:r>
      <w:r>
        <w:t>à</w:t>
      </w:r>
      <w:r w:rsidRPr="002C4077">
        <w:t xml:space="preserve"> </w:t>
      </w:r>
      <w:r>
        <w:t>différentes</w:t>
      </w:r>
      <w:r w:rsidRPr="002C4077">
        <w:t xml:space="preserve"> </w:t>
      </w:r>
      <w:r>
        <w:t>époques,</w:t>
      </w:r>
      <w:r w:rsidRPr="002C4077">
        <w:t xml:space="preserve"> </w:t>
      </w:r>
      <w:r>
        <w:t>en</w:t>
      </w:r>
      <w:r w:rsidRPr="002C4077">
        <w:t xml:space="preserve"> </w:t>
      </w:r>
      <w:r>
        <w:t>divers</w:t>
      </w:r>
      <w:r w:rsidRPr="002C4077">
        <w:t xml:space="preserve"> </w:t>
      </w:r>
      <w:r>
        <w:t>lieux,</w:t>
      </w:r>
      <w:r w:rsidRPr="002C4077">
        <w:t xml:space="preserve"> </w:t>
      </w:r>
      <w:r>
        <w:t>avec</w:t>
      </w:r>
      <w:r w:rsidRPr="002C4077">
        <w:t xml:space="preserve"> </w:t>
      </w:r>
      <w:r>
        <w:t>des</w:t>
      </w:r>
      <w:r w:rsidRPr="002C4077">
        <w:t xml:space="preserve"> </w:t>
      </w:r>
      <w:r>
        <w:t>intentions</w:t>
      </w:r>
      <w:r w:rsidRPr="002C4077">
        <w:t xml:space="preserve"> </w:t>
      </w:r>
      <w:r>
        <w:t>distinctes,</w:t>
      </w:r>
      <w:r w:rsidRPr="002C4077">
        <w:t xml:space="preserve"> </w:t>
      </w:r>
      <w:r>
        <w:t>de</w:t>
      </w:r>
      <w:r w:rsidRPr="002C4077">
        <w:t xml:space="preserve"> </w:t>
      </w:r>
      <w:r>
        <w:t>raconter</w:t>
      </w:r>
      <w:r w:rsidRPr="002C4077">
        <w:t xml:space="preserve"> </w:t>
      </w:r>
      <w:r>
        <w:t>un</w:t>
      </w:r>
      <w:r w:rsidRPr="002C4077">
        <w:t xml:space="preserve"> </w:t>
      </w:r>
      <w:r>
        <w:t>même</w:t>
      </w:r>
      <w:r w:rsidRPr="002C4077">
        <w:t xml:space="preserve"> </w:t>
      </w:r>
      <w:r>
        <w:t>événement,</w:t>
      </w:r>
      <w:r w:rsidRPr="002C4077">
        <w:t xml:space="preserve"> </w:t>
      </w:r>
      <w:r>
        <w:t>ils</w:t>
      </w:r>
      <w:r w:rsidRPr="002C4077">
        <w:t xml:space="preserve"> </w:t>
      </w:r>
      <w:r>
        <w:t>devront</w:t>
      </w:r>
      <w:r w:rsidRPr="002C4077">
        <w:t xml:space="preserve"> </w:t>
      </w:r>
      <w:r>
        <w:t>signaler</w:t>
      </w:r>
      <w:r w:rsidRPr="002C4077">
        <w:t xml:space="preserve"> </w:t>
      </w:r>
      <w:r>
        <w:t>les</w:t>
      </w:r>
      <w:r w:rsidRPr="002C4077">
        <w:t xml:space="preserve"> </w:t>
      </w:r>
      <w:r>
        <w:t>mêmes</w:t>
      </w:r>
      <w:r w:rsidRPr="002C4077">
        <w:t xml:space="preserve"> </w:t>
      </w:r>
      <w:r>
        <w:t>détails</w:t>
      </w:r>
      <w:r w:rsidRPr="002C4077">
        <w:t xml:space="preserve"> </w:t>
      </w:r>
      <w:r>
        <w:t>et</w:t>
      </w:r>
      <w:r w:rsidRPr="002C4077">
        <w:t xml:space="preserve"> </w:t>
      </w:r>
      <w:r>
        <w:t>de</w:t>
      </w:r>
      <w:r w:rsidRPr="002C4077">
        <w:t xml:space="preserve"> </w:t>
      </w:r>
      <w:r>
        <w:t>la</w:t>
      </w:r>
      <w:r w:rsidRPr="002C4077">
        <w:t xml:space="preserve"> </w:t>
      </w:r>
      <w:r>
        <w:t>même</w:t>
      </w:r>
      <w:r w:rsidRPr="002C4077">
        <w:t xml:space="preserve"> </w:t>
      </w:r>
      <w:r>
        <w:t>manière,</w:t>
      </w:r>
      <w:r w:rsidRPr="002C4077">
        <w:t xml:space="preserve"> </w:t>
      </w:r>
      <w:r>
        <w:t>sous</w:t>
      </w:r>
      <w:r w:rsidRPr="002C4077">
        <w:t xml:space="preserve"> </w:t>
      </w:r>
      <w:r>
        <w:t>peine</w:t>
      </w:r>
      <w:r w:rsidRPr="002C4077">
        <w:t xml:space="preserve"> </w:t>
      </w:r>
      <w:r>
        <w:t>de</w:t>
      </w:r>
      <w:r w:rsidRPr="002C4077">
        <w:t xml:space="preserve"> </w:t>
      </w:r>
      <w:r>
        <w:t>perdre</w:t>
      </w:r>
      <w:r w:rsidRPr="002C4077">
        <w:t xml:space="preserve"> </w:t>
      </w:r>
      <w:r>
        <w:t>tout</w:t>
      </w:r>
      <w:r w:rsidRPr="002C4077">
        <w:t xml:space="preserve"> </w:t>
      </w:r>
      <w:r>
        <w:t>droit</w:t>
      </w:r>
      <w:r w:rsidRPr="002C4077">
        <w:t xml:space="preserve"> </w:t>
      </w:r>
      <w:r>
        <w:t>à</w:t>
      </w:r>
      <w:r w:rsidRPr="002C4077">
        <w:t xml:space="preserve"> </w:t>
      </w:r>
      <w:r>
        <w:t>la</w:t>
      </w:r>
      <w:r w:rsidRPr="002C4077">
        <w:t xml:space="preserve"> </w:t>
      </w:r>
      <w:r>
        <w:t>créance</w:t>
      </w:r>
      <w:r w:rsidR="00B546AF">
        <w:t> ?</w:t>
      </w:r>
      <w:r w:rsidRPr="002C4077">
        <w:t xml:space="preserve"> </w:t>
      </w:r>
      <w:r>
        <w:t>Par</w:t>
      </w:r>
      <w:r w:rsidRPr="002C4077">
        <w:t xml:space="preserve"> </w:t>
      </w:r>
      <w:r>
        <w:t>cet</w:t>
      </w:r>
      <w:r w:rsidRPr="002C4077">
        <w:t xml:space="preserve"> </w:t>
      </w:r>
      <w:r>
        <w:t>étrange</w:t>
      </w:r>
      <w:r w:rsidRPr="002C4077">
        <w:t xml:space="preserve"> </w:t>
      </w:r>
      <w:r>
        <w:t>principe</w:t>
      </w:r>
      <w:r w:rsidRPr="002C4077">
        <w:t xml:space="preserve"> </w:t>
      </w:r>
      <w:r>
        <w:t>vous</w:t>
      </w:r>
      <w:r w:rsidRPr="002C4077">
        <w:t xml:space="preserve"> </w:t>
      </w:r>
      <w:r>
        <w:t>anéantiriez</w:t>
      </w:r>
      <w:r w:rsidRPr="002C4077">
        <w:t xml:space="preserve"> </w:t>
      </w:r>
      <w:r>
        <w:t>d’un</w:t>
      </w:r>
      <w:r w:rsidRPr="002C4077">
        <w:t xml:space="preserve"> </w:t>
      </w:r>
      <w:r>
        <w:t>trait</w:t>
      </w:r>
      <w:r w:rsidRPr="002C4077">
        <w:t xml:space="preserve"> </w:t>
      </w:r>
      <w:r>
        <w:t>de</w:t>
      </w:r>
      <w:r w:rsidRPr="002C4077">
        <w:t xml:space="preserve"> </w:t>
      </w:r>
      <w:r>
        <w:t>plume</w:t>
      </w:r>
      <w:r w:rsidRPr="002C4077">
        <w:t xml:space="preserve"> </w:t>
      </w:r>
      <w:r>
        <w:t>la</w:t>
      </w:r>
      <w:r w:rsidRPr="002C4077">
        <w:t xml:space="preserve"> </w:t>
      </w:r>
      <w:r>
        <w:t>plus</w:t>
      </w:r>
      <w:r w:rsidRPr="002C4077">
        <w:t xml:space="preserve"> </w:t>
      </w:r>
      <w:r>
        <w:t>grande</w:t>
      </w:r>
      <w:r w:rsidRPr="002C4077">
        <w:t xml:space="preserve"> </w:t>
      </w:r>
      <w:r>
        <w:t>partie</w:t>
      </w:r>
      <w:r w:rsidRPr="002C4077">
        <w:t xml:space="preserve"> </w:t>
      </w:r>
      <w:r>
        <w:t>des</w:t>
      </w:r>
      <w:r w:rsidRPr="002C4077">
        <w:t xml:space="preserve"> </w:t>
      </w:r>
      <w:r>
        <w:t>documents</w:t>
      </w:r>
      <w:r w:rsidRPr="002C4077">
        <w:t xml:space="preserve"> </w:t>
      </w:r>
      <w:r>
        <w:t>historiques.</w:t>
      </w:r>
      <w:r w:rsidRPr="002C4077">
        <w:t xml:space="preserve"> </w:t>
      </w:r>
      <w:r>
        <w:t>À</w:t>
      </w:r>
      <w:r w:rsidRPr="002C4077">
        <w:t xml:space="preserve"> </w:t>
      </w:r>
      <w:r>
        <w:t>coup</w:t>
      </w:r>
      <w:r w:rsidRPr="002C4077">
        <w:t xml:space="preserve"> </w:t>
      </w:r>
      <w:r>
        <w:t>sûr,</w:t>
      </w:r>
      <w:r w:rsidRPr="002C4077">
        <w:t xml:space="preserve"> </w:t>
      </w:r>
      <w:r w:rsidR="00B546AF">
        <w:t>« </w:t>
      </w:r>
      <w:r>
        <w:t>l’omission</w:t>
      </w:r>
      <w:r w:rsidRPr="002C4077">
        <w:t xml:space="preserve"> </w:t>
      </w:r>
      <w:r>
        <w:t>de</w:t>
      </w:r>
      <w:r w:rsidRPr="002C4077">
        <w:t xml:space="preserve"> </w:t>
      </w:r>
      <w:r>
        <w:t>quelques</w:t>
      </w:r>
      <w:r w:rsidRPr="002C4077">
        <w:t xml:space="preserve"> </w:t>
      </w:r>
      <w:r>
        <w:t>menus</w:t>
      </w:r>
      <w:r w:rsidRPr="002C4077">
        <w:t xml:space="preserve"> </w:t>
      </w:r>
      <w:r>
        <w:t>détails</w:t>
      </w:r>
      <w:r w:rsidRPr="002C4077">
        <w:t xml:space="preserve"> </w:t>
      </w:r>
      <w:r w:rsidR="00425C50">
        <w:t>est</w:t>
      </w:r>
      <w:r w:rsidRPr="002C4077">
        <w:t xml:space="preserve"> </w:t>
      </w:r>
      <w:r>
        <w:t>une</w:t>
      </w:r>
      <w:r w:rsidRPr="002C4077">
        <w:t xml:space="preserve"> </w:t>
      </w:r>
      <w:r>
        <w:t>contradiction</w:t>
      </w:r>
      <w:r w:rsidRPr="002C4077">
        <w:t xml:space="preserve"> </w:t>
      </w:r>
      <w:r>
        <w:t>flagrante</w:t>
      </w:r>
      <w:r w:rsidR="00B546AF">
        <w:t> ;</w:t>
      </w:r>
      <w:r w:rsidRPr="002C4077">
        <w:t xml:space="preserve"> </w:t>
      </w:r>
      <w:r>
        <w:t>c’est</w:t>
      </w:r>
      <w:r w:rsidRPr="002C4077">
        <w:t xml:space="preserve"> </w:t>
      </w:r>
      <w:r>
        <w:t>pourquoi</w:t>
      </w:r>
      <w:r w:rsidRPr="002C4077">
        <w:t xml:space="preserve"> </w:t>
      </w:r>
      <w:r>
        <w:t>Cornélius</w:t>
      </w:r>
      <w:r w:rsidRPr="002C4077">
        <w:t xml:space="preserve"> </w:t>
      </w:r>
      <w:r>
        <w:t>Nepos</w:t>
      </w:r>
      <w:r w:rsidRPr="002C4077">
        <w:t xml:space="preserve"> </w:t>
      </w:r>
      <w:r>
        <w:t>contredit</w:t>
      </w:r>
      <w:r w:rsidRPr="002C4077">
        <w:t xml:space="preserve"> </w:t>
      </w:r>
      <w:r>
        <w:t>affreusement</w:t>
      </w:r>
      <w:r w:rsidRPr="002C4077">
        <w:t xml:space="preserve"> </w:t>
      </w:r>
      <w:r>
        <w:t>Hérodote</w:t>
      </w:r>
      <w:r w:rsidRPr="002C4077">
        <w:t xml:space="preserve"> </w:t>
      </w:r>
      <w:r>
        <w:t>dans</w:t>
      </w:r>
      <w:r w:rsidRPr="002C4077">
        <w:t xml:space="preserve"> </w:t>
      </w:r>
      <w:r>
        <w:t>sa</w:t>
      </w:r>
      <w:r w:rsidRPr="002C4077">
        <w:t xml:space="preserve"> </w:t>
      </w:r>
      <w:r>
        <w:t>description</w:t>
      </w:r>
      <w:r w:rsidRPr="002C4077">
        <w:t xml:space="preserve"> </w:t>
      </w:r>
      <w:r>
        <w:t>de</w:t>
      </w:r>
      <w:r w:rsidRPr="002C4077">
        <w:t xml:space="preserve"> </w:t>
      </w:r>
      <w:r>
        <w:t>la</w:t>
      </w:r>
      <w:r w:rsidRPr="002C4077">
        <w:t xml:space="preserve"> </w:t>
      </w:r>
      <w:r>
        <w:t>bataille</w:t>
      </w:r>
      <w:r w:rsidRPr="002C4077">
        <w:t xml:space="preserve"> </w:t>
      </w:r>
      <w:r>
        <w:t>de</w:t>
      </w:r>
      <w:r w:rsidRPr="002C4077">
        <w:t xml:space="preserve"> </w:t>
      </w:r>
      <w:r>
        <w:t>Salamine</w:t>
      </w:r>
      <w:r w:rsidR="00B546AF">
        <w:t> »</w:t>
      </w:r>
      <w:r>
        <w:t>.</w:t>
      </w:r>
      <w:r w:rsidRPr="002C4077">
        <w:t xml:space="preserve"> </w:t>
      </w:r>
      <w:r>
        <w:t>Cette</w:t>
      </w:r>
      <w:r w:rsidRPr="002C4077">
        <w:t xml:space="preserve"> </w:t>
      </w:r>
      <w:r>
        <w:t>spirituelle</w:t>
      </w:r>
      <w:r w:rsidRPr="002C4077">
        <w:t xml:space="preserve"> </w:t>
      </w:r>
      <w:r>
        <w:t>repartie</w:t>
      </w:r>
      <w:r w:rsidRPr="002C4077">
        <w:t xml:space="preserve"> </w:t>
      </w:r>
      <w:r>
        <w:t>d’Ébrard</w:t>
      </w:r>
      <w:r w:rsidRPr="002C4077">
        <w:t xml:space="preserve"> </w:t>
      </w:r>
      <w:r w:rsidR="00B91AF7">
        <w:rPr>
          <w:rStyle w:val="Appelnotedebasdep"/>
        </w:rPr>
        <w:footnoteReference w:id="345"/>
      </w:r>
      <w:r w:rsidRPr="002C4077">
        <w:t xml:space="preserve"> </w:t>
      </w:r>
      <w:r>
        <w:t>vaut</w:t>
      </w:r>
      <w:r w:rsidRPr="002C4077">
        <w:t xml:space="preserve"> </w:t>
      </w:r>
      <w:r>
        <w:t>une</w:t>
      </w:r>
      <w:r w:rsidRPr="002C4077">
        <w:t xml:space="preserve"> </w:t>
      </w:r>
      <w:r>
        <w:t>page</w:t>
      </w:r>
      <w:r w:rsidRPr="002C4077">
        <w:t xml:space="preserve"> </w:t>
      </w:r>
      <w:r>
        <w:t>de</w:t>
      </w:r>
      <w:r w:rsidRPr="002C4077">
        <w:t xml:space="preserve"> </w:t>
      </w:r>
      <w:r>
        <w:t>réfutation.</w:t>
      </w:r>
      <w:r w:rsidRPr="002C4077">
        <w:t xml:space="preserve"> </w:t>
      </w:r>
      <w:r>
        <w:t>Non,</w:t>
      </w:r>
      <w:r w:rsidRPr="002C4077">
        <w:t xml:space="preserve"> </w:t>
      </w:r>
      <w:r w:rsidR="00B546AF">
        <w:t>« </w:t>
      </w:r>
      <w:r>
        <w:t>le</w:t>
      </w:r>
      <w:r w:rsidRPr="002C4077">
        <w:t xml:space="preserve"> </w:t>
      </w:r>
      <w:r>
        <w:t>silence</w:t>
      </w:r>
      <w:r w:rsidRPr="002C4077">
        <w:t xml:space="preserve"> </w:t>
      </w:r>
      <w:r>
        <w:t>de</w:t>
      </w:r>
      <w:r w:rsidRPr="002C4077">
        <w:t xml:space="preserve"> </w:t>
      </w:r>
      <w:r>
        <w:t>Jean</w:t>
      </w:r>
      <w:r w:rsidRPr="002C4077">
        <w:t xml:space="preserve"> </w:t>
      </w:r>
      <w:r>
        <w:t>sur</w:t>
      </w:r>
      <w:r w:rsidRPr="002C4077">
        <w:t xml:space="preserve"> </w:t>
      </w:r>
      <w:r>
        <w:t>l’angoisse</w:t>
      </w:r>
      <w:r w:rsidRPr="002C4077">
        <w:t xml:space="preserve"> </w:t>
      </w:r>
      <w:r>
        <w:t>de</w:t>
      </w:r>
      <w:r w:rsidRPr="002C4077">
        <w:t xml:space="preserve"> </w:t>
      </w:r>
      <w:r>
        <w:t>Gethsémani</w:t>
      </w:r>
      <w:r w:rsidRPr="002C4077">
        <w:t xml:space="preserve"> </w:t>
      </w:r>
      <w:r>
        <w:t>n’a</w:t>
      </w:r>
      <w:r w:rsidRPr="002C4077">
        <w:t xml:space="preserve"> </w:t>
      </w:r>
      <w:r>
        <w:t>pas</w:t>
      </w:r>
      <w:r w:rsidRPr="002C4077">
        <w:t xml:space="preserve"> </w:t>
      </w:r>
      <w:r>
        <w:t>lieu</w:t>
      </w:r>
      <w:r w:rsidRPr="002C4077">
        <w:t xml:space="preserve"> </w:t>
      </w:r>
      <w:r>
        <w:t>d’étonner,</w:t>
      </w:r>
      <w:r w:rsidRPr="002C4077">
        <w:t xml:space="preserve"> </w:t>
      </w:r>
      <w:r>
        <w:t>une</w:t>
      </w:r>
      <w:r w:rsidRPr="002C4077">
        <w:t xml:space="preserve"> </w:t>
      </w:r>
      <w:r>
        <w:t>fois</w:t>
      </w:r>
      <w:r w:rsidRPr="002C4077">
        <w:t xml:space="preserve"> </w:t>
      </w:r>
      <w:r>
        <w:t>que</w:t>
      </w:r>
      <w:r w:rsidRPr="002C4077">
        <w:t xml:space="preserve"> </w:t>
      </w:r>
      <w:r>
        <w:t>l’on</w:t>
      </w:r>
      <w:r w:rsidRPr="002C4077">
        <w:t xml:space="preserve"> </w:t>
      </w:r>
      <w:r>
        <w:t>admet</w:t>
      </w:r>
      <w:r w:rsidRPr="002C4077">
        <w:t xml:space="preserve"> </w:t>
      </w:r>
      <w:r>
        <w:t>que</w:t>
      </w:r>
      <w:r w:rsidRPr="002C4077">
        <w:t xml:space="preserve"> </w:t>
      </w:r>
      <w:r>
        <w:t>son</w:t>
      </w:r>
      <w:r w:rsidRPr="002C4077">
        <w:t xml:space="preserve"> </w:t>
      </w:r>
      <w:r>
        <w:t>intention</w:t>
      </w:r>
      <w:r w:rsidRPr="002C4077">
        <w:t xml:space="preserve"> </w:t>
      </w:r>
      <w:r>
        <w:t>n’a</w:t>
      </w:r>
      <w:r w:rsidRPr="002C4077">
        <w:t xml:space="preserve"> </w:t>
      </w:r>
      <w:r>
        <w:t>pas</w:t>
      </w:r>
      <w:r w:rsidRPr="002C4077">
        <w:t xml:space="preserve"> </w:t>
      </w:r>
      <w:r>
        <w:t>été</w:t>
      </w:r>
      <w:r w:rsidRPr="002C4077">
        <w:t xml:space="preserve"> </w:t>
      </w:r>
      <w:r>
        <w:t>de</w:t>
      </w:r>
      <w:r w:rsidRPr="002C4077">
        <w:t xml:space="preserve"> </w:t>
      </w:r>
      <w:r>
        <w:t>donner</w:t>
      </w:r>
      <w:r w:rsidRPr="002C4077">
        <w:t xml:space="preserve"> </w:t>
      </w:r>
      <w:r>
        <w:t>un</w:t>
      </w:r>
      <w:r w:rsidRPr="002C4077">
        <w:t xml:space="preserve"> </w:t>
      </w:r>
      <w:r>
        <w:t>récit</w:t>
      </w:r>
      <w:r w:rsidRPr="002C4077">
        <w:t xml:space="preserve"> </w:t>
      </w:r>
      <w:r>
        <w:t>complet</w:t>
      </w:r>
      <w:r w:rsidR="00F44410">
        <w:rPr>
          <w:rStyle w:val="Appelnotedebasdep"/>
        </w:rPr>
        <w:footnoteReference w:id="346"/>
      </w:r>
      <w:r w:rsidR="00B546AF">
        <w:t> »</w:t>
      </w:r>
      <w:r>
        <w:t>.</w:t>
      </w:r>
      <w:r w:rsidRPr="002C4077">
        <w:t xml:space="preserve"> </w:t>
      </w:r>
      <w:r>
        <w:t>Et</w:t>
      </w:r>
      <w:r w:rsidRPr="002C4077">
        <w:t xml:space="preserve"> </w:t>
      </w:r>
      <w:r>
        <w:t>tout</w:t>
      </w:r>
      <w:r w:rsidRPr="002C4077">
        <w:t xml:space="preserve"> </w:t>
      </w:r>
      <w:r>
        <w:t>le</w:t>
      </w:r>
      <w:r w:rsidRPr="002C4077">
        <w:t xml:space="preserve"> </w:t>
      </w:r>
      <w:r>
        <w:t>monde</w:t>
      </w:r>
      <w:r w:rsidRPr="002C4077">
        <w:t xml:space="preserve"> </w:t>
      </w:r>
      <w:r>
        <w:t>reconnaît,</w:t>
      </w:r>
      <w:r w:rsidRPr="002C4077">
        <w:t xml:space="preserve"> </w:t>
      </w:r>
      <w:r>
        <w:t>même</w:t>
      </w:r>
      <w:r w:rsidRPr="002C4077">
        <w:t xml:space="preserve"> </w:t>
      </w:r>
      <w:r>
        <w:t>les</w:t>
      </w:r>
      <w:r w:rsidRPr="002C4077">
        <w:t xml:space="preserve"> </w:t>
      </w:r>
      <w:r>
        <w:t>rati</w:t>
      </w:r>
      <w:r w:rsidR="001730C6">
        <w:t>o</w:t>
      </w:r>
      <w:r w:rsidR="006E0521">
        <w:t>na</w:t>
      </w:r>
      <w:r w:rsidR="001730C6">
        <w:t>l</w:t>
      </w:r>
      <w:r>
        <w:t>istes</w:t>
      </w:r>
      <w:r w:rsidRPr="002C4077">
        <w:t xml:space="preserve"> </w:t>
      </w:r>
      <w:r>
        <w:t>quand</w:t>
      </w:r>
      <w:r w:rsidRPr="002C4077">
        <w:t xml:space="preserve"> </w:t>
      </w:r>
      <w:r>
        <w:t>ils</w:t>
      </w:r>
      <w:r w:rsidRPr="002C4077">
        <w:t xml:space="preserve"> </w:t>
      </w:r>
      <w:r>
        <w:t>examinent</w:t>
      </w:r>
      <w:r w:rsidRPr="002C4077">
        <w:t xml:space="preserve"> </w:t>
      </w:r>
      <w:r>
        <w:t>cette</w:t>
      </w:r>
      <w:r w:rsidRPr="002C4077">
        <w:t xml:space="preserve"> </w:t>
      </w:r>
      <w:r>
        <w:t>question</w:t>
      </w:r>
      <w:r w:rsidRPr="002C4077">
        <w:t xml:space="preserve"> </w:t>
      </w:r>
      <w:r>
        <w:t>à</w:t>
      </w:r>
      <w:r w:rsidRPr="002C4077">
        <w:t xml:space="preserve"> </w:t>
      </w:r>
      <w:r>
        <w:t>part,</w:t>
      </w:r>
      <w:r w:rsidRPr="002C4077">
        <w:t xml:space="preserve"> </w:t>
      </w:r>
      <w:r>
        <w:t>qu’aucun</w:t>
      </w:r>
      <w:r w:rsidRPr="002C4077">
        <w:t xml:space="preserve"> </w:t>
      </w:r>
      <w:r>
        <w:t>évangéliste</w:t>
      </w:r>
      <w:r w:rsidRPr="002C4077">
        <w:t xml:space="preserve"> </w:t>
      </w:r>
      <w:r>
        <w:t>n’a</w:t>
      </w:r>
      <w:r w:rsidRPr="002C4077">
        <w:t xml:space="preserve"> </w:t>
      </w:r>
      <w:r>
        <w:t>voulu</w:t>
      </w:r>
      <w:r w:rsidRPr="002C4077">
        <w:t xml:space="preserve"> </w:t>
      </w:r>
      <w:r>
        <w:t>donner</w:t>
      </w:r>
      <w:r w:rsidRPr="002C4077">
        <w:t xml:space="preserve"> </w:t>
      </w:r>
      <w:r>
        <w:t>une</w:t>
      </w:r>
      <w:r w:rsidRPr="002C4077">
        <w:t xml:space="preserve"> </w:t>
      </w:r>
      <w:r>
        <w:t>biographie</w:t>
      </w:r>
      <w:r w:rsidRPr="002C4077">
        <w:t xml:space="preserve"> </w:t>
      </w:r>
      <w:r>
        <w:t>complète</w:t>
      </w:r>
      <w:r w:rsidRPr="002C4077">
        <w:t xml:space="preserve"> </w:t>
      </w:r>
      <w:r>
        <w:t>de</w:t>
      </w:r>
      <w:r w:rsidRPr="002C4077">
        <w:t xml:space="preserve"> </w:t>
      </w:r>
      <w:r>
        <w:t>N.</w:t>
      </w:r>
      <w:r w:rsidRPr="002C4077">
        <w:t xml:space="preserve"> </w:t>
      </w:r>
      <w:r>
        <w:t>S.</w:t>
      </w:r>
      <w:r w:rsidRPr="002C4077">
        <w:t xml:space="preserve"> </w:t>
      </w:r>
      <w:r w:rsidR="00425C50">
        <w:t>Jésus</w:t>
      </w:r>
      <w:r>
        <w:t>-</w:t>
      </w:r>
      <w:r w:rsidR="00425C50">
        <w:t>Christ</w:t>
      </w:r>
      <w:r>
        <w:t>.</w:t>
      </w:r>
      <w:r w:rsidR="00C45B47">
        <w:t xml:space="preserve"> {</w:t>
      </w:r>
      <w:r w:rsidR="004C5B7A">
        <w:t>111</w:t>
      </w:r>
      <w:bookmarkStart w:id="322" w:name="p111"/>
      <w:bookmarkEnd w:id="322"/>
      <w:r w:rsidR="004C5B7A">
        <w:t xml:space="preserve">} </w:t>
      </w:r>
    </w:p>
    <w:p w:rsidR="000A7AAB" w:rsidRDefault="000A7AAB" w:rsidP="000A7AAB">
      <w:r>
        <w:t>2°</w:t>
      </w:r>
      <w:r w:rsidRPr="002C4077">
        <w:t xml:space="preserve"> </w:t>
      </w:r>
      <w:r>
        <w:t>Mais,</w:t>
      </w:r>
      <w:r w:rsidRPr="002C4077">
        <w:t xml:space="preserve"> </w:t>
      </w:r>
      <w:r>
        <w:t>reprennent</w:t>
      </w:r>
      <w:r w:rsidRPr="002C4077">
        <w:t xml:space="preserve"> </w:t>
      </w:r>
      <w:r>
        <w:t>nos</w:t>
      </w:r>
      <w:r w:rsidRPr="002C4077">
        <w:t xml:space="preserve"> </w:t>
      </w:r>
      <w:r>
        <w:t>adversaires,</w:t>
      </w:r>
      <w:r w:rsidRPr="002C4077">
        <w:t xml:space="preserve"> </w:t>
      </w:r>
      <w:r>
        <w:t>pour</w:t>
      </w:r>
      <w:r w:rsidRPr="002C4077">
        <w:t xml:space="preserve"> </w:t>
      </w:r>
      <w:r>
        <w:t>ce</w:t>
      </w:r>
      <w:r w:rsidRPr="002C4077">
        <w:t xml:space="preserve"> </w:t>
      </w:r>
      <w:r>
        <w:t>qui</w:t>
      </w:r>
      <w:r w:rsidRPr="002C4077">
        <w:t xml:space="preserve"> </w:t>
      </w:r>
      <w:r w:rsidR="00425C50">
        <w:t>est</w:t>
      </w:r>
      <w:r w:rsidRPr="002C4077">
        <w:t xml:space="preserve"> </w:t>
      </w:r>
      <w:r>
        <w:t>de</w:t>
      </w:r>
      <w:r w:rsidRPr="002C4077">
        <w:t xml:space="preserve"> </w:t>
      </w:r>
      <w:r>
        <w:t>S.</w:t>
      </w:r>
      <w:r w:rsidRPr="002C4077">
        <w:t xml:space="preserve"> </w:t>
      </w:r>
      <w:r>
        <w:t>Jean,</w:t>
      </w:r>
      <w:r w:rsidRPr="002C4077">
        <w:t xml:space="preserve"> </w:t>
      </w:r>
      <w:r>
        <w:t>non-seulement</w:t>
      </w:r>
      <w:r w:rsidRPr="002C4077">
        <w:t xml:space="preserve"> </w:t>
      </w:r>
      <w:r>
        <w:t>cette</w:t>
      </w:r>
      <w:r w:rsidRPr="002C4077">
        <w:t xml:space="preserve"> </w:t>
      </w:r>
      <w:r>
        <w:t>scène</w:t>
      </w:r>
      <w:r w:rsidRPr="002C4077">
        <w:t xml:space="preserve"> </w:t>
      </w:r>
      <w:r>
        <w:t>d’angoisse</w:t>
      </w:r>
      <w:r w:rsidRPr="002C4077">
        <w:t xml:space="preserve"> </w:t>
      </w:r>
      <w:r>
        <w:t>n’est</w:t>
      </w:r>
      <w:r w:rsidRPr="002C4077">
        <w:t xml:space="preserve"> </w:t>
      </w:r>
      <w:r>
        <w:t>pas</w:t>
      </w:r>
      <w:r w:rsidRPr="002C4077">
        <w:t xml:space="preserve"> </w:t>
      </w:r>
      <w:r>
        <w:t>racontée</w:t>
      </w:r>
      <w:r w:rsidRPr="002C4077">
        <w:t xml:space="preserve"> </w:t>
      </w:r>
      <w:r>
        <w:t>par</w:t>
      </w:r>
      <w:r w:rsidRPr="002C4077">
        <w:t xml:space="preserve"> </w:t>
      </w:r>
      <w:r>
        <w:t>lui,</w:t>
      </w:r>
      <w:r w:rsidRPr="002C4077">
        <w:t xml:space="preserve"> </w:t>
      </w:r>
      <w:r>
        <w:t>elle</w:t>
      </w:r>
      <w:r w:rsidRPr="002C4077">
        <w:t xml:space="preserve"> </w:t>
      </w:r>
      <w:r w:rsidR="00425C50">
        <w:t>est</w:t>
      </w:r>
      <w:r w:rsidRPr="002C4077">
        <w:t xml:space="preserve"> </w:t>
      </w:r>
      <w:r>
        <w:t>incompatible</w:t>
      </w:r>
      <w:r w:rsidRPr="002C4077">
        <w:t xml:space="preserve"> </w:t>
      </w:r>
      <w:r>
        <w:t>avec</w:t>
      </w:r>
      <w:r w:rsidRPr="002C4077">
        <w:t xml:space="preserve"> </w:t>
      </w:r>
      <w:r>
        <w:t>le</w:t>
      </w:r>
      <w:r w:rsidRPr="002C4077">
        <w:t xml:space="preserve"> </w:t>
      </w:r>
      <w:r>
        <w:t>caractère</w:t>
      </w:r>
      <w:r w:rsidRPr="002C4077">
        <w:t xml:space="preserve"> </w:t>
      </w:r>
      <w:r>
        <w:t>qu’il</w:t>
      </w:r>
      <w:r w:rsidRPr="002C4077">
        <w:t xml:space="preserve"> </w:t>
      </w:r>
      <w:r>
        <w:t>a</w:t>
      </w:r>
      <w:r w:rsidRPr="002C4077">
        <w:t xml:space="preserve"> </w:t>
      </w:r>
      <w:r>
        <w:t>auparavant</w:t>
      </w:r>
      <w:r w:rsidRPr="002C4077">
        <w:t xml:space="preserve"> </w:t>
      </w:r>
      <w:r>
        <w:t>attribué</w:t>
      </w:r>
      <w:r w:rsidRPr="002C4077">
        <w:t xml:space="preserve"> </w:t>
      </w:r>
      <w:r>
        <w:t>à</w:t>
      </w:r>
      <w:r w:rsidRPr="002C4077">
        <w:t xml:space="preserve"> </w:t>
      </w:r>
      <w:r>
        <w:t>son</w:t>
      </w:r>
      <w:r w:rsidRPr="002C4077">
        <w:t xml:space="preserve"> </w:t>
      </w:r>
      <w:r>
        <w:t>héros.</w:t>
      </w:r>
      <w:r w:rsidRPr="002C4077">
        <w:t xml:space="preserve"> </w:t>
      </w:r>
      <w:r w:rsidR="00B546AF">
        <w:t>« </w:t>
      </w:r>
      <w:r>
        <w:t>Pour</w:t>
      </w:r>
      <w:r w:rsidRPr="002C4077">
        <w:t xml:space="preserve"> </w:t>
      </w:r>
      <w:r>
        <w:t>lui,</w:t>
      </w:r>
      <w:r w:rsidRPr="002C4077">
        <w:t xml:space="preserve"> </w:t>
      </w:r>
      <w:r>
        <w:t>point</w:t>
      </w:r>
      <w:r w:rsidRPr="002C4077">
        <w:t xml:space="preserve"> </w:t>
      </w:r>
      <w:r>
        <w:t>de</w:t>
      </w:r>
      <w:r w:rsidRPr="002C4077">
        <w:t xml:space="preserve"> </w:t>
      </w:r>
      <w:r w:rsidR="00425C50">
        <w:t>Christ</w:t>
      </w:r>
      <w:r w:rsidRPr="002C4077">
        <w:t xml:space="preserve"> </w:t>
      </w:r>
      <w:r>
        <w:t>désolé,</w:t>
      </w:r>
      <w:r w:rsidRPr="002C4077">
        <w:t xml:space="preserve"> </w:t>
      </w:r>
      <w:r>
        <w:t>étendu</w:t>
      </w:r>
      <w:r w:rsidRPr="002C4077">
        <w:t xml:space="preserve"> </w:t>
      </w:r>
      <w:r>
        <w:t>sur</w:t>
      </w:r>
      <w:r w:rsidRPr="002C4077">
        <w:t xml:space="preserve"> </w:t>
      </w:r>
      <w:r>
        <w:t>le</w:t>
      </w:r>
      <w:r w:rsidRPr="002C4077">
        <w:t xml:space="preserve"> </w:t>
      </w:r>
      <w:r>
        <w:t>sol</w:t>
      </w:r>
      <w:r w:rsidRPr="002C4077">
        <w:t xml:space="preserve"> </w:t>
      </w:r>
      <w:r>
        <w:t>à</w:t>
      </w:r>
      <w:r w:rsidRPr="002C4077">
        <w:t xml:space="preserve"> </w:t>
      </w:r>
      <w:r>
        <w:t>la</w:t>
      </w:r>
      <w:r w:rsidRPr="002C4077">
        <w:t xml:space="preserve"> </w:t>
      </w:r>
      <w:r>
        <w:t>façon</w:t>
      </w:r>
      <w:r w:rsidRPr="002C4077">
        <w:t xml:space="preserve"> </w:t>
      </w:r>
      <w:r>
        <w:t>d’un</w:t>
      </w:r>
      <w:r w:rsidRPr="002C4077">
        <w:t xml:space="preserve"> </w:t>
      </w:r>
      <w:r>
        <w:t>suppliant,</w:t>
      </w:r>
      <w:r w:rsidRPr="002C4077">
        <w:t xml:space="preserve"> </w:t>
      </w:r>
      <w:r>
        <w:t>mais</w:t>
      </w:r>
      <w:r w:rsidRPr="002C4077">
        <w:t xml:space="preserve"> </w:t>
      </w:r>
      <w:r>
        <w:t>un</w:t>
      </w:r>
      <w:r w:rsidRPr="002C4077">
        <w:t xml:space="preserve"> </w:t>
      </w:r>
      <w:r w:rsidR="00425C50">
        <w:t>Christ</w:t>
      </w:r>
      <w:r w:rsidRPr="002C4077">
        <w:t xml:space="preserve"> </w:t>
      </w:r>
      <w:r>
        <w:t>calme,</w:t>
      </w:r>
      <w:r w:rsidRPr="002C4077">
        <w:t xml:space="preserve"> </w:t>
      </w:r>
      <w:r>
        <w:t>debout,</w:t>
      </w:r>
      <w:r w:rsidRPr="002C4077">
        <w:t xml:space="preserve"> </w:t>
      </w:r>
      <w:r>
        <w:t>qui</w:t>
      </w:r>
      <w:r w:rsidRPr="002C4077">
        <w:t xml:space="preserve"> </w:t>
      </w:r>
      <w:r>
        <w:t>n’a</w:t>
      </w:r>
      <w:r w:rsidRPr="002C4077">
        <w:t xml:space="preserve"> </w:t>
      </w:r>
      <w:r>
        <w:t>pas</w:t>
      </w:r>
      <w:r w:rsidRPr="002C4077">
        <w:t xml:space="preserve"> </w:t>
      </w:r>
      <w:r>
        <w:t>besoin</w:t>
      </w:r>
      <w:r w:rsidRPr="002C4077">
        <w:t xml:space="preserve"> </w:t>
      </w:r>
      <w:r>
        <w:t>du</w:t>
      </w:r>
      <w:r w:rsidRPr="002C4077">
        <w:t xml:space="preserve"> </w:t>
      </w:r>
      <w:r>
        <w:t>secours</w:t>
      </w:r>
      <w:r w:rsidRPr="002C4077">
        <w:t xml:space="preserve"> </w:t>
      </w:r>
      <w:r>
        <w:t>des</w:t>
      </w:r>
      <w:r w:rsidRPr="002C4077">
        <w:t xml:space="preserve"> </w:t>
      </w:r>
      <w:r>
        <w:t>anges,</w:t>
      </w:r>
      <w:r w:rsidRPr="002C4077">
        <w:t xml:space="preserve"> </w:t>
      </w:r>
      <w:r>
        <w:t>qui</w:t>
      </w:r>
      <w:r w:rsidRPr="002C4077">
        <w:t xml:space="preserve"> </w:t>
      </w:r>
      <w:r>
        <w:t>marche</w:t>
      </w:r>
      <w:r w:rsidRPr="002C4077">
        <w:t xml:space="preserve"> </w:t>
      </w:r>
      <w:r>
        <w:t>avec</w:t>
      </w:r>
      <w:r w:rsidRPr="002C4077">
        <w:t xml:space="preserve"> </w:t>
      </w:r>
      <w:r>
        <w:t>courage,</w:t>
      </w:r>
      <w:r w:rsidRPr="002C4077">
        <w:t xml:space="preserve"> </w:t>
      </w:r>
      <w:r>
        <w:t>comme</w:t>
      </w:r>
      <w:r w:rsidRPr="002C4077">
        <w:t xml:space="preserve"> </w:t>
      </w:r>
      <w:r>
        <w:t>un</w:t>
      </w:r>
      <w:r w:rsidRPr="002C4077">
        <w:t xml:space="preserve"> </w:t>
      </w:r>
      <w:r>
        <w:t>vainqueur,</w:t>
      </w:r>
      <w:r w:rsidRPr="002C4077">
        <w:t xml:space="preserve"> </w:t>
      </w:r>
      <w:r>
        <w:t>au</w:t>
      </w:r>
      <w:r w:rsidRPr="002C4077">
        <w:t xml:space="preserve"> </w:t>
      </w:r>
      <w:r>
        <w:t>devant</w:t>
      </w:r>
      <w:r w:rsidRPr="002C4077">
        <w:t xml:space="preserve"> </w:t>
      </w:r>
      <w:r>
        <w:t>de</w:t>
      </w:r>
      <w:r w:rsidRPr="002C4077">
        <w:t xml:space="preserve"> </w:t>
      </w:r>
      <w:r>
        <w:t>ses</w:t>
      </w:r>
      <w:r w:rsidRPr="002C4077">
        <w:t xml:space="preserve"> </w:t>
      </w:r>
      <w:r>
        <w:t>bourreaux.</w:t>
      </w:r>
      <w:r w:rsidRPr="002C4077">
        <w:t xml:space="preserve"> </w:t>
      </w:r>
      <w:r>
        <w:t>En</w:t>
      </w:r>
      <w:r w:rsidRPr="002C4077">
        <w:t xml:space="preserve"> </w:t>
      </w:r>
      <w:r>
        <w:t>vérité,</w:t>
      </w:r>
      <w:r w:rsidRPr="002C4077">
        <w:t xml:space="preserve"> </w:t>
      </w:r>
      <w:r>
        <w:t>l’évangéliste</w:t>
      </w:r>
      <w:r w:rsidRPr="002C4077">
        <w:t xml:space="preserve"> </w:t>
      </w:r>
      <w:r>
        <w:t>qui</w:t>
      </w:r>
      <w:r w:rsidRPr="002C4077">
        <w:t xml:space="preserve"> </w:t>
      </w:r>
      <w:r>
        <w:t>se</w:t>
      </w:r>
      <w:r w:rsidRPr="002C4077">
        <w:t xml:space="preserve"> </w:t>
      </w:r>
      <w:r>
        <w:t>proposait</w:t>
      </w:r>
      <w:r w:rsidRPr="002C4077">
        <w:t xml:space="preserve"> </w:t>
      </w:r>
      <w:r>
        <w:t>de</w:t>
      </w:r>
      <w:r w:rsidRPr="002C4077">
        <w:t xml:space="preserve"> </w:t>
      </w:r>
      <w:r>
        <w:t>montrer</w:t>
      </w:r>
      <w:r w:rsidRPr="002C4077">
        <w:t xml:space="preserve"> </w:t>
      </w:r>
      <w:r>
        <w:t>en</w:t>
      </w:r>
      <w:r w:rsidRPr="002C4077">
        <w:t xml:space="preserve"> </w:t>
      </w:r>
      <w:r w:rsidR="00425C50">
        <w:t>Jésus</w:t>
      </w:r>
      <w:r w:rsidRPr="002C4077">
        <w:t xml:space="preserve"> </w:t>
      </w:r>
      <w:r>
        <w:t>non</w:t>
      </w:r>
      <w:r w:rsidRPr="002C4077">
        <w:t xml:space="preserve"> </w:t>
      </w:r>
      <w:r>
        <w:t>pas</w:t>
      </w:r>
      <w:r w:rsidRPr="002C4077">
        <w:t xml:space="preserve"> </w:t>
      </w:r>
      <w:r>
        <w:t>un</w:t>
      </w:r>
      <w:r w:rsidRPr="002C4077">
        <w:t xml:space="preserve"> </w:t>
      </w:r>
      <w:r>
        <w:t>homme,</w:t>
      </w:r>
      <w:r w:rsidRPr="002C4077">
        <w:t xml:space="preserve"> </w:t>
      </w:r>
      <w:r>
        <w:t>mais</w:t>
      </w:r>
      <w:r w:rsidRPr="002C4077">
        <w:t xml:space="preserve"> </w:t>
      </w:r>
      <w:r>
        <w:t>une</w:t>
      </w:r>
      <w:r w:rsidRPr="002C4077">
        <w:t xml:space="preserve"> </w:t>
      </w:r>
      <w:r>
        <w:t>personne</w:t>
      </w:r>
      <w:r w:rsidRPr="002C4077">
        <w:t xml:space="preserve"> </w:t>
      </w:r>
      <w:r>
        <w:t>divine,</w:t>
      </w:r>
      <w:r w:rsidRPr="002C4077">
        <w:t xml:space="preserve"> </w:t>
      </w:r>
      <w:r>
        <w:t>ne</w:t>
      </w:r>
      <w:r w:rsidRPr="002C4077">
        <w:t xml:space="preserve"> </w:t>
      </w:r>
      <w:r>
        <w:t>pouvait</w:t>
      </w:r>
      <w:r w:rsidRPr="002C4077">
        <w:t xml:space="preserve"> </w:t>
      </w:r>
      <w:r>
        <w:t>pas</w:t>
      </w:r>
      <w:r w:rsidRPr="002C4077">
        <w:t xml:space="preserve"> </w:t>
      </w:r>
      <w:r>
        <w:t>trouver</w:t>
      </w:r>
      <w:r w:rsidRPr="002C4077">
        <w:t xml:space="preserve"> </w:t>
      </w:r>
      <w:r>
        <w:t>la</w:t>
      </w:r>
      <w:r w:rsidRPr="002C4077">
        <w:t xml:space="preserve"> </w:t>
      </w:r>
      <w:r>
        <w:t>plus</w:t>
      </w:r>
      <w:r w:rsidRPr="002C4077">
        <w:t xml:space="preserve"> </w:t>
      </w:r>
      <w:r>
        <w:t>petite</w:t>
      </w:r>
      <w:r w:rsidRPr="002C4077">
        <w:t xml:space="preserve"> </w:t>
      </w:r>
      <w:r>
        <w:t>place</w:t>
      </w:r>
      <w:r w:rsidRPr="002C4077">
        <w:t xml:space="preserve"> </w:t>
      </w:r>
      <w:r>
        <w:t>dans</w:t>
      </w:r>
      <w:r w:rsidRPr="002C4077">
        <w:t xml:space="preserve"> </w:t>
      </w:r>
      <w:r>
        <w:t>son</w:t>
      </w:r>
      <w:r w:rsidRPr="002C4077">
        <w:t xml:space="preserve"> </w:t>
      </w:r>
      <w:r>
        <w:t>récit</w:t>
      </w:r>
      <w:r w:rsidRPr="002C4077">
        <w:t xml:space="preserve"> </w:t>
      </w:r>
      <w:r>
        <w:t>pour</w:t>
      </w:r>
      <w:r w:rsidRPr="002C4077">
        <w:t xml:space="preserve"> </w:t>
      </w:r>
      <w:r>
        <w:t>un</w:t>
      </w:r>
      <w:r w:rsidRPr="002C4077">
        <w:t xml:space="preserve"> </w:t>
      </w:r>
      <w:r>
        <w:t>si</w:t>
      </w:r>
      <w:r w:rsidRPr="002C4077">
        <w:t xml:space="preserve"> </w:t>
      </w:r>
      <w:r>
        <w:t>poignant</w:t>
      </w:r>
      <w:r w:rsidRPr="002C4077">
        <w:t xml:space="preserve"> </w:t>
      </w:r>
      <w:r>
        <w:t>épisode,</w:t>
      </w:r>
      <w:r w:rsidRPr="002C4077">
        <w:t xml:space="preserve"> </w:t>
      </w:r>
      <w:r>
        <w:t>surtout</w:t>
      </w:r>
      <w:r w:rsidRPr="002C4077">
        <w:t xml:space="preserve"> </w:t>
      </w:r>
      <w:r>
        <w:t>après</w:t>
      </w:r>
      <w:r w:rsidRPr="002C4077">
        <w:t xml:space="preserve"> </w:t>
      </w:r>
      <w:r>
        <w:t>le</w:t>
      </w:r>
      <w:r w:rsidRPr="002C4077">
        <w:t xml:space="preserve"> </w:t>
      </w:r>
      <w:r>
        <w:t>cri</w:t>
      </w:r>
      <w:r w:rsidRPr="002C4077">
        <w:t xml:space="preserve"> </w:t>
      </w:r>
      <w:r>
        <w:t>de</w:t>
      </w:r>
      <w:r w:rsidRPr="002C4077">
        <w:t xml:space="preserve"> </w:t>
      </w:r>
      <w:r>
        <w:t>triomphe</w:t>
      </w:r>
      <w:r w:rsidRPr="002C4077">
        <w:t xml:space="preserve"> </w:t>
      </w:r>
      <w:r>
        <w:t>poussé</w:t>
      </w:r>
      <w:r w:rsidRPr="002C4077">
        <w:t xml:space="preserve"> </w:t>
      </w:r>
      <w:r>
        <w:t>naguère</w:t>
      </w:r>
      <w:r w:rsidRPr="002C4077">
        <w:t xml:space="preserve"> </w:t>
      </w:r>
      <w:r>
        <w:t>par</w:t>
      </w:r>
      <w:r w:rsidRPr="002C4077">
        <w:t xml:space="preserve"> </w:t>
      </w:r>
      <w:r>
        <w:t>le</w:t>
      </w:r>
      <w:r w:rsidRPr="002C4077">
        <w:t xml:space="preserve"> </w:t>
      </w:r>
      <w:r w:rsidR="00425C50">
        <w:t>Christ</w:t>
      </w:r>
      <w:r w:rsidR="00B546AF">
        <w:t> :</w:t>
      </w:r>
      <w:r w:rsidRPr="002C4077">
        <w:t xml:space="preserve"> </w:t>
      </w:r>
      <w:r>
        <w:t>J’ai</w:t>
      </w:r>
      <w:r w:rsidRPr="002C4077">
        <w:t xml:space="preserve"> </w:t>
      </w:r>
      <w:r>
        <w:t>vaincu</w:t>
      </w:r>
      <w:r w:rsidRPr="002C4077">
        <w:t xml:space="preserve"> </w:t>
      </w:r>
      <w:r>
        <w:t>le</w:t>
      </w:r>
      <w:r w:rsidRPr="002C4077">
        <w:t xml:space="preserve"> </w:t>
      </w:r>
      <w:r>
        <w:t>monde</w:t>
      </w:r>
      <w:r w:rsidR="00B91AF7">
        <w:rPr>
          <w:rStyle w:val="Appelnotedebasdep"/>
        </w:rPr>
        <w:footnoteReference w:id="347"/>
      </w:r>
      <w:r w:rsidR="00B546AF">
        <w:t> »</w:t>
      </w:r>
      <w:r>
        <w:t>.</w:t>
      </w:r>
      <w:r w:rsidRPr="002C4077">
        <w:t xml:space="preserve"> </w:t>
      </w:r>
    </w:p>
    <w:p w:rsidR="000A7AAB" w:rsidRPr="004C5B7A" w:rsidRDefault="000A7AAB" w:rsidP="000A7AAB">
      <w:r>
        <w:t>Quoique</w:t>
      </w:r>
      <w:r w:rsidRPr="002C4077">
        <w:t xml:space="preserve"> </w:t>
      </w:r>
      <w:r>
        <w:t>spécieux,</w:t>
      </w:r>
      <w:r w:rsidRPr="002C4077">
        <w:t xml:space="preserve"> </w:t>
      </w:r>
      <w:r>
        <w:t>le</w:t>
      </w:r>
      <w:r w:rsidRPr="002C4077">
        <w:t xml:space="preserve"> </w:t>
      </w:r>
      <w:r>
        <w:t>raisonnement</w:t>
      </w:r>
      <w:r w:rsidRPr="002C4077">
        <w:t xml:space="preserve"> </w:t>
      </w:r>
      <w:r>
        <w:t>ne</w:t>
      </w:r>
      <w:r w:rsidRPr="002C4077">
        <w:t xml:space="preserve"> </w:t>
      </w:r>
      <w:r>
        <w:t>pouvait</w:t>
      </w:r>
      <w:r w:rsidRPr="002C4077">
        <w:t xml:space="preserve"> </w:t>
      </w:r>
      <w:r>
        <w:t>être</w:t>
      </w:r>
      <w:r w:rsidRPr="002C4077">
        <w:t xml:space="preserve"> </w:t>
      </w:r>
      <w:r>
        <w:t>plus</w:t>
      </w:r>
      <w:r w:rsidRPr="002C4077">
        <w:t xml:space="preserve"> </w:t>
      </w:r>
      <w:r>
        <w:t>superficiel.</w:t>
      </w:r>
      <w:r w:rsidRPr="002C4077">
        <w:t xml:space="preserve"> </w:t>
      </w:r>
      <w:r>
        <w:t>S.</w:t>
      </w:r>
      <w:r w:rsidRPr="002C4077">
        <w:t xml:space="preserve"> </w:t>
      </w:r>
      <w:r>
        <w:t>Jean</w:t>
      </w:r>
      <w:r w:rsidRPr="002C4077">
        <w:t xml:space="preserve"> </w:t>
      </w:r>
      <w:r>
        <w:t>nous</w:t>
      </w:r>
      <w:r w:rsidRPr="002C4077">
        <w:t xml:space="preserve"> </w:t>
      </w:r>
      <w:r>
        <w:t>présente-t-il</w:t>
      </w:r>
      <w:r w:rsidRPr="002C4077">
        <w:t xml:space="preserve"> </w:t>
      </w:r>
      <w:r>
        <w:t>donc</w:t>
      </w:r>
      <w:r w:rsidRPr="002C4077">
        <w:t xml:space="preserve"> </w:t>
      </w:r>
      <w:r>
        <w:t>sans</w:t>
      </w:r>
      <w:r w:rsidRPr="002C4077">
        <w:t xml:space="preserve"> </w:t>
      </w:r>
      <w:r>
        <w:t>cesse,</w:t>
      </w:r>
      <w:r w:rsidRPr="002C4077">
        <w:t xml:space="preserve"> </w:t>
      </w:r>
      <w:r>
        <w:t>à</w:t>
      </w:r>
      <w:r w:rsidRPr="002C4077">
        <w:t xml:space="preserve"> </w:t>
      </w:r>
      <w:r>
        <w:t>travers</w:t>
      </w:r>
      <w:r w:rsidRPr="002C4077">
        <w:t xml:space="preserve"> </w:t>
      </w:r>
      <w:r>
        <w:t>ses</w:t>
      </w:r>
      <w:r w:rsidRPr="002C4077">
        <w:t xml:space="preserve"> </w:t>
      </w:r>
      <w:r>
        <w:t>pages</w:t>
      </w:r>
      <w:r w:rsidRPr="002C4077">
        <w:t xml:space="preserve"> </w:t>
      </w:r>
      <w:r>
        <w:t>sublimes,</w:t>
      </w:r>
      <w:r w:rsidRPr="002C4077">
        <w:t xml:space="preserve"> </w:t>
      </w:r>
      <w:r>
        <w:t>un</w:t>
      </w:r>
      <w:r w:rsidRPr="002C4077">
        <w:t xml:space="preserve"> </w:t>
      </w:r>
      <w:r w:rsidR="00425C50">
        <w:t>Christ</w:t>
      </w:r>
      <w:r w:rsidRPr="002C4077">
        <w:t xml:space="preserve"> </w:t>
      </w:r>
      <w:r>
        <w:t>impassible,</w:t>
      </w:r>
      <w:r w:rsidRPr="002C4077">
        <w:t xml:space="preserve"> </w:t>
      </w:r>
      <w:r>
        <w:t>qui</w:t>
      </w:r>
      <w:r w:rsidRPr="002C4077">
        <w:t xml:space="preserve"> </w:t>
      </w:r>
      <w:r>
        <w:t>n’a</w:t>
      </w:r>
      <w:r w:rsidRPr="002C4077">
        <w:t xml:space="preserve"> </w:t>
      </w:r>
      <w:r>
        <w:t>d’humain</w:t>
      </w:r>
      <w:r w:rsidRPr="002C4077">
        <w:t xml:space="preserve"> </w:t>
      </w:r>
      <w:r>
        <w:t>que</w:t>
      </w:r>
      <w:r w:rsidRPr="002C4077">
        <w:t xml:space="preserve"> </w:t>
      </w:r>
      <w:r>
        <w:t>les</w:t>
      </w:r>
      <w:r w:rsidRPr="002C4077">
        <w:t xml:space="preserve"> </w:t>
      </w:r>
      <w:r>
        <w:t>apparences</w:t>
      </w:r>
      <w:r w:rsidRPr="002C4077">
        <w:t xml:space="preserve"> </w:t>
      </w:r>
      <w:r>
        <w:t>et</w:t>
      </w:r>
      <w:r w:rsidRPr="002C4077">
        <w:t xml:space="preserve"> </w:t>
      </w:r>
      <w:r>
        <w:t>qui</w:t>
      </w:r>
      <w:r w:rsidRPr="002C4077">
        <w:t xml:space="preserve"> </w:t>
      </w:r>
      <w:r>
        <w:t>n’a</w:t>
      </w:r>
      <w:r w:rsidRPr="002C4077">
        <w:t xml:space="preserve"> </w:t>
      </w:r>
      <w:r>
        <w:t>rien</w:t>
      </w:r>
      <w:r w:rsidRPr="002C4077">
        <w:t xml:space="preserve"> </w:t>
      </w:r>
      <w:r>
        <w:t>expérimenté</w:t>
      </w:r>
      <w:r w:rsidRPr="002C4077">
        <w:t xml:space="preserve"> </w:t>
      </w:r>
      <w:r>
        <w:t>de</w:t>
      </w:r>
      <w:r w:rsidRPr="002C4077">
        <w:t xml:space="preserve"> </w:t>
      </w:r>
      <w:r>
        <w:t>nos</w:t>
      </w:r>
      <w:r w:rsidRPr="002C4077">
        <w:t xml:space="preserve"> </w:t>
      </w:r>
      <w:r>
        <w:t>misères,</w:t>
      </w:r>
      <w:r w:rsidRPr="002C4077">
        <w:t xml:space="preserve"> </w:t>
      </w:r>
      <w:r>
        <w:t>de</w:t>
      </w:r>
      <w:r w:rsidRPr="002C4077">
        <w:t xml:space="preserve"> </w:t>
      </w:r>
      <w:r>
        <w:t>nos</w:t>
      </w:r>
      <w:r w:rsidRPr="002C4077">
        <w:t xml:space="preserve"> </w:t>
      </w:r>
      <w:r>
        <w:t>troubles</w:t>
      </w:r>
      <w:r w:rsidR="00B546AF">
        <w:t> ?</w:t>
      </w:r>
      <w:r w:rsidRPr="002C4077">
        <w:t xml:space="preserve"> </w:t>
      </w:r>
      <w:r>
        <w:t>Sur</w:t>
      </w:r>
      <w:r w:rsidRPr="002C4077">
        <w:t xml:space="preserve"> </w:t>
      </w:r>
      <w:r>
        <w:t>ce</w:t>
      </w:r>
      <w:r w:rsidRPr="002C4077">
        <w:t xml:space="preserve"> </w:t>
      </w:r>
      <w:r>
        <w:t>point,</w:t>
      </w:r>
      <w:r w:rsidRPr="002C4077">
        <w:t xml:space="preserve"> </w:t>
      </w:r>
      <w:r>
        <w:t>l’erreur</w:t>
      </w:r>
      <w:r w:rsidRPr="002C4077">
        <w:t xml:space="preserve"> </w:t>
      </w:r>
      <w:r>
        <w:t>ou</w:t>
      </w:r>
      <w:r w:rsidRPr="002C4077">
        <w:t xml:space="preserve"> </w:t>
      </w:r>
      <w:r>
        <w:t>l’ignorance</w:t>
      </w:r>
      <w:r w:rsidRPr="002C4077">
        <w:t xml:space="preserve"> </w:t>
      </w:r>
      <w:r>
        <w:t>serait</w:t>
      </w:r>
      <w:r w:rsidRPr="002C4077">
        <w:t xml:space="preserve"> </w:t>
      </w:r>
      <w:r>
        <w:t>impardonnable.</w:t>
      </w:r>
      <w:r w:rsidRPr="002C4077">
        <w:t xml:space="preserve"> </w:t>
      </w:r>
      <w:r>
        <w:t>Le</w:t>
      </w:r>
      <w:r w:rsidRPr="002C4077">
        <w:t xml:space="preserve"> </w:t>
      </w:r>
      <w:r w:rsidR="00425C50">
        <w:t>Jésus</w:t>
      </w:r>
      <w:r w:rsidRPr="002C4077">
        <w:t xml:space="preserve"> </w:t>
      </w:r>
      <w:r>
        <w:t>de</w:t>
      </w:r>
      <w:r w:rsidRPr="002C4077">
        <w:t xml:space="preserve"> </w:t>
      </w:r>
      <w:r>
        <w:t>S.</w:t>
      </w:r>
      <w:r w:rsidRPr="002C4077">
        <w:t xml:space="preserve"> </w:t>
      </w:r>
      <w:r>
        <w:t>Jean</w:t>
      </w:r>
      <w:r w:rsidRPr="002C4077">
        <w:t xml:space="preserve"> </w:t>
      </w:r>
      <w:r>
        <w:t>n’est</w:t>
      </w:r>
      <w:r w:rsidRPr="002C4077">
        <w:t xml:space="preserve"> </w:t>
      </w:r>
      <w:r>
        <w:t>pas</w:t>
      </w:r>
      <w:r w:rsidRPr="002C4077">
        <w:t xml:space="preserve"> </w:t>
      </w:r>
      <w:r>
        <w:t>moins</w:t>
      </w:r>
      <w:r w:rsidRPr="002C4077">
        <w:t xml:space="preserve"> </w:t>
      </w:r>
      <w:r>
        <w:t>que</w:t>
      </w:r>
      <w:r w:rsidRPr="002C4077">
        <w:t xml:space="preserve"> </w:t>
      </w:r>
      <w:r w:rsidR="003B53FD">
        <w:t>celui</w:t>
      </w:r>
      <w:r w:rsidRPr="002C4077">
        <w:t xml:space="preserve"> </w:t>
      </w:r>
      <w:r>
        <w:t>des</w:t>
      </w:r>
      <w:r w:rsidRPr="002C4077">
        <w:t xml:space="preserve"> </w:t>
      </w:r>
      <w:r>
        <w:t>synoptiques</w:t>
      </w:r>
      <w:r w:rsidRPr="002C4077">
        <w:t xml:space="preserve"> </w:t>
      </w:r>
      <w:r>
        <w:t>un</w:t>
      </w:r>
      <w:r w:rsidRPr="002C4077">
        <w:t xml:space="preserve"> </w:t>
      </w:r>
      <w:r w:rsidR="00B546AF">
        <w:t>« </w:t>
      </w:r>
      <w:r>
        <w:t>homme</w:t>
      </w:r>
      <w:r w:rsidRPr="002C4077">
        <w:t xml:space="preserve"> </w:t>
      </w:r>
      <w:r>
        <w:t>de</w:t>
      </w:r>
      <w:r w:rsidRPr="002C4077">
        <w:t xml:space="preserve"> </w:t>
      </w:r>
      <w:r>
        <w:t>douleurs</w:t>
      </w:r>
      <w:r w:rsidR="00B546AF">
        <w:t> »</w:t>
      </w:r>
      <w:r>
        <w:t>,</w:t>
      </w:r>
      <w:r w:rsidRPr="002C4077">
        <w:t xml:space="preserve"> </w:t>
      </w:r>
      <w:r>
        <w:t>capable</w:t>
      </w:r>
      <w:r w:rsidRPr="002C4077">
        <w:t xml:space="preserve"> </w:t>
      </w:r>
      <w:r>
        <w:t>de</w:t>
      </w:r>
      <w:r w:rsidRPr="002C4077">
        <w:t xml:space="preserve"> </w:t>
      </w:r>
      <w:r>
        <w:t>gémir,</w:t>
      </w:r>
      <w:r w:rsidRPr="002C4077">
        <w:t xml:space="preserve"> </w:t>
      </w:r>
      <w:r>
        <w:t>de</w:t>
      </w:r>
      <w:r w:rsidRPr="002C4077">
        <w:t xml:space="preserve"> </w:t>
      </w:r>
      <w:r>
        <w:t>s’apitoyer,</w:t>
      </w:r>
      <w:r w:rsidRPr="002C4077">
        <w:t xml:space="preserve"> </w:t>
      </w:r>
      <w:r>
        <w:t>de</w:t>
      </w:r>
      <w:r w:rsidRPr="002C4077">
        <w:t xml:space="preserve"> </w:t>
      </w:r>
      <w:r>
        <w:t>souffrir,</w:t>
      </w:r>
      <w:r w:rsidRPr="002C4077">
        <w:t xml:space="preserve"> </w:t>
      </w:r>
      <w:r>
        <w:t>de</w:t>
      </w:r>
      <w:r w:rsidRPr="002C4077">
        <w:t xml:space="preserve"> </w:t>
      </w:r>
      <w:r>
        <w:t>pleurer.</w:t>
      </w:r>
      <w:r w:rsidRPr="002C4077">
        <w:t xml:space="preserve"> </w:t>
      </w:r>
      <w:r>
        <w:t>Qu’on</w:t>
      </w:r>
      <w:r w:rsidRPr="002C4077">
        <w:t xml:space="preserve"> </w:t>
      </w:r>
      <w:r>
        <w:t>lise</w:t>
      </w:r>
      <w:r w:rsidRPr="002C4077">
        <w:t xml:space="preserve"> </w:t>
      </w:r>
      <w:r>
        <w:t>dans</w:t>
      </w:r>
      <w:r w:rsidRPr="002C4077">
        <w:t xml:space="preserve"> </w:t>
      </w:r>
      <w:r>
        <w:t>le</w:t>
      </w:r>
      <w:r w:rsidRPr="002C4077">
        <w:t xml:space="preserve"> </w:t>
      </w:r>
      <w:r>
        <w:t>quatrième</w:t>
      </w:r>
      <w:r w:rsidRPr="002C4077">
        <w:t xml:space="preserve"> </w:t>
      </w:r>
      <w:r>
        <w:t>évangile</w:t>
      </w:r>
      <w:r w:rsidRPr="002C4077">
        <w:t xml:space="preserve"> </w:t>
      </w:r>
      <w:r>
        <w:t>l’émouvant</w:t>
      </w:r>
      <w:r w:rsidRPr="002C4077">
        <w:t xml:space="preserve"> </w:t>
      </w:r>
      <w:r>
        <w:t>récit</w:t>
      </w:r>
      <w:r w:rsidRPr="002C4077">
        <w:t xml:space="preserve"> </w:t>
      </w:r>
      <w:r>
        <w:t>du</w:t>
      </w:r>
      <w:r w:rsidRPr="002C4077">
        <w:t xml:space="preserve"> </w:t>
      </w:r>
      <w:r>
        <w:t>chapitre</w:t>
      </w:r>
      <w:r w:rsidRPr="002C4077">
        <w:t xml:space="preserve"> </w:t>
      </w:r>
      <w:r w:rsidR="007B3C26">
        <w:t>XI</w:t>
      </w:r>
      <w:r w:rsidR="007B3C26" w:rsidRPr="007B3C26">
        <w:rPr>
          <w:vertAlign w:val="superscript"/>
        </w:rPr>
        <w:t>e</w:t>
      </w:r>
      <w:r>
        <w:t>,</w:t>
      </w:r>
      <w:r w:rsidRPr="002C4077">
        <w:t xml:space="preserve"> </w:t>
      </w:r>
      <w:r>
        <w:t>et</w:t>
      </w:r>
      <w:r w:rsidRPr="002C4077">
        <w:t xml:space="preserve"> </w:t>
      </w:r>
      <w:r>
        <w:t>l’on</w:t>
      </w:r>
      <w:r w:rsidRPr="002C4077">
        <w:t xml:space="preserve"> </w:t>
      </w:r>
      <w:r>
        <w:t>s’en</w:t>
      </w:r>
      <w:r w:rsidRPr="002C4077">
        <w:t xml:space="preserve"> </w:t>
      </w:r>
      <w:r>
        <w:t>convaincra.</w:t>
      </w:r>
      <w:r w:rsidRPr="002C4077">
        <w:t xml:space="preserve"> </w:t>
      </w:r>
      <w:r w:rsidR="00B546AF">
        <w:t>« </w:t>
      </w:r>
      <w:r>
        <w:t>Opposer</w:t>
      </w:r>
      <w:r w:rsidRPr="002C4077">
        <w:t xml:space="preserve"> </w:t>
      </w:r>
      <w:r>
        <w:t>le</w:t>
      </w:r>
      <w:r w:rsidRPr="002C4077">
        <w:t xml:space="preserve"> </w:t>
      </w:r>
      <w:r>
        <w:t>calme</w:t>
      </w:r>
      <w:r w:rsidRPr="002C4077">
        <w:t xml:space="preserve"> </w:t>
      </w:r>
      <w:r>
        <w:t>auguste</w:t>
      </w:r>
      <w:r w:rsidRPr="002C4077">
        <w:t xml:space="preserve"> </w:t>
      </w:r>
      <w:r>
        <w:t>des</w:t>
      </w:r>
      <w:r w:rsidRPr="002C4077">
        <w:t xml:space="preserve"> </w:t>
      </w:r>
      <w:r>
        <w:t>derniers</w:t>
      </w:r>
      <w:r w:rsidRPr="002C4077">
        <w:t xml:space="preserve"> </w:t>
      </w:r>
      <w:r>
        <w:t>discours</w:t>
      </w:r>
      <w:r w:rsidRPr="002C4077">
        <w:t xml:space="preserve"> </w:t>
      </w:r>
      <w:r>
        <w:t>de</w:t>
      </w:r>
      <w:r w:rsidRPr="002C4077">
        <w:t xml:space="preserve"> </w:t>
      </w:r>
      <w:r>
        <w:t>la</w:t>
      </w:r>
      <w:r w:rsidRPr="002C4077">
        <w:t xml:space="preserve"> </w:t>
      </w:r>
      <w:r>
        <w:t>chambre</w:t>
      </w:r>
      <w:r w:rsidRPr="002C4077">
        <w:t xml:space="preserve"> </w:t>
      </w:r>
      <w:r>
        <w:t>haute</w:t>
      </w:r>
      <w:r w:rsidRPr="004440EA">
        <w:t xml:space="preserve"> (</w:t>
      </w:r>
      <w:r>
        <w:t>c’est-à-dire</w:t>
      </w:r>
      <w:r w:rsidRPr="002C4077">
        <w:t xml:space="preserve"> </w:t>
      </w:r>
      <w:r>
        <w:t>du</w:t>
      </w:r>
      <w:r w:rsidRPr="002C4077">
        <w:t xml:space="preserve"> </w:t>
      </w:r>
      <w:r>
        <w:t>cénacle</w:t>
      </w:r>
      <w:r w:rsidR="00B546AF" w:rsidRPr="002C4077">
        <w:t>)</w:t>
      </w:r>
      <w:r w:rsidRPr="002C4077">
        <w:t xml:space="preserve"> </w:t>
      </w:r>
      <w:r>
        <w:t>aux</w:t>
      </w:r>
      <w:r w:rsidRPr="002C4077">
        <w:t xml:space="preserve"> </w:t>
      </w:r>
      <w:r>
        <w:t>gémissements</w:t>
      </w:r>
      <w:r w:rsidRPr="002C4077">
        <w:t xml:space="preserve"> </w:t>
      </w:r>
      <w:r w:rsidR="006E0521">
        <w:t>de</w:t>
      </w:r>
      <w:r w:rsidR="006E0521" w:rsidRPr="002C4077">
        <w:t xml:space="preserve"> </w:t>
      </w:r>
      <w:r w:rsidR="006E0521">
        <w:t>Gethsémani</w:t>
      </w:r>
      <w:r w:rsidRPr="002C4077">
        <w:t xml:space="preserve"> </w:t>
      </w:r>
      <w:r>
        <w:t>pour</w:t>
      </w:r>
      <w:r w:rsidRPr="002C4077">
        <w:t xml:space="preserve"> </w:t>
      </w:r>
      <w:r>
        <w:t>conclure</w:t>
      </w:r>
      <w:r w:rsidRPr="002C4077">
        <w:t xml:space="preserve"> </w:t>
      </w:r>
      <w:r>
        <w:t>à</w:t>
      </w:r>
      <w:r w:rsidRPr="002C4077">
        <w:t xml:space="preserve"> </w:t>
      </w:r>
      <w:r>
        <w:t>une</w:t>
      </w:r>
      <w:r w:rsidRPr="002C4077">
        <w:t xml:space="preserve"> </w:t>
      </w:r>
      <w:r>
        <w:t>insoluble</w:t>
      </w:r>
      <w:r w:rsidRPr="002C4077">
        <w:t xml:space="preserve"> </w:t>
      </w:r>
      <w:r>
        <w:t>contradiction,</w:t>
      </w:r>
      <w:r w:rsidRPr="002C4077">
        <w:t xml:space="preserve"> </w:t>
      </w:r>
      <w:r>
        <w:t>c’est</w:t>
      </w:r>
      <w:r w:rsidRPr="002C4077">
        <w:t xml:space="preserve"> </w:t>
      </w:r>
      <w:r>
        <w:t>méconnaître</w:t>
      </w:r>
      <w:r w:rsidRPr="002C4077">
        <w:t xml:space="preserve"> </w:t>
      </w:r>
      <w:r>
        <w:t>entièrement</w:t>
      </w:r>
      <w:r w:rsidRPr="002C4077">
        <w:t xml:space="preserve"> </w:t>
      </w:r>
      <w:r>
        <w:t>le</w:t>
      </w:r>
      <w:r w:rsidRPr="002C4077">
        <w:t xml:space="preserve"> </w:t>
      </w:r>
      <w:r>
        <w:t>caractère</w:t>
      </w:r>
      <w:r w:rsidRPr="002C4077">
        <w:t xml:space="preserve"> </w:t>
      </w:r>
      <w:r>
        <w:t>propre</w:t>
      </w:r>
      <w:r w:rsidRPr="002C4077">
        <w:t xml:space="preserve"> </w:t>
      </w:r>
      <w:r>
        <w:t>de</w:t>
      </w:r>
      <w:r w:rsidRPr="002C4077">
        <w:t xml:space="preserve"> </w:t>
      </w:r>
      <w:r>
        <w:t>l’humanité,</w:t>
      </w:r>
      <w:r w:rsidRPr="002C4077">
        <w:t xml:space="preserve"> </w:t>
      </w:r>
      <w:r>
        <w:t>toujours</w:t>
      </w:r>
      <w:r w:rsidRPr="002C4077">
        <w:t xml:space="preserve"> </w:t>
      </w:r>
      <w:r>
        <w:t>susceptible</w:t>
      </w:r>
      <w:r w:rsidRPr="002C4077">
        <w:t xml:space="preserve"> </w:t>
      </w:r>
      <w:r>
        <w:t>d’impressions</w:t>
      </w:r>
      <w:r w:rsidRPr="002C4077">
        <w:t xml:space="preserve"> </w:t>
      </w:r>
      <w:r>
        <w:t>différentes</w:t>
      </w:r>
      <w:r w:rsidR="00B546AF">
        <w:t> ;</w:t>
      </w:r>
      <w:r w:rsidRPr="002C4077">
        <w:t xml:space="preserve"> </w:t>
      </w:r>
      <w:r>
        <w:t>c’est</w:t>
      </w:r>
      <w:r w:rsidRPr="002C4077">
        <w:t xml:space="preserve"> </w:t>
      </w:r>
      <w:r>
        <w:t>oublier</w:t>
      </w:r>
      <w:r w:rsidRPr="002C4077">
        <w:t xml:space="preserve"> </w:t>
      </w:r>
      <w:r>
        <w:lastRenderedPageBreak/>
        <w:t>que</w:t>
      </w:r>
      <w:r w:rsidRPr="002C4077">
        <w:t xml:space="preserve"> </w:t>
      </w:r>
      <w:r>
        <w:t>la</w:t>
      </w:r>
      <w:r w:rsidRPr="002C4077">
        <w:t xml:space="preserve"> </w:t>
      </w:r>
      <w:r>
        <w:t>mort</w:t>
      </w:r>
      <w:r w:rsidRPr="002C4077">
        <w:t xml:space="preserve"> </w:t>
      </w:r>
      <w:r>
        <w:t>du</w:t>
      </w:r>
      <w:r w:rsidRPr="002C4077">
        <w:t xml:space="preserve"> </w:t>
      </w:r>
      <w:r w:rsidR="00425C50">
        <w:t>Christ</w:t>
      </w:r>
      <w:r w:rsidRPr="002C4077">
        <w:t xml:space="preserve"> </w:t>
      </w:r>
      <w:r>
        <w:t>a</w:t>
      </w:r>
      <w:r w:rsidRPr="002C4077">
        <w:t xml:space="preserve"> </w:t>
      </w:r>
      <w:r>
        <w:t>une</w:t>
      </w:r>
      <w:r w:rsidRPr="002C4077">
        <w:t xml:space="preserve"> </w:t>
      </w:r>
      <w:r>
        <w:t>double</w:t>
      </w:r>
      <w:r w:rsidRPr="002C4077">
        <w:t xml:space="preserve"> </w:t>
      </w:r>
      <w:r>
        <w:t>face,</w:t>
      </w:r>
      <w:r w:rsidRPr="002C4077">
        <w:t xml:space="preserve"> </w:t>
      </w:r>
      <w:r>
        <w:t>qu’elle</w:t>
      </w:r>
      <w:r w:rsidRPr="002C4077">
        <w:t xml:space="preserve"> </w:t>
      </w:r>
      <w:r>
        <w:t>unit</w:t>
      </w:r>
      <w:r w:rsidRPr="002C4077">
        <w:t xml:space="preserve"> </w:t>
      </w:r>
      <w:r>
        <w:t>la</w:t>
      </w:r>
      <w:r w:rsidRPr="002C4077">
        <w:t xml:space="preserve"> </w:t>
      </w:r>
      <w:r>
        <w:t>souffrance</w:t>
      </w:r>
      <w:r w:rsidRPr="002C4077">
        <w:t xml:space="preserve"> </w:t>
      </w:r>
      <w:r>
        <w:t>et</w:t>
      </w:r>
      <w:r w:rsidRPr="002C4077">
        <w:t xml:space="preserve"> </w:t>
      </w:r>
      <w:r>
        <w:t>la</w:t>
      </w:r>
      <w:r w:rsidRPr="002C4077">
        <w:t xml:space="preserve"> </w:t>
      </w:r>
      <w:r>
        <w:t>gloire,</w:t>
      </w:r>
      <w:r w:rsidRPr="002C4077">
        <w:t xml:space="preserve"> </w:t>
      </w:r>
      <w:r>
        <w:t>l’opprobre</w:t>
      </w:r>
      <w:r w:rsidRPr="004440EA">
        <w:t xml:space="preserve"> (</w:t>
      </w:r>
      <w:r>
        <w:t>mieux</w:t>
      </w:r>
      <w:r w:rsidR="00B546AF">
        <w:t> :</w:t>
      </w:r>
      <w:r w:rsidRPr="002C4077">
        <w:t xml:space="preserve"> </w:t>
      </w:r>
      <w:r>
        <w:t>l’humiliation</w:t>
      </w:r>
      <w:r w:rsidRPr="002C4077">
        <w:t xml:space="preserve"> </w:t>
      </w:r>
      <w:r>
        <w:t>volontaire</w:t>
      </w:r>
      <w:r w:rsidR="00B546AF" w:rsidRPr="002C4077">
        <w:t>)</w:t>
      </w:r>
      <w:r w:rsidRPr="002C4077">
        <w:t xml:space="preserve"> </w:t>
      </w:r>
      <w:r>
        <w:t>et</w:t>
      </w:r>
      <w:r w:rsidRPr="002C4077">
        <w:t xml:space="preserve"> </w:t>
      </w:r>
      <w:r>
        <w:t>la</w:t>
      </w:r>
      <w:r w:rsidRPr="002C4077">
        <w:t xml:space="preserve"> </w:t>
      </w:r>
      <w:r>
        <w:t>victoire</w:t>
      </w:r>
      <w:r w:rsidR="00B91AF7">
        <w:rPr>
          <w:rStyle w:val="Appelnotedebasdep"/>
        </w:rPr>
        <w:footnoteReference w:id="348"/>
      </w:r>
      <w:r w:rsidR="00B546AF">
        <w:t> »</w:t>
      </w:r>
      <w:r>
        <w:t>.</w:t>
      </w:r>
      <w:r w:rsidR="00C45B47">
        <w:t xml:space="preserve"> {</w:t>
      </w:r>
      <w:r w:rsidR="004C5B7A">
        <w:t>112</w:t>
      </w:r>
      <w:bookmarkStart w:id="323" w:name="p112"/>
      <w:bookmarkEnd w:id="323"/>
      <w:r w:rsidR="004C5B7A">
        <w:t xml:space="preserve">} </w:t>
      </w:r>
    </w:p>
    <w:p w:rsidR="000A7AAB" w:rsidRDefault="000A7AAB" w:rsidP="000A7AAB">
      <w:r>
        <w:t>3°</w:t>
      </w:r>
      <w:r w:rsidRPr="002C4077">
        <w:t xml:space="preserve"> </w:t>
      </w:r>
      <w:r>
        <w:t>On</w:t>
      </w:r>
      <w:r w:rsidRPr="002C4077">
        <w:t xml:space="preserve"> </w:t>
      </w:r>
      <w:r>
        <w:t>nous</w:t>
      </w:r>
      <w:r w:rsidRPr="002C4077">
        <w:t xml:space="preserve"> </w:t>
      </w:r>
      <w:r>
        <w:t>dit</w:t>
      </w:r>
      <w:r w:rsidRPr="002C4077">
        <w:t xml:space="preserve"> </w:t>
      </w:r>
      <w:r>
        <w:t>encore</w:t>
      </w:r>
      <w:r w:rsidR="00B546AF">
        <w:t> :</w:t>
      </w:r>
      <w:r w:rsidRPr="002C4077">
        <w:t xml:space="preserve"> </w:t>
      </w:r>
      <w:r>
        <w:t>Comment</w:t>
      </w:r>
      <w:r w:rsidRPr="002C4077">
        <w:t xml:space="preserve"> </w:t>
      </w:r>
      <w:r>
        <w:t>S.</w:t>
      </w:r>
      <w:r w:rsidRPr="002C4077">
        <w:t xml:space="preserve"> </w:t>
      </w:r>
      <w:r>
        <w:t>Luc</w:t>
      </w:r>
      <w:r w:rsidRPr="002C4077">
        <w:t xml:space="preserve"> </w:t>
      </w:r>
      <w:r>
        <w:t>a-t-il</w:t>
      </w:r>
      <w:r w:rsidRPr="002C4077">
        <w:t xml:space="preserve"> </w:t>
      </w:r>
      <w:r>
        <w:t>pu</w:t>
      </w:r>
      <w:r w:rsidRPr="002C4077">
        <w:t xml:space="preserve"> </w:t>
      </w:r>
      <w:r>
        <w:t>connaître</w:t>
      </w:r>
      <w:r w:rsidRPr="002C4077">
        <w:t xml:space="preserve"> </w:t>
      </w:r>
      <w:r>
        <w:t>ces</w:t>
      </w:r>
      <w:r w:rsidRPr="002C4077">
        <w:t xml:space="preserve"> </w:t>
      </w:r>
      <w:r>
        <w:t>deux</w:t>
      </w:r>
      <w:r w:rsidRPr="002C4077">
        <w:t xml:space="preserve"> </w:t>
      </w:r>
      <w:r>
        <w:t>incidents</w:t>
      </w:r>
      <w:r w:rsidRPr="002C4077">
        <w:t xml:space="preserve"> </w:t>
      </w:r>
      <w:r>
        <w:t>de</w:t>
      </w:r>
      <w:r w:rsidRPr="002C4077">
        <w:t xml:space="preserve"> </w:t>
      </w:r>
      <w:r>
        <w:t>Gethsémani,</w:t>
      </w:r>
      <w:r w:rsidRPr="002C4077">
        <w:t xml:space="preserve"> </w:t>
      </w:r>
      <w:r>
        <w:t>qu’il</w:t>
      </w:r>
      <w:r w:rsidRPr="002C4077">
        <w:t xml:space="preserve"> </w:t>
      </w:r>
      <w:r w:rsidR="00425C50">
        <w:t>est</w:t>
      </w:r>
      <w:r w:rsidRPr="002C4077">
        <w:t xml:space="preserve"> </w:t>
      </w:r>
      <w:r>
        <w:t>seul</w:t>
      </w:r>
      <w:r w:rsidRPr="002C4077">
        <w:t xml:space="preserve"> </w:t>
      </w:r>
      <w:r>
        <w:t>à</w:t>
      </w:r>
      <w:r w:rsidRPr="002C4077">
        <w:t xml:space="preserve"> </w:t>
      </w:r>
      <w:r>
        <w:t>relater</w:t>
      </w:r>
      <w:r w:rsidR="00B546AF">
        <w:t> ?</w:t>
      </w:r>
      <w:r w:rsidRPr="002C4077">
        <w:t xml:space="preserve"> </w:t>
      </w:r>
      <w:r>
        <w:t>Ne</w:t>
      </w:r>
      <w:r w:rsidRPr="002C4077">
        <w:t xml:space="preserve"> </w:t>
      </w:r>
      <w:r>
        <w:t>note-t-il</w:t>
      </w:r>
      <w:r w:rsidRPr="002C4077">
        <w:t xml:space="preserve"> </w:t>
      </w:r>
      <w:r>
        <w:t>pas</w:t>
      </w:r>
      <w:r w:rsidRPr="002C4077">
        <w:t xml:space="preserve"> </w:t>
      </w:r>
      <w:r>
        <w:t>expressément</w:t>
      </w:r>
      <w:r w:rsidRPr="002C4077">
        <w:t xml:space="preserve"> </w:t>
      </w:r>
      <w:r>
        <w:t>que</w:t>
      </w:r>
      <w:r w:rsidRPr="002C4077">
        <w:t xml:space="preserve"> </w:t>
      </w:r>
      <w:r>
        <w:t>ceux</w:t>
      </w:r>
      <w:r w:rsidRPr="002C4077">
        <w:t xml:space="preserve"> </w:t>
      </w:r>
      <w:r>
        <w:t>des</w:t>
      </w:r>
      <w:r w:rsidRPr="002C4077">
        <w:t xml:space="preserve"> </w:t>
      </w:r>
      <w:r>
        <w:t>apôtres</w:t>
      </w:r>
      <w:r w:rsidRPr="002C4077">
        <w:t xml:space="preserve"> </w:t>
      </w:r>
      <w:r>
        <w:t>qui</w:t>
      </w:r>
      <w:r w:rsidRPr="002C4077">
        <w:t xml:space="preserve"> </w:t>
      </w:r>
      <w:r>
        <w:t>auraient</w:t>
      </w:r>
      <w:r w:rsidRPr="002C4077">
        <w:t xml:space="preserve"> </w:t>
      </w:r>
      <w:r>
        <w:t>pu</w:t>
      </w:r>
      <w:r w:rsidRPr="002C4077">
        <w:t xml:space="preserve"> </w:t>
      </w:r>
      <w:r>
        <w:t>en</w:t>
      </w:r>
      <w:r w:rsidRPr="002C4077">
        <w:t xml:space="preserve"> </w:t>
      </w:r>
      <w:r>
        <w:t>être</w:t>
      </w:r>
      <w:r w:rsidRPr="002C4077">
        <w:t xml:space="preserve"> </w:t>
      </w:r>
      <w:r>
        <w:t>témoins</w:t>
      </w:r>
      <w:r w:rsidRPr="002C4077">
        <w:t xml:space="preserve"> </w:t>
      </w:r>
      <w:r>
        <w:t>étaient</w:t>
      </w:r>
      <w:r w:rsidRPr="002C4077">
        <w:t xml:space="preserve"> </w:t>
      </w:r>
      <w:r>
        <w:t>accablés</w:t>
      </w:r>
      <w:r w:rsidRPr="002C4077">
        <w:t xml:space="preserve"> </w:t>
      </w:r>
      <w:r>
        <w:t>de</w:t>
      </w:r>
      <w:r w:rsidRPr="002C4077">
        <w:t xml:space="preserve"> </w:t>
      </w:r>
      <w:r>
        <w:t>sommeil</w:t>
      </w:r>
      <w:r w:rsidR="00B546AF">
        <w:t> ?</w:t>
      </w:r>
      <w:r w:rsidR="00B91AF7">
        <w:rPr>
          <w:rStyle w:val="Appelnotedebasdep"/>
        </w:rPr>
        <w:footnoteReference w:id="349"/>
      </w:r>
      <w:r w:rsidRPr="002C4077">
        <w:t xml:space="preserve"> </w:t>
      </w:r>
      <w:r>
        <w:t>De</w:t>
      </w:r>
      <w:r w:rsidRPr="002C4077">
        <w:t xml:space="preserve"> </w:t>
      </w:r>
      <w:r>
        <w:t>plus,</w:t>
      </w:r>
      <w:r w:rsidRPr="002C4077">
        <w:t xml:space="preserve"> </w:t>
      </w:r>
      <w:r>
        <w:t>S.</w:t>
      </w:r>
      <w:r w:rsidRPr="002C4077">
        <w:t xml:space="preserve"> </w:t>
      </w:r>
      <w:r>
        <w:t>Pierre,</w:t>
      </w:r>
      <w:r w:rsidRPr="002C4077">
        <w:t xml:space="preserve"> </w:t>
      </w:r>
      <w:r>
        <w:t>S.</w:t>
      </w:r>
      <w:r w:rsidRPr="002C4077">
        <w:t xml:space="preserve"> </w:t>
      </w:r>
      <w:r>
        <w:t>Jacques</w:t>
      </w:r>
      <w:r w:rsidRPr="002C4077">
        <w:t xml:space="preserve"> </w:t>
      </w:r>
      <w:r>
        <w:t>et</w:t>
      </w:r>
      <w:r w:rsidRPr="002C4077">
        <w:t xml:space="preserve"> </w:t>
      </w:r>
      <w:r>
        <w:t>S.</w:t>
      </w:r>
      <w:r w:rsidRPr="002C4077">
        <w:t xml:space="preserve"> </w:t>
      </w:r>
      <w:r>
        <w:t>Jean</w:t>
      </w:r>
      <w:r w:rsidRPr="002C4077">
        <w:t xml:space="preserve"> </w:t>
      </w:r>
      <w:r>
        <w:t>se</w:t>
      </w:r>
      <w:r w:rsidRPr="002C4077">
        <w:t xml:space="preserve"> </w:t>
      </w:r>
      <w:r>
        <w:t>tenaient</w:t>
      </w:r>
      <w:r w:rsidRPr="002C4077">
        <w:t xml:space="preserve"> </w:t>
      </w:r>
      <w:r>
        <w:t>à</w:t>
      </w:r>
      <w:r w:rsidRPr="002C4077">
        <w:t xml:space="preserve"> </w:t>
      </w:r>
      <w:r>
        <w:t>une</w:t>
      </w:r>
      <w:r w:rsidRPr="002C4077">
        <w:t xml:space="preserve"> </w:t>
      </w:r>
      <w:r>
        <w:t>certaine</w:t>
      </w:r>
      <w:r w:rsidRPr="002C4077">
        <w:t xml:space="preserve"> </w:t>
      </w:r>
      <w:r>
        <w:t>distance</w:t>
      </w:r>
      <w:r w:rsidRPr="002C4077">
        <w:t xml:space="preserve"> </w:t>
      </w:r>
      <w:r>
        <w:t>de</w:t>
      </w:r>
      <w:r w:rsidRPr="002C4077">
        <w:t xml:space="preserve"> </w:t>
      </w:r>
      <w:r w:rsidR="00425C50">
        <w:t>Jésus</w:t>
      </w:r>
      <w:r>
        <w:t>,</w:t>
      </w:r>
      <w:r w:rsidRPr="002C4077">
        <w:t xml:space="preserve"> </w:t>
      </w:r>
      <w:r>
        <w:t>et</w:t>
      </w:r>
      <w:r w:rsidRPr="002C4077">
        <w:t xml:space="preserve"> </w:t>
      </w:r>
      <w:r>
        <w:t>c’était</w:t>
      </w:r>
      <w:r w:rsidRPr="002C4077">
        <w:t xml:space="preserve"> </w:t>
      </w:r>
      <w:r>
        <w:t>la</w:t>
      </w:r>
      <w:r w:rsidRPr="002C4077">
        <w:t xml:space="preserve"> </w:t>
      </w:r>
      <w:r>
        <w:t>nuit</w:t>
      </w:r>
      <w:r w:rsidR="00B546AF">
        <w:t> ;</w:t>
      </w:r>
      <w:r w:rsidRPr="002C4077">
        <w:t xml:space="preserve"> </w:t>
      </w:r>
      <w:r>
        <w:t>il</w:t>
      </w:r>
      <w:r w:rsidRPr="002C4077">
        <w:t xml:space="preserve"> </w:t>
      </w:r>
      <w:r>
        <w:t>leur</w:t>
      </w:r>
      <w:r w:rsidRPr="002C4077">
        <w:t xml:space="preserve"> </w:t>
      </w:r>
      <w:r>
        <w:t>fut</w:t>
      </w:r>
      <w:r w:rsidRPr="002C4077">
        <w:t xml:space="preserve"> </w:t>
      </w:r>
      <w:r>
        <w:t>donc</w:t>
      </w:r>
      <w:r w:rsidRPr="002C4077">
        <w:t xml:space="preserve"> </w:t>
      </w:r>
      <w:r>
        <w:t>impossible</w:t>
      </w:r>
      <w:r w:rsidRPr="002C4077">
        <w:t xml:space="preserve"> </w:t>
      </w:r>
      <w:r>
        <w:t>d’apercevoir</w:t>
      </w:r>
      <w:r w:rsidRPr="002C4077">
        <w:t xml:space="preserve"> </w:t>
      </w:r>
      <w:r>
        <w:t>l’ange,</w:t>
      </w:r>
      <w:r w:rsidRPr="002C4077">
        <w:t xml:space="preserve"> </w:t>
      </w:r>
      <w:r>
        <w:t>de</w:t>
      </w:r>
      <w:r w:rsidRPr="002C4077">
        <w:t xml:space="preserve"> </w:t>
      </w:r>
      <w:r>
        <w:t>constater</w:t>
      </w:r>
      <w:r w:rsidRPr="002C4077">
        <w:t xml:space="preserve"> </w:t>
      </w:r>
      <w:r>
        <w:t>la</w:t>
      </w:r>
      <w:r w:rsidRPr="002C4077">
        <w:t xml:space="preserve"> </w:t>
      </w:r>
      <w:r>
        <w:t>sueur</w:t>
      </w:r>
      <w:r w:rsidRPr="002C4077">
        <w:t xml:space="preserve"> </w:t>
      </w:r>
      <w:r w:rsidR="006E0521">
        <w:t>de</w:t>
      </w:r>
      <w:r w:rsidR="006E0521" w:rsidRPr="002C4077">
        <w:t xml:space="preserve"> </w:t>
      </w:r>
      <w:r w:rsidR="006E0521">
        <w:t>sang.</w:t>
      </w:r>
      <w:r w:rsidR="006E0521" w:rsidRPr="002C4077">
        <w:t xml:space="preserve"> </w:t>
      </w:r>
      <w:r w:rsidR="006E0521">
        <w:t>En</w:t>
      </w:r>
      <w:r w:rsidR="006E0521" w:rsidRPr="002C4077">
        <w:t xml:space="preserve"> </w:t>
      </w:r>
      <w:r w:rsidR="006E0521">
        <w:t>vérité,</w:t>
      </w:r>
      <w:r w:rsidR="006E0521" w:rsidRPr="002C4077">
        <w:t xml:space="preserve"> </w:t>
      </w:r>
      <w:r w:rsidR="006E0521">
        <w:t>répond</w:t>
      </w:r>
      <w:r w:rsidR="006E0521" w:rsidRPr="002C4077">
        <w:t xml:space="preserve"> </w:t>
      </w:r>
      <w:r w:rsidR="006E0521">
        <w:t>Keim</w:t>
      </w:r>
      <w:r w:rsidR="00A62B37">
        <w:rPr>
          <w:rStyle w:val="Appelnotedebasdep"/>
        </w:rPr>
        <w:footnoteReference w:id="350"/>
      </w:r>
      <w:r>
        <w:t>,</w:t>
      </w:r>
      <w:r w:rsidRPr="002C4077">
        <w:t xml:space="preserve"> </w:t>
      </w:r>
      <w:r w:rsidR="00B546AF">
        <w:t>« </w:t>
      </w:r>
      <w:r>
        <w:t>on</w:t>
      </w:r>
      <w:r w:rsidRPr="002C4077">
        <w:t xml:space="preserve"> </w:t>
      </w:r>
      <w:r>
        <w:t>voit</w:t>
      </w:r>
      <w:r w:rsidRPr="002C4077">
        <w:t xml:space="preserve"> </w:t>
      </w:r>
      <w:r>
        <w:t>aisément</w:t>
      </w:r>
      <w:r w:rsidRPr="002C4077">
        <w:t xml:space="preserve"> </w:t>
      </w:r>
      <w:r>
        <w:t>que</w:t>
      </w:r>
      <w:r w:rsidRPr="002C4077">
        <w:t xml:space="preserve"> </w:t>
      </w:r>
      <w:r>
        <w:t>les</w:t>
      </w:r>
      <w:r w:rsidRPr="002C4077">
        <w:t xml:space="preserve"> </w:t>
      </w:r>
      <w:r>
        <w:t>dormeurs</w:t>
      </w:r>
      <w:r w:rsidRPr="002C4077">
        <w:t xml:space="preserve"> </w:t>
      </w:r>
      <w:r>
        <w:t>n’ont</w:t>
      </w:r>
      <w:r w:rsidRPr="002C4077">
        <w:t xml:space="preserve"> </w:t>
      </w:r>
      <w:r>
        <w:t>pas</w:t>
      </w:r>
      <w:r w:rsidRPr="002C4077">
        <w:t xml:space="preserve"> </w:t>
      </w:r>
      <w:r>
        <w:t>toujours</w:t>
      </w:r>
      <w:r w:rsidRPr="002C4077">
        <w:t xml:space="preserve"> </w:t>
      </w:r>
      <w:r>
        <w:t>été</w:t>
      </w:r>
      <w:r w:rsidRPr="002C4077">
        <w:t xml:space="preserve"> </w:t>
      </w:r>
      <w:r>
        <w:t>endormis,</w:t>
      </w:r>
      <w:r w:rsidRPr="002C4077">
        <w:t xml:space="preserve"> </w:t>
      </w:r>
      <w:r>
        <w:t>qu’en</w:t>
      </w:r>
      <w:r w:rsidRPr="002C4077">
        <w:t xml:space="preserve"> </w:t>
      </w:r>
      <w:r>
        <w:t>tout</w:t>
      </w:r>
      <w:r w:rsidRPr="002C4077">
        <w:t xml:space="preserve"> </w:t>
      </w:r>
      <w:r>
        <w:t>cas</w:t>
      </w:r>
      <w:r w:rsidRPr="002C4077">
        <w:t xml:space="preserve"> </w:t>
      </w:r>
      <w:r>
        <w:t>ils</w:t>
      </w:r>
      <w:r w:rsidRPr="002C4077">
        <w:t xml:space="preserve"> </w:t>
      </w:r>
      <w:r>
        <w:t>ne</w:t>
      </w:r>
      <w:r w:rsidRPr="002C4077">
        <w:t xml:space="preserve"> </w:t>
      </w:r>
      <w:r>
        <w:t>dormaient</w:t>
      </w:r>
      <w:r w:rsidRPr="002C4077">
        <w:t xml:space="preserve"> </w:t>
      </w:r>
      <w:r>
        <w:t>point</w:t>
      </w:r>
      <w:r w:rsidRPr="002C4077">
        <w:t xml:space="preserve"> </w:t>
      </w:r>
      <w:r>
        <w:t>au</w:t>
      </w:r>
      <w:r w:rsidRPr="002C4077">
        <w:t xml:space="preserve"> </w:t>
      </w:r>
      <w:r>
        <w:t>début</w:t>
      </w:r>
      <w:r w:rsidRPr="002C4077">
        <w:t xml:space="preserve"> </w:t>
      </w:r>
      <w:r>
        <w:t>de</w:t>
      </w:r>
      <w:r w:rsidRPr="002C4077">
        <w:t xml:space="preserve"> </w:t>
      </w:r>
      <w:r>
        <w:t>la</w:t>
      </w:r>
      <w:r w:rsidRPr="002C4077">
        <w:t xml:space="preserve"> </w:t>
      </w:r>
      <w:r>
        <w:t>scène</w:t>
      </w:r>
      <w:r w:rsidR="00B546AF">
        <w:t> »</w:t>
      </w:r>
      <w:r>
        <w:t>.</w:t>
      </w:r>
      <w:r w:rsidRPr="002C4077">
        <w:t xml:space="preserve"> </w:t>
      </w:r>
      <w:r>
        <w:t>Aussi</w:t>
      </w:r>
      <w:r w:rsidRPr="002C4077">
        <w:t xml:space="preserve"> </w:t>
      </w:r>
      <w:r>
        <w:t>traite-t-il</w:t>
      </w:r>
      <w:r w:rsidRPr="002C4077">
        <w:t xml:space="preserve"> </w:t>
      </w:r>
      <w:r>
        <w:t>à</w:t>
      </w:r>
      <w:r w:rsidRPr="002C4077">
        <w:t xml:space="preserve"> </w:t>
      </w:r>
      <w:r>
        <w:t>bon</w:t>
      </w:r>
      <w:r w:rsidRPr="002C4077">
        <w:t xml:space="preserve"> </w:t>
      </w:r>
      <w:r>
        <w:t>droit</w:t>
      </w:r>
      <w:r w:rsidRPr="002C4077">
        <w:t xml:space="preserve"> </w:t>
      </w:r>
      <w:r>
        <w:t>l’objection</w:t>
      </w:r>
      <w:r w:rsidRPr="002C4077">
        <w:t xml:space="preserve"> </w:t>
      </w:r>
      <w:r>
        <w:t>de</w:t>
      </w:r>
      <w:r w:rsidRPr="002C4077">
        <w:t xml:space="preserve"> </w:t>
      </w:r>
      <w:r w:rsidR="006E0521" w:rsidRPr="006E0521">
        <w:rPr>
          <w:rStyle w:val="italicus"/>
        </w:rPr>
        <w:t>læ</w:t>
      </w:r>
      <w:r w:rsidRPr="006E0521">
        <w:rPr>
          <w:rStyle w:val="italicus"/>
        </w:rPr>
        <w:t>cherlich</w:t>
      </w:r>
      <w:r w:rsidRPr="004440EA">
        <w:t xml:space="preserve"> (</w:t>
      </w:r>
      <w:r>
        <w:t>ridicule</w:t>
      </w:r>
      <w:r w:rsidR="00B546AF" w:rsidRPr="002C4077">
        <w:t>)</w:t>
      </w:r>
      <w:r>
        <w:t>.</w:t>
      </w:r>
      <w:r w:rsidRPr="002C4077">
        <w:t xml:space="preserve"> </w:t>
      </w:r>
      <w:r>
        <w:t>Le</w:t>
      </w:r>
      <w:r w:rsidRPr="002C4077">
        <w:t xml:space="preserve"> </w:t>
      </w:r>
      <w:r>
        <w:t>texte</w:t>
      </w:r>
      <w:r w:rsidRPr="002C4077">
        <w:t xml:space="preserve"> </w:t>
      </w:r>
      <w:r>
        <w:t>sacré</w:t>
      </w:r>
      <w:r w:rsidRPr="002C4077">
        <w:t xml:space="preserve"> </w:t>
      </w:r>
      <w:r>
        <w:t>nous</w:t>
      </w:r>
      <w:r w:rsidRPr="002C4077">
        <w:t xml:space="preserve"> </w:t>
      </w:r>
      <w:r>
        <w:t>l’apprend,</w:t>
      </w:r>
      <w:r w:rsidRPr="002C4077">
        <w:t xml:space="preserve"> </w:t>
      </w:r>
      <w:r w:rsidR="00425C50">
        <w:t>Jésus</w:t>
      </w:r>
      <w:r w:rsidRPr="002C4077">
        <w:t xml:space="preserve"> </w:t>
      </w:r>
      <w:r>
        <w:t>ne</w:t>
      </w:r>
      <w:r w:rsidRPr="002C4077">
        <w:t xml:space="preserve"> </w:t>
      </w:r>
      <w:r>
        <w:t>s’était</w:t>
      </w:r>
      <w:r w:rsidRPr="002C4077">
        <w:t xml:space="preserve"> </w:t>
      </w:r>
      <w:r>
        <w:t>écarté</w:t>
      </w:r>
      <w:r w:rsidRPr="002C4077">
        <w:t xml:space="preserve"> </w:t>
      </w:r>
      <w:r>
        <w:t>de</w:t>
      </w:r>
      <w:r w:rsidRPr="002C4077">
        <w:t xml:space="preserve"> </w:t>
      </w:r>
      <w:r>
        <w:t>ses</w:t>
      </w:r>
      <w:r w:rsidRPr="002C4077">
        <w:t xml:space="preserve"> </w:t>
      </w:r>
      <w:r>
        <w:t>disciples</w:t>
      </w:r>
      <w:r w:rsidRPr="002C4077">
        <w:t xml:space="preserve"> </w:t>
      </w:r>
      <w:r>
        <w:t>privilégiés</w:t>
      </w:r>
      <w:r w:rsidRPr="002C4077">
        <w:t xml:space="preserve"> </w:t>
      </w:r>
      <w:r>
        <w:t>qu’à</w:t>
      </w:r>
      <w:r w:rsidRPr="002C4077">
        <w:t xml:space="preserve"> </w:t>
      </w:r>
      <w:r>
        <w:t>la</w:t>
      </w:r>
      <w:r w:rsidRPr="002C4077">
        <w:t xml:space="preserve"> </w:t>
      </w:r>
      <w:r>
        <w:t>distance</w:t>
      </w:r>
      <w:r w:rsidRPr="002C4077">
        <w:t xml:space="preserve"> </w:t>
      </w:r>
      <w:r>
        <w:t>d’un</w:t>
      </w:r>
      <w:r w:rsidRPr="002C4077">
        <w:t xml:space="preserve"> </w:t>
      </w:r>
      <w:r>
        <w:t>jet</w:t>
      </w:r>
      <w:r w:rsidRPr="002C4077">
        <w:t xml:space="preserve"> </w:t>
      </w:r>
      <w:r>
        <w:t>de</w:t>
      </w:r>
      <w:r w:rsidRPr="002C4077">
        <w:t xml:space="preserve"> </w:t>
      </w:r>
      <w:r>
        <w:t>pierre</w:t>
      </w:r>
      <w:r w:rsidR="00A62B37">
        <w:rPr>
          <w:rStyle w:val="Appelnotedebasdep"/>
        </w:rPr>
        <w:footnoteReference w:id="351"/>
      </w:r>
      <w:r w:rsidR="00F44410">
        <w:t>,</w:t>
      </w:r>
      <w:r w:rsidRPr="002C4077">
        <w:t xml:space="preserve"> </w:t>
      </w:r>
      <w:r>
        <w:t>c’est-à-dire</w:t>
      </w:r>
      <w:r w:rsidRPr="002C4077">
        <w:t xml:space="preserve"> </w:t>
      </w:r>
      <w:r>
        <w:t>d’environ</w:t>
      </w:r>
      <w:r w:rsidRPr="002C4077">
        <w:t xml:space="preserve"> </w:t>
      </w:r>
      <w:r>
        <w:t>cinquante</w:t>
      </w:r>
      <w:r w:rsidRPr="002C4077">
        <w:t xml:space="preserve"> </w:t>
      </w:r>
      <w:r>
        <w:t>pas</w:t>
      </w:r>
      <w:r w:rsidRPr="004440EA">
        <w:t xml:space="preserve"> (</w:t>
      </w:r>
      <w:r>
        <w:t>détail</w:t>
      </w:r>
      <w:r w:rsidRPr="002C4077">
        <w:t xml:space="preserve"> </w:t>
      </w:r>
      <w:r>
        <w:t>positif,</w:t>
      </w:r>
      <w:r w:rsidRPr="002C4077">
        <w:t xml:space="preserve"> </w:t>
      </w:r>
      <w:r>
        <w:t>qui</w:t>
      </w:r>
      <w:r w:rsidRPr="002C4077">
        <w:t xml:space="preserve"> </w:t>
      </w:r>
      <w:r>
        <w:t>a</w:t>
      </w:r>
      <w:r w:rsidRPr="002C4077">
        <w:t xml:space="preserve"> </w:t>
      </w:r>
      <w:r>
        <w:t>tout</w:t>
      </w:r>
      <w:r w:rsidRPr="002C4077">
        <w:t xml:space="preserve"> </w:t>
      </w:r>
      <w:r>
        <w:t>à</w:t>
      </w:r>
      <w:r w:rsidRPr="002C4077">
        <w:t xml:space="preserve"> </w:t>
      </w:r>
      <w:r>
        <w:t>fait</w:t>
      </w:r>
      <w:r w:rsidRPr="002C4077">
        <w:t xml:space="preserve"> </w:t>
      </w:r>
      <w:r>
        <w:t>l’air</w:t>
      </w:r>
      <w:r w:rsidRPr="002C4077">
        <w:t xml:space="preserve"> </w:t>
      </w:r>
      <w:r>
        <w:t>d’un</w:t>
      </w:r>
      <w:r w:rsidRPr="002C4077">
        <w:t xml:space="preserve"> </w:t>
      </w:r>
      <w:r>
        <w:t>mythe,</w:t>
      </w:r>
      <w:r w:rsidRPr="002C4077">
        <w:t xml:space="preserve"> </w:t>
      </w:r>
      <w:r>
        <w:t>ou</w:t>
      </w:r>
      <w:r w:rsidRPr="002C4077">
        <w:t xml:space="preserve"> </w:t>
      </w:r>
      <w:r>
        <w:t>d’une</w:t>
      </w:r>
      <w:r w:rsidRPr="002C4077">
        <w:t xml:space="preserve"> </w:t>
      </w:r>
      <w:r>
        <w:t>légende,</w:t>
      </w:r>
      <w:r w:rsidRPr="002C4077">
        <w:t xml:space="preserve"> </w:t>
      </w:r>
      <w:r>
        <w:t>ou</w:t>
      </w:r>
      <w:r w:rsidRPr="002C4077">
        <w:t xml:space="preserve"> </w:t>
      </w:r>
      <w:r>
        <w:t>d’une</w:t>
      </w:r>
      <w:r w:rsidRPr="002C4077">
        <w:t xml:space="preserve"> </w:t>
      </w:r>
      <w:r>
        <w:t>fiction</w:t>
      </w:r>
      <w:r w:rsidRPr="002C4077">
        <w:t xml:space="preserve"> </w:t>
      </w:r>
      <w:r w:rsidR="00425C50">
        <w:t>poéti</w:t>
      </w:r>
      <w:r>
        <w:t>que</w:t>
      </w:r>
      <w:r w:rsidR="00B546AF">
        <w:t> !</w:t>
      </w:r>
      <w:r w:rsidR="00B546AF" w:rsidRPr="002C4077">
        <w:t>)</w:t>
      </w:r>
      <w:r w:rsidRPr="00950016">
        <w:t>,</w:t>
      </w:r>
      <w:r w:rsidRPr="002C4077">
        <w:t xml:space="preserve"> </w:t>
      </w:r>
      <w:r>
        <w:t>et</w:t>
      </w:r>
      <w:r w:rsidRPr="002C4077">
        <w:t xml:space="preserve"> </w:t>
      </w:r>
      <w:r>
        <w:t>l’on</w:t>
      </w:r>
      <w:r w:rsidRPr="002C4077">
        <w:t xml:space="preserve"> </w:t>
      </w:r>
      <w:r>
        <w:t>était</w:t>
      </w:r>
      <w:r w:rsidRPr="002C4077">
        <w:t xml:space="preserve"> </w:t>
      </w:r>
      <w:r>
        <w:t>alors</w:t>
      </w:r>
      <w:r w:rsidRPr="002C4077">
        <w:t xml:space="preserve"> </w:t>
      </w:r>
      <w:r>
        <w:t>au</w:t>
      </w:r>
      <w:r w:rsidRPr="002C4077">
        <w:t xml:space="preserve"> </w:t>
      </w:r>
      <w:r>
        <w:t>14</w:t>
      </w:r>
      <w:r w:rsidRPr="002C4077">
        <w:t xml:space="preserve"> </w:t>
      </w:r>
      <w:r>
        <w:t>nisan,</w:t>
      </w:r>
      <w:r w:rsidRPr="002C4077">
        <w:t xml:space="preserve"> </w:t>
      </w:r>
      <w:r>
        <w:t>à</w:t>
      </w:r>
      <w:r w:rsidRPr="002C4077">
        <w:t xml:space="preserve"> </w:t>
      </w:r>
      <w:r>
        <w:t>l’époque</w:t>
      </w:r>
      <w:r w:rsidRPr="002C4077">
        <w:t xml:space="preserve"> </w:t>
      </w:r>
      <w:r>
        <w:t>de</w:t>
      </w:r>
      <w:r w:rsidRPr="002C4077">
        <w:t xml:space="preserve"> </w:t>
      </w:r>
      <w:r>
        <w:t>la</w:t>
      </w:r>
      <w:r w:rsidRPr="002C4077">
        <w:t xml:space="preserve"> </w:t>
      </w:r>
      <w:r>
        <w:t>pleine</w:t>
      </w:r>
      <w:r w:rsidRPr="002C4077">
        <w:t xml:space="preserve"> </w:t>
      </w:r>
      <w:r>
        <w:t>lune.</w:t>
      </w:r>
      <w:r w:rsidRPr="002C4077">
        <w:t xml:space="preserve"> </w:t>
      </w:r>
      <w:r>
        <w:t>Sans</w:t>
      </w:r>
      <w:r w:rsidRPr="002C4077">
        <w:t xml:space="preserve"> </w:t>
      </w:r>
      <w:r>
        <w:t>être</w:t>
      </w:r>
      <w:r w:rsidRPr="002C4077">
        <w:t xml:space="preserve"> </w:t>
      </w:r>
      <w:r>
        <w:t>doués</w:t>
      </w:r>
      <w:r w:rsidRPr="002C4077">
        <w:t xml:space="preserve"> </w:t>
      </w:r>
      <w:r>
        <w:t>d’une</w:t>
      </w:r>
      <w:r w:rsidRPr="002C4077">
        <w:t xml:space="preserve"> </w:t>
      </w:r>
      <w:r>
        <w:t>vue</w:t>
      </w:r>
      <w:r w:rsidRPr="002C4077">
        <w:t xml:space="preserve"> </w:t>
      </w:r>
      <w:r>
        <w:t>bien</w:t>
      </w:r>
      <w:r w:rsidRPr="002C4077">
        <w:t xml:space="preserve"> </w:t>
      </w:r>
      <w:r>
        <w:t>extraordinaire,</w:t>
      </w:r>
      <w:r w:rsidRPr="002C4077">
        <w:t xml:space="preserve"> </w:t>
      </w:r>
      <w:r>
        <w:t>les</w:t>
      </w:r>
      <w:r w:rsidRPr="002C4077">
        <w:t xml:space="preserve"> </w:t>
      </w:r>
      <w:r>
        <w:t>apôtres</w:t>
      </w:r>
      <w:r w:rsidRPr="002C4077">
        <w:t xml:space="preserve"> </w:t>
      </w:r>
      <w:r>
        <w:t>purent</w:t>
      </w:r>
      <w:r w:rsidRPr="002C4077">
        <w:t xml:space="preserve"> </w:t>
      </w:r>
      <w:r>
        <w:t>donc</w:t>
      </w:r>
      <w:r w:rsidRPr="002C4077">
        <w:t xml:space="preserve"> </w:t>
      </w:r>
      <w:r>
        <w:t>aisément</w:t>
      </w:r>
      <w:r w:rsidRPr="002C4077">
        <w:t xml:space="preserve"> </w:t>
      </w:r>
      <w:r>
        <w:t>remarquer</w:t>
      </w:r>
      <w:r w:rsidRPr="002C4077">
        <w:t xml:space="preserve"> </w:t>
      </w:r>
      <w:r>
        <w:t>la</w:t>
      </w:r>
      <w:r w:rsidRPr="002C4077">
        <w:t xml:space="preserve"> </w:t>
      </w:r>
      <w:r>
        <w:t>présence</w:t>
      </w:r>
      <w:r w:rsidRPr="002C4077">
        <w:t xml:space="preserve"> </w:t>
      </w:r>
      <w:r>
        <w:t>de</w:t>
      </w:r>
      <w:r w:rsidRPr="002C4077">
        <w:t xml:space="preserve"> </w:t>
      </w:r>
      <w:r>
        <w:t>l’ange</w:t>
      </w:r>
      <w:r w:rsidR="00B546AF">
        <w:t> ;</w:t>
      </w:r>
      <w:r w:rsidRPr="002C4077">
        <w:t xml:space="preserve"> </w:t>
      </w:r>
      <w:r>
        <w:t>puis,</w:t>
      </w:r>
      <w:r w:rsidRPr="002C4077">
        <w:t xml:space="preserve"> </w:t>
      </w:r>
      <w:r>
        <w:t>quand</w:t>
      </w:r>
      <w:r w:rsidRPr="002C4077">
        <w:t xml:space="preserve"> </w:t>
      </w:r>
      <w:r>
        <w:t>leur</w:t>
      </w:r>
      <w:r w:rsidRPr="002C4077">
        <w:t xml:space="preserve"> </w:t>
      </w:r>
      <w:r>
        <w:t>divin</w:t>
      </w:r>
      <w:r w:rsidRPr="002C4077">
        <w:t xml:space="preserve"> </w:t>
      </w:r>
      <w:r>
        <w:t>Maître</w:t>
      </w:r>
      <w:r w:rsidRPr="002C4077">
        <w:t xml:space="preserve"> </w:t>
      </w:r>
      <w:r>
        <w:t>s’approcha</w:t>
      </w:r>
      <w:r w:rsidRPr="002C4077">
        <w:t xml:space="preserve"> </w:t>
      </w:r>
      <w:r>
        <w:t>d’eux</w:t>
      </w:r>
      <w:r w:rsidRPr="002C4077">
        <w:t xml:space="preserve"> </w:t>
      </w:r>
      <w:r>
        <w:t>pendant</w:t>
      </w:r>
      <w:r w:rsidRPr="002C4077">
        <w:t xml:space="preserve"> </w:t>
      </w:r>
      <w:r>
        <w:t>les</w:t>
      </w:r>
      <w:r w:rsidRPr="002C4077">
        <w:t xml:space="preserve"> </w:t>
      </w:r>
      <w:r>
        <w:t>intervalles</w:t>
      </w:r>
      <w:r w:rsidRPr="002C4077">
        <w:t xml:space="preserve"> </w:t>
      </w:r>
      <w:r>
        <w:t>et</w:t>
      </w:r>
      <w:r w:rsidRPr="002C4077">
        <w:t xml:space="preserve"> </w:t>
      </w:r>
      <w:r>
        <w:t>à</w:t>
      </w:r>
      <w:r w:rsidRPr="002C4077">
        <w:t xml:space="preserve"> </w:t>
      </w:r>
      <w:r>
        <w:t>la</w:t>
      </w:r>
      <w:r w:rsidRPr="002C4077">
        <w:t xml:space="preserve"> </w:t>
      </w:r>
      <w:r>
        <w:t>fin</w:t>
      </w:r>
      <w:r w:rsidRPr="002C4077">
        <w:t xml:space="preserve"> </w:t>
      </w:r>
      <w:r>
        <w:t>de</w:t>
      </w:r>
      <w:r w:rsidRPr="002C4077">
        <w:t xml:space="preserve"> </w:t>
      </w:r>
      <w:r>
        <w:t>son</w:t>
      </w:r>
      <w:r w:rsidRPr="002C4077">
        <w:t xml:space="preserve"> </w:t>
      </w:r>
      <w:r>
        <w:t>agonie,</w:t>
      </w:r>
      <w:r w:rsidRPr="002C4077">
        <w:t xml:space="preserve"> </w:t>
      </w:r>
      <w:r>
        <w:t>il</w:t>
      </w:r>
      <w:r w:rsidRPr="002C4077">
        <w:t xml:space="preserve"> </w:t>
      </w:r>
      <w:r>
        <w:t>ne</w:t>
      </w:r>
      <w:r w:rsidRPr="002C4077">
        <w:t xml:space="preserve"> </w:t>
      </w:r>
      <w:r>
        <w:t>leur</w:t>
      </w:r>
      <w:r w:rsidRPr="002C4077">
        <w:t xml:space="preserve"> </w:t>
      </w:r>
      <w:r>
        <w:t>fut</w:t>
      </w:r>
      <w:r w:rsidRPr="002C4077">
        <w:t xml:space="preserve"> </w:t>
      </w:r>
      <w:r>
        <w:t>pas</w:t>
      </w:r>
      <w:r w:rsidRPr="002C4077">
        <w:t xml:space="preserve"> </w:t>
      </w:r>
      <w:r>
        <w:t>moins</w:t>
      </w:r>
      <w:r w:rsidRPr="002C4077">
        <w:t xml:space="preserve"> </w:t>
      </w:r>
      <w:r>
        <w:t>facile</w:t>
      </w:r>
      <w:r w:rsidRPr="002C4077">
        <w:t xml:space="preserve"> </w:t>
      </w:r>
      <w:r>
        <w:t>de</w:t>
      </w:r>
      <w:r w:rsidRPr="002C4077">
        <w:t xml:space="preserve"> </w:t>
      </w:r>
      <w:r>
        <w:t>contempler</w:t>
      </w:r>
      <w:r w:rsidRPr="002C4077">
        <w:t xml:space="preserve"> </w:t>
      </w:r>
      <w:r>
        <w:t>sur</w:t>
      </w:r>
      <w:r w:rsidRPr="002C4077">
        <w:t xml:space="preserve"> </w:t>
      </w:r>
      <w:r>
        <w:t>son</w:t>
      </w:r>
      <w:r w:rsidRPr="002C4077">
        <w:t xml:space="preserve"> </w:t>
      </w:r>
      <w:r>
        <w:t>front</w:t>
      </w:r>
      <w:r w:rsidRPr="002C4077">
        <w:t xml:space="preserve"> </w:t>
      </w:r>
      <w:r>
        <w:t>les</w:t>
      </w:r>
      <w:r w:rsidRPr="002C4077">
        <w:t xml:space="preserve"> </w:t>
      </w:r>
      <w:r>
        <w:t>traces</w:t>
      </w:r>
      <w:r w:rsidRPr="002C4077">
        <w:t xml:space="preserve"> </w:t>
      </w:r>
      <w:r>
        <w:t>sanglantes</w:t>
      </w:r>
      <w:r w:rsidRPr="002C4077">
        <w:t xml:space="preserve"> </w:t>
      </w:r>
      <w:r>
        <w:t>de</w:t>
      </w:r>
      <w:r w:rsidRPr="002C4077">
        <w:t xml:space="preserve"> </w:t>
      </w:r>
      <w:r>
        <w:t>sa</w:t>
      </w:r>
      <w:r w:rsidRPr="002C4077">
        <w:t xml:space="preserve"> </w:t>
      </w:r>
      <w:r>
        <w:t>sueur.</w:t>
      </w:r>
      <w:r w:rsidRPr="002C4077">
        <w:t xml:space="preserve"> </w:t>
      </w:r>
    </w:p>
    <w:p w:rsidR="000D12F1" w:rsidRDefault="000D12F1">
      <w:pPr>
        <w:ind w:firstLine="0"/>
        <w:jc w:val="left"/>
      </w:pPr>
    </w:p>
    <w:p w:rsidR="000A7AAB" w:rsidRPr="004C5B7A" w:rsidRDefault="000A7AAB" w:rsidP="000A7AAB">
      <w:r>
        <w:t>Il</w:t>
      </w:r>
      <w:r w:rsidRPr="002C4077">
        <w:t xml:space="preserve"> </w:t>
      </w:r>
      <w:r>
        <w:t>faut</w:t>
      </w:r>
      <w:r w:rsidRPr="002C4077">
        <w:t xml:space="preserve"> </w:t>
      </w:r>
      <w:r>
        <w:t>être</w:t>
      </w:r>
      <w:r w:rsidRPr="002C4077">
        <w:t xml:space="preserve"> </w:t>
      </w:r>
      <w:r>
        <w:t>grand</w:t>
      </w:r>
      <w:r w:rsidRPr="002C4077">
        <w:t xml:space="preserve"> </w:t>
      </w:r>
      <w:r>
        <w:t>ami</w:t>
      </w:r>
      <w:r w:rsidRPr="002C4077">
        <w:t xml:space="preserve"> </w:t>
      </w:r>
      <w:r>
        <w:t>des</w:t>
      </w:r>
      <w:r w:rsidRPr="002C4077">
        <w:t xml:space="preserve"> </w:t>
      </w:r>
      <w:r>
        <w:t>nuages</w:t>
      </w:r>
      <w:r w:rsidRPr="002C4077">
        <w:t xml:space="preserve"> </w:t>
      </w:r>
      <w:r>
        <w:t>pour</w:t>
      </w:r>
      <w:r w:rsidRPr="002C4077">
        <w:t xml:space="preserve"> </w:t>
      </w:r>
      <w:r>
        <w:t>les</w:t>
      </w:r>
      <w:r w:rsidRPr="002C4077">
        <w:t xml:space="preserve"> </w:t>
      </w:r>
      <w:r>
        <w:t>accumuler</w:t>
      </w:r>
      <w:r w:rsidRPr="002C4077">
        <w:t xml:space="preserve"> </w:t>
      </w:r>
      <w:r>
        <w:t>ainsi</w:t>
      </w:r>
      <w:r w:rsidRPr="002C4077">
        <w:t xml:space="preserve"> </w:t>
      </w:r>
      <w:r>
        <w:t>autour</w:t>
      </w:r>
      <w:r w:rsidRPr="002C4077">
        <w:t xml:space="preserve"> </w:t>
      </w:r>
      <w:r>
        <w:t>de</w:t>
      </w:r>
      <w:r w:rsidRPr="002C4077">
        <w:t xml:space="preserve"> </w:t>
      </w:r>
      <w:r>
        <w:t>faits</w:t>
      </w:r>
      <w:r w:rsidRPr="002C4077">
        <w:t xml:space="preserve"> </w:t>
      </w:r>
      <w:r>
        <w:t>étonnants</w:t>
      </w:r>
      <w:r w:rsidRPr="002C4077">
        <w:t xml:space="preserve"> </w:t>
      </w:r>
      <w:r>
        <w:t>sans</w:t>
      </w:r>
      <w:r w:rsidRPr="002C4077">
        <w:t xml:space="preserve"> </w:t>
      </w:r>
      <w:r>
        <w:t>doute,</w:t>
      </w:r>
      <w:r w:rsidRPr="002C4077">
        <w:t xml:space="preserve"> </w:t>
      </w:r>
      <w:r>
        <w:t>mais</w:t>
      </w:r>
      <w:r w:rsidRPr="002C4077">
        <w:t xml:space="preserve"> </w:t>
      </w:r>
      <w:r>
        <w:t>parfaitement</w:t>
      </w:r>
      <w:r w:rsidRPr="002C4077">
        <w:t xml:space="preserve"> </w:t>
      </w:r>
      <w:r>
        <w:t>explicables</w:t>
      </w:r>
      <w:r w:rsidRPr="002C4077">
        <w:t xml:space="preserve"> </w:t>
      </w:r>
      <w:r>
        <w:t>et</w:t>
      </w:r>
      <w:r w:rsidRPr="002C4077">
        <w:t xml:space="preserve"> </w:t>
      </w:r>
      <w:r>
        <w:t>si</w:t>
      </w:r>
      <w:bookmarkStart w:id="324" w:name="z_SueurDeSang_o5"/>
      <w:bookmarkEnd w:id="324"/>
      <w:r w:rsidRPr="002C4077">
        <w:t xml:space="preserve"> </w:t>
      </w:r>
      <w:r>
        <w:t>nettement</w:t>
      </w:r>
      <w:bookmarkStart w:id="325" w:name="z_RationalistesAgonie_o2"/>
      <w:bookmarkEnd w:id="325"/>
      <w:r w:rsidRPr="002C4077">
        <w:t xml:space="preserve"> </w:t>
      </w:r>
      <w:r>
        <w:t>racontés.</w:t>
      </w:r>
      <w:r w:rsidR="00C45B47">
        <w:t xml:space="preserve"> {</w:t>
      </w:r>
      <w:r w:rsidR="004C5B7A">
        <w:t>113</w:t>
      </w:r>
      <w:bookmarkStart w:id="326" w:name="p113"/>
      <w:bookmarkEnd w:id="326"/>
      <w:r w:rsidR="004C5B7A">
        <w:t xml:space="preserve">} </w:t>
      </w:r>
    </w:p>
    <w:p w:rsidR="000A7AAB" w:rsidRDefault="000A7AAB" w:rsidP="00EC6E3D">
      <w:pPr>
        <w:pStyle w:val="Titre2"/>
      </w:pPr>
      <w:bookmarkStart w:id="327" w:name="_Toc43882009"/>
      <w:r>
        <w:t>§</w:t>
      </w:r>
      <w:r w:rsidRPr="002C4077">
        <w:t xml:space="preserve"> </w:t>
      </w:r>
      <w:r>
        <w:t>III.</w:t>
      </w:r>
      <w:r w:rsidR="00575D3E">
        <w:br/>
      </w:r>
      <w:r>
        <w:t>Les</w:t>
      </w:r>
      <w:r w:rsidRPr="002C4077">
        <w:t xml:space="preserve"> </w:t>
      </w:r>
      <w:r>
        <w:t>fausses</w:t>
      </w:r>
      <w:r w:rsidRPr="002C4077">
        <w:t xml:space="preserve"> </w:t>
      </w:r>
      <w:r>
        <w:t>interprétations.</w:t>
      </w:r>
      <w:bookmarkStart w:id="328" w:name="a0203"/>
      <w:bookmarkEnd w:id="327"/>
      <w:bookmarkEnd w:id="328"/>
      <w:r w:rsidRPr="002C4077">
        <w:t xml:space="preserve"> </w:t>
      </w:r>
    </w:p>
    <w:p w:rsidR="000A7AAB" w:rsidRPr="004C5B7A" w:rsidRDefault="000D12F1" w:rsidP="006E7907">
      <w:r>
        <w:t xml:space="preserve">1. </w:t>
      </w:r>
      <w:r w:rsidR="000A7AAB">
        <w:t>Nous</w:t>
      </w:r>
      <w:bookmarkStart w:id="329" w:name="z_SueurDeSang_o6"/>
      <w:bookmarkEnd w:id="329"/>
      <w:r w:rsidR="000A7AAB" w:rsidRPr="002C4077">
        <w:t xml:space="preserve"> </w:t>
      </w:r>
      <w:r w:rsidR="000A7AAB">
        <w:t>ne</w:t>
      </w:r>
      <w:r w:rsidR="000A7AAB" w:rsidRPr="002C4077">
        <w:t xml:space="preserve"> </w:t>
      </w:r>
      <w:r w:rsidR="000A7AAB">
        <w:t>mentionnerons</w:t>
      </w:r>
      <w:r w:rsidR="000A7AAB" w:rsidRPr="002C4077">
        <w:t xml:space="preserve"> </w:t>
      </w:r>
      <w:r w:rsidR="000A7AAB">
        <w:t>qu’en</w:t>
      </w:r>
      <w:r w:rsidR="000A7AAB" w:rsidRPr="002C4077">
        <w:t xml:space="preserve"> </w:t>
      </w:r>
      <w:r w:rsidR="000A7AAB">
        <w:t>passant</w:t>
      </w:r>
      <w:r w:rsidR="000A7AAB" w:rsidRPr="002C4077">
        <w:t xml:space="preserve"> </w:t>
      </w:r>
      <w:r w:rsidR="000A7AAB">
        <w:t>et</w:t>
      </w:r>
      <w:r w:rsidR="000A7AAB" w:rsidRPr="002C4077">
        <w:t xml:space="preserve"> </w:t>
      </w:r>
      <w:r w:rsidR="000A7AAB" w:rsidRPr="000A34B5">
        <w:rPr>
          <w:rStyle w:val="italicus"/>
        </w:rPr>
        <w:t>ad</w:t>
      </w:r>
      <w:r w:rsidR="000A7AAB" w:rsidRPr="002C4077">
        <w:t xml:space="preserve"> </w:t>
      </w:r>
      <w:r w:rsidR="006E7907" w:rsidRPr="000A34B5">
        <w:rPr>
          <w:rStyle w:val="italicus"/>
        </w:rPr>
        <w:t>mem</w:t>
      </w:r>
      <w:r w:rsidR="006E7907">
        <w:rPr>
          <w:rStyle w:val="italicus"/>
        </w:rPr>
        <w:t>ó</w:t>
      </w:r>
      <w:r w:rsidR="006E7907" w:rsidRPr="000A34B5">
        <w:rPr>
          <w:rStyle w:val="italicus"/>
        </w:rPr>
        <w:t>riam</w:t>
      </w:r>
      <w:r w:rsidR="000A7AAB" w:rsidRPr="000A34B5">
        <w:rPr>
          <w:rStyle w:val="italicus"/>
        </w:rPr>
        <w:t>,</w:t>
      </w:r>
      <w:r w:rsidR="000A7AAB" w:rsidRPr="002C4077">
        <w:t xml:space="preserve"> </w:t>
      </w:r>
      <w:r w:rsidR="000A7AAB">
        <w:t>les</w:t>
      </w:r>
      <w:r w:rsidR="000A7AAB" w:rsidRPr="002C4077">
        <w:t xml:space="preserve"> </w:t>
      </w:r>
      <w:r w:rsidR="000A7AAB">
        <w:t>opinions</w:t>
      </w:r>
      <w:r w:rsidR="000A7AAB" w:rsidRPr="002C4077">
        <w:t xml:space="preserve"> </w:t>
      </w:r>
      <w:r w:rsidR="000A7AAB">
        <w:t>singulières</w:t>
      </w:r>
      <w:r w:rsidR="000A7AAB" w:rsidRPr="002C4077">
        <w:t xml:space="preserve"> </w:t>
      </w:r>
      <w:r w:rsidR="000A7AAB">
        <w:t>d’Olshausen,</w:t>
      </w:r>
      <w:r w:rsidR="000A7AAB" w:rsidRPr="002C4077">
        <w:t xml:space="preserve"> </w:t>
      </w:r>
      <w:r w:rsidR="000A7AAB">
        <w:t>de</w:t>
      </w:r>
      <w:r w:rsidR="000A7AAB" w:rsidRPr="002C4077">
        <w:t xml:space="preserve"> </w:t>
      </w:r>
      <w:r w:rsidR="000A7AAB">
        <w:t>Lightfoot</w:t>
      </w:r>
      <w:r w:rsidR="000A7AAB" w:rsidRPr="002C4077">
        <w:t xml:space="preserve"> </w:t>
      </w:r>
      <w:r w:rsidR="000A7AAB">
        <w:t>et</w:t>
      </w:r>
      <w:r w:rsidR="000A7AAB" w:rsidRPr="002C4077">
        <w:t xml:space="preserve"> </w:t>
      </w:r>
      <w:r w:rsidR="000A7AAB">
        <w:t>de</w:t>
      </w:r>
      <w:r w:rsidR="000A7AAB" w:rsidRPr="002C4077">
        <w:t xml:space="preserve"> </w:t>
      </w:r>
      <w:r w:rsidR="006E7907">
        <w:t>Photius</w:t>
      </w:r>
      <w:r w:rsidR="000A7AAB">
        <w:t>.</w:t>
      </w:r>
      <w:r w:rsidR="000A7AAB" w:rsidRPr="002C4077">
        <w:t xml:space="preserve"> </w:t>
      </w:r>
      <w:r w:rsidR="000A7AAB">
        <w:t>Le</w:t>
      </w:r>
      <w:r w:rsidR="000A7AAB" w:rsidRPr="002C4077">
        <w:t xml:space="preserve"> </w:t>
      </w:r>
      <w:r w:rsidR="000A7AAB">
        <w:t>premier</w:t>
      </w:r>
      <w:r w:rsidR="00A62B37">
        <w:rPr>
          <w:rStyle w:val="Appelnotedebasdep"/>
        </w:rPr>
        <w:footnoteReference w:id="352"/>
      </w:r>
      <w:r w:rsidR="000A7AAB" w:rsidRPr="002C4077">
        <w:t xml:space="preserve"> </w:t>
      </w:r>
      <w:r w:rsidR="000A7AAB">
        <w:t>traite</w:t>
      </w:r>
      <w:r w:rsidR="000A7AAB" w:rsidRPr="002C4077">
        <w:t xml:space="preserve"> </w:t>
      </w:r>
      <w:r w:rsidR="000A7AAB">
        <w:t>l’apparition</w:t>
      </w:r>
      <w:r w:rsidR="000A7AAB" w:rsidRPr="002C4077">
        <w:t xml:space="preserve"> </w:t>
      </w:r>
      <w:r w:rsidR="000A7AAB">
        <w:t>de</w:t>
      </w:r>
      <w:r w:rsidR="000A7AAB" w:rsidRPr="002C4077">
        <w:t xml:space="preserve"> </w:t>
      </w:r>
      <w:r w:rsidR="000A7AAB">
        <w:t>l’ange</w:t>
      </w:r>
      <w:r w:rsidR="000A7AAB" w:rsidRPr="002C4077">
        <w:t xml:space="preserve"> </w:t>
      </w:r>
      <w:r w:rsidR="000A7AAB">
        <w:t>comme</w:t>
      </w:r>
      <w:r w:rsidR="000A7AAB" w:rsidRPr="002C4077">
        <w:t xml:space="preserve"> </w:t>
      </w:r>
      <w:r w:rsidR="000A7AAB">
        <w:t>un</w:t>
      </w:r>
      <w:r w:rsidR="000A7AAB" w:rsidRPr="002C4077">
        <w:t xml:space="preserve"> </w:t>
      </w:r>
      <w:r w:rsidR="000A7AAB">
        <w:t>fait</w:t>
      </w:r>
      <w:r w:rsidR="000A7AAB" w:rsidRPr="002C4077">
        <w:t xml:space="preserve"> </w:t>
      </w:r>
      <w:r w:rsidR="000A7AAB">
        <w:t>purement</w:t>
      </w:r>
      <w:r w:rsidR="000A7AAB" w:rsidRPr="002C4077">
        <w:t xml:space="preserve"> </w:t>
      </w:r>
      <w:r w:rsidR="000A7AAB">
        <w:t>interne</w:t>
      </w:r>
      <w:r w:rsidR="000A7AAB" w:rsidRPr="002C4077">
        <w:t xml:space="preserve"> </w:t>
      </w:r>
      <w:r w:rsidR="000A7AAB">
        <w:t>et</w:t>
      </w:r>
      <w:r w:rsidR="000A7AAB" w:rsidRPr="002C4077">
        <w:t xml:space="preserve"> </w:t>
      </w:r>
      <w:r w:rsidR="000A7AAB">
        <w:t>subjectif</w:t>
      </w:r>
      <w:r w:rsidR="00B546AF">
        <w:t> ;</w:t>
      </w:r>
      <w:r w:rsidR="000A7AAB" w:rsidRPr="002C4077">
        <w:t xml:space="preserve"> </w:t>
      </w:r>
      <w:r w:rsidR="000A7AAB">
        <w:t>le</w:t>
      </w:r>
      <w:r w:rsidR="000A7AAB" w:rsidRPr="002C4077">
        <w:t xml:space="preserve"> </w:t>
      </w:r>
      <w:r w:rsidR="000A7AAB">
        <w:t>second</w:t>
      </w:r>
      <w:r w:rsidR="00A62B37">
        <w:rPr>
          <w:rStyle w:val="Appelnotedebasdep"/>
        </w:rPr>
        <w:footnoteReference w:id="353"/>
      </w:r>
      <w:r w:rsidR="000A7AAB">
        <w:t>,</w:t>
      </w:r>
      <w:r w:rsidR="000A7AAB" w:rsidRPr="002C4077">
        <w:t xml:space="preserve"> </w:t>
      </w:r>
      <w:r w:rsidR="000A7AAB">
        <w:t>transformant</w:t>
      </w:r>
      <w:r w:rsidR="000A7AAB" w:rsidRPr="002C4077">
        <w:t xml:space="preserve"> </w:t>
      </w:r>
      <w:r w:rsidR="000A7AAB">
        <w:t>au</w:t>
      </w:r>
      <w:r w:rsidR="000A7AAB" w:rsidRPr="002C4077">
        <w:t xml:space="preserve"> </w:t>
      </w:r>
      <w:r w:rsidR="000A7AAB">
        <w:t>gré</w:t>
      </w:r>
      <w:r w:rsidR="000A7AAB" w:rsidRPr="002C4077">
        <w:t xml:space="preserve"> </w:t>
      </w:r>
      <w:r w:rsidR="000A7AAB">
        <w:t>de</w:t>
      </w:r>
      <w:r w:rsidR="000A7AAB" w:rsidRPr="002C4077">
        <w:t xml:space="preserve"> </w:t>
      </w:r>
      <w:r w:rsidR="000A7AAB">
        <w:t>son</w:t>
      </w:r>
      <w:r w:rsidR="000A7AAB" w:rsidRPr="002C4077">
        <w:t xml:space="preserve"> </w:t>
      </w:r>
      <w:r w:rsidR="000A7AAB">
        <w:t>imagination</w:t>
      </w:r>
      <w:r w:rsidR="000A7AAB" w:rsidRPr="002C4077">
        <w:t xml:space="preserve"> </w:t>
      </w:r>
      <w:r w:rsidR="000A7AAB">
        <w:t>le</w:t>
      </w:r>
      <w:r w:rsidR="000A7AAB" w:rsidRPr="002C4077">
        <w:t xml:space="preserve"> </w:t>
      </w:r>
      <w:r w:rsidR="000A7AAB">
        <w:t>verbe</w:t>
      </w:r>
      <w:r w:rsidR="000A7AAB" w:rsidRPr="002C4077">
        <w:t xml:space="preserve"> </w:t>
      </w:r>
      <w:r w:rsidR="006E7907">
        <w:rPr>
          <w:lang w:val="el-GR" w:bidi="he-IL"/>
        </w:rPr>
        <w:t>Ινισχύων</w:t>
      </w:r>
      <w:r w:rsidR="006E7907" w:rsidRPr="004440EA">
        <w:t xml:space="preserve"> (</w:t>
      </w:r>
      <w:r w:rsidR="006E7907">
        <w:rPr>
          <w:lang w:bidi="he-IL"/>
        </w:rPr>
        <w:t>fortifiant</w:t>
      </w:r>
      <w:r w:rsidR="006E7907" w:rsidRPr="002C4077">
        <w:t>)</w:t>
      </w:r>
      <w:r w:rsidR="006E7907" w:rsidRPr="00950016">
        <w:t>,</w:t>
      </w:r>
      <w:r w:rsidR="006E7907" w:rsidRPr="002C4077">
        <w:t xml:space="preserve"> </w:t>
      </w:r>
      <w:r w:rsidR="006E7907">
        <w:rPr>
          <w:lang w:bidi="he-IL"/>
        </w:rPr>
        <w:t>y</w:t>
      </w:r>
      <w:r w:rsidR="006E7907" w:rsidRPr="002C4077">
        <w:t xml:space="preserve"> </w:t>
      </w:r>
      <w:r w:rsidR="006E7907">
        <w:rPr>
          <w:lang w:bidi="he-IL"/>
        </w:rPr>
        <w:t>voit</w:t>
      </w:r>
      <w:r w:rsidR="006E7907" w:rsidRPr="002C4077">
        <w:t xml:space="preserve"> </w:t>
      </w:r>
      <w:r w:rsidR="006E7907">
        <w:rPr>
          <w:lang w:bidi="he-IL"/>
        </w:rPr>
        <w:t>l’indication</w:t>
      </w:r>
      <w:r w:rsidR="006E7907" w:rsidRPr="002C4077">
        <w:t xml:space="preserve"> </w:t>
      </w:r>
      <w:r w:rsidR="006E7907">
        <w:rPr>
          <w:lang w:bidi="he-IL"/>
        </w:rPr>
        <w:t>d’une</w:t>
      </w:r>
      <w:r w:rsidR="006E7907" w:rsidRPr="002C4077">
        <w:t xml:space="preserve"> </w:t>
      </w:r>
      <w:r w:rsidR="006E7907">
        <w:rPr>
          <w:lang w:bidi="he-IL"/>
        </w:rPr>
        <w:t>tentative</w:t>
      </w:r>
      <w:r w:rsidR="006E7907" w:rsidRPr="002C4077">
        <w:t xml:space="preserve"> </w:t>
      </w:r>
      <w:r w:rsidR="006E7907">
        <w:rPr>
          <w:lang w:bidi="he-IL"/>
        </w:rPr>
        <w:t>de</w:t>
      </w:r>
      <w:r w:rsidR="006E7907" w:rsidRPr="002C4077">
        <w:t xml:space="preserve"> </w:t>
      </w:r>
      <w:r w:rsidR="006E7907">
        <w:rPr>
          <w:lang w:bidi="he-IL"/>
        </w:rPr>
        <w:t>violence</w:t>
      </w:r>
      <w:r w:rsidR="006E7907" w:rsidRPr="002C4077">
        <w:t xml:space="preserve"> </w:t>
      </w:r>
      <w:r w:rsidR="006E7907">
        <w:rPr>
          <w:lang w:bidi="he-IL"/>
        </w:rPr>
        <w:t>contre</w:t>
      </w:r>
      <w:r w:rsidR="006E7907" w:rsidRPr="002C4077">
        <w:t xml:space="preserve"> </w:t>
      </w:r>
      <w:r w:rsidR="00425C50">
        <w:rPr>
          <w:lang w:bidi="he-IL"/>
        </w:rPr>
        <w:t>Jésus</w:t>
      </w:r>
      <w:r w:rsidR="006E7907">
        <w:rPr>
          <w:lang w:bidi="he-IL"/>
        </w:rPr>
        <w:t>,</w:t>
      </w:r>
      <w:r w:rsidR="006E7907" w:rsidRPr="002C4077">
        <w:t xml:space="preserve"> </w:t>
      </w:r>
      <w:r w:rsidR="006E7907">
        <w:rPr>
          <w:lang w:bidi="he-IL"/>
        </w:rPr>
        <w:t>d’où</w:t>
      </w:r>
      <w:r w:rsidR="006E7907" w:rsidRPr="002C4077">
        <w:t xml:space="preserve"> </w:t>
      </w:r>
      <w:r w:rsidR="006E7907">
        <w:rPr>
          <w:lang w:bidi="he-IL"/>
        </w:rPr>
        <w:t>il</w:t>
      </w:r>
      <w:r w:rsidR="006E7907" w:rsidRPr="002C4077">
        <w:t xml:space="preserve"> </w:t>
      </w:r>
      <w:r w:rsidR="006E7907">
        <w:rPr>
          <w:lang w:bidi="he-IL"/>
        </w:rPr>
        <w:t>conclut</w:t>
      </w:r>
      <w:r w:rsidR="006E7907" w:rsidRPr="002C4077">
        <w:t xml:space="preserve"> </w:t>
      </w:r>
      <w:r w:rsidR="006E7907">
        <w:rPr>
          <w:lang w:bidi="he-IL"/>
        </w:rPr>
        <w:t>que</w:t>
      </w:r>
      <w:r w:rsidR="006E7907" w:rsidRPr="002C4077">
        <w:t xml:space="preserve"> </w:t>
      </w:r>
      <w:r w:rsidR="006E7907">
        <w:rPr>
          <w:lang w:bidi="he-IL"/>
        </w:rPr>
        <w:t>l’ange</w:t>
      </w:r>
      <w:r w:rsidR="006E7907" w:rsidRPr="002C4077">
        <w:t xml:space="preserve"> </w:t>
      </w:r>
      <w:r w:rsidR="006E7907">
        <w:rPr>
          <w:lang w:bidi="he-IL"/>
        </w:rPr>
        <w:t>était</w:t>
      </w:r>
      <w:r w:rsidR="006E7907" w:rsidRPr="002C4077">
        <w:t xml:space="preserve"> </w:t>
      </w:r>
      <w:r w:rsidR="006E7907">
        <w:rPr>
          <w:lang w:bidi="he-IL"/>
        </w:rPr>
        <w:t>un</w:t>
      </w:r>
      <w:r w:rsidR="006E7907" w:rsidRPr="002C4077">
        <w:t xml:space="preserve"> </w:t>
      </w:r>
      <w:r w:rsidR="006E7907">
        <w:rPr>
          <w:lang w:bidi="he-IL"/>
        </w:rPr>
        <w:t>démon ;</w:t>
      </w:r>
      <w:r w:rsidR="006E7907" w:rsidRPr="002C4077">
        <w:t xml:space="preserve"> </w:t>
      </w:r>
      <w:r w:rsidR="006E7907">
        <w:rPr>
          <w:lang w:bidi="he-IL"/>
        </w:rPr>
        <w:t>le</w:t>
      </w:r>
      <w:r w:rsidR="006E7907" w:rsidRPr="002C4077">
        <w:t xml:space="preserve"> </w:t>
      </w:r>
      <w:r w:rsidR="006E7907">
        <w:rPr>
          <w:lang w:bidi="he-IL"/>
        </w:rPr>
        <w:t>troisième</w:t>
      </w:r>
      <w:r w:rsidR="006E7907">
        <w:rPr>
          <w:rStyle w:val="Appelnotedebasdep"/>
          <w:lang w:bidi="he-IL"/>
        </w:rPr>
        <w:footnoteReference w:id="354"/>
      </w:r>
      <w:r w:rsidR="006E7907" w:rsidRPr="002C4077">
        <w:t xml:space="preserve"> </w:t>
      </w:r>
      <w:r w:rsidR="006E7907">
        <w:rPr>
          <w:lang w:bidi="he-IL"/>
        </w:rPr>
        <w:t>pense</w:t>
      </w:r>
      <w:r w:rsidR="006E7907" w:rsidRPr="002C4077">
        <w:t xml:space="preserve"> </w:t>
      </w:r>
      <w:r w:rsidR="006E7907">
        <w:rPr>
          <w:lang w:bidi="he-IL"/>
        </w:rPr>
        <w:t>que</w:t>
      </w:r>
      <w:r w:rsidR="006E7907" w:rsidRPr="002C4077">
        <w:t xml:space="preserve"> </w:t>
      </w:r>
      <w:r w:rsidR="006E7907">
        <w:rPr>
          <w:lang w:bidi="he-IL"/>
        </w:rPr>
        <w:t>la</w:t>
      </w:r>
      <w:r w:rsidR="006E7907" w:rsidRPr="002C4077">
        <w:t xml:space="preserve"> </w:t>
      </w:r>
      <w:r w:rsidR="006E7907">
        <w:rPr>
          <w:lang w:bidi="he-IL"/>
        </w:rPr>
        <w:t>sueur</w:t>
      </w:r>
      <w:r w:rsidR="006E7907" w:rsidRPr="002C4077">
        <w:t xml:space="preserve"> </w:t>
      </w:r>
      <w:r w:rsidR="006E7907">
        <w:rPr>
          <w:lang w:bidi="he-IL"/>
        </w:rPr>
        <w:t>de</w:t>
      </w:r>
      <w:r w:rsidR="006E7907" w:rsidRPr="002C4077">
        <w:t xml:space="preserve"> </w:t>
      </w:r>
      <w:r w:rsidR="006E7907">
        <w:rPr>
          <w:lang w:bidi="he-IL"/>
        </w:rPr>
        <w:t>sang</w:t>
      </w:r>
      <w:r w:rsidR="006E7907" w:rsidRPr="002C4077">
        <w:t xml:space="preserve"> </w:t>
      </w:r>
      <w:r w:rsidR="006E7907">
        <w:rPr>
          <w:lang w:bidi="he-IL"/>
        </w:rPr>
        <w:t>n’est</w:t>
      </w:r>
      <w:r w:rsidR="006E7907" w:rsidRPr="002C4077">
        <w:t xml:space="preserve"> </w:t>
      </w:r>
      <w:r w:rsidR="006E7907">
        <w:rPr>
          <w:lang w:bidi="he-IL"/>
        </w:rPr>
        <w:t>qu’une</w:t>
      </w:r>
      <w:r w:rsidR="006E7907" w:rsidRPr="002C4077">
        <w:t xml:space="preserve"> </w:t>
      </w:r>
      <w:r w:rsidR="006E7907">
        <w:rPr>
          <w:lang w:bidi="he-IL"/>
        </w:rPr>
        <w:t>métaphore</w:t>
      </w:r>
      <w:r w:rsidR="006E7907" w:rsidRPr="002C4077">
        <w:t xml:space="preserve"> </w:t>
      </w:r>
      <w:r w:rsidR="006E7907">
        <w:rPr>
          <w:lang w:bidi="he-IL"/>
        </w:rPr>
        <w:t>destinée</w:t>
      </w:r>
      <w:r w:rsidR="006E7907" w:rsidRPr="002C4077">
        <w:t xml:space="preserve"> </w:t>
      </w:r>
      <w:r w:rsidR="006E7907">
        <w:rPr>
          <w:lang w:bidi="he-IL"/>
        </w:rPr>
        <w:t>à</w:t>
      </w:r>
      <w:r w:rsidR="006E7907" w:rsidRPr="002C4077">
        <w:t xml:space="preserve"> </w:t>
      </w:r>
      <w:r w:rsidR="006E7907">
        <w:rPr>
          <w:lang w:bidi="he-IL"/>
        </w:rPr>
        <w:t>représenter</w:t>
      </w:r>
      <w:r w:rsidR="006E7907" w:rsidRPr="002C4077">
        <w:t xml:space="preserve"> </w:t>
      </w:r>
      <w:r w:rsidR="006E7907">
        <w:rPr>
          <w:lang w:bidi="he-IL"/>
        </w:rPr>
        <w:t>de</w:t>
      </w:r>
      <w:r w:rsidR="006E7907" w:rsidRPr="002C4077">
        <w:t xml:space="preserve"> </w:t>
      </w:r>
      <w:r w:rsidR="006E7907">
        <w:rPr>
          <w:lang w:bidi="he-IL"/>
        </w:rPr>
        <w:t>vives</w:t>
      </w:r>
      <w:r w:rsidR="006E7907" w:rsidRPr="002C4077">
        <w:t xml:space="preserve"> </w:t>
      </w:r>
      <w:r w:rsidR="006E7907">
        <w:rPr>
          <w:lang w:bidi="he-IL"/>
        </w:rPr>
        <w:t>souffrances.</w:t>
      </w:r>
      <w:r w:rsidR="006E7907" w:rsidRPr="002C4077">
        <w:t xml:space="preserve"> </w:t>
      </w:r>
      <w:r w:rsidR="006E7907">
        <w:rPr>
          <w:lang w:bidi="he-IL"/>
        </w:rPr>
        <w:t>Le</w:t>
      </w:r>
      <w:r w:rsidR="006E7907" w:rsidRPr="002C4077">
        <w:t xml:space="preserve"> </w:t>
      </w:r>
      <w:r w:rsidR="006E7907">
        <w:rPr>
          <w:lang w:bidi="he-IL"/>
        </w:rPr>
        <w:t>texte</w:t>
      </w:r>
      <w:r w:rsidR="006E7907" w:rsidRPr="002C4077">
        <w:t xml:space="preserve"> </w:t>
      </w:r>
      <w:r w:rsidR="006E7907">
        <w:rPr>
          <w:lang w:bidi="he-IL"/>
        </w:rPr>
        <w:t>évangélique</w:t>
      </w:r>
      <w:r w:rsidR="006E7907" w:rsidRPr="002C4077">
        <w:t xml:space="preserve"> </w:t>
      </w:r>
      <w:r w:rsidR="006E7907">
        <w:rPr>
          <w:lang w:bidi="he-IL"/>
        </w:rPr>
        <w:t>réfute</w:t>
      </w:r>
      <w:r w:rsidR="006E7907" w:rsidRPr="002C4077">
        <w:t xml:space="preserve"> </w:t>
      </w:r>
      <w:r w:rsidR="006E7907">
        <w:rPr>
          <w:lang w:bidi="he-IL"/>
        </w:rPr>
        <w:t>à</w:t>
      </w:r>
      <w:r w:rsidR="006E7907" w:rsidRPr="002C4077">
        <w:t xml:space="preserve"> </w:t>
      </w:r>
      <w:r w:rsidR="006E7907">
        <w:rPr>
          <w:lang w:bidi="he-IL"/>
        </w:rPr>
        <w:t>lui</w:t>
      </w:r>
      <w:r w:rsidR="006E7907" w:rsidRPr="002C4077">
        <w:t xml:space="preserve"> </w:t>
      </w:r>
      <w:r w:rsidR="006E7907">
        <w:rPr>
          <w:lang w:bidi="he-IL"/>
        </w:rPr>
        <w:t>seul</w:t>
      </w:r>
      <w:r w:rsidR="006E7907" w:rsidRPr="002C4077">
        <w:t xml:space="preserve"> </w:t>
      </w:r>
      <w:r w:rsidR="006E7907">
        <w:rPr>
          <w:lang w:bidi="he-IL"/>
        </w:rPr>
        <w:t>ces</w:t>
      </w:r>
      <w:r w:rsidR="006E7907" w:rsidRPr="002C4077">
        <w:t xml:space="preserve"> </w:t>
      </w:r>
      <w:r w:rsidR="006E7907">
        <w:rPr>
          <w:lang w:bidi="he-IL"/>
        </w:rPr>
        <w:t>fausses</w:t>
      </w:r>
      <w:r w:rsidR="006E7907" w:rsidRPr="002C4077">
        <w:t xml:space="preserve"> </w:t>
      </w:r>
      <w:r w:rsidR="006E7907">
        <w:rPr>
          <w:lang w:bidi="he-IL"/>
        </w:rPr>
        <w:t>interprétations.</w:t>
      </w:r>
      <w:r w:rsidR="006E7907" w:rsidRPr="002C4077">
        <w:t xml:space="preserve"> </w:t>
      </w:r>
      <w:r w:rsidR="006E7907">
        <w:rPr>
          <w:lang w:bidi="he-IL"/>
        </w:rPr>
        <w:t>S.</w:t>
      </w:r>
      <w:r w:rsidR="006E7907" w:rsidRPr="002C4077">
        <w:t xml:space="preserve"> </w:t>
      </w:r>
      <w:r w:rsidR="006E7907">
        <w:rPr>
          <w:lang w:bidi="he-IL"/>
        </w:rPr>
        <w:t>Luc</w:t>
      </w:r>
      <w:r w:rsidR="006E7907" w:rsidRPr="002C4077">
        <w:t xml:space="preserve"> </w:t>
      </w:r>
      <w:r w:rsidR="006E7907">
        <w:rPr>
          <w:lang w:bidi="he-IL"/>
        </w:rPr>
        <w:t>oppose</w:t>
      </w:r>
      <w:r w:rsidR="006E7907" w:rsidRPr="002C4077">
        <w:t xml:space="preserve"> </w:t>
      </w:r>
      <w:r w:rsidR="006E7907">
        <w:rPr>
          <w:lang w:bidi="he-IL"/>
        </w:rPr>
        <w:t>à</w:t>
      </w:r>
      <w:r w:rsidR="006E7907" w:rsidRPr="002C4077">
        <w:t xml:space="preserve"> </w:t>
      </w:r>
      <w:r w:rsidR="006E7907">
        <w:rPr>
          <w:lang w:bidi="he-IL"/>
        </w:rPr>
        <w:t>Olshausen</w:t>
      </w:r>
      <w:r w:rsidR="006E7907" w:rsidRPr="002C4077">
        <w:t xml:space="preserve"> </w:t>
      </w:r>
      <w:r w:rsidR="006E7907">
        <w:rPr>
          <w:lang w:bidi="he-IL"/>
        </w:rPr>
        <w:t>le</w:t>
      </w:r>
      <w:r w:rsidR="006E7907" w:rsidRPr="002C4077">
        <w:t xml:space="preserve"> </w:t>
      </w:r>
      <w:r w:rsidR="006E7907">
        <w:rPr>
          <w:lang w:bidi="he-IL"/>
        </w:rPr>
        <w:t>verbe</w:t>
      </w:r>
      <w:r w:rsidR="006E7907" w:rsidRPr="002C4077">
        <w:t xml:space="preserve"> </w:t>
      </w:r>
      <w:r w:rsidR="006E7907">
        <w:rPr>
          <w:lang w:val="el-GR" w:bidi="he-IL"/>
        </w:rPr>
        <w:t>ώφθη</w:t>
      </w:r>
      <w:r w:rsidR="006E7907" w:rsidRPr="004440EA">
        <w:t xml:space="preserve"> (</w:t>
      </w:r>
      <w:r w:rsidR="006E7907">
        <w:rPr>
          <w:lang w:bidi="he-IL"/>
        </w:rPr>
        <w:t>fut</w:t>
      </w:r>
      <w:r w:rsidR="006E7907" w:rsidRPr="002C4077">
        <w:t xml:space="preserve"> </w:t>
      </w:r>
      <w:r w:rsidR="006E7907">
        <w:rPr>
          <w:lang w:bidi="he-IL"/>
        </w:rPr>
        <w:t>vu</w:t>
      </w:r>
      <w:r w:rsidR="006E7907" w:rsidRPr="002C4077">
        <w:t>)</w:t>
      </w:r>
      <w:r w:rsidR="006E7907" w:rsidRPr="00950016">
        <w:t>,</w:t>
      </w:r>
      <w:r w:rsidR="006E7907" w:rsidRPr="002C4077">
        <w:t xml:space="preserve"> </w:t>
      </w:r>
      <w:r w:rsidR="006E7907">
        <w:rPr>
          <w:lang w:bidi="he-IL"/>
        </w:rPr>
        <w:t>à</w:t>
      </w:r>
      <w:r w:rsidR="006E7907" w:rsidRPr="002C4077">
        <w:t xml:space="preserve"> </w:t>
      </w:r>
      <w:r w:rsidR="006E7907">
        <w:rPr>
          <w:lang w:bidi="he-IL"/>
        </w:rPr>
        <w:t>Lightfoot</w:t>
      </w:r>
      <w:r w:rsidR="006E7907" w:rsidRPr="002C4077">
        <w:t xml:space="preserve"> </w:t>
      </w:r>
      <w:r w:rsidR="006E7907">
        <w:rPr>
          <w:lang w:bidi="he-IL"/>
        </w:rPr>
        <w:t>le</w:t>
      </w:r>
      <w:r w:rsidR="006E7907" w:rsidRPr="002C4077">
        <w:t xml:space="preserve"> </w:t>
      </w:r>
      <w:r w:rsidR="006E7907">
        <w:rPr>
          <w:lang w:bidi="he-IL"/>
        </w:rPr>
        <w:t>sens</w:t>
      </w:r>
      <w:r w:rsidR="006E7907" w:rsidRPr="002C4077">
        <w:t xml:space="preserve"> </w:t>
      </w:r>
      <w:r w:rsidR="006E7907">
        <w:rPr>
          <w:lang w:bidi="he-IL"/>
        </w:rPr>
        <w:t>réel</w:t>
      </w:r>
      <w:r w:rsidR="006E7907" w:rsidRPr="002C4077">
        <w:t xml:space="preserve"> </w:t>
      </w:r>
      <w:r w:rsidR="006E7907">
        <w:rPr>
          <w:lang w:bidi="he-IL"/>
        </w:rPr>
        <w:t>de</w:t>
      </w:r>
      <w:r w:rsidR="006E7907" w:rsidRPr="002C4077">
        <w:t xml:space="preserve"> </w:t>
      </w:r>
      <w:r w:rsidR="006E7907">
        <w:rPr>
          <w:lang w:val="el-GR" w:bidi="he-IL"/>
        </w:rPr>
        <w:t>ενισχύων,</w:t>
      </w:r>
      <w:r w:rsidR="006E7907" w:rsidRPr="002C4077">
        <w:t xml:space="preserve"> </w:t>
      </w:r>
      <w:r w:rsidR="006E7907">
        <w:rPr>
          <w:lang w:bidi="he-IL"/>
        </w:rPr>
        <w:t>à</w:t>
      </w:r>
      <w:r w:rsidR="006E7907" w:rsidRPr="002C4077">
        <w:t xml:space="preserve"> </w:t>
      </w:r>
      <w:r w:rsidR="006E7907">
        <w:rPr>
          <w:lang w:bidi="he-IL"/>
        </w:rPr>
        <w:t>Photius</w:t>
      </w:r>
      <w:r w:rsidR="006E7907" w:rsidRPr="002C4077">
        <w:t xml:space="preserve"> </w:t>
      </w:r>
      <w:r w:rsidR="006E7907">
        <w:rPr>
          <w:lang w:bidi="he-IL"/>
        </w:rPr>
        <w:t>le</w:t>
      </w:r>
      <w:r w:rsidR="006E7907" w:rsidRPr="002C4077">
        <w:t xml:space="preserve"> </w:t>
      </w:r>
      <w:r w:rsidR="006E7907">
        <w:rPr>
          <w:lang w:bidi="he-IL"/>
        </w:rPr>
        <w:t>compte-rendu</w:t>
      </w:r>
      <w:r w:rsidR="006E7907" w:rsidRPr="002C4077">
        <w:t xml:space="preserve"> </w:t>
      </w:r>
      <w:r w:rsidR="006E7907">
        <w:rPr>
          <w:lang w:bidi="he-IL"/>
        </w:rPr>
        <w:t>positif,</w:t>
      </w:r>
      <w:r w:rsidR="006E7907" w:rsidRPr="002C4077">
        <w:t xml:space="preserve"> </w:t>
      </w:r>
      <w:r w:rsidR="006E7907">
        <w:rPr>
          <w:lang w:bidi="he-IL"/>
        </w:rPr>
        <w:t>nous</w:t>
      </w:r>
      <w:r w:rsidR="006E7907" w:rsidRPr="002C4077">
        <w:t xml:space="preserve"> </w:t>
      </w:r>
      <w:r w:rsidR="006E7907">
        <w:rPr>
          <w:lang w:bidi="he-IL"/>
        </w:rPr>
        <w:t>dirions</w:t>
      </w:r>
      <w:r w:rsidR="006E7907" w:rsidRPr="002C4077">
        <w:t xml:space="preserve"> </w:t>
      </w:r>
      <w:r w:rsidR="006E7907">
        <w:rPr>
          <w:lang w:bidi="he-IL"/>
        </w:rPr>
        <w:t>presque</w:t>
      </w:r>
      <w:r w:rsidR="006E7907" w:rsidRPr="002C4077">
        <w:t xml:space="preserve"> </w:t>
      </w:r>
      <w:r w:rsidR="006E7907">
        <w:rPr>
          <w:lang w:bidi="he-IL"/>
        </w:rPr>
        <w:t>le</w:t>
      </w:r>
      <w:r w:rsidR="006E7907" w:rsidRPr="002C4077">
        <w:t xml:space="preserve"> </w:t>
      </w:r>
      <w:r w:rsidR="006E7907">
        <w:rPr>
          <w:lang w:bidi="he-IL"/>
        </w:rPr>
        <w:t>bulletin</w:t>
      </w:r>
      <w:r w:rsidR="006E7907" w:rsidRPr="002C4077">
        <w:t xml:space="preserve"> </w:t>
      </w:r>
      <w:r w:rsidR="006E7907">
        <w:rPr>
          <w:lang w:bidi="he-IL"/>
        </w:rPr>
        <w:t>médical</w:t>
      </w:r>
      <w:r w:rsidR="006E7907" w:rsidRPr="002C4077">
        <w:t xml:space="preserve"> </w:t>
      </w:r>
      <w:r w:rsidR="006E7907">
        <w:rPr>
          <w:lang w:bidi="he-IL"/>
        </w:rPr>
        <w:t>du</w:t>
      </w:r>
      <w:r w:rsidR="006E7907" w:rsidRPr="002C4077">
        <w:t xml:space="preserve"> </w:t>
      </w:r>
      <w:r w:rsidR="006E7907">
        <w:rPr>
          <w:lang w:bidi="he-IL"/>
        </w:rPr>
        <w:t>verset</w:t>
      </w:r>
      <w:r w:rsidR="006E7907" w:rsidRPr="002C4077">
        <w:t xml:space="preserve"> </w:t>
      </w:r>
      <w:r w:rsidR="006E7907">
        <w:rPr>
          <w:lang w:bidi="he-IL"/>
        </w:rPr>
        <w:t>44</w:t>
      </w:r>
      <w:r w:rsidR="00205F90">
        <w:rPr>
          <w:rStyle w:val="Appelnotedebasdep"/>
        </w:rPr>
        <w:footnoteReference w:id="355"/>
      </w:r>
      <w:r w:rsidR="00205F90">
        <w:t>.</w:t>
      </w:r>
      <w:r w:rsidR="00C45B47">
        <w:t xml:space="preserve"> {</w:t>
      </w:r>
      <w:r w:rsidR="004C5B7A">
        <w:t>114</w:t>
      </w:r>
      <w:bookmarkStart w:id="330" w:name="p114"/>
      <w:bookmarkEnd w:id="330"/>
      <w:r w:rsidR="004C5B7A">
        <w:t xml:space="preserve">} </w:t>
      </w:r>
    </w:p>
    <w:p w:rsidR="000D12F1" w:rsidRDefault="000D12F1" w:rsidP="000A7AAB"/>
    <w:p w:rsidR="000A7AAB" w:rsidRDefault="000D12F1" w:rsidP="000A7AAB">
      <w:r>
        <w:t xml:space="preserve">2. </w:t>
      </w:r>
      <w:r w:rsidR="000A7AAB">
        <w:t>Il</w:t>
      </w:r>
      <w:bookmarkStart w:id="331" w:name="z_Agonie_o1"/>
      <w:bookmarkEnd w:id="331"/>
      <w:r w:rsidR="000A7AAB" w:rsidRPr="002C4077">
        <w:t xml:space="preserve"> </w:t>
      </w:r>
      <w:r w:rsidR="00425C50">
        <w:t>est</w:t>
      </w:r>
      <w:r w:rsidR="000A7AAB" w:rsidRPr="002C4077">
        <w:t xml:space="preserve"> </w:t>
      </w:r>
      <w:r w:rsidR="000A7AAB">
        <w:t>des</w:t>
      </w:r>
      <w:r w:rsidR="000A7AAB" w:rsidRPr="002C4077">
        <w:t xml:space="preserve"> </w:t>
      </w:r>
      <w:r w:rsidR="000A7AAB">
        <w:t>hommes</w:t>
      </w:r>
      <w:r w:rsidR="000A7AAB" w:rsidRPr="002C4077">
        <w:t xml:space="preserve"> </w:t>
      </w:r>
      <w:r w:rsidR="000A7AAB">
        <w:t>qui,</w:t>
      </w:r>
      <w:r w:rsidR="000A7AAB" w:rsidRPr="002C4077">
        <w:t xml:space="preserve"> </w:t>
      </w:r>
      <w:r w:rsidR="00B546AF">
        <w:t>« </w:t>
      </w:r>
      <w:r w:rsidR="000A7AAB">
        <w:t>du</w:t>
      </w:r>
      <w:r w:rsidR="000A7AAB" w:rsidRPr="002C4077">
        <w:t xml:space="preserve"> </w:t>
      </w:r>
      <w:r w:rsidR="000A7AAB">
        <w:t>haut</w:t>
      </w:r>
      <w:r w:rsidR="000A7AAB" w:rsidRPr="002C4077">
        <w:t xml:space="preserve"> </w:t>
      </w:r>
      <w:r w:rsidR="000A7AAB">
        <w:t>de</w:t>
      </w:r>
      <w:r w:rsidR="000A7AAB" w:rsidRPr="002C4077">
        <w:t xml:space="preserve"> </w:t>
      </w:r>
      <w:r w:rsidR="000A7AAB">
        <w:t>leur</w:t>
      </w:r>
      <w:r w:rsidR="000A7AAB" w:rsidRPr="002C4077">
        <w:t xml:space="preserve"> </w:t>
      </w:r>
      <w:r w:rsidR="000A7AAB">
        <w:t>ignorante</w:t>
      </w:r>
      <w:r w:rsidR="000A7AAB" w:rsidRPr="002C4077">
        <w:t xml:space="preserve"> </w:t>
      </w:r>
      <w:r w:rsidR="000A7AAB">
        <w:t>présomption</w:t>
      </w:r>
      <w:r w:rsidR="00B91AF7">
        <w:rPr>
          <w:rStyle w:val="Appelnotedebasdep"/>
        </w:rPr>
        <w:footnoteReference w:id="356"/>
      </w:r>
      <w:r w:rsidR="00B546AF">
        <w:t> »</w:t>
      </w:r>
      <w:r w:rsidR="000A7AAB">
        <w:t>,</w:t>
      </w:r>
      <w:r w:rsidR="000A7AAB" w:rsidRPr="002C4077">
        <w:t xml:space="preserve"> </w:t>
      </w:r>
      <w:r w:rsidR="000A7AAB">
        <w:t>pour</w:t>
      </w:r>
      <w:r w:rsidR="000A7AAB" w:rsidRPr="002C4077">
        <w:t xml:space="preserve"> </w:t>
      </w:r>
      <w:r w:rsidR="000A7AAB">
        <w:t>ne</w:t>
      </w:r>
      <w:r w:rsidR="000A7AAB" w:rsidRPr="002C4077">
        <w:t xml:space="preserve"> </w:t>
      </w:r>
      <w:r w:rsidR="000A7AAB">
        <w:t>rien</w:t>
      </w:r>
      <w:r w:rsidR="000A7AAB" w:rsidRPr="002C4077">
        <w:t xml:space="preserve"> </w:t>
      </w:r>
      <w:r w:rsidR="000A7AAB">
        <w:t>dire</w:t>
      </w:r>
      <w:r w:rsidR="000A7AAB" w:rsidRPr="002C4077">
        <w:t xml:space="preserve"> </w:t>
      </w:r>
      <w:r w:rsidR="000A7AAB">
        <w:t>de</w:t>
      </w:r>
      <w:r w:rsidR="000A7AAB" w:rsidRPr="002C4077">
        <w:t xml:space="preserve"> </w:t>
      </w:r>
      <w:r w:rsidR="000A7AAB">
        <w:t>plus,</w:t>
      </w:r>
      <w:r w:rsidR="000A7AAB" w:rsidRPr="002C4077">
        <w:t xml:space="preserve"> </w:t>
      </w:r>
      <w:r w:rsidR="000A7AAB">
        <w:t>ont</w:t>
      </w:r>
      <w:r w:rsidR="000A7AAB" w:rsidRPr="002C4077">
        <w:t xml:space="preserve"> </w:t>
      </w:r>
      <w:r w:rsidR="000A7AAB">
        <w:t>vu</w:t>
      </w:r>
      <w:r w:rsidR="000A7AAB" w:rsidRPr="002C4077">
        <w:t xml:space="preserve"> </w:t>
      </w:r>
      <w:r w:rsidR="000A7AAB">
        <w:t>dans</w:t>
      </w:r>
      <w:r w:rsidR="000A7AAB" w:rsidRPr="002C4077">
        <w:t xml:space="preserve"> </w:t>
      </w:r>
      <w:r w:rsidR="000A7AAB">
        <w:t>toute</w:t>
      </w:r>
      <w:r w:rsidR="000A7AAB" w:rsidRPr="002C4077">
        <w:t xml:space="preserve"> </w:t>
      </w:r>
      <w:r w:rsidR="000A7AAB">
        <w:t>l’agonie</w:t>
      </w:r>
      <w:r w:rsidR="000A7AAB" w:rsidRPr="002C4077">
        <w:t xml:space="preserve"> </w:t>
      </w:r>
      <w:r w:rsidR="000A7AAB">
        <w:t>de</w:t>
      </w:r>
      <w:r w:rsidR="000A7AAB" w:rsidRPr="002C4077">
        <w:t xml:space="preserve"> </w:t>
      </w:r>
      <w:r w:rsidR="000A7AAB">
        <w:t>N.</w:t>
      </w:r>
      <w:r w:rsidR="000A7AAB" w:rsidRPr="002C4077">
        <w:t xml:space="preserve"> </w:t>
      </w:r>
      <w:r w:rsidR="000A7AAB">
        <w:t>S.</w:t>
      </w:r>
      <w:r w:rsidR="000A7AAB" w:rsidRPr="002C4077">
        <w:t xml:space="preserve"> </w:t>
      </w:r>
      <w:r w:rsidR="00425C50">
        <w:t>Jésus</w:t>
      </w:r>
      <w:r w:rsidR="000A7AAB">
        <w:t>-</w:t>
      </w:r>
      <w:r w:rsidR="00425C50">
        <w:t>Christ</w:t>
      </w:r>
      <w:r w:rsidR="000A7AAB">
        <w:t>,</w:t>
      </w:r>
      <w:r w:rsidR="000A7AAB" w:rsidRPr="002C4077">
        <w:t xml:space="preserve"> </w:t>
      </w:r>
      <w:r w:rsidR="000A7AAB">
        <w:t>et</w:t>
      </w:r>
      <w:r w:rsidR="000A7AAB" w:rsidRPr="002C4077">
        <w:t xml:space="preserve"> </w:t>
      </w:r>
      <w:r w:rsidR="000A7AAB">
        <w:t>particulièrement</w:t>
      </w:r>
      <w:r w:rsidR="000A7AAB" w:rsidRPr="002C4077">
        <w:t xml:space="preserve"> </w:t>
      </w:r>
      <w:r w:rsidR="000A7AAB">
        <w:t>dans</w:t>
      </w:r>
      <w:r w:rsidR="000A7AAB" w:rsidRPr="002C4077">
        <w:t xml:space="preserve"> </w:t>
      </w:r>
      <w:r w:rsidR="000A7AAB">
        <w:t>les</w:t>
      </w:r>
      <w:r w:rsidR="000A7AAB" w:rsidRPr="002C4077">
        <w:t xml:space="preserve"> </w:t>
      </w:r>
      <w:r w:rsidR="000A7AAB">
        <w:t>deux</w:t>
      </w:r>
      <w:r w:rsidR="000A7AAB" w:rsidRPr="002C4077">
        <w:t xml:space="preserve"> </w:t>
      </w:r>
      <w:r w:rsidR="000A7AAB">
        <w:t>incidents</w:t>
      </w:r>
      <w:r w:rsidR="000A7AAB" w:rsidRPr="002C4077">
        <w:t xml:space="preserve"> </w:t>
      </w:r>
      <w:r w:rsidR="000A7AAB">
        <w:t>propres</w:t>
      </w:r>
      <w:r w:rsidR="000A7AAB" w:rsidRPr="002C4077">
        <w:t xml:space="preserve"> </w:t>
      </w:r>
      <w:r w:rsidR="000A7AAB">
        <w:t>à</w:t>
      </w:r>
      <w:r w:rsidR="000A7AAB" w:rsidRPr="002C4077">
        <w:t xml:space="preserve"> </w:t>
      </w:r>
      <w:r w:rsidR="000A7AAB">
        <w:t>S.</w:t>
      </w:r>
      <w:r w:rsidR="000A7AAB" w:rsidRPr="002C4077">
        <w:t xml:space="preserve"> </w:t>
      </w:r>
      <w:r w:rsidR="000A7AAB">
        <w:t>Luc,</w:t>
      </w:r>
      <w:r w:rsidR="000A7AAB" w:rsidRPr="002C4077">
        <w:t xml:space="preserve"> </w:t>
      </w:r>
      <w:r w:rsidR="000A7AAB">
        <w:t>un</w:t>
      </w:r>
      <w:r w:rsidR="000A7AAB" w:rsidRPr="002C4077">
        <w:t xml:space="preserve"> </w:t>
      </w:r>
      <w:r w:rsidR="000A7AAB">
        <w:t>symptôme</w:t>
      </w:r>
      <w:r w:rsidR="000A7AAB" w:rsidRPr="002C4077">
        <w:t xml:space="preserve"> </w:t>
      </w:r>
      <w:r w:rsidR="000A7AAB">
        <w:t>de</w:t>
      </w:r>
      <w:r w:rsidR="000A7AAB" w:rsidRPr="002C4077">
        <w:t xml:space="preserve"> </w:t>
      </w:r>
      <w:r w:rsidR="000A7AAB">
        <w:t>faiblesse</w:t>
      </w:r>
      <w:r w:rsidR="000A7AAB" w:rsidRPr="002C4077">
        <w:t xml:space="preserve"> </w:t>
      </w:r>
      <w:r w:rsidR="000A7AAB">
        <w:t>et</w:t>
      </w:r>
      <w:r w:rsidR="000A7AAB" w:rsidRPr="002C4077">
        <w:t xml:space="preserve"> </w:t>
      </w:r>
      <w:r w:rsidR="000A7AAB">
        <w:t>même</w:t>
      </w:r>
      <w:r w:rsidR="000A7AAB" w:rsidRPr="002C4077">
        <w:t xml:space="preserve"> </w:t>
      </w:r>
      <w:r w:rsidR="000A7AAB">
        <w:t>de</w:t>
      </w:r>
      <w:r w:rsidR="000A7AAB" w:rsidRPr="002C4077">
        <w:t xml:space="preserve"> </w:t>
      </w:r>
      <w:r w:rsidR="000A7AAB">
        <w:t>lâcheté.</w:t>
      </w:r>
      <w:r w:rsidR="000A7AAB" w:rsidRPr="002C4077">
        <w:t xml:space="preserve"> </w:t>
      </w:r>
      <w:r w:rsidR="000A7AAB">
        <w:t>Ce</w:t>
      </w:r>
      <w:r w:rsidR="000A7AAB" w:rsidRPr="002C4077">
        <w:t xml:space="preserve"> </w:t>
      </w:r>
      <w:r w:rsidR="000A7AAB">
        <w:t>blasphème,</w:t>
      </w:r>
      <w:r w:rsidR="000A7AAB" w:rsidRPr="002C4077">
        <w:t xml:space="preserve"> </w:t>
      </w:r>
      <w:r w:rsidR="000A7AAB">
        <w:t>qui</w:t>
      </w:r>
      <w:r w:rsidR="000A7AAB" w:rsidRPr="002C4077">
        <w:t xml:space="preserve"> </w:t>
      </w:r>
      <w:r w:rsidR="000A7AAB">
        <w:t>remonte</w:t>
      </w:r>
      <w:r w:rsidR="000A7AAB" w:rsidRPr="002C4077">
        <w:t xml:space="preserve"> </w:t>
      </w:r>
      <w:r w:rsidR="000A7AAB">
        <w:t>à</w:t>
      </w:r>
      <w:r w:rsidR="000A7AAB" w:rsidRPr="002C4077">
        <w:t xml:space="preserve"> </w:t>
      </w:r>
      <w:r w:rsidR="000A7AAB">
        <w:t>Celse</w:t>
      </w:r>
      <w:r w:rsidR="00B91AF7">
        <w:rPr>
          <w:rStyle w:val="Appelnotedebasdep"/>
        </w:rPr>
        <w:footnoteReference w:id="357"/>
      </w:r>
      <w:r w:rsidR="000A7AAB" w:rsidRPr="002C4077">
        <w:t xml:space="preserve"> </w:t>
      </w:r>
      <w:r w:rsidR="000A7AAB">
        <w:t>et</w:t>
      </w:r>
      <w:r w:rsidR="000A7AAB" w:rsidRPr="002C4077">
        <w:t xml:space="preserve"> </w:t>
      </w:r>
      <w:r w:rsidR="000A7AAB">
        <w:t>à</w:t>
      </w:r>
      <w:r w:rsidR="000A7AAB" w:rsidRPr="002C4077">
        <w:t xml:space="preserve"> </w:t>
      </w:r>
      <w:r w:rsidR="000A7AAB">
        <w:t>Julien</w:t>
      </w:r>
      <w:r w:rsidR="000A7AAB" w:rsidRPr="002C4077">
        <w:t xml:space="preserve"> </w:t>
      </w:r>
      <w:r w:rsidR="000A7AAB">
        <w:t>l’A</w:t>
      </w:r>
      <w:r w:rsidR="00F44410">
        <w:t>postat</w:t>
      </w:r>
      <w:bookmarkStart w:id="332" w:name="z_JulienLApostat_o2"/>
      <w:bookmarkEnd w:id="332"/>
      <w:r w:rsidR="00F44410">
        <w:rPr>
          <w:rStyle w:val="Appelnotedebasdep"/>
        </w:rPr>
        <w:footnoteReference w:id="358"/>
      </w:r>
      <w:r w:rsidR="000A7AAB">
        <w:t>,</w:t>
      </w:r>
      <w:r w:rsidR="000A7AAB" w:rsidRPr="002C4077">
        <w:t xml:space="preserve"> </w:t>
      </w:r>
      <w:r w:rsidR="000A7AAB">
        <w:t>fut</w:t>
      </w:r>
      <w:r w:rsidR="000A7AAB" w:rsidRPr="002C4077">
        <w:t xml:space="preserve"> </w:t>
      </w:r>
      <w:r w:rsidR="000A7AAB">
        <w:t>publiquement</w:t>
      </w:r>
      <w:r w:rsidR="000A7AAB" w:rsidRPr="002C4077">
        <w:t xml:space="preserve"> </w:t>
      </w:r>
      <w:r w:rsidR="000A7AAB">
        <w:t>renouvelé</w:t>
      </w:r>
      <w:r w:rsidR="000A7AAB" w:rsidRPr="002C4077">
        <w:t xml:space="preserve"> </w:t>
      </w:r>
      <w:r w:rsidR="000A7AAB">
        <w:t>par</w:t>
      </w:r>
      <w:r w:rsidR="000A7AAB" w:rsidRPr="002C4077">
        <w:t xml:space="preserve"> </w:t>
      </w:r>
      <w:r w:rsidR="000A7AAB">
        <w:t>l’impie</w:t>
      </w:r>
      <w:r w:rsidR="000A7AAB" w:rsidRPr="002C4077">
        <w:t xml:space="preserve"> </w:t>
      </w:r>
      <w:r w:rsidR="006E7907">
        <w:t>Lucilius</w:t>
      </w:r>
      <w:r w:rsidR="000A7AAB" w:rsidRPr="002C4077">
        <w:t xml:space="preserve"> </w:t>
      </w:r>
      <w:r w:rsidR="000A7AAB">
        <w:t>Vanini,</w:t>
      </w:r>
      <w:r w:rsidR="000A7AAB" w:rsidRPr="002C4077">
        <w:t xml:space="preserve"> </w:t>
      </w:r>
      <w:r w:rsidR="000A7AAB">
        <w:t>qu’on</w:t>
      </w:r>
      <w:r w:rsidR="000A7AAB" w:rsidRPr="002C4077">
        <w:t xml:space="preserve"> </w:t>
      </w:r>
      <w:r w:rsidR="000A7AAB">
        <w:t>entendit</w:t>
      </w:r>
      <w:r w:rsidR="000A7AAB" w:rsidRPr="002C4077">
        <w:t xml:space="preserve"> </w:t>
      </w:r>
      <w:r w:rsidR="000A7AAB">
        <w:t>s’écrier</w:t>
      </w:r>
      <w:r w:rsidR="000A7AAB" w:rsidRPr="002C4077">
        <w:t xml:space="preserve"> </w:t>
      </w:r>
      <w:r w:rsidR="000A7AAB">
        <w:t>à</w:t>
      </w:r>
      <w:r w:rsidR="000A7AAB" w:rsidRPr="002C4077">
        <w:t xml:space="preserve"> </w:t>
      </w:r>
      <w:r w:rsidR="000A7AAB">
        <w:t>haute</w:t>
      </w:r>
      <w:r w:rsidR="000A7AAB" w:rsidRPr="002C4077">
        <w:t xml:space="preserve"> </w:t>
      </w:r>
      <w:r w:rsidR="000A7AAB">
        <w:t>voix,</w:t>
      </w:r>
      <w:r w:rsidR="000A7AAB" w:rsidRPr="002C4077">
        <w:t xml:space="preserve"> </w:t>
      </w:r>
      <w:r w:rsidR="000A7AAB">
        <w:t>tandis</w:t>
      </w:r>
      <w:r w:rsidR="000A7AAB" w:rsidRPr="002C4077">
        <w:t xml:space="preserve"> </w:t>
      </w:r>
      <w:r w:rsidR="000A7AAB">
        <w:t>qu’on</w:t>
      </w:r>
      <w:r w:rsidR="000A7AAB" w:rsidRPr="002C4077">
        <w:t xml:space="preserve"> </w:t>
      </w:r>
      <w:r w:rsidR="000A7AAB">
        <w:t>le</w:t>
      </w:r>
      <w:r w:rsidR="000A7AAB" w:rsidRPr="002C4077">
        <w:t xml:space="preserve"> </w:t>
      </w:r>
      <w:r w:rsidR="000A7AAB">
        <w:t>conduisait</w:t>
      </w:r>
      <w:r w:rsidR="000A7AAB" w:rsidRPr="002C4077">
        <w:t xml:space="preserve"> </w:t>
      </w:r>
      <w:r w:rsidR="000A7AAB">
        <w:t>au</w:t>
      </w:r>
      <w:r w:rsidR="000A7AAB" w:rsidRPr="002C4077">
        <w:t xml:space="preserve"> </w:t>
      </w:r>
      <w:r w:rsidR="000A7AAB">
        <w:t>gibet</w:t>
      </w:r>
      <w:r w:rsidR="00B546AF">
        <w:t> :</w:t>
      </w:r>
      <w:r w:rsidR="000A7AAB" w:rsidRPr="002C4077">
        <w:t xml:space="preserve"> </w:t>
      </w:r>
      <w:r w:rsidR="000A7AAB" w:rsidRPr="000A34B5">
        <w:rPr>
          <w:rStyle w:val="italicus"/>
        </w:rPr>
        <w:t>Illi</w:t>
      </w:r>
      <w:r w:rsidR="000A7AAB" w:rsidRPr="004440EA">
        <w:t xml:space="preserve"> (</w:t>
      </w:r>
      <w:r w:rsidR="000A7AAB" w:rsidRPr="000A34B5">
        <w:rPr>
          <w:rStyle w:val="italicus"/>
        </w:rPr>
        <w:t>Christo</w:t>
      </w:r>
      <w:r w:rsidR="00B546AF" w:rsidRPr="002C4077">
        <w:t>)</w:t>
      </w:r>
      <w:r w:rsidR="000A7AAB" w:rsidRPr="002C4077">
        <w:t xml:space="preserve"> </w:t>
      </w:r>
      <w:r w:rsidR="000A7AAB" w:rsidRPr="000A34B5">
        <w:rPr>
          <w:rStyle w:val="italicus"/>
        </w:rPr>
        <w:t>in</w:t>
      </w:r>
      <w:r w:rsidR="000A7AAB" w:rsidRPr="002C4077">
        <w:t xml:space="preserve"> </w:t>
      </w:r>
      <w:r w:rsidR="000A7AAB" w:rsidRPr="000A34B5">
        <w:rPr>
          <w:rStyle w:val="italicus"/>
        </w:rPr>
        <w:t>extremis</w:t>
      </w:r>
      <w:r w:rsidR="006E7907" w:rsidRPr="002C4077">
        <w:t xml:space="preserve"> </w:t>
      </w:r>
      <w:r w:rsidR="000A7AAB" w:rsidRPr="000A34B5">
        <w:rPr>
          <w:rStyle w:val="italicus"/>
        </w:rPr>
        <w:t>præ</w:t>
      </w:r>
      <w:r w:rsidR="000A7AAB" w:rsidRPr="002C4077">
        <w:t xml:space="preserve"> </w:t>
      </w:r>
      <w:r w:rsidR="000A7AAB" w:rsidRPr="000A34B5">
        <w:rPr>
          <w:rStyle w:val="italicus"/>
        </w:rPr>
        <w:t>timóre</w:t>
      </w:r>
      <w:r w:rsidR="000A7AAB" w:rsidRPr="002C4077">
        <w:t xml:space="preserve"> </w:t>
      </w:r>
      <w:r w:rsidR="006E7907" w:rsidRPr="000A34B5">
        <w:rPr>
          <w:rStyle w:val="italicus"/>
        </w:rPr>
        <w:t>imbéllis</w:t>
      </w:r>
      <w:r w:rsidR="000A7AAB" w:rsidRPr="002C4077">
        <w:t xml:space="preserve"> </w:t>
      </w:r>
      <w:r w:rsidR="000A7AAB" w:rsidRPr="000A34B5">
        <w:rPr>
          <w:rStyle w:val="italicus"/>
        </w:rPr>
        <w:t>sudor</w:t>
      </w:r>
      <w:r w:rsidR="00B546AF">
        <w:rPr>
          <w:rStyle w:val="italicus"/>
        </w:rPr>
        <w:t> </w:t>
      </w:r>
      <w:r w:rsidR="00B546AF" w:rsidRPr="000A34B5">
        <w:rPr>
          <w:rStyle w:val="italicus"/>
        </w:rPr>
        <w:t>;</w:t>
      </w:r>
      <w:r w:rsidR="000A7AAB" w:rsidRPr="002C4077">
        <w:t xml:space="preserve"> </w:t>
      </w:r>
      <w:r w:rsidR="000A7AAB" w:rsidRPr="000A34B5">
        <w:rPr>
          <w:rStyle w:val="italicus"/>
        </w:rPr>
        <w:t>ego</w:t>
      </w:r>
      <w:r w:rsidR="000A7AAB" w:rsidRPr="002C4077">
        <w:t xml:space="preserve"> </w:t>
      </w:r>
      <w:r w:rsidR="000A7AAB" w:rsidRPr="000A34B5">
        <w:rPr>
          <w:rStyle w:val="italicus"/>
        </w:rPr>
        <w:t>impert</w:t>
      </w:r>
      <w:r w:rsidR="006E7907">
        <w:rPr>
          <w:rStyle w:val="italicus"/>
        </w:rPr>
        <w:t>érritus</w:t>
      </w:r>
      <w:r w:rsidR="006E7907" w:rsidRPr="002C4077">
        <w:t xml:space="preserve"> </w:t>
      </w:r>
      <w:r w:rsidR="006E7907">
        <w:rPr>
          <w:rStyle w:val="italicus"/>
        </w:rPr>
        <w:t>mórior</w:t>
      </w:r>
      <w:r w:rsidR="006E7907">
        <w:rPr>
          <w:rStyle w:val="Appelnotedebasdep"/>
          <w:i/>
        </w:rPr>
        <w:footnoteReference w:id="359"/>
      </w:r>
      <w:r w:rsidR="000A7AAB" w:rsidRPr="000A34B5">
        <w:rPr>
          <w:rStyle w:val="italicus"/>
        </w:rPr>
        <w:t>.</w:t>
      </w:r>
      <w:r w:rsidR="000A7AAB" w:rsidRPr="002C4077">
        <w:t xml:space="preserve"> </w:t>
      </w:r>
      <w:r w:rsidR="000A7AAB">
        <w:t>Le</w:t>
      </w:r>
      <w:r w:rsidR="000A7AAB" w:rsidRPr="002C4077">
        <w:t xml:space="preserve"> </w:t>
      </w:r>
      <w:r w:rsidR="000A7AAB">
        <w:t>rabbin</w:t>
      </w:r>
      <w:r w:rsidR="000A7AAB" w:rsidRPr="002C4077">
        <w:t xml:space="preserve"> </w:t>
      </w:r>
      <w:r w:rsidR="000A7AAB">
        <w:t>juif</w:t>
      </w:r>
      <w:r w:rsidR="000A7AAB" w:rsidRPr="002C4077">
        <w:t xml:space="preserve"> </w:t>
      </w:r>
      <w:r w:rsidR="000A7AAB">
        <w:t>Isaac</w:t>
      </w:r>
      <w:r w:rsidR="000A7AAB" w:rsidRPr="002C4077">
        <w:t xml:space="preserve"> </w:t>
      </w:r>
      <w:r w:rsidR="000A7AAB">
        <w:t>ben</w:t>
      </w:r>
      <w:r w:rsidR="000A7AAB" w:rsidRPr="002C4077">
        <w:t xml:space="preserve"> </w:t>
      </w:r>
      <w:r w:rsidR="000A7AAB">
        <w:t>Abraham</w:t>
      </w:r>
      <w:r w:rsidR="000A7AAB" w:rsidRPr="002C4077">
        <w:t xml:space="preserve"> </w:t>
      </w:r>
      <w:r w:rsidR="000A7AAB">
        <w:t>s’est</w:t>
      </w:r>
      <w:r w:rsidR="000A7AAB" w:rsidRPr="002C4077">
        <w:t xml:space="preserve"> </w:t>
      </w:r>
      <w:r w:rsidR="000A7AAB">
        <w:t>aussi</w:t>
      </w:r>
      <w:r w:rsidR="000A7AAB" w:rsidRPr="002C4077">
        <w:t xml:space="preserve"> </w:t>
      </w:r>
      <w:r w:rsidR="000A7AAB">
        <w:t>permis</w:t>
      </w:r>
      <w:r w:rsidR="000A7AAB" w:rsidRPr="002C4077">
        <w:t xml:space="preserve"> </w:t>
      </w:r>
      <w:r w:rsidR="000A7AAB">
        <w:t>ce</w:t>
      </w:r>
      <w:r w:rsidR="000A7AAB" w:rsidRPr="002C4077">
        <w:t xml:space="preserve"> </w:t>
      </w:r>
      <w:r w:rsidR="000A7AAB">
        <w:t>grossier</w:t>
      </w:r>
      <w:r w:rsidR="000A7AAB" w:rsidRPr="002C4077">
        <w:t xml:space="preserve"> </w:t>
      </w:r>
      <w:r w:rsidR="000A7AAB">
        <w:t>outrage</w:t>
      </w:r>
      <w:r w:rsidR="00205F90">
        <w:rPr>
          <w:rStyle w:val="Appelnotedebasdep"/>
        </w:rPr>
        <w:footnoteReference w:id="360"/>
      </w:r>
      <w:r w:rsidR="00205F90">
        <w:t>,</w:t>
      </w:r>
      <w:r w:rsidR="000A7AAB" w:rsidRPr="002C4077">
        <w:t xml:space="preserve"> </w:t>
      </w:r>
      <w:r w:rsidR="000A7AAB">
        <w:t>et,</w:t>
      </w:r>
      <w:r w:rsidR="000A7AAB" w:rsidRPr="002C4077">
        <w:t xml:space="preserve"> </w:t>
      </w:r>
      <w:r w:rsidR="000A7AAB">
        <w:t>s’il</w:t>
      </w:r>
      <w:r w:rsidR="000A7AAB" w:rsidRPr="002C4077">
        <w:t xml:space="preserve"> </w:t>
      </w:r>
      <w:r w:rsidR="000A7AAB">
        <w:t>répugne</w:t>
      </w:r>
      <w:r w:rsidR="000A7AAB" w:rsidRPr="002C4077">
        <w:t xml:space="preserve"> </w:t>
      </w:r>
      <w:r w:rsidR="000A7AAB">
        <w:t>à</w:t>
      </w:r>
      <w:r w:rsidR="000A7AAB" w:rsidRPr="002C4077">
        <w:t xml:space="preserve"> </w:t>
      </w:r>
      <w:r w:rsidR="000A7AAB">
        <w:t>nos</w:t>
      </w:r>
      <w:r w:rsidR="000A7AAB" w:rsidRPr="002C4077">
        <w:t xml:space="preserve"> </w:t>
      </w:r>
      <w:r w:rsidR="000A7AAB">
        <w:t>rationalistes</w:t>
      </w:r>
      <w:r w:rsidR="000A7AAB" w:rsidRPr="002C4077">
        <w:t xml:space="preserve"> </w:t>
      </w:r>
      <w:r w:rsidR="000A7AAB">
        <w:lastRenderedPageBreak/>
        <w:t>contemporains</w:t>
      </w:r>
      <w:r w:rsidR="000A7AAB" w:rsidRPr="002C4077">
        <w:t xml:space="preserve"> </w:t>
      </w:r>
      <w:r w:rsidR="000A7AAB">
        <w:t>de</w:t>
      </w:r>
      <w:r w:rsidR="000A7AAB" w:rsidRPr="002C4077">
        <w:t xml:space="preserve"> </w:t>
      </w:r>
      <w:r w:rsidR="000A7AAB">
        <w:t>le</w:t>
      </w:r>
      <w:r w:rsidR="000A7AAB" w:rsidRPr="002C4077">
        <w:t xml:space="preserve"> </w:t>
      </w:r>
      <w:r w:rsidR="000A7AAB">
        <w:t>proférer</w:t>
      </w:r>
      <w:r w:rsidR="000A7AAB" w:rsidRPr="002C4077">
        <w:t xml:space="preserve"> </w:t>
      </w:r>
      <w:r w:rsidR="000A7AAB">
        <w:t>en</w:t>
      </w:r>
      <w:r w:rsidR="000A7AAB" w:rsidRPr="002C4077">
        <w:t xml:space="preserve"> </w:t>
      </w:r>
      <w:r w:rsidR="000A7AAB">
        <w:t>termes</w:t>
      </w:r>
      <w:r w:rsidR="000A7AAB" w:rsidRPr="002C4077">
        <w:t xml:space="preserve"> </w:t>
      </w:r>
      <w:r w:rsidR="000A7AAB">
        <w:t>ouverts,</w:t>
      </w:r>
      <w:r w:rsidR="000A7AAB" w:rsidRPr="002C4077">
        <w:t xml:space="preserve"> </w:t>
      </w:r>
      <w:r w:rsidR="000A7AAB">
        <w:t>plusieurs</w:t>
      </w:r>
      <w:r w:rsidR="000A7AAB" w:rsidRPr="002C4077">
        <w:t xml:space="preserve"> </w:t>
      </w:r>
      <w:r w:rsidR="000A7AAB">
        <w:t>l’ont</w:t>
      </w:r>
      <w:r w:rsidR="000A7AAB" w:rsidRPr="002C4077">
        <w:t xml:space="preserve"> </w:t>
      </w:r>
      <w:r w:rsidR="000A7AAB">
        <w:t>du</w:t>
      </w:r>
      <w:r w:rsidR="000A7AAB" w:rsidRPr="002C4077">
        <w:t xml:space="preserve"> </w:t>
      </w:r>
      <w:r w:rsidR="000A7AAB">
        <w:t>moins</w:t>
      </w:r>
      <w:r w:rsidR="000A7AAB" w:rsidRPr="002C4077">
        <w:t xml:space="preserve"> </w:t>
      </w:r>
      <w:r w:rsidR="000A7AAB">
        <w:t>équival</w:t>
      </w:r>
      <w:r w:rsidR="00205F90">
        <w:t>emment</w:t>
      </w:r>
      <w:r w:rsidR="00205F90" w:rsidRPr="002C4077">
        <w:t xml:space="preserve"> </w:t>
      </w:r>
      <w:r w:rsidR="00205F90">
        <w:t>inséré</w:t>
      </w:r>
      <w:r w:rsidR="00205F90" w:rsidRPr="002C4077">
        <w:t xml:space="preserve"> </w:t>
      </w:r>
      <w:r w:rsidR="00205F90">
        <w:t>dans</w:t>
      </w:r>
      <w:r w:rsidR="00205F90" w:rsidRPr="002C4077">
        <w:t xml:space="preserve"> </w:t>
      </w:r>
      <w:r w:rsidR="00205F90">
        <w:t>leurs</w:t>
      </w:r>
      <w:r w:rsidR="00205F90" w:rsidRPr="002C4077">
        <w:t xml:space="preserve"> </w:t>
      </w:r>
      <w:r w:rsidR="00205F90">
        <w:t>écrits</w:t>
      </w:r>
      <w:r w:rsidR="00205F90">
        <w:rPr>
          <w:rStyle w:val="Appelnotedebasdep"/>
        </w:rPr>
        <w:footnoteReference w:id="361"/>
      </w:r>
      <w:r w:rsidR="00205F90">
        <w:t>.</w:t>
      </w:r>
    </w:p>
    <w:p w:rsidR="000A7AAB" w:rsidRPr="004C5B7A" w:rsidRDefault="000A7AAB" w:rsidP="000D12F1">
      <w:r>
        <w:t>Les</w:t>
      </w:r>
      <w:r w:rsidRPr="002C4077">
        <w:t xml:space="preserve"> </w:t>
      </w:r>
      <w:r>
        <w:t>hommes</w:t>
      </w:r>
      <w:r w:rsidRPr="002C4077">
        <w:t xml:space="preserve"> </w:t>
      </w:r>
      <w:r>
        <w:t>sans</w:t>
      </w:r>
      <w:r w:rsidRPr="002C4077">
        <w:t xml:space="preserve"> </w:t>
      </w:r>
      <w:r>
        <w:t>cœur</w:t>
      </w:r>
      <w:r w:rsidRPr="002C4077">
        <w:t xml:space="preserve"> </w:t>
      </w:r>
      <w:r>
        <w:t>qui,</w:t>
      </w:r>
      <w:r w:rsidRPr="002C4077">
        <w:t xml:space="preserve"> </w:t>
      </w:r>
      <w:r>
        <w:t>à</w:t>
      </w:r>
      <w:r w:rsidRPr="002C4077">
        <w:t xml:space="preserve"> </w:t>
      </w:r>
      <w:r>
        <w:t>la</w:t>
      </w:r>
      <w:r w:rsidRPr="002C4077">
        <w:t xml:space="preserve"> </w:t>
      </w:r>
      <w:r>
        <w:t>suite</w:t>
      </w:r>
      <w:r w:rsidRPr="002C4077">
        <w:t xml:space="preserve"> </w:t>
      </w:r>
      <w:r>
        <w:t>des</w:t>
      </w:r>
      <w:r w:rsidRPr="002C4077">
        <w:t xml:space="preserve"> </w:t>
      </w:r>
      <w:r>
        <w:t>valets</w:t>
      </w:r>
      <w:r w:rsidRPr="002C4077">
        <w:t xml:space="preserve"> </w:t>
      </w:r>
      <w:r>
        <w:t>du</w:t>
      </w:r>
      <w:r w:rsidRPr="002C4077">
        <w:t xml:space="preserve"> </w:t>
      </w:r>
      <w:r>
        <w:t>Sanhédrin</w:t>
      </w:r>
      <w:r w:rsidR="00B91AF7">
        <w:rPr>
          <w:rStyle w:val="Appelnotedebasdep"/>
        </w:rPr>
        <w:footnoteReference w:id="362"/>
      </w:r>
      <w:r>
        <w:t>,</w:t>
      </w:r>
      <w:r w:rsidRPr="002C4077">
        <w:t xml:space="preserve"> </w:t>
      </w:r>
      <w:r>
        <w:t>des</w:t>
      </w:r>
      <w:r w:rsidRPr="002C4077">
        <w:t xml:space="preserve"> </w:t>
      </w:r>
      <w:r>
        <w:t>courtisans</w:t>
      </w:r>
      <w:r w:rsidRPr="002C4077">
        <w:t xml:space="preserve"> </w:t>
      </w:r>
      <w:r>
        <w:t>d’</w:t>
      </w:r>
      <w:r w:rsidR="006E7907">
        <w:t>H</w:t>
      </w:r>
      <w:r>
        <w:t>érode</w:t>
      </w:r>
      <w:r w:rsidR="00B91AF7">
        <w:rPr>
          <w:rStyle w:val="Appelnotedebasdep"/>
        </w:rPr>
        <w:footnoteReference w:id="363"/>
      </w:r>
      <w:r>
        <w:t>,</w:t>
      </w:r>
      <w:r w:rsidRPr="002C4077">
        <w:t xml:space="preserve"> </w:t>
      </w:r>
      <w:r>
        <w:t>des</w:t>
      </w:r>
      <w:r w:rsidRPr="002C4077">
        <w:t xml:space="preserve"> </w:t>
      </w:r>
      <w:r>
        <w:t>prétoriens</w:t>
      </w:r>
      <w:r w:rsidRPr="002C4077">
        <w:t xml:space="preserve"> </w:t>
      </w:r>
      <w:r>
        <w:t>de</w:t>
      </w:r>
      <w:r w:rsidRPr="002C4077">
        <w:t xml:space="preserve"> </w:t>
      </w:r>
      <w:r>
        <w:t>Pilate</w:t>
      </w:r>
      <w:r w:rsidR="00B91AF7">
        <w:rPr>
          <w:rStyle w:val="Appelnotedebasdep"/>
        </w:rPr>
        <w:footnoteReference w:id="364"/>
      </w:r>
      <w:r>
        <w:t>,</w:t>
      </w:r>
      <w:r w:rsidRPr="002C4077">
        <w:t xml:space="preserve"> </w:t>
      </w:r>
      <w:r>
        <w:t>ont</w:t>
      </w:r>
      <w:r w:rsidRPr="002C4077">
        <w:t xml:space="preserve"> </w:t>
      </w:r>
      <w:r>
        <w:t>osé</w:t>
      </w:r>
      <w:r w:rsidRPr="002C4077">
        <w:t xml:space="preserve"> </w:t>
      </w:r>
      <w:r>
        <w:t>insulter</w:t>
      </w:r>
      <w:r w:rsidRPr="002C4077">
        <w:t xml:space="preserve"> </w:t>
      </w:r>
      <w:r>
        <w:t>ainsi</w:t>
      </w:r>
      <w:r w:rsidRPr="002C4077">
        <w:t xml:space="preserve"> </w:t>
      </w:r>
      <w:r>
        <w:t>à</w:t>
      </w:r>
      <w:r w:rsidRPr="002C4077">
        <w:t xml:space="preserve"> </w:t>
      </w:r>
      <w:r>
        <w:t>la</w:t>
      </w:r>
      <w:r w:rsidRPr="002C4077">
        <w:t xml:space="preserve"> </w:t>
      </w:r>
      <w:r>
        <w:t>souffrance,</w:t>
      </w:r>
      <w:r w:rsidRPr="002C4077">
        <w:t xml:space="preserve"> </w:t>
      </w:r>
      <w:r>
        <w:t>n’ont</w:t>
      </w:r>
      <w:r w:rsidRPr="002C4077">
        <w:t xml:space="preserve"> </w:t>
      </w:r>
      <w:r>
        <w:t>compris</w:t>
      </w:r>
      <w:r w:rsidRPr="002C4077">
        <w:t xml:space="preserve"> </w:t>
      </w:r>
      <w:r>
        <w:t>ni</w:t>
      </w:r>
      <w:r w:rsidRPr="002C4077">
        <w:t xml:space="preserve"> </w:t>
      </w:r>
      <w:r>
        <w:t>l’étendue</w:t>
      </w:r>
      <w:r w:rsidRPr="002C4077">
        <w:t xml:space="preserve"> </w:t>
      </w:r>
      <w:r>
        <w:t>des</w:t>
      </w:r>
      <w:r w:rsidRPr="002C4077">
        <w:t xml:space="preserve"> </w:t>
      </w:r>
      <w:r>
        <w:t>peines</w:t>
      </w:r>
      <w:r w:rsidRPr="002C4077">
        <w:t xml:space="preserve"> </w:t>
      </w:r>
      <w:r>
        <w:t>endurées</w:t>
      </w:r>
      <w:r w:rsidRPr="002C4077">
        <w:t xml:space="preserve"> </w:t>
      </w:r>
      <w:r>
        <w:t>par</w:t>
      </w:r>
      <w:r w:rsidRPr="002C4077">
        <w:t xml:space="preserve"> </w:t>
      </w:r>
      <w:r>
        <w:t>N.</w:t>
      </w:r>
      <w:r w:rsidRPr="002C4077">
        <w:t xml:space="preserve"> </w:t>
      </w:r>
      <w:r>
        <w:t>S.</w:t>
      </w:r>
      <w:r w:rsidRPr="002C4077">
        <w:t xml:space="preserve"> </w:t>
      </w:r>
      <w:r w:rsidR="00425C50">
        <w:t>Jésus</w:t>
      </w:r>
      <w:r>
        <w:t>-</w:t>
      </w:r>
      <w:r w:rsidR="00425C50">
        <w:t>Christ</w:t>
      </w:r>
      <w:r w:rsidRPr="002C4077">
        <w:t xml:space="preserve"> </w:t>
      </w:r>
      <w:r>
        <w:t>au</w:t>
      </w:r>
      <w:r w:rsidRPr="002C4077">
        <w:t xml:space="preserve"> </w:t>
      </w:r>
      <w:r>
        <w:t>jardin</w:t>
      </w:r>
      <w:r w:rsidRPr="002C4077">
        <w:t xml:space="preserve"> </w:t>
      </w:r>
      <w:r>
        <w:t>de</w:t>
      </w:r>
      <w:r w:rsidRPr="002C4077">
        <w:t xml:space="preserve"> </w:t>
      </w:r>
      <w:r>
        <w:t>Gethsémani,</w:t>
      </w:r>
      <w:r w:rsidRPr="002C4077">
        <w:t xml:space="preserve"> </w:t>
      </w:r>
      <w:r>
        <w:t>ni</w:t>
      </w:r>
      <w:r w:rsidRPr="002C4077">
        <w:t xml:space="preserve"> </w:t>
      </w:r>
      <w:r>
        <w:t>la</w:t>
      </w:r>
      <w:r w:rsidRPr="002C4077">
        <w:t xml:space="preserve"> </w:t>
      </w:r>
      <w:r>
        <w:t>nature</w:t>
      </w:r>
      <w:r w:rsidRPr="002C4077">
        <w:t xml:space="preserve"> </w:t>
      </w:r>
      <w:r>
        <w:t>de</w:t>
      </w:r>
      <w:r w:rsidRPr="002C4077">
        <w:t xml:space="preserve"> </w:t>
      </w:r>
      <w:r>
        <w:t>son</w:t>
      </w:r>
      <w:r w:rsidRPr="002C4077">
        <w:t xml:space="preserve"> </w:t>
      </w:r>
      <w:r>
        <w:t>agonie</w:t>
      </w:r>
      <w:r w:rsidRPr="002C4077">
        <w:t xml:space="preserve"> </w:t>
      </w:r>
      <w:r>
        <w:t>douloureuse.</w:t>
      </w:r>
      <w:r w:rsidRPr="002C4077">
        <w:t xml:space="preserve"> </w:t>
      </w:r>
      <w:r>
        <w:t>Oui,</w:t>
      </w:r>
      <w:r w:rsidRPr="002C4077">
        <w:t xml:space="preserve"> </w:t>
      </w:r>
      <w:r>
        <w:t>agonie</w:t>
      </w:r>
      <w:r w:rsidR="00B546AF">
        <w:t> ;</w:t>
      </w:r>
      <w:r w:rsidRPr="002C4077">
        <w:t xml:space="preserve"> </w:t>
      </w:r>
      <w:r>
        <w:t>le</w:t>
      </w:r>
      <w:r w:rsidRPr="002C4077">
        <w:t xml:space="preserve"> </w:t>
      </w:r>
      <w:r>
        <w:t>mot</w:t>
      </w:r>
      <w:r w:rsidRPr="002C4077">
        <w:t xml:space="preserve"> </w:t>
      </w:r>
      <w:r w:rsidR="00425C50">
        <w:t>est</w:t>
      </w:r>
      <w:r w:rsidRPr="002C4077">
        <w:t xml:space="preserve"> </w:t>
      </w:r>
      <w:r>
        <w:t>de</w:t>
      </w:r>
      <w:r w:rsidRPr="002C4077">
        <w:t xml:space="preserve"> </w:t>
      </w:r>
      <w:r>
        <w:t>S.</w:t>
      </w:r>
      <w:r w:rsidRPr="002C4077">
        <w:t xml:space="preserve"> </w:t>
      </w:r>
      <w:r>
        <w:t>Luc</w:t>
      </w:r>
      <w:r w:rsidR="00B546AF" w:rsidRPr="006E7907">
        <w:t> ;</w:t>
      </w:r>
      <w:r w:rsidR="006E7907" w:rsidRPr="002C4077">
        <w:t xml:space="preserve"> </w:t>
      </w:r>
      <w:r w:rsidR="006E7907" w:rsidRPr="006E7907">
        <w:t>γενόμενος</w:t>
      </w:r>
      <w:r w:rsidR="006E7907" w:rsidRPr="002C4077">
        <w:t xml:space="preserve"> </w:t>
      </w:r>
      <w:r w:rsidR="006E7907">
        <w:t>ἐ</w:t>
      </w:r>
      <w:r w:rsidR="006E7907" w:rsidRPr="006E7907">
        <w:t>ν</w:t>
      </w:r>
      <w:r w:rsidR="006E7907" w:rsidRPr="002C4077">
        <w:t xml:space="preserve"> </w:t>
      </w:r>
      <w:r w:rsidR="006E7907" w:rsidRPr="006E7907">
        <w:t>ἀγωνία</w:t>
      </w:r>
      <w:r w:rsidRPr="000A34B5">
        <w:rPr>
          <w:rStyle w:val="italicus"/>
        </w:rPr>
        <w:t>,</w:t>
      </w:r>
      <w:r w:rsidRPr="002C4077">
        <w:t xml:space="preserve"> </w:t>
      </w:r>
      <w:r w:rsidRPr="000A34B5">
        <w:rPr>
          <w:rStyle w:val="italicus"/>
        </w:rPr>
        <w:t>factus</w:t>
      </w:r>
      <w:r w:rsidRPr="002C4077">
        <w:t xml:space="preserve"> </w:t>
      </w:r>
      <w:r w:rsidRPr="000A34B5">
        <w:rPr>
          <w:rStyle w:val="italicus"/>
        </w:rPr>
        <w:t>in</w:t>
      </w:r>
      <w:r w:rsidRPr="002C4077">
        <w:t xml:space="preserve"> </w:t>
      </w:r>
      <w:r w:rsidRPr="000A34B5">
        <w:rPr>
          <w:rStyle w:val="italicus"/>
        </w:rPr>
        <w:t>ag</w:t>
      </w:r>
      <w:r w:rsidR="003B53FD">
        <w:rPr>
          <w:rStyle w:val="italicus"/>
        </w:rPr>
        <w:t>ó</w:t>
      </w:r>
      <w:r w:rsidR="003B53FD" w:rsidRPr="000A34B5">
        <w:rPr>
          <w:rStyle w:val="italicus"/>
        </w:rPr>
        <w:t>nia</w:t>
      </w:r>
      <w:r w:rsidRPr="000A34B5">
        <w:rPr>
          <w:rStyle w:val="italicus"/>
        </w:rPr>
        <w:t>.</w:t>
      </w:r>
      <w:r w:rsidRPr="002C4077">
        <w:t xml:space="preserve"> </w:t>
      </w:r>
      <w:r>
        <w:t>Agonie,</w:t>
      </w:r>
      <w:r w:rsidRPr="002C4077">
        <w:t xml:space="preserve"> </w:t>
      </w:r>
      <w:r>
        <w:t>c’est-à-dire</w:t>
      </w:r>
      <w:r w:rsidRPr="002C4077">
        <w:t xml:space="preserve"> </w:t>
      </w:r>
      <w:r>
        <w:t>lutte</w:t>
      </w:r>
      <w:r w:rsidRPr="002C4077">
        <w:t xml:space="preserve"> </w:t>
      </w:r>
      <w:r>
        <w:t>suprême</w:t>
      </w:r>
      <w:r w:rsidR="00B91AF7">
        <w:rPr>
          <w:rStyle w:val="Appelnotedebasdep"/>
        </w:rPr>
        <w:footnoteReference w:id="365"/>
      </w:r>
      <w:r>
        <w:t>,</w:t>
      </w:r>
      <w:r w:rsidRPr="002C4077">
        <w:t xml:space="preserve"> </w:t>
      </w:r>
      <w:r>
        <w:t>accompagnée</w:t>
      </w:r>
      <w:r w:rsidRPr="002C4077">
        <w:t xml:space="preserve"> </w:t>
      </w:r>
      <w:r>
        <w:t>de</w:t>
      </w:r>
      <w:r w:rsidRPr="002C4077">
        <w:t xml:space="preserve"> </w:t>
      </w:r>
      <w:r>
        <w:t>tourments</w:t>
      </w:r>
      <w:r w:rsidRPr="002C4077">
        <w:t xml:space="preserve"> </w:t>
      </w:r>
      <w:r>
        <w:t>indicibles,</w:t>
      </w:r>
      <w:r w:rsidRPr="002C4077">
        <w:t xml:space="preserve"> </w:t>
      </w:r>
      <w:r>
        <w:t>qui</w:t>
      </w:r>
      <w:r w:rsidRPr="002C4077">
        <w:t xml:space="preserve"> </w:t>
      </w:r>
      <w:r>
        <w:t>accablèrent</w:t>
      </w:r>
      <w:r w:rsidRPr="002C4077">
        <w:t xml:space="preserve"> </w:t>
      </w:r>
      <w:r>
        <w:t>à</w:t>
      </w:r>
      <w:r w:rsidRPr="002C4077">
        <w:t xml:space="preserve"> </w:t>
      </w:r>
      <w:r>
        <w:t>un</w:t>
      </w:r>
      <w:r w:rsidRPr="002C4077">
        <w:t xml:space="preserve"> </w:t>
      </w:r>
      <w:r>
        <w:t>tel</w:t>
      </w:r>
      <w:r w:rsidRPr="002C4077">
        <w:t xml:space="preserve"> </w:t>
      </w:r>
      <w:r>
        <w:t>point</w:t>
      </w:r>
      <w:r w:rsidRPr="002C4077">
        <w:t xml:space="preserve"> </w:t>
      </w:r>
      <w:r>
        <w:t>la</w:t>
      </w:r>
      <w:r w:rsidRPr="002C4077">
        <w:t xml:space="preserve"> </w:t>
      </w:r>
      <w:r>
        <w:t>sainte</w:t>
      </w:r>
      <w:r w:rsidRPr="002C4077">
        <w:t xml:space="preserve"> </w:t>
      </w:r>
      <w:r>
        <w:t>âme</w:t>
      </w:r>
      <w:r w:rsidRPr="002C4077">
        <w:t xml:space="preserve"> </w:t>
      </w:r>
      <w:r>
        <w:t>du</w:t>
      </w:r>
      <w:r w:rsidRPr="002C4077">
        <w:t xml:space="preserve"> </w:t>
      </w:r>
      <w:r>
        <w:t>Sauveur,</w:t>
      </w:r>
      <w:r w:rsidRPr="002C4077">
        <w:t xml:space="preserve"> </w:t>
      </w:r>
      <w:r>
        <w:t>délaissé</w:t>
      </w:r>
      <w:r w:rsidRPr="002C4077">
        <w:t xml:space="preserve"> </w:t>
      </w:r>
      <w:r>
        <w:t>en</w:t>
      </w:r>
      <w:r w:rsidRPr="002C4077">
        <w:t xml:space="preserve"> </w:t>
      </w:r>
      <w:r>
        <w:t>quelque</w:t>
      </w:r>
      <w:r w:rsidRPr="002C4077">
        <w:t xml:space="preserve"> </w:t>
      </w:r>
      <w:r>
        <w:t>sorte</w:t>
      </w:r>
      <w:r w:rsidRPr="002C4077">
        <w:t xml:space="preserve"> </w:t>
      </w:r>
      <w:r>
        <w:t>momentanément</w:t>
      </w:r>
      <w:r w:rsidRPr="002C4077">
        <w:t xml:space="preserve"> </w:t>
      </w:r>
      <w:r>
        <w:t>par</w:t>
      </w:r>
      <w:r w:rsidRPr="002C4077">
        <w:t xml:space="preserve"> </w:t>
      </w:r>
      <w:r>
        <w:t>la</w:t>
      </w:r>
      <w:r w:rsidRPr="002C4077">
        <w:t xml:space="preserve"> </w:t>
      </w:r>
      <w:r>
        <w:t>divinité,</w:t>
      </w:r>
      <w:r w:rsidRPr="002C4077">
        <w:t xml:space="preserve"> </w:t>
      </w:r>
      <w:r>
        <w:t>qu</w:t>
      </w:r>
      <w:r w:rsidR="006E7907">
        <w:t>’</w:t>
      </w:r>
      <w:r w:rsidR="00B546AF">
        <w:t>« </w:t>
      </w:r>
      <w:r>
        <w:t>aucun</w:t>
      </w:r>
      <w:r w:rsidRPr="002C4077">
        <w:t xml:space="preserve"> </w:t>
      </w:r>
      <w:r>
        <w:t>martyr,</w:t>
      </w:r>
      <w:r w:rsidRPr="002C4077">
        <w:t xml:space="preserve"> </w:t>
      </w:r>
      <w:r>
        <w:t>Karl</w:t>
      </w:r>
      <w:r w:rsidRPr="002C4077">
        <w:t xml:space="preserve"> </w:t>
      </w:r>
      <w:r>
        <w:t>Hæc</w:t>
      </w:r>
      <w:r w:rsidRPr="002C4077">
        <w:t xml:space="preserve"> </w:t>
      </w:r>
      <w:r>
        <w:t>lui-même</w:t>
      </w:r>
      <w:r w:rsidRPr="002C4077">
        <w:t xml:space="preserve"> </w:t>
      </w:r>
      <w:r>
        <w:t>le</w:t>
      </w:r>
      <w:r w:rsidRPr="002C4077">
        <w:t xml:space="preserve"> </w:t>
      </w:r>
      <w:r>
        <w:t>reconnaît</w:t>
      </w:r>
      <w:r w:rsidR="00B91AF7">
        <w:rPr>
          <w:rStyle w:val="Appelnotedebasdep"/>
        </w:rPr>
        <w:footnoteReference w:id="366"/>
      </w:r>
      <w:r>
        <w:t>,</w:t>
      </w:r>
      <w:r w:rsidRPr="002C4077">
        <w:t xml:space="preserve"> </w:t>
      </w:r>
      <w:r>
        <w:t>ne</w:t>
      </w:r>
      <w:r w:rsidRPr="002C4077">
        <w:t xml:space="preserve"> </w:t>
      </w:r>
      <w:r>
        <w:t>s’est</w:t>
      </w:r>
      <w:r w:rsidRPr="002C4077">
        <w:t xml:space="preserve"> </w:t>
      </w:r>
      <w:r>
        <w:t>jamais</w:t>
      </w:r>
      <w:r w:rsidRPr="002C4077">
        <w:t xml:space="preserve"> </w:t>
      </w:r>
      <w:r>
        <w:t>trouvé</w:t>
      </w:r>
      <w:r w:rsidRPr="002C4077">
        <w:t xml:space="preserve"> </w:t>
      </w:r>
      <w:r>
        <w:t>dans</w:t>
      </w:r>
      <w:r w:rsidRPr="002C4077">
        <w:t xml:space="preserve"> </w:t>
      </w:r>
      <w:r>
        <w:t>sa</w:t>
      </w:r>
      <w:r w:rsidRPr="002C4077">
        <w:t xml:space="preserve"> </w:t>
      </w:r>
      <w:r>
        <w:t>situation</w:t>
      </w:r>
      <w:r w:rsidR="00B546AF">
        <w:t> »</w:t>
      </w:r>
      <w:r>
        <w:t>.</w:t>
      </w:r>
      <w:r w:rsidR="00C45B47">
        <w:t xml:space="preserve"> {</w:t>
      </w:r>
      <w:r w:rsidR="004C5B7A">
        <w:t>115</w:t>
      </w:r>
      <w:bookmarkStart w:id="333" w:name="p115"/>
      <w:bookmarkEnd w:id="333"/>
      <w:r w:rsidR="004C5B7A">
        <w:t xml:space="preserve">} </w:t>
      </w:r>
      <w:r>
        <w:t>Les</w:t>
      </w:r>
      <w:r w:rsidRPr="002C4077">
        <w:t xml:space="preserve"> </w:t>
      </w:r>
      <w:r>
        <w:t>expressions</w:t>
      </w:r>
      <w:r w:rsidRPr="002C4077">
        <w:t xml:space="preserve"> </w:t>
      </w:r>
      <w:r>
        <w:t>employées</w:t>
      </w:r>
      <w:r w:rsidRPr="002C4077">
        <w:t xml:space="preserve"> </w:t>
      </w:r>
      <w:r>
        <w:t>par</w:t>
      </w:r>
      <w:r w:rsidRPr="002C4077">
        <w:t xml:space="preserve"> </w:t>
      </w:r>
      <w:r>
        <w:t>S.</w:t>
      </w:r>
      <w:r w:rsidRPr="002C4077">
        <w:t xml:space="preserve"> </w:t>
      </w:r>
      <w:r w:rsidR="00425C50">
        <w:t>Matth</w:t>
      </w:r>
      <w:r>
        <w:t>ieu</w:t>
      </w:r>
      <w:r w:rsidRPr="002C4077">
        <w:t xml:space="preserve"> </w:t>
      </w:r>
      <w:r>
        <w:t>et</w:t>
      </w:r>
      <w:r w:rsidRPr="002C4077">
        <w:t xml:space="preserve"> </w:t>
      </w:r>
      <w:r>
        <w:t>par</w:t>
      </w:r>
      <w:r w:rsidRPr="002C4077">
        <w:t xml:space="preserve"> </w:t>
      </w:r>
      <w:r>
        <w:t>S.</w:t>
      </w:r>
      <w:r w:rsidRPr="002C4077">
        <w:t xml:space="preserve"> </w:t>
      </w:r>
      <w:r>
        <w:t>Marc</w:t>
      </w:r>
      <w:r w:rsidR="00B91AF7">
        <w:rPr>
          <w:rStyle w:val="Appelnotedebasdep"/>
        </w:rPr>
        <w:footnoteReference w:id="367"/>
      </w:r>
      <w:r w:rsidRPr="002C4077">
        <w:t xml:space="preserve"> </w:t>
      </w:r>
      <w:r>
        <w:t>ne</w:t>
      </w:r>
      <w:r w:rsidRPr="002C4077">
        <w:t xml:space="preserve"> </w:t>
      </w:r>
      <w:r>
        <w:t>montrent</w:t>
      </w:r>
      <w:r w:rsidRPr="002C4077">
        <w:t xml:space="preserve"> </w:t>
      </w:r>
      <w:r>
        <w:t>pas</w:t>
      </w:r>
      <w:r w:rsidRPr="002C4077">
        <w:t xml:space="preserve"> </w:t>
      </w:r>
      <w:r>
        <w:t>moins</w:t>
      </w:r>
      <w:r w:rsidRPr="002C4077">
        <w:t xml:space="preserve"> </w:t>
      </w:r>
      <w:r>
        <w:t>énergiquement</w:t>
      </w:r>
      <w:r w:rsidRPr="002C4077">
        <w:t xml:space="preserve"> </w:t>
      </w:r>
      <w:r>
        <w:t>la</w:t>
      </w:r>
      <w:r w:rsidRPr="002C4077">
        <w:t xml:space="preserve"> </w:t>
      </w:r>
      <w:r>
        <w:t>violence</w:t>
      </w:r>
      <w:r w:rsidRPr="002C4077">
        <w:t xml:space="preserve"> </w:t>
      </w:r>
      <w:r>
        <w:t>des</w:t>
      </w:r>
      <w:r w:rsidRPr="002C4077">
        <w:t xml:space="preserve"> </w:t>
      </w:r>
      <w:r>
        <w:t>douleurs</w:t>
      </w:r>
      <w:r w:rsidRPr="002C4077">
        <w:t xml:space="preserve"> </w:t>
      </w:r>
      <w:r>
        <w:t>de</w:t>
      </w:r>
      <w:r w:rsidRPr="002C4077">
        <w:t xml:space="preserve"> </w:t>
      </w:r>
      <w:r w:rsidR="00425C50">
        <w:t>Jésus</w:t>
      </w:r>
      <w:r w:rsidRPr="002C4077">
        <w:t xml:space="preserve"> </w:t>
      </w:r>
      <w:r>
        <w:t>agonisant.</w:t>
      </w:r>
      <w:r w:rsidRPr="002C4077">
        <w:t xml:space="preserve"> </w:t>
      </w:r>
      <w:r w:rsidR="006E7907" w:rsidRPr="006E7907">
        <w:t>Λυπεῖσθαι,</w:t>
      </w:r>
      <w:r w:rsidR="006E7907" w:rsidRPr="002C4077">
        <w:t xml:space="preserve"> </w:t>
      </w:r>
      <w:r w:rsidR="006E7907" w:rsidRPr="006E7907">
        <w:t>ἀδημονεῖν,</w:t>
      </w:r>
      <w:r w:rsidR="006E7907" w:rsidRPr="002C4077">
        <w:t xml:space="preserve"> </w:t>
      </w:r>
      <w:r w:rsidR="006E7907" w:rsidRPr="006E7907">
        <w:t>ἐκθαμβεῖσθαι</w:t>
      </w:r>
      <w:r w:rsidR="00B546AF">
        <w:t> :</w:t>
      </w:r>
      <w:r w:rsidRPr="002C4077">
        <w:t xml:space="preserve"> </w:t>
      </w:r>
      <w:r>
        <w:t>ces</w:t>
      </w:r>
      <w:r w:rsidRPr="002C4077">
        <w:t xml:space="preserve"> </w:t>
      </w:r>
      <w:r>
        <w:t>trois</w:t>
      </w:r>
      <w:r w:rsidRPr="002C4077">
        <w:t xml:space="preserve"> </w:t>
      </w:r>
      <w:r>
        <w:t>verbes</w:t>
      </w:r>
      <w:r w:rsidRPr="002C4077">
        <w:t xml:space="preserve"> </w:t>
      </w:r>
      <w:r>
        <w:t>réunis</w:t>
      </w:r>
      <w:r w:rsidRPr="002C4077">
        <w:t xml:space="preserve"> </w:t>
      </w:r>
      <w:r>
        <w:t>représentent</w:t>
      </w:r>
      <w:r w:rsidRPr="002C4077">
        <w:t xml:space="preserve"> </w:t>
      </w:r>
      <w:r>
        <w:t>la</w:t>
      </w:r>
      <w:r w:rsidRPr="002C4077">
        <w:t xml:space="preserve"> </w:t>
      </w:r>
      <w:r>
        <w:t>souffrance</w:t>
      </w:r>
      <w:r w:rsidRPr="002C4077">
        <w:t xml:space="preserve"> </w:t>
      </w:r>
      <w:r>
        <w:t>parvenue</w:t>
      </w:r>
      <w:r w:rsidRPr="002C4077">
        <w:t xml:space="preserve"> </w:t>
      </w:r>
      <w:r>
        <w:t>à</w:t>
      </w:r>
      <w:r w:rsidRPr="002C4077">
        <w:t xml:space="preserve"> </w:t>
      </w:r>
      <w:r>
        <w:t>son</w:t>
      </w:r>
      <w:r w:rsidRPr="002C4077">
        <w:t xml:space="preserve"> </w:t>
      </w:r>
      <w:r>
        <w:t>dernier</w:t>
      </w:r>
      <w:r w:rsidRPr="002C4077">
        <w:t xml:space="preserve"> </w:t>
      </w:r>
      <w:r>
        <w:t>degré</w:t>
      </w:r>
      <w:r w:rsidRPr="002C4077">
        <w:t xml:space="preserve"> </w:t>
      </w:r>
      <w:r>
        <w:t>d’intensité.</w:t>
      </w:r>
      <w:r w:rsidRPr="002C4077">
        <w:t xml:space="preserve"> </w:t>
      </w:r>
      <w:r w:rsidR="006E7907" w:rsidRPr="006E7907">
        <w:t>Λυπεῖσθαι</w:t>
      </w:r>
      <w:r w:rsidRPr="002C4077">
        <w:t xml:space="preserve"> </w:t>
      </w:r>
      <w:r>
        <w:t>signifie</w:t>
      </w:r>
      <w:r w:rsidRPr="002C4077">
        <w:t xml:space="preserve"> </w:t>
      </w:r>
      <w:r>
        <w:t>simplement</w:t>
      </w:r>
      <w:r w:rsidRPr="002C4077">
        <w:t xml:space="preserve"> </w:t>
      </w:r>
      <w:r w:rsidR="00B546AF">
        <w:t>« </w:t>
      </w:r>
      <w:r>
        <w:t>être</w:t>
      </w:r>
      <w:r w:rsidRPr="002C4077">
        <w:t xml:space="preserve"> </w:t>
      </w:r>
      <w:r>
        <w:t>attristé</w:t>
      </w:r>
      <w:r w:rsidR="00B546AF">
        <w:t> » ;</w:t>
      </w:r>
      <w:r w:rsidRPr="002C4077">
        <w:t xml:space="preserve"> </w:t>
      </w:r>
      <w:r>
        <w:t>mais</w:t>
      </w:r>
      <w:r w:rsidRPr="002C4077">
        <w:t xml:space="preserve"> </w:t>
      </w:r>
      <w:r w:rsidR="006E7907" w:rsidRPr="006E7907">
        <w:t>ἀδημονεῖν</w:t>
      </w:r>
      <w:r w:rsidRPr="002C4077">
        <w:t xml:space="preserve"> </w:t>
      </w:r>
      <w:r>
        <w:t>figure</w:t>
      </w:r>
      <w:r w:rsidRPr="002C4077">
        <w:t xml:space="preserve"> </w:t>
      </w:r>
      <w:r>
        <w:t>une</w:t>
      </w:r>
      <w:r w:rsidRPr="002C4077">
        <w:t xml:space="preserve"> </w:t>
      </w:r>
      <w:r>
        <w:t>tristesse</w:t>
      </w:r>
      <w:r w:rsidRPr="002C4077">
        <w:t xml:space="preserve"> </w:t>
      </w:r>
      <w:r>
        <w:t>excessive,</w:t>
      </w:r>
      <w:r w:rsidRPr="002C4077">
        <w:t xml:space="preserve"> </w:t>
      </w:r>
      <w:r>
        <w:t>de</w:t>
      </w:r>
      <w:r w:rsidRPr="002C4077">
        <w:t xml:space="preserve"> </w:t>
      </w:r>
      <w:r>
        <w:t>poignantes</w:t>
      </w:r>
      <w:r w:rsidRPr="002C4077">
        <w:t xml:space="preserve"> </w:t>
      </w:r>
      <w:r>
        <w:t>angoisses.</w:t>
      </w:r>
      <w:r w:rsidRPr="002C4077">
        <w:t xml:space="preserve"> </w:t>
      </w:r>
      <w:r>
        <w:t>Suidas</w:t>
      </w:r>
      <w:r w:rsidRPr="002C4077">
        <w:t xml:space="preserve"> </w:t>
      </w:r>
      <w:r>
        <w:t>explique</w:t>
      </w:r>
      <w:r w:rsidRPr="002C4077">
        <w:t xml:space="preserve"> </w:t>
      </w:r>
      <w:r>
        <w:t>ce</w:t>
      </w:r>
      <w:r w:rsidRPr="002C4077">
        <w:t xml:space="preserve"> </w:t>
      </w:r>
      <w:r w:rsidRPr="006E7907">
        <w:t>mot</w:t>
      </w:r>
      <w:r w:rsidRPr="002C4077">
        <w:t xml:space="preserve"> </w:t>
      </w:r>
      <w:r w:rsidRPr="006E7907">
        <w:t>par</w:t>
      </w:r>
      <w:r w:rsidRPr="002C4077">
        <w:t xml:space="preserve"> </w:t>
      </w:r>
      <w:r w:rsidR="006E7907" w:rsidRPr="006E7907">
        <w:t>λίαν</w:t>
      </w:r>
      <w:r w:rsidR="006E7907" w:rsidRPr="002C4077">
        <w:t xml:space="preserve"> </w:t>
      </w:r>
      <w:r w:rsidR="006E7907" w:rsidRPr="006E7907">
        <w:t>λυπεῖσθαι,</w:t>
      </w:r>
      <w:r w:rsidR="006E7907" w:rsidRPr="002C4077">
        <w:t xml:space="preserve"> </w:t>
      </w:r>
      <w:r w:rsidR="006E7907" w:rsidRPr="006E7907">
        <w:t>ἀπορε</w:t>
      </w:r>
      <w:r w:rsidR="006E7907">
        <w:t>ῖ</w:t>
      </w:r>
      <w:r w:rsidR="006E7907" w:rsidRPr="006E7907">
        <w:t>ν</w:t>
      </w:r>
      <w:r>
        <w:t>,</w:t>
      </w:r>
      <w:r w:rsidRPr="002C4077">
        <w:t xml:space="preserve"> </w:t>
      </w:r>
      <w:r>
        <w:t>être</w:t>
      </w:r>
      <w:r w:rsidRPr="002C4077">
        <w:t xml:space="preserve"> </w:t>
      </w:r>
      <w:r>
        <w:t>extrêmement</w:t>
      </w:r>
      <w:r w:rsidRPr="002C4077">
        <w:t xml:space="preserve"> </w:t>
      </w:r>
      <w:r>
        <w:t>affligé,</w:t>
      </w:r>
      <w:r w:rsidRPr="002C4077">
        <w:t xml:space="preserve"> </w:t>
      </w:r>
      <w:r>
        <w:t>n’en</w:t>
      </w:r>
      <w:r w:rsidRPr="002C4077">
        <w:t xml:space="preserve"> </w:t>
      </w:r>
      <w:r>
        <w:t>pouvoir</w:t>
      </w:r>
      <w:r w:rsidRPr="002C4077">
        <w:t xml:space="preserve"> </w:t>
      </w:r>
      <w:r>
        <w:t>plus</w:t>
      </w:r>
      <w:r w:rsidR="00B546AF">
        <w:t> ;</w:t>
      </w:r>
      <w:r w:rsidRPr="002C4077">
        <w:t xml:space="preserve"> </w:t>
      </w:r>
      <w:r>
        <w:t>Euthymius</w:t>
      </w:r>
      <w:r w:rsidRPr="002C4077">
        <w:t xml:space="preserve"> </w:t>
      </w:r>
      <w:r>
        <w:t>par</w:t>
      </w:r>
      <w:r w:rsidRPr="002C4077">
        <w:t xml:space="preserve"> </w:t>
      </w:r>
      <w:r w:rsidR="006E7907">
        <w:t>βαρυθυμεῖ</w:t>
      </w:r>
      <w:r w:rsidR="006E7907" w:rsidRPr="006E7907">
        <w:t>ν,</w:t>
      </w:r>
      <w:r w:rsidR="006E7907" w:rsidRPr="002C4077">
        <w:t xml:space="preserve"> </w:t>
      </w:r>
      <w:r w:rsidR="006E7907" w:rsidRPr="006E7907">
        <w:t>avoir</w:t>
      </w:r>
      <w:r w:rsidR="006E7907" w:rsidRPr="002C4077">
        <w:t xml:space="preserve"> </w:t>
      </w:r>
      <w:r w:rsidR="006E7907" w:rsidRPr="006E7907">
        <w:t>l’âme</w:t>
      </w:r>
      <w:r w:rsidR="006E7907" w:rsidRPr="002C4077">
        <w:t xml:space="preserve"> </w:t>
      </w:r>
      <w:r w:rsidR="006E7907" w:rsidRPr="006E7907">
        <w:t>lourde.</w:t>
      </w:r>
      <w:r w:rsidR="006E7907" w:rsidRPr="002C4077">
        <w:t xml:space="preserve"> </w:t>
      </w:r>
      <w:r w:rsidR="006E7907" w:rsidRPr="006E7907">
        <w:t>Ἐ</w:t>
      </w:r>
      <w:r w:rsidR="006E7907">
        <w:t>κ</w:t>
      </w:r>
      <w:r w:rsidR="006E7907" w:rsidRPr="006E7907">
        <w:t>θαμβεῖσθαι</w:t>
      </w:r>
      <w:r w:rsidRPr="002C4077">
        <w:t xml:space="preserve"> </w:t>
      </w:r>
      <w:r>
        <w:t>désigne</w:t>
      </w:r>
      <w:r w:rsidRPr="002C4077">
        <w:t xml:space="preserve"> </w:t>
      </w:r>
      <w:r>
        <w:t>cet</w:t>
      </w:r>
      <w:r w:rsidRPr="002C4077">
        <w:t xml:space="preserve"> </w:t>
      </w:r>
      <w:r>
        <w:t>horrible</w:t>
      </w:r>
      <w:r w:rsidRPr="002C4077">
        <w:t xml:space="preserve"> </w:t>
      </w:r>
      <w:r>
        <w:t>et</w:t>
      </w:r>
      <w:r w:rsidRPr="002C4077">
        <w:t xml:space="preserve"> </w:t>
      </w:r>
      <w:r>
        <w:t>irrésistible</w:t>
      </w:r>
      <w:r w:rsidRPr="002C4077">
        <w:t xml:space="preserve"> </w:t>
      </w:r>
      <w:r>
        <w:t>effroi</w:t>
      </w:r>
      <w:r w:rsidRPr="002C4077">
        <w:t xml:space="preserve"> </w:t>
      </w:r>
      <w:r>
        <w:t>par</w:t>
      </w:r>
      <w:r w:rsidRPr="002C4077">
        <w:t xml:space="preserve"> </w:t>
      </w:r>
      <w:r>
        <w:t>lequel,</w:t>
      </w:r>
      <w:r w:rsidRPr="002C4077">
        <w:t xml:space="preserve"> </w:t>
      </w:r>
      <w:r>
        <w:t>suivant</w:t>
      </w:r>
      <w:r w:rsidRPr="002C4077">
        <w:t xml:space="preserve"> </w:t>
      </w:r>
      <w:r>
        <w:t>la</w:t>
      </w:r>
      <w:r w:rsidRPr="002C4077">
        <w:t xml:space="preserve"> </w:t>
      </w:r>
      <w:r>
        <w:t>belle</w:t>
      </w:r>
      <w:r w:rsidRPr="002C4077">
        <w:t xml:space="preserve"> </w:t>
      </w:r>
      <w:r>
        <w:t>pensée</w:t>
      </w:r>
      <w:r w:rsidRPr="002C4077">
        <w:t xml:space="preserve"> </w:t>
      </w:r>
      <w:r>
        <w:t>de</w:t>
      </w:r>
      <w:r w:rsidRPr="002C4077">
        <w:t xml:space="preserve"> </w:t>
      </w:r>
      <w:r>
        <w:t>S.</w:t>
      </w:r>
      <w:r w:rsidRPr="002C4077">
        <w:t xml:space="preserve"> </w:t>
      </w:r>
      <w:r w:rsidR="00F44410">
        <w:t>Justin</w:t>
      </w:r>
      <w:r w:rsidR="00F44410">
        <w:rPr>
          <w:rStyle w:val="Appelnotedebasdep"/>
        </w:rPr>
        <w:footnoteReference w:id="368"/>
      </w:r>
      <w:r>
        <w:t>,</w:t>
      </w:r>
      <w:r w:rsidRPr="002C4077">
        <w:t xml:space="preserve"> </w:t>
      </w:r>
      <w:r w:rsidR="00B546AF">
        <w:t>« </w:t>
      </w:r>
      <w:r>
        <w:t>tout</w:t>
      </w:r>
      <w:r w:rsidRPr="002C4077">
        <w:t xml:space="preserve"> </w:t>
      </w:r>
      <w:r>
        <w:t>dans</w:t>
      </w:r>
      <w:r w:rsidRPr="002C4077">
        <w:t xml:space="preserve"> </w:t>
      </w:r>
      <w:r w:rsidR="00425C50">
        <w:t>Jésus</w:t>
      </w:r>
      <w:r w:rsidRPr="002C4077">
        <w:t xml:space="preserve"> </w:t>
      </w:r>
      <w:r>
        <w:t>était</w:t>
      </w:r>
      <w:r w:rsidRPr="002C4077">
        <w:t xml:space="preserve"> </w:t>
      </w:r>
      <w:r>
        <w:t>paralysé,</w:t>
      </w:r>
      <w:r w:rsidRPr="002C4077">
        <w:t xml:space="preserve"> </w:t>
      </w:r>
      <w:r>
        <w:t>comme</w:t>
      </w:r>
      <w:r w:rsidRPr="002C4077">
        <w:t xml:space="preserve"> </w:t>
      </w:r>
      <w:r>
        <w:t>autrefois</w:t>
      </w:r>
      <w:r w:rsidRPr="002C4077">
        <w:t xml:space="preserve"> </w:t>
      </w:r>
      <w:r>
        <w:t>la</w:t>
      </w:r>
      <w:r w:rsidRPr="002C4077">
        <w:t xml:space="preserve"> </w:t>
      </w:r>
      <w:r>
        <w:t>force</w:t>
      </w:r>
      <w:r w:rsidRPr="002C4077">
        <w:t xml:space="preserve"> </w:t>
      </w:r>
      <w:r>
        <w:t>de</w:t>
      </w:r>
      <w:r w:rsidRPr="002C4077">
        <w:t xml:space="preserve"> </w:t>
      </w:r>
      <w:r>
        <w:t>Jacob</w:t>
      </w:r>
      <w:r w:rsidRPr="002C4077">
        <w:t xml:space="preserve"> </w:t>
      </w:r>
      <w:r>
        <w:t>sous</w:t>
      </w:r>
      <w:r w:rsidRPr="002C4077">
        <w:t xml:space="preserve"> </w:t>
      </w:r>
      <w:r>
        <w:t>la</w:t>
      </w:r>
      <w:r w:rsidRPr="002C4077">
        <w:t xml:space="preserve"> </w:t>
      </w:r>
      <w:r>
        <w:t>main</w:t>
      </w:r>
      <w:r w:rsidRPr="002C4077">
        <w:t xml:space="preserve"> </w:t>
      </w:r>
      <w:r>
        <w:t>mystérieuse</w:t>
      </w:r>
      <w:r w:rsidRPr="002C4077">
        <w:t xml:space="preserve"> </w:t>
      </w:r>
      <w:r>
        <w:t>de</w:t>
      </w:r>
      <w:r w:rsidRPr="002C4077">
        <w:t xml:space="preserve"> </w:t>
      </w:r>
      <w:r>
        <w:t>l’ange</w:t>
      </w:r>
      <w:r w:rsidR="00B546AF">
        <w:t> »</w:t>
      </w:r>
      <w:r>
        <w:t>.</w:t>
      </w:r>
      <w:r w:rsidRPr="002C4077">
        <w:t xml:space="preserve"> </w:t>
      </w:r>
      <w:r>
        <w:t>Et</w:t>
      </w:r>
      <w:r w:rsidRPr="002C4077">
        <w:t xml:space="preserve"> </w:t>
      </w:r>
      <w:r>
        <w:t>le</w:t>
      </w:r>
      <w:r w:rsidRPr="002C4077">
        <w:t xml:space="preserve"> </w:t>
      </w:r>
      <w:r>
        <w:t>Sauveur</w:t>
      </w:r>
      <w:r w:rsidRPr="002C4077">
        <w:t xml:space="preserve"> </w:t>
      </w:r>
      <w:r>
        <w:t>ne</w:t>
      </w:r>
      <w:r w:rsidRPr="002C4077">
        <w:t xml:space="preserve"> </w:t>
      </w:r>
      <w:r>
        <w:t>disait-il</w:t>
      </w:r>
      <w:r w:rsidRPr="002C4077">
        <w:t xml:space="preserve"> </w:t>
      </w:r>
      <w:r>
        <w:t>pas</w:t>
      </w:r>
      <w:r w:rsidRPr="002C4077">
        <w:t xml:space="preserve"> </w:t>
      </w:r>
      <w:r>
        <w:t>lui-même,</w:t>
      </w:r>
      <w:r w:rsidRPr="002C4077">
        <w:t xml:space="preserve"> </w:t>
      </w:r>
      <w:r>
        <w:t>au</w:t>
      </w:r>
      <w:r w:rsidRPr="002C4077">
        <w:t xml:space="preserve"> </w:t>
      </w:r>
      <w:r>
        <w:t>début</w:t>
      </w:r>
      <w:r w:rsidRPr="002C4077">
        <w:t xml:space="preserve"> </w:t>
      </w:r>
      <w:r>
        <w:t>de</w:t>
      </w:r>
      <w:r w:rsidRPr="002C4077">
        <w:t xml:space="preserve"> </w:t>
      </w:r>
      <w:r>
        <w:t>son</w:t>
      </w:r>
      <w:r w:rsidRPr="002C4077">
        <w:t xml:space="preserve"> </w:t>
      </w:r>
      <w:r>
        <w:t>agonie</w:t>
      </w:r>
      <w:r w:rsidR="00B546AF">
        <w:t> :</w:t>
      </w:r>
      <w:r w:rsidRPr="002C4077">
        <w:t xml:space="preserve"> </w:t>
      </w:r>
      <w:r w:rsidRPr="000A34B5">
        <w:rPr>
          <w:rStyle w:val="italicus"/>
        </w:rPr>
        <w:t>Tristis</w:t>
      </w:r>
      <w:r w:rsidRPr="002C4077">
        <w:t xml:space="preserve"> </w:t>
      </w:r>
      <w:r w:rsidR="00425C50">
        <w:rPr>
          <w:rStyle w:val="italicus"/>
        </w:rPr>
        <w:t>est</w:t>
      </w:r>
      <w:r w:rsidRPr="002C4077">
        <w:t xml:space="preserve"> </w:t>
      </w:r>
      <w:r w:rsidRPr="000A34B5">
        <w:rPr>
          <w:rStyle w:val="italicus"/>
        </w:rPr>
        <w:t>anima</w:t>
      </w:r>
      <w:r w:rsidRPr="002C4077">
        <w:t xml:space="preserve"> </w:t>
      </w:r>
      <w:r w:rsidRPr="000A34B5">
        <w:rPr>
          <w:rStyle w:val="italicus"/>
        </w:rPr>
        <w:t>mea</w:t>
      </w:r>
      <w:r w:rsidRPr="002C4077">
        <w:t xml:space="preserve"> </w:t>
      </w:r>
      <w:r w:rsidRPr="000A34B5">
        <w:rPr>
          <w:rStyle w:val="italicus"/>
        </w:rPr>
        <w:t>usque</w:t>
      </w:r>
      <w:r w:rsidRPr="002C4077">
        <w:t xml:space="preserve"> </w:t>
      </w:r>
      <w:r w:rsidRPr="000A34B5">
        <w:rPr>
          <w:rStyle w:val="italicus"/>
        </w:rPr>
        <w:t>ad</w:t>
      </w:r>
      <w:r w:rsidRPr="002C4077">
        <w:t xml:space="preserve"> </w:t>
      </w:r>
      <w:r w:rsidRPr="000A34B5">
        <w:rPr>
          <w:rStyle w:val="italicus"/>
        </w:rPr>
        <w:t>mortem</w:t>
      </w:r>
      <w:r w:rsidR="00B546AF">
        <w:rPr>
          <w:rStyle w:val="italicus"/>
        </w:rPr>
        <w:t> </w:t>
      </w:r>
      <w:r w:rsidR="00B546AF" w:rsidRPr="000A34B5">
        <w:rPr>
          <w:rStyle w:val="italicus"/>
        </w:rPr>
        <w:t>?</w:t>
      </w:r>
      <w:r w:rsidR="006E7907">
        <w:rPr>
          <w:rStyle w:val="Appelnotedebasdep"/>
          <w:i/>
        </w:rPr>
        <w:footnoteReference w:id="369"/>
      </w:r>
      <w:r w:rsidRPr="002C4077">
        <w:t xml:space="preserve"> </w:t>
      </w:r>
      <w:r>
        <w:t>Ah</w:t>
      </w:r>
      <w:r w:rsidR="00B546AF">
        <w:t> !</w:t>
      </w:r>
      <w:r w:rsidRPr="002C4077">
        <w:t xml:space="preserve"> </w:t>
      </w:r>
      <w:r>
        <w:t>si</w:t>
      </w:r>
      <w:r w:rsidRPr="002C4077">
        <w:t xml:space="preserve"> </w:t>
      </w:r>
      <w:r>
        <w:t>vous</w:t>
      </w:r>
      <w:r w:rsidRPr="002C4077">
        <w:t xml:space="preserve"> </w:t>
      </w:r>
      <w:r>
        <w:t>en</w:t>
      </w:r>
      <w:r w:rsidRPr="002C4077">
        <w:t xml:space="preserve"> </w:t>
      </w:r>
      <w:r>
        <w:t>avez</w:t>
      </w:r>
      <w:r w:rsidRPr="002C4077">
        <w:t xml:space="preserve"> </w:t>
      </w:r>
      <w:r>
        <w:t>le</w:t>
      </w:r>
      <w:r w:rsidRPr="002C4077">
        <w:t xml:space="preserve"> </w:t>
      </w:r>
      <w:r>
        <w:t>courage,</w:t>
      </w:r>
      <w:r w:rsidRPr="002C4077">
        <w:t xml:space="preserve"> </w:t>
      </w:r>
      <w:r>
        <w:t>en</w:t>
      </w:r>
      <w:r w:rsidRPr="002C4077">
        <w:t xml:space="preserve"> </w:t>
      </w:r>
      <w:r>
        <w:t>face</w:t>
      </w:r>
      <w:r w:rsidRPr="002C4077">
        <w:t xml:space="preserve"> </w:t>
      </w:r>
      <w:r>
        <w:t>des</w:t>
      </w:r>
      <w:r w:rsidRPr="002C4077">
        <w:t xml:space="preserve"> </w:t>
      </w:r>
      <w:r>
        <w:t>humiliations</w:t>
      </w:r>
      <w:r w:rsidRPr="002C4077">
        <w:t xml:space="preserve"> </w:t>
      </w:r>
      <w:r>
        <w:t>volontaires</w:t>
      </w:r>
      <w:r w:rsidRPr="002C4077">
        <w:t xml:space="preserve"> </w:t>
      </w:r>
      <w:r>
        <w:t>du</w:t>
      </w:r>
      <w:r w:rsidRPr="002C4077">
        <w:t xml:space="preserve"> </w:t>
      </w:r>
      <w:r>
        <w:t>Fils</w:t>
      </w:r>
      <w:r w:rsidRPr="002C4077">
        <w:t xml:space="preserve"> </w:t>
      </w:r>
      <w:r>
        <w:t>de</w:t>
      </w:r>
      <w:r w:rsidRPr="002C4077">
        <w:t xml:space="preserve"> </w:t>
      </w:r>
      <w:r>
        <w:t>l’homme,</w:t>
      </w:r>
      <w:r w:rsidRPr="002C4077">
        <w:t xml:space="preserve"> </w:t>
      </w:r>
      <w:r>
        <w:t>rappelez-vous</w:t>
      </w:r>
      <w:r w:rsidRPr="002C4077">
        <w:t xml:space="preserve"> </w:t>
      </w:r>
      <w:r w:rsidR="00B546AF">
        <w:t>« </w:t>
      </w:r>
      <w:r>
        <w:t>les</w:t>
      </w:r>
      <w:r w:rsidRPr="002C4077">
        <w:t xml:space="preserve"> </w:t>
      </w:r>
      <w:r>
        <w:t>grands</w:t>
      </w:r>
      <w:r w:rsidRPr="002C4077">
        <w:t xml:space="preserve"> </w:t>
      </w:r>
      <w:r>
        <w:t>modèles</w:t>
      </w:r>
      <w:r w:rsidRPr="002C4077">
        <w:t xml:space="preserve"> </w:t>
      </w:r>
      <w:r>
        <w:t>d’un</w:t>
      </w:r>
      <w:r w:rsidRPr="002C4077">
        <w:t xml:space="preserve"> </w:t>
      </w:r>
      <w:r>
        <w:t>Socrate</w:t>
      </w:r>
      <w:r w:rsidRPr="002C4077">
        <w:t xml:space="preserve"> </w:t>
      </w:r>
      <w:r>
        <w:t>expirant</w:t>
      </w:r>
      <w:r w:rsidRPr="002C4077">
        <w:t xml:space="preserve"> </w:t>
      </w:r>
      <w:r>
        <w:t>et</w:t>
      </w:r>
      <w:r w:rsidRPr="002C4077">
        <w:t xml:space="preserve"> </w:t>
      </w:r>
      <w:r>
        <w:t>d’autres</w:t>
      </w:r>
      <w:r w:rsidRPr="002C4077">
        <w:t xml:space="preserve"> </w:t>
      </w:r>
      <w:r>
        <w:t>sages</w:t>
      </w:r>
      <w:r w:rsidRPr="002C4077">
        <w:t xml:space="preserve"> </w:t>
      </w:r>
      <w:r>
        <w:t>païens</w:t>
      </w:r>
      <w:r w:rsidR="00B91AF7">
        <w:rPr>
          <w:rStyle w:val="Appelnotedebasdep"/>
        </w:rPr>
        <w:footnoteReference w:id="370"/>
      </w:r>
      <w:r w:rsidR="00B546AF">
        <w:t> » ;</w:t>
      </w:r>
      <w:r w:rsidRPr="002C4077">
        <w:t xml:space="preserve"> </w:t>
      </w:r>
      <w:r>
        <w:t>accusez</w:t>
      </w:r>
      <w:r w:rsidRPr="002C4077">
        <w:t xml:space="preserve"> </w:t>
      </w:r>
      <w:r>
        <w:t>cet</w:t>
      </w:r>
      <w:r w:rsidRPr="002C4077">
        <w:t xml:space="preserve"> </w:t>
      </w:r>
      <w:r w:rsidR="00B546AF">
        <w:t>« </w:t>
      </w:r>
      <w:r>
        <w:t>homme</w:t>
      </w:r>
      <w:r w:rsidRPr="002C4077">
        <w:t xml:space="preserve"> </w:t>
      </w:r>
      <w:r>
        <w:t>de</w:t>
      </w:r>
      <w:r w:rsidRPr="002C4077">
        <w:t xml:space="preserve"> </w:t>
      </w:r>
      <w:r>
        <w:t>douleurs</w:t>
      </w:r>
      <w:r w:rsidR="00B91AF7">
        <w:rPr>
          <w:rStyle w:val="Appelnotedebasdep"/>
        </w:rPr>
        <w:footnoteReference w:id="371"/>
      </w:r>
      <w:r w:rsidR="00B546AF">
        <w:t> »</w:t>
      </w:r>
      <w:r>
        <w:t>d’être</w:t>
      </w:r>
      <w:r w:rsidRPr="002C4077">
        <w:t xml:space="preserve"> </w:t>
      </w:r>
      <w:r>
        <w:t>faible</w:t>
      </w:r>
      <w:r w:rsidRPr="002C4077">
        <w:t xml:space="preserve"> </w:t>
      </w:r>
      <w:r>
        <w:t>et</w:t>
      </w:r>
      <w:r w:rsidRPr="002C4077">
        <w:t xml:space="preserve"> </w:t>
      </w:r>
      <w:r>
        <w:t>lâche</w:t>
      </w:r>
      <w:r w:rsidRPr="002C4077">
        <w:t xml:space="preserve"> </w:t>
      </w:r>
      <w:r>
        <w:t>parce</w:t>
      </w:r>
      <w:r w:rsidRPr="002C4077">
        <w:t xml:space="preserve"> </w:t>
      </w:r>
      <w:r>
        <w:t>qu’il</w:t>
      </w:r>
      <w:r w:rsidRPr="002C4077">
        <w:t xml:space="preserve"> </w:t>
      </w:r>
      <w:r>
        <w:t>ne</w:t>
      </w:r>
      <w:r w:rsidRPr="002C4077">
        <w:t xml:space="preserve"> </w:t>
      </w:r>
      <w:r>
        <w:t>manifeste</w:t>
      </w:r>
      <w:r w:rsidRPr="002C4077">
        <w:t xml:space="preserve"> </w:t>
      </w:r>
      <w:r>
        <w:t>pas</w:t>
      </w:r>
      <w:r w:rsidRPr="002C4077">
        <w:t xml:space="preserve"> </w:t>
      </w:r>
      <w:r>
        <w:t>une</w:t>
      </w:r>
      <w:r w:rsidRPr="002C4077">
        <w:t xml:space="preserve"> </w:t>
      </w:r>
      <w:r>
        <w:t>orgueilleuse</w:t>
      </w:r>
      <w:r w:rsidRPr="002C4077">
        <w:t xml:space="preserve"> </w:t>
      </w:r>
      <w:r>
        <w:t>insensibilité.</w:t>
      </w:r>
      <w:r w:rsidRPr="002C4077">
        <w:t xml:space="preserve"> </w:t>
      </w:r>
      <w:r>
        <w:t>Pour</w:t>
      </w:r>
      <w:r w:rsidRPr="002C4077">
        <w:t xml:space="preserve"> </w:t>
      </w:r>
      <w:r>
        <w:t>nous,</w:t>
      </w:r>
      <w:r w:rsidRPr="002C4077">
        <w:t xml:space="preserve"> </w:t>
      </w:r>
      <w:r>
        <w:t>avec</w:t>
      </w:r>
      <w:r w:rsidRPr="002C4077">
        <w:t xml:space="preserve"> </w:t>
      </w:r>
      <w:r>
        <w:t>Bourdaloue,</w:t>
      </w:r>
      <w:r w:rsidRPr="002C4077">
        <w:t xml:space="preserve"> </w:t>
      </w:r>
      <w:r>
        <w:t>nous</w:t>
      </w:r>
      <w:r w:rsidRPr="002C4077">
        <w:t xml:space="preserve"> </w:t>
      </w:r>
      <w:r>
        <w:t>lui</w:t>
      </w:r>
      <w:r w:rsidRPr="002C4077">
        <w:t xml:space="preserve"> </w:t>
      </w:r>
      <w:r>
        <w:t>dirons</w:t>
      </w:r>
      <w:r w:rsidRPr="002C4077">
        <w:t xml:space="preserve"> </w:t>
      </w:r>
      <w:r>
        <w:t>respectueusement</w:t>
      </w:r>
      <w:r w:rsidR="00B546AF">
        <w:t> :</w:t>
      </w:r>
      <w:r w:rsidRPr="002C4077">
        <w:t xml:space="preserve"> </w:t>
      </w:r>
      <w:r w:rsidR="00B546AF">
        <w:t>« </w:t>
      </w:r>
      <w:r>
        <w:t>Seigneur,</w:t>
      </w:r>
      <w:r w:rsidRPr="002C4077">
        <w:t xml:space="preserve"> </w:t>
      </w:r>
      <w:r>
        <w:t>votre</w:t>
      </w:r>
      <w:r w:rsidRPr="002C4077">
        <w:t xml:space="preserve"> </w:t>
      </w:r>
      <w:r>
        <w:t>douleur</w:t>
      </w:r>
      <w:r w:rsidRPr="002C4077">
        <w:t xml:space="preserve"> </w:t>
      </w:r>
      <w:r w:rsidR="00425C50">
        <w:t>est</w:t>
      </w:r>
      <w:r w:rsidRPr="002C4077">
        <w:t xml:space="preserve"> </w:t>
      </w:r>
      <w:r>
        <w:t>comme</w:t>
      </w:r>
      <w:r w:rsidRPr="002C4077">
        <w:t xml:space="preserve"> </w:t>
      </w:r>
      <w:r>
        <w:t>une</w:t>
      </w:r>
      <w:r w:rsidRPr="002C4077">
        <w:t xml:space="preserve"> </w:t>
      </w:r>
      <w:r>
        <w:t>vaste</w:t>
      </w:r>
      <w:r w:rsidRPr="002C4077">
        <w:t xml:space="preserve"> </w:t>
      </w:r>
      <w:r>
        <w:t>mer,</w:t>
      </w:r>
      <w:r w:rsidRPr="002C4077">
        <w:t xml:space="preserve"> </w:t>
      </w:r>
      <w:r>
        <w:t>dont</w:t>
      </w:r>
      <w:r w:rsidRPr="002C4077">
        <w:t xml:space="preserve"> </w:t>
      </w:r>
      <w:r>
        <w:t>on</w:t>
      </w:r>
      <w:r w:rsidRPr="002C4077">
        <w:t xml:space="preserve"> </w:t>
      </w:r>
      <w:r>
        <w:t>ne</w:t>
      </w:r>
      <w:r w:rsidRPr="002C4077">
        <w:t xml:space="preserve"> </w:t>
      </w:r>
      <w:r>
        <w:t>peut</w:t>
      </w:r>
      <w:r w:rsidRPr="002C4077">
        <w:t xml:space="preserve"> </w:t>
      </w:r>
      <w:r>
        <w:t>sonder</w:t>
      </w:r>
      <w:r w:rsidRPr="002C4077">
        <w:t xml:space="preserve"> </w:t>
      </w:r>
      <w:r>
        <w:t>le</w:t>
      </w:r>
      <w:r w:rsidRPr="002C4077">
        <w:t xml:space="preserve"> </w:t>
      </w:r>
      <w:r>
        <w:t>fond,</w:t>
      </w:r>
      <w:r w:rsidRPr="002C4077">
        <w:t xml:space="preserve"> </w:t>
      </w:r>
      <w:r>
        <w:t>ni</w:t>
      </w:r>
      <w:r w:rsidRPr="002C4077">
        <w:t xml:space="preserve"> </w:t>
      </w:r>
      <w:r>
        <w:t>mesurer</w:t>
      </w:r>
      <w:r w:rsidRPr="002C4077">
        <w:t xml:space="preserve"> </w:t>
      </w:r>
      <w:r>
        <w:t>l’immensité…</w:t>
      </w:r>
      <w:r w:rsidRPr="002C4077">
        <w:t xml:space="preserve"> </w:t>
      </w:r>
      <w:r>
        <w:t>Faut-il</w:t>
      </w:r>
      <w:r w:rsidRPr="002C4077">
        <w:t xml:space="preserve"> </w:t>
      </w:r>
      <w:r>
        <w:t>s’étonner</w:t>
      </w:r>
      <w:r w:rsidRPr="002C4077">
        <w:t xml:space="preserve"> </w:t>
      </w:r>
      <w:r>
        <w:t>si</w:t>
      </w:r>
      <w:r w:rsidRPr="002C4077">
        <w:t xml:space="preserve"> </w:t>
      </w:r>
      <w:r>
        <w:t>tout</w:t>
      </w:r>
      <w:r w:rsidRPr="002C4077">
        <w:t xml:space="preserve"> </w:t>
      </w:r>
      <w:r>
        <w:t>cela,</w:t>
      </w:r>
      <w:r w:rsidRPr="002C4077">
        <w:t xml:space="preserve"> </w:t>
      </w:r>
      <w:r>
        <w:t>suivant</w:t>
      </w:r>
      <w:r w:rsidRPr="002C4077">
        <w:t xml:space="preserve"> </w:t>
      </w:r>
      <w:r>
        <w:t>la</w:t>
      </w:r>
      <w:r w:rsidRPr="002C4077">
        <w:t xml:space="preserve"> </w:t>
      </w:r>
      <w:r>
        <w:t>métaphore</w:t>
      </w:r>
      <w:r w:rsidRPr="002C4077">
        <w:t xml:space="preserve"> </w:t>
      </w:r>
      <w:r>
        <w:t>du</w:t>
      </w:r>
      <w:r w:rsidRPr="002C4077">
        <w:t xml:space="preserve"> </w:t>
      </w:r>
      <w:r>
        <w:t>Saint-Esprit,</w:t>
      </w:r>
      <w:r w:rsidRPr="002C4077">
        <w:t xml:space="preserve"> </w:t>
      </w:r>
      <w:r>
        <w:t>ayant</w:t>
      </w:r>
      <w:r w:rsidRPr="002C4077">
        <w:t xml:space="preserve"> </w:t>
      </w:r>
      <w:r>
        <w:t>formé</w:t>
      </w:r>
      <w:r w:rsidRPr="002C4077">
        <w:t xml:space="preserve"> </w:t>
      </w:r>
      <w:r>
        <w:t>un</w:t>
      </w:r>
      <w:r w:rsidRPr="002C4077">
        <w:t xml:space="preserve"> </w:t>
      </w:r>
      <w:r>
        <w:t>déluge</w:t>
      </w:r>
      <w:r w:rsidRPr="002C4077">
        <w:t xml:space="preserve"> </w:t>
      </w:r>
      <w:r>
        <w:t>d’eaux</w:t>
      </w:r>
      <w:r w:rsidRPr="002C4077">
        <w:t xml:space="preserve"> </w:t>
      </w:r>
      <w:r>
        <w:t>dans</w:t>
      </w:r>
      <w:r w:rsidRPr="002C4077">
        <w:t xml:space="preserve"> </w:t>
      </w:r>
      <w:r>
        <w:t>votre</w:t>
      </w:r>
      <w:r w:rsidRPr="002C4077">
        <w:t xml:space="preserve"> </w:t>
      </w:r>
      <w:r>
        <w:t>âme</w:t>
      </w:r>
      <w:r w:rsidRPr="002C4077">
        <w:t xml:space="preserve"> </w:t>
      </w:r>
      <w:r>
        <w:t>bienheureuse,</w:t>
      </w:r>
      <w:r w:rsidRPr="002C4077">
        <w:t xml:space="preserve"> </w:t>
      </w:r>
      <w:r>
        <w:t>elle</w:t>
      </w:r>
      <w:r w:rsidRPr="002C4077">
        <w:t xml:space="preserve"> </w:t>
      </w:r>
      <w:r>
        <w:t>en</w:t>
      </w:r>
      <w:r w:rsidRPr="002C4077">
        <w:t xml:space="preserve"> </w:t>
      </w:r>
      <w:r>
        <w:t>demeure</w:t>
      </w:r>
      <w:r w:rsidRPr="002C4077">
        <w:t xml:space="preserve"> </w:t>
      </w:r>
      <w:r>
        <w:t>comme</w:t>
      </w:r>
      <w:r w:rsidRPr="002C4077">
        <w:t xml:space="preserve"> </w:t>
      </w:r>
      <w:r>
        <w:t>absorbée</w:t>
      </w:r>
      <w:r w:rsidR="00B546AF">
        <w:t> ?</w:t>
      </w:r>
      <w:r w:rsidR="00B91AF7">
        <w:rPr>
          <w:rStyle w:val="Appelnotedebasdep"/>
        </w:rPr>
        <w:footnoteReference w:id="372"/>
      </w:r>
      <w:r w:rsidR="00B546AF">
        <w:t> »</w:t>
      </w:r>
      <w:r w:rsidR="00C45B47">
        <w:t xml:space="preserve"> {</w:t>
      </w:r>
      <w:r w:rsidR="004C5B7A">
        <w:t>116</w:t>
      </w:r>
      <w:bookmarkStart w:id="334" w:name="p116"/>
      <w:bookmarkEnd w:id="334"/>
      <w:r w:rsidR="004C5B7A">
        <w:t xml:space="preserve">} </w:t>
      </w:r>
    </w:p>
    <w:p w:rsidR="000A7AAB" w:rsidRDefault="00425C50" w:rsidP="000A7AAB">
      <w:r>
        <w:t>Jésus</w:t>
      </w:r>
      <w:r w:rsidR="000A7AAB" w:rsidRPr="002C4077">
        <w:t xml:space="preserve"> </w:t>
      </w:r>
      <w:r w:rsidR="000A7AAB">
        <w:t>aurait-il</w:t>
      </w:r>
      <w:r w:rsidR="000A7AAB" w:rsidRPr="002C4077">
        <w:t xml:space="preserve"> </w:t>
      </w:r>
      <w:r w:rsidR="000A7AAB">
        <w:t>donc</w:t>
      </w:r>
      <w:r w:rsidR="000A7AAB" w:rsidRPr="002C4077">
        <w:t xml:space="preserve"> </w:t>
      </w:r>
      <w:r w:rsidR="000A7AAB">
        <w:t>tremblé</w:t>
      </w:r>
      <w:r w:rsidR="000A7AAB" w:rsidRPr="002C4077">
        <w:t xml:space="preserve"> </w:t>
      </w:r>
      <w:r w:rsidR="000A7AAB">
        <w:t>seulement</w:t>
      </w:r>
      <w:r w:rsidR="000A7AAB" w:rsidRPr="002C4077">
        <w:t xml:space="preserve"> </w:t>
      </w:r>
      <w:r w:rsidR="000A7AAB">
        <w:t>parce</w:t>
      </w:r>
      <w:r w:rsidR="000A7AAB" w:rsidRPr="002C4077">
        <w:t xml:space="preserve"> </w:t>
      </w:r>
      <w:r w:rsidR="000A7AAB">
        <w:t>qu’il</w:t>
      </w:r>
      <w:r w:rsidR="000A7AAB" w:rsidRPr="002C4077">
        <w:t xml:space="preserve"> </w:t>
      </w:r>
      <w:r w:rsidR="000A7AAB">
        <w:t>craignait</w:t>
      </w:r>
      <w:r w:rsidR="000A7AAB" w:rsidRPr="002C4077">
        <w:t xml:space="preserve"> </w:t>
      </w:r>
      <w:r w:rsidR="000A7AAB">
        <w:t>de</w:t>
      </w:r>
      <w:r w:rsidR="000A7AAB" w:rsidRPr="002C4077">
        <w:t xml:space="preserve"> </w:t>
      </w:r>
      <w:r w:rsidR="000A7AAB">
        <w:t>mourir</w:t>
      </w:r>
      <w:r w:rsidR="00B546AF">
        <w:t> ?</w:t>
      </w:r>
      <w:r w:rsidR="000A7AAB" w:rsidRPr="002C4077">
        <w:t xml:space="preserve"> </w:t>
      </w:r>
      <w:r w:rsidR="000A7AAB">
        <w:t>Sans</w:t>
      </w:r>
      <w:r w:rsidR="000A7AAB" w:rsidRPr="002C4077">
        <w:t xml:space="preserve"> </w:t>
      </w:r>
      <w:r w:rsidR="000A7AAB">
        <w:t>doute,</w:t>
      </w:r>
      <w:r w:rsidR="000A7AAB" w:rsidRPr="002C4077">
        <w:t xml:space="preserve"> </w:t>
      </w:r>
      <w:r w:rsidR="000A7AAB">
        <w:t>comme</w:t>
      </w:r>
      <w:r w:rsidR="000A7AAB" w:rsidRPr="002C4077">
        <w:t xml:space="preserve"> </w:t>
      </w:r>
      <w:r w:rsidR="000A7AAB">
        <w:t>l’écrit</w:t>
      </w:r>
      <w:r w:rsidR="000A7AAB" w:rsidRPr="002C4077">
        <w:t xml:space="preserve"> </w:t>
      </w:r>
      <w:r w:rsidR="000A7AAB">
        <w:t>le</w:t>
      </w:r>
      <w:r w:rsidR="000A7AAB" w:rsidRPr="002C4077">
        <w:t xml:space="preserve"> </w:t>
      </w:r>
      <w:r w:rsidR="000A7AAB">
        <w:t>prince</w:t>
      </w:r>
      <w:r w:rsidR="000A7AAB" w:rsidRPr="002C4077">
        <w:t xml:space="preserve"> </w:t>
      </w:r>
      <w:r w:rsidR="000A7AAB">
        <w:t>de</w:t>
      </w:r>
      <w:r w:rsidR="000A7AAB" w:rsidRPr="002C4077">
        <w:t xml:space="preserve"> </w:t>
      </w:r>
      <w:r w:rsidR="000A7AAB">
        <w:t>la</w:t>
      </w:r>
      <w:r w:rsidR="000A7AAB" w:rsidRPr="002C4077">
        <w:t xml:space="preserve"> </w:t>
      </w:r>
      <w:r w:rsidR="000A7AAB">
        <w:t>théologie,</w:t>
      </w:r>
      <w:r w:rsidR="000A7AAB" w:rsidRPr="002C4077">
        <w:t xml:space="preserve"> </w:t>
      </w:r>
      <w:r w:rsidR="000A7AAB">
        <w:t>la</w:t>
      </w:r>
      <w:r w:rsidR="000A7AAB" w:rsidRPr="002C4077">
        <w:t xml:space="preserve"> </w:t>
      </w:r>
      <w:r w:rsidR="000A7AAB">
        <w:t>mort,</w:t>
      </w:r>
      <w:r w:rsidR="000A7AAB" w:rsidRPr="002C4077">
        <w:t xml:space="preserve"> </w:t>
      </w:r>
      <w:r w:rsidR="000A7AAB">
        <w:t>et</w:t>
      </w:r>
      <w:r w:rsidR="000A7AAB" w:rsidRPr="002C4077">
        <w:t xml:space="preserve"> </w:t>
      </w:r>
      <w:r w:rsidR="000A7AAB">
        <w:t>surtout</w:t>
      </w:r>
      <w:r w:rsidR="000A7AAB" w:rsidRPr="002C4077">
        <w:t xml:space="preserve"> </w:t>
      </w:r>
      <w:r w:rsidR="000A7AAB">
        <w:t>la</w:t>
      </w:r>
      <w:r w:rsidR="000A7AAB" w:rsidRPr="002C4077">
        <w:t xml:space="preserve"> </w:t>
      </w:r>
      <w:r w:rsidR="000A7AAB">
        <w:t>mort</w:t>
      </w:r>
      <w:r w:rsidR="000A7AAB" w:rsidRPr="002C4077">
        <w:t xml:space="preserve"> </w:t>
      </w:r>
      <w:r w:rsidR="000A7AAB">
        <w:t>cruelle</w:t>
      </w:r>
      <w:r w:rsidR="000A7AAB" w:rsidRPr="002C4077">
        <w:t xml:space="preserve"> </w:t>
      </w:r>
      <w:r w:rsidR="000A7AAB">
        <w:t>qu’il</w:t>
      </w:r>
      <w:r w:rsidR="000A7AAB" w:rsidRPr="002C4077">
        <w:t xml:space="preserve"> </w:t>
      </w:r>
      <w:r w:rsidR="000A7AAB">
        <w:t>savait</w:t>
      </w:r>
      <w:r w:rsidR="000A7AAB" w:rsidRPr="002C4077">
        <w:t xml:space="preserve"> </w:t>
      </w:r>
      <w:r w:rsidR="000A7AAB">
        <w:t>lui</w:t>
      </w:r>
      <w:r w:rsidR="000A7AAB" w:rsidRPr="002C4077">
        <w:t xml:space="preserve"> </w:t>
      </w:r>
      <w:r w:rsidR="000A7AAB">
        <w:t>être</w:t>
      </w:r>
      <w:r w:rsidR="000A7AAB" w:rsidRPr="002C4077">
        <w:t xml:space="preserve"> </w:t>
      </w:r>
      <w:r w:rsidR="000A7AAB">
        <w:t>réservée,</w:t>
      </w:r>
      <w:r w:rsidR="000A7AAB" w:rsidRPr="002C4077">
        <w:t xml:space="preserve"> </w:t>
      </w:r>
      <w:r w:rsidR="000A7AAB">
        <w:t>inspirait</w:t>
      </w:r>
      <w:r w:rsidR="000A7AAB" w:rsidRPr="002C4077">
        <w:t xml:space="preserve"> </w:t>
      </w:r>
      <w:r w:rsidR="000A7AAB">
        <w:t>au</w:t>
      </w:r>
      <w:r w:rsidR="000A7AAB" w:rsidRPr="002C4077">
        <w:t xml:space="preserve"> </w:t>
      </w:r>
      <w:r w:rsidR="000A7AAB">
        <w:t>Sauveur</w:t>
      </w:r>
      <w:r w:rsidR="000A7AAB" w:rsidRPr="002C4077">
        <w:t xml:space="preserve"> </w:t>
      </w:r>
      <w:r w:rsidR="000A7AAB">
        <w:t>une</w:t>
      </w:r>
      <w:r w:rsidR="000A7AAB" w:rsidRPr="002C4077">
        <w:t xml:space="preserve"> </w:t>
      </w:r>
      <w:r w:rsidR="000A7AAB">
        <w:t>répugnance</w:t>
      </w:r>
      <w:r w:rsidR="000A7AAB" w:rsidRPr="002C4077">
        <w:t xml:space="preserve"> </w:t>
      </w:r>
      <w:r w:rsidR="000A7AAB">
        <w:t>bien</w:t>
      </w:r>
      <w:r w:rsidR="000A7AAB" w:rsidRPr="002C4077">
        <w:t xml:space="preserve"> </w:t>
      </w:r>
      <w:r w:rsidR="000A7AAB">
        <w:t>naturelle</w:t>
      </w:r>
      <w:r w:rsidR="00B546AF">
        <w:t> :</w:t>
      </w:r>
      <w:r w:rsidR="000A7AAB" w:rsidRPr="002C4077">
        <w:t xml:space="preserve"> </w:t>
      </w:r>
      <w:r w:rsidR="000A7AAB">
        <w:t>c’était</w:t>
      </w:r>
      <w:r w:rsidR="000A7AAB" w:rsidRPr="002C4077">
        <w:t xml:space="preserve"> </w:t>
      </w:r>
      <w:r w:rsidR="000A7AAB">
        <w:t>la</w:t>
      </w:r>
      <w:r w:rsidR="000A7AAB" w:rsidRPr="002C4077">
        <w:t xml:space="preserve"> </w:t>
      </w:r>
      <w:r w:rsidR="000A7AAB">
        <w:t>conséquence</w:t>
      </w:r>
      <w:r w:rsidR="000A7AAB" w:rsidRPr="002C4077">
        <w:t xml:space="preserve"> </w:t>
      </w:r>
      <w:r w:rsidR="000A7AAB">
        <w:t>de</w:t>
      </w:r>
      <w:r w:rsidR="000A7AAB" w:rsidRPr="002C4077">
        <w:t xml:space="preserve"> </w:t>
      </w:r>
      <w:r w:rsidR="000A7AAB">
        <w:t>l’Incarnation.</w:t>
      </w:r>
      <w:r w:rsidR="000A7AAB" w:rsidRPr="002C4077">
        <w:t xml:space="preserve"> </w:t>
      </w:r>
      <w:r w:rsidR="000A7AAB" w:rsidRPr="000A34B5">
        <w:rPr>
          <w:rStyle w:val="italicus"/>
        </w:rPr>
        <w:t>Anima</w:t>
      </w:r>
      <w:r w:rsidR="000A7AAB" w:rsidRPr="002C4077">
        <w:t xml:space="preserve"> </w:t>
      </w:r>
      <w:r w:rsidR="006E7907" w:rsidRPr="000A34B5">
        <w:rPr>
          <w:rStyle w:val="italicus"/>
        </w:rPr>
        <w:t>naturáliter</w:t>
      </w:r>
      <w:r w:rsidR="000A7AAB" w:rsidRPr="002C4077">
        <w:t xml:space="preserve"> </w:t>
      </w:r>
      <w:r w:rsidR="000A7AAB" w:rsidRPr="000A34B5">
        <w:rPr>
          <w:rStyle w:val="italicus"/>
        </w:rPr>
        <w:t>vult</w:t>
      </w:r>
      <w:r w:rsidR="000A7AAB" w:rsidRPr="002C4077">
        <w:t xml:space="preserve"> </w:t>
      </w:r>
      <w:r w:rsidR="006E7907" w:rsidRPr="000A34B5">
        <w:rPr>
          <w:rStyle w:val="italicus"/>
        </w:rPr>
        <w:t>uníri</w:t>
      </w:r>
      <w:r w:rsidR="000A7AAB" w:rsidRPr="002C4077">
        <w:t xml:space="preserve"> </w:t>
      </w:r>
      <w:r w:rsidR="000A7AAB" w:rsidRPr="000A34B5">
        <w:rPr>
          <w:rStyle w:val="italicus"/>
        </w:rPr>
        <w:t>c</w:t>
      </w:r>
      <w:r w:rsidR="003B53FD">
        <w:rPr>
          <w:rStyle w:val="italicus"/>
        </w:rPr>
        <w:t>ó</w:t>
      </w:r>
      <w:r w:rsidR="003B53FD" w:rsidRPr="000A34B5">
        <w:rPr>
          <w:rStyle w:val="italicus"/>
        </w:rPr>
        <w:t>rpori</w:t>
      </w:r>
      <w:r w:rsidR="000A7AAB" w:rsidRPr="000A34B5">
        <w:rPr>
          <w:rStyle w:val="italicus"/>
        </w:rPr>
        <w:t>,</w:t>
      </w:r>
      <w:r w:rsidR="000A7AAB" w:rsidRPr="002C4077">
        <w:t xml:space="preserve"> </w:t>
      </w:r>
      <w:r w:rsidR="000A7AAB" w:rsidRPr="000A34B5">
        <w:rPr>
          <w:rStyle w:val="italicus"/>
        </w:rPr>
        <w:t>et</w:t>
      </w:r>
      <w:r w:rsidR="000A7AAB" w:rsidRPr="002C4077">
        <w:t xml:space="preserve"> </w:t>
      </w:r>
      <w:r w:rsidR="000A7AAB" w:rsidRPr="000A34B5">
        <w:rPr>
          <w:rStyle w:val="italicus"/>
        </w:rPr>
        <w:t>istud</w:t>
      </w:r>
      <w:r w:rsidR="000A7AAB" w:rsidRPr="002C4077">
        <w:t xml:space="preserve"> </w:t>
      </w:r>
      <w:r w:rsidR="000A7AAB" w:rsidRPr="000A34B5">
        <w:rPr>
          <w:rStyle w:val="italicus"/>
        </w:rPr>
        <w:t>fuit</w:t>
      </w:r>
      <w:r w:rsidR="000A7AAB" w:rsidRPr="002C4077">
        <w:t xml:space="preserve"> </w:t>
      </w:r>
      <w:r w:rsidR="000A7AAB" w:rsidRPr="000A34B5">
        <w:rPr>
          <w:rStyle w:val="italicus"/>
        </w:rPr>
        <w:t>in</w:t>
      </w:r>
      <w:r w:rsidR="000A7AAB" w:rsidRPr="002C4077">
        <w:t xml:space="preserve"> </w:t>
      </w:r>
      <w:r w:rsidR="000A7AAB" w:rsidRPr="000A34B5">
        <w:rPr>
          <w:rStyle w:val="italicus"/>
        </w:rPr>
        <w:t>anima</w:t>
      </w:r>
      <w:r w:rsidR="000A7AAB" w:rsidRPr="002C4077">
        <w:t xml:space="preserve"> </w:t>
      </w:r>
      <w:r w:rsidR="003B53FD" w:rsidRPr="000A34B5">
        <w:rPr>
          <w:rStyle w:val="italicus"/>
        </w:rPr>
        <w:t>Chr</w:t>
      </w:r>
      <w:r w:rsidR="003B53FD">
        <w:rPr>
          <w:rStyle w:val="italicus"/>
        </w:rPr>
        <w:t>i</w:t>
      </w:r>
      <w:r w:rsidR="003B53FD" w:rsidRPr="000A34B5">
        <w:rPr>
          <w:rStyle w:val="italicus"/>
        </w:rPr>
        <w:t>sti</w:t>
      </w:r>
      <w:r w:rsidR="000A7AAB" w:rsidRPr="000A34B5">
        <w:rPr>
          <w:rStyle w:val="italicus"/>
        </w:rPr>
        <w:t>…</w:t>
      </w:r>
      <w:r w:rsidR="00B546AF">
        <w:rPr>
          <w:rStyle w:val="italicus"/>
        </w:rPr>
        <w:t> </w:t>
      </w:r>
      <w:r w:rsidR="00B546AF" w:rsidRPr="000A34B5">
        <w:rPr>
          <w:rStyle w:val="italicus"/>
        </w:rPr>
        <w:t>;</w:t>
      </w:r>
      <w:r w:rsidR="000A7AAB" w:rsidRPr="002C4077">
        <w:t xml:space="preserve"> </w:t>
      </w:r>
      <w:r w:rsidR="000A7AAB" w:rsidRPr="000A34B5">
        <w:rPr>
          <w:rStyle w:val="italicus"/>
        </w:rPr>
        <w:t>ergo</w:t>
      </w:r>
      <w:r w:rsidR="000A7AAB" w:rsidRPr="002C4077">
        <w:t xml:space="preserve"> </w:t>
      </w:r>
      <w:r w:rsidR="000A7AAB" w:rsidRPr="000A34B5">
        <w:rPr>
          <w:rStyle w:val="italicus"/>
        </w:rPr>
        <w:t>separ</w:t>
      </w:r>
      <w:r w:rsidR="003B53FD">
        <w:rPr>
          <w:rStyle w:val="italicus"/>
        </w:rPr>
        <w:t>á</w:t>
      </w:r>
      <w:r w:rsidR="003B53FD" w:rsidRPr="000A34B5">
        <w:rPr>
          <w:rStyle w:val="italicus"/>
        </w:rPr>
        <w:t>tio</w:t>
      </w:r>
      <w:r w:rsidR="000A7AAB" w:rsidRPr="002C4077">
        <w:t xml:space="preserve"> </w:t>
      </w:r>
      <w:r w:rsidR="000A7AAB" w:rsidRPr="000A34B5">
        <w:rPr>
          <w:rStyle w:val="italicus"/>
        </w:rPr>
        <w:t>erat</w:t>
      </w:r>
      <w:r w:rsidR="000A7AAB" w:rsidRPr="002C4077">
        <w:t xml:space="preserve"> </w:t>
      </w:r>
      <w:r w:rsidR="000A7AAB" w:rsidRPr="000A34B5">
        <w:rPr>
          <w:rStyle w:val="italicus"/>
        </w:rPr>
        <w:t>contra</w:t>
      </w:r>
      <w:r w:rsidR="000A7AAB" w:rsidRPr="002C4077">
        <w:t xml:space="preserve"> </w:t>
      </w:r>
      <w:r w:rsidR="006E7907" w:rsidRPr="000A34B5">
        <w:rPr>
          <w:rStyle w:val="italicus"/>
        </w:rPr>
        <w:t>naturále</w:t>
      </w:r>
      <w:r w:rsidR="000A7AAB" w:rsidRPr="002C4077">
        <w:t xml:space="preserve"> </w:t>
      </w:r>
      <w:r w:rsidR="000A7AAB" w:rsidRPr="000A34B5">
        <w:rPr>
          <w:rStyle w:val="italicus"/>
        </w:rPr>
        <w:t>desid</w:t>
      </w:r>
      <w:r w:rsidR="003B53FD">
        <w:rPr>
          <w:rStyle w:val="italicus"/>
        </w:rPr>
        <w:t>é</w:t>
      </w:r>
      <w:r w:rsidR="003B53FD" w:rsidRPr="000A34B5">
        <w:rPr>
          <w:rStyle w:val="italicus"/>
        </w:rPr>
        <w:t>rium</w:t>
      </w:r>
      <w:r w:rsidR="00B546AF">
        <w:rPr>
          <w:rStyle w:val="italicus"/>
        </w:rPr>
        <w:t> </w:t>
      </w:r>
      <w:r w:rsidR="00B546AF" w:rsidRPr="000A34B5">
        <w:rPr>
          <w:rStyle w:val="italicus"/>
        </w:rPr>
        <w:t>;</w:t>
      </w:r>
      <w:r w:rsidR="000A7AAB" w:rsidRPr="002C4077">
        <w:t xml:space="preserve"> </w:t>
      </w:r>
      <w:r w:rsidR="000A7AAB" w:rsidRPr="000A34B5">
        <w:rPr>
          <w:rStyle w:val="italicus"/>
        </w:rPr>
        <w:t>ergo</w:t>
      </w:r>
      <w:r w:rsidR="000A7AAB" w:rsidRPr="002C4077">
        <w:t xml:space="preserve"> </w:t>
      </w:r>
      <w:r w:rsidR="000A7AAB" w:rsidRPr="000A34B5">
        <w:rPr>
          <w:rStyle w:val="italicus"/>
        </w:rPr>
        <w:t>se</w:t>
      </w:r>
      <w:r w:rsidR="003B53FD" w:rsidRPr="000A34B5">
        <w:rPr>
          <w:rStyle w:val="italicus"/>
        </w:rPr>
        <w:t>par</w:t>
      </w:r>
      <w:r w:rsidR="003B53FD">
        <w:rPr>
          <w:rStyle w:val="italicus"/>
        </w:rPr>
        <w:t>á</w:t>
      </w:r>
      <w:r w:rsidR="003B53FD" w:rsidRPr="000A34B5">
        <w:rPr>
          <w:rStyle w:val="italicus"/>
        </w:rPr>
        <w:t>ri</w:t>
      </w:r>
      <w:r w:rsidR="000A7AAB" w:rsidRPr="002C4077">
        <w:t xml:space="preserve"> </w:t>
      </w:r>
      <w:r w:rsidR="000A7AAB" w:rsidRPr="000A34B5">
        <w:rPr>
          <w:rStyle w:val="italicus"/>
        </w:rPr>
        <w:t>erat</w:t>
      </w:r>
      <w:r w:rsidR="000A7AAB" w:rsidRPr="002C4077">
        <w:t xml:space="preserve"> </w:t>
      </w:r>
      <w:r w:rsidR="000A7AAB" w:rsidRPr="000A34B5">
        <w:rPr>
          <w:rStyle w:val="italicus"/>
        </w:rPr>
        <w:t>ei</w:t>
      </w:r>
      <w:r w:rsidR="000A7AAB" w:rsidRPr="002C4077">
        <w:t xml:space="preserve"> </w:t>
      </w:r>
      <w:r w:rsidR="000A7AAB" w:rsidRPr="000A34B5">
        <w:rPr>
          <w:rStyle w:val="italicus"/>
        </w:rPr>
        <w:t>triste.</w:t>
      </w:r>
      <w:r w:rsidR="000A7AAB" w:rsidRPr="002C4077">
        <w:t xml:space="preserve"> </w:t>
      </w:r>
      <w:r w:rsidR="000A7AAB">
        <w:t>Mais</w:t>
      </w:r>
      <w:r w:rsidR="000A7AAB" w:rsidRPr="002C4077">
        <w:t xml:space="preserve"> </w:t>
      </w:r>
      <w:r w:rsidR="000A7AAB">
        <w:t>telle</w:t>
      </w:r>
      <w:r w:rsidR="000A7AAB" w:rsidRPr="002C4077">
        <w:t xml:space="preserve"> </w:t>
      </w:r>
      <w:r w:rsidR="000A7AAB">
        <w:t>n’était</w:t>
      </w:r>
      <w:r w:rsidR="000A7AAB" w:rsidRPr="002C4077">
        <w:t xml:space="preserve"> </w:t>
      </w:r>
      <w:r w:rsidR="000A7AAB">
        <w:t>pas</w:t>
      </w:r>
      <w:r w:rsidR="000A7AAB" w:rsidRPr="002C4077">
        <w:t xml:space="preserve"> </w:t>
      </w:r>
      <w:r w:rsidR="000A7AAB">
        <w:t>la</w:t>
      </w:r>
      <w:r w:rsidR="000A7AAB" w:rsidRPr="002C4077">
        <w:t xml:space="preserve"> </w:t>
      </w:r>
      <w:r w:rsidR="000A7AAB">
        <w:t>cause</w:t>
      </w:r>
      <w:r w:rsidR="000A7AAB" w:rsidRPr="002C4077">
        <w:t xml:space="preserve"> </w:t>
      </w:r>
      <w:r w:rsidR="000A7AAB">
        <w:t>principale</w:t>
      </w:r>
      <w:r w:rsidR="000A7AAB" w:rsidRPr="002C4077">
        <w:t xml:space="preserve"> </w:t>
      </w:r>
      <w:r w:rsidR="000A7AAB">
        <w:t>de</w:t>
      </w:r>
      <w:r w:rsidR="000A7AAB" w:rsidRPr="002C4077">
        <w:t xml:space="preserve"> </w:t>
      </w:r>
      <w:r w:rsidR="000A7AAB">
        <w:t>l’agonie</w:t>
      </w:r>
      <w:r w:rsidR="000A7AAB" w:rsidRPr="002C4077">
        <w:t xml:space="preserve"> </w:t>
      </w:r>
      <w:r w:rsidR="000A7AAB">
        <w:t>de</w:t>
      </w:r>
      <w:r w:rsidR="000A7AAB" w:rsidRPr="002C4077">
        <w:t xml:space="preserve"> </w:t>
      </w:r>
      <w:r w:rsidR="000A7AAB">
        <w:t>N.</w:t>
      </w:r>
      <w:r w:rsidR="000A7AAB" w:rsidRPr="002C4077">
        <w:t xml:space="preserve"> </w:t>
      </w:r>
      <w:r w:rsidR="000A7AAB">
        <w:t>S.</w:t>
      </w:r>
      <w:r w:rsidR="000A7AAB" w:rsidRPr="002C4077">
        <w:t xml:space="preserve"> </w:t>
      </w:r>
      <w:r>
        <w:t>Jésus</w:t>
      </w:r>
      <w:r w:rsidR="000A7AAB">
        <w:t>-</w:t>
      </w:r>
      <w:r>
        <w:t>Christ</w:t>
      </w:r>
      <w:r w:rsidR="00B546AF">
        <w:t> :</w:t>
      </w:r>
      <w:r w:rsidR="000A7AAB" w:rsidRPr="002C4077">
        <w:t xml:space="preserve"> </w:t>
      </w:r>
      <w:r w:rsidR="000A7AAB" w:rsidRPr="000A34B5">
        <w:rPr>
          <w:rStyle w:val="italicus"/>
        </w:rPr>
        <w:t>Christus</w:t>
      </w:r>
      <w:r w:rsidR="000A7AAB" w:rsidRPr="002C4077">
        <w:t xml:space="preserve"> </w:t>
      </w:r>
      <w:r w:rsidR="000A7AAB" w:rsidRPr="000A34B5">
        <w:rPr>
          <w:rStyle w:val="italicus"/>
        </w:rPr>
        <w:t>non</w:t>
      </w:r>
      <w:r w:rsidR="000A7AAB" w:rsidRPr="002C4077">
        <w:t xml:space="preserve"> </w:t>
      </w:r>
      <w:r w:rsidR="000A7AAB" w:rsidRPr="000A34B5">
        <w:rPr>
          <w:rStyle w:val="italicus"/>
        </w:rPr>
        <w:t>solum</w:t>
      </w:r>
      <w:r w:rsidR="000A7AAB" w:rsidRPr="002C4077">
        <w:t xml:space="preserve"> </w:t>
      </w:r>
      <w:r w:rsidR="000A7AAB" w:rsidRPr="000A34B5">
        <w:rPr>
          <w:rStyle w:val="italicus"/>
        </w:rPr>
        <w:t>d</w:t>
      </w:r>
      <w:r w:rsidR="003B53FD">
        <w:rPr>
          <w:rStyle w:val="italicus"/>
        </w:rPr>
        <w:t>ó</w:t>
      </w:r>
      <w:r w:rsidR="003B53FD" w:rsidRPr="000A34B5">
        <w:rPr>
          <w:rStyle w:val="italicus"/>
        </w:rPr>
        <w:t>luit</w:t>
      </w:r>
      <w:r w:rsidR="000A7AAB" w:rsidRPr="002C4077">
        <w:t xml:space="preserve"> </w:t>
      </w:r>
      <w:r w:rsidR="000A7AAB" w:rsidRPr="000A34B5">
        <w:rPr>
          <w:rStyle w:val="italicus"/>
        </w:rPr>
        <w:t>pro</w:t>
      </w:r>
      <w:r w:rsidR="000A7AAB" w:rsidRPr="002C4077">
        <w:t xml:space="preserve"> </w:t>
      </w:r>
      <w:r w:rsidR="000A7AAB" w:rsidRPr="000A34B5">
        <w:rPr>
          <w:rStyle w:val="italicus"/>
        </w:rPr>
        <w:t>amiss</w:t>
      </w:r>
      <w:r w:rsidR="003B53FD" w:rsidRPr="000A34B5">
        <w:rPr>
          <w:rStyle w:val="italicus"/>
        </w:rPr>
        <w:t>i</w:t>
      </w:r>
      <w:r w:rsidR="003B53FD">
        <w:rPr>
          <w:rStyle w:val="italicus"/>
        </w:rPr>
        <w:t>ó</w:t>
      </w:r>
      <w:r w:rsidR="003B53FD" w:rsidRPr="000A34B5">
        <w:rPr>
          <w:rStyle w:val="italicus"/>
        </w:rPr>
        <w:t>ne</w:t>
      </w:r>
      <w:r w:rsidR="000A7AAB" w:rsidRPr="002C4077">
        <w:t xml:space="preserve"> </w:t>
      </w:r>
      <w:r w:rsidR="000A7AAB" w:rsidRPr="000A34B5">
        <w:rPr>
          <w:rStyle w:val="italicus"/>
        </w:rPr>
        <w:t>vit</w:t>
      </w:r>
      <w:r w:rsidR="000A7AAB" w:rsidRPr="002C4077">
        <w:t xml:space="preserve"> </w:t>
      </w:r>
      <w:r w:rsidR="000A7AAB" w:rsidRPr="000A34B5">
        <w:rPr>
          <w:rStyle w:val="italicus"/>
        </w:rPr>
        <w:t>si</w:t>
      </w:r>
      <w:r w:rsidR="000A7AAB" w:rsidRPr="002C4077">
        <w:t xml:space="preserve"> </w:t>
      </w:r>
      <w:r w:rsidR="000A7AAB" w:rsidRPr="000A34B5">
        <w:rPr>
          <w:rStyle w:val="italicus"/>
        </w:rPr>
        <w:t>cor</w:t>
      </w:r>
      <w:r w:rsidR="003B53FD" w:rsidRPr="000A34B5">
        <w:rPr>
          <w:rStyle w:val="italicus"/>
        </w:rPr>
        <w:t>por</w:t>
      </w:r>
      <w:r w:rsidR="003B53FD">
        <w:rPr>
          <w:rStyle w:val="italicus"/>
        </w:rPr>
        <w:t>á</w:t>
      </w:r>
      <w:r w:rsidR="003B53FD" w:rsidRPr="000A34B5">
        <w:rPr>
          <w:rStyle w:val="italicus"/>
        </w:rPr>
        <w:t>lis</w:t>
      </w:r>
      <w:r w:rsidR="000A7AAB" w:rsidRPr="002C4077">
        <w:t xml:space="preserve"> </w:t>
      </w:r>
      <w:r w:rsidR="000A7AAB" w:rsidRPr="000A34B5">
        <w:rPr>
          <w:rStyle w:val="italicus"/>
        </w:rPr>
        <w:t>pr</w:t>
      </w:r>
      <w:r w:rsidR="003B53FD">
        <w:rPr>
          <w:rStyle w:val="italicus"/>
        </w:rPr>
        <w:t>ó</w:t>
      </w:r>
      <w:r w:rsidR="003B53FD" w:rsidRPr="000A34B5">
        <w:rPr>
          <w:rStyle w:val="italicus"/>
        </w:rPr>
        <w:t>prias</w:t>
      </w:r>
      <w:r w:rsidR="000A7AAB" w:rsidRPr="000A34B5">
        <w:rPr>
          <w:rStyle w:val="italicus"/>
        </w:rPr>
        <w:t>,</w:t>
      </w:r>
      <w:r w:rsidR="000A7AAB" w:rsidRPr="002C4077">
        <w:t xml:space="preserve"> </w:t>
      </w:r>
      <w:r w:rsidR="000A7AAB" w:rsidRPr="000A34B5">
        <w:rPr>
          <w:rStyle w:val="italicus"/>
        </w:rPr>
        <w:t>sed</w:t>
      </w:r>
      <w:r w:rsidR="000A7AAB" w:rsidRPr="002C4077">
        <w:t xml:space="preserve"> </w:t>
      </w:r>
      <w:r w:rsidR="003B53FD">
        <w:rPr>
          <w:rStyle w:val="italicus"/>
        </w:rPr>
        <w:t>é</w:t>
      </w:r>
      <w:r w:rsidR="003B53FD" w:rsidRPr="000A34B5">
        <w:rPr>
          <w:rStyle w:val="italicus"/>
        </w:rPr>
        <w:t>tiam</w:t>
      </w:r>
      <w:r w:rsidR="000A7AAB" w:rsidRPr="002C4077">
        <w:t xml:space="preserve"> </w:t>
      </w:r>
      <w:r w:rsidR="000A7AAB" w:rsidRPr="000A34B5">
        <w:rPr>
          <w:rStyle w:val="italicus"/>
        </w:rPr>
        <w:t>pro</w:t>
      </w:r>
      <w:r w:rsidR="000A7AAB" w:rsidRPr="002C4077">
        <w:t xml:space="preserve"> </w:t>
      </w:r>
      <w:r w:rsidR="000A7AAB" w:rsidRPr="000A34B5">
        <w:rPr>
          <w:rStyle w:val="italicus"/>
        </w:rPr>
        <w:t>p</w:t>
      </w:r>
      <w:r w:rsidR="003B53FD" w:rsidRPr="000A34B5">
        <w:rPr>
          <w:rStyle w:val="italicus"/>
        </w:rPr>
        <w:t>ecc</w:t>
      </w:r>
      <w:r w:rsidR="003B53FD">
        <w:rPr>
          <w:rStyle w:val="italicus"/>
        </w:rPr>
        <w:t>á</w:t>
      </w:r>
      <w:r w:rsidR="003B53FD" w:rsidRPr="000A34B5">
        <w:rPr>
          <w:rStyle w:val="italicus"/>
        </w:rPr>
        <w:t>tis</w:t>
      </w:r>
      <w:r w:rsidR="000A7AAB" w:rsidRPr="002C4077">
        <w:t xml:space="preserve"> </w:t>
      </w:r>
      <w:r w:rsidR="003B53FD">
        <w:rPr>
          <w:rStyle w:val="italicus"/>
        </w:rPr>
        <w:t>ó</w:t>
      </w:r>
      <w:r w:rsidR="003B53FD" w:rsidRPr="000A34B5">
        <w:rPr>
          <w:rStyle w:val="italicus"/>
        </w:rPr>
        <w:t>mnium</w:t>
      </w:r>
      <w:r w:rsidR="000A7AAB" w:rsidRPr="002C4077">
        <w:t xml:space="preserve"> </w:t>
      </w:r>
      <w:r w:rsidR="003B53FD" w:rsidRPr="000A34B5">
        <w:rPr>
          <w:rStyle w:val="italicus"/>
        </w:rPr>
        <w:t>ali</w:t>
      </w:r>
      <w:r w:rsidR="003B53FD">
        <w:rPr>
          <w:rStyle w:val="italicus"/>
        </w:rPr>
        <w:t>ó</w:t>
      </w:r>
      <w:r w:rsidR="003B53FD" w:rsidRPr="000A34B5">
        <w:rPr>
          <w:rStyle w:val="italicus"/>
        </w:rPr>
        <w:t>rum</w:t>
      </w:r>
      <w:r w:rsidR="00F44410">
        <w:rPr>
          <w:rStyle w:val="Appelnotedebasdep"/>
          <w:i/>
        </w:rPr>
        <w:footnoteReference w:id="373"/>
      </w:r>
      <w:r w:rsidR="00F44410">
        <w:rPr>
          <w:rStyle w:val="italicus"/>
        </w:rPr>
        <w:t>.</w:t>
      </w:r>
      <w:r w:rsidR="00B546AF">
        <w:t> »</w:t>
      </w:r>
      <w:r w:rsidR="00422B3A">
        <w:t xml:space="preserve"> </w:t>
      </w:r>
      <w:r w:rsidR="000A7AAB">
        <w:t>Ô</w:t>
      </w:r>
      <w:r w:rsidR="000A7AAB" w:rsidRPr="002C4077">
        <w:t xml:space="preserve"> </w:t>
      </w:r>
      <w:r>
        <w:t>Jésus</w:t>
      </w:r>
      <w:r w:rsidR="000A7AAB">
        <w:t>,</w:t>
      </w:r>
      <w:r w:rsidR="000A7AAB" w:rsidRPr="002C4077">
        <w:t xml:space="preserve"> </w:t>
      </w:r>
      <w:r w:rsidR="000A7AAB">
        <w:t>que</w:t>
      </w:r>
      <w:r w:rsidR="000A7AAB" w:rsidRPr="002C4077">
        <w:t xml:space="preserve"> </w:t>
      </w:r>
      <w:r w:rsidR="000A7AAB">
        <w:t>je</w:t>
      </w:r>
      <w:r w:rsidR="000A7AAB" w:rsidRPr="002C4077">
        <w:t xml:space="preserve"> </w:t>
      </w:r>
      <w:r w:rsidR="000A7AAB">
        <w:t>n’oserai</w:t>
      </w:r>
      <w:r w:rsidR="000A7AAB" w:rsidRPr="002C4077">
        <w:t xml:space="preserve"> </w:t>
      </w:r>
      <w:r w:rsidR="000A7AAB">
        <w:t>plus</w:t>
      </w:r>
      <w:r w:rsidR="000A7AAB" w:rsidRPr="002C4077">
        <w:t xml:space="preserve"> </w:t>
      </w:r>
      <w:r w:rsidR="000A7AAB">
        <w:t>nommer</w:t>
      </w:r>
      <w:r w:rsidR="000A7AAB" w:rsidRPr="002C4077">
        <w:t xml:space="preserve"> </w:t>
      </w:r>
      <w:r w:rsidR="000A7AAB">
        <w:t>innocent,</w:t>
      </w:r>
      <w:r w:rsidR="000A7AAB" w:rsidRPr="002C4077">
        <w:t xml:space="preserve"> </w:t>
      </w:r>
      <w:r w:rsidR="000A7AAB">
        <w:t>puisque</w:t>
      </w:r>
      <w:r w:rsidR="000A7AAB" w:rsidRPr="002C4077">
        <w:t xml:space="preserve"> </w:t>
      </w:r>
      <w:r w:rsidR="000A7AAB">
        <w:t>je</w:t>
      </w:r>
      <w:r w:rsidR="000A7AAB" w:rsidRPr="002C4077">
        <w:t xml:space="preserve"> </w:t>
      </w:r>
      <w:r w:rsidR="000A7AAB">
        <w:t>vous</w:t>
      </w:r>
      <w:r w:rsidR="000A7AAB" w:rsidRPr="002C4077">
        <w:t xml:space="preserve"> </w:t>
      </w:r>
      <w:r w:rsidR="000A7AAB">
        <w:t>vois</w:t>
      </w:r>
      <w:r w:rsidR="000A7AAB" w:rsidRPr="002C4077">
        <w:t xml:space="preserve"> </w:t>
      </w:r>
      <w:r w:rsidR="000A7AAB">
        <w:t>chargé</w:t>
      </w:r>
      <w:r w:rsidR="000A7AAB" w:rsidRPr="002C4077">
        <w:t xml:space="preserve"> </w:t>
      </w:r>
      <w:r w:rsidR="000A7AAB">
        <w:t>de</w:t>
      </w:r>
      <w:r w:rsidR="000A7AAB" w:rsidRPr="002C4077">
        <w:t xml:space="preserve"> </w:t>
      </w:r>
      <w:r w:rsidR="000A7AAB">
        <w:t>plus</w:t>
      </w:r>
      <w:r w:rsidR="000A7AAB" w:rsidRPr="002C4077">
        <w:t xml:space="preserve"> </w:t>
      </w:r>
      <w:r w:rsidR="000A7AAB">
        <w:t>de</w:t>
      </w:r>
      <w:r w:rsidR="000A7AAB" w:rsidRPr="002C4077">
        <w:t xml:space="preserve"> </w:t>
      </w:r>
      <w:r w:rsidR="000A7AAB">
        <w:t>crimes</w:t>
      </w:r>
      <w:r w:rsidR="000A7AAB" w:rsidRPr="002C4077">
        <w:t xml:space="preserve"> </w:t>
      </w:r>
      <w:r w:rsidR="000A7AAB">
        <w:t>que</w:t>
      </w:r>
      <w:r w:rsidR="000A7AAB" w:rsidRPr="002C4077">
        <w:t xml:space="preserve"> </w:t>
      </w:r>
      <w:r w:rsidR="000A7AAB">
        <w:t>les</w:t>
      </w:r>
      <w:r w:rsidR="000A7AAB" w:rsidRPr="002C4077">
        <w:t xml:space="preserve"> </w:t>
      </w:r>
      <w:r w:rsidR="000A7AAB">
        <w:t>plus</w:t>
      </w:r>
      <w:r w:rsidR="000A7AAB" w:rsidRPr="002C4077">
        <w:t xml:space="preserve"> </w:t>
      </w:r>
      <w:r w:rsidR="000A7AAB">
        <w:t>grands</w:t>
      </w:r>
      <w:r w:rsidR="000A7AAB" w:rsidRPr="002C4077">
        <w:t xml:space="preserve"> </w:t>
      </w:r>
      <w:r w:rsidR="000A7AAB">
        <w:t>malfaiteurs,</w:t>
      </w:r>
      <w:r w:rsidR="000A7AAB" w:rsidRPr="002C4077">
        <w:t xml:space="preserve"> </w:t>
      </w:r>
      <w:r w:rsidR="000A7AAB">
        <w:t>on</w:t>
      </w:r>
      <w:r w:rsidR="000A7AAB" w:rsidRPr="002C4077">
        <w:t xml:space="preserve"> </w:t>
      </w:r>
      <w:r w:rsidR="000A7AAB">
        <w:t>va</w:t>
      </w:r>
      <w:r w:rsidR="000A7AAB" w:rsidRPr="002C4077">
        <w:t xml:space="preserve"> </w:t>
      </w:r>
      <w:r w:rsidR="000A7AAB">
        <w:t>vous</w:t>
      </w:r>
      <w:r w:rsidR="000A7AAB" w:rsidRPr="002C4077">
        <w:t xml:space="preserve"> </w:t>
      </w:r>
      <w:r w:rsidR="000A7AAB">
        <w:t>traiter</w:t>
      </w:r>
      <w:r w:rsidR="000A7AAB" w:rsidRPr="002C4077">
        <w:t xml:space="preserve"> </w:t>
      </w:r>
      <w:r w:rsidR="000A7AAB">
        <w:t>selon</w:t>
      </w:r>
      <w:r w:rsidR="000A7AAB" w:rsidRPr="002C4077">
        <w:t xml:space="preserve"> </w:t>
      </w:r>
      <w:r w:rsidR="000A7AAB">
        <w:t>vos</w:t>
      </w:r>
      <w:r w:rsidR="000A7AAB" w:rsidRPr="002C4077">
        <w:t xml:space="preserve"> </w:t>
      </w:r>
      <w:r w:rsidR="000A7AAB">
        <w:t>mérites.</w:t>
      </w:r>
      <w:r w:rsidR="000A7AAB" w:rsidRPr="002C4077">
        <w:t xml:space="preserve"> </w:t>
      </w:r>
      <w:r w:rsidR="000A7AAB">
        <w:t>Au</w:t>
      </w:r>
      <w:r w:rsidR="000A7AAB" w:rsidRPr="002C4077">
        <w:t xml:space="preserve"> </w:t>
      </w:r>
      <w:r w:rsidR="000A7AAB">
        <w:t>jardin</w:t>
      </w:r>
      <w:r w:rsidR="000A7AAB" w:rsidRPr="002C4077">
        <w:t xml:space="preserve"> </w:t>
      </w:r>
      <w:r w:rsidR="000A7AAB">
        <w:t>des</w:t>
      </w:r>
      <w:r w:rsidR="000A7AAB" w:rsidRPr="002C4077">
        <w:t xml:space="preserve"> </w:t>
      </w:r>
      <w:r w:rsidR="000A7AAB">
        <w:t>Olives,</w:t>
      </w:r>
      <w:r w:rsidR="000A7AAB" w:rsidRPr="002C4077">
        <w:t xml:space="preserve"> </w:t>
      </w:r>
      <w:r w:rsidR="000A7AAB">
        <w:t>votre</w:t>
      </w:r>
      <w:r w:rsidR="000A7AAB" w:rsidRPr="002C4077">
        <w:t xml:space="preserve"> </w:t>
      </w:r>
      <w:r w:rsidR="000A7AAB">
        <w:t>Père</w:t>
      </w:r>
      <w:r w:rsidR="000A7AAB" w:rsidRPr="002C4077">
        <w:t xml:space="preserve"> </w:t>
      </w:r>
      <w:r w:rsidR="000A7AAB">
        <w:t>vous</w:t>
      </w:r>
      <w:r w:rsidR="000A7AAB" w:rsidRPr="002C4077">
        <w:t xml:space="preserve"> </w:t>
      </w:r>
      <w:r w:rsidR="000A7AAB">
        <w:t>abandonne</w:t>
      </w:r>
      <w:r w:rsidR="000A7AAB" w:rsidRPr="002C4077">
        <w:t xml:space="preserve"> </w:t>
      </w:r>
      <w:r w:rsidR="000A7AAB">
        <w:t>à</w:t>
      </w:r>
      <w:r w:rsidR="000A7AAB" w:rsidRPr="002C4077">
        <w:t xml:space="preserve"> </w:t>
      </w:r>
      <w:r w:rsidR="000A7AAB">
        <w:t>vous-même</w:t>
      </w:r>
      <w:r w:rsidR="00B546AF">
        <w:t> ;</w:t>
      </w:r>
      <w:r w:rsidR="000A7AAB" w:rsidRPr="002C4077">
        <w:t xml:space="preserve"> </w:t>
      </w:r>
      <w:r w:rsidR="000A7AAB">
        <w:t>vous</w:t>
      </w:r>
      <w:r w:rsidR="000A7AAB" w:rsidRPr="002C4077">
        <w:t xml:space="preserve"> </w:t>
      </w:r>
      <w:r w:rsidR="000A7AAB">
        <w:t>y</w:t>
      </w:r>
      <w:r w:rsidR="000A7AAB" w:rsidRPr="002C4077">
        <w:t xml:space="preserve"> </w:t>
      </w:r>
      <w:r w:rsidR="000A7AAB">
        <w:t>êtes</w:t>
      </w:r>
      <w:r w:rsidR="000A7AAB" w:rsidRPr="002C4077">
        <w:t xml:space="preserve"> </w:t>
      </w:r>
      <w:r w:rsidR="000A7AAB">
        <w:t>tout</w:t>
      </w:r>
      <w:r w:rsidR="000A7AAB" w:rsidRPr="002C4077">
        <w:t xml:space="preserve"> </w:t>
      </w:r>
      <w:r w:rsidR="000A7AAB">
        <w:t>seul,</w:t>
      </w:r>
      <w:r w:rsidR="000A7AAB" w:rsidRPr="002C4077">
        <w:t xml:space="preserve"> </w:t>
      </w:r>
      <w:r w:rsidR="000A7AAB">
        <w:t>mais</w:t>
      </w:r>
      <w:r w:rsidR="000A7AAB" w:rsidRPr="002C4077">
        <w:t xml:space="preserve"> </w:t>
      </w:r>
      <w:r w:rsidR="000A7AAB">
        <w:t>c’est</w:t>
      </w:r>
      <w:r w:rsidR="000A7AAB" w:rsidRPr="002C4077">
        <w:t xml:space="preserve"> </w:t>
      </w:r>
      <w:r w:rsidR="000A7AAB">
        <w:t>assez</w:t>
      </w:r>
      <w:r w:rsidR="000A7AAB" w:rsidRPr="002C4077">
        <w:t xml:space="preserve"> </w:t>
      </w:r>
      <w:r w:rsidR="000A7AAB">
        <w:t>pour</w:t>
      </w:r>
      <w:r w:rsidR="000A7AAB" w:rsidRPr="002C4077">
        <w:t xml:space="preserve"> </w:t>
      </w:r>
      <w:r w:rsidR="000A7AAB">
        <w:t>votre</w:t>
      </w:r>
      <w:r w:rsidR="000A7AAB" w:rsidRPr="002C4077">
        <w:t xml:space="preserve"> </w:t>
      </w:r>
      <w:r w:rsidR="000A7AAB">
        <w:t>supplice</w:t>
      </w:r>
      <w:r w:rsidR="00B546AF">
        <w:t> :</w:t>
      </w:r>
      <w:r w:rsidR="000A7AAB" w:rsidRPr="002C4077">
        <w:t xml:space="preserve"> </w:t>
      </w:r>
      <w:r w:rsidR="000A7AAB">
        <w:t>je</w:t>
      </w:r>
      <w:r w:rsidR="000A7AAB" w:rsidRPr="002C4077">
        <w:t xml:space="preserve"> </w:t>
      </w:r>
      <w:r w:rsidR="000A7AAB">
        <w:t>vous</w:t>
      </w:r>
      <w:r w:rsidR="000A7AAB" w:rsidRPr="002C4077">
        <w:t xml:space="preserve"> </w:t>
      </w:r>
      <w:r w:rsidR="000A7AAB">
        <w:t>y</w:t>
      </w:r>
      <w:r w:rsidR="000A7AAB" w:rsidRPr="002C4077">
        <w:t xml:space="preserve"> </w:t>
      </w:r>
      <w:r w:rsidR="000A7AAB">
        <w:t>vois</w:t>
      </w:r>
      <w:r w:rsidR="000A7AAB" w:rsidRPr="002C4077">
        <w:t xml:space="preserve"> </w:t>
      </w:r>
      <w:r w:rsidR="000A7AAB">
        <w:t>suer</w:t>
      </w:r>
      <w:r w:rsidR="000A7AAB" w:rsidRPr="002C4077">
        <w:t xml:space="preserve"> </w:t>
      </w:r>
      <w:r w:rsidR="000A7AAB">
        <w:t>sang</w:t>
      </w:r>
      <w:r w:rsidR="000A7AAB" w:rsidRPr="002C4077">
        <w:t xml:space="preserve"> </w:t>
      </w:r>
      <w:r w:rsidR="000A7AAB">
        <w:t>et</w:t>
      </w:r>
      <w:r w:rsidR="000A7AAB" w:rsidRPr="002C4077">
        <w:t xml:space="preserve"> </w:t>
      </w:r>
      <w:r w:rsidR="000A7AAB">
        <w:t>eau…</w:t>
      </w:r>
      <w:r w:rsidR="000A7AAB" w:rsidRPr="002C4077">
        <w:t xml:space="preserve"> </w:t>
      </w:r>
      <w:r w:rsidR="000A7AAB">
        <w:t>Baissez,</w:t>
      </w:r>
      <w:r w:rsidR="000A7AAB" w:rsidRPr="002C4077">
        <w:t xml:space="preserve"> </w:t>
      </w:r>
      <w:r w:rsidR="000A7AAB">
        <w:t>baissez</w:t>
      </w:r>
      <w:r w:rsidR="000A7AAB" w:rsidRPr="002C4077">
        <w:t xml:space="preserve"> </w:t>
      </w:r>
      <w:r w:rsidR="000A7AAB">
        <w:t>la</w:t>
      </w:r>
      <w:r w:rsidR="000A7AAB" w:rsidRPr="002C4077">
        <w:t xml:space="preserve"> </w:t>
      </w:r>
      <w:r w:rsidR="000A7AAB">
        <w:t>tête</w:t>
      </w:r>
      <w:r w:rsidR="00B546AF">
        <w:t> ;</w:t>
      </w:r>
      <w:r w:rsidR="000A7AAB" w:rsidRPr="002C4077">
        <w:t xml:space="preserve"> </w:t>
      </w:r>
      <w:r w:rsidR="000A7AAB">
        <w:t>vous</w:t>
      </w:r>
      <w:r w:rsidR="000A7AAB" w:rsidRPr="002C4077">
        <w:t xml:space="preserve"> </w:t>
      </w:r>
      <w:r w:rsidR="000A7AAB">
        <w:t>avez</w:t>
      </w:r>
      <w:r w:rsidR="000A7AAB" w:rsidRPr="002C4077">
        <w:t xml:space="preserve"> </w:t>
      </w:r>
      <w:r w:rsidR="000A7AAB">
        <w:t>voulu</w:t>
      </w:r>
      <w:r w:rsidR="000A7AAB" w:rsidRPr="002C4077">
        <w:t xml:space="preserve"> </w:t>
      </w:r>
      <w:r w:rsidR="000A7AAB">
        <w:t>être</w:t>
      </w:r>
      <w:r w:rsidR="000A7AAB" w:rsidRPr="002C4077">
        <w:t xml:space="preserve"> </w:t>
      </w:r>
      <w:r w:rsidR="000A7AAB">
        <w:t>caution,</w:t>
      </w:r>
      <w:r w:rsidR="000A7AAB" w:rsidRPr="002C4077">
        <w:t xml:space="preserve"> </w:t>
      </w:r>
      <w:r w:rsidR="000A7AAB">
        <w:t>vous</w:t>
      </w:r>
      <w:r w:rsidR="000A7AAB" w:rsidRPr="002C4077">
        <w:t xml:space="preserve"> </w:t>
      </w:r>
      <w:r w:rsidR="000A7AAB">
        <w:t>avez</w:t>
      </w:r>
      <w:r w:rsidR="000A7AAB" w:rsidRPr="002C4077">
        <w:t xml:space="preserve"> </w:t>
      </w:r>
      <w:r w:rsidR="000A7AAB">
        <w:t>pris</w:t>
      </w:r>
      <w:r w:rsidR="000A7AAB" w:rsidRPr="002C4077">
        <w:t xml:space="preserve"> </w:t>
      </w:r>
      <w:r w:rsidR="000A7AAB">
        <w:t>sur</w:t>
      </w:r>
      <w:r w:rsidR="000A7AAB" w:rsidRPr="002C4077">
        <w:t xml:space="preserve"> </w:t>
      </w:r>
      <w:r w:rsidR="000A7AAB">
        <w:t>vous</w:t>
      </w:r>
      <w:r w:rsidR="000A7AAB" w:rsidRPr="002C4077">
        <w:t xml:space="preserve"> </w:t>
      </w:r>
      <w:r w:rsidR="000A7AAB">
        <w:t>nos</w:t>
      </w:r>
      <w:r w:rsidR="000A7AAB" w:rsidRPr="002C4077">
        <w:t xml:space="preserve"> </w:t>
      </w:r>
      <w:r w:rsidR="000A7AAB">
        <w:t>iniquités</w:t>
      </w:r>
      <w:r w:rsidR="00B546AF">
        <w:t> ;</w:t>
      </w:r>
      <w:r w:rsidR="000A7AAB" w:rsidRPr="002C4077">
        <w:t xml:space="preserve"> </w:t>
      </w:r>
      <w:r w:rsidR="000A7AAB">
        <w:t>vous</w:t>
      </w:r>
      <w:r w:rsidR="000A7AAB" w:rsidRPr="002C4077">
        <w:t xml:space="preserve"> </w:t>
      </w:r>
      <w:r w:rsidR="000A7AAB">
        <w:t>en</w:t>
      </w:r>
      <w:r w:rsidR="000A7AAB" w:rsidRPr="002C4077">
        <w:t xml:space="preserve"> </w:t>
      </w:r>
      <w:r w:rsidR="000A7AAB">
        <w:t>porterez</w:t>
      </w:r>
      <w:r w:rsidR="000A7AAB" w:rsidRPr="002C4077">
        <w:t xml:space="preserve"> </w:t>
      </w:r>
      <w:r w:rsidR="000A7AAB">
        <w:t>tout</w:t>
      </w:r>
      <w:r w:rsidR="000A7AAB" w:rsidRPr="002C4077">
        <w:t xml:space="preserve"> </w:t>
      </w:r>
      <w:r w:rsidR="000A7AAB">
        <w:t>le</w:t>
      </w:r>
      <w:r w:rsidR="000A7AAB" w:rsidRPr="002C4077">
        <w:t xml:space="preserve"> </w:t>
      </w:r>
      <w:r w:rsidR="000A7AAB">
        <w:t>poids</w:t>
      </w:r>
      <w:r w:rsidR="00B546AF">
        <w:t> ;</w:t>
      </w:r>
      <w:r w:rsidR="000A7AAB" w:rsidRPr="002C4077">
        <w:t xml:space="preserve"> </w:t>
      </w:r>
      <w:r w:rsidR="000A7AAB">
        <w:t>vous</w:t>
      </w:r>
      <w:r w:rsidR="000A7AAB" w:rsidRPr="002C4077">
        <w:t xml:space="preserve"> </w:t>
      </w:r>
      <w:r w:rsidR="000A7AAB">
        <w:t>paierez</w:t>
      </w:r>
      <w:r w:rsidR="000A7AAB" w:rsidRPr="002C4077">
        <w:t xml:space="preserve"> </w:t>
      </w:r>
      <w:r w:rsidR="000A7AAB">
        <w:t>tout</w:t>
      </w:r>
      <w:r w:rsidR="000A7AAB" w:rsidRPr="002C4077">
        <w:t xml:space="preserve"> </w:t>
      </w:r>
      <w:r w:rsidR="000A7AAB">
        <w:t>du</w:t>
      </w:r>
      <w:r w:rsidR="000A7AAB" w:rsidRPr="002C4077">
        <w:t xml:space="preserve"> </w:t>
      </w:r>
      <w:r w:rsidR="000A7AAB">
        <w:t>long</w:t>
      </w:r>
      <w:r w:rsidR="000A7AAB" w:rsidRPr="002C4077">
        <w:t xml:space="preserve"> </w:t>
      </w:r>
      <w:r w:rsidR="000A7AAB">
        <w:t>la</w:t>
      </w:r>
      <w:r w:rsidR="000A7AAB" w:rsidRPr="002C4077">
        <w:t xml:space="preserve"> </w:t>
      </w:r>
      <w:r w:rsidR="000A7AAB">
        <w:t>dette,</w:t>
      </w:r>
      <w:r w:rsidR="000A7AAB" w:rsidRPr="002C4077">
        <w:t xml:space="preserve"> </w:t>
      </w:r>
      <w:r w:rsidR="000A7AAB">
        <w:t>sans</w:t>
      </w:r>
      <w:r w:rsidR="000A7AAB" w:rsidRPr="002C4077">
        <w:t xml:space="preserve"> </w:t>
      </w:r>
      <w:r w:rsidR="000A7AAB">
        <w:t>remède,</w:t>
      </w:r>
      <w:r w:rsidR="000A7AAB" w:rsidRPr="002C4077">
        <w:t xml:space="preserve"> </w:t>
      </w:r>
      <w:r w:rsidR="000A7AAB">
        <w:t>sans</w:t>
      </w:r>
      <w:r w:rsidR="000A7AAB" w:rsidRPr="002C4077">
        <w:t xml:space="preserve"> </w:t>
      </w:r>
      <w:r w:rsidR="00F44410">
        <w:t>miséricorde</w:t>
      </w:r>
      <w:r w:rsidR="00F44410">
        <w:rPr>
          <w:rStyle w:val="Appelnotedebasdep"/>
        </w:rPr>
        <w:footnoteReference w:id="374"/>
      </w:r>
      <w:r w:rsidR="00B546AF">
        <w:t> »</w:t>
      </w:r>
      <w:r w:rsidR="000A7AAB">
        <w:t>.</w:t>
      </w:r>
      <w:r w:rsidR="000A7AAB" w:rsidRPr="002C4077">
        <w:t xml:space="preserve"> </w:t>
      </w:r>
      <w:r w:rsidR="000A7AAB">
        <w:t>Voilà</w:t>
      </w:r>
      <w:r w:rsidR="000A7AAB" w:rsidRPr="002C4077">
        <w:t xml:space="preserve"> </w:t>
      </w:r>
      <w:r w:rsidR="000A7AAB">
        <w:t>l’épouvantable</w:t>
      </w:r>
      <w:r w:rsidR="000A7AAB" w:rsidRPr="002C4077">
        <w:t xml:space="preserve"> </w:t>
      </w:r>
      <w:r w:rsidR="000A7AAB">
        <w:t>fardeau</w:t>
      </w:r>
      <w:r w:rsidR="000A7AAB" w:rsidRPr="002C4077">
        <w:t xml:space="preserve"> </w:t>
      </w:r>
      <w:r w:rsidR="000A7AAB">
        <w:t>qui</w:t>
      </w:r>
      <w:r w:rsidR="000A7AAB" w:rsidRPr="002C4077">
        <w:t xml:space="preserve"> </w:t>
      </w:r>
      <w:r w:rsidR="000A7AAB">
        <w:t>menaçait</w:t>
      </w:r>
      <w:r w:rsidR="000A7AAB" w:rsidRPr="002C4077">
        <w:t xml:space="preserve"> </w:t>
      </w:r>
      <w:r w:rsidR="000A7AAB">
        <w:t>d’écraser</w:t>
      </w:r>
      <w:r w:rsidR="000A7AAB" w:rsidRPr="002C4077">
        <w:t xml:space="preserve"> </w:t>
      </w:r>
      <w:r w:rsidR="000A7AAB">
        <w:t>la</w:t>
      </w:r>
      <w:r w:rsidR="000A7AAB" w:rsidRPr="002C4077">
        <w:t xml:space="preserve"> </w:t>
      </w:r>
      <w:r w:rsidR="000A7AAB">
        <w:t>nature</w:t>
      </w:r>
      <w:r w:rsidR="000A7AAB" w:rsidRPr="002C4077">
        <w:t xml:space="preserve"> </w:t>
      </w:r>
      <w:r w:rsidR="000A7AAB">
        <w:t>humaine</w:t>
      </w:r>
      <w:r w:rsidR="000A7AAB" w:rsidRPr="002C4077">
        <w:t xml:space="preserve"> </w:t>
      </w:r>
      <w:r w:rsidR="000A7AAB">
        <w:t>de</w:t>
      </w:r>
      <w:r w:rsidR="000A7AAB" w:rsidRPr="002C4077">
        <w:t xml:space="preserve"> </w:t>
      </w:r>
      <w:r>
        <w:t>Jésus</w:t>
      </w:r>
      <w:r w:rsidR="00B91AF7">
        <w:rPr>
          <w:rStyle w:val="Appelnotedebasdep"/>
        </w:rPr>
        <w:footnoteReference w:id="375"/>
      </w:r>
      <w:r w:rsidR="000A7AAB">
        <w:t>.</w:t>
      </w:r>
      <w:r w:rsidR="000A7AAB" w:rsidRPr="002C4077">
        <w:t xml:space="preserve"> </w:t>
      </w:r>
      <w:r w:rsidR="000A7AAB">
        <w:t>Elle</w:t>
      </w:r>
      <w:r w:rsidR="000A7AAB" w:rsidRPr="002C4077">
        <w:t xml:space="preserve"> </w:t>
      </w:r>
      <w:r w:rsidR="000A7AAB">
        <w:t>résista</w:t>
      </w:r>
      <w:r w:rsidR="000A7AAB" w:rsidRPr="002C4077">
        <w:t xml:space="preserve"> </w:t>
      </w:r>
      <w:r w:rsidR="000A7AAB">
        <w:t>vaillamment,</w:t>
      </w:r>
      <w:r w:rsidR="000A7AAB" w:rsidRPr="002C4077">
        <w:t xml:space="preserve"> </w:t>
      </w:r>
      <w:r w:rsidR="000A7AAB">
        <w:t>quoique</w:t>
      </w:r>
      <w:r w:rsidR="000A7AAB" w:rsidRPr="002C4077">
        <w:t xml:space="preserve"> </w:t>
      </w:r>
      <w:r w:rsidR="000A7AAB">
        <w:t>sans</w:t>
      </w:r>
      <w:r w:rsidR="000A7AAB" w:rsidRPr="002C4077">
        <w:t xml:space="preserve"> </w:t>
      </w:r>
      <w:r w:rsidR="000A7AAB">
        <w:t>jactance,</w:t>
      </w:r>
      <w:r w:rsidR="000A7AAB" w:rsidRPr="002C4077">
        <w:t xml:space="preserve"> </w:t>
      </w:r>
      <w:r w:rsidR="000A7AAB">
        <w:t>et</w:t>
      </w:r>
      <w:r w:rsidR="000A7AAB" w:rsidRPr="002C4077">
        <w:t xml:space="preserve"> </w:t>
      </w:r>
      <w:r w:rsidR="000A7AAB">
        <w:t>remporta</w:t>
      </w:r>
      <w:r w:rsidR="000A7AAB" w:rsidRPr="002C4077">
        <w:t xml:space="preserve"> </w:t>
      </w:r>
      <w:r w:rsidR="000A7AAB">
        <w:t>un</w:t>
      </w:r>
      <w:r w:rsidR="000A7AAB" w:rsidRPr="002C4077">
        <w:t xml:space="preserve"> </w:t>
      </w:r>
      <w:r w:rsidR="000A7AAB">
        <w:lastRenderedPageBreak/>
        <w:t>triomphe</w:t>
      </w:r>
      <w:r w:rsidR="000A7AAB" w:rsidRPr="002C4077">
        <w:t xml:space="preserve"> </w:t>
      </w:r>
      <w:r w:rsidR="000A7AAB">
        <w:t>unique,</w:t>
      </w:r>
      <w:r w:rsidR="000A7AAB" w:rsidRPr="002C4077">
        <w:t xml:space="preserve"> </w:t>
      </w:r>
      <w:r w:rsidR="000A7AAB">
        <w:t>sublime</w:t>
      </w:r>
      <w:r w:rsidR="000A7AAB" w:rsidRPr="002C4077">
        <w:t xml:space="preserve"> </w:t>
      </w:r>
      <w:r w:rsidR="000A7AAB">
        <w:t>dans</w:t>
      </w:r>
      <w:r w:rsidR="000A7AAB" w:rsidRPr="002C4077">
        <w:t xml:space="preserve"> </w:t>
      </w:r>
      <w:r w:rsidR="000A7AAB">
        <w:t>sa</w:t>
      </w:r>
      <w:r w:rsidR="000A7AAB" w:rsidRPr="002C4077">
        <w:t xml:space="preserve"> </w:t>
      </w:r>
      <w:r w:rsidR="000A7AAB">
        <w:t>simplicité,</w:t>
      </w:r>
      <w:r w:rsidR="000A7AAB" w:rsidRPr="002C4077">
        <w:t xml:space="preserve"> </w:t>
      </w:r>
      <w:r w:rsidR="000A7AAB">
        <w:t>de</w:t>
      </w:r>
      <w:r w:rsidR="000A7AAB" w:rsidRPr="002C4077">
        <w:t xml:space="preserve"> </w:t>
      </w:r>
      <w:r w:rsidR="000A7AAB">
        <w:t>même</w:t>
      </w:r>
      <w:r w:rsidR="000A7AAB" w:rsidRPr="002C4077">
        <w:t xml:space="preserve"> </w:t>
      </w:r>
      <w:r w:rsidR="000A7AAB">
        <w:t>que</w:t>
      </w:r>
      <w:r w:rsidR="000A7AAB" w:rsidRPr="002C4077">
        <w:t xml:space="preserve"> </w:t>
      </w:r>
      <w:r w:rsidR="000A7AAB">
        <w:t>les</w:t>
      </w:r>
      <w:r w:rsidR="000A7AAB" w:rsidRPr="002C4077">
        <w:t xml:space="preserve"> </w:t>
      </w:r>
      <w:r w:rsidR="000A7AAB">
        <w:t>souffrances</w:t>
      </w:r>
      <w:r w:rsidR="000A7AAB" w:rsidRPr="002C4077">
        <w:t xml:space="preserve"> </w:t>
      </w:r>
      <w:r w:rsidR="000A7AAB">
        <w:t>qu’elle</w:t>
      </w:r>
      <w:r w:rsidR="000A7AAB" w:rsidRPr="002C4077">
        <w:t xml:space="preserve"> </w:t>
      </w:r>
      <w:r w:rsidR="000A7AAB">
        <w:t>eut</w:t>
      </w:r>
      <w:r w:rsidR="000A7AAB" w:rsidRPr="002C4077">
        <w:t xml:space="preserve"> </w:t>
      </w:r>
      <w:r w:rsidR="000A7AAB">
        <w:t>à</w:t>
      </w:r>
      <w:r w:rsidR="000A7AAB" w:rsidRPr="002C4077">
        <w:t xml:space="preserve"> </w:t>
      </w:r>
      <w:r w:rsidR="000A7AAB">
        <w:t>endurer</w:t>
      </w:r>
      <w:r w:rsidR="000A7AAB" w:rsidRPr="002C4077">
        <w:t xml:space="preserve"> </w:t>
      </w:r>
      <w:r w:rsidR="000A7AAB">
        <w:t>furent</w:t>
      </w:r>
      <w:r w:rsidR="000A7AAB" w:rsidRPr="002C4077">
        <w:t xml:space="preserve"> </w:t>
      </w:r>
      <w:r w:rsidR="000A7AAB">
        <w:t>sans</w:t>
      </w:r>
      <w:r w:rsidR="000A7AAB" w:rsidRPr="002C4077">
        <w:t xml:space="preserve"> </w:t>
      </w:r>
      <w:r w:rsidR="000A7AAB">
        <w:t>pareilles.</w:t>
      </w:r>
      <w:r w:rsidR="00C45B47">
        <w:t xml:space="preserve"> {</w:t>
      </w:r>
      <w:r w:rsidR="004C5B7A">
        <w:t>117</w:t>
      </w:r>
      <w:bookmarkStart w:id="335" w:name="p117"/>
      <w:bookmarkEnd w:id="335"/>
      <w:r w:rsidR="004C5B7A">
        <w:t xml:space="preserve">} </w:t>
      </w:r>
      <w:r w:rsidR="000A7AAB">
        <w:t>Combat</w:t>
      </w:r>
      <w:r w:rsidR="000A7AAB" w:rsidRPr="002C4077">
        <w:t xml:space="preserve"> </w:t>
      </w:r>
      <w:r w:rsidR="000A7AAB">
        <w:t>admirable,</w:t>
      </w:r>
      <w:r w:rsidR="000A7AAB" w:rsidRPr="002C4077">
        <w:t xml:space="preserve"> </w:t>
      </w:r>
      <w:r w:rsidR="000A7AAB">
        <w:t>à</w:t>
      </w:r>
      <w:r w:rsidR="000A7AAB" w:rsidRPr="002C4077">
        <w:t xml:space="preserve"> </w:t>
      </w:r>
      <w:r w:rsidR="000A7AAB">
        <w:t>la</w:t>
      </w:r>
      <w:r w:rsidR="000A7AAB" w:rsidRPr="002C4077">
        <w:t xml:space="preserve"> </w:t>
      </w:r>
      <w:r w:rsidR="000A7AAB">
        <w:t>suite</w:t>
      </w:r>
      <w:r w:rsidR="000A7AAB" w:rsidRPr="002C4077">
        <w:t xml:space="preserve"> </w:t>
      </w:r>
      <w:r w:rsidR="000A7AAB">
        <w:t>duquel</w:t>
      </w:r>
      <w:r w:rsidR="000A7AAB" w:rsidRPr="002C4077">
        <w:t xml:space="preserve"> </w:t>
      </w:r>
      <w:r w:rsidR="00B546AF">
        <w:t>« </w:t>
      </w:r>
      <w:r w:rsidR="000A7AAB">
        <w:t>il</w:t>
      </w:r>
      <w:r w:rsidR="000A7AAB" w:rsidRPr="002C4077">
        <w:t xml:space="preserve"> </w:t>
      </w:r>
      <w:r w:rsidR="000A7AAB">
        <w:t>ne</w:t>
      </w:r>
      <w:r w:rsidR="000A7AAB" w:rsidRPr="002C4077">
        <w:t xml:space="preserve"> </w:t>
      </w:r>
      <w:r w:rsidR="000A7AAB">
        <w:t>reste</w:t>
      </w:r>
      <w:r w:rsidR="000A7AAB" w:rsidRPr="002C4077">
        <w:t xml:space="preserve"> </w:t>
      </w:r>
      <w:r w:rsidR="000A7AAB">
        <w:t>que</w:t>
      </w:r>
      <w:r w:rsidR="000A7AAB" w:rsidRPr="002C4077">
        <w:t xml:space="preserve"> </w:t>
      </w:r>
      <w:r w:rsidR="000A7AAB">
        <w:t>le</w:t>
      </w:r>
      <w:r w:rsidR="000A7AAB" w:rsidRPr="002C4077">
        <w:t xml:space="preserve"> </w:t>
      </w:r>
      <w:r w:rsidR="000A7AAB">
        <w:t>héros</w:t>
      </w:r>
      <w:r w:rsidR="000A7AAB" w:rsidRPr="002C4077">
        <w:t xml:space="preserve"> </w:t>
      </w:r>
      <w:r w:rsidR="000A7AAB">
        <w:t>incomparable</w:t>
      </w:r>
      <w:r w:rsidR="000A7AAB" w:rsidRPr="002C4077">
        <w:t xml:space="preserve"> </w:t>
      </w:r>
      <w:r w:rsidR="000A7AAB">
        <w:t>de</w:t>
      </w:r>
      <w:r w:rsidR="000A7AAB" w:rsidRPr="002C4077">
        <w:t xml:space="preserve"> </w:t>
      </w:r>
      <w:r w:rsidR="000A7AAB">
        <w:t>la</w:t>
      </w:r>
      <w:r w:rsidR="000A7AAB" w:rsidRPr="002C4077">
        <w:t xml:space="preserve"> </w:t>
      </w:r>
      <w:r w:rsidR="000A7AAB">
        <w:t>Passion</w:t>
      </w:r>
      <w:r w:rsidR="000A7AAB" w:rsidRPr="002C4077">
        <w:t xml:space="preserve"> </w:t>
      </w:r>
      <w:r w:rsidR="000A7AAB">
        <w:t>et</w:t>
      </w:r>
      <w:r w:rsidR="000A7AAB" w:rsidRPr="002C4077">
        <w:t xml:space="preserve"> </w:t>
      </w:r>
      <w:r w:rsidR="000A7AAB">
        <w:t>le</w:t>
      </w:r>
      <w:r w:rsidR="000A7AAB" w:rsidRPr="002C4077">
        <w:t xml:space="preserve"> </w:t>
      </w:r>
      <w:r w:rsidR="000A7AAB">
        <w:t>modèle</w:t>
      </w:r>
      <w:r w:rsidR="000A7AAB" w:rsidRPr="002C4077">
        <w:t xml:space="preserve"> </w:t>
      </w:r>
      <w:r w:rsidR="000A7AAB">
        <w:t>accompli</w:t>
      </w:r>
      <w:r w:rsidR="000A7AAB" w:rsidRPr="002C4077">
        <w:t xml:space="preserve"> </w:t>
      </w:r>
      <w:r w:rsidR="000A7AAB">
        <w:t>que</w:t>
      </w:r>
      <w:r w:rsidR="000A7AAB" w:rsidRPr="002C4077">
        <w:t xml:space="preserve"> </w:t>
      </w:r>
      <w:r w:rsidR="000A7AAB">
        <w:t>toutes</w:t>
      </w:r>
      <w:r w:rsidR="000A7AAB" w:rsidRPr="002C4077">
        <w:t xml:space="preserve"> </w:t>
      </w:r>
      <w:r w:rsidR="000A7AAB">
        <w:t>les</w:t>
      </w:r>
      <w:r w:rsidR="000A7AAB" w:rsidRPr="002C4077">
        <w:t xml:space="preserve"> </w:t>
      </w:r>
      <w:r w:rsidR="000A7AAB">
        <w:t>âmes</w:t>
      </w:r>
      <w:r w:rsidR="000A7AAB" w:rsidRPr="002C4077">
        <w:t xml:space="preserve"> </w:t>
      </w:r>
      <w:r w:rsidR="000A7AAB">
        <w:t>souffrantes</w:t>
      </w:r>
      <w:r w:rsidR="000A7AAB" w:rsidRPr="002C4077">
        <w:t xml:space="preserve"> </w:t>
      </w:r>
      <w:r w:rsidR="000A7AAB">
        <w:t>méditeront</w:t>
      </w:r>
      <w:r w:rsidR="000A7AAB" w:rsidRPr="002C4077">
        <w:t xml:space="preserve"> </w:t>
      </w:r>
      <w:r w:rsidR="000A7AAB">
        <w:t>pour</w:t>
      </w:r>
      <w:r w:rsidR="000A7AAB" w:rsidRPr="002C4077">
        <w:t xml:space="preserve"> </w:t>
      </w:r>
      <w:r w:rsidR="000A7AAB">
        <w:t>se</w:t>
      </w:r>
      <w:r w:rsidR="000A7AAB" w:rsidRPr="002C4077">
        <w:t xml:space="preserve"> </w:t>
      </w:r>
      <w:r w:rsidR="000A7AAB">
        <w:t>fortifier</w:t>
      </w:r>
      <w:r w:rsidR="000A7AAB" w:rsidRPr="002C4077">
        <w:t xml:space="preserve"> </w:t>
      </w:r>
      <w:r w:rsidR="000A7AAB">
        <w:t>et</w:t>
      </w:r>
      <w:r w:rsidR="000A7AAB" w:rsidRPr="002C4077">
        <w:t xml:space="preserve"> </w:t>
      </w:r>
      <w:r w:rsidR="000A7AAB">
        <w:t>se</w:t>
      </w:r>
      <w:r w:rsidR="000A7AAB" w:rsidRPr="002C4077">
        <w:t xml:space="preserve"> </w:t>
      </w:r>
      <w:r w:rsidR="000A7AAB">
        <w:t>consoler</w:t>
      </w:r>
      <w:r w:rsidR="00B91AF7">
        <w:rPr>
          <w:rStyle w:val="Appelnotedebasdep"/>
        </w:rPr>
        <w:footnoteReference w:id="376"/>
      </w:r>
      <w:r w:rsidR="00B546AF">
        <w:t> »</w:t>
      </w:r>
      <w:r w:rsidR="000A7AAB">
        <w:t>.</w:t>
      </w:r>
      <w:r w:rsidR="000A7AAB" w:rsidRPr="002C4077">
        <w:t xml:space="preserve"> </w:t>
      </w:r>
      <w:r w:rsidR="000A7AAB">
        <w:t>Combat</w:t>
      </w:r>
      <w:r w:rsidR="000A7AAB" w:rsidRPr="002C4077">
        <w:t xml:space="preserve"> </w:t>
      </w:r>
      <w:r w:rsidR="000A7AAB">
        <w:t>admirable,</w:t>
      </w:r>
      <w:r w:rsidR="000A7AAB" w:rsidRPr="002C4077">
        <w:t xml:space="preserve"> </w:t>
      </w:r>
      <w:r w:rsidR="000A7AAB">
        <w:t>où</w:t>
      </w:r>
      <w:r w:rsidR="000A7AAB" w:rsidRPr="002C4077">
        <w:t xml:space="preserve"> </w:t>
      </w:r>
      <w:r w:rsidR="000A7AAB">
        <w:t>l’on</w:t>
      </w:r>
      <w:r w:rsidR="000A7AAB" w:rsidRPr="002C4077">
        <w:t xml:space="preserve"> </w:t>
      </w:r>
      <w:r w:rsidR="000A7AAB">
        <w:t>ajustement</w:t>
      </w:r>
      <w:r w:rsidR="000A7AAB" w:rsidRPr="002C4077">
        <w:t xml:space="preserve"> </w:t>
      </w:r>
      <w:r w:rsidR="000A7AAB">
        <w:t>distingué</w:t>
      </w:r>
      <w:r w:rsidR="000A7AAB" w:rsidRPr="002C4077">
        <w:t xml:space="preserve"> </w:t>
      </w:r>
      <w:r w:rsidR="000A7AAB">
        <w:t>en</w:t>
      </w:r>
      <w:r w:rsidR="000A7AAB" w:rsidRPr="002C4077">
        <w:t xml:space="preserve"> </w:t>
      </w:r>
      <w:r w:rsidR="000A7AAB">
        <w:t>Notre</w:t>
      </w:r>
      <w:r w:rsidR="000A7AAB" w:rsidRPr="002C4077">
        <w:t xml:space="preserve"> </w:t>
      </w:r>
      <w:r w:rsidR="000A7AAB">
        <w:t>Seigneur</w:t>
      </w:r>
      <w:r w:rsidR="000A7AAB" w:rsidRPr="002C4077">
        <w:t xml:space="preserve"> </w:t>
      </w:r>
      <w:r w:rsidR="000A7AAB">
        <w:t>le</w:t>
      </w:r>
      <w:r w:rsidR="000A7AAB" w:rsidRPr="002C4077">
        <w:t xml:space="preserve"> </w:t>
      </w:r>
      <w:r>
        <w:t>prêtre</w:t>
      </w:r>
      <w:r w:rsidR="000A7AAB" w:rsidRPr="002C4077">
        <w:t xml:space="preserve"> </w:t>
      </w:r>
      <w:r w:rsidR="000A7AAB">
        <w:t>et</w:t>
      </w:r>
      <w:r w:rsidR="000A7AAB" w:rsidRPr="002C4077">
        <w:t xml:space="preserve"> </w:t>
      </w:r>
      <w:r w:rsidR="000A7AAB">
        <w:t>la</w:t>
      </w:r>
      <w:r w:rsidR="000A7AAB" w:rsidRPr="002C4077">
        <w:t xml:space="preserve"> </w:t>
      </w:r>
      <w:r w:rsidR="000A7AAB">
        <w:t>victime</w:t>
      </w:r>
      <w:r w:rsidR="00B546AF">
        <w:t> :</w:t>
      </w:r>
      <w:r w:rsidR="000A7AAB" w:rsidRPr="002C4077">
        <w:t xml:space="preserve"> </w:t>
      </w:r>
      <w:r w:rsidR="000A7AAB">
        <w:t>la</w:t>
      </w:r>
      <w:r w:rsidR="000A7AAB" w:rsidRPr="002C4077">
        <w:t xml:space="preserve"> </w:t>
      </w:r>
      <w:r w:rsidR="000A7AAB">
        <w:t>victime</w:t>
      </w:r>
      <w:r w:rsidR="000A7AAB" w:rsidRPr="002C4077">
        <w:t xml:space="preserve"> </w:t>
      </w:r>
      <w:r w:rsidR="000A7AAB">
        <w:t>peut</w:t>
      </w:r>
      <w:r w:rsidR="000A7AAB" w:rsidRPr="002C4077">
        <w:t xml:space="preserve"> </w:t>
      </w:r>
      <w:r w:rsidR="000A7AAB">
        <w:t>bien</w:t>
      </w:r>
      <w:r w:rsidR="000A7AAB" w:rsidRPr="002C4077">
        <w:t xml:space="preserve"> </w:t>
      </w:r>
      <w:r w:rsidR="000A7AAB">
        <w:t>trembler</w:t>
      </w:r>
      <w:r w:rsidR="000A7AAB" w:rsidRPr="002C4077">
        <w:t xml:space="preserve"> </w:t>
      </w:r>
      <w:r w:rsidR="000A7AAB">
        <w:t>un</w:t>
      </w:r>
      <w:r w:rsidR="000A7AAB" w:rsidRPr="002C4077">
        <w:t xml:space="preserve"> </w:t>
      </w:r>
      <w:r w:rsidR="000A7AAB">
        <w:t>instant</w:t>
      </w:r>
      <w:r w:rsidR="000A7AAB" w:rsidRPr="002C4077">
        <w:t xml:space="preserve"> </w:t>
      </w:r>
      <w:r w:rsidR="000A7AAB">
        <w:t>et</w:t>
      </w:r>
      <w:r w:rsidR="000A7AAB" w:rsidRPr="002C4077">
        <w:t xml:space="preserve"> </w:t>
      </w:r>
      <w:r w:rsidR="000A7AAB">
        <w:t>gémir,</w:t>
      </w:r>
      <w:r w:rsidR="000A7AAB" w:rsidRPr="002C4077">
        <w:t xml:space="preserve"> </w:t>
      </w:r>
      <w:r w:rsidR="000A7AAB">
        <w:t>mais</w:t>
      </w:r>
      <w:r w:rsidR="000A7AAB" w:rsidRPr="002C4077">
        <w:t xml:space="preserve"> </w:t>
      </w:r>
      <w:r w:rsidR="000A7AAB">
        <w:t>le</w:t>
      </w:r>
      <w:r w:rsidR="000A7AAB" w:rsidRPr="002C4077">
        <w:t xml:space="preserve"> </w:t>
      </w:r>
      <w:r>
        <w:t>prêtre</w:t>
      </w:r>
      <w:r w:rsidR="000A7AAB" w:rsidRPr="002C4077">
        <w:t xml:space="preserve"> </w:t>
      </w:r>
      <w:r w:rsidR="000A7AAB">
        <w:t>l’immole</w:t>
      </w:r>
      <w:r w:rsidR="000A7AAB" w:rsidRPr="002C4077">
        <w:t xml:space="preserve"> </w:t>
      </w:r>
      <w:r w:rsidR="000A7AAB">
        <w:t>sans</w:t>
      </w:r>
      <w:r w:rsidR="000A7AAB" w:rsidRPr="002C4077">
        <w:t xml:space="preserve"> </w:t>
      </w:r>
      <w:r w:rsidR="000A7AAB">
        <w:t>faiblesse.</w:t>
      </w:r>
      <w:r w:rsidR="000A7AAB" w:rsidRPr="002C4077">
        <w:t xml:space="preserve"> </w:t>
      </w:r>
      <w:r w:rsidR="000A7AAB" w:rsidRPr="000A34B5">
        <w:rPr>
          <w:rStyle w:val="italicus"/>
        </w:rPr>
        <w:t>Factus</w:t>
      </w:r>
      <w:r w:rsidR="000A7AAB" w:rsidRPr="002C4077">
        <w:t xml:space="preserve"> </w:t>
      </w:r>
      <w:r w:rsidR="000A7AAB" w:rsidRPr="000A34B5">
        <w:rPr>
          <w:rStyle w:val="italicus"/>
        </w:rPr>
        <w:t>in</w:t>
      </w:r>
      <w:r w:rsidR="000A7AAB" w:rsidRPr="002C4077">
        <w:t xml:space="preserve"> </w:t>
      </w:r>
      <w:r w:rsidR="006E7907" w:rsidRPr="000A34B5">
        <w:rPr>
          <w:rStyle w:val="italicus"/>
        </w:rPr>
        <w:t>agónia</w:t>
      </w:r>
      <w:r w:rsidR="006E7907" w:rsidRPr="002C4077">
        <w:t xml:space="preserve"> </w:t>
      </w:r>
      <w:r w:rsidR="000A7AAB" w:rsidRPr="000A34B5">
        <w:rPr>
          <w:rStyle w:val="italicus"/>
        </w:rPr>
        <w:t>pr</w:t>
      </w:r>
      <w:r w:rsidR="001730C6" w:rsidRPr="000A34B5">
        <w:rPr>
          <w:rStyle w:val="italicus"/>
        </w:rPr>
        <w:t>ol</w:t>
      </w:r>
      <w:r w:rsidR="003B53FD">
        <w:rPr>
          <w:rStyle w:val="italicus"/>
        </w:rPr>
        <w:t>í</w:t>
      </w:r>
      <w:r w:rsidR="003B53FD" w:rsidRPr="000A34B5">
        <w:rPr>
          <w:rStyle w:val="italicus"/>
        </w:rPr>
        <w:t>xius</w:t>
      </w:r>
      <w:r w:rsidR="000A7AAB" w:rsidRPr="002C4077">
        <w:t xml:space="preserve"> </w:t>
      </w:r>
      <w:r w:rsidR="003B53FD" w:rsidRPr="000A34B5">
        <w:rPr>
          <w:rStyle w:val="italicus"/>
        </w:rPr>
        <w:t>or</w:t>
      </w:r>
      <w:r w:rsidR="003B53FD">
        <w:rPr>
          <w:rStyle w:val="italicus"/>
        </w:rPr>
        <w:t>á</w:t>
      </w:r>
      <w:r w:rsidR="003B53FD" w:rsidRPr="000A34B5">
        <w:rPr>
          <w:rStyle w:val="italicus"/>
        </w:rPr>
        <w:t>bat</w:t>
      </w:r>
      <w:r w:rsidR="000A7AAB" w:rsidRPr="000A34B5">
        <w:rPr>
          <w:rStyle w:val="italicus"/>
        </w:rPr>
        <w:t>…</w:t>
      </w:r>
      <w:r w:rsidR="000A7AAB" w:rsidRPr="002C4077">
        <w:t xml:space="preserve"> </w:t>
      </w:r>
      <w:r w:rsidR="000A7AAB" w:rsidRPr="000A34B5">
        <w:rPr>
          <w:rStyle w:val="italicus"/>
        </w:rPr>
        <w:t>Pat</w:t>
      </w:r>
      <w:r w:rsidR="006E7907">
        <w:rPr>
          <w:rStyle w:val="italicus"/>
        </w:rPr>
        <w:t>er,</w:t>
      </w:r>
      <w:r w:rsidR="006E7907" w:rsidRPr="002C4077">
        <w:t xml:space="preserve"> </w:t>
      </w:r>
      <w:r w:rsidR="006E7907">
        <w:rPr>
          <w:rStyle w:val="italicus"/>
        </w:rPr>
        <w:t>non</w:t>
      </w:r>
      <w:r w:rsidR="006E7907" w:rsidRPr="002C4077">
        <w:t xml:space="preserve"> </w:t>
      </w:r>
      <w:r w:rsidR="006E7907">
        <w:rPr>
          <w:rStyle w:val="italicus"/>
        </w:rPr>
        <w:t>sicut</w:t>
      </w:r>
      <w:r w:rsidR="006E7907" w:rsidRPr="002C4077">
        <w:t xml:space="preserve"> </w:t>
      </w:r>
      <w:r w:rsidR="006E7907">
        <w:rPr>
          <w:rStyle w:val="italicus"/>
        </w:rPr>
        <w:t>ego</w:t>
      </w:r>
      <w:r w:rsidR="006E7907" w:rsidRPr="002C4077">
        <w:t xml:space="preserve"> </w:t>
      </w:r>
      <w:r w:rsidR="006E7907">
        <w:rPr>
          <w:rStyle w:val="italicus"/>
        </w:rPr>
        <w:t>volo,</w:t>
      </w:r>
      <w:r w:rsidR="006E7907" w:rsidRPr="002C4077">
        <w:t xml:space="preserve"> </w:t>
      </w:r>
      <w:r w:rsidR="006E7907">
        <w:rPr>
          <w:rStyle w:val="italicus"/>
        </w:rPr>
        <w:t>sed</w:t>
      </w:r>
      <w:r w:rsidR="006E7907" w:rsidRPr="002C4077">
        <w:t xml:space="preserve"> </w:t>
      </w:r>
      <w:r w:rsidR="006E7907">
        <w:rPr>
          <w:rStyle w:val="italicus"/>
        </w:rPr>
        <w:t>sicu</w:t>
      </w:r>
      <w:r w:rsidR="000A7AAB" w:rsidRPr="000A34B5">
        <w:rPr>
          <w:rStyle w:val="italicus"/>
        </w:rPr>
        <w:t>t</w:t>
      </w:r>
      <w:r w:rsidR="000A7AAB" w:rsidRPr="002C4077">
        <w:t xml:space="preserve"> </w:t>
      </w:r>
      <w:r w:rsidR="000A7AAB" w:rsidRPr="000A34B5">
        <w:rPr>
          <w:rStyle w:val="italicus"/>
        </w:rPr>
        <w:t>tu.</w:t>
      </w:r>
      <w:r w:rsidR="000A7AAB" w:rsidRPr="002C4077">
        <w:t xml:space="preserve"> </w:t>
      </w:r>
      <w:r w:rsidR="000A7AAB" w:rsidRPr="000A34B5">
        <w:rPr>
          <w:rStyle w:val="italicus"/>
        </w:rPr>
        <w:t>Fiat</w:t>
      </w:r>
      <w:r w:rsidR="000A7AAB" w:rsidRPr="002C4077">
        <w:t xml:space="preserve"> </w:t>
      </w:r>
      <w:r w:rsidR="006E7907" w:rsidRPr="000A34B5">
        <w:rPr>
          <w:rStyle w:val="italicus"/>
        </w:rPr>
        <w:t>volúntas</w:t>
      </w:r>
      <w:r w:rsidR="000A7AAB" w:rsidRPr="002C4077">
        <w:t xml:space="preserve"> </w:t>
      </w:r>
      <w:r w:rsidR="000A7AAB" w:rsidRPr="000A34B5">
        <w:rPr>
          <w:rStyle w:val="italicus"/>
        </w:rPr>
        <w:t>tua</w:t>
      </w:r>
      <w:r w:rsidR="00B91AF7">
        <w:rPr>
          <w:rStyle w:val="Appelnotedebasdep"/>
          <w:i/>
        </w:rPr>
        <w:footnoteReference w:id="377"/>
      </w:r>
      <w:r w:rsidR="000A7AAB">
        <w:t>.</w:t>
      </w:r>
      <w:r w:rsidR="000A7AAB" w:rsidRPr="002C4077">
        <w:t xml:space="preserve"> </w:t>
      </w:r>
      <w:r w:rsidR="000A7AAB">
        <w:t>Si,</w:t>
      </w:r>
      <w:r w:rsidR="000A7AAB" w:rsidRPr="002C4077">
        <w:t xml:space="preserve"> </w:t>
      </w:r>
      <w:r w:rsidR="000A7AAB">
        <w:t>dans</w:t>
      </w:r>
      <w:r w:rsidR="000A7AAB" w:rsidRPr="002C4077">
        <w:t xml:space="preserve"> </w:t>
      </w:r>
      <w:r w:rsidR="000A7AAB" w:rsidRPr="006E7907">
        <w:t>cette</w:t>
      </w:r>
      <w:r w:rsidR="000A7AAB" w:rsidRPr="002C4077">
        <w:t xml:space="preserve"> </w:t>
      </w:r>
      <w:r w:rsidR="000A7AAB" w:rsidRPr="006E7907">
        <w:t>lutte,</w:t>
      </w:r>
      <w:r w:rsidR="000A7AAB" w:rsidRPr="002C4077">
        <w:t xml:space="preserve"> </w:t>
      </w:r>
      <w:r w:rsidR="000A7AAB" w:rsidRPr="006E7907">
        <w:t>l’</w:t>
      </w:r>
      <w:r w:rsidR="006E7907" w:rsidRPr="006E7907">
        <w:t>ἀσθένεια</w:t>
      </w:r>
      <w:r w:rsidR="006E7907" w:rsidRPr="002C4077">
        <w:t xml:space="preserve"> </w:t>
      </w:r>
      <w:r w:rsidR="006E7907" w:rsidRPr="006E7907">
        <w:t>τῆς</w:t>
      </w:r>
      <w:r w:rsidR="006E7907" w:rsidRPr="002C4077">
        <w:t xml:space="preserve"> </w:t>
      </w:r>
      <w:r w:rsidR="006E7907">
        <w:t>σ</w:t>
      </w:r>
      <w:r w:rsidR="006E7907" w:rsidRPr="006E7907">
        <w:t>αρκός</w:t>
      </w:r>
      <w:r w:rsidR="006E7907" w:rsidRPr="004440EA">
        <w:t xml:space="preserve"> </w:t>
      </w:r>
      <w:r w:rsidR="000A7AAB" w:rsidRPr="004440EA">
        <w:t>(</w:t>
      </w:r>
      <w:r w:rsidR="000A7AAB" w:rsidRPr="006E7907">
        <w:t>la</w:t>
      </w:r>
      <w:r w:rsidR="000A7AAB" w:rsidRPr="002C4077">
        <w:t xml:space="preserve"> </w:t>
      </w:r>
      <w:r w:rsidR="000A7AAB" w:rsidRPr="006E7907">
        <w:t>faiblesse</w:t>
      </w:r>
      <w:r w:rsidR="000A7AAB" w:rsidRPr="002C4077">
        <w:t xml:space="preserve"> </w:t>
      </w:r>
      <w:r w:rsidR="000A7AAB">
        <w:t>de</w:t>
      </w:r>
      <w:r w:rsidR="000A7AAB" w:rsidRPr="002C4077">
        <w:t xml:space="preserve"> </w:t>
      </w:r>
      <w:r w:rsidR="000A7AAB">
        <w:t>la</w:t>
      </w:r>
      <w:r w:rsidR="000A7AAB" w:rsidRPr="002C4077">
        <w:t xml:space="preserve"> </w:t>
      </w:r>
      <w:r w:rsidR="000A7AAB">
        <w:t>chair</w:t>
      </w:r>
      <w:r w:rsidR="00B546AF" w:rsidRPr="002C4077">
        <w:t>)</w:t>
      </w:r>
      <w:r w:rsidR="000A7AAB" w:rsidRPr="002C4077">
        <w:t xml:space="preserve"> </w:t>
      </w:r>
      <w:r>
        <w:t>est</w:t>
      </w:r>
      <w:r w:rsidR="000A7AAB" w:rsidRPr="002C4077">
        <w:t xml:space="preserve"> </w:t>
      </w:r>
      <w:r w:rsidR="000A7AAB">
        <w:t>visible,</w:t>
      </w:r>
      <w:r w:rsidR="000A7AAB" w:rsidRPr="002C4077">
        <w:t xml:space="preserve"> </w:t>
      </w:r>
      <w:r w:rsidR="000A7AAB">
        <w:t>pour</w:t>
      </w:r>
      <w:r w:rsidR="000A7AAB" w:rsidRPr="002C4077">
        <w:t xml:space="preserve"> </w:t>
      </w:r>
      <w:r w:rsidR="000A7AAB">
        <w:t>employer</w:t>
      </w:r>
      <w:r w:rsidR="000A7AAB" w:rsidRPr="002C4077">
        <w:t xml:space="preserve"> </w:t>
      </w:r>
      <w:r w:rsidR="000A7AAB">
        <w:t>les</w:t>
      </w:r>
      <w:r w:rsidR="000A7AAB" w:rsidRPr="002C4077">
        <w:t xml:space="preserve"> </w:t>
      </w:r>
      <w:r w:rsidR="000A7AAB">
        <w:t>fortes</w:t>
      </w:r>
      <w:r w:rsidR="000A7AAB" w:rsidRPr="002C4077">
        <w:t xml:space="preserve"> </w:t>
      </w:r>
      <w:r w:rsidR="000A7AAB">
        <w:t>expressions</w:t>
      </w:r>
      <w:r w:rsidR="000A7AAB" w:rsidRPr="002C4077">
        <w:t xml:space="preserve"> </w:t>
      </w:r>
      <w:r w:rsidR="000A7AAB">
        <w:t>d’Origène</w:t>
      </w:r>
      <w:r w:rsidR="004D315A">
        <w:rPr>
          <w:rStyle w:val="Appelnotedebasdep"/>
        </w:rPr>
        <w:footnoteReference w:id="378"/>
      </w:r>
      <w:r w:rsidR="000A7AAB">
        <w:t>,</w:t>
      </w:r>
      <w:r w:rsidR="000A7AAB" w:rsidRPr="002C4077">
        <w:t xml:space="preserve"> </w:t>
      </w:r>
      <w:r w:rsidR="000A7AAB" w:rsidRPr="006E7907">
        <w:t>la</w:t>
      </w:r>
      <w:r w:rsidR="000A7AAB" w:rsidRPr="002C4077">
        <w:t xml:space="preserve"> </w:t>
      </w:r>
      <w:r w:rsidR="006E7907" w:rsidRPr="006E7907">
        <w:t>προθυμία</w:t>
      </w:r>
      <w:r w:rsidR="006E7907" w:rsidRPr="002C4077">
        <w:t xml:space="preserve"> </w:t>
      </w:r>
      <w:r w:rsidR="006E7907" w:rsidRPr="006E7907">
        <w:t>το</w:t>
      </w:r>
      <w:r w:rsidR="006E7907">
        <w:t>ῦ</w:t>
      </w:r>
      <w:r w:rsidR="006E7907" w:rsidRPr="002C4077">
        <w:t xml:space="preserve"> </w:t>
      </w:r>
      <w:r w:rsidR="006E7907" w:rsidRPr="006E7907">
        <w:t>πνεύματος</w:t>
      </w:r>
      <w:r w:rsidR="006E7907" w:rsidRPr="004440EA">
        <w:t xml:space="preserve"> </w:t>
      </w:r>
      <w:r w:rsidR="000A7AAB" w:rsidRPr="004440EA">
        <w:t>(</w:t>
      </w:r>
      <w:r w:rsidR="000A7AAB">
        <w:t>l’élan</w:t>
      </w:r>
      <w:r w:rsidR="000A7AAB" w:rsidRPr="002C4077">
        <w:t xml:space="preserve"> </w:t>
      </w:r>
      <w:r w:rsidR="000A7AAB">
        <w:t>de</w:t>
      </w:r>
      <w:r w:rsidR="000A7AAB" w:rsidRPr="002C4077">
        <w:t xml:space="preserve"> </w:t>
      </w:r>
      <w:r w:rsidR="000A7AAB">
        <w:t>l’esprit</w:t>
      </w:r>
      <w:r w:rsidR="00B546AF" w:rsidRPr="002C4077">
        <w:t>)</w:t>
      </w:r>
      <w:r w:rsidR="000A7AAB" w:rsidRPr="002C4077">
        <w:t xml:space="preserve"> </w:t>
      </w:r>
      <w:r w:rsidR="000A7AAB">
        <w:t>l’est</w:t>
      </w:r>
      <w:r w:rsidR="000A7AAB" w:rsidRPr="002C4077">
        <w:t xml:space="preserve"> </w:t>
      </w:r>
      <w:r w:rsidR="000A7AAB">
        <w:t>cent</w:t>
      </w:r>
      <w:r w:rsidR="000A7AAB" w:rsidRPr="002C4077">
        <w:t xml:space="preserve"> </w:t>
      </w:r>
      <w:r w:rsidR="000A7AAB">
        <w:t>fois</w:t>
      </w:r>
      <w:r w:rsidR="000A7AAB" w:rsidRPr="002C4077">
        <w:t xml:space="preserve"> </w:t>
      </w:r>
      <w:r w:rsidR="000A7AAB">
        <w:t>plus</w:t>
      </w:r>
      <w:r w:rsidR="000A7AAB" w:rsidRPr="002C4077">
        <w:t xml:space="preserve"> </w:t>
      </w:r>
      <w:r w:rsidR="000A7AAB">
        <w:t>encore.</w:t>
      </w:r>
      <w:r w:rsidR="000A7AAB" w:rsidRPr="002C4077">
        <w:t xml:space="preserve"> </w:t>
      </w:r>
      <w:r w:rsidR="000A7AAB">
        <w:t>Plaignons</w:t>
      </w:r>
      <w:r w:rsidR="000A7AAB" w:rsidRPr="002C4077">
        <w:t xml:space="preserve"> </w:t>
      </w:r>
      <w:r w:rsidR="000A7AAB">
        <w:t>ceux</w:t>
      </w:r>
      <w:r w:rsidR="000A7AAB" w:rsidRPr="002C4077">
        <w:t xml:space="preserve"> </w:t>
      </w:r>
      <w:r w:rsidR="000A7AAB">
        <w:t>qui</w:t>
      </w:r>
      <w:r w:rsidR="000A7AAB" w:rsidRPr="002C4077">
        <w:t xml:space="preserve"> </w:t>
      </w:r>
      <w:r w:rsidR="000A7AAB">
        <w:t>ont</w:t>
      </w:r>
      <w:r w:rsidR="000A7AAB" w:rsidRPr="002C4077">
        <w:t xml:space="preserve"> </w:t>
      </w:r>
      <w:r w:rsidR="000A7AAB">
        <w:t>perdu</w:t>
      </w:r>
      <w:r w:rsidR="000A7AAB" w:rsidRPr="002C4077">
        <w:t xml:space="preserve"> </w:t>
      </w:r>
      <w:r w:rsidR="000A7AAB">
        <w:t>l’intelligence</w:t>
      </w:r>
      <w:r w:rsidR="000A7AAB" w:rsidRPr="002C4077">
        <w:t xml:space="preserve"> </w:t>
      </w:r>
      <w:r w:rsidR="000A7AAB">
        <w:t>de</w:t>
      </w:r>
      <w:r w:rsidR="000A7AAB" w:rsidRPr="002C4077">
        <w:t xml:space="preserve"> </w:t>
      </w:r>
      <w:r w:rsidR="000A7AAB">
        <w:t>ces</w:t>
      </w:r>
      <w:r w:rsidR="000A7AAB" w:rsidRPr="002C4077">
        <w:t xml:space="preserve"> </w:t>
      </w:r>
      <w:r w:rsidR="000A7AAB">
        <w:t>choses</w:t>
      </w:r>
      <w:bookmarkStart w:id="336" w:name="z_Agonie_o2"/>
      <w:bookmarkEnd w:id="336"/>
      <w:r w:rsidR="000A7AAB">
        <w:t>.</w:t>
      </w:r>
      <w:r w:rsidR="000A7AAB" w:rsidRPr="002C4077">
        <w:t xml:space="preserve"> </w:t>
      </w:r>
    </w:p>
    <w:p w:rsidR="000D12F1" w:rsidRDefault="000D12F1" w:rsidP="00B546AF"/>
    <w:p w:rsidR="004D315A" w:rsidRPr="004D315A" w:rsidRDefault="004D315A" w:rsidP="00B546AF">
      <w:r w:rsidRPr="004D315A">
        <w:t>3</w:t>
      </w:r>
      <w:r w:rsidR="000D12F1">
        <w:t>.</w:t>
      </w:r>
      <w:r w:rsidRPr="002C4077">
        <w:t xml:space="preserve"> </w:t>
      </w:r>
      <w:r w:rsidRPr="004D315A">
        <w:t>La</w:t>
      </w:r>
      <w:r w:rsidRPr="002C4077">
        <w:t xml:space="preserve"> </w:t>
      </w:r>
      <w:r w:rsidRPr="004D315A">
        <w:t>nature</w:t>
      </w:r>
      <w:r w:rsidRPr="002C4077">
        <w:t xml:space="preserve"> </w:t>
      </w:r>
      <w:r w:rsidRPr="004D315A">
        <w:t>de</w:t>
      </w:r>
      <w:r w:rsidRPr="002C4077">
        <w:t xml:space="preserve"> </w:t>
      </w:r>
      <w:r w:rsidRPr="004D315A">
        <w:t>la</w:t>
      </w:r>
      <w:r w:rsidRPr="002C4077">
        <w:t xml:space="preserve"> </w:t>
      </w:r>
      <w:r w:rsidRPr="004D315A">
        <w:t>sueur</w:t>
      </w:r>
      <w:r w:rsidRPr="002C4077">
        <w:t xml:space="preserve"> </w:t>
      </w:r>
      <w:r w:rsidRPr="004D315A">
        <w:t>qui,</w:t>
      </w:r>
      <w:r w:rsidRPr="002C4077">
        <w:t xml:space="preserve"> </w:t>
      </w:r>
      <w:r w:rsidRPr="004D315A">
        <w:t>sous</w:t>
      </w:r>
      <w:r w:rsidRPr="002C4077">
        <w:t xml:space="preserve"> </w:t>
      </w:r>
      <w:r w:rsidRPr="004D315A">
        <w:t>la</w:t>
      </w:r>
      <w:r w:rsidRPr="002C4077">
        <w:t xml:space="preserve"> </w:t>
      </w:r>
      <w:r w:rsidRPr="004D315A">
        <w:t>pression</w:t>
      </w:r>
      <w:r w:rsidRPr="002C4077">
        <w:t xml:space="preserve"> </w:t>
      </w:r>
      <w:r w:rsidRPr="004D315A">
        <w:t>de</w:t>
      </w:r>
      <w:r w:rsidRPr="002C4077">
        <w:t xml:space="preserve"> </w:t>
      </w:r>
      <w:r w:rsidRPr="004D315A">
        <w:t>l</w:t>
      </w:r>
      <w:r w:rsidR="00B546AF">
        <w:t>’</w:t>
      </w:r>
      <w:r w:rsidRPr="004D315A">
        <w:t>agonie,</w:t>
      </w:r>
      <w:r w:rsidRPr="002C4077">
        <w:t xml:space="preserve"> </w:t>
      </w:r>
      <w:r w:rsidRPr="004D315A">
        <w:t>s</w:t>
      </w:r>
      <w:r w:rsidR="00B546AF">
        <w:t>’</w:t>
      </w:r>
      <w:r w:rsidRPr="004D315A">
        <w:t>échappa</w:t>
      </w:r>
      <w:r w:rsidRPr="002C4077">
        <w:t xml:space="preserve"> </w:t>
      </w:r>
      <w:r w:rsidRPr="004D315A">
        <w:t>si</w:t>
      </w:r>
      <w:r w:rsidRPr="002C4077">
        <w:t xml:space="preserve"> </w:t>
      </w:r>
      <w:r w:rsidRPr="004D315A">
        <w:t>abondamment</w:t>
      </w:r>
      <w:r w:rsidRPr="002C4077">
        <w:t xml:space="preserve"> </w:t>
      </w:r>
      <w:r w:rsidRPr="004D315A">
        <w:t>du</w:t>
      </w:r>
      <w:r w:rsidRPr="002C4077">
        <w:t xml:space="preserve"> </w:t>
      </w:r>
      <w:r w:rsidRPr="004D315A">
        <w:t>corps</w:t>
      </w:r>
      <w:r w:rsidRPr="002C4077">
        <w:t xml:space="preserve"> </w:t>
      </w:r>
      <w:r w:rsidRPr="004D315A">
        <w:t>sacré</w:t>
      </w:r>
      <w:r w:rsidRPr="002C4077">
        <w:t xml:space="preserve"> </w:t>
      </w:r>
      <w:r w:rsidRPr="004D315A">
        <w:t>de</w:t>
      </w:r>
      <w:r w:rsidRPr="002C4077">
        <w:t xml:space="preserve"> </w:t>
      </w:r>
      <w:r w:rsidR="00425C50">
        <w:t>Jésus</w:t>
      </w:r>
      <w:r w:rsidRPr="004D315A">
        <w:t>,</w:t>
      </w:r>
      <w:r w:rsidRPr="002C4077">
        <w:t xml:space="preserve"> </w:t>
      </w:r>
      <w:r w:rsidRPr="004D315A">
        <w:t>a</w:t>
      </w:r>
      <w:r w:rsidRPr="002C4077">
        <w:t xml:space="preserve"> </w:t>
      </w:r>
      <w:r w:rsidRPr="004D315A">
        <w:t>occasionné</w:t>
      </w:r>
      <w:r w:rsidRPr="002C4077">
        <w:t xml:space="preserve"> </w:t>
      </w:r>
      <w:r w:rsidRPr="004D315A">
        <w:t>d</w:t>
      </w:r>
      <w:r w:rsidR="00B546AF">
        <w:t>’</w:t>
      </w:r>
      <w:r w:rsidRPr="004D315A">
        <w:t>assez</w:t>
      </w:r>
      <w:r w:rsidRPr="002C4077">
        <w:t xml:space="preserve"> </w:t>
      </w:r>
      <w:r w:rsidRPr="004D315A">
        <w:t>bonne</w:t>
      </w:r>
      <w:r w:rsidRPr="002C4077">
        <w:t xml:space="preserve"> </w:t>
      </w:r>
      <w:r w:rsidRPr="004D315A">
        <w:t>heure</w:t>
      </w:r>
      <w:r w:rsidRPr="002C4077">
        <w:t xml:space="preserve"> </w:t>
      </w:r>
      <w:r w:rsidRPr="004D315A">
        <w:t>une</w:t>
      </w:r>
      <w:r w:rsidRPr="002C4077">
        <w:t xml:space="preserve"> </w:t>
      </w:r>
      <w:r w:rsidRPr="004D315A">
        <w:t>autre</w:t>
      </w:r>
      <w:r w:rsidRPr="002C4077">
        <w:t xml:space="preserve"> </w:t>
      </w:r>
      <w:r w:rsidRPr="004D315A">
        <w:t>interprétation</w:t>
      </w:r>
      <w:r w:rsidRPr="002C4077">
        <w:t xml:space="preserve"> </w:t>
      </w:r>
      <w:r w:rsidRPr="004D315A">
        <w:t>erronée,</w:t>
      </w:r>
      <w:r w:rsidRPr="002C4077">
        <w:t xml:space="preserve"> </w:t>
      </w:r>
      <w:r w:rsidRPr="004D315A">
        <w:t>qu</w:t>
      </w:r>
      <w:r w:rsidR="00B546AF">
        <w:t>’</w:t>
      </w:r>
      <w:r w:rsidRPr="004D315A">
        <w:t>ont</w:t>
      </w:r>
      <w:r w:rsidRPr="002C4077">
        <w:t xml:space="preserve"> </w:t>
      </w:r>
      <w:r w:rsidRPr="004D315A">
        <w:t>adoptée</w:t>
      </w:r>
      <w:r w:rsidRPr="002C4077">
        <w:t xml:space="preserve"> </w:t>
      </w:r>
      <w:r w:rsidRPr="004D315A">
        <w:t>parfois,</w:t>
      </w:r>
      <w:r w:rsidRPr="002C4077">
        <w:t xml:space="preserve"> </w:t>
      </w:r>
      <w:r w:rsidRPr="004D315A">
        <w:t>nous</w:t>
      </w:r>
      <w:r w:rsidRPr="002C4077">
        <w:t xml:space="preserve"> </w:t>
      </w:r>
      <w:r w:rsidRPr="004D315A">
        <w:t>avons</w:t>
      </w:r>
      <w:r w:rsidRPr="002C4077">
        <w:t xml:space="preserve"> </w:t>
      </w:r>
      <w:r w:rsidRPr="004D315A">
        <w:t>le</w:t>
      </w:r>
      <w:r w:rsidRPr="002C4077">
        <w:t xml:space="preserve"> </w:t>
      </w:r>
      <w:r w:rsidRPr="004D315A">
        <w:t>regret</w:t>
      </w:r>
      <w:r w:rsidRPr="002C4077">
        <w:t xml:space="preserve"> </w:t>
      </w:r>
      <w:r w:rsidRPr="004D315A">
        <w:t>de</w:t>
      </w:r>
      <w:r w:rsidRPr="002C4077">
        <w:t xml:space="preserve"> </w:t>
      </w:r>
      <w:r w:rsidRPr="004D315A">
        <w:t>le</w:t>
      </w:r>
      <w:r w:rsidRPr="002C4077">
        <w:t xml:space="preserve"> </w:t>
      </w:r>
      <w:r w:rsidRPr="004D315A">
        <w:t>dire,</w:t>
      </w:r>
      <w:r w:rsidRPr="002C4077">
        <w:t xml:space="preserve"> </w:t>
      </w:r>
      <w:r>
        <w:t>même</w:t>
      </w:r>
      <w:r w:rsidRPr="002C4077">
        <w:t xml:space="preserve"> </w:t>
      </w:r>
      <w:r>
        <w:t>des</w:t>
      </w:r>
      <w:r w:rsidRPr="002C4077">
        <w:t xml:space="preserve"> </w:t>
      </w:r>
      <w:r>
        <w:t>commentateurs</w:t>
      </w:r>
      <w:r w:rsidRPr="002C4077">
        <w:t xml:space="preserve"> </w:t>
      </w:r>
      <w:r>
        <w:t>catholiques</w:t>
      </w:r>
      <w:r>
        <w:rPr>
          <w:rStyle w:val="Appelnotedebasdep"/>
        </w:rPr>
        <w:footnoteReference w:id="379"/>
      </w:r>
      <w:r w:rsidRPr="004D315A">
        <w:t>,</w:t>
      </w:r>
      <w:r w:rsidRPr="002C4077">
        <w:t xml:space="preserve"> </w:t>
      </w:r>
      <w:r w:rsidRPr="004D315A">
        <w:t>quoique</w:t>
      </w:r>
      <w:r w:rsidRPr="002C4077">
        <w:t xml:space="preserve"> </w:t>
      </w:r>
      <w:r w:rsidRPr="004D315A">
        <w:t>la</w:t>
      </w:r>
      <w:r w:rsidRPr="002C4077">
        <w:t xml:space="preserve"> </w:t>
      </w:r>
      <w:r w:rsidRPr="004D315A">
        <w:t>plupart</w:t>
      </w:r>
      <w:r w:rsidRPr="002C4077">
        <w:t xml:space="preserve"> </w:t>
      </w:r>
      <w:r w:rsidRPr="004D315A">
        <w:t>de</w:t>
      </w:r>
      <w:r w:rsidRPr="002C4077">
        <w:t xml:space="preserve"> </w:t>
      </w:r>
      <w:r w:rsidRPr="004D315A">
        <w:t>ses</w:t>
      </w:r>
      <w:r w:rsidRPr="002C4077">
        <w:t xml:space="preserve"> </w:t>
      </w:r>
      <w:r w:rsidRPr="004D315A">
        <w:t>derniers</w:t>
      </w:r>
      <w:r w:rsidRPr="002C4077">
        <w:t xml:space="preserve"> </w:t>
      </w:r>
      <w:r w:rsidRPr="004D315A">
        <w:t>défenseurs</w:t>
      </w:r>
      <w:r w:rsidRPr="002C4077">
        <w:t xml:space="preserve"> </w:t>
      </w:r>
      <w:r w:rsidRPr="004D315A">
        <w:t>soient</w:t>
      </w:r>
      <w:r w:rsidRPr="002C4077">
        <w:t xml:space="preserve"> </w:t>
      </w:r>
      <w:r w:rsidRPr="004D315A">
        <w:t>protestants</w:t>
      </w:r>
      <w:r w:rsidRPr="002C4077">
        <w:t xml:space="preserve"> </w:t>
      </w:r>
      <w:r w:rsidRPr="004D315A">
        <w:t>ou</w:t>
      </w:r>
      <w:r w:rsidRPr="002C4077">
        <w:t xml:space="preserve"> </w:t>
      </w:r>
      <w:r w:rsidRPr="004D315A">
        <w:t>rationalistes</w:t>
      </w:r>
      <w:r>
        <w:rPr>
          <w:rStyle w:val="Appelnotedebasdep"/>
        </w:rPr>
        <w:footnoteReference w:id="380"/>
      </w:r>
      <w:r w:rsidRPr="004D315A">
        <w:t>.</w:t>
      </w:r>
    </w:p>
    <w:p w:rsidR="000A7AAB" w:rsidRPr="004C5B7A" w:rsidRDefault="004D315A" w:rsidP="000A7AAB">
      <w:r>
        <w:t>Ces</w:t>
      </w:r>
      <w:r w:rsidRPr="002C4077">
        <w:t xml:space="preserve"> </w:t>
      </w:r>
      <w:r>
        <w:t>divers</w:t>
      </w:r>
      <w:r w:rsidRPr="002C4077">
        <w:t xml:space="preserve"> </w:t>
      </w:r>
      <w:r>
        <w:t>écrivains,</w:t>
      </w:r>
      <w:r w:rsidRPr="002C4077">
        <w:t xml:space="preserve"> </w:t>
      </w:r>
      <w:r>
        <w:t>se</w:t>
      </w:r>
      <w:r w:rsidRPr="002C4077">
        <w:t xml:space="preserve"> </w:t>
      </w:r>
      <w:r>
        <w:t>basant</w:t>
      </w:r>
      <w:r w:rsidRPr="002C4077">
        <w:t xml:space="preserve"> </w:t>
      </w:r>
      <w:r>
        <w:t>sur</w:t>
      </w:r>
      <w:r w:rsidRPr="002C4077">
        <w:t xml:space="preserve"> </w:t>
      </w:r>
      <w:r>
        <w:t>la</w:t>
      </w:r>
      <w:r w:rsidRPr="002C4077">
        <w:t xml:space="preserve"> </w:t>
      </w:r>
      <w:r>
        <w:t>particule</w:t>
      </w:r>
      <w:r w:rsidRPr="002C4077">
        <w:t xml:space="preserve"> </w:t>
      </w:r>
      <w:r w:rsidR="009A5015">
        <w:t>ὡ</w:t>
      </w:r>
      <w:r w:rsidR="006E7907" w:rsidRPr="006E7907">
        <w:t>σεί</w:t>
      </w:r>
      <w:r w:rsidRPr="000A34B5">
        <w:rPr>
          <w:rStyle w:val="italicus"/>
        </w:rPr>
        <w:t>,</w:t>
      </w:r>
      <w:r w:rsidRPr="002C4077">
        <w:t xml:space="preserve"> </w:t>
      </w:r>
      <w:r w:rsidRPr="000A34B5">
        <w:rPr>
          <w:rStyle w:val="italicus"/>
        </w:rPr>
        <w:t>sicut,</w:t>
      </w:r>
      <w:r w:rsidRPr="002C4077">
        <w:t xml:space="preserve"> </w:t>
      </w:r>
      <w:r>
        <w:t>ont</w:t>
      </w:r>
      <w:r w:rsidRPr="002C4077">
        <w:t xml:space="preserve"> </w:t>
      </w:r>
      <w:r>
        <w:t>prétendu</w:t>
      </w:r>
      <w:r w:rsidRPr="002C4077">
        <w:t xml:space="preserve"> </w:t>
      </w:r>
      <w:r>
        <w:t>que</w:t>
      </w:r>
      <w:r w:rsidRPr="002C4077">
        <w:t xml:space="preserve"> </w:t>
      </w:r>
      <w:r>
        <w:t>l’évangéliste</w:t>
      </w:r>
      <w:r w:rsidRPr="002C4077">
        <w:t xml:space="preserve"> </w:t>
      </w:r>
      <w:r>
        <w:t>n’a</w:t>
      </w:r>
      <w:r w:rsidRPr="002C4077">
        <w:t xml:space="preserve"> </w:t>
      </w:r>
      <w:r>
        <w:t>pas</w:t>
      </w:r>
      <w:r w:rsidRPr="002C4077">
        <w:t xml:space="preserve"> </w:t>
      </w:r>
      <w:r>
        <w:t>voulu</w:t>
      </w:r>
      <w:r w:rsidRPr="002C4077">
        <w:t xml:space="preserve"> </w:t>
      </w:r>
      <w:r>
        <w:t>de</w:t>
      </w:r>
      <w:r w:rsidRPr="002C4077">
        <w:t xml:space="preserve"> </w:t>
      </w:r>
      <w:r w:rsidRPr="002E596A">
        <w:rPr>
          <w:rStyle w:val="italicus"/>
          <w:i w:val="0"/>
        </w:rPr>
        <w:t>signer</w:t>
      </w:r>
      <w:r w:rsidRPr="002C4077">
        <w:t xml:space="preserve"> </w:t>
      </w:r>
      <w:r w:rsidRPr="002E596A">
        <w:rPr>
          <w:rStyle w:val="italicus"/>
          <w:i w:val="0"/>
        </w:rPr>
        <w:t>une</w:t>
      </w:r>
      <w:r w:rsidRPr="002C4077">
        <w:t xml:space="preserve"> </w:t>
      </w:r>
      <w:r w:rsidRPr="002E596A">
        <w:rPr>
          <w:rStyle w:val="italicus"/>
          <w:i w:val="0"/>
        </w:rPr>
        <w:t>vraie</w:t>
      </w:r>
      <w:r w:rsidRPr="002C4077">
        <w:t xml:space="preserve"> </w:t>
      </w:r>
      <w:r w:rsidRPr="002E596A">
        <w:rPr>
          <w:rStyle w:val="italicus"/>
          <w:i w:val="0"/>
        </w:rPr>
        <w:t>sueur</w:t>
      </w:r>
      <w:r w:rsidRPr="002C4077">
        <w:t xml:space="preserve"> </w:t>
      </w:r>
      <w:r w:rsidRPr="002E596A">
        <w:rPr>
          <w:rStyle w:val="italicus"/>
          <w:i w:val="0"/>
        </w:rPr>
        <w:t>de</w:t>
      </w:r>
      <w:r w:rsidRPr="002C4077">
        <w:t xml:space="preserve"> </w:t>
      </w:r>
      <w:r w:rsidRPr="002E596A">
        <w:rPr>
          <w:rStyle w:val="italicus"/>
          <w:i w:val="0"/>
        </w:rPr>
        <w:t>sang,</w:t>
      </w:r>
      <w:r w:rsidRPr="002C4077">
        <w:t xml:space="preserve"> </w:t>
      </w:r>
      <w:r w:rsidRPr="002E596A">
        <w:rPr>
          <w:rStyle w:val="italicus"/>
          <w:i w:val="0"/>
        </w:rPr>
        <w:t>pas</w:t>
      </w:r>
      <w:r w:rsidRPr="002C4077">
        <w:t xml:space="preserve"> </w:t>
      </w:r>
      <w:r w:rsidRPr="002E596A">
        <w:rPr>
          <w:rStyle w:val="italicus"/>
          <w:i w:val="0"/>
        </w:rPr>
        <w:t>même,</w:t>
      </w:r>
      <w:r w:rsidRPr="002C4077">
        <w:t xml:space="preserve"> </w:t>
      </w:r>
      <w:r w:rsidRPr="002E596A">
        <w:rPr>
          <w:rStyle w:val="italicus"/>
          <w:i w:val="0"/>
        </w:rPr>
        <w:t>dit</w:t>
      </w:r>
      <w:r w:rsidRPr="002C4077">
        <w:t xml:space="preserve"> </w:t>
      </w:r>
      <w:r>
        <w:rPr>
          <w:rStyle w:val="italicus"/>
          <w:i w:val="0"/>
        </w:rPr>
        <w:t>Olshau</w:t>
      </w:r>
      <w:r>
        <w:t>sen</w:t>
      </w:r>
      <w:r>
        <w:rPr>
          <w:rStyle w:val="Appelnotedebasdep"/>
        </w:rPr>
        <w:footnoteReference w:id="381"/>
      </w:r>
      <w:r>
        <w:t>,</w:t>
      </w:r>
      <w:r w:rsidRPr="002C4077">
        <w:t xml:space="preserve"> </w:t>
      </w:r>
      <w:r>
        <w:t>une</w:t>
      </w:r>
      <w:r w:rsidRPr="002C4077">
        <w:t xml:space="preserve"> </w:t>
      </w:r>
      <w:r>
        <w:t>sueur</w:t>
      </w:r>
      <w:r w:rsidRPr="002C4077">
        <w:t xml:space="preserve"> </w:t>
      </w:r>
      <w:r>
        <w:t>colorée</w:t>
      </w:r>
      <w:r w:rsidRPr="002C4077">
        <w:t xml:space="preserve"> </w:t>
      </w:r>
      <w:r>
        <w:t>en</w:t>
      </w:r>
      <w:r w:rsidRPr="002C4077">
        <w:t xml:space="preserve"> </w:t>
      </w:r>
      <w:r>
        <w:t>rouge,</w:t>
      </w:r>
      <w:r w:rsidRPr="002C4077">
        <w:t xml:space="preserve"> </w:t>
      </w:r>
      <w:r>
        <w:t>mais</w:t>
      </w:r>
      <w:r w:rsidRPr="002C4077">
        <w:t xml:space="preserve"> </w:t>
      </w:r>
      <w:r>
        <w:t>seulement</w:t>
      </w:r>
      <w:r w:rsidRPr="002C4077">
        <w:t xml:space="preserve"> </w:t>
      </w:r>
      <w:r>
        <w:t>une</w:t>
      </w:r>
      <w:r w:rsidRPr="002C4077">
        <w:t xml:space="preserve"> </w:t>
      </w:r>
      <w:r w:rsidR="000A7AAB">
        <w:t>sueur</w:t>
      </w:r>
      <w:r w:rsidR="000A7AAB" w:rsidRPr="002C4077">
        <w:t xml:space="preserve"> </w:t>
      </w:r>
      <w:r w:rsidR="000A7AAB">
        <w:t>dont</w:t>
      </w:r>
      <w:r w:rsidR="000A7AAB" w:rsidRPr="002C4077">
        <w:t xml:space="preserve"> </w:t>
      </w:r>
      <w:r w:rsidR="000A7AAB">
        <w:t>les</w:t>
      </w:r>
      <w:r w:rsidR="000A7AAB" w:rsidRPr="002C4077">
        <w:t xml:space="preserve"> </w:t>
      </w:r>
      <w:r w:rsidR="000A7AAB">
        <w:t>gouttes</w:t>
      </w:r>
      <w:r w:rsidR="000A7AAB" w:rsidRPr="002C4077">
        <w:t xml:space="preserve"> </w:t>
      </w:r>
      <w:r w:rsidR="000A7AAB">
        <w:t>auraient</w:t>
      </w:r>
      <w:r w:rsidR="000A7AAB" w:rsidRPr="002C4077">
        <w:t xml:space="preserve"> </w:t>
      </w:r>
      <w:r w:rsidR="000A7AAB">
        <w:t>été</w:t>
      </w:r>
      <w:r w:rsidR="000A7AAB" w:rsidRPr="002C4077">
        <w:t xml:space="preserve"> </w:t>
      </w:r>
      <w:r w:rsidR="000A7AAB">
        <w:t>comparables</w:t>
      </w:r>
      <w:r w:rsidR="000A7AAB" w:rsidRPr="002C4077">
        <w:t xml:space="preserve"> </w:t>
      </w:r>
      <w:r w:rsidR="000A7AAB">
        <w:t>à</w:t>
      </w:r>
      <w:r w:rsidR="000A7AAB" w:rsidRPr="002C4077">
        <w:t xml:space="preserve"> </w:t>
      </w:r>
      <w:r w:rsidR="000A7AAB">
        <w:t>du</w:t>
      </w:r>
      <w:r w:rsidR="000A7AAB" w:rsidRPr="002C4077">
        <w:t xml:space="preserve"> </w:t>
      </w:r>
      <w:r w:rsidR="000A7AAB">
        <w:t>sang,</w:t>
      </w:r>
      <w:r w:rsidR="000A7AAB" w:rsidRPr="002C4077">
        <w:t xml:space="preserve"> </w:t>
      </w:r>
      <w:r w:rsidR="000A7AAB">
        <w:t>par</w:t>
      </w:r>
      <w:r w:rsidR="000A7AAB" w:rsidRPr="002C4077">
        <w:t xml:space="preserve"> </w:t>
      </w:r>
      <w:r w:rsidR="000A7AAB">
        <w:t>leur</w:t>
      </w:r>
      <w:r w:rsidR="000A7AAB" w:rsidRPr="002C4077">
        <w:t xml:space="preserve"> </w:t>
      </w:r>
      <w:r w:rsidR="000A7AAB">
        <w:t>épaisseur</w:t>
      </w:r>
      <w:r w:rsidR="000A7AAB" w:rsidRPr="002C4077">
        <w:t xml:space="preserve"> </w:t>
      </w:r>
      <w:r w:rsidR="000A7AAB">
        <w:t>et</w:t>
      </w:r>
      <w:r w:rsidR="000A7AAB" w:rsidRPr="002C4077">
        <w:t xml:space="preserve"> </w:t>
      </w:r>
      <w:r w:rsidR="000A7AAB">
        <w:t>par</w:t>
      </w:r>
      <w:r w:rsidR="000A7AAB" w:rsidRPr="002C4077">
        <w:t xml:space="preserve"> </w:t>
      </w:r>
      <w:r w:rsidR="000A7AAB">
        <w:t>leur</w:t>
      </w:r>
      <w:r w:rsidR="000A7AAB" w:rsidRPr="002C4077">
        <w:t xml:space="preserve"> </w:t>
      </w:r>
      <w:r w:rsidR="000A7AAB">
        <w:t>poids.</w:t>
      </w:r>
      <w:r w:rsidR="00C45B47">
        <w:t xml:space="preserve"> {</w:t>
      </w:r>
      <w:r w:rsidR="004C5B7A">
        <w:t>118</w:t>
      </w:r>
      <w:bookmarkStart w:id="337" w:name="p118"/>
      <w:bookmarkEnd w:id="337"/>
      <w:r w:rsidR="004C5B7A">
        <w:t xml:space="preserve">} </w:t>
      </w:r>
    </w:p>
    <w:p w:rsidR="000A7AAB" w:rsidRDefault="000A7AAB" w:rsidP="000A7AAB">
      <w:r>
        <w:t>Comme</w:t>
      </w:r>
      <w:r w:rsidRPr="002C4077">
        <w:t xml:space="preserve"> </w:t>
      </w:r>
      <w:r>
        <w:t>Strauss</w:t>
      </w:r>
      <w:r w:rsidRPr="002C4077">
        <w:t xml:space="preserve"> </w:t>
      </w:r>
      <w:r>
        <w:t>lui-même</w:t>
      </w:r>
      <w:r w:rsidRPr="002C4077">
        <w:t xml:space="preserve"> </w:t>
      </w:r>
      <w:r>
        <w:t>sait</w:t>
      </w:r>
      <w:r w:rsidRPr="002C4077">
        <w:t xml:space="preserve"> </w:t>
      </w:r>
      <w:r>
        <w:t>bien</w:t>
      </w:r>
      <w:r w:rsidRPr="002C4077">
        <w:t xml:space="preserve"> </w:t>
      </w:r>
      <w:r>
        <w:t>faire</w:t>
      </w:r>
      <w:r w:rsidRPr="002C4077">
        <w:t xml:space="preserve"> </w:t>
      </w:r>
      <w:r>
        <w:t>justice</w:t>
      </w:r>
      <w:r w:rsidRPr="002C4077">
        <w:t xml:space="preserve"> </w:t>
      </w:r>
      <w:r>
        <w:t>de</w:t>
      </w:r>
      <w:r w:rsidRPr="002C4077">
        <w:t xml:space="preserve"> </w:t>
      </w:r>
      <w:r>
        <w:t>cette</w:t>
      </w:r>
      <w:r w:rsidRPr="002C4077">
        <w:t xml:space="preserve"> </w:t>
      </w:r>
      <w:r>
        <w:t>explication</w:t>
      </w:r>
      <w:r w:rsidR="00B546AF">
        <w:t> !</w:t>
      </w:r>
      <w:r w:rsidRPr="002C4077">
        <w:t xml:space="preserve"> </w:t>
      </w:r>
      <w:r>
        <w:t>Car,</w:t>
      </w:r>
      <w:r w:rsidRPr="002C4077">
        <w:t xml:space="preserve"> </w:t>
      </w:r>
      <w:r>
        <w:t>d’ordinaire,</w:t>
      </w:r>
      <w:r w:rsidRPr="002C4077">
        <w:t xml:space="preserve"> </w:t>
      </w:r>
      <w:r>
        <w:t>il</w:t>
      </w:r>
      <w:r w:rsidRPr="002C4077">
        <w:t xml:space="preserve"> </w:t>
      </w:r>
      <w:r>
        <w:t>défend</w:t>
      </w:r>
      <w:r w:rsidRPr="002C4077">
        <w:t xml:space="preserve"> </w:t>
      </w:r>
      <w:r>
        <w:t>à</w:t>
      </w:r>
      <w:r w:rsidRPr="002C4077">
        <w:t xml:space="preserve"> </w:t>
      </w:r>
      <w:r>
        <w:t>merveille,</w:t>
      </w:r>
      <w:r w:rsidRPr="002C4077">
        <w:t xml:space="preserve"> </w:t>
      </w:r>
      <w:r>
        <w:t>avec</w:t>
      </w:r>
      <w:r w:rsidRPr="002C4077">
        <w:t xml:space="preserve"> </w:t>
      </w:r>
      <w:r>
        <w:t>toutes</w:t>
      </w:r>
      <w:r w:rsidRPr="002C4077">
        <w:t xml:space="preserve"> </w:t>
      </w:r>
      <w:r>
        <w:t>les</w:t>
      </w:r>
      <w:r w:rsidRPr="002C4077">
        <w:t xml:space="preserve"> </w:t>
      </w:r>
      <w:r>
        <w:t>ressources</w:t>
      </w:r>
      <w:r w:rsidRPr="002C4077">
        <w:t xml:space="preserve"> </w:t>
      </w:r>
      <w:r>
        <w:t>de</w:t>
      </w:r>
      <w:r w:rsidRPr="002C4077">
        <w:t xml:space="preserve"> </w:t>
      </w:r>
      <w:r>
        <w:t>la</w:t>
      </w:r>
      <w:r w:rsidRPr="002C4077">
        <w:t xml:space="preserve"> </w:t>
      </w:r>
      <w:r>
        <w:t>critique,</w:t>
      </w:r>
      <w:r w:rsidRPr="002C4077">
        <w:t xml:space="preserve"> </w:t>
      </w:r>
      <w:r>
        <w:t>le</w:t>
      </w:r>
      <w:r w:rsidRPr="002C4077">
        <w:t xml:space="preserve"> </w:t>
      </w:r>
      <w:r>
        <w:t>sens</w:t>
      </w:r>
      <w:r w:rsidRPr="002C4077">
        <w:t xml:space="preserve"> </w:t>
      </w:r>
      <w:r>
        <w:t>littéral</w:t>
      </w:r>
      <w:r w:rsidRPr="002C4077">
        <w:t xml:space="preserve"> </w:t>
      </w:r>
      <w:r>
        <w:t>des</w:t>
      </w:r>
      <w:r w:rsidRPr="002C4077">
        <w:t xml:space="preserve"> </w:t>
      </w:r>
      <w:r>
        <w:t>textes</w:t>
      </w:r>
      <w:r w:rsidRPr="002C4077">
        <w:t xml:space="preserve"> </w:t>
      </w:r>
      <w:r>
        <w:t>inspirés,</w:t>
      </w:r>
      <w:r w:rsidRPr="002C4077">
        <w:t xml:space="preserve"> </w:t>
      </w:r>
      <w:r>
        <w:t>quitte</w:t>
      </w:r>
      <w:r w:rsidRPr="002C4077">
        <w:t xml:space="preserve"> </w:t>
      </w:r>
      <w:r>
        <w:t>plus</w:t>
      </w:r>
      <w:r w:rsidRPr="002C4077">
        <w:t xml:space="preserve"> </w:t>
      </w:r>
      <w:r>
        <w:t>tard,</w:t>
      </w:r>
      <w:r w:rsidRPr="002C4077">
        <w:t xml:space="preserve"> </w:t>
      </w:r>
      <w:r>
        <w:t>il</w:t>
      </w:r>
      <w:r w:rsidRPr="002C4077">
        <w:t xml:space="preserve"> </w:t>
      </w:r>
      <w:r w:rsidR="00425C50">
        <w:t>est</w:t>
      </w:r>
      <w:r w:rsidRPr="002C4077">
        <w:t xml:space="preserve"> </w:t>
      </w:r>
      <w:r>
        <w:t>vrai,</w:t>
      </w:r>
      <w:r w:rsidRPr="002C4077">
        <w:t xml:space="preserve"> </w:t>
      </w:r>
      <w:r>
        <w:t>à</w:t>
      </w:r>
      <w:r w:rsidRPr="002C4077">
        <w:t xml:space="preserve"> </w:t>
      </w:r>
      <w:r>
        <w:t>tout</w:t>
      </w:r>
      <w:r w:rsidRPr="002C4077">
        <w:t xml:space="preserve"> </w:t>
      </w:r>
      <w:r>
        <w:t>renverser</w:t>
      </w:r>
      <w:r w:rsidRPr="002C4077">
        <w:t xml:space="preserve"> </w:t>
      </w:r>
      <w:r>
        <w:t>par</w:t>
      </w:r>
      <w:r w:rsidRPr="002C4077">
        <w:t xml:space="preserve"> </w:t>
      </w:r>
      <w:r>
        <w:t>ses</w:t>
      </w:r>
      <w:r w:rsidRPr="002C4077">
        <w:t xml:space="preserve"> </w:t>
      </w:r>
      <w:r>
        <w:t>théories</w:t>
      </w:r>
      <w:r w:rsidRPr="002C4077">
        <w:t xml:space="preserve"> </w:t>
      </w:r>
      <w:r>
        <w:t>de</w:t>
      </w:r>
      <w:r w:rsidRPr="002C4077">
        <w:t xml:space="preserve"> </w:t>
      </w:r>
      <w:r>
        <w:t>mythes</w:t>
      </w:r>
      <w:r w:rsidRPr="002C4077">
        <w:t xml:space="preserve"> </w:t>
      </w:r>
      <w:r>
        <w:t>ou</w:t>
      </w:r>
      <w:r w:rsidRPr="002C4077">
        <w:t xml:space="preserve"> </w:t>
      </w:r>
      <w:r>
        <w:t>de</w:t>
      </w:r>
      <w:r w:rsidRPr="002C4077">
        <w:t xml:space="preserve"> </w:t>
      </w:r>
      <w:r>
        <w:t>légendes.</w:t>
      </w:r>
      <w:r w:rsidRPr="002C4077">
        <w:t xml:space="preserve"> </w:t>
      </w:r>
      <w:r w:rsidR="00B546AF">
        <w:t>« </w:t>
      </w:r>
      <w:r>
        <w:t>Ce</w:t>
      </w:r>
      <w:r w:rsidRPr="002C4077">
        <w:t xml:space="preserve"> </w:t>
      </w:r>
      <w:r>
        <w:t>qui</w:t>
      </w:r>
      <w:r w:rsidRPr="002C4077">
        <w:t xml:space="preserve"> </w:t>
      </w:r>
      <w:r>
        <w:t>restera</w:t>
      </w:r>
      <w:r w:rsidRPr="002C4077">
        <w:t xml:space="preserve"> </w:t>
      </w:r>
      <w:r>
        <w:t>toujours</w:t>
      </w:r>
      <w:r w:rsidRPr="002C4077">
        <w:t xml:space="preserve"> </w:t>
      </w:r>
      <w:r>
        <w:t>le</w:t>
      </w:r>
      <w:r w:rsidRPr="002C4077">
        <w:t xml:space="preserve"> </w:t>
      </w:r>
      <w:r>
        <w:t>plus</w:t>
      </w:r>
      <w:r w:rsidRPr="002C4077">
        <w:t xml:space="preserve"> </w:t>
      </w:r>
      <w:r>
        <w:t>naturel,</w:t>
      </w:r>
      <w:r w:rsidRPr="002C4077">
        <w:t xml:space="preserve"> </w:t>
      </w:r>
      <w:r>
        <w:t>écrit-il</w:t>
      </w:r>
      <w:r w:rsidRPr="002C4077">
        <w:t xml:space="preserve"> </w:t>
      </w:r>
      <w:r>
        <w:t>sur</w:t>
      </w:r>
      <w:r w:rsidRPr="002C4077">
        <w:t xml:space="preserve"> </w:t>
      </w:r>
      <w:r>
        <w:t>le</w:t>
      </w:r>
      <w:r w:rsidRPr="002C4077">
        <w:t xml:space="preserve"> </w:t>
      </w:r>
      <w:r>
        <w:t>point</w:t>
      </w:r>
      <w:r w:rsidRPr="002C4077">
        <w:t xml:space="preserve"> </w:t>
      </w:r>
      <w:r>
        <w:t>qui</w:t>
      </w:r>
      <w:r w:rsidRPr="002C4077">
        <w:t xml:space="preserve"> </w:t>
      </w:r>
      <w:r>
        <w:t>nous</w:t>
      </w:r>
      <w:r w:rsidRPr="002C4077">
        <w:t xml:space="preserve"> </w:t>
      </w:r>
      <w:r>
        <w:t>occupe</w:t>
      </w:r>
      <w:r w:rsidR="00BF1EE0">
        <w:rPr>
          <w:rStyle w:val="Appelnotedebasdep"/>
        </w:rPr>
        <w:footnoteReference w:id="382"/>
      </w:r>
      <w:r>
        <w:t>,</w:t>
      </w:r>
      <w:r w:rsidRPr="002C4077">
        <w:t xml:space="preserve"> </w:t>
      </w:r>
      <w:r>
        <w:t>ce</w:t>
      </w:r>
      <w:r w:rsidRPr="002C4077">
        <w:t xml:space="preserve"> </w:t>
      </w:r>
      <w:r>
        <w:t>sera</w:t>
      </w:r>
      <w:r w:rsidRPr="002C4077">
        <w:t xml:space="preserve"> </w:t>
      </w:r>
      <w:r>
        <w:t>d’entendre</w:t>
      </w:r>
      <w:r w:rsidRPr="002C4077">
        <w:t xml:space="preserve"> </w:t>
      </w:r>
      <w:r>
        <w:t>la</w:t>
      </w:r>
      <w:r w:rsidRPr="002C4077">
        <w:t xml:space="preserve"> </w:t>
      </w:r>
      <w:r>
        <w:t>comparaison</w:t>
      </w:r>
      <w:r w:rsidRPr="002C4077">
        <w:t xml:space="preserve"> </w:t>
      </w:r>
      <w:r>
        <w:t>de</w:t>
      </w:r>
      <w:r w:rsidRPr="002C4077">
        <w:t xml:space="preserve"> </w:t>
      </w:r>
      <w:r>
        <w:t>la</w:t>
      </w:r>
      <w:r w:rsidRPr="002C4077">
        <w:t xml:space="preserve"> </w:t>
      </w:r>
      <w:r>
        <w:t>sueur</w:t>
      </w:r>
      <w:r w:rsidRPr="002C4077">
        <w:t xml:space="preserve"> </w:t>
      </w:r>
      <w:r>
        <w:t>avec</w:t>
      </w:r>
      <w:r w:rsidRPr="002C4077">
        <w:t xml:space="preserve"> </w:t>
      </w:r>
      <w:r>
        <w:t>des</w:t>
      </w:r>
      <w:r w:rsidRPr="002C4077">
        <w:t xml:space="preserve"> </w:t>
      </w:r>
      <w:r>
        <w:t>gouttes</w:t>
      </w:r>
      <w:r w:rsidRPr="002C4077">
        <w:t xml:space="preserve"> </w:t>
      </w:r>
      <w:r>
        <w:t>de</w:t>
      </w:r>
      <w:r w:rsidRPr="002C4077">
        <w:t xml:space="preserve"> </w:t>
      </w:r>
      <w:r>
        <w:t>sang</w:t>
      </w:r>
      <w:r w:rsidRPr="002C4077">
        <w:t xml:space="preserve"> </w:t>
      </w:r>
      <w:r>
        <w:t>dans</w:t>
      </w:r>
      <w:r w:rsidRPr="002C4077">
        <w:t xml:space="preserve"> </w:t>
      </w:r>
      <w:r>
        <w:t>toute</w:t>
      </w:r>
      <w:r w:rsidRPr="002C4077">
        <w:t xml:space="preserve"> </w:t>
      </w:r>
      <w:r>
        <w:t>l’étendue</w:t>
      </w:r>
      <w:r w:rsidRPr="002C4077">
        <w:t xml:space="preserve"> </w:t>
      </w:r>
      <w:r>
        <w:t>du</w:t>
      </w:r>
      <w:r w:rsidRPr="002C4077">
        <w:t xml:space="preserve"> </w:t>
      </w:r>
      <w:r>
        <w:t>sens</w:t>
      </w:r>
      <w:r w:rsidRPr="002C4077">
        <w:t xml:space="preserve"> </w:t>
      </w:r>
      <w:r>
        <w:t>qu’elle</w:t>
      </w:r>
      <w:r w:rsidRPr="002C4077">
        <w:t xml:space="preserve"> </w:t>
      </w:r>
      <w:r>
        <w:t>comporte</w:t>
      </w:r>
      <w:r w:rsidR="00B546AF">
        <w:t> »</w:t>
      </w:r>
      <w:r>
        <w:t>.</w:t>
      </w:r>
      <w:r w:rsidRPr="002C4077">
        <w:t xml:space="preserve"> </w:t>
      </w:r>
      <w:r>
        <w:t>Mais</w:t>
      </w:r>
      <w:r w:rsidRPr="002C4077">
        <w:t xml:space="preserve"> </w:t>
      </w:r>
      <w:r>
        <w:t>qu’avons-nous</w:t>
      </w:r>
      <w:r w:rsidRPr="002C4077">
        <w:t xml:space="preserve"> </w:t>
      </w:r>
      <w:r>
        <w:t>besoin</w:t>
      </w:r>
      <w:r w:rsidRPr="002C4077">
        <w:t xml:space="preserve"> </w:t>
      </w:r>
      <w:r>
        <w:t>du</w:t>
      </w:r>
      <w:r w:rsidRPr="002C4077">
        <w:t xml:space="preserve"> </w:t>
      </w:r>
      <w:r>
        <w:t>secours</w:t>
      </w:r>
      <w:r w:rsidRPr="002C4077">
        <w:t xml:space="preserve"> </w:t>
      </w:r>
      <w:r>
        <w:t>de</w:t>
      </w:r>
      <w:r w:rsidRPr="002C4077">
        <w:t xml:space="preserve"> </w:t>
      </w:r>
      <w:r>
        <w:t>Strauss</w:t>
      </w:r>
      <w:bookmarkStart w:id="338" w:name="z_Strauss_o8"/>
      <w:bookmarkEnd w:id="338"/>
      <w:r w:rsidR="00B546AF">
        <w:t> ?</w:t>
      </w:r>
      <w:r w:rsidRPr="002C4077">
        <w:t xml:space="preserve"> </w:t>
      </w:r>
      <w:r>
        <w:t>La</w:t>
      </w:r>
      <w:r w:rsidRPr="002C4077">
        <w:t xml:space="preserve"> </w:t>
      </w:r>
      <w:r>
        <w:t>grammaire</w:t>
      </w:r>
      <w:r w:rsidRPr="002C4077">
        <w:t xml:space="preserve"> </w:t>
      </w:r>
      <w:r>
        <w:t>et</w:t>
      </w:r>
      <w:r w:rsidRPr="002C4077">
        <w:t xml:space="preserve"> </w:t>
      </w:r>
      <w:r>
        <w:t>le</w:t>
      </w:r>
      <w:r w:rsidRPr="002C4077">
        <w:t xml:space="preserve"> </w:t>
      </w:r>
      <w:r>
        <w:t>lexique</w:t>
      </w:r>
      <w:r w:rsidRPr="002C4077">
        <w:t xml:space="preserve"> </w:t>
      </w:r>
      <w:r>
        <w:t>grecs</w:t>
      </w:r>
      <w:r w:rsidRPr="002C4077">
        <w:t xml:space="preserve"> </w:t>
      </w:r>
      <w:r>
        <w:t>seront</w:t>
      </w:r>
      <w:r w:rsidRPr="002C4077">
        <w:t xml:space="preserve"> </w:t>
      </w:r>
      <w:r>
        <w:t>ici</w:t>
      </w:r>
      <w:r w:rsidRPr="002C4077">
        <w:t xml:space="preserve"> </w:t>
      </w:r>
      <w:r>
        <w:t>nos</w:t>
      </w:r>
      <w:r w:rsidRPr="002C4077">
        <w:t xml:space="preserve"> </w:t>
      </w:r>
      <w:r>
        <w:t>meilleurs</w:t>
      </w:r>
      <w:r w:rsidRPr="002C4077">
        <w:t xml:space="preserve"> </w:t>
      </w:r>
      <w:r>
        <w:t>auxiliaires.</w:t>
      </w:r>
      <w:r w:rsidRPr="002C4077">
        <w:t xml:space="preserve"> </w:t>
      </w:r>
      <w:r>
        <w:t>Or,</w:t>
      </w:r>
      <w:r w:rsidRPr="002C4077">
        <w:t xml:space="preserve"> </w:t>
      </w:r>
      <w:r w:rsidR="00B546AF">
        <w:t>« </w:t>
      </w:r>
      <w:r>
        <w:t>je</w:t>
      </w:r>
      <w:r w:rsidRPr="002C4077">
        <w:t xml:space="preserve"> </w:t>
      </w:r>
      <w:r>
        <w:t>ne</w:t>
      </w:r>
      <w:r w:rsidRPr="002C4077">
        <w:t xml:space="preserve"> </w:t>
      </w:r>
      <w:r>
        <w:t>puis</w:t>
      </w:r>
      <w:r w:rsidRPr="002C4077">
        <w:t xml:space="preserve"> </w:t>
      </w:r>
      <w:r>
        <w:t>voir</w:t>
      </w:r>
      <w:r w:rsidRPr="002C4077">
        <w:t xml:space="preserve"> </w:t>
      </w:r>
      <w:r>
        <w:t>aucune</w:t>
      </w:r>
      <w:r w:rsidRPr="002C4077">
        <w:t xml:space="preserve"> </w:t>
      </w:r>
      <w:r>
        <w:t>raison</w:t>
      </w:r>
      <w:r w:rsidRPr="002C4077">
        <w:t xml:space="preserve"> </w:t>
      </w:r>
      <w:r>
        <w:t>de</w:t>
      </w:r>
      <w:r w:rsidRPr="002C4077">
        <w:t xml:space="preserve"> </w:t>
      </w:r>
      <w:r>
        <w:t>douter</w:t>
      </w:r>
      <w:r w:rsidRPr="002C4077">
        <w:t xml:space="preserve"> </w:t>
      </w:r>
      <w:r>
        <w:t>qu’il</w:t>
      </w:r>
      <w:r w:rsidRPr="002C4077">
        <w:t xml:space="preserve"> </w:t>
      </w:r>
      <w:r>
        <w:t>faille</w:t>
      </w:r>
      <w:r w:rsidRPr="002C4077">
        <w:t xml:space="preserve"> </w:t>
      </w:r>
      <w:r>
        <w:t>prendre</w:t>
      </w:r>
      <w:r w:rsidRPr="002C4077">
        <w:t xml:space="preserve"> </w:t>
      </w:r>
      <w:r>
        <w:t>à</w:t>
      </w:r>
      <w:r w:rsidRPr="002C4077">
        <w:t xml:space="preserve"> </w:t>
      </w:r>
      <w:r>
        <w:t>la</w:t>
      </w:r>
      <w:r w:rsidRPr="002C4077">
        <w:t xml:space="preserve"> </w:t>
      </w:r>
      <w:r>
        <w:t>lettre</w:t>
      </w:r>
      <w:r w:rsidRPr="002C4077">
        <w:t xml:space="preserve"> </w:t>
      </w:r>
      <w:r>
        <w:t>la</w:t>
      </w:r>
      <w:r w:rsidRPr="002C4077">
        <w:t xml:space="preserve"> </w:t>
      </w:r>
      <w:r>
        <w:t>description</w:t>
      </w:r>
      <w:r w:rsidRPr="002C4077">
        <w:t xml:space="preserve"> </w:t>
      </w:r>
      <w:r>
        <w:t>de</w:t>
      </w:r>
      <w:r w:rsidRPr="002C4077">
        <w:t xml:space="preserve"> </w:t>
      </w:r>
      <w:r>
        <w:t>S.</w:t>
      </w:r>
      <w:r w:rsidRPr="002C4077">
        <w:t xml:space="preserve"> </w:t>
      </w:r>
      <w:r>
        <w:t>Luc</w:t>
      </w:r>
      <w:r w:rsidR="00B91AF7">
        <w:rPr>
          <w:rStyle w:val="Appelnotedebasdep"/>
        </w:rPr>
        <w:footnoteReference w:id="383"/>
      </w:r>
      <w:r w:rsidR="00B546AF">
        <w:t> »</w:t>
      </w:r>
      <w:r>
        <w:t>.</w:t>
      </w:r>
      <w:r w:rsidRPr="002C4077">
        <w:t xml:space="preserve"> </w:t>
      </w:r>
      <w:r>
        <w:t>Certainement</w:t>
      </w:r>
      <w:r w:rsidRPr="002C4077">
        <w:t xml:space="preserve"> </w:t>
      </w:r>
      <w:r>
        <w:t>l’historien</w:t>
      </w:r>
      <w:r w:rsidRPr="002C4077">
        <w:t xml:space="preserve"> </w:t>
      </w:r>
      <w:r>
        <w:t>sacré</w:t>
      </w:r>
      <w:r w:rsidRPr="002C4077">
        <w:t xml:space="preserve"> </w:t>
      </w:r>
      <w:r>
        <w:t>a</w:t>
      </w:r>
      <w:r w:rsidRPr="002C4077">
        <w:t xml:space="preserve"> </w:t>
      </w:r>
      <w:r>
        <w:t>eu</w:t>
      </w:r>
      <w:r w:rsidRPr="002C4077">
        <w:t xml:space="preserve"> </w:t>
      </w:r>
      <w:r>
        <w:t>l’intention</w:t>
      </w:r>
      <w:r w:rsidRPr="002C4077">
        <w:t xml:space="preserve"> </w:t>
      </w:r>
      <w:r>
        <w:t>de</w:t>
      </w:r>
      <w:r w:rsidRPr="002C4077">
        <w:t xml:space="preserve"> </w:t>
      </w:r>
      <w:r>
        <w:t>représenter</w:t>
      </w:r>
      <w:r w:rsidRPr="002C4077">
        <w:t xml:space="preserve"> </w:t>
      </w:r>
      <w:r>
        <w:t>à</w:t>
      </w:r>
      <w:r w:rsidRPr="002C4077">
        <w:t xml:space="preserve"> </w:t>
      </w:r>
      <w:r>
        <w:t>l’esprit</w:t>
      </w:r>
      <w:r w:rsidRPr="002C4077">
        <w:t xml:space="preserve"> </w:t>
      </w:r>
      <w:r>
        <w:t>de</w:t>
      </w:r>
      <w:r w:rsidRPr="002C4077">
        <w:t xml:space="preserve"> </w:t>
      </w:r>
      <w:r>
        <w:t>ses</w:t>
      </w:r>
      <w:r w:rsidRPr="002C4077">
        <w:t xml:space="preserve"> </w:t>
      </w:r>
      <w:r>
        <w:t>lecteurs</w:t>
      </w:r>
      <w:r w:rsidRPr="002C4077">
        <w:t xml:space="preserve"> </w:t>
      </w:r>
      <w:r>
        <w:t>une</w:t>
      </w:r>
      <w:r w:rsidRPr="002C4077">
        <w:t xml:space="preserve"> </w:t>
      </w:r>
      <w:r>
        <w:t>vraie</w:t>
      </w:r>
      <w:r w:rsidRPr="002C4077">
        <w:t xml:space="preserve"> </w:t>
      </w:r>
      <w:r>
        <w:t>sueur</w:t>
      </w:r>
      <w:r w:rsidRPr="002C4077">
        <w:t xml:space="preserve"> </w:t>
      </w:r>
      <w:r>
        <w:t>de</w:t>
      </w:r>
      <w:r w:rsidRPr="002C4077">
        <w:t xml:space="preserve"> </w:t>
      </w:r>
      <w:r>
        <w:t>sang,</w:t>
      </w:r>
      <w:r w:rsidRPr="002C4077">
        <w:t xml:space="preserve"> </w:t>
      </w:r>
      <w:r>
        <w:t>ou</w:t>
      </w:r>
      <w:r w:rsidRPr="002C4077">
        <w:t xml:space="preserve"> </w:t>
      </w:r>
      <w:r>
        <w:t>du</w:t>
      </w:r>
      <w:r w:rsidRPr="002C4077">
        <w:t xml:space="preserve"> </w:t>
      </w:r>
      <w:r>
        <w:t>moins</w:t>
      </w:r>
      <w:r w:rsidRPr="002C4077">
        <w:t xml:space="preserve"> </w:t>
      </w:r>
      <w:r>
        <w:t>une</w:t>
      </w:r>
      <w:r w:rsidRPr="002C4077">
        <w:t xml:space="preserve"> </w:t>
      </w:r>
      <w:r>
        <w:t>sueur</w:t>
      </w:r>
      <w:r w:rsidRPr="002C4077">
        <w:t xml:space="preserve"> </w:t>
      </w:r>
      <w:r>
        <w:t>sanglante,</w:t>
      </w:r>
      <w:r w:rsidRPr="002C4077">
        <w:t xml:space="preserve"> </w:t>
      </w:r>
      <w:r>
        <w:t>dans</w:t>
      </w:r>
      <w:r w:rsidRPr="002C4077">
        <w:t xml:space="preserve"> </w:t>
      </w:r>
      <w:r>
        <w:t>laquelle</w:t>
      </w:r>
      <w:r w:rsidRPr="002C4077">
        <w:t xml:space="preserve"> </w:t>
      </w:r>
      <w:r>
        <w:t>le</w:t>
      </w:r>
      <w:r w:rsidRPr="002C4077">
        <w:t xml:space="preserve"> </w:t>
      </w:r>
      <w:r>
        <w:t>sang</w:t>
      </w:r>
      <w:r w:rsidRPr="002C4077">
        <w:t xml:space="preserve"> </w:t>
      </w:r>
      <w:r>
        <w:t>entrait</w:t>
      </w:r>
      <w:r w:rsidRPr="002C4077">
        <w:t xml:space="preserve"> </w:t>
      </w:r>
      <w:r>
        <w:t>pour</w:t>
      </w:r>
      <w:r w:rsidRPr="002C4077">
        <w:t xml:space="preserve"> </w:t>
      </w:r>
      <w:r>
        <w:t>une</w:t>
      </w:r>
      <w:r w:rsidRPr="002C4077">
        <w:t xml:space="preserve"> </w:t>
      </w:r>
      <w:r>
        <w:t>partie</w:t>
      </w:r>
      <w:r w:rsidRPr="002C4077">
        <w:t xml:space="preserve"> </w:t>
      </w:r>
      <w:r>
        <w:t>notable.</w:t>
      </w:r>
      <w:r w:rsidRPr="002C4077">
        <w:t xml:space="preserve"> </w:t>
      </w:r>
      <w:r>
        <w:t>Cela</w:t>
      </w:r>
      <w:r w:rsidRPr="002C4077">
        <w:t xml:space="preserve"> </w:t>
      </w:r>
      <w:r>
        <w:t>ressort</w:t>
      </w:r>
      <w:r w:rsidRPr="002C4077">
        <w:t xml:space="preserve"> </w:t>
      </w:r>
      <w:r>
        <w:t>de</w:t>
      </w:r>
      <w:r w:rsidRPr="002C4077">
        <w:t xml:space="preserve"> </w:t>
      </w:r>
      <w:r>
        <w:t>chacun</w:t>
      </w:r>
      <w:r w:rsidRPr="002C4077">
        <w:t xml:space="preserve"> </w:t>
      </w:r>
      <w:r>
        <w:t>des</w:t>
      </w:r>
      <w:r w:rsidRPr="002C4077">
        <w:t xml:space="preserve"> </w:t>
      </w:r>
      <w:r>
        <w:t>mots</w:t>
      </w:r>
      <w:r w:rsidRPr="002C4077">
        <w:t xml:space="preserve"> </w:t>
      </w:r>
      <w:r>
        <w:t>du</w:t>
      </w:r>
      <w:r w:rsidRPr="002C4077">
        <w:t xml:space="preserve"> </w:t>
      </w:r>
      <w:r>
        <w:t>récit.</w:t>
      </w:r>
      <w:r w:rsidRPr="002C4077">
        <w:t xml:space="preserve"> </w:t>
      </w:r>
    </w:p>
    <w:p w:rsidR="000A7AAB" w:rsidRDefault="009A5015" w:rsidP="000A7AAB">
      <w:r>
        <w:t>1°</w:t>
      </w:r>
      <w:r w:rsidR="000A7AAB" w:rsidRPr="002C4077">
        <w:t xml:space="preserve"> </w:t>
      </w:r>
      <w:r w:rsidR="000A7AAB">
        <w:t>S.</w:t>
      </w:r>
      <w:r w:rsidR="000A7AAB" w:rsidRPr="002C4077">
        <w:t xml:space="preserve"> </w:t>
      </w:r>
      <w:r w:rsidR="000A7AAB">
        <w:t>Luc</w:t>
      </w:r>
      <w:r w:rsidR="000A7AAB" w:rsidRPr="002C4077">
        <w:t xml:space="preserve"> </w:t>
      </w:r>
      <w:r w:rsidR="000A7AAB">
        <w:t>ne</w:t>
      </w:r>
      <w:r w:rsidR="000A7AAB" w:rsidRPr="002C4077">
        <w:t xml:space="preserve"> </w:t>
      </w:r>
      <w:r w:rsidR="000A7AAB">
        <w:t>dit</w:t>
      </w:r>
      <w:r w:rsidR="000A7AAB" w:rsidRPr="002C4077">
        <w:t xml:space="preserve"> </w:t>
      </w:r>
      <w:r w:rsidR="000A7AAB">
        <w:t>pas</w:t>
      </w:r>
      <w:r w:rsidR="00B546AF">
        <w:t> :</w:t>
      </w:r>
      <w:r w:rsidR="000A7AAB" w:rsidRPr="002C4077">
        <w:t xml:space="preserve"> </w:t>
      </w:r>
      <w:r>
        <w:t>ἧ</w:t>
      </w:r>
      <w:r w:rsidRPr="009A5015">
        <w:t>ν</w:t>
      </w:r>
      <w:r w:rsidRPr="002C4077">
        <w:t xml:space="preserve"> </w:t>
      </w:r>
      <w:r>
        <w:t>ὁ</w:t>
      </w:r>
      <w:r w:rsidRPr="002C4077">
        <w:t xml:space="preserve"> </w:t>
      </w:r>
      <w:r>
        <w:t>ἱ</w:t>
      </w:r>
      <w:r w:rsidRPr="009A5015">
        <w:t>δρ</w:t>
      </w:r>
      <w:r>
        <w:t>ὼ</w:t>
      </w:r>
      <w:r w:rsidRPr="009A5015">
        <w:t>ς</w:t>
      </w:r>
      <w:r w:rsidRPr="002C4077">
        <w:t xml:space="preserve"> </w:t>
      </w:r>
      <w:r w:rsidRPr="009A5015">
        <w:t>αὐτο</w:t>
      </w:r>
      <w:r>
        <w:t>ῦ</w:t>
      </w:r>
      <w:r w:rsidRPr="009A5015">
        <w:t>,</w:t>
      </w:r>
      <w:r w:rsidRPr="002C4077">
        <w:t xml:space="preserve"> </w:t>
      </w:r>
      <w:r w:rsidRPr="009A5015">
        <w:t>« sa</w:t>
      </w:r>
      <w:r w:rsidRPr="002C4077">
        <w:t xml:space="preserve"> </w:t>
      </w:r>
      <w:r w:rsidRPr="009A5015">
        <w:t>sueur</w:t>
      </w:r>
      <w:r w:rsidRPr="002C4077">
        <w:t xml:space="preserve"> </w:t>
      </w:r>
      <w:r w:rsidRPr="009A5015">
        <w:t>était »,</w:t>
      </w:r>
      <w:r w:rsidRPr="002C4077">
        <w:t xml:space="preserve"> </w:t>
      </w:r>
      <w:r w:rsidRPr="009A5015">
        <w:t>mais :</w:t>
      </w:r>
      <w:r w:rsidRPr="002C4077">
        <w:t xml:space="preserve"> </w:t>
      </w:r>
      <w:r w:rsidRPr="009A5015">
        <w:t>ἐγένετο</w:t>
      </w:r>
      <w:r w:rsidRPr="002C4077">
        <w:t xml:space="preserve"> </w:t>
      </w:r>
      <w:r>
        <w:t>ὁ</w:t>
      </w:r>
      <w:r w:rsidRPr="002C4077">
        <w:t xml:space="preserve"> </w:t>
      </w:r>
      <w:r>
        <w:t>ἱ</w:t>
      </w:r>
      <w:r w:rsidRPr="009A5015">
        <w:t>δρ</w:t>
      </w:r>
      <w:r>
        <w:t>ὼ</w:t>
      </w:r>
      <w:r w:rsidRPr="009A5015">
        <w:t>ς</w:t>
      </w:r>
      <w:r w:rsidR="000A7AAB">
        <w:t>…,</w:t>
      </w:r>
      <w:r w:rsidR="000A7AAB" w:rsidRPr="002C4077">
        <w:t xml:space="preserve"> </w:t>
      </w:r>
      <w:r w:rsidR="000A7AAB" w:rsidRPr="000A34B5">
        <w:rPr>
          <w:rStyle w:val="italicus"/>
        </w:rPr>
        <w:t>factus</w:t>
      </w:r>
      <w:r w:rsidR="000A7AAB" w:rsidRPr="002C4077">
        <w:t xml:space="preserve"> </w:t>
      </w:r>
      <w:r w:rsidR="00425C50">
        <w:rPr>
          <w:rStyle w:val="italicus"/>
        </w:rPr>
        <w:t>est</w:t>
      </w:r>
      <w:r w:rsidR="000A7AAB" w:rsidRPr="002C4077">
        <w:t xml:space="preserve"> </w:t>
      </w:r>
      <w:r w:rsidR="000A7AAB" w:rsidRPr="000A34B5">
        <w:rPr>
          <w:rStyle w:val="italicus"/>
        </w:rPr>
        <w:t>sudor…</w:t>
      </w:r>
      <w:r w:rsidR="00B546AF">
        <w:rPr>
          <w:rStyle w:val="italicus"/>
        </w:rPr>
        <w:t> </w:t>
      </w:r>
      <w:r w:rsidR="00B546AF" w:rsidRPr="000A34B5">
        <w:rPr>
          <w:rStyle w:val="italicus"/>
        </w:rPr>
        <w:t>;</w:t>
      </w:r>
      <w:r w:rsidR="000A7AAB" w:rsidRPr="002C4077">
        <w:t xml:space="preserve"> </w:t>
      </w:r>
      <w:r w:rsidR="000A7AAB">
        <w:t>littéralement</w:t>
      </w:r>
      <w:r w:rsidR="00B546AF">
        <w:t> :</w:t>
      </w:r>
      <w:r w:rsidR="000A7AAB" w:rsidRPr="002C4077">
        <w:t xml:space="preserve"> </w:t>
      </w:r>
      <w:r w:rsidR="00B546AF">
        <w:t>« </w:t>
      </w:r>
      <w:r w:rsidR="000A7AAB">
        <w:t>sa</w:t>
      </w:r>
      <w:r w:rsidR="000A7AAB" w:rsidRPr="002C4077">
        <w:t xml:space="preserve"> </w:t>
      </w:r>
      <w:r w:rsidR="000A7AAB">
        <w:t>sueur</w:t>
      </w:r>
      <w:r w:rsidR="000A7AAB" w:rsidRPr="002C4077">
        <w:t xml:space="preserve"> </w:t>
      </w:r>
      <w:r w:rsidR="000A7AAB">
        <w:t>devint</w:t>
      </w:r>
      <w:r w:rsidR="000A7AAB" w:rsidRPr="002C4077">
        <w:t xml:space="preserve"> </w:t>
      </w:r>
      <w:r w:rsidR="000A7AAB">
        <w:t>comme</w:t>
      </w:r>
      <w:r w:rsidR="000A7AAB" w:rsidRPr="002C4077">
        <w:t xml:space="preserve"> </w:t>
      </w:r>
      <w:r w:rsidR="000A7AAB">
        <w:t>des</w:t>
      </w:r>
      <w:r w:rsidR="000A7AAB" w:rsidRPr="002C4077">
        <w:t xml:space="preserve"> </w:t>
      </w:r>
      <w:r w:rsidR="000A7AAB">
        <w:t>gouttes</w:t>
      </w:r>
      <w:r w:rsidR="000A7AAB" w:rsidRPr="002C4077">
        <w:t xml:space="preserve"> </w:t>
      </w:r>
      <w:r w:rsidR="000A7AAB">
        <w:t>de</w:t>
      </w:r>
      <w:r w:rsidR="000A7AAB" w:rsidRPr="002C4077">
        <w:t xml:space="preserve"> </w:t>
      </w:r>
      <w:r w:rsidR="000A7AAB">
        <w:t>sang</w:t>
      </w:r>
      <w:r w:rsidR="00B546AF">
        <w:t> »</w:t>
      </w:r>
      <w:r w:rsidR="000A7AAB">
        <w:t>.</w:t>
      </w:r>
      <w:r w:rsidR="000A7AAB" w:rsidRPr="002C4077">
        <w:t xml:space="preserve"> </w:t>
      </w:r>
      <w:r w:rsidR="000A7AAB">
        <w:t>On</w:t>
      </w:r>
      <w:r w:rsidR="000A7AAB" w:rsidRPr="002C4077">
        <w:t xml:space="preserve"> </w:t>
      </w:r>
      <w:r w:rsidR="000A7AAB">
        <w:t>voit</w:t>
      </w:r>
      <w:r w:rsidR="000A7AAB" w:rsidRPr="002C4077">
        <w:t xml:space="preserve"> </w:t>
      </w:r>
      <w:r w:rsidR="000A7AAB">
        <w:t>déjà</w:t>
      </w:r>
      <w:r w:rsidR="000A7AAB" w:rsidRPr="002C4077">
        <w:t xml:space="preserve"> </w:t>
      </w:r>
      <w:r w:rsidR="000A7AAB">
        <w:t>clairement,</w:t>
      </w:r>
      <w:r w:rsidR="000A7AAB" w:rsidRPr="002C4077">
        <w:t xml:space="preserve"> </w:t>
      </w:r>
      <w:r w:rsidR="000A7AAB">
        <w:t>dans</w:t>
      </w:r>
      <w:r w:rsidR="000A7AAB" w:rsidRPr="002C4077">
        <w:t xml:space="preserve"> </w:t>
      </w:r>
      <w:r w:rsidR="000A7AAB">
        <w:t>cette</w:t>
      </w:r>
      <w:r w:rsidR="000A7AAB" w:rsidRPr="002C4077">
        <w:t xml:space="preserve"> </w:t>
      </w:r>
      <w:r w:rsidR="000A7AAB">
        <w:t>tournure</w:t>
      </w:r>
      <w:r w:rsidR="000A7AAB" w:rsidRPr="002C4077">
        <w:t xml:space="preserve"> </w:t>
      </w:r>
      <w:r w:rsidR="000A7AAB">
        <w:t>choisie,</w:t>
      </w:r>
      <w:r w:rsidR="000A7AAB" w:rsidRPr="002C4077">
        <w:t xml:space="preserve"> </w:t>
      </w:r>
      <w:r w:rsidR="000A7AAB">
        <w:t>l’intention</w:t>
      </w:r>
      <w:r w:rsidR="000A7AAB" w:rsidRPr="002C4077">
        <w:t xml:space="preserve"> </w:t>
      </w:r>
      <w:r w:rsidR="000A7AAB">
        <w:t>de</w:t>
      </w:r>
      <w:r w:rsidR="000A7AAB" w:rsidRPr="002C4077">
        <w:t xml:space="preserve"> </w:t>
      </w:r>
      <w:r w:rsidR="000A7AAB">
        <w:t>montrer</w:t>
      </w:r>
      <w:r w:rsidR="000A7AAB" w:rsidRPr="002C4077">
        <w:t xml:space="preserve"> </w:t>
      </w:r>
      <w:r w:rsidR="000A7AAB">
        <w:t>que</w:t>
      </w:r>
      <w:r w:rsidR="000A7AAB" w:rsidRPr="002C4077">
        <w:t xml:space="preserve"> </w:t>
      </w:r>
      <w:r w:rsidR="000A7AAB">
        <w:t>la</w:t>
      </w:r>
      <w:r w:rsidR="000A7AAB" w:rsidRPr="002C4077">
        <w:t xml:space="preserve"> </w:t>
      </w:r>
      <w:r w:rsidR="000A7AAB">
        <w:t>sueur</w:t>
      </w:r>
      <w:r w:rsidR="000A7AAB" w:rsidRPr="002C4077">
        <w:t xml:space="preserve"> </w:t>
      </w:r>
      <w:r w:rsidR="00B546AF">
        <w:t>« </w:t>
      </w:r>
      <w:r w:rsidR="000A7AAB">
        <w:t>se</w:t>
      </w:r>
      <w:r w:rsidR="000A7AAB" w:rsidRPr="002C4077">
        <w:t xml:space="preserve"> </w:t>
      </w:r>
      <w:r w:rsidR="000A7AAB">
        <w:t>transforma</w:t>
      </w:r>
      <w:r w:rsidR="00B546AF">
        <w:t> »</w:t>
      </w:r>
      <w:r w:rsidR="000A7AAB" w:rsidRPr="002C4077">
        <w:t xml:space="preserve"> </w:t>
      </w:r>
      <w:r w:rsidR="000A7AAB">
        <w:t>en</w:t>
      </w:r>
      <w:r w:rsidR="000A7AAB" w:rsidRPr="002C4077">
        <w:t xml:space="preserve"> </w:t>
      </w:r>
      <w:r w:rsidR="000A7AAB">
        <w:t>quelque</w:t>
      </w:r>
      <w:r w:rsidR="000A7AAB" w:rsidRPr="002C4077">
        <w:t xml:space="preserve"> </w:t>
      </w:r>
      <w:r w:rsidR="000A7AAB">
        <w:t>chose</w:t>
      </w:r>
      <w:r w:rsidR="000A7AAB" w:rsidRPr="002C4077">
        <w:t xml:space="preserve"> </w:t>
      </w:r>
      <w:r w:rsidR="000A7AAB">
        <w:t>de</w:t>
      </w:r>
      <w:r w:rsidR="000A7AAB" w:rsidRPr="002C4077">
        <w:t xml:space="preserve"> </w:t>
      </w:r>
      <w:r w:rsidR="000A7AAB">
        <w:t>tout</w:t>
      </w:r>
      <w:r w:rsidR="000A7AAB" w:rsidRPr="002C4077">
        <w:t xml:space="preserve"> </w:t>
      </w:r>
      <w:r w:rsidR="000A7AAB">
        <w:t>à</w:t>
      </w:r>
      <w:r w:rsidR="000A7AAB" w:rsidRPr="002C4077">
        <w:t xml:space="preserve"> </w:t>
      </w:r>
      <w:r w:rsidR="000A7AAB">
        <w:t>fait</w:t>
      </w:r>
      <w:r w:rsidR="000A7AAB" w:rsidRPr="002C4077">
        <w:t xml:space="preserve"> </w:t>
      </w:r>
      <w:r w:rsidR="000A7AAB">
        <w:t>anormal.</w:t>
      </w:r>
      <w:r w:rsidR="000A7AAB" w:rsidRPr="002C4077">
        <w:t xml:space="preserve"> </w:t>
      </w:r>
    </w:p>
    <w:p w:rsidR="000A7AAB" w:rsidRDefault="000A7AAB" w:rsidP="000A7AAB">
      <w:r>
        <w:t>2°</w:t>
      </w:r>
      <w:r w:rsidRPr="002C4077">
        <w:t xml:space="preserve"> </w:t>
      </w:r>
      <w:r>
        <w:t>Le</w:t>
      </w:r>
      <w:r w:rsidRPr="002C4077">
        <w:t xml:space="preserve"> </w:t>
      </w:r>
      <w:r>
        <w:t>mot</w:t>
      </w:r>
      <w:r w:rsidRPr="002C4077">
        <w:t xml:space="preserve"> </w:t>
      </w:r>
      <w:r w:rsidR="009A5015" w:rsidRPr="009A5015">
        <w:t>θρόμβοι</w:t>
      </w:r>
      <w:r w:rsidRPr="002C4077">
        <w:t xml:space="preserve"> </w:t>
      </w:r>
      <w:r>
        <w:t>a</w:t>
      </w:r>
      <w:r w:rsidRPr="002C4077">
        <w:t xml:space="preserve"> </w:t>
      </w:r>
      <w:r>
        <w:t>aussi</w:t>
      </w:r>
      <w:r w:rsidRPr="002C4077">
        <w:t xml:space="preserve"> </w:t>
      </w:r>
      <w:r>
        <w:t>sa</w:t>
      </w:r>
      <w:r w:rsidRPr="002C4077">
        <w:t xml:space="preserve"> </w:t>
      </w:r>
      <w:r>
        <w:t>valeur</w:t>
      </w:r>
      <w:r w:rsidRPr="002C4077">
        <w:t xml:space="preserve"> </w:t>
      </w:r>
      <w:r>
        <w:t>indéniable.</w:t>
      </w:r>
      <w:r w:rsidRPr="002C4077">
        <w:t xml:space="preserve"> </w:t>
      </w:r>
      <w:r>
        <w:t>Tous</w:t>
      </w:r>
      <w:r w:rsidRPr="002C4077">
        <w:t xml:space="preserve"> </w:t>
      </w:r>
      <w:r>
        <w:t>les</w:t>
      </w:r>
      <w:r w:rsidRPr="002C4077">
        <w:t xml:space="preserve"> </w:t>
      </w:r>
      <w:r>
        <w:t>hellénistes</w:t>
      </w:r>
      <w:r w:rsidRPr="002C4077">
        <w:t xml:space="preserve"> </w:t>
      </w:r>
      <w:r>
        <w:t>l’admettent,</w:t>
      </w:r>
      <w:r w:rsidRPr="002C4077">
        <w:t xml:space="preserve"> </w:t>
      </w:r>
      <w:r>
        <w:t>et</w:t>
      </w:r>
      <w:r w:rsidRPr="002C4077">
        <w:t xml:space="preserve"> </w:t>
      </w:r>
      <w:r>
        <w:t>nos</w:t>
      </w:r>
      <w:r w:rsidRPr="002C4077">
        <w:t xml:space="preserve"> </w:t>
      </w:r>
      <w:r>
        <w:t>adversaires</w:t>
      </w:r>
      <w:r w:rsidRPr="002C4077">
        <w:t xml:space="preserve"> </w:t>
      </w:r>
      <w:r>
        <w:t>sont</w:t>
      </w:r>
      <w:r w:rsidRPr="002C4077">
        <w:t xml:space="preserve"> </w:t>
      </w:r>
      <w:r>
        <w:t>bien</w:t>
      </w:r>
      <w:r w:rsidRPr="002C4077">
        <w:t xml:space="preserve"> </w:t>
      </w:r>
      <w:r>
        <w:t>forcés</w:t>
      </w:r>
      <w:r w:rsidRPr="002C4077">
        <w:t xml:space="preserve"> </w:t>
      </w:r>
      <w:r>
        <w:t>de</w:t>
      </w:r>
      <w:r w:rsidRPr="002C4077">
        <w:t xml:space="preserve"> </w:t>
      </w:r>
      <w:r>
        <w:t>le</w:t>
      </w:r>
      <w:r w:rsidRPr="002C4077">
        <w:t xml:space="preserve"> </w:t>
      </w:r>
      <w:r>
        <w:t>reconnaître</w:t>
      </w:r>
      <w:r w:rsidR="009A5015">
        <w:rPr>
          <w:rStyle w:val="Appelnotedebasdep"/>
        </w:rPr>
        <w:footnoteReference w:id="384"/>
      </w:r>
      <w:r>
        <w:t>,</w:t>
      </w:r>
      <w:r w:rsidRPr="002C4077">
        <w:t xml:space="preserve"> </w:t>
      </w:r>
      <w:r>
        <w:t>même</w:t>
      </w:r>
      <w:r w:rsidRPr="002C4077">
        <w:t xml:space="preserve"> </w:t>
      </w:r>
      <w:r>
        <w:t>employé</w:t>
      </w:r>
      <w:r w:rsidRPr="002C4077">
        <w:t xml:space="preserve"> </w:t>
      </w:r>
      <w:r>
        <w:t>isolément</w:t>
      </w:r>
      <w:r w:rsidRPr="002C4077">
        <w:t xml:space="preserve"> </w:t>
      </w:r>
      <w:r w:rsidRPr="009A5015">
        <w:t>il</w:t>
      </w:r>
      <w:r w:rsidRPr="002C4077">
        <w:t xml:space="preserve"> </w:t>
      </w:r>
      <w:r w:rsidRPr="009A5015">
        <w:t>sert</w:t>
      </w:r>
      <w:r w:rsidRPr="002C4077">
        <w:t xml:space="preserve"> </w:t>
      </w:r>
      <w:r w:rsidRPr="009A5015">
        <w:t>le</w:t>
      </w:r>
      <w:r w:rsidRPr="002C4077">
        <w:t xml:space="preserve"> </w:t>
      </w:r>
      <w:r>
        <w:t>plus</w:t>
      </w:r>
      <w:r w:rsidRPr="002C4077">
        <w:t xml:space="preserve"> </w:t>
      </w:r>
      <w:r>
        <w:t>souvent</w:t>
      </w:r>
      <w:r w:rsidRPr="002C4077">
        <w:t xml:space="preserve"> </w:t>
      </w:r>
      <w:r>
        <w:t>à</w:t>
      </w:r>
      <w:r w:rsidRPr="002C4077">
        <w:t xml:space="preserve"> </w:t>
      </w:r>
      <w:r>
        <w:t>désigner</w:t>
      </w:r>
      <w:r w:rsidRPr="002C4077">
        <w:t xml:space="preserve"> </w:t>
      </w:r>
      <w:r>
        <w:t>des</w:t>
      </w:r>
      <w:r w:rsidRPr="002C4077">
        <w:t xml:space="preserve"> </w:t>
      </w:r>
      <w:r>
        <w:t>caillots</w:t>
      </w:r>
      <w:r w:rsidRPr="002C4077">
        <w:t xml:space="preserve"> </w:t>
      </w:r>
      <w:r>
        <w:t>ou</w:t>
      </w:r>
      <w:r w:rsidRPr="002C4077">
        <w:t xml:space="preserve"> </w:t>
      </w:r>
      <w:r>
        <w:t>grumeaux</w:t>
      </w:r>
      <w:r w:rsidRPr="002C4077">
        <w:t xml:space="preserve"> </w:t>
      </w:r>
      <w:r w:rsidRPr="000A34B5">
        <w:rPr>
          <w:rStyle w:val="italicus"/>
        </w:rPr>
        <w:t>de</w:t>
      </w:r>
      <w:r w:rsidRPr="002C4077">
        <w:t xml:space="preserve"> </w:t>
      </w:r>
      <w:r>
        <w:t>sang.</w:t>
      </w:r>
      <w:r w:rsidR="00C45B47">
        <w:t xml:space="preserve"> {</w:t>
      </w:r>
      <w:r w:rsidR="004C5B7A">
        <w:t>119</w:t>
      </w:r>
      <w:bookmarkStart w:id="339" w:name="p119"/>
      <w:bookmarkEnd w:id="339"/>
      <w:r w:rsidR="004C5B7A">
        <w:t xml:space="preserve">} </w:t>
      </w:r>
      <w:r>
        <w:t>Pourquoi</w:t>
      </w:r>
      <w:r w:rsidRPr="002C4077">
        <w:t xml:space="preserve"> </w:t>
      </w:r>
      <w:r>
        <w:t>S.</w:t>
      </w:r>
      <w:r w:rsidRPr="002C4077">
        <w:t xml:space="preserve"> </w:t>
      </w:r>
      <w:r>
        <w:t>Luc</w:t>
      </w:r>
      <w:r w:rsidRPr="002C4077">
        <w:t xml:space="preserve"> </w:t>
      </w:r>
      <w:r>
        <w:t>n’a-t-il</w:t>
      </w:r>
      <w:r w:rsidRPr="002C4077">
        <w:t xml:space="preserve"> </w:t>
      </w:r>
      <w:r>
        <w:t>pas</w:t>
      </w:r>
      <w:r w:rsidRPr="002C4077">
        <w:t xml:space="preserve"> </w:t>
      </w:r>
      <w:r>
        <w:t>employé</w:t>
      </w:r>
      <w:r w:rsidRPr="002C4077">
        <w:t xml:space="preserve"> </w:t>
      </w:r>
      <w:r>
        <w:t>les</w:t>
      </w:r>
      <w:r w:rsidRPr="002C4077">
        <w:t xml:space="preserve"> </w:t>
      </w:r>
      <w:r>
        <w:t>expressions</w:t>
      </w:r>
      <w:r w:rsidRPr="002C4077">
        <w:t xml:space="preserve"> </w:t>
      </w:r>
      <w:r>
        <w:t>plus</w:t>
      </w:r>
      <w:r w:rsidRPr="002C4077">
        <w:t xml:space="preserve"> </w:t>
      </w:r>
      <w:r>
        <w:t>communes</w:t>
      </w:r>
      <w:r w:rsidRPr="002C4077">
        <w:t xml:space="preserve"> </w:t>
      </w:r>
      <w:r w:rsidR="009A5015" w:rsidRPr="009578BE">
        <w:t>σταγών,</w:t>
      </w:r>
      <w:r w:rsidR="009A5015" w:rsidRPr="002C4077">
        <w:t xml:space="preserve"> </w:t>
      </w:r>
      <w:r w:rsidR="009A5015" w:rsidRPr="009578BE">
        <w:t>στάλαγμα</w:t>
      </w:r>
      <w:r>
        <w:t>,</w:t>
      </w:r>
      <w:r w:rsidRPr="002C4077">
        <w:t xml:space="preserve"> </w:t>
      </w:r>
      <w:r>
        <w:t>qui</w:t>
      </w:r>
      <w:r w:rsidRPr="002C4077">
        <w:t xml:space="preserve"> </w:t>
      </w:r>
      <w:r>
        <w:t>signifient</w:t>
      </w:r>
      <w:r w:rsidRPr="002C4077">
        <w:t xml:space="preserve"> </w:t>
      </w:r>
      <w:r>
        <w:t>simplement</w:t>
      </w:r>
      <w:r w:rsidRPr="002C4077">
        <w:t xml:space="preserve"> </w:t>
      </w:r>
      <w:r w:rsidRPr="000A34B5">
        <w:rPr>
          <w:rStyle w:val="italicus"/>
        </w:rPr>
        <w:t>gutta,</w:t>
      </w:r>
      <w:r w:rsidRPr="002C4077">
        <w:t xml:space="preserve"> </w:t>
      </w:r>
      <w:r w:rsidRPr="000A34B5">
        <w:rPr>
          <w:rStyle w:val="italicus"/>
        </w:rPr>
        <w:t>stilla,</w:t>
      </w:r>
      <w:r w:rsidRPr="002C4077">
        <w:t xml:space="preserve"> </w:t>
      </w:r>
      <w:r>
        <w:t>d’une</w:t>
      </w:r>
      <w:r w:rsidRPr="002C4077">
        <w:t xml:space="preserve"> </w:t>
      </w:r>
      <w:r>
        <w:t>manière</w:t>
      </w:r>
      <w:r w:rsidRPr="002C4077">
        <w:t xml:space="preserve"> </w:t>
      </w:r>
      <w:r>
        <w:t>toute</w:t>
      </w:r>
      <w:r w:rsidRPr="002C4077">
        <w:t xml:space="preserve"> </w:t>
      </w:r>
      <w:r>
        <w:t>générale</w:t>
      </w:r>
      <w:r w:rsidR="00B546AF">
        <w:t> ?</w:t>
      </w:r>
      <w:r w:rsidRPr="002C4077">
        <w:t xml:space="preserve"> </w:t>
      </w:r>
    </w:p>
    <w:p w:rsidR="000A7AAB" w:rsidRDefault="000A7AAB" w:rsidP="000A7AAB">
      <w:r>
        <w:t>3°</w:t>
      </w:r>
      <w:r w:rsidRPr="002C4077">
        <w:t xml:space="preserve"> </w:t>
      </w:r>
      <w:r>
        <w:t>Surtout,</w:t>
      </w:r>
      <w:r w:rsidRPr="002C4077">
        <w:t xml:space="preserve"> </w:t>
      </w:r>
      <w:r>
        <w:t>pourquoi</w:t>
      </w:r>
      <w:r w:rsidRPr="002C4077">
        <w:t xml:space="preserve"> </w:t>
      </w:r>
      <w:r>
        <w:t>a-t-il</w:t>
      </w:r>
      <w:r w:rsidRPr="002C4077">
        <w:t xml:space="preserve"> </w:t>
      </w:r>
      <w:r>
        <w:t>mentionné</w:t>
      </w:r>
      <w:r w:rsidRPr="002C4077">
        <w:t xml:space="preserve"> </w:t>
      </w:r>
      <w:r>
        <w:t>le</w:t>
      </w:r>
      <w:r w:rsidRPr="002C4077">
        <w:t xml:space="preserve"> </w:t>
      </w:r>
      <w:r>
        <w:t>sang</w:t>
      </w:r>
      <w:r w:rsidRPr="002C4077">
        <w:t xml:space="preserve"> </w:t>
      </w:r>
      <w:r>
        <w:t>dans</w:t>
      </w:r>
      <w:r w:rsidRPr="002C4077">
        <w:t xml:space="preserve"> </w:t>
      </w:r>
      <w:r>
        <w:t>sa</w:t>
      </w:r>
      <w:r w:rsidRPr="002C4077">
        <w:t xml:space="preserve"> </w:t>
      </w:r>
      <w:r>
        <w:t>narration,</w:t>
      </w:r>
      <w:r w:rsidRPr="002C4077">
        <w:t xml:space="preserve"> </w:t>
      </w:r>
      <w:r>
        <w:t>s’il</w:t>
      </w:r>
      <w:r w:rsidRPr="002C4077">
        <w:t xml:space="preserve"> </w:t>
      </w:r>
      <w:r>
        <w:t>ne</w:t>
      </w:r>
      <w:r w:rsidRPr="002C4077">
        <w:t xml:space="preserve"> </w:t>
      </w:r>
      <w:r>
        <w:t>voulait</w:t>
      </w:r>
      <w:r w:rsidRPr="002C4077">
        <w:t xml:space="preserve"> </w:t>
      </w:r>
      <w:r>
        <w:t>parler</w:t>
      </w:r>
      <w:r w:rsidRPr="002C4077">
        <w:t xml:space="preserve"> </w:t>
      </w:r>
      <w:r>
        <w:t>que</w:t>
      </w:r>
      <w:r w:rsidRPr="002C4077">
        <w:t xml:space="preserve"> </w:t>
      </w:r>
      <w:r>
        <w:t>d’une</w:t>
      </w:r>
      <w:r w:rsidRPr="002C4077">
        <w:t xml:space="preserve"> </w:t>
      </w:r>
      <w:r>
        <w:t>sueur</w:t>
      </w:r>
      <w:r w:rsidRPr="002C4077">
        <w:t xml:space="preserve"> </w:t>
      </w:r>
      <w:r>
        <w:t>épaisse</w:t>
      </w:r>
      <w:r w:rsidRPr="002C4077">
        <w:t xml:space="preserve"> </w:t>
      </w:r>
      <w:r>
        <w:t>et</w:t>
      </w:r>
      <w:r w:rsidRPr="002C4077">
        <w:t xml:space="preserve"> </w:t>
      </w:r>
      <w:r>
        <w:t>abondante</w:t>
      </w:r>
      <w:r w:rsidR="00B546AF">
        <w:t> ?</w:t>
      </w:r>
      <w:r w:rsidRPr="002C4077">
        <w:t xml:space="preserve"> </w:t>
      </w:r>
      <w:r>
        <w:t>Car</w:t>
      </w:r>
      <w:r w:rsidRPr="002C4077">
        <w:t xml:space="preserve"> </w:t>
      </w:r>
      <w:r>
        <w:t>alors,</w:t>
      </w:r>
      <w:r w:rsidRPr="002C4077">
        <w:t xml:space="preserve"> </w:t>
      </w:r>
      <w:r>
        <w:t>le</w:t>
      </w:r>
      <w:r w:rsidRPr="002C4077">
        <w:t xml:space="preserve"> </w:t>
      </w:r>
      <w:r>
        <w:t>substantif</w:t>
      </w:r>
      <w:r w:rsidRPr="002C4077">
        <w:t xml:space="preserve"> </w:t>
      </w:r>
      <w:r w:rsidR="009A5015" w:rsidRPr="009A5015">
        <w:t>αἵματος</w:t>
      </w:r>
      <w:r>
        <w:t>,</w:t>
      </w:r>
      <w:r w:rsidRPr="002C4077">
        <w:t xml:space="preserve"> </w:t>
      </w:r>
      <w:r>
        <w:t>bien</w:t>
      </w:r>
      <w:r w:rsidRPr="002C4077">
        <w:t xml:space="preserve"> </w:t>
      </w:r>
      <w:r>
        <w:t>loin</w:t>
      </w:r>
      <w:r w:rsidRPr="002C4077">
        <w:t xml:space="preserve"> </w:t>
      </w:r>
      <w:r>
        <w:t>d’être</w:t>
      </w:r>
      <w:r w:rsidRPr="002C4077">
        <w:t xml:space="preserve"> </w:t>
      </w:r>
      <w:r>
        <w:t>d’aucune</w:t>
      </w:r>
      <w:r w:rsidRPr="002C4077">
        <w:t xml:space="preserve"> </w:t>
      </w:r>
      <w:r>
        <w:t>utilité,</w:t>
      </w:r>
      <w:r w:rsidRPr="002C4077">
        <w:t xml:space="preserve"> </w:t>
      </w:r>
      <w:r>
        <w:t>ne</w:t>
      </w:r>
      <w:r w:rsidRPr="002C4077">
        <w:t xml:space="preserve"> </w:t>
      </w:r>
      <w:r>
        <w:t>peut</w:t>
      </w:r>
      <w:r w:rsidRPr="002C4077">
        <w:t xml:space="preserve"> </w:t>
      </w:r>
      <w:r>
        <w:t>qu’embrouiller</w:t>
      </w:r>
      <w:r w:rsidRPr="002C4077">
        <w:t xml:space="preserve"> </w:t>
      </w:r>
      <w:r>
        <w:t>le</w:t>
      </w:r>
      <w:r w:rsidRPr="002C4077">
        <w:t xml:space="preserve"> </w:t>
      </w:r>
      <w:r>
        <w:t>récit,</w:t>
      </w:r>
      <w:r w:rsidRPr="002C4077">
        <w:t xml:space="preserve"> </w:t>
      </w:r>
      <w:r>
        <w:t>et</w:t>
      </w:r>
      <w:r w:rsidRPr="002C4077">
        <w:t xml:space="preserve"> </w:t>
      </w:r>
      <w:r>
        <w:t>jeter</w:t>
      </w:r>
      <w:r w:rsidRPr="002C4077">
        <w:t xml:space="preserve"> </w:t>
      </w:r>
      <w:r>
        <w:t>dans</w:t>
      </w:r>
      <w:r w:rsidRPr="002C4077">
        <w:t xml:space="preserve"> </w:t>
      </w:r>
      <w:r>
        <w:t>les</w:t>
      </w:r>
      <w:r w:rsidRPr="002C4077">
        <w:t xml:space="preserve"> </w:t>
      </w:r>
      <w:r>
        <w:t>esprits</w:t>
      </w:r>
      <w:r w:rsidRPr="002C4077">
        <w:t xml:space="preserve"> </w:t>
      </w:r>
      <w:r>
        <w:t>la</w:t>
      </w:r>
      <w:r w:rsidRPr="002C4077">
        <w:t xml:space="preserve"> </w:t>
      </w:r>
      <w:r>
        <w:t>confusion</w:t>
      </w:r>
      <w:r w:rsidRPr="002C4077">
        <w:t xml:space="preserve"> </w:t>
      </w:r>
      <w:r>
        <w:t>et</w:t>
      </w:r>
      <w:r w:rsidRPr="002C4077">
        <w:t xml:space="preserve"> </w:t>
      </w:r>
      <w:r>
        <w:t>l’erreur.</w:t>
      </w:r>
      <w:r w:rsidRPr="002C4077">
        <w:t xml:space="preserve"> </w:t>
      </w:r>
      <w:r w:rsidR="00B546AF">
        <w:t>« </w:t>
      </w:r>
      <w:r>
        <w:t>Si</w:t>
      </w:r>
      <w:r w:rsidRPr="002C4077">
        <w:t xml:space="preserve"> </w:t>
      </w:r>
      <w:r>
        <w:t>un</w:t>
      </w:r>
      <w:r w:rsidRPr="002C4077">
        <w:t xml:space="preserve"> </w:t>
      </w:r>
      <w:r>
        <w:t>observateur</w:t>
      </w:r>
      <w:r w:rsidRPr="002C4077">
        <w:t xml:space="preserve"> </w:t>
      </w:r>
      <w:r>
        <w:t>ordinaire</w:t>
      </w:r>
      <w:r w:rsidRPr="002C4077">
        <w:t xml:space="preserve"> </w:t>
      </w:r>
      <w:r>
        <w:t>c</w:t>
      </w:r>
      <w:r w:rsidR="003B53FD">
        <w:t>ompare</w:t>
      </w:r>
      <w:r w:rsidRPr="002C4077">
        <w:t xml:space="preserve"> </w:t>
      </w:r>
      <w:r>
        <w:t>un</w:t>
      </w:r>
      <w:r w:rsidRPr="002C4077">
        <w:t xml:space="preserve"> </w:t>
      </w:r>
      <w:r>
        <w:t>fluide</w:t>
      </w:r>
      <w:r w:rsidRPr="002C4077">
        <w:t xml:space="preserve"> </w:t>
      </w:r>
      <w:r>
        <w:t>qu’on</w:t>
      </w:r>
      <w:r w:rsidRPr="002C4077">
        <w:t xml:space="preserve"> </w:t>
      </w:r>
      <w:r w:rsidR="00425C50">
        <w:t>est</w:t>
      </w:r>
      <w:r w:rsidRPr="002C4077">
        <w:t xml:space="preserve"> </w:t>
      </w:r>
      <w:r>
        <w:t>accoutumé</w:t>
      </w:r>
      <w:r w:rsidRPr="002C4077">
        <w:t xml:space="preserve"> </w:t>
      </w:r>
      <w:r>
        <w:t>à</w:t>
      </w:r>
      <w:r w:rsidRPr="002C4077">
        <w:t xml:space="preserve"> </w:t>
      </w:r>
      <w:r>
        <w:t>voir</w:t>
      </w:r>
      <w:r w:rsidRPr="002C4077">
        <w:t xml:space="preserve"> </w:t>
      </w:r>
      <w:r>
        <w:t>incolore,</w:t>
      </w:r>
      <w:r w:rsidRPr="002C4077">
        <w:t xml:space="preserve"> </w:t>
      </w:r>
      <w:r>
        <w:t>au</w:t>
      </w:r>
      <w:r w:rsidRPr="002C4077">
        <w:t xml:space="preserve"> </w:t>
      </w:r>
      <w:r>
        <w:t>sang,</w:t>
      </w:r>
      <w:r w:rsidRPr="002C4077">
        <w:t xml:space="preserve"> </w:t>
      </w:r>
      <w:r>
        <w:t>qui</w:t>
      </w:r>
      <w:r w:rsidRPr="002C4077">
        <w:t xml:space="preserve"> </w:t>
      </w:r>
      <w:r w:rsidR="00425C50">
        <w:t>est</w:t>
      </w:r>
      <w:r w:rsidRPr="002C4077">
        <w:t xml:space="preserve"> </w:t>
      </w:r>
      <w:r>
        <w:t>si</w:t>
      </w:r>
      <w:r w:rsidRPr="002C4077">
        <w:t xml:space="preserve"> </w:t>
      </w:r>
      <w:r>
        <w:t>bien</w:t>
      </w:r>
      <w:r w:rsidRPr="002C4077">
        <w:t xml:space="preserve"> </w:t>
      </w:r>
      <w:r>
        <w:t>connu</w:t>
      </w:r>
      <w:r w:rsidRPr="002C4077">
        <w:t xml:space="preserve"> </w:t>
      </w:r>
      <w:r>
        <w:t>et</w:t>
      </w:r>
      <w:r w:rsidRPr="002C4077">
        <w:t xml:space="preserve"> </w:t>
      </w:r>
      <w:r>
        <w:t>si</w:t>
      </w:r>
      <w:r w:rsidRPr="002C4077">
        <w:t xml:space="preserve"> </w:t>
      </w:r>
      <w:r>
        <w:t>nettement</w:t>
      </w:r>
      <w:r w:rsidRPr="002C4077">
        <w:t xml:space="preserve"> </w:t>
      </w:r>
      <w:r>
        <w:t>caractérisé</w:t>
      </w:r>
      <w:r w:rsidRPr="002C4077">
        <w:t xml:space="preserve"> </w:t>
      </w:r>
      <w:r>
        <w:t>par</w:t>
      </w:r>
      <w:r w:rsidRPr="002C4077">
        <w:t xml:space="preserve"> </w:t>
      </w:r>
      <w:r>
        <w:t>sa</w:t>
      </w:r>
      <w:r w:rsidRPr="002C4077">
        <w:t xml:space="preserve"> </w:t>
      </w:r>
      <w:r>
        <w:t>couleur,</w:t>
      </w:r>
      <w:r w:rsidRPr="002C4077">
        <w:t xml:space="preserve"> </w:t>
      </w:r>
      <w:r>
        <w:t>et</w:t>
      </w:r>
      <w:r w:rsidRPr="002C4077">
        <w:t xml:space="preserve"> </w:t>
      </w:r>
      <w:r>
        <w:t>s’il</w:t>
      </w:r>
      <w:r w:rsidRPr="002C4077">
        <w:t xml:space="preserve"> </w:t>
      </w:r>
      <w:r>
        <w:t>ne</w:t>
      </w:r>
      <w:r w:rsidRPr="002C4077">
        <w:t xml:space="preserve"> </w:t>
      </w:r>
      <w:r>
        <w:t>prend</w:t>
      </w:r>
      <w:r w:rsidRPr="002C4077">
        <w:t xml:space="preserve"> </w:t>
      </w:r>
      <w:r>
        <w:t>pas</w:t>
      </w:r>
      <w:r w:rsidRPr="002C4077">
        <w:t xml:space="preserve"> </w:t>
      </w:r>
      <w:r>
        <w:t>la</w:t>
      </w:r>
      <w:r w:rsidRPr="002C4077">
        <w:t xml:space="preserve"> </w:t>
      </w:r>
      <w:r>
        <w:t>peine</w:t>
      </w:r>
      <w:r w:rsidRPr="002C4077">
        <w:t xml:space="preserve"> </w:t>
      </w:r>
      <w:r>
        <w:t>de</w:t>
      </w:r>
      <w:r w:rsidRPr="002C4077">
        <w:t xml:space="preserve"> </w:t>
      </w:r>
      <w:r>
        <w:t>spécifier</w:t>
      </w:r>
      <w:r w:rsidRPr="002C4077">
        <w:t xml:space="preserve"> </w:t>
      </w:r>
      <w:r>
        <w:t>un</w:t>
      </w:r>
      <w:r w:rsidRPr="002C4077">
        <w:t xml:space="preserve"> </w:t>
      </w:r>
      <w:r>
        <w:t>point</w:t>
      </w:r>
      <w:r w:rsidRPr="002C4077">
        <w:t xml:space="preserve"> </w:t>
      </w:r>
      <w:r>
        <w:t>particulier</w:t>
      </w:r>
      <w:r w:rsidRPr="002C4077">
        <w:t xml:space="preserve"> </w:t>
      </w:r>
      <w:r>
        <w:t>de</w:t>
      </w:r>
      <w:r w:rsidRPr="002C4077">
        <w:t xml:space="preserve"> </w:t>
      </w:r>
      <w:r>
        <w:t>ressemblance,</w:t>
      </w:r>
      <w:r w:rsidRPr="002C4077">
        <w:t xml:space="preserve"> </w:t>
      </w:r>
      <w:r>
        <w:t>naturellement</w:t>
      </w:r>
      <w:r w:rsidRPr="002C4077">
        <w:t xml:space="preserve"> </w:t>
      </w:r>
      <w:r>
        <w:t>je</w:t>
      </w:r>
      <w:r w:rsidRPr="002C4077">
        <w:t xml:space="preserve"> </w:t>
      </w:r>
      <w:r>
        <w:t>croirai</w:t>
      </w:r>
      <w:r w:rsidRPr="002C4077">
        <w:t xml:space="preserve"> </w:t>
      </w:r>
      <w:r>
        <w:t>qu’il</w:t>
      </w:r>
      <w:r w:rsidRPr="002C4077">
        <w:t xml:space="preserve"> </w:t>
      </w:r>
      <w:r>
        <w:t>veut</w:t>
      </w:r>
      <w:r w:rsidRPr="002C4077">
        <w:t xml:space="preserve"> </w:t>
      </w:r>
      <w:r>
        <w:t>faire</w:t>
      </w:r>
      <w:r w:rsidRPr="002C4077">
        <w:t xml:space="preserve"> </w:t>
      </w:r>
      <w:r>
        <w:t>allusion</w:t>
      </w:r>
      <w:r w:rsidRPr="002C4077">
        <w:t xml:space="preserve"> </w:t>
      </w:r>
      <w:r>
        <w:t>à</w:t>
      </w:r>
      <w:r w:rsidRPr="002C4077">
        <w:t xml:space="preserve"> </w:t>
      </w:r>
      <w:r>
        <w:t>la</w:t>
      </w:r>
      <w:r w:rsidRPr="002C4077">
        <w:t xml:space="preserve"> </w:t>
      </w:r>
      <w:r>
        <w:t>couleur,</w:t>
      </w:r>
      <w:r w:rsidRPr="002C4077">
        <w:t xml:space="preserve"> </w:t>
      </w:r>
      <w:r>
        <w:t>puisque</w:t>
      </w:r>
      <w:r w:rsidRPr="002C4077">
        <w:t xml:space="preserve"> </w:t>
      </w:r>
      <w:r>
        <w:t>c’est</w:t>
      </w:r>
      <w:r w:rsidRPr="002C4077">
        <w:t xml:space="preserve"> </w:t>
      </w:r>
      <w:r>
        <w:t>elle</w:t>
      </w:r>
      <w:r w:rsidRPr="002C4077">
        <w:t xml:space="preserve"> </w:t>
      </w:r>
      <w:r>
        <w:t>qui</w:t>
      </w:r>
      <w:r w:rsidRPr="002C4077">
        <w:t xml:space="preserve"> </w:t>
      </w:r>
      <w:r w:rsidR="00425C50">
        <w:t>est</w:t>
      </w:r>
      <w:r w:rsidRPr="002C4077">
        <w:t xml:space="preserve"> </w:t>
      </w:r>
      <w:r>
        <w:t>ici</w:t>
      </w:r>
      <w:r w:rsidRPr="002C4077">
        <w:t xml:space="preserve"> </w:t>
      </w:r>
      <w:r>
        <w:t>la</w:t>
      </w:r>
      <w:r w:rsidRPr="002C4077">
        <w:t xml:space="preserve"> </w:t>
      </w:r>
      <w:r>
        <w:t>qualité</w:t>
      </w:r>
      <w:r w:rsidRPr="002C4077">
        <w:t xml:space="preserve"> </w:t>
      </w:r>
      <w:r>
        <w:t>la</w:t>
      </w:r>
      <w:r w:rsidRPr="002C4077">
        <w:t xml:space="preserve"> </w:t>
      </w:r>
      <w:r>
        <w:t>plus</w:t>
      </w:r>
      <w:r w:rsidRPr="002C4077">
        <w:t xml:space="preserve"> </w:t>
      </w:r>
      <w:r>
        <w:t>frappante</w:t>
      </w:r>
      <w:r w:rsidR="00B546AF">
        <w:t> »</w:t>
      </w:r>
      <w:r>
        <w:t>.</w:t>
      </w:r>
      <w:r w:rsidRPr="002C4077">
        <w:t xml:space="preserve"> </w:t>
      </w:r>
      <w:r>
        <w:t>Telle</w:t>
      </w:r>
      <w:r w:rsidRPr="002C4077">
        <w:t xml:space="preserve"> </w:t>
      </w:r>
      <w:r w:rsidR="00425C50">
        <w:t>est</w:t>
      </w:r>
      <w:r w:rsidRPr="002C4077">
        <w:t xml:space="preserve"> </w:t>
      </w:r>
      <w:r>
        <w:t>l’opinion</w:t>
      </w:r>
      <w:r w:rsidRPr="002C4077">
        <w:t xml:space="preserve"> </w:t>
      </w:r>
      <w:r>
        <w:t>du</w:t>
      </w:r>
      <w:r w:rsidRPr="002C4077">
        <w:t xml:space="preserve"> </w:t>
      </w:r>
      <w:r>
        <w:t>docteur</w:t>
      </w:r>
      <w:r w:rsidRPr="002C4077">
        <w:t xml:space="preserve"> </w:t>
      </w:r>
      <w:r>
        <w:t>anglais</w:t>
      </w:r>
      <w:r w:rsidRPr="002C4077">
        <w:t xml:space="preserve"> </w:t>
      </w:r>
      <w:r>
        <w:t>Nicholson</w:t>
      </w:r>
      <w:r w:rsidR="00B91AF7">
        <w:rPr>
          <w:rStyle w:val="Appelnotedebasdep"/>
        </w:rPr>
        <w:footnoteReference w:id="385"/>
      </w:r>
      <w:r>
        <w:t>.</w:t>
      </w:r>
      <w:r w:rsidRPr="002C4077">
        <w:t xml:space="preserve"> </w:t>
      </w:r>
      <w:r>
        <w:t>En</w:t>
      </w:r>
      <w:r w:rsidRPr="002C4077">
        <w:t xml:space="preserve"> </w:t>
      </w:r>
      <w:r>
        <w:t>d’autres</w:t>
      </w:r>
      <w:r w:rsidRPr="002C4077">
        <w:t xml:space="preserve"> </w:t>
      </w:r>
      <w:r>
        <w:t>termes,</w:t>
      </w:r>
      <w:r w:rsidRPr="002C4077">
        <w:t xml:space="preserve"> </w:t>
      </w:r>
      <w:r>
        <w:t>le</w:t>
      </w:r>
      <w:r w:rsidRPr="002C4077">
        <w:t xml:space="preserve"> </w:t>
      </w:r>
      <w:r>
        <w:t>mot</w:t>
      </w:r>
      <w:r w:rsidRPr="002C4077">
        <w:t xml:space="preserve"> </w:t>
      </w:r>
      <w:r>
        <w:t>essentiel</w:t>
      </w:r>
      <w:r w:rsidRPr="002C4077">
        <w:t xml:space="preserve"> </w:t>
      </w:r>
      <w:r>
        <w:t>de</w:t>
      </w:r>
      <w:r w:rsidRPr="002C4077">
        <w:t xml:space="preserve"> </w:t>
      </w:r>
      <w:r>
        <w:t>notre</w:t>
      </w:r>
      <w:r w:rsidRPr="002C4077">
        <w:t xml:space="preserve"> </w:t>
      </w:r>
      <w:r>
        <w:lastRenderedPageBreak/>
        <w:t>passage</w:t>
      </w:r>
      <w:r w:rsidRPr="002C4077">
        <w:t xml:space="preserve"> </w:t>
      </w:r>
      <w:r w:rsidR="00425C50">
        <w:t>est</w:t>
      </w:r>
      <w:r w:rsidRPr="002C4077">
        <w:t xml:space="preserve"> </w:t>
      </w:r>
      <w:r w:rsidRPr="000A34B5">
        <w:rPr>
          <w:rStyle w:val="italicus"/>
        </w:rPr>
        <w:t>s</w:t>
      </w:r>
      <w:r w:rsidR="003B53FD">
        <w:rPr>
          <w:rStyle w:val="italicus"/>
        </w:rPr>
        <w:t>á</w:t>
      </w:r>
      <w:r w:rsidR="003B53FD" w:rsidRPr="000A34B5">
        <w:rPr>
          <w:rStyle w:val="italicus"/>
        </w:rPr>
        <w:t>nguinis</w:t>
      </w:r>
      <w:r w:rsidRPr="000A34B5">
        <w:rPr>
          <w:rStyle w:val="italicus"/>
        </w:rPr>
        <w:t>,</w:t>
      </w:r>
      <w:r w:rsidRPr="002C4077">
        <w:t xml:space="preserve"> </w:t>
      </w:r>
      <w:r>
        <w:t>puisque</w:t>
      </w:r>
      <w:r w:rsidRPr="002C4077">
        <w:t xml:space="preserve"> </w:t>
      </w:r>
      <w:r>
        <w:t>c’est</w:t>
      </w:r>
      <w:r w:rsidRPr="002C4077">
        <w:t xml:space="preserve"> </w:t>
      </w:r>
      <w:r>
        <w:t>à</w:t>
      </w:r>
      <w:r w:rsidRPr="002C4077">
        <w:t xml:space="preserve"> </w:t>
      </w:r>
      <w:r>
        <w:t>lui</w:t>
      </w:r>
      <w:r w:rsidRPr="002C4077">
        <w:t xml:space="preserve"> </w:t>
      </w:r>
      <w:r>
        <w:t>que</w:t>
      </w:r>
      <w:r w:rsidRPr="002C4077">
        <w:t xml:space="preserve"> </w:t>
      </w:r>
      <w:r>
        <w:t>se</w:t>
      </w:r>
      <w:r w:rsidRPr="002C4077">
        <w:t xml:space="preserve"> </w:t>
      </w:r>
      <w:r>
        <w:t>rapportent</w:t>
      </w:r>
      <w:r w:rsidRPr="002C4077">
        <w:t xml:space="preserve"> </w:t>
      </w:r>
      <w:r>
        <w:t>toutes</w:t>
      </w:r>
      <w:r w:rsidRPr="002C4077">
        <w:t xml:space="preserve"> </w:t>
      </w:r>
      <w:r>
        <w:t>les</w:t>
      </w:r>
      <w:r w:rsidRPr="002C4077">
        <w:t xml:space="preserve"> </w:t>
      </w:r>
      <w:r>
        <w:t>autres</w:t>
      </w:r>
      <w:r w:rsidRPr="002C4077">
        <w:t xml:space="preserve"> </w:t>
      </w:r>
      <w:r>
        <w:t>expressions</w:t>
      </w:r>
      <w:r w:rsidRPr="002C4077">
        <w:t xml:space="preserve"> </w:t>
      </w:r>
      <w:r>
        <w:t>du</w:t>
      </w:r>
      <w:r w:rsidRPr="002C4077">
        <w:t xml:space="preserve"> </w:t>
      </w:r>
      <w:r>
        <w:t>verset</w:t>
      </w:r>
      <w:r w:rsidR="00B546AF">
        <w:t> ;</w:t>
      </w:r>
      <w:r w:rsidRPr="002C4077">
        <w:t xml:space="preserve"> </w:t>
      </w:r>
      <w:r>
        <w:t>or,</w:t>
      </w:r>
      <w:r w:rsidRPr="002C4077">
        <w:t xml:space="preserve"> </w:t>
      </w:r>
      <w:r>
        <w:t>ce</w:t>
      </w:r>
      <w:r w:rsidRPr="002C4077">
        <w:t xml:space="preserve"> </w:t>
      </w:r>
      <w:r>
        <w:t>mot</w:t>
      </w:r>
      <w:r w:rsidRPr="002C4077">
        <w:t xml:space="preserve"> </w:t>
      </w:r>
      <w:r>
        <w:t>perd</w:t>
      </w:r>
      <w:r w:rsidRPr="002C4077">
        <w:t xml:space="preserve"> </w:t>
      </w:r>
      <w:r>
        <w:t>sa</w:t>
      </w:r>
      <w:r w:rsidRPr="002C4077">
        <w:t xml:space="preserve"> </w:t>
      </w:r>
      <w:r>
        <w:t>principale</w:t>
      </w:r>
      <w:r w:rsidRPr="002C4077">
        <w:t xml:space="preserve"> </w:t>
      </w:r>
      <w:r>
        <w:t>raison</w:t>
      </w:r>
      <w:r w:rsidRPr="002C4077">
        <w:t xml:space="preserve"> </w:t>
      </w:r>
      <w:r>
        <w:t>d’être</w:t>
      </w:r>
      <w:r w:rsidRPr="002C4077">
        <w:t xml:space="preserve"> </w:t>
      </w:r>
      <w:r>
        <w:t>s’il</w:t>
      </w:r>
      <w:r w:rsidRPr="002C4077">
        <w:t xml:space="preserve"> </w:t>
      </w:r>
      <w:r>
        <w:t>ne</w:t>
      </w:r>
      <w:r w:rsidRPr="002C4077">
        <w:t xml:space="preserve"> </w:t>
      </w:r>
      <w:r>
        <w:t>désigne</w:t>
      </w:r>
      <w:r w:rsidRPr="002C4077">
        <w:t xml:space="preserve"> </w:t>
      </w:r>
      <w:r>
        <w:t>pas</w:t>
      </w:r>
      <w:r w:rsidRPr="002C4077">
        <w:t xml:space="preserve"> </w:t>
      </w:r>
      <w:r>
        <w:t>la</w:t>
      </w:r>
      <w:r w:rsidRPr="002C4077">
        <w:t xml:space="preserve"> </w:t>
      </w:r>
      <w:r>
        <w:t>nature</w:t>
      </w:r>
      <w:r w:rsidRPr="002C4077">
        <w:t xml:space="preserve"> </w:t>
      </w:r>
      <w:r>
        <w:t>même</w:t>
      </w:r>
      <w:r w:rsidRPr="002C4077">
        <w:t xml:space="preserve"> </w:t>
      </w:r>
      <w:r>
        <w:t>de</w:t>
      </w:r>
      <w:r w:rsidRPr="002C4077">
        <w:t xml:space="preserve"> </w:t>
      </w:r>
      <w:r>
        <w:t>la</w:t>
      </w:r>
      <w:r w:rsidRPr="002C4077">
        <w:t xml:space="preserve"> </w:t>
      </w:r>
      <w:r>
        <w:t>sueur.</w:t>
      </w:r>
      <w:r w:rsidRPr="002C4077">
        <w:t xml:space="preserve"> </w:t>
      </w:r>
      <w:r>
        <w:t>Comme</w:t>
      </w:r>
      <w:r w:rsidRPr="002C4077">
        <w:t xml:space="preserve"> </w:t>
      </w:r>
      <w:r>
        <w:t>le</w:t>
      </w:r>
      <w:r w:rsidRPr="002C4077">
        <w:t xml:space="preserve"> </w:t>
      </w:r>
      <w:r>
        <w:t>dit</w:t>
      </w:r>
      <w:r w:rsidRPr="002C4077">
        <w:t xml:space="preserve"> </w:t>
      </w:r>
      <w:r>
        <w:t>justement</w:t>
      </w:r>
      <w:r w:rsidRPr="002C4077">
        <w:t xml:space="preserve"> </w:t>
      </w:r>
      <w:r>
        <w:t>Bengel</w:t>
      </w:r>
      <w:r w:rsidR="00B91AF7">
        <w:rPr>
          <w:rStyle w:val="Appelnotedebasdep"/>
        </w:rPr>
        <w:footnoteReference w:id="386"/>
      </w:r>
      <w:r>
        <w:t>,</w:t>
      </w:r>
      <w:r w:rsidRPr="002C4077">
        <w:t xml:space="preserve"> </w:t>
      </w:r>
      <w:r w:rsidRPr="000A34B5">
        <w:rPr>
          <w:rStyle w:val="italicus"/>
        </w:rPr>
        <w:t>si</w:t>
      </w:r>
      <w:r w:rsidRPr="002C4077">
        <w:t xml:space="preserve"> </w:t>
      </w:r>
      <w:r w:rsidRPr="000A34B5">
        <w:rPr>
          <w:rStyle w:val="italicus"/>
        </w:rPr>
        <w:t>sudor</w:t>
      </w:r>
      <w:r w:rsidRPr="002C4077">
        <w:t xml:space="preserve"> </w:t>
      </w:r>
      <w:r w:rsidRPr="000A34B5">
        <w:rPr>
          <w:rStyle w:val="italicus"/>
        </w:rPr>
        <w:t>non</w:t>
      </w:r>
      <w:r w:rsidRPr="002C4077">
        <w:t xml:space="preserve"> </w:t>
      </w:r>
      <w:r w:rsidR="003B53FD" w:rsidRPr="000A34B5">
        <w:rPr>
          <w:rStyle w:val="italicus"/>
        </w:rPr>
        <w:t>fu</w:t>
      </w:r>
      <w:r w:rsidR="003B53FD">
        <w:rPr>
          <w:rStyle w:val="italicus"/>
        </w:rPr>
        <w:t>í</w:t>
      </w:r>
      <w:r w:rsidR="003B53FD" w:rsidRPr="000A34B5">
        <w:rPr>
          <w:rStyle w:val="italicus"/>
        </w:rPr>
        <w:t>sset</w:t>
      </w:r>
      <w:r w:rsidRPr="002C4077">
        <w:t xml:space="preserve"> </w:t>
      </w:r>
      <w:r w:rsidRPr="000A34B5">
        <w:rPr>
          <w:rStyle w:val="italicus"/>
        </w:rPr>
        <w:t>sangu</w:t>
      </w:r>
      <w:r w:rsidR="009A5015">
        <w:rPr>
          <w:rStyle w:val="italicus"/>
        </w:rPr>
        <w:t>í</w:t>
      </w:r>
      <w:r w:rsidRPr="000A34B5">
        <w:rPr>
          <w:rStyle w:val="italicus"/>
        </w:rPr>
        <w:t>neus,</w:t>
      </w:r>
      <w:r w:rsidRPr="002C4077">
        <w:t xml:space="preserve"> </w:t>
      </w:r>
      <w:r w:rsidRPr="000A34B5">
        <w:rPr>
          <w:rStyle w:val="italicus"/>
        </w:rPr>
        <w:t>m</w:t>
      </w:r>
      <w:r w:rsidR="003B53FD">
        <w:rPr>
          <w:rStyle w:val="italicus"/>
        </w:rPr>
        <w:t>é</w:t>
      </w:r>
      <w:r w:rsidR="003B53FD" w:rsidRPr="000A34B5">
        <w:rPr>
          <w:rStyle w:val="italicus"/>
        </w:rPr>
        <w:t>ntio</w:t>
      </w:r>
      <w:r w:rsidRPr="002C4077">
        <w:t xml:space="preserve"> </w:t>
      </w:r>
      <w:r w:rsidRPr="000A34B5">
        <w:rPr>
          <w:rStyle w:val="italicus"/>
        </w:rPr>
        <w:t>s</w:t>
      </w:r>
      <w:r w:rsidR="003B53FD">
        <w:rPr>
          <w:rStyle w:val="italicus"/>
        </w:rPr>
        <w:t>á</w:t>
      </w:r>
      <w:r w:rsidR="003B53FD" w:rsidRPr="000A34B5">
        <w:rPr>
          <w:rStyle w:val="italicus"/>
        </w:rPr>
        <w:t>nguinis</w:t>
      </w:r>
      <w:r w:rsidRPr="002C4077">
        <w:t xml:space="preserve"> </w:t>
      </w:r>
      <w:r w:rsidRPr="000A34B5">
        <w:rPr>
          <w:rStyle w:val="italicus"/>
        </w:rPr>
        <w:t>plane</w:t>
      </w:r>
      <w:r w:rsidRPr="002C4077">
        <w:t xml:space="preserve"> </w:t>
      </w:r>
      <w:r w:rsidRPr="000A34B5">
        <w:rPr>
          <w:rStyle w:val="italicus"/>
        </w:rPr>
        <w:t>abesse</w:t>
      </w:r>
      <w:r w:rsidR="009A5015" w:rsidRPr="002C4077">
        <w:t xml:space="preserve"> </w:t>
      </w:r>
      <w:r w:rsidRPr="000A34B5">
        <w:rPr>
          <w:rStyle w:val="italicus"/>
        </w:rPr>
        <w:t>p</w:t>
      </w:r>
      <w:r w:rsidR="003B53FD">
        <w:rPr>
          <w:rStyle w:val="italicus"/>
        </w:rPr>
        <w:t>ó</w:t>
      </w:r>
      <w:r w:rsidR="003B53FD" w:rsidRPr="000A34B5">
        <w:rPr>
          <w:rStyle w:val="italicus"/>
        </w:rPr>
        <w:t>terat</w:t>
      </w:r>
      <w:r w:rsidRPr="000A34B5">
        <w:rPr>
          <w:rStyle w:val="italicus"/>
        </w:rPr>
        <w:t>.</w:t>
      </w:r>
      <w:r w:rsidRPr="002C4077">
        <w:t xml:space="preserve"> </w:t>
      </w:r>
      <w:r w:rsidR="00B546AF">
        <w:t>« </w:t>
      </w:r>
      <w:r>
        <w:t>La</w:t>
      </w:r>
      <w:r w:rsidRPr="002C4077">
        <w:t xml:space="preserve"> </w:t>
      </w:r>
      <w:r>
        <w:t>comparaison</w:t>
      </w:r>
      <w:r w:rsidRPr="002C4077">
        <w:t xml:space="preserve"> </w:t>
      </w:r>
      <w:r>
        <w:t>de</w:t>
      </w:r>
      <w:r w:rsidRPr="002C4077">
        <w:t xml:space="preserve"> </w:t>
      </w:r>
      <w:r>
        <w:t>la</w:t>
      </w:r>
      <w:r w:rsidRPr="002C4077">
        <w:t xml:space="preserve"> </w:t>
      </w:r>
      <w:r>
        <w:t>sueur…</w:t>
      </w:r>
      <w:r w:rsidRPr="002C4077">
        <w:t xml:space="preserve"> </w:t>
      </w:r>
      <w:r>
        <w:t>avec</w:t>
      </w:r>
      <w:r w:rsidRPr="002C4077">
        <w:t xml:space="preserve"> </w:t>
      </w:r>
      <w:r>
        <w:t>du</w:t>
      </w:r>
      <w:r w:rsidRPr="002C4077">
        <w:t xml:space="preserve"> </w:t>
      </w:r>
      <w:r>
        <w:t>sang</w:t>
      </w:r>
      <w:r w:rsidRPr="002C4077">
        <w:t xml:space="preserve"> </w:t>
      </w:r>
      <w:r>
        <w:t>dégouttant</w:t>
      </w:r>
      <w:r w:rsidRPr="002C4077">
        <w:t xml:space="preserve"> </w:t>
      </w:r>
      <w:r>
        <w:t>à</w:t>
      </w:r>
      <w:r w:rsidRPr="002C4077">
        <w:t xml:space="preserve"> </w:t>
      </w:r>
      <w:r>
        <w:t>terre</w:t>
      </w:r>
      <w:r w:rsidRPr="002C4077">
        <w:t xml:space="preserve"> </w:t>
      </w:r>
      <w:r>
        <w:t>serait</w:t>
      </w:r>
      <w:r w:rsidRPr="002C4077">
        <w:t xml:space="preserve"> </w:t>
      </w:r>
      <w:r>
        <w:t>malhabile…</w:t>
      </w:r>
      <w:r w:rsidRPr="002C4077">
        <w:t xml:space="preserve"> </w:t>
      </w:r>
      <w:r>
        <w:t>si,</w:t>
      </w:r>
      <w:r w:rsidRPr="002C4077">
        <w:t xml:space="preserve"> </w:t>
      </w:r>
      <w:r>
        <w:t>parmi</w:t>
      </w:r>
      <w:r w:rsidRPr="002C4077">
        <w:t xml:space="preserve"> </w:t>
      </w:r>
      <w:r>
        <w:t>les</w:t>
      </w:r>
      <w:r w:rsidRPr="002C4077">
        <w:t xml:space="preserve"> </w:t>
      </w:r>
      <w:r>
        <w:t>mots</w:t>
      </w:r>
      <w:r w:rsidR="00B546AF">
        <w:t> :</w:t>
      </w:r>
      <w:r w:rsidRPr="002C4077">
        <w:t xml:space="preserve"> </w:t>
      </w:r>
      <w:r w:rsidRPr="000A34B5">
        <w:rPr>
          <w:rStyle w:val="italicus"/>
        </w:rPr>
        <w:t>comme</w:t>
      </w:r>
      <w:r w:rsidRPr="002C4077">
        <w:t xml:space="preserve"> </w:t>
      </w:r>
      <w:r w:rsidRPr="000A34B5">
        <w:rPr>
          <w:rStyle w:val="italicus"/>
        </w:rPr>
        <w:t>des</w:t>
      </w:r>
      <w:r w:rsidRPr="002C4077">
        <w:t xml:space="preserve"> </w:t>
      </w:r>
      <w:r w:rsidRPr="000A34B5">
        <w:rPr>
          <w:rStyle w:val="italicus"/>
        </w:rPr>
        <w:t>gouttes</w:t>
      </w:r>
      <w:r w:rsidRPr="002C4077">
        <w:t xml:space="preserve"> </w:t>
      </w:r>
      <w:r w:rsidRPr="000A34B5">
        <w:rPr>
          <w:rStyle w:val="italicus"/>
        </w:rPr>
        <w:t>de</w:t>
      </w:r>
      <w:r w:rsidRPr="002C4077">
        <w:t xml:space="preserve"> </w:t>
      </w:r>
      <w:r w:rsidRPr="000A34B5">
        <w:rPr>
          <w:rStyle w:val="italicus"/>
        </w:rPr>
        <w:t>sang</w:t>
      </w:r>
      <w:r w:rsidRPr="002C4077">
        <w:t xml:space="preserve"> </w:t>
      </w:r>
      <w:r w:rsidRPr="000A34B5">
        <w:rPr>
          <w:rStyle w:val="italicus"/>
        </w:rPr>
        <w:t>tombant</w:t>
      </w:r>
      <w:r w:rsidRPr="002C4077">
        <w:t xml:space="preserve"> </w:t>
      </w:r>
      <w:r w:rsidRPr="000A34B5">
        <w:rPr>
          <w:rStyle w:val="italicus"/>
        </w:rPr>
        <w:t>à</w:t>
      </w:r>
      <w:r w:rsidRPr="002C4077">
        <w:t xml:space="preserve"> </w:t>
      </w:r>
      <w:r w:rsidRPr="000A34B5">
        <w:rPr>
          <w:rStyle w:val="italicus"/>
        </w:rPr>
        <w:t>terre,</w:t>
      </w:r>
      <w:r w:rsidRPr="002C4077">
        <w:t xml:space="preserve"> </w:t>
      </w:r>
      <w:r>
        <w:t>il</w:t>
      </w:r>
      <w:r w:rsidRPr="002C4077">
        <w:t xml:space="preserve"> </w:t>
      </w:r>
      <w:r>
        <w:t>n’y</w:t>
      </w:r>
      <w:r w:rsidRPr="002C4077">
        <w:t xml:space="preserve"> </w:t>
      </w:r>
      <w:r>
        <w:t>avait</w:t>
      </w:r>
      <w:r w:rsidRPr="002C4077">
        <w:t xml:space="preserve"> </w:t>
      </w:r>
      <w:r>
        <w:t>que</w:t>
      </w:r>
      <w:r w:rsidRPr="002C4077">
        <w:t xml:space="preserve"> </w:t>
      </w:r>
      <w:r>
        <w:t>les</w:t>
      </w:r>
      <w:r w:rsidRPr="002C4077">
        <w:t xml:space="preserve"> </w:t>
      </w:r>
      <w:r>
        <w:t>mots</w:t>
      </w:r>
      <w:r w:rsidR="00B546AF">
        <w:t> :</w:t>
      </w:r>
      <w:r w:rsidRPr="002C4077">
        <w:t xml:space="preserve"> </w:t>
      </w:r>
      <w:r w:rsidRPr="000A34B5">
        <w:rPr>
          <w:rStyle w:val="italicus"/>
        </w:rPr>
        <w:t>comme</w:t>
      </w:r>
      <w:r w:rsidRPr="002C4077">
        <w:t xml:space="preserve"> </w:t>
      </w:r>
      <w:r w:rsidRPr="000A34B5">
        <w:rPr>
          <w:rStyle w:val="italicus"/>
        </w:rPr>
        <w:t>des</w:t>
      </w:r>
      <w:r w:rsidRPr="002C4077">
        <w:t xml:space="preserve"> </w:t>
      </w:r>
      <w:r w:rsidRPr="000A34B5">
        <w:rPr>
          <w:rStyle w:val="italicus"/>
        </w:rPr>
        <w:t>gouttes</w:t>
      </w:r>
      <w:r w:rsidRPr="002C4077">
        <w:t xml:space="preserve"> </w:t>
      </w:r>
      <w:r>
        <w:t>qui</w:t>
      </w:r>
      <w:r w:rsidRPr="002C4077">
        <w:t xml:space="preserve"> </w:t>
      </w:r>
      <w:r>
        <w:t>eussent</w:t>
      </w:r>
      <w:r w:rsidRPr="002C4077">
        <w:t xml:space="preserve"> </w:t>
      </w:r>
      <w:r>
        <w:t>un</w:t>
      </w:r>
      <w:r w:rsidRPr="002C4077">
        <w:t xml:space="preserve"> </w:t>
      </w:r>
      <w:r>
        <w:t>sens</w:t>
      </w:r>
      <w:r w:rsidRPr="002C4077">
        <w:t xml:space="preserve"> </w:t>
      </w:r>
      <w:r>
        <w:t>précis</w:t>
      </w:r>
      <w:r w:rsidR="00B91AF7">
        <w:rPr>
          <w:rStyle w:val="Appelnotedebasdep"/>
        </w:rPr>
        <w:footnoteReference w:id="387"/>
      </w:r>
      <w:r w:rsidR="00B546AF">
        <w:t> »</w:t>
      </w:r>
      <w:r>
        <w:t>.</w:t>
      </w:r>
      <w:r w:rsidRPr="002C4077">
        <w:t xml:space="preserve"> </w:t>
      </w:r>
    </w:p>
    <w:p w:rsidR="000A7AAB" w:rsidRDefault="000A7AAB" w:rsidP="000A7AAB">
      <w:r>
        <w:t>4°</w:t>
      </w:r>
      <w:r w:rsidRPr="002C4077">
        <w:t xml:space="preserve"> </w:t>
      </w:r>
      <w:r>
        <w:t>L’emploi</w:t>
      </w:r>
      <w:r w:rsidRPr="002C4077">
        <w:t xml:space="preserve"> </w:t>
      </w:r>
      <w:r>
        <w:t>de</w:t>
      </w:r>
      <w:r w:rsidRPr="002C4077">
        <w:t xml:space="preserve"> </w:t>
      </w:r>
      <w:r>
        <w:t>l’adverbe</w:t>
      </w:r>
      <w:r w:rsidRPr="002C4077">
        <w:t xml:space="preserve"> </w:t>
      </w:r>
      <w:r w:rsidRPr="000A34B5">
        <w:rPr>
          <w:rStyle w:val="italicus"/>
        </w:rPr>
        <w:t>sicut,</w:t>
      </w:r>
      <w:r w:rsidRPr="002C4077">
        <w:t xml:space="preserve"> </w:t>
      </w:r>
      <w:r>
        <w:t>n’enlève</w:t>
      </w:r>
      <w:r w:rsidRPr="002C4077">
        <w:t xml:space="preserve"> </w:t>
      </w:r>
      <w:r>
        <w:t>rien</w:t>
      </w:r>
      <w:r w:rsidRPr="002C4077">
        <w:t xml:space="preserve"> </w:t>
      </w:r>
      <w:r>
        <w:t>de</w:t>
      </w:r>
      <w:r w:rsidRPr="002C4077">
        <w:t xml:space="preserve"> </w:t>
      </w:r>
      <w:r>
        <w:t>leur</w:t>
      </w:r>
      <w:r w:rsidRPr="002C4077">
        <w:t xml:space="preserve"> </w:t>
      </w:r>
      <w:r>
        <w:t>force</w:t>
      </w:r>
      <w:r w:rsidRPr="002C4077">
        <w:t xml:space="preserve"> </w:t>
      </w:r>
      <w:r>
        <w:t>aux</w:t>
      </w:r>
      <w:r w:rsidRPr="002C4077">
        <w:t xml:space="preserve"> </w:t>
      </w:r>
      <w:r>
        <w:t>raisonnements</w:t>
      </w:r>
      <w:r w:rsidRPr="002C4077">
        <w:t xml:space="preserve"> </w:t>
      </w:r>
      <w:r>
        <w:t>qui</w:t>
      </w:r>
      <w:r w:rsidRPr="002C4077">
        <w:t xml:space="preserve"> </w:t>
      </w:r>
      <w:r>
        <w:t>précèdent.</w:t>
      </w:r>
      <w:r w:rsidRPr="002C4077">
        <w:t xml:space="preserve"> </w:t>
      </w:r>
      <w:r>
        <w:t>N’exprimât-il,</w:t>
      </w:r>
      <w:r w:rsidRPr="002C4077">
        <w:t xml:space="preserve"> </w:t>
      </w:r>
      <w:r>
        <w:t>d’après</w:t>
      </w:r>
      <w:r w:rsidRPr="002C4077">
        <w:t xml:space="preserve"> </w:t>
      </w:r>
      <w:r>
        <w:t>son</w:t>
      </w:r>
      <w:r w:rsidRPr="002C4077">
        <w:t xml:space="preserve"> </w:t>
      </w:r>
      <w:r>
        <w:t>rôle</w:t>
      </w:r>
      <w:r w:rsidRPr="002C4077">
        <w:t xml:space="preserve"> </w:t>
      </w:r>
      <w:r>
        <w:t>le</w:t>
      </w:r>
      <w:r w:rsidRPr="002C4077">
        <w:t xml:space="preserve"> </w:t>
      </w:r>
      <w:r>
        <w:t>plus</w:t>
      </w:r>
      <w:r w:rsidRPr="002C4077">
        <w:t xml:space="preserve"> </w:t>
      </w:r>
      <w:r>
        <w:t>habituel,</w:t>
      </w:r>
      <w:r w:rsidRPr="002C4077">
        <w:t xml:space="preserve"> </w:t>
      </w:r>
      <w:r>
        <w:t>qu’une</w:t>
      </w:r>
      <w:r w:rsidRPr="002C4077">
        <w:t xml:space="preserve"> </w:t>
      </w:r>
      <w:r>
        <w:t>comparaison,</w:t>
      </w:r>
      <w:r w:rsidRPr="002C4077">
        <w:t xml:space="preserve"> </w:t>
      </w:r>
      <w:r>
        <w:t>il</w:t>
      </w:r>
      <w:r w:rsidRPr="002C4077">
        <w:t xml:space="preserve"> </w:t>
      </w:r>
      <w:r>
        <w:t>résulte</w:t>
      </w:r>
      <w:r w:rsidRPr="002C4077">
        <w:t xml:space="preserve"> </w:t>
      </w:r>
      <w:r>
        <w:t>du</w:t>
      </w:r>
      <w:r w:rsidRPr="002C4077">
        <w:t xml:space="preserve"> </w:t>
      </w:r>
      <w:r>
        <w:t>contexte</w:t>
      </w:r>
      <w:r w:rsidRPr="002C4077">
        <w:t xml:space="preserve"> </w:t>
      </w:r>
      <w:r>
        <w:t>que</w:t>
      </w:r>
      <w:r w:rsidRPr="002C4077">
        <w:t xml:space="preserve"> </w:t>
      </w:r>
      <w:r>
        <w:t>le</w:t>
      </w:r>
      <w:r w:rsidRPr="002C4077">
        <w:t xml:space="preserve"> </w:t>
      </w:r>
      <w:r w:rsidR="00B546AF">
        <w:t>« </w:t>
      </w:r>
      <w:r>
        <w:t>t</w:t>
      </w:r>
      <w:r w:rsidR="003B53FD">
        <w:t>értium</w:t>
      </w:r>
      <w:r w:rsidRPr="002C4077">
        <w:t xml:space="preserve"> </w:t>
      </w:r>
      <w:r>
        <w:t>co</w:t>
      </w:r>
      <w:r w:rsidR="001730C6">
        <w:t>mp</w:t>
      </w:r>
      <w:r>
        <w:t>arat</w:t>
      </w:r>
      <w:r w:rsidR="003B53FD">
        <w:t>iónis</w:t>
      </w:r>
      <w:r w:rsidR="00B546AF">
        <w:t> »</w:t>
      </w:r>
      <w:r>
        <w:t>,</w:t>
      </w:r>
      <w:r w:rsidRPr="002C4077">
        <w:t xml:space="preserve"> </w:t>
      </w:r>
      <w:r>
        <w:t>comme</w:t>
      </w:r>
      <w:r w:rsidRPr="002C4077">
        <w:t xml:space="preserve"> </w:t>
      </w:r>
      <w:r>
        <w:t>s’expriment</w:t>
      </w:r>
      <w:r w:rsidRPr="002C4077">
        <w:t xml:space="preserve"> </w:t>
      </w:r>
      <w:r>
        <w:t>les</w:t>
      </w:r>
      <w:r w:rsidRPr="002C4077">
        <w:t xml:space="preserve"> </w:t>
      </w:r>
      <w:r>
        <w:t>grammairiens,</w:t>
      </w:r>
      <w:r w:rsidRPr="002C4077">
        <w:t xml:space="preserve"> </w:t>
      </w:r>
      <w:r>
        <w:t>ne</w:t>
      </w:r>
      <w:r w:rsidRPr="002C4077">
        <w:t xml:space="preserve"> </w:t>
      </w:r>
      <w:r>
        <w:t>serait</w:t>
      </w:r>
      <w:r w:rsidRPr="002C4077">
        <w:t xml:space="preserve"> </w:t>
      </w:r>
      <w:r>
        <w:t>ni</w:t>
      </w:r>
      <w:r w:rsidRPr="002C4077">
        <w:t xml:space="preserve"> </w:t>
      </w:r>
      <w:r>
        <w:t>dans</w:t>
      </w:r>
      <w:r w:rsidRPr="002C4077">
        <w:t xml:space="preserve"> </w:t>
      </w:r>
      <w:r>
        <w:t>la</w:t>
      </w:r>
      <w:r w:rsidRPr="002C4077">
        <w:t xml:space="preserve"> </w:t>
      </w:r>
      <w:r>
        <w:t>couleur</w:t>
      </w:r>
      <w:r w:rsidRPr="002C4077">
        <w:t xml:space="preserve"> </w:t>
      </w:r>
      <w:r>
        <w:t>ni</w:t>
      </w:r>
      <w:r w:rsidRPr="002C4077">
        <w:t xml:space="preserve"> </w:t>
      </w:r>
      <w:r>
        <w:t>dans</w:t>
      </w:r>
      <w:r w:rsidRPr="002C4077">
        <w:t xml:space="preserve"> </w:t>
      </w:r>
      <w:r>
        <w:t>la</w:t>
      </w:r>
      <w:r w:rsidRPr="002C4077">
        <w:t xml:space="preserve"> </w:t>
      </w:r>
      <w:r>
        <w:t>quantité</w:t>
      </w:r>
      <w:r w:rsidR="00B546AF">
        <w:t> ;</w:t>
      </w:r>
      <w:r w:rsidRPr="002C4077">
        <w:t xml:space="preserve"> </w:t>
      </w:r>
      <w:r>
        <w:t>il</w:t>
      </w:r>
      <w:r w:rsidRPr="002C4077">
        <w:t xml:space="preserve"> </w:t>
      </w:r>
      <w:r>
        <w:t>serait</w:t>
      </w:r>
      <w:r w:rsidRPr="002C4077">
        <w:t xml:space="preserve"> </w:t>
      </w:r>
      <w:r>
        <w:t>uniquement</w:t>
      </w:r>
      <w:r w:rsidRPr="002C4077">
        <w:t xml:space="preserve"> </w:t>
      </w:r>
      <w:r>
        <w:t>dans</w:t>
      </w:r>
      <w:r w:rsidRPr="002C4077">
        <w:t xml:space="preserve"> </w:t>
      </w:r>
      <w:r>
        <w:t>la</w:t>
      </w:r>
      <w:r w:rsidRPr="002C4077">
        <w:t xml:space="preserve"> </w:t>
      </w:r>
      <w:r>
        <w:t>qualité</w:t>
      </w:r>
      <w:r w:rsidR="00F44410">
        <w:rPr>
          <w:rStyle w:val="Appelnotedebasdep"/>
        </w:rPr>
        <w:footnoteReference w:id="388"/>
      </w:r>
      <w:r>
        <w:t>.</w:t>
      </w:r>
      <w:r w:rsidR="00C45B47">
        <w:t xml:space="preserve"> {</w:t>
      </w:r>
      <w:r w:rsidR="004C5B7A">
        <w:t>120</w:t>
      </w:r>
      <w:bookmarkStart w:id="340" w:name="p120"/>
      <w:bookmarkEnd w:id="340"/>
      <w:r w:rsidR="004C5B7A">
        <w:t xml:space="preserve">} </w:t>
      </w:r>
      <w:r>
        <w:t>Mais</w:t>
      </w:r>
      <w:r w:rsidRPr="002C4077">
        <w:t xml:space="preserve"> </w:t>
      </w:r>
      <w:r w:rsidR="009A5015" w:rsidRPr="009A5015">
        <w:t>ὡσεί</w:t>
      </w:r>
      <w:r w:rsidR="009A5015" w:rsidRPr="002C4077">
        <w:t xml:space="preserve"> </w:t>
      </w:r>
      <w:r w:rsidR="009A5015" w:rsidRPr="009A5015">
        <w:t>et</w:t>
      </w:r>
      <w:r w:rsidR="009A5015" w:rsidRPr="002C4077">
        <w:t xml:space="preserve"> </w:t>
      </w:r>
      <w:r w:rsidR="009A5015" w:rsidRPr="009A5015">
        <w:t>ὡς</w:t>
      </w:r>
      <w:r w:rsidR="009A5015" w:rsidRPr="002C4077">
        <w:t xml:space="preserve"> </w:t>
      </w:r>
      <w:r w:rsidRPr="009A5015">
        <w:t>son</w:t>
      </w:r>
      <w:r w:rsidRPr="002C4077">
        <w:t xml:space="preserve"> </w:t>
      </w:r>
      <w:r w:rsidRPr="009A5015">
        <w:t>synonyme,</w:t>
      </w:r>
      <w:r w:rsidRPr="002C4077">
        <w:t xml:space="preserve"> </w:t>
      </w:r>
      <w:r>
        <w:t>expriment</w:t>
      </w:r>
      <w:r w:rsidRPr="002C4077">
        <w:t xml:space="preserve"> </w:t>
      </w:r>
      <w:r>
        <w:t>parfois,</w:t>
      </w:r>
      <w:r w:rsidRPr="002C4077">
        <w:t xml:space="preserve"> </w:t>
      </w:r>
      <w:r>
        <w:t>—</w:t>
      </w:r>
      <w:r w:rsidRPr="002C4077">
        <w:t xml:space="preserve"> </w:t>
      </w:r>
      <w:r>
        <w:t>toutes</w:t>
      </w:r>
      <w:r w:rsidRPr="002C4077">
        <w:t xml:space="preserve"> </w:t>
      </w:r>
      <w:r>
        <w:t>les</w:t>
      </w:r>
      <w:r w:rsidRPr="002C4077">
        <w:t xml:space="preserve"> </w:t>
      </w:r>
      <w:r>
        <w:t>grammaires</w:t>
      </w:r>
      <w:r w:rsidRPr="002C4077">
        <w:t xml:space="preserve"> </w:t>
      </w:r>
      <w:r>
        <w:t>en</w:t>
      </w:r>
      <w:r w:rsidRPr="002C4077">
        <w:t xml:space="preserve"> </w:t>
      </w:r>
      <w:r>
        <w:t>conviennent,</w:t>
      </w:r>
      <w:r w:rsidRPr="002C4077">
        <w:t xml:space="preserve"> </w:t>
      </w:r>
      <w:r>
        <w:t>—</w:t>
      </w:r>
      <w:r w:rsidRPr="002C4077">
        <w:t xml:space="preserve"> </w:t>
      </w:r>
      <w:r>
        <w:t>plus</w:t>
      </w:r>
      <w:r w:rsidRPr="002C4077">
        <w:t xml:space="preserve"> </w:t>
      </w:r>
      <w:r>
        <w:t>qu’une</w:t>
      </w:r>
      <w:r w:rsidRPr="002C4077">
        <w:t xml:space="preserve"> </w:t>
      </w:r>
      <w:r>
        <w:t>comparaison.</w:t>
      </w:r>
      <w:r w:rsidRPr="002C4077">
        <w:t xml:space="preserve"> </w:t>
      </w:r>
      <w:r>
        <w:t>Les</w:t>
      </w:r>
      <w:r w:rsidRPr="002C4077">
        <w:t xml:space="preserve"> </w:t>
      </w:r>
      <w:r>
        <w:t>écrivains</w:t>
      </w:r>
      <w:r w:rsidRPr="002C4077">
        <w:t xml:space="preserve"> </w:t>
      </w:r>
      <w:r>
        <w:t>sacrés</w:t>
      </w:r>
      <w:r w:rsidRPr="002C4077">
        <w:t xml:space="preserve"> </w:t>
      </w:r>
      <w:r>
        <w:t>du</w:t>
      </w:r>
      <w:r w:rsidRPr="002C4077">
        <w:t xml:space="preserve"> </w:t>
      </w:r>
      <w:r>
        <w:t>Nouveau</w:t>
      </w:r>
      <w:r w:rsidRPr="002C4077">
        <w:t xml:space="preserve"> </w:t>
      </w:r>
      <w:r>
        <w:t>Testament</w:t>
      </w:r>
      <w:r w:rsidRPr="002C4077">
        <w:t xml:space="preserve"> </w:t>
      </w:r>
      <w:r>
        <w:t>emploient</w:t>
      </w:r>
      <w:r w:rsidRPr="002C4077">
        <w:t xml:space="preserve"> </w:t>
      </w:r>
      <w:r>
        <w:t>ces</w:t>
      </w:r>
      <w:r w:rsidRPr="002C4077">
        <w:t xml:space="preserve"> </w:t>
      </w:r>
      <w:r>
        <w:t>particules</w:t>
      </w:r>
      <w:r w:rsidRPr="002C4077">
        <w:t xml:space="preserve"> </w:t>
      </w:r>
      <w:r>
        <w:t>à</w:t>
      </w:r>
      <w:r w:rsidRPr="002C4077">
        <w:t xml:space="preserve"> </w:t>
      </w:r>
      <w:r>
        <w:t>différentes</w:t>
      </w:r>
      <w:r w:rsidRPr="002C4077">
        <w:t xml:space="preserve"> </w:t>
      </w:r>
      <w:r>
        <w:t>reprises</w:t>
      </w:r>
      <w:r w:rsidRPr="002C4077">
        <w:t xml:space="preserve"> </w:t>
      </w:r>
      <w:r>
        <w:t>pour</w:t>
      </w:r>
      <w:r w:rsidRPr="002C4077">
        <w:t xml:space="preserve"> </w:t>
      </w:r>
      <w:r>
        <w:t>déterminer</w:t>
      </w:r>
      <w:r w:rsidRPr="002C4077">
        <w:t xml:space="preserve"> </w:t>
      </w:r>
      <w:r>
        <w:t>d’une</w:t>
      </w:r>
      <w:r w:rsidRPr="002C4077">
        <w:t xml:space="preserve"> </w:t>
      </w:r>
      <w:r>
        <w:t>manière</w:t>
      </w:r>
      <w:r w:rsidRPr="002C4077">
        <w:t xml:space="preserve"> </w:t>
      </w:r>
      <w:r>
        <w:t>particulièrement</w:t>
      </w:r>
      <w:r w:rsidRPr="002C4077">
        <w:t xml:space="preserve"> </w:t>
      </w:r>
      <w:r>
        <w:t>expressive</w:t>
      </w:r>
      <w:r w:rsidRPr="002C4077">
        <w:t xml:space="preserve"> </w:t>
      </w:r>
      <w:r>
        <w:t>la</w:t>
      </w:r>
      <w:r w:rsidRPr="002C4077">
        <w:t xml:space="preserve"> </w:t>
      </w:r>
      <w:r>
        <w:t>nature,</w:t>
      </w:r>
      <w:r w:rsidRPr="002C4077">
        <w:t xml:space="preserve"> </w:t>
      </w:r>
      <w:r>
        <w:t>la</w:t>
      </w:r>
      <w:r w:rsidRPr="002C4077">
        <w:t xml:space="preserve"> </w:t>
      </w:r>
      <w:r>
        <w:t>qualité</w:t>
      </w:r>
      <w:r w:rsidRPr="002C4077">
        <w:t xml:space="preserve"> </w:t>
      </w:r>
      <w:r>
        <w:t>des</w:t>
      </w:r>
      <w:r w:rsidRPr="002C4077">
        <w:t xml:space="preserve"> </w:t>
      </w:r>
      <w:r>
        <w:t>personnes</w:t>
      </w:r>
      <w:r w:rsidRPr="002C4077">
        <w:t xml:space="preserve"> </w:t>
      </w:r>
      <w:r>
        <w:t>ou</w:t>
      </w:r>
      <w:r w:rsidRPr="002C4077">
        <w:t xml:space="preserve"> </w:t>
      </w:r>
      <w:r>
        <w:t>des</w:t>
      </w:r>
      <w:r w:rsidRPr="002C4077">
        <w:t xml:space="preserve"> </w:t>
      </w:r>
      <w:r>
        <w:t>choses,</w:t>
      </w:r>
      <w:r w:rsidRPr="002C4077">
        <w:t xml:space="preserve"> </w:t>
      </w:r>
      <w:r>
        <w:t>par</w:t>
      </w:r>
      <w:r w:rsidRPr="002C4077">
        <w:t xml:space="preserve"> </w:t>
      </w:r>
      <w:r>
        <w:t>conséquent</w:t>
      </w:r>
      <w:r w:rsidRPr="002C4077">
        <w:t xml:space="preserve"> </w:t>
      </w:r>
      <w:r>
        <w:t>pour</w:t>
      </w:r>
      <w:r w:rsidRPr="002C4077">
        <w:t xml:space="preserve"> </w:t>
      </w:r>
      <w:r>
        <w:t>désigner</w:t>
      </w:r>
      <w:r w:rsidRPr="002C4077">
        <w:t xml:space="preserve"> </w:t>
      </w:r>
      <w:r>
        <w:t>des</w:t>
      </w:r>
      <w:r w:rsidRPr="002C4077">
        <w:t xml:space="preserve"> </w:t>
      </w:r>
      <w:r>
        <w:t>réalités</w:t>
      </w:r>
      <w:r w:rsidRPr="002C4077">
        <w:t xml:space="preserve"> </w:t>
      </w:r>
      <w:r>
        <w:t>incontestables.</w:t>
      </w:r>
      <w:r w:rsidRPr="002C4077">
        <w:t xml:space="preserve"> </w:t>
      </w:r>
      <w:r>
        <w:t>Par</w:t>
      </w:r>
      <w:r w:rsidRPr="002C4077">
        <w:t xml:space="preserve"> </w:t>
      </w:r>
      <w:r>
        <w:t>exemple,</w:t>
      </w:r>
      <w:r w:rsidRPr="002C4077">
        <w:t xml:space="preserve"> </w:t>
      </w:r>
      <w:r>
        <w:t>S.</w:t>
      </w:r>
      <w:r w:rsidRPr="002C4077">
        <w:t xml:space="preserve"> </w:t>
      </w:r>
      <w:r w:rsidR="00425C50">
        <w:t>Matth</w:t>
      </w:r>
      <w:r>
        <w:t>ieu,</w:t>
      </w:r>
      <w:r w:rsidRPr="002C4077">
        <w:t xml:space="preserve"> </w:t>
      </w:r>
      <w:r>
        <w:t>XXI,</w:t>
      </w:r>
      <w:r w:rsidRPr="002C4077">
        <w:t xml:space="preserve"> </w:t>
      </w:r>
      <w:r>
        <w:t>26</w:t>
      </w:r>
      <w:r w:rsidR="00B546AF">
        <w:t> :</w:t>
      </w:r>
      <w:r w:rsidRPr="002C4077">
        <w:t xml:space="preserve"> </w:t>
      </w:r>
      <w:r w:rsidR="00B546AF">
        <w:t>« </w:t>
      </w:r>
      <w:r>
        <w:t>Ils</w:t>
      </w:r>
      <w:r w:rsidRPr="002C4077">
        <w:t xml:space="preserve"> </w:t>
      </w:r>
      <w:r>
        <w:t>regardaient</w:t>
      </w:r>
      <w:r w:rsidRPr="002C4077">
        <w:t xml:space="preserve"> </w:t>
      </w:r>
      <w:r>
        <w:t>tous</w:t>
      </w:r>
      <w:r w:rsidRPr="002C4077">
        <w:t xml:space="preserve"> </w:t>
      </w:r>
      <w:r>
        <w:t>Jean</w:t>
      </w:r>
      <w:r w:rsidRPr="002C4077">
        <w:t xml:space="preserve"> </w:t>
      </w:r>
      <w:r>
        <w:t>comme</w:t>
      </w:r>
      <w:r w:rsidRPr="004440EA">
        <w:t xml:space="preserve"> (</w:t>
      </w:r>
      <w:r w:rsidR="009A5015" w:rsidRPr="009A5015">
        <w:t>ὡς</w:t>
      </w:r>
      <w:r w:rsidR="00B546AF" w:rsidRPr="002C4077">
        <w:t>)</w:t>
      </w:r>
      <w:r w:rsidRPr="002C4077">
        <w:t xml:space="preserve"> </w:t>
      </w:r>
      <w:r>
        <w:t>un</w:t>
      </w:r>
      <w:r w:rsidRPr="002C4077">
        <w:t xml:space="preserve"> </w:t>
      </w:r>
      <w:r>
        <w:t>prophète</w:t>
      </w:r>
      <w:r w:rsidR="00B546AF">
        <w:t> »</w:t>
      </w:r>
      <w:r>
        <w:t>.</w:t>
      </w:r>
      <w:r w:rsidRPr="002C4077">
        <w:t xml:space="preserve"> </w:t>
      </w:r>
      <w:r>
        <w:t>S.</w:t>
      </w:r>
      <w:r w:rsidRPr="002C4077">
        <w:t xml:space="preserve"> </w:t>
      </w:r>
      <w:r>
        <w:t>Jean,</w:t>
      </w:r>
      <w:r w:rsidRPr="002C4077">
        <w:t xml:space="preserve"> </w:t>
      </w:r>
      <w:r>
        <w:t>I,</w:t>
      </w:r>
      <w:r w:rsidRPr="002C4077">
        <w:t xml:space="preserve"> </w:t>
      </w:r>
      <w:r>
        <w:t>14</w:t>
      </w:r>
      <w:r w:rsidR="00B546AF">
        <w:t> :</w:t>
      </w:r>
      <w:r w:rsidRPr="002C4077">
        <w:t xml:space="preserve"> </w:t>
      </w:r>
      <w:r w:rsidRPr="000A34B5">
        <w:rPr>
          <w:rStyle w:val="italicus"/>
        </w:rPr>
        <w:t>Vidimus</w:t>
      </w:r>
      <w:r w:rsidR="009A5015" w:rsidRPr="002C4077">
        <w:t xml:space="preserve"> </w:t>
      </w:r>
      <w:r w:rsidRPr="000A34B5">
        <w:rPr>
          <w:rStyle w:val="italicus"/>
        </w:rPr>
        <w:t>gl</w:t>
      </w:r>
      <w:r w:rsidR="003B53FD">
        <w:rPr>
          <w:rStyle w:val="italicus"/>
        </w:rPr>
        <w:t>ó</w:t>
      </w:r>
      <w:r w:rsidR="003B53FD" w:rsidRPr="000A34B5">
        <w:rPr>
          <w:rStyle w:val="italicus"/>
        </w:rPr>
        <w:t>riam</w:t>
      </w:r>
      <w:r w:rsidRPr="002C4077">
        <w:t xml:space="preserve"> </w:t>
      </w:r>
      <w:r w:rsidRPr="000A34B5">
        <w:rPr>
          <w:rStyle w:val="italicus"/>
        </w:rPr>
        <w:t>ejus,</w:t>
      </w:r>
      <w:r w:rsidRPr="002C4077">
        <w:t xml:space="preserve"> </w:t>
      </w:r>
      <w:r w:rsidRPr="000A34B5">
        <w:rPr>
          <w:rStyle w:val="italicus"/>
        </w:rPr>
        <w:t>gl</w:t>
      </w:r>
      <w:r w:rsidR="003B53FD">
        <w:rPr>
          <w:rStyle w:val="italicus"/>
        </w:rPr>
        <w:t>ó</w:t>
      </w:r>
      <w:r w:rsidR="003B53FD" w:rsidRPr="000A34B5">
        <w:rPr>
          <w:rStyle w:val="italicus"/>
        </w:rPr>
        <w:t>riam</w:t>
      </w:r>
      <w:r w:rsidRPr="002C4077">
        <w:t xml:space="preserve"> </w:t>
      </w:r>
      <w:r w:rsidRPr="000A34B5">
        <w:rPr>
          <w:rStyle w:val="italicus"/>
        </w:rPr>
        <w:t>quasi</w:t>
      </w:r>
      <w:r w:rsidRPr="002C4077">
        <w:t xml:space="preserve"> </w:t>
      </w:r>
      <w:r w:rsidR="009A5015" w:rsidRPr="000A34B5">
        <w:rPr>
          <w:rStyle w:val="italicus"/>
        </w:rPr>
        <w:t>unigéniti</w:t>
      </w:r>
      <w:r w:rsidRPr="002C4077">
        <w:t xml:space="preserve"> </w:t>
      </w:r>
      <w:r w:rsidRPr="000A34B5">
        <w:rPr>
          <w:rStyle w:val="italicus"/>
        </w:rPr>
        <w:t>a</w:t>
      </w:r>
      <w:r w:rsidRPr="002C4077">
        <w:t xml:space="preserve"> </w:t>
      </w:r>
      <w:r w:rsidRPr="000A34B5">
        <w:rPr>
          <w:rStyle w:val="italicus"/>
        </w:rPr>
        <w:t>Patre.</w:t>
      </w:r>
      <w:r w:rsidRPr="002C4077">
        <w:t xml:space="preserve"> </w:t>
      </w:r>
      <w:r>
        <w:t>Et</w:t>
      </w:r>
      <w:r w:rsidRPr="002C4077">
        <w:t xml:space="preserve"> </w:t>
      </w:r>
      <w:r>
        <w:t>cet</w:t>
      </w:r>
      <w:r w:rsidRPr="002C4077">
        <w:t xml:space="preserve"> </w:t>
      </w:r>
      <w:r>
        <w:t>usage</w:t>
      </w:r>
      <w:r w:rsidRPr="002C4077">
        <w:t xml:space="preserve"> </w:t>
      </w:r>
      <w:r>
        <w:t>spécial,</w:t>
      </w:r>
      <w:r w:rsidRPr="002C4077">
        <w:t xml:space="preserve"> </w:t>
      </w:r>
      <w:r>
        <w:t>qui</w:t>
      </w:r>
      <w:r w:rsidRPr="002C4077">
        <w:t xml:space="preserve"> </w:t>
      </w:r>
      <w:r>
        <w:t>semble</w:t>
      </w:r>
      <w:r w:rsidRPr="002C4077">
        <w:t xml:space="preserve"> </w:t>
      </w:r>
      <w:r>
        <w:t>calqué</w:t>
      </w:r>
      <w:r w:rsidRPr="002C4077">
        <w:t xml:space="preserve"> </w:t>
      </w:r>
      <w:r>
        <w:t>sur</w:t>
      </w:r>
      <w:r w:rsidRPr="002C4077">
        <w:t xml:space="preserve"> </w:t>
      </w:r>
      <w:r>
        <w:t>l’hébreu</w:t>
      </w:r>
      <w:r w:rsidR="00B91AF7">
        <w:rPr>
          <w:rStyle w:val="Appelnotedebasdep"/>
        </w:rPr>
        <w:footnoteReference w:id="389"/>
      </w:r>
      <w:r>
        <w:t>,</w:t>
      </w:r>
      <w:r w:rsidRPr="002C4077">
        <w:t xml:space="preserve"> </w:t>
      </w:r>
      <w:r w:rsidR="00425C50">
        <w:t>est</w:t>
      </w:r>
      <w:r w:rsidRPr="002C4077">
        <w:t xml:space="preserve"> </w:t>
      </w:r>
      <w:r>
        <w:t>relativement</w:t>
      </w:r>
      <w:r w:rsidRPr="002C4077">
        <w:t xml:space="preserve"> </w:t>
      </w:r>
      <w:r>
        <w:t>fréquent</w:t>
      </w:r>
      <w:r w:rsidRPr="002C4077">
        <w:t xml:space="preserve"> </w:t>
      </w:r>
      <w:r>
        <w:t>dans</w:t>
      </w:r>
      <w:r w:rsidRPr="002C4077">
        <w:t xml:space="preserve"> </w:t>
      </w:r>
      <w:r>
        <w:t>les</w:t>
      </w:r>
      <w:r w:rsidRPr="002C4077">
        <w:t xml:space="preserve"> </w:t>
      </w:r>
      <w:r>
        <w:t>écrits</w:t>
      </w:r>
      <w:r w:rsidRPr="002C4077">
        <w:t xml:space="preserve"> </w:t>
      </w:r>
      <w:r>
        <w:t>du</w:t>
      </w:r>
      <w:r w:rsidRPr="002C4077">
        <w:t xml:space="preserve"> </w:t>
      </w:r>
      <w:r>
        <w:t>troisième</w:t>
      </w:r>
      <w:r w:rsidRPr="002C4077">
        <w:t xml:space="preserve"> </w:t>
      </w:r>
      <w:r>
        <w:t>évangéliste.</w:t>
      </w:r>
      <w:r w:rsidRPr="002C4077">
        <w:t xml:space="preserve"> </w:t>
      </w:r>
      <w:r>
        <w:t>Voyez</w:t>
      </w:r>
      <w:r w:rsidRPr="002C4077">
        <w:t xml:space="preserve"> </w:t>
      </w:r>
      <w:r w:rsidRPr="000A34B5">
        <w:rPr>
          <w:rStyle w:val="italicus"/>
        </w:rPr>
        <w:t>Luc.</w:t>
      </w:r>
      <w:r w:rsidRPr="002C4077">
        <w:t xml:space="preserve"> </w:t>
      </w:r>
      <w:r>
        <w:t>XV,</w:t>
      </w:r>
      <w:r w:rsidRPr="002C4077">
        <w:t xml:space="preserve"> </w:t>
      </w:r>
      <w:r>
        <w:t>19</w:t>
      </w:r>
      <w:r w:rsidR="00B546AF">
        <w:t> ;</w:t>
      </w:r>
      <w:r w:rsidRPr="002C4077">
        <w:t xml:space="preserve"> </w:t>
      </w:r>
      <w:r>
        <w:t>XVI,</w:t>
      </w:r>
      <w:r w:rsidRPr="002C4077">
        <w:t xml:space="preserve"> </w:t>
      </w:r>
      <w:r>
        <w:t>1</w:t>
      </w:r>
      <w:r w:rsidR="00B546AF">
        <w:t> ;</w:t>
      </w:r>
      <w:r w:rsidRPr="002C4077">
        <w:t xml:space="preserve"> </w:t>
      </w:r>
      <w:r w:rsidRPr="000A34B5">
        <w:rPr>
          <w:rStyle w:val="italicus"/>
        </w:rPr>
        <w:t>Act.</w:t>
      </w:r>
      <w:r w:rsidRPr="002C4077">
        <w:t xml:space="preserve"> </w:t>
      </w:r>
      <w:r>
        <w:t>II,</w:t>
      </w:r>
      <w:r w:rsidRPr="002C4077">
        <w:t xml:space="preserve"> </w:t>
      </w:r>
      <w:r>
        <w:t>3</w:t>
      </w:r>
      <w:r w:rsidR="00B546AF">
        <w:t> ;</w:t>
      </w:r>
      <w:r w:rsidRPr="002C4077">
        <w:t xml:space="preserve"> </w:t>
      </w:r>
      <w:r>
        <w:rPr>
          <w:smallCaps/>
        </w:rPr>
        <w:t>XVII</w:t>
      </w:r>
      <w:r>
        <w:t>,</w:t>
      </w:r>
      <w:r w:rsidRPr="002C4077">
        <w:t xml:space="preserve"> </w:t>
      </w:r>
      <w:r>
        <w:t>12.</w:t>
      </w:r>
      <w:r w:rsidRPr="002C4077">
        <w:t xml:space="preserve"> </w:t>
      </w:r>
      <w:r>
        <w:t>Ici,</w:t>
      </w:r>
      <w:r w:rsidRPr="002C4077">
        <w:t xml:space="preserve"> </w:t>
      </w:r>
      <w:r>
        <w:t>l’adverbe</w:t>
      </w:r>
      <w:r w:rsidRPr="002C4077">
        <w:t xml:space="preserve"> </w:t>
      </w:r>
      <w:r w:rsidR="009A5015" w:rsidRPr="009A5015">
        <w:t>ὡσεί</w:t>
      </w:r>
      <w:r w:rsidR="009A5015" w:rsidRPr="002C4077">
        <w:t xml:space="preserve"> </w:t>
      </w:r>
      <w:r>
        <w:t>a</w:t>
      </w:r>
      <w:r w:rsidRPr="002C4077">
        <w:t xml:space="preserve"> </w:t>
      </w:r>
      <w:r>
        <w:t>donc</w:t>
      </w:r>
      <w:r w:rsidRPr="002C4077">
        <w:t xml:space="preserve"> </w:t>
      </w:r>
      <w:r>
        <w:t>pour</w:t>
      </w:r>
      <w:r w:rsidRPr="002C4077">
        <w:t xml:space="preserve"> </w:t>
      </w:r>
      <w:r>
        <w:t>but</w:t>
      </w:r>
      <w:r w:rsidRPr="002C4077">
        <w:t xml:space="preserve"> </w:t>
      </w:r>
      <w:r>
        <w:t>d’affirmer</w:t>
      </w:r>
      <w:r w:rsidRPr="002C4077">
        <w:t xml:space="preserve"> </w:t>
      </w:r>
      <w:r>
        <w:t>avec</w:t>
      </w:r>
      <w:r w:rsidRPr="002C4077">
        <w:t xml:space="preserve"> </w:t>
      </w:r>
      <w:r>
        <w:t>force</w:t>
      </w:r>
      <w:r w:rsidRPr="002C4077">
        <w:t xml:space="preserve"> </w:t>
      </w:r>
      <w:r>
        <w:t>que</w:t>
      </w:r>
      <w:r w:rsidRPr="002C4077">
        <w:t xml:space="preserve"> </w:t>
      </w:r>
      <w:r>
        <w:t>la</w:t>
      </w:r>
      <w:r w:rsidRPr="002C4077">
        <w:t xml:space="preserve"> </w:t>
      </w:r>
      <w:r>
        <w:t>sueur</w:t>
      </w:r>
      <w:r w:rsidRPr="002C4077">
        <w:t xml:space="preserve"> </w:t>
      </w:r>
      <w:r>
        <w:t>de</w:t>
      </w:r>
      <w:r w:rsidRPr="002C4077">
        <w:t xml:space="preserve"> </w:t>
      </w:r>
      <w:r>
        <w:t>N.</w:t>
      </w:r>
      <w:r w:rsidRPr="002C4077">
        <w:t xml:space="preserve"> </w:t>
      </w:r>
      <w:r>
        <w:t>S.</w:t>
      </w:r>
      <w:r w:rsidRPr="002C4077">
        <w:t xml:space="preserve"> </w:t>
      </w:r>
      <w:r w:rsidR="00425C50">
        <w:t>Jésus</w:t>
      </w:r>
      <w:r>
        <w:t>-</w:t>
      </w:r>
      <w:r w:rsidR="00425C50">
        <w:t>Christ</w:t>
      </w:r>
      <w:r w:rsidRPr="002C4077">
        <w:t xml:space="preserve"> </w:t>
      </w:r>
      <w:r>
        <w:t>participa</w:t>
      </w:r>
      <w:r w:rsidRPr="002C4077">
        <w:t xml:space="preserve"> </w:t>
      </w:r>
      <w:r>
        <w:t>véritablement</w:t>
      </w:r>
      <w:r w:rsidRPr="002C4077">
        <w:t xml:space="preserve"> </w:t>
      </w:r>
      <w:r>
        <w:t>à</w:t>
      </w:r>
      <w:r w:rsidRPr="002C4077">
        <w:t xml:space="preserve"> </w:t>
      </w:r>
      <w:r>
        <w:t>la</w:t>
      </w:r>
      <w:r w:rsidRPr="002C4077">
        <w:t xml:space="preserve"> </w:t>
      </w:r>
      <w:r>
        <w:t>nature</w:t>
      </w:r>
      <w:r w:rsidRPr="002C4077">
        <w:t xml:space="preserve"> </w:t>
      </w:r>
      <w:r>
        <w:t>du</w:t>
      </w:r>
      <w:r w:rsidRPr="002C4077">
        <w:t xml:space="preserve"> </w:t>
      </w:r>
      <w:r>
        <w:t>sang,</w:t>
      </w:r>
      <w:r w:rsidRPr="002C4077">
        <w:t xml:space="preserve"> </w:t>
      </w:r>
      <w:r>
        <w:t>qu’elle</w:t>
      </w:r>
      <w:r w:rsidRPr="002C4077">
        <w:t xml:space="preserve"> </w:t>
      </w:r>
      <w:r>
        <w:t>fut</w:t>
      </w:r>
      <w:r w:rsidRPr="002C4077">
        <w:t xml:space="preserve"> </w:t>
      </w:r>
      <w:r>
        <w:t>sanglante</w:t>
      </w:r>
      <w:r w:rsidRPr="002C4077">
        <w:t xml:space="preserve"> </w:t>
      </w:r>
      <w:r>
        <w:t>dans</w:t>
      </w:r>
      <w:r w:rsidRPr="002C4077">
        <w:t xml:space="preserve"> </w:t>
      </w:r>
      <w:r>
        <w:t>une</w:t>
      </w:r>
      <w:r w:rsidRPr="002C4077">
        <w:t xml:space="preserve"> </w:t>
      </w:r>
      <w:r>
        <w:t>proportion</w:t>
      </w:r>
      <w:r w:rsidRPr="002C4077">
        <w:t xml:space="preserve"> </w:t>
      </w:r>
      <w:r>
        <w:t>considérable.</w:t>
      </w:r>
      <w:r w:rsidRPr="002C4077">
        <w:t xml:space="preserve"> </w:t>
      </w:r>
    </w:p>
    <w:p w:rsidR="000A7AAB" w:rsidRPr="004C5B7A" w:rsidRDefault="000A7AAB" w:rsidP="000A7AAB">
      <w:r>
        <w:t>Les</w:t>
      </w:r>
      <w:r w:rsidRPr="002C4077">
        <w:t xml:space="preserve"> </w:t>
      </w:r>
      <w:r>
        <w:t>mots</w:t>
      </w:r>
      <w:r w:rsidRPr="002C4077">
        <w:t xml:space="preserve"> </w:t>
      </w:r>
      <w:r w:rsidR="00CC5FEA" w:rsidRPr="000A34B5">
        <w:rPr>
          <w:rStyle w:val="italicus"/>
        </w:rPr>
        <w:t>decurréntis</w:t>
      </w:r>
      <w:r w:rsidRPr="002C4077">
        <w:t xml:space="preserve"> </w:t>
      </w:r>
      <w:r w:rsidRPr="000A34B5">
        <w:rPr>
          <w:rStyle w:val="italicus"/>
        </w:rPr>
        <w:t>in</w:t>
      </w:r>
      <w:r w:rsidRPr="002C4077">
        <w:t xml:space="preserve"> </w:t>
      </w:r>
      <w:r w:rsidRPr="000A34B5">
        <w:rPr>
          <w:rStyle w:val="italicus"/>
        </w:rPr>
        <w:t>terram,</w:t>
      </w:r>
      <w:r w:rsidRPr="002C4077">
        <w:t xml:space="preserve"> </w:t>
      </w:r>
      <w:r>
        <w:t>ou</w:t>
      </w:r>
      <w:r w:rsidRPr="002C4077">
        <w:t xml:space="preserve"> </w:t>
      </w:r>
      <w:r>
        <w:t>plutôt</w:t>
      </w:r>
      <w:r w:rsidRPr="002C4077">
        <w:t xml:space="preserve"> </w:t>
      </w:r>
      <w:r w:rsidR="00CC5FEA" w:rsidRPr="000A34B5">
        <w:rPr>
          <w:rStyle w:val="italicus"/>
        </w:rPr>
        <w:t>decurréntes</w:t>
      </w:r>
      <w:r w:rsidRPr="002C4077">
        <w:t xml:space="preserve"> </w:t>
      </w:r>
      <w:r w:rsidRPr="000A34B5">
        <w:rPr>
          <w:rStyle w:val="italicus"/>
        </w:rPr>
        <w:t>in</w:t>
      </w:r>
      <w:r w:rsidRPr="002C4077">
        <w:t xml:space="preserve"> </w:t>
      </w:r>
      <w:r w:rsidRPr="000A34B5">
        <w:rPr>
          <w:rStyle w:val="italicus"/>
        </w:rPr>
        <w:t>terram</w:t>
      </w:r>
      <w:r w:rsidRPr="004440EA">
        <w:t xml:space="preserve"> (</w:t>
      </w:r>
      <w:r w:rsidR="009A5015" w:rsidRPr="009578BE">
        <w:t>καταβαίνοντες</w:t>
      </w:r>
      <w:r w:rsidR="009A5015" w:rsidRPr="002C4077">
        <w:t xml:space="preserve"> </w:t>
      </w:r>
      <w:r w:rsidR="009A5015" w:rsidRPr="009578BE">
        <w:t>ἐπί</w:t>
      </w:r>
      <w:r w:rsidR="009A5015" w:rsidRPr="002C4077">
        <w:t xml:space="preserve"> </w:t>
      </w:r>
      <w:r w:rsidR="009A5015" w:rsidRPr="009578BE">
        <w:t>τ</w:t>
      </w:r>
      <w:r w:rsidR="009A5015">
        <w:t>ὴ</w:t>
      </w:r>
      <w:r w:rsidR="009A5015" w:rsidRPr="009578BE">
        <w:t>ν</w:t>
      </w:r>
      <w:r w:rsidR="009A5015" w:rsidRPr="002C4077">
        <w:t xml:space="preserve"> </w:t>
      </w:r>
      <w:r w:rsidR="009A5015" w:rsidRPr="009578BE">
        <w:t>γῆν</w:t>
      </w:r>
      <w:r w:rsidR="00B546AF" w:rsidRPr="002C4077">
        <w:t>)</w:t>
      </w:r>
      <w:r w:rsidRPr="00950016">
        <w:t>,</w:t>
      </w:r>
      <w:r w:rsidRPr="002C4077">
        <w:t xml:space="preserve"> </w:t>
      </w:r>
      <w:r>
        <w:t>car</w:t>
      </w:r>
      <w:r w:rsidRPr="002C4077">
        <w:t xml:space="preserve"> </w:t>
      </w:r>
      <w:r>
        <w:t>la</w:t>
      </w:r>
      <w:r w:rsidRPr="002C4077">
        <w:t xml:space="preserve"> </w:t>
      </w:r>
      <w:r>
        <w:t>leçon</w:t>
      </w:r>
      <w:r w:rsidRPr="002C4077">
        <w:t xml:space="preserve"> </w:t>
      </w:r>
      <w:r>
        <w:t>de</w:t>
      </w:r>
      <w:r w:rsidRPr="002C4077">
        <w:t xml:space="preserve"> </w:t>
      </w:r>
      <w:r>
        <w:t>la</w:t>
      </w:r>
      <w:r w:rsidRPr="002C4077">
        <w:t xml:space="preserve"> </w:t>
      </w:r>
      <w:r>
        <w:t>Vulgate</w:t>
      </w:r>
      <w:r w:rsidRPr="002C4077">
        <w:t xml:space="preserve"> </w:t>
      </w:r>
      <w:r w:rsidR="00425C50">
        <w:t>est</w:t>
      </w:r>
      <w:r w:rsidRPr="002C4077">
        <w:t xml:space="preserve"> </w:t>
      </w:r>
      <w:r>
        <w:t>une</w:t>
      </w:r>
      <w:r w:rsidRPr="002C4077">
        <w:t xml:space="preserve"> </w:t>
      </w:r>
      <w:r>
        <w:t>correction</w:t>
      </w:r>
      <w:r w:rsidRPr="002C4077">
        <w:t xml:space="preserve"> </w:t>
      </w:r>
      <w:r>
        <w:t>probable,</w:t>
      </w:r>
      <w:r w:rsidRPr="002C4077">
        <w:t xml:space="preserve"> </w:t>
      </w:r>
      <w:r>
        <w:t>nous</w:t>
      </w:r>
      <w:r w:rsidRPr="002C4077">
        <w:t xml:space="preserve"> </w:t>
      </w:r>
      <w:r>
        <w:t>amènent</w:t>
      </w:r>
      <w:r w:rsidRPr="002C4077">
        <w:t xml:space="preserve"> </w:t>
      </w:r>
      <w:r>
        <w:t>à</w:t>
      </w:r>
      <w:r w:rsidRPr="002C4077">
        <w:t xml:space="preserve"> </w:t>
      </w:r>
      <w:r>
        <w:t>la</w:t>
      </w:r>
      <w:r w:rsidRPr="002C4077">
        <w:t xml:space="preserve"> </w:t>
      </w:r>
      <w:r>
        <w:t>même</w:t>
      </w:r>
      <w:r w:rsidRPr="002C4077">
        <w:t xml:space="preserve"> </w:t>
      </w:r>
      <w:r>
        <w:t>conclusion.</w:t>
      </w:r>
      <w:r w:rsidRPr="002C4077">
        <w:t xml:space="preserve"> </w:t>
      </w:r>
      <w:r>
        <w:t>Ce</w:t>
      </w:r>
      <w:r w:rsidRPr="002C4077">
        <w:t xml:space="preserve"> </w:t>
      </w:r>
      <w:r>
        <w:t>n’est</w:t>
      </w:r>
      <w:r w:rsidRPr="002C4077">
        <w:t xml:space="preserve"> </w:t>
      </w:r>
      <w:r>
        <w:t>pas</w:t>
      </w:r>
      <w:r w:rsidRPr="002C4077">
        <w:t xml:space="preserve"> </w:t>
      </w:r>
      <w:r>
        <w:t>sans</w:t>
      </w:r>
      <w:r w:rsidRPr="002C4077">
        <w:t xml:space="preserve"> </w:t>
      </w:r>
      <w:r>
        <w:t>motif</w:t>
      </w:r>
      <w:r w:rsidRPr="002C4077">
        <w:t xml:space="preserve"> </w:t>
      </w:r>
      <w:r>
        <w:t>que</w:t>
      </w:r>
      <w:r w:rsidRPr="002C4077">
        <w:t xml:space="preserve"> </w:t>
      </w:r>
      <w:r>
        <w:t>le</w:t>
      </w:r>
      <w:r w:rsidRPr="002C4077">
        <w:t xml:space="preserve"> </w:t>
      </w:r>
      <w:r>
        <w:t>narrateur</w:t>
      </w:r>
      <w:r w:rsidRPr="002C4077">
        <w:t xml:space="preserve"> </w:t>
      </w:r>
      <w:r>
        <w:t>les</w:t>
      </w:r>
      <w:r w:rsidRPr="002C4077">
        <w:t xml:space="preserve"> </w:t>
      </w:r>
      <w:r>
        <w:t>rattache</w:t>
      </w:r>
      <w:r w:rsidRPr="002C4077">
        <w:t xml:space="preserve"> </w:t>
      </w:r>
      <w:r>
        <w:t>à</w:t>
      </w:r>
      <w:r w:rsidRPr="002C4077">
        <w:t xml:space="preserve"> </w:t>
      </w:r>
      <w:r w:rsidRPr="000A34B5">
        <w:rPr>
          <w:rStyle w:val="italicus"/>
        </w:rPr>
        <w:t>guttæ</w:t>
      </w:r>
      <w:r w:rsidRPr="002C4077">
        <w:t xml:space="preserve"> </w:t>
      </w:r>
      <w:r w:rsidRPr="000A34B5">
        <w:rPr>
          <w:rStyle w:val="italicus"/>
        </w:rPr>
        <w:t>s</w:t>
      </w:r>
      <w:r w:rsidR="003B53FD">
        <w:rPr>
          <w:rStyle w:val="italicus"/>
        </w:rPr>
        <w:t>á</w:t>
      </w:r>
      <w:r w:rsidR="003B53FD" w:rsidRPr="000A34B5">
        <w:rPr>
          <w:rStyle w:val="italicus"/>
        </w:rPr>
        <w:t>nguinis</w:t>
      </w:r>
      <w:r w:rsidRPr="000A34B5">
        <w:rPr>
          <w:rStyle w:val="italicus"/>
        </w:rPr>
        <w:t>,</w:t>
      </w:r>
      <w:r w:rsidRPr="002C4077">
        <w:t xml:space="preserve"> </w:t>
      </w:r>
      <w:r>
        <w:t>et</w:t>
      </w:r>
      <w:r w:rsidRPr="002C4077">
        <w:t xml:space="preserve"> </w:t>
      </w:r>
      <w:r>
        <w:t>non</w:t>
      </w:r>
      <w:r w:rsidRPr="002C4077">
        <w:t xml:space="preserve"> </w:t>
      </w:r>
      <w:r>
        <w:t>à</w:t>
      </w:r>
      <w:r w:rsidRPr="002C4077">
        <w:t xml:space="preserve"> </w:t>
      </w:r>
      <w:r w:rsidRPr="000A34B5">
        <w:rPr>
          <w:rStyle w:val="italicus"/>
        </w:rPr>
        <w:t>sudor.</w:t>
      </w:r>
      <w:r w:rsidRPr="002C4077">
        <w:t xml:space="preserve"> </w:t>
      </w:r>
      <w:r>
        <w:t>D’après</w:t>
      </w:r>
      <w:r w:rsidRPr="002C4077">
        <w:t xml:space="preserve"> </w:t>
      </w:r>
      <w:r>
        <w:t>l’opinion</w:t>
      </w:r>
      <w:r w:rsidRPr="002C4077">
        <w:t xml:space="preserve"> </w:t>
      </w:r>
      <w:r>
        <w:t>que</w:t>
      </w:r>
      <w:r w:rsidRPr="002C4077">
        <w:t xml:space="preserve"> </w:t>
      </w:r>
      <w:r>
        <w:t>nous</w:t>
      </w:r>
      <w:r w:rsidRPr="002C4077">
        <w:t xml:space="preserve"> </w:t>
      </w:r>
      <w:r>
        <w:t>combattons,</w:t>
      </w:r>
      <w:r w:rsidRPr="002C4077">
        <w:t xml:space="preserve"> </w:t>
      </w:r>
      <w:r>
        <w:t>il</w:t>
      </w:r>
      <w:r w:rsidRPr="002C4077">
        <w:t xml:space="preserve"> </w:t>
      </w:r>
      <w:r>
        <w:t>aurait</w:t>
      </w:r>
      <w:r w:rsidRPr="002C4077">
        <w:t xml:space="preserve"> </w:t>
      </w:r>
      <w:r>
        <w:t>écrit</w:t>
      </w:r>
      <w:r w:rsidRPr="002C4077">
        <w:t xml:space="preserve"> </w:t>
      </w:r>
      <w:r w:rsidR="00CC5FEA">
        <w:t>κ</w:t>
      </w:r>
      <w:r w:rsidR="009A5015" w:rsidRPr="009A5015">
        <w:t>αταβαίνον</w:t>
      </w:r>
      <w:r w:rsidR="009A5015" w:rsidRPr="004440EA">
        <w:t xml:space="preserve"> </w:t>
      </w:r>
      <w:r w:rsidRPr="004440EA">
        <w:t>(</w:t>
      </w:r>
      <w:r w:rsidR="00CC5FEA" w:rsidRPr="000A34B5">
        <w:rPr>
          <w:rStyle w:val="italicus"/>
        </w:rPr>
        <w:t>decúrrens</w:t>
      </w:r>
      <w:r w:rsidR="00B546AF" w:rsidRPr="002C4077">
        <w:t>)</w:t>
      </w:r>
      <w:r w:rsidRPr="002C4077">
        <w:t xml:space="preserve"> </w:t>
      </w:r>
      <w:r>
        <w:t>au</w:t>
      </w:r>
      <w:r w:rsidRPr="002C4077">
        <w:t xml:space="preserve"> </w:t>
      </w:r>
      <w:r>
        <w:t>singulier</w:t>
      </w:r>
      <w:r w:rsidR="00B546AF">
        <w:t> :</w:t>
      </w:r>
      <w:r w:rsidRPr="002C4077">
        <w:t xml:space="preserve"> </w:t>
      </w:r>
      <w:r>
        <w:t>Sa</w:t>
      </w:r>
      <w:r w:rsidRPr="002C4077">
        <w:t xml:space="preserve"> </w:t>
      </w:r>
      <w:r>
        <w:t>sueur</w:t>
      </w:r>
      <w:r w:rsidRPr="002C4077">
        <w:t xml:space="preserve"> </w:t>
      </w:r>
      <w:r>
        <w:t>se</w:t>
      </w:r>
      <w:r w:rsidRPr="002C4077">
        <w:t xml:space="preserve"> </w:t>
      </w:r>
      <w:r>
        <w:t>mit</w:t>
      </w:r>
      <w:r w:rsidRPr="002C4077">
        <w:t xml:space="preserve"> </w:t>
      </w:r>
      <w:r>
        <w:t>à</w:t>
      </w:r>
      <w:r w:rsidRPr="002C4077">
        <w:t xml:space="preserve"> </w:t>
      </w:r>
      <w:r>
        <w:t>couler</w:t>
      </w:r>
      <w:r w:rsidRPr="002C4077">
        <w:t xml:space="preserve"> </w:t>
      </w:r>
      <w:r>
        <w:t>à</w:t>
      </w:r>
      <w:r w:rsidRPr="002C4077">
        <w:t xml:space="preserve"> </w:t>
      </w:r>
      <w:r>
        <w:t>terre</w:t>
      </w:r>
      <w:r w:rsidRPr="002C4077">
        <w:t xml:space="preserve"> </w:t>
      </w:r>
      <w:r>
        <w:t>comme</w:t>
      </w:r>
      <w:r w:rsidRPr="002C4077">
        <w:t xml:space="preserve"> </w:t>
      </w:r>
      <w:r>
        <w:t>des</w:t>
      </w:r>
      <w:r w:rsidRPr="002C4077">
        <w:t xml:space="preserve"> </w:t>
      </w:r>
      <w:r>
        <w:t>gouttes</w:t>
      </w:r>
      <w:r w:rsidRPr="002C4077">
        <w:t xml:space="preserve"> </w:t>
      </w:r>
      <w:r>
        <w:t>de</w:t>
      </w:r>
      <w:r w:rsidRPr="002C4077">
        <w:t xml:space="preserve"> </w:t>
      </w:r>
      <w:r>
        <w:t>sang.</w:t>
      </w:r>
      <w:r w:rsidRPr="002C4077">
        <w:t xml:space="preserve"> </w:t>
      </w:r>
      <w:r>
        <w:t>Disons</w:t>
      </w:r>
      <w:r w:rsidRPr="002C4077">
        <w:t xml:space="preserve"> </w:t>
      </w:r>
      <w:r>
        <w:t>donc</w:t>
      </w:r>
      <w:r w:rsidRPr="002C4077">
        <w:t xml:space="preserve"> </w:t>
      </w:r>
      <w:r>
        <w:t>avec</w:t>
      </w:r>
      <w:r w:rsidRPr="002C4077">
        <w:t xml:space="preserve"> </w:t>
      </w:r>
      <w:r>
        <w:t>S.</w:t>
      </w:r>
      <w:r w:rsidRPr="002C4077">
        <w:t xml:space="preserve"> </w:t>
      </w:r>
      <w:r>
        <w:t>Prosper</w:t>
      </w:r>
      <w:r w:rsidRPr="002C4077">
        <w:t xml:space="preserve"> </w:t>
      </w:r>
      <w:r>
        <w:t>d’Aquitaine</w:t>
      </w:r>
      <w:r w:rsidR="00B546AF">
        <w:t> :</w:t>
      </w:r>
      <w:r w:rsidR="00C45B47">
        <w:t xml:space="preserve"> {</w:t>
      </w:r>
      <w:r w:rsidR="004C5B7A">
        <w:t>121</w:t>
      </w:r>
      <w:bookmarkStart w:id="341" w:name="p121"/>
      <w:bookmarkEnd w:id="341"/>
      <w:r w:rsidR="004C5B7A">
        <w:t xml:space="preserve">} </w:t>
      </w:r>
    </w:p>
    <w:p w:rsidR="00CC5FEA" w:rsidRDefault="000A7AAB" w:rsidP="00CC5FEA">
      <w:pPr>
        <w:pStyle w:val="lcv"/>
      </w:pPr>
      <w:r>
        <w:t>Cum</w:t>
      </w:r>
      <w:r w:rsidRPr="002C4077">
        <w:t xml:space="preserve"> </w:t>
      </w:r>
      <w:r>
        <w:t>prece</w:t>
      </w:r>
      <w:r w:rsidRPr="002C4077">
        <w:t xml:space="preserve"> </w:t>
      </w:r>
      <w:r>
        <w:t>sangu</w:t>
      </w:r>
      <w:r w:rsidR="003B53FD">
        <w:t>íneas</w:t>
      </w:r>
      <w:r w:rsidRPr="002C4077">
        <w:t xml:space="preserve"> </w:t>
      </w:r>
      <w:r>
        <w:t>f</w:t>
      </w:r>
      <w:r w:rsidR="003B53FD">
        <w:t>undébat</w:t>
      </w:r>
      <w:r w:rsidRPr="002C4077">
        <w:t xml:space="preserve"> </w:t>
      </w:r>
      <w:r>
        <w:t>c</w:t>
      </w:r>
      <w:r w:rsidR="003B53FD">
        <w:t>órpore</w:t>
      </w:r>
      <w:r w:rsidRPr="002C4077">
        <w:t xml:space="preserve"> </w:t>
      </w:r>
      <w:r>
        <w:t>guttas,</w:t>
      </w:r>
      <w:r w:rsidRPr="002C4077">
        <w:t xml:space="preserve"> </w:t>
      </w:r>
    </w:p>
    <w:p w:rsidR="000A7AAB" w:rsidRDefault="000A7AAB" w:rsidP="00CC5FEA">
      <w:pPr>
        <w:pStyle w:val="lcv"/>
      </w:pPr>
      <w:r>
        <w:t>Et</w:t>
      </w:r>
      <w:r w:rsidRPr="002C4077">
        <w:t xml:space="preserve"> </w:t>
      </w:r>
      <w:r>
        <w:t>pr</w:t>
      </w:r>
      <w:r w:rsidR="003B53FD">
        <w:t>étium</w:t>
      </w:r>
      <w:r w:rsidRPr="002C4077">
        <w:t xml:space="preserve"> </w:t>
      </w:r>
      <w:r>
        <w:t>mundi</w:t>
      </w:r>
      <w:r w:rsidRPr="002C4077">
        <w:t xml:space="preserve"> </w:t>
      </w:r>
      <w:r>
        <w:t>sudor</w:t>
      </w:r>
      <w:r w:rsidRPr="002C4077">
        <w:t xml:space="preserve"> </w:t>
      </w:r>
      <w:r>
        <w:t>erat</w:t>
      </w:r>
      <w:r w:rsidRPr="002C4077">
        <w:t xml:space="preserve"> </w:t>
      </w:r>
      <w:bookmarkStart w:id="342" w:name="z_SueurDeSang_o7"/>
      <w:bookmarkEnd w:id="342"/>
      <w:r>
        <w:t>D</w:t>
      </w:r>
      <w:r w:rsidR="003B53FD">
        <w:t>ómini</w:t>
      </w:r>
      <w:r w:rsidR="00F44410">
        <w:rPr>
          <w:rStyle w:val="Appelnotedebasdep"/>
        </w:rPr>
        <w:footnoteReference w:id="390"/>
      </w:r>
      <w:r w:rsidR="00F44410">
        <w:t>.</w:t>
      </w:r>
      <w:r w:rsidRPr="002C4077">
        <w:t xml:space="preserve"> </w:t>
      </w:r>
    </w:p>
    <w:p w:rsidR="000A7AAB" w:rsidRDefault="000A7AAB" w:rsidP="00EC6E3D">
      <w:pPr>
        <w:pStyle w:val="Titre2"/>
      </w:pPr>
      <w:bookmarkStart w:id="343" w:name="_Toc43882010"/>
      <w:r>
        <w:t>§</w:t>
      </w:r>
      <w:r w:rsidRPr="002C4077">
        <w:t xml:space="preserve"> </w:t>
      </w:r>
      <w:r>
        <w:t>IV.</w:t>
      </w:r>
      <w:r w:rsidR="002A6EDB">
        <w:br/>
      </w:r>
      <w:r>
        <w:t>La</w:t>
      </w:r>
      <w:r w:rsidRPr="002C4077">
        <w:t xml:space="preserve"> </w:t>
      </w:r>
      <w:r>
        <w:t>question</w:t>
      </w:r>
      <w:r w:rsidRPr="002C4077">
        <w:t xml:space="preserve"> </w:t>
      </w:r>
      <w:r>
        <w:t>de</w:t>
      </w:r>
      <w:r w:rsidRPr="002C4077">
        <w:t xml:space="preserve"> </w:t>
      </w:r>
      <w:r>
        <w:t>possibilité.</w:t>
      </w:r>
      <w:bookmarkStart w:id="344" w:name="a0204"/>
      <w:bookmarkEnd w:id="343"/>
      <w:bookmarkEnd w:id="344"/>
      <w:r w:rsidRPr="002C4077">
        <w:t xml:space="preserve"> </w:t>
      </w:r>
    </w:p>
    <w:p w:rsidR="000A7AAB" w:rsidRDefault="000A7AAB" w:rsidP="000A7AAB">
      <w:r>
        <w:t>1°</w:t>
      </w:r>
      <w:r w:rsidRPr="002C4077">
        <w:t xml:space="preserve"> </w:t>
      </w:r>
      <w:r>
        <w:t>L’apparition</w:t>
      </w:r>
      <w:bookmarkStart w:id="345" w:name="z_AngeGethsemani_o1"/>
      <w:bookmarkEnd w:id="345"/>
      <w:r w:rsidRPr="002C4077">
        <w:t xml:space="preserve"> </w:t>
      </w:r>
      <w:r>
        <w:t>de</w:t>
      </w:r>
      <w:bookmarkStart w:id="346" w:name="z_SueurDeSang_o8"/>
      <w:bookmarkEnd w:id="346"/>
      <w:r w:rsidRPr="002C4077">
        <w:t xml:space="preserve"> </w:t>
      </w:r>
      <w:r>
        <w:t>l’ange</w:t>
      </w:r>
      <w:r w:rsidRPr="002C4077">
        <w:t xml:space="preserve"> </w:t>
      </w:r>
      <w:r>
        <w:t>était</w:t>
      </w:r>
      <w:r w:rsidRPr="002C4077">
        <w:t xml:space="preserve"> </w:t>
      </w:r>
      <w:r>
        <w:t>possible.</w:t>
      </w:r>
      <w:r w:rsidRPr="002C4077">
        <w:t xml:space="preserve"> </w:t>
      </w:r>
    </w:p>
    <w:p w:rsidR="000A7AAB" w:rsidRDefault="000A7AAB" w:rsidP="000A7AAB">
      <w:r>
        <w:t>Cet</w:t>
      </w:r>
      <w:r w:rsidRPr="002C4077">
        <w:t xml:space="preserve"> </w:t>
      </w:r>
      <w:r>
        <w:t>ange</w:t>
      </w:r>
      <w:r w:rsidRPr="002C4077">
        <w:t xml:space="preserve"> </w:t>
      </w:r>
      <w:r>
        <w:t>de</w:t>
      </w:r>
      <w:r w:rsidRPr="002C4077">
        <w:t xml:space="preserve"> </w:t>
      </w:r>
      <w:r>
        <w:t>Gethsémani</w:t>
      </w:r>
      <w:r w:rsidRPr="002C4077">
        <w:t xml:space="preserve"> </w:t>
      </w:r>
      <w:r>
        <w:t>ennuie,</w:t>
      </w:r>
      <w:r w:rsidRPr="002C4077">
        <w:t xml:space="preserve"> </w:t>
      </w:r>
      <w:r>
        <w:t>déconcerte</w:t>
      </w:r>
      <w:r w:rsidRPr="002C4077">
        <w:t xml:space="preserve"> </w:t>
      </w:r>
      <w:r>
        <w:t>les</w:t>
      </w:r>
      <w:r w:rsidRPr="002C4077">
        <w:t xml:space="preserve"> </w:t>
      </w:r>
      <w:r>
        <w:t>rationalistes</w:t>
      </w:r>
      <w:r w:rsidR="00B546AF">
        <w:t> ;</w:t>
      </w:r>
      <w:r w:rsidRPr="002C4077">
        <w:t xml:space="preserve"> </w:t>
      </w:r>
      <w:r>
        <w:t>moins</w:t>
      </w:r>
      <w:r w:rsidRPr="002C4077">
        <w:t xml:space="preserve"> </w:t>
      </w:r>
      <w:r>
        <w:t>à</w:t>
      </w:r>
      <w:r w:rsidRPr="002C4077">
        <w:t xml:space="preserve"> </w:t>
      </w:r>
      <w:r>
        <w:t>cause</w:t>
      </w:r>
      <w:r w:rsidRPr="002C4077">
        <w:t xml:space="preserve"> </w:t>
      </w:r>
      <w:r>
        <w:t>de</w:t>
      </w:r>
      <w:r w:rsidRPr="002C4077">
        <w:t xml:space="preserve"> </w:t>
      </w:r>
      <w:r>
        <w:t>leurs</w:t>
      </w:r>
      <w:r w:rsidRPr="002C4077">
        <w:t xml:space="preserve"> </w:t>
      </w:r>
      <w:r>
        <w:t>doutes</w:t>
      </w:r>
      <w:r w:rsidRPr="002C4077">
        <w:t xml:space="preserve"> </w:t>
      </w:r>
      <w:r>
        <w:t>relativement</w:t>
      </w:r>
      <w:r w:rsidRPr="002C4077">
        <w:t xml:space="preserve"> </w:t>
      </w:r>
      <w:r>
        <w:t>à</w:t>
      </w:r>
      <w:r w:rsidRPr="002C4077">
        <w:t xml:space="preserve"> </w:t>
      </w:r>
      <w:r>
        <w:t>l’existence</w:t>
      </w:r>
      <w:r w:rsidRPr="002C4077">
        <w:t xml:space="preserve"> </w:t>
      </w:r>
      <w:r>
        <w:t>des</w:t>
      </w:r>
      <w:r w:rsidRPr="002C4077">
        <w:t xml:space="preserve"> </w:t>
      </w:r>
      <w:r>
        <w:t>anges</w:t>
      </w:r>
      <w:r w:rsidRPr="002C4077">
        <w:t xml:space="preserve"> </w:t>
      </w:r>
      <w:r>
        <w:t>en</w:t>
      </w:r>
      <w:r w:rsidRPr="002C4077">
        <w:t xml:space="preserve"> </w:t>
      </w:r>
      <w:r>
        <w:t>général,</w:t>
      </w:r>
      <w:r w:rsidRPr="002C4077">
        <w:t xml:space="preserve"> </w:t>
      </w:r>
      <w:r>
        <w:t>question</w:t>
      </w:r>
      <w:r w:rsidRPr="002C4077">
        <w:t xml:space="preserve"> </w:t>
      </w:r>
      <w:r>
        <w:t>dans</w:t>
      </w:r>
      <w:r w:rsidRPr="002C4077">
        <w:t xml:space="preserve"> </w:t>
      </w:r>
      <w:r>
        <w:t>laquelle</w:t>
      </w:r>
      <w:r w:rsidRPr="002C4077">
        <w:t xml:space="preserve"> </w:t>
      </w:r>
      <w:r>
        <w:t>nous</w:t>
      </w:r>
      <w:r w:rsidRPr="002C4077">
        <w:t xml:space="preserve"> </w:t>
      </w:r>
      <w:r>
        <w:t>n’avons</w:t>
      </w:r>
      <w:r w:rsidRPr="002C4077">
        <w:t xml:space="preserve"> </w:t>
      </w:r>
      <w:r>
        <w:t>pas</w:t>
      </w:r>
      <w:r w:rsidRPr="002C4077">
        <w:t xml:space="preserve"> </w:t>
      </w:r>
      <w:r>
        <w:t>à</w:t>
      </w:r>
      <w:r w:rsidRPr="002C4077">
        <w:t xml:space="preserve"> </w:t>
      </w:r>
      <w:r>
        <w:t>pénétrer</w:t>
      </w:r>
      <w:r w:rsidRPr="002C4077">
        <w:t xml:space="preserve"> </w:t>
      </w:r>
      <w:r>
        <w:t>ici,</w:t>
      </w:r>
      <w:r w:rsidRPr="002C4077">
        <w:t xml:space="preserve"> </w:t>
      </w:r>
      <w:r>
        <w:t>que</w:t>
      </w:r>
      <w:r w:rsidRPr="002C4077">
        <w:t xml:space="preserve"> </w:t>
      </w:r>
      <w:r>
        <w:t>parce</w:t>
      </w:r>
      <w:r w:rsidRPr="002C4077">
        <w:t xml:space="preserve"> </w:t>
      </w:r>
      <w:r>
        <w:t>qu’ils</w:t>
      </w:r>
      <w:r w:rsidRPr="002C4077">
        <w:t xml:space="preserve"> </w:t>
      </w:r>
      <w:r>
        <w:t>ne</w:t>
      </w:r>
      <w:r w:rsidRPr="002C4077">
        <w:t xml:space="preserve"> </w:t>
      </w:r>
      <w:r>
        <w:t>peuvent</w:t>
      </w:r>
      <w:r w:rsidRPr="002C4077">
        <w:t xml:space="preserve"> </w:t>
      </w:r>
      <w:r>
        <w:t>s’expliquer</w:t>
      </w:r>
      <w:r w:rsidRPr="002C4077">
        <w:t xml:space="preserve"> </w:t>
      </w:r>
      <w:r>
        <w:t>son</w:t>
      </w:r>
      <w:r w:rsidRPr="002C4077">
        <w:t xml:space="preserve"> </w:t>
      </w:r>
      <w:r>
        <w:t>intervention,</w:t>
      </w:r>
      <w:r w:rsidRPr="002C4077">
        <w:t xml:space="preserve"> </w:t>
      </w:r>
      <w:r>
        <w:t>comprendre</w:t>
      </w:r>
      <w:r w:rsidRPr="002C4077">
        <w:t xml:space="preserve"> </w:t>
      </w:r>
      <w:r>
        <w:t>son</w:t>
      </w:r>
      <w:r w:rsidRPr="002C4077">
        <w:t xml:space="preserve"> </w:t>
      </w:r>
      <w:r>
        <w:t>rôle</w:t>
      </w:r>
      <w:r w:rsidRPr="002C4077">
        <w:t xml:space="preserve"> </w:t>
      </w:r>
      <w:r>
        <w:t>à</w:t>
      </w:r>
      <w:r w:rsidRPr="002C4077">
        <w:t xml:space="preserve"> </w:t>
      </w:r>
      <w:r>
        <w:t>l’égard</w:t>
      </w:r>
      <w:r w:rsidRPr="002C4077">
        <w:t xml:space="preserve"> </w:t>
      </w:r>
      <w:r>
        <w:t>de</w:t>
      </w:r>
      <w:r w:rsidRPr="002C4077">
        <w:t xml:space="preserve"> </w:t>
      </w:r>
      <w:r>
        <w:t>N.</w:t>
      </w:r>
      <w:r w:rsidRPr="002C4077">
        <w:t xml:space="preserve"> </w:t>
      </w:r>
      <w:r>
        <w:t>S.</w:t>
      </w:r>
      <w:r w:rsidRPr="002C4077">
        <w:t xml:space="preserve"> </w:t>
      </w:r>
      <w:r w:rsidR="00425C50">
        <w:t>Jésus</w:t>
      </w:r>
      <w:r>
        <w:t>-</w:t>
      </w:r>
      <w:r w:rsidR="00425C50">
        <w:t>Christ</w:t>
      </w:r>
      <w:r>
        <w:t>.</w:t>
      </w:r>
      <w:r w:rsidRPr="002C4077">
        <w:t xml:space="preserve"> </w:t>
      </w:r>
      <w:r w:rsidR="00B546AF">
        <w:t>« </w:t>
      </w:r>
      <w:r>
        <w:t>Dans</w:t>
      </w:r>
      <w:r w:rsidRPr="002C4077">
        <w:t xml:space="preserve"> </w:t>
      </w:r>
      <w:r>
        <w:t>l’histoire</w:t>
      </w:r>
      <w:r w:rsidRPr="002C4077">
        <w:t xml:space="preserve"> </w:t>
      </w:r>
      <w:r>
        <w:t>de</w:t>
      </w:r>
      <w:r w:rsidRPr="002C4077">
        <w:t xml:space="preserve"> </w:t>
      </w:r>
      <w:r>
        <w:t>l’agonie</w:t>
      </w:r>
      <w:r w:rsidRPr="002C4077">
        <w:t xml:space="preserve"> </w:t>
      </w:r>
      <w:r>
        <w:t>morale</w:t>
      </w:r>
      <w:r w:rsidRPr="002C4077">
        <w:t xml:space="preserve"> </w:t>
      </w:r>
      <w:r>
        <w:t>de</w:t>
      </w:r>
      <w:r w:rsidRPr="002C4077">
        <w:t xml:space="preserve"> </w:t>
      </w:r>
      <w:r w:rsidR="00425C50">
        <w:t>Jésus</w:t>
      </w:r>
      <w:r>
        <w:t>,</w:t>
      </w:r>
      <w:r w:rsidRPr="002C4077">
        <w:t xml:space="preserve"> </w:t>
      </w:r>
      <w:r>
        <w:t>l’empereur</w:t>
      </w:r>
      <w:r w:rsidRPr="002C4077">
        <w:t xml:space="preserve"> </w:t>
      </w:r>
      <w:r>
        <w:t>Julien</w:t>
      </w:r>
      <w:r w:rsidRPr="004440EA">
        <w:t xml:space="preserve"> (</w:t>
      </w:r>
      <w:r>
        <w:t>ajoutez</w:t>
      </w:r>
      <w:r w:rsidRPr="002C4077">
        <w:t xml:space="preserve"> </w:t>
      </w:r>
      <w:r>
        <w:t>l’Apostat</w:t>
      </w:r>
      <w:r w:rsidR="00B546AF">
        <w:t> !</w:t>
      </w:r>
      <w:r w:rsidR="00B546AF" w:rsidRPr="002C4077">
        <w:t>)</w:t>
      </w:r>
      <w:r w:rsidRPr="002C4077">
        <w:t xml:space="preserve"> </w:t>
      </w:r>
      <w:r>
        <w:t>trouvait</w:t>
      </w:r>
      <w:r w:rsidRPr="002C4077">
        <w:t xml:space="preserve"> </w:t>
      </w:r>
      <w:r>
        <w:t>particulièrement</w:t>
      </w:r>
      <w:r w:rsidRPr="002C4077">
        <w:t xml:space="preserve"> </w:t>
      </w:r>
      <w:r>
        <w:t>absurde</w:t>
      </w:r>
      <w:r w:rsidRPr="002C4077">
        <w:t xml:space="preserve"> </w:t>
      </w:r>
      <w:r>
        <w:t>qu’un</w:t>
      </w:r>
      <w:r w:rsidRPr="002C4077">
        <w:t xml:space="preserve"> </w:t>
      </w:r>
      <w:r>
        <w:t>Dieu</w:t>
      </w:r>
      <w:r w:rsidRPr="002C4077">
        <w:t xml:space="preserve"> </w:t>
      </w:r>
      <w:r>
        <w:t>eût</w:t>
      </w:r>
      <w:r w:rsidRPr="002C4077">
        <w:t xml:space="preserve"> </w:t>
      </w:r>
      <w:r>
        <w:t>besoin</w:t>
      </w:r>
      <w:r w:rsidRPr="002C4077">
        <w:t xml:space="preserve"> </w:t>
      </w:r>
      <w:r>
        <w:t>d’un</w:t>
      </w:r>
      <w:r w:rsidRPr="002C4077">
        <w:t xml:space="preserve"> </w:t>
      </w:r>
      <w:r>
        <w:t>ange</w:t>
      </w:r>
      <w:r w:rsidRPr="002C4077">
        <w:t xml:space="preserve"> </w:t>
      </w:r>
      <w:r>
        <w:t>pour</w:t>
      </w:r>
      <w:r w:rsidRPr="002C4077">
        <w:t xml:space="preserve"> </w:t>
      </w:r>
      <w:r>
        <w:t>le</w:t>
      </w:r>
      <w:r w:rsidRPr="002C4077">
        <w:t xml:space="preserve"> </w:t>
      </w:r>
      <w:r>
        <w:t>consoler</w:t>
      </w:r>
      <w:r w:rsidR="00B546AF">
        <w:t> »</w:t>
      </w:r>
      <w:r>
        <w:t>.</w:t>
      </w:r>
      <w:r w:rsidRPr="002C4077">
        <w:t xml:space="preserve"> </w:t>
      </w:r>
      <w:r>
        <w:t>Le</w:t>
      </w:r>
      <w:r w:rsidRPr="002C4077">
        <w:t xml:space="preserve"> </w:t>
      </w:r>
      <w:r>
        <w:t>D</w:t>
      </w:r>
      <w:r>
        <w:rPr>
          <w:vertAlign w:val="superscript"/>
        </w:rPr>
        <w:t>r</w:t>
      </w:r>
      <w:r w:rsidRPr="002C4077">
        <w:t xml:space="preserve"> </w:t>
      </w:r>
      <w:r>
        <w:t>Strauss</w:t>
      </w:r>
      <w:bookmarkStart w:id="347" w:name="z_Strauss_o9"/>
      <w:bookmarkEnd w:id="347"/>
      <w:r w:rsidRPr="002C4077">
        <w:t xml:space="preserve"> </w:t>
      </w:r>
      <w:r>
        <w:t>partage,</w:t>
      </w:r>
      <w:r w:rsidRPr="002C4077">
        <w:t xml:space="preserve"> </w:t>
      </w:r>
      <w:r>
        <w:t>bien</w:t>
      </w:r>
      <w:r w:rsidRPr="002C4077">
        <w:t xml:space="preserve"> </w:t>
      </w:r>
      <w:r>
        <w:t>entendu,</w:t>
      </w:r>
      <w:r w:rsidRPr="002C4077">
        <w:t xml:space="preserve"> </w:t>
      </w:r>
      <w:r>
        <w:t>cette</w:t>
      </w:r>
      <w:r w:rsidRPr="002C4077">
        <w:t xml:space="preserve"> </w:t>
      </w:r>
      <w:r>
        <w:t>appréciation</w:t>
      </w:r>
      <w:r w:rsidRPr="002C4077">
        <w:t xml:space="preserve"> </w:t>
      </w:r>
      <w:r>
        <w:t>qu’il</w:t>
      </w:r>
      <w:r w:rsidRPr="002C4077">
        <w:t xml:space="preserve"> </w:t>
      </w:r>
      <w:r>
        <w:t>a</w:t>
      </w:r>
      <w:r w:rsidRPr="002C4077">
        <w:t xml:space="preserve"> </w:t>
      </w:r>
      <w:r>
        <w:t>tant</w:t>
      </w:r>
      <w:r w:rsidRPr="002C4077">
        <w:t xml:space="preserve"> </w:t>
      </w:r>
      <w:r>
        <w:t>à</w:t>
      </w:r>
      <w:r w:rsidRPr="002C4077">
        <w:t xml:space="preserve"> </w:t>
      </w:r>
      <w:r>
        <w:t>cœur</w:t>
      </w:r>
      <w:r w:rsidRPr="002C4077">
        <w:t xml:space="preserve"> </w:t>
      </w:r>
      <w:r>
        <w:t>de</w:t>
      </w:r>
      <w:r w:rsidRPr="002C4077">
        <w:t xml:space="preserve"> </w:t>
      </w:r>
      <w:r>
        <w:t>rappeler</w:t>
      </w:r>
      <w:r w:rsidRPr="002C4077">
        <w:t xml:space="preserve"> </w:t>
      </w:r>
      <w:r>
        <w:t>au</w:t>
      </w:r>
      <w:r w:rsidRPr="002C4077">
        <w:t xml:space="preserve"> </w:t>
      </w:r>
      <w:r>
        <w:t>monde</w:t>
      </w:r>
      <w:r w:rsidR="00B91AF7">
        <w:rPr>
          <w:rStyle w:val="Appelnotedebasdep"/>
        </w:rPr>
        <w:footnoteReference w:id="391"/>
      </w:r>
      <w:r>
        <w:t>.</w:t>
      </w:r>
      <w:r w:rsidRPr="002C4077">
        <w:t xml:space="preserve"> </w:t>
      </w:r>
      <w:r>
        <w:t>Pauvres</w:t>
      </w:r>
      <w:r w:rsidRPr="002C4077">
        <w:t xml:space="preserve"> </w:t>
      </w:r>
      <w:r>
        <w:t>aveugles,</w:t>
      </w:r>
      <w:r w:rsidRPr="002C4077">
        <w:t xml:space="preserve"> </w:t>
      </w:r>
      <w:r>
        <w:t>pour</w:t>
      </w:r>
      <w:r w:rsidRPr="002C4077">
        <w:t xml:space="preserve"> </w:t>
      </w:r>
      <w:r>
        <w:t>qui</w:t>
      </w:r>
      <w:r w:rsidRPr="002C4077">
        <w:t xml:space="preserve"> </w:t>
      </w:r>
      <w:r>
        <w:t>tout</w:t>
      </w:r>
      <w:r w:rsidRPr="002C4077">
        <w:t xml:space="preserve"> </w:t>
      </w:r>
      <w:r w:rsidR="00425C50">
        <w:t>est</w:t>
      </w:r>
      <w:r w:rsidRPr="002C4077">
        <w:t xml:space="preserve"> </w:t>
      </w:r>
      <w:r>
        <w:t>difficulté,</w:t>
      </w:r>
      <w:r w:rsidRPr="002C4077">
        <w:t xml:space="preserve"> </w:t>
      </w:r>
      <w:r>
        <w:t>embarras,</w:t>
      </w:r>
      <w:r w:rsidRPr="002C4077">
        <w:t xml:space="preserve"> </w:t>
      </w:r>
      <w:r>
        <w:t>ténèbres</w:t>
      </w:r>
      <w:r w:rsidR="00B546AF">
        <w:t> !</w:t>
      </w:r>
      <w:r w:rsidRPr="002C4077">
        <w:t xml:space="preserve"> </w:t>
      </w:r>
      <w:r>
        <w:t>Disons-leur</w:t>
      </w:r>
      <w:r w:rsidRPr="002C4077">
        <w:t xml:space="preserve"> </w:t>
      </w:r>
      <w:r>
        <w:t>en</w:t>
      </w:r>
      <w:r w:rsidRPr="002C4077">
        <w:t xml:space="preserve"> </w:t>
      </w:r>
      <w:r>
        <w:t>quelques</w:t>
      </w:r>
      <w:r w:rsidRPr="002C4077">
        <w:t xml:space="preserve"> </w:t>
      </w:r>
      <w:r>
        <w:t>mots</w:t>
      </w:r>
      <w:r w:rsidRPr="002C4077">
        <w:t xml:space="preserve"> </w:t>
      </w:r>
      <w:r>
        <w:t>ce</w:t>
      </w:r>
      <w:r w:rsidRPr="002C4077">
        <w:t xml:space="preserve"> </w:t>
      </w:r>
      <w:r>
        <w:t>qu’un</w:t>
      </w:r>
      <w:r w:rsidRPr="002C4077">
        <w:t xml:space="preserve"> </w:t>
      </w:r>
      <w:r>
        <w:t>enfant</w:t>
      </w:r>
      <w:r w:rsidRPr="002C4077">
        <w:t xml:space="preserve"> </w:t>
      </w:r>
      <w:r>
        <w:t>du</w:t>
      </w:r>
      <w:r w:rsidRPr="002C4077">
        <w:t xml:space="preserve"> </w:t>
      </w:r>
      <w:r>
        <w:t>catéchisme</w:t>
      </w:r>
      <w:r w:rsidRPr="002C4077">
        <w:t xml:space="preserve"> </w:t>
      </w:r>
      <w:r>
        <w:t>leur</w:t>
      </w:r>
      <w:r w:rsidRPr="002C4077">
        <w:t xml:space="preserve"> </w:t>
      </w:r>
      <w:r>
        <w:t>apprendrait.</w:t>
      </w:r>
      <w:r w:rsidRPr="002C4077">
        <w:t xml:space="preserve"> </w:t>
      </w:r>
    </w:p>
    <w:p w:rsidR="000A7AAB" w:rsidRDefault="000A7AAB" w:rsidP="000A7AAB">
      <w:r>
        <w:t>Ce</w:t>
      </w:r>
      <w:r w:rsidRPr="002C4077">
        <w:t xml:space="preserve"> </w:t>
      </w:r>
      <w:r>
        <w:t>n’est</w:t>
      </w:r>
      <w:r w:rsidRPr="002C4077">
        <w:t xml:space="preserve"> </w:t>
      </w:r>
      <w:r>
        <w:t>pas</w:t>
      </w:r>
      <w:r w:rsidRPr="002C4077">
        <w:t xml:space="preserve"> </w:t>
      </w:r>
      <w:r>
        <w:t>le</w:t>
      </w:r>
      <w:r w:rsidRPr="002C4077">
        <w:t xml:space="preserve"> </w:t>
      </w:r>
      <w:r w:rsidR="007B3C26">
        <w:t>Ve</w:t>
      </w:r>
      <w:r>
        <w:t>rbe,</w:t>
      </w:r>
      <w:r w:rsidRPr="002C4077">
        <w:t xml:space="preserve"> </w:t>
      </w:r>
      <w:r>
        <w:t>mais</w:t>
      </w:r>
      <w:r w:rsidRPr="002C4077">
        <w:t xml:space="preserve"> </w:t>
      </w:r>
      <w:r>
        <w:t>le</w:t>
      </w:r>
      <w:r w:rsidRPr="002C4077">
        <w:t xml:space="preserve"> </w:t>
      </w:r>
      <w:r>
        <w:t>Fils</w:t>
      </w:r>
      <w:r w:rsidRPr="002C4077">
        <w:t xml:space="preserve"> </w:t>
      </w:r>
      <w:r>
        <w:t>de</w:t>
      </w:r>
      <w:r w:rsidRPr="002C4077">
        <w:t xml:space="preserve"> </w:t>
      </w:r>
      <w:r>
        <w:t>l’homme,</w:t>
      </w:r>
      <w:r w:rsidRPr="002C4077">
        <w:t xml:space="preserve"> </w:t>
      </w:r>
      <w:r>
        <w:t>que</w:t>
      </w:r>
      <w:r w:rsidRPr="002C4077">
        <w:t xml:space="preserve"> </w:t>
      </w:r>
      <w:r>
        <w:t>l’ange</w:t>
      </w:r>
      <w:r w:rsidRPr="002C4077">
        <w:t xml:space="preserve"> </w:t>
      </w:r>
      <w:r>
        <w:t>vint</w:t>
      </w:r>
      <w:r w:rsidRPr="002C4077">
        <w:t xml:space="preserve"> </w:t>
      </w:r>
      <w:r>
        <w:t>consoler</w:t>
      </w:r>
      <w:r w:rsidRPr="002C4077">
        <w:t xml:space="preserve"> </w:t>
      </w:r>
      <w:r>
        <w:t>au</w:t>
      </w:r>
      <w:r w:rsidRPr="002C4077">
        <w:t xml:space="preserve"> </w:t>
      </w:r>
      <w:r>
        <w:t>jardin</w:t>
      </w:r>
      <w:r w:rsidRPr="002C4077">
        <w:t xml:space="preserve"> </w:t>
      </w:r>
      <w:r>
        <w:t>des</w:t>
      </w:r>
      <w:r w:rsidRPr="002C4077">
        <w:t xml:space="preserve"> </w:t>
      </w:r>
      <w:r>
        <w:t>Olives</w:t>
      </w:r>
      <w:r w:rsidR="00B546AF">
        <w:t> ;</w:t>
      </w:r>
      <w:r w:rsidRPr="002C4077">
        <w:t xml:space="preserve"> </w:t>
      </w:r>
      <w:r>
        <w:t>car,</w:t>
      </w:r>
      <w:r w:rsidRPr="002C4077">
        <w:t xml:space="preserve"> </w:t>
      </w:r>
      <w:r>
        <w:t>seule,</w:t>
      </w:r>
      <w:r w:rsidRPr="002C4077">
        <w:t xml:space="preserve"> </w:t>
      </w:r>
      <w:r>
        <w:t>la</w:t>
      </w:r>
      <w:r w:rsidRPr="002C4077">
        <w:t xml:space="preserve"> </w:t>
      </w:r>
      <w:r>
        <w:t>nature</w:t>
      </w:r>
      <w:r w:rsidRPr="002C4077">
        <w:t xml:space="preserve"> </w:t>
      </w:r>
      <w:r>
        <w:t>humaine</w:t>
      </w:r>
      <w:r w:rsidRPr="002C4077">
        <w:t xml:space="preserve"> </w:t>
      </w:r>
      <w:r>
        <w:t>de</w:t>
      </w:r>
      <w:r w:rsidRPr="002C4077">
        <w:t xml:space="preserve"> </w:t>
      </w:r>
      <w:r w:rsidR="00425C50">
        <w:t>Jésus</w:t>
      </w:r>
      <w:r w:rsidRPr="002C4077">
        <w:t xml:space="preserve"> </w:t>
      </w:r>
      <w:r>
        <w:t>avait</w:t>
      </w:r>
      <w:r w:rsidRPr="002C4077">
        <w:t xml:space="preserve"> </w:t>
      </w:r>
      <w:r>
        <w:t>besoin</w:t>
      </w:r>
      <w:r w:rsidRPr="002C4077">
        <w:t xml:space="preserve"> </w:t>
      </w:r>
      <w:r>
        <w:t>d’encouragement,</w:t>
      </w:r>
      <w:r w:rsidRPr="002C4077">
        <w:t xml:space="preserve"> </w:t>
      </w:r>
      <w:r>
        <w:t>de</w:t>
      </w:r>
      <w:r w:rsidRPr="002C4077">
        <w:t xml:space="preserve"> </w:t>
      </w:r>
      <w:r>
        <w:t>réconfort,</w:t>
      </w:r>
      <w:r w:rsidRPr="002C4077">
        <w:t xml:space="preserve"> </w:t>
      </w:r>
      <w:r>
        <w:t>parce</w:t>
      </w:r>
      <w:r w:rsidRPr="002C4077">
        <w:t xml:space="preserve"> </w:t>
      </w:r>
      <w:r>
        <w:t>que,</w:t>
      </w:r>
      <w:r w:rsidRPr="002C4077">
        <w:t xml:space="preserve"> </w:t>
      </w:r>
      <w:r>
        <w:t>seule</w:t>
      </w:r>
      <w:r w:rsidRPr="002C4077">
        <w:t xml:space="preserve"> </w:t>
      </w:r>
      <w:r>
        <w:t>aussi,</w:t>
      </w:r>
      <w:r w:rsidRPr="002C4077">
        <w:t xml:space="preserve"> </w:t>
      </w:r>
      <w:r>
        <w:t>elle</w:t>
      </w:r>
      <w:r w:rsidRPr="002C4077">
        <w:t xml:space="preserve"> </w:t>
      </w:r>
      <w:r>
        <w:t>fut</w:t>
      </w:r>
      <w:r w:rsidRPr="002C4077">
        <w:t xml:space="preserve"> </w:t>
      </w:r>
      <w:r>
        <w:t>en</w:t>
      </w:r>
      <w:r w:rsidRPr="002C4077">
        <w:t xml:space="preserve"> </w:t>
      </w:r>
      <w:r>
        <w:t>proie</w:t>
      </w:r>
      <w:r w:rsidRPr="002C4077">
        <w:t xml:space="preserve"> </w:t>
      </w:r>
      <w:r>
        <w:t>à</w:t>
      </w:r>
      <w:r w:rsidRPr="002C4077">
        <w:t xml:space="preserve"> </w:t>
      </w:r>
      <w:r>
        <w:t>l’agonie</w:t>
      </w:r>
      <w:r w:rsidRPr="002C4077">
        <w:t xml:space="preserve"> </w:t>
      </w:r>
      <w:r>
        <w:t>durant</w:t>
      </w:r>
      <w:r w:rsidRPr="002C4077">
        <w:t xml:space="preserve"> </w:t>
      </w:r>
      <w:r>
        <w:t>cette</w:t>
      </w:r>
      <w:r w:rsidRPr="002C4077">
        <w:t xml:space="preserve"> </w:t>
      </w:r>
      <w:r>
        <w:t>nuit</w:t>
      </w:r>
      <w:r w:rsidRPr="002C4077">
        <w:t xml:space="preserve"> </w:t>
      </w:r>
      <w:r>
        <w:t>terrible.</w:t>
      </w:r>
      <w:r w:rsidR="00C45B47">
        <w:t xml:space="preserve"> {</w:t>
      </w:r>
      <w:r w:rsidR="004C5B7A">
        <w:t>122</w:t>
      </w:r>
      <w:bookmarkStart w:id="348" w:name="p122"/>
      <w:bookmarkEnd w:id="348"/>
      <w:r w:rsidR="004C5B7A">
        <w:t xml:space="preserve">} </w:t>
      </w:r>
      <w:r>
        <w:t>La</w:t>
      </w:r>
      <w:r w:rsidRPr="002C4077">
        <w:t xml:space="preserve"> </w:t>
      </w:r>
      <w:r>
        <w:t>nature</w:t>
      </w:r>
      <w:r w:rsidRPr="002C4077">
        <w:t xml:space="preserve"> </w:t>
      </w:r>
      <w:r>
        <w:t>divine,</w:t>
      </w:r>
      <w:r w:rsidRPr="002C4077">
        <w:t xml:space="preserve"> </w:t>
      </w:r>
      <w:r>
        <w:t>déjà</w:t>
      </w:r>
      <w:r w:rsidRPr="002C4077">
        <w:t xml:space="preserve"> </w:t>
      </w:r>
      <w:r>
        <w:t>nous</w:t>
      </w:r>
      <w:r w:rsidRPr="002C4077">
        <w:t xml:space="preserve"> </w:t>
      </w:r>
      <w:r>
        <w:t>l’avons</w:t>
      </w:r>
      <w:r w:rsidRPr="002C4077">
        <w:t xml:space="preserve"> </w:t>
      </w:r>
      <w:r>
        <w:t>dit,</w:t>
      </w:r>
      <w:r w:rsidRPr="002C4077">
        <w:t xml:space="preserve"> </w:t>
      </w:r>
      <w:r>
        <w:t>s’était</w:t>
      </w:r>
      <w:r w:rsidRPr="002C4077">
        <w:t xml:space="preserve"> </w:t>
      </w:r>
      <w:r>
        <w:t>comme</w:t>
      </w:r>
      <w:r w:rsidRPr="002C4077">
        <w:t xml:space="preserve"> </w:t>
      </w:r>
      <w:r>
        <w:t>retirée.</w:t>
      </w:r>
      <w:r w:rsidRPr="002C4077">
        <w:t xml:space="preserve"> </w:t>
      </w:r>
      <w:r>
        <w:t>Ce</w:t>
      </w:r>
      <w:r w:rsidRPr="002C4077">
        <w:t xml:space="preserve"> </w:t>
      </w:r>
      <w:r>
        <w:t>n’est</w:t>
      </w:r>
      <w:r w:rsidRPr="002C4077">
        <w:t xml:space="preserve"> </w:t>
      </w:r>
      <w:r>
        <w:t>point</w:t>
      </w:r>
      <w:r w:rsidRPr="002C4077">
        <w:t xml:space="preserve"> </w:t>
      </w:r>
      <w:r>
        <w:t>d’elle</w:t>
      </w:r>
      <w:r w:rsidRPr="002C4077">
        <w:t xml:space="preserve"> </w:t>
      </w:r>
      <w:r>
        <w:t>que</w:t>
      </w:r>
      <w:r w:rsidRPr="002C4077">
        <w:t xml:space="preserve"> </w:t>
      </w:r>
      <w:r>
        <w:t>le</w:t>
      </w:r>
      <w:r w:rsidRPr="002C4077">
        <w:t xml:space="preserve"> </w:t>
      </w:r>
      <w:r w:rsidRPr="000A34B5">
        <w:rPr>
          <w:rStyle w:val="italicus"/>
        </w:rPr>
        <w:t>Christus</w:t>
      </w:r>
      <w:r w:rsidRPr="002C4077">
        <w:t xml:space="preserve"> </w:t>
      </w:r>
      <w:r w:rsidR="00CC5FEA" w:rsidRPr="000A34B5">
        <w:rPr>
          <w:rStyle w:val="italicus"/>
        </w:rPr>
        <w:t>pátiens</w:t>
      </w:r>
      <w:r w:rsidRPr="002C4077">
        <w:t xml:space="preserve"> </w:t>
      </w:r>
      <w:r>
        <w:t>devait</w:t>
      </w:r>
      <w:r w:rsidRPr="002C4077">
        <w:t xml:space="preserve"> </w:t>
      </w:r>
      <w:r>
        <w:t>recevoir</w:t>
      </w:r>
      <w:r w:rsidRPr="002C4077">
        <w:t xml:space="preserve"> </w:t>
      </w:r>
      <w:r>
        <w:t>force</w:t>
      </w:r>
      <w:r w:rsidRPr="002C4077">
        <w:t xml:space="preserve"> </w:t>
      </w:r>
      <w:r>
        <w:t>et</w:t>
      </w:r>
      <w:r w:rsidRPr="002C4077">
        <w:t xml:space="preserve"> </w:t>
      </w:r>
      <w:r>
        <w:t>consolation.</w:t>
      </w:r>
      <w:r w:rsidRPr="002C4077">
        <w:t xml:space="preserve"> </w:t>
      </w:r>
      <w:r>
        <w:t>Dans</w:t>
      </w:r>
      <w:r w:rsidRPr="002C4077">
        <w:t xml:space="preserve"> </w:t>
      </w:r>
      <w:r>
        <w:t>ce</w:t>
      </w:r>
      <w:r w:rsidRPr="002C4077">
        <w:t xml:space="preserve"> </w:t>
      </w:r>
      <w:r>
        <w:t>cas,</w:t>
      </w:r>
      <w:r w:rsidRPr="002C4077">
        <w:t xml:space="preserve"> </w:t>
      </w:r>
      <w:r>
        <w:t>en</w:t>
      </w:r>
      <w:r w:rsidRPr="002C4077">
        <w:t xml:space="preserve"> </w:t>
      </w:r>
      <w:r>
        <w:t>effet,</w:t>
      </w:r>
      <w:r w:rsidRPr="002C4077">
        <w:t xml:space="preserve"> </w:t>
      </w:r>
      <w:r>
        <w:t>on</w:t>
      </w:r>
      <w:r w:rsidRPr="002C4077">
        <w:t xml:space="preserve"> </w:t>
      </w:r>
      <w:r>
        <w:t>ne</w:t>
      </w:r>
      <w:r w:rsidRPr="002C4077">
        <w:t xml:space="preserve"> </w:t>
      </w:r>
      <w:r>
        <w:t>s’expliquerait</w:t>
      </w:r>
      <w:r w:rsidRPr="002C4077">
        <w:t xml:space="preserve"> </w:t>
      </w:r>
      <w:r>
        <w:t>guère</w:t>
      </w:r>
      <w:r w:rsidRPr="002C4077">
        <w:t xml:space="preserve"> </w:t>
      </w:r>
      <w:r>
        <w:t>que</w:t>
      </w:r>
      <w:r w:rsidRPr="002C4077">
        <w:t xml:space="preserve"> </w:t>
      </w:r>
      <w:r>
        <w:t>la</w:t>
      </w:r>
      <w:r w:rsidRPr="002C4077">
        <w:t xml:space="preserve"> </w:t>
      </w:r>
      <w:r>
        <w:t>souffrance</w:t>
      </w:r>
      <w:r w:rsidRPr="002C4077">
        <w:t xml:space="preserve"> </w:t>
      </w:r>
      <w:r>
        <w:t>ait</w:t>
      </w:r>
      <w:r w:rsidRPr="002C4077">
        <w:t xml:space="preserve"> </w:t>
      </w:r>
      <w:r>
        <w:t>pu</w:t>
      </w:r>
      <w:r w:rsidRPr="002C4077">
        <w:t xml:space="preserve"> </w:t>
      </w:r>
      <w:r>
        <w:t>atteindre</w:t>
      </w:r>
      <w:r w:rsidRPr="002C4077">
        <w:t xml:space="preserve"> </w:t>
      </w:r>
      <w:r>
        <w:t>de</w:t>
      </w:r>
      <w:r w:rsidRPr="002C4077">
        <w:t xml:space="preserve"> </w:t>
      </w:r>
      <w:r>
        <w:t>telles</w:t>
      </w:r>
      <w:r w:rsidRPr="002C4077">
        <w:t xml:space="preserve"> </w:t>
      </w:r>
      <w:r>
        <w:t>limites</w:t>
      </w:r>
      <w:r w:rsidR="00B91AF7">
        <w:rPr>
          <w:rStyle w:val="Appelnotedebasdep"/>
        </w:rPr>
        <w:footnoteReference w:id="392"/>
      </w:r>
      <w:r>
        <w:t>.</w:t>
      </w:r>
      <w:r w:rsidRPr="002C4077">
        <w:t xml:space="preserve"> </w:t>
      </w:r>
      <w:r>
        <w:t>Il</w:t>
      </w:r>
      <w:r w:rsidRPr="002C4077">
        <w:t xml:space="preserve"> </w:t>
      </w:r>
      <w:r>
        <w:t>convenait</w:t>
      </w:r>
      <w:r w:rsidRPr="002C4077">
        <w:t xml:space="preserve"> </w:t>
      </w:r>
      <w:r>
        <w:t>donc</w:t>
      </w:r>
      <w:r w:rsidRPr="002C4077">
        <w:t xml:space="preserve"> </w:t>
      </w:r>
      <w:r>
        <w:t>que</w:t>
      </w:r>
      <w:r w:rsidRPr="002C4077">
        <w:t xml:space="preserve"> </w:t>
      </w:r>
      <w:r>
        <w:t>le</w:t>
      </w:r>
      <w:r w:rsidRPr="002C4077">
        <w:t xml:space="preserve"> </w:t>
      </w:r>
      <w:r>
        <w:t>secours</w:t>
      </w:r>
      <w:r w:rsidRPr="002C4077">
        <w:t xml:space="preserve"> </w:t>
      </w:r>
      <w:r>
        <w:t>envoyé</w:t>
      </w:r>
      <w:r w:rsidRPr="002C4077">
        <w:t xml:space="preserve"> </w:t>
      </w:r>
      <w:r>
        <w:t>au</w:t>
      </w:r>
      <w:r w:rsidRPr="002C4077">
        <w:t xml:space="preserve"> </w:t>
      </w:r>
      <w:r>
        <w:t>Seigneur</w:t>
      </w:r>
      <w:r w:rsidRPr="002C4077">
        <w:t xml:space="preserve"> </w:t>
      </w:r>
      <w:r w:rsidR="00425C50">
        <w:t>Jésus</w:t>
      </w:r>
      <w:r w:rsidRPr="002C4077">
        <w:t xml:space="preserve"> </w:t>
      </w:r>
      <w:r>
        <w:t>vînt</w:t>
      </w:r>
      <w:r w:rsidRPr="002C4077">
        <w:t xml:space="preserve"> </w:t>
      </w:r>
      <w:r>
        <w:t>du</w:t>
      </w:r>
      <w:r w:rsidRPr="002C4077">
        <w:t xml:space="preserve"> </w:t>
      </w:r>
      <w:r>
        <w:t>dehors,</w:t>
      </w:r>
      <w:r w:rsidRPr="002C4077">
        <w:t xml:space="preserve"> </w:t>
      </w:r>
      <w:r>
        <w:t>et</w:t>
      </w:r>
      <w:r w:rsidRPr="002C4077">
        <w:t xml:space="preserve"> </w:t>
      </w:r>
      <w:r>
        <w:t>qui,</w:t>
      </w:r>
      <w:r w:rsidRPr="002C4077">
        <w:t xml:space="preserve"> </w:t>
      </w:r>
      <w:r>
        <w:t>mieux</w:t>
      </w:r>
      <w:r w:rsidRPr="002C4077">
        <w:t xml:space="preserve"> </w:t>
      </w:r>
      <w:r>
        <w:t>qu’un</w:t>
      </w:r>
      <w:r w:rsidRPr="002C4077">
        <w:t xml:space="preserve"> </w:t>
      </w:r>
      <w:r>
        <w:t>ange,</w:t>
      </w:r>
      <w:r w:rsidRPr="002C4077">
        <w:t xml:space="preserve"> </w:t>
      </w:r>
      <w:r>
        <w:t>pouvait</w:t>
      </w:r>
      <w:r w:rsidRPr="002C4077">
        <w:t xml:space="preserve"> </w:t>
      </w:r>
      <w:r>
        <w:t>le</w:t>
      </w:r>
      <w:r w:rsidRPr="002C4077">
        <w:t xml:space="preserve"> </w:t>
      </w:r>
      <w:r>
        <w:t>lui</w:t>
      </w:r>
      <w:r w:rsidRPr="002C4077">
        <w:t xml:space="preserve"> </w:t>
      </w:r>
      <w:r>
        <w:t>porter</w:t>
      </w:r>
      <w:r w:rsidR="00B546AF">
        <w:t> ?</w:t>
      </w:r>
      <w:r w:rsidRPr="002C4077">
        <w:t xml:space="preserve"> </w:t>
      </w:r>
    </w:p>
    <w:p w:rsidR="000A7AAB" w:rsidRDefault="000A7AAB" w:rsidP="000A7AAB">
      <w:r>
        <w:t>Autre</w:t>
      </w:r>
      <w:r w:rsidRPr="002C4077">
        <w:t xml:space="preserve"> </w:t>
      </w:r>
      <w:r>
        <w:t>raison</w:t>
      </w:r>
      <w:r w:rsidRPr="002C4077">
        <w:t xml:space="preserve"> </w:t>
      </w:r>
      <w:r>
        <w:t>qu’a</w:t>
      </w:r>
      <w:r w:rsidRPr="002C4077">
        <w:t xml:space="preserve"> </w:t>
      </w:r>
      <w:r>
        <w:t>fort</w:t>
      </w:r>
      <w:r w:rsidRPr="002C4077">
        <w:t xml:space="preserve"> </w:t>
      </w:r>
      <w:r>
        <w:t>bien</w:t>
      </w:r>
      <w:r w:rsidRPr="002C4077">
        <w:t xml:space="preserve"> </w:t>
      </w:r>
      <w:r>
        <w:t>développée</w:t>
      </w:r>
      <w:r w:rsidRPr="002C4077">
        <w:t xml:space="preserve"> </w:t>
      </w:r>
      <w:r>
        <w:t>M.</w:t>
      </w:r>
      <w:r w:rsidRPr="002C4077">
        <w:t xml:space="preserve"> </w:t>
      </w:r>
      <w:r>
        <w:t>Langen</w:t>
      </w:r>
      <w:r w:rsidR="00B91AF7">
        <w:rPr>
          <w:rStyle w:val="Appelnotedebasdep"/>
        </w:rPr>
        <w:footnoteReference w:id="393"/>
      </w:r>
      <w:r w:rsidR="00B546AF">
        <w:t> :</w:t>
      </w:r>
      <w:r w:rsidRPr="002C4077">
        <w:t xml:space="preserve"> </w:t>
      </w:r>
      <w:r w:rsidR="00B546AF">
        <w:t>« </w:t>
      </w:r>
      <w:r>
        <w:t>Le</w:t>
      </w:r>
      <w:r w:rsidRPr="002C4077">
        <w:t xml:space="preserve"> </w:t>
      </w:r>
      <w:r>
        <w:t>délaissement</w:t>
      </w:r>
      <w:r w:rsidRPr="002C4077">
        <w:t xml:space="preserve"> </w:t>
      </w:r>
      <w:r>
        <w:t>de</w:t>
      </w:r>
      <w:r w:rsidRPr="002C4077">
        <w:t xml:space="preserve"> </w:t>
      </w:r>
      <w:r>
        <w:t>l’âme</w:t>
      </w:r>
      <w:r w:rsidRPr="002C4077">
        <w:t xml:space="preserve"> </w:t>
      </w:r>
      <w:r>
        <w:t>du</w:t>
      </w:r>
      <w:r w:rsidRPr="002C4077">
        <w:t xml:space="preserve"> </w:t>
      </w:r>
      <w:r w:rsidR="00425C50">
        <w:t>Christ</w:t>
      </w:r>
      <w:r w:rsidRPr="002C4077">
        <w:t xml:space="preserve"> </w:t>
      </w:r>
      <w:r>
        <w:t>se</w:t>
      </w:r>
      <w:r w:rsidRPr="002C4077">
        <w:t xml:space="preserve"> </w:t>
      </w:r>
      <w:r>
        <w:t>manifesta</w:t>
      </w:r>
      <w:r w:rsidRPr="002C4077">
        <w:t xml:space="preserve"> </w:t>
      </w:r>
      <w:r>
        <w:t>extérieurement,</w:t>
      </w:r>
      <w:r w:rsidRPr="002C4077">
        <w:t xml:space="preserve"> </w:t>
      </w:r>
      <w:r>
        <w:t>et</w:t>
      </w:r>
      <w:r w:rsidRPr="002C4077">
        <w:t xml:space="preserve"> </w:t>
      </w:r>
      <w:r>
        <w:t>à</w:t>
      </w:r>
      <w:r w:rsidRPr="002C4077">
        <w:t xml:space="preserve"> </w:t>
      </w:r>
      <w:r>
        <w:t>un</w:t>
      </w:r>
      <w:r w:rsidRPr="002C4077">
        <w:t xml:space="preserve"> </w:t>
      </w:r>
      <w:r>
        <w:t>degré</w:t>
      </w:r>
      <w:r w:rsidRPr="002C4077">
        <w:t xml:space="preserve"> </w:t>
      </w:r>
      <w:r>
        <w:t>tout</w:t>
      </w:r>
      <w:r w:rsidRPr="002C4077">
        <w:t xml:space="preserve"> </w:t>
      </w:r>
      <w:r>
        <w:t>à</w:t>
      </w:r>
      <w:r w:rsidRPr="002C4077">
        <w:t xml:space="preserve"> </w:t>
      </w:r>
      <w:r>
        <w:t>fait</w:t>
      </w:r>
      <w:r w:rsidRPr="002C4077">
        <w:t xml:space="preserve"> </w:t>
      </w:r>
      <w:r>
        <w:t>extraordinaire.</w:t>
      </w:r>
      <w:r w:rsidRPr="002C4077">
        <w:t xml:space="preserve"> </w:t>
      </w:r>
      <w:r>
        <w:t>Mais</w:t>
      </w:r>
      <w:r w:rsidRPr="002C4077">
        <w:t xml:space="preserve"> </w:t>
      </w:r>
      <w:r>
        <w:t>chaque</w:t>
      </w:r>
      <w:r w:rsidRPr="002C4077">
        <w:t xml:space="preserve"> </w:t>
      </w:r>
      <w:r>
        <w:t>humiliation</w:t>
      </w:r>
      <w:r w:rsidRPr="002C4077">
        <w:t xml:space="preserve"> </w:t>
      </w:r>
      <w:r>
        <w:t>du</w:t>
      </w:r>
      <w:r w:rsidRPr="002C4077">
        <w:t xml:space="preserve"> </w:t>
      </w:r>
      <w:r>
        <w:t>Fils</w:t>
      </w:r>
      <w:r w:rsidRPr="002C4077">
        <w:t xml:space="preserve"> </w:t>
      </w:r>
      <w:r>
        <w:t>de</w:t>
      </w:r>
      <w:r w:rsidRPr="002C4077">
        <w:t xml:space="preserve"> </w:t>
      </w:r>
      <w:r>
        <w:t>Dieu</w:t>
      </w:r>
      <w:r w:rsidRPr="002C4077">
        <w:t xml:space="preserve"> </w:t>
      </w:r>
      <w:r>
        <w:t>exigeait</w:t>
      </w:r>
      <w:r w:rsidRPr="002C4077">
        <w:t xml:space="preserve"> </w:t>
      </w:r>
      <w:r>
        <w:t>une</w:t>
      </w:r>
      <w:r w:rsidRPr="002C4077">
        <w:t xml:space="preserve"> </w:t>
      </w:r>
      <w:r>
        <w:lastRenderedPageBreak/>
        <w:t>glorification</w:t>
      </w:r>
      <w:r w:rsidRPr="002C4077">
        <w:t xml:space="preserve"> </w:t>
      </w:r>
      <w:r>
        <w:t>qui</w:t>
      </w:r>
      <w:r w:rsidRPr="002C4077">
        <w:t xml:space="preserve"> </w:t>
      </w:r>
      <w:r>
        <w:t>lui</w:t>
      </w:r>
      <w:r w:rsidRPr="002C4077">
        <w:t xml:space="preserve"> </w:t>
      </w:r>
      <w:r>
        <w:t>correspondît.</w:t>
      </w:r>
      <w:r w:rsidRPr="002C4077">
        <w:t xml:space="preserve"> </w:t>
      </w:r>
      <w:r>
        <w:t>Son</w:t>
      </w:r>
      <w:r w:rsidRPr="002C4077">
        <w:t xml:space="preserve"> </w:t>
      </w:r>
      <w:r>
        <w:t>cri</w:t>
      </w:r>
      <w:r w:rsidRPr="002C4077">
        <w:t xml:space="preserve"> </w:t>
      </w:r>
      <w:r>
        <w:t>de</w:t>
      </w:r>
      <w:r w:rsidRPr="002C4077">
        <w:t xml:space="preserve"> </w:t>
      </w:r>
      <w:r>
        <w:t>détresse</w:t>
      </w:r>
      <w:r w:rsidRPr="002C4077">
        <w:t xml:space="preserve"> </w:t>
      </w:r>
      <w:r>
        <w:t>sur</w:t>
      </w:r>
      <w:r w:rsidRPr="002C4077">
        <w:t xml:space="preserve"> </w:t>
      </w:r>
      <w:r>
        <w:t>la</w:t>
      </w:r>
      <w:r w:rsidRPr="002C4077">
        <w:t xml:space="preserve"> </w:t>
      </w:r>
      <w:r>
        <w:t>croix</w:t>
      </w:r>
      <w:r w:rsidRPr="002C4077">
        <w:t xml:space="preserve"> </w:t>
      </w:r>
      <w:r>
        <w:t>reçut</w:t>
      </w:r>
      <w:r w:rsidRPr="002C4077">
        <w:t xml:space="preserve"> </w:t>
      </w:r>
      <w:r>
        <w:t>pour</w:t>
      </w:r>
      <w:r w:rsidRPr="002C4077">
        <w:t xml:space="preserve"> </w:t>
      </w:r>
      <w:r>
        <w:t>réponse</w:t>
      </w:r>
      <w:r w:rsidRPr="002C4077">
        <w:t xml:space="preserve"> </w:t>
      </w:r>
      <w:r>
        <w:t>l’obscurcissement</w:t>
      </w:r>
      <w:r w:rsidRPr="002C4077">
        <w:t xml:space="preserve"> </w:t>
      </w:r>
      <w:r>
        <w:t>du</w:t>
      </w:r>
      <w:r w:rsidRPr="002C4077">
        <w:t xml:space="preserve"> </w:t>
      </w:r>
      <w:r>
        <w:t>ciel</w:t>
      </w:r>
      <w:r w:rsidRPr="002C4077">
        <w:t xml:space="preserve"> </w:t>
      </w:r>
      <w:r>
        <w:t>et</w:t>
      </w:r>
      <w:r w:rsidRPr="002C4077">
        <w:t xml:space="preserve"> </w:t>
      </w:r>
      <w:r>
        <w:t>le</w:t>
      </w:r>
      <w:r w:rsidRPr="002C4077">
        <w:t xml:space="preserve"> </w:t>
      </w:r>
      <w:r>
        <w:t>tremblement</w:t>
      </w:r>
      <w:r w:rsidRPr="002C4077">
        <w:t xml:space="preserve"> </w:t>
      </w:r>
      <w:r>
        <w:t>de</w:t>
      </w:r>
      <w:r w:rsidRPr="002C4077">
        <w:t xml:space="preserve"> </w:t>
      </w:r>
      <w:r>
        <w:t>terre,</w:t>
      </w:r>
      <w:r w:rsidRPr="002C4077">
        <w:t xml:space="preserve"> </w:t>
      </w:r>
      <w:r>
        <w:t>Dieu</w:t>
      </w:r>
      <w:r w:rsidRPr="002C4077">
        <w:t xml:space="preserve"> </w:t>
      </w:r>
      <w:r>
        <w:t>se</w:t>
      </w:r>
      <w:r w:rsidRPr="002C4077">
        <w:t xml:space="preserve"> </w:t>
      </w:r>
      <w:r>
        <w:t>servant</w:t>
      </w:r>
      <w:r w:rsidRPr="002C4077">
        <w:t xml:space="preserve"> </w:t>
      </w:r>
      <w:r>
        <w:t>de</w:t>
      </w:r>
      <w:r w:rsidRPr="002C4077">
        <w:t xml:space="preserve"> </w:t>
      </w:r>
      <w:r>
        <w:t>ces</w:t>
      </w:r>
      <w:r w:rsidRPr="002C4077">
        <w:t xml:space="preserve"> </w:t>
      </w:r>
      <w:r>
        <w:t>grandioses</w:t>
      </w:r>
      <w:r w:rsidRPr="002C4077">
        <w:t xml:space="preserve"> </w:t>
      </w:r>
      <w:r>
        <w:t>témoignages</w:t>
      </w:r>
      <w:r w:rsidRPr="002C4077">
        <w:t xml:space="preserve"> </w:t>
      </w:r>
      <w:r>
        <w:t>pour</w:t>
      </w:r>
      <w:r w:rsidRPr="002C4077">
        <w:t xml:space="preserve"> </w:t>
      </w:r>
      <w:r>
        <w:t>montrer</w:t>
      </w:r>
      <w:r w:rsidRPr="002C4077">
        <w:t xml:space="preserve"> </w:t>
      </w:r>
      <w:r>
        <w:t>la</w:t>
      </w:r>
      <w:r w:rsidRPr="002C4077">
        <w:t xml:space="preserve"> </w:t>
      </w:r>
      <w:r>
        <w:t>part</w:t>
      </w:r>
      <w:r w:rsidRPr="002C4077">
        <w:t xml:space="preserve"> </w:t>
      </w:r>
      <w:r>
        <w:t>qu’il</w:t>
      </w:r>
      <w:r w:rsidRPr="002C4077">
        <w:t xml:space="preserve"> </w:t>
      </w:r>
      <w:r>
        <w:t>prenait</w:t>
      </w:r>
      <w:r w:rsidRPr="002C4077">
        <w:t xml:space="preserve"> </w:t>
      </w:r>
      <w:r>
        <w:t>au</w:t>
      </w:r>
      <w:r w:rsidRPr="002C4077">
        <w:t xml:space="preserve"> </w:t>
      </w:r>
      <w:r>
        <w:t>destin</w:t>
      </w:r>
      <w:r w:rsidRPr="002C4077">
        <w:t xml:space="preserve"> </w:t>
      </w:r>
      <w:r>
        <w:t>de</w:t>
      </w:r>
      <w:r w:rsidRPr="002C4077">
        <w:t xml:space="preserve"> </w:t>
      </w:r>
      <w:r>
        <w:t>son</w:t>
      </w:r>
      <w:r w:rsidRPr="002C4077">
        <w:t xml:space="preserve"> </w:t>
      </w:r>
      <w:r>
        <w:t>Fils.</w:t>
      </w:r>
      <w:r w:rsidRPr="002C4077">
        <w:t xml:space="preserve"> </w:t>
      </w:r>
      <w:r>
        <w:t>L’envoi</w:t>
      </w:r>
      <w:r w:rsidRPr="002C4077">
        <w:t xml:space="preserve"> </w:t>
      </w:r>
      <w:r>
        <w:t>de</w:t>
      </w:r>
      <w:r w:rsidRPr="002C4077">
        <w:t xml:space="preserve"> </w:t>
      </w:r>
      <w:r>
        <w:t>l’ange</w:t>
      </w:r>
      <w:r w:rsidRPr="002C4077">
        <w:t xml:space="preserve"> </w:t>
      </w:r>
      <w:r>
        <w:t>prouve</w:t>
      </w:r>
      <w:r w:rsidRPr="002C4077">
        <w:t xml:space="preserve"> </w:t>
      </w:r>
      <w:r>
        <w:t>de</w:t>
      </w:r>
      <w:r w:rsidRPr="002C4077">
        <w:t xml:space="preserve"> </w:t>
      </w:r>
      <w:r>
        <w:t>la</w:t>
      </w:r>
      <w:r w:rsidRPr="002C4077">
        <w:t xml:space="preserve"> </w:t>
      </w:r>
      <w:r>
        <w:t>même</w:t>
      </w:r>
      <w:r w:rsidRPr="002C4077">
        <w:t xml:space="preserve"> </w:t>
      </w:r>
      <w:r>
        <w:t>manière</w:t>
      </w:r>
      <w:r w:rsidRPr="002C4077">
        <w:t xml:space="preserve"> </w:t>
      </w:r>
      <w:r>
        <w:t>que</w:t>
      </w:r>
      <w:r w:rsidRPr="002C4077">
        <w:t xml:space="preserve"> </w:t>
      </w:r>
      <w:r>
        <w:t>la</w:t>
      </w:r>
      <w:r w:rsidRPr="002C4077">
        <w:t xml:space="preserve"> </w:t>
      </w:r>
      <w:r>
        <w:t>prière</w:t>
      </w:r>
      <w:r w:rsidRPr="002C4077">
        <w:t xml:space="preserve"> </w:t>
      </w:r>
      <w:r>
        <w:t>du</w:t>
      </w:r>
      <w:r w:rsidRPr="002C4077">
        <w:t xml:space="preserve"> </w:t>
      </w:r>
      <w:r>
        <w:t>Sauveur</w:t>
      </w:r>
      <w:r w:rsidRPr="002C4077">
        <w:t xml:space="preserve"> </w:t>
      </w:r>
      <w:r>
        <w:t>agonisant</w:t>
      </w:r>
      <w:r w:rsidRPr="002C4077">
        <w:t xml:space="preserve"> </w:t>
      </w:r>
      <w:r>
        <w:t>avait</w:t>
      </w:r>
      <w:r w:rsidRPr="002C4077">
        <w:t xml:space="preserve"> </w:t>
      </w:r>
      <w:r>
        <w:t>été</w:t>
      </w:r>
      <w:r w:rsidRPr="002C4077">
        <w:t xml:space="preserve"> </w:t>
      </w:r>
      <w:r>
        <w:t>exaucée.</w:t>
      </w:r>
      <w:r w:rsidRPr="002C4077">
        <w:t xml:space="preserve"> </w:t>
      </w:r>
      <w:r>
        <w:t>Par</w:t>
      </w:r>
      <w:r w:rsidRPr="002C4077">
        <w:t xml:space="preserve"> </w:t>
      </w:r>
      <w:r>
        <w:t>suite</w:t>
      </w:r>
      <w:r w:rsidRPr="002C4077">
        <w:t xml:space="preserve"> </w:t>
      </w:r>
      <w:r>
        <w:t>de</w:t>
      </w:r>
      <w:r w:rsidRPr="002C4077">
        <w:t xml:space="preserve"> </w:t>
      </w:r>
      <w:r>
        <w:t>ses</w:t>
      </w:r>
      <w:r w:rsidRPr="002C4077">
        <w:t xml:space="preserve"> </w:t>
      </w:r>
      <w:r>
        <w:t>décrets</w:t>
      </w:r>
      <w:r w:rsidRPr="002C4077">
        <w:t xml:space="preserve"> </w:t>
      </w:r>
      <w:r>
        <w:t>éternels,</w:t>
      </w:r>
      <w:r w:rsidRPr="002C4077">
        <w:t xml:space="preserve"> </w:t>
      </w:r>
      <w:r>
        <w:t>le</w:t>
      </w:r>
      <w:r w:rsidRPr="002C4077">
        <w:t xml:space="preserve"> </w:t>
      </w:r>
      <w:r>
        <w:t>Père</w:t>
      </w:r>
      <w:r w:rsidRPr="002C4077">
        <w:t xml:space="preserve"> </w:t>
      </w:r>
      <w:r>
        <w:t>n’enleva</w:t>
      </w:r>
      <w:r w:rsidRPr="002C4077">
        <w:t xml:space="preserve"> </w:t>
      </w:r>
      <w:r>
        <w:t>point</w:t>
      </w:r>
      <w:r w:rsidRPr="002C4077">
        <w:t xml:space="preserve"> </w:t>
      </w:r>
      <w:r>
        <w:t>la</w:t>
      </w:r>
      <w:r w:rsidRPr="002C4077">
        <w:t xml:space="preserve"> </w:t>
      </w:r>
      <w:r>
        <w:t>coupe</w:t>
      </w:r>
      <w:r w:rsidRPr="002C4077">
        <w:t xml:space="preserve"> </w:t>
      </w:r>
      <w:r>
        <w:t>d’amertume</w:t>
      </w:r>
      <w:r w:rsidRPr="002C4077">
        <w:t xml:space="preserve"> </w:t>
      </w:r>
      <w:r>
        <w:t>que</w:t>
      </w:r>
      <w:r w:rsidRPr="002C4077">
        <w:t xml:space="preserve"> </w:t>
      </w:r>
      <w:r w:rsidR="00425C50">
        <w:t>Jésus</w:t>
      </w:r>
      <w:r w:rsidRPr="002C4077">
        <w:t xml:space="preserve"> </w:t>
      </w:r>
      <w:r>
        <w:t>devait</w:t>
      </w:r>
      <w:r w:rsidRPr="002C4077">
        <w:t xml:space="preserve"> </w:t>
      </w:r>
      <w:r>
        <w:t>boire,</w:t>
      </w:r>
      <w:r w:rsidRPr="002C4077">
        <w:t xml:space="preserve"> </w:t>
      </w:r>
      <w:r>
        <w:t>mais</w:t>
      </w:r>
      <w:r w:rsidRPr="002C4077">
        <w:t xml:space="preserve"> </w:t>
      </w:r>
      <w:r>
        <w:t>il</w:t>
      </w:r>
      <w:r w:rsidRPr="002C4077">
        <w:t xml:space="preserve"> </w:t>
      </w:r>
      <w:r>
        <w:t>ne</w:t>
      </w:r>
      <w:r w:rsidRPr="002C4077">
        <w:t xml:space="preserve"> </w:t>
      </w:r>
      <w:r>
        <w:t>resta</w:t>
      </w:r>
      <w:r w:rsidRPr="002C4077">
        <w:t xml:space="preserve"> </w:t>
      </w:r>
      <w:r>
        <w:t>pas</w:t>
      </w:r>
      <w:r w:rsidRPr="002C4077">
        <w:t xml:space="preserve"> </w:t>
      </w:r>
      <w:r>
        <w:t>sourd</w:t>
      </w:r>
      <w:r w:rsidRPr="002C4077">
        <w:t xml:space="preserve"> </w:t>
      </w:r>
      <w:r>
        <w:t>aux</w:t>
      </w:r>
      <w:r w:rsidRPr="002C4077">
        <w:t xml:space="preserve"> </w:t>
      </w:r>
      <w:r>
        <w:t>supplications</w:t>
      </w:r>
      <w:r w:rsidRPr="002C4077">
        <w:t xml:space="preserve"> </w:t>
      </w:r>
      <w:r>
        <w:t>de</w:t>
      </w:r>
      <w:r w:rsidRPr="002C4077">
        <w:t xml:space="preserve"> </w:t>
      </w:r>
      <w:r>
        <w:t>l’Homme</w:t>
      </w:r>
      <w:r w:rsidRPr="002C4077">
        <w:t xml:space="preserve"> </w:t>
      </w:r>
      <w:r>
        <w:t>de</w:t>
      </w:r>
      <w:r w:rsidRPr="002C4077">
        <w:t xml:space="preserve"> </w:t>
      </w:r>
      <w:r>
        <w:t>douleurs.</w:t>
      </w:r>
      <w:r w:rsidRPr="002C4077">
        <w:t xml:space="preserve"> </w:t>
      </w:r>
      <w:r>
        <w:t>Si</w:t>
      </w:r>
      <w:r w:rsidRPr="002C4077">
        <w:t xml:space="preserve"> </w:t>
      </w:r>
      <w:r>
        <w:t>l’agonie</w:t>
      </w:r>
      <w:r w:rsidRPr="002C4077">
        <w:t xml:space="preserve"> </w:t>
      </w:r>
      <w:r>
        <w:t>tout</w:t>
      </w:r>
      <w:r w:rsidRPr="002C4077">
        <w:t xml:space="preserve"> </w:t>
      </w:r>
      <w:r>
        <w:t>entière</w:t>
      </w:r>
      <w:r w:rsidRPr="002C4077">
        <w:t xml:space="preserve"> </w:t>
      </w:r>
      <w:r>
        <w:t>se</w:t>
      </w:r>
      <w:r w:rsidRPr="002C4077">
        <w:t xml:space="preserve"> </w:t>
      </w:r>
      <w:r>
        <w:t>fût</w:t>
      </w:r>
      <w:r w:rsidRPr="002C4077">
        <w:t xml:space="preserve"> </w:t>
      </w:r>
      <w:r>
        <w:t>passée</w:t>
      </w:r>
      <w:r w:rsidRPr="002C4077">
        <w:t xml:space="preserve"> </w:t>
      </w:r>
      <w:r>
        <w:t>dans</w:t>
      </w:r>
      <w:r w:rsidRPr="002C4077">
        <w:t xml:space="preserve"> </w:t>
      </w:r>
      <w:r>
        <w:t>l’âme</w:t>
      </w:r>
      <w:r w:rsidRPr="002C4077">
        <w:t xml:space="preserve"> </w:t>
      </w:r>
      <w:r>
        <w:t>du</w:t>
      </w:r>
      <w:r w:rsidRPr="002C4077">
        <w:t xml:space="preserve"> </w:t>
      </w:r>
      <w:r w:rsidR="00425C50">
        <w:t>Christ</w:t>
      </w:r>
      <w:r>
        <w:t>,</w:t>
      </w:r>
      <w:r w:rsidRPr="002C4077">
        <w:t xml:space="preserve"> </w:t>
      </w:r>
      <w:r>
        <w:t>sans</w:t>
      </w:r>
      <w:r w:rsidRPr="002C4077">
        <w:t xml:space="preserve"> </w:t>
      </w:r>
      <w:r>
        <w:t>paraître</w:t>
      </w:r>
      <w:r w:rsidRPr="002C4077">
        <w:t xml:space="preserve"> </w:t>
      </w:r>
      <w:r>
        <w:t>au</w:t>
      </w:r>
      <w:r w:rsidRPr="002C4077">
        <w:t xml:space="preserve"> </w:t>
      </w:r>
      <w:r>
        <w:t>dehors,</w:t>
      </w:r>
      <w:r w:rsidRPr="002C4077">
        <w:t xml:space="preserve"> </w:t>
      </w:r>
      <w:r>
        <w:t>cette</w:t>
      </w:r>
      <w:r w:rsidRPr="002C4077">
        <w:t xml:space="preserve"> </w:t>
      </w:r>
      <w:r>
        <w:t>consolation</w:t>
      </w:r>
      <w:r w:rsidRPr="002C4077">
        <w:t xml:space="preserve"> </w:t>
      </w:r>
      <w:r>
        <w:t>extérieure</w:t>
      </w:r>
      <w:r w:rsidRPr="002C4077">
        <w:t xml:space="preserve"> </w:t>
      </w:r>
      <w:r>
        <w:t>n’eût</w:t>
      </w:r>
      <w:r w:rsidRPr="002C4077">
        <w:t xml:space="preserve"> </w:t>
      </w:r>
      <w:r>
        <w:t>pas</w:t>
      </w:r>
      <w:r w:rsidRPr="002C4077">
        <w:t xml:space="preserve"> </w:t>
      </w:r>
      <w:r>
        <w:t>été</w:t>
      </w:r>
      <w:r w:rsidRPr="002C4077">
        <w:t xml:space="preserve"> </w:t>
      </w:r>
      <w:r>
        <w:t>nécessaire</w:t>
      </w:r>
      <w:r w:rsidR="00B546AF">
        <w:t> ;</w:t>
      </w:r>
      <w:r w:rsidRPr="002C4077">
        <w:t xml:space="preserve"> </w:t>
      </w:r>
      <w:r>
        <w:t>mais</w:t>
      </w:r>
      <w:r w:rsidRPr="002C4077">
        <w:t xml:space="preserve"> </w:t>
      </w:r>
      <w:r>
        <w:t>la</w:t>
      </w:r>
      <w:r w:rsidRPr="002C4077">
        <w:t xml:space="preserve"> </w:t>
      </w:r>
      <w:r>
        <w:t>manifestation</w:t>
      </w:r>
      <w:r w:rsidRPr="002C4077">
        <w:t xml:space="preserve"> </w:t>
      </w:r>
      <w:r>
        <w:t>de</w:t>
      </w:r>
      <w:r w:rsidRPr="002C4077">
        <w:t xml:space="preserve"> </w:t>
      </w:r>
      <w:r>
        <w:t>l’une</w:t>
      </w:r>
      <w:r w:rsidRPr="002C4077">
        <w:t xml:space="preserve"> </w:t>
      </w:r>
      <w:r>
        <w:t>demandait</w:t>
      </w:r>
      <w:r w:rsidRPr="002C4077">
        <w:t xml:space="preserve"> </w:t>
      </w:r>
      <w:r>
        <w:t>la</w:t>
      </w:r>
      <w:r w:rsidRPr="002C4077">
        <w:t xml:space="preserve"> </w:t>
      </w:r>
      <w:r>
        <w:t>manifestation</w:t>
      </w:r>
      <w:r w:rsidRPr="002C4077">
        <w:t xml:space="preserve"> </w:t>
      </w:r>
      <w:r>
        <w:t>de</w:t>
      </w:r>
      <w:r w:rsidRPr="002C4077">
        <w:t xml:space="preserve"> </w:t>
      </w:r>
      <w:r>
        <w:t>l’autre.</w:t>
      </w:r>
      <w:r w:rsidRPr="002C4077">
        <w:t xml:space="preserve"> </w:t>
      </w:r>
      <w:r>
        <w:t>Voilà</w:t>
      </w:r>
      <w:r w:rsidRPr="002C4077">
        <w:t xml:space="preserve"> </w:t>
      </w:r>
      <w:r>
        <w:t>pourquoi</w:t>
      </w:r>
      <w:r w:rsidRPr="002C4077">
        <w:t xml:space="preserve"> </w:t>
      </w:r>
      <w:r>
        <w:t>un</w:t>
      </w:r>
      <w:r w:rsidRPr="002C4077">
        <w:t xml:space="preserve"> </w:t>
      </w:r>
      <w:r>
        <w:t>ange</w:t>
      </w:r>
      <w:r w:rsidRPr="002C4077">
        <w:t xml:space="preserve"> </w:t>
      </w:r>
      <w:r>
        <w:t>apparut</w:t>
      </w:r>
      <w:r w:rsidRPr="002C4077">
        <w:t xml:space="preserve"> </w:t>
      </w:r>
      <w:r>
        <w:t>à</w:t>
      </w:r>
      <w:r w:rsidRPr="002C4077">
        <w:t xml:space="preserve"> </w:t>
      </w:r>
      <w:r w:rsidR="00425C50">
        <w:t>Jésus</w:t>
      </w:r>
      <w:r>
        <w:t>,</w:t>
      </w:r>
      <w:r w:rsidRPr="002C4077">
        <w:t xml:space="preserve"> </w:t>
      </w:r>
      <w:r>
        <w:t>le</w:t>
      </w:r>
      <w:r w:rsidRPr="002C4077">
        <w:t xml:space="preserve"> </w:t>
      </w:r>
      <w:r>
        <w:t>fortifiant</w:t>
      </w:r>
      <w:r w:rsidR="00B546AF">
        <w:t> »</w:t>
      </w:r>
      <w:r>
        <w:t>.</w:t>
      </w:r>
      <w:r w:rsidRPr="002C4077">
        <w:t xml:space="preserve"> </w:t>
      </w:r>
    </w:p>
    <w:p w:rsidR="000A7AAB" w:rsidRDefault="000A7AAB" w:rsidP="000A7AAB">
      <w:r>
        <w:t>Enfin,</w:t>
      </w:r>
      <w:bookmarkStart w:id="349" w:name="z_Anges_o1"/>
      <w:bookmarkEnd w:id="349"/>
      <w:r w:rsidRPr="002C4077">
        <w:t xml:space="preserve"> </w:t>
      </w:r>
      <w:r>
        <w:t>ne</w:t>
      </w:r>
      <w:r w:rsidRPr="002C4077">
        <w:t xml:space="preserve"> </w:t>
      </w:r>
      <w:r>
        <w:t>voit-on</w:t>
      </w:r>
      <w:r w:rsidRPr="002C4077">
        <w:t xml:space="preserve"> </w:t>
      </w:r>
      <w:r>
        <w:t>pas</w:t>
      </w:r>
      <w:r w:rsidRPr="002C4077">
        <w:t xml:space="preserve"> </w:t>
      </w:r>
      <w:r>
        <w:t>à</w:t>
      </w:r>
      <w:r w:rsidRPr="002C4077">
        <w:t xml:space="preserve"> </w:t>
      </w:r>
      <w:r>
        <w:t>chaque</w:t>
      </w:r>
      <w:r w:rsidRPr="002C4077">
        <w:t xml:space="preserve"> </w:t>
      </w:r>
      <w:r>
        <w:t>instant,</w:t>
      </w:r>
      <w:r w:rsidRPr="002C4077">
        <w:t xml:space="preserve"> </w:t>
      </w:r>
      <w:r>
        <w:t>dans</w:t>
      </w:r>
      <w:r w:rsidRPr="002C4077">
        <w:t xml:space="preserve"> </w:t>
      </w:r>
      <w:r>
        <w:t>les</w:t>
      </w:r>
      <w:r w:rsidRPr="002C4077">
        <w:t xml:space="preserve"> </w:t>
      </w:r>
      <w:r>
        <w:t>saints</w:t>
      </w:r>
      <w:r w:rsidRPr="002C4077">
        <w:t xml:space="preserve"> </w:t>
      </w:r>
      <w:r>
        <w:t>Évangiles,</w:t>
      </w:r>
      <w:r w:rsidRPr="002C4077">
        <w:t xml:space="preserve"> </w:t>
      </w:r>
      <w:r>
        <w:t>les</w:t>
      </w:r>
      <w:r w:rsidRPr="002C4077">
        <w:t xml:space="preserve"> </w:t>
      </w:r>
      <w:r>
        <w:t>anges</w:t>
      </w:r>
      <w:r w:rsidRPr="002C4077">
        <w:t xml:space="preserve"> </w:t>
      </w:r>
      <w:r>
        <w:t>en</w:t>
      </w:r>
      <w:r w:rsidRPr="002C4077">
        <w:t xml:space="preserve"> </w:t>
      </w:r>
      <w:r>
        <w:t>relations</w:t>
      </w:r>
      <w:r w:rsidRPr="002C4077">
        <w:t xml:space="preserve"> </w:t>
      </w:r>
      <w:r>
        <w:t>intimes</w:t>
      </w:r>
      <w:r w:rsidRPr="002C4077">
        <w:t xml:space="preserve"> </w:t>
      </w:r>
      <w:r>
        <w:t>avec</w:t>
      </w:r>
      <w:r w:rsidRPr="002C4077">
        <w:t xml:space="preserve"> </w:t>
      </w:r>
      <w:r>
        <w:t>Notre</w:t>
      </w:r>
      <w:r w:rsidRPr="002C4077">
        <w:t xml:space="preserve"> </w:t>
      </w:r>
      <w:r>
        <w:t>Seigneur,</w:t>
      </w:r>
      <w:r w:rsidRPr="002C4077">
        <w:t xml:space="preserve"> </w:t>
      </w:r>
      <w:r>
        <w:t>conformément</w:t>
      </w:r>
      <w:r w:rsidRPr="002C4077">
        <w:t xml:space="preserve"> </w:t>
      </w:r>
      <w:r>
        <w:t>à</w:t>
      </w:r>
      <w:r w:rsidRPr="002C4077">
        <w:t xml:space="preserve"> </w:t>
      </w:r>
      <w:r>
        <w:t>cette</w:t>
      </w:r>
      <w:r w:rsidRPr="002C4077">
        <w:t xml:space="preserve"> </w:t>
      </w:r>
      <w:r>
        <w:t>parole</w:t>
      </w:r>
      <w:r w:rsidRPr="002C4077">
        <w:t xml:space="preserve"> </w:t>
      </w:r>
      <w:r>
        <w:t>qu’il</w:t>
      </w:r>
      <w:r w:rsidRPr="002C4077">
        <w:t xml:space="preserve"> </w:t>
      </w:r>
      <w:r>
        <w:t>prononçait</w:t>
      </w:r>
      <w:r w:rsidRPr="002C4077">
        <w:t xml:space="preserve"> </w:t>
      </w:r>
      <w:r>
        <w:t>un</w:t>
      </w:r>
      <w:r w:rsidRPr="002C4077">
        <w:t xml:space="preserve"> </w:t>
      </w:r>
      <w:r>
        <w:t>jour</w:t>
      </w:r>
      <w:r w:rsidRPr="002C4077">
        <w:t xml:space="preserve"> </w:t>
      </w:r>
      <w:r>
        <w:t>devant</w:t>
      </w:r>
      <w:r w:rsidRPr="002C4077">
        <w:t xml:space="preserve"> </w:t>
      </w:r>
      <w:r>
        <w:t>ses</w:t>
      </w:r>
      <w:r w:rsidRPr="002C4077">
        <w:t xml:space="preserve"> </w:t>
      </w:r>
      <w:r>
        <w:t>premiers</w:t>
      </w:r>
      <w:r w:rsidRPr="002C4077">
        <w:t xml:space="preserve"> </w:t>
      </w:r>
      <w:r>
        <w:t>disciples</w:t>
      </w:r>
      <w:r w:rsidR="00B546AF">
        <w:t> :</w:t>
      </w:r>
      <w:r w:rsidRPr="002C4077">
        <w:t xml:space="preserve"> </w:t>
      </w:r>
      <w:r w:rsidR="00B546AF">
        <w:t>« </w:t>
      </w:r>
      <w:r>
        <w:t>En</w:t>
      </w:r>
      <w:r w:rsidRPr="002C4077">
        <w:t xml:space="preserve"> </w:t>
      </w:r>
      <w:r>
        <w:t>vérité,</w:t>
      </w:r>
      <w:r w:rsidRPr="002C4077">
        <w:t xml:space="preserve"> </w:t>
      </w:r>
      <w:r>
        <w:t>en</w:t>
      </w:r>
      <w:r w:rsidRPr="002C4077">
        <w:t xml:space="preserve"> </w:t>
      </w:r>
      <w:r>
        <w:t>vérité,</w:t>
      </w:r>
      <w:r w:rsidRPr="002C4077">
        <w:t xml:space="preserve"> </w:t>
      </w:r>
      <w:r>
        <w:t>je</w:t>
      </w:r>
      <w:r w:rsidRPr="002C4077">
        <w:t xml:space="preserve"> </w:t>
      </w:r>
      <w:r>
        <w:t>vous</w:t>
      </w:r>
      <w:r w:rsidRPr="002C4077">
        <w:t xml:space="preserve"> </w:t>
      </w:r>
      <w:r>
        <w:t>le</w:t>
      </w:r>
      <w:r w:rsidRPr="002C4077">
        <w:t xml:space="preserve"> </w:t>
      </w:r>
      <w:r>
        <w:t>dis,</w:t>
      </w:r>
      <w:r w:rsidRPr="002C4077">
        <w:t xml:space="preserve"> </w:t>
      </w:r>
      <w:r>
        <w:t>vous</w:t>
      </w:r>
      <w:r w:rsidRPr="002C4077">
        <w:t xml:space="preserve"> </w:t>
      </w:r>
      <w:r>
        <w:t>verrez</w:t>
      </w:r>
      <w:r w:rsidRPr="002C4077">
        <w:t xml:space="preserve"> </w:t>
      </w:r>
      <w:r>
        <w:t>le</w:t>
      </w:r>
      <w:r w:rsidRPr="002C4077">
        <w:t xml:space="preserve"> </w:t>
      </w:r>
      <w:r>
        <w:t>ciel</w:t>
      </w:r>
      <w:r w:rsidRPr="002C4077">
        <w:t xml:space="preserve"> </w:t>
      </w:r>
      <w:r>
        <w:t>ouvert,</w:t>
      </w:r>
      <w:r w:rsidRPr="002C4077">
        <w:t xml:space="preserve"> </w:t>
      </w:r>
      <w:r>
        <w:t>et</w:t>
      </w:r>
      <w:r w:rsidRPr="002C4077">
        <w:t xml:space="preserve"> </w:t>
      </w:r>
      <w:r>
        <w:t>les</w:t>
      </w:r>
      <w:r w:rsidRPr="002C4077">
        <w:t xml:space="preserve"> </w:t>
      </w:r>
      <w:r>
        <w:t>anges</w:t>
      </w:r>
      <w:r w:rsidRPr="002C4077">
        <w:t xml:space="preserve"> </w:t>
      </w:r>
      <w:r>
        <w:t>de</w:t>
      </w:r>
      <w:r w:rsidRPr="002C4077">
        <w:t xml:space="preserve"> </w:t>
      </w:r>
      <w:r>
        <w:t>Dieu</w:t>
      </w:r>
      <w:r w:rsidRPr="002C4077">
        <w:t xml:space="preserve"> </w:t>
      </w:r>
      <w:r>
        <w:t>montant</w:t>
      </w:r>
      <w:r w:rsidRPr="002C4077">
        <w:t xml:space="preserve"> </w:t>
      </w:r>
      <w:r>
        <w:t>et</w:t>
      </w:r>
      <w:r w:rsidRPr="002C4077">
        <w:t xml:space="preserve"> </w:t>
      </w:r>
      <w:r>
        <w:t>descendant</w:t>
      </w:r>
      <w:r w:rsidRPr="002C4077">
        <w:t xml:space="preserve"> </w:t>
      </w:r>
      <w:r>
        <w:t>au-dessus</w:t>
      </w:r>
      <w:r w:rsidRPr="002C4077">
        <w:t xml:space="preserve"> </w:t>
      </w:r>
      <w:r>
        <w:t>du</w:t>
      </w:r>
      <w:r w:rsidRPr="002C4077">
        <w:t xml:space="preserve"> </w:t>
      </w:r>
      <w:r>
        <w:t>Fils</w:t>
      </w:r>
      <w:r w:rsidRPr="002C4077">
        <w:t xml:space="preserve"> </w:t>
      </w:r>
      <w:r>
        <w:t>de</w:t>
      </w:r>
      <w:r w:rsidRPr="002C4077">
        <w:t xml:space="preserve"> </w:t>
      </w:r>
      <w:r>
        <w:t>l’homme</w:t>
      </w:r>
      <w:r w:rsidR="00B546AF">
        <w:t> ?</w:t>
      </w:r>
      <w:r w:rsidR="00B91AF7">
        <w:rPr>
          <w:rStyle w:val="Appelnotedebasdep"/>
        </w:rPr>
        <w:footnoteReference w:id="394"/>
      </w:r>
      <w:r w:rsidR="00B546AF">
        <w:t> »</w:t>
      </w:r>
      <w:r w:rsidR="00C45B47">
        <w:t xml:space="preserve"> {</w:t>
      </w:r>
      <w:r w:rsidR="004C5B7A">
        <w:t>123</w:t>
      </w:r>
      <w:bookmarkStart w:id="350" w:name="p123"/>
      <w:bookmarkEnd w:id="350"/>
      <w:r w:rsidR="004C5B7A">
        <w:t xml:space="preserve">} </w:t>
      </w:r>
      <w:r>
        <w:t>Une</w:t>
      </w:r>
      <w:r w:rsidRPr="002C4077">
        <w:t xml:space="preserve"> </w:t>
      </w:r>
      <w:r>
        <w:t>troupe</w:t>
      </w:r>
      <w:r w:rsidRPr="002C4077">
        <w:t xml:space="preserve"> </w:t>
      </w:r>
      <w:r>
        <w:t>angélique</w:t>
      </w:r>
      <w:r w:rsidRPr="002C4077">
        <w:t xml:space="preserve"> </w:t>
      </w:r>
      <w:r>
        <w:t>chante</w:t>
      </w:r>
      <w:r w:rsidRPr="002C4077">
        <w:t xml:space="preserve"> </w:t>
      </w:r>
      <w:r>
        <w:t>joyeusement</w:t>
      </w:r>
      <w:r w:rsidRPr="002C4077">
        <w:t xml:space="preserve"> </w:t>
      </w:r>
      <w:r>
        <w:t>autour</w:t>
      </w:r>
      <w:r w:rsidRPr="002C4077">
        <w:t xml:space="preserve"> </w:t>
      </w:r>
      <w:r>
        <w:t>de</w:t>
      </w:r>
      <w:r w:rsidRPr="002C4077">
        <w:t xml:space="preserve"> </w:t>
      </w:r>
      <w:r>
        <w:t>son</w:t>
      </w:r>
      <w:r w:rsidRPr="002C4077">
        <w:t xml:space="preserve"> </w:t>
      </w:r>
      <w:r>
        <w:t>humble</w:t>
      </w:r>
      <w:r w:rsidRPr="002C4077">
        <w:t xml:space="preserve"> </w:t>
      </w:r>
      <w:r>
        <w:t>berceau</w:t>
      </w:r>
      <w:r w:rsidR="00B91AF7">
        <w:rPr>
          <w:rStyle w:val="Appelnotedebasdep"/>
        </w:rPr>
        <w:footnoteReference w:id="395"/>
      </w:r>
      <w:r w:rsidR="00B546AF">
        <w:t> ;</w:t>
      </w:r>
      <w:r w:rsidRPr="002C4077">
        <w:t xml:space="preserve"> </w:t>
      </w:r>
      <w:r>
        <w:t>un</w:t>
      </w:r>
      <w:r w:rsidRPr="002C4077">
        <w:t xml:space="preserve"> </w:t>
      </w:r>
      <w:r>
        <w:t>ange</w:t>
      </w:r>
      <w:r w:rsidRPr="002C4077">
        <w:t xml:space="preserve"> </w:t>
      </w:r>
      <w:r w:rsidR="00425C50">
        <w:t>est</w:t>
      </w:r>
      <w:r w:rsidRPr="002C4077">
        <w:t xml:space="preserve"> </w:t>
      </w:r>
      <w:r>
        <w:t>là</w:t>
      </w:r>
      <w:r w:rsidRPr="002C4077">
        <w:t xml:space="preserve"> </w:t>
      </w:r>
      <w:r>
        <w:t>pour</w:t>
      </w:r>
      <w:r w:rsidRPr="002C4077">
        <w:t xml:space="preserve"> </w:t>
      </w:r>
      <w:r>
        <w:t>avertir</w:t>
      </w:r>
      <w:r w:rsidRPr="002C4077">
        <w:t xml:space="preserve"> </w:t>
      </w:r>
      <w:r>
        <w:t>son</w:t>
      </w:r>
      <w:r w:rsidRPr="002C4077">
        <w:t xml:space="preserve"> </w:t>
      </w:r>
      <w:r>
        <w:t>père</w:t>
      </w:r>
      <w:r w:rsidRPr="002C4077">
        <w:t xml:space="preserve"> </w:t>
      </w:r>
      <w:r>
        <w:t>adop</w:t>
      </w:r>
      <w:r w:rsidR="00CC5FEA">
        <w:t>tif</w:t>
      </w:r>
      <w:r w:rsidR="00CC5FEA" w:rsidRPr="002C4077">
        <w:t xml:space="preserve"> </w:t>
      </w:r>
      <w:r w:rsidR="00CC5FEA">
        <w:t>des</w:t>
      </w:r>
      <w:r w:rsidR="00CC5FEA" w:rsidRPr="002C4077">
        <w:t xml:space="preserve"> </w:t>
      </w:r>
      <w:r w:rsidR="00CC5FEA">
        <w:t>dangers</w:t>
      </w:r>
      <w:r w:rsidR="00CC5FEA" w:rsidRPr="002C4077">
        <w:t xml:space="preserve"> </w:t>
      </w:r>
      <w:r w:rsidR="00CC5FEA">
        <w:t>qui</w:t>
      </w:r>
      <w:r w:rsidR="00CC5FEA" w:rsidRPr="002C4077">
        <w:t xml:space="preserve"> </w:t>
      </w:r>
      <w:r w:rsidR="00CC5FEA">
        <w:t>le</w:t>
      </w:r>
      <w:r w:rsidR="00CC5FEA" w:rsidRPr="002C4077">
        <w:t xml:space="preserve"> </w:t>
      </w:r>
      <w:r w:rsidR="00CC5FEA">
        <w:t>menacent</w:t>
      </w:r>
      <w:r w:rsidR="00CC5FEA">
        <w:rPr>
          <w:rStyle w:val="Appelnotedebasdep"/>
        </w:rPr>
        <w:footnoteReference w:id="396"/>
      </w:r>
      <w:r>
        <w:t>.</w:t>
      </w:r>
      <w:r w:rsidRPr="002C4077">
        <w:t xml:space="preserve"> </w:t>
      </w:r>
      <w:r>
        <w:t>De</w:t>
      </w:r>
      <w:r w:rsidRPr="002C4077">
        <w:t xml:space="preserve"> </w:t>
      </w:r>
      <w:r>
        <w:t>même</w:t>
      </w:r>
      <w:r w:rsidRPr="002C4077">
        <w:t xml:space="preserve"> </w:t>
      </w:r>
      <w:r>
        <w:t>qu’ils</w:t>
      </w:r>
      <w:r w:rsidRPr="002C4077">
        <w:t xml:space="preserve"> </w:t>
      </w:r>
      <w:r>
        <w:t>l’ont</w:t>
      </w:r>
      <w:r w:rsidRPr="002C4077">
        <w:t xml:space="preserve"> </w:t>
      </w:r>
      <w:r>
        <w:t>introduit</w:t>
      </w:r>
      <w:r w:rsidRPr="002C4077">
        <w:t xml:space="preserve"> </w:t>
      </w:r>
      <w:r>
        <w:t>dans</w:t>
      </w:r>
      <w:r w:rsidRPr="002C4077">
        <w:t xml:space="preserve"> </w:t>
      </w:r>
      <w:r>
        <w:t>le</w:t>
      </w:r>
      <w:r w:rsidRPr="002C4077">
        <w:t xml:space="preserve"> </w:t>
      </w:r>
      <w:r>
        <w:t>monde,</w:t>
      </w:r>
      <w:r w:rsidRPr="002C4077">
        <w:t xml:space="preserve"> </w:t>
      </w:r>
      <w:r>
        <w:t>les</w:t>
      </w:r>
      <w:r w:rsidRPr="002C4077">
        <w:t xml:space="preserve"> </w:t>
      </w:r>
      <w:r>
        <w:t>anges</w:t>
      </w:r>
      <w:r w:rsidRPr="002C4077">
        <w:t xml:space="preserve"> </w:t>
      </w:r>
      <w:r>
        <w:t>l’accompagnent</w:t>
      </w:r>
      <w:r w:rsidRPr="002C4077">
        <w:t xml:space="preserve"> </w:t>
      </w:r>
      <w:r>
        <w:t>dans</w:t>
      </w:r>
      <w:r w:rsidRPr="002C4077">
        <w:t xml:space="preserve"> </w:t>
      </w:r>
      <w:r>
        <w:t>ses</w:t>
      </w:r>
      <w:r w:rsidRPr="002C4077">
        <w:t xml:space="preserve"> </w:t>
      </w:r>
      <w:r>
        <w:t>derniers</w:t>
      </w:r>
      <w:r w:rsidRPr="002C4077">
        <w:t xml:space="preserve"> </w:t>
      </w:r>
      <w:r>
        <w:t>et</w:t>
      </w:r>
      <w:r w:rsidRPr="002C4077">
        <w:t xml:space="preserve"> </w:t>
      </w:r>
      <w:r>
        <w:t>glorieux</w:t>
      </w:r>
      <w:r w:rsidRPr="002C4077">
        <w:t xml:space="preserve"> </w:t>
      </w:r>
      <w:r>
        <w:t>mystères</w:t>
      </w:r>
      <w:r w:rsidR="00B546AF">
        <w:t> :</w:t>
      </w:r>
      <w:r w:rsidRPr="002C4077">
        <w:t xml:space="preserve"> </w:t>
      </w:r>
      <w:r>
        <w:t>nous</w:t>
      </w:r>
      <w:r w:rsidRPr="002C4077">
        <w:t xml:space="preserve"> </w:t>
      </w:r>
      <w:r>
        <w:t>les</w:t>
      </w:r>
      <w:r w:rsidRPr="002C4077">
        <w:t xml:space="preserve"> </w:t>
      </w:r>
      <w:r>
        <w:t>voyons</w:t>
      </w:r>
      <w:r w:rsidRPr="002C4077">
        <w:t xml:space="preserve"> </w:t>
      </w:r>
      <w:r>
        <w:t>assiste</w:t>
      </w:r>
      <w:r w:rsidR="00BF1EE0">
        <w:t>r</w:t>
      </w:r>
      <w:r w:rsidR="00BF1EE0" w:rsidRPr="002C4077">
        <w:t xml:space="preserve"> </w:t>
      </w:r>
      <w:r w:rsidR="00BF1EE0">
        <w:t>triomphants</w:t>
      </w:r>
      <w:r w:rsidR="00BF1EE0" w:rsidRPr="002C4077">
        <w:t xml:space="preserve"> </w:t>
      </w:r>
      <w:r w:rsidR="00BF1EE0">
        <w:t>à</w:t>
      </w:r>
      <w:r w:rsidR="00BF1EE0" w:rsidRPr="002C4077">
        <w:t xml:space="preserve"> </w:t>
      </w:r>
      <w:r w:rsidR="00BF1EE0">
        <w:t>sa</w:t>
      </w:r>
      <w:r w:rsidR="00BF1EE0" w:rsidRPr="002C4077">
        <w:t xml:space="preserve"> </w:t>
      </w:r>
      <w:r w:rsidR="00BF1EE0">
        <w:t>Résurrection</w:t>
      </w:r>
      <w:r w:rsidR="00BF1EE0">
        <w:rPr>
          <w:rStyle w:val="Appelnotedebasdep"/>
        </w:rPr>
        <w:footnoteReference w:id="397"/>
      </w:r>
      <w:r w:rsidRPr="002C4077">
        <w:t xml:space="preserve"> </w:t>
      </w:r>
      <w:r>
        <w:t>et</w:t>
      </w:r>
      <w:r w:rsidRPr="002C4077">
        <w:t xml:space="preserve"> </w:t>
      </w:r>
      <w:r>
        <w:t>à</w:t>
      </w:r>
      <w:r w:rsidRPr="002C4077">
        <w:t xml:space="preserve"> </w:t>
      </w:r>
      <w:r>
        <w:t>son</w:t>
      </w:r>
      <w:r w:rsidRPr="002C4077">
        <w:t xml:space="preserve"> </w:t>
      </w:r>
      <w:r>
        <w:t>Ascension</w:t>
      </w:r>
      <w:r w:rsidR="00B91AF7">
        <w:rPr>
          <w:rStyle w:val="Appelnotedebasdep"/>
        </w:rPr>
        <w:footnoteReference w:id="398"/>
      </w:r>
      <w:r>
        <w:t>.</w:t>
      </w:r>
      <w:r w:rsidRPr="002C4077">
        <w:t xml:space="preserve"> </w:t>
      </w:r>
      <w:r>
        <w:t>Après</w:t>
      </w:r>
      <w:r w:rsidRPr="002C4077">
        <w:t xml:space="preserve"> </w:t>
      </w:r>
      <w:r>
        <w:t>sa</w:t>
      </w:r>
      <w:r w:rsidRPr="002C4077">
        <w:t xml:space="preserve"> </w:t>
      </w:r>
      <w:r>
        <w:t>tentation,</w:t>
      </w:r>
      <w:r w:rsidRPr="002C4077">
        <w:t xml:space="preserve"> </w:t>
      </w:r>
      <w:r>
        <w:t>avec</w:t>
      </w:r>
      <w:r w:rsidRPr="002C4077">
        <w:t xml:space="preserve"> </w:t>
      </w:r>
      <w:r>
        <w:t>laquelle</w:t>
      </w:r>
      <w:r w:rsidRPr="002C4077">
        <w:t xml:space="preserve"> </w:t>
      </w:r>
      <w:r>
        <w:t>le</w:t>
      </w:r>
      <w:r w:rsidRPr="002C4077">
        <w:t xml:space="preserve"> </w:t>
      </w:r>
      <w:r>
        <w:t>cas</w:t>
      </w:r>
      <w:r w:rsidRPr="002C4077">
        <w:t xml:space="preserve"> </w:t>
      </w:r>
      <w:r>
        <w:t>actuel</w:t>
      </w:r>
      <w:r w:rsidRPr="002C4077">
        <w:t xml:space="preserve"> </w:t>
      </w:r>
      <w:r>
        <w:t>a</w:t>
      </w:r>
      <w:r w:rsidRPr="002C4077">
        <w:t xml:space="preserve"> </w:t>
      </w:r>
      <w:r>
        <w:t>tant</w:t>
      </w:r>
      <w:r w:rsidRPr="002C4077">
        <w:t xml:space="preserve"> </w:t>
      </w:r>
      <w:r>
        <w:t>d’analogie,</w:t>
      </w:r>
      <w:r w:rsidRPr="002C4077">
        <w:t xml:space="preserve"> </w:t>
      </w:r>
      <w:r>
        <w:t>ils</w:t>
      </w:r>
      <w:r w:rsidRPr="002C4077">
        <w:t xml:space="preserve"> </w:t>
      </w:r>
      <w:r>
        <w:t>étaient</w:t>
      </w:r>
      <w:r w:rsidRPr="002C4077">
        <w:t xml:space="preserve"> </w:t>
      </w:r>
      <w:r>
        <w:t>venus</w:t>
      </w:r>
      <w:r w:rsidRPr="002C4077">
        <w:t xml:space="preserve"> </w:t>
      </w:r>
      <w:r>
        <w:t>respectueusement</w:t>
      </w:r>
      <w:r w:rsidRPr="002C4077">
        <w:t xml:space="preserve"> </w:t>
      </w:r>
      <w:r>
        <w:t>le</w:t>
      </w:r>
      <w:r w:rsidRPr="002C4077">
        <w:t xml:space="preserve"> </w:t>
      </w:r>
      <w:r>
        <w:t>servir</w:t>
      </w:r>
      <w:r w:rsidR="00B91AF7">
        <w:rPr>
          <w:rStyle w:val="Appelnotedebasdep"/>
        </w:rPr>
        <w:footnoteReference w:id="399"/>
      </w:r>
      <w:r w:rsidR="00B546AF">
        <w:t> ;</w:t>
      </w:r>
      <w:r w:rsidRPr="002C4077">
        <w:t xml:space="preserve"> </w:t>
      </w:r>
      <w:r>
        <w:t>aujourd’hui</w:t>
      </w:r>
      <w:r w:rsidRPr="002C4077">
        <w:t xml:space="preserve"> </w:t>
      </w:r>
      <w:r>
        <w:t>ils</w:t>
      </w:r>
      <w:r w:rsidRPr="002C4077">
        <w:t xml:space="preserve"> </w:t>
      </w:r>
      <w:r>
        <w:t>le</w:t>
      </w:r>
      <w:r w:rsidRPr="002C4077">
        <w:t xml:space="preserve"> </w:t>
      </w:r>
      <w:r>
        <w:t>consolent</w:t>
      </w:r>
      <w:r w:rsidRPr="002C4077">
        <w:t xml:space="preserve"> </w:t>
      </w:r>
      <w:r>
        <w:t>et</w:t>
      </w:r>
      <w:r w:rsidRPr="002C4077">
        <w:t xml:space="preserve"> </w:t>
      </w:r>
      <w:r>
        <w:t>l’encouragent.</w:t>
      </w:r>
      <w:r w:rsidRPr="002C4077">
        <w:t xml:space="preserve"> </w:t>
      </w:r>
      <w:r>
        <w:t>Tout</w:t>
      </w:r>
      <w:r w:rsidRPr="002C4077">
        <w:t xml:space="preserve"> </w:t>
      </w:r>
      <w:r>
        <w:t>se</w:t>
      </w:r>
      <w:r w:rsidRPr="002C4077">
        <w:t xml:space="preserve"> </w:t>
      </w:r>
      <w:r>
        <w:t>suit,</w:t>
      </w:r>
      <w:r w:rsidRPr="002C4077">
        <w:t xml:space="preserve"> </w:t>
      </w:r>
      <w:r>
        <w:t>se</w:t>
      </w:r>
      <w:r w:rsidRPr="002C4077">
        <w:t xml:space="preserve"> </w:t>
      </w:r>
      <w:r>
        <w:t>coordonne,</w:t>
      </w:r>
      <w:r w:rsidRPr="002C4077">
        <w:t xml:space="preserve"> </w:t>
      </w:r>
      <w:r>
        <w:t>s’harmonise</w:t>
      </w:r>
      <w:r w:rsidRPr="002C4077">
        <w:t xml:space="preserve"> </w:t>
      </w:r>
      <w:r>
        <w:t>admirablement.</w:t>
      </w:r>
      <w:r w:rsidRPr="002C4077">
        <w:t xml:space="preserve"> </w:t>
      </w:r>
      <w:r>
        <w:t>Il</w:t>
      </w:r>
      <w:r w:rsidRPr="002C4077">
        <w:t xml:space="preserve"> </w:t>
      </w:r>
      <w:r>
        <w:t>faut</w:t>
      </w:r>
      <w:r w:rsidRPr="002C4077">
        <w:t xml:space="preserve"> </w:t>
      </w:r>
      <w:r>
        <w:t>l’ignorance</w:t>
      </w:r>
      <w:r w:rsidRPr="002C4077">
        <w:t xml:space="preserve"> </w:t>
      </w:r>
      <w:r>
        <w:t>volontaire</w:t>
      </w:r>
      <w:r w:rsidRPr="002C4077">
        <w:t xml:space="preserve"> </w:t>
      </w:r>
      <w:r>
        <w:t>et</w:t>
      </w:r>
      <w:r w:rsidRPr="002C4077">
        <w:t xml:space="preserve"> </w:t>
      </w:r>
      <w:r>
        <w:t>le</w:t>
      </w:r>
      <w:r w:rsidRPr="002C4077">
        <w:t xml:space="preserve"> </w:t>
      </w:r>
      <w:r>
        <w:t>parti</w:t>
      </w:r>
      <w:r w:rsidRPr="002C4077">
        <w:t xml:space="preserve"> </w:t>
      </w:r>
      <w:r>
        <w:t>pris</w:t>
      </w:r>
      <w:r w:rsidRPr="002C4077">
        <w:t xml:space="preserve"> </w:t>
      </w:r>
      <w:r>
        <w:t>pour</w:t>
      </w:r>
      <w:r w:rsidRPr="002C4077">
        <w:t xml:space="preserve"> </w:t>
      </w:r>
      <w:r>
        <w:t>oser</w:t>
      </w:r>
      <w:r w:rsidRPr="002C4077">
        <w:t xml:space="preserve"> </w:t>
      </w:r>
      <w:r>
        <w:t>trouver</w:t>
      </w:r>
      <w:r w:rsidRPr="002C4077">
        <w:t xml:space="preserve"> </w:t>
      </w:r>
      <w:r w:rsidR="00B546AF">
        <w:t>« </w:t>
      </w:r>
      <w:r>
        <w:t>absurdes</w:t>
      </w:r>
      <w:r w:rsidR="00B546AF">
        <w:t> »</w:t>
      </w:r>
      <w:r w:rsidRPr="002C4077">
        <w:t xml:space="preserve"> </w:t>
      </w:r>
      <w:r>
        <w:t>des</w:t>
      </w:r>
      <w:r w:rsidRPr="002C4077">
        <w:t xml:space="preserve"> </w:t>
      </w:r>
      <w:r>
        <w:t>événements</w:t>
      </w:r>
      <w:r w:rsidRPr="002C4077">
        <w:t xml:space="preserve"> </w:t>
      </w:r>
      <w:r>
        <w:t>si</w:t>
      </w:r>
      <w:r w:rsidRPr="002C4077">
        <w:t xml:space="preserve"> </w:t>
      </w:r>
      <w:r>
        <w:t>simples</w:t>
      </w:r>
      <w:r w:rsidRPr="002C4077">
        <w:t xml:space="preserve"> </w:t>
      </w:r>
      <w:r>
        <w:t>et</w:t>
      </w:r>
      <w:r w:rsidRPr="002C4077">
        <w:t xml:space="preserve"> </w:t>
      </w:r>
      <w:r>
        <w:t>si</w:t>
      </w:r>
      <w:r w:rsidRPr="002C4077">
        <w:t xml:space="preserve"> </w:t>
      </w:r>
      <w:r>
        <w:t>aisément</w:t>
      </w:r>
      <w:r w:rsidRPr="002C4077">
        <w:t xml:space="preserve"> </w:t>
      </w:r>
      <w:bookmarkStart w:id="351" w:name="z_Anges_o2"/>
      <w:bookmarkEnd w:id="351"/>
      <w:r>
        <w:t>concevables.</w:t>
      </w:r>
      <w:r w:rsidRPr="002C4077">
        <w:t xml:space="preserve"> </w:t>
      </w:r>
    </w:p>
    <w:p w:rsidR="000D12F1" w:rsidRDefault="000D12F1" w:rsidP="000A7AAB"/>
    <w:p w:rsidR="000A7AAB" w:rsidRDefault="000A7AAB" w:rsidP="000A7AAB">
      <w:r>
        <w:t>2°</w:t>
      </w:r>
      <w:r w:rsidRPr="002C4077">
        <w:t xml:space="preserve"> </w:t>
      </w:r>
      <w:r>
        <w:t>La</w:t>
      </w:r>
      <w:r w:rsidRPr="002C4077">
        <w:t xml:space="preserve"> </w:t>
      </w:r>
      <w:r>
        <w:t>sueur</w:t>
      </w:r>
      <w:r w:rsidRPr="002C4077">
        <w:t xml:space="preserve"> </w:t>
      </w:r>
      <w:r>
        <w:t>sanglante</w:t>
      </w:r>
      <w:r w:rsidRPr="002C4077">
        <w:t xml:space="preserve"> </w:t>
      </w:r>
      <w:r>
        <w:t>n’a</w:t>
      </w:r>
      <w:r w:rsidRPr="002C4077">
        <w:t xml:space="preserve"> </w:t>
      </w:r>
      <w:r>
        <w:t>rien</w:t>
      </w:r>
      <w:r w:rsidRPr="002C4077">
        <w:t xml:space="preserve"> </w:t>
      </w:r>
      <w:r>
        <w:t>d’impossible.</w:t>
      </w:r>
      <w:r w:rsidRPr="002C4077">
        <w:t xml:space="preserve"> </w:t>
      </w:r>
    </w:p>
    <w:p w:rsidR="000A7AAB" w:rsidRDefault="00B546AF" w:rsidP="000A7AAB">
      <w:r>
        <w:t>« </w:t>
      </w:r>
      <w:r w:rsidR="000A7AAB">
        <w:t>Tandis</w:t>
      </w:r>
      <w:r w:rsidR="000A7AAB" w:rsidRPr="002C4077">
        <w:t xml:space="preserve"> </w:t>
      </w:r>
      <w:r w:rsidR="000A7AAB">
        <w:t>que</w:t>
      </w:r>
      <w:r w:rsidR="000A7AAB" w:rsidRPr="002C4077">
        <w:t xml:space="preserve"> </w:t>
      </w:r>
      <w:r w:rsidR="000A7AAB">
        <w:t>ce</w:t>
      </w:r>
      <w:r w:rsidR="000A7AAB" w:rsidRPr="002C4077">
        <w:t xml:space="preserve"> </w:t>
      </w:r>
      <w:r w:rsidR="000A7AAB">
        <w:t>furent,</w:t>
      </w:r>
      <w:r w:rsidR="000A7AAB" w:rsidRPr="002C4077">
        <w:t xml:space="preserve"> </w:t>
      </w:r>
      <w:r w:rsidR="000A7AAB">
        <w:t>dans</w:t>
      </w:r>
      <w:r w:rsidR="000A7AAB" w:rsidRPr="002C4077">
        <w:t xml:space="preserve"> </w:t>
      </w:r>
      <w:r w:rsidR="000A7AAB">
        <w:t>les</w:t>
      </w:r>
      <w:r w:rsidR="000A7AAB" w:rsidRPr="002C4077">
        <w:t xml:space="preserve"> </w:t>
      </w:r>
      <w:r w:rsidR="000A7AAB">
        <w:t>temps</w:t>
      </w:r>
      <w:r w:rsidR="000A7AAB" w:rsidRPr="002C4077">
        <w:t xml:space="preserve"> </w:t>
      </w:r>
      <w:r w:rsidR="000A7AAB">
        <w:t>passés,</w:t>
      </w:r>
      <w:r w:rsidR="000A7AAB" w:rsidRPr="002C4077">
        <w:t xml:space="preserve"> </w:t>
      </w:r>
      <w:r w:rsidR="000A7AAB">
        <w:t>des</w:t>
      </w:r>
      <w:r w:rsidR="000A7AAB" w:rsidRPr="002C4077">
        <w:t xml:space="preserve"> </w:t>
      </w:r>
      <w:r w:rsidR="000A7AAB">
        <w:t>considérations</w:t>
      </w:r>
      <w:r w:rsidR="000A7AAB" w:rsidRPr="002C4077">
        <w:t xml:space="preserve"> </w:t>
      </w:r>
      <w:r w:rsidR="000A7AAB">
        <w:t>dogmatiques</w:t>
      </w:r>
      <w:r w:rsidR="000A7AAB" w:rsidRPr="002C4077">
        <w:t xml:space="preserve"> </w:t>
      </w:r>
      <w:r w:rsidR="000A7AAB">
        <w:t>qui</w:t>
      </w:r>
      <w:r w:rsidR="000A7AAB" w:rsidRPr="002C4077">
        <w:t xml:space="preserve"> </w:t>
      </w:r>
      <w:r w:rsidR="000A7AAB">
        <w:t>suscitèrent</w:t>
      </w:r>
      <w:r w:rsidR="000A7AAB" w:rsidRPr="002C4077">
        <w:t xml:space="preserve"> </w:t>
      </w:r>
      <w:r w:rsidR="000A7AAB">
        <w:t>des</w:t>
      </w:r>
      <w:r w:rsidR="000A7AAB" w:rsidRPr="002C4077">
        <w:t xml:space="preserve"> </w:t>
      </w:r>
      <w:r w:rsidR="000A7AAB">
        <w:t>doutes</w:t>
      </w:r>
      <w:r w:rsidR="000A7AAB" w:rsidRPr="002C4077">
        <w:t xml:space="preserve"> </w:t>
      </w:r>
      <w:r w:rsidR="000A7AAB">
        <w:t>contre</w:t>
      </w:r>
      <w:r w:rsidR="000A7AAB" w:rsidRPr="002C4077">
        <w:t xml:space="preserve"> </w:t>
      </w:r>
      <w:r w:rsidR="000A7AAB">
        <w:t>la</w:t>
      </w:r>
      <w:r w:rsidR="000A7AAB" w:rsidRPr="002C4077">
        <w:t xml:space="preserve"> </w:t>
      </w:r>
      <w:r w:rsidR="000A7AAB">
        <w:t>convenance</w:t>
      </w:r>
      <w:r w:rsidR="000A7AAB" w:rsidRPr="002C4077">
        <w:t xml:space="preserve"> </w:t>
      </w:r>
      <w:r w:rsidR="000A7AAB">
        <w:t>de</w:t>
      </w:r>
      <w:r w:rsidR="000A7AAB" w:rsidRPr="002C4077">
        <w:t xml:space="preserve"> </w:t>
      </w:r>
      <w:r w:rsidR="000A7AAB">
        <w:t>la</w:t>
      </w:r>
      <w:r w:rsidR="000A7AAB" w:rsidRPr="002C4077">
        <w:t xml:space="preserve"> </w:t>
      </w:r>
      <w:r w:rsidR="000A7AAB">
        <w:t>sueur</w:t>
      </w:r>
      <w:r w:rsidR="000A7AAB" w:rsidRPr="002C4077">
        <w:t xml:space="preserve"> </w:t>
      </w:r>
      <w:r w:rsidR="000A7AAB">
        <w:t>sanglante</w:t>
      </w:r>
      <w:r w:rsidR="000A7AAB" w:rsidRPr="002C4077">
        <w:t xml:space="preserve"> </w:t>
      </w:r>
      <w:r w:rsidR="000A7AAB">
        <w:t>de</w:t>
      </w:r>
      <w:r w:rsidR="000A7AAB" w:rsidRPr="002C4077">
        <w:t xml:space="preserve"> </w:t>
      </w:r>
      <w:r w:rsidR="00425C50">
        <w:t>Jésus</w:t>
      </w:r>
      <w:r w:rsidR="000A7AAB">
        <w:t>,</w:t>
      </w:r>
      <w:r w:rsidR="000A7AAB" w:rsidRPr="002C4077">
        <w:t xml:space="preserve"> </w:t>
      </w:r>
      <w:r w:rsidR="000A7AAB">
        <w:t>ce</w:t>
      </w:r>
      <w:r w:rsidR="000A7AAB" w:rsidRPr="002C4077">
        <w:t xml:space="preserve"> </w:t>
      </w:r>
      <w:r w:rsidR="000A7AAB">
        <w:t>sont,</w:t>
      </w:r>
      <w:r w:rsidR="000A7AAB" w:rsidRPr="002C4077">
        <w:t xml:space="preserve"> </w:t>
      </w:r>
      <w:r w:rsidR="000A7AAB">
        <w:t>dans</w:t>
      </w:r>
      <w:r w:rsidR="000A7AAB" w:rsidRPr="002C4077">
        <w:t xml:space="preserve"> </w:t>
      </w:r>
      <w:r w:rsidR="000A7AAB">
        <w:t>les</w:t>
      </w:r>
      <w:r w:rsidR="000A7AAB" w:rsidRPr="002C4077">
        <w:t xml:space="preserve"> </w:t>
      </w:r>
      <w:r w:rsidR="000A7AAB">
        <w:t>temps</w:t>
      </w:r>
      <w:r w:rsidR="000A7AAB" w:rsidRPr="002C4077">
        <w:t xml:space="preserve"> </w:t>
      </w:r>
      <w:r w:rsidR="000A7AAB">
        <w:t>modernes,</w:t>
      </w:r>
      <w:r w:rsidR="000A7AAB" w:rsidRPr="002C4077">
        <w:t xml:space="preserve"> </w:t>
      </w:r>
      <w:r w:rsidR="000A7AAB">
        <w:t>des</w:t>
      </w:r>
      <w:r w:rsidR="000A7AAB" w:rsidRPr="002C4077">
        <w:t xml:space="preserve"> </w:t>
      </w:r>
      <w:r w:rsidR="000A7AAB">
        <w:t>raisons</w:t>
      </w:r>
      <w:r w:rsidR="000A7AAB" w:rsidRPr="002C4077">
        <w:t xml:space="preserve"> </w:t>
      </w:r>
      <w:r w:rsidR="000A7AAB">
        <w:t>physiologiques</w:t>
      </w:r>
      <w:r w:rsidR="000A7AAB" w:rsidRPr="002C4077">
        <w:t xml:space="preserve"> </w:t>
      </w:r>
      <w:r w:rsidR="000A7AAB">
        <w:t>qui</w:t>
      </w:r>
      <w:r w:rsidR="000A7AAB" w:rsidRPr="002C4077">
        <w:t xml:space="preserve"> </w:t>
      </w:r>
      <w:r w:rsidR="000A7AAB">
        <w:t>en</w:t>
      </w:r>
      <w:r w:rsidR="000A7AAB" w:rsidRPr="002C4077">
        <w:t xml:space="preserve"> </w:t>
      </w:r>
      <w:r w:rsidR="000A7AAB">
        <w:t>ont</w:t>
      </w:r>
      <w:r w:rsidR="000A7AAB" w:rsidRPr="002C4077">
        <w:t xml:space="preserve"> </w:t>
      </w:r>
      <w:r w:rsidR="000A7AAB">
        <w:t>fait</w:t>
      </w:r>
      <w:r w:rsidR="000A7AAB" w:rsidRPr="002C4077">
        <w:t xml:space="preserve"> </w:t>
      </w:r>
      <w:r w:rsidR="000A7AAB">
        <w:t>contester</w:t>
      </w:r>
      <w:r w:rsidR="000A7AAB" w:rsidRPr="002C4077">
        <w:t xml:space="preserve"> </w:t>
      </w:r>
      <w:r w:rsidR="000A7AAB">
        <w:t>la</w:t>
      </w:r>
      <w:r w:rsidR="000A7AAB" w:rsidRPr="002C4077">
        <w:t xml:space="preserve"> </w:t>
      </w:r>
      <w:r w:rsidR="000A7AAB">
        <w:t>possibilité</w:t>
      </w:r>
      <w:r w:rsidR="00B91AF7">
        <w:rPr>
          <w:rStyle w:val="Appelnotedebasdep"/>
        </w:rPr>
        <w:footnoteReference w:id="400"/>
      </w:r>
      <w:r>
        <w:t> »</w:t>
      </w:r>
      <w:r w:rsidR="000A7AAB">
        <w:t>.</w:t>
      </w:r>
      <w:r w:rsidR="000A7AAB" w:rsidRPr="002C4077">
        <w:t xml:space="preserve"> </w:t>
      </w:r>
    </w:p>
    <w:p w:rsidR="000A7AAB" w:rsidRDefault="000A7AAB" w:rsidP="000A7AAB">
      <w:r>
        <w:t>Naturellement,</w:t>
      </w:r>
      <w:r w:rsidRPr="002C4077">
        <w:t xml:space="preserve"> </w:t>
      </w:r>
      <w:r>
        <w:t>il</w:t>
      </w:r>
      <w:r w:rsidRPr="002C4077">
        <w:t xml:space="preserve"> </w:t>
      </w:r>
      <w:r>
        <w:t>appartient</w:t>
      </w:r>
      <w:r w:rsidRPr="002C4077">
        <w:t xml:space="preserve"> </w:t>
      </w:r>
      <w:r>
        <w:t>à</w:t>
      </w:r>
      <w:r w:rsidRPr="002C4077">
        <w:t xml:space="preserve"> </w:t>
      </w:r>
      <w:r>
        <w:t>l’histoire</w:t>
      </w:r>
      <w:r w:rsidRPr="002C4077">
        <w:t xml:space="preserve"> </w:t>
      </w:r>
      <w:r>
        <w:t>et</w:t>
      </w:r>
      <w:r w:rsidRPr="002C4077">
        <w:t xml:space="preserve"> </w:t>
      </w:r>
      <w:r>
        <w:t>à</w:t>
      </w:r>
      <w:r w:rsidRPr="002C4077">
        <w:t xml:space="preserve"> </w:t>
      </w:r>
      <w:r>
        <w:t>la</w:t>
      </w:r>
      <w:r w:rsidRPr="002C4077">
        <w:t xml:space="preserve"> </w:t>
      </w:r>
      <w:r>
        <w:t>science</w:t>
      </w:r>
      <w:r w:rsidRPr="002C4077">
        <w:t xml:space="preserve"> </w:t>
      </w:r>
      <w:r>
        <w:t>médicale</w:t>
      </w:r>
      <w:r w:rsidRPr="002C4077">
        <w:t xml:space="preserve"> </w:t>
      </w:r>
      <w:r>
        <w:t>de</w:t>
      </w:r>
      <w:r w:rsidRPr="002C4077">
        <w:t xml:space="preserve"> </w:t>
      </w:r>
      <w:r>
        <w:t>répondre</w:t>
      </w:r>
      <w:r w:rsidR="00B546AF">
        <w:t> :</w:t>
      </w:r>
      <w:r w:rsidRPr="002C4077">
        <w:t xml:space="preserve"> </w:t>
      </w:r>
      <w:r>
        <w:t>ce</w:t>
      </w:r>
      <w:r w:rsidRPr="002C4077">
        <w:t xml:space="preserve"> </w:t>
      </w:r>
      <w:r>
        <w:t>qu’elles</w:t>
      </w:r>
      <w:r w:rsidRPr="002C4077">
        <w:t xml:space="preserve"> </w:t>
      </w:r>
      <w:r>
        <w:t>vont</w:t>
      </w:r>
      <w:r w:rsidRPr="002C4077">
        <w:t xml:space="preserve"> </w:t>
      </w:r>
      <w:r>
        <w:t>faire</w:t>
      </w:r>
      <w:r w:rsidRPr="002C4077">
        <w:t xml:space="preserve"> </w:t>
      </w:r>
      <w:r>
        <w:t>avec</w:t>
      </w:r>
      <w:r w:rsidRPr="002C4077">
        <w:t xml:space="preserve"> </w:t>
      </w:r>
      <w:r>
        <w:t>autant</w:t>
      </w:r>
      <w:r w:rsidRPr="002C4077">
        <w:t xml:space="preserve"> </w:t>
      </w:r>
      <w:r>
        <w:t>de</w:t>
      </w:r>
      <w:r w:rsidRPr="002C4077">
        <w:t xml:space="preserve"> </w:t>
      </w:r>
      <w:r>
        <w:t>précision</w:t>
      </w:r>
      <w:r w:rsidRPr="002C4077">
        <w:t xml:space="preserve"> </w:t>
      </w:r>
      <w:r>
        <w:t>que</w:t>
      </w:r>
      <w:r w:rsidRPr="002C4077">
        <w:t xml:space="preserve"> </w:t>
      </w:r>
      <w:r>
        <w:t>de</w:t>
      </w:r>
      <w:r w:rsidRPr="002C4077">
        <w:t xml:space="preserve"> </w:t>
      </w:r>
      <w:r>
        <w:t>clarté.</w:t>
      </w:r>
      <w:r w:rsidRPr="002C4077">
        <w:t xml:space="preserve"> </w:t>
      </w:r>
    </w:p>
    <w:p w:rsidR="000A7AAB" w:rsidRDefault="000A7AAB" w:rsidP="000A7AAB">
      <w:r>
        <w:t>À</w:t>
      </w:r>
      <w:r w:rsidRPr="002C4077">
        <w:t xml:space="preserve"> </w:t>
      </w:r>
      <w:r>
        <w:t>toutes</w:t>
      </w:r>
      <w:r w:rsidRPr="002C4077">
        <w:t xml:space="preserve"> </w:t>
      </w:r>
      <w:r>
        <w:t>les</w:t>
      </w:r>
      <w:r w:rsidRPr="002C4077">
        <w:t xml:space="preserve"> </w:t>
      </w:r>
      <w:r>
        <w:t>époques,</w:t>
      </w:r>
      <w:r w:rsidRPr="002C4077">
        <w:t xml:space="preserve"> </w:t>
      </w:r>
      <w:r>
        <w:t>les</w:t>
      </w:r>
      <w:r w:rsidRPr="002C4077">
        <w:t xml:space="preserve"> </w:t>
      </w:r>
      <w:r>
        <w:t>annales</w:t>
      </w:r>
      <w:r w:rsidRPr="002C4077">
        <w:t xml:space="preserve"> </w:t>
      </w:r>
      <w:r>
        <w:t>historiques</w:t>
      </w:r>
      <w:r w:rsidRPr="002C4077">
        <w:t xml:space="preserve"> </w:t>
      </w:r>
      <w:r>
        <w:t>signalent</w:t>
      </w:r>
      <w:r w:rsidRPr="002C4077">
        <w:t xml:space="preserve"> </w:t>
      </w:r>
      <w:r>
        <w:t>des</w:t>
      </w:r>
      <w:r w:rsidRPr="002C4077">
        <w:t xml:space="preserve"> </w:t>
      </w:r>
      <w:r>
        <w:t>faits</w:t>
      </w:r>
      <w:r w:rsidRPr="002C4077">
        <w:t xml:space="preserve"> </w:t>
      </w:r>
      <w:r>
        <w:t>notoires</w:t>
      </w:r>
      <w:r w:rsidRPr="002C4077">
        <w:t xml:space="preserve"> </w:t>
      </w:r>
      <w:r>
        <w:t>de</w:t>
      </w:r>
      <w:r w:rsidRPr="002C4077">
        <w:t xml:space="preserve"> </w:t>
      </w:r>
      <w:r w:rsidRPr="000A34B5">
        <w:rPr>
          <w:rStyle w:val="italicus"/>
        </w:rPr>
        <w:t>diapédèse</w:t>
      </w:r>
      <w:bookmarkStart w:id="352" w:name="z_Diapedesis_o1"/>
      <w:bookmarkEnd w:id="352"/>
      <w:r w:rsidR="00B546AF">
        <w:rPr>
          <w:rStyle w:val="italicus"/>
        </w:rPr>
        <w:t> </w:t>
      </w:r>
      <w:r w:rsidR="00B546AF" w:rsidRPr="000A34B5">
        <w:rPr>
          <w:rStyle w:val="italicus"/>
        </w:rPr>
        <w:t>:</w:t>
      </w:r>
      <w:r w:rsidRPr="002C4077">
        <w:t xml:space="preserve"> </w:t>
      </w:r>
      <w:r>
        <w:t>c’est</w:t>
      </w:r>
      <w:r w:rsidRPr="002C4077">
        <w:t xml:space="preserve"> </w:t>
      </w:r>
      <w:r>
        <w:t>le</w:t>
      </w:r>
      <w:r w:rsidRPr="002C4077">
        <w:t xml:space="preserve"> </w:t>
      </w:r>
      <w:r>
        <w:t>nom</w:t>
      </w:r>
      <w:r w:rsidRPr="002C4077">
        <w:t xml:space="preserve"> </w:t>
      </w:r>
      <w:r>
        <w:t>technique</w:t>
      </w:r>
      <w:r w:rsidRPr="002C4077">
        <w:t xml:space="preserve"> </w:t>
      </w:r>
      <w:r>
        <w:t>de</w:t>
      </w:r>
      <w:r w:rsidRPr="002C4077">
        <w:t xml:space="preserve"> </w:t>
      </w:r>
      <w:r>
        <w:t>l’affection</w:t>
      </w:r>
      <w:r w:rsidRPr="002C4077">
        <w:t xml:space="preserve"> </w:t>
      </w:r>
      <w:r>
        <w:t>dont</w:t>
      </w:r>
      <w:r w:rsidRPr="002C4077">
        <w:t xml:space="preserve"> </w:t>
      </w:r>
      <w:r w:rsidR="00425C50">
        <w:t>Jésus</w:t>
      </w:r>
      <w:r w:rsidRPr="002C4077">
        <w:t xml:space="preserve"> </w:t>
      </w:r>
      <w:r>
        <w:t>souffrit</w:t>
      </w:r>
      <w:r w:rsidRPr="002C4077">
        <w:t xml:space="preserve"> </w:t>
      </w:r>
      <w:r>
        <w:t>à</w:t>
      </w:r>
      <w:r w:rsidRPr="002C4077">
        <w:t xml:space="preserve"> </w:t>
      </w:r>
      <w:r>
        <w:t>Gethsémani</w:t>
      </w:r>
      <w:r w:rsidRPr="002C4077">
        <w:t xml:space="preserve"> </w:t>
      </w:r>
      <w:r>
        <w:t>d’une</w:t>
      </w:r>
      <w:r w:rsidRPr="002C4077">
        <w:t xml:space="preserve"> </w:t>
      </w:r>
      <w:r>
        <w:t>manière</w:t>
      </w:r>
      <w:r w:rsidRPr="002C4077">
        <w:t xml:space="preserve"> </w:t>
      </w:r>
      <w:r>
        <w:t>transitoire</w:t>
      </w:r>
      <w:r w:rsidR="00B91AF7">
        <w:rPr>
          <w:rStyle w:val="Appelnotedebasdep"/>
        </w:rPr>
        <w:footnoteReference w:id="401"/>
      </w:r>
      <w:r>
        <w:t>.</w:t>
      </w:r>
      <w:r w:rsidR="00C45B47">
        <w:t xml:space="preserve"> {</w:t>
      </w:r>
      <w:r w:rsidR="004C5B7A">
        <w:t>124</w:t>
      </w:r>
      <w:bookmarkStart w:id="353" w:name="p124"/>
      <w:bookmarkEnd w:id="353"/>
      <w:r w:rsidR="004C5B7A">
        <w:t xml:space="preserve">} </w:t>
      </w:r>
      <w:r>
        <w:t>Aristote</w:t>
      </w:r>
      <w:r w:rsidR="00B91AF7">
        <w:rPr>
          <w:rStyle w:val="Appelnotedebasdep"/>
        </w:rPr>
        <w:footnoteReference w:id="402"/>
      </w:r>
      <w:r w:rsidRPr="002C4077">
        <w:t xml:space="preserve"> </w:t>
      </w:r>
      <w:r>
        <w:t>parle</w:t>
      </w:r>
      <w:r w:rsidRPr="002C4077">
        <w:t xml:space="preserve"> </w:t>
      </w:r>
      <w:r>
        <w:t>de</w:t>
      </w:r>
      <w:r w:rsidRPr="002C4077">
        <w:t xml:space="preserve"> </w:t>
      </w:r>
      <w:r>
        <w:t>ce</w:t>
      </w:r>
      <w:r w:rsidRPr="002C4077">
        <w:t xml:space="preserve"> </w:t>
      </w:r>
      <w:r>
        <w:t>phénomène</w:t>
      </w:r>
      <w:r w:rsidR="00B546AF">
        <w:t> ;</w:t>
      </w:r>
      <w:r w:rsidR="00CC5FEA" w:rsidRPr="002C4077">
        <w:t xml:space="preserve"> </w:t>
      </w:r>
      <w:r w:rsidR="00CC5FEA">
        <w:t>Théophraste</w:t>
      </w:r>
      <w:r w:rsidR="00CC5FEA">
        <w:rPr>
          <w:rStyle w:val="Appelnotedebasdep"/>
        </w:rPr>
        <w:footnoteReference w:id="403"/>
      </w:r>
      <w:r w:rsidRPr="002C4077">
        <w:t xml:space="preserve"> </w:t>
      </w:r>
      <w:r>
        <w:t>et</w:t>
      </w:r>
      <w:r w:rsidRPr="002C4077">
        <w:t xml:space="preserve"> </w:t>
      </w:r>
      <w:r>
        <w:t>Diodore</w:t>
      </w:r>
      <w:r w:rsidRPr="002C4077">
        <w:t xml:space="preserve"> </w:t>
      </w:r>
      <w:r>
        <w:t>de</w:t>
      </w:r>
      <w:r w:rsidRPr="002C4077">
        <w:t xml:space="preserve"> </w:t>
      </w:r>
      <w:r>
        <w:t>Sicile</w:t>
      </w:r>
      <w:r w:rsidR="00B91AF7">
        <w:rPr>
          <w:rStyle w:val="Appelnotedebasdep"/>
        </w:rPr>
        <w:footnoteReference w:id="404"/>
      </w:r>
      <w:r w:rsidRPr="002C4077">
        <w:t xml:space="preserve"> </w:t>
      </w:r>
      <w:r>
        <w:t>le</w:t>
      </w:r>
      <w:r w:rsidRPr="002C4077">
        <w:t xml:space="preserve"> </w:t>
      </w:r>
      <w:r>
        <w:t>mentionnent</w:t>
      </w:r>
      <w:r w:rsidRPr="002C4077">
        <w:t xml:space="preserve"> </w:t>
      </w:r>
      <w:r>
        <w:t>comme</w:t>
      </w:r>
      <w:r w:rsidRPr="002C4077">
        <w:t xml:space="preserve"> </w:t>
      </w:r>
      <w:r>
        <w:t>étant</w:t>
      </w:r>
      <w:r w:rsidRPr="002C4077">
        <w:t xml:space="preserve"> </w:t>
      </w:r>
      <w:r>
        <w:t>bien</w:t>
      </w:r>
      <w:r w:rsidRPr="002C4077">
        <w:t xml:space="preserve"> </w:t>
      </w:r>
      <w:r>
        <w:t>connu</w:t>
      </w:r>
      <w:r w:rsidRPr="002C4077">
        <w:t xml:space="preserve"> </w:t>
      </w:r>
      <w:r>
        <w:t>des</w:t>
      </w:r>
      <w:r w:rsidRPr="002C4077">
        <w:t xml:space="preserve"> </w:t>
      </w:r>
      <w:r>
        <w:t>praticiens</w:t>
      </w:r>
      <w:r w:rsidRPr="002C4077">
        <w:t xml:space="preserve"> </w:t>
      </w:r>
      <w:r>
        <w:t>de</w:t>
      </w:r>
      <w:r w:rsidRPr="002C4077">
        <w:t xml:space="preserve"> </w:t>
      </w:r>
      <w:r>
        <w:t>leur</w:t>
      </w:r>
      <w:r w:rsidRPr="002C4077">
        <w:t xml:space="preserve"> </w:t>
      </w:r>
      <w:r>
        <w:t>temps.</w:t>
      </w:r>
      <w:r w:rsidRPr="002C4077">
        <w:t xml:space="preserve"> </w:t>
      </w:r>
      <w:r>
        <w:t>Plus</w:t>
      </w:r>
      <w:r w:rsidRPr="002C4077">
        <w:t xml:space="preserve"> </w:t>
      </w:r>
      <w:r>
        <w:t>près</w:t>
      </w:r>
      <w:r w:rsidRPr="002C4077">
        <w:t xml:space="preserve"> </w:t>
      </w:r>
      <w:r>
        <w:t>de</w:t>
      </w:r>
      <w:r w:rsidRPr="002C4077">
        <w:t xml:space="preserve"> </w:t>
      </w:r>
      <w:r>
        <w:t>nous,</w:t>
      </w:r>
      <w:r w:rsidRPr="002C4077">
        <w:t xml:space="preserve"> </w:t>
      </w:r>
      <w:r>
        <w:t>Sch</w:t>
      </w:r>
      <w:r w:rsidR="00CC5FEA">
        <w:t>e</w:t>
      </w:r>
      <w:r w:rsidR="003B53FD">
        <w:t>nkius</w:t>
      </w:r>
      <w:r w:rsidR="00B91AF7">
        <w:rPr>
          <w:rStyle w:val="Appelnotedebasdep"/>
        </w:rPr>
        <w:footnoteReference w:id="405"/>
      </w:r>
      <w:r>
        <w:t>,</w:t>
      </w:r>
      <w:r w:rsidRPr="002C4077">
        <w:t xml:space="preserve"> </w:t>
      </w:r>
      <w:r>
        <w:t>Conrad</w:t>
      </w:r>
      <w:r w:rsidRPr="002C4077">
        <w:t xml:space="preserve"> </w:t>
      </w:r>
      <w:r>
        <w:t>Lycosthènes</w:t>
      </w:r>
      <w:r w:rsidR="00B91AF7">
        <w:rPr>
          <w:rStyle w:val="Appelnotedebasdep"/>
        </w:rPr>
        <w:footnoteReference w:id="406"/>
      </w:r>
      <w:r>
        <w:t>,</w:t>
      </w:r>
      <w:r w:rsidRPr="002C4077">
        <w:t xml:space="preserve"> </w:t>
      </w:r>
      <w:r w:rsidR="00CC5FEA">
        <w:t>Maldonat</w:t>
      </w:r>
      <w:r w:rsidR="00B91AF7">
        <w:rPr>
          <w:rStyle w:val="Appelnotedebasdep"/>
        </w:rPr>
        <w:footnoteReference w:id="407"/>
      </w:r>
      <w:r>
        <w:t>,</w:t>
      </w:r>
      <w:r w:rsidRPr="002C4077">
        <w:t xml:space="preserve"> </w:t>
      </w:r>
      <w:r>
        <w:t>de</w:t>
      </w:r>
      <w:r w:rsidRPr="002C4077">
        <w:t xml:space="preserve"> </w:t>
      </w:r>
      <w:r>
        <w:t>Thou</w:t>
      </w:r>
      <w:r w:rsidR="00B91AF7">
        <w:rPr>
          <w:rStyle w:val="Appelnotedebasdep"/>
        </w:rPr>
        <w:footnoteReference w:id="408"/>
      </w:r>
      <w:r>
        <w:t>,</w:t>
      </w:r>
      <w:r w:rsidRPr="002C4077">
        <w:t xml:space="preserve"> </w:t>
      </w:r>
      <w:r>
        <w:t>Dom</w:t>
      </w:r>
      <w:r w:rsidRPr="002C4077">
        <w:t xml:space="preserve"> </w:t>
      </w:r>
      <w:r>
        <w:t>Bonaventure</w:t>
      </w:r>
      <w:r w:rsidRPr="002C4077">
        <w:t xml:space="preserve"> </w:t>
      </w:r>
      <w:r>
        <w:t>d’Argonne</w:t>
      </w:r>
      <w:r w:rsidR="00F44410">
        <w:rPr>
          <w:rStyle w:val="Appelnotedebasdep"/>
        </w:rPr>
        <w:footnoteReference w:id="409"/>
      </w:r>
      <w:r w:rsidR="00F44410">
        <w:t>,</w:t>
      </w:r>
      <w:r w:rsidRPr="002C4077">
        <w:t xml:space="preserve"> </w:t>
      </w:r>
      <w:r w:rsidR="00425C50">
        <w:t>etc</w:t>
      </w:r>
      <w:r>
        <w:t>.,</w:t>
      </w:r>
      <w:r w:rsidRPr="002C4077">
        <w:t xml:space="preserve"> </w:t>
      </w:r>
      <w:r w:rsidR="00425C50">
        <w:t>etc</w:t>
      </w:r>
      <w:r>
        <w:t>.,</w:t>
      </w:r>
      <w:r w:rsidRPr="002C4077">
        <w:t xml:space="preserve"> </w:t>
      </w:r>
      <w:r>
        <w:t>relatent</w:t>
      </w:r>
      <w:r w:rsidRPr="002C4077">
        <w:t xml:space="preserve"> </w:t>
      </w:r>
      <w:r>
        <w:t>des</w:t>
      </w:r>
      <w:r w:rsidRPr="002C4077">
        <w:t xml:space="preserve"> </w:t>
      </w:r>
      <w:r>
        <w:t>cas</w:t>
      </w:r>
      <w:r w:rsidRPr="002C4077">
        <w:t xml:space="preserve"> </w:t>
      </w:r>
      <w:r>
        <w:t>détaillés,</w:t>
      </w:r>
      <w:r w:rsidRPr="002C4077">
        <w:t xml:space="preserve"> </w:t>
      </w:r>
      <w:r>
        <w:t>parfaitement</w:t>
      </w:r>
      <w:r w:rsidRPr="002C4077">
        <w:t xml:space="preserve"> </w:t>
      </w:r>
      <w:r>
        <w:t>analogues</w:t>
      </w:r>
      <w:r w:rsidRPr="002C4077">
        <w:t xml:space="preserve"> </w:t>
      </w:r>
      <w:r>
        <w:t>à</w:t>
      </w:r>
      <w:r w:rsidRPr="002C4077">
        <w:t xml:space="preserve"> </w:t>
      </w:r>
      <w:r w:rsidR="003B53FD">
        <w:t>celui</w:t>
      </w:r>
      <w:r w:rsidRPr="002C4077">
        <w:t xml:space="preserve"> </w:t>
      </w:r>
      <w:r>
        <w:t>de</w:t>
      </w:r>
      <w:r w:rsidRPr="002C4077">
        <w:t xml:space="preserve"> </w:t>
      </w:r>
      <w:r>
        <w:t>Notre</w:t>
      </w:r>
      <w:r w:rsidRPr="002C4077">
        <w:t xml:space="preserve"> </w:t>
      </w:r>
      <w:r>
        <w:t>Seigneur.</w:t>
      </w:r>
      <w:r w:rsidRPr="002C4077">
        <w:t xml:space="preserve"> </w:t>
      </w:r>
      <w:r>
        <w:t>Ici</w:t>
      </w:r>
      <w:r w:rsidRPr="002C4077">
        <w:t xml:space="preserve"> </w:t>
      </w:r>
      <w:r>
        <w:t>c’est</w:t>
      </w:r>
      <w:r w:rsidRPr="002C4077">
        <w:t xml:space="preserve"> </w:t>
      </w:r>
      <w:r>
        <w:t>une</w:t>
      </w:r>
      <w:r w:rsidRPr="002C4077">
        <w:t xml:space="preserve"> </w:t>
      </w:r>
      <w:r>
        <w:t>religieuse</w:t>
      </w:r>
      <w:r w:rsidRPr="002C4077">
        <w:t xml:space="preserve"> </w:t>
      </w:r>
      <w:r>
        <w:t>insultée</w:t>
      </w:r>
      <w:r w:rsidRPr="002C4077">
        <w:t xml:space="preserve"> </w:t>
      </w:r>
      <w:r>
        <w:t>par</w:t>
      </w:r>
      <w:r w:rsidRPr="002C4077">
        <w:t xml:space="preserve"> </w:t>
      </w:r>
      <w:r>
        <w:t>de</w:t>
      </w:r>
      <w:r w:rsidRPr="002C4077">
        <w:t xml:space="preserve"> </w:t>
      </w:r>
      <w:r>
        <w:t>grossiers</w:t>
      </w:r>
      <w:r w:rsidRPr="002C4077">
        <w:t xml:space="preserve"> </w:t>
      </w:r>
      <w:r>
        <w:t>soldats</w:t>
      </w:r>
      <w:r w:rsidR="00B546AF">
        <w:t> ;</w:t>
      </w:r>
      <w:r w:rsidRPr="002C4077">
        <w:t xml:space="preserve"> </w:t>
      </w:r>
      <w:r>
        <w:t>là</w:t>
      </w:r>
      <w:r w:rsidRPr="002C4077">
        <w:t xml:space="preserve"> </w:t>
      </w:r>
      <w:r>
        <w:t>un</w:t>
      </w:r>
      <w:r w:rsidRPr="002C4077">
        <w:t xml:space="preserve"> </w:t>
      </w:r>
      <w:r>
        <w:t>homme</w:t>
      </w:r>
      <w:r w:rsidRPr="002C4077">
        <w:t xml:space="preserve"> </w:t>
      </w:r>
      <w:r>
        <w:t>vigoureux</w:t>
      </w:r>
      <w:r w:rsidRPr="002C4077">
        <w:t xml:space="preserve"> </w:t>
      </w:r>
      <w:r>
        <w:t>qui</w:t>
      </w:r>
      <w:r w:rsidRPr="002C4077">
        <w:t xml:space="preserve"> </w:t>
      </w:r>
      <w:r>
        <w:t>reçoit</w:t>
      </w:r>
      <w:r w:rsidRPr="002C4077">
        <w:t xml:space="preserve"> </w:t>
      </w:r>
      <w:r>
        <w:t>une</w:t>
      </w:r>
      <w:r w:rsidRPr="002C4077">
        <w:t xml:space="preserve"> </w:t>
      </w:r>
      <w:r>
        <w:t>sentence</w:t>
      </w:r>
      <w:r w:rsidRPr="002C4077">
        <w:t xml:space="preserve"> </w:t>
      </w:r>
      <w:r>
        <w:t>capitale</w:t>
      </w:r>
      <w:r w:rsidR="00B546AF">
        <w:t> ;</w:t>
      </w:r>
      <w:r w:rsidRPr="002C4077">
        <w:t xml:space="preserve"> </w:t>
      </w:r>
      <w:r>
        <w:t>ailleurs,</w:t>
      </w:r>
      <w:r w:rsidRPr="002C4077">
        <w:t xml:space="preserve"> </w:t>
      </w:r>
      <w:r>
        <w:t>une</w:t>
      </w:r>
      <w:r w:rsidRPr="002C4077">
        <w:t xml:space="preserve"> </w:t>
      </w:r>
      <w:r>
        <w:t>femme</w:t>
      </w:r>
      <w:r w:rsidRPr="002C4077">
        <w:t xml:space="preserve"> </w:t>
      </w:r>
      <w:r>
        <w:t>saisie</w:t>
      </w:r>
      <w:r w:rsidRPr="002C4077">
        <w:t xml:space="preserve"> </w:t>
      </w:r>
      <w:r>
        <w:t>de</w:t>
      </w:r>
      <w:r w:rsidRPr="002C4077">
        <w:t xml:space="preserve"> </w:t>
      </w:r>
      <w:r>
        <w:t>la</w:t>
      </w:r>
      <w:r w:rsidRPr="002C4077">
        <w:t xml:space="preserve"> </w:t>
      </w:r>
      <w:r>
        <w:t>peste,</w:t>
      </w:r>
      <w:r w:rsidRPr="002C4077">
        <w:t xml:space="preserve"> </w:t>
      </w:r>
      <w:r>
        <w:t>un</w:t>
      </w:r>
      <w:r w:rsidRPr="002C4077">
        <w:t xml:space="preserve"> </w:t>
      </w:r>
      <w:r>
        <w:t>marin</w:t>
      </w:r>
      <w:r w:rsidRPr="002C4077">
        <w:t xml:space="preserve"> </w:t>
      </w:r>
      <w:r>
        <w:t>épouvanté</w:t>
      </w:r>
      <w:r w:rsidRPr="002C4077">
        <w:t xml:space="preserve"> </w:t>
      </w:r>
      <w:r>
        <w:t>par</w:t>
      </w:r>
      <w:r w:rsidRPr="002C4077">
        <w:t xml:space="preserve"> </w:t>
      </w:r>
      <w:r>
        <w:t>un</w:t>
      </w:r>
      <w:r w:rsidRPr="002C4077">
        <w:t xml:space="preserve"> </w:t>
      </w:r>
      <w:r>
        <w:t>terrible</w:t>
      </w:r>
      <w:r w:rsidRPr="002C4077">
        <w:t xml:space="preserve"> </w:t>
      </w:r>
      <w:r>
        <w:t>orage,</w:t>
      </w:r>
      <w:r w:rsidRPr="002C4077">
        <w:t xml:space="preserve"> </w:t>
      </w:r>
      <w:r>
        <w:t>un</w:t>
      </w:r>
      <w:r w:rsidRPr="002C4077">
        <w:t xml:space="preserve"> </w:t>
      </w:r>
      <w:r>
        <w:t>officier</w:t>
      </w:r>
      <w:r w:rsidRPr="002C4077">
        <w:t xml:space="preserve"> </w:t>
      </w:r>
      <w:r>
        <w:t>subitement</w:t>
      </w:r>
      <w:r w:rsidRPr="002C4077">
        <w:t xml:space="preserve"> </w:t>
      </w:r>
      <w:r>
        <w:t>arrêté</w:t>
      </w:r>
      <w:r w:rsidRPr="002C4077">
        <w:t xml:space="preserve"> </w:t>
      </w:r>
      <w:r>
        <w:t>et</w:t>
      </w:r>
      <w:r w:rsidRPr="002C4077">
        <w:t xml:space="preserve"> </w:t>
      </w:r>
      <w:r>
        <w:t>menacé</w:t>
      </w:r>
      <w:r w:rsidRPr="002C4077">
        <w:t xml:space="preserve"> </w:t>
      </w:r>
      <w:r>
        <w:t>de</w:t>
      </w:r>
      <w:r w:rsidRPr="002C4077">
        <w:t xml:space="preserve"> </w:t>
      </w:r>
      <w:r>
        <w:t>mort,</w:t>
      </w:r>
      <w:r w:rsidRPr="002C4077">
        <w:t xml:space="preserve"> </w:t>
      </w:r>
      <w:r w:rsidR="00425C50">
        <w:t>etc</w:t>
      </w:r>
      <w:r>
        <w:t>.</w:t>
      </w:r>
      <w:r w:rsidRPr="002C4077">
        <w:t xml:space="preserve"> </w:t>
      </w:r>
      <w:r>
        <w:t>Quelquefois</w:t>
      </w:r>
      <w:r w:rsidRPr="002C4077">
        <w:t xml:space="preserve"> </w:t>
      </w:r>
      <w:r>
        <w:t>le</w:t>
      </w:r>
      <w:r w:rsidRPr="002C4077">
        <w:t xml:space="preserve"> </w:t>
      </w:r>
      <w:r>
        <w:t>sang</w:t>
      </w:r>
      <w:r w:rsidRPr="002C4077">
        <w:t xml:space="preserve"> </w:t>
      </w:r>
      <w:r>
        <w:t>s’échappe</w:t>
      </w:r>
      <w:r w:rsidRPr="002C4077">
        <w:t xml:space="preserve"> </w:t>
      </w:r>
      <w:r>
        <w:t>par</w:t>
      </w:r>
      <w:r w:rsidRPr="002C4077">
        <w:t xml:space="preserve"> </w:t>
      </w:r>
      <w:r>
        <w:t>les</w:t>
      </w:r>
      <w:r w:rsidRPr="002C4077">
        <w:t xml:space="preserve"> </w:t>
      </w:r>
      <w:r>
        <w:t>yeux</w:t>
      </w:r>
      <w:r w:rsidR="00B546AF">
        <w:t> ;</w:t>
      </w:r>
      <w:r w:rsidRPr="002C4077">
        <w:t xml:space="preserve"> </w:t>
      </w:r>
      <w:r>
        <w:t>le</w:t>
      </w:r>
      <w:r w:rsidRPr="002C4077">
        <w:t xml:space="preserve"> </w:t>
      </w:r>
      <w:r>
        <w:t>plus</w:t>
      </w:r>
      <w:r w:rsidRPr="002C4077">
        <w:t xml:space="preserve"> </w:t>
      </w:r>
      <w:r>
        <w:t>souvent</w:t>
      </w:r>
      <w:r w:rsidRPr="002C4077">
        <w:t xml:space="preserve"> </w:t>
      </w:r>
      <w:r>
        <w:t>il</w:t>
      </w:r>
      <w:r w:rsidRPr="002C4077">
        <w:t xml:space="preserve"> </w:t>
      </w:r>
      <w:r>
        <w:t>suinte</w:t>
      </w:r>
      <w:r w:rsidRPr="002C4077">
        <w:t xml:space="preserve"> </w:t>
      </w:r>
      <w:r>
        <w:t>à</w:t>
      </w:r>
      <w:r w:rsidRPr="002C4077">
        <w:t xml:space="preserve"> </w:t>
      </w:r>
      <w:r>
        <w:t>travers</w:t>
      </w:r>
      <w:r w:rsidRPr="002C4077">
        <w:t xml:space="preserve"> </w:t>
      </w:r>
      <w:r>
        <w:t>les</w:t>
      </w:r>
      <w:r w:rsidRPr="002C4077">
        <w:t xml:space="preserve"> </w:t>
      </w:r>
      <w:r>
        <w:t>pores</w:t>
      </w:r>
      <w:r w:rsidRPr="002C4077">
        <w:t xml:space="preserve"> </w:t>
      </w:r>
      <w:r>
        <w:t>comme</w:t>
      </w:r>
      <w:r w:rsidRPr="002C4077">
        <w:t xml:space="preserve"> </w:t>
      </w:r>
      <w:r>
        <w:t>la</w:t>
      </w:r>
      <w:r w:rsidRPr="002C4077">
        <w:t xml:space="preserve"> </w:t>
      </w:r>
      <w:r>
        <w:t>sueur,</w:t>
      </w:r>
      <w:r w:rsidRPr="002C4077">
        <w:t xml:space="preserve"> </w:t>
      </w:r>
      <w:r>
        <w:t>ainsi</w:t>
      </w:r>
      <w:r w:rsidRPr="002C4077">
        <w:t xml:space="preserve"> </w:t>
      </w:r>
      <w:r>
        <w:t>que</w:t>
      </w:r>
      <w:r w:rsidRPr="002C4077">
        <w:t xml:space="preserve"> </w:t>
      </w:r>
      <w:r>
        <w:t>cela</w:t>
      </w:r>
      <w:r w:rsidRPr="002C4077">
        <w:t xml:space="preserve"> </w:t>
      </w:r>
      <w:r>
        <w:t>eut</w:t>
      </w:r>
      <w:r w:rsidRPr="002C4077">
        <w:t xml:space="preserve"> </w:t>
      </w:r>
      <w:r>
        <w:t>lieu</w:t>
      </w:r>
      <w:r w:rsidRPr="002C4077">
        <w:t xml:space="preserve"> </w:t>
      </w:r>
      <w:r>
        <w:t>pour</w:t>
      </w:r>
      <w:r w:rsidRPr="002C4077">
        <w:t xml:space="preserve"> </w:t>
      </w:r>
      <w:r w:rsidR="00425C50">
        <w:t>Jésus</w:t>
      </w:r>
      <w:r>
        <w:t>.</w:t>
      </w:r>
      <w:r w:rsidRPr="002C4077">
        <w:t xml:space="preserve"> </w:t>
      </w:r>
    </w:p>
    <w:p w:rsidR="000A7AAB" w:rsidRDefault="00CC5FEA" w:rsidP="000A7AAB">
      <w:r>
        <w:lastRenderedPageBreak/>
        <w:t>Mezeray</w:t>
      </w:r>
      <w:r w:rsidR="000A7AAB" w:rsidRPr="002C4077">
        <w:t xml:space="preserve"> </w:t>
      </w:r>
      <w:r w:rsidR="000A7AAB">
        <w:t>raconte</w:t>
      </w:r>
      <w:r w:rsidR="000A7AAB" w:rsidRPr="002C4077">
        <w:t xml:space="preserve"> </w:t>
      </w:r>
      <w:r w:rsidR="000A7AAB">
        <w:t>en</w:t>
      </w:r>
      <w:r w:rsidR="000A7AAB" w:rsidRPr="002C4077">
        <w:t xml:space="preserve"> </w:t>
      </w:r>
      <w:r w:rsidR="000A7AAB">
        <w:t>ces</w:t>
      </w:r>
      <w:r w:rsidR="000A7AAB" w:rsidRPr="002C4077">
        <w:t xml:space="preserve"> </w:t>
      </w:r>
      <w:r w:rsidR="000A7AAB">
        <w:t>termes</w:t>
      </w:r>
      <w:r w:rsidR="000A7AAB" w:rsidRPr="002C4077">
        <w:t xml:space="preserve"> </w:t>
      </w:r>
      <w:r w:rsidR="000A7AAB">
        <w:t>les</w:t>
      </w:r>
      <w:r w:rsidR="000A7AAB" w:rsidRPr="002C4077">
        <w:t xml:space="preserve"> </w:t>
      </w:r>
      <w:r w:rsidR="000A7AAB">
        <w:t>derniers</w:t>
      </w:r>
      <w:r w:rsidR="000A7AAB" w:rsidRPr="002C4077">
        <w:t xml:space="preserve"> </w:t>
      </w:r>
      <w:r w:rsidR="000A7AAB">
        <w:t>moments</w:t>
      </w:r>
      <w:r w:rsidR="000A7AAB" w:rsidRPr="002C4077">
        <w:t xml:space="preserve"> </w:t>
      </w:r>
      <w:r w:rsidR="000A7AAB">
        <w:t>de</w:t>
      </w:r>
      <w:r w:rsidR="000A7AAB" w:rsidRPr="002C4077">
        <w:t xml:space="preserve"> </w:t>
      </w:r>
      <w:r w:rsidR="000A7AAB">
        <w:t>Charles</w:t>
      </w:r>
      <w:r w:rsidR="000A7AAB" w:rsidRPr="002C4077">
        <w:t xml:space="preserve"> </w:t>
      </w:r>
      <w:r w:rsidR="000A7AAB">
        <w:t>IX</w:t>
      </w:r>
      <w:r w:rsidR="00B546AF">
        <w:t> :</w:t>
      </w:r>
      <w:r w:rsidR="000A7AAB" w:rsidRPr="002C4077">
        <w:t xml:space="preserve"> </w:t>
      </w:r>
      <w:r w:rsidR="00B546AF">
        <w:t>« </w:t>
      </w:r>
      <w:r w:rsidR="000A7AAB">
        <w:t>Il</w:t>
      </w:r>
      <w:r w:rsidR="000A7AAB" w:rsidRPr="002C4077">
        <w:t xml:space="preserve"> </w:t>
      </w:r>
      <w:r w:rsidR="000A7AAB">
        <w:t>s’agitoit</w:t>
      </w:r>
      <w:r w:rsidR="000A7AAB" w:rsidRPr="002C4077">
        <w:t xml:space="preserve"> </w:t>
      </w:r>
      <w:r w:rsidR="000A7AAB">
        <w:t>et</w:t>
      </w:r>
      <w:r w:rsidR="000A7AAB" w:rsidRPr="002C4077">
        <w:t xml:space="preserve"> </w:t>
      </w:r>
      <w:r w:rsidR="000A7AAB">
        <w:t>se</w:t>
      </w:r>
      <w:r w:rsidR="000A7AAB" w:rsidRPr="002C4077">
        <w:t xml:space="preserve"> </w:t>
      </w:r>
      <w:r w:rsidR="000A7AAB">
        <w:t>remuoit</w:t>
      </w:r>
      <w:r w:rsidR="000A7AAB" w:rsidRPr="002C4077">
        <w:t xml:space="preserve"> </w:t>
      </w:r>
      <w:r w:rsidR="000A7AAB">
        <w:t>sans</w:t>
      </w:r>
      <w:r w:rsidR="000A7AAB" w:rsidRPr="002C4077">
        <w:t xml:space="preserve"> </w:t>
      </w:r>
      <w:r w:rsidR="000A7AAB">
        <w:t>cesse,</w:t>
      </w:r>
      <w:r w:rsidR="000A7AAB" w:rsidRPr="002C4077">
        <w:t xml:space="preserve"> </w:t>
      </w:r>
      <w:r w:rsidR="000A7AAB">
        <w:t>et</w:t>
      </w:r>
      <w:r w:rsidR="000A7AAB" w:rsidRPr="002C4077">
        <w:t xml:space="preserve"> </w:t>
      </w:r>
      <w:r w:rsidR="000A7AAB">
        <w:t>le</w:t>
      </w:r>
      <w:r w:rsidR="000A7AAB" w:rsidRPr="002C4077">
        <w:t xml:space="preserve"> </w:t>
      </w:r>
      <w:r w:rsidR="000A7AAB">
        <w:t>sang</w:t>
      </w:r>
      <w:r w:rsidR="000A7AAB" w:rsidRPr="002C4077">
        <w:t xml:space="preserve"> </w:t>
      </w:r>
      <w:r w:rsidR="000A7AAB">
        <w:t>luy</w:t>
      </w:r>
      <w:r w:rsidR="000A7AAB" w:rsidRPr="002C4077">
        <w:t xml:space="preserve"> </w:t>
      </w:r>
      <w:r w:rsidR="000A7AAB">
        <w:t>jaillissoit</w:t>
      </w:r>
      <w:r w:rsidR="000A7AAB" w:rsidRPr="002C4077">
        <w:t xml:space="preserve"> </w:t>
      </w:r>
      <w:r w:rsidR="000A7AAB">
        <w:t>par</w:t>
      </w:r>
      <w:r w:rsidR="000A7AAB" w:rsidRPr="002C4077">
        <w:t xml:space="preserve"> </w:t>
      </w:r>
      <w:r w:rsidR="000A7AAB">
        <w:t>tous</w:t>
      </w:r>
      <w:r w:rsidR="000A7AAB" w:rsidRPr="002C4077">
        <w:t xml:space="preserve"> </w:t>
      </w:r>
      <w:r w:rsidR="000A7AAB">
        <w:t>les</w:t>
      </w:r>
      <w:r w:rsidR="000A7AAB" w:rsidRPr="002C4077">
        <w:t xml:space="preserve"> </w:t>
      </w:r>
      <w:r w:rsidR="000A7AAB">
        <w:t>conduits,</w:t>
      </w:r>
      <w:r w:rsidR="000A7AAB" w:rsidRPr="002C4077">
        <w:t xml:space="preserve"> </w:t>
      </w:r>
      <w:r w:rsidR="000A7AAB">
        <w:t>mesme</w:t>
      </w:r>
      <w:r w:rsidR="000A7AAB" w:rsidRPr="002C4077">
        <w:t xml:space="preserve"> </w:t>
      </w:r>
      <w:r w:rsidR="000A7AAB">
        <w:t>par</w:t>
      </w:r>
      <w:r w:rsidR="000A7AAB" w:rsidRPr="002C4077">
        <w:t xml:space="preserve"> </w:t>
      </w:r>
      <w:r w:rsidR="000A7AAB">
        <w:t>les</w:t>
      </w:r>
      <w:r w:rsidR="000A7AAB" w:rsidRPr="002C4077">
        <w:t xml:space="preserve"> </w:t>
      </w:r>
      <w:r w:rsidR="000A7AAB">
        <w:t>pores,</w:t>
      </w:r>
      <w:r w:rsidR="000A7AAB" w:rsidRPr="002C4077">
        <w:t xml:space="preserve"> </w:t>
      </w:r>
      <w:r w:rsidR="000A7AAB">
        <w:t>de</w:t>
      </w:r>
      <w:r w:rsidR="000A7AAB" w:rsidRPr="002C4077">
        <w:t xml:space="preserve"> </w:t>
      </w:r>
      <w:r w:rsidR="000A7AAB">
        <w:t>sorte</w:t>
      </w:r>
      <w:r w:rsidR="000A7AAB" w:rsidRPr="002C4077">
        <w:t xml:space="preserve"> </w:t>
      </w:r>
      <w:r w:rsidR="000A7AAB">
        <w:t>qu’on</w:t>
      </w:r>
      <w:r w:rsidR="000A7AAB" w:rsidRPr="002C4077">
        <w:t xml:space="preserve"> </w:t>
      </w:r>
      <w:r w:rsidR="000A7AAB">
        <w:t>le</w:t>
      </w:r>
      <w:r w:rsidR="000A7AAB" w:rsidRPr="002C4077">
        <w:t xml:space="preserve"> </w:t>
      </w:r>
      <w:r w:rsidR="000A7AAB">
        <w:t>trouva</w:t>
      </w:r>
      <w:r w:rsidR="000A7AAB" w:rsidRPr="002C4077">
        <w:t xml:space="preserve"> </w:t>
      </w:r>
      <w:r w:rsidR="000A7AAB">
        <w:t>une</w:t>
      </w:r>
      <w:r w:rsidR="000A7AAB" w:rsidRPr="002C4077">
        <w:t xml:space="preserve"> </w:t>
      </w:r>
      <w:r w:rsidR="000A7AAB">
        <w:t>fois</w:t>
      </w:r>
      <w:r w:rsidR="000A7AAB" w:rsidRPr="002C4077">
        <w:t xml:space="preserve"> </w:t>
      </w:r>
      <w:r w:rsidR="000A7AAB">
        <w:t>qui</w:t>
      </w:r>
      <w:r w:rsidR="000A7AAB" w:rsidRPr="002C4077">
        <w:t xml:space="preserve"> </w:t>
      </w:r>
      <w:r w:rsidR="000A7AAB">
        <w:t>ba</w:t>
      </w:r>
      <w:r w:rsidR="001730C6">
        <w:t>ig</w:t>
      </w:r>
      <w:r w:rsidR="000A7AAB">
        <w:t>noit</w:t>
      </w:r>
      <w:r w:rsidR="000A7AAB" w:rsidRPr="002C4077">
        <w:t xml:space="preserve"> </w:t>
      </w:r>
      <w:r w:rsidR="000A7AAB">
        <w:t>dedans</w:t>
      </w:r>
      <w:r w:rsidR="00B91AF7">
        <w:rPr>
          <w:rStyle w:val="Appelnotedebasdep"/>
        </w:rPr>
        <w:footnoteReference w:id="410"/>
      </w:r>
      <w:r w:rsidR="00B546AF">
        <w:t> »</w:t>
      </w:r>
      <w:r w:rsidR="000A7AAB">
        <w:t>.</w:t>
      </w:r>
      <w:r w:rsidR="000A7AAB" w:rsidRPr="002C4077">
        <w:t xml:space="preserve"> </w:t>
      </w:r>
    </w:p>
    <w:p w:rsidR="000A7AAB" w:rsidRDefault="000A7AAB" w:rsidP="000A7AAB">
      <w:r>
        <w:t>Ces</w:t>
      </w:r>
      <w:r w:rsidRPr="002C4077">
        <w:t xml:space="preserve"> </w:t>
      </w:r>
      <w:r>
        <w:t>faits,</w:t>
      </w:r>
      <w:r w:rsidRPr="002C4077">
        <w:t xml:space="preserve"> </w:t>
      </w:r>
      <w:r>
        <w:t>dont</w:t>
      </w:r>
      <w:r w:rsidRPr="002C4077">
        <w:t xml:space="preserve"> </w:t>
      </w:r>
      <w:r>
        <w:t>nous</w:t>
      </w:r>
      <w:r w:rsidRPr="002C4077">
        <w:t xml:space="preserve"> </w:t>
      </w:r>
      <w:r>
        <w:t>pourrions</w:t>
      </w:r>
      <w:r w:rsidRPr="002C4077">
        <w:t xml:space="preserve"> </w:t>
      </w:r>
      <w:r>
        <w:t>facilement</w:t>
      </w:r>
      <w:r w:rsidRPr="002C4077">
        <w:t xml:space="preserve"> </w:t>
      </w:r>
      <w:r>
        <w:t>doubler,</w:t>
      </w:r>
      <w:r w:rsidRPr="002C4077">
        <w:t xml:space="preserve"> </w:t>
      </w:r>
      <w:r>
        <w:t>tripler</w:t>
      </w:r>
      <w:r w:rsidRPr="002C4077">
        <w:t xml:space="preserve"> </w:t>
      </w:r>
      <w:r>
        <w:t>le</w:t>
      </w:r>
      <w:r w:rsidRPr="002C4077">
        <w:t xml:space="preserve"> </w:t>
      </w:r>
      <w:r>
        <w:t>nombre,</w:t>
      </w:r>
      <w:r w:rsidRPr="002C4077">
        <w:t xml:space="preserve"> </w:t>
      </w:r>
      <w:r>
        <w:t>ont</w:t>
      </w:r>
      <w:r w:rsidRPr="002C4077">
        <w:t xml:space="preserve"> </w:t>
      </w:r>
      <w:r>
        <w:t>été</w:t>
      </w:r>
      <w:r w:rsidRPr="002C4077">
        <w:t xml:space="preserve"> </w:t>
      </w:r>
      <w:r>
        <w:t>admis</w:t>
      </w:r>
      <w:r w:rsidRPr="002C4077">
        <w:t xml:space="preserve"> </w:t>
      </w:r>
      <w:r>
        <w:t>sans</w:t>
      </w:r>
      <w:r w:rsidRPr="002C4077">
        <w:t xml:space="preserve"> </w:t>
      </w:r>
      <w:r>
        <w:t>hésitation</w:t>
      </w:r>
      <w:r w:rsidRPr="002C4077">
        <w:t xml:space="preserve"> </w:t>
      </w:r>
      <w:r>
        <w:t>par</w:t>
      </w:r>
      <w:r w:rsidRPr="002C4077">
        <w:t xml:space="preserve"> </w:t>
      </w:r>
      <w:r>
        <w:t>d’illustres</w:t>
      </w:r>
      <w:r w:rsidRPr="002C4077">
        <w:t xml:space="preserve"> </w:t>
      </w:r>
      <w:r>
        <w:t>médecins</w:t>
      </w:r>
      <w:r w:rsidR="00B91AF7">
        <w:rPr>
          <w:rStyle w:val="Appelnotedebasdep"/>
        </w:rPr>
        <w:footnoteReference w:id="411"/>
      </w:r>
      <w:r>
        <w:t>.</w:t>
      </w:r>
      <w:r w:rsidRPr="002C4077">
        <w:t xml:space="preserve"> </w:t>
      </w:r>
      <w:r>
        <w:t>Du</w:t>
      </w:r>
      <w:r w:rsidRPr="002C4077">
        <w:t xml:space="preserve"> </w:t>
      </w:r>
      <w:r>
        <w:t>reste,</w:t>
      </w:r>
      <w:r w:rsidRPr="002C4077">
        <w:t xml:space="preserve"> </w:t>
      </w:r>
      <w:r>
        <w:t>pour</w:t>
      </w:r>
      <w:r w:rsidRPr="002C4077">
        <w:t xml:space="preserve"> </w:t>
      </w:r>
      <w:r>
        <w:t>les</w:t>
      </w:r>
      <w:r w:rsidRPr="002C4077">
        <w:t xml:space="preserve"> </w:t>
      </w:r>
      <w:r>
        <w:t>expliquer,</w:t>
      </w:r>
      <w:r w:rsidRPr="002C4077">
        <w:t xml:space="preserve"> </w:t>
      </w:r>
      <w:r>
        <w:t>il</w:t>
      </w:r>
      <w:r w:rsidRPr="002C4077">
        <w:t xml:space="preserve"> </w:t>
      </w:r>
      <w:r>
        <w:t>suffit</w:t>
      </w:r>
      <w:r w:rsidRPr="002C4077">
        <w:t xml:space="preserve"> </w:t>
      </w:r>
      <w:r>
        <w:t>de</w:t>
      </w:r>
      <w:r w:rsidRPr="002C4077">
        <w:t xml:space="preserve"> </w:t>
      </w:r>
      <w:r>
        <w:t>rappeler</w:t>
      </w:r>
      <w:r w:rsidRPr="002C4077">
        <w:t xml:space="preserve"> </w:t>
      </w:r>
      <w:r>
        <w:t>quelques</w:t>
      </w:r>
      <w:r w:rsidRPr="002C4077">
        <w:t xml:space="preserve"> </w:t>
      </w:r>
      <w:r>
        <w:t>notions</w:t>
      </w:r>
      <w:r w:rsidRPr="002C4077">
        <w:t xml:space="preserve"> </w:t>
      </w:r>
      <w:r>
        <w:t>élémentaires</w:t>
      </w:r>
      <w:r w:rsidRPr="002C4077">
        <w:t xml:space="preserve"> </w:t>
      </w:r>
      <w:r>
        <w:t>de</w:t>
      </w:r>
      <w:r w:rsidRPr="002C4077">
        <w:t xml:space="preserve"> </w:t>
      </w:r>
      <w:r>
        <w:t>psychologie</w:t>
      </w:r>
      <w:r w:rsidRPr="002C4077">
        <w:t xml:space="preserve"> </w:t>
      </w:r>
      <w:r>
        <w:t>et</w:t>
      </w:r>
      <w:r w:rsidRPr="002C4077">
        <w:t xml:space="preserve"> </w:t>
      </w:r>
      <w:r>
        <w:t>de</w:t>
      </w:r>
      <w:r w:rsidRPr="002C4077">
        <w:t xml:space="preserve"> </w:t>
      </w:r>
      <w:r>
        <w:t>physiologie.</w:t>
      </w:r>
      <w:r w:rsidR="00C45B47">
        <w:t xml:space="preserve"> {</w:t>
      </w:r>
      <w:r w:rsidR="004C5B7A">
        <w:t>125</w:t>
      </w:r>
      <w:bookmarkStart w:id="354" w:name="p125"/>
      <w:bookmarkEnd w:id="354"/>
      <w:r w:rsidR="004C5B7A">
        <w:t xml:space="preserve">} </w:t>
      </w:r>
      <w:r>
        <w:t>Comme</w:t>
      </w:r>
      <w:r w:rsidRPr="002C4077">
        <w:t xml:space="preserve"> </w:t>
      </w:r>
      <w:r>
        <w:t>l’a</w:t>
      </w:r>
      <w:r w:rsidRPr="002C4077">
        <w:t xml:space="preserve"> </w:t>
      </w:r>
      <w:r>
        <w:t>dit</w:t>
      </w:r>
      <w:r w:rsidRPr="002C4077">
        <w:t xml:space="preserve"> </w:t>
      </w:r>
      <w:r>
        <w:t>une</w:t>
      </w:r>
      <w:r w:rsidRPr="002C4077">
        <w:t xml:space="preserve"> </w:t>
      </w:r>
      <w:r>
        <w:t>femme</w:t>
      </w:r>
      <w:r w:rsidRPr="002C4077">
        <w:t xml:space="preserve"> </w:t>
      </w:r>
      <w:r>
        <w:t>célèbre,</w:t>
      </w:r>
      <w:r w:rsidRPr="002C4077">
        <w:t xml:space="preserve"> </w:t>
      </w:r>
      <w:r w:rsidR="00B546AF">
        <w:t>« </w:t>
      </w:r>
      <w:r>
        <w:t>le</w:t>
      </w:r>
      <w:r w:rsidRPr="002C4077">
        <w:t xml:space="preserve"> </w:t>
      </w:r>
      <w:r>
        <w:t>repos</w:t>
      </w:r>
      <w:r w:rsidRPr="002C4077">
        <w:t xml:space="preserve"> </w:t>
      </w:r>
      <w:r>
        <w:t>du</w:t>
      </w:r>
      <w:r w:rsidRPr="002C4077">
        <w:t xml:space="preserve"> </w:t>
      </w:r>
      <w:r>
        <w:t>corps</w:t>
      </w:r>
      <w:r w:rsidRPr="002C4077">
        <w:t xml:space="preserve"> </w:t>
      </w:r>
      <w:r>
        <w:t>passe</w:t>
      </w:r>
      <w:r w:rsidRPr="002C4077">
        <w:t xml:space="preserve"> </w:t>
      </w:r>
      <w:r>
        <w:t>à</w:t>
      </w:r>
      <w:r w:rsidRPr="002C4077">
        <w:t xml:space="preserve"> </w:t>
      </w:r>
      <w:r>
        <w:t>l’âme</w:t>
      </w:r>
      <w:r w:rsidR="00B546AF">
        <w:t> » ;</w:t>
      </w:r>
      <w:r w:rsidRPr="002C4077">
        <w:t xml:space="preserve"> </w:t>
      </w:r>
      <w:r>
        <w:t>mais</w:t>
      </w:r>
      <w:r w:rsidRPr="002C4077">
        <w:t xml:space="preserve"> </w:t>
      </w:r>
      <w:r>
        <w:t>il</w:t>
      </w:r>
      <w:r w:rsidRPr="002C4077">
        <w:t xml:space="preserve"> </w:t>
      </w:r>
      <w:r>
        <w:t>y</w:t>
      </w:r>
      <w:r w:rsidRPr="002C4077">
        <w:t xml:space="preserve"> </w:t>
      </w:r>
      <w:r>
        <w:t>a</w:t>
      </w:r>
      <w:r w:rsidRPr="002C4077">
        <w:t xml:space="preserve"> </w:t>
      </w:r>
      <w:r>
        <w:t>aussi</w:t>
      </w:r>
      <w:r w:rsidRPr="002C4077">
        <w:t xml:space="preserve"> </w:t>
      </w:r>
      <w:r>
        <w:t>la</w:t>
      </w:r>
      <w:r w:rsidRPr="002C4077">
        <w:t xml:space="preserve"> </w:t>
      </w:r>
      <w:r w:rsidR="00CC5FEA">
        <w:t>contrepartie</w:t>
      </w:r>
      <w:r w:rsidR="00B546AF">
        <w:t> :</w:t>
      </w:r>
      <w:r w:rsidRPr="002C4077">
        <w:t xml:space="preserve"> </w:t>
      </w:r>
      <w:r>
        <w:t>les</w:t>
      </w:r>
      <w:r w:rsidRPr="002C4077">
        <w:t xml:space="preserve"> </w:t>
      </w:r>
      <w:r>
        <w:t>tristesses,</w:t>
      </w:r>
      <w:r w:rsidRPr="002C4077">
        <w:t xml:space="preserve"> </w:t>
      </w:r>
      <w:r>
        <w:t>les</w:t>
      </w:r>
      <w:r w:rsidRPr="002C4077">
        <w:t xml:space="preserve"> </w:t>
      </w:r>
      <w:r>
        <w:t>commotions,</w:t>
      </w:r>
      <w:r w:rsidRPr="002C4077">
        <w:t xml:space="preserve"> </w:t>
      </w:r>
      <w:r>
        <w:t>les</w:t>
      </w:r>
      <w:r w:rsidRPr="002C4077">
        <w:t xml:space="preserve"> </w:t>
      </w:r>
      <w:r>
        <w:t>frayeurs</w:t>
      </w:r>
      <w:r w:rsidRPr="002C4077">
        <w:t xml:space="preserve"> </w:t>
      </w:r>
      <w:r>
        <w:t>de</w:t>
      </w:r>
      <w:r w:rsidRPr="002C4077">
        <w:t xml:space="preserve"> </w:t>
      </w:r>
      <w:r>
        <w:t>l’âme</w:t>
      </w:r>
      <w:r w:rsidRPr="002C4077">
        <w:t xml:space="preserve"> </w:t>
      </w:r>
      <w:r>
        <w:t>agissent</w:t>
      </w:r>
      <w:r w:rsidRPr="002C4077">
        <w:t xml:space="preserve"> </w:t>
      </w:r>
      <w:r>
        <w:t>parfois</w:t>
      </w:r>
      <w:r w:rsidRPr="002C4077">
        <w:t xml:space="preserve"> </w:t>
      </w:r>
      <w:r>
        <w:t>vivement</w:t>
      </w:r>
      <w:r w:rsidRPr="002C4077">
        <w:t xml:space="preserve"> </w:t>
      </w:r>
      <w:r>
        <w:t>sur</w:t>
      </w:r>
      <w:r w:rsidRPr="002C4077">
        <w:t xml:space="preserve"> </w:t>
      </w:r>
      <w:r>
        <w:t>le</w:t>
      </w:r>
      <w:r w:rsidRPr="002C4077">
        <w:t xml:space="preserve"> </w:t>
      </w:r>
      <w:r>
        <w:t>corps.</w:t>
      </w:r>
      <w:r w:rsidRPr="002C4077">
        <w:t xml:space="preserve"> </w:t>
      </w:r>
      <w:r>
        <w:t>Nos</w:t>
      </w:r>
      <w:r w:rsidRPr="002C4077">
        <w:t xml:space="preserve"> </w:t>
      </w:r>
      <w:r>
        <w:t>organes</w:t>
      </w:r>
      <w:r w:rsidRPr="002C4077">
        <w:t xml:space="preserve"> </w:t>
      </w:r>
      <w:r>
        <w:t>extérieurs</w:t>
      </w:r>
      <w:r w:rsidRPr="002C4077">
        <w:t xml:space="preserve"> </w:t>
      </w:r>
      <w:r>
        <w:t>ressentent</w:t>
      </w:r>
      <w:r w:rsidRPr="002C4077">
        <w:t xml:space="preserve"> </w:t>
      </w:r>
      <w:r>
        <w:t>à</w:t>
      </w:r>
      <w:r w:rsidRPr="002C4077">
        <w:t xml:space="preserve"> </w:t>
      </w:r>
      <w:r>
        <w:t>leur</w:t>
      </w:r>
      <w:r w:rsidRPr="002C4077">
        <w:t xml:space="preserve"> </w:t>
      </w:r>
      <w:r>
        <w:t>manière</w:t>
      </w:r>
      <w:r w:rsidRPr="002C4077">
        <w:t xml:space="preserve"> </w:t>
      </w:r>
      <w:r>
        <w:t>nos</w:t>
      </w:r>
      <w:r w:rsidRPr="002C4077">
        <w:t xml:space="preserve"> </w:t>
      </w:r>
      <w:r>
        <w:t>impressions</w:t>
      </w:r>
      <w:r w:rsidRPr="002C4077">
        <w:t xml:space="preserve"> </w:t>
      </w:r>
      <w:r>
        <w:t>morales</w:t>
      </w:r>
      <w:r w:rsidRPr="002C4077">
        <w:t xml:space="preserve"> </w:t>
      </w:r>
      <w:r>
        <w:t>quand</w:t>
      </w:r>
      <w:r w:rsidRPr="002C4077">
        <w:t xml:space="preserve"> </w:t>
      </w:r>
      <w:r>
        <w:t>elles</w:t>
      </w:r>
      <w:r w:rsidRPr="002C4077">
        <w:t xml:space="preserve"> </w:t>
      </w:r>
      <w:r>
        <w:t>ont</w:t>
      </w:r>
      <w:r w:rsidRPr="002C4077">
        <w:t xml:space="preserve"> </w:t>
      </w:r>
      <w:r>
        <w:t>un</w:t>
      </w:r>
      <w:r w:rsidRPr="002C4077">
        <w:t xml:space="preserve"> </w:t>
      </w:r>
      <w:r>
        <w:t>caractère</w:t>
      </w:r>
      <w:r w:rsidRPr="002C4077">
        <w:t xml:space="preserve"> </w:t>
      </w:r>
      <w:r>
        <w:t>violent.</w:t>
      </w:r>
      <w:r w:rsidRPr="002C4077">
        <w:t xml:space="preserve"> </w:t>
      </w:r>
      <w:r>
        <w:t>C’est</w:t>
      </w:r>
      <w:r w:rsidRPr="002C4077">
        <w:t xml:space="preserve"> </w:t>
      </w:r>
      <w:r w:rsidR="00CC5FEA">
        <w:t>ainsi</w:t>
      </w:r>
      <w:r w:rsidRPr="002C4077">
        <w:t xml:space="preserve"> </w:t>
      </w:r>
      <w:r>
        <w:t>que,</w:t>
      </w:r>
      <w:r w:rsidRPr="002C4077">
        <w:t xml:space="preserve"> </w:t>
      </w:r>
      <w:r>
        <w:t>sous</w:t>
      </w:r>
      <w:r w:rsidRPr="002C4077">
        <w:t xml:space="preserve"> </w:t>
      </w:r>
      <w:r>
        <w:t>l’empire</w:t>
      </w:r>
      <w:r w:rsidRPr="002C4077">
        <w:t xml:space="preserve"> </w:t>
      </w:r>
      <w:r>
        <w:t>d’une</w:t>
      </w:r>
      <w:r w:rsidRPr="002C4077">
        <w:t xml:space="preserve"> </w:t>
      </w:r>
      <w:r>
        <w:t>terreur</w:t>
      </w:r>
      <w:r w:rsidRPr="002C4077">
        <w:t xml:space="preserve"> </w:t>
      </w:r>
      <w:r>
        <w:t>soudaine,</w:t>
      </w:r>
      <w:r w:rsidRPr="002C4077">
        <w:t xml:space="preserve"> </w:t>
      </w:r>
      <w:r>
        <w:t>d’une</w:t>
      </w:r>
      <w:r w:rsidRPr="002C4077">
        <w:t xml:space="preserve"> </w:t>
      </w:r>
      <w:r>
        <w:t>anxiété</w:t>
      </w:r>
      <w:r w:rsidRPr="002C4077">
        <w:t xml:space="preserve"> </w:t>
      </w:r>
      <w:r>
        <w:t>profonde,</w:t>
      </w:r>
      <w:r w:rsidRPr="002C4077">
        <w:t xml:space="preserve"> </w:t>
      </w:r>
      <w:r>
        <w:t>les</w:t>
      </w:r>
      <w:r w:rsidRPr="002C4077">
        <w:t xml:space="preserve"> </w:t>
      </w:r>
      <w:r>
        <w:t>cheveux</w:t>
      </w:r>
      <w:r w:rsidRPr="002C4077">
        <w:t xml:space="preserve"> </w:t>
      </w:r>
      <w:r>
        <w:t>blanchissent</w:t>
      </w:r>
      <w:r w:rsidRPr="002C4077">
        <w:t xml:space="preserve"> </w:t>
      </w:r>
      <w:r>
        <w:t>en</w:t>
      </w:r>
      <w:r w:rsidRPr="002C4077">
        <w:t xml:space="preserve"> </w:t>
      </w:r>
      <w:r>
        <w:t>une</w:t>
      </w:r>
      <w:r w:rsidRPr="002C4077">
        <w:t xml:space="preserve"> </w:t>
      </w:r>
      <w:r>
        <w:t>nuit,</w:t>
      </w:r>
      <w:r w:rsidRPr="002C4077">
        <w:t xml:space="preserve"> </w:t>
      </w:r>
      <w:r>
        <w:t>tel</w:t>
      </w:r>
      <w:r w:rsidRPr="002C4077">
        <w:t xml:space="preserve"> </w:t>
      </w:r>
      <w:r>
        <w:t>membre</w:t>
      </w:r>
      <w:r w:rsidRPr="002C4077">
        <w:t xml:space="preserve"> </w:t>
      </w:r>
      <w:r>
        <w:t>se</w:t>
      </w:r>
      <w:r w:rsidRPr="002C4077">
        <w:t xml:space="preserve"> </w:t>
      </w:r>
      <w:r>
        <w:t>paralyse,</w:t>
      </w:r>
      <w:r w:rsidRPr="002C4077">
        <w:t xml:space="preserve"> </w:t>
      </w:r>
      <w:r>
        <w:t>les</w:t>
      </w:r>
      <w:r w:rsidRPr="002C4077">
        <w:t xml:space="preserve"> </w:t>
      </w:r>
      <w:r>
        <w:t>crises</w:t>
      </w:r>
      <w:r w:rsidRPr="002C4077">
        <w:t xml:space="preserve"> </w:t>
      </w:r>
      <w:r>
        <w:t>nerveuses</w:t>
      </w:r>
      <w:r w:rsidRPr="002C4077">
        <w:t xml:space="preserve"> </w:t>
      </w:r>
      <w:r>
        <w:t>se</w:t>
      </w:r>
      <w:r w:rsidRPr="002C4077">
        <w:t xml:space="preserve"> </w:t>
      </w:r>
      <w:r>
        <w:t>déclarent,</w:t>
      </w:r>
      <w:r w:rsidRPr="002C4077">
        <w:t xml:space="preserve"> </w:t>
      </w:r>
      <w:r>
        <w:t>la</w:t>
      </w:r>
      <w:r w:rsidRPr="002C4077">
        <w:t xml:space="preserve"> </w:t>
      </w:r>
      <w:r>
        <w:t>mort</w:t>
      </w:r>
      <w:r w:rsidRPr="002C4077">
        <w:t xml:space="preserve"> </w:t>
      </w:r>
      <w:r>
        <w:t>même</w:t>
      </w:r>
      <w:r w:rsidRPr="002C4077">
        <w:t xml:space="preserve"> </w:t>
      </w:r>
      <w:r>
        <w:t>arrive</w:t>
      </w:r>
      <w:r w:rsidRPr="002C4077">
        <w:t xml:space="preserve"> </w:t>
      </w:r>
      <w:r>
        <w:t>subitement,</w:t>
      </w:r>
      <w:r w:rsidRPr="002C4077">
        <w:t xml:space="preserve"> </w:t>
      </w:r>
      <w:r>
        <w:t>le</w:t>
      </w:r>
      <w:r w:rsidRPr="002C4077">
        <w:t xml:space="preserve"> </w:t>
      </w:r>
      <w:r>
        <w:t>sang</w:t>
      </w:r>
      <w:r w:rsidRPr="002C4077">
        <w:t xml:space="preserve"> </w:t>
      </w:r>
      <w:r>
        <w:t>jaillit.</w:t>
      </w:r>
      <w:r w:rsidRPr="002C4077">
        <w:t xml:space="preserve"> </w:t>
      </w:r>
      <w:r>
        <w:t>Et</w:t>
      </w:r>
      <w:r w:rsidRPr="002C4077">
        <w:t xml:space="preserve"> </w:t>
      </w:r>
      <w:r>
        <w:t>nous</w:t>
      </w:r>
      <w:r w:rsidRPr="002C4077">
        <w:t xml:space="preserve"> </w:t>
      </w:r>
      <w:r>
        <w:t>avons</w:t>
      </w:r>
      <w:r w:rsidRPr="002C4077">
        <w:t xml:space="preserve"> </w:t>
      </w:r>
      <w:r>
        <w:t>vu</w:t>
      </w:r>
      <w:r w:rsidRPr="002C4077">
        <w:t xml:space="preserve"> </w:t>
      </w:r>
      <w:r>
        <w:t>jusqu’à</w:t>
      </w:r>
      <w:r w:rsidRPr="002C4077">
        <w:t xml:space="preserve"> </w:t>
      </w:r>
      <w:r>
        <w:t>quel</w:t>
      </w:r>
      <w:r w:rsidRPr="002C4077">
        <w:t xml:space="preserve"> </w:t>
      </w:r>
      <w:r>
        <w:t>point</w:t>
      </w:r>
      <w:r w:rsidRPr="002C4077">
        <w:t xml:space="preserve"> </w:t>
      </w:r>
      <w:r w:rsidR="00425C50">
        <w:t>Jésus</w:t>
      </w:r>
      <w:r w:rsidRPr="002C4077">
        <w:t xml:space="preserve"> </w:t>
      </w:r>
      <w:r>
        <w:t>eut</w:t>
      </w:r>
      <w:r w:rsidRPr="002C4077">
        <w:t xml:space="preserve"> </w:t>
      </w:r>
      <w:r>
        <w:t>à</w:t>
      </w:r>
      <w:r w:rsidRPr="002C4077">
        <w:t xml:space="preserve"> </w:t>
      </w:r>
      <w:r>
        <w:t>souffrir.</w:t>
      </w:r>
      <w:r w:rsidRPr="002C4077">
        <w:t xml:space="preserve"> </w:t>
      </w:r>
      <w:r>
        <w:t>Aussi,</w:t>
      </w:r>
      <w:r w:rsidRPr="002C4077">
        <w:t xml:space="preserve"> </w:t>
      </w:r>
      <w:r>
        <w:t>bien</w:t>
      </w:r>
      <w:r w:rsidRPr="002C4077">
        <w:t xml:space="preserve"> </w:t>
      </w:r>
      <w:r>
        <w:t>loin</w:t>
      </w:r>
      <w:r w:rsidRPr="002C4077">
        <w:t xml:space="preserve"> </w:t>
      </w:r>
      <w:r>
        <w:t>de</w:t>
      </w:r>
      <w:r w:rsidRPr="002C4077">
        <w:t xml:space="preserve"> </w:t>
      </w:r>
      <w:r>
        <w:t>rejeter</w:t>
      </w:r>
      <w:r w:rsidRPr="002C4077">
        <w:t xml:space="preserve"> </w:t>
      </w:r>
      <w:r>
        <w:t>à</w:t>
      </w:r>
      <w:r w:rsidRPr="002C4077">
        <w:t xml:space="preserve"> </w:t>
      </w:r>
      <w:r>
        <w:t>la</w:t>
      </w:r>
      <w:r w:rsidRPr="002C4077">
        <w:t xml:space="preserve"> </w:t>
      </w:r>
      <w:r>
        <w:t>légère</w:t>
      </w:r>
      <w:r w:rsidRPr="002C4077">
        <w:t xml:space="preserve"> </w:t>
      </w:r>
      <w:r>
        <w:t>le</w:t>
      </w:r>
      <w:r w:rsidRPr="002C4077">
        <w:t xml:space="preserve"> </w:t>
      </w:r>
      <w:r>
        <w:t>phénomène</w:t>
      </w:r>
      <w:r w:rsidRPr="002C4077">
        <w:t xml:space="preserve"> </w:t>
      </w:r>
      <w:r>
        <w:t>spécial</w:t>
      </w:r>
      <w:r w:rsidRPr="002C4077">
        <w:t xml:space="preserve"> </w:t>
      </w:r>
      <w:r>
        <w:t>qui</w:t>
      </w:r>
      <w:r w:rsidRPr="002C4077">
        <w:t xml:space="preserve"> </w:t>
      </w:r>
      <w:r>
        <w:t>nous</w:t>
      </w:r>
      <w:r w:rsidRPr="002C4077">
        <w:t xml:space="preserve"> </w:t>
      </w:r>
      <w:r>
        <w:t>occupe,</w:t>
      </w:r>
      <w:r w:rsidRPr="002C4077">
        <w:t xml:space="preserve"> </w:t>
      </w:r>
      <w:r>
        <w:t>sous</w:t>
      </w:r>
      <w:r w:rsidRPr="002C4077">
        <w:t xml:space="preserve"> </w:t>
      </w:r>
      <w:r>
        <w:t>prétexte</w:t>
      </w:r>
      <w:r w:rsidRPr="002C4077">
        <w:t xml:space="preserve"> </w:t>
      </w:r>
      <w:r>
        <w:t>qu’il</w:t>
      </w:r>
      <w:r w:rsidRPr="002C4077">
        <w:t xml:space="preserve"> </w:t>
      </w:r>
      <w:r w:rsidR="00425C50">
        <w:t>est</w:t>
      </w:r>
      <w:r w:rsidRPr="002C4077">
        <w:t xml:space="preserve"> </w:t>
      </w:r>
      <w:r>
        <w:t>inaccoutumé,</w:t>
      </w:r>
      <w:r w:rsidRPr="002C4077">
        <w:t xml:space="preserve"> </w:t>
      </w:r>
      <w:r>
        <w:t>on</w:t>
      </w:r>
      <w:r w:rsidRPr="002C4077">
        <w:t xml:space="preserve"> </w:t>
      </w:r>
      <w:r>
        <w:t>devrait</w:t>
      </w:r>
      <w:r w:rsidRPr="002C4077">
        <w:t xml:space="preserve"> </w:t>
      </w:r>
      <w:r>
        <w:t>en</w:t>
      </w:r>
      <w:r w:rsidRPr="002C4077">
        <w:t xml:space="preserve"> </w:t>
      </w:r>
      <w:r>
        <w:t>admettre</w:t>
      </w:r>
      <w:r w:rsidRPr="002C4077">
        <w:t xml:space="preserve"> </w:t>
      </w:r>
      <w:r>
        <w:t>de</w:t>
      </w:r>
      <w:r w:rsidRPr="002C4077">
        <w:t xml:space="preserve"> </w:t>
      </w:r>
      <w:r>
        <w:t>prime</w:t>
      </w:r>
      <w:r w:rsidRPr="002C4077">
        <w:t xml:space="preserve"> </w:t>
      </w:r>
      <w:r>
        <w:t>abord</w:t>
      </w:r>
      <w:r w:rsidRPr="002C4077">
        <w:t xml:space="preserve"> </w:t>
      </w:r>
      <w:r>
        <w:t>la</w:t>
      </w:r>
      <w:r w:rsidRPr="002C4077">
        <w:t xml:space="preserve"> </w:t>
      </w:r>
      <w:r>
        <w:t>possibilité,</w:t>
      </w:r>
      <w:r w:rsidRPr="002C4077">
        <w:t xml:space="preserve"> </w:t>
      </w:r>
      <w:r>
        <w:t>quand</w:t>
      </w:r>
      <w:r w:rsidRPr="002C4077">
        <w:t xml:space="preserve"> </w:t>
      </w:r>
      <w:r>
        <w:t>même</w:t>
      </w:r>
      <w:r w:rsidRPr="002C4077">
        <w:t xml:space="preserve"> </w:t>
      </w:r>
      <w:r>
        <w:t>l’histoire</w:t>
      </w:r>
      <w:r w:rsidRPr="002C4077">
        <w:t xml:space="preserve"> </w:t>
      </w:r>
      <w:r>
        <w:t>ne</w:t>
      </w:r>
      <w:r w:rsidRPr="002C4077">
        <w:t xml:space="preserve"> </w:t>
      </w:r>
      <w:r>
        <w:t>nous</w:t>
      </w:r>
      <w:r w:rsidRPr="002C4077">
        <w:t xml:space="preserve"> </w:t>
      </w:r>
      <w:r>
        <w:t>fournirait</w:t>
      </w:r>
      <w:r w:rsidRPr="002C4077">
        <w:t xml:space="preserve"> </w:t>
      </w:r>
      <w:r>
        <w:t>rien</w:t>
      </w:r>
      <w:r w:rsidRPr="002C4077">
        <w:t xml:space="preserve"> </w:t>
      </w:r>
      <w:r>
        <w:t>de</w:t>
      </w:r>
      <w:r w:rsidRPr="002C4077">
        <w:t xml:space="preserve"> </w:t>
      </w:r>
      <w:r>
        <w:t>semblable,</w:t>
      </w:r>
      <w:r w:rsidRPr="002C4077">
        <w:t xml:space="preserve"> </w:t>
      </w:r>
      <w:r>
        <w:t>parce</w:t>
      </w:r>
      <w:r w:rsidRPr="002C4077">
        <w:t xml:space="preserve"> </w:t>
      </w:r>
      <w:r>
        <w:t>qu’il</w:t>
      </w:r>
      <w:r w:rsidRPr="002C4077">
        <w:t xml:space="preserve"> </w:t>
      </w:r>
      <w:r w:rsidR="00425C50">
        <w:t>est</w:t>
      </w:r>
      <w:r w:rsidRPr="002C4077">
        <w:t xml:space="preserve"> </w:t>
      </w:r>
      <w:r>
        <w:t>en</w:t>
      </w:r>
      <w:r w:rsidRPr="002C4077">
        <w:t xml:space="preserve"> </w:t>
      </w:r>
      <w:r>
        <w:t>conformité</w:t>
      </w:r>
      <w:r w:rsidRPr="002C4077">
        <w:t xml:space="preserve"> </w:t>
      </w:r>
      <w:r>
        <w:t>parfaite</w:t>
      </w:r>
      <w:r w:rsidRPr="002C4077">
        <w:t xml:space="preserve"> </w:t>
      </w:r>
      <w:r>
        <w:t>avec</w:t>
      </w:r>
      <w:r w:rsidRPr="002C4077">
        <w:t xml:space="preserve"> </w:t>
      </w:r>
      <w:r>
        <w:t>les</w:t>
      </w:r>
      <w:r w:rsidRPr="002C4077">
        <w:t xml:space="preserve"> </w:t>
      </w:r>
      <w:r>
        <w:t>lois</w:t>
      </w:r>
      <w:r w:rsidRPr="002C4077">
        <w:t xml:space="preserve"> </w:t>
      </w:r>
      <w:r>
        <w:t>qui</w:t>
      </w:r>
      <w:r w:rsidRPr="002C4077">
        <w:t xml:space="preserve"> </w:t>
      </w:r>
      <w:r>
        <w:t>régissent</w:t>
      </w:r>
      <w:r w:rsidRPr="002C4077">
        <w:t xml:space="preserve"> </w:t>
      </w:r>
      <w:r>
        <w:t>les</w:t>
      </w:r>
      <w:r w:rsidRPr="002C4077">
        <w:t xml:space="preserve"> </w:t>
      </w:r>
      <w:r>
        <w:t>relations</w:t>
      </w:r>
      <w:r w:rsidRPr="002C4077">
        <w:t xml:space="preserve"> </w:t>
      </w:r>
      <w:r>
        <w:t>de</w:t>
      </w:r>
      <w:r w:rsidRPr="002C4077">
        <w:t xml:space="preserve"> </w:t>
      </w:r>
      <w:r>
        <w:t>l’âme</w:t>
      </w:r>
      <w:r w:rsidRPr="002C4077">
        <w:t xml:space="preserve"> </w:t>
      </w:r>
      <w:r>
        <w:t>et</w:t>
      </w:r>
      <w:r w:rsidRPr="002C4077">
        <w:t xml:space="preserve"> </w:t>
      </w:r>
      <w:r>
        <w:t>du</w:t>
      </w:r>
      <w:r w:rsidRPr="002C4077">
        <w:t xml:space="preserve"> </w:t>
      </w:r>
      <w:r>
        <w:t>corps.</w:t>
      </w:r>
      <w:r w:rsidRPr="002C4077">
        <w:t xml:space="preserve"> </w:t>
      </w:r>
      <w:r>
        <w:t>Il</w:t>
      </w:r>
      <w:r w:rsidRPr="002C4077">
        <w:t xml:space="preserve"> </w:t>
      </w:r>
      <w:r>
        <w:t>suit</w:t>
      </w:r>
      <w:r w:rsidRPr="002C4077">
        <w:t xml:space="preserve"> </w:t>
      </w:r>
      <w:r>
        <w:t>de</w:t>
      </w:r>
      <w:r w:rsidRPr="002C4077">
        <w:t xml:space="preserve"> </w:t>
      </w:r>
      <w:r>
        <w:t>là</w:t>
      </w:r>
      <w:r w:rsidRPr="002C4077">
        <w:t xml:space="preserve"> </w:t>
      </w:r>
      <w:r>
        <w:t>que</w:t>
      </w:r>
      <w:r w:rsidRPr="002C4077">
        <w:t xml:space="preserve"> </w:t>
      </w:r>
      <w:r>
        <w:t>la</w:t>
      </w:r>
      <w:r w:rsidRPr="002C4077">
        <w:t xml:space="preserve"> </w:t>
      </w:r>
      <w:r>
        <w:t>sueur</w:t>
      </w:r>
      <w:r w:rsidRPr="002C4077">
        <w:t xml:space="preserve"> </w:t>
      </w:r>
      <w:r>
        <w:t>sanglante</w:t>
      </w:r>
      <w:r w:rsidRPr="002C4077">
        <w:t xml:space="preserve"> </w:t>
      </w:r>
      <w:r>
        <w:t>de</w:t>
      </w:r>
      <w:r w:rsidRPr="002C4077">
        <w:t xml:space="preserve"> </w:t>
      </w:r>
      <w:r>
        <w:t>N.</w:t>
      </w:r>
      <w:r w:rsidRPr="002C4077">
        <w:t xml:space="preserve"> </w:t>
      </w:r>
      <w:r>
        <w:t>S.</w:t>
      </w:r>
      <w:r w:rsidRPr="002C4077">
        <w:t xml:space="preserve"> </w:t>
      </w:r>
      <w:r w:rsidR="00425C50">
        <w:t>Jésus</w:t>
      </w:r>
      <w:r>
        <w:t>-</w:t>
      </w:r>
      <w:r w:rsidR="00425C50">
        <w:t>Christ</w:t>
      </w:r>
      <w:r w:rsidRPr="002C4077">
        <w:t xml:space="preserve"> </w:t>
      </w:r>
      <w:r>
        <w:t>ne</w:t>
      </w:r>
      <w:r w:rsidRPr="002C4077">
        <w:t xml:space="preserve"> </w:t>
      </w:r>
      <w:r>
        <w:t>dépassa</w:t>
      </w:r>
      <w:r w:rsidRPr="002C4077">
        <w:t xml:space="preserve"> </w:t>
      </w:r>
      <w:r>
        <w:t>point</w:t>
      </w:r>
      <w:r w:rsidRPr="002C4077">
        <w:t xml:space="preserve"> </w:t>
      </w:r>
      <w:r>
        <w:t>les</w:t>
      </w:r>
      <w:r w:rsidRPr="002C4077">
        <w:t xml:space="preserve"> </w:t>
      </w:r>
      <w:r>
        <w:t>limites</w:t>
      </w:r>
      <w:r w:rsidRPr="002C4077">
        <w:t xml:space="preserve"> </w:t>
      </w:r>
      <w:r>
        <w:t>de</w:t>
      </w:r>
      <w:r w:rsidRPr="002C4077">
        <w:t xml:space="preserve"> </w:t>
      </w:r>
      <w:r>
        <w:t>l’ordre</w:t>
      </w:r>
      <w:r w:rsidRPr="002C4077">
        <w:t xml:space="preserve"> </w:t>
      </w:r>
      <w:r>
        <w:t>naturel,</w:t>
      </w:r>
      <w:r w:rsidRPr="002C4077">
        <w:t xml:space="preserve"> </w:t>
      </w:r>
      <w:r>
        <w:t>ce</w:t>
      </w:r>
      <w:r w:rsidRPr="002C4077">
        <w:t xml:space="preserve"> </w:t>
      </w:r>
      <w:r>
        <w:t>ne</w:t>
      </w:r>
      <w:r w:rsidRPr="002C4077">
        <w:t xml:space="preserve"> </w:t>
      </w:r>
      <w:r>
        <w:t>fut</w:t>
      </w:r>
      <w:r w:rsidRPr="002C4077">
        <w:t xml:space="preserve"> </w:t>
      </w:r>
      <w:r>
        <w:t>pas</w:t>
      </w:r>
      <w:r w:rsidRPr="002C4077">
        <w:t xml:space="preserve"> </w:t>
      </w:r>
      <w:r>
        <w:t>un</w:t>
      </w:r>
      <w:r w:rsidRPr="002C4077">
        <w:t xml:space="preserve"> </w:t>
      </w:r>
      <w:r>
        <w:t>fait</w:t>
      </w:r>
      <w:r w:rsidRPr="002C4077">
        <w:t xml:space="preserve"> </w:t>
      </w:r>
      <w:r>
        <w:t>miraculeux</w:t>
      </w:r>
      <w:r w:rsidR="00D22163">
        <w:rPr>
          <w:rStyle w:val="Appelnotedebasdep"/>
        </w:rPr>
        <w:footnoteReference w:id="412"/>
      </w:r>
      <w:r w:rsidR="00D22163">
        <w:t>.</w:t>
      </w:r>
      <w:r w:rsidRPr="002C4077">
        <w:t xml:space="preserve"> </w:t>
      </w:r>
    </w:p>
    <w:p w:rsidR="000A7AAB" w:rsidRDefault="000A7AAB" w:rsidP="000A7AAB">
      <w:r>
        <w:t>Quant</w:t>
      </w:r>
      <w:r w:rsidRPr="002C4077">
        <w:t xml:space="preserve"> </w:t>
      </w:r>
      <w:r>
        <w:t>à</w:t>
      </w:r>
      <w:r w:rsidRPr="002C4077">
        <w:t xml:space="preserve"> </w:t>
      </w:r>
      <w:r>
        <w:t>la</w:t>
      </w:r>
      <w:r w:rsidRPr="002C4077">
        <w:t xml:space="preserve"> </w:t>
      </w:r>
      <w:r>
        <w:t>marche</w:t>
      </w:r>
      <w:r w:rsidRPr="002C4077">
        <w:t xml:space="preserve"> </w:t>
      </w:r>
      <w:r>
        <w:t>pathologique</w:t>
      </w:r>
      <w:r w:rsidRPr="002C4077">
        <w:t xml:space="preserve"> </w:t>
      </w:r>
      <w:r>
        <w:t>du</w:t>
      </w:r>
      <w:r w:rsidRPr="002C4077">
        <w:t xml:space="preserve"> </w:t>
      </w:r>
      <w:r>
        <w:t>phénomène,</w:t>
      </w:r>
      <w:r w:rsidRPr="002C4077">
        <w:t xml:space="preserve"> </w:t>
      </w:r>
      <w:r>
        <w:t>elle</w:t>
      </w:r>
      <w:r w:rsidRPr="002C4077">
        <w:t xml:space="preserve"> </w:t>
      </w:r>
      <w:r w:rsidR="00425C50">
        <w:t>est</w:t>
      </w:r>
      <w:r w:rsidRPr="002C4077">
        <w:t xml:space="preserve"> </w:t>
      </w:r>
      <w:r>
        <w:t>ainsi</w:t>
      </w:r>
      <w:r w:rsidRPr="002C4077">
        <w:t xml:space="preserve"> </w:t>
      </w:r>
      <w:r>
        <w:t>décrite</w:t>
      </w:r>
      <w:r w:rsidRPr="002C4077">
        <w:t xml:space="preserve"> </w:t>
      </w:r>
      <w:r>
        <w:t>par</w:t>
      </w:r>
      <w:r w:rsidRPr="002C4077">
        <w:t xml:space="preserve"> </w:t>
      </w:r>
      <w:r>
        <w:t>le</w:t>
      </w:r>
      <w:r w:rsidRPr="002C4077">
        <w:t xml:space="preserve"> </w:t>
      </w:r>
      <w:r>
        <w:t>docteur</w:t>
      </w:r>
      <w:r w:rsidRPr="002C4077">
        <w:t xml:space="preserve"> </w:t>
      </w:r>
      <w:r>
        <w:t>Millingen</w:t>
      </w:r>
      <w:r w:rsidR="00B546AF">
        <w:t> :</w:t>
      </w:r>
      <w:r w:rsidRPr="002C4077">
        <w:t xml:space="preserve"> </w:t>
      </w:r>
      <w:r w:rsidR="00B546AF">
        <w:t>« </w:t>
      </w:r>
      <w:r>
        <w:t>Il</w:t>
      </w:r>
      <w:r w:rsidRPr="002C4077">
        <w:t xml:space="preserve"> </w:t>
      </w:r>
      <w:r w:rsidR="00425C50">
        <w:t>est</w:t>
      </w:r>
      <w:r w:rsidRPr="002C4077">
        <w:t xml:space="preserve"> </w:t>
      </w:r>
      <w:r>
        <w:t>probable</w:t>
      </w:r>
      <w:r w:rsidRPr="002C4077">
        <w:t xml:space="preserve"> </w:t>
      </w:r>
      <w:r>
        <w:t>que</w:t>
      </w:r>
      <w:r w:rsidRPr="002C4077">
        <w:t xml:space="preserve"> </w:t>
      </w:r>
      <w:r>
        <w:t>ce</w:t>
      </w:r>
      <w:r w:rsidRPr="002C4077">
        <w:t xml:space="preserve"> </w:t>
      </w:r>
      <w:r>
        <w:t>désordre</w:t>
      </w:r>
      <w:r w:rsidRPr="002C4077">
        <w:t xml:space="preserve"> </w:t>
      </w:r>
      <w:r>
        <w:t>étrange</w:t>
      </w:r>
      <w:r w:rsidRPr="002C4077">
        <w:t xml:space="preserve"> </w:t>
      </w:r>
      <w:r>
        <w:t>provient</w:t>
      </w:r>
      <w:r w:rsidRPr="002C4077">
        <w:t xml:space="preserve"> </w:t>
      </w:r>
      <w:r>
        <w:t>d’une</w:t>
      </w:r>
      <w:r w:rsidRPr="002C4077">
        <w:t xml:space="preserve"> </w:t>
      </w:r>
      <w:r>
        <w:t>violente</w:t>
      </w:r>
      <w:r w:rsidRPr="002C4077">
        <w:t xml:space="preserve"> </w:t>
      </w:r>
      <w:r>
        <w:t>agitation</w:t>
      </w:r>
      <w:r w:rsidRPr="002C4077">
        <w:t xml:space="preserve"> </w:t>
      </w:r>
      <w:r>
        <w:t>du</w:t>
      </w:r>
      <w:r w:rsidRPr="002C4077">
        <w:t xml:space="preserve"> </w:t>
      </w:r>
      <w:r>
        <w:t>système</w:t>
      </w:r>
      <w:r w:rsidRPr="002C4077">
        <w:t xml:space="preserve"> </w:t>
      </w:r>
      <w:r>
        <w:t>nerveux,</w:t>
      </w:r>
      <w:r w:rsidRPr="002C4077">
        <w:t xml:space="preserve"> </w:t>
      </w:r>
      <w:r>
        <w:t>laquelle</w:t>
      </w:r>
      <w:r w:rsidRPr="002C4077">
        <w:t xml:space="preserve"> </w:t>
      </w:r>
      <w:r>
        <w:t>fait</w:t>
      </w:r>
      <w:r w:rsidRPr="002C4077">
        <w:t xml:space="preserve"> </w:t>
      </w:r>
      <w:r>
        <w:t>sortir</w:t>
      </w:r>
      <w:r w:rsidRPr="002C4077">
        <w:t xml:space="preserve"> </w:t>
      </w:r>
      <w:r>
        <w:t>les</w:t>
      </w:r>
      <w:r w:rsidRPr="002C4077">
        <w:t xml:space="preserve"> </w:t>
      </w:r>
      <w:r>
        <w:t>filets</w:t>
      </w:r>
      <w:r w:rsidRPr="002C4077">
        <w:t xml:space="preserve"> </w:t>
      </w:r>
      <w:r>
        <w:t>de</w:t>
      </w:r>
      <w:r w:rsidRPr="002C4077">
        <w:t xml:space="preserve"> </w:t>
      </w:r>
      <w:r>
        <w:t>sang</w:t>
      </w:r>
      <w:r w:rsidRPr="002C4077">
        <w:t xml:space="preserve"> </w:t>
      </w:r>
      <w:r>
        <w:t>de</w:t>
      </w:r>
      <w:r w:rsidRPr="002C4077">
        <w:t xml:space="preserve"> </w:t>
      </w:r>
      <w:r>
        <w:t>leurs</w:t>
      </w:r>
      <w:r w:rsidRPr="002C4077">
        <w:t xml:space="preserve"> </w:t>
      </w:r>
      <w:r>
        <w:t>voies</w:t>
      </w:r>
      <w:r w:rsidRPr="002C4077">
        <w:t xml:space="preserve"> </w:t>
      </w:r>
      <w:r>
        <w:t>naturelles,</w:t>
      </w:r>
      <w:r w:rsidRPr="002C4077">
        <w:t xml:space="preserve"> </w:t>
      </w:r>
      <w:r>
        <w:t>et</w:t>
      </w:r>
      <w:r w:rsidRPr="002C4077">
        <w:t xml:space="preserve"> </w:t>
      </w:r>
      <w:r>
        <w:t>précipite</w:t>
      </w:r>
      <w:r w:rsidRPr="002C4077">
        <w:t xml:space="preserve"> </w:t>
      </w:r>
      <w:r>
        <w:t>les</w:t>
      </w:r>
      <w:r w:rsidRPr="002C4077">
        <w:t xml:space="preserve"> </w:t>
      </w:r>
      <w:r>
        <w:t>particules</w:t>
      </w:r>
      <w:r w:rsidRPr="002C4077">
        <w:t xml:space="preserve"> </w:t>
      </w:r>
      <w:r>
        <w:t>rouges</w:t>
      </w:r>
      <w:r w:rsidRPr="002C4077">
        <w:t xml:space="preserve"> </w:t>
      </w:r>
      <w:r>
        <w:t>dans</w:t>
      </w:r>
      <w:r w:rsidRPr="002C4077">
        <w:t xml:space="preserve"> </w:t>
      </w:r>
      <w:r>
        <w:t>les</w:t>
      </w:r>
      <w:r w:rsidRPr="002C4077">
        <w:t xml:space="preserve"> </w:t>
      </w:r>
      <w:r>
        <w:t>vaisseaux</w:t>
      </w:r>
      <w:r w:rsidRPr="002C4077">
        <w:t xml:space="preserve"> </w:t>
      </w:r>
      <w:r>
        <w:t>excrétoires</w:t>
      </w:r>
      <w:r w:rsidRPr="002C4077">
        <w:t xml:space="preserve"> </w:t>
      </w:r>
      <w:r>
        <w:t>cutanés.</w:t>
      </w:r>
      <w:r w:rsidRPr="002C4077">
        <w:t xml:space="preserve"> </w:t>
      </w:r>
      <w:r>
        <w:t>Une</w:t>
      </w:r>
      <w:r w:rsidRPr="002C4077">
        <w:t xml:space="preserve"> </w:t>
      </w:r>
      <w:r>
        <w:t>simple</w:t>
      </w:r>
      <w:r w:rsidRPr="002C4077">
        <w:t xml:space="preserve"> </w:t>
      </w:r>
      <w:r>
        <w:t>relaxation</w:t>
      </w:r>
      <w:r w:rsidRPr="002C4077">
        <w:t xml:space="preserve"> </w:t>
      </w:r>
      <w:r>
        <w:t>des</w:t>
      </w:r>
      <w:r w:rsidRPr="002C4077">
        <w:t xml:space="preserve"> </w:t>
      </w:r>
      <w:r>
        <w:t>fibres</w:t>
      </w:r>
      <w:r w:rsidRPr="002C4077">
        <w:t xml:space="preserve"> </w:t>
      </w:r>
      <w:r>
        <w:t>serait</w:t>
      </w:r>
      <w:r w:rsidRPr="002C4077">
        <w:t xml:space="preserve"> </w:t>
      </w:r>
      <w:r>
        <w:t>incapable</w:t>
      </w:r>
      <w:r w:rsidRPr="002C4077">
        <w:t xml:space="preserve"> </w:t>
      </w:r>
      <w:r>
        <w:t>de</w:t>
      </w:r>
      <w:r w:rsidRPr="002C4077">
        <w:t xml:space="preserve"> </w:t>
      </w:r>
      <w:r>
        <w:t>produire</w:t>
      </w:r>
      <w:r w:rsidRPr="002C4077">
        <w:t xml:space="preserve"> </w:t>
      </w:r>
      <w:r>
        <w:t>une</w:t>
      </w:r>
      <w:r w:rsidRPr="002C4077">
        <w:t xml:space="preserve"> </w:t>
      </w:r>
      <w:r>
        <w:t>si</w:t>
      </w:r>
      <w:r w:rsidRPr="002C4077">
        <w:t xml:space="preserve"> </w:t>
      </w:r>
      <w:r>
        <w:t>puissante</w:t>
      </w:r>
      <w:r w:rsidRPr="002C4077">
        <w:t xml:space="preserve"> </w:t>
      </w:r>
      <w:r>
        <w:t>révulsion</w:t>
      </w:r>
      <w:r w:rsidR="00B91AF7">
        <w:rPr>
          <w:rStyle w:val="Appelnotedebasdep"/>
        </w:rPr>
        <w:footnoteReference w:id="413"/>
      </w:r>
      <w:r w:rsidR="00B546AF">
        <w:t> »</w:t>
      </w:r>
      <w:r>
        <w:t>.</w:t>
      </w:r>
      <w:r w:rsidR="00C45B47">
        <w:t xml:space="preserve"> {</w:t>
      </w:r>
      <w:r w:rsidR="004C5B7A">
        <w:t>126</w:t>
      </w:r>
      <w:bookmarkStart w:id="355" w:name="p126"/>
      <w:bookmarkEnd w:id="355"/>
      <w:r w:rsidR="004C5B7A">
        <w:t xml:space="preserve">} </w:t>
      </w:r>
      <w:r>
        <w:t>M.</w:t>
      </w:r>
      <w:r w:rsidRPr="002C4077">
        <w:t xml:space="preserve"> </w:t>
      </w:r>
      <w:r>
        <w:t>Stroud</w:t>
      </w:r>
      <w:r w:rsidRPr="002C4077">
        <w:t xml:space="preserve"> </w:t>
      </w:r>
      <w:r>
        <w:t>a</w:t>
      </w:r>
      <w:r w:rsidRPr="002C4077">
        <w:t xml:space="preserve"> </w:t>
      </w:r>
      <w:r>
        <w:t>démontré</w:t>
      </w:r>
      <w:r w:rsidRPr="002C4077">
        <w:t xml:space="preserve"> </w:t>
      </w:r>
      <w:r>
        <w:t>de</w:t>
      </w:r>
      <w:r w:rsidRPr="002C4077">
        <w:t xml:space="preserve"> </w:t>
      </w:r>
      <w:r>
        <w:t>son</w:t>
      </w:r>
      <w:r w:rsidRPr="002C4077">
        <w:t xml:space="preserve"> </w:t>
      </w:r>
      <w:r>
        <w:t>côté</w:t>
      </w:r>
      <w:r w:rsidRPr="002C4077">
        <w:t xml:space="preserve"> </w:t>
      </w:r>
      <w:r w:rsidR="00B91AF7">
        <w:rPr>
          <w:rStyle w:val="Appelnotedebasdep"/>
        </w:rPr>
        <w:footnoteReference w:id="414"/>
      </w:r>
      <w:r w:rsidRPr="002C4077">
        <w:t xml:space="preserve"> </w:t>
      </w:r>
      <w:r>
        <w:t>qu’en</w:t>
      </w:r>
      <w:r w:rsidRPr="002C4077">
        <w:t xml:space="preserve"> </w:t>
      </w:r>
      <w:r>
        <w:t>certain</w:t>
      </w:r>
      <w:r w:rsidRPr="002C4077">
        <w:t xml:space="preserve"> </w:t>
      </w:r>
      <w:r>
        <w:t>cas</w:t>
      </w:r>
      <w:r w:rsidRPr="002C4077">
        <w:t xml:space="preserve"> </w:t>
      </w:r>
      <w:r>
        <w:t>de</w:t>
      </w:r>
      <w:r w:rsidRPr="002C4077">
        <w:t xml:space="preserve"> </w:t>
      </w:r>
      <w:r>
        <w:t>grande</w:t>
      </w:r>
      <w:r w:rsidRPr="002C4077">
        <w:t xml:space="preserve"> </w:t>
      </w:r>
      <w:r>
        <w:t>lutte</w:t>
      </w:r>
      <w:r w:rsidRPr="002C4077">
        <w:t xml:space="preserve"> </w:t>
      </w:r>
      <w:r>
        <w:t>mentale,</w:t>
      </w:r>
      <w:r w:rsidRPr="002C4077">
        <w:t xml:space="preserve"> </w:t>
      </w:r>
      <w:r>
        <w:t>les</w:t>
      </w:r>
      <w:r w:rsidRPr="002C4077">
        <w:t xml:space="preserve"> </w:t>
      </w:r>
      <w:r>
        <w:t>palpitations</w:t>
      </w:r>
      <w:r w:rsidRPr="002C4077">
        <w:t xml:space="preserve"> </w:t>
      </w:r>
      <w:r>
        <w:t>du</w:t>
      </w:r>
      <w:r w:rsidRPr="002C4077">
        <w:t xml:space="preserve"> </w:t>
      </w:r>
      <w:r>
        <w:t>cœur</w:t>
      </w:r>
      <w:r w:rsidRPr="002C4077">
        <w:t xml:space="preserve"> </w:t>
      </w:r>
      <w:r>
        <w:t>deviennent</w:t>
      </w:r>
      <w:r w:rsidRPr="002C4077">
        <w:t xml:space="preserve"> </w:t>
      </w:r>
      <w:r>
        <w:t>si</w:t>
      </w:r>
      <w:r w:rsidRPr="002C4077">
        <w:t xml:space="preserve"> </w:t>
      </w:r>
      <w:r>
        <w:t>rapides,</w:t>
      </w:r>
      <w:r w:rsidRPr="002C4077">
        <w:t xml:space="preserve"> </w:t>
      </w:r>
      <w:r>
        <w:t>et</w:t>
      </w:r>
      <w:r w:rsidRPr="002C4077">
        <w:t xml:space="preserve"> </w:t>
      </w:r>
      <w:r>
        <w:t>la</w:t>
      </w:r>
      <w:r w:rsidRPr="002C4077">
        <w:t xml:space="preserve"> </w:t>
      </w:r>
      <w:r>
        <w:t>circulation</w:t>
      </w:r>
      <w:r w:rsidRPr="002C4077">
        <w:t xml:space="preserve"> </w:t>
      </w:r>
      <w:r>
        <w:t>du</w:t>
      </w:r>
      <w:r w:rsidRPr="002C4077">
        <w:t xml:space="preserve"> </w:t>
      </w:r>
      <w:r>
        <w:t>sang</w:t>
      </w:r>
      <w:r w:rsidRPr="002C4077">
        <w:t xml:space="preserve"> </w:t>
      </w:r>
      <w:r w:rsidR="00425C50">
        <w:t>est</w:t>
      </w:r>
      <w:r w:rsidRPr="002C4077">
        <w:t xml:space="preserve"> </w:t>
      </w:r>
      <w:r>
        <w:t>tellement</w:t>
      </w:r>
      <w:r w:rsidRPr="002C4077">
        <w:t xml:space="preserve"> </w:t>
      </w:r>
      <w:r>
        <w:t>accélérée,</w:t>
      </w:r>
      <w:r w:rsidRPr="002C4077">
        <w:t xml:space="preserve"> </w:t>
      </w:r>
      <w:r>
        <w:t>qu’il</w:t>
      </w:r>
      <w:r w:rsidRPr="002C4077">
        <w:t xml:space="preserve"> </w:t>
      </w:r>
      <w:r>
        <w:t>s’exerce</w:t>
      </w:r>
      <w:r w:rsidRPr="002C4077">
        <w:t xml:space="preserve"> </w:t>
      </w:r>
      <w:r>
        <w:t>une</w:t>
      </w:r>
      <w:r w:rsidRPr="002C4077">
        <w:t xml:space="preserve"> </w:t>
      </w:r>
      <w:r>
        <w:t>forte</w:t>
      </w:r>
      <w:r w:rsidRPr="002C4077">
        <w:t xml:space="preserve"> </w:t>
      </w:r>
      <w:r>
        <w:t>pression</w:t>
      </w:r>
      <w:r w:rsidRPr="002C4077">
        <w:t xml:space="preserve"> </w:t>
      </w:r>
      <w:r>
        <w:t>sur</w:t>
      </w:r>
      <w:r w:rsidRPr="002C4077">
        <w:t xml:space="preserve"> </w:t>
      </w:r>
      <w:r>
        <w:t>les</w:t>
      </w:r>
      <w:r w:rsidRPr="002C4077">
        <w:t xml:space="preserve"> </w:t>
      </w:r>
      <w:r>
        <w:t>vaisseaux</w:t>
      </w:r>
      <w:r w:rsidRPr="002C4077">
        <w:t xml:space="preserve"> </w:t>
      </w:r>
      <w:r w:rsidR="00CC5FEA">
        <w:t>sanguins</w:t>
      </w:r>
      <w:r>
        <w:t>,</w:t>
      </w:r>
      <w:r w:rsidRPr="002C4077">
        <w:t xml:space="preserve"> </w:t>
      </w:r>
      <w:r>
        <w:t>ce</w:t>
      </w:r>
      <w:r w:rsidRPr="002C4077">
        <w:t xml:space="preserve"> </w:t>
      </w:r>
      <w:r>
        <w:t>qui</w:t>
      </w:r>
      <w:r w:rsidRPr="002C4077">
        <w:t xml:space="preserve"> </w:t>
      </w:r>
      <w:r>
        <w:t>produit</w:t>
      </w:r>
      <w:r w:rsidRPr="002C4077">
        <w:t xml:space="preserve"> </w:t>
      </w:r>
      <w:r>
        <w:t>tantôt</w:t>
      </w:r>
      <w:r w:rsidRPr="002C4077">
        <w:t xml:space="preserve"> </w:t>
      </w:r>
      <w:r>
        <w:t>une</w:t>
      </w:r>
      <w:r w:rsidRPr="002C4077">
        <w:t xml:space="preserve"> </w:t>
      </w:r>
      <w:r w:rsidR="00CC5FEA">
        <w:t>hémorragie</w:t>
      </w:r>
      <w:r>
        <w:t>,</w:t>
      </w:r>
      <w:r w:rsidRPr="002C4077">
        <w:t xml:space="preserve"> </w:t>
      </w:r>
      <w:r>
        <w:t>tantôt</w:t>
      </w:r>
      <w:r w:rsidRPr="002C4077">
        <w:t xml:space="preserve"> </w:t>
      </w:r>
      <w:r>
        <w:t>une</w:t>
      </w:r>
      <w:r w:rsidRPr="002C4077">
        <w:t xml:space="preserve"> </w:t>
      </w:r>
      <w:r>
        <w:t>transpiration</w:t>
      </w:r>
      <w:r w:rsidRPr="002C4077">
        <w:t xml:space="preserve"> </w:t>
      </w:r>
      <w:r>
        <w:t>de</w:t>
      </w:r>
      <w:r w:rsidRPr="002C4077">
        <w:t xml:space="preserve"> </w:t>
      </w:r>
      <w:r>
        <w:t>sang</w:t>
      </w:r>
      <w:r w:rsidRPr="002C4077">
        <w:t xml:space="preserve"> </w:t>
      </w:r>
      <w:r>
        <w:t>qui</w:t>
      </w:r>
      <w:r w:rsidRPr="002C4077">
        <w:t xml:space="preserve"> </w:t>
      </w:r>
      <w:r>
        <w:t>se</w:t>
      </w:r>
      <w:r w:rsidRPr="002C4077">
        <w:t xml:space="preserve"> </w:t>
      </w:r>
      <w:r>
        <w:t>mêle</w:t>
      </w:r>
      <w:r w:rsidRPr="002C4077">
        <w:t xml:space="preserve"> </w:t>
      </w:r>
      <w:r>
        <w:t>à</w:t>
      </w:r>
      <w:r w:rsidRPr="002C4077">
        <w:t xml:space="preserve"> </w:t>
      </w:r>
      <w:r>
        <w:t>la</w:t>
      </w:r>
      <w:r w:rsidRPr="002C4077">
        <w:t xml:space="preserve"> </w:t>
      </w:r>
      <w:r>
        <w:t>sueur</w:t>
      </w:r>
      <w:r w:rsidRPr="002C4077">
        <w:t xml:space="preserve"> </w:t>
      </w:r>
      <w:r>
        <w:t>et</w:t>
      </w:r>
      <w:bookmarkStart w:id="356" w:name="z_SueurDeSang_o9"/>
      <w:bookmarkEnd w:id="356"/>
      <w:r w:rsidRPr="002C4077">
        <w:t xml:space="preserve"> </w:t>
      </w:r>
      <w:r>
        <w:t>la</w:t>
      </w:r>
      <w:bookmarkStart w:id="357" w:name="z_Diapedesis_o2"/>
      <w:bookmarkEnd w:id="357"/>
      <w:r w:rsidRPr="002C4077">
        <w:t xml:space="preserve"> </w:t>
      </w:r>
      <w:r>
        <w:t>colore.</w:t>
      </w:r>
      <w:r w:rsidRPr="002C4077">
        <w:t xml:space="preserve"> </w:t>
      </w:r>
    </w:p>
    <w:p w:rsidR="000D12F1" w:rsidRDefault="000D12F1" w:rsidP="000A7AAB"/>
    <w:p w:rsidR="000A7AAB" w:rsidRDefault="000A7AAB" w:rsidP="000A7AAB">
      <w:r>
        <w:t>Nos</w:t>
      </w:r>
      <w:r w:rsidRPr="002C4077">
        <w:t xml:space="preserve"> </w:t>
      </w:r>
      <w:r>
        <w:t>conclusions</w:t>
      </w:r>
      <w:r w:rsidRPr="002C4077">
        <w:t xml:space="preserve"> </w:t>
      </w:r>
      <w:r>
        <w:t>sont</w:t>
      </w:r>
      <w:r w:rsidRPr="002C4077">
        <w:t xml:space="preserve"> </w:t>
      </w:r>
      <w:r>
        <w:t>toutes</w:t>
      </w:r>
      <w:r w:rsidRPr="002C4077">
        <w:t xml:space="preserve"> </w:t>
      </w:r>
      <w:r>
        <w:t>tirées</w:t>
      </w:r>
      <w:r w:rsidR="00B546AF">
        <w:t> :</w:t>
      </w:r>
      <w:r w:rsidRPr="002C4077">
        <w:t xml:space="preserve"> </w:t>
      </w:r>
      <w:r>
        <w:t>nous</w:t>
      </w:r>
      <w:r w:rsidRPr="002C4077">
        <w:t xml:space="preserve"> </w:t>
      </w:r>
      <w:r>
        <w:t>n’avons</w:t>
      </w:r>
      <w:r w:rsidRPr="002C4077">
        <w:t xml:space="preserve"> </w:t>
      </w:r>
      <w:r>
        <w:t>qu’à</w:t>
      </w:r>
      <w:r w:rsidRPr="002C4077">
        <w:t xml:space="preserve"> </w:t>
      </w:r>
      <w:r>
        <w:t>les</w:t>
      </w:r>
      <w:r w:rsidRPr="002C4077">
        <w:t xml:space="preserve"> </w:t>
      </w:r>
      <w:r>
        <w:t>résumer</w:t>
      </w:r>
      <w:r w:rsidRPr="002C4077">
        <w:t xml:space="preserve"> </w:t>
      </w:r>
      <w:r>
        <w:t>en</w:t>
      </w:r>
      <w:r w:rsidRPr="002C4077">
        <w:t xml:space="preserve"> </w:t>
      </w:r>
      <w:r>
        <w:t>quelques</w:t>
      </w:r>
      <w:r w:rsidRPr="002C4077">
        <w:t xml:space="preserve"> </w:t>
      </w:r>
      <w:r>
        <w:t>lignes.</w:t>
      </w:r>
      <w:r w:rsidRPr="002C4077">
        <w:t xml:space="preserve"> </w:t>
      </w:r>
    </w:p>
    <w:p w:rsidR="000A7AAB" w:rsidRDefault="000A7AAB" w:rsidP="000A7AAB">
      <w:r>
        <w:t>1°</w:t>
      </w:r>
      <w:r w:rsidRPr="002C4077">
        <w:t xml:space="preserve"> </w:t>
      </w:r>
      <w:r>
        <w:t>Les</w:t>
      </w:r>
      <w:r w:rsidRPr="002C4077">
        <w:t xml:space="preserve"> </w:t>
      </w:r>
      <w:r>
        <w:t>versets</w:t>
      </w:r>
      <w:r w:rsidRPr="002C4077">
        <w:t xml:space="preserve"> </w:t>
      </w:r>
      <w:r>
        <w:t>43</w:t>
      </w:r>
      <w:r w:rsidRPr="002C4077">
        <w:t xml:space="preserve"> </w:t>
      </w:r>
      <w:r>
        <w:t>et</w:t>
      </w:r>
      <w:r w:rsidRPr="002C4077">
        <w:t xml:space="preserve"> </w:t>
      </w:r>
      <w:r>
        <w:t>44</w:t>
      </w:r>
      <w:r w:rsidRPr="002C4077">
        <w:t xml:space="preserve"> </w:t>
      </w:r>
      <w:r>
        <w:t>du</w:t>
      </w:r>
      <w:r w:rsidRPr="002C4077">
        <w:t xml:space="preserve"> </w:t>
      </w:r>
      <w:r>
        <w:t>XX</w:t>
      </w:r>
      <w:r w:rsidR="007B3C26">
        <w:t>II</w:t>
      </w:r>
      <w:r w:rsidR="007B3C26" w:rsidRPr="007B3C26">
        <w:rPr>
          <w:vertAlign w:val="superscript"/>
        </w:rPr>
        <w:t>e</w:t>
      </w:r>
      <w:r w:rsidRPr="002C4077">
        <w:t xml:space="preserve"> </w:t>
      </w:r>
      <w:r>
        <w:t>chapitre</w:t>
      </w:r>
      <w:r w:rsidRPr="002C4077">
        <w:t xml:space="preserve"> </w:t>
      </w:r>
      <w:r>
        <w:t>de</w:t>
      </w:r>
      <w:r w:rsidRPr="002C4077">
        <w:t xml:space="preserve"> </w:t>
      </w:r>
      <w:r>
        <w:t>l’Évangile</w:t>
      </w:r>
      <w:r w:rsidRPr="002C4077">
        <w:t xml:space="preserve"> </w:t>
      </w:r>
      <w:r>
        <w:t>selon</w:t>
      </w:r>
      <w:r w:rsidRPr="002C4077">
        <w:t xml:space="preserve"> </w:t>
      </w:r>
      <w:r>
        <w:t>S.</w:t>
      </w:r>
      <w:r w:rsidRPr="002C4077">
        <w:t xml:space="preserve"> </w:t>
      </w:r>
      <w:r>
        <w:t>Luc</w:t>
      </w:r>
      <w:r w:rsidRPr="002C4077">
        <w:t xml:space="preserve"> </w:t>
      </w:r>
      <w:r>
        <w:t>sont</w:t>
      </w:r>
      <w:r w:rsidRPr="002C4077">
        <w:t xml:space="preserve"> </w:t>
      </w:r>
      <w:r>
        <w:t>certainement</w:t>
      </w:r>
      <w:r w:rsidRPr="002C4077">
        <w:t xml:space="preserve"> </w:t>
      </w:r>
      <w:r>
        <w:t>authentiques.</w:t>
      </w:r>
      <w:r w:rsidRPr="002C4077">
        <w:t xml:space="preserve"> </w:t>
      </w:r>
    </w:p>
    <w:p w:rsidR="000A7AAB" w:rsidRDefault="000A7AAB" w:rsidP="000A7AAB">
      <w:r>
        <w:t>2°</w:t>
      </w:r>
      <w:r w:rsidRPr="002C4077">
        <w:t xml:space="preserve"> </w:t>
      </w:r>
      <w:r>
        <w:t>Leur</w:t>
      </w:r>
      <w:r w:rsidRPr="002C4077">
        <w:t xml:space="preserve"> </w:t>
      </w:r>
      <w:r>
        <w:t>caractère</w:t>
      </w:r>
      <w:r w:rsidRPr="002C4077">
        <w:t xml:space="preserve"> </w:t>
      </w:r>
      <w:r>
        <w:t>historique</w:t>
      </w:r>
      <w:r w:rsidRPr="002C4077">
        <w:t xml:space="preserve"> </w:t>
      </w:r>
      <w:r w:rsidR="00425C50">
        <w:t>est</w:t>
      </w:r>
      <w:r w:rsidRPr="002C4077">
        <w:t xml:space="preserve"> </w:t>
      </w:r>
      <w:r>
        <w:t>indiscutable</w:t>
      </w:r>
      <w:r w:rsidR="00B546AF">
        <w:t> ;</w:t>
      </w:r>
      <w:r w:rsidRPr="002C4077">
        <w:t xml:space="preserve"> </w:t>
      </w:r>
      <w:r>
        <w:t>on</w:t>
      </w:r>
      <w:r w:rsidRPr="002C4077">
        <w:t xml:space="preserve"> </w:t>
      </w:r>
      <w:r>
        <w:t>n’y</w:t>
      </w:r>
      <w:r w:rsidRPr="002C4077">
        <w:t xml:space="preserve"> </w:t>
      </w:r>
      <w:r>
        <w:t>voit</w:t>
      </w:r>
      <w:r w:rsidRPr="002C4077">
        <w:t xml:space="preserve"> </w:t>
      </w:r>
      <w:r>
        <w:t>pas</w:t>
      </w:r>
      <w:r w:rsidRPr="002C4077">
        <w:t xml:space="preserve"> </w:t>
      </w:r>
      <w:r>
        <w:t>la</w:t>
      </w:r>
      <w:r w:rsidRPr="002C4077">
        <w:t xml:space="preserve"> </w:t>
      </w:r>
      <w:r>
        <w:t>moindre</w:t>
      </w:r>
      <w:r w:rsidRPr="002C4077">
        <w:t xml:space="preserve"> </w:t>
      </w:r>
      <w:r>
        <w:t>trace</w:t>
      </w:r>
      <w:r w:rsidRPr="002C4077">
        <w:t xml:space="preserve"> </w:t>
      </w:r>
      <w:r>
        <w:t>d’exagération,</w:t>
      </w:r>
      <w:r w:rsidRPr="002C4077">
        <w:t xml:space="preserve"> </w:t>
      </w:r>
      <w:r>
        <w:t>de</w:t>
      </w:r>
      <w:r w:rsidRPr="002C4077">
        <w:t xml:space="preserve"> </w:t>
      </w:r>
      <w:r>
        <w:t>légende,</w:t>
      </w:r>
      <w:r w:rsidRPr="002C4077">
        <w:t xml:space="preserve"> </w:t>
      </w:r>
      <w:r>
        <w:t>de</w:t>
      </w:r>
      <w:r w:rsidRPr="002C4077">
        <w:t xml:space="preserve"> </w:t>
      </w:r>
      <w:r>
        <w:t>tendance</w:t>
      </w:r>
      <w:r w:rsidRPr="002C4077">
        <w:t xml:space="preserve"> </w:t>
      </w:r>
      <w:r>
        <w:t>à</w:t>
      </w:r>
      <w:r w:rsidRPr="002C4077">
        <w:t xml:space="preserve"> </w:t>
      </w:r>
      <w:r>
        <w:t>idéaliser.</w:t>
      </w:r>
      <w:r w:rsidRPr="002C4077">
        <w:t xml:space="preserve"> </w:t>
      </w:r>
      <w:r>
        <w:t>C’est</w:t>
      </w:r>
      <w:r w:rsidRPr="002C4077">
        <w:t xml:space="preserve"> </w:t>
      </w:r>
      <w:r>
        <w:t>un</w:t>
      </w:r>
      <w:r w:rsidRPr="002C4077">
        <w:t xml:space="preserve"> </w:t>
      </w:r>
      <w:r>
        <w:t>bulletin</w:t>
      </w:r>
      <w:r w:rsidRPr="002C4077">
        <w:t xml:space="preserve"> </w:t>
      </w:r>
      <w:r>
        <w:t>médical</w:t>
      </w:r>
      <w:r w:rsidRPr="002C4077">
        <w:t xml:space="preserve"> </w:t>
      </w:r>
      <w:r>
        <w:t>et</w:t>
      </w:r>
      <w:r w:rsidRPr="002C4077">
        <w:t xml:space="preserve"> </w:t>
      </w:r>
      <w:r>
        <w:t>point</w:t>
      </w:r>
      <w:r w:rsidRPr="002C4077">
        <w:t xml:space="preserve"> </w:t>
      </w:r>
      <w:r>
        <w:t>une</w:t>
      </w:r>
      <w:r w:rsidRPr="002C4077">
        <w:t xml:space="preserve"> </w:t>
      </w:r>
      <w:r>
        <w:t>poésie.</w:t>
      </w:r>
      <w:r w:rsidRPr="002C4077">
        <w:t xml:space="preserve"> </w:t>
      </w:r>
    </w:p>
    <w:p w:rsidR="000A7AAB" w:rsidRDefault="000A7AAB" w:rsidP="000A7AAB">
      <w:r>
        <w:t>3°</w:t>
      </w:r>
      <w:r w:rsidRPr="002C4077">
        <w:t xml:space="preserve"> </w:t>
      </w:r>
      <w:r>
        <w:t>Il</w:t>
      </w:r>
      <w:r w:rsidRPr="002C4077">
        <w:t xml:space="preserve"> </w:t>
      </w:r>
      <w:r>
        <w:t>faut</w:t>
      </w:r>
      <w:r w:rsidRPr="002C4077">
        <w:t xml:space="preserve"> </w:t>
      </w:r>
      <w:r>
        <w:t>les</w:t>
      </w:r>
      <w:r w:rsidRPr="002C4077">
        <w:t xml:space="preserve"> </w:t>
      </w:r>
      <w:r>
        <w:t>interpréter</w:t>
      </w:r>
      <w:r w:rsidRPr="002C4077">
        <w:t xml:space="preserve"> </w:t>
      </w:r>
      <w:r>
        <w:t>à</w:t>
      </w:r>
      <w:r w:rsidRPr="002C4077">
        <w:t xml:space="preserve"> </w:t>
      </w:r>
      <w:r>
        <w:t>la</w:t>
      </w:r>
      <w:r w:rsidRPr="002C4077">
        <w:t xml:space="preserve"> </w:t>
      </w:r>
      <w:r>
        <w:t>lettre,</w:t>
      </w:r>
      <w:r w:rsidRPr="002C4077">
        <w:t xml:space="preserve"> </w:t>
      </w:r>
      <w:r>
        <w:t>en</w:t>
      </w:r>
      <w:r w:rsidRPr="002C4077">
        <w:t xml:space="preserve"> </w:t>
      </w:r>
      <w:r>
        <w:t>toute</w:t>
      </w:r>
      <w:r w:rsidRPr="002C4077">
        <w:t xml:space="preserve"> </w:t>
      </w:r>
      <w:r>
        <w:t>rigueur.</w:t>
      </w:r>
      <w:r w:rsidRPr="002C4077">
        <w:t xml:space="preserve"> </w:t>
      </w:r>
    </w:p>
    <w:p w:rsidR="000A7AAB" w:rsidRDefault="000A7AAB" w:rsidP="000A7AAB">
      <w:r>
        <w:t>4°</w:t>
      </w:r>
      <w:r w:rsidRPr="002C4077">
        <w:t xml:space="preserve"> </w:t>
      </w:r>
      <w:r>
        <w:t>Les</w:t>
      </w:r>
      <w:r w:rsidRPr="002C4077">
        <w:t xml:space="preserve"> </w:t>
      </w:r>
      <w:r>
        <w:t>faits</w:t>
      </w:r>
      <w:r w:rsidRPr="002C4077">
        <w:t xml:space="preserve"> </w:t>
      </w:r>
      <w:r>
        <w:t>qu’ils</w:t>
      </w:r>
      <w:r w:rsidRPr="002C4077">
        <w:t xml:space="preserve"> </w:t>
      </w:r>
      <w:r>
        <w:t>racontent</w:t>
      </w:r>
      <w:r w:rsidRPr="002C4077">
        <w:t xml:space="preserve"> </w:t>
      </w:r>
      <w:r>
        <w:t>sont</w:t>
      </w:r>
      <w:r w:rsidRPr="002C4077">
        <w:t xml:space="preserve"> </w:t>
      </w:r>
      <w:r>
        <w:t>possibles</w:t>
      </w:r>
      <w:r w:rsidRPr="002C4077">
        <w:t xml:space="preserve"> </w:t>
      </w:r>
      <w:r>
        <w:t>en</w:t>
      </w:r>
      <w:r w:rsidRPr="002C4077">
        <w:t xml:space="preserve"> </w:t>
      </w:r>
      <w:r>
        <w:t>eux-mêmes</w:t>
      </w:r>
      <w:r w:rsidRPr="002C4077">
        <w:t xml:space="preserve"> </w:t>
      </w:r>
      <w:r>
        <w:t>et</w:t>
      </w:r>
      <w:r w:rsidRPr="002C4077">
        <w:t xml:space="preserve"> </w:t>
      </w:r>
      <w:r>
        <w:t>dans</w:t>
      </w:r>
      <w:r w:rsidRPr="002C4077">
        <w:t xml:space="preserve"> </w:t>
      </w:r>
      <w:r>
        <w:t>toutes</w:t>
      </w:r>
      <w:r w:rsidRPr="002C4077">
        <w:t xml:space="preserve"> </w:t>
      </w:r>
      <w:r>
        <w:t>leurs</w:t>
      </w:r>
      <w:r w:rsidRPr="002C4077">
        <w:t xml:space="preserve"> </w:t>
      </w:r>
      <w:r>
        <w:t>circonstances.</w:t>
      </w:r>
      <w:r w:rsidRPr="002C4077">
        <w:t xml:space="preserve"> </w:t>
      </w:r>
    </w:p>
    <w:p w:rsidR="000A7AAB" w:rsidRDefault="000A7AAB" w:rsidP="000A7AAB">
      <w:r>
        <w:t>Nous</w:t>
      </w:r>
      <w:r w:rsidRPr="002C4077">
        <w:t xml:space="preserve"> </w:t>
      </w:r>
      <w:r>
        <w:t>avons</w:t>
      </w:r>
      <w:r w:rsidRPr="002C4077">
        <w:t xml:space="preserve"> </w:t>
      </w:r>
      <w:r>
        <w:t>par</w:t>
      </w:r>
      <w:r w:rsidRPr="002C4077">
        <w:t xml:space="preserve"> </w:t>
      </w:r>
      <w:r>
        <w:t>conséquent</w:t>
      </w:r>
      <w:r w:rsidRPr="002C4077">
        <w:t xml:space="preserve"> </w:t>
      </w:r>
      <w:r>
        <w:t>le</w:t>
      </w:r>
      <w:r w:rsidRPr="002C4077">
        <w:t xml:space="preserve"> </w:t>
      </w:r>
      <w:r>
        <w:t>droit,</w:t>
      </w:r>
      <w:r w:rsidRPr="002C4077">
        <w:t xml:space="preserve"> </w:t>
      </w:r>
      <w:r>
        <w:t>comme</w:t>
      </w:r>
      <w:r w:rsidRPr="002C4077">
        <w:t xml:space="preserve"> </w:t>
      </w:r>
      <w:r>
        <w:t>nous</w:t>
      </w:r>
      <w:r w:rsidRPr="002C4077">
        <w:t xml:space="preserve"> </w:t>
      </w:r>
      <w:r>
        <w:t>l’affirmions</w:t>
      </w:r>
      <w:r w:rsidRPr="002C4077">
        <w:t xml:space="preserve"> </w:t>
      </w:r>
      <w:r>
        <w:t>en</w:t>
      </w:r>
      <w:r w:rsidRPr="002C4077">
        <w:t xml:space="preserve"> </w:t>
      </w:r>
      <w:r>
        <w:t>commençant</w:t>
      </w:r>
      <w:r w:rsidR="00B91AF7">
        <w:rPr>
          <w:rStyle w:val="Appelnotedebasdep"/>
        </w:rPr>
        <w:footnoteReference w:id="415"/>
      </w:r>
      <w:r>
        <w:t>,</w:t>
      </w:r>
      <w:r w:rsidRPr="002C4077">
        <w:t xml:space="preserve"> </w:t>
      </w:r>
      <w:r>
        <w:t>de</w:t>
      </w:r>
      <w:r w:rsidRPr="002C4077">
        <w:t xml:space="preserve"> </w:t>
      </w:r>
      <w:r w:rsidR="00B546AF">
        <w:t>« </w:t>
      </w:r>
      <w:r>
        <w:t>revendiquer</w:t>
      </w:r>
      <w:r w:rsidRPr="002C4077">
        <w:t xml:space="preserve"> </w:t>
      </w:r>
      <w:r>
        <w:t>sur</w:t>
      </w:r>
      <w:r w:rsidRPr="002C4077">
        <w:t xml:space="preserve"> </w:t>
      </w:r>
      <w:r>
        <w:t>toute</w:t>
      </w:r>
      <w:r w:rsidRPr="002C4077">
        <w:t xml:space="preserve"> </w:t>
      </w:r>
      <w:r>
        <w:t>la</w:t>
      </w:r>
      <w:r w:rsidRPr="002C4077">
        <w:t xml:space="preserve"> </w:t>
      </w:r>
      <w:r>
        <w:t>ligne</w:t>
      </w:r>
      <w:r w:rsidRPr="002C4077">
        <w:t xml:space="preserve"> </w:t>
      </w:r>
      <w:r>
        <w:t>la</w:t>
      </w:r>
      <w:r w:rsidRPr="002C4077">
        <w:t xml:space="preserve"> </w:t>
      </w:r>
      <w:r>
        <w:t>crédibilité</w:t>
      </w:r>
      <w:r w:rsidRPr="002C4077">
        <w:t xml:space="preserve"> </w:t>
      </w:r>
      <w:r>
        <w:t>parfaite</w:t>
      </w:r>
      <w:r w:rsidR="00B546AF">
        <w:t> »</w:t>
      </w:r>
      <w:r w:rsidRPr="002C4077">
        <w:t xml:space="preserve"> </w:t>
      </w:r>
      <w:r>
        <w:t>des</w:t>
      </w:r>
      <w:r w:rsidRPr="002C4077">
        <w:t xml:space="preserve"> </w:t>
      </w:r>
      <w:r>
        <w:t>traits</w:t>
      </w:r>
      <w:r w:rsidRPr="002C4077">
        <w:t xml:space="preserve"> </w:t>
      </w:r>
      <w:r>
        <w:t>spéciaux</w:t>
      </w:r>
      <w:r w:rsidRPr="002C4077">
        <w:t xml:space="preserve"> </w:t>
      </w:r>
      <w:r>
        <w:t>rattachés</w:t>
      </w:r>
      <w:r w:rsidRPr="002C4077">
        <w:t xml:space="preserve"> </w:t>
      </w:r>
      <w:r>
        <w:t>par</w:t>
      </w:r>
      <w:r w:rsidRPr="002C4077">
        <w:t xml:space="preserve"> </w:t>
      </w:r>
      <w:r>
        <w:t>S.</w:t>
      </w:r>
      <w:r w:rsidRPr="002C4077">
        <w:t xml:space="preserve"> </w:t>
      </w:r>
      <w:r>
        <w:t>Luc</w:t>
      </w:r>
      <w:r w:rsidRPr="002C4077">
        <w:t xml:space="preserve"> </w:t>
      </w:r>
      <w:r>
        <w:t>à</w:t>
      </w:r>
      <w:r w:rsidRPr="002C4077">
        <w:t xml:space="preserve"> </w:t>
      </w:r>
      <w:r>
        <w:t>l’agonie</w:t>
      </w:r>
      <w:r w:rsidRPr="002C4077">
        <w:t xml:space="preserve"> </w:t>
      </w:r>
      <w:r>
        <w:t>douloureuse</w:t>
      </w:r>
      <w:r w:rsidRPr="002C4077">
        <w:t xml:space="preserve"> </w:t>
      </w:r>
      <w:r>
        <w:t>de</w:t>
      </w:r>
      <w:r w:rsidRPr="002C4077">
        <w:t xml:space="preserve"> </w:t>
      </w:r>
      <w:r>
        <w:t>N.</w:t>
      </w:r>
      <w:r w:rsidRPr="002C4077">
        <w:t xml:space="preserve"> </w:t>
      </w:r>
      <w:r>
        <w:t>S.</w:t>
      </w:r>
      <w:r w:rsidRPr="002C4077">
        <w:t xml:space="preserve"> </w:t>
      </w:r>
      <w:r w:rsidR="00425C50">
        <w:t>Jésus</w:t>
      </w:r>
      <w:r>
        <w:t>-</w:t>
      </w:r>
      <w:r w:rsidR="00425C50">
        <w:t>Christ</w:t>
      </w:r>
      <w:r>
        <w:t>.</w:t>
      </w:r>
      <w:r w:rsidRPr="002C4077">
        <w:t xml:space="preserve"> </w:t>
      </w:r>
    </w:p>
    <w:p w:rsidR="000D12F1" w:rsidRDefault="000D12F1" w:rsidP="000A7AAB"/>
    <w:p w:rsidR="000A7AAB" w:rsidRPr="004C5B7A" w:rsidRDefault="000A7AAB" w:rsidP="000A7AAB">
      <w:r>
        <w:t>Les</w:t>
      </w:r>
      <w:r w:rsidRPr="002C4077">
        <w:t xml:space="preserve"> </w:t>
      </w:r>
      <w:r>
        <w:t>objections</w:t>
      </w:r>
      <w:r w:rsidRPr="002C4077">
        <w:t xml:space="preserve"> </w:t>
      </w:r>
      <w:r>
        <w:t>dirigées</w:t>
      </w:r>
      <w:r w:rsidRPr="002C4077">
        <w:t xml:space="preserve"> </w:t>
      </w:r>
      <w:r>
        <w:t>par</w:t>
      </w:r>
      <w:r w:rsidRPr="002C4077">
        <w:t xml:space="preserve"> </w:t>
      </w:r>
      <w:r>
        <w:t>les</w:t>
      </w:r>
      <w:r w:rsidRPr="002C4077">
        <w:t xml:space="preserve"> </w:t>
      </w:r>
      <w:r>
        <w:t>rationalistes</w:t>
      </w:r>
      <w:r w:rsidRPr="002C4077">
        <w:t xml:space="preserve"> </w:t>
      </w:r>
      <w:r>
        <w:t>contre</w:t>
      </w:r>
      <w:r w:rsidRPr="002C4077">
        <w:t xml:space="preserve"> </w:t>
      </w:r>
      <w:r>
        <w:t>les</w:t>
      </w:r>
      <w:r w:rsidRPr="002C4077">
        <w:t xml:space="preserve"> </w:t>
      </w:r>
      <w:r>
        <w:t>autres</w:t>
      </w:r>
      <w:r w:rsidRPr="002C4077">
        <w:t xml:space="preserve"> </w:t>
      </w:r>
      <w:r>
        <w:t>détails</w:t>
      </w:r>
      <w:r w:rsidRPr="002C4077">
        <w:t xml:space="preserve"> </w:t>
      </w:r>
      <w:r>
        <w:t>de</w:t>
      </w:r>
      <w:r w:rsidRPr="002C4077">
        <w:t xml:space="preserve"> </w:t>
      </w:r>
      <w:r>
        <w:t>l’histoire</w:t>
      </w:r>
      <w:r w:rsidRPr="002C4077">
        <w:t xml:space="preserve"> </w:t>
      </w:r>
      <w:r>
        <w:t>évangélique</w:t>
      </w:r>
      <w:r w:rsidRPr="002C4077">
        <w:t xml:space="preserve"> </w:t>
      </w:r>
      <w:r>
        <w:t>diffèrent</w:t>
      </w:r>
      <w:r w:rsidRPr="002C4077">
        <w:t xml:space="preserve"> </w:t>
      </w:r>
      <w:r>
        <w:t>à</w:t>
      </w:r>
      <w:r w:rsidRPr="002C4077">
        <w:t xml:space="preserve"> </w:t>
      </w:r>
      <w:r>
        <w:t>peine</w:t>
      </w:r>
      <w:r w:rsidRPr="002C4077">
        <w:t xml:space="preserve"> </w:t>
      </w:r>
      <w:r>
        <w:t>de</w:t>
      </w:r>
      <w:r w:rsidRPr="002C4077">
        <w:t xml:space="preserve"> </w:t>
      </w:r>
      <w:r>
        <w:t>celles</w:t>
      </w:r>
      <w:r w:rsidRPr="002C4077">
        <w:t xml:space="preserve"> </w:t>
      </w:r>
      <w:r>
        <w:t>que</w:t>
      </w:r>
      <w:r w:rsidRPr="002C4077">
        <w:t xml:space="preserve"> </w:t>
      </w:r>
      <w:r>
        <w:t>nous</w:t>
      </w:r>
      <w:r w:rsidRPr="002C4077">
        <w:t xml:space="preserve"> </w:t>
      </w:r>
      <w:r>
        <w:t>venons</w:t>
      </w:r>
      <w:r w:rsidRPr="002C4077">
        <w:t xml:space="preserve"> </w:t>
      </w:r>
      <w:r>
        <w:t>d’étudier.</w:t>
      </w:r>
      <w:r w:rsidRPr="002C4077">
        <w:t xml:space="preserve"> </w:t>
      </w:r>
      <w:r w:rsidRPr="000A34B5">
        <w:rPr>
          <w:rStyle w:val="italicus"/>
        </w:rPr>
        <w:t>Ab</w:t>
      </w:r>
      <w:r w:rsidR="00CC5FEA" w:rsidRPr="002C4077">
        <w:t xml:space="preserve"> </w:t>
      </w:r>
      <w:r w:rsidRPr="000A34B5">
        <w:rPr>
          <w:rStyle w:val="italicus"/>
        </w:rPr>
        <w:t>uno</w:t>
      </w:r>
      <w:r w:rsidRPr="002C4077">
        <w:t xml:space="preserve"> </w:t>
      </w:r>
      <w:r w:rsidRPr="000A34B5">
        <w:rPr>
          <w:rStyle w:val="italicus"/>
        </w:rPr>
        <w:t>disce</w:t>
      </w:r>
      <w:r w:rsidRPr="002C4077">
        <w:t xml:space="preserve"> </w:t>
      </w:r>
      <w:r w:rsidRPr="000A34B5">
        <w:rPr>
          <w:rStyle w:val="italicus"/>
        </w:rPr>
        <w:t>omnes.</w:t>
      </w:r>
      <w:r w:rsidRPr="002C4077">
        <w:t xml:space="preserve"> </w:t>
      </w:r>
      <w:r>
        <w:t>Si</w:t>
      </w:r>
      <w:r w:rsidRPr="002C4077">
        <w:t xml:space="preserve"> </w:t>
      </w:r>
      <w:r>
        <w:t>parfois</w:t>
      </w:r>
      <w:r w:rsidRPr="002C4077">
        <w:t xml:space="preserve"> </w:t>
      </w:r>
      <w:r>
        <w:t>elles</w:t>
      </w:r>
      <w:r w:rsidRPr="002C4077">
        <w:t xml:space="preserve"> </w:t>
      </w:r>
      <w:r>
        <w:t>semblent</w:t>
      </w:r>
      <w:r w:rsidRPr="002C4077">
        <w:t xml:space="preserve"> </w:t>
      </w:r>
      <w:r>
        <w:t>spécieuses</w:t>
      </w:r>
      <w:r w:rsidRPr="002C4077">
        <w:t xml:space="preserve"> </w:t>
      </w:r>
      <w:r>
        <w:t>au</w:t>
      </w:r>
      <w:r w:rsidRPr="002C4077">
        <w:t xml:space="preserve"> </w:t>
      </w:r>
      <w:r>
        <w:t>premier</w:t>
      </w:r>
      <w:r w:rsidRPr="002C4077">
        <w:t xml:space="preserve"> </w:t>
      </w:r>
      <w:r>
        <w:t>regard,</w:t>
      </w:r>
      <w:r w:rsidRPr="002C4077">
        <w:t xml:space="preserve"> </w:t>
      </w:r>
      <w:r>
        <w:t>dès</w:t>
      </w:r>
      <w:r w:rsidRPr="002C4077">
        <w:t xml:space="preserve"> </w:t>
      </w:r>
      <w:r>
        <w:t>qu’on</w:t>
      </w:r>
      <w:r w:rsidRPr="002C4077">
        <w:t xml:space="preserve"> </w:t>
      </w:r>
      <w:r>
        <w:t>les</w:t>
      </w:r>
      <w:r w:rsidRPr="002C4077">
        <w:t xml:space="preserve"> </w:t>
      </w:r>
      <w:r>
        <w:t>touche</w:t>
      </w:r>
      <w:r w:rsidRPr="002C4077">
        <w:t xml:space="preserve"> </w:t>
      </w:r>
      <w:r>
        <w:t>elles</w:t>
      </w:r>
      <w:r w:rsidRPr="002C4077">
        <w:t xml:space="preserve"> </w:t>
      </w:r>
      <w:r>
        <w:t>tombent</w:t>
      </w:r>
      <w:r w:rsidRPr="002C4077">
        <w:t xml:space="preserve"> </w:t>
      </w:r>
      <w:r>
        <w:t>en</w:t>
      </w:r>
      <w:r w:rsidRPr="002C4077">
        <w:t xml:space="preserve"> </w:t>
      </w:r>
      <w:r>
        <w:t>poussière,</w:t>
      </w:r>
      <w:r w:rsidRPr="002C4077">
        <w:t xml:space="preserve"> </w:t>
      </w:r>
      <w:r>
        <w:t>comme</w:t>
      </w:r>
      <w:r w:rsidR="00CC5FEA" w:rsidRPr="002C4077">
        <w:t xml:space="preserve"> </w:t>
      </w:r>
      <w:r>
        <w:t>ces</w:t>
      </w:r>
      <w:r w:rsidRPr="002C4077">
        <w:t xml:space="preserve"> </w:t>
      </w:r>
      <w:r>
        <w:t>brillantes</w:t>
      </w:r>
      <w:r w:rsidRPr="002C4077">
        <w:t xml:space="preserve"> </w:t>
      </w:r>
      <w:r>
        <w:t>pommes</w:t>
      </w:r>
      <w:r w:rsidRPr="002C4077">
        <w:t xml:space="preserve"> </w:t>
      </w:r>
      <w:r>
        <w:t>de</w:t>
      </w:r>
      <w:r w:rsidRPr="002C4077">
        <w:t xml:space="preserve"> </w:t>
      </w:r>
      <w:r>
        <w:t>Sodome</w:t>
      </w:r>
      <w:r w:rsidRPr="002C4077">
        <w:t xml:space="preserve"> </w:t>
      </w:r>
      <w:r>
        <w:t>dont</w:t>
      </w:r>
      <w:r w:rsidRPr="002C4077">
        <w:t xml:space="preserve"> </w:t>
      </w:r>
      <w:r>
        <w:t>parlent</w:t>
      </w:r>
      <w:r w:rsidRPr="002C4077">
        <w:t xml:space="preserve"> </w:t>
      </w:r>
      <w:r>
        <w:t>les</w:t>
      </w:r>
      <w:r w:rsidRPr="002C4077">
        <w:t xml:space="preserve"> </w:t>
      </w:r>
      <w:r w:rsidR="00CC5FEA">
        <w:t>an</w:t>
      </w:r>
      <w:r>
        <w:t>ciens</w:t>
      </w:r>
      <w:r w:rsidRPr="002C4077">
        <w:t xml:space="preserve"> </w:t>
      </w:r>
      <w:r>
        <w:t>voyageurs</w:t>
      </w:r>
      <w:r w:rsidR="00205F90">
        <w:rPr>
          <w:rStyle w:val="Appelnotedebasdep"/>
        </w:rPr>
        <w:footnoteReference w:id="416"/>
      </w:r>
      <w:r w:rsidR="00205F90">
        <w:t>.</w:t>
      </w:r>
      <w:r w:rsidR="00C45B47">
        <w:t xml:space="preserve"> {</w:t>
      </w:r>
      <w:r w:rsidR="004C5B7A">
        <w:t>127</w:t>
      </w:r>
      <w:bookmarkStart w:id="358" w:name="p127"/>
      <w:bookmarkEnd w:id="358"/>
      <w:r w:rsidR="004C5B7A">
        <w:t>}</w:t>
      </w:r>
      <w:r w:rsidR="00C45B47">
        <w:t xml:space="preserve"> {</w:t>
      </w:r>
      <w:r w:rsidR="004C5B7A">
        <w:t>128</w:t>
      </w:r>
      <w:bookmarkStart w:id="359" w:name="p128"/>
      <w:bookmarkEnd w:id="359"/>
      <w:r w:rsidR="004C5B7A">
        <w:t>}</w:t>
      </w:r>
      <w:r w:rsidR="00C45B47">
        <w:t xml:space="preserve"> {</w:t>
      </w:r>
      <w:r w:rsidR="004C5B7A">
        <w:t>129</w:t>
      </w:r>
      <w:bookmarkStart w:id="360" w:name="p129"/>
      <w:bookmarkEnd w:id="360"/>
      <w:r w:rsidR="004C5B7A">
        <w:t xml:space="preserve">} </w:t>
      </w:r>
    </w:p>
    <w:p w:rsidR="000A7AAB" w:rsidRDefault="000A7AAB" w:rsidP="000A7AAB"/>
    <w:p w:rsidR="000A7AAB" w:rsidRDefault="000A7AAB" w:rsidP="00D67FA8">
      <w:pPr>
        <w:pStyle w:val="Titre1"/>
      </w:pPr>
      <w:bookmarkStart w:id="361" w:name="_Toc43882011"/>
      <w:r>
        <w:lastRenderedPageBreak/>
        <w:t>III.</w:t>
      </w:r>
      <w:r w:rsidR="002A6EDB">
        <w:br/>
      </w:r>
      <w:r>
        <w:t>L’ÉVANGILE</w:t>
      </w:r>
      <w:r w:rsidRPr="002C4077">
        <w:t xml:space="preserve"> </w:t>
      </w:r>
      <w:r>
        <w:t>SELON</w:t>
      </w:r>
      <w:r w:rsidRPr="002C4077">
        <w:t xml:space="preserve"> </w:t>
      </w:r>
      <w:r>
        <w:t>M.</w:t>
      </w:r>
      <w:r w:rsidRPr="002C4077">
        <w:t xml:space="preserve"> </w:t>
      </w:r>
      <w:r w:rsidR="00C91014">
        <w:t>HAVET</w:t>
      </w:r>
      <w:r w:rsidR="00B91AF7">
        <w:rPr>
          <w:rStyle w:val="Appelnotedebasdep"/>
        </w:rPr>
        <w:footnoteReference w:id="417"/>
      </w:r>
      <w:r>
        <w:t>.</w:t>
      </w:r>
      <w:bookmarkStart w:id="362" w:name="a03"/>
      <w:bookmarkEnd w:id="361"/>
      <w:bookmarkEnd w:id="362"/>
      <w:r w:rsidRPr="002C4077">
        <w:t xml:space="preserve"> </w:t>
      </w:r>
    </w:p>
    <w:p w:rsidR="000A7AAB" w:rsidRPr="004C5B7A" w:rsidRDefault="000A7AAB" w:rsidP="000A7AAB">
      <w:r>
        <w:t>Les</w:t>
      </w:r>
      <w:bookmarkStart w:id="363" w:name="z_Havet_o1"/>
      <w:bookmarkEnd w:id="363"/>
      <w:r w:rsidRPr="002C4077">
        <w:t xml:space="preserve"> </w:t>
      </w:r>
      <w:r>
        <w:t>hommes</w:t>
      </w:r>
      <w:r w:rsidRPr="002C4077">
        <w:t xml:space="preserve"> </w:t>
      </w:r>
      <w:r>
        <w:t>bien</w:t>
      </w:r>
      <w:r w:rsidRPr="002C4077">
        <w:t xml:space="preserve"> </w:t>
      </w:r>
      <w:r>
        <w:t>élevés,</w:t>
      </w:r>
      <w:r w:rsidRPr="002C4077">
        <w:t xml:space="preserve"> </w:t>
      </w:r>
      <w:r>
        <w:t>ou</w:t>
      </w:r>
      <w:r w:rsidRPr="002C4077">
        <w:t xml:space="preserve"> </w:t>
      </w:r>
      <w:r>
        <w:t>qui</w:t>
      </w:r>
      <w:r w:rsidRPr="002C4077">
        <w:t xml:space="preserve"> </w:t>
      </w:r>
      <w:r>
        <w:t>veulent</w:t>
      </w:r>
      <w:r w:rsidRPr="002C4077">
        <w:t xml:space="preserve"> </w:t>
      </w:r>
      <w:r>
        <w:t>passer</w:t>
      </w:r>
      <w:r w:rsidRPr="002C4077">
        <w:t xml:space="preserve"> </w:t>
      </w:r>
      <w:r>
        <w:t>pour</w:t>
      </w:r>
      <w:r w:rsidRPr="002C4077">
        <w:t xml:space="preserve"> </w:t>
      </w:r>
      <w:r>
        <w:t>tels,</w:t>
      </w:r>
      <w:r w:rsidRPr="002C4077">
        <w:t xml:space="preserve"> </w:t>
      </w:r>
      <w:r>
        <w:t>évitent</w:t>
      </w:r>
      <w:r w:rsidRPr="002C4077">
        <w:t xml:space="preserve"> </w:t>
      </w:r>
      <w:r>
        <w:t>d’ordinaire</w:t>
      </w:r>
      <w:r w:rsidRPr="002C4077">
        <w:t xml:space="preserve"> </w:t>
      </w:r>
      <w:r>
        <w:t>le</w:t>
      </w:r>
      <w:r w:rsidRPr="002C4077">
        <w:t xml:space="preserve"> </w:t>
      </w:r>
      <w:r>
        <w:t>blasphème</w:t>
      </w:r>
      <w:r w:rsidRPr="002C4077">
        <w:t xml:space="preserve"> </w:t>
      </w:r>
      <w:r>
        <w:t>grossier,</w:t>
      </w:r>
      <w:r w:rsidRPr="002C4077">
        <w:t xml:space="preserve"> </w:t>
      </w:r>
      <w:r>
        <w:t>dont</w:t>
      </w:r>
      <w:r w:rsidRPr="002C4077">
        <w:t xml:space="preserve"> </w:t>
      </w:r>
      <w:r>
        <w:t>ils</w:t>
      </w:r>
      <w:r w:rsidRPr="002C4077">
        <w:t xml:space="preserve"> </w:t>
      </w:r>
      <w:r>
        <w:t>laissent</w:t>
      </w:r>
      <w:r w:rsidRPr="002C4077">
        <w:t xml:space="preserve"> </w:t>
      </w:r>
      <w:r>
        <w:t>le</w:t>
      </w:r>
      <w:r w:rsidRPr="002C4077">
        <w:t xml:space="preserve"> </w:t>
      </w:r>
      <w:r>
        <w:t>monopole</w:t>
      </w:r>
      <w:r w:rsidRPr="002C4077">
        <w:t xml:space="preserve"> </w:t>
      </w:r>
      <w:r>
        <w:t>aux</w:t>
      </w:r>
      <w:r w:rsidRPr="002C4077">
        <w:t xml:space="preserve"> </w:t>
      </w:r>
      <w:r>
        <w:t>gens</w:t>
      </w:r>
      <w:r w:rsidRPr="002C4077">
        <w:t xml:space="preserve"> </w:t>
      </w:r>
      <w:r>
        <w:t>sans</w:t>
      </w:r>
      <w:r w:rsidRPr="002C4077">
        <w:t xml:space="preserve"> </w:t>
      </w:r>
      <w:r>
        <w:t>éducation</w:t>
      </w:r>
      <w:r w:rsidRPr="002C4077">
        <w:t xml:space="preserve"> </w:t>
      </w:r>
      <w:r>
        <w:t>et</w:t>
      </w:r>
      <w:r w:rsidRPr="002C4077">
        <w:t xml:space="preserve"> </w:t>
      </w:r>
      <w:r>
        <w:t>de</w:t>
      </w:r>
      <w:r w:rsidRPr="002C4077">
        <w:t xml:space="preserve"> </w:t>
      </w:r>
      <w:r>
        <w:t>basse</w:t>
      </w:r>
      <w:r w:rsidRPr="002C4077">
        <w:t xml:space="preserve"> </w:t>
      </w:r>
      <w:r>
        <w:t>condition.</w:t>
      </w:r>
      <w:r w:rsidRPr="002C4077">
        <w:t xml:space="preserve"> </w:t>
      </w:r>
      <w:r>
        <w:t>Aussi,</w:t>
      </w:r>
      <w:r w:rsidRPr="002C4077">
        <w:t xml:space="preserve"> </w:t>
      </w:r>
      <w:r>
        <w:t>tandis</w:t>
      </w:r>
      <w:r w:rsidRPr="002C4077">
        <w:t xml:space="preserve"> </w:t>
      </w:r>
      <w:r>
        <w:t>qu’à</w:t>
      </w:r>
      <w:r w:rsidRPr="002C4077">
        <w:t xml:space="preserve"> </w:t>
      </w:r>
      <w:r>
        <w:t>l’occasion</w:t>
      </w:r>
      <w:r w:rsidRPr="002C4077">
        <w:t xml:space="preserve"> </w:t>
      </w:r>
      <w:r>
        <w:t>des</w:t>
      </w:r>
      <w:r w:rsidRPr="002C4077">
        <w:t xml:space="preserve"> </w:t>
      </w:r>
      <w:r>
        <w:t>grandes</w:t>
      </w:r>
      <w:r w:rsidRPr="002C4077">
        <w:t xml:space="preserve"> </w:t>
      </w:r>
      <w:r>
        <w:t>solennités</w:t>
      </w:r>
      <w:r w:rsidRPr="002C4077">
        <w:t xml:space="preserve"> </w:t>
      </w:r>
      <w:r>
        <w:t>de</w:t>
      </w:r>
      <w:r w:rsidRPr="002C4077">
        <w:t xml:space="preserve"> </w:t>
      </w:r>
      <w:r>
        <w:t>la</w:t>
      </w:r>
      <w:r w:rsidRPr="002C4077">
        <w:t xml:space="preserve"> </w:t>
      </w:r>
      <w:r>
        <w:t>Semaine-Sainte,</w:t>
      </w:r>
      <w:r w:rsidRPr="002C4077">
        <w:t xml:space="preserve"> </w:t>
      </w:r>
      <w:r>
        <w:t>on</w:t>
      </w:r>
      <w:r w:rsidRPr="002C4077">
        <w:t xml:space="preserve"> </w:t>
      </w:r>
      <w:r>
        <w:t>voit</w:t>
      </w:r>
      <w:r w:rsidRPr="002C4077">
        <w:t xml:space="preserve"> </w:t>
      </w:r>
      <w:r>
        <w:t>depuis</w:t>
      </w:r>
      <w:r w:rsidRPr="002C4077">
        <w:t xml:space="preserve"> </w:t>
      </w:r>
      <w:r>
        <w:t>quelques</w:t>
      </w:r>
      <w:r w:rsidRPr="002C4077">
        <w:t xml:space="preserve"> </w:t>
      </w:r>
      <w:r>
        <w:t>années</w:t>
      </w:r>
      <w:r w:rsidRPr="002C4077">
        <w:t xml:space="preserve"> </w:t>
      </w:r>
      <w:r>
        <w:t>les</w:t>
      </w:r>
      <w:r w:rsidRPr="002C4077">
        <w:t xml:space="preserve"> </w:t>
      </w:r>
      <w:r>
        <w:t>feuilles</w:t>
      </w:r>
      <w:r w:rsidRPr="002C4077">
        <w:t xml:space="preserve"> </w:t>
      </w:r>
      <w:r>
        <w:t>périodiques</w:t>
      </w:r>
      <w:r w:rsidRPr="002C4077">
        <w:t xml:space="preserve"> </w:t>
      </w:r>
      <w:r>
        <w:t>vulgaires,</w:t>
      </w:r>
      <w:r w:rsidRPr="002C4077">
        <w:t xml:space="preserve"> </w:t>
      </w:r>
      <w:r>
        <w:t>qui</w:t>
      </w:r>
      <w:r w:rsidRPr="002C4077">
        <w:t xml:space="preserve"> </w:t>
      </w:r>
      <w:r>
        <w:t>vivent</w:t>
      </w:r>
      <w:r w:rsidRPr="002C4077">
        <w:t xml:space="preserve"> </w:t>
      </w:r>
      <w:r>
        <w:t>habituellement</w:t>
      </w:r>
      <w:r w:rsidRPr="002C4077">
        <w:t xml:space="preserve"> </w:t>
      </w:r>
      <w:r>
        <w:t>dans</w:t>
      </w:r>
      <w:r w:rsidRPr="002C4077">
        <w:t xml:space="preserve"> </w:t>
      </w:r>
      <w:r>
        <w:t>la</w:t>
      </w:r>
      <w:r w:rsidRPr="002C4077">
        <w:t xml:space="preserve"> </w:t>
      </w:r>
      <w:r>
        <w:t>fange,</w:t>
      </w:r>
      <w:r w:rsidRPr="002C4077">
        <w:t xml:space="preserve"> </w:t>
      </w:r>
      <w:r>
        <w:t>déverser</w:t>
      </w:r>
      <w:r w:rsidRPr="002C4077">
        <w:t xml:space="preserve"> </w:t>
      </w:r>
      <w:r>
        <w:t>l’injure</w:t>
      </w:r>
      <w:r w:rsidRPr="002C4077">
        <w:t xml:space="preserve"> </w:t>
      </w:r>
      <w:r>
        <w:t>sur</w:t>
      </w:r>
      <w:r w:rsidRPr="002C4077">
        <w:t xml:space="preserve"> </w:t>
      </w:r>
      <w:r>
        <w:t>la</w:t>
      </w:r>
      <w:r w:rsidRPr="002C4077">
        <w:t xml:space="preserve"> </w:t>
      </w:r>
      <w:r>
        <w:t>divine</w:t>
      </w:r>
      <w:r w:rsidRPr="002C4077">
        <w:t xml:space="preserve"> </w:t>
      </w:r>
      <w:r>
        <w:t>figure</w:t>
      </w:r>
      <w:r w:rsidRPr="002C4077">
        <w:t xml:space="preserve"> </w:t>
      </w:r>
      <w:r>
        <w:t>du</w:t>
      </w:r>
      <w:r w:rsidRPr="002C4077">
        <w:t xml:space="preserve"> </w:t>
      </w:r>
      <w:r w:rsidR="00425C50">
        <w:t>Christ</w:t>
      </w:r>
      <w:r>
        <w:t>,</w:t>
      </w:r>
      <w:r w:rsidRPr="002C4077">
        <w:t xml:space="preserve"> </w:t>
      </w:r>
      <w:r>
        <w:t>les</w:t>
      </w:r>
      <w:r w:rsidRPr="002C4077">
        <w:t xml:space="preserve"> </w:t>
      </w:r>
      <w:r>
        <w:t>journaux</w:t>
      </w:r>
      <w:r w:rsidRPr="002C4077">
        <w:t xml:space="preserve"> </w:t>
      </w:r>
      <w:r>
        <w:t>qui</w:t>
      </w:r>
      <w:r w:rsidRPr="002C4077">
        <w:t xml:space="preserve"> </w:t>
      </w:r>
      <w:r>
        <w:t>se</w:t>
      </w:r>
      <w:r w:rsidRPr="002C4077">
        <w:t xml:space="preserve"> </w:t>
      </w:r>
      <w:r>
        <w:t>respectent</w:t>
      </w:r>
      <w:r w:rsidRPr="002C4077">
        <w:t xml:space="preserve"> </w:t>
      </w:r>
      <w:r>
        <w:t>gardent</w:t>
      </w:r>
      <w:r w:rsidRPr="002C4077">
        <w:t xml:space="preserve"> </w:t>
      </w:r>
      <w:r>
        <w:t>au</w:t>
      </w:r>
      <w:r w:rsidRPr="002C4077">
        <w:t xml:space="preserve"> </w:t>
      </w:r>
      <w:r>
        <w:t>moins</w:t>
      </w:r>
      <w:r w:rsidRPr="002C4077">
        <w:t xml:space="preserve"> </w:t>
      </w:r>
      <w:r>
        <w:t>le</w:t>
      </w:r>
      <w:r w:rsidRPr="002C4077">
        <w:t xml:space="preserve"> </w:t>
      </w:r>
      <w:r>
        <w:t>silence,</w:t>
      </w:r>
      <w:r w:rsidRPr="002C4077">
        <w:t xml:space="preserve"> </w:t>
      </w:r>
      <w:r>
        <w:t>alors</w:t>
      </w:r>
      <w:r w:rsidRPr="002C4077">
        <w:t xml:space="preserve"> </w:t>
      </w:r>
      <w:r>
        <w:t>même</w:t>
      </w:r>
      <w:r w:rsidRPr="002C4077">
        <w:t xml:space="preserve"> </w:t>
      </w:r>
      <w:r>
        <w:t>qu’ils</w:t>
      </w:r>
      <w:r w:rsidRPr="002C4077">
        <w:t xml:space="preserve"> </w:t>
      </w:r>
      <w:r>
        <w:t>ne</w:t>
      </w:r>
      <w:r w:rsidRPr="002C4077">
        <w:t xml:space="preserve"> </w:t>
      </w:r>
      <w:r>
        <w:t>partagent</w:t>
      </w:r>
      <w:r w:rsidRPr="002C4077">
        <w:t xml:space="preserve"> </w:t>
      </w:r>
      <w:r>
        <w:t>point</w:t>
      </w:r>
      <w:r w:rsidRPr="002C4077">
        <w:t xml:space="preserve"> </w:t>
      </w:r>
      <w:r>
        <w:t>notre</w:t>
      </w:r>
      <w:r w:rsidRPr="002C4077">
        <w:t xml:space="preserve"> </w:t>
      </w:r>
      <w:r>
        <w:t>foi.</w:t>
      </w:r>
      <w:r w:rsidRPr="002C4077">
        <w:t xml:space="preserve"> </w:t>
      </w:r>
      <w:r>
        <w:t>La</w:t>
      </w:r>
      <w:r w:rsidRPr="002C4077">
        <w:t xml:space="preserve"> </w:t>
      </w:r>
      <w:r>
        <w:t>surprise</w:t>
      </w:r>
      <w:r w:rsidRPr="002C4077">
        <w:t xml:space="preserve"> </w:t>
      </w:r>
      <w:r>
        <w:t>a</w:t>
      </w:r>
      <w:r w:rsidRPr="002C4077">
        <w:t xml:space="preserve"> </w:t>
      </w:r>
      <w:r>
        <w:t>donc</w:t>
      </w:r>
      <w:r w:rsidRPr="002C4077">
        <w:t xml:space="preserve"> </w:t>
      </w:r>
      <w:r>
        <w:t>été</w:t>
      </w:r>
      <w:r w:rsidRPr="002C4077">
        <w:t xml:space="preserve"> </w:t>
      </w:r>
      <w:r>
        <w:t>vive,</w:t>
      </w:r>
      <w:r w:rsidRPr="002C4077">
        <w:t xml:space="preserve"> </w:t>
      </w:r>
      <w:r>
        <w:t>quand</w:t>
      </w:r>
      <w:r w:rsidRPr="002C4077">
        <w:t xml:space="preserve"> </w:t>
      </w:r>
      <w:r>
        <w:t>on</w:t>
      </w:r>
      <w:r w:rsidRPr="002C4077">
        <w:t xml:space="preserve"> </w:t>
      </w:r>
      <w:r>
        <w:t>a</w:t>
      </w:r>
      <w:r w:rsidRPr="002C4077">
        <w:t xml:space="preserve"> </w:t>
      </w:r>
      <w:r>
        <w:t>vu</w:t>
      </w:r>
      <w:r w:rsidRPr="002C4077">
        <w:t xml:space="preserve"> </w:t>
      </w:r>
      <w:r>
        <w:t>M.</w:t>
      </w:r>
      <w:r w:rsidRPr="002C4077">
        <w:t xml:space="preserve"> </w:t>
      </w:r>
      <w:r>
        <w:t>Havet</w:t>
      </w:r>
      <w:r w:rsidRPr="002C4077">
        <w:t xml:space="preserve"> </w:t>
      </w:r>
      <w:r>
        <w:t>préluder,</w:t>
      </w:r>
      <w:r w:rsidRPr="002C4077">
        <w:t xml:space="preserve"> </w:t>
      </w:r>
      <w:r>
        <w:t>dans</w:t>
      </w:r>
      <w:r w:rsidRPr="002C4077">
        <w:t xml:space="preserve"> </w:t>
      </w:r>
      <w:r>
        <w:t>un</w:t>
      </w:r>
      <w:r w:rsidRPr="002C4077">
        <w:t xml:space="preserve"> </w:t>
      </w:r>
      <w:r>
        <w:t>récent</w:t>
      </w:r>
      <w:r w:rsidRPr="002C4077">
        <w:t xml:space="preserve"> </w:t>
      </w:r>
      <w:r>
        <w:t>numéro</w:t>
      </w:r>
      <w:r w:rsidRPr="002C4077">
        <w:t xml:space="preserve"> </w:t>
      </w:r>
      <w:r>
        <w:t>de</w:t>
      </w:r>
      <w:r w:rsidRPr="002C4077">
        <w:t xml:space="preserve"> </w:t>
      </w:r>
      <w:r>
        <w:t>la</w:t>
      </w:r>
      <w:r w:rsidRPr="002C4077">
        <w:t xml:space="preserve"> </w:t>
      </w:r>
      <w:r w:rsidRPr="000A34B5">
        <w:rPr>
          <w:rStyle w:val="italicus"/>
        </w:rPr>
        <w:t>Revue</w:t>
      </w:r>
      <w:r w:rsidRPr="002C4077">
        <w:t xml:space="preserve"> </w:t>
      </w:r>
      <w:r w:rsidRPr="000A34B5">
        <w:rPr>
          <w:rStyle w:val="italicus"/>
        </w:rPr>
        <w:t>des</w:t>
      </w:r>
      <w:r w:rsidRPr="002C4077">
        <w:t xml:space="preserve"> </w:t>
      </w:r>
      <w:r w:rsidRPr="000A34B5">
        <w:rPr>
          <w:rStyle w:val="italicus"/>
        </w:rPr>
        <w:t>Deux</w:t>
      </w:r>
      <w:r w:rsidRPr="002C4077">
        <w:t xml:space="preserve"> </w:t>
      </w:r>
      <w:r w:rsidRPr="000A34B5">
        <w:rPr>
          <w:rStyle w:val="italicus"/>
        </w:rPr>
        <w:t>Mondes,</w:t>
      </w:r>
      <w:r w:rsidRPr="002C4077">
        <w:t xml:space="preserve"> </w:t>
      </w:r>
      <w:r>
        <w:t>au</w:t>
      </w:r>
      <w:r w:rsidRPr="002C4077">
        <w:t xml:space="preserve"> </w:t>
      </w:r>
      <w:r>
        <w:t>hideux</w:t>
      </w:r>
      <w:r w:rsidRPr="002C4077">
        <w:t xml:space="preserve"> </w:t>
      </w:r>
      <w:r>
        <w:t>concert</w:t>
      </w:r>
      <w:r w:rsidRPr="002C4077">
        <w:t xml:space="preserve"> </w:t>
      </w:r>
      <w:r>
        <w:t>des</w:t>
      </w:r>
      <w:r w:rsidRPr="002C4077">
        <w:t xml:space="preserve"> </w:t>
      </w:r>
      <w:r w:rsidR="00B546AF">
        <w:t>« </w:t>
      </w:r>
      <w:r>
        <w:t>vils</w:t>
      </w:r>
      <w:r w:rsidRPr="002C4077">
        <w:t xml:space="preserve"> </w:t>
      </w:r>
      <w:r>
        <w:t>blasphémateurs</w:t>
      </w:r>
      <w:r w:rsidR="00B546AF">
        <w:t> »</w:t>
      </w:r>
      <w:r>
        <w:t>.</w:t>
      </w:r>
      <w:r w:rsidR="00C45B47">
        <w:t xml:space="preserve"> {</w:t>
      </w:r>
      <w:r w:rsidR="004C5B7A">
        <w:t>130</w:t>
      </w:r>
      <w:bookmarkStart w:id="364" w:name="p130"/>
      <w:bookmarkEnd w:id="364"/>
      <w:r w:rsidR="004C5B7A">
        <w:t xml:space="preserve">} </w:t>
      </w:r>
    </w:p>
    <w:p w:rsidR="000A7AAB" w:rsidRDefault="000A7AAB" w:rsidP="000A7AAB">
      <w:r>
        <w:t>M.</w:t>
      </w:r>
      <w:r w:rsidRPr="002C4077">
        <w:t xml:space="preserve"> </w:t>
      </w:r>
      <w:r>
        <w:t>E.</w:t>
      </w:r>
      <w:r w:rsidRPr="002C4077">
        <w:t xml:space="preserve"> </w:t>
      </w:r>
      <w:r>
        <w:t>Havet,</w:t>
      </w:r>
      <w:r w:rsidRPr="002C4077">
        <w:t xml:space="preserve"> </w:t>
      </w:r>
      <w:r>
        <w:t>dont</w:t>
      </w:r>
      <w:r w:rsidRPr="002C4077">
        <w:t xml:space="preserve"> </w:t>
      </w:r>
      <w:r>
        <w:t>le</w:t>
      </w:r>
      <w:r w:rsidRPr="002C4077">
        <w:t xml:space="preserve"> </w:t>
      </w:r>
      <w:r>
        <w:t>nom</w:t>
      </w:r>
      <w:r w:rsidRPr="002C4077">
        <w:t xml:space="preserve"> </w:t>
      </w:r>
      <w:r>
        <w:t>avait</w:t>
      </w:r>
      <w:r w:rsidRPr="002C4077">
        <w:t xml:space="preserve"> </w:t>
      </w:r>
      <w:r>
        <w:t>autrefois</w:t>
      </w:r>
      <w:r w:rsidRPr="002C4077">
        <w:t xml:space="preserve"> </w:t>
      </w:r>
      <w:r>
        <w:t>obtenu</w:t>
      </w:r>
      <w:r w:rsidRPr="002C4077">
        <w:t xml:space="preserve"> </w:t>
      </w:r>
      <w:r>
        <w:t>quelque</w:t>
      </w:r>
      <w:r w:rsidRPr="002C4077">
        <w:t xml:space="preserve"> </w:t>
      </w:r>
      <w:r>
        <w:t>succès</w:t>
      </w:r>
      <w:r w:rsidRPr="002C4077">
        <w:t xml:space="preserve"> </w:t>
      </w:r>
      <w:r>
        <w:t>éphémère</w:t>
      </w:r>
      <w:r w:rsidRPr="002C4077">
        <w:t xml:space="preserve"> </w:t>
      </w:r>
      <w:r>
        <w:t>et</w:t>
      </w:r>
      <w:r w:rsidRPr="002C4077">
        <w:t xml:space="preserve"> </w:t>
      </w:r>
      <w:r>
        <w:t>de</w:t>
      </w:r>
      <w:r w:rsidRPr="002C4077">
        <w:t xml:space="preserve"> </w:t>
      </w:r>
      <w:r>
        <w:t>mauvais</w:t>
      </w:r>
      <w:r w:rsidRPr="002C4077">
        <w:t xml:space="preserve"> </w:t>
      </w:r>
      <w:r>
        <w:t>aloi</w:t>
      </w:r>
      <w:r w:rsidRPr="002C4077">
        <w:t xml:space="preserve"> </w:t>
      </w:r>
      <w:r>
        <w:t>sur</w:t>
      </w:r>
      <w:r w:rsidRPr="002C4077">
        <w:t xml:space="preserve"> </w:t>
      </w:r>
      <w:r>
        <w:t>le</w:t>
      </w:r>
      <w:r w:rsidRPr="002C4077">
        <w:t xml:space="preserve"> </w:t>
      </w:r>
      <w:r>
        <w:t>terrain</w:t>
      </w:r>
      <w:r w:rsidRPr="002C4077">
        <w:t xml:space="preserve"> </w:t>
      </w:r>
      <w:r>
        <w:t>évangélique,</w:t>
      </w:r>
      <w:r w:rsidRPr="002C4077">
        <w:t xml:space="preserve"> </w:t>
      </w:r>
      <w:r>
        <w:t>craignant</w:t>
      </w:r>
      <w:r w:rsidRPr="002C4077">
        <w:t xml:space="preserve"> </w:t>
      </w:r>
      <w:r>
        <w:t>sans</w:t>
      </w:r>
      <w:r w:rsidRPr="002C4077">
        <w:t xml:space="preserve"> </w:t>
      </w:r>
      <w:r>
        <w:t>doute</w:t>
      </w:r>
      <w:r w:rsidRPr="002C4077">
        <w:t xml:space="preserve"> </w:t>
      </w:r>
      <w:r>
        <w:t>de</w:t>
      </w:r>
      <w:r w:rsidRPr="002C4077">
        <w:t xml:space="preserve"> </w:t>
      </w:r>
      <w:r>
        <w:t>se</w:t>
      </w:r>
      <w:r w:rsidRPr="002C4077">
        <w:t xml:space="preserve"> </w:t>
      </w:r>
      <w:r>
        <w:t>voir</w:t>
      </w:r>
      <w:r w:rsidRPr="002C4077">
        <w:t xml:space="preserve"> </w:t>
      </w:r>
      <w:r>
        <w:t>oublié</w:t>
      </w:r>
      <w:r w:rsidRPr="002C4077">
        <w:t xml:space="preserve"> </w:t>
      </w:r>
      <w:r>
        <w:t>au</w:t>
      </w:r>
      <w:r w:rsidRPr="002C4077">
        <w:t xml:space="preserve"> </w:t>
      </w:r>
      <w:r>
        <w:t>profit</w:t>
      </w:r>
      <w:r w:rsidRPr="002C4077">
        <w:t xml:space="preserve"> </w:t>
      </w:r>
      <w:r>
        <w:t>de</w:t>
      </w:r>
      <w:r w:rsidRPr="002C4077">
        <w:t xml:space="preserve"> </w:t>
      </w:r>
      <w:r>
        <w:t>nouveaux</w:t>
      </w:r>
      <w:r w:rsidRPr="002C4077">
        <w:t xml:space="preserve"> </w:t>
      </w:r>
      <w:r>
        <w:t>venus</w:t>
      </w:r>
      <w:r w:rsidRPr="002C4077">
        <w:t xml:space="preserve"> </w:t>
      </w:r>
      <w:r>
        <w:t>plus</w:t>
      </w:r>
      <w:r w:rsidRPr="002C4077">
        <w:t xml:space="preserve"> </w:t>
      </w:r>
      <w:r>
        <w:t>hardis,</w:t>
      </w:r>
      <w:r w:rsidRPr="002C4077">
        <w:t xml:space="preserve"> </w:t>
      </w:r>
      <w:r>
        <w:t>s’est</w:t>
      </w:r>
      <w:r w:rsidRPr="002C4077">
        <w:t xml:space="preserve"> </w:t>
      </w:r>
      <w:r>
        <w:t>senti</w:t>
      </w:r>
      <w:r w:rsidRPr="002C4077">
        <w:t xml:space="preserve"> </w:t>
      </w:r>
      <w:r>
        <w:t>emporté</w:t>
      </w:r>
      <w:r w:rsidRPr="002C4077">
        <w:t xml:space="preserve"> </w:t>
      </w:r>
      <w:r>
        <w:t>tout</w:t>
      </w:r>
      <w:r w:rsidRPr="002C4077">
        <w:t xml:space="preserve"> </w:t>
      </w:r>
      <w:r>
        <w:t>à</w:t>
      </w:r>
      <w:r w:rsidRPr="002C4077">
        <w:t xml:space="preserve"> </w:t>
      </w:r>
      <w:r>
        <w:t>coup</w:t>
      </w:r>
      <w:r w:rsidRPr="002C4077">
        <w:t xml:space="preserve"> </w:t>
      </w:r>
      <w:r>
        <w:t>par</w:t>
      </w:r>
      <w:r w:rsidRPr="002C4077">
        <w:t xml:space="preserve"> </w:t>
      </w:r>
      <w:r>
        <w:t>le</w:t>
      </w:r>
      <w:r w:rsidRPr="002C4077">
        <w:t xml:space="preserve"> </w:t>
      </w:r>
      <w:r>
        <w:t>désir</w:t>
      </w:r>
      <w:r w:rsidRPr="002C4077">
        <w:t xml:space="preserve"> </w:t>
      </w:r>
      <w:r>
        <w:t>de</w:t>
      </w:r>
      <w:r w:rsidRPr="002C4077">
        <w:t xml:space="preserve"> </w:t>
      </w:r>
      <w:r>
        <w:t>se</w:t>
      </w:r>
      <w:r w:rsidRPr="002C4077">
        <w:t xml:space="preserve"> </w:t>
      </w:r>
      <w:r>
        <w:t>faire</w:t>
      </w:r>
      <w:r w:rsidRPr="002C4077">
        <w:t xml:space="preserve"> </w:t>
      </w:r>
      <w:r>
        <w:t>un</w:t>
      </w:r>
      <w:r w:rsidRPr="002C4077">
        <w:t xml:space="preserve"> </w:t>
      </w:r>
      <w:r>
        <w:t>regain</w:t>
      </w:r>
      <w:r w:rsidRPr="002C4077">
        <w:t xml:space="preserve"> </w:t>
      </w:r>
      <w:r>
        <w:t>de</w:t>
      </w:r>
      <w:r w:rsidRPr="002C4077">
        <w:t xml:space="preserve"> </w:t>
      </w:r>
      <w:r>
        <w:t>popularité.</w:t>
      </w:r>
      <w:r w:rsidRPr="002C4077">
        <w:t xml:space="preserve"> </w:t>
      </w:r>
    </w:p>
    <w:p w:rsidR="000A7AAB" w:rsidRDefault="000A7AAB" w:rsidP="000A7AAB">
      <w:r>
        <w:t>À</w:t>
      </w:r>
      <w:r w:rsidRPr="002C4077">
        <w:t xml:space="preserve"> </w:t>
      </w:r>
      <w:r>
        <w:t>cette</w:t>
      </w:r>
      <w:r w:rsidRPr="002C4077">
        <w:t xml:space="preserve"> </w:t>
      </w:r>
      <w:r>
        <w:t>ambition</w:t>
      </w:r>
      <w:r w:rsidRPr="002C4077">
        <w:t xml:space="preserve"> </w:t>
      </w:r>
      <w:r>
        <w:t>nous</w:t>
      </w:r>
      <w:r w:rsidRPr="002C4077">
        <w:t xml:space="preserve"> </w:t>
      </w:r>
      <w:r>
        <w:t>devons</w:t>
      </w:r>
      <w:r w:rsidRPr="002C4077">
        <w:t xml:space="preserve"> </w:t>
      </w:r>
      <w:r>
        <w:t>de</w:t>
      </w:r>
      <w:r w:rsidRPr="002C4077">
        <w:t xml:space="preserve"> </w:t>
      </w:r>
      <w:r>
        <w:t>prétendues</w:t>
      </w:r>
      <w:r w:rsidRPr="002C4077">
        <w:t xml:space="preserve"> </w:t>
      </w:r>
      <w:r w:rsidRPr="000A34B5">
        <w:rPr>
          <w:rStyle w:val="italicus"/>
        </w:rPr>
        <w:t>Études</w:t>
      </w:r>
      <w:r w:rsidRPr="002C4077">
        <w:t xml:space="preserve"> </w:t>
      </w:r>
      <w:r w:rsidRPr="000A34B5">
        <w:rPr>
          <w:rStyle w:val="italicus"/>
        </w:rPr>
        <w:t>d’histoire</w:t>
      </w:r>
      <w:r w:rsidRPr="002C4077">
        <w:t xml:space="preserve"> </w:t>
      </w:r>
      <w:r w:rsidRPr="000A34B5">
        <w:rPr>
          <w:rStyle w:val="italicus"/>
        </w:rPr>
        <w:t>religieuse,</w:t>
      </w:r>
      <w:r w:rsidRPr="002C4077">
        <w:t xml:space="preserve"> </w:t>
      </w:r>
      <w:r>
        <w:t>qui</w:t>
      </w:r>
      <w:r w:rsidRPr="002C4077">
        <w:t xml:space="preserve"> </w:t>
      </w:r>
      <w:r>
        <w:t>débutent</w:t>
      </w:r>
      <w:r w:rsidRPr="002C4077">
        <w:t xml:space="preserve"> </w:t>
      </w:r>
      <w:r>
        <w:t>par</w:t>
      </w:r>
      <w:r w:rsidRPr="002C4077">
        <w:t xml:space="preserve"> </w:t>
      </w:r>
      <w:r>
        <w:t>la</w:t>
      </w:r>
      <w:r w:rsidRPr="002C4077">
        <w:t xml:space="preserve"> </w:t>
      </w:r>
      <w:r w:rsidR="00B546AF">
        <w:t>« </w:t>
      </w:r>
      <w:r>
        <w:t>critique</w:t>
      </w:r>
      <w:r w:rsidRPr="002C4077">
        <w:t xml:space="preserve"> </w:t>
      </w:r>
      <w:r>
        <w:t>des</w:t>
      </w:r>
      <w:r w:rsidRPr="002C4077">
        <w:t xml:space="preserve"> </w:t>
      </w:r>
      <w:r>
        <w:t>récits</w:t>
      </w:r>
      <w:r w:rsidRPr="002C4077">
        <w:t xml:space="preserve"> </w:t>
      </w:r>
      <w:r>
        <w:t>sur</w:t>
      </w:r>
      <w:r w:rsidRPr="002C4077">
        <w:t xml:space="preserve"> </w:t>
      </w:r>
      <w:r>
        <w:t>la</w:t>
      </w:r>
      <w:r w:rsidRPr="002C4077">
        <w:t xml:space="preserve"> </w:t>
      </w:r>
      <w:r>
        <w:t>Vie</w:t>
      </w:r>
      <w:r w:rsidRPr="002C4077">
        <w:t xml:space="preserve"> </w:t>
      </w:r>
      <w:r>
        <w:t>de</w:t>
      </w:r>
      <w:r w:rsidRPr="002C4077">
        <w:t xml:space="preserve"> </w:t>
      </w:r>
      <w:r w:rsidR="00425C50">
        <w:t>Jésus</w:t>
      </w:r>
      <w:r w:rsidR="00B546AF">
        <w:rPr>
          <w:rStyle w:val="Appelnotedebasdep"/>
        </w:rPr>
        <w:footnoteReference w:id="418"/>
      </w:r>
      <w:r w:rsidR="00B546AF">
        <w:t> »</w:t>
      </w:r>
      <w:r>
        <w:t>.</w:t>
      </w:r>
      <w:r w:rsidRPr="002C4077">
        <w:t xml:space="preserve"> </w:t>
      </w:r>
    </w:p>
    <w:p w:rsidR="000A7AAB" w:rsidRDefault="000A7AAB" w:rsidP="000A7AAB">
      <w:r>
        <w:t>Dans</w:t>
      </w:r>
      <w:r w:rsidRPr="002C4077">
        <w:t xml:space="preserve"> </w:t>
      </w:r>
      <w:r>
        <w:t>l’examen</w:t>
      </w:r>
      <w:r w:rsidRPr="002C4077">
        <w:t xml:space="preserve"> </w:t>
      </w:r>
      <w:r>
        <w:t>consciencieux</w:t>
      </w:r>
      <w:r w:rsidRPr="002C4077">
        <w:t xml:space="preserve"> </w:t>
      </w:r>
      <w:r>
        <w:t>auquel</w:t>
      </w:r>
      <w:r w:rsidRPr="002C4077">
        <w:t xml:space="preserve"> </w:t>
      </w:r>
      <w:r>
        <w:t>nous</w:t>
      </w:r>
      <w:r w:rsidRPr="002C4077">
        <w:t xml:space="preserve"> </w:t>
      </w:r>
      <w:r>
        <w:t>allons</w:t>
      </w:r>
      <w:r w:rsidRPr="002C4077">
        <w:t xml:space="preserve"> </w:t>
      </w:r>
      <w:r>
        <w:t>soumettre</w:t>
      </w:r>
      <w:r w:rsidRPr="002C4077">
        <w:t xml:space="preserve"> </w:t>
      </w:r>
      <w:r>
        <w:t>ces</w:t>
      </w:r>
      <w:r w:rsidRPr="002C4077">
        <w:t xml:space="preserve"> </w:t>
      </w:r>
      <w:r>
        <w:t>premières</w:t>
      </w:r>
      <w:r w:rsidRPr="002C4077">
        <w:t xml:space="preserve"> </w:t>
      </w:r>
      <w:r>
        <w:t>pages</w:t>
      </w:r>
      <w:r w:rsidRPr="002C4077">
        <w:t xml:space="preserve"> </w:t>
      </w:r>
      <w:r>
        <w:t>de</w:t>
      </w:r>
      <w:r w:rsidRPr="002C4077">
        <w:t xml:space="preserve"> </w:t>
      </w:r>
      <w:r>
        <w:t>l’œuvre</w:t>
      </w:r>
      <w:r w:rsidRPr="002C4077">
        <w:t xml:space="preserve"> </w:t>
      </w:r>
      <w:r>
        <w:t>de</w:t>
      </w:r>
      <w:r w:rsidRPr="002C4077">
        <w:t xml:space="preserve"> </w:t>
      </w:r>
      <w:r>
        <w:t>M.</w:t>
      </w:r>
      <w:r w:rsidRPr="002C4077">
        <w:t xml:space="preserve"> </w:t>
      </w:r>
      <w:r>
        <w:t>Havet,</w:t>
      </w:r>
      <w:r w:rsidRPr="002C4077">
        <w:t xml:space="preserve"> </w:t>
      </w:r>
      <w:r>
        <w:t>nous</w:t>
      </w:r>
      <w:r w:rsidRPr="002C4077">
        <w:t xml:space="preserve"> </w:t>
      </w:r>
      <w:r>
        <w:t>imposerons</w:t>
      </w:r>
      <w:r w:rsidRPr="002C4077">
        <w:t xml:space="preserve"> </w:t>
      </w:r>
      <w:r>
        <w:t>silence</w:t>
      </w:r>
      <w:r w:rsidRPr="002C4077">
        <w:t xml:space="preserve"> </w:t>
      </w:r>
      <w:r>
        <w:t>à</w:t>
      </w:r>
      <w:r w:rsidRPr="002C4077">
        <w:t xml:space="preserve"> </w:t>
      </w:r>
      <w:r>
        <w:t>notre</w:t>
      </w:r>
      <w:r w:rsidRPr="002C4077">
        <w:t xml:space="preserve"> </w:t>
      </w:r>
      <w:r>
        <w:t>indignation</w:t>
      </w:r>
      <w:r w:rsidRPr="002C4077">
        <w:t xml:space="preserve"> </w:t>
      </w:r>
      <w:r>
        <w:t>de</w:t>
      </w:r>
      <w:r w:rsidRPr="002C4077">
        <w:t xml:space="preserve"> </w:t>
      </w:r>
      <w:r>
        <w:t>chrétien</w:t>
      </w:r>
      <w:r w:rsidR="00B546AF">
        <w:t> ;</w:t>
      </w:r>
      <w:r w:rsidRPr="002C4077">
        <w:t xml:space="preserve"> </w:t>
      </w:r>
      <w:r>
        <w:t>c’est</w:t>
      </w:r>
      <w:r w:rsidRPr="002C4077">
        <w:t xml:space="preserve"> </w:t>
      </w:r>
      <w:r>
        <w:t>au</w:t>
      </w:r>
      <w:r w:rsidRPr="002C4077">
        <w:t xml:space="preserve"> </w:t>
      </w:r>
      <w:r>
        <w:t>point</w:t>
      </w:r>
      <w:r w:rsidRPr="002C4077">
        <w:t xml:space="preserve"> </w:t>
      </w:r>
      <w:r>
        <w:t>de</w:t>
      </w:r>
      <w:r w:rsidRPr="002C4077">
        <w:t xml:space="preserve"> </w:t>
      </w:r>
      <w:r>
        <w:t>vue</w:t>
      </w:r>
      <w:r w:rsidRPr="002C4077">
        <w:t xml:space="preserve"> </w:t>
      </w:r>
      <w:r>
        <w:t>scientifique</w:t>
      </w:r>
      <w:r w:rsidRPr="002C4077">
        <w:t xml:space="preserve"> </w:t>
      </w:r>
      <w:r>
        <w:t>que</w:t>
      </w:r>
      <w:r w:rsidRPr="002C4077">
        <w:t xml:space="preserve"> </w:t>
      </w:r>
      <w:r>
        <w:t>nous</w:t>
      </w:r>
      <w:r w:rsidRPr="002C4077">
        <w:t xml:space="preserve"> </w:t>
      </w:r>
      <w:r>
        <w:t>voulons</w:t>
      </w:r>
      <w:r w:rsidRPr="002C4077">
        <w:t xml:space="preserve"> </w:t>
      </w:r>
      <w:r>
        <w:t>les</w:t>
      </w:r>
      <w:r w:rsidRPr="002C4077">
        <w:t xml:space="preserve"> </w:t>
      </w:r>
      <w:r>
        <w:t>juger.</w:t>
      </w:r>
      <w:r w:rsidRPr="002C4077">
        <w:t xml:space="preserve"> </w:t>
      </w:r>
    </w:p>
    <w:p w:rsidR="000D12F1" w:rsidRDefault="000D12F1" w:rsidP="00B546AF">
      <w:pPr>
        <w:rPr>
          <w:rStyle w:val="italicus"/>
          <w:i w:val="0"/>
        </w:rPr>
      </w:pPr>
    </w:p>
    <w:p w:rsidR="00B546AF" w:rsidRDefault="00B546AF" w:rsidP="00B546AF">
      <w:pPr>
        <w:rPr>
          <w:rStyle w:val="italicus"/>
          <w:i w:val="0"/>
        </w:rPr>
      </w:pPr>
      <w:r w:rsidRPr="0041290B">
        <w:rPr>
          <w:rStyle w:val="italicus"/>
          <w:i w:val="0"/>
        </w:rPr>
        <w:t>1.</w:t>
      </w:r>
      <w:r w:rsidRPr="002C4077">
        <w:t xml:space="preserve"> </w:t>
      </w:r>
      <w:r w:rsidRPr="00B546AF">
        <w:rPr>
          <w:rStyle w:val="italicus"/>
        </w:rPr>
        <w:t>Le</w:t>
      </w:r>
      <w:r w:rsidRPr="002C4077">
        <w:t xml:space="preserve"> </w:t>
      </w:r>
      <w:r w:rsidRPr="00B546AF">
        <w:rPr>
          <w:rStyle w:val="italicus"/>
        </w:rPr>
        <w:t>but</w:t>
      </w:r>
      <w:r w:rsidRPr="002C4077">
        <w:t xml:space="preserve"> </w:t>
      </w:r>
      <w:r w:rsidRPr="00B546AF">
        <w:rPr>
          <w:rStyle w:val="italicus"/>
        </w:rPr>
        <w:t>de</w:t>
      </w:r>
      <w:r w:rsidRPr="002C4077">
        <w:t xml:space="preserve"> </w:t>
      </w:r>
      <w:r w:rsidRPr="00B546AF">
        <w:rPr>
          <w:rStyle w:val="italicus"/>
        </w:rPr>
        <w:t>M.</w:t>
      </w:r>
      <w:r w:rsidRPr="002C4077">
        <w:t xml:space="preserve"> </w:t>
      </w:r>
      <w:r w:rsidRPr="00B546AF">
        <w:rPr>
          <w:rStyle w:val="italicus"/>
        </w:rPr>
        <w:t>Havet</w:t>
      </w:r>
      <w:bookmarkStart w:id="365" w:name="z_Havet_o2"/>
      <w:bookmarkEnd w:id="365"/>
      <w:r w:rsidRPr="00B546AF">
        <w:rPr>
          <w:rStyle w:val="italicus"/>
        </w:rPr>
        <w:t>.</w:t>
      </w:r>
      <w:r w:rsidRPr="002C4077">
        <w:t xml:space="preserve"> </w:t>
      </w:r>
      <w:r w:rsidRPr="0041290B">
        <w:rPr>
          <w:rStyle w:val="italicus"/>
          <w:i w:val="0"/>
        </w:rPr>
        <w:t>—</w:t>
      </w:r>
      <w:r w:rsidRPr="002C4077">
        <w:t xml:space="preserve"> </w:t>
      </w:r>
      <w:r w:rsidRPr="0041290B">
        <w:rPr>
          <w:rStyle w:val="italicus"/>
          <w:i w:val="0"/>
        </w:rPr>
        <w:t>Est-ce</w:t>
      </w:r>
      <w:r w:rsidRPr="002C4077">
        <w:t xml:space="preserve"> </w:t>
      </w:r>
      <w:r w:rsidRPr="0041290B">
        <w:rPr>
          <w:rStyle w:val="italicus"/>
          <w:i w:val="0"/>
        </w:rPr>
        <w:t>l</w:t>
      </w:r>
      <w:r>
        <w:rPr>
          <w:rStyle w:val="italicus"/>
          <w:i w:val="0"/>
        </w:rPr>
        <w:t>’</w:t>
      </w:r>
      <w:r w:rsidRPr="0041290B">
        <w:rPr>
          <w:rStyle w:val="italicus"/>
          <w:i w:val="0"/>
        </w:rPr>
        <w:t>amour</w:t>
      </w:r>
      <w:r w:rsidRPr="002C4077">
        <w:t xml:space="preserve"> </w:t>
      </w:r>
      <w:r w:rsidRPr="0041290B">
        <w:rPr>
          <w:rStyle w:val="italicus"/>
          <w:i w:val="0"/>
        </w:rPr>
        <w:t>de</w:t>
      </w:r>
      <w:r w:rsidRPr="002C4077">
        <w:t xml:space="preserve"> </w:t>
      </w:r>
      <w:r w:rsidRPr="0041290B">
        <w:rPr>
          <w:rStyle w:val="italicus"/>
          <w:i w:val="0"/>
        </w:rPr>
        <w:t>la</w:t>
      </w:r>
      <w:r w:rsidRPr="002C4077">
        <w:t xml:space="preserve"> </w:t>
      </w:r>
      <w:r w:rsidRPr="0041290B">
        <w:rPr>
          <w:rStyle w:val="italicus"/>
          <w:i w:val="0"/>
        </w:rPr>
        <w:t>vérité,</w:t>
      </w:r>
      <w:r w:rsidRPr="002C4077">
        <w:t xml:space="preserve"> </w:t>
      </w:r>
      <w:r w:rsidRPr="0041290B">
        <w:rPr>
          <w:rStyle w:val="italicus"/>
          <w:i w:val="0"/>
        </w:rPr>
        <w:t>le</w:t>
      </w:r>
      <w:r w:rsidRPr="002C4077">
        <w:t xml:space="preserve"> </w:t>
      </w:r>
      <w:r w:rsidRPr="0041290B">
        <w:rPr>
          <w:rStyle w:val="italicus"/>
          <w:i w:val="0"/>
        </w:rPr>
        <w:t>seul</w:t>
      </w:r>
      <w:r w:rsidRPr="002C4077">
        <w:t xml:space="preserve"> </w:t>
      </w:r>
      <w:r w:rsidRPr="0041290B">
        <w:rPr>
          <w:rStyle w:val="italicus"/>
          <w:i w:val="0"/>
        </w:rPr>
        <w:t>amour</w:t>
      </w:r>
      <w:r w:rsidRPr="002C4077">
        <w:t xml:space="preserve"> </w:t>
      </w:r>
      <w:r w:rsidRPr="0041290B">
        <w:rPr>
          <w:rStyle w:val="italicus"/>
          <w:i w:val="0"/>
        </w:rPr>
        <w:t>permis</w:t>
      </w:r>
      <w:r w:rsidRPr="002C4077">
        <w:t xml:space="preserve"> </w:t>
      </w:r>
      <w:r w:rsidRPr="0041290B">
        <w:rPr>
          <w:rStyle w:val="italicus"/>
          <w:i w:val="0"/>
        </w:rPr>
        <w:t>au</w:t>
      </w:r>
      <w:r w:rsidRPr="002C4077">
        <w:t xml:space="preserve"> </w:t>
      </w:r>
      <w:r w:rsidRPr="0041290B">
        <w:rPr>
          <w:rStyle w:val="italicus"/>
          <w:i w:val="0"/>
        </w:rPr>
        <w:t>savant,</w:t>
      </w:r>
      <w:r w:rsidRPr="002C4077">
        <w:t xml:space="preserve"> </w:t>
      </w:r>
      <w:r w:rsidRPr="0041290B">
        <w:rPr>
          <w:rStyle w:val="italicus"/>
          <w:i w:val="0"/>
        </w:rPr>
        <w:t>qui</w:t>
      </w:r>
      <w:r w:rsidRPr="002C4077">
        <w:t xml:space="preserve"> </w:t>
      </w:r>
      <w:r w:rsidRPr="0041290B">
        <w:rPr>
          <w:rStyle w:val="italicus"/>
          <w:i w:val="0"/>
        </w:rPr>
        <w:t>dirige</w:t>
      </w:r>
      <w:r w:rsidRPr="002C4077">
        <w:t xml:space="preserve"> </w:t>
      </w:r>
      <w:r w:rsidRPr="0041290B">
        <w:rPr>
          <w:rStyle w:val="italicus"/>
          <w:i w:val="0"/>
        </w:rPr>
        <w:t>M.</w:t>
      </w:r>
      <w:r w:rsidRPr="002C4077">
        <w:t xml:space="preserve"> </w:t>
      </w:r>
      <w:r w:rsidRPr="0041290B">
        <w:rPr>
          <w:rStyle w:val="italicus"/>
          <w:i w:val="0"/>
        </w:rPr>
        <w:t>Havet</w:t>
      </w:r>
      <w:r w:rsidRPr="002C4077">
        <w:t xml:space="preserve"> </w:t>
      </w:r>
      <w:r w:rsidRPr="0041290B">
        <w:rPr>
          <w:rStyle w:val="italicus"/>
          <w:i w:val="0"/>
        </w:rPr>
        <w:t>dans</w:t>
      </w:r>
      <w:r w:rsidRPr="002C4077">
        <w:t xml:space="preserve"> </w:t>
      </w:r>
      <w:r w:rsidRPr="0041290B">
        <w:rPr>
          <w:rStyle w:val="italicus"/>
          <w:i w:val="0"/>
        </w:rPr>
        <w:t>ses</w:t>
      </w:r>
      <w:r w:rsidRPr="002C4077">
        <w:t xml:space="preserve"> </w:t>
      </w:r>
      <w:r w:rsidRPr="0041290B">
        <w:rPr>
          <w:rStyle w:val="italicus"/>
          <w:i w:val="0"/>
        </w:rPr>
        <w:t>Études</w:t>
      </w:r>
      <w:r w:rsidRPr="002C4077">
        <w:t xml:space="preserve"> </w:t>
      </w:r>
      <w:r w:rsidRPr="0041290B">
        <w:rPr>
          <w:rStyle w:val="italicus"/>
          <w:i w:val="0"/>
        </w:rPr>
        <w:t>sur</w:t>
      </w:r>
      <w:r w:rsidRPr="002C4077">
        <w:t xml:space="preserve"> </w:t>
      </w:r>
      <w:r w:rsidR="00425C50">
        <w:rPr>
          <w:rStyle w:val="italicus"/>
          <w:i w:val="0"/>
        </w:rPr>
        <w:t>Jésus</w:t>
      </w:r>
      <w:r>
        <w:rPr>
          <w:rStyle w:val="italicus"/>
          <w:i w:val="0"/>
        </w:rPr>
        <w:t> </w:t>
      </w:r>
      <w:r w:rsidRPr="0041290B">
        <w:rPr>
          <w:rStyle w:val="italicus"/>
          <w:i w:val="0"/>
        </w:rPr>
        <w:t>?</w:t>
      </w:r>
      <w:r w:rsidRPr="002C4077">
        <w:t xml:space="preserve"> </w:t>
      </w:r>
    </w:p>
    <w:p w:rsidR="00B546AF" w:rsidRPr="004C5B7A" w:rsidRDefault="00B546AF" w:rsidP="000A7AAB">
      <w:r w:rsidRPr="0041290B">
        <w:rPr>
          <w:rStyle w:val="italicus"/>
          <w:i w:val="0"/>
        </w:rPr>
        <w:t>Que</w:t>
      </w:r>
      <w:r w:rsidRPr="002C4077">
        <w:t xml:space="preserve"> </w:t>
      </w:r>
      <w:r w:rsidRPr="0041290B">
        <w:rPr>
          <w:rStyle w:val="italicus"/>
          <w:i w:val="0"/>
        </w:rPr>
        <w:t>se</w:t>
      </w:r>
      <w:r w:rsidRPr="002C4077">
        <w:t xml:space="preserve"> </w:t>
      </w:r>
      <w:r w:rsidRPr="0041290B">
        <w:rPr>
          <w:rStyle w:val="italicus"/>
          <w:i w:val="0"/>
        </w:rPr>
        <w:t>propose-t-il</w:t>
      </w:r>
      <w:r>
        <w:rPr>
          <w:rStyle w:val="italicus"/>
          <w:i w:val="0"/>
        </w:rPr>
        <w:t> </w:t>
      </w:r>
      <w:r w:rsidRPr="0041290B">
        <w:rPr>
          <w:rStyle w:val="italicus"/>
          <w:i w:val="0"/>
        </w:rPr>
        <w:t>?</w:t>
      </w:r>
      <w:r w:rsidRPr="002C4077">
        <w:t xml:space="preserve"> </w:t>
      </w:r>
      <w:r w:rsidRPr="0041290B">
        <w:rPr>
          <w:rStyle w:val="italicus"/>
          <w:i w:val="0"/>
        </w:rPr>
        <w:t>Il</w:t>
      </w:r>
      <w:r w:rsidRPr="002C4077">
        <w:t xml:space="preserve"> </w:t>
      </w:r>
      <w:r w:rsidRPr="0041290B">
        <w:rPr>
          <w:rStyle w:val="italicus"/>
          <w:i w:val="0"/>
        </w:rPr>
        <w:t>nous</w:t>
      </w:r>
      <w:r w:rsidRPr="002C4077">
        <w:t xml:space="preserve"> </w:t>
      </w:r>
      <w:r w:rsidRPr="0041290B">
        <w:rPr>
          <w:rStyle w:val="italicus"/>
          <w:i w:val="0"/>
        </w:rPr>
        <w:t>le</w:t>
      </w:r>
      <w:r w:rsidRPr="002C4077">
        <w:t xml:space="preserve"> </w:t>
      </w:r>
      <w:r w:rsidRPr="0041290B">
        <w:rPr>
          <w:rStyle w:val="italicus"/>
          <w:i w:val="0"/>
        </w:rPr>
        <w:t>dit</w:t>
      </w:r>
      <w:r w:rsidRPr="002C4077">
        <w:t xml:space="preserve"> </w:t>
      </w:r>
      <w:r w:rsidRPr="0041290B">
        <w:rPr>
          <w:rStyle w:val="italicus"/>
          <w:i w:val="0"/>
        </w:rPr>
        <w:t>assez</w:t>
      </w:r>
      <w:r w:rsidRPr="002C4077">
        <w:t xml:space="preserve"> </w:t>
      </w:r>
      <w:r w:rsidRPr="0041290B">
        <w:rPr>
          <w:rStyle w:val="italicus"/>
          <w:i w:val="0"/>
        </w:rPr>
        <w:t>franchement,</w:t>
      </w:r>
      <w:r w:rsidRPr="002C4077">
        <w:t xml:space="preserve"> </w:t>
      </w:r>
      <w:r w:rsidRPr="0041290B">
        <w:rPr>
          <w:rStyle w:val="italicus"/>
          <w:i w:val="0"/>
        </w:rPr>
        <w:t>quoique</w:t>
      </w:r>
      <w:r w:rsidRPr="002C4077">
        <w:t xml:space="preserve"> </w:t>
      </w:r>
      <w:r w:rsidRPr="0041290B">
        <w:rPr>
          <w:rStyle w:val="italicus"/>
          <w:i w:val="0"/>
        </w:rPr>
        <w:t>sa</w:t>
      </w:r>
      <w:r w:rsidRPr="002C4077">
        <w:t xml:space="preserve"> </w:t>
      </w:r>
      <w:r w:rsidRPr="0041290B">
        <w:rPr>
          <w:rStyle w:val="italicus"/>
          <w:i w:val="0"/>
        </w:rPr>
        <w:t>confession</w:t>
      </w:r>
      <w:r w:rsidRPr="002C4077">
        <w:t xml:space="preserve"> </w:t>
      </w:r>
      <w:r w:rsidRPr="0041290B">
        <w:rPr>
          <w:rStyle w:val="italicus"/>
          <w:i w:val="0"/>
        </w:rPr>
        <w:t>ne</w:t>
      </w:r>
      <w:r w:rsidRPr="002C4077">
        <w:t xml:space="preserve"> </w:t>
      </w:r>
      <w:r w:rsidRPr="0041290B">
        <w:rPr>
          <w:rStyle w:val="italicus"/>
          <w:i w:val="0"/>
        </w:rPr>
        <w:t>vienne</w:t>
      </w:r>
      <w:r w:rsidRPr="002C4077">
        <w:t xml:space="preserve"> </w:t>
      </w:r>
      <w:r w:rsidRPr="0041290B">
        <w:rPr>
          <w:rStyle w:val="italicus"/>
          <w:i w:val="0"/>
        </w:rPr>
        <w:t>qu</w:t>
      </w:r>
      <w:r>
        <w:rPr>
          <w:rStyle w:val="italicus"/>
          <w:i w:val="0"/>
        </w:rPr>
        <w:t>’</w:t>
      </w:r>
      <w:r w:rsidRPr="0041290B">
        <w:rPr>
          <w:rStyle w:val="italicus"/>
          <w:i w:val="0"/>
        </w:rPr>
        <w:t>à</w:t>
      </w:r>
      <w:r w:rsidRPr="002C4077">
        <w:t xml:space="preserve"> </w:t>
      </w:r>
      <w:r w:rsidRPr="0041290B">
        <w:rPr>
          <w:rStyle w:val="italicus"/>
          <w:i w:val="0"/>
        </w:rPr>
        <w:t>l</w:t>
      </w:r>
      <w:r>
        <w:rPr>
          <w:rStyle w:val="italicus"/>
          <w:i w:val="0"/>
        </w:rPr>
        <w:t>’</w:t>
      </w:r>
      <w:r w:rsidRPr="0041290B">
        <w:rPr>
          <w:rStyle w:val="italicus"/>
          <w:i w:val="0"/>
        </w:rPr>
        <w:t>avant-dernière</w:t>
      </w:r>
      <w:r w:rsidRPr="002C4077">
        <w:t xml:space="preserve"> </w:t>
      </w:r>
      <w:r w:rsidRPr="0041290B">
        <w:rPr>
          <w:rStyle w:val="italicus"/>
          <w:i w:val="0"/>
        </w:rPr>
        <w:t>page</w:t>
      </w:r>
      <w:r w:rsidRPr="002C4077">
        <w:t xml:space="preserve"> </w:t>
      </w:r>
      <w:r w:rsidRPr="0041290B">
        <w:rPr>
          <w:rStyle w:val="italicus"/>
          <w:i w:val="0"/>
        </w:rPr>
        <w:t>de</w:t>
      </w:r>
      <w:r w:rsidRPr="002C4077">
        <w:t xml:space="preserve"> </w:t>
      </w:r>
      <w:r w:rsidRPr="0041290B">
        <w:rPr>
          <w:rStyle w:val="italicus"/>
          <w:i w:val="0"/>
        </w:rPr>
        <w:t>son</w:t>
      </w:r>
      <w:r w:rsidRPr="002C4077">
        <w:t xml:space="preserve"> </w:t>
      </w:r>
      <w:r w:rsidRPr="0041290B">
        <w:rPr>
          <w:rStyle w:val="italicus"/>
          <w:i w:val="0"/>
        </w:rPr>
        <w:t>article,</w:t>
      </w:r>
      <w:r w:rsidRPr="002C4077">
        <w:t xml:space="preserve"> </w:t>
      </w:r>
      <w:r w:rsidRPr="0041290B">
        <w:rPr>
          <w:rStyle w:val="italicus"/>
          <w:i w:val="0"/>
        </w:rPr>
        <w:t>et</w:t>
      </w:r>
      <w:r w:rsidRPr="002C4077">
        <w:t xml:space="preserve"> </w:t>
      </w:r>
      <w:r w:rsidRPr="0041290B">
        <w:rPr>
          <w:rStyle w:val="italicus"/>
          <w:i w:val="0"/>
        </w:rPr>
        <w:t>qu</w:t>
      </w:r>
      <w:r>
        <w:rPr>
          <w:rStyle w:val="italicus"/>
          <w:i w:val="0"/>
        </w:rPr>
        <w:t>’</w:t>
      </w:r>
      <w:r w:rsidRPr="0041290B">
        <w:rPr>
          <w:rStyle w:val="italicus"/>
          <w:i w:val="0"/>
        </w:rPr>
        <w:t>elle</w:t>
      </w:r>
      <w:r w:rsidRPr="002C4077">
        <w:t xml:space="preserve"> </w:t>
      </w:r>
      <w:r w:rsidRPr="0041290B">
        <w:rPr>
          <w:rStyle w:val="italicus"/>
          <w:i w:val="0"/>
        </w:rPr>
        <w:t>soit</w:t>
      </w:r>
      <w:r w:rsidRPr="002C4077">
        <w:t xml:space="preserve"> </w:t>
      </w:r>
      <w:r w:rsidRPr="0041290B">
        <w:rPr>
          <w:rStyle w:val="italicus"/>
          <w:i w:val="0"/>
        </w:rPr>
        <w:t>humblement</w:t>
      </w:r>
      <w:r w:rsidRPr="002C4077">
        <w:t xml:space="preserve"> </w:t>
      </w:r>
      <w:r w:rsidRPr="0041290B">
        <w:rPr>
          <w:rStyle w:val="italicus"/>
          <w:i w:val="0"/>
        </w:rPr>
        <w:t>—</w:t>
      </w:r>
      <w:r w:rsidRPr="002C4077">
        <w:t xml:space="preserve"> </w:t>
      </w:r>
      <w:r w:rsidRPr="0041290B">
        <w:rPr>
          <w:rStyle w:val="italicus"/>
          <w:i w:val="0"/>
        </w:rPr>
        <w:t>ou</w:t>
      </w:r>
      <w:r w:rsidRPr="002C4077">
        <w:t xml:space="preserve"> </w:t>
      </w:r>
      <w:r w:rsidRPr="0041290B">
        <w:rPr>
          <w:rStyle w:val="italicus"/>
          <w:i w:val="0"/>
        </w:rPr>
        <w:t>habilement</w:t>
      </w:r>
      <w:r>
        <w:rPr>
          <w:rStyle w:val="italicus"/>
          <w:i w:val="0"/>
        </w:rPr>
        <w:t> </w:t>
      </w:r>
      <w:r w:rsidRPr="0041290B">
        <w:rPr>
          <w:rStyle w:val="italicus"/>
          <w:i w:val="0"/>
        </w:rPr>
        <w:t>?</w:t>
      </w:r>
      <w:r w:rsidRPr="002C4077">
        <w:t xml:space="preserve"> </w:t>
      </w:r>
      <w:r w:rsidRPr="0041290B">
        <w:rPr>
          <w:rStyle w:val="italicus"/>
          <w:i w:val="0"/>
        </w:rPr>
        <w:t>—</w:t>
      </w:r>
      <w:r w:rsidRPr="002C4077">
        <w:t xml:space="preserve"> </w:t>
      </w:r>
      <w:r w:rsidRPr="0041290B">
        <w:rPr>
          <w:rStyle w:val="italicus"/>
          <w:i w:val="0"/>
        </w:rPr>
        <w:t>insérée</w:t>
      </w:r>
      <w:r w:rsidRPr="002C4077">
        <w:t xml:space="preserve"> </w:t>
      </w:r>
      <w:r w:rsidRPr="0041290B">
        <w:rPr>
          <w:rStyle w:val="italicus"/>
          <w:i w:val="0"/>
        </w:rPr>
        <w:t>dans</w:t>
      </w:r>
      <w:r w:rsidRPr="002C4077">
        <w:t xml:space="preserve"> </w:t>
      </w:r>
      <w:r w:rsidRPr="0041290B">
        <w:rPr>
          <w:rStyle w:val="italicus"/>
          <w:i w:val="0"/>
        </w:rPr>
        <w:t>une</w:t>
      </w:r>
      <w:r w:rsidRPr="002C4077">
        <w:t xml:space="preserve"> </w:t>
      </w:r>
      <w:r w:rsidRPr="0041290B">
        <w:rPr>
          <w:rStyle w:val="italicus"/>
          <w:i w:val="0"/>
        </w:rPr>
        <w:t>note.</w:t>
      </w:r>
      <w:r w:rsidRPr="002C4077">
        <w:t xml:space="preserve"> </w:t>
      </w:r>
      <w:r>
        <w:rPr>
          <w:rStyle w:val="italicus"/>
          <w:i w:val="0"/>
        </w:rPr>
        <w:t>« </w:t>
      </w:r>
      <w:r w:rsidRPr="0041290B">
        <w:rPr>
          <w:rStyle w:val="italicus"/>
          <w:i w:val="0"/>
        </w:rPr>
        <w:t>On</w:t>
      </w:r>
      <w:r w:rsidRPr="002C4077">
        <w:t xml:space="preserve"> </w:t>
      </w:r>
      <w:r w:rsidRPr="0041290B">
        <w:rPr>
          <w:rStyle w:val="italicus"/>
          <w:i w:val="0"/>
        </w:rPr>
        <w:t>voit</w:t>
      </w:r>
      <w:r w:rsidRPr="002C4077">
        <w:t xml:space="preserve"> </w:t>
      </w:r>
      <w:r w:rsidRPr="0041290B">
        <w:rPr>
          <w:rStyle w:val="italicus"/>
          <w:i w:val="0"/>
        </w:rPr>
        <w:t>assez,</w:t>
      </w:r>
      <w:r w:rsidRPr="002C4077">
        <w:t xml:space="preserve"> </w:t>
      </w:r>
      <w:r w:rsidRPr="0041290B">
        <w:rPr>
          <w:rStyle w:val="italicus"/>
          <w:i w:val="0"/>
        </w:rPr>
        <w:t>écrit-il,</w:t>
      </w:r>
      <w:r w:rsidRPr="002C4077">
        <w:t xml:space="preserve"> </w:t>
      </w:r>
      <w:r w:rsidRPr="0041290B">
        <w:rPr>
          <w:rStyle w:val="italicus"/>
          <w:i w:val="0"/>
        </w:rPr>
        <w:t>que</w:t>
      </w:r>
      <w:r w:rsidRPr="002C4077">
        <w:t xml:space="preserve"> </w:t>
      </w:r>
      <w:r w:rsidRPr="0041290B">
        <w:rPr>
          <w:rStyle w:val="italicus"/>
          <w:i w:val="0"/>
        </w:rPr>
        <w:t>lorsqu</w:t>
      </w:r>
      <w:r>
        <w:rPr>
          <w:rStyle w:val="italicus"/>
          <w:i w:val="0"/>
        </w:rPr>
        <w:t>’</w:t>
      </w:r>
      <w:r w:rsidRPr="0041290B">
        <w:rPr>
          <w:rStyle w:val="italicus"/>
          <w:i w:val="0"/>
        </w:rPr>
        <w:t>il</w:t>
      </w:r>
      <w:r w:rsidRPr="002C4077">
        <w:t xml:space="preserve"> </w:t>
      </w:r>
      <w:r w:rsidRPr="0041290B">
        <w:rPr>
          <w:rStyle w:val="italicus"/>
          <w:i w:val="0"/>
        </w:rPr>
        <w:t>s</w:t>
      </w:r>
      <w:r>
        <w:rPr>
          <w:rStyle w:val="italicus"/>
          <w:i w:val="0"/>
        </w:rPr>
        <w:t>’</w:t>
      </w:r>
      <w:r w:rsidRPr="0041290B">
        <w:rPr>
          <w:rStyle w:val="italicus"/>
          <w:i w:val="0"/>
        </w:rPr>
        <w:t>agit</w:t>
      </w:r>
      <w:r w:rsidRPr="002C4077">
        <w:t xml:space="preserve"> </w:t>
      </w:r>
      <w:r w:rsidRPr="0041290B">
        <w:rPr>
          <w:rStyle w:val="italicus"/>
          <w:i w:val="0"/>
        </w:rPr>
        <w:t>de</w:t>
      </w:r>
      <w:r w:rsidRPr="002C4077">
        <w:t xml:space="preserve"> </w:t>
      </w:r>
      <w:r w:rsidRPr="0041290B">
        <w:rPr>
          <w:rStyle w:val="italicus"/>
          <w:i w:val="0"/>
        </w:rPr>
        <w:t>conclure</w:t>
      </w:r>
      <w:r w:rsidRPr="002C4077">
        <w:t xml:space="preserve"> </w:t>
      </w:r>
      <w:r w:rsidRPr="0041290B">
        <w:rPr>
          <w:rStyle w:val="italicus"/>
          <w:i w:val="0"/>
        </w:rPr>
        <w:t>sur</w:t>
      </w:r>
      <w:r w:rsidRPr="002C4077">
        <w:t xml:space="preserve"> </w:t>
      </w:r>
      <w:r w:rsidR="00425C50">
        <w:rPr>
          <w:rStyle w:val="italicus"/>
          <w:i w:val="0"/>
        </w:rPr>
        <w:t>Jésus</w:t>
      </w:r>
      <w:r w:rsidRPr="0041290B">
        <w:rPr>
          <w:rStyle w:val="italicus"/>
          <w:i w:val="0"/>
        </w:rPr>
        <w:t>,</w:t>
      </w:r>
      <w:r w:rsidRPr="002C4077">
        <w:t xml:space="preserve"> </w:t>
      </w:r>
      <w:r w:rsidRPr="0041290B">
        <w:rPr>
          <w:rStyle w:val="italicus"/>
          <w:i w:val="0"/>
        </w:rPr>
        <w:t>je</w:t>
      </w:r>
      <w:r w:rsidRPr="002C4077">
        <w:t xml:space="preserve"> </w:t>
      </w:r>
      <w:r w:rsidRPr="0041290B">
        <w:rPr>
          <w:rStyle w:val="italicus"/>
          <w:i w:val="0"/>
        </w:rPr>
        <w:t>suis</w:t>
      </w:r>
      <w:r w:rsidRPr="002C4077">
        <w:t xml:space="preserve"> </w:t>
      </w:r>
      <w:r w:rsidRPr="0041290B">
        <w:rPr>
          <w:rStyle w:val="italicus"/>
          <w:i w:val="0"/>
        </w:rPr>
        <w:t>de</w:t>
      </w:r>
      <w:r w:rsidRPr="002C4077">
        <w:t xml:space="preserve"> </w:t>
      </w:r>
      <w:r w:rsidRPr="0041290B">
        <w:rPr>
          <w:rStyle w:val="italicus"/>
          <w:i w:val="0"/>
        </w:rPr>
        <w:t>l</w:t>
      </w:r>
      <w:r>
        <w:rPr>
          <w:rStyle w:val="italicus"/>
          <w:i w:val="0"/>
        </w:rPr>
        <w:t>’</w:t>
      </w:r>
      <w:r w:rsidRPr="0041290B">
        <w:rPr>
          <w:rStyle w:val="italicus"/>
          <w:i w:val="0"/>
        </w:rPr>
        <w:t>avis</w:t>
      </w:r>
      <w:r w:rsidRPr="002C4077">
        <w:t xml:space="preserve"> </w:t>
      </w:r>
      <w:r w:rsidRPr="0041290B">
        <w:rPr>
          <w:rStyle w:val="italicus"/>
          <w:i w:val="0"/>
        </w:rPr>
        <w:t>de</w:t>
      </w:r>
      <w:r w:rsidRPr="002C4077">
        <w:t xml:space="preserve"> </w:t>
      </w:r>
      <w:r w:rsidRPr="0041290B">
        <w:rPr>
          <w:rStyle w:val="italicus"/>
          <w:i w:val="0"/>
        </w:rPr>
        <w:t>Voltaire</w:t>
      </w:r>
      <w:bookmarkStart w:id="366" w:name="z_Voltaire_o2"/>
      <w:bookmarkEnd w:id="366"/>
      <w:r w:rsidRPr="002C4077">
        <w:t xml:space="preserve"> </w:t>
      </w:r>
      <w:r w:rsidRPr="0041290B">
        <w:rPr>
          <w:rStyle w:val="italicus"/>
          <w:i w:val="0"/>
        </w:rPr>
        <w:t>et</w:t>
      </w:r>
      <w:r w:rsidRPr="002C4077">
        <w:t xml:space="preserve"> </w:t>
      </w:r>
      <w:r w:rsidRPr="0041290B">
        <w:rPr>
          <w:rStyle w:val="italicus"/>
          <w:i w:val="0"/>
        </w:rPr>
        <w:t>du</w:t>
      </w:r>
      <w:r w:rsidRPr="002C4077">
        <w:t xml:space="preserve"> </w:t>
      </w:r>
      <w:r>
        <w:rPr>
          <w:rStyle w:val="italicus"/>
          <w:i w:val="0"/>
        </w:rPr>
        <w:t>XVI</w:t>
      </w:r>
      <w:r w:rsidR="007B3C26">
        <w:rPr>
          <w:rStyle w:val="italicus"/>
          <w:i w:val="0"/>
        </w:rPr>
        <w:t>II</w:t>
      </w:r>
      <w:r w:rsidR="007B3C26" w:rsidRPr="007B3C26">
        <w:rPr>
          <w:rStyle w:val="italicus"/>
          <w:i w:val="0"/>
          <w:vertAlign w:val="superscript"/>
        </w:rPr>
        <w:t>e</w:t>
      </w:r>
      <w:r w:rsidRPr="002C4077">
        <w:t xml:space="preserve"> </w:t>
      </w:r>
      <w:r w:rsidRPr="0041290B">
        <w:rPr>
          <w:rStyle w:val="italicus"/>
          <w:i w:val="0"/>
        </w:rPr>
        <w:t>siècle,</w:t>
      </w:r>
      <w:r w:rsidRPr="002C4077">
        <w:t xml:space="preserve"> </w:t>
      </w:r>
      <w:r w:rsidRPr="0041290B">
        <w:rPr>
          <w:rStyle w:val="italicus"/>
          <w:i w:val="0"/>
        </w:rPr>
        <w:t>et</w:t>
      </w:r>
      <w:r w:rsidRPr="002C4077">
        <w:t xml:space="preserve"> </w:t>
      </w:r>
      <w:r w:rsidRPr="0041290B">
        <w:rPr>
          <w:rStyle w:val="italicus"/>
          <w:i w:val="0"/>
        </w:rPr>
        <w:t>que,</w:t>
      </w:r>
      <w:r w:rsidRPr="002C4077">
        <w:t xml:space="preserve"> </w:t>
      </w:r>
      <w:r w:rsidRPr="0041290B">
        <w:rPr>
          <w:rStyle w:val="italicus"/>
          <w:i w:val="0"/>
        </w:rPr>
        <w:t>parmi</w:t>
      </w:r>
      <w:r w:rsidRPr="002C4077">
        <w:t xml:space="preserve"> </w:t>
      </w:r>
      <w:r w:rsidRPr="0041290B">
        <w:rPr>
          <w:rStyle w:val="italicus"/>
          <w:i w:val="0"/>
        </w:rPr>
        <w:t>les</w:t>
      </w:r>
      <w:r w:rsidRPr="002C4077">
        <w:t xml:space="preserve"> </w:t>
      </w:r>
      <w:r w:rsidRPr="0041290B">
        <w:rPr>
          <w:rStyle w:val="italicus"/>
          <w:i w:val="0"/>
        </w:rPr>
        <w:t>penseurs</w:t>
      </w:r>
      <w:r w:rsidRPr="002C4077">
        <w:t xml:space="preserve"> </w:t>
      </w:r>
      <w:r w:rsidRPr="0041290B">
        <w:rPr>
          <w:rStyle w:val="italicus"/>
          <w:i w:val="0"/>
        </w:rPr>
        <w:t>de</w:t>
      </w:r>
      <w:r w:rsidRPr="002C4077">
        <w:t xml:space="preserve"> </w:t>
      </w:r>
      <w:r w:rsidRPr="0041290B">
        <w:rPr>
          <w:rStyle w:val="italicus"/>
          <w:i w:val="0"/>
        </w:rPr>
        <w:t>notre</w:t>
      </w:r>
      <w:r w:rsidRPr="002C4077">
        <w:t xml:space="preserve"> </w:t>
      </w:r>
      <w:r w:rsidRPr="0041290B">
        <w:rPr>
          <w:rStyle w:val="italicus"/>
          <w:i w:val="0"/>
        </w:rPr>
        <w:t>temps,</w:t>
      </w:r>
      <w:r w:rsidRPr="002C4077">
        <w:t xml:space="preserve"> </w:t>
      </w:r>
      <w:r w:rsidRPr="0041290B">
        <w:rPr>
          <w:rStyle w:val="italicus"/>
          <w:i w:val="0"/>
        </w:rPr>
        <w:t>je</w:t>
      </w:r>
      <w:r w:rsidRPr="002C4077">
        <w:t xml:space="preserve"> </w:t>
      </w:r>
      <w:r w:rsidRPr="0041290B">
        <w:rPr>
          <w:rStyle w:val="italicus"/>
          <w:i w:val="0"/>
        </w:rPr>
        <w:t>me</w:t>
      </w:r>
      <w:r w:rsidRPr="002C4077">
        <w:t xml:space="preserve"> </w:t>
      </w:r>
      <w:r w:rsidRPr="0041290B">
        <w:rPr>
          <w:rStyle w:val="italicus"/>
          <w:i w:val="0"/>
        </w:rPr>
        <w:t>range</w:t>
      </w:r>
      <w:r w:rsidRPr="002C4077">
        <w:t xml:space="preserve"> </w:t>
      </w:r>
      <w:r w:rsidRPr="0041290B">
        <w:rPr>
          <w:rStyle w:val="italicus"/>
          <w:i w:val="0"/>
        </w:rPr>
        <w:t>du</w:t>
      </w:r>
      <w:r w:rsidRPr="002C4077">
        <w:t xml:space="preserve"> </w:t>
      </w:r>
      <w:r w:rsidRPr="0041290B">
        <w:rPr>
          <w:rStyle w:val="italicus"/>
          <w:i w:val="0"/>
        </w:rPr>
        <w:t>côté</w:t>
      </w:r>
      <w:r w:rsidRPr="002C4077">
        <w:t xml:space="preserve"> </w:t>
      </w:r>
      <w:r w:rsidRPr="0041290B">
        <w:rPr>
          <w:rStyle w:val="italicus"/>
          <w:i w:val="0"/>
        </w:rPr>
        <w:t>de</w:t>
      </w:r>
      <w:r w:rsidRPr="002C4077">
        <w:t xml:space="preserve"> </w:t>
      </w:r>
      <w:r w:rsidRPr="0041290B">
        <w:rPr>
          <w:rStyle w:val="italicus"/>
          <w:i w:val="0"/>
        </w:rPr>
        <w:t>ceux</w:t>
      </w:r>
      <w:r w:rsidRPr="002C4077">
        <w:t xml:space="preserve"> </w:t>
      </w:r>
      <w:r w:rsidRPr="0041290B">
        <w:rPr>
          <w:rStyle w:val="italicus"/>
          <w:i w:val="0"/>
        </w:rPr>
        <w:t>qui</w:t>
      </w:r>
      <w:r w:rsidRPr="002C4077">
        <w:t xml:space="preserve"> </w:t>
      </w:r>
      <w:r w:rsidRPr="0041290B">
        <w:rPr>
          <w:rStyle w:val="italicus"/>
          <w:i w:val="0"/>
        </w:rPr>
        <w:t>ont</w:t>
      </w:r>
      <w:r w:rsidRPr="002C4077">
        <w:t xml:space="preserve"> </w:t>
      </w:r>
      <w:r w:rsidRPr="0041290B">
        <w:rPr>
          <w:rStyle w:val="italicus"/>
          <w:i w:val="0"/>
        </w:rPr>
        <w:t>repris</w:t>
      </w:r>
      <w:r w:rsidRPr="002C4077">
        <w:t xml:space="preserve"> </w:t>
      </w:r>
      <w:r w:rsidRPr="0041290B">
        <w:rPr>
          <w:rStyle w:val="italicus"/>
          <w:i w:val="0"/>
        </w:rPr>
        <w:t>la</w:t>
      </w:r>
      <w:r w:rsidRPr="002C4077">
        <w:t xml:space="preserve"> </w:t>
      </w:r>
      <w:r w:rsidRPr="0041290B">
        <w:rPr>
          <w:rStyle w:val="italicus"/>
          <w:i w:val="0"/>
        </w:rPr>
        <w:t>tradition</w:t>
      </w:r>
      <w:r w:rsidRPr="002C4077">
        <w:t xml:space="preserve"> </w:t>
      </w:r>
      <w:r w:rsidRPr="0041290B">
        <w:rPr>
          <w:rStyle w:val="italicus"/>
          <w:i w:val="0"/>
        </w:rPr>
        <w:t>de</w:t>
      </w:r>
      <w:r w:rsidRPr="002C4077">
        <w:t xml:space="preserve"> </w:t>
      </w:r>
      <w:r w:rsidRPr="0041290B">
        <w:rPr>
          <w:rStyle w:val="italicus"/>
          <w:i w:val="0"/>
        </w:rPr>
        <w:t>ce</w:t>
      </w:r>
      <w:r w:rsidRPr="002C4077">
        <w:t xml:space="preserve"> </w:t>
      </w:r>
      <w:r w:rsidRPr="0041290B">
        <w:rPr>
          <w:rStyle w:val="italicus"/>
          <w:i w:val="0"/>
        </w:rPr>
        <w:t>siècle</w:t>
      </w:r>
      <w:r w:rsidRPr="002C4077">
        <w:t xml:space="preserve"> </w:t>
      </w:r>
      <w:r w:rsidRPr="0041290B">
        <w:rPr>
          <w:rStyle w:val="italicus"/>
          <w:i w:val="0"/>
        </w:rPr>
        <w:t>et</w:t>
      </w:r>
      <w:r w:rsidRPr="002C4077">
        <w:t xml:space="preserve"> </w:t>
      </w:r>
      <w:r w:rsidRPr="0041290B">
        <w:rPr>
          <w:rStyle w:val="italicus"/>
          <w:i w:val="0"/>
        </w:rPr>
        <w:t>y</w:t>
      </w:r>
      <w:r w:rsidRPr="002C4077">
        <w:t xml:space="preserve"> </w:t>
      </w:r>
      <w:r w:rsidRPr="0041290B">
        <w:rPr>
          <w:rStyle w:val="italicus"/>
          <w:i w:val="0"/>
        </w:rPr>
        <w:t>sont</w:t>
      </w:r>
      <w:r w:rsidRPr="002C4077">
        <w:t xml:space="preserve"> </w:t>
      </w:r>
      <w:r w:rsidRPr="0041290B">
        <w:rPr>
          <w:rStyle w:val="italicus"/>
          <w:i w:val="0"/>
        </w:rPr>
        <w:t>restés</w:t>
      </w:r>
      <w:r w:rsidRPr="002C4077">
        <w:t xml:space="preserve"> </w:t>
      </w:r>
      <w:r w:rsidRPr="0041290B">
        <w:rPr>
          <w:rStyle w:val="italicus"/>
          <w:i w:val="0"/>
        </w:rPr>
        <w:t>fidèles</w:t>
      </w:r>
      <w:r>
        <w:rPr>
          <w:rStyle w:val="Appelnotedebasdep"/>
        </w:rPr>
        <w:footnoteReference w:id="419"/>
      </w:r>
      <w:r>
        <w:rPr>
          <w:rStyle w:val="italicus"/>
          <w:i w:val="0"/>
        </w:rPr>
        <w:t> </w:t>
      </w:r>
      <w:r w:rsidRPr="0041290B">
        <w:rPr>
          <w:rStyle w:val="italicus"/>
          <w:i w:val="0"/>
        </w:rPr>
        <w:t>».</w:t>
      </w:r>
      <w:r w:rsidR="00C45B47">
        <w:t xml:space="preserve"> {</w:t>
      </w:r>
      <w:r w:rsidR="004C5B7A">
        <w:t>131</w:t>
      </w:r>
      <w:bookmarkStart w:id="367" w:name="p131"/>
      <w:bookmarkEnd w:id="367"/>
      <w:r w:rsidR="004C5B7A">
        <w:t xml:space="preserve">} </w:t>
      </w:r>
    </w:p>
    <w:p w:rsidR="000A7AAB" w:rsidRDefault="000A7AAB" w:rsidP="000A7AAB">
      <w:r>
        <w:t>Avant</w:t>
      </w:r>
      <w:r w:rsidRPr="002C4077">
        <w:t xml:space="preserve"> </w:t>
      </w:r>
      <w:r>
        <w:t>toutes</w:t>
      </w:r>
      <w:r w:rsidRPr="002C4077">
        <w:t xml:space="preserve"> </w:t>
      </w:r>
      <w:r>
        <w:t>choses,</w:t>
      </w:r>
      <w:r w:rsidRPr="002C4077">
        <w:t xml:space="preserve"> </w:t>
      </w:r>
      <w:r>
        <w:t>M.</w:t>
      </w:r>
      <w:r w:rsidRPr="002C4077">
        <w:t xml:space="preserve"> </w:t>
      </w:r>
      <w:r>
        <w:t>Havet</w:t>
      </w:r>
      <w:r w:rsidRPr="002C4077">
        <w:t xml:space="preserve"> </w:t>
      </w:r>
      <w:r w:rsidR="00425C50">
        <w:t>est</w:t>
      </w:r>
      <w:r w:rsidRPr="002C4077">
        <w:t xml:space="preserve"> </w:t>
      </w:r>
      <w:r>
        <w:t>donc</w:t>
      </w:r>
      <w:r w:rsidRPr="002C4077">
        <w:t xml:space="preserve"> </w:t>
      </w:r>
      <w:r>
        <w:t>voltairien</w:t>
      </w:r>
      <w:r w:rsidRPr="002C4077">
        <w:t xml:space="preserve"> </w:t>
      </w:r>
      <w:r>
        <w:t>relativement</w:t>
      </w:r>
      <w:r w:rsidRPr="002C4077">
        <w:t xml:space="preserve"> </w:t>
      </w:r>
      <w:r>
        <w:t>à</w:t>
      </w:r>
      <w:r w:rsidRPr="002C4077">
        <w:t xml:space="preserve"> </w:t>
      </w:r>
      <w:r>
        <w:t>N.</w:t>
      </w:r>
      <w:r w:rsidRPr="002C4077">
        <w:t xml:space="preserve"> </w:t>
      </w:r>
      <w:r>
        <w:t>S.</w:t>
      </w:r>
      <w:r w:rsidRPr="002C4077">
        <w:t xml:space="preserve"> </w:t>
      </w:r>
      <w:r w:rsidR="00425C50">
        <w:t>Jésus</w:t>
      </w:r>
      <w:r>
        <w:t>-</w:t>
      </w:r>
      <w:r w:rsidR="00425C50">
        <w:t>Christ</w:t>
      </w:r>
      <w:r w:rsidR="00B546AF">
        <w:t> ;</w:t>
      </w:r>
      <w:r w:rsidRPr="002C4077">
        <w:t xml:space="preserve"> </w:t>
      </w:r>
      <w:r>
        <w:t>car</w:t>
      </w:r>
      <w:r w:rsidRPr="002C4077">
        <w:t xml:space="preserve"> </w:t>
      </w:r>
      <w:r>
        <w:t>il</w:t>
      </w:r>
      <w:r w:rsidRPr="002C4077">
        <w:t xml:space="preserve"> </w:t>
      </w:r>
      <w:r w:rsidR="00425C50">
        <w:t>est</w:t>
      </w:r>
      <w:r w:rsidRPr="002C4077">
        <w:t xml:space="preserve"> </w:t>
      </w:r>
      <w:r>
        <w:t>d’esprit</w:t>
      </w:r>
      <w:r w:rsidRPr="002C4077">
        <w:t xml:space="preserve"> </w:t>
      </w:r>
      <w:r>
        <w:t>et</w:t>
      </w:r>
      <w:r w:rsidRPr="002C4077">
        <w:t xml:space="preserve"> </w:t>
      </w:r>
      <w:r>
        <w:t>de</w:t>
      </w:r>
      <w:r w:rsidRPr="002C4077">
        <w:t xml:space="preserve"> </w:t>
      </w:r>
      <w:r>
        <w:t>cœur</w:t>
      </w:r>
      <w:r w:rsidRPr="002C4077">
        <w:t xml:space="preserve"> </w:t>
      </w:r>
      <w:r>
        <w:t>avec</w:t>
      </w:r>
      <w:r w:rsidRPr="002C4077">
        <w:t xml:space="preserve"> </w:t>
      </w:r>
      <w:r>
        <w:t>ceux</w:t>
      </w:r>
      <w:r w:rsidRPr="002C4077">
        <w:t xml:space="preserve"> </w:t>
      </w:r>
      <w:r>
        <w:t>dont</w:t>
      </w:r>
      <w:r w:rsidRPr="002C4077">
        <w:t xml:space="preserve"> </w:t>
      </w:r>
      <w:r>
        <w:t>toutes</w:t>
      </w:r>
      <w:r w:rsidRPr="002C4077">
        <w:t xml:space="preserve"> </w:t>
      </w:r>
      <w:r>
        <w:t>les</w:t>
      </w:r>
      <w:r w:rsidRPr="002C4077">
        <w:t xml:space="preserve"> </w:t>
      </w:r>
      <w:r>
        <w:t>tendances</w:t>
      </w:r>
      <w:r w:rsidRPr="002C4077">
        <w:t xml:space="preserve"> </w:t>
      </w:r>
      <w:r>
        <w:t>se</w:t>
      </w:r>
      <w:r w:rsidRPr="002C4077">
        <w:t xml:space="preserve"> </w:t>
      </w:r>
      <w:r>
        <w:t>mettent</w:t>
      </w:r>
      <w:r w:rsidRPr="002C4077">
        <w:t xml:space="preserve"> </w:t>
      </w:r>
      <w:r>
        <w:t>au</w:t>
      </w:r>
      <w:r w:rsidRPr="002C4077">
        <w:t xml:space="preserve"> </w:t>
      </w:r>
      <w:r>
        <w:t>service</w:t>
      </w:r>
      <w:r w:rsidRPr="002C4077">
        <w:t xml:space="preserve"> </w:t>
      </w:r>
      <w:r>
        <w:t>d’un</w:t>
      </w:r>
      <w:r w:rsidRPr="002C4077">
        <w:t xml:space="preserve"> </w:t>
      </w:r>
      <w:r>
        <w:t>désir</w:t>
      </w:r>
      <w:r w:rsidRPr="002C4077">
        <w:t xml:space="preserve"> </w:t>
      </w:r>
      <w:r>
        <w:t>fanatique</w:t>
      </w:r>
      <w:r w:rsidR="00B546AF">
        <w:t> :</w:t>
      </w:r>
      <w:r w:rsidRPr="002C4077">
        <w:t xml:space="preserve"> </w:t>
      </w:r>
      <w:r w:rsidRPr="000A34B5">
        <w:rPr>
          <w:rStyle w:val="italicus"/>
        </w:rPr>
        <w:t>Écraser</w:t>
      </w:r>
      <w:r w:rsidRPr="002C4077">
        <w:t xml:space="preserve"> </w:t>
      </w:r>
      <w:r w:rsidRPr="000A34B5">
        <w:rPr>
          <w:rStyle w:val="italicus"/>
        </w:rPr>
        <w:t>l’infâme.</w:t>
      </w:r>
      <w:r w:rsidRPr="002C4077">
        <w:t xml:space="preserve"> </w:t>
      </w:r>
      <w:r>
        <w:t>Tel</w:t>
      </w:r>
      <w:r w:rsidRPr="002C4077">
        <w:t xml:space="preserve"> </w:t>
      </w:r>
      <w:r w:rsidR="00425C50">
        <w:t>est</w:t>
      </w:r>
      <w:r w:rsidRPr="002C4077">
        <w:t xml:space="preserve"> </w:t>
      </w:r>
      <w:r>
        <w:t>son</w:t>
      </w:r>
      <w:r w:rsidRPr="002C4077">
        <w:t xml:space="preserve"> </w:t>
      </w:r>
      <w:r>
        <w:t>but</w:t>
      </w:r>
      <w:r w:rsidRPr="002C4077">
        <w:t xml:space="preserve"> </w:t>
      </w:r>
      <w:r>
        <w:t>bien</w:t>
      </w:r>
      <w:r w:rsidRPr="002C4077">
        <w:t xml:space="preserve"> </w:t>
      </w:r>
      <w:r>
        <w:t>avéré.</w:t>
      </w:r>
      <w:r w:rsidRPr="002C4077">
        <w:t xml:space="preserve"> </w:t>
      </w:r>
    </w:p>
    <w:p w:rsidR="000A7AAB" w:rsidRDefault="000A7AAB" w:rsidP="000A7AAB">
      <w:r>
        <w:t>Est-ce</w:t>
      </w:r>
      <w:r w:rsidRPr="002C4077">
        <w:t xml:space="preserve"> </w:t>
      </w:r>
      <w:r>
        <w:t>là</w:t>
      </w:r>
      <w:r w:rsidRPr="002C4077">
        <w:t xml:space="preserve"> </w:t>
      </w:r>
      <w:r>
        <w:t>un</w:t>
      </w:r>
      <w:r w:rsidRPr="002C4077">
        <w:t xml:space="preserve"> </w:t>
      </w:r>
      <w:r>
        <w:t>but</w:t>
      </w:r>
      <w:r w:rsidRPr="002C4077">
        <w:t xml:space="preserve"> </w:t>
      </w:r>
      <w:r>
        <w:t>scientifique</w:t>
      </w:r>
      <w:r w:rsidR="00B546AF">
        <w:t> ?</w:t>
      </w:r>
      <w:r w:rsidRPr="002C4077">
        <w:t xml:space="preserve"> </w:t>
      </w:r>
      <w:r>
        <w:t>Et</w:t>
      </w:r>
      <w:r w:rsidRPr="002C4077">
        <w:t xml:space="preserve"> </w:t>
      </w:r>
      <w:r>
        <w:t>l’œuvre</w:t>
      </w:r>
      <w:r w:rsidRPr="002C4077">
        <w:t xml:space="preserve"> </w:t>
      </w:r>
      <w:r>
        <w:t>qu’il</w:t>
      </w:r>
      <w:r w:rsidRPr="002C4077">
        <w:t xml:space="preserve"> </w:t>
      </w:r>
      <w:r>
        <w:t>inspire</w:t>
      </w:r>
      <w:r w:rsidRPr="002C4077">
        <w:t xml:space="preserve"> </w:t>
      </w:r>
      <w:r>
        <w:t>peut-elle</w:t>
      </w:r>
      <w:r w:rsidRPr="002C4077">
        <w:t xml:space="preserve"> </w:t>
      </w:r>
      <w:r>
        <w:t>être</w:t>
      </w:r>
      <w:r w:rsidRPr="002C4077">
        <w:t xml:space="preserve"> </w:t>
      </w:r>
      <w:r>
        <w:t>autre</w:t>
      </w:r>
      <w:r w:rsidRPr="002C4077">
        <w:t xml:space="preserve"> </w:t>
      </w:r>
      <w:r>
        <w:t>chose</w:t>
      </w:r>
      <w:r w:rsidRPr="002C4077">
        <w:t xml:space="preserve"> </w:t>
      </w:r>
      <w:r>
        <w:t>qu’une</w:t>
      </w:r>
      <w:r w:rsidRPr="002C4077">
        <w:t xml:space="preserve"> </w:t>
      </w:r>
      <w:r>
        <w:t>œuvre</w:t>
      </w:r>
      <w:r w:rsidRPr="002C4077">
        <w:t xml:space="preserve"> </w:t>
      </w:r>
      <w:r>
        <w:t>de</w:t>
      </w:r>
      <w:r w:rsidRPr="002C4077">
        <w:t xml:space="preserve"> </w:t>
      </w:r>
      <w:r>
        <w:t>passion,</w:t>
      </w:r>
      <w:r w:rsidRPr="002C4077">
        <w:t xml:space="preserve"> </w:t>
      </w:r>
      <w:r>
        <w:t>dépourvue,</w:t>
      </w:r>
      <w:r w:rsidRPr="002C4077">
        <w:t xml:space="preserve"> </w:t>
      </w:r>
      <w:r>
        <w:t>par</w:t>
      </w:r>
      <w:r w:rsidRPr="002C4077">
        <w:t xml:space="preserve"> </w:t>
      </w:r>
      <w:r>
        <w:t>conséquent,</w:t>
      </w:r>
      <w:r w:rsidRPr="002C4077">
        <w:t xml:space="preserve"> </w:t>
      </w:r>
      <w:r>
        <w:t>de</w:t>
      </w:r>
      <w:r w:rsidRPr="002C4077">
        <w:t xml:space="preserve"> </w:t>
      </w:r>
      <w:r>
        <w:t>la</w:t>
      </w:r>
      <w:r w:rsidRPr="002C4077">
        <w:t xml:space="preserve"> </w:t>
      </w:r>
      <w:r>
        <w:t>première</w:t>
      </w:r>
      <w:r w:rsidRPr="002C4077">
        <w:t xml:space="preserve"> </w:t>
      </w:r>
      <w:r>
        <w:t>condition</w:t>
      </w:r>
      <w:r w:rsidRPr="002C4077">
        <w:t xml:space="preserve"> </w:t>
      </w:r>
      <w:r>
        <w:t>nécessaire</w:t>
      </w:r>
      <w:r w:rsidRPr="002C4077">
        <w:t xml:space="preserve"> </w:t>
      </w:r>
      <w:r>
        <w:t>à</w:t>
      </w:r>
      <w:r w:rsidRPr="002C4077">
        <w:t xml:space="preserve"> </w:t>
      </w:r>
      <w:r>
        <w:t>toute</w:t>
      </w:r>
      <w:r w:rsidRPr="002C4077">
        <w:t xml:space="preserve"> </w:t>
      </w:r>
      <w:r>
        <w:t>recherche</w:t>
      </w:r>
      <w:r w:rsidRPr="002C4077">
        <w:t xml:space="preserve"> </w:t>
      </w:r>
      <w:r>
        <w:t>scientifique</w:t>
      </w:r>
      <w:r w:rsidR="00B546AF">
        <w:t> ?</w:t>
      </w:r>
      <w:r w:rsidRPr="002C4077">
        <w:t xml:space="preserve"> </w:t>
      </w:r>
      <w:r>
        <w:t>Naturellement,</w:t>
      </w:r>
      <w:r w:rsidRPr="002C4077">
        <w:t xml:space="preserve"> </w:t>
      </w:r>
      <w:r>
        <w:t>pour</w:t>
      </w:r>
      <w:r w:rsidRPr="002C4077">
        <w:t xml:space="preserve"> </w:t>
      </w:r>
      <w:r>
        <w:t>atteindre</w:t>
      </w:r>
      <w:r w:rsidRPr="002C4077">
        <w:t xml:space="preserve"> </w:t>
      </w:r>
      <w:r>
        <w:t>ce</w:t>
      </w:r>
      <w:r w:rsidRPr="002C4077">
        <w:t xml:space="preserve"> </w:t>
      </w:r>
      <w:r>
        <w:t>but</w:t>
      </w:r>
      <w:r w:rsidRPr="002C4077">
        <w:t xml:space="preserve"> </w:t>
      </w:r>
      <w:r>
        <w:t>suprême,</w:t>
      </w:r>
      <w:r w:rsidRPr="002C4077">
        <w:t xml:space="preserve"> </w:t>
      </w:r>
      <w:r>
        <w:t>M.</w:t>
      </w:r>
      <w:r w:rsidRPr="002C4077">
        <w:t xml:space="preserve"> </w:t>
      </w:r>
      <w:r>
        <w:t>Havet</w:t>
      </w:r>
      <w:r w:rsidRPr="002C4077">
        <w:t xml:space="preserve"> </w:t>
      </w:r>
      <w:r>
        <w:t>apportera</w:t>
      </w:r>
      <w:r w:rsidRPr="002C4077">
        <w:t xml:space="preserve"> </w:t>
      </w:r>
      <w:r>
        <w:t>dans</w:t>
      </w:r>
      <w:r w:rsidRPr="002C4077">
        <w:t xml:space="preserve"> </w:t>
      </w:r>
      <w:r>
        <w:t>le</w:t>
      </w:r>
      <w:r w:rsidRPr="002C4077">
        <w:t xml:space="preserve"> </w:t>
      </w:r>
      <w:r>
        <w:t>choix</w:t>
      </w:r>
      <w:r w:rsidRPr="002C4077">
        <w:t xml:space="preserve"> </w:t>
      </w:r>
      <w:r>
        <w:t>des</w:t>
      </w:r>
      <w:r w:rsidRPr="002C4077">
        <w:t xml:space="preserve"> </w:t>
      </w:r>
      <w:r>
        <w:t>moyens</w:t>
      </w:r>
      <w:r w:rsidRPr="002C4077">
        <w:t xml:space="preserve"> </w:t>
      </w:r>
      <w:r>
        <w:t>la</w:t>
      </w:r>
      <w:r w:rsidRPr="002C4077">
        <w:t xml:space="preserve"> </w:t>
      </w:r>
      <w:r>
        <w:t>délicatesse</w:t>
      </w:r>
      <w:r w:rsidRPr="002C4077">
        <w:t xml:space="preserve"> </w:t>
      </w:r>
      <w:r>
        <w:t>bien</w:t>
      </w:r>
      <w:r w:rsidRPr="002C4077">
        <w:t xml:space="preserve"> </w:t>
      </w:r>
      <w:r>
        <w:t>connue</w:t>
      </w:r>
      <w:r w:rsidRPr="002C4077">
        <w:t xml:space="preserve"> </w:t>
      </w:r>
      <w:r>
        <w:t>du</w:t>
      </w:r>
      <w:r w:rsidRPr="002C4077">
        <w:t xml:space="preserve"> </w:t>
      </w:r>
      <w:r>
        <w:t>maître</w:t>
      </w:r>
      <w:r w:rsidRPr="002C4077">
        <w:t xml:space="preserve"> </w:t>
      </w:r>
      <w:r>
        <w:t>dont</w:t>
      </w:r>
      <w:r w:rsidRPr="002C4077">
        <w:t xml:space="preserve"> </w:t>
      </w:r>
      <w:r>
        <w:t>il</w:t>
      </w:r>
      <w:r w:rsidRPr="002C4077">
        <w:t xml:space="preserve"> </w:t>
      </w:r>
      <w:r>
        <w:t>se</w:t>
      </w:r>
      <w:r w:rsidRPr="002C4077">
        <w:t xml:space="preserve"> </w:t>
      </w:r>
      <w:r>
        <w:t>réclame.</w:t>
      </w:r>
      <w:r w:rsidRPr="002C4077">
        <w:t xml:space="preserve"> </w:t>
      </w:r>
    </w:p>
    <w:p w:rsidR="000A7AAB" w:rsidRDefault="000A7AAB" w:rsidP="000A7AAB">
      <w:r>
        <w:t>C’est</w:t>
      </w:r>
      <w:r w:rsidRPr="002C4077">
        <w:t xml:space="preserve"> </w:t>
      </w:r>
      <w:r>
        <w:t>un</w:t>
      </w:r>
      <w:r w:rsidRPr="002C4077">
        <w:t xml:space="preserve"> </w:t>
      </w:r>
      <w:r>
        <w:t>premier</w:t>
      </w:r>
      <w:r w:rsidRPr="002C4077">
        <w:t xml:space="preserve"> </w:t>
      </w:r>
      <w:r>
        <w:t>point</w:t>
      </w:r>
      <w:r w:rsidRPr="002C4077">
        <w:t xml:space="preserve"> </w:t>
      </w:r>
      <w:r>
        <w:t>qu’il</w:t>
      </w:r>
      <w:r w:rsidRPr="002C4077">
        <w:t xml:space="preserve"> </w:t>
      </w:r>
      <w:r>
        <w:t>était</w:t>
      </w:r>
      <w:r w:rsidRPr="002C4077">
        <w:t xml:space="preserve"> </w:t>
      </w:r>
      <w:r>
        <w:t>bon</w:t>
      </w:r>
      <w:r w:rsidRPr="002C4077">
        <w:t xml:space="preserve"> </w:t>
      </w:r>
      <w:r>
        <w:t>de</w:t>
      </w:r>
      <w:bookmarkStart w:id="368" w:name="z_Havet_o3"/>
      <w:bookmarkEnd w:id="368"/>
      <w:r w:rsidRPr="002C4077">
        <w:t xml:space="preserve"> </w:t>
      </w:r>
      <w:r>
        <w:t>constater.</w:t>
      </w:r>
      <w:r w:rsidRPr="002C4077">
        <w:t xml:space="preserve"> </w:t>
      </w:r>
    </w:p>
    <w:p w:rsidR="000D12F1" w:rsidRDefault="000D12F1" w:rsidP="000A7AAB"/>
    <w:p w:rsidR="000A7AAB" w:rsidRDefault="000A7AAB" w:rsidP="000A7AAB">
      <w:r>
        <w:t>2.</w:t>
      </w:r>
      <w:r w:rsidRPr="002C4077">
        <w:t xml:space="preserve"> </w:t>
      </w:r>
      <w:r w:rsidRPr="000A34B5">
        <w:rPr>
          <w:rStyle w:val="italicus"/>
        </w:rPr>
        <w:t>Les</w:t>
      </w:r>
      <w:r w:rsidRPr="002C4077">
        <w:t xml:space="preserve"> </w:t>
      </w:r>
      <w:r w:rsidRPr="000A34B5">
        <w:rPr>
          <w:rStyle w:val="italicus"/>
        </w:rPr>
        <w:t>sources</w:t>
      </w:r>
      <w:r w:rsidRPr="002C4077">
        <w:t xml:space="preserve"> </w:t>
      </w:r>
      <w:r w:rsidRPr="000A34B5">
        <w:rPr>
          <w:rStyle w:val="italicus"/>
        </w:rPr>
        <w:t>de</w:t>
      </w:r>
      <w:r w:rsidRPr="002C4077">
        <w:t xml:space="preserve"> </w:t>
      </w:r>
      <w:r w:rsidRPr="000A34B5">
        <w:rPr>
          <w:rStyle w:val="italicus"/>
        </w:rPr>
        <w:t>M.</w:t>
      </w:r>
      <w:r w:rsidRPr="002C4077">
        <w:t xml:space="preserve"> </w:t>
      </w:r>
      <w:r w:rsidRPr="000A34B5">
        <w:rPr>
          <w:rStyle w:val="italicus"/>
        </w:rPr>
        <w:t>Havet.</w:t>
      </w:r>
      <w:bookmarkStart w:id="369" w:name="z_Havet_o4"/>
      <w:bookmarkEnd w:id="369"/>
      <w:r w:rsidRPr="002C4077">
        <w:t xml:space="preserve"> </w:t>
      </w:r>
      <w:r>
        <w:t>—</w:t>
      </w:r>
      <w:r w:rsidRPr="002C4077">
        <w:t xml:space="preserve"> </w:t>
      </w:r>
      <w:r>
        <w:t>Nous</w:t>
      </w:r>
      <w:r w:rsidRPr="002C4077">
        <w:t xml:space="preserve"> </w:t>
      </w:r>
      <w:r>
        <w:t>l’avouons</w:t>
      </w:r>
      <w:r w:rsidRPr="002C4077">
        <w:t xml:space="preserve"> </w:t>
      </w:r>
      <w:r>
        <w:t>en</w:t>
      </w:r>
      <w:r w:rsidRPr="002C4077">
        <w:t xml:space="preserve"> </w:t>
      </w:r>
      <w:r>
        <w:t>toute</w:t>
      </w:r>
      <w:r w:rsidRPr="002C4077">
        <w:t xml:space="preserve"> </w:t>
      </w:r>
      <w:r>
        <w:t>simplicité,</w:t>
      </w:r>
      <w:r w:rsidRPr="002C4077">
        <w:t xml:space="preserve"> </w:t>
      </w:r>
      <w:r>
        <w:t>en</w:t>
      </w:r>
      <w:r w:rsidRPr="002C4077">
        <w:t xml:space="preserve"> </w:t>
      </w:r>
      <w:r>
        <w:t>commençant</w:t>
      </w:r>
      <w:r w:rsidRPr="002C4077">
        <w:t xml:space="preserve"> </w:t>
      </w:r>
      <w:r>
        <w:t>la</w:t>
      </w:r>
      <w:r w:rsidRPr="002C4077">
        <w:t xml:space="preserve"> </w:t>
      </w:r>
      <w:r>
        <w:t>lecture</w:t>
      </w:r>
      <w:r w:rsidRPr="002C4077">
        <w:t xml:space="preserve"> </w:t>
      </w:r>
      <w:r>
        <w:t>des</w:t>
      </w:r>
      <w:r w:rsidRPr="002C4077">
        <w:t xml:space="preserve"> </w:t>
      </w:r>
      <w:r>
        <w:t>pages</w:t>
      </w:r>
      <w:r w:rsidRPr="002C4077">
        <w:t xml:space="preserve"> </w:t>
      </w:r>
      <w:r>
        <w:t>de</w:t>
      </w:r>
      <w:r w:rsidRPr="002C4077">
        <w:t xml:space="preserve"> </w:t>
      </w:r>
      <w:r>
        <w:t>M.</w:t>
      </w:r>
      <w:r w:rsidRPr="002C4077">
        <w:t xml:space="preserve"> </w:t>
      </w:r>
      <w:r>
        <w:t>Havet,</w:t>
      </w:r>
      <w:r w:rsidRPr="002C4077">
        <w:t xml:space="preserve"> </w:t>
      </w:r>
      <w:r>
        <w:t>nous</w:t>
      </w:r>
      <w:r w:rsidRPr="002C4077">
        <w:t xml:space="preserve"> </w:t>
      </w:r>
      <w:r>
        <w:t>nous</w:t>
      </w:r>
      <w:r w:rsidRPr="002C4077">
        <w:t xml:space="preserve"> </w:t>
      </w:r>
      <w:r>
        <w:t>attendions</w:t>
      </w:r>
      <w:r w:rsidRPr="002C4077">
        <w:t xml:space="preserve"> </w:t>
      </w:r>
      <w:r>
        <w:t>à</w:t>
      </w:r>
      <w:r w:rsidRPr="002C4077">
        <w:t xml:space="preserve"> </w:t>
      </w:r>
      <w:r>
        <w:t>trouver</w:t>
      </w:r>
      <w:r w:rsidRPr="002C4077">
        <w:t xml:space="preserve"> </w:t>
      </w:r>
      <w:r w:rsidR="00B546AF">
        <w:t>« </w:t>
      </w:r>
      <w:r>
        <w:t>du</w:t>
      </w:r>
      <w:r w:rsidRPr="002C4077">
        <w:t xml:space="preserve"> </w:t>
      </w:r>
      <w:r>
        <w:t>nouveau</w:t>
      </w:r>
      <w:r w:rsidR="00B546AF">
        <w:t> »</w:t>
      </w:r>
      <w:r>
        <w:t>.</w:t>
      </w:r>
      <w:r w:rsidRPr="002C4077">
        <w:t xml:space="preserve"> </w:t>
      </w:r>
      <w:r>
        <w:t>La</w:t>
      </w:r>
      <w:r w:rsidRPr="002C4077">
        <w:t xml:space="preserve"> </w:t>
      </w:r>
      <w:r>
        <w:t>soi-disant</w:t>
      </w:r>
      <w:r w:rsidRPr="002C4077">
        <w:t xml:space="preserve"> </w:t>
      </w:r>
      <w:r>
        <w:t>critique</w:t>
      </w:r>
      <w:r w:rsidRPr="002C4077">
        <w:t xml:space="preserve"> </w:t>
      </w:r>
      <w:r>
        <w:t>a</w:t>
      </w:r>
      <w:r w:rsidRPr="002C4077">
        <w:t xml:space="preserve"> </w:t>
      </w:r>
      <w:r>
        <w:t>de</w:t>
      </w:r>
      <w:r w:rsidRPr="002C4077">
        <w:t xml:space="preserve"> </w:t>
      </w:r>
      <w:r>
        <w:t>nos</w:t>
      </w:r>
      <w:r w:rsidRPr="002C4077">
        <w:t xml:space="preserve"> </w:t>
      </w:r>
      <w:r>
        <w:t>jours</w:t>
      </w:r>
      <w:r w:rsidRPr="002C4077">
        <w:t xml:space="preserve"> </w:t>
      </w:r>
      <w:r>
        <w:t>une</w:t>
      </w:r>
      <w:r w:rsidRPr="002C4077">
        <w:t xml:space="preserve"> </w:t>
      </w:r>
      <w:r>
        <w:t>marche</w:t>
      </w:r>
      <w:r w:rsidRPr="002C4077">
        <w:t xml:space="preserve"> </w:t>
      </w:r>
      <w:r>
        <w:t>tellement</w:t>
      </w:r>
      <w:r w:rsidRPr="002C4077">
        <w:t xml:space="preserve"> </w:t>
      </w:r>
      <w:r>
        <w:t>rapide,</w:t>
      </w:r>
      <w:r w:rsidRPr="002C4077">
        <w:t xml:space="preserve"> </w:t>
      </w:r>
      <w:r>
        <w:t>qu’on</w:t>
      </w:r>
      <w:r w:rsidRPr="002C4077">
        <w:t xml:space="preserve"> </w:t>
      </w:r>
      <w:r>
        <w:t>semble</w:t>
      </w:r>
      <w:r w:rsidRPr="002C4077">
        <w:t xml:space="preserve"> </w:t>
      </w:r>
      <w:r>
        <w:t>autorisé</w:t>
      </w:r>
      <w:r w:rsidRPr="002C4077">
        <w:t xml:space="preserve"> </w:t>
      </w:r>
      <w:r>
        <w:t>à</w:t>
      </w:r>
      <w:r w:rsidRPr="002C4077">
        <w:t xml:space="preserve"> </w:t>
      </w:r>
      <w:r>
        <w:t>lui</w:t>
      </w:r>
      <w:r w:rsidRPr="002C4077">
        <w:t xml:space="preserve"> </w:t>
      </w:r>
      <w:r>
        <w:t>demander</w:t>
      </w:r>
      <w:r w:rsidRPr="002C4077">
        <w:t xml:space="preserve"> </w:t>
      </w:r>
      <w:r>
        <w:t>constamment</w:t>
      </w:r>
      <w:r w:rsidRPr="002C4077">
        <w:t xml:space="preserve"> </w:t>
      </w:r>
      <w:r>
        <w:t>des</w:t>
      </w:r>
      <w:r w:rsidRPr="002C4077">
        <w:t xml:space="preserve"> </w:t>
      </w:r>
      <w:r>
        <w:t>aperçus</w:t>
      </w:r>
      <w:r w:rsidRPr="002C4077">
        <w:t xml:space="preserve"> </w:t>
      </w:r>
      <w:r>
        <w:t>extraordinaires,</w:t>
      </w:r>
      <w:r w:rsidRPr="002C4077">
        <w:t xml:space="preserve"> </w:t>
      </w:r>
      <w:r>
        <w:t>inconnus</w:t>
      </w:r>
      <w:r w:rsidRPr="002C4077">
        <w:t xml:space="preserve"> </w:t>
      </w:r>
      <w:r>
        <w:t>la</w:t>
      </w:r>
      <w:r w:rsidRPr="002C4077">
        <w:t xml:space="preserve"> </w:t>
      </w:r>
      <w:r>
        <w:t>veille.</w:t>
      </w:r>
      <w:r w:rsidRPr="002C4077">
        <w:t xml:space="preserve"> </w:t>
      </w:r>
      <w:r>
        <w:t>Mais,</w:t>
      </w:r>
      <w:r w:rsidRPr="002C4077">
        <w:t xml:space="preserve"> </w:t>
      </w:r>
      <w:r>
        <w:t>ici,</w:t>
      </w:r>
      <w:r w:rsidRPr="002C4077">
        <w:t xml:space="preserve"> </w:t>
      </w:r>
      <w:r>
        <w:t>pas</w:t>
      </w:r>
      <w:r w:rsidRPr="002C4077">
        <w:t xml:space="preserve"> </w:t>
      </w:r>
      <w:r>
        <w:t>la</w:t>
      </w:r>
      <w:r w:rsidRPr="002C4077">
        <w:t xml:space="preserve"> </w:t>
      </w:r>
      <w:r>
        <w:t>moindre</w:t>
      </w:r>
      <w:r w:rsidRPr="002C4077">
        <w:t xml:space="preserve"> </w:t>
      </w:r>
      <w:r>
        <w:t>idée</w:t>
      </w:r>
      <w:r w:rsidRPr="002C4077">
        <w:t xml:space="preserve"> </w:t>
      </w:r>
      <w:r>
        <w:t>neuve,</w:t>
      </w:r>
      <w:r w:rsidR="00950016" w:rsidRPr="002C4077">
        <w:t xml:space="preserve"> </w:t>
      </w:r>
      <w:r w:rsidR="00950016">
        <w:t>pas</w:t>
      </w:r>
      <w:r w:rsidR="00950016" w:rsidRPr="002C4077">
        <w:t xml:space="preserve"> </w:t>
      </w:r>
      <w:r w:rsidR="00950016">
        <w:t>la</w:t>
      </w:r>
      <w:r w:rsidR="00950016" w:rsidRPr="002C4077">
        <w:t xml:space="preserve"> </w:t>
      </w:r>
      <w:r w:rsidR="00950016">
        <w:t>plus</w:t>
      </w:r>
      <w:r w:rsidR="00950016" w:rsidRPr="002C4077">
        <w:t xml:space="preserve"> </w:t>
      </w:r>
      <w:r w:rsidR="00950016">
        <w:t>petite</w:t>
      </w:r>
      <w:r w:rsidR="00950016" w:rsidRPr="002C4077">
        <w:t xml:space="preserve"> </w:t>
      </w:r>
      <w:r w:rsidR="00950016">
        <w:t>découverte !</w:t>
      </w:r>
      <w:r w:rsidRPr="002C4077">
        <w:t xml:space="preserve"> </w:t>
      </w:r>
    </w:p>
    <w:p w:rsidR="000A7AAB" w:rsidRDefault="000A7AAB" w:rsidP="000A7AAB">
      <w:r>
        <w:t>Au</w:t>
      </w:r>
      <w:r w:rsidRPr="002C4077">
        <w:t xml:space="preserve"> </w:t>
      </w:r>
      <w:r>
        <w:t>reste,</w:t>
      </w:r>
      <w:r w:rsidRPr="002C4077">
        <w:t xml:space="preserve"> </w:t>
      </w:r>
      <w:r>
        <w:t>M.</w:t>
      </w:r>
      <w:r w:rsidRPr="002C4077">
        <w:t xml:space="preserve"> </w:t>
      </w:r>
      <w:r>
        <w:t>Havet</w:t>
      </w:r>
      <w:r w:rsidRPr="002C4077">
        <w:t xml:space="preserve"> </w:t>
      </w:r>
      <w:r>
        <w:t>cite</w:t>
      </w:r>
      <w:r w:rsidRPr="002C4077">
        <w:t xml:space="preserve"> </w:t>
      </w:r>
      <w:r>
        <w:t>ses</w:t>
      </w:r>
      <w:r w:rsidRPr="002C4077">
        <w:t xml:space="preserve"> </w:t>
      </w:r>
      <w:r>
        <w:t>sources.</w:t>
      </w:r>
      <w:r w:rsidRPr="002C4077">
        <w:t xml:space="preserve"> </w:t>
      </w:r>
      <w:r>
        <w:t>Les</w:t>
      </w:r>
      <w:r w:rsidRPr="002C4077">
        <w:t xml:space="preserve"> </w:t>
      </w:r>
      <w:r>
        <w:t>unes</w:t>
      </w:r>
      <w:r w:rsidRPr="002C4077">
        <w:t xml:space="preserve"> </w:t>
      </w:r>
      <w:r>
        <w:t>sont</w:t>
      </w:r>
      <w:r w:rsidRPr="002C4077">
        <w:t xml:space="preserve"> </w:t>
      </w:r>
      <w:r>
        <w:t>anciennes</w:t>
      </w:r>
      <w:r w:rsidR="00B546AF">
        <w:t> :</w:t>
      </w:r>
      <w:r w:rsidRPr="002C4077">
        <w:t xml:space="preserve"> </w:t>
      </w:r>
      <w:r w:rsidR="00425C50">
        <w:rPr>
          <w:rStyle w:val="italicus"/>
        </w:rPr>
        <w:t>Matth</w:t>
      </w:r>
      <w:r w:rsidRPr="000A34B5">
        <w:rPr>
          <w:rStyle w:val="italicus"/>
        </w:rPr>
        <w:t>ieu,</w:t>
      </w:r>
      <w:r w:rsidRPr="002C4077">
        <w:t xml:space="preserve"> </w:t>
      </w:r>
      <w:r w:rsidRPr="000A34B5">
        <w:rPr>
          <w:rStyle w:val="italicus"/>
        </w:rPr>
        <w:t>Marc,</w:t>
      </w:r>
      <w:r w:rsidRPr="002C4077">
        <w:t xml:space="preserve"> </w:t>
      </w:r>
      <w:r w:rsidRPr="000A34B5">
        <w:rPr>
          <w:rStyle w:val="italicus"/>
        </w:rPr>
        <w:t>Luc,</w:t>
      </w:r>
      <w:r w:rsidRPr="002C4077">
        <w:t xml:space="preserve"> </w:t>
      </w:r>
      <w:r w:rsidRPr="000A34B5">
        <w:rPr>
          <w:rStyle w:val="italicus"/>
        </w:rPr>
        <w:t>Jean,</w:t>
      </w:r>
      <w:r w:rsidRPr="002C4077">
        <w:t xml:space="preserve"> </w:t>
      </w:r>
      <w:r w:rsidRPr="000A34B5">
        <w:rPr>
          <w:rStyle w:val="italicus"/>
        </w:rPr>
        <w:t>les</w:t>
      </w:r>
      <w:r w:rsidRPr="002C4077">
        <w:t xml:space="preserve"> </w:t>
      </w:r>
      <w:r w:rsidRPr="000A34B5">
        <w:rPr>
          <w:rStyle w:val="italicus"/>
        </w:rPr>
        <w:t>Actes,</w:t>
      </w:r>
      <w:r w:rsidRPr="002C4077">
        <w:t xml:space="preserve"> </w:t>
      </w:r>
      <w:r w:rsidRPr="000A34B5">
        <w:rPr>
          <w:rStyle w:val="italicus"/>
        </w:rPr>
        <w:t>Paul</w:t>
      </w:r>
      <w:r w:rsidRPr="004440EA">
        <w:t xml:space="preserve"> (</w:t>
      </w:r>
      <w:r>
        <w:t>nous</w:t>
      </w:r>
      <w:r w:rsidRPr="002C4077">
        <w:t xml:space="preserve"> </w:t>
      </w:r>
      <w:r>
        <w:t>connaissons</w:t>
      </w:r>
      <w:r w:rsidRPr="002C4077">
        <w:t xml:space="preserve"> </w:t>
      </w:r>
      <w:r>
        <w:t>des</w:t>
      </w:r>
      <w:r w:rsidRPr="002C4077">
        <w:t xml:space="preserve"> </w:t>
      </w:r>
      <w:r>
        <w:t>auteurs</w:t>
      </w:r>
      <w:r w:rsidRPr="002C4077">
        <w:t xml:space="preserve"> </w:t>
      </w:r>
      <w:r>
        <w:t>juifs</w:t>
      </w:r>
      <w:r w:rsidRPr="002C4077">
        <w:t xml:space="preserve"> </w:t>
      </w:r>
      <w:r>
        <w:t>qui</w:t>
      </w:r>
      <w:r w:rsidRPr="002C4077">
        <w:t xml:space="preserve"> </w:t>
      </w:r>
      <w:r>
        <w:t>disent</w:t>
      </w:r>
      <w:r w:rsidR="00B546AF">
        <w:t> :</w:t>
      </w:r>
      <w:r w:rsidRPr="002C4077">
        <w:t xml:space="preserve"> </w:t>
      </w:r>
      <w:r>
        <w:t>saint</w:t>
      </w:r>
      <w:r w:rsidRPr="002C4077">
        <w:t xml:space="preserve"> </w:t>
      </w:r>
      <w:r w:rsidR="00425C50">
        <w:t>Matth</w:t>
      </w:r>
      <w:r>
        <w:t>ieu,</w:t>
      </w:r>
      <w:r w:rsidRPr="002C4077">
        <w:t xml:space="preserve"> </w:t>
      </w:r>
      <w:r>
        <w:t>saint</w:t>
      </w:r>
      <w:r w:rsidRPr="002C4077">
        <w:t xml:space="preserve"> </w:t>
      </w:r>
      <w:r>
        <w:t>Marc,</w:t>
      </w:r>
      <w:r w:rsidRPr="002C4077">
        <w:t xml:space="preserve"> </w:t>
      </w:r>
      <w:r w:rsidR="00425C50">
        <w:t>etc</w:t>
      </w:r>
      <w:r>
        <w:t>.</w:t>
      </w:r>
      <w:r w:rsidR="00B546AF" w:rsidRPr="002C4077">
        <w:t>)</w:t>
      </w:r>
      <w:r w:rsidRPr="00950016">
        <w:t>,</w:t>
      </w:r>
      <w:r w:rsidRPr="002C4077">
        <w:t xml:space="preserve"> </w:t>
      </w:r>
      <w:r>
        <w:t>et,</w:t>
      </w:r>
      <w:r w:rsidRPr="002C4077">
        <w:t xml:space="preserve"> </w:t>
      </w:r>
      <w:r>
        <w:t>au</w:t>
      </w:r>
      <w:r w:rsidRPr="002C4077">
        <w:t xml:space="preserve"> </w:t>
      </w:r>
      <w:r>
        <w:t>dire</w:t>
      </w:r>
      <w:r w:rsidRPr="002C4077">
        <w:t xml:space="preserve"> </w:t>
      </w:r>
      <w:r>
        <w:t>de</w:t>
      </w:r>
      <w:r w:rsidRPr="002C4077">
        <w:t xml:space="preserve"> </w:t>
      </w:r>
      <w:r>
        <w:t>l’écrivain</w:t>
      </w:r>
      <w:r w:rsidR="00F44410">
        <w:rPr>
          <w:rStyle w:val="Appelnotedebasdep"/>
        </w:rPr>
        <w:footnoteReference w:id="420"/>
      </w:r>
      <w:r w:rsidR="00F44410">
        <w:t>,</w:t>
      </w:r>
      <w:r w:rsidRPr="002C4077">
        <w:t xml:space="preserve"> </w:t>
      </w:r>
      <w:r>
        <w:t>elles</w:t>
      </w:r>
      <w:r w:rsidRPr="002C4077">
        <w:t xml:space="preserve"> </w:t>
      </w:r>
      <w:r>
        <w:t>ne</w:t>
      </w:r>
      <w:r w:rsidRPr="002C4077">
        <w:t xml:space="preserve"> </w:t>
      </w:r>
      <w:r>
        <w:t>nous</w:t>
      </w:r>
      <w:r w:rsidRPr="002C4077">
        <w:t xml:space="preserve"> </w:t>
      </w:r>
      <w:r>
        <w:t>apprennent</w:t>
      </w:r>
      <w:r w:rsidRPr="002C4077">
        <w:t xml:space="preserve"> </w:t>
      </w:r>
      <w:r>
        <w:t>à</w:t>
      </w:r>
      <w:r w:rsidRPr="002C4077">
        <w:t xml:space="preserve"> </w:t>
      </w:r>
      <w:r>
        <w:t>peu</w:t>
      </w:r>
      <w:r w:rsidRPr="002C4077">
        <w:t xml:space="preserve"> </w:t>
      </w:r>
      <w:r>
        <w:t>près</w:t>
      </w:r>
      <w:r w:rsidRPr="002C4077">
        <w:t xml:space="preserve"> </w:t>
      </w:r>
      <w:r>
        <w:t>rien</w:t>
      </w:r>
      <w:r w:rsidRPr="002C4077">
        <w:t xml:space="preserve"> </w:t>
      </w:r>
      <w:r>
        <w:t>sur</w:t>
      </w:r>
      <w:r w:rsidRPr="002C4077">
        <w:t xml:space="preserve"> </w:t>
      </w:r>
      <w:r w:rsidR="00425C50">
        <w:t>Jésus</w:t>
      </w:r>
      <w:r>
        <w:t>,</w:t>
      </w:r>
      <w:r w:rsidRPr="002C4077">
        <w:t xml:space="preserve"> </w:t>
      </w:r>
      <w:r>
        <w:t>ou</w:t>
      </w:r>
      <w:r w:rsidRPr="002C4077">
        <w:t xml:space="preserve"> </w:t>
      </w:r>
      <w:r>
        <w:t>du</w:t>
      </w:r>
      <w:r w:rsidRPr="002C4077">
        <w:t xml:space="preserve"> </w:t>
      </w:r>
      <w:r>
        <w:t>moins</w:t>
      </w:r>
      <w:r w:rsidRPr="002C4077">
        <w:t xml:space="preserve"> </w:t>
      </w:r>
      <w:r>
        <w:t>elles</w:t>
      </w:r>
      <w:r w:rsidRPr="002C4077">
        <w:t xml:space="preserve"> </w:t>
      </w:r>
      <w:r>
        <w:t>ne</w:t>
      </w:r>
      <w:r w:rsidRPr="002C4077">
        <w:t xml:space="preserve"> </w:t>
      </w:r>
      <w:r>
        <w:t>nous</w:t>
      </w:r>
      <w:r w:rsidRPr="002C4077">
        <w:t xml:space="preserve"> </w:t>
      </w:r>
      <w:r>
        <w:t>ouvrent</w:t>
      </w:r>
      <w:r w:rsidRPr="002C4077">
        <w:t xml:space="preserve"> </w:t>
      </w:r>
      <w:r>
        <w:t>certainement</w:t>
      </w:r>
      <w:r w:rsidRPr="002C4077">
        <w:t xml:space="preserve"> </w:t>
      </w:r>
      <w:r>
        <w:t>pas</w:t>
      </w:r>
      <w:r w:rsidRPr="002C4077">
        <w:t xml:space="preserve"> </w:t>
      </w:r>
      <w:r>
        <w:t>des</w:t>
      </w:r>
      <w:r w:rsidRPr="002C4077">
        <w:t xml:space="preserve"> </w:t>
      </w:r>
      <w:r>
        <w:t>horizons</w:t>
      </w:r>
      <w:r w:rsidRPr="002C4077">
        <w:t xml:space="preserve"> </w:t>
      </w:r>
      <w:r>
        <w:t>nouveaux</w:t>
      </w:r>
      <w:r w:rsidR="00B546AF">
        <w:t> ;</w:t>
      </w:r>
      <w:r w:rsidRPr="002C4077">
        <w:t xml:space="preserve"> </w:t>
      </w:r>
      <w:r>
        <w:t>les</w:t>
      </w:r>
      <w:r w:rsidRPr="002C4077">
        <w:t xml:space="preserve"> </w:t>
      </w:r>
      <w:r>
        <w:t>autres</w:t>
      </w:r>
      <w:r w:rsidRPr="002C4077">
        <w:t xml:space="preserve"> </w:t>
      </w:r>
      <w:r>
        <w:t>sont</w:t>
      </w:r>
      <w:r w:rsidRPr="002C4077">
        <w:t xml:space="preserve"> </w:t>
      </w:r>
      <w:r>
        <w:t>des</w:t>
      </w:r>
      <w:r w:rsidRPr="002C4077">
        <w:t xml:space="preserve"> </w:t>
      </w:r>
      <w:r>
        <w:t>auteurs</w:t>
      </w:r>
      <w:r w:rsidRPr="002C4077">
        <w:t xml:space="preserve"> </w:t>
      </w:r>
      <w:r>
        <w:t>contemporains</w:t>
      </w:r>
      <w:r w:rsidR="00B546AF">
        <w:t> :</w:t>
      </w:r>
      <w:r w:rsidRPr="002C4077">
        <w:t xml:space="preserve"> </w:t>
      </w:r>
      <w:r>
        <w:t>Strauss,</w:t>
      </w:r>
      <w:r w:rsidRPr="002C4077">
        <w:t xml:space="preserve"> </w:t>
      </w:r>
      <w:r>
        <w:t>M.</w:t>
      </w:r>
      <w:r w:rsidRPr="002C4077">
        <w:t xml:space="preserve"> </w:t>
      </w:r>
      <w:r>
        <w:t>Renan,</w:t>
      </w:r>
      <w:r w:rsidRPr="002C4077">
        <w:t xml:space="preserve"> </w:t>
      </w:r>
      <w:r>
        <w:t>M.</w:t>
      </w:r>
      <w:r w:rsidRPr="002C4077">
        <w:t xml:space="preserve"> </w:t>
      </w:r>
      <w:r>
        <w:t>Jules</w:t>
      </w:r>
      <w:r w:rsidRPr="002C4077">
        <w:t xml:space="preserve"> </w:t>
      </w:r>
      <w:r>
        <w:t>Soury,</w:t>
      </w:r>
      <w:r w:rsidRPr="002C4077">
        <w:t xml:space="preserve"> </w:t>
      </w:r>
      <w:r>
        <w:t>M.</w:t>
      </w:r>
      <w:r w:rsidRPr="002C4077">
        <w:t xml:space="preserve"> </w:t>
      </w:r>
      <w:r>
        <w:t>Havet</w:t>
      </w:r>
      <w:r w:rsidRPr="002C4077">
        <w:t xml:space="preserve"> </w:t>
      </w:r>
      <w:r>
        <w:t>lui-même</w:t>
      </w:r>
      <w:r w:rsidRPr="002C4077">
        <w:t xml:space="preserve"> </w:t>
      </w:r>
      <w:r>
        <w:t>dans</w:t>
      </w:r>
      <w:r w:rsidRPr="002C4077">
        <w:t xml:space="preserve"> </w:t>
      </w:r>
      <w:r>
        <w:t>je</w:t>
      </w:r>
      <w:r w:rsidRPr="002C4077">
        <w:t xml:space="preserve"> </w:t>
      </w:r>
      <w:r>
        <w:t>ne</w:t>
      </w:r>
      <w:r w:rsidRPr="002C4077">
        <w:t xml:space="preserve"> </w:t>
      </w:r>
      <w:r>
        <w:t>sais</w:t>
      </w:r>
      <w:r w:rsidRPr="002C4077">
        <w:t xml:space="preserve"> </w:t>
      </w:r>
      <w:r>
        <w:t>quels</w:t>
      </w:r>
      <w:r w:rsidRPr="002C4077">
        <w:t xml:space="preserve"> </w:t>
      </w:r>
      <w:r>
        <w:t>ouvrages</w:t>
      </w:r>
      <w:r w:rsidRPr="002C4077">
        <w:t xml:space="preserve"> </w:t>
      </w:r>
      <w:r>
        <w:t>antérieurs.</w:t>
      </w:r>
      <w:r w:rsidR="00C45B47">
        <w:t xml:space="preserve"> {</w:t>
      </w:r>
      <w:r w:rsidR="004C5B7A">
        <w:t>132</w:t>
      </w:r>
      <w:bookmarkStart w:id="370" w:name="p132"/>
      <w:bookmarkEnd w:id="370"/>
      <w:r w:rsidR="004C5B7A">
        <w:t xml:space="preserve">} </w:t>
      </w:r>
      <w:r>
        <w:t>Or,</w:t>
      </w:r>
      <w:r w:rsidRPr="002C4077">
        <w:t xml:space="preserve"> </w:t>
      </w:r>
      <w:r>
        <w:t>les</w:t>
      </w:r>
      <w:r w:rsidRPr="002C4077">
        <w:t xml:space="preserve"> </w:t>
      </w:r>
      <w:r>
        <w:t>systèmes</w:t>
      </w:r>
      <w:r w:rsidRPr="002C4077">
        <w:t xml:space="preserve"> </w:t>
      </w:r>
      <w:r>
        <w:t>de</w:t>
      </w:r>
      <w:r w:rsidRPr="002C4077">
        <w:t xml:space="preserve"> </w:t>
      </w:r>
      <w:r>
        <w:t>ces</w:t>
      </w:r>
      <w:r w:rsidRPr="002C4077">
        <w:t xml:space="preserve"> </w:t>
      </w:r>
      <w:r w:rsidR="00B546AF">
        <w:t>« </w:t>
      </w:r>
      <w:r>
        <w:t>savants</w:t>
      </w:r>
      <w:r w:rsidR="00B546AF">
        <w:t> »</w:t>
      </w:r>
      <w:r w:rsidRPr="002C4077">
        <w:t xml:space="preserve"> </w:t>
      </w:r>
      <w:r>
        <w:t>ont</w:t>
      </w:r>
      <w:r w:rsidRPr="002C4077">
        <w:t xml:space="preserve"> </w:t>
      </w:r>
      <w:r>
        <w:t>été</w:t>
      </w:r>
      <w:r w:rsidRPr="002C4077">
        <w:t xml:space="preserve"> </w:t>
      </w:r>
      <w:r>
        <w:lastRenderedPageBreak/>
        <w:t>l’un</w:t>
      </w:r>
      <w:r w:rsidRPr="002C4077">
        <w:t xml:space="preserve"> </w:t>
      </w:r>
      <w:r>
        <w:t>après</w:t>
      </w:r>
      <w:r w:rsidRPr="002C4077">
        <w:t xml:space="preserve"> </w:t>
      </w:r>
      <w:r>
        <w:t>l’autre</w:t>
      </w:r>
      <w:r w:rsidRPr="002C4077">
        <w:t xml:space="preserve"> </w:t>
      </w:r>
      <w:r>
        <w:t>examinés,</w:t>
      </w:r>
      <w:r w:rsidRPr="002C4077">
        <w:t xml:space="preserve"> </w:t>
      </w:r>
      <w:r>
        <w:t>passés</w:t>
      </w:r>
      <w:r w:rsidRPr="002C4077">
        <w:t xml:space="preserve"> </w:t>
      </w:r>
      <w:r>
        <w:t>au</w:t>
      </w:r>
      <w:r w:rsidRPr="002C4077">
        <w:t xml:space="preserve"> </w:t>
      </w:r>
      <w:r>
        <w:t>crible</w:t>
      </w:r>
      <w:r w:rsidRPr="002C4077">
        <w:t xml:space="preserve"> </w:t>
      </w:r>
      <w:r>
        <w:t>d’une</w:t>
      </w:r>
      <w:r w:rsidRPr="002C4077">
        <w:t xml:space="preserve"> </w:t>
      </w:r>
      <w:r>
        <w:t>science</w:t>
      </w:r>
      <w:r w:rsidRPr="002C4077">
        <w:t xml:space="preserve"> </w:t>
      </w:r>
      <w:r>
        <w:t>sérieuse,</w:t>
      </w:r>
      <w:r w:rsidRPr="002C4077">
        <w:t xml:space="preserve"> </w:t>
      </w:r>
      <w:r>
        <w:t>réfutés,</w:t>
      </w:r>
      <w:r w:rsidRPr="002C4077">
        <w:t xml:space="preserve"> </w:t>
      </w:r>
      <w:r>
        <w:t>condamnés</w:t>
      </w:r>
      <w:r w:rsidRPr="002C4077">
        <w:t xml:space="preserve"> </w:t>
      </w:r>
      <w:r>
        <w:t>en</w:t>
      </w:r>
      <w:r w:rsidRPr="002C4077">
        <w:t xml:space="preserve"> </w:t>
      </w:r>
      <w:r>
        <w:t>tous</w:t>
      </w:r>
      <w:r w:rsidRPr="002C4077">
        <w:t xml:space="preserve"> </w:t>
      </w:r>
      <w:r>
        <w:t>points.</w:t>
      </w:r>
      <w:r w:rsidRPr="002C4077">
        <w:t xml:space="preserve"> </w:t>
      </w:r>
      <w:r>
        <w:t>Ils</w:t>
      </w:r>
      <w:r w:rsidRPr="002C4077">
        <w:t xml:space="preserve"> </w:t>
      </w:r>
      <w:r>
        <w:t>sont</w:t>
      </w:r>
      <w:r w:rsidRPr="002C4077">
        <w:t xml:space="preserve"> </w:t>
      </w:r>
      <w:r>
        <w:t>usés</w:t>
      </w:r>
      <w:r w:rsidRPr="002C4077">
        <w:t xml:space="preserve"> </w:t>
      </w:r>
      <w:r>
        <w:t>jusqu’à</w:t>
      </w:r>
      <w:r w:rsidRPr="002C4077">
        <w:t xml:space="preserve"> </w:t>
      </w:r>
      <w:r>
        <w:t>la</w:t>
      </w:r>
      <w:r w:rsidRPr="002C4077">
        <w:t xml:space="preserve"> </w:t>
      </w:r>
      <w:r>
        <w:t>corde.</w:t>
      </w:r>
      <w:r w:rsidRPr="002C4077">
        <w:t xml:space="preserve"> </w:t>
      </w:r>
      <w:r>
        <w:t>La</w:t>
      </w:r>
      <w:r w:rsidRPr="002C4077">
        <w:t xml:space="preserve"> </w:t>
      </w:r>
      <w:r>
        <w:t>belle</w:t>
      </w:r>
      <w:r w:rsidRPr="002C4077">
        <w:t xml:space="preserve"> </w:t>
      </w:r>
      <w:r>
        <w:t>base</w:t>
      </w:r>
      <w:r w:rsidRPr="002C4077">
        <w:t xml:space="preserve"> </w:t>
      </w:r>
      <w:r>
        <w:t>pour</w:t>
      </w:r>
      <w:r w:rsidRPr="002C4077">
        <w:t xml:space="preserve"> </w:t>
      </w:r>
      <w:r>
        <w:t>le</w:t>
      </w:r>
      <w:r w:rsidRPr="002C4077">
        <w:t xml:space="preserve"> </w:t>
      </w:r>
      <w:r>
        <w:t>critique</w:t>
      </w:r>
      <w:r w:rsidRPr="002C4077">
        <w:t xml:space="preserve"> </w:t>
      </w:r>
      <w:r>
        <w:t>de</w:t>
      </w:r>
      <w:r w:rsidRPr="002C4077">
        <w:t xml:space="preserve"> </w:t>
      </w:r>
      <w:r>
        <w:t>la</w:t>
      </w:r>
      <w:r w:rsidRPr="002C4077">
        <w:t xml:space="preserve"> </w:t>
      </w:r>
      <w:r w:rsidRPr="000A34B5">
        <w:rPr>
          <w:rStyle w:val="italicus"/>
        </w:rPr>
        <w:t>Revue</w:t>
      </w:r>
      <w:r w:rsidRPr="002C4077">
        <w:t xml:space="preserve"> </w:t>
      </w:r>
      <w:r w:rsidRPr="000A34B5">
        <w:rPr>
          <w:rStyle w:val="italicus"/>
        </w:rPr>
        <w:t>des</w:t>
      </w:r>
      <w:r w:rsidRPr="002C4077">
        <w:t xml:space="preserve"> </w:t>
      </w:r>
      <w:r w:rsidRPr="000A34B5">
        <w:rPr>
          <w:rStyle w:val="italicus"/>
        </w:rPr>
        <w:t>Deux</w:t>
      </w:r>
      <w:r w:rsidRPr="002C4077">
        <w:t xml:space="preserve"> </w:t>
      </w:r>
      <w:r w:rsidRPr="000A34B5">
        <w:rPr>
          <w:rStyle w:val="italicus"/>
        </w:rPr>
        <w:t>Mondes</w:t>
      </w:r>
      <w:r w:rsidR="00B546AF">
        <w:rPr>
          <w:rStyle w:val="italicus"/>
        </w:rPr>
        <w:t> </w:t>
      </w:r>
      <w:r w:rsidR="00B546AF" w:rsidRPr="000A34B5">
        <w:rPr>
          <w:rStyle w:val="italicus"/>
        </w:rPr>
        <w:t>!</w:t>
      </w:r>
      <w:r w:rsidRPr="002C4077">
        <w:t xml:space="preserve"> </w:t>
      </w:r>
    </w:p>
    <w:p w:rsidR="000A7AAB" w:rsidRDefault="000A7AAB" w:rsidP="000A7AAB">
      <w:r>
        <w:t>Et</w:t>
      </w:r>
      <w:r w:rsidRPr="002C4077">
        <w:t xml:space="preserve"> </w:t>
      </w:r>
      <w:r>
        <w:t>qu’on</w:t>
      </w:r>
      <w:r w:rsidRPr="002C4077">
        <w:t xml:space="preserve"> </w:t>
      </w:r>
      <w:r>
        <w:t>veuille</w:t>
      </w:r>
      <w:r w:rsidRPr="002C4077">
        <w:t xml:space="preserve"> </w:t>
      </w:r>
      <w:r>
        <w:t>bien</w:t>
      </w:r>
      <w:r w:rsidRPr="002C4077">
        <w:t xml:space="preserve"> </w:t>
      </w:r>
      <w:r>
        <w:t>le</w:t>
      </w:r>
      <w:r w:rsidRPr="002C4077">
        <w:t xml:space="preserve"> </w:t>
      </w:r>
      <w:r>
        <w:t>remarquer</w:t>
      </w:r>
      <w:r w:rsidR="00B546AF">
        <w:t> :</w:t>
      </w:r>
      <w:r w:rsidRPr="002C4077">
        <w:t xml:space="preserve"> </w:t>
      </w:r>
      <w:r>
        <w:t>je</w:t>
      </w:r>
      <w:r w:rsidRPr="002C4077">
        <w:t xml:space="preserve"> </w:t>
      </w:r>
      <w:r>
        <w:t>consens</w:t>
      </w:r>
      <w:r w:rsidRPr="002C4077">
        <w:t xml:space="preserve"> </w:t>
      </w:r>
      <w:r>
        <w:t>à</w:t>
      </w:r>
      <w:r w:rsidRPr="002C4077">
        <w:t xml:space="preserve"> </w:t>
      </w:r>
      <w:r>
        <w:t>laisser</w:t>
      </w:r>
      <w:r w:rsidRPr="002C4077">
        <w:t xml:space="preserve"> </w:t>
      </w:r>
      <w:r>
        <w:t>dans</w:t>
      </w:r>
      <w:r w:rsidRPr="002C4077">
        <w:t xml:space="preserve"> </w:t>
      </w:r>
      <w:r>
        <w:t>l’oubli</w:t>
      </w:r>
      <w:r w:rsidRPr="002C4077">
        <w:t xml:space="preserve"> </w:t>
      </w:r>
      <w:r>
        <w:t>les</w:t>
      </w:r>
      <w:r w:rsidRPr="002C4077">
        <w:t xml:space="preserve"> </w:t>
      </w:r>
      <w:r>
        <w:t>coups</w:t>
      </w:r>
      <w:r w:rsidRPr="002C4077">
        <w:t xml:space="preserve"> </w:t>
      </w:r>
      <w:r>
        <w:t>aussi</w:t>
      </w:r>
      <w:r w:rsidRPr="002C4077">
        <w:t xml:space="preserve"> </w:t>
      </w:r>
      <w:r>
        <w:t>habiles</w:t>
      </w:r>
      <w:r w:rsidRPr="002C4077">
        <w:t xml:space="preserve"> </w:t>
      </w:r>
      <w:r>
        <w:t>que</w:t>
      </w:r>
      <w:r w:rsidRPr="002C4077">
        <w:t xml:space="preserve"> </w:t>
      </w:r>
      <w:r>
        <w:t>vaillants</w:t>
      </w:r>
      <w:r w:rsidRPr="002C4077">
        <w:t xml:space="preserve"> </w:t>
      </w:r>
      <w:r>
        <w:t>portés</w:t>
      </w:r>
      <w:r w:rsidRPr="002C4077">
        <w:t xml:space="preserve"> </w:t>
      </w:r>
      <w:r>
        <w:t>à</w:t>
      </w:r>
      <w:r w:rsidRPr="002C4077">
        <w:t xml:space="preserve"> </w:t>
      </w:r>
      <w:r>
        <w:t>nos</w:t>
      </w:r>
      <w:r w:rsidRPr="002C4077">
        <w:t xml:space="preserve"> </w:t>
      </w:r>
      <w:r>
        <w:t>adversaires</w:t>
      </w:r>
      <w:r w:rsidRPr="002C4077">
        <w:t xml:space="preserve"> </w:t>
      </w:r>
      <w:r>
        <w:t>par</w:t>
      </w:r>
      <w:r w:rsidRPr="002C4077">
        <w:t xml:space="preserve"> </w:t>
      </w:r>
      <w:r>
        <w:t>les</w:t>
      </w:r>
      <w:r w:rsidRPr="002C4077">
        <w:t xml:space="preserve"> </w:t>
      </w:r>
      <w:r>
        <w:t>capitaines</w:t>
      </w:r>
      <w:r w:rsidRPr="002C4077">
        <w:t xml:space="preserve"> </w:t>
      </w:r>
      <w:r>
        <w:t>et</w:t>
      </w:r>
      <w:r w:rsidRPr="002C4077">
        <w:t xml:space="preserve"> </w:t>
      </w:r>
      <w:r>
        <w:t>les</w:t>
      </w:r>
      <w:r w:rsidRPr="002C4077">
        <w:t xml:space="preserve"> </w:t>
      </w:r>
      <w:r>
        <w:t>soldats</w:t>
      </w:r>
      <w:r w:rsidRPr="002C4077">
        <w:t xml:space="preserve"> </w:t>
      </w:r>
      <w:r>
        <w:t>de</w:t>
      </w:r>
      <w:r w:rsidRPr="002C4077">
        <w:t xml:space="preserve"> </w:t>
      </w:r>
      <w:r>
        <w:t>l’armée</w:t>
      </w:r>
      <w:r w:rsidRPr="002C4077">
        <w:t xml:space="preserve"> </w:t>
      </w:r>
      <w:r>
        <w:t>catholique</w:t>
      </w:r>
      <w:r w:rsidR="00B546AF">
        <w:t> ;</w:t>
      </w:r>
      <w:r w:rsidRPr="002C4077">
        <w:t xml:space="preserve"> </w:t>
      </w:r>
      <w:r>
        <w:t>je</w:t>
      </w:r>
      <w:r w:rsidRPr="002C4077">
        <w:t xml:space="preserve"> </w:t>
      </w:r>
      <w:r>
        <w:t>ne</w:t>
      </w:r>
      <w:r w:rsidRPr="002C4077">
        <w:t xml:space="preserve"> </w:t>
      </w:r>
      <w:r>
        <w:t>songe</w:t>
      </w:r>
      <w:r w:rsidRPr="002C4077">
        <w:t xml:space="preserve"> </w:t>
      </w:r>
      <w:r>
        <w:t>en</w:t>
      </w:r>
      <w:r w:rsidRPr="002C4077">
        <w:t xml:space="preserve"> </w:t>
      </w:r>
      <w:r>
        <w:t>ce</w:t>
      </w:r>
      <w:r w:rsidRPr="002C4077">
        <w:t xml:space="preserve"> </w:t>
      </w:r>
      <w:r>
        <w:t>moment</w:t>
      </w:r>
      <w:r w:rsidRPr="002C4077">
        <w:t xml:space="preserve"> </w:t>
      </w:r>
      <w:r>
        <w:t>qu’aux</w:t>
      </w:r>
      <w:r w:rsidRPr="002C4077">
        <w:t xml:space="preserve"> </w:t>
      </w:r>
      <w:r>
        <w:t>écrasantes</w:t>
      </w:r>
      <w:r w:rsidRPr="002C4077">
        <w:t xml:space="preserve"> </w:t>
      </w:r>
      <w:r>
        <w:t>ripostes</w:t>
      </w:r>
      <w:r w:rsidRPr="002C4077">
        <w:t xml:space="preserve"> </w:t>
      </w:r>
      <w:r>
        <w:t>dirigées</w:t>
      </w:r>
      <w:r w:rsidRPr="002C4077">
        <w:t xml:space="preserve"> </w:t>
      </w:r>
      <w:r>
        <w:t>contre</w:t>
      </w:r>
      <w:r w:rsidRPr="002C4077">
        <w:t xml:space="preserve"> </w:t>
      </w:r>
      <w:r>
        <w:t>Strauss</w:t>
      </w:r>
      <w:r w:rsidRPr="002C4077">
        <w:t xml:space="preserve"> </w:t>
      </w:r>
      <w:r>
        <w:t>et</w:t>
      </w:r>
      <w:r w:rsidRPr="002C4077">
        <w:t xml:space="preserve"> </w:t>
      </w:r>
      <w:r>
        <w:t>ses</w:t>
      </w:r>
      <w:r w:rsidRPr="002C4077">
        <w:t xml:space="preserve"> </w:t>
      </w:r>
      <w:r>
        <w:t>humbles</w:t>
      </w:r>
      <w:r w:rsidRPr="002C4077">
        <w:t xml:space="preserve"> </w:t>
      </w:r>
      <w:r>
        <w:t>suivants,</w:t>
      </w:r>
      <w:r w:rsidRPr="002C4077">
        <w:t xml:space="preserve"> </w:t>
      </w:r>
      <w:r>
        <w:t>—</w:t>
      </w:r>
      <w:r w:rsidRPr="002C4077">
        <w:t xml:space="preserve"> </w:t>
      </w:r>
      <w:r>
        <w:t>car</w:t>
      </w:r>
      <w:r w:rsidRPr="002C4077">
        <w:t xml:space="preserve"> </w:t>
      </w:r>
      <w:r>
        <w:t>ils</w:t>
      </w:r>
      <w:r w:rsidRPr="002C4077">
        <w:t xml:space="preserve"> </w:t>
      </w:r>
      <w:r>
        <w:t>ne</w:t>
      </w:r>
      <w:r w:rsidRPr="002C4077">
        <w:t xml:space="preserve"> </w:t>
      </w:r>
      <w:r>
        <w:t>méritent</w:t>
      </w:r>
      <w:r w:rsidRPr="002C4077">
        <w:t xml:space="preserve"> </w:t>
      </w:r>
      <w:r>
        <w:t>pas</w:t>
      </w:r>
      <w:r w:rsidRPr="002C4077">
        <w:t xml:space="preserve"> </w:t>
      </w:r>
      <w:r>
        <w:t>d’autre</w:t>
      </w:r>
      <w:r w:rsidRPr="002C4077">
        <w:t xml:space="preserve"> </w:t>
      </w:r>
      <w:r>
        <w:t>nom,</w:t>
      </w:r>
      <w:r w:rsidRPr="002C4077">
        <w:t xml:space="preserve"> </w:t>
      </w:r>
      <w:r>
        <w:t>—</w:t>
      </w:r>
      <w:r w:rsidRPr="002C4077">
        <w:t xml:space="preserve"> </w:t>
      </w:r>
      <w:r>
        <w:t>de</w:t>
      </w:r>
      <w:r w:rsidRPr="002C4077">
        <w:t xml:space="preserve"> </w:t>
      </w:r>
      <w:r>
        <w:t>tous</w:t>
      </w:r>
      <w:r w:rsidRPr="002C4077">
        <w:t xml:space="preserve"> </w:t>
      </w:r>
      <w:r>
        <w:t>les</w:t>
      </w:r>
      <w:r w:rsidRPr="002C4077">
        <w:t xml:space="preserve"> </w:t>
      </w:r>
      <w:r>
        <w:t>coins</w:t>
      </w:r>
      <w:r w:rsidRPr="002C4077">
        <w:t xml:space="preserve"> </w:t>
      </w:r>
      <w:r>
        <w:t>du</w:t>
      </w:r>
      <w:r w:rsidRPr="002C4077">
        <w:t xml:space="preserve"> </w:t>
      </w:r>
      <w:r>
        <w:t>monde</w:t>
      </w:r>
      <w:r w:rsidRPr="002C4077">
        <w:t xml:space="preserve"> </w:t>
      </w:r>
      <w:r>
        <w:t>protestant,</w:t>
      </w:r>
      <w:r w:rsidRPr="002C4077">
        <w:t xml:space="preserve"> </w:t>
      </w:r>
      <w:r>
        <w:t>bien</w:t>
      </w:r>
      <w:r w:rsidRPr="002C4077">
        <w:t xml:space="preserve"> </w:t>
      </w:r>
      <w:r>
        <w:t>plus,</w:t>
      </w:r>
      <w:r w:rsidRPr="002C4077">
        <w:t xml:space="preserve"> </w:t>
      </w:r>
      <w:r>
        <w:t>même</w:t>
      </w:r>
      <w:r w:rsidRPr="002C4077">
        <w:t xml:space="preserve"> </w:t>
      </w:r>
      <w:r>
        <w:t>du</w:t>
      </w:r>
      <w:r w:rsidRPr="002C4077">
        <w:t xml:space="preserve"> </w:t>
      </w:r>
      <w:r>
        <w:t>camp</w:t>
      </w:r>
      <w:r w:rsidRPr="002C4077">
        <w:t xml:space="preserve"> </w:t>
      </w:r>
      <w:r>
        <w:t>rationaliste</w:t>
      </w:r>
      <w:r w:rsidR="00B91AF7">
        <w:rPr>
          <w:rStyle w:val="Appelnotedebasdep"/>
        </w:rPr>
        <w:footnoteReference w:id="421"/>
      </w:r>
      <w:r>
        <w:t>.</w:t>
      </w:r>
      <w:r w:rsidRPr="002C4077">
        <w:t xml:space="preserve"> </w:t>
      </w:r>
    </w:p>
    <w:p w:rsidR="000A7AAB" w:rsidRDefault="000A7AAB" w:rsidP="000A7AAB">
      <w:r>
        <w:t>C’est</w:t>
      </w:r>
      <w:r w:rsidRPr="002C4077">
        <w:t xml:space="preserve"> </w:t>
      </w:r>
      <w:r>
        <w:t>donc</w:t>
      </w:r>
      <w:r w:rsidRPr="002C4077">
        <w:t xml:space="preserve"> </w:t>
      </w:r>
      <w:r>
        <w:t>du</w:t>
      </w:r>
      <w:r w:rsidRPr="002C4077">
        <w:t xml:space="preserve"> </w:t>
      </w:r>
      <w:r w:rsidR="00B546AF">
        <w:t>« </w:t>
      </w:r>
      <w:r>
        <w:t>réchauffé</w:t>
      </w:r>
      <w:r w:rsidR="00B546AF">
        <w:t> »</w:t>
      </w:r>
      <w:r w:rsidRPr="002C4077">
        <w:t xml:space="preserve"> </w:t>
      </w:r>
      <w:r>
        <w:t>que</w:t>
      </w:r>
      <w:r w:rsidRPr="002C4077">
        <w:t xml:space="preserve"> </w:t>
      </w:r>
      <w:r>
        <w:t>M.</w:t>
      </w:r>
      <w:r w:rsidRPr="002C4077">
        <w:t xml:space="preserve"> </w:t>
      </w:r>
      <w:r>
        <w:t>Havet</w:t>
      </w:r>
      <w:r w:rsidRPr="002C4077">
        <w:t xml:space="preserve"> </w:t>
      </w:r>
      <w:r>
        <w:t>sert</w:t>
      </w:r>
      <w:r w:rsidRPr="002C4077">
        <w:t xml:space="preserve"> </w:t>
      </w:r>
      <w:r>
        <w:t>à</w:t>
      </w:r>
      <w:r w:rsidRPr="002C4077">
        <w:t xml:space="preserve"> </w:t>
      </w:r>
      <w:r>
        <w:t>la</w:t>
      </w:r>
      <w:r w:rsidRPr="002C4077">
        <w:t xml:space="preserve"> </w:t>
      </w:r>
      <w:r w:rsidRPr="000A34B5">
        <w:rPr>
          <w:rStyle w:val="italicus"/>
        </w:rPr>
        <w:t>Revue</w:t>
      </w:r>
      <w:r>
        <w:t>,</w:t>
      </w:r>
      <w:r w:rsidRPr="002C4077">
        <w:t xml:space="preserve"> </w:t>
      </w:r>
      <w:r>
        <w:t>c’est</w:t>
      </w:r>
      <w:r w:rsidRPr="002C4077">
        <w:t xml:space="preserve"> </w:t>
      </w:r>
      <w:r>
        <w:t>du</w:t>
      </w:r>
      <w:r w:rsidRPr="002C4077">
        <w:t xml:space="preserve"> </w:t>
      </w:r>
      <w:r>
        <w:t>réchauffé</w:t>
      </w:r>
      <w:r w:rsidRPr="002C4077">
        <w:t xml:space="preserve"> </w:t>
      </w:r>
      <w:r>
        <w:t>que</w:t>
      </w:r>
      <w:r w:rsidRPr="002C4077">
        <w:t xml:space="preserve"> </w:t>
      </w:r>
      <w:r>
        <w:t>la</w:t>
      </w:r>
      <w:r w:rsidRPr="002C4077">
        <w:t xml:space="preserve"> </w:t>
      </w:r>
      <w:r w:rsidRPr="000A34B5">
        <w:rPr>
          <w:rStyle w:val="italicus"/>
        </w:rPr>
        <w:t>Revue</w:t>
      </w:r>
      <w:r w:rsidRPr="002C4077">
        <w:t xml:space="preserve"> </w:t>
      </w:r>
      <w:r>
        <w:t>sert</w:t>
      </w:r>
      <w:r w:rsidRPr="002C4077">
        <w:t xml:space="preserve"> </w:t>
      </w:r>
      <w:r>
        <w:t>pareillement</w:t>
      </w:r>
      <w:r w:rsidRPr="002C4077">
        <w:t xml:space="preserve"> </w:t>
      </w:r>
      <w:r>
        <w:t>à</w:t>
      </w:r>
      <w:r w:rsidRPr="002C4077">
        <w:t xml:space="preserve"> </w:t>
      </w:r>
      <w:r>
        <w:t>ses</w:t>
      </w:r>
      <w:r w:rsidRPr="002C4077">
        <w:t xml:space="preserve"> </w:t>
      </w:r>
      <w:r>
        <w:t>lecteurs.</w:t>
      </w:r>
      <w:r w:rsidRPr="002C4077">
        <w:t xml:space="preserve"> </w:t>
      </w:r>
      <w:r>
        <w:t>Était-ce</w:t>
      </w:r>
      <w:r w:rsidRPr="002C4077">
        <w:t xml:space="preserve"> </w:t>
      </w:r>
      <w:r>
        <w:t>bien</w:t>
      </w:r>
      <w:r w:rsidRPr="002C4077">
        <w:t xml:space="preserve"> </w:t>
      </w:r>
      <w:r>
        <w:t>la</w:t>
      </w:r>
      <w:r w:rsidRPr="002C4077">
        <w:t xml:space="preserve"> </w:t>
      </w:r>
      <w:r>
        <w:t>peine</w:t>
      </w:r>
      <w:r w:rsidRPr="002C4077">
        <w:t xml:space="preserve"> </w:t>
      </w:r>
      <w:r>
        <w:t>de</w:t>
      </w:r>
      <w:r w:rsidRPr="002C4077">
        <w:t xml:space="preserve"> </w:t>
      </w:r>
      <w:r>
        <w:t>se</w:t>
      </w:r>
      <w:r w:rsidRPr="002C4077">
        <w:t xml:space="preserve"> </w:t>
      </w:r>
      <w:r>
        <w:t>mettre</w:t>
      </w:r>
      <w:r w:rsidRPr="002C4077">
        <w:t xml:space="preserve"> </w:t>
      </w:r>
      <w:r>
        <w:t>en</w:t>
      </w:r>
      <w:r w:rsidRPr="002C4077">
        <w:t xml:space="preserve"> </w:t>
      </w:r>
      <w:r>
        <w:t>frais</w:t>
      </w:r>
      <w:r w:rsidRPr="002C4077">
        <w:t xml:space="preserve"> </w:t>
      </w:r>
      <w:r>
        <w:t>pour</w:t>
      </w:r>
      <w:r w:rsidRPr="002C4077">
        <w:t xml:space="preserve"> </w:t>
      </w:r>
      <w:r>
        <w:t>si</w:t>
      </w:r>
      <w:r w:rsidRPr="002C4077">
        <w:t xml:space="preserve"> </w:t>
      </w:r>
      <w:r>
        <w:t>peu</w:t>
      </w:r>
      <w:r w:rsidR="00B546AF">
        <w:t> ?</w:t>
      </w:r>
      <w:r w:rsidRPr="002C4077">
        <w:t xml:space="preserve"> </w:t>
      </w:r>
      <w:r>
        <w:t>Il</w:t>
      </w:r>
      <w:r w:rsidRPr="002C4077">
        <w:t xml:space="preserve"> </w:t>
      </w:r>
      <w:r>
        <w:t>eût</w:t>
      </w:r>
      <w:r w:rsidRPr="002C4077">
        <w:t xml:space="preserve"> </w:t>
      </w:r>
      <w:r>
        <w:t>suffi</w:t>
      </w:r>
      <w:r w:rsidRPr="002C4077">
        <w:t xml:space="preserve"> </w:t>
      </w:r>
      <w:r>
        <w:t>de</w:t>
      </w:r>
      <w:r w:rsidRPr="002C4077">
        <w:t xml:space="preserve"> </w:t>
      </w:r>
      <w:r>
        <w:t>réimprimer</w:t>
      </w:r>
      <w:r w:rsidRPr="002C4077">
        <w:t xml:space="preserve"> </w:t>
      </w:r>
      <w:r>
        <w:t>un</w:t>
      </w:r>
      <w:r w:rsidRPr="002C4077">
        <w:t xml:space="preserve"> </w:t>
      </w:r>
      <w:r>
        <w:t>chapitre</w:t>
      </w:r>
      <w:r w:rsidRPr="002C4077">
        <w:t xml:space="preserve"> </w:t>
      </w:r>
      <w:r>
        <w:t>de</w:t>
      </w:r>
      <w:r w:rsidRPr="002C4077">
        <w:t xml:space="preserve"> </w:t>
      </w:r>
      <w:r>
        <w:t>la</w:t>
      </w:r>
      <w:r w:rsidRPr="002C4077">
        <w:t xml:space="preserve"> </w:t>
      </w:r>
      <w:r w:rsidRPr="000A34B5">
        <w:rPr>
          <w:rStyle w:val="italicus"/>
        </w:rPr>
        <w:t>Vie</w:t>
      </w:r>
      <w:r w:rsidRPr="002C4077">
        <w:t xml:space="preserve"> </w:t>
      </w:r>
      <w:r w:rsidRPr="000A34B5">
        <w:rPr>
          <w:rStyle w:val="italicus"/>
        </w:rPr>
        <w:t>de</w:t>
      </w:r>
      <w:r w:rsidRPr="002C4077">
        <w:t xml:space="preserve"> </w:t>
      </w:r>
      <w:r w:rsidR="00425C50">
        <w:rPr>
          <w:rStyle w:val="italicus"/>
        </w:rPr>
        <w:t>Jésus</w:t>
      </w:r>
      <w:r w:rsidRPr="002C4077">
        <w:t xml:space="preserve"> </w:t>
      </w:r>
      <w:r>
        <w:t>ou</w:t>
      </w:r>
      <w:r w:rsidRPr="002C4077">
        <w:t xml:space="preserve"> </w:t>
      </w:r>
      <w:r>
        <w:t>des</w:t>
      </w:r>
      <w:r w:rsidRPr="002C4077">
        <w:t xml:space="preserve"> </w:t>
      </w:r>
      <w:r w:rsidRPr="000A34B5">
        <w:rPr>
          <w:rStyle w:val="italicus"/>
        </w:rPr>
        <w:t>Origines</w:t>
      </w:r>
      <w:r w:rsidRPr="002C4077">
        <w:t xml:space="preserve"> </w:t>
      </w:r>
      <w:r w:rsidRPr="000A34B5">
        <w:rPr>
          <w:rStyle w:val="italicus"/>
        </w:rPr>
        <w:t>du</w:t>
      </w:r>
      <w:r w:rsidRPr="002C4077">
        <w:t xml:space="preserve"> </w:t>
      </w:r>
      <w:r w:rsidRPr="000A34B5">
        <w:rPr>
          <w:rStyle w:val="italicus"/>
        </w:rPr>
        <w:t>Christianisme</w:t>
      </w:r>
      <w:r w:rsidRPr="002C4077">
        <w:t xml:space="preserve"> </w:t>
      </w:r>
      <w:r>
        <w:t>de</w:t>
      </w:r>
      <w:r w:rsidRPr="002C4077">
        <w:t xml:space="preserve"> </w:t>
      </w:r>
      <w:r>
        <w:t>M.</w:t>
      </w:r>
      <w:r w:rsidRPr="002C4077">
        <w:t xml:space="preserve"> </w:t>
      </w:r>
      <w:r>
        <w:t>Renan.</w:t>
      </w:r>
      <w:r w:rsidRPr="002C4077">
        <w:t xml:space="preserve"> </w:t>
      </w:r>
      <w:r>
        <w:t>Nous</w:t>
      </w:r>
      <w:r w:rsidRPr="002C4077">
        <w:t xml:space="preserve"> </w:t>
      </w:r>
      <w:r>
        <w:t>y</w:t>
      </w:r>
      <w:r w:rsidRPr="002C4077">
        <w:t xml:space="preserve"> </w:t>
      </w:r>
      <w:r>
        <w:t>eussions</w:t>
      </w:r>
      <w:r w:rsidRPr="002C4077">
        <w:t xml:space="preserve"> </w:t>
      </w:r>
      <w:r>
        <w:t>gagné</w:t>
      </w:r>
      <w:r w:rsidRPr="002C4077">
        <w:t xml:space="preserve"> </w:t>
      </w:r>
      <w:r>
        <w:t>sinon</w:t>
      </w:r>
      <w:r w:rsidRPr="002C4077">
        <w:t xml:space="preserve"> </w:t>
      </w:r>
      <w:r>
        <w:t>plus</w:t>
      </w:r>
      <w:r w:rsidRPr="002C4077">
        <w:t xml:space="preserve"> </w:t>
      </w:r>
      <w:r>
        <w:t>de</w:t>
      </w:r>
      <w:r w:rsidRPr="002C4077">
        <w:t xml:space="preserve"> </w:t>
      </w:r>
      <w:r>
        <w:t>science,</w:t>
      </w:r>
      <w:r w:rsidRPr="002C4077">
        <w:t xml:space="preserve"> </w:t>
      </w:r>
      <w:r>
        <w:t>du</w:t>
      </w:r>
      <w:r w:rsidRPr="002C4077">
        <w:t xml:space="preserve"> </w:t>
      </w:r>
      <w:r>
        <w:t>moins</w:t>
      </w:r>
      <w:r w:rsidRPr="002C4077">
        <w:t xml:space="preserve"> </w:t>
      </w:r>
      <w:r>
        <w:t>un</w:t>
      </w:r>
      <w:r w:rsidRPr="002C4077">
        <w:t xml:space="preserve"> </w:t>
      </w:r>
      <w:r>
        <w:t>style</w:t>
      </w:r>
      <w:r w:rsidRPr="002C4077">
        <w:t xml:space="preserve"> </w:t>
      </w:r>
      <w:r>
        <w:t>plus</w:t>
      </w:r>
      <w:r w:rsidRPr="002C4077">
        <w:t xml:space="preserve"> </w:t>
      </w:r>
      <w:r>
        <w:t>élégant.</w:t>
      </w:r>
      <w:r w:rsidRPr="002C4077">
        <w:t xml:space="preserve"> </w:t>
      </w:r>
    </w:p>
    <w:p w:rsidR="000D12F1" w:rsidRDefault="000D12F1" w:rsidP="000A7AAB"/>
    <w:p w:rsidR="000A7AAB" w:rsidRDefault="000A7AAB" w:rsidP="000A7AAB">
      <w:r>
        <w:t>3.</w:t>
      </w:r>
      <w:r w:rsidRPr="002C4077">
        <w:t xml:space="preserve"> </w:t>
      </w:r>
      <w:r w:rsidRPr="000A34B5">
        <w:rPr>
          <w:rStyle w:val="italicus"/>
        </w:rPr>
        <w:t>La</w:t>
      </w:r>
      <w:r w:rsidRPr="002C4077">
        <w:t xml:space="preserve"> </w:t>
      </w:r>
      <w:r w:rsidRPr="000A34B5">
        <w:rPr>
          <w:rStyle w:val="italicus"/>
        </w:rPr>
        <w:t>logique</w:t>
      </w:r>
      <w:r w:rsidRPr="002C4077">
        <w:t xml:space="preserve"> </w:t>
      </w:r>
      <w:r w:rsidRPr="000A34B5">
        <w:rPr>
          <w:rStyle w:val="italicus"/>
        </w:rPr>
        <w:t>de</w:t>
      </w:r>
      <w:r w:rsidRPr="002C4077">
        <w:t xml:space="preserve"> </w:t>
      </w:r>
      <w:r w:rsidRPr="000A34B5">
        <w:rPr>
          <w:rStyle w:val="italicus"/>
        </w:rPr>
        <w:t>M.</w:t>
      </w:r>
      <w:r w:rsidRPr="002C4077">
        <w:t xml:space="preserve"> </w:t>
      </w:r>
      <w:r w:rsidRPr="000A34B5">
        <w:rPr>
          <w:rStyle w:val="italicus"/>
        </w:rPr>
        <w:t>Havet.</w:t>
      </w:r>
      <w:bookmarkStart w:id="371" w:name="z_Havet_o5"/>
      <w:bookmarkEnd w:id="371"/>
      <w:r w:rsidRPr="002C4077">
        <w:t xml:space="preserve"> </w:t>
      </w:r>
      <w:r>
        <w:t>—</w:t>
      </w:r>
      <w:r w:rsidRPr="002C4077">
        <w:t xml:space="preserve"> </w:t>
      </w:r>
      <w:r>
        <w:t>Encore,</w:t>
      </w:r>
      <w:r w:rsidRPr="002C4077">
        <w:t xml:space="preserve"> </w:t>
      </w:r>
      <w:r>
        <w:t>si</w:t>
      </w:r>
      <w:r w:rsidRPr="002C4077">
        <w:t xml:space="preserve"> </w:t>
      </w:r>
      <w:r>
        <w:t>les</w:t>
      </w:r>
      <w:r w:rsidRPr="002C4077">
        <w:t xml:space="preserve"> </w:t>
      </w:r>
      <w:r>
        <w:t>redites</w:t>
      </w:r>
      <w:r w:rsidRPr="002C4077">
        <w:t xml:space="preserve"> </w:t>
      </w:r>
      <w:r>
        <w:t>que</w:t>
      </w:r>
      <w:r w:rsidRPr="002C4077">
        <w:t xml:space="preserve"> </w:t>
      </w:r>
      <w:r>
        <w:t>nous</w:t>
      </w:r>
      <w:r w:rsidRPr="002C4077">
        <w:t xml:space="preserve"> </w:t>
      </w:r>
      <w:r>
        <w:t>venons</w:t>
      </w:r>
      <w:r w:rsidRPr="002C4077">
        <w:t xml:space="preserve"> </w:t>
      </w:r>
      <w:r>
        <w:t>de</w:t>
      </w:r>
      <w:r w:rsidRPr="002C4077">
        <w:t xml:space="preserve"> </w:t>
      </w:r>
      <w:r>
        <w:t>signaler</w:t>
      </w:r>
      <w:r w:rsidRPr="002C4077">
        <w:t xml:space="preserve"> </w:t>
      </w:r>
      <w:r>
        <w:t>étaient</w:t>
      </w:r>
      <w:r w:rsidRPr="002C4077">
        <w:t xml:space="preserve"> </w:t>
      </w:r>
      <w:r>
        <w:t>présentées</w:t>
      </w:r>
      <w:r w:rsidRPr="002C4077">
        <w:t xml:space="preserve"> </w:t>
      </w:r>
      <w:r>
        <w:t>logiquement</w:t>
      </w:r>
      <w:r w:rsidR="00B546AF">
        <w:t> !</w:t>
      </w:r>
      <w:r w:rsidRPr="002C4077">
        <w:t xml:space="preserve"> </w:t>
      </w:r>
      <w:r>
        <w:t>Mais</w:t>
      </w:r>
      <w:r w:rsidRPr="002C4077">
        <w:t xml:space="preserve"> </w:t>
      </w:r>
      <w:r>
        <w:t>la</w:t>
      </w:r>
      <w:r w:rsidRPr="002C4077">
        <w:t xml:space="preserve"> </w:t>
      </w:r>
      <w:r>
        <w:t>logique</w:t>
      </w:r>
      <w:r w:rsidRPr="002C4077">
        <w:t xml:space="preserve"> </w:t>
      </w:r>
      <w:r>
        <w:t>ne</w:t>
      </w:r>
      <w:r w:rsidRPr="002C4077">
        <w:t xml:space="preserve"> </w:t>
      </w:r>
      <w:r>
        <w:t>semble</w:t>
      </w:r>
      <w:r w:rsidRPr="002C4077">
        <w:t xml:space="preserve"> </w:t>
      </w:r>
      <w:r>
        <w:t>pas</w:t>
      </w:r>
      <w:r w:rsidRPr="002C4077">
        <w:t xml:space="preserve"> </w:t>
      </w:r>
      <w:r>
        <w:t>être</w:t>
      </w:r>
      <w:r w:rsidRPr="002C4077">
        <w:t xml:space="preserve"> </w:t>
      </w:r>
      <w:r>
        <w:t>le</w:t>
      </w:r>
      <w:r w:rsidRPr="002C4077">
        <w:t xml:space="preserve"> </w:t>
      </w:r>
      <w:r>
        <w:t>côté</w:t>
      </w:r>
      <w:r w:rsidRPr="002C4077">
        <w:t xml:space="preserve"> </w:t>
      </w:r>
      <w:r>
        <w:t>fort</w:t>
      </w:r>
      <w:r w:rsidRPr="002C4077">
        <w:t xml:space="preserve"> </w:t>
      </w:r>
      <w:r>
        <w:t>de</w:t>
      </w:r>
      <w:r w:rsidRPr="002C4077">
        <w:t xml:space="preserve"> </w:t>
      </w:r>
      <w:r>
        <w:t>M.</w:t>
      </w:r>
      <w:r w:rsidRPr="002C4077">
        <w:t xml:space="preserve"> </w:t>
      </w:r>
      <w:r>
        <w:t>Havet.</w:t>
      </w:r>
      <w:r w:rsidRPr="002C4077">
        <w:t xml:space="preserve"> </w:t>
      </w:r>
    </w:p>
    <w:p w:rsidR="000A7AAB" w:rsidRDefault="000A7AAB" w:rsidP="000A7AAB">
      <w:r>
        <w:t>La</w:t>
      </w:r>
      <w:r w:rsidRPr="002C4077">
        <w:t xml:space="preserve"> </w:t>
      </w:r>
      <w:r>
        <w:t>logique</w:t>
      </w:r>
      <w:r w:rsidRPr="002C4077">
        <w:t xml:space="preserve"> </w:t>
      </w:r>
      <w:r>
        <w:t>demande</w:t>
      </w:r>
      <w:r w:rsidRPr="002C4077">
        <w:t xml:space="preserve"> </w:t>
      </w:r>
      <w:r>
        <w:t>une</w:t>
      </w:r>
      <w:r w:rsidRPr="002C4077">
        <w:t xml:space="preserve"> </w:t>
      </w:r>
      <w:r>
        <w:t>organisation</w:t>
      </w:r>
      <w:r w:rsidRPr="002C4077">
        <w:t xml:space="preserve"> </w:t>
      </w:r>
      <w:r>
        <w:t>méthodique,</w:t>
      </w:r>
      <w:r w:rsidRPr="002C4077">
        <w:t xml:space="preserve"> </w:t>
      </w:r>
      <w:r>
        <w:t>une</w:t>
      </w:r>
      <w:r w:rsidRPr="002C4077">
        <w:t xml:space="preserve"> </w:t>
      </w:r>
      <w:r>
        <w:t>suite</w:t>
      </w:r>
      <w:r w:rsidRPr="002C4077">
        <w:t xml:space="preserve"> </w:t>
      </w:r>
      <w:r>
        <w:t>nette</w:t>
      </w:r>
      <w:r w:rsidRPr="002C4077">
        <w:t xml:space="preserve"> </w:t>
      </w:r>
      <w:r>
        <w:t>et</w:t>
      </w:r>
      <w:r w:rsidRPr="002C4077">
        <w:t xml:space="preserve"> </w:t>
      </w:r>
      <w:r>
        <w:t>précise</w:t>
      </w:r>
      <w:r w:rsidRPr="002C4077">
        <w:t xml:space="preserve"> </w:t>
      </w:r>
      <w:r>
        <w:t>dans</w:t>
      </w:r>
      <w:r w:rsidRPr="002C4077">
        <w:t xml:space="preserve"> </w:t>
      </w:r>
      <w:r>
        <w:t>les</w:t>
      </w:r>
      <w:r w:rsidRPr="002C4077">
        <w:t xml:space="preserve"> </w:t>
      </w:r>
      <w:r>
        <w:t>idées.</w:t>
      </w:r>
      <w:r w:rsidRPr="002C4077">
        <w:t xml:space="preserve"> </w:t>
      </w:r>
      <w:r>
        <w:t>Où</w:t>
      </w:r>
      <w:r w:rsidRPr="002C4077">
        <w:t xml:space="preserve"> </w:t>
      </w:r>
      <w:r w:rsidR="00425C50">
        <w:t>est</w:t>
      </w:r>
      <w:r w:rsidRPr="002C4077">
        <w:t xml:space="preserve"> </w:t>
      </w:r>
      <w:r>
        <w:t>le</w:t>
      </w:r>
      <w:r w:rsidRPr="002C4077">
        <w:t xml:space="preserve"> </w:t>
      </w:r>
      <w:r w:rsidR="00514F08" w:rsidRPr="000A34B5">
        <w:rPr>
          <w:rStyle w:val="italicus"/>
        </w:rPr>
        <w:t>lúcidus</w:t>
      </w:r>
      <w:r w:rsidRPr="002C4077">
        <w:t xml:space="preserve"> </w:t>
      </w:r>
      <w:r w:rsidRPr="000A34B5">
        <w:rPr>
          <w:rStyle w:val="italicus"/>
        </w:rPr>
        <w:t>ordo</w:t>
      </w:r>
      <w:r w:rsidRPr="002C4077">
        <w:t xml:space="preserve"> </w:t>
      </w:r>
      <w:r>
        <w:t>dans</w:t>
      </w:r>
      <w:r w:rsidRPr="002C4077">
        <w:t xml:space="preserve"> </w:t>
      </w:r>
      <w:r>
        <w:t>les</w:t>
      </w:r>
      <w:r w:rsidRPr="002C4077">
        <w:t xml:space="preserve"> </w:t>
      </w:r>
      <w:r>
        <w:t>pages</w:t>
      </w:r>
      <w:r w:rsidRPr="002C4077">
        <w:t xml:space="preserve"> </w:t>
      </w:r>
      <w:r>
        <w:t>que</w:t>
      </w:r>
      <w:r w:rsidRPr="002C4077">
        <w:t xml:space="preserve"> </w:t>
      </w:r>
      <w:r>
        <w:t>nous</w:t>
      </w:r>
      <w:r w:rsidRPr="002C4077">
        <w:t xml:space="preserve"> </w:t>
      </w:r>
      <w:r>
        <w:t>venons</w:t>
      </w:r>
      <w:r w:rsidRPr="002C4077">
        <w:t xml:space="preserve"> </w:t>
      </w:r>
      <w:r>
        <w:t>de</w:t>
      </w:r>
      <w:r w:rsidRPr="002C4077">
        <w:t xml:space="preserve"> </w:t>
      </w:r>
      <w:r>
        <w:t>lire</w:t>
      </w:r>
      <w:r w:rsidRPr="002C4077">
        <w:t xml:space="preserve"> </w:t>
      </w:r>
      <w:r>
        <w:t>et</w:t>
      </w:r>
      <w:r w:rsidRPr="002C4077">
        <w:t xml:space="preserve"> </w:t>
      </w:r>
      <w:r>
        <w:t>de</w:t>
      </w:r>
      <w:r w:rsidRPr="002C4077">
        <w:t xml:space="preserve"> </w:t>
      </w:r>
      <w:r>
        <w:t>relire</w:t>
      </w:r>
      <w:r w:rsidR="00B546AF">
        <w:t> ?</w:t>
      </w:r>
      <w:r w:rsidR="00C45B47">
        <w:t xml:space="preserve"> {</w:t>
      </w:r>
      <w:r w:rsidR="004C5B7A">
        <w:t>133</w:t>
      </w:r>
      <w:bookmarkStart w:id="372" w:name="p133"/>
      <w:bookmarkEnd w:id="372"/>
      <w:r w:rsidR="004C5B7A">
        <w:t xml:space="preserve">} </w:t>
      </w:r>
      <w:r>
        <w:t>Nul</w:t>
      </w:r>
      <w:r w:rsidRPr="002C4077">
        <w:t xml:space="preserve"> </w:t>
      </w:r>
      <w:r>
        <w:t>plan</w:t>
      </w:r>
      <w:r w:rsidRPr="002C4077">
        <w:t xml:space="preserve"> </w:t>
      </w:r>
      <w:r>
        <w:t>bien</w:t>
      </w:r>
      <w:r w:rsidRPr="002C4077">
        <w:t xml:space="preserve"> </w:t>
      </w:r>
      <w:r>
        <w:t>dessiné,</w:t>
      </w:r>
      <w:r w:rsidRPr="002C4077">
        <w:t xml:space="preserve"> </w:t>
      </w:r>
      <w:r>
        <w:t>nulle</w:t>
      </w:r>
      <w:r w:rsidRPr="002C4077">
        <w:t xml:space="preserve"> </w:t>
      </w:r>
      <w:r>
        <w:t>pensée</w:t>
      </w:r>
      <w:r w:rsidRPr="002C4077">
        <w:t xml:space="preserve"> </w:t>
      </w:r>
      <w:r>
        <w:t>dominante</w:t>
      </w:r>
      <w:r w:rsidRPr="002C4077">
        <w:t xml:space="preserve"> </w:t>
      </w:r>
      <w:r>
        <w:t>qui</w:t>
      </w:r>
      <w:r w:rsidRPr="002C4077">
        <w:t xml:space="preserve"> </w:t>
      </w:r>
      <w:r>
        <w:t>serve</w:t>
      </w:r>
      <w:r w:rsidRPr="002C4077">
        <w:t xml:space="preserve"> </w:t>
      </w:r>
      <w:r>
        <w:t>de</w:t>
      </w:r>
      <w:r w:rsidRPr="002C4077">
        <w:t xml:space="preserve"> </w:t>
      </w:r>
      <w:r>
        <w:t>point</w:t>
      </w:r>
      <w:r w:rsidRPr="002C4077">
        <w:t xml:space="preserve"> </w:t>
      </w:r>
      <w:r>
        <w:t>de</w:t>
      </w:r>
      <w:r w:rsidRPr="002C4077">
        <w:t xml:space="preserve"> </w:t>
      </w:r>
      <w:r>
        <w:t>repère.</w:t>
      </w:r>
      <w:r w:rsidRPr="002C4077">
        <w:t xml:space="preserve"> </w:t>
      </w:r>
      <w:r>
        <w:t>On</w:t>
      </w:r>
      <w:r w:rsidRPr="002C4077">
        <w:t xml:space="preserve"> </w:t>
      </w:r>
      <w:r>
        <w:t>touche</w:t>
      </w:r>
      <w:r w:rsidRPr="002C4077">
        <w:t xml:space="preserve"> </w:t>
      </w:r>
      <w:r>
        <w:t>tantôt</w:t>
      </w:r>
      <w:r w:rsidRPr="002C4077">
        <w:t xml:space="preserve"> </w:t>
      </w:r>
      <w:r>
        <w:t>à</w:t>
      </w:r>
      <w:r w:rsidRPr="002C4077">
        <w:t xml:space="preserve"> </w:t>
      </w:r>
      <w:r>
        <w:t>ceci,</w:t>
      </w:r>
      <w:r w:rsidRPr="002C4077">
        <w:t xml:space="preserve"> </w:t>
      </w:r>
      <w:r>
        <w:t>tantôt</w:t>
      </w:r>
      <w:r w:rsidRPr="002C4077">
        <w:t xml:space="preserve"> </w:t>
      </w:r>
      <w:r>
        <w:t>à</w:t>
      </w:r>
      <w:r w:rsidRPr="002C4077">
        <w:t xml:space="preserve"> </w:t>
      </w:r>
      <w:r>
        <w:t>cela</w:t>
      </w:r>
      <w:r w:rsidR="00B546AF">
        <w:t> ;</w:t>
      </w:r>
      <w:r w:rsidRPr="002C4077">
        <w:t xml:space="preserve"> </w:t>
      </w:r>
      <w:r>
        <w:t>c’est</w:t>
      </w:r>
      <w:r w:rsidRPr="002C4077">
        <w:t xml:space="preserve"> </w:t>
      </w:r>
      <w:r>
        <w:t>un</w:t>
      </w:r>
      <w:r w:rsidRPr="002C4077">
        <w:t xml:space="preserve"> </w:t>
      </w:r>
      <w:r>
        <w:t>chassé-croisé</w:t>
      </w:r>
      <w:r w:rsidRPr="002C4077">
        <w:t xml:space="preserve"> </w:t>
      </w:r>
      <w:r>
        <w:t>perpétuel,</w:t>
      </w:r>
      <w:r w:rsidRPr="002C4077">
        <w:t xml:space="preserve"> </w:t>
      </w:r>
      <w:r>
        <w:t>qui</w:t>
      </w:r>
      <w:r w:rsidRPr="002C4077">
        <w:t xml:space="preserve"> </w:t>
      </w:r>
      <w:r>
        <w:t>n’est</w:t>
      </w:r>
      <w:r w:rsidRPr="002C4077">
        <w:t xml:space="preserve"> </w:t>
      </w:r>
      <w:r>
        <w:t>ni</w:t>
      </w:r>
      <w:r w:rsidRPr="002C4077">
        <w:t xml:space="preserve"> </w:t>
      </w:r>
      <w:r>
        <w:t>critique</w:t>
      </w:r>
      <w:r w:rsidRPr="002C4077">
        <w:t xml:space="preserve"> </w:t>
      </w:r>
      <w:r>
        <w:t>ni</w:t>
      </w:r>
      <w:r w:rsidRPr="002C4077">
        <w:t xml:space="preserve"> </w:t>
      </w:r>
      <w:r>
        <w:t>scientifique.</w:t>
      </w:r>
      <w:r w:rsidRPr="002C4077">
        <w:t xml:space="preserve"> </w:t>
      </w:r>
      <w:r>
        <w:t>Il</w:t>
      </w:r>
      <w:r w:rsidRPr="002C4077">
        <w:t xml:space="preserve"> </w:t>
      </w:r>
      <w:r>
        <w:t>y</w:t>
      </w:r>
      <w:r w:rsidRPr="002C4077">
        <w:t xml:space="preserve"> </w:t>
      </w:r>
      <w:r>
        <w:t>a</w:t>
      </w:r>
      <w:r w:rsidRPr="002C4077">
        <w:t xml:space="preserve"> </w:t>
      </w:r>
      <w:r>
        <w:t>là</w:t>
      </w:r>
      <w:r w:rsidRPr="002C4077">
        <w:t xml:space="preserve"> </w:t>
      </w:r>
      <w:r>
        <w:t>pourtant</w:t>
      </w:r>
      <w:r w:rsidRPr="002C4077">
        <w:t xml:space="preserve"> </w:t>
      </w:r>
      <w:r>
        <w:t>un</w:t>
      </w:r>
      <w:r w:rsidRPr="002C4077">
        <w:t xml:space="preserve"> </w:t>
      </w:r>
      <w:r>
        <w:t>avantage</w:t>
      </w:r>
      <w:r w:rsidRPr="002C4077">
        <w:t xml:space="preserve"> </w:t>
      </w:r>
      <w:r>
        <w:t>quand</w:t>
      </w:r>
      <w:r w:rsidRPr="002C4077">
        <w:t xml:space="preserve"> </w:t>
      </w:r>
      <w:r>
        <w:t>on</w:t>
      </w:r>
      <w:r w:rsidRPr="002C4077">
        <w:t xml:space="preserve"> </w:t>
      </w:r>
      <w:r>
        <w:t>se</w:t>
      </w:r>
      <w:r w:rsidRPr="002C4077">
        <w:t xml:space="preserve"> </w:t>
      </w:r>
      <w:r>
        <w:t>trouve</w:t>
      </w:r>
      <w:r w:rsidRPr="002C4077">
        <w:t xml:space="preserve"> </w:t>
      </w:r>
      <w:r>
        <w:t>en</w:t>
      </w:r>
      <w:r w:rsidRPr="002C4077">
        <w:t xml:space="preserve"> </w:t>
      </w:r>
      <w:r>
        <w:t>face</w:t>
      </w:r>
      <w:r w:rsidRPr="002C4077">
        <w:t xml:space="preserve"> </w:t>
      </w:r>
      <w:r>
        <w:t>de</w:t>
      </w:r>
      <w:r w:rsidRPr="002C4077">
        <w:t xml:space="preserve"> </w:t>
      </w:r>
      <w:r>
        <w:t>lecteurs</w:t>
      </w:r>
      <w:r w:rsidRPr="002C4077">
        <w:t xml:space="preserve"> </w:t>
      </w:r>
      <w:r>
        <w:t>superficiels</w:t>
      </w:r>
      <w:r w:rsidR="00B546AF">
        <w:t> :</w:t>
      </w:r>
      <w:r w:rsidRPr="002C4077">
        <w:t xml:space="preserve"> </w:t>
      </w:r>
      <w:r>
        <w:t>c’est</w:t>
      </w:r>
      <w:r w:rsidRPr="002C4077">
        <w:t xml:space="preserve"> </w:t>
      </w:r>
      <w:r>
        <w:t>de</w:t>
      </w:r>
      <w:r w:rsidRPr="002C4077">
        <w:t xml:space="preserve"> </w:t>
      </w:r>
      <w:r>
        <w:t>dissimuler</w:t>
      </w:r>
      <w:r w:rsidRPr="002C4077">
        <w:t xml:space="preserve"> </w:t>
      </w:r>
      <w:r>
        <w:t>la</w:t>
      </w:r>
      <w:r w:rsidRPr="002C4077">
        <w:t xml:space="preserve"> </w:t>
      </w:r>
      <w:r>
        <w:t>faiblesse</w:t>
      </w:r>
      <w:r w:rsidRPr="002C4077">
        <w:t xml:space="preserve"> </w:t>
      </w:r>
      <w:r>
        <w:t>des</w:t>
      </w:r>
      <w:r w:rsidRPr="002C4077">
        <w:t xml:space="preserve"> </w:t>
      </w:r>
      <w:r>
        <w:t>raisonnements,</w:t>
      </w:r>
      <w:r w:rsidRPr="002C4077">
        <w:t xml:space="preserve"> </w:t>
      </w:r>
      <w:r>
        <w:t>et</w:t>
      </w:r>
      <w:r w:rsidRPr="002C4077">
        <w:t xml:space="preserve"> </w:t>
      </w:r>
      <w:r>
        <w:t>ce</w:t>
      </w:r>
      <w:r w:rsidRPr="002C4077">
        <w:t xml:space="preserve"> </w:t>
      </w:r>
      <w:r>
        <w:t>résultat</w:t>
      </w:r>
      <w:r w:rsidRPr="002C4077">
        <w:t xml:space="preserve"> </w:t>
      </w:r>
      <w:r>
        <w:t>a</w:t>
      </w:r>
      <w:r w:rsidRPr="002C4077">
        <w:t xml:space="preserve"> </w:t>
      </w:r>
      <w:r>
        <w:t>bien</w:t>
      </w:r>
      <w:r w:rsidRPr="002C4077">
        <w:t xml:space="preserve"> </w:t>
      </w:r>
      <w:r>
        <w:t>son</w:t>
      </w:r>
      <w:r w:rsidRPr="002C4077">
        <w:t xml:space="preserve"> </w:t>
      </w:r>
      <w:r>
        <w:t>prix</w:t>
      </w:r>
      <w:r w:rsidRPr="002C4077">
        <w:t xml:space="preserve"> </w:t>
      </w:r>
      <w:r>
        <w:t>pour</w:t>
      </w:r>
      <w:r w:rsidRPr="002C4077">
        <w:t xml:space="preserve"> </w:t>
      </w:r>
      <w:r>
        <w:t>un</w:t>
      </w:r>
      <w:r w:rsidRPr="002C4077">
        <w:t xml:space="preserve"> </w:t>
      </w:r>
      <w:r>
        <w:t>disciple</w:t>
      </w:r>
      <w:r w:rsidRPr="002C4077">
        <w:t xml:space="preserve"> </w:t>
      </w:r>
      <w:r>
        <w:t>de</w:t>
      </w:r>
      <w:r w:rsidRPr="002C4077">
        <w:t xml:space="preserve"> </w:t>
      </w:r>
      <w:r>
        <w:t>Voltaire.</w:t>
      </w:r>
      <w:r w:rsidRPr="002C4077">
        <w:t xml:space="preserve"> </w:t>
      </w:r>
    </w:p>
    <w:p w:rsidR="000A7AAB" w:rsidRDefault="000A7AAB" w:rsidP="000A7AAB">
      <w:r>
        <w:t>Nous</w:t>
      </w:r>
      <w:r w:rsidRPr="002C4077">
        <w:t xml:space="preserve"> </w:t>
      </w:r>
      <w:r>
        <w:t>arrivons,</w:t>
      </w:r>
      <w:r w:rsidRPr="002C4077">
        <w:t xml:space="preserve"> </w:t>
      </w:r>
      <w:r>
        <w:t>par</w:t>
      </w:r>
      <w:r w:rsidRPr="002C4077">
        <w:t xml:space="preserve"> </w:t>
      </w:r>
      <w:r>
        <w:t>cette</w:t>
      </w:r>
      <w:r w:rsidRPr="002C4077">
        <w:t xml:space="preserve"> </w:t>
      </w:r>
      <w:r>
        <w:t>transition,</w:t>
      </w:r>
      <w:r w:rsidRPr="002C4077">
        <w:t xml:space="preserve"> </w:t>
      </w:r>
      <w:r>
        <w:t>aux</w:t>
      </w:r>
      <w:r w:rsidRPr="002C4077">
        <w:t xml:space="preserve"> </w:t>
      </w:r>
      <w:r>
        <w:t>preuves</w:t>
      </w:r>
      <w:r w:rsidRPr="002C4077">
        <w:t xml:space="preserve"> </w:t>
      </w:r>
      <w:r>
        <w:t>de</w:t>
      </w:r>
      <w:r w:rsidRPr="002C4077">
        <w:t xml:space="preserve"> </w:t>
      </w:r>
      <w:r>
        <w:t>M.</w:t>
      </w:r>
      <w:r w:rsidRPr="002C4077">
        <w:t xml:space="preserve"> </w:t>
      </w:r>
      <w:r>
        <w:t>Havet.</w:t>
      </w:r>
      <w:r w:rsidRPr="002C4077">
        <w:t xml:space="preserve"> </w:t>
      </w:r>
      <w:r>
        <w:t>Car</w:t>
      </w:r>
      <w:r w:rsidRPr="002C4077">
        <w:t xml:space="preserve"> </w:t>
      </w:r>
      <w:r>
        <w:t>la</w:t>
      </w:r>
      <w:r w:rsidRPr="002C4077">
        <w:t xml:space="preserve"> </w:t>
      </w:r>
      <w:r>
        <w:t>logique</w:t>
      </w:r>
      <w:r w:rsidRPr="002C4077">
        <w:t xml:space="preserve"> </w:t>
      </w:r>
      <w:r>
        <w:t>exige</w:t>
      </w:r>
      <w:r w:rsidRPr="002C4077">
        <w:t xml:space="preserve"> </w:t>
      </w:r>
      <w:r>
        <w:t>aussi</w:t>
      </w:r>
      <w:r w:rsidRPr="002C4077">
        <w:t xml:space="preserve"> </w:t>
      </w:r>
      <w:r>
        <w:t>une</w:t>
      </w:r>
      <w:r w:rsidRPr="002C4077">
        <w:t xml:space="preserve"> </w:t>
      </w:r>
      <w:r>
        <w:t>démonstration</w:t>
      </w:r>
      <w:r w:rsidRPr="002C4077">
        <w:t xml:space="preserve"> </w:t>
      </w:r>
      <w:r>
        <w:t>solide</w:t>
      </w:r>
      <w:r w:rsidR="00B546AF">
        <w:t> ;</w:t>
      </w:r>
      <w:r w:rsidRPr="002C4077">
        <w:t xml:space="preserve"> </w:t>
      </w:r>
      <w:r>
        <w:t>elle</w:t>
      </w:r>
      <w:r w:rsidRPr="002C4077">
        <w:t xml:space="preserve"> </w:t>
      </w:r>
      <w:r w:rsidR="00425C50">
        <w:t>est</w:t>
      </w:r>
      <w:r w:rsidRPr="002C4077">
        <w:t xml:space="preserve"> </w:t>
      </w:r>
      <w:r>
        <w:t>même</w:t>
      </w:r>
      <w:r w:rsidRPr="002C4077">
        <w:t xml:space="preserve"> </w:t>
      </w:r>
      <w:r>
        <w:t>encore</w:t>
      </w:r>
      <w:r w:rsidRPr="002C4077">
        <w:t xml:space="preserve"> </w:t>
      </w:r>
      <w:r>
        <w:t>plus</w:t>
      </w:r>
      <w:r w:rsidRPr="002C4077">
        <w:t xml:space="preserve"> </w:t>
      </w:r>
      <w:r>
        <w:t>inexorable</w:t>
      </w:r>
      <w:r w:rsidRPr="002C4077">
        <w:t xml:space="preserve"> </w:t>
      </w:r>
      <w:r>
        <w:t>sur</w:t>
      </w:r>
      <w:r w:rsidRPr="002C4077">
        <w:t xml:space="preserve"> </w:t>
      </w:r>
      <w:r>
        <w:t>ce</w:t>
      </w:r>
      <w:r w:rsidRPr="002C4077">
        <w:t xml:space="preserve"> </w:t>
      </w:r>
      <w:r>
        <w:t>point</w:t>
      </w:r>
      <w:r w:rsidRPr="002C4077">
        <w:t xml:space="preserve"> </w:t>
      </w:r>
      <w:r>
        <w:t>qu’à</w:t>
      </w:r>
      <w:r w:rsidRPr="002C4077">
        <w:t xml:space="preserve"> </w:t>
      </w:r>
      <w:r>
        <w:t>propos</w:t>
      </w:r>
      <w:r w:rsidRPr="002C4077">
        <w:t xml:space="preserve"> </w:t>
      </w:r>
      <w:r>
        <w:t>de</w:t>
      </w:r>
      <w:r w:rsidRPr="002C4077">
        <w:t xml:space="preserve"> </w:t>
      </w:r>
      <w:r>
        <w:t>la</w:t>
      </w:r>
      <w:r w:rsidRPr="002C4077">
        <w:t xml:space="preserve"> </w:t>
      </w:r>
      <w:r>
        <w:t>méthode.</w:t>
      </w:r>
      <w:r w:rsidRPr="002C4077">
        <w:t xml:space="preserve"> </w:t>
      </w:r>
    </w:p>
    <w:p w:rsidR="000A7AAB" w:rsidRDefault="000A7AAB" w:rsidP="000A7AAB">
      <w:r>
        <w:t>Mais</w:t>
      </w:r>
      <w:r w:rsidRPr="002C4077">
        <w:t xml:space="preserve"> </w:t>
      </w:r>
      <w:r>
        <w:t>les</w:t>
      </w:r>
      <w:r w:rsidRPr="002C4077">
        <w:t xml:space="preserve"> </w:t>
      </w:r>
      <w:r>
        <w:t>preuves</w:t>
      </w:r>
      <w:r w:rsidRPr="002C4077">
        <w:t xml:space="preserve"> </w:t>
      </w:r>
      <w:r>
        <w:t>de</w:t>
      </w:r>
      <w:r w:rsidRPr="002C4077">
        <w:t xml:space="preserve"> </w:t>
      </w:r>
      <w:r>
        <w:t>notre</w:t>
      </w:r>
      <w:r w:rsidRPr="002C4077">
        <w:t xml:space="preserve"> </w:t>
      </w:r>
      <w:r>
        <w:t>savant</w:t>
      </w:r>
      <w:r w:rsidRPr="002C4077">
        <w:t xml:space="preserve"> </w:t>
      </w:r>
      <w:r>
        <w:t>critique</w:t>
      </w:r>
      <w:r w:rsidRPr="002C4077">
        <w:t xml:space="preserve"> </w:t>
      </w:r>
      <w:r>
        <w:t>consistent</w:t>
      </w:r>
      <w:r w:rsidRPr="002C4077">
        <w:t xml:space="preserve"> </w:t>
      </w:r>
      <w:r>
        <w:t>surtout</w:t>
      </w:r>
      <w:r w:rsidRPr="002C4077">
        <w:t xml:space="preserve"> </w:t>
      </w:r>
      <w:r>
        <w:t>—</w:t>
      </w:r>
      <w:r w:rsidRPr="002C4077">
        <w:t xml:space="preserve"> </w:t>
      </w:r>
      <w:r>
        <w:t>on</w:t>
      </w:r>
      <w:r w:rsidRPr="002C4077">
        <w:t xml:space="preserve"> </w:t>
      </w:r>
      <w:r>
        <w:t>pourrait</w:t>
      </w:r>
      <w:r w:rsidRPr="002C4077">
        <w:t xml:space="preserve"> </w:t>
      </w:r>
      <w:r>
        <w:t>dire</w:t>
      </w:r>
      <w:r w:rsidRPr="002C4077">
        <w:t xml:space="preserve"> </w:t>
      </w:r>
      <w:r>
        <w:t>en</w:t>
      </w:r>
      <w:r w:rsidRPr="002C4077">
        <w:t xml:space="preserve"> </w:t>
      </w:r>
      <w:r>
        <w:t>toute</w:t>
      </w:r>
      <w:r w:rsidRPr="002C4077">
        <w:t xml:space="preserve"> </w:t>
      </w:r>
      <w:r>
        <w:t>vérité</w:t>
      </w:r>
      <w:r w:rsidR="00B546AF">
        <w:t> :</w:t>
      </w:r>
      <w:r w:rsidRPr="002C4077">
        <w:t xml:space="preserve"> </w:t>
      </w:r>
      <w:r>
        <w:t>consistent</w:t>
      </w:r>
      <w:r w:rsidRPr="002C4077">
        <w:t xml:space="preserve"> </w:t>
      </w:r>
      <w:r>
        <w:t>d’une</w:t>
      </w:r>
      <w:r w:rsidRPr="002C4077">
        <w:t xml:space="preserve"> </w:t>
      </w:r>
      <w:r>
        <w:t>façon</w:t>
      </w:r>
      <w:r w:rsidRPr="002C4077">
        <w:t xml:space="preserve"> </w:t>
      </w:r>
      <w:r>
        <w:t>exclusive</w:t>
      </w:r>
      <w:r w:rsidRPr="002C4077">
        <w:t xml:space="preserve"> </w:t>
      </w:r>
      <w:r>
        <w:t>—</w:t>
      </w:r>
      <w:r w:rsidRPr="002C4077">
        <w:t xml:space="preserve"> </w:t>
      </w:r>
      <w:r>
        <w:t>en</w:t>
      </w:r>
      <w:r w:rsidRPr="002C4077">
        <w:t xml:space="preserve"> </w:t>
      </w:r>
      <w:r>
        <w:t>assertions</w:t>
      </w:r>
      <w:r w:rsidRPr="002C4077">
        <w:t xml:space="preserve"> </w:t>
      </w:r>
      <w:r>
        <w:t>audacieusement</w:t>
      </w:r>
      <w:bookmarkStart w:id="373" w:name="z_RationalistesHardiesses_o6"/>
      <w:bookmarkEnd w:id="373"/>
      <w:r w:rsidRPr="002C4077">
        <w:t xml:space="preserve"> </w:t>
      </w:r>
      <w:r>
        <w:t>formulées.</w:t>
      </w:r>
      <w:r w:rsidRPr="002C4077">
        <w:t xml:space="preserve"> </w:t>
      </w:r>
      <w:r>
        <w:t>M.</w:t>
      </w:r>
      <w:r w:rsidRPr="002C4077">
        <w:t xml:space="preserve"> </w:t>
      </w:r>
      <w:r>
        <w:t>Havet</w:t>
      </w:r>
      <w:r w:rsidRPr="002C4077">
        <w:t xml:space="preserve"> </w:t>
      </w:r>
      <w:r>
        <w:t>accentue</w:t>
      </w:r>
      <w:r w:rsidRPr="002C4077">
        <w:t xml:space="preserve"> </w:t>
      </w:r>
      <w:r>
        <w:t>ses</w:t>
      </w:r>
      <w:r w:rsidRPr="002C4077">
        <w:t xml:space="preserve"> </w:t>
      </w:r>
      <w:r>
        <w:t>affirmations</w:t>
      </w:r>
      <w:r w:rsidRPr="002C4077">
        <w:t xml:space="preserve"> </w:t>
      </w:r>
      <w:r>
        <w:t>d’une</w:t>
      </w:r>
      <w:r w:rsidRPr="002C4077">
        <w:t xml:space="preserve"> </w:t>
      </w:r>
      <w:r>
        <w:t>manière</w:t>
      </w:r>
      <w:r w:rsidRPr="002C4077">
        <w:t xml:space="preserve"> </w:t>
      </w:r>
      <w:r>
        <w:t>particulièrement</w:t>
      </w:r>
      <w:r w:rsidRPr="002C4077">
        <w:t xml:space="preserve"> </w:t>
      </w:r>
      <w:r>
        <w:t>sonore</w:t>
      </w:r>
      <w:r w:rsidRPr="002C4077">
        <w:t xml:space="preserve"> </w:t>
      </w:r>
      <w:r>
        <w:t>par</w:t>
      </w:r>
      <w:r w:rsidRPr="002C4077">
        <w:t xml:space="preserve"> </w:t>
      </w:r>
      <w:r>
        <w:t>l’emploi</w:t>
      </w:r>
      <w:r w:rsidRPr="002C4077">
        <w:t xml:space="preserve"> </w:t>
      </w:r>
      <w:r>
        <w:t>du</w:t>
      </w:r>
      <w:r w:rsidRPr="002C4077">
        <w:t xml:space="preserve"> </w:t>
      </w:r>
      <w:r>
        <w:t>pronom</w:t>
      </w:r>
      <w:r w:rsidRPr="002C4077">
        <w:t xml:space="preserve"> </w:t>
      </w:r>
      <w:r>
        <w:t>de</w:t>
      </w:r>
      <w:r w:rsidRPr="002C4077">
        <w:t xml:space="preserve"> </w:t>
      </w:r>
      <w:r>
        <w:t>la</w:t>
      </w:r>
      <w:r w:rsidRPr="002C4077">
        <w:t xml:space="preserve"> </w:t>
      </w:r>
      <w:r>
        <w:t>première</w:t>
      </w:r>
      <w:r w:rsidRPr="002C4077">
        <w:t xml:space="preserve"> </w:t>
      </w:r>
      <w:r>
        <w:t>personne.</w:t>
      </w:r>
      <w:r w:rsidRPr="002C4077">
        <w:t xml:space="preserve"> </w:t>
      </w:r>
      <w:r w:rsidRPr="000A34B5">
        <w:rPr>
          <w:rStyle w:val="italicus"/>
        </w:rPr>
        <w:t>Je</w:t>
      </w:r>
      <w:r w:rsidRPr="002C4077">
        <w:t xml:space="preserve"> </w:t>
      </w:r>
      <w:r w:rsidRPr="000A34B5">
        <w:rPr>
          <w:rStyle w:val="italicus"/>
        </w:rPr>
        <w:t>crois,</w:t>
      </w:r>
      <w:r w:rsidRPr="002C4077">
        <w:t xml:space="preserve"> </w:t>
      </w:r>
      <w:r w:rsidRPr="000A34B5">
        <w:rPr>
          <w:rStyle w:val="italicus"/>
        </w:rPr>
        <w:t>Je</w:t>
      </w:r>
      <w:r w:rsidRPr="002C4077">
        <w:t xml:space="preserve"> </w:t>
      </w:r>
      <w:r w:rsidRPr="000A34B5">
        <w:rPr>
          <w:rStyle w:val="italicus"/>
        </w:rPr>
        <w:t>crois</w:t>
      </w:r>
      <w:r w:rsidRPr="002C4077">
        <w:t xml:space="preserve"> </w:t>
      </w:r>
      <w:r w:rsidRPr="000A34B5">
        <w:rPr>
          <w:rStyle w:val="italicus"/>
        </w:rPr>
        <w:t>volontiers,</w:t>
      </w:r>
      <w:r w:rsidRPr="002C4077">
        <w:t xml:space="preserve"> </w:t>
      </w:r>
      <w:r w:rsidRPr="000A34B5">
        <w:rPr>
          <w:rStyle w:val="italicus"/>
        </w:rPr>
        <w:t>Je</w:t>
      </w:r>
      <w:r w:rsidRPr="002C4077">
        <w:t xml:space="preserve"> </w:t>
      </w:r>
      <w:r w:rsidRPr="000A34B5">
        <w:rPr>
          <w:rStyle w:val="italicus"/>
        </w:rPr>
        <w:t>ne</w:t>
      </w:r>
      <w:r w:rsidRPr="002C4077">
        <w:t xml:space="preserve"> </w:t>
      </w:r>
      <w:r w:rsidRPr="000A34B5">
        <w:rPr>
          <w:rStyle w:val="italicus"/>
        </w:rPr>
        <w:t>crois</w:t>
      </w:r>
      <w:r w:rsidRPr="002C4077">
        <w:t xml:space="preserve"> </w:t>
      </w:r>
      <w:r w:rsidRPr="000A34B5">
        <w:rPr>
          <w:rStyle w:val="italicus"/>
        </w:rPr>
        <w:t>pas,</w:t>
      </w:r>
      <w:r w:rsidRPr="002C4077">
        <w:t xml:space="preserve"> </w:t>
      </w:r>
      <w:r w:rsidRPr="000A34B5">
        <w:rPr>
          <w:rStyle w:val="italicus"/>
        </w:rPr>
        <w:t>Je</w:t>
      </w:r>
      <w:r w:rsidRPr="002C4077">
        <w:t xml:space="preserve"> </w:t>
      </w:r>
      <w:r w:rsidRPr="000A34B5">
        <w:rPr>
          <w:rStyle w:val="italicus"/>
        </w:rPr>
        <w:t>dis,</w:t>
      </w:r>
      <w:r w:rsidRPr="002C4077">
        <w:t xml:space="preserve"> </w:t>
      </w:r>
      <w:r w:rsidRPr="000A34B5">
        <w:rPr>
          <w:rStyle w:val="italicus"/>
        </w:rPr>
        <w:t>J’ai</w:t>
      </w:r>
      <w:r w:rsidRPr="002C4077">
        <w:t xml:space="preserve"> </w:t>
      </w:r>
      <w:r w:rsidRPr="000A34B5">
        <w:rPr>
          <w:rStyle w:val="italicus"/>
        </w:rPr>
        <w:t>dit,</w:t>
      </w:r>
      <w:r w:rsidRPr="002C4077">
        <w:t xml:space="preserve"> </w:t>
      </w:r>
      <w:r w:rsidRPr="000A34B5">
        <w:rPr>
          <w:rStyle w:val="italicus"/>
        </w:rPr>
        <w:t>J’i</w:t>
      </w:r>
      <w:r w:rsidR="003B53FD" w:rsidRPr="000A34B5">
        <w:rPr>
          <w:rStyle w:val="italicus"/>
        </w:rPr>
        <w:t>m</w:t>
      </w:r>
      <w:r w:rsidR="003B53FD">
        <w:rPr>
          <w:rStyle w:val="italicus"/>
        </w:rPr>
        <w:t>á</w:t>
      </w:r>
      <w:r w:rsidR="003B53FD" w:rsidRPr="000A34B5">
        <w:rPr>
          <w:rStyle w:val="italicus"/>
        </w:rPr>
        <w:t>gine</w:t>
      </w:r>
      <w:r w:rsidRPr="000A34B5">
        <w:rPr>
          <w:rStyle w:val="italicus"/>
        </w:rPr>
        <w:t>,</w:t>
      </w:r>
      <w:r w:rsidRPr="002C4077">
        <w:t xml:space="preserve"> </w:t>
      </w:r>
      <w:r w:rsidRPr="000A34B5">
        <w:rPr>
          <w:rStyle w:val="italicus"/>
        </w:rPr>
        <w:t>Pour</w:t>
      </w:r>
      <w:r w:rsidRPr="002C4077">
        <w:t xml:space="preserve"> </w:t>
      </w:r>
      <w:r w:rsidRPr="000A34B5">
        <w:rPr>
          <w:rStyle w:val="italicus"/>
        </w:rPr>
        <w:t>moi,</w:t>
      </w:r>
      <w:r w:rsidRPr="002C4077">
        <w:t xml:space="preserve"> </w:t>
      </w:r>
      <w:r w:rsidRPr="000A34B5">
        <w:rPr>
          <w:rStyle w:val="italicus"/>
        </w:rPr>
        <w:t>À</w:t>
      </w:r>
      <w:r w:rsidRPr="002C4077">
        <w:t xml:space="preserve"> </w:t>
      </w:r>
      <w:r w:rsidRPr="000A34B5">
        <w:rPr>
          <w:rStyle w:val="italicus"/>
        </w:rPr>
        <w:t>mon</w:t>
      </w:r>
      <w:r w:rsidRPr="002C4077">
        <w:t xml:space="preserve"> </w:t>
      </w:r>
      <w:r w:rsidRPr="000A34B5">
        <w:rPr>
          <w:rStyle w:val="italicus"/>
        </w:rPr>
        <w:t>avis,</w:t>
      </w:r>
      <w:r w:rsidRPr="002C4077">
        <w:t xml:space="preserve"> </w:t>
      </w:r>
      <w:r w:rsidRPr="000A34B5">
        <w:rPr>
          <w:rStyle w:val="italicus"/>
        </w:rPr>
        <w:t>Il</w:t>
      </w:r>
      <w:r w:rsidRPr="002C4077">
        <w:t xml:space="preserve"> </w:t>
      </w:r>
      <w:r w:rsidRPr="000A34B5">
        <w:rPr>
          <w:rStyle w:val="italicus"/>
        </w:rPr>
        <w:t>ne</w:t>
      </w:r>
      <w:r w:rsidRPr="002C4077">
        <w:t xml:space="preserve"> </w:t>
      </w:r>
      <w:r w:rsidRPr="000A34B5">
        <w:rPr>
          <w:rStyle w:val="italicus"/>
        </w:rPr>
        <w:t>m’est</w:t>
      </w:r>
      <w:r w:rsidRPr="002C4077">
        <w:t xml:space="preserve"> </w:t>
      </w:r>
      <w:r w:rsidRPr="000A34B5">
        <w:rPr>
          <w:rStyle w:val="italicus"/>
        </w:rPr>
        <w:t>pas</w:t>
      </w:r>
      <w:r w:rsidRPr="002C4077">
        <w:t xml:space="preserve"> </w:t>
      </w:r>
      <w:r w:rsidRPr="000A34B5">
        <w:rPr>
          <w:rStyle w:val="italicus"/>
        </w:rPr>
        <w:t>possible</w:t>
      </w:r>
      <w:r w:rsidR="00B546AF">
        <w:rPr>
          <w:rStyle w:val="italicus"/>
        </w:rPr>
        <w:t> </w:t>
      </w:r>
      <w:r w:rsidR="00B546AF" w:rsidRPr="000A34B5">
        <w:rPr>
          <w:rStyle w:val="italicus"/>
        </w:rPr>
        <w:t>:</w:t>
      </w:r>
      <w:r w:rsidRPr="002C4077">
        <w:t xml:space="preserve"> </w:t>
      </w:r>
      <w:r>
        <w:t>ces</w:t>
      </w:r>
      <w:r w:rsidRPr="002C4077">
        <w:t xml:space="preserve"> </w:t>
      </w:r>
      <w:r>
        <w:t>formules</w:t>
      </w:r>
      <w:r w:rsidRPr="002C4077">
        <w:t xml:space="preserve"> </w:t>
      </w:r>
      <w:r>
        <w:t>pullulent</w:t>
      </w:r>
      <w:r w:rsidRPr="002C4077">
        <w:t xml:space="preserve"> </w:t>
      </w:r>
      <w:r>
        <w:t>dans</w:t>
      </w:r>
      <w:r w:rsidRPr="002C4077">
        <w:t xml:space="preserve"> </w:t>
      </w:r>
      <w:r>
        <w:t>les</w:t>
      </w:r>
      <w:r w:rsidRPr="002C4077">
        <w:t xml:space="preserve"> </w:t>
      </w:r>
      <w:r>
        <w:t>pages</w:t>
      </w:r>
      <w:r w:rsidRPr="002C4077">
        <w:t xml:space="preserve"> </w:t>
      </w:r>
      <w:r>
        <w:t>qui</w:t>
      </w:r>
      <w:r w:rsidRPr="002C4077">
        <w:t xml:space="preserve"> </w:t>
      </w:r>
      <w:r>
        <w:t>nous</w:t>
      </w:r>
      <w:r w:rsidRPr="002C4077">
        <w:t xml:space="preserve"> </w:t>
      </w:r>
      <w:r>
        <w:t>occupent.</w:t>
      </w:r>
      <w:r w:rsidRPr="002C4077">
        <w:t xml:space="preserve"> </w:t>
      </w:r>
      <w:r>
        <w:t>Pourquoi</w:t>
      </w:r>
      <w:r w:rsidRPr="002C4077">
        <w:t xml:space="preserve"> </w:t>
      </w:r>
      <w:r>
        <w:t>ne</w:t>
      </w:r>
      <w:r w:rsidRPr="002C4077">
        <w:t xml:space="preserve"> </w:t>
      </w:r>
      <w:r>
        <w:t>se</w:t>
      </w:r>
      <w:r w:rsidRPr="002C4077">
        <w:t xml:space="preserve"> </w:t>
      </w:r>
      <w:r>
        <w:t>contentait-il</w:t>
      </w:r>
      <w:r w:rsidRPr="002C4077">
        <w:t xml:space="preserve"> </w:t>
      </w:r>
      <w:r>
        <w:t>pas</w:t>
      </w:r>
      <w:r w:rsidRPr="002C4077">
        <w:t xml:space="preserve"> </w:t>
      </w:r>
      <w:r>
        <w:t>d’écrire</w:t>
      </w:r>
      <w:r w:rsidRPr="002C4077">
        <w:t xml:space="preserve"> </w:t>
      </w:r>
      <w:r>
        <w:t>une</w:t>
      </w:r>
      <w:r w:rsidRPr="002C4077">
        <w:t xml:space="preserve"> </w:t>
      </w:r>
      <w:r>
        <w:t>fois</w:t>
      </w:r>
      <w:r w:rsidRPr="002C4077">
        <w:t xml:space="preserve"> </w:t>
      </w:r>
      <w:r>
        <w:t>pour</w:t>
      </w:r>
      <w:r w:rsidRPr="002C4077">
        <w:t xml:space="preserve"> </w:t>
      </w:r>
      <w:r>
        <w:t>toutes</w:t>
      </w:r>
      <w:r w:rsidR="00B546AF">
        <w:t> :</w:t>
      </w:r>
      <w:r w:rsidRPr="002C4077">
        <w:t xml:space="preserve"> </w:t>
      </w:r>
    </w:p>
    <w:p w:rsidR="000A7AAB" w:rsidRPr="0031378E" w:rsidRDefault="000A7AAB" w:rsidP="00514F08">
      <w:pPr>
        <w:pStyle w:val="lcv"/>
        <w:rPr>
          <w:lang w:val="en-US"/>
        </w:rPr>
      </w:pPr>
      <w:r w:rsidRPr="0031378E">
        <w:rPr>
          <w:lang w:val="en-US"/>
        </w:rPr>
        <w:t xml:space="preserve">Sic volo, sic </w:t>
      </w:r>
      <w:r w:rsidR="00514F08" w:rsidRPr="0031378E">
        <w:rPr>
          <w:lang w:val="en-US"/>
        </w:rPr>
        <w:t>júbeo</w:t>
      </w:r>
      <w:r w:rsidR="00B546AF" w:rsidRPr="0031378E">
        <w:rPr>
          <w:lang w:val="en-US"/>
        </w:rPr>
        <w:t> ;</w:t>
      </w:r>
      <w:r w:rsidRPr="0031378E">
        <w:rPr>
          <w:lang w:val="en-US"/>
        </w:rPr>
        <w:t xml:space="preserve"> sit pro rat</w:t>
      </w:r>
      <w:r w:rsidR="003B53FD" w:rsidRPr="0031378E">
        <w:rPr>
          <w:lang w:val="en-US"/>
        </w:rPr>
        <w:t>ióne</w:t>
      </w:r>
      <w:r w:rsidRPr="0031378E">
        <w:rPr>
          <w:lang w:val="en-US"/>
        </w:rPr>
        <w:t xml:space="preserve"> </w:t>
      </w:r>
      <w:r w:rsidR="00514F08" w:rsidRPr="0031378E">
        <w:rPr>
          <w:lang w:val="en-US"/>
        </w:rPr>
        <w:t>volúntas</w:t>
      </w:r>
      <w:r w:rsidR="00B546AF" w:rsidRPr="0031378E">
        <w:rPr>
          <w:lang w:val="en-US"/>
        </w:rPr>
        <w:t> !</w:t>
      </w:r>
      <w:r w:rsidRPr="0031378E">
        <w:rPr>
          <w:lang w:val="en-US"/>
        </w:rPr>
        <w:t xml:space="preserve"> </w:t>
      </w:r>
    </w:p>
    <w:p w:rsidR="000A7AAB" w:rsidRDefault="000A7AAB" w:rsidP="000A7AAB">
      <w:r>
        <w:t>Quelquefois,</w:t>
      </w:r>
      <w:r w:rsidRPr="002C4077">
        <w:t xml:space="preserve"> </w:t>
      </w:r>
      <w:r>
        <w:t>cependant,</w:t>
      </w:r>
      <w:r w:rsidRPr="002C4077">
        <w:t xml:space="preserve"> </w:t>
      </w:r>
      <w:r>
        <w:t>il</w:t>
      </w:r>
      <w:r w:rsidRPr="002C4077">
        <w:t xml:space="preserve"> </w:t>
      </w:r>
      <w:r>
        <w:t>devient</w:t>
      </w:r>
      <w:r w:rsidRPr="002C4077">
        <w:t xml:space="preserve"> </w:t>
      </w:r>
      <w:r>
        <w:t>plus</w:t>
      </w:r>
      <w:r w:rsidRPr="002C4077">
        <w:t xml:space="preserve"> </w:t>
      </w:r>
      <w:r>
        <w:t>modeste</w:t>
      </w:r>
      <w:r w:rsidR="00B546AF">
        <w:t> ;</w:t>
      </w:r>
      <w:r w:rsidRPr="002C4077">
        <w:t xml:space="preserve"> </w:t>
      </w:r>
      <w:r>
        <w:t>alors</w:t>
      </w:r>
      <w:r w:rsidRPr="002C4077">
        <w:t xml:space="preserve"> </w:t>
      </w:r>
      <w:r>
        <w:t>il</w:t>
      </w:r>
      <w:r w:rsidRPr="002C4077">
        <w:t xml:space="preserve"> </w:t>
      </w:r>
      <w:r>
        <w:t>emploie</w:t>
      </w:r>
      <w:r w:rsidRPr="002C4077">
        <w:t xml:space="preserve"> </w:t>
      </w:r>
      <w:r>
        <w:t>d’autres</w:t>
      </w:r>
      <w:r w:rsidRPr="002C4077">
        <w:t xml:space="preserve"> </w:t>
      </w:r>
      <w:r>
        <w:t>tournures</w:t>
      </w:r>
      <w:r w:rsidR="00B546AF">
        <w:t> :</w:t>
      </w:r>
      <w:r w:rsidR="00514F08" w:rsidRPr="002C4077">
        <w:t xml:space="preserve"> </w:t>
      </w:r>
      <w:r w:rsidR="00514F08">
        <w:rPr>
          <w:rStyle w:val="italicus"/>
        </w:rPr>
        <w:t>Je</w:t>
      </w:r>
      <w:r w:rsidR="00514F08" w:rsidRPr="002C4077">
        <w:t xml:space="preserve"> </w:t>
      </w:r>
      <w:r w:rsidR="00514F08">
        <w:rPr>
          <w:rStyle w:val="italicus"/>
        </w:rPr>
        <w:t>ne</w:t>
      </w:r>
      <w:r w:rsidR="00514F08" w:rsidRPr="002C4077">
        <w:t xml:space="preserve"> </w:t>
      </w:r>
      <w:r w:rsidR="00514F08">
        <w:rPr>
          <w:rStyle w:val="italicus"/>
        </w:rPr>
        <w:t>prétends</w:t>
      </w:r>
      <w:r w:rsidR="00514F08" w:rsidRPr="002C4077">
        <w:t xml:space="preserve"> </w:t>
      </w:r>
      <w:r w:rsidR="00514F08">
        <w:rPr>
          <w:rStyle w:val="italicus"/>
        </w:rPr>
        <w:t>pas,</w:t>
      </w:r>
      <w:r w:rsidR="00514F08" w:rsidRPr="002C4077">
        <w:t xml:space="preserve"> </w:t>
      </w:r>
      <w:r w:rsidR="00514F08">
        <w:rPr>
          <w:rStyle w:val="italicus"/>
        </w:rPr>
        <w:t>J’</w:t>
      </w:r>
      <w:r w:rsidRPr="000A34B5">
        <w:rPr>
          <w:rStyle w:val="italicus"/>
        </w:rPr>
        <w:t>ose</w:t>
      </w:r>
      <w:r w:rsidRPr="002C4077">
        <w:t xml:space="preserve"> </w:t>
      </w:r>
      <w:r w:rsidRPr="000A34B5">
        <w:rPr>
          <w:rStyle w:val="italicus"/>
        </w:rPr>
        <w:t>ajouter,</w:t>
      </w:r>
      <w:r w:rsidRPr="002C4077">
        <w:t xml:space="preserve"> </w:t>
      </w:r>
      <w:r w:rsidRPr="000A34B5">
        <w:rPr>
          <w:rStyle w:val="italicus"/>
        </w:rPr>
        <w:t>Je</w:t>
      </w:r>
      <w:r w:rsidRPr="002C4077">
        <w:t xml:space="preserve"> </w:t>
      </w:r>
      <w:r w:rsidRPr="000A34B5">
        <w:rPr>
          <w:rStyle w:val="italicus"/>
        </w:rPr>
        <w:t>hasarderai</w:t>
      </w:r>
      <w:r w:rsidRPr="002C4077">
        <w:t xml:space="preserve"> </w:t>
      </w:r>
      <w:r w:rsidRPr="000A34B5">
        <w:rPr>
          <w:rStyle w:val="italicus"/>
        </w:rPr>
        <w:t>de</w:t>
      </w:r>
      <w:r w:rsidRPr="002C4077">
        <w:t xml:space="preserve"> </w:t>
      </w:r>
      <w:r w:rsidRPr="000A34B5">
        <w:rPr>
          <w:rStyle w:val="italicus"/>
        </w:rPr>
        <w:t>dire,</w:t>
      </w:r>
      <w:r w:rsidRPr="002C4077">
        <w:t xml:space="preserve"> </w:t>
      </w:r>
      <w:r w:rsidRPr="000A34B5">
        <w:rPr>
          <w:rStyle w:val="italicus"/>
        </w:rPr>
        <w:t>Il</w:t>
      </w:r>
      <w:r w:rsidRPr="002C4077">
        <w:t xml:space="preserve"> </w:t>
      </w:r>
      <w:r w:rsidR="00425C50">
        <w:rPr>
          <w:rStyle w:val="italicus"/>
        </w:rPr>
        <w:t>est</w:t>
      </w:r>
      <w:r w:rsidRPr="002C4077">
        <w:t xml:space="preserve"> </w:t>
      </w:r>
      <w:r w:rsidRPr="000A34B5">
        <w:rPr>
          <w:rStyle w:val="italicus"/>
        </w:rPr>
        <w:t>infiniment</w:t>
      </w:r>
      <w:r w:rsidRPr="002C4077">
        <w:t xml:space="preserve"> </w:t>
      </w:r>
      <w:r w:rsidRPr="000A34B5">
        <w:rPr>
          <w:rStyle w:val="italicus"/>
        </w:rPr>
        <w:t>vraisemblable</w:t>
      </w:r>
      <w:r w:rsidRPr="004440EA">
        <w:t xml:space="preserve"> (</w:t>
      </w:r>
      <w:r>
        <w:t>deux</w:t>
      </w:r>
      <w:r w:rsidRPr="002C4077">
        <w:t xml:space="preserve"> </w:t>
      </w:r>
      <w:r>
        <w:t>mots</w:t>
      </w:r>
      <w:r w:rsidRPr="002C4077">
        <w:t xml:space="preserve"> </w:t>
      </w:r>
      <w:r>
        <w:t>surpris</w:t>
      </w:r>
      <w:r w:rsidRPr="002C4077">
        <w:t xml:space="preserve"> </w:t>
      </w:r>
      <w:r>
        <w:t>d’être</w:t>
      </w:r>
      <w:r w:rsidRPr="002C4077">
        <w:t xml:space="preserve"> </w:t>
      </w:r>
      <w:r>
        <w:t>associés</w:t>
      </w:r>
      <w:r w:rsidR="00B546AF">
        <w:t> !</w:t>
      </w:r>
      <w:r w:rsidR="00B546AF" w:rsidRPr="002C4077">
        <w:t>)</w:t>
      </w:r>
      <w:r>
        <w:t>.</w:t>
      </w:r>
      <w:r w:rsidRPr="002C4077">
        <w:t xml:space="preserve"> </w:t>
      </w:r>
      <w:r>
        <w:t>Il</w:t>
      </w:r>
      <w:r w:rsidRPr="002C4077">
        <w:t xml:space="preserve"> </w:t>
      </w:r>
      <w:r>
        <w:t>lui</w:t>
      </w:r>
      <w:r w:rsidRPr="002C4077">
        <w:t xml:space="preserve"> </w:t>
      </w:r>
      <w:r>
        <w:t>arrive</w:t>
      </w:r>
      <w:r w:rsidRPr="002C4077">
        <w:t xml:space="preserve"> </w:t>
      </w:r>
      <w:r>
        <w:t>même</w:t>
      </w:r>
      <w:r w:rsidRPr="002C4077">
        <w:t xml:space="preserve"> </w:t>
      </w:r>
      <w:r>
        <w:t>d’employer,</w:t>
      </w:r>
      <w:r w:rsidRPr="002C4077">
        <w:t xml:space="preserve"> </w:t>
      </w:r>
      <w:r>
        <w:t>toujours</w:t>
      </w:r>
      <w:r w:rsidRPr="002C4077">
        <w:t xml:space="preserve"> </w:t>
      </w:r>
      <w:r>
        <w:t>en</w:t>
      </w:r>
      <w:r w:rsidRPr="002C4077">
        <w:t xml:space="preserve"> </w:t>
      </w:r>
      <w:r>
        <w:t>guise</w:t>
      </w:r>
      <w:r w:rsidRPr="002C4077">
        <w:t xml:space="preserve"> </w:t>
      </w:r>
      <w:r>
        <w:t>de</w:t>
      </w:r>
      <w:r w:rsidRPr="002C4077">
        <w:t xml:space="preserve"> </w:t>
      </w:r>
      <w:r>
        <w:t>preuves,</w:t>
      </w:r>
      <w:r w:rsidRPr="002C4077">
        <w:t xml:space="preserve"> </w:t>
      </w:r>
      <w:r>
        <w:t>les</w:t>
      </w:r>
      <w:r w:rsidRPr="002C4077">
        <w:t xml:space="preserve"> </w:t>
      </w:r>
      <w:r>
        <w:t>expressions</w:t>
      </w:r>
      <w:r w:rsidRPr="002C4077">
        <w:t xml:space="preserve"> </w:t>
      </w:r>
      <w:r w:rsidRPr="000A34B5">
        <w:rPr>
          <w:rStyle w:val="italicus"/>
        </w:rPr>
        <w:t>Peut-être,</w:t>
      </w:r>
      <w:r w:rsidRPr="002C4077">
        <w:t xml:space="preserve"> </w:t>
      </w:r>
      <w:r w:rsidRPr="000A34B5">
        <w:rPr>
          <w:rStyle w:val="italicus"/>
        </w:rPr>
        <w:t>il</w:t>
      </w:r>
      <w:r w:rsidRPr="002C4077">
        <w:t xml:space="preserve"> </w:t>
      </w:r>
      <w:r w:rsidRPr="000A34B5">
        <w:rPr>
          <w:rStyle w:val="italicus"/>
        </w:rPr>
        <w:t>semble,</w:t>
      </w:r>
      <w:r w:rsidRPr="002C4077">
        <w:t xml:space="preserve"> </w:t>
      </w:r>
      <w:r w:rsidRPr="000A34B5">
        <w:rPr>
          <w:rStyle w:val="italicus"/>
        </w:rPr>
        <w:t>il</w:t>
      </w:r>
      <w:r w:rsidRPr="002C4077">
        <w:t xml:space="preserve"> </w:t>
      </w:r>
      <w:r w:rsidRPr="000A34B5">
        <w:rPr>
          <w:rStyle w:val="italicus"/>
        </w:rPr>
        <w:t>parait,</w:t>
      </w:r>
      <w:r w:rsidRPr="002C4077">
        <w:t xml:space="preserve"> </w:t>
      </w:r>
      <w:r w:rsidRPr="000A34B5">
        <w:rPr>
          <w:rStyle w:val="italicus"/>
        </w:rPr>
        <w:t>il</w:t>
      </w:r>
      <w:r w:rsidRPr="002C4077">
        <w:t xml:space="preserve"> </w:t>
      </w:r>
      <w:r w:rsidR="00425C50">
        <w:rPr>
          <w:rStyle w:val="italicus"/>
        </w:rPr>
        <w:t>est</w:t>
      </w:r>
      <w:r w:rsidRPr="002C4077">
        <w:t xml:space="preserve"> </w:t>
      </w:r>
      <w:r w:rsidRPr="000A34B5">
        <w:rPr>
          <w:rStyle w:val="italicus"/>
        </w:rPr>
        <w:t>probable,</w:t>
      </w:r>
      <w:r w:rsidRPr="002C4077">
        <w:t xml:space="preserve"> </w:t>
      </w:r>
      <w:r w:rsidRPr="000A34B5">
        <w:rPr>
          <w:rStyle w:val="italicus"/>
        </w:rPr>
        <w:t>à</w:t>
      </w:r>
      <w:r w:rsidRPr="002C4077">
        <w:t xml:space="preserve"> </w:t>
      </w:r>
      <w:r w:rsidRPr="000A34B5">
        <w:rPr>
          <w:rStyle w:val="italicus"/>
        </w:rPr>
        <w:t>ce</w:t>
      </w:r>
      <w:r w:rsidRPr="002C4077">
        <w:t xml:space="preserve"> </w:t>
      </w:r>
      <w:r w:rsidRPr="000A34B5">
        <w:rPr>
          <w:rStyle w:val="italicus"/>
        </w:rPr>
        <w:t>qu’il</w:t>
      </w:r>
      <w:r w:rsidRPr="002C4077">
        <w:t xml:space="preserve"> </w:t>
      </w:r>
      <w:r w:rsidRPr="000A34B5">
        <w:rPr>
          <w:rStyle w:val="italicus"/>
        </w:rPr>
        <w:t>semble,</w:t>
      </w:r>
      <w:r w:rsidRPr="002C4077">
        <w:t xml:space="preserve"> </w:t>
      </w:r>
      <w:r w:rsidRPr="000A34B5">
        <w:rPr>
          <w:rStyle w:val="italicus"/>
        </w:rPr>
        <w:t>probablement,</w:t>
      </w:r>
      <w:r w:rsidRPr="002C4077">
        <w:t xml:space="preserve"> </w:t>
      </w:r>
      <w:r w:rsidRPr="000A34B5">
        <w:rPr>
          <w:rStyle w:val="italicus"/>
        </w:rPr>
        <w:t>apparemment,</w:t>
      </w:r>
      <w:r w:rsidRPr="002C4077">
        <w:t xml:space="preserve"> </w:t>
      </w:r>
      <w:r w:rsidRPr="000A34B5">
        <w:rPr>
          <w:rStyle w:val="italicus"/>
        </w:rPr>
        <w:t>vraisemblablement,</w:t>
      </w:r>
      <w:r w:rsidRPr="002C4077">
        <w:t xml:space="preserve"> </w:t>
      </w:r>
      <w:r w:rsidRPr="000A34B5">
        <w:rPr>
          <w:rStyle w:val="italicus"/>
        </w:rPr>
        <w:t>très</w:t>
      </w:r>
      <w:r w:rsidRPr="002C4077">
        <w:t xml:space="preserve"> </w:t>
      </w:r>
      <w:r w:rsidRPr="000A34B5">
        <w:rPr>
          <w:rStyle w:val="italicus"/>
        </w:rPr>
        <w:t>probablement,</w:t>
      </w:r>
      <w:r w:rsidRPr="002C4077">
        <w:t xml:space="preserve"> </w:t>
      </w:r>
      <w:r>
        <w:t>assez</w:t>
      </w:r>
      <w:r w:rsidRPr="002C4077">
        <w:t xml:space="preserve"> </w:t>
      </w:r>
      <w:r>
        <w:t>souvent</w:t>
      </w:r>
      <w:r w:rsidRPr="002C4077">
        <w:t xml:space="preserve"> </w:t>
      </w:r>
      <w:r>
        <w:t>pour</w:t>
      </w:r>
      <w:r w:rsidRPr="002C4077">
        <w:t xml:space="preserve"> </w:t>
      </w:r>
      <w:r>
        <w:t>remplir</w:t>
      </w:r>
      <w:r w:rsidRPr="002C4077">
        <w:t xml:space="preserve"> </w:t>
      </w:r>
      <w:r>
        <w:t>au</w:t>
      </w:r>
      <w:r w:rsidRPr="002C4077">
        <w:t xml:space="preserve"> </w:t>
      </w:r>
      <w:r>
        <w:t>moins</w:t>
      </w:r>
      <w:r w:rsidRPr="002C4077">
        <w:t xml:space="preserve"> </w:t>
      </w:r>
      <w:r>
        <w:t>une</w:t>
      </w:r>
      <w:r w:rsidRPr="002C4077">
        <w:t xml:space="preserve"> </w:t>
      </w:r>
      <w:r>
        <w:t>demi-page.</w:t>
      </w:r>
      <w:r w:rsidR="00C45B47">
        <w:t xml:space="preserve"> {</w:t>
      </w:r>
      <w:r w:rsidR="004C5B7A">
        <w:t>134</w:t>
      </w:r>
      <w:bookmarkStart w:id="374" w:name="p134"/>
      <w:bookmarkEnd w:id="374"/>
      <w:r w:rsidR="004C5B7A">
        <w:t xml:space="preserve">} </w:t>
      </w:r>
      <w:r>
        <w:t>Mais</w:t>
      </w:r>
      <w:r w:rsidRPr="002C4077">
        <w:t xml:space="preserve"> </w:t>
      </w:r>
      <w:r>
        <w:t>bientôt</w:t>
      </w:r>
      <w:r w:rsidRPr="002C4077">
        <w:t xml:space="preserve"> </w:t>
      </w:r>
      <w:r>
        <w:t>il</w:t>
      </w:r>
      <w:r w:rsidRPr="002C4077">
        <w:t xml:space="preserve"> </w:t>
      </w:r>
      <w:r>
        <w:t>revient</w:t>
      </w:r>
      <w:r w:rsidRPr="002C4077">
        <w:t xml:space="preserve"> </w:t>
      </w:r>
      <w:r>
        <w:t>comme</w:t>
      </w:r>
      <w:r w:rsidRPr="002C4077">
        <w:t xml:space="preserve"> </w:t>
      </w:r>
      <w:r>
        <w:t>d’instinct</w:t>
      </w:r>
      <w:r w:rsidRPr="002C4077">
        <w:t xml:space="preserve"> </w:t>
      </w:r>
      <w:r>
        <w:t>aux</w:t>
      </w:r>
      <w:r w:rsidRPr="002C4077">
        <w:t xml:space="preserve"> </w:t>
      </w:r>
      <w:r w:rsidRPr="000A34B5">
        <w:rPr>
          <w:rStyle w:val="italicus"/>
        </w:rPr>
        <w:t>certainement,</w:t>
      </w:r>
      <w:r w:rsidRPr="002C4077">
        <w:t xml:space="preserve"> </w:t>
      </w:r>
      <w:r>
        <w:t>aux</w:t>
      </w:r>
      <w:r w:rsidRPr="002C4077">
        <w:t xml:space="preserve"> </w:t>
      </w:r>
      <w:r w:rsidRPr="000A34B5">
        <w:rPr>
          <w:rStyle w:val="italicus"/>
        </w:rPr>
        <w:t>évidemment,</w:t>
      </w:r>
      <w:r w:rsidRPr="002C4077">
        <w:t xml:space="preserve"> </w:t>
      </w:r>
      <w:r>
        <w:t>là</w:t>
      </w:r>
      <w:r w:rsidRPr="002C4077">
        <w:t xml:space="preserve"> </w:t>
      </w:r>
      <w:r>
        <w:t>où</w:t>
      </w:r>
      <w:r w:rsidRPr="002C4077">
        <w:t xml:space="preserve"> </w:t>
      </w:r>
      <w:r>
        <w:t>des</w:t>
      </w:r>
      <w:r w:rsidRPr="002C4077">
        <w:t xml:space="preserve"> </w:t>
      </w:r>
      <w:r>
        <w:t>hommes</w:t>
      </w:r>
      <w:r w:rsidRPr="002C4077">
        <w:t xml:space="preserve"> </w:t>
      </w:r>
      <w:r>
        <w:t>graves,</w:t>
      </w:r>
      <w:r w:rsidRPr="002C4077">
        <w:t xml:space="preserve"> </w:t>
      </w:r>
      <w:r>
        <w:t>des</w:t>
      </w:r>
      <w:r w:rsidRPr="002C4077">
        <w:t xml:space="preserve"> </w:t>
      </w:r>
      <w:r>
        <w:t>savants</w:t>
      </w:r>
      <w:r w:rsidRPr="002C4077">
        <w:t xml:space="preserve"> </w:t>
      </w:r>
      <w:r>
        <w:t>aussi</w:t>
      </w:r>
      <w:r w:rsidRPr="002C4077">
        <w:t xml:space="preserve"> </w:t>
      </w:r>
      <w:r>
        <w:t>renommés</w:t>
      </w:r>
      <w:r w:rsidRPr="002C4077">
        <w:t xml:space="preserve"> </w:t>
      </w:r>
      <w:r>
        <w:t>que</w:t>
      </w:r>
      <w:r w:rsidRPr="002C4077">
        <w:t xml:space="preserve"> </w:t>
      </w:r>
      <w:r>
        <w:t>MM.</w:t>
      </w:r>
      <w:r w:rsidRPr="002C4077">
        <w:t xml:space="preserve"> </w:t>
      </w:r>
      <w:r>
        <w:t>Delitzsch,</w:t>
      </w:r>
      <w:r w:rsidRPr="002C4077">
        <w:t xml:space="preserve"> </w:t>
      </w:r>
      <w:r>
        <w:t>Keil,</w:t>
      </w:r>
      <w:r w:rsidRPr="002C4077">
        <w:t xml:space="preserve"> </w:t>
      </w:r>
      <w:r>
        <w:t>Westcott,</w:t>
      </w:r>
      <w:r w:rsidRPr="002C4077">
        <w:t xml:space="preserve"> </w:t>
      </w:r>
      <w:r>
        <w:t>Plumptre,</w:t>
      </w:r>
      <w:r w:rsidRPr="002C4077">
        <w:t xml:space="preserve"> </w:t>
      </w:r>
      <w:r w:rsidR="00425C50">
        <w:t>etc</w:t>
      </w:r>
      <w:r>
        <w:t>.</w:t>
      </w:r>
      <w:r w:rsidR="0055004A">
        <w:rPr>
          <w:rStyle w:val="Appelnotedebasdep"/>
        </w:rPr>
        <w:footnoteReference w:id="422"/>
      </w:r>
      <w:r>
        <w:t>,</w:t>
      </w:r>
      <w:r w:rsidRPr="002C4077">
        <w:t xml:space="preserve"> </w:t>
      </w:r>
      <w:r>
        <w:t>ne</w:t>
      </w:r>
      <w:r w:rsidRPr="002C4077">
        <w:t xml:space="preserve"> </w:t>
      </w:r>
      <w:r>
        <w:t>trouvent</w:t>
      </w:r>
      <w:r w:rsidRPr="002C4077">
        <w:t xml:space="preserve"> </w:t>
      </w:r>
      <w:r>
        <w:t>pas</w:t>
      </w:r>
      <w:r w:rsidRPr="002C4077">
        <w:t xml:space="preserve"> </w:t>
      </w:r>
      <w:r>
        <w:t>la</w:t>
      </w:r>
      <w:r w:rsidRPr="002C4077">
        <w:t xml:space="preserve"> </w:t>
      </w:r>
      <w:r>
        <w:t>moindre</w:t>
      </w:r>
      <w:r w:rsidRPr="002C4077">
        <w:t xml:space="preserve"> </w:t>
      </w:r>
      <w:r>
        <w:t>trace</w:t>
      </w:r>
      <w:r w:rsidRPr="002C4077">
        <w:t xml:space="preserve"> </w:t>
      </w:r>
      <w:r>
        <w:t>de</w:t>
      </w:r>
      <w:r w:rsidRPr="002C4077">
        <w:t xml:space="preserve"> </w:t>
      </w:r>
      <w:r>
        <w:t>certitude</w:t>
      </w:r>
      <w:r w:rsidRPr="002C4077">
        <w:t xml:space="preserve"> </w:t>
      </w:r>
      <w:r>
        <w:t>et</w:t>
      </w:r>
      <w:r w:rsidRPr="002C4077">
        <w:t xml:space="preserve"> </w:t>
      </w:r>
      <w:r>
        <w:t>d’évidence.</w:t>
      </w:r>
      <w:r w:rsidRPr="002C4077">
        <w:t xml:space="preserve"> </w:t>
      </w:r>
    </w:p>
    <w:p w:rsidR="000A7AAB" w:rsidRDefault="000A7AAB" w:rsidP="000A7AAB">
      <w:r>
        <w:t>Les</w:t>
      </w:r>
      <w:r w:rsidRPr="002C4077">
        <w:t xml:space="preserve"> </w:t>
      </w:r>
      <w:r w:rsidRPr="000A34B5">
        <w:rPr>
          <w:rStyle w:val="italicus"/>
        </w:rPr>
        <w:t>peut-être</w:t>
      </w:r>
      <w:r w:rsidRPr="002C4077">
        <w:t xml:space="preserve"> </w:t>
      </w:r>
      <w:r>
        <w:t>et</w:t>
      </w:r>
      <w:r w:rsidRPr="002C4077">
        <w:t xml:space="preserve"> </w:t>
      </w:r>
      <w:r>
        <w:t>les</w:t>
      </w:r>
      <w:r w:rsidRPr="002C4077">
        <w:t xml:space="preserve"> </w:t>
      </w:r>
      <w:r w:rsidRPr="000A34B5">
        <w:rPr>
          <w:rStyle w:val="italicus"/>
        </w:rPr>
        <w:t>évidemment</w:t>
      </w:r>
      <w:r w:rsidRPr="002C4077">
        <w:t xml:space="preserve"> </w:t>
      </w:r>
      <w:r>
        <w:t>sont</w:t>
      </w:r>
      <w:r w:rsidRPr="002C4077">
        <w:t xml:space="preserve"> </w:t>
      </w:r>
      <w:r>
        <w:t>quelquefois</w:t>
      </w:r>
      <w:r w:rsidRPr="002C4077">
        <w:t xml:space="preserve"> </w:t>
      </w:r>
      <w:r>
        <w:t>unis</w:t>
      </w:r>
      <w:r w:rsidRPr="002C4077">
        <w:t xml:space="preserve"> </w:t>
      </w:r>
      <w:r>
        <w:t>d’une</w:t>
      </w:r>
      <w:r w:rsidRPr="002C4077">
        <w:t xml:space="preserve"> </w:t>
      </w:r>
      <w:r>
        <w:t>étrange</w:t>
      </w:r>
      <w:r w:rsidRPr="002C4077">
        <w:t xml:space="preserve"> </w:t>
      </w:r>
      <w:r>
        <w:t>façon,</w:t>
      </w:r>
      <w:r w:rsidRPr="002C4077">
        <w:t xml:space="preserve"> </w:t>
      </w:r>
      <w:r w:rsidRPr="000A34B5">
        <w:rPr>
          <w:rStyle w:val="italicus"/>
        </w:rPr>
        <w:t>peut-être</w:t>
      </w:r>
      <w:r w:rsidRPr="002C4077">
        <w:t xml:space="preserve"> </w:t>
      </w:r>
      <w:r>
        <w:t>servant</w:t>
      </w:r>
      <w:r w:rsidRPr="002C4077">
        <w:t xml:space="preserve"> </w:t>
      </w:r>
      <w:r>
        <w:t>de</w:t>
      </w:r>
      <w:r w:rsidRPr="002C4077">
        <w:t xml:space="preserve"> </w:t>
      </w:r>
      <w:r>
        <w:t>prémisse</w:t>
      </w:r>
      <w:r w:rsidRPr="002C4077">
        <w:t xml:space="preserve"> </w:t>
      </w:r>
      <w:r>
        <w:t>et</w:t>
      </w:r>
      <w:r w:rsidRPr="002C4077">
        <w:t xml:space="preserve"> </w:t>
      </w:r>
      <w:r w:rsidRPr="000A34B5">
        <w:rPr>
          <w:rStyle w:val="italicus"/>
        </w:rPr>
        <w:t>évidemment</w:t>
      </w:r>
      <w:r w:rsidRPr="002C4077">
        <w:t xml:space="preserve"> </w:t>
      </w:r>
      <w:r>
        <w:t>introduisant</w:t>
      </w:r>
      <w:r w:rsidRPr="002C4077">
        <w:t xml:space="preserve"> </w:t>
      </w:r>
      <w:r>
        <w:t>la</w:t>
      </w:r>
      <w:r w:rsidRPr="002C4077">
        <w:t xml:space="preserve"> </w:t>
      </w:r>
      <w:r>
        <w:t>conclusion.</w:t>
      </w:r>
      <w:r w:rsidRPr="002C4077">
        <w:t xml:space="preserve"> </w:t>
      </w:r>
      <w:r>
        <w:t>Voici</w:t>
      </w:r>
      <w:r w:rsidRPr="002C4077">
        <w:t xml:space="preserve"> </w:t>
      </w:r>
      <w:r>
        <w:t>un</w:t>
      </w:r>
      <w:r w:rsidRPr="002C4077">
        <w:t xml:space="preserve"> </w:t>
      </w:r>
      <w:r>
        <w:t>exemple</w:t>
      </w:r>
      <w:r w:rsidRPr="002C4077">
        <w:t xml:space="preserve"> </w:t>
      </w:r>
      <w:r>
        <w:t>frappant</w:t>
      </w:r>
      <w:r w:rsidRPr="002C4077">
        <w:t xml:space="preserve"> </w:t>
      </w:r>
      <w:r>
        <w:t>de</w:t>
      </w:r>
      <w:r w:rsidRPr="002C4077">
        <w:t xml:space="preserve"> </w:t>
      </w:r>
      <w:r>
        <w:t>ce</w:t>
      </w:r>
      <w:r w:rsidRPr="002C4077">
        <w:t xml:space="preserve"> </w:t>
      </w:r>
      <w:r>
        <w:t>raisonnement</w:t>
      </w:r>
      <w:r w:rsidRPr="002C4077">
        <w:t xml:space="preserve"> </w:t>
      </w:r>
      <w:r>
        <w:t>d’un</w:t>
      </w:r>
      <w:r w:rsidRPr="002C4077">
        <w:t xml:space="preserve"> </w:t>
      </w:r>
      <w:r>
        <w:t>nouveau</w:t>
      </w:r>
      <w:r w:rsidRPr="002C4077">
        <w:t xml:space="preserve"> </w:t>
      </w:r>
      <w:r>
        <w:t>genre.</w:t>
      </w:r>
      <w:r w:rsidRPr="002C4077">
        <w:t xml:space="preserve"> </w:t>
      </w:r>
      <w:r w:rsidR="00B546AF">
        <w:t>« </w:t>
      </w:r>
      <w:r>
        <w:t>Si,</w:t>
      </w:r>
      <w:r w:rsidRPr="002C4077">
        <w:t xml:space="preserve"> </w:t>
      </w:r>
      <w:r>
        <w:t>après</w:t>
      </w:r>
      <w:r w:rsidRPr="002C4077">
        <w:t xml:space="preserve"> </w:t>
      </w:r>
      <w:r>
        <w:t>la</w:t>
      </w:r>
      <w:r w:rsidRPr="002C4077">
        <w:t xml:space="preserve"> </w:t>
      </w:r>
      <w:r>
        <w:t>mort</w:t>
      </w:r>
      <w:r w:rsidRPr="002C4077">
        <w:t xml:space="preserve"> </w:t>
      </w:r>
      <w:r w:rsidRPr="00514F08">
        <w:t>de</w:t>
      </w:r>
      <w:r w:rsidRPr="002C4077">
        <w:t xml:space="preserve"> </w:t>
      </w:r>
      <w:r w:rsidRPr="00514F08">
        <w:t>Jean</w:t>
      </w:r>
      <w:r w:rsidRPr="004440EA">
        <w:t xml:space="preserve"> (</w:t>
      </w:r>
      <w:r w:rsidRPr="000A34B5">
        <w:rPr>
          <w:rStyle w:val="italicus"/>
        </w:rPr>
        <w:t>le</w:t>
      </w:r>
      <w:r w:rsidRPr="002C4077">
        <w:t xml:space="preserve"> </w:t>
      </w:r>
      <w:r w:rsidRPr="000A34B5">
        <w:rPr>
          <w:rStyle w:val="italicus"/>
        </w:rPr>
        <w:t>Baptistès,</w:t>
      </w:r>
      <w:r w:rsidRPr="002C4077">
        <w:t xml:space="preserve"> </w:t>
      </w:r>
      <w:r>
        <w:t>comme</w:t>
      </w:r>
      <w:r w:rsidRPr="002C4077">
        <w:t xml:space="preserve"> </w:t>
      </w:r>
      <w:r>
        <w:t>M.</w:t>
      </w:r>
      <w:r w:rsidRPr="002C4077">
        <w:t xml:space="preserve"> </w:t>
      </w:r>
      <w:r>
        <w:t>Havet</w:t>
      </w:r>
      <w:r w:rsidRPr="002C4077">
        <w:t xml:space="preserve"> </w:t>
      </w:r>
      <w:r>
        <w:t>l’appelle</w:t>
      </w:r>
      <w:r w:rsidR="00B546AF" w:rsidRPr="002C4077">
        <w:t>)</w:t>
      </w:r>
      <w:r w:rsidRPr="00950016">
        <w:t>,</w:t>
      </w:r>
      <w:r w:rsidRPr="002C4077">
        <w:t xml:space="preserve"> </w:t>
      </w:r>
      <w:r>
        <w:t>on</w:t>
      </w:r>
      <w:r w:rsidRPr="002C4077">
        <w:t xml:space="preserve"> </w:t>
      </w:r>
      <w:r>
        <w:t>s’est</w:t>
      </w:r>
      <w:r w:rsidRPr="002C4077">
        <w:t xml:space="preserve"> </w:t>
      </w:r>
      <w:r>
        <w:t>mis</w:t>
      </w:r>
      <w:r w:rsidRPr="002C4077">
        <w:t xml:space="preserve"> </w:t>
      </w:r>
      <w:r>
        <w:t>à</w:t>
      </w:r>
      <w:r w:rsidRPr="002C4077">
        <w:t xml:space="preserve"> </w:t>
      </w:r>
      <w:r>
        <w:t>croire</w:t>
      </w:r>
      <w:r w:rsidRPr="002C4077">
        <w:t xml:space="preserve"> </w:t>
      </w:r>
      <w:r>
        <w:t>qu’il</w:t>
      </w:r>
      <w:r w:rsidRPr="002C4077">
        <w:t xml:space="preserve"> </w:t>
      </w:r>
      <w:r>
        <w:t>pouvait</w:t>
      </w:r>
      <w:r w:rsidRPr="002C4077">
        <w:t xml:space="preserve"> </w:t>
      </w:r>
      <w:r>
        <w:t>bien</w:t>
      </w:r>
      <w:r w:rsidRPr="002C4077">
        <w:t xml:space="preserve"> </w:t>
      </w:r>
      <w:r>
        <w:t>être</w:t>
      </w:r>
      <w:r w:rsidRPr="002C4077">
        <w:t xml:space="preserve"> </w:t>
      </w:r>
      <w:r>
        <w:t>le</w:t>
      </w:r>
      <w:r w:rsidRPr="002C4077">
        <w:t xml:space="preserve"> </w:t>
      </w:r>
      <w:r w:rsidR="00425C50">
        <w:t>Christ</w:t>
      </w:r>
      <w:r>
        <w:t>,</w:t>
      </w:r>
      <w:r w:rsidRPr="002C4077">
        <w:t xml:space="preserve"> </w:t>
      </w:r>
      <w:r>
        <w:t>on</w:t>
      </w:r>
      <w:r w:rsidRPr="002C4077">
        <w:t xml:space="preserve"> </w:t>
      </w:r>
      <w:r>
        <w:t>était</w:t>
      </w:r>
      <w:r w:rsidRPr="002C4077">
        <w:t xml:space="preserve"> </w:t>
      </w:r>
      <w:r>
        <w:t>amené</w:t>
      </w:r>
      <w:r w:rsidRPr="002C4077">
        <w:t xml:space="preserve"> </w:t>
      </w:r>
      <w:r>
        <w:t>nécessairement</w:t>
      </w:r>
      <w:r w:rsidRPr="002C4077">
        <w:t xml:space="preserve"> </w:t>
      </w:r>
      <w:r>
        <w:t>par</w:t>
      </w:r>
      <w:r w:rsidRPr="002C4077">
        <w:t xml:space="preserve"> </w:t>
      </w:r>
      <w:r>
        <w:t>là</w:t>
      </w:r>
      <w:r w:rsidRPr="002C4077">
        <w:t xml:space="preserve"> </w:t>
      </w:r>
      <w:r>
        <w:t>à</w:t>
      </w:r>
      <w:r w:rsidRPr="002C4077">
        <w:t xml:space="preserve"> </w:t>
      </w:r>
      <w:r>
        <w:t>l’idée</w:t>
      </w:r>
      <w:r w:rsidRPr="002C4077">
        <w:t xml:space="preserve"> </w:t>
      </w:r>
      <w:r>
        <w:t>que</w:t>
      </w:r>
      <w:r w:rsidRPr="002C4077">
        <w:t xml:space="preserve"> </w:t>
      </w:r>
      <w:r>
        <w:t>le</w:t>
      </w:r>
      <w:r w:rsidRPr="002C4077">
        <w:t xml:space="preserve"> </w:t>
      </w:r>
      <w:r w:rsidR="00425C50">
        <w:t>Christ</w:t>
      </w:r>
      <w:r>
        <w:t>,</w:t>
      </w:r>
      <w:r w:rsidRPr="002C4077">
        <w:t xml:space="preserve"> </w:t>
      </w:r>
      <w:r>
        <w:t>au</w:t>
      </w:r>
      <w:r w:rsidRPr="002C4077">
        <w:t xml:space="preserve"> </w:t>
      </w:r>
      <w:r>
        <w:t>lieu</w:t>
      </w:r>
      <w:r w:rsidRPr="002C4077">
        <w:t xml:space="preserve"> </w:t>
      </w:r>
      <w:r>
        <w:t>de</w:t>
      </w:r>
      <w:r w:rsidRPr="002C4077">
        <w:t xml:space="preserve"> </w:t>
      </w:r>
      <w:r>
        <w:t>régner…,</w:t>
      </w:r>
      <w:r w:rsidRPr="002C4077">
        <w:t xml:space="preserve"> </w:t>
      </w:r>
      <w:r>
        <w:t>pouvait</w:t>
      </w:r>
      <w:r w:rsidRPr="002C4077">
        <w:t xml:space="preserve"> </w:t>
      </w:r>
      <w:r>
        <w:t>bien</w:t>
      </w:r>
      <w:r w:rsidRPr="002C4077">
        <w:t xml:space="preserve"> </w:t>
      </w:r>
      <w:r>
        <w:t>souffrir</w:t>
      </w:r>
      <w:r w:rsidRPr="002C4077">
        <w:t xml:space="preserve"> </w:t>
      </w:r>
      <w:r>
        <w:t>et</w:t>
      </w:r>
      <w:r w:rsidRPr="002C4077">
        <w:t xml:space="preserve"> </w:t>
      </w:r>
      <w:r>
        <w:t>mourir…</w:t>
      </w:r>
      <w:r w:rsidRPr="002C4077">
        <w:t xml:space="preserve"> </w:t>
      </w:r>
      <w:r>
        <w:t>Cependant</w:t>
      </w:r>
      <w:r w:rsidRPr="002C4077">
        <w:t xml:space="preserve"> </w:t>
      </w:r>
      <w:r>
        <w:t>il</w:t>
      </w:r>
      <w:r w:rsidRPr="002C4077">
        <w:t xml:space="preserve"> </w:t>
      </w:r>
      <w:r>
        <w:t>semble</w:t>
      </w:r>
      <w:r w:rsidRPr="002C4077">
        <w:t xml:space="preserve"> </w:t>
      </w:r>
      <w:r>
        <w:t>que</w:t>
      </w:r>
      <w:r w:rsidRPr="002C4077">
        <w:t xml:space="preserve"> </w:t>
      </w:r>
      <w:r>
        <w:t>cette</w:t>
      </w:r>
      <w:r w:rsidRPr="002C4077">
        <w:t xml:space="preserve"> </w:t>
      </w:r>
      <w:r w:rsidRPr="000A34B5">
        <w:rPr>
          <w:rStyle w:val="italicus"/>
        </w:rPr>
        <w:t>imagination,</w:t>
      </w:r>
      <w:r w:rsidRPr="002C4077">
        <w:t xml:space="preserve"> </w:t>
      </w:r>
      <w:r>
        <w:t>trop</w:t>
      </w:r>
      <w:r w:rsidRPr="002C4077">
        <w:t xml:space="preserve"> </w:t>
      </w:r>
      <w:r>
        <w:t>nouvelle</w:t>
      </w:r>
      <w:r w:rsidRPr="002C4077">
        <w:t xml:space="preserve"> </w:t>
      </w:r>
      <w:r>
        <w:t>encore,</w:t>
      </w:r>
      <w:r w:rsidRPr="002C4077">
        <w:t xml:space="preserve"> </w:t>
      </w:r>
      <w:r>
        <w:t>n’ait</w:t>
      </w:r>
      <w:r w:rsidRPr="002C4077">
        <w:t xml:space="preserve"> </w:t>
      </w:r>
      <w:r>
        <w:t>pu</w:t>
      </w:r>
      <w:r w:rsidRPr="002C4077">
        <w:t xml:space="preserve"> </w:t>
      </w:r>
      <w:r>
        <w:t>se</w:t>
      </w:r>
      <w:r w:rsidRPr="002C4077">
        <w:t xml:space="preserve"> </w:t>
      </w:r>
      <w:r>
        <w:t>fixer</w:t>
      </w:r>
      <w:r w:rsidRPr="002C4077">
        <w:t xml:space="preserve"> </w:t>
      </w:r>
      <w:r>
        <w:t>sur</w:t>
      </w:r>
      <w:r w:rsidRPr="002C4077">
        <w:t xml:space="preserve"> </w:t>
      </w:r>
      <w:r>
        <w:t>Jean</w:t>
      </w:r>
      <w:r w:rsidRPr="002C4077">
        <w:t xml:space="preserve"> </w:t>
      </w:r>
      <w:r>
        <w:t>et</w:t>
      </w:r>
      <w:r w:rsidRPr="002C4077">
        <w:t xml:space="preserve"> </w:t>
      </w:r>
      <w:r>
        <w:t>se</w:t>
      </w:r>
      <w:r w:rsidRPr="002C4077">
        <w:t xml:space="preserve"> </w:t>
      </w:r>
      <w:r>
        <w:t>soit</w:t>
      </w:r>
      <w:r w:rsidRPr="002C4077">
        <w:t xml:space="preserve"> </w:t>
      </w:r>
      <w:r>
        <w:t>transportée</w:t>
      </w:r>
      <w:r w:rsidRPr="002C4077">
        <w:t xml:space="preserve"> </w:t>
      </w:r>
      <w:r>
        <w:t>sur</w:t>
      </w:r>
      <w:r w:rsidRPr="002C4077">
        <w:t xml:space="preserve"> </w:t>
      </w:r>
      <w:r w:rsidR="00425C50">
        <w:t>Jésus</w:t>
      </w:r>
      <w:r>
        <w:t>…</w:t>
      </w:r>
      <w:r w:rsidRPr="002C4077">
        <w:t xml:space="preserve"> </w:t>
      </w:r>
      <w:r>
        <w:t>Alors</w:t>
      </w:r>
      <w:r w:rsidRPr="002C4077">
        <w:t xml:space="preserve"> </w:t>
      </w:r>
      <w:r>
        <w:t>les</w:t>
      </w:r>
      <w:r w:rsidRPr="002C4077">
        <w:t xml:space="preserve"> </w:t>
      </w:r>
      <w:r>
        <w:t>disciples</w:t>
      </w:r>
      <w:r w:rsidRPr="002C4077">
        <w:t xml:space="preserve"> </w:t>
      </w:r>
      <w:r>
        <w:t>de</w:t>
      </w:r>
      <w:r w:rsidRPr="002C4077">
        <w:t xml:space="preserve"> </w:t>
      </w:r>
      <w:r w:rsidR="00425C50">
        <w:t>Jésus</w:t>
      </w:r>
      <w:r w:rsidRPr="002C4077">
        <w:t xml:space="preserve"> </w:t>
      </w:r>
      <w:r>
        <w:t>regardèrent</w:t>
      </w:r>
      <w:r w:rsidRPr="002C4077">
        <w:t xml:space="preserve"> </w:t>
      </w:r>
      <w:r>
        <w:t>Jean</w:t>
      </w:r>
      <w:r w:rsidRPr="002C4077">
        <w:t xml:space="preserve"> </w:t>
      </w:r>
      <w:r>
        <w:t>comme</w:t>
      </w:r>
      <w:r w:rsidRPr="002C4077">
        <w:t xml:space="preserve"> </w:t>
      </w:r>
      <w:r>
        <w:t>un</w:t>
      </w:r>
      <w:r w:rsidRPr="002C4077">
        <w:t xml:space="preserve"> </w:t>
      </w:r>
      <w:r>
        <w:t>simple</w:t>
      </w:r>
      <w:r w:rsidRPr="002C4077">
        <w:t xml:space="preserve"> </w:t>
      </w:r>
      <w:r>
        <w:t>précurseur</w:t>
      </w:r>
      <w:r w:rsidRPr="002C4077">
        <w:t xml:space="preserve"> </w:t>
      </w:r>
      <w:r>
        <w:t>de</w:t>
      </w:r>
      <w:r w:rsidRPr="002C4077">
        <w:t xml:space="preserve"> </w:t>
      </w:r>
      <w:r>
        <w:t>leur</w:t>
      </w:r>
      <w:r w:rsidRPr="002C4077">
        <w:t xml:space="preserve"> </w:t>
      </w:r>
      <w:r>
        <w:t>maître</w:t>
      </w:r>
      <w:r w:rsidR="00B546AF">
        <w:t> ;</w:t>
      </w:r>
      <w:r w:rsidRPr="002C4077">
        <w:t xml:space="preserve"> </w:t>
      </w:r>
      <w:r>
        <w:t>en</w:t>
      </w:r>
      <w:r w:rsidRPr="002C4077">
        <w:t xml:space="preserve"> </w:t>
      </w:r>
      <w:r>
        <w:t>suivant</w:t>
      </w:r>
      <w:r w:rsidRPr="002C4077">
        <w:t xml:space="preserve"> </w:t>
      </w:r>
      <w:r>
        <w:t>cette</w:t>
      </w:r>
      <w:r w:rsidRPr="002C4077">
        <w:t xml:space="preserve"> </w:t>
      </w:r>
      <w:r>
        <w:t>idée,</w:t>
      </w:r>
      <w:r w:rsidRPr="002C4077">
        <w:t xml:space="preserve"> </w:t>
      </w:r>
      <w:r>
        <w:t>ils</w:t>
      </w:r>
      <w:r w:rsidRPr="002C4077">
        <w:t xml:space="preserve"> </w:t>
      </w:r>
      <w:r>
        <w:t>imaginèrent</w:t>
      </w:r>
      <w:r w:rsidRPr="002C4077">
        <w:t xml:space="preserve"> </w:t>
      </w:r>
      <w:r>
        <w:t>que</w:t>
      </w:r>
      <w:r w:rsidRPr="002C4077">
        <w:t xml:space="preserve"> </w:t>
      </w:r>
      <w:r>
        <w:t>Jean</w:t>
      </w:r>
      <w:r w:rsidRPr="002C4077">
        <w:t xml:space="preserve"> </w:t>
      </w:r>
      <w:r>
        <w:t>lui-même</w:t>
      </w:r>
      <w:r w:rsidRPr="002C4077">
        <w:t xml:space="preserve"> </w:t>
      </w:r>
      <w:r>
        <w:t>avait</w:t>
      </w:r>
      <w:r w:rsidRPr="002C4077">
        <w:t xml:space="preserve"> </w:t>
      </w:r>
      <w:r>
        <w:t>ainsi</w:t>
      </w:r>
      <w:r w:rsidRPr="002C4077">
        <w:t xml:space="preserve"> </w:t>
      </w:r>
      <w:r>
        <w:t>parlé</w:t>
      </w:r>
      <w:r w:rsidRPr="002C4077">
        <w:t xml:space="preserve"> </w:t>
      </w:r>
      <w:r>
        <w:t>et</w:t>
      </w:r>
      <w:r w:rsidRPr="002C4077">
        <w:t xml:space="preserve"> </w:t>
      </w:r>
      <w:r>
        <w:t>qu’il</w:t>
      </w:r>
      <w:r w:rsidRPr="002C4077">
        <w:t xml:space="preserve"> </w:t>
      </w:r>
      <w:r>
        <w:t>annonçait</w:t>
      </w:r>
      <w:r w:rsidRPr="002C4077">
        <w:t xml:space="preserve"> </w:t>
      </w:r>
      <w:r>
        <w:t>la</w:t>
      </w:r>
      <w:r w:rsidRPr="002C4077">
        <w:t xml:space="preserve"> </w:t>
      </w:r>
      <w:r>
        <w:t>venue</w:t>
      </w:r>
      <w:r w:rsidRPr="002C4077">
        <w:t xml:space="preserve"> </w:t>
      </w:r>
      <w:r>
        <w:t>d’un</w:t>
      </w:r>
      <w:r w:rsidRPr="002C4077">
        <w:t xml:space="preserve"> </w:t>
      </w:r>
      <w:r>
        <w:t>plus</w:t>
      </w:r>
      <w:r w:rsidRPr="002C4077">
        <w:t xml:space="preserve"> </w:t>
      </w:r>
      <w:r>
        <w:t>fort</w:t>
      </w:r>
      <w:r w:rsidRPr="002C4077">
        <w:t xml:space="preserve"> </w:t>
      </w:r>
      <w:r>
        <w:t>que</w:t>
      </w:r>
      <w:r w:rsidRPr="002C4077">
        <w:t xml:space="preserve"> </w:t>
      </w:r>
      <w:r>
        <w:t>lui.</w:t>
      </w:r>
      <w:r w:rsidRPr="002C4077">
        <w:t xml:space="preserve"> </w:t>
      </w:r>
      <w:r>
        <w:t>Cela</w:t>
      </w:r>
      <w:r w:rsidRPr="002C4077">
        <w:t xml:space="preserve"> </w:t>
      </w:r>
      <w:r>
        <w:t>ne</w:t>
      </w:r>
      <w:r w:rsidRPr="002C4077">
        <w:t xml:space="preserve"> </w:t>
      </w:r>
      <w:r>
        <w:t>peut</w:t>
      </w:r>
      <w:r w:rsidRPr="002C4077">
        <w:t xml:space="preserve"> </w:t>
      </w:r>
      <w:r>
        <w:t>évidemment</w:t>
      </w:r>
      <w:r w:rsidRPr="002C4077">
        <w:t xml:space="preserve"> </w:t>
      </w:r>
      <w:r>
        <w:t>être</w:t>
      </w:r>
      <w:r w:rsidRPr="002C4077">
        <w:t xml:space="preserve"> </w:t>
      </w:r>
      <w:r>
        <w:t>accepté</w:t>
      </w:r>
      <w:r w:rsidR="00B91AF7">
        <w:rPr>
          <w:rStyle w:val="Appelnotedebasdep"/>
        </w:rPr>
        <w:footnoteReference w:id="423"/>
      </w:r>
      <w:r w:rsidR="00B546AF">
        <w:t> »</w:t>
      </w:r>
      <w:r>
        <w:t>.</w:t>
      </w:r>
      <w:r w:rsidRPr="002C4077">
        <w:t xml:space="preserve"> </w:t>
      </w:r>
    </w:p>
    <w:p w:rsidR="000A7AAB" w:rsidRDefault="000A7AAB" w:rsidP="000A7AAB">
      <w:r>
        <w:lastRenderedPageBreak/>
        <w:t>C’est</w:t>
      </w:r>
      <w:r w:rsidRPr="002C4077">
        <w:t xml:space="preserve"> </w:t>
      </w:r>
      <w:r>
        <w:t>à</w:t>
      </w:r>
      <w:r w:rsidRPr="002C4077">
        <w:t xml:space="preserve"> </w:t>
      </w:r>
      <w:r>
        <w:t>peu</w:t>
      </w:r>
      <w:r w:rsidRPr="002C4077">
        <w:t xml:space="preserve"> </w:t>
      </w:r>
      <w:r>
        <w:t>près</w:t>
      </w:r>
      <w:r w:rsidRPr="002C4077">
        <w:t xml:space="preserve"> </w:t>
      </w:r>
      <w:r>
        <w:t>comme</w:t>
      </w:r>
      <w:r w:rsidRPr="002C4077">
        <w:t xml:space="preserve"> </w:t>
      </w:r>
      <w:r>
        <w:t>si</w:t>
      </w:r>
      <w:r w:rsidRPr="002C4077">
        <w:t xml:space="preserve"> </w:t>
      </w:r>
      <w:r>
        <w:t>je</w:t>
      </w:r>
      <w:r w:rsidRPr="002C4077">
        <w:t xml:space="preserve"> </w:t>
      </w:r>
      <w:r>
        <w:t>disais</w:t>
      </w:r>
      <w:r w:rsidR="00B546AF">
        <w:t> :</w:t>
      </w:r>
      <w:r w:rsidRPr="002C4077">
        <w:t xml:space="preserve"> </w:t>
      </w:r>
      <w:r>
        <w:t>Ce</w:t>
      </w:r>
      <w:r w:rsidRPr="002C4077">
        <w:t xml:space="preserve"> </w:t>
      </w:r>
      <w:r>
        <w:t>matin,</w:t>
      </w:r>
      <w:r w:rsidRPr="002C4077">
        <w:t xml:space="preserve"> </w:t>
      </w:r>
      <w:r>
        <w:t>le</w:t>
      </w:r>
      <w:r w:rsidRPr="002C4077">
        <w:t xml:space="preserve"> </w:t>
      </w:r>
      <w:r>
        <w:t>soleil</w:t>
      </w:r>
      <w:r w:rsidRPr="002C4077">
        <w:t xml:space="preserve"> </w:t>
      </w:r>
      <w:r>
        <w:t>était</w:t>
      </w:r>
      <w:r w:rsidRPr="002C4077">
        <w:t xml:space="preserve"> </w:t>
      </w:r>
      <w:r w:rsidRPr="000A34B5">
        <w:rPr>
          <w:rStyle w:val="italicus"/>
        </w:rPr>
        <w:t>peut-être</w:t>
      </w:r>
      <w:r w:rsidRPr="002C4077">
        <w:t xml:space="preserve"> </w:t>
      </w:r>
      <w:r>
        <w:t>entouré</w:t>
      </w:r>
      <w:r w:rsidRPr="002C4077">
        <w:t xml:space="preserve"> </w:t>
      </w:r>
      <w:r>
        <w:t>de</w:t>
      </w:r>
      <w:r w:rsidRPr="002C4077">
        <w:t xml:space="preserve"> </w:t>
      </w:r>
      <w:r>
        <w:t>quelques</w:t>
      </w:r>
      <w:r w:rsidRPr="002C4077">
        <w:t xml:space="preserve"> </w:t>
      </w:r>
      <w:r>
        <w:t>nuages</w:t>
      </w:r>
      <w:r w:rsidR="00B546AF">
        <w:t> ;</w:t>
      </w:r>
      <w:r w:rsidRPr="002C4077">
        <w:t xml:space="preserve"> </w:t>
      </w:r>
      <w:r w:rsidRPr="000A34B5">
        <w:rPr>
          <w:rStyle w:val="italicus"/>
        </w:rPr>
        <w:t>donc</w:t>
      </w:r>
      <w:r w:rsidRPr="002C4077">
        <w:t xml:space="preserve"> </w:t>
      </w:r>
      <w:r>
        <w:t>il</w:t>
      </w:r>
      <w:r w:rsidRPr="002C4077">
        <w:t xml:space="preserve"> </w:t>
      </w:r>
      <w:r>
        <w:t>a</w:t>
      </w:r>
      <w:r w:rsidRPr="002C4077">
        <w:t xml:space="preserve"> </w:t>
      </w:r>
      <w:r>
        <w:t>fait</w:t>
      </w:r>
      <w:r w:rsidRPr="002C4077">
        <w:t xml:space="preserve"> </w:t>
      </w:r>
      <w:r>
        <w:t>certainement</w:t>
      </w:r>
      <w:r w:rsidRPr="002C4077">
        <w:t xml:space="preserve"> </w:t>
      </w:r>
      <w:r>
        <w:t>un</w:t>
      </w:r>
      <w:r w:rsidRPr="002C4077">
        <w:t xml:space="preserve"> </w:t>
      </w:r>
      <w:r>
        <w:t>orage</w:t>
      </w:r>
      <w:r w:rsidRPr="002C4077">
        <w:t xml:space="preserve"> </w:t>
      </w:r>
      <w:r>
        <w:t>effroyable.</w:t>
      </w:r>
      <w:r w:rsidRPr="002C4077">
        <w:t xml:space="preserve"> </w:t>
      </w:r>
    </w:p>
    <w:p w:rsidR="000A7AAB" w:rsidRDefault="000A7AAB" w:rsidP="000A7AAB">
      <w:r>
        <w:t>On</w:t>
      </w:r>
      <w:r w:rsidRPr="002C4077">
        <w:t xml:space="preserve"> </w:t>
      </w:r>
      <w:r>
        <w:t>vient</w:t>
      </w:r>
      <w:r w:rsidRPr="002C4077">
        <w:t xml:space="preserve"> </w:t>
      </w:r>
      <w:r>
        <w:t>de</w:t>
      </w:r>
      <w:r w:rsidRPr="002C4077">
        <w:t xml:space="preserve"> </w:t>
      </w:r>
      <w:r>
        <w:t>voir</w:t>
      </w:r>
      <w:r w:rsidRPr="002C4077">
        <w:t xml:space="preserve"> </w:t>
      </w:r>
      <w:r>
        <w:t>que</w:t>
      </w:r>
      <w:r w:rsidRPr="002C4077">
        <w:t xml:space="preserve"> </w:t>
      </w:r>
      <w:r>
        <w:t>M.</w:t>
      </w:r>
      <w:r w:rsidRPr="002C4077">
        <w:t xml:space="preserve"> </w:t>
      </w:r>
      <w:r>
        <w:t>Havet</w:t>
      </w:r>
      <w:r w:rsidRPr="002C4077">
        <w:t xml:space="preserve"> </w:t>
      </w:r>
      <w:r>
        <w:t>prête</w:t>
      </w:r>
      <w:r w:rsidRPr="002C4077">
        <w:t xml:space="preserve"> </w:t>
      </w:r>
      <w:r>
        <w:t>aux</w:t>
      </w:r>
      <w:r w:rsidRPr="002C4077">
        <w:t xml:space="preserve"> </w:t>
      </w:r>
      <w:r>
        <w:t>disciples</w:t>
      </w:r>
      <w:r w:rsidRPr="002C4077">
        <w:t xml:space="preserve"> </w:t>
      </w:r>
      <w:r>
        <w:t>de</w:t>
      </w:r>
      <w:r w:rsidRPr="002C4077">
        <w:t xml:space="preserve"> </w:t>
      </w:r>
      <w:r>
        <w:t>N.</w:t>
      </w:r>
      <w:r w:rsidRPr="002C4077">
        <w:t xml:space="preserve"> </w:t>
      </w:r>
      <w:r>
        <w:t>S.</w:t>
      </w:r>
      <w:r w:rsidRPr="002C4077">
        <w:t xml:space="preserve"> </w:t>
      </w:r>
      <w:r w:rsidR="00425C50">
        <w:t>Jésus</w:t>
      </w:r>
      <w:r>
        <w:t>-</w:t>
      </w:r>
      <w:r w:rsidR="00425C50">
        <w:t>Christ</w:t>
      </w:r>
      <w:r w:rsidRPr="002C4077">
        <w:t xml:space="preserve"> </w:t>
      </w:r>
      <w:r>
        <w:t>une</w:t>
      </w:r>
      <w:r w:rsidRPr="002C4077">
        <w:t xml:space="preserve"> </w:t>
      </w:r>
      <w:r>
        <w:t>force</w:t>
      </w:r>
      <w:r w:rsidRPr="002C4077">
        <w:t xml:space="preserve"> </w:t>
      </w:r>
      <w:r>
        <w:t>prodigieuse</w:t>
      </w:r>
      <w:r w:rsidRPr="002C4077">
        <w:t xml:space="preserve"> </w:t>
      </w:r>
      <w:r>
        <w:t>d’imagination.</w:t>
      </w:r>
      <w:r w:rsidRPr="002C4077">
        <w:t xml:space="preserve"> </w:t>
      </w:r>
      <w:r>
        <w:t>Il</w:t>
      </w:r>
      <w:r w:rsidRPr="002C4077">
        <w:t xml:space="preserve"> </w:t>
      </w:r>
      <w:r>
        <w:t>revient</w:t>
      </w:r>
      <w:r w:rsidRPr="002C4077">
        <w:t xml:space="preserve"> </w:t>
      </w:r>
      <w:r>
        <w:t>à</w:t>
      </w:r>
      <w:r w:rsidRPr="002C4077">
        <w:t xml:space="preserve"> </w:t>
      </w:r>
      <w:r>
        <w:t>plusieurs</w:t>
      </w:r>
      <w:r w:rsidRPr="002C4077">
        <w:t xml:space="preserve"> </w:t>
      </w:r>
      <w:r>
        <w:t>reprises</w:t>
      </w:r>
      <w:r w:rsidRPr="002C4077">
        <w:t xml:space="preserve"> </w:t>
      </w:r>
      <w:r>
        <w:t>sur</w:t>
      </w:r>
      <w:r w:rsidRPr="002C4077">
        <w:t xml:space="preserve"> </w:t>
      </w:r>
      <w:r>
        <w:t>cette</w:t>
      </w:r>
      <w:r w:rsidRPr="002C4077">
        <w:t xml:space="preserve"> </w:t>
      </w:r>
      <w:r>
        <w:t>idée,</w:t>
      </w:r>
      <w:r w:rsidRPr="002C4077">
        <w:t xml:space="preserve"> </w:t>
      </w:r>
      <w:r>
        <w:t>car</w:t>
      </w:r>
      <w:r w:rsidRPr="002C4077">
        <w:t xml:space="preserve"> </w:t>
      </w:r>
      <w:r>
        <w:t>elle</w:t>
      </w:r>
      <w:r w:rsidRPr="002C4077">
        <w:t xml:space="preserve"> </w:t>
      </w:r>
      <w:r w:rsidR="00425C50">
        <w:t>est</w:t>
      </w:r>
      <w:r w:rsidRPr="002C4077">
        <w:t xml:space="preserve"> </w:t>
      </w:r>
      <w:r>
        <w:t>pour</w:t>
      </w:r>
      <w:r w:rsidRPr="002C4077">
        <w:t xml:space="preserve"> </w:t>
      </w:r>
      <w:r>
        <w:t>lui</w:t>
      </w:r>
      <w:r w:rsidRPr="002C4077">
        <w:t xml:space="preserve"> </w:t>
      </w:r>
      <w:r>
        <w:t>un</w:t>
      </w:r>
      <w:r w:rsidRPr="002C4077">
        <w:t xml:space="preserve"> </w:t>
      </w:r>
      <w:r>
        <w:t>argument</w:t>
      </w:r>
      <w:r w:rsidRPr="002C4077">
        <w:t xml:space="preserve"> </w:t>
      </w:r>
      <w:r>
        <w:t>facile.</w:t>
      </w:r>
      <w:r w:rsidR="00C45B47">
        <w:t xml:space="preserve"> {</w:t>
      </w:r>
      <w:r w:rsidR="004C5B7A">
        <w:t>135</w:t>
      </w:r>
      <w:bookmarkStart w:id="375" w:name="p135"/>
      <w:bookmarkEnd w:id="375"/>
      <w:r w:rsidR="004C5B7A">
        <w:t xml:space="preserve">} </w:t>
      </w:r>
      <w:r>
        <w:t>À</w:t>
      </w:r>
      <w:r w:rsidRPr="002C4077">
        <w:t xml:space="preserve"> </w:t>
      </w:r>
      <w:r>
        <w:t>dix-neuf</w:t>
      </w:r>
      <w:r w:rsidRPr="002C4077">
        <w:t xml:space="preserve"> </w:t>
      </w:r>
      <w:r>
        <w:t>siècles</w:t>
      </w:r>
      <w:r w:rsidRPr="002C4077">
        <w:t xml:space="preserve"> </w:t>
      </w:r>
      <w:r>
        <w:t>de</w:t>
      </w:r>
      <w:r w:rsidRPr="002C4077">
        <w:t xml:space="preserve"> </w:t>
      </w:r>
      <w:r>
        <w:t>distance,</w:t>
      </w:r>
      <w:r w:rsidRPr="002C4077">
        <w:t xml:space="preserve"> </w:t>
      </w:r>
      <w:r>
        <w:t>il</w:t>
      </w:r>
      <w:r w:rsidRPr="002C4077">
        <w:t xml:space="preserve"> </w:t>
      </w:r>
      <w:r w:rsidR="00425C50">
        <w:t>est</w:t>
      </w:r>
      <w:r w:rsidRPr="002C4077">
        <w:t xml:space="preserve"> </w:t>
      </w:r>
      <w:r>
        <w:t>capable</w:t>
      </w:r>
      <w:r w:rsidRPr="002C4077">
        <w:t xml:space="preserve"> </w:t>
      </w:r>
      <w:r>
        <w:t>de</w:t>
      </w:r>
      <w:r w:rsidRPr="002C4077">
        <w:t xml:space="preserve"> </w:t>
      </w:r>
      <w:r>
        <w:t>dire</w:t>
      </w:r>
      <w:r w:rsidRPr="002C4077">
        <w:t xml:space="preserve"> </w:t>
      </w:r>
      <w:r>
        <w:t>ce</w:t>
      </w:r>
      <w:r w:rsidRPr="002C4077">
        <w:t xml:space="preserve"> </w:t>
      </w:r>
      <w:r>
        <w:t>qu’ont</w:t>
      </w:r>
      <w:r w:rsidRPr="002C4077">
        <w:t xml:space="preserve"> </w:t>
      </w:r>
      <w:r>
        <w:t>imaginé</w:t>
      </w:r>
      <w:r w:rsidRPr="002C4077">
        <w:t xml:space="preserve"> </w:t>
      </w:r>
      <w:r>
        <w:t>les</w:t>
      </w:r>
      <w:r w:rsidRPr="002C4077">
        <w:t xml:space="preserve"> </w:t>
      </w:r>
      <w:r>
        <w:t>premiers</w:t>
      </w:r>
      <w:r w:rsidRPr="002C4077">
        <w:t xml:space="preserve"> </w:t>
      </w:r>
      <w:r>
        <w:t>chrétiens,</w:t>
      </w:r>
      <w:r w:rsidRPr="002C4077">
        <w:t xml:space="preserve"> </w:t>
      </w:r>
      <w:r>
        <w:t>ce</w:t>
      </w:r>
      <w:r w:rsidRPr="002C4077">
        <w:t xml:space="preserve"> </w:t>
      </w:r>
      <w:r>
        <w:t>qu’ont</w:t>
      </w:r>
      <w:r w:rsidRPr="002C4077">
        <w:t xml:space="preserve"> </w:t>
      </w:r>
      <w:r>
        <w:t>imaginé</w:t>
      </w:r>
      <w:r w:rsidRPr="002C4077">
        <w:t xml:space="preserve"> </w:t>
      </w:r>
      <w:r>
        <w:t>les</w:t>
      </w:r>
      <w:r w:rsidRPr="002C4077">
        <w:t xml:space="preserve"> </w:t>
      </w:r>
      <w:r>
        <w:t>évangélistes,</w:t>
      </w:r>
      <w:r w:rsidRPr="002C4077">
        <w:t xml:space="preserve"> </w:t>
      </w:r>
      <w:r>
        <w:t>ce</w:t>
      </w:r>
      <w:r w:rsidRPr="002C4077">
        <w:t xml:space="preserve"> </w:t>
      </w:r>
      <w:r>
        <w:t>que</w:t>
      </w:r>
      <w:r w:rsidRPr="002C4077">
        <w:t xml:space="preserve"> </w:t>
      </w:r>
      <w:r w:rsidR="00425C50">
        <w:t>Jésus</w:t>
      </w:r>
      <w:r w:rsidRPr="002C4077">
        <w:t xml:space="preserve"> </w:t>
      </w:r>
      <w:r>
        <w:t>lui-même</w:t>
      </w:r>
      <w:r w:rsidRPr="002C4077">
        <w:t xml:space="preserve"> </w:t>
      </w:r>
      <w:r>
        <w:t>a</w:t>
      </w:r>
      <w:r w:rsidRPr="002C4077">
        <w:t xml:space="preserve"> </w:t>
      </w:r>
      <w:r>
        <w:t>imaginé.</w:t>
      </w:r>
      <w:r w:rsidRPr="002C4077">
        <w:t xml:space="preserve"> </w:t>
      </w:r>
      <w:r>
        <w:t>Cependant,</w:t>
      </w:r>
      <w:r w:rsidRPr="002C4077">
        <w:t xml:space="preserve"> </w:t>
      </w:r>
      <w:r>
        <w:t>gardons-nous</w:t>
      </w:r>
      <w:r w:rsidRPr="002C4077">
        <w:t xml:space="preserve"> </w:t>
      </w:r>
      <w:r>
        <w:t>de</w:t>
      </w:r>
      <w:r w:rsidRPr="002C4077">
        <w:t xml:space="preserve"> </w:t>
      </w:r>
      <w:r>
        <w:t>penser</w:t>
      </w:r>
      <w:r w:rsidRPr="002C4077">
        <w:t xml:space="preserve"> </w:t>
      </w:r>
      <w:r>
        <w:t>que</w:t>
      </w:r>
      <w:r w:rsidRPr="002C4077">
        <w:t xml:space="preserve"> </w:t>
      </w:r>
      <w:r>
        <w:t>l’imagination</w:t>
      </w:r>
      <w:r w:rsidRPr="002C4077">
        <w:t xml:space="preserve"> </w:t>
      </w:r>
      <w:r>
        <w:t>pourrait</w:t>
      </w:r>
      <w:r w:rsidRPr="002C4077">
        <w:t xml:space="preserve"> </w:t>
      </w:r>
      <w:r>
        <w:t>bien</w:t>
      </w:r>
      <w:r w:rsidRPr="002C4077">
        <w:t xml:space="preserve"> </w:t>
      </w:r>
      <w:r>
        <w:t>avoir</w:t>
      </w:r>
      <w:r w:rsidRPr="002C4077">
        <w:t xml:space="preserve"> </w:t>
      </w:r>
      <w:r>
        <w:t>quelque</w:t>
      </w:r>
      <w:r w:rsidRPr="002C4077">
        <w:t xml:space="preserve"> </w:t>
      </w:r>
      <w:r>
        <w:t>part</w:t>
      </w:r>
      <w:r w:rsidRPr="002C4077">
        <w:t xml:space="preserve"> </w:t>
      </w:r>
      <w:r>
        <w:t>à</w:t>
      </w:r>
      <w:r w:rsidRPr="002C4077">
        <w:t xml:space="preserve"> </w:t>
      </w:r>
      <w:r>
        <w:t>ses</w:t>
      </w:r>
      <w:r w:rsidRPr="002C4077">
        <w:t xml:space="preserve"> </w:t>
      </w:r>
      <w:r>
        <w:t>propres</w:t>
      </w:r>
      <w:r w:rsidRPr="002C4077">
        <w:t xml:space="preserve"> </w:t>
      </w:r>
      <w:r>
        <w:t>théories.</w:t>
      </w:r>
      <w:r w:rsidRPr="002C4077">
        <w:t xml:space="preserve"> </w:t>
      </w:r>
      <w:r>
        <w:t>Il</w:t>
      </w:r>
      <w:r w:rsidRPr="002C4077">
        <w:t xml:space="preserve"> </w:t>
      </w:r>
      <w:r>
        <w:t>nous</w:t>
      </w:r>
      <w:r w:rsidRPr="002C4077">
        <w:t xml:space="preserve"> </w:t>
      </w:r>
      <w:r>
        <w:t>répondrait</w:t>
      </w:r>
      <w:r w:rsidR="00B546AF">
        <w:t> :</w:t>
      </w:r>
      <w:r w:rsidRPr="002C4077">
        <w:t xml:space="preserve"> </w:t>
      </w:r>
      <w:r w:rsidRPr="000A34B5">
        <w:rPr>
          <w:rStyle w:val="italicus"/>
        </w:rPr>
        <w:t>Je</w:t>
      </w:r>
      <w:r w:rsidRPr="002C4077">
        <w:t xml:space="preserve"> </w:t>
      </w:r>
      <w:r w:rsidRPr="000A34B5">
        <w:rPr>
          <w:rStyle w:val="italicus"/>
        </w:rPr>
        <w:t>crois,</w:t>
      </w:r>
      <w:r w:rsidRPr="002C4077">
        <w:t xml:space="preserve"> </w:t>
      </w:r>
      <w:r w:rsidRPr="000A34B5">
        <w:rPr>
          <w:rStyle w:val="italicus"/>
        </w:rPr>
        <w:t>J’ai</w:t>
      </w:r>
      <w:r w:rsidRPr="002C4077">
        <w:t xml:space="preserve"> </w:t>
      </w:r>
      <w:r w:rsidRPr="000A34B5">
        <w:rPr>
          <w:rStyle w:val="italicus"/>
        </w:rPr>
        <w:t>dit,</w:t>
      </w:r>
      <w:r w:rsidRPr="002C4077">
        <w:t xml:space="preserve"> </w:t>
      </w:r>
      <w:r>
        <w:t>et</w:t>
      </w:r>
      <w:r w:rsidRPr="002C4077">
        <w:t xml:space="preserve"> </w:t>
      </w:r>
      <w:r>
        <w:t>nous</w:t>
      </w:r>
      <w:r w:rsidRPr="002C4077">
        <w:t xml:space="preserve"> </w:t>
      </w:r>
      <w:r>
        <w:t>devrions</w:t>
      </w:r>
      <w:r w:rsidRPr="002C4077">
        <w:t xml:space="preserve"> </w:t>
      </w:r>
      <w:r>
        <w:t>nous</w:t>
      </w:r>
      <w:r w:rsidRPr="002C4077">
        <w:t xml:space="preserve"> </w:t>
      </w:r>
      <w:r>
        <w:t>incliner.</w:t>
      </w:r>
      <w:r w:rsidRPr="002C4077">
        <w:t xml:space="preserve"> </w:t>
      </w:r>
    </w:p>
    <w:p w:rsidR="000A7AAB" w:rsidRDefault="000A7AAB" w:rsidP="000A7AAB">
      <w:r>
        <w:t>Nous</w:t>
      </w:r>
      <w:r w:rsidRPr="002C4077">
        <w:t xml:space="preserve"> </w:t>
      </w:r>
      <w:r>
        <w:t>n’inventons</w:t>
      </w:r>
      <w:r w:rsidRPr="002C4077">
        <w:t xml:space="preserve"> </w:t>
      </w:r>
      <w:r>
        <w:t>pas</w:t>
      </w:r>
      <w:r w:rsidR="00B546AF">
        <w:t> ;</w:t>
      </w:r>
      <w:r w:rsidRPr="002C4077">
        <w:t xml:space="preserve"> </w:t>
      </w:r>
      <w:r>
        <w:t>que</w:t>
      </w:r>
      <w:r w:rsidRPr="002C4077">
        <w:t xml:space="preserve"> </w:t>
      </w:r>
      <w:r>
        <w:t>le</w:t>
      </w:r>
      <w:r w:rsidRPr="002C4077">
        <w:t xml:space="preserve"> </w:t>
      </w:r>
      <w:r>
        <w:t>lecteur</w:t>
      </w:r>
      <w:r w:rsidRPr="002C4077">
        <w:t xml:space="preserve"> </w:t>
      </w:r>
      <w:r>
        <w:t>soit</w:t>
      </w:r>
      <w:r w:rsidRPr="002C4077">
        <w:t xml:space="preserve"> </w:t>
      </w:r>
      <w:r>
        <w:t>juge</w:t>
      </w:r>
      <w:r w:rsidR="00B546AF">
        <w:t> !</w:t>
      </w:r>
      <w:r w:rsidRPr="002C4077">
        <w:t xml:space="preserve"> </w:t>
      </w:r>
    </w:p>
    <w:p w:rsidR="000A7AAB" w:rsidRDefault="00B546AF" w:rsidP="000A7AAB">
      <w:r>
        <w:t>« </w:t>
      </w:r>
      <w:r w:rsidR="000A7AAB">
        <w:t>Tout</w:t>
      </w:r>
      <w:r w:rsidR="000A7AAB" w:rsidRPr="002C4077">
        <w:t xml:space="preserve"> </w:t>
      </w:r>
      <w:r w:rsidR="000A7AAB">
        <w:t>cela</w:t>
      </w:r>
      <w:r w:rsidR="000A7AAB" w:rsidRPr="002C4077">
        <w:t xml:space="preserve"> </w:t>
      </w:r>
      <w:r w:rsidR="00425C50">
        <w:t>est</w:t>
      </w:r>
      <w:r w:rsidR="000A7AAB" w:rsidRPr="002C4077">
        <w:t xml:space="preserve"> </w:t>
      </w:r>
      <w:r w:rsidR="000A7AAB">
        <w:t>bien</w:t>
      </w:r>
      <w:r w:rsidR="000A7AAB" w:rsidRPr="002C4077">
        <w:t xml:space="preserve"> </w:t>
      </w:r>
      <w:r w:rsidR="000A7AAB">
        <w:t>extraordinaire,</w:t>
      </w:r>
      <w:r w:rsidR="000A7AAB" w:rsidRPr="002C4077">
        <w:t xml:space="preserve"> </w:t>
      </w:r>
      <w:r w:rsidR="000A7AAB">
        <w:t>affirme-t-il</w:t>
      </w:r>
      <w:r w:rsidR="000A7AAB" w:rsidRPr="002C4077">
        <w:t xml:space="preserve"> </w:t>
      </w:r>
      <w:r w:rsidR="000A7AAB">
        <w:t>en</w:t>
      </w:r>
      <w:r w:rsidR="000A7AAB" w:rsidRPr="002C4077">
        <w:t xml:space="preserve"> </w:t>
      </w:r>
      <w:r w:rsidR="000A7AAB">
        <w:t>parlant</w:t>
      </w:r>
      <w:r w:rsidR="000A7AAB" w:rsidRPr="002C4077">
        <w:t xml:space="preserve"> </w:t>
      </w:r>
      <w:r w:rsidR="000A7AAB">
        <w:t>de</w:t>
      </w:r>
      <w:r w:rsidR="000A7AAB" w:rsidRPr="002C4077">
        <w:t xml:space="preserve"> </w:t>
      </w:r>
      <w:r w:rsidR="000A7AAB">
        <w:t>divers</w:t>
      </w:r>
      <w:r w:rsidR="000A7AAB" w:rsidRPr="002C4077">
        <w:t xml:space="preserve"> </w:t>
      </w:r>
      <w:r w:rsidR="000A7AAB">
        <w:t>faits</w:t>
      </w:r>
      <w:r w:rsidR="000A7AAB" w:rsidRPr="002C4077">
        <w:t xml:space="preserve"> </w:t>
      </w:r>
      <w:r w:rsidR="000A7AAB">
        <w:t>racontés</w:t>
      </w:r>
      <w:r w:rsidR="000A7AAB" w:rsidRPr="002C4077">
        <w:t xml:space="preserve"> </w:t>
      </w:r>
      <w:r w:rsidR="000A7AAB">
        <w:t>dans</w:t>
      </w:r>
      <w:r w:rsidR="000A7AAB" w:rsidRPr="002C4077">
        <w:t xml:space="preserve"> </w:t>
      </w:r>
      <w:r w:rsidR="000A7AAB">
        <w:t>les</w:t>
      </w:r>
      <w:r w:rsidR="000A7AAB" w:rsidRPr="002C4077">
        <w:t xml:space="preserve"> </w:t>
      </w:r>
      <w:r w:rsidR="000A7AAB">
        <w:t>évangiles,</w:t>
      </w:r>
      <w:r w:rsidR="000A7AAB" w:rsidRPr="002C4077">
        <w:t xml:space="preserve"> </w:t>
      </w:r>
      <w:r w:rsidR="000A7AAB">
        <w:t>et</w:t>
      </w:r>
      <w:r w:rsidR="000A7AAB" w:rsidRPr="002C4077">
        <w:t xml:space="preserve"> </w:t>
      </w:r>
      <w:r w:rsidR="000A7AAB">
        <w:t>on</w:t>
      </w:r>
      <w:r w:rsidR="000A7AAB" w:rsidRPr="002C4077">
        <w:t xml:space="preserve"> </w:t>
      </w:r>
      <w:r w:rsidR="000A7AAB" w:rsidRPr="000A34B5">
        <w:rPr>
          <w:rStyle w:val="italicus"/>
        </w:rPr>
        <w:t>sent</w:t>
      </w:r>
      <w:r w:rsidR="000A7AAB" w:rsidRPr="002C4077">
        <w:t xml:space="preserve"> </w:t>
      </w:r>
      <w:r w:rsidR="000A7AAB" w:rsidRPr="000A34B5">
        <w:rPr>
          <w:rStyle w:val="italicus"/>
        </w:rPr>
        <w:t>bien</w:t>
      </w:r>
      <w:r w:rsidR="000A7AAB" w:rsidRPr="002C4077">
        <w:t xml:space="preserve"> </w:t>
      </w:r>
      <w:r w:rsidR="000A7AAB">
        <w:t>que</w:t>
      </w:r>
      <w:r w:rsidR="000A7AAB" w:rsidRPr="002C4077">
        <w:t xml:space="preserve"> </w:t>
      </w:r>
      <w:r w:rsidR="000A7AAB">
        <w:t>les</w:t>
      </w:r>
      <w:r w:rsidR="000A7AAB" w:rsidRPr="002C4077">
        <w:t xml:space="preserve"> </w:t>
      </w:r>
      <w:r w:rsidR="000A7AAB">
        <w:t>choses</w:t>
      </w:r>
      <w:r w:rsidR="000A7AAB" w:rsidRPr="002C4077">
        <w:t xml:space="preserve"> </w:t>
      </w:r>
      <w:r w:rsidR="000A7AAB">
        <w:t>n’ont</w:t>
      </w:r>
      <w:r w:rsidR="000A7AAB" w:rsidRPr="002C4077">
        <w:t xml:space="preserve"> </w:t>
      </w:r>
      <w:r w:rsidR="000A7AAB">
        <w:t>pu</w:t>
      </w:r>
      <w:r w:rsidR="000A7AAB" w:rsidRPr="002C4077">
        <w:t xml:space="preserve"> </w:t>
      </w:r>
      <w:r w:rsidR="000A7AAB">
        <w:t>se</w:t>
      </w:r>
      <w:r w:rsidR="000A7AAB" w:rsidRPr="002C4077">
        <w:t xml:space="preserve"> </w:t>
      </w:r>
      <w:r w:rsidR="000A7AAB">
        <w:t>passer</w:t>
      </w:r>
      <w:r w:rsidR="000A7AAB" w:rsidRPr="002C4077">
        <w:t xml:space="preserve"> </w:t>
      </w:r>
      <w:r w:rsidR="000A7AAB">
        <w:t>ainsi</w:t>
      </w:r>
      <w:r w:rsidR="00B91AF7">
        <w:rPr>
          <w:rStyle w:val="Appelnotedebasdep"/>
        </w:rPr>
        <w:footnoteReference w:id="424"/>
      </w:r>
      <w:r>
        <w:t> »</w:t>
      </w:r>
      <w:r w:rsidR="000A7AAB">
        <w:t>.</w:t>
      </w:r>
      <w:r w:rsidR="000A7AAB" w:rsidRPr="002C4077">
        <w:t xml:space="preserve"> </w:t>
      </w:r>
    </w:p>
    <w:p w:rsidR="000A7AAB" w:rsidRDefault="000A7AAB" w:rsidP="000A7AAB">
      <w:r>
        <w:t>Quelle</w:t>
      </w:r>
      <w:r w:rsidRPr="002C4077">
        <w:t xml:space="preserve"> </w:t>
      </w:r>
      <w:r>
        <w:t>délicatesse</w:t>
      </w:r>
      <w:r w:rsidRPr="002C4077">
        <w:t xml:space="preserve"> </w:t>
      </w:r>
      <w:r>
        <w:t>de</w:t>
      </w:r>
      <w:r w:rsidRPr="002C4077">
        <w:t xml:space="preserve"> </w:t>
      </w:r>
      <w:r>
        <w:t>sentiment</w:t>
      </w:r>
      <w:r w:rsidR="00B546AF">
        <w:t> !</w:t>
      </w:r>
      <w:r w:rsidRPr="002C4077">
        <w:t xml:space="preserve"> </w:t>
      </w:r>
    </w:p>
    <w:p w:rsidR="000A7AAB" w:rsidRDefault="00B546AF" w:rsidP="000A7AAB">
      <w:r>
        <w:t>« </w:t>
      </w:r>
      <w:r w:rsidR="000A7AAB">
        <w:t>Il</w:t>
      </w:r>
      <w:r w:rsidR="000A7AAB" w:rsidRPr="002C4077">
        <w:t xml:space="preserve"> </w:t>
      </w:r>
      <w:r w:rsidR="00425C50">
        <w:t>est</w:t>
      </w:r>
      <w:r w:rsidR="000A7AAB" w:rsidRPr="002C4077">
        <w:t xml:space="preserve"> </w:t>
      </w:r>
      <w:r w:rsidR="000A7AAB">
        <w:t>clair</w:t>
      </w:r>
      <w:r w:rsidR="000A7AAB" w:rsidRPr="002C4077">
        <w:t xml:space="preserve"> </w:t>
      </w:r>
      <w:r w:rsidR="000A7AAB">
        <w:t>que</w:t>
      </w:r>
      <w:r w:rsidR="000A7AAB" w:rsidRPr="002C4077">
        <w:t xml:space="preserve"> </w:t>
      </w:r>
      <w:r w:rsidR="000A7AAB">
        <w:t>nous</w:t>
      </w:r>
      <w:r w:rsidR="000A7AAB" w:rsidRPr="002C4077">
        <w:t xml:space="preserve"> </w:t>
      </w:r>
      <w:r w:rsidR="000A7AAB">
        <w:t>sommes</w:t>
      </w:r>
      <w:r w:rsidR="000A7AAB" w:rsidRPr="002C4077">
        <w:t xml:space="preserve"> </w:t>
      </w:r>
      <w:r w:rsidR="000A7AAB">
        <w:t>encore</w:t>
      </w:r>
      <w:r w:rsidR="000A7AAB" w:rsidRPr="002C4077">
        <w:t xml:space="preserve"> </w:t>
      </w:r>
      <w:r w:rsidR="000A7AAB">
        <w:t>là</w:t>
      </w:r>
      <w:r w:rsidR="000A7AAB" w:rsidRPr="002C4077">
        <w:t xml:space="preserve"> </w:t>
      </w:r>
      <w:r w:rsidR="000A7AAB">
        <w:t>en</w:t>
      </w:r>
      <w:r w:rsidR="000A7AAB" w:rsidRPr="002C4077">
        <w:t xml:space="preserve"> </w:t>
      </w:r>
      <w:r w:rsidR="000A7AAB">
        <w:t>pleine</w:t>
      </w:r>
      <w:r w:rsidR="000A7AAB" w:rsidRPr="002C4077">
        <w:t xml:space="preserve"> </w:t>
      </w:r>
      <w:r w:rsidR="000A7AAB">
        <w:t>légende…</w:t>
      </w:r>
      <w:r w:rsidR="000A7AAB" w:rsidRPr="002C4077">
        <w:t xml:space="preserve"> </w:t>
      </w:r>
      <w:r w:rsidR="000A7AAB">
        <w:t>Revenons</w:t>
      </w:r>
      <w:r w:rsidR="000A7AAB" w:rsidRPr="002C4077">
        <w:t xml:space="preserve"> </w:t>
      </w:r>
      <w:r w:rsidR="000A7AAB">
        <w:t>à</w:t>
      </w:r>
      <w:r w:rsidR="000A7AAB" w:rsidRPr="002C4077">
        <w:t xml:space="preserve"> </w:t>
      </w:r>
      <w:r w:rsidR="000A7AAB">
        <w:t>la</w:t>
      </w:r>
      <w:r w:rsidR="000A7AAB" w:rsidRPr="002C4077">
        <w:t xml:space="preserve"> </w:t>
      </w:r>
      <w:r w:rsidR="000A7AAB">
        <w:t>réalité</w:t>
      </w:r>
      <w:r w:rsidR="000A7AAB" w:rsidRPr="002C4077">
        <w:t xml:space="preserve"> </w:t>
      </w:r>
      <w:r w:rsidR="000A7AAB">
        <w:t>et</w:t>
      </w:r>
      <w:r w:rsidR="000A7AAB" w:rsidRPr="002C4077">
        <w:t xml:space="preserve"> </w:t>
      </w:r>
      <w:r w:rsidR="000A7AAB">
        <w:t>à</w:t>
      </w:r>
      <w:r w:rsidR="000A7AAB" w:rsidRPr="002C4077">
        <w:t xml:space="preserve"> </w:t>
      </w:r>
      <w:r w:rsidR="000A7AAB">
        <w:t>l’histoire</w:t>
      </w:r>
      <w:r w:rsidR="00B91AF7">
        <w:rPr>
          <w:rStyle w:val="Appelnotedebasdep"/>
        </w:rPr>
        <w:footnoteReference w:id="425"/>
      </w:r>
      <w:r>
        <w:t> »</w:t>
      </w:r>
      <w:r w:rsidR="000A7AAB">
        <w:t>.</w:t>
      </w:r>
      <w:r w:rsidR="000A7AAB" w:rsidRPr="002C4077">
        <w:t xml:space="preserve"> </w:t>
      </w:r>
    </w:p>
    <w:p w:rsidR="000A7AAB" w:rsidRDefault="00B546AF" w:rsidP="000A7AAB">
      <w:r>
        <w:t>« </w:t>
      </w:r>
      <w:r w:rsidR="000A7AAB">
        <w:t>Ainsi</w:t>
      </w:r>
      <w:r w:rsidR="000A7AAB" w:rsidRPr="002C4077">
        <w:t xml:space="preserve"> </w:t>
      </w:r>
      <w:r w:rsidR="000A7AAB">
        <w:t>se</w:t>
      </w:r>
      <w:r w:rsidR="000A7AAB" w:rsidRPr="002C4077">
        <w:t xml:space="preserve"> </w:t>
      </w:r>
      <w:r w:rsidR="000A7AAB">
        <w:t>trouve</w:t>
      </w:r>
      <w:r w:rsidR="000A7AAB" w:rsidRPr="002C4077">
        <w:t xml:space="preserve"> </w:t>
      </w:r>
      <w:r w:rsidR="000A7AAB">
        <w:t>résolue</w:t>
      </w:r>
      <w:r w:rsidR="000A7AAB" w:rsidRPr="002C4077">
        <w:t xml:space="preserve"> </w:t>
      </w:r>
      <w:r w:rsidR="000A7AAB">
        <w:t>une</w:t>
      </w:r>
      <w:r w:rsidR="000A7AAB" w:rsidRPr="002C4077">
        <w:t xml:space="preserve"> </w:t>
      </w:r>
      <w:r w:rsidR="000A7AAB">
        <w:t>difficulté</w:t>
      </w:r>
      <w:r w:rsidR="000A7AAB" w:rsidRPr="002C4077">
        <w:t xml:space="preserve"> </w:t>
      </w:r>
      <w:r w:rsidR="000A7AAB">
        <w:t>qui,</w:t>
      </w:r>
      <w:r w:rsidR="000A7AAB" w:rsidRPr="002C4077">
        <w:t xml:space="preserve"> </w:t>
      </w:r>
      <w:r w:rsidR="000A7AAB">
        <w:t>de</w:t>
      </w:r>
      <w:r w:rsidR="000A7AAB" w:rsidRPr="002C4077">
        <w:t xml:space="preserve"> </w:t>
      </w:r>
      <w:r w:rsidR="000A7AAB">
        <w:t>tout</w:t>
      </w:r>
      <w:r w:rsidR="000A7AAB" w:rsidRPr="002C4077">
        <w:t xml:space="preserve"> </w:t>
      </w:r>
      <w:r w:rsidR="000A7AAB">
        <w:t>temps,</w:t>
      </w:r>
      <w:r w:rsidR="000A7AAB" w:rsidRPr="002C4077">
        <w:t xml:space="preserve"> </w:t>
      </w:r>
      <w:r w:rsidR="000A7AAB">
        <w:t>a</w:t>
      </w:r>
      <w:r w:rsidR="000A7AAB" w:rsidRPr="002C4077">
        <w:t xml:space="preserve"> </w:t>
      </w:r>
      <w:r w:rsidR="000A7AAB">
        <w:t>embarrassé</w:t>
      </w:r>
      <w:r w:rsidR="000A7AAB" w:rsidRPr="002C4077">
        <w:t xml:space="preserve"> </w:t>
      </w:r>
      <w:r w:rsidR="000A7AAB">
        <w:t>ceux</w:t>
      </w:r>
      <w:r w:rsidR="000A7AAB" w:rsidRPr="002C4077">
        <w:t xml:space="preserve"> </w:t>
      </w:r>
      <w:r w:rsidR="000A7AAB">
        <w:t>qui</w:t>
      </w:r>
      <w:r w:rsidR="000A7AAB" w:rsidRPr="002C4077">
        <w:t xml:space="preserve"> </w:t>
      </w:r>
      <w:r w:rsidR="000A7AAB">
        <w:t>lisaient</w:t>
      </w:r>
      <w:r w:rsidR="000A7AAB" w:rsidRPr="002C4077">
        <w:t xml:space="preserve"> </w:t>
      </w:r>
      <w:r w:rsidR="000A7AAB">
        <w:t>les</w:t>
      </w:r>
      <w:r w:rsidR="000A7AAB" w:rsidRPr="002C4077">
        <w:t xml:space="preserve"> </w:t>
      </w:r>
      <w:r w:rsidR="000A7AAB">
        <w:t>évangiles</w:t>
      </w:r>
      <w:r w:rsidR="00B91AF7">
        <w:rPr>
          <w:rStyle w:val="Appelnotedebasdep"/>
        </w:rPr>
        <w:footnoteReference w:id="426"/>
      </w:r>
      <w:r>
        <w:t> »</w:t>
      </w:r>
      <w:r w:rsidR="000A7AAB">
        <w:t>.</w:t>
      </w:r>
      <w:r w:rsidR="000A7AAB" w:rsidRPr="002C4077">
        <w:t xml:space="preserve"> </w:t>
      </w:r>
    </w:p>
    <w:p w:rsidR="000A7AAB" w:rsidRDefault="000A7AAB" w:rsidP="000A7AAB">
      <w:r w:rsidRPr="000A34B5">
        <w:rPr>
          <w:rStyle w:val="italicus"/>
        </w:rPr>
        <w:t>Ainsi,</w:t>
      </w:r>
      <w:r w:rsidRPr="002C4077">
        <w:t xml:space="preserve"> </w:t>
      </w:r>
      <w:r>
        <w:t>c’est-à-dire,</w:t>
      </w:r>
      <w:r w:rsidRPr="002C4077">
        <w:t xml:space="preserve"> </w:t>
      </w:r>
      <w:r>
        <w:t>grâce</w:t>
      </w:r>
      <w:r w:rsidRPr="002C4077">
        <w:t xml:space="preserve"> </w:t>
      </w:r>
      <w:r>
        <w:t>à</w:t>
      </w:r>
      <w:r w:rsidRPr="002C4077">
        <w:t xml:space="preserve"> </w:t>
      </w:r>
      <w:r>
        <w:t>un</w:t>
      </w:r>
      <w:r w:rsidRPr="002C4077">
        <w:t xml:space="preserve"> </w:t>
      </w:r>
      <w:r>
        <w:t>commentaire</w:t>
      </w:r>
      <w:r w:rsidRPr="002C4077">
        <w:t xml:space="preserve"> </w:t>
      </w:r>
      <w:r>
        <w:t>embrouillé</w:t>
      </w:r>
      <w:r w:rsidRPr="002C4077">
        <w:t xml:space="preserve"> </w:t>
      </w:r>
      <w:r>
        <w:t>de</w:t>
      </w:r>
      <w:r w:rsidRPr="002C4077">
        <w:t xml:space="preserve"> </w:t>
      </w:r>
      <w:r>
        <w:t>M.</w:t>
      </w:r>
      <w:r w:rsidRPr="002C4077">
        <w:t xml:space="preserve"> </w:t>
      </w:r>
      <w:r>
        <w:t>Havet,</w:t>
      </w:r>
      <w:r w:rsidRPr="002C4077">
        <w:t xml:space="preserve"> </w:t>
      </w:r>
      <w:r>
        <w:t>qui</w:t>
      </w:r>
      <w:r w:rsidRPr="002C4077">
        <w:t xml:space="preserve"> </w:t>
      </w:r>
      <w:r>
        <w:t>n’apporte</w:t>
      </w:r>
      <w:r w:rsidRPr="002C4077">
        <w:t xml:space="preserve"> </w:t>
      </w:r>
      <w:r>
        <w:t>absolument</w:t>
      </w:r>
      <w:r w:rsidRPr="002C4077">
        <w:t xml:space="preserve"> </w:t>
      </w:r>
      <w:r>
        <w:t>aucun</w:t>
      </w:r>
      <w:r w:rsidRPr="002C4077">
        <w:t xml:space="preserve"> </w:t>
      </w:r>
      <w:r>
        <w:t>élément</w:t>
      </w:r>
      <w:r w:rsidRPr="002C4077">
        <w:t xml:space="preserve"> </w:t>
      </w:r>
      <w:r>
        <w:t>nouveau</w:t>
      </w:r>
      <w:r w:rsidRPr="002C4077">
        <w:t xml:space="preserve"> </w:t>
      </w:r>
      <w:r>
        <w:t>à</w:t>
      </w:r>
      <w:r w:rsidRPr="002C4077">
        <w:t xml:space="preserve"> </w:t>
      </w:r>
      <w:r>
        <w:t>l’interprétation.</w:t>
      </w:r>
      <w:r w:rsidRPr="002C4077">
        <w:t xml:space="preserve"> </w:t>
      </w:r>
    </w:p>
    <w:p w:rsidR="000A7AAB" w:rsidRDefault="00B546AF" w:rsidP="000A7AAB">
      <w:r>
        <w:t>« </w:t>
      </w:r>
      <w:r w:rsidR="000A7AAB">
        <w:t>En</w:t>
      </w:r>
      <w:r w:rsidR="000A7AAB" w:rsidRPr="002C4077">
        <w:t xml:space="preserve"> </w:t>
      </w:r>
      <w:r w:rsidR="000A7AAB">
        <w:t>citant</w:t>
      </w:r>
      <w:r w:rsidR="000A7AAB" w:rsidRPr="002C4077">
        <w:t xml:space="preserve"> </w:t>
      </w:r>
      <w:r w:rsidR="000A7AAB">
        <w:t>le</w:t>
      </w:r>
      <w:r w:rsidR="000A7AAB" w:rsidRPr="002C4077">
        <w:t xml:space="preserve"> </w:t>
      </w:r>
      <w:r w:rsidR="000A7AAB">
        <w:t>quatrième</w:t>
      </w:r>
      <w:r w:rsidR="000A7AAB" w:rsidRPr="002C4077">
        <w:t xml:space="preserve"> </w:t>
      </w:r>
      <w:r w:rsidR="000A7AAB">
        <w:t>évangile,</w:t>
      </w:r>
      <w:r w:rsidR="000A7AAB" w:rsidRPr="002C4077">
        <w:t xml:space="preserve"> </w:t>
      </w:r>
      <w:r w:rsidR="000A7AAB">
        <w:t>je</w:t>
      </w:r>
      <w:r w:rsidR="000A7AAB" w:rsidRPr="002C4077">
        <w:t xml:space="preserve"> </w:t>
      </w:r>
      <w:r w:rsidR="000A7AAB">
        <w:t>ne</w:t>
      </w:r>
      <w:r w:rsidR="000A7AAB" w:rsidRPr="002C4077">
        <w:t xml:space="preserve"> </w:t>
      </w:r>
      <w:r w:rsidR="000A7AAB">
        <w:t>prétends</w:t>
      </w:r>
      <w:r w:rsidR="000A7AAB" w:rsidRPr="002C4077">
        <w:t xml:space="preserve"> </w:t>
      </w:r>
      <w:r w:rsidR="000A7AAB">
        <w:t>pas</w:t>
      </w:r>
      <w:r w:rsidR="000A7AAB" w:rsidRPr="002C4077">
        <w:t xml:space="preserve"> </w:t>
      </w:r>
      <w:r w:rsidR="000A7AAB">
        <w:t>qu’il</w:t>
      </w:r>
      <w:r w:rsidR="000A7AAB" w:rsidRPr="002C4077">
        <w:t xml:space="preserve"> </w:t>
      </w:r>
      <w:r w:rsidR="000A7AAB">
        <w:t>soit</w:t>
      </w:r>
      <w:r w:rsidR="000A7AAB" w:rsidRPr="002C4077">
        <w:t xml:space="preserve"> </w:t>
      </w:r>
      <w:r w:rsidR="000A7AAB">
        <w:t>par</w:t>
      </w:r>
      <w:r w:rsidR="000A7AAB" w:rsidRPr="002C4077">
        <w:t xml:space="preserve"> </w:t>
      </w:r>
      <w:r w:rsidR="000A7AAB">
        <w:t>lui-même</w:t>
      </w:r>
      <w:r w:rsidR="000A7AAB" w:rsidRPr="002C4077">
        <w:t xml:space="preserve"> </w:t>
      </w:r>
      <w:r w:rsidR="000A7AAB">
        <w:t>un</w:t>
      </w:r>
      <w:r w:rsidR="000A7AAB" w:rsidRPr="002C4077">
        <w:t xml:space="preserve"> </w:t>
      </w:r>
      <w:r w:rsidR="000A7AAB">
        <w:t>meilleur</w:t>
      </w:r>
      <w:r w:rsidR="000A7AAB" w:rsidRPr="002C4077">
        <w:t xml:space="preserve"> </w:t>
      </w:r>
      <w:r w:rsidR="000A7AAB">
        <w:t>témoin</w:t>
      </w:r>
      <w:r w:rsidR="000A7AAB" w:rsidRPr="002C4077">
        <w:t xml:space="preserve"> </w:t>
      </w:r>
      <w:r w:rsidR="000A7AAB">
        <w:t>que</w:t>
      </w:r>
      <w:r w:rsidR="000A7AAB" w:rsidRPr="002C4077">
        <w:t xml:space="preserve"> </w:t>
      </w:r>
      <w:r w:rsidR="000A7AAB">
        <w:t>les</w:t>
      </w:r>
      <w:r w:rsidR="000A7AAB" w:rsidRPr="002C4077">
        <w:t xml:space="preserve"> </w:t>
      </w:r>
      <w:r w:rsidR="000A7AAB">
        <w:t>trois</w:t>
      </w:r>
      <w:r w:rsidR="000A7AAB" w:rsidRPr="002C4077">
        <w:t xml:space="preserve"> </w:t>
      </w:r>
      <w:r w:rsidR="000A7AAB">
        <w:t>premiers</w:t>
      </w:r>
      <w:r>
        <w:t> ;</w:t>
      </w:r>
      <w:r w:rsidR="000A7AAB" w:rsidRPr="002C4077">
        <w:t xml:space="preserve"> </w:t>
      </w:r>
      <w:r w:rsidR="000A7AAB">
        <w:t>bien</w:t>
      </w:r>
      <w:r w:rsidR="000A7AAB" w:rsidRPr="002C4077">
        <w:t xml:space="preserve"> </w:t>
      </w:r>
      <w:r w:rsidR="000A7AAB">
        <w:t>au</w:t>
      </w:r>
      <w:r w:rsidR="000A7AAB" w:rsidRPr="002C4077">
        <w:t xml:space="preserve"> </w:t>
      </w:r>
      <w:r w:rsidR="000A7AAB">
        <w:t>contraire,</w:t>
      </w:r>
      <w:r w:rsidR="000A7AAB" w:rsidRPr="002C4077">
        <w:t xml:space="preserve"> </w:t>
      </w:r>
      <w:r w:rsidR="000A7AAB">
        <w:t>c’est</w:t>
      </w:r>
      <w:r w:rsidR="000A7AAB" w:rsidRPr="002C4077">
        <w:t xml:space="preserve"> </w:t>
      </w:r>
      <w:r w:rsidR="000A7AAB">
        <w:t>un</w:t>
      </w:r>
      <w:r w:rsidR="000A7AAB" w:rsidRPr="002C4077">
        <w:t xml:space="preserve"> </w:t>
      </w:r>
      <w:r w:rsidR="000A7AAB">
        <w:t>livre</w:t>
      </w:r>
      <w:r w:rsidR="000A7AAB" w:rsidRPr="002C4077">
        <w:t xml:space="preserve"> </w:t>
      </w:r>
      <w:r w:rsidR="000A7AAB">
        <w:t>beaucoup</w:t>
      </w:r>
      <w:r w:rsidR="000A7AAB" w:rsidRPr="002C4077">
        <w:t xml:space="preserve"> </w:t>
      </w:r>
      <w:r w:rsidR="000A7AAB">
        <w:t>plus</w:t>
      </w:r>
      <w:r w:rsidR="000A7AAB" w:rsidRPr="002C4077">
        <w:t xml:space="preserve"> </w:t>
      </w:r>
      <w:r w:rsidR="000A7AAB">
        <w:t>récent</w:t>
      </w:r>
      <w:r w:rsidR="000A7AAB" w:rsidRPr="002C4077">
        <w:t xml:space="preserve"> </w:t>
      </w:r>
      <w:r w:rsidR="000A7AAB">
        <w:t>que</w:t>
      </w:r>
      <w:r w:rsidR="000A7AAB" w:rsidRPr="002C4077">
        <w:t xml:space="preserve"> </w:t>
      </w:r>
      <w:r w:rsidR="000A7AAB">
        <w:t>les</w:t>
      </w:r>
      <w:r w:rsidR="000A7AAB" w:rsidRPr="002C4077">
        <w:t xml:space="preserve"> </w:t>
      </w:r>
      <w:r w:rsidR="000A7AAB">
        <w:t>autres,</w:t>
      </w:r>
      <w:r w:rsidR="000A7AAB" w:rsidRPr="002C4077">
        <w:t xml:space="preserve"> </w:t>
      </w:r>
      <w:r w:rsidR="000A7AAB">
        <w:t>et</w:t>
      </w:r>
      <w:r w:rsidR="000A7AAB" w:rsidRPr="002C4077">
        <w:t xml:space="preserve"> </w:t>
      </w:r>
      <w:r w:rsidR="000A7AAB">
        <w:t>qui</w:t>
      </w:r>
      <w:r w:rsidR="000A7AAB" w:rsidRPr="002C4077">
        <w:t xml:space="preserve"> </w:t>
      </w:r>
      <w:r w:rsidR="000A7AAB">
        <w:t>n’a</w:t>
      </w:r>
      <w:r w:rsidR="000A7AAB" w:rsidRPr="002C4077">
        <w:t xml:space="preserve"> </w:t>
      </w:r>
      <w:r w:rsidR="000A7AAB">
        <w:t>pas</w:t>
      </w:r>
      <w:r w:rsidR="000A7AAB" w:rsidRPr="002C4077">
        <w:t xml:space="preserve"> </w:t>
      </w:r>
      <w:r w:rsidR="000A7AAB">
        <w:t>d’autorité</w:t>
      </w:r>
      <w:r w:rsidR="000A7AAB" w:rsidRPr="002C4077">
        <w:t xml:space="preserve"> </w:t>
      </w:r>
      <w:r w:rsidR="000A7AAB">
        <w:t>historique.</w:t>
      </w:r>
      <w:r w:rsidR="000A7AAB" w:rsidRPr="002C4077">
        <w:t xml:space="preserve"> </w:t>
      </w:r>
      <w:r w:rsidR="000A7AAB">
        <w:t>Mais</w:t>
      </w:r>
      <w:r w:rsidR="000A7AAB" w:rsidRPr="002C4077">
        <w:t xml:space="preserve"> </w:t>
      </w:r>
      <w:r w:rsidR="000A7AAB">
        <w:t>l’auteur,</w:t>
      </w:r>
      <w:r w:rsidR="000A7AAB" w:rsidRPr="002C4077">
        <w:t xml:space="preserve"> </w:t>
      </w:r>
      <w:r w:rsidR="000A7AAB">
        <w:t>moins</w:t>
      </w:r>
      <w:r w:rsidR="000A7AAB" w:rsidRPr="002C4077">
        <w:t xml:space="preserve"> </w:t>
      </w:r>
      <w:r w:rsidR="000A7AAB">
        <w:t>naïf</w:t>
      </w:r>
      <w:r w:rsidR="000A7AAB" w:rsidRPr="002C4077">
        <w:t xml:space="preserve"> </w:t>
      </w:r>
      <w:r w:rsidR="000A7AAB">
        <w:t>apparemment</w:t>
      </w:r>
      <w:r w:rsidR="000A7AAB" w:rsidRPr="002C4077">
        <w:t xml:space="preserve"> </w:t>
      </w:r>
      <w:r w:rsidR="000A7AAB">
        <w:t>que</w:t>
      </w:r>
      <w:r w:rsidR="000A7AAB" w:rsidRPr="002C4077">
        <w:t xml:space="preserve"> </w:t>
      </w:r>
      <w:r w:rsidR="000A7AAB">
        <w:t>les</w:t>
      </w:r>
      <w:r w:rsidR="000A7AAB" w:rsidRPr="002C4077">
        <w:t xml:space="preserve"> </w:t>
      </w:r>
      <w:r w:rsidR="000A7AAB">
        <w:t>anciens</w:t>
      </w:r>
      <w:r w:rsidR="000A7AAB" w:rsidRPr="002C4077">
        <w:t xml:space="preserve"> </w:t>
      </w:r>
      <w:r w:rsidR="000A7AAB">
        <w:t>évangélistes,</w:t>
      </w:r>
      <w:r w:rsidR="000A7AAB" w:rsidRPr="002C4077">
        <w:t xml:space="preserve"> </w:t>
      </w:r>
      <w:r w:rsidR="000A7AAB">
        <w:t>a</w:t>
      </w:r>
      <w:r w:rsidR="000A7AAB" w:rsidRPr="002C4077">
        <w:t xml:space="preserve"> </w:t>
      </w:r>
      <w:r w:rsidR="000A7AAB">
        <w:t>présenté</w:t>
      </w:r>
      <w:r w:rsidR="000A7AAB" w:rsidRPr="002C4077">
        <w:t xml:space="preserve"> </w:t>
      </w:r>
      <w:r w:rsidR="000A7AAB">
        <w:t>les</w:t>
      </w:r>
      <w:r w:rsidR="000A7AAB" w:rsidRPr="002C4077">
        <w:t xml:space="preserve"> </w:t>
      </w:r>
      <w:r w:rsidR="000A7AAB">
        <w:t>choses</w:t>
      </w:r>
      <w:r w:rsidR="000A7AAB" w:rsidRPr="002C4077">
        <w:t xml:space="preserve"> </w:t>
      </w:r>
      <w:r w:rsidR="000A7AAB">
        <w:t>d’une</w:t>
      </w:r>
      <w:r w:rsidR="000A7AAB" w:rsidRPr="002C4077">
        <w:t xml:space="preserve"> </w:t>
      </w:r>
      <w:r w:rsidR="000A7AAB">
        <w:t>manière</w:t>
      </w:r>
      <w:r w:rsidR="000A7AAB" w:rsidRPr="002C4077">
        <w:t xml:space="preserve"> </w:t>
      </w:r>
      <w:r w:rsidR="000A7AAB">
        <w:t>plus</w:t>
      </w:r>
      <w:r w:rsidR="000A7AAB" w:rsidRPr="002C4077">
        <w:t xml:space="preserve"> </w:t>
      </w:r>
      <w:r w:rsidR="000A7AAB">
        <w:t>raisonnable,</w:t>
      </w:r>
      <w:r w:rsidR="000A7AAB" w:rsidRPr="002C4077">
        <w:t xml:space="preserve"> </w:t>
      </w:r>
      <w:r w:rsidR="000A7AAB">
        <w:t>sinon</w:t>
      </w:r>
      <w:r w:rsidR="000A7AAB" w:rsidRPr="002C4077">
        <w:t xml:space="preserve"> </w:t>
      </w:r>
      <w:r w:rsidR="000A7AAB">
        <w:t>plus</w:t>
      </w:r>
      <w:r w:rsidR="000A7AAB" w:rsidRPr="002C4077">
        <w:t xml:space="preserve"> </w:t>
      </w:r>
      <w:r w:rsidR="000A7AAB">
        <w:t>exacte</w:t>
      </w:r>
      <w:r w:rsidR="00B91AF7">
        <w:rPr>
          <w:rStyle w:val="Appelnotedebasdep"/>
        </w:rPr>
        <w:footnoteReference w:id="427"/>
      </w:r>
      <w:r>
        <w:t> »</w:t>
      </w:r>
      <w:r w:rsidR="000A7AAB">
        <w:t>.</w:t>
      </w:r>
      <w:r w:rsidR="000A7AAB" w:rsidRPr="002C4077">
        <w:t xml:space="preserve"> </w:t>
      </w:r>
    </w:p>
    <w:p w:rsidR="000A7AAB" w:rsidRPr="004C5B7A" w:rsidRDefault="000A7AAB" w:rsidP="000A7AAB">
      <w:r>
        <w:t>Nous</w:t>
      </w:r>
      <w:r w:rsidRPr="002C4077">
        <w:t xml:space="preserve"> </w:t>
      </w:r>
      <w:r>
        <w:t>nous</w:t>
      </w:r>
      <w:r w:rsidRPr="002C4077">
        <w:t xml:space="preserve"> </w:t>
      </w:r>
      <w:r>
        <w:t>permettons</w:t>
      </w:r>
      <w:r w:rsidRPr="002C4077">
        <w:t xml:space="preserve"> </w:t>
      </w:r>
      <w:r>
        <w:t>de</w:t>
      </w:r>
      <w:r w:rsidRPr="002C4077">
        <w:t xml:space="preserve"> </w:t>
      </w:r>
      <w:r>
        <w:t>renvoyer</w:t>
      </w:r>
      <w:r w:rsidRPr="002C4077">
        <w:t xml:space="preserve"> </w:t>
      </w:r>
      <w:r>
        <w:t>M.</w:t>
      </w:r>
      <w:r w:rsidRPr="002C4077">
        <w:t xml:space="preserve"> </w:t>
      </w:r>
      <w:r>
        <w:t>Havet</w:t>
      </w:r>
      <w:r w:rsidRPr="002C4077">
        <w:t xml:space="preserve"> </w:t>
      </w:r>
      <w:r>
        <w:t>au</w:t>
      </w:r>
      <w:r w:rsidRPr="002C4077">
        <w:t xml:space="preserve"> </w:t>
      </w:r>
      <w:r>
        <w:t>récent</w:t>
      </w:r>
      <w:r w:rsidRPr="002C4077">
        <w:t xml:space="preserve"> </w:t>
      </w:r>
      <w:r>
        <w:t>ouvrage</w:t>
      </w:r>
      <w:r w:rsidRPr="002C4077">
        <w:t xml:space="preserve"> </w:t>
      </w:r>
      <w:r>
        <w:t>du</w:t>
      </w:r>
      <w:r w:rsidRPr="002C4077">
        <w:t xml:space="preserve"> </w:t>
      </w:r>
      <w:r>
        <w:t>révérend</w:t>
      </w:r>
      <w:r w:rsidRPr="002C4077">
        <w:t xml:space="preserve"> </w:t>
      </w:r>
      <w:r>
        <w:t>Westcott</w:t>
      </w:r>
      <w:r w:rsidRPr="002C4077">
        <w:t xml:space="preserve"> </w:t>
      </w:r>
      <w:r>
        <w:t>sur</w:t>
      </w:r>
      <w:r w:rsidRPr="002C4077">
        <w:t xml:space="preserve"> </w:t>
      </w:r>
      <w:r>
        <w:t>le</w:t>
      </w:r>
      <w:r w:rsidRPr="002C4077">
        <w:t xml:space="preserve"> </w:t>
      </w:r>
      <w:r>
        <w:t>quatrième</w:t>
      </w:r>
      <w:r w:rsidRPr="002C4077">
        <w:t xml:space="preserve"> </w:t>
      </w:r>
      <w:r>
        <w:t>évangile</w:t>
      </w:r>
      <w:r w:rsidR="00B91AF7">
        <w:rPr>
          <w:rStyle w:val="Appelnotedebasdep"/>
        </w:rPr>
        <w:footnoteReference w:id="428"/>
      </w:r>
      <w:r>
        <w:t>.</w:t>
      </w:r>
      <w:r w:rsidRPr="002C4077">
        <w:t xml:space="preserve"> </w:t>
      </w:r>
      <w:r>
        <w:t>Il</w:t>
      </w:r>
      <w:r w:rsidRPr="002C4077">
        <w:t xml:space="preserve"> </w:t>
      </w:r>
      <w:r>
        <w:t>y</w:t>
      </w:r>
      <w:r w:rsidRPr="002C4077">
        <w:t xml:space="preserve"> </w:t>
      </w:r>
      <w:r>
        <w:t>verra</w:t>
      </w:r>
      <w:r w:rsidRPr="002C4077">
        <w:t xml:space="preserve"> </w:t>
      </w:r>
      <w:r>
        <w:t>si</w:t>
      </w:r>
      <w:r w:rsidRPr="002C4077">
        <w:t xml:space="preserve"> </w:t>
      </w:r>
      <w:r>
        <w:t>l’œuvre</w:t>
      </w:r>
      <w:r w:rsidRPr="002C4077">
        <w:t xml:space="preserve"> </w:t>
      </w:r>
      <w:r>
        <w:t>de</w:t>
      </w:r>
      <w:r w:rsidRPr="002C4077">
        <w:t xml:space="preserve"> </w:t>
      </w:r>
      <w:r>
        <w:t>saint</w:t>
      </w:r>
      <w:r w:rsidRPr="002C4077">
        <w:t xml:space="preserve"> </w:t>
      </w:r>
      <w:r>
        <w:t>Jean</w:t>
      </w:r>
      <w:r w:rsidRPr="002C4077">
        <w:t xml:space="preserve"> </w:t>
      </w:r>
      <w:r w:rsidR="00425C50">
        <w:t>est</w:t>
      </w:r>
      <w:r w:rsidRPr="002C4077">
        <w:t xml:space="preserve"> </w:t>
      </w:r>
      <w:r>
        <w:t>dépourvue</w:t>
      </w:r>
      <w:r w:rsidRPr="002C4077">
        <w:t xml:space="preserve"> </w:t>
      </w:r>
      <w:r>
        <w:t>de</w:t>
      </w:r>
      <w:r w:rsidRPr="002C4077">
        <w:t xml:space="preserve"> </w:t>
      </w:r>
      <w:r>
        <w:t>toute</w:t>
      </w:r>
      <w:r w:rsidRPr="002C4077">
        <w:t xml:space="preserve"> </w:t>
      </w:r>
      <w:r>
        <w:t>autorité</w:t>
      </w:r>
      <w:r w:rsidRPr="002C4077">
        <w:t xml:space="preserve"> </w:t>
      </w:r>
      <w:r>
        <w:t>historique.</w:t>
      </w:r>
      <w:r w:rsidR="00C45B47">
        <w:t xml:space="preserve"> {</w:t>
      </w:r>
      <w:r w:rsidR="004C5B7A">
        <w:t>136</w:t>
      </w:r>
      <w:bookmarkStart w:id="376" w:name="p136"/>
      <w:bookmarkEnd w:id="376"/>
      <w:r w:rsidR="004C5B7A">
        <w:t xml:space="preserve">} </w:t>
      </w:r>
    </w:p>
    <w:p w:rsidR="000A7AAB" w:rsidRDefault="000A7AAB" w:rsidP="000A7AAB">
      <w:r>
        <w:t>Nous</w:t>
      </w:r>
      <w:r w:rsidRPr="002C4077">
        <w:t xml:space="preserve"> </w:t>
      </w:r>
      <w:r>
        <w:t>demandons</w:t>
      </w:r>
      <w:r w:rsidRPr="002C4077">
        <w:t xml:space="preserve"> </w:t>
      </w:r>
      <w:r>
        <w:t>grâce</w:t>
      </w:r>
      <w:r w:rsidRPr="002C4077">
        <w:t xml:space="preserve"> </w:t>
      </w:r>
      <w:r>
        <w:t>au</w:t>
      </w:r>
      <w:r w:rsidRPr="002C4077">
        <w:t xml:space="preserve"> </w:t>
      </w:r>
      <w:r>
        <w:t>lecteur</w:t>
      </w:r>
      <w:r w:rsidRPr="002C4077">
        <w:t xml:space="preserve"> </w:t>
      </w:r>
      <w:r>
        <w:t>pour</w:t>
      </w:r>
      <w:r w:rsidRPr="002C4077">
        <w:t xml:space="preserve"> </w:t>
      </w:r>
      <w:r>
        <w:t>la</w:t>
      </w:r>
      <w:r w:rsidRPr="002C4077">
        <w:t xml:space="preserve"> </w:t>
      </w:r>
      <w:r>
        <w:t>citation</w:t>
      </w:r>
      <w:r w:rsidRPr="002C4077">
        <w:t xml:space="preserve"> </w:t>
      </w:r>
      <w:r>
        <w:t>suivante,</w:t>
      </w:r>
      <w:r w:rsidRPr="002C4077">
        <w:t xml:space="preserve"> </w:t>
      </w:r>
      <w:r>
        <w:t>qui</w:t>
      </w:r>
      <w:r w:rsidRPr="002C4077">
        <w:t xml:space="preserve"> </w:t>
      </w:r>
      <w:r>
        <w:t>pourra</w:t>
      </w:r>
      <w:r w:rsidRPr="002C4077">
        <w:t xml:space="preserve"> </w:t>
      </w:r>
      <w:r>
        <w:t>lui</w:t>
      </w:r>
      <w:r w:rsidRPr="002C4077">
        <w:t xml:space="preserve"> </w:t>
      </w:r>
      <w:r>
        <w:t>paraître</w:t>
      </w:r>
      <w:r w:rsidRPr="002C4077">
        <w:t xml:space="preserve"> </w:t>
      </w:r>
      <w:r>
        <w:t>un</w:t>
      </w:r>
      <w:r w:rsidRPr="002C4077">
        <w:t xml:space="preserve"> </w:t>
      </w:r>
      <w:r>
        <w:t>peu</w:t>
      </w:r>
      <w:r w:rsidRPr="002C4077">
        <w:t xml:space="preserve"> </w:t>
      </w:r>
      <w:r>
        <w:t>longue</w:t>
      </w:r>
      <w:r w:rsidR="00B546AF">
        <w:t> ;</w:t>
      </w:r>
      <w:r w:rsidRPr="002C4077">
        <w:t xml:space="preserve"> </w:t>
      </w:r>
      <w:r>
        <w:t>mais</w:t>
      </w:r>
      <w:r w:rsidRPr="002C4077">
        <w:t xml:space="preserve"> </w:t>
      </w:r>
      <w:r>
        <w:t>elle</w:t>
      </w:r>
      <w:r w:rsidRPr="002C4077">
        <w:t xml:space="preserve"> </w:t>
      </w:r>
      <w:r>
        <w:t>lui</w:t>
      </w:r>
      <w:r w:rsidRPr="002C4077">
        <w:t xml:space="preserve"> </w:t>
      </w:r>
      <w:r>
        <w:t>donnera</w:t>
      </w:r>
      <w:r w:rsidRPr="002C4077">
        <w:t xml:space="preserve"> </w:t>
      </w:r>
      <w:r>
        <w:t>une</w:t>
      </w:r>
      <w:r w:rsidRPr="002C4077">
        <w:t xml:space="preserve"> </w:t>
      </w:r>
      <w:r>
        <w:t>idée</w:t>
      </w:r>
      <w:r w:rsidRPr="002C4077">
        <w:t xml:space="preserve"> </w:t>
      </w:r>
      <w:r>
        <w:t>tout</w:t>
      </w:r>
      <w:r w:rsidRPr="002C4077">
        <w:t xml:space="preserve"> </w:t>
      </w:r>
      <w:r>
        <w:t>à</w:t>
      </w:r>
      <w:r w:rsidRPr="002C4077">
        <w:t xml:space="preserve"> </w:t>
      </w:r>
      <w:r>
        <w:t>fait</w:t>
      </w:r>
      <w:r w:rsidRPr="002C4077">
        <w:t xml:space="preserve"> </w:t>
      </w:r>
      <w:r>
        <w:t>nette</w:t>
      </w:r>
      <w:r w:rsidRPr="002C4077">
        <w:t xml:space="preserve"> </w:t>
      </w:r>
      <w:r>
        <w:t>de</w:t>
      </w:r>
      <w:r w:rsidRPr="002C4077">
        <w:t xml:space="preserve"> </w:t>
      </w:r>
      <w:r>
        <w:t>l’esprit</w:t>
      </w:r>
      <w:r w:rsidRPr="002C4077">
        <w:t xml:space="preserve"> </w:t>
      </w:r>
      <w:r>
        <w:t>et</w:t>
      </w:r>
      <w:r w:rsidRPr="002C4077">
        <w:t xml:space="preserve"> </w:t>
      </w:r>
      <w:r>
        <w:t>du</w:t>
      </w:r>
      <w:r w:rsidRPr="002C4077">
        <w:t xml:space="preserve"> </w:t>
      </w:r>
      <w:r>
        <w:t>genre</w:t>
      </w:r>
      <w:r w:rsidRPr="002C4077">
        <w:t xml:space="preserve"> </w:t>
      </w:r>
      <w:r>
        <w:t>de</w:t>
      </w:r>
      <w:r w:rsidRPr="002C4077">
        <w:t xml:space="preserve"> </w:t>
      </w:r>
      <w:r>
        <w:t>M.</w:t>
      </w:r>
      <w:r w:rsidRPr="002C4077">
        <w:t xml:space="preserve"> </w:t>
      </w:r>
      <w:r>
        <w:t>Havet</w:t>
      </w:r>
      <w:r w:rsidRPr="002C4077">
        <w:t xml:space="preserve"> </w:t>
      </w:r>
      <w:r>
        <w:t>dans</w:t>
      </w:r>
      <w:r w:rsidRPr="002C4077">
        <w:t xml:space="preserve"> </w:t>
      </w:r>
      <w:r>
        <w:t>son</w:t>
      </w:r>
      <w:r w:rsidRPr="002C4077">
        <w:t xml:space="preserve"> </w:t>
      </w:r>
      <w:r>
        <w:t>présent</w:t>
      </w:r>
      <w:r w:rsidRPr="002C4077">
        <w:t xml:space="preserve"> </w:t>
      </w:r>
      <w:r>
        <w:t>travail.</w:t>
      </w:r>
      <w:r w:rsidRPr="002C4077">
        <w:t xml:space="preserve"> </w:t>
      </w:r>
    </w:p>
    <w:p w:rsidR="000A7AAB" w:rsidRDefault="00B546AF" w:rsidP="000A7AAB">
      <w:r>
        <w:t>« </w:t>
      </w:r>
      <w:r w:rsidR="000A7AAB">
        <w:t>Et</w:t>
      </w:r>
      <w:r w:rsidR="000A7AAB" w:rsidRPr="002C4077">
        <w:t xml:space="preserve"> </w:t>
      </w:r>
      <w:r w:rsidR="000A7AAB">
        <w:t>d’abord,</w:t>
      </w:r>
      <w:r w:rsidR="000A7AAB" w:rsidRPr="002C4077">
        <w:t xml:space="preserve"> </w:t>
      </w:r>
      <w:r w:rsidR="000A7AAB">
        <w:t>la</w:t>
      </w:r>
      <w:r w:rsidR="000A7AAB" w:rsidRPr="002C4077">
        <w:t xml:space="preserve"> </w:t>
      </w:r>
      <w:r w:rsidR="000A7AAB">
        <w:t>première</w:t>
      </w:r>
      <w:r w:rsidR="000A7AAB" w:rsidRPr="002C4077">
        <w:t xml:space="preserve"> </w:t>
      </w:r>
      <w:r w:rsidR="000A7AAB">
        <w:t>obligation</w:t>
      </w:r>
      <w:r w:rsidR="000A7AAB" w:rsidRPr="002C4077">
        <w:t xml:space="preserve"> </w:t>
      </w:r>
      <w:r w:rsidR="000A7AAB">
        <w:t>que</w:t>
      </w:r>
      <w:r w:rsidR="000A7AAB" w:rsidRPr="002C4077">
        <w:t xml:space="preserve"> </w:t>
      </w:r>
      <w:r w:rsidR="000A7AAB">
        <w:t>nous</w:t>
      </w:r>
      <w:r w:rsidR="000A7AAB" w:rsidRPr="002C4077">
        <w:t xml:space="preserve"> </w:t>
      </w:r>
      <w:r w:rsidR="000A7AAB">
        <w:t>fait</w:t>
      </w:r>
      <w:r w:rsidR="000A7AAB" w:rsidRPr="002C4077">
        <w:t xml:space="preserve"> </w:t>
      </w:r>
      <w:r w:rsidR="000A7AAB">
        <w:t>le</w:t>
      </w:r>
      <w:r w:rsidR="000A7AAB" w:rsidRPr="002C4077">
        <w:t xml:space="preserve"> </w:t>
      </w:r>
      <w:r w:rsidR="000A7AAB">
        <w:t>principe</w:t>
      </w:r>
      <w:r w:rsidR="000A7AAB" w:rsidRPr="002C4077">
        <w:t xml:space="preserve"> </w:t>
      </w:r>
      <w:r w:rsidR="000A7AAB">
        <w:t>rationaliste,</w:t>
      </w:r>
      <w:r w:rsidR="000A7AAB" w:rsidRPr="002C4077">
        <w:t xml:space="preserve"> </w:t>
      </w:r>
      <w:r w:rsidR="000A7AAB">
        <w:t>qui</w:t>
      </w:r>
      <w:r w:rsidR="000A7AAB" w:rsidRPr="002C4077">
        <w:t xml:space="preserve"> </w:t>
      </w:r>
      <w:r w:rsidR="00425C50">
        <w:t>est</w:t>
      </w:r>
      <w:r w:rsidR="000A7AAB" w:rsidRPr="002C4077">
        <w:t xml:space="preserve"> </w:t>
      </w:r>
      <w:r w:rsidR="000A7AAB">
        <w:t>le</w:t>
      </w:r>
      <w:r w:rsidR="000A7AAB" w:rsidRPr="002C4077">
        <w:t xml:space="preserve"> </w:t>
      </w:r>
      <w:r w:rsidR="000A7AAB">
        <w:t>fondement</w:t>
      </w:r>
      <w:r w:rsidR="000A7AAB" w:rsidRPr="002C4077">
        <w:t xml:space="preserve"> </w:t>
      </w:r>
      <w:r w:rsidR="000A7AAB">
        <w:t>de</w:t>
      </w:r>
      <w:r w:rsidR="000A7AAB" w:rsidRPr="002C4077">
        <w:t xml:space="preserve"> </w:t>
      </w:r>
      <w:r w:rsidR="000A7AAB">
        <w:t>toute</w:t>
      </w:r>
      <w:r w:rsidR="000A7AAB" w:rsidRPr="002C4077">
        <w:t xml:space="preserve"> </w:t>
      </w:r>
      <w:r w:rsidR="000A7AAB">
        <w:t>critique,</w:t>
      </w:r>
      <w:r w:rsidR="000A7AAB" w:rsidRPr="002C4077">
        <w:t xml:space="preserve"> </w:t>
      </w:r>
      <w:r w:rsidR="00425C50">
        <w:t>est</w:t>
      </w:r>
      <w:r w:rsidR="000A7AAB" w:rsidRPr="002C4077">
        <w:t xml:space="preserve"> </w:t>
      </w:r>
      <w:r w:rsidR="000A7AAB">
        <w:t>d’écarter</w:t>
      </w:r>
      <w:r w:rsidR="000A7AAB" w:rsidRPr="002C4077">
        <w:t xml:space="preserve"> </w:t>
      </w:r>
      <w:r w:rsidR="000A7AAB">
        <w:t>de</w:t>
      </w:r>
      <w:r w:rsidR="000A7AAB" w:rsidRPr="002C4077">
        <w:t xml:space="preserve"> </w:t>
      </w:r>
      <w:r w:rsidR="000A7AAB">
        <w:t>la</w:t>
      </w:r>
      <w:r w:rsidR="000A7AAB" w:rsidRPr="002C4077">
        <w:t xml:space="preserve"> </w:t>
      </w:r>
      <w:r w:rsidR="000A7AAB">
        <w:t>vie</w:t>
      </w:r>
      <w:r w:rsidR="000A7AAB" w:rsidRPr="002C4077">
        <w:t xml:space="preserve"> </w:t>
      </w:r>
      <w:r w:rsidR="000A7AAB">
        <w:t>de</w:t>
      </w:r>
      <w:r w:rsidR="000A7AAB" w:rsidRPr="002C4077">
        <w:t xml:space="preserve"> </w:t>
      </w:r>
      <w:r w:rsidR="00425C50">
        <w:t>Jésus</w:t>
      </w:r>
      <w:r w:rsidR="000A7AAB" w:rsidRPr="002C4077">
        <w:t xml:space="preserve"> </w:t>
      </w:r>
      <w:r w:rsidR="000A7AAB">
        <w:t>le</w:t>
      </w:r>
      <w:r w:rsidR="000A7AAB" w:rsidRPr="002C4077">
        <w:t xml:space="preserve"> </w:t>
      </w:r>
      <w:r w:rsidR="000A7AAB">
        <w:t>surnaturel.</w:t>
      </w:r>
      <w:r w:rsidR="000A7AAB" w:rsidRPr="002C4077">
        <w:t xml:space="preserve"> </w:t>
      </w:r>
      <w:r w:rsidR="000A7AAB">
        <w:t>Cela</w:t>
      </w:r>
      <w:r w:rsidR="000A7AAB" w:rsidRPr="002C4077">
        <w:t xml:space="preserve"> </w:t>
      </w:r>
      <w:r w:rsidR="000A7AAB">
        <w:t>emporte</w:t>
      </w:r>
      <w:r w:rsidR="000A7AAB" w:rsidRPr="002C4077">
        <w:t xml:space="preserve"> </w:t>
      </w:r>
      <w:r w:rsidR="000A7AAB">
        <w:t>d’un</w:t>
      </w:r>
      <w:r w:rsidR="000A7AAB" w:rsidRPr="002C4077">
        <w:t xml:space="preserve"> </w:t>
      </w:r>
      <w:r w:rsidR="000A7AAB">
        <w:t>seul</w:t>
      </w:r>
      <w:r w:rsidR="000A7AAB" w:rsidRPr="002C4077">
        <w:t xml:space="preserve"> </w:t>
      </w:r>
      <w:r w:rsidR="000A7AAB">
        <w:t>coup</w:t>
      </w:r>
      <w:r w:rsidR="000A7AAB" w:rsidRPr="002C4077">
        <w:t xml:space="preserve"> </w:t>
      </w:r>
      <w:r w:rsidR="000A7AAB">
        <w:t>dans</w:t>
      </w:r>
      <w:r w:rsidR="000A7AAB" w:rsidRPr="002C4077">
        <w:t xml:space="preserve"> </w:t>
      </w:r>
      <w:r w:rsidR="000A7AAB">
        <w:t>les</w:t>
      </w:r>
      <w:r w:rsidR="000A7AAB" w:rsidRPr="002C4077">
        <w:t xml:space="preserve"> </w:t>
      </w:r>
      <w:r w:rsidR="000A7AAB">
        <w:t>évangiles</w:t>
      </w:r>
      <w:r w:rsidR="000A7AAB" w:rsidRPr="002C4077">
        <w:t xml:space="preserve"> </w:t>
      </w:r>
      <w:r w:rsidR="000A7AAB">
        <w:t>ce</w:t>
      </w:r>
      <w:r w:rsidR="000A7AAB" w:rsidRPr="002C4077">
        <w:t xml:space="preserve"> </w:t>
      </w:r>
      <w:r w:rsidR="000A7AAB">
        <w:t>que</w:t>
      </w:r>
      <w:r w:rsidR="000A7AAB" w:rsidRPr="002C4077">
        <w:t xml:space="preserve"> </w:t>
      </w:r>
      <w:r w:rsidR="000A7AAB">
        <w:t>nous</w:t>
      </w:r>
      <w:r w:rsidR="000A7AAB" w:rsidRPr="002C4077">
        <w:t xml:space="preserve"> </w:t>
      </w:r>
      <w:r w:rsidR="000A7AAB">
        <w:t>appelons</w:t>
      </w:r>
      <w:r w:rsidR="000A7AAB" w:rsidRPr="002C4077">
        <w:t xml:space="preserve"> </w:t>
      </w:r>
      <w:r w:rsidR="000A7AAB">
        <w:t>les</w:t>
      </w:r>
      <w:r w:rsidR="000A7AAB" w:rsidRPr="002C4077">
        <w:t xml:space="preserve"> </w:t>
      </w:r>
      <w:r w:rsidR="000A7AAB">
        <w:t>miracles.</w:t>
      </w:r>
      <w:r w:rsidR="000A7AAB" w:rsidRPr="002C4077">
        <w:t xml:space="preserve"> </w:t>
      </w:r>
    </w:p>
    <w:p w:rsidR="000A7AAB" w:rsidRDefault="00B546AF" w:rsidP="000A7AAB">
      <w:r>
        <w:t>« </w:t>
      </w:r>
      <w:r w:rsidR="000A7AAB">
        <w:t>Des</w:t>
      </w:r>
      <w:r w:rsidR="000A7AAB" w:rsidRPr="002C4077">
        <w:t xml:space="preserve"> </w:t>
      </w:r>
      <w:r w:rsidR="000A7AAB">
        <w:t>paralytiques,</w:t>
      </w:r>
      <w:r w:rsidR="000A7AAB" w:rsidRPr="002C4077">
        <w:t xml:space="preserve"> </w:t>
      </w:r>
      <w:r w:rsidR="000A7AAB">
        <w:t>des</w:t>
      </w:r>
      <w:r w:rsidR="000A7AAB" w:rsidRPr="002C4077">
        <w:t xml:space="preserve"> </w:t>
      </w:r>
      <w:r w:rsidR="000A7AAB">
        <w:t>lépreux</w:t>
      </w:r>
      <w:r w:rsidR="000A7AAB" w:rsidRPr="002C4077">
        <w:t xml:space="preserve"> </w:t>
      </w:r>
      <w:r w:rsidR="000A7AAB">
        <w:t>instantanément</w:t>
      </w:r>
      <w:r w:rsidR="000A7AAB" w:rsidRPr="002C4077">
        <w:t xml:space="preserve"> </w:t>
      </w:r>
      <w:r w:rsidR="000A7AAB">
        <w:t>guéris,</w:t>
      </w:r>
      <w:r w:rsidR="000A7AAB" w:rsidRPr="002C4077">
        <w:t xml:space="preserve"> </w:t>
      </w:r>
      <w:r w:rsidR="000A7AAB">
        <w:t>des</w:t>
      </w:r>
      <w:r w:rsidR="000A7AAB" w:rsidRPr="002C4077">
        <w:t xml:space="preserve"> </w:t>
      </w:r>
      <w:r w:rsidR="000A7AAB">
        <w:t>sourds,</w:t>
      </w:r>
      <w:r w:rsidR="000A7AAB" w:rsidRPr="002C4077">
        <w:t xml:space="preserve"> </w:t>
      </w:r>
      <w:r w:rsidR="000A7AAB">
        <w:t>des</w:t>
      </w:r>
      <w:r w:rsidR="000A7AAB" w:rsidRPr="002C4077">
        <w:t xml:space="preserve"> </w:t>
      </w:r>
      <w:r w:rsidR="000A7AAB">
        <w:t>muets,</w:t>
      </w:r>
      <w:r w:rsidR="000A7AAB" w:rsidRPr="002C4077">
        <w:t xml:space="preserve"> </w:t>
      </w:r>
      <w:r w:rsidR="000A7AAB">
        <w:t>des</w:t>
      </w:r>
      <w:r w:rsidR="000A7AAB" w:rsidRPr="002C4077">
        <w:t xml:space="preserve"> </w:t>
      </w:r>
      <w:r w:rsidR="000A7AAB">
        <w:t>aveugles-nés</w:t>
      </w:r>
      <w:r w:rsidR="000A7AAB" w:rsidRPr="002C4077">
        <w:t xml:space="preserve"> </w:t>
      </w:r>
      <w:r w:rsidR="000A7AAB">
        <w:t>qui</w:t>
      </w:r>
      <w:r w:rsidR="000A7AAB" w:rsidRPr="002C4077">
        <w:t xml:space="preserve"> </w:t>
      </w:r>
      <w:r w:rsidR="000A7AAB">
        <w:t>recouvrent</w:t>
      </w:r>
      <w:r w:rsidR="000A7AAB" w:rsidRPr="002C4077">
        <w:t xml:space="preserve"> </w:t>
      </w:r>
      <w:r w:rsidR="000A7AAB">
        <w:t>tout</w:t>
      </w:r>
      <w:r w:rsidR="000A7AAB" w:rsidRPr="002C4077">
        <w:t xml:space="preserve"> </w:t>
      </w:r>
      <w:r w:rsidR="000A7AAB">
        <w:t>à</w:t>
      </w:r>
      <w:r w:rsidR="000A7AAB" w:rsidRPr="002C4077">
        <w:t xml:space="preserve"> </w:t>
      </w:r>
      <w:r w:rsidR="000A7AAB">
        <w:t>coup</w:t>
      </w:r>
      <w:r w:rsidR="000A7AAB" w:rsidRPr="002C4077">
        <w:t xml:space="preserve"> </w:t>
      </w:r>
      <w:r w:rsidR="000A7AAB">
        <w:t>l’ouïe,</w:t>
      </w:r>
      <w:r w:rsidR="000A7AAB" w:rsidRPr="002C4077">
        <w:t xml:space="preserve"> </w:t>
      </w:r>
      <w:r w:rsidR="000A7AAB">
        <w:t>la</w:t>
      </w:r>
      <w:r w:rsidR="000A7AAB" w:rsidRPr="002C4077">
        <w:t xml:space="preserve"> </w:t>
      </w:r>
      <w:r w:rsidR="000A7AAB">
        <w:t>parole</w:t>
      </w:r>
      <w:r w:rsidR="000A7AAB" w:rsidRPr="002C4077">
        <w:t xml:space="preserve"> </w:t>
      </w:r>
      <w:r w:rsidR="000A7AAB">
        <w:t>ou</w:t>
      </w:r>
      <w:r w:rsidR="000A7AAB" w:rsidRPr="002C4077">
        <w:t xml:space="preserve"> </w:t>
      </w:r>
      <w:r w:rsidR="000A7AAB">
        <w:t>la</w:t>
      </w:r>
      <w:r w:rsidR="000A7AAB" w:rsidRPr="002C4077">
        <w:t xml:space="preserve"> </w:t>
      </w:r>
      <w:r w:rsidR="000A7AAB">
        <w:t>vue</w:t>
      </w:r>
      <w:r w:rsidR="000A7AAB" w:rsidRPr="002C4077">
        <w:t xml:space="preserve"> </w:t>
      </w:r>
      <w:r w:rsidR="000A7AAB">
        <w:t>par</w:t>
      </w:r>
      <w:r w:rsidR="000A7AAB" w:rsidRPr="002C4077">
        <w:t xml:space="preserve"> </w:t>
      </w:r>
      <w:r w:rsidR="000A7AAB">
        <w:t>un</w:t>
      </w:r>
      <w:r w:rsidR="000A7AAB" w:rsidRPr="002C4077">
        <w:t xml:space="preserve"> </w:t>
      </w:r>
      <w:r w:rsidR="000A7AAB">
        <w:t>attouchement</w:t>
      </w:r>
      <w:r w:rsidR="000A7AAB" w:rsidRPr="002C4077">
        <w:t xml:space="preserve"> </w:t>
      </w:r>
      <w:r w:rsidR="000A7AAB">
        <w:t>ou</w:t>
      </w:r>
      <w:r w:rsidR="000A7AAB" w:rsidRPr="002C4077">
        <w:t xml:space="preserve"> </w:t>
      </w:r>
      <w:r w:rsidR="000A7AAB">
        <w:t>par</w:t>
      </w:r>
      <w:r w:rsidR="000A7AAB" w:rsidRPr="002C4077">
        <w:t xml:space="preserve"> </w:t>
      </w:r>
      <w:r w:rsidR="000A7AAB">
        <w:t>un</w:t>
      </w:r>
      <w:r w:rsidR="000A7AAB" w:rsidRPr="002C4077">
        <w:t xml:space="preserve"> </w:t>
      </w:r>
      <w:r w:rsidR="000A7AAB">
        <w:t>mot</w:t>
      </w:r>
      <w:r w:rsidR="000A7AAB" w:rsidRPr="002C4077">
        <w:t xml:space="preserve"> </w:t>
      </w:r>
      <w:r w:rsidR="000A7AAB">
        <w:t>de</w:t>
      </w:r>
      <w:r w:rsidR="000A7AAB" w:rsidRPr="002C4077">
        <w:t xml:space="preserve"> </w:t>
      </w:r>
      <w:r w:rsidR="00425C50">
        <w:t>Jésus</w:t>
      </w:r>
      <w:r w:rsidR="000A7AAB">
        <w:t>,</w:t>
      </w:r>
      <w:r w:rsidR="000A7AAB" w:rsidRPr="002C4077">
        <w:t xml:space="preserve"> </w:t>
      </w:r>
      <w:r w:rsidR="000A7AAB">
        <w:t>il</w:t>
      </w:r>
      <w:r w:rsidR="000A7AAB" w:rsidRPr="002C4077">
        <w:t xml:space="preserve"> </w:t>
      </w:r>
      <w:r w:rsidR="00425C50">
        <w:t>est</w:t>
      </w:r>
      <w:r w:rsidR="000A7AAB" w:rsidRPr="002C4077">
        <w:t xml:space="preserve"> </w:t>
      </w:r>
      <w:r w:rsidR="000A7AAB">
        <w:t>clair</w:t>
      </w:r>
      <w:r w:rsidR="000A7AAB" w:rsidRPr="002C4077">
        <w:t xml:space="preserve"> </w:t>
      </w:r>
      <w:r w:rsidR="000A7AAB">
        <w:t>qu’il</w:t>
      </w:r>
      <w:r w:rsidR="000A7AAB" w:rsidRPr="002C4077">
        <w:t xml:space="preserve"> </w:t>
      </w:r>
      <w:r w:rsidR="000A7AAB">
        <w:t>n’y</w:t>
      </w:r>
      <w:r w:rsidR="000A7AAB" w:rsidRPr="002C4077">
        <w:t xml:space="preserve"> </w:t>
      </w:r>
      <w:r w:rsidR="000A7AAB">
        <w:t>a</w:t>
      </w:r>
      <w:r w:rsidR="000A7AAB" w:rsidRPr="002C4077">
        <w:t xml:space="preserve"> </w:t>
      </w:r>
      <w:r w:rsidR="000A7AAB">
        <w:t>là</w:t>
      </w:r>
      <w:r w:rsidR="000A7AAB" w:rsidRPr="002C4077">
        <w:t xml:space="preserve"> </w:t>
      </w:r>
      <w:r w:rsidR="000A7AAB">
        <w:t>aucune</w:t>
      </w:r>
      <w:r w:rsidR="000A7AAB" w:rsidRPr="002C4077">
        <w:t xml:space="preserve"> </w:t>
      </w:r>
      <w:r w:rsidR="000A7AAB">
        <w:t>réalité.</w:t>
      </w:r>
      <w:r w:rsidR="000A7AAB" w:rsidRPr="002C4077">
        <w:t xml:space="preserve"> </w:t>
      </w:r>
    </w:p>
    <w:p w:rsidR="000A7AAB" w:rsidRDefault="00B546AF" w:rsidP="000A7AAB">
      <w:r>
        <w:t>« </w:t>
      </w:r>
      <w:r w:rsidR="000A7AAB">
        <w:t>Non-seulement</w:t>
      </w:r>
      <w:r w:rsidR="000A7AAB" w:rsidRPr="002C4077">
        <w:t xml:space="preserve"> </w:t>
      </w:r>
      <w:r w:rsidR="00425C50">
        <w:t>Jésus</w:t>
      </w:r>
      <w:r w:rsidR="000A7AAB" w:rsidRPr="002C4077">
        <w:t xml:space="preserve"> </w:t>
      </w:r>
      <w:r w:rsidR="000A7AAB">
        <w:t>n’a</w:t>
      </w:r>
      <w:r w:rsidR="000A7AAB" w:rsidRPr="002C4077">
        <w:t xml:space="preserve"> </w:t>
      </w:r>
      <w:r w:rsidR="000A7AAB">
        <w:t>jamais</w:t>
      </w:r>
      <w:r w:rsidR="000A7AAB" w:rsidRPr="002C4077">
        <w:t xml:space="preserve"> </w:t>
      </w:r>
      <w:r w:rsidR="000A7AAB">
        <w:t>rien</w:t>
      </w:r>
      <w:r w:rsidR="000A7AAB" w:rsidRPr="002C4077">
        <w:t xml:space="preserve"> </w:t>
      </w:r>
      <w:r w:rsidR="000A7AAB">
        <w:t>fait</w:t>
      </w:r>
      <w:r w:rsidR="000A7AAB" w:rsidRPr="002C4077">
        <w:t xml:space="preserve"> </w:t>
      </w:r>
      <w:r w:rsidR="000A7AAB">
        <w:t>de</w:t>
      </w:r>
      <w:r w:rsidR="000A7AAB" w:rsidRPr="002C4077">
        <w:t xml:space="preserve"> </w:t>
      </w:r>
      <w:r w:rsidR="000A7AAB">
        <w:t>pareil,</w:t>
      </w:r>
      <w:r w:rsidR="000A7AAB" w:rsidRPr="002C4077">
        <w:t xml:space="preserve"> </w:t>
      </w:r>
      <w:r w:rsidR="000A7AAB">
        <w:t>mais</w:t>
      </w:r>
      <w:r w:rsidR="000A7AAB" w:rsidRPr="002C4077">
        <w:t xml:space="preserve"> </w:t>
      </w:r>
      <w:r w:rsidR="000A7AAB">
        <w:t>j’ajoute</w:t>
      </w:r>
      <w:r w:rsidR="000A7AAB" w:rsidRPr="002C4077">
        <w:t xml:space="preserve"> </w:t>
      </w:r>
      <w:r w:rsidR="000A7AAB">
        <w:t>hardiment</w:t>
      </w:r>
      <w:r w:rsidR="000A7AAB" w:rsidRPr="002C4077">
        <w:t xml:space="preserve"> </w:t>
      </w:r>
      <w:r w:rsidR="000A7AAB">
        <w:t>qu’on</w:t>
      </w:r>
      <w:r w:rsidR="000A7AAB" w:rsidRPr="002C4077">
        <w:t xml:space="preserve"> </w:t>
      </w:r>
      <w:r w:rsidR="000A7AAB">
        <w:t>n’a</w:t>
      </w:r>
      <w:r w:rsidR="000A7AAB" w:rsidRPr="002C4077">
        <w:t xml:space="preserve"> </w:t>
      </w:r>
      <w:r w:rsidR="000A7AAB">
        <w:t>pas</w:t>
      </w:r>
      <w:r w:rsidR="000A7AAB" w:rsidRPr="002C4077">
        <w:t xml:space="preserve"> </w:t>
      </w:r>
      <w:r w:rsidR="000A7AAB">
        <w:t>pu</w:t>
      </w:r>
      <w:r w:rsidR="000A7AAB" w:rsidRPr="002C4077">
        <w:t xml:space="preserve"> </w:t>
      </w:r>
      <w:r w:rsidR="000A7AAB">
        <w:t>croire</w:t>
      </w:r>
      <w:r w:rsidR="000A7AAB" w:rsidRPr="002C4077">
        <w:t xml:space="preserve"> </w:t>
      </w:r>
      <w:r w:rsidR="000A7AAB">
        <w:t>cela</w:t>
      </w:r>
      <w:r w:rsidR="000A7AAB" w:rsidRPr="002C4077">
        <w:t xml:space="preserve"> </w:t>
      </w:r>
      <w:r w:rsidR="000A7AAB">
        <w:t>de</w:t>
      </w:r>
      <w:r w:rsidR="000A7AAB" w:rsidRPr="002C4077">
        <w:t xml:space="preserve"> </w:t>
      </w:r>
      <w:r w:rsidR="000A7AAB">
        <w:t>son</w:t>
      </w:r>
      <w:r w:rsidR="000A7AAB" w:rsidRPr="002C4077">
        <w:t xml:space="preserve"> </w:t>
      </w:r>
      <w:r w:rsidR="000A7AAB">
        <w:t>vivant.</w:t>
      </w:r>
      <w:r w:rsidR="000A7AAB" w:rsidRPr="002C4077">
        <w:t xml:space="preserve"> </w:t>
      </w:r>
      <w:r w:rsidR="000A7AAB">
        <w:t>Ce</w:t>
      </w:r>
      <w:r w:rsidR="000A7AAB" w:rsidRPr="002C4077">
        <w:t xml:space="preserve"> </w:t>
      </w:r>
      <w:r w:rsidR="000A7AAB">
        <w:t>n’est</w:t>
      </w:r>
      <w:r w:rsidR="000A7AAB" w:rsidRPr="002C4077">
        <w:t xml:space="preserve"> </w:t>
      </w:r>
      <w:r w:rsidR="000A7AAB">
        <w:t>qu’à</w:t>
      </w:r>
      <w:r w:rsidR="000A7AAB" w:rsidRPr="002C4077">
        <w:t xml:space="preserve"> </w:t>
      </w:r>
      <w:r w:rsidR="000A7AAB">
        <w:t>distance,</w:t>
      </w:r>
      <w:r w:rsidR="000A7AAB" w:rsidRPr="002C4077">
        <w:t xml:space="preserve"> </w:t>
      </w:r>
      <w:r w:rsidR="000A7AAB">
        <w:t>et</w:t>
      </w:r>
      <w:r w:rsidR="000A7AAB" w:rsidRPr="002C4077">
        <w:t xml:space="preserve"> </w:t>
      </w:r>
      <w:r w:rsidR="000A7AAB">
        <w:t>longtemps</w:t>
      </w:r>
      <w:r w:rsidR="000A7AAB" w:rsidRPr="002C4077">
        <w:t xml:space="preserve"> </w:t>
      </w:r>
      <w:r w:rsidR="000A7AAB">
        <w:t>après,</w:t>
      </w:r>
      <w:r w:rsidR="000A7AAB" w:rsidRPr="002C4077">
        <w:t xml:space="preserve"> </w:t>
      </w:r>
      <w:r w:rsidR="000A7AAB">
        <w:t>qu’on</w:t>
      </w:r>
      <w:r w:rsidR="000A7AAB" w:rsidRPr="002C4077">
        <w:t xml:space="preserve"> </w:t>
      </w:r>
      <w:r w:rsidR="000A7AAB">
        <w:t>a</w:t>
      </w:r>
      <w:r w:rsidR="000A7AAB" w:rsidRPr="002C4077">
        <w:t xml:space="preserve"> </w:t>
      </w:r>
      <w:r w:rsidR="000A7AAB">
        <w:t>imaginé</w:t>
      </w:r>
      <w:r w:rsidR="000A7AAB" w:rsidRPr="002C4077">
        <w:t xml:space="preserve"> </w:t>
      </w:r>
      <w:r w:rsidR="000A7AAB">
        <w:t>de</w:t>
      </w:r>
      <w:r w:rsidR="000A7AAB" w:rsidRPr="002C4077">
        <w:t xml:space="preserve"> </w:t>
      </w:r>
      <w:r w:rsidR="000A7AAB">
        <w:t>pareilles</w:t>
      </w:r>
      <w:r w:rsidR="000A7AAB" w:rsidRPr="002C4077">
        <w:t xml:space="preserve"> </w:t>
      </w:r>
      <w:r w:rsidR="000A7AAB">
        <w:t>choses.</w:t>
      </w:r>
      <w:r w:rsidR="000A7AAB" w:rsidRPr="002C4077">
        <w:t xml:space="preserve"> </w:t>
      </w:r>
    </w:p>
    <w:p w:rsidR="000A7AAB" w:rsidRPr="00F44410" w:rsidRDefault="00B546AF" w:rsidP="000A7AAB">
      <w:pPr>
        <w:rPr>
          <w:rStyle w:val="italicus"/>
        </w:rPr>
      </w:pPr>
      <w:r w:rsidRPr="00F44410">
        <w:rPr>
          <w:rStyle w:val="italicus"/>
        </w:rPr>
        <w:t>« </w:t>
      </w:r>
      <w:r w:rsidR="000A7AAB" w:rsidRPr="00F44410">
        <w:rPr>
          <w:rStyle w:val="italicus"/>
        </w:rPr>
        <w:t xml:space="preserve">Quand la critique refuse de croire à des récits de miracles, elle n’a pas besoin </w:t>
      </w:r>
      <w:r w:rsidR="00514F08" w:rsidRPr="00F44410">
        <w:rPr>
          <w:rStyle w:val="italicus"/>
        </w:rPr>
        <w:t>d’apporter</w:t>
      </w:r>
      <w:r w:rsidR="000A7AAB" w:rsidRPr="00F44410">
        <w:rPr>
          <w:rStyle w:val="italicus"/>
        </w:rPr>
        <w:t xml:space="preserve"> des preuves à l’</w:t>
      </w:r>
      <w:r w:rsidR="003B53FD" w:rsidRPr="00F44410">
        <w:rPr>
          <w:rStyle w:val="italicus"/>
        </w:rPr>
        <w:t>appui</w:t>
      </w:r>
      <w:r w:rsidR="000A7AAB" w:rsidRPr="00F44410">
        <w:rPr>
          <w:rStyle w:val="italicus"/>
        </w:rPr>
        <w:t xml:space="preserve"> de sa négation</w:t>
      </w:r>
      <w:r w:rsidRPr="00F44410">
        <w:rPr>
          <w:rStyle w:val="italicus"/>
        </w:rPr>
        <w:t> :</w:t>
      </w:r>
      <w:r w:rsidR="000A7AAB" w:rsidRPr="00F44410">
        <w:rPr>
          <w:rStyle w:val="italicus"/>
        </w:rPr>
        <w:t xml:space="preserve"> ce qu’on raconte </w:t>
      </w:r>
      <w:r w:rsidR="00425C50" w:rsidRPr="00F44410">
        <w:rPr>
          <w:rStyle w:val="italicus"/>
        </w:rPr>
        <w:t>est</w:t>
      </w:r>
      <w:r w:rsidR="000A7AAB" w:rsidRPr="00F44410">
        <w:rPr>
          <w:rStyle w:val="italicus"/>
        </w:rPr>
        <w:t xml:space="preserve"> faux, simplement parce que ce qu’on raconte n’a pas pu être…</w:t>
      </w:r>
      <w:r w:rsidR="00B91AF7" w:rsidRPr="00F44410">
        <w:rPr>
          <w:rStyle w:val="italicus"/>
        </w:rPr>
        <w:footnoteReference w:id="429"/>
      </w:r>
      <w:r w:rsidR="000A7AAB" w:rsidRPr="00F44410">
        <w:rPr>
          <w:rStyle w:val="italicus"/>
        </w:rPr>
        <w:t xml:space="preserve">. </w:t>
      </w:r>
    </w:p>
    <w:p w:rsidR="000A7AAB" w:rsidRDefault="00B546AF" w:rsidP="000A7AAB">
      <w:r>
        <w:t>« </w:t>
      </w:r>
      <w:r w:rsidR="000A7AAB">
        <w:t>Il</w:t>
      </w:r>
      <w:r w:rsidR="000A7AAB" w:rsidRPr="002C4077">
        <w:t xml:space="preserve"> </w:t>
      </w:r>
      <w:r w:rsidR="000A7AAB">
        <w:t>n’y</w:t>
      </w:r>
      <w:r w:rsidR="000A7AAB" w:rsidRPr="002C4077">
        <w:t xml:space="preserve"> </w:t>
      </w:r>
      <w:r w:rsidR="000A7AAB">
        <w:t>a</w:t>
      </w:r>
      <w:r w:rsidR="000A7AAB" w:rsidRPr="002C4077">
        <w:t xml:space="preserve"> </w:t>
      </w:r>
      <w:r w:rsidR="000A7AAB">
        <w:t>pas</w:t>
      </w:r>
      <w:r w:rsidR="000A7AAB" w:rsidRPr="002C4077">
        <w:t xml:space="preserve"> </w:t>
      </w:r>
      <w:r w:rsidR="000A7AAB">
        <w:t>de</w:t>
      </w:r>
      <w:r w:rsidR="000A7AAB" w:rsidRPr="002C4077">
        <w:t xml:space="preserve"> </w:t>
      </w:r>
      <w:r w:rsidR="000A7AAB">
        <w:t>surnaturel</w:t>
      </w:r>
      <w:r w:rsidR="000A7AAB" w:rsidRPr="002C4077">
        <w:t xml:space="preserve"> </w:t>
      </w:r>
      <w:r w:rsidR="000A7AAB">
        <w:t>dans</w:t>
      </w:r>
      <w:r w:rsidR="000A7AAB" w:rsidRPr="002C4077">
        <w:t xml:space="preserve"> </w:t>
      </w:r>
      <w:r w:rsidR="000A7AAB">
        <w:t>la</w:t>
      </w:r>
      <w:r w:rsidR="000A7AAB" w:rsidRPr="002C4077">
        <w:t xml:space="preserve"> </w:t>
      </w:r>
      <w:r w:rsidR="000A7AAB">
        <w:t>vie</w:t>
      </w:r>
      <w:r w:rsidR="000A7AAB" w:rsidRPr="002C4077">
        <w:t xml:space="preserve"> </w:t>
      </w:r>
      <w:r w:rsidR="000A7AAB">
        <w:t>de</w:t>
      </w:r>
      <w:r w:rsidR="000A7AAB" w:rsidRPr="002C4077">
        <w:t xml:space="preserve"> </w:t>
      </w:r>
      <w:r w:rsidR="00425C50">
        <w:t>Jésus</w:t>
      </w:r>
      <w:r>
        <w:t> ;</w:t>
      </w:r>
      <w:r w:rsidR="000A7AAB" w:rsidRPr="002C4077">
        <w:t xml:space="preserve"> </w:t>
      </w:r>
      <w:r w:rsidR="000A7AAB">
        <w:t>il</w:t>
      </w:r>
      <w:r w:rsidR="000A7AAB" w:rsidRPr="002C4077">
        <w:t xml:space="preserve"> </w:t>
      </w:r>
      <w:r w:rsidR="000A7AAB">
        <w:t>a</w:t>
      </w:r>
      <w:r w:rsidR="000A7AAB" w:rsidRPr="002C4077">
        <w:t xml:space="preserve"> </w:t>
      </w:r>
      <w:r w:rsidR="000A7AAB">
        <w:t>pu</w:t>
      </w:r>
      <w:r w:rsidR="000A7AAB" w:rsidRPr="002C4077">
        <w:t xml:space="preserve"> </w:t>
      </w:r>
      <w:r w:rsidR="000A7AAB">
        <w:t>y</w:t>
      </w:r>
      <w:r w:rsidR="000A7AAB" w:rsidRPr="002C4077">
        <w:t xml:space="preserve"> </w:t>
      </w:r>
      <w:r w:rsidR="000A7AAB">
        <w:t>avoir</w:t>
      </w:r>
      <w:r w:rsidR="000A7AAB" w:rsidRPr="002C4077">
        <w:t xml:space="preserve"> </w:t>
      </w:r>
      <w:r w:rsidR="000A7AAB">
        <w:t>quelquefois</w:t>
      </w:r>
      <w:r w:rsidR="000A7AAB" w:rsidRPr="002C4077">
        <w:t xml:space="preserve"> </w:t>
      </w:r>
      <w:r w:rsidR="000A7AAB">
        <w:t>l’illusion</w:t>
      </w:r>
      <w:r w:rsidR="000A7AAB" w:rsidRPr="002C4077">
        <w:t xml:space="preserve"> </w:t>
      </w:r>
      <w:r w:rsidR="000A7AAB">
        <w:t>du</w:t>
      </w:r>
      <w:r w:rsidR="000A7AAB" w:rsidRPr="002C4077">
        <w:t xml:space="preserve"> </w:t>
      </w:r>
      <w:r w:rsidR="000A7AAB">
        <w:t>surnaturel.</w:t>
      </w:r>
      <w:r w:rsidR="000A7AAB" w:rsidRPr="002C4077">
        <w:t xml:space="preserve"> </w:t>
      </w:r>
    </w:p>
    <w:p w:rsidR="000A7AAB" w:rsidRDefault="00B546AF" w:rsidP="000A7AAB">
      <w:r>
        <w:t>« </w:t>
      </w:r>
      <w:r w:rsidR="000A7AAB">
        <w:t>Pour</w:t>
      </w:r>
      <w:r w:rsidR="000A7AAB" w:rsidRPr="002C4077">
        <w:t xml:space="preserve"> </w:t>
      </w:r>
      <w:r w:rsidR="000A7AAB">
        <w:t>ce</w:t>
      </w:r>
      <w:r w:rsidR="000A7AAB" w:rsidRPr="002C4077">
        <w:t xml:space="preserve"> </w:t>
      </w:r>
      <w:r w:rsidR="000A7AAB">
        <w:t>qui</w:t>
      </w:r>
      <w:r w:rsidR="000A7AAB" w:rsidRPr="002C4077">
        <w:t xml:space="preserve"> </w:t>
      </w:r>
      <w:r w:rsidR="00425C50">
        <w:t>est</w:t>
      </w:r>
      <w:r w:rsidR="000A7AAB" w:rsidRPr="002C4077">
        <w:t xml:space="preserve"> </w:t>
      </w:r>
      <w:r w:rsidR="000A7AAB">
        <w:t>des</w:t>
      </w:r>
      <w:r w:rsidR="000A7AAB" w:rsidRPr="002C4077">
        <w:t xml:space="preserve"> </w:t>
      </w:r>
      <w:r w:rsidR="000A7AAB">
        <w:t>circonstances</w:t>
      </w:r>
      <w:r w:rsidR="000A7AAB" w:rsidRPr="002C4077">
        <w:t xml:space="preserve"> </w:t>
      </w:r>
      <w:r w:rsidR="000A7AAB">
        <w:t>merveilleuses</w:t>
      </w:r>
      <w:r w:rsidR="000A7AAB" w:rsidRPr="002C4077">
        <w:t xml:space="preserve"> </w:t>
      </w:r>
      <w:r w:rsidR="000A7AAB">
        <w:t>dont</w:t>
      </w:r>
      <w:r w:rsidR="000A7AAB" w:rsidRPr="002C4077">
        <w:t xml:space="preserve"> </w:t>
      </w:r>
      <w:r w:rsidR="000A7AAB">
        <w:t>on</w:t>
      </w:r>
      <w:r w:rsidR="000A7AAB" w:rsidRPr="002C4077">
        <w:t xml:space="preserve"> </w:t>
      </w:r>
      <w:r w:rsidR="000A7AAB">
        <w:t>a</w:t>
      </w:r>
      <w:r w:rsidR="000A7AAB" w:rsidRPr="002C4077">
        <w:t xml:space="preserve"> </w:t>
      </w:r>
      <w:r w:rsidR="000A7AAB">
        <w:t>entouré</w:t>
      </w:r>
      <w:r w:rsidR="000A7AAB" w:rsidRPr="002C4077">
        <w:t xml:space="preserve"> </w:t>
      </w:r>
      <w:r w:rsidR="000A7AAB">
        <w:t>la</w:t>
      </w:r>
      <w:r w:rsidR="000A7AAB" w:rsidRPr="002C4077">
        <w:t xml:space="preserve"> </w:t>
      </w:r>
      <w:r w:rsidR="000A7AAB">
        <w:t>naissance</w:t>
      </w:r>
      <w:r w:rsidR="000A7AAB" w:rsidRPr="002C4077">
        <w:t xml:space="preserve"> </w:t>
      </w:r>
      <w:r w:rsidR="000A7AAB">
        <w:t>même</w:t>
      </w:r>
      <w:r w:rsidR="000A7AAB" w:rsidRPr="002C4077">
        <w:t xml:space="preserve"> </w:t>
      </w:r>
      <w:r w:rsidR="000A7AAB">
        <w:t>de</w:t>
      </w:r>
      <w:r w:rsidR="000A7AAB" w:rsidRPr="002C4077">
        <w:t xml:space="preserve"> </w:t>
      </w:r>
      <w:r w:rsidR="00425C50">
        <w:t>Jésus</w:t>
      </w:r>
      <w:r w:rsidR="000A7AAB">
        <w:t>,</w:t>
      </w:r>
      <w:r w:rsidR="000A7AAB" w:rsidRPr="002C4077">
        <w:t xml:space="preserve"> </w:t>
      </w:r>
      <w:r w:rsidR="000A7AAB">
        <w:t>qu’il</w:t>
      </w:r>
      <w:r w:rsidR="000A7AAB" w:rsidRPr="002C4077">
        <w:t xml:space="preserve"> </w:t>
      </w:r>
      <w:r w:rsidR="000A7AAB">
        <w:t>a</w:t>
      </w:r>
      <w:r w:rsidR="000A7AAB" w:rsidRPr="002C4077">
        <w:t xml:space="preserve"> </w:t>
      </w:r>
      <w:r w:rsidR="000A7AAB">
        <w:t>été</w:t>
      </w:r>
      <w:r w:rsidR="000A7AAB" w:rsidRPr="002C4077">
        <w:t xml:space="preserve"> </w:t>
      </w:r>
      <w:r w:rsidR="000A7AAB">
        <w:t>conçu</w:t>
      </w:r>
      <w:r w:rsidR="000A7AAB" w:rsidRPr="002C4077">
        <w:t xml:space="preserve"> </w:t>
      </w:r>
      <w:r w:rsidR="000A7AAB">
        <w:t>de</w:t>
      </w:r>
      <w:r w:rsidR="000A7AAB" w:rsidRPr="002C4077">
        <w:t xml:space="preserve"> </w:t>
      </w:r>
      <w:r w:rsidR="000A7AAB">
        <w:t>l’Esprit-Saint,</w:t>
      </w:r>
      <w:r w:rsidR="000A7AAB" w:rsidRPr="002C4077">
        <w:t xml:space="preserve"> </w:t>
      </w:r>
      <w:r w:rsidR="000A7AAB">
        <w:t>que</w:t>
      </w:r>
      <w:r w:rsidR="000A7AAB" w:rsidRPr="002C4077">
        <w:t xml:space="preserve"> </w:t>
      </w:r>
      <w:r w:rsidR="000A7AAB">
        <w:t>sa</w:t>
      </w:r>
      <w:r w:rsidR="000A7AAB" w:rsidRPr="002C4077">
        <w:t xml:space="preserve"> </w:t>
      </w:r>
      <w:r w:rsidR="000A7AAB">
        <w:t>mère</w:t>
      </w:r>
      <w:r w:rsidR="000A7AAB" w:rsidRPr="002C4077">
        <w:t xml:space="preserve"> </w:t>
      </w:r>
      <w:r w:rsidR="000A7AAB">
        <w:t>l’a</w:t>
      </w:r>
      <w:r w:rsidR="000A7AAB" w:rsidRPr="002C4077">
        <w:t xml:space="preserve"> </w:t>
      </w:r>
      <w:r w:rsidR="000A7AAB">
        <w:t>enfanté</w:t>
      </w:r>
      <w:r w:rsidR="000A7AAB" w:rsidRPr="002C4077">
        <w:t xml:space="preserve"> </w:t>
      </w:r>
      <w:r w:rsidR="000A7AAB">
        <w:t>étant</w:t>
      </w:r>
      <w:r w:rsidR="000A7AAB" w:rsidRPr="002C4077">
        <w:t xml:space="preserve"> </w:t>
      </w:r>
      <w:r w:rsidR="000A7AAB">
        <w:t>vierge,</w:t>
      </w:r>
      <w:r w:rsidR="000A7AAB" w:rsidRPr="002C4077">
        <w:t xml:space="preserve"> </w:t>
      </w:r>
      <w:r w:rsidR="000A7AAB">
        <w:t>qu’une</w:t>
      </w:r>
      <w:r w:rsidR="000A7AAB" w:rsidRPr="002C4077">
        <w:t xml:space="preserve"> </w:t>
      </w:r>
      <w:r w:rsidR="000A7AAB">
        <w:t>étoile</w:t>
      </w:r>
      <w:r w:rsidR="000A7AAB" w:rsidRPr="002C4077">
        <w:t xml:space="preserve"> </w:t>
      </w:r>
      <w:r w:rsidR="000A7AAB">
        <w:t>a</w:t>
      </w:r>
      <w:r w:rsidR="000A7AAB" w:rsidRPr="002C4077">
        <w:t xml:space="preserve"> </w:t>
      </w:r>
      <w:r w:rsidR="000A7AAB">
        <w:t>conduit</w:t>
      </w:r>
      <w:r w:rsidR="000A7AAB" w:rsidRPr="002C4077">
        <w:t xml:space="preserve"> </w:t>
      </w:r>
      <w:r w:rsidR="000A7AAB">
        <w:t>vers</w:t>
      </w:r>
      <w:r w:rsidR="000A7AAB" w:rsidRPr="002C4077">
        <w:t xml:space="preserve"> </w:t>
      </w:r>
      <w:r w:rsidR="000A7AAB">
        <w:t>lui</w:t>
      </w:r>
      <w:r w:rsidR="000A7AAB" w:rsidRPr="002C4077">
        <w:t xml:space="preserve"> </w:t>
      </w:r>
      <w:r w:rsidR="000A7AAB">
        <w:t>les</w:t>
      </w:r>
      <w:r w:rsidR="000A7AAB" w:rsidRPr="002C4077">
        <w:t xml:space="preserve"> </w:t>
      </w:r>
      <w:r w:rsidR="000A7AAB">
        <w:t>mages,</w:t>
      </w:r>
      <w:r w:rsidR="000A7AAB" w:rsidRPr="002C4077">
        <w:t xml:space="preserve"> </w:t>
      </w:r>
      <w:r w:rsidR="00425C50">
        <w:t>etc</w:t>
      </w:r>
      <w:r w:rsidR="000A7AAB">
        <w:t>.,</w:t>
      </w:r>
      <w:r w:rsidR="000A7AAB" w:rsidRPr="002C4077">
        <w:t xml:space="preserve"> </w:t>
      </w:r>
      <w:r w:rsidR="000A7AAB">
        <w:t>nous</w:t>
      </w:r>
      <w:r w:rsidR="000A7AAB" w:rsidRPr="002C4077">
        <w:t xml:space="preserve"> </w:t>
      </w:r>
      <w:r w:rsidR="000A7AAB">
        <w:t>n’avons</w:t>
      </w:r>
      <w:r w:rsidR="000A7AAB" w:rsidRPr="002C4077">
        <w:t xml:space="preserve"> </w:t>
      </w:r>
      <w:r w:rsidR="000A7AAB">
        <w:t>à</w:t>
      </w:r>
      <w:r w:rsidR="000A7AAB" w:rsidRPr="002C4077">
        <w:t xml:space="preserve"> </w:t>
      </w:r>
      <w:r w:rsidR="000A7AAB">
        <w:t>en</w:t>
      </w:r>
      <w:r w:rsidR="000A7AAB" w:rsidRPr="002C4077">
        <w:t xml:space="preserve"> </w:t>
      </w:r>
      <w:r w:rsidR="000A7AAB">
        <w:t>tenir</w:t>
      </w:r>
      <w:r w:rsidR="000A7AAB" w:rsidRPr="002C4077">
        <w:t xml:space="preserve"> </w:t>
      </w:r>
      <w:r w:rsidR="000A7AAB">
        <w:t>aucun</w:t>
      </w:r>
      <w:r w:rsidR="000A7AAB" w:rsidRPr="002C4077">
        <w:t xml:space="preserve"> </w:t>
      </w:r>
      <w:r w:rsidR="000A7AAB">
        <w:t>compte…</w:t>
      </w:r>
      <w:r w:rsidR="000A7AAB" w:rsidRPr="002C4077">
        <w:t xml:space="preserve"> </w:t>
      </w:r>
    </w:p>
    <w:p w:rsidR="000A7AAB" w:rsidRDefault="00B546AF" w:rsidP="000A7AAB">
      <w:r>
        <w:t>« </w:t>
      </w:r>
      <w:r w:rsidR="000A7AAB">
        <w:t>De</w:t>
      </w:r>
      <w:r w:rsidR="000A7AAB" w:rsidRPr="002C4077">
        <w:t xml:space="preserve"> </w:t>
      </w:r>
      <w:r w:rsidR="000A7AAB">
        <w:t>même</w:t>
      </w:r>
      <w:r w:rsidR="000A7AAB" w:rsidRPr="002C4077">
        <w:t xml:space="preserve"> </w:t>
      </w:r>
      <w:r w:rsidR="000A7AAB">
        <w:t>que</w:t>
      </w:r>
      <w:r w:rsidR="000A7AAB" w:rsidRPr="002C4077">
        <w:t xml:space="preserve"> </w:t>
      </w:r>
      <w:r w:rsidR="00425C50">
        <w:t>Jésus</w:t>
      </w:r>
      <w:r w:rsidR="000A7AAB" w:rsidRPr="002C4077">
        <w:t xml:space="preserve"> </w:t>
      </w:r>
      <w:r w:rsidR="000A7AAB">
        <w:t>n’a</w:t>
      </w:r>
      <w:r w:rsidR="000A7AAB" w:rsidRPr="002C4077">
        <w:t xml:space="preserve"> </w:t>
      </w:r>
      <w:r w:rsidR="000A7AAB">
        <w:t>pas</w:t>
      </w:r>
      <w:r w:rsidR="000A7AAB" w:rsidRPr="002C4077">
        <w:t xml:space="preserve"> </w:t>
      </w:r>
      <w:r w:rsidR="000A7AAB">
        <w:t>fait</w:t>
      </w:r>
      <w:r w:rsidR="000A7AAB" w:rsidRPr="002C4077">
        <w:t xml:space="preserve"> </w:t>
      </w:r>
      <w:r w:rsidR="000A7AAB">
        <w:t>de</w:t>
      </w:r>
      <w:r w:rsidR="000A7AAB" w:rsidRPr="002C4077">
        <w:t xml:space="preserve"> </w:t>
      </w:r>
      <w:r w:rsidR="000A7AAB">
        <w:t>miracles,</w:t>
      </w:r>
      <w:r w:rsidR="000A7AAB" w:rsidRPr="002C4077">
        <w:t xml:space="preserve"> </w:t>
      </w:r>
      <w:r w:rsidR="000A7AAB">
        <w:t>il</w:t>
      </w:r>
      <w:r w:rsidR="000A7AAB" w:rsidRPr="002C4077">
        <w:t xml:space="preserve"> </w:t>
      </w:r>
      <w:r w:rsidR="000A7AAB">
        <w:t>n’a</w:t>
      </w:r>
      <w:r w:rsidR="000A7AAB" w:rsidRPr="002C4077">
        <w:t xml:space="preserve"> </w:t>
      </w:r>
      <w:r w:rsidR="000A7AAB">
        <w:t>pas</w:t>
      </w:r>
      <w:r w:rsidR="000A7AAB" w:rsidRPr="002C4077">
        <w:t xml:space="preserve"> </w:t>
      </w:r>
      <w:r w:rsidR="000A7AAB">
        <w:t>fait</w:t>
      </w:r>
      <w:r w:rsidR="000A7AAB" w:rsidRPr="002C4077">
        <w:t xml:space="preserve"> </w:t>
      </w:r>
      <w:r w:rsidR="000A7AAB">
        <w:t>de</w:t>
      </w:r>
      <w:r w:rsidR="000A7AAB" w:rsidRPr="002C4077">
        <w:t xml:space="preserve"> </w:t>
      </w:r>
      <w:r w:rsidR="000A7AAB">
        <w:t>prophéties,</w:t>
      </w:r>
      <w:r w:rsidR="000A7AAB" w:rsidRPr="002C4077">
        <w:t xml:space="preserve"> </w:t>
      </w:r>
      <w:r w:rsidR="000A7AAB">
        <w:t>car</w:t>
      </w:r>
      <w:r w:rsidR="000A7AAB" w:rsidRPr="002C4077">
        <w:t xml:space="preserve"> </w:t>
      </w:r>
      <w:r w:rsidR="000A7AAB">
        <w:t>la</w:t>
      </w:r>
      <w:r w:rsidR="000A7AAB" w:rsidRPr="002C4077">
        <w:t xml:space="preserve"> </w:t>
      </w:r>
      <w:r w:rsidR="000A7AAB">
        <w:t>prophétie</w:t>
      </w:r>
      <w:r w:rsidR="000A7AAB" w:rsidRPr="002C4077">
        <w:t xml:space="preserve"> </w:t>
      </w:r>
      <w:r w:rsidR="00425C50">
        <w:t>est</w:t>
      </w:r>
      <w:r w:rsidR="000A7AAB" w:rsidRPr="002C4077">
        <w:t xml:space="preserve"> </w:t>
      </w:r>
      <w:r w:rsidR="000A7AAB">
        <w:t>un</w:t>
      </w:r>
      <w:r w:rsidR="000A7AAB" w:rsidRPr="002C4077">
        <w:t xml:space="preserve"> </w:t>
      </w:r>
      <w:r w:rsidR="000A7AAB">
        <w:t>miracle.</w:t>
      </w:r>
      <w:r w:rsidR="00C45B47">
        <w:t xml:space="preserve"> {</w:t>
      </w:r>
      <w:r w:rsidR="004C5B7A">
        <w:t>137</w:t>
      </w:r>
      <w:bookmarkStart w:id="377" w:name="p137"/>
      <w:bookmarkEnd w:id="377"/>
      <w:r w:rsidR="004C5B7A">
        <w:t xml:space="preserve">} </w:t>
      </w:r>
      <w:r w:rsidR="000A7AAB">
        <w:t>Il</w:t>
      </w:r>
      <w:r w:rsidR="000A7AAB" w:rsidRPr="002C4077">
        <w:t xml:space="preserve"> </w:t>
      </w:r>
      <w:r w:rsidR="000A7AAB">
        <w:t>n’a</w:t>
      </w:r>
      <w:r w:rsidR="000A7AAB" w:rsidRPr="002C4077">
        <w:t xml:space="preserve"> </w:t>
      </w:r>
      <w:r w:rsidR="000A7AAB">
        <w:t>pas</w:t>
      </w:r>
      <w:r w:rsidR="000A7AAB" w:rsidRPr="002C4077">
        <w:t xml:space="preserve"> </w:t>
      </w:r>
      <w:r w:rsidR="000A7AAB">
        <w:t>pu</w:t>
      </w:r>
      <w:r w:rsidR="000A7AAB" w:rsidRPr="002C4077">
        <w:t xml:space="preserve"> </w:t>
      </w:r>
      <w:r w:rsidR="000A7AAB">
        <w:t>prédire</w:t>
      </w:r>
      <w:r w:rsidR="000A7AAB" w:rsidRPr="002C4077">
        <w:t xml:space="preserve"> </w:t>
      </w:r>
      <w:r w:rsidR="000A7AAB">
        <w:t>la</w:t>
      </w:r>
      <w:r w:rsidR="000A7AAB" w:rsidRPr="002C4077">
        <w:t xml:space="preserve"> </w:t>
      </w:r>
      <w:r w:rsidR="000A7AAB">
        <w:t>prise</w:t>
      </w:r>
      <w:r w:rsidR="000A7AAB" w:rsidRPr="002C4077">
        <w:t xml:space="preserve"> </w:t>
      </w:r>
      <w:r w:rsidR="000A7AAB">
        <w:t>de</w:t>
      </w:r>
      <w:r w:rsidR="000A7AAB" w:rsidRPr="002C4077">
        <w:t xml:space="preserve"> </w:t>
      </w:r>
      <w:r w:rsidR="000A7AAB">
        <w:t>Jérusalem,</w:t>
      </w:r>
      <w:r w:rsidR="000A7AAB" w:rsidRPr="002C4077">
        <w:t xml:space="preserve"> </w:t>
      </w:r>
      <w:r w:rsidR="000A7AAB">
        <w:t>ni</w:t>
      </w:r>
      <w:r w:rsidR="000A7AAB" w:rsidRPr="002C4077">
        <w:t xml:space="preserve"> </w:t>
      </w:r>
      <w:r w:rsidR="000A7AAB">
        <w:t>la</w:t>
      </w:r>
      <w:r w:rsidR="000A7AAB" w:rsidRPr="002C4077">
        <w:t xml:space="preserve"> </w:t>
      </w:r>
      <w:r w:rsidR="000A7AAB">
        <w:t>destruction</w:t>
      </w:r>
      <w:r w:rsidR="000A7AAB" w:rsidRPr="002C4077">
        <w:t xml:space="preserve"> </w:t>
      </w:r>
      <w:r w:rsidR="000A7AAB">
        <w:t>du</w:t>
      </w:r>
      <w:r w:rsidR="000A7AAB" w:rsidRPr="002C4077">
        <w:t xml:space="preserve"> </w:t>
      </w:r>
      <w:r w:rsidR="000A7AAB">
        <w:t>temple.</w:t>
      </w:r>
      <w:r w:rsidR="000A7AAB" w:rsidRPr="002C4077">
        <w:t xml:space="preserve"> </w:t>
      </w:r>
      <w:r w:rsidR="000A7AAB">
        <w:t>Il</w:t>
      </w:r>
      <w:r w:rsidR="000A7AAB" w:rsidRPr="002C4077">
        <w:t xml:space="preserve"> </w:t>
      </w:r>
      <w:r w:rsidR="000A7AAB">
        <w:t>n’a</w:t>
      </w:r>
      <w:r w:rsidR="000A7AAB" w:rsidRPr="002C4077">
        <w:t xml:space="preserve"> </w:t>
      </w:r>
      <w:r w:rsidR="000A7AAB">
        <w:t>pas</w:t>
      </w:r>
      <w:r w:rsidR="000A7AAB" w:rsidRPr="002C4077">
        <w:t xml:space="preserve"> </w:t>
      </w:r>
      <w:r w:rsidR="000A7AAB">
        <w:t>davantage</w:t>
      </w:r>
      <w:r w:rsidR="000A7AAB" w:rsidRPr="002C4077">
        <w:t xml:space="preserve"> </w:t>
      </w:r>
      <w:r w:rsidR="000A7AAB">
        <w:t>prédit</w:t>
      </w:r>
      <w:r w:rsidR="000A7AAB" w:rsidRPr="002C4077">
        <w:t xml:space="preserve"> </w:t>
      </w:r>
      <w:r w:rsidR="000A7AAB">
        <w:t>sa</w:t>
      </w:r>
      <w:r w:rsidR="000A7AAB" w:rsidRPr="002C4077">
        <w:t xml:space="preserve"> </w:t>
      </w:r>
      <w:r w:rsidR="000A7AAB">
        <w:t>mort</w:t>
      </w:r>
      <w:r w:rsidR="000A7AAB" w:rsidRPr="004440EA">
        <w:t xml:space="preserve"> (</w:t>
      </w:r>
      <w:r w:rsidR="000A7AAB">
        <w:t>j’entends</w:t>
      </w:r>
      <w:r w:rsidR="000A7AAB" w:rsidRPr="002C4077">
        <w:t xml:space="preserve"> </w:t>
      </w:r>
      <w:r w:rsidR="000A7AAB">
        <w:t>parler</w:t>
      </w:r>
      <w:r w:rsidR="000A7AAB" w:rsidRPr="002C4077">
        <w:t xml:space="preserve"> </w:t>
      </w:r>
      <w:r w:rsidR="000A7AAB">
        <w:t>d’une</w:t>
      </w:r>
      <w:r w:rsidR="000A7AAB" w:rsidRPr="002C4077">
        <w:t xml:space="preserve"> </w:t>
      </w:r>
      <w:r w:rsidR="000A7AAB">
        <w:t>prédiction</w:t>
      </w:r>
      <w:r w:rsidR="000A7AAB" w:rsidRPr="002C4077">
        <w:t xml:space="preserve"> </w:t>
      </w:r>
      <w:r w:rsidR="000A7AAB">
        <w:t>précise</w:t>
      </w:r>
      <w:r w:rsidR="000A7AAB" w:rsidRPr="002C4077">
        <w:t xml:space="preserve"> </w:t>
      </w:r>
      <w:r w:rsidR="000A7AAB">
        <w:t>et</w:t>
      </w:r>
      <w:r w:rsidR="000A7AAB" w:rsidRPr="002C4077">
        <w:t xml:space="preserve"> </w:t>
      </w:r>
      <w:r w:rsidR="000A7AAB">
        <w:t>circonstanciée</w:t>
      </w:r>
      <w:r w:rsidRPr="002C4077">
        <w:t>)</w:t>
      </w:r>
      <w:r w:rsidR="000A7AAB" w:rsidRPr="00950016">
        <w:t>,</w:t>
      </w:r>
      <w:r w:rsidR="000A7AAB" w:rsidRPr="002C4077">
        <w:t xml:space="preserve"> </w:t>
      </w:r>
      <w:r w:rsidR="000A7AAB">
        <w:t>et</w:t>
      </w:r>
      <w:r w:rsidR="000A7AAB" w:rsidRPr="002C4077">
        <w:t xml:space="preserve"> </w:t>
      </w:r>
      <w:r w:rsidR="000A7AAB">
        <w:t>encore</w:t>
      </w:r>
      <w:r w:rsidR="000A7AAB" w:rsidRPr="002C4077">
        <w:t xml:space="preserve"> </w:t>
      </w:r>
      <w:r w:rsidR="000A7AAB">
        <w:t>moins</w:t>
      </w:r>
      <w:r w:rsidR="000A7AAB" w:rsidRPr="002C4077">
        <w:t xml:space="preserve"> </w:t>
      </w:r>
      <w:r w:rsidR="000A7AAB">
        <w:t>sa</w:t>
      </w:r>
      <w:r w:rsidR="000A7AAB" w:rsidRPr="002C4077">
        <w:t xml:space="preserve"> </w:t>
      </w:r>
      <w:r w:rsidR="000A7AAB">
        <w:t>résurrection.</w:t>
      </w:r>
      <w:r w:rsidR="000A7AAB" w:rsidRPr="002C4077">
        <w:t xml:space="preserve"> </w:t>
      </w:r>
      <w:r w:rsidR="000A7AAB">
        <w:t>Les</w:t>
      </w:r>
      <w:r w:rsidR="000A7AAB" w:rsidRPr="002C4077">
        <w:t xml:space="preserve"> </w:t>
      </w:r>
      <w:r w:rsidR="000A7AAB">
        <w:t>récits</w:t>
      </w:r>
      <w:r w:rsidR="000A7AAB" w:rsidRPr="002C4077">
        <w:t xml:space="preserve"> </w:t>
      </w:r>
      <w:r w:rsidR="000A7AAB">
        <w:t>à</w:t>
      </w:r>
      <w:r w:rsidR="000A7AAB" w:rsidRPr="002C4077">
        <w:t xml:space="preserve"> </w:t>
      </w:r>
      <w:r w:rsidR="000A7AAB">
        <w:t>ce</w:t>
      </w:r>
      <w:r w:rsidR="000A7AAB" w:rsidRPr="002C4077">
        <w:t xml:space="preserve"> </w:t>
      </w:r>
      <w:r w:rsidR="000A7AAB">
        <w:t>sujet</w:t>
      </w:r>
      <w:r w:rsidR="000A7AAB" w:rsidRPr="002C4077">
        <w:t xml:space="preserve"> </w:t>
      </w:r>
      <w:r w:rsidR="000A7AAB">
        <w:t>n’ont</w:t>
      </w:r>
      <w:r w:rsidR="000A7AAB" w:rsidRPr="002C4077">
        <w:t xml:space="preserve"> </w:t>
      </w:r>
      <w:r w:rsidR="000A7AAB">
        <w:t>aucune</w:t>
      </w:r>
      <w:r w:rsidR="000A7AAB" w:rsidRPr="002C4077">
        <w:t xml:space="preserve"> </w:t>
      </w:r>
      <w:r w:rsidR="000A7AAB">
        <w:t>valeur</w:t>
      </w:r>
      <w:r w:rsidR="000A7AAB" w:rsidRPr="002C4077">
        <w:t xml:space="preserve"> </w:t>
      </w:r>
      <w:r w:rsidR="000A7AAB">
        <w:t>historique,</w:t>
      </w:r>
      <w:r w:rsidR="000A7AAB" w:rsidRPr="002C4077">
        <w:t xml:space="preserve"> </w:t>
      </w:r>
      <w:r w:rsidR="000A7AAB">
        <w:t>non</w:t>
      </w:r>
      <w:r w:rsidR="000A7AAB" w:rsidRPr="002C4077">
        <w:t xml:space="preserve"> </w:t>
      </w:r>
      <w:r w:rsidR="000A7AAB">
        <w:t>plus</w:t>
      </w:r>
      <w:r w:rsidR="000A7AAB" w:rsidRPr="002C4077">
        <w:t xml:space="preserve"> </w:t>
      </w:r>
      <w:r w:rsidR="000A7AAB">
        <w:t>que</w:t>
      </w:r>
      <w:r w:rsidR="000A7AAB" w:rsidRPr="002C4077">
        <w:t xml:space="preserve"> </w:t>
      </w:r>
      <w:r w:rsidR="003B53FD">
        <w:t>celui</w:t>
      </w:r>
      <w:r w:rsidR="000A7AAB" w:rsidRPr="002C4077">
        <w:t xml:space="preserve"> </w:t>
      </w:r>
      <w:r w:rsidR="000A7AAB">
        <w:t>de</w:t>
      </w:r>
      <w:r w:rsidR="000A7AAB" w:rsidRPr="002C4077">
        <w:t xml:space="preserve"> </w:t>
      </w:r>
      <w:r w:rsidR="000A7AAB">
        <w:t>la</w:t>
      </w:r>
      <w:r w:rsidR="000A7AAB" w:rsidRPr="002C4077">
        <w:t xml:space="preserve"> </w:t>
      </w:r>
      <w:r w:rsidR="000A7AAB">
        <w:t>résurrection</w:t>
      </w:r>
      <w:r w:rsidR="000A7AAB" w:rsidRPr="002C4077">
        <w:t xml:space="preserve"> </w:t>
      </w:r>
      <w:r w:rsidR="000A7AAB">
        <w:t>elle-même</w:t>
      </w:r>
      <w:r w:rsidR="00B91AF7">
        <w:rPr>
          <w:rStyle w:val="Appelnotedebasdep"/>
        </w:rPr>
        <w:footnoteReference w:id="430"/>
      </w:r>
      <w:r>
        <w:t> »</w:t>
      </w:r>
      <w:r w:rsidR="000A7AAB">
        <w:t>.</w:t>
      </w:r>
      <w:r w:rsidR="000A7AAB" w:rsidRPr="002C4077">
        <w:t xml:space="preserve"> </w:t>
      </w:r>
    </w:p>
    <w:p w:rsidR="000A7AAB" w:rsidRDefault="000A7AAB" w:rsidP="000A7AAB">
      <w:r>
        <w:t>Le</w:t>
      </w:r>
      <w:r w:rsidRPr="002C4077">
        <w:t xml:space="preserve"> </w:t>
      </w:r>
      <w:r>
        <w:t>rationalisme</w:t>
      </w:r>
      <w:r w:rsidRPr="002C4077">
        <w:t xml:space="preserve"> </w:t>
      </w:r>
      <w:r>
        <w:t>de</w:t>
      </w:r>
      <w:r w:rsidRPr="002C4077">
        <w:t xml:space="preserve"> </w:t>
      </w:r>
      <w:r>
        <w:t>M.</w:t>
      </w:r>
      <w:r w:rsidRPr="002C4077">
        <w:t xml:space="preserve"> </w:t>
      </w:r>
      <w:r>
        <w:t>Havet</w:t>
      </w:r>
      <w:r w:rsidRPr="002C4077">
        <w:t xml:space="preserve"> </w:t>
      </w:r>
      <w:r>
        <w:t>se</w:t>
      </w:r>
      <w:r w:rsidRPr="002C4077">
        <w:t xml:space="preserve"> </w:t>
      </w:r>
      <w:r>
        <w:t>met</w:t>
      </w:r>
      <w:r w:rsidRPr="002C4077">
        <w:t xml:space="preserve"> </w:t>
      </w:r>
      <w:r>
        <w:t>à</w:t>
      </w:r>
      <w:r w:rsidRPr="002C4077">
        <w:t xml:space="preserve"> </w:t>
      </w:r>
      <w:r>
        <w:t>l’aise</w:t>
      </w:r>
      <w:r w:rsidR="00B546AF">
        <w:t> !</w:t>
      </w:r>
      <w:r w:rsidRPr="002C4077">
        <w:t xml:space="preserve"> </w:t>
      </w:r>
      <w:r>
        <w:t>Il</w:t>
      </w:r>
      <w:r w:rsidRPr="002C4077">
        <w:t xml:space="preserve"> </w:t>
      </w:r>
      <w:r>
        <w:t>récuse</w:t>
      </w:r>
      <w:r w:rsidRPr="002C4077">
        <w:t xml:space="preserve"> </w:t>
      </w:r>
      <w:r>
        <w:t>en</w:t>
      </w:r>
      <w:r w:rsidRPr="002C4077">
        <w:t xml:space="preserve"> </w:t>
      </w:r>
      <w:r>
        <w:t>bloc</w:t>
      </w:r>
      <w:r w:rsidRPr="002C4077">
        <w:t xml:space="preserve"> </w:t>
      </w:r>
      <w:r>
        <w:t>toute</w:t>
      </w:r>
      <w:r w:rsidRPr="002C4077">
        <w:t xml:space="preserve"> </w:t>
      </w:r>
      <w:r>
        <w:t>une</w:t>
      </w:r>
      <w:r w:rsidRPr="002C4077">
        <w:t xml:space="preserve"> </w:t>
      </w:r>
      <w:r>
        <w:t>catégorie</w:t>
      </w:r>
      <w:r w:rsidRPr="002C4077">
        <w:t xml:space="preserve"> </w:t>
      </w:r>
      <w:r>
        <w:t>de</w:t>
      </w:r>
      <w:r w:rsidRPr="002C4077">
        <w:t xml:space="preserve"> </w:t>
      </w:r>
      <w:r>
        <w:t>faits,</w:t>
      </w:r>
      <w:r w:rsidRPr="002C4077">
        <w:t xml:space="preserve"> </w:t>
      </w:r>
      <w:r>
        <w:t>sous</w:t>
      </w:r>
      <w:r w:rsidRPr="002C4077">
        <w:t xml:space="preserve"> </w:t>
      </w:r>
      <w:r>
        <w:t>prétexte</w:t>
      </w:r>
      <w:r w:rsidRPr="002C4077">
        <w:t xml:space="preserve"> </w:t>
      </w:r>
      <w:r>
        <w:t>qu’ils</w:t>
      </w:r>
      <w:r w:rsidRPr="002C4077">
        <w:t xml:space="preserve"> </w:t>
      </w:r>
      <w:r>
        <w:t>sont</w:t>
      </w:r>
      <w:r w:rsidRPr="002C4077">
        <w:t xml:space="preserve"> </w:t>
      </w:r>
      <w:r>
        <w:t>impossibles</w:t>
      </w:r>
      <w:r w:rsidRPr="002C4077">
        <w:t xml:space="preserve"> </w:t>
      </w:r>
      <w:r>
        <w:t>ou</w:t>
      </w:r>
      <w:r w:rsidRPr="002C4077">
        <w:t xml:space="preserve"> </w:t>
      </w:r>
      <w:r>
        <w:t>absurdes.</w:t>
      </w:r>
      <w:r w:rsidRPr="002C4077">
        <w:t xml:space="preserve"> </w:t>
      </w:r>
      <w:r>
        <w:t>Les</w:t>
      </w:r>
      <w:r w:rsidRPr="002C4077">
        <w:t xml:space="preserve"> </w:t>
      </w:r>
      <w:r>
        <w:t>faits</w:t>
      </w:r>
      <w:r w:rsidRPr="002C4077">
        <w:t xml:space="preserve"> </w:t>
      </w:r>
      <w:r>
        <w:t>contredisent</w:t>
      </w:r>
      <w:r w:rsidRPr="002C4077">
        <w:t xml:space="preserve"> </w:t>
      </w:r>
      <w:r>
        <w:t>sa</w:t>
      </w:r>
      <w:r w:rsidRPr="002C4077">
        <w:t xml:space="preserve"> </w:t>
      </w:r>
      <w:r>
        <w:t>théorie</w:t>
      </w:r>
      <w:r w:rsidR="00B546AF">
        <w:t> ;</w:t>
      </w:r>
      <w:r w:rsidRPr="002C4077">
        <w:t xml:space="preserve"> </w:t>
      </w:r>
      <w:r>
        <w:t>donc</w:t>
      </w:r>
      <w:r w:rsidRPr="002C4077">
        <w:t xml:space="preserve"> </w:t>
      </w:r>
      <w:r>
        <w:t>ils</w:t>
      </w:r>
      <w:r w:rsidRPr="002C4077">
        <w:t xml:space="preserve"> </w:t>
      </w:r>
      <w:r>
        <w:t>n’ont</w:t>
      </w:r>
      <w:r w:rsidRPr="002C4077">
        <w:t xml:space="preserve"> </w:t>
      </w:r>
      <w:r>
        <w:t>jamais</w:t>
      </w:r>
      <w:r w:rsidRPr="002C4077">
        <w:t xml:space="preserve"> </w:t>
      </w:r>
      <w:r>
        <w:t>existé.</w:t>
      </w:r>
      <w:r w:rsidRPr="002C4077">
        <w:t xml:space="preserve"> </w:t>
      </w:r>
      <w:r>
        <w:t>Puis,</w:t>
      </w:r>
      <w:r w:rsidRPr="002C4077">
        <w:t xml:space="preserve"> </w:t>
      </w:r>
      <w:r>
        <w:lastRenderedPageBreak/>
        <w:t>quand</w:t>
      </w:r>
      <w:r w:rsidRPr="002C4077">
        <w:t xml:space="preserve"> </w:t>
      </w:r>
      <w:r>
        <w:t>on</w:t>
      </w:r>
      <w:r w:rsidRPr="002C4077">
        <w:t xml:space="preserve"> </w:t>
      </w:r>
      <w:r>
        <w:t>lui</w:t>
      </w:r>
      <w:r w:rsidRPr="002C4077">
        <w:t xml:space="preserve"> </w:t>
      </w:r>
      <w:r>
        <w:t>démontre,</w:t>
      </w:r>
      <w:r w:rsidRPr="002C4077">
        <w:t xml:space="preserve"> </w:t>
      </w:r>
      <w:r>
        <w:t>selon</w:t>
      </w:r>
      <w:r w:rsidRPr="002C4077">
        <w:t xml:space="preserve"> </w:t>
      </w:r>
      <w:r>
        <w:t>toutes</w:t>
      </w:r>
      <w:r w:rsidRPr="002C4077">
        <w:t xml:space="preserve"> </w:t>
      </w:r>
      <w:r>
        <w:t>les</w:t>
      </w:r>
      <w:r w:rsidRPr="002C4077">
        <w:t xml:space="preserve"> </w:t>
      </w:r>
      <w:r>
        <w:t>règles,</w:t>
      </w:r>
      <w:r w:rsidRPr="002C4077">
        <w:t xml:space="preserve"> </w:t>
      </w:r>
      <w:r>
        <w:t>que</w:t>
      </w:r>
      <w:r w:rsidRPr="002C4077">
        <w:t xml:space="preserve"> </w:t>
      </w:r>
      <w:r>
        <w:t>ces</w:t>
      </w:r>
      <w:r w:rsidRPr="002C4077">
        <w:t xml:space="preserve"> </w:t>
      </w:r>
      <w:r>
        <w:t>faits</w:t>
      </w:r>
      <w:r w:rsidRPr="002C4077">
        <w:t xml:space="preserve"> </w:t>
      </w:r>
      <w:r>
        <w:t>sont</w:t>
      </w:r>
      <w:r w:rsidRPr="002C4077">
        <w:t xml:space="preserve"> </w:t>
      </w:r>
      <w:r>
        <w:t>possibles</w:t>
      </w:r>
      <w:r w:rsidRPr="002C4077">
        <w:t xml:space="preserve"> </w:t>
      </w:r>
      <w:r>
        <w:t>et</w:t>
      </w:r>
      <w:r w:rsidRPr="002C4077">
        <w:t xml:space="preserve"> </w:t>
      </w:r>
      <w:r>
        <w:t>existent,</w:t>
      </w:r>
      <w:r w:rsidRPr="002C4077">
        <w:t xml:space="preserve"> </w:t>
      </w:r>
      <w:r>
        <w:t>il</w:t>
      </w:r>
      <w:r w:rsidRPr="002C4077">
        <w:t xml:space="preserve"> </w:t>
      </w:r>
      <w:r>
        <w:t>se</w:t>
      </w:r>
      <w:r w:rsidRPr="002C4077">
        <w:t xml:space="preserve"> </w:t>
      </w:r>
      <w:r>
        <w:t>bouche</w:t>
      </w:r>
      <w:r w:rsidRPr="002C4077">
        <w:t xml:space="preserve"> </w:t>
      </w:r>
      <w:r>
        <w:t>les</w:t>
      </w:r>
      <w:r w:rsidRPr="002C4077">
        <w:t xml:space="preserve"> </w:t>
      </w:r>
      <w:r>
        <w:t>oreilles.</w:t>
      </w:r>
      <w:r w:rsidRPr="002C4077">
        <w:t xml:space="preserve"> </w:t>
      </w:r>
      <w:r>
        <w:t>Comment</w:t>
      </w:r>
      <w:r w:rsidRPr="002C4077">
        <w:t xml:space="preserve"> </w:t>
      </w:r>
      <w:r>
        <w:t>discuter</w:t>
      </w:r>
      <w:r w:rsidRPr="002C4077">
        <w:t xml:space="preserve"> </w:t>
      </w:r>
      <w:r>
        <w:t>avec</w:t>
      </w:r>
      <w:r w:rsidRPr="002C4077">
        <w:t xml:space="preserve"> </w:t>
      </w:r>
      <w:r>
        <w:t>des</w:t>
      </w:r>
      <w:r w:rsidRPr="002C4077">
        <w:t xml:space="preserve"> </w:t>
      </w:r>
      <w:r>
        <w:t>hommes</w:t>
      </w:r>
      <w:r w:rsidRPr="002C4077">
        <w:t xml:space="preserve"> </w:t>
      </w:r>
      <w:r>
        <w:t>qui</w:t>
      </w:r>
      <w:r w:rsidRPr="002C4077">
        <w:t xml:space="preserve"> </w:t>
      </w:r>
      <w:r>
        <w:t>s’arrogent</w:t>
      </w:r>
      <w:r w:rsidRPr="002C4077">
        <w:t xml:space="preserve"> </w:t>
      </w:r>
      <w:r>
        <w:t>à</w:t>
      </w:r>
      <w:r w:rsidRPr="002C4077">
        <w:t xml:space="preserve"> </w:t>
      </w:r>
      <w:r>
        <w:t>chaque</w:t>
      </w:r>
      <w:r w:rsidRPr="002C4077">
        <w:t xml:space="preserve"> </w:t>
      </w:r>
      <w:r>
        <w:t>instant</w:t>
      </w:r>
      <w:r w:rsidRPr="002C4077">
        <w:t xml:space="preserve"> </w:t>
      </w:r>
      <w:r>
        <w:t>le</w:t>
      </w:r>
      <w:r w:rsidRPr="002C4077">
        <w:t xml:space="preserve"> </w:t>
      </w:r>
      <w:r>
        <w:t>privilège</w:t>
      </w:r>
      <w:r w:rsidRPr="002C4077">
        <w:t xml:space="preserve"> </w:t>
      </w:r>
      <w:r>
        <w:t>de</w:t>
      </w:r>
      <w:r w:rsidRPr="002C4077">
        <w:t xml:space="preserve"> </w:t>
      </w:r>
      <w:r>
        <w:t>l’infaillibilité</w:t>
      </w:r>
      <w:r w:rsidRPr="002C4077">
        <w:t xml:space="preserve"> </w:t>
      </w:r>
      <w:r>
        <w:t>personnelle,</w:t>
      </w:r>
      <w:r w:rsidRPr="002C4077">
        <w:t xml:space="preserve"> </w:t>
      </w:r>
      <w:r>
        <w:t>et</w:t>
      </w:r>
      <w:r w:rsidRPr="002C4077">
        <w:t xml:space="preserve"> </w:t>
      </w:r>
      <w:r>
        <w:t>qui</w:t>
      </w:r>
      <w:r w:rsidRPr="002C4077">
        <w:t xml:space="preserve"> </w:t>
      </w:r>
      <w:r>
        <w:t>rejettent</w:t>
      </w:r>
      <w:r w:rsidRPr="002C4077">
        <w:t xml:space="preserve"> </w:t>
      </w:r>
      <w:r>
        <w:t>d’avance</w:t>
      </w:r>
      <w:r w:rsidRPr="002C4077">
        <w:t xml:space="preserve"> </w:t>
      </w:r>
      <w:r>
        <w:t>toutes</w:t>
      </w:r>
      <w:r w:rsidRPr="002C4077">
        <w:t xml:space="preserve"> </w:t>
      </w:r>
      <w:r>
        <w:t>vos</w:t>
      </w:r>
      <w:bookmarkStart w:id="378" w:name="z_RationalistesHardiesses_o7"/>
      <w:bookmarkEnd w:id="378"/>
      <w:r w:rsidRPr="002C4077">
        <w:t xml:space="preserve"> </w:t>
      </w:r>
      <w:r>
        <w:t>réponses</w:t>
      </w:r>
      <w:r w:rsidR="00B546AF">
        <w:t> ?</w:t>
      </w:r>
      <w:r w:rsidRPr="002C4077">
        <w:t xml:space="preserve"> </w:t>
      </w:r>
    </w:p>
    <w:p w:rsidR="000A7AAB" w:rsidRDefault="000A7AAB" w:rsidP="000A7AAB">
      <w:r>
        <w:t>Surtout,</w:t>
      </w:r>
      <w:r w:rsidRPr="002C4077">
        <w:t xml:space="preserve"> </w:t>
      </w:r>
      <w:r>
        <w:t>comment</w:t>
      </w:r>
      <w:r w:rsidRPr="002C4077">
        <w:t xml:space="preserve"> </w:t>
      </w:r>
      <w:r>
        <w:t>ne</w:t>
      </w:r>
      <w:r w:rsidRPr="002C4077">
        <w:t xml:space="preserve"> </w:t>
      </w:r>
      <w:r>
        <w:t>remarque-t-on</w:t>
      </w:r>
      <w:r w:rsidRPr="002C4077">
        <w:t xml:space="preserve"> </w:t>
      </w:r>
      <w:r>
        <w:t>pas</w:t>
      </w:r>
      <w:r w:rsidRPr="002C4077">
        <w:t xml:space="preserve"> </w:t>
      </w:r>
      <w:r>
        <w:t>davantage</w:t>
      </w:r>
      <w:r w:rsidRPr="002C4077">
        <w:t xml:space="preserve"> </w:t>
      </w:r>
      <w:r>
        <w:t>ce</w:t>
      </w:r>
      <w:r w:rsidRPr="002C4077">
        <w:t xml:space="preserve"> </w:t>
      </w:r>
      <w:r>
        <w:t>signe</w:t>
      </w:r>
      <w:r w:rsidRPr="002C4077">
        <w:t xml:space="preserve"> </w:t>
      </w:r>
      <w:r>
        <w:t>manifeste</w:t>
      </w:r>
      <w:r w:rsidRPr="002C4077">
        <w:t xml:space="preserve"> </w:t>
      </w:r>
      <w:r>
        <w:t>de</w:t>
      </w:r>
      <w:r w:rsidRPr="002C4077">
        <w:t xml:space="preserve"> </w:t>
      </w:r>
      <w:r>
        <w:t>la</w:t>
      </w:r>
      <w:r w:rsidRPr="002C4077">
        <w:t xml:space="preserve"> </w:t>
      </w:r>
      <w:r>
        <w:t>faiblesse</w:t>
      </w:r>
      <w:r w:rsidRPr="002C4077">
        <w:t xml:space="preserve"> </w:t>
      </w:r>
      <w:r>
        <w:t>du</w:t>
      </w:r>
      <w:r w:rsidRPr="002C4077">
        <w:t xml:space="preserve"> </w:t>
      </w:r>
      <w:r>
        <w:t>rationalisme,</w:t>
      </w:r>
      <w:r w:rsidRPr="002C4077">
        <w:t xml:space="preserve"> </w:t>
      </w:r>
      <w:r>
        <w:t>et</w:t>
      </w:r>
      <w:r w:rsidRPr="002C4077">
        <w:t xml:space="preserve"> </w:t>
      </w:r>
      <w:r>
        <w:t>pourquoi</w:t>
      </w:r>
      <w:r w:rsidRPr="002C4077">
        <w:t xml:space="preserve"> </w:t>
      </w:r>
      <w:r>
        <w:t>réussit-il</w:t>
      </w:r>
      <w:r w:rsidRPr="002C4077">
        <w:t xml:space="preserve"> </w:t>
      </w:r>
      <w:r>
        <w:t>à</w:t>
      </w:r>
      <w:r w:rsidRPr="002C4077">
        <w:t xml:space="preserve"> </w:t>
      </w:r>
      <w:r>
        <w:t>faire</w:t>
      </w:r>
      <w:r w:rsidRPr="002C4077">
        <w:t xml:space="preserve"> </w:t>
      </w:r>
      <w:r>
        <w:t>tant</w:t>
      </w:r>
      <w:r w:rsidRPr="002C4077">
        <w:t xml:space="preserve"> </w:t>
      </w:r>
      <w:r>
        <w:t>de</w:t>
      </w:r>
      <w:r w:rsidRPr="002C4077">
        <w:t xml:space="preserve"> </w:t>
      </w:r>
      <w:r>
        <w:t>dupes,</w:t>
      </w:r>
      <w:r w:rsidRPr="002C4077">
        <w:t xml:space="preserve"> </w:t>
      </w:r>
      <w:r>
        <w:t>dans</w:t>
      </w:r>
      <w:r w:rsidRPr="002C4077">
        <w:t xml:space="preserve"> </w:t>
      </w:r>
      <w:r>
        <w:t>un</w:t>
      </w:r>
      <w:r w:rsidRPr="002C4077">
        <w:t xml:space="preserve"> </w:t>
      </w:r>
      <w:r>
        <w:t>temps</w:t>
      </w:r>
      <w:r w:rsidRPr="002C4077">
        <w:t xml:space="preserve"> </w:t>
      </w:r>
      <w:r>
        <w:t>où</w:t>
      </w:r>
      <w:r w:rsidRPr="002C4077">
        <w:t xml:space="preserve"> </w:t>
      </w:r>
      <w:r>
        <w:t>l’on</w:t>
      </w:r>
      <w:r w:rsidRPr="002C4077">
        <w:t xml:space="preserve"> </w:t>
      </w:r>
      <w:r>
        <w:t>ne</w:t>
      </w:r>
      <w:r w:rsidRPr="002C4077">
        <w:t xml:space="preserve"> </w:t>
      </w:r>
      <w:r>
        <w:t>parle</w:t>
      </w:r>
      <w:r w:rsidRPr="002C4077">
        <w:t xml:space="preserve"> </w:t>
      </w:r>
      <w:r>
        <w:t>que</w:t>
      </w:r>
      <w:r w:rsidRPr="002C4077">
        <w:t xml:space="preserve"> </w:t>
      </w:r>
      <w:r>
        <w:t>de</w:t>
      </w:r>
      <w:r w:rsidRPr="002C4077">
        <w:t xml:space="preserve"> </w:t>
      </w:r>
      <w:r>
        <w:t>science</w:t>
      </w:r>
      <w:r w:rsidRPr="002C4077">
        <w:t xml:space="preserve"> </w:t>
      </w:r>
      <w:r>
        <w:t>positive,</w:t>
      </w:r>
      <w:r w:rsidRPr="002C4077">
        <w:t xml:space="preserve"> </w:t>
      </w:r>
      <w:r>
        <w:t>basée</w:t>
      </w:r>
      <w:r w:rsidRPr="002C4077">
        <w:t xml:space="preserve"> </w:t>
      </w:r>
      <w:r>
        <w:t>sur</w:t>
      </w:r>
      <w:r w:rsidRPr="002C4077">
        <w:t xml:space="preserve"> </w:t>
      </w:r>
      <w:r>
        <w:t>des</w:t>
      </w:r>
      <w:r w:rsidRPr="002C4077">
        <w:t xml:space="preserve"> </w:t>
      </w:r>
      <w:r>
        <w:t>faits</w:t>
      </w:r>
      <w:r w:rsidR="00B546AF">
        <w:t> ?</w:t>
      </w:r>
      <w:r w:rsidRPr="002C4077">
        <w:t xml:space="preserve"> </w:t>
      </w:r>
    </w:p>
    <w:p w:rsidR="000A7AAB" w:rsidRDefault="000A7AAB" w:rsidP="000A7AAB">
      <w:r>
        <w:t>Voici</w:t>
      </w:r>
      <w:r w:rsidRPr="002C4077">
        <w:t xml:space="preserve"> </w:t>
      </w:r>
      <w:r>
        <w:t>encore</w:t>
      </w:r>
      <w:r w:rsidRPr="002C4077">
        <w:t xml:space="preserve"> </w:t>
      </w:r>
      <w:r>
        <w:t>l’oracle</w:t>
      </w:r>
      <w:r w:rsidRPr="002C4077">
        <w:t xml:space="preserve"> </w:t>
      </w:r>
      <w:r>
        <w:t>qui</w:t>
      </w:r>
      <w:r w:rsidRPr="002C4077">
        <w:t xml:space="preserve"> </w:t>
      </w:r>
      <w:r>
        <w:t>va</w:t>
      </w:r>
      <w:r w:rsidRPr="002C4077">
        <w:t xml:space="preserve"> </w:t>
      </w:r>
      <w:r>
        <w:t>parler.</w:t>
      </w:r>
      <w:r w:rsidRPr="002C4077">
        <w:t xml:space="preserve"> </w:t>
      </w:r>
      <w:r>
        <w:t>Nous</w:t>
      </w:r>
      <w:r w:rsidRPr="002C4077">
        <w:t xml:space="preserve"> </w:t>
      </w:r>
      <w:r>
        <w:t>pourrons,</w:t>
      </w:r>
      <w:r w:rsidRPr="002C4077">
        <w:t xml:space="preserve"> </w:t>
      </w:r>
      <w:r>
        <w:t>comme</w:t>
      </w:r>
      <w:r w:rsidRPr="002C4077">
        <w:t xml:space="preserve"> </w:t>
      </w:r>
      <w:r>
        <w:t>on</w:t>
      </w:r>
      <w:r w:rsidRPr="002C4077">
        <w:t xml:space="preserve"> </w:t>
      </w:r>
      <w:r>
        <w:t>dit</w:t>
      </w:r>
      <w:r w:rsidRPr="002C4077">
        <w:t xml:space="preserve"> </w:t>
      </w:r>
      <w:r>
        <w:t>familièrement,</w:t>
      </w:r>
      <w:r w:rsidRPr="002C4077">
        <w:t xml:space="preserve"> </w:t>
      </w:r>
      <w:r w:rsidR="00B546AF">
        <w:t>« </w:t>
      </w:r>
      <w:r>
        <w:t>tirer</w:t>
      </w:r>
      <w:r w:rsidRPr="002C4077">
        <w:t xml:space="preserve"> </w:t>
      </w:r>
      <w:r>
        <w:t>l’échelle</w:t>
      </w:r>
      <w:r w:rsidR="00B546AF">
        <w:t> »</w:t>
      </w:r>
      <w:r w:rsidRPr="002C4077">
        <w:t xml:space="preserve"> </w:t>
      </w:r>
      <w:r>
        <w:t>après</w:t>
      </w:r>
      <w:r w:rsidRPr="002C4077">
        <w:t xml:space="preserve"> </w:t>
      </w:r>
      <w:r>
        <w:t>les</w:t>
      </w:r>
      <w:r w:rsidRPr="002C4077">
        <w:t xml:space="preserve"> </w:t>
      </w:r>
      <w:r>
        <w:t>lignes</w:t>
      </w:r>
      <w:r w:rsidRPr="002C4077">
        <w:t xml:space="preserve"> </w:t>
      </w:r>
      <w:r>
        <w:t>suivantes.</w:t>
      </w:r>
      <w:r w:rsidRPr="002C4077">
        <w:t xml:space="preserve"> </w:t>
      </w:r>
    </w:p>
    <w:p w:rsidR="000A7AAB" w:rsidRDefault="00B546AF" w:rsidP="000A7AAB">
      <w:r>
        <w:t>« </w:t>
      </w:r>
      <w:r w:rsidR="000A7AAB">
        <w:t>Après</w:t>
      </w:r>
      <w:r w:rsidR="000A7AAB" w:rsidRPr="002C4077">
        <w:t xml:space="preserve"> </w:t>
      </w:r>
      <w:r w:rsidR="000A7AAB">
        <w:t>avoir</w:t>
      </w:r>
      <w:r w:rsidR="000A7AAB" w:rsidRPr="002C4077">
        <w:t xml:space="preserve"> </w:t>
      </w:r>
      <w:r w:rsidR="000A7AAB">
        <w:t>effacé</w:t>
      </w:r>
      <w:r w:rsidR="000A7AAB" w:rsidRPr="002C4077">
        <w:t xml:space="preserve"> </w:t>
      </w:r>
      <w:r w:rsidR="000A7AAB">
        <w:t>des</w:t>
      </w:r>
      <w:r w:rsidR="000A7AAB" w:rsidRPr="002C4077">
        <w:t xml:space="preserve"> </w:t>
      </w:r>
      <w:r w:rsidR="000A7AAB">
        <w:t>récits</w:t>
      </w:r>
      <w:r w:rsidR="000A7AAB" w:rsidRPr="002C4077">
        <w:t xml:space="preserve"> </w:t>
      </w:r>
      <w:r w:rsidR="000A7AAB">
        <w:t>évangéliques</w:t>
      </w:r>
      <w:r w:rsidR="000A7AAB" w:rsidRPr="002C4077">
        <w:t xml:space="preserve"> </w:t>
      </w:r>
      <w:r w:rsidR="000A7AAB">
        <w:t>le</w:t>
      </w:r>
      <w:r w:rsidR="000A7AAB" w:rsidRPr="002C4077">
        <w:t xml:space="preserve"> </w:t>
      </w:r>
      <w:r w:rsidR="000A7AAB">
        <w:t>surnaturel,</w:t>
      </w:r>
      <w:r w:rsidR="000A7AAB" w:rsidRPr="002C4077">
        <w:t xml:space="preserve"> </w:t>
      </w:r>
      <w:r w:rsidR="000A7AAB">
        <w:t>on</w:t>
      </w:r>
      <w:r w:rsidR="000A7AAB" w:rsidRPr="002C4077">
        <w:t xml:space="preserve"> </w:t>
      </w:r>
      <w:r w:rsidR="000A7AAB">
        <w:t>pourrait</w:t>
      </w:r>
      <w:r w:rsidR="000A7AAB" w:rsidRPr="002C4077">
        <w:t xml:space="preserve"> </w:t>
      </w:r>
      <w:r w:rsidR="000A7AAB">
        <w:t>croire</w:t>
      </w:r>
      <w:r w:rsidR="000A7AAB" w:rsidRPr="002C4077">
        <w:t xml:space="preserve"> </w:t>
      </w:r>
      <w:r w:rsidR="000A7AAB">
        <w:t>que</w:t>
      </w:r>
      <w:r w:rsidR="000A7AAB" w:rsidRPr="002C4077">
        <w:t xml:space="preserve"> </w:t>
      </w:r>
      <w:r w:rsidR="000A7AAB">
        <w:t>rien</w:t>
      </w:r>
      <w:r w:rsidR="000A7AAB" w:rsidRPr="002C4077">
        <w:t xml:space="preserve"> </w:t>
      </w:r>
      <w:r w:rsidR="000A7AAB">
        <w:t>n’empêche</w:t>
      </w:r>
      <w:r w:rsidR="000A7AAB" w:rsidRPr="002C4077">
        <w:t xml:space="preserve"> </w:t>
      </w:r>
      <w:r w:rsidR="000A7AAB">
        <w:t>d’accepter</w:t>
      </w:r>
      <w:r w:rsidR="000A7AAB" w:rsidRPr="002C4077">
        <w:t xml:space="preserve"> </w:t>
      </w:r>
      <w:r w:rsidR="000A7AAB">
        <w:t>le</w:t>
      </w:r>
      <w:r w:rsidR="000A7AAB" w:rsidRPr="002C4077">
        <w:t xml:space="preserve"> </w:t>
      </w:r>
      <w:r w:rsidR="000A7AAB">
        <w:t>reste</w:t>
      </w:r>
      <w:r>
        <w:t> ;</w:t>
      </w:r>
      <w:r w:rsidR="000A7AAB" w:rsidRPr="002C4077">
        <w:t xml:space="preserve"> </w:t>
      </w:r>
      <w:r w:rsidR="000A7AAB">
        <w:t>mais,</w:t>
      </w:r>
      <w:r w:rsidR="000A7AAB" w:rsidRPr="002C4077">
        <w:t xml:space="preserve"> </w:t>
      </w:r>
      <w:r w:rsidR="000A7AAB">
        <w:t>en</w:t>
      </w:r>
      <w:r w:rsidR="000A7AAB" w:rsidRPr="002C4077">
        <w:t xml:space="preserve"> </w:t>
      </w:r>
      <w:r w:rsidR="000A7AAB">
        <w:t>y</w:t>
      </w:r>
      <w:r w:rsidR="000A7AAB" w:rsidRPr="002C4077">
        <w:t xml:space="preserve"> </w:t>
      </w:r>
      <w:r w:rsidR="000A7AAB">
        <w:t>regardant</w:t>
      </w:r>
      <w:r w:rsidR="000A7AAB" w:rsidRPr="002C4077">
        <w:t xml:space="preserve"> </w:t>
      </w:r>
      <w:r w:rsidR="000A7AAB">
        <w:t>de</w:t>
      </w:r>
      <w:r w:rsidR="000A7AAB" w:rsidRPr="002C4077">
        <w:t xml:space="preserve"> </w:t>
      </w:r>
      <w:r w:rsidR="000A7AAB">
        <w:t>plus</w:t>
      </w:r>
      <w:r w:rsidR="000A7AAB" w:rsidRPr="002C4077">
        <w:t xml:space="preserve"> </w:t>
      </w:r>
      <w:r w:rsidR="000A7AAB">
        <w:t>près,</w:t>
      </w:r>
      <w:r w:rsidR="000A7AAB" w:rsidRPr="002C4077">
        <w:t xml:space="preserve"> </w:t>
      </w:r>
      <w:r w:rsidR="000A7AAB">
        <w:t>on</w:t>
      </w:r>
      <w:r w:rsidR="000A7AAB" w:rsidRPr="002C4077">
        <w:t xml:space="preserve"> </w:t>
      </w:r>
      <w:r w:rsidR="000A7AAB">
        <w:t>s’aperçoit</w:t>
      </w:r>
      <w:r w:rsidR="000A7AAB" w:rsidRPr="002C4077">
        <w:t xml:space="preserve"> </w:t>
      </w:r>
      <w:r w:rsidR="000A7AAB">
        <w:t>qu’on</w:t>
      </w:r>
      <w:r w:rsidR="000A7AAB" w:rsidRPr="002C4077">
        <w:t xml:space="preserve"> </w:t>
      </w:r>
      <w:r w:rsidR="000A7AAB">
        <w:t>ne</w:t>
      </w:r>
      <w:r w:rsidR="000A7AAB" w:rsidRPr="002C4077">
        <w:t xml:space="preserve"> </w:t>
      </w:r>
      <w:r w:rsidR="000A7AAB">
        <w:t>peut</w:t>
      </w:r>
      <w:r w:rsidR="000A7AAB" w:rsidRPr="002C4077">
        <w:t xml:space="preserve"> </w:t>
      </w:r>
      <w:r w:rsidR="000A7AAB">
        <w:t>s’en</w:t>
      </w:r>
      <w:r w:rsidR="000A7AAB" w:rsidRPr="002C4077">
        <w:t xml:space="preserve"> </w:t>
      </w:r>
      <w:r w:rsidR="000A7AAB">
        <w:t>rapporter</w:t>
      </w:r>
      <w:r w:rsidR="000A7AAB" w:rsidRPr="002C4077">
        <w:t xml:space="preserve"> </w:t>
      </w:r>
      <w:r w:rsidR="000A7AAB">
        <w:t>à</w:t>
      </w:r>
      <w:r w:rsidR="000A7AAB" w:rsidRPr="002C4077">
        <w:t xml:space="preserve"> </w:t>
      </w:r>
      <w:r w:rsidR="000A7AAB">
        <w:t>leur</w:t>
      </w:r>
      <w:r w:rsidR="000A7AAB" w:rsidRPr="002C4077">
        <w:t xml:space="preserve"> </w:t>
      </w:r>
      <w:r w:rsidR="000A7AAB">
        <w:t>témoignage,</w:t>
      </w:r>
      <w:r w:rsidR="000A7AAB" w:rsidRPr="002C4077">
        <w:t xml:space="preserve"> </w:t>
      </w:r>
      <w:r w:rsidR="000A7AAB">
        <w:t>même</w:t>
      </w:r>
      <w:r w:rsidR="000A7AAB" w:rsidRPr="002C4077">
        <w:t xml:space="preserve"> </w:t>
      </w:r>
      <w:r w:rsidR="000A7AAB">
        <w:t>sur</w:t>
      </w:r>
      <w:r w:rsidR="000A7AAB" w:rsidRPr="002C4077">
        <w:t xml:space="preserve"> </w:t>
      </w:r>
      <w:r w:rsidR="000A7AAB">
        <w:t>les</w:t>
      </w:r>
      <w:r w:rsidR="000A7AAB" w:rsidRPr="002C4077">
        <w:t xml:space="preserve"> </w:t>
      </w:r>
      <w:r w:rsidR="000A7AAB">
        <w:t>faits</w:t>
      </w:r>
      <w:r w:rsidR="000A7AAB" w:rsidRPr="002C4077">
        <w:t xml:space="preserve"> </w:t>
      </w:r>
      <w:r w:rsidR="000A7AAB">
        <w:t>qui</w:t>
      </w:r>
      <w:r w:rsidR="000A7AAB" w:rsidRPr="002C4077">
        <w:t xml:space="preserve"> </w:t>
      </w:r>
      <w:r w:rsidR="000A7AAB">
        <w:t>n’ont</w:t>
      </w:r>
      <w:r w:rsidR="000A7AAB" w:rsidRPr="002C4077">
        <w:t xml:space="preserve"> </w:t>
      </w:r>
      <w:r w:rsidR="000A7AAB">
        <w:t>rien</w:t>
      </w:r>
      <w:r w:rsidR="000A7AAB" w:rsidRPr="002C4077">
        <w:t xml:space="preserve"> </w:t>
      </w:r>
      <w:r w:rsidR="000A7AAB">
        <w:t>de</w:t>
      </w:r>
      <w:r w:rsidR="000A7AAB" w:rsidRPr="002C4077">
        <w:t xml:space="preserve"> </w:t>
      </w:r>
      <w:r w:rsidR="000A7AAB">
        <w:t>merveilleux.</w:t>
      </w:r>
      <w:r w:rsidR="000A7AAB" w:rsidRPr="002C4077">
        <w:t xml:space="preserve"> </w:t>
      </w:r>
      <w:r w:rsidR="000A7AAB">
        <w:t>Je</w:t>
      </w:r>
      <w:r w:rsidR="000A7AAB" w:rsidRPr="002C4077">
        <w:t xml:space="preserve"> </w:t>
      </w:r>
      <w:r w:rsidR="000A7AAB">
        <w:t>ne</w:t>
      </w:r>
      <w:r w:rsidR="000A7AAB" w:rsidRPr="002C4077">
        <w:t xml:space="preserve"> </w:t>
      </w:r>
      <w:r w:rsidR="000A7AAB">
        <w:t>connais</w:t>
      </w:r>
      <w:r w:rsidR="000A7AAB" w:rsidRPr="002C4077">
        <w:t xml:space="preserve"> </w:t>
      </w:r>
      <w:r w:rsidR="000A7AAB">
        <w:t>qu’un</w:t>
      </w:r>
      <w:r w:rsidR="000A7AAB" w:rsidRPr="002C4077">
        <w:t xml:space="preserve"> </w:t>
      </w:r>
      <w:r w:rsidR="000A7AAB">
        <w:t>seul</w:t>
      </w:r>
      <w:r w:rsidR="000A7AAB" w:rsidRPr="002C4077">
        <w:t xml:space="preserve"> </w:t>
      </w:r>
      <w:r w:rsidR="000A7AAB">
        <w:t>de</w:t>
      </w:r>
      <w:r w:rsidR="000A7AAB" w:rsidRPr="002C4077">
        <w:t xml:space="preserve"> </w:t>
      </w:r>
      <w:r w:rsidR="000A7AAB">
        <w:t>ces</w:t>
      </w:r>
      <w:r w:rsidR="000A7AAB" w:rsidRPr="002C4077">
        <w:t xml:space="preserve"> </w:t>
      </w:r>
      <w:r w:rsidR="000A7AAB">
        <w:t>faits</w:t>
      </w:r>
      <w:r w:rsidR="000A7AAB" w:rsidRPr="002C4077">
        <w:t xml:space="preserve"> </w:t>
      </w:r>
      <w:r w:rsidR="000A7AAB">
        <w:t>qui</w:t>
      </w:r>
      <w:r w:rsidR="000A7AAB" w:rsidRPr="002C4077">
        <w:t xml:space="preserve"> </w:t>
      </w:r>
      <w:r w:rsidR="000A7AAB">
        <w:t>soit</w:t>
      </w:r>
      <w:r w:rsidR="000A7AAB" w:rsidRPr="002C4077">
        <w:t xml:space="preserve"> </w:t>
      </w:r>
      <w:r w:rsidR="000A7AAB">
        <w:t>absolument</w:t>
      </w:r>
      <w:r w:rsidR="000A7AAB" w:rsidRPr="002C4077">
        <w:t xml:space="preserve"> </w:t>
      </w:r>
      <w:r w:rsidR="000A7AAB">
        <w:t>incontestable,</w:t>
      </w:r>
      <w:r w:rsidR="000A7AAB" w:rsidRPr="002C4077">
        <w:t xml:space="preserve"> </w:t>
      </w:r>
      <w:r w:rsidR="000A7AAB">
        <w:t>c’est</w:t>
      </w:r>
      <w:r w:rsidR="000A7AAB" w:rsidRPr="002C4077">
        <w:t xml:space="preserve"> </w:t>
      </w:r>
      <w:r w:rsidR="000A7AAB">
        <w:t>que</w:t>
      </w:r>
      <w:r w:rsidR="000A7AAB" w:rsidRPr="002C4077">
        <w:t xml:space="preserve"> </w:t>
      </w:r>
      <w:r w:rsidR="00425C50">
        <w:t>Jésus</w:t>
      </w:r>
      <w:r w:rsidR="000A7AAB" w:rsidRPr="002C4077">
        <w:t xml:space="preserve"> </w:t>
      </w:r>
      <w:r w:rsidR="000A7AAB">
        <w:t>a</w:t>
      </w:r>
      <w:r w:rsidR="000A7AAB" w:rsidRPr="002C4077">
        <w:t xml:space="preserve"> </w:t>
      </w:r>
      <w:r w:rsidR="000A7AAB">
        <w:t>été</w:t>
      </w:r>
      <w:r w:rsidR="000A7AAB" w:rsidRPr="002C4077">
        <w:t xml:space="preserve"> </w:t>
      </w:r>
      <w:r w:rsidR="000A7AAB">
        <w:t>mis</w:t>
      </w:r>
      <w:r w:rsidR="000A7AAB" w:rsidRPr="002C4077">
        <w:t xml:space="preserve"> </w:t>
      </w:r>
      <w:r w:rsidR="000A7AAB">
        <w:t>en</w:t>
      </w:r>
      <w:r w:rsidR="000A7AAB" w:rsidRPr="002C4077">
        <w:t xml:space="preserve"> </w:t>
      </w:r>
      <w:r w:rsidR="000A7AAB">
        <w:t>croix</w:t>
      </w:r>
      <w:r w:rsidR="000A7AAB" w:rsidRPr="002C4077">
        <w:t xml:space="preserve"> </w:t>
      </w:r>
      <w:r w:rsidR="000A7AAB">
        <w:t>par</w:t>
      </w:r>
      <w:r w:rsidR="000A7AAB" w:rsidRPr="002C4077">
        <w:t xml:space="preserve"> </w:t>
      </w:r>
      <w:r w:rsidR="000A7AAB">
        <w:t>l’ordre</w:t>
      </w:r>
      <w:r w:rsidR="000A7AAB" w:rsidRPr="002C4077">
        <w:t xml:space="preserve"> </w:t>
      </w:r>
      <w:r w:rsidR="000A7AAB">
        <w:t>du</w:t>
      </w:r>
      <w:r w:rsidR="000A7AAB" w:rsidRPr="002C4077">
        <w:t xml:space="preserve"> </w:t>
      </w:r>
      <w:r w:rsidR="000A7AAB">
        <w:t>procurateur</w:t>
      </w:r>
      <w:r w:rsidR="000A7AAB" w:rsidRPr="002C4077">
        <w:t xml:space="preserve"> </w:t>
      </w:r>
      <w:r w:rsidR="000A7AAB">
        <w:t>P</w:t>
      </w:r>
      <w:r w:rsidR="003B53FD">
        <w:t>óntius</w:t>
      </w:r>
      <w:r w:rsidR="000A7AAB">
        <w:t>-</w:t>
      </w:r>
      <w:r w:rsidR="003B53FD">
        <w:t>Pilátus</w:t>
      </w:r>
      <w:r>
        <w:t> ;</w:t>
      </w:r>
      <w:r w:rsidR="00C45B47">
        <w:t xml:space="preserve"> {</w:t>
      </w:r>
      <w:r w:rsidR="004C5B7A">
        <w:t>138</w:t>
      </w:r>
      <w:bookmarkStart w:id="379" w:name="p138"/>
      <w:bookmarkEnd w:id="379"/>
      <w:r w:rsidR="004C5B7A">
        <w:t xml:space="preserve">} </w:t>
      </w:r>
      <w:r w:rsidR="000A7AAB">
        <w:t>mais,</w:t>
      </w:r>
      <w:r w:rsidR="000A7AAB" w:rsidRPr="002C4077">
        <w:t xml:space="preserve"> </w:t>
      </w:r>
      <w:r w:rsidR="000A7AAB">
        <w:t>à</w:t>
      </w:r>
      <w:r w:rsidR="000A7AAB" w:rsidRPr="002C4077">
        <w:t xml:space="preserve"> </w:t>
      </w:r>
      <w:r w:rsidR="000A7AAB">
        <w:t>l’exception</w:t>
      </w:r>
      <w:r w:rsidR="000A7AAB" w:rsidRPr="002C4077">
        <w:t xml:space="preserve"> </w:t>
      </w:r>
      <w:r w:rsidR="000A7AAB">
        <w:t>de</w:t>
      </w:r>
      <w:r w:rsidR="000A7AAB" w:rsidRPr="002C4077">
        <w:t xml:space="preserve"> </w:t>
      </w:r>
      <w:r w:rsidR="000A7AAB">
        <w:t>ce</w:t>
      </w:r>
      <w:r w:rsidR="000A7AAB" w:rsidRPr="002C4077">
        <w:t xml:space="preserve"> </w:t>
      </w:r>
      <w:r w:rsidR="000A7AAB">
        <w:t>fait</w:t>
      </w:r>
      <w:r w:rsidR="000A7AAB" w:rsidRPr="002C4077">
        <w:t xml:space="preserve"> </w:t>
      </w:r>
      <w:r w:rsidR="000A7AAB">
        <w:t>unique,</w:t>
      </w:r>
      <w:r w:rsidR="000A7AAB" w:rsidRPr="002C4077">
        <w:t xml:space="preserve"> </w:t>
      </w:r>
      <w:r w:rsidR="000A7AAB">
        <w:t>je</w:t>
      </w:r>
      <w:r w:rsidR="000A7AAB" w:rsidRPr="002C4077">
        <w:t xml:space="preserve"> </w:t>
      </w:r>
      <w:r w:rsidR="000A7AAB">
        <w:t>ne</w:t>
      </w:r>
      <w:r w:rsidR="000A7AAB" w:rsidRPr="002C4077">
        <w:t xml:space="preserve"> </w:t>
      </w:r>
      <w:r w:rsidR="000A7AAB">
        <w:t>crois</w:t>
      </w:r>
      <w:r w:rsidR="000A7AAB" w:rsidRPr="002C4077">
        <w:t xml:space="preserve"> </w:t>
      </w:r>
      <w:r w:rsidR="000A7AAB">
        <w:t>pas</w:t>
      </w:r>
      <w:r w:rsidR="000A7AAB" w:rsidRPr="002C4077">
        <w:t xml:space="preserve"> </w:t>
      </w:r>
      <w:r w:rsidR="000A7AAB">
        <w:t>qu’on</w:t>
      </w:r>
      <w:r w:rsidR="000A7AAB" w:rsidRPr="002C4077">
        <w:t xml:space="preserve"> </w:t>
      </w:r>
      <w:r w:rsidR="000A7AAB">
        <w:t>ait</w:t>
      </w:r>
      <w:r w:rsidR="000A7AAB" w:rsidRPr="002C4077">
        <w:t xml:space="preserve"> </w:t>
      </w:r>
      <w:r w:rsidR="000A7AAB">
        <w:t>produit,</w:t>
      </w:r>
      <w:r w:rsidR="000A7AAB" w:rsidRPr="002C4077">
        <w:t xml:space="preserve"> </w:t>
      </w:r>
      <w:r w:rsidR="000A7AAB">
        <w:t>au</w:t>
      </w:r>
      <w:r w:rsidR="000A7AAB" w:rsidRPr="002C4077">
        <w:t xml:space="preserve"> </w:t>
      </w:r>
      <w:r w:rsidR="000A7AAB">
        <w:t>sujet</w:t>
      </w:r>
      <w:r w:rsidR="000A7AAB" w:rsidRPr="002C4077">
        <w:t xml:space="preserve"> </w:t>
      </w:r>
      <w:r w:rsidR="000A7AAB">
        <w:t>de</w:t>
      </w:r>
      <w:r w:rsidR="000A7AAB" w:rsidRPr="002C4077">
        <w:t xml:space="preserve"> </w:t>
      </w:r>
      <w:r w:rsidR="00425C50">
        <w:t>Jésus</w:t>
      </w:r>
      <w:r w:rsidR="000A7AAB">
        <w:t>,</w:t>
      </w:r>
      <w:r w:rsidR="000A7AAB" w:rsidRPr="002C4077">
        <w:t xml:space="preserve"> </w:t>
      </w:r>
      <w:r w:rsidR="000A7AAB">
        <w:t>une</w:t>
      </w:r>
      <w:r w:rsidR="000A7AAB" w:rsidRPr="002C4077">
        <w:t xml:space="preserve"> </w:t>
      </w:r>
      <w:r w:rsidR="000A7AAB">
        <w:t>allégation</w:t>
      </w:r>
      <w:r w:rsidR="000A7AAB" w:rsidRPr="002C4077">
        <w:t xml:space="preserve"> </w:t>
      </w:r>
      <w:r w:rsidR="000A7AAB">
        <w:t>qui</w:t>
      </w:r>
      <w:r w:rsidR="000A7AAB" w:rsidRPr="002C4077">
        <w:t xml:space="preserve"> </w:t>
      </w:r>
      <w:r w:rsidR="000A7AAB">
        <w:t>ne</w:t>
      </w:r>
      <w:r w:rsidR="000A7AAB" w:rsidRPr="002C4077">
        <w:t xml:space="preserve"> </w:t>
      </w:r>
      <w:r w:rsidR="000A7AAB">
        <w:t>soit</w:t>
      </w:r>
      <w:r w:rsidR="000A7AAB" w:rsidRPr="002C4077">
        <w:t xml:space="preserve"> </w:t>
      </w:r>
      <w:r w:rsidR="000A7AAB">
        <w:t>sujette</w:t>
      </w:r>
      <w:r w:rsidR="000A7AAB" w:rsidRPr="002C4077">
        <w:t xml:space="preserve"> </w:t>
      </w:r>
      <w:r w:rsidR="000A7AAB">
        <w:t>à</w:t>
      </w:r>
      <w:r w:rsidR="000A7AAB" w:rsidRPr="002C4077">
        <w:t xml:space="preserve"> </w:t>
      </w:r>
      <w:r w:rsidR="000A7AAB">
        <w:t>des</w:t>
      </w:r>
      <w:r w:rsidR="000A7AAB" w:rsidRPr="002C4077">
        <w:t xml:space="preserve"> </w:t>
      </w:r>
      <w:r w:rsidR="000A7AAB">
        <w:t>doutes</w:t>
      </w:r>
      <w:r w:rsidR="000A7AAB" w:rsidRPr="002C4077">
        <w:t xml:space="preserve"> </w:t>
      </w:r>
      <w:r w:rsidR="000A7AAB">
        <w:t>très</w:t>
      </w:r>
      <w:r w:rsidR="000A7AAB" w:rsidRPr="002C4077">
        <w:t xml:space="preserve"> </w:t>
      </w:r>
      <w:r w:rsidR="000A7AAB">
        <w:t>graves,</w:t>
      </w:r>
      <w:r w:rsidR="000A7AAB" w:rsidRPr="002C4077">
        <w:t xml:space="preserve"> </w:t>
      </w:r>
      <w:r w:rsidR="000A7AAB">
        <w:t>même</w:t>
      </w:r>
      <w:r w:rsidR="000A7AAB" w:rsidRPr="002C4077">
        <w:t xml:space="preserve"> </w:t>
      </w:r>
      <w:r w:rsidR="000A7AAB">
        <w:t>parmi</w:t>
      </w:r>
      <w:r w:rsidR="000A7AAB" w:rsidRPr="002C4077">
        <w:t xml:space="preserve"> </w:t>
      </w:r>
      <w:r w:rsidR="000A7AAB">
        <w:t>celles</w:t>
      </w:r>
      <w:r w:rsidR="000A7AAB" w:rsidRPr="002C4077">
        <w:t xml:space="preserve"> </w:t>
      </w:r>
      <w:r w:rsidR="000A7AAB">
        <w:t>qui</w:t>
      </w:r>
      <w:r w:rsidR="000A7AAB" w:rsidRPr="002C4077">
        <w:t xml:space="preserve"> </w:t>
      </w:r>
      <w:r w:rsidR="000A7AAB">
        <w:t>portent</w:t>
      </w:r>
      <w:r w:rsidR="000A7AAB" w:rsidRPr="002C4077">
        <w:t xml:space="preserve"> </w:t>
      </w:r>
      <w:r w:rsidR="000A7AAB">
        <w:t>sur</w:t>
      </w:r>
      <w:r w:rsidR="000A7AAB" w:rsidRPr="002C4077">
        <w:t xml:space="preserve"> </w:t>
      </w:r>
      <w:r w:rsidR="000A7AAB">
        <w:t>les</w:t>
      </w:r>
      <w:r w:rsidR="000A7AAB" w:rsidRPr="002C4077">
        <w:t xml:space="preserve"> </w:t>
      </w:r>
      <w:r w:rsidR="000A7AAB">
        <w:t>points</w:t>
      </w:r>
      <w:r w:rsidR="000A7AAB" w:rsidRPr="002C4077">
        <w:t xml:space="preserve"> </w:t>
      </w:r>
      <w:r w:rsidR="000A7AAB">
        <w:t>les</w:t>
      </w:r>
      <w:r w:rsidR="000A7AAB" w:rsidRPr="002C4077">
        <w:t xml:space="preserve"> </w:t>
      </w:r>
      <w:r w:rsidR="000A7AAB">
        <w:t>plus</w:t>
      </w:r>
      <w:r w:rsidR="000A7AAB" w:rsidRPr="002C4077">
        <w:t xml:space="preserve"> </w:t>
      </w:r>
      <w:r w:rsidR="000A7AAB">
        <w:t>importants</w:t>
      </w:r>
      <w:r w:rsidR="00B91AF7">
        <w:rPr>
          <w:rStyle w:val="Appelnotedebasdep"/>
        </w:rPr>
        <w:footnoteReference w:id="431"/>
      </w:r>
      <w:r>
        <w:t> »</w:t>
      </w:r>
      <w:r w:rsidR="000A7AAB">
        <w:t>.</w:t>
      </w:r>
      <w:r w:rsidR="000A7AAB" w:rsidRPr="002C4077">
        <w:t xml:space="preserve"> </w:t>
      </w:r>
    </w:p>
    <w:p w:rsidR="000A7AAB" w:rsidRDefault="000A7AAB" w:rsidP="000A7AAB">
      <w:r>
        <w:t>Il</w:t>
      </w:r>
      <w:r w:rsidRPr="002C4077">
        <w:t xml:space="preserve"> </w:t>
      </w:r>
      <w:r>
        <w:t>eût</w:t>
      </w:r>
      <w:r w:rsidRPr="002C4077">
        <w:t xml:space="preserve"> </w:t>
      </w:r>
      <w:r>
        <w:t>été</w:t>
      </w:r>
      <w:r w:rsidRPr="002C4077">
        <w:t xml:space="preserve"> </w:t>
      </w:r>
      <w:r>
        <w:t>plus</w:t>
      </w:r>
      <w:r w:rsidRPr="002C4077">
        <w:t xml:space="preserve"> </w:t>
      </w:r>
      <w:r>
        <w:t>simple</w:t>
      </w:r>
      <w:r w:rsidRPr="002C4077">
        <w:t xml:space="preserve"> </w:t>
      </w:r>
      <w:r>
        <w:t>et</w:t>
      </w:r>
      <w:r w:rsidRPr="002C4077">
        <w:t xml:space="preserve"> </w:t>
      </w:r>
      <w:r>
        <w:t>plus</w:t>
      </w:r>
      <w:r w:rsidRPr="002C4077">
        <w:t xml:space="preserve"> </w:t>
      </w:r>
      <w:r>
        <w:t>logique,</w:t>
      </w:r>
      <w:r w:rsidRPr="002C4077">
        <w:t xml:space="preserve"> </w:t>
      </w:r>
      <w:r>
        <w:t>puisque</w:t>
      </w:r>
      <w:r w:rsidRPr="002C4077">
        <w:t xml:space="preserve"> </w:t>
      </w:r>
      <w:r>
        <w:t>tout</w:t>
      </w:r>
      <w:r w:rsidRPr="002C4077">
        <w:t xml:space="preserve"> </w:t>
      </w:r>
      <w:r w:rsidR="00425C50">
        <w:t>est</w:t>
      </w:r>
      <w:r w:rsidRPr="002C4077">
        <w:t xml:space="preserve"> </w:t>
      </w:r>
      <w:r w:rsidR="00B546AF">
        <w:t>« </w:t>
      </w:r>
      <w:r>
        <w:t>imagination</w:t>
      </w:r>
      <w:r w:rsidR="00B546AF">
        <w:t> »</w:t>
      </w:r>
      <w:r w:rsidRPr="002C4077">
        <w:t xml:space="preserve"> </w:t>
      </w:r>
      <w:r>
        <w:t>dans</w:t>
      </w:r>
      <w:r w:rsidRPr="002C4077">
        <w:t xml:space="preserve"> </w:t>
      </w:r>
      <w:r>
        <w:t>les</w:t>
      </w:r>
      <w:r w:rsidRPr="002C4077">
        <w:t xml:space="preserve"> </w:t>
      </w:r>
      <w:r>
        <w:t>évangiles,</w:t>
      </w:r>
      <w:r w:rsidRPr="002C4077">
        <w:t xml:space="preserve"> </w:t>
      </w:r>
      <w:r>
        <w:t>de</w:t>
      </w:r>
      <w:r w:rsidRPr="002C4077">
        <w:t xml:space="preserve"> </w:t>
      </w:r>
      <w:r>
        <w:t>conclure</w:t>
      </w:r>
      <w:r w:rsidRPr="002C4077">
        <w:t xml:space="preserve"> </w:t>
      </w:r>
      <w:r>
        <w:t>que</w:t>
      </w:r>
      <w:r w:rsidRPr="002C4077">
        <w:t xml:space="preserve"> </w:t>
      </w:r>
      <w:r w:rsidR="00425C50">
        <w:t>Jésus</w:t>
      </w:r>
      <w:r w:rsidRPr="002C4077">
        <w:t xml:space="preserve"> </w:t>
      </w:r>
      <w:r>
        <w:t>n’a</w:t>
      </w:r>
      <w:r w:rsidRPr="002C4077">
        <w:t xml:space="preserve"> </w:t>
      </w:r>
      <w:r>
        <w:t>pas</w:t>
      </w:r>
      <w:r w:rsidRPr="002C4077">
        <w:t xml:space="preserve"> </w:t>
      </w:r>
      <w:r>
        <w:t>existé,</w:t>
      </w:r>
      <w:r w:rsidRPr="002C4077">
        <w:t xml:space="preserve"> </w:t>
      </w:r>
      <w:r>
        <w:t>que</w:t>
      </w:r>
      <w:r w:rsidRPr="002C4077">
        <w:t xml:space="preserve"> </w:t>
      </w:r>
      <w:r>
        <w:t>sa</w:t>
      </w:r>
      <w:r w:rsidRPr="002C4077">
        <w:t xml:space="preserve"> </w:t>
      </w:r>
      <w:r>
        <w:t>personnalité</w:t>
      </w:r>
      <w:r w:rsidRPr="002C4077">
        <w:t xml:space="preserve"> </w:t>
      </w:r>
      <w:r>
        <w:t>même</w:t>
      </w:r>
      <w:r w:rsidRPr="002C4077">
        <w:t xml:space="preserve"> </w:t>
      </w:r>
      <w:r w:rsidR="00425C50">
        <w:t>est</w:t>
      </w:r>
      <w:r w:rsidRPr="002C4077">
        <w:t xml:space="preserve"> </w:t>
      </w:r>
      <w:r>
        <w:t>une</w:t>
      </w:r>
      <w:r w:rsidRPr="002C4077">
        <w:t xml:space="preserve"> </w:t>
      </w:r>
      <w:r>
        <w:t>invention</w:t>
      </w:r>
      <w:r w:rsidRPr="002C4077">
        <w:t xml:space="preserve"> </w:t>
      </w:r>
      <w:r>
        <w:t>des</w:t>
      </w:r>
      <w:r w:rsidRPr="002C4077">
        <w:t xml:space="preserve"> </w:t>
      </w:r>
      <w:r>
        <w:t>chrétiens.</w:t>
      </w:r>
      <w:r w:rsidRPr="002C4077">
        <w:t xml:space="preserve"> </w:t>
      </w:r>
      <w:r>
        <w:t>Mais</w:t>
      </w:r>
      <w:r w:rsidRPr="002C4077">
        <w:t xml:space="preserve"> </w:t>
      </w:r>
      <w:r>
        <w:t>Tacite</w:t>
      </w:r>
      <w:bookmarkStart w:id="380" w:name="z_Tacite_o1"/>
      <w:bookmarkEnd w:id="380"/>
      <w:r w:rsidRPr="002C4077">
        <w:t xml:space="preserve"> </w:t>
      </w:r>
      <w:r>
        <w:t>raconte</w:t>
      </w:r>
      <w:r w:rsidRPr="002C4077">
        <w:t xml:space="preserve"> </w:t>
      </w:r>
      <w:r>
        <w:t>dans</w:t>
      </w:r>
      <w:r w:rsidRPr="002C4077">
        <w:t xml:space="preserve"> </w:t>
      </w:r>
      <w:r>
        <w:t>ses</w:t>
      </w:r>
      <w:r w:rsidRPr="002C4077">
        <w:t xml:space="preserve"> </w:t>
      </w:r>
      <w:r w:rsidRPr="000A34B5">
        <w:rPr>
          <w:rStyle w:val="italicus"/>
        </w:rPr>
        <w:t>Annales</w:t>
      </w:r>
      <w:r w:rsidRPr="002C4077">
        <w:t xml:space="preserve"> </w:t>
      </w:r>
      <w:r w:rsidR="00B91AF7">
        <w:rPr>
          <w:rStyle w:val="Appelnotedebasdep"/>
        </w:rPr>
        <w:footnoteReference w:id="432"/>
      </w:r>
      <w:r w:rsidRPr="002C4077">
        <w:t xml:space="preserve"> </w:t>
      </w:r>
      <w:r>
        <w:t>que,</w:t>
      </w:r>
      <w:r w:rsidRPr="002C4077">
        <w:t xml:space="preserve"> </w:t>
      </w:r>
      <w:r w:rsidR="00B546AF">
        <w:t>« </w:t>
      </w:r>
      <w:r>
        <w:t>sous</w:t>
      </w:r>
      <w:r w:rsidRPr="002C4077">
        <w:t xml:space="preserve"> </w:t>
      </w:r>
      <w:r>
        <w:t>l’empire</w:t>
      </w:r>
      <w:r w:rsidRPr="002C4077">
        <w:t xml:space="preserve"> </w:t>
      </w:r>
      <w:r>
        <w:t>de</w:t>
      </w:r>
      <w:r w:rsidRPr="002C4077">
        <w:t xml:space="preserve"> </w:t>
      </w:r>
      <w:r>
        <w:t>Tibère</w:t>
      </w:r>
      <w:r w:rsidRPr="002C4077">
        <w:t xml:space="preserve"> </w:t>
      </w:r>
      <w:r>
        <w:t>et</w:t>
      </w:r>
      <w:r w:rsidRPr="002C4077">
        <w:t xml:space="preserve"> </w:t>
      </w:r>
      <w:r>
        <w:t>par</w:t>
      </w:r>
      <w:r w:rsidRPr="002C4077">
        <w:t xml:space="preserve"> </w:t>
      </w:r>
      <w:r>
        <w:t>l’ordre</w:t>
      </w:r>
      <w:r w:rsidRPr="002C4077">
        <w:t xml:space="preserve"> </w:t>
      </w:r>
      <w:r>
        <w:t>du</w:t>
      </w:r>
      <w:r w:rsidRPr="002C4077">
        <w:t xml:space="preserve"> </w:t>
      </w:r>
      <w:r>
        <w:t>procurateur</w:t>
      </w:r>
      <w:r w:rsidRPr="002C4077">
        <w:t xml:space="preserve"> </w:t>
      </w:r>
      <w:r>
        <w:t>P</w:t>
      </w:r>
      <w:r w:rsidR="003B53FD">
        <w:t>óntius</w:t>
      </w:r>
      <w:r>
        <w:t>-</w:t>
      </w:r>
      <w:r w:rsidR="003B53FD">
        <w:t>Pilátus</w:t>
      </w:r>
      <w:r>
        <w:t>,</w:t>
      </w:r>
      <w:r w:rsidRPr="002C4077">
        <w:t xml:space="preserve"> </w:t>
      </w:r>
      <w:r w:rsidR="00425C50">
        <w:t>Christ</w:t>
      </w:r>
      <w:r w:rsidRPr="002C4077">
        <w:t xml:space="preserve"> </w:t>
      </w:r>
      <w:r>
        <w:t>subit</w:t>
      </w:r>
      <w:r w:rsidRPr="002C4077">
        <w:t xml:space="preserve"> </w:t>
      </w:r>
      <w:r>
        <w:t>le</w:t>
      </w:r>
      <w:r w:rsidRPr="002C4077">
        <w:t xml:space="preserve"> </w:t>
      </w:r>
      <w:r>
        <w:t>dernier</w:t>
      </w:r>
      <w:r w:rsidRPr="002C4077">
        <w:t xml:space="preserve"> </w:t>
      </w:r>
      <w:r>
        <w:t>supplice</w:t>
      </w:r>
      <w:r w:rsidR="008D184D">
        <w:rPr>
          <w:rStyle w:val="Appelnotedebasdep"/>
        </w:rPr>
        <w:footnoteReference w:id="433"/>
      </w:r>
      <w:r w:rsidR="00B546AF">
        <w:t> »</w:t>
      </w:r>
      <w:r>
        <w:t>.</w:t>
      </w:r>
      <w:r w:rsidRPr="002C4077">
        <w:t xml:space="preserve"> </w:t>
      </w:r>
      <w:r>
        <w:t>Il</w:t>
      </w:r>
      <w:r w:rsidRPr="002C4077">
        <w:t xml:space="preserve"> </w:t>
      </w:r>
      <w:r>
        <w:t>faut</w:t>
      </w:r>
      <w:r w:rsidRPr="002C4077">
        <w:t xml:space="preserve"> </w:t>
      </w:r>
      <w:r>
        <w:t>bien</w:t>
      </w:r>
      <w:r w:rsidRPr="002C4077">
        <w:t xml:space="preserve"> </w:t>
      </w:r>
      <w:r>
        <w:t>ajouter</w:t>
      </w:r>
      <w:r w:rsidRPr="002C4077">
        <w:t xml:space="preserve"> </w:t>
      </w:r>
      <w:r>
        <w:t>foi</w:t>
      </w:r>
      <w:r w:rsidRPr="002C4077">
        <w:t xml:space="preserve"> </w:t>
      </w:r>
      <w:r>
        <w:t>aux</w:t>
      </w:r>
      <w:r w:rsidRPr="002C4077">
        <w:t xml:space="preserve"> </w:t>
      </w:r>
      <w:r>
        <w:t>dires</w:t>
      </w:r>
      <w:r w:rsidRPr="002C4077">
        <w:t xml:space="preserve"> </w:t>
      </w:r>
      <w:r>
        <w:t>d’un</w:t>
      </w:r>
      <w:r w:rsidRPr="002C4077">
        <w:t xml:space="preserve"> </w:t>
      </w:r>
      <w:r>
        <w:t>annaliste</w:t>
      </w:r>
      <w:r w:rsidRPr="002C4077">
        <w:t xml:space="preserve"> </w:t>
      </w:r>
      <w:r>
        <w:t>païen,</w:t>
      </w:r>
      <w:r w:rsidRPr="002C4077">
        <w:t xml:space="preserve"> </w:t>
      </w:r>
      <w:r>
        <w:t>quoique</w:t>
      </w:r>
      <w:r w:rsidRPr="002C4077">
        <w:t xml:space="preserve"> </w:t>
      </w:r>
      <w:r>
        <w:t>les</w:t>
      </w:r>
      <w:r w:rsidRPr="002C4077">
        <w:t xml:space="preserve"> </w:t>
      </w:r>
      <w:r>
        <w:t>historiographes</w:t>
      </w:r>
      <w:r w:rsidRPr="002C4077">
        <w:t xml:space="preserve"> </w:t>
      </w:r>
      <w:r>
        <w:t>chrétiens</w:t>
      </w:r>
      <w:r w:rsidRPr="002C4077">
        <w:t xml:space="preserve"> </w:t>
      </w:r>
      <w:r>
        <w:t>ne</w:t>
      </w:r>
      <w:r w:rsidRPr="002C4077">
        <w:t xml:space="preserve"> </w:t>
      </w:r>
      <w:r>
        <w:t>méritent</w:t>
      </w:r>
      <w:r w:rsidRPr="002C4077">
        <w:t xml:space="preserve"> </w:t>
      </w:r>
      <w:r>
        <w:t>aucune</w:t>
      </w:r>
      <w:r w:rsidRPr="002C4077">
        <w:t xml:space="preserve"> </w:t>
      </w:r>
      <w:r>
        <w:t>créance</w:t>
      </w:r>
      <w:r w:rsidR="00B546AF">
        <w:t> !</w:t>
      </w:r>
      <w:r w:rsidRPr="002C4077">
        <w:t xml:space="preserve"> </w:t>
      </w:r>
      <w:r>
        <w:t>Aussi,</w:t>
      </w:r>
      <w:r w:rsidRPr="002C4077">
        <w:t xml:space="preserve"> </w:t>
      </w:r>
      <w:r>
        <w:t>en</w:t>
      </w:r>
      <w:r w:rsidRPr="002C4077">
        <w:t xml:space="preserve"> </w:t>
      </w:r>
      <w:r>
        <w:t>passant</w:t>
      </w:r>
      <w:r w:rsidRPr="002C4077">
        <w:t xml:space="preserve"> </w:t>
      </w:r>
      <w:r>
        <w:t>de</w:t>
      </w:r>
      <w:r w:rsidRPr="002C4077">
        <w:t xml:space="preserve"> </w:t>
      </w:r>
      <w:r>
        <w:t>ceux-ci</w:t>
      </w:r>
      <w:r w:rsidRPr="002C4077">
        <w:t xml:space="preserve"> </w:t>
      </w:r>
      <w:r>
        <w:t>à</w:t>
      </w:r>
      <w:r w:rsidRPr="002C4077">
        <w:t xml:space="preserve"> </w:t>
      </w:r>
      <w:r w:rsidR="003B53FD">
        <w:t>celui</w:t>
      </w:r>
      <w:r>
        <w:t>-là,</w:t>
      </w:r>
      <w:r w:rsidRPr="002C4077">
        <w:t xml:space="preserve"> </w:t>
      </w:r>
      <w:r>
        <w:t>M.</w:t>
      </w:r>
      <w:r w:rsidRPr="002C4077">
        <w:t xml:space="preserve"> </w:t>
      </w:r>
      <w:r>
        <w:t>Havet</w:t>
      </w:r>
      <w:r w:rsidRPr="002C4077">
        <w:t xml:space="preserve"> </w:t>
      </w:r>
      <w:r>
        <w:t>s’écrie-t-il</w:t>
      </w:r>
      <w:r w:rsidRPr="002C4077">
        <w:t xml:space="preserve"> </w:t>
      </w:r>
      <w:r>
        <w:t>avec</w:t>
      </w:r>
      <w:r w:rsidRPr="002C4077">
        <w:t xml:space="preserve"> </w:t>
      </w:r>
      <w:r>
        <w:t>l’accent</w:t>
      </w:r>
      <w:r w:rsidRPr="002C4077">
        <w:t xml:space="preserve"> </w:t>
      </w:r>
      <w:r>
        <w:t>du</w:t>
      </w:r>
      <w:r w:rsidRPr="002C4077">
        <w:t xml:space="preserve"> </w:t>
      </w:r>
      <w:r>
        <w:t>triomphe</w:t>
      </w:r>
      <w:r w:rsidR="00B546AF">
        <w:t> :</w:t>
      </w:r>
      <w:r w:rsidRPr="002C4077">
        <w:t xml:space="preserve"> </w:t>
      </w:r>
      <w:r w:rsidR="00B546AF">
        <w:t>« </w:t>
      </w:r>
      <w:r>
        <w:t>Revenons</w:t>
      </w:r>
      <w:r w:rsidRPr="002C4077">
        <w:t xml:space="preserve"> </w:t>
      </w:r>
      <w:r>
        <w:t>à</w:t>
      </w:r>
      <w:r w:rsidRPr="002C4077">
        <w:t xml:space="preserve"> </w:t>
      </w:r>
      <w:r>
        <w:t>la</w:t>
      </w:r>
      <w:r w:rsidRPr="002C4077">
        <w:t xml:space="preserve"> </w:t>
      </w:r>
      <w:r>
        <w:t>réalité</w:t>
      </w:r>
      <w:r w:rsidRPr="002C4077">
        <w:t xml:space="preserve"> </w:t>
      </w:r>
      <w:r>
        <w:t>et</w:t>
      </w:r>
      <w:r w:rsidRPr="002C4077">
        <w:t xml:space="preserve"> </w:t>
      </w:r>
      <w:r>
        <w:t>à</w:t>
      </w:r>
      <w:bookmarkStart w:id="381" w:name="z_Havet_o6"/>
      <w:bookmarkEnd w:id="381"/>
      <w:r w:rsidRPr="002C4077">
        <w:t xml:space="preserve"> </w:t>
      </w:r>
      <w:r>
        <w:t>l’histoire</w:t>
      </w:r>
      <w:r w:rsidR="003041FD">
        <w:rPr>
          <w:rStyle w:val="Appelnotedebasdep"/>
        </w:rPr>
        <w:footnoteReference w:id="434"/>
      </w:r>
      <w:r w:rsidR="00B546AF">
        <w:t> »</w:t>
      </w:r>
      <w:r>
        <w:t>.</w:t>
      </w:r>
      <w:r w:rsidRPr="002C4077">
        <w:t xml:space="preserve"> </w:t>
      </w:r>
    </w:p>
    <w:p w:rsidR="000D12F1" w:rsidRDefault="000D12F1" w:rsidP="003041FD"/>
    <w:p w:rsidR="003041FD" w:rsidRDefault="003041FD" w:rsidP="003041FD">
      <w:r>
        <w:t>4.</w:t>
      </w:r>
      <w:r w:rsidRPr="002C4077">
        <w:t xml:space="preserve"> </w:t>
      </w:r>
      <w:r w:rsidRPr="000A34B5">
        <w:rPr>
          <w:rStyle w:val="italicus"/>
        </w:rPr>
        <w:t>La</w:t>
      </w:r>
      <w:r w:rsidRPr="002C4077">
        <w:t xml:space="preserve"> </w:t>
      </w:r>
      <w:r w:rsidRPr="000A34B5">
        <w:rPr>
          <w:rStyle w:val="italicus"/>
        </w:rPr>
        <w:t>thèse</w:t>
      </w:r>
      <w:r w:rsidRPr="002C4077">
        <w:t xml:space="preserve"> </w:t>
      </w:r>
      <w:r w:rsidRPr="000A34B5">
        <w:rPr>
          <w:rStyle w:val="italicus"/>
        </w:rPr>
        <w:t>principale</w:t>
      </w:r>
      <w:r w:rsidRPr="002C4077">
        <w:t xml:space="preserve"> </w:t>
      </w:r>
      <w:r w:rsidRPr="000A34B5">
        <w:rPr>
          <w:rStyle w:val="italicus"/>
        </w:rPr>
        <w:t>de</w:t>
      </w:r>
      <w:r w:rsidRPr="002C4077">
        <w:t xml:space="preserve"> </w:t>
      </w:r>
      <w:r w:rsidRPr="000A34B5">
        <w:rPr>
          <w:rStyle w:val="italicus"/>
        </w:rPr>
        <w:t>M.</w:t>
      </w:r>
      <w:r w:rsidRPr="002C4077">
        <w:t xml:space="preserve"> </w:t>
      </w:r>
      <w:r w:rsidRPr="000A34B5">
        <w:rPr>
          <w:rStyle w:val="italicus"/>
        </w:rPr>
        <w:t>Havet.</w:t>
      </w:r>
      <w:bookmarkStart w:id="382" w:name="z_Havet_o7"/>
      <w:bookmarkEnd w:id="382"/>
      <w:r w:rsidRPr="002C4077">
        <w:t xml:space="preserve"> </w:t>
      </w:r>
      <w:r>
        <w:t>—</w:t>
      </w:r>
      <w:r w:rsidRPr="002C4077">
        <w:t xml:space="preserve"> </w:t>
      </w:r>
      <w:r>
        <w:t>Cette</w:t>
      </w:r>
      <w:r w:rsidRPr="002C4077">
        <w:t xml:space="preserve"> </w:t>
      </w:r>
      <w:r>
        <w:t>thèse,</w:t>
      </w:r>
      <w:r w:rsidRPr="002C4077">
        <w:t xml:space="preserve"> </w:t>
      </w:r>
      <w:r>
        <w:t>nous</w:t>
      </w:r>
      <w:r w:rsidRPr="002C4077">
        <w:t xml:space="preserve"> </w:t>
      </w:r>
      <w:r>
        <w:t>venons</w:t>
      </w:r>
      <w:r w:rsidRPr="002C4077">
        <w:t xml:space="preserve"> </w:t>
      </w:r>
      <w:r>
        <w:t>de</w:t>
      </w:r>
      <w:r w:rsidRPr="002C4077">
        <w:t xml:space="preserve"> </w:t>
      </w:r>
      <w:r>
        <w:t>l’entendre.</w:t>
      </w:r>
      <w:r w:rsidRPr="002C4077">
        <w:t xml:space="preserve"> </w:t>
      </w:r>
      <w:r>
        <w:t>C’est</w:t>
      </w:r>
      <w:r w:rsidRPr="002C4077">
        <w:t xml:space="preserve"> </w:t>
      </w:r>
      <w:r>
        <w:t>l’article</w:t>
      </w:r>
      <w:r w:rsidRPr="002C4077">
        <w:t xml:space="preserve"> </w:t>
      </w:r>
      <w:r>
        <w:t>du</w:t>
      </w:r>
      <w:r w:rsidRPr="002C4077">
        <w:t xml:space="preserve"> </w:t>
      </w:r>
      <w:r>
        <w:t>Symbole</w:t>
      </w:r>
      <w:r w:rsidR="00B546AF">
        <w:t> :</w:t>
      </w:r>
      <w:r w:rsidRPr="002C4077">
        <w:t xml:space="preserve"> </w:t>
      </w:r>
      <w:r w:rsidRPr="000A34B5">
        <w:rPr>
          <w:rStyle w:val="italicus"/>
        </w:rPr>
        <w:t>Passus</w:t>
      </w:r>
      <w:r w:rsidRPr="002C4077">
        <w:t xml:space="preserve"> </w:t>
      </w:r>
      <w:r w:rsidRPr="000A34B5">
        <w:rPr>
          <w:rStyle w:val="italicus"/>
        </w:rPr>
        <w:t>sub</w:t>
      </w:r>
      <w:r w:rsidRPr="002C4077">
        <w:t xml:space="preserve"> </w:t>
      </w:r>
      <w:r w:rsidRPr="000A34B5">
        <w:rPr>
          <w:rStyle w:val="italicus"/>
        </w:rPr>
        <w:t>P</w:t>
      </w:r>
      <w:r>
        <w:rPr>
          <w:rStyle w:val="italicus"/>
        </w:rPr>
        <w:t>ó</w:t>
      </w:r>
      <w:r w:rsidRPr="000A34B5">
        <w:rPr>
          <w:rStyle w:val="italicus"/>
        </w:rPr>
        <w:t>ntio</w:t>
      </w:r>
      <w:r w:rsidRPr="002C4077">
        <w:t xml:space="preserve"> </w:t>
      </w:r>
      <w:r w:rsidRPr="000A34B5">
        <w:rPr>
          <w:rStyle w:val="italicus"/>
        </w:rPr>
        <w:t>Pil</w:t>
      </w:r>
      <w:r>
        <w:rPr>
          <w:rStyle w:val="italicus"/>
        </w:rPr>
        <w:t>á</w:t>
      </w:r>
      <w:r w:rsidRPr="000A34B5">
        <w:rPr>
          <w:rStyle w:val="italicus"/>
        </w:rPr>
        <w:t>to.</w:t>
      </w:r>
      <w:r w:rsidRPr="002C4077">
        <w:t xml:space="preserve"> </w:t>
      </w:r>
      <w:r>
        <w:t>Mais</w:t>
      </w:r>
      <w:r w:rsidRPr="002C4077">
        <w:t xml:space="preserve"> </w:t>
      </w:r>
      <w:r>
        <w:t>peut-être</w:t>
      </w:r>
      <w:r w:rsidRPr="002C4077">
        <w:t xml:space="preserve"> </w:t>
      </w:r>
      <w:r>
        <w:t>M.</w:t>
      </w:r>
      <w:r w:rsidRPr="002C4077">
        <w:t xml:space="preserve"> </w:t>
      </w:r>
      <w:r>
        <w:t>Havet</w:t>
      </w:r>
      <w:r w:rsidRPr="002C4077">
        <w:t xml:space="preserve"> </w:t>
      </w:r>
      <w:r>
        <w:t>la</w:t>
      </w:r>
      <w:r w:rsidRPr="002C4077">
        <w:t xml:space="preserve"> </w:t>
      </w:r>
      <w:r>
        <w:t>répudiera-t-il,</w:t>
      </w:r>
      <w:r w:rsidRPr="002C4077">
        <w:t xml:space="preserve"> </w:t>
      </w:r>
      <w:r>
        <w:t>en</w:t>
      </w:r>
      <w:r w:rsidRPr="002C4077">
        <w:t xml:space="preserve"> </w:t>
      </w:r>
      <w:r>
        <w:t>dépit</w:t>
      </w:r>
      <w:r w:rsidRPr="002C4077">
        <w:t xml:space="preserve"> </w:t>
      </w:r>
      <w:r>
        <w:t>du</w:t>
      </w:r>
      <w:r w:rsidRPr="002C4077">
        <w:t xml:space="preserve"> </w:t>
      </w:r>
      <w:r>
        <w:t>témoignage</w:t>
      </w:r>
      <w:r w:rsidRPr="002C4077">
        <w:t xml:space="preserve"> </w:t>
      </w:r>
      <w:r>
        <w:t>de</w:t>
      </w:r>
      <w:r w:rsidRPr="002C4077">
        <w:t xml:space="preserve"> </w:t>
      </w:r>
      <w:r>
        <w:t>Tacite,</w:t>
      </w:r>
      <w:r w:rsidRPr="002C4077">
        <w:t xml:space="preserve"> </w:t>
      </w:r>
      <w:r>
        <w:t>si</w:t>
      </w:r>
      <w:r w:rsidRPr="002C4077">
        <w:t xml:space="preserve"> </w:t>
      </w:r>
      <w:r>
        <w:t>nous</w:t>
      </w:r>
      <w:r w:rsidRPr="002C4077">
        <w:t xml:space="preserve"> </w:t>
      </w:r>
      <w:r>
        <w:t>lui</w:t>
      </w:r>
      <w:r w:rsidRPr="002C4077">
        <w:t xml:space="preserve"> </w:t>
      </w:r>
      <w:r>
        <w:t>rappelons</w:t>
      </w:r>
      <w:r w:rsidRPr="002C4077">
        <w:t xml:space="preserve"> </w:t>
      </w:r>
      <w:r>
        <w:t>que</w:t>
      </w:r>
      <w:r w:rsidRPr="002C4077">
        <w:t xml:space="preserve"> </w:t>
      </w:r>
      <w:r>
        <w:t>c’est</w:t>
      </w:r>
      <w:r w:rsidRPr="002C4077">
        <w:t xml:space="preserve"> </w:t>
      </w:r>
      <w:r>
        <w:t>un</w:t>
      </w:r>
      <w:r w:rsidRPr="002C4077">
        <w:t xml:space="preserve"> </w:t>
      </w:r>
      <w:r>
        <w:t>article</w:t>
      </w:r>
      <w:r w:rsidRPr="002C4077">
        <w:t xml:space="preserve"> </w:t>
      </w:r>
      <w:r>
        <w:t>du</w:t>
      </w:r>
      <w:r w:rsidRPr="002C4077">
        <w:t xml:space="preserve"> </w:t>
      </w:r>
      <w:r>
        <w:t>Symbole</w:t>
      </w:r>
      <w:r w:rsidR="00B546AF">
        <w:t> ?</w:t>
      </w:r>
      <w:r w:rsidRPr="002C4077">
        <w:t xml:space="preserve"> </w:t>
      </w:r>
      <w:r>
        <w:t>Elle</w:t>
      </w:r>
      <w:r w:rsidRPr="002C4077">
        <w:t xml:space="preserve"> </w:t>
      </w:r>
      <w:r>
        <w:t>lui</w:t>
      </w:r>
      <w:r w:rsidRPr="002C4077">
        <w:t xml:space="preserve"> </w:t>
      </w:r>
      <w:r w:rsidR="00425C50">
        <w:t>est</w:t>
      </w:r>
      <w:r w:rsidRPr="002C4077">
        <w:t xml:space="preserve"> </w:t>
      </w:r>
      <w:r>
        <w:t>chère</w:t>
      </w:r>
      <w:r w:rsidRPr="002C4077">
        <w:t xml:space="preserve"> </w:t>
      </w:r>
      <w:r>
        <w:t>néanmoins,</w:t>
      </w:r>
      <w:r w:rsidRPr="002C4077">
        <w:t xml:space="preserve"> </w:t>
      </w:r>
      <w:r>
        <w:t>car</w:t>
      </w:r>
      <w:r w:rsidRPr="002C4077">
        <w:t xml:space="preserve"> </w:t>
      </w:r>
      <w:r>
        <w:t>il</w:t>
      </w:r>
      <w:r w:rsidRPr="002C4077">
        <w:t xml:space="preserve"> </w:t>
      </w:r>
      <w:r>
        <w:t>lui</w:t>
      </w:r>
      <w:r w:rsidRPr="002C4077">
        <w:t xml:space="preserve"> </w:t>
      </w:r>
      <w:r>
        <w:t>consacre</w:t>
      </w:r>
      <w:r w:rsidRPr="002C4077">
        <w:t xml:space="preserve"> </w:t>
      </w:r>
      <w:r>
        <w:t>plusieurs</w:t>
      </w:r>
      <w:r w:rsidRPr="002C4077">
        <w:t xml:space="preserve"> </w:t>
      </w:r>
      <w:r>
        <w:t>pages</w:t>
      </w:r>
      <w:r>
        <w:rPr>
          <w:rStyle w:val="Appelnotedebasdep"/>
        </w:rPr>
        <w:footnoteReference w:id="435"/>
      </w:r>
      <w:r>
        <w:t>,</w:t>
      </w:r>
      <w:r w:rsidRPr="002C4077">
        <w:t xml:space="preserve"> </w:t>
      </w:r>
      <w:r>
        <w:t>dans</w:t>
      </w:r>
      <w:r w:rsidRPr="002C4077">
        <w:t xml:space="preserve"> </w:t>
      </w:r>
      <w:r>
        <w:t>lesquelles,</w:t>
      </w:r>
      <w:r w:rsidRPr="002C4077">
        <w:t xml:space="preserve"> </w:t>
      </w:r>
      <w:r>
        <w:t>bien</w:t>
      </w:r>
      <w:r w:rsidRPr="002C4077">
        <w:t xml:space="preserve"> </w:t>
      </w:r>
      <w:r>
        <w:t>entendu,</w:t>
      </w:r>
      <w:r w:rsidRPr="002C4077">
        <w:t xml:space="preserve"> </w:t>
      </w:r>
      <w:r>
        <w:t>il</w:t>
      </w:r>
      <w:r w:rsidRPr="002C4077">
        <w:t xml:space="preserve"> </w:t>
      </w:r>
      <w:r>
        <w:t>fait</w:t>
      </w:r>
      <w:r w:rsidRPr="002C4077">
        <w:t xml:space="preserve"> </w:t>
      </w:r>
      <w:r>
        <w:t>une</w:t>
      </w:r>
      <w:r w:rsidRPr="002C4077">
        <w:t xml:space="preserve"> </w:t>
      </w:r>
      <w:r>
        <w:t>guerre</w:t>
      </w:r>
      <w:r w:rsidRPr="002C4077">
        <w:t xml:space="preserve"> </w:t>
      </w:r>
      <w:r>
        <w:t>acharnée</w:t>
      </w:r>
      <w:r w:rsidRPr="002C4077">
        <w:t xml:space="preserve"> </w:t>
      </w:r>
      <w:r>
        <w:t>au</w:t>
      </w:r>
      <w:r w:rsidRPr="002C4077">
        <w:t xml:space="preserve"> </w:t>
      </w:r>
      <w:r>
        <w:t>texte</w:t>
      </w:r>
      <w:r w:rsidRPr="002C4077">
        <w:t xml:space="preserve"> </w:t>
      </w:r>
      <w:r>
        <w:t>évangélique,</w:t>
      </w:r>
      <w:r w:rsidRPr="002C4077">
        <w:t xml:space="preserve"> </w:t>
      </w:r>
      <w:r>
        <w:t>d’après</w:t>
      </w:r>
      <w:r w:rsidRPr="002C4077">
        <w:t xml:space="preserve"> </w:t>
      </w:r>
      <w:r>
        <w:t>le</w:t>
      </w:r>
      <w:r w:rsidRPr="002C4077">
        <w:t xml:space="preserve"> </w:t>
      </w:r>
      <w:r>
        <w:t>système</w:t>
      </w:r>
      <w:r w:rsidRPr="002C4077">
        <w:t xml:space="preserve"> </w:t>
      </w:r>
      <w:r>
        <w:t>aussi</w:t>
      </w:r>
      <w:r w:rsidRPr="002C4077">
        <w:t xml:space="preserve"> </w:t>
      </w:r>
      <w:r>
        <w:t>commode</w:t>
      </w:r>
      <w:r w:rsidRPr="002C4077">
        <w:t xml:space="preserve"> </w:t>
      </w:r>
      <w:r>
        <w:t>que</w:t>
      </w:r>
      <w:r w:rsidRPr="002C4077">
        <w:t xml:space="preserve"> </w:t>
      </w:r>
      <w:r>
        <w:t>peu</w:t>
      </w:r>
      <w:r w:rsidRPr="002C4077">
        <w:t xml:space="preserve"> </w:t>
      </w:r>
      <w:r>
        <w:t>scientifique</w:t>
      </w:r>
      <w:r w:rsidRPr="002C4077">
        <w:t xml:space="preserve"> </w:t>
      </w:r>
      <w:r>
        <w:t>exposé</w:t>
      </w:r>
      <w:r w:rsidRPr="002C4077">
        <w:t xml:space="preserve"> </w:t>
      </w:r>
      <w:r>
        <w:t>plus</w:t>
      </w:r>
      <w:r w:rsidRPr="002C4077">
        <w:t xml:space="preserve"> </w:t>
      </w:r>
      <w:r>
        <w:t>haut.</w:t>
      </w:r>
      <w:r w:rsidRPr="002C4077">
        <w:t xml:space="preserve"> </w:t>
      </w:r>
    </w:p>
    <w:p w:rsidR="000A7AAB" w:rsidRPr="004C5B7A" w:rsidRDefault="003041FD" w:rsidP="000A7AAB">
      <w:r>
        <w:t>Les</w:t>
      </w:r>
      <w:r w:rsidRPr="002C4077">
        <w:t xml:space="preserve"> </w:t>
      </w:r>
      <w:r>
        <w:t>évangiles,</w:t>
      </w:r>
      <w:r w:rsidRPr="002C4077">
        <w:t xml:space="preserve"> </w:t>
      </w:r>
      <w:r>
        <w:t>en</w:t>
      </w:r>
      <w:r w:rsidRPr="002C4077">
        <w:t xml:space="preserve"> </w:t>
      </w:r>
      <w:r>
        <w:t>effet,</w:t>
      </w:r>
      <w:r w:rsidRPr="002C4077">
        <w:t xml:space="preserve"> </w:t>
      </w:r>
      <w:r>
        <w:t>compliquent</w:t>
      </w:r>
      <w:r w:rsidRPr="002C4077">
        <w:t xml:space="preserve"> </w:t>
      </w:r>
      <w:r>
        <w:t>la</w:t>
      </w:r>
      <w:r w:rsidRPr="002C4077">
        <w:t xml:space="preserve"> </w:t>
      </w:r>
      <w:r>
        <w:t>question,</w:t>
      </w:r>
      <w:r w:rsidRPr="002C4077">
        <w:t xml:space="preserve"> </w:t>
      </w:r>
      <w:r>
        <w:t>affirmant</w:t>
      </w:r>
      <w:r w:rsidRPr="002C4077">
        <w:t xml:space="preserve"> </w:t>
      </w:r>
      <w:r>
        <w:t>que</w:t>
      </w:r>
      <w:r w:rsidRPr="002C4077">
        <w:t xml:space="preserve"> </w:t>
      </w:r>
      <w:r>
        <w:t>Pilate</w:t>
      </w:r>
      <w:r w:rsidRPr="002C4077">
        <w:t xml:space="preserve"> </w:t>
      </w:r>
      <w:r>
        <w:t>ne</w:t>
      </w:r>
      <w:r w:rsidRPr="002C4077">
        <w:t xml:space="preserve"> </w:t>
      </w:r>
      <w:r>
        <w:t>joua</w:t>
      </w:r>
      <w:r w:rsidRPr="002C4077">
        <w:t xml:space="preserve"> </w:t>
      </w:r>
      <w:r>
        <w:t>qu’un</w:t>
      </w:r>
      <w:r w:rsidRPr="002C4077">
        <w:t xml:space="preserve"> </w:t>
      </w:r>
      <w:r>
        <w:t>rôle</w:t>
      </w:r>
      <w:r w:rsidRPr="002C4077">
        <w:t xml:space="preserve"> </w:t>
      </w:r>
      <w:r>
        <w:t>secondaire</w:t>
      </w:r>
      <w:r w:rsidRPr="002C4077">
        <w:t xml:space="preserve"> </w:t>
      </w:r>
      <w:r>
        <w:t>dans</w:t>
      </w:r>
      <w:r w:rsidRPr="002C4077">
        <w:t xml:space="preserve"> </w:t>
      </w:r>
      <w:r>
        <w:t>la</w:t>
      </w:r>
      <w:r w:rsidRPr="002C4077">
        <w:t xml:space="preserve"> </w:t>
      </w:r>
      <w:r>
        <w:t>condamnation</w:t>
      </w:r>
      <w:r w:rsidRPr="002C4077">
        <w:t xml:space="preserve"> </w:t>
      </w:r>
      <w:r>
        <w:t>de</w:t>
      </w:r>
      <w:r w:rsidRPr="002C4077">
        <w:t xml:space="preserve"> </w:t>
      </w:r>
      <w:r>
        <w:t>N.</w:t>
      </w:r>
      <w:r w:rsidRPr="002C4077">
        <w:t xml:space="preserve"> </w:t>
      </w:r>
      <w:r>
        <w:t>S.</w:t>
      </w:r>
      <w:r w:rsidRPr="002C4077">
        <w:t xml:space="preserve"> </w:t>
      </w:r>
      <w:r w:rsidR="00425C50">
        <w:t>Jésus</w:t>
      </w:r>
      <w:r>
        <w:t>-</w:t>
      </w:r>
      <w:r w:rsidR="00425C50">
        <w:t>Christ</w:t>
      </w:r>
      <w:r>
        <w:t>,</w:t>
      </w:r>
      <w:r w:rsidRPr="002C4077">
        <w:t xml:space="preserve"> </w:t>
      </w:r>
      <w:r>
        <w:t>tandis</w:t>
      </w:r>
      <w:r w:rsidRPr="002C4077">
        <w:t xml:space="preserve"> </w:t>
      </w:r>
      <w:r>
        <w:t>qu’ils</w:t>
      </w:r>
      <w:r w:rsidRPr="002C4077">
        <w:t xml:space="preserve"> </w:t>
      </w:r>
      <w:r>
        <w:t>re</w:t>
      </w:r>
      <w:r w:rsidR="000A7AAB">
        <w:t>jettent</w:t>
      </w:r>
      <w:r w:rsidR="000A7AAB" w:rsidRPr="002C4077">
        <w:t xml:space="preserve"> </w:t>
      </w:r>
      <w:r w:rsidR="000A7AAB">
        <w:t>sur</w:t>
      </w:r>
      <w:r w:rsidR="000A7AAB" w:rsidRPr="002C4077">
        <w:t xml:space="preserve"> </w:t>
      </w:r>
      <w:r w:rsidR="000A7AAB">
        <w:t>le</w:t>
      </w:r>
      <w:r w:rsidR="000A7AAB" w:rsidRPr="002C4077">
        <w:t xml:space="preserve"> </w:t>
      </w:r>
      <w:r w:rsidR="000A7AAB">
        <w:t>Sanhédrin,</w:t>
      </w:r>
      <w:r w:rsidR="000A7AAB" w:rsidRPr="002C4077">
        <w:t xml:space="preserve"> </w:t>
      </w:r>
      <w:r w:rsidR="000A7AAB">
        <w:t>ou</w:t>
      </w:r>
      <w:r w:rsidR="000A7AAB" w:rsidRPr="002C4077">
        <w:t xml:space="preserve"> </w:t>
      </w:r>
      <w:r w:rsidR="000A7AAB">
        <w:t>tribunal</w:t>
      </w:r>
      <w:r w:rsidR="000A7AAB" w:rsidRPr="002C4077">
        <w:t xml:space="preserve"> </w:t>
      </w:r>
      <w:r w:rsidR="000A7AAB">
        <w:t>suprême</w:t>
      </w:r>
      <w:r w:rsidR="000A7AAB" w:rsidRPr="002C4077">
        <w:t xml:space="preserve"> </w:t>
      </w:r>
      <w:r w:rsidR="000A7AAB">
        <w:t>des</w:t>
      </w:r>
      <w:r w:rsidR="000A7AAB" w:rsidRPr="002C4077">
        <w:t xml:space="preserve"> </w:t>
      </w:r>
      <w:r w:rsidR="000A7AAB">
        <w:t>Juifs,</w:t>
      </w:r>
      <w:r w:rsidR="000A7AAB" w:rsidRPr="002C4077">
        <w:t xml:space="preserve"> </w:t>
      </w:r>
      <w:r w:rsidR="000A7AAB">
        <w:t>la</w:t>
      </w:r>
      <w:r w:rsidR="000A7AAB" w:rsidRPr="002C4077">
        <w:t xml:space="preserve"> </w:t>
      </w:r>
      <w:r w:rsidR="000A7AAB">
        <w:t>responsabilité</w:t>
      </w:r>
      <w:r w:rsidR="000A7AAB" w:rsidRPr="002C4077">
        <w:t xml:space="preserve"> </w:t>
      </w:r>
      <w:r w:rsidR="000A7AAB">
        <w:t>principale</w:t>
      </w:r>
      <w:r w:rsidR="000A7AAB" w:rsidRPr="002C4077">
        <w:t xml:space="preserve"> </w:t>
      </w:r>
      <w:r w:rsidR="000A7AAB">
        <w:t>du</w:t>
      </w:r>
      <w:r w:rsidR="000A7AAB" w:rsidRPr="002C4077">
        <w:t xml:space="preserve"> </w:t>
      </w:r>
      <w:r w:rsidR="000A7AAB">
        <w:t>déicide</w:t>
      </w:r>
      <w:r w:rsidR="004551B0">
        <w:rPr>
          <w:rStyle w:val="Appelnotedebasdep"/>
        </w:rPr>
        <w:footnoteReference w:id="436"/>
      </w:r>
      <w:r w:rsidR="000A7AAB">
        <w:t>.</w:t>
      </w:r>
      <w:r w:rsidR="00C45B47">
        <w:t xml:space="preserve"> {</w:t>
      </w:r>
      <w:r w:rsidR="004C5B7A">
        <w:t>139</w:t>
      </w:r>
      <w:bookmarkStart w:id="383" w:name="p139"/>
      <w:bookmarkEnd w:id="383"/>
      <w:r w:rsidR="004C5B7A">
        <w:t xml:space="preserve">} </w:t>
      </w:r>
    </w:p>
    <w:p w:rsidR="000A7AAB" w:rsidRDefault="00B546AF" w:rsidP="000A7AAB">
      <w:r>
        <w:t>« </w:t>
      </w:r>
      <w:r w:rsidR="000A7AAB">
        <w:t>On</w:t>
      </w:r>
      <w:r w:rsidR="000A7AAB" w:rsidRPr="002C4077">
        <w:t xml:space="preserve"> </w:t>
      </w:r>
      <w:r w:rsidR="000A7AAB">
        <w:t>nous</w:t>
      </w:r>
      <w:r w:rsidR="000A7AAB" w:rsidRPr="002C4077">
        <w:t xml:space="preserve"> </w:t>
      </w:r>
      <w:r w:rsidR="000A7AAB">
        <w:t>raconte</w:t>
      </w:r>
      <w:r w:rsidR="000A7AAB" w:rsidRPr="002C4077">
        <w:t xml:space="preserve"> </w:t>
      </w:r>
      <w:r w:rsidR="000A7AAB">
        <w:t>que,</w:t>
      </w:r>
      <w:r w:rsidR="000A7AAB" w:rsidRPr="002C4077">
        <w:t xml:space="preserve"> </w:t>
      </w:r>
      <w:r w:rsidR="000A7AAB">
        <w:t>t</w:t>
      </w:r>
      <w:r w:rsidR="003B53FD">
        <w:t>raduit</w:t>
      </w:r>
      <w:r w:rsidR="000A7AAB" w:rsidRPr="002C4077">
        <w:t xml:space="preserve"> </w:t>
      </w:r>
      <w:r w:rsidR="000A7AAB">
        <w:t>devant</w:t>
      </w:r>
      <w:r w:rsidR="000A7AAB" w:rsidRPr="002C4077">
        <w:t xml:space="preserve"> </w:t>
      </w:r>
      <w:r w:rsidR="000A7AAB">
        <w:t>le</w:t>
      </w:r>
      <w:r w:rsidR="000A7AAB" w:rsidRPr="002C4077">
        <w:t xml:space="preserve"> </w:t>
      </w:r>
      <w:r w:rsidR="000A7AAB">
        <w:t>Conseil</w:t>
      </w:r>
      <w:r w:rsidR="000A7AAB" w:rsidRPr="002C4077">
        <w:t xml:space="preserve"> </w:t>
      </w:r>
      <w:r w:rsidR="000A7AAB">
        <w:t>des</w:t>
      </w:r>
      <w:r w:rsidR="000A7AAB" w:rsidRPr="002C4077">
        <w:t xml:space="preserve"> </w:t>
      </w:r>
      <w:r w:rsidR="000A7AAB">
        <w:t>Juifs,</w:t>
      </w:r>
      <w:r w:rsidR="000A7AAB" w:rsidRPr="002C4077">
        <w:t xml:space="preserve"> </w:t>
      </w:r>
      <w:r w:rsidR="00425C50">
        <w:t>Jésus</w:t>
      </w:r>
      <w:r w:rsidR="000A7AAB" w:rsidRPr="002C4077">
        <w:t xml:space="preserve"> </w:t>
      </w:r>
      <w:r w:rsidR="000A7AAB">
        <w:t>déclare</w:t>
      </w:r>
      <w:r w:rsidR="000A7AAB" w:rsidRPr="002C4077">
        <w:t xml:space="preserve"> </w:t>
      </w:r>
      <w:r w:rsidR="000A7AAB">
        <w:t>hautement</w:t>
      </w:r>
      <w:r w:rsidR="000A7AAB" w:rsidRPr="002C4077">
        <w:t xml:space="preserve"> </w:t>
      </w:r>
      <w:r w:rsidR="000A7AAB">
        <w:t>et</w:t>
      </w:r>
      <w:r w:rsidR="000A7AAB" w:rsidRPr="002C4077">
        <w:t xml:space="preserve"> </w:t>
      </w:r>
      <w:r w:rsidR="000A7AAB">
        <w:t>solennellement,</w:t>
      </w:r>
      <w:r w:rsidR="000A7AAB" w:rsidRPr="002C4077">
        <w:t xml:space="preserve"> </w:t>
      </w:r>
      <w:r w:rsidR="000A7AAB">
        <w:t>en</w:t>
      </w:r>
      <w:r w:rsidR="000A7AAB" w:rsidRPr="002C4077">
        <w:t xml:space="preserve"> </w:t>
      </w:r>
      <w:r w:rsidR="000A7AAB">
        <w:t>face</w:t>
      </w:r>
      <w:r w:rsidR="000A7AAB" w:rsidRPr="002C4077">
        <w:t xml:space="preserve"> </w:t>
      </w:r>
      <w:r w:rsidR="000A7AAB">
        <w:t>du</w:t>
      </w:r>
      <w:r w:rsidR="000A7AAB" w:rsidRPr="002C4077">
        <w:t xml:space="preserve"> </w:t>
      </w:r>
      <w:r w:rsidR="000A7AAB">
        <w:t>grand-</w:t>
      </w:r>
      <w:r w:rsidR="00425C50">
        <w:t>prêtre</w:t>
      </w:r>
      <w:r w:rsidR="000A7AAB">
        <w:t>,</w:t>
      </w:r>
      <w:r w:rsidR="000A7AAB" w:rsidRPr="002C4077">
        <w:t xml:space="preserve"> </w:t>
      </w:r>
      <w:r w:rsidR="000A7AAB">
        <w:t>qu’il</w:t>
      </w:r>
      <w:r w:rsidR="000A7AAB" w:rsidRPr="002C4077">
        <w:t xml:space="preserve"> </w:t>
      </w:r>
      <w:r w:rsidR="00425C50">
        <w:t>est</w:t>
      </w:r>
      <w:r w:rsidR="000A7AAB" w:rsidRPr="002C4077">
        <w:t xml:space="preserve"> </w:t>
      </w:r>
      <w:r w:rsidR="000A7AAB">
        <w:t>le</w:t>
      </w:r>
      <w:r w:rsidR="000A7AAB" w:rsidRPr="002C4077">
        <w:t xml:space="preserve"> </w:t>
      </w:r>
      <w:r w:rsidR="00425C50">
        <w:t>Christ</w:t>
      </w:r>
      <w:r w:rsidR="000A7AAB">
        <w:t>.</w:t>
      </w:r>
      <w:r w:rsidR="000A7AAB" w:rsidRPr="002C4077">
        <w:t xml:space="preserve"> </w:t>
      </w:r>
      <w:r w:rsidR="000A7AAB">
        <w:t>Rien</w:t>
      </w:r>
      <w:r w:rsidR="000A7AAB" w:rsidRPr="002C4077">
        <w:t xml:space="preserve"> </w:t>
      </w:r>
      <w:r w:rsidR="000A7AAB">
        <w:t>n’est</w:t>
      </w:r>
      <w:r w:rsidR="000A7AAB" w:rsidRPr="002C4077">
        <w:t xml:space="preserve"> </w:t>
      </w:r>
      <w:r w:rsidR="000A7AAB">
        <w:t>plus</w:t>
      </w:r>
      <w:r w:rsidR="000A7AAB" w:rsidRPr="002C4077">
        <w:t xml:space="preserve"> </w:t>
      </w:r>
      <w:r w:rsidR="000A7AAB">
        <w:t>formel</w:t>
      </w:r>
      <w:r w:rsidR="000A7AAB" w:rsidRPr="002C4077">
        <w:t xml:space="preserve"> </w:t>
      </w:r>
      <w:r w:rsidR="000A7AAB">
        <w:t>que</w:t>
      </w:r>
      <w:r w:rsidR="000A7AAB" w:rsidRPr="002C4077">
        <w:t xml:space="preserve"> </w:t>
      </w:r>
      <w:r w:rsidR="000A7AAB">
        <w:t>ces</w:t>
      </w:r>
      <w:r w:rsidR="000A7AAB" w:rsidRPr="002C4077">
        <w:t xml:space="preserve"> </w:t>
      </w:r>
      <w:r w:rsidR="000A7AAB">
        <w:t>témoignages</w:t>
      </w:r>
      <w:r w:rsidR="000A7AAB" w:rsidRPr="004440EA">
        <w:t xml:space="preserve"> (</w:t>
      </w:r>
      <w:r w:rsidR="000A7AAB">
        <w:t>des</w:t>
      </w:r>
      <w:r w:rsidR="000A7AAB" w:rsidRPr="002C4077">
        <w:t xml:space="preserve"> </w:t>
      </w:r>
      <w:r w:rsidR="000A7AAB">
        <w:t>évangélistes</w:t>
      </w:r>
      <w:r w:rsidRPr="002C4077">
        <w:t>)</w:t>
      </w:r>
      <w:r w:rsidRPr="00950016">
        <w:t> ;</w:t>
      </w:r>
      <w:r w:rsidR="000A7AAB" w:rsidRPr="002C4077">
        <w:t xml:space="preserve"> </w:t>
      </w:r>
      <w:r w:rsidR="000A7AAB">
        <w:t>mais</w:t>
      </w:r>
      <w:r w:rsidR="000A7AAB" w:rsidRPr="002C4077">
        <w:t xml:space="preserve"> </w:t>
      </w:r>
      <w:r w:rsidR="000A7AAB">
        <w:t>sont-ils</w:t>
      </w:r>
      <w:r w:rsidR="000A7AAB" w:rsidRPr="002C4077">
        <w:t xml:space="preserve"> </w:t>
      </w:r>
      <w:r w:rsidR="000A7AAB">
        <w:t>croyables</w:t>
      </w:r>
      <w:r>
        <w:t> ?</w:t>
      </w:r>
      <w:r w:rsidR="00B91AF7">
        <w:rPr>
          <w:rStyle w:val="Appelnotedebasdep"/>
        </w:rPr>
        <w:footnoteReference w:id="437"/>
      </w:r>
      <w:r>
        <w:t> »</w:t>
      </w:r>
      <w:r w:rsidR="000A7AAB" w:rsidRPr="002C4077">
        <w:t xml:space="preserve"> </w:t>
      </w:r>
    </w:p>
    <w:p w:rsidR="000A7AAB" w:rsidRDefault="000A7AAB" w:rsidP="000A7AAB">
      <w:r>
        <w:t>Oui,</w:t>
      </w:r>
      <w:r w:rsidRPr="002C4077">
        <w:t xml:space="preserve"> </w:t>
      </w:r>
      <w:r>
        <w:t>sont-ils</w:t>
      </w:r>
      <w:r w:rsidRPr="002C4077">
        <w:t xml:space="preserve"> </w:t>
      </w:r>
      <w:r>
        <w:t>croyables</w:t>
      </w:r>
      <w:r w:rsidR="00B546AF">
        <w:t> ?</w:t>
      </w:r>
      <w:r w:rsidRPr="002C4077">
        <w:t xml:space="preserve"> </w:t>
      </w:r>
      <w:r>
        <w:t>S’il</w:t>
      </w:r>
      <w:r w:rsidRPr="002C4077">
        <w:t xml:space="preserve"> </w:t>
      </w:r>
      <w:r>
        <w:t>s’agissait</w:t>
      </w:r>
      <w:r w:rsidRPr="002C4077">
        <w:t xml:space="preserve"> </w:t>
      </w:r>
      <w:r>
        <w:t>de</w:t>
      </w:r>
      <w:r w:rsidRPr="002C4077">
        <w:t xml:space="preserve"> </w:t>
      </w:r>
      <w:r>
        <w:t>quelque</w:t>
      </w:r>
      <w:r w:rsidRPr="002C4077">
        <w:t xml:space="preserve"> </w:t>
      </w:r>
      <w:r>
        <w:t>auteur</w:t>
      </w:r>
      <w:r w:rsidRPr="002C4077">
        <w:t xml:space="preserve"> </w:t>
      </w:r>
      <w:r>
        <w:t>profane,</w:t>
      </w:r>
      <w:r w:rsidRPr="002C4077">
        <w:t xml:space="preserve"> </w:t>
      </w:r>
      <w:r>
        <w:t>de</w:t>
      </w:r>
      <w:r w:rsidRPr="002C4077">
        <w:t xml:space="preserve"> </w:t>
      </w:r>
      <w:r>
        <w:t>quelque</w:t>
      </w:r>
      <w:r w:rsidRPr="002C4077">
        <w:t xml:space="preserve"> </w:t>
      </w:r>
      <w:r>
        <w:t>Malalas,</w:t>
      </w:r>
      <w:r w:rsidRPr="002C4077">
        <w:t xml:space="preserve"> </w:t>
      </w:r>
      <w:r>
        <w:t>de</w:t>
      </w:r>
      <w:r w:rsidRPr="002C4077">
        <w:t xml:space="preserve"> </w:t>
      </w:r>
      <w:r>
        <w:t>quelque</w:t>
      </w:r>
      <w:r w:rsidRPr="002C4077">
        <w:t xml:space="preserve"> </w:t>
      </w:r>
      <w:r>
        <w:t>Zonaras</w:t>
      </w:r>
      <w:r w:rsidRPr="002C4077">
        <w:t xml:space="preserve"> </w:t>
      </w:r>
      <w:r>
        <w:t>du</w:t>
      </w:r>
      <w:r w:rsidRPr="002C4077">
        <w:t xml:space="preserve"> </w:t>
      </w:r>
      <w:r>
        <w:t>Bas-Empire,</w:t>
      </w:r>
      <w:r w:rsidRPr="002C4077">
        <w:t xml:space="preserve"> </w:t>
      </w:r>
      <w:r>
        <w:t>ils</w:t>
      </w:r>
      <w:r w:rsidRPr="002C4077">
        <w:t xml:space="preserve"> </w:t>
      </w:r>
      <w:r>
        <w:t>seraient</w:t>
      </w:r>
      <w:r w:rsidRPr="002C4077">
        <w:t xml:space="preserve"> </w:t>
      </w:r>
      <w:r>
        <w:t>assurément</w:t>
      </w:r>
      <w:r w:rsidRPr="002C4077">
        <w:t xml:space="preserve"> </w:t>
      </w:r>
      <w:r>
        <w:t>croyables</w:t>
      </w:r>
      <w:r w:rsidR="00B546AF">
        <w:t> ;</w:t>
      </w:r>
      <w:r w:rsidRPr="002C4077">
        <w:t xml:space="preserve"> </w:t>
      </w:r>
      <w:r>
        <w:t>mais</w:t>
      </w:r>
      <w:r w:rsidRPr="002C4077">
        <w:t xml:space="preserve"> </w:t>
      </w:r>
      <w:r>
        <w:t>il</w:t>
      </w:r>
      <w:r w:rsidRPr="002C4077">
        <w:t xml:space="preserve"> </w:t>
      </w:r>
      <w:r>
        <w:t>s’agit</w:t>
      </w:r>
      <w:r w:rsidRPr="002C4077">
        <w:t xml:space="preserve"> </w:t>
      </w:r>
      <w:r>
        <w:t>des</w:t>
      </w:r>
      <w:r w:rsidRPr="002C4077">
        <w:t xml:space="preserve"> </w:t>
      </w:r>
      <w:r>
        <w:t>évangiles.</w:t>
      </w:r>
      <w:r w:rsidRPr="002C4077">
        <w:t xml:space="preserve"> </w:t>
      </w:r>
      <w:r>
        <w:t>Donc,</w:t>
      </w:r>
      <w:r w:rsidRPr="002C4077">
        <w:t xml:space="preserve"> </w:t>
      </w:r>
      <w:r w:rsidR="00B546AF">
        <w:t>« </w:t>
      </w:r>
      <w:r>
        <w:t>on</w:t>
      </w:r>
      <w:r w:rsidRPr="002C4077">
        <w:t xml:space="preserve"> </w:t>
      </w:r>
      <w:r>
        <w:t>voit,</w:t>
      </w:r>
      <w:r w:rsidRPr="002C4077">
        <w:t xml:space="preserve"> </w:t>
      </w:r>
      <w:r>
        <w:t>tout</w:t>
      </w:r>
      <w:r w:rsidRPr="002C4077">
        <w:t xml:space="preserve"> </w:t>
      </w:r>
      <w:r>
        <w:t>d’abord,</w:t>
      </w:r>
      <w:r w:rsidRPr="002C4077">
        <w:t xml:space="preserve"> </w:t>
      </w:r>
      <w:r>
        <w:t>qu’ils</w:t>
      </w:r>
      <w:r w:rsidRPr="002C4077">
        <w:t xml:space="preserve"> </w:t>
      </w:r>
      <w:r>
        <w:t>n’ont</w:t>
      </w:r>
      <w:r w:rsidRPr="002C4077">
        <w:t xml:space="preserve"> </w:t>
      </w:r>
      <w:r>
        <w:t>pas</w:t>
      </w:r>
      <w:r w:rsidRPr="002C4077">
        <w:t xml:space="preserve"> </w:t>
      </w:r>
      <w:r>
        <w:t>pour</w:t>
      </w:r>
      <w:r w:rsidRPr="002C4077">
        <w:t xml:space="preserve"> </w:t>
      </w:r>
      <w:r>
        <w:t>eux</w:t>
      </w:r>
      <w:r w:rsidRPr="002C4077">
        <w:t xml:space="preserve"> </w:t>
      </w:r>
      <w:r>
        <w:t>la</w:t>
      </w:r>
      <w:r w:rsidRPr="002C4077">
        <w:t xml:space="preserve"> </w:t>
      </w:r>
      <w:r>
        <w:t>vraisemblance</w:t>
      </w:r>
      <w:r w:rsidR="00B546AF">
        <w:t> »</w:t>
      </w:r>
      <w:r>
        <w:t>.</w:t>
      </w:r>
      <w:r w:rsidRPr="002C4077">
        <w:t xml:space="preserve"> </w:t>
      </w:r>
      <w:r>
        <w:t>Et</w:t>
      </w:r>
      <w:r w:rsidRPr="002C4077">
        <w:t xml:space="preserve"> </w:t>
      </w:r>
      <w:r>
        <w:t>la</w:t>
      </w:r>
      <w:r w:rsidRPr="002C4077">
        <w:t xml:space="preserve"> </w:t>
      </w:r>
      <w:r>
        <w:t>raison</w:t>
      </w:r>
      <w:r w:rsidRPr="002C4077">
        <w:t xml:space="preserve"> </w:t>
      </w:r>
      <w:r>
        <w:t>de</w:t>
      </w:r>
      <w:r w:rsidRPr="002C4077">
        <w:t xml:space="preserve"> </w:t>
      </w:r>
      <w:r>
        <w:t>cela</w:t>
      </w:r>
      <w:r w:rsidRPr="002C4077">
        <w:t xml:space="preserve"> </w:t>
      </w:r>
      <w:r w:rsidR="00425C50">
        <w:t>est</w:t>
      </w:r>
      <w:r w:rsidRPr="002C4077">
        <w:t xml:space="preserve"> </w:t>
      </w:r>
      <w:r>
        <w:t>vraiment</w:t>
      </w:r>
      <w:r w:rsidRPr="002C4077">
        <w:t xml:space="preserve"> </w:t>
      </w:r>
      <w:r>
        <w:t>flagrante</w:t>
      </w:r>
      <w:r w:rsidR="00B546AF">
        <w:t> !</w:t>
      </w:r>
      <w:r w:rsidRPr="002C4077">
        <w:t xml:space="preserve"> </w:t>
      </w:r>
      <w:r w:rsidR="00B546AF">
        <w:t>« </w:t>
      </w:r>
      <w:r>
        <w:t>Comme</w:t>
      </w:r>
      <w:r w:rsidRPr="002C4077">
        <w:t xml:space="preserve"> </w:t>
      </w:r>
      <w:r>
        <w:t>tout</w:t>
      </w:r>
      <w:r w:rsidRPr="002C4077">
        <w:t xml:space="preserve"> </w:t>
      </w:r>
      <w:r>
        <w:t>le</w:t>
      </w:r>
      <w:r w:rsidRPr="002C4077">
        <w:t xml:space="preserve"> </w:t>
      </w:r>
      <w:r>
        <w:t>monde</w:t>
      </w:r>
      <w:r w:rsidRPr="002C4077">
        <w:t xml:space="preserve"> </w:t>
      </w:r>
      <w:r>
        <w:t>entendait</w:t>
      </w:r>
      <w:r w:rsidRPr="002C4077">
        <w:t xml:space="preserve"> </w:t>
      </w:r>
      <w:r>
        <w:t>alors</w:t>
      </w:r>
      <w:r w:rsidRPr="002C4077">
        <w:t xml:space="preserve"> </w:t>
      </w:r>
      <w:r>
        <w:t>par</w:t>
      </w:r>
      <w:r w:rsidRPr="002C4077">
        <w:t xml:space="preserve"> </w:t>
      </w:r>
      <w:r>
        <w:t>un</w:t>
      </w:r>
      <w:r w:rsidRPr="002C4077">
        <w:t xml:space="preserve"> </w:t>
      </w:r>
      <w:r w:rsidR="00425C50">
        <w:t>Christ</w:t>
      </w:r>
      <w:r w:rsidRPr="002C4077">
        <w:t xml:space="preserve"> </w:t>
      </w:r>
      <w:r>
        <w:t>un</w:t>
      </w:r>
      <w:r w:rsidRPr="002C4077">
        <w:t xml:space="preserve"> </w:t>
      </w:r>
      <w:r>
        <w:t>chef</w:t>
      </w:r>
      <w:r w:rsidRPr="002C4077">
        <w:t xml:space="preserve"> </w:t>
      </w:r>
      <w:r>
        <w:t>libérateur</w:t>
      </w:r>
      <w:r w:rsidRPr="002C4077">
        <w:t xml:space="preserve"> </w:t>
      </w:r>
      <w:r>
        <w:t>et</w:t>
      </w:r>
      <w:r w:rsidRPr="002C4077">
        <w:t xml:space="preserve"> </w:t>
      </w:r>
      <w:r>
        <w:t>restaurateur</w:t>
      </w:r>
      <w:r w:rsidRPr="002C4077">
        <w:t xml:space="preserve"> </w:t>
      </w:r>
      <w:r>
        <w:t>d’Israël,</w:t>
      </w:r>
      <w:r w:rsidRPr="002C4077">
        <w:t xml:space="preserve"> </w:t>
      </w:r>
      <w:r w:rsidRPr="000A34B5">
        <w:rPr>
          <w:rStyle w:val="italicus"/>
        </w:rPr>
        <w:t>il</w:t>
      </w:r>
      <w:r w:rsidRPr="002C4077">
        <w:t xml:space="preserve"> </w:t>
      </w:r>
      <w:r w:rsidRPr="000A34B5">
        <w:rPr>
          <w:rStyle w:val="italicus"/>
        </w:rPr>
        <w:t>semble</w:t>
      </w:r>
      <w:r w:rsidRPr="002C4077">
        <w:t xml:space="preserve"> </w:t>
      </w:r>
      <w:r w:rsidRPr="000A34B5">
        <w:rPr>
          <w:rStyle w:val="italicus"/>
        </w:rPr>
        <w:t>bien</w:t>
      </w:r>
      <w:r w:rsidRPr="004440EA">
        <w:t xml:space="preserve"> (</w:t>
      </w:r>
      <w:r>
        <w:t>c’est</w:t>
      </w:r>
      <w:r w:rsidRPr="002C4077">
        <w:t xml:space="preserve"> </w:t>
      </w:r>
      <w:r>
        <w:t>encore</w:t>
      </w:r>
      <w:r w:rsidRPr="002C4077">
        <w:t xml:space="preserve"> </w:t>
      </w:r>
      <w:r>
        <w:t>nous</w:t>
      </w:r>
      <w:r w:rsidRPr="002C4077">
        <w:t xml:space="preserve"> </w:t>
      </w:r>
      <w:r>
        <w:t>qui</w:t>
      </w:r>
      <w:r w:rsidRPr="002C4077">
        <w:t xml:space="preserve"> </w:t>
      </w:r>
      <w:r>
        <w:t>nous</w:t>
      </w:r>
      <w:r w:rsidRPr="002C4077">
        <w:t xml:space="preserve"> </w:t>
      </w:r>
      <w:r>
        <w:t>permettons</w:t>
      </w:r>
      <w:r w:rsidRPr="002C4077">
        <w:t xml:space="preserve"> </w:t>
      </w:r>
      <w:r>
        <w:t>de</w:t>
      </w:r>
      <w:r w:rsidRPr="002C4077">
        <w:t xml:space="preserve"> </w:t>
      </w:r>
      <w:r>
        <w:t>souligner</w:t>
      </w:r>
      <w:r w:rsidR="00B546AF" w:rsidRPr="002C4077">
        <w:t>)</w:t>
      </w:r>
      <w:r w:rsidRPr="002C4077">
        <w:t xml:space="preserve"> </w:t>
      </w:r>
      <w:r>
        <w:t>qu’en</w:t>
      </w:r>
      <w:r w:rsidRPr="002C4077">
        <w:t xml:space="preserve"> </w:t>
      </w:r>
      <w:r>
        <w:t>dehors</w:t>
      </w:r>
      <w:r w:rsidRPr="002C4077">
        <w:t xml:space="preserve"> </w:t>
      </w:r>
      <w:r>
        <w:t>d’une</w:t>
      </w:r>
      <w:r w:rsidRPr="002C4077">
        <w:t xml:space="preserve"> </w:t>
      </w:r>
      <w:r>
        <w:t>insurrection,</w:t>
      </w:r>
      <w:r w:rsidRPr="002C4077">
        <w:t xml:space="preserve"> </w:t>
      </w:r>
      <w:r>
        <w:t>personne</w:t>
      </w:r>
      <w:r w:rsidRPr="002C4077">
        <w:t xml:space="preserve"> </w:t>
      </w:r>
      <w:r>
        <w:t>ne</w:t>
      </w:r>
      <w:r w:rsidRPr="002C4077">
        <w:t xml:space="preserve"> </w:t>
      </w:r>
      <w:r>
        <w:t>pouvait</w:t>
      </w:r>
      <w:r w:rsidRPr="002C4077">
        <w:t xml:space="preserve"> </w:t>
      </w:r>
      <w:r>
        <w:t>oser</w:t>
      </w:r>
      <w:r w:rsidRPr="002C4077">
        <w:t xml:space="preserve"> </w:t>
      </w:r>
      <w:r>
        <w:t>prendre</w:t>
      </w:r>
      <w:r w:rsidRPr="002C4077">
        <w:t xml:space="preserve"> </w:t>
      </w:r>
      <w:r>
        <w:t>un</w:t>
      </w:r>
      <w:r w:rsidRPr="002C4077">
        <w:t xml:space="preserve"> </w:t>
      </w:r>
      <w:r>
        <w:t>tel</w:t>
      </w:r>
      <w:r w:rsidRPr="002C4077">
        <w:t xml:space="preserve"> </w:t>
      </w:r>
      <w:r>
        <w:t>titre</w:t>
      </w:r>
      <w:r w:rsidR="00B91AF7">
        <w:rPr>
          <w:rStyle w:val="Appelnotedebasdep"/>
        </w:rPr>
        <w:footnoteReference w:id="438"/>
      </w:r>
      <w:r w:rsidR="00B546AF">
        <w:t> »</w:t>
      </w:r>
      <w:r>
        <w:t>.</w:t>
      </w:r>
      <w:r w:rsidRPr="002C4077">
        <w:t xml:space="preserve"> </w:t>
      </w:r>
    </w:p>
    <w:p w:rsidR="000A7AAB" w:rsidRPr="004C5B7A" w:rsidRDefault="000A7AAB" w:rsidP="000A7AAB">
      <w:r>
        <w:t>Pourtant,</w:t>
      </w:r>
      <w:r w:rsidRPr="002C4077">
        <w:t xml:space="preserve"> </w:t>
      </w:r>
      <w:r>
        <w:t>M.</w:t>
      </w:r>
      <w:r w:rsidRPr="002C4077">
        <w:t xml:space="preserve"> </w:t>
      </w:r>
      <w:r>
        <w:t>Havet</w:t>
      </w:r>
      <w:r w:rsidRPr="002C4077">
        <w:t xml:space="preserve"> </w:t>
      </w:r>
      <w:r>
        <w:t>le</w:t>
      </w:r>
      <w:r w:rsidRPr="002C4077">
        <w:t xml:space="preserve"> </w:t>
      </w:r>
      <w:r>
        <w:t>répète,</w:t>
      </w:r>
      <w:r w:rsidRPr="002C4077">
        <w:t xml:space="preserve"> </w:t>
      </w:r>
      <w:r w:rsidR="00B546AF">
        <w:t>« </w:t>
      </w:r>
      <w:r>
        <w:t>il</w:t>
      </w:r>
      <w:r w:rsidRPr="002C4077">
        <w:t xml:space="preserve"> </w:t>
      </w:r>
      <w:r>
        <w:t>n’y</w:t>
      </w:r>
      <w:r w:rsidRPr="002C4077">
        <w:t xml:space="preserve"> </w:t>
      </w:r>
      <w:r>
        <w:t>a</w:t>
      </w:r>
      <w:r w:rsidRPr="002C4077">
        <w:t xml:space="preserve"> </w:t>
      </w:r>
      <w:r>
        <w:t>rien</w:t>
      </w:r>
      <w:r w:rsidRPr="002C4077">
        <w:t xml:space="preserve"> </w:t>
      </w:r>
      <w:r>
        <w:t>de</w:t>
      </w:r>
      <w:r w:rsidRPr="002C4077">
        <w:t xml:space="preserve"> </w:t>
      </w:r>
      <w:r>
        <w:t>plus</w:t>
      </w:r>
      <w:r w:rsidRPr="002C4077">
        <w:t xml:space="preserve"> </w:t>
      </w:r>
      <w:r>
        <w:t>formel</w:t>
      </w:r>
      <w:r w:rsidRPr="002C4077">
        <w:t xml:space="preserve"> </w:t>
      </w:r>
      <w:r>
        <w:t>que</w:t>
      </w:r>
      <w:r w:rsidRPr="002C4077">
        <w:t xml:space="preserve"> </w:t>
      </w:r>
      <w:r>
        <w:t>ces</w:t>
      </w:r>
      <w:r w:rsidRPr="002C4077">
        <w:t xml:space="preserve"> </w:t>
      </w:r>
      <w:r>
        <w:t>déclarations</w:t>
      </w:r>
      <w:r w:rsidRPr="002C4077">
        <w:t xml:space="preserve"> </w:t>
      </w:r>
      <w:r>
        <w:t>de</w:t>
      </w:r>
      <w:r w:rsidRPr="002C4077">
        <w:t xml:space="preserve"> </w:t>
      </w:r>
      <w:r w:rsidR="00425C50">
        <w:t>Jésus</w:t>
      </w:r>
      <w:r>
        <w:t>,</w:t>
      </w:r>
      <w:r w:rsidRPr="002C4077">
        <w:t xml:space="preserve"> </w:t>
      </w:r>
      <w:r>
        <w:t>surtout</w:t>
      </w:r>
      <w:r w:rsidRPr="002C4077">
        <w:t xml:space="preserve"> </w:t>
      </w:r>
      <w:r>
        <w:t>celle</w:t>
      </w:r>
      <w:r w:rsidRPr="002C4077">
        <w:t xml:space="preserve"> </w:t>
      </w:r>
      <w:r>
        <w:t>qu’il</w:t>
      </w:r>
      <w:r w:rsidRPr="002C4077">
        <w:t xml:space="preserve"> </w:t>
      </w:r>
      <w:r>
        <w:t>adresse</w:t>
      </w:r>
      <w:r w:rsidRPr="002C4077">
        <w:t xml:space="preserve"> </w:t>
      </w:r>
      <w:r>
        <w:t>au</w:t>
      </w:r>
      <w:r w:rsidRPr="002C4077">
        <w:t xml:space="preserve"> </w:t>
      </w:r>
      <w:r>
        <w:t>grand-</w:t>
      </w:r>
      <w:r w:rsidR="00425C50">
        <w:t>prêtre</w:t>
      </w:r>
      <w:r w:rsidR="00B91AF7">
        <w:rPr>
          <w:rStyle w:val="Appelnotedebasdep"/>
        </w:rPr>
        <w:footnoteReference w:id="439"/>
      </w:r>
      <w:r w:rsidR="00B546AF">
        <w:t> »</w:t>
      </w:r>
      <w:r>
        <w:t>.</w:t>
      </w:r>
      <w:r w:rsidRPr="002C4077">
        <w:t xml:space="preserve"> </w:t>
      </w:r>
      <w:r>
        <w:t>Mais,</w:t>
      </w:r>
      <w:r w:rsidRPr="002C4077">
        <w:t xml:space="preserve"> </w:t>
      </w:r>
      <w:r>
        <w:t>se</w:t>
      </w:r>
      <w:r w:rsidRPr="002C4077">
        <w:t xml:space="preserve"> </w:t>
      </w:r>
      <w:r>
        <w:t>hâte-t-il</w:t>
      </w:r>
      <w:r w:rsidRPr="002C4077">
        <w:t xml:space="preserve"> </w:t>
      </w:r>
      <w:r>
        <w:t>de</w:t>
      </w:r>
      <w:r w:rsidRPr="002C4077">
        <w:t xml:space="preserve"> </w:t>
      </w:r>
      <w:r>
        <w:t>répéter</w:t>
      </w:r>
      <w:r w:rsidRPr="002C4077">
        <w:t xml:space="preserve"> </w:t>
      </w:r>
      <w:r>
        <w:t>aussi,</w:t>
      </w:r>
      <w:r w:rsidRPr="002C4077">
        <w:t xml:space="preserve"> </w:t>
      </w:r>
      <w:r>
        <w:t>le</w:t>
      </w:r>
      <w:r w:rsidRPr="002C4077">
        <w:t xml:space="preserve"> </w:t>
      </w:r>
      <w:r>
        <w:t>récit</w:t>
      </w:r>
      <w:r w:rsidRPr="002C4077">
        <w:t xml:space="preserve"> </w:t>
      </w:r>
      <w:r w:rsidR="00425C50">
        <w:t>est</w:t>
      </w:r>
      <w:r w:rsidRPr="002C4077">
        <w:t xml:space="preserve"> </w:t>
      </w:r>
      <w:r>
        <w:t>invraisemblable</w:t>
      </w:r>
      <w:r w:rsidRPr="002C4077">
        <w:t xml:space="preserve"> </w:t>
      </w:r>
      <w:r>
        <w:t>au</w:t>
      </w:r>
      <w:r w:rsidRPr="002C4077">
        <w:t xml:space="preserve"> </w:t>
      </w:r>
      <w:r>
        <w:t>plus</w:t>
      </w:r>
      <w:r w:rsidRPr="002C4077">
        <w:t xml:space="preserve"> </w:t>
      </w:r>
      <w:r>
        <w:t>haut</w:t>
      </w:r>
      <w:r w:rsidRPr="002C4077">
        <w:t xml:space="preserve"> </w:t>
      </w:r>
      <w:r>
        <w:t>degré.</w:t>
      </w:r>
      <w:r w:rsidRPr="002C4077">
        <w:t xml:space="preserve"> </w:t>
      </w:r>
      <w:r>
        <w:t>En</w:t>
      </w:r>
      <w:r w:rsidRPr="002C4077">
        <w:t xml:space="preserve"> </w:t>
      </w:r>
      <w:r>
        <w:t>effet,</w:t>
      </w:r>
      <w:r w:rsidRPr="002C4077">
        <w:t xml:space="preserve"> </w:t>
      </w:r>
      <w:r w:rsidR="00B546AF">
        <w:t>« </w:t>
      </w:r>
      <w:r>
        <w:t>la</w:t>
      </w:r>
      <w:r w:rsidRPr="002C4077">
        <w:t xml:space="preserve"> </w:t>
      </w:r>
      <w:r>
        <w:t>question</w:t>
      </w:r>
      <w:r w:rsidRPr="002C4077">
        <w:t xml:space="preserve"> </w:t>
      </w:r>
      <w:r>
        <w:t>du</w:t>
      </w:r>
      <w:r w:rsidRPr="002C4077">
        <w:t xml:space="preserve"> </w:t>
      </w:r>
      <w:r>
        <w:t>grand-</w:t>
      </w:r>
      <w:r w:rsidR="00425C50">
        <w:t>prêtre</w:t>
      </w:r>
      <w:r w:rsidRPr="002C4077">
        <w:t xml:space="preserve"> </w:t>
      </w:r>
      <w:r w:rsidR="00425C50">
        <w:t>est</w:t>
      </w:r>
      <w:r w:rsidRPr="002C4077">
        <w:t xml:space="preserve"> </w:t>
      </w:r>
      <w:r>
        <w:t>absurde</w:t>
      </w:r>
      <w:r w:rsidR="00B546AF">
        <w:t> ;</w:t>
      </w:r>
      <w:r w:rsidRPr="002C4077">
        <w:t xml:space="preserve"> </w:t>
      </w:r>
      <w:r>
        <w:t>il</w:t>
      </w:r>
      <w:r w:rsidRPr="002C4077">
        <w:t xml:space="preserve"> </w:t>
      </w:r>
      <w:r>
        <w:t>pouvait</w:t>
      </w:r>
      <w:r w:rsidRPr="002C4077">
        <w:t xml:space="preserve"> </w:t>
      </w:r>
      <w:r>
        <w:t>très</w:t>
      </w:r>
      <w:r w:rsidRPr="002C4077">
        <w:t xml:space="preserve"> </w:t>
      </w:r>
      <w:r>
        <w:t>bien</w:t>
      </w:r>
      <w:r w:rsidRPr="002C4077">
        <w:t xml:space="preserve"> </w:t>
      </w:r>
      <w:r>
        <w:t>demander</w:t>
      </w:r>
      <w:r w:rsidRPr="002C4077">
        <w:t xml:space="preserve"> </w:t>
      </w:r>
      <w:r>
        <w:t>à</w:t>
      </w:r>
      <w:r w:rsidRPr="002C4077">
        <w:t xml:space="preserve"> </w:t>
      </w:r>
      <w:r w:rsidR="00425C50">
        <w:t>Jésus</w:t>
      </w:r>
      <w:r w:rsidR="00B546AF">
        <w:t> :</w:t>
      </w:r>
      <w:r w:rsidRPr="002C4077">
        <w:t xml:space="preserve"> </w:t>
      </w:r>
      <w:r>
        <w:t>Est-il</w:t>
      </w:r>
      <w:r w:rsidRPr="002C4077">
        <w:t xml:space="preserve"> </w:t>
      </w:r>
      <w:r>
        <w:t>vrai</w:t>
      </w:r>
      <w:r w:rsidRPr="002C4077">
        <w:t xml:space="preserve"> </w:t>
      </w:r>
      <w:r>
        <w:t>que</w:t>
      </w:r>
      <w:r w:rsidRPr="002C4077">
        <w:t xml:space="preserve"> </w:t>
      </w:r>
      <w:r>
        <w:t>tu</w:t>
      </w:r>
      <w:r w:rsidRPr="002C4077">
        <w:t xml:space="preserve"> </w:t>
      </w:r>
      <w:r>
        <w:t>prétends</w:t>
      </w:r>
      <w:r w:rsidRPr="002C4077">
        <w:t xml:space="preserve"> </w:t>
      </w:r>
      <w:r>
        <w:t>être</w:t>
      </w:r>
      <w:r w:rsidRPr="002C4077">
        <w:t xml:space="preserve"> </w:t>
      </w:r>
      <w:r>
        <w:t>le</w:t>
      </w:r>
      <w:r w:rsidRPr="002C4077">
        <w:t xml:space="preserve"> </w:t>
      </w:r>
      <w:r w:rsidR="00425C50">
        <w:t>Christ</w:t>
      </w:r>
      <w:r w:rsidR="00B546AF">
        <w:t> ?</w:t>
      </w:r>
      <w:r w:rsidRPr="002C4077">
        <w:t xml:space="preserve"> </w:t>
      </w:r>
      <w:r>
        <w:t>Il</w:t>
      </w:r>
      <w:r w:rsidRPr="002C4077">
        <w:t xml:space="preserve"> </w:t>
      </w:r>
      <w:r>
        <w:t>n’a</w:t>
      </w:r>
      <w:r w:rsidRPr="002C4077">
        <w:t xml:space="preserve"> </w:t>
      </w:r>
      <w:r>
        <w:t>pas</w:t>
      </w:r>
      <w:r w:rsidRPr="002C4077">
        <w:t xml:space="preserve"> </w:t>
      </w:r>
      <w:r>
        <w:t>pu</w:t>
      </w:r>
      <w:r w:rsidRPr="002C4077">
        <w:t xml:space="preserve"> </w:t>
      </w:r>
      <w:r>
        <w:t>lui</w:t>
      </w:r>
      <w:r w:rsidRPr="002C4077">
        <w:t xml:space="preserve"> </w:t>
      </w:r>
      <w:r>
        <w:t>dire</w:t>
      </w:r>
      <w:r w:rsidR="00B546AF">
        <w:t> :</w:t>
      </w:r>
      <w:r w:rsidRPr="002C4077">
        <w:t xml:space="preserve"> </w:t>
      </w:r>
      <w:r>
        <w:t>Est-ce</w:t>
      </w:r>
      <w:r w:rsidRPr="002C4077">
        <w:t xml:space="preserve"> </w:t>
      </w:r>
      <w:r>
        <w:t>toi</w:t>
      </w:r>
      <w:r w:rsidRPr="002C4077">
        <w:t xml:space="preserve"> </w:t>
      </w:r>
      <w:r>
        <w:t>qui</w:t>
      </w:r>
      <w:r w:rsidRPr="002C4077">
        <w:t xml:space="preserve"> </w:t>
      </w:r>
      <w:r>
        <w:t>es</w:t>
      </w:r>
      <w:r w:rsidRPr="002C4077">
        <w:t xml:space="preserve"> </w:t>
      </w:r>
      <w:r>
        <w:t>le</w:t>
      </w:r>
      <w:r w:rsidRPr="002C4077">
        <w:t xml:space="preserve"> </w:t>
      </w:r>
      <w:r w:rsidR="00425C50">
        <w:t>Christ</w:t>
      </w:r>
      <w:r w:rsidR="00B546AF">
        <w:t> ?</w:t>
      </w:r>
      <w:r w:rsidRPr="002C4077">
        <w:t xml:space="preserve"> </w:t>
      </w:r>
      <w:r>
        <w:t>La</w:t>
      </w:r>
      <w:r w:rsidRPr="002C4077">
        <w:t xml:space="preserve"> </w:t>
      </w:r>
      <w:r>
        <w:t>réponse</w:t>
      </w:r>
      <w:r w:rsidRPr="002C4077">
        <w:t xml:space="preserve"> </w:t>
      </w:r>
      <w:r>
        <w:t>n’est</w:t>
      </w:r>
      <w:r w:rsidRPr="002C4077">
        <w:t xml:space="preserve"> </w:t>
      </w:r>
      <w:r>
        <w:t>pas</w:t>
      </w:r>
      <w:r w:rsidRPr="002C4077">
        <w:t xml:space="preserve"> </w:t>
      </w:r>
      <w:r>
        <w:t>moins</w:t>
      </w:r>
      <w:r w:rsidRPr="002C4077">
        <w:t xml:space="preserve"> </w:t>
      </w:r>
      <w:r>
        <w:t>extraordinaire</w:t>
      </w:r>
      <w:r w:rsidR="00B91AF7">
        <w:rPr>
          <w:rStyle w:val="Appelnotedebasdep"/>
        </w:rPr>
        <w:footnoteReference w:id="440"/>
      </w:r>
      <w:r>
        <w:t>.</w:t>
      </w:r>
      <w:r w:rsidRPr="002C4077">
        <w:t xml:space="preserve"> </w:t>
      </w:r>
      <w:r>
        <w:t>Jamais,</w:t>
      </w:r>
      <w:r w:rsidRPr="002C4077">
        <w:t xml:space="preserve"> </w:t>
      </w:r>
      <w:r>
        <w:t>dans</w:t>
      </w:r>
      <w:r w:rsidRPr="002C4077">
        <w:t xml:space="preserve"> </w:t>
      </w:r>
      <w:r>
        <w:t>aucun</w:t>
      </w:r>
      <w:r w:rsidRPr="002C4077">
        <w:t xml:space="preserve"> </w:t>
      </w:r>
      <w:r>
        <w:t>procès</w:t>
      </w:r>
      <w:r w:rsidRPr="002C4077">
        <w:t xml:space="preserve"> </w:t>
      </w:r>
      <w:r>
        <w:t>réel,</w:t>
      </w:r>
      <w:r w:rsidRPr="002C4077">
        <w:t xml:space="preserve"> </w:t>
      </w:r>
      <w:r>
        <w:t>un</w:t>
      </w:r>
      <w:r w:rsidRPr="002C4077">
        <w:t xml:space="preserve"> </w:t>
      </w:r>
      <w:r>
        <w:t>accusé</w:t>
      </w:r>
      <w:r w:rsidRPr="002C4077">
        <w:t xml:space="preserve"> </w:t>
      </w:r>
      <w:r>
        <w:t>n’a</w:t>
      </w:r>
      <w:r w:rsidRPr="002C4077">
        <w:t xml:space="preserve"> </w:t>
      </w:r>
      <w:r>
        <w:t>répondu</w:t>
      </w:r>
      <w:r w:rsidRPr="002C4077">
        <w:t xml:space="preserve"> </w:t>
      </w:r>
      <w:r>
        <w:t>à</w:t>
      </w:r>
      <w:r w:rsidRPr="002C4077">
        <w:t xml:space="preserve"> </w:t>
      </w:r>
      <w:r>
        <w:t>ses</w:t>
      </w:r>
      <w:r w:rsidRPr="002C4077">
        <w:t xml:space="preserve"> </w:t>
      </w:r>
      <w:r>
        <w:t>juges</w:t>
      </w:r>
      <w:r w:rsidRPr="002C4077">
        <w:t xml:space="preserve"> </w:t>
      </w:r>
      <w:r>
        <w:t>sur</w:t>
      </w:r>
      <w:r w:rsidRPr="002C4077">
        <w:t xml:space="preserve"> </w:t>
      </w:r>
      <w:r>
        <w:t>ce</w:t>
      </w:r>
      <w:r w:rsidRPr="002C4077">
        <w:t xml:space="preserve"> </w:t>
      </w:r>
      <w:r>
        <w:t>ton-là</w:t>
      </w:r>
      <w:r w:rsidR="00B546AF">
        <w:t> »</w:t>
      </w:r>
      <w:r>
        <w:t>.</w:t>
      </w:r>
      <w:r w:rsidR="00C45B47">
        <w:t xml:space="preserve"> {</w:t>
      </w:r>
      <w:r w:rsidR="004C5B7A">
        <w:t>140</w:t>
      </w:r>
      <w:bookmarkStart w:id="384" w:name="p140"/>
      <w:bookmarkEnd w:id="384"/>
      <w:r w:rsidR="004C5B7A">
        <w:t xml:space="preserve">} </w:t>
      </w:r>
    </w:p>
    <w:p w:rsidR="000A7AAB" w:rsidRDefault="000A7AAB" w:rsidP="000A7AAB">
      <w:r>
        <w:lastRenderedPageBreak/>
        <w:t>Nous</w:t>
      </w:r>
      <w:r w:rsidRPr="002C4077">
        <w:t xml:space="preserve"> </w:t>
      </w:r>
      <w:r>
        <w:t>ne</w:t>
      </w:r>
      <w:r w:rsidRPr="002C4077">
        <w:t xml:space="preserve"> </w:t>
      </w:r>
      <w:r>
        <w:t>voyons</w:t>
      </w:r>
      <w:r w:rsidRPr="002C4077">
        <w:t xml:space="preserve"> </w:t>
      </w:r>
      <w:r>
        <w:t>pas</w:t>
      </w:r>
      <w:r w:rsidRPr="002C4077">
        <w:t xml:space="preserve"> </w:t>
      </w:r>
      <w:r>
        <w:t>ce</w:t>
      </w:r>
      <w:r w:rsidRPr="002C4077">
        <w:t xml:space="preserve"> </w:t>
      </w:r>
      <w:r>
        <w:t>qu’il</w:t>
      </w:r>
      <w:r w:rsidRPr="002C4077">
        <w:t xml:space="preserve"> </w:t>
      </w:r>
      <w:r>
        <w:t>y</w:t>
      </w:r>
      <w:r w:rsidRPr="002C4077">
        <w:t xml:space="preserve"> </w:t>
      </w:r>
      <w:r>
        <w:t>a</w:t>
      </w:r>
      <w:r w:rsidRPr="002C4077">
        <w:t xml:space="preserve"> </w:t>
      </w:r>
      <w:r>
        <w:t>d’invraisemblable</w:t>
      </w:r>
      <w:r w:rsidRPr="002C4077">
        <w:t xml:space="preserve"> </w:t>
      </w:r>
      <w:r>
        <w:t>dans</w:t>
      </w:r>
      <w:r w:rsidRPr="002C4077">
        <w:t xml:space="preserve"> </w:t>
      </w:r>
      <w:r>
        <w:t>la</w:t>
      </w:r>
      <w:r w:rsidRPr="002C4077">
        <w:t xml:space="preserve"> </w:t>
      </w:r>
      <w:r>
        <w:t>question</w:t>
      </w:r>
      <w:r w:rsidRPr="002C4077">
        <w:t xml:space="preserve"> </w:t>
      </w:r>
      <w:r>
        <w:t>du</w:t>
      </w:r>
      <w:r w:rsidRPr="002C4077">
        <w:t xml:space="preserve"> </w:t>
      </w:r>
      <w:r>
        <w:t>grand-</w:t>
      </w:r>
      <w:r w:rsidR="00425C50">
        <w:t>prêtre</w:t>
      </w:r>
      <w:r>
        <w:t>,</w:t>
      </w:r>
      <w:r w:rsidRPr="002C4077">
        <w:t xml:space="preserve"> </w:t>
      </w:r>
      <w:r>
        <w:t>qui</w:t>
      </w:r>
      <w:r w:rsidRPr="002C4077">
        <w:t xml:space="preserve"> </w:t>
      </w:r>
      <w:r>
        <w:t>veut</w:t>
      </w:r>
      <w:r w:rsidRPr="002C4077">
        <w:t xml:space="preserve"> </w:t>
      </w:r>
      <w:r>
        <w:t>convaincre</w:t>
      </w:r>
      <w:r w:rsidRPr="002C4077">
        <w:t xml:space="preserve"> </w:t>
      </w:r>
      <w:r w:rsidR="00425C50">
        <w:t>Jésus</w:t>
      </w:r>
      <w:r w:rsidRPr="002C4077">
        <w:t xml:space="preserve"> </w:t>
      </w:r>
      <w:r>
        <w:t>par</w:t>
      </w:r>
      <w:r w:rsidRPr="002C4077">
        <w:t xml:space="preserve"> </w:t>
      </w:r>
      <w:r>
        <w:t>ses</w:t>
      </w:r>
      <w:r w:rsidRPr="002C4077">
        <w:t xml:space="preserve"> </w:t>
      </w:r>
      <w:r>
        <w:t>propres</w:t>
      </w:r>
      <w:r w:rsidRPr="002C4077">
        <w:t xml:space="preserve"> </w:t>
      </w:r>
      <w:r>
        <w:t>paroles</w:t>
      </w:r>
      <w:r w:rsidRPr="002C4077">
        <w:t xml:space="preserve"> </w:t>
      </w:r>
      <w:r>
        <w:t>en</w:t>
      </w:r>
      <w:r w:rsidRPr="002C4077">
        <w:t xml:space="preserve"> </w:t>
      </w:r>
      <w:r>
        <w:t>lui</w:t>
      </w:r>
      <w:r w:rsidRPr="002C4077">
        <w:t xml:space="preserve"> </w:t>
      </w:r>
      <w:r>
        <w:t>faisant</w:t>
      </w:r>
      <w:r w:rsidRPr="002C4077">
        <w:t xml:space="preserve"> </w:t>
      </w:r>
      <w:r>
        <w:t>dire</w:t>
      </w:r>
      <w:r w:rsidRPr="002C4077">
        <w:t xml:space="preserve"> </w:t>
      </w:r>
      <w:r>
        <w:t>qu’il</w:t>
      </w:r>
      <w:r w:rsidRPr="002C4077">
        <w:t xml:space="preserve"> </w:t>
      </w:r>
      <w:r w:rsidR="00425C50">
        <w:t>est</w:t>
      </w:r>
      <w:r w:rsidRPr="002C4077">
        <w:t xml:space="preserve"> </w:t>
      </w:r>
      <w:r>
        <w:t>le</w:t>
      </w:r>
      <w:r w:rsidRPr="002C4077">
        <w:t xml:space="preserve"> </w:t>
      </w:r>
      <w:r w:rsidR="00425C50">
        <w:t>Christ</w:t>
      </w:r>
      <w:r>
        <w:t>,</w:t>
      </w:r>
      <w:r w:rsidRPr="002C4077">
        <w:t xml:space="preserve"> </w:t>
      </w:r>
      <w:r>
        <w:t>ni</w:t>
      </w:r>
      <w:r w:rsidRPr="002C4077">
        <w:t xml:space="preserve"> </w:t>
      </w:r>
      <w:r>
        <w:t>dans</w:t>
      </w:r>
      <w:r w:rsidRPr="002C4077">
        <w:t xml:space="preserve"> </w:t>
      </w:r>
      <w:r>
        <w:t>les</w:t>
      </w:r>
      <w:r w:rsidRPr="002C4077">
        <w:t xml:space="preserve"> </w:t>
      </w:r>
      <w:r>
        <w:t>paroles</w:t>
      </w:r>
      <w:r w:rsidRPr="002C4077">
        <w:t xml:space="preserve"> </w:t>
      </w:r>
      <w:r>
        <w:t>de</w:t>
      </w:r>
      <w:r w:rsidRPr="002C4077">
        <w:t xml:space="preserve"> </w:t>
      </w:r>
      <w:r w:rsidR="00425C50">
        <w:t>Jésus</w:t>
      </w:r>
      <w:r w:rsidRPr="002C4077">
        <w:t xml:space="preserve"> </w:t>
      </w:r>
      <w:r>
        <w:t>répondant</w:t>
      </w:r>
      <w:r w:rsidRPr="002C4077">
        <w:t xml:space="preserve"> </w:t>
      </w:r>
      <w:r>
        <w:t>qu’il</w:t>
      </w:r>
      <w:r w:rsidRPr="002C4077">
        <w:t xml:space="preserve"> </w:t>
      </w:r>
      <w:r>
        <w:t>était</w:t>
      </w:r>
      <w:r w:rsidRPr="002C4077">
        <w:t xml:space="preserve"> </w:t>
      </w:r>
      <w:r>
        <w:t>le</w:t>
      </w:r>
      <w:r w:rsidRPr="002C4077">
        <w:t xml:space="preserve"> </w:t>
      </w:r>
      <w:r>
        <w:t>Messie</w:t>
      </w:r>
      <w:r w:rsidRPr="002C4077">
        <w:t xml:space="preserve"> </w:t>
      </w:r>
      <w:r>
        <w:t>et</w:t>
      </w:r>
      <w:r w:rsidRPr="002C4077">
        <w:t xml:space="preserve"> </w:t>
      </w:r>
      <w:r>
        <w:t>que</w:t>
      </w:r>
      <w:r w:rsidRPr="002C4077">
        <w:t xml:space="preserve"> </w:t>
      </w:r>
      <w:r>
        <w:t>ses</w:t>
      </w:r>
      <w:r w:rsidRPr="002C4077">
        <w:t xml:space="preserve"> </w:t>
      </w:r>
      <w:r>
        <w:t>juges</w:t>
      </w:r>
      <w:r w:rsidRPr="002C4077">
        <w:t xml:space="preserve"> </w:t>
      </w:r>
      <w:r>
        <w:t>seraient</w:t>
      </w:r>
      <w:r w:rsidRPr="002C4077">
        <w:t xml:space="preserve"> </w:t>
      </w:r>
      <w:r>
        <w:t>un</w:t>
      </w:r>
      <w:r w:rsidRPr="002C4077">
        <w:t xml:space="preserve"> </w:t>
      </w:r>
      <w:r>
        <w:t>jour</w:t>
      </w:r>
      <w:r w:rsidRPr="002C4077">
        <w:t xml:space="preserve"> </w:t>
      </w:r>
      <w:r>
        <w:t>forcés</w:t>
      </w:r>
      <w:r w:rsidRPr="002C4077">
        <w:t xml:space="preserve"> </w:t>
      </w:r>
      <w:r>
        <w:t>de</w:t>
      </w:r>
      <w:r w:rsidRPr="002C4077">
        <w:t xml:space="preserve"> </w:t>
      </w:r>
      <w:r>
        <w:t>le</w:t>
      </w:r>
      <w:r w:rsidRPr="002C4077">
        <w:t xml:space="preserve"> </w:t>
      </w:r>
      <w:r>
        <w:t>reconnaître.</w:t>
      </w:r>
      <w:r w:rsidRPr="002C4077">
        <w:t xml:space="preserve"> </w:t>
      </w:r>
      <w:r>
        <w:t>M.</w:t>
      </w:r>
      <w:r w:rsidRPr="002C4077">
        <w:t xml:space="preserve"> </w:t>
      </w:r>
      <w:r>
        <w:t>Havet</w:t>
      </w:r>
      <w:r w:rsidRPr="002C4077">
        <w:t xml:space="preserve"> </w:t>
      </w:r>
      <w:r>
        <w:t>n’en</w:t>
      </w:r>
      <w:r w:rsidRPr="002C4077">
        <w:t xml:space="preserve"> </w:t>
      </w:r>
      <w:r>
        <w:t>conclut</w:t>
      </w:r>
      <w:r w:rsidRPr="002C4077">
        <w:t xml:space="preserve"> </w:t>
      </w:r>
      <w:r>
        <w:t>pas</w:t>
      </w:r>
      <w:r w:rsidRPr="002C4077">
        <w:t xml:space="preserve"> </w:t>
      </w:r>
      <w:r>
        <w:t>moins</w:t>
      </w:r>
      <w:r w:rsidRPr="002C4077">
        <w:t xml:space="preserve"> </w:t>
      </w:r>
      <w:r w:rsidR="00B546AF">
        <w:t>« </w:t>
      </w:r>
      <w:r>
        <w:t>que</w:t>
      </w:r>
      <w:r w:rsidRPr="002C4077">
        <w:t xml:space="preserve"> </w:t>
      </w:r>
      <w:r>
        <w:t>toute</w:t>
      </w:r>
      <w:r w:rsidRPr="002C4077">
        <w:t xml:space="preserve"> </w:t>
      </w:r>
      <w:r>
        <w:t>cette</w:t>
      </w:r>
      <w:r w:rsidRPr="002C4077">
        <w:t xml:space="preserve"> </w:t>
      </w:r>
      <w:r>
        <w:t>narration</w:t>
      </w:r>
      <w:r w:rsidRPr="002C4077">
        <w:t xml:space="preserve"> </w:t>
      </w:r>
      <w:r>
        <w:t>a</w:t>
      </w:r>
      <w:r w:rsidRPr="002C4077">
        <w:t xml:space="preserve"> </w:t>
      </w:r>
      <w:r>
        <w:t>la</w:t>
      </w:r>
      <w:r w:rsidRPr="002C4077">
        <w:t xml:space="preserve"> </w:t>
      </w:r>
      <w:r>
        <w:t>naïveté</w:t>
      </w:r>
      <w:r w:rsidRPr="002C4077">
        <w:t xml:space="preserve"> </w:t>
      </w:r>
      <w:r>
        <w:t>enfantine</w:t>
      </w:r>
      <w:r w:rsidRPr="002C4077">
        <w:t xml:space="preserve"> </w:t>
      </w:r>
      <w:r>
        <w:t>d’une</w:t>
      </w:r>
      <w:r w:rsidRPr="002C4077">
        <w:t xml:space="preserve"> </w:t>
      </w:r>
      <w:r>
        <w:t>légende</w:t>
      </w:r>
      <w:r w:rsidRPr="002C4077">
        <w:t xml:space="preserve"> </w:t>
      </w:r>
      <w:r>
        <w:t>populaire,</w:t>
      </w:r>
      <w:r w:rsidRPr="002C4077">
        <w:t xml:space="preserve"> </w:t>
      </w:r>
      <w:r>
        <w:t>non</w:t>
      </w:r>
      <w:r w:rsidRPr="002C4077">
        <w:t xml:space="preserve"> </w:t>
      </w:r>
      <w:r>
        <w:t>le</w:t>
      </w:r>
      <w:r w:rsidRPr="002C4077">
        <w:t xml:space="preserve"> </w:t>
      </w:r>
      <w:r>
        <w:t>caractère</w:t>
      </w:r>
      <w:r w:rsidRPr="002C4077">
        <w:t xml:space="preserve"> </w:t>
      </w:r>
      <w:r>
        <w:t>d’une</w:t>
      </w:r>
      <w:r w:rsidRPr="002C4077">
        <w:t xml:space="preserve"> </w:t>
      </w:r>
      <w:r>
        <w:t>histoire</w:t>
      </w:r>
      <w:r w:rsidRPr="002C4077">
        <w:t xml:space="preserve"> </w:t>
      </w:r>
      <w:r>
        <w:t>sérieuse</w:t>
      </w:r>
      <w:r w:rsidR="00B546AF">
        <w:t> » ;</w:t>
      </w:r>
      <w:r w:rsidRPr="002C4077">
        <w:t xml:space="preserve"> </w:t>
      </w:r>
      <w:r>
        <w:t>que</w:t>
      </w:r>
      <w:r w:rsidRPr="002C4077">
        <w:t xml:space="preserve"> </w:t>
      </w:r>
      <w:r w:rsidR="00B546AF">
        <w:t>« </w:t>
      </w:r>
      <w:r w:rsidR="00425C50">
        <w:t>Jésus</w:t>
      </w:r>
      <w:r w:rsidRPr="002C4077">
        <w:t xml:space="preserve"> </w:t>
      </w:r>
      <w:r>
        <w:t>n’a</w:t>
      </w:r>
      <w:r w:rsidRPr="002C4077">
        <w:t xml:space="preserve"> </w:t>
      </w:r>
      <w:r>
        <w:t>jamais</w:t>
      </w:r>
      <w:r w:rsidRPr="002C4077">
        <w:t xml:space="preserve"> </w:t>
      </w:r>
      <w:r>
        <w:t>dit</w:t>
      </w:r>
      <w:r w:rsidRPr="002C4077">
        <w:t xml:space="preserve"> </w:t>
      </w:r>
      <w:r>
        <w:t>qu’il</w:t>
      </w:r>
      <w:r w:rsidRPr="002C4077">
        <w:t xml:space="preserve"> </w:t>
      </w:r>
      <w:r>
        <w:t>fût</w:t>
      </w:r>
      <w:r w:rsidRPr="002C4077">
        <w:t xml:space="preserve"> </w:t>
      </w:r>
      <w:r>
        <w:t>le</w:t>
      </w:r>
      <w:r w:rsidRPr="002C4077">
        <w:t xml:space="preserve"> </w:t>
      </w:r>
      <w:r w:rsidR="00425C50">
        <w:t>Christ</w:t>
      </w:r>
      <w:r w:rsidR="00B546AF">
        <w:t> » ;</w:t>
      </w:r>
      <w:r w:rsidRPr="002C4077">
        <w:t xml:space="preserve"> </w:t>
      </w:r>
      <w:r>
        <w:t>que</w:t>
      </w:r>
      <w:r w:rsidRPr="002C4077">
        <w:t xml:space="preserve"> </w:t>
      </w:r>
      <w:r w:rsidR="00B546AF">
        <w:t>« </w:t>
      </w:r>
      <w:r>
        <w:t>non-seulement</w:t>
      </w:r>
      <w:r w:rsidRPr="002C4077">
        <w:t xml:space="preserve"> </w:t>
      </w:r>
      <w:r>
        <w:t>la</w:t>
      </w:r>
      <w:r w:rsidRPr="002C4077">
        <w:t xml:space="preserve"> </w:t>
      </w:r>
      <w:r>
        <w:t>manière</w:t>
      </w:r>
      <w:r w:rsidRPr="002C4077">
        <w:t xml:space="preserve"> </w:t>
      </w:r>
      <w:r>
        <w:t>dont</w:t>
      </w:r>
      <w:r w:rsidRPr="002C4077">
        <w:t xml:space="preserve"> </w:t>
      </w:r>
      <w:r>
        <w:t>on</w:t>
      </w:r>
      <w:r w:rsidRPr="002C4077">
        <w:t xml:space="preserve"> </w:t>
      </w:r>
      <w:r>
        <w:t>nous</w:t>
      </w:r>
      <w:r w:rsidRPr="002C4077">
        <w:t xml:space="preserve"> </w:t>
      </w:r>
      <w:r>
        <w:t>raconte</w:t>
      </w:r>
      <w:r w:rsidRPr="002C4077">
        <w:t xml:space="preserve"> </w:t>
      </w:r>
      <w:r>
        <w:t>la</w:t>
      </w:r>
      <w:r w:rsidRPr="002C4077">
        <w:t xml:space="preserve"> </w:t>
      </w:r>
      <w:r>
        <w:t>comparution</w:t>
      </w:r>
      <w:r w:rsidRPr="002C4077">
        <w:t xml:space="preserve"> </w:t>
      </w:r>
      <w:r>
        <w:t>de</w:t>
      </w:r>
      <w:r w:rsidRPr="002C4077">
        <w:t xml:space="preserve"> </w:t>
      </w:r>
      <w:r w:rsidR="00425C50">
        <w:t>Jésus</w:t>
      </w:r>
      <w:r w:rsidRPr="002C4077">
        <w:t xml:space="preserve"> </w:t>
      </w:r>
      <w:r>
        <w:t>devant</w:t>
      </w:r>
      <w:r w:rsidRPr="002C4077">
        <w:t xml:space="preserve"> </w:t>
      </w:r>
      <w:r>
        <w:t>le</w:t>
      </w:r>
      <w:r w:rsidRPr="002C4077">
        <w:t xml:space="preserve"> </w:t>
      </w:r>
      <w:r>
        <w:t>synédrion</w:t>
      </w:r>
      <w:r w:rsidRPr="002C4077">
        <w:t xml:space="preserve"> </w:t>
      </w:r>
      <w:r w:rsidR="00425C50">
        <w:t>est</w:t>
      </w:r>
      <w:r w:rsidRPr="002C4077">
        <w:t xml:space="preserve"> </w:t>
      </w:r>
      <w:r>
        <w:t>suspecte,</w:t>
      </w:r>
      <w:r w:rsidRPr="002C4077">
        <w:t xml:space="preserve"> </w:t>
      </w:r>
      <w:r>
        <w:t>mais</w:t>
      </w:r>
      <w:r w:rsidRPr="002C4077">
        <w:t xml:space="preserve"> </w:t>
      </w:r>
      <w:r>
        <w:t>encore</w:t>
      </w:r>
      <w:r w:rsidRPr="002C4077">
        <w:t xml:space="preserve"> </w:t>
      </w:r>
      <w:r>
        <w:t>que</w:t>
      </w:r>
      <w:r w:rsidRPr="002C4077">
        <w:t xml:space="preserve"> </w:t>
      </w:r>
      <w:r>
        <w:t>probablement</w:t>
      </w:r>
      <w:r w:rsidRPr="002C4077">
        <w:t xml:space="preserve"> </w:t>
      </w:r>
      <w:r w:rsidR="00425C50">
        <w:t>Jésus</w:t>
      </w:r>
      <w:r w:rsidRPr="002C4077">
        <w:t xml:space="preserve"> </w:t>
      </w:r>
      <w:r>
        <w:t>n’a</w:t>
      </w:r>
      <w:r w:rsidRPr="002C4077">
        <w:t xml:space="preserve"> </w:t>
      </w:r>
      <w:r>
        <w:t>jamais</w:t>
      </w:r>
      <w:r w:rsidRPr="002C4077">
        <w:t xml:space="preserve"> </w:t>
      </w:r>
      <w:r>
        <w:t>comparu</w:t>
      </w:r>
      <w:r w:rsidRPr="002C4077">
        <w:t xml:space="preserve"> </w:t>
      </w:r>
      <w:r>
        <w:t>devant</w:t>
      </w:r>
      <w:r w:rsidRPr="002C4077">
        <w:t xml:space="preserve"> </w:t>
      </w:r>
      <w:r>
        <w:t>le</w:t>
      </w:r>
      <w:r w:rsidRPr="002C4077">
        <w:t xml:space="preserve"> </w:t>
      </w:r>
      <w:r>
        <w:t>synédrion</w:t>
      </w:r>
      <w:r w:rsidR="00B546AF">
        <w:t> »</w:t>
      </w:r>
      <w:r>
        <w:t>.</w:t>
      </w:r>
      <w:r w:rsidRPr="002C4077">
        <w:t xml:space="preserve"> </w:t>
      </w:r>
    </w:p>
    <w:p w:rsidR="000A7AAB" w:rsidRDefault="000A7AAB" w:rsidP="000A7AAB">
      <w:r>
        <w:t>Pauvres</w:t>
      </w:r>
      <w:r w:rsidRPr="002C4077">
        <w:t xml:space="preserve"> </w:t>
      </w:r>
      <w:r>
        <w:t>évangélistes,</w:t>
      </w:r>
      <w:r w:rsidRPr="002C4077">
        <w:t xml:space="preserve"> </w:t>
      </w:r>
      <w:r>
        <w:t>qui</w:t>
      </w:r>
      <w:r w:rsidRPr="002C4077">
        <w:t xml:space="preserve"> </w:t>
      </w:r>
      <w:r w:rsidRPr="000A34B5">
        <w:rPr>
          <w:rStyle w:val="italicus"/>
        </w:rPr>
        <w:t>s’imaginaient</w:t>
      </w:r>
      <w:r w:rsidR="00514F08" w:rsidRPr="002C4077">
        <w:t xml:space="preserve"> </w:t>
      </w:r>
      <w:r w:rsidR="00514F08">
        <w:t>faire</w:t>
      </w:r>
      <w:r w:rsidR="00514F08" w:rsidRPr="002C4077">
        <w:t xml:space="preserve"> </w:t>
      </w:r>
      <w:r w:rsidR="00514F08">
        <w:t>de</w:t>
      </w:r>
      <w:r w:rsidR="00514F08" w:rsidRPr="002C4077">
        <w:t xml:space="preserve"> </w:t>
      </w:r>
      <w:r w:rsidR="00514F08">
        <w:t>l’histoire !</w:t>
      </w:r>
      <w:r w:rsidRPr="002C4077">
        <w:t xml:space="preserve"> </w:t>
      </w:r>
    </w:p>
    <w:p w:rsidR="000A7AAB" w:rsidRDefault="000A7AAB" w:rsidP="000A7AAB">
      <w:r>
        <w:t>Ils</w:t>
      </w:r>
      <w:r w:rsidRPr="002C4077">
        <w:t xml:space="preserve"> </w:t>
      </w:r>
      <w:r>
        <w:t>ont</w:t>
      </w:r>
      <w:r w:rsidRPr="002C4077">
        <w:t xml:space="preserve"> </w:t>
      </w:r>
      <w:r>
        <w:t>pu</w:t>
      </w:r>
      <w:r w:rsidRPr="002C4077">
        <w:t xml:space="preserve"> </w:t>
      </w:r>
      <w:r>
        <w:t>tromper</w:t>
      </w:r>
      <w:r w:rsidRPr="002C4077">
        <w:t xml:space="preserve"> </w:t>
      </w:r>
      <w:r>
        <w:t>les</w:t>
      </w:r>
      <w:r w:rsidRPr="002C4077">
        <w:t xml:space="preserve"> </w:t>
      </w:r>
      <w:r>
        <w:t>générations</w:t>
      </w:r>
      <w:r w:rsidRPr="002C4077">
        <w:t xml:space="preserve"> </w:t>
      </w:r>
      <w:r>
        <w:t>de</w:t>
      </w:r>
      <w:r w:rsidRPr="002C4077">
        <w:t xml:space="preserve"> </w:t>
      </w:r>
      <w:r>
        <w:t>dix-huit</w:t>
      </w:r>
      <w:r w:rsidRPr="002C4077">
        <w:t xml:space="preserve"> </w:t>
      </w:r>
      <w:r>
        <w:t>siècles</w:t>
      </w:r>
      <w:r w:rsidRPr="002C4077">
        <w:t xml:space="preserve"> </w:t>
      </w:r>
      <w:r>
        <w:t>consécutifs,</w:t>
      </w:r>
      <w:r w:rsidRPr="002C4077">
        <w:t xml:space="preserve"> </w:t>
      </w:r>
      <w:r>
        <w:t>y</w:t>
      </w:r>
      <w:r w:rsidRPr="002C4077">
        <w:t xml:space="preserve"> </w:t>
      </w:r>
      <w:r>
        <w:t>compris</w:t>
      </w:r>
      <w:r w:rsidRPr="002C4077">
        <w:t xml:space="preserve"> </w:t>
      </w:r>
      <w:r>
        <w:t>les</w:t>
      </w:r>
      <w:r w:rsidRPr="002C4077">
        <w:t xml:space="preserve"> </w:t>
      </w:r>
      <w:r>
        <w:t>témoins</w:t>
      </w:r>
      <w:r w:rsidRPr="002C4077">
        <w:t xml:space="preserve"> </w:t>
      </w:r>
      <w:r>
        <w:t>oculaires</w:t>
      </w:r>
      <w:r w:rsidRPr="002C4077">
        <w:t xml:space="preserve"> </w:t>
      </w:r>
      <w:r>
        <w:t>des</w:t>
      </w:r>
      <w:r w:rsidRPr="002C4077">
        <w:t xml:space="preserve"> </w:t>
      </w:r>
      <w:r>
        <w:t>choses</w:t>
      </w:r>
      <w:r w:rsidRPr="002C4077">
        <w:t xml:space="preserve"> </w:t>
      </w:r>
      <w:r>
        <w:t>qu’ils</w:t>
      </w:r>
      <w:r w:rsidRPr="002C4077">
        <w:t xml:space="preserve"> </w:t>
      </w:r>
      <w:r>
        <w:t>racontent.</w:t>
      </w:r>
      <w:r w:rsidRPr="002C4077">
        <w:t xml:space="preserve"> </w:t>
      </w:r>
      <w:r>
        <w:t>Mais</w:t>
      </w:r>
      <w:r w:rsidRPr="002C4077">
        <w:t xml:space="preserve"> </w:t>
      </w:r>
      <w:r>
        <w:t>leurs</w:t>
      </w:r>
      <w:r w:rsidRPr="002C4077">
        <w:t xml:space="preserve"> </w:t>
      </w:r>
      <w:r>
        <w:t>imaginations</w:t>
      </w:r>
      <w:r w:rsidRPr="002C4077">
        <w:t xml:space="preserve"> </w:t>
      </w:r>
      <w:r>
        <w:t>devaient</w:t>
      </w:r>
      <w:r w:rsidRPr="002C4077">
        <w:t xml:space="preserve"> </w:t>
      </w:r>
      <w:r>
        <w:t>être</w:t>
      </w:r>
      <w:r w:rsidRPr="002C4077">
        <w:t xml:space="preserve"> </w:t>
      </w:r>
      <w:r>
        <w:t>finalement</w:t>
      </w:r>
      <w:r w:rsidRPr="002C4077">
        <w:t xml:space="preserve"> </w:t>
      </w:r>
      <w:r>
        <w:t>démasquées</w:t>
      </w:r>
      <w:r w:rsidRPr="002C4077">
        <w:t xml:space="preserve"> </w:t>
      </w:r>
      <w:r>
        <w:t>par</w:t>
      </w:r>
      <w:r w:rsidRPr="002C4077">
        <w:t xml:space="preserve"> </w:t>
      </w:r>
      <w:r>
        <w:t>M.</w:t>
      </w:r>
      <w:r w:rsidRPr="002C4077">
        <w:t xml:space="preserve"> </w:t>
      </w:r>
      <w:r>
        <w:t>Havet.</w:t>
      </w:r>
      <w:r w:rsidRPr="002C4077">
        <w:t xml:space="preserve"> </w:t>
      </w:r>
    </w:p>
    <w:p w:rsidR="000A7AAB" w:rsidRPr="004C5B7A" w:rsidRDefault="00B546AF" w:rsidP="000A7AAB">
      <w:r>
        <w:t>« </w:t>
      </w:r>
      <w:r w:rsidR="000A7AAB">
        <w:t>La</w:t>
      </w:r>
      <w:r w:rsidR="000A7AAB" w:rsidRPr="002C4077">
        <w:t xml:space="preserve"> </w:t>
      </w:r>
      <w:r w:rsidR="000A7AAB">
        <w:t>suite</w:t>
      </w:r>
      <w:r w:rsidR="000A7AAB" w:rsidRPr="002C4077">
        <w:t xml:space="preserve"> </w:t>
      </w:r>
      <w:r w:rsidR="000A7AAB">
        <w:t>du</w:t>
      </w:r>
      <w:r w:rsidR="000A7AAB" w:rsidRPr="002C4077">
        <w:t xml:space="preserve"> </w:t>
      </w:r>
      <w:r w:rsidR="000A7AAB">
        <w:t>récit</w:t>
      </w:r>
      <w:r w:rsidR="000A7AAB" w:rsidRPr="002C4077">
        <w:t xml:space="preserve"> </w:t>
      </w:r>
      <w:r w:rsidR="000A7AAB">
        <w:t>n’étonne</w:t>
      </w:r>
      <w:r w:rsidR="000A7AAB" w:rsidRPr="002C4077">
        <w:t xml:space="preserve"> </w:t>
      </w:r>
      <w:r w:rsidR="000A7AAB">
        <w:t>pas</w:t>
      </w:r>
      <w:r w:rsidR="000A7AAB" w:rsidRPr="002C4077">
        <w:t xml:space="preserve"> </w:t>
      </w:r>
      <w:r w:rsidR="000A7AAB">
        <w:t>moins.</w:t>
      </w:r>
      <w:r w:rsidR="000A7AAB" w:rsidRPr="002C4077">
        <w:t xml:space="preserve"> </w:t>
      </w:r>
      <w:r w:rsidR="000A7AAB">
        <w:t>Après</w:t>
      </w:r>
      <w:r w:rsidR="000A7AAB" w:rsidRPr="002C4077">
        <w:t xml:space="preserve"> </w:t>
      </w:r>
      <w:r w:rsidR="000A7AAB">
        <w:t>que</w:t>
      </w:r>
      <w:r w:rsidR="000A7AAB" w:rsidRPr="002C4077">
        <w:t xml:space="preserve"> </w:t>
      </w:r>
      <w:r w:rsidR="000A7AAB">
        <w:t>ce</w:t>
      </w:r>
      <w:r w:rsidR="000A7AAB" w:rsidRPr="002C4077">
        <w:t xml:space="preserve"> </w:t>
      </w:r>
      <w:r w:rsidR="000A7AAB">
        <w:t>conseil</w:t>
      </w:r>
      <w:r w:rsidR="000A7AAB" w:rsidRPr="002C4077">
        <w:t xml:space="preserve"> </w:t>
      </w:r>
      <w:r w:rsidR="000A7AAB">
        <w:t>suprême</w:t>
      </w:r>
      <w:r w:rsidR="000A7AAB" w:rsidRPr="002C4077">
        <w:t xml:space="preserve"> </w:t>
      </w:r>
      <w:r w:rsidR="000A7AAB">
        <w:t>de</w:t>
      </w:r>
      <w:r w:rsidR="000A7AAB" w:rsidRPr="002C4077">
        <w:t xml:space="preserve"> </w:t>
      </w:r>
      <w:r w:rsidR="000A7AAB">
        <w:t>la</w:t>
      </w:r>
      <w:r w:rsidR="000A7AAB" w:rsidRPr="002C4077">
        <w:t xml:space="preserve"> </w:t>
      </w:r>
      <w:r w:rsidR="000A7AAB">
        <w:t>nation</w:t>
      </w:r>
      <w:r w:rsidR="000A7AAB" w:rsidRPr="002C4077">
        <w:t xml:space="preserve"> </w:t>
      </w:r>
      <w:r w:rsidR="000A7AAB">
        <w:t>juive</w:t>
      </w:r>
      <w:r w:rsidR="000A7AAB" w:rsidRPr="002C4077">
        <w:t xml:space="preserve"> </w:t>
      </w:r>
      <w:r w:rsidR="000A7AAB">
        <w:t>a</w:t>
      </w:r>
      <w:r w:rsidR="000A7AAB" w:rsidRPr="002C4077">
        <w:t xml:space="preserve"> </w:t>
      </w:r>
      <w:r w:rsidR="000A7AAB">
        <w:t>prononcé</w:t>
      </w:r>
      <w:r w:rsidR="000A7AAB" w:rsidRPr="002C4077">
        <w:t xml:space="preserve"> </w:t>
      </w:r>
      <w:r w:rsidR="000A7AAB">
        <w:t>la</w:t>
      </w:r>
      <w:r w:rsidR="000A7AAB" w:rsidRPr="002C4077">
        <w:t xml:space="preserve"> </w:t>
      </w:r>
      <w:r w:rsidR="000A7AAB">
        <w:t>sentence</w:t>
      </w:r>
      <w:r w:rsidR="000A7AAB" w:rsidRPr="002C4077">
        <w:t xml:space="preserve"> </w:t>
      </w:r>
      <w:r w:rsidR="000A7AAB">
        <w:t>de</w:t>
      </w:r>
      <w:r w:rsidR="000A7AAB" w:rsidRPr="002C4077">
        <w:t xml:space="preserve"> </w:t>
      </w:r>
      <w:r w:rsidR="000A7AAB">
        <w:t>mort,</w:t>
      </w:r>
      <w:r w:rsidR="000A7AAB" w:rsidRPr="002C4077">
        <w:t xml:space="preserve"> </w:t>
      </w:r>
      <w:r w:rsidR="000A7AAB">
        <w:t>voici</w:t>
      </w:r>
      <w:r w:rsidR="000A7AAB" w:rsidRPr="002C4077">
        <w:t xml:space="preserve"> </w:t>
      </w:r>
      <w:r w:rsidR="000A7AAB">
        <w:t>que</w:t>
      </w:r>
      <w:r w:rsidR="000A7AAB" w:rsidRPr="002C4077">
        <w:t xml:space="preserve"> </w:t>
      </w:r>
      <w:r w:rsidR="000A7AAB">
        <w:t>le</w:t>
      </w:r>
      <w:r w:rsidR="000A7AAB" w:rsidRPr="002C4077">
        <w:t xml:space="preserve"> </w:t>
      </w:r>
      <w:r w:rsidR="000A7AAB">
        <w:t>lendemain</w:t>
      </w:r>
      <w:r w:rsidR="000A7AAB" w:rsidRPr="002C4077">
        <w:t xml:space="preserve"> </w:t>
      </w:r>
      <w:r w:rsidR="000A7AAB">
        <w:t>grands-</w:t>
      </w:r>
      <w:r w:rsidR="00425C50">
        <w:t>prêtre</w:t>
      </w:r>
      <w:r w:rsidR="000A7AAB">
        <w:t>s</w:t>
      </w:r>
      <w:r w:rsidR="00F44410">
        <w:rPr>
          <w:rStyle w:val="Appelnotedebasdep"/>
        </w:rPr>
        <w:footnoteReference w:id="441"/>
      </w:r>
      <w:r w:rsidR="00F44410">
        <w:t>,</w:t>
      </w:r>
      <w:r w:rsidR="000A7AAB" w:rsidRPr="002C4077">
        <w:t xml:space="preserve"> </w:t>
      </w:r>
      <w:r w:rsidR="000A7AAB">
        <w:t>docteurs,</w:t>
      </w:r>
      <w:r w:rsidR="000A7AAB" w:rsidRPr="002C4077">
        <w:t xml:space="preserve"> </w:t>
      </w:r>
      <w:r w:rsidR="000A7AAB">
        <w:t>anciens,</w:t>
      </w:r>
      <w:r w:rsidR="000A7AAB" w:rsidRPr="002C4077">
        <w:t xml:space="preserve"> </w:t>
      </w:r>
      <w:r w:rsidR="000A7AAB">
        <w:t>se</w:t>
      </w:r>
      <w:r w:rsidR="000A7AAB" w:rsidRPr="002C4077">
        <w:t xml:space="preserve"> </w:t>
      </w:r>
      <w:r w:rsidR="000A7AAB">
        <w:t>transportent</w:t>
      </w:r>
      <w:r w:rsidR="000A7AAB" w:rsidRPr="002C4077">
        <w:t xml:space="preserve"> </w:t>
      </w:r>
      <w:r w:rsidR="000A7AAB">
        <w:t>devant</w:t>
      </w:r>
      <w:r w:rsidR="000A7AAB" w:rsidRPr="002C4077">
        <w:t xml:space="preserve"> </w:t>
      </w:r>
      <w:r w:rsidR="000A7AAB">
        <w:t>Pilate</w:t>
      </w:r>
      <w:r w:rsidR="000A7AAB" w:rsidRPr="002C4077">
        <w:t xml:space="preserve"> </w:t>
      </w:r>
      <w:r w:rsidR="000A7AAB">
        <w:t>et</w:t>
      </w:r>
      <w:r w:rsidR="000A7AAB" w:rsidRPr="002C4077">
        <w:t xml:space="preserve"> </w:t>
      </w:r>
      <w:r w:rsidR="000A7AAB">
        <w:t>qu’ils</w:t>
      </w:r>
      <w:r w:rsidR="000A7AAB" w:rsidRPr="002C4077">
        <w:t xml:space="preserve"> </w:t>
      </w:r>
      <w:r w:rsidR="000A7AAB">
        <w:t>lui</w:t>
      </w:r>
      <w:r w:rsidR="000A7AAB" w:rsidRPr="002C4077">
        <w:t xml:space="preserve"> </w:t>
      </w:r>
      <w:r w:rsidR="000A7AAB">
        <w:t>remettent</w:t>
      </w:r>
      <w:r w:rsidR="000A7AAB" w:rsidRPr="002C4077">
        <w:t xml:space="preserve"> </w:t>
      </w:r>
      <w:r w:rsidR="000A7AAB">
        <w:t>le</w:t>
      </w:r>
      <w:r w:rsidR="000A7AAB" w:rsidRPr="002C4077">
        <w:t xml:space="preserve"> </w:t>
      </w:r>
      <w:r w:rsidR="000A7AAB">
        <w:t>condamné,</w:t>
      </w:r>
      <w:r w:rsidR="000A7AAB" w:rsidRPr="002C4077">
        <w:t xml:space="preserve"> </w:t>
      </w:r>
      <w:r w:rsidR="000A7AAB">
        <w:t>devenant</w:t>
      </w:r>
      <w:r w:rsidR="000A7AAB" w:rsidRPr="002C4077">
        <w:t xml:space="preserve"> </w:t>
      </w:r>
      <w:r w:rsidR="000A7AAB">
        <w:t>accusateurs</w:t>
      </w:r>
      <w:r w:rsidR="000A7AAB" w:rsidRPr="002C4077">
        <w:t xml:space="preserve"> </w:t>
      </w:r>
      <w:r w:rsidR="000A7AAB">
        <w:t>au</w:t>
      </w:r>
      <w:r w:rsidR="000A7AAB" w:rsidRPr="002C4077">
        <w:t xml:space="preserve"> </w:t>
      </w:r>
      <w:r w:rsidR="000A7AAB">
        <w:t>lieu</w:t>
      </w:r>
      <w:r w:rsidR="000A7AAB" w:rsidRPr="002C4077">
        <w:t xml:space="preserve"> </w:t>
      </w:r>
      <w:r w:rsidR="00F44410">
        <w:t>de juge</w:t>
      </w:r>
      <w:r w:rsidR="000A7AAB">
        <w:t>s…</w:t>
      </w:r>
      <w:r w:rsidR="000A7AAB" w:rsidRPr="002C4077">
        <w:t xml:space="preserve"> </w:t>
      </w:r>
      <w:r w:rsidR="000A7AAB">
        <w:t>Les</w:t>
      </w:r>
      <w:r w:rsidR="000A7AAB" w:rsidRPr="002C4077">
        <w:t xml:space="preserve"> </w:t>
      </w:r>
      <w:r w:rsidR="000A7AAB">
        <w:t>choses</w:t>
      </w:r>
      <w:r w:rsidR="000A7AAB" w:rsidRPr="002C4077">
        <w:t xml:space="preserve"> </w:t>
      </w:r>
      <w:r w:rsidR="000A7AAB">
        <w:t>n’ont</w:t>
      </w:r>
      <w:r w:rsidR="000A7AAB" w:rsidRPr="002C4077">
        <w:t xml:space="preserve"> </w:t>
      </w:r>
      <w:r w:rsidR="000A7AAB">
        <w:t>pu</w:t>
      </w:r>
      <w:r w:rsidR="000A7AAB" w:rsidRPr="002C4077">
        <w:t xml:space="preserve"> </w:t>
      </w:r>
      <w:r w:rsidR="000A7AAB">
        <w:t>se</w:t>
      </w:r>
      <w:r w:rsidR="000A7AAB" w:rsidRPr="002C4077">
        <w:t xml:space="preserve"> </w:t>
      </w:r>
      <w:r w:rsidR="000A7AAB">
        <w:t>passer</w:t>
      </w:r>
      <w:r w:rsidR="000A7AAB" w:rsidRPr="002C4077">
        <w:t xml:space="preserve"> </w:t>
      </w:r>
      <w:r w:rsidR="000A7AAB">
        <w:t>ainsi.</w:t>
      </w:r>
      <w:r w:rsidR="000A7AAB" w:rsidRPr="002C4077">
        <w:t xml:space="preserve"> </w:t>
      </w:r>
      <w:r w:rsidR="000A7AAB">
        <w:t>On</w:t>
      </w:r>
      <w:r w:rsidR="000A7AAB" w:rsidRPr="002C4077">
        <w:t xml:space="preserve"> </w:t>
      </w:r>
      <w:r w:rsidR="000A7AAB">
        <w:t>ne</w:t>
      </w:r>
      <w:r w:rsidR="000A7AAB" w:rsidRPr="002C4077">
        <w:t xml:space="preserve"> </w:t>
      </w:r>
      <w:r w:rsidR="000A7AAB">
        <w:t>comprend</w:t>
      </w:r>
      <w:r w:rsidR="000A7AAB" w:rsidRPr="002C4077">
        <w:t xml:space="preserve"> </w:t>
      </w:r>
      <w:r w:rsidR="000A7AAB">
        <w:t>même</w:t>
      </w:r>
      <w:r w:rsidR="000A7AAB" w:rsidRPr="002C4077">
        <w:t xml:space="preserve"> </w:t>
      </w:r>
      <w:r w:rsidR="000A7AAB">
        <w:t>pas</w:t>
      </w:r>
      <w:r w:rsidR="000A7AAB" w:rsidRPr="002C4077">
        <w:t xml:space="preserve"> </w:t>
      </w:r>
      <w:r w:rsidR="000A7AAB">
        <w:t>que</w:t>
      </w:r>
      <w:r w:rsidR="000A7AAB" w:rsidRPr="002C4077">
        <w:t xml:space="preserve"> </w:t>
      </w:r>
      <w:r w:rsidR="000A7AAB">
        <w:t>ces</w:t>
      </w:r>
      <w:r w:rsidR="000A7AAB" w:rsidRPr="002C4077">
        <w:t xml:space="preserve"> </w:t>
      </w:r>
      <w:r w:rsidR="000A7AAB">
        <w:t>juges</w:t>
      </w:r>
      <w:r w:rsidR="000A7AAB" w:rsidRPr="002C4077">
        <w:t xml:space="preserve"> </w:t>
      </w:r>
      <w:r w:rsidR="000A7AAB">
        <w:t>sacrés,</w:t>
      </w:r>
      <w:r w:rsidR="000A7AAB" w:rsidRPr="002C4077">
        <w:t xml:space="preserve"> </w:t>
      </w:r>
      <w:r w:rsidR="000A7AAB">
        <w:t>après</w:t>
      </w:r>
      <w:r w:rsidR="000A7AAB" w:rsidRPr="002C4077">
        <w:t xml:space="preserve"> </w:t>
      </w:r>
      <w:r w:rsidR="000A7AAB">
        <w:t>avoir</w:t>
      </w:r>
      <w:r w:rsidR="000A7AAB" w:rsidRPr="002C4077">
        <w:t xml:space="preserve"> </w:t>
      </w:r>
      <w:r w:rsidR="000A7AAB">
        <w:t>condamné</w:t>
      </w:r>
      <w:r w:rsidR="000A7AAB" w:rsidRPr="002C4077">
        <w:t xml:space="preserve"> </w:t>
      </w:r>
      <w:r w:rsidR="000A7AAB">
        <w:t>solennellement</w:t>
      </w:r>
      <w:r w:rsidR="000A7AAB" w:rsidRPr="002C4077">
        <w:t xml:space="preserve"> </w:t>
      </w:r>
      <w:r w:rsidR="00425C50">
        <w:t>Jésus</w:t>
      </w:r>
      <w:r w:rsidR="000A7AAB" w:rsidRPr="002C4077">
        <w:t xml:space="preserve"> </w:t>
      </w:r>
      <w:r w:rsidR="000A7AAB">
        <w:t>comme</w:t>
      </w:r>
      <w:r w:rsidR="000A7AAB" w:rsidRPr="002C4077">
        <w:t xml:space="preserve"> </w:t>
      </w:r>
      <w:r w:rsidR="000A7AAB">
        <w:t>ayant</w:t>
      </w:r>
      <w:r w:rsidR="000A7AAB" w:rsidRPr="002C4077">
        <w:t xml:space="preserve"> </w:t>
      </w:r>
      <w:r w:rsidR="000A7AAB">
        <w:t>blasphémé</w:t>
      </w:r>
      <w:r w:rsidR="000A7AAB" w:rsidRPr="002C4077">
        <w:t xml:space="preserve"> </w:t>
      </w:r>
      <w:r w:rsidR="000A7AAB">
        <w:t>Dieu</w:t>
      </w:r>
      <w:r w:rsidR="000A7AAB" w:rsidRPr="002C4077">
        <w:t xml:space="preserve"> </w:t>
      </w:r>
      <w:r w:rsidR="000A7AAB">
        <w:t>même,</w:t>
      </w:r>
      <w:r w:rsidR="000A7AAB" w:rsidRPr="002C4077">
        <w:t xml:space="preserve"> </w:t>
      </w:r>
      <w:r w:rsidR="000A7AAB">
        <w:t>vinssent</w:t>
      </w:r>
      <w:r w:rsidR="000A7AAB" w:rsidRPr="002C4077">
        <w:t xml:space="preserve"> </w:t>
      </w:r>
      <w:r w:rsidR="000A7AAB">
        <w:t>en</w:t>
      </w:r>
      <w:r w:rsidR="000A7AAB" w:rsidRPr="002C4077">
        <w:t xml:space="preserve"> </w:t>
      </w:r>
      <w:r w:rsidR="000A7AAB">
        <w:t>corps</w:t>
      </w:r>
      <w:r w:rsidR="000A7AAB" w:rsidRPr="002C4077">
        <w:t xml:space="preserve"> </w:t>
      </w:r>
      <w:r w:rsidR="000A7AAB">
        <w:t>au</w:t>
      </w:r>
      <w:r w:rsidR="000A7AAB" w:rsidRPr="002C4077">
        <w:t xml:space="preserve"> </w:t>
      </w:r>
      <w:r w:rsidR="000A7AAB">
        <w:t>pied</w:t>
      </w:r>
      <w:r w:rsidR="000A7AAB" w:rsidRPr="002C4077">
        <w:t xml:space="preserve"> </w:t>
      </w:r>
      <w:r w:rsidR="000A7AAB">
        <w:t>du</w:t>
      </w:r>
      <w:r w:rsidR="000A7AAB" w:rsidRPr="002C4077">
        <w:t xml:space="preserve"> </w:t>
      </w:r>
      <w:r w:rsidR="000A7AAB">
        <w:t>tribunal</w:t>
      </w:r>
      <w:r w:rsidR="000A7AAB" w:rsidRPr="002C4077">
        <w:t xml:space="preserve"> </w:t>
      </w:r>
      <w:r w:rsidR="000A7AAB">
        <w:t>de</w:t>
      </w:r>
      <w:r w:rsidR="000A7AAB" w:rsidRPr="002C4077">
        <w:t xml:space="preserve"> </w:t>
      </w:r>
      <w:r w:rsidR="000A7AAB">
        <w:t>l’officier</w:t>
      </w:r>
      <w:r w:rsidR="000A7AAB" w:rsidRPr="002C4077">
        <w:t xml:space="preserve"> </w:t>
      </w:r>
      <w:r w:rsidR="000A7AAB">
        <w:t>romain,</w:t>
      </w:r>
      <w:r w:rsidR="000A7AAB" w:rsidRPr="002C4077">
        <w:t xml:space="preserve"> </w:t>
      </w:r>
      <w:r w:rsidR="000A7AAB">
        <w:t>au</w:t>
      </w:r>
      <w:r w:rsidR="000A7AAB" w:rsidRPr="002C4077">
        <w:t xml:space="preserve"> </w:t>
      </w:r>
      <w:r w:rsidR="000A7AAB">
        <w:t>milieu</w:t>
      </w:r>
      <w:r w:rsidR="000A7AAB" w:rsidRPr="002C4077">
        <w:t xml:space="preserve"> </w:t>
      </w:r>
      <w:r w:rsidR="000A7AAB">
        <w:t>du</w:t>
      </w:r>
      <w:r w:rsidR="000A7AAB" w:rsidRPr="002C4077">
        <w:t xml:space="preserve"> </w:t>
      </w:r>
      <w:r w:rsidR="000A7AAB">
        <w:t>tapage</w:t>
      </w:r>
      <w:r w:rsidR="000A7AAB" w:rsidRPr="002C4077">
        <w:t xml:space="preserve"> </w:t>
      </w:r>
      <w:r w:rsidR="000A7AAB">
        <w:t>de</w:t>
      </w:r>
      <w:r w:rsidR="000A7AAB" w:rsidRPr="002C4077">
        <w:t xml:space="preserve"> </w:t>
      </w:r>
      <w:r w:rsidR="000A7AAB">
        <w:t>la</w:t>
      </w:r>
      <w:r w:rsidR="000A7AAB" w:rsidRPr="002C4077">
        <w:t xml:space="preserve"> </w:t>
      </w:r>
      <w:r w:rsidR="000A7AAB">
        <w:t>foule,</w:t>
      </w:r>
      <w:r w:rsidR="000A7AAB" w:rsidRPr="002C4077">
        <w:t xml:space="preserve"> </w:t>
      </w:r>
      <w:r w:rsidR="000A7AAB">
        <w:t>le</w:t>
      </w:r>
      <w:r w:rsidR="000A7AAB" w:rsidRPr="002C4077">
        <w:t xml:space="preserve"> </w:t>
      </w:r>
      <w:r w:rsidR="000A7AAB">
        <w:t>prier</w:t>
      </w:r>
      <w:r w:rsidR="000A7AAB" w:rsidRPr="002C4077">
        <w:t xml:space="preserve"> </w:t>
      </w:r>
      <w:r w:rsidR="000A7AAB">
        <w:t>d’exécuter</w:t>
      </w:r>
      <w:r w:rsidR="000A7AAB" w:rsidRPr="002C4077">
        <w:t xml:space="preserve"> </w:t>
      </w:r>
      <w:r w:rsidR="000A7AAB">
        <w:t>leur</w:t>
      </w:r>
      <w:r w:rsidR="000A7AAB" w:rsidRPr="002C4077">
        <w:t xml:space="preserve"> </w:t>
      </w:r>
      <w:r w:rsidR="00F44410">
        <w:t>condamné</w:t>
      </w:r>
      <w:r w:rsidR="00F44410">
        <w:rPr>
          <w:rStyle w:val="Appelnotedebasdep"/>
        </w:rPr>
        <w:footnoteReference w:id="442"/>
      </w:r>
      <w:r>
        <w:t> »</w:t>
      </w:r>
      <w:r w:rsidR="000A7AAB">
        <w:t>.</w:t>
      </w:r>
      <w:r w:rsidR="00C45B47">
        <w:t xml:space="preserve"> {</w:t>
      </w:r>
      <w:r w:rsidR="004C5B7A">
        <w:t>141</w:t>
      </w:r>
      <w:bookmarkStart w:id="385" w:name="p141"/>
      <w:bookmarkEnd w:id="385"/>
      <w:r w:rsidR="004C5B7A">
        <w:t xml:space="preserve">} </w:t>
      </w:r>
    </w:p>
    <w:p w:rsidR="000A7AAB" w:rsidRDefault="000A7AAB" w:rsidP="000A7AAB">
      <w:r>
        <w:t>Nous</w:t>
      </w:r>
      <w:r w:rsidRPr="002C4077">
        <w:t xml:space="preserve"> </w:t>
      </w:r>
      <w:r>
        <w:t>osons</w:t>
      </w:r>
      <w:r w:rsidRPr="002C4077">
        <w:t xml:space="preserve"> </w:t>
      </w:r>
      <w:r>
        <w:t>dire</w:t>
      </w:r>
      <w:r w:rsidRPr="002C4077">
        <w:t xml:space="preserve"> </w:t>
      </w:r>
      <w:r>
        <w:t>que</w:t>
      </w:r>
      <w:r w:rsidRPr="002C4077">
        <w:t xml:space="preserve"> </w:t>
      </w:r>
      <w:r>
        <w:t>M.</w:t>
      </w:r>
      <w:r w:rsidRPr="002C4077">
        <w:t xml:space="preserve"> </w:t>
      </w:r>
      <w:r>
        <w:t>Havet</w:t>
      </w:r>
      <w:r w:rsidRPr="002C4077">
        <w:t xml:space="preserve"> </w:t>
      </w:r>
      <w:r>
        <w:t>aurait</w:t>
      </w:r>
      <w:r w:rsidRPr="002C4077">
        <w:t xml:space="preserve"> </w:t>
      </w:r>
      <w:r>
        <w:t>parfaitement</w:t>
      </w:r>
      <w:r w:rsidRPr="002C4077">
        <w:t xml:space="preserve"> </w:t>
      </w:r>
      <w:r>
        <w:t>compris,</w:t>
      </w:r>
      <w:r w:rsidRPr="002C4077">
        <w:t xml:space="preserve"> </w:t>
      </w:r>
      <w:r>
        <w:t>s’il</w:t>
      </w:r>
      <w:r w:rsidRPr="002C4077">
        <w:t xml:space="preserve"> </w:t>
      </w:r>
      <w:r>
        <w:t>se</w:t>
      </w:r>
      <w:r w:rsidRPr="002C4077">
        <w:t xml:space="preserve"> </w:t>
      </w:r>
      <w:r>
        <w:t>fût</w:t>
      </w:r>
      <w:r w:rsidRPr="002C4077">
        <w:t xml:space="preserve"> </w:t>
      </w:r>
      <w:r>
        <w:t>souvenu</w:t>
      </w:r>
      <w:r w:rsidRPr="002C4077">
        <w:t xml:space="preserve"> </w:t>
      </w:r>
      <w:r>
        <w:t>d’un</w:t>
      </w:r>
      <w:r w:rsidRPr="002C4077">
        <w:t xml:space="preserve"> </w:t>
      </w:r>
      <w:r>
        <w:t>fait</w:t>
      </w:r>
      <w:r w:rsidRPr="002C4077">
        <w:t xml:space="preserve"> </w:t>
      </w:r>
      <w:r>
        <w:t>historique,</w:t>
      </w:r>
      <w:r w:rsidRPr="002C4077">
        <w:t xml:space="preserve"> </w:t>
      </w:r>
      <w:r>
        <w:t>réel,</w:t>
      </w:r>
      <w:r w:rsidRPr="002C4077">
        <w:t xml:space="preserve"> </w:t>
      </w:r>
      <w:r>
        <w:t>connu</w:t>
      </w:r>
      <w:r w:rsidRPr="002C4077">
        <w:t xml:space="preserve"> </w:t>
      </w:r>
      <w:r>
        <w:t>de</w:t>
      </w:r>
      <w:r w:rsidRPr="002C4077">
        <w:t xml:space="preserve"> </w:t>
      </w:r>
      <w:r>
        <w:t>tout</w:t>
      </w:r>
      <w:r w:rsidRPr="002C4077">
        <w:t xml:space="preserve"> </w:t>
      </w:r>
      <w:r>
        <w:t>le</w:t>
      </w:r>
      <w:r w:rsidRPr="002C4077">
        <w:t xml:space="preserve"> </w:t>
      </w:r>
      <w:r>
        <w:t>monde</w:t>
      </w:r>
      <w:r w:rsidR="00B546AF">
        <w:t> ;</w:t>
      </w:r>
      <w:r w:rsidRPr="002C4077">
        <w:t xml:space="preserve"> </w:t>
      </w:r>
      <w:r>
        <w:t>à</w:t>
      </w:r>
      <w:r w:rsidRPr="002C4077">
        <w:t xml:space="preserve"> </w:t>
      </w:r>
      <w:r>
        <w:t>savoir,</w:t>
      </w:r>
      <w:r w:rsidRPr="002C4077">
        <w:t xml:space="preserve"> </w:t>
      </w:r>
      <w:r>
        <w:t>que</w:t>
      </w:r>
      <w:r w:rsidRPr="002C4077">
        <w:t xml:space="preserve"> </w:t>
      </w:r>
      <w:r>
        <w:t>le</w:t>
      </w:r>
      <w:r w:rsidRPr="002C4077">
        <w:t xml:space="preserve"> </w:t>
      </w:r>
      <w:r>
        <w:t>Sanhédrin</w:t>
      </w:r>
      <w:r w:rsidRPr="002C4077">
        <w:t xml:space="preserve"> </w:t>
      </w:r>
      <w:r>
        <w:t>juif</w:t>
      </w:r>
      <w:r w:rsidRPr="002C4077">
        <w:t xml:space="preserve"> </w:t>
      </w:r>
      <w:r>
        <w:t>avait</w:t>
      </w:r>
      <w:r w:rsidRPr="002C4077">
        <w:t xml:space="preserve"> </w:t>
      </w:r>
      <w:r>
        <w:t>alors</w:t>
      </w:r>
      <w:r w:rsidRPr="002C4077">
        <w:t xml:space="preserve"> </w:t>
      </w:r>
      <w:r>
        <w:t>perdu</w:t>
      </w:r>
      <w:r w:rsidRPr="002C4077">
        <w:t xml:space="preserve"> </w:t>
      </w:r>
      <w:r>
        <w:t>le</w:t>
      </w:r>
      <w:r w:rsidRPr="002C4077">
        <w:t xml:space="preserve"> </w:t>
      </w:r>
      <w:r w:rsidRPr="000A34B5">
        <w:rPr>
          <w:rStyle w:val="italicus"/>
        </w:rPr>
        <w:t>jus</w:t>
      </w:r>
      <w:r w:rsidRPr="002C4077">
        <w:t xml:space="preserve"> </w:t>
      </w:r>
      <w:r w:rsidRPr="000A34B5">
        <w:rPr>
          <w:rStyle w:val="italicus"/>
        </w:rPr>
        <w:t>gl</w:t>
      </w:r>
      <w:r w:rsidR="003B53FD">
        <w:rPr>
          <w:rStyle w:val="italicus"/>
        </w:rPr>
        <w:t>á</w:t>
      </w:r>
      <w:r w:rsidR="003B53FD" w:rsidRPr="000A34B5">
        <w:rPr>
          <w:rStyle w:val="italicus"/>
        </w:rPr>
        <w:t>dii</w:t>
      </w:r>
      <w:r>
        <w:t>,</w:t>
      </w:r>
      <w:r w:rsidRPr="002C4077">
        <w:t xml:space="preserve"> </w:t>
      </w:r>
      <w:r>
        <w:t>et</w:t>
      </w:r>
      <w:r w:rsidRPr="002C4077">
        <w:t xml:space="preserve"> </w:t>
      </w:r>
      <w:r>
        <w:t>qu’il</w:t>
      </w:r>
      <w:r w:rsidRPr="002C4077">
        <w:t xml:space="preserve"> </w:t>
      </w:r>
      <w:r>
        <w:t>ne</w:t>
      </w:r>
      <w:r w:rsidRPr="002C4077">
        <w:t xml:space="preserve"> </w:t>
      </w:r>
      <w:r>
        <w:t>pouvait</w:t>
      </w:r>
      <w:r w:rsidRPr="002C4077">
        <w:t xml:space="preserve"> </w:t>
      </w:r>
      <w:r>
        <w:t>plus</w:t>
      </w:r>
      <w:r w:rsidRPr="002C4077">
        <w:t xml:space="preserve"> </w:t>
      </w:r>
      <w:r>
        <w:t>exécuter</w:t>
      </w:r>
      <w:r w:rsidRPr="002C4077">
        <w:t xml:space="preserve"> </w:t>
      </w:r>
      <w:r>
        <w:t>une</w:t>
      </w:r>
      <w:r w:rsidRPr="002C4077">
        <w:t xml:space="preserve"> </w:t>
      </w:r>
      <w:r>
        <w:t>sentence</w:t>
      </w:r>
      <w:r w:rsidRPr="002C4077">
        <w:t xml:space="preserve"> </w:t>
      </w:r>
      <w:r>
        <w:t>de</w:t>
      </w:r>
      <w:r w:rsidRPr="002C4077">
        <w:t xml:space="preserve"> </w:t>
      </w:r>
      <w:r>
        <w:t>mort,</w:t>
      </w:r>
      <w:r w:rsidRPr="002C4077">
        <w:t xml:space="preserve"> </w:t>
      </w:r>
      <w:r>
        <w:t>si</w:t>
      </w:r>
      <w:r w:rsidRPr="002C4077">
        <w:t xml:space="preserve"> </w:t>
      </w:r>
      <w:r>
        <w:t>elle</w:t>
      </w:r>
      <w:r w:rsidRPr="002C4077">
        <w:t xml:space="preserve"> </w:t>
      </w:r>
      <w:r>
        <w:t>n’avait</w:t>
      </w:r>
      <w:r w:rsidRPr="002C4077">
        <w:t xml:space="preserve"> </w:t>
      </w:r>
      <w:r>
        <w:t>pas</w:t>
      </w:r>
      <w:r w:rsidRPr="002C4077">
        <w:t xml:space="preserve"> </w:t>
      </w:r>
      <w:r>
        <w:t>été</w:t>
      </w:r>
      <w:r w:rsidRPr="002C4077">
        <w:t xml:space="preserve"> </w:t>
      </w:r>
      <w:r>
        <w:t>ratifiée</w:t>
      </w:r>
      <w:r w:rsidRPr="002C4077">
        <w:t xml:space="preserve"> </w:t>
      </w:r>
      <w:r>
        <w:t>en</w:t>
      </w:r>
      <w:r w:rsidRPr="002C4077">
        <w:t xml:space="preserve"> </w:t>
      </w:r>
      <w:r>
        <w:t>forme</w:t>
      </w:r>
      <w:r w:rsidRPr="002C4077">
        <w:t xml:space="preserve"> </w:t>
      </w:r>
      <w:r>
        <w:t>par</w:t>
      </w:r>
      <w:r w:rsidRPr="002C4077">
        <w:t xml:space="preserve"> </w:t>
      </w:r>
      <w:r>
        <w:t>le</w:t>
      </w:r>
      <w:r w:rsidRPr="002C4077">
        <w:t xml:space="preserve"> </w:t>
      </w:r>
      <w:r>
        <w:t>gouverneur</w:t>
      </w:r>
      <w:r w:rsidRPr="002C4077">
        <w:t xml:space="preserve"> </w:t>
      </w:r>
      <w:r>
        <w:t>romain.</w:t>
      </w:r>
      <w:r w:rsidRPr="002C4077">
        <w:t xml:space="preserve"> </w:t>
      </w:r>
    </w:p>
    <w:p w:rsidR="000A7AAB" w:rsidRDefault="000A7AAB" w:rsidP="000A7AAB">
      <w:r>
        <w:t>Son</w:t>
      </w:r>
      <w:r w:rsidRPr="002C4077">
        <w:t xml:space="preserve"> </w:t>
      </w:r>
      <w:r>
        <w:t>ignorance</w:t>
      </w:r>
      <w:r w:rsidRPr="002C4077">
        <w:t xml:space="preserve"> </w:t>
      </w:r>
      <w:r>
        <w:t>n’est</w:t>
      </w:r>
      <w:r w:rsidRPr="002C4077">
        <w:t xml:space="preserve"> </w:t>
      </w:r>
      <w:r>
        <w:t>pas</w:t>
      </w:r>
      <w:r w:rsidRPr="002C4077">
        <w:t xml:space="preserve"> </w:t>
      </w:r>
      <w:r>
        <w:t>davantage</w:t>
      </w:r>
      <w:r w:rsidRPr="002C4077">
        <w:t xml:space="preserve"> </w:t>
      </w:r>
      <w:r>
        <w:t>excusable,</w:t>
      </w:r>
      <w:r w:rsidRPr="002C4077">
        <w:t xml:space="preserve"> </w:t>
      </w:r>
      <w:r>
        <w:t>quand</w:t>
      </w:r>
      <w:r w:rsidRPr="002C4077">
        <w:t xml:space="preserve"> </w:t>
      </w:r>
      <w:r>
        <w:t>il</w:t>
      </w:r>
      <w:r w:rsidRPr="002C4077">
        <w:t xml:space="preserve"> </w:t>
      </w:r>
      <w:r>
        <w:t>crie</w:t>
      </w:r>
      <w:r w:rsidRPr="002C4077">
        <w:t xml:space="preserve"> </w:t>
      </w:r>
      <w:r>
        <w:t>à</w:t>
      </w:r>
      <w:r w:rsidRPr="002C4077">
        <w:t xml:space="preserve"> </w:t>
      </w:r>
      <w:r>
        <w:t>l’absurdité</w:t>
      </w:r>
      <w:r w:rsidRPr="002C4077">
        <w:t xml:space="preserve"> </w:t>
      </w:r>
      <w:r>
        <w:t>parce</w:t>
      </w:r>
      <w:r w:rsidRPr="002C4077">
        <w:t xml:space="preserve"> </w:t>
      </w:r>
      <w:r>
        <w:t>que</w:t>
      </w:r>
      <w:r w:rsidRPr="002C4077">
        <w:t xml:space="preserve"> </w:t>
      </w:r>
      <w:r>
        <w:t>la</w:t>
      </w:r>
      <w:r w:rsidRPr="002C4077">
        <w:t xml:space="preserve"> </w:t>
      </w:r>
      <w:r>
        <w:t>femme</w:t>
      </w:r>
      <w:r w:rsidRPr="002C4077">
        <w:t xml:space="preserve"> </w:t>
      </w:r>
      <w:r>
        <w:t>de</w:t>
      </w:r>
      <w:r w:rsidRPr="002C4077">
        <w:t xml:space="preserve"> </w:t>
      </w:r>
      <w:r>
        <w:t>Pilate</w:t>
      </w:r>
      <w:r w:rsidRPr="002C4077">
        <w:t xml:space="preserve"> </w:t>
      </w:r>
      <w:r>
        <w:t>envoya</w:t>
      </w:r>
      <w:r w:rsidRPr="002C4077">
        <w:t xml:space="preserve"> </w:t>
      </w:r>
      <w:r>
        <w:t>un</w:t>
      </w:r>
      <w:r w:rsidRPr="002C4077">
        <w:t xml:space="preserve"> </w:t>
      </w:r>
      <w:r>
        <w:t>message</w:t>
      </w:r>
      <w:r w:rsidRPr="002C4077">
        <w:t xml:space="preserve"> </w:t>
      </w:r>
      <w:r>
        <w:t>à</w:t>
      </w:r>
      <w:r w:rsidRPr="002C4077">
        <w:t xml:space="preserve"> </w:t>
      </w:r>
      <w:r>
        <w:t>son</w:t>
      </w:r>
      <w:r w:rsidRPr="002C4077">
        <w:t xml:space="preserve"> </w:t>
      </w:r>
      <w:r>
        <w:t>mari</w:t>
      </w:r>
      <w:r w:rsidRPr="002C4077">
        <w:t xml:space="preserve"> </w:t>
      </w:r>
      <w:r>
        <w:t>pour</w:t>
      </w:r>
      <w:r w:rsidRPr="002C4077">
        <w:t xml:space="preserve"> </w:t>
      </w:r>
      <w:r>
        <w:t>le</w:t>
      </w:r>
      <w:r w:rsidRPr="002C4077">
        <w:t xml:space="preserve"> </w:t>
      </w:r>
      <w:r>
        <w:t>presser</w:t>
      </w:r>
      <w:r w:rsidRPr="002C4077">
        <w:t xml:space="preserve"> </w:t>
      </w:r>
      <w:r>
        <w:t>de</w:t>
      </w:r>
      <w:r w:rsidRPr="002C4077">
        <w:t xml:space="preserve"> </w:t>
      </w:r>
      <w:r>
        <w:t>ne</w:t>
      </w:r>
      <w:r w:rsidRPr="002C4077">
        <w:t xml:space="preserve"> </w:t>
      </w:r>
      <w:r>
        <w:t>rien</w:t>
      </w:r>
      <w:r w:rsidRPr="002C4077">
        <w:t xml:space="preserve"> </w:t>
      </w:r>
      <w:r>
        <w:t>faire</w:t>
      </w:r>
      <w:r w:rsidRPr="002C4077">
        <w:t xml:space="preserve"> </w:t>
      </w:r>
      <w:r>
        <w:t>contre</w:t>
      </w:r>
      <w:r w:rsidRPr="002C4077">
        <w:t xml:space="preserve"> </w:t>
      </w:r>
      <w:r w:rsidR="00B546AF">
        <w:t>« </w:t>
      </w:r>
      <w:r>
        <w:t>ce</w:t>
      </w:r>
      <w:r w:rsidRPr="002C4077">
        <w:t xml:space="preserve"> </w:t>
      </w:r>
      <w:r>
        <w:t>juste</w:t>
      </w:r>
      <w:r w:rsidR="00B546AF">
        <w:t> »</w:t>
      </w:r>
      <w:r>
        <w:t>.</w:t>
      </w:r>
      <w:r w:rsidRPr="002C4077">
        <w:t xml:space="preserve"> </w:t>
      </w:r>
      <w:r>
        <w:t>L’historien</w:t>
      </w:r>
      <w:r w:rsidRPr="002C4077">
        <w:t xml:space="preserve"> </w:t>
      </w:r>
      <w:r>
        <w:t>Josèphe,</w:t>
      </w:r>
      <w:r w:rsidRPr="002C4077">
        <w:t xml:space="preserve"> </w:t>
      </w:r>
      <w:r>
        <w:t>si</w:t>
      </w:r>
      <w:r w:rsidRPr="002C4077">
        <w:t xml:space="preserve"> </w:t>
      </w:r>
      <w:r>
        <w:t>M.</w:t>
      </w:r>
      <w:r w:rsidRPr="002C4077">
        <w:t xml:space="preserve"> </w:t>
      </w:r>
      <w:r>
        <w:t>Havet</w:t>
      </w:r>
      <w:r w:rsidRPr="002C4077">
        <w:t xml:space="preserve"> </w:t>
      </w:r>
      <w:r>
        <w:t>prend</w:t>
      </w:r>
      <w:r w:rsidRPr="002C4077">
        <w:t xml:space="preserve"> </w:t>
      </w:r>
      <w:r>
        <w:t>la</w:t>
      </w:r>
      <w:r w:rsidRPr="002C4077">
        <w:t xml:space="preserve"> </w:t>
      </w:r>
      <w:r>
        <w:t>peine</w:t>
      </w:r>
      <w:r w:rsidRPr="002C4077">
        <w:t xml:space="preserve"> </w:t>
      </w:r>
      <w:r>
        <w:t>de</w:t>
      </w:r>
      <w:r w:rsidRPr="002C4077">
        <w:t xml:space="preserve"> </w:t>
      </w:r>
      <w:r>
        <w:t>le</w:t>
      </w:r>
      <w:r w:rsidRPr="002C4077">
        <w:t xml:space="preserve"> </w:t>
      </w:r>
      <w:r>
        <w:t>consulter,</w:t>
      </w:r>
      <w:r w:rsidRPr="002C4077">
        <w:t xml:space="preserve"> </w:t>
      </w:r>
      <w:r>
        <w:t>lui</w:t>
      </w:r>
      <w:r w:rsidRPr="002C4077">
        <w:t xml:space="preserve"> </w:t>
      </w:r>
      <w:r>
        <w:t>apprendra</w:t>
      </w:r>
      <w:r w:rsidRPr="002C4077">
        <w:t xml:space="preserve"> </w:t>
      </w:r>
      <w:r>
        <w:t>qu’à</w:t>
      </w:r>
      <w:r w:rsidRPr="002C4077">
        <w:t xml:space="preserve"> </w:t>
      </w:r>
      <w:r>
        <w:t>cette</w:t>
      </w:r>
      <w:r w:rsidRPr="002C4077">
        <w:t xml:space="preserve"> </w:t>
      </w:r>
      <w:r>
        <w:t>époque</w:t>
      </w:r>
      <w:r w:rsidRPr="002C4077">
        <w:t xml:space="preserve"> </w:t>
      </w:r>
      <w:r>
        <w:t>les</w:t>
      </w:r>
      <w:r w:rsidRPr="002C4077">
        <w:t xml:space="preserve"> </w:t>
      </w:r>
      <w:r>
        <w:t>matrones</w:t>
      </w:r>
      <w:r w:rsidRPr="002C4077">
        <w:t xml:space="preserve"> </w:t>
      </w:r>
      <w:r>
        <w:t>romaines</w:t>
      </w:r>
      <w:r w:rsidRPr="002C4077">
        <w:t xml:space="preserve"> </w:t>
      </w:r>
      <w:r>
        <w:t>qui</w:t>
      </w:r>
      <w:r w:rsidRPr="002C4077">
        <w:t xml:space="preserve"> </w:t>
      </w:r>
      <w:r>
        <w:t>vivaient</w:t>
      </w:r>
      <w:r w:rsidRPr="002C4077">
        <w:t xml:space="preserve"> </w:t>
      </w:r>
      <w:r>
        <w:t>en</w:t>
      </w:r>
      <w:r w:rsidRPr="002C4077">
        <w:t xml:space="preserve"> </w:t>
      </w:r>
      <w:r>
        <w:t>Palestine</w:t>
      </w:r>
      <w:r w:rsidRPr="002C4077">
        <w:t xml:space="preserve"> </w:t>
      </w:r>
      <w:r>
        <w:t>et</w:t>
      </w:r>
      <w:r w:rsidRPr="002C4077">
        <w:t xml:space="preserve"> </w:t>
      </w:r>
      <w:r>
        <w:t>en</w:t>
      </w:r>
      <w:r w:rsidRPr="002C4077">
        <w:t xml:space="preserve"> </w:t>
      </w:r>
      <w:r>
        <w:t>Syrie</w:t>
      </w:r>
      <w:r w:rsidRPr="002C4077">
        <w:t xml:space="preserve"> </w:t>
      </w:r>
      <w:r>
        <w:t>étaient</w:t>
      </w:r>
      <w:r w:rsidRPr="002C4077">
        <w:t xml:space="preserve"> </w:t>
      </w:r>
      <w:r>
        <w:t>généralement</w:t>
      </w:r>
      <w:r w:rsidRPr="002C4077">
        <w:t xml:space="preserve"> </w:t>
      </w:r>
      <w:r>
        <w:t>favorables</w:t>
      </w:r>
      <w:r w:rsidRPr="002C4077">
        <w:t xml:space="preserve"> </w:t>
      </w:r>
      <w:r>
        <w:t>aux</w:t>
      </w:r>
      <w:r w:rsidRPr="002C4077">
        <w:t xml:space="preserve"> </w:t>
      </w:r>
      <w:r>
        <w:t>idées</w:t>
      </w:r>
      <w:r w:rsidRPr="002C4077">
        <w:t xml:space="preserve"> </w:t>
      </w:r>
      <w:r>
        <w:t>juives</w:t>
      </w:r>
      <w:r w:rsidR="00B91AF7">
        <w:rPr>
          <w:rStyle w:val="Appelnotedebasdep"/>
        </w:rPr>
        <w:footnoteReference w:id="443"/>
      </w:r>
      <w:r>
        <w:t>.</w:t>
      </w:r>
      <w:r w:rsidRPr="002C4077">
        <w:t xml:space="preserve"> </w:t>
      </w:r>
      <w:r>
        <w:t>Qu’y</w:t>
      </w:r>
      <w:r w:rsidRPr="002C4077">
        <w:t xml:space="preserve"> </w:t>
      </w:r>
      <w:r>
        <w:t>a-t-il</w:t>
      </w:r>
      <w:r w:rsidRPr="002C4077">
        <w:t xml:space="preserve"> </w:t>
      </w:r>
      <w:r>
        <w:t>d’étonnant</w:t>
      </w:r>
      <w:r w:rsidRPr="002C4077">
        <w:t xml:space="preserve"> </w:t>
      </w:r>
      <w:r>
        <w:t>à</w:t>
      </w:r>
      <w:r w:rsidRPr="002C4077">
        <w:t xml:space="preserve"> </w:t>
      </w:r>
      <w:r>
        <w:t>ce</w:t>
      </w:r>
      <w:r w:rsidRPr="002C4077">
        <w:t xml:space="preserve"> </w:t>
      </w:r>
      <w:r>
        <w:t>que</w:t>
      </w:r>
      <w:r w:rsidRPr="002C4077">
        <w:t xml:space="preserve"> </w:t>
      </w:r>
      <w:r>
        <w:t>Cl</w:t>
      </w:r>
      <w:r w:rsidR="003B53FD">
        <w:t>áudia</w:t>
      </w:r>
      <w:r w:rsidRPr="002C4077">
        <w:t xml:space="preserve"> </w:t>
      </w:r>
      <w:r w:rsidR="00514F08">
        <w:t>Prócula</w:t>
      </w:r>
      <w:bookmarkStart w:id="386" w:name="z_ClaudiaProcula_o1"/>
      <w:bookmarkEnd w:id="386"/>
      <w:r>
        <w:t>,</w:t>
      </w:r>
      <w:r w:rsidRPr="002C4077">
        <w:t xml:space="preserve"> </w:t>
      </w:r>
      <w:r>
        <w:t>comme</w:t>
      </w:r>
      <w:r w:rsidRPr="002C4077">
        <w:t xml:space="preserve"> </w:t>
      </w:r>
      <w:r>
        <w:t>la</w:t>
      </w:r>
      <w:r w:rsidRPr="002C4077">
        <w:t xml:space="preserve"> </w:t>
      </w:r>
      <w:r>
        <w:t>tradition</w:t>
      </w:r>
      <w:r w:rsidRPr="002C4077">
        <w:t xml:space="preserve"> </w:t>
      </w:r>
      <w:r>
        <w:t>la</w:t>
      </w:r>
      <w:r w:rsidRPr="002C4077">
        <w:t xml:space="preserve"> </w:t>
      </w:r>
      <w:r>
        <w:t>nomme,</w:t>
      </w:r>
      <w:r w:rsidRPr="002C4077">
        <w:t xml:space="preserve"> </w:t>
      </w:r>
      <w:r>
        <w:t>ait</w:t>
      </w:r>
      <w:r w:rsidRPr="002C4077">
        <w:t xml:space="preserve"> </w:t>
      </w:r>
      <w:r>
        <w:t>connu</w:t>
      </w:r>
      <w:r w:rsidRPr="002C4077">
        <w:t xml:space="preserve"> </w:t>
      </w:r>
      <w:r w:rsidR="00425C50">
        <w:t>Jésus</w:t>
      </w:r>
      <w:r>
        <w:t>,</w:t>
      </w:r>
      <w:r w:rsidRPr="002C4077">
        <w:t xml:space="preserve"> </w:t>
      </w:r>
      <w:r>
        <w:t>dont</w:t>
      </w:r>
      <w:r w:rsidRPr="002C4077">
        <w:t xml:space="preserve"> </w:t>
      </w:r>
      <w:r>
        <w:t>la</w:t>
      </w:r>
      <w:r w:rsidRPr="002C4077">
        <w:t xml:space="preserve"> </w:t>
      </w:r>
      <w:r>
        <w:t>réputation</w:t>
      </w:r>
      <w:r w:rsidRPr="002C4077">
        <w:t xml:space="preserve"> </w:t>
      </w:r>
      <w:r>
        <w:t>remplissait</w:t>
      </w:r>
      <w:r w:rsidRPr="002C4077">
        <w:t xml:space="preserve"> </w:t>
      </w:r>
      <w:r>
        <w:t>alors</w:t>
      </w:r>
      <w:r w:rsidRPr="002C4077">
        <w:t xml:space="preserve"> </w:t>
      </w:r>
      <w:r>
        <w:t>Jérusalem,</w:t>
      </w:r>
      <w:r w:rsidRPr="002C4077">
        <w:t xml:space="preserve"> </w:t>
      </w:r>
      <w:r>
        <w:t>et</w:t>
      </w:r>
      <w:r w:rsidRPr="002C4077">
        <w:t xml:space="preserve"> </w:t>
      </w:r>
      <w:r>
        <w:t>qu’elle</w:t>
      </w:r>
      <w:r w:rsidRPr="002C4077">
        <w:t xml:space="preserve"> </w:t>
      </w:r>
      <w:r>
        <w:t>se</w:t>
      </w:r>
      <w:r w:rsidRPr="002C4077">
        <w:t xml:space="preserve"> </w:t>
      </w:r>
      <w:r>
        <w:t>soit</w:t>
      </w:r>
      <w:r w:rsidRPr="002C4077">
        <w:t xml:space="preserve"> </w:t>
      </w:r>
      <w:r>
        <w:t>intéressée</w:t>
      </w:r>
      <w:r w:rsidRPr="002C4077">
        <w:t xml:space="preserve"> </w:t>
      </w:r>
      <w:r>
        <w:t>à</w:t>
      </w:r>
      <w:r w:rsidRPr="002C4077">
        <w:t xml:space="preserve"> </w:t>
      </w:r>
      <w:r>
        <w:t>lui</w:t>
      </w:r>
      <w:r w:rsidR="00B546AF">
        <w:t> ?</w:t>
      </w:r>
      <w:r w:rsidRPr="002C4077">
        <w:t xml:space="preserve"> </w:t>
      </w:r>
    </w:p>
    <w:p w:rsidR="000A7AAB" w:rsidRDefault="000A7AAB" w:rsidP="000A7AAB">
      <w:r>
        <w:t>Non,</w:t>
      </w:r>
      <w:r w:rsidRPr="002C4077">
        <w:t xml:space="preserve"> </w:t>
      </w:r>
      <w:r>
        <w:t>il</w:t>
      </w:r>
      <w:r w:rsidRPr="002C4077">
        <w:t xml:space="preserve"> </w:t>
      </w:r>
      <w:r>
        <w:t>n’est</w:t>
      </w:r>
      <w:r w:rsidRPr="002C4077">
        <w:t xml:space="preserve"> </w:t>
      </w:r>
      <w:r>
        <w:t>pas</w:t>
      </w:r>
      <w:r w:rsidRPr="002C4077">
        <w:t xml:space="preserve"> </w:t>
      </w:r>
      <w:r w:rsidR="00B546AF">
        <w:t>« </w:t>
      </w:r>
      <w:r>
        <w:t>clair</w:t>
      </w:r>
      <w:r w:rsidRPr="002C4077">
        <w:t xml:space="preserve"> </w:t>
      </w:r>
      <w:r>
        <w:t>que</w:t>
      </w:r>
      <w:r w:rsidRPr="002C4077">
        <w:t xml:space="preserve"> </w:t>
      </w:r>
      <w:r>
        <w:t>nous</w:t>
      </w:r>
      <w:r w:rsidRPr="002C4077">
        <w:t xml:space="preserve"> </w:t>
      </w:r>
      <w:r>
        <w:t>sommes</w:t>
      </w:r>
      <w:r w:rsidRPr="002C4077">
        <w:t xml:space="preserve"> </w:t>
      </w:r>
      <w:r>
        <w:t>là</w:t>
      </w:r>
      <w:r w:rsidRPr="002C4077">
        <w:t xml:space="preserve"> </w:t>
      </w:r>
      <w:r>
        <w:t>en</w:t>
      </w:r>
      <w:r w:rsidRPr="002C4077">
        <w:t xml:space="preserve"> </w:t>
      </w:r>
      <w:r>
        <w:t>pleine</w:t>
      </w:r>
      <w:r w:rsidRPr="002C4077">
        <w:t xml:space="preserve"> </w:t>
      </w:r>
      <w:r>
        <w:t>légende</w:t>
      </w:r>
      <w:r w:rsidR="00B91AF7">
        <w:rPr>
          <w:rStyle w:val="Appelnotedebasdep"/>
        </w:rPr>
        <w:footnoteReference w:id="444"/>
      </w:r>
      <w:r w:rsidR="00B546AF">
        <w:t> »</w:t>
      </w:r>
      <w:r>
        <w:t>.</w:t>
      </w:r>
      <w:r w:rsidRPr="002C4077">
        <w:t xml:space="preserve"> </w:t>
      </w:r>
      <w:r>
        <w:t>Ou,</w:t>
      </w:r>
      <w:r w:rsidRPr="002C4077">
        <w:t xml:space="preserve"> </w:t>
      </w:r>
      <w:r>
        <w:t>si</w:t>
      </w:r>
      <w:r w:rsidRPr="002C4077">
        <w:t xml:space="preserve"> </w:t>
      </w:r>
      <w:r>
        <w:t>ce</w:t>
      </w:r>
      <w:r w:rsidRPr="002C4077">
        <w:t xml:space="preserve"> </w:t>
      </w:r>
      <w:r>
        <w:t>trait</w:t>
      </w:r>
      <w:r w:rsidRPr="002C4077">
        <w:t xml:space="preserve"> </w:t>
      </w:r>
      <w:r>
        <w:t>vous</w:t>
      </w:r>
      <w:r w:rsidRPr="002C4077">
        <w:t xml:space="preserve"> </w:t>
      </w:r>
      <w:r>
        <w:t>paraît</w:t>
      </w:r>
      <w:r w:rsidRPr="002C4077">
        <w:t xml:space="preserve"> </w:t>
      </w:r>
      <w:r>
        <w:t>légendaire,</w:t>
      </w:r>
      <w:r w:rsidRPr="002C4077">
        <w:t xml:space="preserve"> </w:t>
      </w:r>
      <w:r>
        <w:t>pourquoi</w:t>
      </w:r>
      <w:r w:rsidRPr="002C4077">
        <w:t xml:space="preserve"> </w:t>
      </w:r>
      <w:r>
        <w:t>admettez-vous</w:t>
      </w:r>
      <w:r w:rsidRPr="002C4077">
        <w:t xml:space="preserve"> </w:t>
      </w:r>
      <w:r>
        <w:t>que</w:t>
      </w:r>
      <w:r w:rsidRPr="002C4077">
        <w:t xml:space="preserve"> </w:t>
      </w:r>
      <w:r w:rsidR="00425C50">
        <w:t>Jésus</w:t>
      </w:r>
      <w:r w:rsidRPr="002C4077">
        <w:t xml:space="preserve"> </w:t>
      </w:r>
      <w:r>
        <w:t>a</w:t>
      </w:r>
      <w:r w:rsidRPr="002C4077">
        <w:t xml:space="preserve"> </w:t>
      </w:r>
      <w:r>
        <w:t>été</w:t>
      </w:r>
      <w:r w:rsidRPr="002C4077">
        <w:t xml:space="preserve"> </w:t>
      </w:r>
      <w:r>
        <w:t>crucifié</w:t>
      </w:r>
      <w:r w:rsidRPr="002C4077">
        <w:t xml:space="preserve"> </w:t>
      </w:r>
      <w:r>
        <w:t>par</w:t>
      </w:r>
      <w:r w:rsidRPr="002C4077">
        <w:t xml:space="preserve"> </w:t>
      </w:r>
      <w:r>
        <w:t>Ponce-Pilate</w:t>
      </w:r>
      <w:r w:rsidR="00B546AF">
        <w:t> ?</w:t>
      </w:r>
      <w:r w:rsidRPr="002C4077">
        <w:t xml:space="preserve"> </w:t>
      </w:r>
    </w:p>
    <w:p w:rsidR="000A7AAB" w:rsidRDefault="000A7AAB" w:rsidP="000A7AAB">
      <w:r>
        <w:t>C’est</w:t>
      </w:r>
      <w:r w:rsidRPr="002C4077">
        <w:t xml:space="preserve"> </w:t>
      </w:r>
      <w:r>
        <w:t>pourtant</w:t>
      </w:r>
      <w:r w:rsidRPr="002C4077">
        <w:t xml:space="preserve"> </w:t>
      </w:r>
      <w:r>
        <w:t>après</w:t>
      </w:r>
      <w:r w:rsidRPr="002C4077">
        <w:t xml:space="preserve"> </w:t>
      </w:r>
      <w:r>
        <w:t>une</w:t>
      </w:r>
      <w:r w:rsidRPr="002C4077">
        <w:t xml:space="preserve"> </w:t>
      </w:r>
      <w:r>
        <w:t>pareille</w:t>
      </w:r>
      <w:r w:rsidRPr="002C4077">
        <w:t xml:space="preserve"> </w:t>
      </w:r>
      <w:r>
        <w:t>argumentation</w:t>
      </w:r>
      <w:r w:rsidRPr="002C4077">
        <w:t xml:space="preserve"> </w:t>
      </w:r>
      <w:r>
        <w:t>qu’on</w:t>
      </w:r>
      <w:r w:rsidRPr="002C4077">
        <w:t xml:space="preserve"> </w:t>
      </w:r>
      <w:r>
        <w:t>a</w:t>
      </w:r>
      <w:r w:rsidRPr="002C4077">
        <w:t xml:space="preserve"> </w:t>
      </w:r>
      <w:r>
        <w:t>l’audace</w:t>
      </w:r>
      <w:r w:rsidRPr="002C4077">
        <w:t xml:space="preserve"> </w:t>
      </w:r>
      <w:r>
        <w:t>d’écrire</w:t>
      </w:r>
      <w:r w:rsidR="00B546AF">
        <w:t> :</w:t>
      </w:r>
      <w:r w:rsidRPr="002C4077">
        <w:t xml:space="preserve"> </w:t>
      </w:r>
      <w:r w:rsidR="00B546AF">
        <w:t>« </w:t>
      </w:r>
      <w:r>
        <w:t>Ainsi</w:t>
      </w:r>
      <w:r w:rsidRPr="002C4077">
        <w:t xml:space="preserve"> </w:t>
      </w:r>
      <w:r>
        <w:t>demeurent</w:t>
      </w:r>
      <w:r w:rsidRPr="002C4077">
        <w:t xml:space="preserve"> </w:t>
      </w:r>
      <w:r>
        <w:t>infirmés</w:t>
      </w:r>
      <w:r w:rsidRPr="002C4077">
        <w:t xml:space="preserve"> </w:t>
      </w:r>
      <w:r>
        <w:t>les</w:t>
      </w:r>
      <w:r w:rsidRPr="002C4077">
        <w:t xml:space="preserve"> </w:t>
      </w:r>
      <w:r>
        <w:t>récits</w:t>
      </w:r>
      <w:r w:rsidRPr="002C4077">
        <w:t xml:space="preserve"> </w:t>
      </w:r>
      <w:r>
        <w:t>des</w:t>
      </w:r>
      <w:bookmarkStart w:id="387" w:name="z_Havet_o8"/>
      <w:bookmarkEnd w:id="387"/>
      <w:r w:rsidRPr="002C4077">
        <w:t xml:space="preserve"> </w:t>
      </w:r>
      <w:r>
        <w:t>évangiles</w:t>
      </w:r>
      <w:r w:rsidR="00B91AF7">
        <w:rPr>
          <w:rStyle w:val="Appelnotedebasdep"/>
        </w:rPr>
        <w:footnoteReference w:id="445"/>
      </w:r>
      <w:r w:rsidR="00B546AF">
        <w:t> »</w:t>
      </w:r>
      <w:r>
        <w:t>.</w:t>
      </w:r>
      <w:r w:rsidRPr="002C4077">
        <w:t xml:space="preserve"> </w:t>
      </w:r>
    </w:p>
    <w:p w:rsidR="000D12F1" w:rsidRDefault="000D12F1" w:rsidP="000A7AAB"/>
    <w:p w:rsidR="000A7AAB" w:rsidRDefault="000D12F1" w:rsidP="000A7AAB">
      <w:r>
        <w:t>5</w:t>
      </w:r>
      <w:r w:rsidR="000A7AAB">
        <w:t>.</w:t>
      </w:r>
      <w:r w:rsidR="000A7AAB" w:rsidRPr="002C4077">
        <w:t xml:space="preserve"> </w:t>
      </w:r>
      <w:r w:rsidR="000A7AAB" w:rsidRPr="000A34B5">
        <w:rPr>
          <w:rStyle w:val="italicus"/>
        </w:rPr>
        <w:t>Les</w:t>
      </w:r>
      <w:r w:rsidR="000A7AAB" w:rsidRPr="002C4077">
        <w:t xml:space="preserve"> </w:t>
      </w:r>
      <w:r w:rsidR="000A7AAB" w:rsidRPr="000A34B5">
        <w:rPr>
          <w:rStyle w:val="italicus"/>
        </w:rPr>
        <w:t>conclusions</w:t>
      </w:r>
      <w:r w:rsidR="000A7AAB" w:rsidRPr="002C4077">
        <w:t xml:space="preserve"> </w:t>
      </w:r>
      <w:r w:rsidR="000A7AAB" w:rsidRPr="000A34B5">
        <w:rPr>
          <w:rStyle w:val="italicus"/>
        </w:rPr>
        <w:t>de</w:t>
      </w:r>
      <w:r w:rsidR="000A7AAB" w:rsidRPr="002C4077">
        <w:t xml:space="preserve"> </w:t>
      </w:r>
      <w:r w:rsidR="000A7AAB" w:rsidRPr="000A34B5">
        <w:rPr>
          <w:rStyle w:val="italicus"/>
        </w:rPr>
        <w:t>M.</w:t>
      </w:r>
      <w:r w:rsidR="000A7AAB" w:rsidRPr="002C4077">
        <w:t xml:space="preserve"> </w:t>
      </w:r>
      <w:r w:rsidR="000A7AAB" w:rsidRPr="000A34B5">
        <w:rPr>
          <w:rStyle w:val="italicus"/>
        </w:rPr>
        <w:t>Havet</w:t>
      </w:r>
      <w:r w:rsidR="000A7AAB" w:rsidRPr="002C4077">
        <w:t xml:space="preserve"> </w:t>
      </w:r>
      <w:r w:rsidR="000A7AAB" w:rsidRPr="000A34B5">
        <w:rPr>
          <w:rStyle w:val="italicus"/>
        </w:rPr>
        <w:t>et</w:t>
      </w:r>
      <w:r w:rsidR="000A7AAB" w:rsidRPr="002C4077">
        <w:t xml:space="preserve"> </w:t>
      </w:r>
      <w:r w:rsidR="000A7AAB" w:rsidRPr="000A34B5">
        <w:rPr>
          <w:rStyle w:val="italicus"/>
        </w:rPr>
        <w:t>les</w:t>
      </w:r>
      <w:r w:rsidR="000A7AAB" w:rsidRPr="002C4077">
        <w:t xml:space="preserve"> </w:t>
      </w:r>
      <w:r w:rsidR="000A7AAB" w:rsidRPr="000A34B5">
        <w:rPr>
          <w:rStyle w:val="italicus"/>
        </w:rPr>
        <w:t>nôtres.</w:t>
      </w:r>
      <w:bookmarkStart w:id="388" w:name="z_Havet_o9"/>
      <w:bookmarkEnd w:id="388"/>
      <w:r w:rsidR="000A7AAB" w:rsidRPr="002C4077">
        <w:t xml:space="preserve"> </w:t>
      </w:r>
      <w:r w:rsidR="000A7AAB">
        <w:t>—</w:t>
      </w:r>
      <w:r w:rsidR="000A7AAB" w:rsidRPr="002C4077">
        <w:t xml:space="preserve"> </w:t>
      </w:r>
      <w:r w:rsidR="000A7AAB">
        <w:t>Si</w:t>
      </w:r>
      <w:r w:rsidR="000A7AAB" w:rsidRPr="002C4077">
        <w:t xml:space="preserve"> </w:t>
      </w:r>
      <w:r w:rsidR="000A7AAB">
        <w:t>M.</w:t>
      </w:r>
      <w:r w:rsidR="000A7AAB" w:rsidRPr="002C4077">
        <w:t xml:space="preserve"> </w:t>
      </w:r>
      <w:r w:rsidR="000A7AAB">
        <w:t>Havet</w:t>
      </w:r>
      <w:r w:rsidR="000A7AAB" w:rsidRPr="002C4077">
        <w:t xml:space="preserve"> </w:t>
      </w:r>
      <w:r w:rsidR="000A7AAB">
        <w:t>était</w:t>
      </w:r>
      <w:r w:rsidR="000A7AAB" w:rsidRPr="002C4077">
        <w:t xml:space="preserve"> </w:t>
      </w:r>
      <w:r w:rsidR="000A7AAB">
        <w:t>conséquent</w:t>
      </w:r>
      <w:r w:rsidR="000A7AAB" w:rsidRPr="002C4077">
        <w:t xml:space="preserve"> </w:t>
      </w:r>
      <w:r w:rsidR="000A7AAB">
        <w:t>avec</w:t>
      </w:r>
      <w:r w:rsidR="000A7AAB" w:rsidRPr="002C4077">
        <w:t xml:space="preserve"> </w:t>
      </w:r>
      <w:r w:rsidR="000A7AAB">
        <w:t>lui-même,</w:t>
      </w:r>
      <w:r w:rsidR="000A7AAB" w:rsidRPr="002C4077">
        <w:t xml:space="preserve"> </w:t>
      </w:r>
      <w:r w:rsidR="000A7AAB">
        <w:t>il</w:t>
      </w:r>
      <w:r w:rsidR="000A7AAB" w:rsidRPr="002C4077">
        <w:t xml:space="preserve"> </w:t>
      </w:r>
      <w:r w:rsidR="000A7AAB">
        <w:t>devrait</w:t>
      </w:r>
      <w:r w:rsidR="000A7AAB" w:rsidRPr="002C4077">
        <w:t xml:space="preserve"> </w:t>
      </w:r>
      <w:r w:rsidR="000A7AAB">
        <w:t>se</w:t>
      </w:r>
      <w:r w:rsidR="000A7AAB" w:rsidRPr="002C4077">
        <w:t xml:space="preserve"> </w:t>
      </w:r>
      <w:r w:rsidR="000A7AAB">
        <w:t>borner</w:t>
      </w:r>
      <w:r w:rsidR="000A7AAB" w:rsidRPr="002C4077">
        <w:t xml:space="preserve"> </w:t>
      </w:r>
      <w:r w:rsidR="000A7AAB">
        <w:t>à</w:t>
      </w:r>
      <w:r w:rsidR="000A7AAB" w:rsidRPr="002C4077">
        <w:t xml:space="preserve"> </w:t>
      </w:r>
      <w:r w:rsidR="000A7AAB">
        <w:t>une</w:t>
      </w:r>
      <w:r w:rsidR="000A7AAB" w:rsidRPr="002C4077">
        <w:t xml:space="preserve"> </w:t>
      </w:r>
      <w:r w:rsidR="000A7AAB">
        <w:t>seule</w:t>
      </w:r>
      <w:r w:rsidR="000A7AAB" w:rsidRPr="002C4077">
        <w:t xml:space="preserve"> </w:t>
      </w:r>
      <w:r w:rsidR="000A7AAB">
        <w:t>conclusion,</w:t>
      </w:r>
      <w:r w:rsidR="000A7AAB" w:rsidRPr="002C4077">
        <w:t xml:space="preserve"> </w:t>
      </w:r>
      <w:r w:rsidR="000A7AAB">
        <w:t>celle</w:t>
      </w:r>
      <w:r w:rsidR="000A7AAB" w:rsidRPr="002C4077">
        <w:t xml:space="preserve"> </w:t>
      </w:r>
      <w:r w:rsidR="000A7AAB">
        <w:t>que</w:t>
      </w:r>
      <w:r w:rsidR="000A7AAB" w:rsidRPr="002C4077">
        <w:t xml:space="preserve"> </w:t>
      </w:r>
      <w:r w:rsidR="000A7AAB">
        <w:t>nous</w:t>
      </w:r>
      <w:r w:rsidR="000A7AAB" w:rsidRPr="002C4077">
        <w:t xml:space="preserve"> </w:t>
      </w:r>
      <w:r w:rsidR="000A7AAB">
        <w:t>avons</w:t>
      </w:r>
      <w:r w:rsidR="000A7AAB" w:rsidRPr="002C4077">
        <w:t xml:space="preserve"> </w:t>
      </w:r>
      <w:r w:rsidR="000A7AAB">
        <w:t>indiquée</w:t>
      </w:r>
      <w:r w:rsidR="000A7AAB" w:rsidRPr="002C4077">
        <w:t xml:space="preserve"> </w:t>
      </w:r>
      <w:r w:rsidR="000A7AAB">
        <w:t>précédemment</w:t>
      </w:r>
      <w:r w:rsidR="000A7AAB" w:rsidRPr="002C4077">
        <w:t xml:space="preserve"> </w:t>
      </w:r>
      <w:r w:rsidR="000A7AAB">
        <w:t>d’après</w:t>
      </w:r>
      <w:r w:rsidR="000A7AAB" w:rsidRPr="002C4077">
        <w:t xml:space="preserve"> </w:t>
      </w:r>
      <w:r w:rsidR="000A7AAB">
        <w:t>lui,</w:t>
      </w:r>
      <w:r w:rsidR="000A7AAB" w:rsidRPr="002C4077">
        <w:t xml:space="preserve"> </w:t>
      </w:r>
      <w:r w:rsidR="000A7AAB">
        <w:t>et</w:t>
      </w:r>
      <w:r w:rsidR="000A7AAB" w:rsidRPr="002C4077">
        <w:t xml:space="preserve"> </w:t>
      </w:r>
      <w:r w:rsidR="000A7AAB">
        <w:t>qu’il</w:t>
      </w:r>
      <w:r w:rsidR="000A7AAB" w:rsidRPr="002C4077">
        <w:t xml:space="preserve"> </w:t>
      </w:r>
      <w:r w:rsidR="000A7AAB">
        <w:t>indique</w:t>
      </w:r>
      <w:r w:rsidR="000A7AAB" w:rsidRPr="002C4077">
        <w:t xml:space="preserve"> </w:t>
      </w:r>
      <w:r w:rsidR="000A7AAB">
        <w:t>lui-même</w:t>
      </w:r>
      <w:r w:rsidR="000A7AAB" w:rsidRPr="002C4077">
        <w:t xml:space="preserve"> </w:t>
      </w:r>
      <w:r w:rsidR="000A7AAB">
        <w:t>d’après</w:t>
      </w:r>
      <w:r w:rsidR="000A7AAB" w:rsidRPr="002C4077">
        <w:t xml:space="preserve"> </w:t>
      </w:r>
      <w:r w:rsidR="000A7AAB">
        <w:t>Tacite</w:t>
      </w:r>
      <w:r w:rsidR="00B546AF">
        <w:t> :</w:t>
      </w:r>
      <w:r w:rsidR="000A7AAB" w:rsidRPr="002C4077">
        <w:t xml:space="preserve"> </w:t>
      </w:r>
      <w:r w:rsidR="000A7AAB">
        <w:t>Un</w:t>
      </w:r>
      <w:r w:rsidR="000A7AAB" w:rsidRPr="002C4077">
        <w:t xml:space="preserve"> </w:t>
      </w:r>
      <w:r w:rsidR="000A7AAB">
        <w:t>certain</w:t>
      </w:r>
      <w:r w:rsidR="000A7AAB" w:rsidRPr="002C4077">
        <w:t xml:space="preserve"> </w:t>
      </w:r>
      <w:r w:rsidR="000A7AAB">
        <w:t>Juif</w:t>
      </w:r>
      <w:r w:rsidR="000A7AAB" w:rsidRPr="002C4077">
        <w:t xml:space="preserve"> </w:t>
      </w:r>
      <w:r w:rsidR="000A7AAB">
        <w:t>a</w:t>
      </w:r>
      <w:r w:rsidR="000A7AAB" w:rsidRPr="002C4077">
        <w:t xml:space="preserve"> </w:t>
      </w:r>
      <w:r w:rsidR="000A7AAB">
        <w:t>pris</w:t>
      </w:r>
      <w:r w:rsidR="000A7AAB" w:rsidRPr="002C4077">
        <w:t xml:space="preserve"> </w:t>
      </w:r>
      <w:r w:rsidR="000A7AAB">
        <w:t>le</w:t>
      </w:r>
      <w:r w:rsidR="000A7AAB" w:rsidRPr="002C4077">
        <w:t xml:space="preserve"> </w:t>
      </w:r>
      <w:r w:rsidR="000A7AAB">
        <w:t>nom</w:t>
      </w:r>
      <w:r w:rsidR="000A7AAB" w:rsidRPr="002C4077">
        <w:t xml:space="preserve"> </w:t>
      </w:r>
      <w:r w:rsidR="000A7AAB">
        <w:t>de</w:t>
      </w:r>
      <w:r w:rsidR="000A7AAB" w:rsidRPr="002C4077">
        <w:t xml:space="preserve"> </w:t>
      </w:r>
    </w:p>
    <w:p w:rsidR="000A7AAB" w:rsidRPr="004C5B7A" w:rsidRDefault="00425C50" w:rsidP="000A7AAB">
      <w:r>
        <w:t>Christ</w:t>
      </w:r>
      <w:r w:rsidR="000A7AAB" w:rsidRPr="002C4077">
        <w:t xml:space="preserve"> </w:t>
      </w:r>
      <w:r w:rsidR="000A7AAB">
        <w:t>et</w:t>
      </w:r>
      <w:r w:rsidR="000A7AAB" w:rsidRPr="002C4077">
        <w:t xml:space="preserve"> </w:t>
      </w:r>
      <w:r w:rsidR="000A7AAB">
        <w:t>a</w:t>
      </w:r>
      <w:r w:rsidR="000A7AAB" w:rsidRPr="002C4077">
        <w:t xml:space="preserve"> </w:t>
      </w:r>
      <w:r w:rsidR="000A7AAB">
        <w:t>été</w:t>
      </w:r>
      <w:r w:rsidR="000A7AAB" w:rsidRPr="002C4077">
        <w:t xml:space="preserve"> </w:t>
      </w:r>
      <w:r w:rsidR="000A7AAB">
        <w:t>mis</w:t>
      </w:r>
      <w:r w:rsidR="000A7AAB" w:rsidRPr="002C4077">
        <w:t xml:space="preserve"> </w:t>
      </w:r>
      <w:r w:rsidR="000A7AAB">
        <w:t>à</w:t>
      </w:r>
      <w:r w:rsidR="000A7AAB" w:rsidRPr="002C4077">
        <w:t xml:space="preserve"> </w:t>
      </w:r>
      <w:r w:rsidR="000A7AAB">
        <w:t>mort</w:t>
      </w:r>
      <w:r w:rsidR="000A7AAB" w:rsidRPr="002C4077">
        <w:t xml:space="preserve"> </w:t>
      </w:r>
      <w:r w:rsidR="000A7AAB">
        <w:t>par</w:t>
      </w:r>
      <w:r w:rsidR="000A7AAB" w:rsidRPr="002C4077">
        <w:t xml:space="preserve"> </w:t>
      </w:r>
      <w:r w:rsidR="000A7AAB">
        <w:t>le</w:t>
      </w:r>
      <w:r w:rsidR="000A7AAB" w:rsidRPr="002C4077">
        <w:t xml:space="preserve"> </w:t>
      </w:r>
      <w:r w:rsidR="000A7AAB">
        <w:t>procurateur</w:t>
      </w:r>
      <w:r w:rsidR="000A7AAB" w:rsidRPr="002C4077">
        <w:t xml:space="preserve"> </w:t>
      </w:r>
      <w:r w:rsidR="000A7AAB">
        <w:t>romain</w:t>
      </w:r>
      <w:r w:rsidR="000A7AAB" w:rsidRPr="002C4077">
        <w:t xml:space="preserve"> </w:t>
      </w:r>
      <w:r w:rsidR="003B53FD">
        <w:t>Pilátus</w:t>
      </w:r>
      <w:r w:rsidR="000A7AAB">
        <w:t>.</w:t>
      </w:r>
      <w:r w:rsidR="00C45B47">
        <w:t xml:space="preserve"> {</w:t>
      </w:r>
      <w:r w:rsidR="004C5B7A">
        <w:t>142</w:t>
      </w:r>
      <w:bookmarkStart w:id="389" w:name="p142"/>
      <w:bookmarkEnd w:id="389"/>
      <w:r w:rsidR="004C5B7A">
        <w:t xml:space="preserve">} </w:t>
      </w:r>
    </w:p>
    <w:p w:rsidR="000A7AAB" w:rsidRDefault="000A7AAB" w:rsidP="000A7AAB">
      <w:r>
        <w:t>Mais</w:t>
      </w:r>
      <w:r w:rsidRPr="002C4077">
        <w:t xml:space="preserve"> </w:t>
      </w:r>
      <w:r>
        <w:t>elle</w:t>
      </w:r>
      <w:r w:rsidRPr="002C4077">
        <w:t xml:space="preserve"> </w:t>
      </w:r>
      <w:r>
        <w:t>ne</w:t>
      </w:r>
      <w:r w:rsidRPr="002C4077">
        <w:t xml:space="preserve"> </w:t>
      </w:r>
      <w:r>
        <w:t>lui</w:t>
      </w:r>
      <w:r w:rsidRPr="002C4077">
        <w:t xml:space="preserve"> </w:t>
      </w:r>
      <w:r>
        <w:t>a</w:t>
      </w:r>
      <w:r w:rsidRPr="002C4077">
        <w:t xml:space="preserve"> </w:t>
      </w:r>
      <w:r>
        <w:t>pas</w:t>
      </w:r>
      <w:r w:rsidRPr="002C4077">
        <w:t xml:space="preserve"> </w:t>
      </w:r>
      <w:r>
        <w:t>suffi,</w:t>
      </w:r>
      <w:r w:rsidRPr="002C4077">
        <w:t xml:space="preserve"> </w:t>
      </w:r>
      <w:r>
        <w:t>car</w:t>
      </w:r>
      <w:r w:rsidRPr="002C4077">
        <w:t xml:space="preserve"> </w:t>
      </w:r>
      <w:r>
        <w:t>il</w:t>
      </w:r>
      <w:r w:rsidRPr="002C4077">
        <w:t xml:space="preserve"> </w:t>
      </w:r>
      <w:r>
        <w:t>tenait</w:t>
      </w:r>
      <w:r w:rsidRPr="002C4077">
        <w:t xml:space="preserve"> </w:t>
      </w:r>
      <w:r>
        <w:t>à</w:t>
      </w:r>
      <w:r w:rsidRPr="002C4077">
        <w:t xml:space="preserve"> </w:t>
      </w:r>
      <w:r>
        <w:t>blasphémer,</w:t>
      </w:r>
      <w:r w:rsidRPr="002C4077">
        <w:t xml:space="preserve"> </w:t>
      </w:r>
      <w:r>
        <w:t>à</w:t>
      </w:r>
      <w:r w:rsidRPr="002C4077">
        <w:t xml:space="preserve"> </w:t>
      </w:r>
      <w:r>
        <w:t>dire</w:t>
      </w:r>
      <w:r w:rsidRPr="002C4077">
        <w:t xml:space="preserve"> </w:t>
      </w:r>
      <w:r>
        <w:t>que</w:t>
      </w:r>
      <w:r w:rsidRPr="002C4077">
        <w:t xml:space="preserve"> </w:t>
      </w:r>
      <w:r w:rsidR="003B53FD">
        <w:t>celui</w:t>
      </w:r>
      <w:r w:rsidRPr="002C4077">
        <w:t xml:space="preserve"> </w:t>
      </w:r>
      <w:r>
        <w:t>que</w:t>
      </w:r>
      <w:r w:rsidRPr="002C4077">
        <w:t xml:space="preserve"> </w:t>
      </w:r>
      <w:r>
        <w:t>nous</w:t>
      </w:r>
      <w:r w:rsidRPr="002C4077">
        <w:t xml:space="preserve"> </w:t>
      </w:r>
      <w:r>
        <w:t>adorons</w:t>
      </w:r>
      <w:r w:rsidRPr="002C4077">
        <w:t xml:space="preserve"> </w:t>
      </w:r>
      <w:r>
        <w:t>fut</w:t>
      </w:r>
      <w:r w:rsidRPr="002C4077">
        <w:t xml:space="preserve"> </w:t>
      </w:r>
      <w:r>
        <w:t>un</w:t>
      </w:r>
      <w:r w:rsidRPr="002C4077">
        <w:t xml:space="preserve"> </w:t>
      </w:r>
      <w:r w:rsidR="00B546AF">
        <w:t>« </w:t>
      </w:r>
      <w:r>
        <w:t>halluciné</w:t>
      </w:r>
      <w:r w:rsidR="00B546AF">
        <w:t> !</w:t>
      </w:r>
      <w:r w:rsidR="00B91AF7">
        <w:rPr>
          <w:rStyle w:val="Appelnotedebasdep"/>
        </w:rPr>
        <w:footnoteReference w:id="446"/>
      </w:r>
      <w:r w:rsidR="00B546AF">
        <w:t> »</w:t>
      </w:r>
      <w:r w:rsidRPr="002C4077">
        <w:t xml:space="preserve"> </w:t>
      </w:r>
    </w:p>
    <w:p w:rsidR="000A7AAB" w:rsidRDefault="000A7AAB" w:rsidP="000A7AAB">
      <w:r>
        <w:t>Sur</w:t>
      </w:r>
      <w:r w:rsidRPr="002C4077">
        <w:t xml:space="preserve"> </w:t>
      </w:r>
      <w:r>
        <w:t>quoi</w:t>
      </w:r>
      <w:r w:rsidRPr="002C4077">
        <w:t xml:space="preserve"> </w:t>
      </w:r>
      <w:r>
        <w:t>appuie-t-il</w:t>
      </w:r>
      <w:r w:rsidRPr="002C4077">
        <w:t xml:space="preserve"> </w:t>
      </w:r>
      <w:r>
        <w:t>ce</w:t>
      </w:r>
      <w:r w:rsidRPr="002C4077">
        <w:t xml:space="preserve"> </w:t>
      </w:r>
      <w:r>
        <w:t>jugement,</w:t>
      </w:r>
      <w:r w:rsidRPr="002C4077">
        <w:t xml:space="preserve"> </w:t>
      </w:r>
      <w:r>
        <w:t>puisque</w:t>
      </w:r>
      <w:r w:rsidRPr="002C4077">
        <w:t xml:space="preserve"> </w:t>
      </w:r>
      <w:r>
        <w:t>les</w:t>
      </w:r>
      <w:r w:rsidRPr="002C4077">
        <w:t xml:space="preserve"> </w:t>
      </w:r>
      <w:r>
        <w:t>évangiles</w:t>
      </w:r>
      <w:r w:rsidRPr="002C4077">
        <w:t xml:space="preserve"> </w:t>
      </w:r>
      <w:r>
        <w:t>ne</w:t>
      </w:r>
      <w:r w:rsidRPr="002C4077">
        <w:t xml:space="preserve"> </w:t>
      </w:r>
      <w:r>
        <w:t>contiennent,</w:t>
      </w:r>
      <w:r w:rsidRPr="002C4077">
        <w:t xml:space="preserve"> </w:t>
      </w:r>
      <w:r>
        <w:t>d’après</w:t>
      </w:r>
      <w:r w:rsidRPr="002C4077">
        <w:t xml:space="preserve"> </w:t>
      </w:r>
      <w:r>
        <w:t>lui,</w:t>
      </w:r>
      <w:r w:rsidRPr="002C4077">
        <w:t xml:space="preserve"> </w:t>
      </w:r>
      <w:r>
        <w:t>que</w:t>
      </w:r>
      <w:r w:rsidRPr="002C4077">
        <w:t xml:space="preserve"> </w:t>
      </w:r>
      <w:r>
        <w:t>des</w:t>
      </w:r>
      <w:r w:rsidRPr="002C4077">
        <w:t xml:space="preserve"> </w:t>
      </w:r>
      <w:r w:rsidRPr="000A34B5">
        <w:rPr>
          <w:rStyle w:val="italicus"/>
        </w:rPr>
        <w:t>imaginations</w:t>
      </w:r>
      <w:r w:rsidRPr="002C4077">
        <w:t xml:space="preserve"> </w:t>
      </w:r>
      <w:r>
        <w:t>à</w:t>
      </w:r>
      <w:r w:rsidRPr="002C4077">
        <w:t xml:space="preserve"> </w:t>
      </w:r>
      <w:r>
        <w:t>propos</w:t>
      </w:r>
      <w:r w:rsidRPr="002C4077">
        <w:t xml:space="preserve"> </w:t>
      </w:r>
      <w:r>
        <w:t>de</w:t>
      </w:r>
      <w:r w:rsidRPr="002C4077">
        <w:t xml:space="preserve"> </w:t>
      </w:r>
      <w:r>
        <w:t>N.</w:t>
      </w:r>
      <w:r w:rsidRPr="002C4077">
        <w:t xml:space="preserve"> </w:t>
      </w:r>
      <w:r>
        <w:t>S.</w:t>
      </w:r>
      <w:r w:rsidRPr="002C4077">
        <w:t xml:space="preserve"> </w:t>
      </w:r>
      <w:r w:rsidR="00425C50">
        <w:t>Jésus</w:t>
      </w:r>
      <w:r>
        <w:t>-</w:t>
      </w:r>
      <w:r w:rsidR="00425C50">
        <w:t>Christ</w:t>
      </w:r>
      <w:r w:rsidR="00B546AF">
        <w:t> ?</w:t>
      </w:r>
      <w:r w:rsidRPr="002C4077">
        <w:t xml:space="preserve"> </w:t>
      </w:r>
      <w:r>
        <w:t>Il</w:t>
      </w:r>
      <w:r w:rsidRPr="002C4077">
        <w:t xml:space="preserve"> </w:t>
      </w:r>
      <w:r>
        <w:t>prétend</w:t>
      </w:r>
      <w:r w:rsidRPr="002C4077">
        <w:t xml:space="preserve"> </w:t>
      </w:r>
      <w:r>
        <w:t>l’appuyer</w:t>
      </w:r>
      <w:r w:rsidRPr="002C4077">
        <w:t xml:space="preserve"> </w:t>
      </w:r>
      <w:r>
        <w:t>précisément</w:t>
      </w:r>
      <w:r w:rsidRPr="002C4077">
        <w:t xml:space="preserve"> </w:t>
      </w:r>
      <w:r>
        <w:t>sur</w:t>
      </w:r>
      <w:r w:rsidRPr="002C4077">
        <w:t xml:space="preserve"> </w:t>
      </w:r>
      <w:r>
        <w:t>les</w:t>
      </w:r>
      <w:r w:rsidRPr="002C4077">
        <w:t xml:space="preserve"> </w:t>
      </w:r>
      <w:r>
        <w:t>évangiles,</w:t>
      </w:r>
      <w:r w:rsidRPr="002C4077">
        <w:t xml:space="preserve"> </w:t>
      </w:r>
      <w:r>
        <w:t>dont</w:t>
      </w:r>
      <w:r w:rsidRPr="002C4077">
        <w:t xml:space="preserve"> </w:t>
      </w:r>
      <w:r>
        <w:t>il</w:t>
      </w:r>
      <w:r w:rsidRPr="002C4077">
        <w:t xml:space="preserve"> </w:t>
      </w:r>
      <w:r>
        <w:t>a</w:t>
      </w:r>
      <w:r w:rsidRPr="002C4077">
        <w:t xml:space="preserve"> </w:t>
      </w:r>
      <w:r>
        <w:t>nié</w:t>
      </w:r>
      <w:r w:rsidRPr="002C4077">
        <w:t xml:space="preserve"> </w:t>
      </w:r>
      <w:r>
        <w:t>précédemment</w:t>
      </w:r>
      <w:r w:rsidRPr="002C4077">
        <w:t xml:space="preserve"> </w:t>
      </w:r>
      <w:r>
        <w:t>l’autorité.</w:t>
      </w:r>
      <w:r w:rsidRPr="002C4077">
        <w:t xml:space="preserve"> </w:t>
      </w:r>
    </w:p>
    <w:p w:rsidR="000A7AAB" w:rsidRDefault="000A7AAB" w:rsidP="000A7AAB">
      <w:r>
        <w:t>N’en</w:t>
      </w:r>
      <w:r w:rsidRPr="002C4077">
        <w:t xml:space="preserve"> </w:t>
      </w:r>
      <w:r>
        <w:t>soyons</w:t>
      </w:r>
      <w:r w:rsidRPr="002C4077">
        <w:t xml:space="preserve"> </w:t>
      </w:r>
      <w:r>
        <w:t>pas</w:t>
      </w:r>
      <w:r w:rsidRPr="002C4077">
        <w:t xml:space="preserve"> </w:t>
      </w:r>
      <w:r>
        <w:t>surpris</w:t>
      </w:r>
      <w:r w:rsidR="00B546AF">
        <w:t> :</w:t>
      </w:r>
      <w:r w:rsidRPr="002C4077">
        <w:t xml:space="preserve"> </w:t>
      </w:r>
      <w:r>
        <w:t>le</w:t>
      </w:r>
      <w:r w:rsidRPr="002C4077">
        <w:t xml:space="preserve"> </w:t>
      </w:r>
      <w:r>
        <w:t>principe</w:t>
      </w:r>
      <w:r w:rsidRPr="002C4077">
        <w:t xml:space="preserve"> </w:t>
      </w:r>
      <w:r>
        <w:t>rationaliste,</w:t>
      </w:r>
      <w:r w:rsidRPr="002C4077">
        <w:t xml:space="preserve"> </w:t>
      </w:r>
      <w:r>
        <w:t>on</w:t>
      </w:r>
      <w:r w:rsidRPr="002C4077">
        <w:t xml:space="preserve"> </w:t>
      </w:r>
      <w:r>
        <w:t>nous</w:t>
      </w:r>
      <w:r w:rsidRPr="002C4077">
        <w:t xml:space="preserve"> </w:t>
      </w:r>
      <w:r>
        <w:t>l’a</w:t>
      </w:r>
      <w:r w:rsidRPr="002C4077">
        <w:t xml:space="preserve"> </w:t>
      </w:r>
      <w:r>
        <w:t>dit,</w:t>
      </w:r>
      <w:r w:rsidRPr="002C4077">
        <w:t xml:space="preserve"> </w:t>
      </w:r>
      <w:r>
        <w:t>accorde</w:t>
      </w:r>
      <w:r w:rsidRPr="002C4077">
        <w:t xml:space="preserve"> </w:t>
      </w:r>
      <w:r>
        <w:t>toutes</w:t>
      </w:r>
      <w:r w:rsidRPr="002C4077">
        <w:t xml:space="preserve"> </w:t>
      </w:r>
      <w:r>
        <w:t>sortes</w:t>
      </w:r>
      <w:r w:rsidRPr="002C4077">
        <w:t xml:space="preserve"> </w:t>
      </w:r>
      <w:r>
        <w:t>de</w:t>
      </w:r>
      <w:r w:rsidRPr="002C4077">
        <w:t xml:space="preserve"> </w:t>
      </w:r>
      <w:r>
        <w:t>libertés.</w:t>
      </w:r>
      <w:r w:rsidRPr="002C4077">
        <w:t xml:space="preserve"> </w:t>
      </w:r>
      <w:r>
        <w:t>Il</w:t>
      </w:r>
      <w:r w:rsidRPr="002C4077">
        <w:t xml:space="preserve"> </w:t>
      </w:r>
      <w:r>
        <w:t>permet</w:t>
      </w:r>
      <w:r w:rsidRPr="002C4077">
        <w:t xml:space="preserve"> </w:t>
      </w:r>
      <w:r>
        <w:t>de</w:t>
      </w:r>
      <w:r w:rsidRPr="002C4077">
        <w:t xml:space="preserve"> </w:t>
      </w:r>
      <w:r>
        <w:t>dire</w:t>
      </w:r>
      <w:r w:rsidRPr="002C4077">
        <w:t xml:space="preserve"> </w:t>
      </w:r>
      <w:r>
        <w:t>blanc</w:t>
      </w:r>
      <w:r w:rsidRPr="002C4077">
        <w:t xml:space="preserve"> </w:t>
      </w:r>
      <w:r>
        <w:t>et</w:t>
      </w:r>
      <w:r w:rsidRPr="002C4077">
        <w:t xml:space="preserve"> </w:t>
      </w:r>
      <w:r>
        <w:t>noir</w:t>
      </w:r>
      <w:r w:rsidRPr="002C4077">
        <w:t xml:space="preserve"> </w:t>
      </w:r>
      <w:r>
        <w:t>tour</w:t>
      </w:r>
      <w:r w:rsidRPr="002C4077">
        <w:t xml:space="preserve"> </w:t>
      </w:r>
      <w:r>
        <w:t>à</w:t>
      </w:r>
      <w:r w:rsidRPr="002C4077">
        <w:t xml:space="preserve"> </w:t>
      </w:r>
      <w:r>
        <w:t>tour,</w:t>
      </w:r>
      <w:r w:rsidRPr="002C4077">
        <w:t xml:space="preserve"> </w:t>
      </w:r>
      <w:r>
        <w:t>à</w:t>
      </w:r>
      <w:r w:rsidRPr="002C4077">
        <w:t xml:space="preserve"> </w:t>
      </w:r>
      <w:r>
        <w:t>propos</w:t>
      </w:r>
      <w:r w:rsidRPr="002C4077">
        <w:t xml:space="preserve"> </w:t>
      </w:r>
      <w:r>
        <w:t>d’un</w:t>
      </w:r>
      <w:r w:rsidRPr="002C4077">
        <w:t xml:space="preserve"> </w:t>
      </w:r>
      <w:r>
        <w:t>seul</w:t>
      </w:r>
      <w:r w:rsidRPr="002C4077">
        <w:t xml:space="preserve"> </w:t>
      </w:r>
      <w:r>
        <w:t>et</w:t>
      </w:r>
      <w:r w:rsidRPr="002C4077">
        <w:t xml:space="preserve"> </w:t>
      </w:r>
      <w:r>
        <w:t>même</w:t>
      </w:r>
      <w:r w:rsidRPr="002C4077">
        <w:t xml:space="preserve"> </w:t>
      </w:r>
      <w:r>
        <w:t>objet.</w:t>
      </w:r>
      <w:r w:rsidRPr="002C4077">
        <w:t xml:space="preserve"> </w:t>
      </w:r>
      <w:r>
        <w:t>Il</w:t>
      </w:r>
      <w:r w:rsidRPr="002C4077">
        <w:t xml:space="preserve"> </w:t>
      </w:r>
      <w:r>
        <w:t>permet</w:t>
      </w:r>
      <w:r w:rsidRPr="002C4077">
        <w:t xml:space="preserve"> </w:t>
      </w:r>
      <w:r>
        <w:t>de</w:t>
      </w:r>
      <w:r w:rsidRPr="002C4077">
        <w:t xml:space="preserve"> </w:t>
      </w:r>
      <w:r>
        <w:t>dénigrer,</w:t>
      </w:r>
      <w:r w:rsidRPr="002C4077">
        <w:t xml:space="preserve"> </w:t>
      </w:r>
      <w:r>
        <w:t>d’anéantir</w:t>
      </w:r>
      <w:r w:rsidRPr="002C4077">
        <w:t xml:space="preserve"> </w:t>
      </w:r>
      <w:r>
        <w:t>même</w:t>
      </w:r>
      <w:r w:rsidRPr="002C4077">
        <w:t xml:space="preserve"> </w:t>
      </w:r>
      <w:r>
        <w:t>la</w:t>
      </w:r>
      <w:r w:rsidRPr="002C4077">
        <w:t xml:space="preserve"> </w:t>
      </w:r>
      <w:r>
        <w:t>valeur</w:t>
      </w:r>
      <w:r w:rsidRPr="002C4077">
        <w:t xml:space="preserve"> </w:t>
      </w:r>
      <w:r>
        <w:t>d’une</w:t>
      </w:r>
      <w:r w:rsidRPr="002C4077">
        <w:t xml:space="preserve"> </w:t>
      </w:r>
      <w:r>
        <w:t>source</w:t>
      </w:r>
      <w:r w:rsidRPr="002C4077">
        <w:t xml:space="preserve"> </w:t>
      </w:r>
      <w:r>
        <w:t>historique</w:t>
      </w:r>
      <w:r w:rsidRPr="002C4077">
        <w:t xml:space="preserve"> </w:t>
      </w:r>
      <w:r>
        <w:t>lorsqu’elle</w:t>
      </w:r>
      <w:r w:rsidRPr="002C4077">
        <w:t xml:space="preserve"> </w:t>
      </w:r>
      <w:r>
        <w:t>devient</w:t>
      </w:r>
      <w:r w:rsidRPr="002C4077">
        <w:t xml:space="preserve"> </w:t>
      </w:r>
      <w:r>
        <w:t>gênante</w:t>
      </w:r>
      <w:r w:rsidR="00B546AF">
        <w:t> ;</w:t>
      </w:r>
      <w:r w:rsidRPr="002C4077">
        <w:t xml:space="preserve"> </w:t>
      </w:r>
      <w:r>
        <w:t>puis,</w:t>
      </w:r>
      <w:r w:rsidRPr="002C4077">
        <w:t xml:space="preserve"> </w:t>
      </w:r>
      <w:r>
        <w:t>peu</w:t>
      </w:r>
      <w:r w:rsidRPr="002C4077">
        <w:t xml:space="preserve"> </w:t>
      </w:r>
      <w:r>
        <w:t>d’instants</w:t>
      </w:r>
      <w:r w:rsidRPr="002C4077">
        <w:t xml:space="preserve"> </w:t>
      </w:r>
      <w:r>
        <w:t>après,</w:t>
      </w:r>
      <w:r w:rsidRPr="002C4077">
        <w:t xml:space="preserve"> </w:t>
      </w:r>
      <w:r>
        <w:t>de</w:t>
      </w:r>
      <w:r w:rsidRPr="002C4077">
        <w:t xml:space="preserve"> </w:t>
      </w:r>
      <w:r>
        <w:t>s’appuyer</w:t>
      </w:r>
      <w:r w:rsidRPr="002C4077">
        <w:t xml:space="preserve"> </w:t>
      </w:r>
      <w:r>
        <w:t>sur</w:t>
      </w:r>
      <w:r w:rsidRPr="002C4077">
        <w:t xml:space="preserve"> </w:t>
      </w:r>
      <w:r>
        <w:t>elle</w:t>
      </w:r>
      <w:r w:rsidRPr="002C4077">
        <w:t xml:space="preserve"> </w:t>
      </w:r>
      <w:r>
        <w:t>si</w:t>
      </w:r>
      <w:r w:rsidRPr="002C4077">
        <w:t xml:space="preserve"> </w:t>
      </w:r>
      <w:r>
        <w:t>elle</w:t>
      </w:r>
      <w:r w:rsidRPr="002C4077">
        <w:t xml:space="preserve"> </w:t>
      </w:r>
      <w:r>
        <w:t>peut</w:t>
      </w:r>
      <w:r w:rsidRPr="002C4077">
        <w:t xml:space="preserve"> </w:t>
      </w:r>
      <w:r>
        <w:t>servir</w:t>
      </w:r>
      <w:r w:rsidRPr="002C4077">
        <w:t xml:space="preserve"> </w:t>
      </w:r>
      <w:r>
        <w:t>aux</w:t>
      </w:r>
      <w:r w:rsidRPr="002C4077">
        <w:t xml:space="preserve"> </w:t>
      </w:r>
      <w:r>
        <w:t>besoins</w:t>
      </w:r>
      <w:r w:rsidRPr="002C4077">
        <w:t xml:space="preserve"> </w:t>
      </w:r>
      <w:r>
        <w:t>de</w:t>
      </w:r>
      <w:r w:rsidRPr="002C4077">
        <w:t xml:space="preserve"> </w:t>
      </w:r>
      <w:r>
        <w:t>la</w:t>
      </w:r>
      <w:r w:rsidRPr="002C4077">
        <w:t xml:space="preserve"> </w:t>
      </w:r>
      <w:r>
        <w:t>cause.</w:t>
      </w:r>
      <w:r w:rsidRPr="002C4077">
        <w:t xml:space="preserve"> </w:t>
      </w:r>
      <w:r>
        <w:t>C’est</w:t>
      </w:r>
      <w:r w:rsidRPr="002C4077">
        <w:t xml:space="preserve"> </w:t>
      </w:r>
      <w:r>
        <w:t>commode,</w:t>
      </w:r>
      <w:r w:rsidRPr="002C4077">
        <w:t xml:space="preserve"> </w:t>
      </w:r>
      <w:r>
        <w:t>et</w:t>
      </w:r>
      <w:r w:rsidRPr="002C4077">
        <w:t xml:space="preserve"> </w:t>
      </w:r>
      <w:r>
        <w:t>surtout</w:t>
      </w:r>
      <w:r w:rsidRPr="002C4077">
        <w:t xml:space="preserve"> </w:t>
      </w:r>
      <w:r>
        <w:t>très</w:t>
      </w:r>
      <w:r w:rsidRPr="002C4077">
        <w:t xml:space="preserve"> </w:t>
      </w:r>
      <w:r>
        <w:t>scientifique</w:t>
      </w:r>
      <w:r w:rsidR="00B546AF">
        <w:t> !</w:t>
      </w:r>
      <w:r w:rsidRPr="002C4077">
        <w:t xml:space="preserve"> </w:t>
      </w:r>
      <w:r>
        <w:t>Mais</w:t>
      </w:r>
      <w:r w:rsidRPr="002C4077">
        <w:t xml:space="preserve"> </w:t>
      </w:r>
      <w:r>
        <w:t>l’on</w:t>
      </w:r>
      <w:r w:rsidRPr="002C4077">
        <w:t xml:space="preserve"> </w:t>
      </w:r>
      <w:r>
        <w:t>n’est</w:t>
      </w:r>
      <w:r w:rsidRPr="002C4077">
        <w:t xml:space="preserve"> </w:t>
      </w:r>
      <w:r>
        <w:t>pas</w:t>
      </w:r>
      <w:r w:rsidRPr="002C4077">
        <w:t xml:space="preserve"> </w:t>
      </w:r>
      <w:r>
        <w:t>pour</w:t>
      </w:r>
      <w:r w:rsidRPr="002C4077">
        <w:t xml:space="preserve"> </w:t>
      </w:r>
      <w:r>
        <w:t>rien</w:t>
      </w:r>
      <w:r w:rsidRPr="002C4077">
        <w:t xml:space="preserve"> </w:t>
      </w:r>
      <w:r>
        <w:t>de</w:t>
      </w:r>
      <w:r w:rsidRPr="002C4077">
        <w:t xml:space="preserve"> </w:t>
      </w:r>
      <w:r>
        <w:t>l’école</w:t>
      </w:r>
      <w:r w:rsidRPr="002C4077">
        <w:t xml:space="preserve"> </w:t>
      </w:r>
      <w:r>
        <w:t>de</w:t>
      </w:r>
      <w:r w:rsidRPr="002C4077">
        <w:t xml:space="preserve"> </w:t>
      </w:r>
      <w:r>
        <w:t>Voltaire.</w:t>
      </w:r>
      <w:r w:rsidRPr="002C4077">
        <w:t xml:space="preserve"> </w:t>
      </w:r>
    </w:p>
    <w:p w:rsidR="000D12F1" w:rsidRDefault="000D12F1" w:rsidP="000A7AAB"/>
    <w:p w:rsidR="000A7AAB" w:rsidRDefault="000A7AAB" w:rsidP="000A7AAB">
      <w:r>
        <w:t>Concluons</w:t>
      </w:r>
      <w:r w:rsidRPr="002C4077">
        <w:t xml:space="preserve"> </w:t>
      </w:r>
      <w:r>
        <w:t>à</w:t>
      </w:r>
      <w:r w:rsidRPr="002C4077">
        <w:t xml:space="preserve"> </w:t>
      </w:r>
      <w:r>
        <w:t>notre</w:t>
      </w:r>
      <w:r w:rsidRPr="002C4077">
        <w:t xml:space="preserve"> </w:t>
      </w:r>
      <w:r>
        <w:t>tour.</w:t>
      </w:r>
      <w:r w:rsidRPr="002C4077">
        <w:t xml:space="preserve"> </w:t>
      </w:r>
    </w:p>
    <w:p w:rsidR="000A7AAB" w:rsidRDefault="000A7AAB" w:rsidP="000A7AAB">
      <w:r>
        <w:t>Non,</w:t>
      </w:r>
      <w:r w:rsidRPr="002C4077">
        <w:t xml:space="preserve"> </w:t>
      </w:r>
      <w:r>
        <w:t>rien</w:t>
      </w:r>
      <w:r w:rsidRPr="002C4077">
        <w:t xml:space="preserve"> </w:t>
      </w:r>
      <w:r>
        <w:t>n’est</w:t>
      </w:r>
      <w:r w:rsidRPr="002C4077">
        <w:t xml:space="preserve"> </w:t>
      </w:r>
      <w:r>
        <w:t>scientifique</w:t>
      </w:r>
      <w:r w:rsidRPr="002C4077">
        <w:t xml:space="preserve"> </w:t>
      </w:r>
      <w:r>
        <w:t>dans</w:t>
      </w:r>
      <w:r w:rsidRPr="002C4077">
        <w:t xml:space="preserve"> </w:t>
      </w:r>
      <w:r>
        <w:t>le</w:t>
      </w:r>
      <w:r w:rsidRPr="002C4077">
        <w:t xml:space="preserve"> </w:t>
      </w:r>
      <w:r>
        <w:t>travail</w:t>
      </w:r>
      <w:r w:rsidRPr="002C4077">
        <w:t xml:space="preserve"> </w:t>
      </w:r>
      <w:r>
        <w:t>de</w:t>
      </w:r>
      <w:r w:rsidRPr="002C4077">
        <w:t xml:space="preserve"> </w:t>
      </w:r>
      <w:r>
        <w:t>M.</w:t>
      </w:r>
      <w:r w:rsidRPr="002C4077">
        <w:t xml:space="preserve"> </w:t>
      </w:r>
      <w:r>
        <w:t>Havet</w:t>
      </w:r>
      <w:r w:rsidR="00B546AF">
        <w:t> :</w:t>
      </w:r>
      <w:r w:rsidRPr="002C4077">
        <w:t xml:space="preserve"> </w:t>
      </w:r>
      <w:r>
        <w:t>ni</w:t>
      </w:r>
      <w:r w:rsidRPr="002C4077">
        <w:t xml:space="preserve"> </w:t>
      </w:r>
      <w:r>
        <w:t>le</w:t>
      </w:r>
      <w:r w:rsidRPr="002C4077">
        <w:t xml:space="preserve"> </w:t>
      </w:r>
      <w:r>
        <w:t>but,</w:t>
      </w:r>
      <w:r w:rsidRPr="002C4077">
        <w:t xml:space="preserve"> </w:t>
      </w:r>
      <w:r>
        <w:t>ni</w:t>
      </w:r>
      <w:r w:rsidRPr="002C4077">
        <w:t xml:space="preserve"> </w:t>
      </w:r>
      <w:r>
        <w:t>la</w:t>
      </w:r>
      <w:r w:rsidRPr="002C4077">
        <w:t xml:space="preserve"> </w:t>
      </w:r>
      <w:r>
        <w:t>méthode,</w:t>
      </w:r>
      <w:r w:rsidRPr="002C4077">
        <w:t xml:space="preserve"> </w:t>
      </w:r>
      <w:r>
        <w:t>ni</w:t>
      </w:r>
      <w:r w:rsidRPr="002C4077">
        <w:t xml:space="preserve"> </w:t>
      </w:r>
      <w:r>
        <w:t>les</w:t>
      </w:r>
      <w:r w:rsidRPr="002C4077">
        <w:t xml:space="preserve"> </w:t>
      </w:r>
      <w:r>
        <w:t>arguments,</w:t>
      </w:r>
      <w:r w:rsidRPr="002C4077">
        <w:t xml:space="preserve"> </w:t>
      </w:r>
      <w:r>
        <w:t>ni</w:t>
      </w:r>
      <w:r w:rsidRPr="002C4077">
        <w:t xml:space="preserve"> </w:t>
      </w:r>
      <w:r>
        <w:t>la</w:t>
      </w:r>
      <w:r w:rsidRPr="002C4077">
        <w:t xml:space="preserve"> </w:t>
      </w:r>
      <w:r>
        <w:t>conclusion.</w:t>
      </w:r>
      <w:r w:rsidRPr="002C4077">
        <w:t xml:space="preserve"> </w:t>
      </w:r>
    </w:p>
    <w:p w:rsidR="000A7AAB" w:rsidRPr="004C5B7A" w:rsidRDefault="000A7AAB" w:rsidP="000A7AAB">
      <w:r>
        <w:lastRenderedPageBreak/>
        <w:t>M.</w:t>
      </w:r>
      <w:r w:rsidRPr="002C4077">
        <w:t xml:space="preserve"> </w:t>
      </w:r>
      <w:r>
        <w:t>Havet</w:t>
      </w:r>
      <w:r w:rsidRPr="002C4077">
        <w:t xml:space="preserve"> </w:t>
      </w:r>
      <w:r>
        <w:t>peut</w:t>
      </w:r>
      <w:r w:rsidRPr="002C4077">
        <w:t xml:space="preserve"> </w:t>
      </w:r>
      <w:r>
        <w:t>prolonger</w:t>
      </w:r>
      <w:r w:rsidRPr="002C4077">
        <w:t xml:space="preserve"> </w:t>
      </w:r>
      <w:r>
        <w:t>ses</w:t>
      </w:r>
      <w:r w:rsidRPr="002C4077">
        <w:t xml:space="preserve"> </w:t>
      </w:r>
      <w:r>
        <w:t>études</w:t>
      </w:r>
      <w:r w:rsidRPr="002C4077">
        <w:t xml:space="preserve"> </w:t>
      </w:r>
      <w:r>
        <w:t>religieuses</w:t>
      </w:r>
      <w:r w:rsidRPr="002C4077">
        <w:t xml:space="preserve"> </w:t>
      </w:r>
      <w:r>
        <w:t>dans</w:t>
      </w:r>
      <w:r w:rsidRPr="002C4077">
        <w:t xml:space="preserve"> </w:t>
      </w:r>
      <w:r>
        <w:t>la</w:t>
      </w:r>
      <w:r w:rsidRPr="002C4077">
        <w:t xml:space="preserve"> </w:t>
      </w:r>
      <w:r w:rsidRPr="000A34B5">
        <w:rPr>
          <w:rStyle w:val="italicus"/>
        </w:rPr>
        <w:t>Revue</w:t>
      </w:r>
      <w:r w:rsidRPr="002C4077">
        <w:t xml:space="preserve"> </w:t>
      </w:r>
      <w:r w:rsidRPr="000A34B5">
        <w:rPr>
          <w:rStyle w:val="italicus"/>
        </w:rPr>
        <w:t>des</w:t>
      </w:r>
      <w:r w:rsidRPr="002C4077">
        <w:t xml:space="preserve"> </w:t>
      </w:r>
      <w:r w:rsidRPr="000A34B5">
        <w:rPr>
          <w:rStyle w:val="italicus"/>
        </w:rPr>
        <w:t>Deux-Mondes,</w:t>
      </w:r>
      <w:r w:rsidRPr="002C4077">
        <w:t xml:space="preserve"> </w:t>
      </w:r>
      <w:r>
        <w:t>de</w:t>
      </w:r>
      <w:r w:rsidRPr="002C4077">
        <w:t xml:space="preserve"> </w:t>
      </w:r>
      <w:r>
        <w:t>manière</w:t>
      </w:r>
      <w:r w:rsidRPr="002C4077">
        <w:t xml:space="preserve"> </w:t>
      </w:r>
      <w:r>
        <w:t>à</w:t>
      </w:r>
      <w:r w:rsidRPr="002C4077">
        <w:t xml:space="preserve"> </w:t>
      </w:r>
      <w:r>
        <w:t>faire</w:t>
      </w:r>
      <w:r w:rsidRPr="002C4077">
        <w:t xml:space="preserve"> </w:t>
      </w:r>
      <w:r>
        <w:t>des</w:t>
      </w:r>
      <w:r w:rsidRPr="002C4077">
        <w:t xml:space="preserve"> </w:t>
      </w:r>
      <w:r>
        <w:t>volumes</w:t>
      </w:r>
      <w:r w:rsidR="00B91AF7">
        <w:rPr>
          <w:rStyle w:val="Appelnotedebasdep"/>
        </w:rPr>
        <w:footnoteReference w:id="447"/>
      </w:r>
      <w:r>
        <w:t>.</w:t>
      </w:r>
      <w:r w:rsidRPr="002C4077">
        <w:t xml:space="preserve"> </w:t>
      </w:r>
      <w:r>
        <w:t>Il</w:t>
      </w:r>
      <w:r w:rsidRPr="002C4077">
        <w:t xml:space="preserve"> </w:t>
      </w:r>
      <w:r>
        <w:t>ne</w:t>
      </w:r>
      <w:r w:rsidRPr="002C4077">
        <w:t xml:space="preserve"> </w:t>
      </w:r>
      <w:r>
        <w:t>prouvera</w:t>
      </w:r>
      <w:r w:rsidRPr="002C4077">
        <w:t xml:space="preserve"> </w:t>
      </w:r>
      <w:r>
        <w:t>qu’une</w:t>
      </w:r>
      <w:r w:rsidRPr="002C4077">
        <w:t xml:space="preserve"> </w:t>
      </w:r>
      <w:r>
        <w:t>chose,</w:t>
      </w:r>
      <w:r w:rsidRPr="002C4077">
        <w:t xml:space="preserve"> </w:t>
      </w:r>
      <w:r>
        <w:t>en</w:t>
      </w:r>
      <w:r w:rsidRPr="002C4077">
        <w:t xml:space="preserve"> </w:t>
      </w:r>
      <w:r>
        <w:t>suivant</w:t>
      </w:r>
      <w:r w:rsidRPr="002C4077">
        <w:t xml:space="preserve"> </w:t>
      </w:r>
      <w:r>
        <w:t>le</w:t>
      </w:r>
      <w:r w:rsidRPr="002C4077">
        <w:t xml:space="preserve"> </w:t>
      </w:r>
      <w:r>
        <w:t>même</w:t>
      </w:r>
      <w:r w:rsidRPr="002C4077">
        <w:t xml:space="preserve"> </w:t>
      </w:r>
      <w:r>
        <w:t>système</w:t>
      </w:r>
      <w:r w:rsidR="00B546AF">
        <w:t> :</w:t>
      </w:r>
      <w:r w:rsidRPr="002C4077">
        <w:t xml:space="preserve"> </w:t>
      </w:r>
      <w:r>
        <w:t>c’est</w:t>
      </w:r>
      <w:r w:rsidRPr="002C4077">
        <w:t xml:space="preserve"> </w:t>
      </w:r>
      <w:r>
        <w:t>qu’il</w:t>
      </w:r>
      <w:r w:rsidRPr="002C4077">
        <w:t xml:space="preserve"> </w:t>
      </w:r>
      <w:r>
        <w:t>n’a</w:t>
      </w:r>
      <w:r w:rsidRPr="002C4077">
        <w:t xml:space="preserve"> </w:t>
      </w:r>
      <w:r>
        <w:t>pas</w:t>
      </w:r>
      <w:r w:rsidRPr="002C4077">
        <w:t xml:space="preserve"> </w:t>
      </w:r>
      <w:r>
        <w:t>le</w:t>
      </w:r>
      <w:r w:rsidRPr="002C4077">
        <w:t xml:space="preserve"> </w:t>
      </w:r>
      <w:r>
        <w:t>moindre</w:t>
      </w:r>
      <w:r w:rsidRPr="002C4077">
        <w:t xml:space="preserve"> </w:t>
      </w:r>
      <w:r>
        <w:t>souci</w:t>
      </w:r>
      <w:r w:rsidRPr="002C4077">
        <w:t xml:space="preserve"> </w:t>
      </w:r>
      <w:r>
        <w:t>de</w:t>
      </w:r>
      <w:r w:rsidRPr="002C4077">
        <w:t xml:space="preserve"> </w:t>
      </w:r>
      <w:r>
        <w:t>la</w:t>
      </w:r>
      <w:r w:rsidRPr="002C4077">
        <w:t xml:space="preserve"> </w:t>
      </w:r>
      <w:r>
        <w:t>vérité,</w:t>
      </w:r>
      <w:r w:rsidRPr="002C4077">
        <w:t xml:space="preserve"> </w:t>
      </w:r>
      <w:r>
        <w:t>ni</w:t>
      </w:r>
      <w:r w:rsidRPr="002C4077">
        <w:t xml:space="preserve"> </w:t>
      </w:r>
      <w:r>
        <w:t>de</w:t>
      </w:r>
      <w:r w:rsidRPr="002C4077">
        <w:t xml:space="preserve"> </w:t>
      </w:r>
      <w:r>
        <w:t>la</w:t>
      </w:r>
      <w:r w:rsidRPr="002C4077">
        <w:t xml:space="preserve"> </w:t>
      </w:r>
      <w:r>
        <w:t>science.</w:t>
      </w:r>
      <w:r w:rsidR="00C45B47">
        <w:t xml:space="preserve"> {</w:t>
      </w:r>
      <w:r w:rsidR="004C5B7A">
        <w:t>143</w:t>
      </w:r>
      <w:bookmarkStart w:id="390" w:name="p143"/>
      <w:bookmarkEnd w:id="390"/>
      <w:r w:rsidR="004C5B7A">
        <w:t xml:space="preserve">} </w:t>
      </w:r>
    </w:p>
    <w:p w:rsidR="000A7AAB" w:rsidRDefault="000A7AAB" w:rsidP="000A7AAB">
      <w:r>
        <w:t>Pour</w:t>
      </w:r>
      <w:r w:rsidRPr="002C4077">
        <w:t xml:space="preserve"> </w:t>
      </w:r>
      <w:r>
        <w:t>nous,</w:t>
      </w:r>
      <w:r w:rsidRPr="002C4077">
        <w:t xml:space="preserve"> </w:t>
      </w:r>
      <w:r>
        <w:t>chrétiens</w:t>
      </w:r>
      <w:r w:rsidRPr="002C4077">
        <w:t xml:space="preserve"> </w:t>
      </w:r>
      <w:r>
        <w:t>fidèles,</w:t>
      </w:r>
      <w:r w:rsidRPr="002C4077">
        <w:t xml:space="preserve"> </w:t>
      </w:r>
      <w:r>
        <w:t>qui</w:t>
      </w:r>
      <w:r w:rsidRPr="002C4077">
        <w:t xml:space="preserve"> </w:t>
      </w:r>
      <w:r>
        <w:t>n’éprouvons</w:t>
      </w:r>
      <w:r w:rsidRPr="002C4077">
        <w:t xml:space="preserve"> </w:t>
      </w:r>
      <w:r>
        <w:t>pour</w:t>
      </w:r>
      <w:r w:rsidRPr="002C4077">
        <w:t xml:space="preserve"> </w:t>
      </w:r>
      <w:r>
        <w:t>la</w:t>
      </w:r>
      <w:r w:rsidRPr="002C4077">
        <w:t xml:space="preserve"> </w:t>
      </w:r>
      <w:r>
        <w:t>divine</w:t>
      </w:r>
      <w:r w:rsidRPr="002C4077">
        <w:t xml:space="preserve"> </w:t>
      </w:r>
      <w:r>
        <w:t>personne</w:t>
      </w:r>
      <w:r w:rsidRPr="002C4077">
        <w:t xml:space="preserve"> </w:t>
      </w:r>
      <w:r>
        <w:t>de</w:t>
      </w:r>
      <w:r w:rsidRPr="002C4077">
        <w:t xml:space="preserve"> </w:t>
      </w:r>
      <w:r>
        <w:t>Notre</w:t>
      </w:r>
      <w:r w:rsidRPr="002C4077">
        <w:t xml:space="preserve"> </w:t>
      </w:r>
      <w:r>
        <w:t>Seigneur</w:t>
      </w:r>
      <w:r w:rsidRPr="002C4077">
        <w:t xml:space="preserve"> </w:t>
      </w:r>
      <w:r w:rsidR="00425C50">
        <w:t>Jésus</w:t>
      </w:r>
      <w:r>
        <w:t>-</w:t>
      </w:r>
      <w:r w:rsidR="00425C50">
        <w:t>Christ</w:t>
      </w:r>
      <w:r w:rsidRPr="002C4077">
        <w:t xml:space="preserve"> </w:t>
      </w:r>
      <w:r>
        <w:t>que</w:t>
      </w:r>
      <w:r w:rsidRPr="002C4077">
        <w:t xml:space="preserve"> </w:t>
      </w:r>
      <w:r>
        <w:t>les</w:t>
      </w:r>
      <w:r w:rsidRPr="002C4077">
        <w:t xml:space="preserve"> </w:t>
      </w:r>
      <w:r>
        <w:t>sentiments</w:t>
      </w:r>
      <w:r w:rsidRPr="002C4077">
        <w:t xml:space="preserve"> </w:t>
      </w:r>
      <w:r>
        <w:t>de</w:t>
      </w:r>
      <w:r w:rsidRPr="002C4077">
        <w:t xml:space="preserve"> </w:t>
      </w:r>
      <w:r>
        <w:t>l’adoration</w:t>
      </w:r>
      <w:r w:rsidRPr="002C4077">
        <w:t xml:space="preserve"> </w:t>
      </w:r>
      <w:r>
        <w:t>la</w:t>
      </w:r>
      <w:r w:rsidRPr="002C4077">
        <w:t xml:space="preserve"> </w:t>
      </w:r>
      <w:r>
        <w:t>plus</w:t>
      </w:r>
      <w:r w:rsidRPr="002C4077">
        <w:t xml:space="preserve"> </w:t>
      </w:r>
      <w:r>
        <w:t>profonde</w:t>
      </w:r>
      <w:r w:rsidRPr="002C4077">
        <w:t xml:space="preserve"> </w:t>
      </w:r>
      <w:r>
        <w:t>et</w:t>
      </w:r>
      <w:r w:rsidRPr="002C4077">
        <w:t xml:space="preserve"> </w:t>
      </w:r>
      <w:r>
        <w:t>du</w:t>
      </w:r>
      <w:r w:rsidRPr="002C4077">
        <w:t xml:space="preserve"> </w:t>
      </w:r>
      <w:r>
        <w:t>plus</w:t>
      </w:r>
      <w:r w:rsidRPr="002C4077">
        <w:t xml:space="preserve"> </w:t>
      </w:r>
      <w:r>
        <w:t>vif</w:t>
      </w:r>
      <w:r w:rsidRPr="002C4077">
        <w:t xml:space="preserve"> </w:t>
      </w:r>
      <w:r>
        <w:t>amour,</w:t>
      </w:r>
      <w:r w:rsidRPr="002C4077">
        <w:t xml:space="preserve"> </w:t>
      </w:r>
      <w:r>
        <w:t>quelque</w:t>
      </w:r>
      <w:r w:rsidRPr="002C4077">
        <w:t xml:space="preserve"> </w:t>
      </w:r>
      <w:r>
        <w:t>attristés</w:t>
      </w:r>
      <w:r w:rsidRPr="002C4077">
        <w:t xml:space="preserve"> </w:t>
      </w:r>
      <w:r>
        <w:t>que</w:t>
      </w:r>
      <w:r w:rsidRPr="002C4077">
        <w:t xml:space="preserve"> </w:t>
      </w:r>
      <w:r>
        <w:t>nous</w:t>
      </w:r>
      <w:r w:rsidRPr="002C4077">
        <w:t xml:space="preserve"> </w:t>
      </w:r>
      <w:r>
        <w:t>devions</w:t>
      </w:r>
      <w:r w:rsidRPr="002C4077">
        <w:t xml:space="preserve"> </w:t>
      </w:r>
      <w:r>
        <w:t>être</w:t>
      </w:r>
      <w:r w:rsidRPr="002C4077">
        <w:t xml:space="preserve"> </w:t>
      </w:r>
      <w:r>
        <w:t>en</w:t>
      </w:r>
      <w:r w:rsidRPr="002C4077">
        <w:t xml:space="preserve"> </w:t>
      </w:r>
      <w:r>
        <w:t>face</w:t>
      </w:r>
      <w:r w:rsidRPr="002C4077">
        <w:t xml:space="preserve"> </w:t>
      </w:r>
      <w:r>
        <w:t>d’un</w:t>
      </w:r>
      <w:r w:rsidRPr="002C4077">
        <w:t xml:space="preserve"> </w:t>
      </w:r>
      <w:r>
        <w:t>pareil</w:t>
      </w:r>
      <w:r w:rsidRPr="002C4077">
        <w:t xml:space="preserve"> </w:t>
      </w:r>
      <w:r>
        <w:t>scandale,</w:t>
      </w:r>
      <w:r w:rsidRPr="002C4077">
        <w:t xml:space="preserve"> </w:t>
      </w:r>
      <w:r>
        <w:t>nous</w:t>
      </w:r>
      <w:r w:rsidRPr="002C4077">
        <w:t xml:space="preserve"> </w:t>
      </w:r>
      <w:r>
        <w:t>pouvons,</w:t>
      </w:r>
      <w:r w:rsidRPr="002C4077">
        <w:t xml:space="preserve"> </w:t>
      </w:r>
      <w:r>
        <w:t>comme</w:t>
      </w:r>
      <w:r w:rsidRPr="002C4077">
        <w:t xml:space="preserve"> </w:t>
      </w:r>
      <w:r>
        <w:t>nous</w:t>
      </w:r>
      <w:r w:rsidRPr="002C4077">
        <w:t xml:space="preserve"> </w:t>
      </w:r>
      <w:r>
        <w:t>y</w:t>
      </w:r>
      <w:r w:rsidRPr="002C4077">
        <w:t xml:space="preserve"> </w:t>
      </w:r>
      <w:r>
        <w:t>engage</w:t>
      </w:r>
      <w:r w:rsidRPr="002C4077">
        <w:t xml:space="preserve"> </w:t>
      </w:r>
      <w:r>
        <w:t>une</w:t>
      </w:r>
      <w:r w:rsidRPr="002C4077">
        <w:t xml:space="preserve"> </w:t>
      </w:r>
      <w:r>
        <w:t>plume</w:t>
      </w:r>
      <w:r w:rsidRPr="002C4077">
        <w:t xml:space="preserve"> </w:t>
      </w:r>
      <w:r>
        <w:t>non</w:t>
      </w:r>
      <w:r w:rsidRPr="002C4077">
        <w:t xml:space="preserve"> </w:t>
      </w:r>
      <w:r>
        <w:t>moins</w:t>
      </w:r>
      <w:r w:rsidRPr="002C4077">
        <w:t xml:space="preserve"> </w:t>
      </w:r>
      <w:r>
        <w:t>illustre</w:t>
      </w:r>
      <w:r w:rsidRPr="002C4077">
        <w:t xml:space="preserve"> </w:t>
      </w:r>
      <w:r>
        <w:t>qu’éloquente,</w:t>
      </w:r>
      <w:r w:rsidRPr="002C4077">
        <w:t xml:space="preserve"> </w:t>
      </w:r>
      <w:r>
        <w:t>tirer</w:t>
      </w:r>
      <w:r w:rsidRPr="002C4077">
        <w:t xml:space="preserve"> </w:t>
      </w:r>
      <w:r>
        <w:t>de</w:t>
      </w:r>
      <w:r w:rsidRPr="002C4077">
        <w:t xml:space="preserve"> </w:t>
      </w:r>
      <w:r>
        <w:t>cet</w:t>
      </w:r>
      <w:r w:rsidRPr="002C4077">
        <w:t xml:space="preserve"> </w:t>
      </w:r>
      <w:r>
        <w:t>excès</w:t>
      </w:r>
      <w:r w:rsidRPr="002C4077">
        <w:t xml:space="preserve"> </w:t>
      </w:r>
      <w:r>
        <w:t>même</w:t>
      </w:r>
      <w:r w:rsidRPr="002C4077">
        <w:t xml:space="preserve"> </w:t>
      </w:r>
      <w:r>
        <w:t>une</w:t>
      </w:r>
      <w:r w:rsidRPr="002C4077">
        <w:t xml:space="preserve"> </w:t>
      </w:r>
      <w:r>
        <w:t>consolation</w:t>
      </w:r>
      <w:r w:rsidRPr="002C4077">
        <w:t xml:space="preserve"> </w:t>
      </w:r>
      <w:r>
        <w:t>et</w:t>
      </w:r>
      <w:r w:rsidRPr="002C4077">
        <w:t xml:space="preserve"> </w:t>
      </w:r>
      <w:r>
        <w:t>une</w:t>
      </w:r>
      <w:r w:rsidRPr="002C4077">
        <w:t xml:space="preserve"> </w:t>
      </w:r>
      <w:r>
        <w:t>espérance.</w:t>
      </w:r>
      <w:r w:rsidRPr="002C4077">
        <w:t xml:space="preserve"> </w:t>
      </w:r>
    </w:p>
    <w:p w:rsidR="000A7AAB" w:rsidRDefault="00B546AF" w:rsidP="000A7AAB">
      <w:r>
        <w:t>« </w:t>
      </w:r>
      <w:r w:rsidR="000A7AAB">
        <w:t>Je</w:t>
      </w:r>
      <w:bookmarkStart w:id="391" w:name="z_Critique_o1"/>
      <w:bookmarkEnd w:id="391"/>
      <w:r w:rsidR="000A7AAB" w:rsidRPr="002C4077">
        <w:t xml:space="preserve"> </w:t>
      </w:r>
      <w:r w:rsidR="000A7AAB">
        <w:t>me</w:t>
      </w:r>
      <w:r w:rsidR="000A7AAB" w:rsidRPr="002C4077">
        <w:t xml:space="preserve"> </w:t>
      </w:r>
      <w:r w:rsidR="000A7AAB">
        <w:t>demande,</w:t>
      </w:r>
      <w:r w:rsidR="000A7AAB" w:rsidRPr="002C4077">
        <w:t xml:space="preserve"> </w:t>
      </w:r>
      <w:r w:rsidR="000A7AAB">
        <w:t>écrit</w:t>
      </w:r>
      <w:r w:rsidR="000A7AAB" w:rsidRPr="002C4077">
        <w:t xml:space="preserve"> </w:t>
      </w:r>
      <w:r w:rsidR="000A7AAB">
        <w:t>M</w:t>
      </w:r>
      <w:r w:rsidR="000A7AAB">
        <w:rPr>
          <w:vertAlign w:val="superscript"/>
        </w:rPr>
        <w:t>gr</w:t>
      </w:r>
      <w:r w:rsidR="000A7AAB" w:rsidRPr="002C4077">
        <w:t xml:space="preserve"> </w:t>
      </w:r>
      <w:r w:rsidR="000A7AAB">
        <w:t>Perraud</w:t>
      </w:r>
      <w:r w:rsidR="00B91AF7">
        <w:rPr>
          <w:rStyle w:val="Appelnotedebasdep"/>
        </w:rPr>
        <w:footnoteReference w:id="448"/>
      </w:r>
      <w:r w:rsidR="000A7AAB">
        <w:t>,</w:t>
      </w:r>
      <w:r w:rsidR="000A7AAB" w:rsidRPr="002C4077">
        <w:t xml:space="preserve"> </w:t>
      </w:r>
      <w:r w:rsidR="000A7AAB">
        <w:t>si</w:t>
      </w:r>
      <w:r w:rsidR="000A7AAB" w:rsidRPr="002C4077">
        <w:t xml:space="preserve"> </w:t>
      </w:r>
      <w:r w:rsidR="000A7AAB">
        <w:t>je</w:t>
      </w:r>
      <w:r w:rsidR="000A7AAB" w:rsidRPr="002C4077">
        <w:t xml:space="preserve"> </w:t>
      </w:r>
      <w:r w:rsidR="000A7AAB">
        <w:t>me</w:t>
      </w:r>
      <w:r w:rsidR="000A7AAB" w:rsidRPr="002C4077">
        <w:t xml:space="preserve"> </w:t>
      </w:r>
      <w:r w:rsidR="000A7AAB">
        <w:t>fais</w:t>
      </w:r>
      <w:r w:rsidR="000A7AAB" w:rsidRPr="002C4077">
        <w:t xml:space="preserve"> </w:t>
      </w:r>
      <w:r w:rsidR="000A7AAB">
        <w:t>illusion</w:t>
      </w:r>
      <w:r w:rsidR="000A7AAB" w:rsidRPr="002C4077">
        <w:t xml:space="preserve"> </w:t>
      </w:r>
      <w:r w:rsidR="000A7AAB">
        <w:t>en</w:t>
      </w:r>
      <w:r w:rsidR="000A7AAB" w:rsidRPr="002C4077">
        <w:t xml:space="preserve"> </w:t>
      </w:r>
      <w:r w:rsidR="000A7AAB">
        <w:t>disant</w:t>
      </w:r>
      <w:r w:rsidR="000A7AAB" w:rsidRPr="002C4077">
        <w:t xml:space="preserve"> </w:t>
      </w:r>
      <w:r w:rsidR="000A7AAB">
        <w:t>que</w:t>
      </w:r>
      <w:r w:rsidR="000A7AAB" w:rsidRPr="002C4077">
        <w:t xml:space="preserve"> </w:t>
      </w:r>
      <w:r w:rsidR="000A7AAB">
        <w:t>cette</w:t>
      </w:r>
      <w:r w:rsidR="000A7AAB" w:rsidRPr="002C4077">
        <w:t xml:space="preserve"> </w:t>
      </w:r>
      <w:r w:rsidR="000A7AAB">
        <w:t>critique</w:t>
      </w:r>
      <w:r w:rsidR="000A7AAB" w:rsidRPr="002C4077">
        <w:t xml:space="preserve"> </w:t>
      </w:r>
      <w:r w:rsidR="000A7AAB">
        <w:t>à</w:t>
      </w:r>
      <w:r w:rsidR="000A7AAB" w:rsidRPr="002C4077">
        <w:t xml:space="preserve"> </w:t>
      </w:r>
      <w:r w:rsidR="000A7AAB">
        <w:t>outrance,</w:t>
      </w:r>
      <w:r w:rsidR="000A7AAB" w:rsidRPr="002C4077">
        <w:t xml:space="preserve"> </w:t>
      </w:r>
      <w:r w:rsidR="000A7AAB">
        <w:t>hardiment</w:t>
      </w:r>
      <w:r w:rsidR="000A7AAB" w:rsidRPr="002C4077">
        <w:t xml:space="preserve"> </w:t>
      </w:r>
      <w:r w:rsidR="000A7AAB">
        <w:t>substituée</w:t>
      </w:r>
      <w:r w:rsidR="000A7AAB" w:rsidRPr="002C4077">
        <w:t xml:space="preserve"> </w:t>
      </w:r>
      <w:r w:rsidR="000A7AAB">
        <w:t>par</w:t>
      </w:r>
      <w:r w:rsidR="000A7AAB" w:rsidRPr="002C4077">
        <w:t xml:space="preserve"> </w:t>
      </w:r>
      <w:r w:rsidR="000A7AAB">
        <w:t>M.</w:t>
      </w:r>
      <w:r w:rsidR="000A7AAB" w:rsidRPr="002C4077">
        <w:t xml:space="preserve"> </w:t>
      </w:r>
      <w:r w:rsidR="000A7AAB">
        <w:t>Havet</w:t>
      </w:r>
      <w:r w:rsidR="000A7AAB" w:rsidRPr="002C4077">
        <w:t xml:space="preserve"> </w:t>
      </w:r>
      <w:r w:rsidR="000A7AAB">
        <w:t>au</w:t>
      </w:r>
      <w:r w:rsidR="000A7AAB" w:rsidRPr="002C4077">
        <w:t xml:space="preserve"> </w:t>
      </w:r>
      <w:r w:rsidR="000A7AAB">
        <w:t>rationalisme</w:t>
      </w:r>
      <w:r w:rsidR="000A7AAB" w:rsidRPr="002C4077">
        <w:t xml:space="preserve"> </w:t>
      </w:r>
      <w:r w:rsidR="000A7AAB">
        <w:t>relativement</w:t>
      </w:r>
      <w:r w:rsidR="000A7AAB" w:rsidRPr="002C4077">
        <w:t xml:space="preserve"> </w:t>
      </w:r>
      <w:r w:rsidR="000A7AAB">
        <w:t>mitigé</w:t>
      </w:r>
      <w:r w:rsidR="000A7AAB" w:rsidRPr="002C4077">
        <w:t xml:space="preserve"> </w:t>
      </w:r>
      <w:r w:rsidR="000A7AAB">
        <w:t>des</w:t>
      </w:r>
      <w:r w:rsidR="000A7AAB" w:rsidRPr="002C4077">
        <w:t xml:space="preserve"> </w:t>
      </w:r>
      <w:r w:rsidR="000A7AAB">
        <w:t>Rousseau,</w:t>
      </w:r>
      <w:r w:rsidR="000A7AAB" w:rsidRPr="002C4077">
        <w:t xml:space="preserve"> </w:t>
      </w:r>
      <w:r w:rsidR="000A7AAB">
        <w:t>des</w:t>
      </w:r>
      <w:r w:rsidR="000A7AAB" w:rsidRPr="002C4077">
        <w:t xml:space="preserve"> </w:t>
      </w:r>
      <w:r w:rsidR="000A7AAB">
        <w:t>Ewald</w:t>
      </w:r>
      <w:r w:rsidR="000A7AAB" w:rsidRPr="002C4077">
        <w:t xml:space="preserve"> </w:t>
      </w:r>
      <w:r w:rsidR="000A7AAB">
        <w:t>et</w:t>
      </w:r>
      <w:r w:rsidR="000A7AAB" w:rsidRPr="002C4077">
        <w:t xml:space="preserve"> </w:t>
      </w:r>
      <w:r w:rsidR="000A7AAB">
        <w:t>des</w:t>
      </w:r>
      <w:r w:rsidR="000A7AAB" w:rsidRPr="002C4077">
        <w:t xml:space="preserve"> </w:t>
      </w:r>
      <w:r w:rsidR="000A7AAB">
        <w:t>Renan,</w:t>
      </w:r>
      <w:r w:rsidR="000A7AAB" w:rsidRPr="002C4077">
        <w:t xml:space="preserve"> </w:t>
      </w:r>
      <w:r w:rsidR="000A7AAB">
        <w:t>nous</w:t>
      </w:r>
      <w:r w:rsidR="000A7AAB" w:rsidRPr="002C4077">
        <w:t xml:space="preserve"> </w:t>
      </w:r>
      <w:r w:rsidR="000A7AAB">
        <w:t>met</w:t>
      </w:r>
      <w:r w:rsidR="000A7AAB" w:rsidRPr="002C4077">
        <w:t xml:space="preserve"> </w:t>
      </w:r>
      <w:r w:rsidR="000A7AAB">
        <w:t>tout</w:t>
      </w:r>
      <w:r w:rsidR="000A7AAB" w:rsidRPr="002C4077">
        <w:t xml:space="preserve"> </w:t>
      </w:r>
      <w:r w:rsidR="000A7AAB">
        <w:t>à</w:t>
      </w:r>
      <w:r w:rsidR="000A7AAB" w:rsidRPr="002C4077">
        <w:t xml:space="preserve"> </w:t>
      </w:r>
      <w:r w:rsidR="000A7AAB">
        <w:t>coup</w:t>
      </w:r>
      <w:r w:rsidR="000A7AAB" w:rsidRPr="002C4077">
        <w:t xml:space="preserve"> </w:t>
      </w:r>
      <w:r w:rsidR="000A7AAB">
        <w:t>en</w:t>
      </w:r>
      <w:r w:rsidR="000A7AAB" w:rsidRPr="002C4077">
        <w:t xml:space="preserve"> </w:t>
      </w:r>
      <w:r w:rsidR="000A7AAB">
        <w:t>face</w:t>
      </w:r>
      <w:r w:rsidR="000A7AAB" w:rsidRPr="002C4077">
        <w:t xml:space="preserve"> </w:t>
      </w:r>
      <w:r w:rsidR="000A7AAB">
        <w:t>d’un</w:t>
      </w:r>
      <w:r w:rsidR="000A7AAB" w:rsidRPr="002C4077">
        <w:t xml:space="preserve"> </w:t>
      </w:r>
      <w:r w:rsidR="000A7AAB">
        <w:t>miracle</w:t>
      </w:r>
      <w:r w:rsidR="000A7AAB" w:rsidRPr="002C4077">
        <w:t xml:space="preserve"> </w:t>
      </w:r>
      <w:r w:rsidR="000A7AAB">
        <w:t>beaucoup</w:t>
      </w:r>
      <w:r w:rsidR="000A7AAB" w:rsidRPr="002C4077">
        <w:t xml:space="preserve"> </w:t>
      </w:r>
      <w:r w:rsidR="000A7AAB">
        <w:t>plus</w:t>
      </w:r>
      <w:r w:rsidR="000A7AAB" w:rsidRPr="002C4077">
        <w:t xml:space="preserve"> </w:t>
      </w:r>
      <w:r w:rsidR="000A7AAB">
        <w:t>étonnant,</w:t>
      </w:r>
      <w:r w:rsidR="000A7AAB" w:rsidRPr="002C4077">
        <w:t xml:space="preserve"> </w:t>
      </w:r>
      <w:r w:rsidR="000A7AAB">
        <w:t>et</w:t>
      </w:r>
      <w:r w:rsidR="000A7AAB" w:rsidRPr="002C4077">
        <w:t xml:space="preserve"> </w:t>
      </w:r>
      <w:r w:rsidR="000A7AAB">
        <w:t>par</w:t>
      </w:r>
      <w:r w:rsidR="000A7AAB" w:rsidRPr="002C4077">
        <w:t xml:space="preserve"> </w:t>
      </w:r>
      <w:r w:rsidR="000A7AAB">
        <w:t>suite</w:t>
      </w:r>
      <w:r w:rsidR="000A7AAB" w:rsidRPr="002C4077">
        <w:t xml:space="preserve"> </w:t>
      </w:r>
      <w:r w:rsidR="000A7AAB">
        <w:t>beaucoup</w:t>
      </w:r>
      <w:r w:rsidR="000A7AAB" w:rsidRPr="002C4077">
        <w:t xml:space="preserve"> </w:t>
      </w:r>
      <w:r w:rsidR="000A7AAB">
        <w:t>plus</w:t>
      </w:r>
      <w:r w:rsidR="000A7AAB" w:rsidRPr="002C4077">
        <w:t xml:space="preserve"> </w:t>
      </w:r>
      <w:r w:rsidR="000A7AAB">
        <w:t>probant,</w:t>
      </w:r>
      <w:r w:rsidR="000A7AAB" w:rsidRPr="002C4077">
        <w:t xml:space="preserve"> </w:t>
      </w:r>
      <w:r w:rsidR="000A7AAB">
        <w:t>que</w:t>
      </w:r>
      <w:r w:rsidR="000A7AAB" w:rsidRPr="002C4077">
        <w:t xml:space="preserve"> </w:t>
      </w:r>
      <w:r w:rsidR="000A7AAB">
        <w:t>les</w:t>
      </w:r>
      <w:r w:rsidR="000A7AAB" w:rsidRPr="002C4077">
        <w:t xml:space="preserve"> </w:t>
      </w:r>
      <w:r w:rsidR="000A7AAB">
        <w:t>faits</w:t>
      </w:r>
      <w:r w:rsidR="000A7AAB" w:rsidRPr="002C4077">
        <w:t xml:space="preserve"> </w:t>
      </w:r>
      <w:r w:rsidR="000A7AAB">
        <w:t>surnaturels</w:t>
      </w:r>
      <w:r w:rsidR="000A7AAB" w:rsidRPr="002C4077">
        <w:t xml:space="preserve"> </w:t>
      </w:r>
      <w:r w:rsidR="000A7AAB">
        <w:t>auxquels</w:t>
      </w:r>
      <w:r w:rsidR="000A7AAB" w:rsidRPr="002C4077">
        <w:t xml:space="preserve"> </w:t>
      </w:r>
      <w:r w:rsidR="000A7AAB">
        <w:t>s’appuie</w:t>
      </w:r>
      <w:r w:rsidR="000A7AAB" w:rsidRPr="002C4077">
        <w:t xml:space="preserve"> </w:t>
      </w:r>
      <w:r w:rsidR="000A7AAB">
        <w:t>la</w:t>
      </w:r>
      <w:r w:rsidR="000A7AAB" w:rsidRPr="002C4077">
        <w:t xml:space="preserve"> </w:t>
      </w:r>
      <w:r w:rsidR="000A7AAB">
        <w:t>révélation</w:t>
      </w:r>
      <w:r w:rsidR="000A7AAB" w:rsidRPr="002C4077">
        <w:t xml:space="preserve"> </w:t>
      </w:r>
      <w:r w:rsidR="000A7AAB">
        <w:t>évangélique</w:t>
      </w:r>
      <w:r w:rsidR="000A7AAB" w:rsidRPr="002C4077">
        <w:t xml:space="preserve"> </w:t>
      </w:r>
      <w:r w:rsidR="000A7AAB">
        <w:t>et</w:t>
      </w:r>
      <w:r w:rsidR="000A7AAB" w:rsidRPr="002C4077">
        <w:t xml:space="preserve"> </w:t>
      </w:r>
      <w:r w:rsidR="000A7AAB">
        <w:t>la</w:t>
      </w:r>
      <w:r w:rsidR="000A7AAB" w:rsidRPr="002C4077">
        <w:t xml:space="preserve"> </w:t>
      </w:r>
      <w:r w:rsidR="000A7AAB">
        <w:t>foi</w:t>
      </w:r>
      <w:r w:rsidR="000A7AAB" w:rsidRPr="002C4077">
        <w:t xml:space="preserve"> </w:t>
      </w:r>
      <w:r w:rsidR="000A7AAB">
        <w:t>de</w:t>
      </w:r>
      <w:r w:rsidR="000A7AAB" w:rsidRPr="002C4077">
        <w:t xml:space="preserve"> </w:t>
      </w:r>
      <w:r w:rsidR="000A7AAB">
        <w:t>l’Église</w:t>
      </w:r>
      <w:r w:rsidR="000A7AAB" w:rsidRPr="002C4077">
        <w:t xml:space="preserve"> </w:t>
      </w:r>
      <w:r w:rsidR="000A7AAB">
        <w:t>chrétienne.</w:t>
      </w:r>
      <w:r w:rsidR="000A7AAB" w:rsidRPr="002C4077">
        <w:t xml:space="preserve"> </w:t>
      </w:r>
    </w:p>
    <w:p w:rsidR="000A7AAB" w:rsidRDefault="00B546AF" w:rsidP="000A7AAB">
      <w:r>
        <w:t> »</w:t>
      </w:r>
      <w:r w:rsidR="000A7AAB" w:rsidRPr="002C4077">
        <w:t xml:space="preserve"> </w:t>
      </w:r>
      <w:r w:rsidR="000A7AAB">
        <w:t>Comment</w:t>
      </w:r>
      <w:r>
        <w:t> !</w:t>
      </w:r>
      <w:r w:rsidR="000A7AAB" w:rsidRPr="002C4077">
        <w:t xml:space="preserve"> </w:t>
      </w:r>
      <w:r w:rsidR="000A7AAB">
        <w:t>voilà</w:t>
      </w:r>
      <w:r w:rsidR="000A7AAB" w:rsidRPr="002C4077">
        <w:t xml:space="preserve"> </w:t>
      </w:r>
      <w:r w:rsidR="000A7AAB">
        <w:t>une</w:t>
      </w:r>
      <w:r w:rsidR="000A7AAB" w:rsidRPr="002C4077">
        <w:t xml:space="preserve"> </w:t>
      </w:r>
      <w:r w:rsidR="000A7AAB">
        <w:t>religion</w:t>
      </w:r>
      <w:r w:rsidR="000A7AAB" w:rsidRPr="002C4077">
        <w:t xml:space="preserve"> </w:t>
      </w:r>
      <w:r w:rsidR="000A7AAB">
        <w:t>qui,</w:t>
      </w:r>
      <w:r w:rsidR="000A7AAB" w:rsidRPr="002C4077">
        <w:t xml:space="preserve"> </w:t>
      </w:r>
      <w:r w:rsidR="000A7AAB">
        <w:t>dans</w:t>
      </w:r>
      <w:r w:rsidR="000A7AAB" w:rsidRPr="002C4077">
        <w:t xml:space="preserve"> </w:t>
      </w:r>
      <w:r w:rsidR="000A7AAB">
        <w:t>l’hypothèse,</w:t>
      </w:r>
      <w:r w:rsidR="000A7AAB" w:rsidRPr="002C4077">
        <w:t xml:space="preserve"> </w:t>
      </w:r>
      <w:r w:rsidR="000A7AAB">
        <w:t>ne</w:t>
      </w:r>
      <w:r w:rsidR="000A7AAB" w:rsidRPr="002C4077">
        <w:t xml:space="preserve"> </w:t>
      </w:r>
      <w:r w:rsidR="000A7AAB">
        <w:t>repose</w:t>
      </w:r>
      <w:r w:rsidR="000A7AAB" w:rsidRPr="002C4077">
        <w:t xml:space="preserve"> </w:t>
      </w:r>
      <w:r w:rsidR="000A7AAB">
        <w:t>sur</w:t>
      </w:r>
      <w:r w:rsidR="000A7AAB" w:rsidRPr="002C4077">
        <w:t xml:space="preserve"> </w:t>
      </w:r>
      <w:r w:rsidR="000A7AAB">
        <w:t>rien.</w:t>
      </w:r>
      <w:r w:rsidR="000A7AAB" w:rsidRPr="002C4077">
        <w:t xml:space="preserve"> </w:t>
      </w:r>
      <w:r w:rsidR="000A7AAB">
        <w:t>Ses</w:t>
      </w:r>
      <w:r w:rsidR="000A7AAB" w:rsidRPr="002C4077">
        <w:t xml:space="preserve"> </w:t>
      </w:r>
      <w:r w:rsidR="000A7AAB">
        <w:t>prétendus</w:t>
      </w:r>
      <w:r w:rsidR="000A7AAB" w:rsidRPr="002C4077">
        <w:t xml:space="preserve"> </w:t>
      </w:r>
      <w:r w:rsidR="000A7AAB">
        <w:t>livres</w:t>
      </w:r>
      <w:r w:rsidR="000A7AAB" w:rsidRPr="002C4077">
        <w:t xml:space="preserve"> </w:t>
      </w:r>
      <w:r w:rsidR="000A7AAB">
        <w:t>sacrés</w:t>
      </w:r>
      <w:r w:rsidR="000A7AAB" w:rsidRPr="002C4077">
        <w:t xml:space="preserve"> </w:t>
      </w:r>
      <w:r w:rsidR="000A7AAB">
        <w:t>ne</w:t>
      </w:r>
      <w:r w:rsidR="000A7AAB" w:rsidRPr="002C4077">
        <w:t xml:space="preserve"> </w:t>
      </w:r>
      <w:r w:rsidR="000A7AAB">
        <w:t>supportent</w:t>
      </w:r>
      <w:r w:rsidR="000A7AAB" w:rsidRPr="002C4077">
        <w:t xml:space="preserve"> </w:t>
      </w:r>
      <w:r w:rsidR="000A7AAB">
        <w:t>pas</w:t>
      </w:r>
      <w:r w:rsidR="000A7AAB" w:rsidRPr="002C4077">
        <w:t xml:space="preserve"> </w:t>
      </w:r>
      <w:r w:rsidR="000A7AAB">
        <w:t>une</w:t>
      </w:r>
      <w:r w:rsidR="000A7AAB" w:rsidRPr="002C4077">
        <w:t xml:space="preserve"> </w:t>
      </w:r>
      <w:r w:rsidR="000A7AAB">
        <w:t>heure</w:t>
      </w:r>
      <w:r w:rsidR="000A7AAB" w:rsidRPr="002C4077">
        <w:t xml:space="preserve"> </w:t>
      </w:r>
      <w:r w:rsidR="000A7AAB">
        <w:t>d’attention</w:t>
      </w:r>
      <w:r w:rsidR="000A7AAB" w:rsidRPr="002C4077">
        <w:t xml:space="preserve"> </w:t>
      </w:r>
      <w:r w:rsidR="000A7AAB">
        <w:t>sérieuse</w:t>
      </w:r>
      <w:r>
        <w:t> ;</w:t>
      </w:r>
      <w:r w:rsidR="000A7AAB" w:rsidRPr="002C4077">
        <w:t xml:space="preserve"> </w:t>
      </w:r>
      <w:r w:rsidR="000A7AAB">
        <w:t>son</w:t>
      </w:r>
      <w:r w:rsidR="000A7AAB" w:rsidRPr="002C4077">
        <w:t xml:space="preserve"> </w:t>
      </w:r>
      <w:r w:rsidR="000A7AAB">
        <w:t>fondateur</w:t>
      </w:r>
      <w:r w:rsidR="000A7AAB" w:rsidRPr="002C4077">
        <w:t xml:space="preserve"> </w:t>
      </w:r>
      <w:r w:rsidR="000A7AAB">
        <w:t>n’a</w:t>
      </w:r>
      <w:r w:rsidR="000A7AAB" w:rsidRPr="002C4077">
        <w:t xml:space="preserve"> </w:t>
      </w:r>
      <w:r w:rsidR="000A7AAB">
        <w:t>ni</w:t>
      </w:r>
      <w:r w:rsidR="000A7AAB" w:rsidRPr="002C4077">
        <w:t xml:space="preserve"> </w:t>
      </w:r>
      <w:r w:rsidR="000A7AAB">
        <w:t>suce</w:t>
      </w:r>
      <w:r w:rsidR="000A7AAB" w:rsidRPr="002C4077">
        <w:t xml:space="preserve"> </w:t>
      </w:r>
      <w:r w:rsidR="000A7AAB">
        <w:t>qu’il</w:t>
      </w:r>
      <w:r w:rsidR="000A7AAB" w:rsidRPr="002C4077">
        <w:t xml:space="preserve"> </w:t>
      </w:r>
      <w:r w:rsidR="000A7AAB">
        <w:t>faisait,</w:t>
      </w:r>
      <w:r w:rsidR="000A7AAB" w:rsidRPr="002C4077">
        <w:t xml:space="preserve"> </w:t>
      </w:r>
      <w:r w:rsidR="000A7AAB">
        <w:t>ni</w:t>
      </w:r>
      <w:r w:rsidR="000A7AAB" w:rsidRPr="002C4077">
        <w:t xml:space="preserve"> </w:t>
      </w:r>
      <w:r w:rsidR="000A7AAB">
        <w:t>pu</w:t>
      </w:r>
      <w:r w:rsidR="000A7AAB" w:rsidRPr="002C4077">
        <w:t xml:space="preserve"> </w:t>
      </w:r>
      <w:r w:rsidR="000A7AAB">
        <w:t>faire</w:t>
      </w:r>
      <w:r w:rsidR="000A7AAB" w:rsidRPr="002C4077">
        <w:t xml:space="preserve"> </w:t>
      </w:r>
      <w:r w:rsidR="000A7AAB">
        <w:t>ce</w:t>
      </w:r>
      <w:r w:rsidR="000A7AAB" w:rsidRPr="002C4077">
        <w:t xml:space="preserve"> </w:t>
      </w:r>
      <w:r w:rsidR="000A7AAB">
        <w:t>qu’on</w:t>
      </w:r>
      <w:r w:rsidR="000A7AAB" w:rsidRPr="002C4077">
        <w:t xml:space="preserve"> </w:t>
      </w:r>
      <w:r w:rsidR="000A7AAB">
        <w:t>lui</w:t>
      </w:r>
      <w:r w:rsidR="000A7AAB" w:rsidRPr="002C4077">
        <w:t xml:space="preserve"> </w:t>
      </w:r>
      <w:r w:rsidR="000A7AAB">
        <w:t>prête</w:t>
      </w:r>
      <w:r>
        <w:t> ;</w:t>
      </w:r>
      <w:r w:rsidR="000A7AAB" w:rsidRPr="002C4077">
        <w:t xml:space="preserve"> </w:t>
      </w:r>
      <w:r w:rsidR="000A7AAB">
        <w:t>loin</w:t>
      </w:r>
      <w:r w:rsidR="000A7AAB" w:rsidRPr="002C4077">
        <w:t xml:space="preserve"> </w:t>
      </w:r>
      <w:r w:rsidR="000A7AAB">
        <w:t>d’être</w:t>
      </w:r>
      <w:r w:rsidR="000A7AAB" w:rsidRPr="002C4077">
        <w:t xml:space="preserve"> </w:t>
      </w:r>
      <w:r w:rsidR="000A7AAB">
        <w:t>un</w:t>
      </w:r>
      <w:r w:rsidR="000A7AAB" w:rsidRPr="002C4077">
        <w:t xml:space="preserve"> </w:t>
      </w:r>
      <w:r w:rsidR="000A7AAB">
        <w:t>Dieu,</w:t>
      </w:r>
      <w:r w:rsidR="000A7AAB" w:rsidRPr="002C4077">
        <w:t xml:space="preserve"> </w:t>
      </w:r>
      <w:r w:rsidR="000A7AAB">
        <w:t>il</w:t>
      </w:r>
      <w:r w:rsidR="000A7AAB" w:rsidRPr="002C4077">
        <w:t xml:space="preserve"> </w:t>
      </w:r>
      <w:r w:rsidR="000A7AAB">
        <w:t>n’a</w:t>
      </w:r>
      <w:r w:rsidR="000A7AAB" w:rsidRPr="002C4077">
        <w:t xml:space="preserve"> </w:t>
      </w:r>
      <w:r w:rsidR="000A7AAB">
        <w:t>pas</w:t>
      </w:r>
      <w:r w:rsidR="000A7AAB" w:rsidRPr="002C4077">
        <w:t xml:space="preserve"> </w:t>
      </w:r>
      <w:r w:rsidR="000A7AAB">
        <w:t>même</w:t>
      </w:r>
      <w:r w:rsidR="000A7AAB" w:rsidRPr="002C4077">
        <w:t xml:space="preserve"> </w:t>
      </w:r>
      <w:r w:rsidR="000A7AAB">
        <w:t>été</w:t>
      </w:r>
      <w:r w:rsidR="000A7AAB" w:rsidRPr="002C4077">
        <w:t xml:space="preserve"> </w:t>
      </w:r>
      <w:r w:rsidR="000A7AAB">
        <w:t>un</w:t>
      </w:r>
      <w:r w:rsidR="000A7AAB" w:rsidRPr="002C4077">
        <w:t xml:space="preserve"> </w:t>
      </w:r>
      <w:r w:rsidR="000A7AAB">
        <w:t>grand</w:t>
      </w:r>
      <w:r w:rsidR="000A7AAB" w:rsidRPr="002C4077">
        <w:t xml:space="preserve"> </w:t>
      </w:r>
      <w:r w:rsidR="000A7AAB">
        <w:t>homme</w:t>
      </w:r>
      <w:r>
        <w:t> ;</w:t>
      </w:r>
      <w:r w:rsidR="000A7AAB" w:rsidRPr="002C4077">
        <w:t xml:space="preserve"> </w:t>
      </w:r>
      <w:r w:rsidR="000A7AAB">
        <w:t>sa</w:t>
      </w:r>
      <w:r w:rsidR="000A7AAB" w:rsidRPr="002C4077">
        <w:t xml:space="preserve"> </w:t>
      </w:r>
      <w:r w:rsidR="000A7AAB">
        <w:t>vie</w:t>
      </w:r>
      <w:r w:rsidR="000A7AAB" w:rsidRPr="002C4077">
        <w:t xml:space="preserve"> </w:t>
      </w:r>
      <w:r w:rsidR="000A7AAB">
        <w:t>et</w:t>
      </w:r>
      <w:r w:rsidR="000A7AAB" w:rsidRPr="002C4077">
        <w:t xml:space="preserve"> </w:t>
      </w:r>
      <w:r w:rsidR="000A7AAB">
        <w:t>sa</w:t>
      </w:r>
      <w:r w:rsidR="000A7AAB" w:rsidRPr="002C4077">
        <w:t xml:space="preserve"> </w:t>
      </w:r>
      <w:r w:rsidR="000A7AAB">
        <w:t>doctrine</w:t>
      </w:r>
      <w:r w:rsidR="000A7AAB" w:rsidRPr="002C4077">
        <w:t xml:space="preserve"> </w:t>
      </w:r>
      <w:r w:rsidR="000A7AAB">
        <w:t>ne</w:t>
      </w:r>
      <w:r w:rsidR="000A7AAB" w:rsidRPr="002C4077">
        <w:t xml:space="preserve"> </w:t>
      </w:r>
      <w:r w:rsidR="000A7AAB">
        <w:t>contiennent</w:t>
      </w:r>
      <w:r w:rsidR="000A7AAB" w:rsidRPr="002C4077">
        <w:t xml:space="preserve"> </w:t>
      </w:r>
      <w:r w:rsidR="000A7AAB">
        <w:t>rien</w:t>
      </w:r>
      <w:r w:rsidR="000A7AAB" w:rsidRPr="002C4077">
        <w:t xml:space="preserve"> </w:t>
      </w:r>
      <w:r w:rsidR="000A7AAB">
        <w:t>d’extraordinaire,</w:t>
      </w:r>
      <w:r w:rsidR="000A7AAB" w:rsidRPr="002C4077">
        <w:t xml:space="preserve"> </w:t>
      </w:r>
      <w:r w:rsidR="000A7AAB">
        <w:t>et</w:t>
      </w:r>
      <w:r w:rsidR="000A7AAB" w:rsidRPr="002C4077">
        <w:t xml:space="preserve"> </w:t>
      </w:r>
      <w:r w:rsidR="000A7AAB">
        <w:t>sa</w:t>
      </w:r>
      <w:r w:rsidR="000A7AAB" w:rsidRPr="002C4077">
        <w:t xml:space="preserve"> </w:t>
      </w:r>
      <w:r w:rsidR="000A7AAB">
        <w:t>mort</w:t>
      </w:r>
      <w:r w:rsidR="000A7AAB" w:rsidRPr="002C4077">
        <w:t xml:space="preserve"> </w:t>
      </w:r>
      <w:r w:rsidR="000A7AAB">
        <w:t>n’a</w:t>
      </w:r>
      <w:r w:rsidR="000A7AAB" w:rsidRPr="002C4077">
        <w:t xml:space="preserve"> </w:t>
      </w:r>
      <w:r w:rsidR="000A7AAB">
        <w:t>été</w:t>
      </w:r>
      <w:r w:rsidR="000A7AAB" w:rsidRPr="002C4077">
        <w:t xml:space="preserve"> </w:t>
      </w:r>
      <w:r w:rsidR="000A7AAB">
        <w:t>que</w:t>
      </w:r>
      <w:r w:rsidR="000A7AAB" w:rsidRPr="002C4077">
        <w:t xml:space="preserve"> </w:t>
      </w:r>
      <w:r w:rsidR="000A7AAB">
        <w:t>l’application</w:t>
      </w:r>
      <w:r w:rsidR="000A7AAB" w:rsidRPr="002C4077">
        <w:t xml:space="preserve"> </w:t>
      </w:r>
      <w:r w:rsidR="000A7AAB">
        <w:t>du</w:t>
      </w:r>
      <w:r w:rsidR="000A7AAB" w:rsidRPr="002C4077">
        <w:t xml:space="preserve"> </w:t>
      </w:r>
      <w:r w:rsidR="000A7AAB">
        <w:t>droit</w:t>
      </w:r>
      <w:r w:rsidR="000A7AAB" w:rsidRPr="002C4077">
        <w:t xml:space="preserve"> </w:t>
      </w:r>
      <w:r w:rsidR="000A7AAB">
        <w:t>de</w:t>
      </w:r>
      <w:r w:rsidR="000A7AAB" w:rsidRPr="002C4077">
        <w:t xml:space="preserve"> </w:t>
      </w:r>
      <w:r w:rsidR="000A7AAB">
        <w:t>légitime</w:t>
      </w:r>
      <w:r w:rsidR="000A7AAB" w:rsidRPr="002C4077">
        <w:t xml:space="preserve"> </w:t>
      </w:r>
      <w:r w:rsidR="000A7AAB">
        <w:t>défense</w:t>
      </w:r>
      <w:r w:rsidR="000A7AAB" w:rsidRPr="002C4077">
        <w:t xml:space="preserve"> </w:t>
      </w:r>
      <w:r w:rsidR="000A7AAB">
        <w:t>de</w:t>
      </w:r>
      <w:r w:rsidR="000A7AAB" w:rsidRPr="002C4077">
        <w:t xml:space="preserve"> </w:t>
      </w:r>
      <w:r w:rsidR="000A7AAB">
        <w:t>la</w:t>
      </w:r>
      <w:r w:rsidR="000A7AAB" w:rsidRPr="002C4077">
        <w:t xml:space="preserve"> </w:t>
      </w:r>
      <w:r w:rsidR="000A7AAB">
        <w:t>part</w:t>
      </w:r>
      <w:r w:rsidR="000A7AAB" w:rsidRPr="002C4077">
        <w:t xml:space="preserve"> </w:t>
      </w:r>
      <w:r w:rsidR="000A7AAB">
        <w:t>d’un</w:t>
      </w:r>
      <w:r w:rsidR="000A7AAB" w:rsidRPr="002C4077">
        <w:t xml:space="preserve"> </w:t>
      </w:r>
      <w:r w:rsidR="000A7AAB">
        <w:t>gouvernement</w:t>
      </w:r>
      <w:r w:rsidR="000A7AAB" w:rsidRPr="002C4077">
        <w:t xml:space="preserve"> </w:t>
      </w:r>
      <w:r w:rsidR="000A7AAB">
        <w:t>troublé</w:t>
      </w:r>
      <w:r w:rsidR="000A7AAB" w:rsidRPr="002C4077">
        <w:t xml:space="preserve"> </w:t>
      </w:r>
      <w:r w:rsidR="000A7AAB">
        <w:t>par</w:t>
      </w:r>
      <w:r w:rsidR="000A7AAB" w:rsidRPr="002C4077">
        <w:t xml:space="preserve"> </w:t>
      </w:r>
      <w:r w:rsidR="000A7AAB">
        <w:t>les</w:t>
      </w:r>
      <w:r w:rsidR="000A7AAB" w:rsidRPr="002C4077">
        <w:t xml:space="preserve"> </w:t>
      </w:r>
      <w:r w:rsidR="000A7AAB">
        <w:t>prédications</w:t>
      </w:r>
      <w:r w:rsidR="000A7AAB" w:rsidRPr="002C4077">
        <w:t xml:space="preserve"> </w:t>
      </w:r>
      <w:r w:rsidR="000A7AAB">
        <w:t>amères</w:t>
      </w:r>
      <w:r w:rsidR="000A7AAB" w:rsidRPr="002C4077">
        <w:t xml:space="preserve"> </w:t>
      </w:r>
      <w:r w:rsidR="000A7AAB">
        <w:t>d’un</w:t>
      </w:r>
      <w:r w:rsidR="000A7AAB" w:rsidRPr="002C4077">
        <w:t xml:space="preserve"> </w:t>
      </w:r>
      <w:r w:rsidR="000A7AAB" w:rsidRPr="000A34B5">
        <w:rPr>
          <w:rStyle w:val="italicus"/>
        </w:rPr>
        <w:t>halluciné,</w:t>
      </w:r>
      <w:r w:rsidR="000A7AAB" w:rsidRPr="002C4077">
        <w:t xml:space="preserve"> </w:t>
      </w:r>
      <w:r w:rsidR="000A7AAB">
        <w:t>d’un</w:t>
      </w:r>
      <w:r w:rsidR="000A7AAB" w:rsidRPr="002C4077">
        <w:t xml:space="preserve"> </w:t>
      </w:r>
      <w:r w:rsidR="000A7AAB" w:rsidRPr="000A34B5">
        <w:rPr>
          <w:rStyle w:val="italicus"/>
        </w:rPr>
        <w:t>charlatan</w:t>
      </w:r>
      <w:r w:rsidR="000A7AAB" w:rsidRPr="002C4077">
        <w:t xml:space="preserve"> </w:t>
      </w:r>
      <w:r w:rsidR="000A7AAB">
        <w:t>fâcheux</w:t>
      </w:r>
      <w:r w:rsidR="000A7AAB" w:rsidRPr="002C4077">
        <w:t xml:space="preserve"> </w:t>
      </w:r>
      <w:r w:rsidR="000A7AAB">
        <w:t>et</w:t>
      </w:r>
      <w:r w:rsidR="00514F08" w:rsidRPr="002C4077">
        <w:t xml:space="preserve"> </w:t>
      </w:r>
      <w:r w:rsidR="00514F08">
        <w:rPr>
          <w:rStyle w:val="italicus"/>
        </w:rPr>
        <w:t>fâché</w:t>
      </w:r>
      <w:r w:rsidR="00514F08">
        <w:rPr>
          <w:rStyle w:val="Appelnotedebasdep"/>
          <w:i/>
        </w:rPr>
        <w:footnoteReference w:id="449"/>
      </w:r>
      <w:r w:rsidR="000A7AAB" w:rsidRPr="000A34B5">
        <w:rPr>
          <w:rStyle w:val="italicus"/>
        </w:rPr>
        <w:t>.</w:t>
      </w:r>
      <w:r w:rsidR="000A7AAB" w:rsidRPr="002C4077">
        <w:t xml:space="preserve"> </w:t>
      </w:r>
      <w:r w:rsidR="000A7AAB">
        <w:t>Et</w:t>
      </w:r>
      <w:r w:rsidR="000A7AAB" w:rsidRPr="002C4077">
        <w:t xml:space="preserve"> </w:t>
      </w:r>
      <w:r w:rsidR="000A7AAB">
        <w:t>voilà</w:t>
      </w:r>
      <w:r w:rsidR="000A7AAB" w:rsidRPr="002C4077">
        <w:t xml:space="preserve"> </w:t>
      </w:r>
      <w:r w:rsidR="000A7AAB">
        <w:t>dix-huit</w:t>
      </w:r>
      <w:r w:rsidR="000A7AAB" w:rsidRPr="002C4077">
        <w:t xml:space="preserve"> </w:t>
      </w:r>
      <w:r w:rsidR="000A7AAB">
        <w:t>siècles</w:t>
      </w:r>
      <w:r w:rsidR="000A7AAB" w:rsidRPr="002C4077">
        <w:t xml:space="preserve"> </w:t>
      </w:r>
      <w:r w:rsidR="000A7AAB">
        <w:t>que</w:t>
      </w:r>
      <w:r w:rsidR="000A7AAB" w:rsidRPr="002C4077">
        <w:t xml:space="preserve"> </w:t>
      </w:r>
      <w:r w:rsidR="000A7AAB">
        <w:t>la</w:t>
      </w:r>
      <w:r w:rsidR="000A7AAB" w:rsidRPr="002C4077">
        <w:t xml:space="preserve"> </w:t>
      </w:r>
      <w:r w:rsidR="000A7AAB">
        <w:t>partie</w:t>
      </w:r>
      <w:r w:rsidR="000A7AAB" w:rsidRPr="002C4077">
        <w:t xml:space="preserve"> </w:t>
      </w:r>
      <w:r w:rsidR="000A7AAB">
        <w:t>du</w:t>
      </w:r>
      <w:r w:rsidR="000A7AAB" w:rsidRPr="002C4077">
        <w:t xml:space="preserve"> </w:t>
      </w:r>
      <w:r w:rsidR="000A7AAB">
        <w:t>monde</w:t>
      </w:r>
      <w:r w:rsidR="000A7AAB" w:rsidRPr="002C4077">
        <w:t xml:space="preserve"> </w:t>
      </w:r>
      <w:r w:rsidR="000A7AAB">
        <w:t>la</w:t>
      </w:r>
      <w:r w:rsidR="000A7AAB" w:rsidRPr="002C4077">
        <w:t xml:space="preserve"> </w:t>
      </w:r>
      <w:r w:rsidR="000A7AAB">
        <w:t>plus</w:t>
      </w:r>
      <w:r w:rsidR="000A7AAB" w:rsidRPr="002C4077">
        <w:t xml:space="preserve"> </w:t>
      </w:r>
      <w:r w:rsidR="000A7AAB">
        <w:t>civilisée</w:t>
      </w:r>
      <w:r w:rsidR="000A7AAB" w:rsidRPr="002C4077">
        <w:t xml:space="preserve"> </w:t>
      </w:r>
      <w:r w:rsidR="000A7AAB">
        <w:t>vit</w:t>
      </w:r>
      <w:r w:rsidR="000A7AAB" w:rsidRPr="002C4077">
        <w:t xml:space="preserve"> </w:t>
      </w:r>
      <w:r w:rsidR="000A7AAB">
        <w:t>de</w:t>
      </w:r>
      <w:r w:rsidR="000A7AAB" w:rsidRPr="002C4077">
        <w:t xml:space="preserve"> </w:t>
      </w:r>
      <w:r w:rsidR="000A7AAB">
        <w:t>cette</w:t>
      </w:r>
      <w:r w:rsidR="000A7AAB" w:rsidRPr="002C4077">
        <w:t xml:space="preserve"> </w:t>
      </w:r>
      <w:r w:rsidR="000A7AAB">
        <w:t>religion</w:t>
      </w:r>
      <w:r>
        <w:t> !</w:t>
      </w:r>
      <w:r w:rsidR="00C45B47">
        <w:t xml:space="preserve"> {</w:t>
      </w:r>
      <w:r w:rsidR="004C5B7A">
        <w:t>144</w:t>
      </w:r>
      <w:bookmarkStart w:id="392" w:name="p144"/>
      <w:bookmarkEnd w:id="392"/>
      <w:r w:rsidR="004C5B7A">
        <w:t xml:space="preserve">} </w:t>
      </w:r>
      <w:r w:rsidR="000A7AAB">
        <w:t>Des</w:t>
      </w:r>
      <w:r w:rsidR="000A7AAB" w:rsidRPr="002C4077">
        <w:t xml:space="preserve"> </w:t>
      </w:r>
      <w:r w:rsidR="000A7AAB">
        <w:t>millions</w:t>
      </w:r>
      <w:r w:rsidR="000A7AAB" w:rsidRPr="002C4077">
        <w:t xml:space="preserve"> </w:t>
      </w:r>
      <w:r w:rsidR="000A7AAB">
        <w:t>de</w:t>
      </w:r>
      <w:r w:rsidR="000A7AAB" w:rsidRPr="002C4077">
        <w:t xml:space="preserve"> </w:t>
      </w:r>
      <w:r w:rsidR="000A7AAB">
        <w:t>martyrs</w:t>
      </w:r>
      <w:r w:rsidR="000A7AAB" w:rsidRPr="002C4077">
        <w:t xml:space="preserve"> </w:t>
      </w:r>
      <w:r w:rsidR="000A7AAB">
        <w:t>ont</w:t>
      </w:r>
      <w:r w:rsidR="000A7AAB" w:rsidRPr="002C4077">
        <w:t xml:space="preserve"> </w:t>
      </w:r>
      <w:r w:rsidR="000A7AAB">
        <w:t>donné</w:t>
      </w:r>
      <w:r w:rsidR="000A7AAB" w:rsidRPr="002C4077">
        <w:t xml:space="preserve"> </w:t>
      </w:r>
      <w:r w:rsidR="000A7AAB">
        <w:t>leur</w:t>
      </w:r>
      <w:r w:rsidR="000A7AAB" w:rsidRPr="002C4077">
        <w:t xml:space="preserve"> </w:t>
      </w:r>
      <w:r w:rsidR="000A7AAB">
        <w:t>sang,</w:t>
      </w:r>
      <w:r w:rsidR="000A7AAB" w:rsidRPr="002C4077">
        <w:t xml:space="preserve"> </w:t>
      </w:r>
      <w:r w:rsidR="000A7AAB">
        <w:t>dans</w:t>
      </w:r>
      <w:r w:rsidR="000A7AAB" w:rsidRPr="002C4077">
        <w:t xml:space="preserve"> </w:t>
      </w:r>
      <w:r w:rsidR="000A7AAB">
        <w:t>des</w:t>
      </w:r>
      <w:r w:rsidR="000A7AAB" w:rsidRPr="002C4077">
        <w:t xml:space="preserve"> </w:t>
      </w:r>
      <w:r w:rsidR="000A7AAB">
        <w:t>supplices</w:t>
      </w:r>
      <w:r w:rsidR="000A7AAB" w:rsidRPr="002C4077">
        <w:t xml:space="preserve"> </w:t>
      </w:r>
      <w:r w:rsidR="000A7AAB">
        <w:t>affreux,</w:t>
      </w:r>
      <w:r w:rsidR="000A7AAB" w:rsidRPr="002C4077">
        <w:t xml:space="preserve"> </w:t>
      </w:r>
      <w:r w:rsidR="000A7AAB">
        <w:t>pour</w:t>
      </w:r>
      <w:r w:rsidR="000A7AAB" w:rsidRPr="002C4077">
        <w:t xml:space="preserve"> </w:t>
      </w:r>
      <w:r w:rsidR="000A7AAB">
        <w:t>attester</w:t>
      </w:r>
      <w:r w:rsidR="000A7AAB" w:rsidRPr="002C4077">
        <w:t xml:space="preserve"> </w:t>
      </w:r>
      <w:r w:rsidR="000A7AAB">
        <w:t>que</w:t>
      </w:r>
      <w:r w:rsidR="000A7AAB" w:rsidRPr="002C4077">
        <w:t xml:space="preserve"> </w:t>
      </w:r>
      <w:r w:rsidR="000A7AAB">
        <w:t>ce</w:t>
      </w:r>
      <w:r w:rsidR="000A7AAB" w:rsidRPr="002C4077">
        <w:t xml:space="preserve"> </w:t>
      </w:r>
      <w:r w:rsidR="00425C50">
        <w:t>Jésus</w:t>
      </w:r>
      <w:r w:rsidR="000A7AAB" w:rsidRPr="002C4077">
        <w:t xml:space="preserve"> </w:t>
      </w:r>
      <w:r w:rsidR="000A7AAB">
        <w:t>était</w:t>
      </w:r>
      <w:r w:rsidR="000A7AAB" w:rsidRPr="002C4077">
        <w:t xml:space="preserve"> </w:t>
      </w:r>
      <w:r w:rsidR="000A7AAB">
        <w:t>le</w:t>
      </w:r>
      <w:r w:rsidR="000A7AAB" w:rsidRPr="002C4077">
        <w:t xml:space="preserve"> </w:t>
      </w:r>
      <w:r w:rsidR="000A7AAB">
        <w:t>Messie,</w:t>
      </w:r>
      <w:r w:rsidR="000A7AAB" w:rsidRPr="002C4077">
        <w:t xml:space="preserve"> </w:t>
      </w:r>
      <w:r w:rsidR="000A7AAB">
        <w:t>le</w:t>
      </w:r>
      <w:r w:rsidR="000A7AAB" w:rsidRPr="002C4077">
        <w:t xml:space="preserve"> </w:t>
      </w:r>
      <w:r w:rsidR="000A7AAB">
        <w:t>Fils</w:t>
      </w:r>
      <w:r w:rsidR="000A7AAB" w:rsidRPr="002C4077">
        <w:t xml:space="preserve"> </w:t>
      </w:r>
      <w:r w:rsidR="000A7AAB">
        <w:t>de</w:t>
      </w:r>
      <w:r w:rsidR="000A7AAB" w:rsidRPr="002C4077">
        <w:t xml:space="preserve"> </w:t>
      </w:r>
      <w:r w:rsidR="000A7AAB">
        <w:t>Dieu…</w:t>
      </w:r>
      <w:r w:rsidR="000A7AAB" w:rsidRPr="002C4077">
        <w:t xml:space="preserve"> </w:t>
      </w:r>
      <w:r w:rsidR="000A7AAB">
        <w:t>Cet</w:t>
      </w:r>
      <w:r w:rsidR="000A7AAB" w:rsidRPr="002C4077">
        <w:t xml:space="preserve"> </w:t>
      </w:r>
      <w:r w:rsidR="000A7AAB">
        <w:t>homme,</w:t>
      </w:r>
      <w:r w:rsidR="000A7AAB" w:rsidRPr="002C4077">
        <w:t xml:space="preserve"> </w:t>
      </w:r>
      <w:r w:rsidR="000A7AAB" w:rsidRPr="000A34B5">
        <w:rPr>
          <w:rStyle w:val="italicus"/>
        </w:rPr>
        <w:t>rempli</w:t>
      </w:r>
      <w:r w:rsidR="000A7AAB" w:rsidRPr="002C4077">
        <w:t xml:space="preserve"> </w:t>
      </w:r>
      <w:r w:rsidR="000A7AAB" w:rsidRPr="000A34B5">
        <w:rPr>
          <w:rStyle w:val="italicus"/>
        </w:rPr>
        <w:t>de</w:t>
      </w:r>
      <w:r w:rsidR="000A7AAB" w:rsidRPr="002C4077">
        <w:t xml:space="preserve"> </w:t>
      </w:r>
      <w:r w:rsidR="000A7AAB" w:rsidRPr="000A34B5">
        <w:rPr>
          <w:rStyle w:val="italicus"/>
        </w:rPr>
        <w:t>toutes</w:t>
      </w:r>
      <w:r w:rsidR="000A7AAB" w:rsidRPr="002C4077">
        <w:t xml:space="preserve"> </w:t>
      </w:r>
      <w:r w:rsidR="000A7AAB" w:rsidRPr="000A34B5">
        <w:rPr>
          <w:rStyle w:val="italicus"/>
        </w:rPr>
        <w:t>les</w:t>
      </w:r>
      <w:r w:rsidR="000A7AAB" w:rsidRPr="002C4077">
        <w:t xml:space="preserve"> </w:t>
      </w:r>
      <w:r w:rsidR="000A7AAB" w:rsidRPr="000A34B5">
        <w:rPr>
          <w:rStyle w:val="italicus"/>
        </w:rPr>
        <w:t>idées</w:t>
      </w:r>
      <w:r w:rsidR="000A7AAB" w:rsidRPr="002C4077">
        <w:t xml:space="preserve"> </w:t>
      </w:r>
      <w:r w:rsidR="000A7AAB" w:rsidRPr="000A34B5">
        <w:rPr>
          <w:rStyle w:val="italicus"/>
        </w:rPr>
        <w:t>fausses</w:t>
      </w:r>
      <w:r w:rsidR="000A7AAB" w:rsidRPr="002C4077">
        <w:t xml:space="preserve"> </w:t>
      </w:r>
      <w:r w:rsidR="000A7AAB" w:rsidRPr="000A34B5">
        <w:rPr>
          <w:rStyle w:val="italicus"/>
        </w:rPr>
        <w:t>qu’on</w:t>
      </w:r>
      <w:r w:rsidR="000A7AAB" w:rsidRPr="002C4077">
        <w:t xml:space="preserve"> </w:t>
      </w:r>
      <w:r w:rsidR="000A7AAB" w:rsidRPr="000A34B5">
        <w:rPr>
          <w:rStyle w:val="italicus"/>
        </w:rPr>
        <w:t>avait</w:t>
      </w:r>
      <w:r w:rsidR="000A7AAB" w:rsidRPr="002C4077">
        <w:t xml:space="preserve"> </w:t>
      </w:r>
      <w:r w:rsidR="000A7AAB" w:rsidRPr="000A34B5">
        <w:rPr>
          <w:rStyle w:val="italicus"/>
        </w:rPr>
        <w:t>autour</w:t>
      </w:r>
      <w:r w:rsidR="000A7AAB" w:rsidRPr="002C4077">
        <w:t xml:space="preserve"> </w:t>
      </w:r>
      <w:r w:rsidR="000A7AAB" w:rsidRPr="000A34B5">
        <w:rPr>
          <w:rStyle w:val="italicus"/>
        </w:rPr>
        <w:t>de</w:t>
      </w:r>
      <w:r w:rsidR="000A7AAB" w:rsidRPr="002C4077">
        <w:t xml:space="preserve"> </w:t>
      </w:r>
      <w:r w:rsidR="000A7AAB" w:rsidRPr="000A34B5">
        <w:rPr>
          <w:rStyle w:val="italicus"/>
        </w:rPr>
        <w:t>lui,</w:t>
      </w:r>
      <w:r w:rsidR="000A7AAB" w:rsidRPr="002C4077">
        <w:t xml:space="preserve"> </w:t>
      </w:r>
      <w:r w:rsidR="000A7AAB">
        <w:t>a</w:t>
      </w:r>
      <w:r w:rsidR="000A7AAB" w:rsidRPr="002C4077">
        <w:t xml:space="preserve"> </w:t>
      </w:r>
      <w:r w:rsidR="000A7AAB">
        <w:t>donné</w:t>
      </w:r>
      <w:r w:rsidR="000A7AAB" w:rsidRPr="002C4077">
        <w:t xml:space="preserve"> </w:t>
      </w:r>
      <w:r w:rsidR="000A7AAB">
        <w:t>naissance</w:t>
      </w:r>
      <w:r w:rsidR="000A7AAB" w:rsidRPr="002C4077">
        <w:t xml:space="preserve"> </w:t>
      </w:r>
      <w:r w:rsidR="000A7AAB">
        <w:t>à</w:t>
      </w:r>
      <w:r w:rsidR="000A7AAB" w:rsidRPr="002C4077">
        <w:t xml:space="preserve"> </w:t>
      </w:r>
      <w:r w:rsidR="000A7AAB">
        <w:t>toute</w:t>
      </w:r>
      <w:r w:rsidR="000A7AAB" w:rsidRPr="002C4077">
        <w:t xml:space="preserve"> </w:t>
      </w:r>
      <w:r w:rsidR="000A7AAB">
        <w:t>une</w:t>
      </w:r>
      <w:r w:rsidR="000A7AAB" w:rsidRPr="002C4077">
        <w:t xml:space="preserve"> </w:t>
      </w:r>
      <w:r w:rsidR="000A7AAB">
        <w:t>famille</w:t>
      </w:r>
      <w:r w:rsidR="000A7AAB" w:rsidRPr="002C4077">
        <w:t xml:space="preserve"> </w:t>
      </w:r>
      <w:r w:rsidR="000A7AAB">
        <w:t>de</w:t>
      </w:r>
      <w:r w:rsidR="000A7AAB" w:rsidRPr="002C4077">
        <w:t xml:space="preserve"> </w:t>
      </w:r>
      <w:r w:rsidR="000A7AAB">
        <w:t>grands</w:t>
      </w:r>
      <w:r w:rsidR="000A7AAB" w:rsidRPr="002C4077">
        <w:t xml:space="preserve"> </w:t>
      </w:r>
      <w:r w:rsidR="000A7AAB">
        <w:t>esprits,</w:t>
      </w:r>
      <w:r w:rsidR="000A7AAB" w:rsidRPr="002C4077">
        <w:t xml:space="preserve"> </w:t>
      </w:r>
      <w:r w:rsidR="000A7AAB">
        <w:t>de</w:t>
      </w:r>
      <w:r w:rsidR="000A7AAB" w:rsidRPr="002C4077">
        <w:t xml:space="preserve"> </w:t>
      </w:r>
      <w:r w:rsidR="000A7AAB">
        <w:t>génies</w:t>
      </w:r>
      <w:r w:rsidR="000A7AAB" w:rsidRPr="002C4077">
        <w:t xml:space="preserve"> </w:t>
      </w:r>
      <w:r w:rsidR="000A7AAB">
        <w:t>de</w:t>
      </w:r>
      <w:r w:rsidR="000A7AAB" w:rsidRPr="002C4077">
        <w:t xml:space="preserve"> </w:t>
      </w:r>
      <w:r w:rsidR="000A7AAB">
        <w:t>premier</w:t>
      </w:r>
      <w:r w:rsidR="000A7AAB" w:rsidRPr="002C4077">
        <w:t xml:space="preserve"> </w:t>
      </w:r>
      <w:r w:rsidR="000A7AAB">
        <w:t>ordre…</w:t>
      </w:r>
      <w:r w:rsidR="000A7AAB" w:rsidRPr="002C4077">
        <w:t xml:space="preserve"> </w:t>
      </w:r>
      <w:r w:rsidR="000A7AAB">
        <w:t>On</w:t>
      </w:r>
      <w:r w:rsidR="000A7AAB" w:rsidRPr="002C4077">
        <w:t xml:space="preserve"> </w:t>
      </w:r>
      <w:r w:rsidR="000A7AAB">
        <w:t>nous</w:t>
      </w:r>
      <w:r w:rsidR="000A7AAB" w:rsidRPr="002C4077">
        <w:t xml:space="preserve"> </w:t>
      </w:r>
      <w:r w:rsidR="000A7AAB">
        <w:t>affirme</w:t>
      </w:r>
      <w:r w:rsidR="000A7AAB" w:rsidRPr="002C4077">
        <w:t xml:space="preserve"> </w:t>
      </w:r>
      <w:r w:rsidR="000A7AAB">
        <w:t>que,</w:t>
      </w:r>
      <w:r w:rsidR="000A7AAB" w:rsidRPr="002C4077">
        <w:t xml:space="preserve"> </w:t>
      </w:r>
      <w:r w:rsidR="000A7AAB">
        <w:t>dans</w:t>
      </w:r>
      <w:r w:rsidR="000A7AAB" w:rsidRPr="002C4077">
        <w:t xml:space="preserve"> </w:t>
      </w:r>
      <w:r w:rsidR="000A7AAB">
        <w:t>sa</w:t>
      </w:r>
      <w:r w:rsidR="000A7AAB" w:rsidRPr="002C4077">
        <w:t xml:space="preserve"> </w:t>
      </w:r>
      <w:r w:rsidR="000A7AAB">
        <w:t>vie,</w:t>
      </w:r>
      <w:r w:rsidR="000A7AAB" w:rsidRPr="002C4077">
        <w:t xml:space="preserve"> </w:t>
      </w:r>
      <w:r w:rsidR="000A7AAB">
        <w:t>rien</w:t>
      </w:r>
      <w:r w:rsidR="000A7AAB" w:rsidRPr="002C4077">
        <w:t xml:space="preserve"> </w:t>
      </w:r>
      <w:r w:rsidR="000A7AAB">
        <w:t>n’a</w:t>
      </w:r>
      <w:r w:rsidR="000A7AAB" w:rsidRPr="002C4077">
        <w:t xml:space="preserve"> </w:t>
      </w:r>
      <w:r w:rsidR="000A7AAB">
        <w:t>dépassé</w:t>
      </w:r>
      <w:r w:rsidR="000A7AAB" w:rsidRPr="002C4077">
        <w:t xml:space="preserve"> </w:t>
      </w:r>
      <w:r w:rsidR="000A7AAB">
        <w:t>la</w:t>
      </w:r>
      <w:r w:rsidR="000A7AAB" w:rsidRPr="002C4077">
        <w:t xml:space="preserve"> </w:t>
      </w:r>
      <w:r w:rsidR="000A7AAB">
        <w:t>mesure</w:t>
      </w:r>
      <w:r w:rsidR="000A7AAB" w:rsidRPr="002C4077">
        <w:t xml:space="preserve"> </w:t>
      </w:r>
      <w:r w:rsidR="000A7AAB">
        <w:t>de</w:t>
      </w:r>
      <w:r w:rsidR="000A7AAB" w:rsidRPr="002C4077">
        <w:t xml:space="preserve"> </w:t>
      </w:r>
      <w:r w:rsidR="000A7AAB">
        <w:t>l’ordinaire,</w:t>
      </w:r>
      <w:r w:rsidR="000A7AAB" w:rsidRPr="002C4077">
        <w:t xml:space="preserve"> </w:t>
      </w:r>
      <w:r w:rsidR="000A7AAB">
        <w:t>et</w:t>
      </w:r>
      <w:r w:rsidR="000A7AAB" w:rsidRPr="002C4077">
        <w:t xml:space="preserve"> </w:t>
      </w:r>
      <w:r w:rsidR="000A7AAB">
        <w:t>qu’il</w:t>
      </w:r>
      <w:r w:rsidR="000A7AAB" w:rsidRPr="002C4077">
        <w:t xml:space="preserve"> </w:t>
      </w:r>
      <w:r w:rsidR="000A7AAB">
        <w:t>y</w:t>
      </w:r>
      <w:r w:rsidR="000A7AAB" w:rsidRPr="002C4077">
        <w:t xml:space="preserve"> </w:t>
      </w:r>
      <w:r w:rsidR="000A7AAB">
        <w:t>aurait</w:t>
      </w:r>
      <w:r w:rsidR="000A7AAB" w:rsidRPr="002C4077">
        <w:t xml:space="preserve"> </w:t>
      </w:r>
      <w:r w:rsidR="000A7AAB">
        <w:t>péril</w:t>
      </w:r>
      <w:r w:rsidR="000A7AAB" w:rsidRPr="002C4077">
        <w:t xml:space="preserve"> </w:t>
      </w:r>
      <w:r w:rsidR="000A7AAB">
        <w:t>pour</w:t>
      </w:r>
      <w:r w:rsidR="000A7AAB" w:rsidRPr="002C4077">
        <w:t xml:space="preserve"> </w:t>
      </w:r>
      <w:r w:rsidR="000A7AAB">
        <w:t>sa</w:t>
      </w:r>
      <w:r w:rsidR="000A7AAB" w:rsidRPr="002C4077">
        <w:t xml:space="preserve"> </w:t>
      </w:r>
      <w:r w:rsidR="000A7AAB">
        <w:t>réputation</w:t>
      </w:r>
      <w:r w:rsidR="000A7AAB" w:rsidRPr="002C4077">
        <w:t xml:space="preserve"> </w:t>
      </w:r>
      <w:r w:rsidR="000A7AAB">
        <w:t>à</w:t>
      </w:r>
      <w:r w:rsidR="000A7AAB" w:rsidRPr="002C4077">
        <w:t xml:space="preserve"> </w:t>
      </w:r>
      <w:r w:rsidR="000A7AAB">
        <w:t>le</w:t>
      </w:r>
      <w:r w:rsidR="000A7AAB" w:rsidRPr="002C4077">
        <w:t xml:space="preserve"> </w:t>
      </w:r>
      <w:r w:rsidR="000A7AAB">
        <w:t>mettre</w:t>
      </w:r>
      <w:r w:rsidR="000A7AAB" w:rsidRPr="002C4077">
        <w:t xml:space="preserve"> </w:t>
      </w:r>
      <w:r w:rsidR="000A7AAB">
        <w:t>en</w:t>
      </w:r>
      <w:r w:rsidR="000A7AAB" w:rsidRPr="002C4077">
        <w:t xml:space="preserve"> </w:t>
      </w:r>
      <w:r w:rsidR="000A7AAB">
        <w:t>parallèle</w:t>
      </w:r>
      <w:r w:rsidR="000A7AAB" w:rsidRPr="002C4077">
        <w:t xml:space="preserve"> </w:t>
      </w:r>
      <w:r w:rsidR="000A7AAB">
        <w:t>avec</w:t>
      </w:r>
      <w:r w:rsidR="000A7AAB" w:rsidRPr="002C4077">
        <w:t xml:space="preserve"> </w:t>
      </w:r>
      <w:r w:rsidR="000A7AAB">
        <w:t>les</w:t>
      </w:r>
      <w:r w:rsidR="000A7AAB" w:rsidRPr="002C4077">
        <w:t xml:space="preserve"> </w:t>
      </w:r>
      <w:r w:rsidR="000A7AAB">
        <w:t>vrais</w:t>
      </w:r>
      <w:r w:rsidR="000A7AAB" w:rsidRPr="002C4077">
        <w:t xml:space="preserve"> </w:t>
      </w:r>
      <w:r w:rsidR="000A7AAB">
        <w:t>grands</w:t>
      </w:r>
      <w:r w:rsidR="000A7AAB" w:rsidRPr="002C4077">
        <w:t xml:space="preserve"> </w:t>
      </w:r>
      <w:r w:rsidR="000A7AAB">
        <w:t>hommes</w:t>
      </w:r>
      <w:r w:rsidR="000A7AAB" w:rsidRPr="002C4077">
        <w:t xml:space="preserve"> </w:t>
      </w:r>
      <w:r w:rsidR="000A7AAB">
        <w:t>dont</w:t>
      </w:r>
      <w:r w:rsidR="000A7AAB" w:rsidRPr="002C4077">
        <w:t xml:space="preserve"> </w:t>
      </w:r>
      <w:r w:rsidR="000A7AAB">
        <w:t>l’histoire</w:t>
      </w:r>
      <w:r w:rsidR="000A7AAB" w:rsidRPr="002C4077">
        <w:t xml:space="preserve"> </w:t>
      </w:r>
      <w:r w:rsidR="000A7AAB">
        <w:t>nous</w:t>
      </w:r>
      <w:r w:rsidR="000A7AAB" w:rsidRPr="002C4077">
        <w:t xml:space="preserve"> </w:t>
      </w:r>
      <w:r w:rsidR="000A7AAB">
        <w:t>garde</w:t>
      </w:r>
      <w:r w:rsidR="000A7AAB" w:rsidRPr="002C4077">
        <w:t xml:space="preserve"> </w:t>
      </w:r>
      <w:r w:rsidR="000A7AAB">
        <w:t>le</w:t>
      </w:r>
      <w:r w:rsidR="000A7AAB" w:rsidRPr="002C4077">
        <w:t xml:space="preserve"> </w:t>
      </w:r>
      <w:r w:rsidR="000A7AAB">
        <w:t>souvenir.</w:t>
      </w:r>
      <w:r w:rsidR="000A7AAB" w:rsidRPr="002C4077">
        <w:t xml:space="preserve"> </w:t>
      </w:r>
      <w:r w:rsidR="000A7AAB">
        <w:t>Or,</w:t>
      </w:r>
      <w:r w:rsidR="000A7AAB" w:rsidRPr="002C4077">
        <w:t xml:space="preserve"> </w:t>
      </w:r>
      <w:r w:rsidR="000A7AAB">
        <w:t>tandis</w:t>
      </w:r>
      <w:r w:rsidR="000A7AAB" w:rsidRPr="002C4077">
        <w:t xml:space="preserve"> </w:t>
      </w:r>
      <w:r w:rsidR="000A7AAB">
        <w:t>que</w:t>
      </w:r>
      <w:r w:rsidR="000A7AAB" w:rsidRPr="002C4077">
        <w:t xml:space="preserve"> </w:t>
      </w:r>
      <w:r w:rsidR="000A7AAB">
        <w:t>Platon</w:t>
      </w:r>
      <w:r w:rsidR="000A7AAB" w:rsidRPr="002C4077">
        <w:t xml:space="preserve"> </w:t>
      </w:r>
      <w:r w:rsidR="000A7AAB">
        <w:t>et</w:t>
      </w:r>
      <w:r w:rsidR="000A7AAB" w:rsidRPr="002C4077">
        <w:t xml:space="preserve"> </w:t>
      </w:r>
      <w:r w:rsidR="000A7AAB">
        <w:t>Ari</w:t>
      </w:r>
      <w:r w:rsidR="001730C6">
        <w:t>st</w:t>
      </w:r>
      <w:r w:rsidR="000A7AAB">
        <w:t>ote</w:t>
      </w:r>
      <w:r w:rsidR="000A7AAB" w:rsidRPr="002C4077">
        <w:t xml:space="preserve"> </w:t>
      </w:r>
      <w:r w:rsidR="000A7AAB">
        <w:t>ont</w:t>
      </w:r>
      <w:r w:rsidR="000A7AAB" w:rsidRPr="002C4077">
        <w:t xml:space="preserve"> </w:t>
      </w:r>
      <w:r w:rsidR="000A7AAB">
        <w:t>depuis</w:t>
      </w:r>
      <w:r w:rsidR="000A7AAB" w:rsidRPr="002C4077">
        <w:t xml:space="preserve"> </w:t>
      </w:r>
      <w:r w:rsidR="000A7AAB">
        <w:t>longtemps</w:t>
      </w:r>
      <w:r w:rsidR="000A7AAB" w:rsidRPr="002C4077">
        <w:t xml:space="preserve"> </w:t>
      </w:r>
      <w:r w:rsidR="000A7AAB">
        <w:t>cessé</w:t>
      </w:r>
      <w:r w:rsidR="000A7AAB" w:rsidRPr="002C4077">
        <w:t xml:space="preserve"> </w:t>
      </w:r>
      <w:r w:rsidR="000A7AAB">
        <w:t>de</w:t>
      </w:r>
      <w:r w:rsidR="000A7AAB" w:rsidRPr="002C4077">
        <w:t xml:space="preserve"> </w:t>
      </w:r>
      <w:r w:rsidR="000A7AAB">
        <w:t>faire</w:t>
      </w:r>
      <w:r w:rsidR="000A7AAB" w:rsidRPr="002C4077">
        <w:t xml:space="preserve"> </w:t>
      </w:r>
      <w:r w:rsidR="000A7AAB">
        <w:t>école,…</w:t>
      </w:r>
      <w:r w:rsidR="000A7AAB" w:rsidRPr="002C4077">
        <w:t xml:space="preserve"> </w:t>
      </w:r>
      <w:r w:rsidR="000A7AAB">
        <w:t>depuis</w:t>
      </w:r>
      <w:r w:rsidR="000A7AAB" w:rsidRPr="002C4077">
        <w:t xml:space="preserve"> </w:t>
      </w:r>
      <w:r w:rsidR="000A7AAB">
        <w:t>bientôt</w:t>
      </w:r>
      <w:r w:rsidR="000A7AAB" w:rsidRPr="002C4077">
        <w:t xml:space="preserve"> </w:t>
      </w:r>
      <w:r w:rsidR="000A7AAB">
        <w:t>deux</w:t>
      </w:r>
      <w:r w:rsidR="000A7AAB" w:rsidRPr="002C4077">
        <w:t xml:space="preserve"> </w:t>
      </w:r>
      <w:r w:rsidR="000A7AAB">
        <w:t>mille</w:t>
      </w:r>
      <w:r w:rsidR="000A7AAB" w:rsidRPr="002C4077">
        <w:t xml:space="preserve"> </w:t>
      </w:r>
      <w:r w:rsidR="000A7AAB">
        <w:t>ans,</w:t>
      </w:r>
      <w:r w:rsidR="000A7AAB" w:rsidRPr="002C4077">
        <w:t xml:space="preserve"> </w:t>
      </w:r>
      <w:r w:rsidR="000A7AAB">
        <w:t>sur</w:t>
      </w:r>
      <w:r w:rsidR="000A7AAB" w:rsidRPr="002C4077">
        <w:t xml:space="preserve"> </w:t>
      </w:r>
      <w:r w:rsidR="000A7AAB">
        <w:t>tous</w:t>
      </w:r>
      <w:r w:rsidR="000A7AAB" w:rsidRPr="002C4077">
        <w:t xml:space="preserve"> </w:t>
      </w:r>
      <w:r w:rsidR="000A7AAB">
        <w:t>les</w:t>
      </w:r>
      <w:r w:rsidR="000A7AAB" w:rsidRPr="002C4077">
        <w:t xml:space="preserve"> </w:t>
      </w:r>
      <w:r w:rsidR="000A7AAB">
        <w:t>points</w:t>
      </w:r>
      <w:r w:rsidR="000A7AAB" w:rsidRPr="002C4077">
        <w:t xml:space="preserve"> </w:t>
      </w:r>
      <w:r w:rsidR="000A7AAB">
        <w:t>du</w:t>
      </w:r>
      <w:r w:rsidR="000A7AAB" w:rsidRPr="002C4077">
        <w:t xml:space="preserve"> </w:t>
      </w:r>
      <w:r w:rsidR="000A7AAB">
        <w:t>globe,…</w:t>
      </w:r>
      <w:r w:rsidR="000A7AAB" w:rsidRPr="002C4077">
        <w:t xml:space="preserve"> </w:t>
      </w:r>
      <w:r w:rsidR="000A7AAB">
        <w:t>le</w:t>
      </w:r>
      <w:r w:rsidR="000A7AAB" w:rsidRPr="002C4077">
        <w:t xml:space="preserve"> </w:t>
      </w:r>
      <w:r w:rsidR="00425C50">
        <w:t>Jésus</w:t>
      </w:r>
      <w:r w:rsidR="000A7AAB" w:rsidRPr="002C4077">
        <w:t xml:space="preserve"> </w:t>
      </w:r>
      <w:r w:rsidR="000A7AAB">
        <w:t>de</w:t>
      </w:r>
      <w:r w:rsidR="000A7AAB" w:rsidRPr="002C4077">
        <w:t xml:space="preserve"> </w:t>
      </w:r>
      <w:r w:rsidR="000A7AAB">
        <w:t>nos</w:t>
      </w:r>
      <w:r w:rsidR="000A7AAB" w:rsidRPr="002C4077">
        <w:t xml:space="preserve"> </w:t>
      </w:r>
      <w:r w:rsidR="000A7AAB">
        <w:t>évangiles</w:t>
      </w:r>
      <w:r w:rsidR="000A7AAB" w:rsidRPr="002C4077">
        <w:t xml:space="preserve"> </w:t>
      </w:r>
      <w:r w:rsidR="000A7AAB">
        <w:t>ne</w:t>
      </w:r>
      <w:r w:rsidR="000A7AAB" w:rsidRPr="002C4077">
        <w:t xml:space="preserve"> </w:t>
      </w:r>
      <w:r w:rsidR="000A7AAB">
        <w:t>cesse</w:t>
      </w:r>
      <w:r w:rsidR="000A7AAB" w:rsidRPr="002C4077">
        <w:t xml:space="preserve"> </w:t>
      </w:r>
      <w:r w:rsidR="000A7AAB">
        <w:t>pas</w:t>
      </w:r>
      <w:r w:rsidR="000A7AAB" w:rsidRPr="002C4077">
        <w:t xml:space="preserve"> </w:t>
      </w:r>
      <w:r w:rsidR="000A7AAB">
        <w:t>d’avoir</w:t>
      </w:r>
      <w:r w:rsidR="000A7AAB" w:rsidRPr="002C4077">
        <w:t xml:space="preserve"> </w:t>
      </w:r>
      <w:r w:rsidR="000A7AAB">
        <w:t>des</w:t>
      </w:r>
      <w:r w:rsidR="000A7AAB" w:rsidRPr="002C4077">
        <w:t xml:space="preserve"> </w:t>
      </w:r>
      <w:r w:rsidR="000A7AAB">
        <w:t>imitateurs</w:t>
      </w:r>
      <w:r w:rsidR="000A7AAB" w:rsidRPr="002C4077">
        <w:t xml:space="preserve"> </w:t>
      </w:r>
      <w:r w:rsidR="000A7AAB">
        <w:t>qui,</w:t>
      </w:r>
      <w:r w:rsidR="000A7AAB" w:rsidRPr="002C4077">
        <w:t xml:space="preserve"> </w:t>
      </w:r>
      <w:r w:rsidR="000A7AAB">
        <w:t>chaque</w:t>
      </w:r>
      <w:r w:rsidR="000A7AAB" w:rsidRPr="002C4077">
        <w:t xml:space="preserve"> </w:t>
      </w:r>
      <w:r w:rsidR="000A7AAB">
        <w:t>jour,</w:t>
      </w:r>
      <w:r w:rsidR="000A7AAB" w:rsidRPr="002C4077">
        <w:t xml:space="preserve"> </w:t>
      </w:r>
      <w:r w:rsidR="000A7AAB">
        <w:t>au</w:t>
      </w:r>
      <w:r w:rsidR="000A7AAB" w:rsidRPr="002C4077">
        <w:t xml:space="preserve"> </w:t>
      </w:r>
      <w:r w:rsidR="000A7AAB">
        <w:t>prix</w:t>
      </w:r>
      <w:r w:rsidR="000A7AAB" w:rsidRPr="002C4077">
        <w:t xml:space="preserve"> </w:t>
      </w:r>
      <w:r w:rsidR="000A7AAB">
        <w:t>d’une</w:t>
      </w:r>
      <w:r w:rsidR="000A7AAB" w:rsidRPr="002C4077">
        <w:t xml:space="preserve"> </w:t>
      </w:r>
      <w:r w:rsidR="000A7AAB">
        <w:t>étude</w:t>
      </w:r>
      <w:r w:rsidR="000A7AAB" w:rsidRPr="002C4077">
        <w:t xml:space="preserve"> </w:t>
      </w:r>
      <w:r w:rsidR="000A7AAB">
        <w:t>constante</w:t>
      </w:r>
      <w:r w:rsidR="000A7AAB" w:rsidRPr="002C4077">
        <w:t xml:space="preserve"> </w:t>
      </w:r>
      <w:r w:rsidR="000A7AAB">
        <w:t>et</w:t>
      </w:r>
      <w:r w:rsidR="000A7AAB" w:rsidRPr="002C4077">
        <w:t xml:space="preserve"> </w:t>
      </w:r>
      <w:r w:rsidR="000A7AAB">
        <w:t>des</w:t>
      </w:r>
      <w:r w:rsidR="000A7AAB" w:rsidRPr="002C4077">
        <w:t xml:space="preserve"> </w:t>
      </w:r>
      <w:r w:rsidR="000A7AAB">
        <w:t>plus</w:t>
      </w:r>
      <w:r w:rsidR="000A7AAB" w:rsidRPr="002C4077">
        <w:t xml:space="preserve"> </w:t>
      </w:r>
      <w:r w:rsidR="000A7AAB">
        <w:t>courageux</w:t>
      </w:r>
      <w:r w:rsidR="000A7AAB" w:rsidRPr="002C4077">
        <w:t xml:space="preserve"> </w:t>
      </w:r>
      <w:r w:rsidR="000A7AAB">
        <w:t>efforts,</w:t>
      </w:r>
      <w:r w:rsidR="000A7AAB" w:rsidRPr="002C4077">
        <w:t xml:space="preserve"> </w:t>
      </w:r>
      <w:r w:rsidR="000A7AAB">
        <w:t>s’efforcent</w:t>
      </w:r>
      <w:r w:rsidR="000A7AAB" w:rsidRPr="002C4077">
        <w:t xml:space="preserve"> </w:t>
      </w:r>
      <w:r w:rsidR="000A7AAB">
        <w:t>de</w:t>
      </w:r>
      <w:r w:rsidR="000A7AAB" w:rsidRPr="002C4077">
        <w:t xml:space="preserve"> </w:t>
      </w:r>
      <w:r w:rsidR="000A7AAB">
        <w:t>faire</w:t>
      </w:r>
      <w:r w:rsidR="000A7AAB" w:rsidRPr="002C4077">
        <w:t xml:space="preserve"> </w:t>
      </w:r>
      <w:r w:rsidR="000A7AAB">
        <w:t>revivre</w:t>
      </w:r>
      <w:r w:rsidR="000A7AAB" w:rsidRPr="002C4077">
        <w:t xml:space="preserve"> </w:t>
      </w:r>
      <w:r w:rsidR="000A7AAB">
        <w:t>en</w:t>
      </w:r>
      <w:r w:rsidR="000A7AAB" w:rsidRPr="002C4077">
        <w:t xml:space="preserve"> </w:t>
      </w:r>
      <w:r w:rsidR="000A7AAB">
        <w:t>eux</w:t>
      </w:r>
      <w:r w:rsidR="000A7AAB" w:rsidRPr="002C4077">
        <w:t xml:space="preserve"> </w:t>
      </w:r>
      <w:r w:rsidR="000A7AAB">
        <w:t>son</w:t>
      </w:r>
      <w:r w:rsidR="000A7AAB" w:rsidRPr="002C4077">
        <w:t xml:space="preserve"> </w:t>
      </w:r>
      <w:r w:rsidR="000A7AAB">
        <w:t>humilité,</w:t>
      </w:r>
      <w:r w:rsidR="000A7AAB" w:rsidRPr="002C4077">
        <w:t xml:space="preserve"> </w:t>
      </w:r>
      <w:r w:rsidR="000A7AAB">
        <w:t>sa</w:t>
      </w:r>
      <w:r w:rsidR="000A7AAB" w:rsidRPr="002C4077">
        <w:t xml:space="preserve"> </w:t>
      </w:r>
      <w:r w:rsidR="000A7AAB">
        <w:t>miséricorde,</w:t>
      </w:r>
      <w:r w:rsidR="000A7AAB" w:rsidRPr="002C4077">
        <w:t xml:space="preserve"> </w:t>
      </w:r>
      <w:r w:rsidR="000A7AAB">
        <w:t>son</w:t>
      </w:r>
      <w:r w:rsidR="000A7AAB" w:rsidRPr="002C4077">
        <w:t xml:space="preserve"> </w:t>
      </w:r>
      <w:r w:rsidR="000A7AAB">
        <w:t>courage,</w:t>
      </w:r>
      <w:r w:rsidR="000A7AAB" w:rsidRPr="002C4077">
        <w:t xml:space="preserve"> </w:t>
      </w:r>
      <w:r w:rsidR="000A7AAB">
        <w:t>sa</w:t>
      </w:r>
      <w:r w:rsidR="000A7AAB" w:rsidRPr="002C4077">
        <w:t xml:space="preserve"> </w:t>
      </w:r>
      <w:r w:rsidR="000A7AAB">
        <w:t>patience,</w:t>
      </w:r>
      <w:r w:rsidR="000A7AAB" w:rsidRPr="002C4077">
        <w:t xml:space="preserve"> </w:t>
      </w:r>
      <w:r w:rsidR="000A7AAB">
        <w:t>sa</w:t>
      </w:r>
      <w:r w:rsidR="000A7AAB" w:rsidRPr="002C4077">
        <w:t xml:space="preserve"> </w:t>
      </w:r>
      <w:r w:rsidR="000A7AAB">
        <w:t>charité</w:t>
      </w:r>
      <w:r w:rsidR="00B91AF7">
        <w:rPr>
          <w:rStyle w:val="Appelnotedebasdep"/>
        </w:rPr>
        <w:footnoteReference w:id="450"/>
      </w:r>
      <w:r>
        <w:t> »</w:t>
      </w:r>
      <w:r w:rsidR="000A7AAB">
        <w:t>.</w:t>
      </w:r>
      <w:r w:rsidR="000A7AAB" w:rsidRPr="002C4077">
        <w:t xml:space="preserve"> </w:t>
      </w:r>
    </w:p>
    <w:p w:rsidR="000A7AAB" w:rsidRPr="004C5B7A" w:rsidRDefault="000A7AAB" w:rsidP="000A7AAB">
      <w:r>
        <w:t>Voilà</w:t>
      </w:r>
      <w:r w:rsidRPr="002C4077">
        <w:t xml:space="preserve"> </w:t>
      </w:r>
      <w:r>
        <w:t>certainement</w:t>
      </w:r>
      <w:r w:rsidRPr="002C4077">
        <w:t xml:space="preserve"> </w:t>
      </w:r>
      <w:r>
        <w:t>un</w:t>
      </w:r>
      <w:r w:rsidRPr="002C4077">
        <w:t xml:space="preserve"> </w:t>
      </w:r>
      <w:r>
        <w:t>fait</w:t>
      </w:r>
      <w:r w:rsidRPr="002C4077">
        <w:t xml:space="preserve"> </w:t>
      </w:r>
      <w:r>
        <w:t>indéniable,</w:t>
      </w:r>
      <w:r w:rsidRPr="002C4077">
        <w:t xml:space="preserve"> </w:t>
      </w:r>
      <w:r>
        <w:t>visible</w:t>
      </w:r>
      <w:r w:rsidRPr="002C4077">
        <w:t xml:space="preserve"> </w:t>
      </w:r>
      <w:r>
        <w:t>à</w:t>
      </w:r>
      <w:r w:rsidRPr="002C4077">
        <w:t xml:space="preserve"> </w:t>
      </w:r>
      <w:r>
        <w:t>tous</w:t>
      </w:r>
      <w:r w:rsidRPr="002C4077">
        <w:t xml:space="preserve"> </w:t>
      </w:r>
      <w:r>
        <w:t>les</w:t>
      </w:r>
      <w:r w:rsidRPr="002C4077">
        <w:t xml:space="preserve"> </w:t>
      </w:r>
      <w:r>
        <w:t>yeux.</w:t>
      </w:r>
      <w:r w:rsidRPr="002C4077">
        <w:t xml:space="preserve"> </w:t>
      </w:r>
      <w:r>
        <w:t>Ce</w:t>
      </w:r>
      <w:r w:rsidRPr="002C4077">
        <w:t xml:space="preserve"> </w:t>
      </w:r>
      <w:r>
        <w:t>fait,</w:t>
      </w:r>
      <w:r w:rsidRPr="002C4077">
        <w:t xml:space="preserve"> </w:t>
      </w:r>
      <w:r>
        <w:t>les</w:t>
      </w:r>
      <w:r w:rsidRPr="002C4077">
        <w:t xml:space="preserve"> </w:t>
      </w:r>
      <w:r>
        <w:t>anciens</w:t>
      </w:r>
      <w:r w:rsidRPr="002C4077">
        <w:t xml:space="preserve"> </w:t>
      </w:r>
      <w:r>
        <w:t>rationalistes</w:t>
      </w:r>
      <w:r w:rsidRPr="002C4077">
        <w:t xml:space="preserve"> </w:t>
      </w:r>
      <w:r>
        <w:t>pouvaient</w:t>
      </w:r>
      <w:r w:rsidRPr="002C4077">
        <w:t xml:space="preserve"> </w:t>
      </w:r>
      <w:r>
        <w:t>essayer</w:t>
      </w:r>
      <w:r w:rsidRPr="002C4077">
        <w:t xml:space="preserve"> </w:t>
      </w:r>
      <w:r>
        <w:t>de</w:t>
      </w:r>
      <w:r w:rsidRPr="002C4077">
        <w:t xml:space="preserve"> </w:t>
      </w:r>
      <w:r>
        <w:t>l’expliquer</w:t>
      </w:r>
      <w:r w:rsidRPr="002C4077">
        <w:t xml:space="preserve"> </w:t>
      </w:r>
      <w:r>
        <w:t>en</w:t>
      </w:r>
      <w:r w:rsidRPr="002C4077">
        <w:t xml:space="preserve"> </w:t>
      </w:r>
      <w:r>
        <w:t>répandant</w:t>
      </w:r>
      <w:r w:rsidRPr="002C4077">
        <w:t xml:space="preserve"> </w:t>
      </w:r>
      <w:r>
        <w:t>toutes</w:t>
      </w:r>
      <w:r w:rsidRPr="002C4077">
        <w:t xml:space="preserve"> </w:t>
      </w:r>
      <w:r>
        <w:t>les</w:t>
      </w:r>
      <w:r w:rsidRPr="002C4077">
        <w:t xml:space="preserve"> </w:t>
      </w:r>
      <w:r>
        <w:t>fleurs</w:t>
      </w:r>
      <w:r w:rsidRPr="002C4077">
        <w:t xml:space="preserve"> </w:t>
      </w:r>
      <w:r>
        <w:t>de</w:t>
      </w:r>
      <w:r w:rsidRPr="002C4077">
        <w:t xml:space="preserve"> </w:t>
      </w:r>
      <w:r>
        <w:t>leur</w:t>
      </w:r>
      <w:r w:rsidRPr="002C4077">
        <w:t xml:space="preserve"> </w:t>
      </w:r>
      <w:r>
        <w:t>fade</w:t>
      </w:r>
      <w:r w:rsidRPr="002C4077">
        <w:t xml:space="preserve"> </w:t>
      </w:r>
      <w:r>
        <w:t>éloquence</w:t>
      </w:r>
      <w:r w:rsidRPr="002C4077">
        <w:t xml:space="preserve"> </w:t>
      </w:r>
      <w:r>
        <w:t>sur</w:t>
      </w:r>
      <w:r w:rsidRPr="002C4077">
        <w:t xml:space="preserve"> </w:t>
      </w:r>
      <w:r>
        <w:t>l’incomparable</w:t>
      </w:r>
      <w:r w:rsidRPr="002C4077">
        <w:t xml:space="preserve"> </w:t>
      </w:r>
      <w:r>
        <w:t>beauté</w:t>
      </w:r>
      <w:r w:rsidRPr="002C4077">
        <w:t xml:space="preserve"> </w:t>
      </w:r>
      <w:r>
        <w:t>du</w:t>
      </w:r>
      <w:r w:rsidRPr="002C4077">
        <w:t xml:space="preserve"> </w:t>
      </w:r>
      <w:r>
        <w:t>caractère</w:t>
      </w:r>
      <w:r w:rsidRPr="002C4077">
        <w:t xml:space="preserve"> </w:t>
      </w:r>
      <w:r>
        <w:t>humain</w:t>
      </w:r>
      <w:r w:rsidRPr="002C4077">
        <w:t xml:space="preserve"> </w:t>
      </w:r>
      <w:r>
        <w:t>de</w:t>
      </w:r>
      <w:r w:rsidRPr="002C4077">
        <w:t xml:space="preserve"> </w:t>
      </w:r>
      <w:r w:rsidR="00425C50">
        <w:t>Jésus</w:t>
      </w:r>
      <w:r w:rsidR="004377BC">
        <w:rPr>
          <w:rStyle w:val="Appelnotedebasdep"/>
        </w:rPr>
        <w:footnoteReference w:id="451"/>
      </w:r>
      <w:r>
        <w:t>.</w:t>
      </w:r>
      <w:r w:rsidRPr="002C4077">
        <w:t xml:space="preserve"> </w:t>
      </w:r>
      <w:r>
        <w:t>Mais,</w:t>
      </w:r>
      <w:r w:rsidRPr="002C4077">
        <w:t xml:space="preserve"> </w:t>
      </w:r>
      <w:r>
        <w:t>comme</w:t>
      </w:r>
      <w:r w:rsidRPr="002C4077">
        <w:t xml:space="preserve"> </w:t>
      </w:r>
      <w:r>
        <w:t>le</w:t>
      </w:r>
      <w:r w:rsidRPr="002C4077">
        <w:t xml:space="preserve"> </w:t>
      </w:r>
      <w:r>
        <w:t>dit</w:t>
      </w:r>
      <w:r w:rsidRPr="002C4077">
        <w:t xml:space="preserve"> </w:t>
      </w:r>
      <w:r>
        <w:t>justement</w:t>
      </w:r>
      <w:r w:rsidRPr="002C4077">
        <w:t xml:space="preserve"> </w:t>
      </w:r>
      <w:r>
        <w:t>M</w:t>
      </w:r>
      <w:r>
        <w:rPr>
          <w:vertAlign w:val="superscript"/>
        </w:rPr>
        <w:t>gr</w:t>
      </w:r>
      <w:r w:rsidRPr="002C4077">
        <w:t xml:space="preserve"> </w:t>
      </w:r>
      <w:r>
        <w:t>Perraud,</w:t>
      </w:r>
      <w:r w:rsidRPr="002C4077">
        <w:t xml:space="preserve"> </w:t>
      </w:r>
      <w:r w:rsidR="00B546AF">
        <w:t>« </w:t>
      </w:r>
      <w:r>
        <w:t>avec</w:t>
      </w:r>
      <w:r w:rsidRPr="002C4077">
        <w:t xml:space="preserve"> </w:t>
      </w:r>
      <w:r>
        <w:t>M.</w:t>
      </w:r>
      <w:r w:rsidRPr="002C4077">
        <w:t xml:space="preserve"> </w:t>
      </w:r>
      <w:r>
        <w:t>Havet</w:t>
      </w:r>
      <w:r w:rsidRPr="002C4077">
        <w:t xml:space="preserve"> </w:t>
      </w:r>
      <w:r>
        <w:t>cette</w:t>
      </w:r>
      <w:r w:rsidRPr="002C4077">
        <w:t xml:space="preserve"> </w:t>
      </w:r>
      <w:r>
        <w:t>ressource</w:t>
      </w:r>
      <w:r w:rsidRPr="002C4077">
        <w:t xml:space="preserve"> </w:t>
      </w:r>
      <w:r>
        <w:t>disparaît…</w:t>
      </w:r>
      <w:r w:rsidRPr="002C4077">
        <w:t xml:space="preserve"> </w:t>
      </w:r>
      <w:r>
        <w:t>Le</w:t>
      </w:r>
      <w:r w:rsidRPr="002C4077">
        <w:t xml:space="preserve"> </w:t>
      </w:r>
      <w:r>
        <w:t>dernier</w:t>
      </w:r>
      <w:r w:rsidRPr="002C4077">
        <w:t xml:space="preserve"> </w:t>
      </w:r>
      <w:r>
        <w:t>mot</w:t>
      </w:r>
      <w:r w:rsidRPr="002C4077">
        <w:t xml:space="preserve"> </w:t>
      </w:r>
      <w:r>
        <w:t>de</w:t>
      </w:r>
      <w:r w:rsidRPr="002C4077">
        <w:t xml:space="preserve"> </w:t>
      </w:r>
      <w:r>
        <w:t>la</w:t>
      </w:r>
      <w:r w:rsidRPr="002C4077">
        <w:t xml:space="preserve"> </w:t>
      </w:r>
      <w:r>
        <w:t>science</w:t>
      </w:r>
      <w:r w:rsidRPr="002C4077">
        <w:t xml:space="preserve"> </w:t>
      </w:r>
      <w:r w:rsidR="00425C50">
        <w:t>est</w:t>
      </w:r>
      <w:r w:rsidRPr="004440EA">
        <w:t xml:space="preserve"> (</w:t>
      </w:r>
      <w:r>
        <w:t>donc</w:t>
      </w:r>
      <w:r w:rsidR="00B546AF" w:rsidRPr="002C4077">
        <w:t>)</w:t>
      </w:r>
      <w:r w:rsidRPr="002C4077">
        <w:t xml:space="preserve"> </w:t>
      </w:r>
      <w:r>
        <w:t>de</w:t>
      </w:r>
      <w:r w:rsidRPr="002C4077">
        <w:t xml:space="preserve"> </w:t>
      </w:r>
      <w:r>
        <w:t>nous</w:t>
      </w:r>
      <w:r w:rsidRPr="002C4077">
        <w:t xml:space="preserve"> </w:t>
      </w:r>
      <w:r>
        <w:t>laisser</w:t>
      </w:r>
      <w:r w:rsidRPr="002C4077">
        <w:t xml:space="preserve"> </w:t>
      </w:r>
      <w:r>
        <w:t>en</w:t>
      </w:r>
      <w:r w:rsidRPr="002C4077">
        <w:t xml:space="preserve"> </w:t>
      </w:r>
      <w:r>
        <w:t>présence</w:t>
      </w:r>
      <w:r w:rsidRPr="002C4077">
        <w:t xml:space="preserve"> </w:t>
      </w:r>
      <w:r>
        <w:t>d’un</w:t>
      </w:r>
      <w:r w:rsidRPr="002C4077">
        <w:t xml:space="preserve"> </w:t>
      </w:r>
      <w:r>
        <w:t>phénomène</w:t>
      </w:r>
      <w:r w:rsidRPr="002C4077">
        <w:t xml:space="preserve"> </w:t>
      </w:r>
      <w:r>
        <w:t>qui</w:t>
      </w:r>
      <w:r w:rsidRPr="002C4077">
        <w:t xml:space="preserve"> </w:t>
      </w:r>
      <w:r>
        <w:t>ne</w:t>
      </w:r>
      <w:r w:rsidRPr="002C4077">
        <w:t xml:space="preserve"> </w:t>
      </w:r>
      <w:r>
        <w:t>se</w:t>
      </w:r>
      <w:r w:rsidRPr="002C4077">
        <w:t xml:space="preserve"> </w:t>
      </w:r>
      <w:r>
        <w:t>rattache</w:t>
      </w:r>
      <w:r w:rsidRPr="002C4077">
        <w:t xml:space="preserve"> </w:t>
      </w:r>
      <w:r>
        <w:t>à</w:t>
      </w:r>
      <w:r w:rsidRPr="002C4077">
        <w:t xml:space="preserve"> </w:t>
      </w:r>
      <w:r>
        <w:t>aucune</w:t>
      </w:r>
      <w:r w:rsidRPr="002C4077">
        <w:t xml:space="preserve"> </w:t>
      </w:r>
      <w:r>
        <w:t>cause,</w:t>
      </w:r>
      <w:r w:rsidRPr="002C4077">
        <w:t xml:space="preserve"> </w:t>
      </w:r>
      <w:r>
        <w:t>et</w:t>
      </w:r>
      <w:r w:rsidRPr="002C4077">
        <w:t xml:space="preserve"> </w:t>
      </w:r>
      <w:r>
        <w:t>dont</w:t>
      </w:r>
      <w:r w:rsidRPr="002C4077">
        <w:t xml:space="preserve"> </w:t>
      </w:r>
      <w:r>
        <w:t>l’existence</w:t>
      </w:r>
      <w:r w:rsidRPr="002C4077">
        <w:t xml:space="preserve"> </w:t>
      </w:r>
      <w:r>
        <w:t>devient,</w:t>
      </w:r>
      <w:r w:rsidRPr="002C4077">
        <w:t xml:space="preserve"> </w:t>
      </w:r>
      <w:r>
        <w:t>par</w:t>
      </w:r>
      <w:r w:rsidRPr="002C4077">
        <w:t xml:space="preserve"> </w:t>
      </w:r>
      <w:r>
        <w:t>là</w:t>
      </w:r>
      <w:r w:rsidRPr="002C4077">
        <w:t xml:space="preserve"> </w:t>
      </w:r>
      <w:r>
        <w:t>même,</w:t>
      </w:r>
      <w:r w:rsidRPr="002C4077">
        <w:t xml:space="preserve"> </w:t>
      </w:r>
      <w:r>
        <w:t>le</w:t>
      </w:r>
      <w:r w:rsidRPr="002C4077">
        <w:t xml:space="preserve"> </w:t>
      </w:r>
      <w:r>
        <w:t>plus</w:t>
      </w:r>
      <w:r w:rsidRPr="002C4077">
        <w:t xml:space="preserve"> </w:t>
      </w:r>
      <w:r>
        <w:t>étrange</w:t>
      </w:r>
      <w:r w:rsidRPr="002C4077">
        <w:t xml:space="preserve"> </w:t>
      </w:r>
      <w:r>
        <w:t>et</w:t>
      </w:r>
      <w:r w:rsidRPr="002C4077">
        <w:t xml:space="preserve"> </w:t>
      </w:r>
      <w:r>
        <w:t>le</w:t>
      </w:r>
      <w:r w:rsidRPr="002C4077">
        <w:t xml:space="preserve"> </w:t>
      </w:r>
      <w:r>
        <w:t>plus</w:t>
      </w:r>
      <w:r w:rsidRPr="002C4077">
        <w:t xml:space="preserve"> </w:t>
      </w:r>
      <w:r>
        <w:t>inexplicable</w:t>
      </w:r>
      <w:r w:rsidRPr="002C4077">
        <w:t xml:space="preserve"> </w:t>
      </w:r>
      <w:r>
        <w:t>des</w:t>
      </w:r>
      <w:r w:rsidRPr="002C4077">
        <w:t xml:space="preserve"> </w:t>
      </w:r>
      <w:r>
        <w:t>miracles</w:t>
      </w:r>
      <w:r w:rsidR="00B91AF7">
        <w:rPr>
          <w:rStyle w:val="Appelnotedebasdep"/>
        </w:rPr>
        <w:footnoteReference w:id="452"/>
      </w:r>
      <w:r w:rsidR="00B546AF">
        <w:t> »</w:t>
      </w:r>
      <w:r>
        <w:t>.</w:t>
      </w:r>
      <w:r w:rsidR="00C45B47">
        <w:t xml:space="preserve"> {</w:t>
      </w:r>
      <w:r w:rsidR="004C5B7A">
        <w:t>145</w:t>
      </w:r>
      <w:bookmarkStart w:id="393" w:name="p145"/>
      <w:bookmarkEnd w:id="393"/>
      <w:r w:rsidR="004C5B7A">
        <w:t xml:space="preserve">} </w:t>
      </w:r>
    </w:p>
    <w:p w:rsidR="000A7AAB" w:rsidRDefault="000A7AAB" w:rsidP="000A7AAB">
      <w:r>
        <w:t>Et</w:t>
      </w:r>
      <w:r w:rsidRPr="002C4077">
        <w:t xml:space="preserve"> </w:t>
      </w:r>
      <w:r>
        <w:t>encore</w:t>
      </w:r>
      <w:r w:rsidR="00B546AF">
        <w:t> :</w:t>
      </w:r>
      <w:r w:rsidRPr="002C4077">
        <w:t xml:space="preserve"> </w:t>
      </w:r>
      <w:r w:rsidR="00B546AF">
        <w:t>« </w:t>
      </w:r>
      <w:r>
        <w:t>Le</w:t>
      </w:r>
      <w:r w:rsidRPr="002C4077">
        <w:t xml:space="preserve"> </w:t>
      </w:r>
      <w:r>
        <w:t>bon</w:t>
      </w:r>
      <w:r w:rsidRPr="002C4077">
        <w:t xml:space="preserve"> </w:t>
      </w:r>
      <w:r>
        <w:t>sens</w:t>
      </w:r>
      <w:r w:rsidRPr="002C4077">
        <w:t xml:space="preserve"> </w:t>
      </w:r>
      <w:r>
        <w:t>populaire,</w:t>
      </w:r>
      <w:r w:rsidRPr="002C4077">
        <w:t xml:space="preserve"> </w:t>
      </w:r>
      <w:r>
        <w:t>d’accord</w:t>
      </w:r>
      <w:r w:rsidRPr="002C4077">
        <w:t xml:space="preserve"> </w:t>
      </w:r>
      <w:r>
        <w:t>avec</w:t>
      </w:r>
      <w:r w:rsidRPr="002C4077">
        <w:t xml:space="preserve"> </w:t>
      </w:r>
      <w:r>
        <w:t>la</w:t>
      </w:r>
      <w:r w:rsidRPr="002C4077">
        <w:t xml:space="preserve"> </w:t>
      </w:r>
      <w:r>
        <w:t>vraie</w:t>
      </w:r>
      <w:r w:rsidRPr="002C4077">
        <w:t xml:space="preserve"> </w:t>
      </w:r>
      <w:r>
        <w:t>philosophie,</w:t>
      </w:r>
      <w:r w:rsidRPr="002C4077">
        <w:t xml:space="preserve"> </w:t>
      </w:r>
      <w:r>
        <w:t>l’a</w:t>
      </w:r>
      <w:r w:rsidRPr="002C4077">
        <w:t xml:space="preserve"> </w:t>
      </w:r>
      <w:r>
        <w:t>dit</w:t>
      </w:r>
      <w:r w:rsidRPr="002C4077">
        <w:t xml:space="preserve"> </w:t>
      </w:r>
      <w:r>
        <w:t>depuis</w:t>
      </w:r>
      <w:r w:rsidRPr="002C4077">
        <w:t xml:space="preserve"> </w:t>
      </w:r>
      <w:r>
        <w:t>longtemps</w:t>
      </w:r>
      <w:r w:rsidR="00B546AF">
        <w:t> :</w:t>
      </w:r>
      <w:r w:rsidRPr="002C4077">
        <w:t xml:space="preserve"> </w:t>
      </w:r>
      <w:r>
        <w:t>Qui</w:t>
      </w:r>
      <w:r w:rsidRPr="002C4077">
        <w:t xml:space="preserve"> </w:t>
      </w:r>
      <w:r>
        <w:t>prouve</w:t>
      </w:r>
      <w:r w:rsidRPr="002C4077">
        <w:t xml:space="preserve"> </w:t>
      </w:r>
      <w:r>
        <w:t>trop,</w:t>
      </w:r>
      <w:r w:rsidRPr="002C4077">
        <w:t xml:space="preserve"> </w:t>
      </w:r>
      <w:r>
        <w:t>ne</w:t>
      </w:r>
      <w:r w:rsidRPr="002C4077">
        <w:t xml:space="preserve"> </w:t>
      </w:r>
      <w:r>
        <w:t>prouve</w:t>
      </w:r>
      <w:r w:rsidRPr="002C4077">
        <w:t xml:space="preserve"> </w:t>
      </w:r>
      <w:r>
        <w:t>rien.</w:t>
      </w:r>
      <w:r w:rsidRPr="002C4077">
        <w:t xml:space="preserve"> </w:t>
      </w:r>
      <w:r>
        <w:t>Et</w:t>
      </w:r>
      <w:r w:rsidRPr="002C4077">
        <w:t xml:space="preserve"> </w:t>
      </w:r>
      <w:r>
        <w:t>en</w:t>
      </w:r>
      <w:r w:rsidRPr="002C4077">
        <w:t xml:space="preserve"> </w:t>
      </w:r>
      <w:r>
        <w:t>effet,</w:t>
      </w:r>
      <w:r w:rsidRPr="002C4077">
        <w:t xml:space="preserve"> </w:t>
      </w:r>
      <w:r>
        <w:t>raisonner</w:t>
      </w:r>
      <w:r w:rsidRPr="002C4077">
        <w:t xml:space="preserve"> </w:t>
      </w:r>
      <w:r>
        <w:t>de</w:t>
      </w:r>
      <w:r w:rsidRPr="002C4077">
        <w:t xml:space="preserve"> </w:t>
      </w:r>
      <w:r>
        <w:t>la</w:t>
      </w:r>
      <w:r w:rsidRPr="002C4077">
        <w:t xml:space="preserve"> </w:t>
      </w:r>
      <w:r>
        <w:t>sorte,</w:t>
      </w:r>
      <w:r w:rsidRPr="002C4077">
        <w:t xml:space="preserve"> </w:t>
      </w:r>
      <w:r>
        <w:t>n’est-ce</w:t>
      </w:r>
      <w:r w:rsidRPr="002C4077">
        <w:t xml:space="preserve"> </w:t>
      </w:r>
      <w:r>
        <w:t>pas</w:t>
      </w:r>
      <w:r w:rsidRPr="002C4077">
        <w:t xml:space="preserve"> </w:t>
      </w:r>
      <w:r>
        <w:t>porter</w:t>
      </w:r>
      <w:r w:rsidRPr="002C4077">
        <w:t xml:space="preserve"> </w:t>
      </w:r>
      <w:r>
        <w:t>un</w:t>
      </w:r>
      <w:r w:rsidRPr="002C4077">
        <w:t xml:space="preserve"> </w:t>
      </w:r>
      <w:r>
        <w:t>outrageant</w:t>
      </w:r>
      <w:r w:rsidRPr="002C4077">
        <w:t xml:space="preserve"> </w:t>
      </w:r>
      <w:r>
        <w:t>défi</w:t>
      </w:r>
      <w:r w:rsidRPr="002C4077">
        <w:t xml:space="preserve"> </w:t>
      </w:r>
      <w:r>
        <w:t>à</w:t>
      </w:r>
      <w:r w:rsidRPr="002C4077">
        <w:t xml:space="preserve"> </w:t>
      </w:r>
      <w:r>
        <w:t>la</w:t>
      </w:r>
      <w:r w:rsidRPr="002C4077">
        <w:t xml:space="preserve"> </w:t>
      </w:r>
      <w:r>
        <w:t>raison</w:t>
      </w:r>
      <w:r w:rsidRPr="002C4077">
        <w:t xml:space="preserve"> </w:t>
      </w:r>
      <w:r>
        <w:t>humaine</w:t>
      </w:r>
      <w:r w:rsidR="00B546AF">
        <w:t> ?</w:t>
      </w:r>
      <w:r w:rsidRPr="002C4077">
        <w:t xml:space="preserve"> </w:t>
      </w:r>
      <w:r>
        <w:t>Méconnaître</w:t>
      </w:r>
      <w:r w:rsidRPr="002C4077">
        <w:t xml:space="preserve"> </w:t>
      </w:r>
      <w:r>
        <w:t>à</w:t>
      </w:r>
      <w:r w:rsidRPr="002C4077">
        <w:t xml:space="preserve"> </w:t>
      </w:r>
      <w:r>
        <w:t>un</w:t>
      </w:r>
      <w:r w:rsidRPr="002C4077">
        <w:t xml:space="preserve"> </w:t>
      </w:r>
      <w:r>
        <w:t>tel</w:t>
      </w:r>
      <w:r w:rsidRPr="002C4077">
        <w:t xml:space="preserve"> </w:t>
      </w:r>
      <w:r>
        <w:t>point</w:t>
      </w:r>
      <w:r w:rsidRPr="002C4077">
        <w:t xml:space="preserve"> </w:t>
      </w:r>
      <w:r>
        <w:t>les</w:t>
      </w:r>
      <w:r w:rsidRPr="002C4077">
        <w:t xml:space="preserve"> </w:t>
      </w:r>
      <w:r>
        <w:t>lois</w:t>
      </w:r>
      <w:r w:rsidRPr="002C4077">
        <w:t xml:space="preserve"> </w:t>
      </w:r>
      <w:r>
        <w:t>essentielles</w:t>
      </w:r>
      <w:r w:rsidRPr="002C4077">
        <w:t xml:space="preserve"> </w:t>
      </w:r>
      <w:r>
        <w:t>qui</w:t>
      </w:r>
      <w:r w:rsidRPr="002C4077">
        <w:t xml:space="preserve"> </w:t>
      </w:r>
      <w:r>
        <w:t>la</w:t>
      </w:r>
      <w:r w:rsidRPr="002C4077">
        <w:t xml:space="preserve"> </w:t>
      </w:r>
      <w:r>
        <w:t>gouvernent,</w:t>
      </w:r>
      <w:r w:rsidRPr="002C4077">
        <w:t xml:space="preserve"> </w:t>
      </w:r>
      <w:r>
        <w:t>n’est-ce</w:t>
      </w:r>
      <w:r w:rsidRPr="002C4077">
        <w:t xml:space="preserve"> </w:t>
      </w:r>
      <w:r>
        <w:t>pas</w:t>
      </w:r>
      <w:r w:rsidRPr="002C4077">
        <w:t xml:space="preserve"> </w:t>
      </w:r>
      <w:r>
        <w:t>provoquer</w:t>
      </w:r>
      <w:r w:rsidRPr="002C4077">
        <w:t xml:space="preserve"> </w:t>
      </w:r>
      <w:r>
        <w:t>de</w:t>
      </w:r>
      <w:r w:rsidRPr="002C4077">
        <w:t xml:space="preserve"> </w:t>
      </w:r>
      <w:r>
        <w:t>sa</w:t>
      </w:r>
      <w:r w:rsidRPr="002C4077">
        <w:t xml:space="preserve"> </w:t>
      </w:r>
      <w:r>
        <w:t>part</w:t>
      </w:r>
      <w:r w:rsidRPr="002C4077">
        <w:t xml:space="preserve"> </w:t>
      </w:r>
      <w:r>
        <w:t>une</w:t>
      </w:r>
      <w:r w:rsidRPr="002C4077">
        <w:t xml:space="preserve"> </w:t>
      </w:r>
      <w:r>
        <w:t>réaction</w:t>
      </w:r>
      <w:r w:rsidRPr="002C4077">
        <w:t xml:space="preserve"> </w:t>
      </w:r>
      <w:r>
        <w:t>dont</w:t>
      </w:r>
      <w:r w:rsidRPr="002C4077">
        <w:t xml:space="preserve"> </w:t>
      </w:r>
      <w:r>
        <w:t>le</w:t>
      </w:r>
      <w:r w:rsidRPr="002C4077">
        <w:t xml:space="preserve"> </w:t>
      </w:r>
      <w:r>
        <w:t>profit</w:t>
      </w:r>
      <w:r w:rsidRPr="002C4077">
        <w:t xml:space="preserve"> </w:t>
      </w:r>
      <w:r>
        <w:t>ne</w:t>
      </w:r>
      <w:r w:rsidRPr="002C4077">
        <w:t xml:space="preserve"> </w:t>
      </w:r>
      <w:r>
        <w:t>sera</w:t>
      </w:r>
      <w:r w:rsidRPr="002C4077">
        <w:t xml:space="preserve"> </w:t>
      </w:r>
      <w:r>
        <w:t>nullement</w:t>
      </w:r>
      <w:r w:rsidRPr="002C4077">
        <w:t xml:space="preserve"> </w:t>
      </w:r>
      <w:r>
        <w:t>pour</w:t>
      </w:r>
      <w:r w:rsidRPr="002C4077">
        <w:t xml:space="preserve"> </w:t>
      </w:r>
      <w:r>
        <w:t>la</w:t>
      </w:r>
      <w:r w:rsidRPr="002C4077">
        <w:t xml:space="preserve"> </w:t>
      </w:r>
      <w:r>
        <w:t>critique</w:t>
      </w:r>
      <w:r w:rsidRPr="002C4077">
        <w:t xml:space="preserve"> </w:t>
      </w:r>
      <w:r>
        <w:t>incrédule</w:t>
      </w:r>
      <w:r w:rsidR="00B546AF">
        <w:t> ?</w:t>
      </w:r>
      <w:r w:rsidRPr="002C4077">
        <w:t xml:space="preserve"> </w:t>
      </w:r>
      <w:r>
        <w:t>En</w:t>
      </w:r>
      <w:r w:rsidRPr="002C4077">
        <w:t xml:space="preserve"> </w:t>
      </w:r>
      <w:r>
        <w:t>un</w:t>
      </w:r>
      <w:r w:rsidRPr="002C4077">
        <w:t xml:space="preserve"> </w:t>
      </w:r>
      <w:r>
        <w:t>mot,</w:t>
      </w:r>
      <w:r w:rsidRPr="002C4077">
        <w:t xml:space="preserve"> </w:t>
      </w:r>
      <w:r>
        <w:t>pour</w:t>
      </w:r>
      <w:r w:rsidRPr="002C4077">
        <w:t xml:space="preserve"> </w:t>
      </w:r>
      <w:r>
        <w:t>vouloir</w:t>
      </w:r>
      <w:r w:rsidRPr="002C4077">
        <w:t xml:space="preserve"> </w:t>
      </w:r>
      <w:r>
        <w:t>obstinément</w:t>
      </w:r>
      <w:r w:rsidRPr="002C4077">
        <w:t xml:space="preserve"> </w:t>
      </w:r>
      <w:r>
        <w:t>nier</w:t>
      </w:r>
      <w:r w:rsidRPr="002C4077">
        <w:t xml:space="preserve"> </w:t>
      </w:r>
      <w:r>
        <w:t>au</w:t>
      </w:r>
      <w:r w:rsidRPr="002C4077">
        <w:t xml:space="preserve"> </w:t>
      </w:r>
      <w:r w:rsidR="00425C50">
        <w:t>Christ</w:t>
      </w:r>
      <w:r w:rsidRPr="002C4077">
        <w:t xml:space="preserve"> </w:t>
      </w:r>
      <w:r>
        <w:t>et</w:t>
      </w:r>
      <w:r w:rsidRPr="002C4077">
        <w:t xml:space="preserve"> </w:t>
      </w:r>
      <w:r>
        <w:t>à</w:t>
      </w:r>
      <w:r w:rsidRPr="002C4077">
        <w:t xml:space="preserve"> </w:t>
      </w:r>
      <w:r>
        <w:t>son</w:t>
      </w:r>
      <w:r w:rsidRPr="002C4077">
        <w:t xml:space="preserve"> </w:t>
      </w:r>
      <w:r>
        <w:t>œuvre</w:t>
      </w:r>
      <w:r w:rsidRPr="002C4077">
        <w:t xml:space="preserve"> </w:t>
      </w:r>
      <w:r>
        <w:t>toute</w:t>
      </w:r>
      <w:r w:rsidRPr="002C4077">
        <w:t xml:space="preserve"> </w:t>
      </w:r>
      <w:r>
        <w:t>grandeur,</w:t>
      </w:r>
      <w:r w:rsidRPr="002C4077">
        <w:t xml:space="preserve"> </w:t>
      </w:r>
      <w:r>
        <w:t>même</w:t>
      </w:r>
      <w:r w:rsidRPr="002C4077">
        <w:t xml:space="preserve"> </w:t>
      </w:r>
      <w:r>
        <w:t>humaine,</w:t>
      </w:r>
      <w:r w:rsidRPr="002C4077">
        <w:t xml:space="preserve"> </w:t>
      </w:r>
      <w:r>
        <w:t>ne</w:t>
      </w:r>
      <w:r w:rsidRPr="002C4077">
        <w:t xml:space="preserve"> </w:t>
      </w:r>
      <w:r>
        <w:t>va-t-on</w:t>
      </w:r>
      <w:r w:rsidRPr="002C4077">
        <w:t xml:space="preserve"> </w:t>
      </w:r>
      <w:r>
        <w:t>pas</w:t>
      </w:r>
      <w:r w:rsidRPr="002C4077">
        <w:t xml:space="preserve"> </w:t>
      </w:r>
      <w:r>
        <w:t>contraindre</w:t>
      </w:r>
      <w:r w:rsidRPr="002C4077">
        <w:t xml:space="preserve"> </w:t>
      </w:r>
      <w:r>
        <w:t>ceux</w:t>
      </w:r>
      <w:r w:rsidRPr="002C4077">
        <w:t xml:space="preserve"> </w:t>
      </w:r>
      <w:r>
        <w:t>qui</w:t>
      </w:r>
      <w:r w:rsidRPr="002C4077">
        <w:t xml:space="preserve"> </w:t>
      </w:r>
      <w:r>
        <w:t>ne</w:t>
      </w:r>
      <w:r w:rsidRPr="002C4077">
        <w:t xml:space="preserve"> </w:t>
      </w:r>
      <w:r>
        <w:t>veulent</w:t>
      </w:r>
      <w:r w:rsidRPr="002C4077">
        <w:t xml:space="preserve"> </w:t>
      </w:r>
      <w:r>
        <w:t>pas</w:t>
      </w:r>
      <w:r w:rsidRPr="002C4077">
        <w:t xml:space="preserve"> </w:t>
      </w:r>
      <w:r>
        <w:t>admettre</w:t>
      </w:r>
      <w:r w:rsidRPr="002C4077">
        <w:t xml:space="preserve"> </w:t>
      </w:r>
      <w:r>
        <w:t>d’effets</w:t>
      </w:r>
      <w:r w:rsidRPr="002C4077">
        <w:t xml:space="preserve"> </w:t>
      </w:r>
      <w:r>
        <w:t>sans</w:t>
      </w:r>
      <w:r w:rsidRPr="002C4077">
        <w:t xml:space="preserve"> </w:t>
      </w:r>
      <w:r>
        <w:t>cause</w:t>
      </w:r>
      <w:r w:rsidRPr="002C4077">
        <w:t xml:space="preserve"> </w:t>
      </w:r>
      <w:r>
        <w:t>à</w:t>
      </w:r>
      <w:r w:rsidRPr="002C4077">
        <w:t xml:space="preserve"> </w:t>
      </w:r>
      <w:r>
        <w:t>replacer</w:t>
      </w:r>
      <w:r w:rsidRPr="002C4077">
        <w:t xml:space="preserve"> </w:t>
      </w:r>
      <w:r>
        <w:t>sur</w:t>
      </w:r>
      <w:r w:rsidRPr="002C4077">
        <w:t xml:space="preserve"> </w:t>
      </w:r>
      <w:r>
        <w:t>la</w:t>
      </w:r>
      <w:r w:rsidRPr="002C4077">
        <w:t xml:space="preserve"> </w:t>
      </w:r>
      <w:r>
        <w:t>tête</w:t>
      </w:r>
      <w:r w:rsidRPr="002C4077">
        <w:t xml:space="preserve"> </w:t>
      </w:r>
      <w:r>
        <w:t>de</w:t>
      </w:r>
      <w:r w:rsidRPr="002C4077">
        <w:t xml:space="preserve"> </w:t>
      </w:r>
      <w:r w:rsidR="00425C50">
        <w:t>Jésus</w:t>
      </w:r>
      <w:r w:rsidRPr="002C4077">
        <w:t xml:space="preserve"> </w:t>
      </w:r>
      <w:r>
        <w:t>l’auréole</w:t>
      </w:r>
      <w:r w:rsidRPr="002C4077">
        <w:t xml:space="preserve"> </w:t>
      </w:r>
      <w:r>
        <w:t>de</w:t>
      </w:r>
      <w:r w:rsidRPr="002C4077">
        <w:t xml:space="preserve"> </w:t>
      </w:r>
      <w:r>
        <w:t>la</w:t>
      </w:r>
      <w:r w:rsidRPr="002C4077">
        <w:t xml:space="preserve"> </w:t>
      </w:r>
      <w:r>
        <w:t>divinité</w:t>
      </w:r>
      <w:r w:rsidR="00B546AF">
        <w:t> ?</w:t>
      </w:r>
      <w:r w:rsidRPr="002C4077">
        <w:t xml:space="preserve"> </w:t>
      </w:r>
      <w:r>
        <w:t>Voilà</w:t>
      </w:r>
      <w:r w:rsidRPr="002C4077">
        <w:t xml:space="preserve"> </w:t>
      </w:r>
      <w:r>
        <w:lastRenderedPageBreak/>
        <w:t>comment,</w:t>
      </w:r>
      <w:r w:rsidRPr="002C4077">
        <w:t xml:space="preserve"> </w:t>
      </w:r>
      <w:r>
        <w:t>si</w:t>
      </w:r>
      <w:r w:rsidRPr="002C4077">
        <w:t xml:space="preserve"> </w:t>
      </w:r>
      <w:r>
        <w:t>je</w:t>
      </w:r>
      <w:r w:rsidRPr="002C4077">
        <w:t xml:space="preserve"> </w:t>
      </w:r>
      <w:r>
        <w:t>ne</w:t>
      </w:r>
      <w:r w:rsidRPr="002C4077">
        <w:t xml:space="preserve"> </w:t>
      </w:r>
      <w:r>
        <w:t>me</w:t>
      </w:r>
      <w:r w:rsidRPr="002C4077">
        <w:t xml:space="preserve"> </w:t>
      </w:r>
      <w:r>
        <w:t>trompe,</w:t>
      </w:r>
      <w:r w:rsidRPr="002C4077">
        <w:t xml:space="preserve"> </w:t>
      </w:r>
      <w:r>
        <w:t>le</w:t>
      </w:r>
      <w:r w:rsidRPr="002C4077">
        <w:t xml:space="preserve"> </w:t>
      </w:r>
      <w:r>
        <w:t>prétendu</w:t>
      </w:r>
      <w:r w:rsidRPr="002C4077">
        <w:t xml:space="preserve"> </w:t>
      </w:r>
      <w:r>
        <w:t>triomphe</w:t>
      </w:r>
      <w:r w:rsidRPr="002C4077">
        <w:t xml:space="preserve"> </w:t>
      </w:r>
      <w:r>
        <w:t>de</w:t>
      </w:r>
      <w:r w:rsidRPr="002C4077">
        <w:t xml:space="preserve"> </w:t>
      </w:r>
      <w:r>
        <w:t>ce</w:t>
      </w:r>
      <w:r w:rsidRPr="002C4077">
        <w:t xml:space="preserve"> </w:t>
      </w:r>
      <w:r>
        <w:t>rationalisme</w:t>
      </w:r>
      <w:r w:rsidRPr="002C4077">
        <w:t xml:space="preserve"> </w:t>
      </w:r>
      <w:r>
        <w:t>intransigeant</w:t>
      </w:r>
      <w:r w:rsidRPr="002C4077">
        <w:t xml:space="preserve"> </w:t>
      </w:r>
      <w:r>
        <w:t>et</w:t>
      </w:r>
      <w:r w:rsidRPr="002C4077">
        <w:t xml:space="preserve"> </w:t>
      </w:r>
      <w:r>
        <w:t>superbe</w:t>
      </w:r>
      <w:r w:rsidRPr="002C4077">
        <w:t xml:space="preserve"> </w:t>
      </w:r>
      <w:r>
        <w:t>se</w:t>
      </w:r>
      <w:r w:rsidRPr="002C4077">
        <w:t xml:space="preserve"> </w:t>
      </w:r>
      <w:r>
        <w:t>résout</w:t>
      </w:r>
      <w:r w:rsidRPr="002C4077">
        <w:t xml:space="preserve"> </w:t>
      </w:r>
      <w:r>
        <w:t>en</w:t>
      </w:r>
      <w:r w:rsidRPr="002C4077">
        <w:t xml:space="preserve"> </w:t>
      </w:r>
      <w:r>
        <w:t>une</w:t>
      </w:r>
      <w:r w:rsidRPr="002C4077">
        <w:t xml:space="preserve"> </w:t>
      </w:r>
      <w:r>
        <w:t>nouvelle</w:t>
      </w:r>
      <w:r w:rsidRPr="002C4077">
        <w:t xml:space="preserve"> </w:t>
      </w:r>
      <w:r>
        <w:t>et</w:t>
      </w:r>
      <w:r w:rsidRPr="002C4077">
        <w:t xml:space="preserve"> </w:t>
      </w:r>
      <w:r>
        <w:t>plus</w:t>
      </w:r>
      <w:r w:rsidRPr="002C4077">
        <w:t xml:space="preserve"> </w:t>
      </w:r>
      <w:r>
        <w:t>décisive</w:t>
      </w:r>
      <w:r w:rsidRPr="002C4077">
        <w:t xml:space="preserve"> </w:t>
      </w:r>
      <w:r>
        <w:t>victoire</w:t>
      </w:r>
      <w:r w:rsidRPr="002C4077">
        <w:t xml:space="preserve"> </w:t>
      </w:r>
      <w:r>
        <w:t>de</w:t>
      </w:r>
      <w:r w:rsidRPr="002C4077">
        <w:t xml:space="preserve"> </w:t>
      </w:r>
      <w:r>
        <w:t>notre</w:t>
      </w:r>
      <w:bookmarkStart w:id="394" w:name="z_Critique_o2"/>
      <w:bookmarkEnd w:id="394"/>
      <w:r w:rsidRPr="002C4077">
        <w:t xml:space="preserve"> </w:t>
      </w:r>
      <w:r>
        <w:t>foi</w:t>
      </w:r>
      <w:r w:rsidR="00B91AF7">
        <w:rPr>
          <w:rStyle w:val="Appelnotedebasdep"/>
        </w:rPr>
        <w:footnoteReference w:id="453"/>
      </w:r>
      <w:r w:rsidR="00B546AF">
        <w:t> »</w:t>
      </w:r>
      <w:r>
        <w:t>.</w:t>
      </w:r>
      <w:r w:rsidRPr="002C4077">
        <w:t xml:space="preserve"> </w:t>
      </w:r>
    </w:p>
    <w:p w:rsidR="00B868F2" w:rsidRDefault="00B868F2" w:rsidP="004D315A"/>
    <w:p w:rsidR="004D315A" w:rsidRPr="00B53529" w:rsidRDefault="004D315A" w:rsidP="004D315A">
      <w:r>
        <w:t>Il</w:t>
      </w:r>
      <w:r w:rsidRPr="002C4077">
        <w:t xml:space="preserve"> </w:t>
      </w:r>
      <w:r>
        <w:t>n’était</w:t>
      </w:r>
      <w:r w:rsidRPr="002C4077">
        <w:t xml:space="preserve"> </w:t>
      </w:r>
      <w:r>
        <w:t>pas</w:t>
      </w:r>
      <w:r w:rsidRPr="002C4077">
        <w:t xml:space="preserve"> </w:t>
      </w:r>
      <w:r>
        <w:t>possible</w:t>
      </w:r>
      <w:r w:rsidRPr="002C4077">
        <w:t xml:space="preserve"> </w:t>
      </w:r>
      <w:r>
        <w:t>de</w:t>
      </w:r>
      <w:r w:rsidRPr="002C4077">
        <w:t xml:space="preserve"> </w:t>
      </w:r>
      <w:r>
        <w:t>mieux</w:t>
      </w:r>
      <w:r w:rsidRPr="002C4077">
        <w:t xml:space="preserve"> </w:t>
      </w:r>
      <w:r>
        <w:t>commenter</w:t>
      </w:r>
      <w:r w:rsidRPr="002C4077">
        <w:t xml:space="preserve"> </w:t>
      </w:r>
      <w:r>
        <w:t>la</w:t>
      </w:r>
      <w:r w:rsidRPr="002C4077">
        <w:t xml:space="preserve"> </w:t>
      </w:r>
      <w:r>
        <w:t>célèbre</w:t>
      </w:r>
      <w:r w:rsidRPr="002C4077">
        <w:t xml:space="preserve"> </w:t>
      </w:r>
      <w:r>
        <w:t>réflexion</w:t>
      </w:r>
      <w:r w:rsidRPr="002C4077">
        <w:t xml:space="preserve"> </w:t>
      </w:r>
      <w:r>
        <w:t>de</w:t>
      </w:r>
      <w:r w:rsidRPr="002C4077">
        <w:t xml:space="preserve"> </w:t>
      </w:r>
      <w:r>
        <w:t>Pascal</w:t>
      </w:r>
      <w:r w:rsidR="00B546AF">
        <w:t> :</w:t>
      </w:r>
      <w:r w:rsidRPr="002C4077">
        <w:t xml:space="preserve"> </w:t>
      </w:r>
      <w:r w:rsidR="00B546AF">
        <w:t>« </w:t>
      </w:r>
      <w:r>
        <w:t>En</w:t>
      </w:r>
      <w:r w:rsidRPr="002C4077">
        <w:t xml:space="preserve"> </w:t>
      </w:r>
      <w:r>
        <w:t>vérité,</w:t>
      </w:r>
      <w:r w:rsidRPr="002C4077">
        <w:t xml:space="preserve"> </w:t>
      </w:r>
      <w:r>
        <w:t>il</w:t>
      </w:r>
      <w:r w:rsidRPr="002C4077">
        <w:t xml:space="preserve"> </w:t>
      </w:r>
      <w:r w:rsidR="00425C50">
        <w:t>est</w:t>
      </w:r>
      <w:r w:rsidRPr="002C4077">
        <w:t xml:space="preserve"> </w:t>
      </w:r>
      <w:r>
        <w:t>glorieux</w:t>
      </w:r>
      <w:r w:rsidRPr="002C4077">
        <w:t xml:space="preserve"> </w:t>
      </w:r>
      <w:r>
        <w:t>à</w:t>
      </w:r>
      <w:r w:rsidRPr="002C4077">
        <w:t xml:space="preserve"> </w:t>
      </w:r>
      <w:r>
        <w:t>la</w:t>
      </w:r>
      <w:r w:rsidRPr="002C4077">
        <w:t xml:space="preserve"> </w:t>
      </w:r>
      <w:r>
        <w:t>religion</w:t>
      </w:r>
      <w:r w:rsidRPr="002C4077">
        <w:t xml:space="preserve"> </w:t>
      </w:r>
      <w:r>
        <w:t>d’avoir</w:t>
      </w:r>
      <w:r w:rsidRPr="002C4077">
        <w:t xml:space="preserve"> </w:t>
      </w:r>
      <w:r>
        <w:t>pour</w:t>
      </w:r>
      <w:r w:rsidRPr="002C4077">
        <w:t xml:space="preserve"> </w:t>
      </w:r>
      <w:r>
        <w:t>ennemis</w:t>
      </w:r>
      <w:r w:rsidRPr="002C4077">
        <w:t xml:space="preserve"> </w:t>
      </w:r>
      <w:r>
        <w:t>des</w:t>
      </w:r>
      <w:r w:rsidRPr="002C4077">
        <w:t xml:space="preserve"> </w:t>
      </w:r>
      <w:r>
        <w:t>hommes</w:t>
      </w:r>
      <w:r w:rsidRPr="002C4077">
        <w:t xml:space="preserve"> </w:t>
      </w:r>
      <w:r>
        <w:t>si</w:t>
      </w:r>
      <w:r w:rsidRPr="002C4077">
        <w:t xml:space="preserve"> </w:t>
      </w:r>
      <w:r>
        <w:t>déraisonnables,</w:t>
      </w:r>
      <w:r w:rsidRPr="002C4077">
        <w:t xml:space="preserve"> </w:t>
      </w:r>
      <w:r>
        <w:t>et</w:t>
      </w:r>
      <w:r w:rsidRPr="002C4077">
        <w:t xml:space="preserve"> </w:t>
      </w:r>
      <w:r>
        <w:t>leur</w:t>
      </w:r>
      <w:r w:rsidRPr="002C4077">
        <w:t xml:space="preserve"> </w:t>
      </w:r>
      <w:r>
        <w:t>opposition</w:t>
      </w:r>
      <w:r w:rsidRPr="002C4077">
        <w:t xml:space="preserve"> </w:t>
      </w:r>
      <w:r>
        <w:t>lui</w:t>
      </w:r>
      <w:r w:rsidRPr="002C4077">
        <w:t xml:space="preserve"> </w:t>
      </w:r>
      <w:r w:rsidR="00425C50">
        <w:t>est</w:t>
      </w:r>
      <w:r w:rsidRPr="002C4077">
        <w:t xml:space="preserve"> </w:t>
      </w:r>
      <w:r>
        <w:t>si</w:t>
      </w:r>
      <w:r w:rsidRPr="002C4077">
        <w:t xml:space="preserve"> </w:t>
      </w:r>
      <w:r>
        <w:t>peu</w:t>
      </w:r>
      <w:r w:rsidRPr="002C4077">
        <w:t xml:space="preserve"> </w:t>
      </w:r>
      <w:r>
        <w:t>dangereuse</w:t>
      </w:r>
      <w:r w:rsidRPr="002C4077">
        <w:t xml:space="preserve"> </w:t>
      </w:r>
      <w:r>
        <w:t>qu’elle</w:t>
      </w:r>
      <w:r w:rsidRPr="002C4077">
        <w:t xml:space="preserve"> </w:t>
      </w:r>
      <w:r>
        <w:t>sert</w:t>
      </w:r>
      <w:r w:rsidRPr="002C4077">
        <w:t xml:space="preserve"> </w:t>
      </w:r>
      <w:r>
        <w:t>au</w:t>
      </w:r>
      <w:r w:rsidRPr="002C4077">
        <w:t xml:space="preserve"> </w:t>
      </w:r>
      <w:r>
        <w:t>contraire</w:t>
      </w:r>
      <w:r w:rsidRPr="002C4077">
        <w:t xml:space="preserve"> </w:t>
      </w:r>
      <w:r>
        <w:t>à</w:t>
      </w:r>
      <w:r w:rsidRPr="002C4077">
        <w:t xml:space="preserve"> </w:t>
      </w:r>
      <w:r>
        <w:t>l’établissement</w:t>
      </w:r>
      <w:r w:rsidRPr="002C4077">
        <w:t xml:space="preserve"> </w:t>
      </w:r>
      <w:r>
        <w:t>de</w:t>
      </w:r>
      <w:r w:rsidRPr="002C4077">
        <w:t xml:space="preserve"> </w:t>
      </w:r>
      <w:r>
        <w:t>ses</w:t>
      </w:r>
      <w:r w:rsidRPr="002C4077">
        <w:t xml:space="preserve"> </w:t>
      </w:r>
      <w:r>
        <w:t>principales</w:t>
      </w:r>
      <w:r w:rsidRPr="002C4077">
        <w:t xml:space="preserve"> </w:t>
      </w:r>
      <w:r>
        <w:t>vérités</w:t>
      </w:r>
      <w:r>
        <w:rPr>
          <w:rStyle w:val="Appelnotedebasdep"/>
        </w:rPr>
        <w:footnoteReference w:id="454"/>
      </w:r>
      <w:r w:rsidR="00B546AF">
        <w:t> »</w:t>
      </w:r>
      <w:r>
        <w:t>.</w:t>
      </w:r>
      <w:r w:rsidR="00C45B47">
        <w:t xml:space="preserve"> {</w:t>
      </w:r>
      <w:r w:rsidR="004C5B7A">
        <w:t>146</w:t>
      </w:r>
      <w:bookmarkStart w:id="395" w:name="p146"/>
      <w:bookmarkEnd w:id="395"/>
      <w:r w:rsidR="004C5B7A">
        <w:t>}</w:t>
      </w:r>
      <w:r w:rsidR="00C45B47">
        <w:t xml:space="preserve"> {</w:t>
      </w:r>
      <w:r w:rsidR="00B53529">
        <w:t>147</w:t>
      </w:r>
      <w:bookmarkStart w:id="396" w:name="p147"/>
      <w:bookmarkEnd w:id="396"/>
      <w:r w:rsidR="00B53529">
        <w:t xml:space="preserve">} </w:t>
      </w:r>
    </w:p>
    <w:p w:rsidR="000A7AAB" w:rsidRPr="008D184D" w:rsidRDefault="00BA21A1" w:rsidP="00BA21A1">
      <w:pPr>
        <w:pStyle w:val="Titre1"/>
      </w:pPr>
      <w:bookmarkStart w:id="397" w:name="_Toc43882012"/>
      <w:r w:rsidRPr="008D184D">
        <w:t>IV.</w:t>
      </w:r>
      <w:r w:rsidRPr="008D184D">
        <w:br/>
      </w:r>
      <w:r w:rsidR="000A7AAB" w:rsidRPr="008D184D">
        <w:t>CE</w:t>
      </w:r>
      <w:r w:rsidR="000A7AAB" w:rsidRPr="002C4077">
        <w:t xml:space="preserve"> </w:t>
      </w:r>
      <w:r w:rsidR="000A7AAB" w:rsidRPr="008D184D">
        <w:t>QU’ON</w:t>
      </w:r>
      <w:r w:rsidR="000A7AAB" w:rsidRPr="002C4077">
        <w:t xml:space="preserve"> </w:t>
      </w:r>
      <w:r w:rsidR="000A7AAB" w:rsidRPr="008D184D">
        <w:t>DAIGNE</w:t>
      </w:r>
      <w:r w:rsidR="000A7AAB" w:rsidRPr="002C4077">
        <w:t xml:space="preserve"> </w:t>
      </w:r>
      <w:r w:rsidR="000A7AAB" w:rsidRPr="008D184D">
        <w:t>NOUS</w:t>
      </w:r>
      <w:r w:rsidR="000A7AAB" w:rsidRPr="002C4077">
        <w:t xml:space="preserve"> </w:t>
      </w:r>
      <w:r w:rsidR="000A7AAB" w:rsidRPr="008D184D">
        <w:t>LAISSER</w:t>
      </w:r>
      <w:r w:rsidR="000A7AAB" w:rsidRPr="002C4077">
        <w:t xml:space="preserve"> </w:t>
      </w:r>
      <w:r w:rsidR="000A7AAB" w:rsidRPr="008D184D">
        <w:t>DU</w:t>
      </w:r>
      <w:r w:rsidR="000A7AAB" w:rsidRPr="002C4077">
        <w:t xml:space="preserve"> </w:t>
      </w:r>
      <w:r w:rsidR="000A7AAB" w:rsidRPr="008D184D">
        <w:t>NOUVEAU</w:t>
      </w:r>
      <w:r w:rsidR="000A7AAB" w:rsidRPr="002C4077">
        <w:t xml:space="preserve"> </w:t>
      </w:r>
      <w:r w:rsidR="000A7AAB" w:rsidRPr="008D184D">
        <w:t>TESTAMENT.</w:t>
      </w:r>
      <w:bookmarkStart w:id="398" w:name="a04"/>
      <w:bookmarkEnd w:id="397"/>
      <w:bookmarkEnd w:id="398"/>
      <w:r w:rsidR="000A7AAB" w:rsidRPr="002C4077">
        <w:t xml:space="preserve"> </w:t>
      </w:r>
    </w:p>
    <w:p w:rsidR="000A7AAB" w:rsidRDefault="000A7AAB" w:rsidP="000A7AAB">
      <w:r>
        <w:t>Dans</w:t>
      </w:r>
      <w:bookmarkStart w:id="399" w:name="z_EvangilesCritique_o1"/>
      <w:bookmarkEnd w:id="399"/>
      <w:r w:rsidRPr="002C4077">
        <w:t xml:space="preserve"> </w:t>
      </w:r>
      <w:r>
        <w:t>son</w:t>
      </w:r>
      <w:bookmarkStart w:id="400" w:name="z_TestamentNouveau_o1"/>
      <w:bookmarkEnd w:id="400"/>
      <w:r w:rsidRPr="002C4077">
        <w:t xml:space="preserve"> </w:t>
      </w:r>
      <w:r>
        <w:t>Bulletin</w:t>
      </w:r>
      <w:r w:rsidRPr="002C4077">
        <w:t xml:space="preserve"> </w:t>
      </w:r>
      <w:r>
        <w:t>critique</w:t>
      </w:r>
      <w:r w:rsidRPr="002C4077">
        <w:t xml:space="preserve"> </w:t>
      </w:r>
      <w:r>
        <w:t>des</w:t>
      </w:r>
      <w:r w:rsidRPr="002C4077">
        <w:t xml:space="preserve"> </w:t>
      </w:r>
      <w:r>
        <w:t>origines</w:t>
      </w:r>
      <w:r w:rsidRPr="002C4077">
        <w:t xml:space="preserve"> </w:t>
      </w:r>
      <w:r>
        <w:t>de</w:t>
      </w:r>
      <w:r w:rsidRPr="002C4077">
        <w:t xml:space="preserve"> </w:t>
      </w:r>
      <w:r>
        <w:t>la</w:t>
      </w:r>
      <w:r w:rsidRPr="002C4077">
        <w:t xml:space="preserve"> </w:t>
      </w:r>
      <w:r>
        <w:t>religion</w:t>
      </w:r>
      <w:r w:rsidRPr="002C4077">
        <w:t xml:space="preserve"> </w:t>
      </w:r>
      <w:r>
        <w:t>chrétienne,</w:t>
      </w:r>
      <w:r w:rsidRPr="002C4077">
        <w:t xml:space="preserve"> </w:t>
      </w:r>
      <w:r>
        <w:t>publié</w:t>
      </w:r>
      <w:r w:rsidRPr="002C4077">
        <w:t xml:space="preserve"> </w:t>
      </w:r>
      <w:r>
        <w:t>naguère</w:t>
      </w:r>
      <w:r w:rsidRPr="002C4077">
        <w:t xml:space="preserve"> </w:t>
      </w:r>
      <w:r>
        <w:t>par</w:t>
      </w:r>
      <w:r w:rsidRPr="002C4077">
        <w:t xml:space="preserve"> </w:t>
      </w:r>
      <w:r>
        <w:t>la</w:t>
      </w:r>
      <w:r w:rsidRPr="002C4077">
        <w:t xml:space="preserve"> </w:t>
      </w:r>
      <w:r w:rsidRPr="000A34B5">
        <w:rPr>
          <w:rStyle w:val="italicus"/>
        </w:rPr>
        <w:t>Revue</w:t>
      </w:r>
      <w:r w:rsidRPr="002C4077">
        <w:t xml:space="preserve"> </w:t>
      </w:r>
      <w:r w:rsidRPr="000A34B5">
        <w:rPr>
          <w:rStyle w:val="italicus"/>
        </w:rPr>
        <w:t>de</w:t>
      </w:r>
      <w:r w:rsidRPr="002C4077">
        <w:t xml:space="preserve"> </w:t>
      </w:r>
      <w:r w:rsidRPr="000A34B5">
        <w:rPr>
          <w:rStyle w:val="italicus"/>
        </w:rPr>
        <w:t>l’histoire</w:t>
      </w:r>
      <w:r w:rsidRPr="002C4077">
        <w:t xml:space="preserve"> </w:t>
      </w:r>
      <w:r w:rsidRPr="000A34B5">
        <w:rPr>
          <w:rStyle w:val="italicus"/>
        </w:rPr>
        <w:t>des</w:t>
      </w:r>
      <w:r w:rsidRPr="002C4077">
        <w:t xml:space="preserve"> </w:t>
      </w:r>
      <w:r w:rsidRPr="000A34B5">
        <w:rPr>
          <w:rStyle w:val="italicus"/>
        </w:rPr>
        <w:t>Religions</w:t>
      </w:r>
      <w:r w:rsidRPr="000A34B5">
        <w:rPr>
          <w:rStyle w:val="Appelnotedebasdep"/>
        </w:rPr>
        <w:footnoteReference w:id="455"/>
      </w:r>
      <w:r w:rsidRPr="000A34B5">
        <w:rPr>
          <w:rStyle w:val="italicus"/>
        </w:rPr>
        <w:t>,</w:t>
      </w:r>
      <w:r w:rsidRPr="002C4077">
        <w:t xml:space="preserve"> </w:t>
      </w:r>
      <w:r>
        <w:t>M.</w:t>
      </w:r>
      <w:r w:rsidRPr="002C4077">
        <w:t xml:space="preserve"> </w:t>
      </w:r>
      <w:r>
        <w:t>Maurice</w:t>
      </w:r>
      <w:r w:rsidRPr="002C4077">
        <w:t xml:space="preserve"> </w:t>
      </w:r>
      <w:r w:rsidR="007B3C26">
        <w:t>Ve</w:t>
      </w:r>
      <w:r>
        <w:t>rnes</w:t>
      </w:r>
      <w:bookmarkStart w:id="401" w:name="z_VernesMaurice_o1"/>
      <w:bookmarkEnd w:id="401"/>
      <w:r w:rsidRPr="002C4077">
        <w:t xml:space="preserve"> </w:t>
      </w:r>
      <w:r>
        <w:t>s’est</w:t>
      </w:r>
      <w:r w:rsidRPr="002C4077">
        <w:t xml:space="preserve"> </w:t>
      </w:r>
      <w:r>
        <w:t>imposé</w:t>
      </w:r>
      <w:r w:rsidRPr="002C4077">
        <w:t xml:space="preserve"> </w:t>
      </w:r>
      <w:r>
        <w:t>la</w:t>
      </w:r>
      <w:r w:rsidRPr="002C4077">
        <w:t xml:space="preserve"> </w:t>
      </w:r>
      <w:r>
        <w:t>tâche</w:t>
      </w:r>
      <w:r w:rsidRPr="002C4077">
        <w:t xml:space="preserve"> </w:t>
      </w:r>
      <w:r>
        <w:t>de</w:t>
      </w:r>
      <w:r w:rsidRPr="002C4077">
        <w:t xml:space="preserve"> </w:t>
      </w:r>
      <w:r>
        <w:t>dresser</w:t>
      </w:r>
      <w:r w:rsidRPr="002C4077">
        <w:t xml:space="preserve"> </w:t>
      </w:r>
      <w:r>
        <w:t>la</w:t>
      </w:r>
      <w:r w:rsidRPr="002C4077">
        <w:t xml:space="preserve"> </w:t>
      </w:r>
      <w:r>
        <w:t>liste</w:t>
      </w:r>
      <w:r w:rsidRPr="002C4077">
        <w:t xml:space="preserve"> </w:t>
      </w:r>
      <w:r>
        <w:t>de</w:t>
      </w:r>
      <w:r w:rsidRPr="002C4077">
        <w:t xml:space="preserve"> </w:t>
      </w:r>
      <w:r>
        <w:t>ceux</w:t>
      </w:r>
      <w:r w:rsidRPr="002C4077">
        <w:t xml:space="preserve"> </w:t>
      </w:r>
      <w:r>
        <w:t>des</w:t>
      </w:r>
      <w:r w:rsidRPr="002C4077">
        <w:t xml:space="preserve"> </w:t>
      </w:r>
      <w:r>
        <w:t>livres</w:t>
      </w:r>
      <w:r w:rsidRPr="002C4077">
        <w:t xml:space="preserve"> </w:t>
      </w:r>
      <w:r>
        <w:t>du</w:t>
      </w:r>
      <w:r w:rsidRPr="002C4077">
        <w:t xml:space="preserve"> </w:t>
      </w:r>
      <w:r>
        <w:t>Nouveau</w:t>
      </w:r>
      <w:r w:rsidRPr="002C4077">
        <w:t xml:space="preserve"> </w:t>
      </w:r>
      <w:r>
        <w:t>Testament</w:t>
      </w:r>
      <w:r w:rsidRPr="002C4077">
        <w:t xml:space="preserve"> </w:t>
      </w:r>
      <w:r>
        <w:t>que</w:t>
      </w:r>
      <w:r w:rsidRPr="002C4077">
        <w:t xml:space="preserve"> </w:t>
      </w:r>
      <w:r>
        <w:t>l’exégèse</w:t>
      </w:r>
      <w:r w:rsidRPr="002C4077">
        <w:t xml:space="preserve"> </w:t>
      </w:r>
      <w:r>
        <w:t>rationaliste</w:t>
      </w:r>
      <w:r w:rsidRPr="002C4077">
        <w:t xml:space="preserve"> </w:t>
      </w:r>
      <w:r>
        <w:t>consent,</w:t>
      </w:r>
      <w:r w:rsidRPr="002C4077">
        <w:t xml:space="preserve"> </w:t>
      </w:r>
      <w:r>
        <w:t>jusqu’à</w:t>
      </w:r>
      <w:r w:rsidRPr="002C4077">
        <w:t xml:space="preserve"> </w:t>
      </w:r>
      <w:r>
        <w:t>nouvel</w:t>
      </w:r>
      <w:r w:rsidRPr="002C4077">
        <w:t xml:space="preserve"> </w:t>
      </w:r>
      <w:r>
        <w:t>ordre,</w:t>
      </w:r>
      <w:r w:rsidRPr="002C4077">
        <w:t xml:space="preserve"> </w:t>
      </w:r>
      <w:r>
        <w:t>à</w:t>
      </w:r>
      <w:r w:rsidRPr="002C4077">
        <w:t xml:space="preserve"> </w:t>
      </w:r>
      <w:r>
        <w:t>regarder</w:t>
      </w:r>
      <w:r w:rsidRPr="002C4077">
        <w:t xml:space="preserve"> </w:t>
      </w:r>
      <w:r>
        <w:t>comme</w:t>
      </w:r>
      <w:r w:rsidRPr="002C4077">
        <w:t xml:space="preserve"> </w:t>
      </w:r>
      <w:r>
        <w:t>authentiques.</w:t>
      </w:r>
      <w:r w:rsidRPr="002C4077">
        <w:t xml:space="preserve"> </w:t>
      </w:r>
    </w:p>
    <w:p w:rsidR="000A7AAB" w:rsidRPr="00B53529" w:rsidRDefault="000A7AAB" w:rsidP="00846153">
      <w:r>
        <w:t>Tâche</w:t>
      </w:r>
      <w:r w:rsidRPr="002C4077">
        <w:t xml:space="preserve"> </w:t>
      </w:r>
      <w:r>
        <w:t>aisée,</w:t>
      </w:r>
      <w:r w:rsidRPr="002C4077">
        <w:t xml:space="preserve"> </w:t>
      </w:r>
      <w:r>
        <w:t>d’ailleurs</w:t>
      </w:r>
      <w:r w:rsidR="00B546AF">
        <w:t> :</w:t>
      </w:r>
      <w:r w:rsidRPr="002C4077">
        <w:t xml:space="preserve"> </w:t>
      </w:r>
      <w:r>
        <w:t>car,</w:t>
      </w:r>
      <w:r w:rsidRPr="002C4077">
        <w:t xml:space="preserve"> </w:t>
      </w:r>
      <w:r>
        <w:t>en</w:t>
      </w:r>
      <w:r w:rsidRPr="002C4077">
        <w:t xml:space="preserve"> </w:t>
      </w:r>
      <w:r>
        <w:t>premier</w:t>
      </w:r>
      <w:r w:rsidRPr="002C4077">
        <w:t xml:space="preserve"> </w:t>
      </w:r>
      <w:r>
        <w:t>lieu,</w:t>
      </w:r>
      <w:r w:rsidRPr="002C4077">
        <w:t xml:space="preserve"> </w:t>
      </w:r>
      <w:r>
        <w:t>il</w:t>
      </w:r>
      <w:r w:rsidRPr="002C4077">
        <w:t xml:space="preserve"> </w:t>
      </w:r>
      <w:r>
        <w:t>prend</w:t>
      </w:r>
      <w:r w:rsidRPr="002C4077">
        <w:t xml:space="preserve"> </w:t>
      </w:r>
      <w:r>
        <w:t>M.</w:t>
      </w:r>
      <w:r w:rsidRPr="002C4077">
        <w:t xml:space="preserve"> </w:t>
      </w:r>
      <w:r>
        <w:t>Reuss</w:t>
      </w:r>
      <w:bookmarkStart w:id="402" w:name="z_Reuss_o9"/>
      <w:bookmarkEnd w:id="402"/>
      <w:r w:rsidRPr="002C4077">
        <w:t xml:space="preserve"> </w:t>
      </w:r>
      <w:r>
        <w:t>pour</w:t>
      </w:r>
      <w:r w:rsidRPr="002C4077">
        <w:t xml:space="preserve"> </w:t>
      </w:r>
      <w:r w:rsidR="00B546AF">
        <w:t>« </w:t>
      </w:r>
      <w:r>
        <w:t>guide</w:t>
      </w:r>
      <w:r w:rsidR="00B546AF">
        <w:t> »</w:t>
      </w:r>
      <w:r w:rsidRPr="002C4077">
        <w:t xml:space="preserve"> </w:t>
      </w:r>
      <w:r>
        <w:t>d’un</w:t>
      </w:r>
      <w:r w:rsidRPr="002C4077">
        <w:t xml:space="preserve"> </w:t>
      </w:r>
      <w:r>
        <w:t>bout</w:t>
      </w:r>
      <w:r w:rsidRPr="002C4077">
        <w:t xml:space="preserve"> </w:t>
      </w:r>
      <w:r>
        <w:t>à</w:t>
      </w:r>
      <w:r w:rsidRPr="002C4077">
        <w:t xml:space="preserve"> </w:t>
      </w:r>
      <w:r>
        <w:t>l’autre</w:t>
      </w:r>
      <w:r w:rsidRPr="002C4077">
        <w:t xml:space="preserve"> </w:t>
      </w:r>
      <w:r>
        <w:t>de</w:t>
      </w:r>
      <w:r w:rsidRPr="002C4077">
        <w:t xml:space="preserve"> </w:t>
      </w:r>
      <w:r>
        <w:t>son</w:t>
      </w:r>
      <w:r w:rsidRPr="002C4077">
        <w:t xml:space="preserve"> </w:t>
      </w:r>
      <w:r>
        <w:t>article,</w:t>
      </w:r>
      <w:r w:rsidRPr="002C4077">
        <w:t xml:space="preserve"> </w:t>
      </w:r>
      <w:r>
        <w:t>c’est-à-dire</w:t>
      </w:r>
      <w:r w:rsidRPr="002C4077">
        <w:t xml:space="preserve"> </w:t>
      </w:r>
      <w:r>
        <w:t>qu’il</w:t>
      </w:r>
      <w:r w:rsidRPr="002C4077">
        <w:t xml:space="preserve"> </w:t>
      </w:r>
      <w:r>
        <w:t>adopte,</w:t>
      </w:r>
      <w:r w:rsidRPr="002C4077">
        <w:t xml:space="preserve"> </w:t>
      </w:r>
      <w:r>
        <w:t>à</w:t>
      </w:r>
      <w:r w:rsidRPr="002C4077">
        <w:t xml:space="preserve"> </w:t>
      </w:r>
      <w:r>
        <w:t>peu</w:t>
      </w:r>
      <w:r w:rsidRPr="002C4077">
        <w:t xml:space="preserve"> </w:t>
      </w:r>
      <w:r>
        <w:t>près</w:t>
      </w:r>
      <w:r w:rsidRPr="002C4077">
        <w:t xml:space="preserve"> </w:t>
      </w:r>
      <w:r>
        <w:t>sans</w:t>
      </w:r>
      <w:r w:rsidRPr="002C4077">
        <w:t xml:space="preserve"> </w:t>
      </w:r>
      <w:r>
        <w:t>y</w:t>
      </w:r>
      <w:r w:rsidRPr="002C4077">
        <w:t xml:space="preserve"> </w:t>
      </w:r>
      <w:r>
        <w:t>rien</w:t>
      </w:r>
      <w:r w:rsidRPr="002C4077">
        <w:t xml:space="preserve"> </w:t>
      </w:r>
      <w:r>
        <w:t>changer,</w:t>
      </w:r>
      <w:r w:rsidRPr="002C4077">
        <w:t xml:space="preserve"> </w:t>
      </w:r>
      <w:r>
        <w:t>les</w:t>
      </w:r>
      <w:r w:rsidRPr="002C4077">
        <w:t xml:space="preserve"> </w:t>
      </w:r>
      <w:r>
        <w:t>conclusions</w:t>
      </w:r>
      <w:r w:rsidRPr="002C4077">
        <w:t xml:space="preserve"> </w:t>
      </w:r>
      <w:r>
        <w:t>du</w:t>
      </w:r>
      <w:r w:rsidRPr="002C4077">
        <w:t xml:space="preserve"> </w:t>
      </w:r>
      <w:r>
        <w:t>hardi</w:t>
      </w:r>
      <w:r w:rsidRPr="002C4077">
        <w:t xml:space="preserve"> </w:t>
      </w:r>
      <w:r>
        <w:t>professeur</w:t>
      </w:r>
      <w:r w:rsidRPr="002C4077">
        <w:t xml:space="preserve"> </w:t>
      </w:r>
      <w:r>
        <w:t>strasbou</w:t>
      </w:r>
      <w:r w:rsidR="001730C6">
        <w:t>rg</w:t>
      </w:r>
      <w:r>
        <w:t>eois</w:t>
      </w:r>
      <w:r w:rsidR="00B546AF">
        <w:t> ;</w:t>
      </w:r>
      <w:r w:rsidRPr="002C4077">
        <w:t xml:space="preserve"> </w:t>
      </w:r>
      <w:r>
        <w:t>de</w:t>
      </w:r>
      <w:r w:rsidRPr="002C4077">
        <w:t xml:space="preserve"> </w:t>
      </w:r>
      <w:r>
        <w:t>plus,</w:t>
      </w:r>
      <w:r w:rsidRPr="002C4077">
        <w:t xml:space="preserve"> </w:t>
      </w:r>
      <w:r>
        <w:t>on</w:t>
      </w:r>
      <w:r w:rsidRPr="002C4077">
        <w:t xml:space="preserve"> </w:t>
      </w:r>
      <w:r>
        <w:t>va</w:t>
      </w:r>
      <w:r w:rsidRPr="002C4077">
        <w:t xml:space="preserve"> </w:t>
      </w:r>
      <w:r>
        <w:t>l’étendue</w:t>
      </w:r>
      <w:r w:rsidRPr="002C4077">
        <w:t xml:space="preserve"> </w:t>
      </w:r>
      <w:r>
        <w:t>de</w:t>
      </w:r>
      <w:r w:rsidRPr="002C4077">
        <w:t xml:space="preserve"> </w:t>
      </w:r>
      <w:r>
        <w:t>la</w:t>
      </w:r>
      <w:r w:rsidRPr="002C4077">
        <w:t xml:space="preserve"> </w:t>
      </w:r>
      <w:r>
        <w:t>liste.</w:t>
      </w:r>
      <w:r w:rsidR="00C45B47">
        <w:t xml:space="preserve"> {</w:t>
      </w:r>
      <w:r w:rsidR="00B53529">
        <w:t>148</w:t>
      </w:r>
      <w:bookmarkStart w:id="403" w:name="p148"/>
      <w:bookmarkEnd w:id="403"/>
      <w:r w:rsidR="00B53529">
        <w:t xml:space="preserve">} </w:t>
      </w:r>
    </w:p>
    <w:p w:rsidR="00846153" w:rsidRDefault="00846153" w:rsidP="00846153"/>
    <w:p w:rsidR="000A7AAB" w:rsidRDefault="00846153" w:rsidP="000A7AAB">
      <w:r w:rsidRPr="00846153">
        <w:rPr>
          <w:rStyle w:val="italicus"/>
        </w:rPr>
        <w:t>1.</w:t>
      </w:r>
      <w:r w:rsidRPr="002C4077">
        <w:t xml:space="preserve"> </w:t>
      </w:r>
      <w:r w:rsidRPr="00846153">
        <w:rPr>
          <w:rStyle w:val="italicus"/>
        </w:rPr>
        <w:t>Les</w:t>
      </w:r>
      <w:r w:rsidRPr="002C4077">
        <w:t xml:space="preserve"> </w:t>
      </w:r>
      <w:r w:rsidRPr="00846153">
        <w:rPr>
          <w:rStyle w:val="italicus"/>
        </w:rPr>
        <w:t>Évangiles.</w:t>
      </w:r>
      <w:r w:rsidRPr="002C4077">
        <w:t xml:space="preserve"> </w:t>
      </w:r>
      <w:r w:rsidRPr="00092F69">
        <w:rPr>
          <w:rStyle w:val="italicus"/>
          <w:i w:val="0"/>
        </w:rPr>
        <w:t>—</w:t>
      </w:r>
      <w:r w:rsidRPr="002C4077">
        <w:t xml:space="preserve"> </w:t>
      </w:r>
      <w:r>
        <w:rPr>
          <w:rStyle w:val="italicus"/>
          <w:i w:val="0"/>
        </w:rPr>
        <w:t>« </w:t>
      </w:r>
      <w:r w:rsidRPr="00092F69">
        <w:rPr>
          <w:rStyle w:val="italicus"/>
          <w:i w:val="0"/>
        </w:rPr>
        <w:t>Il</w:t>
      </w:r>
      <w:r w:rsidRPr="002C4077">
        <w:t xml:space="preserve"> </w:t>
      </w:r>
      <w:r w:rsidRPr="00092F69">
        <w:rPr>
          <w:rStyle w:val="italicus"/>
          <w:i w:val="0"/>
        </w:rPr>
        <w:t>faut</w:t>
      </w:r>
      <w:r w:rsidRPr="002C4077">
        <w:t xml:space="preserve"> </w:t>
      </w:r>
      <w:r w:rsidRPr="00092F69">
        <w:rPr>
          <w:rStyle w:val="italicus"/>
          <w:i w:val="0"/>
        </w:rPr>
        <w:t>savoir</w:t>
      </w:r>
      <w:r w:rsidRPr="002C4077">
        <w:t xml:space="preserve"> </w:t>
      </w:r>
      <w:r w:rsidRPr="00092F69">
        <w:rPr>
          <w:rStyle w:val="italicus"/>
          <w:i w:val="0"/>
        </w:rPr>
        <w:t>ici</w:t>
      </w:r>
      <w:r w:rsidRPr="002C4077">
        <w:t xml:space="preserve"> </w:t>
      </w:r>
      <w:r w:rsidRPr="00092F69">
        <w:rPr>
          <w:rStyle w:val="italicus"/>
          <w:i w:val="0"/>
        </w:rPr>
        <w:t>se</w:t>
      </w:r>
      <w:r w:rsidRPr="002C4077">
        <w:t xml:space="preserve"> </w:t>
      </w:r>
      <w:r w:rsidRPr="00092F69">
        <w:rPr>
          <w:rStyle w:val="italicus"/>
          <w:i w:val="0"/>
        </w:rPr>
        <w:t>contenter</w:t>
      </w:r>
      <w:r w:rsidRPr="002C4077">
        <w:t xml:space="preserve"> </w:t>
      </w:r>
      <w:r w:rsidRPr="00092F69">
        <w:rPr>
          <w:rStyle w:val="italicus"/>
          <w:i w:val="0"/>
        </w:rPr>
        <w:t>de</w:t>
      </w:r>
      <w:r w:rsidRPr="002C4077">
        <w:t xml:space="preserve"> </w:t>
      </w:r>
      <w:r w:rsidR="000A7AAB">
        <w:t>peu,</w:t>
      </w:r>
      <w:r w:rsidR="000A7AAB" w:rsidRPr="002C4077">
        <w:t xml:space="preserve"> </w:t>
      </w:r>
      <w:r w:rsidR="000A7AAB">
        <w:t>comme</w:t>
      </w:r>
      <w:r w:rsidR="000A7AAB" w:rsidRPr="002C4077">
        <w:t xml:space="preserve"> </w:t>
      </w:r>
      <w:r w:rsidR="000A7AAB">
        <w:t>en</w:t>
      </w:r>
      <w:r w:rsidR="000A7AAB" w:rsidRPr="002C4077">
        <w:t xml:space="preserve"> </w:t>
      </w:r>
      <w:r w:rsidR="000A7AAB">
        <w:t>mainte</w:t>
      </w:r>
      <w:r w:rsidR="000A7AAB" w:rsidRPr="002C4077">
        <w:t xml:space="preserve"> </w:t>
      </w:r>
      <w:r w:rsidR="000A7AAB">
        <w:t>autre</w:t>
      </w:r>
      <w:r w:rsidR="000A7AAB" w:rsidRPr="002C4077">
        <w:t xml:space="preserve"> </w:t>
      </w:r>
      <w:r w:rsidR="000A7AAB">
        <w:t>occasion</w:t>
      </w:r>
      <w:r w:rsidR="000A7AAB" w:rsidRPr="002C4077">
        <w:t xml:space="preserve"> </w:t>
      </w:r>
      <w:r w:rsidR="000A7AAB">
        <w:t>d’authenticité</w:t>
      </w:r>
      <w:r w:rsidR="000A7AAB" w:rsidRPr="002C4077">
        <w:t xml:space="preserve"> </w:t>
      </w:r>
      <w:r w:rsidR="000A7AAB">
        <w:t>littéraire</w:t>
      </w:r>
      <w:r w:rsidR="00B91AF7">
        <w:rPr>
          <w:rStyle w:val="Appelnotedebasdep"/>
        </w:rPr>
        <w:footnoteReference w:id="456"/>
      </w:r>
      <w:r w:rsidR="00B546AF">
        <w:t> »</w:t>
      </w:r>
      <w:r w:rsidR="000A7AAB">
        <w:t>.</w:t>
      </w:r>
      <w:r w:rsidR="000A7AAB" w:rsidRPr="002C4077">
        <w:t xml:space="preserve"> </w:t>
      </w:r>
    </w:p>
    <w:p w:rsidR="000A7AAB" w:rsidRDefault="000A7AAB" w:rsidP="000A7AAB">
      <w:r>
        <w:t>Cela</w:t>
      </w:r>
      <w:r w:rsidRPr="002C4077">
        <w:t xml:space="preserve"> </w:t>
      </w:r>
      <w:r>
        <w:t>promet</w:t>
      </w:r>
      <w:r w:rsidR="00B546AF">
        <w:t> !</w:t>
      </w:r>
      <w:r w:rsidRPr="002C4077">
        <w:t xml:space="preserve"> </w:t>
      </w:r>
      <w:r>
        <w:t>En</w:t>
      </w:r>
      <w:r w:rsidRPr="002C4077">
        <w:t xml:space="preserve"> </w:t>
      </w:r>
      <w:r>
        <w:t>réalité</w:t>
      </w:r>
      <w:r w:rsidRPr="002C4077">
        <w:t xml:space="preserve"> </w:t>
      </w:r>
      <w:r>
        <w:t>M.</w:t>
      </w:r>
      <w:r w:rsidRPr="002C4077">
        <w:t xml:space="preserve"> </w:t>
      </w:r>
      <w:r w:rsidR="007B3C26">
        <w:t>Ve</w:t>
      </w:r>
      <w:r>
        <w:t>rnes</w:t>
      </w:r>
      <w:r w:rsidRPr="002C4077">
        <w:t xml:space="preserve"> </w:t>
      </w:r>
      <w:r>
        <w:t>se</w:t>
      </w:r>
      <w:r w:rsidRPr="002C4077">
        <w:t xml:space="preserve"> </w:t>
      </w:r>
      <w:r>
        <w:t>contente</w:t>
      </w:r>
      <w:r w:rsidRPr="002C4077">
        <w:t xml:space="preserve"> </w:t>
      </w:r>
      <w:r>
        <w:t>de</w:t>
      </w:r>
      <w:r w:rsidRPr="002C4077">
        <w:t xml:space="preserve"> </w:t>
      </w:r>
      <w:r>
        <w:t>peu.</w:t>
      </w:r>
      <w:r w:rsidRPr="002C4077">
        <w:t xml:space="preserve"> </w:t>
      </w:r>
    </w:p>
    <w:p w:rsidR="000A7AAB" w:rsidRDefault="00B546AF" w:rsidP="000A7AAB">
      <w:r>
        <w:t>« </w:t>
      </w:r>
      <w:r w:rsidR="000A7AAB">
        <w:t>En</w:t>
      </w:r>
      <w:r w:rsidR="000A7AAB" w:rsidRPr="002C4077">
        <w:t xml:space="preserve"> </w:t>
      </w:r>
      <w:r w:rsidR="000A7AAB">
        <w:t>résumé,</w:t>
      </w:r>
      <w:r w:rsidR="000A7AAB" w:rsidRPr="002C4077">
        <w:t xml:space="preserve"> </w:t>
      </w:r>
      <w:r w:rsidR="000A7AAB">
        <w:t>dit-il</w:t>
      </w:r>
      <w:r w:rsidR="000A7AAB" w:rsidRPr="002C4077">
        <w:t xml:space="preserve"> </w:t>
      </w:r>
      <w:r w:rsidR="000A7AAB">
        <w:t>après</w:t>
      </w:r>
      <w:r w:rsidR="000A7AAB" w:rsidRPr="002C4077">
        <w:t xml:space="preserve"> </w:t>
      </w:r>
      <w:r w:rsidR="000A7AAB">
        <w:t>une</w:t>
      </w:r>
      <w:r w:rsidR="000A7AAB" w:rsidRPr="002C4077">
        <w:t xml:space="preserve"> </w:t>
      </w:r>
      <w:r w:rsidR="000A7AAB">
        <w:t>courte</w:t>
      </w:r>
      <w:r w:rsidR="000A7AAB" w:rsidRPr="002C4077">
        <w:t xml:space="preserve"> </w:t>
      </w:r>
      <w:r w:rsidR="000A7AAB">
        <w:t>discussion,</w:t>
      </w:r>
      <w:r w:rsidR="000A7AAB" w:rsidRPr="002C4077">
        <w:t xml:space="preserve"> </w:t>
      </w:r>
      <w:r w:rsidR="000A7AAB">
        <w:t>les</w:t>
      </w:r>
      <w:r w:rsidR="000A7AAB" w:rsidRPr="002C4077">
        <w:t xml:space="preserve"> </w:t>
      </w:r>
      <w:r w:rsidR="000A7AAB">
        <w:t>évangiles</w:t>
      </w:r>
      <w:r w:rsidR="000A7AAB" w:rsidRPr="002C4077">
        <w:t xml:space="preserve"> </w:t>
      </w:r>
      <w:r w:rsidR="000A7AAB">
        <w:t>synoptiques</w:t>
      </w:r>
      <w:r w:rsidR="00B91AF7">
        <w:rPr>
          <w:rStyle w:val="Appelnotedebasdep"/>
        </w:rPr>
        <w:footnoteReference w:id="457"/>
      </w:r>
      <w:r w:rsidR="000A7AAB">
        <w:t>,</w:t>
      </w:r>
      <w:r w:rsidR="000A7AAB" w:rsidRPr="002C4077">
        <w:t xml:space="preserve"> </w:t>
      </w:r>
      <w:r w:rsidR="000A7AAB">
        <w:t>considérés</w:t>
      </w:r>
      <w:r w:rsidR="000A7AAB" w:rsidRPr="002C4077">
        <w:t xml:space="preserve"> </w:t>
      </w:r>
      <w:r w:rsidR="000A7AAB">
        <w:t>comme</w:t>
      </w:r>
      <w:r w:rsidR="000A7AAB" w:rsidRPr="002C4077">
        <w:t xml:space="preserve"> </w:t>
      </w:r>
      <w:r w:rsidR="000A7AAB">
        <w:t>sources</w:t>
      </w:r>
      <w:r w:rsidR="000A7AAB" w:rsidRPr="002C4077">
        <w:t xml:space="preserve"> </w:t>
      </w:r>
      <w:r w:rsidR="000A7AAB">
        <w:t>de</w:t>
      </w:r>
      <w:r w:rsidR="000A7AAB" w:rsidRPr="002C4077">
        <w:t xml:space="preserve"> </w:t>
      </w:r>
      <w:r w:rsidR="000A7AAB">
        <w:t>renseignements</w:t>
      </w:r>
      <w:r w:rsidR="000A7AAB" w:rsidRPr="002C4077">
        <w:t xml:space="preserve"> </w:t>
      </w:r>
      <w:r w:rsidR="000A7AAB">
        <w:t>historiques</w:t>
      </w:r>
      <w:r w:rsidR="000A7AAB" w:rsidRPr="002C4077">
        <w:t xml:space="preserve"> </w:t>
      </w:r>
      <w:r w:rsidR="000A7AAB">
        <w:t>sur</w:t>
      </w:r>
      <w:r w:rsidR="000A7AAB" w:rsidRPr="002C4077">
        <w:t xml:space="preserve"> </w:t>
      </w:r>
      <w:r w:rsidR="000A7AAB">
        <w:t>un</w:t>
      </w:r>
      <w:r w:rsidR="000A7AAB" w:rsidRPr="002C4077">
        <w:t xml:space="preserve"> </w:t>
      </w:r>
      <w:r w:rsidR="000A7AAB">
        <w:t>homme</w:t>
      </w:r>
      <w:r w:rsidR="000A7AAB" w:rsidRPr="002C4077">
        <w:t xml:space="preserve"> </w:t>
      </w:r>
      <w:r w:rsidR="000A7AAB">
        <w:t>et</w:t>
      </w:r>
      <w:r w:rsidR="000A7AAB" w:rsidRPr="002C4077">
        <w:t xml:space="preserve"> </w:t>
      </w:r>
      <w:r w:rsidR="000A7AAB">
        <w:t>sur</w:t>
      </w:r>
      <w:r w:rsidR="000A7AAB" w:rsidRPr="002C4077">
        <w:t xml:space="preserve"> </w:t>
      </w:r>
      <w:r w:rsidR="000A7AAB">
        <w:t>la</w:t>
      </w:r>
      <w:r w:rsidR="000A7AAB" w:rsidRPr="002C4077">
        <w:t xml:space="preserve"> </w:t>
      </w:r>
      <w:r w:rsidR="000A7AAB">
        <w:t>vie</w:t>
      </w:r>
      <w:r w:rsidR="000A7AAB" w:rsidRPr="002C4077">
        <w:t xml:space="preserve"> </w:t>
      </w:r>
      <w:r w:rsidR="000A7AAB">
        <w:t>de</w:t>
      </w:r>
      <w:r w:rsidR="000A7AAB" w:rsidRPr="002C4077">
        <w:t xml:space="preserve"> </w:t>
      </w:r>
      <w:r w:rsidR="000A7AAB">
        <w:t>cet</w:t>
      </w:r>
      <w:r w:rsidR="000A7AAB" w:rsidRPr="002C4077">
        <w:t xml:space="preserve"> </w:t>
      </w:r>
      <w:r w:rsidR="000A7AAB">
        <w:t>homme,</w:t>
      </w:r>
      <w:r w:rsidR="000A7AAB" w:rsidRPr="002C4077">
        <w:t xml:space="preserve"> </w:t>
      </w:r>
      <w:r w:rsidR="000A7AAB">
        <w:t>ont</w:t>
      </w:r>
      <w:r w:rsidR="000A7AAB" w:rsidRPr="002C4077">
        <w:t xml:space="preserve"> </w:t>
      </w:r>
      <w:r w:rsidR="000A7AAB">
        <w:t>un</w:t>
      </w:r>
      <w:r w:rsidR="000A7AAB" w:rsidRPr="002C4077">
        <w:t xml:space="preserve"> </w:t>
      </w:r>
      <w:r w:rsidR="000A7AAB">
        <w:t>triple</w:t>
      </w:r>
      <w:r w:rsidR="000A7AAB" w:rsidRPr="002C4077">
        <w:t xml:space="preserve"> </w:t>
      </w:r>
      <w:r w:rsidR="000A7AAB">
        <w:t>inconvénient</w:t>
      </w:r>
      <w:r>
        <w:t> :</w:t>
      </w:r>
      <w:r w:rsidR="000A7AAB" w:rsidRPr="002C4077">
        <w:t xml:space="preserve"> </w:t>
      </w:r>
      <w:r w:rsidR="000A7AAB">
        <w:t>ils</w:t>
      </w:r>
      <w:r w:rsidR="000A7AAB" w:rsidRPr="002C4077">
        <w:t xml:space="preserve"> </w:t>
      </w:r>
      <w:r w:rsidR="000A7AAB">
        <w:t>ne</w:t>
      </w:r>
      <w:r w:rsidR="000A7AAB" w:rsidRPr="002C4077">
        <w:t xml:space="preserve"> </w:t>
      </w:r>
      <w:r w:rsidR="000A7AAB">
        <w:t>nous</w:t>
      </w:r>
      <w:r w:rsidR="000A7AAB" w:rsidRPr="002C4077">
        <w:t xml:space="preserve"> </w:t>
      </w:r>
      <w:r w:rsidR="000A7AAB">
        <w:t>sont</w:t>
      </w:r>
      <w:r w:rsidR="000A7AAB" w:rsidRPr="002C4077">
        <w:t xml:space="preserve"> </w:t>
      </w:r>
      <w:r w:rsidR="000A7AAB">
        <w:t>point</w:t>
      </w:r>
      <w:r w:rsidR="000A7AAB" w:rsidRPr="002C4077">
        <w:t xml:space="preserve"> </w:t>
      </w:r>
      <w:r w:rsidR="000A7AAB">
        <w:t>parvenus</w:t>
      </w:r>
      <w:r w:rsidR="000A7AAB" w:rsidRPr="002C4077">
        <w:t xml:space="preserve"> </w:t>
      </w:r>
      <w:r w:rsidR="000A7AAB">
        <w:t>dans</w:t>
      </w:r>
      <w:r w:rsidR="000A7AAB" w:rsidRPr="002C4077">
        <w:t xml:space="preserve"> </w:t>
      </w:r>
      <w:r w:rsidR="000A7AAB">
        <w:t>leur</w:t>
      </w:r>
      <w:r w:rsidR="000A7AAB" w:rsidRPr="002C4077">
        <w:t xml:space="preserve"> </w:t>
      </w:r>
      <w:r w:rsidR="000A7AAB">
        <w:t>état</w:t>
      </w:r>
      <w:r w:rsidR="000A7AAB" w:rsidRPr="002C4077">
        <w:t xml:space="preserve"> </w:t>
      </w:r>
      <w:r w:rsidR="000A7AAB">
        <w:t>primitif,</w:t>
      </w:r>
      <w:r w:rsidR="000A7AAB" w:rsidRPr="002C4077">
        <w:t xml:space="preserve"> </w:t>
      </w:r>
      <w:r w:rsidR="000A7AAB">
        <w:t>mais</w:t>
      </w:r>
      <w:r w:rsidR="000A7AAB" w:rsidRPr="002C4077">
        <w:t xml:space="preserve"> </w:t>
      </w:r>
      <w:r w:rsidR="000A7AAB">
        <w:t>à</w:t>
      </w:r>
      <w:r w:rsidR="000A7AAB" w:rsidRPr="002C4077">
        <w:t xml:space="preserve"> </w:t>
      </w:r>
      <w:r w:rsidR="000A7AAB">
        <w:t>la</w:t>
      </w:r>
      <w:r w:rsidR="000A7AAB" w:rsidRPr="002C4077">
        <w:t xml:space="preserve"> </w:t>
      </w:r>
      <w:r w:rsidR="000A7AAB">
        <w:t>suite</w:t>
      </w:r>
      <w:r w:rsidR="000A7AAB" w:rsidRPr="002C4077">
        <w:t xml:space="preserve"> </w:t>
      </w:r>
      <w:r w:rsidR="000A7AAB">
        <w:t>d’une</w:t>
      </w:r>
      <w:r w:rsidR="000A7AAB" w:rsidRPr="002C4077">
        <w:t xml:space="preserve"> </w:t>
      </w:r>
      <w:r w:rsidR="000A7AAB">
        <w:t>série</w:t>
      </w:r>
      <w:r w:rsidR="000A7AAB" w:rsidRPr="002C4077">
        <w:t xml:space="preserve"> </w:t>
      </w:r>
      <w:r w:rsidR="000A7AAB">
        <w:t>de</w:t>
      </w:r>
      <w:r w:rsidR="000A7AAB" w:rsidRPr="002C4077">
        <w:t xml:space="preserve"> </w:t>
      </w:r>
      <w:r w:rsidR="000A7AAB">
        <w:t>remaniements</w:t>
      </w:r>
      <w:r>
        <w:t> ;</w:t>
      </w:r>
      <w:r w:rsidR="000A7AAB" w:rsidRPr="002C4077">
        <w:t xml:space="preserve"> </w:t>
      </w:r>
      <w:r w:rsidR="000A7AAB">
        <w:t>ils</w:t>
      </w:r>
      <w:r w:rsidR="000A7AAB" w:rsidRPr="002C4077">
        <w:t xml:space="preserve"> </w:t>
      </w:r>
      <w:r w:rsidR="000A7AAB">
        <w:t>ont</w:t>
      </w:r>
      <w:r w:rsidR="000A7AAB" w:rsidRPr="002C4077">
        <w:t xml:space="preserve"> </w:t>
      </w:r>
      <w:r w:rsidR="000A7AAB">
        <w:t>été</w:t>
      </w:r>
      <w:r w:rsidR="000A7AAB" w:rsidRPr="002C4077">
        <w:t xml:space="preserve"> </w:t>
      </w:r>
      <w:r w:rsidR="000A7AAB">
        <w:t>envahis</w:t>
      </w:r>
      <w:r w:rsidR="000A7AAB" w:rsidRPr="002C4077">
        <w:t xml:space="preserve"> </w:t>
      </w:r>
      <w:r w:rsidR="000A7AAB">
        <w:t>dès</w:t>
      </w:r>
      <w:r w:rsidR="000A7AAB" w:rsidRPr="002C4077">
        <w:t xml:space="preserve"> </w:t>
      </w:r>
      <w:r w:rsidR="000A7AAB">
        <w:t>le</w:t>
      </w:r>
      <w:r w:rsidR="000A7AAB" w:rsidRPr="002C4077">
        <w:t xml:space="preserve"> </w:t>
      </w:r>
      <w:r w:rsidR="000A7AAB">
        <w:t>principe</w:t>
      </w:r>
      <w:r w:rsidR="000A7AAB" w:rsidRPr="002C4077">
        <w:t xml:space="preserve"> </w:t>
      </w:r>
      <w:r w:rsidR="000A7AAB">
        <w:t>par</w:t>
      </w:r>
      <w:r w:rsidR="000A7AAB" w:rsidRPr="002C4077">
        <w:t xml:space="preserve"> </w:t>
      </w:r>
      <w:r w:rsidR="000A7AAB">
        <w:t>la</w:t>
      </w:r>
      <w:r w:rsidR="000A7AAB" w:rsidRPr="002C4077">
        <w:t xml:space="preserve"> </w:t>
      </w:r>
      <w:r w:rsidR="000A7AAB">
        <w:t>végétation</w:t>
      </w:r>
      <w:r w:rsidR="000A7AAB" w:rsidRPr="002C4077">
        <w:t xml:space="preserve"> </w:t>
      </w:r>
      <w:r w:rsidR="000A7AAB">
        <w:t>de</w:t>
      </w:r>
      <w:r w:rsidR="000A7AAB" w:rsidRPr="002C4077">
        <w:t xml:space="preserve"> </w:t>
      </w:r>
      <w:r w:rsidR="000A7AAB">
        <w:t>la</w:t>
      </w:r>
      <w:r w:rsidR="000A7AAB" w:rsidRPr="002C4077">
        <w:t xml:space="preserve"> </w:t>
      </w:r>
      <w:r w:rsidR="000A7AAB">
        <w:t>légende</w:t>
      </w:r>
      <w:r w:rsidR="000A7AAB" w:rsidRPr="002C4077">
        <w:t xml:space="preserve"> </w:t>
      </w:r>
      <w:r w:rsidR="000A7AAB">
        <w:t>sous</w:t>
      </w:r>
      <w:r w:rsidR="000A7AAB" w:rsidRPr="002C4077">
        <w:t xml:space="preserve"> </w:t>
      </w:r>
      <w:r w:rsidR="000A7AAB">
        <w:t>sa</w:t>
      </w:r>
      <w:r w:rsidR="000A7AAB" w:rsidRPr="002C4077">
        <w:t xml:space="preserve"> </w:t>
      </w:r>
      <w:r w:rsidR="000A7AAB">
        <w:t>forme</w:t>
      </w:r>
      <w:r w:rsidR="000A7AAB" w:rsidRPr="002C4077">
        <w:t xml:space="preserve"> </w:t>
      </w:r>
      <w:r w:rsidR="000A7AAB">
        <w:t>la</w:t>
      </w:r>
      <w:r w:rsidR="000A7AAB" w:rsidRPr="002C4077">
        <w:t xml:space="preserve"> </w:t>
      </w:r>
      <w:r w:rsidR="000A7AAB">
        <w:t>plus</w:t>
      </w:r>
      <w:r w:rsidR="000A7AAB" w:rsidRPr="002C4077">
        <w:t xml:space="preserve"> </w:t>
      </w:r>
      <w:r w:rsidR="000A7AAB">
        <w:t>populaire</w:t>
      </w:r>
      <w:r w:rsidR="000A7AAB" w:rsidRPr="002C4077">
        <w:t xml:space="preserve"> </w:t>
      </w:r>
      <w:r w:rsidR="000A7AAB">
        <w:t>et</w:t>
      </w:r>
      <w:r w:rsidR="000A7AAB" w:rsidRPr="002C4077">
        <w:t xml:space="preserve"> </w:t>
      </w:r>
      <w:r w:rsidR="000A7AAB">
        <w:t>la</w:t>
      </w:r>
      <w:r w:rsidR="000A7AAB" w:rsidRPr="002C4077">
        <w:t xml:space="preserve"> </w:t>
      </w:r>
      <w:r w:rsidR="000A7AAB">
        <w:t>plus</w:t>
      </w:r>
      <w:r w:rsidR="000A7AAB" w:rsidRPr="002C4077">
        <w:t xml:space="preserve"> </w:t>
      </w:r>
      <w:r w:rsidR="000A7AAB">
        <w:t>massive</w:t>
      </w:r>
      <w:r>
        <w:t> ;</w:t>
      </w:r>
      <w:r w:rsidR="000A7AAB" w:rsidRPr="002C4077">
        <w:t xml:space="preserve"> </w:t>
      </w:r>
      <w:r w:rsidR="000A7AAB">
        <w:t>ils</w:t>
      </w:r>
      <w:r w:rsidR="000A7AAB" w:rsidRPr="002C4077">
        <w:t xml:space="preserve"> </w:t>
      </w:r>
      <w:r w:rsidR="000A7AAB">
        <w:t>ont</w:t>
      </w:r>
      <w:r w:rsidR="000A7AAB" w:rsidRPr="002C4077">
        <w:t xml:space="preserve"> </w:t>
      </w:r>
      <w:r w:rsidR="000A7AAB">
        <w:t>été</w:t>
      </w:r>
      <w:r w:rsidR="000A7AAB" w:rsidRPr="002C4077">
        <w:t xml:space="preserve"> </w:t>
      </w:r>
      <w:r w:rsidR="000A7AAB">
        <w:t>remaniés</w:t>
      </w:r>
      <w:r w:rsidR="000A7AAB" w:rsidRPr="002C4077">
        <w:t xml:space="preserve"> </w:t>
      </w:r>
      <w:r w:rsidR="000A7AAB">
        <w:t>au</w:t>
      </w:r>
      <w:r w:rsidR="000A7AAB" w:rsidRPr="002C4077">
        <w:t xml:space="preserve"> </w:t>
      </w:r>
      <w:r w:rsidR="000A7AAB">
        <w:t>point</w:t>
      </w:r>
      <w:r w:rsidR="000A7AAB" w:rsidRPr="002C4077">
        <w:t xml:space="preserve"> </w:t>
      </w:r>
      <w:r w:rsidR="000A7AAB">
        <w:t>de</w:t>
      </w:r>
      <w:r w:rsidR="000A7AAB" w:rsidRPr="002C4077">
        <w:t xml:space="preserve"> </w:t>
      </w:r>
      <w:r w:rsidR="000A7AAB">
        <w:t>vue</w:t>
      </w:r>
      <w:r w:rsidR="000A7AAB" w:rsidRPr="002C4077">
        <w:t xml:space="preserve"> </w:t>
      </w:r>
      <w:r w:rsidR="000A7AAB">
        <w:t>des</w:t>
      </w:r>
      <w:r w:rsidR="000A7AAB" w:rsidRPr="002C4077">
        <w:t xml:space="preserve"> </w:t>
      </w:r>
      <w:r w:rsidR="000A7AAB">
        <w:t>partis</w:t>
      </w:r>
      <w:r w:rsidR="000A7AAB" w:rsidRPr="002C4077">
        <w:t xml:space="preserve"> </w:t>
      </w:r>
      <w:r w:rsidR="000A7AAB">
        <w:t>qui</w:t>
      </w:r>
      <w:r w:rsidR="000A7AAB" w:rsidRPr="002C4077">
        <w:t xml:space="preserve"> </w:t>
      </w:r>
      <w:r w:rsidR="000A7AAB">
        <w:t>divisèrent</w:t>
      </w:r>
      <w:r w:rsidR="000A7AAB" w:rsidRPr="002C4077">
        <w:t xml:space="preserve"> </w:t>
      </w:r>
      <w:r w:rsidR="000A7AAB">
        <w:t>les</w:t>
      </w:r>
      <w:r w:rsidR="000A7AAB" w:rsidRPr="002C4077">
        <w:t xml:space="preserve"> </w:t>
      </w:r>
      <w:r w:rsidR="000A7AAB">
        <w:t>communautés</w:t>
      </w:r>
      <w:r w:rsidR="000A7AAB" w:rsidRPr="002C4077">
        <w:t xml:space="preserve"> </w:t>
      </w:r>
      <w:r w:rsidR="000A7AAB">
        <w:t>de</w:t>
      </w:r>
      <w:r w:rsidR="000A7AAB" w:rsidRPr="002C4077">
        <w:t xml:space="preserve"> </w:t>
      </w:r>
      <w:r w:rsidR="000A7AAB">
        <w:t>la</w:t>
      </w:r>
      <w:r w:rsidR="000A7AAB" w:rsidRPr="002C4077">
        <w:t xml:space="preserve"> </w:t>
      </w:r>
      <w:r w:rsidR="000A7AAB">
        <w:t>seconde</w:t>
      </w:r>
      <w:r w:rsidR="000A7AAB" w:rsidRPr="002C4077">
        <w:t xml:space="preserve"> </w:t>
      </w:r>
      <w:r w:rsidR="000A7AAB">
        <w:t>et</w:t>
      </w:r>
      <w:r w:rsidR="000A7AAB" w:rsidRPr="002C4077">
        <w:t xml:space="preserve"> </w:t>
      </w:r>
      <w:r w:rsidR="000A7AAB">
        <w:t>de</w:t>
      </w:r>
      <w:r w:rsidR="000A7AAB" w:rsidRPr="002C4077">
        <w:t xml:space="preserve"> </w:t>
      </w:r>
      <w:r w:rsidR="000A7AAB">
        <w:t>la</w:t>
      </w:r>
      <w:r w:rsidR="000A7AAB" w:rsidRPr="002C4077">
        <w:t xml:space="preserve"> </w:t>
      </w:r>
      <w:r w:rsidR="000A7AAB">
        <w:t>troisième</w:t>
      </w:r>
      <w:r w:rsidR="000A7AAB" w:rsidRPr="002C4077">
        <w:t xml:space="preserve"> </w:t>
      </w:r>
      <w:r w:rsidR="000A7AAB">
        <w:t>génération</w:t>
      </w:r>
      <w:r w:rsidR="000A7AAB" w:rsidRPr="002C4077">
        <w:t xml:space="preserve"> </w:t>
      </w:r>
      <w:r w:rsidR="000A7AAB">
        <w:t>chrétienne,</w:t>
      </w:r>
      <w:r w:rsidR="000A7AAB" w:rsidRPr="002C4077">
        <w:t xml:space="preserve"> </w:t>
      </w:r>
      <w:r w:rsidR="000A7AAB">
        <w:t>de</w:t>
      </w:r>
      <w:r w:rsidR="000A7AAB" w:rsidRPr="002C4077">
        <w:t xml:space="preserve"> </w:t>
      </w:r>
      <w:r w:rsidR="000A7AAB">
        <w:t>façon</w:t>
      </w:r>
      <w:r w:rsidR="000A7AAB" w:rsidRPr="002C4077">
        <w:t xml:space="preserve"> </w:t>
      </w:r>
      <w:r w:rsidR="000A7AAB">
        <w:t>à</w:t>
      </w:r>
      <w:r w:rsidR="000A7AAB" w:rsidRPr="002C4077">
        <w:t xml:space="preserve"> </w:t>
      </w:r>
      <w:r w:rsidR="000A7AAB">
        <w:t>appuyer</w:t>
      </w:r>
      <w:r w:rsidR="000A7AAB" w:rsidRPr="002C4077">
        <w:t xml:space="preserve"> </w:t>
      </w:r>
      <w:r w:rsidR="000A7AAB">
        <w:t>certaines</w:t>
      </w:r>
      <w:r w:rsidR="000A7AAB" w:rsidRPr="002C4077">
        <w:t xml:space="preserve"> </w:t>
      </w:r>
      <w:r w:rsidR="000A7AAB">
        <w:t>tendances</w:t>
      </w:r>
      <w:r w:rsidR="000A7AAB" w:rsidRPr="002C4077">
        <w:t xml:space="preserve"> </w:t>
      </w:r>
      <w:r w:rsidR="000A7AAB">
        <w:t>dogmatiques</w:t>
      </w:r>
      <w:r w:rsidR="000A7AAB" w:rsidRPr="002C4077">
        <w:t xml:space="preserve"> </w:t>
      </w:r>
      <w:r w:rsidR="000A7AAB">
        <w:t>et</w:t>
      </w:r>
      <w:r w:rsidR="000A7AAB" w:rsidRPr="002C4077">
        <w:t xml:space="preserve"> </w:t>
      </w:r>
      <w:r w:rsidR="000A7AAB">
        <w:t>à</w:t>
      </w:r>
      <w:r w:rsidR="000A7AAB" w:rsidRPr="002C4077">
        <w:t xml:space="preserve"> </w:t>
      </w:r>
      <w:r w:rsidR="000A7AAB">
        <w:t>en</w:t>
      </w:r>
      <w:r w:rsidR="000A7AAB" w:rsidRPr="002C4077">
        <w:t xml:space="preserve"> </w:t>
      </w:r>
      <w:r w:rsidR="000A7AAB">
        <w:t>combattre</w:t>
      </w:r>
      <w:r w:rsidR="000A7AAB" w:rsidRPr="002C4077">
        <w:t xml:space="preserve"> </w:t>
      </w:r>
      <w:r w:rsidR="000A7AAB">
        <w:t>d’autres.</w:t>
      </w:r>
      <w:r w:rsidR="000A7AAB" w:rsidRPr="002C4077">
        <w:t xml:space="preserve"> </w:t>
      </w:r>
      <w:r w:rsidR="000A7AAB">
        <w:t>En</w:t>
      </w:r>
      <w:r w:rsidR="000A7AAB" w:rsidRPr="002C4077">
        <w:t xml:space="preserve"> </w:t>
      </w:r>
      <w:r w:rsidR="000A7AAB">
        <w:t>considérant</w:t>
      </w:r>
      <w:r w:rsidR="000A7AAB" w:rsidRPr="002C4077">
        <w:t xml:space="preserve"> </w:t>
      </w:r>
      <w:r w:rsidR="000A7AAB">
        <w:t>comme</w:t>
      </w:r>
      <w:r w:rsidR="000A7AAB" w:rsidRPr="002C4077">
        <w:t xml:space="preserve"> </w:t>
      </w:r>
      <w:r w:rsidR="000A7AAB">
        <w:t>admis</w:t>
      </w:r>
      <w:r w:rsidR="000A7AAB" w:rsidRPr="002C4077">
        <w:t xml:space="preserve"> </w:t>
      </w:r>
      <w:r w:rsidR="000A7AAB">
        <w:t>les</w:t>
      </w:r>
      <w:r w:rsidR="000A7AAB" w:rsidRPr="002C4077">
        <w:t xml:space="preserve"> </w:t>
      </w:r>
      <w:r w:rsidR="000A7AAB">
        <w:t>résultats</w:t>
      </w:r>
      <w:r w:rsidR="000A7AAB" w:rsidRPr="002C4077">
        <w:t xml:space="preserve"> </w:t>
      </w:r>
      <w:r w:rsidR="000A7AAB">
        <w:t>obtenus</w:t>
      </w:r>
      <w:r w:rsidR="000A7AAB" w:rsidRPr="002C4077">
        <w:t xml:space="preserve"> </w:t>
      </w:r>
      <w:r w:rsidR="000A7AAB">
        <w:t>par</w:t>
      </w:r>
      <w:r w:rsidR="000A7AAB" w:rsidRPr="002C4077">
        <w:t xml:space="preserve"> </w:t>
      </w:r>
      <w:r w:rsidR="000A7AAB">
        <w:t>la</w:t>
      </w:r>
      <w:r w:rsidR="000A7AAB" w:rsidRPr="002C4077">
        <w:t xml:space="preserve"> </w:t>
      </w:r>
      <w:r w:rsidR="000A7AAB">
        <w:t>très</w:t>
      </w:r>
      <w:r w:rsidR="000A7AAB" w:rsidRPr="002C4077">
        <w:t xml:space="preserve"> </w:t>
      </w:r>
      <w:r w:rsidR="000A7AAB">
        <w:t>savante</w:t>
      </w:r>
      <w:r w:rsidR="000A7AAB" w:rsidRPr="002C4077">
        <w:t xml:space="preserve"> </w:t>
      </w:r>
      <w:r w:rsidR="000A7AAB">
        <w:t>étude</w:t>
      </w:r>
      <w:r w:rsidR="000A7AAB" w:rsidRPr="002C4077">
        <w:t xml:space="preserve"> </w:t>
      </w:r>
      <w:r w:rsidR="000A7AAB">
        <w:t>de</w:t>
      </w:r>
      <w:r w:rsidR="000A7AAB" w:rsidRPr="002C4077">
        <w:t xml:space="preserve"> </w:t>
      </w:r>
      <w:r w:rsidR="000A7AAB">
        <w:t>M.</w:t>
      </w:r>
      <w:r w:rsidR="000A7AAB" w:rsidRPr="002C4077">
        <w:t xml:space="preserve"> </w:t>
      </w:r>
      <w:r w:rsidR="000A7AAB">
        <w:t>Reuss,</w:t>
      </w:r>
      <w:r w:rsidR="000A7AAB" w:rsidRPr="002C4077">
        <w:t xml:space="preserve"> </w:t>
      </w:r>
      <w:r w:rsidR="000A7AAB">
        <w:t>il</w:t>
      </w:r>
      <w:r w:rsidR="000A7AAB" w:rsidRPr="002C4077">
        <w:t xml:space="preserve"> </w:t>
      </w:r>
      <w:r w:rsidR="000A7AAB">
        <w:t>y</w:t>
      </w:r>
      <w:r w:rsidR="000A7AAB" w:rsidRPr="002C4077">
        <w:t xml:space="preserve"> </w:t>
      </w:r>
      <w:r w:rsidR="000A7AAB">
        <w:t>a</w:t>
      </w:r>
      <w:r w:rsidR="000A7AAB" w:rsidRPr="002C4077">
        <w:t xml:space="preserve"> </w:t>
      </w:r>
      <w:r w:rsidR="000A7AAB">
        <w:t>donc</w:t>
      </w:r>
      <w:r w:rsidR="000A7AAB" w:rsidRPr="002C4077">
        <w:t xml:space="preserve"> </w:t>
      </w:r>
      <w:r w:rsidR="000A7AAB">
        <w:t>encore</w:t>
      </w:r>
      <w:r w:rsidR="000A7AAB" w:rsidRPr="002C4077">
        <w:t xml:space="preserve"> </w:t>
      </w:r>
      <w:r w:rsidR="000A7AAB">
        <w:t>beaucoup</w:t>
      </w:r>
      <w:r w:rsidR="000A7AAB" w:rsidRPr="002C4077">
        <w:t xml:space="preserve"> </w:t>
      </w:r>
      <w:r w:rsidR="000A7AAB">
        <w:t>à</w:t>
      </w:r>
      <w:r w:rsidR="000A7AAB" w:rsidRPr="002C4077">
        <w:t xml:space="preserve"> </w:t>
      </w:r>
      <w:r w:rsidR="000A7AAB">
        <w:t>faire</w:t>
      </w:r>
      <w:r w:rsidR="000A7AAB" w:rsidRPr="002C4077">
        <w:t xml:space="preserve"> </w:t>
      </w:r>
      <w:r w:rsidR="000A7AAB">
        <w:t>avant</w:t>
      </w:r>
      <w:r w:rsidR="000A7AAB" w:rsidRPr="002C4077">
        <w:t xml:space="preserve"> </w:t>
      </w:r>
      <w:r w:rsidR="000A7AAB">
        <w:t>d’arriver</w:t>
      </w:r>
      <w:r w:rsidR="000A7AAB" w:rsidRPr="002C4077">
        <w:t xml:space="preserve"> </w:t>
      </w:r>
      <w:r w:rsidR="000A7AAB">
        <w:t>à</w:t>
      </w:r>
      <w:r w:rsidR="000A7AAB" w:rsidRPr="002C4077">
        <w:t xml:space="preserve"> </w:t>
      </w:r>
      <w:r w:rsidR="000A7AAB">
        <w:t>une</w:t>
      </w:r>
      <w:r w:rsidR="000A7AAB" w:rsidRPr="002C4077">
        <w:t xml:space="preserve"> </w:t>
      </w:r>
      <w:r w:rsidR="000A7AAB">
        <w:t>vue</w:t>
      </w:r>
      <w:r w:rsidR="000A7AAB" w:rsidRPr="002C4077">
        <w:t xml:space="preserve"> </w:t>
      </w:r>
      <w:r w:rsidR="000A7AAB">
        <w:t>complète</w:t>
      </w:r>
      <w:r w:rsidR="000A7AAB" w:rsidRPr="002C4077">
        <w:t xml:space="preserve"> </w:t>
      </w:r>
      <w:r w:rsidR="000A7AAB">
        <w:t>en</w:t>
      </w:r>
      <w:r w:rsidR="000A7AAB" w:rsidRPr="002C4077">
        <w:t xml:space="preserve"> </w:t>
      </w:r>
      <w:r w:rsidR="000A7AAB">
        <w:t>ce</w:t>
      </w:r>
      <w:r w:rsidR="000A7AAB" w:rsidRPr="002C4077">
        <w:t xml:space="preserve"> </w:t>
      </w:r>
      <w:r w:rsidR="000A7AAB">
        <w:t>qui</w:t>
      </w:r>
      <w:r w:rsidR="000A7AAB" w:rsidRPr="002C4077">
        <w:t xml:space="preserve"> </w:t>
      </w:r>
      <w:r w:rsidR="000A7AAB">
        <w:t>concerne</w:t>
      </w:r>
      <w:r w:rsidR="000A7AAB" w:rsidRPr="002C4077">
        <w:t xml:space="preserve"> </w:t>
      </w:r>
      <w:r w:rsidR="000A7AAB">
        <w:t>leur</w:t>
      </w:r>
      <w:r w:rsidR="000A7AAB" w:rsidRPr="002C4077">
        <w:t xml:space="preserve"> </w:t>
      </w:r>
      <w:r w:rsidR="000A7AAB">
        <w:t>composition</w:t>
      </w:r>
      <w:r w:rsidR="00B91AF7">
        <w:rPr>
          <w:rStyle w:val="Appelnotedebasdep"/>
        </w:rPr>
        <w:footnoteReference w:id="458"/>
      </w:r>
      <w:r>
        <w:t> »</w:t>
      </w:r>
      <w:r w:rsidR="000A7AAB">
        <w:t>.</w:t>
      </w:r>
      <w:r w:rsidR="000A7AAB" w:rsidRPr="002C4077">
        <w:t xml:space="preserve"> </w:t>
      </w:r>
    </w:p>
    <w:p w:rsidR="000A7AAB" w:rsidRDefault="000A7AAB" w:rsidP="000A7AAB">
      <w:r>
        <w:t>Manière</w:t>
      </w:r>
      <w:r w:rsidRPr="002C4077">
        <w:t xml:space="preserve"> </w:t>
      </w:r>
      <w:r>
        <w:t>polie</w:t>
      </w:r>
      <w:r w:rsidRPr="002C4077">
        <w:t xml:space="preserve"> </w:t>
      </w:r>
      <w:r>
        <w:t>de</w:t>
      </w:r>
      <w:r w:rsidRPr="002C4077">
        <w:t xml:space="preserve"> </w:t>
      </w:r>
      <w:r>
        <w:t>les</w:t>
      </w:r>
      <w:r w:rsidRPr="002C4077">
        <w:t xml:space="preserve"> </w:t>
      </w:r>
      <w:r>
        <w:t>mettre</w:t>
      </w:r>
      <w:r w:rsidRPr="002C4077">
        <w:t xml:space="preserve"> </w:t>
      </w:r>
      <w:r>
        <w:t>à</w:t>
      </w:r>
      <w:r w:rsidRPr="002C4077">
        <w:t xml:space="preserve"> </w:t>
      </w:r>
      <w:r>
        <w:t>la</w:t>
      </w:r>
      <w:r w:rsidRPr="002C4077">
        <w:t xml:space="preserve"> </w:t>
      </w:r>
      <w:r>
        <w:t>porte</w:t>
      </w:r>
      <w:r w:rsidR="00B546AF">
        <w:t> !</w:t>
      </w:r>
      <w:r w:rsidRPr="002C4077">
        <w:t xml:space="preserve"> </w:t>
      </w:r>
    </w:p>
    <w:p w:rsidR="000A7AAB" w:rsidRDefault="000A7AAB" w:rsidP="000A7AAB">
      <w:r>
        <w:t>Ya-t-on</w:t>
      </w:r>
      <w:r w:rsidRPr="002C4077">
        <w:t xml:space="preserve"> </w:t>
      </w:r>
      <w:r>
        <w:t>du</w:t>
      </w:r>
      <w:r w:rsidRPr="002C4077">
        <w:t xml:space="preserve"> </w:t>
      </w:r>
      <w:r>
        <w:t>moins</w:t>
      </w:r>
      <w:r w:rsidRPr="002C4077">
        <w:t xml:space="preserve"> </w:t>
      </w:r>
      <w:r>
        <w:t>nous</w:t>
      </w:r>
      <w:r w:rsidRPr="002C4077">
        <w:t xml:space="preserve"> </w:t>
      </w:r>
      <w:r>
        <w:t>laisser</w:t>
      </w:r>
      <w:r w:rsidRPr="002C4077">
        <w:t xml:space="preserve"> </w:t>
      </w:r>
      <w:r>
        <w:t>le</w:t>
      </w:r>
      <w:r w:rsidRPr="002C4077">
        <w:t xml:space="preserve"> </w:t>
      </w:r>
      <w:r>
        <w:t>quatrième</w:t>
      </w:r>
      <w:r w:rsidRPr="002C4077">
        <w:t xml:space="preserve"> </w:t>
      </w:r>
      <w:r>
        <w:t>évangile</w:t>
      </w:r>
      <w:r w:rsidR="00B546AF">
        <w:t> ?</w:t>
      </w:r>
      <w:r w:rsidRPr="002C4077">
        <w:t xml:space="preserve"> </w:t>
      </w:r>
      <w:r>
        <w:t>Il</w:t>
      </w:r>
      <w:r w:rsidRPr="002C4077">
        <w:t xml:space="preserve"> </w:t>
      </w:r>
      <w:r>
        <w:t>a</w:t>
      </w:r>
      <w:r w:rsidRPr="002C4077">
        <w:t xml:space="preserve"> </w:t>
      </w:r>
      <w:r>
        <w:t>trouvé</w:t>
      </w:r>
      <w:r w:rsidRPr="002C4077">
        <w:t xml:space="preserve"> </w:t>
      </w:r>
      <w:r>
        <w:t>grâce</w:t>
      </w:r>
      <w:r w:rsidRPr="002C4077">
        <w:t xml:space="preserve"> </w:t>
      </w:r>
      <w:r>
        <w:t>devant</w:t>
      </w:r>
      <w:r w:rsidRPr="002C4077">
        <w:t xml:space="preserve"> </w:t>
      </w:r>
      <w:r>
        <w:t>un</w:t>
      </w:r>
      <w:r w:rsidRPr="002C4077">
        <w:t xml:space="preserve"> </w:t>
      </w:r>
      <w:r>
        <w:t>certain</w:t>
      </w:r>
      <w:r w:rsidRPr="002C4077">
        <w:t xml:space="preserve"> </w:t>
      </w:r>
      <w:r>
        <w:t>nombre</w:t>
      </w:r>
      <w:r w:rsidRPr="002C4077">
        <w:t xml:space="preserve"> </w:t>
      </w:r>
      <w:r>
        <w:t>de</w:t>
      </w:r>
      <w:r w:rsidRPr="002C4077">
        <w:t xml:space="preserve"> </w:t>
      </w:r>
      <w:r>
        <w:t>critiques</w:t>
      </w:r>
      <w:r w:rsidRPr="002C4077">
        <w:t xml:space="preserve"> </w:t>
      </w:r>
      <w:r>
        <w:t>des</w:t>
      </w:r>
      <w:r w:rsidRPr="002C4077">
        <w:t xml:space="preserve"> </w:t>
      </w:r>
      <w:r>
        <w:t>plus</w:t>
      </w:r>
      <w:r w:rsidRPr="002C4077">
        <w:t xml:space="preserve"> </w:t>
      </w:r>
      <w:r>
        <w:t>avancés,</w:t>
      </w:r>
      <w:r w:rsidRPr="002C4077">
        <w:t xml:space="preserve"> </w:t>
      </w:r>
      <w:r>
        <w:t>qui</w:t>
      </w:r>
      <w:r w:rsidRPr="002C4077">
        <w:t xml:space="preserve"> </w:t>
      </w:r>
      <w:r>
        <w:t>n’ont</w:t>
      </w:r>
      <w:r w:rsidRPr="002C4077">
        <w:t xml:space="preserve"> </w:t>
      </w:r>
      <w:r>
        <w:t>sacrifié</w:t>
      </w:r>
      <w:r w:rsidRPr="002C4077">
        <w:t xml:space="preserve"> </w:t>
      </w:r>
      <w:r>
        <w:t>les</w:t>
      </w:r>
      <w:r w:rsidRPr="002C4077">
        <w:t xml:space="preserve"> </w:t>
      </w:r>
      <w:r>
        <w:t>œuvres</w:t>
      </w:r>
      <w:r w:rsidRPr="002C4077">
        <w:t xml:space="preserve"> </w:t>
      </w:r>
      <w:r>
        <w:t>de</w:t>
      </w:r>
      <w:r w:rsidRPr="002C4077">
        <w:t xml:space="preserve"> </w:t>
      </w:r>
      <w:r>
        <w:t>saint</w:t>
      </w:r>
      <w:r w:rsidRPr="002C4077">
        <w:t xml:space="preserve"> </w:t>
      </w:r>
      <w:r w:rsidR="00425C50">
        <w:t>Matth</w:t>
      </w:r>
      <w:r>
        <w:t>ieu,</w:t>
      </w:r>
      <w:r w:rsidRPr="002C4077">
        <w:t xml:space="preserve"> </w:t>
      </w:r>
      <w:r>
        <w:t>de</w:t>
      </w:r>
      <w:r w:rsidRPr="002C4077">
        <w:t xml:space="preserve"> </w:t>
      </w:r>
      <w:r>
        <w:t>saint</w:t>
      </w:r>
      <w:r w:rsidRPr="002C4077">
        <w:t xml:space="preserve"> </w:t>
      </w:r>
      <w:r>
        <w:t>Marc</w:t>
      </w:r>
      <w:r w:rsidRPr="002C4077">
        <w:t xml:space="preserve"> </w:t>
      </w:r>
      <w:r>
        <w:t>et</w:t>
      </w:r>
      <w:r w:rsidRPr="002C4077">
        <w:t xml:space="preserve"> </w:t>
      </w:r>
      <w:r>
        <w:t>de</w:t>
      </w:r>
      <w:r w:rsidRPr="002C4077">
        <w:t xml:space="preserve"> </w:t>
      </w:r>
      <w:r>
        <w:t>saint</w:t>
      </w:r>
      <w:r w:rsidRPr="002C4077">
        <w:t xml:space="preserve"> </w:t>
      </w:r>
      <w:r>
        <w:t>Luc</w:t>
      </w:r>
      <w:r w:rsidRPr="002C4077">
        <w:t xml:space="preserve"> </w:t>
      </w:r>
      <w:r>
        <w:t>qu’à</w:t>
      </w:r>
      <w:r w:rsidRPr="002C4077">
        <w:t xml:space="preserve"> </w:t>
      </w:r>
      <w:r>
        <w:t>la</w:t>
      </w:r>
      <w:r w:rsidRPr="002C4077">
        <w:t xml:space="preserve"> </w:t>
      </w:r>
      <w:r>
        <w:t>condition</w:t>
      </w:r>
      <w:r w:rsidRPr="002C4077">
        <w:t xml:space="preserve"> </w:t>
      </w:r>
      <w:r>
        <w:t>expresse</w:t>
      </w:r>
      <w:r w:rsidRPr="002C4077">
        <w:t xml:space="preserve"> </w:t>
      </w:r>
      <w:r>
        <w:t>de</w:t>
      </w:r>
      <w:r w:rsidRPr="002C4077">
        <w:t xml:space="preserve"> </w:t>
      </w:r>
      <w:r>
        <w:t>conserver</w:t>
      </w:r>
      <w:r w:rsidRPr="002C4077">
        <w:t xml:space="preserve"> </w:t>
      </w:r>
      <w:r>
        <w:t>celle</w:t>
      </w:r>
      <w:r w:rsidRPr="002C4077">
        <w:t xml:space="preserve"> </w:t>
      </w:r>
      <w:r>
        <w:t>de</w:t>
      </w:r>
      <w:r w:rsidRPr="002C4077">
        <w:t xml:space="preserve"> </w:t>
      </w:r>
      <w:r>
        <w:t>saint</w:t>
      </w:r>
      <w:r w:rsidRPr="002C4077">
        <w:t xml:space="preserve"> </w:t>
      </w:r>
      <w:r>
        <w:t>Jean,</w:t>
      </w:r>
      <w:r w:rsidRPr="002C4077">
        <w:t xml:space="preserve"> </w:t>
      </w:r>
      <w:r>
        <w:t>ce</w:t>
      </w:r>
      <w:r w:rsidRPr="002C4077">
        <w:t xml:space="preserve"> </w:t>
      </w:r>
      <w:r>
        <w:t>faîte</w:t>
      </w:r>
      <w:r w:rsidRPr="002C4077">
        <w:t xml:space="preserve"> </w:t>
      </w:r>
      <w:r>
        <w:t>sublime</w:t>
      </w:r>
      <w:r w:rsidRPr="002C4077">
        <w:t xml:space="preserve"> </w:t>
      </w:r>
      <w:r>
        <w:t>de</w:t>
      </w:r>
      <w:r w:rsidRPr="002C4077">
        <w:t xml:space="preserve"> </w:t>
      </w:r>
      <w:r>
        <w:t>la</w:t>
      </w:r>
      <w:r w:rsidRPr="002C4077">
        <w:t xml:space="preserve"> </w:t>
      </w:r>
      <w:r>
        <w:t>littérature</w:t>
      </w:r>
      <w:r w:rsidRPr="002C4077">
        <w:t xml:space="preserve"> </w:t>
      </w:r>
      <w:r>
        <w:t>évangélique.</w:t>
      </w:r>
      <w:r w:rsidRPr="002C4077">
        <w:t xml:space="preserve"> </w:t>
      </w:r>
      <w:r>
        <w:t>Quel</w:t>
      </w:r>
      <w:r w:rsidRPr="002C4077">
        <w:t xml:space="preserve"> </w:t>
      </w:r>
      <w:r>
        <w:t>sort</w:t>
      </w:r>
      <w:r w:rsidRPr="002C4077">
        <w:t xml:space="preserve"> </w:t>
      </w:r>
      <w:r>
        <w:t>lui</w:t>
      </w:r>
      <w:r w:rsidRPr="002C4077">
        <w:t xml:space="preserve"> </w:t>
      </w:r>
      <w:r>
        <w:t>réserve</w:t>
      </w:r>
      <w:r w:rsidRPr="002C4077">
        <w:t xml:space="preserve"> </w:t>
      </w:r>
      <w:r>
        <w:t>M.</w:t>
      </w:r>
      <w:r w:rsidRPr="002C4077">
        <w:t xml:space="preserve"> </w:t>
      </w:r>
      <w:r w:rsidR="007B3C26">
        <w:t>Ve</w:t>
      </w:r>
      <w:r w:rsidR="00514F08">
        <w:t>rnes</w:t>
      </w:r>
      <w:r w:rsidR="00B546AF">
        <w:t> ?</w:t>
      </w:r>
      <w:r w:rsidRPr="002C4077">
        <w:t xml:space="preserve"> </w:t>
      </w:r>
    </w:p>
    <w:p w:rsidR="000A7AAB" w:rsidRDefault="000A7AAB" w:rsidP="000A7AAB">
      <w:r>
        <w:t>M.</w:t>
      </w:r>
      <w:r w:rsidRPr="002C4077">
        <w:t xml:space="preserve"> </w:t>
      </w:r>
      <w:r w:rsidR="007B3C26">
        <w:t>Ve</w:t>
      </w:r>
      <w:r>
        <w:t>rnes</w:t>
      </w:r>
      <w:r w:rsidRPr="002C4077">
        <w:t xml:space="preserve"> </w:t>
      </w:r>
      <w:r>
        <w:t>se</w:t>
      </w:r>
      <w:r w:rsidRPr="002C4077">
        <w:t xml:space="preserve"> </w:t>
      </w:r>
      <w:r>
        <w:t>recueille</w:t>
      </w:r>
      <w:r w:rsidRPr="002C4077">
        <w:t xml:space="preserve"> </w:t>
      </w:r>
      <w:r>
        <w:t>avant</w:t>
      </w:r>
      <w:r w:rsidRPr="002C4077">
        <w:t xml:space="preserve"> </w:t>
      </w:r>
      <w:r>
        <w:t>de</w:t>
      </w:r>
      <w:r w:rsidRPr="002C4077">
        <w:t xml:space="preserve"> </w:t>
      </w:r>
      <w:r>
        <w:t>trancher</w:t>
      </w:r>
      <w:r w:rsidRPr="002C4077">
        <w:t xml:space="preserve"> </w:t>
      </w:r>
      <w:r>
        <w:t>une</w:t>
      </w:r>
      <w:r w:rsidRPr="002C4077">
        <w:t xml:space="preserve"> </w:t>
      </w:r>
      <w:r>
        <w:t>si</w:t>
      </w:r>
      <w:r w:rsidRPr="002C4077">
        <w:t xml:space="preserve"> </w:t>
      </w:r>
      <w:r>
        <w:t>grave</w:t>
      </w:r>
      <w:r w:rsidRPr="002C4077">
        <w:t xml:space="preserve"> </w:t>
      </w:r>
      <w:r>
        <w:t>question.</w:t>
      </w:r>
      <w:r w:rsidRPr="002C4077">
        <w:t xml:space="preserve"> </w:t>
      </w:r>
    </w:p>
    <w:p w:rsidR="000A7AAB" w:rsidRDefault="00B546AF" w:rsidP="000A7AAB">
      <w:r>
        <w:t>« </w:t>
      </w:r>
      <w:r w:rsidR="000A7AAB">
        <w:t>Nous</w:t>
      </w:r>
      <w:r w:rsidR="000A7AAB" w:rsidRPr="002C4077">
        <w:t xml:space="preserve"> </w:t>
      </w:r>
      <w:r w:rsidR="000A7AAB">
        <w:t>touchons</w:t>
      </w:r>
      <w:r w:rsidR="000A7AAB" w:rsidRPr="002C4077">
        <w:t xml:space="preserve"> </w:t>
      </w:r>
      <w:r w:rsidR="000A7AAB">
        <w:t>ici,</w:t>
      </w:r>
      <w:r w:rsidR="000A7AAB" w:rsidRPr="002C4077">
        <w:t xml:space="preserve"> </w:t>
      </w:r>
      <w:r w:rsidR="000A7AAB">
        <w:t>dit-il,</w:t>
      </w:r>
      <w:r w:rsidR="000A7AAB" w:rsidRPr="002C4077">
        <w:t xml:space="preserve"> </w:t>
      </w:r>
      <w:r w:rsidR="000A7AAB">
        <w:t>à</w:t>
      </w:r>
      <w:r w:rsidR="000A7AAB" w:rsidRPr="002C4077">
        <w:t xml:space="preserve"> </w:t>
      </w:r>
      <w:r w:rsidR="000A7AAB">
        <w:t>des</w:t>
      </w:r>
      <w:r w:rsidR="000A7AAB" w:rsidRPr="002C4077">
        <w:t xml:space="preserve"> </w:t>
      </w:r>
      <w:r w:rsidR="000A7AAB">
        <w:t>questions</w:t>
      </w:r>
      <w:r w:rsidR="000A7AAB" w:rsidRPr="002C4077">
        <w:t xml:space="preserve"> </w:t>
      </w:r>
      <w:r w:rsidR="000A7AAB">
        <w:t>autour</w:t>
      </w:r>
      <w:r w:rsidR="000A7AAB" w:rsidRPr="002C4077">
        <w:t xml:space="preserve"> </w:t>
      </w:r>
      <w:r w:rsidR="000A7AAB">
        <w:t>desquelles</w:t>
      </w:r>
      <w:r w:rsidR="000A7AAB" w:rsidRPr="002C4077">
        <w:t xml:space="preserve"> </w:t>
      </w:r>
      <w:r w:rsidR="000A7AAB">
        <w:t>s’est</w:t>
      </w:r>
      <w:r w:rsidR="000A7AAB" w:rsidRPr="002C4077">
        <w:t xml:space="preserve"> </w:t>
      </w:r>
      <w:r w:rsidR="000A7AAB">
        <w:t>élevée</w:t>
      </w:r>
      <w:r w:rsidR="000A7AAB" w:rsidRPr="002C4077">
        <w:t xml:space="preserve"> </w:t>
      </w:r>
      <w:r w:rsidR="000A7AAB">
        <w:t>la</w:t>
      </w:r>
      <w:r w:rsidR="000A7AAB" w:rsidRPr="002C4077">
        <w:t xml:space="preserve"> </w:t>
      </w:r>
      <w:r w:rsidR="000A7AAB">
        <w:t>polémique</w:t>
      </w:r>
      <w:r w:rsidR="000A7AAB" w:rsidRPr="002C4077">
        <w:t xml:space="preserve"> </w:t>
      </w:r>
      <w:r w:rsidR="000A7AAB">
        <w:t>la</w:t>
      </w:r>
      <w:r w:rsidR="000A7AAB" w:rsidRPr="002C4077">
        <w:t xml:space="preserve"> </w:t>
      </w:r>
      <w:r w:rsidR="000A7AAB">
        <w:t>plus</w:t>
      </w:r>
      <w:r w:rsidR="000A7AAB" w:rsidRPr="002C4077">
        <w:t xml:space="preserve"> </w:t>
      </w:r>
      <w:r w:rsidR="000A7AAB">
        <w:t>ardente,</w:t>
      </w:r>
      <w:r w:rsidR="000A7AAB" w:rsidRPr="002C4077">
        <w:t xml:space="preserve"> </w:t>
      </w:r>
      <w:r w:rsidR="000A7AAB">
        <w:t>comparable</w:t>
      </w:r>
      <w:r w:rsidR="000A7AAB" w:rsidRPr="002C4077">
        <w:t xml:space="preserve"> </w:t>
      </w:r>
      <w:r w:rsidR="000A7AAB">
        <w:t>seulement</w:t>
      </w:r>
      <w:r w:rsidR="000A7AAB" w:rsidRPr="002C4077">
        <w:t xml:space="preserve"> </w:t>
      </w:r>
      <w:r w:rsidR="000A7AAB">
        <w:t>aux</w:t>
      </w:r>
      <w:r w:rsidR="000A7AAB" w:rsidRPr="002C4077">
        <w:t xml:space="preserve"> </w:t>
      </w:r>
      <w:r w:rsidR="000A7AAB">
        <w:t>discussions</w:t>
      </w:r>
      <w:r w:rsidR="000A7AAB" w:rsidRPr="002C4077">
        <w:t xml:space="preserve"> </w:t>
      </w:r>
      <w:r w:rsidR="000A7AAB">
        <w:t>entreprises</w:t>
      </w:r>
      <w:r w:rsidR="000A7AAB" w:rsidRPr="002C4077">
        <w:t xml:space="preserve"> </w:t>
      </w:r>
      <w:r w:rsidR="000A7AAB">
        <w:t>sur</w:t>
      </w:r>
      <w:r w:rsidR="000A7AAB" w:rsidRPr="002C4077">
        <w:t xml:space="preserve"> </w:t>
      </w:r>
      <w:r w:rsidR="000A7AAB">
        <w:t>la</w:t>
      </w:r>
      <w:r w:rsidR="000A7AAB" w:rsidRPr="002C4077">
        <w:t xml:space="preserve"> </w:t>
      </w:r>
      <w:r w:rsidR="000A7AAB">
        <w:t>composition</w:t>
      </w:r>
      <w:r w:rsidR="000A7AAB" w:rsidRPr="002C4077">
        <w:t xml:space="preserve"> </w:t>
      </w:r>
      <w:r w:rsidR="000A7AAB">
        <w:t>du</w:t>
      </w:r>
      <w:r w:rsidR="000A7AAB" w:rsidRPr="002C4077">
        <w:t xml:space="preserve"> </w:t>
      </w:r>
      <w:r w:rsidR="000A7AAB">
        <w:t>Pentateuque.</w:t>
      </w:r>
      <w:r w:rsidR="00C45B47">
        <w:t xml:space="preserve"> {</w:t>
      </w:r>
      <w:r w:rsidR="00B53529">
        <w:t>149</w:t>
      </w:r>
      <w:bookmarkStart w:id="404" w:name="p149"/>
      <w:bookmarkEnd w:id="404"/>
      <w:r w:rsidR="00B53529">
        <w:t xml:space="preserve">} </w:t>
      </w:r>
      <w:r w:rsidR="000A7AAB">
        <w:t>Mais</w:t>
      </w:r>
      <w:r w:rsidR="000A7AAB" w:rsidRPr="002C4077">
        <w:t xml:space="preserve"> </w:t>
      </w:r>
      <w:r w:rsidR="000A7AAB">
        <w:t>là</w:t>
      </w:r>
      <w:r w:rsidR="000A7AAB" w:rsidRPr="002C4077">
        <w:t xml:space="preserve"> </w:t>
      </w:r>
      <w:r w:rsidR="000A7AAB">
        <w:t>encore</w:t>
      </w:r>
      <w:r w:rsidR="000A7AAB" w:rsidRPr="002C4077">
        <w:t xml:space="preserve"> </w:t>
      </w:r>
      <w:r w:rsidR="000A7AAB">
        <w:t>le</w:t>
      </w:r>
      <w:r w:rsidR="000A7AAB" w:rsidRPr="002C4077">
        <w:t xml:space="preserve"> </w:t>
      </w:r>
      <w:r w:rsidR="000A7AAB">
        <w:t>terrain</w:t>
      </w:r>
      <w:r w:rsidR="000A7AAB" w:rsidRPr="002C4077">
        <w:t xml:space="preserve"> </w:t>
      </w:r>
      <w:r w:rsidR="000A7AAB">
        <w:t>se</w:t>
      </w:r>
      <w:r w:rsidR="000A7AAB" w:rsidRPr="002C4077">
        <w:t xml:space="preserve"> </w:t>
      </w:r>
      <w:r w:rsidR="000A7AAB">
        <w:t>dégage</w:t>
      </w:r>
      <w:r w:rsidR="00B91AF7">
        <w:rPr>
          <w:rStyle w:val="Appelnotedebasdep"/>
        </w:rPr>
        <w:footnoteReference w:id="459"/>
      </w:r>
      <w:r>
        <w:t> »</w:t>
      </w:r>
      <w:r w:rsidR="000A7AAB">
        <w:t>.</w:t>
      </w:r>
      <w:r w:rsidR="000A7AAB" w:rsidRPr="002C4077">
        <w:t xml:space="preserve"> </w:t>
      </w:r>
    </w:p>
    <w:p w:rsidR="000A7AAB" w:rsidRDefault="000A7AAB" w:rsidP="000A7AAB">
      <w:r>
        <w:t>Le</w:t>
      </w:r>
      <w:r w:rsidRPr="002C4077">
        <w:t xml:space="preserve"> </w:t>
      </w:r>
      <w:r>
        <w:t>terrain</w:t>
      </w:r>
      <w:r w:rsidRPr="002C4077">
        <w:t xml:space="preserve"> </w:t>
      </w:r>
      <w:r>
        <w:t>se</w:t>
      </w:r>
      <w:r w:rsidRPr="002C4077">
        <w:t xml:space="preserve"> </w:t>
      </w:r>
      <w:r>
        <w:t>dégage,</w:t>
      </w:r>
      <w:r w:rsidRPr="002C4077">
        <w:t xml:space="preserve"> </w:t>
      </w:r>
      <w:r>
        <w:t>en</w:t>
      </w:r>
      <w:r w:rsidRPr="002C4077">
        <w:t xml:space="preserve"> </w:t>
      </w:r>
      <w:r>
        <w:t>effet,</w:t>
      </w:r>
      <w:r w:rsidRPr="002C4077">
        <w:t xml:space="preserve"> </w:t>
      </w:r>
      <w:r>
        <w:t>d’une</w:t>
      </w:r>
      <w:r w:rsidRPr="002C4077">
        <w:t xml:space="preserve"> </w:t>
      </w:r>
      <w:r>
        <w:t>étrange</w:t>
      </w:r>
      <w:r w:rsidRPr="002C4077">
        <w:t xml:space="preserve"> </w:t>
      </w:r>
      <w:r>
        <w:t>façon.</w:t>
      </w:r>
      <w:r w:rsidRPr="002C4077">
        <w:t xml:space="preserve"> </w:t>
      </w:r>
    </w:p>
    <w:p w:rsidR="000A7AAB" w:rsidRDefault="00B546AF" w:rsidP="000A7AAB">
      <w:r>
        <w:t>« </w:t>
      </w:r>
      <w:r w:rsidR="000A7AAB">
        <w:t>Si</w:t>
      </w:r>
      <w:r w:rsidR="000A7AAB" w:rsidRPr="002C4077">
        <w:t xml:space="preserve"> </w:t>
      </w:r>
      <w:r w:rsidR="000A7AAB">
        <w:t>l’on</w:t>
      </w:r>
      <w:r w:rsidR="000A7AAB" w:rsidRPr="002C4077">
        <w:t xml:space="preserve"> </w:t>
      </w:r>
      <w:r w:rsidR="000A7AAB">
        <w:t>c</w:t>
      </w:r>
      <w:r w:rsidR="003B53FD">
        <w:t>ompare</w:t>
      </w:r>
      <w:r w:rsidR="000A7AAB" w:rsidRPr="002C4077">
        <w:t xml:space="preserve"> </w:t>
      </w:r>
      <w:r w:rsidR="000A7AAB">
        <w:t>le</w:t>
      </w:r>
      <w:r w:rsidR="000A7AAB" w:rsidRPr="002C4077">
        <w:t xml:space="preserve"> </w:t>
      </w:r>
      <w:r w:rsidR="000A7AAB">
        <w:t>quatrième</w:t>
      </w:r>
      <w:r w:rsidR="000A7AAB" w:rsidRPr="002C4077">
        <w:t xml:space="preserve"> </w:t>
      </w:r>
      <w:r w:rsidR="000A7AAB">
        <w:t>évangile</w:t>
      </w:r>
      <w:r w:rsidR="000A7AAB" w:rsidRPr="002C4077">
        <w:t xml:space="preserve"> </w:t>
      </w:r>
      <w:r w:rsidR="000A7AAB">
        <w:t>aux</w:t>
      </w:r>
      <w:r w:rsidR="000A7AAB" w:rsidRPr="002C4077">
        <w:t xml:space="preserve"> </w:t>
      </w:r>
      <w:r w:rsidR="000A7AAB">
        <w:t>trois</w:t>
      </w:r>
      <w:r w:rsidR="000A7AAB" w:rsidRPr="002C4077">
        <w:t xml:space="preserve"> </w:t>
      </w:r>
      <w:r w:rsidR="000A7AAB">
        <w:t>premiers</w:t>
      </w:r>
      <w:r w:rsidR="000A7AAB" w:rsidRPr="002C4077">
        <w:t xml:space="preserve"> </w:t>
      </w:r>
      <w:r w:rsidR="000A7AAB">
        <w:t>on</w:t>
      </w:r>
      <w:r w:rsidR="000A7AAB" w:rsidRPr="002C4077">
        <w:t xml:space="preserve"> </w:t>
      </w:r>
      <w:r w:rsidR="00425C50">
        <w:t>est</w:t>
      </w:r>
      <w:r w:rsidR="000A7AAB" w:rsidRPr="002C4077">
        <w:t xml:space="preserve"> </w:t>
      </w:r>
      <w:r w:rsidR="00514F08">
        <w:t>en</w:t>
      </w:r>
      <w:r w:rsidR="000A7AAB" w:rsidRPr="002C4077">
        <w:t xml:space="preserve"> </w:t>
      </w:r>
      <w:r w:rsidR="000A7AAB">
        <w:t>droit</w:t>
      </w:r>
      <w:r w:rsidR="000A7AAB" w:rsidRPr="002C4077">
        <w:t xml:space="preserve"> </w:t>
      </w:r>
      <w:r w:rsidR="000A7AAB">
        <w:t>de</w:t>
      </w:r>
      <w:r w:rsidR="000A7AAB" w:rsidRPr="002C4077">
        <w:t xml:space="preserve"> </w:t>
      </w:r>
      <w:r w:rsidR="000A7AAB">
        <w:t>dire,</w:t>
      </w:r>
      <w:r w:rsidR="000A7AAB" w:rsidRPr="002C4077">
        <w:t xml:space="preserve"> </w:t>
      </w:r>
      <w:r w:rsidR="000A7AAB">
        <w:t>selon</w:t>
      </w:r>
      <w:r w:rsidR="000A7AAB" w:rsidRPr="002C4077">
        <w:t xml:space="preserve"> </w:t>
      </w:r>
      <w:r w:rsidR="000A7AAB">
        <w:t>l’heureuse</w:t>
      </w:r>
      <w:r w:rsidR="000A7AAB" w:rsidRPr="002C4077">
        <w:t xml:space="preserve"> </w:t>
      </w:r>
      <w:r w:rsidR="000A7AAB">
        <w:t>expression</w:t>
      </w:r>
      <w:r w:rsidR="000A7AAB" w:rsidRPr="002C4077">
        <w:t xml:space="preserve"> </w:t>
      </w:r>
      <w:r w:rsidR="000A7AAB">
        <w:t>de</w:t>
      </w:r>
      <w:r w:rsidR="000A7AAB" w:rsidRPr="002C4077">
        <w:t xml:space="preserve"> </w:t>
      </w:r>
      <w:r w:rsidR="000A7AAB">
        <w:t>M.</w:t>
      </w:r>
      <w:r w:rsidR="000A7AAB" w:rsidRPr="002C4077">
        <w:t xml:space="preserve"> </w:t>
      </w:r>
      <w:r w:rsidR="000A7AAB">
        <w:t>Reuss,</w:t>
      </w:r>
      <w:r w:rsidR="000A7AAB" w:rsidRPr="002C4077">
        <w:t xml:space="preserve"> </w:t>
      </w:r>
      <w:r w:rsidR="000A7AAB">
        <w:t>qu’on</w:t>
      </w:r>
      <w:r w:rsidR="000A7AAB" w:rsidRPr="002C4077">
        <w:t xml:space="preserve"> </w:t>
      </w:r>
      <w:r w:rsidR="000A7AAB">
        <w:t>n’y</w:t>
      </w:r>
      <w:r w:rsidR="000A7AAB" w:rsidRPr="002C4077">
        <w:t xml:space="preserve"> </w:t>
      </w:r>
      <w:r w:rsidR="000A7AAB">
        <w:t>trouve</w:t>
      </w:r>
      <w:r w:rsidR="000A7AAB" w:rsidRPr="002C4077">
        <w:t xml:space="preserve"> </w:t>
      </w:r>
      <w:r w:rsidR="000A7AAB">
        <w:t>pas</w:t>
      </w:r>
      <w:r w:rsidR="000A7AAB" w:rsidRPr="002C4077">
        <w:t xml:space="preserve"> </w:t>
      </w:r>
      <w:r w:rsidR="000A7AAB">
        <w:t>l’histoire</w:t>
      </w:r>
      <w:r w:rsidR="000A7AAB" w:rsidRPr="002C4077">
        <w:t xml:space="preserve"> </w:t>
      </w:r>
      <w:r w:rsidR="000A7AAB">
        <w:t>de</w:t>
      </w:r>
      <w:r w:rsidR="000A7AAB" w:rsidRPr="002C4077">
        <w:t xml:space="preserve"> </w:t>
      </w:r>
      <w:r w:rsidR="00425C50">
        <w:t>Jésus</w:t>
      </w:r>
      <w:r w:rsidR="000A7AAB">
        <w:t>,</w:t>
      </w:r>
      <w:r w:rsidR="000A7AAB" w:rsidRPr="002C4077">
        <w:t xml:space="preserve"> </w:t>
      </w:r>
      <w:r w:rsidR="000A7AAB">
        <w:t>mais</w:t>
      </w:r>
      <w:r w:rsidR="000A7AAB" w:rsidRPr="002C4077">
        <w:t xml:space="preserve"> </w:t>
      </w:r>
      <w:r w:rsidR="000A7AAB">
        <w:t>la</w:t>
      </w:r>
      <w:r w:rsidR="000A7AAB" w:rsidRPr="002C4077">
        <w:t xml:space="preserve"> </w:t>
      </w:r>
      <w:r w:rsidR="000A7AAB">
        <w:t>philosophie</w:t>
      </w:r>
      <w:r w:rsidR="000A7AAB" w:rsidRPr="002C4077">
        <w:t xml:space="preserve"> </w:t>
      </w:r>
      <w:r w:rsidR="000A7AAB">
        <w:t>de</w:t>
      </w:r>
      <w:r w:rsidR="000A7AAB" w:rsidRPr="002C4077">
        <w:t xml:space="preserve"> </w:t>
      </w:r>
      <w:r w:rsidR="000A7AAB">
        <w:t>cette</w:t>
      </w:r>
      <w:r w:rsidR="000A7AAB" w:rsidRPr="002C4077">
        <w:t xml:space="preserve"> </w:t>
      </w:r>
      <w:r w:rsidR="000A7AAB">
        <w:t>histoire,</w:t>
      </w:r>
      <w:r w:rsidR="000A7AAB" w:rsidRPr="002C4077">
        <w:t xml:space="preserve"> </w:t>
      </w:r>
      <w:r w:rsidR="000A7AAB">
        <w:t>philosophie</w:t>
      </w:r>
      <w:r w:rsidR="000A7AAB" w:rsidRPr="002C4077">
        <w:t xml:space="preserve"> </w:t>
      </w:r>
      <w:r w:rsidR="000A7AAB">
        <w:t>élevée</w:t>
      </w:r>
      <w:r w:rsidR="000A7AAB" w:rsidRPr="002C4077">
        <w:t xml:space="preserve"> </w:t>
      </w:r>
      <w:r w:rsidR="000A7AAB">
        <w:t>et</w:t>
      </w:r>
      <w:r w:rsidR="000A7AAB" w:rsidRPr="002C4077">
        <w:t xml:space="preserve"> </w:t>
      </w:r>
      <w:r w:rsidR="000A7AAB">
        <w:t>subtile,</w:t>
      </w:r>
      <w:r w:rsidR="000A7AAB" w:rsidRPr="002C4077">
        <w:t xml:space="preserve"> </w:t>
      </w:r>
      <w:r w:rsidR="000A7AAB">
        <w:t>absolument</w:t>
      </w:r>
      <w:r w:rsidR="000A7AAB" w:rsidRPr="002C4077">
        <w:t xml:space="preserve"> </w:t>
      </w:r>
      <w:r w:rsidR="000A7AAB">
        <w:t>étrangère</w:t>
      </w:r>
      <w:r w:rsidR="000A7AAB" w:rsidRPr="002C4077">
        <w:t xml:space="preserve"> </w:t>
      </w:r>
      <w:r w:rsidR="000A7AAB">
        <w:t>au</w:t>
      </w:r>
      <w:r w:rsidR="000A7AAB" w:rsidRPr="002C4077">
        <w:t xml:space="preserve"> </w:t>
      </w:r>
      <w:r w:rsidR="000A7AAB">
        <w:t>sentiment</w:t>
      </w:r>
      <w:r w:rsidR="000A7AAB" w:rsidRPr="002C4077">
        <w:t xml:space="preserve"> </w:t>
      </w:r>
      <w:r w:rsidR="000A7AAB">
        <w:t>des</w:t>
      </w:r>
      <w:r w:rsidR="000A7AAB" w:rsidRPr="002C4077">
        <w:t xml:space="preserve"> </w:t>
      </w:r>
      <w:r w:rsidR="000A7AAB">
        <w:t>réalités,</w:t>
      </w:r>
      <w:r w:rsidR="000A7AAB" w:rsidRPr="002C4077">
        <w:t xml:space="preserve"> </w:t>
      </w:r>
      <w:r w:rsidR="000A7AAB">
        <w:t>et</w:t>
      </w:r>
      <w:r w:rsidR="000A7AAB" w:rsidRPr="002C4077">
        <w:t xml:space="preserve"> </w:t>
      </w:r>
      <w:r w:rsidR="000A7AAB">
        <w:t>telle</w:t>
      </w:r>
      <w:r w:rsidR="000A7AAB" w:rsidRPr="002C4077">
        <w:t xml:space="preserve"> </w:t>
      </w:r>
      <w:r w:rsidR="000A7AAB">
        <w:t>que</w:t>
      </w:r>
      <w:r w:rsidR="000A7AAB" w:rsidRPr="002C4077">
        <w:t xml:space="preserve"> </w:t>
      </w:r>
      <w:r w:rsidR="000A7AAB">
        <w:t>l’explique</w:t>
      </w:r>
      <w:r w:rsidR="000A7AAB" w:rsidRPr="002C4077">
        <w:t xml:space="preserve"> </w:t>
      </w:r>
      <w:r w:rsidR="000A7AAB">
        <w:t>seul</w:t>
      </w:r>
      <w:r w:rsidR="000A7AAB" w:rsidRPr="002C4077">
        <w:t xml:space="preserve"> </w:t>
      </w:r>
      <w:r w:rsidR="000A7AAB">
        <w:t>un</w:t>
      </w:r>
      <w:r w:rsidR="000A7AAB" w:rsidRPr="002C4077">
        <w:t xml:space="preserve"> </w:t>
      </w:r>
      <w:r w:rsidR="000A7AAB">
        <w:t>développement</w:t>
      </w:r>
      <w:r w:rsidR="000A7AAB" w:rsidRPr="002C4077">
        <w:t xml:space="preserve"> </w:t>
      </w:r>
      <w:r w:rsidR="000A7AAB">
        <w:t>avancé</w:t>
      </w:r>
      <w:r w:rsidR="000A7AAB" w:rsidRPr="002C4077">
        <w:t xml:space="preserve"> </w:t>
      </w:r>
      <w:r w:rsidR="000A7AAB">
        <w:t>de</w:t>
      </w:r>
      <w:r w:rsidR="000A7AAB" w:rsidRPr="002C4077">
        <w:t xml:space="preserve"> </w:t>
      </w:r>
      <w:r w:rsidR="000A7AAB">
        <w:t>la</w:t>
      </w:r>
      <w:r w:rsidR="000A7AAB" w:rsidRPr="002C4077">
        <w:t xml:space="preserve"> </w:t>
      </w:r>
      <w:r w:rsidR="000A7AAB">
        <w:t>spéculation</w:t>
      </w:r>
      <w:r w:rsidR="000A7AAB" w:rsidRPr="002C4077">
        <w:t xml:space="preserve"> </w:t>
      </w:r>
      <w:r w:rsidR="000A7AAB">
        <w:t>théologique…</w:t>
      </w:r>
      <w:r w:rsidR="000A7AAB" w:rsidRPr="002C4077">
        <w:t xml:space="preserve"> </w:t>
      </w:r>
      <w:r w:rsidR="000A7AAB">
        <w:t>Son</w:t>
      </w:r>
      <w:r w:rsidR="000A7AAB" w:rsidRPr="002C4077">
        <w:t xml:space="preserve"> </w:t>
      </w:r>
      <w:r w:rsidR="000A7AAB">
        <w:t>auteur</w:t>
      </w:r>
      <w:r w:rsidR="000A7AAB" w:rsidRPr="002C4077">
        <w:t xml:space="preserve"> </w:t>
      </w:r>
      <w:r w:rsidR="000A7AAB">
        <w:t>n’a</w:t>
      </w:r>
      <w:r w:rsidR="000A7AAB" w:rsidRPr="002C4077">
        <w:t xml:space="preserve"> </w:t>
      </w:r>
      <w:r w:rsidR="000A7AAB">
        <w:t>pu</w:t>
      </w:r>
      <w:r w:rsidR="000A7AAB" w:rsidRPr="002C4077">
        <w:t xml:space="preserve"> </w:t>
      </w:r>
      <w:r w:rsidR="000A7AAB">
        <w:t>être</w:t>
      </w:r>
      <w:r w:rsidR="000A7AAB" w:rsidRPr="002C4077">
        <w:t xml:space="preserve"> </w:t>
      </w:r>
      <w:r w:rsidR="000A7AAB">
        <w:t>ni</w:t>
      </w:r>
      <w:r w:rsidR="000A7AAB" w:rsidRPr="002C4077">
        <w:t xml:space="preserve"> </w:t>
      </w:r>
      <w:r w:rsidR="000A7AAB">
        <w:t>un</w:t>
      </w:r>
      <w:r w:rsidR="000A7AAB" w:rsidRPr="002C4077">
        <w:t xml:space="preserve"> </w:t>
      </w:r>
      <w:r w:rsidR="000A7AAB">
        <w:t>disciple</w:t>
      </w:r>
      <w:r w:rsidR="000A7AAB" w:rsidRPr="002C4077">
        <w:t xml:space="preserve"> </w:t>
      </w:r>
      <w:r w:rsidR="000A7AAB">
        <w:t>immédiat</w:t>
      </w:r>
      <w:r w:rsidR="000A7AAB" w:rsidRPr="002C4077">
        <w:t xml:space="preserve"> </w:t>
      </w:r>
      <w:r w:rsidR="000A7AAB">
        <w:t>de</w:t>
      </w:r>
      <w:r w:rsidR="000A7AAB" w:rsidRPr="002C4077">
        <w:t xml:space="preserve"> </w:t>
      </w:r>
      <w:r w:rsidR="00425C50">
        <w:t>Jésus</w:t>
      </w:r>
      <w:r w:rsidR="000A7AAB">
        <w:t>,</w:t>
      </w:r>
      <w:r w:rsidR="000A7AAB" w:rsidRPr="002C4077">
        <w:t xml:space="preserve"> </w:t>
      </w:r>
      <w:r w:rsidR="000A7AAB">
        <w:t>ni</w:t>
      </w:r>
      <w:r w:rsidR="000A7AAB" w:rsidRPr="002C4077">
        <w:t xml:space="preserve"> </w:t>
      </w:r>
      <w:r w:rsidR="000A7AAB">
        <w:t>quelqu’un</w:t>
      </w:r>
      <w:r w:rsidR="000A7AAB" w:rsidRPr="002C4077">
        <w:t xml:space="preserve"> </w:t>
      </w:r>
      <w:r w:rsidR="000A7AAB">
        <w:t>ayant</w:t>
      </w:r>
      <w:r w:rsidR="000A7AAB" w:rsidRPr="002C4077">
        <w:t xml:space="preserve"> </w:t>
      </w:r>
      <w:r w:rsidR="000A7AAB">
        <w:t>toujours</w:t>
      </w:r>
      <w:r w:rsidR="000A7AAB" w:rsidRPr="002C4077">
        <w:t xml:space="preserve"> </w:t>
      </w:r>
      <w:r w:rsidR="000A7AAB">
        <w:t>vécu</w:t>
      </w:r>
      <w:r w:rsidR="000A7AAB" w:rsidRPr="002C4077">
        <w:t xml:space="preserve"> </w:t>
      </w:r>
      <w:r w:rsidR="000A7AAB">
        <w:t>au</w:t>
      </w:r>
      <w:r w:rsidR="000A7AAB" w:rsidRPr="002C4077">
        <w:t xml:space="preserve"> </w:t>
      </w:r>
      <w:r w:rsidR="000A7AAB">
        <w:t>milieu</w:t>
      </w:r>
      <w:r w:rsidR="000A7AAB" w:rsidRPr="002C4077">
        <w:t xml:space="preserve"> </w:t>
      </w:r>
      <w:r w:rsidR="000A7AAB">
        <w:t>de</w:t>
      </w:r>
      <w:r w:rsidR="000A7AAB" w:rsidRPr="002C4077">
        <w:t xml:space="preserve"> </w:t>
      </w:r>
      <w:r w:rsidR="000A7AAB">
        <w:t>la</w:t>
      </w:r>
      <w:r w:rsidR="000A7AAB" w:rsidRPr="002C4077">
        <w:t xml:space="preserve"> </w:t>
      </w:r>
      <w:r w:rsidR="000A7AAB">
        <w:t>première</w:t>
      </w:r>
      <w:r w:rsidR="000A7AAB" w:rsidRPr="002C4077">
        <w:t xml:space="preserve"> </w:t>
      </w:r>
      <w:r w:rsidR="000A7AAB">
        <w:t>génération</w:t>
      </w:r>
      <w:r w:rsidR="000A7AAB" w:rsidRPr="002C4077">
        <w:t xml:space="preserve"> </w:t>
      </w:r>
      <w:r w:rsidR="000A7AAB">
        <w:t>chrétienne</w:t>
      </w:r>
      <w:r w:rsidR="00F5746B">
        <w:rPr>
          <w:rStyle w:val="Appelnotedebasdep"/>
        </w:rPr>
        <w:footnoteReference w:id="460"/>
      </w:r>
      <w:r>
        <w:t> »</w:t>
      </w:r>
      <w:r w:rsidR="000A7AAB">
        <w:t>.</w:t>
      </w:r>
      <w:r w:rsidR="000A7AAB" w:rsidRPr="002C4077">
        <w:t xml:space="preserve"> </w:t>
      </w:r>
      <w:r w:rsidR="000A7AAB">
        <w:t>Par</w:t>
      </w:r>
      <w:r w:rsidR="000A7AAB" w:rsidRPr="002C4077">
        <w:t xml:space="preserve"> </w:t>
      </w:r>
      <w:r w:rsidR="000A7AAB">
        <w:t>conséquent,</w:t>
      </w:r>
      <w:r w:rsidR="000A7AAB" w:rsidRPr="002C4077">
        <w:t xml:space="preserve"> </w:t>
      </w:r>
      <w:r>
        <w:lastRenderedPageBreak/>
        <w:t>« </w:t>
      </w:r>
      <w:r w:rsidR="000A7AAB">
        <w:t>l’opinion</w:t>
      </w:r>
      <w:r w:rsidR="000A7AAB" w:rsidRPr="002C4077">
        <w:t xml:space="preserve"> </w:t>
      </w:r>
      <w:r w:rsidR="000A7AAB">
        <w:t>qui</w:t>
      </w:r>
      <w:r w:rsidR="000A7AAB" w:rsidRPr="002C4077">
        <w:t xml:space="preserve"> </w:t>
      </w:r>
      <w:r w:rsidR="000A7AAB">
        <w:t>veut</w:t>
      </w:r>
      <w:r w:rsidR="000A7AAB" w:rsidRPr="002C4077">
        <w:t xml:space="preserve"> </w:t>
      </w:r>
      <w:r w:rsidR="000A7AAB">
        <w:t>faire</w:t>
      </w:r>
      <w:r w:rsidR="000A7AAB" w:rsidRPr="002C4077">
        <w:t xml:space="preserve"> </w:t>
      </w:r>
      <w:r w:rsidR="000A7AAB">
        <w:t>du</w:t>
      </w:r>
      <w:r w:rsidR="000A7AAB" w:rsidRPr="002C4077">
        <w:t xml:space="preserve"> </w:t>
      </w:r>
      <w:r w:rsidR="000A7AAB">
        <w:t>quatrième</w:t>
      </w:r>
      <w:r w:rsidR="000A7AAB" w:rsidRPr="002C4077">
        <w:t xml:space="preserve"> </w:t>
      </w:r>
      <w:r w:rsidR="000A7AAB">
        <w:t>évangile</w:t>
      </w:r>
      <w:r w:rsidR="000A7AAB" w:rsidRPr="002C4077">
        <w:t xml:space="preserve"> </w:t>
      </w:r>
      <w:r w:rsidR="000A7AAB">
        <w:t>l’œuvre</w:t>
      </w:r>
      <w:r w:rsidR="000A7AAB" w:rsidRPr="002C4077">
        <w:t xml:space="preserve"> </w:t>
      </w:r>
      <w:r w:rsidR="000A7AAB">
        <w:t>d’un</w:t>
      </w:r>
      <w:r w:rsidR="000A7AAB" w:rsidRPr="002C4077">
        <w:t xml:space="preserve"> </w:t>
      </w:r>
      <w:r w:rsidR="000A7AAB">
        <w:t>apôtre</w:t>
      </w:r>
      <w:r w:rsidR="000A7AAB" w:rsidRPr="002C4077">
        <w:t xml:space="preserve"> </w:t>
      </w:r>
      <w:r w:rsidR="000A7AAB">
        <w:t>n’est</w:t>
      </w:r>
      <w:r w:rsidR="000A7AAB" w:rsidRPr="002C4077">
        <w:t xml:space="preserve"> </w:t>
      </w:r>
      <w:r w:rsidR="000A7AAB">
        <w:t>plus</w:t>
      </w:r>
      <w:r w:rsidR="000A7AAB" w:rsidRPr="002C4077">
        <w:t xml:space="preserve"> </w:t>
      </w:r>
      <w:r w:rsidR="000A7AAB">
        <w:t>discutable</w:t>
      </w:r>
      <w:r w:rsidR="000A7AAB" w:rsidRPr="002C4077">
        <w:t xml:space="preserve"> </w:t>
      </w:r>
      <w:r w:rsidR="000A7AAB">
        <w:t>en</w:t>
      </w:r>
      <w:r w:rsidR="000A7AAB" w:rsidRPr="002C4077">
        <w:t xml:space="preserve"> </w:t>
      </w:r>
      <w:r w:rsidR="000A7AAB">
        <w:t>bonne</w:t>
      </w:r>
      <w:r w:rsidR="000A7AAB" w:rsidRPr="002C4077">
        <w:t xml:space="preserve"> </w:t>
      </w:r>
      <w:r w:rsidR="000A7AAB">
        <w:t>critique.</w:t>
      </w:r>
      <w:r w:rsidR="000A7AAB" w:rsidRPr="002C4077">
        <w:t xml:space="preserve"> </w:t>
      </w:r>
      <w:r w:rsidR="000A7AAB">
        <w:t>Cela</w:t>
      </w:r>
      <w:r w:rsidR="000A7AAB" w:rsidRPr="002C4077">
        <w:t xml:space="preserve"> </w:t>
      </w:r>
      <w:r w:rsidR="00425C50">
        <w:t>est</w:t>
      </w:r>
      <w:r w:rsidR="000A7AAB" w:rsidRPr="002C4077">
        <w:t xml:space="preserve"> </w:t>
      </w:r>
      <w:r w:rsidR="000A7AAB">
        <w:t>bien</w:t>
      </w:r>
      <w:r w:rsidR="000A7AAB" w:rsidRPr="002C4077">
        <w:t xml:space="preserve"> </w:t>
      </w:r>
      <w:r w:rsidR="000A7AAB">
        <w:t>et</w:t>
      </w:r>
      <w:r w:rsidR="000A7AAB" w:rsidRPr="002C4077">
        <w:t xml:space="preserve"> </w:t>
      </w:r>
      <w:r w:rsidR="000A7AAB">
        <w:t>dûment</w:t>
      </w:r>
      <w:r w:rsidR="000A7AAB" w:rsidRPr="002C4077">
        <w:t xml:space="preserve"> </w:t>
      </w:r>
      <w:r w:rsidR="000A7AAB">
        <w:t>constaté</w:t>
      </w:r>
      <w:r w:rsidR="00F5746B">
        <w:rPr>
          <w:rStyle w:val="Appelnotedebasdep"/>
        </w:rPr>
        <w:footnoteReference w:id="461"/>
      </w:r>
      <w:r>
        <w:t> »</w:t>
      </w:r>
      <w:r w:rsidR="000A7AAB">
        <w:t>.</w:t>
      </w:r>
      <w:r w:rsidR="000A7AAB" w:rsidRPr="002C4077">
        <w:t xml:space="preserve"> </w:t>
      </w:r>
    </w:p>
    <w:p w:rsidR="000A7AAB" w:rsidRDefault="000A7AAB" w:rsidP="000A7AAB">
      <w:r>
        <w:t>Ainsi</w:t>
      </w:r>
      <w:r w:rsidRPr="002C4077">
        <w:t xml:space="preserve"> </w:t>
      </w:r>
      <w:r>
        <w:t>donc,</w:t>
      </w:r>
      <w:r w:rsidRPr="002C4077">
        <w:t xml:space="preserve"> </w:t>
      </w:r>
      <w:r>
        <w:t>tout</w:t>
      </w:r>
      <w:r w:rsidRPr="002C4077">
        <w:t xml:space="preserve"> </w:t>
      </w:r>
      <w:r w:rsidR="00425C50">
        <w:t>est</w:t>
      </w:r>
      <w:r w:rsidRPr="002C4077">
        <w:t xml:space="preserve"> </w:t>
      </w:r>
      <w:r>
        <w:t>réglé</w:t>
      </w:r>
      <w:r w:rsidRPr="002C4077">
        <w:t xml:space="preserve"> </w:t>
      </w:r>
      <w:r>
        <w:t>sur</w:t>
      </w:r>
      <w:r w:rsidRPr="002C4077">
        <w:t xml:space="preserve"> </w:t>
      </w:r>
      <w:r>
        <w:t>ce</w:t>
      </w:r>
      <w:r w:rsidRPr="002C4077">
        <w:t xml:space="preserve"> </w:t>
      </w:r>
      <w:r>
        <w:t>point</w:t>
      </w:r>
      <w:r w:rsidR="00B546AF">
        <w:t> ;</w:t>
      </w:r>
      <w:r w:rsidRPr="002C4077">
        <w:t xml:space="preserve"> </w:t>
      </w:r>
      <w:r>
        <w:t>il</w:t>
      </w:r>
      <w:r w:rsidRPr="002C4077">
        <w:t xml:space="preserve"> </w:t>
      </w:r>
      <w:r>
        <w:t>n’y</w:t>
      </w:r>
      <w:r w:rsidRPr="002C4077">
        <w:t xml:space="preserve"> </w:t>
      </w:r>
      <w:r>
        <w:t>a</w:t>
      </w:r>
      <w:r w:rsidRPr="002C4077">
        <w:t xml:space="preserve"> </w:t>
      </w:r>
      <w:r>
        <w:t>plus</w:t>
      </w:r>
      <w:r w:rsidRPr="002C4077">
        <w:t xml:space="preserve"> </w:t>
      </w:r>
      <w:r>
        <w:t>à</w:t>
      </w:r>
      <w:r w:rsidRPr="002C4077">
        <w:t xml:space="preserve"> </w:t>
      </w:r>
      <w:r>
        <w:t>y</w:t>
      </w:r>
      <w:r w:rsidRPr="002C4077">
        <w:t xml:space="preserve"> </w:t>
      </w:r>
      <w:r>
        <w:t>revenir</w:t>
      </w:r>
      <w:r w:rsidR="00B546AF">
        <w:t> :</w:t>
      </w:r>
      <w:r w:rsidRPr="002C4077">
        <w:t xml:space="preserve"> </w:t>
      </w:r>
      <w:r>
        <w:t>saint</w:t>
      </w:r>
      <w:r w:rsidRPr="002C4077">
        <w:t xml:space="preserve"> </w:t>
      </w:r>
      <w:r>
        <w:t>Jean</w:t>
      </w:r>
      <w:r w:rsidRPr="002C4077">
        <w:t xml:space="preserve"> </w:t>
      </w:r>
      <w:r w:rsidR="00425C50">
        <w:t>est</w:t>
      </w:r>
      <w:r w:rsidRPr="002C4077">
        <w:t xml:space="preserve"> </w:t>
      </w:r>
      <w:r>
        <w:t>condamné</w:t>
      </w:r>
      <w:r w:rsidRPr="002C4077">
        <w:t xml:space="preserve"> </w:t>
      </w:r>
      <w:r>
        <w:t>comme</w:t>
      </w:r>
      <w:r w:rsidRPr="002C4077">
        <w:t xml:space="preserve"> </w:t>
      </w:r>
      <w:r>
        <w:t>les</w:t>
      </w:r>
      <w:r w:rsidRPr="002C4077">
        <w:t xml:space="preserve"> </w:t>
      </w:r>
      <w:r>
        <w:t>synoptiques.</w:t>
      </w:r>
      <w:r w:rsidRPr="002C4077">
        <w:t xml:space="preserve"> </w:t>
      </w:r>
      <w:r>
        <w:t>Un</w:t>
      </w:r>
      <w:r w:rsidRPr="002C4077">
        <w:t xml:space="preserve"> </w:t>
      </w:r>
      <w:r>
        <w:t>exégète</w:t>
      </w:r>
      <w:r w:rsidRPr="002C4077">
        <w:t xml:space="preserve"> </w:t>
      </w:r>
      <w:r>
        <w:t>qui</w:t>
      </w:r>
      <w:r w:rsidRPr="002C4077">
        <w:t xml:space="preserve"> </w:t>
      </w:r>
      <w:r>
        <w:t>se</w:t>
      </w:r>
      <w:r w:rsidRPr="002C4077">
        <w:t xml:space="preserve"> </w:t>
      </w:r>
      <w:r>
        <w:t>respecte</w:t>
      </w:r>
      <w:r w:rsidRPr="002C4077">
        <w:t xml:space="preserve"> </w:t>
      </w:r>
      <w:r>
        <w:t>n’en</w:t>
      </w:r>
      <w:r w:rsidRPr="002C4077">
        <w:t xml:space="preserve"> </w:t>
      </w:r>
      <w:r>
        <w:t>doit</w:t>
      </w:r>
      <w:r w:rsidRPr="002C4077">
        <w:t xml:space="preserve"> </w:t>
      </w:r>
      <w:r>
        <w:t>plus</w:t>
      </w:r>
      <w:bookmarkStart w:id="405" w:name="z_EvangilesCritique_o2"/>
      <w:bookmarkEnd w:id="405"/>
      <w:r w:rsidRPr="002C4077">
        <w:t xml:space="preserve"> </w:t>
      </w:r>
      <w:r>
        <w:t>reparler.</w:t>
      </w:r>
      <w:r w:rsidRPr="002C4077">
        <w:t xml:space="preserve"> </w:t>
      </w:r>
    </w:p>
    <w:p w:rsidR="00B868F2" w:rsidRDefault="00B868F2" w:rsidP="00B546AF"/>
    <w:p w:rsidR="00F5746B" w:rsidRPr="00F5746B" w:rsidRDefault="00B546AF" w:rsidP="00B546AF">
      <w:r w:rsidRPr="00B546AF">
        <w:t>2.</w:t>
      </w:r>
      <w:r w:rsidRPr="002C4077">
        <w:t xml:space="preserve"> </w:t>
      </w:r>
      <w:r w:rsidR="00F5746B" w:rsidRPr="00F5746B">
        <w:rPr>
          <w:rStyle w:val="italicus"/>
        </w:rPr>
        <w:t>Les</w:t>
      </w:r>
      <w:r w:rsidR="00F5746B" w:rsidRPr="002C4077">
        <w:t xml:space="preserve"> </w:t>
      </w:r>
      <w:r w:rsidR="00F5746B" w:rsidRPr="00F5746B">
        <w:rPr>
          <w:rStyle w:val="italicus"/>
        </w:rPr>
        <w:t>Actes</w:t>
      </w:r>
      <w:r w:rsidR="00F5746B" w:rsidRPr="002C4077">
        <w:t xml:space="preserve"> </w:t>
      </w:r>
      <w:r w:rsidR="00F5746B" w:rsidRPr="00F5746B">
        <w:rPr>
          <w:rStyle w:val="italicus"/>
        </w:rPr>
        <w:t>des</w:t>
      </w:r>
      <w:r w:rsidR="00F5746B" w:rsidRPr="002C4077">
        <w:t xml:space="preserve"> </w:t>
      </w:r>
      <w:r w:rsidR="00F5746B" w:rsidRPr="00F5746B">
        <w:rPr>
          <w:rStyle w:val="italicus"/>
        </w:rPr>
        <w:t>Apôtres.</w:t>
      </w:r>
      <w:bookmarkStart w:id="406" w:name="z_ActesDesApôtres_o1"/>
      <w:bookmarkEnd w:id="406"/>
      <w:r w:rsidR="00F5746B" w:rsidRPr="002C4077">
        <w:t xml:space="preserve"> </w:t>
      </w:r>
      <w:r w:rsidR="00F5746B" w:rsidRPr="00F5746B">
        <w:t>—</w:t>
      </w:r>
      <w:r w:rsidR="00F5746B" w:rsidRPr="002C4077">
        <w:t xml:space="preserve"> </w:t>
      </w:r>
      <w:r>
        <w:t>« </w:t>
      </w:r>
      <w:r w:rsidR="00F5746B" w:rsidRPr="00F5746B">
        <w:t>Avec</w:t>
      </w:r>
      <w:r w:rsidR="00F5746B" w:rsidRPr="002C4077">
        <w:t xml:space="preserve"> </w:t>
      </w:r>
      <w:r w:rsidR="00F5746B" w:rsidRPr="00F5746B">
        <w:t>les</w:t>
      </w:r>
      <w:r w:rsidR="00F5746B" w:rsidRPr="002C4077">
        <w:t xml:space="preserve"> </w:t>
      </w:r>
      <w:r w:rsidR="00F5746B" w:rsidRPr="00F5746B">
        <w:t>Actes</w:t>
      </w:r>
      <w:r w:rsidR="00F5746B" w:rsidRPr="002C4077">
        <w:t xml:space="preserve"> </w:t>
      </w:r>
      <w:r w:rsidR="00F5746B" w:rsidRPr="00F5746B">
        <w:t>des</w:t>
      </w:r>
      <w:r w:rsidR="00F5746B" w:rsidRPr="002C4077">
        <w:t xml:space="preserve"> </w:t>
      </w:r>
      <w:r w:rsidR="00F5746B" w:rsidRPr="00F5746B">
        <w:t>Apôtres,</w:t>
      </w:r>
      <w:r w:rsidR="00F5746B" w:rsidRPr="002C4077">
        <w:t xml:space="preserve"> </w:t>
      </w:r>
      <w:r w:rsidR="00F5746B" w:rsidRPr="00F5746B">
        <w:t>nous</w:t>
      </w:r>
      <w:r w:rsidR="00F5746B" w:rsidRPr="002C4077">
        <w:t xml:space="preserve"> </w:t>
      </w:r>
      <w:r w:rsidR="00F5746B" w:rsidRPr="00F5746B">
        <w:t>trouvons</w:t>
      </w:r>
      <w:r w:rsidR="00F5746B">
        <w:t>-nous</w:t>
      </w:r>
      <w:r w:rsidR="00F5746B" w:rsidRPr="002C4077">
        <w:t xml:space="preserve"> </w:t>
      </w:r>
      <w:r w:rsidR="00F5746B">
        <w:t>sur</w:t>
      </w:r>
      <w:r w:rsidR="00F5746B" w:rsidRPr="002C4077">
        <w:t xml:space="preserve"> </w:t>
      </w:r>
      <w:r w:rsidR="00F5746B">
        <w:t>un</w:t>
      </w:r>
      <w:r w:rsidR="00F5746B" w:rsidRPr="002C4077">
        <w:t xml:space="preserve"> </w:t>
      </w:r>
      <w:r w:rsidR="00F5746B">
        <w:t>terrain</w:t>
      </w:r>
      <w:r w:rsidR="00F5746B" w:rsidRPr="002C4077">
        <w:t xml:space="preserve"> </w:t>
      </w:r>
      <w:r w:rsidR="00F5746B">
        <w:t>plus</w:t>
      </w:r>
      <w:r w:rsidR="00F5746B" w:rsidRPr="002C4077">
        <w:t xml:space="preserve"> </w:t>
      </w:r>
      <w:r w:rsidR="00F5746B">
        <w:t>résis</w:t>
      </w:r>
      <w:r w:rsidR="00F5746B" w:rsidRPr="00F5746B">
        <w:t>tant</w:t>
      </w:r>
      <w:r>
        <w:t> </w:t>
      </w:r>
      <w:r w:rsidRPr="00F5746B">
        <w:t>?</w:t>
      </w:r>
      <w:r>
        <w:t> </w:t>
      </w:r>
      <w:r w:rsidRPr="00F5746B">
        <w:t>»</w:t>
      </w:r>
      <w:r w:rsidR="00F5746B" w:rsidRPr="002C4077">
        <w:t xml:space="preserve"> </w:t>
      </w:r>
      <w:r w:rsidR="00F5746B" w:rsidRPr="00F5746B">
        <w:t>se</w:t>
      </w:r>
      <w:r w:rsidR="00F5746B" w:rsidRPr="002C4077">
        <w:t xml:space="preserve"> </w:t>
      </w:r>
      <w:r w:rsidR="00F5746B" w:rsidRPr="00F5746B">
        <w:t>demande</w:t>
      </w:r>
      <w:r w:rsidR="00F5746B" w:rsidRPr="002C4077">
        <w:t xml:space="preserve"> </w:t>
      </w:r>
      <w:r w:rsidR="00F5746B" w:rsidRPr="00F5746B">
        <w:t>gravement</w:t>
      </w:r>
      <w:r w:rsidR="00F5746B" w:rsidRPr="002C4077">
        <w:t xml:space="preserve"> </w:t>
      </w:r>
      <w:r w:rsidR="00F5746B" w:rsidRPr="00F5746B">
        <w:t>M.</w:t>
      </w:r>
      <w:r w:rsidR="00F5746B" w:rsidRPr="002C4077">
        <w:t xml:space="preserve"> </w:t>
      </w:r>
      <w:r w:rsidR="007B3C26">
        <w:t>Ve</w:t>
      </w:r>
      <w:r w:rsidR="00F5746B" w:rsidRPr="00F5746B">
        <w:t>rnes.</w:t>
      </w:r>
      <w:r w:rsidR="00F5746B" w:rsidRPr="002C4077">
        <w:t xml:space="preserve"> </w:t>
      </w:r>
      <w:r w:rsidR="00F5746B" w:rsidRPr="00B546AF">
        <w:t>Après</w:t>
      </w:r>
      <w:r w:rsidR="00F5746B" w:rsidRPr="002C4077">
        <w:t xml:space="preserve"> </w:t>
      </w:r>
      <w:r w:rsidR="00F5746B" w:rsidRPr="00B546AF">
        <w:t>un</w:t>
      </w:r>
      <w:r w:rsidR="00F5746B" w:rsidRPr="002C4077">
        <w:t xml:space="preserve"> </w:t>
      </w:r>
      <w:r w:rsidR="00F5746B" w:rsidRPr="00B546AF">
        <w:t>moment</w:t>
      </w:r>
      <w:r w:rsidR="00F5746B" w:rsidRPr="002C4077">
        <w:t xml:space="preserve"> </w:t>
      </w:r>
      <w:r w:rsidR="00F5746B" w:rsidRPr="00B546AF">
        <w:t>de</w:t>
      </w:r>
      <w:r w:rsidR="00F5746B" w:rsidRPr="002C4077">
        <w:t xml:space="preserve"> </w:t>
      </w:r>
      <w:r w:rsidR="00F5746B" w:rsidRPr="00B546AF">
        <w:t>réflexion,</w:t>
      </w:r>
      <w:r w:rsidR="00F5746B" w:rsidRPr="002C4077">
        <w:t xml:space="preserve"> </w:t>
      </w:r>
      <w:r w:rsidR="00F5746B" w:rsidRPr="00B546AF">
        <w:t>marqué</w:t>
      </w:r>
      <w:r w:rsidR="00F5746B" w:rsidRPr="002C4077">
        <w:t xml:space="preserve"> </w:t>
      </w:r>
      <w:r w:rsidR="00F5746B" w:rsidRPr="00B546AF">
        <w:t>par</w:t>
      </w:r>
      <w:r w:rsidR="00F5746B" w:rsidRPr="002C4077">
        <w:t xml:space="preserve"> </w:t>
      </w:r>
      <w:r w:rsidR="00F5746B" w:rsidRPr="00B546AF">
        <w:t>un</w:t>
      </w:r>
      <w:r w:rsidR="00F5746B" w:rsidRPr="002C4077">
        <w:t xml:space="preserve"> </w:t>
      </w:r>
      <w:r w:rsidR="00F5746B" w:rsidRPr="00B546AF">
        <w:t>trait</w:t>
      </w:r>
      <w:r w:rsidR="00F5746B" w:rsidRPr="002C4077">
        <w:t xml:space="preserve"> </w:t>
      </w:r>
      <w:r w:rsidR="00F5746B" w:rsidRPr="00B546AF">
        <w:t>dans</w:t>
      </w:r>
      <w:r w:rsidR="00F5746B" w:rsidRPr="002C4077">
        <w:t xml:space="preserve"> </w:t>
      </w:r>
      <w:r w:rsidR="00F5746B" w:rsidRPr="00B546AF">
        <w:t>son</w:t>
      </w:r>
      <w:r w:rsidR="00F5746B" w:rsidRPr="002C4077">
        <w:t xml:space="preserve"> </w:t>
      </w:r>
      <w:r w:rsidR="00F5746B" w:rsidRPr="00F5746B">
        <w:t>texte,</w:t>
      </w:r>
      <w:r w:rsidR="00F5746B" w:rsidRPr="002C4077">
        <w:t xml:space="preserve"> </w:t>
      </w:r>
      <w:r w:rsidR="00F5746B" w:rsidRPr="00F5746B">
        <w:t>il</w:t>
      </w:r>
      <w:r w:rsidR="00F5746B" w:rsidRPr="002C4077">
        <w:t xml:space="preserve"> </w:t>
      </w:r>
      <w:r w:rsidR="00F5746B" w:rsidRPr="00F5746B">
        <w:t>répond</w:t>
      </w:r>
      <w:r>
        <w:t> </w:t>
      </w:r>
      <w:r w:rsidRPr="00F5746B">
        <w:t>:</w:t>
      </w:r>
      <w:r w:rsidR="00F5746B" w:rsidRPr="002C4077">
        <w:t xml:space="preserve"> </w:t>
      </w:r>
      <w:r>
        <w:t>« </w:t>
      </w:r>
      <w:r w:rsidR="00F5746B" w:rsidRPr="00F5746B">
        <w:t>Oui,</w:t>
      </w:r>
      <w:r w:rsidR="00F5746B" w:rsidRPr="002C4077">
        <w:t xml:space="preserve"> </w:t>
      </w:r>
      <w:r w:rsidR="00F5746B" w:rsidRPr="00F5746B">
        <w:t>dans</w:t>
      </w:r>
      <w:r w:rsidR="00F5746B" w:rsidRPr="002C4077">
        <w:t xml:space="preserve"> </w:t>
      </w:r>
      <w:r w:rsidR="00F5746B" w:rsidRPr="00F5746B">
        <w:t>une</w:t>
      </w:r>
      <w:r w:rsidR="00F5746B" w:rsidRPr="002C4077">
        <w:t xml:space="preserve"> </w:t>
      </w:r>
      <w:r w:rsidR="00F5746B" w:rsidRPr="00F5746B">
        <w:t>réelle</w:t>
      </w:r>
      <w:r w:rsidR="00F5746B" w:rsidRPr="002C4077">
        <w:t xml:space="preserve"> </w:t>
      </w:r>
      <w:r w:rsidR="00F5746B" w:rsidRPr="00F5746B">
        <w:t>mesure</w:t>
      </w:r>
      <w:r w:rsidR="00F5746B">
        <w:rPr>
          <w:rStyle w:val="Appelnotedebasdep"/>
        </w:rPr>
        <w:footnoteReference w:id="462"/>
      </w:r>
      <w:r>
        <w:t> </w:t>
      </w:r>
      <w:r w:rsidRPr="00F5746B">
        <w:t>»</w:t>
      </w:r>
      <w:r w:rsidR="00F5746B" w:rsidRPr="00F5746B">
        <w:t>.</w:t>
      </w:r>
    </w:p>
    <w:p w:rsidR="00F5746B" w:rsidRPr="00F5746B" w:rsidRDefault="00F5746B" w:rsidP="00B546AF">
      <w:r w:rsidRPr="00F5746B">
        <w:t>Grâce</w:t>
      </w:r>
      <w:r w:rsidRPr="002C4077">
        <w:t xml:space="preserve"> </w:t>
      </w:r>
      <w:r w:rsidRPr="00F5746B">
        <w:t>à</w:t>
      </w:r>
      <w:r w:rsidRPr="002C4077">
        <w:t xml:space="preserve"> </w:t>
      </w:r>
      <w:r w:rsidRPr="00F5746B">
        <w:t>Dieu,</w:t>
      </w:r>
      <w:r w:rsidRPr="002C4077">
        <w:t xml:space="preserve"> </w:t>
      </w:r>
      <w:r w:rsidRPr="00F5746B">
        <w:t>les</w:t>
      </w:r>
      <w:r w:rsidRPr="002C4077">
        <w:t xml:space="preserve"> </w:t>
      </w:r>
      <w:r w:rsidRPr="00F5746B">
        <w:t>Actes</w:t>
      </w:r>
      <w:r w:rsidRPr="002C4077">
        <w:t xml:space="preserve"> </w:t>
      </w:r>
      <w:r w:rsidRPr="00F5746B">
        <w:t>des</w:t>
      </w:r>
      <w:r w:rsidRPr="002C4077">
        <w:t xml:space="preserve"> </w:t>
      </w:r>
      <w:r w:rsidRPr="00F5746B">
        <w:t>Apôtres</w:t>
      </w:r>
      <w:r w:rsidRPr="002C4077">
        <w:t xml:space="preserve"> </w:t>
      </w:r>
      <w:r w:rsidRPr="00F5746B">
        <w:t>sont</w:t>
      </w:r>
      <w:r w:rsidRPr="002C4077">
        <w:t xml:space="preserve"> </w:t>
      </w:r>
      <w:r w:rsidRPr="00F5746B">
        <w:t>sauvés</w:t>
      </w:r>
      <w:r w:rsidR="00B546AF">
        <w:t> </w:t>
      </w:r>
      <w:r w:rsidR="00B546AF" w:rsidRPr="00F5746B">
        <w:t>!</w:t>
      </w:r>
      <w:r w:rsidRPr="002C4077">
        <w:t xml:space="preserve"> </w:t>
      </w:r>
      <w:r w:rsidRPr="00F5746B">
        <w:t>Écoutons</w:t>
      </w:r>
      <w:r w:rsidRPr="002C4077">
        <w:t xml:space="preserve"> </w:t>
      </w:r>
      <w:r w:rsidRPr="00F5746B">
        <w:t>les</w:t>
      </w:r>
      <w:r w:rsidRPr="002C4077">
        <w:t xml:space="preserve"> </w:t>
      </w:r>
      <w:r w:rsidRPr="00F5746B">
        <w:t>motifs</w:t>
      </w:r>
      <w:r w:rsidRPr="002C4077">
        <w:t xml:space="preserve"> </w:t>
      </w:r>
      <w:r w:rsidRPr="00F5746B">
        <w:t>qui</w:t>
      </w:r>
      <w:r w:rsidRPr="002C4077">
        <w:t xml:space="preserve"> </w:t>
      </w:r>
      <w:r w:rsidRPr="00F5746B">
        <w:t>leur</w:t>
      </w:r>
      <w:r w:rsidRPr="002C4077">
        <w:t xml:space="preserve"> </w:t>
      </w:r>
      <w:r w:rsidRPr="00F5746B">
        <w:t>ont</w:t>
      </w:r>
      <w:r w:rsidRPr="002C4077">
        <w:t xml:space="preserve"> </w:t>
      </w:r>
      <w:r w:rsidRPr="00F5746B">
        <w:t>valu</w:t>
      </w:r>
      <w:r w:rsidRPr="002C4077">
        <w:t xml:space="preserve"> </w:t>
      </w:r>
      <w:r w:rsidRPr="00F5746B">
        <w:t>une</w:t>
      </w:r>
      <w:r w:rsidRPr="002C4077">
        <w:t xml:space="preserve"> </w:t>
      </w:r>
      <w:r w:rsidRPr="00F5746B">
        <w:t>telle</w:t>
      </w:r>
      <w:r w:rsidRPr="002C4077">
        <w:t xml:space="preserve"> </w:t>
      </w:r>
      <w:r w:rsidRPr="00F5746B">
        <w:t>faveur.</w:t>
      </w:r>
    </w:p>
    <w:p w:rsidR="000A7AAB" w:rsidRDefault="00B546AF" w:rsidP="000A7AAB">
      <w:r>
        <w:t>« </w:t>
      </w:r>
      <w:r w:rsidR="00F5746B">
        <w:t>À</w:t>
      </w:r>
      <w:r w:rsidR="00F5746B" w:rsidRPr="002C4077">
        <w:t xml:space="preserve"> </w:t>
      </w:r>
      <w:r w:rsidR="00F5746B">
        <w:t>de</w:t>
      </w:r>
      <w:r w:rsidR="00F5746B" w:rsidRPr="002C4077">
        <w:t xml:space="preserve"> </w:t>
      </w:r>
      <w:r w:rsidR="00F5746B">
        <w:t>certaines</w:t>
      </w:r>
      <w:r w:rsidR="00F5746B" w:rsidRPr="002C4077">
        <w:t xml:space="preserve"> </w:t>
      </w:r>
      <w:r w:rsidR="00F5746B">
        <w:t>pages,</w:t>
      </w:r>
      <w:r w:rsidR="00F5746B" w:rsidRPr="002C4077">
        <w:t xml:space="preserve"> </w:t>
      </w:r>
      <w:r w:rsidR="00F5746B">
        <w:t>le</w:t>
      </w:r>
      <w:r w:rsidR="00F5746B" w:rsidRPr="002C4077">
        <w:t xml:space="preserve"> </w:t>
      </w:r>
      <w:r w:rsidR="00F5746B">
        <w:t>merveilleux</w:t>
      </w:r>
      <w:r w:rsidR="00F5746B" w:rsidRPr="002C4077">
        <w:t xml:space="preserve"> </w:t>
      </w:r>
      <w:r w:rsidR="00F5746B">
        <w:t>disparaît</w:t>
      </w:r>
      <w:r w:rsidRPr="002C4077">
        <w:t xml:space="preserve"> </w:t>
      </w:r>
      <w:r>
        <w:t>presque</w:t>
      </w:r>
      <w:r w:rsidR="000A7AAB" w:rsidRPr="002C4077">
        <w:t xml:space="preserve"> </w:t>
      </w:r>
      <w:r w:rsidR="000A7AAB">
        <w:t>complètement</w:t>
      </w:r>
      <w:r w:rsidR="000A7AAB" w:rsidRPr="002C4077">
        <w:t xml:space="preserve"> </w:t>
      </w:r>
      <w:r w:rsidR="000A7AAB">
        <w:t>ou</w:t>
      </w:r>
      <w:r w:rsidR="000A7AAB" w:rsidRPr="002C4077">
        <w:t xml:space="preserve"> </w:t>
      </w:r>
      <w:r w:rsidR="000A7AAB">
        <w:t>devient</w:t>
      </w:r>
      <w:r w:rsidR="000A7AAB" w:rsidRPr="002C4077">
        <w:t xml:space="preserve"> </w:t>
      </w:r>
      <w:r w:rsidR="000A7AAB">
        <w:t>épisodique.</w:t>
      </w:r>
      <w:r w:rsidR="00C45B47">
        <w:t xml:space="preserve"> {</w:t>
      </w:r>
      <w:r w:rsidR="00B53529">
        <w:t>150</w:t>
      </w:r>
      <w:bookmarkStart w:id="407" w:name="p150"/>
      <w:bookmarkEnd w:id="407"/>
      <w:r w:rsidR="00B53529">
        <w:t xml:space="preserve">} </w:t>
      </w:r>
      <w:r w:rsidR="000A7AAB">
        <w:t>Ailleurs,</w:t>
      </w:r>
      <w:r w:rsidR="000A7AAB" w:rsidRPr="002C4077">
        <w:t xml:space="preserve"> </w:t>
      </w:r>
      <w:r w:rsidR="000A7AAB">
        <w:t>ce</w:t>
      </w:r>
      <w:r w:rsidR="000A7AAB" w:rsidRPr="002C4077">
        <w:t xml:space="preserve"> </w:t>
      </w:r>
      <w:r w:rsidR="000A7AAB">
        <w:t>merveilleux</w:t>
      </w:r>
      <w:r w:rsidR="000A7AAB" w:rsidRPr="002C4077">
        <w:t xml:space="preserve"> </w:t>
      </w:r>
      <w:r w:rsidR="000A7AAB">
        <w:t>prend</w:t>
      </w:r>
      <w:r w:rsidR="000A7AAB" w:rsidRPr="002C4077">
        <w:t xml:space="preserve"> </w:t>
      </w:r>
      <w:r w:rsidR="000A7AAB">
        <w:t>la</w:t>
      </w:r>
      <w:r w:rsidR="000A7AAB" w:rsidRPr="002C4077">
        <w:t xml:space="preserve"> </w:t>
      </w:r>
      <w:r w:rsidR="000A7AAB">
        <w:t>forme</w:t>
      </w:r>
      <w:r w:rsidR="000A7AAB" w:rsidRPr="002C4077">
        <w:t xml:space="preserve"> </w:t>
      </w:r>
      <w:r w:rsidR="000A7AAB">
        <w:t>modeste</w:t>
      </w:r>
      <w:r w:rsidR="000A7AAB" w:rsidRPr="002C4077">
        <w:t xml:space="preserve"> </w:t>
      </w:r>
      <w:r w:rsidR="000A7AAB">
        <w:t>de</w:t>
      </w:r>
      <w:r w:rsidR="000A7AAB" w:rsidRPr="002C4077">
        <w:t xml:space="preserve"> </w:t>
      </w:r>
      <w:r w:rsidR="000A7AAB">
        <w:t>révélation</w:t>
      </w:r>
      <w:r w:rsidR="000A7AAB" w:rsidRPr="002C4077">
        <w:t xml:space="preserve"> </w:t>
      </w:r>
      <w:r w:rsidR="000A7AAB">
        <w:t>par</w:t>
      </w:r>
      <w:r w:rsidR="000A7AAB" w:rsidRPr="002C4077">
        <w:t xml:space="preserve"> </w:t>
      </w:r>
      <w:r w:rsidR="000A7AAB">
        <w:t>songes</w:t>
      </w:r>
      <w:r>
        <w:t> »</w:t>
      </w:r>
      <w:r w:rsidR="000A7AAB">
        <w:t>.</w:t>
      </w:r>
      <w:r w:rsidR="000A7AAB" w:rsidRPr="002C4077">
        <w:t xml:space="preserve"> </w:t>
      </w:r>
      <w:r w:rsidR="000A7AAB">
        <w:t>Pensez</w:t>
      </w:r>
      <w:r w:rsidR="000A7AAB" w:rsidRPr="002C4077">
        <w:t xml:space="preserve"> </w:t>
      </w:r>
      <w:r w:rsidR="000A7AAB">
        <w:t>donc</w:t>
      </w:r>
      <w:r>
        <w:t> !</w:t>
      </w:r>
      <w:r w:rsidR="000A7AAB" w:rsidRPr="002C4077">
        <w:t xml:space="preserve"> </w:t>
      </w:r>
      <w:r w:rsidR="000A7AAB">
        <w:t>De</w:t>
      </w:r>
      <w:r w:rsidR="000A7AAB" w:rsidRPr="002C4077">
        <w:t xml:space="preserve"> </w:t>
      </w:r>
      <w:r w:rsidR="000A7AAB">
        <w:t>plus,</w:t>
      </w:r>
      <w:r w:rsidR="000A7AAB" w:rsidRPr="002C4077">
        <w:t xml:space="preserve"> </w:t>
      </w:r>
      <w:r>
        <w:t>« </w:t>
      </w:r>
      <w:r w:rsidR="000A7AAB">
        <w:t>on</w:t>
      </w:r>
      <w:r w:rsidR="000A7AAB" w:rsidRPr="002C4077">
        <w:t xml:space="preserve"> </w:t>
      </w:r>
      <w:r w:rsidR="000A7AAB">
        <w:t>a</w:t>
      </w:r>
      <w:r w:rsidR="000A7AAB" w:rsidRPr="002C4077">
        <w:t xml:space="preserve"> </w:t>
      </w:r>
      <w:r w:rsidR="000A7AAB">
        <w:t>de</w:t>
      </w:r>
      <w:r w:rsidR="000A7AAB" w:rsidRPr="002C4077">
        <w:t xml:space="preserve"> </w:t>
      </w:r>
      <w:r w:rsidR="000A7AAB">
        <w:t>tout</w:t>
      </w:r>
      <w:r w:rsidR="000A7AAB" w:rsidRPr="002C4077">
        <w:t xml:space="preserve"> </w:t>
      </w:r>
      <w:r w:rsidR="000A7AAB">
        <w:t>temps</w:t>
      </w:r>
      <w:r w:rsidR="000A7AAB" w:rsidRPr="002C4077">
        <w:t xml:space="preserve"> </w:t>
      </w:r>
      <w:r w:rsidR="000A7AAB">
        <w:t>été</w:t>
      </w:r>
      <w:r w:rsidR="000A7AAB" w:rsidRPr="002C4077">
        <w:t xml:space="preserve"> </w:t>
      </w:r>
      <w:r w:rsidR="000A7AAB">
        <w:t>frappé</w:t>
      </w:r>
      <w:r w:rsidR="000A7AAB" w:rsidRPr="002C4077">
        <w:t xml:space="preserve"> </w:t>
      </w:r>
      <w:r w:rsidR="000A7AAB">
        <w:t>de</w:t>
      </w:r>
      <w:r w:rsidR="000A7AAB" w:rsidRPr="002C4077">
        <w:t xml:space="preserve"> </w:t>
      </w:r>
      <w:r w:rsidR="000A7AAB">
        <w:t>la</w:t>
      </w:r>
      <w:r w:rsidR="000A7AAB" w:rsidRPr="002C4077">
        <w:t xml:space="preserve"> </w:t>
      </w:r>
      <w:r w:rsidR="000A7AAB">
        <w:t>remarquable</w:t>
      </w:r>
      <w:r w:rsidR="000A7AAB" w:rsidRPr="002C4077">
        <w:t xml:space="preserve"> </w:t>
      </w:r>
      <w:r w:rsidR="000A7AAB">
        <w:t>précision</w:t>
      </w:r>
      <w:r w:rsidR="000A7AAB" w:rsidRPr="002C4077">
        <w:t xml:space="preserve"> </w:t>
      </w:r>
      <w:r w:rsidR="000A7AAB">
        <w:t>de</w:t>
      </w:r>
      <w:r w:rsidR="000A7AAB" w:rsidRPr="002C4077">
        <w:t xml:space="preserve"> </w:t>
      </w:r>
      <w:r w:rsidR="000A7AAB">
        <w:t>quelques-unes</w:t>
      </w:r>
      <w:r w:rsidR="000A7AAB" w:rsidRPr="002C4077">
        <w:t xml:space="preserve"> </w:t>
      </w:r>
      <w:r w:rsidR="000A7AAB">
        <w:t>des</w:t>
      </w:r>
      <w:r w:rsidR="000A7AAB" w:rsidRPr="002C4077">
        <w:t xml:space="preserve"> </w:t>
      </w:r>
      <w:r w:rsidR="000A7AAB">
        <w:t>pages</w:t>
      </w:r>
      <w:r w:rsidR="000A7AAB" w:rsidRPr="002C4077">
        <w:t xml:space="preserve"> </w:t>
      </w:r>
      <w:r w:rsidR="000A7AAB">
        <w:t>qui</w:t>
      </w:r>
      <w:r w:rsidR="000A7AAB" w:rsidRPr="002C4077">
        <w:t xml:space="preserve"> </w:t>
      </w:r>
      <w:r w:rsidR="000A7AAB">
        <w:t>racontent</w:t>
      </w:r>
      <w:r w:rsidR="000A7AAB" w:rsidRPr="002C4077">
        <w:t xml:space="preserve"> </w:t>
      </w:r>
      <w:r w:rsidR="000A7AAB">
        <w:t>les</w:t>
      </w:r>
      <w:r w:rsidR="000A7AAB" w:rsidRPr="002C4077">
        <w:t xml:space="preserve"> </w:t>
      </w:r>
      <w:r w:rsidR="000A7AAB">
        <w:t>voyages</w:t>
      </w:r>
      <w:r w:rsidR="000A7AAB" w:rsidRPr="002C4077">
        <w:t xml:space="preserve"> </w:t>
      </w:r>
      <w:r w:rsidR="000A7AAB">
        <w:t>de</w:t>
      </w:r>
      <w:r w:rsidR="000A7AAB" w:rsidRPr="002C4077">
        <w:t xml:space="preserve"> </w:t>
      </w:r>
      <w:r w:rsidR="000A7AAB">
        <w:t>saint</w:t>
      </w:r>
      <w:r w:rsidR="000A7AAB" w:rsidRPr="002C4077">
        <w:t xml:space="preserve"> </w:t>
      </w:r>
      <w:r w:rsidR="000A7AAB">
        <w:t>Paul</w:t>
      </w:r>
      <w:bookmarkStart w:id="408" w:name="z_EpitresPaul_o1"/>
      <w:bookmarkEnd w:id="408"/>
      <w:r w:rsidR="000A7AAB">
        <w:t>,</w:t>
      </w:r>
      <w:r w:rsidR="000A7AAB" w:rsidRPr="002C4077">
        <w:t xml:space="preserve"> </w:t>
      </w:r>
      <w:r w:rsidR="000A7AAB">
        <w:t>particulièrement</w:t>
      </w:r>
      <w:r w:rsidR="000A7AAB" w:rsidRPr="002C4077">
        <w:t xml:space="preserve"> </w:t>
      </w:r>
      <w:r w:rsidR="000A7AAB">
        <w:t>son</w:t>
      </w:r>
      <w:r w:rsidR="000A7AAB" w:rsidRPr="002C4077">
        <w:t xml:space="preserve"> </w:t>
      </w:r>
      <w:r w:rsidR="000A7AAB">
        <w:t>transport</w:t>
      </w:r>
      <w:r w:rsidR="000A7AAB" w:rsidRPr="002C4077">
        <w:t xml:space="preserve"> </w:t>
      </w:r>
      <w:r w:rsidR="000A7AAB">
        <w:t>à</w:t>
      </w:r>
      <w:r w:rsidR="000A7AAB" w:rsidRPr="002C4077">
        <w:t xml:space="preserve"> </w:t>
      </w:r>
      <w:r w:rsidR="000A7AAB">
        <w:t>Rome</w:t>
      </w:r>
      <w:r w:rsidR="000A7AAB" w:rsidRPr="002C4077">
        <w:t xml:space="preserve"> </w:t>
      </w:r>
      <w:r w:rsidR="000A7AAB">
        <w:t>après</w:t>
      </w:r>
      <w:r w:rsidR="000A7AAB" w:rsidRPr="002C4077">
        <w:t xml:space="preserve"> </w:t>
      </w:r>
      <w:r w:rsidR="000A7AAB">
        <w:t>l’appel</w:t>
      </w:r>
      <w:r w:rsidR="000A7AAB" w:rsidRPr="002C4077">
        <w:t xml:space="preserve"> </w:t>
      </w:r>
      <w:r w:rsidR="000A7AAB">
        <w:t>qu’il</w:t>
      </w:r>
      <w:r w:rsidR="000A7AAB" w:rsidRPr="002C4077">
        <w:t xml:space="preserve"> </w:t>
      </w:r>
      <w:r w:rsidR="000A7AAB">
        <w:t>avait</w:t>
      </w:r>
      <w:r w:rsidR="000A7AAB" w:rsidRPr="002C4077">
        <w:t xml:space="preserve"> </w:t>
      </w:r>
      <w:r w:rsidR="000A7AAB">
        <w:t>interjeté</w:t>
      </w:r>
      <w:r>
        <w:t> :</w:t>
      </w:r>
      <w:r w:rsidR="000A7AAB" w:rsidRPr="002C4077">
        <w:t xml:space="preserve"> </w:t>
      </w:r>
      <w:r w:rsidR="000A7AAB">
        <w:t>J’en</w:t>
      </w:r>
      <w:r w:rsidR="000A7AAB" w:rsidRPr="002C4077">
        <w:t xml:space="preserve"> </w:t>
      </w:r>
      <w:r w:rsidR="000A7AAB">
        <w:t>appelle</w:t>
      </w:r>
      <w:r w:rsidR="000A7AAB" w:rsidRPr="002C4077">
        <w:t xml:space="preserve"> </w:t>
      </w:r>
      <w:r w:rsidR="000A7AAB">
        <w:t>à</w:t>
      </w:r>
      <w:r w:rsidR="000A7AAB" w:rsidRPr="002C4077">
        <w:t xml:space="preserve"> </w:t>
      </w:r>
      <w:r w:rsidR="000A7AAB">
        <w:t>la</w:t>
      </w:r>
      <w:r w:rsidR="000A7AAB" w:rsidRPr="002C4077">
        <w:t xml:space="preserve"> </w:t>
      </w:r>
      <w:r w:rsidR="000A7AAB">
        <w:t>justice</w:t>
      </w:r>
      <w:r w:rsidR="000A7AAB" w:rsidRPr="002C4077">
        <w:t xml:space="preserve"> </w:t>
      </w:r>
      <w:r w:rsidR="000A7AAB">
        <w:t>impériale</w:t>
      </w:r>
      <w:r w:rsidR="00B91AF7">
        <w:rPr>
          <w:rStyle w:val="Appelnotedebasdep"/>
        </w:rPr>
        <w:footnoteReference w:id="463"/>
      </w:r>
      <w:r>
        <w:t> »</w:t>
      </w:r>
      <w:r w:rsidR="000A7AAB">
        <w:t>.</w:t>
      </w:r>
      <w:r w:rsidR="000A7AAB" w:rsidRPr="002C4077">
        <w:t xml:space="preserve"> </w:t>
      </w:r>
      <w:r w:rsidR="000A7AAB">
        <w:t>Enfin,</w:t>
      </w:r>
      <w:r w:rsidR="000A7AAB" w:rsidRPr="002C4077">
        <w:t xml:space="preserve"> </w:t>
      </w:r>
      <w:r w:rsidR="000A7AAB">
        <w:t>le</w:t>
      </w:r>
      <w:r w:rsidR="000A7AAB" w:rsidRPr="002C4077">
        <w:t xml:space="preserve"> </w:t>
      </w:r>
      <w:r w:rsidR="000A7AAB">
        <w:t>livre</w:t>
      </w:r>
      <w:r w:rsidR="000A7AAB" w:rsidRPr="002C4077">
        <w:t xml:space="preserve"> </w:t>
      </w:r>
      <w:r w:rsidR="000A7AAB">
        <w:t>des</w:t>
      </w:r>
      <w:r w:rsidR="000A7AAB" w:rsidRPr="002C4077">
        <w:t xml:space="preserve"> </w:t>
      </w:r>
      <w:r w:rsidR="000A7AAB">
        <w:t>Actes</w:t>
      </w:r>
      <w:r w:rsidR="000A7AAB" w:rsidRPr="002C4077">
        <w:t xml:space="preserve"> </w:t>
      </w:r>
      <w:r w:rsidR="00425C50">
        <w:t>est</w:t>
      </w:r>
      <w:r w:rsidR="000A7AAB" w:rsidRPr="002C4077">
        <w:t xml:space="preserve"> </w:t>
      </w:r>
      <w:r w:rsidR="000A7AAB">
        <w:t>une</w:t>
      </w:r>
      <w:r w:rsidR="000A7AAB" w:rsidRPr="002C4077">
        <w:t xml:space="preserve"> </w:t>
      </w:r>
      <w:r>
        <w:t>« </w:t>
      </w:r>
      <w:r w:rsidR="000A7AAB">
        <w:t>œuvre</w:t>
      </w:r>
      <w:r w:rsidR="000A7AAB" w:rsidRPr="002C4077">
        <w:t xml:space="preserve"> </w:t>
      </w:r>
      <w:r w:rsidR="000A7AAB">
        <w:t>précieuse,</w:t>
      </w:r>
      <w:r w:rsidR="000A7AAB" w:rsidRPr="002C4077">
        <w:t xml:space="preserve"> </w:t>
      </w:r>
      <w:r w:rsidR="000A7AAB">
        <w:t>dont</w:t>
      </w:r>
      <w:r w:rsidR="000A7AAB" w:rsidRPr="002C4077">
        <w:t xml:space="preserve"> </w:t>
      </w:r>
      <w:r w:rsidR="000A7AAB">
        <w:t>l’absence</w:t>
      </w:r>
      <w:r w:rsidR="000A7AAB" w:rsidRPr="002C4077">
        <w:t xml:space="preserve"> </w:t>
      </w:r>
      <w:r w:rsidR="000A7AAB">
        <w:t>restreindrait</w:t>
      </w:r>
      <w:r w:rsidR="000A7AAB" w:rsidRPr="002C4077">
        <w:t xml:space="preserve"> </w:t>
      </w:r>
      <w:r w:rsidR="000A7AAB">
        <w:t>singulièrement</w:t>
      </w:r>
      <w:r w:rsidR="000A7AAB" w:rsidRPr="002C4077">
        <w:t xml:space="preserve"> </w:t>
      </w:r>
      <w:r w:rsidR="000A7AAB">
        <w:t>nos</w:t>
      </w:r>
      <w:r w:rsidR="000A7AAB" w:rsidRPr="002C4077">
        <w:t xml:space="preserve"> </w:t>
      </w:r>
      <w:r w:rsidR="000A7AAB">
        <w:t>moyens</w:t>
      </w:r>
      <w:r w:rsidR="000A7AAB" w:rsidRPr="002C4077">
        <w:t xml:space="preserve"> </w:t>
      </w:r>
      <w:r w:rsidR="000A7AAB">
        <w:t>d’information</w:t>
      </w:r>
      <w:r w:rsidR="000A7AAB" w:rsidRPr="002C4077">
        <w:t xml:space="preserve"> </w:t>
      </w:r>
      <w:r w:rsidR="000A7AAB">
        <w:t>déjà</w:t>
      </w:r>
      <w:r w:rsidR="000A7AAB" w:rsidRPr="002C4077">
        <w:t xml:space="preserve"> </w:t>
      </w:r>
      <w:r w:rsidR="000A7AAB">
        <w:t>si</w:t>
      </w:r>
      <w:r w:rsidR="000A7AAB" w:rsidRPr="002C4077">
        <w:t xml:space="preserve"> </w:t>
      </w:r>
      <w:r w:rsidR="000A7AAB">
        <w:t>insuffisants</w:t>
      </w:r>
      <w:r w:rsidR="000A7AAB" w:rsidRPr="002C4077">
        <w:t xml:space="preserve"> </w:t>
      </w:r>
      <w:r w:rsidR="000A7AAB">
        <w:t>sur</w:t>
      </w:r>
      <w:r w:rsidR="000A7AAB" w:rsidRPr="002C4077">
        <w:t xml:space="preserve"> </w:t>
      </w:r>
      <w:r w:rsidR="000A7AAB">
        <w:t>les</w:t>
      </w:r>
      <w:r w:rsidR="000A7AAB" w:rsidRPr="002C4077">
        <w:t xml:space="preserve"> </w:t>
      </w:r>
      <w:r w:rsidR="000A7AAB">
        <w:t>commencements</w:t>
      </w:r>
      <w:r w:rsidR="000A7AAB" w:rsidRPr="002C4077">
        <w:t xml:space="preserve"> </w:t>
      </w:r>
      <w:r w:rsidR="000A7AAB">
        <w:t>de</w:t>
      </w:r>
      <w:r w:rsidR="000A7AAB" w:rsidRPr="002C4077">
        <w:t xml:space="preserve"> </w:t>
      </w:r>
      <w:r w:rsidR="000A7AAB">
        <w:t>l’Église</w:t>
      </w:r>
      <w:r w:rsidR="000A7AAB" w:rsidRPr="002C4077">
        <w:t xml:space="preserve"> </w:t>
      </w:r>
      <w:r w:rsidR="000A7AAB">
        <w:t>chrétienne</w:t>
      </w:r>
      <w:r w:rsidR="00B91AF7">
        <w:rPr>
          <w:rStyle w:val="Appelnotedebasdep"/>
        </w:rPr>
        <w:footnoteReference w:id="464"/>
      </w:r>
      <w:r>
        <w:t> »</w:t>
      </w:r>
      <w:r w:rsidR="000A7AAB">
        <w:t>.</w:t>
      </w:r>
      <w:r w:rsidR="000A7AAB" w:rsidRPr="002C4077">
        <w:t xml:space="preserve"> </w:t>
      </w:r>
    </w:p>
    <w:p w:rsidR="000A7AAB" w:rsidRDefault="000A7AAB" w:rsidP="000A7AAB">
      <w:r>
        <w:t>Mais</w:t>
      </w:r>
      <w:r w:rsidRPr="002C4077">
        <w:t xml:space="preserve"> </w:t>
      </w:r>
      <w:r>
        <w:t>quelle</w:t>
      </w:r>
      <w:r w:rsidRPr="002C4077">
        <w:t xml:space="preserve"> </w:t>
      </w:r>
      <w:r>
        <w:t>conclusion</w:t>
      </w:r>
      <w:r w:rsidRPr="002C4077">
        <w:t xml:space="preserve"> </w:t>
      </w:r>
      <w:r>
        <w:t>nous</w:t>
      </w:r>
      <w:r w:rsidRPr="002C4077">
        <w:t xml:space="preserve"> </w:t>
      </w:r>
      <w:r>
        <w:t>attend</w:t>
      </w:r>
      <w:r w:rsidRPr="002C4077">
        <w:t xml:space="preserve"> </w:t>
      </w:r>
      <w:r>
        <w:t>après</w:t>
      </w:r>
      <w:r w:rsidRPr="002C4077">
        <w:t xml:space="preserve"> </w:t>
      </w:r>
      <w:r>
        <w:t>ces</w:t>
      </w:r>
      <w:r w:rsidRPr="002C4077">
        <w:t xml:space="preserve"> </w:t>
      </w:r>
      <w:r>
        <w:t>flatteuses</w:t>
      </w:r>
      <w:r w:rsidRPr="002C4077">
        <w:t xml:space="preserve"> </w:t>
      </w:r>
      <w:r>
        <w:t>prémisses</w:t>
      </w:r>
      <w:r w:rsidR="00B546AF">
        <w:t> !</w:t>
      </w:r>
      <w:r w:rsidRPr="002C4077">
        <w:t xml:space="preserve"> </w:t>
      </w:r>
    </w:p>
    <w:p w:rsidR="000A7AAB" w:rsidRDefault="00B546AF" w:rsidP="000A7AAB">
      <w:r>
        <w:t>« </w:t>
      </w:r>
      <w:r w:rsidR="000A7AAB">
        <w:t>Ce</w:t>
      </w:r>
      <w:r w:rsidR="000A7AAB" w:rsidRPr="002C4077">
        <w:t xml:space="preserve"> </w:t>
      </w:r>
      <w:r w:rsidR="000A7AAB">
        <w:t>n’est</w:t>
      </w:r>
      <w:r w:rsidR="000A7AAB" w:rsidRPr="002C4077">
        <w:t xml:space="preserve"> </w:t>
      </w:r>
      <w:r w:rsidR="000A7AAB">
        <w:t>pourtant</w:t>
      </w:r>
      <w:r w:rsidR="000A7AAB" w:rsidRPr="002C4077">
        <w:t xml:space="preserve"> </w:t>
      </w:r>
      <w:r w:rsidR="000A7AAB">
        <w:t>point</w:t>
      </w:r>
      <w:r w:rsidR="000A7AAB" w:rsidRPr="002C4077">
        <w:t xml:space="preserve"> </w:t>
      </w:r>
      <w:r w:rsidR="000A7AAB">
        <w:t>encore</w:t>
      </w:r>
      <w:r w:rsidR="000A7AAB" w:rsidRPr="002C4077">
        <w:t xml:space="preserve"> </w:t>
      </w:r>
      <w:r w:rsidR="000A7AAB">
        <w:t>un</w:t>
      </w:r>
      <w:r w:rsidR="000A7AAB" w:rsidRPr="002C4077">
        <w:t xml:space="preserve"> </w:t>
      </w:r>
      <w:r w:rsidR="000A7AAB">
        <w:t>livre</w:t>
      </w:r>
      <w:r w:rsidR="000A7AAB" w:rsidRPr="002C4077">
        <w:t xml:space="preserve"> </w:t>
      </w:r>
      <w:r w:rsidR="000A7AAB">
        <w:t>d’histoire,</w:t>
      </w:r>
      <w:r w:rsidR="000A7AAB" w:rsidRPr="002C4077">
        <w:t xml:space="preserve"> </w:t>
      </w:r>
      <w:r w:rsidR="000A7AAB">
        <w:t>surtout</w:t>
      </w:r>
      <w:r w:rsidR="000A7AAB" w:rsidRPr="002C4077">
        <w:t xml:space="preserve"> </w:t>
      </w:r>
      <w:r w:rsidR="000A7AAB">
        <w:t>dans</w:t>
      </w:r>
      <w:r w:rsidR="000A7AAB" w:rsidRPr="002C4077">
        <w:t xml:space="preserve"> </w:t>
      </w:r>
      <w:r w:rsidR="000A7AAB">
        <w:t>les</w:t>
      </w:r>
      <w:r w:rsidR="000A7AAB" w:rsidRPr="002C4077">
        <w:t xml:space="preserve"> </w:t>
      </w:r>
      <w:r w:rsidR="000A7AAB">
        <w:t>premiers</w:t>
      </w:r>
      <w:r w:rsidR="000A7AAB" w:rsidRPr="002C4077">
        <w:t xml:space="preserve"> </w:t>
      </w:r>
      <w:r w:rsidR="000A7AAB">
        <w:t>chapitres,</w:t>
      </w:r>
      <w:r w:rsidR="000A7AAB" w:rsidRPr="002C4077">
        <w:t xml:space="preserve"> </w:t>
      </w:r>
      <w:r w:rsidR="000A7AAB">
        <w:t>qui</w:t>
      </w:r>
      <w:r w:rsidR="000A7AAB" w:rsidRPr="002C4077">
        <w:t xml:space="preserve"> </w:t>
      </w:r>
      <w:r w:rsidR="000A7AAB">
        <w:t>contiennent</w:t>
      </w:r>
      <w:r w:rsidR="000A7AAB" w:rsidRPr="002C4077">
        <w:t xml:space="preserve"> </w:t>
      </w:r>
      <w:r w:rsidR="000A7AAB">
        <w:t>la</w:t>
      </w:r>
      <w:r w:rsidR="000A7AAB" w:rsidRPr="002C4077">
        <w:t xml:space="preserve"> </w:t>
      </w:r>
      <w:r w:rsidR="000A7AAB">
        <w:t>fâcheuse</w:t>
      </w:r>
      <w:r w:rsidR="000A7AAB" w:rsidRPr="002C4077">
        <w:t xml:space="preserve"> </w:t>
      </w:r>
      <w:r w:rsidR="000A7AAB">
        <w:t>méprise</w:t>
      </w:r>
      <w:r w:rsidR="000A7AAB" w:rsidRPr="002C4077">
        <w:t xml:space="preserve"> </w:t>
      </w:r>
      <w:r w:rsidR="000A7AAB">
        <w:t>relative</w:t>
      </w:r>
      <w:r w:rsidR="000A7AAB" w:rsidRPr="002C4077">
        <w:t xml:space="preserve"> </w:t>
      </w:r>
      <w:r w:rsidR="000A7AAB">
        <w:t>au</w:t>
      </w:r>
      <w:r w:rsidR="000A7AAB" w:rsidRPr="002C4077">
        <w:t xml:space="preserve"> </w:t>
      </w:r>
      <w:r w:rsidR="000A7AAB">
        <w:t>don</w:t>
      </w:r>
      <w:r w:rsidR="000A7AAB" w:rsidRPr="002C4077">
        <w:t xml:space="preserve"> </w:t>
      </w:r>
      <w:r w:rsidR="000A7AAB">
        <w:t>des</w:t>
      </w:r>
      <w:r w:rsidR="000A7AAB" w:rsidRPr="002C4077">
        <w:t xml:space="preserve"> </w:t>
      </w:r>
      <w:r w:rsidR="000A7AAB">
        <w:t>langues</w:t>
      </w:r>
      <w:r w:rsidR="000A7AAB" w:rsidRPr="002C4077">
        <w:t xml:space="preserve"> </w:t>
      </w:r>
      <w:r w:rsidR="000A7AAB">
        <w:t>étrangères</w:t>
      </w:r>
      <w:r w:rsidR="00F44410">
        <w:rPr>
          <w:rStyle w:val="Appelnotedebasdep"/>
        </w:rPr>
        <w:footnoteReference w:id="465"/>
      </w:r>
      <w:r>
        <w:t> »</w:t>
      </w:r>
      <w:r w:rsidR="000A7AAB">
        <w:t>.</w:t>
      </w:r>
      <w:r w:rsidR="000A7AAB" w:rsidRPr="002C4077">
        <w:t xml:space="preserve"> </w:t>
      </w:r>
    </w:p>
    <w:p w:rsidR="000A7AAB" w:rsidRDefault="000A7AAB" w:rsidP="000A7AAB">
      <w:r>
        <w:t>Pour</w:t>
      </w:r>
      <w:r w:rsidRPr="002C4077">
        <w:t xml:space="preserve"> </w:t>
      </w:r>
      <w:r>
        <w:t>les</w:t>
      </w:r>
      <w:r w:rsidRPr="002C4077">
        <w:t xml:space="preserve"> </w:t>
      </w:r>
      <w:r>
        <w:t>autres</w:t>
      </w:r>
      <w:r w:rsidRPr="002C4077">
        <w:t xml:space="preserve"> </w:t>
      </w:r>
      <w:r>
        <w:t>pages,</w:t>
      </w:r>
      <w:r w:rsidRPr="002C4077">
        <w:t xml:space="preserve"> </w:t>
      </w:r>
      <w:r w:rsidR="00B546AF">
        <w:t>« </w:t>
      </w:r>
      <w:r>
        <w:t>elles</w:t>
      </w:r>
      <w:r w:rsidRPr="002C4077">
        <w:t xml:space="preserve"> </w:t>
      </w:r>
      <w:r>
        <w:t>doivent</w:t>
      </w:r>
      <w:r w:rsidRPr="002C4077">
        <w:t xml:space="preserve"> </w:t>
      </w:r>
      <w:r>
        <w:t>être</w:t>
      </w:r>
      <w:r w:rsidRPr="002C4077">
        <w:t xml:space="preserve"> </w:t>
      </w:r>
      <w:r>
        <w:t>pesées</w:t>
      </w:r>
      <w:r w:rsidRPr="002C4077">
        <w:t xml:space="preserve"> </w:t>
      </w:r>
      <w:r>
        <w:t>une</w:t>
      </w:r>
      <w:r w:rsidRPr="002C4077">
        <w:t xml:space="preserve"> </w:t>
      </w:r>
      <w:r>
        <w:t>à</w:t>
      </w:r>
      <w:r w:rsidRPr="002C4077">
        <w:t xml:space="preserve"> </w:t>
      </w:r>
      <w:r>
        <w:t>une</w:t>
      </w:r>
      <w:r w:rsidRPr="002C4077">
        <w:t xml:space="preserve"> </w:t>
      </w:r>
      <w:r>
        <w:t>et</w:t>
      </w:r>
      <w:r w:rsidRPr="002C4077">
        <w:t xml:space="preserve"> </w:t>
      </w:r>
      <w:r>
        <w:t>se</w:t>
      </w:r>
      <w:r w:rsidRPr="002C4077">
        <w:t xml:space="preserve"> </w:t>
      </w:r>
      <w:r>
        <w:t>faire</w:t>
      </w:r>
      <w:r w:rsidRPr="002C4077">
        <w:t xml:space="preserve"> </w:t>
      </w:r>
      <w:r>
        <w:t>valoir</w:t>
      </w:r>
      <w:r w:rsidRPr="002C4077">
        <w:t xml:space="preserve"> </w:t>
      </w:r>
      <w:r>
        <w:t>par</w:t>
      </w:r>
      <w:r w:rsidRPr="002C4077">
        <w:t xml:space="preserve"> </w:t>
      </w:r>
      <w:r>
        <w:t>leur</w:t>
      </w:r>
      <w:r w:rsidRPr="002C4077">
        <w:t xml:space="preserve"> </w:t>
      </w:r>
      <w:r>
        <w:t>examen</w:t>
      </w:r>
      <w:r w:rsidRPr="002C4077">
        <w:t xml:space="preserve"> </w:t>
      </w:r>
      <w:r>
        <w:t>intrinsèque</w:t>
      </w:r>
      <w:r w:rsidR="00B546AF">
        <w:rPr>
          <w:rStyle w:val="Appelnotedebasdep"/>
        </w:rPr>
        <w:footnoteReference w:id="466"/>
      </w:r>
      <w:r w:rsidR="00B546AF">
        <w:t> »</w:t>
      </w:r>
      <w:r>
        <w:t>,</w:t>
      </w:r>
      <w:r w:rsidRPr="002C4077">
        <w:t xml:space="preserve"> </w:t>
      </w:r>
      <w:r>
        <w:t>examen</w:t>
      </w:r>
      <w:r w:rsidRPr="002C4077">
        <w:t xml:space="preserve"> </w:t>
      </w:r>
      <w:r>
        <w:t>qui,</w:t>
      </w:r>
      <w:r w:rsidRPr="002C4077">
        <w:t xml:space="preserve"> </w:t>
      </w:r>
      <w:r>
        <w:t>pour</w:t>
      </w:r>
      <w:r w:rsidRPr="002C4077">
        <w:t xml:space="preserve"> </w:t>
      </w:r>
      <w:r>
        <w:t>un</w:t>
      </w:r>
      <w:r w:rsidRPr="002C4077">
        <w:t xml:space="preserve"> </w:t>
      </w:r>
      <w:r>
        <w:t>rationaliste,</w:t>
      </w:r>
      <w:r w:rsidRPr="002C4077">
        <w:t xml:space="preserve"> </w:t>
      </w:r>
      <w:r>
        <w:t>équivaut</w:t>
      </w:r>
      <w:r w:rsidRPr="002C4077">
        <w:t xml:space="preserve"> </w:t>
      </w:r>
      <w:r>
        <w:t>presque</w:t>
      </w:r>
      <w:r w:rsidRPr="002C4077">
        <w:t xml:space="preserve"> </w:t>
      </w:r>
      <w:r>
        <w:t>toujours</w:t>
      </w:r>
      <w:r w:rsidRPr="002C4077">
        <w:t xml:space="preserve"> </w:t>
      </w:r>
      <w:r>
        <w:t>à</w:t>
      </w:r>
      <w:r w:rsidRPr="002C4077">
        <w:t xml:space="preserve"> </w:t>
      </w:r>
      <w:r>
        <w:t>un</w:t>
      </w:r>
      <w:r w:rsidRPr="002C4077">
        <w:t xml:space="preserve"> </w:t>
      </w:r>
      <w:r>
        <w:t>rejet</w:t>
      </w:r>
      <w:r w:rsidRPr="002C4077">
        <w:t xml:space="preserve"> </w:t>
      </w:r>
      <w:r>
        <w:t>complet</w:t>
      </w:r>
      <w:bookmarkStart w:id="409" w:name="z_ActesDesApôtres_o2"/>
      <w:bookmarkEnd w:id="409"/>
      <w:r>
        <w:t>.</w:t>
      </w:r>
      <w:r w:rsidRPr="002C4077">
        <w:t xml:space="preserve"> </w:t>
      </w:r>
    </w:p>
    <w:p w:rsidR="00B868F2" w:rsidRDefault="00B868F2" w:rsidP="00B546AF">
      <w:pPr>
        <w:rPr>
          <w:rStyle w:val="italicus"/>
        </w:rPr>
      </w:pPr>
    </w:p>
    <w:p w:rsidR="00B546AF" w:rsidRDefault="00B546AF" w:rsidP="00B546AF">
      <w:r w:rsidRPr="00B868F2">
        <w:t>3.</w:t>
      </w:r>
      <w:r w:rsidRPr="002C4077">
        <w:t xml:space="preserve"> </w:t>
      </w:r>
      <w:r w:rsidRPr="00B546AF">
        <w:rPr>
          <w:rStyle w:val="italicus"/>
        </w:rPr>
        <w:t>Les</w:t>
      </w:r>
      <w:r w:rsidRPr="002C4077">
        <w:t xml:space="preserve"> </w:t>
      </w:r>
      <w:r w:rsidRPr="00B546AF">
        <w:rPr>
          <w:rStyle w:val="italicus"/>
        </w:rPr>
        <w:t>Épîtres</w:t>
      </w:r>
      <w:r w:rsidRPr="002C4077">
        <w:t xml:space="preserve"> </w:t>
      </w:r>
      <w:r w:rsidRPr="00B546AF">
        <w:rPr>
          <w:rStyle w:val="italicus"/>
        </w:rPr>
        <w:t>de</w:t>
      </w:r>
      <w:r w:rsidRPr="002C4077">
        <w:t xml:space="preserve"> </w:t>
      </w:r>
      <w:r w:rsidRPr="00B546AF">
        <w:rPr>
          <w:rStyle w:val="italicus"/>
        </w:rPr>
        <w:t>S.</w:t>
      </w:r>
      <w:r w:rsidRPr="002C4077">
        <w:t xml:space="preserve"> </w:t>
      </w:r>
      <w:r w:rsidRPr="00B546AF">
        <w:rPr>
          <w:rStyle w:val="italicus"/>
        </w:rPr>
        <w:t>Paul.</w:t>
      </w:r>
      <w:r w:rsidRPr="002C4077">
        <w:t xml:space="preserve"> </w:t>
      </w:r>
      <w:r w:rsidRPr="00B546AF">
        <w:t>—</w:t>
      </w:r>
      <w:r w:rsidRPr="002C4077">
        <w:t xml:space="preserve"> </w:t>
      </w:r>
      <w:r>
        <w:t>« </w:t>
      </w:r>
      <w:r w:rsidRPr="00B546AF">
        <w:t>Voici</w:t>
      </w:r>
      <w:r w:rsidRPr="002C4077">
        <w:t xml:space="preserve"> </w:t>
      </w:r>
      <w:r w:rsidRPr="00B546AF">
        <w:t>enfin</w:t>
      </w:r>
      <w:r w:rsidRPr="002C4077">
        <w:t xml:space="preserve"> </w:t>
      </w:r>
      <w:r w:rsidRPr="00B546AF">
        <w:t>des</w:t>
      </w:r>
      <w:r w:rsidRPr="002C4077">
        <w:t xml:space="preserve"> </w:t>
      </w:r>
      <w:r w:rsidRPr="00B546AF">
        <w:t>documents</w:t>
      </w:r>
      <w:r w:rsidRPr="002C4077">
        <w:t xml:space="preserve"> </w:t>
      </w:r>
      <w:r w:rsidRPr="00B546AF">
        <w:t>d</w:t>
      </w:r>
      <w:r>
        <w:t>’</w:t>
      </w:r>
      <w:r w:rsidRPr="00B546AF">
        <w:t>un</w:t>
      </w:r>
      <w:r w:rsidRPr="002C4077">
        <w:t xml:space="preserve"> </w:t>
      </w:r>
      <w:r w:rsidRPr="00B546AF">
        <w:t>accent</w:t>
      </w:r>
      <w:r w:rsidRPr="002C4077">
        <w:t xml:space="preserve"> </w:t>
      </w:r>
      <w:r w:rsidRPr="00B546AF">
        <w:t>et</w:t>
      </w:r>
      <w:r w:rsidRPr="002C4077">
        <w:t xml:space="preserve"> </w:t>
      </w:r>
      <w:r w:rsidRPr="00B546AF">
        <w:t>d</w:t>
      </w:r>
      <w:r>
        <w:t>’</w:t>
      </w:r>
      <w:r w:rsidRPr="00B546AF">
        <w:t>une</w:t>
      </w:r>
      <w:r w:rsidRPr="002C4077">
        <w:t xml:space="preserve"> </w:t>
      </w:r>
      <w:r w:rsidRPr="00B546AF">
        <w:t>saveur</w:t>
      </w:r>
      <w:r w:rsidRPr="002C4077">
        <w:t xml:space="preserve"> </w:t>
      </w:r>
      <w:r w:rsidRPr="00B546AF">
        <w:t>personnels,</w:t>
      </w:r>
      <w:r w:rsidRPr="002C4077">
        <w:t xml:space="preserve"> </w:t>
      </w:r>
      <w:r w:rsidRPr="00B546AF">
        <w:t>une</w:t>
      </w:r>
      <w:r w:rsidRPr="002C4077">
        <w:t xml:space="preserve"> </w:t>
      </w:r>
      <w:r w:rsidRPr="00B546AF">
        <w:t>série</w:t>
      </w:r>
      <w:r w:rsidRPr="002C4077">
        <w:t xml:space="preserve"> </w:t>
      </w:r>
      <w:r>
        <w:t>de</w:t>
      </w:r>
      <w:r w:rsidRPr="002C4077">
        <w:t xml:space="preserve"> </w:t>
      </w:r>
      <w:r>
        <w:t>lettres</w:t>
      </w:r>
      <w:r w:rsidRPr="002C4077">
        <w:t xml:space="preserve"> </w:t>
      </w:r>
      <w:r>
        <w:t>dont</w:t>
      </w:r>
      <w:r w:rsidRPr="002C4077">
        <w:t xml:space="preserve"> </w:t>
      </w:r>
      <w:r>
        <w:t>le</w:t>
      </w:r>
      <w:r w:rsidRPr="002C4077">
        <w:t xml:space="preserve"> </w:t>
      </w:r>
      <w:r>
        <w:t>contenu</w:t>
      </w:r>
      <w:r w:rsidRPr="002C4077">
        <w:t xml:space="preserve"> </w:t>
      </w:r>
      <w:r>
        <w:t>nous</w:t>
      </w:r>
      <w:r w:rsidRPr="002C4077">
        <w:t xml:space="preserve"> </w:t>
      </w:r>
      <w:r>
        <w:t>transporte</w:t>
      </w:r>
      <w:r w:rsidRPr="002C4077">
        <w:t xml:space="preserve"> </w:t>
      </w:r>
      <w:r>
        <w:t>dans</w:t>
      </w:r>
      <w:r w:rsidRPr="002C4077">
        <w:t xml:space="preserve"> </w:t>
      </w:r>
      <w:r>
        <w:t>un</w:t>
      </w:r>
      <w:r w:rsidRPr="002C4077">
        <w:t xml:space="preserve"> </w:t>
      </w:r>
      <w:r>
        <w:t>milieu</w:t>
      </w:r>
      <w:r w:rsidRPr="002C4077">
        <w:t xml:space="preserve"> </w:t>
      </w:r>
      <w:r>
        <w:t>vivant</w:t>
      </w:r>
      <w:r w:rsidRPr="002C4077">
        <w:t xml:space="preserve"> </w:t>
      </w:r>
      <w:r>
        <w:t>et</w:t>
      </w:r>
      <w:r w:rsidRPr="002C4077">
        <w:t xml:space="preserve"> </w:t>
      </w:r>
      <w:r>
        <w:t>vrai,</w:t>
      </w:r>
      <w:r w:rsidRPr="002C4077">
        <w:t xml:space="preserve"> </w:t>
      </w:r>
      <w:r>
        <w:t>une</w:t>
      </w:r>
      <w:r w:rsidRPr="002C4077">
        <w:t xml:space="preserve"> </w:t>
      </w:r>
      <w:r>
        <w:t>correspondance</w:t>
      </w:r>
      <w:r w:rsidRPr="002C4077">
        <w:t xml:space="preserve"> </w:t>
      </w:r>
      <w:r>
        <w:t>où</w:t>
      </w:r>
      <w:r w:rsidRPr="002C4077">
        <w:t xml:space="preserve"> </w:t>
      </w:r>
      <w:r>
        <w:t>se</w:t>
      </w:r>
      <w:r w:rsidRPr="002C4077">
        <w:t xml:space="preserve"> </w:t>
      </w:r>
      <w:r>
        <w:t>réfléchissent</w:t>
      </w:r>
      <w:r w:rsidRPr="002C4077">
        <w:t xml:space="preserve"> </w:t>
      </w:r>
      <w:r>
        <w:t>les</w:t>
      </w:r>
      <w:r w:rsidRPr="002C4077">
        <w:t xml:space="preserve"> </w:t>
      </w:r>
      <w:r>
        <w:t>ardeurs,</w:t>
      </w:r>
      <w:r w:rsidRPr="002C4077">
        <w:t xml:space="preserve"> </w:t>
      </w:r>
      <w:r>
        <w:t>les</w:t>
      </w:r>
      <w:r w:rsidRPr="002C4077">
        <w:t xml:space="preserve"> </w:t>
      </w:r>
      <w:r>
        <w:t>impatiences,</w:t>
      </w:r>
      <w:r w:rsidRPr="002C4077">
        <w:t xml:space="preserve"> </w:t>
      </w:r>
      <w:r>
        <w:t>les</w:t>
      </w:r>
      <w:r w:rsidRPr="002C4077">
        <w:t xml:space="preserve"> </w:t>
      </w:r>
      <w:r>
        <w:t>angoisses</w:t>
      </w:r>
      <w:r w:rsidRPr="002C4077">
        <w:t xml:space="preserve"> </w:t>
      </w:r>
      <w:r>
        <w:t>d’une</w:t>
      </w:r>
      <w:r w:rsidRPr="002C4077">
        <w:t xml:space="preserve"> </w:t>
      </w:r>
      <w:r>
        <w:t>vie</w:t>
      </w:r>
      <w:r w:rsidRPr="002C4077">
        <w:t xml:space="preserve"> </w:t>
      </w:r>
      <w:r>
        <w:t>de</w:t>
      </w:r>
      <w:r w:rsidRPr="002C4077">
        <w:t xml:space="preserve"> </w:t>
      </w:r>
      <w:r>
        <w:t>lutte</w:t>
      </w:r>
      <w:r w:rsidRPr="002C4077">
        <w:t xml:space="preserve"> </w:t>
      </w:r>
      <w:r>
        <w:t>et</w:t>
      </w:r>
      <w:r w:rsidRPr="002C4077">
        <w:t xml:space="preserve"> </w:t>
      </w:r>
      <w:r>
        <w:t>d’action</w:t>
      </w:r>
      <w:r>
        <w:rPr>
          <w:rStyle w:val="Appelnotedebasdep"/>
        </w:rPr>
        <w:footnoteReference w:id="467"/>
      </w:r>
      <w:r>
        <w:t> ».</w:t>
      </w:r>
      <w:r w:rsidRPr="002C4077">
        <w:t xml:space="preserve"> </w:t>
      </w:r>
    </w:p>
    <w:p w:rsidR="00B546AF" w:rsidRPr="00B53529" w:rsidRDefault="00B546AF" w:rsidP="000A7AAB">
      <w:r>
        <w:t>Bravo</w:t>
      </w:r>
      <w:r w:rsidRPr="002C4077">
        <w:t xml:space="preserve"> </w:t>
      </w:r>
      <w:r>
        <w:t>et</w:t>
      </w:r>
      <w:r w:rsidRPr="002C4077">
        <w:t xml:space="preserve"> </w:t>
      </w:r>
      <w:r>
        <w:t>merci,</w:t>
      </w:r>
      <w:r w:rsidRPr="002C4077">
        <w:t xml:space="preserve"> </w:t>
      </w:r>
      <w:r>
        <w:t>M.</w:t>
      </w:r>
      <w:r w:rsidRPr="002C4077">
        <w:t xml:space="preserve"> </w:t>
      </w:r>
      <w:r w:rsidR="007B3C26">
        <w:t>Ve</w:t>
      </w:r>
      <w:r>
        <w:t>rnes !</w:t>
      </w:r>
      <w:r w:rsidRPr="002C4077">
        <w:t xml:space="preserve"> </w:t>
      </w:r>
      <w:r>
        <w:t>Au</w:t>
      </w:r>
      <w:r w:rsidRPr="002C4077">
        <w:t xml:space="preserve"> </w:t>
      </w:r>
      <w:r>
        <w:t>moins</w:t>
      </w:r>
      <w:r w:rsidRPr="002C4077">
        <w:t xml:space="preserve"> </w:t>
      </w:r>
      <w:r>
        <w:t>vous</w:t>
      </w:r>
      <w:r w:rsidRPr="002C4077">
        <w:t xml:space="preserve"> </w:t>
      </w:r>
      <w:r>
        <w:t>me</w:t>
      </w:r>
      <w:r w:rsidRPr="002C4077">
        <w:t xml:space="preserve"> </w:t>
      </w:r>
      <w:r>
        <w:t>laissez</w:t>
      </w:r>
      <w:r w:rsidRPr="002C4077">
        <w:t xml:space="preserve"> </w:t>
      </w:r>
      <w:r>
        <w:t>mon</w:t>
      </w:r>
      <w:r w:rsidRPr="002C4077">
        <w:t xml:space="preserve"> </w:t>
      </w:r>
      <w:r>
        <w:t>saint</w:t>
      </w:r>
      <w:r w:rsidRPr="002C4077">
        <w:t xml:space="preserve"> </w:t>
      </w:r>
      <w:r>
        <w:t>Paul</w:t>
      </w:r>
      <w:r w:rsidRPr="002C4077">
        <w:t xml:space="preserve"> </w:t>
      </w:r>
      <w:r>
        <w:t>et</w:t>
      </w:r>
      <w:r w:rsidRPr="002C4077">
        <w:t xml:space="preserve"> </w:t>
      </w:r>
      <w:r>
        <w:t>ses</w:t>
      </w:r>
      <w:r w:rsidRPr="002C4077">
        <w:t xml:space="preserve"> </w:t>
      </w:r>
      <w:r>
        <w:t>quatorze</w:t>
      </w:r>
      <w:r w:rsidRPr="002C4077">
        <w:t xml:space="preserve"> </w:t>
      </w:r>
      <w:r>
        <w:t>épîtres.</w:t>
      </w:r>
      <w:r w:rsidR="00C45B47">
        <w:t xml:space="preserve"> {</w:t>
      </w:r>
      <w:r w:rsidR="00B53529">
        <w:t>151</w:t>
      </w:r>
      <w:bookmarkStart w:id="410" w:name="p151"/>
      <w:bookmarkEnd w:id="410"/>
      <w:r w:rsidR="00B53529">
        <w:t xml:space="preserve">} </w:t>
      </w:r>
    </w:p>
    <w:p w:rsidR="000A7AAB" w:rsidRDefault="000A7AAB" w:rsidP="000A7AAB">
      <w:r>
        <w:t>M.</w:t>
      </w:r>
      <w:r w:rsidRPr="002C4077">
        <w:t xml:space="preserve"> </w:t>
      </w:r>
      <w:r w:rsidR="007B3C26">
        <w:t>Ve</w:t>
      </w:r>
      <w:r>
        <w:t>rnes,</w:t>
      </w:r>
      <w:r w:rsidRPr="002C4077">
        <w:t xml:space="preserve"> </w:t>
      </w:r>
      <w:r>
        <w:t>comme</w:t>
      </w:r>
      <w:r w:rsidRPr="002C4077">
        <w:t xml:space="preserve"> </w:t>
      </w:r>
      <w:r>
        <w:t>pour</w:t>
      </w:r>
      <w:r w:rsidRPr="002C4077">
        <w:t xml:space="preserve"> </w:t>
      </w:r>
      <w:r>
        <w:t>me</w:t>
      </w:r>
      <w:r w:rsidRPr="002C4077">
        <w:t xml:space="preserve"> </w:t>
      </w:r>
      <w:r>
        <w:t>répondre,</w:t>
      </w:r>
      <w:r w:rsidRPr="002C4077">
        <w:t xml:space="preserve"> </w:t>
      </w:r>
      <w:r>
        <w:t>continue</w:t>
      </w:r>
      <w:r w:rsidRPr="002C4077">
        <w:t xml:space="preserve"> </w:t>
      </w:r>
      <w:r>
        <w:t>son</w:t>
      </w:r>
      <w:r w:rsidRPr="002C4077">
        <w:t xml:space="preserve"> </w:t>
      </w:r>
      <w:r>
        <w:t>suave</w:t>
      </w:r>
      <w:r w:rsidRPr="002C4077">
        <w:t xml:space="preserve"> </w:t>
      </w:r>
      <w:r>
        <w:t>et</w:t>
      </w:r>
      <w:r w:rsidRPr="002C4077">
        <w:t xml:space="preserve"> </w:t>
      </w:r>
      <w:r>
        <w:t>chaleureux</w:t>
      </w:r>
      <w:r w:rsidRPr="002C4077">
        <w:t xml:space="preserve"> </w:t>
      </w:r>
      <w:r>
        <w:t>exorde</w:t>
      </w:r>
      <w:r w:rsidR="00B546AF">
        <w:t> :</w:t>
      </w:r>
      <w:r w:rsidRPr="002C4077">
        <w:t xml:space="preserve"> </w:t>
      </w:r>
      <w:r w:rsidR="00B546AF">
        <w:t>« </w:t>
      </w:r>
      <w:r>
        <w:t>Les</w:t>
      </w:r>
      <w:r w:rsidRPr="002C4077">
        <w:t xml:space="preserve"> </w:t>
      </w:r>
      <w:r>
        <w:t>lettres</w:t>
      </w:r>
      <w:r w:rsidRPr="002C4077">
        <w:t xml:space="preserve"> </w:t>
      </w:r>
      <w:r>
        <w:t>de</w:t>
      </w:r>
      <w:r w:rsidRPr="002C4077">
        <w:t xml:space="preserve"> </w:t>
      </w:r>
      <w:r>
        <w:t>saint</w:t>
      </w:r>
      <w:r w:rsidRPr="002C4077">
        <w:t xml:space="preserve"> </w:t>
      </w:r>
      <w:r>
        <w:t>Paul,</w:t>
      </w:r>
      <w:r w:rsidRPr="002C4077">
        <w:t xml:space="preserve"> </w:t>
      </w:r>
      <w:r>
        <w:t>antérieures</w:t>
      </w:r>
      <w:r w:rsidRPr="002C4077">
        <w:t xml:space="preserve"> </w:t>
      </w:r>
      <w:r>
        <w:t>de</w:t>
      </w:r>
      <w:r w:rsidRPr="002C4077">
        <w:t xml:space="preserve"> </w:t>
      </w:r>
      <w:r>
        <w:t>bon</w:t>
      </w:r>
      <w:r w:rsidRPr="002C4077">
        <w:t xml:space="preserve"> </w:t>
      </w:r>
      <w:r>
        <w:t>nombre</w:t>
      </w:r>
      <w:r w:rsidRPr="002C4077">
        <w:t xml:space="preserve"> </w:t>
      </w:r>
      <w:r>
        <w:t>d’années</w:t>
      </w:r>
      <w:r w:rsidRPr="002C4077">
        <w:t xml:space="preserve"> </w:t>
      </w:r>
      <w:r>
        <w:t>à</w:t>
      </w:r>
      <w:r w:rsidRPr="002C4077">
        <w:t xml:space="preserve"> </w:t>
      </w:r>
      <w:r>
        <w:t>la</w:t>
      </w:r>
      <w:r w:rsidRPr="002C4077">
        <w:t xml:space="preserve"> </w:t>
      </w:r>
      <w:r>
        <w:t>destruction</w:t>
      </w:r>
      <w:r w:rsidRPr="002C4077">
        <w:t xml:space="preserve"> </w:t>
      </w:r>
      <w:r>
        <w:t>de</w:t>
      </w:r>
      <w:r w:rsidRPr="002C4077">
        <w:t xml:space="preserve"> </w:t>
      </w:r>
      <w:r>
        <w:t>Jérusalem,</w:t>
      </w:r>
      <w:r w:rsidRPr="002C4077">
        <w:t xml:space="preserve"> </w:t>
      </w:r>
      <w:r>
        <w:t>sont</w:t>
      </w:r>
      <w:r w:rsidRPr="002C4077">
        <w:t xml:space="preserve"> </w:t>
      </w:r>
      <w:r>
        <w:t>en</w:t>
      </w:r>
      <w:r w:rsidRPr="002C4077">
        <w:t xml:space="preserve"> </w:t>
      </w:r>
      <w:r>
        <w:t>réalité</w:t>
      </w:r>
      <w:r w:rsidRPr="002C4077">
        <w:t xml:space="preserve"> </w:t>
      </w:r>
      <w:r>
        <w:t>les</w:t>
      </w:r>
      <w:r w:rsidRPr="002C4077">
        <w:t xml:space="preserve"> </w:t>
      </w:r>
      <w:r>
        <w:t>documents</w:t>
      </w:r>
      <w:r w:rsidRPr="002C4077">
        <w:t xml:space="preserve"> </w:t>
      </w:r>
      <w:r>
        <w:t>les</w:t>
      </w:r>
      <w:r w:rsidRPr="002C4077">
        <w:t xml:space="preserve"> </w:t>
      </w:r>
      <w:r>
        <w:t>plus</w:t>
      </w:r>
      <w:r w:rsidRPr="002C4077">
        <w:t xml:space="preserve"> </w:t>
      </w:r>
      <w:r>
        <w:t>anciens</w:t>
      </w:r>
      <w:r w:rsidRPr="002C4077">
        <w:t xml:space="preserve"> </w:t>
      </w:r>
      <w:r>
        <w:t>du</w:t>
      </w:r>
      <w:r w:rsidRPr="002C4077">
        <w:t xml:space="preserve"> </w:t>
      </w:r>
      <w:r>
        <w:t>christianisme</w:t>
      </w:r>
      <w:r w:rsidRPr="002C4077">
        <w:t xml:space="preserve"> </w:t>
      </w:r>
      <w:r>
        <w:t>naissant…</w:t>
      </w:r>
      <w:r w:rsidRPr="002C4077">
        <w:t xml:space="preserve"> </w:t>
      </w:r>
      <w:r>
        <w:t>Le</w:t>
      </w:r>
      <w:r w:rsidRPr="002C4077">
        <w:t xml:space="preserve"> </w:t>
      </w:r>
      <w:r>
        <w:t>document</w:t>
      </w:r>
      <w:r w:rsidRPr="002C4077">
        <w:t xml:space="preserve"> </w:t>
      </w:r>
      <w:r>
        <w:t>le</w:t>
      </w:r>
      <w:r w:rsidRPr="002C4077">
        <w:t xml:space="preserve"> </w:t>
      </w:r>
      <w:r>
        <w:t>plus</w:t>
      </w:r>
      <w:r w:rsidRPr="002C4077">
        <w:t xml:space="preserve"> </w:t>
      </w:r>
      <w:r>
        <w:t>authentique</w:t>
      </w:r>
      <w:r w:rsidRPr="002C4077">
        <w:t xml:space="preserve"> </w:t>
      </w:r>
      <w:r>
        <w:t>du</w:t>
      </w:r>
      <w:r w:rsidRPr="002C4077">
        <w:t xml:space="preserve"> </w:t>
      </w:r>
      <w:r>
        <w:t>christianisme</w:t>
      </w:r>
      <w:r w:rsidRPr="002C4077">
        <w:t xml:space="preserve"> </w:t>
      </w:r>
      <w:r>
        <w:t>primitif</w:t>
      </w:r>
      <w:r w:rsidRPr="002C4077">
        <w:t xml:space="preserve"> </w:t>
      </w:r>
      <w:r>
        <w:t>se</w:t>
      </w:r>
      <w:r w:rsidRPr="002C4077">
        <w:t xml:space="preserve"> </w:t>
      </w:r>
      <w:r>
        <w:t>retrouve</w:t>
      </w:r>
      <w:r w:rsidRPr="002C4077">
        <w:t xml:space="preserve"> </w:t>
      </w:r>
      <w:r>
        <w:t>dans</w:t>
      </w:r>
      <w:r w:rsidRPr="002C4077">
        <w:t xml:space="preserve"> </w:t>
      </w:r>
      <w:r>
        <w:t>la</w:t>
      </w:r>
      <w:r w:rsidRPr="002C4077">
        <w:t xml:space="preserve"> </w:t>
      </w:r>
      <w:r>
        <w:t>correspondance</w:t>
      </w:r>
      <w:r w:rsidRPr="002C4077">
        <w:t xml:space="preserve"> </w:t>
      </w:r>
      <w:r>
        <w:t>du</w:t>
      </w:r>
      <w:r w:rsidRPr="002C4077">
        <w:t xml:space="preserve"> </w:t>
      </w:r>
      <w:r>
        <w:t>grand</w:t>
      </w:r>
      <w:r w:rsidRPr="002C4077">
        <w:t xml:space="preserve"> </w:t>
      </w:r>
      <w:r>
        <w:t>Apô</w:t>
      </w:r>
      <w:r w:rsidR="00514F08">
        <w:t>tre</w:t>
      </w:r>
      <w:r w:rsidR="00514F08" w:rsidRPr="002C4077">
        <w:t xml:space="preserve"> </w:t>
      </w:r>
      <w:r w:rsidR="00514F08">
        <w:t>des</w:t>
      </w:r>
      <w:r w:rsidR="00514F08" w:rsidRPr="002C4077">
        <w:t xml:space="preserve"> </w:t>
      </w:r>
      <w:r w:rsidR="00514F08">
        <w:t>Gentils.</w:t>
      </w:r>
      <w:r w:rsidR="00514F08" w:rsidRPr="002C4077">
        <w:t xml:space="preserve"> </w:t>
      </w:r>
      <w:r w:rsidR="00514F08">
        <w:t>Ici</w:t>
      </w:r>
      <w:r w:rsidR="00514F08" w:rsidRPr="002C4077">
        <w:t xml:space="preserve"> </w:t>
      </w:r>
      <w:r w:rsidR="00514F08">
        <w:t>seulement</w:t>
      </w:r>
      <w:r w:rsidR="00514F08" w:rsidRPr="002C4077">
        <w:t xml:space="preserve"> </w:t>
      </w:r>
      <w:r w:rsidR="00514F08">
        <w:t>n</w:t>
      </w:r>
      <w:r>
        <w:t>ous</w:t>
      </w:r>
      <w:r w:rsidRPr="002C4077">
        <w:t xml:space="preserve"> </w:t>
      </w:r>
      <w:r>
        <w:t>touchons</w:t>
      </w:r>
      <w:r w:rsidRPr="002C4077">
        <w:t xml:space="preserve"> </w:t>
      </w:r>
      <w:r>
        <w:t>le</w:t>
      </w:r>
      <w:r w:rsidRPr="002C4077">
        <w:t xml:space="preserve"> </w:t>
      </w:r>
      <w:r>
        <w:t>sol,</w:t>
      </w:r>
      <w:r w:rsidRPr="002C4077">
        <w:t xml:space="preserve"> </w:t>
      </w:r>
      <w:r>
        <w:t>que</w:t>
      </w:r>
      <w:r w:rsidRPr="002C4077">
        <w:t xml:space="preserve"> </w:t>
      </w:r>
      <w:r>
        <w:t>nous</w:t>
      </w:r>
      <w:r w:rsidRPr="002C4077">
        <w:t xml:space="preserve"> </w:t>
      </w:r>
      <w:r>
        <w:t>ne</w:t>
      </w:r>
      <w:r w:rsidRPr="002C4077">
        <w:t xml:space="preserve"> </w:t>
      </w:r>
      <w:r>
        <w:t>pouvons</w:t>
      </w:r>
      <w:r w:rsidRPr="002C4077">
        <w:t xml:space="preserve"> </w:t>
      </w:r>
      <w:r>
        <w:t>atteindre</w:t>
      </w:r>
      <w:r w:rsidRPr="002C4077">
        <w:t xml:space="preserve"> </w:t>
      </w:r>
      <w:r>
        <w:t>ailleurs</w:t>
      </w:r>
      <w:r w:rsidRPr="002C4077">
        <w:t xml:space="preserve"> </w:t>
      </w:r>
      <w:r>
        <w:t>qu’après</w:t>
      </w:r>
      <w:r w:rsidRPr="002C4077">
        <w:t xml:space="preserve"> </w:t>
      </w:r>
      <w:r>
        <w:t>avoir</w:t>
      </w:r>
      <w:r w:rsidRPr="002C4077">
        <w:t xml:space="preserve"> </w:t>
      </w:r>
      <w:r>
        <w:t>creusé</w:t>
      </w:r>
      <w:r w:rsidRPr="002C4077">
        <w:t xml:space="preserve"> </w:t>
      </w:r>
      <w:r>
        <w:t>à</w:t>
      </w:r>
      <w:r w:rsidRPr="002C4077">
        <w:t xml:space="preserve"> </w:t>
      </w:r>
      <w:r>
        <w:t>une</w:t>
      </w:r>
      <w:r w:rsidRPr="002C4077">
        <w:t xml:space="preserve"> </w:t>
      </w:r>
      <w:r>
        <w:t>profondeur</w:t>
      </w:r>
      <w:r w:rsidRPr="002C4077">
        <w:t xml:space="preserve"> </w:t>
      </w:r>
      <w:r>
        <w:t>plus</w:t>
      </w:r>
      <w:r w:rsidRPr="002C4077">
        <w:t xml:space="preserve"> </w:t>
      </w:r>
      <w:r>
        <w:t>ou</w:t>
      </w:r>
      <w:r w:rsidRPr="002C4077">
        <w:t xml:space="preserve"> </w:t>
      </w:r>
      <w:r>
        <w:t>moins</w:t>
      </w:r>
      <w:r w:rsidRPr="002C4077">
        <w:t xml:space="preserve"> </w:t>
      </w:r>
      <w:r>
        <w:t>grande</w:t>
      </w:r>
      <w:r w:rsidR="00B91AF7">
        <w:rPr>
          <w:rStyle w:val="Appelnotedebasdep"/>
        </w:rPr>
        <w:footnoteReference w:id="468"/>
      </w:r>
      <w:r w:rsidR="00B546AF">
        <w:t> »</w:t>
      </w:r>
      <w:r>
        <w:t>.</w:t>
      </w:r>
      <w:r w:rsidRPr="002C4077">
        <w:t xml:space="preserve"> </w:t>
      </w:r>
    </w:p>
    <w:p w:rsidR="000A7AAB" w:rsidRDefault="000A7AAB" w:rsidP="000A7AAB">
      <w:r>
        <w:t>Mais</w:t>
      </w:r>
      <w:r w:rsidRPr="002C4077">
        <w:t xml:space="preserve"> </w:t>
      </w:r>
      <w:r>
        <w:t>que</w:t>
      </w:r>
      <w:r w:rsidRPr="002C4077">
        <w:t xml:space="preserve"> </w:t>
      </w:r>
      <w:r>
        <w:t>vois-je</w:t>
      </w:r>
      <w:r w:rsidRPr="002C4077">
        <w:t xml:space="preserve"> </w:t>
      </w:r>
      <w:r>
        <w:t>tout</w:t>
      </w:r>
      <w:r w:rsidRPr="002C4077">
        <w:t xml:space="preserve"> </w:t>
      </w:r>
      <w:r>
        <w:t>à</w:t>
      </w:r>
      <w:r w:rsidRPr="002C4077">
        <w:t xml:space="preserve"> </w:t>
      </w:r>
      <w:r>
        <w:t>coup</w:t>
      </w:r>
      <w:r w:rsidRPr="002C4077">
        <w:t xml:space="preserve"> </w:t>
      </w:r>
      <w:r>
        <w:t>et</w:t>
      </w:r>
      <w:r w:rsidRPr="002C4077">
        <w:t xml:space="preserve"> </w:t>
      </w:r>
      <w:r>
        <w:t>seulement</w:t>
      </w:r>
      <w:r w:rsidRPr="002C4077">
        <w:t xml:space="preserve"> </w:t>
      </w:r>
      <w:r>
        <w:t>deux</w:t>
      </w:r>
      <w:r w:rsidRPr="002C4077">
        <w:t xml:space="preserve"> </w:t>
      </w:r>
      <w:r>
        <w:t>lignes</w:t>
      </w:r>
      <w:r w:rsidRPr="002C4077">
        <w:t xml:space="preserve"> </w:t>
      </w:r>
      <w:r>
        <w:t>plus</w:t>
      </w:r>
      <w:r w:rsidRPr="002C4077">
        <w:t xml:space="preserve"> </w:t>
      </w:r>
      <w:r>
        <w:t>bas</w:t>
      </w:r>
      <w:r w:rsidR="00B546AF">
        <w:t> !</w:t>
      </w:r>
      <w:r w:rsidRPr="002C4077">
        <w:t xml:space="preserve"> </w:t>
      </w:r>
    </w:p>
    <w:p w:rsidR="000A7AAB" w:rsidRDefault="000A7AAB" w:rsidP="000A7AAB">
      <w:r>
        <w:t>D’abord</w:t>
      </w:r>
      <w:r w:rsidRPr="002C4077">
        <w:t xml:space="preserve"> </w:t>
      </w:r>
      <w:r w:rsidR="00B546AF">
        <w:t>« </w:t>
      </w:r>
      <w:r>
        <w:t>il</w:t>
      </w:r>
      <w:r w:rsidRPr="002C4077">
        <w:t xml:space="preserve"> </w:t>
      </w:r>
      <w:r>
        <w:t>convient</w:t>
      </w:r>
      <w:r w:rsidRPr="002C4077">
        <w:t xml:space="preserve"> </w:t>
      </w:r>
      <w:r>
        <w:t>de</w:t>
      </w:r>
      <w:r w:rsidRPr="002C4077">
        <w:t xml:space="preserve"> </w:t>
      </w:r>
      <w:r>
        <w:t>retrancher</w:t>
      </w:r>
      <w:r w:rsidRPr="002C4077">
        <w:t xml:space="preserve"> </w:t>
      </w:r>
      <w:r>
        <w:t>l’épître</w:t>
      </w:r>
      <w:r w:rsidRPr="002C4077">
        <w:t xml:space="preserve"> </w:t>
      </w:r>
      <w:r>
        <w:t>aux</w:t>
      </w:r>
      <w:r w:rsidRPr="002C4077">
        <w:t xml:space="preserve"> </w:t>
      </w:r>
      <w:r>
        <w:t>Hébreux,</w:t>
      </w:r>
      <w:r w:rsidRPr="002C4077">
        <w:t xml:space="preserve"> </w:t>
      </w:r>
      <w:r>
        <w:t>qui</w:t>
      </w:r>
      <w:r w:rsidRPr="002C4077">
        <w:t xml:space="preserve"> </w:t>
      </w:r>
      <w:r>
        <w:t>ne</w:t>
      </w:r>
      <w:r w:rsidRPr="002C4077">
        <w:t xml:space="preserve"> </w:t>
      </w:r>
      <w:r>
        <w:t>porte</w:t>
      </w:r>
      <w:r w:rsidRPr="002C4077">
        <w:t xml:space="preserve"> </w:t>
      </w:r>
      <w:r>
        <w:t>pas</w:t>
      </w:r>
      <w:r w:rsidRPr="002C4077">
        <w:t xml:space="preserve"> </w:t>
      </w:r>
      <w:r>
        <w:t>même</w:t>
      </w:r>
      <w:r w:rsidRPr="002C4077">
        <w:t xml:space="preserve"> </w:t>
      </w:r>
      <w:r>
        <w:t>le</w:t>
      </w:r>
      <w:r w:rsidRPr="002C4077">
        <w:t xml:space="preserve"> </w:t>
      </w:r>
      <w:r>
        <w:t>nom</w:t>
      </w:r>
      <w:r w:rsidRPr="002C4077">
        <w:t xml:space="preserve"> </w:t>
      </w:r>
      <w:r>
        <w:t>de</w:t>
      </w:r>
      <w:r w:rsidRPr="002C4077">
        <w:t xml:space="preserve"> </w:t>
      </w:r>
      <w:r>
        <w:t>saint</w:t>
      </w:r>
      <w:r w:rsidRPr="002C4077">
        <w:t xml:space="preserve"> </w:t>
      </w:r>
      <w:r>
        <w:t>Paul,</w:t>
      </w:r>
      <w:r w:rsidRPr="002C4077">
        <w:t xml:space="preserve"> </w:t>
      </w:r>
      <w:r>
        <w:t>et</w:t>
      </w:r>
      <w:r w:rsidRPr="002C4077">
        <w:t xml:space="preserve"> </w:t>
      </w:r>
      <w:r>
        <w:t>qu’une</w:t>
      </w:r>
      <w:r w:rsidRPr="002C4077">
        <w:t xml:space="preserve"> </w:t>
      </w:r>
      <w:r>
        <w:t>absence</w:t>
      </w:r>
      <w:r w:rsidRPr="002C4077">
        <w:t xml:space="preserve"> </w:t>
      </w:r>
      <w:r>
        <w:t>totale</w:t>
      </w:r>
      <w:r w:rsidRPr="002C4077">
        <w:t xml:space="preserve"> </w:t>
      </w:r>
      <w:r>
        <w:t>de</w:t>
      </w:r>
      <w:r w:rsidRPr="002C4077">
        <w:t xml:space="preserve"> </w:t>
      </w:r>
      <w:r>
        <w:t>sens</w:t>
      </w:r>
      <w:r w:rsidRPr="002C4077">
        <w:t xml:space="preserve"> </w:t>
      </w:r>
      <w:r>
        <w:t>critique</w:t>
      </w:r>
      <w:r w:rsidRPr="002C4077">
        <w:t xml:space="preserve"> </w:t>
      </w:r>
      <w:r>
        <w:t>a</w:t>
      </w:r>
      <w:r w:rsidRPr="002C4077">
        <w:t xml:space="preserve"> </w:t>
      </w:r>
      <w:r>
        <w:t>seule</w:t>
      </w:r>
      <w:r w:rsidRPr="002C4077">
        <w:t xml:space="preserve"> </w:t>
      </w:r>
      <w:r>
        <w:t>pu</w:t>
      </w:r>
      <w:r w:rsidRPr="002C4077">
        <w:t xml:space="preserve"> </w:t>
      </w:r>
      <w:r>
        <w:t>permettre</w:t>
      </w:r>
      <w:r w:rsidRPr="002C4077">
        <w:t xml:space="preserve"> </w:t>
      </w:r>
      <w:r>
        <w:t>de</w:t>
      </w:r>
      <w:r w:rsidRPr="002C4077">
        <w:t xml:space="preserve"> </w:t>
      </w:r>
      <w:r>
        <w:t>lui</w:t>
      </w:r>
      <w:r w:rsidRPr="002C4077">
        <w:t xml:space="preserve"> </w:t>
      </w:r>
      <w:r>
        <w:t>attribuer</w:t>
      </w:r>
      <w:r w:rsidR="00B546AF">
        <w:t> »</w:t>
      </w:r>
      <w:r>
        <w:t>.</w:t>
      </w:r>
      <w:r w:rsidRPr="002C4077">
        <w:t xml:space="preserve"> </w:t>
      </w:r>
    </w:p>
    <w:p w:rsidR="000A7AAB" w:rsidRDefault="000A7AAB" w:rsidP="000A7AAB">
      <w:r>
        <w:t>En</w:t>
      </w:r>
      <w:r w:rsidRPr="002C4077">
        <w:t xml:space="preserve"> </w:t>
      </w:r>
      <w:r>
        <w:t>outre,</w:t>
      </w:r>
      <w:r w:rsidRPr="002C4077">
        <w:t xml:space="preserve"> </w:t>
      </w:r>
      <w:r w:rsidR="00B546AF">
        <w:t>« </w:t>
      </w:r>
      <w:r>
        <w:t>sur</w:t>
      </w:r>
      <w:r w:rsidRPr="002C4077">
        <w:t xml:space="preserve"> </w:t>
      </w:r>
      <w:r>
        <w:t>les</w:t>
      </w:r>
      <w:r w:rsidRPr="002C4077">
        <w:t xml:space="preserve"> </w:t>
      </w:r>
      <w:r>
        <w:t>treize</w:t>
      </w:r>
      <w:r w:rsidRPr="002C4077">
        <w:t xml:space="preserve"> </w:t>
      </w:r>
      <w:r>
        <w:t>qui</w:t>
      </w:r>
      <w:r w:rsidRPr="002C4077">
        <w:t xml:space="preserve"> </w:t>
      </w:r>
      <w:r>
        <w:t>se</w:t>
      </w:r>
      <w:r w:rsidRPr="002C4077">
        <w:t xml:space="preserve"> </w:t>
      </w:r>
      <w:r>
        <w:t>réclament</w:t>
      </w:r>
      <w:r w:rsidRPr="002C4077">
        <w:t xml:space="preserve"> </w:t>
      </w:r>
      <w:r>
        <w:t>positivement</w:t>
      </w:r>
      <w:r w:rsidRPr="002C4077">
        <w:t xml:space="preserve"> </w:t>
      </w:r>
      <w:r>
        <w:t>de</w:t>
      </w:r>
      <w:r w:rsidRPr="002C4077">
        <w:t xml:space="preserve"> </w:t>
      </w:r>
      <w:r>
        <w:t>lui,</w:t>
      </w:r>
      <w:r w:rsidRPr="002C4077">
        <w:t xml:space="preserve"> </w:t>
      </w:r>
      <w:r>
        <w:t>plusieurs,</w:t>
      </w:r>
      <w:r w:rsidRPr="002C4077">
        <w:t xml:space="preserve"> </w:t>
      </w:r>
      <w:r>
        <w:t>à</w:t>
      </w:r>
      <w:r w:rsidRPr="002C4077">
        <w:t xml:space="preserve"> </w:t>
      </w:r>
      <w:r>
        <w:t>leur</w:t>
      </w:r>
      <w:r w:rsidRPr="002C4077">
        <w:t xml:space="preserve"> </w:t>
      </w:r>
      <w:r>
        <w:t>tour,</w:t>
      </w:r>
      <w:r w:rsidRPr="002C4077">
        <w:t xml:space="preserve"> </w:t>
      </w:r>
      <w:r>
        <w:t>ont</w:t>
      </w:r>
      <w:r w:rsidRPr="002C4077">
        <w:t xml:space="preserve"> </w:t>
      </w:r>
      <w:r>
        <w:t>vu</w:t>
      </w:r>
      <w:r w:rsidRPr="002C4077">
        <w:t xml:space="preserve"> </w:t>
      </w:r>
      <w:r>
        <w:t>leur</w:t>
      </w:r>
      <w:r w:rsidRPr="002C4077">
        <w:t xml:space="preserve"> </w:t>
      </w:r>
      <w:r>
        <w:t>authenticité</w:t>
      </w:r>
      <w:r w:rsidRPr="002C4077">
        <w:t xml:space="preserve"> </w:t>
      </w:r>
      <w:r>
        <w:t>contestée</w:t>
      </w:r>
      <w:r w:rsidR="00B546AF">
        <w:t> ;</w:t>
      </w:r>
      <w:r w:rsidRPr="002C4077">
        <w:t xml:space="preserve"> </w:t>
      </w:r>
      <w:r>
        <w:t>tout</w:t>
      </w:r>
      <w:r w:rsidRPr="002C4077">
        <w:t xml:space="preserve"> </w:t>
      </w:r>
      <w:r>
        <w:t>particulièrement</w:t>
      </w:r>
      <w:r w:rsidRPr="002C4077">
        <w:t xml:space="preserve"> </w:t>
      </w:r>
      <w:r>
        <w:t>les</w:t>
      </w:r>
      <w:r w:rsidRPr="002C4077">
        <w:t xml:space="preserve"> </w:t>
      </w:r>
      <w:r>
        <w:t>trois</w:t>
      </w:r>
      <w:r w:rsidRPr="002C4077">
        <w:t xml:space="preserve"> </w:t>
      </w:r>
      <w:r>
        <w:t>dites</w:t>
      </w:r>
      <w:r w:rsidRPr="002C4077">
        <w:t xml:space="preserve"> </w:t>
      </w:r>
      <w:r>
        <w:t>pastorales,</w:t>
      </w:r>
      <w:r w:rsidRPr="002C4077">
        <w:t xml:space="preserve"> </w:t>
      </w:r>
      <w:r>
        <w:t>adressées</w:t>
      </w:r>
      <w:r w:rsidRPr="002C4077">
        <w:t xml:space="preserve"> </w:t>
      </w:r>
      <w:r>
        <w:t>à</w:t>
      </w:r>
      <w:r w:rsidRPr="002C4077">
        <w:t xml:space="preserve"> </w:t>
      </w:r>
      <w:r>
        <w:t>Timothée</w:t>
      </w:r>
      <w:r w:rsidRPr="002C4077">
        <w:t xml:space="preserve"> </w:t>
      </w:r>
      <w:r>
        <w:t>et</w:t>
      </w:r>
      <w:r w:rsidRPr="002C4077">
        <w:t xml:space="preserve"> </w:t>
      </w:r>
      <w:r>
        <w:t>à</w:t>
      </w:r>
      <w:r w:rsidRPr="002C4077">
        <w:t xml:space="preserve"> </w:t>
      </w:r>
      <w:r>
        <w:t>Tite,</w:t>
      </w:r>
      <w:r w:rsidRPr="002C4077">
        <w:t xml:space="preserve"> </w:t>
      </w:r>
      <w:r>
        <w:t>celles</w:t>
      </w:r>
      <w:r w:rsidRPr="002C4077">
        <w:t xml:space="preserve"> </w:t>
      </w:r>
      <w:r>
        <w:t>aux</w:t>
      </w:r>
      <w:r w:rsidRPr="002C4077">
        <w:t xml:space="preserve"> </w:t>
      </w:r>
      <w:r>
        <w:t>Éphésiens</w:t>
      </w:r>
      <w:r w:rsidRPr="002C4077">
        <w:t xml:space="preserve"> </w:t>
      </w:r>
      <w:r>
        <w:t>et</w:t>
      </w:r>
      <w:r w:rsidRPr="002C4077">
        <w:t xml:space="preserve"> </w:t>
      </w:r>
      <w:r>
        <w:t>aux</w:t>
      </w:r>
      <w:r w:rsidRPr="002C4077">
        <w:t xml:space="preserve"> </w:t>
      </w:r>
      <w:r>
        <w:t>Colossiens</w:t>
      </w:r>
      <w:r w:rsidR="00B91AF7">
        <w:rPr>
          <w:rStyle w:val="Appelnotedebasdep"/>
        </w:rPr>
        <w:footnoteReference w:id="469"/>
      </w:r>
      <w:r w:rsidR="00B546AF">
        <w:t> »</w:t>
      </w:r>
      <w:r>
        <w:t>.</w:t>
      </w:r>
      <w:r w:rsidRPr="002C4077">
        <w:t xml:space="preserve"> </w:t>
      </w:r>
    </w:p>
    <w:p w:rsidR="000A7AAB" w:rsidRDefault="000A7AAB" w:rsidP="000A7AAB">
      <w:r>
        <w:t>Si</w:t>
      </w:r>
      <w:r w:rsidRPr="002C4077">
        <w:t xml:space="preserve"> </w:t>
      </w:r>
      <w:r>
        <w:t>c’était</w:t>
      </w:r>
      <w:r w:rsidRPr="002C4077">
        <w:t xml:space="preserve"> </w:t>
      </w:r>
      <w:r>
        <w:t>tout</w:t>
      </w:r>
      <w:r w:rsidRPr="002C4077">
        <w:t xml:space="preserve"> </w:t>
      </w:r>
      <w:r>
        <w:t>encore</w:t>
      </w:r>
      <w:r w:rsidR="00B546AF">
        <w:t> !</w:t>
      </w:r>
      <w:r w:rsidRPr="002C4077">
        <w:t xml:space="preserve"> </w:t>
      </w:r>
      <w:r>
        <w:t>Mais</w:t>
      </w:r>
      <w:r w:rsidRPr="002C4077">
        <w:t xml:space="preserve"> </w:t>
      </w:r>
      <w:r w:rsidR="00B546AF">
        <w:t>« </w:t>
      </w:r>
      <w:r>
        <w:t>on</w:t>
      </w:r>
      <w:r w:rsidRPr="002C4077">
        <w:t xml:space="preserve"> </w:t>
      </w:r>
      <w:r>
        <w:t>a</w:t>
      </w:r>
      <w:r w:rsidRPr="002C4077">
        <w:t xml:space="preserve"> </w:t>
      </w:r>
      <w:r>
        <w:t>également</w:t>
      </w:r>
      <w:r w:rsidRPr="002C4077">
        <w:t xml:space="preserve"> </w:t>
      </w:r>
      <w:r>
        <w:t>attaqué</w:t>
      </w:r>
      <w:r w:rsidRPr="002C4077">
        <w:t xml:space="preserve"> </w:t>
      </w:r>
      <w:r>
        <w:t>l’origine</w:t>
      </w:r>
      <w:r w:rsidRPr="002C4077">
        <w:t xml:space="preserve"> </w:t>
      </w:r>
      <w:r>
        <w:t>des</w:t>
      </w:r>
      <w:r w:rsidRPr="002C4077">
        <w:t xml:space="preserve"> </w:t>
      </w:r>
      <w:r>
        <w:t>deux</w:t>
      </w:r>
      <w:r w:rsidRPr="002C4077">
        <w:t xml:space="preserve"> </w:t>
      </w:r>
      <w:r>
        <w:t>épîtres</w:t>
      </w:r>
      <w:r w:rsidRPr="002C4077">
        <w:t xml:space="preserve"> </w:t>
      </w:r>
      <w:r>
        <w:t>aux</w:t>
      </w:r>
      <w:r w:rsidRPr="002C4077">
        <w:t xml:space="preserve"> </w:t>
      </w:r>
      <w:r>
        <w:t>Thessaloniciens</w:t>
      </w:r>
      <w:r w:rsidRPr="002C4077">
        <w:t xml:space="preserve"> </w:t>
      </w:r>
      <w:r>
        <w:t>et</w:t>
      </w:r>
      <w:r w:rsidRPr="002C4077">
        <w:t xml:space="preserve"> </w:t>
      </w:r>
      <w:r>
        <w:t>celle</w:t>
      </w:r>
      <w:r w:rsidRPr="002C4077">
        <w:t xml:space="preserve"> </w:t>
      </w:r>
      <w:r>
        <w:t>aux</w:t>
      </w:r>
      <w:r w:rsidRPr="002C4077">
        <w:t xml:space="preserve"> </w:t>
      </w:r>
      <w:r>
        <w:t>Philippiens.</w:t>
      </w:r>
      <w:r w:rsidRPr="002C4077">
        <w:t xml:space="preserve"> </w:t>
      </w:r>
      <w:r>
        <w:t>L’illustre</w:t>
      </w:r>
      <w:r w:rsidRPr="002C4077">
        <w:t xml:space="preserve"> </w:t>
      </w:r>
      <w:r>
        <w:t>chef</w:t>
      </w:r>
      <w:r w:rsidRPr="004440EA">
        <w:t xml:space="preserve"> (</w:t>
      </w:r>
      <w:r>
        <w:t>remarquez</w:t>
      </w:r>
      <w:r w:rsidRPr="002C4077">
        <w:t xml:space="preserve"> </w:t>
      </w:r>
      <w:r>
        <w:t>cette</w:t>
      </w:r>
      <w:r w:rsidRPr="002C4077">
        <w:t xml:space="preserve"> </w:t>
      </w:r>
      <w:r>
        <w:t>ép</w:t>
      </w:r>
      <w:r w:rsidR="001730C6">
        <w:t>it</w:t>
      </w:r>
      <w:r>
        <w:t>hète</w:t>
      </w:r>
      <w:r w:rsidRPr="002C4077">
        <w:t xml:space="preserve"> </w:t>
      </w:r>
      <w:r>
        <w:t>de</w:t>
      </w:r>
      <w:r w:rsidRPr="002C4077">
        <w:t xml:space="preserve"> </w:t>
      </w:r>
      <w:r>
        <w:t>mauvais</w:t>
      </w:r>
      <w:r w:rsidRPr="002C4077">
        <w:t xml:space="preserve"> </w:t>
      </w:r>
      <w:r>
        <w:t>augure</w:t>
      </w:r>
      <w:r w:rsidR="00B546AF">
        <w:t> !</w:t>
      </w:r>
      <w:r w:rsidR="00B546AF" w:rsidRPr="002C4077">
        <w:t>)</w:t>
      </w:r>
      <w:r w:rsidRPr="002C4077">
        <w:t xml:space="preserve"> </w:t>
      </w:r>
      <w:r>
        <w:t>de</w:t>
      </w:r>
      <w:r w:rsidRPr="002C4077">
        <w:t xml:space="preserve"> </w:t>
      </w:r>
      <w:r>
        <w:t>l’école</w:t>
      </w:r>
      <w:r w:rsidRPr="002C4077">
        <w:t xml:space="preserve"> </w:t>
      </w:r>
      <w:r>
        <w:t>de</w:t>
      </w:r>
      <w:r w:rsidRPr="002C4077">
        <w:t xml:space="preserve"> </w:t>
      </w:r>
      <w:r>
        <w:t>Tubingue,</w:t>
      </w:r>
      <w:r w:rsidRPr="002C4077">
        <w:t xml:space="preserve"> </w:t>
      </w:r>
      <w:r>
        <w:t>Ferdinand-Christian</w:t>
      </w:r>
      <w:r w:rsidRPr="002C4077">
        <w:t xml:space="preserve"> </w:t>
      </w:r>
      <w:r>
        <w:t>Baur,</w:t>
      </w:r>
      <w:r w:rsidRPr="002C4077">
        <w:t xml:space="preserve"> </w:t>
      </w:r>
      <w:r>
        <w:t>n’en</w:t>
      </w:r>
      <w:r w:rsidRPr="002C4077">
        <w:t xml:space="preserve"> </w:t>
      </w:r>
      <w:r>
        <w:t>avait</w:t>
      </w:r>
      <w:r w:rsidRPr="002C4077">
        <w:t xml:space="preserve"> </w:t>
      </w:r>
      <w:r>
        <w:t>conservé</w:t>
      </w:r>
      <w:r w:rsidRPr="002C4077">
        <w:t xml:space="preserve"> </w:t>
      </w:r>
      <w:r>
        <w:t>que</w:t>
      </w:r>
      <w:r w:rsidRPr="002C4077">
        <w:t xml:space="preserve"> </w:t>
      </w:r>
      <w:r>
        <w:t>quatre,</w:t>
      </w:r>
      <w:r w:rsidRPr="002C4077">
        <w:t xml:space="preserve"> </w:t>
      </w:r>
      <w:r>
        <w:t>celles</w:t>
      </w:r>
      <w:r w:rsidRPr="002C4077">
        <w:t xml:space="preserve"> </w:t>
      </w:r>
      <w:r>
        <w:t>aux</w:t>
      </w:r>
      <w:r w:rsidRPr="002C4077">
        <w:t xml:space="preserve"> </w:t>
      </w:r>
      <w:r>
        <w:t>Romains,</w:t>
      </w:r>
      <w:r w:rsidRPr="002C4077">
        <w:t xml:space="preserve"> </w:t>
      </w:r>
      <w:r>
        <w:t>aux</w:t>
      </w:r>
      <w:r w:rsidRPr="002C4077">
        <w:t xml:space="preserve"> </w:t>
      </w:r>
      <w:r>
        <w:t>Corinthiens</w:t>
      </w:r>
      <w:r w:rsidRPr="004440EA">
        <w:t xml:space="preserve"> (</w:t>
      </w:r>
      <w:r>
        <w:t>deux</w:t>
      </w:r>
      <w:r w:rsidR="00B546AF" w:rsidRPr="002C4077">
        <w:t>)</w:t>
      </w:r>
      <w:r w:rsidRPr="002C4077">
        <w:t xml:space="preserve"> </w:t>
      </w:r>
      <w:r>
        <w:t>et</w:t>
      </w:r>
      <w:r w:rsidRPr="002C4077">
        <w:t xml:space="preserve"> </w:t>
      </w:r>
      <w:r>
        <w:t>aux</w:t>
      </w:r>
      <w:r w:rsidRPr="002C4077">
        <w:t xml:space="preserve"> </w:t>
      </w:r>
      <w:r>
        <w:t>Galates,</w:t>
      </w:r>
      <w:r w:rsidRPr="002C4077">
        <w:t xml:space="preserve"> </w:t>
      </w:r>
      <w:r>
        <w:t>les</w:t>
      </w:r>
      <w:r w:rsidRPr="002C4077">
        <w:t xml:space="preserve"> </w:t>
      </w:r>
      <w:r>
        <w:t>plus</w:t>
      </w:r>
      <w:r w:rsidRPr="002C4077">
        <w:t xml:space="preserve"> </w:t>
      </w:r>
      <w:r>
        <w:t>importantes,</w:t>
      </w:r>
      <w:r w:rsidRPr="002C4077">
        <w:t xml:space="preserve"> </w:t>
      </w:r>
      <w:r>
        <w:t>il</w:t>
      </w:r>
      <w:r w:rsidRPr="002C4077">
        <w:t xml:space="preserve"> </w:t>
      </w:r>
      <w:r w:rsidR="00425C50">
        <w:t>est</w:t>
      </w:r>
      <w:r w:rsidRPr="002C4077">
        <w:t xml:space="preserve"> </w:t>
      </w:r>
      <w:r>
        <w:t>vrai,</w:t>
      </w:r>
      <w:r w:rsidRPr="002C4077">
        <w:t xml:space="preserve"> </w:t>
      </w:r>
      <w:r>
        <w:t>de</w:t>
      </w:r>
      <w:r w:rsidRPr="002C4077">
        <w:t xml:space="preserve"> </w:t>
      </w:r>
      <w:r>
        <w:t>la</w:t>
      </w:r>
      <w:r w:rsidRPr="002C4077">
        <w:t xml:space="preserve"> </w:t>
      </w:r>
      <w:r>
        <w:t>collection</w:t>
      </w:r>
      <w:r w:rsidR="00B91AF7">
        <w:rPr>
          <w:rStyle w:val="Appelnotedebasdep"/>
        </w:rPr>
        <w:footnoteReference w:id="470"/>
      </w:r>
      <w:r w:rsidR="00B546AF">
        <w:t> »</w:t>
      </w:r>
      <w:r>
        <w:t>.</w:t>
      </w:r>
      <w:r w:rsidRPr="002C4077">
        <w:t xml:space="preserve"> </w:t>
      </w:r>
    </w:p>
    <w:p w:rsidR="000A7AAB" w:rsidRDefault="000A7AAB" w:rsidP="000A7AAB">
      <w:r>
        <w:t>Quatre</w:t>
      </w:r>
      <w:r w:rsidRPr="002C4077">
        <w:t xml:space="preserve"> </w:t>
      </w:r>
      <w:r>
        <w:t>épîtres</w:t>
      </w:r>
      <w:r w:rsidRPr="002C4077">
        <w:t xml:space="preserve"> </w:t>
      </w:r>
      <w:r>
        <w:t>nous</w:t>
      </w:r>
      <w:r w:rsidRPr="002C4077">
        <w:t xml:space="preserve"> </w:t>
      </w:r>
      <w:r>
        <w:t>restent</w:t>
      </w:r>
      <w:r w:rsidR="00B546AF">
        <w:t> :</w:t>
      </w:r>
      <w:r w:rsidRPr="002C4077">
        <w:t xml:space="preserve"> </w:t>
      </w:r>
      <w:r>
        <w:t>nous</w:t>
      </w:r>
      <w:r w:rsidRPr="002C4077">
        <w:t xml:space="preserve"> </w:t>
      </w:r>
      <w:r>
        <w:t>pouvons</w:t>
      </w:r>
      <w:r w:rsidRPr="002C4077">
        <w:t xml:space="preserve"> </w:t>
      </w:r>
      <w:r>
        <w:t>bien</w:t>
      </w:r>
      <w:r w:rsidRPr="002C4077">
        <w:t xml:space="preserve"> </w:t>
      </w:r>
      <w:r>
        <w:t>nous</w:t>
      </w:r>
      <w:r w:rsidRPr="002C4077">
        <w:t xml:space="preserve"> </w:t>
      </w:r>
      <w:r>
        <w:t>consoler.</w:t>
      </w:r>
      <w:r w:rsidRPr="002C4077">
        <w:t xml:space="preserve"> </w:t>
      </w:r>
      <w:r>
        <w:t>Admirons,</w:t>
      </w:r>
      <w:r w:rsidRPr="002C4077">
        <w:t xml:space="preserve"> </w:t>
      </w:r>
      <w:r>
        <w:t>d’ailleurs,</w:t>
      </w:r>
      <w:r w:rsidRPr="002C4077">
        <w:t xml:space="preserve"> </w:t>
      </w:r>
      <w:r>
        <w:t>—</w:t>
      </w:r>
      <w:r w:rsidRPr="002C4077">
        <w:t xml:space="preserve"> </w:t>
      </w:r>
      <w:r>
        <w:t>ce</w:t>
      </w:r>
      <w:r w:rsidRPr="002C4077">
        <w:t xml:space="preserve"> </w:t>
      </w:r>
      <w:r>
        <w:t>sera</w:t>
      </w:r>
      <w:r w:rsidRPr="002C4077">
        <w:t xml:space="preserve"> </w:t>
      </w:r>
      <w:r>
        <w:t>encore</w:t>
      </w:r>
      <w:r w:rsidRPr="002C4077">
        <w:t xml:space="preserve"> </w:t>
      </w:r>
      <w:r>
        <w:t>une</w:t>
      </w:r>
      <w:r w:rsidRPr="002C4077">
        <w:t xml:space="preserve"> </w:t>
      </w:r>
      <w:r>
        <w:t>joie</w:t>
      </w:r>
      <w:r w:rsidRPr="002C4077">
        <w:t xml:space="preserve"> </w:t>
      </w:r>
      <w:r>
        <w:t>dans</w:t>
      </w:r>
      <w:r w:rsidRPr="002C4077">
        <w:t xml:space="preserve"> </w:t>
      </w:r>
      <w:r>
        <w:t>notre</w:t>
      </w:r>
      <w:r w:rsidRPr="002C4077">
        <w:t xml:space="preserve"> </w:t>
      </w:r>
      <w:r w:rsidR="00425C50">
        <w:t>deuil</w:t>
      </w:r>
      <w:r w:rsidRPr="002C4077">
        <w:t xml:space="preserve"> </w:t>
      </w:r>
      <w:r>
        <w:t>—</w:t>
      </w:r>
      <w:r w:rsidRPr="002C4077">
        <w:t xml:space="preserve"> </w:t>
      </w:r>
      <w:r>
        <w:t>le</w:t>
      </w:r>
      <w:r w:rsidRPr="002C4077">
        <w:t xml:space="preserve"> </w:t>
      </w:r>
      <w:r>
        <w:t>généreux</w:t>
      </w:r>
      <w:r w:rsidRPr="002C4077">
        <w:t xml:space="preserve"> </w:t>
      </w:r>
      <w:r>
        <w:t>courage</w:t>
      </w:r>
      <w:r w:rsidRPr="002C4077">
        <w:t xml:space="preserve"> </w:t>
      </w:r>
      <w:r>
        <w:t>de</w:t>
      </w:r>
      <w:r w:rsidRPr="002C4077">
        <w:t xml:space="preserve"> </w:t>
      </w:r>
      <w:r>
        <w:t>M.</w:t>
      </w:r>
      <w:r w:rsidRPr="002C4077">
        <w:t xml:space="preserve"> </w:t>
      </w:r>
      <w:r>
        <w:t>Reuss.</w:t>
      </w:r>
      <w:r w:rsidR="00C45B47">
        <w:t xml:space="preserve"> {</w:t>
      </w:r>
      <w:r w:rsidR="00B53529">
        <w:t>152</w:t>
      </w:r>
      <w:bookmarkStart w:id="411" w:name="p152"/>
      <w:bookmarkEnd w:id="411"/>
      <w:r w:rsidR="00B53529">
        <w:t xml:space="preserve">} </w:t>
      </w:r>
      <w:r w:rsidR="00B546AF">
        <w:t>« </w:t>
      </w:r>
      <w:r>
        <w:t>Par</w:t>
      </w:r>
      <w:r w:rsidRPr="002C4077">
        <w:t xml:space="preserve"> </w:t>
      </w:r>
      <w:r>
        <w:t>un</w:t>
      </w:r>
      <w:r w:rsidRPr="002C4077">
        <w:t xml:space="preserve"> </w:t>
      </w:r>
      <w:r>
        <w:t>esprit</w:t>
      </w:r>
      <w:r w:rsidRPr="002C4077">
        <w:t xml:space="preserve"> </w:t>
      </w:r>
      <w:r>
        <w:t>de</w:t>
      </w:r>
      <w:r w:rsidRPr="002C4077">
        <w:t xml:space="preserve"> </w:t>
      </w:r>
      <w:r>
        <w:t>conservation</w:t>
      </w:r>
      <w:r w:rsidRPr="002C4077">
        <w:t xml:space="preserve"> </w:t>
      </w:r>
      <w:r>
        <w:t>auquel</w:t>
      </w:r>
      <w:r w:rsidRPr="002C4077">
        <w:t xml:space="preserve"> </w:t>
      </w:r>
      <w:r>
        <w:lastRenderedPageBreak/>
        <w:t>ses</w:t>
      </w:r>
      <w:r w:rsidRPr="002C4077">
        <w:t xml:space="preserve"> </w:t>
      </w:r>
      <w:r>
        <w:t>études</w:t>
      </w:r>
      <w:r w:rsidRPr="002C4077">
        <w:t xml:space="preserve"> </w:t>
      </w:r>
      <w:r>
        <w:t>sur</w:t>
      </w:r>
      <w:r w:rsidRPr="002C4077">
        <w:t xml:space="preserve"> </w:t>
      </w:r>
      <w:r>
        <w:t>l’Ancien</w:t>
      </w:r>
      <w:r w:rsidRPr="002C4077">
        <w:t xml:space="preserve"> </w:t>
      </w:r>
      <w:r>
        <w:t>Testament</w:t>
      </w:r>
      <w:r w:rsidRPr="002C4077">
        <w:t xml:space="preserve"> </w:t>
      </w:r>
      <w:r>
        <w:t>ne</w:t>
      </w:r>
      <w:r w:rsidRPr="002C4077">
        <w:t xml:space="preserve"> </w:t>
      </w:r>
      <w:r>
        <w:t>nous</w:t>
      </w:r>
      <w:r w:rsidRPr="002C4077">
        <w:t xml:space="preserve"> </w:t>
      </w:r>
      <w:r>
        <w:t>préparaient</w:t>
      </w:r>
      <w:r w:rsidRPr="002C4077">
        <w:t xml:space="preserve"> </w:t>
      </w:r>
      <w:r>
        <w:t>pas</w:t>
      </w:r>
      <w:r w:rsidR="0075326F">
        <w:rPr>
          <w:rStyle w:val="Appelnotedebasdep"/>
        </w:rPr>
        <w:footnoteReference w:id="471"/>
      </w:r>
      <w:r w:rsidR="0075326F">
        <w:t>,</w:t>
      </w:r>
      <w:r w:rsidRPr="002C4077">
        <w:t xml:space="preserve"> </w:t>
      </w:r>
      <w:r>
        <w:t>il</w:t>
      </w:r>
      <w:r w:rsidRPr="002C4077">
        <w:t xml:space="preserve"> </w:t>
      </w:r>
      <w:r>
        <w:t>a</w:t>
      </w:r>
      <w:r w:rsidRPr="002C4077">
        <w:t xml:space="preserve"> </w:t>
      </w:r>
      <w:r>
        <w:t>entrepris</w:t>
      </w:r>
      <w:r w:rsidRPr="002C4077">
        <w:t xml:space="preserve"> </w:t>
      </w:r>
      <w:r>
        <w:t>de</w:t>
      </w:r>
      <w:r w:rsidRPr="002C4077">
        <w:t xml:space="preserve"> </w:t>
      </w:r>
      <w:r>
        <w:t>rompre</w:t>
      </w:r>
      <w:r w:rsidRPr="002C4077">
        <w:t xml:space="preserve"> </w:t>
      </w:r>
      <w:r>
        <w:t>une</w:t>
      </w:r>
      <w:r w:rsidRPr="002C4077">
        <w:t xml:space="preserve"> </w:t>
      </w:r>
      <w:r>
        <w:t>dernière</w:t>
      </w:r>
      <w:r w:rsidRPr="002C4077">
        <w:t xml:space="preserve"> </w:t>
      </w:r>
      <w:r>
        <w:t>lance</w:t>
      </w:r>
      <w:r w:rsidRPr="002C4077">
        <w:t xml:space="preserve"> </w:t>
      </w:r>
      <w:r>
        <w:t>en</w:t>
      </w:r>
      <w:r w:rsidRPr="002C4077">
        <w:t xml:space="preserve"> </w:t>
      </w:r>
      <w:r>
        <w:t>faveur</w:t>
      </w:r>
      <w:r w:rsidRPr="002C4077">
        <w:t xml:space="preserve"> </w:t>
      </w:r>
      <w:r>
        <w:t>d’une</w:t>
      </w:r>
      <w:r w:rsidRPr="002C4077">
        <w:t xml:space="preserve"> </w:t>
      </w:r>
      <w:r>
        <w:t>cause</w:t>
      </w:r>
      <w:r w:rsidRPr="002C4077">
        <w:t xml:space="preserve"> </w:t>
      </w:r>
      <w:r>
        <w:t>perdue</w:t>
      </w:r>
      <w:r w:rsidR="00B546AF">
        <w:t> »</w:t>
      </w:r>
      <w:r>
        <w:t>.</w:t>
      </w:r>
      <w:r w:rsidRPr="002C4077">
        <w:t xml:space="preserve"> </w:t>
      </w:r>
      <w:r>
        <w:t>Le</w:t>
      </w:r>
      <w:r w:rsidRPr="002C4077">
        <w:t xml:space="preserve"> </w:t>
      </w:r>
      <w:r>
        <w:t>croira-t-on</w:t>
      </w:r>
      <w:r w:rsidR="00B546AF">
        <w:t> ?</w:t>
      </w:r>
      <w:r w:rsidRPr="002C4077">
        <w:t xml:space="preserve"> </w:t>
      </w:r>
      <w:r>
        <w:t>Il</w:t>
      </w:r>
      <w:r w:rsidRPr="002C4077">
        <w:t xml:space="preserve"> </w:t>
      </w:r>
      <w:r>
        <w:t>s’est</w:t>
      </w:r>
      <w:r w:rsidRPr="002C4077">
        <w:t xml:space="preserve"> </w:t>
      </w:r>
      <w:r>
        <w:t>efforcé</w:t>
      </w:r>
      <w:r w:rsidRPr="002C4077">
        <w:t xml:space="preserve"> </w:t>
      </w:r>
      <w:r>
        <w:t>d’</w:t>
      </w:r>
      <w:r w:rsidR="0075326F">
        <w:t>« </w:t>
      </w:r>
      <w:r>
        <w:t>a</w:t>
      </w:r>
      <w:r w:rsidR="001730C6">
        <w:t>rr</w:t>
      </w:r>
      <w:r>
        <w:t>acher</w:t>
      </w:r>
      <w:r w:rsidR="004F5627" w:rsidRPr="002C4077">
        <w:t xml:space="preserve"> </w:t>
      </w:r>
      <w:r>
        <w:t>du</w:t>
      </w:r>
      <w:r w:rsidRPr="002C4077">
        <w:t xml:space="preserve"> </w:t>
      </w:r>
      <w:r>
        <w:t>naufrage…</w:t>
      </w:r>
      <w:r w:rsidRPr="002C4077">
        <w:t xml:space="preserve"> </w:t>
      </w:r>
      <w:r>
        <w:t>la</w:t>
      </w:r>
      <w:r w:rsidRPr="002C4077">
        <w:t xml:space="preserve"> </w:t>
      </w:r>
      <w:r>
        <w:t>seconde</w:t>
      </w:r>
      <w:r w:rsidRPr="002C4077">
        <w:t xml:space="preserve"> </w:t>
      </w:r>
      <w:r>
        <w:t>lettre</w:t>
      </w:r>
      <w:r w:rsidRPr="002C4077">
        <w:t xml:space="preserve"> </w:t>
      </w:r>
      <w:r>
        <w:t>à</w:t>
      </w:r>
      <w:r w:rsidRPr="002C4077">
        <w:t xml:space="preserve"> </w:t>
      </w:r>
      <w:r>
        <w:t>Timothée,</w:t>
      </w:r>
      <w:r w:rsidRPr="002C4077">
        <w:t xml:space="preserve"> </w:t>
      </w:r>
      <w:r>
        <w:t>dont</w:t>
      </w:r>
      <w:r w:rsidRPr="002C4077">
        <w:t xml:space="preserve"> </w:t>
      </w:r>
      <w:r>
        <w:t>l’accent</w:t>
      </w:r>
      <w:r w:rsidRPr="002C4077">
        <w:t xml:space="preserve"> </w:t>
      </w:r>
      <w:r w:rsidR="00425C50">
        <w:t>est</w:t>
      </w:r>
      <w:r>
        <w:t>,</w:t>
      </w:r>
      <w:r w:rsidRPr="002C4077">
        <w:t xml:space="preserve"> </w:t>
      </w:r>
      <w:r>
        <w:t>par</w:t>
      </w:r>
      <w:r w:rsidRPr="002C4077">
        <w:t xml:space="preserve"> </w:t>
      </w:r>
      <w:r>
        <w:t>places,</w:t>
      </w:r>
      <w:r w:rsidRPr="002C4077">
        <w:t xml:space="preserve"> </w:t>
      </w:r>
      <w:r>
        <w:t>singulièrement</w:t>
      </w:r>
      <w:r w:rsidRPr="002C4077">
        <w:t xml:space="preserve"> </w:t>
      </w:r>
      <w:r>
        <w:t>personnel</w:t>
      </w:r>
      <w:r w:rsidR="00B546AF">
        <w:t> »</w:t>
      </w:r>
      <w:r>
        <w:t>.</w:t>
      </w:r>
      <w:r w:rsidRPr="002C4077">
        <w:t xml:space="preserve"> </w:t>
      </w:r>
      <w:r>
        <w:t>Peine</w:t>
      </w:r>
      <w:r w:rsidRPr="002C4077">
        <w:t xml:space="preserve"> </w:t>
      </w:r>
      <w:r>
        <w:t>inutile,</w:t>
      </w:r>
      <w:r w:rsidRPr="002C4077">
        <w:t xml:space="preserve"> </w:t>
      </w:r>
      <w:r>
        <w:t>ajoute</w:t>
      </w:r>
      <w:r w:rsidRPr="002C4077">
        <w:t xml:space="preserve"> </w:t>
      </w:r>
      <w:r>
        <w:t>M.</w:t>
      </w:r>
      <w:r w:rsidRPr="002C4077">
        <w:t xml:space="preserve"> </w:t>
      </w:r>
      <w:r w:rsidR="007B3C26">
        <w:t>Ve</w:t>
      </w:r>
      <w:r>
        <w:t>rnes.</w:t>
      </w:r>
      <w:r w:rsidRPr="002C4077">
        <w:t xml:space="preserve"> </w:t>
      </w:r>
      <w:r w:rsidR="00B546AF">
        <w:t>« </w:t>
      </w:r>
      <w:r>
        <w:t>La</w:t>
      </w:r>
      <w:r w:rsidRPr="002C4077">
        <w:t xml:space="preserve"> </w:t>
      </w:r>
      <w:r>
        <w:t>critique</w:t>
      </w:r>
      <w:r w:rsidRPr="002C4077">
        <w:t xml:space="preserve"> </w:t>
      </w:r>
      <w:r>
        <w:t>a</w:t>
      </w:r>
      <w:r w:rsidRPr="002C4077">
        <w:t xml:space="preserve"> </w:t>
      </w:r>
      <w:r>
        <w:t>toujours</w:t>
      </w:r>
      <w:r w:rsidRPr="002C4077">
        <w:t xml:space="preserve"> </w:t>
      </w:r>
      <w:r>
        <w:t>considéré</w:t>
      </w:r>
      <w:r w:rsidRPr="002C4077">
        <w:t xml:space="preserve"> </w:t>
      </w:r>
      <w:r>
        <w:t>les</w:t>
      </w:r>
      <w:r w:rsidRPr="002C4077">
        <w:t xml:space="preserve"> </w:t>
      </w:r>
      <w:r>
        <w:t>trois</w:t>
      </w:r>
      <w:r w:rsidRPr="002C4077">
        <w:t xml:space="preserve"> </w:t>
      </w:r>
      <w:r>
        <w:t>épîtres</w:t>
      </w:r>
      <w:r w:rsidRPr="002C4077">
        <w:t xml:space="preserve"> </w:t>
      </w:r>
      <w:r>
        <w:t>pastorales</w:t>
      </w:r>
      <w:r w:rsidRPr="002C4077">
        <w:t xml:space="preserve"> </w:t>
      </w:r>
      <w:r>
        <w:t>comme</w:t>
      </w:r>
      <w:r w:rsidRPr="002C4077">
        <w:t xml:space="preserve"> </w:t>
      </w:r>
      <w:r>
        <w:t>indissolublement</w:t>
      </w:r>
      <w:r w:rsidRPr="002C4077">
        <w:t xml:space="preserve"> </w:t>
      </w:r>
      <w:r>
        <w:t>liées.</w:t>
      </w:r>
      <w:r w:rsidRPr="002C4077">
        <w:t xml:space="preserve"> </w:t>
      </w:r>
      <w:r>
        <w:t>L’abandon</w:t>
      </w:r>
      <w:r w:rsidRPr="002C4077">
        <w:t xml:space="preserve"> </w:t>
      </w:r>
      <w:r>
        <w:t>que</w:t>
      </w:r>
      <w:r w:rsidRPr="002C4077">
        <w:t xml:space="preserve"> </w:t>
      </w:r>
      <w:r>
        <w:t>M.</w:t>
      </w:r>
      <w:r w:rsidRPr="002C4077">
        <w:t xml:space="preserve"> </w:t>
      </w:r>
      <w:r>
        <w:t>Reuss</w:t>
      </w:r>
      <w:r w:rsidRPr="002C4077">
        <w:t xml:space="preserve"> </w:t>
      </w:r>
      <w:r>
        <w:t>a</w:t>
      </w:r>
      <w:r w:rsidRPr="002C4077">
        <w:t xml:space="preserve"> </w:t>
      </w:r>
      <w:r>
        <w:t>fait</w:t>
      </w:r>
      <w:r w:rsidRPr="002C4077">
        <w:t xml:space="preserve"> </w:t>
      </w:r>
      <w:r>
        <w:t>de</w:t>
      </w:r>
      <w:r w:rsidRPr="002C4077">
        <w:t xml:space="preserve"> </w:t>
      </w:r>
      <w:r>
        <w:t>deux</w:t>
      </w:r>
      <w:r w:rsidRPr="002C4077">
        <w:t xml:space="preserve"> </w:t>
      </w:r>
      <w:r>
        <w:t>d’entre</w:t>
      </w:r>
      <w:r w:rsidRPr="002C4077">
        <w:t xml:space="preserve"> </w:t>
      </w:r>
      <w:r>
        <w:t>elles</w:t>
      </w:r>
      <w:r w:rsidRPr="002C4077">
        <w:t xml:space="preserve"> </w:t>
      </w:r>
      <w:r>
        <w:t>sauvera-t-il</w:t>
      </w:r>
      <w:r w:rsidRPr="002C4077">
        <w:t xml:space="preserve"> </w:t>
      </w:r>
      <w:r>
        <w:t>la</w:t>
      </w:r>
      <w:r w:rsidRPr="002C4077">
        <w:t xml:space="preserve"> </w:t>
      </w:r>
      <w:r>
        <w:t>troisième</w:t>
      </w:r>
      <w:r w:rsidR="00B546AF">
        <w:t> ?</w:t>
      </w:r>
      <w:r w:rsidRPr="002C4077">
        <w:t xml:space="preserve"> </w:t>
      </w:r>
      <w:r>
        <w:t>On</w:t>
      </w:r>
      <w:r w:rsidRPr="002C4077">
        <w:t xml:space="preserve"> </w:t>
      </w:r>
      <w:r>
        <w:t>pensera</w:t>
      </w:r>
      <w:r w:rsidRPr="002C4077">
        <w:t xml:space="preserve"> </w:t>
      </w:r>
      <w:r>
        <w:t>plutôt</w:t>
      </w:r>
      <w:r w:rsidRPr="002C4077">
        <w:t xml:space="preserve"> </w:t>
      </w:r>
      <w:r>
        <w:t>que</w:t>
      </w:r>
      <w:r w:rsidRPr="002C4077">
        <w:t xml:space="preserve"> </w:t>
      </w:r>
      <w:r>
        <w:t>celles-ci</w:t>
      </w:r>
      <w:r w:rsidRPr="002C4077">
        <w:t xml:space="preserve"> </w:t>
      </w:r>
      <w:r>
        <w:t>entraînent</w:t>
      </w:r>
      <w:r w:rsidRPr="002C4077">
        <w:t xml:space="preserve"> </w:t>
      </w:r>
      <w:r>
        <w:t>leur</w:t>
      </w:r>
      <w:r w:rsidRPr="002C4077">
        <w:t xml:space="preserve"> </w:t>
      </w:r>
      <w:r>
        <w:t>congénère</w:t>
      </w:r>
      <w:r w:rsidRPr="002C4077">
        <w:t xml:space="preserve"> </w:t>
      </w:r>
      <w:r>
        <w:t>dans</w:t>
      </w:r>
      <w:r w:rsidRPr="002C4077">
        <w:t xml:space="preserve"> </w:t>
      </w:r>
      <w:r>
        <w:t>un</w:t>
      </w:r>
      <w:r w:rsidRPr="002C4077">
        <w:t xml:space="preserve"> </w:t>
      </w:r>
      <w:r>
        <w:t>commun</w:t>
      </w:r>
      <w:r w:rsidRPr="002C4077">
        <w:t xml:space="preserve"> </w:t>
      </w:r>
      <w:r>
        <w:t>désastre</w:t>
      </w:r>
      <w:r w:rsidR="00B91AF7">
        <w:rPr>
          <w:rStyle w:val="Appelnotedebasdep"/>
        </w:rPr>
        <w:footnoteReference w:id="472"/>
      </w:r>
      <w:r w:rsidR="00B546AF">
        <w:t> »</w:t>
      </w:r>
      <w:r>
        <w:t>.</w:t>
      </w:r>
      <w:r w:rsidRPr="002C4077">
        <w:t xml:space="preserve"> </w:t>
      </w:r>
    </w:p>
    <w:p w:rsidR="000A7AAB" w:rsidRDefault="000A7AAB" w:rsidP="000A7AAB">
      <w:r>
        <w:t>Il</w:t>
      </w:r>
      <w:r w:rsidRPr="002C4077">
        <w:t xml:space="preserve"> </w:t>
      </w:r>
      <w:r>
        <w:t>me</w:t>
      </w:r>
      <w:r w:rsidRPr="002C4077">
        <w:t xml:space="preserve"> </w:t>
      </w:r>
      <w:r>
        <w:t>semble</w:t>
      </w:r>
      <w:r w:rsidRPr="002C4077">
        <w:t xml:space="preserve"> </w:t>
      </w:r>
      <w:r>
        <w:t>que</w:t>
      </w:r>
      <w:r w:rsidRPr="002C4077">
        <w:t xml:space="preserve"> </w:t>
      </w:r>
      <w:r>
        <w:t>j’entends</w:t>
      </w:r>
      <w:r w:rsidRPr="002C4077">
        <w:t xml:space="preserve"> </w:t>
      </w:r>
      <w:r>
        <w:t>un</w:t>
      </w:r>
      <w:r w:rsidRPr="002C4077">
        <w:t xml:space="preserve"> </w:t>
      </w:r>
      <w:r>
        <w:t>fracas</w:t>
      </w:r>
      <w:r w:rsidRPr="002C4077">
        <w:t xml:space="preserve"> </w:t>
      </w:r>
      <w:r>
        <w:t>épouvantable.</w:t>
      </w:r>
      <w:r w:rsidRPr="002C4077">
        <w:t xml:space="preserve"> </w:t>
      </w:r>
      <w:r>
        <w:t>Je</w:t>
      </w:r>
      <w:r w:rsidRPr="002C4077">
        <w:t xml:space="preserve"> </w:t>
      </w:r>
      <w:r>
        <w:t>regarde</w:t>
      </w:r>
      <w:r w:rsidR="00B546AF">
        <w:t> :</w:t>
      </w:r>
      <w:r w:rsidRPr="002C4077">
        <w:t xml:space="preserve"> </w:t>
      </w:r>
      <w:r>
        <w:t>c’est</w:t>
      </w:r>
      <w:r w:rsidRPr="002C4077">
        <w:t xml:space="preserve"> </w:t>
      </w:r>
      <w:r>
        <w:t>la</w:t>
      </w:r>
      <w:r w:rsidRPr="002C4077">
        <w:t xml:space="preserve"> </w:t>
      </w:r>
      <w:r>
        <w:t>littérature</w:t>
      </w:r>
      <w:r w:rsidRPr="002C4077">
        <w:t xml:space="preserve"> </w:t>
      </w:r>
      <w:r>
        <w:t>dite</w:t>
      </w:r>
      <w:r w:rsidRPr="002C4077">
        <w:t xml:space="preserve"> </w:t>
      </w:r>
      <w:r>
        <w:t>paulinienne</w:t>
      </w:r>
      <w:r w:rsidRPr="002C4077">
        <w:t xml:space="preserve"> </w:t>
      </w:r>
      <w:r>
        <w:t>qui</w:t>
      </w:r>
      <w:r w:rsidRPr="002C4077">
        <w:t xml:space="preserve"> </w:t>
      </w:r>
      <w:r>
        <w:t>s’écroule.</w:t>
      </w:r>
      <w:r w:rsidRPr="002C4077">
        <w:t xml:space="preserve"> </w:t>
      </w:r>
      <w:r>
        <w:t>Je</w:t>
      </w:r>
      <w:r w:rsidRPr="002C4077">
        <w:t xml:space="preserve"> </w:t>
      </w:r>
      <w:r>
        <w:t>vois</w:t>
      </w:r>
      <w:r w:rsidRPr="002C4077">
        <w:t xml:space="preserve"> </w:t>
      </w:r>
      <w:r>
        <w:t>quatre</w:t>
      </w:r>
      <w:r w:rsidRPr="002C4077">
        <w:t xml:space="preserve"> </w:t>
      </w:r>
      <w:r>
        <w:t>murs</w:t>
      </w:r>
      <w:r w:rsidRPr="002C4077">
        <w:t xml:space="preserve"> </w:t>
      </w:r>
      <w:r>
        <w:t>restant</w:t>
      </w:r>
      <w:r w:rsidRPr="002C4077">
        <w:t xml:space="preserve"> </w:t>
      </w:r>
      <w:r>
        <w:t>debout,</w:t>
      </w:r>
      <w:r w:rsidRPr="002C4077">
        <w:t xml:space="preserve"> </w:t>
      </w:r>
      <w:r>
        <w:t>il</w:t>
      </w:r>
      <w:r w:rsidRPr="002C4077">
        <w:t xml:space="preserve"> </w:t>
      </w:r>
      <w:r w:rsidR="00425C50">
        <w:t>est</w:t>
      </w:r>
      <w:r w:rsidRPr="002C4077">
        <w:t xml:space="preserve"> </w:t>
      </w:r>
      <w:r>
        <w:t>vrai</w:t>
      </w:r>
      <w:r w:rsidR="00B546AF">
        <w:t> ;</w:t>
      </w:r>
      <w:r w:rsidRPr="002C4077">
        <w:t xml:space="preserve"> </w:t>
      </w:r>
      <w:r>
        <w:t>mais</w:t>
      </w:r>
      <w:r w:rsidRPr="002C4077">
        <w:t xml:space="preserve"> </w:t>
      </w:r>
      <w:r>
        <w:t>ils</w:t>
      </w:r>
      <w:r w:rsidRPr="002C4077">
        <w:t xml:space="preserve"> </w:t>
      </w:r>
      <w:r>
        <w:t>sont</w:t>
      </w:r>
      <w:r w:rsidRPr="002C4077">
        <w:t xml:space="preserve"> </w:t>
      </w:r>
      <w:r>
        <w:t>fendillés,</w:t>
      </w:r>
      <w:r w:rsidRPr="002C4077">
        <w:t xml:space="preserve"> </w:t>
      </w:r>
      <w:r>
        <w:t>lézardés,</w:t>
      </w:r>
      <w:r w:rsidRPr="002C4077">
        <w:t xml:space="preserve"> </w:t>
      </w:r>
      <w:r>
        <w:t>et</w:t>
      </w:r>
      <w:r w:rsidRPr="002C4077">
        <w:t xml:space="preserve"> </w:t>
      </w:r>
      <w:r>
        <w:t>ils</w:t>
      </w:r>
      <w:r w:rsidRPr="002C4077">
        <w:t xml:space="preserve"> </w:t>
      </w:r>
      <w:r>
        <w:t>ne</w:t>
      </w:r>
      <w:r w:rsidRPr="002C4077">
        <w:t xml:space="preserve"> </w:t>
      </w:r>
      <w:r>
        <w:t>tarderont</w:t>
      </w:r>
      <w:r w:rsidRPr="002C4077">
        <w:t xml:space="preserve"> </w:t>
      </w:r>
      <w:r>
        <w:t>pas</w:t>
      </w:r>
      <w:r w:rsidRPr="002C4077">
        <w:t xml:space="preserve"> </w:t>
      </w:r>
      <w:r>
        <w:t>à</w:t>
      </w:r>
      <w:r w:rsidRPr="002C4077">
        <w:t xml:space="preserve"> </w:t>
      </w:r>
      <w:r>
        <w:t>tomber</w:t>
      </w:r>
      <w:r w:rsidRPr="002C4077">
        <w:t xml:space="preserve"> </w:t>
      </w:r>
      <w:r>
        <w:t>comme</w:t>
      </w:r>
      <w:r w:rsidRPr="002C4077">
        <w:t xml:space="preserve"> </w:t>
      </w:r>
      <w:r>
        <w:t>le</w:t>
      </w:r>
      <w:r w:rsidRPr="002C4077">
        <w:t xml:space="preserve"> </w:t>
      </w:r>
      <w:r>
        <w:t>reste.</w:t>
      </w:r>
      <w:r w:rsidRPr="002C4077">
        <w:t xml:space="preserve"> </w:t>
      </w:r>
    </w:p>
    <w:p w:rsidR="00B868F2" w:rsidRDefault="00B868F2" w:rsidP="00B67E61">
      <w:pPr>
        <w:rPr>
          <w:rStyle w:val="italicus"/>
          <w:i w:val="0"/>
        </w:rPr>
      </w:pPr>
    </w:p>
    <w:p w:rsidR="00B67E61" w:rsidRDefault="00B67E61" w:rsidP="00B67E61">
      <w:pPr>
        <w:rPr>
          <w:rStyle w:val="italicus"/>
          <w:i w:val="0"/>
        </w:rPr>
      </w:pPr>
      <w:r w:rsidRPr="003B6BB3">
        <w:rPr>
          <w:rStyle w:val="italicus"/>
          <w:i w:val="0"/>
        </w:rPr>
        <w:t>4.</w:t>
      </w:r>
      <w:r w:rsidRPr="002C4077">
        <w:t xml:space="preserve"> </w:t>
      </w:r>
      <w:r w:rsidRPr="00B67E61">
        <w:rPr>
          <w:rStyle w:val="italicus"/>
        </w:rPr>
        <w:t>Les</w:t>
      </w:r>
      <w:r w:rsidRPr="002C4077">
        <w:t xml:space="preserve"> </w:t>
      </w:r>
      <w:r w:rsidRPr="00B67E61">
        <w:rPr>
          <w:rStyle w:val="italicus"/>
        </w:rPr>
        <w:t>Épîtres</w:t>
      </w:r>
      <w:r w:rsidRPr="002C4077">
        <w:t xml:space="preserve"> </w:t>
      </w:r>
      <w:r w:rsidRPr="00B67E61">
        <w:rPr>
          <w:rStyle w:val="italicus"/>
        </w:rPr>
        <w:t>catholiques</w:t>
      </w:r>
      <w:bookmarkStart w:id="412" w:name="z_EpitresCatholiques_o1"/>
      <w:bookmarkEnd w:id="412"/>
      <w:r w:rsidRPr="00B67E61">
        <w:rPr>
          <w:rStyle w:val="italicus"/>
        </w:rPr>
        <w:t>.</w:t>
      </w:r>
      <w:r w:rsidRPr="002C4077">
        <w:t xml:space="preserve"> </w:t>
      </w:r>
      <w:r>
        <w:rPr>
          <w:rStyle w:val="italicus"/>
          <w:i w:val="0"/>
        </w:rPr>
        <w:t>—</w:t>
      </w:r>
      <w:r w:rsidRPr="002C4077">
        <w:t xml:space="preserve"> </w:t>
      </w:r>
      <w:r>
        <w:rPr>
          <w:rStyle w:val="italicus"/>
          <w:i w:val="0"/>
        </w:rPr>
        <w:t>L</w:t>
      </w:r>
      <w:r w:rsidRPr="003B6BB3">
        <w:rPr>
          <w:rStyle w:val="italicus"/>
          <w:i w:val="0"/>
        </w:rPr>
        <w:t>a</w:t>
      </w:r>
      <w:r w:rsidRPr="002C4077">
        <w:t xml:space="preserve"> </w:t>
      </w:r>
      <w:r w:rsidRPr="003B6BB3">
        <w:rPr>
          <w:rStyle w:val="italicus"/>
          <w:i w:val="0"/>
        </w:rPr>
        <w:t>première,</w:t>
      </w:r>
      <w:r w:rsidRPr="002C4077">
        <w:t xml:space="preserve"> </w:t>
      </w:r>
      <w:r w:rsidRPr="003B6BB3">
        <w:rPr>
          <w:rStyle w:val="italicus"/>
          <w:i w:val="0"/>
        </w:rPr>
        <w:t>celle</w:t>
      </w:r>
      <w:r w:rsidRPr="002C4077">
        <w:t xml:space="preserve"> </w:t>
      </w:r>
      <w:r w:rsidRPr="003B6BB3">
        <w:rPr>
          <w:rStyle w:val="italicus"/>
          <w:i w:val="0"/>
        </w:rPr>
        <w:t>de</w:t>
      </w:r>
      <w:r w:rsidRPr="002C4077">
        <w:t xml:space="preserve"> </w:t>
      </w:r>
      <w:r w:rsidRPr="003B6BB3">
        <w:rPr>
          <w:rStyle w:val="italicus"/>
          <w:i w:val="0"/>
        </w:rPr>
        <w:t>saint</w:t>
      </w:r>
      <w:r w:rsidRPr="002C4077">
        <w:t xml:space="preserve"> </w:t>
      </w:r>
      <w:r w:rsidRPr="003B6BB3">
        <w:rPr>
          <w:rStyle w:val="italicus"/>
          <w:i w:val="0"/>
        </w:rPr>
        <w:t>Jacques,</w:t>
      </w:r>
      <w:r w:rsidRPr="002C4077">
        <w:t xml:space="preserve"> </w:t>
      </w:r>
      <w:r w:rsidR="00425C50">
        <w:rPr>
          <w:rStyle w:val="italicus"/>
          <w:i w:val="0"/>
        </w:rPr>
        <w:t>est</w:t>
      </w:r>
      <w:r w:rsidRPr="002C4077">
        <w:t xml:space="preserve"> </w:t>
      </w:r>
      <w:r w:rsidRPr="003B6BB3">
        <w:rPr>
          <w:rStyle w:val="italicus"/>
          <w:i w:val="0"/>
        </w:rPr>
        <w:t>jugée</w:t>
      </w:r>
      <w:r w:rsidRPr="002C4077">
        <w:t xml:space="preserve"> </w:t>
      </w:r>
      <w:r w:rsidRPr="003B6BB3">
        <w:rPr>
          <w:rStyle w:val="italicus"/>
          <w:i w:val="0"/>
        </w:rPr>
        <w:t>en</w:t>
      </w:r>
      <w:r w:rsidRPr="002C4077">
        <w:t xml:space="preserve"> </w:t>
      </w:r>
      <w:r w:rsidRPr="003B6BB3">
        <w:rPr>
          <w:rStyle w:val="italicus"/>
          <w:i w:val="0"/>
        </w:rPr>
        <w:t>un</w:t>
      </w:r>
      <w:r w:rsidRPr="002C4077">
        <w:t xml:space="preserve"> </w:t>
      </w:r>
      <w:r w:rsidRPr="003B6BB3">
        <w:rPr>
          <w:rStyle w:val="italicus"/>
          <w:i w:val="0"/>
        </w:rPr>
        <w:t>tour</w:t>
      </w:r>
      <w:r w:rsidRPr="002C4077">
        <w:t xml:space="preserve"> </w:t>
      </w:r>
      <w:r w:rsidRPr="003B6BB3">
        <w:rPr>
          <w:rStyle w:val="italicus"/>
          <w:i w:val="0"/>
        </w:rPr>
        <w:t>de</w:t>
      </w:r>
      <w:r w:rsidRPr="002C4077">
        <w:t xml:space="preserve"> </w:t>
      </w:r>
      <w:r w:rsidRPr="003B6BB3">
        <w:rPr>
          <w:rStyle w:val="italicus"/>
          <w:i w:val="0"/>
        </w:rPr>
        <w:t>main.</w:t>
      </w:r>
      <w:r w:rsidRPr="002C4077">
        <w:t xml:space="preserve"> </w:t>
      </w:r>
      <w:r w:rsidR="00B546AF">
        <w:rPr>
          <w:rStyle w:val="italicus"/>
          <w:i w:val="0"/>
        </w:rPr>
        <w:t>« </w:t>
      </w:r>
      <w:r w:rsidRPr="003B6BB3">
        <w:rPr>
          <w:rStyle w:val="italicus"/>
          <w:i w:val="0"/>
        </w:rPr>
        <w:t>Il</w:t>
      </w:r>
      <w:r w:rsidRPr="002C4077">
        <w:t xml:space="preserve"> </w:t>
      </w:r>
      <w:r w:rsidRPr="003B6BB3">
        <w:rPr>
          <w:rStyle w:val="italicus"/>
          <w:i w:val="0"/>
        </w:rPr>
        <w:t>sera</w:t>
      </w:r>
      <w:r w:rsidRPr="002C4077">
        <w:t xml:space="preserve"> </w:t>
      </w:r>
      <w:r w:rsidRPr="003B6BB3">
        <w:rPr>
          <w:rStyle w:val="italicus"/>
          <w:i w:val="0"/>
        </w:rPr>
        <w:t>plus</w:t>
      </w:r>
      <w:r w:rsidRPr="002C4077">
        <w:t xml:space="preserve"> </w:t>
      </w:r>
      <w:r w:rsidRPr="003B6BB3">
        <w:rPr>
          <w:rStyle w:val="italicus"/>
          <w:i w:val="0"/>
        </w:rPr>
        <w:t>prudent</w:t>
      </w:r>
      <w:r w:rsidRPr="002C4077">
        <w:t xml:space="preserve"> </w:t>
      </w:r>
      <w:r w:rsidRPr="003B6BB3">
        <w:rPr>
          <w:rStyle w:val="italicus"/>
          <w:i w:val="0"/>
        </w:rPr>
        <w:t>de</w:t>
      </w:r>
      <w:r w:rsidRPr="002C4077">
        <w:t xml:space="preserve"> </w:t>
      </w:r>
      <w:r w:rsidRPr="003B6BB3">
        <w:rPr>
          <w:rStyle w:val="italicus"/>
          <w:i w:val="0"/>
        </w:rPr>
        <w:t>n</w:t>
      </w:r>
      <w:r>
        <w:rPr>
          <w:rStyle w:val="italicus"/>
          <w:i w:val="0"/>
        </w:rPr>
        <w:t>’</w:t>
      </w:r>
      <w:r w:rsidRPr="003B6BB3">
        <w:rPr>
          <w:rStyle w:val="italicus"/>
          <w:i w:val="0"/>
        </w:rPr>
        <w:t>en</w:t>
      </w:r>
      <w:r w:rsidRPr="002C4077">
        <w:t xml:space="preserve"> </w:t>
      </w:r>
      <w:r w:rsidRPr="003B6BB3">
        <w:rPr>
          <w:rStyle w:val="italicus"/>
          <w:i w:val="0"/>
        </w:rPr>
        <w:t>pas</w:t>
      </w:r>
      <w:r w:rsidRPr="002C4077">
        <w:t xml:space="preserve"> </w:t>
      </w:r>
      <w:r w:rsidRPr="003B6BB3">
        <w:rPr>
          <w:rStyle w:val="italicus"/>
          <w:i w:val="0"/>
        </w:rPr>
        <w:t>attribuer</w:t>
      </w:r>
      <w:r w:rsidRPr="002C4077">
        <w:t xml:space="preserve"> </w:t>
      </w:r>
      <w:r w:rsidRPr="003B6BB3">
        <w:rPr>
          <w:rStyle w:val="italicus"/>
          <w:i w:val="0"/>
        </w:rPr>
        <w:t>l</w:t>
      </w:r>
      <w:r>
        <w:rPr>
          <w:rStyle w:val="italicus"/>
          <w:i w:val="0"/>
        </w:rPr>
        <w:t>’</w:t>
      </w:r>
      <w:r w:rsidRPr="003B6BB3">
        <w:rPr>
          <w:rStyle w:val="italicus"/>
          <w:i w:val="0"/>
        </w:rPr>
        <w:t>origine</w:t>
      </w:r>
      <w:r w:rsidRPr="002C4077">
        <w:t xml:space="preserve"> </w:t>
      </w:r>
      <w:r w:rsidRPr="003B6BB3">
        <w:rPr>
          <w:rStyle w:val="italicus"/>
          <w:i w:val="0"/>
        </w:rPr>
        <w:t>au</w:t>
      </w:r>
      <w:r w:rsidRPr="002C4077">
        <w:t xml:space="preserve"> </w:t>
      </w:r>
      <w:r w:rsidRPr="003B6BB3">
        <w:rPr>
          <w:rStyle w:val="italicus"/>
          <w:i w:val="0"/>
        </w:rPr>
        <w:t>personnage</w:t>
      </w:r>
      <w:r w:rsidRPr="002C4077">
        <w:t xml:space="preserve"> </w:t>
      </w:r>
      <w:r w:rsidRPr="003B6BB3">
        <w:rPr>
          <w:rStyle w:val="italicus"/>
          <w:i w:val="0"/>
        </w:rPr>
        <w:t>apostolique</w:t>
      </w:r>
      <w:r w:rsidRPr="002C4077">
        <w:t xml:space="preserve"> </w:t>
      </w:r>
      <w:r w:rsidRPr="003B6BB3">
        <w:rPr>
          <w:rStyle w:val="italicus"/>
          <w:i w:val="0"/>
        </w:rPr>
        <w:t>dont</w:t>
      </w:r>
      <w:r w:rsidRPr="002C4077">
        <w:t xml:space="preserve"> </w:t>
      </w:r>
      <w:r w:rsidRPr="003B6BB3">
        <w:rPr>
          <w:rStyle w:val="italicus"/>
          <w:i w:val="0"/>
        </w:rPr>
        <w:t>elle</w:t>
      </w:r>
      <w:r w:rsidRPr="002C4077">
        <w:t xml:space="preserve"> </w:t>
      </w:r>
      <w:r w:rsidRPr="003B6BB3">
        <w:rPr>
          <w:rStyle w:val="italicus"/>
          <w:i w:val="0"/>
        </w:rPr>
        <w:t>porte</w:t>
      </w:r>
      <w:r w:rsidRPr="002C4077">
        <w:t xml:space="preserve"> </w:t>
      </w:r>
      <w:r w:rsidRPr="003B6BB3">
        <w:rPr>
          <w:rStyle w:val="italicus"/>
          <w:i w:val="0"/>
        </w:rPr>
        <w:t>le</w:t>
      </w:r>
      <w:r w:rsidRPr="002C4077">
        <w:t xml:space="preserve"> </w:t>
      </w:r>
      <w:r w:rsidRPr="003B6BB3">
        <w:rPr>
          <w:rStyle w:val="italicus"/>
          <w:i w:val="0"/>
        </w:rPr>
        <w:t>nom</w:t>
      </w:r>
      <w:r w:rsidR="00425C50">
        <w:rPr>
          <w:rStyle w:val="italicus"/>
          <w:i w:val="0"/>
        </w:rPr>
        <w:t>…</w:t>
      </w:r>
      <w:r w:rsidRPr="002C4077">
        <w:t xml:space="preserve"> </w:t>
      </w:r>
      <w:r w:rsidRPr="003B6BB3">
        <w:rPr>
          <w:rStyle w:val="italicus"/>
          <w:i w:val="0"/>
        </w:rPr>
        <w:t>C</w:t>
      </w:r>
      <w:r>
        <w:rPr>
          <w:rStyle w:val="italicus"/>
          <w:i w:val="0"/>
        </w:rPr>
        <w:t>’</w:t>
      </w:r>
      <w:r w:rsidRPr="003B6BB3">
        <w:rPr>
          <w:rStyle w:val="italicus"/>
          <w:i w:val="0"/>
        </w:rPr>
        <w:t>est</w:t>
      </w:r>
      <w:r w:rsidRPr="002C4077">
        <w:t xml:space="preserve"> </w:t>
      </w:r>
      <w:r w:rsidRPr="003B6BB3">
        <w:rPr>
          <w:rStyle w:val="italicus"/>
          <w:i w:val="0"/>
        </w:rPr>
        <w:t>donc</w:t>
      </w:r>
      <w:r w:rsidRPr="002C4077">
        <w:t xml:space="preserve"> </w:t>
      </w:r>
      <w:r w:rsidRPr="003B6BB3">
        <w:rPr>
          <w:rStyle w:val="italicus"/>
          <w:i w:val="0"/>
        </w:rPr>
        <w:t>un</w:t>
      </w:r>
      <w:r w:rsidRPr="002C4077">
        <w:t xml:space="preserve"> </w:t>
      </w:r>
      <w:r w:rsidRPr="003B6BB3">
        <w:rPr>
          <w:rStyle w:val="italicus"/>
          <w:i w:val="0"/>
        </w:rPr>
        <w:t>écrit</w:t>
      </w:r>
      <w:r w:rsidRPr="002C4077">
        <w:t xml:space="preserve"> </w:t>
      </w:r>
      <w:r w:rsidRPr="003B6BB3">
        <w:rPr>
          <w:rStyle w:val="italicus"/>
          <w:i w:val="0"/>
        </w:rPr>
        <w:t>de</w:t>
      </w:r>
      <w:r w:rsidRPr="002C4077">
        <w:t xml:space="preserve"> </w:t>
      </w:r>
      <w:r w:rsidRPr="003B6BB3">
        <w:rPr>
          <w:rStyle w:val="italicus"/>
          <w:i w:val="0"/>
        </w:rPr>
        <w:t>plus</w:t>
      </w:r>
      <w:r w:rsidRPr="002C4077">
        <w:t xml:space="preserve"> </w:t>
      </w:r>
      <w:r w:rsidRPr="003B6BB3">
        <w:rPr>
          <w:rStyle w:val="italicus"/>
          <w:i w:val="0"/>
        </w:rPr>
        <w:t>à</w:t>
      </w:r>
      <w:r w:rsidRPr="002C4077">
        <w:t xml:space="preserve"> </w:t>
      </w:r>
      <w:r w:rsidRPr="003B6BB3">
        <w:rPr>
          <w:rStyle w:val="italicus"/>
          <w:i w:val="0"/>
        </w:rPr>
        <w:t>ranger</w:t>
      </w:r>
      <w:r w:rsidRPr="002C4077">
        <w:t xml:space="preserve"> </w:t>
      </w:r>
      <w:r w:rsidRPr="003B6BB3">
        <w:rPr>
          <w:rStyle w:val="italicus"/>
          <w:i w:val="0"/>
        </w:rPr>
        <w:t>dans</w:t>
      </w:r>
      <w:r w:rsidRPr="002C4077">
        <w:t xml:space="preserve"> </w:t>
      </w:r>
      <w:r w:rsidRPr="003B6BB3">
        <w:rPr>
          <w:rStyle w:val="italicus"/>
          <w:i w:val="0"/>
        </w:rPr>
        <w:t>la</w:t>
      </w:r>
      <w:r w:rsidRPr="002C4077">
        <w:t xml:space="preserve"> </w:t>
      </w:r>
      <w:r w:rsidRPr="003B6BB3">
        <w:rPr>
          <w:rStyle w:val="italicus"/>
          <w:i w:val="0"/>
        </w:rPr>
        <w:t>catégorie</w:t>
      </w:r>
      <w:r w:rsidRPr="002C4077">
        <w:t xml:space="preserve"> </w:t>
      </w:r>
      <w:r w:rsidRPr="003B6BB3">
        <w:rPr>
          <w:rStyle w:val="italicus"/>
          <w:i w:val="0"/>
        </w:rPr>
        <w:t>des</w:t>
      </w:r>
      <w:r w:rsidRPr="002C4077">
        <w:t xml:space="preserve"> </w:t>
      </w:r>
      <w:r w:rsidRPr="003B6BB3">
        <w:rPr>
          <w:rStyle w:val="italicus"/>
          <w:i w:val="0"/>
        </w:rPr>
        <w:t>pseudépigraphes</w:t>
      </w:r>
      <w:r>
        <w:rPr>
          <w:rStyle w:val="Appelnotedebasdep"/>
        </w:rPr>
        <w:footnoteReference w:id="473"/>
      </w:r>
      <w:r w:rsidR="00B546AF">
        <w:rPr>
          <w:rStyle w:val="italicus"/>
          <w:i w:val="0"/>
        </w:rPr>
        <w:t> </w:t>
      </w:r>
      <w:r w:rsidR="00B546AF" w:rsidRPr="003B6BB3">
        <w:rPr>
          <w:rStyle w:val="italicus"/>
          <w:i w:val="0"/>
        </w:rPr>
        <w:t>»</w:t>
      </w:r>
      <w:r w:rsidRPr="003B6BB3">
        <w:rPr>
          <w:rStyle w:val="italicus"/>
          <w:i w:val="0"/>
        </w:rPr>
        <w:t>.</w:t>
      </w:r>
      <w:r w:rsidRPr="002C4077">
        <w:t xml:space="preserve"> </w:t>
      </w:r>
    </w:p>
    <w:p w:rsidR="000A7AAB" w:rsidRDefault="00B67E61" w:rsidP="000A7AAB">
      <w:r w:rsidRPr="003B6BB3">
        <w:rPr>
          <w:rStyle w:val="italicus"/>
          <w:i w:val="0"/>
        </w:rPr>
        <w:t>Un</w:t>
      </w:r>
      <w:r w:rsidRPr="002C4077">
        <w:t xml:space="preserve"> </w:t>
      </w:r>
      <w:r w:rsidRPr="003B6BB3">
        <w:rPr>
          <w:rStyle w:val="italicus"/>
          <w:i w:val="0"/>
        </w:rPr>
        <w:t>de</w:t>
      </w:r>
      <w:r w:rsidRPr="002C4077">
        <w:t xml:space="preserve"> </w:t>
      </w:r>
      <w:r w:rsidRPr="003B6BB3">
        <w:rPr>
          <w:rStyle w:val="italicus"/>
          <w:i w:val="0"/>
        </w:rPr>
        <w:t>plus,</w:t>
      </w:r>
      <w:r w:rsidRPr="002C4077">
        <w:t xml:space="preserve"> </w:t>
      </w:r>
      <w:r w:rsidRPr="003B6BB3">
        <w:rPr>
          <w:rStyle w:val="italicus"/>
          <w:i w:val="0"/>
        </w:rPr>
        <w:t>un</w:t>
      </w:r>
      <w:r w:rsidRPr="002C4077">
        <w:t xml:space="preserve"> </w:t>
      </w:r>
      <w:r w:rsidRPr="003B6BB3">
        <w:rPr>
          <w:rStyle w:val="italicus"/>
          <w:i w:val="0"/>
        </w:rPr>
        <w:t>de</w:t>
      </w:r>
      <w:r w:rsidRPr="002C4077">
        <w:t xml:space="preserve"> </w:t>
      </w:r>
      <w:r w:rsidRPr="003B6BB3">
        <w:rPr>
          <w:rStyle w:val="italicus"/>
          <w:i w:val="0"/>
        </w:rPr>
        <w:t>moins,</w:t>
      </w:r>
      <w:r w:rsidRPr="002C4077">
        <w:t xml:space="preserve"> </w:t>
      </w:r>
      <w:r w:rsidRPr="003B6BB3">
        <w:rPr>
          <w:rStyle w:val="italicus"/>
          <w:i w:val="0"/>
        </w:rPr>
        <w:t>qu</w:t>
      </w:r>
      <w:r>
        <w:rPr>
          <w:rStyle w:val="italicus"/>
          <w:i w:val="0"/>
        </w:rPr>
        <w:t>’</w:t>
      </w:r>
      <w:r w:rsidRPr="003B6BB3">
        <w:rPr>
          <w:rStyle w:val="italicus"/>
          <w:i w:val="0"/>
        </w:rPr>
        <w:t>importe</w:t>
      </w:r>
      <w:r w:rsidR="00B546AF">
        <w:rPr>
          <w:rStyle w:val="italicus"/>
          <w:i w:val="0"/>
        </w:rPr>
        <w:t> </w:t>
      </w:r>
      <w:r w:rsidR="00B546AF" w:rsidRPr="003B6BB3">
        <w:rPr>
          <w:rStyle w:val="italicus"/>
          <w:i w:val="0"/>
        </w:rPr>
        <w:t>?</w:t>
      </w:r>
      <w:r w:rsidRPr="002C4077">
        <w:t xml:space="preserve"> </w:t>
      </w:r>
      <w:r w:rsidRPr="003B6BB3">
        <w:rPr>
          <w:rStyle w:val="italicus"/>
          <w:i w:val="0"/>
        </w:rPr>
        <w:t>Poursuivons.</w:t>
      </w:r>
      <w:r w:rsidRPr="002C4077">
        <w:t xml:space="preserve"> </w:t>
      </w:r>
      <w:r w:rsidR="00B546AF">
        <w:rPr>
          <w:rStyle w:val="italicus"/>
          <w:i w:val="0"/>
        </w:rPr>
        <w:t>« </w:t>
      </w:r>
      <w:r w:rsidRPr="003B6BB3">
        <w:rPr>
          <w:rStyle w:val="italicus"/>
          <w:i w:val="0"/>
        </w:rPr>
        <w:t>Des</w:t>
      </w:r>
      <w:r w:rsidRPr="002C4077">
        <w:t xml:space="preserve"> </w:t>
      </w:r>
      <w:r w:rsidRPr="003B6BB3">
        <w:rPr>
          <w:rStyle w:val="italicus"/>
          <w:i w:val="0"/>
        </w:rPr>
        <w:t>deux</w:t>
      </w:r>
      <w:r w:rsidRPr="002C4077">
        <w:t xml:space="preserve"> </w:t>
      </w:r>
      <w:r w:rsidRPr="003B6BB3">
        <w:rPr>
          <w:rStyle w:val="italicus"/>
          <w:i w:val="0"/>
        </w:rPr>
        <w:t>épîtres</w:t>
      </w:r>
      <w:r w:rsidRPr="002C4077">
        <w:t xml:space="preserve"> </w:t>
      </w:r>
      <w:r w:rsidRPr="003B6BB3">
        <w:rPr>
          <w:rStyle w:val="italicus"/>
          <w:i w:val="0"/>
        </w:rPr>
        <w:t>qui</w:t>
      </w:r>
      <w:r w:rsidRPr="002C4077">
        <w:t xml:space="preserve"> </w:t>
      </w:r>
      <w:r w:rsidRPr="003B6BB3">
        <w:rPr>
          <w:rStyle w:val="italicus"/>
          <w:i w:val="0"/>
        </w:rPr>
        <w:t>portent</w:t>
      </w:r>
      <w:r w:rsidRPr="002C4077">
        <w:t xml:space="preserve"> </w:t>
      </w:r>
      <w:r w:rsidRPr="003B6BB3">
        <w:rPr>
          <w:rStyle w:val="italicus"/>
          <w:i w:val="0"/>
        </w:rPr>
        <w:t>le</w:t>
      </w:r>
      <w:r w:rsidRPr="002C4077">
        <w:t xml:space="preserve"> </w:t>
      </w:r>
      <w:r w:rsidRPr="003B6BB3">
        <w:rPr>
          <w:rStyle w:val="italicus"/>
          <w:i w:val="0"/>
        </w:rPr>
        <w:t>nom</w:t>
      </w:r>
      <w:r w:rsidRPr="002C4077">
        <w:t xml:space="preserve"> </w:t>
      </w:r>
      <w:r w:rsidRPr="003B6BB3">
        <w:rPr>
          <w:rStyle w:val="italicus"/>
          <w:i w:val="0"/>
        </w:rPr>
        <w:t>de</w:t>
      </w:r>
      <w:r w:rsidRPr="002C4077">
        <w:t xml:space="preserve"> </w:t>
      </w:r>
      <w:r w:rsidRPr="003B6BB3">
        <w:rPr>
          <w:rStyle w:val="italicus"/>
          <w:i w:val="0"/>
        </w:rPr>
        <w:t>l</w:t>
      </w:r>
      <w:r>
        <w:rPr>
          <w:rStyle w:val="italicus"/>
          <w:i w:val="0"/>
        </w:rPr>
        <w:t>’</w:t>
      </w:r>
      <w:r w:rsidRPr="003B6BB3">
        <w:rPr>
          <w:rStyle w:val="italicus"/>
          <w:i w:val="0"/>
        </w:rPr>
        <w:t>apôtre</w:t>
      </w:r>
      <w:r w:rsidRPr="002C4077">
        <w:t xml:space="preserve"> </w:t>
      </w:r>
      <w:r w:rsidRPr="003B6BB3">
        <w:rPr>
          <w:rStyle w:val="italicus"/>
          <w:i w:val="0"/>
        </w:rPr>
        <w:t>saint</w:t>
      </w:r>
      <w:r w:rsidRPr="002C4077">
        <w:t xml:space="preserve"> </w:t>
      </w:r>
      <w:r w:rsidRPr="003B6BB3">
        <w:rPr>
          <w:rStyle w:val="italicus"/>
          <w:i w:val="0"/>
        </w:rPr>
        <w:t>Pierre,</w:t>
      </w:r>
      <w:r w:rsidRPr="002C4077">
        <w:t xml:space="preserve"> </w:t>
      </w:r>
      <w:r w:rsidRPr="003B6BB3">
        <w:rPr>
          <w:rStyle w:val="italicus"/>
          <w:i w:val="0"/>
        </w:rPr>
        <w:t>la</w:t>
      </w:r>
      <w:r w:rsidRPr="002C4077">
        <w:t xml:space="preserve"> </w:t>
      </w:r>
      <w:r w:rsidRPr="003B6BB3">
        <w:rPr>
          <w:rStyle w:val="italicus"/>
          <w:i w:val="0"/>
        </w:rPr>
        <w:t>seconde</w:t>
      </w:r>
      <w:r w:rsidRPr="002C4077">
        <w:t xml:space="preserve"> </w:t>
      </w:r>
      <w:r w:rsidR="00425C50">
        <w:rPr>
          <w:rStyle w:val="italicus"/>
          <w:i w:val="0"/>
        </w:rPr>
        <w:t>est</w:t>
      </w:r>
      <w:r w:rsidRPr="002C4077">
        <w:t xml:space="preserve"> </w:t>
      </w:r>
      <w:r w:rsidRPr="003B6BB3">
        <w:rPr>
          <w:rStyle w:val="italicus"/>
          <w:i w:val="0"/>
        </w:rPr>
        <w:t>condamnée</w:t>
      </w:r>
      <w:r w:rsidRPr="002C4077">
        <w:t xml:space="preserve"> </w:t>
      </w:r>
      <w:r w:rsidRPr="003B6BB3">
        <w:rPr>
          <w:rStyle w:val="italicus"/>
          <w:i w:val="0"/>
        </w:rPr>
        <w:t>depuis</w:t>
      </w:r>
      <w:r w:rsidRPr="002C4077">
        <w:t xml:space="preserve"> </w:t>
      </w:r>
      <w:r w:rsidRPr="003B6BB3">
        <w:rPr>
          <w:rStyle w:val="italicus"/>
          <w:i w:val="0"/>
        </w:rPr>
        <w:t>longtemps.</w:t>
      </w:r>
      <w:r w:rsidR="00C45B47">
        <w:t xml:space="preserve"> {</w:t>
      </w:r>
      <w:r w:rsidR="00B53529">
        <w:t>153</w:t>
      </w:r>
      <w:bookmarkStart w:id="413" w:name="p153"/>
      <w:bookmarkEnd w:id="413"/>
      <w:r w:rsidR="00B53529">
        <w:t xml:space="preserve">} </w:t>
      </w:r>
      <w:r w:rsidRPr="003B6BB3">
        <w:rPr>
          <w:rStyle w:val="italicus"/>
          <w:i w:val="0"/>
        </w:rPr>
        <w:t>On</w:t>
      </w:r>
      <w:r w:rsidRPr="002C4077">
        <w:t xml:space="preserve"> </w:t>
      </w:r>
      <w:r w:rsidRPr="003B6BB3">
        <w:rPr>
          <w:rStyle w:val="italicus"/>
          <w:i w:val="0"/>
        </w:rPr>
        <w:t>s</w:t>
      </w:r>
      <w:r>
        <w:rPr>
          <w:rStyle w:val="italicus"/>
          <w:i w:val="0"/>
        </w:rPr>
        <w:t>’</w:t>
      </w:r>
      <w:r w:rsidRPr="003B6BB3">
        <w:rPr>
          <w:rStyle w:val="italicus"/>
          <w:i w:val="0"/>
        </w:rPr>
        <w:t>accorde</w:t>
      </w:r>
      <w:r w:rsidRPr="002C4077">
        <w:t xml:space="preserve"> </w:t>
      </w:r>
      <w:r w:rsidRPr="003B6BB3">
        <w:rPr>
          <w:rStyle w:val="italicus"/>
          <w:i w:val="0"/>
        </w:rPr>
        <w:t>à</w:t>
      </w:r>
      <w:r w:rsidRPr="002C4077">
        <w:t xml:space="preserve"> </w:t>
      </w:r>
      <w:r w:rsidRPr="003B6BB3">
        <w:rPr>
          <w:rStyle w:val="italicus"/>
          <w:i w:val="0"/>
        </w:rPr>
        <w:t>en</w:t>
      </w:r>
      <w:r w:rsidRPr="002C4077">
        <w:t xml:space="preserve"> </w:t>
      </w:r>
      <w:r w:rsidRPr="003B6BB3">
        <w:rPr>
          <w:rStyle w:val="italicus"/>
          <w:i w:val="0"/>
        </w:rPr>
        <w:t>placer</w:t>
      </w:r>
      <w:r w:rsidRPr="002C4077">
        <w:t xml:space="preserve"> </w:t>
      </w:r>
      <w:r w:rsidRPr="003B6BB3">
        <w:rPr>
          <w:rStyle w:val="italicus"/>
          <w:i w:val="0"/>
        </w:rPr>
        <w:t>la</w:t>
      </w:r>
      <w:r w:rsidRPr="002C4077">
        <w:t xml:space="preserve"> </w:t>
      </w:r>
      <w:r w:rsidRPr="003B6BB3">
        <w:rPr>
          <w:rStyle w:val="italicus"/>
          <w:i w:val="0"/>
        </w:rPr>
        <w:t>composition</w:t>
      </w:r>
      <w:r w:rsidRPr="002C4077">
        <w:t xml:space="preserve"> </w:t>
      </w:r>
      <w:r w:rsidRPr="003B6BB3">
        <w:rPr>
          <w:rStyle w:val="italicus"/>
          <w:i w:val="0"/>
        </w:rPr>
        <w:t>vers</w:t>
      </w:r>
      <w:r w:rsidRPr="002C4077">
        <w:t xml:space="preserve"> </w:t>
      </w:r>
      <w:r w:rsidRPr="003B6BB3">
        <w:rPr>
          <w:rStyle w:val="italicus"/>
          <w:i w:val="0"/>
        </w:rPr>
        <w:t>le</w:t>
      </w:r>
      <w:r w:rsidRPr="002C4077">
        <w:t xml:space="preserve"> </w:t>
      </w:r>
      <w:r w:rsidR="000A7AAB">
        <w:t>milieu</w:t>
      </w:r>
      <w:r w:rsidR="000A7AAB" w:rsidRPr="002C4077">
        <w:t xml:space="preserve"> </w:t>
      </w:r>
      <w:r w:rsidR="000A7AAB">
        <w:t>du</w:t>
      </w:r>
      <w:r w:rsidR="000A7AAB" w:rsidRPr="002C4077">
        <w:t xml:space="preserve"> </w:t>
      </w:r>
      <w:r w:rsidR="000A7AAB">
        <w:t>second</w:t>
      </w:r>
      <w:r w:rsidR="000A7AAB" w:rsidRPr="002C4077">
        <w:t xml:space="preserve"> </w:t>
      </w:r>
      <w:r w:rsidR="000A7AAB">
        <w:t>siècle.</w:t>
      </w:r>
      <w:r w:rsidR="000A7AAB" w:rsidRPr="002C4077">
        <w:t xml:space="preserve"> </w:t>
      </w:r>
      <w:r w:rsidR="000A7AAB">
        <w:t>Son</w:t>
      </w:r>
      <w:r w:rsidR="000A7AAB" w:rsidRPr="002C4077">
        <w:t xml:space="preserve"> </w:t>
      </w:r>
      <w:r w:rsidR="000A7AAB">
        <w:t>caractère</w:t>
      </w:r>
      <w:r w:rsidR="000A7AAB" w:rsidRPr="002C4077">
        <w:t xml:space="preserve"> </w:t>
      </w:r>
      <w:r w:rsidR="000A7AAB">
        <w:t>pseudonyme</w:t>
      </w:r>
      <w:r w:rsidR="000A7AAB" w:rsidRPr="002C4077">
        <w:t xml:space="preserve"> </w:t>
      </w:r>
      <w:r w:rsidR="000A7AAB">
        <w:t>ou</w:t>
      </w:r>
      <w:r w:rsidR="000A7AAB" w:rsidRPr="002C4077">
        <w:t xml:space="preserve"> </w:t>
      </w:r>
      <w:r w:rsidR="000A7AAB">
        <w:t>supposé</w:t>
      </w:r>
      <w:r w:rsidR="000A7AAB" w:rsidRPr="002C4077">
        <w:t xml:space="preserve"> </w:t>
      </w:r>
      <w:r w:rsidR="00425C50">
        <w:t>est</w:t>
      </w:r>
      <w:r w:rsidR="000A7AAB" w:rsidRPr="002C4077">
        <w:t xml:space="preserve"> </w:t>
      </w:r>
      <w:r w:rsidR="000A7AAB">
        <w:t>marqué</w:t>
      </w:r>
      <w:r w:rsidR="000A7AAB" w:rsidRPr="002C4077">
        <w:t xml:space="preserve"> </w:t>
      </w:r>
      <w:r w:rsidR="000A7AAB">
        <w:t>avec</w:t>
      </w:r>
      <w:r w:rsidR="000A7AAB" w:rsidRPr="002C4077">
        <w:t xml:space="preserve"> </w:t>
      </w:r>
      <w:r w:rsidR="000A7AAB">
        <w:t>tant</w:t>
      </w:r>
      <w:r w:rsidR="000A7AAB" w:rsidRPr="002C4077">
        <w:t xml:space="preserve"> </w:t>
      </w:r>
      <w:r w:rsidR="000A7AAB">
        <w:t>d’évidence</w:t>
      </w:r>
      <w:r w:rsidR="00B546AF">
        <w:t> !</w:t>
      </w:r>
      <w:r w:rsidR="00425C50">
        <w:t>…</w:t>
      </w:r>
      <w:r w:rsidR="000A7AAB" w:rsidRPr="002C4077">
        <w:t xml:space="preserve"> </w:t>
      </w:r>
      <w:r w:rsidR="000A7AAB">
        <w:t>La</w:t>
      </w:r>
      <w:r w:rsidR="000A7AAB" w:rsidRPr="002C4077">
        <w:t xml:space="preserve"> </w:t>
      </w:r>
      <w:r w:rsidR="000A7AAB">
        <w:t>première,</w:t>
      </w:r>
      <w:r w:rsidR="000A7AAB" w:rsidRPr="002C4077">
        <w:t xml:space="preserve"> </w:t>
      </w:r>
      <w:r w:rsidR="000A7AAB">
        <w:t>sans</w:t>
      </w:r>
      <w:r w:rsidR="000A7AAB" w:rsidRPr="002C4077">
        <w:t xml:space="preserve"> </w:t>
      </w:r>
      <w:r w:rsidR="000A7AAB">
        <w:t>présenter</w:t>
      </w:r>
      <w:r w:rsidR="000A7AAB" w:rsidRPr="002C4077">
        <w:t xml:space="preserve"> </w:t>
      </w:r>
      <w:r w:rsidR="000A7AAB">
        <w:t>des</w:t>
      </w:r>
      <w:r w:rsidR="000A7AAB" w:rsidRPr="002C4077">
        <w:t xml:space="preserve"> </w:t>
      </w:r>
      <w:r w:rsidR="000A7AAB">
        <w:t>caractères</w:t>
      </w:r>
      <w:r w:rsidR="000A7AAB" w:rsidRPr="002C4077">
        <w:t xml:space="preserve"> </w:t>
      </w:r>
      <w:r w:rsidR="000A7AAB">
        <w:t>aussi</w:t>
      </w:r>
      <w:r w:rsidR="000A7AAB" w:rsidRPr="002C4077">
        <w:t xml:space="preserve"> </w:t>
      </w:r>
      <w:r w:rsidR="000A7AAB">
        <w:t>évidents</w:t>
      </w:r>
      <w:r w:rsidR="000A7AAB" w:rsidRPr="002C4077">
        <w:t xml:space="preserve"> </w:t>
      </w:r>
      <w:r w:rsidR="000A7AAB">
        <w:t>d’ina</w:t>
      </w:r>
      <w:r w:rsidR="001730C6">
        <w:t>ut</w:t>
      </w:r>
      <w:r w:rsidR="000A7AAB">
        <w:t>henticité,</w:t>
      </w:r>
      <w:r w:rsidR="000A7AAB" w:rsidRPr="002C4077">
        <w:t xml:space="preserve"> </w:t>
      </w:r>
      <w:r w:rsidR="000A7AAB">
        <w:t>doit</w:t>
      </w:r>
      <w:r w:rsidR="000A7AAB" w:rsidRPr="002C4077">
        <w:t xml:space="preserve"> </w:t>
      </w:r>
      <w:r w:rsidR="000A7AAB">
        <w:t>être</w:t>
      </w:r>
      <w:r w:rsidR="000A7AAB" w:rsidRPr="002C4077">
        <w:t xml:space="preserve"> </w:t>
      </w:r>
      <w:r w:rsidR="000A7AAB">
        <w:t>également</w:t>
      </w:r>
      <w:r w:rsidR="000A7AAB" w:rsidRPr="002C4077">
        <w:t xml:space="preserve"> </w:t>
      </w:r>
      <w:r w:rsidR="000A7AAB">
        <w:t>abandonnée</w:t>
      </w:r>
      <w:r w:rsidR="00B91AF7">
        <w:rPr>
          <w:rStyle w:val="Appelnotedebasdep"/>
        </w:rPr>
        <w:footnoteReference w:id="474"/>
      </w:r>
      <w:r w:rsidR="00B546AF">
        <w:t> »</w:t>
      </w:r>
      <w:r w:rsidR="000A7AAB">
        <w:t>.</w:t>
      </w:r>
      <w:r w:rsidR="000A7AAB" w:rsidRPr="002C4077">
        <w:t xml:space="preserve"> </w:t>
      </w:r>
      <w:r w:rsidR="000A7AAB">
        <w:t>Prenon</w:t>
      </w:r>
      <w:r w:rsidR="001730C6">
        <w:t>s</w:t>
      </w:r>
      <w:r w:rsidR="00CA718A">
        <w:t>-</w:t>
      </w:r>
      <w:r w:rsidR="001730C6">
        <w:t>e</w:t>
      </w:r>
      <w:r w:rsidR="000A7AAB">
        <w:t>n</w:t>
      </w:r>
      <w:r w:rsidR="000A7AAB" w:rsidRPr="002C4077">
        <w:t xml:space="preserve"> </w:t>
      </w:r>
      <w:r w:rsidR="000A7AAB">
        <w:t>notre</w:t>
      </w:r>
      <w:r w:rsidR="000A7AAB" w:rsidRPr="002C4077">
        <w:t xml:space="preserve"> </w:t>
      </w:r>
      <w:r w:rsidR="000A7AAB">
        <w:t>parti,</w:t>
      </w:r>
      <w:r w:rsidR="000A7AAB" w:rsidRPr="002C4077">
        <w:t xml:space="preserve"> </w:t>
      </w:r>
      <w:r w:rsidR="000A7AAB">
        <w:t>car</w:t>
      </w:r>
      <w:r w:rsidR="000A7AAB" w:rsidRPr="002C4077">
        <w:t xml:space="preserve"> </w:t>
      </w:r>
      <w:r w:rsidR="00B546AF">
        <w:t>« </w:t>
      </w:r>
      <w:r w:rsidR="000A7AAB">
        <w:t>son</w:t>
      </w:r>
      <w:r w:rsidR="000A7AAB" w:rsidRPr="002C4077">
        <w:t xml:space="preserve"> </w:t>
      </w:r>
      <w:r w:rsidR="000A7AAB">
        <w:t>style</w:t>
      </w:r>
      <w:r w:rsidR="000A7AAB" w:rsidRPr="002C4077">
        <w:t xml:space="preserve"> </w:t>
      </w:r>
      <w:r w:rsidR="00425C50">
        <w:t>est</w:t>
      </w:r>
      <w:r w:rsidR="000A7AAB" w:rsidRPr="002C4077">
        <w:t xml:space="preserve"> </w:t>
      </w:r>
      <w:r w:rsidR="000A7AAB">
        <w:t>déplorable</w:t>
      </w:r>
      <w:r w:rsidR="00B546AF">
        <w:t> »</w:t>
      </w:r>
      <w:r w:rsidR="000A7AAB">
        <w:t>.</w:t>
      </w:r>
      <w:r w:rsidR="000A7AAB" w:rsidRPr="002C4077">
        <w:t xml:space="preserve"> </w:t>
      </w:r>
    </w:p>
    <w:p w:rsidR="000A7AAB" w:rsidRDefault="000A7AAB" w:rsidP="000A7AAB">
      <w:r>
        <w:t>Quant</w:t>
      </w:r>
      <w:r w:rsidRPr="002C4077">
        <w:t xml:space="preserve"> </w:t>
      </w:r>
      <w:r>
        <w:t>à</w:t>
      </w:r>
      <w:r w:rsidRPr="002C4077">
        <w:t xml:space="preserve"> </w:t>
      </w:r>
      <w:r w:rsidR="00B546AF">
        <w:t>« </w:t>
      </w:r>
      <w:r>
        <w:t>la</w:t>
      </w:r>
      <w:r w:rsidRPr="002C4077">
        <w:t xml:space="preserve"> </w:t>
      </w:r>
      <w:r>
        <w:t>courte</w:t>
      </w:r>
      <w:r w:rsidRPr="002C4077">
        <w:t xml:space="preserve"> </w:t>
      </w:r>
      <w:r>
        <w:t>épître</w:t>
      </w:r>
      <w:r w:rsidRPr="002C4077">
        <w:t xml:space="preserve"> </w:t>
      </w:r>
      <w:r>
        <w:t>de</w:t>
      </w:r>
      <w:r w:rsidRPr="002C4077">
        <w:t xml:space="preserve"> </w:t>
      </w:r>
      <w:r>
        <w:t>Jude…,</w:t>
      </w:r>
      <w:r w:rsidRPr="002C4077">
        <w:t xml:space="preserve"> </w:t>
      </w:r>
      <w:r>
        <w:t>elle</w:t>
      </w:r>
      <w:r w:rsidRPr="002C4077">
        <w:t xml:space="preserve"> </w:t>
      </w:r>
      <w:r>
        <w:t>doit</w:t>
      </w:r>
      <w:r w:rsidRPr="002C4077">
        <w:t xml:space="preserve"> </w:t>
      </w:r>
      <w:r>
        <w:t>être</w:t>
      </w:r>
      <w:r w:rsidRPr="002C4077">
        <w:t xml:space="preserve"> </w:t>
      </w:r>
      <w:r>
        <w:t>rangée</w:t>
      </w:r>
      <w:r w:rsidRPr="002C4077">
        <w:t xml:space="preserve"> </w:t>
      </w:r>
      <w:r>
        <w:t>sans</w:t>
      </w:r>
      <w:r w:rsidRPr="002C4077">
        <w:t xml:space="preserve"> </w:t>
      </w:r>
      <w:r>
        <w:t>contestation</w:t>
      </w:r>
      <w:r w:rsidRPr="002C4077">
        <w:t xml:space="preserve"> </w:t>
      </w:r>
      <w:r>
        <w:t>dans</w:t>
      </w:r>
      <w:r w:rsidRPr="002C4077">
        <w:t xml:space="preserve"> </w:t>
      </w:r>
      <w:r>
        <w:t>la</w:t>
      </w:r>
      <w:r w:rsidRPr="002C4077">
        <w:t xml:space="preserve"> </w:t>
      </w:r>
      <w:r>
        <w:t>catégorie</w:t>
      </w:r>
      <w:r w:rsidRPr="002C4077">
        <w:t xml:space="preserve"> </w:t>
      </w:r>
      <w:r>
        <w:t>des</w:t>
      </w:r>
      <w:r w:rsidRPr="002C4077">
        <w:t xml:space="preserve"> </w:t>
      </w:r>
      <w:r>
        <w:t>écrits</w:t>
      </w:r>
      <w:r w:rsidRPr="002C4077">
        <w:t xml:space="preserve"> </w:t>
      </w:r>
      <w:r>
        <w:t>supposés</w:t>
      </w:r>
      <w:r w:rsidRPr="002C4077">
        <w:t xml:space="preserve"> </w:t>
      </w:r>
      <w:r>
        <w:t>ou</w:t>
      </w:r>
      <w:r w:rsidRPr="002C4077">
        <w:t xml:space="preserve"> </w:t>
      </w:r>
      <w:r>
        <w:t>pseudépigraphes</w:t>
      </w:r>
      <w:r w:rsidR="00B91AF7">
        <w:rPr>
          <w:rStyle w:val="Appelnotedebasdep"/>
        </w:rPr>
        <w:footnoteReference w:id="475"/>
      </w:r>
      <w:r w:rsidR="00B546AF">
        <w:t> »</w:t>
      </w:r>
      <w:r>
        <w:t>.</w:t>
      </w:r>
      <w:r w:rsidRPr="002C4077">
        <w:t xml:space="preserve"> </w:t>
      </w:r>
    </w:p>
    <w:p w:rsidR="000A7AAB" w:rsidRDefault="000A7AAB" w:rsidP="000A7AAB">
      <w:r>
        <w:t>Cet</w:t>
      </w:r>
      <w:r w:rsidRPr="002C4077">
        <w:t xml:space="preserve"> </w:t>
      </w:r>
      <w:r>
        <w:t>abandon</w:t>
      </w:r>
      <w:r w:rsidRPr="002C4077">
        <w:t xml:space="preserve"> </w:t>
      </w:r>
      <w:r>
        <w:t>a</w:t>
      </w:r>
      <w:r w:rsidRPr="002C4077">
        <w:t xml:space="preserve"> </w:t>
      </w:r>
      <w:r>
        <w:t>lieu,</w:t>
      </w:r>
      <w:r w:rsidRPr="002C4077">
        <w:t xml:space="preserve"> </w:t>
      </w:r>
      <w:r>
        <w:t>sans</w:t>
      </w:r>
      <w:r w:rsidRPr="002C4077">
        <w:t xml:space="preserve"> </w:t>
      </w:r>
      <w:r>
        <w:t>doute,</w:t>
      </w:r>
      <w:r w:rsidRPr="002C4077">
        <w:t xml:space="preserve"> </w:t>
      </w:r>
      <w:r>
        <w:t>en</w:t>
      </w:r>
      <w:r w:rsidRPr="002C4077">
        <w:t xml:space="preserve"> </w:t>
      </w:r>
      <w:r>
        <w:t>vertu</w:t>
      </w:r>
      <w:r w:rsidRPr="002C4077">
        <w:t xml:space="preserve"> </w:t>
      </w:r>
      <w:r>
        <w:t>du</w:t>
      </w:r>
      <w:r w:rsidRPr="002C4077">
        <w:t xml:space="preserve"> </w:t>
      </w:r>
      <w:r>
        <w:t>principe</w:t>
      </w:r>
      <w:r w:rsidR="00B546AF">
        <w:t> :</w:t>
      </w:r>
      <w:r w:rsidRPr="002C4077">
        <w:t xml:space="preserve"> </w:t>
      </w:r>
      <w:r w:rsidR="003B53FD" w:rsidRPr="000A34B5">
        <w:rPr>
          <w:rStyle w:val="italicus"/>
        </w:rPr>
        <w:t>P</w:t>
      </w:r>
      <w:r w:rsidR="003B53FD">
        <w:rPr>
          <w:rStyle w:val="italicus"/>
        </w:rPr>
        <w:t>arum</w:t>
      </w:r>
      <w:r w:rsidRPr="002C4077">
        <w:t xml:space="preserve"> </w:t>
      </w:r>
      <w:r w:rsidRPr="000A34B5">
        <w:rPr>
          <w:rStyle w:val="italicus"/>
        </w:rPr>
        <w:t>pro</w:t>
      </w:r>
      <w:r w:rsidRPr="002C4077">
        <w:t xml:space="preserve"> </w:t>
      </w:r>
      <w:r w:rsidRPr="000A34B5">
        <w:rPr>
          <w:rStyle w:val="italicus"/>
        </w:rPr>
        <w:t>nihilo</w:t>
      </w:r>
      <w:r w:rsidRPr="002C4077">
        <w:t xml:space="preserve"> </w:t>
      </w:r>
      <w:r w:rsidRPr="000A34B5">
        <w:rPr>
          <w:rStyle w:val="italicus"/>
        </w:rPr>
        <w:t>re</w:t>
      </w:r>
      <w:r w:rsidR="003B53FD" w:rsidRPr="000A34B5">
        <w:rPr>
          <w:rStyle w:val="italicus"/>
        </w:rPr>
        <w:t>put</w:t>
      </w:r>
      <w:r w:rsidR="003B53FD">
        <w:rPr>
          <w:rStyle w:val="italicus"/>
        </w:rPr>
        <w:t>á</w:t>
      </w:r>
      <w:r w:rsidR="003B53FD" w:rsidRPr="000A34B5">
        <w:rPr>
          <w:rStyle w:val="italicus"/>
        </w:rPr>
        <w:t>tur</w:t>
      </w:r>
      <w:r w:rsidRPr="000A34B5">
        <w:rPr>
          <w:rStyle w:val="italicus"/>
        </w:rPr>
        <w:t>.</w:t>
      </w:r>
      <w:r w:rsidRPr="002C4077">
        <w:t xml:space="preserve"> </w:t>
      </w:r>
    </w:p>
    <w:p w:rsidR="000A7AAB" w:rsidRDefault="000A7AAB" w:rsidP="000A7AAB">
      <w:r>
        <w:t>Restent</w:t>
      </w:r>
      <w:r w:rsidRPr="002C4077">
        <w:t xml:space="preserve"> </w:t>
      </w:r>
      <w:r>
        <w:t>les</w:t>
      </w:r>
      <w:r w:rsidRPr="002C4077">
        <w:t xml:space="preserve"> </w:t>
      </w:r>
      <w:r>
        <w:t>épîtres</w:t>
      </w:r>
      <w:r w:rsidRPr="002C4077">
        <w:t xml:space="preserve"> </w:t>
      </w:r>
      <w:r>
        <w:t>de</w:t>
      </w:r>
      <w:r w:rsidRPr="002C4077">
        <w:t xml:space="preserve"> </w:t>
      </w:r>
      <w:r>
        <w:t>saint</w:t>
      </w:r>
      <w:r w:rsidRPr="002C4077">
        <w:t xml:space="preserve"> </w:t>
      </w:r>
      <w:r>
        <w:t>Jean.</w:t>
      </w:r>
      <w:r w:rsidRPr="002C4077">
        <w:t xml:space="preserve"> </w:t>
      </w:r>
      <w:r>
        <w:t>Deux</w:t>
      </w:r>
      <w:r w:rsidRPr="002C4077">
        <w:t xml:space="preserve"> </w:t>
      </w:r>
      <w:r>
        <w:t>lignes</w:t>
      </w:r>
      <w:r w:rsidRPr="002C4077">
        <w:t xml:space="preserve"> </w:t>
      </w:r>
      <w:r>
        <w:t>suffisent</w:t>
      </w:r>
      <w:r w:rsidRPr="002C4077">
        <w:t xml:space="preserve"> </w:t>
      </w:r>
      <w:r>
        <w:t>pour</w:t>
      </w:r>
      <w:r w:rsidRPr="002C4077">
        <w:t xml:space="preserve"> </w:t>
      </w:r>
      <w:r>
        <w:t>l’énoncé</w:t>
      </w:r>
      <w:r w:rsidRPr="002C4077">
        <w:t xml:space="preserve"> </w:t>
      </w:r>
      <w:r>
        <w:t>de</w:t>
      </w:r>
      <w:r w:rsidRPr="002C4077">
        <w:t xml:space="preserve"> </w:t>
      </w:r>
      <w:r>
        <w:t>leur</w:t>
      </w:r>
      <w:r w:rsidRPr="002C4077">
        <w:t xml:space="preserve"> </w:t>
      </w:r>
      <w:r>
        <w:t>sentence</w:t>
      </w:r>
      <w:r w:rsidR="00B546AF">
        <w:t> :</w:t>
      </w:r>
      <w:r w:rsidRPr="002C4077">
        <w:t xml:space="preserve"> </w:t>
      </w:r>
      <w:r w:rsidR="00B546AF">
        <w:t>« </w:t>
      </w:r>
      <w:r>
        <w:t>Les</w:t>
      </w:r>
      <w:r w:rsidRPr="002C4077">
        <w:t xml:space="preserve"> </w:t>
      </w:r>
      <w:r>
        <w:t>trois</w:t>
      </w:r>
      <w:r w:rsidRPr="002C4077">
        <w:t xml:space="preserve"> </w:t>
      </w:r>
      <w:r>
        <w:t>épîtres</w:t>
      </w:r>
      <w:r w:rsidRPr="002C4077">
        <w:t xml:space="preserve"> </w:t>
      </w:r>
      <w:r>
        <w:t>de</w:t>
      </w:r>
      <w:r w:rsidRPr="002C4077">
        <w:t xml:space="preserve"> </w:t>
      </w:r>
      <w:r>
        <w:t>saint</w:t>
      </w:r>
      <w:r w:rsidRPr="002C4077">
        <w:t xml:space="preserve"> </w:t>
      </w:r>
      <w:r>
        <w:t>Jean,</w:t>
      </w:r>
      <w:r w:rsidRPr="002C4077">
        <w:t xml:space="preserve"> </w:t>
      </w:r>
      <w:r>
        <w:t>dont</w:t>
      </w:r>
      <w:r w:rsidRPr="002C4077">
        <w:t xml:space="preserve"> </w:t>
      </w:r>
      <w:r>
        <w:t>la</w:t>
      </w:r>
      <w:r w:rsidRPr="002C4077">
        <w:t xml:space="preserve"> </w:t>
      </w:r>
      <w:r>
        <w:t>première</w:t>
      </w:r>
      <w:r w:rsidRPr="002C4077">
        <w:t xml:space="preserve"> </w:t>
      </w:r>
      <w:r>
        <w:t>seule</w:t>
      </w:r>
      <w:r w:rsidRPr="002C4077">
        <w:t xml:space="preserve"> </w:t>
      </w:r>
      <w:r>
        <w:t>a</w:t>
      </w:r>
      <w:r w:rsidRPr="002C4077">
        <w:t xml:space="preserve"> </w:t>
      </w:r>
      <w:r>
        <w:t>quelque</w:t>
      </w:r>
      <w:r w:rsidRPr="002C4077">
        <w:t xml:space="preserve"> </w:t>
      </w:r>
      <w:r>
        <w:t>importance,</w:t>
      </w:r>
      <w:r w:rsidRPr="002C4077">
        <w:t xml:space="preserve"> </w:t>
      </w:r>
      <w:r>
        <w:t>sont</w:t>
      </w:r>
      <w:r w:rsidRPr="002C4077">
        <w:t xml:space="preserve"> </w:t>
      </w:r>
      <w:r>
        <w:t>nées</w:t>
      </w:r>
      <w:r w:rsidRPr="002C4077">
        <w:t xml:space="preserve"> </w:t>
      </w:r>
      <w:r>
        <w:t>dans</w:t>
      </w:r>
      <w:r w:rsidRPr="002C4077">
        <w:t xml:space="preserve"> </w:t>
      </w:r>
      <w:r>
        <w:t>le</w:t>
      </w:r>
      <w:r w:rsidRPr="002C4077">
        <w:t xml:space="preserve"> </w:t>
      </w:r>
      <w:r>
        <w:t>même</w:t>
      </w:r>
      <w:r w:rsidRPr="002C4077">
        <w:t xml:space="preserve"> </w:t>
      </w:r>
      <w:r>
        <w:t>milieu</w:t>
      </w:r>
      <w:r w:rsidRPr="002C4077">
        <w:t xml:space="preserve"> </w:t>
      </w:r>
      <w:r>
        <w:t>que</w:t>
      </w:r>
      <w:r w:rsidRPr="002C4077">
        <w:t xml:space="preserve"> </w:t>
      </w:r>
      <w:r w:rsidR="0075326F">
        <w:t>l’Évangile</w:t>
      </w:r>
      <w:r w:rsidR="0075326F">
        <w:rPr>
          <w:rStyle w:val="Appelnotedebasdep"/>
        </w:rPr>
        <w:footnoteReference w:id="476"/>
      </w:r>
      <w:r w:rsidR="00B546AF">
        <w:t> »</w:t>
      </w:r>
      <w:r>
        <w:t>.</w:t>
      </w:r>
      <w:r w:rsidRPr="002C4077">
        <w:t xml:space="preserve"> </w:t>
      </w:r>
      <w:r>
        <w:t>Comme</w:t>
      </w:r>
      <w:r w:rsidRPr="002C4077">
        <w:t xml:space="preserve"> </w:t>
      </w:r>
      <w:r>
        <w:t>l’Évangile,</w:t>
      </w:r>
      <w:r w:rsidRPr="002C4077">
        <w:t xml:space="preserve"> </w:t>
      </w:r>
      <w:r>
        <w:t>elles</w:t>
      </w:r>
      <w:r w:rsidRPr="002C4077">
        <w:t xml:space="preserve"> </w:t>
      </w:r>
      <w:r>
        <w:t>sont</w:t>
      </w:r>
      <w:r w:rsidRPr="002C4077">
        <w:t xml:space="preserve"> </w:t>
      </w:r>
      <w:r>
        <w:t>par</w:t>
      </w:r>
      <w:r w:rsidRPr="002C4077">
        <w:t xml:space="preserve"> </w:t>
      </w:r>
      <w:r>
        <w:t>conséquent</w:t>
      </w:r>
      <w:r w:rsidRPr="002C4077">
        <w:t xml:space="preserve"> </w:t>
      </w:r>
      <w:r>
        <w:t>l’œuvre</w:t>
      </w:r>
      <w:r w:rsidRPr="002C4077">
        <w:t xml:space="preserve"> </w:t>
      </w:r>
      <w:r>
        <w:t>d’un</w:t>
      </w:r>
      <w:bookmarkStart w:id="414" w:name="z_EpitresCatholiques_o2"/>
      <w:bookmarkEnd w:id="414"/>
      <w:r w:rsidRPr="002C4077">
        <w:t xml:space="preserve"> </w:t>
      </w:r>
      <w:r>
        <w:t>faussaire.</w:t>
      </w:r>
      <w:r w:rsidRPr="002C4077">
        <w:t xml:space="preserve"> </w:t>
      </w:r>
    </w:p>
    <w:p w:rsidR="00B868F2" w:rsidRDefault="00B868F2" w:rsidP="003041FD"/>
    <w:p w:rsidR="003041FD" w:rsidRDefault="003041FD" w:rsidP="003041FD">
      <w:r>
        <w:t>5.</w:t>
      </w:r>
      <w:r w:rsidRPr="002C4077">
        <w:t xml:space="preserve"> </w:t>
      </w:r>
      <w:r w:rsidRPr="000A34B5">
        <w:rPr>
          <w:rStyle w:val="italicus"/>
        </w:rPr>
        <w:t>L’Apocalypse.</w:t>
      </w:r>
      <w:bookmarkStart w:id="415" w:name="z_Apocalypse_o1"/>
      <w:bookmarkEnd w:id="415"/>
      <w:r w:rsidRPr="002C4077">
        <w:t xml:space="preserve"> </w:t>
      </w:r>
      <w:r>
        <w:t>—</w:t>
      </w:r>
      <w:r w:rsidRPr="002C4077">
        <w:t xml:space="preserve"> </w:t>
      </w:r>
      <w:r w:rsidR="00B546AF">
        <w:t>« </w:t>
      </w:r>
      <w:r>
        <w:t>Cet</w:t>
      </w:r>
      <w:r w:rsidRPr="002C4077">
        <w:t xml:space="preserve"> </w:t>
      </w:r>
      <w:r>
        <w:t>écrit</w:t>
      </w:r>
      <w:r w:rsidRPr="002C4077">
        <w:t xml:space="preserve"> </w:t>
      </w:r>
      <w:r>
        <w:t>a</w:t>
      </w:r>
      <w:r w:rsidRPr="002C4077">
        <w:t xml:space="preserve"> </w:t>
      </w:r>
      <w:r>
        <w:t>passé</w:t>
      </w:r>
      <w:r w:rsidRPr="002C4077">
        <w:t xml:space="preserve"> </w:t>
      </w:r>
      <w:r>
        <w:t>pendant</w:t>
      </w:r>
      <w:r w:rsidRPr="002C4077">
        <w:t xml:space="preserve"> </w:t>
      </w:r>
      <w:r>
        <w:t>longtemps</w:t>
      </w:r>
      <w:r w:rsidRPr="002C4077">
        <w:t xml:space="preserve"> </w:t>
      </w:r>
      <w:r>
        <w:t>pour</w:t>
      </w:r>
      <w:r w:rsidRPr="002C4077">
        <w:t xml:space="preserve"> </w:t>
      </w:r>
      <w:r>
        <w:t>un</w:t>
      </w:r>
      <w:r w:rsidRPr="002C4077">
        <w:t xml:space="preserve"> </w:t>
      </w:r>
      <w:r>
        <w:t>livre</w:t>
      </w:r>
      <w:r w:rsidRPr="002C4077">
        <w:t xml:space="preserve"> </w:t>
      </w:r>
      <w:r>
        <w:t>énigmatique</w:t>
      </w:r>
      <w:r w:rsidRPr="002C4077">
        <w:t xml:space="preserve"> </w:t>
      </w:r>
      <w:r>
        <w:t>et</w:t>
      </w:r>
      <w:r w:rsidRPr="002C4077">
        <w:t xml:space="preserve"> </w:t>
      </w:r>
      <w:r>
        <w:t>indéchiffrable</w:t>
      </w:r>
      <w:r>
        <w:rPr>
          <w:rStyle w:val="Appelnotedebasdep"/>
        </w:rPr>
        <w:footnoteReference w:id="477"/>
      </w:r>
      <w:r w:rsidR="00B546AF">
        <w:t> »</w:t>
      </w:r>
      <w:r>
        <w:t>.</w:t>
      </w:r>
      <w:r w:rsidRPr="002C4077">
        <w:t xml:space="preserve"> </w:t>
      </w:r>
      <w:r>
        <w:t>Il</w:t>
      </w:r>
      <w:r w:rsidRPr="002C4077">
        <w:t xml:space="preserve"> </w:t>
      </w:r>
      <w:r w:rsidR="00425C50">
        <w:t>est</w:t>
      </w:r>
      <w:r w:rsidRPr="002C4077">
        <w:t xml:space="preserve"> </w:t>
      </w:r>
      <w:r>
        <w:t>aujourd’hui</w:t>
      </w:r>
      <w:r w:rsidRPr="002C4077">
        <w:t xml:space="preserve"> </w:t>
      </w:r>
      <w:r w:rsidR="00B546AF">
        <w:t>« </w:t>
      </w:r>
      <w:r>
        <w:t>parfaitement</w:t>
      </w:r>
      <w:r w:rsidRPr="002C4077">
        <w:t xml:space="preserve"> </w:t>
      </w:r>
      <w:r>
        <w:t>clair</w:t>
      </w:r>
      <w:r w:rsidR="00B546AF">
        <w:t> :</w:t>
      </w:r>
      <w:r w:rsidRPr="002C4077">
        <w:t xml:space="preserve"> </w:t>
      </w:r>
      <w:r>
        <w:t>contenu,</w:t>
      </w:r>
      <w:r w:rsidRPr="002C4077">
        <w:t xml:space="preserve"> </w:t>
      </w:r>
      <w:r>
        <w:t>date,</w:t>
      </w:r>
      <w:r w:rsidRPr="002C4077">
        <w:t xml:space="preserve"> </w:t>
      </w:r>
      <w:r>
        <w:t>raison</w:t>
      </w:r>
      <w:r w:rsidRPr="002C4077">
        <w:t xml:space="preserve"> </w:t>
      </w:r>
      <w:r>
        <w:t>d’être,</w:t>
      </w:r>
      <w:r w:rsidRPr="002C4077">
        <w:t xml:space="preserve"> </w:t>
      </w:r>
      <w:r>
        <w:t>tout</w:t>
      </w:r>
      <w:r w:rsidRPr="002C4077">
        <w:t xml:space="preserve"> </w:t>
      </w:r>
      <w:r>
        <w:t>cela</w:t>
      </w:r>
      <w:r w:rsidRPr="002C4077">
        <w:t xml:space="preserve"> </w:t>
      </w:r>
      <w:r w:rsidR="00425C50">
        <w:t>est</w:t>
      </w:r>
      <w:r w:rsidRPr="002C4077">
        <w:t xml:space="preserve"> </w:t>
      </w:r>
      <w:r>
        <w:t>particulièrement</w:t>
      </w:r>
      <w:r w:rsidRPr="002C4077">
        <w:t xml:space="preserve"> </w:t>
      </w:r>
      <w:r>
        <w:t>connu</w:t>
      </w:r>
      <w:r w:rsidRPr="002C4077">
        <w:t xml:space="preserve"> </w:t>
      </w:r>
      <w:r>
        <w:t>et</w:t>
      </w:r>
      <w:r w:rsidRPr="002C4077">
        <w:t xml:space="preserve"> </w:t>
      </w:r>
      <w:r>
        <w:t>élucidé</w:t>
      </w:r>
      <w:r w:rsidR="00B546AF">
        <w:t> »</w:t>
      </w:r>
      <w:r>
        <w:t>.</w:t>
      </w:r>
      <w:r w:rsidRPr="002C4077">
        <w:t xml:space="preserve"> </w:t>
      </w:r>
    </w:p>
    <w:p w:rsidR="003041FD" w:rsidRDefault="003041FD" w:rsidP="003041FD">
      <w:r>
        <w:t>Rendons</w:t>
      </w:r>
      <w:r w:rsidRPr="002C4077">
        <w:t xml:space="preserve"> </w:t>
      </w:r>
      <w:r>
        <w:t>grâce</w:t>
      </w:r>
      <w:r w:rsidRPr="002C4077">
        <w:t xml:space="preserve"> </w:t>
      </w:r>
      <w:r>
        <w:t>à</w:t>
      </w:r>
      <w:r w:rsidRPr="002C4077">
        <w:t xml:space="preserve"> </w:t>
      </w:r>
      <w:r>
        <w:t>notre</w:t>
      </w:r>
      <w:r w:rsidRPr="002C4077">
        <w:t xml:space="preserve"> </w:t>
      </w:r>
      <w:r>
        <w:t>bienfaiteur</w:t>
      </w:r>
      <w:r w:rsidR="00B546AF">
        <w:t> !</w:t>
      </w:r>
      <w:r w:rsidRPr="002C4077">
        <w:t xml:space="preserve"> </w:t>
      </w:r>
      <w:r w:rsidR="00B546AF">
        <w:t>« </w:t>
      </w:r>
      <w:r>
        <w:t>Il</w:t>
      </w:r>
      <w:r w:rsidRPr="002C4077">
        <w:t xml:space="preserve"> </w:t>
      </w:r>
      <w:r>
        <w:t>n’est</w:t>
      </w:r>
      <w:r w:rsidRPr="002C4077">
        <w:t xml:space="preserve"> </w:t>
      </w:r>
      <w:r>
        <w:t>que</w:t>
      </w:r>
      <w:r w:rsidRPr="002C4077">
        <w:t xml:space="preserve"> </w:t>
      </w:r>
      <w:r>
        <w:t>juste</w:t>
      </w:r>
      <w:r w:rsidRPr="002C4077">
        <w:t xml:space="preserve"> </w:t>
      </w:r>
      <w:r>
        <w:t>de</w:t>
      </w:r>
      <w:r w:rsidRPr="002C4077">
        <w:t xml:space="preserve"> </w:t>
      </w:r>
      <w:r>
        <w:t>rappeler</w:t>
      </w:r>
      <w:r w:rsidRPr="002C4077">
        <w:t xml:space="preserve"> </w:t>
      </w:r>
      <w:r>
        <w:t>ici</w:t>
      </w:r>
      <w:r w:rsidRPr="002C4077">
        <w:t xml:space="preserve"> </w:t>
      </w:r>
      <w:r>
        <w:t>que</w:t>
      </w:r>
      <w:r w:rsidRPr="002C4077">
        <w:t xml:space="preserve"> </w:t>
      </w:r>
      <w:r>
        <w:t>M.</w:t>
      </w:r>
      <w:r w:rsidRPr="002C4077">
        <w:t xml:space="preserve"> </w:t>
      </w:r>
      <w:r>
        <w:t>Reuss</w:t>
      </w:r>
      <w:r w:rsidRPr="002C4077">
        <w:t xml:space="preserve"> </w:t>
      </w:r>
      <w:r>
        <w:t>n’a</w:t>
      </w:r>
      <w:r w:rsidRPr="002C4077">
        <w:t xml:space="preserve"> </w:t>
      </w:r>
      <w:r>
        <w:t>pas</w:t>
      </w:r>
      <w:r w:rsidRPr="002C4077">
        <w:t xml:space="preserve"> </w:t>
      </w:r>
      <w:r>
        <w:t>peu</w:t>
      </w:r>
      <w:r w:rsidRPr="002C4077">
        <w:t xml:space="preserve"> </w:t>
      </w:r>
      <w:r>
        <w:t>contribué</w:t>
      </w:r>
      <w:r w:rsidRPr="002C4077">
        <w:t xml:space="preserve"> </w:t>
      </w:r>
      <w:r>
        <w:t>à</w:t>
      </w:r>
      <w:r w:rsidRPr="002C4077">
        <w:t xml:space="preserve"> </w:t>
      </w:r>
      <w:r>
        <w:t>résoudre</w:t>
      </w:r>
      <w:r w:rsidRPr="002C4077">
        <w:t xml:space="preserve"> </w:t>
      </w:r>
      <w:r>
        <w:t>l’énigme</w:t>
      </w:r>
      <w:r w:rsidRPr="002C4077">
        <w:t xml:space="preserve"> </w:t>
      </w:r>
      <w:r>
        <w:t>de</w:t>
      </w:r>
      <w:r w:rsidRPr="002C4077">
        <w:t xml:space="preserve"> </w:t>
      </w:r>
      <w:r>
        <w:t>l’Apocalypse</w:t>
      </w:r>
      <w:r w:rsidRPr="002C4077">
        <w:t xml:space="preserve"> </w:t>
      </w:r>
      <w:r>
        <w:t>chrétienne</w:t>
      </w:r>
      <w:r>
        <w:rPr>
          <w:rStyle w:val="Appelnotedebasdep"/>
        </w:rPr>
        <w:footnoteReference w:id="478"/>
      </w:r>
      <w:r w:rsidR="00B546AF">
        <w:t> »</w:t>
      </w:r>
      <w:r>
        <w:t>.</w:t>
      </w:r>
      <w:r w:rsidRPr="002C4077">
        <w:t xml:space="preserve"> </w:t>
      </w:r>
    </w:p>
    <w:p w:rsidR="000A7AAB" w:rsidRDefault="003041FD" w:rsidP="000A7AAB">
      <w:r>
        <w:t>Cependant,</w:t>
      </w:r>
      <w:r w:rsidRPr="002C4077">
        <w:t xml:space="preserve"> </w:t>
      </w:r>
      <w:r>
        <w:t>un</w:t>
      </w:r>
      <w:r w:rsidRPr="002C4077">
        <w:t xml:space="preserve"> </w:t>
      </w:r>
      <w:r>
        <w:t>point</w:t>
      </w:r>
      <w:r w:rsidRPr="002C4077">
        <w:t xml:space="preserve"> </w:t>
      </w:r>
      <w:r>
        <w:t>qui</w:t>
      </w:r>
      <w:r w:rsidRPr="002C4077">
        <w:t xml:space="preserve"> </w:t>
      </w:r>
      <w:r>
        <w:t>a</w:t>
      </w:r>
      <w:r w:rsidRPr="002C4077">
        <w:t xml:space="preserve"> </w:t>
      </w:r>
      <w:r>
        <w:t>bien</w:t>
      </w:r>
      <w:r w:rsidRPr="002C4077">
        <w:t xml:space="preserve"> </w:t>
      </w:r>
      <w:r>
        <w:t>quelque</w:t>
      </w:r>
      <w:r w:rsidRPr="002C4077">
        <w:t xml:space="preserve"> </w:t>
      </w:r>
      <w:r>
        <w:t>importance</w:t>
      </w:r>
      <w:r w:rsidRPr="002C4077">
        <w:t xml:space="preserve"> </w:t>
      </w:r>
      <w:r w:rsidR="00B546AF">
        <w:t>« </w:t>
      </w:r>
      <w:r>
        <w:t>reste</w:t>
      </w:r>
      <w:r w:rsidRPr="002C4077">
        <w:t xml:space="preserve"> </w:t>
      </w:r>
      <w:r>
        <w:t>en</w:t>
      </w:r>
      <w:r w:rsidRPr="002C4077">
        <w:t xml:space="preserve"> </w:t>
      </w:r>
      <w:r>
        <w:t>suspens</w:t>
      </w:r>
      <w:r w:rsidR="00B546AF">
        <w:t> » ;</w:t>
      </w:r>
      <w:r w:rsidRPr="002C4077">
        <w:t xml:space="preserve"> </w:t>
      </w:r>
      <w:r>
        <w:t>il</w:t>
      </w:r>
      <w:r w:rsidRPr="002C4077">
        <w:t xml:space="preserve"> </w:t>
      </w:r>
      <w:r w:rsidR="00B546AF">
        <w:t>« </w:t>
      </w:r>
      <w:r>
        <w:t>concerne</w:t>
      </w:r>
      <w:r w:rsidRPr="002C4077">
        <w:t xml:space="preserve"> </w:t>
      </w:r>
      <w:r>
        <w:t>la</w:t>
      </w:r>
      <w:r w:rsidRPr="002C4077">
        <w:t xml:space="preserve"> </w:t>
      </w:r>
      <w:r>
        <w:t>question</w:t>
      </w:r>
      <w:r w:rsidRPr="002C4077">
        <w:t xml:space="preserve"> </w:t>
      </w:r>
      <w:r>
        <w:t>d’auteur</w:t>
      </w:r>
      <w:r w:rsidR="00B546AF">
        <w:t> »</w:t>
      </w:r>
      <w:r>
        <w:t>.</w:t>
      </w:r>
      <w:r w:rsidRPr="002C4077">
        <w:t xml:space="preserve"> </w:t>
      </w:r>
      <w:r>
        <w:t>Or,</w:t>
      </w:r>
      <w:r w:rsidRPr="002C4077">
        <w:t xml:space="preserve"> </w:t>
      </w:r>
      <w:r w:rsidR="00B546AF">
        <w:t>« </w:t>
      </w:r>
      <w:r>
        <w:t>le</w:t>
      </w:r>
      <w:r w:rsidRPr="002C4077">
        <w:t xml:space="preserve"> </w:t>
      </w:r>
      <w:r>
        <w:t>livre</w:t>
      </w:r>
      <w:r w:rsidRPr="002C4077">
        <w:t xml:space="preserve"> </w:t>
      </w:r>
      <w:r>
        <w:t>se</w:t>
      </w:r>
      <w:r w:rsidRPr="002C4077">
        <w:t xml:space="preserve"> </w:t>
      </w:r>
      <w:r>
        <w:t>donne</w:t>
      </w:r>
      <w:r w:rsidRPr="002C4077">
        <w:t xml:space="preserve"> </w:t>
      </w:r>
      <w:r>
        <w:t>comme</w:t>
      </w:r>
      <w:r w:rsidRPr="002C4077">
        <w:t xml:space="preserve"> </w:t>
      </w:r>
      <w:r>
        <w:t>une</w:t>
      </w:r>
      <w:r w:rsidRPr="002C4077">
        <w:t xml:space="preserve"> </w:t>
      </w:r>
      <w:r>
        <w:t>révélation</w:t>
      </w:r>
      <w:r w:rsidRPr="002C4077">
        <w:t xml:space="preserve"> </w:t>
      </w:r>
      <w:r>
        <w:t>accordée</w:t>
      </w:r>
      <w:r w:rsidRPr="002C4077">
        <w:t xml:space="preserve"> </w:t>
      </w:r>
      <w:r>
        <w:t>par</w:t>
      </w:r>
      <w:r w:rsidRPr="002C4077">
        <w:t xml:space="preserve"> </w:t>
      </w:r>
      <w:r>
        <w:t>Dieu</w:t>
      </w:r>
      <w:r w:rsidRPr="002C4077">
        <w:t xml:space="preserve"> </w:t>
      </w:r>
      <w:r>
        <w:t>et</w:t>
      </w:r>
      <w:r w:rsidRPr="002C4077">
        <w:t xml:space="preserve"> </w:t>
      </w:r>
      <w:r>
        <w:t>transmise</w:t>
      </w:r>
      <w:r w:rsidRPr="002C4077">
        <w:t xml:space="preserve"> </w:t>
      </w:r>
      <w:r>
        <w:t>par</w:t>
      </w:r>
      <w:r w:rsidRPr="002C4077">
        <w:t xml:space="preserve"> </w:t>
      </w:r>
      <w:r w:rsidR="00425C50">
        <w:t>Jésus</w:t>
      </w:r>
      <w:r>
        <w:t>-</w:t>
      </w:r>
      <w:r w:rsidR="00425C50">
        <w:t>Christ</w:t>
      </w:r>
      <w:r w:rsidRPr="002C4077">
        <w:t xml:space="preserve"> </w:t>
      </w:r>
      <w:r>
        <w:t>à</w:t>
      </w:r>
      <w:r w:rsidRPr="002C4077">
        <w:t xml:space="preserve"> </w:t>
      </w:r>
      <w:r>
        <w:t>son</w:t>
      </w:r>
      <w:r w:rsidRPr="002C4077">
        <w:t xml:space="preserve"> </w:t>
      </w:r>
      <w:r w:rsidR="000A7AAB">
        <w:t>serviteur</w:t>
      </w:r>
      <w:r w:rsidR="000A7AAB" w:rsidRPr="002C4077">
        <w:t xml:space="preserve"> </w:t>
      </w:r>
      <w:r w:rsidR="000A7AAB">
        <w:t>Jean.</w:t>
      </w:r>
      <w:r w:rsidR="00C45B47">
        <w:t xml:space="preserve"> {</w:t>
      </w:r>
      <w:r w:rsidR="00B53529">
        <w:t>154</w:t>
      </w:r>
      <w:bookmarkStart w:id="416" w:name="p154"/>
      <w:bookmarkEnd w:id="416"/>
      <w:r w:rsidR="00B53529">
        <w:t xml:space="preserve">} </w:t>
      </w:r>
      <w:r w:rsidR="000A7AAB">
        <w:t>Quel</w:t>
      </w:r>
      <w:r w:rsidR="000A7AAB" w:rsidRPr="002C4077">
        <w:t xml:space="preserve"> </w:t>
      </w:r>
      <w:r w:rsidR="00425C50">
        <w:t>est</w:t>
      </w:r>
      <w:r w:rsidR="000A7AAB" w:rsidRPr="002C4077">
        <w:t xml:space="preserve"> </w:t>
      </w:r>
      <w:r w:rsidR="000A7AAB">
        <w:t>le</w:t>
      </w:r>
      <w:r w:rsidR="000A7AAB" w:rsidRPr="002C4077">
        <w:t xml:space="preserve"> </w:t>
      </w:r>
      <w:r w:rsidR="000A7AAB">
        <w:t>Jean</w:t>
      </w:r>
      <w:r w:rsidR="000A7AAB" w:rsidRPr="002C4077">
        <w:t xml:space="preserve"> </w:t>
      </w:r>
      <w:r w:rsidR="000A7AAB">
        <w:t>dont</w:t>
      </w:r>
      <w:r w:rsidR="000A7AAB" w:rsidRPr="002C4077">
        <w:t xml:space="preserve"> </w:t>
      </w:r>
      <w:r w:rsidR="000A7AAB">
        <w:t>il</w:t>
      </w:r>
      <w:r w:rsidR="000A7AAB" w:rsidRPr="002C4077">
        <w:t xml:space="preserve"> </w:t>
      </w:r>
      <w:r w:rsidR="00425C50">
        <w:t>est</w:t>
      </w:r>
      <w:r w:rsidR="000A7AAB" w:rsidRPr="002C4077">
        <w:t xml:space="preserve"> </w:t>
      </w:r>
      <w:r w:rsidR="000A7AAB">
        <w:t>ici</w:t>
      </w:r>
      <w:r w:rsidR="000A7AAB" w:rsidRPr="002C4077">
        <w:t xml:space="preserve"> </w:t>
      </w:r>
      <w:r w:rsidR="000A7AAB">
        <w:t>question,</w:t>
      </w:r>
      <w:r w:rsidR="000A7AAB" w:rsidRPr="002C4077">
        <w:t xml:space="preserve"> </w:t>
      </w:r>
      <w:r w:rsidR="000A7AAB">
        <w:t>et</w:t>
      </w:r>
      <w:r w:rsidR="000A7AAB" w:rsidRPr="002C4077">
        <w:t xml:space="preserve"> </w:t>
      </w:r>
      <w:r w:rsidR="000A7AAB">
        <w:t>ce</w:t>
      </w:r>
      <w:r w:rsidR="000A7AAB" w:rsidRPr="002C4077">
        <w:t xml:space="preserve"> </w:t>
      </w:r>
      <w:r w:rsidR="000A7AAB">
        <w:t>Jean</w:t>
      </w:r>
      <w:r w:rsidR="000A7AAB" w:rsidRPr="002C4077">
        <w:t xml:space="preserve"> </w:t>
      </w:r>
      <w:r w:rsidR="000A7AAB">
        <w:t>peut-il</w:t>
      </w:r>
      <w:r w:rsidR="000A7AAB" w:rsidRPr="002C4077">
        <w:t xml:space="preserve"> </w:t>
      </w:r>
      <w:r w:rsidR="000A7AAB">
        <w:t>être</w:t>
      </w:r>
      <w:r w:rsidR="000A7AAB" w:rsidRPr="002C4077">
        <w:t xml:space="preserve"> </w:t>
      </w:r>
      <w:r w:rsidR="000A7AAB">
        <w:t>reconnu</w:t>
      </w:r>
      <w:r w:rsidR="000A7AAB" w:rsidRPr="002C4077">
        <w:t xml:space="preserve"> </w:t>
      </w:r>
      <w:r w:rsidR="000A7AAB">
        <w:t>comme</w:t>
      </w:r>
      <w:r w:rsidR="000A7AAB" w:rsidRPr="002C4077">
        <w:t xml:space="preserve"> </w:t>
      </w:r>
      <w:r w:rsidR="000A7AAB">
        <w:t>le</w:t>
      </w:r>
      <w:r w:rsidR="000A7AAB" w:rsidRPr="002C4077">
        <w:t xml:space="preserve"> </w:t>
      </w:r>
      <w:r w:rsidR="000A7AAB">
        <w:t>véritable</w:t>
      </w:r>
      <w:r w:rsidR="000A7AAB" w:rsidRPr="002C4077">
        <w:t xml:space="preserve"> </w:t>
      </w:r>
      <w:r w:rsidR="000A7AAB">
        <w:t>auteur</w:t>
      </w:r>
      <w:r w:rsidR="000A7AAB" w:rsidRPr="002C4077">
        <w:t xml:space="preserve"> </w:t>
      </w:r>
      <w:r w:rsidR="000A7AAB">
        <w:t>du</w:t>
      </w:r>
      <w:r w:rsidR="000A7AAB" w:rsidRPr="002C4077">
        <w:t xml:space="preserve"> </w:t>
      </w:r>
      <w:r w:rsidR="000A7AAB">
        <w:t>livre</w:t>
      </w:r>
      <w:r w:rsidR="00B546AF">
        <w:t> ?</w:t>
      </w:r>
      <w:r w:rsidR="000A7AAB" w:rsidRPr="002C4077">
        <w:t xml:space="preserve"> </w:t>
      </w:r>
      <w:r w:rsidR="000A7AAB">
        <w:t>La</w:t>
      </w:r>
      <w:r w:rsidR="000A7AAB" w:rsidRPr="002C4077">
        <w:t xml:space="preserve"> </w:t>
      </w:r>
      <w:r w:rsidR="000A7AAB">
        <w:t>tradition</w:t>
      </w:r>
      <w:r w:rsidR="000A7AAB" w:rsidRPr="002C4077">
        <w:t xml:space="preserve"> </w:t>
      </w:r>
      <w:r w:rsidR="000A7AAB">
        <w:t>désigne</w:t>
      </w:r>
      <w:r w:rsidR="000A7AAB" w:rsidRPr="002C4077">
        <w:t xml:space="preserve"> </w:t>
      </w:r>
      <w:r w:rsidR="000A7AAB">
        <w:t>l’apôtre</w:t>
      </w:r>
      <w:r w:rsidR="000A7AAB" w:rsidRPr="002C4077">
        <w:t xml:space="preserve"> </w:t>
      </w:r>
      <w:r w:rsidR="000A7AAB">
        <w:t>Jean,</w:t>
      </w:r>
      <w:r w:rsidR="000A7AAB" w:rsidRPr="002C4077">
        <w:t xml:space="preserve"> </w:t>
      </w:r>
      <w:r w:rsidR="000A7AAB">
        <w:t>auquel</w:t>
      </w:r>
      <w:r w:rsidR="000A7AAB" w:rsidRPr="002C4077">
        <w:t xml:space="preserve"> </w:t>
      </w:r>
      <w:r w:rsidR="000A7AAB">
        <w:t>elle</w:t>
      </w:r>
      <w:r w:rsidR="000A7AAB" w:rsidRPr="002C4077">
        <w:t xml:space="preserve"> </w:t>
      </w:r>
      <w:r w:rsidR="000A7AAB">
        <w:t>attribue</w:t>
      </w:r>
      <w:r w:rsidR="000A7AAB" w:rsidRPr="002C4077">
        <w:t xml:space="preserve"> </w:t>
      </w:r>
      <w:r w:rsidR="000A7AAB">
        <w:t>également</w:t>
      </w:r>
      <w:r w:rsidR="000A7AAB" w:rsidRPr="002C4077">
        <w:t xml:space="preserve"> </w:t>
      </w:r>
      <w:r w:rsidR="000A7AAB">
        <w:t>le</w:t>
      </w:r>
      <w:r w:rsidR="000A7AAB" w:rsidRPr="002C4077">
        <w:t xml:space="preserve"> </w:t>
      </w:r>
      <w:r w:rsidR="000A7AAB">
        <w:t>quatrième</w:t>
      </w:r>
      <w:r w:rsidR="000A7AAB" w:rsidRPr="002C4077">
        <w:t xml:space="preserve"> </w:t>
      </w:r>
      <w:r w:rsidR="000A7AAB">
        <w:t>Évangile.</w:t>
      </w:r>
      <w:r w:rsidR="000A7AAB" w:rsidRPr="002C4077">
        <w:t xml:space="preserve"> </w:t>
      </w:r>
      <w:r w:rsidR="000A7AAB">
        <w:t>L’incompatibilité</w:t>
      </w:r>
      <w:r w:rsidR="000A7AAB" w:rsidRPr="002C4077">
        <w:t xml:space="preserve"> </w:t>
      </w:r>
      <w:r w:rsidR="000A7AAB">
        <w:t>de</w:t>
      </w:r>
      <w:r w:rsidR="000A7AAB" w:rsidRPr="002C4077">
        <w:t xml:space="preserve"> </w:t>
      </w:r>
      <w:r w:rsidR="000A7AAB">
        <w:t>ces</w:t>
      </w:r>
      <w:r w:rsidR="000A7AAB" w:rsidRPr="002C4077">
        <w:t xml:space="preserve"> </w:t>
      </w:r>
      <w:r w:rsidR="000A7AAB">
        <w:t>deux</w:t>
      </w:r>
      <w:r w:rsidR="000A7AAB" w:rsidRPr="002C4077">
        <w:t xml:space="preserve"> </w:t>
      </w:r>
      <w:r w:rsidR="000A7AAB">
        <w:t>ouvrages</w:t>
      </w:r>
      <w:r w:rsidR="000A7AAB" w:rsidRPr="002C4077">
        <w:t xml:space="preserve"> </w:t>
      </w:r>
      <w:r w:rsidR="000A7AAB">
        <w:t>ayant</w:t>
      </w:r>
      <w:r w:rsidR="000A7AAB" w:rsidRPr="002C4077">
        <w:t xml:space="preserve"> </w:t>
      </w:r>
      <w:r w:rsidR="000A7AAB">
        <w:t>été</w:t>
      </w:r>
      <w:r w:rsidR="000A7AAB" w:rsidRPr="002C4077">
        <w:t xml:space="preserve"> </w:t>
      </w:r>
      <w:r w:rsidR="000A7AAB">
        <w:t>mise</w:t>
      </w:r>
      <w:r w:rsidR="000A7AAB" w:rsidRPr="002C4077">
        <w:t xml:space="preserve"> </w:t>
      </w:r>
      <w:r w:rsidR="000A7AAB">
        <w:t>en</w:t>
      </w:r>
      <w:r w:rsidR="000A7AAB" w:rsidRPr="002C4077">
        <w:t xml:space="preserve"> </w:t>
      </w:r>
      <w:r w:rsidR="000A7AAB">
        <w:t>lumière,…</w:t>
      </w:r>
      <w:r w:rsidR="000A7AAB" w:rsidRPr="002C4077">
        <w:t xml:space="preserve"> </w:t>
      </w:r>
      <w:r w:rsidR="000A7AAB">
        <w:t>les</w:t>
      </w:r>
      <w:r w:rsidR="000A7AAB" w:rsidRPr="002C4077">
        <w:t xml:space="preserve"> </w:t>
      </w:r>
      <w:r w:rsidR="000A7AAB">
        <w:t>uns</w:t>
      </w:r>
      <w:r w:rsidR="000A7AAB" w:rsidRPr="002C4077">
        <w:t xml:space="preserve"> </w:t>
      </w:r>
      <w:r w:rsidR="000A7AAB">
        <w:t>ont</w:t>
      </w:r>
      <w:r w:rsidR="000A7AAB" w:rsidRPr="002C4077">
        <w:t xml:space="preserve"> </w:t>
      </w:r>
      <w:r w:rsidR="000A7AAB">
        <w:t>préféré</w:t>
      </w:r>
      <w:r w:rsidR="000A7AAB" w:rsidRPr="002C4077">
        <w:t xml:space="preserve"> </w:t>
      </w:r>
      <w:r w:rsidR="000A7AAB">
        <w:t>dépouiller</w:t>
      </w:r>
      <w:r w:rsidR="000A7AAB" w:rsidRPr="002C4077">
        <w:t xml:space="preserve"> </w:t>
      </w:r>
      <w:r w:rsidR="000A7AAB">
        <w:t>l’apôtre</w:t>
      </w:r>
      <w:r w:rsidR="000A7AAB" w:rsidRPr="002C4077">
        <w:t xml:space="preserve"> </w:t>
      </w:r>
      <w:r w:rsidR="000A7AAB">
        <w:t>de</w:t>
      </w:r>
      <w:r w:rsidR="000A7AAB" w:rsidRPr="002C4077">
        <w:t xml:space="preserve"> </w:t>
      </w:r>
      <w:r w:rsidR="000A7AAB">
        <w:t>sa</w:t>
      </w:r>
      <w:r w:rsidR="000A7AAB" w:rsidRPr="002C4077">
        <w:t xml:space="preserve"> </w:t>
      </w:r>
      <w:r w:rsidR="000A7AAB">
        <w:t>paternité</w:t>
      </w:r>
      <w:r w:rsidR="000A7AAB" w:rsidRPr="002C4077">
        <w:t xml:space="preserve"> </w:t>
      </w:r>
      <w:r w:rsidR="000A7AAB">
        <w:t>à</w:t>
      </w:r>
      <w:r w:rsidR="000A7AAB" w:rsidRPr="002C4077">
        <w:t xml:space="preserve"> </w:t>
      </w:r>
      <w:r w:rsidR="000A7AAB">
        <w:t>l’égard</w:t>
      </w:r>
      <w:r w:rsidR="000A7AAB" w:rsidRPr="002C4077">
        <w:t xml:space="preserve"> </w:t>
      </w:r>
      <w:r w:rsidR="000A7AAB">
        <w:t>de</w:t>
      </w:r>
      <w:r w:rsidR="000A7AAB" w:rsidRPr="002C4077">
        <w:t xml:space="preserve"> </w:t>
      </w:r>
      <w:r w:rsidR="000A7AAB">
        <w:t>l’Évangile,</w:t>
      </w:r>
      <w:r w:rsidR="000A7AAB" w:rsidRPr="002C4077">
        <w:t xml:space="preserve"> </w:t>
      </w:r>
      <w:r w:rsidR="000A7AAB">
        <w:t>tandis</w:t>
      </w:r>
      <w:r w:rsidR="000A7AAB" w:rsidRPr="002C4077">
        <w:t xml:space="preserve"> </w:t>
      </w:r>
      <w:r w:rsidR="000A7AAB">
        <w:t>que</w:t>
      </w:r>
      <w:r w:rsidR="000A7AAB" w:rsidRPr="002C4077">
        <w:t xml:space="preserve"> </w:t>
      </w:r>
      <w:r w:rsidR="000A7AAB">
        <w:t>d’autres</w:t>
      </w:r>
      <w:r w:rsidR="000A7AAB" w:rsidRPr="002C4077">
        <w:t xml:space="preserve"> </w:t>
      </w:r>
      <w:r w:rsidR="000A7AAB">
        <w:t>se</w:t>
      </w:r>
      <w:r w:rsidR="000A7AAB" w:rsidRPr="002C4077">
        <w:t xml:space="preserve"> </w:t>
      </w:r>
      <w:r w:rsidR="000A7AAB">
        <w:t>prononçaient</w:t>
      </w:r>
      <w:r w:rsidR="000A7AAB" w:rsidRPr="002C4077">
        <w:t xml:space="preserve"> </w:t>
      </w:r>
      <w:r w:rsidR="000A7AAB">
        <w:t>dans</w:t>
      </w:r>
      <w:r w:rsidR="000A7AAB" w:rsidRPr="002C4077">
        <w:t xml:space="preserve"> </w:t>
      </w:r>
      <w:r w:rsidR="000A7AAB">
        <w:t>un</w:t>
      </w:r>
      <w:r w:rsidR="000A7AAB" w:rsidRPr="002C4077">
        <w:t xml:space="preserve"> </w:t>
      </w:r>
      <w:r w:rsidR="000A7AAB">
        <w:t>sens</w:t>
      </w:r>
      <w:r w:rsidR="000A7AAB" w:rsidRPr="002C4077">
        <w:t xml:space="preserve"> </w:t>
      </w:r>
      <w:r w:rsidR="000A7AAB">
        <w:t>directement</w:t>
      </w:r>
      <w:r w:rsidR="000A7AAB" w:rsidRPr="002C4077">
        <w:t xml:space="preserve"> </w:t>
      </w:r>
      <w:r w:rsidR="000A7AAB">
        <w:t>contraire</w:t>
      </w:r>
      <w:r w:rsidR="00B546AF">
        <w:t> ;</w:t>
      </w:r>
      <w:r w:rsidR="000A7AAB" w:rsidRPr="002C4077">
        <w:t xml:space="preserve"> </w:t>
      </w:r>
      <w:r w:rsidR="000A7AAB">
        <w:t>les</w:t>
      </w:r>
      <w:r w:rsidR="000A7AAB" w:rsidRPr="002C4077">
        <w:t xml:space="preserve"> </w:t>
      </w:r>
      <w:r w:rsidR="000A7AAB">
        <w:t>uns</w:t>
      </w:r>
      <w:r w:rsidR="000A7AAB" w:rsidRPr="002C4077">
        <w:t xml:space="preserve"> </w:t>
      </w:r>
      <w:r w:rsidR="000A7AAB">
        <w:t>comme</w:t>
      </w:r>
      <w:r w:rsidR="000A7AAB" w:rsidRPr="002C4077">
        <w:t xml:space="preserve"> </w:t>
      </w:r>
      <w:r w:rsidR="000A7AAB">
        <w:t>les</w:t>
      </w:r>
      <w:r w:rsidR="000A7AAB" w:rsidRPr="002C4077">
        <w:t xml:space="preserve"> </w:t>
      </w:r>
      <w:r w:rsidR="000A7AAB">
        <w:t>autres</w:t>
      </w:r>
      <w:r w:rsidR="000A7AAB" w:rsidRPr="002C4077">
        <w:t xml:space="preserve"> </w:t>
      </w:r>
      <w:r w:rsidR="000A7AAB">
        <w:t>obéissaient</w:t>
      </w:r>
      <w:r w:rsidR="000A7AAB" w:rsidRPr="002C4077">
        <w:t xml:space="preserve"> </w:t>
      </w:r>
      <w:r w:rsidR="000A7AAB">
        <w:t>peut-être,</w:t>
      </w:r>
      <w:r w:rsidR="000A7AAB" w:rsidRPr="002C4077">
        <w:t xml:space="preserve"> </w:t>
      </w:r>
      <w:r w:rsidR="000A7AAB">
        <w:t>en</w:t>
      </w:r>
      <w:r w:rsidR="000A7AAB" w:rsidRPr="002C4077">
        <w:t xml:space="preserve"> </w:t>
      </w:r>
      <w:r w:rsidR="000A7AAB">
        <w:t>ce</w:t>
      </w:r>
      <w:r w:rsidR="000A7AAB" w:rsidRPr="002C4077">
        <w:t xml:space="preserve"> </w:t>
      </w:r>
      <w:r w:rsidR="000A7AAB">
        <w:t>faisant,</w:t>
      </w:r>
      <w:r w:rsidR="000A7AAB" w:rsidRPr="002C4077">
        <w:t xml:space="preserve"> </w:t>
      </w:r>
      <w:r w:rsidR="000A7AAB">
        <w:t>à</w:t>
      </w:r>
      <w:r w:rsidR="000A7AAB" w:rsidRPr="002C4077">
        <w:t xml:space="preserve"> </w:t>
      </w:r>
      <w:r w:rsidR="000A7AAB">
        <w:t>des</w:t>
      </w:r>
      <w:r w:rsidR="000A7AAB" w:rsidRPr="002C4077">
        <w:t xml:space="preserve"> </w:t>
      </w:r>
      <w:r w:rsidR="000A7AAB">
        <w:t>préférences</w:t>
      </w:r>
      <w:r w:rsidR="000A7AAB" w:rsidRPr="002C4077">
        <w:t xml:space="preserve"> </w:t>
      </w:r>
      <w:r w:rsidR="000A7AAB">
        <w:t>dogmatiques.</w:t>
      </w:r>
      <w:r w:rsidR="000A7AAB" w:rsidRPr="002C4077">
        <w:t xml:space="preserve"> </w:t>
      </w:r>
      <w:r w:rsidR="000A7AAB">
        <w:t>Aujourd’hui,</w:t>
      </w:r>
      <w:r w:rsidR="000A7AAB" w:rsidRPr="002C4077">
        <w:t xml:space="preserve"> </w:t>
      </w:r>
      <w:r w:rsidR="000A7AAB">
        <w:t>l’on</w:t>
      </w:r>
      <w:r w:rsidR="000A7AAB" w:rsidRPr="002C4077">
        <w:t xml:space="preserve"> </w:t>
      </w:r>
      <w:r w:rsidR="000A7AAB">
        <w:t>peut</w:t>
      </w:r>
      <w:r w:rsidR="000A7AAB" w:rsidRPr="002C4077">
        <w:t xml:space="preserve"> </w:t>
      </w:r>
      <w:r w:rsidR="000A7AAB">
        <w:t>en</w:t>
      </w:r>
      <w:r w:rsidR="000A7AAB" w:rsidRPr="002C4077">
        <w:t xml:space="preserve"> </w:t>
      </w:r>
      <w:r w:rsidR="000A7AAB">
        <w:t>traiter</w:t>
      </w:r>
      <w:r w:rsidR="000A7AAB" w:rsidRPr="002C4077">
        <w:t xml:space="preserve"> </w:t>
      </w:r>
      <w:r w:rsidR="000A7AAB">
        <w:t>plus</w:t>
      </w:r>
      <w:r w:rsidR="000A7AAB" w:rsidRPr="002C4077">
        <w:t xml:space="preserve"> </w:t>
      </w:r>
      <w:r w:rsidR="000A7AAB">
        <w:t>froidement</w:t>
      </w:r>
      <w:r w:rsidR="00B91AF7">
        <w:rPr>
          <w:rStyle w:val="Appelnotedebasdep"/>
        </w:rPr>
        <w:footnoteReference w:id="479"/>
      </w:r>
      <w:r w:rsidR="00B546AF">
        <w:t> »</w:t>
      </w:r>
      <w:r w:rsidR="000A7AAB">
        <w:t>.</w:t>
      </w:r>
      <w:r w:rsidR="000A7AAB" w:rsidRPr="002C4077">
        <w:t xml:space="preserve"> </w:t>
      </w:r>
    </w:p>
    <w:p w:rsidR="000A7AAB" w:rsidRDefault="000A7AAB" w:rsidP="000A7AAB">
      <w:r>
        <w:t>Là-dessus,</w:t>
      </w:r>
      <w:r w:rsidRPr="002C4077">
        <w:t xml:space="preserve"> </w:t>
      </w:r>
      <w:r>
        <w:t>M.</w:t>
      </w:r>
      <w:r w:rsidRPr="002C4077">
        <w:t xml:space="preserve"> </w:t>
      </w:r>
      <w:r w:rsidR="007B3C26">
        <w:t>Ve</w:t>
      </w:r>
      <w:r>
        <w:t>rnes,</w:t>
      </w:r>
      <w:r w:rsidRPr="002C4077">
        <w:t xml:space="preserve"> </w:t>
      </w:r>
      <w:r>
        <w:t>qui</w:t>
      </w:r>
      <w:r w:rsidRPr="002C4077">
        <w:t xml:space="preserve"> </w:t>
      </w:r>
      <w:r>
        <w:t>n’a</w:t>
      </w:r>
      <w:r w:rsidRPr="002C4077">
        <w:t xml:space="preserve"> </w:t>
      </w:r>
      <w:r>
        <w:t>pas</w:t>
      </w:r>
      <w:r w:rsidRPr="002C4077">
        <w:t xml:space="preserve"> </w:t>
      </w:r>
      <w:r>
        <w:t>de</w:t>
      </w:r>
      <w:r w:rsidRPr="002C4077">
        <w:t xml:space="preserve"> </w:t>
      </w:r>
      <w:r>
        <w:t>préférences</w:t>
      </w:r>
      <w:r w:rsidRPr="002C4077">
        <w:t xml:space="preserve"> </w:t>
      </w:r>
      <w:r>
        <w:t>dogmatiques,</w:t>
      </w:r>
      <w:r w:rsidRPr="002C4077">
        <w:t xml:space="preserve"> </w:t>
      </w:r>
      <w:r>
        <w:t>signe</w:t>
      </w:r>
      <w:r w:rsidRPr="002C4077">
        <w:t xml:space="preserve"> </w:t>
      </w:r>
      <w:r>
        <w:t>très</w:t>
      </w:r>
      <w:r w:rsidRPr="002C4077">
        <w:t xml:space="preserve"> </w:t>
      </w:r>
      <w:r>
        <w:t>froidement</w:t>
      </w:r>
      <w:r w:rsidRPr="002C4077">
        <w:t xml:space="preserve"> </w:t>
      </w:r>
      <w:r>
        <w:t>l’arrêt</w:t>
      </w:r>
      <w:r w:rsidRPr="002C4077">
        <w:t xml:space="preserve"> </w:t>
      </w:r>
      <w:r>
        <w:t>de</w:t>
      </w:r>
      <w:r w:rsidRPr="002C4077">
        <w:t xml:space="preserve"> </w:t>
      </w:r>
      <w:r>
        <w:t>mort</w:t>
      </w:r>
      <w:r w:rsidRPr="002C4077">
        <w:t xml:space="preserve"> </w:t>
      </w:r>
      <w:r>
        <w:t>de</w:t>
      </w:r>
      <w:r w:rsidRPr="002C4077">
        <w:t xml:space="preserve"> </w:t>
      </w:r>
      <w:r>
        <w:t>l’Apocalypse.</w:t>
      </w:r>
      <w:r w:rsidRPr="002C4077">
        <w:t xml:space="preserve"> </w:t>
      </w:r>
      <w:r w:rsidR="00B546AF">
        <w:t>« </w:t>
      </w:r>
      <w:r>
        <w:t>L’Apocalypse</w:t>
      </w:r>
      <w:r w:rsidRPr="002C4077">
        <w:t xml:space="preserve"> </w:t>
      </w:r>
      <w:r w:rsidRPr="000A34B5">
        <w:rPr>
          <w:rStyle w:val="italicus"/>
        </w:rPr>
        <w:t>entrerait,</w:t>
      </w:r>
      <w:r w:rsidRPr="002C4077">
        <w:t xml:space="preserve"> </w:t>
      </w:r>
      <w:r>
        <w:t>dit-il,</w:t>
      </w:r>
      <w:r w:rsidRPr="002C4077">
        <w:t xml:space="preserve"> </w:t>
      </w:r>
      <w:r>
        <w:t>dans</w:t>
      </w:r>
      <w:r w:rsidRPr="002C4077">
        <w:t xml:space="preserve"> </w:t>
      </w:r>
      <w:r>
        <w:t>la</w:t>
      </w:r>
      <w:r w:rsidRPr="002C4077">
        <w:t xml:space="preserve"> </w:t>
      </w:r>
      <w:r>
        <w:t>catégorie</w:t>
      </w:r>
      <w:r w:rsidRPr="002C4077">
        <w:t xml:space="preserve"> </w:t>
      </w:r>
      <w:r>
        <w:t>des</w:t>
      </w:r>
      <w:r w:rsidRPr="002C4077">
        <w:t xml:space="preserve"> </w:t>
      </w:r>
      <w:r>
        <w:t>œuvres</w:t>
      </w:r>
      <w:r w:rsidRPr="002C4077">
        <w:t xml:space="preserve"> </w:t>
      </w:r>
      <w:r>
        <w:t>pseudépigraphes</w:t>
      </w:r>
      <w:r w:rsidR="00B91AF7">
        <w:rPr>
          <w:rStyle w:val="Appelnotedebasdep"/>
        </w:rPr>
        <w:footnoteReference w:id="480"/>
      </w:r>
      <w:r w:rsidR="00B546AF">
        <w:t> »</w:t>
      </w:r>
      <w:r>
        <w:t>.</w:t>
      </w:r>
      <w:r w:rsidRPr="002C4077">
        <w:t xml:space="preserve"> </w:t>
      </w:r>
      <w:r>
        <w:t>Sachons-lui</w:t>
      </w:r>
      <w:r w:rsidRPr="002C4077">
        <w:t xml:space="preserve"> </w:t>
      </w:r>
      <w:r>
        <w:t>gré</w:t>
      </w:r>
      <w:r w:rsidRPr="002C4077">
        <w:t xml:space="preserve"> </w:t>
      </w:r>
      <w:r>
        <w:t>pourtant</w:t>
      </w:r>
      <w:r w:rsidRPr="002C4077">
        <w:t xml:space="preserve"> </w:t>
      </w:r>
      <w:r>
        <w:t>de</w:t>
      </w:r>
      <w:r w:rsidRPr="002C4077">
        <w:t xml:space="preserve"> </w:t>
      </w:r>
      <w:r>
        <w:t>ce</w:t>
      </w:r>
      <w:r w:rsidRPr="002C4077">
        <w:t xml:space="preserve"> </w:t>
      </w:r>
      <w:r>
        <w:t>conditionnel,</w:t>
      </w:r>
      <w:r w:rsidRPr="002C4077">
        <w:t xml:space="preserve"> </w:t>
      </w:r>
      <w:r>
        <w:t>la</w:t>
      </w:r>
      <w:r w:rsidRPr="002C4077">
        <w:t xml:space="preserve"> </w:t>
      </w:r>
      <w:r>
        <w:t>forme</w:t>
      </w:r>
      <w:r w:rsidRPr="002C4077">
        <w:t xml:space="preserve"> </w:t>
      </w:r>
      <w:r>
        <w:t>employée</w:t>
      </w:r>
      <w:r w:rsidRPr="002C4077">
        <w:t xml:space="preserve"> </w:t>
      </w:r>
      <w:r>
        <w:t>par</w:t>
      </w:r>
      <w:r w:rsidRPr="002C4077">
        <w:t xml:space="preserve"> </w:t>
      </w:r>
      <w:r>
        <w:t>les</w:t>
      </w:r>
      <w:r w:rsidRPr="002C4077">
        <w:t xml:space="preserve"> </w:t>
      </w:r>
      <w:r>
        <w:t>esprits</w:t>
      </w:r>
      <w:r w:rsidRPr="002C4077">
        <w:t xml:space="preserve"> </w:t>
      </w:r>
      <w:bookmarkStart w:id="417" w:name="z_Apocalypse_o2"/>
      <w:bookmarkEnd w:id="417"/>
      <w:r>
        <w:t>modestes.</w:t>
      </w:r>
      <w:r w:rsidRPr="002C4077">
        <w:t xml:space="preserve"> </w:t>
      </w:r>
    </w:p>
    <w:p w:rsidR="00B868F2" w:rsidRDefault="00B868F2" w:rsidP="000A7AAB"/>
    <w:p w:rsidR="000A7AAB" w:rsidRDefault="000A7AAB" w:rsidP="000A7AAB">
      <w:r>
        <w:t>Nous</w:t>
      </w:r>
      <w:r w:rsidRPr="002C4077">
        <w:t xml:space="preserve"> </w:t>
      </w:r>
      <w:r>
        <w:t>avons</w:t>
      </w:r>
      <w:r w:rsidRPr="002C4077">
        <w:t xml:space="preserve"> </w:t>
      </w:r>
      <w:r>
        <w:t>à</w:t>
      </w:r>
      <w:r w:rsidRPr="002C4077">
        <w:t xml:space="preserve"> </w:t>
      </w:r>
      <w:r>
        <w:t>faire</w:t>
      </w:r>
      <w:r w:rsidRPr="002C4077">
        <w:t xml:space="preserve"> </w:t>
      </w:r>
      <w:r>
        <w:t>maintenant</w:t>
      </w:r>
      <w:r w:rsidRPr="002C4077">
        <w:t xml:space="preserve"> </w:t>
      </w:r>
      <w:r>
        <w:t>l’addition.</w:t>
      </w:r>
      <w:r w:rsidRPr="002C4077">
        <w:t xml:space="preserve"> </w:t>
      </w:r>
    </w:p>
    <w:p w:rsidR="000A7AAB" w:rsidRDefault="000A7AAB" w:rsidP="000A7AAB">
      <w:r>
        <w:lastRenderedPageBreak/>
        <w:t>Les</w:t>
      </w:r>
      <w:r w:rsidRPr="002C4077">
        <w:t xml:space="preserve"> </w:t>
      </w:r>
      <w:r>
        <w:t>trois</w:t>
      </w:r>
      <w:r w:rsidRPr="002C4077">
        <w:t xml:space="preserve"> </w:t>
      </w:r>
      <w:r>
        <w:t>Évangiles</w:t>
      </w:r>
      <w:r w:rsidRPr="002C4077">
        <w:t xml:space="preserve"> </w:t>
      </w:r>
      <w:r>
        <w:t>synoptiques</w:t>
      </w:r>
      <w:r w:rsidRPr="002C4077">
        <w:t xml:space="preserve"> </w:t>
      </w:r>
      <w:r>
        <w:t>sont</w:t>
      </w:r>
      <w:r w:rsidRPr="002C4077">
        <w:t xml:space="preserve"> </w:t>
      </w:r>
      <w:r>
        <w:t>supposés.</w:t>
      </w:r>
      <w:r w:rsidRPr="002C4077">
        <w:t xml:space="preserve"> </w:t>
      </w:r>
    </w:p>
    <w:p w:rsidR="000A7AAB" w:rsidRDefault="000A7AAB" w:rsidP="000A7AAB">
      <w:r>
        <w:t>L’Évangile</w:t>
      </w:r>
      <w:r w:rsidRPr="002C4077">
        <w:t xml:space="preserve"> </w:t>
      </w:r>
      <w:r>
        <w:t>dit</w:t>
      </w:r>
      <w:r w:rsidRPr="002C4077">
        <w:t xml:space="preserve"> </w:t>
      </w:r>
      <w:r>
        <w:t>de</w:t>
      </w:r>
      <w:r w:rsidRPr="002C4077">
        <w:t xml:space="preserve"> </w:t>
      </w:r>
      <w:r>
        <w:t>saint</w:t>
      </w:r>
      <w:r w:rsidRPr="002C4077">
        <w:t xml:space="preserve"> </w:t>
      </w:r>
      <w:r>
        <w:t>Jean</w:t>
      </w:r>
      <w:r w:rsidRPr="002C4077">
        <w:t xml:space="preserve"> </w:t>
      </w:r>
      <w:r>
        <w:t>n’est</w:t>
      </w:r>
      <w:r w:rsidRPr="002C4077">
        <w:t xml:space="preserve"> </w:t>
      </w:r>
      <w:r>
        <w:t>pas</w:t>
      </w:r>
      <w:r w:rsidRPr="002C4077">
        <w:t xml:space="preserve"> </w:t>
      </w:r>
      <w:r>
        <w:t>authentique.</w:t>
      </w:r>
      <w:r w:rsidRPr="002C4077">
        <w:t xml:space="preserve"> </w:t>
      </w:r>
    </w:p>
    <w:p w:rsidR="000A7AAB" w:rsidRDefault="000A7AAB" w:rsidP="000A7AAB">
      <w:r>
        <w:t>Les</w:t>
      </w:r>
      <w:r w:rsidRPr="002C4077">
        <w:t xml:space="preserve"> </w:t>
      </w:r>
      <w:r>
        <w:t>Actes</w:t>
      </w:r>
      <w:r w:rsidRPr="002C4077">
        <w:t xml:space="preserve"> </w:t>
      </w:r>
      <w:r>
        <w:t>des</w:t>
      </w:r>
      <w:r w:rsidRPr="002C4077">
        <w:t xml:space="preserve"> </w:t>
      </w:r>
      <w:r>
        <w:t>Apôtres</w:t>
      </w:r>
      <w:r w:rsidRPr="002C4077">
        <w:t xml:space="preserve"> </w:t>
      </w:r>
      <w:r>
        <w:t>sont</w:t>
      </w:r>
      <w:r w:rsidRPr="002C4077">
        <w:t xml:space="preserve"> </w:t>
      </w:r>
      <w:r>
        <w:t>pseudépigraphes.</w:t>
      </w:r>
      <w:r w:rsidRPr="002C4077">
        <w:t xml:space="preserve"> </w:t>
      </w:r>
    </w:p>
    <w:p w:rsidR="000A7AAB" w:rsidRDefault="000A7AAB" w:rsidP="000A7AAB">
      <w:r>
        <w:t>La</w:t>
      </w:r>
      <w:r w:rsidRPr="002C4077">
        <w:t xml:space="preserve"> </w:t>
      </w:r>
      <w:r>
        <w:t>plupart</w:t>
      </w:r>
      <w:r w:rsidRPr="002C4077">
        <w:t xml:space="preserve"> </w:t>
      </w:r>
      <w:r>
        <w:t>des</w:t>
      </w:r>
      <w:r w:rsidRPr="002C4077">
        <w:t xml:space="preserve"> </w:t>
      </w:r>
      <w:r>
        <w:t>épîtres</w:t>
      </w:r>
      <w:r w:rsidRPr="002C4077">
        <w:t xml:space="preserve"> </w:t>
      </w:r>
      <w:r>
        <w:t>de</w:t>
      </w:r>
      <w:r w:rsidRPr="002C4077">
        <w:t xml:space="preserve"> </w:t>
      </w:r>
      <w:r>
        <w:t>saint</w:t>
      </w:r>
      <w:r w:rsidRPr="002C4077">
        <w:t xml:space="preserve"> </w:t>
      </w:r>
      <w:r>
        <w:t>Paul</w:t>
      </w:r>
      <w:r w:rsidRPr="002C4077">
        <w:t xml:space="preserve"> </w:t>
      </w:r>
      <w:r>
        <w:t>sont</w:t>
      </w:r>
      <w:r w:rsidRPr="002C4077">
        <w:t xml:space="preserve"> </w:t>
      </w:r>
      <w:r>
        <w:t>certainement</w:t>
      </w:r>
      <w:r w:rsidRPr="002C4077">
        <w:t xml:space="preserve"> </w:t>
      </w:r>
      <w:r>
        <w:t>inauthentiques.</w:t>
      </w:r>
      <w:r w:rsidRPr="002C4077">
        <w:t xml:space="preserve"> </w:t>
      </w:r>
    </w:p>
    <w:p w:rsidR="000A7AAB" w:rsidRDefault="000A7AAB" w:rsidP="000A7AAB">
      <w:r>
        <w:t>Le</w:t>
      </w:r>
      <w:r w:rsidRPr="002C4077">
        <w:t xml:space="preserve"> </w:t>
      </w:r>
      <w:r>
        <w:t>caractère</w:t>
      </w:r>
      <w:r w:rsidRPr="002C4077">
        <w:t xml:space="preserve"> </w:t>
      </w:r>
      <w:r>
        <w:t>pseudonyme</w:t>
      </w:r>
      <w:r w:rsidRPr="002C4077">
        <w:t xml:space="preserve"> </w:t>
      </w:r>
      <w:r>
        <w:t>des</w:t>
      </w:r>
      <w:r w:rsidRPr="002C4077">
        <w:t xml:space="preserve"> </w:t>
      </w:r>
      <w:r>
        <w:t>épîtres</w:t>
      </w:r>
      <w:r w:rsidRPr="002C4077">
        <w:t xml:space="preserve"> </w:t>
      </w:r>
      <w:r>
        <w:t>catholiques</w:t>
      </w:r>
      <w:r w:rsidRPr="002C4077">
        <w:t xml:space="preserve"> </w:t>
      </w:r>
      <w:r>
        <w:t>ne</w:t>
      </w:r>
      <w:r w:rsidRPr="002C4077">
        <w:t xml:space="preserve"> </w:t>
      </w:r>
      <w:r>
        <w:t>saurait</w:t>
      </w:r>
      <w:r w:rsidRPr="002C4077">
        <w:t xml:space="preserve"> </w:t>
      </w:r>
      <w:r>
        <w:t>faire</w:t>
      </w:r>
      <w:r w:rsidRPr="002C4077">
        <w:t xml:space="preserve"> </w:t>
      </w:r>
      <w:r>
        <w:t>l’objet</w:t>
      </w:r>
      <w:r w:rsidRPr="002C4077">
        <w:t xml:space="preserve"> </w:t>
      </w:r>
      <w:r>
        <w:t>d’un</w:t>
      </w:r>
      <w:r w:rsidRPr="002C4077">
        <w:t xml:space="preserve"> </w:t>
      </w:r>
      <w:r>
        <w:t>doute.</w:t>
      </w:r>
      <w:r w:rsidRPr="002C4077">
        <w:t xml:space="preserve"> </w:t>
      </w:r>
    </w:p>
    <w:p w:rsidR="000A7AAB" w:rsidRDefault="000A7AAB" w:rsidP="000A7AAB">
      <w:r>
        <w:t>L’Apocalypse</w:t>
      </w:r>
      <w:r w:rsidRPr="002C4077">
        <w:t xml:space="preserve"> </w:t>
      </w:r>
      <w:r w:rsidR="00425C50">
        <w:t>est</w:t>
      </w:r>
      <w:r w:rsidRPr="002C4077">
        <w:t xml:space="preserve"> </w:t>
      </w:r>
      <w:r>
        <w:t>un</w:t>
      </w:r>
      <w:r w:rsidRPr="002C4077">
        <w:t xml:space="preserve"> </w:t>
      </w:r>
      <w:r>
        <w:t>livre</w:t>
      </w:r>
      <w:r w:rsidRPr="002C4077">
        <w:t xml:space="preserve"> </w:t>
      </w:r>
      <w:r>
        <w:t>supposé.</w:t>
      </w:r>
      <w:r w:rsidRPr="002C4077">
        <w:t xml:space="preserve"> </w:t>
      </w:r>
    </w:p>
    <w:p w:rsidR="000A7AAB" w:rsidRPr="00B53529" w:rsidRDefault="000A7AAB" w:rsidP="000A7AAB">
      <w:r>
        <w:t>Que</w:t>
      </w:r>
      <w:r w:rsidRPr="002C4077">
        <w:t xml:space="preserve"> </w:t>
      </w:r>
      <w:r>
        <w:t>reste-t-il</w:t>
      </w:r>
      <w:r w:rsidRPr="002C4077">
        <w:t xml:space="preserve"> </w:t>
      </w:r>
      <w:r>
        <w:t>donc</w:t>
      </w:r>
      <w:r w:rsidRPr="002C4077">
        <w:t xml:space="preserve"> </w:t>
      </w:r>
      <w:r>
        <w:t>du</w:t>
      </w:r>
      <w:r w:rsidRPr="002C4077">
        <w:t xml:space="preserve"> </w:t>
      </w:r>
      <w:r>
        <w:t>Nouveau</w:t>
      </w:r>
      <w:r w:rsidRPr="002C4077">
        <w:t xml:space="preserve"> </w:t>
      </w:r>
      <w:r>
        <w:t>Testament</w:t>
      </w:r>
      <w:r w:rsidR="00B546AF">
        <w:t> ?</w:t>
      </w:r>
      <w:r w:rsidRPr="002C4077">
        <w:t xml:space="preserve"> </w:t>
      </w:r>
      <w:r>
        <w:t>M.</w:t>
      </w:r>
      <w:r w:rsidRPr="002C4077">
        <w:t xml:space="preserve"> </w:t>
      </w:r>
      <w:r w:rsidR="007B3C26">
        <w:t>Ve</w:t>
      </w:r>
      <w:r>
        <w:t>rnes</w:t>
      </w:r>
      <w:r w:rsidRPr="002C4077">
        <w:t xml:space="preserve"> </w:t>
      </w:r>
      <w:r>
        <w:t>va</w:t>
      </w:r>
      <w:r w:rsidRPr="002C4077">
        <w:t xml:space="preserve"> </w:t>
      </w:r>
      <w:r>
        <w:t>nous</w:t>
      </w:r>
      <w:r w:rsidRPr="002C4077">
        <w:t xml:space="preserve"> </w:t>
      </w:r>
      <w:r>
        <w:t>le</w:t>
      </w:r>
      <w:r w:rsidRPr="002C4077">
        <w:t xml:space="preserve"> </w:t>
      </w:r>
      <w:r>
        <w:t>dire.</w:t>
      </w:r>
      <w:r w:rsidR="00C45B47">
        <w:t xml:space="preserve"> {</w:t>
      </w:r>
      <w:r w:rsidR="00B53529">
        <w:t>155</w:t>
      </w:r>
      <w:bookmarkStart w:id="418" w:name="p155"/>
      <w:bookmarkEnd w:id="418"/>
      <w:r w:rsidR="00B53529">
        <w:t xml:space="preserve">} </w:t>
      </w:r>
    </w:p>
    <w:p w:rsidR="000A7AAB" w:rsidRDefault="00B546AF" w:rsidP="000A7AAB">
      <w:r>
        <w:t>« </w:t>
      </w:r>
      <w:r w:rsidR="000A7AAB">
        <w:t>En</w:t>
      </w:r>
      <w:r w:rsidR="000A7AAB" w:rsidRPr="002C4077">
        <w:t xml:space="preserve"> </w:t>
      </w:r>
      <w:r w:rsidR="000A7AAB">
        <w:t>résumé,</w:t>
      </w:r>
      <w:r w:rsidR="000A7AAB" w:rsidRPr="002C4077">
        <w:t xml:space="preserve"> </w:t>
      </w:r>
      <w:r w:rsidR="000A7AAB">
        <w:t>sur</w:t>
      </w:r>
      <w:r w:rsidR="000A7AAB" w:rsidRPr="002C4077">
        <w:t xml:space="preserve"> </w:t>
      </w:r>
      <w:r w:rsidR="000A7AAB">
        <w:t>vingt-sept</w:t>
      </w:r>
      <w:r w:rsidR="000A7AAB" w:rsidRPr="002C4077">
        <w:t xml:space="preserve"> </w:t>
      </w:r>
      <w:r w:rsidR="000A7AAB">
        <w:t>livres</w:t>
      </w:r>
      <w:r w:rsidR="000A7AAB" w:rsidRPr="002C4077">
        <w:t xml:space="preserve"> </w:t>
      </w:r>
      <w:r w:rsidR="000A7AAB">
        <w:t>qui</w:t>
      </w:r>
      <w:r w:rsidR="000A7AAB" w:rsidRPr="002C4077">
        <w:t xml:space="preserve"> </w:t>
      </w:r>
      <w:r w:rsidR="000A7AAB">
        <w:t>composent</w:t>
      </w:r>
      <w:r w:rsidR="000A7AAB" w:rsidRPr="002C4077">
        <w:t xml:space="preserve"> </w:t>
      </w:r>
      <w:r w:rsidR="000A7AAB">
        <w:t>la</w:t>
      </w:r>
      <w:r w:rsidR="000A7AAB" w:rsidRPr="002C4077">
        <w:t xml:space="preserve"> </w:t>
      </w:r>
      <w:r w:rsidR="000A7AAB">
        <w:t>collection</w:t>
      </w:r>
      <w:r w:rsidR="000A7AAB" w:rsidRPr="002C4077">
        <w:t xml:space="preserve"> </w:t>
      </w:r>
      <w:r w:rsidR="000A7AAB">
        <w:t>du</w:t>
      </w:r>
      <w:r w:rsidR="000A7AAB" w:rsidRPr="002C4077">
        <w:t xml:space="preserve"> </w:t>
      </w:r>
      <w:r w:rsidR="000A7AAB">
        <w:t>Nouveau</w:t>
      </w:r>
      <w:r w:rsidR="000A7AAB" w:rsidRPr="002C4077">
        <w:t xml:space="preserve"> </w:t>
      </w:r>
      <w:r w:rsidR="000A7AAB">
        <w:t>Testament,</w:t>
      </w:r>
      <w:r w:rsidR="000A7AAB" w:rsidRPr="002C4077">
        <w:t xml:space="preserve"> </w:t>
      </w:r>
      <w:r w:rsidR="000A7AAB">
        <w:t>les</w:t>
      </w:r>
      <w:r w:rsidR="000A7AAB" w:rsidRPr="002C4077">
        <w:t xml:space="preserve"> </w:t>
      </w:r>
      <w:r w:rsidR="000A7AAB">
        <w:t>seules</w:t>
      </w:r>
      <w:r w:rsidR="000A7AAB" w:rsidRPr="002C4077">
        <w:t xml:space="preserve"> </w:t>
      </w:r>
      <w:r w:rsidR="000A7AAB">
        <w:t>œuvres</w:t>
      </w:r>
      <w:r w:rsidR="000A7AAB" w:rsidRPr="002C4077">
        <w:t xml:space="preserve"> </w:t>
      </w:r>
      <w:r w:rsidR="000A7AAB">
        <w:t>bien</w:t>
      </w:r>
      <w:r w:rsidR="000A7AAB" w:rsidRPr="002C4077">
        <w:t xml:space="preserve"> </w:t>
      </w:r>
      <w:r w:rsidR="000A7AAB">
        <w:t>authentiques</w:t>
      </w:r>
      <w:r w:rsidR="000A7AAB" w:rsidRPr="002C4077">
        <w:t xml:space="preserve"> </w:t>
      </w:r>
      <w:r w:rsidR="000A7AAB">
        <w:t>et</w:t>
      </w:r>
      <w:r w:rsidR="000A7AAB" w:rsidRPr="002C4077">
        <w:t xml:space="preserve"> </w:t>
      </w:r>
      <w:r w:rsidR="000A7AAB">
        <w:t>bien</w:t>
      </w:r>
      <w:r w:rsidR="000A7AAB" w:rsidRPr="002C4077">
        <w:t xml:space="preserve"> </w:t>
      </w:r>
      <w:r w:rsidR="000A7AAB">
        <w:t>personnelles</w:t>
      </w:r>
      <w:r w:rsidR="000A7AAB" w:rsidRPr="002C4077">
        <w:t xml:space="preserve"> </w:t>
      </w:r>
      <w:r w:rsidR="000A7AAB">
        <w:t>sont</w:t>
      </w:r>
      <w:r w:rsidR="000A7AAB" w:rsidRPr="002C4077">
        <w:t xml:space="preserve"> </w:t>
      </w:r>
      <w:r w:rsidR="000A7AAB">
        <w:t>de</w:t>
      </w:r>
      <w:r w:rsidR="000A7AAB" w:rsidRPr="002C4077">
        <w:t xml:space="preserve"> </w:t>
      </w:r>
      <w:r w:rsidR="000A7AAB">
        <w:t>quatre</w:t>
      </w:r>
      <w:r w:rsidR="000A7AAB" w:rsidRPr="002C4077">
        <w:t xml:space="preserve"> </w:t>
      </w:r>
      <w:r w:rsidR="000A7AAB">
        <w:t>à</w:t>
      </w:r>
      <w:r w:rsidR="000A7AAB" w:rsidRPr="002C4077">
        <w:t xml:space="preserve"> </w:t>
      </w:r>
      <w:r w:rsidR="000A7AAB">
        <w:t>huit</w:t>
      </w:r>
      <w:r w:rsidR="000A7AAB" w:rsidRPr="002C4077">
        <w:t xml:space="preserve"> </w:t>
      </w:r>
      <w:r w:rsidR="000A7AAB">
        <w:t>lettres</w:t>
      </w:r>
      <w:r w:rsidR="000A7AAB" w:rsidRPr="002C4077">
        <w:t xml:space="preserve"> </w:t>
      </w:r>
      <w:r w:rsidR="000A7AAB">
        <w:t>de</w:t>
      </w:r>
      <w:r w:rsidR="000A7AAB" w:rsidRPr="002C4077">
        <w:t xml:space="preserve"> </w:t>
      </w:r>
      <w:r w:rsidR="000A7AAB">
        <w:t>saint</w:t>
      </w:r>
      <w:r w:rsidR="000A7AAB" w:rsidRPr="002C4077">
        <w:t xml:space="preserve"> </w:t>
      </w:r>
      <w:r w:rsidR="000A7AAB">
        <w:t>Paul.</w:t>
      </w:r>
      <w:r w:rsidR="000A7AAB" w:rsidRPr="002C4077">
        <w:t xml:space="preserve"> </w:t>
      </w:r>
      <w:r w:rsidR="000A7AAB">
        <w:t>Le</w:t>
      </w:r>
      <w:r w:rsidR="000A7AAB" w:rsidRPr="002C4077">
        <w:t xml:space="preserve"> </w:t>
      </w:r>
      <w:r w:rsidR="000A7AAB">
        <w:t>reste</w:t>
      </w:r>
      <w:r w:rsidR="000A7AAB" w:rsidRPr="002C4077">
        <w:t xml:space="preserve"> </w:t>
      </w:r>
      <w:r w:rsidR="000A7AAB">
        <w:t>contient</w:t>
      </w:r>
      <w:r w:rsidR="000A7AAB" w:rsidRPr="002C4077">
        <w:t xml:space="preserve"> </w:t>
      </w:r>
      <w:r w:rsidR="000A7AAB">
        <w:t>un</w:t>
      </w:r>
      <w:r w:rsidR="000A7AAB" w:rsidRPr="002C4077">
        <w:t xml:space="preserve"> </w:t>
      </w:r>
      <w:r w:rsidR="000A7AAB">
        <w:t>grand</w:t>
      </w:r>
      <w:r w:rsidR="000A7AAB" w:rsidRPr="002C4077">
        <w:t xml:space="preserve"> </w:t>
      </w:r>
      <w:r w:rsidR="000A7AAB">
        <w:t>nombre</w:t>
      </w:r>
      <w:r w:rsidR="000A7AAB" w:rsidRPr="002C4077">
        <w:t xml:space="preserve"> </w:t>
      </w:r>
      <w:r w:rsidR="000A7AAB">
        <w:t>de</w:t>
      </w:r>
      <w:r w:rsidR="000A7AAB" w:rsidRPr="002C4077">
        <w:t xml:space="preserve"> </w:t>
      </w:r>
      <w:r w:rsidR="000A7AAB">
        <w:t>documents</w:t>
      </w:r>
      <w:r w:rsidR="000A7AAB" w:rsidRPr="002C4077">
        <w:t xml:space="preserve"> </w:t>
      </w:r>
      <w:r w:rsidR="000A7AAB">
        <w:t>anonymes</w:t>
      </w:r>
      <w:r w:rsidR="000A7AAB" w:rsidRPr="002C4077">
        <w:t xml:space="preserve"> </w:t>
      </w:r>
      <w:r w:rsidR="000A7AAB">
        <w:t>et</w:t>
      </w:r>
      <w:r w:rsidR="000A7AAB" w:rsidRPr="002C4077">
        <w:t xml:space="preserve"> </w:t>
      </w:r>
      <w:r w:rsidR="000A7AAB">
        <w:t>pseudonymes,</w:t>
      </w:r>
      <w:r w:rsidR="000A7AAB" w:rsidRPr="002C4077">
        <w:t xml:space="preserve"> </w:t>
      </w:r>
      <w:r w:rsidR="000A7AAB">
        <w:t>dont</w:t>
      </w:r>
      <w:r w:rsidR="000A7AAB" w:rsidRPr="002C4077">
        <w:t xml:space="preserve"> </w:t>
      </w:r>
      <w:r w:rsidR="000A7AAB">
        <w:t>quelques-uns</w:t>
      </w:r>
      <w:r w:rsidR="000A7AAB" w:rsidRPr="002C4077">
        <w:t xml:space="preserve"> </w:t>
      </w:r>
      <w:r w:rsidR="000A7AAB">
        <w:t>ont</w:t>
      </w:r>
      <w:r w:rsidR="000A7AAB" w:rsidRPr="002C4077">
        <w:t xml:space="preserve"> </w:t>
      </w:r>
      <w:r w:rsidR="000A7AAB">
        <w:t>subi</w:t>
      </w:r>
      <w:r w:rsidR="000A7AAB" w:rsidRPr="002C4077">
        <w:t xml:space="preserve"> </w:t>
      </w:r>
      <w:r w:rsidR="000A7AAB">
        <w:t>de</w:t>
      </w:r>
      <w:r w:rsidR="000A7AAB" w:rsidRPr="002C4077">
        <w:t xml:space="preserve"> </w:t>
      </w:r>
      <w:r w:rsidR="000A7AAB">
        <w:t>graves</w:t>
      </w:r>
      <w:r w:rsidR="000A7AAB" w:rsidRPr="002C4077">
        <w:t xml:space="preserve"> </w:t>
      </w:r>
      <w:r w:rsidR="000A7AAB">
        <w:t>remaniements</w:t>
      </w:r>
      <w:r w:rsidR="00B91AF7">
        <w:rPr>
          <w:rStyle w:val="Appelnotedebasdep"/>
        </w:rPr>
        <w:footnoteReference w:id="481"/>
      </w:r>
      <w:r>
        <w:t> »</w:t>
      </w:r>
      <w:r w:rsidR="000A7AAB">
        <w:t>.</w:t>
      </w:r>
      <w:r w:rsidR="000A7AAB" w:rsidRPr="002C4077">
        <w:t xml:space="preserve"> </w:t>
      </w:r>
    </w:p>
    <w:p w:rsidR="000A7AAB" w:rsidRDefault="000A7AAB" w:rsidP="000A7AAB">
      <w:r>
        <w:t>Quatre</w:t>
      </w:r>
      <w:r w:rsidRPr="002C4077">
        <w:t xml:space="preserve"> </w:t>
      </w:r>
      <w:r>
        <w:t>à</w:t>
      </w:r>
      <w:r w:rsidRPr="002C4077">
        <w:t xml:space="preserve"> </w:t>
      </w:r>
      <w:r>
        <w:t>huit</w:t>
      </w:r>
      <w:r w:rsidRPr="002C4077">
        <w:t xml:space="preserve"> </w:t>
      </w:r>
      <w:r>
        <w:t>lettres</w:t>
      </w:r>
      <w:r w:rsidRPr="002C4077">
        <w:t xml:space="preserve"> </w:t>
      </w:r>
      <w:r>
        <w:t>de</w:t>
      </w:r>
      <w:r w:rsidRPr="002C4077">
        <w:t xml:space="preserve"> </w:t>
      </w:r>
      <w:r>
        <w:t>saint</w:t>
      </w:r>
      <w:r w:rsidRPr="002C4077">
        <w:t xml:space="preserve"> </w:t>
      </w:r>
      <w:r>
        <w:t>Paul</w:t>
      </w:r>
      <w:r w:rsidR="00B546AF">
        <w:t> !</w:t>
      </w:r>
      <w:r w:rsidRPr="002C4077">
        <w:t xml:space="preserve"> </w:t>
      </w:r>
      <w:r>
        <w:t>Je</w:t>
      </w:r>
      <w:r w:rsidRPr="002C4077">
        <w:t xml:space="preserve"> </w:t>
      </w:r>
      <w:r>
        <w:t>ne</w:t>
      </w:r>
      <w:r w:rsidRPr="002C4077">
        <w:t xml:space="preserve"> </w:t>
      </w:r>
      <w:r>
        <w:t>m’attendais</w:t>
      </w:r>
      <w:r w:rsidRPr="002C4077">
        <w:t xml:space="preserve"> </w:t>
      </w:r>
      <w:r>
        <w:t>pas</w:t>
      </w:r>
      <w:r w:rsidRPr="002C4077">
        <w:t xml:space="preserve"> </w:t>
      </w:r>
      <w:r>
        <w:t>à</w:t>
      </w:r>
      <w:r w:rsidRPr="002C4077">
        <w:t xml:space="preserve"> </w:t>
      </w:r>
      <w:r>
        <w:t>un</w:t>
      </w:r>
      <w:r w:rsidRPr="002C4077">
        <w:t xml:space="preserve"> </w:t>
      </w:r>
      <w:r>
        <w:t>tel</w:t>
      </w:r>
      <w:r w:rsidRPr="002C4077">
        <w:t xml:space="preserve"> </w:t>
      </w:r>
      <w:r>
        <w:t>excès</w:t>
      </w:r>
      <w:r w:rsidRPr="002C4077">
        <w:t xml:space="preserve"> </w:t>
      </w:r>
      <w:r>
        <w:t>de</w:t>
      </w:r>
      <w:r w:rsidRPr="002C4077">
        <w:t xml:space="preserve"> </w:t>
      </w:r>
      <w:r>
        <w:t>générosité,</w:t>
      </w:r>
      <w:r w:rsidRPr="002C4077">
        <w:t xml:space="preserve"> </w:t>
      </w:r>
      <w:r>
        <w:t>car,</w:t>
      </w:r>
      <w:r w:rsidRPr="002C4077">
        <w:t xml:space="preserve"> </w:t>
      </w:r>
      <w:r>
        <w:t>dans</w:t>
      </w:r>
      <w:r w:rsidRPr="002C4077">
        <w:t xml:space="preserve"> </w:t>
      </w:r>
      <w:r>
        <w:t>le</w:t>
      </w:r>
      <w:r w:rsidRPr="002C4077">
        <w:t xml:space="preserve"> </w:t>
      </w:r>
      <w:r>
        <w:t>corps</w:t>
      </w:r>
      <w:r w:rsidRPr="002C4077">
        <w:t xml:space="preserve"> </w:t>
      </w:r>
      <w:r>
        <w:t>de</w:t>
      </w:r>
      <w:r w:rsidRPr="002C4077">
        <w:t xml:space="preserve"> </w:t>
      </w:r>
      <w:r>
        <w:t>son</w:t>
      </w:r>
      <w:r w:rsidRPr="002C4077">
        <w:t xml:space="preserve"> </w:t>
      </w:r>
      <w:r>
        <w:t>article,</w:t>
      </w:r>
      <w:r w:rsidRPr="002C4077">
        <w:t xml:space="preserve"> </w:t>
      </w:r>
      <w:r>
        <w:t>M.</w:t>
      </w:r>
      <w:r w:rsidRPr="002C4077">
        <w:t xml:space="preserve"> </w:t>
      </w:r>
      <w:r w:rsidR="007B3C26">
        <w:t>Ve</w:t>
      </w:r>
      <w:r>
        <w:t>rnes</w:t>
      </w:r>
      <w:r w:rsidRPr="002C4077">
        <w:t xml:space="preserve"> </w:t>
      </w:r>
      <w:r>
        <w:t>semble</w:t>
      </w:r>
      <w:r w:rsidRPr="002C4077">
        <w:t xml:space="preserve"> </w:t>
      </w:r>
      <w:r>
        <w:t>avoir</w:t>
      </w:r>
      <w:r w:rsidRPr="002C4077">
        <w:t xml:space="preserve"> </w:t>
      </w:r>
      <w:r>
        <w:t>déclaré</w:t>
      </w:r>
      <w:r w:rsidRPr="002C4077">
        <w:t xml:space="preserve"> </w:t>
      </w:r>
      <w:r>
        <w:t>en</w:t>
      </w:r>
      <w:r w:rsidRPr="002C4077">
        <w:t xml:space="preserve"> </w:t>
      </w:r>
      <w:r>
        <w:t>termes</w:t>
      </w:r>
      <w:r w:rsidRPr="002C4077">
        <w:t xml:space="preserve"> </w:t>
      </w:r>
      <w:r>
        <w:t>assez</w:t>
      </w:r>
      <w:r w:rsidRPr="002C4077">
        <w:t xml:space="preserve"> </w:t>
      </w:r>
      <w:r>
        <w:t>nets</w:t>
      </w:r>
      <w:r w:rsidRPr="002C4077">
        <w:t xml:space="preserve"> </w:t>
      </w:r>
      <w:r>
        <w:t>qu’il</w:t>
      </w:r>
      <w:r w:rsidRPr="002C4077">
        <w:t xml:space="preserve"> </w:t>
      </w:r>
      <w:r>
        <w:t>admet</w:t>
      </w:r>
      <w:r w:rsidRPr="002C4077">
        <w:t xml:space="preserve"> </w:t>
      </w:r>
      <w:r>
        <w:t>seulement</w:t>
      </w:r>
      <w:r w:rsidRPr="002C4077">
        <w:t xml:space="preserve"> </w:t>
      </w:r>
      <w:r>
        <w:t>l’authenticité</w:t>
      </w:r>
      <w:r w:rsidRPr="002C4077">
        <w:t xml:space="preserve"> </w:t>
      </w:r>
      <w:r>
        <w:t>de</w:t>
      </w:r>
      <w:r w:rsidRPr="002C4077">
        <w:t xml:space="preserve"> </w:t>
      </w:r>
      <w:r>
        <w:t>quatre</w:t>
      </w:r>
      <w:r w:rsidRPr="002C4077">
        <w:t xml:space="preserve"> </w:t>
      </w:r>
      <w:r>
        <w:t>épîtres</w:t>
      </w:r>
      <w:r w:rsidR="00B546AF">
        <w:t> :</w:t>
      </w:r>
      <w:r w:rsidRPr="002C4077">
        <w:t xml:space="preserve"> </w:t>
      </w:r>
      <w:r>
        <w:t>celle</w:t>
      </w:r>
      <w:r w:rsidRPr="002C4077">
        <w:t xml:space="preserve"> </w:t>
      </w:r>
      <w:r>
        <w:t>aux</w:t>
      </w:r>
      <w:r w:rsidRPr="002C4077">
        <w:t xml:space="preserve"> </w:t>
      </w:r>
      <w:r>
        <w:t>Romains,</w:t>
      </w:r>
      <w:r w:rsidRPr="002C4077">
        <w:t xml:space="preserve"> </w:t>
      </w:r>
      <w:r>
        <w:t>les</w:t>
      </w:r>
      <w:r w:rsidRPr="002C4077">
        <w:t xml:space="preserve"> </w:t>
      </w:r>
      <w:r>
        <w:t>deux</w:t>
      </w:r>
      <w:r w:rsidRPr="002C4077">
        <w:t xml:space="preserve"> </w:t>
      </w:r>
      <w:r>
        <w:t>aux</w:t>
      </w:r>
      <w:r w:rsidRPr="002C4077">
        <w:t xml:space="preserve"> </w:t>
      </w:r>
      <w:r>
        <w:t>Corinthiens,</w:t>
      </w:r>
      <w:r w:rsidRPr="002C4077">
        <w:t xml:space="preserve"> </w:t>
      </w:r>
      <w:r>
        <w:t>celle</w:t>
      </w:r>
      <w:r w:rsidRPr="002C4077">
        <w:t xml:space="preserve"> </w:t>
      </w:r>
      <w:r>
        <w:t>aux</w:t>
      </w:r>
      <w:r w:rsidRPr="002C4077">
        <w:t xml:space="preserve"> </w:t>
      </w:r>
      <w:r>
        <w:t>Galates.</w:t>
      </w:r>
      <w:r w:rsidRPr="002C4077">
        <w:t xml:space="preserve"> </w:t>
      </w:r>
    </w:p>
    <w:p w:rsidR="000A7AAB" w:rsidRDefault="000A7AAB" w:rsidP="000A7AAB">
      <w:r>
        <w:t>La</w:t>
      </w:r>
      <w:r w:rsidRPr="002C4077">
        <w:t xml:space="preserve"> </w:t>
      </w:r>
      <w:r>
        <w:t>fin</w:t>
      </w:r>
      <w:r w:rsidRPr="002C4077">
        <w:t xml:space="preserve"> </w:t>
      </w:r>
      <w:r>
        <w:t>de</w:t>
      </w:r>
      <w:r w:rsidRPr="002C4077">
        <w:t xml:space="preserve"> </w:t>
      </w:r>
      <w:r>
        <w:t>son</w:t>
      </w:r>
      <w:r w:rsidRPr="002C4077">
        <w:t xml:space="preserve"> </w:t>
      </w:r>
      <w:r>
        <w:t>compte</w:t>
      </w:r>
      <w:r w:rsidRPr="002C4077">
        <w:t xml:space="preserve"> </w:t>
      </w:r>
      <w:r>
        <w:t>rendu</w:t>
      </w:r>
      <w:r w:rsidRPr="002C4077">
        <w:t xml:space="preserve"> </w:t>
      </w:r>
      <w:r w:rsidR="00425C50">
        <w:t>est</w:t>
      </w:r>
      <w:r w:rsidRPr="002C4077">
        <w:t xml:space="preserve"> </w:t>
      </w:r>
      <w:r>
        <w:t>curieuse</w:t>
      </w:r>
      <w:r w:rsidRPr="002C4077">
        <w:t xml:space="preserve"> </w:t>
      </w:r>
      <w:r>
        <w:t>à</w:t>
      </w:r>
      <w:r w:rsidRPr="002C4077">
        <w:t xml:space="preserve"> </w:t>
      </w:r>
      <w:r>
        <w:t>lire.</w:t>
      </w:r>
      <w:r w:rsidRPr="002C4077">
        <w:t xml:space="preserve"> </w:t>
      </w:r>
      <w:r>
        <w:t>Il</w:t>
      </w:r>
      <w:r w:rsidRPr="002C4077">
        <w:t xml:space="preserve"> </w:t>
      </w:r>
      <w:r>
        <w:t>y</w:t>
      </w:r>
      <w:r w:rsidRPr="002C4077">
        <w:t xml:space="preserve"> </w:t>
      </w:r>
      <w:r>
        <w:t>représente</w:t>
      </w:r>
      <w:r w:rsidRPr="002C4077">
        <w:t xml:space="preserve"> </w:t>
      </w:r>
      <w:r>
        <w:t>M.</w:t>
      </w:r>
      <w:r w:rsidRPr="002C4077">
        <w:t xml:space="preserve"> </w:t>
      </w:r>
      <w:r>
        <w:t>Reuss</w:t>
      </w:r>
      <w:r w:rsidRPr="002C4077">
        <w:t xml:space="preserve"> </w:t>
      </w:r>
      <w:r>
        <w:t>comme</w:t>
      </w:r>
      <w:r w:rsidRPr="002C4077">
        <w:t xml:space="preserve"> </w:t>
      </w:r>
      <w:r>
        <w:t>un</w:t>
      </w:r>
      <w:r w:rsidRPr="002C4077">
        <w:t xml:space="preserve"> </w:t>
      </w:r>
      <w:r>
        <w:t>nouvel</w:t>
      </w:r>
      <w:r w:rsidRPr="002C4077">
        <w:t xml:space="preserve"> </w:t>
      </w:r>
      <w:r>
        <w:t>Hercule</w:t>
      </w:r>
      <w:r w:rsidR="00B91AF7">
        <w:rPr>
          <w:rStyle w:val="Appelnotedebasdep"/>
        </w:rPr>
        <w:footnoteReference w:id="482"/>
      </w:r>
      <w:r w:rsidRPr="002C4077">
        <w:t xml:space="preserve"> </w:t>
      </w:r>
      <w:r>
        <w:t>qui,</w:t>
      </w:r>
      <w:r w:rsidRPr="002C4077">
        <w:t xml:space="preserve"> </w:t>
      </w:r>
      <w:r>
        <w:t>au</w:t>
      </w:r>
      <w:r w:rsidRPr="002C4077">
        <w:t xml:space="preserve"> </w:t>
      </w:r>
      <w:r>
        <w:t>prix</w:t>
      </w:r>
      <w:r w:rsidRPr="002C4077">
        <w:t xml:space="preserve"> </w:t>
      </w:r>
      <w:r>
        <w:t>d’un</w:t>
      </w:r>
      <w:r w:rsidRPr="002C4077">
        <w:t xml:space="preserve"> </w:t>
      </w:r>
      <w:r w:rsidR="00B546AF">
        <w:t>« </w:t>
      </w:r>
      <w:r>
        <w:t>travail</w:t>
      </w:r>
      <w:r w:rsidRPr="002C4077">
        <w:t xml:space="preserve"> </w:t>
      </w:r>
      <w:r>
        <w:t>obstiné,</w:t>
      </w:r>
      <w:r w:rsidRPr="002C4077">
        <w:t xml:space="preserve"> </w:t>
      </w:r>
      <w:r>
        <w:t>d’un</w:t>
      </w:r>
      <w:r w:rsidRPr="002C4077">
        <w:t xml:space="preserve"> </w:t>
      </w:r>
      <w:r>
        <w:t>immense</w:t>
      </w:r>
      <w:r w:rsidRPr="002C4077">
        <w:t xml:space="preserve"> </w:t>
      </w:r>
      <w:r>
        <w:t>travail</w:t>
      </w:r>
      <w:r w:rsidRPr="002C4077">
        <w:t xml:space="preserve"> </w:t>
      </w:r>
      <w:r>
        <w:t>critique</w:t>
      </w:r>
      <w:r w:rsidR="00B546AF">
        <w:t> »</w:t>
      </w:r>
      <w:r>
        <w:t>,</w:t>
      </w:r>
      <w:r w:rsidRPr="002C4077">
        <w:t xml:space="preserve"> </w:t>
      </w:r>
      <w:r>
        <w:t>par</w:t>
      </w:r>
      <w:r w:rsidRPr="002C4077">
        <w:t xml:space="preserve"> </w:t>
      </w:r>
      <w:r>
        <w:t>une</w:t>
      </w:r>
      <w:r w:rsidRPr="002C4077">
        <w:t xml:space="preserve"> </w:t>
      </w:r>
      <w:r>
        <w:t>étonnante</w:t>
      </w:r>
      <w:r w:rsidRPr="002C4077">
        <w:t xml:space="preserve"> </w:t>
      </w:r>
      <w:r w:rsidR="00B546AF">
        <w:t>« </w:t>
      </w:r>
      <w:r>
        <w:t>dépense</w:t>
      </w:r>
      <w:r w:rsidRPr="002C4077">
        <w:t xml:space="preserve"> </w:t>
      </w:r>
      <w:r>
        <w:t>d’intelligence</w:t>
      </w:r>
      <w:r w:rsidRPr="002C4077">
        <w:t xml:space="preserve"> </w:t>
      </w:r>
      <w:r>
        <w:t>s</w:t>
      </w:r>
      <w:r w:rsidR="001730C6">
        <w:t>ag</w:t>
      </w:r>
      <w:r>
        <w:t>ace</w:t>
      </w:r>
      <w:r w:rsidRPr="002C4077">
        <w:t xml:space="preserve"> </w:t>
      </w:r>
      <w:r>
        <w:t>et</w:t>
      </w:r>
      <w:r w:rsidRPr="002C4077">
        <w:t xml:space="preserve"> </w:t>
      </w:r>
      <w:r>
        <w:t>de</w:t>
      </w:r>
      <w:r w:rsidRPr="002C4077">
        <w:t xml:space="preserve"> </w:t>
      </w:r>
      <w:r>
        <w:t>talent</w:t>
      </w:r>
      <w:r w:rsidR="00B546AF">
        <w:t> »</w:t>
      </w:r>
      <w:r>
        <w:t>,</w:t>
      </w:r>
      <w:r w:rsidRPr="002C4077">
        <w:t xml:space="preserve"> </w:t>
      </w:r>
      <w:r>
        <w:t>vient</w:t>
      </w:r>
      <w:r w:rsidRPr="002C4077">
        <w:t xml:space="preserve"> </w:t>
      </w:r>
      <w:r w:rsidR="00B546AF">
        <w:t>« </w:t>
      </w:r>
      <w:r>
        <w:t>d’assurer…</w:t>
      </w:r>
      <w:r w:rsidRPr="002C4077">
        <w:t xml:space="preserve"> </w:t>
      </w:r>
      <w:r>
        <w:t>aux</w:t>
      </w:r>
      <w:r w:rsidRPr="002C4077">
        <w:t xml:space="preserve"> </w:t>
      </w:r>
      <w:r>
        <w:t>études</w:t>
      </w:r>
      <w:r w:rsidRPr="002C4077">
        <w:t xml:space="preserve"> </w:t>
      </w:r>
      <w:r>
        <w:t>relatives</w:t>
      </w:r>
      <w:r w:rsidRPr="002C4077">
        <w:t xml:space="preserve"> </w:t>
      </w:r>
      <w:r>
        <w:t>aux</w:t>
      </w:r>
      <w:r w:rsidRPr="002C4077">
        <w:t xml:space="preserve"> </w:t>
      </w:r>
      <w:r>
        <w:t>origines</w:t>
      </w:r>
      <w:r w:rsidRPr="002C4077">
        <w:t xml:space="preserve"> </w:t>
      </w:r>
      <w:r>
        <w:t>du</w:t>
      </w:r>
      <w:r w:rsidRPr="002C4077">
        <w:t xml:space="preserve"> </w:t>
      </w:r>
      <w:r>
        <w:t>christianisme…</w:t>
      </w:r>
      <w:r w:rsidRPr="002C4077">
        <w:t xml:space="preserve"> </w:t>
      </w:r>
      <w:r>
        <w:t>la</w:t>
      </w:r>
      <w:r w:rsidRPr="002C4077">
        <w:t xml:space="preserve"> </w:t>
      </w:r>
      <w:r>
        <w:t>base</w:t>
      </w:r>
      <w:r w:rsidRPr="002C4077">
        <w:t xml:space="preserve"> </w:t>
      </w:r>
      <w:r>
        <w:t>solide</w:t>
      </w:r>
      <w:r w:rsidRPr="002C4077">
        <w:t xml:space="preserve"> </w:t>
      </w:r>
      <w:r>
        <w:t>qui</w:t>
      </w:r>
      <w:r w:rsidRPr="002C4077">
        <w:t xml:space="preserve"> </w:t>
      </w:r>
      <w:r>
        <w:t>leur</w:t>
      </w:r>
      <w:r w:rsidRPr="002C4077">
        <w:t xml:space="preserve"> </w:t>
      </w:r>
      <w:r>
        <w:t>faisait</w:t>
      </w:r>
      <w:r w:rsidRPr="002C4077">
        <w:t xml:space="preserve"> </w:t>
      </w:r>
      <w:r>
        <w:t>défaut</w:t>
      </w:r>
      <w:r w:rsidRPr="002C4077">
        <w:t xml:space="preserve"> </w:t>
      </w:r>
      <w:r>
        <w:t>chez</w:t>
      </w:r>
      <w:r w:rsidRPr="002C4077">
        <w:t xml:space="preserve"> </w:t>
      </w:r>
      <w:r>
        <w:t>nous</w:t>
      </w:r>
      <w:r w:rsidRPr="002C4077">
        <w:t xml:space="preserve"> </w:t>
      </w:r>
      <w:r>
        <w:t>jusqu’à</w:t>
      </w:r>
      <w:r w:rsidRPr="002C4077">
        <w:t xml:space="preserve"> </w:t>
      </w:r>
      <w:r w:rsidR="0075326F">
        <w:t>présent</w:t>
      </w:r>
      <w:r w:rsidR="0075326F">
        <w:rPr>
          <w:rStyle w:val="Appelnotedebasdep"/>
        </w:rPr>
        <w:footnoteReference w:id="483"/>
      </w:r>
      <w:r w:rsidR="00B546AF">
        <w:t> »</w:t>
      </w:r>
      <w:r>
        <w:t>.</w:t>
      </w:r>
      <w:r w:rsidRPr="002C4077">
        <w:t xml:space="preserve"> </w:t>
      </w:r>
    </w:p>
    <w:p w:rsidR="000A7AAB" w:rsidRDefault="000A7AAB" w:rsidP="000A7AAB">
      <w:r>
        <w:t>J’avoue</w:t>
      </w:r>
      <w:r w:rsidRPr="002C4077">
        <w:t xml:space="preserve"> </w:t>
      </w:r>
      <w:r>
        <w:t>n’avoir</w:t>
      </w:r>
      <w:r w:rsidRPr="002C4077">
        <w:t xml:space="preserve"> </w:t>
      </w:r>
      <w:r>
        <w:t>pas</w:t>
      </w:r>
      <w:r w:rsidRPr="002C4077">
        <w:t xml:space="preserve"> </w:t>
      </w:r>
      <w:r>
        <w:t>bien</w:t>
      </w:r>
      <w:r w:rsidRPr="002C4077">
        <w:t xml:space="preserve"> </w:t>
      </w:r>
      <w:r>
        <w:t>saisi.</w:t>
      </w:r>
      <w:r w:rsidRPr="002C4077">
        <w:t xml:space="preserve"> </w:t>
      </w:r>
      <w:r>
        <w:t>Sur</w:t>
      </w:r>
      <w:r w:rsidRPr="002C4077">
        <w:t xml:space="preserve"> </w:t>
      </w:r>
      <w:r>
        <w:t>vingt-sept</w:t>
      </w:r>
      <w:r w:rsidRPr="002C4077">
        <w:t xml:space="preserve"> </w:t>
      </w:r>
      <w:r>
        <w:t>colonnes</w:t>
      </w:r>
      <w:r w:rsidRPr="002C4077">
        <w:t xml:space="preserve"> </w:t>
      </w:r>
      <w:r>
        <w:t>qui</w:t>
      </w:r>
      <w:r w:rsidRPr="002C4077">
        <w:t xml:space="preserve"> </w:t>
      </w:r>
      <w:r>
        <w:t>contribuaient</w:t>
      </w:r>
      <w:r w:rsidRPr="002C4077">
        <w:t xml:space="preserve"> </w:t>
      </w:r>
      <w:r>
        <w:t>à</w:t>
      </w:r>
      <w:r w:rsidRPr="002C4077">
        <w:t xml:space="preserve"> </w:t>
      </w:r>
      <w:r>
        <w:t>soutenir</w:t>
      </w:r>
      <w:r w:rsidRPr="002C4077">
        <w:t xml:space="preserve"> </w:t>
      </w:r>
      <w:r>
        <w:t>un</w:t>
      </w:r>
      <w:r w:rsidRPr="002C4077">
        <w:t xml:space="preserve"> </w:t>
      </w:r>
      <w:r>
        <w:t>édifice,</w:t>
      </w:r>
      <w:r w:rsidRPr="002C4077">
        <w:t xml:space="preserve"> </w:t>
      </w:r>
      <w:r>
        <w:t>en</w:t>
      </w:r>
      <w:r w:rsidRPr="002C4077">
        <w:t xml:space="preserve"> </w:t>
      </w:r>
      <w:r>
        <w:t>renverser</w:t>
      </w:r>
      <w:r w:rsidRPr="002C4077">
        <w:t xml:space="preserve"> </w:t>
      </w:r>
      <w:r>
        <w:t>vingt-trois</w:t>
      </w:r>
      <w:r w:rsidRPr="002C4077">
        <w:t xml:space="preserve"> </w:t>
      </w:r>
      <w:r>
        <w:t>et</w:t>
      </w:r>
      <w:r w:rsidRPr="002C4077">
        <w:t xml:space="preserve"> </w:t>
      </w:r>
      <w:r>
        <w:t>en</w:t>
      </w:r>
      <w:r w:rsidRPr="002C4077">
        <w:t xml:space="preserve"> </w:t>
      </w:r>
      <w:r>
        <w:t>laisser</w:t>
      </w:r>
      <w:r w:rsidRPr="002C4077">
        <w:t xml:space="preserve"> </w:t>
      </w:r>
      <w:r>
        <w:t>quatre</w:t>
      </w:r>
      <w:r w:rsidRPr="002C4077">
        <w:t xml:space="preserve"> </w:t>
      </w:r>
      <w:r>
        <w:t>debout,</w:t>
      </w:r>
      <w:r w:rsidRPr="002C4077">
        <w:t xml:space="preserve"> </w:t>
      </w:r>
      <w:r>
        <w:t>cela</w:t>
      </w:r>
      <w:r w:rsidRPr="002C4077">
        <w:t xml:space="preserve"> </w:t>
      </w:r>
      <w:r>
        <w:t>s’appelle</w:t>
      </w:r>
      <w:r w:rsidRPr="002C4077">
        <w:t xml:space="preserve"> </w:t>
      </w:r>
      <w:r>
        <w:t>établir</w:t>
      </w:r>
      <w:r w:rsidRPr="002C4077">
        <w:t xml:space="preserve"> </w:t>
      </w:r>
      <w:r>
        <w:t>une</w:t>
      </w:r>
      <w:r w:rsidRPr="002C4077">
        <w:t xml:space="preserve"> </w:t>
      </w:r>
      <w:r>
        <w:t>base</w:t>
      </w:r>
      <w:r w:rsidRPr="002C4077">
        <w:t xml:space="preserve"> </w:t>
      </w:r>
      <w:r>
        <w:t>solide</w:t>
      </w:r>
      <w:r w:rsidR="00B546AF">
        <w:t> !</w:t>
      </w:r>
      <w:r w:rsidRPr="002C4077">
        <w:t xml:space="preserve"> </w:t>
      </w:r>
      <w:r>
        <w:t>Mais</w:t>
      </w:r>
      <w:r w:rsidRPr="002C4077">
        <w:t xml:space="preserve"> </w:t>
      </w:r>
      <w:r>
        <w:t>les</w:t>
      </w:r>
      <w:r w:rsidRPr="002C4077">
        <w:t xml:space="preserve"> </w:t>
      </w:r>
      <w:r>
        <w:t>critiques</w:t>
      </w:r>
      <w:r w:rsidRPr="002C4077">
        <w:t xml:space="preserve"> </w:t>
      </w:r>
      <w:r>
        <w:t>contemporains</w:t>
      </w:r>
      <w:r w:rsidRPr="002C4077">
        <w:t xml:space="preserve"> </w:t>
      </w:r>
      <w:r>
        <w:t>ont</w:t>
      </w:r>
      <w:r w:rsidRPr="002C4077">
        <w:t xml:space="preserve"> </w:t>
      </w:r>
      <w:r>
        <w:t>une</w:t>
      </w:r>
      <w:r w:rsidRPr="002C4077">
        <w:t xml:space="preserve"> </w:t>
      </w:r>
      <w:r>
        <w:t>nouvelle</w:t>
      </w:r>
      <w:r w:rsidRPr="002C4077">
        <w:t xml:space="preserve"> </w:t>
      </w:r>
      <w:r>
        <w:t>manière</w:t>
      </w:r>
      <w:r w:rsidRPr="002C4077">
        <w:t xml:space="preserve"> </w:t>
      </w:r>
      <w:r>
        <w:t>de</w:t>
      </w:r>
      <w:r w:rsidRPr="002C4077">
        <w:t xml:space="preserve"> </w:t>
      </w:r>
      <w:r>
        <w:t>comprendre</w:t>
      </w:r>
      <w:r w:rsidRPr="002C4077">
        <w:t xml:space="preserve"> </w:t>
      </w:r>
      <w:r>
        <w:t>les</w:t>
      </w:r>
      <w:r w:rsidRPr="002C4077">
        <w:t xml:space="preserve"> </w:t>
      </w:r>
      <w:r>
        <w:t>choses.</w:t>
      </w:r>
      <w:r w:rsidRPr="002C4077">
        <w:t xml:space="preserve"> </w:t>
      </w:r>
    </w:p>
    <w:p w:rsidR="00B868F2" w:rsidRDefault="00B868F2" w:rsidP="000A7AAB"/>
    <w:p w:rsidR="000A7AAB" w:rsidRDefault="000A7AAB" w:rsidP="000A7AAB">
      <w:r>
        <w:t>Nous</w:t>
      </w:r>
      <w:r w:rsidRPr="002C4077">
        <w:t xml:space="preserve"> </w:t>
      </w:r>
      <w:r>
        <w:t>n’essaierons</w:t>
      </w:r>
      <w:r w:rsidRPr="002C4077">
        <w:t xml:space="preserve"> </w:t>
      </w:r>
      <w:r>
        <w:t>pas</w:t>
      </w:r>
      <w:r w:rsidRPr="002C4077">
        <w:t xml:space="preserve"> </w:t>
      </w:r>
      <w:r>
        <w:t>ici</w:t>
      </w:r>
      <w:r w:rsidRPr="002C4077">
        <w:t xml:space="preserve"> </w:t>
      </w:r>
      <w:r>
        <w:t>de</w:t>
      </w:r>
      <w:r w:rsidRPr="002C4077">
        <w:t xml:space="preserve"> </w:t>
      </w:r>
      <w:r>
        <w:t>réfuter</w:t>
      </w:r>
      <w:r w:rsidRPr="002C4077">
        <w:t xml:space="preserve"> </w:t>
      </w:r>
      <w:r>
        <w:t>en</w:t>
      </w:r>
      <w:r w:rsidRPr="002C4077">
        <w:t xml:space="preserve"> </w:t>
      </w:r>
      <w:r>
        <w:t>détail</w:t>
      </w:r>
      <w:r w:rsidRPr="002C4077">
        <w:t xml:space="preserve"> </w:t>
      </w:r>
      <w:r>
        <w:t>les</w:t>
      </w:r>
      <w:r w:rsidRPr="002C4077">
        <w:t xml:space="preserve"> </w:t>
      </w:r>
      <w:r>
        <w:t>assertions</w:t>
      </w:r>
      <w:r w:rsidRPr="002C4077">
        <w:t xml:space="preserve"> </w:t>
      </w:r>
      <w:r>
        <w:t>de</w:t>
      </w:r>
      <w:r w:rsidRPr="002C4077">
        <w:t xml:space="preserve"> </w:t>
      </w:r>
      <w:r>
        <w:t>M.</w:t>
      </w:r>
      <w:r w:rsidRPr="002C4077">
        <w:t xml:space="preserve"> </w:t>
      </w:r>
      <w:r w:rsidR="007B3C26">
        <w:t>Ve</w:t>
      </w:r>
      <w:r>
        <w:t>rnes,</w:t>
      </w:r>
      <w:r w:rsidRPr="002C4077">
        <w:t xml:space="preserve"> </w:t>
      </w:r>
      <w:r>
        <w:t>ou</w:t>
      </w:r>
      <w:r w:rsidRPr="002C4077">
        <w:t xml:space="preserve"> </w:t>
      </w:r>
      <w:r>
        <w:t>plutôt</w:t>
      </w:r>
      <w:r w:rsidRPr="002C4077">
        <w:t xml:space="preserve"> </w:t>
      </w:r>
      <w:r>
        <w:t>de</w:t>
      </w:r>
      <w:r w:rsidRPr="002C4077">
        <w:t xml:space="preserve"> </w:t>
      </w:r>
      <w:r>
        <w:t>M.</w:t>
      </w:r>
      <w:r w:rsidRPr="002C4077">
        <w:t xml:space="preserve"> </w:t>
      </w:r>
      <w:r>
        <w:t>Reuss,</w:t>
      </w:r>
      <w:r w:rsidRPr="002C4077">
        <w:t xml:space="preserve"> </w:t>
      </w:r>
      <w:r>
        <w:t>car</w:t>
      </w:r>
      <w:r w:rsidRPr="002C4077">
        <w:t xml:space="preserve"> </w:t>
      </w:r>
      <w:r>
        <w:t>nous</w:t>
      </w:r>
      <w:r w:rsidRPr="002C4077">
        <w:t xml:space="preserve"> </w:t>
      </w:r>
      <w:r>
        <w:t>devrons</w:t>
      </w:r>
      <w:r w:rsidRPr="002C4077">
        <w:t xml:space="preserve"> </w:t>
      </w:r>
      <w:r>
        <w:t>ailleurs</w:t>
      </w:r>
      <w:r w:rsidR="00B91AF7">
        <w:rPr>
          <w:rStyle w:val="Appelnotedebasdep"/>
        </w:rPr>
        <w:footnoteReference w:id="484"/>
      </w:r>
      <w:r w:rsidRPr="002C4077">
        <w:t xml:space="preserve"> </w:t>
      </w:r>
      <w:r>
        <w:t>étudier</w:t>
      </w:r>
      <w:r w:rsidRPr="002C4077">
        <w:t xml:space="preserve"> </w:t>
      </w:r>
      <w:r>
        <w:t>sérieusement,</w:t>
      </w:r>
      <w:r w:rsidRPr="002C4077">
        <w:t xml:space="preserve"> </w:t>
      </w:r>
      <w:r>
        <w:t>solidement,</w:t>
      </w:r>
      <w:r w:rsidRPr="002C4077">
        <w:t xml:space="preserve"> </w:t>
      </w:r>
      <w:r>
        <w:t>avec</w:t>
      </w:r>
      <w:r w:rsidRPr="002C4077">
        <w:t xml:space="preserve"> </w:t>
      </w:r>
      <w:r>
        <w:t>toute</w:t>
      </w:r>
      <w:r w:rsidRPr="002C4077">
        <w:t xml:space="preserve"> </w:t>
      </w:r>
      <w:r>
        <w:t>l’étendue</w:t>
      </w:r>
      <w:r w:rsidRPr="002C4077">
        <w:t xml:space="preserve"> </w:t>
      </w:r>
      <w:r>
        <w:t>convenable,</w:t>
      </w:r>
      <w:r w:rsidRPr="002C4077">
        <w:t xml:space="preserve"> </w:t>
      </w:r>
      <w:r>
        <w:t>les</w:t>
      </w:r>
      <w:r w:rsidRPr="002C4077">
        <w:t xml:space="preserve"> </w:t>
      </w:r>
      <w:r>
        <w:t>origines,</w:t>
      </w:r>
      <w:r w:rsidRPr="002C4077">
        <w:t xml:space="preserve"> </w:t>
      </w:r>
      <w:r>
        <w:t>nous</w:t>
      </w:r>
      <w:r w:rsidRPr="002C4077">
        <w:t xml:space="preserve"> </w:t>
      </w:r>
      <w:r>
        <w:t>disons</w:t>
      </w:r>
      <w:r w:rsidRPr="002C4077">
        <w:t xml:space="preserve"> </w:t>
      </w:r>
      <w:r>
        <w:t>les</w:t>
      </w:r>
      <w:r w:rsidRPr="002C4077">
        <w:t xml:space="preserve"> </w:t>
      </w:r>
      <w:r w:rsidRPr="000A34B5">
        <w:rPr>
          <w:rStyle w:val="italicus"/>
        </w:rPr>
        <w:t>vraies</w:t>
      </w:r>
      <w:r w:rsidRPr="002C4077">
        <w:t xml:space="preserve"> </w:t>
      </w:r>
      <w:r>
        <w:t>origines</w:t>
      </w:r>
      <w:r w:rsidRPr="002C4077">
        <w:t xml:space="preserve"> </w:t>
      </w:r>
      <w:r>
        <w:t>du</w:t>
      </w:r>
      <w:r w:rsidRPr="002C4077">
        <w:t xml:space="preserve"> </w:t>
      </w:r>
      <w:r>
        <w:t>christianisme,</w:t>
      </w:r>
      <w:r w:rsidRPr="002C4077">
        <w:t xml:space="preserve"> </w:t>
      </w:r>
      <w:r>
        <w:t>et</w:t>
      </w:r>
      <w:r w:rsidRPr="002C4077">
        <w:t xml:space="preserve"> </w:t>
      </w:r>
      <w:r>
        <w:t>alors</w:t>
      </w:r>
      <w:r w:rsidRPr="002C4077">
        <w:t xml:space="preserve"> </w:t>
      </w:r>
      <w:r>
        <w:t>toutes</w:t>
      </w:r>
      <w:r w:rsidRPr="002C4077">
        <w:t xml:space="preserve"> </w:t>
      </w:r>
      <w:r>
        <w:t>les</w:t>
      </w:r>
      <w:r w:rsidRPr="002C4077">
        <w:t xml:space="preserve"> </w:t>
      </w:r>
      <w:r>
        <w:t>objections</w:t>
      </w:r>
      <w:r w:rsidRPr="002C4077">
        <w:t xml:space="preserve"> </w:t>
      </w:r>
      <w:r>
        <w:t>rationalistes</w:t>
      </w:r>
      <w:r w:rsidRPr="002C4077">
        <w:t xml:space="preserve"> </w:t>
      </w:r>
      <w:r>
        <w:t>seront</w:t>
      </w:r>
      <w:r w:rsidRPr="002C4077">
        <w:t xml:space="preserve"> </w:t>
      </w:r>
      <w:r>
        <w:t>jugées,</w:t>
      </w:r>
      <w:r w:rsidRPr="002C4077">
        <w:t xml:space="preserve"> </w:t>
      </w:r>
      <w:r>
        <w:t>passées</w:t>
      </w:r>
      <w:r w:rsidRPr="002C4077">
        <w:t xml:space="preserve"> </w:t>
      </w:r>
      <w:r>
        <w:t>au</w:t>
      </w:r>
      <w:r w:rsidRPr="002C4077">
        <w:t xml:space="preserve"> </w:t>
      </w:r>
      <w:r>
        <w:t>crible</w:t>
      </w:r>
      <w:r w:rsidRPr="002C4077">
        <w:t xml:space="preserve"> </w:t>
      </w:r>
      <w:r>
        <w:t>d’une</w:t>
      </w:r>
      <w:r w:rsidRPr="002C4077">
        <w:t xml:space="preserve"> </w:t>
      </w:r>
      <w:r>
        <w:t>critique</w:t>
      </w:r>
      <w:r w:rsidRPr="002C4077">
        <w:t xml:space="preserve"> </w:t>
      </w:r>
      <w:r>
        <w:t>saine</w:t>
      </w:r>
      <w:r w:rsidRPr="002C4077">
        <w:t xml:space="preserve"> </w:t>
      </w:r>
      <w:r>
        <w:t>et</w:t>
      </w:r>
      <w:r w:rsidRPr="002C4077">
        <w:t xml:space="preserve"> </w:t>
      </w:r>
      <w:r>
        <w:t>impartiale.</w:t>
      </w:r>
      <w:r w:rsidR="00C45B47">
        <w:t xml:space="preserve"> {</w:t>
      </w:r>
      <w:r w:rsidR="00B53529">
        <w:t>156</w:t>
      </w:r>
      <w:bookmarkStart w:id="419" w:name="p156"/>
      <w:bookmarkEnd w:id="419"/>
      <w:r w:rsidR="00B53529">
        <w:t xml:space="preserve">} </w:t>
      </w:r>
      <w:r>
        <w:t>Qu’il</w:t>
      </w:r>
      <w:r w:rsidRPr="002C4077">
        <w:t xml:space="preserve"> </w:t>
      </w:r>
      <w:r>
        <w:t>suffise</w:t>
      </w:r>
      <w:r w:rsidRPr="002C4077">
        <w:t xml:space="preserve"> </w:t>
      </w:r>
      <w:r>
        <w:t>donc</w:t>
      </w:r>
      <w:r w:rsidRPr="002C4077">
        <w:t xml:space="preserve"> </w:t>
      </w:r>
      <w:r>
        <w:t>d’un</w:t>
      </w:r>
      <w:r w:rsidRPr="002C4077">
        <w:t xml:space="preserve"> </w:t>
      </w:r>
      <w:r>
        <w:t>court</w:t>
      </w:r>
      <w:r w:rsidRPr="002C4077">
        <w:t xml:space="preserve"> </w:t>
      </w:r>
      <w:r>
        <w:t>raisonnement.</w:t>
      </w:r>
      <w:r w:rsidRPr="002C4077">
        <w:t xml:space="preserve"> </w:t>
      </w:r>
    </w:p>
    <w:p w:rsidR="000A7AAB" w:rsidRDefault="000A7AAB" w:rsidP="000A7AAB">
      <w:r>
        <w:t>Quelle</w:t>
      </w:r>
      <w:r w:rsidRPr="002C4077">
        <w:t xml:space="preserve"> </w:t>
      </w:r>
      <w:r>
        <w:t>a</w:t>
      </w:r>
      <w:r w:rsidRPr="002C4077">
        <w:t xml:space="preserve"> </w:t>
      </w:r>
      <w:r>
        <w:t>toujours</w:t>
      </w:r>
      <w:r w:rsidRPr="002C4077">
        <w:t xml:space="preserve"> </w:t>
      </w:r>
      <w:r>
        <w:t>été,</w:t>
      </w:r>
      <w:r w:rsidRPr="002C4077">
        <w:t xml:space="preserve"> </w:t>
      </w:r>
      <w:r>
        <w:t>quelle</w:t>
      </w:r>
      <w:r w:rsidRPr="002C4077">
        <w:t xml:space="preserve"> </w:t>
      </w:r>
      <w:r>
        <w:t>sera</w:t>
      </w:r>
      <w:r w:rsidRPr="002C4077">
        <w:t xml:space="preserve"> </w:t>
      </w:r>
      <w:r>
        <w:t>toujours,</w:t>
      </w:r>
      <w:r w:rsidRPr="002C4077">
        <w:t xml:space="preserve"> </w:t>
      </w:r>
      <w:r>
        <w:t>en</w:t>
      </w:r>
      <w:r w:rsidRPr="002C4077">
        <w:t xml:space="preserve"> </w:t>
      </w:r>
      <w:r>
        <w:t>fait</w:t>
      </w:r>
      <w:r w:rsidRPr="002C4077">
        <w:t xml:space="preserve"> </w:t>
      </w:r>
      <w:r>
        <w:t>d’authenticité</w:t>
      </w:r>
      <w:r w:rsidRPr="002C4077">
        <w:t xml:space="preserve"> </w:t>
      </w:r>
      <w:r>
        <w:t>littéraire,</w:t>
      </w:r>
      <w:r w:rsidRPr="002C4077">
        <w:t xml:space="preserve"> </w:t>
      </w:r>
      <w:r>
        <w:t>la</w:t>
      </w:r>
      <w:r w:rsidRPr="002C4077">
        <w:t xml:space="preserve"> </w:t>
      </w:r>
      <w:r>
        <w:t>preuve</w:t>
      </w:r>
      <w:r w:rsidRPr="002C4077">
        <w:t xml:space="preserve"> </w:t>
      </w:r>
      <w:r>
        <w:t>par</w:t>
      </w:r>
      <w:r w:rsidRPr="002C4077">
        <w:t xml:space="preserve"> </w:t>
      </w:r>
      <w:r>
        <w:t>excellence</w:t>
      </w:r>
      <w:r w:rsidR="00B546AF">
        <w:t> ?</w:t>
      </w:r>
      <w:r w:rsidRPr="002C4077">
        <w:t xml:space="preserve"> </w:t>
      </w:r>
      <w:r>
        <w:t>Est</w:t>
      </w:r>
      <w:r w:rsidR="00534AD9">
        <w:t>-</w:t>
      </w:r>
      <w:r>
        <w:t>elle</w:t>
      </w:r>
      <w:r w:rsidRPr="002C4077">
        <w:t xml:space="preserve"> </w:t>
      </w:r>
      <w:r>
        <w:t>objective</w:t>
      </w:r>
      <w:r w:rsidRPr="002C4077">
        <w:t xml:space="preserve"> </w:t>
      </w:r>
      <w:r>
        <w:t>ou</w:t>
      </w:r>
      <w:r w:rsidRPr="002C4077">
        <w:t xml:space="preserve"> </w:t>
      </w:r>
      <w:r>
        <w:t>subjective</w:t>
      </w:r>
      <w:r w:rsidR="00B546AF">
        <w:t> ?</w:t>
      </w:r>
      <w:r w:rsidRPr="002C4077">
        <w:t xml:space="preserve"> </w:t>
      </w:r>
      <w:r>
        <w:t>Vient-elle</w:t>
      </w:r>
      <w:r w:rsidRPr="002C4077">
        <w:t xml:space="preserve"> </w:t>
      </w:r>
      <w:r>
        <w:t>du</w:t>
      </w:r>
      <w:r w:rsidRPr="002C4077">
        <w:t xml:space="preserve"> </w:t>
      </w:r>
      <w:r>
        <w:t>dehors</w:t>
      </w:r>
      <w:r w:rsidRPr="002C4077">
        <w:t xml:space="preserve"> </w:t>
      </w:r>
      <w:r>
        <w:t>ou</w:t>
      </w:r>
      <w:r w:rsidRPr="002C4077">
        <w:t xml:space="preserve"> </w:t>
      </w:r>
      <w:r>
        <w:t>du</w:t>
      </w:r>
      <w:r w:rsidRPr="002C4077">
        <w:t xml:space="preserve"> </w:t>
      </w:r>
      <w:r>
        <w:t>dedans</w:t>
      </w:r>
      <w:r w:rsidR="00B546AF">
        <w:t> ?</w:t>
      </w:r>
      <w:r w:rsidRPr="002C4077">
        <w:t xml:space="preserve"> </w:t>
      </w:r>
      <w:r>
        <w:t>Les</w:t>
      </w:r>
      <w:r w:rsidRPr="002C4077">
        <w:t xml:space="preserve"> </w:t>
      </w:r>
      <w:r>
        <w:t>philosophes</w:t>
      </w:r>
      <w:r w:rsidRPr="002C4077">
        <w:t xml:space="preserve"> </w:t>
      </w:r>
      <w:r>
        <w:t>répondent</w:t>
      </w:r>
      <w:r w:rsidRPr="002C4077">
        <w:t xml:space="preserve"> </w:t>
      </w:r>
      <w:r>
        <w:t>à</w:t>
      </w:r>
      <w:r w:rsidRPr="002C4077">
        <w:t xml:space="preserve"> </w:t>
      </w:r>
      <w:r>
        <w:t>l’envi</w:t>
      </w:r>
      <w:r w:rsidR="00B546AF">
        <w:t> :</w:t>
      </w:r>
      <w:r w:rsidRPr="002C4077">
        <w:t xml:space="preserve"> </w:t>
      </w:r>
      <w:r>
        <w:t>En</w:t>
      </w:r>
      <w:r w:rsidRPr="002C4077">
        <w:t xml:space="preserve"> </w:t>
      </w:r>
      <w:r>
        <w:t>pareil</w:t>
      </w:r>
      <w:r w:rsidRPr="002C4077">
        <w:t xml:space="preserve"> </w:t>
      </w:r>
      <w:r>
        <w:t>cas,</w:t>
      </w:r>
      <w:r w:rsidRPr="002C4077">
        <w:t xml:space="preserve"> </w:t>
      </w:r>
      <w:r>
        <w:t>la</w:t>
      </w:r>
      <w:r w:rsidRPr="002C4077">
        <w:t xml:space="preserve"> </w:t>
      </w:r>
      <w:r>
        <w:t>meilleure</w:t>
      </w:r>
      <w:r w:rsidRPr="002C4077">
        <w:t xml:space="preserve"> </w:t>
      </w:r>
      <w:r>
        <w:t>démonstration</w:t>
      </w:r>
      <w:r w:rsidRPr="002C4077">
        <w:t xml:space="preserve"> </w:t>
      </w:r>
      <w:r w:rsidR="00425C50">
        <w:t>est</w:t>
      </w:r>
      <w:r w:rsidRPr="002C4077">
        <w:t xml:space="preserve"> </w:t>
      </w:r>
      <w:r>
        <w:t>extrinsèque</w:t>
      </w:r>
      <w:r w:rsidRPr="002C4077">
        <w:t xml:space="preserve"> </w:t>
      </w:r>
      <w:r>
        <w:t>et</w:t>
      </w:r>
      <w:r w:rsidRPr="002C4077">
        <w:t xml:space="preserve"> </w:t>
      </w:r>
      <w:r>
        <w:t>s’appuie</w:t>
      </w:r>
      <w:r w:rsidRPr="002C4077">
        <w:t xml:space="preserve"> </w:t>
      </w:r>
      <w:r>
        <w:t>sur</w:t>
      </w:r>
      <w:r w:rsidRPr="002C4077">
        <w:t xml:space="preserve"> </w:t>
      </w:r>
      <w:r>
        <w:t>le</w:t>
      </w:r>
      <w:r w:rsidRPr="002C4077">
        <w:t xml:space="preserve"> </w:t>
      </w:r>
      <w:r>
        <w:t>témoignage.</w:t>
      </w:r>
      <w:r w:rsidRPr="002C4077">
        <w:t xml:space="preserve"> </w:t>
      </w:r>
      <w:r>
        <w:t>Or,</w:t>
      </w:r>
      <w:r w:rsidRPr="002C4077">
        <w:t xml:space="preserve"> </w:t>
      </w:r>
      <w:r>
        <w:t>l’authenticité</w:t>
      </w:r>
      <w:r w:rsidRPr="002C4077">
        <w:t xml:space="preserve"> </w:t>
      </w:r>
      <w:r>
        <w:t>des</w:t>
      </w:r>
      <w:r w:rsidRPr="002C4077">
        <w:t xml:space="preserve"> </w:t>
      </w:r>
      <w:r>
        <w:t>livres</w:t>
      </w:r>
      <w:r w:rsidRPr="002C4077">
        <w:t xml:space="preserve"> </w:t>
      </w:r>
      <w:r>
        <w:t>qui</w:t>
      </w:r>
      <w:r w:rsidRPr="002C4077">
        <w:t xml:space="preserve"> </w:t>
      </w:r>
      <w:r>
        <w:t>composent</w:t>
      </w:r>
      <w:r w:rsidRPr="002C4077">
        <w:t xml:space="preserve"> </w:t>
      </w:r>
      <w:r>
        <w:t>le</w:t>
      </w:r>
      <w:r w:rsidRPr="002C4077">
        <w:t xml:space="preserve"> </w:t>
      </w:r>
      <w:r>
        <w:t>Nouveau</w:t>
      </w:r>
      <w:r w:rsidRPr="002C4077">
        <w:t xml:space="preserve"> </w:t>
      </w:r>
      <w:r>
        <w:t>Testament</w:t>
      </w:r>
      <w:r w:rsidRPr="002C4077">
        <w:t xml:space="preserve"> </w:t>
      </w:r>
      <w:r w:rsidR="00425C50">
        <w:t>est</w:t>
      </w:r>
      <w:r w:rsidRPr="002C4077">
        <w:t xml:space="preserve"> </w:t>
      </w:r>
      <w:r>
        <w:t>en</w:t>
      </w:r>
      <w:r w:rsidRPr="002C4077">
        <w:t xml:space="preserve"> </w:t>
      </w:r>
      <w:r>
        <w:t>effet</w:t>
      </w:r>
      <w:r w:rsidRPr="002C4077">
        <w:t xml:space="preserve"> </w:t>
      </w:r>
      <w:r>
        <w:t>garantie</w:t>
      </w:r>
      <w:r w:rsidRPr="002C4077">
        <w:t xml:space="preserve"> </w:t>
      </w:r>
      <w:r>
        <w:t>par</w:t>
      </w:r>
      <w:r w:rsidRPr="002C4077">
        <w:t xml:space="preserve"> </w:t>
      </w:r>
      <w:r>
        <w:t>des</w:t>
      </w:r>
      <w:r w:rsidRPr="002C4077">
        <w:t xml:space="preserve"> </w:t>
      </w:r>
      <w:r>
        <w:t>milliers</w:t>
      </w:r>
      <w:r w:rsidRPr="002C4077">
        <w:t xml:space="preserve"> </w:t>
      </w:r>
      <w:r>
        <w:t>de</w:t>
      </w:r>
      <w:r w:rsidRPr="002C4077">
        <w:t xml:space="preserve"> </w:t>
      </w:r>
      <w:r>
        <w:t>témoignages,</w:t>
      </w:r>
      <w:r w:rsidRPr="002C4077">
        <w:t xml:space="preserve"> </w:t>
      </w:r>
      <w:r>
        <w:t>qui</w:t>
      </w:r>
      <w:r w:rsidRPr="002C4077">
        <w:t xml:space="preserve"> </w:t>
      </w:r>
      <w:r>
        <w:t>remontent</w:t>
      </w:r>
      <w:r w:rsidRPr="002C4077">
        <w:t xml:space="preserve"> </w:t>
      </w:r>
      <w:r>
        <w:t>presque</w:t>
      </w:r>
      <w:r w:rsidRPr="002C4077">
        <w:t xml:space="preserve"> </w:t>
      </w:r>
      <w:r>
        <w:t>jusqu’à</w:t>
      </w:r>
      <w:r w:rsidRPr="002C4077">
        <w:t xml:space="preserve"> </w:t>
      </w:r>
      <w:r>
        <w:t>la</w:t>
      </w:r>
      <w:r w:rsidRPr="002C4077">
        <w:t xml:space="preserve"> </w:t>
      </w:r>
      <w:r>
        <w:t>composition</w:t>
      </w:r>
      <w:r w:rsidRPr="002C4077">
        <w:t xml:space="preserve"> </w:t>
      </w:r>
      <w:r>
        <w:t>des</w:t>
      </w:r>
      <w:r w:rsidRPr="002C4077">
        <w:t xml:space="preserve"> </w:t>
      </w:r>
      <w:r>
        <w:t>écrits</w:t>
      </w:r>
      <w:r w:rsidRPr="002C4077">
        <w:t xml:space="preserve"> </w:t>
      </w:r>
      <w:r>
        <w:t>inspirés</w:t>
      </w:r>
      <w:r w:rsidR="00B546AF">
        <w:t> !</w:t>
      </w:r>
      <w:r w:rsidRPr="002C4077">
        <w:t xml:space="preserve"> </w:t>
      </w:r>
    </w:p>
    <w:p w:rsidR="000A7AAB" w:rsidRDefault="000A7AAB" w:rsidP="000A7AAB">
      <w:r>
        <w:t>À</w:t>
      </w:r>
      <w:r w:rsidRPr="002C4077">
        <w:t xml:space="preserve"> </w:t>
      </w:r>
      <w:r>
        <w:t>cette</w:t>
      </w:r>
      <w:r w:rsidRPr="002C4077">
        <w:t xml:space="preserve"> </w:t>
      </w:r>
      <w:r>
        <w:t>tradition,</w:t>
      </w:r>
      <w:r w:rsidRPr="002C4077">
        <w:t xml:space="preserve"> </w:t>
      </w:r>
      <w:r>
        <w:t>qu’opposent</w:t>
      </w:r>
      <w:r w:rsidRPr="002C4077">
        <w:t xml:space="preserve"> </w:t>
      </w:r>
      <w:r>
        <w:t>nos</w:t>
      </w:r>
      <w:r w:rsidRPr="002C4077">
        <w:t xml:space="preserve"> </w:t>
      </w:r>
      <w:r>
        <w:t>adversaires</w:t>
      </w:r>
      <w:r w:rsidR="00B546AF">
        <w:t> ?</w:t>
      </w:r>
      <w:r w:rsidRPr="002C4077">
        <w:t xml:space="preserve"> </w:t>
      </w:r>
      <w:r>
        <w:t>Des</w:t>
      </w:r>
      <w:r w:rsidRPr="002C4077">
        <w:t xml:space="preserve"> </w:t>
      </w:r>
      <w:r>
        <w:t>théories</w:t>
      </w:r>
      <w:r w:rsidRPr="002C4077">
        <w:t xml:space="preserve"> </w:t>
      </w:r>
      <w:r>
        <w:t>nées</w:t>
      </w:r>
      <w:r w:rsidRPr="002C4077">
        <w:t xml:space="preserve"> </w:t>
      </w:r>
      <w:r>
        <w:t>d’hier</w:t>
      </w:r>
      <w:bookmarkStart w:id="420" w:name="z_RationalistesHardiesses_o8"/>
      <w:bookmarkEnd w:id="420"/>
      <w:r>
        <w:t>,</w:t>
      </w:r>
      <w:r w:rsidRPr="002C4077">
        <w:t xml:space="preserve"> </w:t>
      </w:r>
      <w:r>
        <w:t>des</w:t>
      </w:r>
      <w:r w:rsidRPr="002C4077">
        <w:t xml:space="preserve"> </w:t>
      </w:r>
      <w:r>
        <w:t>combinaisons</w:t>
      </w:r>
      <w:r w:rsidRPr="002C4077">
        <w:t xml:space="preserve"> </w:t>
      </w:r>
      <w:r>
        <w:t>inventées</w:t>
      </w:r>
      <w:r w:rsidRPr="002C4077">
        <w:t xml:space="preserve"> </w:t>
      </w:r>
      <w:r>
        <w:t>à</w:t>
      </w:r>
      <w:r w:rsidRPr="002C4077">
        <w:t xml:space="preserve"> </w:t>
      </w:r>
      <w:r>
        <w:t>plaisir,</w:t>
      </w:r>
      <w:r w:rsidRPr="002C4077">
        <w:t xml:space="preserve"> </w:t>
      </w:r>
      <w:r>
        <w:t>qui</w:t>
      </w:r>
      <w:r w:rsidRPr="002C4077">
        <w:t xml:space="preserve"> </w:t>
      </w:r>
      <w:r>
        <w:t>se</w:t>
      </w:r>
      <w:r w:rsidRPr="002C4077">
        <w:t xml:space="preserve"> </w:t>
      </w:r>
      <w:r>
        <w:t>contredisent</w:t>
      </w:r>
      <w:r w:rsidRPr="002C4077">
        <w:t xml:space="preserve"> </w:t>
      </w:r>
      <w:r>
        <w:t>mutuellement,</w:t>
      </w:r>
      <w:r w:rsidRPr="002C4077">
        <w:t xml:space="preserve"> </w:t>
      </w:r>
      <w:r>
        <w:t>qui</w:t>
      </w:r>
      <w:r w:rsidRPr="002C4077">
        <w:t xml:space="preserve"> </w:t>
      </w:r>
      <w:r>
        <w:t>changent</w:t>
      </w:r>
      <w:r w:rsidRPr="002C4077">
        <w:t xml:space="preserve"> </w:t>
      </w:r>
      <w:r>
        <w:t>à</w:t>
      </w:r>
      <w:r w:rsidRPr="002C4077">
        <w:t xml:space="preserve"> </w:t>
      </w:r>
      <w:r>
        <w:t>chaque</w:t>
      </w:r>
      <w:r w:rsidRPr="002C4077">
        <w:t xml:space="preserve"> </w:t>
      </w:r>
      <w:r>
        <w:t>nouvelle</w:t>
      </w:r>
      <w:r w:rsidRPr="002C4077">
        <w:t xml:space="preserve"> </w:t>
      </w:r>
      <w:r>
        <w:t>lune.</w:t>
      </w:r>
      <w:r w:rsidRPr="002C4077">
        <w:t xml:space="preserve"> </w:t>
      </w:r>
    </w:p>
    <w:p w:rsidR="000A7AAB" w:rsidRDefault="000A7AAB" w:rsidP="000A7AAB">
      <w:r>
        <w:t>Voyez</w:t>
      </w:r>
      <w:r w:rsidRPr="002C4077">
        <w:t xml:space="preserve"> </w:t>
      </w:r>
      <w:r>
        <w:t>cette</w:t>
      </w:r>
      <w:r w:rsidRPr="002C4077">
        <w:t xml:space="preserve"> </w:t>
      </w:r>
      <w:r>
        <w:t>montagne</w:t>
      </w:r>
      <w:r w:rsidRPr="002C4077">
        <w:t xml:space="preserve"> </w:t>
      </w:r>
      <w:r>
        <w:t>gigantesque</w:t>
      </w:r>
      <w:r w:rsidRPr="002C4077">
        <w:t xml:space="preserve"> </w:t>
      </w:r>
      <w:r>
        <w:t>dont</w:t>
      </w:r>
      <w:r w:rsidRPr="002C4077">
        <w:t xml:space="preserve"> </w:t>
      </w:r>
      <w:r>
        <w:t>les</w:t>
      </w:r>
      <w:r w:rsidRPr="002C4077">
        <w:t xml:space="preserve"> </w:t>
      </w:r>
      <w:r>
        <w:t>flancs</w:t>
      </w:r>
      <w:r w:rsidRPr="002C4077">
        <w:t xml:space="preserve"> </w:t>
      </w:r>
      <w:r>
        <w:t>sont</w:t>
      </w:r>
      <w:r w:rsidRPr="002C4077">
        <w:t xml:space="preserve"> </w:t>
      </w:r>
      <w:r>
        <w:t>de</w:t>
      </w:r>
      <w:r w:rsidRPr="002C4077">
        <w:t xml:space="preserve"> </w:t>
      </w:r>
      <w:r>
        <w:t>granit.</w:t>
      </w:r>
      <w:r w:rsidRPr="002C4077">
        <w:t xml:space="preserve"> </w:t>
      </w:r>
      <w:r>
        <w:t>Voyez</w:t>
      </w:r>
      <w:r w:rsidRPr="002C4077">
        <w:t xml:space="preserve"> </w:t>
      </w:r>
      <w:r>
        <w:t>cette</w:t>
      </w:r>
      <w:r w:rsidRPr="002C4077">
        <w:t xml:space="preserve"> </w:t>
      </w:r>
      <w:r>
        <w:t>colline</w:t>
      </w:r>
      <w:r w:rsidRPr="002C4077">
        <w:t xml:space="preserve"> </w:t>
      </w:r>
      <w:r>
        <w:t>de</w:t>
      </w:r>
      <w:r w:rsidRPr="002C4077">
        <w:t xml:space="preserve"> </w:t>
      </w:r>
      <w:r>
        <w:t>sable</w:t>
      </w:r>
      <w:r w:rsidRPr="002C4077">
        <w:t xml:space="preserve"> </w:t>
      </w:r>
      <w:r>
        <w:t>mouvant.</w:t>
      </w:r>
      <w:r w:rsidRPr="002C4077">
        <w:t xml:space="preserve"> </w:t>
      </w:r>
      <w:r>
        <w:t>La</w:t>
      </w:r>
      <w:r w:rsidRPr="002C4077">
        <w:t xml:space="preserve"> </w:t>
      </w:r>
      <w:r>
        <w:t>montagne,</w:t>
      </w:r>
      <w:r w:rsidRPr="002C4077">
        <w:t xml:space="preserve"> </w:t>
      </w:r>
      <w:r>
        <w:t>c’est</w:t>
      </w:r>
      <w:r w:rsidRPr="002C4077">
        <w:t xml:space="preserve"> </w:t>
      </w:r>
      <w:r>
        <w:t>la</w:t>
      </w:r>
      <w:r w:rsidRPr="002C4077">
        <w:t xml:space="preserve"> </w:t>
      </w:r>
      <w:r>
        <w:t>tradition</w:t>
      </w:r>
      <w:r w:rsidRPr="002C4077">
        <w:t xml:space="preserve"> </w:t>
      </w:r>
      <w:r>
        <w:t>orthodoxe,</w:t>
      </w:r>
      <w:r w:rsidRPr="002C4077">
        <w:t xml:space="preserve"> </w:t>
      </w:r>
      <w:r>
        <w:t>hétérodoxe,</w:t>
      </w:r>
      <w:r w:rsidRPr="002C4077">
        <w:t xml:space="preserve"> </w:t>
      </w:r>
      <w:r>
        <w:t>monumentale,</w:t>
      </w:r>
      <w:r w:rsidRPr="002C4077">
        <w:t xml:space="preserve"> </w:t>
      </w:r>
      <w:r>
        <w:t>littéraire,</w:t>
      </w:r>
      <w:r w:rsidRPr="002C4077">
        <w:t xml:space="preserve"> </w:t>
      </w:r>
      <w:r>
        <w:t>qui</w:t>
      </w:r>
      <w:r w:rsidRPr="002C4077">
        <w:t xml:space="preserve"> </w:t>
      </w:r>
      <w:r>
        <w:t>garantit</w:t>
      </w:r>
      <w:r w:rsidRPr="002C4077">
        <w:t xml:space="preserve"> </w:t>
      </w:r>
      <w:r>
        <w:t>l’authenticité</w:t>
      </w:r>
      <w:r w:rsidRPr="002C4077">
        <w:t xml:space="preserve"> </w:t>
      </w:r>
      <w:r>
        <w:t>du</w:t>
      </w:r>
      <w:r w:rsidRPr="002C4077">
        <w:t xml:space="preserve"> </w:t>
      </w:r>
      <w:r>
        <w:t>Nouveau</w:t>
      </w:r>
      <w:r w:rsidRPr="002C4077">
        <w:t xml:space="preserve"> </w:t>
      </w:r>
      <w:r>
        <w:t>Testament.</w:t>
      </w:r>
      <w:r w:rsidRPr="002C4077">
        <w:t xml:space="preserve"> </w:t>
      </w:r>
      <w:r>
        <w:t>La</w:t>
      </w:r>
      <w:r w:rsidRPr="002C4077">
        <w:t xml:space="preserve"> </w:t>
      </w:r>
      <w:r>
        <w:t>colline,</w:t>
      </w:r>
      <w:r w:rsidRPr="002C4077">
        <w:t xml:space="preserve"> </w:t>
      </w:r>
      <w:r>
        <w:t>c’est</w:t>
      </w:r>
      <w:r w:rsidRPr="002C4077">
        <w:t xml:space="preserve"> </w:t>
      </w:r>
      <w:r>
        <w:t>le</w:t>
      </w:r>
      <w:r w:rsidRPr="002C4077">
        <w:t xml:space="preserve"> </w:t>
      </w:r>
      <w:r>
        <w:t>système</w:t>
      </w:r>
      <w:r w:rsidRPr="002C4077">
        <w:t xml:space="preserve"> </w:t>
      </w:r>
      <w:r>
        <w:t>d’emprunt</w:t>
      </w:r>
      <w:r w:rsidRPr="002C4077">
        <w:t xml:space="preserve"> </w:t>
      </w:r>
      <w:r>
        <w:t>de</w:t>
      </w:r>
      <w:r w:rsidRPr="002C4077">
        <w:t xml:space="preserve"> </w:t>
      </w:r>
      <w:r>
        <w:t>M.</w:t>
      </w:r>
      <w:r w:rsidRPr="002C4077">
        <w:t xml:space="preserve"> </w:t>
      </w:r>
      <w:r>
        <w:t>Maurice</w:t>
      </w:r>
      <w:r w:rsidRPr="002C4077">
        <w:t xml:space="preserve"> </w:t>
      </w:r>
      <w:r w:rsidR="007B3C26">
        <w:t>Ve</w:t>
      </w:r>
      <w:r>
        <w:t>rnes.</w:t>
      </w:r>
      <w:r w:rsidRPr="002C4077">
        <w:t xml:space="preserve"> </w:t>
      </w:r>
    </w:p>
    <w:p w:rsidR="00B868F2" w:rsidRDefault="00DD64E0" w:rsidP="00DD64E0">
      <w:pPr>
        <w:pStyle w:val="centrum"/>
      </w:pPr>
      <w:r>
        <w:t>———</w:t>
      </w:r>
    </w:p>
    <w:p w:rsidR="00DD64E0" w:rsidRDefault="00DD64E0" w:rsidP="00DD64E0">
      <w:pPr>
        <w:pStyle w:val="nota"/>
        <w:rPr>
          <w:lang w:eastAsia="fr-FR"/>
        </w:rPr>
      </w:pPr>
      <w:r>
        <w:rPr>
          <w:lang w:eastAsia="fr-FR"/>
        </w:rPr>
        <w:t>Au</w:t>
      </w:r>
      <w:bookmarkStart w:id="421" w:name="z_Fontane_o1"/>
      <w:bookmarkEnd w:id="421"/>
      <w:r>
        <w:rPr>
          <w:lang w:eastAsia="fr-FR"/>
        </w:rPr>
        <w:t xml:space="preserve"> moment</w:t>
      </w:r>
      <w:bookmarkStart w:id="422" w:name="z_TestamentAncien_o1"/>
      <w:bookmarkEnd w:id="422"/>
      <w:r>
        <w:rPr>
          <w:lang w:eastAsia="fr-FR"/>
        </w:rPr>
        <w:t xml:space="preserve"> d’imprimer ces lignes, nous lisons dans le volume récemment publié par M. Marius Fontane,</w:t>
      </w:r>
      <w:r w:rsidRPr="0044481F">
        <w:rPr>
          <w:rStyle w:val="italicus"/>
        </w:rPr>
        <w:t xml:space="preserve"> Les Asiatiques</w:t>
      </w:r>
      <w:r>
        <w:rPr>
          <w:lang w:eastAsia="fr-FR"/>
        </w:rPr>
        <w:t xml:space="preserve"> (tome II de son</w:t>
      </w:r>
      <w:r w:rsidRPr="0044481F">
        <w:rPr>
          <w:rStyle w:val="italicus"/>
        </w:rPr>
        <w:t xml:space="preserve"> Histoire universelle</w:t>
      </w:r>
      <w:r w:rsidRPr="00BA383E">
        <w:t xml:space="preserve">), </w:t>
      </w:r>
      <w:r>
        <w:rPr>
          <w:lang w:eastAsia="fr-FR"/>
        </w:rPr>
        <w:t>un chapitre qui pourrait servir de digne pendant à l’article de M. Vernes. Qu’on nous permette d’en citer quelques extraits ; le lecteur verra ce que la nouvelle école d’interprétation biblique</w:t>
      </w:r>
      <w:r w:rsidRPr="0044481F">
        <w:rPr>
          <w:rStyle w:val="italicus"/>
        </w:rPr>
        <w:t xml:space="preserve"> daigne</w:t>
      </w:r>
      <w:r>
        <w:rPr>
          <w:lang w:eastAsia="fr-FR"/>
        </w:rPr>
        <w:t xml:space="preserve"> aussi </w:t>
      </w:r>
      <w:r w:rsidRPr="0044481F">
        <w:rPr>
          <w:rStyle w:val="italicus"/>
        </w:rPr>
        <w:t>nous laisser de l’Ancien Testament.</w:t>
      </w:r>
      <w:r>
        <w:rPr>
          <w:lang w:eastAsia="fr-FR"/>
        </w:rPr>
        <w:t xml:space="preserve"> </w:t>
      </w:r>
    </w:p>
    <w:p w:rsidR="00DD64E0" w:rsidRDefault="00DD64E0" w:rsidP="00DD64E0">
      <w:pPr>
        <w:pStyle w:val="nota"/>
        <w:rPr>
          <w:lang w:eastAsia="fr-FR"/>
        </w:rPr>
      </w:pPr>
      <w:r>
        <w:rPr>
          <w:lang w:eastAsia="fr-FR"/>
        </w:rPr>
        <w:t xml:space="preserve">Le ton est étrangement dogmatique : on croirait presque que M. Fontane a voulu livrer des formules toutes prêtes pour un chapitre du futur catéchisme de la religion rationaliste. Nous allons donc, sans rien changer à ses assertions, les présenter sous cette forme : nous n’avons ajouté que les questions. </w:t>
      </w:r>
    </w:p>
    <w:p w:rsidR="00DD64E0" w:rsidRPr="00B53529" w:rsidRDefault="00DD64E0" w:rsidP="00DD64E0">
      <w:pPr>
        <w:pStyle w:val="nota"/>
      </w:pPr>
      <w:r>
        <w:rPr>
          <w:lang w:eastAsia="fr-FR"/>
        </w:rPr>
        <w:t>D. Quelle idée doit-on se faire aujourd’hui de la Bible ?</w:t>
      </w:r>
      <w:r w:rsidR="00C45B47">
        <w:rPr>
          <w:lang w:eastAsia="fr-FR"/>
        </w:rPr>
        <w:t xml:space="preserve"> {</w:t>
      </w:r>
      <w:r w:rsidR="00B53529">
        <w:t>157</w:t>
      </w:r>
      <w:bookmarkStart w:id="423" w:name="p157"/>
      <w:bookmarkEnd w:id="423"/>
      <w:r w:rsidR="00B53529">
        <w:t xml:space="preserve">} </w:t>
      </w:r>
    </w:p>
    <w:p w:rsidR="00DD64E0" w:rsidRDefault="00DD64E0" w:rsidP="00DD64E0">
      <w:pPr>
        <w:pStyle w:val="nota"/>
        <w:rPr>
          <w:lang w:eastAsia="fr-FR"/>
        </w:rPr>
      </w:pPr>
      <w:r>
        <w:rPr>
          <w:lang w:eastAsia="fr-FR"/>
        </w:rPr>
        <w:t>R. « En tant qu’œuvre historique, la Bible ne résiste pas à une simple lecture ; les incohérences, les contradictions, les impossibilités, accumulées comme à plaisir, s’y étalent à chaque page ; les affirmations s’y succèdent, souvent en un langage merveilleux, mais généralement avec une déplaisante effronterie ».</w:t>
      </w:r>
      <w:r w:rsidRPr="0044481F">
        <w:rPr>
          <w:rStyle w:val="italicus"/>
        </w:rPr>
        <w:t xml:space="preserve"> (L. c.,</w:t>
      </w:r>
      <w:r>
        <w:rPr>
          <w:lang w:eastAsia="fr-FR"/>
        </w:rPr>
        <w:t xml:space="preserve"> p. 108.</w:t>
      </w:r>
      <w:r w:rsidRPr="00BA383E">
        <w:t xml:space="preserve">) </w:t>
      </w:r>
    </w:p>
    <w:p w:rsidR="00DD64E0" w:rsidRDefault="00DD64E0" w:rsidP="00DD64E0">
      <w:pPr>
        <w:pStyle w:val="nota"/>
        <w:rPr>
          <w:lang w:eastAsia="fr-FR"/>
        </w:rPr>
      </w:pPr>
      <w:r>
        <w:rPr>
          <w:lang w:eastAsia="fr-FR"/>
        </w:rPr>
        <w:t xml:space="preserve">D. Qu’est-ce que la Genèse ? </w:t>
      </w:r>
    </w:p>
    <w:p w:rsidR="00DD64E0" w:rsidRDefault="00DD64E0" w:rsidP="00DD64E0">
      <w:pPr>
        <w:pStyle w:val="nota"/>
        <w:rPr>
          <w:lang w:eastAsia="fr-FR"/>
        </w:rPr>
      </w:pPr>
      <w:r>
        <w:rPr>
          <w:lang w:eastAsia="fr-FR"/>
        </w:rPr>
        <w:lastRenderedPageBreak/>
        <w:t>R. « La Genèse est une collection de fragments mythologiques de toutes provenances », surtout de provenance babylonienne, « avec quelques incidents égyptiens ». (P. 114.</w:t>
      </w:r>
      <w:r w:rsidRPr="00BA383E">
        <w:t xml:space="preserve">) </w:t>
      </w:r>
    </w:p>
    <w:p w:rsidR="00DD64E0" w:rsidRDefault="00DD64E0" w:rsidP="00DD64E0">
      <w:pPr>
        <w:pStyle w:val="nota"/>
        <w:rPr>
          <w:lang w:eastAsia="fr-FR"/>
        </w:rPr>
      </w:pPr>
      <w:r>
        <w:rPr>
          <w:lang w:eastAsia="fr-FR"/>
        </w:rPr>
        <w:t xml:space="preserve">D. Que faut-il penser de l’Exode ? </w:t>
      </w:r>
    </w:p>
    <w:p w:rsidR="00DD64E0" w:rsidRDefault="00DD64E0" w:rsidP="00DD64E0">
      <w:pPr>
        <w:pStyle w:val="nota"/>
        <w:rPr>
          <w:lang w:eastAsia="fr-FR"/>
        </w:rPr>
      </w:pPr>
      <w:r>
        <w:rPr>
          <w:lang w:eastAsia="fr-FR"/>
        </w:rPr>
        <w:t>R. « Le deuxième livre du Pentateuque, l’Exode, est l’épopée nationale d’Israël, le récit de la sortie d’Égypte. Ce poème en prose est relativement récent…. Avec quelle habileté l’auteur coupe son récit, très intéressant, de prescriptions législatives, pour que le roman devienne un code », comme c’était son but ! (P. 115.</w:t>
      </w:r>
      <w:r w:rsidRPr="00BA383E">
        <w:t xml:space="preserve">) </w:t>
      </w:r>
    </w:p>
    <w:p w:rsidR="00DD64E0" w:rsidRDefault="00DD64E0" w:rsidP="00DD64E0">
      <w:pPr>
        <w:pStyle w:val="nota"/>
        <w:rPr>
          <w:lang w:eastAsia="fr-FR"/>
        </w:rPr>
      </w:pPr>
      <w:r>
        <w:rPr>
          <w:lang w:eastAsia="fr-FR"/>
        </w:rPr>
        <w:t xml:space="preserve">D. Indiquez la vraie nature du Lévitique et des Nombres ? </w:t>
      </w:r>
    </w:p>
    <w:p w:rsidR="00DD64E0" w:rsidRDefault="00DD64E0" w:rsidP="00DD64E0">
      <w:pPr>
        <w:pStyle w:val="nota"/>
        <w:rPr>
          <w:lang w:eastAsia="fr-FR"/>
        </w:rPr>
      </w:pPr>
      <w:r>
        <w:rPr>
          <w:lang w:eastAsia="fr-FR"/>
        </w:rPr>
        <w:t>R. « Le Lévitique fut si souvent remanié, que l’on y chercherait vainement une expression exacte. Ce ne fut qu’une sorte de nomenclature, un répertoire de lois, d’origines diverses ». (P. 115.</w:t>
      </w:r>
      <w:r w:rsidRPr="00BA383E">
        <w:t xml:space="preserve">) </w:t>
      </w:r>
      <w:r>
        <w:rPr>
          <w:lang w:eastAsia="fr-FR"/>
        </w:rPr>
        <w:t>« Le quatrième livre du Pentateuque, les Nombres, est un entassement de formules, désordonné, dans un cadre historique douteux ». (P. 116.</w:t>
      </w:r>
      <w:r w:rsidRPr="00BA383E">
        <w:t xml:space="preserve">) </w:t>
      </w:r>
    </w:p>
    <w:p w:rsidR="00DD64E0" w:rsidRDefault="00DD64E0" w:rsidP="00DD64E0">
      <w:pPr>
        <w:pStyle w:val="nota"/>
        <w:rPr>
          <w:lang w:eastAsia="fr-FR"/>
        </w:rPr>
      </w:pPr>
      <w:r>
        <w:rPr>
          <w:lang w:eastAsia="fr-FR"/>
        </w:rPr>
        <w:t xml:space="preserve">D. Appréciez le Deutéronome ? </w:t>
      </w:r>
    </w:p>
    <w:p w:rsidR="00DD64E0" w:rsidRDefault="00DD64E0" w:rsidP="00DD64E0">
      <w:pPr>
        <w:pStyle w:val="nota"/>
        <w:rPr>
          <w:lang w:eastAsia="fr-FR"/>
        </w:rPr>
      </w:pPr>
      <w:r>
        <w:rPr>
          <w:lang w:eastAsia="fr-FR"/>
        </w:rPr>
        <w:t>R. « L’auteur du Deutéronome est un sage qui veut condenser raisonnablement la masse des incohérences jetées dans les premiers Codes, — Genèse, Exode, Lévitique et Nombres, — et donner au moins de la vraisemblance aux récits surprenants imaginés Cependant, il n’épargne pas aux Hébreux les ordonnances arbitraires, mélangées de préceptes d’une morale douteuse, d’une préoccupation d’offrandes qui dénonce un prêtre avide, au moins un lévite exigeant ». (P. 116.</w:t>
      </w:r>
      <w:r w:rsidRPr="00BA383E">
        <w:t xml:space="preserve">) </w:t>
      </w:r>
    </w:p>
    <w:p w:rsidR="00DD64E0" w:rsidRDefault="00DD64E0" w:rsidP="00DD64E0">
      <w:pPr>
        <w:pStyle w:val="nota"/>
        <w:rPr>
          <w:lang w:eastAsia="fr-FR"/>
        </w:rPr>
      </w:pPr>
      <w:r>
        <w:rPr>
          <w:lang w:eastAsia="fr-FR"/>
        </w:rPr>
        <w:t xml:space="preserve">D. Tout est-il relativement récent dans le Pentateuque ? </w:t>
      </w:r>
    </w:p>
    <w:p w:rsidR="00DD64E0" w:rsidRDefault="00DD64E0" w:rsidP="00DD64E0">
      <w:pPr>
        <w:pStyle w:val="nota"/>
        <w:rPr>
          <w:lang w:eastAsia="fr-FR"/>
        </w:rPr>
      </w:pPr>
      <w:r>
        <w:rPr>
          <w:lang w:eastAsia="fr-FR"/>
        </w:rPr>
        <w:t>R. Non. « L’absurdité naïve et la franche ignorance qui caractérisent certaines pages du Pentateuque marquent leur ancienneté ». (P. 112.</w:t>
      </w:r>
      <w:r w:rsidRPr="00BA383E">
        <w:t xml:space="preserve">) </w:t>
      </w:r>
      <w:r>
        <w:rPr>
          <w:lang w:eastAsia="fr-FR"/>
        </w:rPr>
        <w:t xml:space="preserve">Néanmoins, il est certain qu’il ne fut promulgué qu’ « au sixième siècle avant notre ère ». </w:t>
      </w:r>
    </w:p>
    <w:p w:rsidR="00DD64E0" w:rsidRDefault="00DD64E0" w:rsidP="00DD64E0">
      <w:pPr>
        <w:pStyle w:val="nota"/>
        <w:rPr>
          <w:lang w:eastAsia="fr-FR"/>
        </w:rPr>
      </w:pPr>
      <w:r>
        <w:rPr>
          <w:lang w:eastAsia="fr-FR"/>
        </w:rPr>
        <w:t xml:space="preserve">D. Donnez le résultat des découvertes les plus récentes sur le livre de Josué ? </w:t>
      </w:r>
    </w:p>
    <w:p w:rsidR="00DD64E0" w:rsidRDefault="00DD64E0" w:rsidP="00DD64E0">
      <w:pPr>
        <w:pStyle w:val="nota"/>
        <w:rPr>
          <w:lang w:eastAsia="fr-FR"/>
        </w:rPr>
      </w:pPr>
      <w:r>
        <w:rPr>
          <w:lang w:eastAsia="fr-FR"/>
        </w:rPr>
        <w:t>R. « Les exagérations, les absurdités, les vantardises s’y succèdent comme de parti pris ; la légende y englobe jusqu’à la géographie, incroyable ; les chiffres s’y contredisent continuellement. Plusieurs narrateurs se réunirent pour former ce livre, probablement sans se préoccuper de mettre en concordance leurs récits ». (P. 117.</w:t>
      </w:r>
      <w:r w:rsidRPr="00BA383E">
        <w:t xml:space="preserve">) </w:t>
      </w:r>
    </w:p>
    <w:p w:rsidR="00DD64E0" w:rsidRDefault="00DD64E0" w:rsidP="00DD64E0">
      <w:pPr>
        <w:pStyle w:val="nota"/>
        <w:rPr>
          <w:lang w:eastAsia="fr-FR"/>
        </w:rPr>
      </w:pPr>
      <w:r>
        <w:rPr>
          <w:lang w:eastAsia="fr-FR"/>
        </w:rPr>
        <w:t xml:space="preserve">D. Qu’est-ce que le livre des Juges ? </w:t>
      </w:r>
    </w:p>
    <w:p w:rsidR="00DD64E0" w:rsidRPr="00B53529" w:rsidRDefault="00DD64E0" w:rsidP="00DD64E0">
      <w:pPr>
        <w:pStyle w:val="nota"/>
      </w:pPr>
      <w:r>
        <w:rPr>
          <w:lang w:eastAsia="fr-FR"/>
        </w:rPr>
        <w:t>R. « Le livre des Juges, qu’il serait plus exact d’appeler le livre des chefs ou des héros, est un choix de traditions écrites et orales. Il paraît avoir été composé en trois fois ». (P. 117. Juste en trois fois !</w:t>
      </w:r>
      <w:r w:rsidRPr="00BA383E">
        <w:t>)</w:t>
      </w:r>
      <w:r w:rsidR="00C45B47">
        <w:t xml:space="preserve"> {</w:t>
      </w:r>
      <w:r w:rsidR="00B53529">
        <w:t>158</w:t>
      </w:r>
      <w:bookmarkStart w:id="424" w:name="p158"/>
      <w:bookmarkEnd w:id="424"/>
      <w:r w:rsidR="00B53529">
        <w:t xml:space="preserve">} </w:t>
      </w:r>
    </w:p>
    <w:p w:rsidR="00DD64E0" w:rsidRDefault="00DD64E0" w:rsidP="00DD64E0">
      <w:pPr>
        <w:pStyle w:val="nota"/>
        <w:rPr>
          <w:lang w:eastAsia="fr-FR"/>
        </w:rPr>
      </w:pPr>
      <w:r>
        <w:rPr>
          <w:lang w:eastAsia="fr-FR"/>
        </w:rPr>
        <w:t xml:space="preserve">D. Pourquoi les deux livres de Samuel semblent-ils plus historiques que les autres ? </w:t>
      </w:r>
    </w:p>
    <w:p w:rsidR="00DD64E0" w:rsidRDefault="00DD64E0" w:rsidP="00DD64E0">
      <w:pPr>
        <w:pStyle w:val="nota"/>
        <w:rPr>
          <w:lang w:eastAsia="fr-FR"/>
        </w:rPr>
      </w:pPr>
      <w:r>
        <w:rPr>
          <w:lang w:eastAsia="fr-FR"/>
        </w:rPr>
        <w:t>R. Parce que « de longues parties » du récit « se font remarquer par l’absence absolue de préoccupations religieuses ». Néanmoins, « des inexactitudes volontaires y servent les intérêts du rédacteur ». (P. 117.</w:t>
      </w:r>
      <w:r w:rsidRPr="00BA383E">
        <w:t xml:space="preserve">) </w:t>
      </w:r>
    </w:p>
    <w:p w:rsidR="00DD64E0" w:rsidRDefault="00DD64E0" w:rsidP="00DD64E0">
      <w:pPr>
        <w:pStyle w:val="nota"/>
        <w:rPr>
          <w:lang w:eastAsia="fr-FR"/>
        </w:rPr>
      </w:pPr>
      <w:r>
        <w:rPr>
          <w:lang w:eastAsia="fr-FR"/>
        </w:rPr>
        <w:t xml:space="preserve">D. Qu’avez-vous à dire des livres des Rois ? </w:t>
      </w:r>
    </w:p>
    <w:p w:rsidR="00DD64E0" w:rsidRDefault="00DD64E0" w:rsidP="00DD64E0">
      <w:pPr>
        <w:pStyle w:val="nota"/>
        <w:rPr>
          <w:lang w:eastAsia="fr-FR"/>
        </w:rPr>
      </w:pPr>
      <w:r>
        <w:rPr>
          <w:lang w:eastAsia="fr-FR"/>
        </w:rPr>
        <w:t>R. « Les contradictions les plus étranges prouvent que les livres des Rois ne sont qu’un mélange de notices, de notes, de lambeaux de chroniques, cousus au mieux le mieux, mais sans art. Deux relations principales paraissent en constituer la trame. Ce ne sont, brodés dans ce livre, qu’événements extraordinaires, miracles, incidents bizarres, drolatiques parfois ». (P. 118.</w:t>
      </w:r>
      <w:r w:rsidRPr="00BA383E">
        <w:t xml:space="preserve">) </w:t>
      </w:r>
    </w:p>
    <w:p w:rsidR="00DD64E0" w:rsidRDefault="00DD64E0" w:rsidP="00DD64E0">
      <w:pPr>
        <w:pStyle w:val="nota"/>
        <w:rPr>
          <w:lang w:eastAsia="fr-FR"/>
        </w:rPr>
      </w:pPr>
      <w:r>
        <w:rPr>
          <w:lang w:eastAsia="fr-FR"/>
        </w:rPr>
        <w:t xml:space="preserve">D. Du moins les livres des Chroniques ou Paralipomènes ont-ils quelque valeur ? </w:t>
      </w:r>
    </w:p>
    <w:p w:rsidR="00DD64E0" w:rsidRDefault="00DD64E0" w:rsidP="00DD64E0">
      <w:pPr>
        <w:pStyle w:val="nota"/>
        <w:rPr>
          <w:lang w:eastAsia="fr-FR"/>
        </w:rPr>
      </w:pPr>
      <w:r>
        <w:rPr>
          <w:lang w:eastAsia="fr-FR"/>
        </w:rPr>
        <w:t>R. « La partie historique est presque absurde On a qualifié l’auteur des Chroniques de falsificateur intentionnel. Le style en est bas Un grand étalage de prétentions généalogiques, d’énumérations sacrées, de réglementations sacerdotales, de mensonges très détaillés, de fantaisies imperturbables, font de ce recueil spécial une œuvre de haute curiosité. L’auteur, d’une ignorance sereine, ne se préoccupe q</w:t>
      </w:r>
      <w:r w:rsidR="00B800F8">
        <w:rPr>
          <w:lang w:eastAsia="fr-FR"/>
        </w:rPr>
        <w:t>ue de glorifier la théocratie…</w:t>
      </w:r>
      <w:r>
        <w:rPr>
          <w:lang w:eastAsia="fr-FR"/>
        </w:rPr>
        <w:t xml:space="preserve"> Le passé, les traditions, les œuvres écrites, rien ne l’embarrasse ; il modifie les textes, il ajoute, il retranche, il corrige, il supprime ou il crée, sans vergogne, tout à son idéal politique absolu ». (PP. 118 et 119.</w:t>
      </w:r>
      <w:r w:rsidRPr="00BA383E">
        <w:t xml:space="preserve">) </w:t>
      </w:r>
    </w:p>
    <w:p w:rsidR="00DD64E0" w:rsidRDefault="00DD64E0" w:rsidP="00DD64E0">
      <w:pPr>
        <w:pStyle w:val="nota"/>
        <w:rPr>
          <w:lang w:eastAsia="fr-FR"/>
        </w:rPr>
      </w:pPr>
      <w:r>
        <w:rPr>
          <w:lang w:eastAsia="fr-FR"/>
        </w:rPr>
        <w:t xml:space="preserve">D. Et les livres d’Esdras, de Néhémie ? </w:t>
      </w:r>
    </w:p>
    <w:p w:rsidR="00DD64E0" w:rsidRDefault="00DD64E0" w:rsidP="00DD64E0">
      <w:pPr>
        <w:pStyle w:val="nota"/>
        <w:rPr>
          <w:lang w:eastAsia="fr-FR"/>
        </w:rPr>
      </w:pPr>
      <w:r>
        <w:rPr>
          <w:lang w:eastAsia="fr-FR"/>
        </w:rPr>
        <w:t xml:space="preserve">R. « Le livre d’Esdras est légendaire Ce livre est un second code, où le savant légiste osa formuler sa pensée personnelle, importante, en la couvrant des traditions mosaïques. Ce qu’Esdras avait fait pour la loi, Néhémie le fit pour la coutume, codifiant à son tour…. les traditions admises, continuées ». </w:t>
      </w:r>
    </w:p>
    <w:p w:rsidR="00DD64E0" w:rsidRDefault="00DD64E0" w:rsidP="00DD64E0">
      <w:pPr>
        <w:pStyle w:val="nota"/>
        <w:rPr>
          <w:lang w:eastAsia="fr-FR"/>
        </w:rPr>
      </w:pPr>
      <w:r>
        <w:rPr>
          <w:lang w:eastAsia="fr-FR"/>
        </w:rPr>
        <w:t xml:space="preserve">D. La Bible ne contient-elle pas d’autres écrits ? </w:t>
      </w:r>
    </w:p>
    <w:p w:rsidR="00DD64E0" w:rsidRDefault="00DD64E0" w:rsidP="00DD64E0">
      <w:pPr>
        <w:pStyle w:val="nota"/>
        <w:rPr>
          <w:lang w:eastAsia="fr-FR"/>
        </w:rPr>
      </w:pPr>
      <w:r>
        <w:rPr>
          <w:lang w:eastAsia="fr-FR"/>
        </w:rPr>
        <w:t>R. Oui, « après les œuvres cosmogoniques, sociales, sacerdotales, historiques et constitutives de la Bible hébraïque, il y a les œuvres philosophiques, morales et littéraires. C’est le livre d’Esther, que Luther expulsait du recueil sacré ; le livre de Judith, roman patriotique dont l’original est perdu » (P. 120.</w:t>
      </w:r>
      <w:r w:rsidRPr="00BA383E">
        <w:t xml:space="preserve">) </w:t>
      </w:r>
    </w:p>
    <w:p w:rsidR="00DD64E0" w:rsidRDefault="00DD64E0" w:rsidP="00DD64E0">
      <w:pPr>
        <w:pStyle w:val="nota"/>
        <w:rPr>
          <w:lang w:eastAsia="fr-FR"/>
        </w:rPr>
      </w:pPr>
      <w:r>
        <w:rPr>
          <w:lang w:eastAsia="fr-FR"/>
        </w:rPr>
        <w:t xml:space="preserve">D. Parlez plus longuement du livre de Job, qui fait également partie de cette catégorie. </w:t>
      </w:r>
    </w:p>
    <w:p w:rsidR="00DD64E0" w:rsidRDefault="00DD64E0" w:rsidP="00DD64E0">
      <w:pPr>
        <w:pStyle w:val="nota"/>
        <w:rPr>
          <w:lang w:eastAsia="fr-FR"/>
        </w:rPr>
      </w:pPr>
      <w:r>
        <w:rPr>
          <w:lang w:eastAsia="fr-FR"/>
        </w:rPr>
        <w:t>R. Le livre de Job est « l’œuvre d’un bavard irrésistible, divaguant. C’est une poésie fine, bien asiatique, toute de forme, dont la bizarrerie favorise et excuse à l’avance toutes les suppositions. On a pensé, non sans vraisemblance, que l’auteur aurait voulu sous une forme ingénieuse, très hypocritement, attaquer et vaincre un Dieu détestable, le Jéhovah d’Israël, en en décrivant les œuvres ». (P. 120.</w:t>
      </w:r>
      <w:r w:rsidRPr="00BA383E">
        <w:t xml:space="preserve">) </w:t>
      </w:r>
    </w:p>
    <w:p w:rsidR="00DD64E0" w:rsidRPr="00B53529" w:rsidRDefault="00DD64E0" w:rsidP="00DD64E0">
      <w:pPr>
        <w:pStyle w:val="nota"/>
      </w:pPr>
      <w:r>
        <w:rPr>
          <w:lang w:eastAsia="fr-FR"/>
        </w:rPr>
        <w:t>D. Les Psaumes ont-ils une plus grande valeur ?</w:t>
      </w:r>
      <w:r w:rsidR="00C45B47">
        <w:rPr>
          <w:lang w:eastAsia="fr-FR"/>
        </w:rPr>
        <w:t xml:space="preserve"> {</w:t>
      </w:r>
      <w:r w:rsidR="00B53529">
        <w:t>159</w:t>
      </w:r>
      <w:bookmarkStart w:id="425" w:name="p159"/>
      <w:bookmarkEnd w:id="425"/>
      <w:r w:rsidR="00B53529">
        <w:t xml:space="preserve">} </w:t>
      </w:r>
    </w:p>
    <w:p w:rsidR="00DD64E0" w:rsidRDefault="00DD64E0" w:rsidP="00DD64E0">
      <w:pPr>
        <w:pStyle w:val="nota"/>
        <w:rPr>
          <w:lang w:eastAsia="fr-FR"/>
        </w:rPr>
      </w:pPr>
      <w:r>
        <w:rPr>
          <w:lang w:eastAsia="fr-FR"/>
        </w:rPr>
        <w:lastRenderedPageBreak/>
        <w:t>R. « Les Psaumes, attribués à David,… sont l’âme de la Bible. Ils s’imposent comme une chose vivante. Ce recueil embrasse dix ou douze siècles d’émotion. Tout est dans ce livre, depuis l’Indra védique qui fit le ciel de ses mains, soleil resplendissant,… jusqu’aux pensées grecques dites en hébreu. Des poèmes lamentables, sombres, effrayants, se trouvent dans ce livre à côté même de poésies très douces ; les élans religieux et patriotiques y dominent : l’on y peut lire un chant d’amour ». (PP. 120 et 121.</w:t>
      </w:r>
      <w:r w:rsidRPr="00BA383E">
        <w:t xml:space="preserve">) </w:t>
      </w:r>
    </w:p>
    <w:p w:rsidR="00DD64E0" w:rsidRDefault="00DD64E0" w:rsidP="00DD64E0">
      <w:pPr>
        <w:pStyle w:val="nota"/>
        <w:rPr>
          <w:lang w:eastAsia="fr-FR"/>
        </w:rPr>
      </w:pPr>
      <w:r>
        <w:rPr>
          <w:lang w:eastAsia="fr-FR"/>
        </w:rPr>
        <w:t xml:space="preserve">D. Que penser de la morale des Proverbes ? </w:t>
      </w:r>
    </w:p>
    <w:p w:rsidR="00DD64E0" w:rsidRDefault="00DD64E0" w:rsidP="00DD64E0">
      <w:pPr>
        <w:pStyle w:val="nota"/>
        <w:rPr>
          <w:lang w:eastAsia="fr-FR"/>
        </w:rPr>
      </w:pPr>
      <w:r>
        <w:rPr>
          <w:lang w:eastAsia="fr-FR"/>
        </w:rPr>
        <w:t>R. « La morale des Proverbes est un égoïsme coloré, que des paradoxes justifient, qu’une expérience froide sanctionne ; toute la sagesse s’y résume dans la crainte de Dieu et n’a pour objectif que la meilleure vie matérielle. Çà et là quelques énigmes, à la façon arabe, des jeux d’esprit, comme les vieux Égyptiens les aimaient, des grossièretés touraniennes, triviales, et des fantaisies malsaines, érotiques, telles que l’Asie seule en peut concevoir ». (P. 121.</w:t>
      </w:r>
      <w:r w:rsidRPr="00BA383E">
        <w:t xml:space="preserve">) </w:t>
      </w:r>
    </w:p>
    <w:p w:rsidR="00DD64E0" w:rsidRDefault="00DD64E0" w:rsidP="00DD64E0">
      <w:pPr>
        <w:pStyle w:val="nota"/>
        <w:rPr>
          <w:lang w:eastAsia="fr-FR"/>
        </w:rPr>
      </w:pPr>
      <w:r>
        <w:rPr>
          <w:lang w:eastAsia="fr-FR"/>
        </w:rPr>
        <w:t xml:space="preserve">D. Et le livre de l’Ecclésiaste ? </w:t>
      </w:r>
    </w:p>
    <w:p w:rsidR="00DD64E0" w:rsidRDefault="00DD64E0" w:rsidP="00DD64E0">
      <w:pPr>
        <w:pStyle w:val="nota"/>
        <w:rPr>
          <w:lang w:eastAsia="fr-FR"/>
        </w:rPr>
      </w:pPr>
      <w:r>
        <w:rPr>
          <w:lang w:eastAsia="fr-FR"/>
        </w:rPr>
        <w:t>R. « Le livre de l’Ecclésiaste est l’œuvre d’un scribe égyptien mâtiné de grec, épicurien avant Épicure, sceptique, désespérant, insaisissable, manquant de goût, monarchiste et révolutionnaire, impatienté mais indolent, hanté de rêves ardents dans sa somnolence, et finissant toujours par subir sa chair ». (P. 121.</w:t>
      </w:r>
      <w:r w:rsidRPr="00BA383E">
        <w:t xml:space="preserve">) </w:t>
      </w:r>
    </w:p>
    <w:p w:rsidR="00DD64E0" w:rsidRDefault="00DD64E0" w:rsidP="00DD64E0">
      <w:pPr>
        <w:pStyle w:val="nota"/>
        <w:rPr>
          <w:lang w:eastAsia="fr-FR"/>
        </w:rPr>
      </w:pPr>
      <w:r>
        <w:rPr>
          <w:lang w:eastAsia="fr-FR"/>
        </w:rPr>
        <w:t xml:space="preserve">D. La Bible ne se compose-t-elle pas encore d’autres écrits ? </w:t>
      </w:r>
    </w:p>
    <w:p w:rsidR="00DD64E0" w:rsidRDefault="00DD64E0" w:rsidP="00DD64E0">
      <w:pPr>
        <w:pStyle w:val="nota"/>
        <w:rPr>
          <w:lang w:eastAsia="fr-FR"/>
        </w:rPr>
      </w:pPr>
      <w:r>
        <w:rPr>
          <w:lang w:eastAsia="fr-FR"/>
        </w:rPr>
        <w:t>R. « D’autres livres, tour à tour admis et rejetés, complètent le grand œuvre hébraïque… : le livre de Tobie, bien iranien, d’une morale exquise avec son mariage sanctifié et son ange gardien si bon ; le livre de Jonas, conte oriental, fantastique, nébuleux, cachant trop son intention ; le livre de Suzanne, le livre de Bel,… œuvres grecques, contes…. Viennent ensuite les Prophètes ou Nabis,… qui ne furent que des politiciens, voulant un pouvoir personnel entre le prêtre et le roi, conception purement asiatique, perpétuée, qui commence avec les magiciens de la Chaldée, triomphe en Israël après les rois, et se continue dans l’Orient moderne avec les cheiks, les santons et les derviches, tourneurs et hurleurs ». (PP. 122 et 123.</w:t>
      </w:r>
      <w:r w:rsidRPr="00BA383E">
        <w:t xml:space="preserve">) </w:t>
      </w:r>
    </w:p>
    <w:p w:rsidR="001A54EA" w:rsidRDefault="001A54EA" w:rsidP="00DD64E0">
      <w:pPr>
        <w:pStyle w:val="nota"/>
        <w:rPr>
          <w:lang w:eastAsia="fr-FR"/>
        </w:rPr>
      </w:pPr>
    </w:p>
    <w:p w:rsidR="00DD64E0" w:rsidRDefault="00DD64E0" w:rsidP="00DD64E0">
      <w:pPr>
        <w:pStyle w:val="nota"/>
        <w:rPr>
          <w:lang w:eastAsia="fr-FR"/>
        </w:rPr>
      </w:pPr>
      <w:r>
        <w:rPr>
          <w:lang w:eastAsia="fr-FR"/>
        </w:rPr>
        <w:t xml:space="preserve">Et ainsi du reste. On le voit, c’est bien le même ton tranchant, la même vulgarité d’expressions, la même audace pour affirmer ou pour nier, la même </w:t>
      </w:r>
      <w:r w:rsidRPr="0044481F">
        <w:rPr>
          <w:rStyle w:val="italicus"/>
        </w:rPr>
        <w:t>ignorátio elénchi</w:t>
      </w:r>
      <w:r>
        <w:rPr>
          <w:lang w:eastAsia="fr-FR"/>
        </w:rPr>
        <w:t xml:space="preserve"> que dans M. Vernes et dans M. Havet. </w:t>
      </w:r>
    </w:p>
    <w:p w:rsidR="00DD64E0" w:rsidRPr="00B53529" w:rsidRDefault="00DD64E0" w:rsidP="00DD64E0">
      <w:pPr>
        <w:pStyle w:val="nota"/>
      </w:pPr>
      <w:r>
        <w:rPr>
          <w:lang w:eastAsia="fr-FR"/>
        </w:rPr>
        <w:t>Puissent ces folles exagérations ramener au vrai les esprits égarés ou</w:t>
      </w:r>
      <w:bookmarkStart w:id="426" w:name="z_Fontane_o2"/>
      <w:bookmarkEnd w:id="426"/>
      <w:r>
        <w:rPr>
          <w:lang w:eastAsia="fr-FR"/>
        </w:rPr>
        <w:t xml:space="preserve"> hésitants !</w:t>
      </w:r>
      <w:r w:rsidR="00C45B47">
        <w:rPr>
          <w:lang w:eastAsia="fr-FR"/>
        </w:rPr>
        <w:t xml:space="preserve"> {</w:t>
      </w:r>
      <w:r w:rsidR="00B53529">
        <w:t>160</w:t>
      </w:r>
      <w:bookmarkStart w:id="427" w:name="p160"/>
      <w:bookmarkEnd w:id="427"/>
      <w:r w:rsidR="00B53529">
        <w:t>}</w:t>
      </w:r>
      <w:r w:rsidR="00C45B47">
        <w:t xml:space="preserve"> {</w:t>
      </w:r>
      <w:r w:rsidR="00B53529">
        <w:t>161</w:t>
      </w:r>
      <w:bookmarkStart w:id="428" w:name="p161"/>
      <w:bookmarkEnd w:id="428"/>
      <w:r w:rsidR="00B53529">
        <w:t xml:space="preserve">} </w:t>
      </w:r>
    </w:p>
    <w:p w:rsidR="000A7AAB" w:rsidRDefault="00D67FA8" w:rsidP="00BA21A1">
      <w:pPr>
        <w:pStyle w:val="Titre1"/>
      </w:pPr>
      <w:bookmarkStart w:id="429" w:name="_Toc43882013"/>
      <w:r>
        <w:t>V.</w:t>
      </w:r>
      <w:r>
        <w:br/>
      </w:r>
      <w:r w:rsidR="000A7AAB">
        <w:t>L’ÉGLISE</w:t>
      </w:r>
      <w:r w:rsidR="000A7AAB" w:rsidRPr="002C4077">
        <w:t xml:space="preserve"> </w:t>
      </w:r>
      <w:r w:rsidR="000A7AAB">
        <w:t>ET</w:t>
      </w:r>
      <w:r w:rsidR="000A7AAB" w:rsidRPr="002C4077">
        <w:t xml:space="preserve"> </w:t>
      </w:r>
      <w:r w:rsidR="000A7AAB">
        <w:t>LÀ</w:t>
      </w:r>
      <w:r w:rsidR="000A7AAB" w:rsidRPr="002C4077">
        <w:t xml:space="preserve"> </w:t>
      </w:r>
      <w:r w:rsidR="000A7AAB">
        <w:t>CRITIQUE</w:t>
      </w:r>
      <w:r w:rsidR="000A7AAB" w:rsidRPr="002C4077">
        <w:t xml:space="preserve"> </w:t>
      </w:r>
      <w:r w:rsidR="000A7AAB">
        <w:t>BIBLIQUE.</w:t>
      </w:r>
      <w:bookmarkStart w:id="430" w:name="a05"/>
      <w:bookmarkEnd w:id="429"/>
      <w:bookmarkEnd w:id="430"/>
      <w:r w:rsidR="000A7AAB" w:rsidRPr="002C4077">
        <w:t xml:space="preserve"> </w:t>
      </w:r>
    </w:p>
    <w:p w:rsidR="000A7AAB" w:rsidRDefault="00B546AF" w:rsidP="000A7AAB">
      <w:r>
        <w:t>« </w:t>
      </w:r>
      <w:r w:rsidR="000A7AAB">
        <w:t>La</w:t>
      </w:r>
      <w:bookmarkStart w:id="431" w:name="z_Critique_o3"/>
      <w:bookmarkStart w:id="432" w:name="z_Eglise_o1"/>
      <w:bookmarkEnd w:id="431"/>
      <w:bookmarkEnd w:id="432"/>
      <w:r w:rsidR="000A7AAB" w:rsidRPr="002C4077">
        <w:t xml:space="preserve"> </w:t>
      </w:r>
      <w:r w:rsidR="000A7AAB">
        <w:t>grande</w:t>
      </w:r>
      <w:r w:rsidR="000A7AAB" w:rsidRPr="002C4077">
        <w:t xml:space="preserve"> </w:t>
      </w:r>
      <w:r w:rsidR="000A7AAB">
        <w:t>école</w:t>
      </w:r>
      <w:r w:rsidR="000A7AAB" w:rsidRPr="002C4077">
        <w:t xml:space="preserve"> </w:t>
      </w:r>
      <w:r w:rsidR="000A7AAB">
        <w:t>des</w:t>
      </w:r>
      <w:r w:rsidR="000A7AAB" w:rsidRPr="002C4077">
        <w:t xml:space="preserve"> </w:t>
      </w:r>
      <w:r w:rsidR="000A7AAB">
        <w:t>critiques</w:t>
      </w:r>
      <w:r w:rsidR="000A7AAB" w:rsidRPr="002C4077">
        <w:t xml:space="preserve"> </w:t>
      </w:r>
      <w:r w:rsidR="000A7AAB">
        <w:t>français</w:t>
      </w:r>
      <w:r w:rsidR="000A7AAB" w:rsidRPr="002C4077">
        <w:t xml:space="preserve"> </w:t>
      </w:r>
      <w:r w:rsidR="000A7AAB">
        <w:t>du</w:t>
      </w:r>
      <w:r w:rsidR="000A7AAB" w:rsidRPr="002C4077">
        <w:t xml:space="preserve"> </w:t>
      </w:r>
      <w:r w:rsidR="000A7AAB">
        <w:t>XV</w:t>
      </w:r>
      <w:r w:rsidR="007B3C26">
        <w:t>II</w:t>
      </w:r>
      <w:r w:rsidR="007B3C26" w:rsidRPr="007B3C26">
        <w:rPr>
          <w:vertAlign w:val="superscript"/>
        </w:rPr>
        <w:t>e</w:t>
      </w:r>
      <w:r w:rsidR="000A7AAB" w:rsidRPr="002C4077">
        <w:t xml:space="preserve"> </w:t>
      </w:r>
      <w:r w:rsidR="000A7AAB">
        <w:t>siècle</w:t>
      </w:r>
      <w:r w:rsidR="000A7AAB" w:rsidRPr="002C4077">
        <w:t xml:space="preserve"> </w:t>
      </w:r>
      <w:r w:rsidR="000A7AAB">
        <w:t>fonda</w:t>
      </w:r>
      <w:r w:rsidR="000A7AAB" w:rsidRPr="002C4077">
        <w:t xml:space="preserve"> </w:t>
      </w:r>
      <w:r w:rsidR="000A7AAB">
        <w:t>la</w:t>
      </w:r>
      <w:r w:rsidR="000A7AAB" w:rsidRPr="002C4077">
        <w:t xml:space="preserve"> </w:t>
      </w:r>
      <w:r w:rsidR="000A7AAB">
        <w:t>science</w:t>
      </w:r>
      <w:r w:rsidR="000A7AAB" w:rsidRPr="002C4077">
        <w:t xml:space="preserve"> </w:t>
      </w:r>
      <w:r w:rsidR="000A7AAB">
        <w:t>biblique.</w:t>
      </w:r>
      <w:r w:rsidR="000A7AAB" w:rsidRPr="002C4077">
        <w:t xml:space="preserve"> </w:t>
      </w:r>
      <w:r w:rsidR="000A7AAB">
        <w:t>Ces</w:t>
      </w:r>
      <w:r w:rsidR="000A7AAB" w:rsidRPr="002C4077">
        <w:t xml:space="preserve"> </w:t>
      </w:r>
      <w:r w:rsidR="000A7AAB">
        <w:t>études,</w:t>
      </w:r>
      <w:r w:rsidR="000A7AAB" w:rsidRPr="002C4077">
        <w:t xml:space="preserve"> </w:t>
      </w:r>
      <w:r w:rsidR="000A7AAB">
        <w:t>très</w:t>
      </w:r>
      <w:r w:rsidR="000A7AAB" w:rsidRPr="002C4077">
        <w:t xml:space="preserve"> </w:t>
      </w:r>
      <w:r w:rsidR="000A7AAB">
        <w:t>florissantes</w:t>
      </w:r>
      <w:r w:rsidR="000A7AAB" w:rsidRPr="002C4077">
        <w:t xml:space="preserve"> </w:t>
      </w:r>
      <w:r w:rsidR="000A7AAB">
        <w:t>à</w:t>
      </w:r>
      <w:r w:rsidR="000A7AAB" w:rsidRPr="002C4077">
        <w:t xml:space="preserve"> </w:t>
      </w:r>
      <w:r w:rsidR="000A7AAB">
        <w:t>l’époque</w:t>
      </w:r>
      <w:r w:rsidR="000A7AAB" w:rsidRPr="002C4077">
        <w:t xml:space="preserve"> </w:t>
      </w:r>
      <w:r w:rsidR="000A7AAB">
        <w:t>de</w:t>
      </w:r>
      <w:r w:rsidR="000A7AAB" w:rsidRPr="002C4077">
        <w:t xml:space="preserve"> </w:t>
      </w:r>
      <w:r w:rsidR="000A7AAB">
        <w:t>Richard</w:t>
      </w:r>
      <w:r w:rsidR="000A7AAB" w:rsidRPr="002C4077">
        <w:t xml:space="preserve"> </w:t>
      </w:r>
      <w:r w:rsidR="000A7AAB">
        <w:t>Simon,</w:t>
      </w:r>
      <w:r w:rsidR="000A7AAB" w:rsidRPr="002C4077">
        <w:t xml:space="preserve"> </w:t>
      </w:r>
      <w:r w:rsidR="000A7AAB">
        <w:t>ont</w:t>
      </w:r>
      <w:r w:rsidR="000A7AAB" w:rsidRPr="002C4077">
        <w:t xml:space="preserve"> </w:t>
      </w:r>
      <w:r w:rsidR="000A7AAB">
        <w:t>été</w:t>
      </w:r>
      <w:r w:rsidR="000A7AAB" w:rsidRPr="002C4077">
        <w:t xml:space="preserve"> </w:t>
      </w:r>
      <w:r w:rsidR="000A7AAB">
        <w:t>déracinées</w:t>
      </w:r>
      <w:r w:rsidR="000A7AAB" w:rsidRPr="002C4077">
        <w:t xml:space="preserve"> </w:t>
      </w:r>
      <w:r w:rsidR="000A7AAB">
        <w:t>et</w:t>
      </w:r>
      <w:r w:rsidR="000A7AAB" w:rsidRPr="002C4077">
        <w:t xml:space="preserve"> </w:t>
      </w:r>
      <w:r w:rsidR="000A7AAB">
        <w:t>jetées</w:t>
      </w:r>
      <w:r w:rsidR="000A7AAB" w:rsidRPr="002C4077">
        <w:t xml:space="preserve"> </w:t>
      </w:r>
      <w:r w:rsidR="000A7AAB">
        <w:t>au</w:t>
      </w:r>
      <w:r w:rsidR="000A7AAB" w:rsidRPr="002C4077">
        <w:t xml:space="preserve"> </w:t>
      </w:r>
      <w:r w:rsidR="000A7AAB">
        <w:t>vent</w:t>
      </w:r>
      <w:r w:rsidR="000A7AAB" w:rsidRPr="002C4077">
        <w:t xml:space="preserve"> </w:t>
      </w:r>
      <w:r w:rsidR="000A7AAB">
        <w:t>par</w:t>
      </w:r>
      <w:r w:rsidR="000A7AAB" w:rsidRPr="002C4077">
        <w:t xml:space="preserve"> </w:t>
      </w:r>
      <w:r w:rsidR="000A7AAB">
        <w:t>Bossuet,</w:t>
      </w:r>
      <w:r w:rsidR="000A7AAB" w:rsidRPr="002C4077">
        <w:t xml:space="preserve"> </w:t>
      </w:r>
      <w:r w:rsidR="000A7AAB">
        <w:t>en</w:t>
      </w:r>
      <w:r w:rsidR="000A7AAB" w:rsidRPr="002C4077">
        <w:t xml:space="preserve"> </w:t>
      </w:r>
      <w:r w:rsidR="000A7AAB">
        <w:t>France,</w:t>
      </w:r>
      <w:r w:rsidR="000A7AAB" w:rsidRPr="002C4077">
        <w:t xml:space="preserve"> </w:t>
      </w:r>
      <w:r w:rsidR="000A7AAB">
        <w:t>et</w:t>
      </w:r>
      <w:r w:rsidR="000A7AAB" w:rsidRPr="002C4077">
        <w:t xml:space="preserve"> </w:t>
      </w:r>
      <w:r w:rsidR="000A7AAB">
        <w:t>par</w:t>
      </w:r>
      <w:r w:rsidR="000A7AAB" w:rsidRPr="002C4077">
        <w:t xml:space="preserve"> </w:t>
      </w:r>
      <w:r w:rsidR="000A7AAB">
        <w:t>l’Église</w:t>
      </w:r>
      <w:r w:rsidR="000A7AAB" w:rsidRPr="002C4077">
        <w:t xml:space="preserve"> </w:t>
      </w:r>
      <w:r w:rsidR="000A7AAB">
        <w:t>romaine</w:t>
      </w:r>
      <w:r w:rsidR="000A7AAB" w:rsidRPr="002C4077">
        <w:t xml:space="preserve"> </w:t>
      </w:r>
      <w:r w:rsidR="000A7AAB">
        <w:t>chez</w:t>
      </w:r>
      <w:r w:rsidR="000A7AAB" w:rsidRPr="002C4077">
        <w:t xml:space="preserve"> </w:t>
      </w:r>
      <w:r w:rsidR="000A7AAB">
        <w:t>toutes</w:t>
      </w:r>
      <w:r w:rsidR="000A7AAB" w:rsidRPr="002C4077">
        <w:t xml:space="preserve"> </w:t>
      </w:r>
      <w:r w:rsidR="000A7AAB">
        <w:t>les</w:t>
      </w:r>
      <w:r w:rsidR="000A7AAB" w:rsidRPr="002C4077">
        <w:t xml:space="preserve"> </w:t>
      </w:r>
      <w:r w:rsidR="000A7AAB">
        <w:t>nations</w:t>
      </w:r>
      <w:r w:rsidR="000A7AAB" w:rsidRPr="002C4077">
        <w:t xml:space="preserve"> </w:t>
      </w:r>
      <w:r w:rsidR="000A7AAB">
        <w:t>catholiques,</w:t>
      </w:r>
      <w:r w:rsidR="000A7AAB" w:rsidRPr="002C4077">
        <w:t xml:space="preserve"> </w:t>
      </w:r>
      <w:r w:rsidR="000A7AAB">
        <w:t>telles</w:t>
      </w:r>
      <w:r w:rsidR="000A7AAB" w:rsidRPr="002C4077">
        <w:t xml:space="preserve"> </w:t>
      </w:r>
      <w:r w:rsidR="000A7AAB">
        <w:t>que</w:t>
      </w:r>
      <w:r w:rsidR="000A7AAB" w:rsidRPr="002C4077">
        <w:t xml:space="preserve"> </w:t>
      </w:r>
      <w:r w:rsidR="000A7AAB">
        <w:t>l’Italie,</w:t>
      </w:r>
      <w:r w:rsidR="000A7AAB" w:rsidRPr="002C4077">
        <w:t xml:space="preserve"> </w:t>
      </w:r>
      <w:r w:rsidR="000A7AAB">
        <w:t>l’Espagne</w:t>
      </w:r>
      <w:r w:rsidR="000A7AAB" w:rsidRPr="002C4077">
        <w:t xml:space="preserve"> </w:t>
      </w:r>
      <w:r w:rsidR="000A7AAB">
        <w:t>et</w:t>
      </w:r>
      <w:r w:rsidR="000A7AAB" w:rsidRPr="002C4077">
        <w:t xml:space="preserve"> </w:t>
      </w:r>
      <w:r w:rsidR="000A7AAB">
        <w:t>l’Allemagne</w:t>
      </w:r>
      <w:r w:rsidR="000A7AAB" w:rsidRPr="002C4077">
        <w:t xml:space="preserve"> </w:t>
      </w:r>
      <w:r w:rsidR="000A7AAB">
        <w:t>du</w:t>
      </w:r>
      <w:r w:rsidR="000A7AAB" w:rsidRPr="002C4077">
        <w:t xml:space="preserve"> </w:t>
      </w:r>
      <w:r w:rsidR="000A7AAB">
        <w:t>Sud.</w:t>
      </w:r>
      <w:r w:rsidR="000A7AAB" w:rsidRPr="002C4077">
        <w:t xml:space="preserve"> </w:t>
      </w:r>
      <w:r w:rsidR="000A7AAB">
        <w:t>Depuis</w:t>
      </w:r>
      <w:r w:rsidR="000A7AAB" w:rsidRPr="002C4077">
        <w:t xml:space="preserve"> </w:t>
      </w:r>
      <w:r w:rsidR="000A7AAB">
        <w:t>plusieurs</w:t>
      </w:r>
      <w:r w:rsidR="000A7AAB" w:rsidRPr="002C4077">
        <w:t xml:space="preserve"> </w:t>
      </w:r>
      <w:r w:rsidR="000A7AAB">
        <w:t>siècles,</w:t>
      </w:r>
      <w:r w:rsidR="000A7AAB" w:rsidRPr="002C4077">
        <w:t xml:space="preserve"> </w:t>
      </w:r>
      <w:r w:rsidR="000A7AAB">
        <w:t>il</w:t>
      </w:r>
      <w:r w:rsidR="000A7AAB" w:rsidRPr="002C4077">
        <w:t xml:space="preserve"> </w:t>
      </w:r>
      <w:r w:rsidR="000A7AAB">
        <w:t>n’a</w:t>
      </w:r>
      <w:r w:rsidR="000A7AAB" w:rsidRPr="002C4077">
        <w:t xml:space="preserve"> </w:t>
      </w:r>
      <w:r w:rsidR="000A7AAB">
        <w:t>point</w:t>
      </w:r>
      <w:r w:rsidR="000A7AAB" w:rsidRPr="002C4077">
        <w:t xml:space="preserve"> </w:t>
      </w:r>
      <w:r w:rsidR="000A7AAB">
        <w:t>paru</w:t>
      </w:r>
      <w:r w:rsidR="000A7AAB" w:rsidRPr="002C4077">
        <w:t xml:space="preserve"> </w:t>
      </w:r>
      <w:r w:rsidR="000A7AAB">
        <w:t>dans</w:t>
      </w:r>
      <w:r w:rsidR="000A7AAB" w:rsidRPr="002C4077">
        <w:t xml:space="preserve"> </w:t>
      </w:r>
      <w:r w:rsidR="000A7AAB">
        <w:t>les</w:t>
      </w:r>
      <w:r w:rsidR="000A7AAB" w:rsidRPr="002C4077">
        <w:t xml:space="preserve"> </w:t>
      </w:r>
      <w:r w:rsidR="000A7AAB">
        <w:t>pays</w:t>
      </w:r>
      <w:r w:rsidR="000A7AAB" w:rsidRPr="002C4077">
        <w:t xml:space="preserve"> </w:t>
      </w:r>
      <w:r w:rsidR="000A7AAB">
        <w:t>catholiques</w:t>
      </w:r>
      <w:r w:rsidR="000A7AAB" w:rsidRPr="002C4077">
        <w:t xml:space="preserve"> </w:t>
      </w:r>
      <w:r w:rsidR="000A7AAB">
        <w:t>une</w:t>
      </w:r>
      <w:r w:rsidR="000A7AAB" w:rsidRPr="002C4077">
        <w:t xml:space="preserve"> </w:t>
      </w:r>
      <w:r w:rsidR="000A7AAB">
        <w:t>seule</w:t>
      </w:r>
      <w:r w:rsidR="000A7AAB" w:rsidRPr="002C4077">
        <w:t xml:space="preserve"> </w:t>
      </w:r>
      <w:r w:rsidR="000A7AAB">
        <w:t>œuvre</w:t>
      </w:r>
      <w:r w:rsidR="000A7AAB" w:rsidRPr="002C4077">
        <w:t xml:space="preserve"> </w:t>
      </w:r>
      <w:r w:rsidR="000A7AAB">
        <w:t>de</w:t>
      </w:r>
      <w:r w:rsidR="000A7AAB" w:rsidRPr="002C4077">
        <w:t xml:space="preserve"> </w:t>
      </w:r>
      <w:r w:rsidR="000A7AAB">
        <w:t>science</w:t>
      </w:r>
      <w:r w:rsidR="000A7AAB" w:rsidRPr="002C4077">
        <w:t xml:space="preserve"> </w:t>
      </w:r>
      <w:r w:rsidR="000A7AAB">
        <w:t>biblique</w:t>
      </w:r>
      <w:r w:rsidR="000A7AAB" w:rsidRPr="002C4077">
        <w:t xml:space="preserve"> </w:t>
      </w:r>
      <w:r w:rsidR="000A7AAB">
        <w:t>dont</w:t>
      </w:r>
      <w:r w:rsidR="000A7AAB" w:rsidRPr="002C4077">
        <w:t xml:space="preserve"> </w:t>
      </w:r>
      <w:r w:rsidR="000A7AAB">
        <w:t>la</w:t>
      </w:r>
      <w:r w:rsidR="000A7AAB" w:rsidRPr="002C4077">
        <w:t xml:space="preserve"> </w:t>
      </w:r>
      <w:r w:rsidR="000A7AAB">
        <w:t>critique</w:t>
      </w:r>
      <w:r w:rsidR="000A7AAB" w:rsidRPr="002C4077">
        <w:t xml:space="preserve"> </w:t>
      </w:r>
      <w:r w:rsidR="000A7AAB">
        <w:t>de</w:t>
      </w:r>
      <w:r w:rsidR="000A7AAB" w:rsidRPr="002C4077">
        <w:t xml:space="preserve"> </w:t>
      </w:r>
      <w:r w:rsidR="000A7AAB">
        <w:t>notre</w:t>
      </w:r>
      <w:r w:rsidR="000A7AAB" w:rsidRPr="002C4077">
        <w:t xml:space="preserve"> </w:t>
      </w:r>
      <w:r w:rsidR="000A7AAB">
        <w:t>temps</w:t>
      </w:r>
      <w:r w:rsidR="000A7AAB" w:rsidRPr="002C4077">
        <w:t xml:space="preserve"> </w:t>
      </w:r>
      <w:r w:rsidR="000A7AAB">
        <w:t>ait</w:t>
      </w:r>
      <w:r w:rsidR="000A7AAB" w:rsidRPr="002C4077">
        <w:t xml:space="preserve"> </w:t>
      </w:r>
      <w:r w:rsidR="000A7AAB">
        <w:t>à</w:t>
      </w:r>
      <w:r w:rsidR="000A7AAB" w:rsidRPr="002C4077">
        <w:t xml:space="preserve"> </w:t>
      </w:r>
      <w:r w:rsidR="000A7AAB">
        <w:t>tenir</w:t>
      </w:r>
      <w:r w:rsidR="000A7AAB" w:rsidRPr="002C4077">
        <w:t xml:space="preserve"> </w:t>
      </w:r>
      <w:r w:rsidR="000A7AAB">
        <w:t>compte.</w:t>
      </w:r>
      <w:r w:rsidR="000A7AAB" w:rsidRPr="002C4077">
        <w:t xml:space="preserve"> </w:t>
      </w:r>
      <w:r w:rsidR="000A7AAB">
        <w:t>En</w:t>
      </w:r>
      <w:r w:rsidR="000A7AAB" w:rsidRPr="002C4077">
        <w:t xml:space="preserve"> </w:t>
      </w:r>
      <w:r w:rsidR="000A7AAB">
        <w:t>ce</w:t>
      </w:r>
      <w:r w:rsidR="000A7AAB" w:rsidRPr="002C4077">
        <w:t xml:space="preserve"> </w:t>
      </w:r>
      <w:r w:rsidR="000A7AAB">
        <w:t>domaine</w:t>
      </w:r>
      <w:r w:rsidR="000A7AAB" w:rsidRPr="002C4077">
        <w:t xml:space="preserve"> </w:t>
      </w:r>
      <w:r w:rsidR="000A7AAB">
        <w:t>de</w:t>
      </w:r>
      <w:r w:rsidR="000A7AAB" w:rsidRPr="002C4077">
        <w:t xml:space="preserve"> </w:t>
      </w:r>
      <w:r w:rsidR="000A7AAB">
        <w:t>l’esprit</w:t>
      </w:r>
      <w:r w:rsidR="000A7AAB" w:rsidRPr="002C4077">
        <w:t xml:space="preserve"> </w:t>
      </w:r>
      <w:r w:rsidR="000A7AAB">
        <w:t>humain,</w:t>
      </w:r>
      <w:r w:rsidR="000A7AAB" w:rsidRPr="002C4077">
        <w:t xml:space="preserve"> </w:t>
      </w:r>
      <w:r w:rsidR="000A7AAB">
        <w:t>comme</w:t>
      </w:r>
      <w:r w:rsidR="000A7AAB" w:rsidRPr="002C4077">
        <w:t xml:space="preserve"> </w:t>
      </w:r>
      <w:r w:rsidR="000A7AAB">
        <w:t>en</w:t>
      </w:r>
      <w:r w:rsidR="000A7AAB" w:rsidRPr="002C4077">
        <w:t xml:space="preserve"> </w:t>
      </w:r>
      <w:r w:rsidR="000A7AAB">
        <w:t>tant</w:t>
      </w:r>
      <w:r w:rsidR="000A7AAB" w:rsidRPr="002C4077">
        <w:t xml:space="preserve"> </w:t>
      </w:r>
      <w:r w:rsidR="000A7AAB">
        <w:t>d’autres,</w:t>
      </w:r>
      <w:r w:rsidR="000A7AAB" w:rsidRPr="002C4077">
        <w:t xml:space="preserve"> </w:t>
      </w:r>
      <w:r w:rsidR="000A7AAB">
        <w:t>le</w:t>
      </w:r>
      <w:r w:rsidR="000A7AAB" w:rsidRPr="002C4077">
        <w:t xml:space="preserve"> </w:t>
      </w:r>
      <w:r w:rsidR="000A7AAB">
        <w:t>catholicisme</w:t>
      </w:r>
      <w:r w:rsidR="000A7AAB" w:rsidRPr="002C4077">
        <w:t xml:space="preserve"> </w:t>
      </w:r>
      <w:r w:rsidR="000A7AAB">
        <w:t>a</w:t>
      </w:r>
      <w:r w:rsidR="000A7AAB" w:rsidRPr="002C4077">
        <w:t xml:space="preserve"> </w:t>
      </w:r>
      <w:r w:rsidR="000A7AAB">
        <w:t>porté</w:t>
      </w:r>
      <w:r w:rsidR="000A7AAB" w:rsidRPr="002C4077">
        <w:t xml:space="preserve"> </w:t>
      </w:r>
      <w:r w:rsidR="000A7AAB">
        <w:t>la</w:t>
      </w:r>
      <w:r w:rsidR="000A7AAB" w:rsidRPr="002C4077">
        <w:t xml:space="preserve"> </w:t>
      </w:r>
      <w:r w:rsidR="000A7AAB">
        <w:t>stérilité</w:t>
      </w:r>
      <w:r w:rsidR="000A7AAB" w:rsidRPr="002C4077">
        <w:t xml:space="preserve"> </w:t>
      </w:r>
      <w:r w:rsidR="000A7AAB">
        <w:t>et</w:t>
      </w:r>
      <w:r w:rsidR="000A7AAB" w:rsidRPr="002C4077">
        <w:t xml:space="preserve"> </w:t>
      </w:r>
      <w:r w:rsidR="000A7AAB">
        <w:t>la</w:t>
      </w:r>
      <w:r w:rsidR="000A7AAB" w:rsidRPr="002C4077">
        <w:t xml:space="preserve"> </w:t>
      </w:r>
      <w:r w:rsidR="000A7AAB">
        <w:t>mort</w:t>
      </w:r>
      <w:r>
        <w:t> »</w:t>
      </w:r>
      <w:r w:rsidR="000A7AAB">
        <w:t>.</w:t>
      </w:r>
      <w:r w:rsidR="000A7AAB" w:rsidRPr="002C4077">
        <w:t xml:space="preserve"> </w:t>
      </w:r>
    </w:p>
    <w:p w:rsidR="000A7AAB" w:rsidRDefault="000A7AAB" w:rsidP="000A7AAB">
      <w:r>
        <w:t>Telle</w:t>
      </w:r>
      <w:r w:rsidRPr="002C4077">
        <w:t xml:space="preserve"> </w:t>
      </w:r>
      <w:r w:rsidR="00425C50">
        <w:t>est</w:t>
      </w:r>
      <w:r w:rsidRPr="002C4077">
        <w:t xml:space="preserve"> </w:t>
      </w:r>
      <w:r>
        <w:t>du</w:t>
      </w:r>
      <w:r w:rsidRPr="002C4077">
        <w:t xml:space="preserve"> </w:t>
      </w:r>
      <w:r>
        <w:t>moins</w:t>
      </w:r>
      <w:r w:rsidRPr="002C4077">
        <w:t xml:space="preserve"> </w:t>
      </w:r>
      <w:r>
        <w:t>l’opinion</w:t>
      </w:r>
      <w:r w:rsidRPr="002C4077">
        <w:t xml:space="preserve"> </w:t>
      </w:r>
      <w:r>
        <w:t>de</w:t>
      </w:r>
      <w:r w:rsidRPr="002C4077">
        <w:t xml:space="preserve"> </w:t>
      </w:r>
      <w:r>
        <w:t>M.</w:t>
      </w:r>
      <w:r w:rsidRPr="002C4077">
        <w:t xml:space="preserve"> </w:t>
      </w:r>
      <w:r>
        <w:t>Jules</w:t>
      </w:r>
      <w:r w:rsidRPr="002C4077">
        <w:t xml:space="preserve"> </w:t>
      </w:r>
      <w:r>
        <w:t>Soury</w:t>
      </w:r>
      <w:bookmarkStart w:id="433" w:name="z_SouryJules_o1"/>
      <w:bookmarkEnd w:id="433"/>
      <w:r w:rsidR="00B91AF7">
        <w:rPr>
          <w:rStyle w:val="Appelnotedebasdep"/>
        </w:rPr>
        <w:footnoteReference w:id="485"/>
      </w:r>
      <w:r w:rsidRPr="002C4077">
        <w:t xml:space="preserve"> </w:t>
      </w:r>
      <w:r>
        <w:t>que,</w:t>
      </w:r>
      <w:r w:rsidRPr="002C4077">
        <w:t xml:space="preserve"> </w:t>
      </w:r>
      <w:r>
        <w:t>malgré</w:t>
      </w:r>
      <w:r w:rsidRPr="002C4077">
        <w:t xml:space="preserve"> </w:t>
      </w:r>
      <w:r>
        <w:t>son</w:t>
      </w:r>
      <w:r w:rsidRPr="002C4077">
        <w:t xml:space="preserve"> </w:t>
      </w:r>
      <w:r>
        <w:t>insuffisance</w:t>
      </w:r>
      <w:r w:rsidRPr="002C4077">
        <w:t xml:space="preserve"> </w:t>
      </w:r>
      <w:r>
        <w:t>scientifique,</w:t>
      </w:r>
      <w:r w:rsidRPr="002C4077">
        <w:t xml:space="preserve"> </w:t>
      </w:r>
      <w:r>
        <w:t>nous</w:t>
      </w:r>
      <w:r w:rsidRPr="002C4077">
        <w:t xml:space="preserve"> </w:t>
      </w:r>
      <w:r>
        <w:t>prenons</w:t>
      </w:r>
      <w:r w:rsidRPr="002C4077">
        <w:t xml:space="preserve"> </w:t>
      </w:r>
      <w:r>
        <w:t>la</w:t>
      </w:r>
      <w:r w:rsidRPr="002C4077">
        <w:t xml:space="preserve"> </w:t>
      </w:r>
      <w:r>
        <w:t>liberté</w:t>
      </w:r>
      <w:r w:rsidRPr="002C4077">
        <w:t xml:space="preserve"> </w:t>
      </w:r>
      <w:r>
        <w:t>de</w:t>
      </w:r>
      <w:r w:rsidRPr="002C4077">
        <w:t xml:space="preserve"> </w:t>
      </w:r>
      <w:r>
        <w:t>citer,</w:t>
      </w:r>
      <w:r w:rsidRPr="002C4077">
        <w:t xml:space="preserve"> </w:t>
      </w:r>
      <w:r>
        <w:t>parce</w:t>
      </w:r>
      <w:r w:rsidRPr="002C4077">
        <w:t xml:space="preserve"> </w:t>
      </w:r>
      <w:r>
        <w:t>qu’il</w:t>
      </w:r>
      <w:r w:rsidRPr="002C4077">
        <w:t xml:space="preserve"> </w:t>
      </w:r>
      <w:r>
        <w:t>reproduit</w:t>
      </w:r>
      <w:r w:rsidRPr="002C4077">
        <w:t xml:space="preserve"> </w:t>
      </w:r>
      <w:r>
        <w:t>clairement</w:t>
      </w:r>
      <w:r w:rsidRPr="002C4077">
        <w:t xml:space="preserve"> </w:t>
      </w:r>
      <w:r>
        <w:t>et</w:t>
      </w:r>
      <w:r w:rsidRPr="002C4077">
        <w:t xml:space="preserve"> </w:t>
      </w:r>
      <w:r>
        <w:t>fidèlement</w:t>
      </w:r>
      <w:r w:rsidRPr="002C4077">
        <w:t xml:space="preserve"> </w:t>
      </w:r>
      <w:r>
        <w:t>les</w:t>
      </w:r>
      <w:r w:rsidRPr="002C4077">
        <w:t xml:space="preserve"> </w:t>
      </w:r>
      <w:r>
        <w:t>erreurs</w:t>
      </w:r>
      <w:r w:rsidRPr="002C4077">
        <w:t xml:space="preserve"> </w:t>
      </w:r>
      <w:r>
        <w:t>des</w:t>
      </w:r>
      <w:r w:rsidRPr="002C4077">
        <w:t xml:space="preserve"> </w:t>
      </w:r>
      <w:r>
        <w:t>savants</w:t>
      </w:r>
      <w:r w:rsidRPr="002C4077">
        <w:t xml:space="preserve"> </w:t>
      </w:r>
      <w:r>
        <w:t>de</w:t>
      </w:r>
      <w:r w:rsidRPr="002C4077">
        <w:t xml:space="preserve"> </w:t>
      </w:r>
      <w:r>
        <w:t>son</w:t>
      </w:r>
      <w:r w:rsidRPr="002C4077">
        <w:t xml:space="preserve"> </w:t>
      </w:r>
      <w:r>
        <w:t>parti.</w:t>
      </w:r>
      <w:r w:rsidR="00C45B47">
        <w:t xml:space="preserve"> {</w:t>
      </w:r>
      <w:r w:rsidR="00B53529">
        <w:t>162</w:t>
      </w:r>
      <w:bookmarkStart w:id="434" w:name="p162"/>
      <w:bookmarkEnd w:id="434"/>
      <w:r w:rsidR="00B53529">
        <w:t xml:space="preserve">} </w:t>
      </w:r>
      <w:r>
        <w:t>Mais,</w:t>
      </w:r>
      <w:r w:rsidRPr="002C4077">
        <w:t xml:space="preserve"> </w:t>
      </w:r>
      <w:r>
        <w:t>autant</w:t>
      </w:r>
      <w:r w:rsidRPr="002C4077">
        <w:t xml:space="preserve"> </w:t>
      </w:r>
      <w:r>
        <w:t>de</w:t>
      </w:r>
      <w:r w:rsidRPr="002C4077">
        <w:t xml:space="preserve"> </w:t>
      </w:r>
      <w:r>
        <w:t>lignes,</w:t>
      </w:r>
      <w:r w:rsidRPr="002C4077">
        <w:t xml:space="preserve"> </w:t>
      </w:r>
      <w:r>
        <w:t>autant</w:t>
      </w:r>
      <w:r w:rsidRPr="002C4077">
        <w:t xml:space="preserve"> </w:t>
      </w:r>
      <w:r>
        <w:t>d’erreurs,</w:t>
      </w:r>
      <w:r w:rsidRPr="002C4077">
        <w:t xml:space="preserve"> </w:t>
      </w:r>
      <w:r>
        <w:t>pour</w:t>
      </w:r>
      <w:r w:rsidRPr="002C4077">
        <w:t xml:space="preserve"> </w:t>
      </w:r>
      <w:r>
        <w:t>ne</w:t>
      </w:r>
      <w:r w:rsidRPr="002C4077">
        <w:t xml:space="preserve"> </w:t>
      </w:r>
      <w:r>
        <w:t>pas</w:t>
      </w:r>
      <w:r w:rsidRPr="002C4077">
        <w:t xml:space="preserve"> </w:t>
      </w:r>
      <w:r>
        <w:t>dire</w:t>
      </w:r>
      <w:r w:rsidRPr="002C4077">
        <w:t xml:space="preserve"> </w:t>
      </w:r>
      <w:r>
        <w:t>autant</w:t>
      </w:r>
      <w:r w:rsidRPr="002C4077">
        <w:t xml:space="preserve"> </w:t>
      </w:r>
      <w:r>
        <w:t>d’allégations</w:t>
      </w:r>
      <w:r w:rsidRPr="002C4077">
        <w:t xml:space="preserve"> </w:t>
      </w:r>
      <w:r>
        <w:t>mensongères</w:t>
      </w:r>
      <w:r w:rsidR="00B546AF">
        <w:t> :</w:t>
      </w:r>
      <w:r w:rsidRPr="002C4077">
        <w:t xml:space="preserve"> </w:t>
      </w:r>
      <w:r>
        <w:t>il</w:t>
      </w:r>
      <w:r w:rsidRPr="002C4077">
        <w:t xml:space="preserve"> </w:t>
      </w:r>
      <w:r>
        <w:t>nous</w:t>
      </w:r>
      <w:r w:rsidRPr="002C4077">
        <w:t xml:space="preserve"> </w:t>
      </w:r>
      <w:r>
        <w:t>sera</w:t>
      </w:r>
      <w:r w:rsidRPr="002C4077">
        <w:t xml:space="preserve"> </w:t>
      </w:r>
      <w:r>
        <w:t>facile</w:t>
      </w:r>
      <w:r w:rsidRPr="002C4077">
        <w:t xml:space="preserve"> </w:t>
      </w:r>
      <w:r>
        <w:t>de</w:t>
      </w:r>
      <w:r w:rsidRPr="002C4077">
        <w:t xml:space="preserve"> </w:t>
      </w:r>
      <w:r>
        <w:t>le</w:t>
      </w:r>
      <w:r w:rsidRPr="002C4077">
        <w:t xml:space="preserve"> </w:t>
      </w:r>
      <w:r>
        <w:t>démontrer.</w:t>
      </w:r>
      <w:r w:rsidRPr="002C4077">
        <w:t xml:space="preserve"> </w:t>
      </w:r>
    </w:p>
    <w:p w:rsidR="001A54EA" w:rsidRDefault="001A54EA" w:rsidP="000A7AAB"/>
    <w:p w:rsidR="000A7AAB" w:rsidRPr="001A54EA" w:rsidRDefault="000A7AAB" w:rsidP="000A7AAB">
      <w:pPr>
        <w:rPr>
          <w:rStyle w:val="italicus"/>
        </w:rPr>
      </w:pPr>
      <w:r w:rsidRPr="001A54EA">
        <w:t>1°</w:t>
      </w:r>
      <w:r w:rsidRPr="002C4077">
        <w:t xml:space="preserve"> </w:t>
      </w:r>
      <w:r w:rsidRPr="001A54EA">
        <w:rPr>
          <w:rStyle w:val="italicus"/>
        </w:rPr>
        <w:t>La grande école des critiques français du XV</w:t>
      </w:r>
      <w:r w:rsidR="007B3C26" w:rsidRPr="001A54EA">
        <w:rPr>
          <w:rStyle w:val="italicus"/>
        </w:rPr>
        <w:t>IIe</w:t>
      </w:r>
      <w:r w:rsidRPr="001A54EA">
        <w:rPr>
          <w:rStyle w:val="italicus"/>
        </w:rPr>
        <w:t xml:space="preserve"> siècle fonda la science biblique. </w:t>
      </w:r>
    </w:p>
    <w:p w:rsidR="000A7AAB" w:rsidRDefault="000A7AAB" w:rsidP="000A7AAB">
      <w:r>
        <w:t>Nous</w:t>
      </w:r>
      <w:r w:rsidRPr="002C4077">
        <w:t xml:space="preserve"> </w:t>
      </w:r>
      <w:r>
        <w:t>ignorons</w:t>
      </w:r>
      <w:r w:rsidRPr="002C4077">
        <w:t xml:space="preserve"> </w:t>
      </w:r>
      <w:r>
        <w:t>ce</w:t>
      </w:r>
      <w:r w:rsidRPr="002C4077">
        <w:t xml:space="preserve"> </w:t>
      </w:r>
      <w:r>
        <w:t>que</w:t>
      </w:r>
      <w:r w:rsidRPr="002C4077">
        <w:t xml:space="preserve"> </w:t>
      </w:r>
      <w:r>
        <w:t>M.</w:t>
      </w:r>
      <w:r w:rsidRPr="002C4077">
        <w:t xml:space="preserve"> </w:t>
      </w:r>
      <w:r>
        <w:t>Soury</w:t>
      </w:r>
      <w:r w:rsidRPr="002C4077">
        <w:t xml:space="preserve"> </w:t>
      </w:r>
      <w:r>
        <w:t>appelle</w:t>
      </w:r>
      <w:r w:rsidRPr="002C4077">
        <w:t xml:space="preserve"> </w:t>
      </w:r>
      <w:r>
        <w:t>avec</w:t>
      </w:r>
      <w:r w:rsidRPr="002C4077">
        <w:t xml:space="preserve"> </w:t>
      </w:r>
      <w:r>
        <w:t>tant</w:t>
      </w:r>
      <w:r w:rsidRPr="002C4077">
        <w:t xml:space="preserve"> </w:t>
      </w:r>
      <w:r>
        <w:t>d’emphase</w:t>
      </w:r>
      <w:r w:rsidRPr="002C4077">
        <w:t xml:space="preserve"> </w:t>
      </w:r>
      <w:r w:rsidR="00B546AF">
        <w:t>« </w:t>
      </w:r>
      <w:r>
        <w:t>la</w:t>
      </w:r>
      <w:r w:rsidRPr="002C4077">
        <w:t xml:space="preserve"> </w:t>
      </w:r>
      <w:r>
        <w:t>grande</w:t>
      </w:r>
      <w:r w:rsidRPr="002C4077">
        <w:t xml:space="preserve"> </w:t>
      </w:r>
      <w:r>
        <w:t>école</w:t>
      </w:r>
      <w:r w:rsidRPr="002C4077">
        <w:t xml:space="preserve"> </w:t>
      </w:r>
      <w:r>
        <w:t>des</w:t>
      </w:r>
      <w:r w:rsidRPr="002C4077">
        <w:t xml:space="preserve"> </w:t>
      </w:r>
      <w:r>
        <w:t>critiques</w:t>
      </w:r>
      <w:r w:rsidRPr="002C4077">
        <w:t xml:space="preserve"> </w:t>
      </w:r>
      <w:r>
        <w:t>français</w:t>
      </w:r>
      <w:r w:rsidR="00B546AF">
        <w:t> »</w:t>
      </w:r>
      <w:r w:rsidRPr="002C4077">
        <w:t xml:space="preserve"> </w:t>
      </w:r>
      <w:r>
        <w:t>qui,</w:t>
      </w:r>
      <w:r w:rsidRPr="002C4077">
        <w:t xml:space="preserve"> </w:t>
      </w:r>
      <w:r>
        <w:t>au</w:t>
      </w:r>
      <w:r w:rsidRPr="002C4077">
        <w:t xml:space="preserve"> </w:t>
      </w:r>
      <w:r>
        <w:t>XV</w:t>
      </w:r>
      <w:r w:rsidR="007B3C26">
        <w:t>II</w:t>
      </w:r>
      <w:r w:rsidR="007B3C26" w:rsidRPr="007B3C26">
        <w:rPr>
          <w:vertAlign w:val="superscript"/>
        </w:rPr>
        <w:t>e</w:t>
      </w:r>
      <w:r w:rsidRPr="002C4077">
        <w:t xml:space="preserve"> </w:t>
      </w:r>
      <w:r>
        <w:t>siècle,</w:t>
      </w:r>
      <w:r w:rsidRPr="002C4077">
        <w:t xml:space="preserve"> </w:t>
      </w:r>
      <w:r>
        <w:t>aurait</w:t>
      </w:r>
      <w:r w:rsidRPr="002C4077">
        <w:t xml:space="preserve"> </w:t>
      </w:r>
      <w:r>
        <w:t>fondé</w:t>
      </w:r>
      <w:r w:rsidRPr="002C4077">
        <w:t xml:space="preserve"> </w:t>
      </w:r>
      <w:r>
        <w:t>la</w:t>
      </w:r>
      <w:r w:rsidRPr="002C4077">
        <w:t xml:space="preserve"> </w:t>
      </w:r>
      <w:r>
        <w:t>science</w:t>
      </w:r>
      <w:r w:rsidRPr="002C4077">
        <w:t xml:space="preserve"> </w:t>
      </w:r>
      <w:r>
        <w:t>biblique.</w:t>
      </w:r>
      <w:r w:rsidRPr="002C4077">
        <w:t xml:space="preserve"> </w:t>
      </w:r>
      <w:r>
        <w:t>Du</w:t>
      </w:r>
      <w:r w:rsidRPr="002C4077">
        <w:t xml:space="preserve"> </w:t>
      </w:r>
      <w:r>
        <w:t>moins,</w:t>
      </w:r>
      <w:r w:rsidRPr="002C4077">
        <w:t xml:space="preserve"> </w:t>
      </w:r>
      <w:r>
        <w:t>à</w:t>
      </w:r>
      <w:r w:rsidRPr="002C4077">
        <w:t xml:space="preserve"> </w:t>
      </w:r>
      <w:r>
        <w:t>la</w:t>
      </w:r>
      <w:r w:rsidRPr="002C4077">
        <w:t xml:space="preserve"> </w:t>
      </w:r>
      <w:r>
        <w:t>ligne</w:t>
      </w:r>
      <w:r w:rsidRPr="002C4077">
        <w:t xml:space="preserve"> </w:t>
      </w:r>
      <w:r>
        <w:t>suivante,</w:t>
      </w:r>
      <w:r w:rsidRPr="002C4077">
        <w:t xml:space="preserve"> </w:t>
      </w:r>
      <w:r>
        <w:t>il</w:t>
      </w:r>
      <w:r w:rsidRPr="002C4077">
        <w:t xml:space="preserve"> </w:t>
      </w:r>
      <w:r>
        <w:t>signale</w:t>
      </w:r>
      <w:r w:rsidRPr="002C4077">
        <w:t xml:space="preserve"> </w:t>
      </w:r>
      <w:r>
        <w:t>nommément</w:t>
      </w:r>
      <w:r w:rsidRPr="002C4077">
        <w:t xml:space="preserve"> </w:t>
      </w:r>
      <w:r>
        <w:t>l’un</w:t>
      </w:r>
      <w:r w:rsidRPr="002C4077">
        <w:t xml:space="preserve"> </w:t>
      </w:r>
      <w:r>
        <w:t>de</w:t>
      </w:r>
      <w:r w:rsidRPr="002C4077">
        <w:t xml:space="preserve"> </w:t>
      </w:r>
      <w:r>
        <w:t>ces</w:t>
      </w:r>
      <w:r w:rsidRPr="002C4077">
        <w:t xml:space="preserve"> </w:t>
      </w:r>
      <w:r>
        <w:t>critiques,</w:t>
      </w:r>
      <w:r w:rsidRPr="002C4077">
        <w:t xml:space="preserve"> </w:t>
      </w:r>
      <w:r>
        <w:t>Richard</w:t>
      </w:r>
      <w:r w:rsidRPr="002C4077">
        <w:t xml:space="preserve"> </w:t>
      </w:r>
      <w:r>
        <w:t>Simon,</w:t>
      </w:r>
      <w:r w:rsidRPr="002C4077">
        <w:t xml:space="preserve"> </w:t>
      </w:r>
      <w:r>
        <w:t>auquel,</w:t>
      </w:r>
      <w:r w:rsidRPr="002C4077">
        <w:t xml:space="preserve"> </w:t>
      </w:r>
      <w:r>
        <w:t>—</w:t>
      </w:r>
      <w:r w:rsidRPr="002C4077">
        <w:t xml:space="preserve"> </w:t>
      </w:r>
      <w:r>
        <w:t>on</w:t>
      </w:r>
      <w:r w:rsidRPr="002C4077">
        <w:t xml:space="preserve"> </w:t>
      </w:r>
      <w:r>
        <w:t>le</w:t>
      </w:r>
      <w:r w:rsidRPr="002C4077">
        <w:t xml:space="preserve"> </w:t>
      </w:r>
      <w:r>
        <w:t>verra</w:t>
      </w:r>
      <w:r w:rsidRPr="002C4077">
        <w:t xml:space="preserve"> </w:t>
      </w:r>
      <w:r>
        <w:t>dans</w:t>
      </w:r>
      <w:r w:rsidRPr="002C4077">
        <w:t xml:space="preserve"> </w:t>
      </w:r>
      <w:r>
        <w:t>un</w:t>
      </w:r>
      <w:r w:rsidRPr="002C4077">
        <w:t xml:space="preserve"> </w:t>
      </w:r>
      <w:r>
        <w:t>instant,</w:t>
      </w:r>
      <w:r w:rsidRPr="002C4077">
        <w:t xml:space="preserve"> </w:t>
      </w:r>
      <w:r>
        <w:t>—</w:t>
      </w:r>
      <w:r w:rsidRPr="002C4077">
        <w:t xml:space="preserve"> </w:t>
      </w:r>
      <w:r>
        <w:t>nous</w:t>
      </w:r>
      <w:r w:rsidRPr="002C4077">
        <w:t xml:space="preserve"> </w:t>
      </w:r>
      <w:r>
        <w:t>saurons</w:t>
      </w:r>
      <w:r w:rsidRPr="002C4077">
        <w:t xml:space="preserve"> </w:t>
      </w:r>
      <w:r>
        <w:t>parfaitement</w:t>
      </w:r>
      <w:r w:rsidRPr="002C4077">
        <w:t xml:space="preserve"> </w:t>
      </w:r>
      <w:r>
        <w:t>rendre</w:t>
      </w:r>
      <w:r w:rsidRPr="002C4077">
        <w:t xml:space="preserve"> </w:t>
      </w:r>
      <w:r>
        <w:t>justice.</w:t>
      </w:r>
      <w:r w:rsidRPr="002C4077">
        <w:t xml:space="preserve"> </w:t>
      </w:r>
      <w:r>
        <w:t>Mais</w:t>
      </w:r>
      <w:r w:rsidRPr="002C4077">
        <w:t xml:space="preserve"> </w:t>
      </w:r>
      <w:r>
        <w:t>qu’il</w:t>
      </w:r>
      <w:r w:rsidRPr="002C4077">
        <w:t xml:space="preserve"> </w:t>
      </w:r>
      <w:r>
        <w:t>nous</w:t>
      </w:r>
      <w:r w:rsidRPr="002C4077">
        <w:t xml:space="preserve"> </w:t>
      </w:r>
      <w:r>
        <w:t>soit</w:t>
      </w:r>
      <w:r w:rsidRPr="002C4077">
        <w:t xml:space="preserve"> </w:t>
      </w:r>
      <w:r>
        <w:t>permis</w:t>
      </w:r>
      <w:r w:rsidRPr="002C4077">
        <w:t xml:space="preserve"> </w:t>
      </w:r>
      <w:r>
        <w:t>d’abord</w:t>
      </w:r>
      <w:r w:rsidRPr="002C4077">
        <w:t xml:space="preserve"> </w:t>
      </w:r>
      <w:r>
        <w:t>de</w:t>
      </w:r>
      <w:r w:rsidRPr="002C4077">
        <w:t xml:space="preserve"> </w:t>
      </w:r>
      <w:r>
        <w:t>demander</w:t>
      </w:r>
      <w:r w:rsidRPr="002C4077">
        <w:t xml:space="preserve"> </w:t>
      </w:r>
      <w:r>
        <w:t>à</w:t>
      </w:r>
      <w:r w:rsidRPr="002C4077">
        <w:t xml:space="preserve"> </w:t>
      </w:r>
      <w:r>
        <w:t>M.</w:t>
      </w:r>
      <w:r w:rsidRPr="002C4077">
        <w:t xml:space="preserve"> </w:t>
      </w:r>
      <w:r>
        <w:t>Soury</w:t>
      </w:r>
      <w:r w:rsidRPr="002C4077">
        <w:t xml:space="preserve"> </w:t>
      </w:r>
      <w:r>
        <w:t>ce</w:t>
      </w:r>
      <w:r w:rsidRPr="002C4077">
        <w:t xml:space="preserve"> </w:t>
      </w:r>
      <w:r>
        <w:t>qu’il</w:t>
      </w:r>
      <w:r w:rsidRPr="002C4077">
        <w:t xml:space="preserve"> </w:t>
      </w:r>
      <w:r>
        <w:t>entend</w:t>
      </w:r>
      <w:r w:rsidRPr="002C4077">
        <w:t xml:space="preserve"> </w:t>
      </w:r>
      <w:r>
        <w:t>par</w:t>
      </w:r>
      <w:r w:rsidRPr="002C4077">
        <w:t xml:space="preserve"> </w:t>
      </w:r>
      <w:r w:rsidR="00B546AF">
        <w:t>« </w:t>
      </w:r>
      <w:r>
        <w:t>fondation</w:t>
      </w:r>
      <w:r w:rsidRPr="002C4077">
        <w:t xml:space="preserve"> </w:t>
      </w:r>
      <w:r>
        <w:t>de</w:t>
      </w:r>
      <w:r w:rsidRPr="002C4077">
        <w:t xml:space="preserve"> </w:t>
      </w:r>
      <w:r>
        <w:t>la</w:t>
      </w:r>
      <w:r w:rsidRPr="002C4077">
        <w:t xml:space="preserve"> </w:t>
      </w:r>
      <w:r>
        <w:t>science</w:t>
      </w:r>
      <w:r w:rsidRPr="002C4077">
        <w:t xml:space="preserve"> </w:t>
      </w:r>
      <w:r>
        <w:t>biblique</w:t>
      </w:r>
      <w:r w:rsidR="00B546AF">
        <w:t> »</w:t>
      </w:r>
      <w:r>
        <w:t>.</w:t>
      </w:r>
      <w:r w:rsidRPr="002C4077">
        <w:t xml:space="preserve"> </w:t>
      </w:r>
    </w:p>
    <w:p w:rsidR="000A7AAB" w:rsidRDefault="000A7AAB" w:rsidP="000A7AAB">
      <w:r>
        <w:t>Apparemment,</w:t>
      </w:r>
      <w:r w:rsidRPr="002C4077">
        <w:t xml:space="preserve"> </w:t>
      </w:r>
      <w:r>
        <w:t>il</w:t>
      </w:r>
      <w:r w:rsidRPr="002C4077">
        <w:t xml:space="preserve"> </w:t>
      </w:r>
      <w:r>
        <w:t>a</w:t>
      </w:r>
      <w:r w:rsidRPr="002C4077">
        <w:t xml:space="preserve"> </w:t>
      </w:r>
      <w:r>
        <w:t>voulu</w:t>
      </w:r>
      <w:r w:rsidRPr="002C4077">
        <w:t xml:space="preserve"> </w:t>
      </w:r>
      <w:r>
        <w:t>désigner</w:t>
      </w:r>
      <w:r w:rsidRPr="002C4077">
        <w:t xml:space="preserve"> </w:t>
      </w:r>
      <w:r>
        <w:t>par</w:t>
      </w:r>
      <w:r w:rsidRPr="002C4077">
        <w:t xml:space="preserve"> </w:t>
      </w:r>
      <w:r>
        <w:t>là</w:t>
      </w:r>
      <w:r w:rsidRPr="002C4077">
        <w:t xml:space="preserve"> </w:t>
      </w:r>
      <w:r>
        <w:t>l’emploi</w:t>
      </w:r>
      <w:r w:rsidRPr="002C4077">
        <w:t xml:space="preserve"> </w:t>
      </w:r>
      <w:r>
        <w:t>de</w:t>
      </w:r>
      <w:r w:rsidRPr="002C4077">
        <w:t xml:space="preserve"> </w:t>
      </w:r>
      <w:r>
        <w:t>ces</w:t>
      </w:r>
      <w:r w:rsidRPr="002C4077">
        <w:t xml:space="preserve"> </w:t>
      </w:r>
      <w:r>
        <w:t>divers</w:t>
      </w:r>
      <w:r w:rsidRPr="002C4077">
        <w:t xml:space="preserve"> </w:t>
      </w:r>
      <w:r>
        <w:t>moyens,</w:t>
      </w:r>
      <w:r w:rsidRPr="002C4077">
        <w:t xml:space="preserve"> </w:t>
      </w:r>
      <w:r>
        <w:t>grâce</w:t>
      </w:r>
      <w:r w:rsidRPr="002C4077">
        <w:t xml:space="preserve"> </w:t>
      </w:r>
      <w:r>
        <w:t>auxquels</w:t>
      </w:r>
      <w:r w:rsidRPr="002C4077">
        <w:t xml:space="preserve"> </w:t>
      </w:r>
      <w:r>
        <w:t>on</w:t>
      </w:r>
      <w:r w:rsidRPr="002C4077">
        <w:t xml:space="preserve"> </w:t>
      </w:r>
      <w:r>
        <w:t>arrive</w:t>
      </w:r>
      <w:r w:rsidRPr="002C4077">
        <w:t xml:space="preserve"> </w:t>
      </w:r>
      <w:r>
        <w:t>à</w:t>
      </w:r>
      <w:r w:rsidRPr="002C4077">
        <w:t xml:space="preserve"> </w:t>
      </w:r>
      <w:r>
        <w:t>déterminer</w:t>
      </w:r>
      <w:r w:rsidRPr="002C4077">
        <w:t xml:space="preserve"> </w:t>
      </w:r>
      <w:r>
        <w:t>avec</w:t>
      </w:r>
      <w:r w:rsidRPr="002C4077">
        <w:t xml:space="preserve"> </w:t>
      </w:r>
      <w:r>
        <w:t>plus</w:t>
      </w:r>
      <w:r w:rsidRPr="002C4077">
        <w:t xml:space="preserve"> </w:t>
      </w:r>
      <w:r>
        <w:t>de</w:t>
      </w:r>
      <w:r w:rsidRPr="002C4077">
        <w:t xml:space="preserve"> </w:t>
      </w:r>
      <w:r>
        <w:t>certitude</w:t>
      </w:r>
      <w:r w:rsidRPr="002C4077">
        <w:t xml:space="preserve"> </w:t>
      </w:r>
      <w:r>
        <w:t>le</w:t>
      </w:r>
      <w:r w:rsidRPr="002C4077">
        <w:t xml:space="preserve"> </w:t>
      </w:r>
      <w:r>
        <w:t>sens</w:t>
      </w:r>
      <w:r w:rsidRPr="002C4077">
        <w:t xml:space="preserve"> </w:t>
      </w:r>
      <w:r>
        <w:t>littéral</w:t>
      </w:r>
      <w:r w:rsidRPr="002C4077">
        <w:t xml:space="preserve"> </w:t>
      </w:r>
      <w:r>
        <w:t>des</w:t>
      </w:r>
      <w:r w:rsidRPr="002C4077">
        <w:t xml:space="preserve"> </w:t>
      </w:r>
      <w:r>
        <w:t>divines</w:t>
      </w:r>
      <w:r w:rsidRPr="002C4077">
        <w:t xml:space="preserve"> </w:t>
      </w:r>
      <w:r>
        <w:t>Écritures</w:t>
      </w:r>
      <w:r w:rsidR="00B546AF">
        <w:t> :</w:t>
      </w:r>
      <w:r w:rsidRPr="002C4077">
        <w:t xml:space="preserve"> </w:t>
      </w:r>
      <w:r>
        <w:t>tels</w:t>
      </w:r>
      <w:r w:rsidRPr="002C4077">
        <w:t xml:space="preserve"> </w:t>
      </w:r>
      <w:r>
        <w:t>que</w:t>
      </w:r>
      <w:r w:rsidRPr="002C4077">
        <w:t xml:space="preserve"> </w:t>
      </w:r>
      <w:r>
        <w:t>l’étude</w:t>
      </w:r>
      <w:r w:rsidRPr="002C4077">
        <w:t xml:space="preserve"> </w:t>
      </w:r>
      <w:r>
        <w:t>des</w:t>
      </w:r>
      <w:r w:rsidRPr="002C4077">
        <w:t xml:space="preserve"> </w:t>
      </w:r>
      <w:r>
        <w:t>textes</w:t>
      </w:r>
      <w:r w:rsidRPr="002C4077">
        <w:t xml:space="preserve"> </w:t>
      </w:r>
      <w:r>
        <w:t>primitifs,</w:t>
      </w:r>
      <w:r w:rsidRPr="002C4077">
        <w:t xml:space="preserve"> </w:t>
      </w:r>
      <w:r>
        <w:t>des</w:t>
      </w:r>
      <w:r w:rsidRPr="002C4077">
        <w:t xml:space="preserve"> </w:t>
      </w:r>
      <w:r>
        <w:t>principales</w:t>
      </w:r>
      <w:r w:rsidRPr="002C4077">
        <w:t xml:space="preserve"> </w:t>
      </w:r>
      <w:r>
        <w:t>versions,</w:t>
      </w:r>
      <w:r w:rsidRPr="002C4077">
        <w:t xml:space="preserve"> </w:t>
      </w:r>
      <w:r>
        <w:t>des</w:t>
      </w:r>
      <w:r w:rsidRPr="002C4077">
        <w:t xml:space="preserve"> </w:t>
      </w:r>
      <w:r>
        <w:t>manuscrits</w:t>
      </w:r>
      <w:r w:rsidRPr="002C4077">
        <w:t xml:space="preserve"> </w:t>
      </w:r>
      <w:r>
        <w:t>les</w:t>
      </w:r>
      <w:r w:rsidRPr="002C4077">
        <w:t xml:space="preserve"> </w:t>
      </w:r>
      <w:r>
        <w:t>plus</w:t>
      </w:r>
      <w:r w:rsidRPr="002C4077">
        <w:t xml:space="preserve"> </w:t>
      </w:r>
      <w:r>
        <w:t>anciens,</w:t>
      </w:r>
      <w:r w:rsidRPr="002C4077">
        <w:t xml:space="preserve"> </w:t>
      </w:r>
      <w:r>
        <w:t>le</w:t>
      </w:r>
      <w:r w:rsidRPr="002C4077">
        <w:t xml:space="preserve"> </w:t>
      </w:r>
      <w:r>
        <w:t>rapprochement</w:t>
      </w:r>
      <w:r w:rsidRPr="002C4077">
        <w:t xml:space="preserve"> </w:t>
      </w:r>
      <w:r>
        <w:t>des</w:t>
      </w:r>
      <w:r w:rsidRPr="002C4077">
        <w:t xml:space="preserve"> </w:t>
      </w:r>
      <w:r>
        <w:t>passages</w:t>
      </w:r>
      <w:r w:rsidRPr="002C4077">
        <w:t xml:space="preserve"> </w:t>
      </w:r>
      <w:r>
        <w:t>parallèles,</w:t>
      </w:r>
      <w:r w:rsidRPr="002C4077">
        <w:t xml:space="preserve"> </w:t>
      </w:r>
      <w:r w:rsidR="00425C50">
        <w:t>etc</w:t>
      </w:r>
      <w:r>
        <w:t>.</w:t>
      </w:r>
      <w:r w:rsidRPr="002C4077">
        <w:t xml:space="preserve"> </w:t>
      </w:r>
      <w:r>
        <w:t>Mais</w:t>
      </w:r>
      <w:bookmarkStart w:id="435" w:name="z_PeresLesSaints_o1"/>
      <w:bookmarkEnd w:id="435"/>
      <w:r w:rsidRPr="002C4077">
        <w:t xml:space="preserve"> </w:t>
      </w:r>
      <w:r>
        <w:lastRenderedPageBreak/>
        <w:t>ignore-t-il</w:t>
      </w:r>
      <w:r w:rsidRPr="002C4077">
        <w:t xml:space="preserve"> </w:t>
      </w:r>
      <w:r>
        <w:t>donc</w:t>
      </w:r>
      <w:r w:rsidRPr="002C4077">
        <w:t xml:space="preserve"> </w:t>
      </w:r>
      <w:r>
        <w:t>qu’Origène</w:t>
      </w:r>
      <w:r w:rsidRPr="002C4077">
        <w:t xml:space="preserve"> </w:t>
      </w:r>
      <w:r w:rsidR="00B91AF7">
        <w:rPr>
          <w:rStyle w:val="Appelnotedebasdep"/>
        </w:rPr>
        <w:footnoteReference w:id="486"/>
      </w:r>
      <w:r w:rsidRPr="002C4077">
        <w:t xml:space="preserve"> </w:t>
      </w:r>
      <w:r>
        <w:t>au</w:t>
      </w:r>
      <w:r w:rsidRPr="002C4077">
        <w:t xml:space="preserve"> </w:t>
      </w:r>
      <w:r>
        <w:t>I</w:t>
      </w:r>
      <w:r w:rsidR="007B3C26">
        <w:t>II</w:t>
      </w:r>
      <w:r w:rsidR="007B3C26" w:rsidRPr="007B3C26">
        <w:rPr>
          <w:vertAlign w:val="superscript"/>
        </w:rPr>
        <w:t>e</w:t>
      </w:r>
      <w:r w:rsidRPr="002C4077">
        <w:t xml:space="preserve"> </w:t>
      </w:r>
      <w:r>
        <w:t>siècle,</w:t>
      </w:r>
      <w:r w:rsidRPr="002C4077">
        <w:t xml:space="preserve"> </w:t>
      </w:r>
      <w:r>
        <w:t>saint</w:t>
      </w:r>
      <w:r w:rsidRPr="002C4077">
        <w:t xml:space="preserve"> </w:t>
      </w:r>
      <w:r>
        <w:t>Jérôme</w:t>
      </w:r>
      <w:r w:rsidRPr="002C4077">
        <w:t xml:space="preserve"> </w:t>
      </w:r>
      <w:r>
        <w:t>au</w:t>
      </w:r>
      <w:r w:rsidRPr="002C4077">
        <w:t xml:space="preserve"> </w:t>
      </w:r>
      <w:r w:rsidR="007B3C26">
        <w:t>IV</w:t>
      </w:r>
      <w:r w:rsidR="007B3C26" w:rsidRPr="007B3C26">
        <w:rPr>
          <w:vertAlign w:val="superscript"/>
        </w:rPr>
        <w:t>e</w:t>
      </w:r>
      <w:r w:rsidR="003B5C82">
        <w:t>,</w:t>
      </w:r>
      <w:r w:rsidR="003B5C82" w:rsidRPr="002C4077">
        <w:t xml:space="preserve"> </w:t>
      </w:r>
      <w:r>
        <w:t>ont</w:t>
      </w:r>
      <w:r w:rsidRPr="002C4077">
        <w:t xml:space="preserve"> </w:t>
      </w:r>
      <w:r>
        <w:t>fait</w:t>
      </w:r>
      <w:r w:rsidRPr="002C4077">
        <w:t xml:space="preserve"> </w:t>
      </w:r>
      <w:r>
        <w:t>sur</w:t>
      </w:r>
      <w:r w:rsidRPr="002C4077">
        <w:t xml:space="preserve"> </w:t>
      </w:r>
      <w:r>
        <w:t>ce</w:t>
      </w:r>
      <w:r w:rsidRPr="002C4077">
        <w:t xml:space="preserve"> </w:t>
      </w:r>
      <w:r>
        <w:t>terrain</w:t>
      </w:r>
      <w:r w:rsidRPr="002C4077">
        <w:t xml:space="preserve"> </w:t>
      </w:r>
      <w:r>
        <w:t>des</w:t>
      </w:r>
      <w:r w:rsidRPr="002C4077">
        <w:t xml:space="preserve"> </w:t>
      </w:r>
      <w:r>
        <w:t>travaux</w:t>
      </w:r>
      <w:r w:rsidRPr="002C4077">
        <w:t xml:space="preserve"> </w:t>
      </w:r>
      <w:r>
        <w:t>qu’on</w:t>
      </w:r>
      <w:r w:rsidRPr="002C4077">
        <w:t xml:space="preserve"> </w:t>
      </w:r>
      <w:r>
        <w:t>admirera</w:t>
      </w:r>
      <w:r w:rsidRPr="002C4077">
        <w:t xml:space="preserve"> </w:t>
      </w:r>
      <w:r>
        <w:t>toujours.</w:t>
      </w:r>
      <w:r w:rsidRPr="002C4077">
        <w:t xml:space="preserve"> </w:t>
      </w:r>
      <w:r>
        <w:t>Ignore-t-il</w:t>
      </w:r>
      <w:r w:rsidRPr="002C4077">
        <w:t xml:space="preserve"> </w:t>
      </w:r>
      <w:r>
        <w:t>que</w:t>
      </w:r>
      <w:r w:rsidRPr="002C4077">
        <w:t xml:space="preserve"> </w:t>
      </w:r>
      <w:r>
        <w:t>saint</w:t>
      </w:r>
      <w:r w:rsidRPr="002C4077">
        <w:t xml:space="preserve"> </w:t>
      </w:r>
      <w:r>
        <w:t>Augustin</w:t>
      </w:r>
      <w:bookmarkStart w:id="436" w:name="z_Augustin_o1"/>
      <w:bookmarkEnd w:id="436"/>
      <w:r w:rsidRPr="002C4077">
        <w:t xml:space="preserve"> </w:t>
      </w:r>
      <w:r>
        <w:t>lui-même,</w:t>
      </w:r>
      <w:r w:rsidRPr="002C4077">
        <w:t xml:space="preserve"> </w:t>
      </w:r>
      <w:r>
        <w:t>malgré</w:t>
      </w:r>
      <w:r w:rsidRPr="002C4077">
        <w:t xml:space="preserve"> </w:t>
      </w:r>
      <w:r>
        <w:t>sa</w:t>
      </w:r>
      <w:r w:rsidRPr="002C4077">
        <w:t xml:space="preserve"> </w:t>
      </w:r>
      <w:r>
        <w:t>prédilection</w:t>
      </w:r>
      <w:r w:rsidRPr="002C4077">
        <w:t xml:space="preserve"> </w:t>
      </w:r>
      <w:r>
        <w:t>pour</w:t>
      </w:r>
      <w:r w:rsidRPr="002C4077">
        <w:t xml:space="preserve"> </w:t>
      </w:r>
      <w:r>
        <w:t>les</w:t>
      </w:r>
      <w:r w:rsidRPr="002C4077">
        <w:t xml:space="preserve"> </w:t>
      </w:r>
      <w:r>
        <w:t>interprétations</w:t>
      </w:r>
      <w:r w:rsidRPr="002C4077">
        <w:t xml:space="preserve"> </w:t>
      </w:r>
      <w:r>
        <w:t>morales,</w:t>
      </w:r>
      <w:r w:rsidRPr="002C4077">
        <w:t xml:space="preserve"> </w:t>
      </w:r>
      <w:r>
        <w:t>a</w:t>
      </w:r>
      <w:r w:rsidRPr="002C4077">
        <w:t xml:space="preserve"> </w:t>
      </w:r>
      <w:r>
        <w:t>composé</w:t>
      </w:r>
      <w:r w:rsidRPr="002C4077">
        <w:t xml:space="preserve"> </w:t>
      </w:r>
      <w:r>
        <w:t>des</w:t>
      </w:r>
      <w:r w:rsidRPr="002C4077">
        <w:t xml:space="preserve"> </w:t>
      </w:r>
      <w:r>
        <w:t>traités</w:t>
      </w:r>
      <w:r w:rsidRPr="002C4077">
        <w:t xml:space="preserve"> </w:t>
      </w:r>
      <w:r>
        <w:t>scripturaires</w:t>
      </w:r>
      <w:r w:rsidRPr="002C4077">
        <w:t xml:space="preserve"> </w:t>
      </w:r>
      <w:r>
        <w:t>où</w:t>
      </w:r>
      <w:r w:rsidRPr="002C4077">
        <w:t xml:space="preserve"> </w:t>
      </w:r>
      <w:r>
        <w:t>les</w:t>
      </w:r>
      <w:r w:rsidRPr="002C4077">
        <w:t xml:space="preserve"> </w:t>
      </w:r>
      <w:r>
        <w:t>commentateurs</w:t>
      </w:r>
      <w:r w:rsidRPr="002C4077">
        <w:t xml:space="preserve"> </w:t>
      </w:r>
      <w:r>
        <w:t>protestants</w:t>
      </w:r>
      <w:r w:rsidRPr="002C4077">
        <w:t xml:space="preserve"> </w:t>
      </w:r>
      <w:r>
        <w:t>ont</w:t>
      </w:r>
      <w:r w:rsidRPr="002C4077">
        <w:t xml:space="preserve"> </w:t>
      </w:r>
      <w:r>
        <w:t>puisé</w:t>
      </w:r>
      <w:r w:rsidRPr="002C4077">
        <w:t xml:space="preserve"> </w:t>
      </w:r>
      <w:r>
        <w:t>des</w:t>
      </w:r>
      <w:r w:rsidRPr="002C4077">
        <w:t xml:space="preserve"> </w:t>
      </w:r>
      <w:r>
        <w:t>règles</w:t>
      </w:r>
      <w:r w:rsidRPr="002C4077">
        <w:t xml:space="preserve"> </w:t>
      </w:r>
      <w:r>
        <w:t>de</w:t>
      </w:r>
      <w:r w:rsidRPr="002C4077">
        <w:t xml:space="preserve"> </w:t>
      </w:r>
      <w:r w:rsidR="0075326F">
        <w:t>critique</w:t>
      </w:r>
      <w:r w:rsidR="0075326F">
        <w:rPr>
          <w:rStyle w:val="Appelnotedebasdep"/>
        </w:rPr>
        <w:footnoteReference w:id="487"/>
      </w:r>
      <w:r w:rsidR="00B546AF">
        <w:t> ?</w:t>
      </w:r>
      <w:r w:rsidR="00C45B47">
        <w:t xml:space="preserve"> {</w:t>
      </w:r>
      <w:r w:rsidR="00B53529">
        <w:t>163</w:t>
      </w:r>
      <w:bookmarkStart w:id="437" w:name="p163"/>
      <w:bookmarkEnd w:id="437"/>
      <w:r w:rsidR="00B53529">
        <w:t xml:space="preserve">} </w:t>
      </w:r>
      <w:r>
        <w:t>Qu’il</w:t>
      </w:r>
      <w:r w:rsidRPr="002C4077">
        <w:t xml:space="preserve"> </w:t>
      </w:r>
      <w:r>
        <w:t>lise</w:t>
      </w:r>
      <w:r w:rsidRPr="002C4077">
        <w:t xml:space="preserve"> </w:t>
      </w:r>
      <w:r>
        <w:t>les</w:t>
      </w:r>
      <w:r w:rsidRPr="002C4077">
        <w:t xml:space="preserve"> </w:t>
      </w:r>
      <w:r>
        <w:t>œuvres</w:t>
      </w:r>
      <w:r w:rsidRPr="002C4077">
        <w:t xml:space="preserve"> </w:t>
      </w:r>
      <w:r>
        <w:t>bibliques</w:t>
      </w:r>
      <w:r w:rsidRPr="002C4077">
        <w:t xml:space="preserve"> </w:t>
      </w:r>
      <w:r>
        <w:t>de</w:t>
      </w:r>
      <w:r w:rsidRPr="002C4077">
        <w:t xml:space="preserve"> </w:t>
      </w:r>
      <w:r>
        <w:t>saint</w:t>
      </w:r>
      <w:r w:rsidRPr="002C4077">
        <w:t xml:space="preserve"> </w:t>
      </w:r>
      <w:r w:rsidRPr="003B5C82">
        <w:t>Jean</w:t>
      </w:r>
      <w:r w:rsidRPr="002C4077">
        <w:t xml:space="preserve"> </w:t>
      </w:r>
      <w:r w:rsidRPr="003B5C82">
        <w:t>Chrysostome</w:t>
      </w:r>
      <w:bookmarkStart w:id="438" w:name="z_JeanChrysostome_o1"/>
      <w:bookmarkEnd w:id="438"/>
      <w:r w:rsidRPr="003B5C82">
        <w:t>,</w:t>
      </w:r>
      <w:r w:rsidRPr="002C4077">
        <w:t xml:space="preserve"> </w:t>
      </w:r>
      <w:r w:rsidRPr="003B5C82">
        <w:t>l’</w:t>
      </w:r>
      <w:r w:rsidRPr="000A34B5">
        <w:rPr>
          <w:rStyle w:val="italicus"/>
        </w:rPr>
        <w:t>Ex</w:t>
      </w:r>
      <w:r w:rsidR="001730C6" w:rsidRPr="000A34B5">
        <w:rPr>
          <w:rStyle w:val="italicus"/>
        </w:rPr>
        <w:t>ég</w:t>
      </w:r>
      <w:r w:rsidRPr="000A34B5">
        <w:rPr>
          <w:rStyle w:val="italicus"/>
        </w:rPr>
        <w:t>ète</w:t>
      </w:r>
      <w:r w:rsidRPr="002C4077">
        <w:t xml:space="preserve"> </w:t>
      </w:r>
      <w:r>
        <w:t>par</w:t>
      </w:r>
      <w:r w:rsidRPr="002C4077">
        <w:t xml:space="preserve"> </w:t>
      </w:r>
      <w:r>
        <w:t>excellence,</w:t>
      </w:r>
      <w:r w:rsidRPr="002C4077">
        <w:t xml:space="preserve"> </w:t>
      </w:r>
      <w:r>
        <w:t>comme</w:t>
      </w:r>
      <w:r w:rsidRPr="002C4077">
        <w:t xml:space="preserve"> </w:t>
      </w:r>
      <w:r>
        <w:t>le</w:t>
      </w:r>
      <w:r w:rsidRPr="002C4077">
        <w:t xml:space="preserve"> </w:t>
      </w:r>
      <w:r>
        <w:t>nomment</w:t>
      </w:r>
      <w:r w:rsidRPr="002C4077">
        <w:t xml:space="preserve"> </w:t>
      </w:r>
      <w:r>
        <w:t>fièrement</w:t>
      </w:r>
      <w:r w:rsidRPr="002C4077">
        <w:t xml:space="preserve"> </w:t>
      </w:r>
      <w:r>
        <w:t>les</w:t>
      </w:r>
      <w:r w:rsidRPr="002C4077">
        <w:t xml:space="preserve"> </w:t>
      </w:r>
      <w:r>
        <w:t>Grecs</w:t>
      </w:r>
      <w:r w:rsidR="00B91AF7">
        <w:rPr>
          <w:rStyle w:val="Appelnotedebasdep"/>
        </w:rPr>
        <w:footnoteReference w:id="488"/>
      </w:r>
      <w:r w:rsidR="00B546AF">
        <w:t> ;</w:t>
      </w:r>
      <w:r w:rsidRPr="002C4077">
        <w:t xml:space="preserve"> </w:t>
      </w:r>
      <w:r>
        <w:t>et</w:t>
      </w:r>
      <w:r w:rsidRPr="002C4077">
        <w:t xml:space="preserve"> </w:t>
      </w:r>
      <w:r>
        <w:t>il</w:t>
      </w:r>
      <w:r w:rsidRPr="002C4077">
        <w:t xml:space="preserve"> </w:t>
      </w:r>
      <w:r>
        <w:t>verra</w:t>
      </w:r>
      <w:r w:rsidRPr="002C4077">
        <w:t xml:space="preserve"> </w:t>
      </w:r>
      <w:r>
        <w:t>si</w:t>
      </w:r>
      <w:r w:rsidRPr="002C4077">
        <w:t xml:space="preserve"> </w:t>
      </w:r>
      <w:r>
        <w:t>la</w:t>
      </w:r>
      <w:r w:rsidRPr="002C4077">
        <w:t xml:space="preserve"> </w:t>
      </w:r>
      <w:r>
        <w:t>science</w:t>
      </w:r>
      <w:r w:rsidRPr="002C4077">
        <w:t xml:space="preserve"> </w:t>
      </w:r>
      <w:r>
        <w:t>biblique</w:t>
      </w:r>
      <w:r w:rsidRPr="002C4077">
        <w:t xml:space="preserve"> </w:t>
      </w:r>
      <w:r>
        <w:t>n’a</w:t>
      </w:r>
      <w:r w:rsidRPr="002C4077">
        <w:t xml:space="preserve"> </w:t>
      </w:r>
      <w:r>
        <w:t>été</w:t>
      </w:r>
      <w:r w:rsidRPr="002C4077">
        <w:t xml:space="preserve"> </w:t>
      </w:r>
      <w:r>
        <w:t>fondée</w:t>
      </w:r>
      <w:r w:rsidRPr="002C4077">
        <w:t xml:space="preserve"> </w:t>
      </w:r>
      <w:r>
        <w:t>qu’au</w:t>
      </w:r>
      <w:r w:rsidRPr="002C4077">
        <w:t xml:space="preserve"> </w:t>
      </w:r>
      <w:r>
        <w:t>XV</w:t>
      </w:r>
      <w:r w:rsidR="007B3C26">
        <w:t>II</w:t>
      </w:r>
      <w:r w:rsidR="007B3C26" w:rsidRPr="007B3C26">
        <w:rPr>
          <w:vertAlign w:val="superscript"/>
        </w:rPr>
        <w:t>e</w:t>
      </w:r>
      <w:r w:rsidRPr="002C4077">
        <w:t xml:space="preserve"> </w:t>
      </w:r>
      <w:r>
        <w:t>siècle</w:t>
      </w:r>
      <w:r w:rsidR="00B91AF7">
        <w:rPr>
          <w:rStyle w:val="Appelnotedebasdep"/>
        </w:rPr>
        <w:footnoteReference w:id="489"/>
      </w:r>
      <w:r>
        <w:t>.</w:t>
      </w:r>
      <w:r w:rsidRPr="002C4077">
        <w:t xml:space="preserve"> </w:t>
      </w:r>
    </w:p>
    <w:p w:rsidR="001A54EA" w:rsidRDefault="001A54EA" w:rsidP="000A7AAB"/>
    <w:p w:rsidR="000A7AAB" w:rsidRPr="001A54EA" w:rsidRDefault="000A7AAB" w:rsidP="000A7AAB">
      <w:pPr>
        <w:rPr>
          <w:rStyle w:val="italicus"/>
        </w:rPr>
      </w:pPr>
      <w:r w:rsidRPr="001A54EA">
        <w:t xml:space="preserve">2° </w:t>
      </w:r>
      <w:r w:rsidRPr="001A54EA">
        <w:rPr>
          <w:rStyle w:val="italicus"/>
        </w:rPr>
        <w:t>Ces études, très florissantes à l’époque de Richard Simon.</w:t>
      </w:r>
      <w:bookmarkStart w:id="439" w:name="z_SimonRichard_o1"/>
      <w:bookmarkEnd w:id="439"/>
      <w:r w:rsidRPr="001A54EA">
        <w:rPr>
          <w:rStyle w:val="italicus"/>
        </w:rPr>
        <w:t xml:space="preserve"> </w:t>
      </w:r>
    </w:p>
    <w:p w:rsidR="000A7AAB" w:rsidRDefault="000A7AAB" w:rsidP="000A7AAB">
      <w:r>
        <w:t>Sauf</w:t>
      </w:r>
      <w:r w:rsidRPr="002C4077">
        <w:t xml:space="preserve"> </w:t>
      </w:r>
      <w:r>
        <w:t>la</w:t>
      </w:r>
      <w:r w:rsidRPr="002C4077">
        <w:t xml:space="preserve"> </w:t>
      </w:r>
      <w:r>
        <w:t>restriction</w:t>
      </w:r>
      <w:r w:rsidRPr="002C4077">
        <w:t xml:space="preserve"> </w:t>
      </w:r>
      <w:r>
        <w:t>qui</w:t>
      </w:r>
      <w:r w:rsidRPr="002C4077">
        <w:t xml:space="preserve"> </w:t>
      </w:r>
      <w:r>
        <w:t>précède,</w:t>
      </w:r>
      <w:r w:rsidRPr="002C4077">
        <w:t xml:space="preserve"> </w:t>
      </w:r>
      <w:r>
        <w:t>et</w:t>
      </w:r>
      <w:r w:rsidRPr="002C4077">
        <w:t xml:space="preserve"> </w:t>
      </w:r>
      <w:r>
        <w:t>nous</w:t>
      </w:r>
      <w:r w:rsidRPr="002C4077">
        <w:t xml:space="preserve"> </w:t>
      </w:r>
      <w:r>
        <w:t>devions</w:t>
      </w:r>
      <w:r w:rsidRPr="002C4077">
        <w:t xml:space="preserve"> </w:t>
      </w:r>
      <w:r>
        <w:t>à</w:t>
      </w:r>
      <w:r w:rsidRPr="002C4077">
        <w:t xml:space="preserve"> </w:t>
      </w:r>
      <w:r>
        <w:t>la</w:t>
      </w:r>
      <w:r w:rsidRPr="002C4077">
        <w:t xml:space="preserve"> </w:t>
      </w:r>
      <w:r>
        <w:t>vérité</w:t>
      </w:r>
      <w:r w:rsidRPr="002C4077">
        <w:t xml:space="preserve"> </w:t>
      </w:r>
      <w:r>
        <w:t>de</w:t>
      </w:r>
      <w:r w:rsidRPr="002C4077">
        <w:t xml:space="preserve"> </w:t>
      </w:r>
      <w:r>
        <w:t>la</w:t>
      </w:r>
      <w:r w:rsidRPr="002C4077">
        <w:t xml:space="preserve"> </w:t>
      </w:r>
      <w:r>
        <w:t>faire,</w:t>
      </w:r>
      <w:r w:rsidRPr="002C4077">
        <w:t xml:space="preserve"> </w:t>
      </w:r>
      <w:r>
        <w:t>il</w:t>
      </w:r>
      <w:r w:rsidRPr="002C4077">
        <w:t xml:space="preserve"> </w:t>
      </w:r>
      <w:r>
        <w:t>ne</w:t>
      </w:r>
      <w:r w:rsidRPr="002C4077">
        <w:t xml:space="preserve"> </w:t>
      </w:r>
      <w:r>
        <w:t>nous</w:t>
      </w:r>
      <w:r w:rsidRPr="002C4077">
        <w:t xml:space="preserve"> </w:t>
      </w:r>
      <w:r>
        <w:t>en</w:t>
      </w:r>
      <w:r w:rsidRPr="002C4077">
        <w:t xml:space="preserve"> </w:t>
      </w:r>
      <w:r>
        <w:t>coûte</w:t>
      </w:r>
      <w:r w:rsidRPr="002C4077">
        <w:t xml:space="preserve"> </w:t>
      </w:r>
      <w:r>
        <w:t>nullement</w:t>
      </w:r>
      <w:r w:rsidRPr="002C4077">
        <w:t xml:space="preserve"> </w:t>
      </w:r>
      <w:r>
        <w:t>de</w:t>
      </w:r>
      <w:r w:rsidRPr="002C4077">
        <w:t xml:space="preserve"> </w:t>
      </w:r>
      <w:r>
        <w:t>reconnaître,</w:t>
      </w:r>
      <w:r w:rsidRPr="002C4077">
        <w:t xml:space="preserve"> </w:t>
      </w:r>
      <w:r>
        <w:t>—</w:t>
      </w:r>
      <w:r w:rsidRPr="002C4077">
        <w:t xml:space="preserve"> </w:t>
      </w:r>
      <w:r>
        <w:t>bien</w:t>
      </w:r>
      <w:r w:rsidRPr="002C4077">
        <w:t xml:space="preserve"> </w:t>
      </w:r>
      <w:r>
        <w:t>plus,</w:t>
      </w:r>
      <w:r w:rsidRPr="002C4077">
        <w:t xml:space="preserve"> </w:t>
      </w:r>
      <w:r>
        <w:t>comme</w:t>
      </w:r>
      <w:r w:rsidRPr="002C4077">
        <w:t xml:space="preserve"> </w:t>
      </w:r>
      <w:r>
        <w:t>catholique</w:t>
      </w:r>
      <w:r w:rsidRPr="002C4077">
        <w:t xml:space="preserve"> </w:t>
      </w:r>
      <w:r>
        <w:t>et</w:t>
      </w:r>
      <w:r w:rsidRPr="002C4077">
        <w:t xml:space="preserve"> </w:t>
      </w:r>
      <w:r>
        <w:t>comme</w:t>
      </w:r>
      <w:r w:rsidRPr="002C4077">
        <w:t xml:space="preserve"> </w:t>
      </w:r>
      <w:r>
        <w:t>Français</w:t>
      </w:r>
      <w:r w:rsidRPr="002C4077">
        <w:t xml:space="preserve"> </w:t>
      </w:r>
      <w:r>
        <w:t>nous</w:t>
      </w:r>
      <w:r w:rsidRPr="002C4077">
        <w:t xml:space="preserve"> </w:t>
      </w:r>
      <w:r>
        <w:t>sommes</w:t>
      </w:r>
      <w:r w:rsidRPr="002C4077">
        <w:t xml:space="preserve"> </w:t>
      </w:r>
      <w:r>
        <w:t>fier</w:t>
      </w:r>
      <w:r w:rsidRPr="002C4077">
        <w:t xml:space="preserve"> </w:t>
      </w:r>
      <w:r>
        <w:t>de</w:t>
      </w:r>
      <w:r w:rsidRPr="002C4077">
        <w:t xml:space="preserve"> </w:t>
      </w:r>
      <w:r>
        <w:t>reconnaître</w:t>
      </w:r>
      <w:r w:rsidRPr="002C4077">
        <w:t xml:space="preserve"> </w:t>
      </w:r>
      <w:r>
        <w:t>—</w:t>
      </w:r>
      <w:r w:rsidRPr="002C4077">
        <w:t xml:space="preserve"> </w:t>
      </w:r>
      <w:r>
        <w:t>que</w:t>
      </w:r>
      <w:r w:rsidRPr="002C4077">
        <w:t xml:space="preserve"> </w:t>
      </w:r>
      <w:r>
        <w:t>Richard</w:t>
      </w:r>
      <w:r w:rsidRPr="002C4077">
        <w:t xml:space="preserve"> </w:t>
      </w:r>
      <w:r>
        <w:t>Simon</w:t>
      </w:r>
      <w:r w:rsidRPr="002C4077">
        <w:t xml:space="preserve"> </w:t>
      </w:r>
      <w:r>
        <w:t>con</w:t>
      </w:r>
      <w:r w:rsidR="003B53FD">
        <w:t>tribua</w:t>
      </w:r>
      <w:r>
        <w:t>,</w:t>
      </w:r>
      <w:r w:rsidRPr="002C4077">
        <w:t xml:space="preserve"> </w:t>
      </w:r>
      <w:r>
        <w:t>plus</w:t>
      </w:r>
      <w:r w:rsidRPr="002C4077">
        <w:t xml:space="preserve"> </w:t>
      </w:r>
      <w:r>
        <w:t>que</w:t>
      </w:r>
      <w:r w:rsidRPr="002C4077">
        <w:t xml:space="preserve"> </w:t>
      </w:r>
      <w:r>
        <w:t>tout</w:t>
      </w:r>
      <w:r w:rsidRPr="002C4077">
        <w:t xml:space="preserve"> </w:t>
      </w:r>
      <w:r>
        <w:t>autre,</w:t>
      </w:r>
      <w:r w:rsidRPr="002C4077">
        <w:t xml:space="preserve"> </w:t>
      </w:r>
      <w:r>
        <w:t>à</w:t>
      </w:r>
      <w:r w:rsidRPr="002C4077">
        <w:t xml:space="preserve"> </w:t>
      </w:r>
      <w:r>
        <w:t>développer</w:t>
      </w:r>
      <w:r w:rsidRPr="002C4077">
        <w:t xml:space="preserve"> </w:t>
      </w:r>
      <w:r>
        <w:t>la</w:t>
      </w:r>
      <w:r w:rsidRPr="002C4077">
        <w:t xml:space="preserve"> </w:t>
      </w:r>
      <w:r>
        <w:t>science</w:t>
      </w:r>
      <w:r w:rsidRPr="002C4077">
        <w:t xml:space="preserve"> </w:t>
      </w:r>
      <w:r>
        <w:t>biblique</w:t>
      </w:r>
      <w:r w:rsidRPr="002C4077">
        <w:t xml:space="preserve"> </w:t>
      </w:r>
      <w:r>
        <w:t>dans</w:t>
      </w:r>
      <w:r w:rsidRPr="002C4077">
        <w:t xml:space="preserve"> </w:t>
      </w:r>
      <w:r>
        <w:t>le</w:t>
      </w:r>
      <w:r w:rsidRPr="002C4077">
        <w:t xml:space="preserve"> </w:t>
      </w:r>
      <w:r>
        <w:t>sens</w:t>
      </w:r>
      <w:r w:rsidRPr="002C4077">
        <w:t xml:space="preserve"> </w:t>
      </w:r>
      <w:r>
        <w:t>indiqué</w:t>
      </w:r>
      <w:r w:rsidRPr="002C4077">
        <w:t xml:space="preserve"> </w:t>
      </w:r>
      <w:r>
        <w:t>plus</w:t>
      </w:r>
      <w:r w:rsidRPr="002C4077">
        <w:t xml:space="preserve"> </w:t>
      </w:r>
      <w:r>
        <w:t>haut.</w:t>
      </w:r>
      <w:r w:rsidRPr="002C4077">
        <w:t xml:space="preserve"> </w:t>
      </w:r>
      <w:r>
        <w:t>Le</w:t>
      </w:r>
      <w:r w:rsidRPr="002C4077">
        <w:t xml:space="preserve"> </w:t>
      </w:r>
      <w:r>
        <w:t>mérite</w:t>
      </w:r>
      <w:r w:rsidRPr="002C4077">
        <w:t xml:space="preserve"> </w:t>
      </w:r>
      <w:r>
        <w:t>de</w:t>
      </w:r>
      <w:r w:rsidRPr="002C4077">
        <w:t xml:space="preserve"> </w:t>
      </w:r>
      <w:r>
        <w:t>l’illustre</w:t>
      </w:r>
      <w:r w:rsidRPr="002C4077">
        <w:t xml:space="preserve"> </w:t>
      </w:r>
      <w:r>
        <w:t>Oratorien</w:t>
      </w:r>
      <w:r w:rsidRPr="002C4077">
        <w:t xml:space="preserve"> </w:t>
      </w:r>
      <w:r>
        <w:t>consista</w:t>
      </w:r>
      <w:r w:rsidRPr="002C4077">
        <w:t xml:space="preserve"> </w:t>
      </w:r>
      <w:r>
        <w:t>surtout</w:t>
      </w:r>
      <w:r w:rsidRPr="002C4077">
        <w:t xml:space="preserve"> </w:t>
      </w:r>
      <w:r>
        <w:t>à</w:t>
      </w:r>
      <w:r w:rsidRPr="002C4077">
        <w:t xml:space="preserve"> </w:t>
      </w:r>
      <w:r>
        <w:t>diriger</w:t>
      </w:r>
      <w:r w:rsidRPr="002C4077">
        <w:t xml:space="preserve"> </w:t>
      </w:r>
      <w:r>
        <w:t>de</w:t>
      </w:r>
      <w:r w:rsidRPr="002C4077">
        <w:t xml:space="preserve"> </w:t>
      </w:r>
      <w:r>
        <w:t>nouveau</w:t>
      </w:r>
      <w:r w:rsidRPr="002C4077">
        <w:t xml:space="preserve"> </w:t>
      </w:r>
      <w:r>
        <w:t>l’attention</w:t>
      </w:r>
      <w:r w:rsidRPr="002C4077">
        <w:t xml:space="preserve"> </w:t>
      </w:r>
      <w:r>
        <w:t>de</w:t>
      </w:r>
      <w:r w:rsidRPr="002C4077">
        <w:t xml:space="preserve"> </w:t>
      </w:r>
      <w:r>
        <w:t>ses</w:t>
      </w:r>
      <w:r w:rsidRPr="002C4077">
        <w:t xml:space="preserve"> </w:t>
      </w:r>
      <w:r>
        <w:t>contemporains</w:t>
      </w:r>
      <w:r w:rsidRPr="002C4077">
        <w:t xml:space="preserve"> </w:t>
      </w:r>
      <w:r>
        <w:t>vers</w:t>
      </w:r>
      <w:r w:rsidRPr="002C4077">
        <w:t xml:space="preserve"> </w:t>
      </w:r>
      <w:r>
        <w:t>les</w:t>
      </w:r>
      <w:r w:rsidRPr="002C4077">
        <w:t xml:space="preserve"> </w:t>
      </w:r>
      <w:r>
        <w:t>études</w:t>
      </w:r>
      <w:r w:rsidRPr="002C4077">
        <w:t xml:space="preserve"> </w:t>
      </w:r>
      <w:r>
        <w:t>critiques</w:t>
      </w:r>
      <w:r w:rsidRPr="002C4077">
        <w:t xml:space="preserve"> </w:t>
      </w:r>
      <w:r>
        <w:t>et</w:t>
      </w:r>
      <w:r w:rsidRPr="002C4077">
        <w:t xml:space="preserve"> </w:t>
      </w:r>
      <w:r>
        <w:t>historiques,</w:t>
      </w:r>
      <w:r w:rsidRPr="002C4077">
        <w:t xml:space="preserve"> </w:t>
      </w:r>
      <w:r>
        <w:t>en</w:t>
      </w:r>
      <w:r w:rsidRPr="002C4077">
        <w:t xml:space="preserve"> </w:t>
      </w:r>
      <w:r>
        <w:t>tant</w:t>
      </w:r>
      <w:r w:rsidRPr="002C4077">
        <w:t xml:space="preserve"> </w:t>
      </w:r>
      <w:r>
        <w:t>qu’elles</w:t>
      </w:r>
      <w:r w:rsidRPr="002C4077">
        <w:t xml:space="preserve"> </w:t>
      </w:r>
      <w:r>
        <w:t>peuvent</w:t>
      </w:r>
      <w:r w:rsidRPr="002C4077">
        <w:t xml:space="preserve"> </w:t>
      </w:r>
      <w:r>
        <w:t>servir</w:t>
      </w:r>
      <w:r w:rsidRPr="002C4077">
        <w:t xml:space="preserve"> </w:t>
      </w:r>
      <w:r>
        <w:t>de</w:t>
      </w:r>
      <w:r w:rsidRPr="002C4077">
        <w:t xml:space="preserve"> </w:t>
      </w:r>
      <w:r>
        <w:t>préparation,</w:t>
      </w:r>
      <w:r w:rsidRPr="002C4077">
        <w:t xml:space="preserve"> </w:t>
      </w:r>
      <w:r>
        <w:t>d’introduction</w:t>
      </w:r>
      <w:r w:rsidRPr="002C4077">
        <w:t xml:space="preserve"> </w:t>
      </w:r>
      <w:r>
        <w:t>à</w:t>
      </w:r>
      <w:r w:rsidRPr="002C4077">
        <w:t xml:space="preserve"> </w:t>
      </w:r>
      <w:r>
        <w:t>la</w:t>
      </w:r>
      <w:r w:rsidRPr="002C4077">
        <w:t xml:space="preserve"> </w:t>
      </w:r>
      <w:r>
        <w:t>connaissance</w:t>
      </w:r>
      <w:r w:rsidRPr="002C4077">
        <w:t xml:space="preserve"> </w:t>
      </w:r>
      <w:r>
        <w:t>de</w:t>
      </w:r>
      <w:r w:rsidRPr="002C4077">
        <w:t xml:space="preserve"> </w:t>
      </w:r>
      <w:r>
        <w:t>l’Ancien</w:t>
      </w:r>
      <w:r w:rsidRPr="002C4077">
        <w:t xml:space="preserve"> </w:t>
      </w:r>
      <w:r>
        <w:t>et</w:t>
      </w:r>
      <w:r w:rsidRPr="002C4077">
        <w:t xml:space="preserve"> </w:t>
      </w:r>
      <w:r>
        <w:t>du</w:t>
      </w:r>
      <w:r w:rsidRPr="002C4077">
        <w:t xml:space="preserve"> </w:t>
      </w:r>
      <w:r>
        <w:t>Nouveau</w:t>
      </w:r>
      <w:r w:rsidRPr="002C4077">
        <w:t xml:space="preserve"> </w:t>
      </w:r>
      <w:r w:rsidR="0075326F">
        <w:t>Testament</w:t>
      </w:r>
      <w:r w:rsidR="0075326F">
        <w:rPr>
          <w:rStyle w:val="Appelnotedebasdep"/>
        </w:rPr>
        <w:footnoteReference w:id="490"/>
      </w:r>
      <w:r>
        <w:t>.</w:t>
      </w:r>
      <w:r w:rsidRPr="002C4077">
        <w:t xml:space="preserve"> </w:t>
      </w:r>
    </w:p>
    <w:p w:rsidR="000A7AAB" w:rsidRPr="00B53529" w:rsidRDefault="000A7AAB" w:rsidP="000A7AAB">
      <w:r>
        <w:t>Mais</w:t>
      </w:r>
      <w:r w:rsidRPr="002C4077">
        <w:t xml:space="preserve"> </w:t>
      </w:r>
      <w:r>
        <w:t>se</w:t>
      </w:r>
      <w:r w:rsidRPr="002C4077">
        <w:t xml:space="preserve"> </w:t>
      </w:r>
      <w:r>
        <w:t>borna-t-il,</w:t>
      </w:r>
      <w:r w:rsidRPr="002C4077">
        <w:t xml:space="preserve"> </w:t>
      </w:r>
      <w:r>
        <w:t>comme</w:t>
      </w:r>
      <w:r w:rsidRPr="002C4077">
        <w:t xml:space="preserve"> </w:t>
      </w:r>
      <w:r>
        <w:t>M.</w:t>
      </w:r>
      <w:r w:rsidRPr="002C4077">
        <w:t xml:space="preserve"> </w:t>
      </w:r>
      <w:r>
        <w:t>Soury</w:t>
      </w:r>
      <w:r w:rsidRPr="002C4077">
        <w:t xml:space="preserve"> </w:t>
      </w:r>
      <w:r>
        <w:t>semble</w:t>
      </w:r>
      <w:r w:rsidRPr="002C4077">
        <w:t xml:space="preserve"> </w:t>
      </w:r>
      <w:r>
        <w:t>l’insinuer,</w:t>
      </w:r>
      <w:r w:rsidRPr="002C4077">
        <w:t xml:space="preserve"> </w:t>
      </w:r>
      <w:r>
        <w:t>à</w:t>
      </w:r>
      <w:r w:rsidRPr="002C4077">
        <w:t xml:space="preserve"> </w:t>
      </w:r>
      <w:r>
        <w:t>faire</w:t>
      </w:r>
      <w:r w:rsidRPr="002C4077">
        <w:t xml:space="preserve"> </w:t>
      </w:r>
      <w:r>
        <w:t>de</w:t>
      </w:r>
      <w:r w:rsidRPr="002C4077">
        <w:t xml:space="preserve"> </w:t>
      </w:r>
      <w:r>
        <w:t>l’hébreu,</w:t>
      </w:r>
      <w:r w:rsidRPr="002C4077">
        <w:t xml:space="preserve"> </w:t>
      </w:r>
      <w:r>
        <w:t>du</w:t>
      </w:r>
      <w:r w:rsidRPr="002C4077">
        <w:t xml:space="preserve"> </w:t>
      </w:r>
      <w:r>
        <w:t>chaldéen,</w:t>
      </w:r>
      <w:r w:rsidRPr="002C4077">
        <w:t xml:space="preserve"> </w:t>
      </w:r>
      <w:r>
        <w:t>à</w:t>
      </w:r>
      <w:r w:rsidRPr="002C4077">
        <w:t xml:space="preserve"> </w:t>
      </w:r>
      <w:r>
        <w:t>collationner</w:t>
      </w:r>
      <w:r w:rsidRPr="002C4077">
        <w:t xml:space="preserve"> </w:t>
      </w:r>
      <w:r>
        <w:t>des</w:t>
      </w:r>
      <w:r w:rsidRPr="002C4077">
        <w:t xml:space="preserve"> </w:t>
      </w:r>
      <w:r>
        <w:t>manuscrits</w:t>
      </w:r>
      <w:r w:rsidRPr="002C4077">
        <w:t xml:space="preserve"> </w:t>
      </w:r>
      <w:r>
        <w:t>et</w:t>
      </w:r>
      <w:r w:rsidRPr="002C4077">
        <w:t xml:space="preserve"> </w:t>
      </w:r>
      <w:r>
        <w:t>à</w:t>
      </w:r>
      <w:r w:rsidRPr="002C4077">
        <w:t xml:space="preserve"> </w:t>
      </w:r>
      <w:r>
        <w:t>les</w:t>
      </w:r>
      <w:r w:rsidRPr="002C4077">
        <w:t xml:space="preserve"> </w:t>
      </w:r>
      <w:r>
        <w:t>ranger</w:t>
      </w:r>
      <w:r w:rsidRPr="002C4077">
        <w:t xml:space="preserve"> </w:t>
      </w:r>
      <w:r>
        <w:t>par</w:t>
      </w:r>
      <w:r w:rsidRPr="002C4077">
        <w:t xml:space="preserve"> </w:t>
      </w:r>
      <w:r>
        <w:t>familles</w:t>
      </w:r>
      <w:r w:rsidR="00B546AF">
        <w:t> ?</w:t>
      </w:r>
      <w:r w:rsidRPr="002C4077">
        <w:t xml:space="preserve"> </w:t>
      </w:r>
      <w:r>
        <w:t>Non,</w:t>
      </w:r>
      <w:r w:rsidRPr="002C4077">
        <w:t xml:space="preserve"> </w:t>
      </w:r>
      <w:r>
        <w:t>il</w:t>
      </w:r>
      <w:r w:rsidRPr="002C4077">
        <w:t xml:space="preserve"> </w:t>
      </w:r>
      <w:r>
        <w:t>comprit</w:t>
      </w:r>
      <w:r w:rsidRPr="002C4077">
        <w:t xml:space="preserve"> </w:t>
      </w:r>
      <w:r>
        <w:t>que</w:t>
      </w:r>
      <w:r w:rsidRPr="002C4077">
        <w:t xml:space="preserve"> </w:t>
      </w:r>
      <w:r>
        <w:t>tous</w:t>
      </w:r>
      <w:r w:rsidRPr="002C4077">
        <w:t xml:space="preserve"> </w:t>
      </w:r>
      <w:r>
        <w:t>ces</w:t>
      </w:r>
      <w:r w:rsidRPr="002C4077">
        <w:t xml:space="preserve"> </w:t>
      </w:r>
      <w:r>
        <w:t>moyens</w:t>
      </w:r>
      <w:r w:rsidRPr="002C4077">
        <w:t xml:space="preserve"> </w:t>
      </w:r>
      <w:r>
        <w:t>étaient</w:t>
      </w:r>
      <w:r w:rsidRPr="002C4077">
        <w:t xml:space="preserve"> </w:t>
      </w:r>
      <w:r>
        <w:t>très</w:t>
      </w:r>
      <w:r w:rsidRPr="002C4077">
        <w:t xml:space="preserve"> </w:t>
      </w:r>
      <w:r>
        <w:t>secondaires</w:t>
      </w:r>
      <w:r w:rsidR="00B546AF">
        <w:t> ;</w:t>
      </w:r>
      <w:r w:rsidRPr="002C4077">
        <w:t xml:space="preserve"> </w:t>
      </w:r>
      <w:r>
        <w:t>il</w:t>
      </w:r>
      <w:r w:rsidRPr="002C4077">
        <w:t xml:space="preserve"> </w:t>
      </w:r>
      <w:r>
        <w:t>lut</w:t>
      </w:r>
      <w:r w:rsidRPr="002C4077">
        <w:t xml:space="preserve"> </w:t>
      </w:r>
      <w:r>
        <w:t>donc</w:t>
      </w:r>
      <w:r w:rsidRPr="002C4077">
        <w:t xml:space="preserve"> </w:t>
      </w:r>
      <w:r>
        <w:t>aussi,</w:t>
      </w:r>
      <w:r w:rsidRPr="002C4077">
        <w:t xml:space="preserve"> </w:t>
      </w:r>
      <w:r>
        <w:t>pour</w:t>
      </w:r>
      <w:r w:rsidRPr="002C4077">
        <w:t xml:space="preserve"> </w:t>
      </w:r>
      <w:r>
        <w:t>se</w:t>
      </w:r>
      <w:r w:rsidRPr="002C4077">
        <w:t xml:space="preserve"> </w:t>
      </w:r>
      <w:r>
        <w:t>former</w:t>
      </w:r>
      <w:r w:rsidRPr="002C4077">
        <w:t xml:space="preserve"> </w:t>
      </w:r>
      <w:r>
        <w:t>à</w:t>
      </w:r>
      <w:r w:rsidRPr="002C4077">
        <w:t xml:space="preserve"> </w:t>
      </w:r>
      <w:r>
        <w:t>la</w:t>
      </w:r>
      <w:r w:rsidRPr="002C4077">
        <w:t xml:space="preserve"> </w:t>
      </w:r>
      <w:r>
        <w:t>véritable</w:t>
      </w:r>
      <w:r w:rsidRPr="002C4077">
        <w:t xml:space="preserve"> </w:t>
      </w:r>
      <w:r>
        <w:t>école,</w:t>
      </w:r>
      <w:r w:rsidRPr="002C4077">
        <w:t xml:space="preserve"> </w:t>
      </w:r>
      <w:r>
        <w:t>tous</w:t>
      </w:r>
      <w:r w:rsidRPr="002C4077">
        <w:t xml:space="preserve"> </w:t>
      </w:r>
      <w:r>
        <w:t>les</w:t>
      </w:r>
      <w:r w:rsidRPr="002C4077">
        <w:t xml:space="preserve"> </w:t>
      </w:r>
      <w:r>
        <w:t>écrits</w:t>
      </w:r>
      <w:r w:rsidRPr="002C4077">
        <w:t xml:space="preserve"> </w:t>
      </w:r>
      <w:r>
        <w:t>des</w:t>
      </w:r>
      <w:r w:rsidRPr="002C4077">
        <w:t xml:space="preserve"> </w:t>
      </w:r>
      <w:r>
        <w:t>Saints</w:t>
      </w:r>
      <w:r w:rsidRPr="002C4077">
        <w:t xml:space="preserve"> </w:t>
      </w:r>
      <w:r>
        <w:t>Pères</w:t>
      </w:r>
      <w:r w:rsidRPr="002C4077">
        <w:t xml:space="preserve"> </w:t>
      </w:r>
      <w:r>
        <w:t>traitant</w:t>
      </w:r>
      <w:r w:rsidRPr="002C4077">
        <w:t xml:space="preserve"> </w:t>
      </w:r>
      <w:r>
        <w:t>de</w:t>
      </w:r>
      <w:r w:rsidRPr="002C4077">
        <w:t xml:space="preserve"> </w:t>
      </w:r>
      <w:r>
        <w:t>la</w:t>
      </w:r>
      <w:r w:rsidRPr="002C4077">
        <w:t xml:space="preserve"> </w:t>
      </w:r>
      <w:r>
        <w:t>Bible,</w:t>
      </w:r>
      <w:r w:rsidRPr="002C4077">
        <w:t xml:space="preserve"> </w:t>
      </w:r>
      <w:r>
        <w:t>spécialement</w:t>
      </w:r>
      <w:r w:rsidRPr="002C4077">
        <w:t xml:space="preserve"> </w:t>
      </w:r>
      <w:r>
        <w:t>ceux</w:t>
      </w:r>
      <w:r w:rsidRPr="002C4077">
        <w:t xml:space="preserve"> </w:t>
      </w:r>
      <w:r>
        <w:t>de</w:t>
      </w:r>
      <w:r w:rsidRPr="002C4077">
        <w:t xml:space="preserve"> </w:t>
      </w:r>
      <w:r>
        <w:t>saint</w:t>
      </w:r>
      <w:r w:rsidRPr="002C4077">
        <w:t xml:space="preserve"> </w:t>
      </w:r>
      <w:r>
        <w:t>Jérôme</w:t>
      </w:r>
      <w:r w:rsidR="00B91AF7">
        <w:rPr>
          <w:rStyle w:val="Appelnotedebasdep"/>
        </w:rPr>
        <w:footnoteReference w:id="491"/>
      </w:r>
      <w:r>
        <w:t>.</w:t>
      </w:r>
      <w:r w:rsidR="00C45B47">
        <w:t xml:space="preserve"> {</w:t>
      </w:r>
      <w:r w:rsidR="00B53529">
        <w:t>164</w:t>
      </w:r>
      <w:bookmarkStart w:id="440" w:name="p164"/>
      <w:bookmarkEnd w:id="440"/>
      <w:r w:rsidR="00B53529">
        <w:t xml:space="preserve">} </w:t>
      </w:r>
    </w:p>
    <w:p w:rsidR="000A7AAB" w:rsidRDefault="000A7AAB" w:rsidP="000A7AAB">
      <w:r>
        <w:t>Ses</w:t>
      </w:r>
      <w:r w:rsidRPr="002C4077">
        <w:t xml:space="preserve"> </w:t>
      </w:r>
      <w:r>
        <w:t>admirateurs</w:t>
      </w:r>
      <w:r w:rsidRPr="002C4077">
        <w:t xml:space="preserve"> </w:t>
      </w:r>
      <w:r>
        <w:t>en</w:t>
      </w:r>
      <w:r w:rsidRPr="002C4077">
        <w:t xml:space="preserve"> </w:t>
      </w:r>
      <w:r>
        <w:t>ont-ils</w:t>
      </w:r>
      <w:r w:rsidRPr="002C4077">
        <w:t xml:space="preserve"> </w:t>
      </w:r>
      <w:r>
        <w:t>fait</w:t>
      </w:r>
      <w:r w:rsidRPr="002C4077">
        <w:t xml:space="preserve"> </w:t>
      </w:r>
      <w:r>
        <w:t>autant</w:t>
      </w:r>
      <w:r w:rsidR="00B546AF">
        <w:t> ?</w:t>
      </w:r>
      <w:r w:rsidRPr="002C4077">
        <w:t xml:space="preserve"> </w:t>
      </w:r>
    </w:p>
    <w:p w:rsidR="000A7AAB" w:rsidRDefault="000A7AAB" w:rsidP="000A7AAB">
      <w:r>
        <w:t>Toutefois,</w:t>
      </w:r>
      <w:r w:rsidRPr="002C4077">
        <w:t xml:space="preserve"> </w:t>
      </w:r>
      <w:r>
        <w:t>trop</w:t>
      </w:r>
      <w:r w:rsidRPr="002C4077">
        <w:t xml:space="preserve"> </w:t>
      </w:r>
      <w:r>
        <w:t>hardi</w:t>
      </w:r>
      <w:r w:rsidRPr="002C4077">
        <w:t xml:space="preserve"> </w:t>
      </w:r>
      <w:r>
        <w:t>sur</w:t>
      </w:r>
      <w:r w:rsidRPr="002C4077">
        <w:t xml:space="preserve"> </w:t>
      </w:r>
      <w:r>
        <w:t>plusieurs</w:t>
      </w:r>
      <w:r w:rsidRPr="002C4077">
        <w:t xml:space="preserve"> </w:t>
      </w:r>
      <w:r>
        <w:t>points,</w:t>
      </w:r>
      <w:r w:rsidRPr="002C4077">
        <w:t xml:space="preserve"> </w:t>
      </w:r>
      <w:r>
        <w:t>Richard</w:t>
      </w:r>
      <w:r w:rsidRPr="002C4077">
        <w:t xml:space="preserve"> </w:t>
      </w:r>
      <w:r>
        <w:t>Simon</w:t>
      </w:r>
      <w:r w:rsidRPr="002C4077">
        <w:t xml:space="preserve"> </w:t>
      </w:r>
      <w:r>
        <w:t>laissa</w:t>
      </w:r>
      <w:r w:rsidRPr="002C4077">
        <w:t xml:space="preserve"> </w:t>
      </w:r>
      <w:r>
        <w:t>échapper</w:t>
      </w:r>
      <w:r w:rsidRPr="002C4077">
        <w:t xml:space="preserve"> </w:t>
      </w:r>
      <w:r>
        <w:t>dans</w:t>
      </w:r>
      <w:r w:rsidRPr="002C4077">
        <w:t xml:space="preserve"> </w:t>
      </w:r>
      <w:r>
        <w:t>ses</w:t>
      </w:r>
      <w:r w:rsidRPr="002C4077">
        <w:t xml:space="preserve"> </w:t>
      </w:r>
      <w:r>
        <w:t>ouvrages</w:t>
      </w:r>
      <w:r w:rsidRPr="002C4077">
        <w:t xml:space="preserve"> </w:t>
      </w:r>
      <w:r>
        <w:t>des</w:t>
      </w:r>
      <w:r w:rsidRPr="002C4077">
        <w:t xml:space="preserve"> </w:t>
      </w:r>
      <w:r>
        <w:t>erreurs</w:t>
      </w:r>
      <w:r w:rsidRPr="002C4077">
        <w:t xml:space="preserve"> </w:t>
      </w:r>
      <w:r>
        <w:t>assez</w:t>
      </w:r>
      <w:r w:rsidRPr="002C4077">
        <w:t xml:space="preserve"> </w:t>
      </w:r>
      <w:r>
        <w:t>notables,</w:t>
      </w:r>
      <w:r w:rsidRPr="002C4077">
        <w:t xml:space="preserve"> </w:t>
      </w:r>
      <w:r>
        <w:t>qui</w:t>
      </w:r>
      <w:r w:rsidRPr="002C4077">
        <w:t xml:space="preserve"> </w:t>
      </w:r>
      <w:r>
        <w:t>furent</w:t>
      </w:r>
      <w:r w:rsidRPr="002C4077">
        <w:t xml:space="preserve"> </w:t>
      </w:r>
      <w:r>
        <w:t>vertement</w:t>
      </w:r>
      <w:r w:rsidRPr="002C4077">
        <w:t xml:space="preserve"> </w:t>
      </w:r>
      <w:r>
        <w:t>relevées</w:t>
      </w:r>
      <w:r w:rsidRPr="002C4077">
        <w:t xml:space="preserve"> </w:t>
      </w:r>
      <w:r>
        <w:t>par</w:t>
      </w:r>
      <w:r w:rsidRPr="002C4077">
        <w:t xml:space="preserve"> </w:t>
      </w:r>
      <w:r>
        <w:t>ses</w:t>
      </w:r>
      <w:r w:rsidRPr="002C4077">
        <w:t xml:space="preserve"> </w:t>
      </w:r>
      <w:r>
        <w:t>contemporains.</w:t>
      </w:r>
      <w:r w:rsidRPr="002C4077">
        <w:t xml:space="preserve"> </w:t>
      </w:r>
      <w:r>
        <w:t>Mais,</w:t>
      </w:r>
      <w:r w:rsidRPr="002C4077">
        <w:t xml:space="preserve"> </w:t>
      </w:r>
      <w:r>
        <w:t>chose</w:t>
      </w:r>
      <w:r w:rsidRPr="002C4077">
        <w:t xml:space="preserve"> </w:t>
      </w:r>
      <w:r>
        <w:t>étrange,</w:t>
      </w:r>
      <w:r w:rsidRPr="002C4077">
        <w:t xml:space="preserve"> </w:t>
      </w:r>
      <w:r>
        <w:t>quoique,</w:t>
      </w:r>
      <w:r w:rsidRPr="002C4077">
        <w:t xml:space="preserve"> </w:t>
      </w:r>
      <w:r>
        <w:t>selon</w:t>
      </w:r>
      <w:r w:rsidRPr="002C4077">
        <w:t xml:space="preserve"> </w:t>
      </w:r>
      <w:r>
        <w:t>M.</w:t>
      </w:r>
      <w:r w:rsidRPr="002C4077">
        <w:t xml:space="preserve"> </w:t>
      </w:r>
      <w:r>
        <w:t>Jules</w:t>
      </w:r>
      <w:r w:rsidRPr="002C4077">
        <w:t xml:space="preserve"> </w:t>
      </w:r>
      <w:r>
        <w:t>Soury,</w:t>
      </w:r>
      <w:r w:rsidRPr="002C4077">
        <w:t xml:space="preserve"> </w:t>
      </w:r>
      <w:r>
        <w:t>il</w:t>
      </w:r>
      <w:r w:rsidRPr="002C4077">
        <w:t xml:space="preserve"> </w:t>
      </w:r>
      <w:r>
        <w:t>fût</w:t>
      </w:r>
      <w:r w:rsidRPr="002C4077">
        <w:t xml:space="preserve"> </w:t>
      </w:r>
      <w:r w:rsidR="00B546AF">
        <w:t>« </w:t>
      </w:r>
      <w:r>
        <w:t>réservé</w:t>
      </w:r>
      <w:r w:rsidRPr="002C4077">
        <w:t xml:space="preserve"> </w:t>
      </w:r>
      <w:r>
        <w:t>à</w:t>
      </w:r>
      <w:r w:rsidRPr="002C4077">
        <w:t xml:space="preserve"> </w:t>
      </w:r>
      <w:r>
        <w:t>l’Allemagne</w:t>
      </w:r>
      <w:r w:rsidRPr="002C4077">
        <w:t xml:space="preserve"> </w:t>
      </w:r>
      <w:r>
        <w:t>de</w:t>
      </w:r>
      <w:r w:rsidRPr="002C4077">
        <w:t xml:space="preserve"> </w:t>
      </w:r>
      <w:r>
        <w:t>reprendre</w:t>
      </w:r>
      <w:r w:rsidRPr="002C4077">
        <w:t xml:space="preserve"> </w:t>
      </w:r>
      <w:r>
        <w:t>de</w:t>
      </w:r>
      <w:r w:rsidRPr="002C4077">
        <w:t xml:space="preserve"> </w:t>
      </w:r>
      <w:r>
        <w:t>nobles</w:t>
      </w:r>
      <w:r w:rsidRPr="002C4077">
        <w:t xml:space="preserve"> </w:t>
      </w:r>
      <w:r>
        <w:t>traditions</w:t>
      </w:r>
      <w:r w:rsidRPr="002C4077">
        <w:t xml:space="preserve"> </w:t>
      </w:r>
      <w:r>
        <w:t>interrompues</w:t>
      </w:r>
      <w:r w:rsidRPr="004440EA">
        <w:t xml:space="preserve"> (</w:t>
      </w:r>
      <w:r>
        <w:t>interrompues</w:t>
      </w:r>
      <w:r w:rsidRPr="002C4077">
        <w:t xml:space="preserve"> </w:t>
      </w:r>
      <w:r>
        <w:t>depuis</w:t>
      </w:r>
      <w:r w:rsidRPr="002C4077">
        <w:t xml:space="preserve"> </w:t>
      </w:r>
      <w:r>
        <w:t>Richard</w:t>
      </w:r>
      <w:r w:rsidRPr="002C4077">
        <w:t xml:space="preserve"> </w:t>
      </w:r>
      <w:r>
        <w:t>Simon</w:t>
      </w:r>
      <w:r w:rsidR="00B546AF" w:rsidRPr="002C4077">
        <w:t>)</w:t>
      </w:r>
      <w:r>
        <w:t>…</w:t>
      </w:r>
      <w:r w:rsidRPr="002C4077">
        <w:t xml:space="preserve"> </w:t>
      </w:r>
      <w:r>
        <w:t>et</w:t>
      </w:r>
      <w:r w:rsidRPr="002C4077">
        <w:t xml:space="preserve"> </w:t>
      </w:r>
      <w:r>
        <w:t>de</w:t>
      </w:r>
      <w:r w:rsidRPr="002C4077">
        <w:t xml:space="preserve"> </w:t>
      </w:r>
      <w:r>
        <w:t>retrouver</w:t>
      </w:r>
      <w:r w:rsidRPr="002C4077">
        <w:t xml:space="preserve"> </w:t>
      </w:r>
      <w:r>
        <w:t>les</w:t>
      </w:r>
      <w:r w:rsidRPr="002C4077">
        <w:t xml:space="preserve"> </w:t>
      </w:r>
      <w:r>
        <w:t>titres</w:t>
      </w:r>
      <w:r w:rsidRPr="002C4077">
        <w:t xml:space="preserve"> </w:t>
      </w:r>
      <w:r>
        <w:t>du</w:t>
      </w:r>
      <w:r w:rsidRPr="002C4077">
        <w:t xml:space="preserve"> </w:t>
      </w:r>
      <w:r>
        <w:t>Christianisme</w:t>
      </w:r>
      <w:r w:rsidRPr="004440EA">
        <w:t xml:space="preserve"> (</w:t>
      </w:r>
      <w:r w:rsidR="0075326F">
        <w:t>!</w:t>
      </w:r>
      <w:r w:rsidR="00B546AF">
        <w:t>!</w:t>
      </w:r>
      <w:r w:rsidR="00B546AF" w:rsidRPr="002C4077">
        <w:t>)</w:t>
      </w:r>
      <w:r w:rsidR="00B91AF7">
        <w:rPr>
          <w:rStyle w:val="Appelnotedebasdep"/>
        </w:rPr>
        <w:footnoteReference w:id="492"/>
      </w:r>
      <w:r w:rsidR="00B546AF">
        <w:t> »</w:t>
      </w:r>
      <w:r>
        <w:t>,</w:t>
      </w:r>
      <w:r w:rsidRPr="002C4077">
        <w:t xml:space="preserve"> </w:t>
      </w:r>
      <w:r w:rsidR="003B53FD">
        <w:t>celui</w:t>
      </w:r>
      <w:r w:rsidRPr="002C4077">
        <w:t xml:space="preserve"> </w:t>
      </w:r>
      <w:r>
        <w:t>qu’on</w:t>
      </w:r>
      <w:r w:rsidRPr="002C4077">
        <w:t xml:space="preserve"> </w:t>
      </w:r>
      <w:r>
        <w:t>nous</w:t>
      </w:r>
      <w:r w:rsidRPr="002C4077">
        <w:t xml:space="preserve"> </w:t>
      </w:r>
      <w:r>
        <w:t>présente</w:t>
      </w:r>
      <w:r w:rsidRPr="002C4077">
        <w:t xml:space="preserve"> </w:t>
      </w:r>
      <w:r>
        <w:t>comme</w:t>
      </w:r>
      <w:r w:rsidRPr="002C4077">
        <w:t xml:space="preserve"> </w:t>
      </w:r>
      <w:r>
        <w:t>le</w:t>
      </w:r>
      <w:r w:rsidRPr="002C4077">
        <w:t xml:space="preserve"> </w:t>
      </w:r>
      <w:r>
        <w:t>fondateur</w:t>
      </w:r>
      <w:r w:rsidRPr="002C4077">
        <w:t xml:space="preserve"> </w:t>
      </w:r>
      <w:r>
        <w:t>de</w:t>
      </w:r>
      <w:r w:rsidRPr="002C4077">
        <w:t xml:space="preserve"> </w:t>
      </w:r>
      <w:r>
        <w:t>la</w:t>
      </w:r>
      <w:r w:rsidRPr="002C4077">
        <w:t xml:space="preserve"> </w:t>
      </w:r>
      <w:r>
        <w:t>science</w:t>
      </w:r>
      <w:r w:rsidRPr="002C4077">
        <w:t xml:space="preserve"> </w:t>
      </w:r>
      <w:r>
        <w:t>biblique</w:t>
      </w:r>
      <w:r w:rsidRPr="002C4077">
        <w:t xml:space="preserve"> </w:t>
      </w:r>
      <w:r>
        <w:t>n’eut</w:t>
      </w:r>
      <w:r w:rsidRPr="002C4077">
        <w:t xml:space="preserve"> </w:t>
      </w:r>
      <w:r>
        <w:t>à</w:t>
      </w:r>
      <w:r w:rsidRPr="002C4077">
        <w:t xml:space="preserve"> </w:t>
      </w:r>
      <w:r>
        <w:t>souffrir</w:t>
      </w:r>
      <w:r w:rsidRPr="002C4077">
        <w:t xml:space="preserve"> </w:t>
      </w:r>
      <w:r>
        <w:t>de</w:t>
      </w:r>
      <w:r w:rsidRPr="002C4077">
        <w:t xml:space="preserve"> </w:t>
      </w:r>
      <w:r>
        <w:t>personne</w:t>
      </w:r>
      <w:r w:rsidRPr="002C4077">
        <w:t xml:space="preserve"> </w:t>
      </w:r>
      <w:r>
        <w:t>autant</w:t>
      </w:r>
      <w:r w:rsidRPr="002C4077">
        <w:t xml:space="preserve"> </w:t>
      </w:r>
      <w:r>
        <w:t>que</w:t>
      </w:r>
      <w:r w:rsidRPr="002C4077">
        <w:t xml:space="preserve"> </w:t>
      </w:r>
      <w:r>
        <w:t>des</w:t>
      </w:r>
      <w:r w:rsidRPr="002C4077">
        <w:t xml:space="preserve"> </w:t>
      </w:r>
      <w:r>
        <w:t>savants</w:t>
      </w:r>
      <w:r w:rsidRPr="002C4077">
        <w:t xml:space="preserve"> </w:t>
      </w:r>
      <w:r>
        <w:t>d’Allemagne</w:t>
      </w:r>
      <w:r w:rsidR="00B91AF7">
        <w:rPr>
          <w:rStyle w:val="Appelnotedebasdep"/>
        </w:rPr>
        <w:footnoteReference w:id="493"/>
      </w:r>
      <w:r>
        <w:t>.</w:t>
      </w:r>
      <w:r w:rsidRPr="002C4077">
        <w:t xml:space="preserve"> </w:t>
      </w:r>
    </w:p>
    <w:p w:rsidR="000A7AAB" w:rsidRDefault="000A7AAB" w:rsidP="000A7AAB">
      <w:r>
        <w:t>Encore</w:t>
      </w:r>
      <w:r w:rsidRPr="002C4077">
        <w:t xml:space="preserve"> </w:t>
      </w:r>
      <w:r>
        <w:t>un</w:t>
      </w:r>
      <w:r w:rsidRPr="002C4077">
        <w:t xml:space="preserve"> </w:t>
      </w:r>
      <w:r>
        <w:t>mot</w:t>
      </w:r>
      <w:r w:rsidRPr="002C4077">
        <w:t xml:space="preserve"> </w:t>
      </w:r>
      <w:r>
        <w:t>sur</w:t>
      </w:r>
      <w:r w:rsidRPr="002C4077">
        <w:t xml:space="preserve"> </w:t>
      </w:r>
      <w:r>
        <w:t>ce</w:t>
      </w:r>
      <w:r w:rsidRPr="002C4077">
        <w:t xml:space="preserve"> </w:t>
      </w:r>
      <w:r>
        <w:t>point.</w:t>
      </w:r>
      <w:r w:rsidRPr="002C4077">
        <w:t xml:space="preserve"> </w:t>
      </w:r>
    </w:p>
    <w:p w:rsidR="000A7AAB" w:rsidRDefault="000A7AAB" w:rsidP="000A7AAB">
      <w:r>
        <w:t>Puisqu’on</w:t>
      </w:r>
      <w:r w:rsidRPr="002C4077">
        <w:t xml:space="preserve"> </w:t>
      </w:r>
      <w:r>
        <w:t>paraît</w:t>
      </w:r>
      <w:r w:rsidRPr="002C4077">
        <w:t xml:space="preserve"> </w:t>
      </w:r>
      <w:r>
        <w:t>parfois</w:t>
      </w:r>
      <w:r w:rsidRPr="002C4077">
        <w:t xml:space="preserve"> </w:t>
      </w:r>
      <w:r>
        <w:t>opposer</w:t>
      </w:r>
      <w:r w:rsidRPr="002C4077">
        <w:t xml:space="preserve"> </w:t>
      </w:r>
      <w:r>
        <w:t>Richard</w:t>
      </w:r>
      <w:r w:rsidRPr="002C4077">
        <w:t xml:space="preserve"> </w:t>
      </w:r>
      <w:r>
        <w:t>Simon</w:t>
      </w:r>
      <w:r w:rsidRPr="002C4077">
        <w:t xml:space="preserve"> </w:t>
      </w:r>
      <w:r>
        <w:t>à</w:t>
      </w:r>
      <w:r w:rsidRPr="002C4077">
        <w:t xml:space="preserve"> </w:t>
      </w:r>
      <w:r>
        <w:t>l’Église</w:t>
      </w:r>
      <w:r w:rsidRPr="002C4077">
        <w:t xml:space="preserve"> </w:t>
      </w:r>
      <w:r>
        <w:t>catholique,</w:t>
      </w:r>
      <w:r w:rsidRPr="002C4077">
        <w:t xml:space="preserve"> </w:t>
      </w:r>
      <w:r>
        <w:t>il</w:t>
      </w:r>
      <w:r w:rsidRPr="002C4077">
        <w:t xml:space="preserve"> </w:t>
      </w:r>
      <w:r>
        <w:t>sera</w:t>
      </w:r>
      <w:r w:rsidRPr="002C4077">
        <w:t xml:space="preserve"> </w:t>
      </w:r>
      <w:r>
        <w:t>bon</w:t>
      </w:r>
      <w:r w:rsidRPr="002C4077">
        <w:t xml:space="preserve"> </w:t>
      </w:r>
      <w:r>
        <w:t>d’entendre</w:t>
      </w:r>
      <w:r w:rsidRPr="002C4077">
        <w:t xml:space="preserve"> </w:t>
      </w:r>
      <w:r>
        <w:t>le</w:t>
      </w:r>
      <w:r w:rsidRPr="002C4077">
        <w:t xml:space="preserve"> </w:t>
      </w:r>
      <w:r>
        <w:t>grand</w:t>
      </w:r>
      <w:r w:rsidRPr="002C4077">
        <w:t xml:space="preserve"> </w:t>
      </w:r>
      <w:r>
        <w:t>critique</w:t>
      </w:r>
      <w:r w:rsidRPr="002C4077">
        <w:t xml:space="preserve"> </w:t>
      </w:r>
      <w:r>
        <w:t>exprimer</w:t>
      </w:r>
      <w:r w:rsidRPr="002C4077">
        <w:t xml:space="preserve"> </w:t>
      </w:r>
      <w:r>
        <w:t>lui-même</w:t>
      </w:r>
      <w:r w:rsidRPr="002C4077">
        <w:t xml:space="preserve"> </w:t>
      </w:r>
      <w:r>
        <w:t>l’intention</w:t>
      </w:r>
      <w:r w:rsidRPr="002C4077">
        <w:t xml:space="preserve"> </w:t>
      </w:r>
      <w:r>
        <w:t>qui</w:t>
      </w:r>
      <w:r w:rsidRPr="002C4077">
        <w:t xml:space="preserve"> </w:t>
      </w:r>
      <w:r>
        <w:t>le</w:t>
      </w:r>
      <w:r w:rsidRPr="002C4077">
        <w:t xml:space="preserve"> </w:t>
      </w:r>
      <w:r>
        <w:t>guidait</w:t>
      </w:r>
      <w:r w:rsidRPr="002C4077">
        <w:t xml:space="preserve"> </w:t>
      </w:r>
      <w:r>
        <w:t>quand</w:t>
      </w:r>
      <w:r w:rsidRPr="002C4077">
        <w:t xml:space="preserve"> </w:t>
      </w:r>
      <w:r>
        <w:t>il</w:t>
      </w:r>
      <w:r w:rsidRPr="002C4077">
        <w:t xml:space="preserve"> </w:t>
      </w:r>
      <w:r w:rsidR="003B53FD">
        <w:t>publia</w:t>
      </w:r>
      <w:r w:rsidRPr="002C4077">
        <w:t xml:space="preserve"> </w:t>
      </w:r>
      <w:r>
        <w:t>ses</w:t>
      </w:r>
      <w:r w:rsidRPr="002C4077">
        <w:t xml:space="preserve"> </w:t>
      </w:r>
      <w:r>
        <w:t>travaux.</w:t>
      </w:r>
      <w:r w:rsidRPr="002C4077">
        <w:t xml:space="preserve"> </w:t>
      </w:r>
    </w:p>
    <w:p w:rsidR="000A7AAB" w:rsidRPr="00B53529" w:rsidRDefault="00B546AF" w:rsidP="000A7AAB">
      <w:r>
        <w:t>« </w:t>
      </w:r>
      <w:r w:rsidR="000A7AAB">
        <w:t>Comme</w:t>
      </w:r>
      <w:r w:rsidR="000A7AAB" w:rsidRPr="002C4077">
        <w:t xml:space="preserve"> </w:t>
      </w:r>
      <w:r w:rsidR="000A7AAB">
        <w:t>je</w:t>
      </w:r>
      <w:r w:rsidR="000A7AAB" w:rsidRPr="002C4077">
        <w:t xml:space="preserve"> </w:t>
      </w:r>
      <w:r w:rsidR="000A7AAB">
        <w:t>n’ay,</w:t>
      </w:r>
      <w:r w:rsidR="000A7AAB" w:rsidRPr="002C4077">
        <w:t xml:space="preserve"> </w:t>
      </w:r>
      <w:r w:rsidR="000A7AAB">
        <w:t>écrit-il,</w:t>
      </w:r>
      <w:r w:rsidR="000A7AAB" w:rsidRPr="002C4077">
        <w:t xml:space="preserve"> </w:t>
      </w:r>
      <w:r w:rsidR="000A7AAB">
        <w:t>aucun</w:t>
      </w:r>
      <w:r w:rsidR="000A7AAB" w:rsidRPr="002C4077">
        <w:t xml:space="preserve"> </w:t>
      </w:r>
      <w:r w:rsidR="000A7AAB">
        <w:t>intérest</w:t>
      </w:r>
      <w:r w:rsidR="000A7AAB" w:rsidRPr="002C4077">
        <w:t xml:space="preserve"> </w:t>
      </w:r>
      <w:r w:rsidR="000A7AAB">
        <w:t>particulier</w:t>
      </w:r>
      <w:r w:rsidR="000A7AAB" w:rsidRPr="002C4077">
        <w:t xml:space="preserve"> </w:t>
      </w:r>
      <w:r w:rsidR="000A7AAB">
        <w:t>qui</w:t>
      </w:r>
      <w:r w:rsidR="000A7AAB" w:rsidRPr="002C4077">
        <w:t xml:space="preserve"> </w:t>
      </w:r>
      <w:r w:rsidR="000A7AAB">
        <w:t>m’engage</w:t>
      </w:r>
      <w:r w:rsidR="000A7AAB" w:rsidRPr="002C4077">
        <w:t xml:space="preserve"> </w:t>
      </w:r>
      <w:r w:rsidR="000A7AAB">
        <w:t>dans</w:t>
      </w:r>
      <w:r w:rsidR="000A7AAB" w:rsidRPr="002C4077">
        <w:t xml:space="preserve"> </w:t>
      </w:r>
      <w:r w:rsidR="000A7AAB">
        <w:t>ce</w:t>
      </w:r>
      <w:r w:rsidR="000A7AAB" w:rsidRPr="002C4077">
        <w:t xml:space="preserve"> </w:t>
      </w:r>
      <w:r w:rsidR="000A7AAB">
        <w:t>qu’on</w:t>
      </w:r>
      <w:r w:rsidR="000A7AAB" w:rsidRPr="002C4077">
        <w:t xml:space="preserve"> </w:t>
      </w:r>
      <w:r w:rsidR="000A7AAB">
        <w:t>appelle</w:t>
      </w:r>
      <w:r w:rsidR="000A7AAB" w:rsidRPr="002C4077">
        <w:t xml:space="preserve"> </w:t>
      </w:r>
      <w:r w:rsidR="000A7AAB">
        <w:t>party,</w:t>
      </w:r>
      <w:r w:rsidR="000A7AAB" w:rsidRPr="002C4077">
        <w:t xml:space="preserve"> </w:t>
      </w:r>
      <w:r w:rsidR="000A7AAB">
        <w:t>le</w:t>
      </w:r>
      <w:r w:rsidR="000A7AAB" w:rsidRPr="002C4077">
        <w:t xml:space="preserve"> </w:t>
      </w:r>
      <w:r w:rsidR="000A7AAB">
        <w:t>seul</w:t>
      </w:r>
      <w:r w:rsidR="000A7AAB" w:rsidRPr="002C4077">
        <w:t xml:space="preserve"> </w:t>
      </w:r>
      <w:r w:rsidR="000A7AAB">
        <w:t>nom</w:t>
      </w:r>
      <w:r w:rsidR="000A7AAB" w:rsidRPr="002C4077">
        <w:t xml:space="preserve"> </w:t>
      </w:r>
      <w:r w:rsidR="000A7AAB">
        <w:t>même</w:t>
      </w:r>
      <w:r w:rsidR="000A7AAB" w:rsidRPr="002C4077">
        <w:t xml:space="preserve"> </w:t>
      </w:r>
      <w:r w:rsidR="000A7AAB">
        <w:t>de</w:t>
      </w:r>
      <w:r w:rsidR="000A7AAB" w:rsidRPr="002C4077">
        <w:t xml:space="preserve"> </w:t>
      </w:r>
      <w:r w:rsidR="000A7AAB">
        <w:t>party</w:t>
      </w:r>
      <w:r w:rsidR="000A7AAB" w:rsidRPr="002C4077">
        <w:t xml:space="preserve"> </w:t>
      </w:r>
      <w:r w:rsidR="000A7AAB">
        <w:t>m’étant</w:t>
      </w:r>
      <w:r w:rsidR="000A7AAB" w:rsidRPr="002C4077">
        <w:t xml:space="preserve"> </w:t>
      </w:r>
      <w:r w:rsidR="000A7AAB">
        <w:t>odieux,</w:t>
      </w:r>
      <w:r w:rsidR="000A7AAB" w:rsidRPr="002C4077">
        <w:t xml:space="preserve"> </w:t>
      </w:r>
      <w:r w:rsidR="000A7AAB">
        <w:t>je</w:t>
      </w:r>
      <w:r w:rsidR="000A7AAB" w:rsidRPr="002C4077">
        <w:t xml:space="preserve"> </w:t>
      </w:r>
      <w:r w:rsidR="000A7AAB">
        <w:t>proteste</w:t>
      </w:r>
      <w:r w:rsidR="000A7AAB" w:rsidRPr="002C4077">
        <w:t xml:space="preserve"> </w:t>
      </w:r>
      <w:r w:rsidR="000A7AAB">
        <w:t>que</w:t>
      </w:r>
      <w:r w:rsidR="000A7AAB" w:rsidRPr="002C4077">
        <w:t xml:space="preserve"> </w:t>
      </w:r>
      <w:r w:rsidR="000A7AAB">
        <w:t>je</w:t>
      </w:r>
      <w:r w:rsidR="000A7AAB" w:rsidRPr="002C4077">
        <w:t xml:space="preserve"> </w:t>
      </w:r>
      <w:r w:rsidR="000A7AAB">
        <w:t>n’ay</w:t>
      </w:r>
      <w:r w:rsidR="000A7AAB" w:rsidRPr="002C4077">
        <w:t xml:space="preserve"> </w:t>
      </w:r>
      <w:r w:rsidR="000A7AAB">
        <w:t>point</w:t>
      </w:r>
      <w:r w:rsidR="000A7AAB" w:rsidRPr="002C4077">
        <w:t xml:space="preserve"> </w:t>
      </w:r>
      <w:r w:rsidR="000A7AAB">
        <w:t>eu</w:t>
      </w:r>
      <w:r w:rsidR="000A7AAB" w:rsidRPr="002C4077">
        <w:t xml:space="preserve"> </w:t>
      </w:r>
      <w:r w:rsidR="000A7AAB">
        <w:t>d’autre</w:t>
      </w:r>
      <w:r w:rsidR="000A7AAB" w:rsidRPr="002C4077">
        <w:t xml:space="preserve"> </w:t>
      </w:r>
      <w:r w:rsidR="000A7AAB">
        <w:t>vue,</w:t>
      </w:r>
      <w:r w:rsidR="000A7AAB" w:rsidRPr="002C4077">
        <w:t xml:space="preserve"> </w:t>
      </w:r>
      <w:r w:rsidR="000A7AAB">
        <w:t>en</w:t>
      </w:r>
      <w:r w:rsidR="000A7AAB" w:rsidRPr="002C4077">
        <w:t xml:space="preserve"> </w:t>
      </w:r>
      <w:r w:rsidR="000A7AAB">
        <w:t>composant</w:t>
      </w:r>
      <w:r w:rsidR="000A7AAB" w:rsidRPr="002C4077">
        <w:t xml:space="preserve"> </w:t>
      </w:r>
      <w:r w:rsidR="000A7AAB">
        <w:t>cet</w:t>
      </w:r>
      <w:r w:rsidR="000A7AAB" w:rsidRPr="002C4077">
        <w:t xml:space="preserve"> </w:t>
      </w:r>
      <w:r w:rsidR="000A7AAB">
        <w:t>ouvrage,</w:t>
      </w:r>
      <w:r w:rsidR="000A7AAB" w:rsidRPr="002C4077">
        <w:t xml:space="preserve"> </w:t>
      </w:r>
      <w:r w:rsidR="000A7AAB">
        <w:t>que</w:t>
      </w:r>
      <w:r w:rsidR="000A7AAB" w:rsidRPr="002C4077">
        <w:t xml:space="preserve"> </w:t>
      </w:r>
      <w:r w:rsidR="000A7AAB">
        <w:t>d’être</w:t>
      </w:r>
      <w:r w:rsidR="000A7AAB" w:rsidRPr="002C4077">
        <w:t xml:space="preserve"> </w:t>
      </w:r>
      <w:r w:rsidR="000A7AAB">
        <w:t>utile</w:t>
      </w:r>
      <w:r w:rsidR="000A7AAB" w:rsidRPr="002C4077">
        <w:t xml:space="preserve"> </w:t>
      </w:r>
      <w:r w:rsidR="000A7AAB">
        <w:t>à</w:t>
      </w:r>
      <w:r w:rsidR="000A7AAB" w:rsidRPr="002C4077">
        <w:t xml:space="preserve"> </w:t>
      </w:r>
      <w:r w:rsidR="000A7AAB">
        <w:t>l’Église,</w:t>
      </w:r>
      <w:r w:rsidR="000A7AAB" w:rsidRPr="002C4077">
        <w:t xml:space="preserve"> </w:t>
      </w:r>
      <w:r w:rsidR="000A7AAB">
        <w:t>en</w:t>
      </w:r>
      <w:r w:rsidR="000A7AAB" w:rsidRPr="002C4077">
        <w:t xml:space="preserve"> </w:t>
      </w:r>
      <w:r w:rsidR="000A7AAB">
        <w:t>établissant</w:t>
      </w:r>
      <w:r w:rsidR="000A7AAB" w:rsidRPr="002C4077">
        <w:t xml:space="preserve"> </w:t>
      </w:r>
      <w:r w:rsidR="000A7AAB">
        <w:t>ce</w:t>
      </w:r>
      <w:r w:rsidR="000A7AAB" w:rsidRPr="002C4077">
        <w:t xml:space="preserve"> </w:t>
      </w:r>
      <w:r w:rsidR="000A7AAB">
        <w:t>qu’elle</w:t>
      </w:r>
      <w:r w:rsidR="000A7AAB" w:rsidRPr="002C4077">
        <w:t xml:space="preserve"> </w:t>
      </w:r>
      <w:r w:rsidR="000A7AAB">
        <w:t>a</w:t>
      </w:r>
      <w:r w:rsidR="000A7AAB" w:rsidRPr="002C4077">
        <w:t xml:space="preserve"> </w:t>
      </w:r>
      <w:r w:rsidR="000A7AAB">
        <w:t>de</w:t>
      </w:r>
      <w:r w:rsidR="000A7AAB" w:rsidRPr="002C4077">
        <w:t xml:space="preserve"> </w:t>
      </w:r>
      <w:r w:rsidR="000A7AAB">
        <w:t>plus</w:t>
      </w:r>
      <w:r w:rsidR="000A7AAB" w:rsidRPr="002C4077">
        <w:t xml:space="preserve"> </w:t>
      </w:r>
      <w:r w:rsidR="000A7AAB">
        <w:t>sacré</w:t>
      </w:r>
      <w:r w:rsidR="000A7AAB" w:rsidRPr="002C4077">
        <w:t xml:space="preserve"> </w:t>
      </w:r>
      <w:r w:rsidR="000A7AAB">
        <w:t>et</w:t>
      </w:r>
      <w:r w:rsidR="000A7AAB" w:rsidRPr="002C4077">
        <w:t xml:space="preserve"> </w:t>
      </w:r>
      <w:r w:rsidR="000A7AAB">
        <w:t>de</w:t>
      </w:r>
      <w:r w:rsidR="000A7AAB" w:rsidRPr="002C4077">
        <w:t xml:space="preserve"> </w:t>
      </w:r>
      <w:r w:rsidR="000A7AAB">
        <w:t>plus</w:t>
      </w:r>
      <w:r w:rsidR="000A7AAB" w:rsidRPr="002C4077">
        <w:t xml:space="preserve"> </w:t>
      </w:r>
      <w:r w:rsidR="0075326F">
        <w:t>divin</w:t>
      </w:r>
      <w:r w:rsidR="0075326F">
        <w:rPr>
          <w:rStyle w:val="Appelnotedebasdep"/>
        </w:rPr>
        <w:footnoteReference w:id="494"/>
      </w:r>
      <w:r w:rsidR="000A7AAB">
        <w:t>.</w:t>
      </w:r>
      <w:r>
        <w:t> »</w:t>
      </w:r>
      <w:r w:rsidR="000A7AAB" w:rsidRPr="002C4077">
        <w:t xml:space="preserve"> </w:t>
      </w:r>
      <w:r w:rsidR="000A7AAB">
        <w:t>Et</w:t>
      </w:r>
      <w:r w:rsidR="000A7AAB" w:rsidRPr="002C4077">
        <w:t xml:space="preserve"> </w:t>
      </w:r>
      <w:r w:rsidR="000A7AAB">
        <w:t>ailleurs</w:t>
      </w:r>
      <w:r>
        <w:t> :</w:t>
      </w:r>
      <w:r w:rsidR="000A7AAB" w:rsidRPr="002C4077">
        <w:t xml:space="preserve"> </w:t>
      </w:r>
      <w:r>
        <w:t>« </w:t>
      </w:r>
      <w:r w:rsidR="000A7AAB">
        <w:t>Ayant</w:t>
      </w:r>
      <w:r w:rsidR="000A7AAB" w:rsidRPr="002C4077">
        <w:t xml:space="preserve"> </w:t>
      </w:r>
      <w:r w:rsidR="000A7AAB">
        <w:t>déclaré</w:t>
      </w:r>
      <w:r w:rsidR="000A7AAB" w:rsidRPr="002C4077">
        <w:t xml:space="preserve"> </w:t>
      </w:r>
      <w:r w:rsidR="000A7AAB">
        <w:t>plusieurs</w:t>
      </w:r>
      <w:r w:rsidR="000A7AAB" w:rsidRPr="002C4077">
        <w:t xml:space="preserve"> </w:t>
      </w:r>
      <w:r w:rsidR="000A7AAB">
        <w:t>fois</w:t>
      </w:r>
      <w:r w:rsidR="000A7AAB" w:rsidRPr="002C4077">
        <w:t xml:space="preserve"> </w:t>
      </w:r>
      <w:r w:rsidR="000A7AAB">
        <w:t>que</w:t>
      </w:r>
      <w:r w:rsidR="000A7AAB" w:rsidRPr="002C4077">
        <w:t xml:space="preserve"> </w:t>
      </w:r>
      <w:r w:rsidR="000A7AAB">
        <w:t>je</w:t>
      </w:r>
      <w:r w:rsidR="000A7AAB" w:rsidRPr="002C4077">
        <w:t xml:space="preserve"> </w:t>
      </w:r>
      <w:r w:rsidR="000A7AAB">
        <w:t>ne</w:t>
      </w:r>
      <w:r w:rsidR="000A7AAB" w:rsidRPr="002C4077">
        <w:t xml:space="preserve"> </w:t>
      </w:r>
      <w:r w:rsidR="000A7AAB">
        <w:t>suis</w:t>
      </w:r>
      <w:r w:rsidR="000A7AAB" w:rsidRPr="002C4077">
        <w:t xml:space="preserve"> </w:t>
      </w:r>
      <w:r w:rsidR="000A7AAB">
        <w:t>attaché</w:t>
      </w:r>
      <w:r w:rsidR="000A7AAB" w:rsidRPr="002C4077">
        <w:t xml:space="preserve"> </w:t>
      </w:r>
      <w:r w:rsidR="000A7AAB">
        <w:t>à</w:t>
      </w:r>
      <w:r w:rsidR="000A7AAB" w:rsidRPr="002C4077">
        <w:t xml:space="preserve"> </w:t>
      </w:r>
      <w:r w:rsidR="000A7AAB">
        <w:t>aucun</w:t>
      </w:r>
      <w:r w:rsidR="000A7AAB" w:rsidRPr="002C4077">
        <w:t xml:space="preserve"> </w:t>
      </w:r>
      <w:r w:rsidR="000A7AAB">
        <w:t>party,</w:t>
      </w:r>
      <w:r w:rsidR="000A7AAB" w:rsidRPr="002C4077">
        <w:t xml:space="preserve"> </w:t>
      </w:r>
      <w:r w:rsidR="000A7AAB">
        <w:t>mais</w:t>
      </w:r>
      <w:r w:rsidR="000A7AAB" w:rsidRPr="002C4077">
        <w:t xml:space="preserve"> </w:t>
      </w:r>
      <w:r w:rsidR="000A7AAB">
        <w:t>seulement</w:t>
      </w:r>
      <w:r w:rsidR="000A7AAB" w:rsidRPr="002C4077">
        <w:t xml:space="preserve"> </w:t>
      </w:r>
      <w:r w:rsidR="000A7AAB">
        <w:t>à</w:t>
      </w:r>
      <w:r w:rsidR="000A7AAB" w:rsidRPr="002C4077">
        <w:t xml:space="preserve"> </w:t>
      </w:r>
      <w:r w:rsidR="000A7AAB">
        <w:t>l’Église</w:t>
      </w:r>
      <w:r w:rsidR="000A7AAB" w:rsidRPr="002C4077">
        <w:t xml:space="preserve"> </w:t>
      </w:r>
      <w:r w:rsidR="000A7AAB">
        <w:t>catholique,</w:t>
      </w:r>
      <w:r w:rsidR="000A7AAB" w:rsidRPr="002C4077">
        <w:t xml:space="preserve"> </w:t>
      </w:r>
      <w:r w:rsidR="000A7AAB">
        <w:t>je</w:t>
      </w:r>
      <w:r w:rsidR="000A7AAB" w:rsidRPr="002C4077">
        <w:t xml:space="preserve"> </w:t>
      </w:r>
      <w:r w:rsidR="000A7AAB">
        <w:t>dois</w:t>
      </w:r>
      <w:r w:rsidR="000A7AAB" w:rsidRPr="002C4077">
        <w:t xml:space="preserve"> </w:t>
      </w:r>
      <w:r w:rsidR="000A7AAB">
        <w:t>faire</w:t>
      </w:r>
      <w:r w:rsidR="000A7AAB" w:rsidRPr="002C4077">
        <w:t xml:space="preserve"> </w:t>
      </w:r>
      <w:r w:rsidR="000A7AAB">
        <w:t>gloire</w:t>
      </w:r>
      <w:r w:rsidR="000A7AAB" w:rsidRPr="002C4077">
        <w:t xml:space="preserve"> </w:t>
      </w:r>
      <w:r w:rsidR="000A7AAB">
        <w:t>de</w:t>
      </w:r>
      <w:r w:rsidR="000A7AAB" w:rsidRPr="002C4077">
        <w:t xml:space="preserve"> </w:t>
      </w:r>
      <w:r w:rsidR="000A7AAB">
        <w:t>me</w:t>
      </w:r>
      <w:r w:rsidR="000A7AAB" w:rsidRPr="002C4077">
        <w:t xml:space="preserve"> </w:t>
      </w:r>
      <w:r w:rsidR="000A7AAB">
        <w:t>rendre</w:t>
      </w:r>
      <w:r w:rsidR="000A7AAB" w:rsidRPr="002C4077">
        <w:t xml:space="preserve"> </w:t>
      </w:r>
      <w:r w:rsidR="000A7AAB">
        <w:t>à</w:t>
      </w:r>
      <w:r w:rsidR="000A7AAB" w:rsidRPr="002C4077">
        <w:t xml:space="preserve"> </w:t>
      </w:r>
      <w:r w:rsidR="000A7AAB">
        <w:t>la</w:t>
      </w:r>
      <w:r w:rsidR="000A7AAB" w:rsidRPr="002C4077">
        <w:t xml:space="preserve"> </w:t>
      </w:r>
      <w:r w:rsidR="000A7AAB">
        <w:t>vérité.</w:t>
      </w:r>
      <w:r w:rsidR="000A7AAB" w:rsidRPr="002C4077">
        <w:t xml:space="preserve"> </w:t>
      </w:r>
      <w:r w:rsidR="000A7AAB">
        <w:t>En</w:t>
      </w:r>
      <w:r w:rsidR="000A7AAB" w:rsidRPr="002C4077">
        <w:t xml:space="preserve"> </w:t>
      </w:r>
      <w:r w:rsidR="000A7AAB">
        <w:t>un</w:t>
      </w:r>
      <w:r w:rsidR="000A7AAB" w:rsidRPr="002C4077">
        <w:t xml:space="preserve"> </w:t>
      </w:r>
      <w:r w:rsidR="000A7AAB">
        <w:t>mot,</w:t>
      </w:r>
      <w:r w:rsidR="000A7AAB" w:rsidRPr="002C4077">
        <w:t xml:space="preserve"> </w:t>
      </w:r>
      <w:r w:rsidR="000A7AAB">
        <w:t>je</w:t>
      </w:r>
      <w:r w:rsidR="000A7AAB" w:rsidRPr="002C4077">
        <w:t xml:space="preserve"> </w:t>
      </w:r>
      <w:r w:rsidR="000A7AAB">
        <w:t>n’ay</w:t>
      </w:r>
      <w:r w:rsidR="000A7AAB" w:rsidRPr="002C4077">
        <w:t xml:space="preserve"> </w:t>
      </w:r>
      <w:r w:rsidR="000A7AAB">
        <w:t>d’autre</w:t>
      </w:r>
      <w:r w:rsidR="000A7AAB" w:rsidRPr="002C4077">
        <w:t xml:space="preserve"> </w:t>
      </w:r>
      <w:r w:rsidR="000A7AAB">
        <w:t>devoir</w:t>
      </w:r>
      <w:r w:rsidR="000A7AAB" w:rsidRPr="002C4077">
        <w:t xml:space="preserve"> </w:t>
      </w:r>
      <w:r w:rsidR="000A7AAB">
        <w:t>que</w:t>
      </w:r>
      <w:r w:rsidR="000A7AAB" w:rsidRPr="002C4077">
        <w:t xml:space="preserve"> </w:t>
      </w:r>
      <w:r w:rsidR="000A7AAB">
        <w:t>d’établir</w:t>
      </w:r>
      <w:r w:rsidR="000A7AAB" w:rsidRPr="002C4077">
        <w:t xml:space="preserve"> </w:t>
      </w:r>
      <w:r w:rsidR="000A7AAB">
        <w:t>la</w:t>
      </w:r>
      <w:r w:rsidR="000A7AAB" w:rsidRPr="002C4077">
        <w:t xml:space="preserve"> </w:t>
      </w:r>
      <w:r w:rsidR="000A7AAB">
        <w:t>créance</w:t>
      </w:r>
      <w:r w:rsidR="000A7AAB" w:rsidRPr="002C4077">
        <w:t xml:space="preserve"> </w:t>
      </w:r>
      <w:r w:rsidR="000A7AAB">
        <w:t>commune</w:t>
      </w:r>
      <w:r w:rsidR="000A7AAB" w:rsidRPr="002C4077">
        <w:t xml:space="preserve"> </w:t>
      </w:r>
      <w:r w:rsidR="000A7AAB">
        <w:t>de</w:t>
      </w:r>
      <w:r w:rsidR="000A7AAB" w:rsidRPr="002C4077">
        <w:t xml:space="preserve"> </w:t>
      </w:r>
      <w:r w:rsidR="000A7AAB">
        <w:t>l’Église</w:t>
      </w:r>
      <w:r w:rsidR="000A7AAB" w:rsidRPr="002C4077">
        <w:t xml:space="preserve"> </w:t>
      </w:r>
      <w:r w:rsidR="000A7AAB">
        <w:t>contre</w:t>
      </w:r>
      <w:r w:rsidR="000A7AAB" w:rsidRPr="002C4077">
        <w:t xml:space="preserve"> </w:t>
      </w:r>
      <w:r w:rsidR="000A7AAB">
        <w:t>les</w:t>
      </w:r>
      <w:r w:rsidR="000A7AAB" w:rsidRPr="002C4077">
        <w:t xml:space="preserve"> </w:t>
      </w:r>
      <w:r w:rsidR="000A7AAB">
        <w:t>nouveautés</w:t>
      </w:r>
      <w:r w:rsidR="000A7AAB" w:rsidRPr="002C4077">
        <w:t xml:space="preserve"> </w:t>
      </w:r>
      <w:r w:rsidR="000A7AAB">
        <w:t>des</w:t>
      </w:r>
      <w:r w:rsidR="000A7AAB" w:rsidRPr="002C4077">
        <w:t xml:space="preserve"> </w:t>
      </w:r>
      <w:r w:rsidR="000A7AAB">
        <w:t>protestants,</w:t>
      </w:r>
      <w:r w:rsidR="000A7AAB" w:rsidRPr="002C4077">
        <w:t xml:space="preserve"> </w:t>
      </w:r>
      <w:r w:rsidR="000A7AAB">
        <w:t>et</w:t>
      </w:r>
      <w:r w:rsidR="000A7AAB" w:rsidRPr="002C4077">
        <w:t xml:space="preserve"> </w:t>
      </w:r>
      <w:r w:rsidR="000A7AAB">
        <w:t>d’être</w:t>
      </w:r>
      <w:r w:rsidR="000A7AAB" w:rsidRPr="002C4077">
        <w:t xml:space="preserve"> </w:t>
      </w:r>
      <w:r w:rsidR="000A7AAB">
        <w:t>utile</w:t>
      </w:r>
      <w:r w:rsidR="000A7AAB" w:rsidRPr="002C4077">
        <w:t xml:space="preserve"> </w:t>
      </w:r>
      <w:r w:rsidR="000A7AAB">
        <w:t>à</w:t>
      </w:r>
      <w:r w:rsidR="000A7AAB" w:rsidRPr="002C4077">
        <w:t xml:space="preserve"> </w:t>
      </w:r>
      <w:r w:rsidR="000A7AAB">
        <w:t>ceux</w:t>
      </w:r>
      <w:r w:rsidR="000A7AAB" w:rsidRPr="002C4077">
        <w:t xml:space="preserve"> </w:t>
      </w:r>
      <w:r w:rsidR="000A7AAB">
        <w:t>qui</w:t>
      </w:r>
      <w:r w:rsidR="000A7AAB" w:rsidRPr="002C4077">
        <w:t xml:space="preserve"> </w:t>
      </w:r>
      <w:r w:rsidR="000A7AAB">
        <w:t>s’appliquent</w:t>
      </w:r>
      <w:r w:rsidR="000A7AAB" w:rsidRPr="002C4077">
        <w:t xml:space="preserve"> </w:t>
      </w:r>
      <w:r w:rsidR="000A7AAB">
        <w:t>à</w:t>
      </w:r>
      <w:r w:rsidR="000A7AAB" w:rsidRPr="002C4077">
        <w:t xml:space="preserve"> </w:t>
      </w:r>
      <w:r w:rsidR="000A7AAB">
        <w:t>l’étude</w:t>
      </w:r>
      <w:r w:rsidR="000A7AAB" w:rsidRPr="002C4077">
        <w:t xml:space="preserve"> </w:t>
      </w:r>
      <w:r w:rsidR="000A7AAB">
        <w:t>des</w:t>
      </w:r>
      <w:r w:rsidR="000A7AAB" w:rsidRPr="002C4077">
        <w:t xml:space="preserve"> </w:t>
      </w:r>
      <w:r w:rsidR="000A7AAB">
        <w:t>livres</w:t>
      </w:r>
      <w:r w:rsidR="000A7AAB" w:rsidRPr="002C4077">
        <w:t xml:space="preserve"> </w:t>
      </w:r>
      <w:r w:rsidR="000A7AAB">
        <w:t>sacrés</w:t>
      </w:r>
      <w:r w:rsidR="00B91AF7">
        <w:rPr>
          <w:rStyle w:val="Appelnotedebasdep"/>
        </w:rPr>
        <w:footnoteReference w:id="495"/>
      </w:r>
      <w:r>
        <w:t> »</w:t>
      </w:r>
      <w:r w:rsidR="000A7AAB">
        <w:t>.</w:t>
      </w:r>
      <w:r w:rsidR="000A7AAB" w:rsidRPr="002C4077">
        <w:t xml:space="preserve"> </w:t>
      </w:r>
      <w:r w:rsidR="000A7AAB">
        <w:t>Enfin,</w:t>
      </w:r>
      <w:r w:rsidR="000A7AAB" w:rsidRPr="002C4077">
        <w:t xml:space="preserve"> </w:t>
      </w:r>
      <w:r w:rsidR="000A7AAB">
        <w:t>il</w:t>
      </w:r>
      <w:r w:rsidR="000A7AAB" w:rsidRPr="002C4077">
        <w:t xml:space="preserve"> </w:t>
      </w:r>
      <w:r w:rsidR="000A7AAB">
        <w:t>assure</w:t>
      </w:r>
      <w:r w:rsidR="000A7AAB" w:rsidRPr="002C4077">
        <w:t xml:space="preserve"> </w:t>
      </w:r>
      <w:r w:rsidR="000A7AAB">
        <w:t>que</w:t>
      </w:r>
      <w:r w:rsidR="000A7AAB" w:rsidRPr="002C4077">
        <w:t xml:space="preserve"> </w:t>
      </w:r>
      <w:r>
        <w:t>« </w:t>
      </w:r>
      <w:r w:rsidR="000A7AAB">
        <w:t>les</w:t>
      </w:r>
      <w:r w:rsidR="000A7AAB" w:rsidRPr="002C4077">
        <w:t xml:space="preserve"> </w:t>
      </w:r>
      <w:r w:rsidR="000A7AAB">
        <w:t>Pères</w:t>
      </w:r>
      <w:r w:rsidR="000A7AAB" w:rsidRPr="002C4077">
        <w:t xml:space="preserve"> </w:t>
      </w:r>
      <w:r w:rsidR="000A7AAB">
        <w:t>du</w:t>
      </w:r>
      <w:r w:rsidR="000A7AAB" w:rsidRPr="002C4077">
        <w:t xml:space="preserve"> </w:t>
      </w:r>
      <w:r w:rsidR="000A7AAB">
        <w:t>concile</w:t>
      </w:r>
      <w:r w:rsidR="000A7AAB" w:rsidRPr="002C4077">
        <w:t xml:space="preserve"> </w:t>
      </w:r>
      <w:r w:rsidR="000A7AAB">
        <w:t>de</w:t>
      </w:r>
      <w:r w:rsidR="000A7AAB" w:rsidRPr="002C4077">
        <w:t xml:space="preserve"> </w:t>
      </w:r>
      <w:r w:rsidR="000A7AAB">
        <w:t>Trente</w:t>
      </w:r>
      <w:r w:rsidR="000A7AAB" w:rsidRPr="002C4077">
        <w:t xml:space="preserve"> </w:t>
      </w:r>
      <w:r w:rsidR="000A7AAB">
        <w:t>ont</w:t>
      </w:r>
      <w:r w:rsidR="000A7AAB" w:rsidRPr="002C4077">
        <w:t xml:space="preserve"> </w:t>
      </w:r>
      <w:r w:rsidR="000A7AAB">
        <w:t>ordonné</w:t>
      </w:r>
      <w:r w:rsidR="000A7AAB" w:rsidRPr="002C4077">
        <w:t xml:space="preserve"> </w:t>
      </w:r>
      <w:r w:rsidR="000A7AAB">
        <w:t>sagement</w:t>
      </w:r>
      <w:r w:rsidR="000A7AAB" w:rsidRPr="002C4077">
        <w:t xml:space="preserve"> </w:t>
      </w:r>
      <w:r w:rsidR="000A7AAB">
        <w:t>qu’on</w:t>
      </w:r>
      <w:r w:rsidR="000A7AAB" w:rsidRPr="002C4077">
        <w:t xml:space="preserve"> </w:t>
      </w:r>
      <w:r w:rsidR="000A7AAB">
        <w:t>n’interpréterait</w:t>
      </w:r>
      <w:r w:rsidR="000A7AAB" w:rsidRPr="002C4077">
        <w:t xml:space="preserve"> </w:t>
      </w:r>
      <w:r w:rsidR="000A7AAB">
        <w:t>pas</w:t>
      </w:r>
      <w:r w:rsidR="000A7AAB" w:rsidRPr="002C4077">
        <w:t xml:space="preserve"> </w:t>
      </w:r>
      <w:r w:rsidR="000A7AAB">
        <w:t>l’Écriture</w:t>
      </w:r>
      <w:r w:rsidR="000A7AAB" w:rsidRPr="002C4077">
        <w:t xml:space="preserve"> </w:t>
      </w:r>
      <w:r w:rsidR="000A7AAB">
        <w:t>sainte</w:t>
      </w:r>
      <w:r w:rsidR="000A7AAB" w:rsidRPr="002C4077">
        <w:t xml:space="preserve"> </w:t>
      </w:r>
      <w:r w:rsidR="000A7AAB">
        <w:t>contre</w:t>
      </w:r>
      <w:r w:rsidR="000A7AAB" w:rsidRPr="002C4077">
        <w:t xml:space="preserve"> </w:t>
      </w:r>
      <w:r w:rsidR="000A7AAB">
        <w:t>le</w:t>
      </w:r>
      <w:r w:rsidR="000A7AAB" w:rsidRPr="002C4077">
        <w:t xml:space="preserve"> </w:t>
      </w:r>
      <w:r w:rsidR="000A7AAB">
        <w:t>sens</w:t>
      </w:r>
      <w:r w:rsidR="000A7AAB" w:rsidRPr="002C4077">
        <w:t xml:space="preserve"> </w:t>
      </w:r>
      <w:r w:rsidR="000A7AAB">
        <w:t>uniforme</w:t>
      </w:r>
      <w:r w:rsidR="000A7AAB" w:rsidRPr="002C4077">
        <w:t xml:space="preserve"> </w:t>
      </w:r>
      <w:r w:rsidR="000A7AAB">
        <w:t>des</w:t>
      </w:r>
      <w:r w:rsidR="000A7AAB" w:rsidRPr="002C4077">
        <w:t xml:space="preserve"> </w:t>
      </w:r>
      <w:r w:rsidR="000A7AAB">
        <w:t>Pères</w:t>
      </w:r>
      <w:r w:rsidR="00B91AF7">
        <w:rPr>
          <w:rStyle w:val="Appelnotedebasdep"/>
        </w:rPr>
        <w:footnoteReference w:id="496"/>
      </w:r>
      <w:r>
        <w:t> »</w:t>
      </w:r>
      <w:r w:rsidR="000A7AAB">
        <w:t>.</w:t>
      </w:r>
      <w:r w:rsidR="00C45B47">
        <w:t xml:space="preserve"> {</w:t>
      </w:r>
      <w:r w:rsidR="00B53529">
        <w:t>165</w:t>
      </w:r>
      <w:bookmarkStart w:id="441" w:name="p165"/>
      <w:bookmarkEnd w:id="441"/>
      <w:r w:rsidR="00B53529">
        <w:t xml:space="preserve">} </w:t>
      </w:r>
    </w:p>
    <w:p w:rsidR="000A7AAB" w:rsidRDefault="000A7AAB" w:rsidP="000A7AAB">
      <w:r>
        <w:lastRenderedPageBreak/>
        <w:t>Nous</w:t>
      </w:r>
      <w:r w:rsidRPr="002C4077">
        <w:t xml:space="preserve"> </w:t>
      </w:r>
      <w:r>
        <w:t>recommandons</w:t>
      </w:r>
      <w:r w:rsidRPr="002C4077">
        <w:t xml:space="preserve"> </w:t>
      </w:r>
      <w:r>
        <w:t>ces</w:t>
      </w:r>
      <w:r w:rsidRPr="002C4077">
        <w:t xml:space="preserve"> </w:t>
      </w:r>
      <w:r>
        <w:t>lignes</w:t>
      </w:r>
      <w:r w:rsidRPr="002C4077">
        <w:t xml:space="preserve"> </w:t>
      </w:r>
      <w:r>
        <w:t>à</w:t>
      </w:r>
      <w:r w:rsidRPr="002C4077">
        <w:t xml:space="preserve"> </w:t>
      </w:r>
      <w:r>
        <w:t>M.</w:t>
      </w:r>
      <w:r w:rsidRPr="002C4077">
        <w:t xml:space="preserve"> </w:t>
      </w:r>
      <w:r>
        <w:t>Jules</w:t>
      </w:r>
      <w:r w:rsidRPr="002C4077">
        <w:t xml:space="preserve"> </w:t>
      </w:r>
      <w:r>
        <w:t>Soury.</w:t>
      </w:r>
      <w:r w:rsidRPr="002C4077">
        <w:t xml:space="preserve"> </w:t>
      </w:r>
      <w:r>
        <w:t>Mais</w:t>
      </w:r>
      <w:r w:rsidRPr="002C4077">
        <w:t xml:space="preserve"> </w:t>
      </w:r>
      <w:r>
        <w:t>peut-être</w:t>
      </w:r>
      <w:r w:rsidRPr="002C4077">
        <w:t xml:space="preserve"> </w:t>
      </w:r>
      <w:r>
        <w:t>dira-t-il</w:t>
      </w:r>
      <w:r w:rsidRPr="002C4077">
        <w:t xml:space="preserve"> </w:t>
      </w:r>
      <w:r>
        <w:t>qu’elles</w:t>
      </w:r>
      <w:r w:rsidRPr="002C4077">
        <w:t xml:space="preserve"> </w:t>
      </w:r>
      <w:r>
        <w:t>manquent</w:t>
      </w:r>
      <w:r w:rsidRPr="002C4077">
        <w:t xml:space="preserve"> </w:t>
      </w:r>
      <w:r>
        <w:t>de</w:t>
      </w:r>
      <w:bookmarkStart w:id="442" w:name="z_SimonRichard_o2"/>
      <w:bookmarkEnd w:id="442"/>
      <w:r w:rsidRPr="002C4077">
        <w:t xml:space="preserve"> </w:t>
      </w:r>
      <w:r>
        <w:t>critique</w:t>
      </w:r>
      <w:r w:rsidR="00B546AF">
        <w:t> !</w:t>
      </w:r>
      <w:r w:rsidRPr="002C4077">
        <w:t xml:space="preserve"> </w:t>
      </w:r>
    </w:p>
    <w:p w:rsidR="001A54EA" w:rsidRDefault="001A54EA" w:rsidP="000A7AAB">
      <w:pPr>
        <w:rPr>
          <w:rStyle w:val="italicus"/>
        </w:rPr>
      </w:pPr>
    </w:p>
    <w:p w:rsidR="000A7AAB" w:rsidRPr="001A54EA" w:rsidRDefault="000A7AAB" w:rsidP="000A7AAB">
      <w:pPr>
        <w:rPr>
          <w:rStyle w:val="italicus"/>
        </w:rPr>
      </w:pPr>
      <w:r w:rsidRPr="001A54EA">
        <w:t xml:space="preserve">3° </w:t>
      </w:r>
      <w:r w:rsidRPr="001A54EA">
        <w:rPr>
          <w:rStyle w:val="italicus"/>
        </w:rPr>
        <w:t>Les</w:t>
      </w:r>
      <w:bookmarkStart w:id="443" w:name="z_BossuetCritique_o1"/>
      <w:bookmarkEnd w:id="443"/>
      <w:r w:rsidRPr="001A54EA">
        <w:rPr>
          <w:rStyle w:val="italicus"/>
        </w:rPr>
        <w:t xml:space="preserve"> études bibliques ont été déracinées et jetées au vent par Bossuet. </w:t>
      </w:r>
    </w:p>
    <w:p w:rsidR="000A7AAB" w:rsidRDefault="000A7AAB" w:rsidP="000A7AAB">
      <w:r>
        <w:t>Certes,</w:t>
      </w:r>
      <w:r w:rsidRPr="002C4077">
        <w:t xml:space="preserve"> </w:t>
      </w:r>
      <w:r>
        <w:t>il</w:t>
      </w:r>
      <w:r w:rsidRPr="002C4077">
        <w:t xml:space="preserve"> </w:t>
      </w:r>
      <w:r>
        <w:t>sied</w:t>
      </w:r>
      <w:r w:rsidRPr="002C4077">
        <w:t xml:space="preserve"> </w:t>
      </w:r>
      <w:r>
        <w:t>bien</w:t>
      </w:r>
      <w:r w:rsidRPr="002C4077">
        <w:t xml:space="preserve"> </w:t>
      </w:r>
      <w:r>
        <w:t>à</w:t>
      </w:r>
      <w:r w:rsidRPr="002C4077">
        <w:t xml:space="preserve"> </w:t>
      </w:r>
      <w:r>
        <w:t>M.</w:t>
      </w:r>
      <w:r w:rsidRPr="002C4077">
        <w:t xml:space="preserve"> </w:t>
      </w:r>
      <w:r>
        <w:t>Soury</w:t>
      </w:r>
      <w:r w:rsidRPr="002C4077">
        <w:t xml:space="preserve"> </w:t>
      </w:r>
      <w:r>
        <w:t>d’insulter</w:t>
      </w:r>
      <w:r w:rsidRPr="002C4077">
        <w:t xml:space="preserve"> </w:t>
      </w:r>
      <w:r>
        <w:t>l’aigle</w:t>
      </w:r>
      <w:r w:rsidRPr="002C4077">
        <w:t xml:space="preserve"> </w:t>
      </w:r>
      <w:r>
        <w:t>de</w:t>
      </w:r>
      <w:r w:rsidRPr="002C4077">
        <w:t xml:space="preserve"> </w:t>
      </w:r>
      <w:r>
        <w:t>Meaux</w:t>
      </w:r>
      <w:r w:rsidR="00B546AF">
        <w:t> !</w:t>
      </w:r>
      <w:r w:rsidRPr="002C4077">
        <w:t xml:space="preserve"> </w:t>
      </w:r>
      <w:r>
        <w:t>Mais</w:t>
      </w:r>
      <w:r w:rsidRPr="002C4077">
        <w:t xml:space="preserve"> </w:t>
      </w:r>
      <w:r>
        <w:t>passons…</w:t>
      </w:r>
      <w:r w:rsidRPr="002C4077">
        <w:t xml:space="preserve"> </w:t>
      </w:r>
    </w:p>
    <w:p w:rsidR="000A7AAB" w:rsidRDefault="000A7AAB" w:rsidP="000A7AAB">
      <w:r>
        <w:t>Sans</w:t>
      </w:r>
      <w:r w:rsidRPr="002C4077">
        <w:t xml:space="preserve"> </w:t>
      </w:r>
      <w:r>
        <w:t>doute,</w:t>
      </w:r>
      <w:r w:rsidRPr="002C4077">
        <w:t xml:space="preserve"> </w:t>
      </w:r>
      <w:r>
        <w:t>ce</w:t>
      </w:r>
      <w:r w:rsidRPr="002C4077">
        <w:t xml:space="preserve"> </w:t>
      </w:r>
      <w:r>
        <w:t>n’est</w:t>
      </w:r>
      <w:r w:rsidRPr="002C4077">
        <w:t xml:space="preserve"> </w:t>
      </w:r>
      <w:r>
        <w:t>pas</w:t>
      </w:r>
      <w:r w:rsidRPr="002C4077">
        <w:t xml:space="preserve"> </w:t>
      </w:r>
      <w:r>
        <w:t>sur</w:t>
      </w:r>
      <w:r w:rsidRPr="002C4077">
        <w:t xml:space="preserve"> </w:t>
      </w:r>
      <w:r>
        <w:t>le</w:t>
      </w:r>
      <w:r w:rsidRPr="002C4077">
        <w:t xml:space="preserve"> </w:t>
      </w:r>
      <w:r>
        <w:t>sol</w:t>
      </w:r>
      <w:r w:rsidRPr="002C4077">
        <w:t xml:space="preserve"> </w:t>
      </w:r>
      <w:r>
        <w:t>biblique</w:t>
      </w:r>
      <w:r w:rsidRPr="002C4077">
        <w:t xml:space="preserve"> </w:t>
      </w:r>
      <w:r>
        <w:t>que</w:t>
      </w:r>
      <w:r w:rsidRPr="002C4077">
        <w:t xml:space="preserve"> </w:t>
      </w:r>
      <w:r>
        <w:t>Bossuet</w:t>
      </w:r>
      <w:r w:rsidRPr="002C4077">
        <w:t xml:space="preserve"> </w:t>
      </w:r>
      <w:r>
        <w:t>a</w:t>
      </w:r>
      <w:r w:rsidRPr="002C4077">
        <w:t xml:space="preserve"> </w:t>
      </w:r>
      <w:r>
        <w:t>cueilli</w:t>
      </w:r>
      <w:r w:rsidRPr="002C4077">
        <w:t xml:space="preserve"> </w:t>
      </w:r>
      <w:r>
        <w:t>ses</w:t>
      </w:r>
      <w:r w:rsidRPr="002C4077">
        <w:t xml:space="preserve"> </w:t>
      </w:r>
      <w:r>
        <w:t>plus</w:t>
      </w:r>
      <w:r w:rsidRPr="002C4077">
        <w:t xml:space="preserve"> </w:t>
      </w:r>
      <w:r>
        <w:t>beaux</w:t>
      </w:r>
      <w:r w:rsidRPr="002C4077">
        <w:t xml:space="preserve"> </w:t>
      </w:r>
      <w:r>
        <w:t>lauriers.</w:t>
      </w:r>
      <w:r w:rsidRPr="002C4077">
        <w:t xml:space="preserve"> </w:t>
      </w:r>
      <w:r>
        <w:t>Néanmoins,</w:t>
      </w:r>
      <w:r w:rsidRPr="002C4077">
        <w:t xml:space="preserve"> </w:t>
      </w:r>
      <w:r>
        <w:t>quiconque</w:t>
      </w:r>
      <w:r w:rsidRPr="002C4077">
        <w:t xml:space="preserve"> </w:t>
      </w:r>
      <w:r>
        <w:t>a</w:t>
      </w:r>
      <w:r w:rsidRPr="002C4077">
        <w:t xml:space="preserve"> </w:t>
      </w:r>
      <w:r>
        <w:t>simplement</w:t>
      </w:r>
      <w:r w:rsidRPr="002C4077">
        <w:t xml:space="preserve"> </w:t>
      </w:r>
      <w:r w:rsidRPr="000A34B5">
        <w:rPr>
          <w:rStyle w:val="italicus"/>
        </w:rPr>
        <w:t>parcouru</w:t>
      </w:r>
      <w:r w:rsidRPr="002C4077">
        <w:t xml:space="preserve"> </w:t>
      </w:r>
      <w:r>
        <w:t>ses</w:t>
      </w:r>
      <w:r w:rsidRPr="002C4077">
        <w:t xml:space="preserve"> </w:t>
      </w:r>
      <w:r>
        <w:t>œuvres</w:t>
      </w:r>
      <w:r w:rsidRPr="004440EA">
        <w:t xml:space="preserve"> (</w:t>
      </w:r>
      <w:r>
        <w:t>M.</w:t>
      </w:r>
      <w:r w:rsidRPr="002C4077">
        <w:t xml:space="preserve"> </w:t>
      </w:r>
      <w:r>
        <w:t>Soury</w:t>
      </w:r>
      <w:r w:rsidRPr="002C4077">
        <w:t xml:space="preserve"> </w:t>
      </w:r>
      <w:r>
        <w:t>l’a-t-il</w:t>
      </w:r>
      <w:r w:rsidRPr="002C4077">
        <w:t xml:space="preserve"> </w:t>
      </w:r>
      <w:r>
        <w:t>jamais</w:t>
      </w:r>
      <w:r w:rsidRPr="002C4077">
        <w:t xml:space="preserve"> </w:t>
      </w:r>
      <w:r>
        <w:t>fait</w:t>
      </w:r>
      <w:r w:rsidR="00B546AF">
        <w:t> ?</w:t>
      </w:r>
      <w:r w:rsidR="00B546AF" w:rsidRPr="002C4077">
        <w:t>)</w:t>
      </w:r>
      <w:r w:rsidRPr="00950016">
        <w:t>,</w:t>
      </w:r>
      <w:r w:rsidRPr="002C4077">
        <w:t xml:space="preserve"> </w:t>
      </w:r>
      <w:r>
        <w:t>a</w:t>
      </w:r>
      <w:r w:rsidRPr="002C4077">
        <w:t xml:space="preserve"> </w:t>
      </w:r>
      <w:r>
        <w:t>pu</w:t>
      </w:r>
      <w:r w:rsidRPr="002C4077">
        <w:t xml:space="preserve"> </w:t>
      </w:r>
      <w:r>
        <w:t>voir</w:t>
      </w:r>
      <w:r w:rsidRPr="002C4077">
        <w:t xml:space="preserve"> </w:t>
      </w:r>
      <w:r>
        <w:t>jusqu’à</w:t>
      </w:r>
      <w:r w:rsidRPr="002C4077">
        <w:t xml:space="preserve"> </w:t>
      </w:r>
      <w:r>
        <w:t>quel</w:t>
      </w:r>
      <w:r w:rsidRPr="002C4077">
        <w:t xml:space="preserve"> </w:t>
      </w:r>
      <w:r>
        <w:t>point</w:t>
      </w:r>
      <w:r w:rsidRPr="002C4077">
        <w:t xml:space="preserve"> </w:t>
      </w:r>
      <w:r>
        <w:t>l’</w:t>
      </w:r>
      <w:r w:rsidR="001730C6">
        <w:t>ém</w:t>
      </w:r>
      <w:r>
        <w:t>inent</w:t>
      </w:r>
      <w:r w:rsidR="00425C50" w:rsidRPr="002C4077">
        <w:t xml:space="preserve"> </w:t>
      </w:r>
      <w:r w:rsidR="00425C50">
        <w:t>évêque</w:t>
      </w:r>
      <w:r w:rsidRPr="002C4077">
        <w:t xml:space="preserve"> </w:t>
      </w:r>
      <w:r>
        <w:t>possédait</w:t>
      </w:r>
      <w:r w:rsidRPr="002C4077">
        <w:t xml:space="preserve"> </w:t>
      </w:r>
      <w:r>
        <w:t>la</w:t>
      </w:r>
      <w:r w:rsidRPr="002C4077">
        <w:t xml:space="preserve"> </w:t>
      </w:r>
      <w:r>
        <w:t>science</w:t>
      </w:r>
      <w:r w:rsidRPr="002C4077">
        <w:t xml:space="preserve"> </w:t>
      </w:r>
      <w:r>
        <w:t>des</w:t>
      </w:r>
      <w:r w:rsidRPr="002C4077">
        <w:t xml:space="preserve"> </w:t>
      </w:r>
      <w:r>
        <w:t>saints</w:t>
      </w:r>
      <w:r w:rsidRPr="002C4077">
        <w:t xml:space="preserve"> </w:t>
      </w:r>
      <w:r>
        <w:t>Livres.</w:t>
      </w:r>
      <w:r w:rsidRPr="002C4077">
        <w:t xml:space="preserve"> </w:t>
      </w:r>
      <w:r>
        <w:t>Quelle</w:t>
      </w:r>
      <w:r w:rsidRPr="002C4077">
        <w:t xml:space="preserve"> </w:t>
      </w:r>
      <w:r>
        <w:t>profonde</w:t>
      </w:r>
      <w:r w:rsidRPr="002C4077">
        <w:t xml:space="preserve"> </w:t>
      </w:r>
      <w:r>
        <w:t>intelligence</w:t>
      </w:r>
      <w:r w:rsidRPr="002C4077">
        <w:t xml:space="preserve"> </w:t>
      </w:r>
      <w:r>
        <w:t>des</w:t>
      </w:r>
      <w:r w:rsidRPr="002C4077">
        <w:t xml:space="preserve"> </w:t>
      </w:r>
      <w:r>
        <w:t>textes</w:t>
      </w:r>
      <w:r w:rsidR="00B546AF">
        <w:t> !</w:t>
      </w:r>
      <w:r w:rsidRPr="002C4077">
        <w:t xml:space="preserve"> </w:t>
      </w:r>
      <w:r>
        <w:t>quels</w:t>
      </w:r>
      <w:r w:rsidRPr="002C4077">
        <w:t xml:space="preserve"> </w:t>
      </w:r>
      <w:r>
        <w:t>ingénieux</w:t>
      </w:r>
      <w:r w:rsidRPr="002C4077">
        <w:t xml:space="preserve"> </w:t>
      </w:r>
      <w:r>
        <w:t>rapprochements</w:t>
      </w:r>
      <w:r w:rsidR="00B546AF">
        <w:t> !</w:t>
      </w:r>
      <w:r w:rsidRPr="002C4077">
        <w:t xml:space="preserve"> </w:t>
      </w:r>
      <w:r>
        <w:t>quelles</w:t>
      </w:r>
      <w:r w:rsidRPr="002C4077">
        <w:t xml:space="preserve"> </w:t>
      </w:r>
      <w:r>
        <w:t>vues</w:t>
      </w:r>
      <w:r w:rsidRPr="002C4077">
        <w:t xml:space="preserve"> </w:t>
      </w:r>
      <w:r>
        <w:t>grandioses</w:t>
      </w:r>
      <w:r w:rsidRPr="002C4077">
        <w:t xml:space="preserve"> </w:t>
      </w:r>
      <w:r>
        <w:t>sur</w:t>
      </w:r>
      <w:r w:rsidRPr="002C4077">
        <w:t xml:space="preserve"> </w:t>
      </w:r>
      <w:r>
        <w:t>les</w:t>
      </w:r>
      <w:r w:rsidRPr="002C4077">
        <w:t xml:space="preserve"> </w:t>
      </w:r>
      <w:r>
        <w:t>détails</w:t>
      </w:r>
      <w:r w:rsidRPr="002C4077">
        <w:t xml:space="preserve"> </w:t>
      </w:r>
      <w:r>
        <w:t>et</w:t>
      </w:r>
      <w:r w:rsidRPr="002C4077">
        <w:t xml:space="preserve"> </w:t>
      </w:r>
      <w:r>
        <w:t>sur</w:t>
      </w:r>
      <w:r w:rsidRPr="002C4077">
        <w:t xml:space="preserve"> </w:t>
      </w:r>
      <w:r>
        <w:t>l’ensemble</w:t>
      </w:r>
      <w:r w:rsidRPr="002C4077">
        <w:t xml:space="preserve"> </w:t>
      </w:r>
      <w:r>
        <w:t>de</w:t>
      </w:r>
      <w:r w:rsidRPr="002C4077">
        <w:t xml:space="preserve"> </w:t>
      </w:r>
      <w:r>
        <w:t>la</w:t>
      </w:r>
      <w:r w:rsidRPr="002C4077">
        <w:t xml:space="preserve"> </w:t>
      </w:r>
      <w:r>
        <w:t>divine</w:t>
      </w:r>
      <w:r w:rsidRPr="002C4077">
        <w:t xml:space="preserve"> </w:t>
      </w:r>
      <w:r>
        <w:t>parole</w:t>
      </w:r>
      <w:r w:rsidR="00B546AF">
        <w:t> !</w:t>
      </w:r>
      <w:r w:rsidRPr="002C4077">
        <w:t xml:space="preserve"> </w:t>
      </w:r>
      <w:r>
        <w:t>Comme</w:t>
      </w:r>
      <w:r w:rsidRPr="002C4077">
        <w:t xml:space="preserve"> </w:t>
      </w:r>
      <w:r>
        <w:t>orateur,</w:t>
      </w:r>
      <w:r w:rsidRPr="002C4077">
        <w:t xml:space="preserve"> </w:t>
      </w:r>
      <w:r>
        <w:t>comme</w:t>
      </w:r>
      <w:r w:rsidRPr="002C4077">
        <w:t xml:space="preserve"> </w:t>
      </w:r>
      <w:r>
        <w:t>historien,</w:t>
      </w:r>
      <w:r w:rsidRPr="002C4077">
        <w:t xml:space="preserve"> </w:t>
      </w:r>
      <w:r>
        <w:t>et</w:t>
      </w:r>
      <w:r w:rsidRPr="002C4077">
        <w:t xml:space="preserve"> </w:t>
      </w:r>
      <w:r>
        <w:t>même</w:t>
      </w:r>
      <w:r w:rsidRPr="002C4077">
        <w:t xml:space="preserve"> </w:t>
      </w:r>
      <w:r>
        <w:t>jusque</w:t>
      </w:r>
      <w:r w:rsidRPr="002C4077">
        <w:t xml:space="preserve"> </w:t>
      </w:r>
      <w:r>
        <w:t>dans</w:t>
      </w:r>
      <w:r w:rsidRPr="002C4077">
        <w:t xml:space="preserve"> </w:t>
      </w:r>
      <w:r>
        <w:t>ses</w:t>
      </w:r>
      <w:r w:rsidRPr="002C4077">
        <w:t xml:space="preserve"> </w:t>
      </w:r>
      <w:r>
        <w:t>lettres</w:t>
      </w:r>
      <w:r w:rsidRPr="002C4077">
        <w:t xml:space="preserve"> </w:t>
      </w:r>
      <w:r>
        <w:t>les</w:t>
      </w:r>
      <w:r w:rsidRPr="002C4077">
        <w:t xml:space="preserve"> </w:t>
      </w:r>
      <w:r>
        <w:t>plus</w:t>
      </w:r>
      <w:r w:rsidRPr="002C4077">
        <w:t xml:space="preserve"> </w:t>
      </w:r>
      <w:r>
        <w:t>familières,</w:t>
      </w:r>
      <w:r w:rsidRPr="002C4077">
        <w:t xml:space="preserve"> </w:t>
      </w:r>
      <w:r>
        <w:t>il</w:t>
      </w:r>
      <w:r w:rsidRPr="002C4077">
        <w:t xml:space="preserve"> </w:t>
      </w:r>
      <w:r>
        <w:t>cite</w:t>
      </w:r>
      <w:r w:rsidRPr="002C4077">
        <w:t xml:space="preserve"> </w:t>
      </w:r>
      <w:r>
        <w:t>à</w:t>
      </w:r>
      <w:r w:rsidRPr="002C4077">
        <w:t xml:space="preserve"> </w:t>
      </w:r>
      <w:r>
        <w:t>chaque</w:t>
      </w:r>
      <w:r w:rsidRPr="002C4077">
        <w:t xml:space="preserve"> </w:t>
      </w:r>
      <w:r>
        <w:t>instant</w:t>
      </w:r>
      <w:r w:rsidRPr="002C4077">
        <w:t xml:space="preserve"> </w:t>
      </w:r>
      <w:r>
        <w:t>la</w:t>
      </w:r>
      <w:r w:rsidRPr="002C4077">
        <w:t xml:space="preserve"> </w:t>
      </w:r>
      <w:r>
        <w:t>Bible,</w:t>
      </w:r>
      <w:r w:rsidRPr="002C4077">
        <w:t xml:space="preserve"> </w:t>
      </w:r>
      <w:r>
        <w:t>montrant</w:t>
      </w:r>
      <w:r w:rsidRPr="002C4077">
        <w:t xml:space="preserve"> </w:t>
      </w:r>
      <w:r>
        <w:t>ainsi</w:t>
      </w:r>
      <w:r w:rsidRPr="002C4077">
        <w:t xml:space="preserve"> </w:t>
      </w:r>
      <w:r>
        <w:t>l’estime</w:t>
      </w:r>
      <w:r w:rsidRPr="002C4077">
        <w:t xml:space="preserve"> </w:t>
      </w:r>
      <w:r>
        <w:t>qu’il</w:t>
      </w:r>
      <w:r w:rsidRPr="002C4077">
        <w:t xml:space="preserve"> </w:t>
      </w:r>
      <w:r>
        <w:t>en</w:t>
      </w:r>
      <w:r w:rsidRPr="002C4077">
        <w:t xml:space="preserve"> </w:t>
      </w:r>
      <w:r>
        <w:t>fait,</w:t>
      </w:r>
      <w:r w:rsidRPr="002C4077">
        <w:t xml:space="preserve"> </w:t>
      </w:r>
      <w:r>
        <w:t>l’admirable</w:t>
      </w:r>
      <w:r w:rsidRPr="002C4077">
        <w:t xml:space="preserve"> </w:t>
      </w:r>
      <w:r>
        <w:t>parti</w:t>
      </w:r>
      <w:r w:rsidRPr="002C4077">
        <w:t xml:space="preserve"> </w:t>
      </w:r>
      <w:r>
        <w:t>qu’on</w:t>
      </w:r>
      <w:r w:rsidRPr="002C4077">
        <w:t xml:space="preserve"> </w:t>
      </w:r>
      <w:r>
        <w:t>en</w:t>
      </w:r>
      <w:r w:rsidRPr="002C4077">
        <w:t xml:space="preserve"> </w:t>
      </w:r>
      <w:r>
        <w:t>peut</w:t>
      </w:r>
      <w:r w:rsidRPr="002C4077">
        <w:t xml:space="preserve"> </w:t>
      </w:r>
      <w:r>
        <w:t>tirer</w:t>
      </w:r>
      <w:r w:rsidRPr="002C4077">
        <w:t xml:space="preserve"> </w:t>
      </w:r>
      <w:r>
        <w:t>pour</w:t>
      </w:r>
      <w:r w:rsidRPr="002C4077">
        <w:t xml:space="preserve"> </w:t>
      </w:r>
      <w:r>
        <w:t>toutes</w:t>
      </w:r>
      <w:r w:rsidRPr="002C4077">
        <w:t xml:space="preserve"> </w:t>
      </w:r>
      <w:r>
        <w:t>les</w:t>
      </w:r>
      <w:r w:rsidRPr="002C4077">
        <w:t xml:space="preserve"> </w:t>
      </w:r>
      <w:r>
        <w:t>circonstances</w:t>
      </w:r>
      <w:r w:rsidRPr="002C4077">
        <w:t xml:space="preserve"> </w:t>
      </w:r>
      <w:r>
        <w:t>de</w:t>
      </w:r>
      <w:r w:rsidRPr="002C4077">
        <w:t xml:space="preserve"> </w:t>
      </w:r>
      <w:r>
        <w:t>la</w:t>
      </w:r>
      <w:r w:rsidRPr="002C4077">
        <w:t xml:space="preserve"> </w:t>
      </w:r>
      <w:r>
        <w:t>vie.</w:t>
      </w:r>
      <w:r w:rsidRPr="002C4077">
        <w:t xml:space="preserve"> </w:t>
      </w:r>
      <w:r>
        <w:t>Aussi</w:t>
      </w:r>
      <w:r w:rsidRPr="002C4077">
        <w:t xml:space="preserve"> </w:t>
      </w:r>
      <w:r>
        <w:t>pourrait-on,</w:t>
      </w:r>
      <w:r w:rsidRPr="002C4077">
        <w:t xml:space="preserve"> </w:t>
      </w:r>
      <w:r>
        <w:t>en</w:t>
      </w:r>
      <w:r w:rsidRPr="002C4077">
        <w:t xml:space="preserve"> </w:t>
      </w:r>
      <w:r>
        <w:t>réunissant</w:t>
      </w:r>
      <w:r w:rsidRPr="002C4077">
        <w:t xml:space="preserve"> </w:t>
      </w:r>
      <w:r>
        <w:t>les</w:t>
      </w:r>
      <w:r w:rsidRPr="002C4077">
        <w:t xml:space="preserve"> </w:t>
      </w:r>
      <w:r>
        <w:t>explications</w:t>
      </w:r>
      <w:r w:rsidRPr="002C4077">
        <w:t xml:space="preserve"> </w:t>
      </w:r>
      <w:r>
        <w:t>disséminées</w:t>
      </w:r>
      <w:r w:rsidRPr="002C4077">
        <w:t xml:space="preserve"> </w:t>
      </w:r>
      <w:r>
        <w:t>à</w:t>
      </w:r>
      <w:r w:rsidRPr="002C4077">
        <w:t xml:space="preserve"> </w:t>
      </w:r>
      <w:r>
        <w:t>travers</w:t>
      </w:r>
      <w:r w:rsidRPr="002C4077">
        <w:t xml:space="preserve"> </w:t>
      </w:r>
      <w:r>
        <w:t>ses</w:t>
      </w:r>
      <w:r w:rsidRPr="002C4077">
        <w:t xml:space="preserve"> </w:t>
      </w:r>
      <w:r>
        <w:t>divers</w:t>
      </w:r>
      <w:r w:rsidRPr="002C4077">
        <w:t xml:space="preserve"> </w:t>
      </w:r>
      <w:r>
        <w:t>écrits,</w:t>
      </w:r>
      <w:r w:rsidRPr="002C4077">
        <w:t xml:space="preserve"> </w:t>
      </w:r>
      <w:r>
        <w:t>composer</w:t>
      </w:r>
      <w:r w:rsidRPr="002C4077">
        <w:t xml:space="preserve"> </w:t>
      </w:r>
      <w:r>
        <w:t>un</w:t>
      </w:r>
      <w:r w:rsidRPr="002C4077">
        <w:t xml:space="preserve"> </w:t>
      </w:r>
      <w:r>
        <w:t>magnifique</w:t>
      </w:r>
      <w:r w:rsidRPr="002C4077">
        <w:t xml:space="preserve"> </w:t>
      </w:r>
      <w:r>
        <w:t>commentaire,</w:t>
      </w:r>
      <w:r w:rsidRPr="002C4077">
        <w:t xml:space="preserve"> </w:t>
      </w:r>
      <w:r>
        <w:t>où</w:t>
      </w:r>
      <w:r w:rsidRPr="002C4077">
        <w:t xml:space="preserve"> </w:t>
      </w:r>
      <w:r>
        <w:t>l’on</w:t>
      </w:r>
      <w:r w:rsidRPr="002C4077">
        <w:t xml:space="preserve"> </w:t>
      </w:r>
      <w:r>
        <w:t>trouverait</w:t>
      </w:r>
      <w:r w:rsidRPr="002C4077">
        <w:t xml:space="preserve"> </w:t>
      </w:r>
      <w:r>
        <w:t>une</w:t>
      </w:r>
      <w:r w:rsidRPr="002C4077">
        <w:t xml:space="preserve"> </w:t>
      </w:r>
      <w:r>
        <w:t>nourriture</w:t>
      </w:r>
      <w:r w:rsidRPr="002C4077">
        <w:t xml:space="preserve"> </w:t>
      </w:r>
      <w:r>
        <w:t>autrement</w:t>
      </w:r>
      <w:r w:rsidRPr="002C4077">
        <w:t xml:space="preserve"> </w:t>
      </w:r>
      <w:r>
        <w:t>substantielle</w:t>
      </w:r>
      <w:r w:rsidRPr="002C4077">
        <w:t xml:space="preserve"> </w:t>
      </w:r>
      <w:r>
        <w:t>que</w:t>
      </w:r>
      <w:r w:rsidRPr="002C4077">
        <w:t xml:space="preserve"> </w:t>
      </w:r>
      <w:r>
        <w:t>celle</w:t>
      </w:r>
      <w:r w:rsidRPr="002C4077">
        <w:t xml:space="preserve"> </w:t>
      </w:r>
      <w:r>
        <w:t>qui</w:t>
      </w:r>
      <w:r w:rsidRPr="002C4077">
        <w:t xml:space="preserve"> </w:t>
      </w:r>
      <w:r>
        <w:t>nous</w:t>
      </w:r>
      <w:r w:rsidRPr="002C4077">
        <w:t xml:space="preserve"> </w:t>
      </w:r>
      <w:r w:rsidR="00425C50">
        <w:t>est</w:t>
      </w:r>
      <w:r w:rsidRPr="002C4077">
        <w:t xml:space="preserve"> </w:t>
      </w:r>
      <w:r>
        <w:t>offerte</w:t>
      </w:r>
      <w:r w:rsidRPr="002C4077">
        <w:t xml:space="preserve"> </w:t>
      </w:r>
      <w:r>
        <w:t>dans</w:t>
      </w:r>
      <w:r w:rsidRPr="002C4077">
        <w:t xml:space="preserve"> </w:t>
      </w:r>
      <w:r>
        <w:t>les</w:t>
      </w:r>
      <w:r w:rsidRPr="002C4077">
        <w:t xml:space="preserve"> </w:t>
      </w:r>
      <w:r>
        <w:t>traités</w:t>
      </w:r>
      <w:r w:rsidRPr="002C4077">
        <w:t xml:space="preserve"> </w:t>
      </w:r>
      <w:r>
        <w:t>scripturaires</w:t>
      </w:r>
      <w:r w:rsidRPr="002C4077">
        <w:t xml:space="preserve"> </w:t>
      </w:r>
      <w:r>
        <w:t>des</w:t>
      </w:r>
      <w:r w:rsidRPr="002C4077">
        <w:t xml:space="preserve"> </w:t>
      </w:r>
      <w:r>
        <w:t>rationalistes</w:t>
      </w:r>
      <w:r w:rsidRPr="002C4077">
        <w:t xml:space="preserve"> </w:t>
      </w:r>
      <w:r>
        <w:t>modernes,</w:t>
      </w:r>
      <w:r w:rsidRPr="002C4077">
        <w:t xml:space="preserve"> </w:t>
      </w:r>
      <w:r>
        <w:t>—</w:t>
      </w:r>
      <w:r w:rsidRPr="002C4077">
        <w:t xml:space="preserve"> </w:t>
      </w:r>
      <w:r>
        <w:t>y</w:t>
      </w:r>
      <w:r w:rsidRPr="002C4077">
        <w:t xml:space="preserve"> </w:t>
      </w:r>
      <w:r>
        <w:t>compris</w:t>
      </w:r>
      <w:r w:rsidRPr="002C4077">
        <w:t xml:space="preserve"> </w:t>
      </w:r>
      <w:r>
        <w:t>les</w:t>
      </w:r>
      <w:r w:rsidRPr="002C4077">
        <w:t xml:space="preserve"> </w:t>
      </w:r>
      <w:r>
        <w:t>œuvres</w:t>
      </w:r>
      <w:r w:rsidRPr="002C4077">
        <w:t xml:space="preserve"> </w:t>
      </w:r>
      <w:r>
        <w:t>de</w:t>
      </w:r>
      <w:r w:rsidRPr="002C4077">
        <w:t xml:space="preserve"> </w:t>
      </w:r>
      <w:r>
        <w:t>M.</w:t>
      </w:r>
      <w:r w:rsidRPr="002C4077">
        <w:t xml:space="preserve"> </w:t>
      </w:r>
      <w:r>
        <w:t>Jules</w:t>
      </w:r>
      <w:r w:rsidRPr="002C4077">
        <w:t xml:space="preserve"> </w:t>
      </w:r>
      <w:r>
        <w:t>Soury.</w:t>
      </w:r>
      <w:r w:rsidRPr="002C4077">
        <w:t xml:space="preserve"> </w:t>
      </w:r>
      <w:r>
        <w:t>—</w:t>
      </w:r>
      <w:r w:rsidRPr="002C4077">
        <w:t xml:space="preserve"> </w:t>
      </w:r>
      <w:r>
        <w:t>Il</w:t>
      </w:r>
      <w:r w:rsidRPr="002C4077">
        <w:t xml:space="preserve"> </w:t>
      </w:r>
      <w:r w:rsidR="00425C50">
        <w:t>est</w:t>
      </w:r>
      <w:r w:rsidRPr="002C4077">
        <w:t xml:space="preserve"> </w:t>
      </w:r>
      <w:r>
        <w:t>vrai</w:t>
      </w:r>
      <w:r w:rsidRPr="002C4077">
        <w:t xml:space="preserve"> </w:t>
      </w:r>
      <w:r>
        <w:t>que</w:t>
      </w:r>
      <w:r w:rsidRPr="002C4077">
        <w:t xml:space="preserve"> </w:t>
      </w:r>
      <w:r>
        <w:t>ce</w:t>
      </w:r>
      <w:r w:rsidRPr="002C4077">
        <w:t xml:space="preserve"> </w:t>
      </w:r>
      <w:r>
        <w:t>dernier</w:t>
      </w:r>
      <w:r w:rsidRPr="002C4077">
        <w:t xml:space="preserve"> </w:t>
      </w:r>
      <w:r>
        <w:t>s’appuie</w:t>
      </w:r>
      <w:r w:rsidRPr="002C4077">
        <w:t xml:space="preserve"> </w:t>
      </w:r>
      <w:r>
        <w:t>sur</w:t>
      </w:r>
      <w:r w:rsidRPr="002C4077">
        <w:t xml:space="preserve"> </w:t>
      </w:r>
      <w:r>
        <w:t>Strauss</w:t>
      </w:r>
      <w:r w:rsidRPr="002C4077">
        <w:t xml:space="preserve"> </w:t>
      </w:r>
      <w:r>
        <w:t>et</w:t>
      </w:r>
      <w:r w:rsidRPr="002C4077">
        <w:t xml:space="preserve"> </w:t>
      </w:r>
      <w:r>
        <w:t>sur</w:t>
      </w:r>
      <w:r w:rsidRPr="002C4077">
        <w:t xml:space="preserve"> </w:t>
      </w:r>
      <w:r>
        <w:t>M.</w:t>
      </w:r>
      <w:r w:rsidRPr="002C4077">
        <w:t xml:space="preserve"> </w:t>
      </w:r>
      <w:r>
        <w:t>Renan,</w:t>
      </w:r>
      <w:r w:rsidRPr="002C4077">
        <w:t xml:space="preserve"> </w:t>
      </w:r>
      <w:r>
        <w:t>tandis</w:t>
      </w:r>
      <w:r w:rsidRPr="002C4077">
        <w:t xml:space="preserve"> </w:t>
      </w:r>
      <w:r>
        <w:t>que</w:t>
      </w:r>
      <w:r w:rsidRPr="002C4077">
        <w:t xml:space="preserve"> </w:t>
      </w:r>
      <w:r>
        <w:t>Bossuet</w:t>
      </w:r>
      <w:r w:rsidRPr="002C4077">
        <w:t xml:space="preserve"> </w:t>
      </w:r>
      <w:r>
        <w:t>fortifiait</w:t>
      </w:r>
      <w:r w:rsidRPr="002C4077">
        <w:t xml:space="preserve"> </w:t>
      </w:r>
      <w:r>
        <w:t>son</w:t>
      </w:r>
      <w:r w:rsidRPr="002C4077">
        <w:t xml:space="preserve"> </w:t>
      </w:r>
      <w:r>
        <w:t>génie</w:t>
      </w:r>
      <w:r w:rsidRPr="002C4077">
        <w:t xml:space="preserve"> </w:t>
      </w:r>
      <w:r>
        <w:t>en</w:t>
      </w:r>
      <w:r w:rsidRPr="002C4077">
        <w:t xml:space="preserve"> </w:t>
      </w:r>
      <w:r>
        <w:t>s’inspirant</w:t>
      </w:r>
      <w:r w:rsidRPr="002C4077">
        <w:t xml:space="preserve"> </w:t>
      </w:r>
      <w:r>
        <w:t>auprès</w:t>
      </w:r>
      <w:r w:rsidRPr="002C4077">
        <w:t xml:space="preserve"> </w:t>
      </w:r>
      <w:r>
        <w:t>de</w:t>
      </w:r>
      <w:r w:rsidRPr="002C4077">
        <w:t xml:space="preserve"> </w:t>
      </w:r>
      <w:r>
        <w:t>ces</w:t>
      </w:r>
      <w:r w:rsidRPr="002C4077">
        <w:t xml:space="preserve"> </w:t>
      </w:r>
      <w:r>
        <w:t>autres</w:t>
      </w:r>
      <w:r w:rsidRPr="002C4077">
        <w:t xml:space="preserve"> </w:t>
      </w:r>
      <w:r>
        <w:t>génies</w:t>
      </w:r>
      <w:r w:rsidRPr="002C4077">
        <w:t xml:space="preserve"> </w:t>
      </w:r>
      <w:r>
        <w:t>qui</w:t>
      </w:r>
      <w:r w:rsidRPr="002C4077">
        <w:t xml:space="preserve"> </w:t>
      </w:r>
      <w:r>
        <w:t>se</w:t>
      </w:r>
      <w:r w:rsidRPr="002C4077">
        <w:t xml:space="preserve"> </w:t>
      </w:r>
      <w:r>
        <w:t>nomment</w:t>
      </w:r>
      <w:r w:rsidRPr="002C4077">
        <w:t xml:space="preserve"> </w:t>
      </w:r>
      <w:r>
        <w:t>saint</w:t>
      </w:r>
      <w:r w:rsidRPr="002C4077">
        <w:t xml:space="preserve"> </w:t>
      </w:r>
      <w:r>
        <w:t>Ir</w:t>
      </w:r>
      <w:r w:rsidR="001730C6">
        <w:t>én</w:t>
      </w:r>
      <w:r>
        <w:t>ée,</w:t>
      </w:r>
      <w:r w:rsidRPr="002C4077">
        <w:t xml:space="preserve"> </w:t>
      </w:r>
      <w:r>
        <w:t>Tertullien,</w:t>
      </w:r>
      <w:r w:rsidRPr="002C4077">
        <w:t xml:space="preserve"> </w:t>
      </w:r>
      <w:r>
        <w:t>saint</w:t>
      </w:r>
      <w:r w:rsidRPr="002C4077">
        <w:t xml:space="preserve"> </w:t>
      </w:r>
      <w:r>
        <w:t>Jérôme,</w:t>
      </w:r>
      <w:r w:rsidRPr="002C4077">
        <w:t xml:space="preserve"> </w:t>
      </w:r>
      <w:r>
        <w:t>saint</w:t>
      </w:r>
      <w:r w:rsidRPr="002C4077">
        <w:t xml:space="preserve"> </w:t>
      </w:r>
      <w:r>
        <w:t>Augustin,</w:t>
      </w:r>
      <w:r w:rsidRPr="002C4077">
        <w:t xml:space="preserve"> </w:t>
      </w:r>
      <w:r>
        <w:t>saint</w:t>
      </w:r>
      <w:r w:rsidRPr="002C4077">
        <w:t xml:space="preserve"> </w:t>
      </w:r>
      <w:r>
        <w:t>Jean</w:t>
      </w:r>
      <w:r w:rsidRPr="002C4077">
        <w:t xml:space="preserve"> </w:t>
      </w:r>
      <w:r>
        <w:t>Chrysostome.</w:t>
      </w:r>
      <w:r w:rsidRPr="002C4077">
        <w:t xml:space="preserve"> </w:t>
      </w:r>
      <w:r>
        <w:t>Cela</w:t>
      </w:r>
      <w:r w:rsidRPr="002C4077">
        <w:t xml:space="preserve"> </w:t>
      </w:r>
      <w:r>
        <w:t>fait</w:t>
      </w:r>
      <w:r w:rsidRPr="002C4077">
        <w:t xml:space="preserve"> </w:t>
      </w:r>
      <w:r>
        <w:t>quelque</w:t>
      </w:r>
      <w:r w:rsidRPr="002C4077">
        <w:t xml:space="preserve"> </w:t>
      </w:r>
      <w:r>
        <w:t>différence</w:t>
      </w:r>
      <w:r w:rsidR="00B546AF">
        <w:t> !</w:t>
      </w:r>
      <w:r w:rsidRPr="002C4077">
        <w:t xml:space="preserve"> </w:t>
      </w:r>
    </w:p>
    <w:p w:rsidR="000A7AAB" w:rsidRDefault="000A7AAB" w:rsidP="000A7AAB">
      <w:r>
        <w:t>Il</w:t>
      </w:r>
      <w:r w:rsidRPr="002C4077">
        <w:t xml:space="preserve"> </w:t>
      </w:r>
      <w:r>
        <w:t>y</w:t>
      </w:r>
      <w:r w:rsidRPr="002C4077">
        <w:t xml:space="preserve"> </w:t>
      </w:r>
      <w:r>
        <w:t>a</w:t>
      </w:r>
      <w:r w:rsidRPr="002C4077">
        <w:t xml:space="preserve"> </w:t>
      </w:r>
      <w:r>
        <w:t>plus</w:t>
      </w:r>
      <w:r w:rsidRPr="002C4077">
        <w:t xml:space="preserve"> </w:t>
      </w:r>
      <w:r>
        <w:t>encore.</w:t>
      </w:r>
      <w:r w:rsidR="00C45B47">
        <w:t xml:space="preserve"> {</w:t>
      </w:r>
      <w:r w:rsidR="00B53529">
        <w:t>166</w:t>
      </w:r>
      <w:bookmarkStart w:id="444" w:name="p166"/>
      <w:bookmarkEnd w:id="444"/>
      <w:r w:rsidR="00B53529">
        <w:t xml:space="preserve">} </w:t>
      </w:r>
      <w:r>
        <w:t>Bossuet</w:t>
      </w:r>
      <w:r w:rsidRPr="002C4077">
        <w:t xml:space="preserve"> </w:t>
      </w:r>
      <w:r>
        <w:t>a</w:t>
      </w:r>
      <w:r w:rsidRPr="002C4077">
        <w:t xml:space="preserve"> </w:t>
      </w:r>
      <w:r>
        <w:t>composé</w:t>
      </w:r>
      <w:r w:rsidRPr="002C4077">
        <w:t xml:space="preserve"> </w:t>
      </w:r>
      <w:r>
        <w:t>plusieurs</w:t>
      </w:r>
      <w:r w:rsidRPr="002C4077">
        <w:t xml:space="preserve"> </w:t>
      </w:r>
      <w:r>
        <w:t>ouvrages</w:t>
      </w:r>
      <w:r w:rsidRPr="002C4077">
        <w:t xml:space="preserve"> </w:t>
      </w:r>
      <w:r>
        <w:t>remarquables</w:t>
      </w:r>
      <w:r w:rsidRPr="002C4077">
        <w:t xml:space="preserve"> </w:t>
      </w:r>
      <w:r>
        <w:t>qui</w:t>
      </w:r>
      <w:r w:rsidRPr="002C4077">
        <w:t xml:space="preserve"> </w:t>
      </w:r>
      <w:r>
        <w:t>s’occupent</w:t>
      </w:r>
      <w:r w:rsidRPr="002C4077">
        <w:t xml:space="preserve"> </w:t>
      </w:r>
      <w:r>
        <w:t>directement</w:t>
      </w:r>
      <w:r w:rsidRPr="002C4077">
        <w:t xml:space="preserve"> </w:t>
      </w:r>
      <w:r>
        <w:t>des</w:t>
      </w:r>
      <w:r w:rsidRPr="002C4077">
        <w:t xml:space="preserve"> </w:t>
      </w:r>
      <w:r>
        <w:t>saintes</w:t>
      </w:r>
      <w:r w:rsidRPr="002C4077">
        <w:t xml:space="preserve"> </w:t>
      </w:r>
      <w:r>
        <w:t>Écritures</w:t>
      </w:r>
      <w:r w:rsidR="00B546AF">
        <w:t> ;</w:t>
      </w:r>
      <w:r w:rsidRPr="002C4077">
        <w:t xml:space="preserve"> </w:t>
      </w:r>
      <w:r>
        <w:t>par</w:t>
      </w:r>
      <w:r w:rsidRPr="002C4077">
        <w:t xml:space="preserve"> </w:t>
      </w:r>
      <w:r>
        <w:t>exemple,</w:t>
      </w:r>
      <w:r w:rsidRPr="002C4077">
        <w:t xml:space="preserve"> </w:t>
      </w:r>
      <w:r>
        <w:t>son</w:t>
      </w:r>
      <w:r w:rsidRPr="002C4077">
        <w:t xml:space="preserve"> </w:t>
      </w:r>
      <w:r w:rsidRPr="000A34B5">
        <w:rPr>
          <w:rStyle w:val="italicus"/>
        </w:rPr>
        <w:t>Explication</w:t>
      </w:r>
      <w:r w:rsidRPr="002C4077">
        <w:t xml:space="preserve"> </w:t>
      </w:r>
      <w:r w:rsidRPr="000A34B5">
        <w:rPr>
          <w:rStyle w:val="italicus"/>
        </w:rPr>
        <w:t>des</w:t>
      </w:r>
      <w:r w:rsidRPr="002C4077">
        <w:t xml:space="preserve"> </w:t>
      </w:r>
      <w:r w:rsidRPr="000A34B5">
        <w:rPr>
          <w:rStyle w:val="italicus"/>
        </w:rPr>
        <w:t>Psaumes,</w:t>
      </w:r>
      <w:r w:rsidRPr="002C4077">
        <w:t xml:space="preserve"> </w:t>
      </w:r>
      <w:r>
        <w:t>que</w:t>
      </w:r>
      <w:r w:rsidRPr="002C4077">
        <w:t xml:space="preserve"> </w:t>
      </w:r>
      <w:r>
        <w:t>nous</w:t>
      </w:r>
      <w:r w:rsidRPr="002C4077">
        <w:t xml:space="preserve"> </w:t>
      </w:r>
      <w:r>
        <w:t>aimerions</w:t>
      </w:r>
      <w:r w:rsidRPr="002C4077">
        <w:t xml:space="preserve"> </w:t>
      </w:r>
      <w:r>
        <w:t>à</w:t>
      </w:r>
      <w:r w:rsidRPr="002C4077">
        <w:t xml:space="preserve"> </w:t>
      </w:r>
      <w:r>
        <w:t>voir</w:t>
      </w:r>
      <w:r w:rsidRPr="002C4077">
        <w:t xml:space="preserve"> </w:t>
      </w:r>
      <w:r>
        <w:t>réimprimer</w:t>
      </w:r>
      <w:r w:rsidRPr="002C4077">
        <w:t xml:space="preserve"> </w:t>
      </w:r>
      <w:r>
        <w:t>à</w:t>
      </w:r>
      <w:r w:rsidRPr="002C4077">
        <w:t xml:space="preserve"> </w:t>
      </w:r>
      <w:r>
        <w:t>part</w:t>
      </w:r>
      <w:r w:rsidR="00B91AF7">
        <w:rPr>
          <w:rStyle w:val="Appelnotedebasdep"/>
        </w:rPr>
        <w:footnoteReference w:id="497"/>
      </w:r>
      <w:r w:rsidR="00B546AF">
        <w:t> ;</w:t>
      </w:r>
      <w:r w:rsidRPr="002C4077">
        <w:t xml:space="preserve"> </w:t>
      </w:r>
      <w:r>
        <w:t>ses</w:t>
      </w:r>
      <w:r w:rsidRPr="002C4077">
        <w:t xml:space="preserve"> </w:t>
      </w:r>
      <w:r w:rsidRPr="000A34B5">
        <w:rPr>
          <w:rStyle w:val="italicus"/>
        </w:rPr>
        <w:t>Commentaires</w:t>
      </w:r>
      <w:r w:rsidRPr="002C4077">
        <w:t xml:space="preserve"> </w:t>
      </w:r>
      <w:r>
        <w:t>sur</w:t>
      </w:r>
      <w:r w:rsidRPr="002C4077">
        <w:t xml:space="preserve"> </w:t>
      </w:r>
      <w:r>
        <w:t>l’Ecclésiaste</w:t>
      </w:r>
      <w:r w:rsidRPr="002C4077">
        <w:t xml:space="preserve"> </w:t>
      </w:r>
      <w:r>
        <w:t>et</w:t>
      </w:r>
      <w:r w:rsidRPr="002C4077">
        <w:t xml:space="preserve"> </w:t>
      </w:r>
      <w:r>
        <w:t>sur</w:t>
      </w:r>
      <w:r w:rsidRPr="002C4077">
        <w:t xml:space="preserve"> </w:t>
      </w:r>
      <w:r>
        <w:t>l’Apocalypse.</w:t>
      </w:r>
      <w:r w:rsidRPr="002C4077">
        <w:t xml:space="preserve"> </w:t>
      </w:r>
      <w:r>
        <w:t>Que</w:t>
      </w:r>
      <w:r w:rsidRPr="002C4077">
        <w:t xml:space="preserve"> </w:t>
      </w:r>
      <w:r>
        <w:t>M.</w:t>
      </w:r>
      <w:r w:rsidRPr="002C4077">
        <w:t xml:space="preserve"> </w:t>
      </w:r>
      <w:r>
        <w:t>Soury,</w:t>
      </w:r>
      <w:r w:rsidRPr="002C4077">
        <w:t xml:space="preserve"> </w:t>
      </w:r>
      <w:r>
        <w:t>au</w:t>
      </w:r>
      <w:r w:rsidRPr="002C4077">
        <w:t xml:space="preserve"> </w:t>
      </w:r>
      <w:r>
        <w:t>lieu</w:t>
      </w:r>
      <w:r w:rsidRPr="002C4077">
        <w:t xml:space="preserve"> </w:t>
      </w:r>
      <w:r>
        <w:t>de</w:t>
      </w:r>
      <w:r w:rsidRPr="002C4077">
        <w:t xml:space="preserve"> </w:t>
      </w:r>
      <w:r>
        <w:t>nier</w:t>
      </w:r>
      <w:r w:rsidRPr="002C4077">
        <w:t xml:space="preserve"> </w:t>
      </w:r>
      <w:r>
        <w:t>et</w:t>
      </w:r>
      <w:r w:rsidRPr="002C4077">
        <w:t xml:space="preserve"> </w:t>
      </w:r>
      <w:r>
        <w:t>de</w:t>
      </w:r>
      <w:r w:rsidRPr="002C4077">
        <w:t xml:space="preserve"> </w:t>
      </w:r>
      <w:r>
        <w:t>détruire,</w:t>
      </w:r>
      <w:r w:rsidRPr="002C4077">
        <w:t xml:space="preserve"> </w:t>
      </w:r>
      <w:r>
        <w:t>se</w:t>
      </w:r>
      <w:r w:rsidRPr="002C4077">
        <w:t xml:space="preserve"> </w:t>
      </w:r>
      <w:r>
        <w:t>décide</w:t>
      </w:r>
      <w:r w:rsidRPr="002C4077">
        <w:t xml:space="preserve"> </w:t>
      </w:r>
      <w:r>
        <w:t>enfin</w:t>
      </w:r>
      <w:r w:rsidRPr="002C4077">
        <w:t xml:space="preserve"> </w:t>
      </w:r>
      <w:r>
        <w:t>à</w:t>
      </w:r>
      <w:r w:rsidRPr="002C4077">
        <w:t xml:space="preserve"> </w:t>
      </w:r>
      <w:r>
        <w:t>bâtir,</w:t>
      </w:r>
      <w:r w:rsidRPr="002C4077">
        <w:t xml:space="preserve"> </w:t>
      </w:r>
      <w:r>
        <w:t>et</w:t>
      </w:r>
      <w:r w:rsidRPr="002C4077">
        <w:t xml:space="preserve"> </w:t>
      </w:r>
      <w:r>
        <w:t>nous</w:t>
      </w:r>
      <w:r w:rsidRPr="002C4077">
        <w:t xml:space="preserve"> </w:t>
      </w:r>
      <w:r>
        <w:t>ferons</w:t>
      </w:r>
      <w:r w:rsidRPr="002C4077">
        <w:t xml:space="preserve"> </w:t>
      </w:r>
      <w:r>
        <w:t>la</w:t>
      </w:r>
      <w:r w:rsidRPr="002C4077">
        <w:t xml:space="preserve"> </w:t>
      </w:r>
      <w:r>
        <w:t>comparaison.</w:t>
      </w:r>
      <w:r w:rsidRPr="002C4077">
        <w:t xml:space="preserve"> </w:t>
      </w:r>
    </w:p>
    <w:p w:rsidR="000A7AAB" w:rsidRDefault="000A7AAB" w:rsidP="000A7AAB">
      <w:r>
        <w:t>Mais</w:t>
      </w:r>
      <w:r w:rsidRPr="002C4077">
        <w:t xml:space="preserve"> </w:t>
      </w:r>
      <w:r>
        <w:t>nous</w:t>
      </w:r>
      <w:r w:rsidRPr="002C4077">
        <w:t xml:space="preserve"> </w:t>
      </w:r>
      <w:r>
        <w:t>concevons</w:t>
      </w:r>
      <w:r w:rsidRPr="002C4077">
        <w:t xml:space="preserve"> </w:t>
      </w:r>
      <w:r>
        <w:t>d’une</w:t>
      </w:r>
      <w:r w:rsidRPr="002C4077">
        <w:t xml:space="preserve"> </w:t>
      </w:r>
      <w:r>
        <w:t>certaine</w:t>
      </w:r>
      <w:r w:rsidRPr="002C4077">
        <w:t xml:space="preserve"> </w:t>
      </w:r>
      <w:r>
        <w:t>manière</w:t>
      </w:r>
      <w:r w:rsidRPr="002C4077">
        <w:t xml:space="preserve"> </w:t>
      </w:r>
      <w:r>
        <w:t>son</w:t>
      </w:r>
      <w:r w:rsidRPr="002C4077">
        <w:t xml:space="preserve"> </w:t>
      </w:r>
      <w:r>
        <w:t>an</w:t>
      </w:r>
      <w:r w:rsidR="001730C6">
        <w:t>im</w:t>
      </w:r>
      <w:r>
        <w:t>osité</w:t>
      </w:r>
      <w:r w:rsidRPr="002C4077">
        <w:t xml:space="preserve"> </w:t>
      </w:r>
      <w:r>
        <w:t>contre</w:t>
      </w:r>
      <w:r w:rsidRPr="002C4077">
        <w:t xml:space="preserve"> </w:t>
      </w:r>
      <w:r>
        <w:t>Bossuet.</w:t>
      </w:r>
      <w:r w:rsidRPr="002C4077">
        <w:t xml:space="preserve"> </w:t>
      </w:r>
      <w:r>
        <w:t>L</w:t>
      </w:r>
      <w:r w:rsidR="00425C50">
        <w:t>’évêque</w:t>
      </w:r>
      <w:r w:rsidRPr="002C4077">
        <w:t xml:space="preserve"> </w:t>
      </w:r>
      <w:r>
        <w:t>de</w:t>
      </w:r>
      <w:r w:rsidRPr="002C4077">
        <w:t xml:space="preserve"> </w:t>
      </w:r>
      <w:r>
        <w:t>Meaux</w:t>
      </w:r>
      <w:r w:rsidRPr="002C4077">
        <w:t xml:space="preserve"> </w:t>
      </w:r>
      <w:r>
        <w:t>a</w:t>
      </w:r>
      <w:r w:rsidRPr="002C4077">
        <w:t xml:space="preserve"> </w:t>
      </w:r>
      <w:r>
        <w:t>osé</w:t>
      </w:r>
      <w:r w:rsidRPr="002C4077">
        <w:t xml:space="preserve"> </w:t>
      </w:r>
      <w:r>
        <w:t>publier</w:t>
      </w:r>
      <w:r w:rsidRPr="002C4077">
        <w:t xml:space="preserve"> </w:t>
      </w:r>
      <w:r>
        <w:t>des</w:t>
      </w:r>
      <w:r w:rsidRPr="002C4077">
        <w:t xml:space="preserve"> </w:t>
      </w:r>
      <w:r w:rsidRPr="000A34B5">
        <w:rPr>
          <w:rStyle w:val="italicus"/>
        </w:rPr>
        <w:t>Lettres</w:t>
      </w:r>
      <w:r w:rsidRPr="002C4077">
        <w:t xml:space="preserve"> </w:t>
      </w:r>
      <w:r w:rsidRPr="000A34B5">
        <w:rPr>
          <w:rStyle w:val="italicus"/>
        </w:rPr>
        <w:t>au</w:t>
      </w:r>
      <w:r w:rsidRPr="002C4077">
        <w:t xml:space="preserve"> </w:t>
      </w:r>
      <w:r w:rsidRPr="000A34B5">
        <w:rPr>
          <w:rStyle w:val="italicus"/>
        </w:rPr>
        <w:t>sujet</w:t>
      </w:r>
      <w:r w:rsidRPr="002C4077">
        <w:t xml:space="preserve"> </w:t>
      </w:r>
      <w:r w:rsidRPr="000A34B5">
        <w:rPr>
          <w:rStyle w:val="italicus"/>
        </w:rPr>
        <w:t>de</w:t>
      </w:r>
      <w:r w:rsidRPr="002C4077">
        <w:t xml:space="preserve"> </w:t>
      </w:r>
      <w:r w:rsidRPr="000A34B5">
        <w:rPr>
          <w:rStyle w:val="italicus"/>
        </w:rPr>
        <w:t>la</w:t>
      </w:r>
      <w:r w:rsidRPr="002C4077">
        <w:t xml:space="preserve"> </w:t>
      </w:r>
      <w:r w:rsidRPr="000A34B5">
        <w:rPr>
          <w:rStyle w:val="italicus"/>
        </w:rPr>
        <w:t>version</w:t>
      </w:r>
      <w:r w:rsidRPr="002C4077">
        <w:t xml:space="preserve"> </w:t>
      </w:r>
      <w:r w:rsidRPr="000A34B5">
        <w:rPr>
          <w:rStyle w:val="italicus"/>
        </w:rPr>
        <w:t>du</w:t>
      </w:r>
      <w:r w:rsidRPr="002C4077">
        <w:t xml:space="preserve"> </w:t>
      </w:r>
      <w:r w:rsidRPr="000A34B5">
        <w:rPr>
          <w:rStyle w:val="italicus"/>
        </w:rPr>
        <w:t>Nouveau</w:t>
      </w:r>
      <w:r w:rsidRPr="002C4077">
        <w:t xml:space="preserve"> </w:t>
      </w:r>
      <w:r w:rsidRPr="000A34B5">
        <w:rPr>
          <w:rStyle w:val="italicus"/>
        </w:rPr>
        <w:t>Testament</w:t>
      </w:r>
      <w:r w:rsidRPr="002C4077">
        <w:t xml:space="preserve"> </w:t>
      </w:r>
      <w:r w:rsidRPr="000A34B5">
        <w:rPr>
          <w:rStyle w:val="italicus"/>
        </w:rPr>
        <w:t>de</w:t>
      </w:r>
      <w:r w:rsidRPr="002C4077">
        <w:t xml:space="preserve"> </w:t>
      </w:r>
      <w:r w:rsidRPr="000A34B5">
        <w:rPr>
          <w:rStyle w:val="italicus"/>
        </w:rPr>
        <w:t>Richard</w:t>
      </w:r>
      <w:r w:rsidRPr="002C4077">
        <w:t xml:space="preserve"> </w:t>
      </w:r>
      <w:r w:rsidRPr="000A34B5">
        <w:rPr>
          <w:rStyle w:val="italicus"/>
        </w:rPr>
        <w:t>Sim</w:t>
      </w:r>
      <w:r w:rsidR="00F6492C" w:rsidRPr="000A34B5">
        <w:rPr>
          <w:rStyle w:val="italicus"/>
        </w:rPr>
        <w:t>on</w:t>
      </w:r>
      <w:r w:rsidR="00F6492C">
        <w:rPr>
          <w:rStyle w:val="Appelnotedebasdep"/>
          <w:i/>
        </w:rPr>
        <w:footnoteReference w:id="498"/>
      </w:r>
      <w:r w:rsidR="00F6492C" w:rsidRPr="000A34B5">
        <w:rPr>
          <w:rStyle w:val="italicus"/>
        </w:rPr>
        <w:t>,</w:t>
      </w:r>
      <w:r w:rsidRPr="002C4077">
        <w:t xml:space="preserve"> </w:t>
      </w:r>
      <w:r>
        <w:t>des</w:t>
      </w:r>
      <w:r w:rsidRPr="002C4077">
        <w:t xml:space="preserve"> </w:t>
      </w:r>
      <w:r w:rsidRPr="000A34B5">
        <w:rPr>
          <w:rStyle w:val="italicus"/>
        </w:rPr>
        <w:t>Instructions</w:t>
      </w:r>
      <w:r w:rsidRPr="002C4077">
        <w:t xml:space="preserve"> </w:t>
      </w:r>
      <w:r w:rsidRPr="000A34B5">
        <w:rPr>
          <w:rStyle w:val="italicus"/>
        </w:rPr>
        <w:t>sur</w:t>
      </w:r>
      <w:r w:rsidRPr="002C4077">
        <w:t xml:space="preserve"> </w:t>
      </w:r>
      <w:r w:rsidRPr="000A34B5">
        <w:rPr>
          <w:rStyle w:val="italicus"/>
        </w:rPr>
        <w:t>la</w:t>
      </w:r>
      <w:r w:rsidRPr="002C4077">
        <w:t xml:space="preserve"> </w:t>
      </w:r>
      <w:r w:rsidRPr="000A34B5">
        <w:rPr>
          <w:rStyle w:val="italicus"/>
        </w:rPr>
        <w:t>version</w:t>
      </w:r>
      <w:r w:rsidRPr="002C4077">
        <w:t xml:space="preserve"> </w:t>
      </w:r>
      <w:r w:rsidRPr="000A34B5">
        <w:rPr>
          <w:rStyle w:val="italicus"/>
        </w:rPr>
        <w:t>du</w:t>
      </w:r>
      <w:r w:rsidRPr="002C4077">
        <w:t xml:space="preserve"> </w:t>
      </w:r>
      <w:r w:rsidRPr="000A34B5">
        <w:rPr>
          <w:rStyle w:val="italicus"/>
        </w:rPr>
        <w:t>Nou</w:t>
      </w:r>
      <w:r w:rsidR="00514F08">
        <w:rPr>
          <w:rStyle w:val="italicus"/>
        </w:rPr>
        <w:t>veau</w:t>
      </w:r>
      <w:r w:rsidR="00514F08" w:rsidRPr="002C4077">
        <w:t xml:space="preserve"> </w:t>
      </w:r>
      <w:r w:rsidR="00514F08">
        <w:rPr>
          <w:rStyle w:val="italicus"/>
        </w:rPr>
        <w:t>Testament</w:t>
      </w:r>
      <w:r w:rsidR="00514F08" w:rsidRPr="002C4077">
        <w:t xml:space="preserve"> </w:t>
      </w:r>
      <w:r w:rsidR="00514F08">
        <w:rPr>
          <w:rStyle w:val="italicus"/>
        </w:rPr>
        <w:t>de</w:t>
      </w:r>
      <w:r w:rsidR="00514F08" w:rsidRPr="002C4077">
        <w:t xml:space="preserve"> </w:t>
      </w:r>
      <w:r w:rsidR="00514F08">
        <w:rPr>
          <w:rStyle w:val="italicus"/>
        </w:rPr>
        <w:t>Richard</w:t>
      </w:r>
      <w:r w:rsidR="00514F08" w:rsidRPr="002C4077">
        <w:t xml:space="preserve"> </w:t>
      </w:r>
      <w:r w:rsidR="00514F08">
        <w:rPr>
          <w:rStyle w:val="italicus"/>
        </w:rPr>
        <w:t>Simon</w:t>
      </w:r>
      <w:r w:rsidR="00514F08">
        <w:rPr>
          <w:rStyle w:val="Appelnotedebasdep"/>
          <w:i/>
        </w:rPr>
        <w:footnoteReference w:id="499"/>
      </w:r>
      <w:r w:rsidRPr="000A34B5">
        <w:rPr>
          <w:rStyle w:val="italicus"/>
        </w:rPr>
        <w:t>,</w:t>
      </w:r>
      <w:r w:rsidRPr="002C4077">
        <w:t xml:space="preserve"> </w:t>
      </w:r>
      <w:r>
        <w:t>une</w:t>
      </w:r>
      <w:r w:rsidRPr="002C4077">
        <w:t xml:space="preserve"> </w:t>
      </w:r>
      <w:r w:rsidRPr="000A34B5">
        <w:rPr>
          <w:rStyle w:val="italicus"/>
        </w:rPr>
        <w:t>Défense</w:t>
      </w:r>
      <w:r w:rsidRPr="002C4077">
        <w:t xml:space="preserve"> </w:t>
      </w:r>
      <w:r w:rsidRPr="000A34B5">
        <w:rPr>
          <w:rStyle w:val="italicus"/>
        </w:rPr>
        <w:t>de</w:t>
      </w:r>
      <w:r w:rsidRPr="002C4077">
        <w:t xml:space="preserve"> </w:t>
      </w:r>
      <w:r w:rsidRPr="000A34B5">
        <w:rPr>
          <w:rStyle w:val="italicus"/>
        </w:rPr>
        <w:t>la</w:t>
      </w:r>
      <w:r w:rsidRPr="002C4077">
        <w:t xml:space="preserve"> </w:t>
      </w:r>
      <w:r w:rsidRPr="000A34B5">
        <w:rPr>
          <w:rStyle w:val="italicus"/>
        </w:rPr>
        <w:t>tradition</w:t>
      </w:r>
      <w:r w:rsidRPr="002C4077">
        <w:t xml:space="preserve"> </w:t>
      </w:r>
      <w:r w:rsidRPr="000A34B5">
        <w:rPr>
          <w:rStyle w:val="italicus"/>
        </w:rPr>
        <w:t>et</w:t>
      </w:r>
      <w:r w:rsidRPr="002C4077">
        <w:t xml:space="preserve"> </w:t>
      </w:r>
      <w:r w:rsidRPr="000A34B5">
        <w:rPr>
          <w:rStyle w:val="italicus"/>
        </w:rPr>
        <w:t>des</w:t>
      </w:r>
      <w:r w:rsidRPr="002C4077">
        <w:t xml:space="preserve"> </w:t>
      </w:r>
      <w:r w:rsidRPr="000A34B5">
        <w:rPr>
          <w:rStyle w:val="italicus"/>
        </w:rPr>
        <w:t>Saints</w:t>
      </w:r>
      <w:r w:rsidRPr="002C4077">
        <w:t xml:space="preserve"> </w:t>
      </w:r>
      <w:r w:rsidRPr="000A34B5">
        <w:rPr>
          <w:rStyle w:val="italicus"/>
        </w:rPr>
        <w:t>Pèr</w:t>
      </w:r>
      <w:r w:rsidR="00F6492C" w:rsidRPr="000A34B5">
        <w:rPr>
          <w:rStyle w:val="italicus"/>
        </w:rPr>
        <w:t>es</w:t>
      </w:r>
      <w:r w:rsidR="00F6492C">
        <w:rPr>
          <w:rStyle w:val="Appelnotedebasdep"/>
          <w:i/>
        </w:rPr>
        <w:footnoteReference w:id="500"/>
      </w:r>
      <w:r w:rsidR="00F6492C" w:rsidRPr="000A34B5">
        <w:rPr>
          <w:rStyle w:val="italicus"/>
        </w:rPr>
        <w:t>,</w:t>
      </w:r>
      <w:r w:rsidRPr="002C4077">
        <w:t xml:space="preserve"> </w:t>
      </w:r>
      <w:r>
        <w:t>lettres</w:t>
      </w:r>
      <w:r w:rsidRPr="002C4077">
        <w:t xml:space="preserve"> </w:t>
      </w:r>
      <w:r>
        <w:t>et</w:t>
      </w:r>
      <w:r w:rsidRPr="002C4077">
        <w:t xml:space="preserve"> </w:t>
      </w:r>
      <w:r>
        <w:t>instructions,</w:t>
      </w:r>
      <w:r w:rsidRPr="002C4077">
        <w:t xml:space="preserve"> </w:t>
      </w:r>
      <w:r>
        <w:t>où</w:t>
      </w:r>
      <w:r w:rsidRPr="002C4077">
        <w:t xml:space="preserve"> </w:t>
      </w:r>
      <w:r>
        <w:t>prenant</w:t>
      </w:r>
      <w:r w:rsidRPr="002C4077">
        <w:t xml:space="preserve"> </w:t>
      </w:r>
      <w:r>
        <w:t>à</w:t>
      </w:r>
      <w:r w:rsidRPr="002C4077">
        <w:t xml:space="preserve"> </w:t>
      </w:r>
      <w:r>
        <w:t>parti</w:t>
      </w:r>
      <w:r w:rsidRPr="002C4077">
        <w:t xml:space="preserve"> </w:t>
      </w:r>
      <w:r>
        <w:t>le</w:t>
      </w:r>
      <w:r w:rsidRPr="002C4077">
        <w:t xml:space="preserve"> </w:t>
      </w:r>
      <w:r w:rsidR="00B546AF">
        <w:t>« </w:t>
      </w:r>
      <w:r>
        <w:t>fondateur</w:t>
      </w:r>
      <w:r w:rsidRPr="002C4077">
        <w:t xml:space="preserve"> </w:t>
      </w:r>
      <w:r>
        <w:t>de</w:t>
      </w:r>
      <w:r w:rsidRPr="002C4077">
        <w:t xml:space="preserve"> </w:t>
      </w:r>
      <w:r>
        <w:t>la</w:t>
      </w:r>
      <w:r w:rsidRPr="002C4077">
        <w:t xml:space="preserve"> </w:t>
      </w:r>
      <w:r>
        <w:t>science</w:t>
      </w:r>
      <w:r w:rsidRPr="002C4077">
        <w:t xml:space="preserve"> </w:t>
      </w:r>
      <w:r>
        <w:t>biblique</w:t>
      </w:r>
      <w:r w:rsidR="00B546AF">
        <w:t> »</w:t>
      </w:r>
      <w:r>
        <w:t>,</w:t>
      </w:r>
      <w:r w:rsidRPr="002C4077">
        <w:t xml:space="preserve"> </w:t>
      </w:r>
      <w:r>
        <w:t>il</w:t>
      </w:r>
      <w:r w:rsidRPr="002C4077">
        <w:t xml:space="preserve"> </w:t>
      </w:r>
      <w:r>
        <w:t>l’accuse</w:t>
      </w:r>
      <w:r w:rsidRPr="002C4077">
        <w:t xml:space="preserve"> </w:t>
      </w:r>
      <w:r>
        <w:t>d’affaiblir</w:t>
      </w:r>
      <w:r w:rsidRPr="002C4077">
        <w:t xml:space="preserve"> </w:t>
      </w:r>
      <w:r>
        <w:t>en</w:t>
      </w:r>
      <w:r w:rsidRPr="002C4077">
        <w:t xml:space="preserve"> </w:t>
      </w:r>
      <w:r>
        <w:t>plus</w:t>
      </w:r>
      <w:r w:rsidRPr="002C4077">
        <w:t xml:space="preserve"> </w:t>
      </w:r>
      <w:r>
        <w:t>d’un</w:t>
      </w:r>
      <w:r w:rsidRPr="002C4077">
        <w:t xml:space="preserve"> </w:t>
      </w:r>
      <w:r>
        <w:t>endroit</w:t>
      </w:r>
      <w:r w:rsidRPr="002C4077">
        <w:t xml:space="preserve"> </w:t>
      </w:r>
      <w:r>
        <w:t>le</w:t>
      </w:r>
      <w:r w:rsidRPr="002C4077">
        <w:t xml:space="preserve"> </w:t>
      </w:r>
      <w:r>
        <w:t>sens</w:t>
      </w:r>
      <w:r w:rsidRPr="002C4077">
        <w:t xml:space="preserve"> </w:t>
      </w:r>
      <w:r>
        <w:t>de</w:t>
      </w:r>
      <w:r w:rsidRPr="002C4077">
        <w:t xml:space="preserve"> </w:t>
      </w:r>
      <w:r>
        <w:t>textes</w:t>
      </w:r>
      <w:r w:rsidRPr="002C4077">
        <w:t xml:space="preserve"> </w:t>
      </w:r>
      <w:r>
        <w:t>importants</w:t>
      </w:r>
      <w:r w:rsidR="00B546AF">
        <w:t> ;</w:t>
      </w:r>
      <w:r w:rsidRPr="002C4077">
        <w:t xml:space="preserve"> </w:t>
      </w:r>
      <w:r>
        <w:t>lettres</w:t>
      </w:r>
      <w:r w:rsidRPr="002C4077">
        <w:t xml:space="preserve"> </w:t>
      </w:r>
      <w:r>
        <w:t>et</w:t>
      </w:r>
      <w:r w:rsidRPr="002C4077">
        <w:t xml:space="preserve"> </w:t>
      </w:r>
      <w:r>
        <w:t>instructions</w:t>
      </w:r>
      <w:r w:rsidRPr="002C4077">
        <w:t xml:space="preserve"> </w:t>
      </w:r>
      <w:r>
        <w:t>dans</w:t>
      </w:r>
      <w:r w:rsidRPr="002C4077">
        <w:t xml:space="preserve"> </w:t>
      </w:r>
      <w:r>
        <w:t>lesquelles</w:t>
      </w:r>
      <w:r w:rsidRPr="002C4077">
        <w:t xml:space="preserve"> </w:t>
      </w:r>
      <w:r>
        <w:t>il</w:t>
      </w:r>
      <w:r w:rsidRPr="002C4077">
        <w:t xml:space="preserve"> </w:t>
      </w:r>
      <w:r>
        <w:t>ne</w:t>
      </w:r>
      <w:r w:rsidRPr="002C4077">
        <w:t xml:space="preserve"> </w:t>
      </w:r>
      <w:r>
        <w:t>craint</w:t>
      </w:r>
      <w:r w:rsidRPr="002C4077">
        <w:t xml:space="preserve"> </w:t>
      </w:r>
      <w:r>
        <w:t>pas</w:t>
      </w:r>
      <w:r w:rsidRPr="002C4077">
        <w:t xml:space="preserve"> </w:t>
      </w:r>
      <w:r>
        <w:t>d’affirmer</w:t>
      </w:r>
      <w:r w:rsidRPr="002C4077">
        <w:t xml:space="preserve"> </w:t>
      </w:r>
      <w:r>
        <w:t>que</w:t>
      </w:r>
      <w:r w:rsidRPr="002C4077">
        <w:t xml:space="preserve"> </w:t>
      </w:r>
      <w:r>
        <w:t>la</w:t>
      </w:r>
      <w:r w:rsidRPr="002C4077">
        <w:t xml:space="preserve"> </w:t>
      </w:r>
      <w:r>
        <w:t>connaissance</w:t>
      </w:r>
      <w:r w:rsidRPr="002C4077">
        <w:t xml:space="preserve"> </w:t>
      </w:r>
      <w:r>
        <w:t>du</w:t>
      </w:r>
      <w:r w:rsidRPr="002C4077">
        <w:t xml:space="preserve"> </w:t>
      </w:r>
      <w:r>
        <w:t>grec</w:t>
      </w:r>
      <w:r w:rsidRPr="002C4077">
        <w:t xml:space="preserve"> </w:t>
      </w:r>
      <w:r>
        <w:t>et</w:t>
      </w:r>
      <w:r w:rsidRPr="002C4077">
        <w:t xml:space="preserve"> </w:t>
      </w:r>
      <w:r>
        <w:t>du</w:t>
      </w:r>
      <w:r w:rsidRPr="002C4077">
        <w:t xml:space="preserve"> </w:t>
      </w:r>
      <w:r>
        <w:t>latin</w:t>
      </w:r>
      <w:r w:rsidRPr="002C4077">
        <w:t xml:space="preserve"> </w:t>
      </w:r>
      <w:r>
        <w:t>ne</w:t>
      </w:r>
      <w:r w:rsidRPr="002C4077">
        <w:t xml:space="preserve"> </w:t>
      </w:r>
      <w:r>
        <w:t>suffit</w:t>
      </w:r>
      <w:r w:rsidRPr="002C4077">
        <w:t xml:space="preserve"> </w:t>
      </w:r>
      <w:r>
        <w:t>pas,</w:t>
      </w:r>
      <w:r w:rsidRPr="002C4077">
        <w:t xml:space="preserve"> </w:t>
      </w:r>
      <w:r>
        <w:t>à</w:t>
      </w:r>
      <w:r w:rsidRPr="002C4077">
        <w:t xml:space="preserve"> </w:t>
      </w:r>
      <w:r>
        <w:t>elle</w:t>
      </w:r>
      <w:r w:rsidRPr="002C4077">
        <w:t xml:space="preserve"> </w:t>
      </w:r>
      <w:r>
        <w:t>seule</w:t>
      </w:r>
      <w:r w:rsidRPr="002C4077">
        <w:t xml:space="preserve"> </w:t>
      </w:r>
      <w:r>
        <w:t>et</w:t>
      </w:r>
      <w:r w:rsidRPr="002C4077">
        <w:t xml:space="preserve"> </w:t>
      </w:r>
      <w:r>
        <w:t>indépendamment</w:t>
      </w:r>
      <w:r w:rsidRPr="002C4077">
        <w:t xml:space="preserve"> </w:t>
      </w:r>
      <w:r>
        <w:t>de</w:t>
      </w:r>
      <w:r w:rsidRPr="002C4077">
        <w:t xml:space="preserve"> </w:t>
      </w:r>
      <w:r>
        <w:t>la</w:t>
      </w:r>
      <w:r w:rsidRPr="002C4077">
        <w:t xml:space="preserve"> </w:t>
      </w:r>
      <w:r>
        <w:t>tradition,</w:t>
      </w:r>
      <w:r w:rsidRPr="002C4077">
        <w:t xml:space="preserve"> </w:t>
      </w:r>
      <w:r>
        <w:t>pour</w:t>
      </w:r>
      <w:r w:rsidRPr="002C4077">
        <w:t xml:space="preserve"> </w:t>
      </w:r>
      <w:r>
        <w:t>fixer</w:t>
      </w:r>
      <w:r w:rsidRPr="002C4077">
        <w:t xml:space="preserve"> </w:t>
      </w:r>
      <w:r>
        <w:t>la</w:t>
      </w:r>
      <w:r w:rsidRPr="002C4077">
        <w:t xml:space="preserve"> </w:t>
      </w:r>
      <w:r>
        <w:t>vraie</w:t>
      </w:r>
      <w:r w:rsidRPr="002C4077">
        <w:t xml:space="preserve"> </w:t>
      </w:r>
      <w:r>
        <w:t>signification</w:t>
      </w:r>
      <w:r w:rsidRPr="002C4077">
        <w:t xml:space="preserve"> </w:t>
      </w:r>
      <w:r>
        <w:t>des</w:t>
      </w:r>
      <w:r w:rsidRPr="002C4077">
        <w:t xml:space="preserve"> </w:t>
      </w:r>
      <w:r>
        <w:t>Écritures.</w:t>
      </w:r>
      <w:r w:rsidRPr="002C4077">
        <w:t xml:space="preserve"> </w:t>
      </w:r>
      <w:r w:rsidRPr="000A34B5">
        <w:rPr>
          <w:rStyle w:val="italicus"/>
        </w:rPr>
        <w:t>Inde</w:t>
      </w:r>
      <w:r w:rsidRPr="002C4077">
        <w:t xml:space="preserve"> </w:t>
      </w:r>
      <w:r w:rsidRPr="000A34B5">
        <w:rPr>
          <w:rStyle w:val="italicus"/>
        </w:rPr>
        <w:t>ir</w:t>
      </w:r>
      <w:r w:rsidR="00514F08">
        <w:rPr>
          <w:rStyle w:val="italicus"/>
        </w:rPr>
        <w:t>æ</w:t>
      </w:r>
      <w:r w:rsidRPr="000A34B5">
        <w:rPr>
          <w:rStyle w:val="italicus"/>
        </w:rPr>
        <w:t>.</w:t>
      </w:r>
      <w:r w:rsidRPr="002C4077">
        <w:t xml:space="preserve"> </w:t>
      </w:r>
      <w:r>
        <w:t>Donc</w:t>
      </w:r>
      <w:r w:rsidRPr="002C4077">
        <w:t xml:space="preserve"> </w:t>
      </w:r>
      <w:r>
        <w:t>les</w:t>
      </w:r>
      <w:r w:rsidRPr="002C4077">
        <w:t xml:space="preserve"> </w:t>
      </w:r>
      <w:r>
        <w:t>études</w:t>
      </w:r>
      <w:r w:rsidRPr="002C4077">
        <w:t xml:space="preserve"> </w:t>
      </w:r>
      <w:r>
        <w:t>bibliques</w:t>
      </w:r>
      <w:r w:rsidRPr="002C4077">
        <w:t xml:space="preserve"> </w:t>
      </w:r>
      <w:r>
        <w:t>ont</w:t>
      </w:r>
      <w:r w:rsidRPr="002C4077">
        <w:t xml:space="preserve"> </w:t>
      </w:r>
      <w:r>
        <w:t>été</w:t>
      </w:r>
      <w:r w:rsidRPr="002C4077">
        <w:t xml:space="preserve"> </w:t>
      </w:r>
      <w:r w:rsidRPr="000A34B5">
        <w:rPr>
          <w:rStyle w:val="italicus"/>
        </w:rPr>
        <w:t>déracinées</w:t>
      </w:r>
      <w:r w:rsidRPr="002C4077">
        <w:t xml:space="preserve"> </w:t>
      </w:r>
      <w:r w:rsidRPr="000A34B5">
        <w:rPr>
          <w:rStyle w:val="italicus"/>
        </w:rPr>
        <w:t>et</w:t>
      </w:r>
      <w:r w:rsidRPr="002C4077">
        <w:t xml:space="preserve"> </w:t>
      </w:r>
      <w:r w:rsidRPr="000A34B5">
        <w:rPr>
          <w:rStyle w:val="italicus"/>
        </w:rPr>
        <w:t>jetées</w:t>
      </w:r>
      <w:r w:rsidRPr="002C4077">
        <w:t xml:space="preserve"> </w:t>
      </w:r>
      <w:r w:rsidRPr="000A34B5">
        <w:rPr>
          <w:rStyle w:val="italicus"/>
        </w:rPr>
        <w:t>au</w:t>
      </w:r>
      <w:r w:rsidRPr="002C4077">
        <w:t xml:space="preserve"> </w:t>
      </w:r>
      <w:r w:rsidRPr="000A34B5">
        <w:rPr>
          <w:rStyle w:val="italicus"/>
        </w:rPr>
        <w:t>vent</w:t>
      </w:r>
      <w:r w:rsidRPr="002C4077">
        <w:t xml:space="preserve"> </w:t>
      </w:r>
      <w:r w:rsidRPr="000A34B5">
        <w:rPr>
          <w:rStyle w:val="italicus"/>
        </w:rPr>
        <w:t>par</w:t>
      </w:r>
      <w:r w:rsidRPr="002C4077">
        <w:t xml:space="preserve"> </w:t>
      </w:r>
      <w:r w:rsidRPr="000A34B5">
        <w:rPr>
          <w:rStyle w:val="italicus"/>
        </w:rPr>
        <w:t>Bossuet.</w:t>
      </w:r>
      <w:r w:rsidRPr="002C4077">
        <w:t xml:space="preserve"> </w:t>
      </w:r>
    </w:p>
    <w:p w:rsidR="000A7AAB" w:rsidRDefault="000A7AAB" w:rsidP="000A7AAB">
      <w:r>
        <w:t>Disons</w:t>
      </w:r>
      <w:r w:rsidRPr="002C4077">
        <w:t xml:space="preserve"> </w:t>
      </w:r>
      <w:r>
        <w:t>franchement</w:t>
      </w:r>
      <w:r w:rsidRPr="002C4077">
        <w:t xml:space="preserve"> </w:t>
      </w:r>
      <w:r>
        <w:t>notre</w:t>
      </w:r>
      <w:r w:rsidRPr="002C4077">
        <w:t xml:space="preserve"> </w:t>
      </w:r>
      <w:r>
        <w:t>pensée.</w:t>
      </w:r>
      <w:r w:rsidRPr="002C4077">
        <w:t xml:space="preserve"> </w:t>
      </w:r>
      <w:r>
        <w:t>Nous</w:t>
      </w:r>
      <w:r w:rsidRPr="002C4077">
        <w:t xml:space="preserve"> </w:t>
      </w:r>
      <w:r>
        <w:t>voudrions</w:t>
      </w:r>
      <w:r w:rsidRPr="002C4077">
        <w:t xml:space="preserve"> </w:t>
      </w:r>
      <w:r>
        <w:t>que</w:t>
      </w:r>
      <w:r w:rsidRPr="002C4077">
        <w:t xml:space="preserve"> </w:t>
      </w:r>
      <w:r>
        <w:t>Bossuet</w:t>
      </w:r>
      <w:r w:rsidRPr="002C4077">
        <w:t xml:space="preserve"> </w:t>
      </w:r>
      <w:r>
        <w:t>eût</w:t>
      </w:r>
      <w:r w:rsidRPr="002C4077">
        <w:t xml:space="preserve"> </w:t>
      </w:r>
      <w:r>
        <w:t>pratiqué</w:t>
      </w:r>
      <w:r w:rsidRPr="002C4077">
        <w:t xml:space="preserve"> </w:t>
      </w:r>
      <w:r>
        <w:t>davantage</w:t>
      </w:r>
      <w:r w:rsidRPr="002C4077">
        <w:t xml:space="preserve"> </w:t>
      </w:r>
      <w:r>
        <w:t>le</w:t>
      </w:r>
      <w:r w:rsidRPr="002C4077">
        <w:t xml:space="preserve"> </w:t>
      </w:r>
      <w:r w:rsidR="00514F08" w:rsidRPr="000A34B5">
        <w:rPr>
          <w:rStyle w:val="italicus"/>
        </w:rPr>
        <w:t>Suáviter</w:t>
      </w:r>
      <w:r w:rsidRPr="002C4077">
        <w:t xml:space="preserve"> </w:t>
      </w:r>
      <w:r w:rsidRPr="000A34B5">
        <w:rPr>
          <w:rStyle w:val="italicus"/>
        </w:rPr>
        <w:t>in</w:t>
      </w:r>
      <w:r w:rsidRPr="002C4077">
        <w:t xml:space="preserve"> </w:t>
      </w:r>
      <w:r w:rsidRPr="000A34B5">
        <w:rPr>
          <w:rStyle w:val="italicus"/>
        </w:rPr>
        <w:t>modo</w:t>
      </w:r>
      <w:r w:rsidRPr="002C4077">
        <w:t xml:space="preserve"> </w:t>
      </w:r>
      <w:r>
        <w:t>dans</w:t>
      </w:r>
      <w:r w:rsidRPr="002C4077">
        <w:t xml:space="preserve"> </w:t>
      </w:r>
      <w:r>
        <w:t>ces</w:t>
      </w:r>
      <w:r w:rsidRPr="002C4077">
        <w:t xml:space="preserve"> </w:t>
      </w:r>
      <w:r>
        <w:t>instructions</w:t>
      </w:r>
      <w:r w:rsidRPr="002C4077">
        <w:t xml:space="preserve"> </w:t>
      </w:r>
      <w:r>
        <w:t>célèbres.</w:t>
      </w:r>
      <w:r w:rsidRPr="002C4077">
        <w:t xml:space="preserve"> </w:t>
      </w:r>
      <w:r>
        <w:t>Nous</w:t>
      </w:r>
      <w:r w:rsidRPr="002C4077">
        <w:t xml:space="preserve"> </w:t>
      </w:r>
      <w:r>
        <w:t>croyons</w:t>
      </w:r>
      <w:r w:rsidRPr="002C4077">
        <w:t xml:space="preserve"> </w:t>
      </w:r>
      <w:r>
        <w:t>aussi</w:t>
      </w:r>
      <w:r w:rsidRPr="002C4077">
        <w:t xml:space="preserve"> </w:t>
      </w:r>
      <w:r>
        <w:t>que</w:t>
      </w:r>
      <w:r w:rsidRPr="002C4077">
        <w:t xml:space="preserve"> </w:t>
      </w:r>
      <w:r>
        <w:t>plusieurs</w:t>
      </w:r>
      <w:r w:rsidRPr="002C4077">
        <w:t xml:space="preserve"> </w:t>
      </w:r>
      <w:r>
        <w:t>des</w:t>
      </w:r>
      <w:r w:rsidRPr="002C4077">
        <w:t xml:space="preserve"> </w:t>
      </w:r>
      <w:r>
        <w:t>points</w:t>
      </w:r>
      <w:r w:rsidRPr="002C4077">
        <w:t xml:space="preserve"> </w:t>
      </w:r>
      <w:r>
        <w:t>qu’il</w:t>
      </w:r>
      <w:r w:rsidRPr="002C4077">
        <w:t xml:space="preserve"> </w:t>
      </w:r>
      <w:r>
        <w:t>attaque</w:t>
      </w:r>
      <w:r w:rsidRPr="002C4077">
        <w:t xml:space="preserve"> </w:t>
      </w:r>
      <w:r>
        <w:t>sont</w:t>
      </w:r>
      <w:r w:rsidRPr="002C4077">
        <w:t xml:space="preserve"> </w:t>
      </w:r>
      <w:r>
        <w:t>soutenables.</w:t>
      </w:r>
      <w:r w:rsidRPr="002C4077">
        <w:t xml:space="preserve"> </w:t>
      </w:r>
      <w:r>
        <w:t>Mais,</w:t>
      </w:r>
      <w:r w:rsidRPr="002C4077">
        <w:t xml:space="preserve"> </w:t>
      </w:r>
      <w:r>
        <w:t>dans</w:t>
      </w:r>
      <w:r w:rsidRPr="002C4077">
        <w:t xml:space="preserve"> </w:t>
      </w:r>
      <w:r>
        <w:t>tous</w:t>
      </w:r>
      <w:r w:rsidRPr="002C4077">
        <w:t xml:space="preserve"> </w:t>
      </w:r>
      <w:r>
        <w:t>les</w:t>
      </w:r>
      <w:r w:rsidRPr="002C4077">
        <w:t xml:space="preserve"> </w:t>
      </w:r>
      <w:r>
        <w:t>détails</w:t>
      </w:r>
      <w:r w:rsidRPr="002C4077">
        <w:t xml:space="preserve"> </w:t>
      </w:r>
      <w:r>
        <w:t>minutieux</w:t>
      </w:r>
      <w:r w:rsidRPr="002C4077">
        <w:t xml:space="preserve"> </w:t>
      </w:r>
      <w:r>
        <w:t>à</w:t>
      </w:r>
      <w:r w:rsidRPr="002C4077">
        <w:t xml:space="preserve"> </w:t>
      </w:r>
      <w:r>
        <w:t>travers</w:t>
      </w:r>
      <w:r w:rsidRPr="002C4077">
        <w:t xml:space="preserve"> </w:t>
      </w:r>
      <w:r>
        <w:t>lesquels</w:t>
      </w:r>
      <w:r w:rsidRPr="002C4077">
        <w:t xml:space="preserve"> </w:t>
      </w:r>
      <w:r>
        <w:t>il</w:t>
      </w:r>
      <w:r w:rsidRPr="002C4077">
        <w:t xml:space="preserve"> </w:t>
      </w:r>
      <w:r>
        <w:t>suit</w:t>
      </w:r>
      <w:r w:rsidRPr="002C4077">
        <w:t xml:space="preserve"> </w:t>
      </w:r>
      <w:r>
        <w:t>le</w:t>
      </w:r>
      <w:r w:rsidRPr="002C4077">
        <w:t xml:space="preserve"> </w:t>
      </w:r>
      <w:r>
        <w:t>traducteur</w:t>
      </w:r>
      <w:r w:rsidRPr="002C4077">
        <w:t xml:space="preserve"> </w:t>
      </w:r>
      <w:r>
        <w:t>du</w:t>
      </w:r>
      <w:r w:rsidRPr="002C4077">
        <w:t xml:space="preserve"> </w:t>
      </w:r>
      <w:r>
        <w:t>Nouveau</w:t>
      </w:r>
      <w:r w:rsidRPr="002C4077">
        <w:t xml:space="preserve"> </w:t>
      </w:r>
      <w:r>
        <w:t>Testament,</w:t>
      </w:r>
      <w:r w:rsidRPr="002C4077">
        <w:t xml:space="preserve"> </w:t>
      </w:r>
      <w:r>
        <w:t>de</w:t>
      </w:r>
      <w:r w:rsidRPr="002C4077">
        <w:t xml:space="preserve"> </w:t>
      </w:r>
      <w:r>
        <w:t>quel</w:t>
      </w:r>
      <w:r w:rsidRPr="002C4077">
        <w:t xml:space="preserve"> </w:t>
      </w:r>
      <w:r>
        <w:t>riche</w:t>
      </w:r>
      <w:r w:rsidRPr="002C4077">
        <w:t xml:space="preserve"> </w:t>
      </w:r>
      <w:r>
        <w:t>savoir</w:t>
      </w:r>
      <w:r w:rsidRPr="002C4077">
        <w:t xml:space="preserve"> </w:t>
      </w:r>
      <w:r>
        <w:t>il</w:t>
      </w:r>
      <w:r w:rsidRPr="002C4077">
        <w:t xml:space="preserve"> </w:t>
      </w:r>
      <w:r>
        <w:t>fait</w:t>
      </w:r>
      <w:r w:rsidRPr="002C4077">
        <w:t xml:space="preserve"> </w:t>
      </w:r>
      <w:r>
        <w:t>preuve</w:t>
      </w:r>
      <w:r w:rsidRPr="002C4077">
        <w:t xml:space="preserve"> </w:t>
      </w:r>
      <w:r>
        <w:t>à</w:t>
      </w:r>
      <w:r w:rsidRPr="002C4077">
        <w:t xml:space="preserve"> </w:t>
      </w:r>
      <w:r>
        <w:t>chaque</w:t>
      </w:r>
      <w:r w:rsidRPr="002C4077">
        <w:t xml:space="preserve"> </w:t>
      </w:r>
      <w:r>
        <w:t>pas</w:t>
      </w:r>
      <w:r w:rsidR="00514F08">
        <w:t> !</w:t>
      </w:r>
      <w:r w:rsidRPr="002C4077">
        <w:t xml:space="preserve"> </w:t>
      </w:r>
      <w:r>
        <w:t>Son</w:t>
      </w:r>
      <w:r w:rsidRPr="002C4077">
        <w:t xml:space="preserve"> </w:t>
      </w:r>
      <w:r>
        <w:t>coup</w:t>
      </w:r>
      <w:r w:rsidRPr="002C4077">
        <w:t xml:space="preserve"> </w:t>
      </w:r>
      <w:r>
        <w:t>d’œil</w:t>
      </w:r>
      <w:r w:rsidRPr="002C4077">
        <w:t xml:space="preserve"> </w:t>
      </w:r>
      <w:r w:rsidR="00425C50">
        <w:t>est</w:t>
      </w:r>
      <w:r w:rsidRPr="002C4077">
        <w:t xml:space="preserve"> </w:t>
      </w:r>
      <w:r w:rsidR="003B53FD">
        <w:t>celui</w:t>
      </w:r>
      <w:r w:rsidRPr="002C4077">
        <w:t xml:space="preserve"> </w:t>
      </w:r>
      <w:r>
        <w:t>d’un</w:t>
      </w:r>
      <w:r w:rsidRPr="002C4077">
        <w:t xml:space="preserve"> </w:t>
      </w:r>
      <w:r>
        <w:t>profond</w:t>
      </w:r>
      <w:r w:rsidRPr="002C4077">
        <w:t xml:space="preserve"> </w:t>
      </w:r>
      <w:r w:rsidRPr="000A34B5">
        <w:rPr>
          <w:rStyle w:val="italicus"/>
        </w:rPr>
        <w:t>critique,</w:t>
      </w:r>
      <w:r w:rsidRPr="002C4077">
        <w:t xml:space="preserve"> </w:t>
      </w:r>
      <w:r>
        <w:t>et</w:t>
      </w:r>
      <w:r w:rsidRPr="002C4077">
        <w:t xml:space="preserve"> </w:t>
      </w:r>
      <w:r>
        <w:t>plût</w:t>
      </w:r>
      <w:r w:rsidRPr="002C4077">
        <w:t xml:space="preserve"> </w:t>
      </w:r>
      <w:r>
        <w:t>à</w:t>
      </w:r>
      <w:r w:rsidRPr="002C4077">
        <w:t xml:space="preserve"> </w:t>
      </w:r>
      <w:r>
        <w:t>Dieu</w:t>
      </w:r>
      <w:r w:rsidRPr="002C4077">
        <w:t xml:space="preserve"> </w:t>
      </w:r>
      <w:r>
        <w:t>que</w:t>
      </w:r>
      <w:r w:rsidRPr="002C4077">
        <w:t xml:space="preserve"> </w:t>
      </w:r>
      <w:r>
        <w:t>ceux</w:t>
      </w:r>
      <w:r w:rsidRPr="002C4077">
        <w:t xml:space="preserve"> </w:t>
      </w:r>
      <w:r>
        <w:t>qui</w:t>
      </w:r>
      <w:r w:rsidRPr="002C4077">
        <w:t xml:space="preserve"> </w:t>
      </w:r>
      <w:r>
        <w:t>s’arrogent</w:t>
      </w:r>
      <w:r w:rsidRPr="002C4077">
        <w:t xml:space="preserve"> </w:t>
      </w:r>
      <w:r>
        <w:t>aujourd’hui</w:t>
      </w:r>
      <w:r w:rsidRPr="002C4077">
        <w:t xml:space="preserve"> </w:t>
      </w:r>
      <w:r>
        <w:t>ce</w:t>
      </w:r>
      <w:r w:rsidRPr="002C4077">
        <w:t xml:space="preserve"> </w:t>
      </w:r>
      <w:r>
        <w:t>titre</w:t>
      </w:r>
      <w:r w:rsidRPr="002C4077">
        <w:t xml:space="preserve"> </w:t>
      </w:r>
      <w:r>
        <w:t>eussent</w:t>
      </w:r>
      <w:r w:rsidRPr="002C4077">
        <w:t xml:space="preserve"> </w:t>
      </w:r>
      <w:r>
        <w:t>au</w:t>
      </w:r>
      <w:r w:rsidRPr="002C4077">
        <w:t xml:space="preserve"> </w:t>
      </w:r>
      <w:r>
        <w:t>moins</w:t>
      </w:r>
      <w:r w:rsidRPr="002C4077">
        <w:t xml:space="preserve"> </w:t>
      </w:r>
      <w:r>
        <w:t>une</w:t>
      </w:r>
      <w:r w:rsidRPr="002C4077">
        <w:t xml:space="preserve"> </w:t>
      </w:r>
      <w:r>
        <w:t>petite</w:t>
      </w:r>
      <w:r w:rsidRPr="002C4077">
        <w:t xml:space="preserve"> </w:t>
      </w:r>
      <w:r>
        <w:t>partie</w:t>
      </w:r>
      <w:r w:rsidRPr="002C4077">
        <w:t xml:space="preserve"> </w:t>
      </w:r>
      <w:r>
        <w:t>de</w:t>
      </w:r>
      <w:r w:rsidRPr="002C4077">
        <w:t xml:space="preserve"> </w:t>
      </w:r>
      <w:r>
        <w:t>sa</w:t>
      </w:r>
      <w:r w:rsidRPr="002C4077">
        <w:t xml:space="preserve"> </w:t>
      </w:r>
      <w:r>
        <w:t>pénétration</w:t>
      </w:r>
      <w:r w:rsidR="00B546AF">
        <w:t> !</w:t>
      </w:r>
      <w:r w:rsidR="00C45B47">
        <w:t xml:space="preserve"> {</w:t>
      </w:r>
      <w:r w:rsidR="00B53529">
        <w:t>167</w:t>
      </w:r>
      <w:bookmarkStart w:id="445" w:name="p167"/>
      <w:bookmarkEnd w:id="445"/>
      <w:r w:rsidR="00B53529">
        <w:t xml:space="preserve">} </w:t>
      </w:r>
      <w:r>
        <w:t>C’était</w:t>
      </w:r>
      <w:r w:rsidRPr="002C4077">
        <w:t xml:space="preserve"> </w:t>
      </w:r>
      <w:r>
        <w:t>un</w:t>
      </w:r>
      <w:r w:rsidRPr="002C4077">
        <w:t xml:space="preserve"> </w:t>
      </w:r>
      <w:r>
        <w:t>critique</w:t>
      </w:r>
      <w:r w:rsidRPr="002C4077">
        <w:t xml:space="preserve"> </w:t>
      </w:r>
      <w:r>
        <w:t>plus</w:t>
      </w:r>
      <w:r w:rsidRPr="002C4077">
        <w:t xml:space="preserve"> </w:t>
      </w:r>
      <w:r>
        <w:t>traditionnel,</w:t>
      </w:r>
      <w:r w:rsidRPr="002C4077">
        <w:t xml:space="preserve"> </w:t>
      </w:r>
      <w:r>
        <w:t>qui</w:t>
      </w:r>
      <w:r w:rsidRPr="002C4077">
        <w:t xml:space="preserve"> </w:t>
      </w:r>
      <w:r>
        <w:t>combattait</w:t>
      </w:r>
      <w:r w:rsidRPr="002C4077">
        <w:t xml:space="preserve"> </w:t>
      </w:r>
      <w:r>
        <w:t>un</w:t>
      </w:r>
      <w:r w:rsidRPr="002C4077">
        <w:t xml:space="preserve"> </w:t>
      </w:r>
      <w:r>
        <w:t>critique</w:t>
      </w:r>
      <w:r w:rsidRPr="002C4077">
        <w:t xml:space="preserve"> </w:t>
      </w:r>
      <w:r>
        <w:t>trop</w:t>
      </w:r>
      <w:r w:rsidRPr="002C4077">
        <w:t xml:space="preserve"> </w:t>
      </w:r>
      <w:r>
        <w:t>novateur</w:t>
      </w:r>
      <w:r w:rsidRPr="002C4077">
        <w:t xml:space="preserve"> </w:t>
      </w:r>
      <w:r>
        <w:t>et</w:t>
      </w:r>
      <w:r w:rsidRPr="002C4077">
        <w:t xml:space="preserve"> </w:t>
      </w:r>
      <w:r>
        <w:t>trop</w:t>
      </w:r>
      <w:r w:rsidRPr="002C4077">
        <w:t xml:space="preserve"> </w:t>
      </w:r>
      <w:r>
        <w:t>hardi.</w:t>
      </w:r>
      <w:r w:rsidRPr="002C4077">
        <w:t xml:space="preserve"> </w:t>
      </w:r>
      <w:r>
        <w:t>Au</w:t>
      </w:r>
      <w:r w:rsidRPr="002C4077">
        <w:t xml:space="preserve"> </w:t>
      </w:r>
      <w:r>
        <w:t>reste,</w:t>
      </w:r>
      <w:r w:rsidRPr="002C4077">
        <w:t xml:space="preserve"> </w:t>
      </w:r>
      <w:r>
        <w:t>Richard</w:t>
      </w:r>
      <w:r w:rsidRPr="002C4077">
        <w:t xml:space="preserve"> </w:t>
      </w:r>
      <w:r>
        <w:t>Simon,</w:t>
      </w:r>
      <w:r w:rsidRPr="002C4077">
        <w:t xml:space="preserve"> </w:t>
      </w:r>
      <w:r>
        <w:t>en</w:t>
      </w:r>
      <w:r w:rsidRPr="002C4077">
        <w:t xml:space="preserve"> </w:t>
      </w:r>
      <w:r>
        <w:t>abandonnant</w:t>
      </w:r>
      <w:r w:rsidRPr="002C4077">
        <w:t xml:space="preserve"> </w:t>
      </w:r>
      <w:r>
        <w:t>parfois</w:t>
      </w:r>
      <w:r w:rsidRPr="002C4077">
        <w:t xml:space="preserve"> </w:t>
      </w:r>
      <w:r>
        <w:t>l’interprétation</w:t>
      </w:r>
      <w:r w:rsidRPr="002C4077">
        <w:t xml:space="preserve"> </w:t>
      </w:r>
      <w:r>
        <w:t>antique</w:t>
      </w:r>
      <w:r w:rsidRPr="002C4077">
        <w:t xml:space="preserve"> </w:t>
      </w:r>
      <w:r>
        <w:t>pour</w:t>
      </w:r>
      <w:r w:rsidRPr="002C4077">
        <w:t xml:space="preserve"> </w:t>
      </w:r>
      <w:r>
        <w:t>se</w:t>
      </w:r>
      <w:r w:rsidRPr="002C4077">
        <w:t xml:space="preserve"> </w:t>
      </w:r>
      <w:r>
        <w:t>ranger</w:t>
      </w:r>
      <w:r w:rsidRPr="002C4077">
        <w:t xml:space="preserve"> </w:t>
      </w:r>
      <w:r>
        <w:t>à</w:t>
      </w:r>
      <w:r w:rsidRPr="002C4077">
        <w:t xml:space="preserve"> </w:t>
      </w:r>
      <w:r>
        <w:t>l’avis</w:t>
      </w:r>
      <w:r w:rsidRPr="002C4077">
        <w:t xml:space="preserve"> </w:t>
      </w:r>
      <w:r>
        <w:t>de</w:t>
      </w:r>
      <w:r w:rsidRPr="002C4077">
        <w:t xml:space="preserve"> </w:t>
      </w:r>
      <w:r w:rsidR="00514F08">
        <w:t>Grotius</w:t>
      </w:r>
      <w:r>
        <w:t>,</w:t>
      </w:r>
      <w:r w:rsidRPr="002C4077">
        <w:t xml:space="preserve"> </w:t>
      </w:r>
      <w:r>
        <w:t>était-il</w:t>
      </w:r>
      <w:r w:rsidRPr="002C4077">
        <w:t xml:space="preserve"> </w:t>
      </w:r>
      <w:r>
        <w:t>donc</w:t>
      </w:r>
      <w:r w:rsidRPr="002C4077">
        <w:t xml:space="preserve"> </w:t>
      </w:r>
      <w:r>
        <w:t>un</w:t>
      </w:r>
      <w:r w:rsidRPr="002C4077">
        <w:t xml:space="preserve"> </w:t>
      </w:r>
      <w:r>
        <w:t>critique</w:t>
      </w:r>
      <w:r w:rsidRPr="002C4077">
        <w:t xml:space="preserve"> </w:t>
      </w:r>
      <w:r>
        <w:t>bien</w:t>
      </w:r>
      <w:r w:rsidRPr="002C4077">
        <w:t xml:space="preserve"> </w:t>
      </w:r>
      <w:bookmarkStart w:id="446" w:name="z_BossuetCritique_o2"/>
      <w:bookmarkEnd w:id="446"/>
      <w:r>
        <w:t>sûr</w:t>
      </w:r>
      <w:r w:rsidR="00B91AF7">
        <w:rPr>
          <w:rStyle w:val="Appelnotedebasdep"/>
        </w:rPr>
        <w:footnoteReference w:id="501"/>
      </w:r>
      <w:r w:rsidR="00B546AF">
        <w:t> ?</w:t>
      </w:r>
      <w:r w:rsidRPr="002C4077">
        <w:t xml:space="preserve"> </w:t>
      </w:r>
    </w:p>
    <w:p w:rsidR="00846153" w:rsidRDefault="00846153" w:rsidP="000A7AAB"/>
    <w:p w:rsidR="000A7AAB" w:rsidRPr="00846153" w:rsidRDefault="000A7AAB" w:rsidP="000A7AAB">
      <w:pPr>
        <w:rPr>
          <w:rStyle w:val="italicus"/>
        </w:rPr>
      </w:pPr>
      <w:r w:rsidRPr="00846153">
        <w:t>4°</w:t>
      </w:r>
      <w:r w:rsidRPr="002C4077">
        <w:t xml:space="preserve"> </w:t>
      </w:r>
      <w:r w:rsidRPr="00846153">
        <w:rPr>
          <w:rStyle w:val="italicus"/>
        </w:rPr>
        <w:t>Depuis</w:t>
      </w:r>
      <w:r w:rsidRPr="002C4077">
        <w:t xml:space="preserve"> </w:t>
      </w:r>
      <w:r w:rsidRPr="00846153">
        <w:rPr>
          <w:rStyle w:val="italicus"/>
        </w:rPr>
        <w:t>plusieurs</w:t>
      </w:r>
      <w:r w:rsidRPr="002C4077">
        <w:t xml:space="preserve"> </w:t>
      </w:r>
      <w:r w:rsidRPr="00846153">
        <w:rPr>
          <w:rStyle w:val="italicus"/>
        </w:rPr>
        <w:t>siècles,</w:t>
      </w:r>
      <w:r w:rsidRPr="002C4077">
        <w:t xml:space="preserve"> </w:t>
      </w:r>
      <w:r w:rsidRPr="00846153">
        <w:rPr>
          <w:rStyle w:val="italicus"/>
        </w:rPr>
        <w:t>il</w:t>
      </w:r>
      <w:r w:rsidRPr="002C4077">
        <w:t xml:space="preserve"> </w:t>
      </w:r>
      <w:r w:rsidR="00846153" w:rsidRPr="00846153">
        <w:rPr>
          <w:rStyle w:val="italicus"/>
        </w:rPr>
        <w:t>n’</w:t>
      </w:r>
      <w:r w:rsidRPr="00846153">
        <w:rPr>
          <w:rStyle w:val="italicus"/>
        </w:rPr>
        <w:t>a</w:t>
      </w:r>
      <w:r w:rsidRPr="002C4077">
        <w:t xml:space="preserve"> </w:t>
      </w:r>
      <w:r w:rsidRPr="00846153">
        <w:rPr>
          <w:rStyle w:val="italicus"/>
        </w:rPr>
        <w:t>point</w:t>
      </w:r>
      <w:r w:rsidRPr="002C4077">
        <w:t xml:space="preserve"> </w:t>
      </w:r>
      <w:r w:rsidRPr="00846153">
        <w:rPr>
          <w:rStyle w:val="italicus"/>
        </w:rPr>
        <w:t>paru</w:t>
      </w:r>
      <w:r w:rsidRPr="002C4077">
        <w:t xml:space="preserve"> </w:t>
      </w:r>
      <w:r w:rsidRPr="00846153">
        <w:rPr>
          <w:rStyle w:val="italicus"/>
        </w:rPr>
        <w:t>dans</w:t>
      </w:r>
      <w:r w:rsidRPr="002C4077">
        <w:t xml:space="preserve"> </w:t>
      </w:r>
      <w:r w:rsidRPr="00846153">
        <w:rPr>
          <w:rStyle w:val="italicus"/>
        </w:rPr>
        <w:t>les</w:t>
      </w:r>
      <w:r w:rsidRPr="002C4077">
        <w:t xml:space="preserve"> </w:t>
      </w:r>
      <w:r w:rsidRPr="00846153">
        <w:rPr>
          <w:rStyle w:val="italicus"/>
        </w:rPr>
        <w:t>pays</w:t>
      </w:r>
      <w:r w:rsidRPr="002C4077">
        <w:t xml:space="preserve"> </w:t>
      </w:r>
      <w:r w:rsidRPr="00846153">
        <w:rPr>
          <w:rStyle w:val="italicus"/>
        </w:rPr>
        <w:t>catholiques</w:t>
      </w:r>
      <w:r w:rsidRPr="002C4077">
        <w:t xml:space="preserve"> </w:t>
      </w:r>
      <w:r w:rsidRPr="00846153">
        <w:rPr>
          <w:rStyle w:val="italicus"/>
        </w:rPr>
        <w:t>une</w:t>
      </w:r>
      <w:r w:rsidRPr="002C4077">
        <w:t xml:space="preserve"> </w:t>
      </w:r>
      <w:r w:rsidRPr="00846153">
        <w:rPr>
          <w:rStyle w:val="italicus"/>
        </w:rPr>
        <w:t>seule</w:t>
      </w:r>
      <w:r w:rsidRPr="002C4077">
        <w:t xml:space="preserve"> </w:t>
      </w:r>
      <w:r w:rsidRPr="00846153">
        <w:rPr>
          <w:rStyle w:val="italicus"/>
        </w:rPr>
        <w:t>œuvre</w:t>
      </w:r>
      <w:r w:rsidRPr="002C4077">
        <w:t xml:space="preserve"> </w:t>
      </w:r>
      <w:r w:rsidRPr="00846153">
        <w:rPr>
          <w:rStyle w:val="italicus"/>
        </w:rPr>
        <w:t>de</w:t>
      </w:r>
      <w:r w:rsidRPr="002C4077">
        <w:t xml:space="preserve"> </w:t>
      </w:r>
      <w:r w:rsidRPr="00846153">
        <w:rPr>
          <w:rStyle w:val="italicus"/>
        </w:rPr>
        <w:t>science</w:t>
      </w:r>
      <w:r w:rsidRPr="002C4077">
        <w:t xml:space="preserve"> </w:t>
      </w:r>
      <w:r w:rsidRPr="00846153">
        <w:rPr>
          <w:rStyle w:val="italicus"/>
        </w:rPr>
        <w:t>biblique</w:t>
      </w:r>
      <w:r w:rsidRPr="002C4077">
        <w:t xml:space="preserve"> </w:t>
      </w:r>
      <w:r w:rsidRPr="00846153">
        <w:rPr>
          <w:rStyle w:val="italicus"/>
        </w:rPr>
        <w:t>dont</w:t>
      </w:r>
      <w:r w:rsidRPr="002C4077">
        <w:t xml:space="preserve"> </w:t>
      </w:r>
      <w:r w:rsidRPr="00846153">
        <w:rPr>
          <w:rStyle w:val="italicus"/>
        </w:rPr>
        <w:t>la</w:t>
      </w:r>
      <w:r w:rsidRPr="002C4077">
        <w:t xml:space="preserve"> </w:t>
      </w:r>
      <w:r w:rsidRPr="00846153">
        <w:rPr>
          <w:rStyle w:val="italicus"/>
        </w:rPr>
        <w:t>critique</w:t>
      </w:r>
      <w:r w:rsidRPr="002C4077">
        <w:t xml:space="preserve"> </w:t>
      </w:r>
      <w:r w:rsidRPr="00846153">
        <w:rPr>
          <w:rStyle w:val="italicus"/>
        </w:rPr>
        <w:t>de</w:t>
      </w:r>
      <w:r w:rsidRPr="002C4077">
        <w:t xml:space="preserve"> </w:t>
      </w:r>
      <w:r w:rsidRPr="00846153">
        <w:rPr>
          <w:rStyle w:val="italicus"/>
        </w:rPr>
        <w:t>notre</w:t>
      </w:r>
      <w:r w:rsidRPr="002C4077">
        <w:t xml:space="preserve"> </w:t>
      </w:r>
      <w:r w:rsidRPr="00846153">
        <w:rPr>
          <w:rStyle w:val="italicus"/>
        </w:rPr>
        <w:t>temps</w:t>
      </w:r>
      <w:r w:rsidRPr="002C4077">
        <w:t xml:space="preserve"> </w:t>
      </w:r>
      <w:r w:rsidRPr="00846153">
        <w:rPr>
          <w:rStyle w:val="italicus"/>
        </w:rPr>
        <w:t>ait</w:t>
      </w:r>
      <w:r w:rsidRPr="002C4077">
        <w:t xml:space="preserve"> </w:t>
      </w:r>
      <w:r w:rsidRPr="00846153">
        <w:rPr>
          <w:rStyle w:val="italicus"/>
        </w:rPr>
        <w:t>à</w:t>
      </w:r>
      <w:r w:rsidRPr="002C4077">
        <w:t xml:space="preserve"> </w:t>
      </w:r>
      <w:r w:rsidRPr="00846153">
        <w:rPr>
          <w:rStyle w:val="italicus"/>
        </w:rPr>
        <w:t>tenir</w:t>
      </w:r>
      <w:r w:rsidRPr="002C4077">
        <w:t xml:space="preserve"> </w:t>
      </w:r>
      <w:r w:rsidRPr="00846153">
        <w:rPr>
          <w:rStyle w:val="italicus"/>
        </w:rPr>
        <w:t>compte.</w:t>
      </w:r>
      <w:r w:rsidRPr="002C4077">
        <w:t xml:space="preserve"> </w:t>
      </w:r>
    </w:p>
    <w:p w:rsidR="000A7AAB" w:rsidRDefault="000A7AAB" w:rsidP="000A7AAB">
      <w:r>
        <w:t>Assurément</w:t>
      </w:r>
      <w:r w:rsidRPr="002C4077">
        <w:t xml:space="preserve"> </w:t>
      </w:r>
      <w:r>
        <w:t>l’accusation</w:t>
      </w:r>
      <w:r w:rsidRPr="002C4077">
        <w:t xml:space="preserve"> </w:t>
      </w:r>
      <w:r w:rsidR="00425C50">
        <w:t>est</w:t>
      </w:r>
      <w:r w:rsidRPr="002C4077">
        <w:t xml:space="preserve"> </w:t>
      </w:r>
      <w:r>
        <w:t>grave,</w:t>
      </w:r>
      <w:r w:rsidRPr="002C4077">
        <w:t xml:space="preserve"> </w:t>
      </w:r>
      <w:r>
        <w:t>et</w:t>
      </w:r>
      <w:r w:rsidRPr="002C4077">
        <w:t xml:space="preserve"> </w:t>
      </w:r>
      <w:r>
        <w:t>si</w:t>
      </w:r>
      <w:r w:rsidRPr="002C4077">
        <w:t xml:space="preserve"> </w:t>
      </w:r>
      <w:r>
        <w:t>elle</w:t>
      </w:r>
      <w:r w:rsidRPr="002C4077">
        <w:t xml:space="preserve"> </w:t>
      </w:r>
      <w:r>
        <w:t>était</w:t>
      </w:r>
      <w:r w:rsidRPr="002C4077">
        <w:t xml:space="preserve"> </w:t>
      </w:r>
      <w:r>
        <w:t>méritée,</w:t>
      </w:r>
      <w:r w:rsidRPr="002C4077">
        <w:t xml:space="preserve"> </w:t>
      </w:r>
      <w:r>
        <w:t>nous</w:t>
      </w:r>
      <w:r w:rsidRPr="002C4077">
        <w:t xml:space="preserve"> </w:t>
      </w:r>
      <w:r>
        <w:t>aurions</w:t>
      </w:r>
      <w:r w:rsidRPr="002C4077">
        <w:t xml:space="preserve"> </w:t>
      </w:r>
      <w:r>
        <w:t>de</w:t>
      </w:r>
      <w:r w:rsidRPr="002C4077">
        <w:t xml:space="preserve"> </w:t>
      </w:r>
      <w:r>
        <w:t>la</w:t>
      </w:r>
      <w:r w:rsidRPr="002C4077">
        <w:t xml:space="preserve"> </w:t>
      </w:r>
      <w:r>
        <w:t>peine</w:t>
      </w:r>
      <w:r w:rsidRPr="002C4077">
        <w:t xml:space="preserve"> </w:t>
      </w:r>
      <w:r>
        <w:t>à</w:t>
      </w:r>
      <w:r w:rsidRPr="002C4077">
        <w:t xml:space="preserve"> </w:t>
      </w:r>
      <w:r>
        <w:t>nous</w:t>
      </w:r>
      <w:r w:rsidRPr="002C4077">
        <w:t xml:space="preserve"> </w:t>
      </w:r>
      <w:r>
        <w:t>défendre</w:t>
      </w:r>
      <w:r w:rsidRPr="002C4077">
        <w:t xml:space="preserve"> </w:t>
      </w:r>
      <w:r>
        <w:t>de</w:t>
      </w:r>
      <w:r w:rsidRPr="002C4077">
        <w:t xml:space="preserve"> </w:t>
      </w:r>
      <w:r>
        <w:t>la</w:t>
      </w:r>
      <w:r w:rsidRPr="002C4077">
        <w:t xml:space="preserve"> </w:t>
      </w:r>
      <w:r>
        <w:t>conclusion</w:t>
      </w:r>
      <w:r w:rsidRPr="002C4077">
        <w:t xml:space="preserve"> </w:t>
      </w:r>
      <w:r>
        <w:t>qui</w:t>
      </w:r>
      <w:r w:rsidRPr="002C4077">
        <w:t xml:space="preserve"> </w:t>
      </w:r>
      <w:r>
        <w:t>suit,</w:t>
      </w:r>
      <w:r w:rsidRPr="002C4077">
        <w:t xml:space="preserve"> </w:t>
      </w:r>
      <w:r>
        <w:t>à</w:t>
      </w:r>
      <w:r w:rsidRPr="002C4077">
        <w:t xml:space="preserve"> </w:t>
      </w:r>
      <w:r>
        <w:t>savoir</w:t>
      </w:r>
      <w:r w:rsidRPr="002C4077">
        <w:t xml:space="preserve"> </w:t>
      </w:r>
      <w:r>
        <w:t>qu’au</w:t>
      </w:r>
      <w:r w:rsidRPr="002C4077">
        <w:t xml:space="preserve"> </w:t>
      </w:r>
      <w:r>
        <w:t>moins</w:t>
      </w:r>
      <w:r w:rsidRPr="002C4077">
        <w:t xml:space="preserve"> </w:t>
      </w:r>
      <w:r w:rsidRPr="000A34B5">
        <w:rPr>
          <w:rStyle w:val="italicus"/>
        </w:rPr>
        <w:t>sur</w:t>
      </w:r>
      <w:r w:rsidRPr="002C4077">
        <w:t xml:space="preserve"> </w:t>
      </w:r>
      <w:r w:rsidRPr="000A34B5">
        <w:rPr>
          <w:rStyle w:val="italicus"/>
        </w:rPr>
        <w:t>ce</w:t>
      </w:r>
      <w:r w:rsidRPr="002C4077">
        <w:t xml:space="preserve"> </w:t>
      </w:r>
      <w:r w:rsidRPr="000A34B5">
        <w:rPr>
          <w:rStyle w:val="italicus"/>
        </w:rPr>
        <w:t>domaine</w:t>
      </w:r>
      <w:r w:rsidRPr="002C4077">
        <w:t xml:space="preserve"> </w:t>
      </w:r>
      <w:r w:rsidRPr="000A34B5">
        <w:rPr>
          <w:rStyle w:val="italicus"/>
        </w:rPr>
        <w:t>de</w:t>
      </w:r>
      <w:r w:rsidRPr="002C4077">
        <w:t xml:space="preserve"> </w:t>
      </w:r>
      <w:r w:rsidRPr="000A34B5">
        <w:rPr>
          <w:rStyle w:val="italicus"/>
        </w:rPr>
        <w:t>l’esprit</w:t>
      </w:r>
      <w:r w:rsidRPr="002C4077">
        <w:t xml:space="preserve"> </w:t>
      </w:r>
      <w:r w:rsidRPr="000A34B5">
        <w:rPr>
          <w:rStyle w:val="italicus"/>
        </w:rPr>
        <w:t>humain,</w:t>
      </w:r>
      <w:r w:rsidRPr="002C4077">
        <w:t xml:space="preserve"> </w:t>
      </w:r>
      <w:r w:rsidRPr="000A34B5">
        <w:rPr>
          <w:rStyle w:val="italicus"/>
        </w:rPr>
        <w:t>le</w:t>
      </w:r>
      <w:r w:rsidRPr="002C4077">
        <w:t xml:space="preserve"> </w:t>
      </w:r>
      <w:r w:rsidRPr="000A34B5">
        <w:rPr>
          <w:rStyle w:val="italicus"/>
        </w:rPr>
        <w:t>catholicisme</w:t>
      </w:r>
      <w:r w:rsidRPr="002C4077">
        <w:t xml:space="preserve"> </w:t>
      </w:r>
      <w:r w:rsidRPr="000A34B5">
        <w:rPr>
          <w:rStyle w:val="italicus"/>
        </w:rPr>
        <w:t>a</w:t>
      </w:r>
      <w:r w:rsidRPr="002C4077">
        <w:t xml:space="preserve"> </w:t>
      </w:r>
      <w:r w:rsidRPr="000A34B5">
        <w:rPr>
          <w:rStyle w:val="italicus"/>
        </w:rPr>
        <w:t>porté</w:t>
      </w:r>
      <w:r w:rsidRPr="002C4077">
        <w:t xml:space="preserve"> </w:t>
      </w:r>
      <w:r w:rsidRPr="000A34B5">
        <w:rPr>
          <w:rStyle w:val="italicus"/>
        </w:rPr>
        <w:t>la</w:t>
      </w:r>
      <w:r w:rsidRPr="002C4077">
        <w:t xml:space="preserve"> </w:t>
      </w:r>
      <w:r w:rsidRPr="000A34B5">
        <w:rPr>
          <w:rStyle w:val="italicus"/>
        </w:rPr>
        <w:t>stérilité</w:t>
      </w:r>
      <w:r w:rsidRPr="002C4077">
        <w:t xml:space="preserve"> </w:t>
      </w:r>
      <w:r w:rsidRPr="000A34B5">
        <w:rPr>
          <w:rStyle w:val="italicus"/>
        </w:rPr>
        <w:t>et</w:t>
      </w:r>
      <w:r w:rsidRPr="002C4077">
        <w:t xml:space="preserve"> </w:t>
      </w:r>
      <w:r w:rsidRPr="000A34B5">
        <w:rPr>
          <w:rStyle w:val="italicus"/>
        </w:rPr>
        <w:t>la</w:t>
      </w:r>
      <w:r w:rsidRPr="002C4077">
        <w:t xml:space="preserve"> </w:t>
      </w:r>
      <w:r w:rsidRPr="000A34B5">
        <w:rPr>
          <w:rStyle w:val="italicus"/>
        </w:rPr>
        <w:t>mort.</w:t>
      </w:r>
      <w:r w:rsidRPr="002C4077">
        <w:t xml:space="preserve"> </w:t>
      </w:r>
    </w:p>
    <w:p w:rsidR="000A7AAB" w:rsidRDefault="000A7AAB" w:rsidP="000A7AAB">
      <w:r>
        <w:t>Mais</w:t>
      </w:r>
      <w:r w:rsidRPr="002C4077">
        <w:t xml:space="preserve"> </w:t>
      </w:r>
      <w:r w:rsidR="00425C50">
        <w:t>est</w:t>
      </w:r>
      <w:r>
        <w:t>-elle</w:t>
      </w:r>
      <w:r w:rsidRPr="002C4077">
        <w:t xml:space="preserve"> </w:t>
      </w:r>
      <w:r>
        <w:t>véritablement</w:t>
      </w:r>
      <w:r w:rsidRPr="002C4077">
        <w:t xml:space="preserve"> </w:t>
      </w:r>
      <w:r>
        <w:t>méritée</w:t>
      </w:r>
      <w:r w:rsidR="00B546AF">
        <w:t> ?</w:t>
      </w:r>
      <w:r w:rsidRPr="002C4077">
        <w:t xml:space="preserve"> </w:t>
      </w:r>
    </w:p>
    <w:p w:rsidR="000A7AAB" w:rsidRDefault="000A7AAB" w:rsidP="000A7AAB">
      <w:r>
        <w:t>Souvent,</w:t>
      </w:r>
      <w:r w:rsidRPr="002C4077">
        <w:t xml:space="preserve"> </w:t>
      </w:r>
      <w:r>
        <w:t>tandis</w:t>
      </w:r>
      <w:r w:rsidRPr="002C4077">
        <w:t xml:space="preserve"> </w:t>
      </w:r>
      <w:r>
        <w:t>que</w:t>
      </w:r>
      <w:r w:rsidRPr="002C4077">
        <w:t xml:space="preserve"> </w:t>
      </w:r>
      <w:r>
        <w:t>nous</w:t>
      </w:r>
      <w:r w:rsidRPr="002C4077">
        <w:t xml:space="preserve"> </w:t>
      </w:r>
      <w:r>
        <w:t>lisions</w:t>
      </w:r>
      <w:r w:rsidRPr="002C4077">
        <w:t xml:space="preserve"> </w:t>
      </w:r>
      <w:r>
        <w:t>les</w:t>
      </w:r>
      <w:r w:rsidRPr="002C4077">
        <w:t xml:space="preserve"> </w:t>
      </w:r>
      <w:r>
        <w:t>ouvrages</w:t>
      </w:r>
      <w:r w:rsidRPr="002C4077">
        <w:t xml:space="preserve"> </w:t>
      </w:r>
      <w:r>
        <w:t>bibliques</w:t>
      </w:r>
      <w:r w:rsidRPr="002C4077">
        <w:t xml:space="preserve"> </w:t>
      </w:r>
      <w:r>
        <w:t>des</w:t>
      </w:r>
      <w:r w:rsidRPr="002C4077">
        <w:t xml:space="preserve"> </w:t>
      </w:r>
      <w:r>
        <w:t>protestants</w:t>
      </w:r>
      <w:r w:rsidRPr="002C4077">
        <w:t xml:space="preserve"> </w:t>
      </w:r>
      <w:r>
        <w:t>et</w:t>
      </w:r>
      <w:r w:rsidRPr="002C4077">
        <w:t xml:space="preserve"> </w:t>
      </w:r>
      <w:r>
        <w:t>des</w:t>
      </w:r>
      <w:r w:rsidRPr="002C4077">
        <w:t xml:space="preserve"> </w:t>
      </w:r>
      <w:r>
        <w:t>rationalistes,</w:t>
      </w:r>
      <w:r w:rsidRPr="002C4077">
        <w:t xml:space="preserve"> </w:t>
      </w:r>
      <w:r>
        <w:t>—</w:t>
      </w:r>
      <w:r w:rsidRPr="002C4077">
        <w:t xml:space="preserve"> </w:t>
      </w:r>
      <w:r>
        <w:t>et</w:t>
      </w:r>
      <w:r w:rsidRPr="002C4077">
        <w:t xml:space="preserve"> </w:t>
      </w:r>
      <w:r>
        <w:t>nous</w:t>
      </w:r>
      <w:r w:rsidRPr="002C4077">
        <w:t xml:space="preserve"> </w:t>
      </w:r>
      <w:r>
        <w:t>en</w:t>
      </w:r>
      <w:r w:rsidRPr="002C4077">
        <w:t xml:space="preserve"> </w:t>
      </w:r>
      <w:r>
        <w:t>avons</w:t>
      </w:r>
      <w:r w:rsidRPr="002C4077">
        <w:t xml:space="preserve"> </w:t>
      </w:r>
      <w:r>
        <w:t>dû</w:t>
      </w:r>
      <w:r w:rsidRPr="002C4077">
        <w:t xml:space="preserve"> </w:t>
      </w:r>
      <w:r>
        <w:t>lire,</w:t>
      </w:r>
      <w:r w:rsidRPr="002C4077">
        <w:t xml:space="preserve"> </w:t>
      </w:r>
      <w:r>
        <w:t>hélas</w:t>
      </w:r>
      <w:r w:rsidR="00B546AF">
        <w:t> !</w:t>
      </w:r>
      <w:r w:rsidRPr="002C4077">
        <w:t xml:space="preserve"> </w:t>
      </w:r>
      <w:r>
        <w:t>un</w:t>
      </w:r>
      <w:r w:rsidRPr="002C4077">
        <w:t xml:space="preserve"> </w:t>
      </w:r>
      <w:r>
        <w:t>bien</w:t>
      </w:r>
      <w:r w:rsidRPr="002C4077">
        <w:t xml:space="preserve"> </w:t>
      </w:r>
      <w:r>
        <w:t>grand</w:t>
      </w:r>
      <w:r w:rsidRPr="002C4077">
        <w:t xml:space="preserve"> </w:t>
      </w:r>
      <w:r>
        <w:t>nombre,</w:t>
      </w:r>
      <w:r w:rsidRPr="002C4077">
        <w:t xml:space="preserve"> </w:t>
      </w:r>
      <w:r>
        <w:t>pour</w:t>
      </w:r>
      <w:r w:rsidRPr="002C4077">
        <w:t xml:space="preserve"> </w:t>
      </w:r>
      <w:r>
        <w:t>mieux</w:t>
      </w:r>
      <w:r w:rsidRPr="002C4077">
        <w:t xml:space="preserve"> </w:t>
      </w:r>
      <w:r>
        <w:t>remplir</w:t>
      </w:r>
      <w:r w:rsidRPr="002C4077">
        <w:t xml:space="preserve"> </w:t>
      </w:r>
      <w:r>
        <w:t>les</w:t>
      </w:r>
      <w:r w:rsidRPr="002C4077">
        <w:t xml:space="preserve"> </w:t>
      </w:r>
      <w:r>
        <w:t>fonctions</w:t>
      </w:r>
      <w:r w:rsidRPr="002C4077">
        <w:t xml:space="preserve"> </w:t>
      </w:r>
      <w:r>
        <w:t>que</w:t>
      </w:r>
      <w:r w:rsidRPr="002C4077">
        <w:t xml:space="preserve"> </w:t>
      </w:r>
      <w:r>
        <w:t>la</w:t>
      </w:r>
      <w:r w:rsidRPr="002C4077">
        <w:t xml:space="preserve"> </w:t>
      </w:r>
      <w:r>
        <w:t>divine</w:t>
      </w:r>
      <w:r w:rsidRPr="002C4077">
        <w:t xml:space="preserve"> </w:t>
      </w:r>
      <w:r>
        <w:t>Providence</w:t>
      </w:r>
      <w:r w:rsidRPr="002C4077">
        <w:t xml:space="preserve"> </w:t>
      </w:r>
      <w:r>
        <w:t>nous</w:t>
      </w:r>
      <w:r w:rsidRPr="002C4077">
        <w:t xml:space="preserve"> </w:t>
      </w:r>
      <w:r>
        <w:lastRenderedPageBreak/>
        <w:t>a</w:t>
      </w:r>
      <w:r w:rsidRPr="002C4077">
        <w:t xml:space="preserve"> </w:t>
      </w:r>
      <w:r>
        <w:t>confiées,</w:t>
      </w:r>
      <w:r w:rsidRPr="002C4077">
        <w:t xml:space="preserve"> </w:t>
      </w:r>
      <w:r>
        <w:t>—</w:t>
      </w:r>
      <w:r w:rsidRPr="002C4077">
        <w:t xml:space="preserve"> </w:t>
      </w:r>
      <w:r>
        <w:t>un</w:t>
      </w:r>
      <w:r w:rsidRPr="002C4077">
        <w:t xml:space="preserve"> </w:t>
      </w:r>
      <w:r>
        <w:t>fait</w:t>
      </w:r>
      <w:r w:rsidRPr="002C4077">
        <w:t xml:space="preserve"> </w:t>
      </w:r>
      <w:r>
        <w:t>sans</w:t>
      </w:r>
      <w:r w:rsidRPr="002C4077">
        <w:t xml:space="preserve"> </w:t>
      </w:r>
      <w:r>
        <w:t>cesse</w:t>
      </w:r>
      <w:r w:rsidRPr="002C4077">
        <w:t xml:space="preserve"> </w:t>
      </w:r>
      <w:r>
        <w:t>renouvelé</w:t>
      </w:r>
      <w:r w:rsidRPr="002C4077">
        <w:t xml:space="preserve"> </w:t>
      </w:r>
      <w:r>
        <w:t>nous</w:t>
      </w:r>
      <w:r w:rsidRPr="002C4077">
        <w:t xml:space="preserve"> </w:t>
      </w:r>
      <w:r>
        <w:t>a</w:t>
      </w:r>
      <w:r w:rsidRPr="002C4077">
        <w:t xml:space="preserve"> </w:t>
      </w:r>
      <w:r>
        <w:t>vivement</w:t>
      </w:r>
      <w:r w:rsidRPr="002C4077">
        <w:t xml:space="preserve"> </w:t>
      </w:r>
      <w:r>
        <w:t>frappé.</w:t>
      </w:r>
      <w:r w:rsidRPr="002C4077">
        <w:t xml:space="preserve"> </w:t>
      </w:r>
      <w:r>
        <w:t>Les</w:t>
      </w:r>
      <w:r w:rsidRPr="002C4077">
        <w:t xml:space="preserve"> </w:t>
      </w:r>
      <w:r>
        <w:t>écrits</w:t>
      </w:r>
      <w:r w:rsidRPr="002C4077">
        <w:t xml:space="preserve"> </w:t>
      </w:r>
      <w:r>
        <w:t>catholiques</w:t>
      </w:r>
      <w:r w:rsidRPr="002C4077">
        <w:t xml:space="preserve"> </w:t>
      </w:r>
      <w:r>
        <w:t>sont</w:t>
      </w:r>
      <w:r w:rsidRPr="002C4077">
        <w:t xml:space="preserve"> </w:t>
      </w:r>
      <w:r>
        <w:t>presque</w:t>
      </w:r>
      <w:r w:rsidRPr="002C4077">
        <w:t xml:space="preserve"> </w:t>
      </w:r>
      <w:r>
        <w:t>totalement</w:t>
      </w:r>
      <w:r w:rsidRPr="002C4077">
        <w:t xml:space="preserve"> </w:t>
      </w:r>
      <w:r>
        <w:t>ignorés</w:t>
      </w:r>
      <w:r w:rsidRPr="002C4077">
        <w:t xml:space="preserve"> </w:t>
      </w:r>
      <w:r>
        <w:t>dans</w:t>
      </w:r>
      <w:r w:rsidRPr="002C4077">
        <w:t xml:space="preserve"> </w:t>
      </w:r>
      <w:r>
        <w:t>le</w:t>
      </w:r>
      <w:r w:rsidRPr="002C4077">
        <w:t xml:space="preserve"> </w:t>
      </w:r>
      <w:r>
        <w:t>camp</w:t>
      </w:r>
      <w:r w:rsidRPr="002C4077">
        <w:t xml:space="preserve"> </w:t>
      </w:r>
      <w:r>
        <w:t>de</w:t>
      </w:r>
      <w:r w:rsidRPr="002C4077">
        <w:t xml:space="preserve"> </w:t>
      </w:r>
      <w:r>
        <w:t>nos</w:t>
      </w:r>
      <w:r w:rsidRPr="002C4077">
        <w:t xml:space="preserve"> </w:t>
      </w:r>
      <w:r>
        <w:t>adversaires.</w:t>
      </w:r>
      <w:r w:rsidRPr="002C4077">
        <w:t xml:space="preserve"> </w:t>
      </w:r>
      <w:r>
        <w:t>Un</w:t>
      </w:r>
      <w:r w:rsidRPr="002C4077">
        <w:t xml:space="preserve"> </w:t>
      </w:r>
      <w:r>
        <w:t>exégète</w:t>
      </w:r>
      <w:r w:rsidRPr="002C4077">
        <w:t xml:space="preserve"> </w:t>
      </w:r>
      <w:r>
        <w:t>catholique</w:t>
      </w:r>
      <w:r w:rsidRPr="002C4077">
        <w:t xml:space="preserve"> </w:t>
      </w:r>
      <w:r>
        <w:t>connaît,</w:t>
      </w:r>
      <w:r w:rsidRPr="002C4077">
        <w:t xml:space="preserve"> </w:t>
      </w:r>
      <w:r>
        <w:t>cite</w:t>
      </w:r>
      <w:r w:rsidRPr="002C4077">
        <w:t xml:space="preserve"> </w:t>
      </w:r>
      <w:r>
        <w:t>même</w:t>
      </w:r>
      <w:r w:rsidRPr="002C4077">
        <w:t xml:space="preserve"> </w:t>
      </w:r>
      <w:r>
        <w:t>Paulus,</w:t>
      </w:r>
      <w:r w:rsidRPr="002C4077">
        <w:t xml:space="preserve"> </w:t>
      </w:r>
      <w:r>
        <w:t>de</w:t>
      </w:r>
      <w:r w:rsidRPr="002C4077">
        <w:t xml:space="preserve"> </w:t>
      </w:r>
      <w:r>
        <w:t>Wette,</w:t>
      </w:r>
      <w:r w:rsidRPr="002C4077">
        <w:t xml:space="preserve"> </w:t>
      </w:r>
      <w:r>
        <w:t>Bleek</w:t>
      </w:r>
      <w:r w:rsidRPr="002C4077">
        <w:t xml:space="preserve"> </w:t>
      </w:r>
      <w:r>
        <w:t>et</w:t>
      </w:r>
      <w:r w:rsidRPr="002C4077">
        <w:t xml:space="preserve"> </w:t>
      </w:r>
      <w:r>
        <w:t>jusqu’à</w:t>
      </w:r>
      <w:r w:rsidRPr="002C4077">
        <w:t xml:space="preserve"> </w:t>
      </w:r>
      <w:r>
        <w:t>M.</w:t>
      </w:r>
      <w:r w:rsidRPr="002C4077">
        <w:t xml:space="preserve"> </w:t>
      </w:r>
      <w:r>
        <w:t>Jules</w:t>
      </w:r>
      <w:r w:rsidRPr="002C4077">
        <w:t xml:space="preserve"> </w:t>
      </w:r>
      <w:r>
        <w:t>Soury</w:t>
      </w:r>
      <w:r w:rsidR="00B546AF">
        <w:t> ;</w:t>
      </w:r>
      <w:r w:rsidRPr="002C4077">
        <w:t xml:space="preserve"> </w:t>
      </w:r>
      <w:r>
        <w:t>mais</w:t>
      </w:r>
      <w:r w:rsidRPr="002C4077">
        <w:t xml:space="preserve"> </w:t>
      </w:r>
      <w:r>
        <w:t>pour</w:t>
      </w:r>
      <w:r w:rsidRPr="002C4077">
        <w:t xml:space="preserve"> </w:t>
      </w:r>
      <w:r>
        <w:t>Paulus,</w:t>
      </w:r>
      <w:r w:rsidRPr="002C4077">
        <w:t xml:space="preserve"> </w:t>
      </w:r>
      <w:r>
        <w:t>de</w:t>
      </w:r>
      <w:r w:rsidRPr="002C4077">
        <w:t xml:space="preserve"> </w:t>
      </w:r>
      <w:r>
        <w:t>Wette,</w:t>
      </w:r>
      <w:r w:rsidRPr="002C4077">
        <w:t xml:space="preserve"> </w:t>
      </w:r>
      <w:r>
        <w:t>Bleek,</w:t>
      </w:r>
      <w:r w:rsidRPr="002C4077">
        <w:t xml:space="preserve"> </w:t>
      </w:r>
      <w:r>
        <w:t>les</w:t>
      </w:r>
      <w:r w:rsidRPr="002C4077">
        <w:t xml:space="preserve"> </w:t>
      </w:r>
      <w:r>
        <w:t>exégètes</w:t>
      </w:r>
      <w:r w:rsidRPr="002C4077">
        <w:t xml:space="preserve"> </w:t>
      </w:r>
      <w:r>
        <w:t>catholiques</w:t>
      </w:r>
      <w:r w:rsidRPr="002C4077">
        <w:t xml:space="preserve"> </w:t>
      </w:r>
      <w:r>
        <w:t>semblent</w:t>
      </w:r>
      <w:r w:rsidRPr="002C4077">
        <w:t xml:space="preserve"> </w:t>
      </w:r>
      <w:r>
        <w:t>ne</w:t>
      </w:r>
      <w:r w:rsidRPr="002C4077">
        <w:t xml:space="preserve"> </w:t>
      </w:r>
      <w:r>
        <w:t>pas</w:t>
      </w:r>
      <w:r w:rsidRPr="002C4077">
        <w:t xml:space="preserve"> </w:t>
      </w:r>
      <w:r>
        <w:t>exister.</w:t>
      </w:r>
      <w:r w:rsidRPr="002C4077">
        <w:t xml:space="preserve"> </w:t>
      </w:r>
      <w:r>
        <w:t>Je</w:t>
      </w:r>
      <w:r w:rsidRPr="002C4077">
        <w:t xml:space="preserve"> </w:t>
      </w:r>
      <w:r>
        <w:t>ne</w:t>
      </w:r>
      <w:r w:rsidRPr="002C4077">
        <w:t xml:space="preserve"> </w:t>
      </w:r>
      <w:r>
        <w:t>vous</w:t>
      </w:r>
      <w:r w:rsidRPr="002C4077">
        <w:t xml:space="preserve"> </w:t>
      </w:r>
      <w:r>
        <w:t>connais</w:t>
      </w:r>
      <w:r w:rsidRPr="002C4077">
        <w:t xml:space="preserve"> </w:t>
      </w:r>
      <w:r>
        <w:t>pas,</w:t>
      </w:r>
      <w:r w:rsidRPr="002C4077">
        <w:t xml:space="preserve"> </w:t>
      </w:r>
      <w:r>
        <w:t>ou</w:t>
      </w:r>
      <w:r w:rsidRPr="002C4077">
        <w:t xml:space="preserve"> </w:t>
      </w:r>
      <w:r>
        <w:t>—</w:t>
      </w:r>
      <w:r w:rsidRPr="002C4077">
        <w:t xml:space="preserve"> </w:t>
      </w:r>
      <w:r>
        <w:t>la</w:t>
      </w:r>
      <w:r w:rsidRPr="002C4077">
        <w:t xml:space="preserve"> </w:t>
      </w:r>
      <w:r>
        <w:t>phrase</w:t>
      </w:r>
      <w:r w:rsidRPr="002C4077">
        <w:t xml:space="preserve"> </w:t>
      </w:r>
      <w:r>
        <w:t>sera</w:t>
      </w:r>
      <w:r w:rsidRPr="002C4077">
        <w:t xml:space="preserve"> </w:t>
      </w:r>
      <w:r>
        <w:t>peut-être</w:t>
      </w:r>
      <w:r w:rsidRPr="002C4077">
        <w:t xml:space="preserve"> </w:t>
      </w:r>
      <w:r>
        <w:t>ainsi</w:t>
      </w:r>
      <w:r w:rsidRPr="002C4077">
        <w:t xml:space="preserve"> </w:t>
      </w:r>
      <w:r>
        <w:t>plus</w:t>
      </w:r>
      <w:r w:rsidRPr="002C4077">
        <w:t xml:space="preserve"> </w:t>
      </w:r>
      <w:r>
        <w:t>exacte</w:t>
      </w:r>
      <w:r w:rsidRPr="002C4077">
        <w:t xml:space="preserve"> </w:t>
      </w:r>
      <w:r>
        <w:t>—</w:t>
      </w:r>
      <w:r w:rsidRPr="002C4077">
        <w:t xml:space="preserve"> </w:t>
      </w:r>
      <w:r>
        <w:t>j’ai</w:t>
      </w:r>
      <w:r w:rsidRPr="002C4077">
        <w:t xml:space="preserve"> </w:t>
      </w:r>
      <w:r>
        <w:t>l’air</w:t>
      </w:r>
      <w:r w:rsidRPr="002C4077">
        <w:t xml:space="preserve"> </w:t>
      </w:r>
      <w:r>
        <w:t>de</w:t>
      </w:r>
      <w:r w:rsidRPr="002C4077">
        <w:t xml:space="preserve"> </w:t>
      </w:r>
      <w:r>
        <w:t>ne</w:t>
      </w:r>
      <w:r w:rsidRPr="002C4077">
        <w:t xml:space="preserve"> </w:t>
      </w:r>
      <w:r>
        <w:t>vous</w:t>
      </w:r>
      <w:r w:rsidRPr="002C4077">
        <w:t xml:space="preserve"> </w:t>
      </w:r>
      <w:r>
        <w:t>pas</w:t>
      </w:r>
      <w:r w:rsidRPr="002C4077">
        <w:t xml:space="preserve"> </w:t>
      </w:r>
      <w:r>
        <w:t>connaître</w:t>
      </w:r>
      <w:r w:rsidR="00B546AF">
        <w:t> ;</w:t>
      </w:r>
      <w:r w:rsidRPr="002C4077">
        <w:t xml:space="preserve"> </w:t>
      </w:r>
      <w:r>
        <w:t>donc</w:t>
      </w:r>
      <w:r w:rsidRPr="002C4077">
        <w:t xml:space="preserve"> </w:t>
      </w:r>
      <w:r>
        <w:t>vous</w:t>
      </w:r>
      <w:r w:rsidRPr="002C4077">
        <w:t xml:space="preserve"> </w:t>
      </w:r>
      <w:r>
        <w:t>n’êtes</w:t>
      </w:r>
      <w:r w:rsidRPr="002C4077">
        <w:t xml:space="preserve"> </w:t>
      </w:r>
      <w:r>
        <w:t>pas</w:t>
      </w:r>
      <w:r w:rsidRPr="002C4077">
        <w:t xml:space="preserve"> </w:t>
      </w:r>
      <w:r>
        <w:t>du</w:t>
      </w:r>
      <w:r w:rsidRPr="002C4077">
        <w:t xml:space="preserve"> </w:t>
      </w:r>
      <w:r>
        <w:t>nombre</w:t>
      </w:r>
      <w:r w:rsidRPr="002C4077">
        <w:t xml:space="preserve"> </w:t>
      </w:r>
      <w:r>
        <w:t>des</w:t>
      </w:r>
      <w:r w:rsidRPr="002C4077">
        <w:t xml:space="preserve"> </w:t>
      </w:r>
      <w:r>
        <w:t>vivants.</w:t>
      </w:r>
      <w:r w:rsidR="00C45B47">
        <w:t xml:space="preserve"> {</w:t>
      </w:r>
      <w:r w:rsidR="00B53529">
        <w:t>168</w:t>
      </w:r>
      <w:bookmarkStart w:id="447" w:name="p168"/>
      <w:bookmarkEnd w:id="447"/>
      <w:r w:rsidR="00B53529">
        <w:t xml:space="preserve">} </w:t>
      </w:r>
      <w:r>
        <w:t>Le</w:t>
      </w:r>
      <w:r w:rsidRPr="002C4077">
        <w:t xml:space="preserve"> </w:t>
      </w:r>
      <w:r>
        <w:t>raisonnement</w:t>
      </w:r>
      <w:r w:rsidRPr="002C4077">
        <w:t xml:space="preserve"> </w:t>
      </w:r>
      <w:r w:rsidR="00425C50">
        <w:t>est</w:t>
      </w:r>
      <w:r>
        <w:t>-il</w:t>
      </w:r>
      <w:r w:rsidRPr="002C4077">
        <w:t xml:space="preserve"> </w:t>
      </w:r>
      <w:r>
        <w:t>bien</w:t>
      </w:r>
      <w:r w:rsidRPr="002C4077">
        <w:t xml:space="preserve"> </w:t>
      </w:r>
      <w:r>
        <w:t>convaincant</w:t>
      </w:r>
      <w:r w:rsidR="00B546AF">
        <w:t> ?</w:t>
      </w:r>
      <w:r w:rsidRPr="002C4077">
        <w:t xml:space="preserve"> </w:t>
      </w:r>
    </w:p>
    <w:p w:rsidR="000A7AAB" w:rsidRDefault="000A7AAB" w:rsidP="000A7AAB">
      <w:r>
        <w:t>Une</w:t>
      </w:r>
      <w:r w:rsidRPr="002C4077">
        <w:t xml:space="preserve"> </w:t>
      </w:r>
      <w:r>
        <w:t>simple</w:t>
      </w:r>
      <w:r w:rsidRPr="002C4077">
        <w:t xml:space="preserve"> </w:t>
      </w:r>
      <w:r>
        <w:t>nomenclature</w:t>
      </w:r>
      <w:r w:rsidRPr="002C4077">
        <w:t xml:space="preserve"> </w:t>
      </w:r>
      <w:r>
        <w:t>dissipera,</w:t>
      </w:r>
      <w:r w:rsidRPr="002C4077">
        <w:t xml:space="preserve"> </w:t>
      </w:r>
      <w:r>
        <w:t>si</w:t>
      </w:r>
      <w:r w:rsidRPr="002C4077">
        <w:t xml:space="preserve"> </w:t>
      </w:r>
      <w:r>
        <w:t>elles</w:t>
      </w:r>
      <w:r w:rsidRPr="002C4077">
        <w:t xml:space="preserve"> </w:t>
      </w:r>
      <w:r>
        <w:t>consentent</w:t>
      </w:r>
      <w:r w:rsidRPr="002C4077">
        <w:t xml:space="preserve"> </w:t>
      </w:r>
      <w:r>
        <w:t>à</w:t>
      </w:r>
      <w:r w:rsidRPr="002C4077">
        <w:t xml:space="preserve"> </w:t>
      </w:r>
      <w:r>
        <w:t>être</w:t>
      </w:r>
      <w:r w:rsidRPr="002C4077">
        <w:t xml:space="preserve"> </w:t>
      </w:r>
      <w:r>
        <w:t>dissipées,</w:t>
      </w:r>
      <w:r w:rsidRPr="002C4077">
        <w:t xml:space="preserve"> </w:t>
      </w:r>
      <w:r>
        <w:t>les</w:t>
      </w:r>
      <w:r w:rsidRPr="002C4077">
        <w:t xml:space="preserve"> </w:t>
      </w:r>
      <w:r>
        <w:t>illusions</w:t>
      </w:r>
      <w:r w:rsidRPr="002C4077">
        <w:t xml:space="preserve"> </w:t>
      </w:r>
      <w:r>
        <w:t>de</w:t>
      </w:r>
      <w:r w:rsidRPr="002C4077">
        <w:t xml:space="preserve"> </w:t>
      </w:r>
      <w:r>
        <w:t>M.</w:t>
      </w:r>
      <w:r w:rsidRPr="002C4077">
        <w:t xml:space="preserve"> </w:t>
      </w:r>
      <w:r>
        <w:t>Soury.</w:t>
      </w:r>
      <w:r w:rsidRPr="002C4077">
        <w:t xml:space="preserve"> </w:t>
      </w:r>
      <w:r>
        <w:t>Comme</w:t>
      </w:r>
      <w:r w:rsidRPr="002C4077">
        <w:t xml:space="preserve"> </w:t>
      </w:r>
      <w:r>
        <w:t>on</w:t>
      </w:r>
      <w:r w:rsidRPr="002C4077">
        <w:t xml:space="preserve"> </w:t>
      </w:r>
      <w:r>
        <w:t>nous</w:t>
      </w:r>
      <w:r w:rsidRPr="002C4077">
        <w:t xml:space="preserve"> </w:t>
      </w:r>
      <w:r>
        <w:t>donne</w:t>
      </w:r>
      <w:r w:rsidRPr="002C4077">
        <w:t xml:space="preserve"> </w:t>
      </w:r>
      <w:r>
        <w:t>de</w:t>
      </w:r>
      <w:r w:rsidRPr="002C4077">
        <w:t xml:space="preserve"> </w:t>
      </w:r>
      <w:r>
        <w:t>la</w:t>
      </w:r>
      <w:r w:rsidRPr="002C4077">
        <w:t xml:space="preserve"> </w:t>
      </w:r>
      <w:r>
        <w:t>marge</w:t>
      </w:r>
      <w:r w:rsidRPr="002C4077">
        <w:t xml:space="preserve"> </w:t>
      </w:r>
      <w:r>
        <w:t>en</w:t>
      </w:r>
      <w:r w:rsidRPr="002C4077">
        <w:t xml:space="preserve"> </w:t>
      </w:r>
      <w:r>
        <w:t>parlant</w:t>
      </w:r>
      <w:r w:rsidRPr="002C4077">
        <w:t xml:space="preserve"> </w:t>
      </w:r>
      <w:r>
        <w:t>de</w:t>
      </w:r>
      <w:r w:rsidRPr="002C4077">
        <w:t xml:space="preserve"> </w:t>
      </w:r>
      <w:r w:rsidR="00B546AF">
        <w:t>« </w:t>
      </w:r>
      <w:r>
        <w:t>plusieurs</w:t>
      </w:r>
      <w:r w:rsidRPr="002C4077">
        <w:t xml:space="preserve"> </w:t>
      </w:r>
      <w:r>
        <w:t>siècles</w:t>
      </w:r>
      <w:r w:rsidR="00B546AF">
        <w:t> »</w:t>
      </w:r>
      <w:r>
        <w:t>,</w:t>
      </w:r>
      <w:r w:rsidRPr="002C4077">
        <w:t xml:space="preserve"> </w:t>
      </w:r>
      <w:r>
        <w:t>notre</w:t>
      </w:r>
      <w:r w:rsidRPr="002C4077">
        <w:t xml:space="preserve"> </w:t>
      </w:r>
      <w:r>
        <w:t>liste</w:t>
      </w:r>
      <w:r w:rsidRPr="002C4077">
        <w:t xml:space="preserve"> </w:t>
      </w:r>
      <w:r>
        <w:t>pourrait</w:t>
      </w:r>
      <w:r w:rsidRPr="002C4077">
        <w:t xml:space="preserve"> </w:t>
      </w:r>
      <w:r>
        <w:t>être</w:t>
      </w:r>
      <w:r w:rsidRPr="002C4077">
        <w:t xml:space="preserve"> </w:t>
      </w:r>
      <w:r>
        <w:t>bien</w:t>
      </w:r>
      <w:r w:rsidRPr="002C4077">
        <w:t xml:space="preserve"> </w:t>
      </w:r>
      <w:r>
        <w:t>longue</w:t>
      </w:r>
      <w:r w:rsidR="00B546AF">
        <w:t> !</w:t>
      </w:r>
      <w:r w:rsidRPr="002C4077">
        <w:t xml:space="preserve"> </w:t>
      </w:r>
      <w:r>
        <w:t>Mais</w:t>
      </w:r>
      <w:r w:rsidRPr="002C4077">
        <w:t xml:space="preserve"> </w:t>
      </w:r>
      <w:r>
        <w:t>nous</w:t>
      </w:r>
      <w:r w:rsidRPr="002C4077">
        <w:t xml:space="preserve"> </w:t>
      </w:r>
      <w:r>
        <w:t>ne</w:t>
      </w:r>
      <w:r w:rsidRPr="002C4077">
        <w:t xml:space="preserve"> </w:t>
      </w:r>
      <w:r>
        <w:t>voulons</w:t>
      </w:r>
      <w:r w:rsidRPr="002C4077">
        <w:t xml:space="preserve"> </w:t>
      </w:r>
      <w:r>
        <w:t>mentionner</w:t>
      </w:r>
      <w:r w:rsidRPr="002C4077">
        <w:t xml:space="preserve"> </w:t>
      </w:r>
      <w:r>
        <w:t>que</w:t>
      </w:r>
      <w:r w:rsidRPr="002C4077">
        <w:t xml:space="preserve"> </w:t>
      </w:r>
      <w:r>
        <w:t>les</w:t>
      </w:r>
      <w:r w:rsidRPr="002C4077">
        <w:t xml:space="preserve"> </w:t>
      </w:r>
      <w:r>
        <w:t>plus</w:t>
      </w:r>
      <w:r w:rsidRPr="002C4077">
        <w:t xml:space="preserve"> </w:t>
      </w:r>
      <w:r>
        <w:t>critiques</w:t>
      </w:r>
      <w:r w:rsidRPr="002C4077">
        <w:t xml:space="preserve"> </w:t>
      </w:r>
      <w:r>
        <w:t>d’entre</w:t>
      </w:r>
      <w:r w:rsidRPr="002C4077">
        <w:t xml:space="preserve"> </w:t>
      </w:r>
      <w:r>
        <w:t>nos</w:t>
      </w:r>
      <w:r w:rsidRPr="002C4077">
        <w:t xml:space="preserve"> </w:t>
      </w:r>
      <w:r>
        <w:t>exégètes,</w:t>
      </w:r>
      <w:r w:rsidRPr="002C4077">
        <w:t xml:space="preserve"> </w:t>
      </w:r>
      <w:r>
        <w:t>et</w:t>
      </w:r>
      <w:r w:rsidRPr="002C4077">
        <w:t xml:space="preserve"> </w:t>
      </w:r>
      <w:r>
        <w:t>nous</w:t>
      </w:r>
      <w:r w:rsidRPr="002C4077">
        <w:t xml:space="preserve"> </w:t>
      </w:r>
      <w:r>
        <w:t>ne</w:t>
      </w:r>
      <w:r w:rsidRPr="002C4077">
        <w:t xml:space="preserve"> </w:t>
      </w:r>
      <w:r>
        <w:t>remonterons</w:t>
      </w:r>
      <w:r w:rsidRPr="002C4077">
        <w:t xml:space="preserve"> </w:t>
      </w:r>
      <w:r>
        <w:t>pas</w:t>
      </w:r>
      <w:r w:rsidRPr="002C4077">
        <w:t xml:space="preserve"> </w:t>
      </w:r>
      <w:r>
        <w:t>au</w:t>
      </w:r>
      <w:r w:rsidRPr="002C4077">
        <w:t xml:space="preserve"> </w:t>
      </w:r>
      <w:r>
        <w:t>delà</w:t>
      </w:r>
      <w:r w:rsidRPr="002C4077">
        <w:t xml:space="preserve"> </w:t>
      </w:r>
      <w:r>
        <w:t>des</w:t>
      </w:r>
      <w:r w:rsidRPr="002C4077">
        <w:t xml:space="preserve"> </w:t>
      </w:r>
      <w:r>
        <w:t>temps</w:t>
      </w:r>
      <w:r w:rsidRPr="002C4077">
        <w:t xml:space="preserve"> </w:t>
      </w:r>
      <w:r>
        <w:t>modernes</w:t>
      </w:r>
      <w:r w:rsidR="00B91AF7">
        <w:rPr>
          <w:rStyle w:val="Appelnotedebasdep"/>
        </w:rPr>
        <w:footnoteReference w:id="502"/>
      </w:r>
      <w:r>
        <w:t>.</w:t>
      </w:r>
      <w:r w:rsidRPr="002C4077">
        <w:t xml:space="preserve"> </w:t>
      </w:r>
    </w:p>
    <w:p w:rsidR="000A7AAB" w:rsidRDefault="000A7AAB" w:rsidP="000A7AAB">
      <w:r w:rsidRPr="000A34B5">
        <w:rPr>
          <w:rStyle w:val="italicus"/>
        </w:rPr>
        <w:t>X</w:t>
      </w:r>
      <w:r w:rsidR="007B3C26">
        <w:rPr>
          <w:rStyle w:val="italicus"/>
        </w:rPr>
        <w:t>VI</w:t>
      </w:r>
      <w:r w:rsidR="007B3C26" w:rsidRPr="007B3C26">
        <w:rPr>
          <w:rStyle w:val="italicus"/>
          <w:vertAlign w:val="superscript"/>
        </w:rPr>
        <w:t>e</w:t>
      </w:r>
      <w:r w:rsidRPr="002C4077">
        <w:t xml:space="preserve"> </w:t>
      </w:r>
      <w:r w:rsidRPr="000A34B5">
        <w:rPr>
          <w:rStyle w:val="italicus"/>
        </w:rPr>
        <w:t>siècle.</w:t>
      </w:r>
      <w:bookmarkStart w:id="448" w:name="z_CommentateursCath_o1"/>
      <w:bookmarkEnd w:id="448"/>
      <w:r w:rsidRPr="002C4077">
        <w:t xml:space="preserve"> </w:t>
      </w:r>
      <w:r>
        <w:t>—</w:t>
      </w:r>
      <w:r w:rsidRPr="002C4077">
        <w:t xml:space="preserve"> </w:t>
      </w:r>
      <w:r w:rsidR="001A54EA">
        <w:t>Sante</w:t>
      </w:r>
      <w:r w:rsidRPr="002C4077">
        <w:t xml:space="preserve"> </w:t>
      </w:r>
      <w:r>
        <w:t>Pagnino</w:t>
      </w:r>
      <w:r w:rsidR="00B546AF">
        <w:t> :</w:t>
      </w:r>
      <w:r w:rsidRPr="002C4077">
        <w:t xml:space="preserve"> </w:t>
      </w:r>
      <w:r w:rsidR="00514F08" w:rsidRPr="000A34B5">
        <w:rPr>
          <w:rStyle w:val="italicus"/>
        </w:rPr>
        <w:t>Caténa</w:t>
      </w:r>
      <w:r w:rsidRPr="002C4077">
        <w:t xml:space="preserve"> </w:t>
      </w:r>
      <w:r w:rsidR="00514F08" w:rsidRPr="000A34B5">
        <w:rPr>
          <w:rStyle w:val="italicus"/>
        </w:rPr>
        <w:t>argéntea</w:t>
      </w:r>
      <w:r w:rsidR="00514F08" w:rsidRPr="002C4077">
        <w:t xml:space="preserve"> </w:t>
      </w:r>
      <w:r w:rsidR="00514F08">
        <w:rPr>
          <w:rStyle w:val="italicus"/>
        </w:rPr>
        <w:t>in</w:t>
      </w:r>
      <w:r w:rsidR="00514F08" w:rsidRPr="002C4077">
        <w:t xml:space="preserve"> </w:t>
      </w:r>
      <w:r w:rsidR="00514F08">
        <w:rPr>
          <w:rStyle w:val="italicus"/>
        </w:rPr>
        <w:t>Pentatéu</w:t>
      </w:r>
      <w:r w:rsidRPr="000A34B5">
        <w:rPr>
          <w:rStyle w:val="italicus"/>
        </w:rPr>
        <w:t>chum,</w:t>
      </w:r>
      <w:r w:rsidRPr="002C4077">
        <w:t xml:space="preserve"> </w:t>
      </w:r>
      <w:r>
        <w:t>savant</w:t>
      </w:r>
      <w:r w:rsidRPr="002C4077">
        <w:t xml:space="preserve"> </w:t>
      </w:r>
      <w:r>
        <w:t>recueil</w:t>
      </w:r>
      <w:r w:rsidRPr="002C4077">
        <w:t xml:space="preserve"> </w:t>
      </w:r>
      <w:r>
        <w:t>de</w:t>
      </w:r>
      <w:r w:rsidRPr="002C4077">
        <w:t xml:space="preserve"> </w:t>
      </w:r>
      <w:r>
        <w:t>commentaires</w:t>
      </w:r>
      <w:r w:rsidRPr="002C4077">
        <w:t xml:space="preserve"> </w:t>
      </w:r>
      <w:r>
        <w:t>latins,</w:t>
      </w:r>
      <w:r w:rsidRPr="002C4077">
        <w:t xml:space="preserve"> </w:t>
      </w:r>
      <w:r>
        <w:t>grecs,</w:t>
      </w:r>
      <w:r w:rsidRPr="002C4077">
        <w:t xml:space="preserve"> </w:t>
      </w:r>
      <w:r>
        <w:t>hébreux</w:t>
      </w:r>
      <w:r w:rsidRPr="002C4077">
        <w:t xml:space="preserve"> </w:t>
      </w:r>
      <w:r>
        <w:t>même</w:t>
      </w:r>
      <w:r w:rsidR="00B546AF">
        <w:t> ;</w:t>
      </w:r>
      <w:r w:rsidRPr="002C4077">
        <w:t xml:space="preserve"> </w:t>
      </w:r>
      <w:r w:rsidR="00514F08" w:rsidRPr="000A34B5">
        <w:rPr>
          <w:rStyle w:val="italicus"/>
        </w:rPr>
        <w:t>Véteris</w:t>
      </w:r>
      <w:r w:rsidRPr="002C4077">
        <w:t xml:space="preserve"> </w:t>
      </w:r>
      <w:r w:rsidRPr="000A34B5">
        <w:rPr>
          <w:rStyle w:val="italicus"/>
        </w:rPr>
        <w:t>et</w:t>
      </w:r>
      <w:r w:rsidRPr="002C4077">
        <w:t xml:space="preserve"> </w:t>
      </w:r>
      <w:r w:rsidRPr="000A34B5">
        <w:rPr>
          <w:rStyle w:val="italicus"/>
        </w:rPr>
        <w:t>Novi</w:t>
      </w:r>
      <w:r w:rsidRPr="002C4077">
        <w:t xml:space="preserve"> </w:t>
      </w:r>
      <w:r w:rsidR="00514F08" w:rsidRPr="000A34B5">
        <w:rPr>
          <w:rStyle w:val="italicus"/>
        </w:rPr>
        <w:t>Testaménti</w:t>
      </w:r>
      <w:r w:rsidRPr="002C4077">
        <w:t xml:space="preserve"> </w:t>
      </w:r>
      <w:r w:rsidRPr="000A34B5">
        <w:rPr>
          <w:rStyle w:val="italicus"/>
        </w:rPr>
        <w:t>nova</w:t>
      </w:r>
      <w:r w:rsidRPr="002C4077">
        <w:t xml:space="preserve"> </w:t>
      </w:r>
      <w:r w:rsidRPr="000A34B5">
        <w:rPr>
          <w:rStyle w:val="italicus"/>
        </w:rPr>
        <w:t>transl</w:t>
      </w:r>
      <w:r w:rsidR="003B53FD">
        <w:rPr>
          <w:rStyle w:val="italicus"/>
        </w:rPr>
        <w:t>á</w:t>
      </w:r>
      <w:r w:rsidR="003B53FD" w:rsidRPr="000A34B5">
        <w:rPr>
          <w:rStyle w:val="italicus"/>
        </w:rPr>
        <w:t>tio</w:t>
      </w:r>
      <w:r w:rsidRPr="000A34B5">
        <w:rPr>
          <w:rStyle w:val="italicus"/>
        </w:rPr>
        <w:t>,</w:t>
      </w:r>
      <w:r w:rsidRPr="002C4077">
        <w:t xml:space="preserve"> </w:t>
      </w:r>
      <w:r>
        <w:t>traduction</w:t>
      </w:r>
      <w:r w:rsidRPr="002C4077">
        <w:t xml:space="preserve"> </w:t>
      </w:r>
      <w:r>
        <w:t>d’après</w:t>
      </w:r>
      <w:r w:rsidRPr="002C4077">
        <w:t xml:space="preserve"> </w:t>
      </w:r>
      <w:r>
        <w:t>les</w:t>
      </w:r>
      <w:r w:rsidRPr="002C4077">
        <w:t xml:space="preserve"> </w:t>
      </w:r>
      <w:r>
        <w:t>textes</w:t>
      </w:r>
      <w:r w:rsidRPr="002C4077">
        <w:t xml:space="preserve"> </w:t>
      </w:r>
      <w:r>
        <w:t>primitifs,</w:t>
      </w:r>
      <w:r w:rsidRPr="002C4077">
        <w:t xml:space="preserve"> </w:t>
      </w:r>
      <w:r>
        <w:t>reproduite</w:t>
      </w:r>
      <w:r w:rsidRPr="002C4077">
        <w:t xml:space="preserve"> </w:t>
      </w:r>
      <w:r>
        <w:t>dans</w:t>
      </w:r>
      <w:r w:rsidRPr="002C4077">
        <w:t xml:space="preserve"> </w:t>
      </w:r>
      <w:r>
        <w:t>la</w:t>
      </w:r>
      <w:r w:rsidRPr="002C4077">
        <w:t xml:space="preserve"> </w:t>
      </w:r>
      <w:r w:rsidRPr="000A34B5">
        <w:rPr>
          <w:rStyle w:val="italicus"/>
        </w:rPr>
        <w:t>Polyglotte</w:t>
      </w:r>
      <w:r w:rsidRPr="002C4077">
        <w:t xml:space="preserve"> </w:t>
      </w:r>
      <w:r w:rsidRPr="000A34B5">
        <w:rPr>
          <w:rStyle w:val="italicus"/>
        </w:rPr>
        <w:t>d’Anvers</w:t>
      </w:r>
      <w:r w:rsidR="00B546AF">
        <w:rPr>
          <w:rStyle w:val="italicus"/>
        </w:rPr>
        <w:t> </w:t>
      </w:r>
      <w:r w:rsidR="00B546AF" w:rsidRPr="000A34B5">
        <w:rPr>
          <w:rStyle w:val="italicus"/>
        </w:rPr>
        <w:t>;</w:t>
      </w:r>
      <w:r w:rsidRPr="002C4077">
        <w:t xml:space="preserve"> </w:t>
      </w:r>
      <w:r w:rsidRPr="000A34B5">
        <w:rPr>
          <w:rStyle w:val="italicus"/>
        </w:rPr>
        <w:t>Thésaurus</w:t>
      </w:r>
      <w:r w:rsidRPr="002C4077">
        <w:t xml:space="preserve"> </w:t>
      </w:r>
      <w:r w:rsidR="00514F08" w:rsidRPr="000A34B5">
        <w:rPr>
          <w:rStyle w:val="italicus"/>
        </w:rPr>
        <w:t>linguæ</w:t>
      </w:r>
      <w:r w:rsidRPr="002C4077">
        <w:t xml:space="preserve"> </w:t>
      </w:r>
      <w:r w:rsidRPr="000A34B5">
        <w:rPr>
          <w:rStyle w:val="italicus"/>
        </w:rPr>
        <w:t>sanctæ,</w:t>
      </w:r>
      <w:r w:rsidRPr="002C4077">
        <w:t xml:space="preserve"> </w:t>
      </w:r>
      <w:r>
        <w:t>que</w:t>
      </w:r>
      <w:r w:rsidRPr="002C4077">
        <w:t xml:space="preserve"> </w:t>
      </w:r>
      <w:r>
        <w:t>Ges</w:t>
      </w:r>
      <w:r w:rsidR="003B53FD">
        <w:t>énius</w:t>
      </w:r>
      <w:r>
        <w:t>,</w:t>
      </w:r>
      <w:r w:rsidRPr="002C4077">
        <w:t xml:space="preserve"> </w:t>
      </w:r>
      <w:r>
        <w:t>l’un</w:t>
      </w:r>
      <w:r w:rsidRPr="002C4077">
        <w:t xml:space="preserve"> </w:t>
      </w:r>
      <w:r>
        <w:t>des</w:t>
      </w:r>
      <w:r w:rsidRPr="002C4077">
        <w:t xml:space="preserve"> </w:t>
      </w:r>
      <w:r>
        <w:t>plus</w:t>
      </w:r>
      <w:r w:rsidRPr="002C4077">
        <w:t xml:space="preserve"> </w:t>
      </w:r>
      <w:r>
        <w:t>doctes</w:t>
      </w:r>
      <w:r w:rsidRPr="002C4077">
        <w:t xml:space="preserve"> </w:t>
      </w:r>
      <w:r>
        <w:t>hébraïsants</w:t>
      </w:r>
      <w:r w:rsidRPr="002C4077">
        <w:t xml:space="preserve"> </w:t>
      </w:r>
      <w:r>
        <w:t>contemporains,</w:t>
      </w:r>
      <w:r w:rsidRPr="002C4077">
        <w:t xml:space="preserve"> </w:t>
      </w:r>
      <w:r>
        <w:t>n’a</w:t>
      </w:r>
      <w:r w:rsidRPr="002C4077">
        <w:t xml:space="preserve"> </w:t>
      </w:r>
      <w:r>
        <w:t>pas</w:t>
      </w:r>
      <w:r w:rsidRPr="002C4077">
        <w:t xml:space="preserve"> </w:t>
      </w:r>
      <w:r>
        <w:t>dédaigné</w:t>
      </w:r>
      <w:r w:rsidRPr="002C4077">
        <w:t xml:space="preserve"> </w:t>
      </w:r>
      <w:r>
        <w:t>de</w:t>
      </w:r>
      <w:r w:rsidRPr="002C4077">
        <w:t xml:space="preserve"> </w:t>
      </w:r>
      <w:r>
        <w:t>mettre</w:t>
      </w:r>
      <w:r w:rsidRPr="002C4077">
        <w:t xml:space="preserve"> </w:t>
      </w:r>
      <w:r>
        <w:t>à</w:t>
      </w:r>
      <w:r w:rsidRPr="002C4077">
        <w:t xml:space="preserve"> </w:t>
      </w:r>
      <w:r>
        <w:t>contribution.</w:t>
      </w:r>
      <w:r w:rsidRPr="002C4077">
        <w:t xml:space="preserve"> </w:t>
      </w:r>
    </w:p>
    <w:p w:rsidR="000A7AAB" w:rsidRDefault="000A7AAB" w:rsidP="000A7AAB">
      <w:r w:rsidRPr="0031378E">
        <w:rPr>
          <w:lang w:val="en-US"/>
        </w:rPr>
        <w:t>Vatable</w:t>
      </w:r>
      <w:r w:rsidR="00B546AF" w:rsidRPr="0031378E">
        <w:rPr>
          <w:lang w:val="en-US"/>
        </w:rPr>
        <w:t> :</w:t>
      </w:r>
      <w:r w:rsidRPr="0031378E">
        <w:rPr>
          <w:lang w:val="en-US"/>
        </w:rPr>
        <w:t xml:space="preserve"> </w:t>
      </w:r>
      <w:r w:rsidRPr="0031378E">
        <w:rPr>
          <w:rStyle w:val="italicus"/>
          <w:lang w:val="en-US"/>
        </w:rPr>
        <w:t>Annotat</w:t>
      </w:r>
      <w:r w:rsidR="003B53FD" w:rsidRPr="0031378E">
        <w:rPr>
          <w:rStyle w:val="italicus"/>
          <w:lang w:val="en-US"/>
        </w:rPr>
        <w:t>iónes</w:t>
      </w:r>
      <w:r w:rsidRPr="0031378E">
        <w:rPr>
          <w:lang w:val="en-US"/>
        </w:rPr>
        <w:t xml:space="preserve"> </w:t>
      </w:r>
      <w:r w:rsidRPr="0031378E">
        <w:rPr>
          <w:rStyle w:val="italicus"/>
          <w:lang w:val="en-US"/>
        </w:rPr>
        <w:t>in</w:t>
      </w:r>
      <w:r w:rsidRPr="0031378E">
        <w:rPr>
          <w:lang w:val="en-US"/>
        </w:rPr>
        <w:t xml:space="preserve"> </w:t>
      </w:r>
      <w:r w:rsidRPr="0031378E">
        <w:rPr>
          <w:rStyle w:val="italicus"/>
          <w:lang w:val="en-US"/>
        </w:rPr>
        <w:t>Vêtus</w:t>
      </w:r>
      <w:r w:rsidRPr="0031378E">
        <w:rPr>
          <w:lang w:val="en-US"/>
        </w:rPr>
        <w:t xml:space="preserve"> </w:t>
      </w:r>
      <w:r w:rsidRPr="0031378E">
        <w:rPr>
          <w:rStyle w:val="italicus"/>
          <w:lang w:val="en-US"/>
        </w:rPr>
        <w:t>Tes</w:t>
      </w:r>
      <w:r w:rsidR="003B53FD" w:rsidRPr="0031378E">
        <w:rPr>
          <w:rStyle w:val="italicus"/>
          <w:lang w:val="en-US"/>
        </w:rPr>
        <w:t>taméntum</w:t>
      </w:r>
      <w:r w:rsidRPr="0031378E">
        <w:rPr>
          <w:rStyle w:val="italicus"/>
          <w:lang w:val="en-US"/>
        </w:rPr>
        <w:t>.</w:t>
      </w:r>
      <w:r w:rsidRPr="0031378E">
        <w:rPr>
          <w:lang w:val="en-US"/>
        </w:rPr>
        <w:t xml:space="preserve"> </w:t>
      </w:r>
      <w:r>
        <w:t>Les</w:t>
      </w:r>
      <w:r w:rsidRPr="002C4077">
        <w:t xml:space="preserve"> </w:t>
      </w:r>
      <w:r>
        <w:t>protestants</w:t>
      </w:r>
      <w:r w:rsidRPr="002C4077">
        <w:t xml:space="preserve"> </w:t>
      </w:r>
      <w:r>
        <w:t>faisaient</w:t>
      </w:r>
      <w:r w:rsidRPr="002C4077">
        <w:t xml:space="preserve"> </w:t>
      </w:r>
      <w:r>
        <w:t>un</w:t>
      </w:r>
      <w:r w:rsidRPr="002C4077">
        <w:t xml:space="preserve"> </w:t>
      </w:r>
      <w:r>
        <w:t>tel</w:t>
      </w:r>
      <w:r w:rsidRPr="002C4077">
        <w:t xml:space="preserve"> </w:t>
      </w:r>
      <w:r>
        <w:t>cas</w:t>
      </w:r>
      <w:r w:rsidRPr="002C4077">
        <w:t xml:space="preserve"> </w:t>
      </w:r>
      <w:r>
        <w:t>de</w:t>
      </w:r>
      <w:r w:rsidRPr="002C4077">
        <w:t xml:space="preserve"> </w:t>
      </w:r>
      <w:r>
        <w:t>ces</w:t>
      </w:r>
      <w:r w:rsidRPr="002C4077">
        <w:t xml:space="preserve"> </w:t>
      </w:r>
      <w:r>
        <w:t>Notes,</w:t>
      </w:r>
      <w:r w:rsidRPr="002C4077">
        <w:t xml:space="preserve"> </w:t>
      </w:r>
      <w:r>
        <w:t>qu’ils</w:t>
      </w:r>
      <w:r w:rsidRPr="002C4077">
        <w:t xml:space="preserve"> </w:t>
      </w:r>
      <w:r>
        <w:t>se</w:t>
      </w:r>
      <w:r w:rsidRPr="002C4077">
        <w:t xml:space="preserve"> </w:t>
      </w:r>
      <w:r>
        <w:t>sont</w:t>
      </w:r>
      <w:r w:rsidRPr="002C4077">
        <w:t xml:space="preserve"> </w:t>
      </w:r>
      <w:r>
        <w:t>permis</w:t>
      </w:r>
      <w:r w:rsidRPr="002C4077">
        <w:t xml:space="preserve"> </w:t>
      </w:r>
      <w:r>
        <w:t>de</w:t>
      </w:r>
      <w:r w:rsidRPr="002C4077">
        <w:t xml:space="preserve"> </w:t>
      </w:r>
      <w:r>
        <w:t>les</w:t>
      </w:r>
      <w:r w:rsidRPr="002C4077">
        <w:t xml:space="preserve"> </w:t>
      </w:r>
      <w:r>
        <w:t>publier</w:t>
      </w:r>
      <w:r w:rsidRPr="002C4077">
        <w:t xml:space="preserve"> </w:t>
      </w:r>
      <w:r>
        <w:t>pour</w:t>
      </w:r>
      <w:r w:rsidRPr="002C4077">
        <w:t xml:space="preserve"> </w:t>
      </w:r>
      <w:r>
        <w:t>leur</w:t>
      </w:r>
      <w:r w:rsidRPr="002C4077">
        <w:t xml:space="preserve"> </w:t>
      </w:r>
      <w:r>
        <w:t>propre</w:t>
      </w:r>
      <w:r w:rsidRPr="002C4077">
        <w:t xml:space="preserve"> </w:t>
      </w:r>
      <w:r>
        <w:t>compte,</w:t>
      </w:r>
      <w:r w:rsidRPr="002C4077">
        <w:t xml:space="preserve"> </w:t>
      </w:r>
      <w:r>
        <w:t>mais</w:t>
      </w:r>
      <w:r w:rsidRPr="002C4077">
        <w:t xml:space="preserve"> </w:t>
      </w:r>
      <w:r>
        <w:t>après</w:t>
      </w:r>
      <w:r w:rsidRPr="002C4077">
        <w:t xml:space="preserve"> </w:t>
      </w:r>
      <w:r>
        <w:t>y</w:t>
      </w:r>
      <w:r w:rsidRPr="002C4077">
        <w:t xml:space="preserve"> </w:t>
      </w:r>
      <w:r>
        <w:t>avoir</w:t>
      </w:r>
      <w:r w:rsidRPr="002C4077">
        <w:t xml:space="preserve"> </w:t>
      </w:r>
      <w:r>
        <w:t>déversé</w:t>
      </w:r>
      <w:r w:rsidRPr="002C4077">
        <w:t xml:space="preserve"> </w:t>
      </w:r>
      <w:r>
        <w:t>leurs</w:t>
      </w:r>
      <w:r w:rsidRPr="002C4077">
        <w:t xml:space="preserve"> </w:t>
      </w:r>
      <w:r>
        <w:t>erreurs.</w:t>
      </w:r>
      <w:r w:rsidRPr="002C4077">
        <w:t xml:space="preserve"> </w:t>
      </w:r>
    </w:p>
    <w:p w:rsidR="000A7AAB" w:rsidRDefault="000A7AAB" w:rsidP="000A7AAB">
      <w:r>
        <w:t>André</w:t>
      </w:r>
      <w:r w:rsidRPr="002C4077">
        <w:t xml:space="preserve"> </w:t>
      </w:r>
      <w:r w:rsidR="00514F08">
        <w:t>Masius</w:t>
      </w:r>
      <w:r w:rsidR="00B546AF">
        <w:t> :</w:t>
      </w:r>
      <w:r w:rsidRPr="002C4077">
        <w:t xml:space="preserve"> </w:t>
      </w:r>
      <w:r w:rsidR="00514F08" w:rsidRPr="000A34B5">
        <w:rPr>
          <w:rStyle w:val="italicus"/>
        </w:rPr>
        <w:t>Jósue</w:t>
      </w:r>
      <w:r w:rsidRPr="002C4077">
        <w:t xml:space="preserve"> </w:t>
      </w:r>
      <w:r w:rsidRPr="000A34B5">
        <w:rPr>
          <w:rStyle w:val="italicus"/>
        </w:rPr>
        <w:t>imper</w:t>
      </w:r>
      <w:r w:rsidR="003B53FD" w:rsidRPr="000A34B5">
        <w:rPr>
          <w:rStyle w:val="italicus"/>
        </w:rPr>
        <w:t>at</w:t>
      </w:r>
      <w:r w:rsidR="003B53FD">
        <w:rPr>
          <w:rStyle w:val="italicus"/>
        </w:rPr>
        <w:t>ó</w:t>
      </w:r>
      <w:r w:rsidR="003B53FD" w:rsidRPr="000A34B5">
        <w:rPr>
          <w:rStyle w:val="italicus"/>
        </w:rPr>
        <w:t>ris</w:t>
      </w:r>
      <w:r w:rsidRPr="002C4077">
        <w:t xml:space="preserve"> </w:t>
      </w:r>
      <w:r w:rsidRPr="000A34B5">
        <w:rPr>
          <w:rStyle w:val="italicus"/>
        </w:rPr>
        <w:t>hist</w:t>
      </w:r>
      <w:r w:rsidR="003B53FD">
        <w:rPr>
          <w:rStyle w:val="italicus"/>
        </w:rPr>
        <w:t>ó</w:t>
      </w:r>
      <w:r w:rsidR="003B53FD" w:rsidRPr="000A34B5">
        <w:rPr>
          <w:rStyle w:val="italicus"/>
        </w:rPr>
        <w:t>ria</w:t>
      </w:r>
      <w:r w:rsidRPr="002C4077">
        <w:t xml:space="preserve"> </w:t>
      </w:r>
      <w:r w:rsidRPr="000A34B5">
        <w:rPr>
          <w:rStyle w:val="italicus"/>
        </w:rPr>
        <w:t>illu</w:t>
      </w:r>
      <w:r w:rsidR="003B53FD" w:rsidRPr="000A34B5">
        <w:rPr>
          <w:rStyle w:val="italicus"/>
        </w:rPr>
        <w:t>str</w:t>
      </w:r>
      <w:r w:rsidR="003B53FD">
        <w:rPr>
          <w:rStyle w:val="italicus"/>
        </w:rPr>
        <w:t>á</w:t>
      </w:r>
      <w:r w:rsidR="003B53FD" w:rsidRPr="000A34B5">
        <w:rPr>
          <w:rStyle w:val="italicus"/>
        </w:rPr>
        <w:t>ta</w:t>
      </w:r>
      <w:r w:rsidRPr="000A34B5">
        <w:rPr>
          <w:rStyle w:val="italicus"/>
        </w:rPr>
        <w:t>,</w:t>
      </w:r>
      <w:r w:rsidRPr="002C4077">
        <w:t xml:space="preserve"> </w:t>
      </w:r>
      <w:r>
        <w:t>et</w:t>
      </w:r>
      <w:r w:rsidRPr="002C4077">
        <w:t xml:space="preserve"> </w:t>
      </w:r>
      <w:r w:rsidRPr="000A34B5">
        <w:rPr>
          <w:rStyle w:val="italicus"/>
        </w:rPr>
        <w:t>De</w:t>
      </w:r>
      <w:r w:rsidRPr="002C4077">
        <w:t xml:space="preserve"> </w:t>
      </w:r>
      <w:r w:rsidRPr="000A34B5">
        <w:rPr>
          <w:rStyle w:val="italicus"/>
        </w:rPr>
        <w:t>Paradiso</w:t>
      </w:r>
      <w:r w:rsidRPr="002C4077">
        <w:t xml:space="preserve"> </w:t>
      </w:r>
      <w:r w:rsidRPr="000A34B5">
        <w:rPr>
          <w:rStyle w:val="italicus"/>
        </w:rPr>
        <w:t>comment</w:t>
      </w:r>
      <w:r w:rsidR="003B53FD">
        <w:rPr>
          <w:rStyle w:val="italicus"/>
        </w:rPr>
        <w:t>á</w:t>
      </w:r>
      <w:r w:rsidR="003B53FD" w:rsidRPr="000A34B5">
        <w:rPr>
          <w:rStyle w:val="italicus"/>
        </w:rPr>
        <w:t>rius</w:t>
      </w:r>
      <w:r w:rsidR="00B546AF">
        <w:rPr>
          <w:rStyle w:val="italicus"/>
        </w:rPr>
        <w:t> </w:t>
      </w:r>
      <w:r w:rsidR="00B546AF" w:rsidRPr="000A34B5">
        <w:rPr>
          <w:rStyle w:val="italicus"/>
        </w:rPr>
        <w:t>;</w:t>
      </w:r>
      <w:r w:rsidRPr="002C4077">
        <w:t xml:space="preserve"> </w:t>
      </w:r>
      <w:r>
        <w:t>deux</w:t>
      </w:r>
      <w:r w:rsidRPr="002C4077">
        <w:t xml:space="preserve"> </w:t>
      </w:r>
      <w:r>
        <w:t>ouvrages</w:t>
      </w:r>
      <w:r w:rsidRPr="002C4077">
        <w:t xml:space="preserve"> </w:t>
      </w:r>
      <w:r>
        <w:t>que</w:t>
      </w:r>
      <w:r w:rsidRPr="002C4077">
        <w:t xml:space="preserve"> </w:t>
      </w:r>
      <w:r>
        <w:t>les</w:t>
      </w:r>
      <w:r w:rsidRPr="002C4077">
        <w:t xml:space="preserve"> </w:t>
      </w:r>
      <w:r>
        <w:t>auteurs</w:t>
      </w:r>
      <w:r w:rsidRPr="004440EA">
        <w:t xml:space="preserve"> (</w:t>
      </w:r>
      <w:r>
        <w:t>protestants</w:t>
      </w:r>
      <w:r w:rsidR="00B546AF">
        <w:t> !</w:t>
      </w:r>
      <w:r w:rsidR="00B546AF" w:rsidRPr="002C4077">
        <w:t>)</w:t>
      </w:r>
      <w:r w:rsidRPr="002C4077">
        <w:t xml:space="preserve"> </w:t>
      </w:r>
      <w:r>
        <w:t>des</w:t>
      </w:r>
      <w:r w:rsidRPr="002C4077">
        <w:t xml:space="preserve"> </w:t>
      </w:r>
      <w:r w:rsidR="00514F08" w:rsidRPr="000A34B5">
        <w:rPr>
          <w:rStyle w:val="italicus"/>
        </w:rPr>
        <w:t>Crítici</w:t>
      </w:r>
      <w:r w:rsidRPr="002C4077">
        <w:t xml:space="preserve"> </w:t>
      </w:r>
      <w:r w:rsidRPr="000A34B5">
        <w:rPr>
          <w:rStyle w:val="italicus"/>
        </w:rPr>
        <w:t>sacri</w:t>
      </w:r>
      <w:r w:rsidRPr="002C4077">
        <w:t xml:space="preserve"> </w:t>
      </w:r>
      <w:r>
        <w:t>ont</w:t>
      </w:r>
      <w:r w:rsidRPr="002C4077">
        <w:t xml:space="preserve"> </w:t>
      </w:r>
      <w:r>
        <w:t>jugés</w:t>
      </w:r>
      <w:r w:rsidRPr="002C4077">
        <w:t xml:space="preserve"> </w:t>
      </w:r>
      <w:r>
        <w:t>dignes</w:t>
      </w:r>
      <w:r w:rsidRPr="002C4077">
        <w:t xml:space="preserve"> </w:t>
      </w:r>
      <w:r>
        <w:t>de</w:t>
      </w:r>
      <w:r w:rsidRPr="002C4077">
        <w:t xml:space="preserve"> </w:t>
      </w:r>
      <w:r>
        <w:t>leur</w:t>
      </w:r>
      <w:r w:rsidRPr="002C4077">
        <w:t xml:space="preserve"> </w:t>
      </w:r>
      <w:r>
        <w:t>docte</w:t>
      </w:r>
      <w:r w:rsidRPr="002C4077">
        <w:t xml:space="preserve"> </w:t>
      </w:r>
      <w:r>
        <w:t>collection.</w:t>
      </w:r>
      <w:r w:rsidRPr="002C4077">
        <w:t xml:space="preserve"> </w:t>
      </w:r>
    </w:p>
    <w:p w:rsidR="000A7AAB" w:rsidRPr="00B53529" w:rsidRDefault="000A7AAB" w:rsidP="000A7AAB">
      <w:r>
        <w:t>Cornélius</w:t>
      </w:r>
      <w:r w:rsidRPr="002C4077">
        <w:t xml:space="preserve"> </w:t>
      </w:r>
      <w:r>
        <w:t>Jans</w:t>
      </w:r>
      <w:r w:rsidR="003B53FD">
        <w:t>énius</w:t>
      </w:r>
      <w:r>
        <w:t>,</w:t>
      </w:r>
      <w:r w:rsidR="00425C50" w:rsidRPr="002C4077">
        <w:t xml:space="preserve"> </w:t>
      </w:r>
      <w:r w:rsidR="00425C50">
        <w:t>évêque</w:t>
      </w:r>
      <w:r w:rsidRPr="002C4077">
        <w:t xml:space="preserve"> </w:t>
      </w:r>
      <w:r>
        <w:t>de</w:t>
      </w:r>
      <w:r w:rsidRPr="002C4077">
        <w:t xml:space="preserve"> </w:t>
      </w:r>
      <w:r>
        <w:t>Gand,</w:t>
      </w:r>
      <w:r w:rsidRPr="002C4077">
        <w:t xml:space="preserve"> </w:t>
      </w:r>
      <w:r>
        <w:t>dont</w:t>
      </w:r>
      <w:r w:rsidRPr="002C4077">
        <w:t xml:space="preserve"> </w:t>
      </w:r>
      <w:r>
        <w:t>le</w:t>
      </w:r>
      <w:r w:rsidRPr="002C4077">
        <w:t xml:space="preserve"> </w:t>
      </w:r>
      <w:r w:rsidRPr="000A34B5">
        <w:rPr>
          <w:rStyle w:val="italicus"/>
        </w:rPr>
        <w:t>Comment</w:t>
      </w:r>
      <w:r w:rsidR="003B53FD">
        <w:rPr>
          <w:rStyle w:val="italicus"/>
        </w:rPr>
        <w:t>á</w:t>
      </w:r>
      <w:r w:rsidR="003B53FD" w:rsidRPr="000A34B5">
        <w:rPr>
          <w:rStyle w:val="italicus"/>
        </w:rPr>
        <w:t>rius</w:t>
      </w:r>
      <w:r w:rsidRPr="002C4077">
        <w:t xml:space="preserve"> </w:t>
      </w:r>
      <w:r w:rsidRPr="000A34B5">
        <w:rPr>
          <w:rStyle w:val="italicus"/>
        </w:rPr>
        <w:t>in</w:t>
      </w:r>
      <w:r w:rsidRPr="002C4077">
        <w:t xml:space="preserve"> </w:t>
      </w:r>
      <w:r w:rsidRPr="000A34B5">
        <w:rPr>
          <w:rStyle w:val="italicus"/>
        </w:rPr>
        <w:t>conc</w:t>
      </w:r>
      <w:r w:rsidR="003B53FD">
        <w:rPr>
          <w:rStyle w:val="italicus"/>
        </w:rPr>
        <w:t>ó</w:t>
      </w:r>
      <w:r w:rsidR="003B53FD" w:rsidRPr="000A34B5">
        <w:rPr>
          <w:rStyle w:val="italicus"/>
        </w:rPr>
        <w:t>rdiam</w:t>
      </w:r>
      <w:r w:rsidRPr="002C4077">
        <w:t xml:space="preserve"> </w:t>
      </w:r>
      <w:r w:rsidRPr="000A34B5">
        <w:rPr>
          <w:rStyle w:val="italicus"/>
        </w:rPr>
        <w:t>ac</w:t>
      </w:r>
      <w:r w:rsidRPr="002C4077">
        <w:t xml:space="preserve"> </w:t>
      </w:r>
      <w:r w:rsidRPr="000A34B5">
        <w:rPr>
          <w:rStyle w:val="italicus"/>
        </w:rPr>
        <w:t>totam</w:t>
      </w:r>
      <w:r w:rsidRPr="002C4077">
        <w:t xml:space="preserve"> </w:t>
      </w:r>
      <w:r w:rsidRPr="000A34B5">
        <w:rPr>
          <w:rStyle w:val="italicus"/>
        </w:rPr>
        <w:t>hist</w:t>
      </w:r>
      <w:r w:rsidR="003B53FD">
        <w:rPr>
          <w:rStyle w:val="italicus"/>
        </w:rPr>
        <w:t>ó</w:t>
      </w:r>
      <w:r w:rsidR="003B53FD" w:rsidRPr="000A34B5">
        <w:rPr>
          <w:rStyle w:val="italicus"/>
        </w:rPr>
        <w:t>riam</w:t>
      </w:r>
      <w:r w:rsidRPr="002C4077">
        <w:t xml:space="preserve"> </w:t>
      </w:r>
      <w:r w:rsidR="00514F08" w:rsidRPr="000A34B5">
        <w:rPr>
          <w:rStyle w:val="italicus"/>
        </w:rPr>
        <w:t>evangélicam</w:t>
      </w:r>
      <w:r w:rsidRPr="002C4077">
        <w:t xml:space="preserve"> </w:t>
      </w:r>
      <w:r w:rsidR="00425C50">
        <w:t>est</w:t>
      </w:r>
      <w:r w:rsidRPr="002C4077">
        <w:t xml:space="preserve"> </w:t>
      </w:r>
      <w:r>
        <w:t>universellement</w:t>
      </w:r>
      <w:r w:rsidRPr="002C4077">
        <w:t xml:space="preserve"> </w:t>
      </w:r>
      <w:r>
        <w:t>apprécié.</w:t>
      </w:r>
      <w:r w:rsidRPr="002C4077">
        <w:t xml:space="preserve"> </w:t>
      </w:r>
      <w:r>
        <w:t>M.</w:t>
      </w:r>
      <w:r w:rsidRPr="002C4077">
        <w:t xml:space="preserve"> </w:t>
      </w:r>
      <w:r>
        <w:t>Soury</w:t>
      </w:r>
      <w:r w:rsidRPr="002C4077">
        <w:t xml:space="preserve"> </w:t>
      </w:r>
      <w:r>
        <w:t>devrait</w:t>
      </w:r>
      <w:r w:rsidRPr="002C4077">
        <w:t xml:space="preserve"> </w:t>
      </w:r>
      <w:r>
        <w:t>au</w:t>
      </w:r>
      <w:r w:rsidRPr="002C4077">
        <w:t xml:space="preserve"> </w:t>
      </w:r>
      <w:r>
        <w:t>moins</w:t>
      </w:r>
      <w:r w:rsidRPr="002C4077">
        <w:t xml:space="preserve"> </w:t>
      </w:r>
      <w:r>
        <w:t>connaître</w:t>
      </w:r>
      <w:r w:rsidRPr="002C4077">
        <w:t xml:space="preserve"> </w:t>
      </w:r>
      <w:r>
        <w:t>les</w:t>
      </w:r>
      <w:r w:rsidRPr="002C4077">
        <w:t xml:space="preserve"> </w:t>
      </w:r>
      <w:r>
        <w:t>commentateurs</w:t>
      </w:r>
      <w:r w:rsidRPr="002C4077">
        <w:t xml:space="preserve"> </w:t>
      </w:r>
      <w:r>
        <w:t>catholiques</w:t>
      </w:r>
      <w:r w:rsidRPr="002C4077">
        <w:t xml:space="preserve"> </w:t>
      </w:r>
      <w:r>
        <w:t>des</w:t>
      </w:r>
      <w:r w:rsidRPr="002C4077">
        <w:t xml:space="preserve"> </w:t>
      </w:r>
      <w:r>
        <w:t>Évangiles</w:t>
      </w:r>
      <w:r w:rsidR="00B546AF">
        <w:t> !</w:t>
      </w:r>
      <w:r w:rsidR="00C45B47">
        <w:t xml:space="preserve"> {</w:t>
      </w:r>
      <w:r w:rsidR="00B53529">
        <w:t>169</w:t>
      </w:r>
      <w:bookmarkStart w:id="449" w:name="p169"/>
      <w:bookmarkEnd w:id="449"/>
      <w:r w:rsidR="00B53529">
        <w:t xml:space="preserve">} </w:t>
      </w:r>
    </w:p>
    <w:p w:rsidR="000A7AAB" w:rsidRDefault="000A7AAB" w:rsidP="000A7AAB">
      <w:r>
        <w:t>Le</w:t>
      </w:r>
      <w:r w:rsidRPr="002C4077">
        <w:t xml:space="preserve"> </w:t>
      </w:r>
      <w:r>
        <w:t>jésuite</w:t>
      </w:r>
      <w:r w:rsidRPr="002C4077">
        <w:t xml:space="preserve"> </w:t>
      </w:r>
      <w:r>
        <w:t>Maldonat,</w:t>
      </w:r>
      <w:r w:rsidRPr="002C4077">
        <w:t xml:space="preserve"> </w:t>
      </w:r>
      <w:r>
        <w:t>auteur</w:t>
      </w:r>
      <w:r w:rsidRPr="002C4077">
        <w:t xml:space="preserve"> </w:t>
      </w:r>
      <w:r>
        <w:t>d’ouvrages</w:t>
      </w:r>
      <w:r w:rsidRPr="002C4077">
        <w:t xml:space="preserve"> </w:t>
      </w:r>
      <w:r>
        <w:t>célèbres</w:t>
      </w:r>
      <w:r w:rsidRPr="002C4077">
        <w:t xml:space="preserve"> </w:t>
      </w:r>
      <w:r>
        <w:t>sur</w:t>
      </w:r>
      <w:r w:rsidRPr="002C4077">
        <w:t xml:space="preserve"> </w:t>
      </w:r>
      <w:r>
        <w:t>les</w:t>
      </w:r>
      <w:r w:rsidRPr="002C4077">
        <w:t xml:space="preserve"> </w:t>
      </w:r>
      <w:r>
        <w:t>Prophètes</w:t>
      </w:r>
      <w:r w:rsidRPr="002C4077">
        <w:t xml:space="preserve"> </w:t>
      </w:r>
      <w:r>
        <w:t>et</w:t>
      </w:r>
      <w:r w:rsidRPr="002C4077">
        <w:t xml:space="preserve"> </w:t>
      </w:r>
      <w:r>
        <w:t>sur</w:t>
      </w:r>
      <w:r w:rsidRPr="002C4077">
        <w:t xml:space="preserve"> </w:t>
      </w:r>
      <w:r>
        <w:t>les</w:t>
      </w:r>
      <w:r w:rsidRPr="002C4077">
        <w:t xml:space="preserve"> </w:t>
      </w:r>
      <w:r>
        <w:t>saints</w:t>
      </w:r>
      <w:r w:rsidRPr="002C4077">
        <w:t xml:space="preserve"> </w:t>
      </w:r>
      <w:r>
        <w:t>Évangiles,</w:t>
      </w:r>
      <w:r w:rsidRPr="002C4077">
        <w:t xml:space="preserve"> </w:t>
      </w:r>
      <w:r>
        <w:t>où</w:t>
      </w:r>
      <w:r w:rsidRPr="002C4077">
        <w:t xml:space="preserve"> </w:t>
      </w:r>
      <w:r>
        <w:t>il</w:t>
      </w:r>
      <w:r w:rsidRPr="002C4077">
        <w:t xml:space="preserve"> </w:t>
      </w:r>
      <w:r>
        <w:t>discute</w:t>
      </w:r>
      <w:r w:rsidRPr="002C4077">
        <w:t xml:space="preserve"> </w:t>
      </w:r>
      <w:r>
        <w:t>d’une</w:t>
      </w:r>
      <w:r w:rsidRPr="002C4077">
        <w:t xml:space="preserve"> </w:t>
      </w:r>
      <w:r>
        <w:t>manière</w:t>
      </w:r>
      <w:r w:rsidRPr="002C4077">
        <w:t xml:space="preserve"> </w:t>
      </w:r>
      <w:r>
        <w:t>si</w:t>
      </w:r>
      <w:r w:rsidRPr="002C4077">
        <w:t xml:space="preserve"> </w:t>
      </w:r>
      <w:r>
        <w:t>naturelle,</w:t>
      </w:r>
      <w:r w:rsidRPr="002C4077">
        <w:t xml:space="preserve"> </w:t>
      </w:r>
      <w:r>
        <w:t>si</w:t>
      </w:r>
      <w:r w:rsidRPr="002C4077">
        <w:t xml:space="preserve"> </w:t>
      </w:r>
      <w:r>
        <w:t>sûre</w:t>
      </w:r>
      <w:r w:rsidRPr="002C4077">
        <w:t xml:space="preserve"> </w:t>
      </w:r>
      <w:r>
        <w:t>et</w:t>
      </w:r>
      <w:r w:rsidRPr="002C4077">
        <w:t xml:space="preserve"> </w:t>
      </w:r>
      <w:r>
        <w:t>si</w:t>
      </w:r>
      <w:r w:rsidRPr="002C4077">
        <w:t xml:space="preserve"> </w:t>
      </w:r>
      <w:r>
        <w:t>complète.</w:t>
      </w:r>
      <w:r w:rsidRPr="002C4077">
        <w:t xml:space="preserve"> </w:t>
      </w:r>
    </w:p>
    <w:p w:rsidR="000A7AAB" w:rsidRPr="00846153" w:rsidRDefault="00514F08" w:rsidP="000A7AAB">
      <w:pPr>
        <w:rPr>
          <w:rStyle w:val="italicus"/>
        </w:rPr>
      </w:pPr>
      <w:r w:rsidRPr="00846153">
        <w:t>Salmeron</w:t>
      </w:r>
      <w:r w:rsidR="000A7AAB" w:rsidRPr="00846153">
        <w:t>,</w:t>
      </w:r>
      <w:r w:rsidR="000A7AAB" w:rsidRPr="002C4077">
        <w:t xml:space="preserve"> </w:t>
      </w:r>
      <w:r w:rsidR="000A7AAB" w:rsidRPr="00846153">
        <w:t>autre</w:t>
      </w:r>
      <w:r w:rsidR="000A7AAB" w:rsidRPr="002C4077">
        <w:t xml:space="preserve"> </w:t>
      </w:r>
      <w:r w:rsidR="000A7AAB" w:rsidRPr="00846153">
        <w:t>jésuite</w:t>
      </w:r>
      <w:r w:rsidR="00B546AF" w:rsidRPr="00846153">
        <w:t> :</w:t>
      </w:r>
      <w:r w:rsidR="000A7AAB" w:rsidRPr="002C4077">
        <w:t xml:space="preserve"> </w:t>
      </w:r>
      <w:r w:rsidR="000A7AAB" w:rsidRPr="00846153">
        <w:rPr>
          <w:rStyle w:val="italicus"/>
        </w:rPr>
        <w:t>Comment</w:t>
      </w:r>
      <w:r w:rsidR="003B53FD" w:rsidRPr="00846153">
        <w:rPr>
          <w:rStyle w:val="italicus"/>
        </w:rPr>
        <w:t>árium</w:t>
      </w:r>
      <w:r w:rsidR="000A7AAB" w:rsidRPr="002C4077">
        <w:t xml:space="preserve"> </w:t>
      </w:r>
      <w:r w:rsidR="000A7AAB" w:rsidRPr="00846153">
        <w:rPr>
          <w:rStyle w:val="italicus"/>
        </w:rPr>
        <w:t>in</w:t>
      </w:r>
      <w:r w:rsidR="000A7AAB" w:rsidRPr="002C4077">
        <w:t xml:space="preserve"> </w:t>
      </w:r>
      <w:r w:rsidR="000A7AAB" w:rsidRPr="00846153">
        <w:rPr>
          <w:rStyle w:val="italicus"/>
        </w:rPr>
        <w:t>Evang</w:t>
      </w:r>
      <w:r w:rsidR="003B53FD" w:rsidRPr="00846153">
        <w:rPr>
          <w:rStyle w:val="italicus"/>
        </w:rPr>
        <w:t>élia</w:t>
      </w:r>
      <w:r w:rsidR="000A7AAB" w:rsidRPr="002C4077">
        <w:t xml:space="preserve"> </w:t>
      </w:r>
      <w:r w:rsidR="000A7AAB" w:rsidRPr="00846153">
        <w:rPr>
          <w:rStyle w:val="italicus"/>
        </w:rPr>
        <w:t>et</w:t>
      </w:r>
      <w:r w:rsidR="000A7AAB" w:rsidRPr="002C4077">
        <w:t xml:space="preserve"> </w:t>
      </w:r>
      <w:r w:rsidR="000A7AAB" w:rsidRPr="00846153">
        <w:rPr>
          <w:rStyle w:val="italicus"/>
        </w:rPr>
        <w:t>Acta.</w:t>
      </w:r>
      <w:r w:rsidR="000A7AAB" w:rsidRPr="002C4077">
        <w:t xml:space="preserve"> </w:t>
      </w:r>
    </w:p>
    <w:p w:rsidR="000A7AAB" w:rsidRPr="00846153" w:rsidRDefault="000A7AAB" w:rsidP="000A7AAB">
      <w:r w:rsidRPr="00846153">
        <w:t>Prado</w:t>
      </w:r>
      <w:r w:rsidRPr="002C4077">
        <w:t xml:space="preserve"> </w:t>
      </w:r>
      <w:r w:rsidRPr="00846153">
        <w:t>et</w:t>
      </w:r>
      <w:r w:rsidRPr="002C4077">
        <w:t xml:space="preserve"> </w:t>
      </w:r>
      <w:r w:rsidRPr="00846153">
        <w:t>Villalpand</w:t>
      </w:r>
      <w:r w:rsidR="00B546AF" w:rsidRPr="00846153">
        <w:t> :</w:t>
      </w:r>
      <w:r w:rsidRPr="002C4077">
        <w:t xml:space="preserve"> </w:t>
      </w:r>
      <w:r w:rsidRPr="00846153">
        <w:rPr>
          <w:rStyle w:val="italicus"/>
        </w:rPr>
        <w:t>In</w:t>
      </w:r>
      <w:r w:rsidRPr="002C4077">
        <w:t xml:space="preserve"> </w:t>
      </w:r>
      <w:r w:rsidR="00514F08" w:rsidRPr="00846153">
        <w:rPr>
          <w:rStyle w:val="italicus"/>
        </w:rPr>
        <w:t>Ezechiélem</w:t>
      </w:r>
      <w:r w:rsidRPr="002C4077">
        <w:t xml:space="preserve"> </w:t>
      </w:r>
      <w:r w:rsidR="00514F08" w:rsidRPr="00846153">
        <w:rPr>
          <w:rStyle w:val="italicus"/>
        </w:rPr>
        <w:t>Explanatiónes</w:t>
      </w:r>
      <w:r w:rsidRPr="002C4077">
        <w:t xml:space="preserve"> </w:t>
      </w:r>
      <w:r w:rsidRPr="00846153">
        <w:rPr>
          <w:rStyle w:val="italicus"/>
        </w:rPr>
        <w:t>et</w:t>
      </w:r>
      <w:r w:rsidRPr="002C4077">
        <w:t xml:space="preserve"> </w:t>
      </w:r>
      <w:r w:rsidRPr="00846153">
        <w:rPr>
          <w:rStyle w:val="italicus"/>
        </w:rPr>
        <w:t>ap</w:t>
      </w:r>
      <w:r w:rsidR="003B53FD" w:rsidRPr="00846153">
        <w:rPr>
          <w:rStyle w:val="italicus"/>
        </w:rPr>
        <w:t>parátus</w:t>
      </w:r>
      <w:r w:rsidRPr="002C4077">
        <w:t xml:space="preserve"> </w:t>
      </w:r>
      <w:r w:rsidRPr="00846153">
        <w:rPr>
          <w:rStyle w:val="italicus"/>
        </w:rPr>
        <w:t>urbis</w:t>
      </w:r>
      <w:r w:rsidRPr="002C4077">
        <w:t xml:space="preserve"> </w:t>
      </w:r>
      <w:r w:rsidRPr="00846153">
        <w:rPr>
          <w:rStyle w:val="italicus"/>
        </w:rPr>
        <w:t>ac</w:t>
      </w:r>
      <w:r w:rsidRPr="002C4077">
        <w:t xml:space="preserve"> </w:t>
      </w:r>
      <w:r w:rsidRPr="00846153">
        <w:rPr>
          <w:rStyle w:val="italicus"/>
        </w:rPr>
        <w:t>templi</w:t>
      </w:r>
      <w:r w:rsidRPr="002C4077">
        <w:t xml:space="preserve"> </w:t>
      </w:r>
      <w:r w:rsidR="00514F08" w:rsidRPr="00846153">
        <w:rPr>
          <w:rStyle w:val="italicus"/>
        </w:rPr>
        <w:t>Hierosolymitáni</w:t>
      </w:r>
      <w:r w:rsidRPr="00846153">
        <w:rPr>
          <w:rStyle w:val="italicus"/>
        </w:rPr>
        <w:t>.</w:t>
      </w:r>
      <w:r w:rsidRPr="002C4077">
        <w:t xml:space="preserve"> </w:t>
      </w:r>
      <w:r w:rsidRPr="00846153">
        <w:t>Trois</w:t>
      </w:r>
      <w:r w:rsidRPr="002C4077">
        <w:t xml:space="preserve"> </w:t>
      </w:r>
      <w:r w:rsidR="00514F08" w:rsidRPr="00846153">
        <w:t>in-folios</w:t>
      </w:r>
      <w:r w:rsidRPr="002C4077">
        <w:t xml:space="preserve"> </w:t>
      </w:r>
      <w:r w:rsidRPr="00846153">
        <w:t>remplis</w:t>
      </w:r>
      <w:r w:rsidRPr="002C4077">
        <w:t xml:space="preserve"> </w:t>
      </w:r>
      <w:r w:rsidRPr="00846153">
        <w:t>de</w:t>
      </w:r>
      <w:r w:rsidRPr="002C4077">
        <w:t xml:space="preserve"> </w:t>
      </w:r>
      <w:r w:rsidRPr="00846153">
        <w:t>science.</w:t>
      </w:r>
      <w:r w:rsidRPr="002C4077">
        <w:t xml:space="preserve"> </w:t>
      </w:r>
    </w:p>
    <w:p w:rsidR="000A7AAB" w:rsidRDefault="000A7AAB" w:rsidP="000A7AAB">
      <w:r>
        <w:t>Emmanuel</w:t>
      </w:r>
      <w:r w:rsidRPr="002C4077">
        <w:t xml:space="preserve"> </w:t>
      </w:r>
      <w:r>
        <w:t>Sa,</w:t>
      </w:r>
      <w:r w:rsidRPr="002C4077">
        <w:t xml:space="preserve"> </w:t>
      </w:r>
      <w:r>
        <w:t>qui</w:t>
      </w:r>
      <w:r w:rsidRPr="002C4077">
        <w:t xml:space="preserve"> </w:t>
      </w:r>
      <w:r>
        <w:t>travailla</w:t>
      </w:r>
      <w:r w:rsidRPr="002C4077">
        <w:t xml:space="preserve"> </w:t>
      </w:r>
      <w:r>
        <w:t>à</w:t>
      </w:r>
      <w:r w:rsidRPr="002C4077">
        <w:t xml:space="preserve"> </w:t>
      </w:r>
      <w:r>
        <w:t>une</w:t>
      </w:r>
      <w:r w:rsidRPr="002C4077">
        <w:t xml:space="preserve"> </w:t>
      </w:r>
      <w:r>
        <w:t>édition</w:t>
      </w:r>
      <w:r w:rsidRPr="002C4077">
        <w:t xml:space="preserve"> </w:t>
      </w:r>
      <w:r>
        <w:t>critique</w:t>
      </w:r>
      <w:r w:rsidRPr="002C4077">
        <w:t xml:space="preserve"> </w:t>
      </w:r>
      <w:r>
        <w:t>de</w:t>
      </w:r>
      <w:r w:rsidRPr="002C4077">
        <w:t xml:space="preserve"> </w:t>
      </w:r>
      <w:r>
        <w:t>la</w:t>
      </w:r>
      <w:r w:rsidRPr="002C4077">
        <w:t xml:space="preserve"> </w:t>
      </w:r>
      <w:r w:rsidRPr="000A34B5">
        <w:rPr>
          <w:rStyle w:val="italicus"/>
        </w:rPr>
        <w:t>Vulgate,</w:t>
      </w:r>
      <w:r w:rsidRPr="002C4077">
        <w:t xml:space="preserve"> </w:t>
      </w:r>
      <w:r>
        <w:t>et</w:t>
      </w:r>
      <w:r w:rsidRPr="002C4077">
        <w:t xml:space="preserve"> </w:t>
      </w:r>
      <w:r>
        <w:t>composa</w:t>
      </w:r>
      <w:r w:rsidRPr="002C4077">
        <w:t xml:space="preserve"> </w:t>
      </w:r>
      <w:r>
        <w:t>d’excellentes</w:t>
      </w:r>
      <w:r w:rsidRPr="002C4077">
        <w:t xml:space="preserve"> </w:t>
      </w:r>
      <w:r w:rsidRPr="000A34B5">
        <w:rPr>
          <w:rStyle w:val="italicus"/>
        </w:rPr>
        <w:t>Notat</w:t>
      </w:r>
      <w:r w:rsidR="003B53FD" w:rsidRPr="000A34B5">
        <w:rPr>
          <w:rStyle w:val="italicus"/>
        </w:rPr>
        <w:t>i</w:t>
      </w:r>
      <w:r w:rsidR="003B53FD">
        <w:rPr>
          <w:rStyle w:val="italicus"/>
        </w:rPr>
        <w:t>ó</w:t>
      </w:r>
      <w:r w:rsidR="003B53FD" w:rsidRPr="000A34B5">
        <w:rPr>
          <w:rStyle w:val="italicus"/>
        </w:rPr>
        <w:t>nes</w:t>
      </w:r>
      <w:r w:rsidRPr="002C4077">
        <w:t xml:space="preserve"> </w:t>
      </w:r>
      <w:r w:rsidRPr="000A34B5">
        <w:rPr>
          <w:rStyle w:val="italicus"/>
        </w:rPr>
        <w:t>in</w:t>
      </w:r>
      <w:r w:rsidRPr="002C4077">
        <w:t xml:space="preserve"> </w:t>
      </w:r>
      <w:r w:rsidRPr="000A34B5">
        <w:rPr>
          <w:rStyle w:val="italicus"/>
        </w:rPr>
        <w:t>t</w:t>
      </w:r>
      <w:r w:rsidR="001730C6" w:rsidRPr="000A34B5">
        <w:rPr>
          <w:rStyle w:val="italicus"/>
        </w:rPr>
        <w:t>ot</w:t>
      </w:r>
      <w:r w:rsidRPr="000A34B5">
        <w:rPr>
          <w:rStyle w:val="italicus"/>
        </w:rPr>
        <w:t>am</w:t>
      </w:r>
      <w:r w:rsidRPr="002C4077">
        <w:t xml:space="preserve"> </w:t>
      </w:r>
      <w:r w:rsidRPr="000A34B5">
        <w:rPr>
          <w:rStyle w:val="italicus"/>
        </w:rPr>
        <w:t>Sacram</w:t>
      </w:r>
      <w:r w:rsidRPr="002C4077">
        <w:t xml:space="preserve"> </w:t>
      </w:r>
      <w:r w:rsidR="00514F08" w:rsidRPr="000A34B5">
        <w:rPr>
          <w:rStyle w:val="italicus"/>
        </w:rPr>
        <w:t>Scriptúram</w:t>
      </w:r>
      <w:r w:rsidRPr="000A34B5">
        <w:rPr>
          <w:rStyle w:val="italicus"/>
        </w:rPr>
        <w:t>.</w:t>
      </w:r>
      <w:r w:rsidRPr="002C4077">
        <w:t xml:space="preserve"> </w:t>
      </w:r>
    </w:p>
    <w:p w:rsidR="000A7AAB" w:rsidRDefault="000A7AAB" w:rsidP="000A7AAB">
      <w:r>
        <w:t>F.</w:t>
      </w:r>
      <w:r w:rsidRPr="002C4077">
        <w:t xml:space="preserve"> </w:t>
      </w:r>
      <w:r>
        <w:t>Tolet,</w:t>
      </w:r>
      <w:r w:rsidRPr="002C4077">
        <w:t xml:space="preserve"> </w:t>
      </w:r>
      <w:r>
        <w:t>si</w:t>
      </w:r>
      <w:r w:rsidRPr="002C4077">
        <w:t xml:space="preserve"> </w:t>
      </w:r>
      <w:r>
        <w:t>profond</w:t>
      </w:r>
      <w:r w:rsidRPr="002C4077">
        <w:t xml:space="preserve"> </w:t>
      </w:r>
      <w:r>
        <w:t>dans</w:t>
      </w:r>
      <w:r w:rsidRPr="002C4077">
        <w:t xml:space="preserve"> </w:t>
      </w:r>
      <w:r>
        <w:t>ses</w:t>
      </w:r>
      <w:r w:rsidRPr="002C4077">
        <w:t xml:space="preserve"> </w:t>
      </w:r>
      <w:r>
        <w:t>commentaires</w:t>
      </w:r>
      <w:r w:rsidRPr="002C4077">
        <w:t xml:space="preserve"> </w:t>
      </w:r>
      <w:r>
        <w:t>sur</w:t>
      </w:r>
      <w:r w:rsidRPr="002C4077">
        <w:t xml:space="preserve"> </w:t>
      </w:r>
      <w:r>
        <w:t>saint</w:t>
      </w:r>
      <w:r w:rsidRPr="002C4077">
        <w:t xml:space="preserve"> </w:t>
      </w:r>
      <w:r>
        <w:t>Luc,</w:t>
      </w:r>
      <w:r w:rsidRPr="002C4077">
        <w:t xml:space="preserve"> </w:t>
      </w:r>
      <w:r>
        <w:t>sur</w:t>
      </w:r>
      <w:r w:rsidRPr="002C4077">
        <w:t xml:space="preserve"> </w:t>
      </w:r>
      <w:r>
        <w:t>saint</w:t>
      </w:r>
      <w:r w:rsidRPr="002C4077">
        <w:t xml:space="preserve"> </w:t>
      </w:r>
      <w:r>
        <w:t>Jean,</w:t>
      </w:r>
      <w:r w:rsidRPr="002C4077">
        <w:t xml:space="preserve"> </w:t>
      </w:r>
      <w:r w:rsidR="00425C50">
        <w:t>etc</w:t>
      </w:r>
      <w:r>
        <w:t>.</w:t>
      </w:r>
      <w:r w:rsidRPr="002C4077">
        <w:t xml:space="preserve"> </w:t>
      </w:r>
      <w:r>
        <w:t>Il</w:t>
      </w:r>
      <w:r w:rsidRPr="002C4077">
        <w:t xml:space="preserve"> </w:t>
      </w:r>
      <w:r w:rsidR="00425C50">
        <w:t>est</w:t>
      </w:r>
      <w:r w:rsidRPr="002C4077">
        <w:t xml:space="preserve"> </w:t>
      </w:r>
      <w:r>
        <w:t>vrai</w:t>
      </w:r>
      <w:r w:rsidRPr="002C4077">
        <w:t xml:space="preserve"> </w:t>
      </w:r>
      <w:r>
        <w:t>que</w:t>
      </w:r>
      <w:r w:rsidRPr="002C4077">
        <w:t xml:space="preserve"> </w:t>
      </w:r>
      <w:r>
        <w:t>Bossuet</w:t>
      </w:r>
      <w:r w:rsidRPr="002C4077">
        <w:t xml:space="preserve"> </w:t>
      </w:r>
      <w:r>
        <w:t>l’estimait</w:t>
      </w:r>
      <w:r w:rsidR="00B546AF">
        <w:t> !</w:t>
      </w:r>
      <w:r w:rsidRPr="002C4077">
        <w:t xml:space="preserve"> </w:t>
      </w:r>
    </w:p>
    <w:p w:rsidR="000A7AAB" w:rsidRDefault="000A7AAB" w:rsidP="000A7AAB">
      <w:r>
        <w:t>Arias</w:t>
      </w:r>
      <w:r w:rsidRPr="002C4077">
        <w:t xml:space="preserve"> </w:t>
      </w:r>
      <w:r>
        <w:t>Montanus,</w:t>
      </w:r>
      <w:r w:rsidRPr="002C4077">
        <w:t xml:space="preserve"> </w:t>
      </w:r>
      <w:r>
        <w:t>éditeur</w:t>
      </w:r>
      <w:r w:rsidRPr="002C4077">
        <w:t xml:space="preserve"> </w:t>
      </w:r>
      <w:r>
        <w:t>de</w:t>
      </w:r>
      <w:r w:rsidRPr="002C4077">
        <w:t xml:space="preserve"> </w:t>
      </w:r>
      <w:r>
        <w:t>la</w:t>
      </w:r>
      <w:r w:rsidRPr="002C4077">
        <w:t xml:space="preserve"> </w:t>
      </w:r>
      <w:r w:rsidRPr="000A34B5">
        <w:rPr>
          <w:rStyle w:val="italicus"/>
        </w:rPr>
        <w:t>Po</w:t>
      </w:r>
      <w:r w:rsidR="00514F08">
        <w:rPr>
          <w:rStyle w:val="italicus"/>
        </w:rPr>
        <w:t>lyglotte</w:t>
      </w:r>
      <w:r w:rsidR="00514F08" w:rsidRPr="002C4077">
        <w:t xml:space="preserve"> </w:t>
      </w:r>
      <w:r w:rsidR="00514F08">
        <w:rPr>
          <w:rStyle w:val="italicus"/>
        </w:rPr>
        <w:t>d’Anvers</w:t>
      </w:r>
      <w:r w:rsidR="00514F08">
        <w:rPr>
          <w:rStyle w:val="Appelnotedebasdep"/>
          <w:i/>
        </w:rPr>
        <w:footnoteReference w:id="503"/>
      </w:r>
      <w:r w:rsidRPr="000A34B5">
        <w:rPr>
          <w:rStyle w:val="italicus"/>
        </w:rPr>
        <w:t>.</w:t>
      </w:r>
      <w:r w:rsidRPr="002C4077">
        <w:t xml:space="preserve"> </w:t>
      </w:r>
    </w:p>
    <w:p w:rsidR="000A7AAB" w:rsidRDefault="000A7AAB" w:rsidP="000A7AAB">
      <w:r>
        <w:t>A.</w:t>
      </w:r>
      <w:r w:rsidRPr="002C4077">
        <w:t xml:space="preserve"> </w:t>
      </w:r>
      <w:r>
        <w:t>Ag</w:t>
      </w:r>
      <w:r w:rsidR="003B53FD">
        <w:t>éllius</w:t>
      </w:r>
      <w:r>
        <w:t>,</w:t>
      </w:r>
      <w:r w:rsidRPr="002C4077">
        <w:t xml:space="preserve"> </w:t>
      </w:r>
      <w:r>
        <w:t>linguiste</w:t>
      </w:r>
      <w:r w:rsidRPr="002C4077">
        <w:t xml:space="preserve"> </w:t>
      </w:r>
      <w:r>
        <w:t>distingué,</w:t>
      </w:r>
      <w:r w:rsidRPr="002C4077">
        <w:t xml:space="preserve"> </w:t>
      </w:r>
      <w:r>
        <w:t>auteur</w:t>
      </w:r>
      <w:r w:rsidRPr="002C4077">
        <w:t xml:space="preserve"> </w:t>
      </w:r>
      <w:r>
        <w:t>d’une</w:t>
      </w:r>
      <w:r w:rsidRPr="002C4077">
        <w:t xml:space="preserve"> </w:t>
      </w:r>
      <w:r>
        <w:t>excellente</w:t>
      </w:r>
      <w:r w:rsidRPr="002C4077">
        <w:t xml:space="preserve"> </w:t>
      </w:r>
      <w:r>
        <w:t>explication</w:t>
      </w:r>
      <w:r w:rsidRPr="002C4077">
        <w:t xml:space="preserve"> </w:t>
      </w:r>
      <w:r>
        <w:t>des</w:t>
      </w:r>
      <w:r w:rsidRPr="002C4077">
        <w:t xml:space="preserve"> </w:t>
      </w:r>
      <w:r>
        <w:t>Psaumes.</w:t>
      </w:r>
      <w:r w:rsidRPr="002C4077">
        <w:t xml:space="preserve"> </w:t>
      </w:r>
    </w:p>
    <w:p w:rsidR="000A7AAB" w:rsidRDefault="000A7AAB" w:rsidP="000A7AAB">
      <w:r w:rsidRPr="000A34B5">
        <w:rPr>
          <w:rStyle w:val="italicus"/>
        </w:rPr>
        <w:t>XV</w:t>
      </w:r>
      <w:r w:rsidR="007B3C26">
        <w:rPr>
          <w:rStyle w:val="italicus"/>
        </w:rPr>
        <w:t>II</w:t>
      </w:r>
      <w:r w:rsidR="007B3C26" w:rsidRPr="007B3C26">
        <w:rPr>
          <w:rStyle w:val="italicus"/>
          <w:vertAlign w:val="superscript"/>
        </w:rPr>
        <w:t>e</w:t>
      </w:r>
      <w:r w:rsidRPr="002C4077">
        <w:t xml:space="preserve"> </w:t>
      </w:r>
      <w:r w:rsidRPr="000A34B5">
        <w:rPr>
          <w:rStyle w:val="italicus"/>
        </w:rPr>
        <w:t>siècle.</w:t>
      </w:r>
      <w:bookmarkStart w:id="450" w:name="z_CommentateursCath_o2"/>
      <w:bookmarkEnd w:id="450"/>
      <w:r w:rsidRPr="002C4077">
        <w:t xml:space="preserve"> </w:t>
      </w:r>
      <w:r>
        <w:t>—</w:t>
      </w:r>
      <w:r w:rsidRPr="002C4077">
        <w:t xml:space="preserve"> </w:t>
      </w:r>
      <w:r>
        <w:t>Malgré</w:t>
      </w:r>
      <w:r w:rsidRPr="002C4077">
        <w:t xml:space="preserve"> </w:t>
      </w:r>
      <w:r>
        <w:t>nos</w:t>
      </w:r>
      <w:r w:rsidRPr="002C4077">
        <w:t xml:space="preserve"> </w:t>
      </w:r>
      <w:r>
        <w:t>abréviations</w:t>
      </w:r>
      <w:r w:rsidRPr="002C4077">
        <w:t xml:space="preserve"> </w:t>
      </w:r>
      <w:r>
        <w:t>étranges,</w:t>
      </w:r>
      <w:r w:rsidRPr="002C4077">
        <w:t xml:space="preserve"> </w:t>
      </w:r>
      <w:r>
        <w:t>nous</w:t>
      </w:r>
      <w:r w:rsidRPr="002C4077">
        <w:t xml:space="preserve"> </w:t>
      </w:r>
      <w:r>
        <w:t>n’osons</w:t>
      </w:r>
      <w:r w:rsidRPr="002C4077">
        <w:t xml:space="preserve"> </w:t>
      </w:r>
      <w:r>
        <w:t>continuer</w:t>
      </w:r>
      <w:r w:rsidRPr="002C4077">
        <w:t xml:space="preserve"> </w:t>
      </w:r>
      <w:r>
        <w:t>ce</w:t>
      </w:r>
      <w:r w:rsidRPr="002C4077">
        <w:t xml:space="preserve"> </w:t>
      </w:r>
      <w:r>
        <w:t>genre</w:t>
      </w:r>
      <w:r w:rsidRPr="002C4077">
        <w:t xml:space="preserve"> </w:t>
      </w:r>
      <w:r w:rsidRPr="000A34B5">
        <w:rPr>
          <w:rStyle w:val="italicus"/>
        </w:rPr>
        <w:t>Catalogue.</w:t>
      </w:r>
      <w:r w:rsidRPr="002C4077">
        <w:t xml:space="preserve"> </w:t>
      </w:r>
      <w:r>
        <w:t>Qu’il</w:t>
      </w:r>
      <w:r w:rsidRPr="002C4077">
        <w:t xml:space="preserve"> </w:t>
      </w:r>
      <w:r>
        <w:t>suffise</w:t>
      </w:r>
      <w:r w:rsidRPr="002C4077">
        <w:t xml:space="preserve"> </w:t>
      </w:r>
      <w:r>
        <w:t>donc</w:t>
      </w:r>
      <w:r w:rsidRPr="002C4077">
        <w:t xml:space="preserve"> </w:t>
      </w:r>
      <w:r>
        <w:t>de</w:t>
      </w:r>
      <w:r w:rsidRPr="002C4077">
        <w:t xml:space="preserve"> </w:t>
      </w:r>
      <w:r>
        <w:t>mentionner</w:t>
      </w:r>
      <w:r w:rsidRPr="002C4077">
        <w:t xml:space="preserve"> </w:t>
      </w:r>
      <w:r>
        <w:t>rapidement,</w:t>
      </w:r>
      <w:r w:rsidRPr="002C4077">
        <w:t xml:space="preserve"> </w:t>
      </w:r>
      <w:r>
        <w:t>parmi</w:t>
      </w:r>
      <w:r w:rsidRPr="002C4077">
        <w:t xml:space="preserve"> </w:t>
      </w:r>
      <w:r>
        <w:t>les</w:t>
      </w:r>
      <w:r w:rsidRPr="002C4077">
        <w:t xml:space="preserve"> </w:t>
      </w:r>
      <w:r>
        <w:t>exégètes</w:t>
      </w:r>
      <w:r w:rsidRPr="002C4077">
        <w:t xml:space="preserve"> </w:t>
      </w:r>
      <w:r>
        <w:t>catholiques</w:t>
      </w:r>
      <w:r w:rsidRPr="002C4077">
        <w:t xml:space="preserve"> </w:t>
      </w:r>
      <w:r>
        <w:t>de</w:t>
      </w:r>
      <w:r w:rsidRPr="002C4077">
        <w:t xml:space="preserve"> </w:t>
      </w:r>
      <w:r>
        <w:t>notre</w:t>
      </w:r>
      <w:r w:rsidRPr="002C4077">
        <w:t xml:space="preserve"> </w:t>
      </w:r>
      <w:r>
        <w:t>grand</w:t>
      </w:r>
      <w:r w:rsidRPr="002C4077">
        <w:t xml:space="preserve"> </w:t>
      </w:r>
      <w:r>
        <w:t>siècle,</w:t>
      </w:r>
      <w:r w:rsidRPr="002C4077">
        <w:t xml:space="preserve"> </w:t>
      </w:r>
      <w:r>
        <w:t>le</w:t>
      </w:r>
      <w:r w:rsidRPr="002C4077">
        <w:t xml:space="preserve"> </w:t>
      </w:r>
      <w:r w:rsidR="00B546AF">
        <w:t>« </w:t>
      </w:r>
      <w:r>
        <w:t>Doctor</w:t>
      </w:r>
      <w:r w:rsidRPr="002C4077">
        <w:t xml:space="preserve"> </w:t>
      </w:r>
      <w:r>
        <w:t>fundat</w:t>
      </w:r>
      <w:r w:rsidR="003B53FD">
        <w:t>íssimus</w:t>
      </w:r>
      <w:r w:rsidR="00B546AF">
        <w:t> »</w:t>
      </w:r>
      <w:r>
        <w:t>,</w:t>
      </w:r>
      <w:r w:rsidRPr="002C4077">
        <w:t xml:space="preserve"> </w:t>
      </w:r>
      <w:r>
        <w:t>J.</w:t>
      </w:r>
      <w:r w:rsidRPr="002C4077">
        <w:t xml:space="preserve"> </w:t>
      </w:r>
      <w:r>
        <w:t>Estius,</w:t>
      </w:r>
      <w:r w:rsidRPr="002C4077">
        <w:t xml:space="preserve"> </w:t>
      </w:r>
      <w:r>
        <w:t>dont</w:t>
      </w:r>
      <w:r w:rsidRPr="002C4077">
        <w:t xml:space="preserve"> </w:t>
      </w:r>
      <w:r>
        <w:t>les</w:t>
      </w:r>
      <w:r w:rsidRPr="002C4077">
        <w:t xml:space="preserve"> </w:t>
      </w:r>
      <w:r>
        <w:t>Commentaires</w:t>
      </w:r>
      <w:r w:rsidRPr="002C4077">
        <w:t xml:space="preserve"> </w:t>
      </w:r>
      <w:r>
        <w:t>sur</w:t>
      </w:r>
      <w:r w:rsidRPr="002C4077">
        <w:t xml:space="preserve"> </w:t>
      </w:r>
      <w:r>
        <w:t>les</w:t>
      </w:r>
      <w:r w:rsidRPr="002C4077">
        <w:t xml:space="preserve"> </w:t>
      </w:r>
      <w:r>
        <w:t>Épîtres</w:t>
      </w:r>
      <w:r w:rsidRPr="002C4077">
        <w:t xml:space="preserve"> </w:t>
      </w:r>
      <w:r>
        <w:t>de</w:t>
      </w:r>
      <w:r w:rsidRPr="002C4077">
        <w:t xml:space="preserve"> </w:t>
      </w:r>
      <w:r>
        <w:t>saint</w:t>
      </w:r>
      <w:r w:rsidRPr="002C4077">
        <w:t xml:space="preserve"> </w:t>
      </w:r>
      <w:r>
        <w:t>Paul</w:t>
      </w:r>
      <w:r w:rsidRPr="002C4077">
        <w:t xml:space="preserve"> </w:t>
      </w:r>
      <w:r>
        <w:t>et</w:t>
      </w:r>
      <w:r w:rsidRPr="002C4077">
        <w:t xml:space="preserve"> </w:t>
      </w:r>
      <w:r>
        <w:t>les</w:t>
      </w:r>
      <w:r w:rsidRPr="002C4077">
        <w:t xml:space="preserve"> </w:t>
      </w:r>
      <w:r w:rsidRPr="000A34B5">
        <w:rPr>
          <w:rStyle w:val="italicus"/>
        </w:rPr>
        <w:t>Annotat</w:t>
      </w:r>
      <w:r w:rsidR="003B53FD" w:rsidRPr="000A34B5">
        <w:rPr>
          <w:rStyle w:val="italicus"/>
        </w:rPr>
        <w:t>i</w:t>
      </w:r>
      <w:r w:rsidR="003B53FD">
        <w:rPr>
          <w:rStyle w:val="italicus"/>
        </w:rPr>
        <w:t>ó</w:t>
      </w:r>
      <w:r w:rsidR="003B53FD" w:rsidRPr="000A34B5">
        <w:rPr>
          <w:rStyle w:val="italicus"/>
        </w:rPr>
        <w:t>nes</w:t>
      </w:r>
      <w:r w:rsidRPr="002C4077">
        <w:t xml:space="preserve"> </w:t>
      </w:r>
      <w:r w:rsidRPr="000A34B5">
        <w:rPr>
          <w:rStyle w:val="italicus"/>
        </w:rPr>
        <w:t>in</w:t>
      </w:r>
      <w:r w:rsidRPr="002C4077">
        <w:t xml:space="preserve"> </w:t>
      </w:r>
      <w:r w:rsidRPr="000A34B5">
        <w:rPr>
          <w:rStyle w:val="italicus"/>
        </w:rPr>
        <w:t>loca</w:t>
      </w:r>
      <w:r w:rsidRPr="002C4077">
        <w:t xml:space="preserve"> </w:t>
      </w:r>
      <w:r w:rsidRPr="000A34B5">
        <w:rPr>
          <w:rStyle w:val="italicus"/>
        </w:rPr>
        <w:t>difficil</w:t>
      </w:r>
      <w:r w:rsidR="003B53FD" w:rsidRPr="000A34B5">
        <w:rPr>
          <w:rStyle w:val="italicus"/>
        </w:rPr>
        <w:t>i</w:t>
      </w:r>
      <w:r w:rsidR="003B53FD">
        <w:rPr>
          <w:rStyle w:val="italicus"/>
        </w:rPr>
        <w:t>ó</w:t>
      </w:r>
      <w:r w:rsidR="003B53FD" w:rsidRPr="000A34B5">
        <w:rPr>
          <w:rStyle w:val="italicus"/>
        </w:rPr>
        <w:t>ra</w:t>
      </w:r>
      <w:r w:rsidRPr="002C4077">
        <w:t xml:space="preserve"> </w:t>
      </w:r>
      <w:r w:rsidR="00514F08" w:rsidRPr="000A34B5">
        <w:rPr>
          <w:rStyle w:val="italicus"/>
        </w:rPr>
        <w:t>Scriptúræ</w:t>
      </w:r>
      <w:r w:rsidRPr="002C4077">
        <w:t xml:space="preserve"> </w:t>
      </w:r>
      <w:r>
        <w:t>ont</w:t>
      </w:r>
      <w:r w:rsidRPr="002C4077">
        <w:t xml:space="preserve"> </w:t>
      </w:r>
      <w:r>
        <w:t>été</w:t>
      </w:r>
      <w:r w:rsidRPr="002C4077">
        <w:t xml:space="preserve"> </w:t>
      </w:r>
      <w:r>
        <w:t>si</w:t>
      </w:r>
      <w:r w:rsidRPr="002C4077">
        <w:t xml:space="preserve"> </w:t>
      </w:r>
      <w:r>
        <w:t>souvent</w:t>
      </w:r>
      <w:r w:rsidRPr="002C4077">
        <w:t xml:space="preserve"> </w:t>
      </w:r>
      <w:r>
        <w:t>réimprimés</w:t>
      </w:r>
      <w:r w:rsidR="00B546AF">
        <w:t> ;</w:t>
      </w:r>
      <w:r w:rsidRPr="002C4077">
        <w:t xml:space="preserve"> </w:t>
      </w:r>
      <w:r>
        <w:t>Luc</w:t>
      </w:r>
      <w:r w:rsidRPr="002C4077">
        <w:t xml:space="preserve"> </w:t>
      </w:r>
      <w:r>
        <w:t>de</w:t>
      </w:r>
      <w:r w:rsidRPr="002C4077">
        <w:t xml:space="preserve"> </w:t>
      </w:r>
      <w:r>
        <w:t>Bruges,</w:t>
      </w:r>
      <w:r w:rsidRPr="002C4077">
        <w:t xml:space="preserve"> </w:t>
      </w:r>
      <w:r>
        <w:t>avec</w:t>
      </w:r>
      <w:r w:rsidRPr="002C4077">
        <w:t xml:space="preserve"> </w:t>
      </w:r>
      <w:r>
        <w:t>ses</w:t>
      </w:r>
      <w:r w:rsidRPr="002C4077">
        <w:t xml:space="preserve"> </w:t>
      </w:r>
      <w:r w:rsidRPr="000A34B5">
        <w:rPr>
          <w:rStyle w:val="italicus"/>
        </w:rPr>
        <w:t>Comment</w:t>
      </w:r>
      <w:r w:rsidR="003B53FD">
        <w:rPr>
          <w:rStyle w:val="italicus"/>
        </w:rPr>
        <w:t>á</w:t>
      </w:r>
      <w:r w:rsidR="003B53FD" w:rsidRPr="000A34B5">
        <w:rPr>
          <w:rStyle w:val="italicus"/>
        </w:rPr>
        <w:t>ria</w:t>
      </w:r>
      <w:r w:rsidRPr="002C4077">
        <w:t xml:space="preserve"> </w:t>
      </w:r>
      <w:r w:rsidRPr="000A34B5">
        <w:rPr>
          <w:rStyle w:val="italicus"/>
        </w:rPr>
        <w:t>in</w:t>
      </w:r>
      <w:r w:rsidRPr="002C4077">
        <w:t xml:space="preserve"> </w:t>
      </w:r>
      <w:r w:rsidRPr="000A34B5">
        <w:rPr>
          <w:rStyle w:val="italicus"/>
        </w:rPr>
        <w:t>Evang</w:t>
      </w:r>
      <w:r w:rsidR="003B53FD">
        <w:rPr>
          <w:rStyle w:val="italicus"/>
        </w:rPr>
        <w:t>é</w:t>
      </w:r>
      <w:r w:rsidR="003B53FD" w:rsidRPr="000A34B5">
        <w:rPr>
          <w:rStyle w:val="italicus"/>
        </w:rPr>
        <w:t>lia</w:t>
      </w:r>
      <w:r w:rsidRPr="000A34B5">
        <w:rPr>
          <w:rStyle w:val="italicus"/>
        </w:rPr>
        <w:t>,</w:t>
      </w:r>
      <w:r w:rsidRPr="002C4077">
        <w:t xml:space="preserve"> </w:t>
      </w:r>
      <w:r>
        <w:t>ses</w:t>
      </w:r>
      <w:r w:rsidRPr="002C4077">
        <w:t xml:space="preserve"> </w:t>
      </w:r>
      <w:r w:rsidRPr="000A34B5">
        <w:rPr>
          <w:rStyle w:val="italicus"/>
        </w:rPr>
        <w:t>V</w:t>
      </w:r>
      <w:r w:rsidR="003B53FD">
        <w:rPr>
          <w:rStyle w:val="italicus"/>
        </w:rPr>
        <w:t>á</w:t>
      </w:r>
      <w:r w:rsidR="003B53FD" w:rsidRPr="000A34B5">
        <w:rPr>
          <w:rStyle w:val="italicus"/>
        </w:rPr>
        <w:t>rias</w:t>
      </w:r>
      <w:r w:rsidRPr="002C4077">
        <w:t xml:space="preserve"> </w:t>
      </w:r>
      <w:r w:rsidRPr="000A34B5">
        <w:rPr>
          <w:rStyle w:val="italicus"/>
        </w:rPr>
        <w:t>lect</w:t>
      </w:r>
      <w:r w:rsidR="003B53FD" w:rsidRPr="000A34B5">
        <w:rPr>
          <w:rStyle w:val="italicus"/>
        </w:rPr>
        <w:t>i</w:t>
      </w:r>
      <w:r w:rsidR="003B53FD">
        <w:rPr>
          <w:rStyle w:val="italicus"/>
        </w:rPr>
        <w:t>ó</w:t>
      </w:r>
      <w:r w:rsidR="003B53FD" w:rsidRPr="000A34B5">
        <w:rPr>
          <w:rStyle w:val="italicus"/>
        </w:rPr>
        <w:t>nes</w:t>
      </w:r>
      <w:r w:rsidRPr="002C4077">
        <w:t xml:space="preserve"> </w:t>
      </w:r>
      <w:r w:rsidRPr="000A34B5">
        <w:rPr>
          <w:rStyle w:val="italicus"/>
        </w:rPr>
        <w:t>V.</w:t>
      </w:r>
      <w:r w:rsidRPr="002C4077">
        <w:t xml:space="preserve"> </w:t>
      </w:r>
      <w:r w:rsidRPr="000A34B5">
        <w:rPr>
          <w:rStyle w:val="italicus"/>
        </w:rPr>
        <w:t>et</w:t>
      </w:r>
      <w:r w:rsidRPr="002C4077">
        <w:t xml:space="preserve"> </w:t>
      </w:r>
      <w:r w:rsidRPr="000A34B5">
        <w:rPr>
          <w:rStyle w:val="italicus"/>
        </w:rPr>
        <w:t>N.</w:t>
      </w:r>
      <w:r w:rsidRPr="002C4077">
        <w:t xml:space="preserve"> </w:t>
      </w:r>
      <w:r w:rsidR="00514F08" w:rsidRPr="000A34B5">
        <w:rPr>
          <w:rStyle w:val="italicus"/>
        </w:rPr>
        <w:t>Testaménti</w:t>
      </w:r>
      <w:r w:rsidRPr="002C4077">
        <w:t xml:space="preserve"> </w:t>
      </w:r>
      <w:r w:rsidRPr="000A34B5">
        <w:rPr>
          <w:rStyle w:val="italicus"/>
        </w:rPr>
        <w:t>V</w:t>
      </w:r>
      <w:r w:rsidR="003B53FD" w:rsidRPr="000A34B5">
        <w:rPr>
          <w:rStyle w:val="italicus"/>
        </w:rPr>
        <w:t>ulg</w:t>
      </w:r>
      <w:r w:rsidR="003B53FD">
        <w:rPr>
          <w:rStyle w:val="italicus"/>
        </w:rPr>
        <w:t>á</w:t>
      </w:r>
      <w:r w:rsidR="003B53FD" w:rsidRPr="000A34B5">
        <w:rPr>
          <w:rStyle w:val="italicus"/>
        </w:rPr>
        <w:t>tæ</w:t>
      </w:r>
      <w:r w:rsidRPr="002C4077">
        <w:t xml:space="preserve"> </w:t>
      </w:r>
      <w:r w:rsidR="00514F08" w:rsidRPr="000A34B5">
        <w:rPr>
          <w:rStyle w:val="italicus"/>
        </w:rPr>
        <w:t>latínæ</w:t>
      </w:r>
      <w:r w:rsidRPr="002C4077">
        <w:t xml:space="preserve"> </w:t>
      </w:r>
      <w:r w:rsidRPr="000A34B5">
        <w:rPr>
          <w:rStyle w:val="italicus"/>
        </w:rPr>
        <w:t>edit</w:t>
      </w:r>
      <w:r w:rsidR="003B53FD" w:rsidRPr="000A34B5">
        <w:rPr>
          <w:rStyle w:val="italicus"/>
        </w:rPr>
        <w:t>i</w:t>
      </w:r>
      <w:r w:rsidR="003B53FD">
        <w:rPr>
          <w:rStyle w:val="italicus"/>
        </w:rPr>
        <w:t>ó</w:t>
      </w:r>
      <w:r w:rsidR="003B53FD" w:rsidRPr="000A34B5">
        <w:rPr>
          <w:rStyle w:val="italicus"/>
        </w:rPr>
        <w:t>nis</w:t>
      </w:r>
      <w:r w:rsidRPr="002C4077">
        <w:t xml:space="preserve"> </w:t>
      </w:r>
      <w:r w:rsidRPr="000A34B5">
        <w:rPr>
          <w:rStyle w:val="italicus"/>
        </w:rPr>
        <w:t>collectée,</w:t>
      </w:r>
      <w:r w:rsidRPr="002C4077">
        <w:t xml:space="preserve"> </w:t>
      </w:r>
      <w:r>
        <w:t>ses</w:t>
      </w:r>
      <w:r w:rsidRPr="002C4077">
        <w:t xml:space="preserve"> </w:t>
      </w:r>
      <w:r w:rsidRPr="000A34B5">
        <w:rPr>
          <w:rStyle w:val="italicus"/>
        </w:rPr>
        <w:t>S</w:t>
      </w:r>
      <w:r w:rsidR="003B53FD" w:rsidRPr="000A34B5">
        <w:rPr>
          <w:rStyle w:val="italicus"/>
        </w:rPr>
        <w:t>acr</w:t>
      </w:r>
      <w:r w:rsidR="003B53FD">
        <w:rPr>
          <w:rStyle w:val="italicus"/>
        </w:rPr>
        <w:t>ó</w:t>
      </w:r>
      <w:r w:rsidR="003B53FD" w:rsidRPr="000A34B5">
        <w:rPr>
          <w:rStyle w:val="italicus"/>
        </w:rPr>
        <w:t>rum</w:t>
      </w:r>
      <w:r w:rsidRPr="002C4077">
        <w:t xml:space="preserve"> </w:t>
      </w:r>
      <w:r w:rsidRPr="000A34B5">
        <w:rPr>
          <w:rStyle w:val="italicus"/>
        </w:rPr>
        <w:t>Bi</w:t>
      </w:r>
      <w:r w:rsidR="003B53FD" w:rsidRPr="000A34B5">
        <w:rPr>
          <w:rStyle w:val="italicus"/>
        </w:rPr>
        <w:t>bli</w:t>
      </w:r>
      <w:r w:rsidR="003B53FD">
        <w:rPr>
          <w:rStyle w:val="italicus"/>
        </w:rPr>
        <w:t>ó</w:t>
      </w:r>
      <w:r w:rsidR="003B53FD" w:rsidRPr="000A34B5">
        <w:rPr>
          <w:rStyle w:val="italicus"/>
        </w:rPr>
        <w:t>rum</w:t>
      </w:r>
      <w:r w:rsidRPr="002C4077">
        <w:t xml:space="preserve"> </w:t>
      </w:r>
      <w:r w:rsidRPr="000A34B5">
        <w:rPr>
          <w:rStyle w:val="italicus"/>
        </w:rPr>
        <w:t>concord</w:t>
      </w:r>
      <w:r w:rsidR="003B53FD">
        <w:rPr>
          <w:rStyle w:val="italicus"/>
        </w:rPr>
        <w:t>á</w:t>
      </w:r>
      <w:r w:rsidR="003B53FD" w:rsidRPr="000A34B5">
        <w:rPr>
          <w:rStyle w:val="italicus"/>
        </w:rPr>
        <w:t>ntiæ</w:t>
      </w:r>
      <w:r w:rsidRPr="000A34B5">
        <w:rPr>
          <w:rStyle w:val="italicus"/>
        </w:rPr>
        <w:t>,</w:t>
      </w:r>
      <w:r w:rsidRPr="002C4077">
        <w:t xml:space="preserve"> </w:t>
      </w:r>
      <w:r w:rsidR="00425C50">
        <w:t>etc</w:t>
      </w:r>
      <w:r>
        <w:t>.</w:t>
      </w:r>
      <w:r w:rsidR="00B546AF">
        <w:t> ;</w:t>
      </w:r>
      <w:r w:rsidRPr="002C4077">
        <w:t xml:space="preserve"> </w:t>
      </w:r>
      <w:r w:rsidR="00514F08">
        <w:t>Mario</w:t>
      </w:r>
      <w:r w:rsidRPr="002C4077">
        <w:t xml:space="preserve"> </w:t>
      </w:r>
      <w:r>
        <w:t>di</w:t>
      </w:r>
      <w:r w:rsidRPr="002C4077">
        <w:t xml:space="preserve"> </w:t>
      </w:r>
      <w:r>
        <w:t>Cal</w:t>
      </w:r>
      <w:r w:rsidR="00514F08">
        <w:t>a</w:t>
      </w:r>
      <w:r w:rsidR="003B53FD">
        <w:t>sio</w:t>
      </w:r>
      <w:r>
        <w:t>,</w:t>
      </w:r>
      <w:r w:rsidRPr="002C4077">
        <w:t xml:space="preserve"> </w:t>
      </w:r>
      <w:r>
        <w:t>auteur</w:t>
      </w:r>
      <w:r w:rsidRPr="002C4077">
        <w:t xml:space="preserve"> </w:t>
      </w:r>
      <w:r>
        <w:t>des</w:t>
      </w:r>
      <w:r w:rsidR="00514F08" w:rsidRPr="002C4077">
        <w:t xml:space="preserve"> </w:t>
      </w:r>
      <w:r w:rsidR="00514F08">
        <w:rPr>
          <w:rStyle w:val="italicus"/>
        </w:rPr>
        <w:t>Concordántiæ</w:t>
      </w:r>
      <w:r w:rsidRPr="002C4077">
        <w:t xml:space="preserve"> </w:t>
      </w:r>
      <w:r w:rsidRPr="000A34B5">
        <w:rPr>
          <w:rStyle w:val="italicus"/>
        </w:rPr>
        <w:t>Bi</w:t>
      </w:r>
      <w:r w:rsidR="003B53FD" w:rsidRPr="000A34B5">
        <w:rPr>
          <w:rStyle w:val="italicus"/>
        </w:rPr>
        <w:t>bli</w:t>
      </w:r>
      <w:r w:rsidR="003B53FD">
        <w:rPr>
          <w:rStyle w:val="italicus"/>
        </w:rPr>
        <w:t>ó</w:t>
      </w:r>
      <w:r w:rsidR="003B53FD" w:rsidRPr="000A34B5">
        <w:rPr>
          <w:rStyle w:val="italicus"/>
        </w:rPr>
        <w:t>rum</w:t>
      </w:r>
      <w:r w:rsidRPr="002C4077">
        <w:t xml:space="preserve"> </w:t>
      </w:r>
      <w:r w:rsidR="00514F08">
        <w:rPr>
          <w:rStyle w:val="italicus"/>
        </w:rPr>
        <w:t>h</w:t>
      </w:r>
      <w:r w:rsidR="00514F08" w:rsidRPr="000A34B5">
        <w:rPr>
          <w:rStyle w:val="italicus"/>
        </w:rPr>
        <w:t>ebráicæ</w:t>
      </w:r>
      <w:r w:rsidRPr="002C4077">
        <w:t xml:space="preserve"> </w:t>
      </w:r>
      <w:r w:rsidRPr="000A34B5">
        <w:rPr>
          <w:rStyle w:val="italicus"/>
        </w:rPr>
        <w:t>et</w:t>
      </w:r>
      <w:r w:rsidRPr="002C4077">
        <w:t xml:space="preserve"> </w:t>
      </w:r>
      <w:r w:rsidR="00514F08" w:rsidRPr="000A34B5">
        <w:rPr>
          <w:rStyle w:val="italicus"/>
        </w:rPr>
        <w:t>latínæ</w:t>
      </w:r>
      <w:r w:rsidR="00B546AF">
        <w:rPr>
          <w:rStyle w:val="italicus"/>
        </w:rPr>
        <w:t> </w:t>
      </w:r>
      <w:r w:rsidR="00B546AF" w:rsidRPr="000A34B5">
        <w:rPr>
          <w:rStyle w:val="italicus"/>
        </w:rPr>
        <w:t>;</w:t>
      </w:r>
      <w:r w:rsidR="00C45B47">
        <w:t xml:space="preserve"> {</w:t>
      </w:r>
      <w:r w:rsidR="00B53529">
        <w:t>170</w:t>
      </w:r>
      <w:bookmarkStart w:id="451" w:name="p170"/>
      <w:bookmarkEnd w:id="451"/>
      <w:r w:rsidR="00B53529">
        <w:t xml:space="preserve">} </w:t>
      </w:r>
      <w:r>
        <w:t>J.</w:t>
      </w:r>
      <w:r w:rsidRPr="002C4077">
        <w:t xml:space="preserve"> </w:t>
      </w:r>
      <w:r>
        <w:t>Mariana,</w:t>
      </w:r>
      <w:r w:rsidRPr="002C4077">
        <w:t xml:space="preserve"> </w:t>
      </w:r>
      <w:r>
        <w:t>S.</w:t>
      </w:r>
      <w:r w:rsidRPr="002C4077">
        <w:t xml:space="preserve"> </w:t>
      </w:r>
      <w:r>
        <w:t>J.,</w:t>
      </w:r>
      <w:r w:rsidRPr="002C4077">
        <w:t xml:space="preserve"> </w:t>
      </w:r>
      <w:r w:rsidR="00B546AF">
        <w:t>« </w:t>
      </w:r>
      <w:r>
        <w:t>un</w:t>
      </w:r>
      <w:r w:rsidRPr="002C4077">
        <w:t xml:space="preserve"> </w:t>
      </w:r>
      <w:r>
        <w:t>des</w:t>
      </w:r>
      <w:r w:rsidRPr="002C4077">
        <w:t xml:space="preserve"> </w:t>
      </w:r>
      <w:r>
        <w:t>plus</w:t>
      </w:r>
      <w:r w:rsidRPr="002C4077">
        <w:t xml:space="preserve"> </w:t>
      </w:r>
      <w:r>
        <w:t>habiles</w:t>
      </w:r>
      <w:r w:rsidRPr="002C4077">
        <w:t xml:space="preserve"> </w:t>
      </w:r>
      <w:r>
        <w:t>et</w:t>
      </w:r>
      <w:r w:rsidRPr="002C4077">
        <w:t xml:space="preserve"> </w:t>
      </w:r>
      <w:r>
        <w:t>des</w:t>
      </w:r>
      <w:r w:rsidRPr="002C4077">
        <w:t xml:space="preserve"> </w:t>
      </w:r>
      <w:r>
        <w:t>plus</w:t>
      </w:r>
      <w:r w:rsidRPr="002C4077">
        <w:t xml:space="preserve"> </w:t>
      </w:r>
      <w:r>
        <w:t>judicieux</w:t>
      </w:r>
      <w:r w:rsidRPr="002C4077">
        <w:t xml:space="preserve"> </w:t>
      </w:r>
      <w:r>
        <w:t>scholiastes</w:t>
      </w:r>
      <w:r w:rsidRPr="002C4077">
        <w:t xml:space="preserve"> </w:t>
      </w:r>
      <w:r>
        <w:t>que</w:t>
      </w:r>
      <w:r w:rsidRPr="002C4077">
        <w:t xml:space="preserve"> </w:t>
      </w:r>
      <w:r>
        <w:t>nous</w:t>
      </w:r>
      <w:r w:rsidRPr="002C4077">
        <w:t xml:space="preserve"> </w:t>
      </w:r>
      <w:r>
        <w:t>ayons</w:t>
      </w:r>
      <w:r w:rsidRPr="002C4077">
        <w:t xml:space="preserve"> </w:t>
      </w:r>
      <w:r>
        <w:t>sur</w:t>
      </w:r>
      <w:r w:rsidRPr="002C4077">
        <w:t xml:space="preserve"> </w:t>
      </w:r>
      <w:r>
        <w:t>la</w:t>
      </w:r>
      <w:r w:rsidRPr="002C4077">
        <w:t xml:space="preserve"> </w:t>
      </w:r>
      <w:r>
        <w:t>Bible</w:t>
      </w:r>
      <w:r w:rsidR="00B546AF">
        <w:t> »</w:t>
      </w:r>
      <w:r w:rsidRPr="004440EA">
        <w:t xml:space="preserve"> (</w:t>
      </w:r>
      <w:r>
        <w:t>ce</w:t>
      </w:r>
      <w:r w:rsidRPr="002C4077">
        <w:t xml:space="preserve"> </w:t>
      </w:r>
      <w:r>
        <w:t>jugement</w:t>
      </w:r>
      <w:r w:rsidRPr="002C4077">
        <w:t xml:space="preserve"> </w:t>
      </w:r>
      <w:r w:rsidR="00425C50">
        <w:t>est</w:t>
      </w:r>
      <w:r w:rsidRPr="002C4077">
        <w:t xml:space="preserve"> </w:t>
      </w:r>
      <w:r>
        <w:t>de</w:t>
      </w:r>
      <w:r w:rsidRPr="002C4077">
        <w:t xml:space="preserve"> </w:t>
      </w:r>
      <w:r>
        <w:t>Richard</w:t>
      </w:r>
      <w:r w:rsidRPr="002C4077">
        <w:t xml:space="preserve"> </w:t>
      </w:r>
      <w:r>
        <w:t>Simon</w:t>
      </w:r>
      <w:r w:rsidR="00B546AF" w:rsidRPr="002C4077">
        <w:t>)</w:t>
      </w:r>
      <w:r w:rsidR="00B546AF" w:rsidRPr="00950016">
        <w:t> ;</w:t>
      </w:r>
      <w:r w:rsidRPr="002C4077">
        <w:t xml:space="preserve"> </w:t>
      </w:r>
      <w:r>
        <w:t>Pineda,</w:t>
      </w:r>
      <w:r w:rsidRPr="002C4077">
        <w:t xml:space="preserve"> </w:t>
      </w:r>
      <w:r w:rsidRPr="000A34B5">
        <w:rPr>
          <w:rStyle w:val="italicus"/>
        </w:rPr>
        <w:t>Comment</w:t>
      </w:r>
      <w:r w:rsidR="003B53FD">
        <w:rPr>
          <w:rStyle w:val="italicus"/>
        </w:rPr>
        <w:t>á</w:t>
      </w:r>
      <w:r w:rsidR="003B53FD" w:rsidRPr="000A34B5">
        <w:rPr>
          <w:rStyle w:val="italicus"/>
        </w:rPr>
        <w:t>ria</w:t>
      </w:r>
      <w:r w:rsidRPr="002C4077">
        <w:t xml:space="preserve"> </w:t>
      </w:r>
      <w:r w:rsidRPr="000A34B5">
        <w:rPr>
          <w:rStyle w:val="italicus"/>
        </w:rPr>
        <w:t>in</w:t>
      </w:r>
      <w:r w:rsidRPr="002C4077">
        <w:t xml:space="preserve"> </w:t>
      </w:r>
      <w:r w:rsidRPr="000A34B5">
        <w:rPr>
          <w:rStyle w:val="italicus"/>
        </w:rPr>
        <w:t>Job,</w:t>
      </w:r>
      <w:r w:rsidRPr="002C4077">
        <w:t xml:space="preserve"> </w:t>
      </w:r>
      <w:r>
        <w:t>œuvre</w:t>
      </w:r>
      <w:r w:rsidRPr="002C4077">
        <w:t xml:space="preserve"> </w:t>
      </w:r>
      <w:r>
        <w:t>si</w:t>
      </w:r>
      <w:r w:rsidRPr="002C4077">
        <w:t xml:space="preserve"> </w:t>
      </w:r>
      <w:r>
        <w:t>savante</w:t>
      </w:r>
      <w:r w:rsidR="00B546AF">
        <w:t> ;</w:t>
      </w:r>
      <w:r w:rsidRPr="002C4077">
        <w:t xml:space="preserve"> </w:t>
      </w:r>
      <w:r>
        <w:t>Cornélius</w:t>
      </w:r>
      <w:r w:rsidRPr="002C4077">
        <w:t xml:space="preserve"> </w:t>
      </w:r>
      <w:r>
        <w:t>à</w:t>
      </w:r>
      <w:r w:rsidRPr="002C4077">
        <w:t xml:space="preserve"> </w:t>
      </w:r>
      <w:r w:rsidR="003B53FD">
        <w:t>Lápide</w:t>
      </w:r>
      <w:r>
        <w:t>,</w:t>
      </w:r>
      <w:r w:rsidRPr="002C4077">
        <w:t xml:space="preserve"> </w:t>
      </w:r>
      <w:r>
        <w:t>qui</w:t>
      </w:r>
      <w:r w:rsidRPr="002C4077">
        <w:t xml:space="preserve"> </w:t>
      </w:r>
      <w:r>
        <w:t>a</w:t>
      </w:r>
      <w:r w:rsidRPr="002C4077">
        <w:t xml:space="preserve"> </w:t>
      </w:r>
      <w:r>
        <w:t>commenté</w:t>
      </w:r>
      <w:r w:rsidRPr="002C4077">
        <w:t xml:space="preserve"> </w:t>
      </w:r>
      <w:r>
        <w:t>presque</w:t>
      </w:r>
      <w:r w:rsidRPr="002C4077">
        <w:t xml:space="preserve"> </w:t>
      </w:r>
      <w:r>
        <w:t>toute</w:t>
      </w:r>
      <w:r w:rsidRPr="002C4077">
        <w:t xml:space="preserve"> </w:t>
      </w:r>
      <w:r>
        <w:t>la</w:t>
      </w:r>
      <w:r w:rsidRPr="002C4077">
        <w:t xml:space="preserve"> </w:t>
      </w:r>
      <w:r>
        <w:t>Bible</w:t>
      </w:r>
      <w:r w:rsidRPr="004440EA">
        <w:t xml:space="preserve"> (</w:t>
      </w:r>
      <w:r>
        <w:t>nous</w:t>
      </w:r>
      <w:r w:rsidRPr="002C4077">
        <w:t xml:space="preserve"> </w:t>
      </w:r>
      <w:r>
        <w:t>devons</w:t>
      </w:r>
      <w:r w:rsidRPr="002C4077">
        <w:t xml:space="preserve"> </w:t>
      </w:r>
      <w:r>
        <w:t>avouer</w:t>
      </w:r>
      <w:r w:rsidRPr="002C4077">
        <w:t xml:space="preserve"> </w:t>
      </w:r>
      <w:r>
        <w:t>que</w:t>
      </w:r>
      <w:r w:rsidRPr="002C4077">
        <w:t xml:space="preserve"> </w:t>
      </w:r>
      <w:r>
        <w:t>sa</w:t>
      </w:r>
      <w:r w:rsidRPr="002C4077">
        <w:t xml:space="preserve"> </w:t>
      </w:r>
      <w:r>
        <w:t>critique</w:t>
      </w:r>
      <w:r w:rsidRPr="002C4077">
        <w:t xml:space="preserve"> </w:t>
      </w:r>
      <w:r>
        <w:t>n’est</w:t>
      </w:r>
      <w:r w:rsidRPr="002C4077">
        <w:t xml:space="preserve"> </w:t>
      </w:r>
      <w:r>
        <w:t>pas</w:t>
      </w:r>
      <w:r w:rsidRPr="002C4077">
        <w:t xml:space="preserve"> </w:t>
      </w:r>
      <w:r>
        <w:t>toujours</w:t>
      </w:r>
      <w:r w:rsidRPr="002C4077">
        <w:t xml:space="preserve"> </w:t>
      </w:r>
      <w:r>
        <w:t>parfaitement</w:t>
      </w:r>
      <w:r w:rsidRPr="002C4077">
        <w:t xml:space="preserve"> </w:t>
      </w:r>
      <w:r>
        <w:t>judicieuse</w:t>
      </w:r>
      <w:r w:rsidR="00B546AF" w:rsidRPr="002C4077">
        <w:t>)</w:t>
      </w:r>
      <w:r w:rsidR="00B546AF" w:rsidRPr="00950016">
        <w:t> ;</w:t>
      </w:r>
      <w:r w:rsidRPr="002C4077">
        <w:t xml:space="preserve"> </w:t>
      </w:r>
      <w:r>
        <w:t>Simon</w:t>
      </w:r>
      <w:r w:rsidRPr="002C4077">
        <w:t xml:space="preserve"> </w:t>
      </w:r>
      <w:r>
        <w:t>de</w:t>
      </w:r>
      <w:r w:rsidRPr="002C4077">
        <w:t xml:space="preserve"> </w:t>
      </w:r>
      <w:r>
        <w:t>Muis,</w:t>
      </w:r>
      <w:r w:rsidRPr="002C4077">
        <w:t xml:space="preserve"> </w:t>
      </w:r>
      <w:r>
        <w:t>hébraïsant</w:t>
      </w:r>
      <w:r w:rsidRPr="002C4077">
        <w:t xml:space="preserve"> </w:t>
      </w:r>
      <w:r>
        <w:t>distingué</w:t>
      </w:r>
      <w:r w:rsidR="00B546AF">
        <w:t> ;</w:t>
      </w:r>
      <w:r w:rsidRPr="002C4077">
        <w:t xml:space="preserve"> </w:t>
      </w:r>
      <w:r>
        <w:t>J.</w:t>
      </w:r>
      <w:r w:rsidRPr="002C4077">
        <w:t xml:space="preserve"> </w:t>
      </w:r>
      <w:r>
        <w:t>Morin,</w:t>
      </w:r>
      <w:r w:rsidRPr="002C4077">
        <w:t xml:space="preserve"> </w:t>
      </w:r>
      <w:r w:rsidRPr="000A34B5">
        <w:rPr>
          <w:rStyle w:val="italicus"/>
        </w:rPr>
        <w:t>Exercitat</w:t>
      </w:r>
      <w:r w:rsidR="003B53FD" w:rsidRPr="000A34B5">
        <w:rPr>
          <w:rStyle w:val="italicus"/>
        </w:rPr>
        <w:t>i</w:t>
      </w:r>
      <w:r w:rsidR="003B53FD">
        <w:rPr>
          <w:rStyle w:val="italicus"/>
        </w:rPr>
        <w:t>ó</w:t>
      </w:r>
      <w:r w:rsidR="003B53FD" w:rsidRPr="000A34B5">
        <w:rPr>
          <w:rStyle w:val="italicus"/>
        </w:rPr>
        <w:t>nes</w:t>
      </w:r>
      <w:r w:rsidRPr="002C4077">
        <w:t xml:space="preserve"> </w:t>
      </w:r>
      <w:r w:rsidRPr="000A34B5">
        <w:rPr>
          <w:rStyle w:val="italicus"/>
        </w:rPr>
        <w:t>in</w:t>
      </w:r>
      <w:r w:rsidRPr="002C4077">
        <w:t xml:space="preserve"> </w:t>
      </w:r>
      <w:r w:rsidR="00514F08" w:rsidRPr="000A34B5">
        <w:rPr>
          <w:rStyle w:val="italicus"/>
        </w:rPr>
        <w:t>utrúmque</w:t>
      </w:r>
      <w:r w:rsidRPr="002C4077">
        <w:t xml:space="preserve"> </w:t>
      </w:r>
      <w:r w:rsidRPr="000A34B5">
        <w:rPr>
          <w:rStyle w:val="italicus"/>
        </w:rPr>
        <w:t>Samari</w:t>
      </w:r>
      <w:r w:rsidR="003B53FD" w:rsidRPr="000A34B5">
        <w:rPr>
          <w:rStyle w:val="italicus"/>
        </w:rPr>
        <w:t>tan</w:t>
      </w:r>
      <w:r w:rsidR="003B53FD">
        <w:rPr>
          <w:rStyle w:val="italicus"/>
        </w:rPr>
        <w:t>ó</w:t>
      </w:r>
      <w:r w:rsidR="003B53FD" w:rsidRPr="000A34B5">
        <w:rPr>
          <w:rStyle w:val="italicus"/>
        </w:rPr>
        <w:t>rum</w:t>
      </w:r>
      <w:r w:rsidRPr="002C4077">
        <w:t xml:space="preserve"> </w:t>
      </w:r>
      <w:r w:rsidR="00514F08" w:rsidRPr="000A34B5">
        <w:rPr>
          <w:rStyle w:val="italicus"/>
        </w:rPr>
        <w:t>Pentatéuchum</w:t>
      </w:r>
      <w:r w:rsidRPr="004440EA">
        <w:t xml:space="preserve"> (</w:t>
      </w:r>
      <w:r>
        <w:t>car</w:t>
      </w:r>
      <w:r w:rsidRPr="002C4077">
        <w:t xml:space="preserve"> </w:t>
      </w:r>
      <w:r>
        <w:t>les</w:t>
      </w:r>
      <w:r w:rsidRPr="002C4077">
        <w:t xml:space="preserve"> </w:t>
      </w:r>
      <w:r w:rsidR="00514F08">
        <w:t>exégètes</w:t>
      </w:r>
      <w:r w:rsidRPr="002C4077">
        <w:t xml:space="preserve"> </w:t>
      </w:r>
      <w:r>
        <w:t>catholiques</w:t>
      </w:r>
      <w:r w:rsidRPr="002C4077">
        <w:t xml:space="preserve"> </w:t>
      </w:r>
      <w:r>
        <w:t>se</w:t>
      </w:r>
      <w:r w:rsidRPr="002C4077">
        <w:t xml:space="preserve"> </w:t>
      </w:r>
      <w:r>
        <w:t>sont</w:t>
      </w:r>
      <w:r w:rsidRPr="002C4077">
        <w:t xml:space="preserve"> </w:t>
      </w:r>
      <w:r>
        <w:t>occupés</w:t>
      </w:r>
      <w:r w:rsidRPr="002C4077">
        <w:t xml:space="preserve"> </w:t>
      </w:r>
      <w:r>
        <w:t>même</w:t>
      </w:r>
      <w:r w:rsidRPr="002C4077">
        <w:t xml:space="preserve"> </w:t>
      </w:r>
      <w:r>
        <w:t>du</w:t>
      </w:r>
      <w:r w:rsidRPr="002C4077">
        <w:t xml:space="preserve"> </w:t>
      </w:r>
      <w:r>
        <w:t>texte</w:t>
      </w:r>
      <w:r w:rsidRPr="002C4077">
        <w:t xml:space="preserve"> </w:t>
      </w:r>
      <w:r>
        <w:t>samaritain</w:t>
      </w:r>
      <w:r w:rsidR="00B546AF" w:rsidRPr="002C4077">
        <w:t>)</w:t>
      </w:r>
      <w:r>
        <w:t>.</w:t>
      </w:r>
      <w:r w:rsidRPr="002C4077">
        <w:t xml:space="preserve"> </w:t>
      </w:r>
      <w:r>
        <w:t>Déjà</w:t>
      </w:r>
      <w:r w:rsidRPr="002C4077">
        <w:t xml:space="preserve"> </w:t>
      </w:r>
      <w:r>
        <w:t>nous</w:t>
      </w:r>
      <w:r w:rsidRPr="002C4077">
        <w:t xml:space="preserve"> </w:t>
      </w:r>
      <w:r>
        <w:t>avons</w:t>
      </w:r>
      <w:r w:rsidRPr="002C4077">
        <w:t xml:space="preserve"> </w:t>
      </w:r>
      <w:r w:rsidR="00514F08">
        <w:t>parlé</w:t>
      </w:r>
      <w:r w:rsidRPr="002C4077">
        <w:t xml:space="preserve"> </w:t>
      </w:r>
      <w:r>
        <w:t>de</w:t>
      </w:r>
      <w:r w:rsidRPr="002C4077">
        <w:t xml:space="preserve"> </w:t>
      </w:r>
      <w:r>
        <w:t>Richard</w:t>
      </w:r>
      <w:r w:rsidRPr="002C4077">
        <w:t xml:space="preserve"> </w:t>
      </w:r>
      <w:r>
        <w:t>Simon</w:t>
      </w:r>
      <w:r w:rsidRPr="002C4077">
        <w:t xml:space="preserve"> </w:t>
      </w:r>
      <w:r>
        <w:t>et</w:t>
      </w:r>
      <w:r w:rsidRPr="002C4077">
        <w:t xml:space="preserve"> </w:t>
      </w:r>
      <w:r>
        <w:t>de</w:t>
      </w:r>
      <w:r w:rsidRPr="002C4077">
        <w:t xml:space="preserve"> </w:t>
      </w:r>
      <w:r>
        <w:t>Bossuet.</w:t>
      </w:r>
      <w:r w:rsidRPr="002C4077">
        <w:t xml:space="preserve"> </w:t>
      </w:r>
    </w:p>
    <w:p w:rsidR="000A7AAB" w:rsidRDefault="000A7AAB" w:rsidP="000A7AAB">
      <w:r w:rsidRPr="000A34B5">
        <w:rPr>
          <w:rStyle w:val="italicus"/>
        </w:rPr>
        <w:t>XVI</w:t>
      </w:r>
      <w:r w:rsidR="007B3C26">
        <w:rPr>
          <w:rStyle w:val="italicus"/>
        </w:rPr>
        <w:t>II</w:t>
      </w:r>
      <w:r w:rsidR="007B3C26" w:rsidRPr="007B3C26">
        <w:rPr>
          <w:rStyle w:val="italicus"/>
          <w:vertAlign w:val="superscript"/>
        </w:rPr>
        <w:t>e</w:t>
      </w:r>
      <w:r w:rsidRPr="002C4077">
        <w:t xml:space="preserve"> </w:t>
      </w:r>
      <w:r w:rsidRPr="000A34B5">
        <w:rPr>
          <w:rStyle w:val="italicus"/>
        </w:rPr>
        <w:t>siècle.</w:t>
      </w:r>
      <w:bookmarkStart w:id="452" w:name="z_CommentateursCath_o3"/>
      <w:bookmarkEnd w:id="452"/>
      <w:r w:rsidRPr="002C4077">
        <w:t xml:space="preserve"> </w:t>
      </w:r>
      <w:r>
        <w:t>—</w:t>
      </w:r>
      <w:r w:rsidRPr="002C4077">
        <w:t xml:space="preserve"> </w:t>
      </w:r>
      <w:r>
        <w:t>M.</w:t>
      </w:r>
      <w:r w:rsidRPr="002C4077">
        <w:t xml:space="preserve"> </w:t>
      </w:r>
      <w:r>
        <w:t>Soury</w:t>
      </w:r>
      <w:r w:rsidRPr="002C4077">
        <w:t xml:space="preserve"> </w:t>
      </w:r>
      <w:r>
        <w:t>connaît-il</w:t>
      </w:r>
      <w:r w:rsidRPr="002C4077">
        <w:t xml:space="preserve"> </w:t>
      </w:r>
      <w:r>
        <w:t>Dom</w:t>
      </w:r>
      <w:r w:rsidRPr="002C4077">
        <w:t xml:space="preserve"> </w:t>
      </w:r>
      <w:r>
        <w:t>Calmet,</w:t>
      </w:r>
      <w:r w:rsidRPr="002C4077">
        <w:t xml:space="preserve"> </w:t>
      </w:r>
      <w:r>
        <w:t>l’auteur</w:t>
      </w:r>
      <w:r w:rsidRPr="002C4077">
        <w:t xml:space="preserve"> </w:t>
      </w:r>
      <w:r>
        <w:t>d’un</w:t>
      </w:r>
      <w:r w:rsidRPr="002C4077">
        <w:t xml:space="preserve"> </w:t>
      </w:r>
      <w:r w:rsidRPr="000A34B5">
        <w:rPr>
          <w:rStyle w:val="italicus"/>
        </w:rPr>
        <w:t>Commentaire</w:t>
      </w:r>
      <w:r w:rsidRPr="002C4077">
        <w:t xml:space="preserve"> </w:t>
      </w:r>
      <w:r w:rsidRPr="000A34B5">
        <w:rPr>
          <w:rStyle w:val="italicus"/>
        </w:rPr>
        <w:t>littéral</w:t>
      </w:r>
      <w:r w:rsidRPr="002C4077">
        <w:t xml:space="preserve"> </w:t>
      </w:r>
      <w:r w:rsidRPr="000A34B5">
        <w:rPr>
          <w:rStyle w:val="italicus"/>
        </w:rPr>
        <w:t>sur</w:t>
      </w:r>
      <w:r w:rsidRPr="002C4077">
        <w:t xml:space="preserve"> </w:t>
      </w:r>
      <w:r w:rsidRPr="000A34B5">
        <w:rPr>
          <w:rStyle w:val="italicus"/>
        </w:rPr>
        <w:t>tous</w:t>
      </w:r>
      <w:r w:rsidRPr="002C4077">
        <w:t xml:space="preserve"> </w:t>
      </w:r>
      <w:r w:rsidRPr="000A34B5">
        <w:rPr>
          <w:rStyle w:val="italicus"/>
        </w:rPr>
        <w:t>les</w:t>
      </w:r>
      <w:r w:rsidRPr="002C4077">
        <w:t xml:space="preserve"> </w:t>
      </w:r>
      <w:r w:rsidRPr="000A34B5">
        <w:rPr>
          <w:rStyle w:val="italicus"/>
        </w:rPr>
        <w:t>livres</w:t>
      </w:r>
      <w:r w:rsidRPr="002C4077">
        <w:t xml:space="preserve"> </w:t>
      </w:r>
      <w:r w:rsidRPr="000A34B5">
        <w:rPr>
          <w:rStyle w:val="italicus"/>
        </w:rPr>
        <w:t>de</w:t>
      </w:r>
      <w:r w:rsidRPr="002C4077">
        <w:t xml:space="preserve"> </w:t>
      </w:r>
      <w:r w:rsidRPr="000A34B5">
        <w:rPr>
          <w:rStyle w:val="italicus"/>
        </w:rPr>
        <w:t>l’Ancien</w:t>
      </w:r>
      <w:r w:rsidRPr="002C4077">
        <w:t xml:space="preserve"> </w:t>
      </w:r>
      <w:r w:rsidRPr="000A34B5">
        <w:rPr>
          <w:rStyle w:val="italicus"/>
        </w:rPr>
        <w:t>et</w:t>
      </w:r>
      <w:r w:rsidRPr="002C4077">
        <w:t xml:space="preserve"> </w:t>
      </w:r>
      <w:r w:rsidRPr="000A34B5">
        <w:rPr>
          <w:rStyle w:val="italicus"/>
        </w:rPr>
        <w:t>du</w:t>
      </w:r>
      <w:r w:rsidRPr="002C4077">
        <w:t xml:space="preserve"> </w:t>
      </w:r>
      <w:r w:rsidRPr="000A34B5">
        <w:rPr>
          <w:rStyle w:val="italicus"/>
        </w:rPr>
        <w:t>Nouveau</w:t>
      </w:r>
      <w:r w:rsidRPr="002C4077">
        <w:t xml:space="preserve"> </w:t>
      </w:r>
      <w:r w:rsidRPr="000A34B5">
        <w:rPr>
          <w:rStyle w:val="italicus"/>
        </w:rPr>
        <w:t>Testament</w:t>
      </w:r>
      <w:r w:rsidRPr="002C4077">
        <w:t xml:space="preserve"> </w:t>
      </w:r>
      <w:r>
        <w:t>et</w:t>
      </w:r>
      <w:r w:rsidRPr="002C4077">
        <w:t xml:space="preserve"> </w:t>
      </w:r>
      <w:r>
        <w:t>d’un</w:t>
      </w:r>
      <w:r w:rsidRPr="002C4077">
        <w:t xml:space="preserve"> </w:t>
      </w:r>
      <w:r w:rsidRPr="000A34B5">
        <w:rPr>
          <w:rStyle w:val="italicus"/>
        </w:rPr>
        <w:t>Dictionnaire</w:t>
      </w:r>
      <w:r w:rsidRPr="002C4077">
        <w:t xml:space="preserve"> </w:t>
      </w:r>
      <w:r w:rsidRPr="000A34B5">
        <w:rPr>
          <w:rStyle w:val="italicus"/>
        </w:rPr>
        <w:t>historique,</w:t>
      </w:r>
      <w:r w:rsidRPr="002C4077">
        <w:t xml:space="preserve"> </w:t>
      </w:r>
      <w:r w:rsidRPr="000A34B5">
        <w:rPr>
          <w:rStyle w:val="italicus"/>
        </w:rPr>
        <w:t>critique,</w:t>
      </w:r>
      <w:r w:rsidRPr="002C4077">
        <w:t xml:space="preserve"> </w:t>
      </w:r>
      <w:r w:rsidRPr="000A34B5">
        <w:rPr>
          <w:rStyle w:val="italicus"/>
        </w:rPr>
        <w:t>chronologique</w:t>
      </w:r>
      <w:r w:rsidRPr="002C4077">
        <w:t xml:space="preserve"> </w:t>
      </w:r>
      <w:r w:rsidRPr="000A34B5">
        <w:rPr>
          <w:rStyle w:val="italicus"/>
        </w:rPr>
        <w:t>et</w:t>
      </w:r>
      <w:r w:rsidRPr="002C4077">
        <w:t xml:space="preserve"> </w:t>
      </w:r>
      <w:r w:rsidRPr="000A34B5">
        <w:rPr>
          <w:rStyle w:val="italicus"/>
        </w:rPr>
        <w:t>littéral</w:t>
      </w:r>
      <w:r w:rsidRPr="002C4077">
        <w:t xml:space="preserve"> </w:t>
      </w:r>
      <w:r w:rsidRPr="000A34B5">
        <w:rPr>
          <w:rStyle w:val="italicus"/>
        </w:rPr>
        <w:t>de</w:t>
      </w:r>
      <w:r w:rsidRPr="002C4077">
        <w:t xml:space="preserve"> </w:t>
      </w:r>
      <w:r w:rsidRPr="000A34B5">
        <w:rPr>
          <w:rStyle w:val="italicus"/>
        </w:rPr>
        <w:t>la</w:t>
      </w:r>
      <w:r w:rsidRPr="002C4077">
        <w:t xml:space="preserve"> </w:t>
      </w:r>
      <w:r w:rsidRPr="000A34B5">
        <w:rPr>
          <w:rStyle w:val="italicus"/>
        </w:rPr>
        <w:t>Bible,</w:t>
      </w:r>
      <w:r w:rsidRPr="002C4077">
        <w:t xml:space="preserve"> </w:t>
      </w:r>
      <w:r>
        <w:t>auxquels</w:t>
      </w:r>
      <w:r w:rsidRPr="002C4077">
        <w:t xml:space="preserve"> </w:t>
      </w:r>
      <w:r>
        <w:t>les</w:t>
      </w:r>
      <w:r w:rsidRPr="002C4077">
        <w:t xml:space="preserve"> </w:t>
      </w:r>
      <w:r>
        <w:t>protestants</w:t>
      </w:r>
      <w:r w:rsidRPr="002C4077">
        <w:t xml:space="preserve"> </w:t>
      </w:r>
      <w:r>
        <w:t>et</w:t>
      </w:r>
      <w:r w:rsidRPr="002C4077">
        <w:t xml:space="preserve"> </w:t>
      </w:r>
      <w:r>
        <w:t>les</w:t>
      </w:r>
      <w:r w:rsidRPr="002C4077">
        <w:t xml:space="preserve"> </w:t>
      </w:r>
      <w:r>
        <w:t>rationalistes</w:t>
      </w:r>
      <w:r w:rsidRPr="002C4077">
        <w:t xml:space="preserve"> </w:t>
      </w:r>
      <w:r>
        <w:t>ne</w:t>
      </w:r>
      <w:r w:rsidRPr="002C4077">
        <w:t xml:space="preserve"> </w:t>
      </w:r>
      <w:r>
        <w:t>se</w:t>
      </w:r>
      <w:r w:rsidRPr="002C4077">
        <w:t xml:space="preserve"> </w:t>
      </w:r>
      <w:r>
        <w:t>lassent</w:t>
      </w:r>
      <w:r w:rsidRPr="002C4077">
        <w:t xml:space="preserve"> </w:t>
      </w:r>
      <w:r>
        <w:t>pas</w:t>
      </w:r>
      <w:r w:rsidRPr="002C4077">
        <w:t xml:space="preserve"> </w:t>
      </w:r>
      <w:r>
        <w:t>de</w:t>
      </w:r>
      <w:r w:rsidRPr="002C4077">
        <w:t xml:space="preserve"> </w:t>
      </w:r>
      <w:r>
        <w:t>faire</w:t>
      </w:r>
      <w:r w:rsidRPr="002C4077">
        <w:t xml:space="preserve"> </w:t>
      </w:r>
      <w:r>
        <w:t>des</w:t>
      </w:r>
      <w:r w:rsidRPr="002C4077">
        <w:t xml:space="preserve"> </w:t>
      </w:r>
      <w:r>
        <w:t>emprunts</w:t>
      </w:r>
      <w:r w:rsidR="00B546AF">
        <w:t> ?</w:t>
      </w:r>
      <w:r w:rsidRPr="002C4077">
        <w:t xml:space="preserve"> </w:t>
      </w:r>
      <w:r>
        <w:t>Connaît-il</w:t>
      </w:r>
      <w:r w:rsidRPr="002C4077">
        <w:t xml:space="preserve"> </w:t>
      </w:r>
      <w:r>
        <w:t>Louis</w:t>
      </w:r>
      <w:r w:rsidRPr="002C4077">
        <w:t xml:space="preserve"> </w:t>
      </w:r>
      <w:r>
        <w:t>de</w:t>
      </w:r>
      <w:r w:rsidRPr="002C4077">
        <w:t xml:space="preserve"> </w:t>
      </w:r>
      <w:r w:rsidR="007B3C26">
        <w:t>Ve</w:t>
      </w:r>
      <w:r>
        <w:t>nce</w:t>
      </w:r>
      <w:r w:rsidRPr="002C4077">
        <w:t xml:space="preserve"> </w:t>
      </w:r>
      <w:r>
        <w:t>et</w:t>
      </w:r>
      <w:r w:rsidRPr="002C4077">
        <w:t xml:space="preserve"> </w:t>
      </w:r>
      <w:r>
        <w:t>ses</w:t>
      </w:r>
      <w:r w:rsidRPr="002C4077">
        <w:t xml:space="preserve"> </w:t>
      </w:r>
      <w:r>
        <w:t>riches</w:t>
      </w:r>
      <w:r w:rsidRPr="002C4077">
        <w:t xml:space="preserve"> </w:t>
      </w:r>
      <w:r>
        <w:t>dissertations</w:t>
      </w:r>
      <w:r w:rsidR="00B546AF">
        <w:t> ?</w:t>
      </w:r>
      <w:r w:rsidRPr="002C4077">
        <w:t xml:space="preserve"> </w:t>
      </w:r>
      <w:r>
        <w:t>Connaît-il</w:t>
      </w:r>
      <w:r w:rsidRPr="002C4077">
        <w:t xml:space="preserve"> </w:t>
      </w:r>
      <w:r>
        <w:t>le</w:t>
      </w:r>
      <w:r w:rsidRPr="002C4077">
        <w:t xml:space="preserve"> </w:t>
      </w:r>
      <w:r>
        <w:t>P.</w:t>
      </w:r>
      <w:r w:rsidRPr="002C4077">
        <w:t xml:space="preserve"> </w:t>
      </w:r>
      <w:r>
        <w:t>Lamy</w:t>
      </w:r>
      <w:r w:rsidRPr="002C4077">
        <w:t xml:space="preserve"> </w:t>
      </w:r>
      <w:r>
        <w:t>de</w:t>
      </w:r>
      <w:r w:rsidRPr="002C4077">
        <w:t xml:space="preserve"> </w:t>
      </w:r>
      <w:r>
        <w:t>l’Oratoire</w:t>
      </w:r>
      <w:r w:rsidRPr="002C4077">
        <w:t xml:space="preserve"> </w:t>
      </w:r>
      <w:r>
        <w:t>et</w:t>
      </w:r>
      <w:r w:rsidRPr="002C4077">
        <w:t xml:space="preserve"> </w:t>
      </w:r>
      <w:r>
        <w:t>son</w:t>
      </w:r>
      <w:r w:rsidRPr="002C4077">
        <w:t xml:space="preserve"> </w:t>
      </w:r>
      <w:r w:rsidRPr="000A34B5">
        <w:rPr>
          <w:rStyle w:val="italicus"/>
        </w:rPr>
        <w:t>Ap</w:t>
      </w:r>
      <w:r w:rsidR="003B53FD" w:rsidRPr="000A34B5">
        <w:rPr>
          <w:rStyle w:val="italicus"/>
        </w:rPr>
        <w:t>par</w:t>
      </w:r>
      <w:r w:rsidR="003B53FD">
        <w:rPr>
          <w:rStyle w:val="italicus"/>
        </w:rPr>
        <w:t>á</w:t>
      </w:r>
      <w:r w:rsidR="003B53FD" w:rsidRPr="000A34B5">
        <w:rPr>
          <w:rStyle w:val="italicus"/>
        </w:rPr>
        <w:t>tus</w:t>
      </w:r>
      <w:r w:rsidRPr="002C4077">
        <w:t xml:space="preserve"> </w:t>
      </w:r>
      <w:r w:rsidRPr="000A34B5">
        <w:rPr>
          <w:rStyle w:val="italicus"/>
        </w:rPr>
        <w:t>ad</w:t>
      </w:r>
      <w:r w:rsidRPr="002C4077">
        <w:t xml:space="preserve"> </w:t>
      </w:r>
      <w:r w:rsidRPr="000A34B5">
        <w:rPr>
          <w:rStyle w:val="italicus"/>
        </w:rPr>
        <w:t>B</w:t>
      </w:r>
      <w:r w:rsidR="003B53FD">
        <w:rPr>
          <w:rStyle w:val="italicus"/>
        </w:rPr>
        <w:t>í</w:t>
      </w:r>
      <w:r w:rsidR="003B53FD" w:rsidRPr="000A34B5">
        <w:rPr>
          <w:rStyle w:val="italicus"/>
        </w:rPr>
        <w:t>blia</w:t>
      </w:r>
      <w:r w:rsidRPr="002C4077">
        <w:t xml:space="preserve"> </w:t>
      </w:r>
      <w:r w:rsidRPr="000A34B5">
        <w:rPr>
          <w:rStyle w:val="italicus"/>
        </w:rPr>
        <w:lastRenderedPageBreak/>
        <w:t>Sacra</w:t>
      </w:r>
      <w:r w:rsidR="00B546AF">
        <w:rPr>
          <w:rStyle w:val="italicus"/>
        </w:rPr>
        <w:t> </w:t>
      </w:r>
      <w:r w:rsidR="00B546AF" w:rsidRPr="000A34B5">
        <w:rPr>
          <w:rStyle w:val="italicus"/>
        </w:rPr>
        <w:t>?</w:t>
      </w:r>
      <w:r w:rsidRPr="002C4077">
        <w:t xml:space="preserve"> </w:t>
      </w:r>
      <w:r>
        <w:t>A-t-il</w:t>
      </w:r>
      <w:r w:rsidRPr="002C4077">
        <w:t xml:space="preserve"> </w:t>
      </w:r>
      <w:r>
        <w:t>rencontré</w:t>
      </w:r>
      <w:r w:rsidRPr="002C4077">
        <w:t xml:space="preserve"> </w:t>
      </w:r>
      <w:r>
        <w:t>dans</w:t>
      </w:r>
      <w:r w:rsidRPr="002C4077">
        <w:t xml:space="preserve"> </w:t>
      </w:r>
      <w:r>
        <w:t>ses</w:t>
      </w:r>
      <w:r w:rsidRPr="002C4077">
        <w:t xml:space="preserve"> </w:t>
      </w:r>
      <w:r>
        <w:t>lectures</w:t>
      </w:r>
      <w:r w:rsidRPr="002C4077">
        <w:t xml:space="preserve"> </w:t>
      </w:r>
      <w:r>
        <w:t>hébraïques</w:t>
      </w:r>
      <w:r w:rsidRPr="002C4077">
        <w:t xml:space="preserve"> </w:t>
      </w:r>
      <w:r>
        <w:t>les</w:t>
      </w:r>
      <w:r w:rsidRPr="002C4077">
        <w:t xml:space="preserve"> </w:t>
      </w:r>
      <w:r>
        <w:t>noms</w:t>
      </w:r>
      <w:r w:rsidRPr="002C4077">
        <w:t xml:space="preserve"> </w:t>
      </w:r>
      <w:r>
        <w:t>des</w:t>
      </w:r>
      <w:r w:rsidRPr="002C4077">
        <w:t xml:space="preserve"> </w:t>
      </w:r>
      <w:r>
        <w:t>Pères</w:t>
      </w:r>
      <w:r w:rsidRPr="002C4077">
        <w:t xml:space="preserve"> </w:t>
      </w:r>
      <w:r>
        <w:t>Guarin</w:t>
      </w:r>
      <w:r w:rsidRPr="002C4077">
        <w:t xml:space="preserve"> </w:t>
      </w:r>
      <w:r>
        <w:t>et</w:t>
      </w:r>
      <w:r w:rsidRPr="002C4077">
        <w:t xml:space="preserve"> </w:t>
      </w:r>
      <w:r>
        <w:t>Houbigant</w:t>
      </w:r>
      <w:r w:rsidR="00B546AF">
        <w:t> ?</w:t>
      </w:r>
      <w:r w:rsidRPr="002C4077">
        <w:t xml:space="preserve"> </w:t>
      </w:r>
      <w:r>
        <w:t>Ses</w:t>
      </w:r>
      <w:r w:rsidRPr="002C4077">
        <w:t xml:space="preserve"> </w:t>
      </w:r>
      <w:r>
        <w:t>études</w:t>
      </w:r>
      <w:r w:rsidRPr="002C4077">
        <w:t xml:space="preserve"> </w:t>
      </w:r>
      <w:r>
        <w:t>critiques</w:t>
      </w:r>
      <w:r w:rsidRPr="002C4077">
        <w:t xml:space="preserve"> </w:t>
      </w:r>
      <w:r>
        <w:t>lui</w:t>
      </w:r>
      <w:r w:rsidRPr="002C4077">
        <w:t xml:space="preserve"> </w:t>
      </w:r>
      <w:r>
        <w:t>ont-elles</w:t>
      </w:r>
      <w:r w:rsidRPr="002C4077">
        <w:t xml:space="preserve"> </w:t>
      </w:r>
      <w:r>
        <w:t>révélé</w:t>
      </w:r>
      <w:r w:rsidRPr="002C4077">
        <w:t xml:space="preserve"> </w:t>
      </w:r>
      <w:r>
        <w:t>l’existence</w:t>
      </w:r>
      <w:r w:rsidRPr="002C4077">
        <w:t xml:space="preserve"> </w:t>
      </w:r>
      <w:r>
        <w:t>du</w:t>
      </w:r>
      <w:r w:rsidR="001D2588" w:rsidRPr="002C4077">
        <w:t xml:space="preserve"> </w:t>
      </w:r>
      <w:r w:rsidR="00514F08">
        <w:rPr>
          <w:rStyle w:val="italicus"/>
        </w:rPr>
        <w:t>Sý</w:t>
      </w:r>
      <w:r w:rsidR="00514F08" w:rsidRPr="000A34B5">
        <w:rPr>
          <w:rStyle w:val="italicus"/>
        </w:rPr>
        <w:t>ll</w:t>
      </w:r>
      <w:r w:rsidR="00514F08">
        <w:rPr>
          <w:rStyle w:val="italicus"/>
        </w:rPr>
        <w:t>abus</w:t>
      </w:r>
      <w:r w:rsidRPr="002C4077">
        <w:t xml:space="preserve"> </w:t>
      </w:r>
      <w:r w:rsidR="003B53FD">
        <w:rPr>
          <w:rStyle w:val="italicus"/>
        </w:rPr>
        <w:t>ó</w:t>
      </w:r>
      <w:r w:rsidR="003B53FD" w:rsidRPr="000A34B5">
        <w:rPr>
          <w:rStyle w:val="italicus"/>
        </w:rPr>
        <w:t>mnium</w:t>
      </w:r>
      <w:r w:rsidRPr="002C4077">
        <w:t xml:space="preserve"> </w:t>
      </w:r>
      <w:r w:rsidRPr="000A34B5">
        <w:rPr>
          <w:rStyle w:val="italicus"/>
        </w:rPr>
        <w:t>ferme</w:t>
      </w:r>
      <w:r w:rsidRPr="002C4077">
        <w:t xml:space="preserve"> </w:t>
      </w:r>
      <w:r w:rsidRPr="000A34B5">
        <w:rPr>
          <w:rStyle w:val="italicus"/>
        </w:rPr>
        <w:t>s</w:t>
      </w:r>
      <w:r w:rsidR="001730C6" w:rsidRPr="000A34B5">
        <w:rPr>
          <w:rStyle w:val="italicus"/>
        </w:rPr>
        <w:t>ac</w:t>
      </w:r>
      <w:r w:rsidRPr="000A34B5">
        <w:rPr>
          <w:rStyle w:val="italicus"/>
        </w:rPr>
        <w:t>r</w:t>
      </w:r>
      <w:r w:rsidR="003B53FD">
        <w:rPr>
          <w:rStyle w:val="italicus"/>
        </w:rPr>
        <w:t>árum</w:t>
      </w:r>
      <w:r w:rsidRPr="002C4077">
        <w:t xml:space="preserve"> </w:t>
      </w:r>
      <w:r w:rsidRPr="000A34B5">
        <w:rPr>
          <w:rStyle w:val="italicus"/>
        </w:rPr>
        <w:t>Scriptur</w:t>
      </w:r>
      <w:r w:rsidR="003B53FD">
        <w:rPr>
          <w:rStyle w:val="italicus"/>
        </w:rPr>
        <w:t>árum</w:t>
      </w:r>
      <w:r w:rsidRPr="002C4077">
        <w:t xml:space="preserve"> </w:t>
      </w:r>
      <w:r w:rsidRPr="000A34B5">
        <w:rPr>
          <w:rStyle w:val="italicus"/>
        </w:rPr>
        <w:t>edit</w:t>
      </w:r>
      <w:r w:rsidR="003B53FD" w:rsidRPr="000A34B5">
        <w:rPr>
          <w:rStyle w:val="italicus"/>
        </w:rPr>
        <w:t>i</w:t>
      </w:r>
      <w:r w:rsidR="003B53FD">
        <w:rPr>
          <w:rStyle w:val="italicus"/>
        </w:rPr>
        <w:t>ó</w:t>
      </w:r>
      <w:r w:rsidR="003B53FD" w:rsidRPr="000A34B5">
        <w:rPr>
          <w:rStyle w:val="italicus"/>
        </w:rPr>
        <w:t>num</w:t>
      </w:r>
      <w:r w:rsidRPr="002C4077">
        <w:t xml:space="preserve"> </w:t>
      </w:r>
      <w:r w:rsidRPr="000A34B5">
        <w:rPr>
          <w:rStyle w:val="italicus"/>
        </w:rPr>
        <w:t>ac</w:t>
      </w:r>
      <w:r w:rsidRPr="002C4077">
        <w:t xml:space="preserve"> </w:t>
      </w:r>
      <w:r w:rsidRPr="000A34B5">
        <w:rPr>
          <w:rStyle w:val="italicus"/>
        </w:rPr>
        <w:t>vers</w:t>
      </w:r>
      <w:r w:rsidR="003B53FD" w:rsidRPr="000A34B5">
        <w:rPr>
          <w:rStyle w:val="italicus"/>
        </w:rPr>
        <w:t>i</w:t>
      </w:r>
      <w:r w:rsidR="003B53FD">
        <w:rPr>
          <w:rStyle w:val="italicus"/>
        </w:rPr>
        <w:t>ó</w:t>
      </w:r>
      <w:r w:rsidR="003B53FD" w:rsidRPr="000A34B5">
        <w:rPr>
          <w:rStyle w:val="italicus"/>
        </w:rPr>
        <w:t>num</w:t>
      </w:r>
      <w:r w:rsidRPr="000A34B5">
        <w:rPr>
          <w:rStyle w:val="italicus"/>
        </w:rPr>
        <w:t>,</w:t>
      </w:r>
      <w:r w:rsidRPr="002C4077">
        <w:t xml:space="preserve"> </w:t>
      </w:r>
      <w:r>
        <w:t>composé</w:t>
      </w:r>
      <w:r w:rsidRPr="002C4077">
        <w:t xml:space="preserve"> </w:t>
      </w:r>
      <w:r>
        <w:t>par</w:t>
      </w:r>
      <w:r w:rsidRPr="002C4077">
        <w:t xml:space="preserve"> </w:t>
      </w:r>
      <w:r>
        <w:t>le</w:t>
      </w:r>
      <w:r w:rsidRPr="002C4077">
        <w:t xml:space="preserve"> </w:t>
      </w:r>
      <w:r>
        <w:t>P.</w:t>
      </w:r>
      <w:r w:rsidRPr="002C4077">
        <w:t xml:space="preserve"> </w:t>
      </w:r>
      <w:r>
        <w:t>Le</w:t>
      </w:r>
      <w:r w:rsidRPr="002C4077">
        <w:t xml:space="preserve"> </w:t>
      </w:r>
      <w:r>
        <w:t>Long</w:t>
      </w:r>
      <w:r w:rsidR="00B546AF">
        <w:t> ?</w:t>
      </w:r>
      <w:r w:rsidRPr="002C4077">
        <w:t xml:space="preserve"> </w:t>
      </w:r>
      <w:r>
        <w:t>Non</w:t>
      </w:r>
      <w:r w:rsidRPr="002C4077">
        <w:t xml:space="preserve"> </w:t>
      </w:r>
      <w:r>
        <w:t>certainement,</w:t>
      </w:r>
      <w:r w:rsidRPr="002C4077">
        <w:t xml:space="preserve"> </w:t>
      </w:r>
      <w:r>
        <w:t>puisque</w:t>
      </w:r>
      <w:r w:rsidRPr="002C4077">
        <w:t xml:space="preserve"> </w:t>
      </w:r>
      <w:r>
        <w:t>tous</w:t>
      </w:r>
      <w:r w:rsidRPr="002C4077">
        <w:t xml:space="preserve"> </w:t>
      </w:r>
      <w:r>
        <w:t>ces</w:t>
      </w:r>
      <w:r w:rsidRPr="002C4077">
        <w:t xml:space="preserve"> </w:t>
      </w:r>
      <w:r>
        <w:t>auteurs</w:t>
      </w:r>
      <w:r w:rsidRPr="002C4077">
        <w:t xml:space="preserve"> </w:t>
      </w:r>
      <w:r>
        <w:t>sont</w:t>
      </w:r>
      <w:r w:rsidRPr="002C4077">
        <w:t xml:space="preserve"> </w:t>
      </w:r>
      <w:r>
        <w:t>catholiques.</w:t>
      </w:r>
      <w:r w:rsidRPr="002C4077">
        <w:t xml:space="preserve"> </w:t>
      </w:r>
    </w:p>
    <w:p w:rsidR="000A7AAB" w:rsidRDefault="000A7AAB" w:rsidP="000A7AAB">
      <w:r>
        <w:t>Et</w:t>
      </w:r>
      <w:r w:rsidRPr="002C4077">
        <w:t xml:space="preserve"> </w:t>
      </w:r>
      <w:r>
        <w:t>au</w:t>
      </w:r>
      <w:r w:rsidRPr="002C4077">
        <w:t xml:space="preserve"> </w:t>
      </w:r>
      <w:r w:rsidRPr="000A34B5">
        <w:rPr>
          <w:rStyle w:val="italicus"/>
        </w:rPr>
        <w:t>X</w:t>
      </w:r>
      <w:r w:rsidR="007B3C26">
        <w:rPr>
          <w:rStyle w:val="italicus"/>
        </w:rPr>
        <w:t>IX</w:t>
      </w:r>
      <w:r w:rsidR="007B3C26" w:rsidRPr="007B3C26">
        <w:rPr>
          <w:rStyle w:val="italicus"/>
          <w:vertAlign w:val="superscript"/>
        </w:rPr>
        <w:t>e</w:t>
      </w:r>
      <w:r w:rsidRPr="002C4077">
        <w:t xml:space="preserve"> </w:t>
      </w:r>
      <w:r w:rsidRPr="000A34B5">
        <w:rPr>
          <w:rStyle w:val="italicus"/>
        </w:rPr>
        <w:t>siècle</w:t>
      </w:r>
      <w:bookmarkStart w:id="453" w:name="z_CommentateursCath_o4"/>
      <w:bookmarkEnd w:id="453"/>
      <w:r w:rsidRPr="000A34B5">
        <w:rPr>
          <w:rStyle w:val="italicus"/>
        </w:rPr>
        <w:t>,</w:t>
      </w:r>
      <w:r w:rsidRPr="002C4077">
        <w:t xml:space="preserve"> </w:t>
      </w:r>
      <w:r>
        <w:t>serons-nous</w:t>
      </w:r>
      <w:r w:rsidRPr="002C4077">
        <w:t xml:space="preserve"> </w:t>
      </w:r>
      <w:r>
        <w:t>assez</w:t>
      </w:r>
      <w:r w:rsidRPr="002C4077">
        <w:t xml:space="preserve"> </w:t>
      </w:r>
      <w:r>
        <w:t>heureux</w:t>
      </w:r>
      <w:r w:rsidRPr="002C4077">
        <w:t xml:space="preserve"> </w:t>
      </w:r>
      <w:r>
        <w:t>pour</w:t>
      </w:r>
      <w:r w:rsidRPr="002C4077">
        <w:t xml:space="preserve"> </w:t>
      </w:r>
      <w:r>
        <w:t>lui</w:t>
      </w:r>
      <w:r w:rsidRPr="002C4077">
        <w:t xml:space="preserve"> </w:t>
      </w:r>
      <w:r>
        <w:t>signaler,</w:t>
      </w:r>
      <w:r w:rsidRPr="002C4077">
        <w:t xml:space="preserve"> </w:t>
      </w:r>
      <w:r>
        <w:t>au</w:t>
      </w:r>
      <w:r w:rsidRPr="002C4077">
        <w:t xml:space="preserve"> </w:t>
      </w:r>
      <w:r>
        <w:t>sein</w:t>
      </w:r>
      <w:r w:rsidRPr="002C4077">
        <w:t xml:space="preserve"> </w:t>
      </w:r>
      <w:r>
        <w:t>du</w:t>
      </w:r>
      <w:r w:rsidRPr="002C4077">
        <w:t xml:space="preserve"> </w:t>
      </w:r>
      <w:r>
        <w:t>catholicisme,</w:t>
      </w:r>
      <w:r w:rsidRPr="002C4077">
        <w:t xml:space="preserve"> </w:t>
      </w:r>
      <w:r>
        <w:t>quelques</w:t>
      </w:r>
      <w:r w:rsidRPr="002C4077">
        <w:t xml:space="preserve"> </w:t>
      </w:r>
      <w:r>
        <w:t>travaux</w:t>
      </w:r>
      <w:r w:rsidRPr="002C4077">
        <w:t xml:space="preserve"> </w:t>
      </w:r>
      <w:r>
        <w:t>bibliques</w:t>
      </w:r>
      <w:r w:rsidRPr="002C4077">
        <w:t xml:space="preserve"> </w:t>
      </w:r>
      <w:r>
        <w:t>sérieux</w:t>
      </w:r>
      <w:r w:rsidR="00B546AF">
        <w:t> ?</w:t>
      </w:r>
      <w:r w:rsidRPr="002C4077">
        <w:t xml:space="preserve"> </w:t>
      </w:r>
    </w:p>
    <w:p w:rsidR="000A7AAB" w:rsidRDefault="000A7AAB" w:rsidP="000A7AAB">
      <w:r>
        <w:t>Nos</w:t>
      </w:r>
      <w:r w:rsidRPr="002C4077">
        <w:t xml:space="preserve"> </w:t>
      </w:r>
      <w:r>
        <w:t>ancêtres</w:t>
      </w:r>
      <w:r w:rsidRPr="002C4077">
        <w:t xml:space="preserve"> </w:t>
      </w:r>
      <w:r>
        <w:t>n’auront</w:t>
      </w:r>
      <w:r w:rsidRPr="002C4077">
        <w:t xml:space="preserve"> </w:t>
      </w:r>
      <w:r>
        <w:t>pas</w:t>
      </w:r>
      <w:r w:rsidRPr="002C4077">
        <w:t xml:space="preserve"> </w:t>
      </w:r>
      <w:r>
        <w:t>à</w:t>
      </w:r>
      <w:r w:rsidRPr="002C4077">
        <w:t xml:space="preserve"> </w:t>
      </w:r>
      <w:r>
        <w:t>rougir</w:t>
      </w:r>
      <w:r w:rsidRPr="002C4077">
        <w:t xml:space="preserve"> </w:t>
      </w:r>
      <w:r>
        <w:t>de</w:t>
      </w:r>
      <w:r w:rsidRPr="002C4077">
        <w:t xml:space="preserve"> </w:t>
      </w:r>
      <w:r>
        <w:t>nous,</w:t>
      </w:r>
      <w:r w:rsidRPr="002C4077">
        <w:t xml:space="preserve"> </w:t>
      </w:r>
      <w:r>
        <w:t>car</w:t>
      </w:r>
      <w:r w:rsidRPr="002C4077">
        <w:t xml:space="preserve"> </w:t>
      </w:r>
      <w:r>
        <w:t>de</w:t>
      </w:r>
      <w:r w:rsidRPr="002C4077">
        <w:t xml:space="preserve"> </w:t>
      </w:r>
      <w:r>
        <w:t>nos</w:t>
      </w:r>
      <w:r w:rsidRPr="002C4077">
        <w:t xml:space="preserve"> </w:t>
      </w:r>
      <w:r>
        <w:t>jours,</w:t>
      </w:r>
      <w:r w:rsidRPr="002C4077">
        <w:t xml:space="preserve"> </w:t>
      </w:r>
      <w:r>
        <w:t>grâce</w:t>
      </w:r>
      <w:r w:rsidRPr="002C4077">
        <w:t xml:space="preserve"> </w:t>
      </w:r>
      <w:r>
        <w:t>à</w:t>
      </w:r>
      <w:r w:rsidRPr="002C4077">
        <w:t xml:space="preserve"> </w:t>
      </w:r>
      <w:r>
        <w:t>Dieu,</w:t>
      </w:r>
      <w:r w:rsidRPr="002C4077">
        <w:t xml:space="preserve"> </w:t>
      </w:r>
      <w:r>
        <w:t>la</w:t>
      </w:r>
      <w:r w:rsidRPr="002C4077">
        <w:t xml:space="preserve"> </w:t>
      </w:r>
      <w:r>
        <w:t>science</w:t>
      </w:r>
      <w:r w:rsidRPr="002C4077">
        <w:t xml:space="preserve"> </w:t>
      </w:r>
      <w:r>
        <w:t>exégétique</w:t>
      </w:r>
      <w:r w:rsidRPr="002C4077">
        <w:t xml:space="preserve"> </w:t>
      </w:r>
      <w:r>
        <w:t>semble</w:t>
      </w:r>
      <w:r w:rsidRPr="002C4077">
        <w:t xml:space="preserve"> </w:t>
      </w:r>
      <w:r>
        <w:t>appelée</w:t>
      </w:r>
      <w:r w:rsidRPr="002C4077">
        <w:t xml:space="preserve"> </w:t>
      </w:r>
      <w:r>
        <w:t>à</w:t>
      </w:r>
      <w:r w:rsidRPr="002C4077">
        <w:t xml:space="preserve"> </w:t>
      </w:r>
      <w:r>
        <w:t>prendre,</w:t>
      </w:r>
      <w:r w:rsidRPr="002C4077">
        <w:t xml:space="preserve"> </w:t>
      </w:r>
      <w:r>
        <w:t>parmi</w:t>
      </w:r>
      <w:r w:rsidRPr="002C4077">
        <w:t xml:space="preserve"> </w:t>
      </w:r>
      <w:r>
        <w:t>nous,</w:t>
      </w:r>
      <w:r w:rsidRPr="002C4077">
        <w:t xml:space="preserve"> </w:t>
      </w:r>
      <w:r>
        <w:t>des</w:t>
      </w:r>
      <w:r w:rsidRPr="002C4077">
        <w:t xml:space="preserve"> </w:t>
      </w:r>
      <w:r>
        <w:t>développements</w:t>
      </w:r>
      <w:r w:rsidRPr="002C4077">
        <w:t xml:space="preserve"> </w:t>
      </w:r>
      <w:r>
        <w:t>plus</w:t>
      </w:r>
      <w:r w:rsidRPr="002C4077">
        <w:t xml:space="preserve"> </w:t>
      </w:r>
      <w:r>
        <w:t>considérables</w:t>
      </w:r>
      <w:r w:rsidRPr="002C4077">
        <w:t xml:space="preserve"> </w:t>
      </w:r>
      <w:r>
        <w:t>encore</w:t>
      </w:r>
      <w:r w:rsidRPr="002C4077">
        <w:t xml:space="preserve"> </w:t>
      </w:r>
      <w:r>
        <w:t>qu’aux</w:t>
      </w:r>
      <w:r w:rsidRPr="002C4077">
        <w:t xml:space="preserve"> </w:t>
      </w:r>
      <w:r>
        <w:t>siècles</w:t>
      </w:r>
      <w:r w:rsidRPr="002C4077">
        <w:t xml:space="preserve"> </w:t>
      </w:r>
      <w:r>
        <w:t>antérieurs.</w:t>
      </w:r>
      <w:r w:rsidRPr="002C4077">
        <w:t xml:space="preserve"> </w:t>
      </w:r>
      <w:r>
        <w:t>De</w:t>
      </w:r>
      <w:r w:rsidRPr="002C4077">
        <w:t xml:space="preserve"> </w:t>
      </w:r>
      <w:r>
        <w:t>là,</w:t>
      </w:r>
      <w:r w:rsidRPr="002C4077">
        <w:t xml:space="preserve"> </w:t>
      </w:r>
      <w:r>
        <w:t>l’importance</w:t>
      </w:r>
      <w:r w:rsidRPr="002C4077">
        <w:t xml:space="preserve"> </w:t>
      </w:r>
      <w:r>
        <w:t>attachée</w:t>
      </w:r>
      <w:r w:rsidRPr="002C4077">
        <w:t xml:space="preserve"> </w:t>
      </w:r>
      <w:r>
        <w:t>aux</w:t>
      </w:r>
      <w:r w:rsidRPr="002C4077">
        <w:t xml:space="preserve"> </w:t>
      </w:r>
      <w:r>
        <w:t>études</w:t>
      </w:r>
      <w:r w:rsidRPr="002C4077">
        <w:t xml:space="preserve"> </w:t>
      </w:r>
      <w:r>
        <w:t>scripturaires</w:t>
      </w:r>
      <w:r w:rsidRPr="002C4077">
        <w:t xml:space="preserve"> </w:t>
      </w:r>
      <w:r>
        <w:t>dans</w:t>
      </w:r>
      <w:r w:rsidRPr="002C4077">
        <w:t xml:space="preserve"> </w:t>
      </w:r>
      <w:r>
        <w:t>les</w:t>
      </w:r>
      <w:r w:rsidRPr="002C4077">
        <w:t xml:space="preserve"> </w:t>
      </w:r>
      <w:r>
        <w:t>universités</w:t>
      </w:r>
      <w:r w:rsidRPr="002C4077">
        <w:t xml:space="preserve"> </w:t>
      </w:r>
      <w:r>
        <w:t>catholiques</w:t>
      </w:r>
      <w:r w:rsidRPr="002C4077">
        <w:t xml:space="preserve"> </w:t>
      </w:r>
      <w:r>
        <w:t>et</w:t>
      </w:r>
      <w:r w:rsidRPr="002C4077">
        <w:t xml:space="preserve"> </w:t>
      </w:r>
      <w:r>
        <w:t>dans</w:t>
      </w:r>
      <w:r w:rsidRPr="002C4077">
        <w:t xml:space="preserve"> </w:t>
      </w:r>
      <w:r>
        <w:t>les</w:t>
      </w:r>
      <w:r w:rsidRPr="002C4077">
        <w:t xml:space="preserve"> </w:t>
      </w:r>
      <w:r>
        <w:t>grands</w:t>
      </w:r>
      <w:r w:rsidRPr="002C4077">
        <w:t xml:space="preserve"> </w:t>
      </w:r>
      <w:r>
        <w:t>séminaires</w:t>
      </w:r>
      <w:r w:rsidRPr="002C4077">
        <w:t xml:space="preserve"> </w:t>
      </w:r>
      <w:r>
        <w:t>de</w:t>
      </w:r>
      <w:r w:rsidRPr="002C4077">
        <w:t xml:space="preserve"> </w:t>
      </w:r>
      <w:r>
        <w:t>France,</w:t>
      </w:r>
      <w:r w:rsidRPr="002C4077">
        <w:t xml:space="preserve"> </w:t>
      </w:r>
      <w:r>
        <w:t>d’Allemagne,</w:t>
      </w:r>
      <w:r w:rsidRPr="002C4077">
        <w:t xml:space="preserve"> </w:t>
      </w:r>
      <w:r>
        <w:t>d’Espagne</w:t>
      </w:r>
      <w:r w:rsidRPr="002C4077">
        <w:t xml:space="preserve"> </w:t>
      </w:r>
      <w:r>
        <w:t>et</w:t>
      </w:r>
      <w:r w:rsidRPr="002C4077">
        <w:t xml:space="preserve"> </w:t>
      </w:r>
      <w:r>
        <w:t>d’Italie.</w:t>
      </w:r>
      <w:r w:rsidR="00C45B47">
        <w:t xml:space="preserve"> {</w:t>
      </w:r>
      <w:r w:rsidR="00B53529">
        <w:t>171</w:t>
      </w:r>
      <w:bookmarkStart w:id="454" w:name="p171"/>
      <w:bookmarkEnd w:id="454"/>
      <w:r w:rsidR="00B53529">
        <w:t xml:space="preserve">} </w:t>
      </w:r>
      <w:r>
        <w:t>De</w:t>
      </w:r>
      <w:r w:rsidRPr="002C4077">
        <w:t xml:space="preserve"> </w:t>
      </w:r>
      <w:r>
        <w:t>là</w:t>
      </w:r>
      <w:r w:rsidRPr="002C4077">
        <w:t xml:space="preserve"> </w:t>
      </w:r>
      <w:r>
        <w:t>ces</w:t>
      </w:r>
      <w:r w:rsidRPr="002C4077">
        <w:t xml:space="preserve"> </w:t>
      </w:r>
      <w:r>
        <w:t>ouvrages</w:t>
      </w:r>
      <w:r w:rsidRPr="002C4077">
        <w:t xml:space="preserve"> </w:t>
      </w:r>
      <w:r>
        <w:t>qui,</w:t>
      </w:r>
      <w:r w:rsidRPr="002C4077">
        <w:t xml:space="preserve"> </w:t>
      </w:r>
      <w:r>
        <w:t>depuis</w:t>
      </w:r>
      <w:r w:rsidRPr="002C4077">
        <w:t xml:space="preserve"> </w:t>
      </w:r>
      <w:r>
        <w:t>quarante</w:t>
      </w:r>
      <w:r w:rsidRPr="002C4077">
        <w:t xml:space="preserve"> </w:t>
      </w:r>
      <w:r>
        <w:t>ans</w:t>
      </w:r>
      <w:r w:rsidRPr="002C4077">
        <w:t xml:space="preserve"> </w:t>
      </w:r>
      <w:r>
        <w:t>surtout,</w:t>
      </w:r>
      <w:r w:rsidRPr="002C4077">
        <w:t xml:space="preserve"> </w:t>
      </w:r>
      <w:r>
        <w:t>apparaissent</w:t>
      </w:r>
      <w:r w:rsidRPr="002C4077">
        <w:t xml:space="preserve"> </w:t>
      </w:r>
      <w:r>
        <w:t>presque</w:t>
      </w:r>
      <w:r w:rsidRPr="002C4077">
        <w:t xml:space="preserve"> </w:t>
      </w:r>
      <w:r>
        <w:t>chaque</w:t>
      </w:r>
      <w:r w:rsidRPr="002C4077">
        <w:t xml:space="preserve"> </w:t>
      </w:r>
      <w:r>
        <w:t>jour</w:t>
      </w:r>
      <w:r w:rsidRPr="002C4077">
        <w:t xml:space="preserve"> </w:t>
      </w:r>
      <w:r>
        <w:t>sur</w:t>
      </w:r>
      <w:r w:rsidRPr="002C4077">
        <w:t xml:space="preserve"> </w:t>
      </w:r>
      <w:r>
        <w:t>les</w:t>
      </w:r>
      <w:r w:rsidRPr="002C4077">
        <w:t xml:space="preserve"> </w:t>
      </w:r>
      <w:r>
        <w:t>saints</w:t>
      </w:r>
      <w:r w:rsidRPr="002C4077">
        <w:t xml:space="preserve"> </w:t>
      </w:r>
      <w:r>
        <w:t>Livres,</w:t>
      </w:r>
      <w:r w:rsidRPr="002C4077">
        <w:t xml:space="preserve"> </w:t>
      </w:r>
      <w:r>
        <w:t>tantôt</w:t>
      </w:r>
      <w:r w:rsidRPr="002C4077">
        <w:t xml:space="preserve"> </w:t>
      </w:r>
      <w:r>
        <w:t>pour</w:t>
      </w:r>
      <w:r w:rsidRPr="002C4077">
        <w:t xml:space="preserve"> </w:t>
      </w:r>
      <w:r>
        <w:t>mettre</w:t>
      </w:r>
      <w:r w:rsidRPr="002C4077">
        <w:t xml:space="preserve"> </w:t>
      </w:r>
      <w:r>
        <w:t>l’explication</w:t>
      </w:r>
      <w:r w:rsidRPr="002C4077">
        <w:t xml:space="preserve"> </w:t>
      </w:r>
      <w:r>
        <w:t>au</w:t>
      </w:r>
      <w:r w:rsidRPr="002C4077">
        <w:t xml:space="preserve"> </w:t>
      </w:r>
      <w:r>
        <w:t>niveau</w:t>
      </w:r>
      <w:r w:rsidRPr="002C4077">
        <w:t xml:space="preserve"> </w:t>
      </w:r>
      <w:r>
        <w:t>des</w:t>
      </w:r>
      <w:r w:rsidRPr="002C4077">
        <w:t xml:space="preserve"> </w:t>
      </w:r>
      <w:r>
        <w:t>découvertes</w:t>
      </w:r>
      <w:r w:rsidRPr="002C4077">
        <w:t xml:space="preserve"> </w:t>
      </w:r>
      <w:r>
        <w:t>modernes,</w:t>
      </w:r>
      <w:r w:rsidRPr="002C4077">
        <w:t xml:space="preserve"> </w:t>
      </w:r>
      <w:r>
        <w:t>tantôt</w:t>
      </w:r>
      <w:r w:rsidRPr="002C4077">
        <w:t xml:space="preserve"> </w:t>
      </w:r>
      <w:r>
        <w:t>pour</w:t>
      </w:r>
      <w:r w:rsidRPr="002C4077">
        <w:t xml:space="preserve"> </w:t>
      </w:r>
      <w:r>
        <w:t>réfuter</w:t>
      </w:r>
      <w:r w:rsidRPr="002C4077">
        <w:t xml:space="preserve"> </w:t>
      </w:r>
      <w:r>
        <w:t>d’audacieuses</w:t>
      </w:r>
      <w:r w:rsidRPr="002C4077">
        <w:t xml:space="preserve"> </w:t>
      </w:r>
      <w:r>
        <w:t>objections,</w:t>
      </w:r>
      <w:r w:rsidRPr="002C4077">
        <w:t xml:space="preserve"> </w:t>
      </w:r>
      <w:r>
        <w:t>tantôt</w:t>
      </w:r>
      <w:r w:rsidRPr="002C4077">
        <w:t xml:space="preserve"> </w:t>
      </w:r>
      <w:r>
        <w:t>même</w:t>
      </w:r>
      <w:r w:rsidRPr="002C4077">
        <w:t xml:space="preserve"> </w:t>
      </w:r>
      <w:r>
        <w:t>pour</w:t>
      </w:r>
      <w:r w:rsidRPr="002C4077">
        <w:t xml:space="preserve"> </w:t>
      </w:r>
      <w:r>
        <w:t>attaquer.</w:t>
      </w:r>
      <w:r w:rsidRPr="002C4077">
        <w:t xml:space="preserve"> </w:t>
      </w:r>
      <w:r>
        <w:t>Et</w:t>
      </w:r>
      <w:r w:rsidRPr="002C4077">
        <w:t xml:space="preserve"> </w:t>
      </w:r>
      <w:r>
        <w:t>actuellement,</w:t>
      </w:r>
      <w:r w:rsidRPr="002C4077">
        <w:t xml:space="preserve"> </w:t>
      </w:r>
      <w:r>
        <w:t>comme</w:t>
      </w:r>
      <w:r w:rsidRPr="002C4077">
        <w:t xml:space="preserve"> </w:t>
      </w:r>
      <w:r>
        <w:t>par</w:t>
      </w:r>
      <w:r w:rsidRPr="002C4077">
        <w:t xml:space="preserve"> </w:t>
      </w:r>
      <w:r>
        <w:t>le</w:t>
      </w:r>
      <w:r w:rsidRPr="002C4077">
        <w:t xml:space="preserve"> </w:t>
      </w:r>
      <w:r>
        <w:t>passé,</w:t>
      </w:r>
      <w:r w:rsidRPr="002C4077">
        <w:t xml:space="preserve"> </w:t>
      </w:r>
      <w:r>
        <w:t>presque</w:t>
      </w:r>
      <w:r w:rsidRPr="002C4077">
        <w:t xml:space="preserve"> </w:t>
      </w:r>
      <w:r>
        <w:t>toujours</w:t>
      </w:r>
      <w:r w:rsidRPr="002C4077">
        <w:t xml:space="preserve"> </w:t>
      </w:r>
      <w:r>
        <w:t>ce</w:t>
      </w:r>
      <w:r w:rsidRPr="002C4077">
        <w:t xml:space="preserve"> </w:t>
      </w:r>
      <w:r>
        <w:t>sont</w:t>
      </w:r>
      <w:r w:rsidRPr="002C4077">
        <w:t xml:space="preserve"> </w:t>
      </w:r>
      <w:r>
        <w:t>les</w:t>
      </w:r>
      <w:r w:rsidRPr="002C4077">
        <w:t xml:space="preserve"> </w:t>
      </w:r>
      <w:r>
        <w:t>membres</w:t>
      </w:r>
      <w:r w:rsidRPr="002C4077">
        <w:t xml:space="preserve"> </w:t>
      </w:r>
      <w:r>
        <w:t>du</w:t>
      </w:r>
      <w:r w:rsidRPr="002C4077">
        <w:t xml:space="preserve"> </w:t>
      </w:r>
      <w:r>
        <w:t>clergé</w:t>
      </w:r>
      <w:r w:rsidRPr="002C4077">
        <w:t xml:space="preserve"> </w:t>
      </w:r>
      <w:r>
        <w:t>qui</w:t>
      </w:r>
      <w:r w:rsidRPr="002C4077">
        <w:t xml:space="preserve"> </w:t>
      </w:r>
      <w:r>
        <w:t>donnent</w:t>
      </w:r>
      <w:r w:rsidRPr="002C4077">
        <w:t xml:space="preserve"> </w:t>
      </w:r>
      <w:r>
        <w:t>le</w:t>
      </w:r>
      <w:r w:rsidRPr="002C4077">
        <w:t xml:space="preserve"> </w:t>
      </w:r>
      <w:r>
        <w:t>branle,</w:t>
      </w:r>
      <w:r w:rsidRPr="002C4077">
        <w:t xml:space="preserve"> </w:t>
      </w:r>
      <w:r>
        <w:t>qui</w:t>
      </w:r>
      <w:r w:rsidRPr="002C4077">
        <w:t xml:space="preserve"> </w:t>
      </w:r>
      <w:r>
        <w:t>poussent</w:t>
      </w:r>
      <w:r w:rsidRPr="002C4077">
        <w:t xml:space="preserve"> </w:t>
      </w:r>
      <w:r>
        <w:t>au</w:t>
      </w:r>
      <w:r w:rsidRPr="002C4077">
        <w:t xml:space="preserve"> </w:t>
      </w:r>
      <w:r>
        <w:t>progrès.</w:t>
      </w:r>
      <w:r w:rsidRPr="002C4077">
        <w:t xml:space="preserve"> </w:t>
      </w:r>
    </w:p>
    <w:p w:rsidR="000A7AAB" w:rsidRDefault="000A7AAB" w:rsidP="000A7AAB">
      <w:r>
        <w:t>Certes,</w:t>
      </w:r>
      <w:r w:rsidRPr="002C4077">
        <w:t xml:space="preserve"> </w:t>
      </w:r>
      <w:r>
        <w:t>en</w:t>
      </w:r>
      <w:r w:rsidRPr="002C4077">
        <w:t xml:space="preserve"> </w:t>
      </w:r>
      <w:r>
        <w:t>France,</w:t>
      </w:r>
      <w:r w:rsidRPr="002C4077">
        <w:t xml:space="preserve"> </w:t>
      </w:r>
      <w:r>
        <w:t>les</w:t>
      </w:r>
      <w:r w:rsidRPr="002C4077">
        <w:t xml:space="preserve"> </w:t>
      </w:r>
      <w:r>
        <w:t>Le</w:t>
      </w:r>
      <w:r w:rsidRPr="002C4077">
        <w:t xml:space="preserve"> </w:t>
      </w:r>
      <w:r>
        <w:t>Hir</w:t>
      </w:r>
      <w:r w:rsidR="00B91AF7">
        <w:rPr>
          <w:rStyle w:val="Appelnotedebasdep"/>
        </w:rPr>
        <w:footnoteReference w:id="504"/>
      </w:r>
      <w:r>
        <w:t>,</w:t>
      </w:r>
      <w:r w:rsidRPr="002C4077">
        <w:t xml:space="preserve"> </w:t>
      </w:r>
      <w:r>
        <w:t>les</w:t>
      </w:r>
      <w:r w:rsidRPr="002C4077">
        <w:t xml:space="preserve"> </w:t>
      </w:r>
      <w:r>
        <w:t>Glaire</w:t>
      </w:r>
      <w:r w:rsidR="00B91AF7">
        <w:rPr>
          <w:rStyle w:val="Appelnotedebasdep"/>
        </w:rPr>
        <w:footnoteReference w:id="505"/>
      </w:r>
      <w:r w:rsidR="00514F08">
        <w:t>,</w:t>
      </w:r>
      <w:r w:rsidR="00514F08" w:rsidRPr="002C4077">
        <w:t xml:space="preserve"> </w:t>
      </w:r>
      <w:r w:rsidR="00514F08">
        <w:t>les</w:t>
      </w:r>
      <w:r w:rsidR="00514F08" w:rsidRPr="002C4077">
        <w:t xml:space="preserve"> </w:t>
      </w:r>
      <w:r w:rsidR="00514F08">
        <w:t>Vigouroux</w:t>
      </w:r>
      <w:r w:rsidR="00514F08">
        <w:rPr>
          <w:rStyle w:val="Appelnotedebasdep"/>
        </w:rPr>
        <w:footnoteReference w:id="506"/>
      </w:r>
      <w:r>
        <w:t>,</w:t>
      </w:r>
      <w:r w:rsidRPr="002C4077">
        <w:t xml:space="preserve"> </w:t>
      </w:r>
      <w:r>
        <w:t>les</w:t>
      </w:r>
      <w:r w:rsidRPr="002C4077">
        <w:t xml:space="preserve"> </w:t>
      </w:r>
      <w:r>
        <w:t>Ancessi</w:t>
      </w:r>
      <w:r w:rsidR="00B91AF7">
        <w:rPr>
          <w:rStyle w:val="Appelnotedebasdep"/>
        </w:rPr>
        <w:footnoteReference w:id="507"/>
      </w:r>
      <w:r>
        <w:t>,</w:t>
      </w:r>
      <w:r w:rsidRPr="002C4077">
        <w:t xml:space="preserve"> </w:t>
      </w:r>
      <w:r>
        <w:t>les</w:t>
      </w:r>
      <w:r w:rsidRPr="002C4077">
        <w:t xml:space="preserve"> </w:t>
      </w:r>
      <w:r>
        <w:t>Arduin</w:t>
      </w:r>
      <w:r w:rsidR="00B91AF7">
        <w:rPr>
          <w:rStyle w:val="Appelnotedebasdep"/>
        </w:rPr>
        <w:footnoteReference w:id="508"/>
      </w:r>
      <w:r>
        <w:t>,</w:t>
      </w:r>
      <w:r w:rsidRPr="002C4077">
        <w:t xml:space="preserve"> </w:t>
      </w:r>
      <w:r>
        <w:t>les</w:t>
      </w:r>
      <w:r w:rsidRPr="002C4077">
        <w:t xml:space="preserve"> </w:t>
      </w:r>
      <w:r>
        <w:t>Bacuez</w:t>
      </w:r>
      <w:r w:rsidR="00B91AF7">
        <w:rPr>
          <w:rStyle w:val="Appelnotedebasdep"/>
        </w:rPr>
        <w:footnoteReference w:id="509"/>
      </w:r>
      <w:r>
        <w:t>,</w:t>
      </w:r>
      <w:r w:rsidRPr="002C4077">
        <w:t xml:space="preserve"> </w:t>
      </w:r>
      <w:r>
        <w:t>les</w:t>
      </w:r>
      <w:r w:rsidRPr="002C4077">
        <w:t xml:space="preserve"> </w:t>
      </w:r>
      <w:r>
        <w:t>Clair</w:t>
      </w:r>
      <w:r w:rsidR="00B91AF7">
        <w:rPr>
          <w:rStyle w:val="Appelnotedebasdep"/>
        </w:rPr>
        <w:footnoteReference w:id="510"/>
      </w:r>
      <w:r>
        <w:t>,</w:t>
      </w:r>
      <w:r w:rsidRPr="002C4077">
        <w:t xml:space="preserve"> </w:t>
      </w:r>
      <w:r>
        <w:t>les</w:t>
      </w:r>
      <w:r w:rsidRPr="002C4077">
        <w:t xml:space="preserve"> </w:t>
      </w:r>
      <w:r>
        <w:t>Crampon</w:t>
      </w:r>
      <w:r w:rsidR="00B91AF7">
        <w:rPr>
          <w:rStyle w:val="Appelnotedebasdep"/>
        </w:rPr>
        <w:footnoteReference w:id="511"/>
      </w:r>
      <w:r>
        <w:t>,</w:t>
      </w:r>
      <w:r w:rsidRPr="002C4077">
        <w:t xml:space="preserve"> </w:t>
      </w:r>
      <w:r>
        <w:t>les</w:t>
      </w:r>
      <w:r w:rsidRPr="002C4077">
        <w:t xml:space="preserve"> </w:t>
      </w:r>
      <w:r>
        <w:t>Crelier</w:t>
      </w:r>
      <w:r w:rsidR="00B91AF7">
        <w:rPr>
          <w:rStyle w:val="Appelnotedebasdep"/>
        </w:rPr>
        <w:footnoteReference w:id="512"/>
      </w:r>
      <w:r>
        <w:t>,</w:t>
      </w:r>
      <w:r w:rsidRPr="002C4077">
        <w:t xml:space="preserve"> </w:t>
      </w:r>
      <w:r>
        <w:t>les</w:t>
      </w:r>
      <w:r w:rsidRPr="002C4077">
        <w:t xml:space="preserve"> </w:t>
      </w:r>
      <w:r>
        <w:t>Dehaut</w:t>
      </w:r>
      <w:r w:rsidR="00B91AF7">
        <w:rPr>
          <w:rStyle w:val="Appelnotedebasdep"/>
        </w:rPr>
        <w:footnoteReference w:id="513"/>
      </w:r>
      <w:r>
        <w:t>,</w:t>
      </w:r>
      <w:r w:rsidRPr="002C4077">
        <w:t xml:space="preserve"> </w:t>
      </w:r>
      <w:r>
        <w:t>les</w:t>
      </w:r>
      <w:r w:rsidRPr="002C4077">
        <w:t xml:space="preserve"> </w:t>
      </w:r>
      <w:r>
        <w:t>Drach</w:t>
      </w:r>
      <w:r w:rsidRPr="002C4077">
        <w:t xml:space="preserve"> </w:t>
      </w:r>
      <w:r>
        <w:t>père</w:t>
      </w:r>
      <w:r w:rsidR="00542730">
        <w:rPr>
          <w:rStyle w:val="Appelnotedebasdep"/>
        </w:rPr>
        <w:footnoteReference w:id="514"/>
      </w:r>
      <w:r w:rsidRPr="002C4077">
        <w:t xml:space="preserve"> </w:t>
      </w:r>
      <w:r>
        <w:t>et</w:t>
      </w:r>
      <w:r w:rsidRPr="002C4077">
        <w:t xml:space="preserve"> </w:t>
      </w:r>
      <w:r>
        <w:t>fils</w:t>
      </w:r>
      <w:r w:rsidR="00B91AF7">
        <w:rPr>
          <w:rStyle w:val="Appelnotedebasdep"/>
        </w:rPr>
        <w:footnoteReference w:id="515"/>
      </w:r>
      <w:r>
        <w:t>,</w:t>
      </w:r>
      <w:r w:rsidRPr="002C4077">
        <w:t xml:space="preserve"> </w:t>
      </w:r>
      <w:r>
        <w:t>les</w:t>
      </w:r>
      <w:r w:rsidRPr="002C4077">
        <w:t xml:space="preserve"> </w:t>
      </w:r>
      <w:r>
        <w:t>Fouard</w:t>
      </w:r>
      <w:r w:rsidR="00B91AF7">
        <w:rPr>
          <w:rStyle w:val="Appelnotedebasdep"/>
        </w:rPr>
        <w:footnoteReference w:id="516"/>
      </w:r>
      <w:r>
        <w:t>,</w:t>
      </w:r>
      <w:r w:rsidRPr="002C4077">
        <w:t xml:space="preserve"> </w:t>
      </w:r>
      <w:r>
        <w:t>les</w:t>
      </w:r>
      <w:r w:rsidRPr="002C4077">
        <w:t xml:space="preserve"> </w:t>
      </w:r>
      <w:r>
        <w:t>Gillet</w:t>
      </w:r>
      <w:r w:rsidR="00B91AF7">
        <w:rPr>
          <w:rStyle w:val="Appelnotedebasdep"/>
        </w:rPr>
        <w:footnoteReference w:id="517"/>
      </w:r>
      <w:r>
        <w:t>,</w:t>
      </w:r>
      <w:r w:rsidR="00C45B47">
        <w:t xml:space="preserve"> {</w:t>
      </w:r>
      <w:r w:rsidR="00B53529">
        <w:t>172</w:t>
      </w:r>
      <w:bookmarkStart w:id="455" w:name="p172"/>
      <w:bookmarkEnd w:id="455"/>
      <w:r w:rsidR="00B53529">
        <w:t xml:space="preserve">} </w:t>
      </w:r>
      <w:r>
        <w:t>les</w:t>
      </w:r>
      <w:r w:rsidRPr="002C4077">
        <w:t xml:space="preserve"> </w:t>
      </w:r>
      <w:r>
        <w:t>Gilly</w:t>
      </w:r>
      <w:r w:rsidR="00B91AF7">
        <w:rPr>
          <w:rStyle w:val="Appelnotedebasdep"/>
        </w:rPr>
        <w:footnoteReference w:id="518"/>
      </w:r>
      <w:r>
        <w:t>,</w:t>
      </w:r>
      <w:r w:rsidRPr="002C4077">
        <w:t xml:space="preserve"> </w:t>
      </w:r>
      <w:r>
        <w:t>les</w:t>
      </w:r>
      <w:r w:rsidRPr="002C4077">
        <w:t xml:space="preserve"> </w:t>
      </w:r>
      <w:r>
        <w:t>Guillemon</w:t>
      </w:r>
      <w:r w:rsidR="00B91AF7">
        <w:rPr>
          <w:rStyle w:val="Appelnotedebasdep"/>
        </w:rPr>
        <w:footnoteReference w:id="519"/>
      </w:r>
      <w:r>
        <w:t>,</w:t>
      </w:r>
      <w:r w:rsidRPr="002C4077">
        <w:t xml:space="preserve"> </w:t>
      </w:r>
      <w:r>
        <w:t>les</w:t>
      </w:r>
      <w:r w:rsidRPr="002C4077">
        <w:t xml:space="preserve"> </w:t>
      </w:r>
      <w:r>
        <w:t>V.</w:t>
      </w:r>
      <w:r w:rsidRPr="002C4077">
        <w:t xml:space="preserve"> </w:t>
      </w:r>
      <w:r>
        <w:t>Guérins</w:t>
      </w:r>
      <w:r w:rsidR="00432286">
        <w:rPr>
          <w:rStyle w:val="Appelnotedebasdep"/>
        </w:rPr>
        <w:footnoteReference w:id="520"/>
      </w:r>
      <w:r>
        <w:t>,</w:t>
      </w:r>
      <w:r w:rsidRPr="002C4077">
        <w:t xml:space="preserve"> </w:t>
      </w:r>
      <w:r>
        <w:t>les</w:t>
      </w:r>
      <w:r w:rsidRPr="002C4077">
        <w:t xml:space="preserve"> </w:t>
      </w:r>
      <w:r>
        <w:t>Lambert</w:t>
      </w:r>
      <w:r w:rsidR="00B91AF7">
        <w:rPr>
          <w:rStyle w:val="Appelnotedebasdep"/>
        </w:rPr>
        <w:footnoteReference w:id="521"/>
      </w:r>
      <w:r>
        <w:t>,</w:t>
      </w:r>
      <w:r w:rsidRPr="002C4077">
        <w:t xml:space="preserve"> </w:t>
      </w:r>
      <w:r>
        <w:t>les</w:t>
      </w:r>
      <w:r w:rsidRPr="002C4077">
        <w:t xml:space="preserve"> </w:t>
      </w:r>
      <w:r>
        <w:t>Laurens</w:t>
      </w:r>
      <w:r w:rsidR="00B91AF7">
        <w:rPr>
          <w:rStyle w:val="Appelnotedebasdep"/>
        </w:rPr>
        <w:footnoteReference w:id="522"/>
      </w:r>
      <w:r>
        <w:t>,</w:t>
      </w:r>
      <w:r w:rsidRPr="002C4077">
        <w:t xml:space="preserve"> </w:t>
      </w:r>
      <w:r>
        <w:t>les</w:t>
      </w:r>
      <w:r w:rsidRPr="002C4077">
        <w:t xml:space="preserve"> </w:t>
      </w:r>
      <w:r>
        <w:t>Le</w:t>
      </w:r>
      <w:r w:rsidRPr="002C4077">
        <w:t xml:space="preserve"> </w:t>
      </w:r>
      <w:r>
        <w:t>Camus</w:t>
      </w:r>
      <w:r w:rsidR="00B91AF7">
        <w:rPr>
          <w:rStyle w:val="Appelnotedebasdep"/>
        </w:rPr>
        <w:footnoteReference w:id="523"/>
      </w:r>
      <w:r>
        <w:t>,</w:t>
      </w:r>
      <w:r w:rsidRPr="002C4077">
        <w:t xml:space="preserve"> </w:t>
      </w:r>
      <w:r>
        <w:t>les</w:t>
      </w:r>
      <w:r w:rsidRPr="002C4077">
        <w:t xml:space="preserve"> </w:t>
      </w:r>
      <w:r>
        <w:t>A.</w:t>
      </w:r>
      <w:r w:rsidRPr="002C4077">
        <w:t xml:space="preserve"> </w:t>
      </w:r>
      <w:r>
        <w:t>Léma</w:t>
      </w:r>
      <w:r w:rsidR="00F6492C">
        <w:t>nn</w:t>
      </w:r>
      <w:r w:rsidR="00F6492C">
        <w:rPr>
          <w:rStyle w:val="Appelnotedebasdep"/>
        </w:rPr>
        <w:footnoteReference w:id="524"/>
      </w:r>
      <w:r w:rsidR="00F6492C">
        <w:t>,</w:t>
      </w:r>
      <w:r w:rsidRPr="002C4077">
        <w:t xml:space="preserve"> </w:t>
      </w:r>
      <w:r>
        <w:t>les</w:t>
      </w:r>
      <w:r w:rsidRPr="002C4077">
        <w:t xml:space="preserve"> </w:t>
      </w:r>
      <w:r>
        <w:t>F.</w:t>
      </w:r>
      <w:r w:rsidRPr="002C4077">
        <w:t xml:space="preserve"> </w:t>
      </w:r>
      <w:r>
        <w:t>Lenormant,</w:t>
      </w:r>
      <w:r w:rsidRPr="002C4077">
        <w:t xml:space="preserve"> </w:t>
      </w:r>
      <w:r>
        <w:t>les</w:t>
      </w:r>
      <w:r w:rsidRPr="002C4077">
        <w:t xml:space="preserve"> </w:t>
      </w:r>
      <w:r>
        <w:t>Lesêtre</w:t>
      </w:r>
      <w:r w:rsidR="00B91AF7">
        <w:rPr>
          <w:rStyle w:val="Appelnotedebasdep"/>
        </w:rPr>
        <w:footnoteReference w:id="525"/>
      </w:r>
      <w:r>
        <w:t>,</w:t>
      </w:r>
      <w:r w:rsidRPr="002C4077">
        <w:t xml:space="preserve"> </w:t>
      </w:r>
      <w:r>
        <w:t>les</w:t>
      </w:r>
      <w:r w:rsidRPr="002C4077">
        <w:t xml:space="preserve"> </w:t>
      </w:r>
      <w:r>
        <w:t>Mabire</w:t>
      </w:r>
      <w:r w:rsidR="00B91AF7">
        <w:rPr>
          <w:rStyle w:val="Appelnotedebasdep"/>
        </w:rPr>
        <w:footnoteReference w:id="526"/>
      </w:r>
      <w:r>
        <w:t>,</w:t>
      </w:r>
      <w:r w:rsidRPr="002C4077">
        <w:t xml:space="preserve"> </w:t>
      </w:r>
      <w:r>
        <w:t>les</w:t>
      </w:r>
      <w:r w:rsidRPr="002C4077">
        <w:t xml:space="preserve"> </w:t>
      </w:r>
      <w:r>
        <w:t>Maunoury</w:t>
      </w:r>
      <w:r w:rsidR="00B91AF7">
        <w:rPr>
          <w:rStyle w:val="Appelnotedebasdep"/>
        </w:rPr>
        <w:footnoteReference w:id="527"/>
      </w:r>
      <w:r>
        <w:t>,</w:t>
      </w:r>
      <w:r w:rsidRPr="002C4077">
        <w:t xml:space="preserve"> </w:t>
      </w:r>
      <w:r>
        <w:t>les</w:t>
      </w:r>
      <w:r w:rsidRPr="002C4077">
        <w:t xml:space="preserve"> </w:t>
      </w:r>
      <w:r>
        <w:t>Meignan</w:t>
      </w:r>
      <w:r w:rsidR="00B91AF7">
        <w:rPr>
          <w:rStyle w:val="Appelnotedebasdep"/>
        </w:rPr>
        <w:footnoteReference w:id="528"/>
      </w:r>
      <w:r>
        <w:t>,</w:t>
      </w:r>
      <w:r w:rsidRPr="002C4077">
        <w:t xml:space="preserve"> </w:t>
      </w:r>
      <w:r>
        <w:t>les</w:t>
      </w:r>
      <w:r w:rsidRPr="002C4077">
        <w:t xml:space="preserve"> </w:t>
      </w:r>
      <w:r>
        <w:t>Motais</w:t>
      </w:r>
      <w:r w:rsidR="00B91AF7">
        <w:rPr>
          <w:rStyle w:val="Appelnotedebasdep"/>
        </w:rPr>
        <w:footnoteReference w:id="529"/>
      </w:r>
      <w:r>
        <w:t>,</w:t>
      </w:r>
      <w:r w:rsidRPr="002C4077">
        <w:t xml:space="preserve"> </w:t>
      </w:r>
      <w:r>
        <w:t>les</w:t>
      </w:r>
      <w:r w:rsidRPr="002C4077">
        <w:t xml:space="preserve"> </w:t>
      </w:r>
      <w:r>
        <w:t>Plantier</w:t>
      </w:r>
      <w:r w:rsidR="00B91AF7">
        <w:rPr>
          <w:rStyle w:val="Appelnotedebasdep"/>
        </w:rPr>
        <w:footnoteReference w:id="530"/>
      </w:r>
      <w:r>
        <w:t>,</w:t>
      </w:r>
      <w:r w:rsidRPr="002C4077">
        <w:t xml:space="preserve"> </w:t>
      </w:r>
      <w:r>
        <w:t>les</w:t>
      </w:r>
      <w:r w:rsidRPr="002C4077">
        <w:t xml:space="preserve"> </w:t>
      </w:r>
      <w:r>
        <w:t>Rault</w:t>
      </w:r>
      <w:r w:rsidR="00B91AF7">
        <w:rPr>
          <w:rStyle w:val="Appelnotedebasdep"/>
        </w:rPr>
        <w:footnoteReference w:id="531"/>
      </w:r>
      <w:r>
        <w:t>,</w:t>
      </w:r>
      <w:r w:rsidRPr="002C4077">
        <w:t xml:space="preserve"> </w:t>
      </w:r>
      <w:r>
        <w:t>les</w:t>
      </w:r>
      <w:r w:rsidRPr="002C4077">
        <w:t xml:space="preserve"> </w:t>
      </w:r>
      <w:r>
        <w:t>Richou</w:t>
      </w:r>
      <w:r w:rsidR="00B91AF7">
        <w:rPr>
          <w:rStyle w:val="Appelnotedebasdep"/>
        </w:rPr>
        <w:footnoteReference w:id="532"/>
      </w:r>
      <w:r>
        <w:t>,</w:t>
      </w:r>
      <w:r w:rsidRPr="002C4077">
        <w:t xml:space="preserve"> </w:t>
      </w:r>
      <w:r>
        <w:t>les</w:t>
      </w:r>
      <w:r w:rsidRPr="002C4077">
        <w:t xml:space="preserve"> </w:t>
      </w:r>
      <w:r>
        <w:t>de</w:t>
      </w:r>
      <w:r w:rsidRPr="002C4077">
        <w:t xml:space="preserve"> </w:t>
      </w:r>
      <w:r>
        <w:t>Saulcy,</w:t>
      </w:r>
      <w:r w:rsidRPr="002C4077">
        <w:t xml:space="preserve"> </w:t>
      </w:r>
      <w:r>
        <w:t>les</w:t>
      </w:r>
      <w:r w:rsidRPr="002C4077">
        <w:t xml:space="preserve"> </w:t>
      </w:r>
      <w:r>
        <w:lastRenderedPageBreak/>
        <w:t>Trochon</w:t>
      </w:r>
      <w:r w:rsidR="00B91AF7">
        <w:rPr>
          <w:rStyle w:val="Appelnotedebasdep"/>
        </w:rPr>
        <w:footnoteReference w:id="533"/>
      </w:r>
      <w:r>
        <w:t>,</w:t>
      </w:r>
      <w:r w:rsidRPr="002C4077">
        <w:t xml:space="preserve"> </w:t>
      </w:r>
      <w:r>
        <w:t>les</w:t>
      </w:r>
      <w:r w:rsidRPr="002C4077">
        <w:t xml:space="preserve"> </w:t>
      </w:r>
      <w:r>
        <w:t>Variot</w:t>
      </w:r>
      <w:r w:rsidR="00B91AF7">
        <w:rPr>
          <w:rStyle w:val="Appelnotedebasdep"/>
        </w:rPr>
        <w:footnoteReference w:id="534"/>
      </w:r>
      <w:r>
        <w:t>,</w:t>
      </w:r>
      <w:r w:rsidRPr="002C4077">
        <w:t xml:space="preserve"> </w:t>
      </w:r>
      <w:r>
        <w:t>les</w:t>
      </w:r>
      <w:r w:rsidRPr="002C4077">
        <w:t xml:space="preserve"> </w:t>
      </w:r>
      <w:r>
        <w:t>Vida</w:t>
      </w:r>
      <w:r w:rsidR="00853971">
        <w:t>l</w:t>
      </w:r>
      <w:r w:rsidR="00B91AF7">
        <w:rPr>
          <w:rStyle w:val="Appelnotedebasdep"/>
        </w:rPr>
        <w:footnoteReference w:id="535"/>
      </w:r>
      <w:r>
        <w:t>,</w:t>
      </w:r>
      <w:r w:rsidRPr="002C4077">
        <w:t xml:space="preserve"> </w:t>
      </w:r>
      <w:r>
        <w:t>les</w:t>
      </w:r>
      <w:r w:rsidRPr="002C4077">
        <w:t xml:space="preserve"> </w:t>
      </w:r>
      <w:r>
        <w:t>Vilmain</w:t>
      </w:r>
      <w:r w:rsidR="00B91AF7">
        <w:rPr>
          <w:rStyle w:val="Appelnotedebasdep"/>
        </w:rPr>
        <w:footnoteReference w:id="536"/>
      </w:r>
      <w:r>
        <w:t>,</w:t>
      </w:r>
      <w:r w:rsidRPr="002C4077">
        <w:t xml:space="preserve"> </w:t>
      </w:r>
      <w:r>
        <w:t>les</w:t>
      </w:r>
      <w:r w:rsidRPr="002C4077">
        <w:t xml:space="preserve"> </w:t>
      </w:r>
      <w:r>
        <w:t>Wallon</w:t>
      </w:r>
      <w:r w:rsidR="00B91AF7">
        <w:rPr>
          <w:rStyle w:val="Appelnotedebasdep"/>
        </w:rPr>
        <w:footnoteReference w:id="537"/>
      </w:r>
      <w:r w:rsidR="00B546AF">
        <w:t> ;</w:t>
      </w:r>
      <w:r w:rsidRPr="002C4077">
        <w:t xml:space="preserve"> </w:t>
      </w:r>
      <w:r>
        <w:t>—</w:t>
      </w:r>
      <w:r w:rsidRPr="002C4077">
        <w:t xml:space="preserve"> </w:t>
      </w:r>
      <w:r>
        <w:t>en</w:t>
      </w:r>
      <w:r w:rsidRPr="002C4077">
        <w:t xml:space="preserve"> </w:t>
      </w:r>
      <w:r>
        <w:t>Angleterre,</w:t>
      </w:r>
      <w:r w:rsidRPr="002C4077">
        <w:t xml:space="preserve"> </w:t>
      </w:r>
      <w:r>
        <w:t>les</w:t>
      </w:r>
      <w:r w:rsidRPr="002C4077">
        <w:t xml:space="preserve"> </w:t>
      </w:r>
      <w:r>
        <w:t>Wiseman</w:t>
      </w:r>
      <w:r w:rsidR="00B91AF7">
        <w:rPr>
          <w:rStyle w:val="Appelnotedebasdep"/>
        </w:rPr>
        <w:footnoteReference w:id="538"/>
      </w:r>
      <w:r>
        <w:t>,</w:t>
      </w:r>
      <w:r w:rsidRPr="002C4077">
        <w:t xml:space="preserve"> </w:t>
      </w:r>
      <w:r>
        <w:t>les</w:t>
      </w:r>
      <w:r w:rsidRPr="002C4077">
        <w:t xml:space="preserve"> </w:t>
      </w:r>
      <w:r>
        <w:t>Newman</w:t>
      </w:r>
      <w:r w:rsidR="00B91AF7">
        <w:rPr>
          <w:rStyle w:val="Appelnotedebasdep"/>
        </w:rPr>
        <w:footnoteReference w:id="539"/>
      </w:r>
      <w:r>
        <w:t>,</w:t>
      </w:r>
      <w:r w:rsidRPr="002C4077">
        <w:t xml:space="preserve"> </w:t>
      </w:r>
      <w:r>
        <w:t>les</w:t>
      </w:r>
      <w:r w:rsidRPr="002C4077">
        <w:t xml:space="preserve"> </w:t>
      </w:r>
      <w:r>
        <w:t>Coleridge</w:t>
      </w:r>
      <w:r w:rsidR="00B91AF7">
        <w:rPr>
          <w:rStyle w:val="Appelnotedebasdep"/>
        </w:rPr>
        <w:footnoteReference w:id="540"/>
      </w:r>
      <w:r>
        <w:t>,</w:t>
      </w:r>
      <w:r w:rsidR="00C45B47">
        <w:t xml:space="preserve"> {</w:t>
      </w:r>
      <w:r w:rsidR="00B53529">
        <w:t>173</w:t>
      </w:r>
      <w:bookmarkStart w:id="456" w:name="p173"/>
      <w:bookmarkEnd w:id="456"/>
      <w:r w:rsidR="00B53529">
        <w:t xml:space="preserve">} </w:t>
      </w:r>
      <w:r>
        <w:t>les</w:t>
      </w:r>
      <w:r w:rsidRPr="002C4077">
        <w:t xml:space="preserve"> </w:t>
      </w:r>
      <w:r>
        <w:t>Kenrick</w:t>
      </w:r>
      <w:r w:rsidR="00B91AF7">
        <w:rPr>
          <w:rStyle w:val="Appelnotedebasdep"/>
        </w:rPr>
        <w:footnoteReference w:id="541"/>
      </w:r>
      <w:r>
        <w:t>,</w:t>
      </w:r>
      <w:r w:rsidRPr="002C4077">
        <w:t xml:space="preserve"> </w:t>
      </w:r>
      <w:r>
        <w:t>les</w:t>
      </w:r>
      <w:r w:rsidRPr="002C4077">
        <w:t xml:space="preserve"> </w:t>
      </w:r>
      <w:r>
        <w:t>Mac</w:t>
      </w:r>
      <w:r w:rsidRPr="002C4077">
        <w:t xml:space="preserve"> </w:t>
      </w:r>
      <w:r>
        <w:t>Evilly</w:t>
      </w:r>
      <w:r w:rsidR="00B91AF7">
        <w:rPr>
          <w:rStyle w:val="Appelnotedebasdep"/>
        </w:rPr>
        <w:footnoteReference w:id="542"/>
      </w:r>
      <w:r w:rsidR="00B546AF">
        <w:t> ;</w:t>
      </w:r>
      <w:r w:rsidRPr="002C4077">
        <w:t xml:space="preserve"> </w:t>
      </w:r>
      <w:r>
        <w:t>—</w:t>
      </w:r>
      <w:r w:rsidRPr="002C4077">
        <w:t xml:space="preserve"> </w:t>
      </w:r>
      <w:r>
        <w:t>en</w:t>
      </w:r>
      <w:r w:rsidRPr="002C4077">
        <w:t xml:space="preserve"> </w:t>
      </w:r>
      <w:r>
        <w:t>Allemagne,</w:t>
      </w:r>
      <w:r w:rsidRPr="002C4077">
        <w:t xml:space="preserve"> </w:t>
      </w:r>
      <w:r>
        <w:t>les</w:t>
      </w:r>
      <w:r w:rsidRPr="002C4077">
        <w:t xml:space="preserve"> </w:t>
      </w:r>
      <w:r w:rsidR="0075326F">
        <w:t>Aberle</w:t>
      </w:r>
      <w:r w:rsidR="0075326F">
        <w:rPr>
          <w:rStyle w:val="Appelnotedebasdep"/>
        </w:rPr>
        <w:footnoteReference w:id="543"/>
      </w:r>
      <w:r>
        <w:t>,</w:t>
      </w:r>
      <w:r w:rsidRPr="002C4077">
        <w:t xml:space="preserve"> </w:t>
      </w:r>
      <w:r>
        <w:t>les</w:t>
      </w:r>
      <w:r w:rsidRPr="002C4077">
        <w:t xml:space="preserve"> </w:t>
      </w:r>
      <w:r>
        <w:t>Ackerma</w:t>
      </w:r>
      <w:r w:rsidR="00F6492C">
        <w:t>nn</w:t>
      </w:r>
      <w:r w:rsidR="00F6492C">
        <w:rPr>
          <w:rStyle w:val="Appelnotedebasdep"/>
        </w:rPr>
        <w:footnoteReference w:id="544"/>
      </w:r>
      <w:r w:rsidR="00F6492C">
        <w:t>,</w:t>
      </w:r>
      <w:r w:rsidRPr="002C4077">
        <w:t xml:space="preserve"> </w:t>
      </w:r>
      <w:r>
        <w:t>les</w:t>
      </w:r>
      <w:r w:rsidRPr="002C4077">
        <w:t xml:space="preserve"> </w:t>
      </w:r>
      <w:r>
        <w:t>Allioli</w:t>
      </w:r>
      <w:r w:rsidR="00B91AF7">
        <w:rPr>
          <w:rStyle w:val="Appelnotedebasdep"/>
        </w:rPr>
        <w:footnoteReference w:id="545"/>
      </w:r>
      <w:r>
        <w:t>,</w:t>
      </w:r>
      <w:r w:rsidRPr="002C4077">
        <w:t xml:space="preserve"> </w:t>
      </w:r>
      <w:r>
        <w:t>les</w:t>
      </w:r>
      <w:r w:rsidRPr="002C4077">
        <w:t xml:space="preserve"> </w:t>
      </w:r>
      <w:r>
        <w:t>Arnoldi</w:t>
      </w:r>
      <w:r w:rsidR="00B91AF7">
        <w:rPr>
          <w:rStyle w:val="Appelnotedebasdep"/>
        </w:rPr>
        <w:footnoteReference w:id="546"/>
      </w:r>
      <w:r>
        <w:t>,</w:t>
      </w:r>
      <w:r w:rsidRPr="002C4077">
        <w:t xml:space="preserve"> </w:t>
      </w:r>
      <w:r>
        <w:t>les</w:t>
      </w:r>
      <w:r w:rsidRPr="002C4077">
        <w:t xml:space="preserve"> </w:t>
      </w:r>
      <w:r>
        <w:t>Be</w:t>
      </w:r>
      <w:r w:rsidR="001730C6">
        <w:t>rl</w:t>
      </w:r>
      <w:r>
        <w:t>epsch</w:t>
      </w:r>
      <w:r w:rsidR="00B91AF7">
        <w:rPr>
          <w:rStyle w:val="Appelnotedebasdep"/>
        </w:rPr>
        <w:footnoteReference w:id="547"/>
      </w:r>
      <w:r>
        <w:t>,</w:t>
      </w:r>
      <w:r w:rsidRPr="002C4077">
        <w:t xml:space="preserve"> </w:t>
      </w:r>
      <w:r>
        <w:t>les</w:t>
      </w:r>
      <w:r w:rsidRPr="002C4077">
        <w:t xml:space="preserve"> </w:t>
      </w:r>
      <w:r>
        <w:t>Bisping</w:t>
      </w:r>
      <w:r w:rsidR="00B91AF7">
        <w:rPr>
          <w:rStyle w:val="Appelnotedebasdep"/>
        </w:rPr>
        <w:footnoteReference w:id="548"/>
      </w:r>
      <w:r>
        <w:t>,</w:t>
      </w:r>
      <w:r w:rsidRPr="002C4077">
        <w:t xml:space="preserve"> </w:t>
      </w:r>
      <w:r>
        <w:t>les</w:t>
      </w:r>
      <w:r w:rsidRPr="002C4077">
        <w:t xml:space="preserve"> </w:t>
      </w:r>
      <w:r>
        <w:t>Danko</w:t>
      </w:r>
      <w:r w:rsidR="00B91AF7">
        <w:rPr>
          <w:rStyle w:val="Appelnotedebasdep"/>
        </w:rPr>
        <w:footnoteReference w:id="549"/>
      </w:r>
      <w:r>
        <w:t>,</w:t>
      </w:r>
      <w:r w:rsidRPr="002C4077">
        <w:t xml:space="preserve"> </w:t>
      </w:r>
      <w:r>
        <w:t>les</w:t>
      </w:r>
      <w:r w:rsidRPr="002C4077">
        <w:t xml:space="preserve"> </w:t>
      </w:r>
      <w:r>
        <w:t>van</w:t>
      </w:r>
      <w:r w:rsidRPr="002C4077">
        <w:t xml:space="preserve"> </w:t>
      </w:r>
      <w:r>
        <w:t>Ess</w:t>
      </w:r>
      <w:r w:rsidR="00B91AF7">
        <w:rPr>
          <w:rStyle w:val="Appelnotedebasdep"/>
        </w:rPr>
        <w:footnoteReference w:id="550"/>
      </w:r>
      <w:r>
        <w:t>,</w:t>
      </w:r>
      <w:r w:rsidRPr="002C4077">
        <w:t xml:space="preserve"> </w:t>
      </w:r>
      <w:r>
        <w:t>les</w:t>
      </w:r>
      <w:r w:rsidRPr="002C4077">
        <w:t xml:space="preserve"> </w:t>
      </w:r>
      <w:r>
        <w:t>Friedlieb</w:t>
      </w:r>
      <w:r w:rsidR="00B91AF7">
        <w:rPr>
          <w:rStyle w:val="Appelnotedebasdep"/>
        </w:rPr>
        <w:footnoteReference w:id="551"/>
      </w:r>
      <w:r>
        <w:t>,</w:t>
      </w:r>
      <w:r w:rsidRPr="002C4077">
        <w:t xml:space="preserve"> </w:t>
      </w:r>
      <w:r>
        <w:t>les</w:t>
      </w:r>
      <w:r w:rsidRPr="002C4077">
        <w:t xml:space="preserve"> </w:t>
      </w:r>
      <w:r>
        <w:t>Gratz</w:t>
      </w:r>
      <w:r w:rsidR="00B91AF7">
        <w:rPr>
          <w:rStyle w:val="Appelnotedebasdep"/>
        </w:rPr>
        <w:footnoteReference w:id="552"/>
      </w:r>
      <w:r>
        <w:t>,</w:t>
      </w:r>
      <w:r w:rsidRPr="002C4077">
        <w:t xml:space="preserve"> </w:t>
      </w:r>
      <w:r>
        <w:t>les</w:t>
      </w:r>
      <w:r w:rsidRPr="002C4077">
        <w:t xml:space="preserve"> </w:t>
      </w:r>
      <w:r>
        <w:t>Grimm</w:t>
      </w:r>
      <w:r w:rsidR="00B91AF7">
        <w:rPr>
          <w:rStyle w:val="Appelnotedebasdep"/>
        </w:rPr>
        <w:footnoteReference w:id="553"/>
      </w:r>
      <w:r>
        <w:t>,</w:t>
      </w:r>
      <w:r w:rsidRPr="002C4077">
        <w:t xml:space="preserve"> </w:t>
      </w:r>
      <w:r>
        <w:t>les</w:t>
      </w:r>
      <w:r w:rsidRPr="002C4077">
        <w:t xml:space="preserve"> </w:t>
      </w:r>
      <w:r>
        <w:t>Gutberlet</w:t>
      </w:r>
      <w:r w:rsidR="00B91AF7">
        <w:rPr>
          <w:rStyle w:val="Appelnotedebasdep"/>
        </w:rPr>
        <w:footnoteReference w:id="554"/>
      </w:r>
      <w:r>
        <w:t>,</w:t>
      </w:r>
      <w:r w:rsidRPr="002C4077">
        <w:t xml:space="preserve"> </w:t>
      </w:r>
      <w:r>
        <w:t>les</w:t>
      </w:r>
      <w:r w:rsidRPr="002C4077">
        <w:t xml:space="preserve"> </w:t>
      </w:r>
      <w:r>
        <w:t>Haneberg’</w:t>
      </w:r>
      <w:r w:rsidR="00B91AF7">
        <w:rPr>
          <w:rStyle w:val="Appelnotedebasdep"/>
        </w:rPr>
        <w:footnoteReference w:id="555"/>
      </w:r>
      <w:r>
        <w:t>,</w:t>
      </w:r>
      <w:r w:rsidRPr="002C4077">
        <w:t xml:space="preserve"> </w:t>
      </w:r>
      <w:r>
        <w:t>les</w:t>
      </w:r>
      <w:r w:rsidRPr="002C4077">
        <w:t xml:space="preserve"> </w:t>
      </w:r>
      <w:r>
        <w:t>Himpe</w:t>
      </w:r>
      <w:r w:rsidR="00853971">
        <w:t>l</w:t>
      </w:r>
      <w:r w:rsidR="00B91AF7">
        <w:rPr>
          <w:rStyle w:val="Appelnotedebasdep"/>
        </w:rPr>
        <w:footnoteReference w:id="556"/>
      </w:r>
      <w:r>
        <w:t>,</w:t>
      </w:r>
      <w:r w:rsidRPr="002C4077">
        <w:t xml:space="preserve"> </w:t>
      </w:r>
      <w:r>
        <w:t>les</w:t>
      </w:r>
      <w:r w:rsidRPr="002C4077">
        <w:t xml:space="preserve"> </w:t>
      </w:r>
      <w:r>
        <w:t>Hug</w:t>
      </w:r>
      <w:r w:rsidR="00B91AF7">
        <w:rPr>
          <w:rStyle w:val="Appelnotedebasdep"/>
        </w:rPr>
        <w:footnoteReference w:id="557"/>
      </w:r>
      <w:r>
        <w:t>,</w:t>
      </w:r>
      <w:r w:rsidRPr="002C4077">
        <w:t xml:space="preserve"> </w:t>
      </w:r>
      <w:r>
        <w:t>les</w:t>
      </w:r>
      <w:r w:rsidRPr="002C4077">
        <w:t xml:space="preserve"> </w:t>
      </w:r>
      <w:r>
        <w:t>Hundhausen</w:t>
      </w:r>
      <w:r w:rsidR="00B91AF7">
        <w:rPr>
          <w:rStyle w:val="Appelnotedebasdep"/>
        </w:rPr>
        <w:footnoteReference w:id="558"/>
      </w:r>
      <w:r>
        <w:t>,</w:t>
      </w:r>
      <w:r w:rsidRPr="002C4077">
        <w:t xml:space="preserve"> </w:t>
      </w:r>
      <w:r>
        <w:t>les</w:t>
      </w:r>
      <w:r w:rsidRPr="002C4077">
        <w:t xml:space="preserve"> </w:t>
      </w:r>
      <w:r>
        <w:t>Jahn</w:t>
      </w:r>
      <w:r w:rsidR="00B91AF7">
        <w:rPr>
          <w:rStyle w:val="Appelnotedebasdep"/>
        </w:rPr>
        <w:footnoteReference w:id="559"/>
      </w:r>
      <w:r>
        <w:t>,</w:t>
      </w:r>
      <w:r w:rsidRPr="002C4077">
        <w:t xml:space="preserve"> </w:t>
      </w:r>
      <w:r>
        <w:t>les</w:t>
      </w:r>
      <w:r w:rsidRPr="002C4077">
        <w:t xml:space="preserve"> </w:t>
      </w:r>
      <w:r>
        <w:t>Kaulen</w:t>
      </w:r>
      <w:r w:rsidR="00B91AF7">
        <w:rPr>
          <w:rStyle w:val="Appelnotedebasdep"/>
        </w:rPr>
        <w:footnoteReference w:id="560"/>
      </w:r>
      <w:r>
        <w:t>,</w:t>
      </w:r>
      <w:r w:rsidRPr="002C4077">
        <w:t xml:space="preserve"> </w:t>
      </w:r>
      <w:r>
        <w:t>les</w:t>
      </w:r>
      <w:r w:rsidRPr="002C4077">
        <w:t xml:space="preserve"> </w:t>
      </w:r>
      <w:r>
        <w:t>Klee</w:t>
      </w:r>
      <w:r w:rsidR="00B91AF7">
        <w:rPr>
          <w:rStyle w:val="Appelnotedebasdep"/>
        </w:rPr>
        <w:footnoteReference w:id="561"/>
      </w:r>
      <w:r>
        <w:t>,</w:t>
      </w:r>
      <w:r w:rsidRPr="002C4077">
        <w:t xml:space="preserve"> </w:t>
      </w:r>
      <w:r>
        <w:t>les</w:t>
      </w:r>
      <w:r w:rsidRPr="002C4077">
        <w:t xml:space="preserve"> </w:t>
      </w:r>
      <w:r>
        <w:t>Knabenbauer</w:t>
      </w:r>
      <w:r w:rsidR="00B91AF7">
        <w:rPr>
          <w:rStyle w:val="Appelnotedebasdep"/>
        </w:rPr>
        <w:footnoteReference w:id="562"/>
      </w:r>
      <w:r>
        <w:t>,</w:t>
      </w:r>
      <w:r w:rsidRPr="002C4077">
        <w:t xml:space="preserve"> </w:t>
      </w:r>
      <w:r>
        <w:t>les</w:t>
      </w:r>
      <w:r w:rsidRPr="002C4077">
        <w:t xml:space="preserve"> </w:t>
      </w:r>
      <w:r>
        <w:t>Kœnig</w:t>
      </w:r>
      <w:r w:rsidR="00B91AF7">
        <w:rPr>
          <w:rStyle w:val="Appelnotedebasdep"/>
        </w:rPr>
        <w:footnoteReference w:id="563"/>
      </w:r>
      <w:r>
        <w:t>,</w:t>
      </w:r>
      <w:r w:rsidRPr="002C4077">
        <w:t xml:space="preserve"> </w:t>
      </w:r>
      <w:r>
        <w:t>les</w:t>
      </w:r>
      <w:r w:rsidRPr="002C4077">
        <w:t xml:space="preserve"> </w:t>
      </w:r>
      <w:r>
        <w:t>Langen</w:t>
      </w:r>
      <w:r w:rsidR="00B91AF7">
        <w:rPr>
          <w:rStyle w:val="Appelnotedebasdep"/>
        </w:rPr>
        <w:footnoteReference w:id="564"/>
      </w:r>
      <w:r>
        <w:t>,</w:t>
      </w:r>
      <w:r w:rsidRPr="002C4077">
        <w:t xml:space="preserve"> </w:t>
      </w:r>
      <w:r>
        <w:t>les</w:t>
      </w:r>
      <w:r w:rsidRPr="002C4077">
        <w:t xml:space="preserve"> </w:t>
      </w:r>
      <w:r>
        <w:t>Loch</w:t>
      </w:r>
      <w:r w:rsidR="00B91AF7">
        <w:rPr>
          <w:rStyle w:val="Appelnotedebasdep"/>
        </w:rPr>
        <w:footnoteReference w:id="565"/>
      </w:r>
      <w:r>
        <w:t>,</w:t>
      </w:r>
      <w:r w:rsidRPr="002C4077">
        <w:t xml:space="preserve"> </w:t>
      </w:r>
      <w:r>
        <w:t>les</w:t>
      </w:r>
      <w:r w:rsidRPr="002C4077">
        <w:t xml:space="preserve"> </w:t>
      </w:r>
      <w:r>
        <w:t>A.</w:t>
      </w:r>
      <w:r w:rsidRPr="002C4077">
        <w:t xml:space="preserve"> </w:t>
      </w:r>
      <w:r>
        <w:t>Maier</w:t>
      </w:r>
      <w:r w:rsidR="00B91AF7">
        <w:rPr>
          <w:rStyle w:val="Appelnotedebasdep"/>
        </w:rPr>
        <w:footnoteReference w:id="566"/>
      </w:r>
      <w:r>
        <w:t>,</w:t>
      </w:r>
      <w:r w:rsidR="00C45B47">
        <w:t xml:space="preserve"> {</w:t>
      </w:r>
      <w:r w:rsidR="00B53529">
        <w:t>174</w:t>
      </w:r>
      <w:bookmarkStart w:id="457" w:name="p174"/>
      <w:bookmarkEnd w:id="457"/>
      <w:r w:rsidR="00B53529">
        <w:t xml:space="preserve">} </w:t>
      </w:r>
      <w:r>
        <w:t>les</w:t>
      </w:r>
      <w:r w:rsidRPr="002C4077">
        <w:t xml:space="preserve"> </w:t>
      </w:r>
      <w:r>
        <w:t>G.</w:t>
      </w:r>
      <w:r w:rsidRPr="002C4077">
        <w:t xml:space="preserve"> </w:t>
      </w:r>
      <w:r>
        <w:t>K.</w:t>
      </w:r>
      <w:r w:rsidRPr="002C4077">
        <w:t xml:space="preserve"> </w:t>
      </w:r>
      <w:r>
        <w:t>Mayer</w:t>
      </w:r>
      <w:r w:rsidR="00B91AF7">
        <w:rPr>
          <w:rStyle w:val="Appelnotedebasdep"/>
        </w:rPr>
        <w:footnoteReference w:id="567"/>
      </w:r>
      <w:r>
        <w:t>,</w:t>
      </w:r>
      <w:r w:rsidRPr="002C4077">
        <w:t xml:space="preserve"> </w:t>
      </w:r>
      <w:r>
        <w:t>les</w:t>
      </w:r>
      <w:r w:rsidRPr="002C4077">
        <w:t xml:space="preserve"> </w:t>
      </w:r>
      <w:r>
        <w:t>Messmer</w:t>
      </w:r>
      <w:r w:rsidR="00B91AF7">
        <w:rPr>
          <w:rStyle w:val="Appelnotedebasdep"/>
        </w:rPr>
        <w:footnoteReference w:id="568"/>
      </w:r>
      <w:r>
        <w:t>,</w:t>
      </w:r>
      <w:r w:rsidRPr="002C4077">
        <w:t xml:space="preserve"> </w:t>
      </w:r>
      <w:r>
        <w:t>les</w:t>
      </w:r>
      <w:r w:rsidRPr="002C4077">
        <w:t xml:space="preserve"> </w:t>
      </w:r>
      <w:r w:rsidR="0075326F">
        <w:t>Neteler</w:t>
      </w:r>
      <w:r w:rsidR="0075326F">
        <w:rPr>
          <w:rStyle w:val="Appelnotedebasdep"/>
        </w:rPr>
        <w:footnoteReference w:id="569"/>
      </w:r>
      <w:r>
        <w:t>,</w:t>
      </w:r>
      <w:r w:rsidRPr="002C4077">
        <w:t xml:space="preserve"> </w:t>
      </w:r>
      <w:r>
        <w:t>les</w:t>
      </w:r>
      <w:r w:rsidRPr="002C4077">
        <w:t xml:space="preserve"> </w:t>
      </w:r>
      <w:r>
        <w:t>Reinke</w:t>
      </w:r>
      <w:r w:rsidR="00B91AF7">
        <w:rPr>
          <w:rStyle w:val="Appelnotedebasdep"/>
        </w:rPr>
        <w:footnoteReference w:id="570"/>
      </w:r>
      <w:r>
        <w:t>,</w:t>
      </w:r>
      <w:r w:rsidRPr="002C4077">
        <w:t xml:space="preserve"> </w:t>
      </w:r>
      <w:r>
        <w:t>les</w:t>
      </w:r>
      <w:r w:rsidRPr="002C4077">
        <w:t xml:space="preserve"> </w:t>
      </w:r>
      <w:r>
        <w:lastRenderedPageBreak/>
        <w:t>Reischl</w:t>
      </w:r>
      <w:r w:rsidR="00B91AF7">
        <w:rPr>
          <w:rStyle w:val="Appelnotedebasdep"/>
        </w:rPr>
        <w:footnoteReference w:id="571"/>
      </w:r>
      <w:r>
        <w:t>,</w:t>
      </w:r>
      <w:r w:rsidRPr="002C4077">
        <w:t xml:space="preserve"> </w:t>
      </w:r>
      <w:r>
        <w:t>les</w:t>
      </w:r>
      <w:r w:rsidRPr="002C4077">
        <w:t xml:space="preserve"> </w:t>
      </w:r>
      <w:r>
        <w:t>Reithmayr</w:t>
      </w:r>
      <w:r w:rsidR="00B91AF7">
        <w:rPr>
          <w:rStyle w:val="Appelnotedebasdep"/>
        </w:rPr>
        <w:footnoteReference w:id="572"/>
      </w:r>
      <w:r>
        <w:t>,</w:t>
      </w:r>
      <w:r w:rsidRPr="002C4077">
        <w:t xml:space="preserve"> </w:t>
      </w:r>
      <w:r>
        <w:t>les</w:t>
      </w:r>
      <w:r w:rsidRPr="002C4077">
        <w:t xml:space="preserve"> </w:t>
      </w:r>
      <w:r>
        <w:t>Reusch</w:t>
      </w:r>
      <w:r w:rsidR="00B91AF7">
        <w:rPr>
          <w:rStyle w:val="Appelnotedebasdep"/>
        </w:rPr>
        <w:footnoteReference w:id="573"/>
      </w:r>
      <w:r>
        <w:t>,</w:t>
      </w:r>
      <w:r w:rsidRPr="002C4077">
        <w:t xml:space="preserve"> </w:t>
      </w:r>
      <w:r>
        <w:t>les</w:t>
      </w:r>
      <w:r w:rsidRPr="002C4077">
        <w:t xml:space="preserve"> </w:t>
      </w:r>
      <w:r>
        <w:t>Ro</w:t>
      </w:r>
      <w:r w:rsidR="001730C6">
        <w:t>hl</w:t>
      </w:r>
      <w:r>
        <w:t>ing</w:t>
      </w:r>
      <w:r w:rsidR="00B91AF7">
        <w:rPr>
          <w:rStyle w:val="Appelnotedebasdep"/>
        </w:rPr>
        <w:footnoteReference w:id="574"/>
      </w:r>
      <w:r>
        <w:t>,</w:t>
      </w:r>
      <w:r w:rsidRPr="002C4077">
        <w:t xml:space="preserve"> </w:t>
      </w:r>
      <w:r>
        <w:t>les</w:t>
      </w:r>
      <w:r w:rsidRPr="002C4077">
        <w:t xml:space="preserve"> </w:t>
      </w:r>
      <w:r>
        <w:t>Rœckerath</w:t>
      </w:r>
      <w:r w:rsidR="00B91AF7">
        <w:rPr>
          <w:rStyle w:val="Appelnotedebasdep"/>
        </w:rPr>
        <w:footnoteReference w:id="575"/>
      </w:r>
      <w:r>
        <w:t>,</w:t>
      </w:r>
      <w:r w:rsidRPr="002C4077">
        <w:t xml:space="preserve"> </w:t>
      </w:r>
      <w:r>
        <w:t>les</w:t>
      </w:r>
      <w:r w:rsidRPr="002C4077">
        <w:t xml:space="preserve"> </w:t>
      </w:r>
      <w:r w:rsidR="00853971">
        <w:t>Schæffer</w:t>
      </w:r>
      <w:r w:rsidR="00B91AF7">
        <w:rPr>
          <w:rStyle w:val="Appelnotedebasdep"/>
        </w:rPr>
        <w:footnoteReference w:id="576"/>
      </w:r>
      <w:r>
        <w:t>,</w:t>
      </w:r>
      <w:r w:rsidRPr="002C4077">
        <w:t xml:space="preserve"> </w:t>
      </w:r>
      <w:r>
        <w:t>les</w:t>
      </w:r>
      <w:r w:rsidRPr="002C4077">
        <w:t xml:space="preserve"> </w:t>
      </w:r>
      <w:r>
        <w:t>Schanz</w:t>
      </w:r>
      <w:r w:rsidR="00B91AF7">
        <w:rPr>
          <w:rStyle w:val="Appelnotedebasdep"/>
        </w:rPr>
        <w:footnoteReference w:id="577"/>
      </w:r>
      <w:r>
        <w:t>,</w:t>
      </w:r>
      <w:r w:rsidRPr="002C4077">
        <w:t xml:space="preserve"> </w:t>
      </w:r>
      <w:r>
        <w:t>les</w:t>
      </w:r>
      <w:r w:rsidRPr="002C4077">
        <w:t xml:space="preserve"> </w:t>
      </w:r>
      <w:r>
        <w:t>Schegg</w:t>
      </w:r>
      <w:r w:rsidR="00B91AF7">
        <w:rPr>
          <w:rStyle w:val="Appelnotedebasdep"/>
        </w:rPr>
        <w:footnoteReference w:id="578"/>
      </w:r>
      <w:r>
        <w:t>,</w:t>
      </w:r>
      <w:r w:rsidRPr="002C4077">
        <w:t xml:space="preserve"> </w:t>
      </w:r>
      <w:r>
        <w:t>les</w:t>
      </w:r>
      <w:r w:rsidRPr="002C4077">
        <w:t xml:space="preserve"> </w:t>
      </w:r>
      <w:r>
        <w:t>Scholz</w:t>
      </w:r>
      <w:r w:rsidR="00B91AF7">
        <w:rPr>
          <w:rStyle w:val="Appelnotedebasdep"/>
        </w:rPr>
        <w:footnoteReference w:id="579"/>
      </w:r>
      <w:r>
        <w:t>,</w:t>
      </w:r>
      <w:r w:rsidRPr="002C4077">
        <w:t xml:space="preserve"> </w:t>
      </w:r>
      <w:r>
        <w:t>les</w:t>
      </w:r>
      <w:r w:rsidRPr="002C4077">
        <w:t xml:space="preserve"> </w:t>
      </w:r>
      <w:r>
        <w:t>Schuster</w:t>
      </w:r>
      <w:r w:rsidR="00B91AF7">
        <w:rPr>
          <w:rStyle w:val="Appelnotedebasdep"/>
        </w:rPr>
        <w:footnoteReference w:id="580"/>
      </w:r>
      <w:r>
        <w:t>,</w:t>
      </w:r>
      <w:r w:rsidRPr="002C4077">
        <w:t xml:space="preserve"> </w:t>
      </w:r>
      <w:r>
        <w:t>les</w:t>
      </w:r>
      <w:r w:rsidRPr="002C4077">
        <w:t xml:space="preserve"> </w:t>
      </w:r>
      <w:r>
        <w:t>Sepp</w:t>
      </w:r>
      <w:r w:rsidR="00B91AF7">
        <w:rPr>
          <w:rStyle w:val="Appelnotedebasdep"/>
        </w:rPr>
        <w:footnoteReference w:id="581"/>
      </w:r>
      <w:r>
        <w:t>,</w:t>
      </w:r>
      <w:r w:rsidRPr="002C4077">
        <w:t xml:space="preserve"> </w:t>
      </w:r>
      <w:r>
        <w:t>les</w:t>
      </w:r>
      <w:r w:rsidRPr="002C4077">
        <w:t xml:space="preserve"> </w:t>
      </w:r>
      <w:r>
        <w:t>Simar</w:t>
      </w:r>
      <w:r w:rsidR="00B91AF7">
        <w:rPr>
          <w:rStyle w:val="Appelnotedebasdep"/>
        </w:rPr>
        <w:footnoteReference w:id="582"/>
      </w:r>
      <w:r>
        <w:t>,</w:t>
      </w:r>
      <w:r w:rsidRPr="002C4077">
        <w:t xml:space="preserve"> </w:t>
      </w:r>
      <w:r>
        <w:t>les</w:t>
      </w:r>
      <w:r w:rsidRPr="002C4077">
        <w:t xml:space="preserve"> </w:t>
      </w:r>
      <w:r>
        <w:t>Thalhofer</w:t>
      </w:r>
      <w:r w:rsidR="00B91AF7">
        <w:rPr>
          <w:rStyle w:val="Appelnotedebasdep"/>
        </w:rPr>
        <w:footnoteReference w:id="583"/>
      </w:r>
      <w:r>
        <w:t>,</w:t>
      </w:r>
      <w:r w:rsidRPr="002C4077">
        <w:t xml:space="preserve"> </w:t>
      </w:r>
      <w:r>
        <w:t>les</w:t>
      </w:r>
      <w:r w:rsidRPr="002C4077">
        <w:t xml:space="preserve"> </w:t>
      </w:r>
      <w:r>
        <w:t>Welte</w:t>
      </w:r>
      <w:r w:rsidR="00B91AF7">
        <w:rPr>
          <w:rStyle w:val="Appelnotedebasdep"/>
        </w:rPr>
        <w:footnoteReference w:id="584"/>
      </w:r>
      <w:r>
        <w:t>,</w:t>
      </w:r>
      <w:r w:rsidRPr="002C4077">
        <w:t xml:space="preserve"> </w:t>
      </w:r>
      <w:r>
        <w:t>les</w:t>
      </w:r>
      <w:r w:rsidRPr="002C4077">
        <w:t xml:space="preserve"> </w:t>
      </w:r>
      <w:r>
        <w:t>Zschokke</w:t>
      </w:r>
      <w:r w:rsidR="00B91AF7">
        <w:rPr>
          <w:rStyle w:val="Appelnotedebasdep"/>
        </w:rPr>
        <w:footnoteReference w:id="585"/>
      </w:r>
      <w:r w:rsidR="00B546AF">
        <w:t> ;</w:t>
      </w:r>
      <w:r w:rsidRPr="002C4077">
        <w:t xml:space="preserve"> </w:t>
      </w:r>
      <w:r>
        <w:t>—</w:t>
      </w:r>
      <w:r w:rsidRPr="002C4077">
        <w:t xml:space="preserve"> </w:t>
      </w:r>
      <w:r>
        <w:t>en</w:t>
      </w:r>
      <w:r w:rsidRPr="002C4077">
        <w:t xml:space="preserve"> </w:t>
      </w:r>
      <w:r>
        <w:t>Belgique,</w:t>
      </w:r>
      <w:r w:rsidRPr="002C4077">
        <w:t xml:space="preserve"> </w:t>
      </w:r>
      <w:r>
        <w:t>les</w:t>
      </w:r>
      <w:r w:rsidRPr="002C4077">
        <w:t xml:space="preserve"> </w:t>
      </w:r>
      <w:r>
        <w:t>Beelen</w:t>
      </w:r>
      <w:r w:rsidR="00B91AF7">
        <w:rPr>
          <w:rStyle w:val="Appelnotedebasdep"/>
        </w:rPr>
        <w:footnoteReference w:id="586"/>
      </w:r>
      <w:r>
        <w:t>,</w:t>
      </w:r>
      <w:r w:rsidRPr="002C4077">
        <w:t xml:space="preserve"> </w:t>
      </w:r>
      <w:r>
        <w:t>les</w:t>
      </w:r>
      <w:r w:rsidRPr="002C4077">
        <w:t xml:space="preserve"> </w:t>
      </w:r>
      <w:r>
        <w:t>Corluy</w:t>
      </w:r>
      <w:r w:rsidR="00B91AF7">
        <w:rPr>
          <w:rStyle w:val="Appelnotedebasdep"/>
        </w:rPr>
        <w:footnoteReference w:id="587"/>
      </w:r>
      <w:r>
        <w:t>,</w:t>
      </w:r>
      <w:r w:rsidRPr="002C4077">
        <w:t xml:space="preserve"> </w:t>
      </w:r>
      <w:r>
        <w:t>les</w:t>
      </w:r>
      <w:r w:rsidR="00853971" w:rsidRPr="002C4077">
        <w:t xml:space="preserve"> </w:t>
      </w:r>
      <w:r>
        <w:t>Delattre</w:t>
      </w:r>
      <w:r w:rsidR="00B91AF7">
        <w:rPr>
          <w:rStyle w:val="Appelnotedebasdep"/>
        </w:rPr>
        <w:footnoteReference w:id="588"/>
      </w:r>
      <w:r>
        <w:t>,</w:t>
      </w:r>
      <w:r w:rsidR="00C45B47">
        <w:t xml:space="preserve"> {</w:t>
      </w:r>
      <w:r w:rsidR="00B53529">
        <w:t>175</w:t>
      </w:r>
      <w:bookmarkStart w:id="458" w:name="p175"/>
      <w:bookmarkEnd w:id="458"/>
      <w:r w:rsidR="00B53529">
        <w:t xml:space="preserve">} </w:t>
      </w:r>
      <w:r>
        <w:t>les</w:t>
      </w:r>
      <w:r w:rsidRPr="002C4077">
        <w:t xml:space="preserve"> </w:t>
      </w:r>
      <w:r>
        <w:t>T.</w:t>
      </w:r>
      <w:r w:rsidRPr="002C4077">
        <w:t xml:space="preserve"> </w:t>
      </w:r>
      <w:r>
        <w:t>Lamy</w:t>
      </w:r>
      <w:r w:rsidR="00B91AF7">
        <w:rPr>
          <w:rStyle w:val="Appelnotedebasdep"/>
        </w:rPr>
        <w:footnoteReference w:id="589"/>
      </w:r>
      <w:r>
        <w:t>,</w:t>
      </w:r>
      <w:r w:rsidRPr="002C4077">
        <w:t xml:space="preserve"> </w:t>
      </w:r>
      <w:r>
        <w:t>les</w:t>
      </w:r>
      <w:r w:rsidRPr="002C4077">
        <w:t xml:space="preserve"> </w:t>
      </w:r>
      <w:r>
        <w:t>Van</w:t>
      </w:r>
      <w:r w:rsidRPr="002C4077">
        <w:t xml:space="preserve"> </w:t>
      </w:r>
      <w:r>
        <w:t>Steenkiste</w:t>
      </w:r>
      <w:r w:rsidR="00B91AF7">
        <w:rPr>
          <w:rStyle w:val="Appelnotedebasdep"/>
        </w:rPr>
        <w:footnoteReference w:id="590"/>
      </w:r>
      <w:r w:rsidR="00B546AF">
        <w:t> ;</w:t>
      </w:r>
      <w:r w:rsidRPr="002C4077">
        <w:t xml:space="preserve"> </w:t>
      </w:r>
      <w:r>
        <w:t>—</w:t>
      </w:r>
      <w:r w:rsidRPr="002C4077">
        <w:t xml:space="preserve"> </w:t>
      </w:r>
      <w:r>
        <w:t>en</w:t>
      </w:r>
      <w:r w:rsidRPr="002C4077">
        <w:t xml:space="preserve"> </w:t>
      </w:r>
      <w:r>
        <w:t>Italie,</w:t>
      </w:r>
      <w:r w:rsidRPr="002C4077">
        <w:t xml:space="preserve"> </w:t>
      </w:r>
      <w:r>
        <w:t>les</w:t>
      </w:r>
      <w:r w:rsidRPr="002C4077">
        <w:t xml:space="preserve"> </w:t>
      </w:r>
      <w:r>
        <w:t>Mai</w:t>
      </w:r>
      <w:r w:rsidR="00B91AF7">
        <w:rPr>
          <w:rStyle w:val="Appelnotedebasdep"/>
        </w:rPr>
        <w:footnoteReference w:id="591"/>
      </w:r>
      <w:r>
        <w:t>,</w:t>
      </w:r>
      <w:r w:rsidRPr="002C4077">
        <w:t xml:space="preserve"> </w:t>
      </w:r>
      <w:r>
        <w:t>les</w:t>
      </w:r>
      <w:r w:rsidRPr="002C4077">
        <w:t xml:space="preserve"> </w:t>
      </w:r>
      <w:r>
        <w:t>Ar</w:t>
      </w:r>
      <w:r w:rsidR="00853971">
        <w:t>o</w:t>
      </w:r>
      <w:r w:rsidR="003B53FD">
        <w:t>sio</w:t>
      </w:r>
      <w:r w:rsidR="00B91AF7">
        <w:rPr>
          <w:rStyle w:val="Appelnotedebasdep"/>
        </w:rPr>
        <w:footnoteReference w:id="592"/>
      </w:r>
      <w:r>
        <w:t>,</w:t>
      </w:r>
      <w:r w:rsidRPr="002C4077">
        <w:t xml:space="preserve"> </w:t>
      </w:r>
      <w:r>
        <w:t>les</w:t>
      </w:r>
      <w:r w:rsidRPr="002C4077">
        <w:t xml:space="preserve"> </w:t>
      </w:r>
      <w:r>
        <w:t>Barretta</w:t>
      </w:r>
      <w:r w:rsidR="00B91AF7">
        <w:rPr>
          <w:rStyle w:val="Appelnotedebasdep"/>
        </w:rPr>
        <w:footnoteReference w:id="593"/>
      </w:r>
      <w:r>
        <w:t>,</w:t>
      </w:r>
      <w:r w:rsidRPr="002C4077">
        <w:t xml:space="preserve"> </w:t>
      </w:r>
      <w:r>
        <w:t>les</w:t>
      </w:r>
      <w:r w:rsidRPr="002C4077">
        <w:t xml:space="preserve"> </w:t>
      </w:r>
      <w:r>
        <w:t>Capecelatro</w:t>
      </w:r>
      <w:r w:rsidR="00B91AF7">
        <w:rPr>
          <w:rStyle w:val="Appelnotedebasdep"/>
        </w:rPr>
        <w:footnoteReference w:id="594"/>
      </w:r>
      <w:r>
        <w:t>,</w:t>
      </w:r>
      <w:r w:rsidRPr="002C4077">
        <w:t xml:space="preserve"> </w:t>
      </w:r>
      <w:r>
        <w:t>les</w:t>
      </w:r>
      <w:r w:rsidRPr="002C4077">
        <w:t xml:space="preserve"> </w:t>
      </w:r>
      <w:r>
        <w:t>Castelli</w:t>
      </w:r>
      <w:r w:rsidR="00B91AF7">
        <w:rPr>
          <w:rStyle w:val="Appelnotedebasdep"/>
        </w:rPr>
        <w:footnoteReference w:id="595"/>
      </w:r>
      <w:r>
        <w:t>,</w:t>
      </w:r>
      <w:r w:rsidRPr="002C4077">
        <w:t xml:space="preserve"> </w:t>
      </w:r>
      <w:r>
        <w:t>les</w:t>
      </w:r>
      <w:r w:rsidRPr="002C4077">
        <w:t xml:space="preserve"> </w:t>
      </w:r>
      <w:r>
        <w:t>Cavedoni</w:t>
      </w:r>
      <w:r w:rsidR="00B91AF7">
        <w:rPr>
          <w:rStyle w:val="Appelnotedebasdep"/>
        </w:rPr>
        <w:footnoteReference w:id="596"/>
      </w:r>
      <w:r>
        <w:t>,</w:t>
      </w:r>
      <w:r w:rsidRPr="002C4077">
        <w:t xml:space="preserve"> </w:t>
      </w:r>
      <w:r>
        <w:t>les</w:t>
      </w:r>
      <w:r w:rsidRPr="002C4077">
        <w:t xml:space="preserve"> </w:t>
      </w:r>
      <w:r>
        <w:t>Cozza</w:t>
      </w:r>
      <w:r w:rsidR="00B91AF7">
        <w:rPr>
          <w:rStyle w:val="Appelnotedebasdep"/>
        </w:rPr>
        <w:footnoteReference w:id="597"/>
      </w:r>
      <w:r>
        <w:t>,</w:t>
      </w:r>
      <w:r w:rsidRPr="002C4077">
        <w:t xml:space="preserve"> </w:t>
      </w:r>
      <w:r>
        <w:t>les</w:t>
      </w:r>
      <w:r w:rsidRPr="002C4077">
        <w:t xml:space="preserve"> </w:t>
      </w:r>
      <w:r>
        <w:t>Curci</w:t>
      </w:r>
      <w:r w:rsidR="00B91AF7">
        <w:rPr>
          <w:rStyle w:val="Appelnotedebasdep"/>
        </w:rPr>
        <w:footnoteReference w:id="598"/>
      </w:r>
      <w:r>
        <w:t>,</w:t>
      </w:r>
      <w:r w:rsidRPr="002C4077">
        <w:t xml:space="preserve"> </w:t>
      </w:r>
      <w:r>
        <w:t>les</w:t>
      </w:r>
      <w:r w:rsidRPr="002C4077">
        <w:t xml:space="preserve"> </w:t>
      </w:r>
      <w:r>
        <w:t>Fabiani,</w:t>
      </w:r>
      <w:r w:rsidRPr="002C4077">
        <w:t xml:space="preserve"> </w:t>
      </w:r>
      <w:r>
        <w:t>les</w:t>
      </w:r>
      <w:r w:rsidRPr="002C4077">
        <w:t xml:space="preserve"> </w:t>
      </w:r>
      <w:r>
        <w:t>Patrizi</w:t>
      </w:r>
      <w:r w:rsidR="00B91AF7">
        <w:rPr>
          <w:rStyle w:val="Appelnotedebasdep"/>
        </w:rPr>
        <w:footnoteReference w:id="599"/>
      </w:r>
      <w:r>
        <w:t>,</w:t>
      </w:r>
      <w:r w:rsidRPr="002C4077">
        <w:t xml:space="preserve"> </w:t>
      </w:r>
      <w:r>
        <w:t>les</w:t>
      </w:r>
      <w:r w:rsidRPr="002C4077">
        <w:t xml:space="preserve"> </w:t>
      </w:r>
      <w:r>
        <w:t>S</w:t>
      </w:r>
      <w:r w:rsidR="003B53FD">
        <w:t>érgio</w:t>
      </w:r>
      <w:r w:rsidR="00B91AF7">
        <w:rPr>
          <w:rStyle w:val="Appelnotedebasdep"/>
        </w:rPr>
        <w:footnoteReference w:id="600"/>
      </w:r>
      <w:r>
        <w:t>,</w:t>
      </w:r>
      <w:r w:rsidRPr="002C4077">
        <w:t xml:space="preserve"> </w:t>
      </w:r>
      <w:r>
        <w:t>les</w:t>
      </w:r>
      <w:r w:rsidRPr="002C4077">
        <w:t xml:space="preserve"> </w:t>
      </w:r>
      <w:r>
        <w:t>Turano,</w:t>
      </w:r>
      <w:r w:rsidRPr="002C4077">
        <w:t xml:space="preserve"> </w:t>
      </w:r>
      <w:r>
        <w:t>les</w:t>
      </w:r>
      <w:r w:rsidRPr="002C4077">
        <w:t xml:space="preserve"> </w:t>
      </w:r>
      <w:r w:rsidR="007B3C26">
        <w:t>Ve</w:t>
      </w:r>
      <w:r w:rsidR="001730C6">
        <w:t>rc</w:t>
      </w:r>
      <w:r>
        <w:t>ellone</w:t>
      </w:r>
      <w:r w:rsidR="00B91AF7">
        <w:rPr>
          <w:rStyle w:val="Appelnotedebasdep"/>
        </w:rPr>
        <w:footnoteReference w:id="601"/>
      </w:r>
      <w:r>
        <w:t>,</w:t>
      </w:r>
      <w:r w:rsidRPr="002C4077">
        <w:t xml:space="preserve"> </w:t>
      </w:r>
      <w:r>
        <w:t>et</w:t>
      </w:r>
      <w:r w:rsidRPr="002C4077">
        <w:t xml:space="preserve"> </w:t>
      </w:r>
      <w:r>
        <w:t>tant</w:t>
      </w:r>
      <w:r w:rsidRPr="002C4077">
        <w:t xml:space="preserve"> </w:t>
      </w:r>
      <w:r>
        <w:t>d’autres</w:t>
      </w:r>
      <w:r w:rsidR="00B91AF7">
        <w:rPr>
          <w:rStyle w:val="Appelnotedebasdep"/>
        </w:rPr>
        <w:footnoteReference w:id="602"/>
      </w:r>
      <w:r>
        <w:t>,</w:t>
      </w:r>
      <w:r w:rsidRPr="002C4077">
        <w:t xml:space="preserve"> </w:t>
      </w:r>
      <w:r>
        <w:t>ont</w:t>
      </w:r>
      <w:r w:rsidRPr="002C4077">
        <w:t xml:space="preserve"> </w:t>
      </w:r>
      <w:r>
        <w:t>fait</w:t>
      </w:r>
      <w:r w:rsidRPr="002C4077">
        <w:t xml:space="preserve"> </w:t>
      </w:r>
      <w:r>
        <w:t>leurs</w:t>
      </w:r>
      <w:r w:rsidRPr="002C4077">
        <w:t xml:space="preserve"> </w:t>
      </w:r>
      <w:r>
        <w:t>preuves.</w:t>
      </w:r>
      <w:r w:rsidRPr="002C4077">
        <w:t xml:space="preserve"> </w:t>
      </w:r>
    </w:p>
    <w:p w:rsidR="000A7AAB" w:rsidRDefault="000A7AAB" w:rsidP="000A7AAB">
      <w:r>
        <w:lastRenderedPageBreak/>
        <w:t>C’est</w:t>
      </w:r>
      <w:r w:rsidRPr="002C4077">
        <w:t xml:space="preserve"> </w:t>
      </w:r>
      <w:r>
        <w:t>une</w:t>
      </w:r>
      <w:r w:rsidRPr="002C4077">
        <w:t xml:space="preserve"> </w:t>
      </w:r>
      <w:r>
        <w:t>noble</w:t>
      </w:r>
      <w:r w:rsidRPr="002C4077">
        <w:t xml:space="preserve"> </w:t>
      </w:r>
      <w:r>
        <w:t>phalange,</w:t>
      </w:r>
      <w:r w:rsidRPr="002C4077">
        <w:t xml:space="preserve"> </w:t>
      </w:r>
      <w:r>
        <w:t>que</w:t>
      </w:r>
      <w:r w:rsidRPr="002C4077">
        <w:t xml:space="preserve"> </w:t>
      </w:r>
      <w:r>
        <w:t>suivront</w:t>
      </w:r>
      <w:r w:rsidRPr="002C4077">
        <w:t xml:space="preserve"> </w:t>
      </w:r>
      <w:r>
        <w:t>des</w:t>
      </w:r>
      <w:r w:rsidRPr="002C4077">
        <w:t xml:space="preserve"> </w:t>
      </w:r>
      <w:r>
        <w:t>phalanges</w:t>
      </w:r>
      <w:r w:rsidRPr="002C4077">
        <w:t xml:space="preserve"> </w:t>
      </w:r>
      <w:r>
        <w:t>plus</w:t>
      </w:r>
      <w:r w:rsidRPr="002C4077">
        <w:t xml:space="preserve"> </w:t>
      </w:r>
      <w:r>
        <w:t>nombreuses</w:t>
      </w:r>
      <w:r w:rsidRPr="002C4077">
        <w:t xml:space="preserve"> </w:t>
      </w:r>
      <w:r>
        <w:t>encore,</w:t>
      </w:r>
      <w:r w:rsidRPr="002C4077">
        <w:t xml:space="preserve"> </w:t>
      </w:r>
      <w:r>
        <w:t>luttant</w:t>
      </w:r>
      <w:r w:rsidRPr="002C4077">
        <w:t xml:space="preserve"> </w:t>
      </w:r>
      <w:r>
        <w:t>avec</w:t>
      </w:r>
      <w:r w:rsidRPr="002C4077">
        <w:t xml:space="preserve"> </w:t>
      </w:r>
      <w:r>
        <w:t>vous,</w:t>
      </w:r>
      <w:r w:rsidRPr="002C4077">
        <w:t xml:space="preserve"> </w:t>
      </w:r>
      <w:r>
        <w:t>messieurs</w:t>
      </w:r>
      <w:r w:rsidRPr="002C4077">
        <w:t xml:space="preserve"> </w:t>
      </w:r>
      <w:r>
        <w:t>les</w:t>
      </w:r>
      <w:r w:rsidRPr="002C4077">
        <w:t xml:space="preserve"> </w:t>
      </w:r>
      <w:r>
        <w:t>rationalistes,</w:t>
      </w:r>
      <w:r w:rsidRPr="002C4077">
        <w:t xml:space="preserve"> </w:t>
      </w:r>
      <w:r>
        <w:t>sur</w:t>
      </w:r>
      <w:r w:rsidRPr="002C4077">
        <w:t xml:space="preserve"> </w:t>
      </w:r>
      <w:r>
        <w:t>tous</w:t>
      </w:r>
      <w:r w:rsidRPr="002C4077">
        <w:t xml:space="preserve"> </w:t>
      </w:r>
      <w:r>
        <w:t>les</w:t>
      </w:r>
      <w:r w:rsidRPr="002C4077">
        <w:t xml:space="preserve"> </w:t>
      </w:r>
      <w:r>
        <w:t>champs</w:t>
      </w:r>
      <w:r w:rsidRPr="002C4077">
        <w:t xml:space="preserve"> </w:t>
      </w:r>
      <w:r>
        <w:t>bibliques,</w:t>
      </w:r>
      <w:r w:rsidRPr="002C4077">
        <w:t xml:space="preserve"> </w:t>
      </w:r>
      <w:r>
        <w:t>et</w:t>
      </w:r>
      <w:r w:rsidRPr="002C4077">
        <w:t xml:space="preserve"> </w:t>
      </w:r>
      <w:r>
        <w:t>avec</w:t>
      </w:r>
      <w:r w:rsidRPr="002C4077">
        <w:t xml:space="preserve"> </w:t>
      </w:r>
      <w:r>
        <w:t>toutes</w:t>
      </w:r>
      <w:r w:rsidRPr="002C4077">
        <w:t xml:space="preserve"> </w:t>
      </w:r>
      <w:r>
        <w:t>vos</w:t>
      </w:r>
      <w:r w:rsidRPr="002C4077">
        <w:t xml:space="preserve"> </w:t>
      </w:r>
      <w:r>
        <w:t>armes</w:t>
      </w:r>
      <w:r w:rsidR="00B546AF">
        <w:t> :</w:t>
      </w:r>
      <w:r w:rsidRPr="002C4077">
        <w:t xml:space="preserve"> </w:t>
      </w:r>
      <w:r>
        <w:t>toutes,</w:t>
      </w:r>
      <w:r w:rsidRPr="002C4077">
        <w:t xml:space="preserve"> </w:t>
      </w:r>
      <w:r>
        <w:t>hormis</w:t>
      </w:r>
      <w:r w:rsidRPr="002C4077">
        <w:t xml:space="preserve"> </w:t>
      </w:r>
      <w:r>
        <w:t>celles</w:t>
      </w:r>
      <w:r w:rsidRPr="002C4077">
        <w:t xml:space="preserve"> </w:t>
      </w:r>
      <w:r>
        <w:t>du</w:t>
      </w:r>
      <w:r w:rsidRPr="002C4077">
        <w:t xml:space="preserve"> </w:t>
      </w:r>
      <w:r>
        <w:t>mensonge</w:t>
      </w:r>
      <w:r w:rsidRPr="002C4077">
        <w:t xml:space="preserve"> </w:t>
      </w:r>
      <w:r>
        <w:t>et</w:t>
      </w:r>
      <w:r w:rsidRPr="002C4077">
        <w:t xml:space="preserve"> </w:t>
      </w:r>
      <w:r>
        <w:t>de</w:t>
      </w:r>
      <w:r w:rsidRPr="002C4077">
        <w:t xml:space="preserve"> </w:t>
      </w:r>
      <w:r>
        <w:t>la</w:t>
      </w:r>
      <w:r w:rsidRPr="002C4077">
        <w:t xml:space="preserve"> </w:t>
      </w:r>
      <w:r>
        <w:t>mauvaise</w:t>
      </w:r>
      <w:bookmarkStart w:id="459" w:name="z_CommentateursCath_o5"/>
      <w:bookmarkEnd w:id="459"/>
      <w:r w:rsidRPr="002C4077">
        <w:t xml:space="preserve"> </w:t>
      </w:r>
      <w:r>
        <w:t>foi.</w:t>
      </w:r>
      <w:r w:rsidR="00422B3A">
        <w:t xml:space="preserve"> </w:t>
      </w:r>
    </w:p>
    <w:p w:rsidR="009269FC" w:rsidRDefault="009269FC" w:rsidP="000A7AAB"/>
    <w:p w:rsidR="000A7AAB" w:rsidRDefault="000A7AAB" w:rsidP="000A7AAB">
      <w:r>
        <w:t>Arrêtons-nous</w:t>
      </w:r>
      <w:r w:rsidRPr="002C4077">
        <w:t xml:space="preserve"> </w:t>
      </w:r>
      <w:r>
        <w:t>maintenant</w:t>
      </w:r>
      <w:r w:rsidRPr="002C4077">
        <w:t xml:space="preserve"> </w:t>
      </w:r>
      <w:r>
        <w:t>et</w:t>
      </w:r>
      <w:r w:rsidRPr="002C4077">
        <w:t xml:space="preserve"> </w:t>
      </w:r>
      <w:r>
        <w:t>relisons</w:t>
      </w:r>
      <w:r w:rsidR="00B546AF">
        <w:t> :</w:t>
      </w:r>
      <w:r w:rsidRPr="002C4077">
        <w:t xml:space="preserve"> </w:t>
      </w:r>
      <w:r w:rsidR="00B546AF">
        <w:t>« </w:t>
      </w:r>
      <w:r>
        <w:t>En</w:t>
      </w:r>
      <w:r w:rsidRPr="002C4077">
        <w:t xml:space="preserve"> </w:t>
      </w:r>
      <w:r>
        <w:t>ce</w:t>
      </w:r>
      <w:r w:rsidRPr="002C4077">
        <w:t xml:space="preserve"> </w:t>
      </w:r>
      <w:r>
        <w:t>domaine</w:t>
      </w:r>
      <w:r w:rsidRPr="002C4077">
        <w:t xml:space="preserve"> </w:t>
      </w:r>
      <w:r>
        <w:t>de</w:t>
      </w:r>
      <w:r w:rsidRPr="002C4077">
        <w:t xml:space="preserve"> </w:t>
      </w:r>
      <w:r>
        <w:t>l’esprit</w:t>
      </w:r>
      <w:r w:rsidRPr="002C4077">
        <w:t xml:space="preserve"> </w:t>
      </w:r>
      <w:r>
        <w:t>humain,</w:t>
      </w:r>
      <w:r w:rsidRPr="002C4077">
        <w:t xml:space="preserve"> </w:t>
      </w:r>
      <w:r>
        <w:t>comme</w:t>
      </w:r>
      <w:r w:rsidRPr="002C4077">
        <w:t xml:space="preserve"> </w:t>
      </w:r>
      <w:r>
        <w:t>en</w:t>
      </w:r>
      <w:r w:rsidRPr="002C4077">
        <w:t xml:space="preserve"> </w:t>
      </w:r>
      <w:r>
        <w:t>tant</w:t>
      </w:r>
      <w:r w:rsidRPr="002C4077">
        <w:t xml:space="preserve"> </w:t>
      </w:r>
      <w:r>
        <w:t>d’autres</w:t>
      </w:r>
      <w:r w:rsidRPr="004440EA">
        <w:t xml:space="preserve"> (</w:t>
      </w:r>
      <w:r>
        <w:t>par</w:t>
      </w:r>
      <w:r w:rsidRPr="002C4077">
        <w:t xml:space="preserve"> </w:t>
      </w:r>
      <w:r>
        <w:t>exemple</w:t>
      </w:r>
      <w:r w:rsidR="00B546AF">
        <w:t> :</w:t>
      </w:r>
      <w:r w:rsidRPr="002C4077">
        <w:t xml:space="preserve"> </w:t>
      </w:r>
      <w:r>
        <w:t>l’architecture,</w:t>
      </w:r>
      <w:r w:rsidRPr="002C4077">
        <w:t xml:space="preserve"> </w:t>
      </w:r>
      <w:r>
        <w:t>témoins</w:t>
      </w:r>
      <w:r w:rsidRPr="002C4077">
        <w:t xml:space="preserve"> </w:t>
      </w:r>
      <w:r>
        <w:t>nos</w:t>
      </w:r>
      <w:r w:rsidR="00853971" w:rsidRPr="002C4077">
        <w:t xml:space="preserve"> </w:t>
      </w:r>
      <w:r>
        <w:t>édifices</w:t>
      </w:r>
      <w:r w:rsidRPr="002C4077">
        <w:t xml:space="preserve"> </w:t>
      </w:r>
      <w:r>
        <w:t>religieux</w:t>
      </w:r>
      <w:r w:rsidR="00B546AF">
        <w:t> ;</w:t>
      </w:r>
      <w:r w:rsidRPr="002C4077">
        <w:t xml:space="preserve"> </w:t>
      </w:r>
      <w:r>
        <w:t>la</w:t>
      </w:r>
      <w:r w:rsidRPr="002C4077">
        <w:t xml:space="preserve"> </w:t>
      </w:r>
      <w:r>
        <w:t>peinture,</w:t>
      </w:r>
      <w:r w:rsidRPr="002C4077">
        <w:t xml:space="preserve"> </w:t>
      </w:r>
      <w:r>
        <w:t>témoins</w:t>
      </w:r>
      <w:r w:rsidRPr="002C4077">
        <w:t xml:space="preserve"> </w:t>
      </w:r>
      <w:r>
        <w:t>les</w:t>
      </w:r>
      <w:r w:rsidRPr="002C4077">
        <w:t xml:space="preserve"> </w:t>
      </w:r>
      <w:r>
        <w:t>tableaux</w:t>
      </w:r>
      <w:r w:rsidRPr="002C4077">
        <w:t xml:space="preserve"> </w:t>
      </w:r>
      <w:r>
        <w:t>de</w:t>
      </w:r>
      <w:r w:rsidRPr="002C4077">
        <w:t xml:space="preserve"> </w:t>
      </w:r>
      <w:r>
        <w:t>Raphaël,</w:t>
      </w:r>
      <w:r w:rsidRPr="002C4077">
        <w:t xml:space="preserve"> </w:t>
      </w:r>
      <w:r>
        <w:t>de</w:t>
      </w:r>
      <w:r w:rsidRPr="002C4077">
        <w:t xml:space="preserve"> </w:t>
      </w:r>
      <w:r>
        <w:t>fr</w:t>
      </w:r>
      <w:r w:rsidR="00853971">
        <w:t>a</w:t>
      </w:r>
      <w:r w:rsidRPr="002C4077">
        <w:t xml:space="preserve"> </w:t>
      </w:r>
      <w:r>
        <w:t>Angelico,</w:t>
      </w:r>
      <w:r w:rsidRPr="002C4077">
        <w:t xml:space="preserve"> </w:t>
      </w:r>
      <w:r>
        <w:t>de</w:t>
      </w:r>
      <w:r w:rsidRPr="002C4077">
        <w:t xml:space="preserve"> </w:t>
      </w:r>
      <w:r>
        <w:t>A.</w:t>
      </w:r>
      <w:r w:rsidRPr="002C4077">
        <w:t xml:space="preserve"> </w:t>
      </w:r>
      <w:r>
        <w:t>Durer,</w:t>
      </w:r>
      <w:r w:rsidRPr="002C4077">
        <w:t xml:space="preserve"> </w:t>
      </w:r>
      <w:r w:rsidR="00425C50">
        <w:t>etc</w:t>
      </w:r>
      <w:r>
        <w:t>.</w:t>
      </w:r>
      <w:r w:rsidR="00B546AF">
        <w:t> ;</w:t>
      </w:r>
      <w:r w:rsidR="00EC0C08">
        <w:t xml:space="preserve"> {</w:t>
      </w:r>
      <w:r w:rsidR="00B53529">
        <w:t>176</w:t>
      </w:r>
      <w:bookmarkStart w:id="460" w:name="p176"/>
      <w:bookmarkEnd w:id="460"/>
      <w:r w:rsidR="00B53529">
        <w:t>}</w:t>
      </w:r>
      <w:r w:rsidR="00422B3A">
        <w:t xml:space="preserve"> </w:t>
      </w:r>
      <w:r>
        <w:t>la</w:t>
      </w:r>
      <w:r w:rsidRPr="002C4077">
        <w:t xml:space="preserve"> </w:t>
      </w:r>
      <w:r>
        <w:t>sculpture,</w:t>
      </w:r>
      <w:r w:rsidRPr="002C4077">
        <w:t xml:space="preserve"> </w:t>
      </w:r>
      <w:r>
        <w:t>témoin</w:t>
      </w:r>
      <w:r w:rsidRPr="002C4077">
        <w:t xml:space="preserve"> </w:t>
      </w:r>
      <w:r>
        <w:t>le</w:t>
      </w:r>
      <w:r w:rsidRPr="002C4077">
        <w:t xml:space="preserve"> </w:t>
      </w:r>
      <w:r>
        <w:t>Moïse</w:t>
      </w:r>
      <w:r w:rsidRPr="002C4077">
        <w:t xml:space="preserve"> </w:t>
      </w:r>
      <w:r>
        <w:t>de</w:t>
      </w:r>
      <w:r w:rsidRPr="002C4077">
        <w:t xml:space="preserve"> </w:t>
      </w:r>
      <w:r>
        <w:t>Michel-Ange,</w:t>
      </w:r>
      <w:r w:rsidRPr="002C4077">
        <w:t xml:space="preserve"> </w:t>
      </w:r>
      <w:r w:rsidR="00425C50">
        <w:t>etc</w:t>
      </w:r>
      <w:r>
        <w:t>.</w:t>
      </w:r>
      <w:r w:rsidR="00B546AF">
        <w:t> ;</w:t>
      </w:r>
      <w:r w:rsidRPr="002C4077">
        <w:t xml:space="preserve"> </w:t>
      </w:r>
      <w:r>
        <w:t>la</w:t>
      </w:r>
      <w:r w:rsidRPr="002C4077">
        <w:t xml:space="preserve"> </w:t>
      </w:r>
      <w:r>
        <w:t>science,</w:t>
      </w:r>
      <w:r w:rsidRPr="002C4077">
        <w:t xml:space="preserve"> </w:t>
      </w:r>
      <w:r>
        <w:t>témoins</w:t>
      </w:r>
      <w:r w:rsidRPr="002C4077">
        <w:t xml:space="preserve"> </w:t>
      </w:r>
      <w:r>
        <w:t>les</w:t>
      </w:r>
      <w:r w:rsidRPr="002C4077">
        <w:t xml:space="preserve"> </w:t>
      </w:r>
      <w:r>
        <w:t>livres</w:t>
      </w:r>
      <w:r w:rsidRPr="002C4077">
        <w:t xml:space="preserve"> </w:t>
      </w:r>
      <w:r>
        <w:t>du</w:t>
      </w:r>
      <w:r w:rsidRPr="002C4077">
        <w:t xml:space="preserve"> </w:t>
      </w:r>
      <w:r>
        <w:t>P.</w:t>
      </w:r>
      <w:r w:rsidRPr="002C4077">
        <w:t xml:space="preserve"> </w:t>
      </w:r>
      <w:r>
        <w:t>Secchi,</w:t>
      </w:r>
      <w:r w:rsidRPr="002C4077">
        <w:t xml:space="preserve"> </w:t>
      </w:r>
      <w:r w:rsidR="00425C50">
        <w:t>etc</w:t>
      </w:r>
      <w:r>
        <w:t>.</w:t>
      </w:r>
      <w:r w:rsidRPr="002C4077">
        <w:t xml:space="preserve"> </w:t>
      </w:r>
      <w:r w:rsidR="00425C50">
        <w:t>etc</w:t>
      </w:r>
      <w:r>
        <w:t>.</w:t>
      </w:r>
      <w:r w:rsidR="00B546AF" w:rsidRPr="002C4077">
        <w:t>)</w:t>
      </w:r>
      <w:r w:rsidRPr="00950016">
        <w:t>,</w:t>
      </w:r>
      <w:r w:rsidRPr="002C4077">
        <w:t xml:space="preserve"> </w:t>
      </w:r>
      <w:r>
        <w:t>le</w:t>
      </w:r>
      <w:r w:rsidRPr="002C4077">
        <w:t xml:space="preserve"> </w:t>
      </w:r>
      <w:r>
        <w:t>catholicisme</w:t>
      </w:r>
      <w:r w:rsidRPr="002C4077">
        <w:t xml:space="preserve"> </w:t>
      </w:r>
      <w:r>
        <w:t>a</w:t>
      </w:r>
      <w:r w:rsidRPr="002C4077">
        <w:t xml:space="preserve"> </w:t>
      </w:r>
      <w:r>
        <w:t>porté</w:t>
      </w:r>
      <w:r w:rsidRPr="002C4077">
        <w:t xml:space="preserve"> </w:t>
      </w:r>
      <w:r>
        <w:t>la</w:t>
      </w:r>
      <w:r w:rsidRPr="002C4077">
        <w:t xml:space="preserve"> </w:t>
      </w:r>
      <w:r>
        <w:t>stérilité</w:t>
      </w:r>
      <w:r w:rsidRPr="002C4077">
        <w:t xml:space="preserve"> </w:t>
      </w:r>
      <w:r>
        <w:t>et</w:t>
      </w:r>
      <w:r w:rsidRPr="002C4077">
        <w:t xml:space="preserve"> </w:t>
      </w:r>
      <w:r>
        <w:t>la</w:t>
      </w:r>
      <w:r w:rsidRPr="002C4077">
        <w:t xml:space="preserve"> </w:t>
      </w:r>
      <w:r>
        <w:t>mort</w:t>
      </w:r>
      <w:r w:rsidR="00B546AF">
        <w:t> ! »</w:t>
      </w:r>
      <w:r w:rsidRPr="002C4077">
        <w:t xml:space="preserve"> </w:t>
      </w:r>
    </w:p>
    <w:p w:rsidR="000A7AAB" w:rsidRDefault="000A7AAB" w:rsidP="000A7AAB">
      <w:r>
        <w:t>Plusieurs</w:t>
      </w:r>
      <w:r w:rsidRPr="002C4077">
        <w:t xml:space="preserve"> </w:t>
      </w:r>
      <w:r>
        <w:t>centaines</w:t>
      </w:r>
      <w:r w:rsidRPr="002C4077">
        <w:t xml:space="preserve"> </w:t>
      </w:r>
      <w:r>
        <w:t>d’auteurs,</w:t>
      </w:r>
      <w:r w:rsidRPr="002C4077">
        <w:t xml:space="preserve"> </w:t>
      </w:r>
      <w:r>
        <w:t>composant</w:t>
      </w:r>
      <w:r w:rsidRPr="002C4077">
        <w:t xml:space="preserve"> </w:t>
      </w:r>
      <w:r>
        <w:t>en</w:t>
      </w:r>
      <w:r w:rsidRPr="002C4077">
        <w:t xml:space="preserve"> </w:t>
      </w:r>
      <w:r>
        <w:t>moins</w:t>
      </w:r>
      <w:r w:rsidRPr="002C4077">
        <w:t xml:space="preserve"> </w:t>
      </w:r>
      <w:r>
        <w:t>de</w:t>
      </w:r>
      <w:r w:rsidRPr="002C4077">
        <w:t xml:space="preserve"> </w:t>
      </w:r>
      <w:r>
        <w:t>quatre</w:t>
      </w:r>
      <w:r w:rsidRPr="002C4077">
        <w:t xml:space="preserve"> </w:t>
      </w:r>
      <w:r>
        <w:t>siècles,</w:t>
      </w:r>
      <w:r w:rsidRPr="002C4077">
        <w:t xml:space="preserve"> </w:t>
      </w:r>
      <w:r>
        <w:t>sur</w:t>
      </w:r>
      <w:r w:rsidRPr="002C4077">
        <w:t xml:space="preserve"> </w:t>
      </w:r>
      <w:r>
        <w:t>un</w:t>
      </w:r>
      <w:r w:rsidRPr="002C4077">
        <w:t xml:space="preserve"> </w:t>
      </w:r>
      <w:r>
        <w:t>point</w:t>
      </w:r>
      <w:r w:rsidRPr="002C4077">
        <w:t xml:space="preserve"> </w:t>
      </w:r>
      <w:r>
        <w:t>spécial</w:t>
      </w:r>
      <w:r w:rsidRPr="002C4077">
        <w:t xml:space="preserve"> </w:t>
      </w:r>
      <w:r>
        <w:t>de</w:t>
      </w:r>
      <w:r w:rsidRPr="002C4077">
        <w:t xml:space="preserve"> </w:t>
      </w:r>
      <w:r>
        <w:t>la</w:t>
      </w:r>
      <w:r w:rsidRPr="002C4077">
        <w:t xml:space="preserve"> </w:t>
      </w:r>
      <w:r>
        <w:t>science,</w:t>
      </w:r>
      <w:r w:rsidRPr="002C4077">
        <w:t xml:space="preserve"> </w:t>
      </w:r>
      <w:r>
        <w:t>plus</w:t>
      </w:r>
      <w:r w:rsidRPr="002C4077">
        <w:t xml:space="preserve"> </w:t>
      </w:r>
      <w:r>
        <w:t>d’un</w:t>
      </w:r>
      <w:r w:rsidRPr="002C4077">
        <w:t xml:space="preserve"> </w:t>
      </w:r>
      <w:r>
        <w:t>millier</w:t>
      </w:r>
      <w:r w:rsidRPr="002C4077">
        <w:t xml:space="preserve"> </w:t>
      </w:r>
      <w:r>
        <w:t>d’ouvrages,</w:t>
      </w:r>
      <w:r w:rsidRPr="002C4077">
        <w:t xml:space="preserve"> </w:t>
      </w:r>
      <w:r>
        <w:t>plusieurs</w:t>
      </w:r>
      <w:r w:rsidRPr="002C4077">
        <w:t xml:space="preserve"> </w:t>
      </w:r>
      <w:r>
        <w:t>milliers</w:t>
      </w:r>
      <w:r w:rsidRPr="002C4077">
        <w:t xml:space="preserve"> </w:t>
      </w:r>
      <w:r>
        <w:t>de</w:t>
      </w:r>
      <w:r w:rsidRPr="002C4077">
        <w:t xml:space="preserve"> </w:t>
      </w:r>
      <w:r>
        <w:t>volumes,</w:t>
      </w:r>
      <w:r w:rsidRPr="002C4077">
        <w:t xml:space="preserve"> </w:t>
      </w:r>
      <w:r>
        <w:t>voilà</w:t>
      </w:r>
      <w:r w:rsidRPr="002C4077">
        <w:t xml:space="preserve"> </w:t>
      </w:r>
      <w:r>
        <w:t>bien</w:t>
      </w:r>
      <w:r w:rsidRPr="002C4077">
        <w:t xml:space="preserve"> </w:t>
      </w:r>
      <w:r>
        <w:t>la</w:t>
      </w:r>
      <w:r w:rsidRPr="002C4077">
        <w:t xml:space="preserve"> </w:t>
      </w:r>
      <w:r>
        <w:t>stérilité</w:t>
      </w:r>
      <w:r w:rsidR="00B546AF">
        <w:t> !</w:t>
      </w:r>
      <w:r w:rsidRPr="002C4077">
        <w:t xml:space="preserve"> </w:t>
      </w:r>
      <w:r>
        <w:t>Quant</w:t>
      </w:r>
      <w:r w:rsidRPr="002C4077">
        <w:t xml:space="preserve"> </w:t>
      </w:r>
      <w:r>
        <w:t>à</w:t>
      </w:r>
      <w:r w:rsidRPr="002C4077">
        <w:t xml:space="preserve"> </w:t>
      </w:r>
      <w:r>
        <w:t>la</w:t>
      </w:r>
      <w:r w:rsidRPr="002C4077">
        <w:t xml:space="preserve"> </w:t>
      </w:r>
      <w:r>
        <w:t>mort,</w:t>
      </w:r>
      <w:r w:rsidRPr="002C4077">
        <w:t xml:space="preserve"> </w:t>
      </w:r>
      <w:r>
        <w:t>si</w:t>
      </w:r>
      <w:r w:rsidRPr="002C4077">
        <w:t xml:space="preserve"> </w:t>
      </w:r>
      <w:r>
        <w:t>quelqu’un</w:t>
      </w:r>
      <w:r w:rsidRPr="002C4077">
        <w:t xml:space="preserve"> </w:t>
      </w:r>
      <w:r>
        <w:t>la</w:t>
      </w:r>
      <w:r w:rsidRPr="002C4077">
        <w:t xml:space="preserve"> </w:t>
      </w:r>
      <w:r>
        <w:t>porte</w:t>
      </w:r>
      <w:r w:rsidRPr="002C4077">
        <w:t xml:space="preserve"> </w:t>
      </w:r>
      <w:r>
        <w:t>à</w:t>
      </w:r>
      <w:r w:rsidRPr="002C4077">
        <w:t xml:space="preserve"> </w:t>
      </w:r>
      <w:r>
        <w:t>travers</w:t>
      </w:r>
      <w:r w:rsidRPr="002C4077">
        <w:t xml:space="preserve"> </w:t>
      </w:r>
      <w:r>
        <w:t>les</w:t>
      </w:r>
      <w:r w:rsidRPr="002C4077">
        <w:t xml:space="preserve"> </w:t>
      </w:r>
      <w:r>
        <w:t>riches</w:t>
      </w:r>
      <w:r w:rsidRPr="002C4077">
        <w:t xml:space="preserve"> </w:t>
      </w:r>
      <w:r>
        <w:t>et</w:t>
      </w:r>
      <w:r w:rsidRPr="002C4077">
        <w:t xml:space="preserve"> </w:t>
      </w:r>
      <w:r>
        <w:t>fécondes</w:t>
      </w:r>
      <w:r w:rsidRPr="002C4077">
        <w:t xml:space="preserve"> </w:t>
      </w:r>
      <w:r>
        <w:t>plaines</w:t>
      </w:r>
      <w:r w:rsidRPr="002C4077">
        <w:t xml:space="preserve"> </w:t>
      </w:r>
      <w:r>
        <w:t>de</w:t>
      </w:r>
      <w:r w:rsidRPr="002C4077">
        <w:t xml:space="preserve"> </w:t>
      </w:r>
      <w:r>
        <w:t>la</w:t>
      </w:r>
      <w:r w:rsidRPr="002C4077">
        <w:t xml:space="preserve"> </w:t>
      </w:r>
      <w:r>
        <w:t>Bible,</w:t>
      </w:r>
      <w:r w:rsidRPr="002C4077">
        <w:t xml:space="preserve"> </w:t>
      </w:r>
      <w:r w:rsidR="00425C50">
        <w:t>est</w:t>
      </w:r>
      <w:r>
        <w:t>-ce</w:t>
      </w:r>
      <w:r w:rsidRPr="002C4077">
        <w:t xml:space="preserve"> </w:t>
      </w:r>
      <w:r>
        <w:t>le</w:t>
      </w:r>
      <w:r w:rsidRPr="002C4077">
        <w:t xml:space="preserve"> </w:t>
      </w:r>
      <w:r>
        <w:t>catholique,</w:t>
      </w:r>
      <w:r w:rsidRPr="002C4077">
        <w:t xml:space="preserve"> </w:t>
      </w:r>
      <w:r>
        <w:t>essentiellement</w:t>
      </w:r>
      <w:r w:rsidRPr="002C4077">
        <w:t xml:space="preserve"> </w:t>
      </w:r>
      <w:r>
        <w:t>conservateur,</w:t>
      </w:r>
      <w:r w:rsidRPr="002C4077">
        <w:t xml:space="preserve"> </w:t>
      </w:r>
      <w:r>
        <w:t>grâce</w:t>
      </w:r>
      <w:r w:rsidRPr="002C4077">
        <w:t xml:space="preserve"> </w:t>
      </w:r>
      <w:r>
        <w:t>aux</w:t>
      </w:r>
      <w:r w:rsidRPr="002C4077">
        <w:t xml:space="preserve"> </w:t>
      </w:r>
      <w:r>
        <w:t>principes</w:t>
      </w:r>
      <w:r w:rsidRPr="002C4077">
        <w:t xml:space="preserve"> </w:t>
      </w:r>
      <w:r>
        <w:t>sévères</w:t>
      </w:r>
      <w:r w:rsidRPr="002C4077">
        <w:t xml:space="preserve"> </w:t>
      </w:r>
      <w:r>
        <w:t>que</w:t>
      </w:r>
      <w:r w:rsidRPr="002C4077">
        <w:t xml:space="preserve"> </w:t>
      </w:r>
      <w:r>
        <w:t>lui</w:t>
      </w:r>
      <w:r w:rsidRPr="002C4077">
        <w:t xml:space="preserve"> </w:t>
      </w:r>
      <w:r>
        <w:t>impose</w:t>
      </w:r>
      <w:r w:rsidRPr="002C4077">
        <w:t xml:space="preserve"> </w:t>
      </w:r>
      <w:r>
        <w:t>sa</w:t>
      </w:r>
      <w:r w:rsidRPr="002C4077">
        <w:t xml:space="preserve"> </w:t>
      </w:r>
      <w:r>
        <w:t>foi,</w:t>
      </w:r>
      <w:r w:rsidRPr="002C4077">
        <w:t xml:space="preserve"> </w:t>
      </w:r>
      <w:r>
        <w:t>ou</w:t>
      </w:r>
      <w:r w:rsidRPr="002C4077">
        <w:t xml:space="preserve"> </w:t>
      </w:r>
      <w:r>
        <w:t>le</w:t>
      </w:r>
      <w:r w:rsidRPr="002C4077">
        <w:t xml:space="preserve"> </w:t>
      </w:r>
      <w:r>
        <w:t>rationaliste,</w:t>
      </w:r>
      <w:r w:rsidRPr="002C4077">
        <w:t xml:space="preserve"> </w:t>
      </w:r>
      <w:r>
        <w:t>qui</w:t>
      </w:r>
      <w:r w:rsidRPr="002C4077">
        <w:t xml:space="preserve"> </w:t>
      </w:r>
      <w:r>
        <w:t>saccage</w:t>
      </w:r>
      <w:r w:rsidRPr="002C4077">
        <w:t xml:space="preserve"> </w:t>
      </w:r>
      <w:r>
        <w:t>et</w:t>
      </w:r>
      <w:r w:rsidRPr="002C4077">
        <w:t xml:space="preserve"> </w:t>
      </w:r>
      <w:r>
        <w:t>piétine</w:t>
      </w:r>
      <w:r w:rsidRPr="002C4077">
        <w:t xml:space="preserve"> </w:t>
      </w:r>
      <w:r>
        <w:t>à</w:t>
      </w:r>
      <w:r w:rsidRPr="002C4077">
        <w:t xml:space="preserve"> </w:t>
      </w:r>
      <w:r>
        <w:t>son</w:t>
      </w:r>
      <w:r w:rsidRPr="002C4077">
        <w:t xml:space="preserve"> </w:t>
      </w:r>
      <w:r>
        <w:t>gré</w:t>
      </w:r>
      <w:r w:rsidR="00B546AF">
        <w:t> ?</w:t>
      </w:r>
      <w:r w:rsidRPr="002C4077">
        <w:t xml:space="preserve"> </w:t>
      </w:r>
    </w:p>
    <w:p w:rsidR="000A7AAB" w:rsidRDefault="000A7AAB" w:rsidP="000A7AAB">
      <w:r>
        <w:t>Que</w:t>
      </w:r>
      <w:r w:rsidRPr="002C4077">
        <w:t xml:space="preserve"> </w:t>
      </w:r>
      <w:r>
        <w:t>M.</w:t>
      </w:r>
      <w:r w:rsidRPr="002C4077">
        <w:t xml:space="preserve"> </w:t>
      </w:r>
      <w:r>
        <w:t>Jules</w:t>
      </w:r>
      <w:r w:rsidRPr="002C4077">
        <w:t xml:space="preserve"> </w:t>
      </w:r>
      <w:r>
        <w:t>Soury</w:t>
      </w:r>
      <w:r w:rsidRPr="002C4077">
        <w:t xml:space="preserve"> </w:t>
      </w:r>
      <w:r>
        <w:t>continue</w:t>
      </w:r>
      <w:r w:rsidRPr="002C4077">
        <w:t xml:space="preserve"> </w:t>
      </w:r>
      <w:r>
        <w:t>donc</w:t>
      </w:r>
      <w:r w:rsidRPr="002C4077">
        <w:t xml:space="preserve"> </w:t>
      </w:r>
      <w:r>
        <w:t>de</w:t>
      </w:r>
      <w:r w:rsidRPr="002C4077">
        <w:t xml:space="preserve"> </w:t>
      </w:r>
      <w:r>
        <w:t>lire</w:t>
      </w:r>
      <w:r w:rsidRPr="002C4077">
        <w:t xml:space="preserve"> </w:t>
      </w:r>
      <w:r>
        <w:t>Strauss</w:t>
      </w:r>
      <w:r w:rsidRPr="002C4077">
        <w:t xml:space="preserve"> </w:t>
      </w:r>
      <w:r>
        <w:t>et</w:t>
      </w:r>
      <w:r w:rsidRPr="002C4077">
        <w:t xml:space="preserve"> </w:t>
      </w:r>
      <w:r>
        <w:t>M.</w:t>
      </w:r>
      <w:r w:rsidRPr="002C4077">
        <w:t xml:space="preserve"> </w:t>
      </w:r>
      <w:r>
        <w:t>Renan.</w:t>
      </w:r>
      <w:r w:rsidRPr="002C4077">
        <w:t xml:space="preserve"> </w:t>
      </w:r>
      <w:r>
        <w:t>Qu’il</w:t>
      </w:r>
      <w:r w:rsidRPr="002C4077">
        <w:t xml:space="preserve"> </w:t>
      </w:r>
      <w:r>
        <w:t>apprenne</w:t>
      </w:r>
      <w:r w:rsidRPr="002C4077">
        <w:t xml:space="preserve"> </w:t>
      </w:r>
      <w:r>
        <w:t>à</w:t>
      </w:r>
      <w:r w:rsidRPr="002C4077">
        <w:t xml:space="preserve"> </w:t>
      </w:r>
      <w:r>
        <w:t>leur</w:t>
      </w:r>
      <w:r w:rsidRPr="002C4077">
        <w:t xml:space="preserve"> </w:t>
      </w:r>
      <w:r>
        <w:t>école</w:t>
      </w:r>
      <w:r w:rsidRPr="002C4077">
        <w:t xml:space="preserve"> </w:t>
      </w:r>
      <w:r>
        <w:t>l’existence</w:t>
      </w:r>
      <w:r w:rsidRPr="002C4077">
        <w:t xml:space="preserve"> </w:t>
      </w:r>
      <w:r>
        <w:t>de</w:t>
      </w:r>
      <w:r w:rsidRPr="002C4077">
        <w:t xml:space="preserve"> </w:t>
      </w:r>
      <w:r w:rsidR="00B546AF">
        <w:t>« </w:t>
      </w:r>
      <w:r>
        <w:t>merles</w:t>
      </w:r>
      <w:r w:rsidRPr="002C4077">
        <w:t xml:space="preserve"> </w:t>
      </w:r>
      <w:r>
        <w:t>bleus</w:t>
      </w:r>
      <w:r w:rsidR="00B546AF">
        <w:t> »</w:t>
      </w:r>
      <w:r w:rsidRPr="002C4077">
        <w:t xml:space="preserve"> </w:t>
      </w:r>
      <w:r>
        <w:t>sur</w:t>
      </w:r>
      <w:r w:rsidRPr="002C4077">
        <w:t xml:space="preserve"> </w:t>
      </w:r>
      <w:r>
        <w:t>les</w:t>
      </w:r>
      <w:r w:rsidRPr="002C4077">
        <w:t xml:space="preserve"> </w:t>
      </w:r>
      <w:r>
        <w:t>rives</w:t>
      </w:r>
      <w:r w:rsidRPr="002C4077">
        <w:t xml:space="preserve"> </w:t>
      </w:r>
      <w:r>
        <w:t>du</w:t>
      </w:r>
      <w:r w:rsidRPr="002C4077">
        <w:t xml:space="preserve"> </w:t>
      </w:r>
      <w:r>
        <w:t>lac</w:t>
      </w:r>
      <w:r w:rsidRPr="002C4077">
        <w:t xml:space="preserve"> </w:t>
      </w:r>
      <w:r>
        <w:t>de</w:t>
      </w:r>
      <w:r w:rsidRPr="002C4077">
        <w:t xml:space="preserve"> </w:t>
      </w:r>
      <w:r>
        <w:t>Tibériade,</w:t>
      </w:r>
      <w:r w:rsidRPr="002C4077">
        <w:t xml:space="preserve"> </w:t>
      </w:r>
      <w:r>
        <w:t>et</w:t>
      </w:r>
      <w:r w:rsidRPr="002C4077">
        <w:t xml:space="preserve"> </w:t>
      </w:r>
      <w:r>
        <w:t>cent</w:t>
      </w:r>
      <w:r w:rsidRPr="002C4077">
        <w:t xml:space="preserve"> </w:t>
      </w:r>
      <w:r>
        <w:t>autres</w:t>
      </w:r>
      <w:r w:rsidRPr="002C4077">
        <w:t xml:space="preserve"> </w:t>
      </w:r>
      <w:r>
        <w:t>détails</w:t>
      </w:r>
      <w:r w:rsidRPr="002C4077">
        <w:t xml:space="preserve"> </w:t>
      </w:r>
      <w:r>
        <w:t>tout</w:t>
      </w:r>
      <w:r w:rsidRPr="002C4077">
        <w:t xml:space="preserve"> </w:t>
      </w:r>
      <w:r>
        <w:t>aussi</w:t>
      </w:r>
      <w:r w:rsidRPr="002C4077">
        <w:t xml:space="preserve"> </w:t>
      </w:r>
      <w:r>
        <w:t>instructifs</w:t>
      </w:r>
      <w:r w:rsidR="00B546AF">
        <w:t> !</w:t>
      </w:r>
      <w:r w:rsidRPr="002C4077">
        <w:t xml:space="preserve"> </w:t>
      </w:r>
      <w:r>
        <w:t>Pour</w:t>
      </w:r>
      <w:r w:rsidRPr="002C4077">
        <w:t xml:space="preserve"> </w:t>
      </w:r>
      <w:r>
        <w:t>nous,</w:t>
      </w:r>
      <w:r w:rsidRPr="002C4077">
        <w:t xml:space="preserve"> </w:t>
      </w:r>
      <w:r>
        <w:t>qui</w:t>
      </w:r>
      <w:r w:rsidRPr="002C4077">
        <w:t xml:space="preserve"> </w:t>
      </w:r>
      <w:r>
        <w:t>préférons</w:t>
      </w:r>
      <w:r w:rsidRPr="002C4077">
        <w:t xml:space="preserve"> </w:t>
      </w:r>
      <w:r w:rsidR="00B546AF">
        <w:t>« </w:t>
      </w:r>
      <w:r>
        <w:t>le</w:t>
      </w:r>
      <w:r w:rsidRPr="002C4077">
        <w:t xml:space="preserve"> </w:t>
      </w:r>
      <w:r>
        <w:t>grain</w:t>
      </w:r>
      <w:r w:rsidRPr="002C4077">
        <w:t xml:space="preserve"> </w:t>
      </w:r>
      <w:r>
        <w:t>à</w:t>
      </w:r>
      <w:r w:rsidRPr="002C4077">
        <w:t xml:space="preserve"> </w:t>
      </w:r>
      <w:r>
        <w:t>l’écorce</w:t>
      </w:r>
      <w:r w:rsidR="00B546AF">
        <w:t> »</w:t>
      </w:r>
      <w:r>
        <w:t>,</w:t>
      </w:r>
      <w:r w:rsidRPr="002C4077">
        <w:t xml:space="preserve"> </w:t>
      </w:r>
      <w:r>
        <w:t>suivant</w:t>
      </w:r>
      <w:r w:rsidRPr="002C4077">
        <w:t xml:space="preserve"> </w:t>
      </w:r>
      <w:r>
        <w:t>la</w:t>
      </w:r>
      <w:r w:rsidRPr="002C4077">
        <w:t xml:space="preserve"> </w:t>
      </w:r>
      <w:r>
        <w:t>fine</w:t>
      </w:r>
      <w:r w:rsidRPr="002C4077">
        <w:t xml:space="preserve"> </w:t>
      </w:r>
      <w:r>
        <w:t>expression</w:t>
      </w:r>
      <w:r w:rsidRPr="002C4077">
        <w:t xml:space="preserve"> </w:t>
      </w:r>
      <w:r>
        <w:t>d’un</w:t>
      </w:r>
      <w:r w:rsidRPr="002C4077">
        <w:t xml:space="preserve"> </w:t>
      </w:r>
      <w:r>
        <w:t>ancien</w:t>
      </w:r>
      <w:r w:rsidRPr="002C4077">
        <w:t xml:space="preserve"> </w:t>
      </w:r>
      <w:r>
        <w:t>exégète</w:t>
      </w:r>
      <w:r w:rsidRPr="002C4077">
        <w:t xml:space="preserve"> </w:t>
      </w:r>
      <w:r>
        <w:t>catholique</w:t>
      </w:r>
      <w:r w:rsidRPr="002C4077">
        <w:t xml:space="preserve"> </w:t>
      </w:r>
      <w:r>
        <w:t>sans</w:t>
      </w:r>
      <w:r w:rsidRPr="002C4077">
        <w:t xml:space="preserve"> </w:t>
      </w:r>
      <w:r>
        <w:t>négliger</w:t>
      </w:r>
      <w:r w:rsidRPr="002C4077">
        <w:t xml:space="preserve"> </w:t>
      </w:r>
      <w:r>
        <w:t>de</w:t>
      </w:r>
      <w:r w:rsidRPr="002C4077">
        <w:t xml:space="preserve"> </w:t>
      </w:r>
      <w:r>
        <w:t>faire</w:t>
      </w:r>
      <w:r w:rsidRPr="002C4077">
        <w:t xml:space="preserve"> </w:t>
      </w:r>
      <w:r>
        <w:t>de</w:t>
      </w:r>
      <w:r w:rsidRPr="002C4077">
        <w:t xml:space="preserve"> </w:t>
      </w:r>
      <w:r>
        <w:t>la</w:t>
      </w:r>
      <w:r w:rsidRPr="002C4077">
        <w:t xml:space="preserve"> </w:t>
      </w:r>
      <w:r>
        <w:t>critique</w:t>
      </w:r>
      <w:r w:rsidRPr="002C4077">
        <w:t xml:space="preserve"> </w:t>
      </w:r>
      <w:r>
        <w:t>et</w:t>
      </w:r>
      <w:r w:rsidRPr="002C4077">
        <w:t xml:space="preserve"> </w:t>
      </w:r>
      <w:r>
        <w:t>de</w:t>
      </w:r>
      <w:r w:rsidRPr="002C4077">
        <w:t xml:space="preserve"> </w:t>
      </w:r>
      <w:r>
        <w:t>la</w:t>
      </w:r>
      <w:r w:rsidRPr="002C4077">
        <w:t xml:space="preserve"> </w:t>
      </w:r>
      <w:r>
        <w:t>science</w:t>
      </w:r>
      <w:r w:rsidRPr="002C4077">
        <w:t xml:space="preserve"> </w:t>
      </w:r>
      <w:r>
        <w:t>à</w:t>
      </w:r>
      <w:r w:rsidRPr="002C4077">
        <w:t xml:space="preserve"> </w:t>
      </w:r>
      <w:r>
        <w:t>propos</w:t>
      </w:r>
      <w:r w:rsidRPr="002C4077">
        <w:t xml:space="preserve"> </w:t>
      </w:r>
      <w:r>
        <w:t>de</w:t>
      </w:r>
      <w:r w:rsidRPr="002C4077">
        <w:t xml:space="preserve"> </w:t>
      </w:r>
      <w:r>
        <w:t>la</w:t>
      </w:r>
      <w:r w:rsidRPr="002C4077">
        <w:t xml:space="preserve"> </w:t>
      </w:r>
      <w:r>
        <w:t>Bible,</w:t>
      </w:r>
      <w:r w:rsidRPr="002C4077">
        <w:t xml:space="preserve"> </w:t>
      </w:r>
      <w:r>
        <w:t>nous</w:t>
      </w:r>
      <w:r w:rsidRPr="002C4077">
        <w:t xml:space="preserve"> </w:t>
      </w:r>
      <w:r>
        <w:t>puiserons</w:t>
      </w:r>
      <w:r w:rsidRPr="002C4077">
        <w:t xml:space="preserve"> </w:t>
      </w:r>
      <w:r>
        <w:t>avant</w:t>
      </w:r>
      <w:r w:rsidRPr="002C4077">
        <w:t xml:space="preserve"> </w:t>
      </w:r>
      <w:r>
        <w:t>tout</w:t>
      </w:r>
      <w:r w:rsidRPr="002C4077">
        <w:t xml:space="preserve"> </w:t>
      </w:r>
      <w:r>
        <w:t>dans</w:t>
      </w:r>
      <w:r w:rsidRPr="002C4077">
        <w:t xml:space="preserve"> </w:t>
      </w:r>
      <w:r>
        <w:t>les</w:t>
      </w:r>
      <w:r w:rsidRPr="002C4077">
        <w:t xml:space="preserve"> </w:t>
      </w:r>
      <w:r>
        <w:t>Pères</w:t>
      </w:r>
      <w:r w:rsidRPr="002C4077">
        <w:t xml:space="preserve"> </w:t>
      </w:r>
      <w:r>
        <w:t>le</w:t>
      </w:r>
      <w:r w:rsidRPr="002C4077">
        <w:t xml:space="preserve"> </w:t>
      </w:r>
      <w:r>
        <w:t>sens</w:t>
      </w:r>
      <w:r w:rsidRPr="002C4077">
        <w:t xml:space="preserve"> </w:t>
      </w:r>
      <w:r>
        <w:t>de</w:t>
      </w:r>
      <w:r w:rsidRPr="002C4077">
        <w:t xml:space="preserve"> </w:t>
      </w:r>
      <w:r>
        <w:t>la</w:t>
      </w:r>
      <w:r w:rsidRPr="002C4077">
        <w:t xml:space="preserve"> </w:t>
      </w:r>
      <w:r>
        <w:t>parole</w:t>
      </w:r>
      <w:r w:rsidRPr="002C4077">
        <w:t xml:space="preserve"> </w:t>
      </w:r>
      <w:r>
        <w:t>divine,</w:t>
      </w:r>
      <w:r w:rsidRPr="002C4077">
        <w:t xml:space="preserve"> </w:t>
      </w:r>
      <w:r>
        <w:t>car</w:t>
      </w:r>
      <w:r w:rsidRPr="002C4077">
        <w:t xml:space="preserve"> </w:t>
      </w:r>
      <w:r>
        <w:t>ils</w:t>
      </w:r>
      <w:r w:rsidRPr="002C4077">
        <w:t xml:space="preserve"> </w:t>
      </w:r>
      <w:r>
        <w:t>le</w:t>
      </w:r>
      <w:r w:rsidRPr="002C4077">
        <w:t xml:space="preserve"> </w:t>
      </w:r>
      <w:r>
        <w:t>possédaient</w:t>
      </w:r>
      <w:r w:rsidRPr="002C4077">
        <w:t xml:space="preserve"> </w:t>
      </w:r>
      <w:r>
        <w:t>mille</w:t>
      </w:r>
      <w:r w:rsidRPr="002C4077">
        <w:t xml:space="preserve"> </w:t>
      </w:r>
      <w:r>
        <w:t>fois</w:t>
      </w:r>
      <w:r w:rsidRPr="002C4077">
        <w:t xml:space="preserve"> </w:t>
      </w:r>
      <w:r>
        <w:t>mieux</w:t>
      </w:r>
      <w:r w:rsidRPr="002C4077">
        <w:t xml:space="preserve"> </w:t>
      </w:r>
      <w:r>
        <w:t>que</w:t>
      </w:r>
      <w:r w:rsidRPr="002C4077">
        <w:t xml:space="preserve"> </w:t>
      </w:r>
      <w:r>
        <w:t>nos</w:t>
      </w:r>
      <w:r w:rsidRPr="002C4077">
        <w:t xml:space="preserve"> </w:t>
      </w:r>
      <w:r>
        <w:t>rationalistes</w:t>
      </w:r>
      <w:r w:rsidRPr="002C4077">
        <w:t xml:space="preserve"> </w:t>
      </w:r>
      <w:r>
        <w:t>modernes.</w:t>
      </w:r>
      <w:r w:rsidRPr="002C4077">
        <w:t xml:space="preserve"> </w:t>
      </w:r>
    </w:p>
    <w:p w:rsidR="000A7AAB" w:rsidRPr="00B53529" w:rsidRDefault="000A7AAB" w:rsidP="000A7AAB">
      <w:r>
        <w:t>Puis,</w:t>
      </w:r>
      <w:r w:rsidRPr="002C4077">
        <w:t xml:space="preserve"> </w:t>
      </w:r>
      <w:r>
        <w:t>quand</w:t>
      </w:r>
      <w:r w:rsidRPr="002C4077">
        <w:t xml:space="preserve"> </w:t>
      </w:r>
      <w:r>
        <w:t>nous</w:t>
      </w:r>
      <w:r w:rsidRPr="002C4077">
        <w:t xml:space="preserve"> </w:t>
      </w:r>
      <w:r>
        <w:t>remplirons</w:t>
      </w:r>
      <w:r w:rsidRPr="002C4077">
        <w:t xml:space="preserve"> </w:t>
      </w:r>
      <w:r>
        <w:t>le</w:t>
      </w:r>
      <w:r w:rsidRPr="002C4077">
        <w:t xml:space="preserve"> </w:t>
      </w:r>
      <w:r>
        <w:t>rôle</w:t>
      </w:r>
      <w:r w:rsidRPr="002C4077">
        <w:t xml:space="preserve"> </w:t>
      </w:r>
      <w:r>
        <w:t>de</w:t>
      </w:r>
      <w:r w:rsidRPr="002C4077">
        <w:t xml:space="preserve"> </w:t>
      </w:r>
      <w:r>
        <w:t>critiques,</w:t>
      </w:r>
      <w:r w:rsidRPr="002C4077">
        <w:t xml:space="preserve"> </w:t>
      </w:r>
      <w:r>
        <w:t>nous</w:t>
      </w:r>
      <w:r w:rsidRPr="002C4077">
        <w:t xml:space="preserve"> </w:t>
      </w:r>
      <w:r>
        <w:t>nous</w:t>
      </w:r>
      <w:r w:rsidRPr="002C4077">
        <w:t xml:space="preserve"> </w:t>
      </w:r>
      <w:r>
        <w:t>souviendrons</w:t>
      </w:r>
      <w:r w:rsidRPr="002C4077">
        <w:t xml:space="preserve"> </w:t>
      </w:r>
      <w:r>
        <w:t>de</w:t>
      </w:r>
      <w:r w:rsidRPr="002C4077">
        <w:t xml:space="preserve"> </w:t>
      </w:r>
      <w:r>
        <w:t>l’excellent</w:t>
      </w:r>
      <w:r w:rsidRPr="002C4077">
        <w:t xml:space="preserve"> </w:t>
      </w:r>
      <w:r>
        <w:t>principe</w:t>
      </w:r>
      <w:r w:rsidRPr="002C4077">
        <w:t xml:space="preserve"> </w:t>
      </w:r>
      <w:r>
        <w:t>établi</w:t>
      </w:r>
      <w:r w:rsidRPr="002C4077">
        <w:t xml:space="preserve"> </w:t>
      </w:r>
      <w:r>
        <w:t>par</w:t>
      </w:r>
      <w:r w:rsidRPr="002C4077">
        <w:t xml:space="preserve"> </w:t>
      </w:r>
      <w:r>
        <w:t>Richard</w:t>
      </w:r>
      <w:r w:rsidRPr="002C4077">
        <w:t xml:space="preserve"> </w:t>
      </w:r>
      <w:r>
        <w:t>Simon</w:t>
      </w:r>
      <w:r w:rsidR="00B546AF">
        <w:t> :</w:t>
      </w:r>
      <w:r w:rsidRPr="002C4077">
        <w:t xml:space="preserve"> </w:t>
      </w:r>
      <w:r w:rsidR="00B546AF">
        <w:t>« </w:t>
      </w:r>
      <w:r>
        <w:t>Le</w:t>
      </w:r>
      <w:r w:rsidRPr="002C4077">
        <w:t xml:space="preserve"> </w:t>
      </w:r>
      <w:r>
        <w:t>dessein</w:t>
      </w:r>
      <w:r w:rsidRPr="002C4077">
        <w:t xml:space="preserve"> </w:t>
      </w:r>
      <w:r>
        <w:t>de</w:t>
      </w:r>
      <w:r w:rsidRPr="002C4077">
        <w:t xml:space="preserve"> </w:t>
      </w:r>
      <w:r>
        <w:t>ceux</w:t>
      </w:r>
      <w:r w:rsidRPr="002C4077">
        <w:t xml:space="preserve"> </w:t>
      </w:r>
      <w:r>
        <w:t>qui</w:t>
      </w:r>
      <w:r w:rsidRPr="002C4077">
        <w:t xml:space="preserve"> </w:t>
      </w:r>
      <w:r>
        <w:t>exercent</w:t>
      </w:r>
      <w:r w:rsidRPr="002C4077">
        <w:t xml:space="preserve"> </w:t>
      </w:r>
      <w:r>
        <w:t>cet</w:t>
      </w:r>
      <w:r w:rsidRPr="002C4077">
        <w:t xml:space="preserve"> </w:t>
      </w:r>
      <w:r>
        <w:t>art</w:t>
      </w:r>
      <w:r w:rsidRPr="002C4077">
        <w:t xml:space="preserve"> </w:t>
      </w:r>
      <w:r>
        <w:t>n’est</w:t>
      </w:r>
      <w:r w:rsidRPr="002C4077">
        <w:t xml:space="preserve"> </w:t>
      </w:r>
      <w:r>
        <w:t>pas</w:t>
      </w:r>
      <w:r w:rsidRPr="002C4077">
        <w:t xml:space="preserve"> </w:t>
      </w:r>
      <w:r>
        <w:t>de</w:t>
      </w:r>
      <w:r w:rsidRPr="002C4077">
        <w:t xml:space="preserve"> </w:t>
      </w:r>
      <w:r>
        <w:t>détruire,</w:t>
      </w:r>
      <w:r w:rsidRPr="002C4077">
        <w:t xml:space="preserve"> </w:t>
      </w:r>
      <w:r>
        <w:t>mais</w:t>
      </w:r>
      <w:bookmarkStart w:id="461" w:name="z_Critique_o4"/>
      <w:bookmarkStart w:id="462" w:name="z_Eglise_o2"/>
      <w:bookmarkEnd w:id="461"/>
      <w:bookmarkEnd w:id="462"/>
      <w:r w:rsidRPr="002C4077">
        <w:t xml:space="preserve"> </w:t>
      </w:r>
      <w:r>
        <w:t>d’établir</w:t>
      </w:r>
      <w:r w:rsidR="00B91AF7">
        <w:rPr>
          <w:rStyle w:val="Appelnotedebasdep"/>
        </w:rPr>
        <w:footnoteReference w:id="603"/>
      </w:r>
      <w:r w:rsidR="00B546AF">
        <w:t> »</w:t>
      </w:r>
      <w:r>
        <w:t>.</w:t>
      </w:r>
      <w:r w:rsidR="00C45B47">
        <w:t xml:space="preserve"> {</w:t>
      </w:r>
      <w:r w:rsidR="00B53529">
        <w:t>177</w:t>
      </w:r>
      <w:bookmarkStart w:id="463" w:name="p177"/>
      <w:bookmarkEnd w:id="463"/>
      <w:r w:rsidR="00B53529">
        <w:t xml:space="preserve">} </w:t>
      </w:r>
    </w:p>
    <w:p w:rsidR="000A7AAB" w:rsidRDefault="004C01B9" w:rsidP="00BE7D31">
      <w:pPr>
        <w:pStyle w:val="Titre1"/>
      </w:pPr>
      <w:bookmarkStart w:id="464" w:name="_Toc43882014"/>
      <w:r>
        <w:t>VI.</w:t>
      </w:r>
      <w:r>
        <w:br/>
      </w:r>
      <w:r w:rsidR="000A7AAB">
        <w:t>LÀ</w:t>
      </w:r>
      <w:r w:rsidR="000A7AAB" w:rsidRPr="002C4077">
        <w:t xml:space="preserve"> </w:t>
      </w:r>
      <w:r w:rsidR="000A7AAB">
        <w:t>RÉVISION</w:t>
      </w:r>
      <w:r w:rsidR="000A7AAB" w:rsidRPr="002C4077">
        <w:t xml:space="preserve"> </w:t>
      </w:r>
      <w:r w:rsidR="000A7AAB">
        <w:t>DU</w:t>
      </w:r>
      <w:r w:rsidR="000A7AAB" w:rsidRPr="002C4077">
        <w:t xml:space="preserve"> </w:t>
      </w:r>
      <w:r w:rsidR="000A7AAB">
        <w:t>NOUVEAU</w:t>
      </w:r>
      <w:r w:rsidR="000A7AAB" w:rsidRPr="002C4077">
        <w:t xml:space="preserve"> </w:t>
      </w:r>
      <w:r w:rsidR="000A7AAB">
        <w:t>TESTAMENT</w:t>
      </w:r>
      <w:r w:rsidR="000A7AAB" w:rsidRPr="002C4077">
        <w:t xml:space="preserve"> </w:t>
      </w:r>
      <w:r w:rsidR="000A7AAB">
        <w:t>DE</w:t>
      </w:r>
      <w:r w:rsidR="000A7AAB" w:rsidRPr="002C4077">
        <w:t xml:space="preserve"> </w:t>
      </w:r>
      <w:r w:rsidR="000A7AAB">
        <w:t>L’ÉGLISE</w:t>
      </w:r>
      <w:r w:rsidR="000A7AAB" w:rsidRPr="002C4077">
        <w:t xml:space="preserve"> </w:t>
      </w:r>
      <w:r w:rsidR="000A7AAB">
        <w:t>ANGLICANE.</w:t>
      </w:r>
      <w:bookmarkStart w:id="465" w:name="a06"/>
      <w:bookmarkEnd w:id="464"/>
      <w:bookmarkEnd w:id="465"/>
      <w:r w:rsidR="000A7AAB" w:rsidRPr="002C4077">
        <w:t xml:space="preserve"> </w:t>
      </w:r>
    </w:p>
    <w:p w:rsidR="000A7AAB" w:rsidRDefault="000A7AAB" w:rsidP="000A7AAB">
      <w:r>
        <w:t>Le</w:t>
      </w:r>
      <w:bookmarkStart w:id="466" w:name="z_Revision_o1"/>
      <w:bookmarkEnd w:id="466"/>
      <w:r w:rsidRPr="002C4077">
        <w:t xml:space="preserve"> </w:t>
      </w:r>
      <w:r>
        <w:t>17</w:t>
      </w:r>
      <w:bookmarkStart w:id="467" w:name="z_TestamentNouveau_o2"/>
      <w:bookmarkEnd w:id="467"/>
      <w:r w:rsidRPr="002C4077">
        <w:t xml:space="preserve"> </w:t>
      </w:r>
      <w:r>
        <w:t>mai</w:t>
      </w:r>
      <w:r w:rsidRPr="002C4077">
        <w:t xml:space="preserve"> </w:t>
      </w:r>
      <w:r>
        <w:t>1881</w:t>
      </w:r>
      <w:r w:rsidRPr="002C4077">
        <w:t xml:space="preserve"> </w:t>
      </w:r>
      <w:r w:rsidR="00B546AF">
        <w:t>« </w:t>
      </w:r>
      <w:r>
        <w:t>sera</w:t>
      </w:r>
      <w:r w:rsidRPr="002C4077">
        <w:t xml:space="preserve"> </w:t>
      </w:r>
      <w:r>
        <w:t>un</w:t>
      </w:r>
      <w:r w:rsidRPr="002C4077">
        <w:t xml:space="preserve"> </w:t>
      </w:r>
      <w:r>
        <w:t>jour</w:t>
      </w:r>
      <w:r w:rsidRPr="002C4077">
        <w:t xml:space="preserve"> </w:t>
      </w:r>
      <w:r>
        <w:t>longtemps</w:t>
      </w:r>
      <w:r w:rsidRPr="002C4077">
        <w:t xml:space="preserve"> </w:t>
      </w:r>
      <w:r>
        <w:t>mémorable</w:t>
      </w:r>
      <w:r w:rsidRPr="002C4077">
        <w:t xml:space="preserve"> </w:t>
      </w:r>
      <w:r>
        <w:t>dans</w:t>
      </w:r>
      <w:r w:rsidRPr="002C4077">
        <w:t xml:space="preserve"> </w:t>
      </w:r>
      <w:r>
        <w:t>les</w:t>
      </w:r>
      <w:r w:rsidRPr="002C4077">
        <w:t xml:space="preserve"> </w:t>
      </w:r>
      <w:r>
        <w:t>fastes</w:t>
      </w:r>
      <w:r w:rsidRPr="002C4077">
        <w:t xml:space="preserve"> </w:t>
      </w:r>
      <w:r>
        <w:t>de</w:t>
      </w:r>
      <w:r w:rsidRPr="002C4077">
        <w:t xml:space="preserve"> </w:t>
      </w:r>
      <w:r>
        <w:t>la</w:t>
      </w:r>
      <w:r w:rsidRPr="002C4077">
        <w:t xml:space="preserve"> </w:t>
      </w:r>
      <w:r>
        <w:t>littérature</w:t>
      </w:r>
      <w:r w:rsidRPr="002C4077">
        <w:t xml:space="preserve"> </w:t>
      </w:r>
      <w:r>
        <w:t>anglaise</w:t>
      </w:r>
      <w:r w:rsidR="00B546AF">
        <w:t> »</w:t>
      </w:r>
      <w:r>
        <w:t>,</w:t>
      </w:r>
      <w:r w:rsidRPr="002C4077">
        <w:t xml:space="preserve"> </w:t>
      </w:r>
      <w:r>
        <w:t>écrivait,</w:t>
      </w:r>
      <w:r w:rsidRPr="002C4077">
        <w:t xml:space="preserve"> </w:t>
      </w:r>
      <w:r>
        <w:t>peu</w:t>
      </w:r>
      <w:r w:rsidRPr="002C4077">
        <w:t xml:space="preserve"> </w:t>
      </w:r>
      <w:r>
        <w:t>de</w:t>
      </w:r>
      <w:r w:rsidRPr="002C4077">
        <w:t xml:space="preserve"> </w:t>
      </w:r>
      <w:r>
        <w:t>temps</w:t>
      </w:r>
      <w:r w:rsidRPr="002C4077">
        <w:t xml:space="preserve"> </w:t>
      </w:r>
      <w:r>
        <w:t>après</w:t>
      </w:r>
      <w:r w:rsidRPr="002C4077">
        <w:t xml:space="preserve"> </w:t>
      </w:r>
      <w:r>
        <w:t>cette</w:t>
      </w:r>
      <w:r w:rsidRPr="002C4077">
        <w:t xml:space="preserve"> </w:t>
      </w:r>
      <w:r>
        <w:t>date,</w:t>
      </w:r>
      <w:r w:rsidRPr="002C4077">
        <w:t xml:space="preserve"> </w:t>
      </w:r>
      <w:r>
        <w:t>l’une</w:t>
      </w:r>
      <w:r w:rsidRPr="002C4077">
        <w:t xml:space="preserve"> </w:t>
      </w:r>
      <w:r>
        <w:t>des</w:t>
      </w:r>
      <w:r w:rsidRPr="002C4077">
        <w:t xml:space="preserve"> </w:t>
      </w:r>
      <w:r>
        <w:t>feuilles</w:t>
      </w:r>
      <w:r w:rsidRPr="002C4077">
        <w:t xml:space="preserve"> </w:t>
      </w:r>
      <w:r>
        <w:t>périodiques</w:t>
      </w:r>
      <w:r w:rsidRPr="002C4077">
        <w:t xml:space="preserve"> </w:t>
      </w:r>
      <w:r>
        <w:t>les</w:t>
      </w:r>
      <w:r w:rsidRPr="002C4077">
        <w:t xml:space="preserve"> </w:t>
      </w:r>
      <w:r>
        <w:t>plus</w:t>
      </w:r>
      <w:r w:rsidRPr="002C4077">
        <w:t xml:space="preserve"> </w:t>
      </w:r>
      <w:r>
        <w:t>goûtées</w:t>
      </w:r>
      <w:r w:rsidRPr="002C4077">
        <w:t xml:space="preserve"> </w:t>
      </w:r>
      <w:r>
        <w:t>de</w:t>
      </w:r>
      <w:r w:rsidRPr="002C4077">
        <w:t xml:space="preserve"> </w:t>
      </w:r>
      <w:r>
        <w:t>l’autre</w:t>
      </w:r>
      <w:r w:rsidRPr="002C4077">
        <w:t xml:space="preserve"> </w:t>
      </w:r>
      <w:r>
        <w:t>côté</w:t>
      </w:r>
      <w:r w:rsidRPr="002C4077">
        <w:t xml:space="preserve"> </w:t>
      </w:r>
      <w:r>
        <w:t>de</w:t>
      </w:r>
      <w:r w:rsidRPr="002C4077">
        <w:t xml:space="preserve"> </w:t>
      </w:r>
      <w:r>
        <w:t>la</w:t>
      </w:r>
      <w:r w:rsidRPr="002C4077">
        <w:t xml:space="preserve"> </w:t>
      </w:r>
      <w:r>
        <w:t>Manche</w:t>
      </w:r>
      <w:r w:rsidR="00D22163">
        <w:rPr>
          <w:rStyle w:val="Appelnotedebasdep"/>
        </w:rPr>
        <w:footnoteReference w:id="604"/>
      </w:r>
      <w:r w:rsidR="00D22163">
        <w:t>.</w:t>
      </w:r>
      <w:r w:rsidRPr="002C4077">
        <w:t xml:space="preserve"> </w:t>
      </w:r>
    </w:p>
    <w:p w:rsidR="000A7AAB" w:rsidRDefault="000A7AAB" w:rsidP="000A7AAB">
      <w:r>
        <w:t>Quel</w:t>
      </w:r>
      <w:r w:rsidRPr="002C4077">
        <w:t xml:space="preserve"> </w:t>
      </w:r>
      <w:r>
        <w:t>grand</w:t>
      </w:r>
      <w:r w:rsidRPr="002C4077">
        <w:t xml:space="preserve"> </w:t>
      </w:r>
      <w:r>
        <w:t>événement</w:t>
      </w:r>
      <w:r w:rsidRPr="002C4077">
        <w:t xml:space="preserve"> </w:t>
      </w:r>
      <w:r>
        <w:t>littéraire</w:t>
      </w:r>
      <w:r w:rsidRPr="002C4077">
        <w:t xml:space="preserve"> </w:t>
      </w:r>
      <w:r>
        <w:t>s’est</w:t>
      </w:r>
      <w:r w:rsidRPr="002C4077">
        <w:t xml:space="preserve"> </w:t>
      </w:r>
      <w:r>
        <w:t>donc</w:t>
      </w:r>
      <w:r w:rsidRPr="002C4077">
        <w:t xml:space="preserve"> </w:t>
      </w:r>
      <w:r>
        <w:t>accompli</w:t>
      </w:r>
      <w:r w:rsidRPr="002C4077">
        <w:t xml:space="preserve"> </w:t>
      </w:r>
      <w:r>
        <w:t>en</w:t>
      </w:r>
      <w:r w:rsidRPr="002C4077">
        <w:t xml:space="preserve"> </w:t>
      </w:r>
      <w:r>
        <w:t>Angleterre</w:t>
      </w:r>
      <w:r w:rsidRPr="002C4077">
        <w:t xml:space="preserve"> </w:t>
      </w:r>
      <w:r>
        <w:t>le</w:t>
      </w:r>
      <w:r w:rsidRPr="002C4077">
        <w:t xml:space="preserve"> </w:t>
      </w:r>
      <w:r>
        <w:t>17</w:t>
      </w:r>
      <w:r w:rsidRPr="002C4077">
        <w:t xml:space="preserve"> </w:t>
      </w:r>
      <w:r>
        <w:t>mai</w:t>
      </w:r>
      <w:r w:rsidRPr="002C4077">
        <w:t xml:space="preserve"> </w:t>
      </w:r>
      <w:r>
        <w:t>1881</w:t>
      </w:r>
      <w:r w:rsidR="00B546AF">
        <w:t> ?</w:t>
      </w:r>
      <w:r w:rsidRPr="002C4077">
        <w:t xml:space="preserve"> </w:t>
      </w:r>
    </w:p>
    <w:p w:rsidR="000A7AAB" w:rsidRPr="00B53529" w:rsidRDefault="000A7AAB" w:rsidP="000A7AAB">
      <w:r>
        <w:t>Était-ce</w:t>
      </w:r>
      <w:r w:rsidRPr="002C4077">
        <w:t xml:space="preserve"> </w:t>
      </w:r>
      <w:r>
        <w:t>le</w:t>
      </w:r>
      <w:r w:rsidRPr="002C4077">
        <w:t xml:space="preserve"> </w:t>
      </w:r>
      <w:r>
        <w:t>centenaire</w:t>
      </w:r>
      <w:r w:rsidRPr="002C4077">
        <w:t xml:space="preserve"> </w:t>
      </w:r>
      <w:r>
        <w:t>de</w:t>
      </w:r>
      <w:r w:rsidRPr="002C4077">
        <w:t xml:space="preserve"> </w:t>
      </w:r>
      <w:r>
        <w:t>quelqu’un</w:t>
      </w:r>
      <w:r w:rsidRPr="002C4077">
        <w:t xml:space="preserve"> </w:t>
      </w:r>
      <w:r>
        <w:t>des</w:t>
      </w:r>
      <w:r w:rsidRPr="002C4077">
        <w:t xml:space="preserve"> </w:t>
      </w:r>
      <w:r>
        <w:t>illustres</w:t>
      </w:r>
      <w:r w:rsidRPr="002C4077">
        <w:t xml:space="preserve"> </w:t>
      </w:r>
      <w:r>
        <w:t>écrivains</w:t>
      </w:r>
      <w:r w:rsidRPr="002C4077">
        <w:t xml:space="preserve"> </w:t>
      </w:r>
      <w:r>
        <w:t>dont</w:t>
      </w:r>
      <w:r w:rsidRPr="002C4077">
        <w:t xml:space="preserve"> </w:t>
      </w:r>
      <w:r>
        <w:t>ce</w:t>
      </w:r>
      <w:r w:rsidRPr="002C4077">
        <w:t xml:space="preserve"> </w:t>
      </w:r>
      <w:r>
        <w:t>pays</w:t>
      </w:r>
      <w:r w:rsidRPr="002C4077">
        <w:t xml:space="preserve"> </w:t>
      </w:r>
      <w:r w:rsidR="00425C50">
        <w:t>est</w:t>
      </w:r>
      <w:r w:rsidRPr="002C4077">
        <w:t xml:space="preserve"> </w:t>
      </w:r>
      <w:r>
        <w:t>justement</w:t>
      </w:r>
      <w:r w:rsidRPr="002C4077">
        <w:t xml:space="preserve"> </w:t>
      </w:r>
      <w:r>
        <w:t>fier</w:t>
      </w:r>
      <w:r w:rsidR="00B546AF">
        <w:t> ?</w:t>
      </w:r>
      <w:r w:rsidRPr="002C4077">
        <w:t xml:space="preserve"> </w:t>
      </w:r>
      <w:r>
        <w:t>Découvrait-on,</w:t>
      </w:r>
      <w:r w:rsidRPr="002C4077">
        <w:t xml:space="preserve"> </w:t>
      </w:r>
      <w:r>
        <w:t>sur</w:t>
      </w:r>
      <w:r w:rsidRPr="002C4077">
        <w:t xml:space="preserve"> </w:t>
      </w:r>
      <w:r>
        <w:t>les</w:t>
      </w:r>
      <w:r w:rsidRPr="002C4077">
        <w:t xml:space="preserve"> </w:t>
      </w:r>
      <w:r>
        <w:t>rayons</w:t>
      </w:r>
      <w:r w:rsidRPr="002C4077">
        <w:t xml:space="preserve"> </w:t>
      </w:r>
      <w:r>
        <w:t>poudreux</w:t>
      </w:r>
      <w:r w:rsidRPr="002C4077">
        <w:t xml:space="preserve"> </w:t>
      </w:r>
      <w:r>
        <w:t>d’une</w:t>
      </w:r>
      <w:r w:rsidRPr="002C4077">
        <w:t xml:space="preserve"> </w:t>
      </w:r>
      <w:r>
        <w:t>bibliothèque,</w:t>
      </w:r>
      <w:r w:rsidRPr="002C4077">
        <w:t xml:space="preserve"> </w:t>
      </w:r>
      <w:r>
        <w:t>quelque</w:t>
      </w:r>
      <w:r w:rsidRPr="002C4077">
        <w:t xml:space="preserve"> </w:t>
      </w:r>
      <w:r>
        <w:t>manuscrit</w:t>
      </w:r>
      <w:r w:rsidRPr="002C4077">
        <w:t xml:space="preserve"> </w:t>
      </w:r>
      <w:r>
        <w:t>antique</w:t>
      </w:r>
      <w:r w:rsidR="00B546AF">
        <w:t> ?</w:t>
      </w:r>
      <w:r w:rsidRPr="002C4077">
        <w:t xml:space="preserve"> </w:t>
      </w:r>
      <w:r>
        <w:t>Un</w:t>
      </w:r>
      <w:r w:rsidRPr="002C4077">
        <w:t xml:space="preserve"> </w:t>
      </w:r>
      <w:r>
        <w:t>nouveau</w:t>
      </w:r>
      <w:r w:rsidRPr="002C4077">
        <w:t xml:space="preserve"> </w:t>
      </w:r>
      <w:r>
        <w:t>chef-d’œuvre,</w:t>
      </w:r>
      <w:r w:rsidRPr="002C4077">
        <w:t xml:space="preserve"> </w:t>
      </w:r>
      <w:r>
        <w:t>impatiemment</w:t>
      </w:r>
      <w:r w:rsidRPr="002C4077">
        <w:t xml:space="preserve"> </w:t>
      </w:r>
      <w:r>
        <w:t>attendu,</w:t>
      </w:r>
      <w:r w:rsidRPr="002C4077">
        <w:t xml:space="preserve"> </w:t>
      </w:r>
      <w:r>
        <w:t>sortait-il</w:t>
      </w:r>
      <w:r w:rsidRPr="002C4077">
        <w:t xml:space="preserve"> </w:t>
      </w:r>
      <w:r>
        <w:t>des</w:t>
      </w:r>
      <w:r w:rsidRPr="002C4077">
        <w:t xml:space="preserve"> </w:t>
      </w:r>
      <w:r>
        <w:t>presses</w:t>
      </w:r>
      <w:r w:rsidRPr="002C4077">
        <w:t xml:space="preserve"> </w:t>
      </w:r>
      <w:r>
        <w:t>d’Oxford</w:t>
      </w:r>
      <w:r w:rsidRPr="002C4077">
        <w:t xml:space="preserve"> </w:t>
      </w:r>
      <w:r>
        <w:t>ou</w:t>
      </w:r>
      <w:r w:rsidRPr="002C4077">
        <w:t xml:space="preserve"> </w:t>
      </w:r>
      <w:r>
        <w:t>de</w:t>
      </w:r>
      <w:r w:rsidRPr="002C4077">
        <w:t xml:space="preserve"> </w:t>
      </w:r>
      <w:r>
        <w:t>Cambridge</w:t>
      </w:r>
      <w:r w:rsidR="00B546AF">
        <w:t> ?</w:t>
      </w:r>
      <w:r w:rsidRPr="002C4077">
        <w:t xml:space="preserve"> </w:t>
      </w:r>
      <w:r>
        <w:t>—</w:t>
      </w:r>
      <w:r w:rsidRPr="002C4077">
        <w:t xml:space="preserve"> </w:t>
      </w:r>
      <w:r>
        <w:t>Oui,</w:t>
      </w:r>
      <w:r w:rsidRPr="002C4077">
        <w:t xml:space="preserve"> </w:t>
      </w:r>
      <w:r>
        <w:t>un</w:t>
      </w:r>
      <w:r w:rsidRPr="002C4077">
        <w:t xml:space="preserve"> </w:t>
      </w:r>
      <w:r>
        <w:t>livre</w:t>
      </w:r>
      <w:r w:rsidRPr="002C4077">
        <w:t xml:space="preserve"> </w:t>
      </w:r>
      <w:r>
        <w:t>paraissait</w:t>
      </w:r>
      <w:r w:rsidRPr="002C4077">
        <w:t xml:space="preserve"> </w:t>
      </w:r>
      <w:r>
        <w:t>ce</w:t>
      </w:r>
      <w:r w:rsidRPr="002C4077">
        <w:t xml:space="preserve"> </w:t>
      </w:r>
      <w:r>
        <w:t>jour-là</w:t>
      </w:r>
      <w:r w:rsidR="00B546AF">
        <w:t> :</w:t>
      </w:r>
      <w:r w:rsidRPr="002C4077">
        <w:t xml:space="preserve"> </w:t>
      </w:r>
      <w:r>
        <w:t>mais</w:t>
      </w:r>
      <w:r w:rsidRPr="002C4077">
        <w:t xml:space="preserve"> </w:t>
      </w:r>
      <w:r>
        <w:t>un</w:t>
      </w:r>
      <w:r w:rsidRPr="002C4077">
        <w:t xml:space="preserve"> </w:t>
      </w:r>
      <w:r>
        <w:t>livre</w:t>
      </w:r>
      <w:r w:rsidRPr="002C4077">
        <w:t xml:space="preserve"> </w:t>
      </w:r>
      <w:r>
        <w:t>d’assez</w:t>
      </w:r>
      <w:r w:rsidRPr="002C4077">
        <w:t xml:space="preserve"> </w:t>
      </w:r>
      <w:r>
        <w:t>médiocre</w:t>
      </w:r>
      <w:r w:rsidRPr="002C4077">
        <w:t xml:space="preserve"> </w:t>
      </w:r>
      <w:r>
        <w:t>étendue,</w:t>
      </w:r>
      <w:r w:rsidRPr="002C4077">
        <w:t xml:space="preserve"> </w:t>
      </w:r>
      <w:r>
        <w:t>même</w:t>
      </w:r>
      <w:r w:rsidRPr="002C4077">
        <w:t xml:space="preserve"> </w:t>
      </w:r>
      <w:r>
        <w:t>dans</w:t>
      </w:r>
      <w:r w:rsidRPr="002C4077">
        <w:t xml:space="preserve"> </w:t>
      </w:r>
      <w:r>
        <w:t>les</w:t>
      </w:r>
      <w:r w:rsidRPr="002C4077">
        <w:t xml:space="preserve"> </w:t>
      </w:r>
      <w:r>
        <w:t>plus</w:t>
      </w:r>
      <w:r w:rsidRPr="002C4077">
        <w:t xml:space="preserve"> </w:t>
      </w:r>
      <w:r>
        <w:t>grands</w:t>
      </w:r>
      <w:r w:rsidRPr="002C4077">
        <w:t xml:space="preserve"> </w:t>
      </w:r>
      <w:r>
        <w:t>formats</w:t>
      </w:r>
      <w:r w:rsidR="00B546AF">
        <w:t> ;</w:t>
      </w:r>
      <w:r w:rsidRPr="002C4077">
        <w:t xml:space="preserve"> </w:t>
      </w:r>
      <w:r>
        <w:t>mais</w:t>
      </w:r>
      <w:r w:rsidRPr="002C4077">
        <w:t xml:space="preserve"> </w:t>
      </w:r>
      <w:r>
        <w:t>un</w:t>
      </w:r>
      <w:r w:rsidRPr="002C4077">
        <w:t xml:space="preserve"> </w:t>
      </w:r>
      <w:r>
        <w:t>livre</w:t>
      </w:r>
      <w:r w:rsidRPr="002C4077">
        <w:t xml:space="preserve"> </w:t>
      </w:r>
      <w:r>
        <w:t>connu</w:t>
      </w:r>
      <w:r w:rsidRPr="002C4077">
        <w:t xml:space="preserve"> </w:t>
      </w:r>
      <w:r>
        <w:t>depuis</w:t>
      </w:r>
      <w:r w:rsidRPr="002C4077">
        <w:t xml:space="preserve"> </w:t>
      </w:r>
      <w:r>
        <w:t>dix-huit</w:t>
      </w:r>
      <w:r w:rsidRPr="002C4077">
        <w:t xml:space="preserve"> </w:t>
      </w:r>
      <w:r>
        <w:t>siècles,</w:t>
      </w:r>
      <w:r w:rsidRPr="002C4077">
        <w:t xml:space="preserve"> </w:t>
      </w:r>
      <w:r>
        <w:t>n’ayant</w:t>
      </w:r>
      <w:r w:rsidRPr="002C4077">
        <w:t xml:space="preserve"> </w:t>
      </w:r>
      <w:r>
        <w:t>plus,</w:t>
      </w:r>
      <w:r w:rsidRPr="002C4077">
        <w:t xml:space="preserve"> </w:t>
      </w:r>
      <w:r>
        <w:t>par</w:t>
      </w:r>
      <w:r w:rsidRPr="002C4077">
        <w:t xml:space="preserve"> </w:t>
      </w:r>
      <w:r>
        <w:t>conséquent,</w:t>
      </w:r>
      <w:r w:rsidRPr="002C4077">
        <w:t xml:space="preserve"> </w:t>
      </w:r>
      <w:r>
        <w:t>le</w:t>
      </w:r>
      <w:r w:rsidRPr="002C4077">
        <w:t xml:space="preserve"> </w:t>
      </w:r>
      <w:r>
        <w:t>charme</w:t>
      </w:r>
      <w:r w:rsidRPr="002C4077">
        <w:t xml:space="preserve"> </w:t>
      </w:r>
      <w:r>
        <w:t>de</w:t>
      </w:r>
      <w:r w:rsidRPr="002C4077">
        <w:t xml:space="preserve"> </w:t>
      </w:r>
      <w:r>
        <w:t>la</w:t>
      </w:r>
      <w:r w:rsidRPr="002C4077">
        <w:t xml:space="preserve"> </w:t>
      </w:r>
      <w:r>
        <w:t>nouveauté.</w:t>
      </w:r>
      <w:r w:rsidRPr="002C4077">
        <w:t xml:space="preserve"> </w:t>
      </w:r>
      <w:r>
        <w:t>Encore</w:t>
      </w:r>
      <w:r w:rsidRPr="002C4077">
        <w:t xml:space="preserve"> </w:t>
      </w:r>
      <w:r>
        <w:t>ce</w:t>
      </w:r>
      <w:r w:rsidRPr="002C4077">
        <w:t xml:space="preserve"> </w:t>
      </w:r>
      <w:r>
        <w:t>livre</w:t>
      </w:r>
      <w:r w:rsidRPr="002C4077">
        <w:t xml:space="preserve"> </w:t>
      </w:r>
      <w:r>
        <w:t>n’était-il</w:t>
      </w:r>
      <w:r w:rsidRPr="002C4077">
        <w:t xml:space="preserve"> </w:t>
      </w:r>
      <w:r>
        <w:t>alors</w:t>
      </w:r>
      <w:r w:rsidRPr="002C4077">
        <w:t xml:space="preserve"> </w:t>
      </w:r>
      <w:r>
        <w:t>publié</w:t>
      </w:r>
      <w:r w:rsidRPr="002C4077">
        <w:t xml:space="preserve"> </w:t>
      </w:r>
      <w:r>
        <w:t>qu’en</w:t>
      </w:r>
      <w:r w:rsidRPr="002C4077">
        <w:t xml:space="preserve"> </w:t>
      </w:r>
      <w:r>
        <w:t>simple</w:t>
      </w:r>
      <w:r w:rsidRPr="002C4077">
        <w:t xml:space="preserve"> </w:t>
      </w:r>
      <w:r>
        <w:t>traduction</w:t>
      </w:r>
      <w:r w:rsidR="00B546AF">
        <w:t> ;</w:t>
      </w:r>
      <w:r w:rsidR="00C45B47">
        <w:t xml:space="preserve"> {</w:t>
      </w:r>
      <w:r w:rsidR="00B53529">
        <w:t>178</w:t>
      </w:r>
      <w:bookmarkStart w:id="468" w:name="p178"/>
      <w:bookmarkEnd w:id="468"/>
      <w:r w:rsidR="00B53529">
        <w:t xml:space="preserve">} </w:t>
      </w:r>
      <w:r>
        <w:t>bien</w:t>
      </w:r>
      <w:r w:rsidRPr="002C4077">
        <w:t xml:space="preserve"> </w:t>
      </w:r>
      <w:r>
        <w:t>plus,</w:t>
      </w:r>
      <w:r w:rsidRPr="002C4077">
        <w:t xml:space="preserve"> </w:t>
      </w:r>
      <w:r>
        <w:t>cette</w:t>
      </w:r>
      <w:r w:rsidRPr="002C4077">
        <w:t xml:space="preserve"> </w:t>
      </w:r>
      <w:r>
        <w:t>traduction</w:t>
      </w:r>
      <w:r w:rsidRPr="002C4077">
        <w:t xml:space="preserve"> </w:t>
      </w:r>
      <w:r>
        <w:t>remontait</w:t>
      </w:r>
      <w:r w:rsidRPr="002C4077">
        <w:t xml:space="preserve"> </w:t>
      </w:r>
      <w:r>
        <w:t>à</w:t>
      </w:r>
      <w:r w:rsidRPr="002C4077">
        <w:t xml:space="preserve"> </w:t>
      </w:r>
      <w:r>
        <w:t>l’an</w:t>
      </w:r>
      <w:r w:rsidRPr="002C4077">
        <w:t xml:space="preserve"> </w:t>
      </w:r>
      <w:r>
        <w:t>1611</w:t>
      </w:r>
      <w:r w:rsidR="00B546AF">
        <w:t> :</w:t>
      </w:r>
      <w:r w:rsidRPr="002C4077">
        <w:t xml:space="preserve"> </w:t>
      </w:r>
      <w:r>
        <w:t>l’on</w:t>
      </w:r>
      <w:r w:rsidRPr="002C4077">
        <w:t xml:space="preserve"> </w:t>
      </w:r>
      <w:r>
        <w:t>s’était</w:t>
      </w:r>
      <w:r w:rsidRPr="002C4077">
        <w:t xml:space="preserve"> </w:t>
      </w:r>
      <w:r>
        <w:t>borné</w:t>
      </w:r>
      <w:r w:rsidRPr="002C4077">
        <w:t xml:space="preserve"> </w:t>
      </w:r>
      <w:r>
        <w:t>à</w:t>
      </w:r>
      <w:r w:rsidRPr="002C4077">
        <w:t xml:space="preserve"> </w:t>
      </w:r>
      <w:r>
        <w:t>la</w:t>
      </w:r>
      <w:r w:rsidRPr="002C4077">
        <w:t xml:space="preserve"> </w:t>
      </w:r>
      <w:r>
        <w:t>faire</w:t>
      </w:r>
      <w:r w:rsidRPr="002C4077">
        <w:t xml:space="preserve"> </w:t>
      </w:r>
      <w:r>
        <w:t>réviser</w:t>
      </w:r>
      <w:r w:rsidRPr="002C4077">
        <w:t xml:space="preserve"> </w:t>
      </w:r>
      <w:r>
        <w:t>par</w:t>
      </w:r>
      <w:r w:rsidRPr="002C4077">
        <w:t xml:space="preserve"> </w:t>
      </w:r>
      <w:r>
        <w:t>une</w:t>
      </w:r>
      <w:r w:rsidRPr="002C4077">
        <w:t xml:space="preserve"> </w:t>
      </w:r>
      <w:r>
        <w:t>société</w:t>
      </w:r>
      <w:r w:rsidRPr="002C4077">
        <w:t xml:space="preserve"> </w:t>
      </w:r>
      <w:r>
        <w:t>de</w:t>
      </w:r>
      <w:r w:rsidRPr="002C4077">
        <w:t xml:space="preserve"> </w:t>
      </w:r>
      <w:r>
        <w:t>savants.</w:t>
      </w:r>
      <w:r w:rsidRPr="002C4077">
        <w:t xml:space="preserve"> </w:t>
      </w:r>
      <w:r>
        <w:t>Néanmoins,</w:t>
      </w:r>
      <w:r w:rsidRPr="002C4077">
        <w:t xml:space="preserve"> </w:t>
      </w:r>
      <w:r>
        <w:t>pendant</w:t>
      </w:r>
      <w:r w:rsidRPr="002C4077">
        <w:t xml:space="preserve"> </w:t>
      </w:r>
      <w:r>
        <w:t>les</w:t>
      </w:r>
      <w:r w:rsidRPr="002C4077">
        <w:t xml:space="preserve"> </w:t>
      </w:r>
      <w:r>
        <w:t>premières</w:t>
      </w:r>
      <w:r w:rsidRPr="002C4077">
        <w:t xml:space="preserve"> </w:t>
      </w:r>
      <w:r>
        <w:t>semaines</w:t>
      </w:r>
      <w:r w:rsidRPr="002C4077">
        <w:t xml:space="preserve"> </w:t>
      </w:r>
      <w:r>
        <w:t>du</w:t>
      </w:r>
      <w:r w:rsidRPr="002C4077">
        <w:t xml:space="preserve"> </w:t>
      </w:r>
      <w:r>
        <w:t>mois</w:t>
      </w:r>
      <w:r w:rsidRPr="002C4077">
        <w:t xml:space="preserve"> </w:t>
      </w:r>
      <w:r>
        <w:t>de</w:t>
      </w:r>
      <w:r w:rsidRPr="002C4077">
        <w:t xml:space="preserve"> </w:t>
      </w:r>
      <w:r>
        <w:t>mai,</w:t>
      </w:r>
      <w:r w:rsidRPr="002C4077">
        <w:t xml:space="preserve"> </w:t>
      </w:r>
      <w:r>
        <w:t>l’attente</w:t>
      </w:r>
      <w:r w:rsidRPr="002C4077">
        <w:t xml:space="preserve"> </w:t>
      </w:r>
      <w:r>
        <w:t>était</w:t>
      </w:r>
      <w:r w:rsidRPr="002C4077">
        <w:t xml:space="preserve"> </w:t>
      </w:r>
      <w:r>
        <w:t>devenue</w:t>
      </w:r>
      <w:r w:rsidRPr="002C4077">
        <w:t xml:space="preserve"> </w:t>
      </w:r>
      <w:r>
        <w:t>presque</w:t>
      </w:r>
      <w:r w:rsidRPr="002C4077">
        <w:t xml:space="preserve"> </w:t>
      </w:r>
      <w:r>
        <w:t>fébrile,</w:t>
      </w:r>
      <w:r w:rsidRPr="002C4077">
        <w:t xml:space="preserve"> </w:t>
      </w:r>
      <w:r>
        <w:t>non-seulement</w:t>
      </w:r>
      <w:r w:rsidRPr="002C4077">
        <w:t xml:space="preserve"> </w:t>
      </w:r>
      <w:r>
        <w:t>dans</w:t>
      </w:r>
      <w:r w:rsidRPr="002C4077">
        <w:t xml:space="preserve"> </w:t>
      </w:r>
      <w:r>
        <w:t>les</w:t>
      </w:r>
      <w:r w:rsidRPr="002C4077">
        <w:t xml:space="preserve"> </w:t>
      </w:r>
      <w:r>
        <w:t>îles</w:t>
      </w:r>
      <w:r w:rsidRPr="002C4077">
        <w:t xml:space="preserve"> </w:t>
      </w:r>
      <w:r>
        <w:t>sœurs,</w:t>
      </w:r>
      <w:r w:rsidRPr="002C4077">
        <w:t xml:space="preserve"> </w:t>
      </w:r>
      <w:r>
        <w:t>mais</w:t>
      </w:r>
      <w:r w:rsidRPr="002C4077">
        <w:t xml:space="preserve"> </w:t>
      </w:r>
      <w:r>
        <w:t>dans</w:t>
      </w:r>
      <w:r w:rsidRPr="002C4077">
        <w:t xml:space="preserve"> </w:t>
      </w:r>
      <w:r>
        <w:t>tous</w:t>
      </w:r>
      <w:r w:rsidRPr="002C4077">
        <w:t xml:space="preserve"> </w:t>
      </w:r>
      <w:r>
        <w:t>les</w:t>
      </w:r>
      <w:r w:rsidRPr="002C4077">
        <w:t xml:space="preserve"> </w:t>
      </w:r>
      <w:r>
        <w:t>pays</w:t>
      </w:r>
      <w:r w:rsidRPr="002C4077">
        <w:t xml:space="preserve"> </w:t>
      </w:r>
      <w:r>
        <w:t>de</w:t>
      </w:r>
      <w:r w:rsidRPr="002C4077">
        <w:t xml:space="preserve"> </w:t>
      </w:r>
      <w:r>
        <w:t>langue</w:t>
      </w:r>
      <w:r w:rsidRPr="002C4077">
        <w:t xml:space="preserve"> </w:t>
      </w:r>
      <w:r>
        <w:t>anglaise.</w:t>
      </w:r>
      <w:r w:rsidRPr="002C4077">
        <w:t xml:space="preserve"> </w:t>
      </w:r>
      <w:r>
        <w:t>Les</w:t>
      </w:r>
      <w:r w:rsidRPr="002C4077">
        <w:t xml:space="preserve"> </w:t>
      </w:r>
      <w:r>
        <w:t>commandes</w:t>
      </w:r>
      <w:r w:rsidRPr="002C4077">
        <w:t xml:space="preserve"> </w:t>
      </w:r>
      <w:r>
        <w:t>anticipées</w:t>
      </w:r>
      <w:r w:rsidRPr="002C4077">
        <w:t xml:space="preserve"> </w:t>
      </w:r>
      <w:r>
        <w:t>dépassaient</w:t>
      </w:r>
      <w:r w:rsidRPr="002C4077">
        <w:t xml:space="preserve"> </w:t>
      </w:r>
      <w:r>
        <w:t>plusieurs</w:t>
      </w:r>
      <w:r w:rsidRPr="002C4077">
        <w:t xml:space="preserve"> </w:t>
      </w:r>
      <w:r>
        <w:t>millions</w:t>
      </w:r>
      <w:r w:rsidRPr="002C4077">
        <w:t xml:space="preserve"> </w:t>
      </w:r>
      <w:r>
        <w:t>d’exemplaires.</w:t>
      </w:r>
      <w:r w:rsidRPr="002C4077">
        <w:t xml:space="preserve"> </w:t>
      </w:r>
      <w:r>
        <w:t>Durant</w:t>
      </w:r>
      <w:r w:rsidRPr="002C4077">
        <w:t xml:space="preserve"> </w:t>
      </w:r>
      <w:r>
        <w:t>toute</w:t>
      </w:r>
      <w:r w:rsidRPr="002C4077">
        <w:t xml:space="preserve"> </w:t>
      </w:r>
      <w:r>
        <w:t>la</w:t>
      </w:r>
      <w:r w:rsidRPr="002C4077">
        <w:t xml:space="preserve"> </w:t>
      </w:r>
      <w:r>
        <w:t>journée</w:t>
      </w:r>
      <w:r w:rsidRPr="002C4077">
        <w:t xml:space="preserve"> </w:t>
      </w:r>
      <w:r>
        <w:t>du</w:t>
      </w:r>
      <w:r w:rsidRPr="002C4077">
        <w:t xml:space="preserve"> </w:t>
      </w:r>
      <w:r>
        <w:t>16,</w:t>
      </w:r>
      <w:r w:rsidRPr="002C4077">
        <w:t xml:space="preserve"> </w:t>
      </w:r>
      <w:r>
        <w:t>d’énormes</w:t>
      </w:r>
      <w:r w:rsidRPr="002C4077">
        <w:t xml:space="preserve"> </w:t>
      </w:r>
      <w:r>
        <w:t>camions</w:t>
      </w:r>
      <w:r w:rsidRPr="002C4077">
        <w:t xml:space="preserve"> </w:t>
      </w:r>
      <w:r>
        <w:t>allaient</w:t>
      </w:r>
      <w:r w:rsidRPr="002C4077">
        <w:t xml:space="preserve"> </w:t>
      </w:r>
      <w:r>
        <w:t>et</w:t>
      </w:r>
      <w:r w:rsidRPr="002C4077">
        <w:t xml:space="preserve"> </w:t>
      </w:r>
      <w:r>
        <w:t>venaient</w:t>
      </w:r>
      <w:r w:rsidRPr="002C4077">
        <w:t xml:space="preserve"> </w:t>
      </w:r>
      <w:r>
        <w:t>à</w:t>
      </w:r>
      <w:r w:rsidRPr="002C4077">
        <w:t xml:space="preserve"> </w:t>
      </w:r>
      <w:r>
        <w:t>travers</w:t>
      </w:r>
      <w:r w:rsidRPr="002C4077">
        <w:t xml:space="preserve"> </w:t>
      </w:r>
      <w:r>
        <w:t>Londres,</w:t>
      </w:r>
      <w:r w:rsidRPr="002C4077">
        <w:t xml:space="preserve"> </w:t>
      </w:r>
      <w:r>
        <w:t>portant</w:t>
      </w:r>
      <w:r w:rsidRPr="002C4077">
        <w:t xml:space="preserve"> </w:t>
      </w:r>
      <w:r>
        <w:t>le</w:t>
      </w:r>
      <w:r w:rsidRPr="002C4077">
        <w:t xml:space="preserve"> </w:t>
      </w:r>
      <w:r>
        <w:t>trouble</w:t>
      </w:r>
      <w:r w:rsidRPr="002C4077">
        <w:t xml:space="preserve"> </w:t>
      </w:r>
      <w:r>
        <w:t>dans</w:t>
      </w:r>
      <w:r w:rsidRPr="002C4077">
        <w:t xml:space="preserve"> </w:t>
      </w:r>
      <w:r>
        <w:t>la</w:t>
      </w:r>
      <w:r w:rsidRPr="002C4077">
        <w:t xml:space="preserve"> </w:t>
      </w:r>
      <w:r>
        <w:t>circulation</w:t>
      </w:r>
      <w:r w:rsidRPr="002C4077">
        <w:t xml:space="preserve"> </w:t>
      </w:r>
      <w:r>
        <w:t>et</w:t>
      </w:r>
      <w:r w:rsidRPr="002C4077">
        <w:t xml:space="preserve"> </w:t>
      </w:r>
      <w:r>
        <w:t>conduisant</w:t>
      </w:r>
      <w:r w:rsidRPr="002C4077">
        <w:t xml:space="preserve"> </w:t>
      </w:r>
      <w:r>
        <w:t>le</w:t>
      </w:r>
      <w:r w:rsidRPr="002C4077">
        <w:t xml:space="preserve"> </w:t>
      </w:r>
      <w:r>
        <w:t>nouveau-né</w:t>
      </w:r>
      <w:r w:rsidRPr="002C4077">
        <w:t xml:space="preserve"> </w:t>
      </w:r>
      <w:r>
        <w:t>aux</w:t>
      </w:r>
      <w:r w:rsidRPr="002C4077">
        <w:t xml:space="preserve"> </w:t>
      </w:r>
      <w:r>
        <w:t>magasins</w:t>
      </w:r>
      <w:r w:rsidRPr="002C4077">
        <w:t xml:space="preserve"> </w:t>
      </w:r>
      <w:r>
        <w:t>des</w:t>
      </w:r>
      <w:r w:rsidRPr="002C4077">
        <w:t xml:space="preserve"> </w:t>
      </w:r>
      <w:r>
        <w:t>libraires.</w:t>
      </w:r>
      <w:r w:rsidRPr="002C4077">
        <w:t xml:space="preserve"> </w:t>
      </w:r>
      <w:r>
        <w:t>Le</w:t>
      </w:r>
      <w:r w:rsidRPr="002C4077">
        <w:t xml:space="preserve"> </w:t>
      </w:r>
      <w:r>
        <w:t>soir</w:t>
      </w:r>
      <w:r w:rsidRPr="002C4077">
        <w:t xml:space="preserve"> </w:t>
      </w:r>
      <w:r>
        <w:t>de</w:t>
      </w:r>
      <w:r w:rsidRPr="002C4077">
        <w:t xml:space="preserve"> </w:t>
      </w:r>
      <w:r>
        <w:t>ce</w:t>
      </w:r>
      <w:r w:rsidRPr="002C4077">
        <w:t xml:space="preserve"> </w:t>
      </w:r>
      <w:r>
        <w:t>même</w:t>
      </w:r>
      <w:r w:rsidRPr="002C4077">
        <w:t xml:space="preserve"> </w:t>
      </w:r>
      <w:r>
        <w:t>jour,</w:t>
      </w:r>
      <w:r w:rsidRPr="002C4077">
        <w:t xml:space="preserve"> </w:t>
      </w:r>
      <w:r>
        <w:t>un</w:t>
      </w:r>
      <w:r w:rsidRPr="002C4077">
        <w:t xml:space="preserve"> </w:t>
      </w:r>
      <w:r>
        <w:t>exemplaire</w:t>
      </w:r>
      <w:r w:rsidRPr="002C4077">
        <w:t xml:space="preserve"> </w:t>
      </w:r>
      <w:r>
        <w:t>était</w:t>
      </w:r>
      <w:r w:rsidRPr="002C4077">
        <w:t xml:space="preserve"> </w:t>
      </w:r>
      <w:r>
        <w:t>solennellement</w:t>
      </w:r>
      <w:r w:rsidRPr="002C4077">
        <w:t xml:space="preserve"> </w:t>
      </w:r>
      <w:r>
        <w:t>offert</w:t>
      </w:r>
      <w:r w:rsidRPr="002C4077">
        <w:t xml:space="preserve"> </w:t>
      </w:r>
      <w:r>
        <w:t>à</w:t>
      </w:r>
      <w:r w:rsidRPr="002C4077">
        <w:t xml:space="preserve"> </w:t>
      </w:r>
      <w:r>
        <w:t>la</w:t>
      </w:r>
      <w:r w:rsidRPr="002C4077">
        <w:t xml:space="preserve"> </w:t>
      </w:r>
      <w:r>
        <w:t>Reine</w:t>
      </w:r>
      <w:r w:rsidRPr="002C4077">
        <w:t xml:space="preserve"> </w:t>
      </w:r>
      <w:r>
        <w:t>par</w:t>
      </w:r>
      <w:r w:rsidRPr="002C4077">
        <w:t xml:space="preserve"> </w:t>
      </w:r>
      <w:r>
        <w:t>l</w:t>
      </w:r>
      <w:r w:rsidR="00425C50">
        <w:t>’évêque</w:t>
      </w:r>
      <w:r w:rsidRPr="002C4077">
        <w:t xml:space="preserve"> </w:t>
      </w:r>
      <w:r>
        <w:t>anglican</w:t>
      </w:r>
      <w:r w:rsidRPr="002C4077">
        <w:t xml:space="preserve"> </w:t>
      </w:r>
      <w:r>
        <w:t>de</w:t>
      </w:r>
      <w:r w:rsidRPr="002C4077">
        <w:t xml:space="preserve"> </w:t>
      </w:r>
      <w:r>
        <w:t>Gloucester</w:t>
      </w:r>
      <w:r w:rsidRPr="002C4077">
        <w:t xml:space="preserve"> </w:t>
      </w:r>
      <w:r>
        <w:t>et</w:t>
      </w:r>
      <w:r w:rsidRPr="002C4077">
        <w:t xml:space="preserve"> </w:t>
      </w:r>
      <w:r>
        <w:t>Bristol,</w:t>
      </w:r>
      <w:r w:rsidRPr="002C4077">
        <w:t xml:space="preserve"> </w:t>
      </w:r>
      <w:r>
        <w:t>l’un</w:t>
      </w:r>
      <w:r w:rsidRPr="002C4077">
        <w:t xml:space="preserve"> </w:t>
      </w:r>
      <w:r>
        <w:t>des</w:t>
      </w:r>
      <w:r w:rsidRPr="002C4077">
        <w:t xml:space="preserve"> </w:t>
      </w:r>
      <w:r>
        <w:t>promoteurs</w:t>
      </w:r>
      <w:r w:rsidRPr="002C4077">
        <w:t xml:space="preserve"> </w:t>
      </w:r>
      <w:r>
        <w:t>principaux</w:t>
      </w:r>
      <w:r w:rsidRPr="002C4077">
        <w:t xml:space="preserve"> </w:t>
      </w:r>
      <w:r>
        <w:t>de</w:t>
      </w:r>
      <w:r w:rsidRPr="002C4077">
        <w:t xml:space="preserve"> </w:t>
      </w:r>
      <w:r>
        <w:t>l’œuvre</w:t>
      </w:r>
      <w:r w:rsidR="00B546AF">
        <w:t> ;</w:t>
      </w:r>
      <w:r w:rsidRPr="002C4077">
        <w:t xml:space="preserve"> </w:t>
      </w:r>
      <w:r>
        <w:t>un</w:t>
      </w:r>
      <w:r w:rsidRPr="002C4077">
        <w:t xml:space="preserve"> </w:t>
      </w:r>
      <w:r>
        <w:t>autre</w:t>
      </w:r>
      <w:r w:rsidRPr="002C4077">
        <w:t xml:space="preserve"> </w:t>
      </w:r>
      <w:r>
        <w:t>exemplaire</w:t>
      </w:r>
      <w:r w:rsidRPr="002C4077">
        <w:t xml:space="preserve"> </w:t>
      </w:r>
      <w:r>
        <w:t>était</w:t>
      </w:r>
      <w:r w:rsidRPr="002C4077">
        <w:t xml:space="preserve"> </w:t>
      </w:r>
      <w:r>
        <w:t>de</w:t>
      </w:r>
      <w:r w:rsidRPr="002C4077">
        <w:t xml:space="preserve"> </w:t>
      </w:r>
      <w:r>
        <w:t>même</w:t>
      </w:r>
      <w:r w:rsidRPr="002C4077">
        <w:t xml:space="preserve"> </w:t>
      </w:r>
      <w:r>
        <w:t>présenté</w:t>
      </w:r>
      <w:r w:rsidRPr="002C4077">
        <w:t xml:space="preserve"> </w:t>
      </w:r>
      <w:r>
        <w:t>au</w:t>
      </w:r>
      <w:r w:rsidRPr="002C4077">
        <w:t xml:space="preserve"> </w:t>
      </w:r>
      <w:r>
        <w:t>lord-maire</w:t>
      </w:r>
      <w:r w:rsidRPr="002C4077">
        <w:t xml:space="preserve"> </w:t>
      </w:r>
      <w:r>
        <w:t>de</w:t>
      </w:r>
      <w:r w:rsidRPr="002C4077">
        <w:t xml:space="preserve"> </w:t>
      </w:r>
      <w:r>
        <w:t>la</w:t>
      </w:r>
      <w:r w:rsidRPr="002C4077">
        <w:t xml:space="preserve"> </w:t>
      </w:r>
      <w:r>
        <w:t>métropole.</w:t>
      </w:r>
      <w:r w:rsidRPr="002C4077">
        <w:t xml:space="preserve"> </w:t>
      </w:r>
      <w:r>
        <w:t>Le</w:t>
      </w:r>
      <w:r w:rsidRPr="002C4077">
        <w:t xml:space="preserve"> </w:t>
      </w:r>
      <w:r>
        <w:t>17</w:t>
      </w:r>
      <w:r w:rsidRPr="002C4077">
        <w:t xml:space="preserve"> </w:t>
      </w:r>
      <w:r>
        <w:t>au</w:t>
      </w:r>
      <w:r w:rsidRPr="002C4077">
        <w:t xml:space="preserve"> </w:t>
      </w:r>
      <w:r>
        <w:t>matin,</w:t>
      </w:r>
      <w:r w:rsidRPr="002C4077">
        <w:t xml:space="preserve"> </w:t>
      </w:r>
      <w:r>
        <w:t>quand</w:t>
      </w:r>
      <w:r w:rsidRPr="002C4077">
        <w:t xml:space="preserve"> </w:t>
      </w:r>
      <w:r>
        <w:t>la</w:t>
      </w:r>
      <w:r w:rsidRPr="002C4077">
        <w:t xml:space="preserve"> </w:t>
      </w:r>
      <w:r>
        <w:t>vente</w:t>
      </w:r>
      <w:r w:rsidRPr="002C4077">
        <w:t xml:space="preserve"> </w:t>
      </w:r>
      <w:r>
        <w:t>commença,</w:t>
      </w:r>
      <w:r w:rsidRPr="002C4077">
        <w:t xml:space="preserve"> </w:t>
      </w:r>
      <w:r>
        <w:t>les</w:t>
      </w:r>
      <w:r w:rsidRPr="002C4077">
        <w:t xml:space="preserve"> </w:t>
      </w:r>
      <w:r>
        <w:t>librairies</w:t>
      </w:r>
      <w:r w:rsidRPr="002C4077">
        <w:t xml:space="preserve"> </w:t>
      </w:r>
      <w:r>
        <w:t>furent</w:t>
      </w:r>
      <w:r w:rsidRPr="002C4077">
        <w:t xml:space="preserve"> </w:t>
      </w:r>
      <w:r>
        <w:t>littéralement</w:t>
      </w:r>
      <w:r w:rsidRPr="002C4077">
        <w:t xml:space="preserve"> </w:t>
      </w:r>
      <w:r>
        <w:t>assiégées</w:t>
      </w:r>
      <w:r w:rsidRPr="002C4077">
        <w:t xml:space="preserve"> </w:t>
      </w:r>
      <w:r>
        <w:t>et</w:t>
      </w:r>
      <w:r w:rsidRPr="002C4077">
        <w:t xml:space="preserve"> </w:t>
      </w:r>
      <w:r>
        <w:t>mises</w:t>
      </w:r>
      <w:r w:rsidRPr="002C4077">
        <w:t xml:space="preserve"> </w:t>
      </w:r>
      <w:r>
        <w:t>en</w:t>
      </w:r>
      <w:r w:rsidRPr="002C4077">
        <w:t xml:space="preserve"> </w:t>
      </w:r>
      <w:r>
        <w:t>état</w:t>
      </w:r>
      <w:r w:rsidRPr="002C4077">
        <w:t xml:space="preserve"> </w:t>
      </w:r>
      <w:r>
        <w:t>de</w:t>
      </w:r>
      <w:r w:rsidRPr="002C4077">
        <w:t xml:space="preserve"> </w:t>
      </w:r>
      <w:r>
        <w:t>pillage.</w:t>
      </w:r>
      <w:r w:rsidRPr="002C4077">
        <w:t xml:space="preserve"> </w:t>
      </w:r>
      <w:r>
        <w:t>Le</w:t>
      </w:r>
      <w:r w:rsidRPr="002C4077">
        <w:t xml:space="preserve"> </w:t>
      </w:r>
      <w:r>
        <w:t>20</w:t>
      </w:r>
      <w:r w:rsidRPr="002C4077">
        <w:t xml:space="preserve"> </w:t>
      </w:r>
      <w:r>
        <w:t>mai,</w:t>
      </w:r>
      <w:r w:rsidRPr="002C4077">
        <w:t xml:space="preserve"> </w:t>
      </w:r>
      <w:r>
        <w:t>c’était</w:t>
      </w:r>
      <w:r w:rsidRPr="002C4077">
        <w:t xml:space="preserve"> </w:t>
      </w:r>
      <w:r>
        <w:t>le</w:t>
      </w:r>
      <w:r w:rsidRPr="002C4077">
        <w:t xml:space="preserve"> </w:t>
      </w:r>
      <w:r>
        <w:t>tour</w:t>
      </w:r>
      <w:r w:rsidRPr="002C4077">
        <w:t xml:space="preserve"> </w:t>
      </w:r>
      <w:r>
        <w:t>de</w:t>
      </w:r>
      <w:r w:rsidRPr="002C4077">
        <w:t xml:space="preserve"> </w:t>
      </w:r>
      <w:r>
        <w:t>l’Amérique</w:t>
      </w:r>
      <w:r w:rsidRPr="002C4077">
        <w:t xml:space="preserve"> </w:t>
      </w:r>
      <w:r>
        <w:t>et</w:t>
      </w:r>
      <w:r w:rsidRPr="002C4077">
        <w:t xml:space="preserve"> </w:t>
      </w:r>
      <w:r>
        <w:t>des</w:t>
      </w:r>
      <w:r w:rsidRPr="002C4077">
        <w:t xml:space="preserve"> </w:t>
      </w:r>
      <w:r>
        <w:t>colonies,</w:t>
      </w:r>
      <w:r w:rsidRPr="002C4077">
        <w:t xml:space="preserve"> </w:t>
      </w:r>
      <w:r>
        <w:t>où</w:t>
      </w:r>
      <w:r w:rsidRPr="002C4077">
        <w:t xml:space="preserve"> </w:t>
      </w:r>
      <w:r>
        <w:t>plusieurs</w:t>
      </w:r>
      <w:r w:rsidRPr="002C4077">
        <w:t xml:space="preserve"> </w:t>
      </w:r>
      <w:r>
        <w:t>vaisseaux</w:t>
      </w:r>
      <w:r w:rsidRPr="002C4077">
        <w:t xml:space="preserve"> </w:t>
      </w:r>
      <w:r>
        <w:t>avaient</w:t>
      </w:r>
      <w:r w:rsidRPr="002C4077">
        <w:t xml:space="preserve"> </w:t>
      </w:r>
      <w:r>
        <w:t>porté</w:t>
      </w:r>
      <w:r w:rsidRPr="002C4077">
        <w:t xml:space="preserve"> </w:t>
      </w:r>
      <w:r>
        <w:t>d’avance</w:t>
      </w:r>
      <w:r w:rsidRPr="002C4077">
        <w:t xml:space="preserve"> </w:t>
      </w:r>
      <w:r>
        <w:t>le</w:t>
      </w:r>
      <w:r w:rsidRPr="002C4077">
        <w:t xml:space="preserve"> </w:t>
      </w:r>
      <w:r>
        <w:t>précieux</w:t>
      </w:r>
      <w:r w:rsidRPr="002C4077">
        <w:t xml:space="preserve"> </w:t>
      </w:r>
      <w:r>
        <w:t>vol</w:t>
      </w:r>
      <w:r w:rsidR="00853971">
        <w:t>u</w:t>
      </w:r>
      <w:r>
        <w:t>me.</w:t>
      </w:r>
      <w:r w:rsidRPr="002C4077">
        <w:t xml:space="preserve"> </w:t>
      </w:r>
      <w:r>
        <w:t>Dans</w:t>
      </w:r>
      <w:r w:rsidRPr="002C4077">
        <w:t xml:space="preserve"> </w:t>
      </w:r>
      <w:r>
        <w:t>la</w:t>
      </w:r>
      <w:r w:rsidRPr="002C4077">
        <w:t xml:space="preserve"> </w:t>
      </w:r>
      <w:r>
        <w:t>seule</w:t>
      </w:r>
      <w:r w:rsidRPr="002C4077">
        <w:t xml:space="preserve"> </w:t>
      </w:r>
      <w:r>
        <w:t>ville</w:t>
      </w:r>
      <w:r w:rsidRPr="002C4077">
        <w:t xml:space="preserve"> </w:t>
      </w:r>
      <w:r>
        <w:t>de</w:t>
      </w:r>
      <w:r w:rsidRPr="002C4077">
        <w:t xml:space="preserve"> </w:t>
      </w:r>
      <w:r>
        <w:t>New-York,</w:t>
      </w:r>
      <w:r w:rsidRPr="002C4077">
        <w:t xml:space="preserve"> </w:t>
      </w:r>
      <w:r>
        <w:t>800,000</w:t>
      </w:r>
      <w:r w:rsidRPr="002C4077">
        <w:t xml:space="preserve"> </w:t>
      </w:r>
      <w:r>
        <w:t>exemplaires</w:t>
      </w:r>
      <w:r w:rsidRPr="002C4077">
        <w:t xml:space="preserve"> </w:t>
      </w:r>
      <w:r>
        <w:t>furent</w:t>
      </w:r>
      <w:r w:rsidRPr="002C4077">
        <w:t xml:space="preserve"> </w:t>
      </w:r>
      <w:r>
        <w:t>enlevés</w:t>
      </w:r>
      <w:r w:rsidRPr="002C4077">
        <w:t xml:space="preserve"> </w:t>
      </w:r>
      <w:r>
        <w:t>en</w:t>
      </w:r>
      <w:r w:rsidRPr="002C4077">
        <w:t xml:space="preserve"> </w:t>
      </w:r>
      <w:r>
        <w:t>quelques</w:t>
      </w:r>
      <w:r w:rsidRPr="002C4077">
        <w:t xml:space="preserve"> </w:t>
      </w:r>
      <w:r>
        <w:t>heures</w:t>
      </w:r>
      <w:r w:rsidR="00B91AF7">
        <w:rPr>
          <w:rStyle w:val="Appelnotedebasdep"/>
        </w:rPr>
        <w:footnoteReference w:id="605"/>
      </w:r>
      <w:r w:rsidR="00B546AF">
        <w:t> !</w:t>
      </w:r>
      <w:r w:rsidRPr="002C4077">
        <w:t xml:space="preserve"> </w:t>
      </w:r>
      <w:r>
        <w:t>On</w:t>
      </w:r>
      <w:r w:rsidRPr="002C4077">
        <w:t xml:space="preserve"> </w:t>
      </w:r>
      <w:r>
        <w:t>devine</w:t>
      </w:r>
      <w:r w:rsidRPr="002C4077">
        <w:t xml:space="preserve"> </w:t>
      </w:r>
      <w:r>
        <w:t>par</w:t>
      </w:r>
      <w:r w:rsidRPr="002C4077">
        <w:t xml:space="preserve"> </w:t>
      </w:r>
      <w:r>
        <w:t>là</w:t>
      </w:r>
      <w:r w:rsidRPr="002C4077">
        <w:t xml:space="preserve"> </w:t>
      </w:r>
      <w:r>
        <w:t>quel</w:t>
      </w:r>
      <w:r w:rsidRPr="002C4077">
        <w:t xml:space="preserve"> </w:t>
      </w:r>
      <w:r>
        <w:t>chiffre</w:t>
      </w:r>
      <w:r w:rsidRPr="002C4077">
        <w:t xml:space="preserve"> </w:t>
      </w:r>
      <w:r>
        <w:t>inouï</w:t>
      </w:r>
      <w:r w:rsidRPr="002C4077">
        <w:t xml:space="preserve"> </w:t>
      </w:r>
      <w:r>
        <w:t>dut</w:t>
      </w:r>
      <w:r w:rsidRPr="002C4077">
        <w:t xml:space="preserve"> </w:t>
      </w:r>
      <w:r>
        <w:t>atteindre</w:t>
      </w:r>
      <w:r w:rsidRPr="002C4077">
        <w:t xml:space="preserve"> </w:t>
      </w:r>
      <w:r>
        <w:t>la</w:t>
      </w:r>
      <w:r w:rsidRPr="002C4077">
        <w:t xml:space="preserve"> </w:t>
      </w:r>
      <w:r>
        <w:t>venté</w:t>
      </w:r>
      <w:r w:rsidRPr="002C4077">
        <w:t xml:space="preserve"> </w:t>
      </w:r>
      <w:r>
        <w:t>complète.</w:t>
      </w:r>
      <w:r w:rsidRPr="002C4077">
        <w:t xml:space="preserve"> </w:t>
      </w:r>
      <w:r>
        <w:t>Bientôt</w:t>
      </w:r>
      <w:r w:rsidRPr="002C4077">
        <w:t xml:space="preserve"> </w:t>
      </w:r>
      <w:r>
        <w:t>les</w:t>
      </w:r>
      <w:r w:rsidRPr="002C4077">
        <w:t xml:space="preserve"> </w:t>
      </w:r>
      <w:r>
        <w:t>plumes</w:t>
      </w:r>
      <w:r w:rsidRPr="002C4077">
        <w:t xml:space="preserve"> </w:t>
      </w:r>
      <w:r>
        <w:t>des</w:t>
      </w:r>
      <w:r w:rsidRPr="002C4077">
        <w:t xml:space="preserve"> </w:t>
      </w:r>
      <w:r>
        <w:t>lettrés,</w:t>
      </w:r>
      <w:r w:rsidRPr="002C4077">
        <w:t xml:space="preserve"> </w:t>
      </w:r>
      <w:r>
        <w:t>les</w:t>
      </w:r>
      <w:r w:rsidRPr="002C4077">
        <w:t xml:space="preserve"> </w:t>
      </w:r>
      <w:r>
        <w:t>lèvres</w:t>
      </w:r>
      <w:r w:rsidRPr="002C4077">
        <w:t xml:space="preserve"> </w:t>
      </w:r>
      <w:r>
        <w:t>des</w:t>
      </w:r>
      <w:r w:rsidRPr="002C4077">
        <w:t xml:space="preserve"> </w:t>
      </w:r>
      <w:r>
        <w:t>discoureurs</w:t>
      </w:r>
      <w:r w:rsidRPr="002C4077">
        <w:t xml:space="preserve"> </w:t>
      </w:r>
      <w:r>
        <w:t>s’exerçaient</w:t>
      </w:r>
      <w:r w:rsidRPr="002C4077">
        <w:t xml:space="preserve"> </w:t>
      </w:r>
      <w:r>
        <w:t>à</w:t>
      </w:r>
      <w:r w:rsidRPr="002C4077">
        <w:t xml:space="preserve"> </w:t>
      </w:r>
      <w:r>
        <w:t>qui</w:t>
      </w:r>
      <w:r w:rsidRPr="002C4077">
        <w:t xml:space="preserve"> </w:t>
      </w:r>
      <w:r>
        <w:t>mieux</w:t>
      </w:r>
      <w:r w:rsidRPr="002C4077">
        <w:t xml:space="preserve"> </w:t>
      </w:r>
      <w:r>
        <w:t>mieux,</w:t>
      </w:r>
      <w:r w:rsidRPr="002C4077">
        <w:t xml:space="preserve"> </w:t>
      </w:r>
      <w:r>
        <w:t>prenant</w:t>
      </w:r>
      <w:r w:rsidRPr="002C4077">
        <w:t xml:space="preserve"> </w:t>
      </w:r>
      <w:r>
        <w:t>pour</w:t>
      </w:r>
      <w:r w:rsidRPr="002C4077">
        <w:t xml:space="preserve"> </w:t>
      </w:r>
      <w:r>
        <w:t>thème</w:t>
      </w:r>
      <w:r w:rsidRPr="002C4077">
        <w:t xml:space="preserve"> </w:t>
      </w:r>
      <w:r>
        <w:t>de</w:t>
      </w:r>
      <w:r w:rsidRPr="002C4077">
        <w:t xml:space="preserve"> </w:t>
      </w:r>
      <w:r>
        <w:t>leurs</w:t>
      </w:r>
      <w:r w:rsidRPr="002C4077">
        <w:t xml:space="preserve"> </w:t>
      </w:r>
      <w:r>
        <w:t>dissertations,</w:t>
      </w:r>
      <w:r w:rsidRPr="002C4077">
        <w:t xml:space="preserve"> </w:t>
      </w:r>
      <w:r>
        <w:t>de</w:t>
      </w:r>
      <w:r w:rsidRPr="002C4077">
        <w:t xml:space="preserve"> </w:t>
      </w:r>
      <w:r>
        <w:t>leurs</w:t>
      </w:r>
      <w:r w:rsidRPr="002C4077">
        <w:t xml:space="preserve"> </w:t>
      </w:r>
      <w:r w:rsidRPr="000A34B5">
        <w:rPr>
          <w:rStyle w:val="italicus"/>
        </w:rPr>
        <w:t>lectures,</w:t>
      </w:r>
      <w:r w:rsidRPr="002C4077">
        <w:t xml:space="preserve"> </w:t>
      </w:r>
      <w:r>
        <w:t>le</w:t>
      </w:r>
      <w:r w:rsidRPr="002C4077">
        <w:t xml:space="preserve"> </w:t>
      </w:r>
      <w:r>
        <w:t>livre</w:t>
      </w:r>
      <w:r w:rsidRPr="002C4077">
        <w:t xml:space="preserve"> </w:t>
      </w:r>
      <w:r>
        <w:t>accueilli</w:t>
      </w:r>
      <w:r w:rsidRPr="002C4077">
        <w:t xml:space="preserve"> </w:t>
      </w:r>
      <w:r>
        <w:t>avec</w:t>
      </w:r>
      <w:r w:rsidRPr="002C4077">
        <w:t xml:space="preserve"> </w:t>
      </w:r>
      <w:r>
        <w:t>tant</w:t>
      </w:r>
      <w:r w:rsidRPr="002C4077">
        <w:t xml:space="preserve"> </w:t>
      </w:r>
      <w:r>
        <w:t>d’enthousiasme.</w:t>
      </w:r>
      <w:r w:rsidRPr="002C4077">
        <w:t xml:space="preserve"> </w:t>
      </w:r>
      <w:r>
        <w:t>Pas</w:t>
      </w:r>
      <w:r w:rsidRPr="002C4077">
        <w:t xml:space="preserve"> </w:t>
      </w:r>
      <w:r>
        <w:t>une</w:t>
      </w:r>
      <w:r w:rsidRPr="002C4077">
        <w:t xml:space="preserve"> </w:t>
      </w:r>
      <w:r>
        <w:t>revue,</w:t>
      </w:r>
      <w:r w:rsidRPr="002C4077">
        <w:t xml:space="preserve"> </w:t>
      </w:r>
      <w:r>
        <w:t>pas</w:t>
      </w:r>
      <w:r w:rsidRPr="002C4077">
        <w:t xml:space="preserve"> </w:t>
      </w:r>
      <w:r>
        <w:t>un</w:t>
      </w:r>
      <w:r w:rsidRPr="002C4077">
        <w:t xml:space="preserve"> </w:t>
      </w:r>
      <w:r>
        <w:t>journal,</w:t>
      </w:r>
      <w:r w:rsidRPr="002C4077">
        <w:t xml:space="preserve"> </w:t>
      </w:r>
      <w:r>
        <w:t>qui</w:t>
      </w:r>
      <w:r w:rsidRPr="002C4077">
        <w:t xml:space="preserve"> </w:t>
      </w:r>
      <w:r>
        <w:t>n’ait</w:t>
      </w:r>
      <w:r w:rsidRPr="002C4077">
        <w:t xml:space="preserve"> </w:t>
      </w:r>
      <w:r>
        <w:t>été</w:t>
      </w:r>
      <w:r w:rsidRPr="002C4077">
        <w:t xml:space="preserve"> </w:t>
      </w:r>
      <w:r>
        <w:t>moralement</w:t>
      </w:r>
      <w:r w:rsidRPr="002C4077">
        <w:t xml:space="preserve"> </w:t>
      </w:r>
      <w:r>
        <w:t>forcé</w:t>
      </w:r>
      <w:r w:rsidRPr="002C4077">
        <w:t xml:space="preserve"> </w:t>
      </w:r>
      <w:r>
        <w:t>d’en</w:t>
      </w:r>
      <w:r w:rsidRPr="002C4077">
        <w:t xml:space="preserve"> </w:t>
      </w:r>
      <w:r>
        <w:t>parler.</w:t>
      </w:r>
      <w:r w:rsidRPr="002C4077">
        <w:t xml:space="preserve"> </w:t>
      </w:r>
      <w:r>
        <w:t>Toute</w:t>
      </w:r>
      <w:r w:rsidRPr="002C4077">
        <w:t xml:space="preserve"> </w:t>
      </w:r>
      <w:r>
        <w:t>une</w:t>
      </w:r>
      <w:r w:rsidRPr="002C4077">
        <w:t xml:space="preserve"> </w:t>
      </w:r>
      <w:r>
        <w:t>littérature</w:t>
      </w:r>
      <w:r w:rsidRPr="002C4077">
        <w:t xml:space="preserve"> </w:t>
      </w:r>
      <w:r>
        <w:t>nouvelle</w:t>
      </w:r>
      <w:r w:rsidRPr="002C4077">
        <w:t xml:space="preserve"> </w:t>
      </w:r>
      <w:r>
        <w:t>s’est</w:t>
      </w:r>
      <w:r w:rsidRPr="002C4077">
        <w:t xml:space="preserve"> </w:t>
      </w:r>
      <w:r>
        <w:t>formée</w:t>
      </w:r>
      <w:r w:rsidRPr="002C4077">
        <w:t xml:space="preserve"> </w:t>
      </w:r>
      <w:r>
        <w:t>en</w:t>
      </w:r>
      <w:r w:rsidRPr="002C4077">
        <w:t xml:space="preserve"> </w:t>
      </w:r>
      <w:r>
        <w:t>peu</w:t>
      </w:r>
      <w:r w:rsidRPr="002C4077">
        <w:t xml:space="preserve"> </w:t>
      </w:r>
      <w:r>
        <w:t>de</w:t>
      </w:r>
      <w:r w:rsidRPr="002C4077">
        <w:t xml:space="preserve"> </w:t>
      </w:r>
      <w:r>
        <w:t>temps</w:t>
      </w:r>
      <w:r w:rsidRPr="002C4077">
        <w:t xml:space="preserve"> </w:t>
      </w:r>
      <w:r>
        <w:t>autour</w:t>
      </w:r>
      <w:r w:rsidRPr="002C4077">
        <w:t xml:space="preserve"> </w:t>
      </w:r>
      <w:r>
        <w:t>de</w:t>
      </w:r>
      <w:r w:rsidRPr="002C4077">
        <w:t xml:space="preserve"> </w:t>
      </w:r>
      <w:r>
        <w:t>lui,</w:t>
      </w:r>
      <w:r w:rsidRPr="002C4077">
        <w:t xml:space="preserve"> </w:t>
      </w:r>
      <w:r>
        <w:t>et</w:t>
      </w:r>
      <w:r w:rsidRPr="002C4077">
        <w:t xml:space="preserve"> </w:t>
      </w:r>
      <w:r>
        <w:t>même</w:t>
      </w:r>
      <w:r w:rsidRPr="002C4077">
        <w:t xml:space="preserve"> </w:t>
      </w:r>
      <w:r>
        <w:lastRenderedPageBreak/>
        <w:t>aujourd’hui,</w:t>
      </w:r>
      <w:r w:rsidRPr="002C4077">
        <w:t xml:space="preserve"> </w:t>
      </w:r>
      <w:r>
        <w:t>bien</w:t>
      </w:r>
      <w:r w:rsidRPr="002C4077">
        <w:t xml:space="preserve"> </w:t>
      </w:r>
      <w:r>
        <w:t>des</w:t>
      </w:r>
      <w:r w:rsidRPr="002C4077">
        <w:t xml:space="preserve"> </w:t>
      </w:r>
      <w:r>
        <w:t>mois</w:t>
      </w:r>
      <w:r w:rsidRPr="002C4077">
        <w:t xml:space="preserve"> </w:t>
      </w:r>
      <w:r>
        <w:t>après</w:t>
      </w:r>
      <w:r w:rsidRPr="002C4077">
        <w:t xml:space="preserve"> </w:t>
      </w:r>
      <w:r>
        <w:t>son</w:t>
      </w:r>
      <w:r w:rsidRPr="002C4077">
        <w:t xml:space="preserve"> </w:t>
      </w:r>
      <w:r>
        <w:t>apparition,</w:t>
      </w:r>
      <w:r w:rsidRPr="002C4077">
        <w:t xml:space="preserve"> </w:t>
      </w:r>
      <w:r>
        <w:t>l’on</w:t>
      </w:r>
      <w:r w:rsidRPr="002C4077">
        <w:t xml:space="preserve"> </w:t>
      </w:r>
      <w:r>
        <w:t>entend</w:t>
      </w:r>
      <w:r w:rsidRPr="002C4077">
        <w:t xml:space="preserve"> </w:t>
      </w:r>
      <w:r>
        <w:t>retentir</w:t>
      </w:r>
      <w:r w:rsidRPr="002C4077">
        <w:t xml:space="preserve"> </w:t>
      </w:r>
      <w:r>
        <w:t>les</w:t>
      </w:r>
      <w:r w:rsidRPr="002C4077">
        <w:t xml:space="preserve"> </w:t>
      </w:r>
      <w:r>
        <w:t>derniers</w:t>
      </w:r>
      <w:r w:rsidRPr="002C4077">
        <w:t xml:space="preserve"> </w:t>
      </w:r>
      <w:r>
        <w:t>échos</w:t>
      </w:r>
      <w:r w:rsidRPr="002C4077">
        <w:t xml:space="preserve"> </w:t>
      </w:r>
      <w:r>
        <w:t>du</w:t>
      </w:r>
      <w:r w:rsidRPr="002C4077">
        <w:t xml:space="preserve"> </w:t>
      </w:r>
      <w:r>
        <w:t>bruit</w:t>
      </w:r>
      <w:r w:rsidRPr="002C4077">
        <w:t xml:space="preserve"> </w:t>
      </w:r>
      <w:r>
        <w:t>qu’il</w:t>
      </w:r>
      <w:r w:rsidRPr="002C4077">
        <w:t xml:space="preserve"> </w:t>
      </w:r>
      <w:r>
        <w:t>a</w:t>
      </w:r>
      <w:r w:rsidRPr="002C4077">
        <w:t xml:space="preserve"> </w:t>
      </w:r>
      <w:r>
        <w:t>suscité</w:t>
      </w:r>
      <w:r w:rsidRPr="002C4077">
        <w:t xml:space="preserve"> </w:t>
      </w:r>
      <w:r>
        <w:t>en</w:t>
      </w:r>
      <w:r w:rsidRPr="002C4077">
        <w:t xml:space="preserve"> </w:t>
      </w:r>
      <w:r>
        <w:t>naissant</w:t>
      </w:r>
      <w:r w:rsidR="00B91AF7">
        <w:rPr>
          <w:rStyle w:val="Appelnotedebasdep"/>
        </w:rPr>
        <w:footnoteReference w:id="606"/>
      </w:r>
      <w:r>
        <w:t>.</w:t>
      </w:r>
      <w:r w:rsidR="00C45B47">
        <w:t xml:space="preserve"> {</w:t>
      </w:r>
      <w:r w:rsidR="00B53529">
        <w:t>179</w:t>
      </w:r>
      <w:bookmarkStart w:id="469" w:name="p179"/>
      <w:bookmarkEnd w:id="469"/>
      <w:r w:rsidR="00B53529">
        <w:t xml:space="preserve">} </w:t>
      </w:r>
    </w:p>
    <w:p w:rsidR="000A7AAB" w:rsidRDefault="000A7AAB" w:rsidP="000A7AAB">
      <w:r>
        <w:t>Quel</w:t>
      </w:r>
      <w:r w:rsidRPr="002C4077">
        <w:t xml:space="preserve"> </w:t>
      </w:r>
      <w:r w:rsidR="00425C50">
        <w:t>est</w:t>
      </w:r>
      <w:r w:rsidRPr="002C4077">
        <w:t xml:space="preserve"> </w:t>
      </w:r>
      <w:r>
        <w:t>donc</w:t>
      </w:r>
      <w:r w:rsidRPr="002C4077">
        <w:t xml:space="preserve"> </w:t>
      </w:r>
      <w:r>
        <w:t>ce</w:t>
      </w:r>
      <w:r w:rsidRPr="002C4077">
        <w:t xml:space="preserve"> </w:t>
      </w:r>
      <w:r>
        <w:t>merveilleux</w:t>
      </w:r>
      <w:r w:rsidRPr="002C4077">
        <w:t xml:space="preserve"> </w:t>
      </w:r>
      <w:r>
        <w:t>ouvrage</w:t>
      </w:r>
      <w:r w:rsidR="00B546AF">
        <w:t> ?</w:t>
      </w:r>
      <w:r w:rsidRPr="002C4077">
        <w:t xml:space="preserve"> </w:t>
      </w:r>
      <w:r>
        <w:t>C’est,</w:t>
      </w:r>
      <w:r w:rsidRPr="002C4077">
        <w:t xml:space="preserve"> </w:t>
      </w:r>
      <w:r>
        <w:t>pour</w:t>
      </w:r>
      <w:r w:rsidRPr="002C4077">
        <w:t xml:space="preserve"> </w:t>
      </w:r>
      <w:r>
        <w:t>l’appeler</w:t>
      </w:r>
      <w:r w:rsidRPr="002C4077">
        <w:t xml:space="preserve"> </w:t>
      </w:r>
      <w:r>
        <w:t>par</w:t>
      </w:r>
      <w:r w:rsidRPr="002C4077">
        <w:t xml:space="preserve"> </w:t>
      </w:r>
      <w:r>
        <w:t>son</w:t>
      </w:r>
      <w:r w:rsidRPr="002C4077">
        <w:t xml:space="preserve"> </w:t>
      </w:r>
      <w:r>
        <w:t>nom</w:t>
      </w:r>
      <w:r w:rsidRPr="002C4077">
        <w:t xml:space="preserve"> </w:t>
      </w:r>
      <w:r>
        <w:t>d’origine,</w:t>
      </w:r>
      <w:r w:rsidRPr="002C4077">
        <w:t xml:space="preserve"> </w:t>
      </w:r>
      <w:r w:rsidRPr="000A34B5">
        <w:rPr>
          <w:rStyle w:val="italicus"/>
        </w:rPr>
        <w:t>The</w:t>
      </w:r>
      <w:r w:rsidRPr="002C4077">
        <w:t xml:space="preserve"> </w:t>
      </w:r>
      <w:r w:rsidRPr="000A34B5">
        <w:rPr>
          <w:rStyle w:val="italicus"/>
        </w:rPr>
        <w:t>revised</w:t>
      </w:r>
      <w:r w:rsidRPr="002C4077">
        <w:t xml:space="preserve"> </w:t>
      </w:r>
      <w:r w:rsidR="007B3C26">
        <w:rPr>
          <w:rStyle w:val="italicus"/>
        </w:rPr>
        <w:t>Ve</w:t>
      </w:r>
      <w:r w:rsidRPr="000A34B5">
        <w:rPr>
          <w:rStyle w:val="italicus"/>
        </w:rPr>
        <w:t>rsion</w:t>
      </w:r>
      <w:r w:rsidRPr="002C4077">
        <w:t xml:space="preserve"> </w:t>
      </w:r>
      <w:r w:rsidRPr="000A34B5">
        <w:rPr>
          <w:rStyle w:val="italicus"/>
        </w:rPr>
        <w:t>of</w:t>
      </w:r>
      <w:r w:rsidRPr="002C4077">
        <w:t xml:space="preserve"> </w:t>
      </w:r>
      <w:r w:rsidRPr="000A34B5">
        <w:rPr>
          <w:rStyle w:val="italicus"/>
        </w:rPr>
        <w:t>the</w:t>
      </w:r>
      <w:r w:rsidRPr="002C4077">
        <w:t xml:space="preserve"> </w:t>
      </w:r>
      <w:r w:rsidRPr="000A34B5">
        <w:rPr>
          <w:rStyle w:val="italicus"/>
        </w:rPr>
        <w:t>New</w:t>
      </w:r>
      <w:r w:rsidRPr="002C4077">
        <w:t xml:space="preserve"> </w:t>
      </w:r>
      <w:r w:rsidRPr="000A34B5">
        <w:rPr>
          <w:rStyle w:val="italicus"/>
        </w:rPr>
        <w:t>Testament,</w:t>
      </w:r>
      <w:r w:rsidRPr="002C4077">
        <w:t xml:space="preserve"> </w:t>
      </w:r>
      <w:r w:rsidR="00B546AF">
        <w:t>« </w:t>
      </w:r>
      <w:r>
        <w:t>la</w:t>
      </w:r>
      <w:r w:rsidRPr="002C4077">
        <w:t xml:space="preserve"> </w:t>
      </w:r>
      <w:r>
        <w:t>version</w:t>
      </w:r>
      <w:r w:rsidRPr="002C4077">
        <w:t xml:space="preserve"> </w:t>
      </w:r>
      <w:r>
        <w:t>révisée</w:t>
      </w:r>
      <w:r w:rsidRPr="002C4077">
        <w:t xml:space="preserve"> </w:t>
      </w:r>
      <w:r>
        <w:t>du</w:t>
      </w:r>
      <w:r w:rsidRPr="002C4077">
        <w:t xml:space="preserve"> </w:t>
      </w:r>
      <w:r>
        <w:t>Nouveau</w:t>
      </w:r>
      <w:r w:rsidRPr="002C4077">
        <w:t xml:space="preserve"> </w:t>
      </w:r>
      <w:r>
        <w:t>Testament</w:t>
      </w:r>
      <w:r w:rsidR="00B91AF7">
        <w:rPr>
          <w:rStyle w:val="Appelnotedebasdep"/>
        </w:rPr>
        <w:footnoteReference w:id="607"/>
      </w:r>
      <w:r w:rsidR="00B546AF">
        <w:t> »</w:t>
      </w:r>
      <w:r>
        <w:t>.</w:t>
      </w:r>
      <w:r w:rsidRPr="002C4077">
        <w:t xml:space="preserve"> </w:t>
      </w:r>
    </w:p>
    <w:p w:rsidR="000A7AAB" w:rsidRDefault="000A7AAB" w:rsidP="000A7AAB">
      <w:r>
        <w:t>Naturellement,</w:t>
      </w:r>
      <w:r w:rsidRPr="002C4077">
        <w:t xml:space="preserve"> </w:t>
      </w:r>
      <w:r>
        <w:t>c’est</w:t>
      </w:r>
      <w:r w:rsidRPr="002C4077">
        <w:t xml:space="preserve"> </w:t>
      </w:r>
      <w:r>
        <w:t>comme</w:t>
      </w:r>
      <w:r w:rsidRPr="002C4077">
        <w:t xml:space="preserve"> </w:t>
      </w:r>
      <w:r>
        <w:t>catholique</w:t>
      </w:r>
      <w:r w:rsidRPr="002C4077">
        <w:t xml:space="preserve"> </w:t>
      </w:r>
      <w:r>
        <w:t>que</w:t>
      </w:r>
      <w:r w:rsidRPr="002C4077">
        <w:t xml:space="preserve"> </w:t>
      </w:r>
      <w:r>
        <w:t>nous</w:t>
      </w:r>
      <w:r w:rsidRPr="002C4077">
        <w:t xml:space="preserve"> </w:t>
      </w:r>
      <w:r>
        <w:t>allons</w:t>
      </w:r>
      <w:r w:rsidRPr="002C4077">
        <w:t xml:space="preserve"> </w:t>
      </w:r>
      <w:r>
        <w:t>apprécier</w:t>
      </w:r>
      <w:r w:rsidRPr="002C4077">
        <w:t xml:space="preserve"> </w:t>
      </w:r>
      <w:r>
        <w:t>cette</w:t>
      </w:r>
      <w:r w:rsidRPr="002C4077">
        <w:t xml:space="preserve"> </w:t>
      </w:r>
      <w:r>
        <w:t>édition</w:t>
      </w:r>
      <w:r w:rsidRPr="002C4077">
        <w:t xml:space="preserve"> </w:t>
      </w:r>
      <w:r>
        <w:t>revue</w:t>
      </w:r>
      <w:r w:rsidRPr="002C4077">
        <w:t xml:space="preserve"> </w:t>
      </w:r>
      <w:r>
        <w:t>et</w:t>
      </w:r>
      <w:r w:rsidRPr="002C4077">
        <w:t xml:space="preserve"> </w:t>
      </w:r>
      <w:r>
        <w:t>corrigée</w:t>
      </w:r>
      <w:r w:rsidRPr="002C4077">
        <w:t xml:space="preserve"> </w:t>
      </w:r>
      <w:r>
        <w:t>d’un</w:t>
      </w:r>
      <w:r w:rsidRPr="002C4077">
        <w:t xml:space="preserve"> </w:t>
      </w:r>
      <w:r>
        <w:t>Nouveau</w:t>
      </w:r>
      <w:r w:rsidRPr="002C4077">
        <w:t xml:space="preserve"> </w:t>
      </w:r>
      <w:r>
        <w:t>Testament</w:t>
      </w:r>
      <w:r w:rsidRPr="002C4077">
        <w:t xml:space="preserve"> </w:t>
      </w:r>
      <w:r>
        <w:t>t</w:t>
      </w:r>
      <w:r w:rsidR="003B53FD">
        <w:t>raduit</w:t>
      </w:r>
      <w:r w:rsidRPr="002C4077">
        <w:t xml:space="preserve"> </w:t>
      </w:r>
      <w:r>
        <w:t>à</w:t>
      </w:r>
      <w:r w:rsidRPr="002C4077">
        <w:t xml:space="preserve"> </w:t>
      </w:r>
      <w:r>
        <w:t>l’origine</w:t>
      </w:r>
      <w:r w:rsidRPr="002C4077">
        <w:t xml:space="preserve"> </w:t>
      </w:r>
      <w:r>
        <w:t>pour</w:t>
      </w:r>
      <w:r w:rsidRPr="002C4077">
        <w:t xml:space="preserve"> </w:t>
      </w:r>
      <w:r>
        <w:t>l’Église</w:t>
      </w:r>
      <w:r w:rsidRPr="002C4077">
        <w:t xml:space="preserve"> </w:t>
      </w:r>
      <w:r>
        <w:t>anglicane.</w:t>
      </w:r>
      <w:r w:rsidRPr="002C4077">
        <w:t xml:space="preserve"> </w:t>
      </w:r>
      <w:r>
        <w:t>Or,</w:t>
      </w:r>
      <w:r w:rsidRPr="002C4077">
        <w:t xml:space="preserve"> </w:t>
      </w:r>
      <w:r>
        <w:t>en</w:t>
      </w:r>
      <w:r w:rsidRPr="002C4077">
        <w:t xml:space="preserve"> </w:t>
      </w:r>
      <w:r>
        <w:t>face</w:t>
      </w:r>
      <w:r w:rsidRPr="002C4077">
        <w:t xml:space="preserve"> </w:t>
      </w:r>
      <w:r>
        <w:t>d’une</w:t>
      </w:r>
      <w:r w:rsidRPr="002C4077">
        <w:t xml:space="preserve"> </w:t>
      </w:r>
      <w:r>
        <w:t>œuvre</w:t>
      </w:r>
      <w:r w:rsidRPr="002C4077">
        <w:t xml:space="preserve"> </w:t>
      </w:r>
      <w:r>
        <w:t>de</w:t>
      </w:r>
      <w:r w:rsidRPr="002C4077">
        <w:t xml:space="preserve"> </w:t>
      </w:r>
      <w:r>
        <w:t>ce</w:t>
      </w:r>
      <w:r w:rsidRPr="002C4077">
        <w:t xml:space="preserve"> </w:t>
      </w:r>
      <w:r>
        <w:t>genre,</w:t>
      </w:r>
      <w:r w:rsidRPr="002C4077">
        <w:t xml:space="preserve"> </w:t>
      </w:r>
      <w:r>
        <w:t>voici</w:t>
      </w:r>
      <w:r w:rsidRPr="002C4077">
        <w:t xml:space="preserve"> </w:t>
      </w:r>
      <w:r>
        <w:t>la</w:t>
      </w:r>
      <w:r w:rsidRPr="002C4077">
        <w:t xml:space="preserve"> </w:t>
      </w:r>
      <w:r>
        <w:t>question</w:t>
      </w:r>
      <w:r w:rsidRPr="002C4077">
        <w:t xml:space="preserve"> </w:t>
      </w:r>
      <w:r>
        <w:t>qui</w:t>
      </w:r>
      <w:r w:rsidRPr="002C4077">
        <w:t xml:space="preserve"> </w:t>
      </w:r>
      <w:r>
        <w:t>se</w:t>
      </w:r>
      <w:r w:rsidRPr="002C4077">
        <w:t xml:space="preserve"> </w:t>
      </w:r>
      <w:r>
        <w:t>présente</w:t>
      </w:r>
      <w:r w:rsidRPr="002C4077">
        <w:t xml:space="preserve"> </w:t>
      </w:r>
      <w:r>
        <w:t>aussitôt</w:t>
      </w:r>
      <w:r w:rsidRPr="002C4077">
        <w:t xml:space="preserve"> </w:t>
      </w:r>
      <w:r>
        <w:t>à</w:t>
      </w:r>
      <w:r w:rsidRPr="002C4077">
        <w:t xml:space="preserve"> </w:t>
      </w:r>
      <w:r>
        <w:t>l’esprit</w:t>
      </w:r>
      <w:r w:rsidRPr="002C4077">
        <w:t xml:space="preserve"> </w:t>
      </w:r>
      <w:r>
        <w:t>d’un</w:t>
      </w:r>
      <w:r w:rsidRPr="002C4077">
        <w:t xml:space="preserve"> </w:t>
      </w:r>
      <w:r>
        <w:t>catholique</w:t>
      </w:r>
      <w:r w:rsidR="00B546AF">
        <w:t> :</w:t>
      </w:r>
      <w:r w:rsidRPr="002C4077">
        <w:t xml:space="preserve"> </w:t>
      </w:r>
      <w:r>
        <w:t>En</w:t>
      </w:r>
      <w:r w:rsidRPr="002C4077">
        <w:t xml:space="preserve"> </w:t>
      </w:r>
      <w:r>
        <w:t>vertu</w:t>
      </w:r>
      <w:r w:rsidRPr="002C4077">
        <w:t xml:space="preserve"> </w:t>
      </w:r>
      <w:r>
        <w:t>de</w:t>
      </w:r>
      <w:r w:rsidRPr="002C4077">
        <w:t xml:space="preserve"> </w:t>
      </w:r>
      <w:r>
        <w:t>quelle</w:t>
      </w:r>
      <w:r w:rsidRPr="002C4077">
        <w:t xml:space="preserve"> </w:t>
      </w:r>
      <w:r>
        <w:t>autorité</w:t>
      </w:r>
      <w:r w:rsidRPr="002C4077">
        <w:t xml:space="preserve"> </w:t>
      </w:r>
      <w:r>
        <w:t>a-t-elle</w:t>
      </w:r>
      <w:r w:rsidRPr="002C4077">
        <w:t xml:space="preserve"> </w:t>
      </w:r>
      <w:r>
        <w:t>été</w:t>
      </w:r>
      <w:r w:rsidRPr="002C4077">
        <w:t xml:space="preserve"> </w:t>
      </w:r>
      <w:r>
        <w:t>entreprise</w:t>
      </w:r>
      <w:r w:rsidR="00B546AF">
        <w:t> ?</w:t>
      </w:r>
      <w:r w:rsidRPr="002C4077">
        <w:t xml:space="preserve"> </w:t>
      </w:r>
      <w:r>
        <w:t>D’où</w:t>
      </w:r>
      <w:r w:rsidRPr="002C4077">
        <w:t xml:space="preserve"> </w:t>
      </w:r>
      <w:r>
        <w:t>venait</w:t>
      </w:r>
      <w:r w:rsidRPr="002C4077">
        <w:t xml:space="preserve"> </w:t>
      </w:r>
      <w:r>
        <w:t>la</w:t>
      </w:r>
      <w:r w:rsidRPr="002C4077">
        <w:t xml:space="preserve"> </w:t>
      </w:r>
      <w:r>
        <w:t>mission</w:t>
      </w:r>
      <w:r w:rsidRPr="002C4077">
        <w:t xml:space="preserve"> </w:t>
      </w:r>
      <w:r>
        <w:t>de</w:t>
      </w:r>
      <w:r w:rsidRPr="002C4077">
        <w:t xml:space="preserve"> </w:t>
      </w:r>
      <w:r>
        <w:t>ceux</w:t>
      </w:r>
      <w:r w:rsidRPr="002C4077">
        <w:t xml:space="preserve"> </w:t>
      </w:r>
      <w:r>
        <w:t>qui</w:t>
      </w:r>
      <w:r w:rsidRPr="002C4077">
        <w:t xml:space="preserve"> </w:t>
      </w:r>
      <w:r>
        <w:t>l’ont</w:t>
      </w:r>
      <w:r w:rsidRPr="002C4077">
        <w:t xml:space="preserve"> </w:t>
      </w:r>
      <w:r>
        <w:t>exécutée</w:t>
      </w:r>
      <w:r w:rsidR="00B546AF">
        <w:t> ?</w:t>
      </w:r>
      <w:r w:rsidRPr="002C4077">
        <w:t xml:space="preserve"> </w:t>
      </w:r>
      <w:r>
        <w:t>Par</w:t>
      </w:r>
      <w:r w:rsidRPr="002C4077">
        <w:t xml:space="preserve"> </w:t>
      </w:r>
      <w:r>
        <w:t>suite,</w:t>
      </w:r>
      <w:r w:rsidRPr="002C4077">
        <w:t xml:space="preserve"> </w:t>
      </w:r>
      <w:r>
        <w:t>de</w:t>
      </w:r>
      <w:r w:rsidRPr="002C4077">
        <w:t xml:space="preserve"> </w:t>
      </w:r>
      <w:r>
        <w:t>quel</w:t>
      </w:r>
      <w:r w:rsidRPr="002C4077">
        <w:t xml:space="preserve"> </w:t>
      </w:r>
      <w:r>
        <w:t>crédit</w:t>
      </w:r>
      <w:r w:rsidRPr="002C4077">
        <w:t xml:space="preserve"> </w:t>
      </w:r>
      <w:r>
        <w:t>pourra-t-elle</w:t>
      </w:r>
      <w:r w:rsidRPr="002C4077">
        <w:t xml:space="preserve"> </w:t>
      </w:r>
      <w:r>
        <w:t>jouir</w:t>
      </w:r>
      <w:r w:rsidR="00B546AF">
        <w:t> ?</w:t>
      </w:r>
      <w:r w:rsidRPr="002C4077">
        <w:t xml:space="preserve"> </w:t>
      </w:r>
      <w:r>
        <w:t>Tout</w:t>
      </w:r>
      <w:r w:rsidRPr="002C4077">
        <w:t xml:space="preserve"> </w:t>
      </w:r>
      <w:r w:rsidR="00425C50">
        <w:t>est</w:t>
      </w:r>
      <w:r w:rsidRPr="002C4077">
        <w:t xml:space="preserve"> </w:t>
      </w:r>
      <w:r>
        <w:t>là.</w:t>
      </w:r>
      <w:r w:rsidRPr="002C4077">
        <w:t xml:space="preserve"> </w:t>
      </w:r>
      <w:r w:rsidRPr="000A34B5">
        <w:rPr>
          <w:rStyle w:val="italicus"/>
        </w:rPr>
        <w:t>In</w:t>
      </w:r>
      <w:r w:rsidRPr="002C4077">
        <w:t xml:space="preserve"> </w:t>
      </w:r>
      <w:r w:rsidRPr="000A34B5">
        <w:rPr>
          <w:rStyle w:val="italicus"/>
        </w:rPr>
        <w:t>qua</w:t>
      </w:r>
      <w:r w:rsidRPr="002C4077">
        <w:t xml:space="preserve"> </w:t>
      </w:r>
      <w:r w:rsidR="00853971" w:rsidRPr="000A34B5">
        <w:rPr>
          <w:rStyle w:val="italicus"/>
        </w:rPr>
        <w:t>potestáte</w:t>
      </w:r>
      <w:r w:rsidRPr="002C4077">
        <w:t xml:space="preserve"> </w:t>
      </w:r>
      <w:r w:rsidRPr="000A34B5">
        <w:rPr>
          <w:rStyle w:val="italicus"/>
        </w:rPr>
        <w:t>hæc</w:t>
      </w:r>
      <w:r w:rsidRPr="002C4077">
        <w:t xml:space="preserve"> </w:t>
      </w:r>
      <w:r w:rsidRPr="000A34B5">
        <w:rPr>
          <w:rStyle w:val="italicus"/>
        </w:rPr>
        <w:t>facis</w:t>
      </w:r>
      <w:r w:rsidR="00B546AF">
        <w:rPr>
          <w:rStyle w:val="italicus"/>
        </w:rPr>
        <w:t> </w:t>
      </w:r>
      <w:r w:rsidR="00B546AF" w:rsidRPr="000A34B5">
        <w:rPr>
          <w:rStyle w:val="italicus"/>
        </w:rPr>
        <w:t>?</w:t>
      </w:r>
      <w:r w:rsidRPr="002C4077">
        <w:t xml:space="preserve"> </w:t>
      </w:r>
      <w:r w:rsidRPr="000A34B5">
        <w:rPr>
          <w:rStyle w:val="italicus"/>
        </w:rPr>
        <w:t>et</w:t>
      </w:r>
      <w:r w:rsidRPr="002C4077">
        <w:t xml:space="preserve"> </w:t>
      </w:r>
      <w:r w:rsidRPr="000A34B5">
        <w:rPr>
          <w:rStyle w:val="italicus"/>
        </w:rPr>
        <w:t>guis</w:t>
      </w:r>
      <w:r w:rsidRPr="002C4077">
        <w:t xml:space="preserve"> </w:t>
      </w:r>
      <w:r w:rsidRPr="000A34B5">
        <w:rPr>
          <w:rStyle w:val="italicus"/>
        </w:rPr>
        <w:t>dédit</w:t>
      </w:r>
      <w:r w:rsidRPr="002C4077">
        <w:t xml:space="preserve"> </w:t>
      </w:r>
      <w:r w:rsidRPr="000A34B5">
        <w:rPr>
          <w:rStyle w:val="italicus"/>
        </w:rPr>
        <w:t>tibi</w:t>
      </w:r>
      <w:r w:rsidRPr="002C4077">
        <w:t xml:space="preserve"> </w:t>
      </w:r>
      <w:r w:rsidRPr="000A34B5">
        <w:rPr>
          <w:rStyle w:val="italicus"/>
        </w:rPr>
        <w:t>hanc</w:t>
      </w:r>
      <w:r w:rsidRPr="002C4077">
        <w:t xml:space="preserve"> </w:t>
      </w:r>
      <w:r w:rsidRPr="000A34B5">
        <w:rPr>
          <w:rStyle w:val="italicus"/>
        </w:rPr>
        <w:t>p</w:t>
      </w:r>
      <w:r w:rsidR="001730C6" w:rsidRPr="000A34B5">
        <w:rPr>
          <w:rStyle w:val="italicus"/>
        </w:rPr>
        <w:t>ot</w:t>
      </w:r>
      <w:r w:rsidR="003B53FD" w:rsidRPr="000A34B5">
        <w:rPr>
          <w:rStyle w:val="italicus"/>
        </w:rPr>
        <w:t>est</w:t>
      </w:r>
      <w:r w:rsidR="003B53FD">
        <w:rPr>
          <w:rStyle w:val="italicus"/>
        </w:rPr>
        <w:t>á</w:t>
      </w:r>
      <w:r w:rsidR="003B53FD" w:rsidRPr="000A34B5">
        <w:rPr>
          <w:rStyle w:val="italicus"/>
        </w:rPr>
        <w:t>tem</w:t>
      </w:r>
      <w:r w:rsidRPr="002C4077">
        <w:t xml:space="preserve"> </w:t>
      </w:r>
      <w:r w:rsidRPr="000A34B5">
        <w:rPr>
          <w:rStyle w:val="italicus"/>
        </w:rPr>
        <w:t>ut</w:t>
      </w:r>
      <w:r w:rsidRPr="002C4077">
        <w:t xml:space="preserve"> </w:t>
      </w:r>
      <w:r w:rsidRPr="000A34B5">
        <w:rPr>
          <w:rStyle w:val="italicus"/>
        </w:rPr>
        <w:t>ita</w:t>
      </w:r>
      <w:r w:rsidRPr="002C4077">
        <w:t xml:space="preserve"> </w:t>
      </w:r>
      <w:r w:rsidRPr="000A34B5">
        <w:rPr>
          <w:rStyle w:val="italicus"/>
        </w:rPr>
        <w:t>f</w:t>
      </w:r>
      <w:r w:rsidR="003B53FD">
        <w:rPr>
          <w:rStyle w:val="italicus"/>
        </w:rPr>
        <w:t>á</w:t>
      </w:r>
      <w:r w:rsidR="003B53FD" w:rsidRPr="000A34B5">
        <w:rPr>
          <w:rStyle w:val="italicus"/>
        </w:rPr>
        <w:t>cias</w:t>
      </w:r>
      <w:r w:rsidR="00F6492C">
        <w:rPr>
          <w:rStyle w:val="Appelnotedebasdep"/>
          <w:i/>
        </w:rPr>
        <w:footnoteReference w:id="608"/>
      </w:r>
      <w:r w:rsidR="00B546AF">
        <w:rPr>
          <w:rStyle w:val="italicus"/>
        </w:rPr>
        <w:t> </w:t>
      </w:r>
      <w:r w:rsidR="00B546AF" w:rsidRPr="000A34B5">
        <w:rPr>
          <w:rStyle w:val="italicus"/>
        </w:rPr>
        <w:t>?</w:t>
      </w:r>
      <w:r w:rsidRPr="000A34B5">
        <w:rPr>
          <w:rStyle w:val="italicus"/>
        </w:rPr>
        <w:t>…</w:t>
      </w:r>
      <w:r w:rsidRPr="002C4077">
        <w:t xml:space="preserve"> </w:t>
      </w:r>
      <w:r w:rsidRPr="000A34B5">
        <w:rPr>
          <w:rStyle w:val="italicus"/>
        </w:rPr>
        <w:t>E</w:t>
      </w:r>
      <w:r w:rsidRPr="002C4077">
        <w:t xml:space="preserve"> </w:t>
      </w:r>
      <w:r w:rsidRPr="000A34B5">
        <w:rPr>
          <w:rStyle w:val="italicus"/>
        </w:rPr>
        <w:t>cœlo,</w:t>
      </w:r>
      <w:r w:rsidRPr="002C4077">
        <w:t xml:space="preserve"> </w:t>
      </w:r>
      <w:r w:rsidRPr="000A34B5">
        <w:rPr>
          <w:rStyle w:val="italicus"/>
        </w:rPr>
        <w:t>an</w:t>
      </w:r>
      <w:r w:rsidRPr="002C4077">
        <w:t xml:space="preserve"> </w:t>
      </w:r>
      <w:r w:rsidRPr="000A34B5">
        <w:rPr>
          <w:rStyle w:val="italicus"/>
        </w:rPr>
        <w:t>ex</w:t>
      </w:r>
      <w:r w:rsidRPr="002C4077">
        <w:t xml:space="preserve"> </w:t>
      </w:r>
      <w:r w:rsidR="00853971" w:rsidRPr="000A34B5">
        <w:rPr>
          <w:rStyle w:val="italicus"/>
        </w:rPr>
        <w:t>homínibu</w:t>
      </w:r>
      <w:r w:rsidR="00853971">
        <w:rPr>
          <w:rStyle w:val="italicus"/>
        </w:rPr>
        <w:t>s</w:t>
      </w:r>
      <w:r w:rsidR="004377BC">
        <w:rPr>
          <w:rStyle w:val="Appelnotedebasdep"/>
          <w:i/>
        </w:rPr>
        <w:footnoteReference w:id="609"/>
      </w:r>
      <w:r w:rsidRPr="000A34B5">
        <w:rPr>
          <w:rStyle w:val="italicus"/>
        </w:rPr>
        <w:t>.</w:t>
      </w:r>
      <w:r w:rsidR="00C45B47">
        <w:t xml:space="preserve"> {</w:t>
      </w:r>
      <w:r w:rsidR="00B53529">
        <w:t>180</w:t>
      </w:r>
      <w:bookmarkStart w:id="470" w:name="p180"/>
      <w:bookmarkEnd w:id="470"/>
      <w:r w:rsidR="00B53529">
        <w:t xml:space="preserve">} </w:t>
      </w:r>
      <w:r>
        <w:t>Qu’on</w:t>
      </w:r>
      <w:r w:rsidRPr="002C4077">
        <w:t xml:space="preserve"> </w:t>
      </w:r>
      <w:r>
        <w:t>veuille</w:t>
      </w:r>
      <w:r w:rsidRPr="002C4077">
        <w:t xml:space="preserve"> </w:t>
      </w:r>
      <w:r>
        <w:t>bien</w:t>
      </w:r>
      <w:r w:rsidRPr="002C4077">
        <w:t xml:space="preserve"> </w:t>
      </w:r>
      <w:r>
        <w:t>le</w:t>
      </w:r>
      <w:r w:rsidRPr="002C4077">
        <w:t xml:space="preserve"> </w:t>
      </w:r>
      <w:r>
        <w:t>remarquer,</w:t>
      </w:r>
      <w:r w:rsidRPr="002C4077">
        <w:t xml:space="preserve"> </w:t>
      </w:r>
      <w:r>
        <w:t>en</w:t>
      </w:r>
      <w:r w:rsidRPr="002C4077">
        <w:t xml:space="preserve"> </w:t>
      </w:r>
      <w:r>
        <w:t>effet</w:t>
      </w:r>
      <w:r w:rsidR="00B546AF">
        <w:t> :</w:t>
      </w:r>
      <w:r w:rsidRPr="002C4077">
        <w:t xml:space="preserve"> </w:t>
      </w:r>
      <w:r>
        <w:t>il</w:t>
      </w:r>
      <w:r w:rsidRPr="002C4077">
        <w:t xml:space="preserve"> </w:t>
      </w:r>
      <w:r>
        <w:t>ne</w:t>
      </w:r>
      <w:r w:rsidRPr="002C4077">
        <w:t xml:space="preserve"> </w:t>
      </w:r>
      <w:r>
        <w:t>s’agissait</w:t>
      </w:r>
      <w:r w:rsidRPr="002C4077">
        <w:t xml:space="preserve"> </w:t>
      </w:r>
      <w:r>
        <w:t>pas</w:t>
      </w:r>
      <w:r w:rsidRPr="002C4077">
        <w:t xml:space="preserve"> </w:t>
      </w:r>
      <w:r>
        <w:t>de</w:t>
      </w:r>
      <w:r w:rsidRPr="002C4077">
        <w:t xml:space="preserve"> </w:t>
      </w:r>
      <w:r>
        <w:t>corriger</w:t>
      </w:r>
      <w:r w:rsidRPr="002C4077">
        <w:t xml:space="preserve"> </w:t>
      </w:r>
      <w:r>
        <w:t>un</w:t>
      </w:r>
      <w:r w:rsidRPr="002C4077">
        <w:t xml:space="preserve"> </w:t>
      </w:r>
      <w:r>
        <w:t>livre</w:t>
      </w:r>
      <w:r w:rsidRPr="002C4077">
        <w:t xml:space="preserve"> </w:t>
      </w:r>
      <w:r>
        <w:t>ordinaire,</w:t>
      </w:r>
      <w:r w:rsidRPr="002C4077">
        <w:t xml:space="preserve"> </w:t>
      </w:r>
      <w:r>
        <w:t>sorti</w:t>
      </w:r>
      <w:r w:rsidRPr="002C4077">
        <w:t xml:space="preserve"> </w:t>
      </w:r>
      <w:r>
        <w:t>de</w:t>
      </w:r>
      <w:r w:rsidRPr="002C4077">
        <w:t xml:space="preserve"> </w:t>
      </w:r>
      <w:r>
        <w:t>la</w:t>
      </w:r>
      <w:r w:rsidRPr="002C4077">
        <w:t xml:space="preserve"> </w:t>
      </w:r>
      <w:r>
        <w:t>main</w:t>
      </w:r>
      <w:r w:rsidRPr="002C4077">
        <w:t xml:space="preserve"> </w:t>
      </w:r>
      <w:r>
        <w:t>des</w:t>
      </w:r>
      <w:r w:rsidRPr="002C4077">
        <w:t xml:space="preserve"> </w:t>
      </w:r>
      <w:r>
        <w:t>hommes</w:t>
      </w:r>
      <w:r w:rsidR="00B546AF">
        <w:t> ;</w:t>
      </w:r>
      <w:r w:rsidRPr="002C4077">
        <w:t xml:space="preserve"> </w:t>
      </w:r>
      <w:r>
        <w:t>la</w:t>
      </w:r>
      <w:r w:rsidRPr="002C4077">
        <w:t xml:space="preserve"> </w:t>
      </w:r>
      <w:r>
        <w:t>révision</w:t>
      </w:r>
      <w:r w:rsidRPr="002C4077">
        <w:t xml:space="preserve"> </w:t>
      </w:r>
      <w:r>
        <w:t>atteignait</w:t>
      </w:r>
      <w:r w:rsidRPr="002C4077">
        <w:t xml:space="preserve"> </w:t>
      </w:r>
      <w:r>
        <w:t>des</w:t>
      </w:r>
      <w:r w:rsidRPr="002C4077">
        <w:t xml:space="preserve"> </w:t>
      </w:r>
      <w:r>
        <w:t>écrits</w:t>
      </w:r>
      <w:r w:rsidRPr="002C4077">
        <w:t xml:space="preserve"> </w:t>
      </w:r>
      <w:r>
        <w:t>inspirés,</w:t>
      </w:r>
      <w:r w:rsidRPr="002C4077">
        <w:t xml:space="preserve"> </w:t>
      </w:r>
      <w:r>
        <w:t>c’est-à-dire</w:t>
      </w:r>
      <w:r w:rsidRPr="002C4077">
        <w:t xml:space="preserve"> </w:t>
      </w:r>
      <w:r>
        <w:t>divins.</w:t>
      </w:r>
      <w:r w:rsidRPr="002C4077">
        <w:t xml:space="preserve"> </w:t>
      </w:r>
      <w:r>
        <w:t>Donc,</w:t>
      </w:r>
      <w:r w:rsidRPr="002C4077">
        <w:t xml:space="preserve"> </w:t>
      </w:r>
      <w:r>
        <w:t>le</w:t>
      </w:r>
      <w:r w:rsidRPr="002C4077">
        <w:t xml:space="preserve"> </w:t>
      </w:r>
      <w:r>
        <w:t>droit</w:t>
      </w:r>
      <w:r w:rsidRPr="002C4077">
        <w:t xml:space="preserve"> </w:t>
      </w:r>
      <w:r>
        <w:t>de</w:t>
      </w:r>
      <w:r w:rsidRPr="002C4077">
        <w:t xml:space="preserve"> </w:t>
      </w:r>
      <w:r>
        <w:t>l’entreprendre</w:t>
      </w:r>
      <w:r w:rsidRPr="002C4077">
        <w:t xml:space="preserve"> </w:t>
      </w:r>
      <w:r>
        <w:t>ne</w:t>
      </w:r>
      <w:r w:rsidRPr="002C4077">
        <w:t xml:space="preserve"> </w:t>
      </w:r>
      <w:r>
        <w:t>pouvait</w:t>
      </w:r>
      <w:r w:rsidRPr="002C4077">
        <w:t xml:space="preserve"> </w:t>
      </w:r>
      <w:r>
        <w:t>émaner</w:t>
      </w:r>
      <w:r w:rsidRPr="002C4077">
        <w:t xml:space="preserve"> </w:t>
      </w:r>
      <w:r>
        <w:t>que</w:t>
      </w:r>
      <w:r w:rsidRPr="002C4077">
        <w:t xml:space="preserve"> </w:t>
      </w:r>
      <w:r>
        <w:t>de</w:t>
      </w:r>
      <w:r w:rsidRPr="002C4077">
        <w:t xml:space="preserve"> </w:t>
      </w:r>
      <w:r>
        <w:t>Dieu</w:t>
      </w:r>
      <w:r w:rsidRPr="002C4077">
        <w:t xml:space="preserve"> </w:t>
      </w:r>
      <w:r>
        <w:t>ou</w:t>
      </w:r>
      <w:r w:rsidRPr="002C4077">
        <w:t xml:space="preserve"> </w:t>
      </w:r>
      <w:r>
        <w:t>de</w:t>
      </w:r>
      <w:r w:rsidRPr="002C4077">
        <w:t xml:space="preserve"> </w:t>
      </w:r>
      <w:r>
        <w:t>ses</w:t>
      </w:r>
      <w:r w:rsidRPr="002C4077">
        <w:t xml:space="preserve"> </w:t>
      </w:r>
      <w:r>
        <w:t>représentants</w:t>
      </w:r>
      <w:r w:rsidRPr="002C4077">
        <w:t xml:space="preserve"> </w:t>
      </w:r>
      <w:r>
        <w:t>légitimes.</w:t>
      </w:r>
      <w:r w:rsidRPr="002C4077">
        <w:t xml:space="preserve"> </w:t>
      </w:r>
    </w:p>
    <w:p w:rsidR="000A7AAB" w:rsidRDefault="000A7AAB" w:rsidP="000A7AAB">
      <w:r>
        <w:t>J’ai</w:t>
      </w:r>
      <w:r w:rsidRPr="002C4077">
        <w:t xml:space="preserve"> </w:t>
      </w:r>
      <w:r>
        <w:t>là-bas</w:t>
      </w:r>
      <w:r w:rsidRPr="002C4077">
        <w:t xml:space="preserve"> </w:t>
      </w:r>
      <w:r>
        <w:t>mes</w:t>
      </w:r>
      <w:r w:rsidRPr="002C4077">
        <w:t xml:space="preserve"> </w:t>
      </w:r>
      <w:r>
        <w:t>humbles</w:t>
      </w:r>
      <w:r w:rsidRPr="002C4077">
        <w:t xml:space="preserve"> </w:t>
      </w:r>
      <w:r>
        <w:t>propriétés</w:t>
      </w:r>
      <w:r w:rsidRPr="002C4077">
        <w:t xml:space="preserve"> </w:t>
      </w:r>
      <w:r>
        <w:t>foncières.</w:t>
      </w:r>
      <w:r w:rsidRPr="002C4077">
        <w:t xml:space="preserve"> </w:t>
      </w:r>
      <w:r>
        <w:t>Libre</w:t>
      </w:r>
      <w:r w:rsidRPr="002C4077">
        <w:t xml:space="preserve"> </w:t>
      </w:r>
      <w:r>
        <w:t>à</w:t>
      </w:r>
      <w:r w:rsidRPr="002C4077">
        <w:t xml:space="preserve"> </w:t>
      </w:r>
      <w:r>
        <w:t>moi</w:t>
      </w:r>
      <w:r w:rsidRPr="002C4077">
        <w:t xml:space="preserve"> </w:t>
      </w:r>
      <w:r>
        <w:t>de</w:t>
      </w:r>
      <w:r w:rsidRPr="002C4077">
        <w:t xml:space="preserve"> </w:t>
      </w:r>
      <w:r>
        <w:t>les</w:t>
      </w:r>
      <w:r w:rsidRPr="002C4077">
        <w:t xml:space="preserve"> </w:t>
      </w:r>
      <w:r>
        <w:t>améliorer</w:t>
      </w:r>
      <w:r w:rsidRPr="002C4077">
        <w:t xml:space="preserve"> </w:t>
      </w:r>
      <w:r>
        <w:t>—</w:t>
      </w:r>
      <w:r w:rsidRPr="002C4077">
        <w:t xml:space="preserve"> </w:t>
      </w:r>
      <w:r>
        <w:t>ou</w:t>
      </w:r>
      <w:r w:rsidRPr="002C4077">
        <w:t xml:space="preserve"> </w:t>
      </w:r>
      <w:r>
        <w:t>peut-être</w:t>
      </w:r>
      <w:r w:rsidRPr="002C4077">
        <w:t xml:space="preserve"> </w:t>
      </w:r>
      <w:r>
        <w:t>de</w:t>
      </w:r>
      <w:r w:rsidRPr="002C4077">
        <w:t xml:space="preserve"> </w:t>
      </w:r>
      <w:r>
        <w:t>les</w:t>
      </w:r>
      <w:r w:rsidRPr="002C4077">
        <w:t xml:space="preserve"> </w:t>
      </w:r>
      <w:r>
        <w:t>gâter</w:t>
      </w:r>
      <w:r w:rsidRPr="002C4077">
        <w:t xml:space="preserve"> </w:t>
      </w:r>
      <w:r>
        <w:t>—</w:t>
      </w:r>
      <w:r w:rsidRPr="002C4077">
        <w:t xml:space="preserve"> </w:t>
      </w:r>
      <w:r>
        <w:t>à</w:t>
      </w:r>
      <w:r w:rsidRPr="002C4077">
        <w:t xml:space="preserve"> </w:t>
      </w:r>
      <w:r>
        <w:t>ma</w:t>
      </w:r>
      <w:r w:rsidRPr="002C4077">
        <w:t xml:space="preserve"> </w:t>
      </w:r>
      <w:r>
        <w:t>guise.</w:t>
      </w:r>
      <w:r w:rsidRPr="002C4077">
        <w:t xml:space="preserve"> </w:t>
      </w:r>
      <w:r>
        <w:t>Mais,</w:t>
      </w:r>
      <w:r w:rsidRPr="002C4077">
        <w:t xml:space="preserve"> </w:t>
      </w:r>
      <w:r>
        <w:t>de</w:t>
      </w:r>
      <w:r w:rsidRPr="002C4077">
        <w:t xml:space="preserve"> </w:t>
      </w:r>
      <w:r>
        <w:t>l’autre</w:t>
      </w:r>
      <w:r w:rsidRPr="002C4077">
        <w:t xml:space="preserve"> </w:t>
      </w:r>
      <w:r>
        <w:t>côté</w:t>
      </w:r>
      <w:r w:rsidRPr="002C4077">
        <w:t xml:space="preserve"> </w:t>
      </w:r>
      <w:r>
        <w:t>de</w:t>
      </w:r>
      <w:r w:rsidRPr="002C4077">
        <w:t xml:space="preserve"> </w:t>
      </w:r>
      <w:r>
        <w:t>ma</w:t>
      </w:r>
      <w:r w:rsidRPr="002C4077">
        <w:t xml:space="preserve"> </w:t>
      </w:r>
      <w:r>
        <w:t>limite,</w:t>
      </w:r>
      <w:r w:rsidRPr="002C4077">
        <w:t xml:space="preserve"> </w:t>
      </w:r>
      <w:r>
        <w:t>il</w:t>
      </w:r>
      <w:r w:rsidRPr="002C4077">
        <w:t xml:space="preserve"> </w:t>
      </w:r>
      <w:r>
        <w:t>y</w:t>
      </w:r>
      <w:r w:rsidRPr="002C4077">
        <w:t xml:space="preserve"> </w:t>
      </w:r>
      <w:r>
        <w:t>a</w:t>
      </w:r>
      <w:r w:rsidRPr="002C4077">
        <w:t xml:space="preserve"> </w:t>
      </w:r>
      <w:r>
        <w:t>les</w:t>
      </w:r>
      <w:r w:rsidRPr="002C4077">
        <w:t xml:space="preserve"> </w:t>
      </w:r>
      <w:r>
        <w:t>terres</w:t>
      </w:r>
      <w:r w:rsidRPr="002C4077">
        <w:t xml:space="preserve"> </w:t>
      </w:r>
      <w:r>
        <w:t>de</w:t>
      </w:r>
      <w:r w:rsidRPr="002C4077">
        <w:t xml:space="preserve"> </w:t>
      </w:r>
      <w:r>
        <w:t>l’État</w:t>
      </w:r>
      <w:r w:rsidR="00B546AF">
        <w:t> ;</w:t>
      </w:r>
      <w:r w:rsidRPr="002C4077">
        <w:t xml:space="preserve"> </w:t>
      </w:r>
      <w:r>
        <w:t>me</w:t>
      </w:r>
      <w:r w:rsidRPr="002C4077">
        <w:t xml:space="preserve"> </w:t>
      </w:r>
      <w:r>
        <w:t>serait-il</w:t>
      </w:r>
      <w:r w:rsidRPr="002C4077">
        <w:t xml:space="preserve"> </w:t>
      </w:r>
      <w:r>
        <w:t>loisible</w:t>
      </w:r>
      <w:r w:rsidRPr="002C4077">
        <w:t xml:space="preserve"> </w:t>
      </w:r>
      <w:r>
        <w:t>d’exercer</w:t>
      </w:r>
      <w:r w:rsidRPr="002C4077">
        <w:t xml:space="preserve"> </w:t>
      </w:r>
      <w:r>
        <w:t>pareillement</w:t>
      </w:r>
      <w:r w:rsidRPr="002C4077">
        <w:t xml:space="preserve"> </w:t>
      </w:r>
      <w:r>
        <w:t>sur</w:t>
      </w:r>
      <w:r w:rsidRPr="002C4077">
        <w:t xml:space="preserve"> </w:t>
      </w:r>
      <w:r>
        <w:t>elles</w:t>
      </w:r>
      <w:r w:rsidRPr="002C4077">
        <w:t xml:space="preserve"> </w:t>
      </w:r>
      <w:r>
        <w:t>mon</w:t>
      </w:r>
      <w:r w:rsidRPr="002C4077">
        <w:t xml:space="preserve"> </w:t>
      </w:r>
      <w:r>
        <w:t>génie</w:t>
      </w:r>
      <w:r w:rsidRPr="002C4077">
        <w:t xml:space="preserve"> </w:t>
      </w:r>
      <w:r>
        <w:t>plus</w:t>
      </w:r>
      <w:r w:rsidRPr="002C4077">
        <w:t xml:space="preserve"> </w:t>
      </w:r>
      <w:r>
        <w:t>ou</w:t>
      </w:r>
      <w:r w:rsidRPr="002C4077">
        <w:t xml:space="preserve"> </w:t>
      </w:r>
      <w:r>
        <w:t>moins</w:t>
      </w:r>
      <w:r w:rsidRPr="002C4077">
        <w:t xml:space="preserve"> </w:t>
      </w:r>
      <w:r>
        <w:t>habile</w:t>
      </w:r>
      <w:r w:rsidR="00B546AF">
        <w:t> ?</w:t>
      </w:r>
      <w:r w:rsidRPr="002C4077">
        <w:t xml:space="preserve"> </w:t>
      </w:r>
    </w:p>
    <w:p w:rsidR="000A7AAB" w:rsidRDefault="000A7AAB" w:rsidP="000A7AAB">
      <w:r>
        <w:t>Que</w:t>
      </w:r>
      <w:r w:rsidRPr="002C4077">
        <w:t xml:space="preserve"> </w:t>
      </w:r>
      <w:r>
        <w:t>se</w:t>
      </w:r>
      <w:r w:rsidRPr="002C4077">
        <w:t xml:space="preserve"> </w:t>
      </w:r>
      <w:r>
        <w:t>passerait-il</w:t>
      </w:r>
      <w:r w:rsidRPr="002C4077">
        <w:t xml:space="preserve"> </w:t>
      </w:r>
      <w:r>
        <w:t>dans</w:t>
      </w:r>
      <w:r w:rsidRPr="002C4077">
        <w:t xml:space="preserve"> </w:t>
      </w:r>
      <w:r>
        <w:t>l’Église</w:t>
      </w:r>
      <w:r w:rsidRPr="002C4077">
        <w:t xml:space="preserve"> </w:t>
      </w:r>
      <w:r>
        <w:t>catholique,</w:t>
      </w:r>
      <w:r w:rsidRPr="002C4077">
        <w:t xml:space="preserve"> </w:t>
      </w:r>
      <w:r>
        <w:t>si</w:t>
      </w:r>
      <w:r w:rsidRPr="002C4077">
        <w:t xml:space="preserve"> </w:t>
      </w:r>
      <w:r>
        <w:t>l’on</w:t>
      </w:r>
      <w:r w:rsidRPr="002C4077">
        <w:t xml:space="preserve"> </w:t>
      </w:r>
      <w:r>
        <w:t>voulait</w:t>
      </w:r>
      <w:r w:rsidRPr="002C4077">
        <w:t xml:space="preserve"> </w:t>
      </w:r>
      <w:r>
        <w:t>corriger</w:t>
      </w:r>
      <w:r w:rsidRPr="002C4077">
        <w:t xml:space="preserve"> </w:t>
      </w:r>
      <w:r>
        <w:t>notre</w:t>
      </w:r>
      <w:r w:rsidRPr="002C4077">
        <w:t xml:space="preserve"> </w:t>
      </w:r>
      <w:r>
        <w:t>version</w:t>
      </w:r>
      <w:r w:rsidRPr="002C4077">
        <w:t xml:space="preserve"> </w:t>
      </w:r>
      <w:r>
        <w:t>officielle,</w:t>
      </w:r>
      <w:r w:rsidRPr="002C4077">
        <w:t xml:space="preserve"> </w:t>
      </w:r>
      <w:r>
        <w:t>la</w:t>
      </w:r>
      <w:r w:rsidRPr="002C4077">
        <w:t xml:space="preserve"> </w:t>
      </w:r>
      <w:r>
        <w:t>Vulgate</w:t>
      </w:r>
      <w:r w:rsidR="00B546AF">
        <w:t> ?</w:t>
      </w:r>
      <w:r w:rsidRPr="002C4077">
        <w:t xml:space="preserve"> </w:t>
      </w:r>
    </w:p>
    <w:p w:rsidR="000A7AAB" w:rsidRDefault="000A7AAB" w:rsidP="000A7AAB">
      <w:r>
        <w:t>Tout</w:t>
      </w:r>
      <w:r w:rsidRPr="002C4077">
        <w:t xml:space="preserve"> </w:t>
      </w:r>
      <w:r>
        <w:t>d’abord,</w:t>
      </w:r>
      <w:r w:rsidRPr="002C4077">
        <w:t xml:space="preserve"> </w:t>
      </w:r>
      <w:r>
        <w:t>c’est</w:t>
      </w:r>
      <w:r w:rsidRPr="002C4077">
        <w:t xml:space="preserve"> </w:t>
      </w:r>
      <w:r>
        <w:t>le</w:t>
      </w:r>
      <w:r w:rsidRPr="002C4077">
        <w:t xml:space="preserve"> </w:t>
      </w:r>
      <w:r>
        <w:t>chef</w:t>
      </w:r>
      <w:r w:rsidRPr="002C4077">
        <w:t xml:space="preserve"> </w:t>
      </w:r>
      <w:r>
        <w:t>de</w:t>
      </w:r>
      <w:r w:rsidRPr="002C4077">
        <w:t xml:space="preserve"> </w:t>
      </w:r>
      <w:r>
        <w:t>l’Église,</w:t>
      </w:r>
      <w:r w:rsidRPr="002C4077">
        <w:t xml:space="preserve"> </w:t>
      </w:r>
      <w:r>
        <w:t>le</w:t>
      </w:r>
      <w:r w:rsidRPr="002C4077">
        <w:t xml:space="preserve"> </w:t>
      </w:r>
      <w:r>
        <w:t>Pape,</w:t>
      </w:r>
      <w:r w:rsidRPr="002C4077">
        <w:t xml:space="preserve"> </w:t>
      </w:r>
      <w:r>
        <w:t>qui</w:t>
      </w:r>
      <w:r w:rsidRPr="002C4077">
        <w:t xml:space="preserve"> </w:t>
      </w:r>
      <w:r>
        <w:t>prendrait</w:t>
      </w:r>
      <w:r w:rsidRPr="002C4077">
        <w:t xml:space="preserve"> </w:t>
      </w:r>
      <w:r>
        <w:t>l’initiative</w:t>
      </w:r>
      <w:r w:rsidRPr="002C4077">
        <w:t xml:space="preserve"> </w:t>
      </w:r>
      <w:r>
        <w:t>d’une</w:t>
      </w:r>
      <w:r w:rsidRPr="002C4077">
        <w:t xml:space="preserve"> </w:t>
      </w:r>
      <w:r>
        <w:t>telle</w:t>
      </w:r>
      <w:r w:rsidRPr="002C4077">
        <w:t xml:space="preserve"> </w:t>
      </w:r>
      <w:r>
        <w:t>opération,</w:t>
      </w:r>
      <w:r w:rsidRPr="002C4077">
        <w:t xml:space="preserve"> </w:t>
      </w:r>
      <w:r>
        <w:t>qui</w:t>
      </w:r>
      <w:r w:rsidRPr="002C4077">
        <w:t xml:space="preserve"> </w:t>
      </w:r>
      <w:r>
        <w:t>la</w:t>
      </w:r>
      <w:r w:rsidRPr="002C4077">
        <w:t xml:space="preserve"> </w:t>
      </w:r>
      <w:r>
        <w:t>déclarerait</w:t>
      </w:r>
      <w:r w:rsidRPr="002C4077">
        <w:t xml:space="preserve"> </w:t>
      </w:r>
      <w:r>
        <w:t>en</w:t>
      </w:r>
      <w:r w:rsidRPr="002C4077">
        <w:t xml:space="preserve"> </w:t>
      </w:r>
      <w:r>
        <w:t>quelque</w:t>
      </w:r>
      <w:r w:rsidRPr="002C4077">
        <w:t xml:space="preserve"> </w:t>
      </w:r>
      <w:r>
        <w:t>sorte</w:t>
      </w:r>
      <w:r w:rsidRPr="002C4077">
        <w:t xml:space="preserve"> </w:t>
      </w:r>
      <w:r>
        <w:t>d’utilité</w:t>
      </w:r>
      <w:r w:rsidRPr="002C4077">
        <w:t xml:space="preserve"> </w:t>
      </w:r>
      <w:r>
        <w:t>publique.</w:t>
      </w:r>
      <w:r w:rsidRPr="002C4077">
        <w:t xml:space="preserve"> </w:t>
      </w:r>
      <w:r>
        <w:t>C’est</w:t>
      </w:r>
      <w:r w:rsidRPr="002C4077">
        <w:t xml:space="preserve"> </w:t>
      </w:r>
      <w:r>
        <w:t>encore</w:t>
      </w:r>
      <w:r w:rsidRPr="002C4077">
        <w:t xml:space="preserve"> </w:t>
      </w:r>
      <w:r>
        <w:t>par</w:t>
      </w:r>
      <w:r w:rsidRPr="002C4077">
        <w:t xml:space="preserve"> </w:t>
      </w:r>
      <w:r>
        <w:t>les</w:t>
      </w:r>
      <w:r w:rsidRPr="002C4077">
        <w:t xml:space="preserve"> </w:t>
      </w:r>
      <w:r>
        <w:t>ordres</w:t>
      </w:r>
      <w:r w:rsidRPr="002C4077">
        <w:t xml:space="preserve"> </w:t>
      </w:r>
      <w:r>
        <w:t>du</w:t>
      </w:r>
      <w:r w:rsidRPr="002C4077">
        <w:t xml:space="preserve"> </w:t>
      </w:r>
      <w:r>
        <w:t>Souverain</w:t>
      </w:r>
      <w:r w:rsidRPr="002C4077">
        <w:t xml:space="preserve"> </w:t>
      </w:r>
      <w:r>
        <w:t>Pontife</w:t>
      </w:r>
      <w:r w:rsidRPr="002C4077">
        <w:t xml:space="preserve"> </w:t>
      </w:r>
      <w:r>
        <w:t>que</w:t>
      </w:r>
      <w:r w:rsidRPr="002C4077">
        <w:t xml:space="preserve"> </w:t>
      </w:r>
      <w:r>
        <w:t>serait</w:t>
      </w:r>
      <w:r w:rsidRPr="002C4077">
        <w:t xml:space="preserve"> </w:t>
      </w:r>
      <w:r>
        <w:t>constitué</w:t>
      </w:r>
      <w:r w:rsidRPr="002C4077">
        <w:t xml:space="preserve"> </w:t>
      </w:r>
      <w:r>
        <w:t>le</w:t>
      </w:r>
      <w:r w:rsidRPr="002C4077">
        <w:t xml:space="preserve"> </w:t>
      </w:r>
      <w:r>
        <w:t>comité</w:t>
      </w:r>
      <w:r w:rsidRPr="002C4077">
        <w:t xml:space="preserve"> </w:t>
      </w:r>
      <w:r>
        <w:t>de</w:t>
      </w:r>
      <w:r w:rsidRPr="002C4077">
        <w:t xml:space="preserve"> </w:t>
      </w:r>
      <w:r>
        <w:t>savants</w:t>
      </w:r>
      <w:r w:rsidRPr="002C4077">
        <w:t xml:space="preserve"> </w:t>
      </w:r>
      <w:r>
        <w:t>chargé</w:t>
      </w:r>
      <w:r w:rsidRPr="002C4077">
        <w:t xml:space="preserve"> </w:t>
      </w:r>
      <w:r>
        <w:t>de</w:t>
      </w:r>
      <w:r w:rsidRPr="002C4077">
        <w:t xml:space="preserve"> </w:t>
      </w:r>
      <w:r>
        <w:t>la</w:t>
      </w:r>
      <w:r w:rsidRPr="002C4077">
        <w:t xml:space="preserve"> </w:t>
      </w:r>
      <w:r>
        <w:t>révision.</w:t>
      </w:r>
      <w:r w:rsidRPr="002C4077">
        <w:t xml:space="preserve"> </w:t>
      </w:r>
      <w:r>
        <w:t>C’est</w:t>
      </w:r>
      <w:r w:rsidRPr="002C4077">
        <w:t xml:space="preserve"> </w:t>
      </w:r>
      <w:r>
        <w:t>enfin</w:t>
      </w:r>
      <w:r w:rsidRPr="002C4077">
        <w:t xml:space="preserve"> </w:t>
      </w:r>
      <w:r>
        <w:t>au</w:t>
      </w:r>
      <w:r w:rsidRPr="002C4077">
        <w:t xml:space="preserve"> </w:t>
      </w:r>
      <w:r>
        <w:t>nom</w:t>
      </w:r>
      <w:r w:rsidRPr="002C4077">
        <w:t xml:space="preserve"> </w:t>
      </w:r>
      <w:r>
        <w:t>et</w:t>
      </w:r>
      <w:r w:rsidRPr="002C4077">
        <w:t xml:space="preserve"> </w:t>
      </w:r>
      <w:r>
        <w:t>avec</w:t>
      </w:r>
      <w:r w:rsidRPr="002C4077">
        <w:t xml:space="preserve"> </w:t>
      </w:r>
      <w:r>
        <w:t>la</w:t>
      </w:r>
      <w:r w:rsidRPr="002C4077">
        <w:t xml:space="preserve"> </w:t>
      </w:r>
      <w:r>
        <w:t>permission,</w:t>
      </w:r>
      <w:r w:rsidRPr="002C4077">
        <w:t xml:space="preserve"> </w:t>
      </w:r>
      <w:r>
        <w:t>l’approbation</w:t>
      </w:r>
      <w:r w:rsidRPr="002C4077">
        <w:t xml:space="preserve"> </w:t>
      </w:r>
      <w:r>
        <w:t>du</w:t>
      </w:r>
      <w:r w:rsidRPr="002C4077">
        <w:t xml:space="preserve"> </w:t>
      </w:r>
      <w:r>
        <w:t>Pape,</w:t>
      </w:r>
      <w:r w:rsidRPr="002C4077">
        <w:t xml:space="preserve"> </w:t>
      </w:r>
      <w:r>
        <w:t>que</w:t>
      </w:r>
      <w:r w:rsidRPr="002C4077">
        <w:t xml:space="preserve"> </w:t>
      </w:r>
      <w:r>
        <w:t>la</w:t>
      </w:r>
      <w:r w:rsidRPr="002C4077">
        <w:t xml:space="preserve"> </w:t>
      </w:r>
      <w:r>
        <w:t>nouvelle</w:t>
      </w:r>
      <w:r w:rsidRPr="002C4077">
        <w:t xml:space="preserve"> </w:t>
      </w:r>
      <w:r>
        <w:t>œuvre</w:t>
      </w:r>
      <w:r w:rsidRPr="002C4077">
        <w:t xml:space="preserve"> </w:t>
      </w:r>
      <w:r>
        <w:t>serait</w:t>
      </w:r>
      <w:r w:rsidRPr="002C4077">
        <w:t xml:space="preserve"> </w:t>
      </w:r>
      <w:r>
        <w:t>publiée.</w:t>
      </w:r>
      <w:r w:rsidRPr="002C4077">
        <w:t xml:space="preserve"> </w:t>
      </w:r>
      <w:r>
        <w:t>Et</w:t>
      </w:r>
      <w:r w:rsidRPr="002C4077">
        <w:t xml:space="preserve"> </w:t>
      </w:r>
      <w:r>
        <w:t>tous</w:t>
      </w:r>
      <w:r w:rsidRPr="002C4077">
        <w:t xml:space="preserve"> </w:t>
      </w:r>
      <w:r>
        <w:t>les</w:t>
      </w:r>
      <w:r w:rsidRPr="002C4077">
        <w:t xml:space="preserve"> </w:t>
      </w:r>
      <w:r>
        <w:t>catholiques</w:t>
      </w:r>
      <w:r w:rsidRPr="002C4077">
        <w:t xml:space="preserve"> </w:t>
      </w:r>
      <w:r>
        <w:t>accepteraient</w:t>
      </w:r>
      <w:r w:rsidRPr="002C4077">
        <w:t xml:space="preserve"> </w:t>
      </w:r>
      <w:r>
        <w:t>avec</w:t>
      </w:r>
      <w:r w:rsidRPr="002C4077">
        <w:t xml:space="preserve"> </w:t>
      </w:r>
      <w:r>
        <w:t>respect,</w:t>
      </w:r>
      <w:r w:rsidRPr="002C4077">
        <w:t xml:space="preserve"> </w:t>
      </w:r>
      <w:r>
        <w:t>avec</w:t>
      </w:r>
      <w:r w:rsidRPr="002C4077">
        <w:t xml:space="preserve"> </w:t>
      </w:r>
      <w:r>
        <w:t>confiance,</w:t>
      </w:r>
      <w:r w:rsidRPr="002C4077">
        <w:t xml:space="preserve"> </w:t>
      </w:r>
      <w:r>
        <w:t>cette</w:t>
      </w:r>
      <w:r w:rsidRPr="002C4077">
        <w:t xml:space="preserve"> </w:t>
      </w:r>
      <w:r>
        <w:t>version</w:t>
      </w:r>
      <w:r w:rsidRPr="002C4077">
        <w:t xml:space="preserve"> </w:t>
      </w:r>
      <w:r>
        <w:t>remaniée</w:t>
      </w:r>
      <w:r w:rsidR="00B546AF">
        <w:t> ;</w:t>
      </w:r>
      <w:r w:rsidRPr="002C4077">
        <w:t xml:space="preserve"> </w:t>
      </w:r>
      <w:r>
        <w:t>aucun</w:t>
      </w:r>
      <w:r w:rsidRPr="002C4077">
        <w:t xml:space="preserve"> </w:t>
      </w:r>
      <w:r>
        <w:t>d’eux</w:t>
      </w:r>
      <w:r w:rsidRPr="002C4077">
        <w:t xml:space="preserve"> </w:t>
      </w:r>
      <w:r>
        <w:t>ne</w:t>
      </w:r>
      <w:r w:rsidRPr="002C4077">
        <w:t xml:space="preserve"> </w:t>
      </w:r>
      <w:r>
        <w:t>prendrait</w:t>
      </w:r>
      <w:r w:rsidRPr="002C4077">
        <w:t xml:space="preserve"> </w:t>
      </w:r>
      <w:r>
        <w:t>sur</w:t>
      </w:r>
      <w:r w:rsidRPr="002C4077">
        <w:t xml:space="preserve"> </w:t>
      </w:r>
      <w:r>
        <w:t>lui</w:t>
      </w:r>
      <w:r w:rsidRPr="002C4077">
        <w:t xml:space="preserve"> </w:t>
      </w:r>
      <w:r>
        <w:t>de</w:t>
      </w:r>
      <w:r w:rsidRPr="002C4077">
        <w:t xml:space="preserve"> </w:t>
      </w:r>
      <w:r>
        <w:t>contester</w:t>
      </w:r>
      <w:r w:rsidRPr="002C4077">
        <w:t xml:space="preserve"> </w:t>
      </w:r>
      <w:r>
        <w:t>l’à-propos</w:t>
      </w:r>
      <w:r w:rsidRPr="002C4077">
        <w:t xml:space="preserve"> </w:t>
      </w:r>
      <w:r>
        <w:t>de</w:t>
      </w:r>
      <w:r w:rsidRPr="002C4077">
        <w:t xml:space="preserve"> </w:t>
      </w:r>
      <w:r>
        <w:t>son</w:t>
      </w:r>
      <w:r w:rsidRPr="002C4077">
        <w:t xml:space="preserve"> </w:t>
      </w:r>
      <w:r>
        <w:t>apparition,</w:t>
      </w:r>
      <w:r w:rsidRPr="002C4077">
        <w:t xml:space="preserve"> </w:t>
      </w:r>
      <w:r>
        <w:t>de</w:t>
      </w:r>
      <w:r w:rsidRPr="002C4077">
        <w:t xml:space="preserve"> </w:t>
      </w:r>
      <w:r>
        <w:t>dénigrer</w:t>
      </w:r>
      <w:r w:rsidRPr="002C4077">
        <w:t xml:space="preserve"> </w:t>
      </w:r>
      <w:r>
        <w:t>le</w:t>
      </w:r>
      <w:r w:rsidRPr="002C4077">
        <w:t xml:space="preserve"> </w:t>
      </w:r>
      <w:r>
        <w:t>travail</w:t>
      </w:r>
      <w:r w:rsidRPr="002C4077">
        <w:t xml:space="preserve"> </w:t>
      </w:r>
      <w:r>
        <w:t>accompli.</w:t>
      </w:r>
      <w:r w:rsidRPr="002C4077">
        <w:t xml:space="preserve"> </w:t>
      </w:r>
      <w:r w:rsidRPr="000A34B5">
        <w:rPr>
          <w:rStyle w:val="italicus"/>
        </w:rPr>
        <w:t>Roma</w:t>
      </w:r>
      <w:r w:rsidRPr="002C4077">
        <w:t xml:space="preserve"> </w:t>
      </w:r>
      <w:r w:rsidR="00853971" w:rsidRPr="000A34B5">
        <w:rPr>
          <w:rStyle w:val="italicus"/>
        </w:rPr>
        <w:t>locúta</w:t>
      </w:r>
      <w:r w:rsidRPr="002C4077">
        <w:t xml:space="preserve"> </w:t>
      </w:r>
      <w:r w:rsidR="00425C50">
        <w:rPr>
          <w:rStyle w:val="italicus"/>
        </w:rPr>
        <w:t>est</w:t>
      </w:r>
      <w:r w:rsidRPr="000A34B5">
        <w:rPr>
          <w:rStyle w:val="italicus"/>
        </w:rPr>
        <w:t>,</w:t>
      </w:r>
      <w:r w:rsidRPr="002C4077">
        <w:t xml:space="preserve"> </w:t>
      </w:r>
      <w:r w:rsidRPr="000A34B5">
        <w:rPr>
          <w:rStyle w:val="italicus"/>
        </w:rPr>
        <w:t>causa</w:t>
      </w:r>
      <w:r w:rsidRPr="002C4077">
        <w:t xml:space="preserve"> </w:t>
      </w:r>
      <w:r w:rsidR="00853971" w:rsidRPr="000A34B5">
        <w:rPr>
          <w:rStyle w:val="italicus"/>
        </w:rPr>
        <w:t>finíta</w:t>
      </w:r>
      <w:r w:rsidRPr="002C4077">
        <w:t xml:space="preserve"> </w:t>
      </w:r>
      <w:r w:rsidR="00425C50">
        <w:rPr>
          <w:rStyle w:val="italicus"/>
        </w:rPr>
        <w:t>est</w:t>
      </w:r>
      <w:r w:rsidRPr="000A34B5">
        <w:rPr>
          <w:rStyle w:val="italicus"/>
        </w:rPr>
        <w:t>,</w:t>
      </w:r>
      <w:r w:rsidRPr="002C4077">
        <w:t xml:space="preserve"> </w:t>
      </w:r>
      <w:r>
        <w:t>parce</w:t>
      </w:r>
      <w:r w:rsidRPr="002C4077">
        <w:t xml:space="preserve"> </w:t>
      </w:r>
      <w:r>
        <w:t>que</w:t>
      </w:r>
      <w:r w:rsidRPr="002C4077">
        <w:t xml:space="preserve"> </w:t>
      </w:r>
      <w:r>
        <w:t>le</w:t>
      </w:r>
      <w:r w:rsidRPr="002C4077">
        <w:t xml:space="preserve"> </w:t>
      </w:r>
      <w:r>
        <w:t>Seigneur</w:t>
      </w:r>
      <w:r w:rsidRPr="002C4077">
        <w:t xml:space="preserve"> </w:t>
      </w:r>
      <w:r w:rsidR="00425C50">
        <w:t>est</w:t>
      </w:r>
      <w:r w:rsidRPr="002C4077">
        <w:t xml:space="preserve"> </w:t>
      </w:r>
      <w:r>
        <w:t>visiblement</w:t>
      </w:r>
      <w:r w:rsidRPr="002C4077">
        <w:t xml:space="preserve"> </w:t>
      </w:r>
      <w:r>
        <w:t>avec</w:t>
      </w:r>
      <w:r w:rsidRPr="002C4077">
        <w:t xml:space="preserve"> </w:t>
      </w:r>
      <w:r>
        <w:t>Rome.</w:t>
      </w:r>
      <w:r w:rsidRPr="002C4077">
        <w:t xml:space="preserve"> </w:t>
      </w:r>
    </w:p>
    <w:p w:rsidR="000A7AAB" w:rsidRDefault="000A7AAB" w:rsidP="000A7AAB">
      <w:r>
        <w:t>Quelle</w:t>
      </w:r>
      <w:r w:rsidRPr="002C4077">
        <w:t xml:space="preserve"> </w:t>
      </w:r>
      <w:r>
        <w:t>différence</w:t>
      </w:r>
      <w:r w:rsidRPr="002C4077">
        <w:t xml:space="preserve"> </w:t>
      </w:r>
      <w:r>
        <w:t>en</w:t>
      </w:r>
      <w:r w:rsidRPr="002C4077">
        <w:t xml:space="preserve"> </w:t>
      </w:r>
      <w:r>
        <w:t>Angleterre,</w:t>
      </w:r>
      <w:r w:rsidRPr="002C4077">
        <w:t xml:space="preserve"> </w:t>
      </w:r>
      <w:r>
        <w:t>avant,</w:t>
      </w:r>
      <w:r w:rsidRPr="002C4077">
        <w:t xml:space="preserve"> </w:t>
      </w:r>
      <w:r>
        <w:t>pendant</w:t>
      </w:r>
      <w:r w:rsidRPr="002C4077">
        <w:t xml:space="preserve"> </w:t>
      </w:r>
      <w:r>
        <w:t>et</w:t>
      </w:r>
      <w:r w:rsidRPr="002C4077">
        <w:t xml:space="preserve"> </w:t>
      </w:r>
      <w:r>
        <w:t>après</w:t>
      </w:r>
      <w:r w:rsidRPr="002C4077">
        <w:t xml:space="preserve"> </w:t>
      </w:r>
      <w:r>
        <w:t>la</w:t>
      </w:r>
      <w:r w:rsidRPr="002C4077">
        <w:t xml:space="preserve"> </w:t>
      </w:r>
      <w:r>
        <w:t>révision</w:t>
      </w:r>
      <w:r w:rsidRPr="002C4077">
        <w:t xml:space="preserve"> </w:t>
      </w:r>
      <w:r>
        <w:t>récente</w:t>
      </w:r>
      <w:r w:rsidRPr="002C4077">
        <w:t xml:space="preserve"> </w:t>
      </w:r>
      <w:r>
        <w:t>qui</w:t>
      </w:r>
      <w:r w:rsidRPr="002C4077">
        <w:t xml:space="preserve"> </w:t>
      </w:r>
      <w:r>
        <w:t>a</w:t>
      </w:r>
      <w:r w:rsidRPr="002C4077">
        <w:t xml:space="preserve"> </w:t>
      </w:r>
      <w:r>
        <w:t>tant</w:t>
      </w:r>
      <w:r w:rsidRPr="002C4077">
        <w:t xml:space="preserve"> </w:t>
      </w:r>
      <w:r>
        <w:t>occupé</w:t>
      </w:r>
      <w:r w:rsidRPr="002C4077">
        <w:t xml:space="preserve"> </w:t>
      </w:r>
      <w:r>
        <w:t>les</w:t>
      </w:r>
      <w:r w:rsidRPr="002C4077">
        <w:t xml:space="preserve"> </w:t>
      </w:r>
      <w:r>
        <w:t>esprits</w:t>
      </w:r>
      <w:r w:rsidR="00B546AF">
        <w:t> !</w:t>
      </w:r>
      <w:r w:rsidRPr="002C4077">
        <w:t xml:space="preserve"> </w:t>
      </w:r>
      <w:r>
        <w:t>Nous</w:t>
      </w:r>
      <w:r w:rsidRPr="002C4077">
        <w:t xml:space="preserve"> </w:t>
      </w:r>
      <w:r>
        <w:t>avons</w:t>
      </w:r>
      <w:r w:rsidRPr="002C4077">
        <w:t xml:space="preserve"> </w:t>
      </w:r>
      <w:r>
        <w:t>trouvé</w:t>
      </w:r>
      <w:r w:rsidRPr="002C4077">
        <w:t xml:space="preserve"> </w:t>
      </w:r>
      <w:r>
        <w:t>là-dessus</w:t>
      </w:r>
      <w:r w:rsidRPr="002C4077">
        <w:t xml:space="preserve"> </w:t>
      </w:r>
      <w:r>
        <w:t>de</w:t>
      </w:r>
      <w:r w:rsidRPr="002C4077">
        <w:t xml:space="preserve"> </w:t>
      </w:r>
      <w:r>
        <w:t>curieux</w:t>
      </w:r>
      <w:r w:rsidRPr="002C4077">
        <w:t xml:space="preserve"> </w:t>
      </w:r>
      <w:r>
        <w:t>détails</w:t>
      </w:r>
      <w:r w:rsidRPr="002C4077">
        <w:t xml:space="preserve"> </w:t>
      </w:r>
      <w:r>
        <w:t>dans</w:t>
      </w:r>
      <w:r w:rsidRPr="002C4077">
        <w:t xml:space="preserve"> </w:t>
      </w:r>
      <w:r>
        <w:t>les</w:t>
      </w:r>
      <w:r w:rsidRPr="002C4077">
        <w:t xml:space="preserve"> </w:t>
      </w:r>
      <w:r>
        <w:t>revues</w:t>
      </w:r>
      <w:r w:rsidRPr="002C4077">
        <w:t xml:space="preserve"> </w:t>
      </w:r>
      <w:r>
        <w:t>ou</w:t>
      </w:r>
      <w:r w:rsidRPr="002C4077">
        <w:t xml:space="preserve"> </w:t>
      </w:r>
      <w:r>
        <w:t>brochures</w:t>
      </w:r>
      <w:r w:rsidRPr="002C4077">
        <w:t xml:space="preserve"> </w:t>
      </w:r>
      <w:r>
        <w:t>les</w:t>
      </w:r>
      <w:r w:rsidRPr="002C4077">
        <w:t xml:space="preserve"> </w:t>
      </w:r>
      <w:r>
        <w:t>plus</w:t>
      </w:r>
      <w:r w:rsidRPr="002C4077">
        <w:t xml:space="preserve"> </w:t>
      </w:r>
      <w:r>
        <w:t>accréditées,</w:t>
      </w:r>
      <w:r w:rsidRPr="002C4077">
        <w:t xml:space="preserve"> </w:t>
      </w:r>
      <w:r>
        <w:t>qui</w:t>
      </w:r>
      <w:r w:rsidRPr="002C4077">
        <w:t xml:space="preserve"> </w:t>
      </w:r>
      <w:r>
        <w:t>se</w:t>
      </w:r>
      <w:r w:rsidRPr="002C4077">
        <w:t xml:space="preserve"> </w:t>
      </w:r>
      <w:r>
        <w:t>sont</w:t>
      </w:r>
      <w:r w:rsidRPr="002C4077">
        <w:t xml:space="preserve"> </w:t>
      </w:r>
      <w:r>
        <w:t>occupées</w:t>
      </w:r>
      <w:r w:rsidRPr="002C4077">
        <w:t xml:space="preserve"> </w:t>
      </w:r>
      <w:r>
        <w:t>de</w:t>
      </w:r>
      <w:r w:rsidRPr="002C4077">
        <w:t xml:space="preserve"> </w:t>
      </w:r>
      <w:r>
        <w:t>la</w:t>
      </w:r>
      <w:r w:rsidRPr="002C4077">
        <w:t xml:space="preserve"> </w:t>
      </w:r>
      <w:r>
        <w:t>question.</w:t>
      </w:r>
      <w:r w:rsidRPr="002C4077">
        <w:t xml:space="preserve"> </w:t>
      </w:r>
      <w:r>
        <w:t>Nous</w:t>
      </w:r>
      <w:r w:rsidRPr="002C4077">
        <w:t xml:space="preserve"> </w:t>
      </w:r>
      <w:r>
        <w:t>en</w:t>
      </w:r>
      <w:r w:rsidRPr="002C4077">
        <w:t xml:space="preserve"> </w:t>
      </w:r>
      <w:r>
        <w:t>relèverons</w:t>
      </w:r>
      <w:r w:rsidRPr="002C4077">
        <w:t xml:space="preserve"> </w:t>
      </w:r>
      <w:r>
        <w:t>ici</w:t>
      </w:r>
      <w:r w:rsidRPr="002C4077">
        <w:t xml:space="preserve"> </w:t>
      </w:r>
      <w:r>
        <w:t>quelques-uns,</w:t>
      </w:r>
      <w:r w:rsidRPr="002C4077">
        <w:t xml:space="preserve"> </w:t>
      </w:r>
      <w:r>
        <w:t>pour</w:t>
      </w:r>
      <w:r w:rsidRPr="002C4077">
        <w:t xml:space="preserve"> </w:t>
      </w:r>
      <w:r>
        <w:t>montrer</w:t>
      </w:r>
      <w:r w:rsidRPr="002C4077">
        <w:t xml:space="preserve"> </w:t>
      </w:r>
      <w:r>
        <w:t>combien</w:t>
      </w:r>
      <w:r w:rsidRPr="002C4077">
        <w:t xml:space="preserve"> </w:t>
      </w:r>
      <w:r>
        <w:t>le</w:t>
      </w:r>
      <w:r w:rsidRPr="002C4077">
        <w:t xml:space="preserve"> </w:t>
      </w:r>
      <w:r>
        <w:t>principe</w:t>
      </w:r>
      <w:r w:rsidRPr="002C4077">
        <w:t xml:space="preserve"> </w:t>
      </w:r>
      <w:r>
        <w:t>d’autorité,</w:t>
      </w:r>
      <w:r w:rsidRPr="002C4077">
        <w:t xml:space="preserve"> </w:t>
      </w:r>
      <w:r>
        <w:t>qui</w:t>
      </w:r>
      <w:r w:rsidRPr="002C4077">
        <w:t xml:space="preserve"> </w:t>
      </w:r>
      <w:r>
        <w:t>fait</w:t>
      </w:r>
      <w:r w:rsidRPr="002C4077">
        <w:t xml:space="preserve"> </w:t>
      </w:r>
      <w:r>
        <w:t>la</w:t>
      </w:r>
      <w:r w:rsidRPr="002C4077">
        <w:t xml:space="preserve"> </w:t>
      </w:r>
      <w:r>
        <w:t>force</w:t>
      </w:r>
      <w:r w:rsidRPr="002C4077">
        <w:t xml:space="preserve"> </w:t>
      </w:r>
      <w:r>
        <w:t>de</w:t>
      </w:r>
      <w:r w:rsidRPr="002C4077">
        <w:t xml:space="preserve"> </w:t>
      </w:r>
      <w:r>
        <w:t>l’Église</w:t>
      </w:r>
      <w:r w:rsidRPr="002C4077">
        <w:t xml:space="preserve"> </w:t>
      </w:r>
      <w:r>
        <w:t>romaine,</w:t>
      </w:r>
      <w:r w:rsidRPr="002C4077">
        <w:t xml:space="preserve"> </w:t>
      </w:r>
      <w:r>
        <w:t>l’emporte</w:t>
      </w:r>
      <w:r w:rsidRPr="002C4077">
        <w:t xml:space="preserve"> </w:t>
      </w:r>
      <w:r>
        <w:t>sur</w:t>
      </w:r>
      <w:r w:rsidRPr="002C4077">
        <w:t xml:space="preserve"> </w:t>
      </w:r>
      <w:r>
        <w:t>le</w:t>
      </w:r>
      <w:r w:rsidRPr="002C4077">
        <w:t xml:space="preserve"> </w:t>
      </w:r>
      <w:r>
        <w:t>libre</w:t>
      </w:r>
      <w:r w:rsidRPr="002C4077">
        <w:t xml:space="preserve"> </w:t>
      </w:r>
      <w:r>
        <w:t>examen,</w:t>
      </w:r>
      <w:r w:rsidRPr="002C4077">
        <w:t xml:space="preserve"> </w:t>
      </w:r>
      <w:r>
        <w:t>qui</w:t>
      </w:r>
      <w:r w:rsidRPr="002C4077">
        <w:t xml:space="preserve"> </w:t>
      </w:r>
      <w:r w:rsidR="00425C50">
        <w:t>est</w:t>
      </w:r>
      <w:r w:rsidRPr="002C4077">
        <w:t xml:space="preserve"> </w:t>
      </w:r>
      <w:r>
        <w:t>une</w:t>
      </w:r>
      <w:r w:rsidRPr="002C4077">
        <w:t xml:space="preserve"> </w:t>
      </w:r>
      <w:r>
        <w:t>cause</w:t>
      </w:r>
      <w:r w:rsidRPr="002C4077">
        <w:t xml:space="preserve"> </w:t>
      </w:r>
      <w:r>
        <w:t>de</w:t>
      </w:r>
      <w:r w:rsidRPr="002C4077">
        <w:t xml:space="preserve"> </w:t>
      </w:r>
      <w:r>
        <w:t>dissolution</w:t>
      </w:r>
      <w:r w:rsidRPr="002C4077">
        <w:t xml:space="preserve"> </w:t>
      </w:r>
      <w:r>
        <w:t>et</w:t>
      </w:r>
      <w:r w:rsidRPr="002C4077">
        <w:t xml:space="preserve"> </w:t>
      </w:r>
      <w:r>
        <w:t>de</w:t>
      </w:r>
      <w:r w:rsidRPr="002C4077">
        <w:t xml:space="preserve"> </w:t>
      </w:r>
      <w:r>
        <w:t>ruine</w:t>
      </w:r>
      <w:r w:rsidRPr="002C4077">
        <w:t xml:space="preserve"> </w:t>
      </w:r>
      <w:r>
        <w:t>dans</w:t>
      </w:r>
      <w:r w:rsidRPr="002C4077">
        <w:t xml:space="preserve"> </w:t>
      </w:r>
      <w:r>
        <w:t>l’Église</w:t>
      </w:r>
      <w:r w:rsidRPr="002C4077">
        <w:t xml:space="preserve"> </w:t>
      </w:r>
      <w:r>
        <w:t>anglicane,</w:t>
      </w:r>
      <w:r w:rsidRPr="002C4077">
        <w:t xml:space="preserve"> </w:t>
      </w:r>
      <w:r>
        <w:t>comme</w:t>
      </w:r>
      <w:r w:rsidRPr="002C4077">
        <w:t xml:space="preserve"> </w:t>
      </w:r>
      <w:r>
        <w:t>en</w:t>
      </w:r>
      <w:r w:rsidRPr="002C4077">
        <w:t xml:space="preserve"> </w:t>
      </w:r>
      <w:r>
        <w:t>général</w:t>
      </w:r>
      <w:r w:rsidRPr="002C4077">
        <w:t xml:space="preserve"> </w:t>
      </w:r>
      <w:r>
        <w:t>dans</w:t>
      </w:r>
      <w:r w:rsidRPr="002C4077">
        <w:t xml:space="preserve"> </w:t>
      </w:r>
      <w:r>
        <w:t>toutes</w:t>
      </w:r>
      <w:r w:rsidRPr="002C4077">
        <w:t xml:space="preserve"> </w:t>
      </w:r>
      <w:r>
        <w:t>les</w:t>
      </w:r>
      <w:r w:rsidRPr="002C4077">
        <w:t xml:space="preserve"> </w:t>
      </w:r>
      <w:r>
        <w:t>sectes</w:t>
      </w:r>
      <w:r w:rsidRPr="002C4077">
        <w:t xml:space="preserve"> </w:t>
      </w:r>
      <w:r>
        <w:t>protestantes.</w:t>
      </w:r>
      <w:r w:rsidR="00C45B47">
        <w:t xml:space="preserve"> {</w:t>
      </w:r>
      <w:r w:rsidR="00B53529">
        <w:t>181</w:t>
      </w:r>
      <w:bookmarkStart w:id="471" w:name="p181"/>
      <w:bookmarkEnd w:id="471"/>
      <w:r w:rsidR="00B53529">
        <w:t xml:space="preserve">} </w:t>
      </w:r>
      <w:r>
        <w:t>Il</w:t>
      </w:r>
      <w:r w:rsidRPr="002C4077">
        <w:t xml:space="preserve"> </w:t>
      </w:r>
      <w:r>
        <w:t>nous</w:t>
      </w:r>
      <w:r w:rsidRPr="002C4077">
        <w:t xml:space="preserve"> </w:t>
      </w:r>
      <w:r>
        <w:t>faut</w:t>
      </w:r>
      <w:r w:rsidRPr="002C4077">
        <w:t xml:space="preserve"> </w:t>
      </w:r>
      <w:r>
        <w:t>sans</w:t>
      </w:r>
      <w:r w:rsidRPr="002C4077">
        <w:t xml:space="preserve"> </w:t>
      </w:r>
      <w:r>
        <w:t>doute</w:t>
      </w:r>
      <w:r w:rsidRPr="002C4077">
        <w:t xml:space="preserve"> </w:t>
      </w:r>
      <w:r>
        <w:t>admirer,</w:t>
      </w:r>
      <w:r w:rsidRPr="002C4077">
        <w:t xml:space="preserve"> </w:t>
      </w:r>
      <w:r>
        <w:t>envier</w:t>
      </w:r>
      <w:r w:rsidRPr="002C4077">
        <w:t xml:space="preserve"> </w:t>
      </w:r>
      <w:r>
        <w:t>même</w:t>
      </w:r>
      <w:r w:rsidRPr="002C4077">
        <w:t xml:space="preserve"> </w:t>
      </w:r>
      <w:r>
        <w:t>peut-être</w:t>
      </w:r>
      <w:r w:rsidRPr="002C4077">
        <w:t xml:space="preserve"> </w:t>
      </w:r>
      <w:r>
        <w:t>l’amour</w:t>
      </w:r>
      <w:r w:rsidRPr="002C4077">
        <w:t xml:space="preserve"> </w:t>
      </w:r>
      <w:r>
        <w:t>enthousiaste</w:t>
      </w:r>
      <w:r w:rsidRPr="002C4077">
        <w:t xml:space="preserve"> </w:t>
      </w:r>
      <w:r>
        <w:t>des</w:t>
      </w:r>
      <w:r w:rsidRPr="002C4077">
        <w:t xml:space="preserve"> </w:t>
      </w:r>
      <w:r>
        <w:t>Anglais</w:t>
      </w:r>
      <w:r w:rsidRPr="002C4077">
        <w:t xml:space="preserve"> </w:t>
      </w:r>
      <w:r>
        <w:t>pour</w:t>
      </w:r>
      <w:r w:rsidRPr="002C4077">
        <w:t xml:space="preserve"> </w:t>
      </w:r>
      <w:r>
        <w:t>la</w:t>
      </w:r>
      <w:r w:rsidRPr="002C4077">
        <w:t xml:space="preserve"> </w:t>
      </w:r>
      <w:r>
        <w:t>Bible,</w:t>
      </w:r>
      <w:r w:rsidRPr="002C4077">
        <w:t xml:space="preserve"> </w:t>
      </w:r>
      <w:r>
        <w:t>le</w:t>
      </w:r>
      <w:r w:rsidRPr="002C4077">
        <w:t xml:space="preserve"> </w:t>
      </w:r>
      <w:r>
        <w:t>courage</w:t>
      </w:r>
      <w:r w:rsidRPr="002C4077">
        <w:t xml:space="preserve"> </w:t>
      </w:r>
      <w:r>
        <w:t>avec</w:t>
      </w:r>
      <w:r w:rsidRPr="002C4077">
        <w:t xml:space="preserve"> </w:t>
      </w:r>
      <w:r>
        <w:t>lequel</w:t>
      </w:r>
      <w:r w:rsidRPr="002C4077">
        <w:t xml:space="preserve"> </w:t>
      </w:r>
      <w:r>
        <w:t>ils</w:t>
      </w:r>
      <w:r w:rsidRPr="002C4077">
        <w:t xml:space="preserve"> </w:t>
      </w:r>
      <w:r>
        <w:t>entreprennent</w:t>
      </w:r>
      <w:r w:rsidRPr="002C4077">
        <w:t xml:space="preserve"> </w:t>
      </w:r>
      <w:r>
        <w:t>à</w:t>
      </w:r>
      <w:r w:rsidRPr="002C4077">
        <w:t xml:space="preserve"> </w:t>
      </w:r>
      <w:r>
        <w:t>son</w:t>
      </w:r>
      <w:r w:rsidRPr="002C4077">
        <w:t xml:space="preserve"> </w:t>
      </w:r>
      <w:r>
        <w:t>sujet</w:t>
      </w:r>
      <w:r w:rsidRPr="002C4077">
        <w:t xml:space="preserve"> </w:t>
      </w:r>
      <w:r>
        <w:t>les</w:t>
      </w:r>
      <w:r w:rsidRPr="002C4077">
        <w:t xml:space="preserve"> </w:t>
      </w:r>
      <w:r>
        <w:t>plus</w:t>
      </w:r>
      <w:r w:rsidRPr="002C4077">
        <w:t xml:space="preserve"> </w:t>
      </w:r>
      <w:r>
        <w:t>savants</w:t>
      </w:r>
      <w:r w:rsidRPr="002C4077">
        <w:t xml:space="preserve"> </w:t>
      </w:r>
      <w:r>
        <w:t>travaux</w:t>
      </w:r>
      <w:r w:rsidR="00B546AF">
        <w:t> ;</w:t>
      </w:r>
      <w:r w:rsidRPr="002C4077">
        <w:t xml:space="preserve"> </w:t>
      </w:r>
      <w:r>
        <w:t>mais</w:t>
      </w:r>
      <w:r w:rsidRPr="002C4077">
        <w:t xml:space="preserve"> </w:t>
      </w:r>
      <w:r>
        <w:t>il</w:t>
      </w:r>
      <w:r w:rsidRPr="002C4077">
        <w:t xml:space="preserve"> </w:t>
      </w:r>
      <w:r>
        <w:t>n’en</w:t>
      </w:r>
      <w:r w:rsidRPr="002C4077">
        <w:t xml:space="preserve"> </w:t>
      </w:r>
      <w:r>
        <w:t>demeure</w:t>
      </w:r>
      <w:r w:rsidRPr="002C4077">
        <w:t xml:space="preserve"> </w:t>
      </w:r>
      <w:r>
        <w:t>pas</w:t>
      </w:r>
      <w:r w:rsidRPr="002C4077">
        <w:t xml:space="preserve"> </w:t>
      </w:r>
      <w:r>
        <w:t>moins</w:t>
      </w:r>
      <w:r w:rsidRPr="002C4077">
        <w:t xml:space="preserve"> </w:t>
      </w:r>
      <w:r>
        <w:t>vrai</w:t>
      </w:r>
      <w:r w:rsidRPr="002C4077">
        <w:t xml:space="preserve"> </w:t>
      </w:r>
      <w:r>
        <w:t>que,</w:t>
      </w:r>
      <w:r w:rsidRPr="002C4077">
        <w:t xml:space="preserve"> </w:t>
      </w:r>
      <w:r>
        <w:t>souvent,</w:t>
      </w:r>
      <w:r w:rsidRPr="002C4077">
        <w:t xml:space="preserve"> </w:t>
      </w:r>
      <w:r>
        <w:t>leurs</w:t>
      </w:r>
      <w:r w:rsidRPr="002C4077">
        <w:t xml:space="preserve"> </w:t>
      </w:r>
      <w:r>
        <w:t>efforts</w:t>
      </w:r>
      <w:r w:rsidRPr="002C4077">
        <w:t xml:space="preserve"> </w:t>
      </w:r>
      <w:r>
        <w:t>ont</w:t>
      </w:r>
      <w:r w:rsidRPr="002C4077">
        <w:t xml:space="preserve"> </w:t>
      </w:r>
      <w:r>
        <w:t>lieu</w:t>
      </w:r>
      <w:r w:rsidRPr="002C4077">
        <w:t xml:space="preserve"> </w:t>
      </w:r>
      <w:r>
        <w:t>en</w:t>
      </w:r>
      <w:r w:rsidRPr="002C4077">
        <w:t xml:space="preserve"> </w:t>
      </w:r>
      <w:r>
        <w:t>pure</w:t>
      </w:r>
      <w:r w:rsidRPr="002C4077">
        <w:t xml:space="preserve"> </w:t>
      </w:r>
      <w:r>
        <w:t>perte</w:t>
      </w:r>
      <w:r w:rsidRPr="002C4077">
        <w:t xml:space="preserve"> </w:t>
      </w:r>
      <w:r>
        <w:t>et</w:t>
      </w:r>
      <w:r w:rsidRPr="002C4077">
        <w:t xml:space="preserve"> </w:t>
      </w:r>
      <w:r>
        <w:t>qu’on</w:t>
      </w:r>
      <w:r w:rsidRPr="002C4077">
        <w:t xml:space="preserve"> </w:t>
      </w:r>
      <w:r>
        <w:t>doit</w:t>
      </w:r>
      <w:r w:rsidRPr="002C4077">
        <w:t xml:space="preserve"> </w:t>
      </w:r>
      <w:r>
        <w:t>leur</w:t>
      </w:r>
      <w:r w:rsidRPr="002C4077">
        <w:t xml:space="preserve"> </w:t>
      </w:r>
      <w:r>
        <w:t>appliquer,</w:t>
      </w:r>
      <w:r w:rsidRPr="002C4077">
        <w:t xml:space="preserve"> </w:t>
      </w:r>
      <w:r>
        <w:t>au</w:t>
      </w:r>
      <w:r w:rsidRPr="002C4077">
        <w:t xml:space="preserve"> </w:t>
      </w:r>
      <w:r>
        <w:t>moins</w:t>
      </w:r>
      <w:r w:rsidRPr="002C4077">
        <w:t xml:space="preserve"> </w:t>
      </w:r>
      <w:r>
        <w:t>partiellement,</w:t>
      </w:r>
      <w:r w:rsidRPr="002C4077">
        <w:t xml:space="preserve"> </w:t>
      </w:r>
      <w:r>
        <w:t>le</w:t>
      </w:r>
      <w:r w:rsidRPr="002C4077">
        <w:t xml:space="preserve"> </w:t>
      </w:r>
      <w:r>
        <w:t>triste</w:t>
      </w:r>
      <w:r w:rsidRPr="002C4077">
        <w:t xml:space="preserve"> </w:t>
      </w:r>
      <w:r>
        <w:t>axiome</w:t>
      </w:r>
      <w:r w:rsidR="00B546AF">
        <w:t> :</w:t>
      </w:r>
      <w:r w:rsidRPr="002C4077">
        <w:t xml:space="preserve"> </w:t>
      </w:r>
      <w:r w:rsidRPr="000A34B5">
        <w:rPr>
          <w:rStyle w:val="italicus"/>
        </w:rPr>
        <w:t>Magni</w:t>
      </w:r>
      <w:r w:rsidRPr="002C4077">
        <w:t xml:space="preserve"> </w:t>
      </w:r>
      <w:r w:rsidRPr="000A34B5">
        <w:rPr>
          <w:rStyle w:val="italicus"/>
        </w:rPr>
        <w:t>passus,</w:t>
      </w:r>
      <w:r w:rsidRPr="002C4077">
        <w:t xml:space="preserve"> </w:t>
      </w:r>
      <w:r w:rsidRPr="000A34B5">
        <w:rPr>
          <w:rStyle w:val="italicus"/>
        </w:rPr>
        <w:t>sed</w:t>
      </w:r>
      <w:r w:rsidRPr="002C4077">
        <w:t xml:space="preserve"> </w:t>
      </w:r>
      <w:r w:rsidRPr="000A34B5">
        <w:rPr>
          <w:rStyle w:val="italicus"/>
        </w:rPr>
        <w:t>extra</w:t>
      </w:r>
      <w:r w:rsidRPr="002C4077">
        <w:t xml:space="preserve"> </w:t>
      </w:r>
      <w:r w:rsidRPr="000A34B5">
        <w:rPr>
          <w:rStyle w:val="italicus"/>
        </w:rPr>
        <w:t>viam.</w:t>
      </w:r>
      <w:r w:rsidRPr="002C4077">
        <w:t xml:space="preserve"> </w:t>
      </w:r>
    </w:p>
    <w:p w:rsidR="009269FC" w:rsidRDefault="009269FC" w:rsidP="000A7AAB"/>
    <w:p w:rsidR="000A7AAB" w:rsidRDefault="000A7AAB" w:rsidP="000A7AAB">
      <w:r>
        <w:t>1°</w:t>
      </w:r>
      <w:r w:rsidRPr="002C4077">
        <w:t xml:space="preserve"> </w:t>
      </w:r>
      <w:r>
        <w:rPr>
          <w:smallCaps/>
        </w:rPr>
        <w:t>Avant</w:t>
      </w:r>
      <w:r w:rsidRPr="002C4077">
        <w:t xml:space="preserve"> </w:t>
      </w:r>
      <w:r>
        <w:rPr>
          <w:smallCaps/>
        </w:rPr>
        <w:t>la</w:t>
      </w:r>
      <w:bookmarkStart w:id="472" w:name="z_VersionAutorisee_o1"/>
      <w:bookmarkEnd w:id="472"/>
      <w:r w:rsidRPr="002C4077">
        <w:t xml:space="preserve"> </w:t>
      </w:r>
      <w:r>
        <w:rPr>
          <w:smallCaps/>
        </w:rPr>
        <w:t>révision</w:t>
      </w:r>
      <w:r>
        <w:t>.</w:t>
      </w:r>
      <w:bookmarkStart w:id="473" w:name="z_Revision_o2"/>
      <w:bookmarkEnd w:id="473"/>
      <w:r w:rsidRPr="002C4077">
        <w:t xml:space="preserve"> </w:t>
      </w:r>
      <w:r>
        <w:t>—</w:t>
      </w:r>
      <w:r w:rsidRPr="002C4077">
        <w:t xml:space="preserve"> </w:t>
      </w:r>
      <w:r>
        <w:t>Une</w:t>
      </w:r>
      <w:r w:rsidRPr="002C4077">
        <w:t xml:space="preserve"> </w:t>
      </w:r>
      <w:r>
        <w:t>question</w:t>
      </w:r>
      <w:r w:rsidRPr="002C4077">
        <w:t xml:space="preserve"> </w:t>
      </w:r>
      <w:r>
        <w:t>préalable</w:t>
      </w:r>
      <w:r w:rsidRPr="002C4077">
        <w:t xml:space="preserve"> </w:t>
      </w:r>
      <w:r>
        <w:t>se</w:t>
      </w:r>
      <w:r w:rsidRPr="002C4077">
        <w:t xml:space="preserve"> </w:t>
      </w:r>
      <w:r>
        <w:t>posait.</w:t>
      </w:r>
      <w:r w:rsidRPr="002C4077">
        <w:t xml:space="preserve"> </w:t>
      </w:r>
      <w:r>
        <w:t>Était-il</w:t>
      </w:r>
      <w:r w:rsidRPr="002C4077">
        <w:t xml:space="preserve"> </w:t>
      </w:r>
      <w:r>
        <w:t>opportun</w:t>
      </w:r>
      <w:r w:rsidRPr="002C4077">
        <w:t xml:space="preserve"> </w:t>
      </w:r>
      <w:r>
        <w:t>de</w:t>
      </w:r>
      <w:r w:rsidRPr="002C4077">
        <w:t xml:space="preserve"> </w:t>
      </w:r>
      <w:r>
        <w:t>modifier</w:t>
      </w:r>
      <w:r w:rsidRPr="002C4077">
        <w:t xml:space="preserve"> </w:t>
      </w:r>
      <w:r>
        <w:t>la</w:t>
      </w:r>
      <w:r w:rsidRPr="002C4077">
        <w:t xml:space="preserve"> </w:t>
      </w:r>
      <w:r>
        <w:t>traduction</w:t>
      </w:r>
      <w:r w:rsidRPr="002C4077">
        <w:t xml:space="preserve"> </w:t>
      </w:r>
      <w:r>
        <w:t>anglaise</w:t>
      </w:r>
      <w:r w:rsidRPr="002C4077">
        <w:t xml:space="preserve"> </w:t>
      </w:r>
      <w:r>
        <w:t>du</w:t>
      </w:r>
      <w:r w:rsidRPr="002C4077">
        <w:t xml:space="preserve"> </w:t>
      </w:r>
      <w:r>
        <w:t>Nouveau</w:t>
      </w:r>
      <w:r w:rsidRPr="002C4077">
        <w:t xml:space="preserve"> </w:t>
      </w:r>
      <w:r>
        <w:t>Testament</w:t>
      </w:r>
      <w:r w:rsidR="00B546AF">
        <w:t> ?</w:t>
      </w:r>
      <w:r w:rsidRPr="002C4077">
        <w:t xml:space="preserve"> </w:t>
      </w:r>
    </w:p>
    <w:p w:rsidR="000A7AAB" w:rsidRPr="00B53529" w:rsidRDefault="000A7AAB" w:rsidP="000A7AAB">
      <w:r>
        <w:lastRenderedPageBreak/>
        <w:t>Quelques</w:t>
      </w:r>
      <w:r w:rsidRPr="002C4077">
        <w:t xml:space="preserve"> </w:t>
      </w:r>
      <w:r>
        <w:t>mots</w:t>
      </w:r>
      <w:r w:rsidRPr="002C4077">
        <w:t xml:space="preserve"> </w:t>
      </w:r>
      <w:r>
        <w:t>d’explication</w:t>
      </w:r>
      <w:r w:rsidRPr="002C4077">
        <w:t xml:space="preserve"> </w:t>
      </w:r>
      <w:r>
        <w:t>sont</w:t>
      </w:r>
      <w:r w:rsidRPr="002C4077">
        <w:t xml:space="preserve"> </w:t>
      </w:r>
      <w:r>
        <w:t>ici</w:t>
      </w:r>
      <w:r w:rsidRPr="002C4077">
        <w:t xml:space="preserve"> </w:t>
      </w:r>
      <w:r>
        <w:t>nécessaires,</w:t>
      </w:r>
      <w:r w:rsidRPr="002C4077">
        <w:t xml:space="preserve"> </w:t>
      </w:r>
      <w:r>
        <w:t>pour</w:t>
      </w:r>
      <w:r w:rsidRPr="002C4077">
        <w:t xml:space="preserve"> </w:t>
      </w:r>
      <w:r>
        <w:t>bien</w:t>
      </w:r>
      <w:r w:rsidRPr="002C4077">
        <w:t xml:space="preserve"> </w:t>
      </w:r>
      <w:r>
        <w:t>mettre</w:t>
      </w:r>
      <w:r w:rsidRPr="002C4077">
        <w:t xml:space="preserve"> </w:t>
      </w:r>
      <w:r>
        <w:t>le</w:t>
      </w:r>
      <w:r w:rsidRPr="002C4077">
        <w:t xml:space="preserve"> </w:t>
      </w:r>
      <w:r>
        <w:t>lecteur</w:t>
      </w:r>
      <w:r w:rsidRPr="002C4077">
        <w:t xml:space="preserve"> </w:t>
      </w:r>
      <w:r>
        <w:t>au</w:t>
      </w:r>
      <w:r w:rsidRPr="002C4077">
        <w:t xml:space="preserve"> </w:t>
      </w:r>
      <w:r>
        <w:t>courant</w:t>
      </w:r>
      <w:r w:rsidRPr="002C4077">
        <w:t xml:space="preserve"> </w:t>
      </w:r>
      <w:r>
        <w:t>de</w:t>
      </w:r>
      <w:r w:rsidRPr="002C4077">
        <w:t xml:space="preserve"> </w:t>
      </w:r>
      <w:r>
        <w:t>la</w:t>
      </w:r>
      <w:r w:rsidRPr="002C4077">
        <w:t xml:space="preserve"> </w:t>
      </w:r>
      <w:r>
        <w:t>situation.</w:t>
      </w:r>
      <w:r w:rsidRPr="002C4077">
        <w:t xml:space="preserve"> </w:t>
      </w:r>
      <w:r>
        <w:t>Nous</w:t>
      </w:r>
      <w:r w:rsidRPr="002C4077">
        <w:t xml:space="preserve"> </w:t>
      </w:r>
      <w:r>
        <w:t>n’avons,</w:t>
      </w:r>
      <w:r w:rsidRPr="002C4077">
        <w:t xml:space="preserve"> </w:t>
      </w:r>
      <w:r>
        <w:t>dans</w:t>
      </w:r>
      <w:r w:rsidRPr="002C4077">
        <w:t xml:space="preserve"> </w:t>
      </w:r>
      <w:r>
        <w:t>notre</w:t>
      </w:r>
      <w:r w:rsidRPr="002C4077">
        <w:t xml:space="preserve"> </w:t>
      </w:r>
      <w:r>
        <w:t>idiome,</w:t>
      </w:r>
      <w:r w:rsidRPr="002C4077">
        <w:t xml:space="preserve"> </w:t>
      </w:r>
      <w:r>
        <w:t>aucune</w:t>
      </w:r>
      <w:r w:rsidRPr="002C4077">
        <w:t xml:space="preserve"> </w:t>
      </w:r>
      <w:r>
        <w:t>version</w:t>
      </w:r>
      <w:r w:rsidRPr="002C4077">
        <w:t xml:space="preserve"> </w:t>
      </w:r>
      <w:r>
        <w:t>de</w:t>
      </w:r>
      <w:r w:rsidRPr="002C4077">
        <w:t xml:space="preserve"> </w:t>
      </w:r>
      <w:r>
        <w:t>la</w:t>
      </w:r>
      <w:r w:rsidRPr="002C4077">
        <w:t xml:space="preserve"> </w:t>
      </w:r>
      <w:r>
        <w:t>Bible</w:t>
      </w:r>
      <w:r w:rsidRPr="002C4077">
        <w:t xml:space="preserve"> </w:t>
      </w:r>
      <w:r>
        <w:t>qui</w:t>
      </w:r>
      <w:r w:rsidRPr="002C4077">
        <w:t xml:space="preserve"> </w:t>
      </w:r>
      <w:r>
        <w:t>soit</w:t>
      </w:r>
      <w:r w:rsidRPr="002C4077">
        <w:t xml:space="preserve"> </w:t>
      </w:r>
      <w:r>
        <w:t>exclusivement</w:t>
      </w:r>
      <w:r w:rsidRPr="002C4077">
        <w:t xml:space="preserve"> </w:t>
      </w:r>
      <w:r>
        <w:t>revêtue,</w:t>
      </w:r>
      <w:r w:rsidRPr="002C4077">
        <w:t xml:space="preserve"> </w:t>
      </w:r>
      <w:r>
        <w:t>entre</w:t>
      </w:r>
      <w:r w:rsidRPr="002C4077">
        <w:t xml:space="preserve"> </w:t>
      </w:r>
      <w:r>
        <w:t>toutes</w:t>
      </w:r>
      <w:r w:rsidRPr="002C4077">
        <w:t xml:space="preserve"> </w:t>
      </w:r>
      <w:r>
        <w:t>les</w:t>
      </w:r>
      <w:r w:rsidRPr="002C4077">
        <w:t xml:space="preserve"> </w:t>
      </w:r>
      <w:r>
        <w:t>autres,</w:t>
      </w:r>
      <w:r w:rsidRPr="002C4077">
        <w:t xml:space="preserve"> </w:t>
      </w:r>
      <w:r>
        <w:t>d’un</w:t>
      </w:r>
      <w:r w:rsidRPr="002C4077">
        <w:t xml:space="preserve"> </w:t>
      </w:r>
      <w:r>
        <w:t>caractère</w:t>
      </w:r>
      <w:r w:rsidRPr="002C4077">
        <w:t xml:space="preserve"> </w:t>
      </w:r>
      <w:r>
        <w:t>officiel.</w:t>
      </w:r>
      <w:r w:rsidRPr="002C4077">
        <w:t xml:space="preserve"> </w:t>
      </w:r>
      <w:r>
        <w:t>De</w:t>
      </w:r>
      <w:r w:rsidRPr="002C4077">
        <w:t xml:space="preserve"> </w:t>
      </w:r>
      <w:r>
        <w:t>nouvelles</w:t>
      </w:r>
      <w:r w:rsidRPr="002C4077">
        <w:t xml:space="preserve"> </w:t>
      </w:r>
      <w:r>
        <w:t>traductions</w:t>
      </w:r>
      <w:r w:rsidRPr="002C4077">
        <w:t xml:space="preserve"> </w:t>
      </w:r>
      <w:r>
        <w:t>françaises</w:t>
      </w:r>
      <w:r w:rsidRPr="002C4077">
        <w:t xml:space="preserve"> </w:t>
      </w:r>
      <w:r>
        <w:t>peuvent</w:t>
      </w:r>
      <w:r w:rsidRPr="002C4077">
        <w:t xml:space="preserve"> </w:t>
      </w:r>
      <w:r>
        <w:t>donc</w:t>
      </w:r>
      <w:r w:rsidRPr="002C4077">
        <w:t xml:space="preserve"> </w:t>
      </w:r>
      <w:r>
        <w:t>surgir</w:t>
      </w:r>
      <w:r w:rsidRPr="002C4077">
        <w:t xml:space="preserve"> </w:t>
      </w:r>
      <w:r>
        <w:t>sans</w:t>
      </w:r>
      <w:r w:rsidRPr="002C4077">
        <w:t xml:space="preserve"> </w:t>
      </w:r>
      <w:r>
        <w:t>trop</w:t>
      </w:r>
      <w:r w:rsidRPr="002C4077">
        <w:t xml:space="preserve"> </w:t>
      </w:r>
      <w:r>
        <w:t>choquer,</w:t>
      </w:r>
      <w:r w:rsidRPr="002C4077">
        <w:t xml:space="preserve"> </w:t>
      </w:r>
      <w:r>
        <w:t>soit</w:t>
      </w:r>
      <w:r w:rsidRPr="002C4077">
        <w:t xml:space="preserve"> </w:t>
      </w:r>
      <w:r>
        <w:t>les</w:t>
      </w:r>
      <w:r w:rsidRPr="002C4077">
        <w:t xml:space="preserve"> </w:t>
      </w:r>
      <w:r>
        <w:t>yeux</w:t>
      </w:r>
      <w:r w:rsidRPr="002C4077">
        <w:t xml:space="preserve"> </w:t>
      </w:r>
      <w:r>
        <w:t>des</w:t>
      </w:r>
      <w:r w:rsidRPr="002C4077">
        <w:t xml:space="preserve"> </w:t>
      </w:r>
      <w:r>
        <w:t>lecteurs,</w:t>
      </w:r>
      <w:r w:rsidRPr="002C4077">
        <w:t xml:space="preserve"> </w:t>
      </w:r>
      <w:r>
        <w:t>soit</w:t>
      </w:r>
      <w:r w:rsidRPr="002C4077">
        <w:t xml:space="preserve"> </w:t>
      </w:r>
      <w:r>
        <w:t>les</w:t>
      </w:r>
      <w:r w:rsidRPr="002C4077">
        <w:t xml:space="preserve"> </w:t>
      </w:r>
      <w:r>
        <w:t>oreilles</w:t>
      </w:r>
      <w:r w:rsidRPr="002C4077">
        <w:t xml:space="preserve"> </w:t>
      </w:r>
      <w:r>
        <w:t>des</w:t>
      </w:r>
      <w:r w:rsidRPr="002C4077">
        <w:t xml:space="preserve"> </w:t>
      </w:r>
      <w:r>
        <w:t>auditeurs,</w:t>
      </w:r>
      <w:r w:rsidRPr="002C4077">
        <w:t xml:space="preserve"> </w:t>
      </w:r>
      <w:r>
        <w:t>sans</w:t>
      </w:r>
      <w:r w:rsidRPr="002C4077">
        <w:t xml:space="preserve"> </w:t>
      </w:r>
      <w:r>
        <w:t>dérouter</w:t>
      </w:r>
      <w:r w:rsidRPr="002C4077">
        <w:t xml:space="preserve"> </w:t>
      </w:r>
      <w:r>
        <w:t>la</w:t>
      </w:r>
      <w:r w:rsidRPr="002C4077">
        <w:t xml:space="preserve"> </w:t>
      </w:r>
      <w:r>
        <w:t>dévotion</w:t>
      </w:r>
      <w:r w:rsidRPr="002C4077">
        <w:t xml:space="preserve"> </w:t>
      </w:r>
      <w:r>
        <w:t>publique</w:t>
      </w:r>
      <w:r w:rsidRPr="002C4077">
        <w:t xml:space="preserve"> </w:t>
      </w:r>
      <w:r>
        <w:t>ou</w:t>
      </w:r>
      <w:r w:rsidRPr="002C4077">
        <w:t xml:space="preserve"> </w:t>
      </w:r>
      <w:r>
        <w:t>privée,</w:t>
      </w:r>
      <w:r w:rsidRPr="002C4077">
        <w:t xml:space="preserve"> </w:t>
      </w:r>
      <w:r>
        <w:t>car</w:t>
      </w:r>
      <w:r w:rsidRPr="002C4077">
        <w:t xml:space="preserve"> </w:t>
      </w:r>
      <w:r>
        <w:t>nous</w:t>
      </w:r>
      <w:r w:rsidRPr="002C4077">
        <w:t xml:space="preserve"> </w:t>
      </w:r>
      <w:r>
        <w:t>ne</w:t>
      </w:r>
      <w:r w:rsidRPr="002C4077">
        <w:t xml:space="preserve"> </w:t>
      </w:r>
      <w:r>
        <w:t>sommes</w:t>
      </w:r>
      <w:r w:rsidRPr="002C4077">
        <w:t xml:space="preserve"> </w:t>
      </w:r>
      <w:r>
        <w:t>guère</w:t>
      </w:r>
      <w:r w:rsidRPr="002C4077">
        <w:t xml:space="preserve"> </w:t>
      </w:r>
      <w:r>
        <w:t>plus</w:t>
      </w:r>
      <w:r w:rsidRPr="002C4077">
        <w:t xml:space="preserve"> </w:t>
      </w:r>
      <w:r>
        <w:t>familiarisés</w:t>
      </w:r>
      <w:r w:rsidRPr="002C4077">
        <w:t xml:space="preserve"> </w:t>
      </w:r>
      <w:r>
        <w:t>avec</w:t>
      </w:r>
      <w:r w:rsidRPr="002C4077">
        <w:t xml:space="preserve"> </w:t>
      </w:r>
      <w:r>
        <w:t>celle-ci</w:t>
      </w:r>
      <w:r w:rsidRPr="002C4077">
        <w:t xml:space="preserve"> </w:t>
      </w:r>
      <w:r>
        <w:t>qu’avec</w:t>
      </w:r>
      <w:r w:rsidRPr="002C4077">
        <w:t xml:space="preserve"> </w:t>
      </w:r>
      <w:r>
        <w:t>celle-là.</w:t>
      </w:r>
      <w:r w:rsidRPr="002C4077">
        <w:t xml:space="preserve"> </w:t>
      </w:r>
      <w:r>
        <w:t>Le</w:t>
      </w:r>
      <w:r w:rsidRPr="002C4077">
        <w:t xml:space="preserve"> </w:t>
      </w:r>
      <w:r>
        <w:t>cas</w:t>
      </w:r>
      <w:r w:rsidRPr="002C4077">
        <w:t xml:space="preserve"> </w:t>
      </w:r>
      <w:r>
        <w:t>n’est</w:t>
      </w:r>
      <w:r w:rsidRPr="002C4077">
        <w:t xml:space="preserve"> </w:t>
      </w:r>
      <w:r>
        <w:t>pas</w:t>
      </w:r>
      <w:r w:rsidRPr="002C4077">
        <w:t xml:space="preserve"> </w:t>
      </w:r>
      <w:r>
        <w:t>le</w:t>
      </w:r>
      <w:r w:rsidRPr="002C4077">
        <w:t xml:space="preserve"> </w:t>
      </w:r>
      <w:r>
        <w:t>même</w:t>
      </w:r>
      <w:r w:rsidRPr="002C4077">
        <w:t xml:space="preserve"> </w:t>
      </w:r>
      <w:r>
        <w:t>en</w:t>
      </w:r>
      <w:r w:rsidRPr="002C4077">
        <w:t xml:space="preserve"> </w:t>
      </w:r>
      <w:r>
        <w:t>Angleterre,</w:t>
      </w:r>
      <w:r w:rsidRPr="002C4077">
        <w:t xml:space="preserve"> </w:t>
      </w:r>
      <w:r>
        <w:t>où,</w:t>
      </w:r>
      <w:r w:rsidRPr="002C4077">
        <w:t xml:space="preserve"> </w:t>
      </w:r>
      <w:r>
        <w:t>depuis</w:t>
      </w:r>
      <w:r w:rsidRPr="002C4077">
        <w:t xml:space="preserve"> </w:t>
      </w:r>
      <w:r>
        <w:t>le</w:t>
      </w:r>
      <w:r w:rsidRPr="002C4077">
        <w:t xml:space="preserve"> </w:t>
      </w:r>
      <w:r>
        <w:t>commencement</w:t>
      </w:r>
      <w:r w:rsidRPr="002C4077">
        <w:t xml:space="preserve"> </w:t>
      </w:r>
      <w:r>
        <w:t>du</w:t>
      </w:r>
      <w:r w:rsidRPr="002C4077">
        <w:t xml:space="preserve"> </w:t>
      </w:r>
      <w:r w:rsidRPr="003F2838">
        <w:t>XV</w:t>
      </w:r>
      <w:r w:rsidR="007B3C26">
        <w:t>II</w:t>
      </w:r>
      <w:r w:rsidR="007B3C26" w:rsidRPr="007B3C26">
        <w:rPr>
          <w:vertAlign w:val="superscript"/>
        </w:rPr>
        <w:t>e</w:t>
      </w:r>
      <w:r w:rsidRPr="002C4077">
        <w:t xml:space="preserve"> </w:t>
      </w:r>
      <w:r>
        <w:t>siècle,</w:t>
      </w:r>
      <w:r w:rsidRPr="002C4077">
        <w:t xml:space="preserve"> </w:t>
      </w:r>
      <w:r>
        <w:t>il</w:t>
      </w:r>
      <w:r w:rsidRPr="002C4077">
        <w:t xml:space="preserve"> </w:t>
      </w:r>
      <w:r>
        <w:t>existe</w:t>
      </w:r>
      <w:r w:rsidRPr="002C4077">
        <w:t xml:space="preserve"> </w:t>
      </w:r>
      <w:r>
        <w:t>une</w:t>
      </w:r>
      <w:r w:rsidRPr="002C4077">
        <w:t xml:space="preserve"> </w:t>
      </w:r>
      <w:r>
        <w:t>version</w:t>
      </w:r>
      <w:r w:rsidRPr="002C4077">
        <w:t xml:space="preserve"> </w:t>
      </w:r>
      <w:r>
        <w:t>qu’on</w:t>
      </w:r>
      <w:r w:rsidRPr="002C4077">
        <w:t xml:space="preserve"> </w:t>
      </w:r>
      <w:r>
        <w:t>nomme</w:t>
      </w:r>
      <w:r w:rsidR="00853971" w:rsidRPr="002C4077">
        <w:t xml:space="preserve"> </w:t>
      </w:r>
      <w:r w:rsidR="00853971">
        <w:rPr>
          <w:rStyle w:val="italicus"/>
        </w:rPr>
        <w:t>autorisée</w:t>
      </w:r>
      <w:r w:rsidR="00853971">
        <w:rPr>
          <w:rStyle w:val="Appelnotedebasdep"/>
          <w:i/>
        </w:rPr>
        <w:footnoteReference w:id="610"/>
      </w:r>
      <w:r w:rsidRPr="000A34B5">
        <w:rPr>
          <w:rStyle w:val="italicus"/>
        </w:rPr>
        <w:t>,</w:t>
      </w:r>
      <w:r w:rsidRPr="002C4077">
        <w:t xml:space="preserve"> </w:t>
      </w:r>
      <w:r>
        <w:t>parce</w:t>
      </w:r>
      <w:r w:rsidRPr="002C4077">
        <w:t xml:space="preserve"> </w:t>
      </w:r>
      <w:r>
        <w:t>que</w:t>
      </w:r>
      <w:r w:rsidRPr="002C4077">
        <w:t xml:space="preserve"> </w:t>
      </w:r>
      <w:r>
        <w:t>Jacques</w:t>
      </w:r>
      <w:r w:rsidRPr="002C4077">
        <w:t xml:space="preserve"> </w:t>
      </w:r>
      <w:r w:rsidR="007B3C26">
        <w:t>I</w:t>
      </w:r>
      <w:r w:rsidR="007B3C26" w:rsidRPr="007B3C26">
        <w:rPr>
          <w:vertAlign w:val="superscript"/>
        </w:rPr>
        <w:t>er</w:t>
      </w:r>
      <w:r w:rsidRPr="002C4077">
        <w:t xml:space="preserve"> </w:t>
      </w:r>
      <w:r>
        <w:t>la</w:t>
      </w:r>
      <w:r w:rsidRPr="002C4077">
        <w:t xml:space="preserve"> </w:t>
      </w:r>
      <w:r>
        <w:t>munit</w:t>
      </w:r>
      <w:r w:rsidRPr="002C4077">
        <w:t xml:space="preserve"> </w:t>
      </w:r>
      <w:r>
        <w:t>de</w:t>
      </w:r>
      <w:r w:rsidRPr="002C4077">
        <w:t xml:space="preserve"> </w:t>
      </w:r>
      <w:r>
        <w:t>sa</w:t>
      </w:r>
      <w:r w:rsidRPr="002C4077">
        <w:t xml:space="preserve"> </w:t>
      </w:r>
      <w:r>
        <w:t>royale</w:t>
      </w:r>
      <w:r w:rsidRPr="002C4077">
        <w:t xml:space="preserve"> </w:t>
      </w:r>
      <w:r>
        <w:t>sanction.</w:t>
      </w:r>
      <w:r w:rsidRPr="002C4077">
        <w:t xml:space="preserve"> </w:t>
      </w:r>
      <w:r>
        <w:t>Autorisation</w:t>
      </w:r>
      <w:r w:rsidRPr="002C4077">
        <w:t xml:space="preserve"> </w:t>
      </w:r>
      <w:r>
        <w:t>bien</w:t>
      </w:r>
      <w:r w:rsidRPr="002C4077">
        <w:t xml:space="preserve"> </w:t>
      </w:r>
      <w:r>
        <w:t>étrange,</w:t>
      </w:r>
      <w:r w:rsidRPr="002C4077">
        <w:t xml:space="preserve"> </w:t>
      </w:r>
      <w:r>
        <w:t>sans</w:t>
      </w:r>
      <w:r w:rsidRPr="002C4077">
        <w:t xml:space="preserve"> </w:t>
      </w:r>
      <w:r>
        <w:t>doute.</w:t>
      </w:r>
      <w:r w:rsidRPr="002C4077">
        <w:t xml:space="preserve"> </w:t>
      </w:r>
      <w:r>
        <w:t>Mais</w:t>
      </w:r>
      <w:r w:rsidRPr="002C4077">
        <w:t xml:space="preserve"> </w:t>
      </w:r>
      <w:r>
        <w:t>les</w:t>
      </w:r>
      <w:r w:rsidRPr="002C4077">
        <w:t xml:space="preserve"> </w:t>
      </w:r>
      <w:r>
        <w:t>Anglais</w:t>
      </w:r>
      <w:r w:rsidRPr="002C4077">
        <w:t xml:space="preserve"> </w:t>
      </w:r>
      <w:r>
        <w:t>d’alors,</w:t>
      </w:r>
      <w:r w:rsidRPr="002C4077">
        <w:t xml:space="preserve"> </w:t>
      </w:r>
      <w:r>
        <w:t>tout</w:t>
      </w:r>
      <w:r w:rsidRPr="002C4077">
        <w:t xml:space="preserve"> </w:t>
      </w:r>
      <w:r>
        <w:t>heureux</w:t>
      </w:r>
      <w:r w:rsidRPr="002C4077">
        <w:t xml:space="preserve"> </w:t>
      </w:r>
      <w:r>
        <w:t>d’avoir</w:t>
      </w:r>
      <w:r w:rsidRPr="002C4077">
        <w:t xml:space="preserve"> </w:t>
      </w:r>
      <w:r>
        <w:t>secoué</w:t>
      </w:r>
      <w:r w:rsidRPr="002C4077">
        <w:t xml:space="preserve"> </w:t>
      </w:r>
      <w:r>
        <w:t>le</w:t>
      </w:r>
      <w:r w:rsidRPr="002C4077">
        <w:t xml:space="preserve"> </w:t>
      </w:r>
      <w:r>
        <w:t>joug</w:t>
      </w:r>
      <w:r w:rsidRPr="002C4077">
        <w:t xml:space="preserve"> </w:t>
      </w:r>
      <w:r>
        <w:t>de</w:t>
      </w:r>
      <w:r w:rsidRPr="002C4077">
        <w:t xml:space="preserve"> </w:t>
      </w:r>
      <w:r>
        <w:t>ce</w:t>
      </w:r>
      <w:r w:rsidRPr="002C4077">
        <w:t xml:space="preserve"> </w:t>
      </w:r>
      <w:r>
        <w:t>qu’ils</w:t>
      </w:r>
      <w:r w:rsidRPr="002C4077">
        <w:t xml:space="preserve"> </w:t>
      </w:r>
      <w:r>
        <w:t>appelaient</w:t>
      </w:r>
      <w:r w:rsidRPr="002C4077">
        <w:t xml:space="preserve"> </w:t>
      </w:r>
      <w:r>
        <w:t>la</w:t>
      </w:r>
      <w:r w:rsidRPr="002C4077">
        <w:t xml:space="preserve"> </w:t>
      </w:r>
      <w:r>
        <w:t>Babylone</w:t>
      </w:r>
      <w:r w:rsidRPr="002C4077">
        <w:t xml:space="preserve"> </w:t>
      </w:r>
      <w:r>
        <w:t>moderne,</w:t>
      </w:r>
      <w:r w:rsidRPr="002C4077">
        <w:t xml:space="preserve"> </w:t>
      </w:r>
      <w:r>
        <w:t>n’y</w:t>
      </w:r>
      <w:r w:rsidRPr="002C4077">
        <w:t xml:space="preserve"> </w:t>
      </w:r>
      <w:r>
        <w:t>regardaient</w:t>
      </w:r>
      <w:r w:rsidRPr="002C4077">
        <w:t xml:space="preserve"> </w:t>
      </w:r>
      <w:r>
        <w:t>point</w:t>
      </w:r>
      <w:r w:rsidRPr="002C4077">
        <w:t xml:space="preserve"> </w:t>
      </w:r>
      <w:r>
        <w:t>de</w:t>
      </w:r>
      <w:r w:rsidRPr="002C4077">
        <w:t xml:space="preserve"> </w:t>
      </w:r>
      <w:r>
        <w:t>si</w:t>
      </w:r>
      <w:r w:rsidRPr="002C4077">
        <w:t xml:space="preserve"> </w:t>
      </w:r>
      <w:r>
        <w:t>près.</w:t>
      </w:r>
      <w:r w:rsidRPr="002C4077">
        <w:t xml:space="preserve"> </w:t>
      </w:r>
      <w:r>
        <w:t>Par</w:t>
      </w:r>
      <w:r w:rsidRPr="002C4077">
        <w:t xml:space="preserve"> </w:t>
      </w:r>
      <w:r>
        <w:t>une</w:t>
      </w:r>
      <w:r w:rsidRPr="002C4077">
        <w:t xml:space="preserve"> </w:t>
      </w:r>
      <w:r>
        <w:t>de</w:t>
      </w:r>
      <w:r w:rsidRPr="002C4077">
        <w:t xml:space="preserve"> </w:t>
      </w:r>
      <w:r>
        <w:t>ces</w:t>
      </w:r>
      <w:r w:rsidRPr="002C4077">
        <w:t xml:space="preserve"> </w:t>
      </w:r>
      <w:r>
        <w:t>inconséquences</w:t>
      </w:r>
      <w:r w:rsidRPr="002C4077">
        <w:t xml:space="preserve"> </w:t>
      </w:r>
      <w:r>
        <w:t>fréquentes</w:t>
      </w:r>
      <w:r w:rsidRPr="002C4077">
        <w:t xml:space="preserve"> </w:t>
      </w:r>
      <w:r>
        <w:t>chez</w:t>
      </w:r>
      <w:r w:rsidRPr="002C4077">
        <w:t xml:space="preserve"> </w:t>
      </w:r>
      <w:r>
        <w:t>les</w:t>
      </w:r>
      <w:r w:rsidRPr="002C4077">
        <w:t xml:space="preserve"> </w:t>
      </w:r>
      <w:r>
        <w:t>hérétiques,</w:t>
      </w:r>
      <w:r w:rsidRPr="002C4077">
        <w:t xml:space="preserve"> </w:t>
      </w:r>
      <w:r>
        <w:t>ils</w:t>
      </w:r>
      <w:r w:rsidRPr="002C4077">
        <w:t xml:space="preserve"> </w:t>
      </w:r>
      <w:r>
        <w:t>n’hésitèrent</w:t>
      </w:r>
      <w:r w:rsidRPr="002C4077">
        <w:t xml:space="preserve"> </w:t>
      </w:r>
      <w:r>
        <w:t>pas</w:t>
      </w:r>
      <w:r w:rsidRPr="002C4077">
        <w:t xml:space="preserve"> </w:t>
      </w:r>
      <w:r>
        <w:t>à</w:t>
      </w:r>
      <w:r w:rsidRPr="002C4077">
        <w:t xml:space="preserve"> </w:t>
      </w:r>
      <w:r>
        <w:t>courber</w:t>
      </w:r>
      <w:r w:rsidRPr="002C4077">
        <w:t xml:space="preserve"> </w:t>
      </w:r>
      <w:r>
        <w:t>devant</w:t>
      </w:r>
      <w:r w:rsidRPr="002C4077">
        <w:t xml:space="preserve"> </w:t>
      </w:r>
      <w:r>
        <w:t>un</w:t>
      </w:r>
      <w:r w:rsidRPr="002C4077">
        <w:t xml:space="preserve"> </w:t>
      </w:r>
      <w:r>
        <w:t>homme</w:t>
      </w:r>
      <w:r w:rsidRPr="002C4077">
        <w:t xml:space="preserve"> </w:t>
      </w:r>
      <w:r>
        <w:t>dénué</w:t>
      </w:r>
      <w:r w:rsidRPr="002C4077">
        <w:t xml:space="preserve"> </w:t>
      </w:r>
      <w:r>
        <w:t>de</w:t>
      </w:r>
      <w:r w:rsidRPr="002C4077">
        <w:t xml:space="preserve"> </w:t>
      </w:r>
      <w:r>
        <w:t>toute</w:t>
      </w:r>
      <w:r w:rsidRPr="002C4077">
        <w:t xml:space="preserve"> </w:t>
      </w:r>
      <w:r>
        <w:t>puissance</w:t>
      </w:r>
      <w:r w:rsidRPr="002C4077">
        <w:t xml:space="preserve"> </w:t>
      </w:r>
      <w:r>
        <w:t>spirituelle</w:t>
      </w:r>
      <w:r w:rsidRPr="002C4077">
        <w:t xml:space="preserve"> </w:t>
      </w:r>
      <w:r>
        <w:t>ces</w:t>
      </w:r>
      <w:r w:rsidRPr="002C4077">
        <w:t xml:space="preserve"> </w:t>
      </w:r>
      <w:r>
        <w:t>fronts</w:t>
      </w:r>
      <w:r w:rsidRPr="002C4077">
        <w:t xml:space="preserve"> </w:t>
      </w:r>
      <w:r>
        <w:t>superbes,</w:t>
      </w:r>
      <w:r w:rsidRPr="002C4077">
        <w:t xml:space="preserve"> </w:t>
      </w:r>
      <w:r>
        <w:t>qu’ils</w:t>
      </w:r>
      <w:r w:rsidRPr="002C4077">
        <w:t xml:space="preserve"> </w:t>
      </w:r>
      <w:r>
        <w:t>ne</w:t>
      </w:r>
      <w:r w:rsidRPr="002C4077">
        <w:t xml:space="preserve"> </w:t>
      </w:r>
      <w:r>
        <w:t>voulaient</w:t>
      </w:r>
      <w:r w:rsidRPr="002C4077">
        <w:t xml:space="preserve"> </w:t>
      </w:r>
      <w:r>
        <w:t>plus</w:t>
      </w:r>
      <w:r w:rsidRPr="002C4077">
        <w:t xml:space="preserve"> </w:t>
      </w:r>
      <w:r>
        <w:t>incliner</w:t>
      </w:r>
      <w:r w:rsidRPr="002C4077">
        <w:t xml:space="preserve"> </w:t>
      </w:r>
      <w:r>
        <w:t>devant</w:t>
      </w:r>
      <w:r w:rsidRPr="002C4077">
        <w:t xml:space="preserve"> </w:t>
      </w:r>
      <w:r>
        <w:t>le</w:t>
      </w:r>
      <w:r w:rsidRPr="002C4077">
        <w:t xml:space="preserve"> </w:t>
      </w:r>
      <w:r>
        <w:t>vicaire</w:t>
      </w:r>
      <w:r w:rsidRPr="002C4077">
        <w:t xml:space="preserve"> </w:t>
      </w:r>
      <w:r>
        <w:t>de</w:t>
      </w:r>
      <w:r w:rsidRPr="002C4077">
        <w:t xml:space="preserve"> </w:t>
      </w:r>
      <w:r w:rsidR="00425C50">
        <w:t>Jésus</w:t>
      </w:r>
      <w:r>
        <w:t>-</w:t>
      </w:r>
      <w:r w:rsidR="00425C50">
        <w:t>Christ</w:t>
      </w:r>
      <w:r w:rsidR="00B91AF7">
        <w:rPr>
          <w:rStyle w:val="Appelnotedebasdep"/>
        </w:rPr>
        <w:footnoteReference w:id="611"/>
      </w:r>
      <w:r>
        <w:t>.</w:t>
      </w:r>
      <w:r w:rsidR="00C45B47">
        <w:t xml:space="preserve"> {</w:t>
      </w:r>
      <w:r w:rsidR="00B53529">
        <w:t>182</w:t>
      </w:r>
      <w:bookmarkStart w:id="474" w:name="p182"/>
      <w:bookmarkEnd w:id="474"/>
      <w:r w:rsidR="00B53529">
        <w:t xml:space="preserve">} </w:t>
      </w:r>
    </w:p>
    <w:p w:rsidR="000A7AAB" w:rsidRDefault="000A7AAB" w:rsidP="000A7AAB">
      <w:r>
        <w:t>La</w:t>
      </w:r>
      <w:r w:rsidRPr="002C4077">
        <w:t xml:space="preserve"> </w:t>
      </w:r>
      <w:r>
        <w:t>version</w:t>
      </w:r>
      <w:r w:rsidRPr="002C4077">
        <w:t xml:space="preserve"> </w:t>
      </w:r>
      <w:r>
        <w:t>autorisée</w:t>
      </w:r>
      <w:r w:rsidRPr="002C4077">
        <w:t xml:space="preserve"> </w:t>
      </w:r>
      <w:r>
        <w:t>—</w:t>
      </w:r>
      <w:r w:rsidRPr="002C4077">
        <w:t xml:space="preserve"> </w:t>
      </w:r>
      <w:r>
        <w:t>ce</w:t>
      </w:r>
      <w:r w:rsidRPr="002C4077">
        <w:t xml:space="preserve"> </w:t>
      </w:r>
      <w:r>
        <w:t>qui</w:t>
      </w:r>
      <w:r w:rsidRPr="002C4077">
        <w:t xml:space="preserve"> </w:t>
      </w:r>
      <w:r>
        <w:t>signifiait</w:t>
      </w:r>
      <w:r w:rsidRPr="002C4077">
        <w:t xml:space="preserve"> </w:t>
      </w:r>
      <w:r>
        <w:t>alors,</w:t>
      </w:r>
      <w:r w:rsidRPr="002C4077">
        <w:t xml:space="preserve"> </w:t>
      </w:r>
      <w:r>
        <w:t>ou</w:t>
      </w:r>
      <w:r w:rsidRPr="002C4077">
        <w:t xml:space="preserve"> </w:t>
      </w:r>
      <w:r>
        <w:t>peu</w:t>
      </w:r>
      <w:r w:rsidRPr="002C4077">
        <w:t xml:space="preserve"> </w:t>
      </w:r>
      <w:r>
        <w:t>s’en</w:t>
      </w:r>
      <w:r w:rsidRPr="002C4077">
        <w:t xml:space="preserve"> </w:t>
      </w:r>
      <w:r>
        <w:t>faut,</w:t>
      </w:r>
      <w:r w:rsidRPr="002C4077">
        <w:t xml:space="preserve"> </w:t>
      </w:r>
      <w:r>
        <w:t>version</w:t>
      </w:r>
      <w:r w:rsidRPr="002C4077">
        <w:t xml:space="preserve"> </w:t>
      </w:r>
      <w:r>
        <w:t>obligatoire,</w:t>
      </w:r>
      <w:r w:rsidRPr="002C4077">
        <w:t xml:space="preserve"> </w:t>
      </w:r>
      <w:r>
        <w:t>—</w:t>
      </w:r>
      <w:r w:rsidRPr="002C4077">
        <w:t xml:space="preserve"> </w:t>
      </w:r>
      <w:r>
        <w:t>s’implanta</w:t>
      </w:r>
      <w:r w:rsidRPr="002C4077">
        <w:t xml:space="preserve"> </w:t>
      </w:r>
      <w:r>
        <w:t>donc</w:t>
      </w:r>
      <w:r w:rsidRPr="002C4077">
        <w:t xml:space="preserve"> </w:t>
      </w:r>
      <w:r>
        <w:t>partout</w:t>
      </w:r>
      <w:r w:rsidR="00B546AF">
        <w:t> :</w:t>
      </w:r>
      <w:r w:rsidRPr="002C4077">
        <w:t xml:space="preserve"> </w:t>
      </w:r>
      <w:r>
        <w:t>dans</w:t>
      </w:r>
      <w:r w:rsidRPr="002C4077">
        <w:t xml:space="preserve"> </w:t>
      </w:r>
      <w:r>
        <w:t>la</w:t>
      </w:r>
      <w:r w:rsidRPr="002C4077">
        <w:t xml:space="preserve"> </w:t>
      </w:r>
      <w:r>
        <w:t>liturgie,</w:t>
      </w:r>
      <w:r w:rsidRPr="002C4077">
        <w:t xml:space="preserve"> </w:t>
      </w:r>
      <w:r>
        <w:t>dans</w:t>
      </w:r>
      <w:r w:rsidRPr="002C4077">
        <w:t xml:space="preserve"> </w:t>
      </w:r>
      <w:r>
        <w:t>les</w:t>
      </w:r>
      <w:r w:rsidRPr="002C4077">
        <w:t xml:space="preserve"> </w:t>
      </w:r>
      <w:r>
        <w:t>commentaires,</w:t>
      </w:r>
      <w:r w:rsidRPr="002C4077">
        <w:t xml:space="preserve"> </w:t>
      </w:r>
      <w:r>
        <w:t>dans</w:t>
      </w:r>
      <w:r w:rsidRPr="002C4077">
        <w:t xml:space="preserve"> </w:t>
      </w:r>
      <w:r>
        <w:t>chaque</w:t>
      </w:r>
      <w:r w:rsidRPr="002C4077">
        <w:t xml:space="preserve"> </w:t>
      </w:r>
      <w:r>
        <w:t>famille,</w:t>
      </w:r>
      <w:r w:rsidRPr="002C4077">
        <w:t xml:space="preserve"> </w:t>
      </w:r>
      <w:r>
        <w:t>et</w:t>
      </w:r>
      <w:r w:rsidRPr="002C4077">
        <w:t xml:space="preserve"> </w:t>
      </w:r>
      <w:r>
        <w:t>bientôt</w:t>
      </w:r>
      <w:r w:rsidRPr="002C4077">
        <w:t xml:space="preserve"> </w:t>
      </w:r>
      <w:r>
        <w:t>dans</w:t>
      </w:r>
      <w:r w:rsidRPr="002C4077">
        <w:t xml:space="preserve"> </w:t>
      </w:r>
      <w:r>
        <w:t>toutes</w:t>
      </w:r>
      <w:r w:rsidRPr="002C4077">
        <w:t xml:space="preserve"> </w:t>
      </w:r>
      <w:r>
        <w:t>les</w:t>
      </w:r>
      <w:r w:rsidRPr="002C4077">
        <w:t xml:space="preserve"> </w:t>
      </w:r>
      <w:r>
        <w:t>mémoires.</w:t>
      </w:r>
      <w:r w:rsidRPr="002C4077">
        <w:t xml:space="preserve"> </w:t>
      </w:r>
      <w:r>
        <w:t>Comme</w:t>
      </w:r>
      <w:r w:rsidRPr="002C4077">
        <w:t xml:space="preserve"> </w:t>
      </w:r>
      <w:r>
        <w:t>elle</w:t>
      </w:r>
      <w:r w:rsidRPr="002C4077">
        <w:t xml:space="preserve"> </w:t>
      </w:r>
      <w:r>
        <w:t>possède</w:t>
      </w:r>
      <w:r w:rsidRPr="002C4077">
        <w:t xml:space="preserve"> </w:t>
      </w:r>
      <w:r>
        <w:t>des</w:t>
      </w:r>
      <w:r w:rsidRPr="002C4077">
        <w:t xml:space="preserve"> </w:t>
      </w:r>
      <w:r>
        <w:t>qualités</w:t>
      </w:r>
      <w:r w:rsidRPr="002C4077">
        <w:t xml:space="preserve"> </w:t>
      </w:r>
      <w:r>
        <w:t>réelles</w:t>
      </w:r>
      <w:r w:rsidRPr="002C4077">
        <w:t xml:space="preserve"> </w:t>
      </w:r>
      <w:r>
        <w:t>de</w:t>
      </w:r>
      <w:r w:rsidRPr="002C4077">
        <w:t xml:space="preserve"> </w:t>
      </w:r>
      <w:r>
        <w:t>fond</w:t>
      </w:r>
      <w:r w:rsidRPr="002C4077">
        <w:t xml:space="preserve"> </w:t>
      </w:r>
      <w:r>
        <w:t>et</w:t>
      </w:r>
      <w:r w:rsidRPr="002C4077">
        <w:t xml:space="preserve"> </w:t>
      </w:r>
      <w:r>
        <w:t>de</w:t>
      </w:r>
      <w:r w:rsidRPr="002C4077">
        <w:t xml:space="preserve"> </w:t>
      </w:r>
      <w:r>
        <w:t>forme,</w:t>
      </w:r>
      <w:r w:rsidRPr="002C4077">
        <w:t xml:space="preserve"> </w:t>
      </w:r>
      <w:r>
        <w:t>on</w:t>
      </w:r>
      <w:r w:rsidRPr="002C4077">
        <w:t xml:space="preserve"> </w:t>
      </w:r>
      <w:r>
        <w:t>ne</w:t>
      </w:r>
      <w:r w:rsidRPr="002C4077">
        <w:t xml:space="preserve"> </w:t>
      </w:r>
      <w:r>
        <w:t>tarda</w:t>
      </w:r>
      <w:r w:rsidRPr="002C4077">
        <w:t xml:space="preserve"> </w:t>
      </w:r>
      <w:r>
        <w:t>pas</w:t>
      </w:r>
      <w:r w:rsidRPr="002C4077">
        <w:t xml:space="preserve"> </w:t>
      </w:r>
      <w:r>
        <w:t>à</w:t>
      </w:r>
      <w:r w:rsidRPr="002C4077">
        <w:t xml:space="preserve"> </w:t>
      </w:r>
      <w:r>
        <w:t>s’attacher</w:t>
      </w:r>
      <w:r w:rsidRPr="002C4077">
        <w:t xml:space="preserve"> </w:t>
      </w:r>
      <w:r>
        <w:t>à</w:t>
      </w:r>
      <w:r w:rsidRPr="002C4077">
        <w:t xml:space="preserve"> </w:t>
      </w:r>
      <w:r>
        <w:t>elle</w:t>
      </w:r>
      <w:r w:rsidRPr="002C4077">
        <w:t xml:space="preserve"> </w:t>
      </w:r>
      <w:r>
        <w:t>avec</w:t>
      </w:r>
      <w:r w:rsidRPr="002C4077">
        <w:t xml:space="preserve"> </w:t>
      </w:r>
      <w:r>
        <w:t>passion,</w:t>
      </w:r>
      <w:r w:rsidRPr="002C4077">
        <w:t xml:space="preserve"> </w:t>
      </w:r>
      <w:r>
        <w:t>comme</w:t>
      </w:r>
      <w:r w:rsidRPr="002C4077">
        <w:t xml:space="preserve"> </w:t>
      </w:r>
      <w:r>
        <w:t>à</w:t>
      </w:r>
      <w:r w:rsidRPr="002C4077">
        <w:t xml:space="preserve"> </w:t>
      </w:r>
      <w:r>
        <w:t>une</w:t>
      </w:r>
      <w:r w:rsidRPr="002C4077">
        <w:t xml:space="preserve"> </w:t>
      </w:r>
      <w:r w:rsidR="00B546AF">
        <w:t>« </w:t>
      </w:r>
      <w:r>
        <w:t>traduction</w:t>
      </w:r>
      <w:r w:rsidRPr="002C4077">
        <w:t xml:space="preserve"> </w:t>
      </w:r>
      <w:r>
        <w:t>sans</w:t>
      </w:r>
      <w:r w:rsidRPr="002C4077">
        <w:t xml:space="preserve"> </w:t>
      </w:r>
      <w:r>
        <w:t>rivale</w:t>
      </w:r>
      <w:r w:rsidR="00B91AF7">
        <w:rPr>
          <w:rStyle w:val="Appelnotedebasdep"/>
        </w:rPr>
        <w:footnoteReference w:id="612"/>
      </w:r>
      <w:r w:rsidR="00B546AF">
        <w:t> »</w:t>
      </w:r>
      <w:r>
        <w:t>.</w:t>
      </w:r>
      <w:r w:rsidRPr="002C4077">
        <w:t xml:space="preserve"> </w:t>
      </w:r>
      <w:r w:rsidR="00B546AF">
        <w:t>« </w:t>
      </w:r>
      <w:r>
        <w:t>Son</w:t>
      </w:r>
      <w:r w:rsidRPr="002C4077">
        <w:t xml:space="preserve"> </w:t>
      </w:r>
      <w:r>
        <w:t>langage,</w:t>
      </w:r>
      <w:r w:rsidRPr="002C4077">
        <w:t xml:space="preserve"> </w:t>
      </w:r>
      <w:r>
        <w:t>écrit</w:t>
      </w:r>
      <w:r w:rsidRPr="002C4077">
        <w:t xml:space="preserve"> </w:t>
      </w:r>
      <w:r>
        <w:t>M.</w:t>
      </w:r>
      <w:r w:rsidRPr="002C4077">
        <w:t xml:space="preserve"> </w:t>
      </w:r>
      <w:r>
        <w:t>Plumptre,</w:t>
      </w:r>
      <w:r w:rsidRPr="002C4077">
        <w:t xml:space="preserve"> </w:t>
      </w:r>
      <w:r>
        <w:t>s’est</w:t>
      </w:r>
      <w:r w:rsidRPr="002C4077">
        <w:t xml:space="preserve"> </w:t>
      </w:r>
      <w:r>
        <w:t>entrelacé</w:t>
      </w:r>
      <w:r w:rsidRPr="002C4077">
        <w:t xml:space="preserve"> </w:t>
      </w:r>
      <w:r>
        <w:t>avec</w:t>
      </w:r>
      <w:r w:rsidRPr="002C4077">
        <w:t xml:space="preserve"> </w:t>
      </w:r>
      <w:r>
        <w:t>les</w:t>
      </w:r>
      <w:r w:rsidRPr="002C4077">
        <w:t xml:space="preserve"> </w:t>
      </w:r>
      <w:r>
        <w:t>controverses,</w:t>
      </w:r>
      <w:r w:rsidRPr="002C4077">
        <w:t xml:space="preserve"> </w:t>
      </w:r>
      <w:r>
        <w:t>la</w:t>
      </w:r>
      <w:r w:rsidRPr="002C4077">
        <w:t xml:space="preserve"> </w:t>
      </w:r>
      <w:r>
        <w:t>dévotion</w:t>
      </w:r>
      <w:r w:rsidRPr="002C4077">
        <w:t xml:space="preserve"> </w:t>
      </w:r>
      <w:r>
        <w:t>et</w:t>
      </w:r>
      <w:r w:rsidRPr="002C4077">
        <w:t xml:space="preserve"> </w:t>
      </w:r>
      <w:r>
        <w:t>la</w:t>
      </w:r>
      <w:r w:rsidRPr="002C4077">
        <w:t xml:space="preserve"> </w:t>
      </w:r>
      <w:r>
        <w:t>littérature</w:t>
      </w:r>
      <w:r w:rsidRPr="002C4077">
        <w:t xml:space="preserve"> </w:t>
      </w:r>
      <w:r>
        <w:t>du</w:t>
      </w:r>
      <w:r w:rsidRPr="002C4077">
        <w:t xml:space="preserve"> </w:t>
      </w:r>
      <w:r>
        <w:t>peuple</w:t>
      </w:r>
      <w:r w:rsidRPr="002C4077">
        <w:t xml:space="preserve"> </w:t>
      </w:r>
      <w:r>
        <w:t>anglais…</w:t>
      </w:r>
      <w:r w:rsidRPr="002C4077">
        <w:t xml:space="preserve"> </w:t>
      </w:r>
      <w:r>
        <w:t>Les</w:t>
      </w:r>
      <w:r w:rsidRPr="002C4077">
        <w:t xml:space="preserve"> </w:t>
      </w:r>
      <w:r>
        <w:t>souvenirs</w:t>
      </w:r>
      <w:r w:rsidRPr="002C4077">
        <w:t xml:space="preserve"> </w:t>
      </w:r>
      <w:r>
        <w:t>les</w:t>
      </w:r>
      <w:r w:rsidRPr="002C4077">
        <w:t xml:space="preserve"> </w:t>
      </w:r>
      <w:r>
        <w:t>plus</w:t>
      </w:r>
      <w:r w:rsidRPr="002C4077">
        <w:t xml:space="preserve"> </w:t>
      </w:r>
      <w:r>
        <w:t>solennels</w:t>
      </w:r>
      <w:r w:rsidRPr="002C4077">
        <w:t xml:space="preserve"> </w:t>
      </w:r>
      <w:r>
        <w:t>et</w:t>
      </w:r>
      <w:r w:rsidRPr="002C4077">
        <w:t xml:space="preserve"> </w:t>
      </w:r>
      <w:r>
        <w:t>les</w:t>
      </w:r>
      <w:r w:rsidRPr="002C4077">
        <w:t xml:space="preserve"> </w:t>
      </w:r>
      <w:r>
        <w:t>plus</w:t>
      </w:r>
      <w:r w:rsidRPr="002C4077">
        <w:t xml:space="preserve"> </w:t>
      </w:r>
      <w:r>
        <w:t>tendres</w:t>
      </w:r>
      <w:r w:rsidRPr="002C4077">
        <w:t xml:space="preserve"> </w:t>
      </w:r>
      <w:r>
        <w:t>de</w:t>
      </w:r>
      <w:r w:rsidRPr="002C4077">
        <w:t xml:space="preserve"> </w:t>
      </w:r>
      <w:r>
        <w:t>chaque</w:t>
      </w:r>
      <w:r w:rsidRPr="002C4077">
        <w:t xml:space="preserve"> </w:t>
      </w:r>
      <w:r>
        <w:t>individu</w:t>
      </w:r>
      <w:r w:rsidRPr="002C4077">
        <w:t xml:space="preserve"> </w:t>
      </w:r>
      <w:r>
        <w:t>lui</w:t>
      </w:r>
      <w:r w:rsidRPr="002C4077">
        <w:t xml:space="preserve"> </w:t>
      </w:r>
      <w:r>
        <w:t>sont</w:t>
      </w:r>
      <w:r w:rsidRPr="002C4077">
        <w:t xml:space="preserve"> </w:t>
      </w:r>
      <w:r>
        <w:t>associés</w:t>
      </w:r>
      <w:r w:rsidRPr="002C4077">
        <w:t xml:space="preserve"> </w:t>
      </w:r>
      <w:r>
        <w:t>pour</w:t>
      </w:r>
      <w:r w:rsidRPr="002C4077">
        <w:t xml:space="preserve"> </w:t>
      </w:r>
      <w:r>
        <w:t>la</w:t>
      </w:r>
      <w:r w:rsidRPr="002C4077">
        <w:t xml:space="preserve"> </w:t>
      </w:r>
      <w:r w:rsidR="0075326F">
        <w:t>plupart</w:t>
      </w:r>
      <w:r w:rsidR="0075326F">
        <w:rPr>
          <w:rStyle w:val="Appelnotedebasdep"/>
        </w:rPr>
        <w:footnoteReference w:id="613"/>
      </w:r>
      <w:r w:rsidR="00B546AF">
        <w:t> »</w:t>
      </w:r>
      <w:r>
        <w:t>.</w:t>
      </w:r>
      <w:r w:rsidRPr="002C4077">
        <w:t xml:space="preserve"> </w:t>
      </w:r>
      <w:r>
        <w:t>Aussi</w:t>
      </w:r>
      <w:r w:rsidRPr="002C4077">
        <w:t xml:space="preserve"> </w:t>
      </w:r>
      <w:r>
        <w:t>en</w:t>
      </w:r>
      <w:r w:rsidRPr="002C4077">
        <w:t xml:space="preserve"> </w:t>
      </w:r>
      <w:r>
        <w:t>était-on</w:t>
      </w:r>
      <w:r w:rsidRPr="002C4077">
        <w:t xml:space="preserve"> </w:t>
      </w:r>
      <w:r>
        <w:t>venu</w:t>
      </w:r>
      <w:r w:rsidRPr="002C4077">
        <w:t xml:space="preserve"> </w:t>
      </w:r>
      <w:r>
        <w:t>à</w:t>
      </w:r>
      <w:r w:rsidRPr="002C4077">
        <w:t xml:space="preserve"> </w:t>
      </w:r>
      <w:r>
        <w:t>aimer</w:t>
      </w:r>
      <w:r w:rsidRPr="002C4077">
        <w:t xml:space="preserve"> </w:t>
      </w:r>
      <w:r>
        <w:t>jusqu’à</w:t>
      </w:r>
      <w:r w:rsidRPr="002C4077">
        <w:t xml:space="preserve"> </w:t>
      </w:r>
      <w:r>
        <w:t>ses</w:t>
      </w:r>
      <w:r w:rsidRPr="002C4077">
        <w:t xml:space="preserve"> </w:t>
      </w:r>
      <w:r>
        <w:t>incorrections</w:t>
      </w:r>
      <w:r w:rsidRPr="002C4077">
        <w:t xml:space="preserve"> </w:t>
      </w:r>
      <w:r>
        <w:t>et</w:t>
      </w:r>
      <w:r w:rsidRPr="002C4077">
        <w:t xml:space="preserve"> </w:t>
      </w:r>
      <w:r>
        <w:t>à</w:t>
      </w:r>
      <w:r w:rsidRPr="002C4077">
        <w:t xml:space="preserve"> </w:t>
      </w:r>
      <w:r>
        <w:t>ses</w:t>
      </w:r>
      <w:r w:rsidRPr="002C4077">
        <w:t xml:space="preserve"> </w:t>
      </w:r>
      <w:r>
        <w:t>fautes.</w:t>
      </w:r>
      <w:r w:rsidRPr="002C4077">
        <w:t xml:space="preserve"> </w:t>
      </w:r>
      <w:r>
        <w:t>Le</w:t>
      </w:r>
      <w:r w:rsidRPr="002C4077">
        <w:t xml:space="preserve"> </w:t>
      </w:r>
      <w:r>
        <w:t>saint</w:t>
      </w:r>
      <w:r w:rsidRPr="002C4077">
        <w:t xml:space="preserve"> </w:t>
      </w:r>
      <w:r>
        <w:t>et</w:t>
      </w:r>
      <w:r w:rsidRPr="002C4077">
        <w:t xml:space="preserve"> </w:t>
      </w:r>
      <w:r>
        <w:t>célèbre</w:t>
      </w:r>
      <w:r w:rsidRPr="002C4077">
        <w:t xml:space="preserve"> </w:t>
      </w:r>
      <w:r>
        <w:t>Père</w:t>
      </w:r>
      <w:r w:rsidRPr="002C4077">
        <w:t xml:space="preserve"> </w:t>
      </w:r>
      <w:r>
        <w:t>Faber</w:t>
      </w:r>
      <w:r w:rsidRPr="002C4077">
        <w:t xml:space="preserve"> </w:t>
      </w:r>
      <w:r>
        <w:t>expose,</w:t>
      </w:r>
      <w:r w:rsidRPr="002C4077">
        <w:t xml:space="preserve"> </w:t>
      </w:r>
      <w:r>
        <w:t>dans</w:t>
      </w:r>
      <w:r w:rsidRPr="002C4077">
        <w:t xml:space="preserve"> </w:t>
      </w:r>
      <w:r>
        <w:t>un</w:t>
      </w:r>
      <w:r w:rsidRPr="002C4077">
        <w:t xml:space="preserve"> </w:t>
      </w:r>
      <w:r>
        <w:t>langage</w:t>
      </w:r>
      <w:r w:rsidRPr="002C4077">
        <w:t xml:space="preserve"> </w:t>
      </w:r>
      <w:r>
        <w:t>ému,</w:t>
      </w:r>
      <w:r w:rsidRPr="002C4077">
        <w:t xml:space="preserve"> </w:t>
      </w:r>
      <w:r>
        <w:t>la</w:t>
      </w:r>
      <w:r w:rsidRPr="002C4077">
        <w:t xml:space="preserve"> </w:t>
      </w:r>
      <w:r>
        <w:t>peine</w:t>
      </w:r>
      <w:r w:rsidRPr="002C4077">
        <w:t xml:space="preserve"> </w:t>
      </w:r>
      <w:r>
        <w:t>qu’éprouvent</w:t>
      </w:r>
      <w:r w:rsidRPr="002C4077">
        <w:t xml:space="preserve"> </w:t>
      </w:r>
      <w:r>
        <w:t>les</w:t>
      </w:r>
      <w:r w:rsidRPr="002C4077">
        <w:t xml:space="preserve"> </w:t>
      </w:r>
      <w:r>
        <w:t>Anglais</w:t>
      </w:r>
      <w:r w:rsidRPr="002C4077">
        <w:t xml:space="preserve"> </w:t>
      </w:r>
      <w:r>
        <w:t>convertis</w:t>
      </w:r>
      <w:r w:rsidRPr="002C4077">
        <w:t xml:space="preserve"> </w:t>
      </w:r>
      <w:r>
        <w:t>au</w:t>
      </w:r>
      <w:r w:rsidRPr="002C4077">
        <w:t xml:space="preserve"> </w:t>
      </w:r>
      <w:r>
        <w:t>catholicisme,</w:t>
      </w:r>
      <w:r w:rsidRPr="002C4077">
        <w:t xml:space="preserve"> </w:t>
      </w:r>
      <w:r>
        <w:t>quand</w:t>
      </w:r>
      <w:r w:rsidRPr="002C4077">
        <w:t xml:space="preserve"> </w:t>
      </w:r>
      <w:r>
        <w:t>ils</w:t>
      </w:r>
      <w:r w:rsidRPr="002C4077">
        <w:t xml:space="preserve"> </w:t>
      </w:r>
      <w:r>
        <w:t>échangent</w:t>
      </w:r>
      <w:r w:rsidRPr="002C4077">
        <w:t xml:space="preserve"> </w:t>
      </w:r>
      <w:r>
        <w:t>cette</w:t>
      </w:r>
      <w:r w:rsidRPr="002C4077">
        <w:t xml:space="preserve"> </w:t>
      </w:r>
      <w:r>
        <w:t>version</w:t>
      </w:r>
      <w:r w:rsidRPr="002C4077">
        <w:t xml:space="preserve"> </w:t>
      </w:r>
      <w:r>
        <w:t>chérie,</w:t>
      </w:r>
      <w:r w:rsidRPr="002C4077">
        <w:t xml:space="preserve"> </w:t>
      </w:r>
      <w:r>
        <w:t>à</w:t>
      </w:r>
      <w:r w:rsidRPr="002C4077">
        <w:t xml:space="preserve"> </w:t>
      </w:r>
      <w:r>
        <w:t>laquelle</w:t>
      </w:r>
      <w:r w:rsidRPr="002C4077">
        <w:t xml:space="preserve"> </w:t>
      </w:r>
      <w:r>
        <w:t>ils</w:t>
      </w:r>
      <w:r w:rsidRPr="002C4077">
        <w:t xml:space="preserve"> </w:t>
      </w:r>
      <w:r>
        <w:t>sont</w:t>
      </w:r>
      <w:r w:rsidRPr="002C4077">
        <w:t xml:space="preserve"> </w:t>
      </w:r>
      <w:r>
        <w:t>habitués</w:t>
      </w:r>
      <w:r w:rsidRPr="002C4077">
        <w:t xml:space="preserve"> </w:t>
      </w:r>
      <w:r>
        <w:t>depuis</w:t>
      </w:r>
      <w:r w:rsidRPr="002C4077">
        <w:t xml:space="preserve"> </w:t>
      </w:r>
      <w:r>
        <w:t>leurs</w:t>
      </w:r>
      <w:r w:rsidRPr="002C4077">
        <w:t xml:space="preserve"> </w:t>
      </w:r>
      <w:r>
        <w:t>jeunes</w:t>
      </w:r>
      <w:r w:rsidRPr="002C4077">
        <w:t xml:space="preserve"> </w:t>
      </w:r>
      <w:r>
        <w:t>années,</w:t>
      </w:r>
      <w:r w:rsidRPr="002C4077">
        <w:t xml:space="preserve"> </w:t>
      </w:r>
      <w:r>
        <w:t>contre</w:t>
      </w:r>
      <w:r w:rsidRPr="002C4077">
        <w:t xml:space="preserve"> </w:t>
      </w:r>
      <w:r>
        <w:t>les</w:t>
      </w:r>
      <w:r w:rsidRPr="002C4077">
        <w:t xml:space="preserve"> </w:t>
      </w:r>
      <w:r>
        <w:t>traductions</w:t>
      </w:r>
      <w:r w:rsidRPr="002C4077">
        <w:t xml:space="preserve"> </w:t>
      </w:r>
      <w:r>
        <w:t>plus</w:t>
      </w:r>
      <w:r w:rsidRPr="002C4077">
        <w:t xml:space="preserve"> </w:t>
      </w:r>
      <w:r>
        <w:t>simples</w:t>
      </w:r>
      <w:r w:rsidRPr="002C4077">
        <w:t xml:space="preserve"> </w:t>
      </w:r>
      <w:r>
        <w:t>et</w:t>
      </w:r>
      <w:r w:rsidRPr="002C4077">
        <w:t xml:space="preserve"> </w:t>
      </w:r>
      <w:r>
        <w:t>moins</w:t>
      </w:r>
      <w:r w:rsidRPr="002C4077">
        <w:t xml:space="preserve"> </w:t>
      </w:r>
      <w:r>
        <w:t>brillantes</w:t>
      </w:r>
      <w:r w:rsidRPr="002C4077">
        <w:t xml:space="preserve"> </w:t>
      </w:r>
      <w:r>
        <w:t>de</w:t>
      </w:r>
      <w:r w:rsidRPr="002C4077">
        <w:t xml:space="preserve"> </w:t>
      </w:r>
      <w:r>
        <w:t>Reims</w:t>
      </w:r>
      <w:r w:rsidRPr="004440EA">
        <w:t xml:space="preserve"> (</w:t>
      </w:r>
      <w:r>
        <w:t>1582</w:t>
      </w:r>
      <w:r w:rsidR="00B546AF" w:rsidRPr="002C4077">
        <w:t>)</w:t>
      </w:r>
      <w:r w:rsidRPr="002C4077">
        <w:t xml:space="preserve"> </w:t>
      </w:r>
      <w:r>
        <w:t>ou</w:t>
      </w:r>
      <w:r w:rsidRPr="002C4077">
        <w:t xml:space="preserve"> </w:t>
      </w:r>
      <w:r>
        <w:t>de</w:t>
      </w:r>
      <w:r w:rsidRPr="002C4077">
        <w:t xml:space="preserve"> </w:t>
      </w:r>
      <w:r>
        <w:t>Douai</w:t>
      </w:r>
      <w:r w:rsidRPr="004440EA">
        <w:t xml:space="preserve"> (</w:t>
      </w:r>
      <w:r>
        <w:t>1609-1610</w:t>
      </w:r>
      <w:r w:rsidR="00B546AF" w:rsidRPr="002C4077">
        <w:t>)</w:t>
      </w:r>
      <w:r>
        <w:t>.</w:t>
      </w:r>
      <w:r w:rsidRPr="002C4077">
        <w:t xml:space="preserve"> </w:t>
      </w:r>
    </w:p>
    <w:p w:rsidR="000A7AAB" w:rsidRDefault="00B546AF" w:rsidP="000A7AAB">
      <w:r>
        <w:t>« </w:t>
      </w:r>
      <w:r w:rsidR="000A7AAB">
        <w:t>Qui</w:t>
      </w:r>
      <w:r w:rsidR="000A7AAB" w:rsidRPr="002C4077">
        <w:t xml:space="preserve"> </w:t>
      </w:r>
      <w:r w:rsidR="000A7AAB">
        <w:t>voudrait</w:t>
      </w:r>
      <w:r w:rsidR="000A7AAB" w:rsidRPr="002C4077">
        <w:t xml:space="preserve"> </w:t>
      </w:r>
      <w:r w:rsidR="000A7AAB">
        <w:t>soutenir,</w:t>
      </w:r>
      <w:r w:rsidR="000A7AAB" w:rsidRPr="002C4077">
        <w:t xml:space="preserve"> </w:t>
      </w:r>
      <w:r w:rsidR="000A7AAB">
        <w:t>telles</w:t>
      </w:r>
      <w:r w:rsidR="000A7AAB" w:rsidRPr="002C4077">
        <w:t xml:space="preserve"> </w:t>
      </w:r>
      <w:r w:rsidR="000A7AAB">
        <w:t>sont</w:t>
      </w:r>
      <w:r w:rsidR="000A7AAB" w:rsidRPr="002C4077">
        <w:t xml:space="preserve"> </w:t>
      </w:r>
      <w:r w:rsidR="000A7AAB">
        <w:t>ses</w:t>
      </w:r>
      <w:r w:rsidR="000A7AAB" w:rsidRPr="002C4077">
        <w:t xml:space="preserve"> </w:t>
      </w:r>
      <w:r w:rsidR="000A7AAB">
        <w:t>propres</w:t>
      </w:r>
      <w:r w:rsidR="000A7AAB" w:rsidRPr="002C4077">
        <w:t xml:space="preserve"> </w:t>
      </w:r>
      <w:r w:rsidR="000A7AAB">
        <w:t>paroles,</w:t>
      </w:r>
      <w:r w:rsidR="000A7AAB" w:rsidRPr="002C4077">
        <w:t xml:space="preserve"> </w:t>
      </w:r>
      <w:r w:rsidR="000A7AAB">
        <w:t>que</w:t>
      </w:r>
      <w:r w:rsidR="000A7AAB" w:rsidRPr="002C4077">
        <w:t xml:space="preserve"> </w:t>
      </w:r>
      <w:r w:rsidR="000A7AAB">
        <w:t>la</w:t>
      </w:r>
      <w:r w:rsidR="000A7AAB" w:rsidRPr="002C4077">
        <w:t xml:space="preserve"> </w:t>
      </w:r>
      <w:r w:rsidR="000A7AAB">
        <w:t>Bible</w:t>
      </w:r>
      <w:r w:rsidR="000A7AAB" w:rsidRPr="002C4077">
        <w:t xml:space="preserve"> </w:t>
      </w:r>
      <w:r w:rsidR="000A7AAB">
        <w:t>protestante</w:t>
      </w:r>
      <w:r w:rsidR="000A7AAB" w:rsidRPr="002C4077">
        <w:t xml:space="preserve"> </w:t>
      </w:r>
      <w:r w:rsidR="000A7AAB">
        <w:t>n’est</w:t>
      </w:r>
      <w:r w:rsidR="000A7AAB" w:rsidRPr="002C4077">
        <w:t xml:space="preserve"> </w:t>
      </w:r>
      <w:r w:rsidR="000A7AAB">
        <w:t>point,</w:t>
      </w:r>
      <w:r w:rsidR="000A7AAB" w:rsidRPr="002C4077">
        <w:t xml:space="preserve"> </w:t>
      </w:r>
      <w:r w:rsidR="000A7AAB">
        <w:t>par</w:t>
      </w:r>
      <w:r w:rsidR="000A7AAB" w:rsidRPr="002C4077">
        <w:t xml:space="preserve"> </w:t>
      </w:r>
      <w:r w:rsidR="000A7AAB">
        <w:t>sa</w:t>
      </w:r>
      <w:r w:rsidR="000A7AAB" w:rsidRPr="002C4077">
        <w:t xml:space="preserve"> </w:t>
      </w:r>
      <w:r w:rsidR="000A7AAB">
        <w:t>rare</w:t>
      </w:r>
      <w:r w:rsidR="000A7AAB" w:rsidRPr="002C4077">
        <w:t xml:space="preserve"> </w:t>
      </w:r>
      <w:r w:rsidR="000A7AAB">
        <w:t>beauté</w:t>
      </w:r>
      <w:r w:rsidR="000A7AAB" w:rsidRPr="002C4077">
        <w:t xml:space="preserve"> </w:t>
      </w:r>
      <w:r w:rsidR="000A7AAB">
        <w:t>et</w:t>
      </w:r>
      <w:r w:rsidR="000A7AAB" w:rsidRPr="002C4077">
        <w:t xml:space="preserve"> </w:t>
      </w:r>
      <w:r w:rsidR="000A7AAB">
        <w:t>son</w:t>
      </w:r>
      <w:r w:rsidR="000A7AAB" w:rsidRPr="002C4077">
        <w:t xml:space="preserve"> </w:t>
      </w:r>
      <w:r w:rsidR="000A7AAB">
        <w:t>merveilleux</w:t>
      </w:r>
      <w:r w:rsidR="000A7AAB" w:rsidRPr="002C4077">
        <w:t xml:space="preserve"> </w:t>
      </w:r>
      <w:r w:rsidR="000A7AAB">
        <w:t>style,</w:t>
      </w:r>
      <w:r w:rsidR="000A7AAB" w:rsidRPr="002C4077">
        <w:t xml:space="preserve"> </w:t>
      </w:r>
      <w:r w:rsidR="000A7AAB">
        <w:t>l’une</w:t>
      </w:r>
      <w:r w:rsidR="000A7AAB" w:rsidRPr="002C4077">
        <w:t xml:space="preserve"> </w:t>
      </w:r>
      <w:r w:rsidR="000A7AAB">
        <w:t>des</w:t>
      </w:r>
      <w:r w:rsidR="000A7AAB" w:rsidRPr="002C4077">
        <w:t xml:space="preserve"> </w:t>
      </w:r>
      <w:r w:rsidR="000A7AAB">
        <w:t>principales</w:t>
      </w:r>
      <w:r w:rsidR="000A7AAB" w:rsidRPr="002C4077">
        <w:t xml:space="preserve"> </w:t>
      </w:r>
      <w:r w:rsidR="000A7AAB">
        <w:t>citadelles</w:t>
      </w:r>
      <w:r w:rsidR="000A7AAB" w:rsidRPr="002C4077">
        <w:t xml:space="preserve"> </w:t>
      </w:r>
      <w:r w:rsidR="000A7AAB">
        <w:t>de</w:t>
      </w:r>
      <w:r w:rsidR="000A7AAB" w:rsidRPr="002C4077">
        <w:t xml:space="preserve"> </w:t>
      </w:r>
      <w:r w:rsidR="000A7AAB">
        <w:t>l’hérésie</w:t>
      </w:r>
      <w:r w:rsidR="000A7AAB" w:rsidRPr="002C4077">
        <w:t xml:space="preserve"> </w:t>
      </w:r>
      <w:r w:rsidR="000A7AAB">
        <w:t>dans</w:t>
      </w:r>
      <w:r w:rsidR="000A7AAB" w:rsidRPr="002C4077">
        <w:t xml:space="preserve"> </w:t>
      </w:r>
      <w:r w:rsidR="000A7AAB">
        <w:t>ce</w:t>
      </w:r>
      <w:r w:rsidR="000A7AAB" w:rsidRPr="002C4077">
        <w:t xml:space="preserve"> </w:t>
      </w:r>
      <w:r w:rsidR="000A7AAB">
        <w:t>pays</w:t>
      </w:r>
      <w:r>
        <w:t> ?</w:t>
      </w:r>
      <w:r w:rsidR="000A7AAB" w:rsidRPr="002C4077">
        <w:t xml:space="preserve"> </w:t>
      </w:r>
      <w:r w:rsidR="000A7AAB">
        <w:t>Elle</w:t>
      </w:r>
      <w:r w:rsidR="000A7AAB" w:rsidRPr="002C4077">
        <w:t xml:space="preserve"> </w:t>
      </w:r>
      <w:r w:rsidR="000A7AAB">
        <w:t>persiste</w:t>
      </w:r>
      <w:r w:rsidR="000A7AAB" w:rsidRPr="002C4077">
        <w:t xml:space="preserve"> </w:t>
      </w:r>
      <w:r w:rsidR="000A7AAB">
        <w:t>à</w:t>
      </w:r>
      <w:r w:rsidR="000A7AAB" w:rsidRPr="002C4077">
        <w:t xml:space="preserve"> </w:t>
      </w:r>
      <w:r w:rsidR="000A7AAB">
        <w:t>vivre</w:t>
      </w:r>
      <w:r w:rsidR="000A7AAB" w:rsidRPr="002C4077">
        <w:t xml:space="preserve"> </w:t>
      </w:r>
      <w:r w:rsidR="000A7AAB">
        <w:t>dans</w:t>
      </w:r>
      <w:r w:rsidR="000A7AAB" w:rsidRPr="002C4077">
        <w:t xml:space="preserve"> </w:t>
      </w:r>
      <w:r w:rsidR="000A7AAB">
        <w:t>l’oreille</w:t>
      </w:r>
      <w:r w:rsidR="000A7AAB" w:rsidRPr="002C4077">
        <w:t xml:space="preserve"> </w:t>
      </w:r>
      <w:r w:rsidR="000A7AAB">
        <w:t>comme</w:t>
      </w:r>
      <w:r w:rsidR="000A7AAB" w:rsidRPr="002C4077">
        <w:t xml:space="preserve"> </w:t>
      </w:r>
      <w:r w:rsidR="000A7AAB">
        <w:t>une</w:t>
      </w:r>
      <w:r w:rsidR="000A7AAB" w:rsidRPr="002C4077">
        <w:t xml:space="preserve"> </w:t>
      </w:r>
      <w:r w:rsidR="000A7AAB">
        <w:t>musique</w:t>
      </w:r>
      <w:r w:rsidR="000A7AAB" w:rsidRPr="002C4077">
        <w:t xml:space="preserve"> </w:t>
      </w:r>
      <w:r w:rsidR="000A7AAB">
        <w:t>qu’on</w:t>
      </w:r>
      <w:r w:rsidR="000A7AAB" w:rsidRPr="002C4077">
        <w:t xml:space="preserve"> </w:t>
      </w:r>
      <w:r w:rsidR="000A7AAB">
        <w:t>ne</w:t>
      </w:r>
      <w:r w:rsidR="000A7AAB" w:rsidRPr="002C4077">
        <w:t xml:space="preserve"> </w:t>
      </w:r>
      <w:r w:rsidR="000A7AAB">
        <w:t>peut</w:t>
      </w:r>
      <w:r w:rsidR="000A7AAB" w:rsidRPr="002C4077">
        <w:t xml:space="preserve"> </w:t>
      </w:r>
      <w:r w:rsidR="000A7AAB">
        <w:t>oublier…</w:t>
      </w:r>
      <w:r w:rsidR="00C45B47">
        <w:t xml:space="preserve"> {</w:t>
      </w:r>
      <w:r w:rsidR="00B53529">
        <w:t>183</w:t>
      </w:r>
      <w:bookmarkStart w:id="475" w:name="p183"/>
      <w:bookmarkEnd w:id="475"/>
      <w:r w:rsidR="00B53529">
        <w:t xml:space="preserve">} </w:t>
      </w:r>
      <w:r w:rsidR="000A7AAB">
        <w:t>Elle</w:t>
      </w:r>
      <w:r w:rsidR="000A7AAB" w:rsidRPr="002C4077">
        <w:t xml:space="preserve"> </w:t>
      </w:r>
      <w:r w:rsidR="00425C50">
        <w:t>est</w:t>
      </w:r>
      <w:r w:rsidR="000A7AAB" w:rsidRPr="002C4077">
        <w:t xml:space="preserve"> </w:t>
      </w:r>
      <w:r w:rsidR="000A7AAB">
        <w:t>une</w:t>
      </w:r>
      <w:r w:rsidR="000A7AAB" w:rsidRPr="002C4077">
        <w:t xml:space="preserve"> </w:t>
      </w:r>
      <w:r w:rsidR="000A7AAB">
        <w:t>portion</w:t>
      </w:r>
      <w:r w:rsidR="000A7AAB" w:rsidRPr="002C4077">
        <w:t xml:space="preserve"> </w:t>
      </w:r>
      <w:r w:rsidR="000A7AAB">
        <w:t>de</w:t>
      </w:r>
      <w:r w:rsidR="000A7AAB" w:rsidRPr="002C4077">
        <w:t xml:space="preserve"> </w:t>
      </w:r>
      <w:r w:rsidR="000A7AAB">
        <w:t>l’esprit</w:t>
      </w:r>
      <w:r w:rsidR="000A7AAB" w:rsidRPr="002C4077">
        <w:t xml:space="preserve"> </w:t>
      </w:r>
      <w:r w:rsidR="000A7AAB">
        <w:t>national</w:t>
      </w:r>
      <w:r w:rsidR="000A7AAB" w:rsidRPr="002C4077">
        <w:t xml:space="preserve"> </w:t>
      </w:r>
      <w:r w:rsidR="000A7AAB">
        <w:t>et</w:t>
      </w:r>
      <w:r w:rsidR="000A7AAB" w:rsidRPr="002C4077">
        <w:t xml:space="preserve"> </w:t>
      </w:r>
      <w:r w:rsidR="000A7AAB">
        <w:t>l’ancre</w:t>
      </w:r>
      <w:r w:rsidR="000A7AAB" w:rsidRPr="002C4077">
        <w:t xml:space="preserve"> </w:t>
      </w:r>
      <w:r w:rsidR="000A7AAB">
        <w:t>de</w:t>
      </w:r>
      <w:r w:rsidR="000A7AAB" w:rsidRPr="002C4077">
        <w:t xml:space="preserve"> </w:t>
      </w:r>
      <w:r w:rsidR="000A7AAB">
        <w:t>la</w:t>
      </w:r>
      <w:r w:rsidR="000A7AAB" w:rsidRPr="002C4077">
        <w:t xml:space="preserve"> </w:t>
      </w:r>
      <w:r w:rsidR="000A7AAB">
        <w:t>gravité</w:t>
      </w:r>
      <w:r w:rsidR="000A7AAB" w:rsidRPr="002C4077">
        <w:t xml:space="preserve"> </w:t>
      </w:r>
      <w:r w:rsidR="000A7AAB">
        <w:t>nationale.</w:t>
      </w:r>
      <w:r w:rsidR="000A7AAB" w:rsidRPr="002C4077">
        <w:t xml:space="preserve"> </w:t>
      </w:r>
      <w:r w:rsidR="000A7AAB">
        <w:t>Elle</w:t>
      </w:r>
      <w:r w:rsidR="000A7AAB" w:rsidRPr="002C4077">
        <w:t xml:space="preserve"> </w:t>
      </w:r>
      <w:r w:rsidR="00425C50">
        <w:t>est</w:t>
      </w:r>
      <w:r w:rsidR="000A7AAB" w:rsidRPr="002C4077">
        <w:t xml:space="preserve"> </w:t>
      </w:r>
      <w:r w:rsidR="000A7AAB" w:rsidRPr="000A34B5">
        <w:rPr>
          <w:rStyle w:val="italicus"/>
        </w:rPr>
        <w:t>adorée</w:t>
      </w:r>
      <w:r w:rsidR="000A7AAB" w:rsidRPr="002C4077">
        <w:t xml:space="preserve"> </w:t>
      </w:r>
      <w:r w:rsidR="000A7AAB">
        <w:t>de</w:t>
      </w:r>
      <w:r w:rsidR="000A7AAB" w:rsidRPr="002C4077">
        <w:t xml:space="preserve"> </w:t>
      </w:r>
      <w:r w:rsidR="000A7AAB">
        <w:t>manière</w:t>
      </w:r>
      <w:r w:rsidR="000A7AAB" w:rsidRPr="002C4077">
        <w:t xml:space="preserve"> </w:t>
      </w:r>
      <w:r w:rsidR="000A7AAB">
        <w:t>à</w:t>
      </w:r>
      <w:r w:rsidR="000A7AAB" w:rsidRPr="002C4077">
        <w:t xml:space="preserve"> </w:t>
      </w:r>
      <w:r w:rsidR="000A7AAB">
        <w:t>former</w:t>
      </w:r>
      <w:r w:rsidR="000A7AAB" w:rsidRPr="002C4077">
        <w:t xml:space="preserve"> </w:t>
      </w:r>
      <w:r w:rsidR="000A7AAB">
        <w:t>l’objet</w:t>
      </w:r>
      <w:r w:rsidR="000A7AAB" w:rsidRPr="002C4077">
        <w:t xml:space="preserve"> </w:t>
      </w:r>
      <w:r w:rsidR="000A7AAB">
        <w:t>d’une</w:t>
      </w:r>
      <w:r w:rsidR="000A7AAB" w:rsidRPr="002C4077">
        <w:t xml:space="preserve"> </w:t>
      </w:r>
      <w:r w:rsidR="000A7AAB">
        <w:t>idolâtrie</w:t>
      </w:r>
      <w:r w:rsidR="000A7AAB" w:rsidRPr="002C4077">
        <w:t xml:space="preserve"> </w:t>
      </w:r>
      <w:r w:rsidR="000A7AAB">
        <w:t>positive…</w:t>
      </w:r>
      <w:r w:rsidR="000A7AAB" w:rsidRPr="002C4077">
        <w:t xml:space="preserve"> </w:t>
      </w:r>
      <w:r w:rsidR="000A7AAB">
        <w:t>La</w:t>
      </w:r>
      <w:r w:rsidR="000A7AAB" w:rsidRPr="002C4077">
        <w:t xml:space="preserve"> </w:t>
      </w:r>
      <w:r w:rsidR="000A7AAB">
        <w:t>mémoire</w:t>
      </w:r>
      <w:r w:rsidR="000A7AAB" w:rsidRPr="002C4077">
        <w:t xml:space="preserve"> </w:t>
      </w:r>
      <w:r w:rsidR="000A7AAB">
        <w:t>des</w:t>
      </w:r>
      <w:r w:rsidR="000A7AAB" w:rsidRPr="002C4077">
        <w:t xml:space="preserve"> </w:t>
      </w:r>
      <w:r w:rsidR="000A7AAB">
        <w:t>morts</w:t>
      </w:r>
      <w:r w:rsidR="000A7AAB" w:rsidRPr="002C4077">
        <w:t xml:space="preserve"> </w:t>
      </w:r>
      <w:r w:rsidR="000A7AAB">
        <w:t>passe</w:t>
      </w:r>
      <w:r w:rsidR="000A7AAB" w:rsidRPr="002C4077">
        <w:t xml:space="preserve"> </w:t>
      </w:r>
      <w:r w:rsidR="000A7AAB">
        <w:t>en</w:t>
      </w:r>
      <w:r w:rsidR="000A7AAB" w:rsidRPr="002C4077">
        <w:t xml:space="preserve"> </w:t>
      </w:r>
      <w:r w:rsidR="000A7AAB">
        <w:t>elle.</w:t>
      </w:r>
      <w:r w:rsidR="000A7AAB" w:rsidRPr="002C4077">
        <w:t xml:space="preserve"> </w:t>
      </w:r>
      <w:r w:rsidR="000A7AAB">
        <w:t>Les</w:t>
      </w:r>
      <w:r w:rsidR="000A7AAB" w:rsidRPr="002C4077">
        <w:t xml:space="preserve"> </w:t>
      </w:r>
      <w:r w:rsidR="000A7AAB">
        <w:t>puissantes</w:t>
      </w:r>
      <w:r w:rsidR="000A7AAB" w:rsidRPr="002C4077">
        <w:t xml:space="preserve"> </w:t>
      </w:r>
      <w:r w:rsidR="000A7AAB">
        <w:t>traditions</w:t>
      </w:r>
      <w:r w:rsidR="000A7AAB" w:rsidRPr="002C4077">
        <w:t xml:space="preserve"> </w:t>
      </w:r>
      <w:r w:rsidR="000A7AAB">
        <w:t>de</w:t>
      </w:r>
      <w:r w:rsidR="000A7AAB" w:rsidRPr="002C4077">
        <w:t xml:space="preserve"> </w:t>
      </w:r>
      <w:r w:rsidR="000A7AAB">
        <w:t>l’enfance</w:t>
      </w:r>
      <w:r w:rsidR="000A7AAB" w:rsidRPr="002C4077">
        <w:t xml:space="preserve"> </w:t>
      </w:r>
      <w:r w:rsidR="000A7AAB">
        <w:t>sont</w:t>
      </w:r>
      <w:r w:rsidR="000A7AAB" w:rsidRPr="002C4077">
        <w:t xml:space="preserve"> </w:t>
      </w:r>
      <w:r w:rsidR="000A7AAB">
        <w:t>stéréotypées</w:t>
      </w:r>
      <w:r w:rsidR="000A7AAB" w:rsidRPr="002C4077">
        <w:t xml:space="preserve"> </w:t>
      </w:r>
      <w:r w:rsidR="000A7AAB">
        <w:t>dans</w:t>
      </w:r>
      <w:r w:rsidR="000A7AAB" w:rsidRPr="002C4077">
        <w:t xml:space="preserve"> </w:t>
      </w:r>
      <w:r w:rsidR="000A7AAB">
        <w:t>ses</w:t>
      </w:r>
      <w:r w:rsidR="000A7AAB" w:rsidRPr="002C4077">
        <w:t xml:space="preserve"> </w:t>
      </w:r>
      <w:r w:rsidR="000A7AAB">
        <w:t>versets.</w:t>
      </w:r>
      <w:r w:rsidR="000A7AAB" w:rsidRPr="002C4077">
        <w:t xml:space="preserve"> </w:t>
      </w:r>
      <w:r w:rsidR="000A7AAB">
        <w:t>La</w:t>
      </w:r>
      <w:r w:rsidR="000A7AAB" w:rsidRPr="002C4077">
        <w:t xml:space="preserve"> </w:t>
      </w:r>
      <w:r w:rsidR="000A7AAB">
        <w:t>force</w:t>
      </w:r>
      <w:r w:rsidR="000A7AAB" w:rsidRPr="002C4077">
        <w:t xml:space="preserve"> </w:t>
      </w:r>
      <w:r w:rsidR="000A7AAB">
        <w:t>de</w:t>
      </w:r>
      <w:r w:rsidR="000A7AAB" w:rsidRPr="002C4077">
        <w:t xml:space="preserve"> </w:t>
      </w:r>
      <w:r w:rsidR="000A7AAB">
        <w:t>toutes</w:t>
      </w:r>
      <w:r w:rsidR="000A7AAB" w:rsidRPr="002C4077">
        <w:t xml:space="preserve"> </w:t>
      </w:r>
      <w:r w:rsidR="000A7AAB">
        <w:t>les</w:t>
      </w:r>
      <w:r w:rsidR="000A7AAB" w:rsidRPr="002C4077">
        <w:t xml:space="preserve"> </w:t>
      </w:r>
      <w:r w:rsidR="000A7AAB">
        <w:t>douleurs</w:t>
      </w:r>
      <w:r w:rsidR="000A7AAB" w:rsidRPr="002C4077">
        <w:t xml:space="preserve"> </w:t>
      </w:r>
      <w:r w:rsidR="000A7AAB">
        <w:t>et</w:t>
      </w:r>
      <w:r w:rsidR="000A7AAB" w:rsidRPr="002C4077">
        <w:t xml:space="preserve"> </w:t>
      </w:r>
      <w:r w:rsidR="000A7AAB">
        <w:t>épreuves</w:t>
      </w:r>
      <w:r w:rsidR="000A7AAB" w:rsidRPr="002C4077">
        <w:t xml:space="preserve"> </w:t>
      </w:r>
      <w:r w:rsidR="000A7AAB">
        <w:t>de</w:t>
      </w:r>
      <w:r w:rsidR="000A7AAB" w:rsidRPr="002C4077">
        <w:t xml:space="preserve"> </w:t>
      </w:r>
      <w:r w:rsidR="000A7AAB">
        <w:t>chaque</w:t>
      </w:r>
      <w:r w:rsidR="000A7AAB" w:rsidRPr="002C4077">
        <w:t xml:space="preserve"> </w:t>
      </w:r>
      <w:r w:rsidR="000A7AAB">
        <w:t>individu</w:t>
      </w:r>
      <w:r w:rsidR="000A7AAB" w:rsidRPr="002C4077">
        <w:t xml:space="preserve"> </w:t>
      </w:r>
      <w:r w:rsidR="000A7AAB">
        <w:t>gît</w:t>
      </w:r>
      <w:r w:rsidR="000A7AAB" w:rsidRPr="002C4077">
        <w:t xml:space="preserve"> </w:t>
      </w:r>
      <w:r w:rsidR="000A7AAB">
        <w:t>cachée</w:t>
      </w:r>
      <w:r w:rsidR="000A7AAB" w:rsidRPr="002C4077">
        <w:t xml:space="preserve"> </w:t>
      </w:r>
      <w:r w:rsidR="000A7AAB">
        <w:t>sous</w:t>
      </w:r>
      <w:r w:rsidR="000A7AAB" w:rsidRPr="002C4077">
        <w:t xml:space="preserve"> </w:t>
      </w:r>
      <w:r w:rsidR="000A7AAB">
        <w:t>ses</w:t>
      </w:r>
      <w:r w:rsidR="000A7AAB" w:rsidRPr="002C4077">
        <w:t xml:space="preserve"> </w:t>
      </w:r>
      <w:r w:rsidR="000A7AAB">
        <w:t>paroles</w:t>
      </w:r>
      <w:r>
        <w:t> ;</w:t>
      </w:r>
      <w:r w:rsidR="000A7AAB" w:rsidRPr="002C4077">
        <w:t xml:space="preserve"> </w:t>
      </w:r>
      <w:r w:rsidR="000A7AAB">
        <w:t>elle</w:t>
      </w:r>
      <w:r w:rsidR="000A7AAB" w:rsidRPr="002C4077">
        <w:t xml:space="preserve"> </w:t>
      </w:r>
      <w:r w:rsidR="000A7AAB">
        <w:t>représente</w:t>
      </w:r>
      <w:r w:rsidR="000A7AAB" w:rsidRPr="002C4077">
        <w:t xml:space="preserve"> </w:t>
      </w:r>
      <w:r w:rsidR="000A7AAB">
        <w:t>ses</w:t>
      </w:r>
      <w:r w:rsidR="000A7AAB" w:rsidRPr="002C4077">
        <w:t xml:space="preserve"> </w:t>
      </w:r>
      <w:r w:rsidR="000A7AAB">
        <w:t>meilleurs</w:t>
      </w:r>
      <w:r w:rsidR="000A7AAB" w:rsidRPr="002C4077">
        <w:t xml:space="preserve"> </w:t>
      </w:r>
      <w:r w:rsidR="000A7AAB">
        <w:t>moments</w:t>
      </w:r>
      <w:r>
        <w:t> ;</w:t>
      </w:r>
      <w:r w:rsidR="000A7AAB" w:rsidRPr="002C4077">
        <w:t xml:space="preserve"> </w:t>
      </w:r>
      <w:r w:rsidR="000A7AAB">
        <w:t>et</w:t>
      </w:r>
      <w:r w:rsidR="000A7AAB" w:rsidRPr="002C4077">
        <w:t xml:space="preserve"> </w:t>
      </w:r>
      <w:r w:rsidR="000A7AAB">
        <w:t>tout</w:t>
      </w:r>
      <w:r w:rsidR="000A7AAB" w:rsidRPr="002C4077">
        <w:t xml:space="preserve"> </w:t>
      </w:r>
      <w:r w:rsidR="000A7AAB">
        <w:t>ce</w:t>
      </w:r>
      <w:r w:rsidR="000A7AAB" w:rsidRPr="002C4077">
        <w:t xml:space="preserve"> </w:t>
      </w:r>
      <w:r w:rsidR="000A7AAB">
        <w:t>qu’il</w:t>
      </w:r>
      <w:r w:rsidR="000A7AAB" w:rsidRPr="002C4077">
        <w:t xml:space="preserve"> </w:t>
      </w:r>
      <w:r w:rsidR="000A7AAB">
        <w:t>y</w:t>
      </w:r>
      <w:r w:rsidR="000A7AAB" w:rsidRPr="002C4077">
        <w:t xml:space="preserve"> </w:t>
      </w:r>
      <w:r w:rsidR="000A7AAB">
        <w:t>a</w:t>
      </w:r>
      <w:r w:rsidR="000A7AAB" w:rsidRPr="002C4077">
        <w:t xml:space="preserve"> </w:t>
      </w:r>
      <w:r w:rsidR="000A7AAB">
        <w:t>en</w:t>
      </w:r>
      <w:r w:rsidR="000A7AAB" w:rsidRPr="002C4077">
        <w:t xml:space="preserve"> </w:t>
      </w:r>
      <w:r w:rsidR="000A7AAB">
        <w:t>lui</w:t>
      </w:r>
      <w:r w:rsidR="000A7AAB" w:rsidRPr="002C4077">
        <w:t xml:space="preserve"> </w:t>
      </w:r>
      <w:r w:rsidR="000A7AAB">
        <w:t>de</w:t>
      </w:r>
      <w:r w:rsidR="000A7AAB" w:rsidRPr="002C4077">
        <w:t xml:space="preserve"> </w:t>
      </w:r>
      <w:r w:rsidR="000A7AAB">
        <w:t>doux,</w:t>
      </w:r>
      <w:r w:rsidR="000A7AAB" w:rsidRPr="002C4077">
        <w:t xml:space="preserve"> </w:t>
      </w:r>
      <w:r w:rsidR="000A7AAB">
        <w:t>et</w:t>
      </w:r>
      <w:r w:rsidR="000A7AAB" w:rsidRPr="002C4077">
        <w:t xml:space="preserve"> </w:t>
      </w:r>
      <w:r w:rsidR="000A7AAB">
        <w:t>d’aimable,</w:t>
      </w:r>
      <w:r w:rsidR="000A7AAB" w:rsidRPr="002C4077">
        <w:t xml:space="preserve"> </w:t>
      </w:r>
      <w:r w:rsidR="000A7AAB">
        <w:t>et</w:t>
      </w:r>
      <w:r w:rsidR="000A7AAB" w:rsidRPr="002C4077">
        <w:t xml:space="preserve"> </w:t>
      </w:r>
      <w:r w:rsidR="000A7AAB">
        <w:t>de</w:t>
      </w:r>
      <w:r w:rsidR="000A7AAB" w:rsidRPr="002C4077">
        <w:t xml:space="preserve"> </w:t>
      </w:r>
      <w:r w:rsidR="000A7AAB">
        <w:t>pur,</w:t>
      </w:r>
      <w:r w:rsidR="000A7AAB" w:rsidRPr="002C4077">
        <w:t xml:space="preserve"> </w:t>
      </w:r>
      <w:r w:rsidR="000A7AAB">
        <w:t>et</w:t>
      </w:r>
      <w:r w:rsidR="000A7AAB" w:rsidRPr="002C4077">
        <w:t xml:space="preserve"> </w:t>
      </w:r>
      <w:r w:rsidR="000A7AAB">
        <w:t>de</w:t>
      </w:r>
      <w:r w:rsidR="000A7AAB" w:rsidRPr="002C4077">
        <w:t xml:space="preserve"> </w:t>
      </w:r>
      <w:r w:rsidR="000A7AAB">
        <w:t>bon,</w:t>
      </w:r>
      <w:r w:rsidR="000A7AAB" w:rsidRPr="002C4077">
        <w:t xml:space="preserve"> </w:t>
      </w:r>
      <w:r w:rsidR="000A7AAB">
        <w:t>prend</w:t>
      </w:r>
      <w:r w:rsidR="000A7AAB" w:rsidRPr="002C4077">
        <w:t xml:space="preserve"> </w:t>
      </w:r>
      <w:r w:rsidR="000A7AAB">
        <w:t>une</w:t>
      </w:r>
      <w:r w:rsidR="000A7AAB" w:rsidRPr="002C4077">
        <w:t xml:space="preserve"> </w:t>
      </w:r>
      <w:r w:rsidR="000A7AAB">
        <w:t>voix</w:t>
      </w:r>
      <w:r w:rsidR="000A7AAB" w:rsidRPr="002C4077">
        <w:t xml:space="preserve"> </w:t>
      </w:r>
      <w:r w:rsidR="000A7AAB">
        <w:t>pour</w:t>
      </w:r>
      <w:r w:rsidR="000A7AAB" w:rsidRPr="002C4077">
        <w:t xml:space="preserve"> </w:t>
      </w:r>
      <w:r w:rsidR="000A7AAB">
        <w:t>lui</w:t>
      </w:r>
      <w:r w:rsidR="000A7AAB" w:rsidRPr="002C4077">
        <w:t xml:space="preserve"> </w:t>
      </w:r>
      <w:r w:rsidR="000A7AAB">
        <w:t>parler</w:t>
      </w:r>
      <w:r w:rsidR="000A7AAB" w:rsidRPr="002C4077">
        <w:t xml:space="preserve"> </w:t>
      </w:r>
      <w:r w:rsidR="000A7AAB">
        <w:t>quand</w:t>
      </w:r>
      <w:r w:rsidR="000A7AAB" w:rsidRPr="002C4077">
        <w:t xml:space="preserve"> </w:t>
      </w:r>
      <w:r w:rsidR="000A7AAB">
        <w:t>il</w:t>
      </w:r>
      <w:r w:rsidR="000A7AAB" w:rsidRPr="002C4077">
        <w:t xml:space="preserve"> </w:t>
      </w:r>
      <w:r w:rsidR="000A7AAB">
        <w:t>lit</w:t>
      </w:r>
      <w:r w:rsidR="000A7AAB" w:rsidRPr="002C4077">
        <w:t xml:space="preserve"> </w:t>
      </w:r>
      <w:r w:rsidR="000A7AAB">
        <w:t>sa</w:t>
      </w:r>
      <w:r w:rsidR="000A7AAB" w:rsidRPr="002C4077">
        <w:t xml:space="preserve"> </w:t>
      </w:r>
      <w:r w:rsidR="000A7AAB">
        <w:t>Bible</w:t>
      </w:r>
      <w:r w:rsidR="000A7AAB" w:rsidRPr="002C4077">
        <w:t xml:space="preserve"> </w:t>
      </w:r>
      <w:r w:rsidR="000A7AAB">
        <w:t>anglicane</w:t>
      </w:r>
      <w:r w:rsidR="00B91AF7">
        <w:rPr>
          <w:rStyle w:val="Appelnotedebasdep"/>
        </w:rPr>
        <w:footnoteReference w:id="614"/>
      </w:r>
      <w:r>
        <w:t> »</w:t>
      </w:r>
      <w:r w:rsidR="000A7AAB">
        <w:t>.</w:t>
      </w:r>
      <w:r w:rsidR="000A7AAB" w:rsidRPr="002C4077">
        <w:t xml:space="preserve"> </w:t>
      </w:r>
    </w:p>
    <w:p w:rsidR="000A7AAB" w:rsidRPr="00B53529" w:rsidRDefault="000A7AAB" w:rsidP="000A7AAB">
      <w:r>
        <w:t>L’on</w:t>
      </w:r>
      <w:r w:rsidRPr="002C4077">
        <w:t xml:space="preserve"> </w:t>
      </w:r>
      <w:r>
        <w:t>comprend,</w:t>
      </w:r>
      <w:r w:rsidRPr="002C4077">
        <w:t xml:space="preserve"> </w:t>
      </w:r>
      <w:r>
        <w:t>après</w:t>
      </w:r>
      <w:r w:rsidRPr="002C4077">
        <w:t xml:space="preserve"> </w:t>
      </w:r>
      <w:r>
        <w:t>cela,</w:t>
      </w:r>
      <w:r w:rsidRPr="002C4077">
        <w:t xml:space="preserve"> </w:t>
      </w:r>
      <w:r>
        <w:t>que</w:t>
      </w:r>
      <w:r w:rsidRPr="002C4077">
        <w:t xml:space="preserve"> </w:t>
      </w:r>
      <w:r>
        <w:t>lorsque</w:t>
      </w:r>
      <w:r w:rsidRPr="002C4077">
        <w:t xml:space="preserve"> </w:t>
      </w:r>
      <w:r>
        <w:t>le</w:t>
      </w:r>
      <w:r w:rsidRPr="002C4077">
        <w:t xml:space="preserve"> </w:t>
      </w:r>
      <w:r>
        <w:t>bruit</w:t>
      </w:r>
      <w:r w:rsidRPr="002C4077">
        <w:t xml:space="preserve"> </w:t>
      </w:r>
      <w:r>
        <w:t>se</w:t>
      </w:r>
      <w:r w:rsidRPr="002C4077">
        <w:t xml:space="preserve"> </w:t>
      </w:r>
      <w:r>
        <w:t>répandit</w:t>
      </w:r>
      <w:r w:rsidRPr="002C4077">
        <w:t xml:space="preserve"> </w:t>
      </w:r>
      <w:r>
        <w:t>qu’on</w:t>
      </w:r>
      <w:r w:rsidRPr="002C4077">
        <w:t xml:space="preserve"> </w:t>
      </w:r>
      <w:r>
        <w:t>allait</w:t>
      </w:r>
      <w:r w:rsidRPr="002C4077">
        <w:t xml:space="preserve"> </w:t>
      </w:r>
      <w:r>
        <w:t>toucher</w:t>
      </w:r>
      <w:r w:rsidRPr="002C4077">
        <w:t xml:space="preserve"> </w:t>
      </w:r>
      <w:r>
        <w:t>à</w:t>
      </w:r>
      <w:r w:rsidRPr="002C4077">
        <w:t xml:space="preserve"> </w:t>
      </w:r>
      <w:r>
        <w:t>ce</w:t>
      </w:r>
      <w:r w:rsidRPr="002C4077">
        <w:t xml:space="preserve"> </w:t>
      </w:r>
      <w:r>
        <w:t>livre-idole,</w:t>
      </w:r>
      <w:r w:rsidRPr="002C4077">
        <w:t xml:space="preserve"> </w:t>
      </w:r>
      <w:r>
        <w:t>une</w:t>
      </w:r>
      <w:r w:rsidRPr="002C4077">
        <w:t xml:space="preserve"> </w:t>
      </w:r>
      <w:r>
        <w:t>profonde</w:t>
      </w:r>
      <w:r w:rsidRPr="002C4077">
        <w:t xml:space="preserve"> </w:t>
      </w:r>
      <w:r>
        <w:t>inquiétude</w:t>
      </w:r>
      <w:r w:rsidRPr="002C4077">
        <w:t xml:space="preserve"> </w:t>
      </w:r>
      <w:r>
        <w:t>se</w:t>
      </w:r>
      <w:r w:rsidRPr="002C4077">
        <w:t xml:space="preserve"> </w:t>
      </w:r>
      <w:r>
        <w:t>soit</w:t>
      </w:r>
      <w:r w:rsidRPr="002C4077">
        <w:t xml:space="preserve"> </w:t>
      </w:r>
      <w:r>
        <w:t>emparée</w:t>
      </w:r>
      <w:r w:rsidRPr="002C4077">
        <w:t xml:space="preserve"> </w:t>
      </w:r>
      <w:r>
        <w:t>non-seulement</w:t>
      </w:r>
      <w:r w:rsidRPr="002C4077">
        <w:t xml:space="preserve"> </w:t>
      </w:r>
      <w:r>
        <w:t>de</w:t>
      </w:r>
      <w:r w:rsidRPr="002C4077">
        <w:t xml:space="preserve"> </w:t>
      </w:r>
      <w:r>
        <w:t>la</w:t>
      </w:r>
      <w:r w:rsidRPr="002C4077">
        <w:t xml:space="preserve"> </w:t>
      </w:r>
      <w:r>
        <w:t>masse</w:t>
      </w:r>
      <w:r w:rsidRPr="002C4077">
        <w:t xml:space="preserve"> </w:t>
      </w:r>
      <w:r>
        <w:t>du</w:t>
      </w:r>
      <w:r w:rsidRPr="002C4077">
        <w:t xml:space="preserve"> </w:t>
      </w:r>
      <w:r>
        <w:t>peuple,</w:t>
      </w:r>
      <w:r w:rsidRPr="002C4077">
        <w:t xml:space="preserve"> </w:t>
      </w:r>
      <w:r>
        <w:t>mais</w:t>
      </w:r>
      <w:r w:rsidRPr="002C4077">
        <w:t xml:space="preserve"> </w:t>
      </w:r>
      <w:r>
        <w:t>encore</w:t>
      </w:r>
      <w:r w:rsidRPr="002C4077">
        <w:t xml:space="preserve"> </w:t>
      </w:r>
      <w:r>
        <w:t>des</w:t>
      </w:r>
      <w:r w:rsidRPr="002C4077">
        <w:t xml:space="preserve"> </w:t>
      </w:r>
      <w:r>
        <w:t>esprits</w:t>
      </w:r>
      <w:r w:rsidRPr="002C4077">
        <w:t xml:space="preserve"> </w:t>
      </w:r>
      <w:r>
        <w:t>les</w:t>
      </w:r>
      <w:r w:rsidRPr="002C4077">
        <w:t xml:space="preserve"> </w:t>
      </w:r>
      <w:r>
        <w:t>plus</w:t>
      </w:r>
      <w:r w:rsidRPr="002C4077">
        <w:t xml:space="preserve"> </w:t>
      </w:r>
      <w:r>
        <w:t>ém</w:t>
      </w:r>
      <w:r w:rsidR="001730C6">
        <w:t>in</w:t>
      </w:r>
      <w:r>
        <w:t>ents.</w:t>
      </w:r>
      <w:r w:rsidRPr="002C4077">
        <w:t xml:space="preserve"> </w:t>
      </w:r>
      <w:r>
        <w:t>Plusieurs</w:t>
      </w:r>
      <w:r w:rsidRPr="002C4077">
        <w:t xml:space="preserve"> </w:t>
      </w:r>
      <w:r>
        <w:t>personnages</w:t>
      </w:r>
      <w:r w:rsidRPr="002C4077">
        <w:t xml:space="preserve"> </w:t>
      </w:r>
      <w:r>
        <w:t>distingués</w:t>
      </w:r>
      <w:r w:rsidRPr="002C4077">
        <w:t xml:space="preserve"> </w:t>
      </w:r>
      <w:r>
        <w:t>par</w:t>
      </w:r>
      <w:r w:rsidRPr="002C4077">
        <w:t xml:space="preserve"> </w:t>
      </w:r>
      <w:r>
        <w:t>leur</w:t>
      </w:r>
      <w:r w:rsidRPr="002C4077">
        <w:t xml:space="preserve"> </w:t>
      </w:r>
      <w:r>
        <w:t>position,</w:t>
      </w:r>
      <w:r w:rsidRPr="002C4077">
        <w:t xml:space="preserve"> </w:t>
      </w:r>
      <w:r>
        <w:t>par</w:t>
      </w:r>
      <w:r w:rsidRPr="002C4077">
        <w:t xml:space="preserve"> </w:t>
      </w:r>
      <w:r>
        <w:t>leurs</w:t>
      </w:r>
      <w:r w:rsidRPr="002C4077">
        <w:t xml:space="preserve"> </w:t>
      </w:r>
      <w:r>
        <w:t>écrits,</w:t>
      </w:r>
      <w:r w:rsidRPr="002C4077">
        <w:t xml:space="preserve"> </w:t>
      </w:r>
      <w:r>
        <w:t>par</w:t>
      </w:r>
      <w:r w:rsidRPr="002C4077">
        <w:t xml:space="preserve"> </w:t>
      </w:r>
      <w:r>
        <w:t>leurs</w:t>
      </w:r>
      <w:r w:rsidRPr="002C4077">
        <w:t xml:space="preserve"> </w:t>
      </w:r>
      <w:r>
        <w:t>talents,</w:t>
      </w:r>
      <w:r w:rsidRPr="002C4077">
        <w:t xml:space="preserve"> </w:t>
      </w:r>
      <w:r>
        <w:t>protestèrent</w:t>
      </w:r>
      <w:r w:rsidRPr="002C4077">
        <w:t xml:space="preserve"> </w:t>
      </w:r>
      <w:r>
        <w:t>hautement</w:t>
      </w:r>
      <w:r w:rsidRPr="002C4077">
        <w:t xml:space="preserve"> </w:t>
      </w:r>
      <w:r>
        <w:t>d’avance.</w:t>
      </w:r>
      <w:r w:rsidRPr="002C4077">
        <w:t xml:space="preserve"> </w:t>
      </w:r>
      <w:r>
        <w:t>N’y</w:t>
      </w:r>
      <w:r w:rsidRPr="002C4077">
        <w:t xml:space="preserve"> </w:t>
      </w:r>
      <w:r>
        <w:t>touchez</w:t>
      </w:r>
      <w:r w:rsidRPr="002C4077">
        <w:t xml:space="preserve"> </w:t>
      </w:r>
      <w:r>
        <w:t>point,</w:t>
      </w:r>
      <w:r w:rsidRPr="002C4077">
        <w:t xml:space="preserve"> </w:t>
      </w:r>
      <w:r>
        <w:t>criaient-ils</w:t>
      </w:r>
      <w:r w:rsidRPr="002C4077">
        <w:t xml:space="preserve"> </w:t>
      </w:r>
      <w:r>
        <w:t>aux</w:t>
      </w:r>
      <w:r w:rsidRPr="002C4077">
        <w:t xml:space="preserve"> </w:t>
      </w:r>
      <w:r>
        <w:t>futurs</w:t>
      </w:r>
      <w:r w:rsidRPr="002C4077">
        <w:t xml:space="preserve"> </w:t>
      </w:r>
      <w:r>
        <w:t>réviseurs</w:t>
      </w:r>
      <w:r w:rsidR="00B546AF">
        <w:t> !</w:t>
      </w:r>
      <w:r w:rsidRPr="002C4077">
        <w:t xml:space="preserve"> </w:t>
      </w:r>
      <w:r>
        <w:t>Prenez</w:t>
      </w:r>
      <w:r w:rsidRPr="002C4077">
        <w:t xml:space="preserve"> </w:t>
      </w:r>
      <w:r>
        <w:t>garde</w:t>
      </w:r>
      <w:r w:rsidR="00B546AF">
        <w:t> !</w:t>
      </w:r>
      <w:r w:rsidRPr="002C4077">
        <w:t xml:space="preserve"> </w:t>
      </w:r>
      <w:r>
        <w:t>De</w:t>
      </w:r>
      <w:r w:rsidRPr="002C4077">
        <w:t xml:space="preserve"> </w:t>
      </w:r>
      <w:r>
        <w:t>quel</w:t>
      </w:r>
      <w:r w:rsidRPr="002C4077">
        <w:t xml:space="preserve"> </w:t>
      </w:r>
      <w:r>
        <w:t>droit</w:t>
      </w:r>
      <w:r w:rsidRPr="002C4077">
        <w:t xml:space="preserve"> </w:t>
      </w:r>
      <w:r>
        <w:t>agiriez-vous</w:t>
      </w:r>
      <w:r w:rsidRPr="002C4077">
        <w:t xml:space="preserve"> </w:t>
      </w:r>
      <w:r>
        <w:t>ainsi</w:t>
      </w:r>
      <w:r w:rsidR="00B546AF">
        <w:t> ?</w:t>
      </w:r>
      <w:r w:rsidRPr="002C4077">
        <w:t xml:space="preserve"> </w:t>
      </w:r>
      <w:r>
        <w:t>L’archevêque</w:t>
      </w:r>
      <w:r w:rsidRPr="004440EA">
        <w:t xml:space="preserve"> (</w:t>
      </w:r>
      <w:r>
        <w:t>anglican</w:t>
      </w:r>
      <w:r w:rsidR="00B546AF" w:rsidRPr="002C4077">
        <w:t>)</w:t>
      </w:r>
      <w:r w:rsidRPr="002C4077">
        <w:t xml:space="preserve"> </w:t>
      </w:r>
      <w:r>
        <w:t>d’York</w:t>
      </w:r>
      <w:r w:rsidRPr="002C4077">
        <w:t xml:space="preserve"> </w:t>
      </w:r>
      <w:r>
        <w:t>s’exprima</w:t>
      </w:r>
      <w:r w:rsidRPr="002C4077">
        <w:t xml:space="preserve"> </w:t>
      </w:r>
      <w:r>
        <w:t>en</w:t>
      </w:r>
      <w:r w:rsidRPr="002C4077">
        <w:t xml:space="preserve"> </w:t>
      </w:r>
      <w:r>
        <w:t>ce</w:t>
      </w:r>
      <w:r w:rsidRPr="002C4077">
        <w:t xml:space="preserve"> </w:t>
      </w:r>
      <w:r>
        <w:t>sens</w:t>
      </w:r>
      <w:r w:rsidRPr="002C4077">
        <w:t xml:space="preserve"> </w:t>
      </w:r>
      <w:r>
        <w:t>devant</w:t>
      </w:r>
      <w:r w:rsidRPr="002C4077">
        <w:t xml:space="preserve"> </w:t>
      </w:r>
      <w:r>
        <w:t>le</w:t>
      </w:r>
      <w:r w:rsidRPr="002C4077">
        <w:t xml:space="preserve"> </w:t>
      </w:r>
      <w:r>
        <w:t>synode</w:t>
      </w:r>
      <w:r w:rsidRPr="002C4077">
        <w:t xml:space="preserve"> </w:t>
      </w:r>
      <w:r>
        <w:t>de</w:t>
      </w:r>
      <w:r w:rsidRPr="002C4077">
        <w:t xml:space="preserve"> </w:t>
      </w:r>
      <w:r>
        <w:t>sa</w:t>
      </w:r>
      <w:r w:rsidRPr="002C4077">
        <w:t xml:space="preserve"> </w:t>
      </w:r>
      <w:r>
        <w:t>province</w:t>
      </w:r>
      <w:r w:rsidR="00B91AF7">
        <w:rPr>
          <w:rStyle w:val="Appelnotedebasdep"/>
        </w:rPr>
        <w:footnoteReference w:id="615"/>
      </w:r>
      <w:r>
        <w:t>.</w:t>
      </w:r>
      <w:r w:rsidRPr="002C4077">
        <w:t xml:space="preserve"> </w:t>
      </w:r>
      <w:r>
        <w:t>Le</w:t>
      </w:r>
      <w:r w:rsidRPr="002C4077">
        <w:t xml:space="preserve"> </w:t>
      </w:r>
      <w:r>
        <w:t>comte</w:t>
      </w:r>
      <w:r w:rsidRPr="002C4077">
        <w:t xml:space="preserve"> </w:t>
      </w:r>
      <w:r>
        <w:t>de</w:t>
      </w:r>
      <w:r w:rsidRPr="002C4077">
        <w:t xml:space="preserve"> </w:t>
      </w:r>
      <w:r>
        <w:t>Shaftesbury,</w:t>
      </w:r>
      <w:r w:rsidRPr="002C4077">
        <w:t xml:space="preserve"> </w:t>
      </w:r>
      <w:r>
        <w:t>dans</w:t>
      </w:r>
      <w:r w:rsidRPr="002C4077">
        <w:t xml:space="preserve"> </w:t>
      </w:r>
      <w:r>
        <w:t>une</w:t>
      </w:r>
      <w:r w:rsidRPr="002C4077">
        <w:t xml:space="preserve"> </w:t>
      </w:r>
      <w:r>
        <w:t>lettre</w:t>
      </w:r>
      <w:r w:rsidRPr="002C4077">
        <w:t xml:space="preserve"> </w:t>
      </w:r>
      <w:r>
        <w:t>adressée</w:t>
      </w:r>
      <w:r w:rsidRPr="002C4077">
        <w:t xml:space="preserve"> </w:t>
      </w:r>
      <w:r>
        <w:t>au</w:t>
      </w:r>
      <w:r w:rsidRPr="002C4077">
        <w:t xml:space="preserve"> </w:t>
      </w:r>
      <w:r w:rsidRPr="000A34B5">
        <w:rPr>
          <w:rStyle w:val="italicus"/>
        </w:rPr>
        <w:t>Times,</w:t>
      </w:r>
      <w:r w:rsidRPr="002C4077">
        <w:t xml:space="preserve"> </w:t>
      </w:r>
      <w:r>
        <w:t>condamna</w:t>
      </w:r>
      <w:r w:rsidRPr="002C4077">
        <w:t xml:space="preserve"> </w:t>
      </w:r>
      <w:r>
        <w:t>la</w:t>
      </w:r>
      <w:r w:rsidRPr="002C4077">
        <w:t xml:space="preserve"> </w:t>
      </w:r>
      <w:r>
        <w:t>révision</w:t>
      </w:r>
      <w:r w:rsidRPr="002C4077">
        <w:t xml:space="preserve"> </w:t>
      </w:r>
      <w:r>
        <w:t>en</w:t>
      </w:r>
      <w:r w:rsidRPr="002C4077">
        <w:t xml:space="preserve"> </w:t>
      </w:r>
      <w:r>
        <w:t>termes</w:t>
      </w:r>
      <w:r w:rsidRPr="002C4077">
        <w:t xml:space="preserve"> </w:t>
      </w:r>
      <w:r>
        <w:t>assez</w:t>
      </w:r>
      <w:r w:rsidRPr="002C4077">
        <w:t xml:space="preserve"> </w:t>
      </w:r>
      <w:r>
        <w:t>vifs.</w:t>
      </w:r>
      <w:r w:rsidRPr="002C4077">
        <w:t xml:space="preserve"> </w:t>
      </w:r>
      <w:r>
        <w:t>N’allait-on</w:t>
      </w:r>
      <w:r w:rsidRPr="002C4077">
        <w:t xml:space="preserve"> </w:t>
      </w:r>
      <w:r>
        <w:t>pas</w:t>
      </w:r>
      <w:r w:rsidRPr="002C4077">
        <w:t xml:space="preserve"> </w:t>
      </w:r>
      <w:r w:rsidR="00B546AF">
        <w:t>« </w:t>
      </w:r>
      <w:r>
        <w:t>disséquer</w:t>
      </w:r>
      <w:r w:rsidR="00B546AF">
        <w:t> »</w:t>
      </w:r>
      <w:r w:rsidRPr="002C4077">
        <w:t xml:space="preserve"> </w:t>
      </w:r>
      <w:r>
        <w:t>la</w:t>
      </w:r>
      <w:r w:rsidRPr="002C4077">
        <w:t xml:space="preserve"> </w:t>
      </w:r>
      <w:r>
        <w:t>Bible</w:t>
      </w:r>
      <w:r w:rsidRPr="002C4077">
        <w:t xml:space="preserve"> </w:t>
      </w:r>
      <w:r>
        <w:t>comme</w:t>
      </w:r>
      <w:r w:rsidRPr="002C4077">
        <w:t xml:space="preserve"> </w:t>
      </w:r>
      <w:r>
        <w:t>un</w:t>
      </w:r>
      <w:r w:rsidRPr="002C4077">
        <w:t xml:space="preserve"> </w:t>
      </w:r>
      <w:r>
        <w:t>cadavre</w:t>
      </w:r>
      <w:r w:rsidR="00B546AF">
        <w:t> ?</w:t>
      </w:r>
      <w:r w:rsidRPr="002C4077">
        <w:t xml:space="preserve"> </w:t>
      </w:r>
      <w:r w:rsidR="00B546AF">
        <w:t>« </w:t>
      </w:r>
      <w:r>
        <w:t>remettre</w:t>
      </w:r>
      <w:r w:rsidRPr="002C4077">
        <w:t xml:space="preserve"> </w:t>
      </w:r>
      <w:r>
        <w:t>au</w:t>
      </w:r>
      <w:r w:rsidRPr="002C4077">
        <w:t xml:space="preserve"> </w:t>
      </w:r>
      <w:r>
        <w:t>moule</w:t>
      </w:r>
      <w:r w:rsidR="00B546AF">
        <w:t> »</w:t>
      </w:r>
      <w:r w:rsidRPr="002C4077">
        <w:t xml:space="preserve"> </w:t>
      </w:r>
      <w:r>
        <w:t>la</w:t>
      </w:r>
      <w:r w:rsidRPr="002C4077">
        <w:t xml:space="preserve"> </w:t>
      </w:r>
      <w:r>
        <w:t>parole</w:t>
      </w:r>
      <w:r w:rsidRPr="002C4077">
        <w:t xml:space="preserve"> </w:t>
      </w:r>
      <w:r>
        <w:t>de</w:t>
      </w:r>
      <w:r w:rsidRPr="002C4077">
        <w:t xml:space="preserve"> </w:t>
      </w:r>
      <w:r>
        <w:t>Dieu,</w:t>
      </w:r>
      <w:r w:rsidRPr="002C4077">
        <w:t xml:space="preserve"> </w:t>
      </w:r>
      <w:r>
        <w:t>abaisser</w:t>
      </w:r>
      <w:r w:rsidRPr="002C4077">
        <w:t xml:space="preserve"> </w:t>
      </w:r>
      <w:r>
        <w:t>son</w:t>
      </w:r>
      <w:r w:rsidRPr="002C4077">
        <w:t xml:space="preserve"> </w:t>
      </w:r>
      <w:r>
        <w:t>style</w:t>
      </w:r>
      <w:r w:rsidRPr="002C4077">
        <w:t xml:space="preserve"> </w:t>
      </w:r>
      <w:r>
        <w:t>en</w:t>
      </w:r>
      <w:r w:rsidRPr="002C4077">
        <w:t xml:space="preserve"> </w:t>
      </w:r>
      <w:r>
        <w:t>le</w:t>
      </w:r>
      <w:r w:rsidRPr="002C4077">
        <w:t xml:space="preserve"> </w:t>
      </w:r>
      <w:r>
        <w:t>rendant</w:t>
      </w:r>
      <w:r w:rsidRPr="002C4077">
        <w:t xml:space="preserve"> </w:t>
      </w:r>
      <w:r>
        <w:t>moderne,</w:t>
      </w:r>
      <w:r w:rsidRPr="002C4077">
        <w:t xml:space="preserve"> </w:t>
      </w:r>
      <w:r>
        <w:t>en</w:t>
      </w:r>
      <w:r w:rsidRPr="002C4077">
        <w:t xml:space="preserve"> </w:t>
      </w:r>
      <w:r>
        <w:t>le</w:t>
      </w:r>
      <w:r w:rsidRPr="002C4077">
        <w:t xml:space="preserve"> </w:t>
      </w:r>
      <w:r w:rsidRPr="000A34B5">
        <w:rPr>
          <w:rStyle w:val="italicus"/>
        </w:rPr>
        <w:t>francisant,</w:t>
      </w:r>
      <w:r w:rsidRPr="002C4077">
        <w:t xml:space="preserve"> </w:t>
      </w:r>
      <w:r>
        <w:t>pour</w:t>
      </w:r>
      <w:r w:rsidRPr="002C4077">
        <w:t xml:space="preserve"> </w:t>
      </w:r>
      <w:r>
        <w:t>tout</w:t>
      </w:r>
      <w:r w:rsidRPr="002C4077">
        <w:t xml:space="preserve"> </w:t>
      </w:r>
      <w:r>
        <w:t>dire</w:t>
      </w:r>
      <w:r w:rsidRPr="002C4077">
        <w:t xml:space="preserve"> </w:t>
      </w:r>
      <w:r>
        <w:t>en</w:t>
      </w:r>
      <w:r w:rsidRPr="002C4077">
        <w:t xml:space="preserve"> </w:t>
      </w:r>
      <w:r>
        <w:t>un</w:t>
      </w:r>
      <w:r w:rsidRPr="002C4077">
        <w:t xml:space="preserve"> </w:t>
      </w:r>
      <w:r w:rsidR="0075326F">
        <w:t>mot</w:t>
      </w:r>
      <w:r w:rsidR="0075326F">
        <w:rPr>
          <w:rStyle w:val="Appelnotedebasdep"/>
        </w:rPr>
        <w:footnoteReference w:id="616"/>
      </w:r>
      <w:r w:rsidR="00B546AF">
        <w:t> ?</w:t>
      </w:r>
      <w:r w:rsidRPr="002C4077">
        <w:t xml:space="preserve"> </w:t>
      </w:r>
      <w:r>
        <w:t>Un</w:t>
      </w:r>
      <w:r w:rsidRPr="002C4077">
        <w:t xml:space="preserve"> </w:t>
      </w:r>
      <w:r w:rsidRPr="000A34B5">
        <w:rPr>
          <w:rStyle w:val="italicus"/>
        </w:rPr>
        <w:t>clergyman</w:t>
      </w:r>
      <w:r w:rsidRPr="002C4077">
        <w:t xml:space="preserve"> </w:t>
      </w:r>
      <w:r>
        <w:t>américain</w:t>
      </w:r>
      <w:r w:rsidRPr="002C4077">
        <w:t xml:space="preserve"> </w:t>
      </w:r>
      <w:r w:rsidR="00853971">
        <w:t>supplia</w:t>
      </w:r>
      <w:r w:rsidRPr="002C4077">
        <w:t xml:space="preserve"> </w:t>
      </w:r>
      <w:r>
        <w:t>instamment</w:t>
      </w:r>
      <w:r w:rsidRPr="002C4077">
        <w:t xml:space="preserve"> </w:t>
      </w:r>
      <w:r>
        <w:t>un</w:t>
      </w:r>
      <w:r w:rsidRPr="002C4077">
        <w:t xml:space="preserve"> </w:t>
      </w:r>
      <w:r>
        <w:t>de</w:t>
      </w:r>
      <w:r w:rsidRPr="002C4077">
        <w:t xml:space="preserve"> </w:t>
      </w:r>
      <w:r>
        <w:t>ses</w:t>
      </w:r>
      <w:r w:rsidRPr="002C4077">
        <w:t xml:space="preserve"> </w:t>
      </w:r>
      <w:r>
        <w:t>collègues</w:t>
      </w:r>
      <w:r w:rsidRPr="002C4077">
        <w:t xml:space="preserve"> </w:t>
      </w:r>
      <w:r>
        <w:t>irlandais,</w:t>
      </w:r>
      <w:r w:rsidRPr="002C4077">
        <w:t xml:space="preserve"> </w:t>
      </w:r>
      <w:r>
        <w:t>professeur</w:t>
      </w:r>
      <w:r w:rsidRPr="002C4077">
        <w:t xml:space="preserve"> </w:t>
      </w:r>
      <w:r>
        <w:t>de</w:t>
      </w:r>
      <w:r w:rsidRPr="002C4077">
        <w:t xml:space="preserve"> </w:t>
      </w:r>
      <w:r>
        <w:t>théologie</w:t>
      </w:r>
      <w:r w:rsidRPr="002C4077">
        <w:t xml:space="preserve"> </w:t>
      </w:r>
      <w:r>
        <w:t>à</w:t>
      </w:r>
      <w:r w:rsidRPr="002C4077">
        <w:t xml:space="preserve"> </w:t>
      </w:r>
      <w:r>
        <w:t>l’Université</w:t>
      </w:r>
      <w:r w:rsidRPr="002C4077">
        <w:t xml:space="preserve"> </w:t>
      </w:r>
      <w:r>
        <w:t>de</w:t>
      </w:r>
      <w:r w:rsidRPr="002C4077">
        <w:t xml:space="preserve"> </w:t>
      </w:r>
      <w:r>
        <w:t>Dublin,</w:t>
      </w:r>
      <w:r w:rsidRPr="002C4077">
        <w:t xml:space="preserve"> </w:t>
      </w:r>
      <w:r>
        <w:t>d’user</w:t>
      </w:r>
      <w:r w:rsidRPr="002C4077">
        <w:t xml:space="preserve"> </w:t>
      </w:r>
      <w:r>
        <w:t>de</w:t>
      </w:r>
      <w:r w:rsidRPr="002C4077">
        <w:t xml:space="preserve"> </w:t>
      </w:r>
      <w:r>
        <w:t>toute</w:t>
      </w:r>
      <w:r w:rsidRPr="002C4077">
        <w:t xml:space="preserve"> </w:t>
      </w:r>
      <w:r>
        <w:t>son</w:t>
      </w:r>
      <w:r w:rsidRPr="002C4077">
        <w:t xml:space="preserve"> </w:t>
      </w:r>
      <w:r>
        <w:t>influence</w:t>
      </w:r>
      <w:r w:rsidRPr="002C4077">
        <w:t xml:space="preserve"> </w:t>
      </w:r>
      <w:r>
        <w:t>pour</w:t>
      </w:r>
      <w:r w:rsidRPr="002C4077">
        <w:t xml:space="preserve"> </w:t>
      </w:r>
      <w:r>
        <w:t>empêcher</w:t>
      </w:r>
      <w:r w:rsidRPr="002C4077">
        <w:t xml:space="preserve"> </w:t>
      </w:r>
      <w:r>
        <w:t>le</w:t>
      </w:r>
      <w:r w:rsidRPr="002C4077">
        <w:t xml:space="preserve"> </w:t>
      </w:r>
      <w:r>
        <w:t>travail</w:t>
      </w:r>
      <w:r w:rsidRPr="002C4077">
        <w:t xml:space="preserve"> </w:t>
      </w:r>
      <w:r>
        <w:t>projeté,</w:t>
      </w:r>
      <w:r w:rsidRPr="002C4077">
        <w:t xml:space="preserve"> </w:t>
      </w:r>
      <w:r>
        <w:t>car</w:t>
      </w:r>
      <w:r w:rsidRPr="002C4077">
        <w:t xml:space="preserve"> </w:t>
      </w:r>
      <w:r>
        <w:t>la</w:t>
      </w:r>
      <w:r w:rsidRPr="002C4077">
        <w:t xml:space="preserve"> </w:t>
      </w:r>
      <w:r>
        <w:t>révision</w:t>
      </w:r>
      <w:r w:rsidRPr="002C4077">
        <w:t xml:space="preserve"> </w:t>
      </w:r>
      <w:r>
        <w:t>serait,</w:t>
      </w:r>
      <w:r w:rsidRPr="002C4077">
        <w:t xml:space="preserve"> </w:t>
      </w:r>
      <w:r>
        <w:t>disait-il,</w:t>
      </w:r>
      <w:r w:rsidRPr="002C4077">
        <w:t xml:space="preserve"> </w:t>
      </w:r>
      <w:r>
        <w:t>si</w:t>
      </w:r>
      <w:r w:rsidRPr="002C4077">
        <w:t xml:space="preserve"> </w:t>
      </w:r>
      <w:r>
        <w:t>on</w:t>
      </w:r>
      <w:r w:rsidRPr="002C4077">
        <w:t xml:space="preserve"> </w:t>
      </w:r>
      <w:r>
        <w:t>avait</w:t>
      </w:r>
      <w:r w:rsidRPr="002C4077">
        <w:t xml:space="preserve"> </w:t>
      </w:r>
      <w:r>
        <w:t>l’audace</w:t>
      </w:r>
      <w:r w:rsidRPr="002C4077">
        <w:t xml:space="preserve"> </w:t>
      </w:r>
      <w:r>
        <w:t>de</w:t>
      </w:r>
      <w:r w:rsidRPr="002C4077">
        <w:t xml:space="preserve"> </w:t>
      </w:r>
      <w:r>
        <w:t>la</w:t>
      </w:r>
      <w:r w:rsidRPr="002C4077">
        <w:t xml:space="preserve"> </w:t>
      </w:r>
      <w:r>
        <w:t>réaliser,</w:t>
      </w:r>
      <w:r w:rsidRPr="002C4077">
        <w:t xml:space="preserve"> </w:t>
      </w:r>
      <w:r w:rsidR="00B546AF">
        <w:t>« </w:t>
      </w:r>
      <w:r>
        <w:t>le</w:t>
      </w:r>
      <w:r w:rsidRPr="002C4077">
        <w:t xml:space="preserve"> </w:t>
      </w:r>
      <w:r>
        <w:t>pire</w:t>
      </w:r>
      <w:r w:rsidRPr="002C4077">
        <w:t xml:space="preserve"> </w:t>
      </w:r>
      <w:r>
        <w:t>événement</w:t>
      </w:r>
      <w:r w:rsidRPr="002C4077">
        <w:t xml:space="preserve"> </w:t>
      </w:r>
      <w:r>
        <w:t>du</w:t>
      </w:r>
      <w:r w:rsidRPr="002C4077">
        <w:t xml:space="preserve"> </w:t>
      </w:r>
      <w:r>
        <w:t>X</w:t>
      </w:r>
      <w:r w:rsidR="007B3C26">
        <w:t>IX</w:t>
      </w:r>
      <w:r w:rsidR="007B3C26" w:rsidRPr="007B3C26">
        <w:rPr>
          <w:vertAlign w:val="superscript"/>
        </w:rPr>
        <w:t>e</w:t>
      </w:r>
      <w:r w:rsidRPr="002C4077">
        <w:t xml:space="preserve"> </w:t>
      </w:r>
      <w:r>
        <w:t>siècle</w:t>
      </w:r>
      <w:r w:rsidR="00B91AF7">
        <w:rPr>
          <w:rStyle w:val="Appelnotedebasdep"/>
        </w:rPr>
        <w:footnoteReference w:id="617"/>
      </w:r>
      <w:r w:rsidR="00B546AF">
        <w:t> »</w:t>
      </w:r>
      <w:r>
        <w:t>.</w:t>
      </w:r>
      <w:r w:rsidR="00C45B47">
        <w:t xml:space="preserve"> {</w:t>
      </w:r>
      <w:r w:rsidR="00B53529">
        <w:t>184</w:t>
      </w:r>
      <w:bookmarkStart w:id="476" w:name="p184"/>
      <w:bookmarkEnd w:id="476"/>
      <w:r w:rsidR="00B53529">
        <w:t xml:space="preserve">} </w:t>
      </w:r>
    </w:p>
    <w:p w:rsidR="000A7AAB" w:rsidRDefault="000A7AAB" w:rsidP="000A7AAB">
      <w:r>
        <w:t>Des</w:t>
      </w:r>
      <w:r w:rsidRPr="002C4077">
        <w:t xml:space="preserve"> </w:t>
      </w:r>
      <w:r>
        <w:t>hommes</w:t>
      </w:r>
      <w:r w:rsidRPr="002C4077">
        <w:t xml:space="preserve"> </w:t>
      </w:r>
      <w:r>
        <w:t>très</w:t>
      </w:r>
      <w:r w:rsidRPr="002C4077">
        <w:t xml:space="preserve"> </w:t>
      </w:r>
      <w:r>
        <w:t>graves</w:t>
      </w:r>
      <w:r w:rsidRPr="002C4077">
        <w:t xml:space="preserve"> </w:t>
      </w:r>
      <w:r>
        <w:t>craignaient</w:t>
      </w:r>
      <w:r w:rsidRPr="002C4077">
        <w:t xml:space="preserve"> </w:t>
      </w:r>
      <w:r>
        <w:t>que</w:t>
      </w:r>
      <w:r w:rsidRPr="002C4077">
        <w:t xml:space="preserve"> </w:t>
      </w:r>
      <w:r>
        <w:t>la</w:t>
      </w:r>
      <w:r w:rsidRPr="002C4077">
        <w:t xml:space="preserve"> </w:t>
      </w:r>
      <w:r>
        <w:t>révision</w:t>
      </w:r>
      <w:r w:rsidRPr="002C4077">
        <w:t xml:space="preserve"> </w:t>
      </w:r>
      <w:r>
        <w:t>n’agît</w:t>
      </w:r>
      <w:r w:rsidRPr="002C4077">
        <w:t xml:space="preserve"> </w:t>
      </w:r>
      <w:r>
        <w:t>d’une</w:t>
      </w:r>
      <w:r w:rsidRPr="002C4077">
        <w:t xml:space="preserve"> </w:t>
      </w:r>
      <w:r>
        <w:t>façon</w:t>
      </w:r>
      <w:r w:rsidRPr="002C4077">
        <w:t xml:space="preserve"> </w:t>
      </w:r>
      <w:r>
        <w:t>désastreuse</w:t>
      </w:r>
      <w:r w:rsidRPr="002C4077">
        <w:t xml:space="preserve"> </w:t>
      </w:r>
      <w:r>
        <w:t>sur</w:t>
      </w:r>
      <w:r w:rsidRPr="002C4077">
        <w:t xml:space="preserve"> </w:t>
      </w:r>
      <w:r>
        <w:t>les</w:t>
      </w:r>
      <w:r w:rsidRPr="002C4077">
        <w:t xml:space="preserve"> </w:t>
      </w:r>
      <w:r>
        <w:t>croyances</w:t>
      </w:r>
      <w:r w:rsidRPr="002C4077">
        <w:t xml:space="preserve"> </w:t>
      </w:r>
      <w:r>
        <w:t>du</w:t>
      </w:r>
      <w:r w:rsidRPr="002C4077">
        <w:t xml:space="preserve"> </w:t>
      </w:r>
      <w:r>
        <w:t>peuple.</w:t>
      </w:r>
      <w:r w:rsidRPr="002C4077">
        <w:t xml:space="preserve"> </w:t>
      </w:r>
      <w:r w:rsidR="00B546AF">
        <w:t>« </w:t>
      </w:r>
      <w:r>
        <w:t>Il</w:t>
      </w:r>
      <w:r w:rsidRPr="002C4077">
        <w:t xml:space="preserve"> </w:t>
      </w:r>
      <w:r w:rsidR="00425C50">
        <w:t>est</w:t>
      </w:r>
      <w:r w:rsidRPr="002C4077">
        <w:t xml:space="preserve"> </w:t>
      </w:r>
      <w:r>
        <w:t>certain</w:t>
      </w:r>
      <w:r w:rsidRPr="002C4077">
        <w:t xml:space="preserve"> </w:t>
      </w:r>
      <w:r>
        <w:t>que</w:t>
      </w:r>
      <w:r w:rsidRPr="002C4077">
        <w:t xml:space="preserve"> </w:t>
      </w:r>
      <w:r>
        <w:t>les</w:t>
      </w:r>
      <w:r w:rsidRPr="002C4077">
        <w:t xml:space="preserve"> </w:t>
      </w:r>
      <w:r>
        <w:t>correcteurs</w:t>
      </w:r>
      <w:r w:rsidRPr="002C4077">
        <w:t xml:space="preserve"> </w:t>
      </w:r>
      <w:r>
        <w:t>vont</w:t>
      </w:r>
      <w:r w:rsidRPr="002C4077">
        <w:t xml:space="preserve"> </w:t>
      </w:r>
      <w:r>
        <w:t>éprouver</w:t>
      </w:r>
      <w:r w:rsidRPr="002C4077">
        <w:t xml:space="preserve"> </w:t>
      </w:r>
      <w:r>
        <w:t>la</w:t>
      </w:r>
      <w:r w:rsidRPr="002C4077">
        <w:t xml:space="preserve"> </w:t>
      </w:r>
      <w:r>
        <w:t>foi,</w:t>
      </w:r>
      <w:r w:rsidRPr="002C4077">
        <w:t xml:space="preserve"> </w:t>
      </w:r>
      <w:r>
        <w:t>ou</w:t>
      </w:r>
      <w:r w:rsidRPr="002C4077">
        <w:t xml:space="preserve"> </w:t>
      </w:r>
      <w:r>
        <w:t>pour</w:t>
      </w:r>
      <w:r w:rsidRPr="002C4077">
        <w:t xml:space="preserve"> </w:t>
      </w:r>
      <w:r>
        <w:t>le</w:t>
      </w:r>
      <w:r w:rsidRPr="002C4077">
        <w:t xml:space="preserve"> </w:t>
      </w:r>
      <w:r>
        <w:t>moins</w:t>
      </w:r>
      <w:r w:rsidRPr="002C4077">
        <w:t xml:space="preserve"> </w:t>
      </w:r>
      <w:r>
        <w:t>blesser</w:t>
      </w:r>
      <w:r w:rsidRPr="002C4077">
        <w:t xml:space="preserve"> </w:t>
      </w:r>
      <w:r>
        <w:t>les</w:t>
      </w:r>
      <w:r w:rsidRPr="002C4077">
        <w:t xml:space="preserve"> </w:t>
      </w:r>
      <w:r>
        <w:t>sentiments</w:t>
      </w:r>
      <w:r w:rsidRPr="002C4077">
        <w:t xml:space="preserve"> </w:t>
      </w:r>
      <w:r>
        <w:t>d’un</w:t>
      </w:r>
      <w:r w:rsidRPr="002C4077">
        <w:t xml:space="preserve"> </w:t>
      </w:r>
      <w:r>
        <w:lastRenderedPageBreak/>
        <w:t>grand</w:t>
      </w:r>
      <w:r w:rsidRPr="002C4077">
        <w:t xml:space="preserve"> </w:t>
      </w:r>
      <w:r>
        <w:t>nombre,</w:t>
      </w:r>
      <w:r w:rsidRPr="002C4077">
        <w:t xml:space="preserve"> </w:t>
      </w:r>
      <w:r>
        <w:t>qui</w:t>
      </w:r>
      <w:r w:rsidRPr="002C4077">
        <w:t xml:space="preserve"> </w:t>
      </w:r>
      <w:r>
        <w:t>ont</w:t>
      </w:r>
      <w:r w:rsidRPr="002C4077">
        <w:t xml:space="preserve"> </w:t>
      </w:r>
      <w:r>
        <w:t>été</w:t>
      </w:r>
      <w:r w:rsidRPr="002C4077">
        <w:t xml:space="preserve"> </w:t>
      </w:r>
      <w:r>
        <w:t>accoutumés</w:t>
      </w:r>
      <w:r w:rsidRPr="002C4077">
        <w:t xml:space="preserve"> </w:t>
      </w:r>
      <w:r>
        <w:t>à</w:t>
      </w:r>
      <w:r w:rsidRPr="002C4077">
        <w:t xml:space="preserve"> </w:t>
      </w:r>
      <w:r>
        <w:t>croire</w:t>
      </w:r>
      <w:r w:rsidRPr="002C4077">
        <w:t xml:space="preserve"> </w:t>
      </w:r>
      <w:r>
        <w:t>qu’ils</w:t>
      </w:r>
      <w:r w:rsidRPr="002C4077">
        <w:t xml:space="preserve"> </w:t>
      </w:r>
      <w:r>
        <w:t>possèdent,</w:t>
      </w:r>
      <w:r w:rsidRPr="002C4077">
        <w:t xml:space="preserve"> </w:t>
      </w:r>
      <w:r>
        <w:t>dans</w:t>
      </w:r>
      <w:r w:rsidRPr="002C4077">
        <w:t xml:space="preserve"> </w:t>
      </w:r>
      <w:r>
        <w:t>la</w:t>
      </w:r>
      <w:r w:rsidRPr="002C4077">
        <w:t xml:space="preserve"> </w:t>
      </w:r>
      <w:r>
        <w:t>version</w:t>
      </w:r>
      <w:r w:rsidRPr="002C4077">
        <w:t xml:space="preserve"> </w:t>
      </w:r>
      <w:r>
        <w:t>autorisée,</w:t>
      </w:r>
      <w:r w:rsidRPr="002C4077">
        <w:t xml:space="preserve"> </w:t>
      </w:r>
      <w:r>
        <w:t>la</w:t>
      </w:r>
      <w:r w:rsidRPr="002C4077">
        <w:t xml:space="preserve"> </w:t>
      </w:r>
      <w:r>
        <w:t>parole</w:t>
      </w:r>
      <w:r w:rsidRPr="002C4077">
        <w:t xml:space="preserve"> </w:t>
      </w:r>
      <w:r>
        <w:t>de</w:t>
      </w:r>
      <w:r w:rsidRPr="002C4077">
        <w:t xml:space="preserve"> </w:t>
      </w:r>
      <w:r>
        <w:t>Dieu</w:t>
      </w:r>
      <w:r w:rsidRPr="002C4077">
        <w:t xml:space="preserve"> </w:t>
      </w:r>
      <w:r>
        <w:t>authentique</w:t>
      </w:r>
      <w:r w:rsidRPr="002C4077">
        <w:t xml:space="preserve"> </w:t>
      </w:r>
      <w:r>
        <w:t>et</w:t>
      </w:r>
      <w:r w:rsidRPr="002C4077">
        <w:t xml:space="preserve"> </w:t>
      </w:r>
      <w:r>
        <w:t>sans</w:t>
      </w:r>
      <w:r w:rsidRPr="002C4077">
        <w:t xml:space="preserve"> </w:t>
      </w:r>
      <w:r>
        <w:t>alliage</w:t>
      </w:r>
      <w:r w:rsidR="00B91AF7">
        <w:rPr>
          <w:rStyle w:val="Appelnotedebasdep"/>
        </w:rPr>
        <w:footnoteReference w:id="618"/>
      </w:r>
      <w:r w:rsidR="00B546AF">
        <w:t> »</w:t>
      </w:r>
      <w:r>
        <w:t>.</w:t>
      </w:r>
      <w:r w:rsidRPr="002C4077">
        <w:t xml:space="preserve"> </w:t>
      </w:r>
      <w:r w:rsidR="00B546AF">
        <w:t>« </w:t>
      </w:r>
      <w:r>
        <w:t>Quel</w:t>
      </w:r>
      <w:r w:rsidRPr="002C4077">
        <w:t xml:space="preserve"> </w:t>
      </w:r>
      <w:r>
        <w:t>sera</w:t>
      </w:r>
      <w:r w:rsidRPr="002C4077">
        <w:t xml:space="preserve"> </w:t>
      </w:r>
      <w:r>
        <w:t>l’effet</w:t>
      </w:r>
      <w:r w:rsidRPr="002C4077">
        <w:t xml:space="preserve"> </w:t>
      </w:r>
      <w:r>
        <w:t>produit</w:t>
      </w:r>
      <w:r w:rsidRPr="002C4077">
        <w:t xml:space="preserve"> </w:t>
      </w:r>
      <w:r>
        <w:t>sur</w:t>
      </w:r>
      <w:r w:rsidRPr="002C4077">
        <w:t xml:space="preserve"> </w:t>
      </w:r>
      <w:r>
        <w:t>l’esprit</w:t>
      </w:r>
      <w:r w:rsidRPr="002C4077">
        <w:t xml:space="preserve"> </w:t>
      </w:r>
      <w:r>
        <w:t>de</w:t>
      </w:r>
      <w:r w:rsidRPr="002C4077">
        <w:t xml:space="preserve"> </w:t>
      </w:r>
      <w:r>
        <w:t>notre</w:t>
      </w:r>
      <w:r w:rsidRPr="002C4077">
        <w:t xml:space="preserve"> </w:t>
      </w:r>
      <w:r>
        <w:t>peuple,</w:t>
      </w:r>
      <w:r w:rsidRPr="002C4077">
        <w:t xml:space="preserve"> </w:t>
      </w:r>
      <w:r>
        <w:t>qui</w:t>
      </w:r>
      <w:r w:rsidRPr="002C4077">
        <w:t xml:space="preserve"> </w:t>
      </w:r>
      <w:r w:rsidR="00425C50">
        <w:t>est</w:t>
      </w:r>
      <w:r w:rsidRPr="002C4077">
        <w:t xml:space="preserve"> </w:t>
      </w:r>
      <w:r>
        <w:t>habitué</w:t>
      </w:r>
      <w:r w:rsidRPr="002C4077">
        <w:t xml:space="preserve"> </w:t>
      </w:r>
      <w:r>
        <w:t>à</w:t>
      </w:r>
      <w:r w:rsidRPr="002C4077">
        <w:t xml:space="preserve"> </w:t>
      </w:r>
      <w:r>
        <w:t>considérer</w:t>
      </w:r>
      <w:r w:rsidRPr="002C4077">
        <w:t xml:space="preserve"> </w:t>
      </w:r>
      <w:r>
        <w:t>notre</w:t>
      </w:r>
      <w:r w:rsidRPr="002C4077">
        <w:t xml:space="preserve"> </w:t>
      </w:r>
      <w:r>
        <w:t>Bible</w:t>
      </w:r>
      <w:r w:rsidRPr="002C4077">
        <w:t xml:space="preserve"> </w:t>
      </w:r>
      <w:r>
        <w:t>anglaise,</w:t>
      </w:r>
      <w:r w:rsidRPr="002C4077">
        <w:t xml:space="preserve"> </w:t>
      </w:r>
      <w:r>
        <w:t>non</w:t>
      </w:r>
      <w:r w:rsidRPr="002C4077">
        <w:t xml:space="preserve"> </w:t>
      </w:r>
      <w:r>
        <w:t>pas</w:t>
      </w:r>
      <w:r w:rsidRPr="002C4077">
        <w:t xml:space="preserve"> </w:t>
      </w:r>
      <w:r>
        <w:t>comme</w:t>
      </w:r>
      <w:r w:rsidRPr="002C4077">
        <w:t xml:space="preserve"> </w:t>
      </w:r>
      <w:r>
        <w:t>une</w:t>
      </w:r>
      <w:r w:rsidRPr="002C4077">
        <w:t xml:space="preserve"> </w:t>
      </w:r>
      <w:r>
        <w:t>traduction</w:t>
      </w:r>
      <w:r w:rsidRPr="002C4077">
        <w:t xml:space="preserve"> </w:t>
      </w:r>
      <w:r>
        <w:t>du</w:t>
      </w:r>
      <w:r w:rsidRPr="002C4077">
        <w:t xml:space="preserve"> </w:t>
      </w:r>
      <w:r>
        <w:t>livre</w:t>
      </w:r>
      <w:r w:rsidRPr="002C4077">
        <w:t xml:space="preserve"> </w:t>
      </w:r>
      <w:r>
        <w:t>inspiré,</w:t>
      </w:r>
      <w:r w:rsidRPr="002C4077">
        <w:t xml:space="preserve"> </w:t>
      </w:r>
      <w:r>
        <w:t>mais</w:t>
      </w:r>
      <w:r w:rsidRPr="002C4077">
        <w:t xml:space="preserve"> </w:t>
      </w:r>
      <w:r>
        <w:t>comme</w:t>
      </w:r>
      <w:r w:rsidRPr="002C4077">
        <w:t xml:space="preserve"> </w:t>
      </w:r>
      <w:r>
        <w:t>le</w:t>
      </w:r>
      <w:r w:rsidRPr="002C4077">
        <w:t xml:space="preserve"> </w:t>
      </w:r>
      <w:r>
        <w:t>livre</w:t>
      </w:r>
      <w:r w:rsidRPr="002C4077">
        <w:t xml:space="preserve"> </w:t>
      </w:r>
      <w:r>
        <w:t>lui-même</w:t>
      </w:r>
      <w:r w:rsidR="00B546AF">
        <w:t> ?</w:t>
      </w:r>
      <w:r w:rsidRPr="002C4077">
        <w:t xml:space="preserve"> </w:t>
      </w:r>
      <w:r>
        <w:t>Les</w:t>
      </w:r>
      <w:r w:rsidRPr="002C4077">
        <w:t xml:space="preserve"> </w:t>
      </w:r>
      <w:r>
        <w:t>idées</w:t>
      </w:r>
      <w:r w:rsidRPr="002C4077">
        <w:t xml:space="preserve"> </w:t>
      </w:r>
      <w:r>
        <w:t>des</w:t>
      </w:r>
      <w:r w:rsidRPr="002C4077">
        <w:t xml:space="preserve"> </w:t>
      </w:r>
      <w:r>
        <w:t>gens</w:t>
      </w:r>
      <w:r w:rsidRPr="002C4077">
        <w:t xml:space="preserve"> </w:t>
      </w:r>
      <w:r>
        <w:t>ne</w:t>
      </w:r>
      <w:r w:rsidRPr="002C4077">
        <w:t xml:space="preserve"> </w:t>
      </w:r>
      <w:r>
        <w:t>seront-elles</w:t>
      </w:r>
      <w:r w:rsidRPr="002C4077">
        <w:t xml:space="preserve"> </w:t>
      </w:r>
      <w:r>
        <w:t>pas</w:t>
      </w:r>
      <w:r w:rsidRPr="002C4077">
        <w:t xml:space="preserve"> </w:t>
      </w:r>
      <w:r>
        <w:t>bouleversées,</w:t>
      </w:r>
      <w:r w:rsidRPr="002C4077">
        <w:t xml:space="preserve"> </w:t>
      </w:r>
      <w:r>
        <w:t>quand</w:t>
      </w:r>
      <w:r w:rsidRPr="002C4077">
        <w:t xml:space="preserve"> </w:t>
      </w:r>
      <w:r>
        <w:t>on</w:t>
      </w:r>
      <w:r w:rsidRPr="002C4077">
        <w:t xml:space="preserve"> </w:t>
      </w:r>
      <w:r>
        <w:t>leur</w:t>
      </w:r>
      <w:r w:rsidRPr="002C4077">
        <w:t xml:space="preserve"> </w:t>
      </w:r>
      <w:r>
        <w:t>dira</w:t>
      </w:r>
      <w:r w:rsidRPr="002C4077">
        <w:t xml:space="preserve"> </w:t>
      </w:r>
      <w:r>
        <w:t>que</w:t>
      </w:r>
      <w:r w:rsidRPr="002C4077">
        <w:t xml:space="preserve"> </w:t>
      </w:r>
      <w:r>
        <w:t>plusieurs</w:t>
      </w:r>
      <w:r w:rsidRPr="002C4077">
        <w:t xml:space="preserve"> </w:t>
      </w:r>
      <w:r>
        <w:t>textes</w:t>
      </w:r>
      <w:r w:rsidRPr="002C4077">
        <w:t xml:space="preserve"> </w:t>
      </w:r>
      <w:r>
        <w:t>auxquels</w:t>
      </w:r>
      <w:r w:rsidRPr="002C4077">
        <w:t xml:space="preserve"> </w:t>
      </w:r>
      <w:r>
        <w:t>ils</w:t>
      </w:r>
      <w:r w:rsidRPr="002C4077">
        <w:t xml:space="preserve"> </w:t>
      </w:r>
      <w:r>
        <w:t>avaient</w:t>
      </w:r>
      <w:r w:rsidRPr="002C4077">
        <w:t xml:space="preserve"> </w:t>
      </w:r>
      <w:r>
        <w:t>confiance</w:t>
      </w:r>
      <w:r w:rsidRPr="002C4077">
        <w:t xml:space="preserve"> </w:t>
      </w:r>
      <w:r>
        <w:t>avaient</w:t>
      </w:r>
      <w:r w:rsidRPr="002C4077">
        <w:t xml:space="preserve"> </w:t>
      </w:r>
      <w:r>
        <w:t>été</w:t>
      </w:r>
      <w:r w:rsidRPr="002C4077">
        <w:t xml:space="preserve"> </w:t>
      </w:r>
      <w:r>
        <w:t>mal</w:t>
      </w:r>
      <w:r w:rsidRPr="002C4077">
        <w:t xml:space="preserve"> </w:t>
      </w:r>
      <w:r>
        <w:t>traduits,</w:t>
      </w:r>
      <w:r w:rsidRPr="002C4077">
        <w:t xml:space="preserve"> </w:t>
      </w:r>
      <w:r>
        <w:t>que</w:t>
      </w:r>
      <w:r w:rsidRPr="002C4077">
        <w:t xml:space="preserve"> </w:t>
      </w:r>
      <w:r>
        <w:t>d’autres</w:t>
      </w:r>
      <w:r w:rsidRPr="002C4077">
        <w:t xml:space="preserve"> </w:t>
      </w:r>
      <w:r>
        <w:t>ont</w:t>
      </w:r>
      <w:r w:rsidRPr="002C4077">
        <w:t xml:space="preserve"> </w:t>
      </w:r>
      <w:r>
        <w:t>dû</w:t>
      </w:r>
      <w:r w:rsidRPr="002C4077">
        <w:t xml:space="preserve"> </w:t>
      </w:r>
      <w:r>
        <w:t>être</w:t>
      </w:r>
      <w:r w:rsidRPr="002C4077">
        <w:t xml:space="preserve"> </w:t>
      </w:r>
      <w:r>
        <w:t>retranchés</w:t>
      </w:r>
      <w:r w:rsidRPr="002C4077">
        <w:t xml:space="preserve"> </w:t>
      </w:r>
      <w:r>
        <w:t>parce</w:t>
      </w:r>
      <w:r w:rsidRPr="002C4077">
        <w:t xml:space="preserve"> </w:t>
      </w:r>
      <w:r>
        <w:t>qu’ils</w:t>
      </w:r>
      <w:r w:rsidRPr="002C4077">
        <w:t xml:space="preserve"> </w:t>
      </w:r>
      <w:r>
        <w:t>passaient</w:t>
      </w:r>
      <w:r w:rsidRPr="002C4077">
        <w:t xml:space="preserve"> </w:t>
      </w:r>
      <w:r>
        <w:t>jusque-là</w:t>
      </w:r>
      <w:r w:rsidRPr="002C4077">
        <w:t xml:space="preserve"> </w:t>
      </w:r>
      <w:r>
        <w:t>sans</w:t>
      </w:r>
      <w:r w:rsidRPr="002C4077">
        <w:t xml:space="preserve"> </w:t>
      </w:r>
      <w:r>
        <w:t>raison</w:t>
      </w:r>
      <w:r w:rsidRPr="002C4077">
        <w:t xml:space="preserve"> </w:t>
      </w:r>
      <w:r>
        <w:t>pour</w:t>
      </w:r>
      <w:r w:rsidRPr="002C4077">
        <w:t xml:space="preserve"> </w:t>
      </w:r>
      <w:r>
        <w:t>la</w:t>
      </w:r>
      <w:r w:rsidRPr="002C4077">
        <w:t xml:space="preserve"> </w:t>
      </w:r>
      <w:r>
        <w:t>parole</w:t>
      </w:r>
      <w:r w:rsidRPr="002C4077">
        <w:t xml:space="preserve"> </w:t>
      </w:r>
      <w:r>
        <w:t>de</w:t>
      </w:r>
      <w:r w:rsidRPr="002C4077">
        <w:t xml:space="preserve"> </w:t>
      </w:r>
      <w:r>
        <w:t>Dieu</w:t>
      </w:r>
      <w:r w:rsidR="00B546AF">
        <w:t> ?</w:t>
      </w:r>
      <w:r w:rsidRPr="002C4077">
        <w:t xml:space="preserve"> </w:t>
      </w:r>
      <w:r>
        <w:t>Ne</w:t>
      </w:r>
      <w:r w:rsidRPr="002C4077">
        <w:t xml:space="preserve"> </w:t>
      </w:r>
      <w:r>
        <w:t>leur</w:t>
      </w:r>
      <w:r w:rsidRPr="002C4077">
        <w:t xml:space="preserve"> </w:t>
      </w:r>
      <w:r>
        <w:t>semblera-t-il</w:t>
      </w:r>
      <w:r w:rsidRPr="002C4077">
        <w:t xml:space="preserve"> </w:t>
      </w:r>
      <w:r>
        <w:t>pas</w:t>
      </w:r>
      <w:r w:rsidRPr="002C4077">
        <w:t xml:space="preserve"> </w:t>
      </w:r>
      <w:r>
        <w:t>qu’on</w:t>
      </w:r>
      <w:r w:rsidRPr="002C4077">
        <w:t xml:space="preserve"> </w:t>
      </w:r>
      <w:r>
        <w:t>leur</w:t>
      </w:r>
      <w:r w:rsidRPr="002C4077">
        <w:t xml:space="preserve"> </w:t>
      </w:r>
      <w:r>
        <w:t>enlève</w:t>
      </w:r>
      <w:r w:rsidRPr="002C4077">
        <w:t xml:space="preserve"> </w:t>
      </w:r>
      <w:r>
        <w:t>toute</w:t>
      </w:r>
      <w:r w:rsidRPr="002C4077">
        <w:t xml:space="preserve"> </w:t>
      </w:r>
      <w:r>
        <w:t>solide</w:t>
      </w:r>
      <w:r w:rsidRPr="002C4077">
        <w:t xml:space="preserve"> </w:t>
      </w:r>
      <w:r>
        <w:t>certitude</w:t>
      </w:r>
      <w:r w:rsidR="00B546AF">
        <w:t> ?</w:t>
      </w:r>
      <w:r w:rsidRPr="002C4077">
        <w:t xml:space="preserve"> </w:t>
      </w:r>
      <w:r>
        <w:t>Et</w:t>
      </w:r>
      <w:r w:rsidRPr="002C4077">
        <w:t xml:space="preserve"> </w:t>
      </w:r>
      <w:r>
        <w:t>à</w:t>
      </w:r>
      <w:r w:rsidRPr="002C4077">
        <w:t xml:space="preserve"> </w:t>
      </w:r>
      <w:r>
        <w:t>quoi</w:t>
      </w:r>
      <w:r w:rsidRPr="002C4077">
        <w:t xml:space="preserve"> </w:t>
      </w:r>
      <w:r>
        <w:t>bon</w:t>
      </w:r>
      <w:r w:rsidRPr="002C4077">
        <w:t xml:space="preserve"> </w:t>
      </w:r>
      <w:r>
        <w:t>courir</w:t>
      </w:r>
      <w:r w:rsidRPr="002C4077">
        <w:t xml:space="preserve"> </w:t>
      </w:r>
      <w:r>
        <w:t>un</w:t>
      </w:r>
      <w:r w:rsidRPr="002C4077">
        <w:t xml:space="preserve"> </w:t>
      </w:r>
      <w:r>
        <w:t>tel</w:t>
      </w:r>
      <w:r w:rsidRPr="002C4077">
        <w:t xml:space="preserve"> </w:t>
      </w:r>
      <w:r>
        <w:t>risque,</w:t>
      </w:r>
      <w:r w:rsidRPr="002C4077">
        <w:t xml:space="preserve"> </w:t>
      </w:r>
      <w:r>
        <w:t>simplement</w:t>
      </w:r>
      <w:r w:rsidRPr="002C4077">
        <w:t xml:space="preserve"> </w:t>
      </w:r>
      <w:r>
        <w:t>dans</w:t>
      </w:r>
      <w:r w:rsidRPr="002C4077">
        <w:t xml:space="preserve"> </w:t>
      </w:r>
      <w:r>
        <w:t>le</w:t>
      </w:r>
      <w:r w:rsidRPr="002C4077">
        <w:t xml:space="preserve"> </w:t>
      </w:r>
      <w:r>
        <w:t>but</w:t>
      </w:r>
      <w:r w:rsidRPr="002C4077">
        <w:t xml:space="preserve"> </w:t>
      </w:r>
      <w:r>
        <w:t>de</w:t>
      </w:r>
      <w:r w:rsidRPr="002C4077">
        <w:t xml:space="preserve"> </w:t>
      </w:r>
      <w:r>
        <w:t>rendre</w:t>
      </w:r>
      <w:r w:rsidRPr="002C4077">
        <w:t xml:space="preserve"> </w:t>
      </w:r>
      <w:r>
        <w:t>un</w:t>
      </w:r>
      <w:r w:rsidRPr="002C4077">
        <w:t xml:space="preserve"> </w:t>
      </w:r>
      <w:r>
        <w:t>peu</w:t>
      </w:r>
      <w:r w:rsidRPr="002C4077">
        <w:t xml:space="preserve"> </w:t>
      </w:r>
      <w:r>
        <w:t>plus</w:t>
      </w:r>
      <w:r w:rsidRPr="002C4077">
        <w:t xml:space="preserve"> </w:t>
      </w:r>
      <w:r>
        <w:t>parfaite</w:t>
      </w:r>
      <w:r w:rsidRPr="002C4077">
        <w:t xml:space="preserve"> </w:t>
      </w:r>
      <w:r>
        <w:t>une</w:t>
      </w:r>
      <w:r w:rsidRPr="002C4077">
        <w:t xml:space="preserve"> </w:t>
      </w:r>
      <w:r>
        <w:t>version</w:t>
      </w:r>
      <w:r w:rsidRPr="002C4077">
        <w:t xml:space="preserve"> </w:t>
      </w:r>
      <w:r>
        <w:t>que</w:t>
      </w:r>
      <w:r w:rsidRPr="002C4077">
        <w:t xml:space="preserve"> </w:t>
      </w:r>
      <w:r>
        <w:t>tout</w:t>
      </w:r>
      <w:r w:rsidRPr="002C4077">
        <w:t xml:space="preserve"> </w:t>
      </w:r>
      <w:r>
        <w:t>le</w:t>
      </w:r>
      <w:r w:rsidRPr="002C4077">
        <w:t xml:space="preserve"> </w:t>
      </w:r>
      <w:r>
        <w:t>monde</w:t>
      </w:r>
      <w:r w:rsidRPr="002C4077">
        <w:t xml:space="preserve"> </w:t>
      </w:r>
      <w:r>
        <w:t>s’accorde</w:t>
      </w:r>
      <w:r w:rsidRPr="002C4077">
        <w:t xml:space="preserve"> </w:t>
      </w:r>
      <w:r>
        <w:t>à</w:t>
      </w:r>
      <w:r w:rsidRPr="002C4077">
        <w:t xml:space="preserve"> </w:t>
      </w:r>
      <w:r>
        <w:t>trouver</w:t>
      </w:r>
      <w:r w:rsidRPr="002C4077">
        <w:t xml:space="preserve"> </w:t>
      </w:r>
      <w:r>
        <w:t>d’une</w:t>
      </w:r>
      <w:r w:rsidRPr="002C4077">
        <w:t xml:space="preserve"> </w:t>
      </w:r>
      <w:r>
        <w:t>excellence</w:t>
      </w:r>
      <w:r w:rsidRPr="002C4077">
        <w:t xml:space="preserve"> </w:t>
      </w:r>
      <w:r>
        <w:t>sans</w:t>
      </w:r>
      <w:r w:rsidRPr="002C4077">
        <w:t xml:space="preserve"> </w:t>
      </w:r>
      <w:r>
        <w:t>rivale</w:t>
      </w:r>
      <w:r w:rsidR="00B91AF7">
        <w:rPr>
          <w:rStyle w:val="Appelnotedebasdep"/>
        </w:rPr>
        <w:footnoteReference w:id="619"/>
      </w:r>
      <w:r w:rsidR="00B546AF">
        <w:t> ? »</w:t>
      </w:r>
      <w:r w:rsidRPr="002C4077">
        <w:t xml:space="preserve"> </w:t>
      </w:r>
      <w:r>
        <w:t>La</w:t>
      </w:r>
      <w:r w:rsidRPr="002C4077">
        <w:t xml:space="preserve"> </w:t>
      </w:r>
      <w:r>
        <w:t>conduite</w:t>
      </w:r>
      <w:r w:rsidRPr="002C4077">
        <w:t xml:space="preserve"> </w:t>
      </w:r>
      <w:r>
        <w:t>de</w:t>
      </w:r>
      <w:r w:rsidRPr="002C4077">
        <w:t xml:space="preserve"> </w:t>
      </w:r>
      <w:r>
        <w:t>certains</w:t>
      </w:r>
      <w:r w:rsidRPr="002C4077">
        <w:t xml:space="preserve"> </w:t>
      </w:r>
      <w:r w:rsidRPr="000A34B5">
        <w:rPr>
          <w:rStyle w:val="italicus"/>
        </w:rPr>
        <w:t>clergymen</w:t>
      </w:r>
      <w:r w:rsidRPr="002C4077">
        <w:t xml:space="preserve"> </w:t>
      </w:r>
      <w:r>
        <w:t>qui,</w:t>
      </w:r>
      <w:r w:rsidRPr="002C4077">
        <w:t xml:space="preserve"> </w:t>
      </w:r>
      <w:r>
        <w:t>chaque</w:t>
      </w:r>
      <w:r w:rsidRPr="002C4077">
        <w:t xml:space="preserve"> </w:t>
      </w:r>
      <w:r>
        <w:t>dimanche,</w:t>
      </w:r>
      <w:r w:rsidRPr="002C4077">
        <w:t xml:space="preserve"> </w:t>
      </w:r>
      <w:r>
        <w:t>du</w:t>
      </w:r>
      <w:r w:rsidRPr="002C4077">
        <w:t xml:space="preserve"> </w:t>
      </w:r>
      <w:r>
        <w:t>haut</w:t>
      </w:r>
      <w:r w:rsidRPr="002C4077">
        <w:t xml:space="preserve"> </w:t>
      </w:r>
      <w:r>
        <w:t>de</w:t>
      </w:r>
      <w:r w:rsidRPr="002C4077">
        <w:t xml:space="preserve"> </w:t>
      </w:r>
      <w:r>
        <w:t>la</w:t>
      </w:r>
      <w:r w:rsidRPr="002C4077">
        <w:t xml:space="preserve"> </w:t>
      </w:r>
      <w:r>
        <w:t>chaire,</w:t>
      </w:r>
      <w:r w:rsidRPr="002C4077">
        <w:t xml:space="preserve"> </w:t>
      </w:r>
      <w:r>
        <w:t>corrigeaient</w:t>
      </w:r>
      <w:r w:rsidRPr="002C4077">
        <w:t xml:space="preserve"> </w:t>
      </w:r>
      <w:r>
        <w:t>et</w:t>
      </w:r>
      <w:r w:rsidRPr="002C4077">
        <w:t xml:space="preserve"> </w:t>
      </w:r>
      <w:r>
        <w:t>modifiaient</w:t>
      </w:r>
      <w:r w:rsidRPr="002C4077">
        <w:t xml:space="preserve"> </w:t>
      </w:r>
      <w:r>
        <w:t>sans</w:t>
      </w:r>
      <w:r w:rsidRPr="002C4077">
        <w:t xml:space="preserve"> </w:t>
      </w:r>
      <w:r>
        <w:t>cesse</w:t>
      </w:r>
      <w:r w:rsidRPr="002C4077">
        <w:t xml:space="preserve"> </w:t>
      </w:r>
      <w:r>
        <w:t>le</w:t>
      </w:r>
      <w:r w:rsidRPr="002C4077">
        <w:t xml:space="preserve"> </w:t>
      </w:r>
      <w:r>
        <w:t>texte</w:t>
      </w:r>
      <w:r w:rsidRPr="002C4077">
        <w:t xml:space="preserve"> </w:t>
      </w:r>
      <w:r>
        <w:t>autorisé,</w:t>
      </w:r>
      <w:r w:rsidRPr="002C4077">
        <w:t xml:space="preserve"> </w:t>
      </w:r>
      <w:r>
        <w:t>en</w:t>
      </w:r>
      <w:r w:rsidRPr="002C4077">
        <w:t xml:space="preserve"> </w:t>
      </w:r>
      <w:r>
        <w:t>affirmant</w:t>
      </w:r>
      <w:r w:rsidRPr="002C4077">
        <w:t xml:space="preserve"> </w:t>
      </w:r>
      <w:r>
        <w:t>qu’il</w:t>
      </w:r>
      <w:r w:rsidRPr="002C4077">
        <w:t xml:space="preserve"> </w:t>
      </w:r>
      <w:r>
        <w:t>ne</w:t>
      </w:r>
      <w:r w:rsidRPr="002C4077">
        <w:t xml:space="preserve"> </w:t>
      </w:r>
      <w:r>
        <w:t>donnait</w:t>
      </w:r>
      <w:r w:rsidRPr="002C4077">
        <w:t xml:space="preserve"> </w:t>
      </w:r>
      <w:r>
        <w:t>pas</w:t>
      </w:r>
      <w:r w:rsidRPr="002C4077">
        <w:t xml:space="preserve"> </w:t>
      </w:r>
      <w:r>
        <w:t>le</w:t>
      </w:r>
      <w:r w:rsidRPr="002C4077">
        <w:t xml:space="preserve"> </w:t>
      </w:r>
      <w:r>
        <w:t>vrai</w:t>
      </w:r>
      <w:r w:rsidRPr="002C4077">
        <w:t xml:space="preserve"> </w:t>
      </w:r>
      <w:r>
        <w:t>sens</w:t>
      </w:r>
      <w:r w:rsidRPr="002C4077">
        <w:t xml:space="preserve"> </w:t>
      </w:r>
      <w:r>
        <w:t>de</w:t>
      </w:r>
      <w:r w:rsidRPr="002C4077">
        <w:t xml:space="preserve"> </w:t>
      </w:r>
      <w:r>
        <w:t>l’original,</w:t>
      </w:r>
      <w:r w:rsidRPr="002C4077">
        <w:t xml:space="preserve"> </w:t>
      </w:r>
      <w:r>
        <w:t>n’était-elle</w:t>
      </w:r>
      <w:r w:rsidRPr="002C4077">
        <w:t xml:space="preserve"> </w:t>
      </w:r>
      <w:r>
        <w:t>pas</w:t>
      </w:r>
      <w:r w:rsidRPr="002C4077">
        <w:t xml:space="preserve"> </w:t>
      </w:r>
      <w:r>
        <w:t>déjà</w:t>
      </w:r>
      <w:r w:rsidRPr="002C4077">
        <w:t xml:space="preserve"> </w:t>
      </w:r>
      <w:r>
        <w:t>suffisamment</w:t>
      </w:r>
      <w:r w:rsidRPr="002C4077">
        <w:t xml:space="preserve"> </w:t>
      </w:r>
      <w:r w:rsidRPr="000A34B5">
        <w:rPr>
          <w:rStyle w:val="italicus"/>
        </w:rPr>
        <w:t>uncomfortable</w:t>
      </w:r>
      <w:r w:rsidRPr="002C4077">
        <w:t xml:space="preserve"> </w:t>
      </w:r>
      <w:r>
        <w:t>pour</w:t>
      </w:r>
      <w:r w:rsidRPr="002C4077">
        <w:t xml:space="preserve"> </w:t>
      </w:r>
      <w:r>
        <w:t>les</w:t>
      </w:r>
      <w:r w:rsidRPr="002C4077">
        <w:t xml:space="preserve"> </w:t>
      </w:r>
      <w:r>
        <w:t>auditeurs</w:t>
      </w:r>
      <w:r w:rsidRPr="002C4077">
        <w:t xml:space="preserve"> </w:t>
      </w:r>
      <w:r>
        <w:t>dépourvus</w:t>
      </w:r>
      <w:r w:rsidRPr="002C4077">
        <w:t xml:space="preserve"> </w:t>
      </w:r>
      <w:r w:rsidR="0075326F">
        <w:t>d’instruction</w:t>
      </w:r>
      <w:r w:rsidR="0075326F">
        <w:rPr>
          <w:rStyle w:val="Appelnotedebasdep"/>
        </w:rPr>
        <w:footnoteReference w:id="620"/>
      </w:r>
      <w:r w:rsidR="00B546AF">
        <w:t> ?</w:t>
      </w:r>
      <w:r w:rsidRPr="002C4077">
        <w:t xml:space="preserve"> </w:t>
      </w:r>
    </w:p>
    <w:p w:rsidR="000A7AAB" w:rsidRDefault="000A7AAB" w:rsidP="000A7AAB">
      <w:r>
        <w:t>On</w:t>
      </w:r>
      <w:r w:rsidRPr="002C4077">
        <w:t xml:space="preserve"> </w:t>
      </w:r>
      <w:r>
        <w:t>avait</w:t>
      </w:r>
      <w:r w:rsidRPr="002C4077">
        <w:t xml:space="preserve"> </w:t>
      </w:r>
      <w:r>
        <w:t>donc</w:t>
      </w:r>
      <w:r w:rsidRPr="002C4077">
        <w:t xml:space="preserve"> </w:t>
      </w:r>
      <w:r>
        <w:t>peur</w:t>
      </w:r>
      <w:r w:rsidRPr="002C4077">
        <w:t xml:space="preserve"> </w:t>
      </w:r>
      <w:r>
        <w:t>d’ébranler</w:t>
      </w:r>
      <w:r w:rsidRPr="002C4077">
        <w:t xml:space="preserve"> </w:t>
      </w:r>
      <w:r>
        <w:t>la</w:t>
      </w:r>
      <w:r w:rsidRPr="002C4077">
        <w:t xml:space="preserve"> </w:t>
      </w:r>
      <w:r>
        <w:t>confiance</w:t>
      </w:r>
      <w:r w:rsidRPr="002C4077">
        <w:t xml:space="preserve"> </w:t>
      </w:r>
      <w:r>
        <w:t>des</w:t>
      </w:r>
      <w:r w:rsidRPr="002C4077">
        <w:t xml:space="preserve"> </w:t>
      </w:r>
      <w:r>
        <w:t>fidèles</w:t>
      </w:r>
      <w:r w:rsidRPr="002C4077">
        <w:t xml:space="preserve"> </w:t>
      </w:r>
      <w:r>
        <w:t>en</w:t>
      </w:r>
      <w:r w:rsidRPr="002C4077">
        <w:t xml:space="preserve"> </w:t>
      </w:r>
      <w:r>
        <w:t>la</w:t>
      </w:r>
      <w:r w:rsidRPr="002C4077">
        <w:t xml:space="preserve"> </w:t>
      </w:r>
      <w:r>
        <w:t>parole</w:t>
      </w:r>
      <w:r w:rsidRPr="002C4077">
        <w:t xml:space="preserve"> </w:t>
      </w:r>
      <w:r>
        <w:t>de</w:t>
      </w:r>
      <w:r w:rsidRPr="002C4077">
        <w:t xml:space="preserve"> </w:t>
      </w:r>
      <w:r>
        <w:t>Dieu.</w:t>
      </w:r>
      <w:r w:rsidRPr="002C4077">
        <w:t xml:space="preserve"> </w:t>
      </w:r>
      <w:r>
        <w:t>Mais,</w:t>
      </w:r>
      <w:r w:rsidRPr="002C4077">
        <w:t xml:space="preserve"> </w:t>
      </w:r>
      <w:r>
        <w:t>pourquoi</w:t>
      </w:r>
      <w:r w:rsidRPr="002C4077">
        <w:t xml:space="preserve"> </w:t>
      </w:r>
      <w:r>
        <w:t>ne</w:t>
      </w:r>
      <w:r w:rsidRPr="002C4077">
        <w:t xml:space="preserve"> </w:t>
      </w:r>
      <w:r>
        <w:t>les</w:t>
      </w:r>
      <w:r w:rsidRPr="002C4077">
        <w:t xml:space="preserve"> </w:t>
      </w:r>
      <w:r>
        <w:t>avait-on</w:t>
      </w:r>
      <w:r w:rsidRPr="002C4077">
        <w:t xml:space="preserve"> </w:t>
      </w:r>
      <w:r>
        <w:t>pas</w:t>
      </w:r>
      <w:r w:rsidRPr="002C4077">
        <w:t xml:space="preserve"> </w:t>
      </w:r>
      <w:r>
        <w:t>mieux</w:t>
      </w:r>
      <w:r w:rsidRPr="002C4077">
        <w:t xml:space="preserve"> </w:t>
      </w:r>
      <w:r>
        <w:t>instruits</w:t>
      </w:r>
      <w:r w:rsidR="00B546AF">
        <w:t> ?</w:t>
      </w:r>
      <w:r w:rsidRPr="002C4077">
        <w:t xml:space="preserve"> </w:t>
      </w:r>
      <w:r>
        <w:t>Pourquoi</w:t>
      </w:r>
      <w:r w:rsidRPr="002C4077">
        <w:t xml:space="preserve"> </w:t>
      </w:r>
      <w:r>
        <w:t>leur</w:t>
      </w:r>
      <w:r w:rsidRPr="002C4077">
        <w:t xml:space="preserve"> </w:t>
      </w:r>
      <w:r>
        <w:t>avait-on</w:t>
      </w:r>
      <w:r w:rsidRPr="002C4077">
        <w:t xml:space="preserve"> </w:t>
      </w:r>
      <w:r>
        <w:t>laissé</w:t>
      </w:r>
      <w:r w:rsidRPr="002C4077">
        <w:t xml:space="preserve"> </w:t>
      </w:r>
      <w:r>
        <w:t>croire</w:t>
      </w:r>
      <w:r w:rsidRPr="002C4077">
        <w:t xml:space="preserve"> </w:t>
      </w:r>
      <w:r>
        <w:t>que</w:t>
      </w:r>
      <w:r w:rsidRPr="002C4077">
        <w:t xml:space="preserve"> </w:t>
      </w:r>
      <w:r>
        <w:t>la</w:t>
      </w:r>
      <w:r w:rsidRPr="002C4077">
        <w:t xml:space="preserve"> </w:t>
      </w:r>
      <w:r>
        <w:t>Bible</w:t>
      </w:r>
      <w:r w:rsidRPr="002C4077">
        <w:t xml:space="preserve"> </w:t>
      </w:r>
      <w:r>
        <w:t>anglicane,</w:t>
      </w:r>
      <w:r w:rsidRPr="002C4077">
        <w:t xml:space="preserve"> </w:t>
      </w:r>
      <w:r w:rsidR="00B546AF">
        <w:t>« </w:t>
      </w:r>
      <w:r>
        <w:t>y</w:t>
      </w:r>
      <w:r w:rsidRPr="002C4077">
        <w:t xml:space="preserve"> </w:t>
      </w:r>
      <w:r>
        <w:t>compris</w:t>
      </w:r>
      <w:r w:rsidRPr="002C4077">
        <w:t xml:space="preserve"> </w:t>
      </w:r>
      <w:r>
        <w:t>les</w:t>
      </w:r>
      <w:r w:rsidRPr="002C4077">
        <w:t xml:space="preserve"> </w:t>
      </w:r>
      <w:r>
        <w:t>en-tête</w:t>
      </w:r>
      <w:r w:rsidRPr="002C4077">
        <w:t xml:space="preserve"> </w:t>
      </w:r>
      <w:r>
        <w:t>des</w:t>
      </w:r>
      <w:r w:rsidRPr="002C4077">
        <w:t xml:space="preserve"> </w:t>
      </w:r>
      <w:r>
        <w:t>chapitres</w:t>
      </w:r>
      <w:r w:rsidRPr="002C4077">
        <w:t xml:space="preserve"> </w:t>
      </w:r>
      <w:r>
        <w:t>et</w:t>
      </w:r>
      <w:r w:rsidRPr="002C4077">
        <w:t xml:space="preserve"> </w:t>
      </w:r>
      <w:r>
        <w:t>les</w:t>
      </w:r>
      <w:r w:rsidRPr="002C4077">
        <w:t xml:space="preserve"> </w:t>
      </w:r>
      <w:r>
        <w:t>mots</w:t>
      </w:r>
      <w:r w:rsidRPr="002C4077">
        <w:t xml:space="preserve"> </w:t>
      </w:r>
      <w:r>
        <w:t>imprimés</w:t>
      </w:r>
      <w:r w:rsidRPr="002C4077">
        <w:t xml:space="preserve"> </w:t>
      </w:r>
      <w:r>
        <w:t>en</w:t>
      </w:r>
      <w:r w:rsidRPr="002C4077">
        <w:t xml:space="preserve"> </w:t>
      </w:r>
      <w:r>
        <w:t>italique,</w:t>
      </w:r>
      <w:r w:rsidRPr="002C4077">
        <w:t xml:space="preserve"> </w:t>
      </w:r>
      <w:r>
        <w:t>était</w:t>
      </w:r>
      <w:r w:rsidRPr="002C4077">
        <w:t xml:space="preserve"> </w:t>
      </w:r>
      <w:r>
        <w:t>tombée</w:t>
      </w:r>
      <w:r w:rsidRPr="002C4077">
        <w:t xml:space="preserve"> </w:t>
      </w:r>
      <w:r>
        <w:t>du</w:t>
      </w:r>
      <w:r w:rsidRPr="002C4077">
        <w:t xml:space="preserve"> </w:t>
      </w:r>
      <w:r>
        <w:t>ciel</w:t>
      </w:r>
      <w:r w:rsidRPr="002C4077">
        <w:t xml:space="preserve"> </w:t>
      </w:r>
      <w:r>
        <w:t>telle</w:t>
      </w:r>
      <w:r w:rsidRPr="002C4077">
        <w:t xml:space="preserve"> </w:t>
      </w:r>
      <w:r>
        <w:t>qu’elle</w:t>
      </w:r>
      <w:r w:rsidRPr="002C4077">
        <w:t xml:space="preserve"> </w:t>
      </w:r>
      <w:r w:rsidR="00425C50">
        <w:t>est</w:t>
      </w:r>
      <w:r w:rsidR="00B91AF7">
        <w:rPr>
          <w:rStyle w:val="Appelnotedebasdep"/>
        </w:rPr>
        <w:footnoteReference w:id="621"/>
      </w:r>
      <w:r w:rsidR="00B546AF">
        <w:t> »</w:t>
      </w:r>
      <w:r>
        <w:t>.</w:t>
      </w:r>
      <w:r w:rsidR="00C45B47">
        <w:t xml:space="preserve"> {</w:t>
      </w:r>
      <w:r w:rsidR="00B53529">
        <w:t>185</w:t>
      </w:r>
      <w:bookmarkStart w:id="477" w:name="p185"/>
      <w:bookmarkEnd w:id="477"/>
      <w:r w:rsidR="00B53529">
        <w:t xml:space="preserve">} </w:t>
      </w:r>
      <w:r>
        <w:t>Et</w:t>
      </w:r>
      <w:r w:rsidRPr="002C4077">
        <w:t xml:space="preserve"> </w:t>
      </w:r>
      <w:r>
        <w:t>les</w:t>
      </w:r>
      <w:r w:rsidRPr="002C4077">
        <w:t xml:space="preserve"> </w:t>
      </w:r>
      <w:r>
        <w:t>ministres,</w:t>
      </w:r>
      <w:r w:rsidRPr="002C4077">
        <w:t xml:space="preserve"> </w:t>
      </w:r>
      <w:r>
        <w:t>devant</w:t>
      </w:r>
      <w:r w:rsidRPr="002C4077">
        <w:t xml:space="preserve"> </w:t>
      </w:r>
      <w:r>
        <w:t>ces</w:t>
      </w:r>
      <w:r w:rsidRPr="002C4077">
        <w:t xml:space="preserve"> </w:t>
      </w:r>
      <w:r>
        <w:t>mêmes</w:t>
      </w:r>
      <w:r w:rsidRPr="002C4077">
        <w:t xml:space="preserve"> </w:t>
      </w:r>
      <w:r>
        <w:t>fidèles</w:t>
      </w:r>
      <w:r w:rsidRPr="002C4077">
        <w:t xml:space="preserve"> </w:t>
      </w:r>
      <w:r>
        <w:t>qui</w:t>
      </w:r>
      <w:r w:rsidRPr="002C4077">
        <w:t xml:space="preserve"> </w:t>
      </w:r>
      <w:r w:rsidR="00B546AF">
        <w:t>« </w:t>
      </w:r>
      <w:r>
        <w:t>adoraient</w:t>
      </w:r>
      <w:r w:rsidR="00B546AF">
        <w:t> »</w:t>
      </w:r>
      <w:r w:rsidRPr="002C4077">
        <w:t xml:space="preserve"> </w:t>
      </w:r>
      <w:r>
        <w:t>la</w:t>
      </w:r>
      <w:r w:rsidRPr="002C4077">
        <w:t xml:space="preserve"> </w:t>
      </w:r>
      <w:r>
        <w:t>version</w:t>
      </w:r>
      <w:r w:rsidRPr="002C4077">
        <w:t xml:space="preserve"> </w:t>
      </w:r>
      <w:r>
        <w:t>autorisée,</w:t>
      </w:r>
      <w:r w:rsidRPr="002C4077">
        <w:t xml:space="preserve"> </w:t>
      </w:r>
      <w:r>
        <w:t>osaient</w:t>
      </w:r>
      <w:r w:rsidRPr="002C4077">
        <w:t xml:space="preserve"> </w:t>
      </w:r>
      <w:r>
        <w:t>reprocher</w:t>
      </w:r>
      <w:r w:rsidRPr="002C4077">
        <w:t xml:space="preserve"> </w:t>
      </w:r>
      <w:r>
        <w:t>au</w:t>
      </w:r>
      <w:r w:rsidRPr="002C4077">
        <w:t xml:space="preserve"> </w:t>
      </w:r>
      <w:r>
        <w:t>concile</w:t>
      </w:r>
      <w:r w:rsidRPr="002C4077">
        <w:t xml:space="preserve"> </w:t>
      </w:r>
      <w:r>
        <w:t>de</w:t>
      </w:r>
      <w:r w:rsidRPr="002C4077">
        <w:t xml:space="preserve"> </w:t>
      </w:r>
      <w:r>
        <w:t>Trente</w:t>
      </w:r>
      <w:r w:rsidRPr="002C4077">
        <w:t xml:space="preserve"> </w:t>
      </w:r>
      <w:r>
        <w:t>d’avoir</w:t>
      </w:r>
      <w:r w:rsidRPr="002C4077">
        <w:t xml:space="preserve"> </w:t>
      </w:r>
      <w:r w:rsidRPr="000A34B5">
        <w:rPr>
          <w:rStyle w:val="italicus"/>
        </w:rPr>
        <w:t>canonisé</w:t>
      </w:r>
      <w:r w:rsidRPr="002C4077">
        <w:t xml:space="preserve"> </w:t>
      </w:r>
      <w:r>
        <w:t>la</w:t>
      </w:r>
      <w:r w:rsidRPr="002C4077">
        <w:t xml:space="preserve"> </w:t>
      </w:r>
      <w:r>
        <w:t>Vulgate</w:t>
      </w:r>
      <w:r w:rsidR="00B546AF">
        <w:t> !</w:t>
      </w:r>
      <w:r w:rsidRPr="002C4077">
        <w:t xml:space="preserve"> </w:t>
      </w:r>
      <w:r>
        <w:t>Mais</w:t>
      </w:r>
      <w:r w:rsidRPr="002C4077">
        <w:t xml:space="preserve"> </w:t>
      </w:r>
      <w:r>
        <w:t>l’esprit</w:t>
      </w:r>
      <w:r w:rsidRPr="002C4077">
        <w:t xml:space="preserve"> </w:t>
      </w:r>
      <w:r>
        <w:t>de</w:t>
      </w:r>
      <w:r w:rsidRPr="002C4077">
        <w:t xml:space="preserve"> </w:t>
      </w:r>
      <w:r>
        <w:t>secte</w:t>
      </w:r>
      <w:r w:rsidRPr="002C4077">
        <w:t xml:space="preserve"> </w:t>
      </w:r>
      <w:r>
        <w:t>inspire</w:t>
      </w:r>
      <w:r w:rsidRPr="002C4077">
        <w:t xml:space="preserve"> </w:t>
      </w:r>
      <w:r>
        <w:t>de</w:t>
      </w:r>
      <w:r w:rsidRPr="002C4077">
        <w:t xml:space="preserve"> </w:t>
      </w:r>
      <w:r>
        <w:t>singulières</w:t>
      </w:r>
      <w:r w:rsidRPr="002C4077">
        <w:t xml:space="preserve"> </w:t>
      </w:r>
      <w:r>
        <w:t>inconséquences.</w:t>
      </w:r>
      <w:r w:rsidRPr="002C4077">
        <w:t xml:space="preserve"> </w:t>
      </w:r>
    </w:p>
    <w:p w:rsidR="000A7AAB" w:rsidRDefault="000A7AAB" w:rsidP="000A7AAB">
      <w:r>
        <w:t>Pour</w:t>
      </w:r>
      <w:r w:rsidRPr="002C4077">
        <w:t xml:space="preserve"> </w:t>
      </w:r>
      <w:r>
        <w:t>habituer</w:t>
      </w:r>
      <w:r w:rsidRPr="002C4077">
        <w:t xml:space="preserve"> </w:t>
      </w:r>
      <w:r>
        <w:t>le</w:t>
      </w:r>
      <w:r w:rsidRPr="002C4077">
        <w:t xml:space="preserve"> </w:t>
      </w:r>
      <w:r>
        <w:t>public</w:t>
      </w:r>
      <w:r w:rsidRPr="002C4077">
        <w:t xml:space="preserve"> </w:t>
      </w:r>
      <w:r>
        <w:t>aux</w:t>
      </w:r>
      <w:r w:rsidRPr="002C4077">
        <w:t xml:space="preserve"> </w:t>
      </w:r>
      <w:r w:rsidR="00853971">
        <w:t>impressions</w:t>
      </w:r>
      <w:r w:rsidRPr="002C4077">
        <w:t xml:space="preserve"> </w:t>
      </w:r>
      <w:r>
        <w:t>fâcheuses</w:t>
      </w:r>
      <w:r w:rsidRPr="002C4077">
        <w:t xml:space="preserve"> </w:t>
      </w:r>
      <w:r>
        <w:t>que</w:t>
      </w:r>
      <w:r w:rsidRPr="002C4077">
        <w:t xml:space="preserve"> </w:t>
      </w:r>
      <w:r>
        <w:t>l’on</w:t>
      </w:r>
      <w:r w:rsidRPr="002C4077">
        <w:t xml:space="preserve"> </w:t>
      </w:r>
      <w:r>
        <w:t>redoutait,</w:t>
      </w:r>
      <w:r w:rsidRPr="002C4077">
        <w:t xml:space="preserve"> </w:t>
      </w:r>
      <w:r>
        <w:t>on</w:t>
      </w:r>
      <w:r w:rsidRPr="002C4077">
        <w:t xml:space="preserve"> </w:t>
      </w:r>
      <w:r>
        <w:t>se</w:t>
      </w:r>
      <w:r w:rsidRPr="002C4077">
        <w:t xml:space="preserve"> </w:t>
      </w:r>
      <w:r>
        <w:t>mit</w:t>
      </w:r>
      <w:r w:rsidRPr="002C4077">
        <w:t xml:space="preserve"> </w:t>
      </w:r>
      <w:r>
        <w:t>à</w:t>
      </w:r>
      <w:r w:rsidRPr="002C4077">
        <w:t xml:space="preserve"> </w:t>
      </w:r>
      <w:r>
        <w:t>lui</w:t>
      </w:r>
      <w:r w:rsidRPr="002C4077">
        <w:t xml:space="preserve"> </w:t>
      </w:r>
      <w:r>
        <w:t>rappeler</w:t>
      </w:r>
      <w:r w:rsidRPr="002C4077">
        <w:t xml:space="preserve"> </w:t>
      </w:r>
      <w:r>
        <w:t>qu’après</w:t>
      </w:r>
      <w:r w:rsidRPr="002C4077">
        <w:t xml:space="preserve"> </w:t>
      </w:r>
      <w:r>
        <w:t>tout</w:t>
      </w:r>
      <w:r w:rsidRPr="002C4077">
        <w:t xml:space="preserve"> </w:t>
      </w:r>
      <w:r>
        <w:t>la</w:t>
      </w:r>
      <w:r w:rsidRPr="002C4077">
        <w:t xml:space="preserve"> </w:t>
      </w:r>
      <w:r>
        <w:t>version</w:t>
      </w:r>
      <w:r w:rsidRPr="002C4077">
        <w:t xml:space="preserve"> </w:t>
      </w:r>
      <w:r>
        <w:t>tant</w:t>
      </w:r>
      <w:r w:rsidRPr="002C4077">
        <w:t xml:space="preserve"> </w:t>
      </w:r>
      <w:r>
        <w:t>aimée</w:t>
      </w:r>
      <w:r w:rsidRPr="002C4077">
        <w:t xml:space="preserve"> </w:t>
      </w:r>
      <w:r>
        <w:t>n’était</w:t>
      </w:r>
      <w:r w:rsidRPr="002C4077">
        <w:t xml:space="preserve"> </w:t>
      </w:r>
      <w:r>
        <w:t>pas</w:t>
      </w:r>
      <w:r w:rsidRPr="002C4077">
        <w:t xml:space="preserve"> </w:t>
      </w:r>
      <w:r>
        <w:t>infaillible,</w:t>
      </w:r>
      <w:r w:rsidRPr="002C4077">
        <w:t xml:space="preserve"> </w:t>
      </w:r>
      <w:r>
        <w:t>et</w:t>
      </w:r>
      <w:r w:rsidRPr="002C4077">
        <w:t xml:space="preserve"> </w:t>
      </w:r>
      <w:r>
        <w:t>qu’elle</w:t>
      </w:r>
      <w:r w:rsidRPr="002C4077">
        <w:t xml:space="preserve"> </w:t>
      </w:r>
      <w:r>
        <w:t>provenait</w:t>
      </w:r>
      <w:r w:rsidRPr="002C4077">
        <w:t xml:space="preserve"> </w:t>
      </w:r>
      <w:r>
        <w:t>elle-même</w:t>
      </w:r>
      <w:r w:rsidRPr="002C4077">
        <w:t xml:space="preserve"> </w:t>
      </w:r>
      <w:r>
        <w:t>d’une</w:t>
      </w:r>
      <w:r w:rsidRPr="002C4077">
        <w:t xml:space="preserve"> </w:t>
      </w:r>
      <w:r>
        <w:t>série</w:t>
      </w:r>
      <w:r w:rsidRPr="002C4077">
        <w:t xml:space="preserve"> </w:t>
      </w:r>
      <w:r>
        <w:t>de</w:t>
      </w:r>
      <w:r w:rsidRPr="002C4077">
        <w:t xml:space="preserve"> </w:t>
      </w:r>
      <w:r>
        <w:t>révisions</w:t>
      </w:r>
      <w:r w:rsidRPr="002C4077">
        <w:t xml:space="preserve"> </w:t>
      </w:r>
      <w:r>
        <w:t>pratiquées</w:t>
      </w:r>
      <w:r w:rsidRPr="002C4077">
        <w:t xml:space="preserve"> </w:t>
      </w:r>
      <w:r>
        <w:t>sur</w:t>
      </w:r>
      <w:r w:rsidRPr="002C4077">
        <w:t xml:space="preserve"> </w:t>
      </w:r>
      <w:r>
        <w:t>l’antique</w:t>
      </w:r>
      <w:r w:rsidRPr="002C4077">
        <w:t xml:space="preserve"> </w:t>
      </w:r>
      <w:r>
        <w:t>traduction</w:t>
      </w:r>
      <w:r w:rsidRPr="002C4077">
        <w:t xml:space="preserve"> </w:t>
      </w:r>
      <w:r>
        <w:t>de</w:t>
      </w:r>
      <w:r w:rsidRPr="002C4077">
        <w:t xml:space="preserve"> </w:t>
      </w:r>
      <w:r>
        <w:t>Tyndale,</w:t>
      </w:r>
      <w:r w:rsidRPr="002C4077">
        <w:t xml:space="preserve"> </w:t>
      </w:r>
      <w:r w:rsidR="00B546AF">
        <w:t>« </w:t>
      </w:r>
      <w:r>
        <w:t>ce</w:t>
      </w:r>
      <w:r w:rsidRPr="002C4077">
        <w:t xml:space="preserve"> </w:t>
      </w:r>
      <w:r>
        <w:t>grand</w:t>
      </w:r>
      <w:r w:rsidRPr="002C4077">
        <w:t xml:space="preserve"> </w:t>
      </w:r>
      <w:r>
        <w:t>bienfaiteur</w:t>
      </w:r>
      <w:r w:rsidRPr="002C4077">
        <w:t xml:space="preserve"> </w:t>
      </w:r>
      <w:r>
        <w:t>de</w:t>
      </w:r>
      <w:r w:rsidRPr="002C4077">
        <w:t xml:space="preserve"> </w:t>
      </w:r>
      <w:r>
        <w:t>l’Église</w:t>
      </w:r>
      <w:r w:rsidRPr="002C4077">
        <w:t xml:space="preserve"> </w:t>
      </w:r>
      <w:r>
        <w:t>anglicane</w:t>
      </w:r>
      <w:r w:rsidR="00B91AF7">
        <w:rPr>
          <w:rStyle w:val="Appelnotedebasdep"/>
        </w:rPr>
        <w:footnoteReference w:id="622"/>
      </w:r>
      <w:r w:rsidR="00B546AF">
        <w:t> »</w:t>
      </w:r>
      <w:r>
        <w:t>.</w:t>
      </w:r>
      <w:r w:rsidRPr="002C4077">
        <w:t xml:space="preserve"> </w:t>
      </w:r>
      <w:r>
        <w:t>Les</w:t>
      </w:r>
      <w:r w:rsidRPr="002C4077">
        <w:t xml:space="preserve"> </w:t>
      </w:r>
      <w:r>
        <w:t>nouveaux</w:t>
      </w:r>
      <w:r w:rsidRPr="002C4077">
        <w:t xml:space="preserve"> </w:t>
      </w:r>
      <w:r>
        <w:t>réviseurs</w:t>
      </w:r>
      <w:r w:rsidRPr="002C4077">
        <w:t xml:space="preserve"> </w:t>
      </w:r>
      <w:r>
        <w:t>agiraient</w:t>
      </w:r>
      <w:r w:rsidRPr="002C4077">
        <w:t xml:space="preserve"> </w:t>
      </w:r>
      <w:r>
        <w:t>dans</w:t>
      </w:r>
      <w:r w:rsidRPr="002C4077">
        <w:t xml:space="preserve"> </w:t>
      </w:r>
      <w:r>
        <w:t>le</w:t>
      </w:r>
      <w:r w:rsidRPr="002C4077">
        <w:t xml:space="preserve"> </w:t>
      </w:r>
      <w:r>
        <w:t>même</w:t>
      </w:r>
      <w:r w:rsidRPr="002C4077">
        <w:t xml:space="preserve"> </w:t>
      </w:r>
      <w:r>
        <w:t>esprit</w:t>
      </w:r>
      <w:r w:rsidRPr="002C4077">
        <w:t xml:space="preserve"> </w:t>
      </w:r>
      <w:r>
        <w:t>que</w:t>
      </w:r>
      <w:r w:rsidRPr="002C4077">
        <w:t xml:space="preserve"> </w:t>
      </w:r>
      <w:r>
        <w:t>leurs</w:t>
      </w:r>
      <w:r w:rsidRPr="002C4077">
        <w:t xml:space="preserve"> </w:t>
      </w:r>
      <w:r>
        <w:t>devanciers,</w:t>
      </w:r>
      <w:r w:rsidRPr="002C4077">
        <w:t xml:space="preserve"> </w:t>
      </w:r>
      <w:r>
        <w:t>et</w:t>
      </w:r>
      <w:r w:rsidRPr="002C4077">
        <w:t xml:space="preserve"> </w:t>
      </w:r>
      <w:r>
        <w:t>ils</w:t>
      </w:r>
      <w:r w:rsidRPr="002C4077">
        <w:t xml:space="preserve"> </w:t>
      </w:r>
      <w:r>
        <w:t>contribueraient</w:t>
      </w:r>
      <w:r w:rsidRPr="002C4077">
        <w:t xml:space="preserve"> </w:t>
      </w:r>
      <w:r>
        <w:t>sans</w:t>
      </w:r>
      <w:r w:rsidRPr="002C4077">
        <w:t xml:space="preserve"> </w:t>
      </w:r>
      <w:r>
        <w:t>doute,</w:t>
      </w:r>
      <w:r w:rsidRPr="002C4077">
        <w:t xml:space="preserve"> </w:t>
      </w:r>
      <w:r>
        <w:t>eux</w:t>
      </w:r>
      <w:r w:rsidRPr="002C4077">
        <w:t xml:space="preserve"> </w:t>
      </w:r>
      <w:r>
        <w:t>aussi,</w:t>
      </w:r>
      <w:r w:rsidRPr="002C4077">
        <w:t xml:space="preserve"> </w:t>
      </w:r>
      <w:r>
        <w:t>à</w:t>
      </w:r>
      <w:r w:rsidRPr="002C4077">
        <w:t xml:space="preserve"> </w:t>
      </w:r>
      <w:r>
        <w:t>donner</w:t>
      </w:r>
      <w:r w:rsidRPr="002C4077">
        <w:t xml:space="preserve"> </w:t>
      </w:r>
      <w:r>
        <w:t>à</w:t>
      </w:r>
      <w:r w:rsidRPr="002C4077">
        <w:t xml:space="preserve"> </w:t>
      </w:r>
      <w:r>
        <w:t>l’Angleterre</w:t>
      </w:r>
      <w:r w:rsidRPr="002C4077">
        <w:t xml:space="preserve"> </w:t>
      </w:r>
      <w:r>
        <w:t>une</w:t>
      </w:r>
      <w:r w:rsidRPr="002C4077">
        <w:t xml:space="preserve"> </w:t>
      </w:r>
      <w:r>
        <w:t>Bible</w:t>
      </w:r>
      <w:r w:rsidRPr="002C4077">
        <w:t xml:space="preserve"> </w:t>
      </w:r>
      <w:r>
        <w:t>de</w:t>
      </w:r>
      <w:r w:rsidRPr="002C4077">
        <w:t xml:space="preserve"> </w:t>
      </w:r>
      <w:r>
        <w:t>plus</w:t>
      </w:r>
      <w:r w:rsidRPr="002C4077">
        <w:t xml:space="preserve"> </w:t>
      </w:r>
      <w:r>
        <w:t>en</w:t>
      </w:r>
      <w:r w:rsidRPr="002C4077">
        <w:t xml:space="preserve"> </w:t>
      </w:r>
      <w:r>
        <w:t>plus</w:t>
      </w:r>
      <w:r w:rsidRPr="002C4077">
        <w:t xml:space="preserve"> </w:t>
      </w:r>
      <w:r>
        <w:t>parfaite.</w:t>
      </w:r>
      <w:r w:rsidRPr="002C4077">
        <w:t xml:space="preserve"> </w:t>
      </w:r>
    </w:p>
    <w:p w:rsidR="000A7AAB" w:rsidRDefault="000A7AAB" w:rsidP="000A7AAB">
      <w:r>
        <w:t>On</w:t>
      </w:r>
      <w:r w:rsidRPr="002C4077">
        <w:t xml:space="preserve"> </w:t>
      </w:r>
      <w:r>
        <w:t>égayait</w:t>
      </w:r>
      <w:r w:rsidRPr="002C4077">
        <w:t xml:space="preserve"> </w:t>
      </w:r>
      <w:r>
        <w:t>même</w:t>
      </w:r>
      <w:r w:rsidRPr="002C4077">
        <w:t xml:space="preserve"> </w:t>
      </w:r>
      <w:r>
        <w:t>parfois</w:t>
      </w:r>
      <w:r w:rsidRPr="002C4077">
        <w:t xml:space="preserve"> </w:t>
      </w:r>
      <w:r>
        <w:t>la</w:t>
      </w:r>
      <w:r w:rsidRPr="002C4077">
        <w:t xml:space="preserve"> </w:t>
      </w:r>
      <w:r>
        <w:t>situation</w:t>
      </w:r>
      <w:r w:rsidRPr="002C4077">
        <w:t xml:space="preserve"> </w:t>
      </w:r>
      <w:r>
        <w:t>au</w:t>
      </w:r>
      <w:r w:rsidRPr="002C4077">
        <w:t xml:space="preserve"> </w:t>
      </w:r>
      <w:r>
        <w:t>moyen</w:t>
      </w:r>
      <w:r w:rsidRPr="002C4077">
        <w:t xml:space="preserve"> </w:t>
      </w:r>
      <w:r>
        <w:t>de</w:t>
      </w:r>
      <w:r w:rsidRPr="002C4077">
        <w:t xml:space="preserve"> </w:t>
      </w:r>
      <w:r>
        <w:t>quelques</w:t>
      </w:r>
      <w:r w:rsidRPr="002C4077">
        <w:t xml:space="preserve"> </w:t>
      </w:r>
      <w:r>
        <w:t>anecdotes</w:t>
      </w:r>
      <w:r w:rsidRPr="002C4077">
        <w:t xml:space="preserve"> </w:t>
      </w:r>
      <w:r>
        <w:t>empruntées</w:t>
      </w:r>
      <w:r w:rsidRPr="002C4077">
        <w:t xml:space="preserve"> </w:t>
      </w:r>
      <w:r>
        <w:t>aux</w:t>
      </w:r>
      <w:r w:rsidRPr="002C4077">
        <w:t xml:space="preserve"> </w:t>
      </w:r>
      <w:r>
        <w:t>annales</w:t>
      </w:r>
      <w:r w:rsidRPr="002C4077">
        <w:t xml:space="preserve"> </w:t>
      </w:r>
      <w:r>
        <w:t>des</w:t>
      </w:r>
      <w:r w:rsidRPr="002C4077">
        <w:t xml:space="preserve"> </w:t>
      </w:r>
      <w:r>
        <w:t>révisions</w:t>
      </w:r>
      <w:r w:rsidRPr="002C4077">
        <w:t xml:space="preserve"> </w:t>
      </w:r>
      <w:r>
        <w:t>antérieures.</w:t>
      </w:r>
      <w:r w:rsidRPr="002C4077">
        <w:t xml:space="preserve"> </w:t>
      </w:r>
      <w:r>
        <w:t>Ainsi,</w:t>
      </w:r>
      <w:r w:rsidRPr="002C4077">
        <w:t xml:space="preserve"> </w:t>
      </w:r>
      <w:r>
        <w:t>pour</w:t>
      </w:r>
      <w:r w:rsidRPr="002C4077">
        <w:t xml:space="preserve"> </w:t>
      </w:r>
      <w:r>
        <w:t>montrer</w:t>
      </w:r>
      <w:r w:rsidRPr="002C4077">
        <w:t xml:space="preserve"> </w:t>
      </w:r>
      <w:r>
        <w:t>que</w:t>
      </w:r>
      <w:r w:rsidRPr="002C4077">
        <w:t xml:space="preserve"> </w:t>
      </w:r>
      <w:r>
        <w:t>popularité</w:t>
      </w:r>
      <w:r w:rsidRPr="002C4077">
        <w:t xml:space="preserve"> </w:t>
      </w:r>
      <w:r>
        <w:t>n’est</w:t>
      </w:r>
      <w:r w:rsidRPr="002C4077">
        <w:t xml:space="preserve"> </w:t>
      </w:r>
      <w:r>
        <w:t>pas</w:t>
      </w:r>
      <w:r w:rsidRPr="002C4077">
        <w:t xml:space="preserve"> </w:t>
      </w:r>
      <w:r>
        <w:t>toujours</w:t>
      </w:r>
      <w:r w:rsidRPr="002C4077">
        <w:t xml:space="preserve"> </w:t>
      </w:r>
      <w:r>
        <w:t>synonyme</w:t>
      </w:r>
      <w:r w:rsidRPr="002C4077">
        <w:t xml:space="preserve"> </w:t>
      </w:r>
      <w:r>
        <w:t>de</w:t>
      </w:r>
      <w:r w:rsidRPr="002C4077">
        <w:t xml:space="preserve"> </w:t>
      </w:r>
      <w:r>
        <w:t>perfection,</w:t>
      </w:r>
      <w:r w:rsidRPr="002C4077">
        <w:t xml:space="preserve"> </w:t>
      </w:r>
      <w:r>
        <w:t>on</w:t>
      </w:r>
      <w:r w:rsidRPr="002C4077">
        <w:t xml:space="preserve"> </w:t>
      </w:r>
      <w:r>
        <w:t>racontait</w:t>
      </w:r>
      <w:r w:rsidRPr="002C4077">
        <w:t xml:space="preserve"> </w:t>
      </w:r>
      <w:r>
        <w:t>que</w:t>
      </w:r>
      <w:r w:rsidRPr="002C4077">
        <w:t xml:space="preserve"> </w:t>
      </w:r>
      <w:r>
        <w:t>la</w:t>
      </w:r>
      <w:r w:rsidRPr="002C4077">
        <w:t xml:space="preserve"> </w:t>
      </w:r>
      <w:r>
        <w:t>Bible</w:t>
      </w:r>
      <w:r w:rsidRPr="002C4077">
        <w:t xml:space="preserve"> </w:t>
      </w:r>
      <w:r>
        <w:t>de</w:t>
      </w:r>
      <w:r w:rsidRPr="002C4077">
        <w:t xml:space="preserve"> </w:t>
      </w:r>
      <w:r>
        <w:t>Genève</w:t>
      </w:r>
      <w:r w:rsidR="00853971">
        <w:rPr>
          <w:rStyle w:val="Appelnotedebasdep"/>
        </w:rPr>
        <w:footnoteReference w:id="623"/>
      </w:r>
      <w:r>
        <w:t>,</w:t>
      </w:r>
      <w:r w:rsidRPr="002C4077">
        <w:t xml:space="preserve"> </w:t>
      </w:r>
      <w:r>
        <w:t>très</w:t>
      </w:r>
      <w:r w:rsidRPr="002C4077">
        <w:t xml:space="preserve"> </w:t>
      </w:r>
      <w:r>
        <w:t>populaire</w:t>
      </w:r>
      <w:r w:rsidRPr="002C4077">
        <w:t xml:space="preserve"> </w:t>
      </w:r>
      <w:r>
        <w:t>dans</w:t>
      </w:r>
      <w:r w:rsidRPr="002C4077">
        <w:t xml:space="preserve"> </w:t>
      </w:r>
      <w:r>
        <w:t>son</w:t>
      </w:r>
      <w:r w:rsidRPr="002C4077">
        <w:t xml:space="preserve"> </w:t>
      </w:r>
      <w:r>
        <w:t>temps,</w:t>
      </w:r>
      <w:r w:rsidRPr="002C4077">
        <w:t xml:space="preserve"> </w:t>
      </w:r>
      <w:r>
        <w:t>traduisait</w:t>
      </w:r>
      <w:r w:rsidRPr="002C4077">
        <w:t xml:space="preserve"> </w:t>
      </w:r>
      <w:r>
        <w:t>comme</w:t>
      </w:r>
      <w:r w:rsidRPr="002C4077">
        <w:t xml:space="preserve"> </w:t>
      </w:r>
      <w:r>
        <w:t>il</w:t>
      </w:r>
      <w:r w:rsidRPr="002C4077">
        <w:t xml:space="preserve"> </w:t>
      </w:r>
      <w:r>
        <w:t>suit</w:t>
      </w:r>
      <w:r w:rsidRPr="002C4077">
        <w:t xml:space="preserve"> </w:t>
      </w:r>
      <w:r>
        <w:t>le</w:t>
      </w:r>
      <w:r w:rsidRPr="002C4077">
        <w:t xml:space="preserve"> </w:t>
      </w:r>
      <w:r>
        <w:t>verset</w:t>
      </w:r>
      <w:r w:rsidRPr="002C4077">
        <w:t xml:space="preserve"> </w:t>
      </w:r>
      <w:r>
        <w:t>7</w:t>
      </w:r>
      <w:r w:rsidRPr="002C4077">
        <w:t xml:space="preserve"> </w:t>
      </w:r>
      <w:r>
        <w:t>du</w:t>
      </w:r>
      <w:r w:rsidRPr="002C4077">
        <w:t xml:space="preserve"> </w:t>
      </w:r>
      <w:r>
        <w:t>troisième</w:t>
      </w:r>
      <w:r w:rsidRPr="002C4077">
        <w:t xml:space="preserve"> </w:t>
      </w:r>
      <w:r>
        <w:t>chapitre</w:t>
      </w:r>
      <w:r w:rsidRPr="002C4077">
        <w:t xml:space="preserve"> </w:t>
      </w:r>
      <w:r>
        <w:t>de</w:t>
      </w:r>
      <w:r w:rsidRPr="002C4077">
        <w:t xml:space="preserve"> </w:t>
      </w:r>
      <w:r>
        <w:t>la</w:t>
      </w:r>
      <w:r w:rsidRPr="002C4077">
        <w:t xml:space="preserve"> </w:t>
      </w:r>
      <w:r>
        <w:t>Genèse</w:t>
      </w:r>
      <w:r w:rsidR="00B546AF">
        <w:t> :</w:t>
      </w:r>
      <w:r w:rsidRPr="002C4077">
        <w:t xml:space="preserve"> </w:t>
      </w:r>
      <w:r w:rsidR="00B546AF">
        <w:t>« </w:t>
      </w:r>
      <w:r>
        <w:t>Adam</w:t>
      </w:r>
      <w:r w:rsidRPr="002C4077">
        <w:t xml:space="preserve"> </w:t>
      </w:r>
      <w:r>
        <w:t>et</w:t>
      </w:r>
      <w:r w:rsidRPr="002C4077">
        <w:t xml:space="preserve"> </w:t>
      </w:r>
      <w:r>
        <w:t>Êve</w:t>
      </w:r>
      <w:r w:rsidRPr="002C4077">
        <w:t xml:space="preserve"> </w:t>
      </w:r>
      <w:r>
        <w:t>cousirent</w:t>
      </w:r>
      <w:r w:rsidRPr="002C4077">
        <w:t xml:space="preserve"> </w:t>
      </w:r>
      <w:r>
        <w:t>ensemble</w:t>
      </w:r>
      <w:r w:rsidRPr="002C4077">
        <w:t xml:space="preserve"> </w:t>
      </w:r>
      <w:r>
        <w:t>des</w:t>
      </w:r>
      <w:r w:rsidRPr="002C4077">
        <w:t xml:space="preserve"> </w:t>
      </w:r>
      <w:r>
        <w:t>feuilles</w:t>
      </w:r>
      <w:r w:rsidRPr="002C4077">
        <w:t xml:space="preserve"> </w:t>
      </w:r>
      <w:r>
        <w:t>de</w:t>
      </w:r>
      <w:r w:rsidRPr="002C4077">
        <w:t xml:space="preserve"> </w:t>
      </w:r>
      <w:r>
        <w:t>figuier,</w:t>
      </w:r>
      <w:r w:rsidRPr="002C4077">
        <w:t xml:space="preserve"> </w:t>
      </w:r>
      <w:r>
        <w:t>et</w:t>
      </w:r>
      <w:r w:rsidRPr="002C4077">
        <w:t xml:space="preserve"> </w:t>
      </w:r>
      <w:r>
        <w:t>se</w:t>
      </w:r>
      <w:r w:rsidRPr="002C4077">
        <w:t xml:space="preserve"> </w:t>
      </w:r>
      <w:r>
        <w:t>firent</w:t>
      </w:r>
      <w:r w:rsidRPr="002C4077">
        <w:t xml:space="preserve"> </w:t>
      </w:r>
      <w:r>
        <w:t>des</w:t>
      </w:r>
      <w:r w:rsidRPr="002C4077">
        <w:t xml:space="preserve"> </w:t>
      </w:r>
      <w:r>
        <w:t>culottes</w:t>
      </w:r>
      <w:r w:rsidRPr="004440EA">
        <w:t xml:space="preserve"> (</w:t>
      </w:r>
      <w:r w:rsidRPr="000A34B5">
        <w:rPr>
          <w:rStyle w:val="italicus"/>
        </w:rPr>
        <w:t>bre</w:t>
      </w:r>
      <w:r w:rsidR="001730C6" w:rsidRPr="000A34B5">
        <w:rPr>
          <w:rStyle w:val="italicus"/>
        </w:rPr>
        <w:t>ec</w:t>
      </w:r>
      <w:r w:rsidRPr="000A34B5">
        <w:rPr>
          <w:rStyle w:val="italicus"/>
        </w:rPr>
        <w:t>hes</w:t>
      </w:r>
      <w:r w:rsidR="00B546AF" w:rsidRPr="002C4077">
        <w:t>)</w:t>
      </w:r>
      <w:r w:rsidR="00B546AF" w:rsidRPr="00950016">
        <w:t> </w:t>
      </w:r>
      <w:r w:rsidR="00B546AF">
        <w:t>» ;</w:t>
      </w:r>
      <w:r w:rsidRPr="002C4077">
        <w:t xml:space="preserve"> </w:t>
      </w:r>
      <w:r>
        <w:t>d’où</w:t>
      </w:r>
      <w:r w:rsidRPr="002C4077">
        <w:t xml:space="preserve"> </w:t>
      </w:r>
      <w:r>
        <w:t>lui</w:t>
      </w:r>
      <w:r w:rsidRPr="002C4077">
        <w:t xml:space="preserve"> </w:t>
      </w:r>
      <w:r>
        <w:t>était</w:t>
      </w:r>
      <w:r w:rsidRPr="002C4077">
        <w:t xml:space="preserve"> </w:t>
      </w:r>
      <w:r>
        <w:t>venu</w:t>
      </w:r>
      <w:r w:rsidRPr="002C4077">
        <w:t xml:space="preserve"> </w:t>
      </w:r>
      <w:r>
        <w:t>le</w:t>
      </w:r>
      <w:r w:rsidRPr="002C4077">
        <w:t xml:space="preserve"> </w:t>
      </w:r>
      <w:r>
        <w:t>surnom</w:t>
      </w:r>
      <w:r w:rsidRPr="002C4077">
        <w:t xml:space="preserve"> </w:t>
      </w:r>
      <w:r>
        <w:t>assez</w:t>
      </w:r>
      <w:r w:rsidRPr="002C4077">
        <w:t xml:space="preserve"> </w:t>
      </w:r>
      <w:r>
        <w:t>peu</w:t>
      </w:r>
      <w:r w:rsidRPr="002C4077">
        <w:t xml:space="preserve"> </w:t>
      </w:r>
      <w:r>
        <w:t>révérencieux</w:t>
      </w:r>
      <w:r w:rsidRPr="002C4077">
        <w:t xml:space="preserve"> </w:t>
      </w:r>
      <w:r>
        <w:t>de</w:t>
      </w:r>
      <w:r w:rsidRPr="002C4077">
        <w:t xml:space="preserve"> </w:t>
      </w:r>
      <w:r w:rsidR="00B546AF">
        <w:t>« </w:t>
      </w:r>
      <w:r>
        <w:t>Bible</w:t>
      </w:r>
      <w:r w:rsidRPr="002C4077">
        <w:t xml:space="preserve"> </w:t>
      </w:r>
      <w:r>
        <w:t>aux</w:t>
      </w:r>
      <w:r w:rsidRPr="002C4077">
        <w:t xml:space="preserve"> </w:t>
      </w:r>
      <w:r>
        <w:t>culottes</w:t>
      </w:r>
      <w:r w:rsidRPr="004440EA">
        <w:t xml:space="preserve"> (</w:t>
      </w:r>
      <w:r w:rsidRPr="000A34B5">
        <w:rPr>
          <w:rStyle w:val="italicus"/>
        </w:rPr>
        <w:t>Breeches</w:t>
      </w:r>
      <w:r w:rsidRPr="002C4077">
        <w:t xml:space="preserve"> </w:t>
      </w:r>
      <w:r w:rsidRPr="000A34B5">
        <w:rPr>
          <w:rStyle w:val="italicus"/>
        </w:rPr>
        <w:t>Bibl</w:t>
      </w:r>
      <w:r w:rsidR="00F6492C" w:rsidRPr="000A34B5">
        <w:rPr>
          <w:rStyle w:val="italicus"/>
        </w:rPr>
        <w:t>e</w:t>
      </w:r>
      <w:r w:rsidR="00B546AF" w:rsidRPr="002C4077">
        <w:t>)</w:t>
      </w:r>
      <w:r w:rsidR="00F6492C">
        <w:rPr>
          <w:rStyle w:val="Appelnotedebasdep"/>
          <w:i/>
        </w:rPr>
        <w:footnoteReference w:id="624"/>
      </w:r>
      <w:r w:rsidR="00B546AF">
        <w:rPr>
          <w:rStyle w:val="italicus"/>
        </w:rPr>
        <w:t> </w:t>
      </w:r>
      <w:r w:rsidR="00B546AF" w:rsidRPr="000A34B5">
        <w:rPr>
          <w:rStyle w:val="italicus"/>
        </w:rPr>
        <w:t>»</w:t>
      </w:r>
      <w:r w:rsidRPr="000A34B5">
        <w:rPr>
          <w:rStyle w:val="italicus"/>
        </w:rPr>
        <w:t>.</w:t>
      </w:r>
      <w:r w:rsidRPr="002C4077">
        <w:t xml:space="preserve"> </w:t>
      </w:r>
      <w:r>
        <w:t>Cette</w:t>
      </w:r>
      <w:r w:rsidRPr="002C4077">
        <w:t xml:space="preserve"> </w:t>
      </w:r>
      <w:r>
        <w:t>même</w:t>
      </w:r>
      <w:r w:rsidRPr="002C4077">
        <w:t xml:space="preserve"> </w:t>
      </w:r>
      <w:r>
        <w:t>Bible</w:t>
      </w:r>
      <w:r w:rsidRPr="002C4077">
        <w:t xml:space="preserve"> </w:t>
      </w:r>
      <w:r>
        <w:t>était</w:t>
      </w:r>
      <w:r w:rsidRPr="002C4077">
        <w:t xml:space="preserve"> </w:t>
      </w:r>
      <w:r>
        <w:t>accompagnée</w:t>
      </w:r>
      <w:r w:rsidRPr="002C4077">
        <w:t xml:space="preserve"> </w:t>
      </w:r>
      <w:r>
        <w:t>d’un</w:t>
      </w:r>
      <w:r w:rsidRPr="002C4077">
        <w:t xml:space="preserve"> </w:t>
      </w:r>
      <w:r>
        <w:t>petit</w:t>
      </w:r>
      <w:r w:rsidRPr="002C4077">
        <w:t xml:space="preserve"> </w:t>
      </w:r>
      <w:r>
        <w:t>commentaire</w:t>
      </w:r>
      <w:r w:rsidRPr="002C4077">
        <w:t xml:space="preserve"> </w:t>
      </w:r>
      <w:r>
        <w:t>qui</w:t>
      </w:r>
      <w:r w:rsidRPr="002C4077">
        <w:t xml:space="preserve"> </w:t>
      </w:r>
      <w:r>
        <w:t>attira</w:t>
      </w:r>
      <w:r w:rsidRPr="002C4077">
        <w:t xml:space="preserve"> </w:t>
      </w:r>
      <w:r>
        <w:t>sur</w:t>
      </w:r>
      <w:r w:rsidRPr="002C4077">
        <w:t xml:space="preserve"> </w:t>
      </w:r>
      <w:r>
        <w:t>elle</w:t>
      </w:r>
      <w:r w:rsidRPr="002C4077">
        <w:t xml:space="preserve"> </w:t>
      </w:r>
      <w:r>
        <w:t>la</w:t>
      </w:r>
      <w:r w:rsidRPr="002C4077">
        <w:t xml:space="preserve"> </w:t>
      </w:r>
      <w:r>
        <w:t>colère</w:t>
      </w:r>
      <w:r w:rsidRPr="002C4077">
        <w:t xml:space="preserve"> </w:t>
      </w:r>
      <w:r>
        <w:t>du</w:t>
      </w:r>
      <w:r w:rsidRPr="002C4077">
        <w:t xml:space="preserve"> </w:t>
      </w:r>
      <w:r>
        <w:t>roi</w:t>
      </w:r>
      <w:r w:rsidRPr="002C4077">
        <w:t xml:space="preserve"> </w:t>
      </w:r>
      <w:r>
        <w:t>Jacques.</w:t>
      </w:r>
      <w:r w:rsidRPr="002C4077">
        <w:t xml:space="preserve"> </w:t>
      </w:r>
      <w:r>
        <w:t>À</w:t>
      </w:r>
      <w:r w:rsidRPr="002C4077">
        <w:t xml:space="preserve"> </w:t>
      </w:r>
      <w:r>
        <w:t>propos</w:t>
      </w:r>
      <w:r w:rsidRPr="002C4077">
        <w:t xml:space="preserve"> </w:t>
      </w:r>
      <w:r>
        <w:t>du</w:t>
      </w:r>
      <w:r w:rsidRPr="002C4077">
        <w:t xml:space="preserve"> </w:t>
      </w:r>
      <w:r>
        <w:t>texte</w:t>
      </w:r>
      <w:r w:rsidRPr="002C4077">
        <w:t xml:space="preserve"> </w:t>
      </w:r>
      <w:r>
        <w:t>où</w:t>
      </w:r>
      <w:r w:rsidRPr="002C4077">
        <w:t xml:space="preserve"> </w:t>
      </w:r>
      <w:r>
        <w:t>il</w:t>
      </w:r>
      <w:r w:rsidRPr="002C4077">
        <w:t xml:space="preserve"> </w:t>
      </w:r>
      <w:r w:rsidR="00425C50">
        <w:t>est</w:t>
      </w:r>
      <w:r w:rsidRPr="002C4077">
        <w:t xml:space="preserve"> </w:t>
      </w:r>
      <w:r>
        <w:t>dit</w:t>
      </w:r>
      <w:r w:rsidRPr="002C4077">
        <w:t xml:space="preserve"> </w:t>
      </w:r>
      <w:r>
        <w:t>que</w:t>
      </w:r>
      <w:r w:rsidRPr="002C4077">
        <w:t xml:space="preserve"> </w:t>
      </w:r>
      <w:r>
        <w:t>les</w:t>
      </w:r>
      <w:r w:rsidRPr="002C4077">
        <w:t xml:space="preserve"> </w:t>
      </w:r>
      <w:r>
        <w:t>sages-femmes</w:t>
      </w:r>
      <w:r w:rsidRPr="002C4077">
        <w:t xml:space="preserve"> </w:t>
      </w:r>
      <w:r>
        <w:t>égyptiennes</w:t>
      </w:r>
      <w:r w:rsidRPr="002C4077">
        <w:t xml:space="preserve"> </w:t>
      </w:r>
      <w:r w:rsidR="00B546AF">
        <w:t>« </w:t>
      </w:r>
      <w:r>
        <w:t>ne</w:t>
      </w:r>
      <w:r w:rsidRPr="002C4077">
        <w:t xml:space="preserve"> </w:t>
      </w:r>
      <w:r>
        <w:t>firent</w:t>
      </w:r>
      <w:r w:rsidRPr="002C4077">
        <w:t xml:space="preserve"> </w:t>
      </w:r>
      <w:r>
        <w:t>pas</w:t>
      </w:r>
      <w:r w:rsidRPr="002C4077">
        <w:t xml:space="preserve"> </w:t>
      </w:r>
      <w:r>
        <w:t>ce</w:t>
      </w:r>
      <w:r w:rsidRPr="002C4077">
        <w:t xml:space="preserve"> </w:t>
      </w:r>
      <w:r>
        <w:t>que</w:t>
      </w:r>
      <w:r w:rsidRPr="002C4077">
        <w:t xml:space="preserve"> </w:t>
      </w:r>
      <w:r>
        <w:t>le</w:t>
      </w:r>
      <w:r w:rsidRPr="002C4077">
        <w:t xml:space="preserve"> </w:t>
      </w:r>
      <w:r>
        <w:t>roi</w:t>
      </w:r>
      <w:r w:rsidRPr="002C4077">
        <w:t xml:space="preserve"> </w:t>
      </w:r>
      <w:r>
        <w:t>d’Égypte</w:t>
      </w:r>
      <w:r w:rsidRPr="002C4077">
        <w:t xml:space="preserve"> </w:t>
      </w:r>
      <w:r>
        <w:t>leur</w:t>
      </w:r>
      <w:r w:rsidRPr="002C4077">
        <w:t xml:space="preserve"> </w:t>
      </w:r>
      <w:r>
        <w:t>avait</w:t>
      </w:r>
      <w:r w:rsidRPr="002C4077">
        <w:t xml:space="preserve"> </w:t>
      </w:r>
      <w:r>
        <w:t>commandé,</w:t>
      </w:r>
      <w:r w:rsidRPr="002C4077">
        <w:t xml:space="preserve"> </w:t>
      </w:r>
      <w:r>
        <w:t>mais</w:t>
      </w:r>
      <w:r w:rsidRPr="002C4077">
        <w:t xml:space="preserve"> </w:t>
      </w:r>
      <w:r>
        <w:t>sauvèrent</w:t>
      </w:r>
      <w:r w:rsidRPr="002C4077">
        <w:t xml:space="preserve"> </w:t>
      </w:r>
      <w:r>
        <w:t>les</w:t>
      </w:r>
      <w:r w:rsidRPr="002C4077">
        <w:t xml:space="preserve"> </w:t>
      </w:r>
      <w:r>
        <w:t>enfants</w:t>
      </w:r>
      <w:r w:rsidRPr="002C4077">
        <w:t xml:space="preserve"> </w:t>
      </w:r>
      <w:r>
        <w:t>mâles</w:t>
      </w:r>
      <w:r w:rsidR="00B546AF">
        <w:t> »</w:t>
      </w:r>
      <w:r w:rsidRPr="002C4077">
        <w:t xml:space="preserve"> </w:t>
      </w:r>
      <w:r>
        <w:t>des</w:t>
      </w:r>
      <w:r w:rsidRPr="002C4077">
        <w:t xml:space="preserve"> </w:t>
      </w:r>
      <w:r>
        <w:t>Hébreux</w:t>
      </w:r>
      <w:r w:rsidR="00B91AF7">
        <w:rPr>
          <w:rStyle w:val="Appelnotedebasdep"/>
        </w:rPr>
        <w:footnoteReference w:id="625"/>
      </w:r>
      <w:r>
        <w:t>,</w:t>
      </w:r>
      <w:r w:rsidRPr="002C4077">
        <w:t xml:space="preserve"> </w:t>
      </w:r>
      <w:r>
        <w:t>une</w:t>
      </w:r>
      <w:r w:rsidRPr="002C4077">
        <w:t xml:space="preserve"> </w:t>
      </w:r>
      <w:r>
        <w:t>note</w:t>
      </w:r>
      <w:r w:rsidRPr="002C4077">
        <w:t xml:space="preserve"> </w:t>
      </w:r>
      <w:r>
        <w:t>explicative</w:t>
      </w:r>
      <w:r w:rsidRPr="002C4077">
        <w:t xml:space="preserve"> </w:t>
      </w:r>
      <w:r>
        <w:t>déclare</w:t>
      </w:r>
      <w:r w:rsidRPr="002C4077">
        <w:t xml:space="preserve"> </w:t>
      </w:r>
      <w:r>
        <w:t>que</w:t>
      </w:r>
      <w:r w:rsidRPr="002C4077">
        <w:t xml:space="preserve"> </w:t>
      </w:r>
      <w:r w:rsidR="00B546AF">
        <w:t>« </w:t>
      </w:r>
      <w:r>
        <w:t>leur</w:t>
      </w:r>
      <w:r w:rsidRPr="002C4077">
        <w:t xml:space="preserve"> </w:t>
      </w:r>
      <w:r>
        <w:t>désobéissance</w:t>
      </w:r>
      <w:r w:rsidRPr="002C4077">
        <w:t xml:space="preserve"> </w:t>
      </w:r>
      <w:r>
        <w:t>avait</w:t>
      </w:r>
      <w:r w:rsidRPr="002C4077">
        <w:t xml:space="preserve"> </w:t>
      </w:r>
      <w:r>
        <w:t>été</w:t>
      </w:r>
      <w:r w:rsidRPr="002C4077">
        <w:t xml:space="preserve"> </w:t>
      </w:r>
      <w:r>
        <w:t>légitime</w:t>
      </w:r>
      <w:r w:rsidR="00B546AF">
        <w:t> »</w:t>
      </w:r>
      <w:r>
        <w:t>.</w:t>
      </w:r>
      <w:r w:rsidR="00C45B47">
        <w:t xml:space="preserve"> {</w:t>
      </w:r>
      <w:r w:rsidR="00B53529">
        <w:t>186</w:t>
      </w:r>
      <w:bookmarkStart w:id="478" w:name="p186"/>
      <w:bookmarkEnd w:id="478"/>
      <w:r w:rsidR="00B53529">
        <w:t xml:space="preserve">} </w:t>
      </w:r>
      <w:r>
        <w:t>Mais</w:t>
      </w:r>
      <w:r w:rsidRPr="002C4077">
        <w:t xml:space="preserve"> </w:t>
      </w:r>
      <w:r>
        <w:t>Jacques</w:t>
      </w:r>
      <w:r w:rsidRPr="002C4077">
        <w:t xml:space="preserve"> </w:t>
      </w:r>
      <w:r w:rsidR="007B3C26">
        <w:t>I</w:t>
      </w:r>
      <w:r w:rsidR="007B3C26" w:rsidRPr="007B3C26">
        <w:rPr>
          <w:vertAlign w:val="superscript"/>
        </w:rPr>
        <w:t>er</w:t>
      </w:r>
      <w:r w:rsidRPr="002C4077">
        <w:t xml:space="preserve"> </w:t>
      </w:r>
      <w:r>
        <w:t>était</w:t>
      </w:r>
      <w:r w:rsidRPr="002C4077">
        <w:t xml:space="preserve"> </w:t>
      </w:r>
      <w:r>
        <w:t>le</w:t>
      </w:r>
      <w:r w:rsidRPr="002C4077">
        <w:t xml:space="preserve"> </w:t>
      </w:r>
      <w:r>
        <w:t>plus</w:t>
      </w:r>
      <w:r w:rsidRPr="002C4077">
        <w:t xml:space="preserve"> </w:t>
      </w:r>
      <w:r>
        <w:t>absolu</w:t>
      </w:r>
      <w:r w:rsidRPr="002C4077">
        <w:t xml:space="preserve"> </w:t>
      </w:r>
      <w:r>
        <w:t>des</w:t>
      </w:r>
      <w:r w:rsidRPr="002C4077">
        <w:t xml:space="preserve"> </w:t>
      </w:r>
      <w:r>
        <w:t>monarques,</w:t>
      </w:r>
      <w:r w:rsidRPr="002C4077">
        <w:t xml:space="preserve"> </w:t>
      </w:r>
      <w:r>
        <w:t>et</w:t>
      </w:r>
      <w:r w:rsidRPr="002C4077">
        <w:t xml:space="preserve"> </w:t>
      </w:r>
      <w:r>
        <w:t>il</w:t>
      </w:r>
      <w:r w:rsidRPr="002C4077">
        <w:t xml:space="preserve"> </w:t>
      </w:r>
      <w:r>
        <w:t>ne</w:t>
      </w:r>
      <w:r w:rsidRPr="002C4077">
        <w:t xml:space="preserve"> </w:t>
      </w:r>
      <w:r>
        <w:t>pouvait</w:t>
      </w:r>
      <w:r w:rsidRPr="002C4077">
        <w:t xml:space="preserve"> </w:t>
      </w:r>
      <w:r>
        <w:t>admettre</w:t>
      </w:r>
      <w:r w:rsidRPr="002C4077">
        <w:t xml:space="preserve"> </w:t>
      </w:r>
      <w:r>
        <w:t>qu’il</w:t>
      </w:r>
      <w:r w:rsidRPr="002C4077">
        <w:t xml:space="preserve"> </w:t>
      </w:r>
      <w:r>
        <w:t>fût</w:t>
      </w:r>
      <w:r w:rsidRPr="002C4077">
        <w:t xml:space="preserve"> </w:t>
      </w:r>
      <w:r>
        <w:t>permis</w:t>
      </w:r>
      <w:r w:rsidRPr="002C4077">
        <w:t xml:space="preserve"> </w:t>
      </w:r>
      <w:r>
        <w:t>de</w:t>
      </w:r>
      <w:r w:rsidRPr="002C4077">
        <w:t xml:space="preserve"> </w:t>
      </w:r>
      <w:r>
        <w:t>désobéir</w:t>
      </w:r>
      <w:r w:rsidRPr="002C4077">
        <w:t xml:space="preserve"> </w:t>
      </w:r>
      <w:r>
        <w:t>aux</w:t>
      </w:r>
      <w:r w:rsidRPr="002C4077">
        <w:t xml:space="preserve"> </w:t>
      </w:r>
      <w:r>
        <w:t>ordres</w:t>
      </w:r>
      <w:r w:rsidRPr="002C4077">
        <w:t xml:space="preserve"> </w:t>
      </w:r>
      <w:r>
        <w:t>d’un</w:t>
      </w:r>
      <w:r w:rsidRPr="002C4077">
        <w:t xml:space="preserve"> </w:t>
      </w:r>
      <w:r>
        <w:t>roi</w:t>
      </w:r>
      <w:r w:rsidRPr="002C4077">
        <w:t xml:space="preserve"> </w:t>
      </w:r>
      <w:r>
        <w:t>quelconque,</w:t>
      </w:r>
      <w:r w:rsidRPr="002C4077">
        <w:t xml:space="preserve"> </w:t>
      </w:r>
      <w:r>
        <w:t>même</w:t>
      </w:r>
      <w:r w:rsidRPr="002C4077">
        <w:t xml:space="preserve"> </w:t>
      </w:r>
      <w:r>
        <w:t>d’un</w:t>
      </w:r>
      <w:r w:rsidRPr="002C4077">
        <w:t xml:space="preserve"> </w:t>
      </w:r>
      <w:r>
        <w:t>Pharaon</w:t>
      </w:r>
      <w:r w:rsidRPr="002C4077">
        <w:t xml:space="preserve"> </w:t>
      </w:r>
      <w:r>
        <w:t>égyptien.</w:t>
      </w:r>
      <w:r w:rsidRPr="002C4077">
        <w:t xml:space="preserve"> </w:t>
      </w:r>
      <w:r w:rsidR="00B546AF">
        <w:t>« </w:t>
      </w:r>
      <w:r>
        <w:t>Une</w:t>
      </w:r>
      <w:r w:rsidRPr="002C4077">
        <w:t xml:space="preserve"> </w:t>
      </w:r>
      <w:r>
        <w:t>pareille</w:t>
      </w:r>
      <w:r w:rsidRPr="002C4077">
        <w:t xml:space="preserve"> </w:t>
      </w:r>
      <w:r>
        <w:t>note</w:t>
      </w:r>
      <w:r w:rsidRPr="002C4077">
        <w:t xml:space="preserve"> </w:t>
      </w:r>
      <w:r w:rsidR="00425C50">
        <w:t>est</w:t>
      </w:r>
      <w:r w:rsidRPr="002C4077">
        <w:t xml:space="preserve"> </w:t>
      </w:r>
      <w:r>
        <w:t>séditieuse,</w:t>
      </w:r>
      <w:r w:rsidRPr="002C4077">
        <w:t xml:space="preserve"> </w:t>
      </w:r>
      <w:r>
        <w:t>s’écria-t-il</w:t>
      </w:r>
      <w:r w:rsidR="00B546AF">
        <w:t> ;</w:t>
      </w:r>
      <w:r w:rsidRPr="002C4077">
        <w:t xml:space="preserve"> </w:t>
      </w:r>
      <w:r>
        <w:t>je</w:t>
      </w:r>
      <w:r w:rsidRPr="002C4077">
        <w:t xml:space="preserve"> </w:t>
      </w:r>
      <w:r>
        <w:t>ne</w:t>
      </w:r>
      <w:r w:rsidRPr="002C4077">
        <w:t xml:space="preserve"> </w:t>
      </w:r>
      <w:r>
        <w:t>veux</w:t>
      </w:r>
      <w:r w:rsidRPr="002C4077">
        <w:t xml:space="preserve"> </w:t>
      </w:r>
      <w:r>
        <w:t>pas</w:t>
      </w:r>
      <w:r w:rsidRPr="002C4077">
        <w:t xml:space="preserve"> </w:t>
      </w:r>
      <w:r>
        <w:t>qu’elle</w:t>
      </w:r>
      <w:r w:rsidRPr="002C4077">
        <w:t xml:space="preserve"> </w:t>
      </w:r>
      <w:r>
        <w:t>circule</w:t>
      </w:r>
      <w:r w:rsidRPr="002C4077">
        <w:t xml:space="preserve"> </w:t>
      </w:r>
      <w:r>
        <w:t>au</w:t>
      </w:r>
      <w:r w:rsidRPr="002C4077">
        <w:t xml:space="preserve"> </w:t>
      </w:r>
      <w:r>
        <w:t>milieu</w:t>
      </w:r>
      <w:r w:rsidRPr="002C4077">
        <w:t xml:space="preserve"> </w:t>
      </w:r>
      <w:r>
        <w:t>de</w:t>
      </w:r>
      <w:r w:rsidRPr="002C4077">
        <w:t xml:space="preserve"> </w:t>
      </w:r>
      <w:r>
        <w:t>mon</w:t>
      </w:r>
      <w:r w:rsidRPr="002C4077">
        <w:t xml:space="preserve"> </w:t>
      </w:r>
      <w:r>
        <w:t>peuple</w:t>
      </w:r>
      <w:r w:rsidR="00B91AF7">
        <w:rPr>
          <w:rStyle w:val="Appelnotedebasdep"/>
        </w:rPr>
        <w:footnoteReference w:id="626"/>
      </w:r>
      <w:r w:rsidR="00B546AF">
        <w:t> »</w:t>
      </w:r>
      <w:r>
        <w:t>.</w:t>
      </w:r>
      <w:r w:rsidRPr="002C4077">
        <w:t xml:space="preserve"> </w:t>
      </w:r>
      <w:r>
        <w:t>Et</w:t>
      </w:r>
      <w:r w:rsidRPr="002C4077">
        <w:t xml:space="preserve"> </w:t>
      </w:r>
      <w:r>
        <w:t>il</w:t>
      </w:r>
      <w:r w:rsidRPr="002C4077">
        <w:t xml:space="preserve"> </w:t>
      </w:r>
      <w:r>
        <w:t>fit</w:t>
      </w:r>
      <w:r w:rsidRPr="002C4077">
        <w:t xml:space="preserve"> </w:t>
      </w:r>
      <w:r>
        <w:t>réviser</w:t>
      </w:r>
      <w:r w:rsidRPr="002C4077">
        <w:t xml:space="preserve"> </w:t>
      </w:r>
      <w:r>
        <w:t>cette</w:t>
      </w:r>
      <w:r w:rsidRPr="002C4077">
        <w:t xml:space="preserve"> </w:t>
      </w:r>
      <w:r>
        <w:t>Bible</w:t>
      </w:r>
      <w:r w:rsidRPr="002C4077">
        <w:t xml:space="preserve"> </w:t>
      </w:r>
      <w:r>
        <w:t>étrange,</w:t>
      </w:r>
      <w:r w:rsidRPr="002C4077">
        <w:t xml:space="preserve"> </w:t>
      </w:r>
      <w:r>
        <w:t>qui</w:t>
      </w:r>
      <w:r w:rsidRPr="002C4077">
        <w:t xml:space="preserve"> </w:t>
      </w:r>
      <w:r>
        <w:t>devint</w:t>
      </w:r>
      <w:r w:rsidRPr="002C4077">
        <w:t xml:space="preserve"> </w:t>
      </w:r>
      <w:r>
        <w:t>pourtant</w:t>
      </w:r>
      <w:r w:rsidRPr="002C4077">
        <w:t xml:space="preserve"> </w:t>
      </w:r>
      <w:r>
        <w:t>la</w:t>
      </w:r>
      <w:r w:rsidRPr="002C4077">
        <w:t xml:space="preserve"> </w:t>
      </w:r>
      <w:r>
        <w:t>base</w:t>
      </w:r>
      <w:r w:rsidRPr="002C4077">
        <w:t xml:space="preserve"> </w:t>
      </w:r>
      <w:r>
        <w:t>de</w:t>
      </w:r>
      <w:r w:rsidRPr="002C4077">
        <w:t xml:space="preserve"> </w:t>
      </w:r>
      <w:r>
        <w:t>la</w:t>
      </w:r>
      <w:r w:rsidRPr="002C4077">
        <w:t xml:space="preserve"> </w:t>
      </w:r>
      <w:r>
        <w:t>version</w:t>
      </w:r>
      <w:r w:rsidRPr="002C4077">
        <w:t xml:space="preserve"> </w:t>
      </w:r>
      <w:r>
        <w:t>autorisée.</w:t>
      </w:r>
      <w:r w:rsidRPr="002C4077">
        <w:t xml:space="preserve"> </w:t>
      </w:r>
    </w:p>
    <w:p w:rsidR="000A7AAB" w:rsidRDefault="000A7AAB" w:rsidP="000A7AAB">
      <w:r>
        <w:t>Les</w:t>
      </w:r>
      <w:r w:rsidRPr="002C4077">
        <w:t xml:space="preserve"> </w:t>
      </w:r>
      <w:r>
        <w:t>partisans</w:t>
      </w:r>
      <w:r w:rsidRPr="002C4077">
        <w:t xml:space="preserve"> </w:t>
      </w:r>
      <w:r>
        <w:t>d’une</w:t>
      </w:r>
      <w:r w:rsidRPr="002C4077">
        <w:t xml:space="preserve"> </w:t>
      </w:r>
      <w:r>
        <w:t>révision</w:t>
      </w:r>
      <w:r w:rsidRPr="002C4077">
        <w:t xml:space="preserve"> </w:t>
      </w:r>
      <w:r>
        <w:t>nouvelle</w:t>
      </w:r>
      <w:r w:rsidRPr="002C4077">
        <w:t xml:space="preserve"> </w:t>
      </w:r>
      <w:r>
        <w:t>alléguaient</w:t>
      </w:r>
      <w:r w:rsidRPr="002C4077">
        <w:t xml:space="preserve"> </w:t>
      </w:r>
      <w:r>
        <w:t>d’assez</w:t>
      </w:r>
      <w:r w:rsidRPr="002C4077">
        <w:t xml:space="preserve"> </w:t>
      </w:r>
      <w:r>
        <w:t>bonnes</w:t>
      </w:r>
      <w:r w:rsidRPr="002C4077">
        <w:t xml:space="preserve"> </w:t>
      </w:r>
      <w:r>
        <w:t>raisons.</w:t>
      </w:r>
      <w:r w:rsidRPr="002C4077">
        <w:t xml:space="preserve"> </w:t>
      </w:r>
      <w:r>
        <w:t>Un</w:t>
      </w:r>
      <w:r w:rsidRPr="002C4077">
        <w:t xml:space="preserve"> </w:t>
      </w:r>
      <w:r>
        <w:t>grand</w:t>
      </w:r>
      <w:r w:rsidRPr="002C4077">
        <w:t xml:space="preserve"> </w:t>
      </w:r>
      <w:r>
        <w:t>nombre</w:t>
      </w:r>
      <w:r w:rsidRPr="002C4077">
        <w:t xml:space="preserve"> </w:t>
      </w:r>
      <w:r>
        <w:t>d’expressions</w:t>
      </w:r>
      <w:r w:rsidRPr="002C4077">
        <w:t xml:space="preserve"> </w:t>
      </w:r>
      <w:r>
        <w:t>avaient</w:t>
      </w:r>
      <w:r w:rsidRPr="002C4077">
        <w:t xml:space="preserve"> </w:t>
      </w:r>
      <w:r>
        <w:t>bien</w:t>
      </w:r>
      <w:r w:rsidRPr="002C4077">
        <w:t xml:space="preserve"> </w:t>
      </w:r>
      <w:r>
        <w:t>vieilli</w:t>
      </w:r>
      <w:r w:rsidRPr="002C4077">
        <w:t xml:space="preserve"> </w:t>
      </w:r>
      <w:r>
        <w:t>depuis</w:t>
      </w:r>
      <w:r w:rsidRPr="002C4077">
        <w:t xml:space="preserve"> </w:t>
      </w:r>
      <w:r>
        <w:t>trois</w:t>
      </w:r>
      <w:r w:rsidRPr="002C4077">
        <w:t xml:space="preserve"> </w:t>
      </w:r>
      <w:r>
        <w:t>siècles</w:t>
      </w:r>
      <w:r w:rsidR="00B546AF">
        <w:t> ;</w:t>
      </w:r>
      <w:r w:rsidRPr="002C4077">
        <w:t xml:space="preserve"> </w:t>
      </w:r>
      <w:r>
        <w:t>plusieurs</w:t>
      </w:r>
      <w:r w:rsidRPr="002C4077">
        <w:t xml:space="preserve"> </w:t>
      </w:r>
      <w:r>
        <w:t>même</w:t>
      </w:r>
      <w:r w:rsidRPr="002C4077">
        <w:t xml:space="preserve"> </w:t>
      </w:r>
      <w:r>
        <w:t>étaient</w:t>
      </w:r>
      <w:r w:rsidRPr="002C4077">
        <w:t xml:space="preserve"> </w:t>
      </w:r>
      <w:r>
        <w:t>devenues</w:t>
      </w:r>
      <w:r w:rsidRPr="002C4077">
        <w:t xml:space="preserve"> </w:t>
      </w:r>
      <w:r>
        <w:t>tout</w:t>
      </w:r>
      <w:r w:rsidRPr="002C4077">
        <w:t xml:space="preserve"> </w:t>
      </w:r>
      <w:r>
        <w:t>à</w:t>
      </w:r>
      <w:r w:rsidRPr="002C4077">
        <w:t xml:space="preserve"> </w:t>
      </w:r>
      <w:r>
        <w:t>fait</w:t>
      </w:r>
      <w:r w:rsidRPr="002C4077">
        <w:t xml:space="preserve"> </w:t>
      </w:r>
      <w:r>
        <w:t>obscures,</w:t>
      </w:r>
      <w:r w:rsidRPr="002C4077">
        <w:t xml:space="preserve"> </w:t>
      </w:r>
      <w:r>
        <w:t>parfois</w:t>
      </w:r>
      <w:r w:rsidRPr="002C4077">
        <w:t xml:space="preserve"> </w:t>
      </w:r>
      <w:r>
        <w:t>inintelligible</w:t>
      </w:r>
      <w:r w:rsidR="004377BC">
        <w:t>s</w:t>
      </w:r>
      <w:r w:rsidR="004377BC">
        <w:rPr>
          <w:rStyle w:val="Appelnotedebasdep"/>
        </w:rPr>
        <w:footnoteReference w:id="627"/>
      </w:r>
      <w:r w:rsidR="00B546AF">
        <w:t> :</w:t>
      </w:r>
      <w:r w:rsidRPr="002C4077">
        <w:t xml:space="preserve"> </w:t>
      </w:r>
      <w:r>
        <w:t>n’était-il</w:t>
      </w:r>
      <w:r w:rsidRPr="002C4077">
        <w:t xml:space="preserve"> </w:t>
      </w:r>
      <w:r>
        <w:t>pas</w:t>
      </w:r>
      <w:r w:rsidRPr="002C4077">
        <w:t xml:space="preserve"> </w:t>
      </w:r>
      <w:r>
        <w:t>nécessaire</w:t>
      </w:r>
      <w:r w:rsidRPr="002C4077">
        <w:t xml:space="preserve"> </w:t>
      </w:r>
      <w:r>
        <w:t>de</w:t>
      </w:r>
      <w:r w:rsidRPr="002C4077">
        <w:t xml:space="preserve"> </w:t>
      </w:r>
      <w:r>
        <w:t>les</w:t>
      </w:r>
      <w:r w:rsidRPr="002C4077">
        <w:t xml:space="preserve"> </w:t>
      </w:r>
      <w:r>
        <w:t>changer</w:t>
      </w:r>
      <w:r w:rsidR="00B546AF">
        <w:t> ?</w:t>
      </w:r>
      <w:r w:rsidRPr="002C4077">
        <w:t xml:space="preserve"> </w:t>
      </w:r>
      <w:r>
        <w:t>Durant</w:t>
      </w:r>
      <w:r w:rsidRPr="002C4077">
        <w:t xml:space="preserve"> </w:t>
      </w:r>
      <w:r>
        <w:t>ce</w:t>
      </w:r>
      <w:r w:rsidRPr="002C4077">
        <w:t xml:space="preserve"> </w:t>
      </w:r>
      <w:r>
        <w:t>même</w:t>
      </w:r>
      <w:r w:rsidRPr="002C4077">
        <w:t xml:space="preserve"> </w:t>
      </w:r>
      <w:r>
        <w:t>intervalle,</w:t>
      </w:r>
      <w:r w:rsidRPr="002C4077">
        <w:t xml:space="preserve"> </w:t>
      </w:r>
      <w:r>
        <w:t>quels</w:t>
      </w:r>
      <w:r w:rsidRPr="002C4077">
        <w:t xml:space="preserve"> </w:t>
      </w:r>
      <w:r>
        <w:t>progrès</w:t>
      </w:r>
      <w:r w:rsidRPr="002C4077">
        <w:t xml:space="preserve"> </w:t>
      </w:r>
      <w:r>
        <w:t>n’a-t-on</w:t>
      </w:r>
      <w:r w:rsidRPr="002C4077">
        <w:t xml:space="preserve"> </w:t>
      </w:r>
      <w:r>
        <w:lastRenderedPageBreak/>
        <w:t>pas</w:t>
      </w:r>
      <w:r w:rsidRPr="002C4077">
        <w:t xml:space="preserve"> </w:t>
      </w:r>
      <w:r>
        <w:t>fai</w:t>
      </w:r>
      <w:r w:rsidR="00A07373">
        <w:t>ts</w:t>
      </w:r>
      <w:r w:rsidR="00A07373" w:rsidRPr="002C4077">
        <w:t xml:space="preserve"> </w:t>
      </w:r>
      <w:r w:rsidR="00A07373">
        <w:t>dans</w:t>
      </w:r>
      <w:r w:rsidR="00A07373" w:rsidRPr="002C4077">
        <w:t xml:space="preserve"> </w:t>
      </w:r>
      <w:r w:rsidR="00A07373">
        <w:t>la</w:t>
      </w:r>
      <w:r w:rsidR="00A07373" w:rsidRPr="002C4077">
        <w:t xml:space="preserve"> </w:t>
      </w:r>
      <w:r w:rsidR="00A07373">
        <w:t>connaissance</w:t>
      </w:r>
      <w:r w:rsidR="00A07373" w:rsidRPr="002C4077">
        <w:t xml:space="preserve"> </w:t>
      </w:r>
      <w:r w:rsidR="00A07373">
        <w:t>du</w:t>
      </w:r>
      <w:r w:rsidR="00A07373" w:rsidRPr="002C4077">
        <w:t xml:space="preserve"> </w:t>
      </w:r>
      <w:r w:rsidR="00A07373">
        <w:t>grec !</w:t>
      </w:r>
      <w:r w:rsidRPr="002C4077">
        <w:t xml:space="preserve"> </w:t>
      </w:r>
      <w:r>
        <w:t>Ceux</w:t>
      </w:r>
      <w:r w:rsidRPr="002C4077">
        <w:t xml:space="preserve"> </w:t>
      </w:r>
      <w:r>
        <w:t>de</w:t>
      </w:r>
      <w:r w:rsidRPr="002C4077">
        <w:t xml:space="preserve"> </w:t>
      </w:r>
      <w:r>
        <w:t>la</w:t>
      </w:r>
      <w:r w:rsidRPr="002C4077">
        <w:t xml:space="preserve"> </w:t>
      </w:r>
      <w:r>
        <w:t>critique,</w:t>
      </w:r>
      <w:r w:rsidRPr="002C4077">
        <w:t xml:space="preserve"> </w:t>
      </w:r>
      <w:r>
        <w:t>favorisés</w:t>
      </w:r>
      <w:r w:rsidRPr="002C4077">
        <w:t xml:space="preserve"> </w:t>
      </w:r>
      <w:r>
        <w:t>parla</w:t>
      </w:r>
      <w:r w:rsidRPr="002C4077">
        <w:t xml:space="preserve"> </w:t>
      </w:r>
      <w:r>
        <w:t>découverte</w:t>
      </w:r>
      <w:r w:rsidRPr="002C4077">
        <w:t xml:space="preserve"> </w:t>
      </w:r>
      <w:r>
        <w:t>de</w:t>
      </w:r>
      <w:r w:rsidRPr="002C4077">
        <w:t xml:space="preserve"> </w:t>
      </w:r>
      <w:r>
        <w:t>manuscrits</w:t>
      </w:r>
      <w:r w:rsidRPr="002C4077">
        <w:t xml:space="preserve"> </w:t>
      </w:r>
      <w:r>
        <w:t>inappréciables,</w:t>
      </w:r>
      <w:r w:rsidRPr="002C4077">
        <w:t xml:space="preserve"> </w:t>
      </w:r>
      <w:r>
        <w:t>n’ont</w:t>
      </w:r>
      <w:r w:rsidRPr="002C4077">
        <w:t xml:space="preserve"> </w:t>
      </w:r>
      <w:r>
        <w:t>pas</w:t>
      </w:r>
      <w:r w:rsidRPr="002C4077">
        <w:t xml:space="preserve"> </w:t>
      </w:r>
      <w:r>
        <w:t>été</w:t>
      </w:r>
      <w:r w:rsidRPr="002C4077">
        <w:t xml:space="preserve"> </w:t>
      </w:r>
      <w:r>
        <w:t>moindres.</w:t>
      </w:r>
      <w:r w:rsidRPr="002C4077">
        <w:t xml:space="preserve"> </w:t>
      </w:r>
      <w:r>
        <w:t>Ne</w:t>
      </w:r>
      <w:r w:rsidRPr="002C4077">
        <w:t xml:space="preserve"> </w:t>
      </w:r>
      <w:r>
        <w:t>devait-on</w:t>
      </w:r>
      <w:r w:rsidRPr="002C4077">
        <w:t xml:space="preserve"> </w:t>
      </w:r>
      <w:r>
        <w:t>point</w:t>
      </w:r>
      <w:r w:rsidRPr="002C4077">
        <w:t xml:space="preserve"> </w:t>
      </w:r>
      <w:r>
        <w:t>profiter</w:t>
      </w:r>
      <w:r w:rsidRPr="002C4077">
        <w:t xml:space="preserve"> </w:t>
      </w:r>
      <w:r>
        <w:t>d’améliorations</w:t>
      </w:r>
      <w:r w:rsidRPr="002C4077">
        <w:t xml:space="preserve"> </w:t>
      </w:r>
      <w:r>
        <w:t>si</w:t>
      </w:r>
      <w:r w:rsidRPr="002C4077">
        <w:t xml:space="preserve"> </w:t>
      </w:r>
      <w:r>
        <w:t>heureuses</w:t>
      </w:r>
      <w:r w:rsidR="00B546AF">
        <w:t> ?</w:t>
      </w:r>
      <w:r w:rsidRPr="002C4077">
        <w:t xml:space="preserve"> </w:t>
      </w:r>
    </w:p>
    <w:p w:rsidR="000A7AAB" w:rsidRDefault="000A7AAB" w:rsidP="000A7AAB">
      <w:r>
        <w:t>Et</w:t>
      </w:r>
      <w:r w:rsidRPr="002C4077">
        <w:t xml:space="preserve"> </w:t>
      </w:r>
      <w:r>
        <w:t>pourtant,</w:t>
      </w:r>
      <w:r w:rsidRPr="002C4077">
        <w:t xml:space="preserve"> </w:t>
      </w:r>
      <w:r>
        <w:t>ceux-là</w:t>
      </w:r>
      <w:r w:rsidRPr="002C4077">
        <w:t xml:space="preserve"> </w:t>
      </w:r>
      <w:r>
        <w:t>même</w:t>
      </w:r>
      <w:r w:rsidRPr="002C4077">
        <w:t xml:space="preserve"> </w:t>
      </w:r>
      <w:r>
        <w:t>qui</w:t>
      </w:r>
      <w:r w:rsidRPr="002C4077">
        <w:t xml:space="preserve"> </w:t>
      </w:r>
      <w:r>
        <w:t>désiraient</w:t>
      </w:r>
      <w:r w:rsidRPr="002C4077">
        <w:t xml:space="preserve"> </w:t>
      </w:r>
      <w:r>
        <w:t>la</w:t>
      </w:r>
      <w:r w:rsidRPr="002C4077">
        <w:t xml:space="preserve"> </w:t>
      </w:r>
      <w:r>
        <w:t>révision</w:t>
      </w:r>
      <w:r w:rsidRPr="002C4077">
        <w:t xml:space="preserve"> </w:t>
      </w:r>
      <w:r>
        <w:t>voulaient</w:t>
      </w:r>
      <w:r w:rsidRPr="002C4077">
        <w:t xml:space="preserve"> </w:t>
      </w:r>
      <w:r>
        <w:t>qu’elle</w:t>
      </w:r>
      <w:r w:rsidRPr="002C4077">
        <w:t xml:space="preserve"> </w:t>
      </w:r>
      <w:r>
        <w:t>fût</w:t>
      </w:r>
      <w:r w:rsidRPr="002C4077">
        <w:t xml:space="preserve"> </w:t>
      </w:r>
      <w:r>
        <w:t>accomplie</w:t>
      </w:r>
      <w:r w:rsidRPr="002C4077">
        <w:t xml:space="preserve"> </w:t>
      </w:r>
      <w:r>
        <w:t>avec</w:t>
      </w:r>
      <w:r w:rsidRPr="002C4077">
        <w:t xml:space="preserve"> </w:t>
      </w:r>
      <w:r>
        <w:t>la</w:t>
      </w:r>
      <w:r w:rsidRPr="002C4077">
        <w:t xml:space="preserve"> </w:t>
      </w:r>
      <w:r>
        <w:t>plus</w:t>
      </w:r>
      <w:r w:rsidRPr="002C4077">
        <w:t xml:space="preserve"> </w:t>
      </w:r>
      <w:r>
        <w:t>exquise</w:t>
      </w:r>
      <w:r w:rsidRPr="002C4077">
        <w:t xml:space="preserve"> </w:t>
      </w:r>
      <w:r>
        <w:t>délic</w:t>
      </w:r>
      <w:r w:rsidR="006E7907">
        <w:t>atesse.</w:t>
      </w:r>
      <w:r w:rsidR="006E7907" w:rsidRPr="002C4077">
        <w:t xml:space="preserve"> </w:t>
      </w:r>
      <w:r w:rsidR="006E7907">
        <w:t>Ils</w:t>
      </w:r>
      <w:r w:rsidR="006E7907" w:rsidRPr="002C4077">
        <w:t xml:space="preserve"> </w:t>
      </w:r>
      <w:r w:rsidR="006E7907">
        <w:t>espéraient</w:t>
      </w:r>
      <w:r w:rsidR="006E7907" w:rsidRPr="002C4077">
        <w:t xml:space="preserve"> </w:t>
      </w:r>
      <w:r w:rsidR="006E7907">
        <w:t>bien</w:t>
      </w:r>
      <w:r w:rsidR="006E7907" w:rsidRPr="002C4077">
        <w:t xml:space="preserve"> </w:t>
      </w:r>
      <w:r w:rsidR="006E7907">
        <w:t>qu’</w:t>
      </w:r>
      <w:r w:rsidR="00B546AF">
        <w:t>« </w:t>
      </w:r>
      <w:r>
        <w:t>on</w:t>
      </w:r>
      <w:r w:rsidRPr="002C4077">
        <w:t xml:space="preserve"> </w:t>
      </w:r>
      <w:r>
        <w:t>ne</w:t>
      </w:r>
      <w:r w:rsidRPr="002C4077">
        <w:t xml:space="preserve"> </w:t>
      </w:r>
      <w:r>
        <w:t>toucherait</w:t>
      </w:r>
      <w:r w:rsidRPr="002C4077">
        <w:t xml:space="preserve"> </w:t>
      </w:r>
      <w:r>
        <w:t>qu’avec</w:t>
      </w:r>
      <w:r w:rsidRPr="002C4077">
        <w:t xml:space="preserve"> </w:t>
      </w:r>
      <w:r>
        <w:t>respect</w:t>
      </w:r>
      <w:r w:rsidRPr="002C4077">
        <w:t xml:space="preserve"> </w:t>
      </w:r>
      <w:r>
        <w:t>et</w:t>
      </w:r>
      <w:r w:rsidRPr="002C4077">
        <w:t xml:space="preserve"> </w:t>
      </w:r>
      <w:r>
        <w:t>tendresse</w:t>
      </w:r>
      <w:r w:rsidRPr="002C4077">
        <w:t xml:space="preserve"> </w:t>
      </w:r>
      <w:r>
        <w:t>à</w:t>
      </w:r>
      <w:r w:rsidRPr="002C4077">
        <w:t xml:space="preserve"> </w:t>
      </w:r>
      <w:r>
        <w:t>la</w:t>
      </w:r>
      <w:r w:rsidRPr="002C4077">
        <w:t xml:space="preserve"> </w:t>
      </w:r>
      <w:r>
        <w:t>version</w:t>
      </w:r>
      <w:r w:rsidRPr="002C4077">
        <w:t xml:space="preserve"> </w:t>
      </w:r>
      <w:r>
        <w:t>autorisée,</w:t>
      </w:r>
      <w:r w:rsidRPr="002C4077">
        <w:t xml:space="preserve"> </w:t>
      </w:r>
      <w:r>
        <w:t>ne</w:t>
      </w:r>
      <w:r w:rsidRPr="002C4077">
        <w:t xml:space="preserve"> </w:t>
      </w:r>
      <w:r>
        <w:t>dérangeant</w:t>
      </w:r>
      <w:r w:rsidRPr="002C4077">
        <w:t xml:space="preserve"> </w:t>
      </w:r>
      <w:r>
        <w:t>un</w:t>
      </w:r>
      <w:r w:rsidRPr="002C4077">
        <w:t xml:space="preserve"> </w:t>
      </w:r>
      <w:r>
        <w:t>mot</w:t>
      </w:r>
      <w:r w:rsidRPr="002C4077">
        <w:t xml:space="preserve"> </w:t>
      </w:r>
      <w:r>
        <w:t>qu’à</w:t>
      </w:r>
      <w:r w:rsidRPr="002C4077">
        <w:t xml:space="preserve"> </w:t>
      </w:r>
      <w:r>
        <w:t>regret,</w:t>
      </w:r>
      <w:r w:rsidRPr="002C4077">
        <w:t xml:space="preserve"> </w:t>
      </w:r>
      <w:r>
        <w:t>et,</w:t>
      </w:r>
      <w:r w:rsidRPr="002C4077">
        <w:t xml:space="preserve"> </w:t>
      </w:r>
      <w:r>
        <w:t>dans</w:t>
      </w:r>
      <w:r w:rsidRPr="002C4077">
        <w:t xml:space="preserve"> </w:t>
      </w:r>
      <w:r>
        <w:t>ce</w:t>
      </w:r>
      <w:r w:rsidRPr="002C4077">
        <w:t xml:space="preserve"> </w:t>
      </w:r>
      <w:r>
        <w:t>cas,</w:t>
      </w:r>
      <w:r w:rsidRPr="002C4077">
        <w:t xml:space="preserve"> </w:t>
      </w:r>
      <w:r>
        <w:t>essayant</w:t>
      </w:r>
      <w:r w:rsidRPr="002C4077">
        <w:t xml:space="preserve"> </w:t>
      </w:r>
      <w:r>
        <w:t>de</w:t>
      </w:r>
      <w:r w:rsidRPr="002C4077">
        <w:t xml:space="preserve"> </w:t>
      </w:r>
      <w:r>
        <w:t>le</w:t>
      </w:r>
      <w:r w:rsidRPr="002C4077">
        <w:t xml:space="preserve"> </w:t>
      </w:r>
      <w:r>
        <w:t>remplacer</w:t>
      </w:r>
      <w:r w:rsidRPr="002C4077">
        <w:t xml:space="preserve"> </w:t>
      </w:r>
      <w:r>
        <w:t>par</w:t>
      </w:r>
      <w:r w:rsidRPr="002C4077">
        <w:t xml:space="preserve"> </w:t>
      </w:r>
      <w:r>
        <w:t>un</w:t>
      </w:r>
      <w:r w:rsidRPr="002C4077">
        <w:t xml:space="preserve"> </w:t>
      </w:r>
      <w:r>
        <w:t>autre</w:t>
      </w:r>
      <w:r w:rsidRPr="002C4077">
        <w:t xml:space="preserve"> </w:t>
      </w:r>
      <w:r>
        <w:t>qui</w:t>
      </w:r>
      <w:r w:rsidRPr="002C4077">
        <w:t xml:space="preserve"> </w:t>
      </w:r>
      <w:r>
        <w:t>serait</w:t>
      </w:r>
      <w:r w:rsidRPr="002C4077">
        <w:t xml:space="preserve"> </w:t>
      </w:r>
      <w:r>
        <w:t>autant</w:t>
      </w:r>
      <w:r w:rsidRPr="002C4077">
        <w:t xml:space="preserve"> </w:t>
      </w:r>
      <w:r>
        <w:t>que</w:t>
      </w:r>
      <w:r w:rsidRPr="002C4077">
        <w:t xml:space="preserve"> </w:t>
      </w:r>
      <w:r>
        <w:t>possible</w:t>
      </w:r>
      <w:r w:rsidRPr="002C4077">
        <w:t xml:space="preserve"> </w:t>
      </w:r>
      <w:r>
        <w:t>de</w:t>
      </w:r>
      <w:r w:rsidRPr="002C4077">
        <w:t xml:space="preserve"> </w:t>
      </w:r>
      <w:r>
        <w:t>la</w:t>
      </w:r>
      <w:r w:rsidRPr="002C4077">
        <w:t xml:space="preserve"> </w:t>
      </w:r>
      <w:r>
        <w:t>même</w:t>
      </w:r>
      <w:r w:rsidRPr="002C4077">
        <w:t xml:space="preserve"> </w:t>
      </w:r>
      <w:r>
        <w:t>trempe</w:t>
      </w:r>
      <w:r w:rsidRPr="002C4077">
        <w:t xml:space="preserve"> </w:t>
      </w:r>
      <w:r>
        <w:t>que</w:t>
      </w:r>
      <w:r w:rsidRPr="002C4077">
        <w:t xml:space="preserve"> </w:t>
      </w:r>
      <w:r>
        <w:t>l’ancien</w:t>
      </w:r>
      <w:r w:rsidR="00B91AF7">
        <w:rPr>
          <w:rStyle w:val="Appelnotedebasdep"/>
        </w:rPr>
        <w:footnoteReference w:id="628"/>
      </w:r>
      <w:r w:rsidR="00B546AF">
        <w:t> »</w:t>
      </w:r>
      <w:r>
        <w:t>.</w:t>
      </w:r>
      <w:r w:rsidR="00C45B47">
        <w:t xml:space="preserve"> {</w:t>
      </w:r>
      <w:r w:rsidR="00B53529">
        <w:t>187</w:t>
      </w:r>
      <w:bookmarkStart w:id="479" w:name="p187"/>
      <w:bookmarkEnd w:id="479"/>
      <w:r w:rsidR="00B53529">
        <w:t xml:space="preserve">} </w:t>
      </w:r>
      <w:r>
        <w:t>Ils</w:t>
      </w:r>
      <w:r w:rsidRPr="002C4077">
        <w:t xml:space="preserve"> </w:t>
      </w:r>
      <w:r>
        <w:t>se</w:t>
      </w:r>
      <w:r w:rsidRPr="002C4077">
        <w:t xml:space="preserve"> </w:t>
      </w:r>
      <w:r>
        <w:t>préparaient</w:t>
      </w:r>
      <w:r w:rsidRPr="002C4077">
        <w:t xml:space="preserve"> </w:t>
      </w:r>
      <w:r>
        <w:t>d’avance</w:t>
      </w:r>
      <w:r w:rsidRPr="002C4077">
        <w:t xml:space="preserve"> </w:t>
      </w:r>
      <w:r>
        <w:t>au</w:t>
      </w:r>
      <w:r w:rsidRPr="002C4077">
        <w:t xml:space="preserve"> </w:t>
      </w:r>
      <w:r>
        <w:t>sacrifice.</w:t>
      </w:r>
      <w:r w:rsidRPr="002C4077">
        <w:t xml:space="preserve"> </w:t>
      </w:r>
      <w:r w:rsidR="00B546AF">
        <w:t>« </w:t>
      </w:r>
      <w:r>
        <w:t>Je</w:t>
      </w:r>
      <w:r w:rsidRPr="002C4077">
        <w:t xml:space="preserve"> </w:t>
      </w:r>
      <w:r>
        <w:t>m’attends</w:t>
      </w:r>
      <w:r w:rsidRPr="002C4077">
        <w:t xml:space="preserve"> </w:t>
      </w:r>
      <w:r>
        <w:t>à</w:t>
      </w:r>
      <w:r w:rsidRPr="002C4077">
        <w:t xml:space="preserve"> </w:t>
      </w:r>
      <w:r>
        <w:t>ce</w:t>
      </w:r>
      <w:r w:rsidRPr="002C4077">
        <w:t xml:space="preserve"> </w:t>
      </w:r>
      <w:r>
        <w:t>que</w:t>
      </w:r>
      <w:r w:rsidRPr="002C4077">
        <w:t xml:space="preserve"> </w:t>
      </w:r>
      <w:r>
        <w:t>le</w:t>
      </w:r>
      <w:r w:rsidRPr="002C4077">
        <w:t xml:space="preserve"> </w:t>
      </w:r>
      <w:r>
        <w:t>déplacement</w:t>
      </w:r>
      <w:r w:rsidRPr="002C4077">
        <w:t xml:space="preserve"> </w:t>
      </w:r>
      <w:r>
        <w:t>d’une</w:t>
      </w:r>
      <w:r w:rsidRPr="002C4077">
        <w:t xml:space="preserve"> </w:t>
      </w:r>
      <w:r>
        <w:t>seule</w:t>
      </w:r>
      <w:r w:rsidRPr="002C4077">
        <w:t xml:space="preserve"> </w:t>
      </w:r>
      <w:r>
        <w:t>expression</w:t>
      </w:r>
      <w:r w:rsidRPr="002C4077">
        <w:t xml:space="preserve"> </w:t>
      </w:r>
      <w:r>
        <w:t>dans</w:t>
      </w:r>
      <w:r w:rsidRPr="002C4077">
        <w:t xml:space="preserve"> </w:t>
      </w:r>
      <w:r>
        <w:t>les</w:t>
      </w:r>
      <w:r w:rsidRPr="002C4077">
        <w:t xml:space="preserve"> </w:t>
      </w:r>
      <w:r>
        <w:t>passages</w:t>
      </w:r>
      <w:r w:rsidRPr="002C4077">
        <w:t xml:space="preserve"> </w:t>
      </w:r>
      <w:r>
        <w:t>familiers</w:t>
      </w:r>
      <w:r w:rsidRPr="002C4077">
        <w:t xml:space="preserve"> </w:t>
      </w:r>
      <w:r>
        <w:t>produise</w:t>
      </w:r>
      <w:r w:rsidRPr="002C4077">
        <w:t xml:space="preserve"> </w:t>
      </w:r>
      <w:r>
        <w:t>un</w:t>
      </w:r>
      <w:r w:rsidRPr="002C4077">
        <w:t xml:space="preserve"> </w:t>
      </w:r>
      <w:r>
        <w:t>bruit</w:t>
      </w:r>
      <w:r w:rsidRPr="002C4077">
        <w:t xml:space="preserve"> </w:t>
      </w:r>
      <w:r>
        <w:t>discordant</w:t>
      </w:r>
      <w:r w:rsidRPr="002C4077">
        <w:t xml:space="preserve"> </w:t>
      </w:r>
      <w:r>
        <w:t>à</w:t>
      </w:r>
      <w:r w:rsidRPr="002C4077">
        <w:t xml:space="preserve"> </w:t>
      </w:r>
      <w:r>
        <w:t>mes</w:t>
      </w:r>
      <w:r w:rsidRPr="002C4077">
        <w:t xml:space="preserve"> </w:t>
      </w:r>
      <w:r>
        <w:t>oreilles,</w:t>
      </w:r>
      <w:r w:rsidRPr="002C4077">
        <w:t xml:space="preserve"> </w:t>
      </w:r>
      <w:r>
        <w:t>et</w:t>
      </w:r>
      <w:r w:rsidRPr="002C4077">
        <w:t xml:space="preserve"> </w:t>
      </w:r>
      <w:r>
        <w:t>à</w:t>
      </w:r>
      <w:r w:rsidRPr="002C4077">
        <w:t xml:space="preserve"> </w:t>
      </w:r>
      <w:r>
        <w:t>ce</w:t>
      </w:r>
      <w:r w:rsidRPr="002C4077">
        <w:t xml:space="preserve"> </w:t>
      </w:r>
      <w:r>
        <w:t>que</w:t>
      </w:r>
      <w:r w:rsidRPr="002C4077">
        <w:t xml:space="preserve"> </w:t>
      </w:r>
      <w:r>
        <w:t>la</w:t>
      </w:r>
      <w:r w:rsidRPr="002C4077">
        <w:t xml:space="preserve"> </w:t>
      </w:r>
      <w:r>
        <w:t>lecture</w:t>
      </w:r>
      <w:r w:rsidRPr="002C4077">
        <w:t xml:space="preserve"> </w:t>
      </w:r>
      <w:r>
        <w:t>de</w:t>
      </w:r>
      <w:r w:rsidRPr="002C4077">
        <w:t xml:space="preserve"> </w:t>
      </w:r>
      <w:r>
        <w:t>la</w:t>
      </w:r>
      <w:r w:rsidRPr="002C4077">
        <w:t xml:space="preserve"> </w:t>
      </w:r>
      <w:r>
        <w:t>nouvelle</w:t>
      </w:r>
      <w:r w:rsidRPr="002C4077">
        <w:t xml:space="preserve"> </w:t>
      </w:r>
      <w:r>
        <w:t>version,</w:t>
      </w:r>
      <w:r w:rsidRPr="002C4077">
        <w:t xml:space="preserve"> </w:t>
      </w:r>
      <w:r>
        <w:t>quand</w:t>
      </w:r>
      <w:r w:rsidRPr="002C4077">
        <w:t xml:space="preserve"> </w:t>
      </w:r>
      <w:r>
        <w:t>elle</w:t>
      </w:r>
      <w:r w:rsidRPr="002C4077">
        <w:t xml:space="preserve"> </w:t>
      </w:r>
      <w:r>
        <w:t>aura</w:t>
      </w:r>
      <w:r w:rsidRPr="002C4077">
        <w:t xml:space="preserve"> </w:t>
      </w:r>
      <w:r>
        <w:t>lieu</w:t>
      </w:r>
      <w:r w:rsidRPr="002C4077">
        <w:t xml:space="preserve"> </w:t>
      </w:r>
      <w:r>
        <w:t>à</w:t>
      </w:r>
      <w:r w:rsidRPr="002C4077">
        <w:t xml:space="preserve"> </w:t>
      </w:r>
      <w:r>
        <w:t>haute</w:t>
      </w:r>
      <w:r w:rsidRPr="002C4077">
        <w:t xml:space="preserve"> </w:t>
      </w:r>
      <w:r>
        <w:t>voix,</w:t>
      </w:r>
      <w:r w:rsidRPr="002C4077">
        <w:t xml:space="preserve"> </w:t>
      </w:r>
      <w:r>
        <w:t>me</w:t>
      </w:r>
      <w:r w:rsidRPr="002C4077">
        <w:t xml:space="preserve"> </w:t>
      </w:r>
      <w:r>
        <w:t>fasse</w:t>
      </w:r>
      <w:r w:rsidRPr="002C4077">
        <w:t xml:space="preserve"> </w:t>
      </w:r>
      <w:r>
        <w:t>ressentir</w:t>
      </w:r>
      <w:r w:rsidRPr="002C4077">
        <w:t xml:space="preserve"> </w:t>
      </w:r>
      <w:r>
        <w:t>une</w:t>
      </w:r>
      <w:r w:rsidRPr="002C4077">
        <w:t xml:space="preserve"> </w:t>
      </w:r>
      <w:r>
        <w:t>succession</w:t>
      </w:r>
      <w:r w:rsidRPr="002C4077">
        <w:t xml:space="preserve"> </w:t>
      </w:r>
      <w:r>
        <w:t>de</w:t>
      </w:r>
      <w:r w:rsidRPr="002C4077">
        <w:t xml:space="preserve"> </w:t>
      </w:r>
      <w:r>
        <w:t>perpétuelles</w:t>
      </w:r>
      <w:r w:rsidRPr="002C4077">
        <w:t xml:space="preserve"> </w:t>
      </w:r>
      <w:r>
        <w:t>secousses,</w:t>
      </w:r>
      <w:r w:rsidRPr="002C4077">
        <w:t xml:space="preserve"> </w:t>
      </w:r>
      <w:r>
        <w:t>quand</w:t>
      </w:r>
      <w:r w:rsidRPr="002C4077">
        <w:t xml:space="preserve"> </w:t>
      </w:r>
      <w:r>
        <w:t>un</w:t>
      </w:r>
      <w:r w:rsidRPr="002C4077">
        <w:t xml:space="preserve"> </w:t>
      </w:r>
      <w:r>
        <w:t>mot</w:t>
      </w:r>
      <w:r w:rsidRPr="002C4077">
        <w:t xml:space="preserve"> </w:t>
      </w:r>
      <w:r>
        <w:t>étranger</w:t>
      </w:r>
      <w:r w:rsidRPr="002C4077">
        <w:t xml:space="preserve"> </w:t>
      </w:r>
      <w:r>
        <w:t>aura</w:t>
      </w:r>
      <w:r w:rsidRPr="002C4077">
        <w:t xml:space="preserve"> </w:t>
      </w:r>
      <w:r>
        <w:t>été</w:t>
      </w:r>
      <w:r w:rsidRPr="002C4077">
        <w:t xml:space="preserve"> </w:t>
      </w:r>
      <w:r>
        <w:t>substitué</w:t>
      </w:r>
      <w:r w:rsidRPr="002C4077">
        <w:t xml:space="preserve"> </w:t>
      </w:r>
      <w:r>
        <w:t>à</w:t>
      </w:r>
      <w:r w:rsidRPr="002C4077">
        <w:t xml:space="preserve"> </w:t>
      </w:r>
      <w:r w:rsidR="003B53FD">
        <w:t>celui</w:t>
      </w:r>
      <w:r w:rsidRPr="002C4077">
        <w:t xml:space="preserve"> </w:t>
      </w:r>
      <w:r>
        <w:t>auquel</w:t>
      </w:r>
      <w:r w:rsidRPr="002C4077">
        <w:t xml:space="preserve"> </w:t>
      </w:r>
      <w:r>
        <w:t>je</w:t>
      </w:r>
      <w:r w:rsidRPr="002C4077">
        <w:t xml:space="preserve"> </w:t>
      </w:r>
      <w:r>
        <w:t>m’attendrai</w:t>
      </w:r>
      <w:r w:rsidR="00B91AF7">
        <w:rPr>
          <w:rStyle w:val="Appelnotedebasdep"/>
        </w:rPr>
        <w:footnoteReference w:id="629"/>
      </w:r>
      <w:r w:rsidR="00B546AF">
        <w:t> »</w:t>
      </w:r>
      <w:r>
        <w:t>.</w:t>
      </w:r>
      <w:r w:rsidRPr="002C4077">
        <w:t xml:space="preserve"> </w:t>
      </w:r>
    </w:p>
    <w:p w:rsidR="000A7AAB" w:rsidRDefault="000A7AAB" w:rsidP="000A7AAB">
      <w:r>
        <w:t>Chacun</w:t>
      </w:r>
      <w:r w:rsidRPr="002C4077">
        <w:t xml:space="preserve"> </w:t>
      </w:r>
      <w:r>
        <w:t>raisonnait</w:t>
      </w:r>
      <w:r w:rsidRPr="002C4077">
        <w:t xml:space="preserve"> </w:t>
      </w:r>
      <w:r>
        <w:t>donc</w:t>
      </w:r>
      <w:r w:rsidRPr="002C4077">
        <w:t xml:space="preserve"> </w:t>
      </w:r>
      <w:r>
        <w:t>à</w:t>
      </w:r>
      <w:r w:rsidRPr="002C4077">
        <w:t xml:space="preserve"> </w:t>
      </w:r>
      <w:r>
        <w:t>sa</w:t>
      </w:r>
      <w:r w:rsidRPr="002C4077">
        <w:t xml:space="preserve"> </w:t>
      </w:r>
      <w:r>
        <w:t>manière,</w:t>
      </w:r>
      <w:r w:rsidRPr="002C4077">
        <w:t xml:space="preserve"> </w:t>
      </w:r>
      <w:r>
        <w:t>et</w:t>
      </w:r>
      <w:r w:rsidRPr="002C4077">
        <w:t xml:space="preserve"> </w:t>
      </w:r>
      <w:r>
        <w:t>chacun</w:t>
      </w:r>
      <w:r w:rsidRPr="002C4077">
        <w:t xml:space="preserve"> </w:t>
      </w:r>
      <w:r>
        <w:t>était</w:t>
      </w:r>
      <w:r w:rsidRPr="002C4077">
        <w:t xml:space="preserve"> </w:t>
      </w:r>
      <w:r>
        <w:t>dans</w:t>
      </w:r>
      <w:r w:rsidRPr="002C4077">
        <w:t xml:space="preserve"> </w:t>
      </w:r>
      <w:r>
        <w:t>son</w:t>
      </w:r>
      <w:r w:rsidRPr="002C4077">
        <w:t xml:space="preserve"> </w:t>
      </w:r>
      <w:r>
        <w:t>droit,</w:t>
      </w:r>
      <w:r w:rsidRPr="002C4077">
        <w:t xml:space="preserve"> </w:t>
      </w:r>
      <w:r>
        <w:t>puisqu’il</w:t>
      </w:r>
      <w:r w:rsidRPr="002C4077">
        <w:t xml:space="preserve"> </w:t>
      </w:r>
      <w:r>
        <w:t>n’y</w:t>
      </w:r>
      <w:r w:rsidRPr="002C4077">
        <w:t xml:space="preserve"> </w:t>
      </w:r>
      <w:r>
        <w:t>a,</w:t>
      </w:r>
      <w:r w:rsidRPr="002C4077">
        <w:t xml:space="preserve"> </w:t>
      </w:r>
      <w:r>
        <w:t>dans</w:t>
      </w:r>
      <w:r w:rsidRPr="002C4077">
        <w:t xml:space="preserve"> </w:t>
      </w:r>
      <w:r>
        <w:t>les</w:t>
      </w:r>
      <w:r w:rsidRPr="002C4077">
        <w:t xml:space="preserve"> </w:t>
      </w:r>
      <w:r>
        <w:t>églises</w:t>
      </w:r>
      <w:r w:rsidRPr="002C4077">
        <w:t xml:space="preserve"> </w:t>
      </w:r>
      <w:r>
        <w:t>protestantes,</w:t>
      </w:r>
      <w:r w:rsidRPr="002C4077">
        <w:t xml:space="preserve"> </w:t>
      </w:r>
      <w:r>
        <w:t>personne</w:t>
      </w:r>
      <w:r w:rsidRPr="002C4077">
        <w:t xml:space="preserve"> </w:t>
      </w:r>
      <w:r>
        <w:t>qui</w:t>
      </w:r>
      <w:r w:rsidRPr="002C4077">
        <w:t xml:space="preserve"> </w:t>
      </w:r>
      <w:r>
        <w:t>puisse</w:t>
      </w:r>
      <w:r w:rsidRPr="002C4077">
        <w:t xml:space="preserve"> </w:t>
      </w:r>
      <w:r>
        <w:t>commander</w:t>
      </w:r>
      <w:r w:rsidRPr="002C4077">
        <w:t xml:space="preserve"> </w:t>
      </w:r>
      <w:r>
        <w:t>avec</w:t>
      </w:r>
      <w:r w:rsidRPr="002C4077">
        <w:t xml:space="preserve"> </w:t>
      </w:r>
      <w:r w:rsidR="0075326F">
        <w:t>autorité</w:t>
      </w:r>
      <w:r w:rsidR="0075326F">
        <w:rPr>
          <w:rStyle w:val="Appelnotedebasdep"/>
        </w:rPr>
        <w:footnoteReference w:id="630"/>
      </w:r>
      <w:r>
        <w:t>.</w:t>
      </w:r>
      <w:r w:rsidRPr="002C4077">
        <w:t xml:space="preserve"> </w:t>
      </w:r>
    </w:p>
    <w:p w:rsidR="000A7AAB" w:rsidRDefault="000A7AAB" w:rsidP="000A7AAB">
      <w:r>
        <w:t>Encore</w:t>
      </w:r>
      <w:r w:rsidRPr="002C4077">
        <w:t xml:space="preserve"> </w:t>
      </w:r>
      <w:r>
        <w:t>un</w:t>
      </w:r>
      <w:r w:rsidRPr="002C4077">
        <w:t xml:space="preserve"> </w:t>
      </w:r>
      <w:r>
        <w:t>autre</w:t>
      </w:r>
      <w:r w:rsidRPr="002C4077">
        <w:t xml:space="preserve"> </w:t>
      </w:r>
      <w:r>
        <w:t>trait</w:t>
      </w:r>
      <w:r w:rsidRPr="002C4077">
        <w:t xml:space="preserve"> </w:t>
      </w:r>
      <w:r>
        <w:t>significatif,</w:t>
      </w:r>
      <w:r w:rsidRPr="002C4077">
        <w:t xml:space="preserve"> </w:t>
      </w:r>
      <w:r>
        <w:t>avant</w:t>
      </w:r>
      <w:r w:rsidRPr="002C4077">
        <w:t xml:space="preserve"> </w:t>
      </w:r>
      <w:r>
        <w:t>de</w:t>
      </w:r>
      <w:r w:rsidRPr="002C4077">
        <w:t xml:space="preserve"> </w:t>
      </w:r>
      <w:r>
        <w:t>passer</w:t>
      </w:r>
      <w:r w:rsidRPr="002C4077">
        <w:t xml:space="preserve"> </w:t>
      </w:r>
      <w:r>
        <w:t>aux</w:t>
      </w:r>
      <w:r w:rsidRPr="002C4077">
        <w:t xml:space="preserve"> </w:t>
      </w:r>
      <w:r>
        <w:t>temps</w:t>
      </w:r>
      <w:r w:rsidRPr="002C4077">
        <w:t xml:space="preserve"> </w:t>
      </w:r>
      <w:r>
        <w:t>qui</w:t>
      </w:r>
      <w:r w:rsidRPr="002C4077">
        <w:t xml:space="preserve"> </w:t>
      </w:r>
      <w:r>
        <w:t>suivirent</w:t>
      </w:r>
      <w:r w:rsidRPr="002C4077">
        <w:t xml:space="preserve"> </w:t>
      </w:r>
      <w:r>
        <w:t>immédiatement</w:t>
      </w:r>
      <w:r w:rsidRPr="002C4077">
        <w:t xml:space="preserve"> </w:t>
      </w:r>
      <w:r>
        <w:t>la</w:t>
      </w:r>
      <w:r w:rsidRPr="002C4077">
        <w:t xml:space="preserve"> </w:t>
      </w:r>
      <w:r>
        <w:t>révision.</w:t>
      </w:r>
      <w:r w:rsidRPr="002C4077">
        <w:t xml:space="preserve"> </w:t>
      </w:r>
      <w:r>
        <w:t>Il</w:t>
      </w:r>
      <w:r w:rsidRPr="002C4077">
        <w:t xml:space="preserve"> </w:t>
      </w:r>
      <w:r>
        <w:t>montrera</w:t>
      </w:r>
      <w:r w:rsidRPr="002C4077">
        <w:t xml:space="preserve"> </w:t>
      </w:r>
      <w:r>
        <w:t>jusqu’où</w:t>
      </w:r>
      <w:r w:rsidRPr="002C4077">
        <w:t xml:space="preserve"> </w:t>
      </w:r>
      <w:r>
        <w:t>vont</w:t>
      </w:r>
      <w:r w:rsidRPr="002C4077">
        <w:t xml:space="preserve"> </w:t>
      </w:r>
      <w:r>
        <w:t>encore</w:t>
      </w:r>
      <w:r w:rsidRPr="002C4077">
        <w:t xml:space="preserve"> </w:t>
      </w:r>
      <w:r>
        <w:t>les</w:t>
      </w:r>
      <w:r w:rsidRPr="002C4077">
        <w:t xml:space="preserve"> </w:t>
      </w:r>
      <w:r>
        <w:t>préjugés</w:t>
      </w:r>
      <w:r w:rsidRPr="002C4077">
        <w:t xml:space="preserve"> </w:t>
      </w:r>
      <w:r w:rsidR="00FB4E2C">
        <w:t>anticatholiques</w:t>
      </w:r>
      <w:r w:rsidRPr="002C4077">
        <w:t xml:space="preserve"> </w:t>
      </w:r>
      <w:r>
        <w:t>en</w:t>
      </w:r>
      <w:r w:rsidRPr="002C4077">
        <w:t xml:space="preserve"> </w:t>
      </w:r>
      <w:r>
        <w:t>Angleterre.</w:t>
      </w:r>
      <w:r w:rsidRPr="002C4077">
        <w:t xml:space="preserve"> </w:t>
      </w:r>
    </w:p>
    <w:p w:rsidR="000A7AAB" w:rsidRDefault="000A7AAB" w:rsidP="000A7AAB">
      <w:r>
        <w:t>D’avance,</w:t>
      </w:r>
      <w:r w:rsidRPr="002C4077">
        <w:t xml:space="preserve"> </w:t>
      </w:r>
      <w:r>
        <w:t>il</w:t>
      </w:r>
      <w:r w:rsidRPr="002C4077">
        <w:t xml:space="preserve"> </w:t>
      </w:r>
      <w:r>
        <w:t>paraissait</w:t>
      </w:r>
      <w:r w:rsidRPr="002C4077">
        <w:t xml:space="preserve"> </w:t>
      </w:r>
      <w:r>
        <w:t>probable</w:t>
      </w:r>
      <w:r w:rsidRPr="002C4077">
        <w:t xml:space="preserve"> </w:t>
      </w:r>
      <w:r>
        <w:t>que</w:t>
      </w:r>
      <w:r w:rsidRPr="002C4077">
        <w:t xml:space="preserve"> </w:t>
      </w:r>
      <w:r>
        <w:t>les</w:t>
      </w:r>
      <w:r w:rsidRPr="002C4077">
        <w:t xml:space="preserve"> </w:t>
      </w:r>
      <w:r>
        <w:t>correcteurs</w:t>
      </w:r>
      <w:r w:rsidRPr="002C4077">
        <w:t xml:space="preserve"> </w:t>
      </w:r>
      <w:r>
        <w:t>devraient,</w:t>
      </w:r>
      <w:r w:rsidRPr="002C4077">
        <w:t xml:space="preserve"> </w:t>
      </w:r>
      <w:r>
        <w:t>en</w:t>
      </w:r>
      <w:r w:rsidRPr="002C4077">
        <w:t xml:space="preserve"> </w:t>
      </w:r>
      <w:r>
        <w:t>quelques</w:t>
      </w:r>
      <w:r w:rsidRPr="002C4077">
        <w:t xml:space="preserve"> </w:t>
      </w:r>
      <w:r>
        <w:t>endroits,</w:t>
      </w:r>
      <w:r w:rsidRPr="002C4077">
        <w:t xml:space="preserve"> </w:t>
      </w:r>
      <w:r>
        <w:t>abandonner</w:t>
      </w:r>
      <w:r w:rsidRPr="002C4077">
        <w:t xml:space="preserve"> </w:t>
      </w:r>
      <w:r>
        <w:t>le</w:t>
      </w:r>
      <w:r w:rsidRPr="002C4077">
        <w:t xml:space="preserve"> </w:t>
      </w:r>
      <w:r>
        <w:t>texte</w:t>
      </w:r>
      <w:r w:rsidRPr="002C4077">
        <w:t xml:space="preserve"> </w:t>
      </w:r>
      <w:r>
        <w:t>autorisé</w:t>
      </w:r>
      <w:r w:rsidRPr="002C4077">
        <w:t xml:space="preserve"> </w:t>
      </w:r>
      <w:r>
        <w:t>par</w:t>
      </w:r>
      <w:r w:rsidRPr="002C4077">
        <w:t xml:space="preserve"> </w:t>
      </w:r>
      <w:r>
        <w:t>Jacques</w:t>
      </w:r>
      <w:r w:rsidRPr="002C4077">
        <w:t xml:space="preserve"> </w:t>
      </w:r>
      <w:r w:rsidR="007B3C26">
        <w:t>I</w:t>
      </w:r>
      <w:r w:rsidR="007B3C26" w:rsidRPr="007B3C26">
        <w:rPr>
          <w:vertAlign w:val="superscript"/>
        </w:rPr>
        <w:t>er</w:t>
      </w:r>
      <w:r>
        <w:t>,</w:t>
      </w:r>
      <w:r w:rsidRPr="002C4077">
        <w:t xml:space="preserve"> </w:t>
      </w:r>
      <w:r>
        <w:t>pour</w:t>
      </w:r>
      <w:r w:rsidRPr="002C4077">
        <w:t xml:space="preserve"> </w:t>
      </w:r>
      <w:r>
        <w:t>adopter</w:t>
      </w:r>
      <w:r w:rsidRPr="002C4077">
        <w:t xml:space="preserve"> </w:t>
      </w:r>
      <w:r>
        <w:t>les</w:t>
      </w:r>
      <w:r w:rsidRPr="002C4077">
        <w:t xml:space="preserve"> </w:t>
      </w:r>
      <w:r>
        <w:t>leçons</w:t>
      </w:r>
      <w:r w:rsidRPr="002C4077">
        <w:t xml:space="preserve"> </w:t>
      </w:r>
      <w:r>
        <w:t>de</w:t>
      </w:r>
      <w:r w:rsidRPr="002C4077">
        <w:t xml:space="preserve"> </w:t>
      </w:r>
      <w:r>
        <w:t>la</w:t>
      </w:r>
      <w:r w:rsidRPr="002C4077">
        <w:t xml:space="preserve"> </w:t>
      </w:r>
      <w:r>
        <w:t>version</w:t>
      </w:r>
      <w:r w:rsidRPr="002C4077">
        <w:t xml:space="preserve"> </w:t>
      </w:r>
      <w:r>
        <w:t>catholique</w:t>
      </w:r>
      <w:r w:rsidRPr="002C4077">
        <w:t xml:space="preserve"> </w:t>
      </w:r>
      <w:r>
        <w:t>de</w:t>
      </w:r>
      <w:r w:rsidRPr="002C4077">
        <w:t xml:space="preserve"> </w:t>
      </w:r>
      <w:r>
        <w:t>Douai</w:t>
      </w:r>
      <w:bookmarkStart w:id="480" w:name="z_VersionAutorisee_o2"/>
      <w:bookmarkEnd w:id="480"/>
      <w:r>
        <w:t>,</w:t>
      </w:r>
      <w:r w:rsidRPr="002C4077">
        <w:t xml:space="preserve"> </w:t>
      </w:r>
      <w:r>
        <w:t>faite</w:t>
      </w:r>
      <w:r w:rsidRPr="002C4077">
        <w:t xml:space="preserve"> </w:t>
      </w:r>
      <w:r>
        <w:t>sur</w:t>
      </w:r>
      <w:r w:rsidRPr="002C4077">
        <w:t xml:space="preserve"> </w:t>
      </w:r>
      <w:r>
        <w:t>la</w:t>
      </w:r>
      <w:r w:rsidRPr="002C4077">
        <w:t xml:space="preserve"> </w:t>
      </w:r>
      <w:r>
        <w:t>Vulgate.</w:t>
      </w:r>
      <w:r w:rsidRPr="002C4077">
        <w:t xml:space="preserve"> </w:t>
      </w:r>
      <w:r>
        <w:t>Aux</w:t>
      </w:r>
      <w:r w:rsidRPr="002C4077">
        <w:t xml:space="preserve"> </w:t>
      </w:r>
      <w:r>
        <w:t>yeux</w:t>
      </w:r>
      <w:r w:rsidRPr="002C4077">
        <w:t xml:space="preserve"> </w:t>
      </w:r>
      <w:r>
        <w:t>d’un</w:t>
      </w:r>
      <w:r w:rsidRPr="002C4077">
        <w:t xml:space="preserve"> </w:t>
      </w:r>
      <w:r>
        <w:t>grand</w:t>
      </w:r>
      <w:r w:rsidRPr="002C4077">
        <w:t xml:space="preserve"> </w:t>
      </w:r>
      <w:r>
        <w:t>nombre,</w:t>
      </w:r>
      <w:r w:rsidRPr="002C4077">
        <w:t xml:space="preserve"> </w:t>
      </w:r>
      <w:r>
        <w:t>c’était</w:t>
      </w:r>
      <w:r w:rsidRPr="002C4077">
        <w:t xml:space="preserve"> </w:t>
      </w:r>
      <w:r>
        <w:t>l’abomination</w:t>
      </w:r>
      <w:r w:rsidRPr="002C4077">
        <w:t xml:space="preserve"> </w:t>
      </w:r>
      <w:r>
        <w:t>de</w:t>
      </w:r>
      <w:r w:rsidRPr="002C4077">
        <w:t xml:space="preserve"> </w:t>
      </w:r>
      <w:r>
        <w:t>la</w:t>
      </w:r>
      <w:r w:rsidRPr="002C4077">
        <w:t xml:space="preserve"> </w:t>
      </w:r>
      <w:r>
        <w:t>désolation</w:t>
      </w:r>
      <w:r w:rsidR="00B546AF">
        <w:t> ;</w:t>
      </w:r>
      <w:r w:rsidRPr="002C4077">
        <w:t xml:space="preserve"> </w:t>
      </w:r>
      <w:r>
        <w:t>car,</w:t>
      </w:r>
      <w:r w:rsidRPr="002C4077">
        <w:t xml:space="preserve"> </w:t>
      </w:r>
      <w:r>
        <w:t>dit</w:t>
      </w:r>
      <w:r w:rsidRPr="002C4077">
        <w:t xml:space="preserve"> </w:t>
      </w:r>
      <w:r>
        <w:t>fièrement</w:t>
      </w:r>
      <w:r w:rsidRPr="002C4077">
        <w:t xml:space="preserve"> </w:t>
      </w:r>
      <w:r>
        <w:t>un</w:t>
      </w:r>
      <w:r w:rsidRPr="002C4077">
        <w:t xml:space="preserve"> </w:t>
      </w:r>
      <w:r>
        <w:t>théologien</w:t>
      </w:r>
      <w:r w:rsidRPr="002C4077">
        <w:t xml:space="preserve"> </w:t>
      </w:r>
      <w:r>
        <w:t>d’Angleterre,</w:t>
      </w:r>
      <w:r w:rsidRPr="002C4077">
        <w:t xml:space="preserve"> </w:t>
      </w:r>
      <w:r w:rsidR="00B546AF">
        <w:t>« </w:t>
      </w:r>
      <w:r>
        <w:t>s’il</w:t>
      </w:r>
      <w:r w:rsidRPr="002C4077">
        <w:t xml:space="preserve"> </w:t>
      </w:r>
      <w:r w:rsidR="00425C50">
        <w:t>est</w:t>
      </w:r>
      <w:r w:rsidRPr="002C4077">
        <w:t xml:space="preserve"> </w:t>
      </w:r>
      <w:r>
        <w:t>un</w:t>
      </w:r>
      <w:r w:rsidRPr="002C4077">
        <w:t xml:space="preserve"> </w:t>
      </w:r>
      <w:r>
        <w:t>point</w:t>
      </w:r>
      <w:r w:rsidRPr="002C4077">
        <w:t xml:space="preserve"> </w:t>
      </w:r>
      <w:r>
        <w:t>sur</w:t>
      </w:r>
      <w:r w:rsidRPr="002C4077">
        <w:t xml:space="preserve"> </w:t>
      </w:r>
      <w:r>
        <w:t>lequel</w:t>
      </w:r>
      <w:r w:rsidRPr="002C4077">
        <w:t xml:space="preserve"> </w:t>
      </w:r>
      <w:r>
        <w:t>nous</w:t>
      </w:r>
      <w:r w:rsidRPr="002C4077">
        <w:t xml:space="preserve"> </w:t>
      </w:r>
      <w:r>
        <w:t>sommes</w:t>
      </w:r>
      <w:r w:rsidRPr="002C4077">
        <w:t xml:space="preserve"> </w:t>
      </w:r>
      <w:r>
        <w:t>en</w:t>
      </w:r>
      <w:r w:rsidRPr="002C4077">
        <w:t xml:space="preserve"> </w:t>
      </w:r>
      <w:r>
        <w:t>droit</w:t>
      </w:r>
      <w:r w:rsidRPr="002C4077">
        <w:t xml:space="preserve"> </w:t>
      </w:r>
      <w:r>
        <w:t>d’affirmer</w:t>
      </w:r>
      <w:r w:rsidRPr="002C4077">
        <w:t xml:space="preserve"> </w:t>
      </w:r>
      <w:r>
        <w:t>que</w:t>
      </w:r>
      <w:r w:rsidRPr="002C4077">
        <w:t xml:space="preserve"> </w:t>
      </w:r>
      <w:r>
        <w:t>nous</w:t>
      </w:r>
      <w:r w:rsidRPr="002C4077">
        <w:t xml:space="preserve"> </w:t>
      </w:r>
      <w:r>
        <w:t>sommes</w:t>
      </w:r>
      <w:r w:rsidRPr="002C4077">
        <w:t xml:space="preserve"> </w:t>
      </w:r>
      <w:r>
        <w:t>supérieurs</w:t>
      </w:r>
      <w:r w:rsidRPr="002C4077">
        <w:t xml:space="preserve"> </w:t>
      </w:r>
      <w:r>
        <w:t>aux</w:t>
      </w:r>
      <w:r w:rsidRPr="002C4077">
        <w:t xml:space="preserve"> </w:t>
      </w:r>
      <w:r>
        <w:t>catholiques</w:t>
      </w:r>
      <w:r w:rsidRPr="002C4077">
        <w:t xml:space="preserve"> </w:t>
      </w:r>
      <w:r>
        <w:t>romains,</w:t>
      </w:r>
      <w:r w:rsidRPr="002C4077">
        <w:t xml:space="preserve"> </w:t>
      </w:r>
      <w:r>
        <w:t>c’est</w:t>
      </w:r>
      <w:r w:rsidRPr="002C4077">
        <w:t xml:space="preserve"> </w:t>
      </w:r>
      <w:r>
        <w:t>assurément</w:t>
      </w:r>
      <w:r w:rsidRPr="002C4077">
        <w:t xml:space="preserve"> </w:t>
      </w:r>
      <w:r>
        <w:t>au</w:t>
      </w:r>
      <w:r w:rsidRPr="002C4077">
        <w:t xml:space="preserve"> </w:t>
      </w:r>
      <w:r>
        <w:t>sujet</w:t>
      </w:r>
      <w:r w:rsidRPr="002C4077">
        <w:t xml:space="preserve"> </w:t>
      </w:r>
      <w:r>
        <w:t>de</w:t>
      </w:r>
      <w:r w:rsidRPr="002C4077">
        <w:t xml:space="preserve"> </w:t>
      </w:r>
      <w:r>
        <w:t>notre</w:t>
      </w:r>
      <w:r w:rsidRPr="002C4077">
        <w:t xml:space="preserve"> </w:t>
      </w:r>
      <w:r>
        <w:t>version</w:t>
      </w:r>
      <w:r w:rsidRPr="002C4077">
        <w:t xml:space="preserve"> </w:t>
      </w:r>
      <w:r>
        <w:t>des</w:t>
      </w:r>
      <w:r w:rsidRPr="002C4077">
        <w:t xml:space="preserve"> </w:t>
      </w:r>
      <w:r>
        <w:t>saintes</w:t>
      </w:r>
      <w:r w:rsidRPr="002C4077">
        <w:t xml:space="preserve"> </w:t>
      </w:r>
      <w:r>
        <w:t>Écritures</w:t>
      </w:r>
      <w:r w:rsidR="00B91AF7">
        <w:rPr>
          <w:rStyle w:val="Appelnotedebasdep"/>
        </w:rPr>
        <w:footnoteReference w:id="631"/>
      </w:r>
      <w:r w:rsidR="00B546AF">
        <w:t> »</w:t>
      </w:r>
      <w:r>
        <w:t>.</w:t>
      </w:r>
      <w:r w:rsidR="00C45B47">
        <w:t xml:space="preserve"> {</w:t>
      </w:r>
      <w:r w:rsidR="00B53529">
        <w:t>188</w:t>
      </w:r>
      <w:bookmarkStart w:id="481" w:name="p188"/>
      <w:bookmarkEnd w:id="481"/>
      <w:r w:rsidR="00B53529">
        <w:t xml:space="preserve">} </w:t>
      </w:r>
      <w:r>
        <w:t>Ici</w:t>
      </w:r>
      <w:r w:rsidRPr="002C4077">
        <w:t xml:space="preserve"> </w:t>
      </w:r>
      <w:r>
        <w:t>encore,</w:t>
      </w:r>
      <w:r w:rsidRPr="002C4077">
        <w:t xml:space="preserve"> </w:t>
      </w:r>
      <w:r>
        <w:t>il</w:t>
      </w:r>
      <w:r w:rsidRPr="002C4077">
        <w:t xml:space="preserve"> </w:t>
      </w:r>
      <w:r>
        <w:t>y</w:t>
      </w:r>
      <w:r w:rsidRPr="002C4077">
        <w:t xml:space="preserve"> </w:t>
      </w:r>
      <w:r>
        <w:t>avait</w:t>
      </w:r>
      <w:r w:rsidRPr="002C4077">
        <w:t xml:space="preserve"> </w:t>
      </w:r>
      <w:r>
        <w:t>donc</w:t>
      </w:r>
      <w:r w:rsidRPr="002C4077">
        <w:t xml:space="preserve"> </w:t>
      </w:r>
      <w:r>
        <w:t>lieu</w:t>
      </w:r>
      <w:r w:rsidRPr="002C4077">
        <w:t xml:space="preserve"> </w:t>
      </w:r>
      <w:r>
        <w:t>de</w:t>
      </w:r>
      <w:r w:rsidRPr="002C4077">
        <w:t xml:space="preserve"> </w:t>
      </w:r>
      <w:r>
        <w:t>préparer</w:t>
      </w:r>
      <w:r w:rsidRPr="002C4077">
        <w:t xml:space="preserve"> </w:t>
      </w:r>
      <w:r>
        <w:t>l’opinion</w:t>
      </w:r>
      <w:r w:rsidR="00B546AF">
        <w:t> ;</w:t>
      </w:r>
      <w:r w:rsidRPr="002C4077">
        <w:t xml:space="preserve"> </w:t>
      </w:r>
      <w:r>
        <w:t>ce</w:t>
      </w:r>
      <w:r w:rsidRPr="002C4077">
        <w:t xml:space="preserve"> </w:t>
      </w:r>
      <w:r>
        <w:t>qu’on</w:t>
      </w:r>
      <w:r w:rsidRPr="002C4077">
        <w:t xml:space="preserve"> </w:t>
      </w:r>
      <w:r>
        <w:t>a</w:t>
      </w:r>
      <w:r w:rsidRPr="002C4077">
        <w:t xml:space="preserve"> </w:t>
      </w:r>
      <w:r>
        <w:t>fait</w:t>
      </w:r>
      <w:r w:rsidRPr="002C4077">
        <w:t xml:space="preserve"> </w:t>
      </w:r>
      <w:r>
        <w:t>d’une</w:t>
      </w:r>
      <w:r w:rsidRPr="002C4077">
        <w:t xml:space="preserve"> </w:t>
      </w:r>
      <w:r>
        <w:t>curieuse</w:t>
      </w:r>
      <w:r w:rsidRPr="002C4077">
        <w:t xml:space="preserve"> </w:t>
      </w:r>
      <w:r>
        <w:t>manière.</w:t>
      </w:r>
      <w:r w:rsidRPr="002C4077">
        <w:t xml:space="preserve"> </w:t>
      </w:r>
      <w:r w:rsidR="00B546AF">
        <w:t>« </w:t>
      </w:r>
      <w:r>
        <w:t>À</w:t>
      </w:r>
      <w:r w:rsidRPr="002C4077">
        <w:t xml:space="preserve"> </w:t>
      </w:r>
      <w:r>
        <w:t>l’époque</w:t>
      </w:r>
      <w:r w:rsidRPr="002C4077">
        <w:t xml:space="preserve"> </w:t>
      </w:r>
      <w:r>
        <w:t>de</w:t>
      </w:r>
      <w:r w:rsidRPr="002C4077">
        <w:t xml:space="preserve"> </w:t>
      </w:r>
      <w:r>
        <w:t>la</w:t>
      </w:r>
      <w:r w:rsidRPr="002C4077">
        <w:t xml:space="preserve"> </w:t>
      </w:r>
      <w:r>
        <w:t>Réforme,</w:t>
      </w:r>
      <w:r w:rsidRPr="002C4077">
        <w:t xml:space="preserve"> </w:t>
      </w:r>
      <w:r>
        <w:t>les</w:t>
      </w:r>
      <w:r w:rsidRPr="002C4077">
        <w:t xml:space="preserve"> </w:t>
      </w:r>
      <w:r>
        <w:t>hommes</w:t>
      </w:r>
      <w:r w:rsidRPr="002C4077">
        <w:t xml:space="preserve"> </w:t>
      </w:r>
      <w:r>
        <w:t>instruits</w:t>
      </w:r>
      <w:r w:rsidRPr="002C4077">
        <w:t xml:space="preserve"> </w:t>
      </w:r>
      <w:r>
        <w:t>lisaient</w:t>
      </w:r>
      <w:r w:rsidRPr="002C4077">
        <w:t xml:space="preserve"> </w:t>
      </w:r>
      <w:r>
        <w:t>tous</w:t>
      </w:r>
      <w:r w:rsidRPr="002C4077">
        <w:t xml:space="preserve"> </w:t>
      </w:r>
      <w:r>
        <w:t>leur</w:t>
      </w:r>
      <w:r w:rsidRPr="002C4077">
        <w:t xml:space="preserve"> </w:t>
      </w:r>
      <w:r>
        <w:t>Bible</w:t>
      </w:r>
      <w:r w:rsidRPr="002C4077">
        <w:t xml:space="preserve"> </w:t>
      </w:r>
      <w:r>
        <w:t>en</w:t>
      </w:r>
      <w:r w:rsidRPr="002C4077">
        <w:t xml:space="preserve"> </w:t>
      </w:r>
      <w:r>
        <w:t>latin,</w:t>
      </w:r>
      <w:r w:rsidRPr="002C4077">
        <w:t xml:space="preserve"> </w:t>
      </w:r>
      <w:r>
        <w:t>par</w:t>
      </w:r>
      <w:r w:rsidRPr="002C4077">
        <w:t xml:space="preserve"> </w:t>
      </w:r>
      <w:r>
        <w:t>conséquent</w:t>
      </w:r>
      <w:r w:rsidRPr="002C4077">
        <w:t xml:space="preserve"> </w:t>
      </w:r>
      <w:r>
        <w:t>dans</w:t>
      </w:r>
      <w:r w:rsidRPr="002C4077">
        <w:t xml:space="preserve"> </w:t>
      </w:r>
      <w:r>
        <w:t>la</w:t>
      </w:r>
      <w:r w:rsidRPr="002C4077">
        <w:t xml:space="preserve"> </w:t>
      </w:r>
      <w:r>
        <w:t>Vulgate</w:t>
      </w:r>
      <w:r w:rsidR="00B546AF">
        <w:t> »</w:t>
      </w:r>
      <w:r>
        <w:t>.</w:t>
      </w:r>
      <w:r w:rsidRPr="002C4077">
        <w:t xml:space="preserve"> </w:t>
      </w:r>
      <w:r>
        <w:t>Sans</w:t>
      </w:r>
      <w:r w:rsidRPr="002C4077">
        <w:t xml:space="preserve"> </w:t>
      </w:r>
      <w:r>
        <w:t>doute,</w:t>
      </w:r>
      <w:r w:rsidRPr="002C4077">
        <w:t xml:space="preserve"> </w:t>
      </w:r>
      <w:r w:rsidR="00B546AF">
        <w:t>« </w:t>
      </w:r>
      <w:r>
        <w:t>les</w:t>
      </w:r>
      <w:r w:rsidRPr="002C4077">
        <w:t xml:space="preserve"> </w:t>
      </w:r>
      <w:r>
        <w:t>bons</w:t>
      </w:r>
      <w:r w:rsidRPr="002C4077">
        <w:t xml:space="preserve"> </w:t>
      </w:r>
      <w:r>
        <w:t>Pères</w:t>
      </w:r>
      <w:r w:rsidRPr="002C4077">
        <w:t xml:space="preserve"> </w:t>
      </w:r>
      <w:r>
        <w:t>de</w:t>
      </w:r>
      <w:r w:rsidRPr="002C4077">
        <w:t xml:space="preserve"> </w:t>
      </w:r>
      <w:r>
        <w:t>Trente,</w:t>
      </w:r>
      <w:r w:rsidRPr="002C4077">
        <w:t xml:space="preserve"> </w:t>
      </w:r>
      <w:r>
        <w:t>parmi</w:t>
      </w:r>
      <w:r w:rsidRPr="002C4077">
        <w:t xml:space="preserve"> </w:t>
      </w:r>
      <w:r>
        <w:t>lesquels</w:t>
      </w:r>
      <w:r w:rsidRPr="002C4077">
        <w:t xml:space="preserve"> </w:t>
      </w:r>
      <w:r>
        <w:t>il</w:t>
      </w:r>
      <w:r w:rsidRPr="002C4077">
        <w:t xml:space="preserve"> </w:t>
      </w:r>
      <w:r>
        <w:t>n’y</w:t>
      </w:r>
      <w:r w:rsidRPr="002C4077">
        <w:t xml:space="preserve"> </w:t>
      </w:r>
      <w:r>
        <w:t>avait</w:t>
      </w:r>
      <w:r w:rsidRPr="002C4077">
        <w:t xml:space="preserve"> </w:t>
      </w:r>
      <w:r>
        <w:t>pas</w:t>
      </w:r>
      <w:r w:rsidRPr="002C4077">
        <w:t xml:space="preserve"> </w:t>
      </w:r>
      <w:r>
        <w:t>un</w:t>
      </w:r>
      <w:r w:rsidRPr="002C4077">
        <w:t xml:space="preserve"> </w:t>
      </w:r>
      <w:r>
        <w:t>seul</w:t>
      </w:r>
      <w:r w:rsidRPr="002C4077">
        <w:t xml:space="preserve"> </w:t>
      </w:r>
      <w:r>
        <w:t>homme</w:t>
      </w:r>
      <w:r w:rsidRPr="002C4077">
        <w:t xml:space="preserve"> </w:t>
      </w:r>
      <w:r>
        <w:t>qui</w:t>
      </w:r>
      <w:r w:rsidRPr="002C4077">
        <w:t xml:space="preserve"> </w:t>
      </w:r>
      <w:r>
        <w:t>méritât</w:t>
      </w:r>
      <w:r w:rsidRPr="002C4077">
        <w:t xml:space="preserve"> </w:t>
      </w:r>
      <w:r>
        <w:t>le</w:t>
      </w:r>
      <w:r w:rsidRPr="002C4077">
        <w:t xml:space="preserve"> </w:t>
      </w:r>
      <w:r>
        <w:t>nom</w:t>
      </w:r>
      <w:r w:rsidRPr="002C4077">
        <w:t xml:space="preserve"> </w:t>
      </w:r>
      <w:r>
        <w:t>de</w:t>
      </w:r>
      <w:r w:rsidRPr="002C4077">
        <w:t xml:space="preserve"> </w:t>
      </w:r>
      <w:r>
        <w:t>savant</w:t>
      </w:r>
      <w:r w:rsidR="00B546AF">
        <w:t> »</w:t>
      </w:r>
      <w:r>
        <w:t>,</w:t>
      </w:r>
      <w:r w:rsidRPr="002C4077">
        <w:t xml:space="preserve"> </w:t>
      </w:r>
      <w:r>
        <w:t>ont</w:t>
      </w:r>
      <w:r w:rsidRPr="002C4077">
        <w:t xml:space="preserve"> </w:t>
      </w:r>
      <w:r>
        <w:t>eu</w:t>
      </w:r>
      <w:r w:rsidRPr="002C4077">
        <w:t xml:space="preserve"> </w:t>
      </w:r>
      <w:r>
        <w:t>grand</w:t>
      </w:r>
      <w:r w:rsidRPr="002C4077">
        <w:t xml:space="preserve"> </w:t>
      </w:r>
      <w:r>
        <w:t>tort</w:t>
      </w:r>
      <w:r w:rsidRPr="002C4077">
        <w:t xml:space="preserve"> </w:t>
      </w:r>
      <w:r>
        <w:t>de</w:t>
      </w:r>
      <w:r w:rsidRPr="002C4077">
        <w:t xml:space="preserve"> </w:t>
      </w:r>
      <w:r>
        <w:t>porter</w:t>
      </w:r>
      <w:r w:rsidRPr="002C4077">
        <w:t xml:space="preserve"> </w:t>
      </w:r>
      <w:r>
        <w:t>cette</w:t>
      </w:r>
      <w:r w:rsidRPr="002C4077">
        <w:t xml:space="preserve"> </w:t>
      </w:r>
      <w:r>
        <w:t>version</w:t>
      </w:r>
      <w:r w:rsidRPr="002C4077">
        <w:t xml:space="preserve"> </w:t>
      </w:r>
      <w:r>
        <w:t>sur</w:t>
      </w:r>
      <w:r w:rsidRPr="002C4077">
        <w:t xml:space="preserve"> </w:t>
      </w:r>
      <w:r>
        <w:t>le</w:t>
      </w:r>
      <w:r w:rsidRPr="002C4077">
        <w:t xml:space="preserve"> </w:t>
      </w:r>
      <w:r>
        <w:t>pavoi</w:t>
      </w:r>
      <w:r w:rsidR="00B546AF">
        <w:t> ;</w:t>
      </w:r>
      <w:r w:rsidRPr="002C4077">
        <w:t xml:space="preserve"> </w:t>
      </w:r>
      <w:r>
        <w:t>mais</w:t>
      </w:r>
      <w:r w:rsidRPr="002C4077">
        <w:t xml:space="preserve"> </w:t>
      </w:r>
      <w:r>
        <w:t>les</w:t>
      </w:r>
      <w:r w:rsidRPr="002C4077">
        <w:t xml:space="preserve"> </w:t>
      </w:r>
      <w:r>
        <w:t>premiers</w:t>
      </w:r>
      <w:r w:rsidRPr="002C4077">
        <w:t xml:space="preserve"> </w:t>
      </w:r>
      <w:r>
        <w:t>réformés</w:t>
      </w:r>
      <w:r w:rsidRPr="002C4077">
        <w:t xml:space="preserve"> </w:t>
      </w:r>
      <w:r>
        <w:t>la</w:t>
      </w:r>
      <w:r w:rsidRPr="002C4077">
        <w:t xml:space="preserve"> </w:t>
      </w:r>
      <w:r>
        <w:t>lisaient</w:t>
      </w:r>
      <w:r w:rsidR="00B546AF">
        <w:t> !</w:t>
      </w:r>
      <w:r w:rsidRPr="002C4077">
        <w:t xml:space="preserve"> </w:t>
      </w:r>
      <w:r>
        <w:t>C’est</w:t>
      </w:r>
      <w:r w:rsidRPr="002C4077">
        <w:t xml:space="preserve"> </w:t>
      </w:r>
      <w:r>
        <w:t>donc</w:t>
      </w:r>
      <w:r w:rsidRPr="002C4077">
        <w:t xml:space="preserve"> </w:t>
      </w:r>
      <w:r>
        <w:t>qu’elle</w:t>
      </w:r>
      <w:r w:rsidRPr="002C4077">
        <w:t xml:space="preserve"> </w:t>
      </w:r>
      <w:r>
        <w:t>avait</w:t>
      </w:r>
      <w:r w:rsidRPr="002C4077">
        <w:t xml:space="preserve"> </w:t>
      </w:r>
      <w:r>
        <w:t>quelque</w:t>
      </w:r>
      <w:r w:rsidRPr="002C4077">
        <w:t xml:space="preserve"> </w:t>
      </w:r>
      <w:r>
        <w:t>mérite</w:t>
      </w:r>
      <w:r w:rsidR="00B546AF">
        <w:t> ;</w:t>
      </w:r>
      <w:r w:rsidRPr="002C4077">
        <w:t xml:space="preserve"> </w:t>
      </w:r>
      <w:r>
        <w:t>par</w:t>
      </w:r>
      <w:r w:rsidRPr="002C4077">
        <w:t xml:space="preserve"> </w:t>
      </w:r>
      <w:r>
        <w:t>conséquent,</w:t>
      </w:r>
      <w:r w:rsidRPr="002C4077">
        <w:t xml:space="preserve"> </w:t>
      </w:r>
      <w:r>
        <w:t>la</w:t>
      </w:r>
      <w:r w:rsidRPr="002C4077">
        <w:t xml:space="preserve"> </w:t>
      </w:r>
      <w:r>
        <w:t>traduction</w:t>
      </w:r>
      <w:r w:rsidRPr="002C4077">
        <w:t xml:space="preserve"> </w:t>
      </w:r>
      <w:r>
        <w:t>de</w:t>
      </w:r>
      <w:r w:rsidRPr="002C4077">
        <w:t xml:space="preserve"> </w:t>
      </w:r>
      <w:r>
        <w:t>Douai,</w:t>
      </w:r>
      <w:r w:rsidRPr="002C4077">
        <w:t xml:space="preserve"> </w:t>
      </w:r>
      <w:r>
        <w:t>à</w:t>
      </w:r>
      <w:r w:rsidRPr="002C4077">
        <w:t xml:space="preserve"> </w:t>
      </w:r>
      <w:r>
        <w:t>laquelle</w:t>
      </w:r>
      <w:r w:rsidRPr="002C4077">
        <w:t xml:space="preserve"> </w:t>
      </w:r>
      <w:r>
        <w:t>elle</w:t>
      </w:r>
      <w:r w:rsidRPr="002C4077">
        <w:t xml:space="preserve"> </w:t>
      </w:r>
      <w:r>
        <w:t>a</w:t>
      </w:r>
      <w:r w:rsidRPr="002C4077">
        <w:t xml:space="preserve"> </w:t>
      </w:r>
      <w:r>
        <w:t>servi</w:t>
      </w:r>
      <w:r w:rsidRPr="002C4077">
        <w:t xml:space="preserve"> </w:t>
      </w:r>
      <w:r>
        <w:t>de</w:t>
      </w:r>
      <w:r w:rsidRPr="002C4077">
        <w:t xml:space="preserve"> </w:t>
      </w:r>
      <w:r>
        <w:t>modèle,</w:t>
      </w:r>
      <w:r w:rsidRPr="002C4077">
        <w:t xml:space="preserve"> </w:t>
      </w:r>
      <w:r>
        <w:t>peut</w:t>
      </w:r>
      <w:r w:rsidRPr="002C4077">
        <w:t xml:space="preserve"> </w:t>
      </w:r>
      <w:r>
        <w:t>en</w:t>
      </w:r>
      <w:r w:rsidRPr="002C4077">
        <w:t xml:space="preserve"> </w:t>
      </w:r>
      <w:r>
        <w:t>avoir</w:t>
      </w:r>
      <w:r w:rsidRPr="002C4077">
        <w:t xml:space="preserve"> </w:t>
      </w:r>
      <w:r>
        <w:t>aussi.</w:t>
      </w:r>
      <w:r w:rsidRPr="002C4077">
        <w:t xml:space="preserve"> </w:t>
      </w:r>
      <w:r w:rsidR="00B546AF">
        <w:t>« </w:t>
      </w:r>
      <w:r>
        <w:t>J’espère,</w:t>
      </w:r>
      <w:r w:rsidRPr="002C4077">
        <w:t xml:space="preserve"> </w:t>
      </w:r>
      <w:r>
        <w:t>conclut</w:t>
      </w:r>
      <w:r w:rsidRPr="002C4077">
        <w:t xml:space="preserve"> </w:t>
      </w:r>
      <w:r>
        <w:t>M.</w:t>
      </w:r>
      <w:r w:rsidRPr="002C4077">
        <w:t xml:space="preserve"> </w:t>
      </w:r>
      <w:r>
        <w:t>Salmon</w:t>
      </w:r>
      <w:r w:rsidRPr="002C4077">
        <w:t xml:space="preserve"> </w:t>
      </w:r>
      <w:r w:rsidR="00B91AF7">
        <w:rPr>
          <w:rStyle w:val="Appelnotedebasdep"/>
        </w:rPr>
        <w:footnoteReference w:id="632"/>
      </w:r>
      <w:r w:rsidRPr="002C4077">
        <w:t xml:space="preserve"> </w:t>
      </w:r>
      <w:r>
        <w:t>s’adressant</w:t>
      </w:r>
      <w:r w:rsidRPr="002C4077">
        <w:t xml:space="preserve"> </w:t>
      </w:r>
      <w:r>
        <w:t>à</w:t>
      </w:r>
      <w:r w:rsidRPr="002C4077">
        <w:t xml:space="preserve"> </w:t>
      </w:r>
      <w:r>
        <w:t>ses</w:t>
      </w:r>
      <w:r w:rsidRPr="002C4077">
        <w:t xml:space="preserve"> </w:t>
      </w:r>
      <w:r>
        <w:t>lecteurs,</w:t>
      </w:r>
      <w:r w:rsidRPr="002C4077">
        <w:t xml:space="preserve"> </w:t>
      </w:r>
      <w:r>
        <w:t>que</w:t>
      </w:r>
      <w:r w:rsidRPr="002C4077">
        <w:t xml:space="preserve"> </w:t>
      </w:r>
      <w:r>
        <w:t>vous</w:t>
      </w:r>
      <w:r w:rsidRPr="002C4077">
        <w:t xml:space="preserve"> </w:t>
      </w:r>
      <w:r>
        <w:t>avez</w:t>
      </w:r>
      <w:r w:rsidRPr="002C4077">
        <w:t xml:space="preserve"> </w:t>
      </w:r>
      <w:r>
        <w:t>trop</w:t>
      </w:r>
      <w:r w:rsidRPr="002C4077">
        <w:t xml:space="preserve"> </w:t>
      </w:r>
      <w:r>
        <w:t>de</w:t>
      </w:r>
      <w:r w:rsidRPr="002C4077">
        <w:t xml:space="preserve"> </w:t>
      </w:r>
      <w:r>
        <w:t>bon</w:t>
      </w:r>
      <w:r w:rsidRPr="002C4077">
        <w:t xml:space="preserve"> </w:t>
      </w:r>
      <w:r>
        <w:t>sens</w:t>
      </w:r>
      <w:r w:rsidRPr="002C4077">
        <w:t xml:space="preserve"> </w:t>
      </w:r>
      <w:r>
        <w:t>et</w:t>
      </w:r>
      <w:r w:rsidRPr="002C4077">
        <w:t xml:space="preserve"> </w:t>
      </w:r>
      <w:r>
        <w:t>trop</w:t>
      </w:r>
      <w:r w:rsidRPr="002C4077">
        <w:t xml:space="preserve"> </w:t>
      </w:r>
      <w:r>
        <w:t>d’amour</w:t>
      </w:r>
      <w:r w:rsidRPr="002C4077">
        <w:t xml:space="preserve"> </w:t>
      </w:r>
      <w:r>
        <w:t>de</w:t>
      </w:r>
      <w:r w:rsidRPr="002C4077">
        <w:t xml:space="preserve"> </w:t>
      </w:r>
      <w:r>
        <w:t>la</w:t>
      </w:r>
      <w:r w:rsidRPr="002C4077">
        <w:t xml:space="preserve"> </w:t>
      </w:r>
      <w:r>
        <w:t>vérité</w:t>
      </w:r>
      <w:r w:rsidRPr="002C4077">
        <w:t xml:space="preserve"> </w:t>
      </w:r>
      <w:r>
        <w:t>pour</w:t>
      </w:r>
      <w:r w:rsidRPr="002C4077">
        <w:t xml:space="preserve"> </w:t>
      </w:r>
      <w:r>
        <w:t>vous</w:t>
      </w:r>
      <w:r w:rsidRPr="002C4077">
        <w:t xml:space="preserve"> </w:t>
      </w:r>
      <w:r>
        <w:t>laisser</w:t>
      </w:r>
      <w:r w:rsidRPr="002C4077">
        <w:t xml:space="preserve"> </w:t>
      </w:r>
      <w:r>
        <w:t>influencer</w:t>
      </w:r>
      <w:r w:rsidRPr="002C4077">
        <w:t xml:space="preserve"> </w:t>
      </w:r>
      <w:r>
        <w:t>par</w:t>
      </w:r>
      <w:r w:rsidRPr="002C4077">
        <w:t xml:space="preserve"> </w:t>
      </w:r>
      <w:r>
        <w:t>cette</w:t>
      </w:r>
      <w:r w:rsidRPr="002C4077">
        <w:t xml:space="preserve"> </w:t>
      </w:r>
      <w:r>
        <w:t>considération,</w:t>
      </w:r>
      <w:r w:rsidRPr="002C4077">
        <w:t xml:space="preserve"> </w:t>
      </w:r>
      <w:r>
        <w:t>que</w:t>
      </w:r>
      <w:r w:rsidRPr="002C4077">
        <w:t xml:space="preserve"> </w:t>
      </w:r>
      <w:r>
        <w:t>les</w:t>
      </w:r>
      <w:r w:rsidRPr="002C4077">
        <w:t xml:space="preserve"> </w:t>
      </w:r>
      <w:r>
        <w:t>catholiques</w:t>
      </w:r>
      <w:r w:rsidRPr="002C4077">
        <w:t xml:space="preserve"> </w:t>
      </w:r>
      <w:r>
        <w:t>romains</w:t>
      </w:r>
      <w:r w:rsidRPr="002C4077">
        <w:t xml:space="preserve"> </w:t>
      </w:r>
      <w:r>
        <w:t>peuvent</w:t>
      </w:r>
      <w:r w:rsidRPr="002C4077">
        <w:t xml:space="preserve"> </w:t>
      </w:r>
      <w:r>
        <w:t>remporter</w:t>
      </w:r>
      <w:r w:rsidRPr="002C4077">
        <w:t xml:space="preserve"> </w:t>
      </w:r>
      <w:r>
        <w:t>un</w:t>
      </w:r>
      <w:r w:rsidRPr="002C4077">
        <w:t xml:space="preserve"> </w:t>
      </w:r>
      <w:r>
        <w:t>triomphe</w:t>
      </w:r>
      <w:r w:rsidRPr="002C4077">
        <w:t xml:space="preserve"> </w:t>
      </w:r>
      <w:r>
        <w:t>de</w:t>
      </w:r>
      <w:r w:rsidRPr="002C4077">
        <w:t xml:space="preserve"> </w:t>
      </w:r>
      <w:r>
        <w:t>controverse</w:t>
      </w:r>
      <w:r w:rsidRPr="002C4077">
        <w:t xml:space="preserve"> </w:t>
      </w:r>
      <w:r>
        <w:t>parce</w:t>
      </w:r>
      <w:r w:rsidRPr="002C4077">
        <w:t xml:space="preserve"> </w:t>
      </w:r>
      <w:r>
        <w:t>que,</w:t>
      </w:r>
      <w:r w:rsidRPr="002C4077">
        <w:t xml:space="preserve"> </w:t>
      </w:r>
      <w:r>
        <w:t>dans</w:t>
      </w:r>
      <w:r w:rsidRPr="002C4077">
        <w:t xml:space="preserve"> </w:t>
      </w:r>
      <w:r>
        <w:t>certains</w:t>
      </w:r>
      <w:r w:rsidRPr="002C4077">
        <w:t xml:space="preserve"> </w:t>
      </w:r>
      <w:r>
        <w:t>cas,</w:t>
      </w:r>
      <w:r w:rsidRPr="002C4077">
        <w:t xml:space="preserve"> </w:t>
      </w:r>
      <w:r>
        <w:t>la</w:t>
      </w:r>
      <w:r w:rsidRPr="002C4077">
        <w:t xml:space="preserve"> </w:t>
      </w:r>
      <w:r>
        <w:t>version</w:t>
      </w:r>
      <w:r w:rsidRPr="002C4077">
        <w:t xml:space="preserve"> </w:t>
      </w:r>
      <w:r>
        <w:t>qu’ils</w:t>
      </w:r>
      <w:r w:rsidRPr="002C4077">
        <w:t xml:space="preserve"> </w:t>
      </w:r>
      <w:r>
        <w:t>estiment</w:t>
      </w:r>
      <w:r w:rsidRPr="002C4077">
        <w:t xml:space="preserve"> </w:t>
      </w:r>
      <w:r>
        <w:t>tant</w:t>
      </w:r>
      <w:r w:rsidRPr="002C4077">
        <w:t xml:space="preserve"> </w:t>
      </w:r>
      <w:r w:rsidR="00425C50">
        <w:t>est</w:t>
      </w:r>
      <w:r w:rsidRPr="002C4077">
        <w:t xml:space="preserve"> </w:t>
      </w:r>
      <w:r>
        <w:t>supérieure</w:t>
      </w:r>
      <w:r w:rsidRPr="002C4077">
        <w:t xml:space="preserve"> </w:t>
      </w:r>
      <w:r>
        <w:t>à</w:t>
      </w:r>
      <w:r w:rsidRPr="002C4077">
        <w:t xml:space="preserve"> </w:t>
      </w:r>
      <w:r>
        <w:t>la</w:t>
      </w:r>
      <w:r w:rsidRPr="002C4077">
        <w:t xml:space="preserve"> </w:t>
      </w:r>
      <w:r>
        <w:t>nôtre</w:t>
      </w:r>
      <w:r w:rsidR="00B546AF">
        <w:t> »</w:t>
      </w:r>
      <w:r>
        <w:t>.</w:t>
      </w:r>
      <w:r w:rsidRPr="002C4077">
        <w:t xml:space="preserve"> </w:t>
      </w:r>
    </w:p>
    <w:p w:rsidR="000A7AAB" w:rsidRDefault="000A7AAB" w:rsidP="000A7AAB">
      <w:pPr>
        <w:rPr>
          <w:rStyle w:val="italicus"/>
        </w:rPr>
      </w:pPr>
      <w:r w:rsidRPr="00FB4E2C">
        <w:rPr>
          <w:rStyle w:val="italicus"/>
        </w:rPr>
        <w:t>Risum</w:t>
      </w:r>
      <w:r w:rsidRPr="002C4077">
        <w:t xml:space="preserve"> </w:t>
      </w:r>
      <w:r w:rsidRPr="00FB4E2C">
        <w:rPr>
          <w:rStyle w:val="italicus"/>
        </w:rPr>
        <w:t>t</w:t>
      </w:r>
      <w:r w:rsidR="003B53FD" w:rsidRPr="00FB4E2C">
        <w:rPr>
          <w:rStyle w:val="italicus"/>
        </w:rPr>
        <w:t>eneátis</w:t>
      </w:r>
      <w:r w:rsidRPr="00FB4E2C">
        <w:rPr>
          <w:rStyle w:val="italicus"/>
        </w:rPr>
        <w:t>,</w:t>
      </w:r>
      <w:r w:rsidRPr="002C4077">
        <w:t xml:space="preserve"> </w:t>
      </w:r>
      <w:bookmarkStart w:id="482" w:name="z_Revision_o3"/>
      <w:bookmarkEnd w:id="482"/>
      <w:r w:rsidR="00FB4E2C" w:rsidRPr="00FB4E2C">
        <w:rPr>
          <w:rStyle w:val="italicus"/>
        </w:rPr>
        <w:t>amíci</w:t>
      </w:r>
      <w:r w:rsidR="00B546AF" w:rsidRPr="00FB4E2C">
        <w:rPr>
          <w:rStyle w:val="italicus"/>
        </w:rPr>
        <w:t> !</w:t>
      </w:r>
      <w:r w:rsidRPr="002C4077">
        <w:t xml:space="preserve"> </w:t>
      </w:r>
    </w:p>
    <w:p w:rsidR="00FB4E2C" w:rsidRPr="00FB4E2C" w:rsidRDefault="00FB4E2C" w:rsidP="000A7AAB"/>
    <w:p w:rsidR="000A7AAB" w:rsidRDefault="000A7AAB" w:rsidP="000A7AAB">
      <w:r>
        <w:rPr>
          <w:smallCaps/>
        </w:rPr>
        <w:t>2°</w:t>
      </w:r>
      <w:r w:rsidRPr="002C4077">
        <w:t xml:space="preserve"> </w:t>
      </w:r>
      <w:r>
        <w:rPr>
          <w:smallCaps/>
        </w:rPr>
        <w:t>Pendant</w:t>
      </w:r>
      <w:r w:rsidRPr="002C4077">
        <w:t xml:space="preserve"> </w:t>
      </w:r>
      <w:r>
        <w:rPr>
          <w:smallCaps/>
        </w:rPr>
        <w:t>la</w:t>
      </w:r>
      <w:r w:rsidRPr="002C4077">
        <w:t xml:space="preserve"> </w:t>
      </w:r>
      <w:r>
        <w:rPr>
          <w:smallCaps/>
        </w:rPr>
        <w:t>révision</w:t>
      </w:r>
      <w:r>
        <w:t>.</w:t>
      </w:r>
      <w:bookmarkStart w:id="483" w:name="z_Revision_o4"/>
      <w:bookmarkEnd w:id="483"/>
      <w:r w:rsidRPr="002C4077">
        <w:t xml:space="preserve"> </w:t>
      </w:r>
      <w:r>
        <w:t>—</w:t>
      </w:r>
      <w:r w:rsidRPr="002C4077">
        <w:t xml:space="preserve"> </w:t>
      </w:r>
      <w:r>
        <w:t>Considérons</w:t>
      </w:r>
      <w:r w:rsidRPr="002C4077">
        <w:t xml:space="preserve"> </w:t>
      </w:r>
      <w:r>
        <w:t>maintenant</w:t>
      </w:r>
      <w:r w:rsidRPr="002C4077">
        <w:t xml:space="preserve"> </w:t>
      </w:r>
      <w:r>
        <w:t>les</w:t>
      </w:r>
      <w:r w:rsidRPr="002C4077">
        <w:t xml:space="preserve"> </w:t>
      </w:r>
      <w:r>
        <w:t>réviseurs</w:t>
      </w:r>
      <w:r w:rsidRPr="002C4077">
        <w:t xml:space="preserve"> </w:t>
      </w:r>
      <w:r>
        <w:t>à</w:t>
      </w:r>
      <w:r w:rsidRPr="002C4077">
        <w:t xml:space="preserve"> </w:t>
      </w:r>
      <w:r>
        <w:t>l’œuvre.</w:t>
      </w:r>
      <w:r w:rsidRPr="002C4077">
        <w:t xml:space="preserve"> </w:t>
      </w:r>
      <w:r>
        <w:t>Le</w:t>
      </w:r>
      <w:r w:rsidRPr="002C4077">
        <w:t xml:space="preserve"> </w:t>
      </w:r>
      <w:r>
        <w:t>parti</w:t>
      </w:r>
      <w:r w:rsidRPr="002C4077">
        <w:t xml:space="preserve"> </w:t>
      </w:r>
      <w:r>
        <w:t>qui</w:t>
      </w:r>
      <w:r w:rsidRPr="002C4077">
        <w:t xml:space="preserve"> </w:t>
      </w:r>
      <w:r>
        <w:t>désirait</w:t>
      </w:r>
      <w:r w:rsidRPr="002C4077">
        <w:t xml:space="preserve"> </w:t>
      </w:r>
      <w:r>
        <w:t>la</w:t>
      </w:r>
      <w:r w:rsidRPr="002C4077">
        <w:t xml:space="preserve"> </w:t>
      </w:r>
      <w:r>
        <w:t>correction</w:t>
      </w:r>
      <w:r w:rsidRPr="002C4077">
        <w:t xml:space="preserve"> </w:t>
      </w:r>
      <w:r>
        <w:t>avait</w:t>
      </w:r>
      <w:r w:rsidRPr="002C4077">
        <w:t xml:space="preserve"> </w:t>
      </w:r>
      <w:r>
        <w:t>eu</w:t>
      </w:r>
      <w:r w:rsidRPr="002C4077">
        <w:t xml:space="preserve"> </w:t>
      </w:r>
      <w:r>
        <w:t>en</w:t>
      </w:r>
      <w:r w:rsidRPr="002C4077">
        <w:t xml:space="preserve"> </w:t>
      </w:r>
      <w:r>
        <w:t>effet</w:t>
      </w:r>
      <w:r w:rsidRPr="002C4077">
        <w:t xml:space="preserve"> </w:t>
      </w:r>
      <w:r>
        <w:t>gain</w:t>
      </w:r>
      <w:r w:rsidRPr="002C4077">
        <w:t xml:space="preserve"> </w:t>
      </w:r>
      <w:r>
        <w:t>de</w:t>
      </w:r>
      <w:r w:rsidRPr="002C4077">
        <w:t xml:space="preserve"> </w:t>
      </w:r>
      <w:r>
        <w:t>cause,</w:t>
      </w:r>
      <w:r w:rsidRPr="002C4077">
        <w:t xml:space="preserve"> </w:t>
      </w:r>
      <w:r>
        <w:t>sans</w:t>
      </w:r>
      <w:r w:rsidRPr="002C4077">
        <w:t xml:space="preserve"> </w:t>
      </w:r>
      <w:r>
        <w:t>réussir</w:t>
      </w:r>
      <w:r w:rsidRPr="002C4077">
        <w:t xml:space="preserve"> </w:t>
      </w:r>
      <w:r>
        <w:t>pourtant,</w:t>
      </w:r>
      <w:r w:rsidRPr="002C4077">
        <w:t xml:space="preserve"> </w:t>
      </w:r>
      <w:r>
        <w:t>on</w:t>
      </w:r>
      <w:r w:rsidRPr="002C4077">
        <w:t xml:space="preserve"> </w:t>
      </w:r>
      <w:r>
        <w:t>le</w:t>
      </w:r>
      <w:r w:rsidRPr="002C4077">
        <w:t xml:space="preserve"> </w:t>
      </w:r>
      <w:r>
        <w:t>verra</w:t>
      </w:r>
      <w:r w:rsidRPr="002C4077">
        <w:t xml:space="preserve"> </w:t>
      </w:r>
      <w:r>
        <w:t>bientôt,</w:t>
      </w:r>
      <w:r w:rsidRPr="002C4077">
        <w:t xml:space="preserve"> </w:t>
      </w:r>
      <w:r>
        <w:t>à</w:t>
      </w:r>
      <w:r w:rsidRPr="002C4077">
        <w:t xml:space="preserve"> </w:t>
      </w:r>
      <w:r>
        <w:t>calmer</w:t>
      </w:r>
      <w:r w:rsidRPr="002C4077">
        <w:t xml:space="preserve"> </w:t>
      </w:r>
      <w:r>
        <w:t>ses</w:t>
      </w:r>
      <w:r w:rsidRPr="002C4077">
        <w:t xml:space="preserve"> </w:t>
      </w:r>
      <w:r>
        <w:t>contradicteurs.</w:t>
      </w:r>
      <w:r w:rsidRPr="002C4077">
        <w:t xml:space="preserve"> </w:t>
      </w:r>
    </w:p>
    <w:p w:rsidR="000A7AAB" w:rsidRDefault="000A7AAB" w:rsidP="000A7AAB">
      <w:r>
        <w:t>Entrons</w:t>
      </w:r>
      <w:r w:rsidRPr="002C4077">
        <w:t xml:space="preserve"> </w:t>
      </w:r>
      <w:r>
        <w:t>dans</w:t>
      </w:r>
      <w:r w:rsidRPr="002C4077">
        <w:t xml:space="preserve"> </w:t>
      </w:r>
      <w:r>
        <w:t>ce</w:t>
      </w:r>
      <w:r w:rsidRPr="002C4077">
        <w:t xml:space="preserve"> </w:t>
      </w:r>
      <w:r>
        <w:t>qu’on</w:t>
      </w:r>
      <w:r w:rsidRPr="002C4077">
        <w:t xml:space="preserve"> </w:t>
      </w:r>
      <w:r>
        <w:t>nomme</w:t>
      </w:r>
      <w:r w:rsidRPr="002C4077">
        <w:t xml:space="preserve"> </w:t>
      </w:r>
      <w:r>
        <w:t>à</w:t>
      </w:r>
      <w:r w:rsidRPr="002C4077">
        <w:t xml:space="preserve"> </w:t>
      </w:r>
      <w:r>
        <w:t>Londres</w:t>
      </w:r>
      <w:r w:rsidRPr="002C4077">
        <w:t xml:space="preserve"> </w:t>
      </w:r>
      <w:r>
        <w:t>la</w:t>
      </w:r>
      <w:r w:rsidRPr="002C4077">
        <w:t xml:space="preserve"> </w:t>
      </w:r>
      <w:r w:rsidRPr="000A34B5">
        <w:rPr>
          <w:rStyle w:val="italicus"/>
        </w:rPr>
        <w:t>Jérusalem</w:t>
      </w:r>
      <w:r w:rsidRPr="002C4077">
        <w:t xml:space="preserve"> </w:t>
      </w:r>
      <w:r w:rsidRPr="000A34B5">
        <w:rPr>
          <w:rStyle w:val="italicus"/>
        </w:rPr>
        <w:t>Chamber.</w:t>
      </w:r>
      <w:r w:rsidRPr="002C4077">
        <w:t xml:space="preserve"> </w:t>
      </w:r>
      <w:r>
        <w:t>Nous</w:t>
      </w:r>
      <w:r w:rsidRPr="002C4077">
        <w:t xml:space="preserve"> </w:t>
      </w:r>
      <w:r>
        <w:t>trouvons,</w:t>
      </w:r>
      <w:r w:rsidRPr="002C4077">
        <w:t xml:space="preserve"> </w:t>
      </w:r>
      <w:r>
        <w:t>dans</w:t>
      </w:r>
      <w:r w:rsidRPr="002C4077">
        <w:t xml:space="preserve"> </w:t>
      </w:r>
      <w:r>
        <w:t>le</w:t>
      </w:r>
      <w:r w:rsidRPr="002C4077">
        <w:t xml:space="preserve"> </w:t>
      </w:r>
      <w:r>
        <w:t>plein</w:t>
      </w:r>
      <w:r w:rsidRPr="002C4077">
        <w:t xml:space="preserve"> </w:t>
      </w:r>
      <w:r>
        <w:t>exercice</w:t>
      </w:r>
      <w:r w:rsidRPr="002C4077">
        <w:t xml:space="preserve"> </w:t>
      </w:r>
      <w:r>
        <w:t>de</w:t>
      </w:r>
      <w:r w:rsidRPr="002C4077">
        <w:t xml:space="preserve"> </w:t>
      </w:r>
      <w:r>
        <w:t>ses</w:t>
      </w:r>
      <w:r w:rsidRPr="002C4077">
        <w:t xml:space="preserve"> </w:t>
      </w:r>
      <w:r>
        <w:t>fonctions,</w:t>
      </w:r>
      <w:r w:rsidRPr="002C4077">
        <w:t xml:space="preserve"> </w:t>
      </w:r>
      <w:r>
        <w:t>la</w:t>
      </w:r>
      <w:r w:rsidRPr="002C4077">
        <w:t xml:space="preserve"> </w:t>
      </w:r>
      <w:r>
        <w:t>commission</w:t>
      </w:r>
      <w:r w:rsidRPr="002C4077">
        <w:t xml:space="preserve"> </w:t>
      </w:r>
      <w:r>
        <w:t>chargée</w:t>
      </w:r>
      <w:r w:rsidRPr="002C4077">
        <w:t xml:space="preserve"> </w:t>
      </w:r>
      <w:r>
        <w:t>de</w:t>
      </w:r>
      <w:r w:rsidRPr="002C4077">
        <w:t xml:space="preserve"> </w:t>
      </w:r>
      <w:r>
        <w:t>réviser</w:t>
      </w:r>
      <w:r w:rsidRPr="002C4077">
        <w:t xml:space="preserve"> </w:t>
      </w:r>
      <w:r>
        <w:t>le</w:t>
      </w:r>
      <w:r w:rsidRPr="002C4077">
        <w:t xml:space="preserve"> </w:t>
      </w:r>
      <w:r>
        <w:t>Nouveau</w:t>
      </w:r>
      <w:r w:rsidRPr="002C4077">
        <w:t xml:space="preserve"> </w:t>
      </w:r>
      <w:r>
        <w:t>Testament.</w:t>
      </w:r>
      <w:r w:rsidRPr="002C4077">
        <w:t xml:space="preserve"> </w:t>
      </w:r>
    </w:p>
    <w:p w:rsidR="000A7AAB" w:rsidRDefault="000A7AAB" w:rsidP="000A7AAB">
      <w:r>
        <w:t>Elle</w:t>
      </w:r>
      <w:r w:rsidRPr="002C4077">
        <w:t xml:space="preserve"> </w:t>
      </w:r>
      <w:r>
        <w:t>se</w:t>
      </w:r>
      <w:r w:rsidRPr="002C4077">
        <w:t xml:space="preserve"> </w:t>
      </w:r>
      <w:r>
        <w:t>compose</w:t>
      </w:r>
      <w:r w:rsidRPr="002C4077">
        <w:t xml:space="preserve"> </w:t>
      </w:r>
      <w:r>
        <w:t>d’un</w:t>
      </w:r>
      <w:r w:rsidRPr="002C4077">
        <w:t xml:space="preserve"> </w:t>
      </w:r>
      <w:r>
        <w:t>comité</w:t>
      </w:r>
      <w:r w:rsidRPr="002C4077">
        <w:t xml:space="preserve"> </w:t>
      </w:r>
      <w:r>
        <w:t>primitif</w:t>
      </w:r>
      <w:r w:rsidRPr="002C4077">
        <w:t xml:space="preserve"> </w:t>
      </w:r>
      <w:r>
        <w:t>de</w:t>
      </w:r>
      <w:r w:rsidRPr="002C4077">
        <w:t xml:space="preserve"> </w:t>
      </w:r>
      <w:r>
        <w:t>sept</w:t>
      </w:r>
      <w:r w:rsidRPr="002C4077">
        <w:t xml:space="preserve"> </w:t>
      </w:r>
      <w:r>
        <w:t>membres,</w:t>
      </w:r>
      <w:r w:rsidRPr="002C4077">
        <w:t xml:space="preserve"> </w:t>
      </w:r>
      <w:r>
        <w:t>puis</w:t>
      </w:r>
      <w:r w:rsidRPr="002C4077">
        <w:t xml:space="preserve"> </w:t>
      </w:r>
      <w:r>
        <w:t>de</w:t>
      </w:r>
      <w:r w:rsidRPr="002C4077">
        <w:t xml:space="preserve"> </w:t>
      </w:r>
      <w:r>
        <w:t>dix-sept</w:t>
      </w:r>
      <w:r w:rsidRPr="002C4077">
        <w:t xml:space="preserve"> </w:t>
      </w:r>
      <w:r>
        <w:t>autres</w:t>
      </w:r>
      <w:r w:rsidRPr="002C4077">
        <w:t xml:space="preserve"> </w:t>
      </w:r>
      <w:r>
        <w:t>membres</w:t>
      </w:r>
      <w:r w:rsidRPr="002C4077">
        <w:t xml:space="preserve"> </w:t>
      </w:r>
      <w:r>
        <w:t>que</w:t>
      </w:r>
      <w:r w:rsidRPr="002C4077">
        <w:t xml:space="preserve"> </w:t>
      </w:r>
      <w:r>
        <w:t>ce</w:t>
      </w:r>
      <w:r w:rsidRPr="002C4077">
        <w:t xml:space="preserve"> </w:t>
      </w:r>
      <w:r>
        <w:t>comité</w:t>
      </w:r>
      <w:r w:rsidRPr="002C4077">
        <w:t xml:space="preserve"> </w:t>
      </w:r>
      <w:r>
        <w:t>avait</w:t>
      </w:r>
      <w:r w:rsidRPr="002C4077">
        <w:t xml:space="preserve"> </w:t>
      </w:r>
      <w:r>
        <w:t>été</w:t>
      </w:r>
      <w:r w:rsidRPr="002C4077">
        <w:t xml:space="preserve"> </w:t>
      </w:r>
      <w:r w:rsidR="00B546AF">
        <w:t>« </w:t>
      </w:r>
      <w:r>
        <w:t>autorisé</w:t>
      </w:r>
      <w:r w:rsidR="00B546AF">
        <w:t> »</w:t>
      </w:r>
      <w:r w:rsidRPr="002C4077">
        <w:t xml:space="preserve"> </w:t>
      </w:r>
      <w:r>
        <w:t>à</w:t>
      </w:r>
      <w:r w:rsidRPr="002C4077">
        <w:t xml:space="preserve"> </w:t>
      </w:r>
      <w:r>
        <w:t>élire</w:t>
      </w:r>
      <w:r w:rsidRPr="002C4077">
        <w:t xml:space="preserve"> </w:t>
      </w:r>
      <w:r>
        <w:t>lui-même</w:t>
      </w:r>
      <w:r w:rsidR="009269FC">
        <w:rPr>
          <w:rStyle w:val="Appelnotedebasdep"/>
        </w:rPr>
        <w:footnoteReference w:id="633"/>
      </w:r>
      <w:r w:rsidR="009269FC">
        <w:t>.</w:t>
      </w:r>
      <w:r w:rsidR="00C45B47">
        <w:t xml:space="preserve"> {</w:t>
      </w:r>
      <w:r w:rsidR="001F5257">
        <w:t>189</w:t>
      </w:r>
      <w:bookmarkStart w:id="484" w:name="p189"/>
      <w:bookmarkEnd w:id="484"/>
      <w:r w:rsidR="001F5257">
        <w:t xml:space="preserve">} </w:t>
      </w:r>
      <w:r>
        <w:t>Mais</w:t>
      </w:r>
      <w:r w:rsidRPr="002C4077">
        <w:t xml:space="preserve"> </w:t>
      </w:r>
      <w:r>
        <w:t>d’où</w:t>
      </w:r>
      <w:r w:rsidRPr="002C4077">
        <w:t xml:space="preserve"> </w:t>
      </w:r>
      <w:r>
        <w:t>lui</w:t>
      </w:r>
      <w:r w:rsidRPr="002C4077">
        <w:t xml:space="preserve"> </w:t>
      </w:r>
      <w:r>
        <w:t>venait</w:t>
      </w:r>
      <w:r w:rsidRPr="002C4077">
        <w:t xml:space="preserve"> </w:t>
      </w:r>
      <w:r>
        <w:t>cette</w:t>
      </w:r>
      <w:r w:rsidRPr="002C4077">
        <w:t xml:space="preserve"> </w:t>
      </w:r>
      <w:r>
        <w:t>autorisation</w:t>
      </w:r>
      <w:r w:rsidRPr="002C4077">
        <w:t xml:space="preserve"> </w:t>
      </w:r>
      <w:r>
        <w:t>prétendue</w:t>
      </w:r>
      <w:r w:rsidR="00B546AF">
        <w:t> ?</w:t>
      </w:r>
      <w:r w:rsidRPr="002C4077">
        <w:t xml:space="preserve"> </w:t>
      </w:r>
      <w:r>
        <w:t>Bien</w:t>
      </w:r>
      <w:r w:rsidRPr="002C4077">
        <w:t xml:space="preserve"> </w:t>
      </w:r>
      <w:r>
        <w:t>plus,</w:t>
      </w:r>
      <w:r w:rsidRPr="002C4077">
        <w:t xml:space="preserve"> </w:t>
      </w:r>
      <w:r>
        <w:t>d’où</w:t>
      </w:r>
      <w:r w:rsidRPr="002C4077">
        <w:t xml:space="preserve"> </w:t>
      </w:r>
      <w:r>
        <w:t>venait</w:t>
      </w:r>
      <w:r w:rsidRPr="002C4077">
        <w:t xml:space="preserve"> </w:t>
      </w:r>
      <w:r>
        <w:t>sa</w:t>
      </w:r>
      <w:r w:rsidRPr="002C4077">
        <w:t xml:space="preserve"> </w:t>
      </w:r>
      <w:r>
        <w:t>propre</w:t>
      </w:r>
      <w:r w:rsidRPr="002C4077">
        <w:t xml:space="preserve"> </w:t>
      </w:r>
      <w:r>
        <w:t>existence</w:t>
      </w:r>
      <w:r w:rsidR="00B546AF">
        <w:t> ?</w:t>
      </w:r>
      <w:r w:rsidRPr="002C4077">
        <w:t xml:space="preserve"> </w:t>
      </w:r>
      <w:r>
        <w:t>La</w:t>
      </w:r>
      <w:r w:rsidRPr="002C4077">
        <w:t xml:space="preserve"> </w:t>
      </w:r>
      <w:r w:rsidRPr="000A34B5">
        <w:rPr>
          <w:rStyle w:val="italicus"/>
        </w:rPr>
        <w:t>Convocation</w:t>
      </w:r>
      <w:r w:rsidRPr="004440EA">
        <w:t xml:space="preserve"> (</w:t>
      </w:r>
      <w:r>
        <w:t>c’est-à-dire,</w:t>
      </w:r>
      <w:r w:rsidRPr="002C4077">
        <w:t xml:space="preserve"> </w:t>
      </w:r>
      <w:r>
        <w:t>en</w:t>
      </w:r>
      <w:r w:rsidRPr="002C4077">
        <w:t xml:space="preserve"> </w:t>
      </w:r>
      <w:r>
        <w:t>style</w:t>
      </w:r>
      <w:r w:rsidRPr="002C4077">
        <w:t xml:space="preserve"> </w:t>
      </w:r>
      <w:r>
        <w:t>anglican,</w:t>
      </w:r>
      <w:r w:rsidRPr="002C4077">
        <w:t xml:space="preserve"> </w:t>
      </w:r>
      <w:r>
        <w:t>le</w:t>
      </w:r>
      <w:r w:rsidRPr="002C4077">
        <w:t xml:space="preserve"> </w:t>
      </w:r>
      <w:r>
        <w:t>synode</w:t>
      </w:r>
      <w:r w:rsidR="00B546AF" w:rsidRPr="002C4077">
        <w:t>)</w:t>
      </w:r>
      <w:r w:rsidRPr="002C4077">
        <w:t xml:space="preserve"> </w:t>
      </w:r>
      <w:r>
        <w:t>de</w:t>
      </w:r>
      <w:r w:rsidRPr="002C4077">
        <w:t xml:space="preserve"> </w:t>
      </w:r>
      <w:r>
        <w:t>la</w:t>
      </w:r>
      <w:r w:rsidRPr="002C4077">
        <w:t xml:space="preserve"> </w:t>
      </w:r>
      <w:r>
        <w:t>province</w:t>
      </w:r>
      <w:r w:rsidRPr="002C4077">
        <w:t xml:space="preserve"> </w:t>
      </w:r>
      <w:r>
        <w:t>ecclésiastique</w:t>
      </w:r>
      <w:r w:rsidRPr="002C4077">
        <w:t xml:space="preserve"> </w:t>
      </w:r>
      <w:r>
        <w:t>de</w:t>
      </w:r>
      <w:r w:rsidRPr="002C4077">
        <w:t xml:space="preserve"> </w:t>
      </w:r>
      <w:r>
        <w:t>Cantorbéry,</w:t>
      </w:r>
      <w:r w:rsidRPr="002C4077">
        <w:t xml:space="preserve"> </w:t>
      </w:r>
      <w:r>
        <w:t>qui</w:t>
      </w:r>
      <w:r w:rsidRPr="002C4077">
        <w:t xml:space="preserve"> </w:t>
      </w:r>
      <w:r>
        <w:t>lui</w:t>
      </w:r>
      <w:r w:rsidRPr="002C4077">
        <w:t xml:space="preserve"> </w:t>
      </w:r>
      <w:r>
        <w:t>avait</w:t>
      </w:r>
      <w:r w:rsidRPr="002C4077">
        <w:t xml:space="preserve"> </w:t>
      </w:r>
      <w:r>
        <w:t>conféré</w:t>
      </w:r>
      <w:r w:rsidRPr="002C4077">
        <w:t xml:space="preserve"> </w:t>
      </w:r>
      <w:r>
        <w:t>sa</w:t>
      </w:r>
      <w:r w:rsidRPr="002C4077">
        <w:t xml:space="preserve"> </w:t>
      </w:r>
      <w:r>
        <w:t>mission</w:t>
      </w:r>
      <w:r w:rsidR="00B91AF7">
        <w:rPr>
          <w:rStyle w:val="Appelnotedebasdep"/>
        </w:rPr>
        <w:footnoteReference w:id="634"/>
      </w:r>
      <w:r>
        <w:t>,</w:t>
      </w:r>
      <w:r w:rsidRPr="002C4077">
        <w:t xml:space="preserve"> </w:t>
      </w:r>
      <w:r>
        <w:t>n’était</w:t>
      </w:r>
      <w:r w:rsidRPr="002C4077">
        <w:t xml:space="preserve"> </w:t>
      </w:r>
      <w:r>
        <w:t>en</w:t>
      </w:r>
      <w:r w:rsidRPr="002C4077">
        <w:t xml:space="preserve"> </w:t>
      </w:r>
      <w:r>
        <w:t>réalité</w:t>
      </w:r>
      <w:r w:rsidRPr="002C4077">
        <w:t xml:space="preserve"> </w:t>
      </w:r>
      <w:r>
        <w:t>qu’une</w:t>
      </w:r>
      <w:r w:rsidRPr="002C4077">
        <w:t xml:space="preserve"> </w:t>
      </w:r>
      <w:r>
        <w:t>assemblée</w:t>
      </w:r>
      <w:r w:rsidRPr="002C4077">
        <w:t xml:space="preserve"> </w:t>
      </w:r>
      <w:r>
        <w:t>humaine,</w:t>
      </w:r>
      <w:r w:rsidRPr="002C4077">
        <w:t xml:space="preserve"> </w:t>
      </w:r>
      <w:r>
        <w:t>tout</w:t>
      </w:r>
      <w:r w:rsidRPr="002C4077">
        <w:t xml:space="preserve"> </w:t>
      </w:r>
      <w:r>
        <w:t>à</w:t>
      </w:r>
      <w:r w:rsidRPr="002C4077">
        <w:t xml:space="preserve"> </w:t>
      </w:r>
      <w:r>
        <w:t>fait</w:t>
      </w:r>
      <w:r w:rsidRPr="002C4077">
        <w:t xml:space="preserve"> </w:t>
      </w:r>
      <w:r>
        <w:t>incapable</w:t>
      </w:r>
      <w:r w:rsidRPr="002C4077">
        <w:t xml:space="preserve"> </w:t>
      </w:r>
      <w:r>
        <w:t>d’octroyer</w:t>
      </w:r>
      <w:r w:rsidRPr="002C4077">
        <w:t xml:space="preserve"> </w:t>
      </w:r>
      <w:r>
        <w:t>d’autres</w:t>
      </w:r>
      <w:r w:rsidRPr="002C4077">
        <w:t xml:space="preserve"> </w:t>
      </w:r>
      <w:r>
        <w:t>pouvoirs</w:t>
      </w:r>
      <w:r w:rsidRPr="002C4077">
        <w:t xml:space="preserve"> </w:t>
      </w:r>
      <w:r>
        <w:t>que</w:t>
      </w:r>
      <w:r w:rsidRPr="002C4077">
        <w:t xml:space="preserve"> </w:t>
      </w:r>
      <w:r>
        <w:t>des</w:t>
      </w:r>
      <w:r w:rsidRPr="002C4077">
        <w:t xml:space="preserve"> </w:t>
      </w:r>
      <w:r>
        <w:t>pouvoirs</w:t>
      </w:r>
      <w:r w:rsidRPr="002C4077">
        <w:t xml:space="preserve"> </w:t>
      </w:r>
      <w:r>
        <w:t>humains.</w:t>
      </w:r>
      <w:r w:rsidRPr="002C4077">
        <w:t xml:space="preserve"> </w:t>
      </w:r>
      <w:r>
        <w:t>S.</w:t>
      </w:r>
      <w:r w:rsidRPr="002C4077">
        <w:t xml:space="preserve"> </w:t>
      </w:r>
      <w:r>
        <w:t>E.</w:t>
      </w:r>
      <w:r w:rsidRPr="002C4077">
        <w:t xml:space="preserve"> </w:t>
      </w:r>
      <w:r>
        <w:t>le</w:t>
      </w:r>
      <w:r w:rsidRPr="002C4077">
        <w:t xml:space="preserve"> </w:t>
      </w:r>
      <w:r>
        <w:t>cardinal</w:t>
      </w:r>
      <w:r w:rsidRPr="002C4077">
        <w:t xml:space="preserve"> </w:t>
      </w:r>
      <w:r>
        <w:lastRenderedPageBreak/>
        <w:t>Newman</w:t>
      </w:r>
      <w:r w:rsidRPr="002C4077">
        <w:t xml:space="preserve"> </w:t>
      </w:r>
      <w:r>
        <w:t>sut</w:t>
      </w:r>
      <w:r w:rsidRPr="002C4077">
        <w:t xml:space="preserve"> </w:t>
      </w:r>
      <w:r>
        <w:t>noblement</w:t>
      </w:r>
      <w:r w:rsidRPr="002C4077">
        <w:t xml:space="preserve"> </w:t>
      </w:r>
      <w:r>
        <w:t>l’insinuer,</w:t>
      </w:r>
      <w:r w:rsidRPr="002C4077">
        <w:t xml:space="preserve"> </w:t>
      </w:r>
      <w:r>
        <w:t>quand,</w:t>
      </w:r>
      <w:r w:rsidRPr="002C4077">
        <w:t xml:space="preserve"> </w:t>
      </w:r>
      <w:r>
        <w:t>invité</w:t>
      </w:r>
      <w:r w:rsidRPr="002C4077">
        <w:t xml:space="preserve"> </w:t>
      </w:r>
      <w:r>
        <w:t>à</w:t>
      </w:r>
      <w:r w:rsidRPr="002C4077">
        <w:t xml:space="preserve"> </w:t>
      </w:r>
      <w:r>
        <w:t>faire</w:t>
      </w:r>
      <w:r w:rsidRPr="002C4077">
        <w:t xml:space="preserve"> </w:t>
      </w:r>
      <w:r>
        <w:t>partie</w:t>
      </w:r>
      <w:r w:rsidRPr="002C4077">
        <w:t xml:space="preserve"> </w:t>
      </w:r>
      <w:r>
        <w:t>de</w:t>
      </w:r>
      <w:r w:rsidRPr="002C4077">
        <w:t xml:space="preserve"> </w:t>
      </w:r>
      <w:r>
        <w:t>la</w:t>
      </w:r>
      <w:r w:rsidRPr="002C4077">
        <w:t xml:space="preserve"> </w:t>
      </w:r>
      <w:r>
        <w:t>société</w:t>
      </w:r>
      <w:r w:rsidRPr="002C4077">
        <w:t xml:space="preserve"> </w:t>
      </w:r>
      <w:r>
        <w:t>des</w:t>
      </w:r>
      <w:r w:rsidRPr="002C4077">
        <w:t xml:space="preserve"> </w:t>
      </w:r>
      <w:r>
        <w:t>réviseurs,</w:t>
      </w:r>
      <w:r w:rsidRPr="002C4077">
        <w:t xml:space="preserve"> </w:t>
      </w:r>
      <w:r>
        <w:t>il</w:t>
      </w:r>
      <w:r w:rsidRPr="002C4077">
        <w:t xml:space="preserve"> </w:t>
      </w:r>
      <w:r>
        <w:t>déclina</w:t>
      </w:r>
      <w:r w:rsidRPr="002C4077">
        <w:t xml:space="preserve"> </w:t>
      </w:r>
      <w:r>
        <w:t>ce</w:t>
      </w:r>
      <w:r w:rsidRPr="002C4077">
        <w:t xml:space="preserve"> </w:t>
      </w:r>
      <w:r>
        <w:t>singulier</w:t>
      </w:r>
      <w:r w:rsidRPr="002C4077">
        <w:t xml:space="preserve"> </w:t>
      </w:r>
      <w:r>
        <w:t>honneur,</w:t>
      </w:r>
      <w:r w:rsidRPr="002C4077">
        <w:t xml:space="preserve"> </w:t>
      </w:r>
      <w:r>
        <w:t>qui</w:t>
      </w:r>
      <w:r w:rsidRPr="002C4077">
        <w:t xml:space="preserve"> </w:t>
      </w:r>
      <w:r>
        <w:t>n’était</w:t>
      </w:r>
      <w:r w:rsidRPr="002C4077">
        <w:t xml:space="preserve"> </w:t>
      </w:r>
      <w:r>
        <w:t>point</w:t>
      </w:r>
      <w:r w:rsidRPr="002C4077">
        <w:t xml:space="preserve"> </w:t>
      </w:r>
      <w:r>
        <w:t>compatible</w:t>
      </w:r>
      <w:r w:rsidRPr="002C4077">
        <w:t xml:space="preserve"> </w:t>
      </w:r>
      <w:r>
        <w:t>avec</w:t>
      </w:r>
      <w:r w:rsidRPr="002C4077">
        <w:t xml:space="preserve"> </w:t>
      </w:r>
      <w:r>
        <w:t>les</w:t>
      </w:r>
      <w:r w:rsidRPr="002C4077">
        <w:t xml:space="preserve"> </w:t>
      </w:r>
      <w:r>
        <w:t>principes</w:t>
      </w:r>
      <w:r w:rsidRPr="002C4077">
        <w:t xml:space="preserve"> </w:t>
      </w:r>
      <w:r>
        <w:t>catholique</w:t>
      </w:r>
      <w:r w:rsidR="004377BC">
        <w:t>s</w:t>
      </w:r>
      <w:r w:rsidR="004377BC">
        <w:rPr>
          <w:rStyle w:val="Appelnotedebasdep"/>
        </w:rPr>
        <w:footnoteReference w:id="635"/>
      </w:r>
      <w:r>
        <w:t>.</w:t>
      </w:r>
      <w:r w:rsidRPr="002C4077">
        <w:t xml:space="preserve"> </w:t>
      </w:r>
      <w:r>
        <w:t>Des</w:t>
      </w:r>
      <w:r w:rsidRPr="002C4077">
        <w:t xml:space="preserve"> </w:t>
      </w:r>
      <w:r>
        <w:t>littérateurs</w:t>
      </w:r>
      <w:r w:rsidRPr="002C4077">
        <w:t xml:space="preserve"> </w:t>
      </w:r>
      <w:r>
        <w:t>nommés</w:t>
      </w:r>
      <w:r w:rsidRPr="002C4077">
        <w:t xml:space="preserve"> </w:t>
      </w:r>
      <w:r>
        <w:t>par</w:t>
      </w:r>
      <w:r w:rsidRPr="002C4077">
        <w:t xml:space="preserve"> </w:t>
      </w:r>
      <w:r>
        <w:t>leurs</w:t>
      </w:r>
      <w:r w:rsidRPr="002C4077">
        <w:t xml:space="preserve"> </w:t>
      </w:r>
      <w:r>
        <w:t>collègues</w:t>
      </w:r>
      <w:r w:rsidRPr="002C4077">
        <w:t xml:space="preserve"> </w:t>
      </w:r>
      <w:r>
        <w:t>pour</w:t>
      </w:r>
      <w:r w:rsidRPr="002C4077">
        <w:t xml:space="preserve"> </w:t>
      </w:r>
      <w:r>
        <w:t>réviser</w:t>
      </w:r>
      <w:r w:rsidRPr="002C4077">
        <w:t xml:space="preserve"> </w:t>
      </w:r>
      <w:r>
        <w:t>les</w:t>
      </w:r>
      <w:r w:rsidRPr="002C4077">
        <w:t xml:space="preserve"> </w:t>
      </w:r>
      <w:r>
        <w:t>textes</w:t>
      </w:r>
      <w:r w:rsidRPr="002C4077">
        <w:t xml:space="preserve"> </w:t>
      </w:r>
      <w:r>
        <w:t>d’Homère</w:t>
      </w:r>
      <w:r w:rsidRPr="002C4077">
        <w:t xml:space="preserve"> </w:t>
      </w:r>
      <w:r>
        <w:t>et</w:t>
      </w:r>
      <w:r w:rsidRPr="002C4077">
        <w:t xml:space="preserve"> </w:t>
      </w:r>
      <w:r>
        <w:t>d’Hésiode</w:t>
      </w:r>
      <w:r w:rsidRPr="002C4077">
        <w:t xml:space="preserve"> </w:t>
      </w:r>
      <w:r>
        <w:t>se</w:t>
      </w:r>
      <w:r w:rsidRPr="002C4077">
        <w:t xml:space="preserve"> </w:t>
      </w:r>
      <w:r>
        <w:t>seraient</w:t>
      </w:r>
      <w:r w:rsidRPr="002C4077">
        <w:t xml:space="preserve"> </w:t>
      </w:r>
      <w:r>
        <w:t>trouvés,</w:t>
      </w:r>
      <w:r w:rsidRPr="002C4077">
        <w:t xml:space="preserve"> </w:t>
      </w:r>
      <w:r>
        <w:t>au</w:t>
      </w:r>
      <w:r w:rsidRPr="002C4077">
        <w:t xml:space="preserve"> </w:t>
      </w:r>
      <w:r>
        <w:t>point</w:t>
      </w:r>
      <w:r w:rsidRPr="002C4077">
        <w:t xml:space="preserve"> </w:t>
      </w:r>
      <w:r>
        <w:t>de</w:t>
      </w:r>
      <w:r w:rsidRPr="002C4077">
        <w:t xml:space="preserve"> </w:t>
      </w:r>
      <w:r>
        <w:t>vue</w:t>
      </w:r>
      <w:r w:rsidRPr="002C4077">
        <w:t xml:space="preserve"> </w:t>
      </w:r>
      <w:r>
        <w:t>de</w:t>
      </w:r>
      <w:r w:rsidRPr="002C4077">
        <w:t xml:space="preserve"> </w:t>
      </w:r>
      <w:r>
        <w:t>l’autorité,</w:t>
      </w:r>
      <w:r w:rsidRPr="002C4077">
        <w:t xml:space="preserve"> </w:t>
      </w:r>
      <w:r>
        <w:t>absolument</w:t>
      </w:r>
      <w:r w:rsidRPr="002C4077">
        <w:t xml:space="preserve"> </w:t>
      </w:r>
      <w:r>
        <w:t>sur</w:t>
      </w:r>
      <w:r w:rsidRPr="002C4077">
        <w:t xml:space="preserve"> </w:t>
      </w:r>
      <w:r>
        <w:t>le</w:t>
      </w:r>
      <w:r w:rsidRPr="002C4077">
        <w:t xml:space="preserve"> </w:t>
      </w:r>
      <w:r>
        <w:t>même</w:t>
      </w:r>
      <w:r w:rsidRPr="002C4077">
        <w:t xml:space="preserve"> </w:t>
      </w:r>
      <w:r>
        <w:t>pied</w:t>
      </w:r>
      <w:r w:rsidRPr="002C4077">
        <w:t xml:space="preserve"> </w:t>
      </w:r>
      <w:r>
        <w:t>que</w:t>
      </w:r>
      <w:r w:rsidRPr="002C4077">
        <w:t xml:space="preserve"> </w:t>
      </w:r>
      <w:r>
        <w:t>les</w:t>
      </w:r>
      <w:r w:rsidRPr="002C4077">
        <w:t xml:space="preserve"> </w:t>
      </w:r>
      <w:r>
        <w:t>correcteurs</w:t>
      </w:r>
      <w:r w:rsidRPr="002C4077">
        <w:t xml:space="preserve"> </w:t>
      </w:r>
      <w:r>
        <w:t>de</w:t>
      </w:r>
      <w:r w:rsidRPr="002C4077">
        <w:t xml:space="preserve"> </w:t>
      </w:r>
      <w:r>
        <w:t>la</w:t>
      </w:r>
      <w:r w:rsidRPr="002C4077">
        <w:t xml:space="preserve"> </w:t>
      </w:r>
      <w:r>
        <w:t>Bible</w:t>
      </w:r>
      <w:r w:rsidRPr="002C4077">
        <w:t xml:space="preserve"> </w:t>
      </w:r>
      <w:r>
        <w:t>anglicane.</w:t>
      </w:r>
      <w:r w:rsidRPr="002C4077">
        <w:t xml:space="preserve"> </w:t>
      </w:r>
    </w:p>
    <w:p w:rsidR="000A7AAB" w:rsidRDefault="000A7AAB" w:rsidP="000A7AAB">
      <w:r>
        <w:t>La</w:t>
      </w:r>
      <w:r w:rsidRPr="002C4077">
        <w:t xml:space="preserve"> </w:t>
      </w:r>
      <w:r w:rsidRPr="000A34B5">
        <w:rPr>
          <w:rStyle w:val="italicus"/>
        </w:rPr>
        <w:t>Convocation</w:t>
      </w:r>
      <w:r w:rsidRPr="002C4077">
        <w:t xml:space="preserve"> </w:t>
      </w:r>
      <w:r>
        <w:t>de</w:t>
      </w:r>
      <w:r w:rsidRPr="002C4077">
        <w:t xml:space="preserve"> </w:t>
      </w:r>
      <w:r>
        <w:t>Cantorbéry</w:t>
      </w:r>
      <w:r w:rsidRPr="002C4077">
        <w:t xml:space="preserve"> </w:t>
      </w:r>
      <w:r>
        <w:t>avait</w:t>
      </w:r>
      <w:r w:rsidRPr="002C4077">
        <w:t xml:space="preserve"> </w:t>
      </w:r>
      <w:r>
        <w:t>exprimé</w:t>
      </w:r>
      <w:r w:rsidRPr="002C4077">
        <w:t xml:space="preserve"> </w:t>
      </w:r>
      <w:r>
        <w:t>le</w:t>
      </w:r>
      <w:r w:rsidRPr="002C4077">
        <w:t xml:space="preserve"> </w:t>
      </w:r>
      <w:r>
        <w:t>désir</w:t>
      </w:r>
      <w:r w:rsidRPr="002C4077">
        <w:t xml:space="preserve"> </w:t>
      </w:r>
      <w:r>
        <w:t>que</w:t>
      </w:r>
      <w:r w:rsidRPr="002C4077">
        <w:t xml:space="preserve"> </w:t>
      </w:r>
      <w:r>
        <w:t>le</w:t>
      </w:r>
      <w:r w:rsidRPr="002C4077">
        <w:t xml:space="preserve"> </w:t>
      </w:r>
      <w:r>
        <w:t>comité</w:t>
      </w:r>
      <w:r w:rsidRPr="002C4077">
        <w:t xml:space="preserve"> </w:t>
      </w:r>
      <w:r>
        <w:t>choisi</w:t>
      </w:r>
      <w:r w:rsidRPr="002C4077">
        <w:t xml:space="preserve"> </w:t>
      </w:r>
      <w:r>
        <w:t>par</w:t>
      </w:r>
      <w:r w:rsidRPr="002C4077">
        <w:t xml:space="preserve"> </w:t>
      </w:r>
      <w:r>
        <w:t>elle</w:t>
      </w:r>
      <w:r w:rsidRPr="002C4077">
        <w:t xml:space="preserve"> </w:t>
      </w:r>
      <w:r>
        <w:t>n’eût</w:t>
      </w:r>
      <w:r w:rsidRPr="002C4077">
        <w:t xml:space="preserve"> </w:t>
      </w:r>
      <w:r>
        <w:t>égard,</w:t>
      </w:r>
      <w:r w:rsidRPr="002C4077">
        <w:t xml:space="preserve"> </w:t>
      </w:r>
      <w:r>
        <w:t>pour</w:t>
      </w:r>
      <w:r w:rsidRPr="002C4077">
        <w:t xml:space="preserve"> </w:t>
      </w:r>
      <w:r>
        <w:t>l’élection</w:t>
      </w:r>
      <w:r w:rsidRPr="002C4077">
        <w:t xml:space="preserve"> </w:t>
      </w:r>
      <w:r>
        <w:t>des</w:t>
      </w:r>
      <w:r w:rsidRPr="002C4077">
        <w:t xml:space="preserve"> </w:t>
      </w:r>
      <w:r>
        <w:t>membres</w:t>
      </w:r>
      <w:r w:rsidRPr="002C4077">
        <w:t xml:space="preserve"> </w:t>
      </w:r>
      <w:r>
        <w:t>auxiliaires,</w:t>
      </w:r>
      <w:r w:rsidRPr="002C4077">
        <w:t xml:space="preserve"> </w:t>
      </w:r>
      <w:r w:rsidR="00B546AF">
        <w:t>« </w:t>
      </w:r>
      <w:r>
        <w:t>ni</w:t>
      </w:r>
      <w:r w:rsidRPr="002C4077">
        <w:t xml:space="preserve"> </w:t>
      </w:r>
      <w:r>
        <w:t>à</w:t>
      </w:r>
      <w:r w:rsidRPr="002C4077">
        <w:t xml:space="preserve"> </w:t>
      </w:r>
      <w:r>
        <w:t>la</w:t>
      </w:r>
      <w:r w:rsidRPr="002C4077">
        <w:t xml:space="preserve"> </w:t>
      </w:r>
      <w:r>
        <w:t>nationalité,</w:t>
      </w:r>
      <w:r w:rsidRPr="002C4077">
        <w:t xml:space="preserve"> </w:t>
      </w:r>
      <w:r>
        <w:t>ni</w:t>
      </w:r>
      <w:r w:rsidRPr="002C4077">
        <w:t xml:space="preserve"> </w:t>
      </w:r>
      <w:r>
        <w:t>au</w:t>
      </w:r>
      <w:r w:rsidRPr="002C4077">
        <w:t xml:space="preserve"> </w:t>
      </w:r>
      <w:r>
        <w:t>parti</w:t>
      </w:r>
      <w:r w:rsidRPr="002C4077">
        <w:t xml:space="preserve"> </w:t>
      </w:r>
      <w:r>
        <w:t>religieux</w:t>
      </w:r>
      <w:r w:rsidRPr="002C4077">
        <w:t xml:space="preserve"> </w:t>
      </w:r>
      <w:r>
        <w:t>auxquels</w:t>
      </w:r>
      <w:r w:rsidRPr="002C4077">
        <w:t xml:space="preserve"> </w:t>
      </w:r>
      <w:r>
        <w:t>ils</w:t>
      </w:r>
      <w:r w:rsidRPr="002C4077">
        <w:t xml:space="preserve"> </w:t>
      </w:r>
      <w:r>
        <w:t>appartiendraient</w:t>
      </w:r>
      <w:r w:rsidR="00B91AF7">
        <w:rPr>
          <w:rStyle w:val="Appelnotedebasdep"/>
        </w:rPr>
        <w:footnoteReference w:id="636"/>
      </w:r>
      <w:r w:rsidR="00B546AF">
        <w:t> »</w:t>
      </w:r>
      <w:r>
        <w:t>.</w:t>
      </w:r>
      <w:r w:rsidRPr="002C4077">
        <w:t xml:space="preserve"> </w:t>
      </w:r>
      <w:r w:rsidR="00B546AF">
        <w:t>« </w:t>
      </w:r>
      <w:r>
        <w:t>Mesure</w:t>
      </w:r>
      <w:r w:rsidRPr="002C4077">
        <w:t xml:space="preserve"> </w:t>
      </w:r>
      <w:r>
        <w:t>aussi</w:t>
      </w:r>
      <w:r w:rsidRPr="002C4077">
        <w:t xml:space="preserve"> </w:t>
      </w:r>
      <w:r>
        <w:t>sage</w:t>
      </w:r>
      <w:r w:rsidRPr="002C4077">
        <w:t xml:space="preserve"> </w:t>
      </w:r>
      <w:r>
        <w:t>que</w:t>
      </w:r>
      <w:r w:rsidRPr="002C4077">
        <w:t xml:space="preserve"> </w:t>
      </w:r>
      <w:r>
        <w:t>juste,</w:t>
      </w:r>
      <w:r w:rsidRPr="002C4077">
        <w:t xml:space="preserve"> </w:t>
      </w:r>
      <w:r>
        <w:t>écrivait</w:t>
      </w:r>
      <w:r w:rsidRPr="002C4077">
        <w:t xml:space="preserve"> </w:t>
      </w:r>
      <w:r>
        <w:t>à</w:t>
      </w:r>
      <w:r w:rsidRPr="002C4077">
        <w:t xml:space="preserve"> </w:t>
      </w:r>
      <w:r>
        <w:t>ce</w:t>
      </w:r>
      <w:r w:rsidRPr="002C4077">
        <w:t xml:space="preserve"> </w:t>
      </w:r>
      <w:r>
        <w:t>propos</w:t>
      </w:r>
      <w:r w:rsidRPr="002C4077">
        <w:t xml:space="preserve"> </w:t>
      </w:r>
      <w:r>
        <w:t>l’un</w:t>
      </w:r>
      <w:r w:rsidRPr="002C4077">
        <w:t xml:space="preserve"> </w:t>
      </w:r>
      <w:r>
        <w:t>des</w:t>
      </w:r>
      <w:r w:rsidRPr="002C4077">
        <w:t xml:space="preserve"> </w:t>
      </w:r>
      <w:r>
        <w:t>réviseurs</w:t>
      </w:r>
      <w:r w:rsidR="00B91AF7">
        <w:rPr>
          <w:rStyle w:val="Appelnotedebasdep"/>
        </w:rPr>
        <w:footnoteReference w:id="637"/>
      </w:r>
      <w:r>
        <w:t>,</w:t>
      </w:r>
      <w:r w:rsidRPr="002C4077">
        <w:t xml:space="preserve"> </w:t>
      </w:r>
      <w:r>
        <w:t>vu</w:t>
      </w:r>
      <w:r w:rsidRPr="002C4077">
        <w:t xml:space="preserve"> </w:t>
      </w:r>
      <w:r>
        <w:t>l’intérêt</w:t>
      </w:r>
      <w:r w:rsidRPr="002C4077">
        <w:t xml:space="preserve"> </w:t>
      </w:r>
      <w:r>
        <w:t>qu’inspirait</w:t>
      </w:r>
      <w:r w:rsidRPr="002C4077">
        <w:t xml:space="preserve"> </w:t>
      </w:r>
      <w:r>
        <w:t>à</w:t>
      </w:r>
      <w:r w:rsidRPr="002C4077">
        <w:t xml:space="preserve"> </w:t>
      </w:r>
      <w:r>
        <w:t>toutes</w:t>
      </w:r>
      <w:r w:rsidRPr="002C4077">
        <w:t xml:space="preserve"> </w:t>
      </w:r>
      <w:r>
        <w:t>les</w:t>
      </w:r>
      <w:r w:rsidRPr="002C4077">
        <w:t xml:space="preserve"> </w:t>
      </w:r>
      <w:r>
        <w:t>sectes</w:t>
      </w:r>
      <w:r w:rsidRPr="002C4077">
        <w:t xml:space="preserve"> </w:t>
      </w:r>
      <w:r>
        <w:t>et</w:t>
      </w:r>
      <w:r w:rsidRPr="002C4077">
        <w:t xml:space="preserve"> </w:t>
      </w:r>
      <w:r>
        <w:t>à</w:t>
      </w:r>
      <w:r w:rsidRPr="002C4077">
        <w:t xml:space="preserve"> </w:t>
      </w:r>
      <w:r>
        <w:t>tous</w:t>
      </w:r>
      <w:r w:rsidRPr="002C4077">
        <w:t xml:space="preserve"> </w:t>
      </w:r>
      <w:r>
        <w:t>les</w:t>
      </w:r>
      <w:r w:rsidRPr="002C4077">
        <w:t xml:space="preserve"> </w:t>
      </w:r>
      <w:r>
        <w:t>partis</w:t>
      </w:r>
      <w:r w:rsidRPr="002C4077">
        <w:t xml:space="preserve"> </w:t>
      </w:r>
      <w:r>
        <w:t>le</w:t>
      </w:r>
      <w:r w:rsidRPr="002C4077">
        <w:t xml:space="preserve"> </w:t>
      </w:r>
      <w:r>
        <w:t>livre</w:t>
      </w:r>
      <w:r w:rsidRPr="002C4077">
        <w:t xml:space="preserve"> </w:t>
      </w:r>
      <w:r>
        <w:t>qu’on</w:t>
      </w:r>
      <w:r w:rsidRPr="002C4077">
        <w:t xml:space="preserve"> </w:t>
      </w:r>
      <w:r>
        <w:t>devait</w:t>
      </w:r>
      <w:r w:rsidRPr="002C4077">
        <w:t xml:space="preserve"> </w:t>
      </w:r>
      <w:r>
        <w:t>corriger</w:t>
      </w:r>
      <w:r w:rsidR="00B546AF">
        <w:t> »</w:t>
      </w:r>
      <w:r>
        <w:t>.</w:t>
      </w:r>
      <w:r w:rsidRPr="002C4077">
        <w:t xml:space="preserve"> </w:t>
      </w:r>
      <w:r>
        <w:t>Mesure</w:t>
      </w:r>
      <w:r w:rsidRPr="002C4077">
        <w:t xml:space="preserve"> </w:t>
      </w:r>
      <w:r>
        <w:t>aussi</w:t>
      </w:r>
      <w:r w:rsidRPr="002C4077">
        <w:t xml:space="preserve"> </w:t>
      </w:r>
      <w:r>
        <w:t>incompréhensible</w:t>
      </w:r>
      <w:r w:rsidRPr="002C4077">
        <w:t xml:space="preserve"> </w:t>
      </w:r>
      <w:r>
        <w:t>que</w:t>
      </w:r>
      <w:r w:rsidRPr="002C4077">
        <w:t xml:space="preserve"> </w:t>
      </w:r>
      <w:r>
        <w:t>regrettable,</w:t>
      </w:r>
      <w:r w:rsidRPr="002C4077">
        <w:t xml:space="preserve"> </w:t>
      </w:r>
      <w:r>
        <w:t>dirons-nous</w:t>
      </w:r>
      <w:r w:rsidRPr="002C4077">
        <w:t xml:space="preserve"> </w:t>
      </w:r>
      <w:r>
        <w:t>au</w:t>
      </w:r>
      <w:r w:rsidRPr="002C4077">
        <w:t xml:space="preserve"> </w:t>
      </w:r>
      <w:r>
        <w:t>contraire</w:t>
      </w:r>
      <w:r w:rsidR="00B546AF">
        <w:t> ;</w:t>
      </w:r>
      <w:r w:rsidRPr="002C4077">
        <w:t xml:space="preserve"> </w:t>
      </w:r>
      <w:r>
        <w:t>car</w:t>
      </w:r>
      <w:r w:rsidRPr="002C4077">
        <w:t xml:space="preserve"> </w:t>
      </w:r>
      <w:r>
        <w:t>elle</w:t>
      </w:r>
      <w:r w:rsidRPr="002C4077">
        <w:t xml:space="preserve"> </w:t>
      </w:r>
      <w:r>
        <w:t>devait</w:t>
      </w:r>
      <w:r w:rsidRPr="002C4077">
        <w:t xml:space="preserve"> </w:t>
      </w:r>
      <w:r>
        <w:t>fatalement</w:t>
      </w:r>
      <w:r w:rsidRPr="002C4077">
        <w:t xml:space="preserve"> </w:t>
      </w:r>
      <w:r>
        <w:t>aboutir</w:t>
      </w:r>
      <w:r w:rsidRPr="002C4077">
        <w:t xml:space="preserve"> </w:t>
      </w:r>
      <w:r>
        <w:t>à</w:t>
      </w:r>
      <w:r w:rsidRPr="002C4077">
        <w:t xml:space="preserve"> </w:t>
      </w:r>
      <w:r>
        <w:t>de</w:t>
      </w:r>
      <w:r w:rsidRPr="002C4077">
        <w:t xml:space="preserve"> </w:t>
      </w:r>
      <w:r>
        <w:t>fâcheuses</w:t>
      </w:r>
      <w:r w:rsidRPr="002C4077">
        <w:t xml:space="preserve"> </w:t>
      </w:r>
      <w:r>
        <w:t>concessions</w:t>
      </w:r>
      <w:r w:rsidRPr="002C4077">
        <w:t xml:space="preserve"> </w:t>
      </w:r>
      <w:r>
        <w:t>mutuelles,</w:t>
      </w:r>
      <w:r w:rsidRPr="002C4077">
        <w:t xml:space="preserve"> </w:t>
      </w:r>
      <w:r>
        <w:t>ou</w:t>
      </w:r>
      <w:r w:rsidRPr="002C4077">
        <w:t xml:space="preserve"> </w:t>
      </w:r>
      <w:r>
        <w:t>à</w:t>
      </w:r>
      <w:r w:rsidRPr="002C4077">
        <w:t xml:space="preserve"> </w:t>
      </w:r>
      <w:r>
        <w:t>de</w:t>
      </w:r>
      <w:r w:rsidRPr="002C4077">
        <w:t xml:space="preserve"> </w:t>
      </w:r>
      <w:r>
        <w:t>vives</w:t>
      </w:r>
      <w:r w:rsidRPr="002C4077">
        <w:t xml:space="preserve"> </w:t>
      </w:r>
      <w:r>
        <w:t>dissidences</w:t>
      </w:r>
      <w:r w:rsidRPr="002C4077">
        <w:t xml:space="preserve"> </w:t>
      </w:r>
      <w:r>
        <w:t>au</w:t>
      </w:r>
      <w:r w:rsidRPr="002C4077">
        <w:t xml:space="preserve"> </w:t>
      </w:r>
      <w:r>
        <w:t>sein</w:t>
      </w:r>
      <w:r w:rsidRPr="002C4077">
        <w:t xml:space="preserve"> </w:t>
      </w:r>
      <w:r>
        <w:t>de</w:t>
      </w:r>
      <w:r w:rsidRPr="002C4077">
        <w:t xml:space="preserve"> </w:t>
      </w:r>
      <w:r>
        <w:t>la</w:t>
      </w:r>
      <w:r w:rsidRPr="002C4077">
        <w:t xml:space="preserve"> </w:t>
      </w:r>
      <w:r>
        <w:t>commission,</w:t>
      </w:r>
      <w:r w:rsidRPr="002C4077">
        <w:t xml:space="preserve"> </w:t>
      </w:r>
      <w:r>
        <w:t>comme</w:t>
      </w:r>
      <w:r w:rsidRPr="002C4077">
        <w:t xml:space="preserve"> </w:t>
      </w:r>
      <w:r>
        <w:t>l’expérience</w:t>
      </w:r>
      <w:r w:rsidRPr="002C4077">
        <w:t xml:space="preserve"> </w:t>
      </w:r>
      <w:r>
        <w:t>ne</w:t>
      </w:r>
      <w:r w:rsidRPr="002C4077">
        <w:t xml:space="preserve"> </w:t>
      </w:r>
      <w:r>
        <w:t>l’a</w:t>
      </w:r>
      <w:r w:rsidRPr="002C4077">
        <w:t xml:space="preserve"> </w:t>
      </w:r>
      <w:r>
        <w:t>que</w:t>
      </w:r>
      <w:r w:rsidRPr="002C4077">
        <w:t xml:space="preserve"> </w:t>
      </w:r>
      <w:r>
        <w:t>trop</w:t>
      </w:r>
      <w:r w:rsidRPr="002C4077">
        <w:t xml:space="preserve"> </w:t>
      </w:r>
      <w:r>
        <w:t>bien</w:t>
      </w:r>
      <w:r w:rsidRPr="002C4077">
        <w:t xml:space="preserve"> </w:t>
      </w:r>
      <w:r>
        <w:t>démontré.</w:t>
      </w:r>
      <w:r w:rsidR="00C45B47">
        <w:t xml:space="preserve"> {</w:t>
      </w:r>
      <w:r w:rsidR="001F5257">
        <w:t>190</w:t>
      </w:r>
      <w:bookmarkStart w:id="485" w:name="p190"/>
      <w:bookmarkEnd w:id="485"/>
      <w:r w:rsidR="001F5257">
        <w:t xml:space="preserve">} </w:t>
      </w:r>
      <w:r>
        <w:t>Sous</w:t>
      </w:r>
      <w:r w:rsidRPr="002C4077">
        <w:t xml:space="preserve"> </w:t>
      </w:r>
      <w:r>
        <w:t>le</w:t>
      </w:r>
      <w:r w:rsidRPr="002C4077">
        <w:t xml:space="preserve"> </w:t>
      </w:r>
      <w:r>
        <w:t>rapport</w:t>
      </w:r>
      <w:r w:rsidRPr="002C4077">
        <w:t xml:space="preserve"> </w:t>
      </w:r>
      <w:r>
        <w:t>purement</w:t>
      </w:r>
      <w:r w:rsidRPr="002C4077">
        <w:t xml:space="preserve"> </w:t>
      </w:r>
      <w:r>
        <w:t>humain,</w:t>
      </w:r>
      <w:r w:rsidRPr="002C4077">
        <w:t xml:space="preserve"> </w:t>
      </w:r>
      <w:r>
        <w:t>n’eût-il</w:t>
      </w:r>
      <w:r w:rsidRPr="002C4077">
        <w:t xml:space="preserve"> </w:t>
      </w:r>
      <w:r>
        <w:t>pas</w:t>
      </w:r>
      <w:r w:rsidRPr="002C4077">
        <w:t xml:space="preserve"> </w:t>
      </w:r>
      <w:r>
        <w:t>été</w:t>
      </w:r>
      <w:r w:rsidRPr="002C4077">
        <w:t xml:space="preserve"> </w:t>
      </w:r>
      <w:r>
        <w:t>plus</w:t>
      </w:r>
      <w:r w:rsidRPr="002C4077">
        <w:t xml:space="preserve"> </w:t>
      </w:r>
      <w:r>
        <w:t>naturel</w:t>
      </w:r>
      <w:r w:rsidRPr="002C4077">
        <w:t xml:space="preserve"> </w:t>
      </w:r>
      <w:r>
        <w:t>de</w:t>
      </w:r>
      <w:r w:rsidRPr="002C4077">
        <w:t xml:space="preserve"> </w:t>
      </w:r>
      <w:r>
        <w:t>ne</w:t>
      </w:r>
      <w:r w:rsidRPr="002C4077">
        <w:t xml:space="preserve"> </w:t>
      </w:r>
      <w:r>
        <w:t>confier</w:t>
      </w:r>
      <w:r w:rsidRPr="002C4077">
        <w:t xml:space="preserve"> </w:t>
      </w:r>
      <w:r>
        <w:t>la</w:t>
      </w:r>
      <w:r w:rsidRPr="002C4077">
        <w:t xml:space="preserve"> </w:t>
      </w:r>
      <w:r>
        <w:t>révision</w:t>
      </w:r>
      <w:r w:rsidRPr="002C4077">
        <w:t xml:space="preserve"> </w:t>
      </w:r>
      <w:r>
        <w:t>qu’à</w:t>
      </w:r>
      <w:r w:rsidRPr="002C4077">
        <w:t xml:space="preserve"> </w:t>
      </w:r>
      <w:r>
        <w:t>des</w:t>
      </w:r>
      <w:r w:rsidRPr="002C4077">
        <w:t xml:space="preserve"> </w:t>
      </w:r>
      <w:r>
        <w:t>rationalistes,</w:t>
      </w:r>
      <w:r w:rsidRPr="002C4077">
        <w:t xml:space="preserve"> </w:t>
      </w:r>
      <w:r>
        <w:t>sous</w:t>
      </w:r>
      <w:r w:rsidRPr="002C4077">
        <w:t xml:space="preserve"> </w:t>
      </w:r>
      <w:r>
        <w:t>prétexte</w:t>
      </w:r>
      <w:r w:rsidRPr="002C4077">
        <w:t xml:space="preserve"> </w:t>
      </w:r>
      <w:r>
        <w:t>que,</w:t>
      </w:r>
      <w:r w:rsidRPr="002C4077">
        <w:t xml:space="preserve"> </w:t>
      </w:r>
      <w:r>
        <w:t>ne</w:t>
      </w:r>
      <w:r w:rsidRPr="002C4077">
        <w:t xml:space="preserve"> </w:t>
      </w:r>
      <w:r>
        <w:t>croyant</w:t>
      </w:r>
      <w:r w:rsidRPr="002C4077">
        <w:t xml:space="preserve"> </w:t>
      </w:r>
      <w:r>
        <w:t>à</w:t>
      </w:r>
      <w:r w:rsidRPr="002C4077">
        <w:t xml:space="preserve"> </w:t>
      </w:r>
      <w:r>
        <w:t>rien,</w:t>
      </w:r>
      <w:r w:rsidRPr="002C4077">
        <w:t xml:space="preserve"> </w:t>
      </w:r>
      <w:r>
        <w:t>ils</w:t>
      </w:r>
      <w:r w:rsidRPr="002C4077">
        <w:t xml:space="preserve"> </w:t>
      </w:r>
      <w:r>
        <w:t>étaient</w:t>
      </w:r>
      <w:r w:rsidRPr="002C4077">
        <w:t xml:space="preserve"> </w:t>
      </w:r>
      <w:r>
        <w:t>libres</w:t>
      </w:r>
      <w:r w:rsidRPr="002C4077">
        <w:t xml:space="preserve"> </w:t>
      </w:r>
      <w:r>
        <w:t>de</w:t>
      </w:r>
      <w:r w:rsidRPr="002C4077">
        <w:t xml:space="preserve"> </w:t>
      </w:r>
      <w:r>
        <w:t>tout</w:t>
      </w:r>
      <w:r w:rsidRPr="002C4077">
        <w:t xml:space="preserve"> </w:t>
      </w:r>
      <w:r>
        <w:t>préjugé</w:t>
      </w:r>
      <w:r w:rsidRPr="002C4077">
        <w:t xml:space="preserve"> </w:t>
      </w:r>
      <w:r>
        <w:t>dogmatique</w:t>
      </w:r>
      <w:r w:rsidR="00B546AF">
        <w:t> ?</w:t>
      </w:r>
      <w:r w:rsidRPr="002C4077">
        <w:t xml:space="preserve"> </w:t>
      </w:r>
    </w:p>
    <w:p w:rsidR="000A7AAB" w:rsidRDefault="000A7AAB" w:rsidP="000A7AAB">
      <w:r>
        <w:t>Du</w:t>
      </w:r>
      <w:r w:rsidRPr="002C4077">
        <w:t xml:space="preserve"> </w:t>
      </w:r>
      <w:r>
        <w:t>reste,</w:t>
      </w:r>
      <w:r w:rsidRPr="002C4077">
        <w:t xml:space="preserve"> </w:t>
      </w:r>
      <w:r>
        <w:t>quel</w:t>
      </w:r>
      <w:r w:rsidRPr="002C4077">
        <w:t xml:space="preserve"> </w:t>
      </w:r>
      <w:r>
        <w:t>amalgame</w:t>
      </w:r>
      <w:r w:rsidRPr="002C4077">
        <w:t xml:space="preserve"> </w:t>
      </w:r>
      <w:r>
        <w:t>dans</w:t>
      </w:r>
      <w:r w:rsidRPr="002C4077">
        <w:t xml:space="preserve"> </w:t>
      </w:r>
      <w:r>
        <w:t>ce</w:t>
      </w:r>
      <w:r w:rsidRPr="002C4077">
        <w:t xml:space="preserve"> </w:t>
      </w:r>
      <w:r>
        <w:t>petit</w:t>
      </w:r>
      <w:r w:rsidRPr="002C4077">
        <w:t xml:space="preserve"> </w:t>
      </w:r>
      <w:r>
        <w:t>comité</w:t>
      </w:r>
      <w:r w:rsidR="00B546AF">
        <w:t> !</w:t>
      </w:r>
      <w:r w:rsidRPr="002C4077">
        <w:t xml:space="preserve"> </w:t>
      </w:r>
      <w:r w:rsidR="00FB4E2C">
        <w:t>Épiscopaliens</w:t>
      </w:r>
      <w:r>
        <w:t>,</w:t>
      </w:r>
      <w:r w:rsidRPr="002C4077">
        <w:t xml:space="preserve"> </w:t>
      </w:r>
      <w:r>
        <w:t>presbytériens</w:t>
      </w:r>
      <w:r w:rsidRPr="002C4077">
        <w:t xml:space="preserve"> </w:t>
      </w:r>
      <w:r>
        <w:t>de</w:t>
      </w:r>
      <w:r w:rsidRPr="002C4077">
        <w:t xml:space="preserve"> </w:t>
      </w:r>
      <w:r>
        <w:t>diverses</w:t>
      </w:r>
      <w:r w:rsidRPr="002C4077">
        <w:t xml:space="preserve"> </w:t>
      </w:r>
      <w:r>
        <w:t>nuances,</w:t>
      </w:r>
      <w:r w:rsidRPr="002C4077">
        <w:t xml:space="preserve"> </w:t>
      </w:r>
      <w:r>
        <w:t>bapti</w:t>
      </w:r>
      <w:r w:rsidR="001730C6">
        <w:t>st</w:t>
      </w:r>
      <w:r>
        <w:t>es,</w:t>
      </w:r>
      <w:r w:rsidRPr="002C4077">
        <w:t xml:space="preserve"> </w:t>
      </w:r>
      <w:r>
        <w:t>unitariens,</w:t>
      </w:r>
      <w:r w:rsidRPr="002C4077">
        <w:t xml:space="preserve"> </w:t>
      </w:r>
      <w:r>
        <w:t>congrégationalistes,</w:t>
      </w:r>
      <w:r w:rsidRPr="002C4077">
        <w:t xml:space="preserve"> </w:t>
      </w:r>
      <w:r>
        <w:t>méthodistes,</w:t>
      </w:r>
      <w:r w:rsidRPr="002C4077">
        <w:t xml:space="preserve"> </w:t>
      </w:r>
      <w:r>
        <w:t>sont</w:t>
      </w:r>
      <w:r w:rsidRPr="002C4077">
        <w:t xml:space="preserve"> </w:t>
      </w:r>
      <w:r>
        <w:t>assis</w:t>
      </w:r>
      <w:r w:rsidRPr="002C4077">
        <w:t xml:space="preserve"> </w:t>
      </w:r>
      <w:r>
        <w:t>pêle-mêle.</w:t>
      </w:r>
      <w:r w:rsidRPr="002C4077">
        <w:t xml:space="preserve"> </w:t>
      </w:r>
      <w:r>
        <w:t>La</w:t>
      </w:r>
      <w:r w:rsidRPr="002C4077">
        <w:t xml:space="preserve"> </w:t>
      </w:r>
      <w:r w:rsidRPr="000A34B5">
        <w:rPr>
          <w:rStyle w:val="italicus"/>
        </w:rPr>
        <w:t>Convocation</w:t>
      </w:r>
      <w:r w:rsidRPr="002C4077">
        <w:t xml:space="preserve"> </w:t>
      </w:r>
      <w:r>
        <w:t>de</w:t>
      </w:r>
      <w:r w:rsidRPr="002C4077">
        <w:t xml:space="preserve"> </w:t>
      </w:r>
      <w:r>
        <w:t>Cantorbéry</w:t>
      </w:r>
      <w:r w:rsidRPr="002C4077">
        <w:t xml:space="preserve"> </w:t>
      </w:r>
      <w:r>
        <w:t>peut</w:t>
      </w:r>
      <w:r w:rsidRPr="002C4077">
        <w:t xml:space="preserve"> </w:t>
      </w:r>
      <w:r>
        <w:t>être</w:t>
      </w:r>
      <w:r w:rsidRPr="002C4077">
        <w:t xml:space="preserve"> </w:t>
      </w:r>
      <w:r>
        <w:t>satisfaite</w:t>
      </w:r>
      <w:r w:rsidR="00B546AF">
        <w:t> !</w:t>
      </w:r>
      <w:r w:rsidRPr="002C4077">
        <w:t xml:space="preserve"> </w:t>
      </w:r>
      <w:r>
        <w:t>Toutefois,</w:t>
      </w:r>
      <w:r w:rsidRPr="002C4077">
        <w:t xml:space="preserve"> </w:t>
      </w:r>
      <w:r>
        <w:t>ne</w:t>
      </w:r>
      <w:r w:rsidRPr="002C4077">
        <w:t xml:space="preserve"> </w:t>
      </w:r>
      <w:r>
        <w:t>soyons</w:t>
      </w:r>
      <w:r w:rsidRPr="002C4077">
        <w:t xml:space="preserve"> </w:t>
      </w:r>
      <w:r>
        <w:t>pas</w:t>
      </w:r>
      <w:r w:rsidRPr="002C4077">
        <w:t xml:space="preserve"> </w:t>
      </w:r>
      <w:r>
        <w:t>trop</w:t>
      </w:r>
      <w:r w:rsidRPr="002C4077">
        <w:t xml:space="preserve"> </w:t>
      </w:r>
      <w:r>
        <w:t>indiscrets,</w:t>
      </w:r>
      <w:r w:rsidRPr="002C4077">
        <w:t xml:space="preserve"> </w:t>
      </w:r>
      <w:r>
        <w:t>et</w:t>
      </w:r>
      <w:r w:rsidRPr="002C4077">
        <w:t xml:space="preserve"> </w:t>
      </w:r>
      <w:r>
        <w:t>ne</w:t>
      </w:r>
      <w:r w:rsidRPr="002C4077">
        <w:t xml:space="preserve"> </w:t>
      </w:r>
      <w:r>
        <w:t>nous</w:t>
      </w:r>
      <w:r w:rsidRPr="002C4077">
        <w:t xml:space="preserve"> </w:t>
      </w:r>
      <w:r>
        <w:t>aventurons</w:t>
      </w:r>
      <w:r w:rsidRPr="002C4077">
        <w:t xml:space="preserve"> </w:t>
      </w:r>
      <w:r>
        <w:t>pas</w:t>
      </w:r>
      <w:r w:rsidRPr="002C4077">
        <w:t xml:space="preserve"> </w:t>
      </w:r>
      <w:r>
        <w:t>à</w:t>
      </w:r>
      <w:r w:rsidRPr="002C4077">
        <w:t xml:space="preserve"> </w:t>
      </w:r>
      <w:r>
        <w:t>demander</w:t>
      </w:r>
      <w:r w:rsidRPr="002C4077">
        <w:t xml:space="preserve"> </w:t>
      </w:r>
      <w:r>
        <w:t>en</w:t>
      </w:r>
      <w:r w:rsidRPr="002C4077">
        <w:t xml:space="preserve"> </w:t>
      </w:r>
      <w:r>
        <w:t>particulier</w:t>
      </w:r>
      <w:r w:rsidRPr="002C4077">
        <w:t xml:space="preserve"> </w:t>
      </w:r>
      <w:r>
        <w:t>à</w:t>
      </w:r>
      <w:r w:rsidRPr="002C4077">
        <w:t xml:space="preserve"> </w:t>
      </w:r>
      <w:r>
        <w:t>chaque</w:t>
      </w:r>
      <w:r w:rsidRPr="002C4077">
        <w:t xml:space="preserve"> </w:t>
      </w:r>
      <w:r>
        <w:t>réviseur</w:t>
      </w:r>
      <w:r w:rsidRPr="002C4077">
        <w:t xml:space="preserve"> </w:t>
      </w:r>
      <w:r>
        <w:t>jusqu’à</w:t>
      </w:r>
      <w:r w:rsidRPr="002C4077">
        <w:t xml:space="preserve"> </w:t>
      </w:r>
      <w:r>
        <w:t>quel</w:t>
      </w:r>
      <w:r w:rsidRPr="002C4077">
        <w:t xml:space="preserve"> </w:t>
      </w:r>
      <w:r>
        <w:t>point</w:t>
      </w:r>
      <w:r w:rsidRPr="002C4077">
        <w:t xml:space="preserve"> </w:t>
      </w:r>
      <w:r>
        <w:t>il</w:t>
      </w:r>
      <w:r w:rsidRPr="002C4077">
        <w:t xml:space="preserve"> </w:t>
      </w:r>
      <w:r>
        <w:t>admet</w:t>
      </w:r>
      <w:r w:rsidRPr="002C4077">
        <w:t xml:space="preserve"> </w:t>
      </w:r>
      <w:r>
        <w:t>la</w:t>
      </w:r>
      <w:r w:rsidRPr="002C4077">
        <w:t xml:space="preserve"> </w:t>
      </w:r>
      <w:r>
        <w:t>divinité</w:t>
      </w:r>
      <w:r w:rsidRPr="002C4077">
        <w:t xml:space="preserve"> </w:t>
      </w:r>
      <w:r>
        <w:t>de</w:t>
      </w:r>
      <w:r w:rsidRPr="002C4077">
        <w:t xml:space="preserve"> </w:t>
      </w:r>
      <w:r>
        <w:t>Notre</w:t>
      </w:r>
      <w:r w:rsidRPr="002C4077">
        <w:t xml:space="preserve"> </w:t>
      </w:r>
      <w:r>
        <w:t>Seigneur</w:t>
      </w:r>
      <w:r w:rsidRPr="002C4077">
        <w:t xml:space="preserve"> </w:t>
      </w:r>
      <w:r w:rsidR="00425C50">
        <w:t>Jésus</w:t>
      </w:r>
      <w:r>
        <w:t>-</w:t>
      </w:r>
      <w:r w:rsidR="00425C50">
        <w:t>Christ</w:t>
      </w:r>
      <w:r>
        <w:t>,</w:t>
      </w:r>
      <w:r w:rsidRPr="002C4077">
        <w:t xml:space="preserve"> </w:t>
      </w:r>
      <w:r>
        <w:t>l’inspiration</w:t>
      </w:r>
      <w:r w:rsidRPr="002C4077">
        <w:t xml:space="preserve"> </w:t>
      </w:r>
      <w:r>
        <w:t>des</w:t>
      </w:r>
      <w:r w:rsidRPr="002C4077">
        <w:t xml:space="preserve"> </w:t>
      </w:r>
      <w:r>
        <w:t>saintes</w:t>
      </w:r>
      <w:r w:rsidRPr="002C4077">
        <w:t xml:space="preserve"> </w:t>
      </w:r>
      <w:r>
        <w:t>Écritures,</w:t>
      </w:r>
      <w:r w:rsidRPr="002C4077">
        <w:t xml:space="preserve"> </w:t>
      </w:r>
      <w:r w:rsidR="00425C50">
        <w:t>etc</w:t>
      </w:r>
      <w:r>
        <w:t>.</w:t>
      </w:r>
      <w:r w:rsidRPr="002C4077">
        <w:t xml:space="preserve"> </w:t>
      </w:r>
      <w:r>
        <w:t>On</w:t>
      </w:r>
      <w:r w:rsidRPr="002C4077">
        <w:t xml:space="preserve"> </w:t>
      </w:r>
      <w:r>
        <w:t>compte</w:t>
      </w:r>
      <w:r w:rsidRPr="002C4077">
        <w:t xml:space="preserve"> </w:t>
      </w:r>
      <w:r>
        <w:t>jusqu’à</w:t>
      </w:r>
      <w:r w:rsidRPr="002C4077">
        <w:t xml:space="preserve"> </w:t>
      </w:r>
      <w:r>
        <w:t>six</w:t>
      </w:r>
      <w:r w:rsidRPr="002C4077">
        <w:t xml:space="preserve"> </w:t>
      </w:r>
      <w:r>
        <w:t>ou</w:t>
      </w:r>
      <w:r w:rsidRPr="002C4077">
        <w:t xml:space="preserve"> </w:t>
      </w:r>
      <w:r>
        <w:t>sept</w:t>
      </w:r>
      <w:r w:rsidR="00425C50" w:rsidRPr="002C4077">
        <w:t xml:space="preserve"> </w:t>
      </w:r>
      <w:r w:rsidR="00425C50">
        <w:t>évêques</w:t>
      </w:r>
      <w:r w:rsidRPr="002C4077">
        <w:t xml:space="preserve"> </w:t>
      </w:r>
      <w:r>
        <w:t>parmi</w:t>
      </w:r>
      <w:r w:rsidRPr="002C4077">
        <w:t xml:space="preserve"> </w:t>
      </w:r>
      <w:r>
        <w:t>les</w:t>
      </w:r>
      <w:r w:rsidRPr="002C4077">
        <w:t xml:space="preserve"> </w:t>
      </w:r>
      <w:r>
        <w:t>commissaires</w:t>
      </w:r>
      <w:r w:rsidR="00B546AF">
        <w:t> ;</w:t>
      </w:r>
      <w:r w:rsidRPr="002C4077">
        <w:t xml:space="preserve"> </w:t>
      </w:r>
      <w:r>
        <w:t>mais</w:t>
      </w:r>
      <w:r w:rsidRPr="002C4077">
        <w:t xml:space="preserve"> </w:t>
      </w:r>
      <w:r>
        <w:t>la</w:t>
      </w:r>
      <w:r w:rsidRPr="002C4077">
        <w:t xml:space="preserve"> </w:t>
      </w:r>
      <w:r>
        <w:t>puissance</w:t>
      </w:r>
      <w:r w:rsidRPr="002C4077">
        <w:t xml:space="preserve"> </w:t>
      </w:r>
      <w:r>
        <w:t>spirituelle</w:t>
      </w:r>
      <w:r w:rsidRPr="002C4077">
        <w:t xml:space="preserve"> </w:t>
      </w:r>
      <w:r>
        <w:t>d’un</w:t>
      </w:r>
      <w:r w:rsidR="00425C50" w:rsidRPr="002C4077">
        <w:t xml:space="preserve"> </w:t>
      </w:r>
      <w:r w:rsidR="00425C50">
        <w:t>évêque</w:t>
      </w:r>
      <w:r w:rsidRPr="002C4077">
        <w:t xml:space="preserve"> </w:t>
      </w:r>
      <w:r>
        <w:t>anglican</w:t>
      </w:r>
      <w:r w:rsidRPr="002C4077">
        <w:t xml:space="preserve"> </w:t>
      </w:r>
      <w:r w:rsidR="00425C50">
        <w:t>est</w:t>
      </w:r>
      <w:r w:rsidRPr="002C4077">
        <w:t xml:space="preserve"> </w:t>
      </w:r>
      <w:r>
        <w:t>nulle,</w:t>
      </w:r>
      <w:r w:rsidRPr="002C4077">
        <w:t xml:space="preserve"> </w:t>
      </w:r>
      <w:r>
        <w:t>et</w:t>
      </w:r>
      <w:r w:rsidRPr="002C4077">
        <w:t xml:space="preserve"> </w:t>
      </w:r>
      <w:r>
        <w:t>nous</w:t>
      </w:r>
      <w:r w:rsidRPr="002C4077">
        <w:t xml:space="preserve"> </w:t>
      </w:r>
      <w:r>
        <w:t>avons</w:t>
      </w:r>
      <w:r w:rsidRPr="002C4077">
        <w:t xml:space="preserve"> </w:t>
      </w:r>
      <w:r>
        <w:t>vu</w:t>
      </w:r>
      <w:r w:rsidRPr="002C4077">
        <w:t xml:space="preserve"> </w:t>
      </w:r>
      <w:r>
        <w:t>précédemment</w:t>
      </w:r>
      <w:r w:rsidRPr="002C4077">
        <w:t xml:space="preserve"> </w:t>
      </w:r>
      <w:r>
        <w:t>que</w:t>
      </w:r>
      <w:r w:rsidRPr="002C4077">
        <w:t xml:space="preserve"> </w:t>
      </w:r>
      <w:r>
        <w:t>d’autres</w:t>
      </w:r>
      <w:r w:rsidR="00425C50" w:rsidRPr="002C4077">
        <w:t xml:space="preserve"> </w:t>
      </w:r>
      <w:r w:rsidR="00425C50">
        <w:t>évêques</w:t>
      </w:r>
      <w:r w:rsidRPr="002C4077">
        <w:t xml:space="preserve"> </w:t>
      </w:r>
      <w:r>
        <w:t>anglais</w:t>
      </w:r>
      <w:r w:rsidRPr="002C4077">
        <w:t xml:space="preserve"> </w:t>
      </w:r>
      <w:r>
        <w:t>s’opposaient</w:t>
      </w:r>
      <w:r w:rsidRPr="002C4077">
        <w:t xml:space="preserve"> </w:t>
      </w:r>
      <w:r>
        <w:t>de</w:t>
      </w:r>
      <w:r w:rsidRPr="002C4077">
        <w:t xml:space="preserve"> </w:t>
      </w:r>
      <w:r>
        <w:t>toutes</w:t>
      </w:r>
      <w:r w:rsidRPr="002C4077">
        <w:t xml:space="preserve"> </w:t>
      </w:r>
      <w:r>
        <w:t>leurs</w:t>
      </w:r>
      <w:r w:rsidRPr="002C4077">
        <w:t xml:space="preserve"> </w:t>
      </w:r>
      <w:r>
        <w:t>forces</w:t>
      </w:r>
      <w:r w:rsidRPr="002C4077">
        <w:t xml:space="preserve"> </w:t>
      </w:r>
      <w:r>
        <w:t>à</w:t>
      </w:r>
      <w:r w:rsidRPr="002C4077">
        <w:t xml:space="preserve"> </w:t>
      </w:r>
      <w:r>
        <w:t>la</w:t>
      </w:r>
      <w:r w:rsidRPr="002C4077">
        <w:t xml:space="preserve"> </w:t>
      </w:r>
      <w:r>
        <w:t>révision.</w:t>
      </w:r>
      <w:r w:rsidRPr="002C4077">
        <w:t xml:space="preserve"> </w:t>
      </w:r>
    </w:p>
    <w:p w:rsidR="000A7AAB" w:rsidRDefault="000A7AAB" w:rsidP="000A7AAB">
      <w:r>
        <w:t>Néanmoins,</w:t>
      </w:r>
      <w:r w:rsidRPr="002C4077">
        <w:t xml:space="preserve"> </w:t>
      </w:r>
      <w:r>
        <w:t>en</w:t>
      </w:r>
      <w:r w:rsidRPr="002C4077">
        <w:t xml:space="preserve"> </w:t>
      </w:r>
      <w:r>
        <w:t>tant</w:t>
      </w:r>
      <w:r w:rsidRPr="002C4077">
        <w:t xml:space="preserve"> </w:t>
      </w:r>
      <w:r>
        <w:t>qu’hommes,</w:t>
      </w:r>
      <w:r w:rsidRPr="002C4077">
        <w:t xml:space="preserve"> </w:t>
      </w:r>
      <w:r>
        <w:t>—</w:t>
      </w:r>
      <w:r w:rsidRPr="002C4077">
        <w:t xml:space="preserve"> </w:t>
      </w:r>
      <w:r>
        <w:t>et</w:t>
      </w:r>
      <w:r w:rsidRPr="002C4077">
        <w:t xml:space="preserve"> </w:t>
      </w:r>
      <w:r>
        <w:t>c’est</w:t>
      </w:r>
      <w:r w:rsidRPr="002C4077">
        <w:t xml:space="preserve"> </w:t>
      </w:r>
      <w:r>
        <w:t>tout</w:t>
      </w:r>
      <w:r w:rsidRPr="002C4077">
        <w:t xml:space="preserve"> </w:t>
      </w:r>
      <w:r>
        <w:t>ce</w:t>
      </w:r>
      <w:r w:rsidRPr="002C4077">
        <w:t xml:space="preserve"> </w:t>
      </w:r>
      <w:r>
        <w:t>que</w:t>
      </w:r>
      <w:r w:rsidRPr="002C4077">
        <w:t xml:space="preserve"> </w:t>
      </w:r>
      <w:r>
        <w:t>nous</w:t>
      </w:r>
      <w:r w:rsidRPr="002C4077">
        <w:t xml:space="preserve"> </w:t>
      </w:r>
      <w:r>
        <w:t>pouvons</w:t>
      </w:r>
      <w:r w:rsidRPr="002C4077">
        <w:t xml:space="preserve"> </w:t>
      </w:r>
      <w:r>
        <w:t>concéder,</w:t>
      </w:r>
      <w:r w:rsidRPr="002C4077">
        <w:t xml:space="preserve"> </w:t>
      </w:r>
      <w:r>
        <w:t>—</w:t>
      </w:r>
      <w:r w:rsidRPr="002C4077">
        <w:t xml:space="preserve"> </w:t>
      </w:r>
      <w:r>
        <w:t>ils</w:t>
      </w:r>
      <w:r w:rsidRPr="002C4077">
        <w:t xml:space="preserve"> </w:t>
      </w:r>
      <w:r>
        <w:t>jouissent</w:t>
      </w:r>
      <w:r w:rsidRPr="002C4077">
        <w:t xml:space="preserve"> </w:t>
      </w:r>
      <w:r>
        <w:t>pour</w:t>
      </w:r>
      <w:r w:rsidRPr="002C4077">
        <w:t xml:space="preserve"> </w:t>
      </w:r>
      <w:r>
        <w:t>la</w:t>
      </w:r>
      <w:r w:rsidRPr="002C4077">
        <w:t xml:space="preserve"> </w:t>
      </w:r>
      <w:r>
        <w:t>plupart</w:t>
      </w:r>
      <w:r w:rsidRPr="002C4077">
        <w:t xml:space="preserve"> </w:t>
      </w:r>
      <w:r>
        <w:t>d’un</w:t>
      </w:r>
      <w:r w:rsidRPr="002C4077">
        <w:t xml:space="preserve"> </w:t>
      </w:r>
      <w:r>
        <w:t>assez</w:t>
      </w:r>
      <w:r w:rsidRPr="002C4077">
        <w:t xml:space="preserve"> </w:t>
      </w:r>
      <w:r>
        <w:t>grand</w:t>
      </w:r>
      <w:r w:rsidRPr="002C4077">
        <w:t xml:space="preserve"> </w:t>
      </w:r>
      <w:r>
        <w:t>crédit</w:t>
      </w:r>
      <w:r w:rsidRPr="002C4077">
        <w:t xml:space="preserve"> </w:t>
      </w:r>
      <w:r>
        <w:t>en</w:t>
      </w:r>
      <w:r w:rsidRPr="002C4077">
        <w:t xml:space="preserve"> </w:t>
      </w:r>
      <w:r>
        <w:t>Angleterre.</w:t>
      </w:r>
      <w:r w:rsidRPr="002C4077">
        <w:t xml:space="preserve"> </w:t>
      </w:r>
      <w:r>
        <w:t>Plusieurs</w:t>
      </w:r>
      <w:r w:rsidRPr="002C4077">
        <w:t xml:space="preserve"> </w:t>
      </w:r>
      <w:r>
        <w:t>d’entre</w:t>
      </w:r>
      <w:r w:rsidRPr="002C4077">
        <w:t xml:space="preserve"> </w:t>
      </w:r>
      <w:r>
        <w:t>eux</w:t>
      </w:r>
      <w:r w:rsidRPr="002C4077">
        <w:t xml:space="preserve"> </w:t>
      </w:r>
      <w:r>
        <w:t>ont</w:t>
      </w:r>
      <w:r w:rsidRPr="002C4077">
        <w:t xml:space="preserve"> </w:t>
      </w:r>
      <w:r>
        <w:t>acquis</w:t>
      </w:r>
      <w:r w:rsidRPr="002C4077">
        <w:t xml:space="preserve"> </w:t>
      </w:r>
      <w:r>
        <w:t>leur</w:t>
      </w:r>
      <w:r w:rsidRPr="002C4077">
        <w:t xml:space="preserve"> </w:t>
      </w:r>
      <w:r>
        <w:t>renom</w:t>
      </w:r>
      <w:r w:rsidRPr="002C4077">
        <w:t xml:space="preserve"> </w:t>
      </w:r>
      <w:r>
        <w:t>par</w:t>
      </w:r>
      <w:r w:rsidRPr="002C4077">
        <w:t xml:space="preserve"> </w:t>
      </w:r>
      <w:r>
        <w:t>de</w:t>
      </w:r>
      <w:r w:rsidRPr="002C4077">
        <w:t xml:space="preserve"> </w:t>
      </w:r>
      <w:r>
        <w:t>savants</w:t>
      </w:r>
      <w:r w:rsidRPr="002C4077">
        <w:t xml:space="preserve"> </w:t>
      </w:r>
      <w:r>
        <w:t>travaux</w:t>
      </w:r>
      <w:r w:rsidRPr="002C4077">
        <w:t xml:space="preserve"> </w:t>
      </w:r>
      <w:r>
        <w:t>sur</w:t>
      </w:r>
      <w:r w:rsidRPr="002C4077">
        <w:t xml:space="preserve"> </w:t>
      </w:r>
      <w:r>
        <w:t>les</w:t>
      </w:r>
      <w:r w:rsidRPr="002C4077">
        <w:t xml:space="preserve"> </w:t>
      </w:r>
      <w:r>
        <w:t>écrits</w:t>
      </w:r>
      <w:r w:rsidRPr="002C4077">
        <w:t xml:space="preserve"> </w:t>
      </w:r>
      <w:r>
        <w:t>du</w:t>
      </w:r>
      <w:r w:rsidRPr="002C4077">
        <w:t xml:space="preserve"> </w:t>
      </w:r>
      <w:r>
        <w:t>Nouveau</w:t>
      </w:r>
      <w:r w:rsidRPr="002C4077">
        <w:t xml:space="preserve"> </w:t>
      </w:r>
      <w:r>
        <w:t>Testament</w:t>
      </w:r>
      <w:r w:rsidR="00B546AF">
        <w:t> :</w:t>
      </w:r>
      <w:r w:rsidRPr="002C4077">
        <w:t xml:space="preserve"> </w:t>
      </w:r>
      <w:r>
        <w:t>en</w:t>
      </w:r>
      <w:r w:rsidRPr="002C4077">
        <w:t xml:space="preserve"> </w:t>
      </w:r>
      <w:r>
        <w:t>particulier</w:t>
      </w:r>
      <w:r w:rsidRPr="002C4077">
        <w:t xml:space="preserve"> </w:t>
      </w:r>
      <w:r>
        <w:t>MM.</w:t>
      </w:r>
      <w:r w:rsidRPr="002C4077">
        <w:t xml:space="preserve"> </w:t>
      </w:r>
      <w:r w:rsidRPr="0031378E">
        <w:rPr>
          <w:lang w:val="en-US"/>
        </w:rPr>
        <w:t>Ellicott (le président</w:t>
      </w:r>
      <w:r w:rsidR="00B546AF" w:rsidRPr="0031378E">
        <w:rPr>
          <w:lang w:val="en-US"/>
        </w:rPr>
        <w:t>)</w:t>
      </w:r>
      <w:r w:rsidRPr="0031378E">
        <w:rPr>
          <w:lang w:val="en-US"/>
        </w:rPr>
        <w:t>, Alford, Lightfoot, Milligan, Scr</w:t>
      </w:r>
      <w:r w:rsidR="001730C6" w:rsidRPr="0031378E">
        <w:rPr>
          <w:lang w:val="en-US"/>
        </w:rPr>
        <w:t>iv</w:t>
      </w:r>
      <w:r w:rsidRPr="0031378E">
        <w:rPr>
          <w:lang w:val="en-US"/>
        </w:rPr>
        <w:t>ener, Tregelles, Westcott, Wordsworth</w:t>
      </w:r>
      <w:r w:rsidR="00205F90">
        <w:rPr>
          <w:rStyle w:val="Appelnotedebasdep"/>
        </w:rPr>
        <w:footnoteReference w:id="638"/>
      </w:r>
      <w:r w:rsidR="00205F90" w:rsidRPr="0031378E">
        <w:rPr>
          <w:lang w:val="en-US"/>
        </w:rPr>
        <w:t>.</w:t>
      </w:r>
      <w:r w:rsidRPr="0031378E">
        <w:rPr>
          <w:lang w:val="en-US"/>
        </w:rPr>
        <w:t xml:space="preserve"> </w:t>
      </w:r>
      <w:r>
        <w:t>Mais</w:t>
      </w:r>
      <w:r w:rsidRPr="002C4077">
        <w:t xml:space="preserve"> </w:t>
      </w:r>
      <w:r>
        <w:t>nous</w:t>
      </w:r>
      <w:r w:rsidRPr="002C4077">
        <w:t xml:space="preserve"> </w:t>
      </w:r>
      <w:r>
        <w:t>les</w:t>
      </w:r>
      <w:r w:rsidRPr="002C4077">
        <w:t xml:space="preserve"> </w:t>
      </w:r>
      <w:r>
        <w:t>entendrons</w:t>
      </w:r>
      <w:r w:rsidRPr="002C4077">
        <w:t xml:space="preserve"> </w:t>
      </w:r>
      <w:r>
        <w:t>avouer</w:t>
      </w:r>
      <w:r w:rsidRPr="002C4077">
        <w:t xml:space="preserve"> </w:t>
      </w:r>
      <w:r>
        <w:t>eux-mêmes</w:t>
      </w:r>
      <w:r w:rsidRPr="002C4077">
        <w:t xml:space="preserve"> </w:t>
      </w:r>
      <w:r>
        <w:t>que</w:t>
      </w:r>
      <w:r w:rsidRPr="002C4077">
        <w:t xml:space="preserve"> </w:t>
      </w:r>
      <w:r>
        <w:t>la</w:t>
      </w:r>
      <w:r w:rsidRPr="002C4077">
        <w:t xml:space="preserve"> </w:t>
      </w:r>
      <w:r>
        <w:t>science</w:t>
      </w:r>
      <w:r w:rsidRPr="002C4077">
        <w:t xml:space="preserve"> </w:t>
      </w:r>
      <w:r>
        <w:t>seule</w:t>
      </w:r>
      <w:r w:rsidRPr="002C4077">
        <w:t xml:space="preserve"> </w:t>
      </w:r>
      <w:r>
        <w:t>était</w:t>
      </w:r>
      <w:r w:rsidRPr="002C4077">
        <w:t xml:space="preserve"> </w:t>
      </w:r>
      <w:r>
        <w:t>insuffisante</w:t>
      </w:r>
      <w:r w:rsidRPr="002C4077">
        <w:t xml:space="preserve"> </w:t>
      </w:r>
      <w:r>
        <w:t>pour</w:t>
      </w:r>
      <w:r w:rsidRPr="002C4077">
        <w:t xml:space="preserve"> </w:t>
      </w:r>
      <w:r>
        <w:t>mener</w:t>
      </w:r>
      <w:r w:rsidRPr="002C4077">
        <w:t xml:space="preserve"> </w:t>
      </w:r>
      <w:r>
        <w:t>à</w:t>
      </w:r>
      <w:r w:rsidRPr="002C4077">
        <w:t xml:space="preserve"> </w:t>
      </w:r>
      <w:r>
        <w:t>bonne</w:t>
      </w:r>
      <w:r w:rsidRPr="002C4077">
        <w:t xml:space="preserve"> </w:t>
      </w:r>
      <w:r>
        <w:t>fin</w:t>
      </w:r>
      <w:r w:rsidRPr="002C4077">
        <w:t xml:space="preserve"> </w:t>
      </w:r>
      <w:r>
        <w:t>une</w:t>
      </w:r>
      <w:r w:rsidRPr="002C4077">
        <w:t xml:space="preserve"> </w:t>
      </w:r>
      <w:r>
        <w:t>entreprise</w:t>
      </w:r>
      <w:r w:rsidRPr="002C4077">
        <w:t xml:space="preserve"> </w:t>
      </w:r>
      <w:r>
        <w:t>de</w:t>
      </w:r>
      <w:r w:rsidRPr="002C4077">
        <w:t xml:space="preserve"> </w:t>
      </w:r>
      <w:r>
        <w:t>ce</w:t>
      </w:r>
      <w:r w:rsidRPr="002C4077">
        <w:t xml:space="preserve"> </w:t>
      </w:r>
      <w:r>
        <w:t>genre.</w:t>
      </w:r>
      <w:r w:rsidRPr="002C4077">
        <w:t xml:space="preserve"> </w:t>
      </w:r>
      <w:r>
        <w:t>Comme</w:t>
      </w:r>
      <w:r w:rsidRPr="002C4077">
        <w:t xml:space="preserve"> </w:t>
      </w:r>
      <w:r>
        <w:t>corps,</w:t>
      </w:r>
      <w:r w:rsidRPr="002C4077">
        <w:t xml:space="preserve"> </w:t>
      </w:r>
      <w:r>
        <w:t>ils</w:t>
      </w:r>
      <w:r w:rsidRPr="002C4077">
        <w:t xml:space="preserve"> </w:t>
      </w:r>
      <w:r>
        <w:t>n’ont</w:t>
      </w:r>
      <w:r w:rsidRPr="002C4077">
        <w:t xml:space="preserve"> </w:t>
      </w:r>
      <w:r>
        <w:t>pas</w:t>
      </w:r>
      <w:r w:rsidRPr="002C4077">
        <w:t xml:space="preserve"> </w:t>
      </w:r>
      <w:r>
        <w:t>avec</w:t>
      </w:r>
      <w:r w:rsidRPr="002C4077">
        <w:t xml:space="preserve"> </w:t>
      </w:r>
      <w:r>
        <w:t>eux</w:t>
      </w:r>
      <w:r w:rsidRPr="002C4077">
        <w:t xml:space="preserve"> </w:t>
      </w:r>
      <w:r>
        <w:t>l’auteur</w:t>
      </w:r>
      <w:r w:rsidRPr="002C4077">
        <w:t xml:space="preserve"> </w:t>
      </w:r>
      <w:r>
        <w:t>des</w:t>
      </w:r>
      <w:r w:rsidRPr="002C4077">
        <w:t xml:space="preserve"> </w:t>
      </w:r>
      <w:r>
        <w:t>Saintes</w:t>
      </w:r>
      <w:r w:rsidRPr="002C4077">
        <w:t xml:space="preserve"> </w:t>
      </w:r>
      <w:r>
        <w:t>Écritures.</w:t>
      </w:r>
      <w:r w:rsidRPr="002C4077">
        <w:t xml:space="preserve"> </w:t>
      </w:r>
    </w:p>
    <w:p w:rsidR="000A7AAB" w:rsidRPr="001F5257" w:rsidRDefault="000A7AAB" w:rsidP="000A7AAB">
      <w:r>
        <w:t>Le</w:t>
      </w:r>
      <w:r w:rsidRPr="002C4077">
        <w:t xml:space="preserve"> </w:t>
      </w:r>
      <w:r>
        <w:t>travail</w:t>
      </w:r>
      <w:r w:rsidRPr="002C4077">
        <w:t xml:space="preserve"> </w:t>
      </w:r>
      <w:r>
        <w:t>à</w:t>
      </w:r>
      <w:r w:rsidRPr="002C4077">
        <w:t xml:space="preserve"> </w:t>
      </w:r>
      <w:r>
        <w:t>accomplir</w:t>
      </w:r>
      <w:r w:rsidRPr="002C4077">
        <w:t xml:space="preserve"> </w:t>
      </w:r>
      <w:r>
        <w:t>était</w:t>
      </w:r>
      <w:r w:rsidRPr="002C4077">
        <w:t xml:space="preserve"> </w:t>
      </w:r>
      <w:r>
        <w:t>considérable.</w:t>
      </w:r>
      <w:r w:rsidRPr="002C4077">
        <w:t xml:space="preserve"> </w:t>
      </w:r>
      <w:r w:rsidR="00B546AF">
        <w:t>« </w:t>
      </w:r>
      <w:r>
        <w:t>Il</w:t>
      </w:r>
      <w:r w:rsidRPr="002C4077">
        <w:t xml:space="preserve"> </w:t>
      </w:r>
      <w:r>
        <w:t>fallait</w:t>
      </w:r>
      <w:r w:rsidRPr="002C4077">
        <w:t xml:space="preserve"> </w:t>
      </w:r>
      <w:r>
        <w:t>produire</w:t>
      </w:r>
      <w:r w:rsidRPr="002C4077">
        <w:t xml:space="preserve"> </w:t>
      </w:r>
      <w:r>
        <w:t>une</w:t>
      </w:r>
      <w:r w:rsidRPr="002C4077">
        <w:t xml:space="preserve"> </w:t>
      </w:r>
      <w:r>
        <w:t>traduction</w:t>
      </w:r>
      <w:r w:rsidRPr="002C4077">
        <w:t xml:space="preserve"> </w:t>
      </w:r>
      <w:r>
        <w:t>qui,</w:t>
      </w:r>
      <w:r w:rsidRPr="002C4077">
        <w:t xml:space="preserve"> </w:t>
      </w:r>
      <w:r>
        <w:t>sans</w:t>
      </w:r>
      <w:r w:rsidRPr="002C4077">
        <w:t xml:space="preserve"> </w:t>
      </w:r>
      <w:r>
        <w:t>favoriser</w:t>
      </w:r>
      <w:r w:rsidRPr="002C4077">
        <w:t xml:space="preserve"> </w:t>
      </w:r>
      <w:r>
        <w:t>aux</w:t>
      </w:r>
      <w:r w:rsidRPr="002C4077">
        <w:t xml:space="preserve"> </w:t>
      </w:r>
      <w:r>
        <w:t>dépens</w:t>
      </w:r>
      <w:r w:rsidRPr="002C4077">
        <w:t xml:space="preserve"> </w:t>
      </w:r>
      <w:r>
        <w:t>des</w:t>
      </w:r>
      <w:r w:rsidRPr="002C4077">
        <w:t xml:space="preserve"> </w:t>
      </w:r>
      <w:r>
        <w:t>autres</w:t>
      </w:r>
      <w:r w:rsidRPr="002C4077">
        <w:t xml:space="preserve"> </w:t>
      </w:r>
      <w:r>
        <w:t>une</w:t>
      </w:r>
      <w:r w:rsidRPr="002C4077">
        <w:t xml:space="preserve"> </w:t>
      </w:r>
      <w:r>
        <w:t>école</w:t>
      </w:r>
      <w:r w:rsidRPr="002C4077">
        <w:t xml:space="preserve"> </w:t>
      </w:r>
      <w:r>
        <w:t>particulière</w:t>
      </w:r>
      <w:r w:rsidRPr="002C4077">
        <w:t xml:space="preserve"> </w:t>
      </w:r>
      <w:r>
        <w:t>de</w:t>
      </w:r>
      <w:r w:rsidRPr="002C4077">
        <w:t xml:space="preserve"> </w:t>
      </w:r>
      <w:r>
        <w:t>critique,</w:t>
      </w:r>
      <w:r w:rsidRPr="002C4077">
        <w:t xml:space="preserve"> </w:t>
      </w:r>
      <w:r>
        <w:t>représentât</w:t>
      </w:r>
      <w:r w:rsidRPr="002C4077">
        <w:t xml:space="preserve"> </w:t>
      </w:r>
      <w:r>
        <w:t>et</w:t>
      </w:r>
      <w:r w:rsidRPr="002C4077">
        <w:t xml:space="preserve"> </w:t>
      </w:r>
      <w:r w:rsidRPr="009269FC">
        <w:t>s’appropriât pleinement la science la plus complète de notre temps</w:t>
      </w:r>
      <w:r w:rsidR="00B546AF" w:rsidRPr="009269FC">
        <w:t> ;</w:t>
      </w:r>
      <w:r w:rsidR="00C45B47">
        <w:t xml:space="preserve"> {</w:t>
      </w:r>
      <w:r w:rsidR="001F5257">
        <w:t>191</w:t>
      </w:r>
      <w:bookmarkStart w:id="486" w:name="p191"/>
      <w:bookmarkEnd w:id="486"/>
      <w:r w:rsidR="001F5257">
        <w:t xml:space="preserve">} </w:t>
      </w:r>
      <w:r w:rsidRPr="009269FC">
        <w:t>qui réconciliât, s’il était possible, les différentes opinions, mais sans se mettre à la remorque d’aucune</w:t>
      </w:r>
      <w:r w:rsidR="00B546AF" w:rsidRPr="009269FC">
        <w:t> ;</w:t>
      </w:r>
      <w:r w:rsidRPr="009269FC">
        <w:t xml:space="preserve"> qui, tout e</w:t>
      </w:r>
      <w:r>
        <w:t>n</w:t>
      </w:r>
      <w:r w:rsidRPr="002C4077">
        <w:t xml:space="preserve"> </w:t>
      </w:r>
      <w:r>
        <w:t>conservant</w:t>
      </w:r>
      <w:r w:rsidRPr="002C4077">
        <w:t xml:space="preserve"> </w:t>
      </w:r>
      <w:r>
        <w:t>à</w:t>
      </w:r>
      <w:r w:rsidRPr="002C4077">
        <w:t xml:space="preserve"> </w:t>
      </w:r>
      <w:r>
        <w:t>la</w:t>
      </w:r>
      <w:r w:rsidRPr="002C4077">
        <w:t xml:space="preserve"> </w:t>
      </w:r>
      <w:r>
        <w:t>version</w:t>
      </w:r>
      <w:r w:rsidRPr="002C4077">
        <w:t xml:space="preserve"> </w:t>
      </w:r>
      <w:r>
        <w:t>antique</w:t>
      </w:r>
      <w:r w:rsidRPr="002C4077">
        <w:t xml:space="preserve"> </w:t>
      </w:r>
      <w:r>
        <w:t>sa</w:t>
      </w:r>
      <w:r w:rsidRPr="002C4077">
        <w:t xml:space="preserve"> </w:t>
      </w:r>
      <w:r>
        <w:t>couleur</w:t>
      </w:r>
      <w:r w:rsidRPr="002C4077">
        <w:t xml:space="preserve"> </w:t>
      </w:r>
      <w:r>
        <w:t>et</w:t>
      </w:r>
      <w:r w:rsidRPr="002C4077">
        <w:t xml:space="preserve"> </w:t>
      </w:r>
      <w:r>
        <w:t>sa</w:t>
      </w:r>
      <w:r w:rsidRPr="002C4077">
        <w:t xml:space="preserve"> </w:t>
      </w:r>
      <w:r>
        <w:t>saveur,</w:t>
      </w:r>
      <w:r w:rsidRPr="002C4077">
        <w:t xml:space="preserve"> </w:t>
      </w:r>
      <w:r>
        <w:t>ne</w:t>
      </w:r>
      <w:r w:rsidRPr="002C4077">
        <w:t xml:space="preserve"> </w:t>
      </w:r>
      <w:r>
        <w:t>laissât</w:t>
      </w:r>
      <w:r w:rsidRPr="002C4077">
        <w:t xml:space="preserve"> </w:t>
      </w:r>
      <w:r>
        <w:t>passer</w:t>
      </w:r>
      <w:r w:rsidRPr="002C4077">
        <w:t xml:space="preserve"> </w:t>
      </w:r>
      <w:r>
        <w:t>aucune</w:t>
      </w:r>
      <w:r w:rsidRPr="002C4077">
        <w:t xml:space="preserve"> </w:t>
      </w:r>
      <w:r>
        <w:t>de</w:t>
      </w:r>
      <w:r w:rsidRPr="002C4077">
        <w:t xml:space="preserve"> </w:t>
      </w:r>
      <w:r>
        <w:t>ses</w:t>
      </w:r>
      <w:r w:rsidRPr="002C4077">
        <w:t xml:space="preserve"> </w:t>
      </w:r>
      <w:r>
        <w:t>erreurs</w:t>
      </w:r>
      <w:r w:rsidRPr="002C4077">
        <w:t xml:space="preserve"> </w:t>
      </w:r>
      <w:r>
        <w:t>sans</w:t>
      </w:r>
      <w:r w:rsidRPr="002C4077">
        <w:t xml:space="preserve"> </w:t>
      </w:r>
      <w:r>
        <w:t>la</w:t>
      </w:r>
      <w:r w:rsidRPr="002C4077">
        <w:t xml:space="preserve"> </w:t>
      </w:r>
      <w:r>
        <w:t>rectifier,</w:t>
      </w:r>
      <w:r w:rsidRPr="002C4077">
        <w:t xml:space="preserve"> </w:t>
      </w:r>
      <w:r>
        <w:t>aucune</w:t>
      </w:r>
      <w:r w:rsidRPr="002C4077">
        <w:t xml:space="preserve"> </w:t>
      </w:r>
      <w:r>
        <w:t>de</w:t>
      </w:r>
      <w:r w:rsidRPr="002C4077">
        <w:t xml:space="preserve"> </w:t>
      </w:r>
      <w:r>
        <w:t>ses</w:t>
      </w:r>
      <w:r w:rsidRPr="002C4077">
        <w:t xml:space="preserve"> </w:t>
      </w:r>
      <w:r>
        <w:t>obscurités</w:t>
      </w:r>
      <w:r w:rsidRPr="002C4077">
        <w:t xml:space="preserve"> </w:t>
      </w:r>
      <w:r>
        <w:t>sans</w:t>
      </w:r>
      <w:r w:rsidRPr="002C4077">
        <w:t xml:space="preserve"> </w:t>
      </w:r>
      <w:r>
        <w:t>l’éclaircir</w:t>
      </w:r>
      <w:r w:rsidR="00B546AF">
        <w:t> ;</w:t>
      </w:r>
      <w:r w:rsidRPr="002C4077">
        <w:t xml:space="preserve"> </w:t>
      </w:r>
      <w:r>
        <w:t>qui,</w:t>
      </w:r>
      <w:r w:rsidRPr="002C4077">
        <w:t xml:space="preserve"> </w:t>
      </w:r>
      <w:r>
        <w:t>dans</w:t>
      </w:r>
      <w:r w:rsidRPr="002C4077">
        <w:t xml:space="preserve"> </w:t>
      </w:r>
      <w:r>
        <w:t>les</w:t>
      </w:r>
      <w:r w:rsidRPr="002C4077">
        <w:t xml:space="preserve"> </w:t>
      </w:r>
      <w:r>
        <w:t>modifications</w:t>
      </w:r>
      <w:r w:rsidRPr="002C4077">
        <w:t xml:space="preserve"> </w:t>
      </w:r>
      <w:r>
        <w:t>qu’elle</w:t>
      </w:r>
      <w:r w:rsidRPr="002C4077">
        <w:t xml:space="preserve"> </w:t>
      </w:r>
      <w:r>
        <w:t>pourrait</w:t>
      </w:r>
      <w:r w:rsidRPr="002C4077">
        <w:t xml:space="preserve"> </w:t>
      </w:r>
      <w:r>
        <w:t>introduire,</w:t>
      </w:r>
      <w:r w:rsidRPr="002C4077">
        <w:t xml:space="preserve"> </w:t>
      </w:r>
      <w:r>
        <w:t>ne</w:t>
      </w:r>
      <w:r w:rsidRPr="002C4077">
        <w:t xml:space="preserve"> </w:t>
      </w:r>
      <w:r>
        <w:t>flattât</w:t>
      </w:r>
      <w:r w:rsidRPr="002C4077">
        <w:t xml:space="preserve"> </w:t>
      </w:r>
      <w:r>
        <w:t>pas</w:t>
      </w:r>
      <w:r w:rsidRPr="002C4077">
        <w:t xml:space="preserve"> </w:t>
      </w:r>
      <w:r>
        <w:t>un</w:t>
      </w:r>
      <w:r w:rsidRPr="002C4077">
        <w:t xml:space="preserve"> </w:t>
      </w:r>
      <w:r>
        <w:t>seul</w:t>
      </w:r>
      <w:r w:rsidRPr="002C4077">
        <w:t xml:space="preserve"> </w:t>
      </w:r>
      <w:r>
        <w:t>préjugé,</w:t>
      </w:r>
      <w:r w:rsidRPr="002C4077">
        <w:t xml:space="preserve"> </w:t>
      </w:r>
      <w:r>
        <w:t>et,</w:t>
      </w:r>
      <w:r w:rsidRPr="002C4077">
        <w:t xml:space="preserve"> </w:t>
      </w:r>
      <w:r>
        <w:t>s’il</w:t>
      </w:r>
      <w:r w:rsidRPr="002C4077">
        <w:t xml:space="preserve"> </w:t>
      </w:r>
      <w:r>
        <w:t>était</w:t>
      </w:r>
      <w:r w:rsidRPr="002C4077">
        <w:t xml:space="preserve"> </w:t>
      </w:r>
      <w:r>
        <w:t>possible,</w:t>
      </w:r>
      <w:r w:rsidRPr="002C4077">
        <w:t xml:space="preserve"> </w:t>
      </w:r>
      <w:r>
        <w:t>n’en</w:t>
      </w:r>
      <w:r w:rsidRPr="002C4077">
        <w:t xml:space="preserve"> </w:t>
      </w:r>
      <w:r>
        <w:t>blessât</w:t>
      </w:r>
      <w:r w:rsidRPr="002C4077">
        <w:t xml:space="preserve"> </w:t>
      </w:r>
      <w:r>
        <w:t>aucun</w:t>
      </w:r>
      <w:r w:rsidR="00B546AF">
        <w:t> ;</w:t>
      </w:r>
      <w:r w:rsidRPr="002C4077">
        <w:t xml:space="preserve"> </w:t>
      </w:r>
      <w:r>
        <w:t>bref,</w:t>
      </w:r>
      <w:r w:rsidRPr="002C4077">
        <w:t xml:space="preserve"> </w:t>
      </w:r>
      <w:r>
        <w:t>une</w:t>
      </w:r>
      <w:r w:rsidRPr="002C4077">
        <w:t xml:space="preserve"> </w:t>
      </w:r>
      <w:r>
        <w:t>traduction</w:t>
      </w:r>
      <w:r w:rsidRPr="002C4077">
        <w:t xml:space="preserve"> </w:t>
      </w:r>
      <w:r>
        <w:t>qui</w:t>
      </w:r>
      <w:r w:rsidRPr="002C4077">
        <w:t xml:space="preserve"> </w:t>
      </w:r>
      <w:r>
        <w:t>fût</w:t>
      </w:r>
      <w:r w:rsidRPr="002C4077">
        <w:t xml:space="preserve"> </w:t>
      </w:r>
      <w:r>
        <w:t>digne</w:t>
      </w:r>
      <w:r w:rsidRPr="002C4077">
        <w:t xml:space="preserve"> </w:t>
      </w:r>
      <w:r>
        <w:t>de</w:t>
      </w:r>
      <w:r w:rsidRPr="002C4077">
        <w:t xml:space="preserve"> </w:t>
      </w:r>
      <w:r>
        <w:t>remplacer</w:t>
      </w:r>
      <w:r w:rsidRPr="002C4077">
        <w:t xml:space="preserve"> </w:t>
      </w:r>
      <w:r>
        <w:t>la</w:t>
      </w:r>
      <w:r w:rsidRPr="002C4077">
        <w:t xml:space="preserve"> </w:t>
      </w:r>
      <w:r>
        <w:t>version</w:t>
      </w:r>
      <w:r w:rsidRPr="002C4077">
        <w:t xml:space="preserve"> </w:t>
      </w:r>
      <w:r>
        <w:t>autorisée,</w:t>
      </w:r>
      <w:r w:rsidRPr="002C4077">
        <w:t xml:space="preserve"> </w:t>
      </w:r>
      <w:r>
        <w:t>comme</w:t>
      </w:r>
      <w:r w:rsidRPr="002C4077">
        <w:t xml:space="preserve"> </w:t>
      </w:r>
      <w:r>
        <w:t>un</w:t>
      </w:r>
      <w:r w:rsidRPr="002C4077">
        <w:t xml:space="preserve"> </w:t>
      </w:r>
      <w:r>
        <w:t>modèle</w:t>
      </w:r>
      <w:r w:rsidRPr="002C4077">
        <w:t xml:space="preserve"> </w:t>
      </w:r>
      <w:r>
        <w:t>du</w:t>
      </w:r>
      <w:r w:rsidRPr="002C4077">
        <w:t xml:space="preserve"> </w:t>
      </w:r>
      <w:r>
        <w:t>Nouveau</w:t>
      </w:r>
      <w:r w:rsidRPr="002C4077">
        <w:t xml:space="preserve"> </w:t>
      </w:r>
      <w:r>
        <w:t>Testament</w:t>
      </w:r>
      <w:r w:rsidRPr="002C4077">
        <w:t xml:space="preserve"> </w:t>
      </w:r>
      <w:r>
        <w:t>anglais</w:t>
      </w:r>
      <w:r w:rsidR="00B91AF7">
        <w:rPr>
          <w:rStyle w:val="Appelnotedebasdep"/>
        </w:rPr>
        <w:footnoteReference w:id="639"/>
      </w:r>
      <w:r w:rsidR="00B546AF">
        <w:t> »</w:t>
      </w:r>
      <w:r>
        <w:t>.</w:t>
      </w:r>
      <w:r w:rsidRPr="002C4077">
        <w:t xml:space="preserve"> </w:t>
      </w:r>
      <w:r>
        <w:t>Voilà,</w:t>
      </w:r>
      <w:r w:rsidRPr="002C4077">
        <w:t xml:space="preserve"> </w:t>
      </w:r>
      <w:r>
        <w:t>certes,</w:t>
      </w:r>
      <w:r w:rsidRPr="002C4077">
        <w:t xml:space="preserve"> </w:t>
      </w:r>
      <w:r>
        <w:t>des</w:t>
      </w:r>
      <w:r w:rsidRPr="002C4077">
        <w:t xml:space="preserve"> </w:t>
      </w:r>
      <w:r>
        <w:t>exigences</w:t>
      </w:r>
      <w:r w:rsidRPr="002C4077">
        <w:t xml:space="preserve"> </w:t>
      </w:r>
      <w:r>
        <w:t>dont</w:t>
      </w:r>
      <w:r w:rsidRPr="002C4077">
        <w:t xml:space="preserve"> </w:t>
      </w:r>
      <w:r>
        <w:t>plusieurs</w:t>
      </w:r>
      <w:r w:rsidRPr="002C4077">
        <w:t xml:space="preserve"> </w:t>
      </w:r>
      <w:r>
        <w:t>sont</w:t>
      </w:r>
      <w:r w:rsidRPr="002C4077">
        <w:t xml:space="preserve"> </w:t>
      </w:r>
      <w:r>
        <w:t>à</w:t>
      </w:r>
      <w:r w:rsidRPr="002C4077">
        <w:t xml:space="preserve"> </w:t>
      </w:r>
      <w:r>
        <w:t>peine</w:t>
      </w:r>
      <w:r w:rsidRPr="002C4077">
        <w:t xml:space="preserve"> </w:t>
      </w:r>
      <w:r>
        <w:t>conciliables</w:t>
      </w:r>
      <w:r w:rsidRPr="002C4077">
        <w:t xml:space="preserve"> </w:t>
      </w:r>
      <w:r>
        <w:t>entre</w:t>
      </w:r>
      <w:r w:rsidRPr="002C4077">
        <w:t xml:space="preserve"> </w:t>
      </w:r>
      <w:r>
        <w:t>elles,</w:t>
      </w:r>
      <w:r w:rsidRPr="002C4077">
        <w:t xml:space="preserve"> </w:t>
      </w:r>
      <w:r>
        <w:t>et</w:t>
      </w:r>
      <w:r w:rsidRPr="002C4077">
        <w:t xml:space="preserve"> </w:t>
      </w:r>
      <w:r>
        <w:t>qui</w:t>
      </w:r>
      <w:r w:rsidRPr="002C4077">
        <w:t xml:space="preserve"> </w:t>
      </w:r>
      <w:r>
        <w:t>sont</w:t>
      </w:r>
      <w:r w:rsidRPr="002C4077">
        <w:t xml:space="preserve"> </w:t>
      </w:r>
      <w:r>
        <w:t>toutes</w:t>
      </w:r>
      <w:r w:rsidRPr="002C4077">
        <w:t xml:space="preserve"> </w:t>
      </w:r>
      <w:r>
        <w:t>d’une</w:t>
      </w:r>
      <w:r w:rsidRPr="002C4077">
        <w:t xml:space="preserve"> </w:t>
      </w:r>
      <w:r>
        <w:t>réalisation</w:t>
      </w:r>
      <w:r w:rsidRPr="002C4077">
        <w:t xml:space="preserve"> </w:t>
      </w:r>
      <w:r>
        <w:t>difficile.</w:t>
      </w:r>
      <w:r w:rsidRPr="002C4077">
        <w:t xml:space="preserve"> </w:t>
      </w:r>
      <w:r>
        <w:t>Au</w:t>
      </w:r>
      <w:r w:rsidRPr="002C4077">
        <w:t xml:space="preserve"> </w:t>
      </w:r>
      <w:r>
        <w:t>reste,</w:t>
      </w:r>
      <w:r w:rsidRPr="002C4077">
        <w:t xml:space="preserve"> </w:t>
      </w:r>
      <w:r>
        <w:t>l’œuvre</w:t>
      </w:r>
      <w:r w:rsidRPr="002C4077">
        <w:t xml:space="preserve"> </w:t>
      </w:r>
      <w:r>
        <w:t>nécessitait</w:t>
      </w:r>
      <w:r w:rsidRPr="002C4077">
        <w:t xml:space="preserve"> </w:t>
      </w:r>
      <w:r>
        <w:t>par</w:t>
      </w:r>
      <w:r w:rsidRPr="002C4077">
        <w:t xml:space="preserve"> </w:t>
      </w:r>
      <w:r>
        <w:t>elle-même</w:t>
      </w:r>
      <w:r w:rsidRPr="002C4077">
        <w:t xml:space="preserve"> </w:t>
      </w:r>
      <w:r>
        <w:t>de</w:t>
      </w:r>
      <w:r w:rsidRPr="002C4077">
        <w:t xml:space="preserve"> </w:t>
      </w:r>
      <w:r>
        <w:t>longues</w:t>
      </w:r>
      <w:r w:rsidRPr="002C4077">
        <w:t xml:space="preserve"> </w:t>
      </w:r>
      <w:r>
        <w:t>et</w:t>
      </w:r>
      <w:r w:rsidRPr="002C4077">
        <w:t xml:space="preserve"> </w:t>
      </w:r>
      <w:r>
        <w:t>minutieuses</w:t>
      </w:r>
      <w:r w:rsidRPr="002C4077">
        <w:t xml:space="preserve"> </w:t>
      </w:r>
      <w:r>
        <w:t>recherches,</w:t>
      </w:r>
      <w:r w:rsidRPr="002C4077">
        <w:t xml:space="preserve"> </w:t>
      </w:r>
      <w:r>
        <w:t>dont</w:t>
      </w:r>
      <w:r w:rsidRPr="002C4077">
        <w:t xml:space="preserve"> </w:t>
      </w:r>
      <w:r>
        <w:t>on</w:t>
      </w:r>
      <w:r w:rsidRPr="002C4077">
        <w:t xml:space="preserve"> </w:t>
      </w:r>
      <w:r>
        <w:t>se</w:t>
      </w:r>
      <w:r w:rsidRPr="002C4077">
        <w:t xml:space="preserve"> </w:t>
      </w:r>
      <w:r>
        <w:t>fait</w:t>
      </w:r>
      <w:r w:rsidRPr="002C4077">
        <w:t xml:space="preserve"> </w:t>
      </w:r>
      <w:r>
        <w:t>souvent</w:t>
      </w:r>
      <w:r w:rsidRPr="002C4077">
        <w:t xml:space="preserve"> </w:t>
      </w:r>
      <w:r>
        <w:t>à</w:t>
      </w:r>
      <w:r w:rsidRPr="002C4077">
        <w:t xml:space="preserve"> </w:t>
      </w:r>
      <w:r>
        <w:t>peine</w:t>
      </w:r>
      <w:r w:rsidRPr="002C4077">
        <w:t xml:space="preserve"> </w:t>
      </w:r>
      <w:r>
        <w:t>une</w:t>
      </w:r>
      <w:r w:rsidRPr="002C4077">
        <w:t xml:space="preserve"> </w:t>
      </w:r>
      <w:r>
        <w:t>idée.</w:t>
      </w:r>
      <w:r w:rsidRPr="002C4077">
        <w:t xml:space="preserve"> </w:t>
      </w:r>
      <w:r>
        <w:t>Savez-vous,</w:t>
      </w:r>
      <w:r w:rsidRPr="002C4077">
        <w:t xml:space="preserve"> </w:t>
      </w:r>
      <w:r>
        <w:t>cher</w:t>
      </w:r>
      <w:r w:rsidRPr="002C4077">
        <w:t xml:space="preserve"> </w:t>
      </w:r>
      <w:r>
        <w:t>lecteur,</w:t>
      </w:r>
      <w:r w:rsidRPr="002C4077">
        <w:t xml:space="preserve"> </w:t>
      </w:r>
      <w:r>
        <w:t>que</w:t>
      </w:r>
      <w:r w:rsidRPr="002C4077">
        <w:t xml:space="preserve"> </w:t>
      </w:r>
      <w:r>
        <w:t>les</w:t>
      </w:r>
      <w:r w:rsidRPr="002C4077">
        <w:t xml:space="preserve"> </w:t>
      </w:r>
      <w:r>
        <w:t>variantes</w:t>
      </w:r>
      <w:bookmarkStart w:id="487" w:name="z_Variantes_o1"/>
      <w:bookmarkEnd w:id="487"/>
      <w:r w:rsidRPr="002C4077">
        <w:t xml:space="preserve"> </w:t>
      </w:r>
      <w:r>
        <w:t>du</w:t>
      </w:r>
      <w:r w:rsidRPr="002C4077">
        <w:t xml:space="preserve"> </w:t>
      </w:r>
      <w:r>
        <w:t>texte</w:t>
      </w:r>
      <w:r w:rsidRPr="002C4077">
        <w:t xml:space="preserve"> </w:t>
      </w:r>
      <w:r>
        <w:t>grec,</w:t>
      </w:r>
      <w:r w:rsidRPr="002C4077">
        <w:t xml:space="preserve"> </w:t>
      </w:r>
      <w:r>
        <w:t>pour</w:t>
      </w:r>
      <w:r w:rsidRPr="002C4077">
        <w:t xml:space="preserve"> </w:t>
      </w:r>
      <w:r>
        <w:t>le</w:t>
      </w:r>
      <w:r w:rsidRPr="002C4077">
        <w:t xml:space="preserve"> </w:t>
      </w:r>
      <w:r>
        <w:t>seul</w:t>
      </w:r>
      <w:r w:rsidRPr="002C4077">
        <w:t xml:space="preserve"> </w:t>
      </w:r>
      <w:r>
        <w:t>Nouveau</w:t>
      </w:r>
      <w:r w:rsidRPr="002C4077">
        <w:t xml:space="preserve"> </w:t>
      </w:r>
      <w:r>
        <w:t>Testament,</w:t>
      </w:r>
      <w:r w:rsidRPr="002C4077">
        <w:t xml:space="preserve"> </w:t>
      </w:r>
      <w:r>
        <w:t>atteignent</w:t>
      </w:r>
      <w:r w:rsidRPr="002C4077">
        <w:t xml:space="preserve"> </w:t>
      </w:r>
      <w:r>
        <w:t>le</w:t>
      </w:r>
      <w:r w:rsidRPr="002C4077">
        <w:t xml:space="preserve"> </w:t>
      </w:r>
      <w:r>
        <w:t>chiffre</w:t>
      </w:r>
      <w:r w:rsidRPr="002C4077">
        <w:t xml:space="preserve"> </w:t>
      </w:r>
      <w:r>
        <w:t>énorme</w:t>
      </w:r>
      <w:r w:rsidRPr="002C4077">
        <w:t xml:space="preserve"> </w:t>
      </w:r>
      <w:r>
        <w:t>de</w:t>
      </w:r>
      <w:r w:rsidRPr="002C4077">
        <w:t xml:space="preserve"> </w:t>
      </w:r>
      <w:r>
        <w:t>cent</w:t>
      </w:r>
      <w:r w:rsidRPr="002C4077">
        <w:t xml:space="preserve"> </w:t>
      </w:r>
      <w:r>
        <w:t>cinquante</w:t>
      </w:r>
      <w:r w:rsidRPr="002C4077">
        <w:t xml:space="preserve"> </w:t>
      </w:r>
      <w:r>
        <w:t>mille</w:t>
      </w:r>
      <w:r w:rsidR="00B546AF">
        <w:t> ?</w:t>
      </w:r>
      <w:r w:rsidRPr="002C4077">
        <w:t xml:space="preserve"> </w:t>
      </w:r>
      <w:r>
        <w:t>À</w:t>
      </w:r>
      <w:r w:rsidRPr="002C4077">
        <w:t xml:space="preserve"> </w:t>
      </w:r>
      <w:r>
        <w:t>chaque</w:t>
      </w:r>
      <w:r w:rsidRPr="002C4077">
        <w:t xml:space="preserve"> </w:t>
      </w:r>
      <w:r>
        <w:t>verset</w:t>
      </w:r>
      <w:r w:rsidRPr="002C4077">
        <w:t xml:space="preserve"> </w:t>
      </w:r>
      <w:r>
        <w:t>l’on</w:t>
      </w:r>
      <w:r w:rsidRPr="002C4077">
        <w:t xml:space="preserve"> </w:t>
      </w:r>
      <w:r>
        <w:t>était</w:t>
      </w:r>
      <w:r w:rsidRPr="002C4077">
        <w:t xml:space="preserve"> </w:t>
      </w:r>
      <w:r>
        <w:t>donc</w:t>
      </w:r>
      <w:r w:rsidRPr="002C4077">
        <w:t xml:space="preserve"> </w:t>
      </w:r>
      <w:r>
        <w:t>arrêté</w:t>
      </w:r>
      <w:r w:rsidRPr="002C4077">
        <w:t xml:space="preserve"> </w:t>
      </w:r>
      <w:r>
        <w:t>par</w:t>
      </w:r>
      <w:r w:rsidRPr="002C4077">
        <w:t xml:space="preserve"> </w:t>
      </w:r>
      <w:r>
        <w:t>des</w:t>
      </w:r>
      <w:r w:rsidRPr="002C4077">
        <w:t xml:space="preserve"> </w:t>
      </w:r>
      <w:r>
        <w:t>détails</w:t>
      </w:r>
      <w:r w:rsidRPr="002C4077">
        <w:t xml:space="preserve"> </w:t>
      </w:r>
      <w:r>
        <w:t>sans</w:t>
      </w:r>
      <w:r w:rsidRPr="002C4077">
        <w:t xml:space="preserve"> </w:t>
      </w:r>
      <w:r>
        <w:t>fin</w:t>
      </w:r>
      <w:r w:rsidR="00B91AF7">
        <w:rPr>
          <w:rStyle w:val="Appelnotedebasdep"/>
        </w:rPr>
        <w:footnoteReference w:id="640"/>
      </w:r>
      <w:r>
        <w:t>.</w:t>
      </w:r>
      <w:r w:rsidRPr="002C4077">
        <w:t xml:space="preserve"> </w:t>
      </w:r>
      <w:r>
        <w:t>Aussi,</w:t>
      </w:r>
      <w:r w:rsidRPr="002C4077">
        <w:t xml:space="preserve"> </w:t>
      </w:r>
      <w:r>
        <w:t>indépendamment</w:t>
      </w:r>
      <w:r w:rsidRPr="002C4077">
        <w:t xml:space="preserve"> </w:t>
      </w:r>
      <w:r>
        <w:t>des</w:t>
      </w:r>
      <w:r w:rsidRPr="002C4077">
        <w:t xml:space="preserve"> </w:t>
      </w:r>
      <w:r>
        <w:t>heures</w:t>
      </w:r>
      <w:r w:rsidRPr="002C4077">
        <w:t xml:space="preserve"> </w:t>
      </w:r>
      <w:r>
        <w:t>nombreuses</w:t>
      </w:r>
      <w:r w:rsidRPr="002C4077">
        <w:t xml:space="preserve"> </w:t>
      </w:r>
      <w:r>
        <w:t>que</w:t>
      </w:r>
      <w:r w:rsidRPr="002C4077">
        <w:t xml:space="preserve"> </w:t>
      </w:r>
      <w:r>
        <w:t>chaque</w:t>
      </w:r>
      <w:r w:rsidRPr="002C4077">
        <w:t xml:space="preserve"> </w:t>
      </w:r>
      <w:r>
        <w:t>réviseur</w:t>
      </w:r>
      <w:r w:rsidRPr="002C4077">
        <w:t xml:space="preserve"> </w:t>
      </w:r>
      <w:r>
        <w:t>consacrait</w:t>
      </w:r>
      <w:r w:rsidRPr="002C4077">
        <w:t xml:space="preserve"> </w:t>
      </w:r>
      <w:r>
        <w:t>en</w:t>
      </w:r>
      <w:r w:rsidRPr="002C4077">
        <w:t xml:space="preserve"> </w:t>
      </w:r>
      <w:r>
        <w:t>particulier</w:t>
      </w:r>
      <w:r w:rsidRPr="002C4077">
        <w:t xml:space="preserve"> </w:t>
      </w:r>
      <w:r>
        <w:t>aux</w:t>
      </w:r>
      <w:r w:rsidRPr="002C4077">
        <w:t xml:space="preserve"> </w:t>
      </w:r>
      <w:r>
        <w:t>travaux</w:t>
      </w:r>
      <w:r w:rsidRPr="002C4077">
        <w:t xml:space="preserve"> </w:t>
      </w:r>
      <w:r>
        <w:t>préparatoires,</w:t>
      </w:r>
      <w:r w:rsidRPr="002C4077">
        <w:t xml:space="preserve"> </w:t>
      </w:r>
      <w:r>
        <w:t>le</w:t>
      </w:r>
      <w:r w:rsidRPr="002C4077">
        <w:t xml:space="preserve"> </w:t>
      </w:r>
      <w:r>
        <w:t>labeur</w:t>
      </w:r>
      <w:r w:rsidRPr="002C4077">
        <w:t xml:space="preserve"> </w:t>
      </w:r>
      <w:r>
        <w:t>fait</w:t>
      </w:r>
      <w:r w:rsidRPr="002C4077">
        <w:t xml:space="preserve"> </w:t>
      </w:r>
      <w:r>
        <w:t>en</w:t>
      </w:r>
      <w:r w:rsidRPr="002C4077">
        <w:t xml:space="preserve"> </w:t>
      </w:r>
      <w:r>
        <w:t>commun</w:t>
      </w:r>
      <w:r w:rsidRPr="002C4077">
        <w:t xml:space="preserve"> </w:t>
      </w:r>
      <w:r>
        <w:t>dura-t-il</w:t>
      </w:r>
      <w:r w:rsidRPr="002C4077">
        <w:t xml:space="preserve"> </w:t>
      </w:r>
      <w:r>
        <w:t>environ</w:t>
      </w:r>
      <w:r w:rsidRPr="002C4077">
        <w:t xml:space="preserve"> </w:t>
      </w:r>
      <w:r>
        <w:t>412</w:t>
      </w:r>
      <w:r w:rsidRPr="002C4077">
        <w:t xml:space="preserve"> </w:t>
      </w:r>
      <w:r>
        <w:t>jours,</w:t>
      </w:r>
      <w:r w:rsidRPr="002C4077">
        <w:t xml:space="preserve"> </w:t>
      </w:r>
      <w:r>
        <w:t>à</w:t>
      </w:r>
      <w:r w:rsidRPr="002C4077">
        <w:t xml:space="preserve"> </w:t>
      </w:r>
      <w:r>
        <w:t>raison</w:t>
      </w:r>
      <w:r w:rsidRPr="002C4077">
        <w:t xml:space="preserve"> </w:t>
      </w:r>
      <w:r>
        <w:t>de</w:t>
      </w:r>
      <w:r w:rsidRPr="002C4077">
        <w:t xml:space="preserve"> </w:t>
      </w:r>
      <w:r>
        <w:t>sept</w:t>
      </w:r>
      <w:r w:rsidRPr="002C4077">
        <w:t xml:space="preserve"> </w:t>
      </w:r>
      <w:r>
        <w:t>heures</w:t>
      </w:r>
      <w:r w:rsidRPr="002C4077">
        <w:t xml:space="preserve"> </w:t>
      </w:r>
      <w:r>
        <w:t>de</w:t>
      </w:r>
      <w:r w:rsidRPr="002C4077">
        <w:t xml:space="preserve"> </w:t>
      </w:r>
      <w:r>
        <w:t>séance</w:t>
      </w:r>
      <w:r w:rsidRPr="002C4077">
        <w:t xml:space="preserve"> </w:t>
      </w:r>
      <w:r>
        <w:t>par</w:t>
      </w:r>
      <w:r w:rsidRPr="002C4077">
        <w:t xml:space="preserve"> </w:t>
      </w:r>
      <w:r>
        <w:t>jour.</w:t>
      </w:r>
      <w:r w:rsidRPr="002C4077">
        <w:t xml:space="preserve"> </w:t>
      </w:r>
      <w:r>
        <w:t>Excepté</w:t>
      </w:r>
      <w:r w:rsidRPr="002C4077">
        <w:t xml:space="preserve"> </w:t>
      </w:r>
      <w:r>
        <w:t>le</w:t>
      </w:r>
      <w:r w:rsidRPr="002C4077">
        <w:t xml:space="preserve"> </w:t>
      </w:r>
      <w:r>
        <w:t>temps</w:t>
      </w:r>
      <w:r w:rsidRPr="002C4077">
        <w:t xml:space="preserve"> </w:t>
      </w:r>
      <w:r>
        <w:t>des</w:t>
      </w:r>
      <w:r w:rsidRPr="002C4077">
        <w:t xml:space="preserve"> </w:t>
      </w:r>
      <w:r>
        <w:t>vacances</w:t>
      </w:r>
      <w:r w:rsidRPr="004440EA">
        <w:t xml:space="preserve"> (</w:t>
      </w:r>
      <w:r>
        <w:t>août-septembre</w:t>
      </w:r>
      <w:r w:rsidR="00B546AF" w:rsidRPr="002C4077">
        <w:t>)</w:t>
      </w:r>
      <w:r w:rsidRPr="00950016">
        <w:t>,</w:t>
      </w:r>
      <w:r w:rsidRPr="002C4077">
        <w:t xml:space="preserve"> </w:t>
      </w:r>
      <w:r>
        <w:t>la</w:t>
      </w:r>
      <w:r w:rsidRPr="002C4077">
        <w:t xml:space="preserve"> </w:t>
      </w:r>
      <w:r>
        <w:t>commission</w:t>
      </w:r>
      <w:r w:rsidRPr="002C4077">
        <w:t xml:space="preserve"> </w:t>
      </w:r>
      <w:r w:rsidR="00FB4E2C">
        <w:t>siégea</w:t>
      </w:r>
      <w:r w:rsidRPr="002C4077">
        <w:t xml:space="preserve"> </w:t>
      </w:r>
      <w:r>
        <w:t>en</w:t>
      </w:r>
      <w:r w:rsidRPr="002C4077">
        <w:t xml:space="preserve"> </w:t>
      </w:r>
      <w:r>
        <w:t>moyenne</w:t>
      </w:r>
      <w:r w:rsidRPr="002C4077">
        <w:t xml:space="preserve"> </w:t>
      </w:r>
      <w:r>
        <w:t>quatre</w:t>
      </w:r>
      <w:r w:rsidRPr="002C4077">
        <w:t xml:space="preserve"> </w:t>
      </w:r>
      <w:r>
        <w:t>fois</w:t>
      </w:r>
      <w:r w:rsidRPr="002C4077">
        <w:t xml:space="preserve"> </w:t>
      </w:r>
      <w:r>
        <w:t>par</w:t>
      </w:r>
      <w:r w:rsidRPr="002C4077">
        <w:t xml:space="preserve"> </w:t>
      </w:r>
      <w:r>
        <w:t>mois</w:t>
      </w:r>
      <w:r w:rsidRPr="002C4077">
        <w:t xml:space="preserve"> </w:t>
      </w:r>
      <w:r>
        <w:t>depuis</w:t>
      </w:r>
      <w:r w:rsidRPr="002C4077">
        <w:t xml:space="preserve"> </w:t>
      </w:r>
      <w:r>
        <w:t>le</w:t>
      </w:r>
      <w:r w:rsidRPr="002C4077">
        <w:t xml:space="preserve"> </w:t>
      </w:r>
      <w:r>
        <w:t>milieu</w:t>
      </w:r>
      <w:r w:rsidRPr="002C4077">
        <w:t xml:space="preserve"> </w:t>
      </w:r>
      <w:r>
        <w:t>de</w:t>
      </w:r>
      <w:r w:rsidRPr="002C4077">
        <w:t xml:space="preserve"> </w:t>
      </w:r>
      <w:r>
        <w:t>l’année</w:t>
      </w:r>
      <w:r w:rsidRPr="002C4077">
        <w:t xml:space="preserve"> </w:t>
      </w:r>
      <w:r>
        <w:t>1870</w:t>
      </w:r>
      <w:r w:rsidRPr="002C4077">
        <w:t xml:space="preserve"> </w:t>
      </w:r>
      <w:r>
        <w:t>jusque</w:t>
      </w:r>
      <w:r w:rsidRPr="002C4077">
        <w:t xml:space="preserve"> </w:t>
      </w:r>
      <w:r>
        <w:t>vers</w:t>
      </w:r>
      <w:r w:rsidRPr="002C4077">
        <w:t xml:space="preserve"> </w:t>
      </w:r>
      <w:r>
        <w:t>la</w:t>
      </w:r>
      <w:r w:rsidRPr="002C4077">
        <w:t xml:space="preserve"> </w:t>
      </w:r>
      <w:r>
        <w:t>fin</w:t>
      </w:r>
      <w:r w:rsidRPr="002C4077">
        <w:t xml:space="preserve"> </w:t>
      </w:r>
      <w:r>
        <w:t>de</w:t>
      </w:r>
      <w:r w:rsidRPr="002C4077">
        <w:t xml:space="preserve"> </w:t>
      </w:r>
      <w:r>
        <w:t>1880</w:t>
      </w:r>
      <w:r w:rsidR="00B91AF7">
        <w:rPr>
          <w:rStyle w:val="Appelnotedebasdep"/>
        </w:rPr>
        <w:footnoteReference w:id="641"/>
      </w:r>
      <w:r>
        <w:t>.</w:t>
      </w:r>
      <w:r w:rsidR="00C45B47">
        <w:t xml:space="preserve"> {</w:t>
      </w:r>
      <w:r w:rsidR="001F5257">
        <w:t>192</w:t>
      </w:r>
      <w:bookmarkStart w:id="488" w:name="p192"/>
      <w:bookmarkEnd w:id="488"/>
      <w:r w:rsidR="001F5257">
        <w:t xml:space="preserve">} </w:t>
      </w:r>
    </w:p>
    <w:p w:rsidR="000A7AAB" w:rsidRDefault="000A7AAB" w:rsidP="000A7AAB">
      <w:r>
        <w:lastRenderedPageBreak/>
        <w:t>Une</w:t>
      </w:r>
      <w:r w:rsidRPr="002C4077">
        <w:t xml:space="preserve"> </w:t>
      </w:r>
      <w:r>
        <w:t>pareille</w:t>
      </w:r>
      <w:r w:rsidRPr="002C4077">
        <w:t xml:space="preserve"> </w:t>
      </w:r>
      <w:r>
        <w:t>durée</w:t>
      </w:r>
      <w:r w:rsidRPr="002C4077">
        <w:t xml:space="preserve"> </w:t>
      </w:r>
      <w:r>
        <w:t>suffisait</w:t>
      </w:r>
      <w:r w:rsidRPr="002C4077">
        <w:t xml:space="preserve"> </w:t>
      </w:r>
      <w:r>
        <w:t>amplement</w:t>
      </w:r>
      <w:r w:rsidRPr="002C4077">
        <w:t xml:space="preserve"> </w:t>
      </w:r>
      <w:r>
        <w:t>pour</w:t>
      </w:r>
      <w:r w:rsidRPr="002C4077">
        <w:t xml:space="preserve"> </w:t>
      </w:r>
      <w:r>
        <w:t>accomplir</w:t>
      </w:r>
      <w:r w:rsidRPr="002C4077">
        <w:t xml:space="preserve"> </w:t>
      </w:r>
      <w:r>
        <w:t>de</w:t>
      </w:r>
      <w:r w:rsidRPr="002C4077">
        <w:t xml:space="preserve"> </w:t>
      </w:r>
      <w:r>
        <w:t>la</w:t>
      </w:r>
      <w:r w:rsidRPr="002C4077">
        <w:t xml:space="preserve"> </w:t>
      </w:r>
      <w:r>
        <w:t>façon</w:t>
      </w:r>
      <w:r w:rsidRPr="002C4077">
        <w:t xml:space="preserve"> </w:t>
      </w:r>
      <w:r>
        <w:t>la</w:t>
      </w:r>
      <w:r w:rsidRPr="002C4077">
        <w:t xml:space="preserve"> </w:t>
      </w:r>
      <w:r>
        <w:t>plus</w:t>
      </w:r>
      <w:r w:rsidRPr="002C4077">
        <w:t xml:space="preserve"> </w:t>
      </w:r>
      <w:r>
        <w:t>consciencieuse</w:t>
      </w:r>
      <w:r w:rsidRPr="002C4077">
        <w:t xml:space="preserve"> </w:t>
      </w:r>
      <w:r>
        <w:t>l’œuvre</w:t>
      </w:r>
      <w:r w:rsidRPr="002C4077">
        <w:t xml:space="preserve"> </w:t>
      </w:r>
      <w:r>
        <w:t>de</w:t>
      </w:r>
      <w:r w:rsidRPr="002C4077">
        <w:t xml:space="preserve"> </w:t>
      </w:r>
      <w:r>
        <w:t>la</w:t>
      </w:r>
      <w:r w:rsidRPr="002C4077">
        <w:t xml:space="preserve"> </w:t>
      </w:r>
      <w:r>
        <w:t>révision.</w:t>
      </w:r>
      <w:r w:rsidRPr="002C4077">
        <w:t xml:space="preserve"> </w:t>
      </w:r>
      <w:r w:rsidR="00B546AF">
        <w:t>« </w:t>
      </w:r>
      <w:r>
        <w:t>Elle</w:t>
      </w:r>
      <w:r w:rsidRPr="002C4077">
        <w:t xml:space="preserve"> </w:t>
      </w:r>
      <w:r>
        <w:t>suffisait</w:t>
      </w:r>
      <w:r w:rsidRPr="002C4077">
        <w:t xml:space="preserve"> </w:t>
      </w:r>
      <w:r>
        <w:t>même,</w:t>
      </w:r>
      <w:r w:rsidRPr="002C4077">
        <w:t xml:space="preserve"> </w:t>
      </w:r>
      <w:r>
        <w:t>ajoute</w:t>
      </w:r>
      <w:r w:rsidRPr="002C4077">
        <w:t xml:space="preserve"> </w:t>
      </w:r>
      <w:r>
        <w:t>un</w:t>
      </w:r>
      <w:r w:rsidRPr="002C4077">
        <w:t xml:space="preserve"> </w:t>
      </w:r>
      <w:r>
        <w:t>critique,</w:t>
      </w:r>
      <w:r w:rsidRPr="002C4077">
        <w:t xml:space="preserve"> </w:t>
      </w:r>
      <w:r>
        <w:t>non</w:t>
      </w:r>
      <w:r w:rsidRPr="002C4077">
        <w:t xml:space="preserve"> </w:t>
      </w:r>
      <w:r>
        <w:t>sans</w:t>
      </w:r>
      <w:r w:rsidRPr="002C4077">
        <w:t xml:space="preserve"> </w:t>
      </w:r>
      <w:r>
        <w:t>une</w:t>
      </w:r>
      <w:r w:rsidRPr="002C4077">
        <w:t xml:space="preserve"> </w:t>
      </w:r>
      <w:r>
        <w:t>mordante</w:t>
      </w:r>
      <w:r w:rsidRPr="002C4077">
        <w:t xml:space="preserve"> </w:t>
      </w:r>
      <w:r>
        <w:t>ironie</w:t>
      </w:r>
      <w:r w:rsidR="00B91AF7">
        <w:rPr>
          <w:rStyle w:val="Appelnotedebasdep"/>
        </w:rPr>
        <w:footnoteReference w:id="642"/>
      </w:r>
      <w:r>
        <w:t>,</w:t>
      </w:r>
      <w:r w:rsidRPr="002C4077">
        <w:t xml:space="preserve"> </w:t>
      </w:r>
      <w:r>
        <w:t>pour</w:t>
      </w:r>
      <w:r w:rsidRPr="002C4077">
        <w:t xml:space="preserve"> </w:t>
      </w:r>
      <w:r>
        <w:t>opérer</w:t>
      </w:r>
      <w:r w:rsidRPr="002C4077">
        <w:t xml:space="preserve"> </w:t>
      </w:r>
      <w:r>
        <w:t>laborieusement</w:t>
      </w:r>
      <w:r w:rsidRPr="002C4077">
        <w:t xml:space="preserve"> </w:t>
      </w:r>
      <w:r>
        <w:t>une</w:t>
      </w:r>
      <w:r w:rsidRPr="002C4077">
        <w:t xml:space="preserve"> </w:t>
      </w:r>
      <w:r>
        <w:t>quantité,</w:t>
      </w:r>
      <w:r w:rsidRPr="002C4077">
        <w:t xml:space="preserve"> </w:t>
      </w:r>
      <w:r>
        <w:t>hélas</w:t>
      </w:r>
      <w:r w:rsidR="00B546AF">
        <w:t> !</w:t>
      </w:r>
      <w:r w:rsidRPr="002C4077">
        <w:t xml:space="preserve"> </w:t>
      </w:r>
      <w:r>
        <w:t>point</w:t>
      </w:r>
      <w:r w:rsidRPr="002C4077">
        <w:t xml:space="preserve"> </w:t>
      </w:r>
      <w:r>
        <w:t>petite,</w:t>
      </w:r>
      <w:r w:rsidRPr="002C4077">
        <w:t xml:space="preserve"> </w:t>
      </w:r>
      <w:r>
        <w:t>de</w:t>
      </w:r>
      <w:r w:rsidRPr="002C4077">
        <w:t xml:space="preserve"> </w:t>
      </w:r>
      <w:r>
        <w:t>corrections</w:t>
      </w:r>
      <w:r w:rsidRPr="002C4077">
        <w:t xml:space="preserve"> </w:t>
      </w:r>
      <w:r>
        <w:t>inutiles</w:t>
      </w:r>
      <w:r w:rsidR="00B546AF">
        <w:t> »</w:t>
      </w:r>
      <w:r>
        <w:t>.</w:t>
      </w:r>
      <w:r w:rsidRPr="002C4077">
        <w:t xml:space="preserve"> </w:t>
      </w:r>
    </w:p>
    <w:p w:rsidR="000A7AAB" w:rsidRDefault="000A7AAB" w:rsidP="000A7AAB">
      <w:r>
        <w:t>Les</w:t>
      </w:r>
      <w:r w:rsidRPr="002C4077">
        <w:t xml:space="preserve"> </w:t>
      </w:r>
      <w:r>
        <w:t>réviseurs</w:t>
      </w:r>
      <w:r w:rsidRPr="002C4077">
        <w:t xml:space="preserve"> </w:t>
      </w:r>
      <w:r>
        <w:t>nous</w:t>
      </w:r>
      <w:r w:rsidRPr="002C4077">
        <w:t xml:space="preserve"> </w:t>
      </w:r>
      <w:r>
        <w:t>font</w:t>
      </w:r>
      <w:r w:rsidRPr="002C4077">
        <w:t xml:space="preserve"> </w:t>
      </w:r>
      <w:r>
        <w:t>connaître,</w:t>
      </w:r>
      <w:r w:rsidRPr="002C4077">
        <w:t xml:space="preserve"> </w:t>
      </w:r>
      <w:r>
        <w:t>dans</w:t>
      </w:r>
      <w:r w:rsidRPr="002C4077">
        <w:t xml:space="preserve"> </w:t>
      </w:r>
      <w:r>
        <w:t>la</w:t>
      </w:r>
      <w:r w:rsidRPr="002C4077">
        <w:t xml:space="preserve"> </w:t>
      </w:r>
      <w:r>
        <w:t>préface</w:t>
      </w:r>
      <w:r w:rsidRPr="002C4077">
        <w:t xml:space="preserve"> </w:t>
      </w:r>
      <w:r w:rsidR="00B91AF7">
        <w:rPr>
          <w:rStyle w:val="Appelnotedebasdep"/>
        </w:rPr>
        <w:footnoteReference w:id="643"/>
      </w:r>
      <w:r w:rsidRPr="002C4077">
        <w:t xml:space="preserve"> </w:t>
      </w:r>
      <w:r>
        <w:t>par</w:t>
      </w:r>
      <w:r w:rsidRPr="002C4077">
        <w:t xml:space="preserve"> </w:t>
      </w:r>
      <w:r>
        <w:t>laquelle</w:t>
      </w:r>
      <w:r w:rsidRPr="002C4077">
        <w:t xml:space="preserve"> </w:t>
      </w:r>
      <w:r>
        <w:t>ils</w:t>
      </w:r>
      <w:r w:rsidRPr="002C4077">
        <w:t xml:space="preserve"> </w:t>
      </w:r>
      <w:r>
        <w:t>introduisent</w:t>
      </w:r>
      <w:r w:rsidRPr="002C4077">
        <w:t xml:space="preserve"> </w:t>
      </w:r>
      <w:r>
        <w:t>le</w:t>
      </w:r>
      <w:r w:rsidRPr="002C4077">
        <w:t xml:space="preserve"> </w:t>
      </w:r>
      <w:r>
        <w:t>nouveau</w:t>
      </w:r>
      <w:r w:rsidRPr="002C4077">
        <w:t xml:space="preserve"> </w:t>
      </w:r>
      <w:r>
        <w:t>texte,</w:t>
      </w:r>
      <w:r w:rsidRPr="002C4077">
        <w:t xml:space="preserve"> </w:t>
      </w:r>
      <w:r>
        <w:t>les</w:t>
      </w:r>
      <w:r w:rsidRPr="002C4077">
        <w:t xml:space="preserve"> </w:t>
      </w:r>
      <w:r>
        <w:t>principales</w:t>
      </w:r>
      <w:r w:rsidRPr="002C4077">
        <w:t xml:space="preserve"> </w:t>
      </w:r>
      <w:r>
        <w:t>règles</w:t>
      </w:r>
      <w:r w:rsidRPr="002C4077">
        <w:t xml:space="preserve"> </w:t>
      </w:r>
      <w:r>
        <w:t>qu’ils</w:t>
      </w:r>
      <w:r w:rsidRPr="002C4077">
        <w:t xml:space="preserve"> </w:t>
      </w:r>
      <w:r>
        <w:t>avaient</w:t>
      </w:r>
      <w:r w:rsidRPr="002C4077">
        <w:t xml:space="preserve"> </w:t>
      </w:r>
      <w:r>
        <w:t>adoptées.</w:t>
      </w:r>
      <w:r w:rsidRPr="002C4077">
        <w:t xml:space="preserve"> </w:t>
      </w:r>
      <w:r>
        <w:t>Elles</w:t>
      </w:r>
      <w:r w:rsidRPr="002C4077">
        <w:t xml:space="preserve"> </w:t>
      </w:r>
      <w:r>
        <w:t>consistaient</w:t>
      </w:r>
      <w:r w:rsidR="00B546AF">
        <w:t> :</w:t>
      </w:r>
      <w:r w:rsidRPr="002C4077">
        <w:t xml:space="preserve"> </w:t>
      </w:r>
      <w:r>
        <w:t>1°</w:t>
      </w:r>
      <w:r w:rsidRPr="002C4077">
        <w:t xml:space="preserve"> </w:t>
      </w:r>
      <w:r>
        <w:t>à</w:t>
      </w:r>
      <w:r w:rsidRPr="002C4077">
        <w:t xml:space="preserve"> </w:t>
      </w:r>
      <w:r>
        <w:t>modifier</w:t>
      </w:r>
      <w:r w:rsidRPr="002C4077">
        <w:t xml:space="preserve"> </w:t>
      </w:r>
      <w:r>
        <w:t>aussi</w:t>
      </w:r>
      <w:r w:rsidRPr="002C4077">
        <w:t xml:space="preserve"> </w:t>
      </w:r>
      <w:r>
        <w:t>peu</w:t>
      </w:r>
      <w:r w:rsidRPr="002C4077">
        <w:t xml:space="preserve"> </w:t>
      </w:r>
      <w:r>
        <w:t>que</w:t>
      </w:r>
      <w:r w:rsidRPr="002C4077">
        <w:t xml:space="preserve"> </w:t>
      </w:r>
      <w:r>
        <w:t>possible</w:t>
      </w:r>
      <w:r w:rsidRPr="002C4077">
        <w:t xml:space="preserve"> </w:t>
      </w:r>
      <w:r>
        <w:t>la</w:t>
      </w:r>
      <w:r w:rsidRPr="002C4077">
        <w:t xml:space="preserve"> </w:t>
      </w:r>
      <w:r>
        <w:t>version</w:t>
      </w:r>
      <w:r w:rsidRPr="002C4077">
        <w:t xml:space="preserve"> </w:t>
      </w:r>
      <w:r>
        <w:t>autorisée,</w:t>
      </w:r>
      <w:r w:rsidRPr="002C4077">
        <w:t xml:space="preserve"> </w:t>
      </w:r>
      <w:r>
        <w:t>autant</w:t>
      </w:r>
      <w:r w:rsidRPr="002C4077">
        <w:t xml:space="preserve"> </w:t>
      </w:r>
      <w:r>
        <w:t>du</w:t>
      </w:r>
      <w:r w:rsidRPr="002C4077">
        <w:t xml:space="preserve"> </w:t>
      </w:r>
      <w:r>
        <w:t>moins</w:t>
      </w:r>
      <w:r w:rsidRPr="002C4077">
        <w:t xml:space="preserve"> </w:t>
      </w:r>
      <w:r>
        <w:t>que</w:t>
      </w:r>
      <w:r w:rsidRPr="002C4077">
        <w:t xml:space="preserve"> </w:t>
      </w:r>
      <w:r>
        <w:t>cela</w:t>
      </w:r>
      <w:r w:rsidRPr="002C4077">
        <w:t xml:space="preserve"> </w:t>
      </w:r>
      <w:r>
        <w:t>serait</w:t>
      </w:r>
      <w:r w:rsidRPr="002C4077">
        <w:t xml:space="preserve"> </w:t>
      </w:r>
      <w:r>
        <w:t>compatible</w:t>
      </w:r>
      <w:r w:rsidRPr="002C4077">
        <w:t xml:space="preserve"> </w:t>
      </w:r>
      <w:r>
        <w:t>avec</w:t>
      </w:r>
      <w:r w:rsidRPr="002C4077">
        <w:t xml:space="preserve"> </w:t>
      </w:r>
      <w:r>
        <w:t>la</w:t>
      </w:r>
      <w:r w:rsidRPr="002C4077">
        <w:t xml:space="preserve"> </w:t>
      </w:r>
      <w:r>
        <w:t>fidélité</w:t>
      </w:r>
      <w:r w:rsidRPr="002C4077">
        <w:t xml:space="preserve"> </w:t>
      </w:r>
      <w:r>
        <w:t>due</w:t>
      </w:r>
      <w:r w:rsidRPr="002C4077">
        <w:t xml:space="preserve"> </w:t>
      </w:r>
      <w:r>
        <w:t>au</w:t>
      </w:r>
      <w:r w:rsidRPr="002C4077">
        <w:t xml:space="preserve"> </w:t>
      </w:r>
      <w:r>
        <w:t>texte</w:t>
      </w:r>
      <w:r w:rsidRPr="002C4077">
        <w:t xml:space="preserve"> </w:t>
      </w:r>
      <w:r>
        <w:t>original</w:t>
      </w:r>
      <w:r w:rsidR="00B546AF">
        <w:t> ;</w:t>
      </w:r>
      <w:r w:rsidRPr="002C4077">
        <w:t xml:space="preserve"> </w:t>
      </w:r>
      <w:r>
        <w:t>2°</w:t>
      </w:r>
      <w:r w:rsidRPr="002C4077">
        <w:t xml:space="preserve"> </w:t>
      </w:r>
      <w:r>
        <w:t>quand</w:t>
      </w:r>
      <w:r w:rsidRPr="002C4077">
        <w:t xml:space="preserve"> </w:t>
      </w:r>
      <w:r>
        <w:t>une</w:t>
      </w:r>
      <w:r w:rsidRPr="002C4077">
        <w:t xml:space="preserve"> </w:t>
      </w:r>
      <w:r>
        <w:t>modification</w:t>
      </w:r>
      <w:r w:rsidRPr="002C4077">
        <w:t xml:space="preserve"> </w:t>
      </w:r>
      <w:r>
        <w:t>serait</w:t>
      </w:r>
      <w:r w:rsidRPr="002C4077">
        <w:t xml:space="preserve"> </w:t>
      </w:r>
      <w:r>
        <w:t>reconnue</w:t>
      </w:r>
      <w:r w:rsidRPr="002C4077">
        <w:t xml:space="preserve"> </w:t>
      </w:r>
      <w:r>
        <w:t>nécessaire,</w:t>
      </w:r>
      <w:r w:rsidRPr="002C4077">
        <w:t xml:space="preserve"> </w:t>
      </w:r>
      <w:r>
        <w:t>à</w:t>
      </w:r>
      <w:r w:rsidRPr="002C4077">
        <w:t xml:space="preserve"> </w:t>
      </w:r>
      <w:r>
        <w:t>se</w:t>
      </w:r>
      <w:r w:rsidRPr="002C4077">
        <w:t xml:space="preserve"> </w:t>
      </w:r>
      <w:r>
        <w:t>servir</w:t>
      </w:r>
      <w:r w:rsidRPr="002C4077">
        <w:t xml:space="preserve"> </w:t>
      </w:r>
      <w:r>
        <w:t>autant</w:t>
      </w:r>
      <w:r w:rsidRPr="002C4077">
        <w:t xml:space="preserve"> </w:t>
      </w:r>
      <w:r>
        <w:t>qu’on</w:t>
      </w:r>
      <w:r w:rsidRPr="002C4077">
        <w:t xml:space="preserve"> </w:t>
      </w:r>
      <w:r>
        <w:t>le</w:t>
      </w:r>
      <w:r w:rsidRPr="002C4077">
        <w:t xml:space="preserve"> </w:t>
      </w:r>
      <w:r>
        <w:t>pourrait</w:t>
      </w:r>
      <w:r w:rsidRPr="002C4077">
        <w:t xml:space="preserve"> </w:t>
      </w:r>
      <w:r>
        <w:t>d’expressions</w:t>
      </w:r>
      <w:r w:rsidRPr="002C4077">
        <w:t xml:space="preserve"> </w:t>
      </w:r>
      <w:r>
        <w:t>employées</w:t>
      </w:r>
      <w:r w:rsidRPr="002C4077">
        <w:t xml:space="preserve"> </w:t>
      </w:r>
      <w:r>
        <w:t>par</w:t>
      </w:r>
      <w:r w:rsidRPr="002C4077">
        <w:t xml:space="preserve"> </w:t>
      </w:r>
      <w:r>
        <w:t>cette</w:t>
      </w:r>
      <w:r w:rsidRPr="002C4077">
        <w:t xml:space="preserve"> </w:t>
      </w:r>
      <w:r>
        <w:t>même</w:t>
      </w:r>
      <w:r w:rsidRPr="002C4077">
        <w:t xml:space="preserve"> </w:t>
      </w:r>
      <w:r>
        <w:t>version</w:t>
      </w:r>
      <w:r w:rsidRPr="002C4077">
        <w:t xml:space="preserve"> </w:t>
      </w:r>
      <w:r>
        <w:t>autorisée</w:t>
      </w:r>
      <w:r w:rsidRPr="002C4077">
        <w:t xml:space="preserve"> </w:t>
      </w:r>
      <w:r>
        <w:t>et</w:t>
      </w:r>
      <w:r w:rsidRPr="002C4077">
        <w:t xml:space="preserve"> </w:t>
      </w:r>
      <w:r>
        <w:t>par</w:t>
      </w:r>
      <w:r w:rsidRPr="002C4077">
        <w:t xml:space="preserve"> </w:t>
      </w:r>
      <w:r>
        <w:t>les</w:t>
      </w:r>
      <w:r w:rsidRPr="002C4077">
        <w:t xml:space="preserve"> </w:t>
      </w:r>
      <w:r>
        <w:t>autres</w:t>
      </w:r>
      <w:r w:rsidRPr="002C4077">
        <w:t xml:space="preserve"> </w:t>
      </w:r>
      <w:r>
        <w:t>traductions</w:t>
      </w:r>
      <w:r w:rsidRPr="002C4077">
        <w:t xml:space="preserve"> </w:t>
      </w:r>
      <w:r>
        <w:t>anglaises</w:t>
      </w:r>
      <w:r w:rsidRPr="002C4077">
        <w:t xml:space="preserve"> </w:t>
      </w:r>
      <w:r>
        <w:t>plus</w:t>
      </w:r>
      <w:r w:rsidRPr="002C4077">
        <w:t xml:space="preserve"> </w:t>
      </w:r>
      <w:r>
        <w:t>anciennes</w:t>
      </w:r>
      <w:r w:rsidR="00B546AF">
        <w:t> ;</w:t>
      </w:r>
      <w:r w:rsidRPr="002C4077">
        <w:t xml:space="preserve"> </w:t>
      </w:r>
      <w:r>
        <w:t>3°</w:t>
      </w:r>
      <w:r w:rsidRPr="002C4077">
        <w:t xml:space="preserve"> </w:t>
      </w:r>
      <w:r>
        <w:t>à</w:t>
      </w:r>
      <w:r w:rsidRPr="002C4077">
        <w:t xml:space="preserve"> </w:t>
      </w:r>
      <w:r>
        <w:t>revenir</w:t>
      </w:r>
      <w:r w:rsidRPr="002C4077">
        <w:t xml:space="preserve"> </w:t>
      </w:r>
      <w:r>
        <w:t>deux</w:t>
      </w:r>
      <w:r w:rsidRPr="002C4077">
        <w:t xml:space="preserve"> </w:t>
      </w:r>
      <w:r>
        <w:t>fois</w:t>
      </w:r>
      <w:r w:rsidRPr="002C4077">
        <w:t xml:space="preserve"> </w:t>
      </w:r>
      <w:r>
        <w:t>sur</w:t>
      </w:r>
      <w:r w:rsidRPr="002C4077">
        <w:t xml:space="preserve"> </w:t>
      </w:r>
      <w:r>
        <w:t>tous</w:t>
      </w:r>
      <w:r w:rsidRPr="002C4077">
        <w:t xml:space="preserve"> </w:t>
      </w:r>
      <w:r>
        <w:t>les</w:t>
      </w:r>
      <w:r w:rsidRPr="002C4077">
        <w:t xml:space="preserve"> </w:t>
      </w:r>
      <w:r>
        <w:t>passages</w:t>
      </w:r>
      <w:r w:rsidRPr="002C4077">
        <w:t xml:space="preserve"> </w:t>
      </w:r>
      <w:r>
        <w:t>transformés,</w:t>
      </w:r>
      <w:r w:rsidRPr="002C4077">
        <w:t xml:space="preserve"> </w:t>
      </w:r>
      <w:r>
        <w:t>le</w:t>
      </w:r>
      <w:r w:rsidRPr="002C4077">
        <w:t xml:space="preserve"> </w:t>
      </w:r>
      <w:r>
        <w:t>travail</w:t>
      </w:r>
      <w:r w:rsidRPr="002C4077">
        <w:t xml:space="preserve"> </w:t>
      </w:r>
      <w:r>
        <w:t>ne</w:t>
      </w:r>
      <w:r w:rsidRPr="002C4077">
        <w:t xml:space="preserve"> </w:t>
      </w:r>
      <w:r>
        <w:t>devant</w:t>
      </w:r>
      <w:r w:rsidRPr="002C4077">
        <w:t xml:space="preserve"> </w:t>
      </w:r>
      <w:r>
        <w:t>avoir</w:t>
      </w:r>
      <w:r w:rsidRPr="002C4077">
        <w:t xml:space="preserve"> </w:t>
      </w:r>
      <w:r>
        <w:t>un</w:t>
      </w:r>
      <w:r w:rsidRPr="002C4077">
        <w:t xml:space="preserve"> </w:t>
      </w:r>
      <w:r>
        <w:t>caractère</w:t>
      </w:r>
      <w:r w:rsidRPr="002C4077">
        <w:t xml:space="preserve"> </w:t>
      </w:r>
      <w:r>
        <w:t>définitif</w:t>
      </w:r>
      <w:r w:rsidRPr="002C4077">
        <w:t xml:space="preserve"> </w:t>
      </w:r>
      <w:r>
        <w:t>qu’après</w:t>
      </w:r>
      <w:r w:rsidRPr="002C4077">
        <w:t xml:space="preserve"> </w:t>
      </w:r>
      <w:r>
        <w:t>la</w:t>
      </w:r>
      <w:r w:rsidRPr="002C4077">
        <w:t xml:space="preserve"> </w:t>
      </w:r>
      <w:r>
        <w:t>seconde</w:t>
      </w:r>
      <w:r w:rsidRPr="002C4077">
        <w:t xml:space="preserve"> </w:t>
      </w:r>
      <w:r>
        <w:t>révision</w:t>
      </w:r>
      <w:r w:rsidR="00B546AF">
        <w:t> ;</w:t>
      </w:r>
      <w:r w:rsidRPr="002C4077">
        <w:t xml:space="preserve"> </w:t>
      </w:r>
      <w:r>
        <w:t>4°</w:t>
      </w:r>
      <w:r w:rsidRPr="002C4077">
        <w:t xml:space="preserve"> </w:t>
      </w:r>
      <w:r>
        <w:t>à</w:t>
      </w:r>
      <w:r w:rsidRPr="002C4077">
        <w:t xml:space="preserve"> </w:t>
      </w:r>
      <w:r>
        <w:t>n’introduire</w:t>
      </w:r>
      <w:r w:rsidRPr="002C4077">
        <w:t xml:space="preserve"> </w:t>
      </w:r>
      <w:r>
        <w:t>un</w:t>
      </w:r>
      <w:r w:rsidRPr="002C4077">
        <w:t xml:space="preserve"> </w:t>
      </w:r>
      <w:r>
        <w:t>changement</w:t>
      </w:r>
      <w:r w:rsidRPr="002C4077">
        <w:t xml:space="preserve"> </w:t>
      </w:r>
      <w:r>
        <w:t>quelconque</w:t>
      </w:r>
      <w:r w:rsidRPr="002C4077">
        <w:t xml:space="preserve"> </w:t>
      </w:r>
      <w:r>
        <w:t>que</w:t>
      </w:r>
      <w:r w:rsidRPr="002C4077">
        <w:t xml:space="preserve"> </w:t>
      </w:r>
      <w:r>
        <w:t>s’il</w:t>
      </w:r>
      <w:r w:rsidRPr="002C4077">
        <w:t xml:space="preserve"> </w:t>
      </w:r>
      <w:r>
        <w:t>était</w:t>
      </w:r>
      <w:r w:rsidRPr="002C4077">
        <w:t xml:space="preserve"> </w:t>
      </w:r>
      <w:r>
        <w:t>finalement</w:t>
      </w:r>
      <w:r w:rsidRPr="002C4077">
        <w:t xml:space="preserve"> </w:t>
      </w:r>
      <w:r>
        <w:t>adopté</w:t>
      </w:r>
      <w:r w:rsidRPr="002C4077">
        <w:t xml:space="preserve"> </w:t>
      </w:r>
      <w:r>
        <w:t>par</w:t>
      </w:r>
      <w:r w:rsidRPr="002C4077">
        <w:t xml:space="preserve"> </w:t>
      </w:r>
      <w:r>
        <w:t>les</w:t>
      </w:r>
      <w:r w:rsidRPr="002C4077">
        <w:t xml:space="preserve"> </w:t>
      </w:r>
      <w:r>
        <w:t>deux</w:t>
      </w:r>
      <w:r w:rsidRPr="002C4077">
        <w:t xml:space="preserve"> </w:t>
      </w:r>
      <w:r>
        <w:t>tiers</w:t>
      </w:r>
      <w:r w:rsidRPr="002C4077">
        <w:t xml:space="preserve"> </w:t>
      </w:r>
      <w:r>
        <w:t>des</w:t>
      </w:r>
      <w:r w:rsidRPr="002C4077">
        <w:t xml:space="preserve"> </w:t>
      </w:r>
      <w:r>
        <w:t>membres</w:t>
      </w:r>
      <w:r w:rsidRPr="002C4077">
        <w:t xml:space="preserve"> </w:t>
      </w:r>
      <w:r>
        <w:t>présents</w:t>
      </w:r>
      <w:r w:rsidR="00B546AF">
        <w:t> ;</w:t>
      </w:r>
      <w:r w:rsidRPr="002C4077">
        <w:t xml:space="preserve"> </w:t>
      </w:r>
      <w:r>
        <w:t>5°</w:t>
      </w:r>
      <w:r w:rsidRPr="002C4077">
        <w:t xml:space="preserve"> </w:t>
      </w:r>
      <w:r>
        <w:t>à</w:t>
      </w:r>
      <w:r w:rsidRPr="002C4077">
        <w:t xml:space="preserve"> </w:t>
      </w:r>
      <w:r>
        <w:t>réviser</w:t>
      </w:r>
      <w:r w:rsidRPr="002C4077">
        <w:t xml:space="preserve"> </w:t>
      </w:r>
      <w:r>
        <w:t>aussi</w:t>
      </w:r>
      <w:r w:rsidRPr="002C4077">
        <w:t xml:space="preserve"> </w:t>
      </w:r>
      <w:r>
        <w:t>les</w:t>
      </w:r>
      <w:r w:rsidRPr="002C4077">
        <w:t xml:space="preserve"> </w:t>
      </w:r>
      <w:r>
        <w:t>en-tête</w:t>
      </w:r>
      <w:r w:rsidRPr="002C4077">
        <w:t xml:space="preserve"> </w:t>
      </w:r>
      <w:r>
        <w:t>des</w:t>
      </w:r>
      <w:r w:rsidRPr="002C4077">
        <w:t xml:space="preserve"> </w:t>
      </w:r>
      <w:r>
        <w:t>chapitres</w:t>
      </w:r>
      <w:r w:rsidRPr="002C4077">
        <w:t xml:space="preserve"> </w:t>
      </w:r>
      <w:r>
        <w:t>et</w:t>
      </w:r>
      <w:r w:rsidRPr="002C4077">
        <w:t xml:space="preserve"> </w:t>
      </w:r>
      <w:r>
        <w:t>des</w:t>
      </w:r>
      <w:r w:rsidRPr="002C4077">
        <w:t xml:space="preserve"> </w:t>
      </w:r>
      <w:r>
        <w:t>pages,</w:t>
      </w:r>
      <w:r w:rsidRPr="002C4077">
        <w:t xml:space="preserve"> </w:t>
      </w:r>
      <w:r>
        <w:t>les</w:t>
      </w:r>
      <w:r w:rsidRPr="002C4077">
        <w:t xml:space="preserve"> </w:t>
      </w:r>
      <w:r>
        <w:t>divisions</w:t>
      </w:r>
      <w:r w:rsidRPr="002C4077">
        <w:t xml:space="preserve"> </w:t>
      </w:r>
      <w:r>
        <w:t>en</w:t>
      </w:r>
      <w:r w:rsidRPr="002C4077">
        <w:t xml:space="preserve"> </w:t>
      </w:r>
      <w:r>
        <w:t>paragraphes,</w:t>
      </w:r>
      <w:r w:rsidRPr="002C4077">
        <w:t xml:space="preserve"> </w:t>
      </w:r>
      <w:r>
        <w:t>la</w:t>
      </w:r>
      <w:r w:rsidRPr="002C4077">
        <w:t xml:space="preserve"> </w:t>
      </w:r>
      <w:r>
        <w:t>ponctuation,</w:t>
      </w:r>
      <w:r w:rsidRPr="002C4077">
        <w:t xml:space="preserve"> </w:t>
      </w:r>
      <w:r w:rsidR="00425C50">
        <w:t>etc</w:t>
      </w:r>
      <w:r>
        <w:t>.</w:t>
      </w:r>
      <w:r w:rsidR="00B546AF">
        <w:t> ;</w:t>
      </w:r>
      <w:r w:rsidRPr="002C4077">
        <w:t xml:space="preserve"> </w:t>
      </w:r>
      <w:r>
        <w:t>6°</w:t>
      </w:r>
      <w:r w:rsidRPr="002C4077">
        <w:t xml:space="preserve"> </w:t>
      </w:r>
      <w:r>
        <w:t>à</w:t>
      </w:r>
      <w:r w:rsidRPr="002C4077">
        <w:t xml:space="preserve"> </w:t>
      </w:r>
      <w:r>
        <w:t>consulter,</w:t>
      </w:r>
      <w:r w:rsidRPr="002C4077">
        <w:t xml:space="preserve"> </w:t>
      </w:r>
      <w:r>
        <w:t>quand</w:t>
      </w:r>
      <w:r w:rsidRPr="002C4077">
        <w:t xml:space="preserve"> </w:t>
      </w:r>
      <w:r>
        <w:t>on</w:t>
      </w:r>
      <w:r w:rsidRPr="002C4077">
        <w:t xml:space="preserve"> </w:t>
      </w:r>
      <w:r>
        <w:t>le</w:t>
      </w:r>
      <w:r w:rsidRPr="002C4077">
        <w:t xml:space="preserve"> </w:t>
      </w:r>
      <w:r>
        <w:t>croirait</w:t>
      </w:r>
      <w:r w:rsidRPr="002C4077">
        <w:t xml:space="preserve"> </w:t>
      </w:r>
      <w:r>
        <w:t>utile,</w:t>
      </w:r>
      <w:r w:rsidRPr="002C4077">
        <w:t xml:space="preserve"> </w:t>
      </w:r>
      <w:r>
        <w:t>des</w:t>
      </w:r>
      <w:r w:rsidRPr="002C4077">
        <w:t xml:space="preserve"> </w:t>
      </w:r>
      <w:r>
        <w:t>savants</w:t>
      </w:r>
      <w:r w:rsidRPr="002C4077">
        <w:t xml:space="preserve"> </w:t>
      </w:r>
      <w:r>
        <w:t>qui</w:t>
      </w:r>
      <w:r w:rsidRPr="002C4077">
        <w:t xml:space="preserve"> </w:t>
      </w:r>
      <w:r>
        <w:t>n’appartiendraient</w:t>
      </w:r>
      <w:r w:rsidRPr="002C4077">
        <w:t xml:space="preserve"> </w:t>
      </w:r>
      <w:r>
        <w:t>point</w:t>
      </w:r>
      <w:r w:rsidRPr="002C4077">
        <w:t xml:space="preserve"> </w:t>
      </w:r>
      <w:r>
        <w:t>à</w:t>
      </w:r>
      <w:r w:rsidRPr="002C4077">
        <w:t xml:space="preserve"> </w:t>
      </w:r>
      <w:r>
        <w:t>la</w:t>
      </w:r>
      <w:r w:rsidRPr="002C4077">
        <w:t xml:space="preserve"> </w:t>
      </w:r>
      <w:r>
        <w:t>société</w:t>
      </w:r>
      <w:r w:rsidRPr="002C4077">
        <w:t xml:space="preserve"> </w:t>
      </w:r>
      <w:r>
        <w:t>des</w:t>
      </w:r>
      <w:r w:rsidRPr="002C4077">
        <w:t xml:space="preserve"> </w:t>
      </w:r>
      <w:r>
        <w:t>réviseurs.</w:t>
      </w:r>
      <w:r w:rsidRPr="002C4077">
        <w:t xml:space="preserve"> </w:t>
      </w:r>
      <w:r w:rsidR="00FB4E2C">
        <w:t>Etc</w:t>
      </w:r>
      <w:r>
        <w:t>.</w:t>
      </w:r>
      <w:r w:rsidRPr="002C4077">
        <w:t xml:space="preserve"> </w:t>
      </w:r>
    </w:p>
    <w:p w:rsidR="000A7AAB" w:rsidRDefault="000A7AAB" w:rsidP="000A7AAB">
      <w:r>
        <w:t>Plusieurs</w:t>
      </w:r>
      <w:r w:rsidRPr="002C4077">
        <w:t xml:space="preserve"> </w:t>
      </w:r>
      <w:r>
        <w:t>de</w:t>
      </w:r>
      <w:r w:rsidRPr="002C4077">
        <w:t xml:space="preserve"> </w:t>
      </w:r>
      <w:r>
        <w:t>ces</w:t>
      </w:r>
      <w:r w:rsidRPr="002C4077">
        <w:t xml:space="preserve"> </w:t>
      </w:r>
      <w:r>
        <w:t>règles</w:t>
      </w:r>
      <w:r w:rsidRPr="002C4077">
        <w:t xml:space="preserve"> </w:t>
      </w:r>
      <w:r>
        <w:t>furent</w:t>
      </w:r>
      <w:r w:rsidRPr="002C4077">
        <w:t xml:space="preserve"> </w:t>
      </w:r>
      <w:r>
        <w:t>sévèrement</w:t>
      </w:r>
      <w:r w:rsidRPr="002C4077">
        <w:t xml:space="preserve"> </w:t>
      </w:r>
      <w:r>
        <w:t>critiquées</w:t>
      </w:r>
      <w:r w:rsidRPr="002C4077">
        <w:t xml:space="preserve"> </w:t>
      </w:r>
      <w:r>
        <w:t>et</w:t>
      </w:r>
      <w:r w:rsidRPr="002C4077">
        <w:t xml:space="preserve"> </w:t>
      </w:r>
      <w:r>
        <w:t>méritaient</w:t>
      </w:r>
      <w:r w:rsidRPr="002C4077">
        <w:t xml:space="preserve"> </w:t>
      </w:r>
      <w:r>
        <w:t>de</w:t>
      </w:r>
      <w:r w:rsidRPr="002C4077">
        <w:t xml:space="preserve"> </w:t>
      </w:r>
      <w:r>
        <w:t>l’être.</w:t>
      </w:r>
      <w:r w:rsidRPr="002C4077">
        <w:t xml:space="preserve"> </w:t>
      </w:r>
      <w:r>
        <w:t>Prenons,</w:t>
      </w:r>
      <w:r w:rsidRPr="002C4077">
        <w:t xml:space="preserve"> </w:t>
      </w:r>
      <w:r>
        <w:t>par</w:t>
      </w:r>
      <w:r w:rsidRPr="002C4077">
        <w:t xml:space="preserve"> </w:t>
      </w:r>
      <w:r>
        <w:t>exemple,</w:t>
      </w:r>
      <w:r w:rsidRPr="002C4077">
        <w:t xml:space="preserve"> </w:t>
      </w:r>
      <w:r>
        <w:t>les</w:t>
      </w:r>
      <w:r w:rsidRPr="002C4077">
        <w:t xml:space="preserve"> </w:t>
      </w:r>
      <w:r>
        <w:t>deux</w:t>
      </w:r>
      <w:r w:rsidRPr="002C4077">
        <w:t xml:space="preserve"> </w:t>
      </w:r>
      <w:r>
        <w:t>premières.</w:t>
      </w:r>
      <w:r w:rsidRPr="002C4077">
        <w:t xml:space="preserve"> </w:t>
      </w:r>
      <w:r>
        <w:t>Nécessairement</w:t>
      </w:r>
      <w:r w:rsidRPr="002C4077">
        <w:t xml:space="preserve"> </w:t>
      </w:r>
      <w:r>
        <w:t>elles</w:t>
      </w:r>
      <w:r w:rsidRPr="002C4077">
        <w:t xml:space="preserve"> </w:t>
      </w:r>
      <w:r>
        <w:t>devaient</w:t>
      </w:r>
      <w:r w:rsidRPr="002C4077">
        <w:t xml:space="preserve"> </w:t>
      </w:r>
      <w:r>
        <w:t>faire</w:t>
      </w:r>
      <w:r w:rsidRPr="002C4077">
        <w:t xml:space="preserve"> </w:t>
      </w:r>
      <w:r>
        <w:t>de</w:t>
      </w:r>
      <w:r w:rsidRPr="002C4077">
        <w:t xml:space="preserve"> </w:t>
      </w:r>
      <w:r>
        <w:t>la</w:t>
      </w:r>
      <w:r w:rsidRPr="002C4077">
        <w:t xml:space="preserve"> </w:t>
      </w:r>
      <w:r>
        <w:t>révision</w:t>
      </w:r>
      <w:r w:rsidRPr="002C4077">
        <w:t xml:space="preserve"> </w:t>
      </w:r>
      <w:r>
        <w:t>une</w:t>
      </w:r>
      <w:r w:rsidRPr="002C4077">
        <w:t xml:space="preserve"> </w:t>
      </w:r>
      <w:r>
        <w:t>œuvre</w:t>
      </w:r>
      <w:r w:rsidRPr="002C4077">
        <w:t xml:space="preserve"> </w:t>
      </w:r>
      <w:r>
        <w:t>hybride,</w:t>
      </w:r>
      <w:r w:rsidRPr="002C4077">
        <w:t xml:space="preserve"> </w:t>
      </w:r>
      <w:r>
        <w:t>sans</w:t>
      </w:r>
      <w:r w:rsidRPr="002C4077">
        <w:t xml:space="preserve"> </w:t>
      </w:r>
      <w:r>
        <w:t>cachet</w:t>
      </w:r>
      <w:r w:rsidRPr="002C4077">
        <w:t xml:space="preserve"> </w:t>
      </w:r>
      <w:r>
        <w:t>distinct</w:t>
      </w:r>
      <w:r w:rsidRPr="002C4077">
        <w:t xml:space="preserve"> </w:t>
      </w:r>
      <w:r>
        <w:t>et</w:t>
      </w:r>
      <w:r w:rsidRPr="002C4077">
        <w:t xml:space="preserve"> </w:t>
      </w:r>
      <w:r>
        <w:t>très</w:t>
      </w:r>
      <w:r w:rsidRPr="002C4077">
        <w:t xml:space="preserve"> </w:t>
      </w:r>
      <w:r>
        <w:t>imparfaite.</w:t>
      </w:r>
      <w:r w:rsidRPr="002C4077">
        <w:t xml:space="preserve"> </w:t>
      </w:r>
      <w:r>
        <w:t>D’un</w:t>
      </w:r>
      <w:r w:rsidRPr="002C4077">
        <w:t xml:space="preserve"> </w:t>
      </w:r>
      <w:r>
        <w:t>côté,</w:t>
      </w:r>
      <w:r w:rsidRPr="002C4077">
        <w:t xml:space="preserve"> </w:t>
      </w:r>
      <w:r>
        <w:t>entreprendre</w:t>
      </w:r>
      <w:r w:rsidRPr="002C4077">
        <w:t xml:space="preserve"> </w:t>
      </w:r>
      <w:r>
        <w:t>d’améliorer</w:t>
      </w:r>
      <w:r w:rsidRPr="002C4077">
        <w:t xml:space="preserve"> </w:t>
      </w:r>
      <w:r>
        <w:t>une</w:t>
      </w:r>
      <w:r w:rsidRPr="002C4077">
        <w:t xml:space="preserve"> </w:t>
      </w:r>
      <w:r>
        <w:t>traduction</w:t>
      </w:r>
      <w:r w:rsidRPr="002C4077">
        <w:t xml:space="preserve"> </w:t>
      </w:r>
      <w:r>
        <w:t>que</w:t>
      </w:r>
      <w:r w:rsidRPr="002C4077">
        <w:t xml:space="preserve"> </w:t>
      </w:r>
      <w:r>
        <w:t>l’on</w:t>
      </w:r>
      <w:r w:rsidRPr="002C4077">
        <w:t xml:space="preserve"> </w:t>
      </w:r>
      <w:r>
        <w:t>reconnaît</w:t>
      </w:r>
      <w:r w:rsidRPr="002C4077">
        <w:t xml:space="preserve"> </w:t>
      </w:r>
      <w:r>
        <w:t>défectueuse</w:t>
      </w:r>
      <w:r w:rsidR="00B546AF">
        <w:t> ;</w:t>
      </w:r>
      <w:r w:rsidRPr="002C4077">
        <w:t xml:space="preserve"> </w:t>
      </w:r>
      <w:r>
        <w:t>de</w:t>
      </w:r>
      <w:r w:rsidRPr="002C4077">
        <w:t xml:space="preserve"> </w:t>
      </w:r>
      <w:r>
        <w:t>l’autre,</w:t>
      </w:r>
      <w:r w:rsidRPr="002C4077">
        <w:t xml:space="preserve"> </w:t>
      </w:r>
      <w:r>
        <w:t>s’obliger</w:t>
      </w:r>
      <w:r w:rsidRPr="002C4077">
        <w:t xml:space="preserve"> </w:t>
      </w:r>
      <w:r>
        <w:t>d’avance</w:t>
      </w:r>
      <w:r w:rsidRPr="002C4077">
        <w:t xml:space="preserve"> </w:t>
      </w:r>
      <w:r>
        <w:t>à</w:t>
      </w:r>
      <w:r w:rsidRPr="002C4077">
        <w:t xml:space="preserve"> </w:t>
      </w:r>
      <w:r>
        <w:t>n’employer</w:t>
      </w:r>
      <w:r w:rsidRPr="002C4077">
        <w:t xml:space="preserve"> </w:t>
      </w:r>
      <w:r>
        <w:t>presque</w:t>
      </w:r>
      <w:r w:rsidRPr="002C4077">
        <w:t xml:space="preserve"> </w:t>
      </w:r>
      <w:r>
        <w:t>toujours</w:t>
      </w:r>
      <w:r w:rsidRPr="002C4077">
        <w:t xml:space="preserve"> </w:t>
      </w:r>
      <w:r>
        <w:t>que</w:t>
      </w:r>
      <w:r w:rsidRPr="002C4077">
        <w:t xml:space="preserve"> </w:t>
      </w:r>
      <w:r>
        <w:t>le</w:t>
      </w:r>
      <w:r w:rsidRPr="002C4077">
        <w:t xml:space="preserve"> </w:t>
      </w:r>
      <w:r>
        <w:t>langage</w:t>
      </w:r>
      <w:r w:rsidRPr="002C4077">
        <w:t xml:space="preserve"> </w:t>
      </w:r>
      <w:r>
        <w:t>de</w:t>
      </w:r>
      <w:r w:rsidRPr="002C4077">
        <w:t xml:space="preserve"> </w:t>
      </w:r>
      <w:r>
        <w:t>cette</w:t>
      </w:r>
      <w:r w:rsidRPr="002C4077">
        <w:t xml:space="preserve"> </w:t>
      </w:r>
      <w:r>
        <w:t>traduction,</w:t>
      </w:r>
      <w:r w:rsidRPr="002C4077">
        <w:t xml:space="preserve"> </w:t>
      </w:r>
      <w:r>
        <w:t>n’est-ce</w:t>
      </w:r>
      <w:r w:rsidRPr="002C4077">
        <w:t xml:space="preserve"> </w:t>
      </w:r>
      <w:r>
        <w:t>pas</w:t>
      </w:r>
      <w:r w:rsidRPr="002C4077">
        <w:t xml:space="preserve"> </w:t>
      </w:r>
      <w:r>
        <w:t>se</w:t>
      </w:r>
      <w:r w:rsidRPr="002C4077">
        <w:t xml:space="preserve"> </w:t>
      </w:r>
      <w:r>
        <w:t>créer</w:t>
      </w:r>
      <w:r w:rsidRPr="002C4077">
        <w:t xml:space="preserve"> </w:t>
      </w:r>
      <w:r w:rsidRPr="000A34B5">
        <w:rPr>
          <w:rStyle w:val="italicus"/>
        </w:rPr>
        <w:t>a</w:t>
      </w:r>
      <w:r w:rsidRPr="002C4077">
        <w:t xml:space="preserve"> </w:t>
      </w:r>
      <w:r w:rsidRPr="000A34B5">
        <w:rPr>
          <w:rStyle w:val="italicus"/>
        </w:rPr>
        <w:t>pr</w:t>
      </w:r>
      <w:r w:rsidR="003B53FD" w:rsidRPr="000A34B5">
        <w:rPr>
          <w:rStyle w:val="italicus"/>
        </w:rPr>
        <w:t>i</w:t>
      </w:r>
      <w:r w:rsidR="003B53FD">
        <w:rPr>
          <w:rStyle w:val="italicus"/>
        </w:rPr>
        <w:t>ó</w:t>
      </w:r>
      <w:r w:rsidR="003B53FD" w:rsidRPr="000A34B5">
        <w:rPr>
          <w:rStyle w:val="italicus"/>
        </w:rPr>
        <w:t>ri</w:t>
      </w:r>
      <w:r w:rsidRPr="002C4077">
        <w:t xml:space="preserve"> </w:t>
      </w:r>
      <w:r>
        <w:t>des</w:t>
      </w:r>
      <w:r w:rsidRPr="002C4077">
        <w:t xml:space="preserve"> </w:t>
      </w:r>
      <w:r>
        <w:t>difficultés</w:t>
      </w:r>
      <w:r w:rsidRPr="002C4077">
        <w:t xml:space="preserve"> </w:t>
      </w:r>
      <w:r>
        <w:t>sans</w:t>
      </w:r>
      <w:r w:rsidRPr="002C4077">
        <w:t xml:space="preserve"> </w:t>
      </w:r>
      <w:r>
        <w:t>nombre,</w:t>
      </w:r>
      <w:r w:rsidRPr="002C4077">
        <w:t xml:space="preserve"> </w:t>
      </w:r>
      <w:r>
        <w:t>et</w:t>
      </w:r>
      <w:r w:rsidRPr="002C4077">
        <w:t xml:space="preserve"> </w:t>
      </w:r>
      <w:r>
        <w:t>diminuer</w:t>
      </w:r>
      <w:r w:rsidRPr="002C4077">
        <w:t xml:space="preserve"> </w:t>
      </w:r>
      <w:r>
        <w:t>notablement</w:t>
      </w:r>
      <w:r w:rsidRPr="002C4077">
        <w:t xml:space="preserve"> </w:t>
      </w:r>
      <w:r>
        <w:t>les</w:t>
      </w:r>
      <w:r w:rsidRPr="002C4077">
        <w:t xml:space="preserve"> </w:t>
      </w:r>
      <w:r>
        <w:t>chances</w:t>
      </w:r>
      <w:r w:rsidRPr="002C4077">
        <w:t xml:space="preserve"> </w:t>
      </w:r>
      <w:r>
        <w:t>de</w:t>
      </w:r>
      <w:r w:rsidRPr="002C4077">
        <w:t xml:space="preserve"> </w:t>
      </w:r>
      <w:r>
        <w:t>succès</w:t>
      </w:r>
      <w:r w:rsidR="00B546AF">
        <w:t> ?</w:t>
      </w:r>
      <w:r w:rsidR="00C45B47">
        <w:t xml:space="preserve"> {</w:t>
      </w:r>
      <w:r w:rsidR="001F5257">
        <w:t>193</w:t>
      </w:r>
      <w:bookmarkStart w:id="489" w:name="p193"/>
      <w:bookmarkEnd w:id="489"/>
      <w:r w:rsidR="001F5257">
        <w:t xml:space="preserve">} </w:t>
      </w:r>
      <w:r>
        <w:t>Mais,</w:t>
      </w:r>
      <w:r w:rsidRPr="002C4077">
        <w:t xml:space="preserve"> </w:t>
      </w:r>
      <w:r>
        <w:t>ainsi</w:t>
      </w:r>
      <w:r w:rsidRPr="002C4077">
        <w:t xml:space="preserve"> </w:t>
      </w:r>
      <w:r>
        <w:t>qu’il</w:t>
      </w:r>
      <w:r w:rsidRPr="002C4077">
        <w:t xml:space="preserve"> </w:t>
      </w:r>
      <w:r>
        <w:t>a</w:t>
      </w:r>
      <w:r w:rsidRPr="002C4077">
        <w:t xml:space="preserve"> </w:t>
      </w:r>
      <w:r>
        <w:t>été</w:t>
      </w:r>
      <w:r w:rsidRPr="002C4077">
        <w:t xml:space="preserve"> </w:t>
      </w:r>
      <w:r>
        <w:t>dit</w:t>
      </w:r>
      <w:r w:rsidRPr="002C4077">
        <w:t xml:space="preserve"> </w:t>
      </w:r>
      <w:r>
        <w:t>plus</w:t>
      </w:r>
      <w:r w:rsidRPr="002C4077">
        <w:t xml:space="preserve"> </w:t>
      </w:r>
      <w:r>
        <w:t>haut,</w:t>
      </w:r>
      <w:r w:rsidRPr="002C4077">
        <w:t xml:space="preserve"> </w:t>
      </w:r>
      <w:r>
        <w:t>l’on</w:t>
      </w:r>
      <w:r w:rsidRPr="002C4077">
        <w:t xml:space="preserve"> </w:t>
      </w:r>
      <w:r>
        <w:t>redoutait</w:t>
      </w:r>
      <w:r w:rsidRPr="002C4077">
        <w:t xml:space="preserve"> </w:t>
      </w:r>
      <w:r>
        <w:t>d’offusquer</w:t>
      </w:r>
      <w:r w:rsidRPr="002C4077">
        <w:t xml:space="preserve"> </w:t>
      </w:r>
      <w:r>
        <w:t>trop</w:t>
      </w:r>
      <w:r w:rsidRPr="002C4077">
        <w:t xml:space="preserve"> </w:t>
      </w:r>
      <w:r>
        <w:t>le</w:t>
      </w:r>
      <w:r w:rsidRPr="002C4077">
        <w:t xml:space="preserve"> </w:t>
      </w:r>
      <w:r>
        <w:t>sentiment</w:t>
      </w:r>
      <w:r w:rsidRPr="002C4077">
        <w:t xml:space="preserve"> </w:t>
      </w:r>
      <w:r>
        <w:t>public.</w:t>
      </w:r>
      <w:r w:rsidRPr="002C4077">
        <w:t xml:space="preserve"> </w:t>
      </w:r>
      <w:r>
        <w:t>De</w:t>
      </w:r>
      <w:r w:rsidRPr="002C4077">
        <w:t xml:space="preserve"> </w:t>
      </w:r>
      <w:r>
        <w:t>là</w:t>
      </w:r>
      <w:r w:rsidRPr="002C4077">
        <w:t xml:space="preserve"> </w:t>
      </w:r>
      <w:r>
        <w:t>ces</w:t>
      </w:r>
      <w:r w:rsidRPr="002C4077">
        <w:t xml:space="preserve"> </w:t>
      </w:r>
      <w:r>
        <w:t>restrictions</w:t>
      </w:r>
      <w:r w:rsidRPr="002C4077">
        <w:t xml:space="preserve"> </w:t>
      </w:r>
      <w:r>
        <w:t>étroites</w:t>
      </w:r>
      <w:r w:rsidR="00B546AF">
        <w:t> ;</w:t>
      </w:r>
      <w:r w:rsidRPr="002C4077">
        <w:t xml:space="preserve"> </w:t>
      </w:r>
      <w:r>
        <w:t>de</w:t>
      </w:r>
      <w:r w:rsidRPr="002C4077">
        <w:t xml:space="preserve"> </w:t>
      </w:r>
      <w:r>
        <w:t>là</w:t>
      </w:r>
      <w:r w:rsidRPr="002C4077">
        <w:t xml:space="preserve"> </w:t>
      </w:r>
      <w:r>
        <w:t>aussi</w:t>
      </w:r>
      <w:r w:rsidRPr="002C4077">
        <w:t xml:space="preserve"> </w:t>
      </w:r>
      <w:r>
        <w:t>l’esprit</w:t>
      </w:r>
      <w:r w:rsidRPr="002C4077">
        <w:t xml:space="preserve"> </w:t>
      </w:r>
      <w:r>
        <w:t>méticuleux</w:t>
      </w:r>
      <w:r w:rsidRPr="002C4077">
        <w:t xml:space="preserve"> </w:t>
      </w:r>
      <w:r>
        <w:t>qui</w:t>
      </w:r>
      <w:r w:rsidRPr="002C4077">
        <w:t xml:space="preserve"> </w:t>
      </w:r>
      <w:r w:rsidR="00425C50">
        <w:t>est</w:t>
      </w:r>
      <w:r w:rsidRPr="002C4077">
        <w:t xml:space="preserve"> </w:t>
      </w:r>
      <w:r>
        <w:t>souvent</w:t>
      </w:r>
      <w:r w:rsidRPr="002C4077">
        <w:t xml:space="preserve"> </w:t>
      </w:r>
      <w:r>
        <w:t>visible</w:t>
      </w:r>
      <w:r w:rsidRPr="002C4077">
        <w:t xml:space="preserve"> </w:t>
      </w:r>
      <w:r>
        <w:t>à</w:t>
      </w:r>
      <w:r w:rsidRPr="002C4077">
        <w:t xml:space="preserve"> </w:t>
      </w:r>
      <w:r>
        <w:t>travers</w:t>
      </w:r>
      <w:r w:rsidRPr="002C4077">
        <w:t xml:space="preserve"> </w:t>
      </w:r>
      <w:r>
        <w:t>les</w:t>
      </w:r>
      <w:r w:rsidRPr="002C4077">
        <w:t xml:space="preserve"> </w:t>
      </w:r>
      <w:r>
        <w:t>pages</w:t>
      </w:r>
      <w:r w:rsidRPr="002C4077">
        <w:t xml:space="preserve"> </w:t>
      </w:r>
      <w:r>
        <w:t>de</w:t>
      </w:r>
      <w:r w:rsidRPr="002C4077">
        <w:t xml:space="preserve"> </w:t>
      </w:r>
      <w:r>
        <w:t>la</w:t>
      </w:r>
      <w:r w:rsidRPr="002C4077">
        <w:t xml:space="preserve"> </w:t>
      </w:r>
      <w:r>
        <w:t>version</w:t>
      </w:r>
      <w:r w:rsidRPr="002C4077">
        <w:t xml:space="preserve"> </w:t>
      </w:r>
      <w:r>
        <w:t>révisée.</w:t>
      </w:r>
      <w:r w:rsidRPr="002C4077">
        <w:t xml:space="preserve"> </w:t>
      </w:r>
    </w:p>
    <w:p w:rsidR="000A7AAB" w:rsidRDefault="000A7AAB" w:rsidP="000A7AAB">
      <w:r>
        <w:t>Encore</w:t>
      </w:r>
      <w:r w:rsidRPr="002C4077">
        <w:t xml:space="preserve"> </w:t>
      </w:r>
      <w:r>
        <w:t>a-t-on</w:t>
      </w:r>
      <w:r w:rsidRPr="002C4077">
        <w:t xml:space="preserve"> </w:t>
      </w:r>
      <w:r>
        <w:t>blessé</w:t>
      </w:r>
      <w:r w:rsidRPr="002C4077">
        <w:t xml:space="preserve"> </w:t>
      </w:r>
      <w:r>
        <w:t>quand</w:t>
      </w:r>
      <w:r w:rsidRPr="002C4077">
        <w:t xml:space="preserve"> </w:t>
      </w:r>
      <w:r>
        <w:t>même</w:t>
      </w:r>
      <w:r w:rsidRPr="002C4077">
        <w:t xml:space="preserve"> </w:t>
      </w:r>
      <w:r>
        <w:t>bien</w:t>
      </w:r>
      <w:r w:rsidRPr="002C4077">
        <w:t xml:space="preserve"> </w:t>
      </w:r>
      <w:r>
        <w:t>des</w:t>
      </w:r>
      <w:r w:rsidRPr="002C4077">
        <w:t xml:space="preserve"> </w:t>
      </w:r>
      <w:r>
        <w:t>gens.</w:t>
      </w:r>
      <w:r w:rsidRPr="002C4077">
        <w:t xml:space="preserve"> </w:t>
      </w:r>
      <w:r>
        <w:t>M.</w:t>
      </w:r>
      <w:r w:rsidRPr="002C4077">
        <w:t xml:space="preserve"> </w:t>
      </w:r>
      <w:r>
        <w:t>Vance</w:t>
      </w:r>
      <w:r w:rsidRPr="002C4077">
        <w:t xml:space="preserve"> </w:t>
      </w:r>
      <w:r>
        <w:t>Smith</w:t>
      </w:r>
      <w:r w:rsidRPr="002C4077">
        <w:t xml:space="preserve"> </w:t>
      </w:r>
      <w:r>
        <w:t>se</w:t>
      </w:r>
      <w:r w:rsidRPr="002C4077">
        <w:t xml:space="preserve"> </w:t>
      </w:r>
      <w:r>
        <w:t>plaint</w:t>
      </w:r>
      <w:r w:rsidRPr="002C4077">
        <w:t xml:space="preserve"> </w:t>
      </w:r>
      <w:r>
        <w:t>avec</w:t>
      </w:r>
      <w:r w:rsidRPr="002C4077">
        <w:t xml:space="preserve"> </w:t>
      </w:r>
      <w:r>
        <w:t>assez</w:t>
      </w:r>
      <w:r w:rsidRPr="002C4077">
        <w:t xml:space="preserve"> </w:t>
      </w:r>
      <w:r>
        <w:t>d’aigreur</w:t>
      </w:r>
      <w:r w:rsidRPr="002C4077">
        <w:t xml:space="preserve"> </w:t>
      </w:r>
      <w:r>
        <w:t>de</w:t>
      </w:r>
      <w:r w:rsidRPr="002C4077">
        <w:t xml:space="preserve"> </w:t>
      </w:r>
      <w:r>
        <w:t>ce</w:t>
      </w:r>
      <w:r w:rsidRPr="002C4077">
        <w:t xml:space="preserve"> </w:t>
      </w:r>
      <w:r>
        <w:t>que</w:t>
      </w:r>
      <w:r w:rsidRPr="002C4077">
        <w:t xml:space="preserve"> </w:t>
      </w:r>
      <w:r>
        <w:t>la</w:t>
      </w:r>
      <w:r w:rsidRPr="002C4077">
        <w:t xml:space="preserve"> </w:t>
      </w:r>
      <w:r>
        <w:t>première</w:t>
      </w:r>
      <w:r w:rsidRPr="002C4077">
        <w:t xml:space="preserve"> </w:t>
      </w:r>
      <w:r>
        <w:t>règle</w:t>
      </w:r>
      <w:r w:rsidRPr="002C4077">
        <w:t xml:space="preserve"> </w:t>
      </w:r>
      <w:r>
        <w:t>a</w:t>
      </w:r>
      <w:r w:rsidRPr="002C4077">
        <w:t xml:space="preserve"> </w:t>
      </w:r>
      <w:r>
        <w:t>été</w:t>
      </w:r>
      <w:r w:rsidRPr="002C4077">
        <w:t xml:space="preserve"> </w:t>
      </w:r>
      <w:r>
        <w:t>trop</w:t>
      </w:r>
      <w:r w:rsidRPr="002C4077">
        <w:t xml:space="preserve"> </w:t>
      </w:r>
      <w:r>
        <w:t>souvent</w:t>
      </w:r>
      <w:r w:rsidRPr="002C4077">
        <w:t xml:space="preserve"> </w:t>
      </w:r>
      <w:r>
        <w:t>oubliée</w:t>
      </w:r>
      <w:r w:rsidRPr="002C4077">
        <w:t xml:space="preserve"> </w:t>
      </w:r>
      <w:r>
        <w:t>dans</w:t>
      </w:r>
      <w:r w:rsidRPr="002C4077">
        <w:t xml:space="preserve"> </w:t>
      </w:r>
      <w:r>
        <w:t>la</w:t>
      </w:r>
      <w:r w:rsidRPr="002C4077">
        <w:t xml:space="preserve"> </w:t>
      </w:r>
      <w:r>
        <w:t>pratique.</w:t>
      </w:r>
      <w:r w:rsidRPr="002C4077">
        <w:t xml:space="preserve"> </w:t>
      </w:r>
      <w:r w:rsidR="00B546AF">
        <w:t>« </w:t>
      </w:r>
      <w:r>
        <w:t>Combien</w:t>
      </w:r>
      <w:r w:rsidRPr="002C4077">
        <w:t xml:space="preserve"> </w:t>
      </w:r>
      <w:r>
        <w:t>de</w:t>
      </w:r>
      <w:r w:rsidRPr="002C4077">
        <w:t xml:space="preserve"> </w:t>
      </w:r>
      <w:r>
        <w:t>changements,</w:t>
      </w:r>
      <w:r w:rsidRPr="002C4077">
        <w:t xml:space="preserve"> </w:t>
      </w:r>
      <w:r>
        <w:t>dit-il,</w:t>
      </w:r>
      <w:r w:rsidRPr="002C4077">
        <w:t xml:space="preserve"> </w:t>
      </w:r>
      <w:r>
        <w:t>seront</w:t>
      </w:r>
      <w:r w:rsidRPr="002C4077">
        <w:t xml:space="preserve"> </w:t>
      </w:r>
      <w:r>
        <w:t>regardés</w:t>
      </w:r>
      <w:r w:rsidRPr="002C4077">
        <w:t xml:space="preserve"> </w:t>
      </w:r>
      <w:r>
        <w:t>comme</w:t>
      </w:r>
      <w:r w:rsidRPr="002C4077">
        <w:t xml:space="preserve"> </w:t>
      </w:r>
      <w:r>
        <w:t>des</w:t>
      </w:r>
      <w:r w:rsidRPr="002C4077">
        <w:t xml:space="preserve"> </w:t>
      </w:r>
      <w:r>
        <w:t>intrus</w:t>
      </w:r>
      <w:r w:rsidR="00B91AF7">
        <w:rPr>
          <w:rStyle w:val="Appelnotedebasdep"/>
        </w:rPr>
        <w:footnoteReference w:id="644"/>
      </w:r>
      <w:r w:rsidR="00B546AF">
        <w:t> ! »</w:t>
      </w:r>
      <w:r w:rsidRPr="002C4077">
        <w:t xml:space="preserve"> </w:t>
      </w:r>
    </w:p>
    <w:p w:rsidR="000A7AAB" w:rsidRDefault="000A7AAB" w:rsidP="000A7AAB">
      <w:r>
        <w:t>Je</w:t>
      </w:r>
      <w:r w:rsidRPr="002C4077">
        <w:t xml:space="preserve"> </w:t>
      </w:r>
      <w:r>
        <w:t>parlais</w:t>
      </w:r>
      <w:r w:rsidR="006E7907">
        <w:t>,</w:t>
      </w:r>
      <w:r w:rsidR="006E7907" w:rsidRPr="002C4077">
        <w:t xml:space="preserve"> </w:t>
      </w:r>
      <w:r w:rsidR="006E7907">
        <w:t>il</w:t>
      </w:r>
      <w:r w:rsidR="006E7907" w:rsidRPr="002C4077">
        <w:t xml:space="preserve"> </w:t>
      </w:r>
      <w:r w:rsidR="006E7907">
        <w:t>n’y</w:t>
      </w:r>
      <w:r w:rsidR="006E7907" w:rsidRPr="002C4077">
        <w:t xml:space="preserve"> </w:t>
      </w:r>
      <w:r w:rsidR="006E7907">
        <w:t>a</w:t>
      </w:r>
      <w:r w:rsidR="006E7907" w:rsidRPr="002C4077">
        <w:t xml:space="preserve"> </w:t>
      </w:r>
      <w:r w:rsidR="006E7907">
        <w:t>qu’un</w:t>
      </w:r>
      <w:r w:rsidR="006E7907" w:rsidRPr="002C4077">
        <w:t xml:space="preserve"> </w:t>
      </w:r>
      <w:r w:rsidR="006E7907">
        <w:t>instant,</w:t>
      </w:r>
      <w:r w:rsidR="006E7907" w:rsidRPr="002C4077">
        <w:t xml:space="preserve"> </w:t>
      </w:r>
      <w:r w:rsidR="006E7907">
        <w:t>de</w:t>
      </w:r>
      <w:r w:rsidR="006E7907" w:rsidRPr="002C4077">
        <w:t xml:space="preserve"> </w:t>
      </w:r>
      <w:r w:rsidR="006E7907">
        <w:t>l’</w:t>
      </w:r>
      <w:r w:rsidR="00B546AF">
        <w:t>« </w:t>
      </w:r>
      <w:r>
        <w:t>esprit</w:t>
      </w:r>
      <w:r w:rsidRPr="002C4077">
        <w:t xml:space="preserve"> </w:t>
      </w:r>
      <w:r>
        <w:t>méticuleux</w:t>
      </w:r>
      <w:r w:rsidR="00B546AF">
        <w:t> »</w:t>
      </w:r>
      <w:r w:rsidRPr="002C4077">
        <w:t xml:space="preserve"> </w:t>
      </w:r>
      <w:r>
        <w:t>de</w:t>
      </w:r>
      <w:r w:rsidRPr="002C4077">
        <w:t xml:space="preserve"> </w:t>
      </w:r>
      <w:r>
        <w:t>la</w:t>
      </w:r>
      <w:r w:rsidRPr="002C4077">
        <w:t xml:space="preserve"> </w:t>
      </w:r>
      <w:r>
        <w:t>nouvelle</w:t>
      </w:r>
      <w:r w:rsidRPr="002C4077">
        <w:t xml:space="preserve"> </w:t>
      </w:r>
      <w:r>
        <w:t>version.</w:t>
      </w:r>
      <w:r w:rsidRPr="002C4077">
        <w:t xml:space="preserve"> </w:t>
      </w:r>
      <w:r>
        <w:t>Si</w:t>
      </w:r>
      <w:r w:rsidRPr="002C4077">
        <w:t xml:space="preserve"> </w:t>
      </w:r>
      <w:r>
        <w:t>elle</w:t>
      </w:r>
      <w:r w:rsidRPr="002C4077">
        <w:t xml:space="preserve"> </w:t>
      </w:r>
      <w:r>
        <w:t>l’a</w:t>
      </w:r>
      <w:r w:rsidRPr="002C4077">
        <w:t xml:space="preserve"> </w:t>
      </w:r>
      <w:r>
        <w:t>pour</w:t>
      </w:r>
      <w:r w:rsidRPr="002C4077">
        <w:t xml:space="preserve"> </w:t>
      </w:r>
      <w:r>
        <w:t>la</w:t>
      </w:r>
      <w:r w:rsidRPr="002C4077">
        <w:t xml:space="preserve"> </w:t>
      </w:r>
      <w:r>
        <w:t>forme,</w:t>
      </w:r>
      <w:r w:rsidRPr="002C4077">
        <w:t xml:space="preserve"> </w:t>
      </w:r>
      <w:r>
        <w:t>pour</w:t>
      </w:r>
      <w:r w:rsidRPr="002C4077">
        <w:t xml:space="preserve"> </w:t>
      </w:r>
      <w:r>
        <w:t>le</w:t>
      </w:r>
      <w:r w:rsidRPr="002C4077">
        <w:t xml:space="preserve"> </w:t>
      </w:r>
      <w:r>
        <w:t>style,</w:t>
      </w:r>
      <w:r w:rsidRPr="002C4077">
        <w:t xml:space="preserve"> </w:t>
      </w:r>
      <w:r>
        <w:t>quand</w:t>
      </w:r>
      <w:r w:rsidRPr="002C4077">
        <w:t xml:space="preserve"> </w:t>
      </w:r>
      <w:r>
        <w:t>on</w:t>
      </w:r>
      <w:r w:rsidRPr="002C4077">
        <w:t xml:space="preserve"> </w:t>
      </w:r>
      <w:r>
        <w:t>la</w:t>
      </w:r>
      <w:r w:rsidRPr="002C4077">
        <w:t xml:space="preserve"> </w:t>
      </w:r>
      <w:r>
        <w:t>c</w:t>
      </w:r>
      <w:r w:rsidR="003B53FD">
        <w:t>ompare</w:t>
      </w:r>
      <w:r w:rsidRPr="002C4077">
        <w:t xml:space="preserve"> </w:t>
      </w:r>
      <w:r>
        <w:t>à</w:t>
      </w:r>
      <w:r w:rsidRPr="002C4077">
        <w:t xml:space="preserve"> </w:t>
      </w:r>
      <w:r>
        <w:t>sa</w:t>
      </w:r>
      <w:r w:rsidRPr="002C4077">
        <w:t xml:space="preserve"> </w:t>
      </w:r>
      <w:r>
        <w:t>devancière</w:t>
      </w:r>
      <w:r w:rsidRPr="002C4077">
        <w:t xml:space="preserve"> </w:t>
      </w:r>
      <w:r>
        <w:t>à</w:t>
      </w:r>
      <w:r w:rsidRPr="002C4077">
        <w:t xml:space="preserve"> </w:t>
      </w:r>
      <w:r>
        <w:t>laquelle</w:t>
      </w:r>
      <w:r w:rsidRPr="002C4077">
        <w:t xml:space="preserve"> </w:t>
      </w:r>
      <w:r>
        <w:t>on</w:t>
      </w:r>
      <w:r w:rsidRPr="002C4077">
        <w:t xml:space="preserve"> </w:t>
      </w:r>
      <w:r>
        <w:t>l’a</w:t>
      </w:r>
      <w:r w:rsidRPr="002C4077">
        <w:t xml:space="preserve"> </w:t>
      </w:r>
      <w:r>
        <w:t>maintes</w:t>
      </w:r>
      <w:r w:rsidRPr="002C4077">
        <w:t xml:space="preserve"> </w:t>
      </w:r>
      <w:r>
        <w:t>fois</w:t>
      </w:r>
      <w:r w:rsidRPr="002C4077">
        <w:t xml:space="preserve"> </w:t>
      </w:r>
      <w:r>
        <w:t>servilement</w:t>
      </w:r>
      <w:r w:rsidRPr="002C4077">
        <w:t xml:space="preserve"> </w:t>
      </w:r>
      <w:r>
        <w:t>adaptée,</w:t>
      </w:r>
      <w:r w:rsidRPr="002C4077">
        <w:t xml:space="preserve"> </w:t>
      </w:r>
      <w:r>
        <w:t>elle</w:t>
      </w:r>
      <w:r w:rsidRPr="002C4077">
        <w:t xml:space="preserve"> </w:t>
      </w:r>
      <w:r w:rsidR="00425C50">
        <w:t>est</w:t>
      </w:r>
      <w:r w:rsidRPr="002C4077">
        <w:t xml:space="preserve"> </w:t>
      </w:r>
      <w:r>
        <w:t>loin</w:t>
      </w:r>
      <w:r w:rsidRPr="002C4077">
        <w:t xml:space="preserve"> </w:t>
      </w:r>
      <w:r>
        <w:t>de</w:t>
      </w:r>
      <w:r w:rsidRPr="002C4077">
        <w:t xml:space="preserve"> </w:t>
      </w:r>
      <w:r>
        <w:t>l’avoir</w:t>
      </w:r>
      <w:r w:rsidRPr="002C4077">
        <w:t xml:space="preserve"> </w:t>
      </w:r>
      <w:r>
        <w:t>toujours</w:t>
      </w:r>
      <w:r w:rsidRPr="002C4077">
        <w:t xml:space="preserve"> </w:t>
      </w:r>
      <w:r>
        <w:t>pour</w:t>
      </w:r>
      <w:r w:rsidRPr="002C4077">
        <w:t xml:space="preserve"> </w:t>
      </w:r>
      <w:r>
        <w:t>ce</w:t>
      </w:r>
      <w:r w:rsidRPr="002C4077">
        <w:t xml:space="preserve"> </w:t>
      </w:r>
      <w:r>
        <w:t>qui</w:t>
      </w:r>
      <w:r w:rsidRPr="002C4077">
        <w:t xml:space="preserve"> </w:t>
      </w:r>
      <w:r w:rsidR="00425C50">
        <w:t>est</w:t>
      </w:r>
      <w:r w:rsidRPr="002C4077">
        <w:t xml:space="preserve"> </w:t>
      </w:r>
      <w:r>
        <w:t>du</w:t>
      </w:r>
      <w:r w:rsidRPr="002C4077">
        <w:t xml:space="preserve"> </w:t>
      </w:r>
      <w:r>
        <w:t>fond,</w:t>
      </w:r>
      <w:r w:rsidRPr="002C4077">
        <w:t xml:space="preserve"> </w:t>
      </w:r>
      <w:r>
        <w:t>des</w:t>
      </w:r>
      <w:r w:rsidRPr="002C4077">
        <w:t xml:space="preserve"> </w:t>
      </w:r>
      <w:r>
        <w:t>pensées.</w:t>
      </w:r>
      <w:r w:rsidRPr="002C4077">
        <w:t xml:space="preserve"> </w:t>
      </w:r>
      <w:r>
        <w:t>Les</w:t>
      </w:r>
      <w:r w:rsidRPr="002C4077">
        <w:t xml:space="preserve"> </w:t>
      </w:r>
      <w:r>
        <w:t>correcteurs</w:t>
      </w:r>
      <w:r w:rsidRPr="002C4077">
        <w:t xml:space="preserve"> </w:t>
      </w:r>
      <w:r>
        <w:t>se</w:t>
      </w:r>
      <w:r w:rsidRPr="002C4077">
        <w:t xml:space="preserve"> </w:t>
      </w:r>
      <w:r>
        <w:t>sont</w:t>
      </w:r>
      <w:r w:rsidRPr="002C4077">
        <w:t xml:space="preserve"> </w:t>
      </w:r>
      <w:r>
        <w:t>même</w:t>
      </w:r>
      <w:r w:rsidRPr="002C4077">
        <w:t xml:space="preserve"> </w:t>
      </w:r>
      <w:r>
        <w:t>permis</w:t>
      </w:r>
      <w:r w:rsidRPr="002C4077">
        <w:t xml:space="preserve"> </w:t>
      </w:r>
      <w:r>
        <w:t>sous</w:t>
      </w:r>
      <w:r w:rsidRPr="002C4077">
        <w:t xml:space="preserve"> </w:t>
      </w:r>
      <w:r>
        <w:t>ce</w:t>
      </w:r>
      <w:r w:rsidRPr="002C4077">
        <w:t xml:space="preserve"> </w:t>
      </w:r>
      <w:r>
        <w:t>rapport</w:t>
      </w:r>
      <w:r w:rsidRPr="002C4077">
        <w:t xml:space="preserve"> </w:t>
      </w:r>
      <w:r>
        <w:t>des</w:t>
      </w:r>
      <w:r w:rsidRPr="002C4077">
        <w:t xml:space="preserve"> </w:t>
      </w:r>
      <w:r>
        <w:t>hardiesses</w:t>
      </w:r>
      <w:r w:rsidRPr="002C4077">
        <w:t xml:space="preserve"> </w:t>
      </w:r>
      <w:r>
        <w:t>inqualifiables.</w:t>
      </w:r>
      <w:r w:rsidRPr="002C4077">
        <w:t xml:space="preserve"> </w:t>
      </w:r>
    </w:p>
    <w:p w:rsidR="000A7AAB" w:rsidRDefault="000A7AAB" w:rsidP="000A7AAB">
      <w:r>
        <w:t>C’est</w:t>
      </w:r>
      <w:bookmarkStart w:id="490" w:name="z_FemmeAdultere_o1"/>
      <w:bookmarkEnd w:id="490"/>
      <w:r w:rsidRPr="002C4077">
        <w:t xml:space="preserve"> </w:t>
      </w:r>
      <w:r>
        <w:t>ainsi</w:t>
      </w:r>
      <w:r w:rsidRPr="002C4077">
        <w:t xml:space="preserve"> </w:t>
      </w:r>
      <w:r>
        <w:t>qu’ils</w:t>
      </w:r>
      <w:r w:rsidRPr="002C4077">
        <w:t xml:space="preserve"> </w:t>
      </w:r>
      <w:r>
        <w:t>ont</w:t>
      </w:r>
      <w:r w:rsidRPr="002C4077">
        <w:t xml:space="preserve"> </w:t>
      </w:r>
      <w:r>
        <w:t>mis</w:t>
      </w:r>
      <w:r w:rsidRPr="002C4077">
        <w:t xml:space="preserve"> </w:t>
      </w:r>
      <w:r>
        <w:t>entre</w:t>
      </w:r>
      <w:r w:rsidRPr="002C4077">
        <w:t xml:space="preserve"> </w:t>
      </w:r>
      <w:r>
        <w:t>parenthèses,</w:t>
      </w:r>
      <w:r w:rsidRPr="002C4077">
        <w:t xml:space="preserve"> </w:t>
      </w:r>
      <w:r>
        <w:t>comme</w:t>
      </w:r>
      <w:r w:rsidRPr="002C4077">
        <w:t xml:space="preserve"> </w:t>
      </w:r>
      <w:r>
        <w:t>douteux,</w:t>
      </w:r>
      <w:r w:rsidRPr="002C4077">
        <w:t xml:space="preserve"> </w:t>
      </w:r>
      <w:r>
        <w:t>l’épisode</w:t>
      </w:r>
      <w:r w:rsidRPr="002C4077">
        <w:t xml:space="preserve"> </w:t>
      </w:r>
      <w:r>
        <w:t>de</w:t>
      </w:r>
      <w:r w:rsidRPr="002C4077">
        <w:t xml:space="preserve"> </w:t>
      </w:r>
      <w:r>
        <w:t>la</w:t>
      </w:r>
      <w:r w:rsidRPr="002C4077">
        <w:t xml:space="preserve"> </w:t>
      </w:r>
      <w:r>
        <w:t>femme</w:t>
      </w:r>
      <w:r w:rsidRPr="002C4077">
        <w:t xml:space="preserve"> </w:t>
      </w:r>
      <w:r>
        <w:t>adultère</w:t>
      </w:r>
      <w:r w:rsidR="00B91AF7">
        <w:rPr>
          <w:rStyle w:val="Appelnotedebasdep"/>
        </w:rPr>
        <w:footnoteReference w:id="645"/>
      </w:r>
      <w:r w:rsidR="00B546AF">
        <w:t> ;</w:t>
      </w:r>
      <w:r w:rsidRPr="002C4077">
        <w:t xml:space="preserve"> </w:t>
      </w:r>
      <w:r>
        <w:t>qu’ils</w:t>
      </w:r>
      <w:r w:rsidRPr="002C4077">
        <w:t xml:space="preserve"> </w:t>
      </w:r>
      <w:r>
        <w:t>ont</w:t>
      </w:r>
      <w:r w:rsidRPr="002C4077">
        <w:t xml:space="preserve"> </w:t>
      </w:r>
      <w:r>
        <w:t>séparé</w:t>
      </w:r>
      <w:r w:rsidRPr="002C4077">
        <w:t xml:space="preserve"> </w:t>
      </w:r>
      <w:r>
        <w:t>du</w:t>
      </w:r>
      <w:r w:rsidRPr="002C4077">
        <w:t xml:space="preserve"> </w:t>
      </w:r>
      <w:r>
        <w:t>corps</w:t>
      </w:r>
      <w:r w:rsidRPr="002C4077">
        <w:t xml:space="preserve"> </w:t>
      </w:r>
      <w:r>
        <w:t>de</w:t>
      </w:r>
      <w:r w:rsidRPr="002C4077">
        <w:t xml:space="preserve"> </w:t>
      </w:r>
      <w:r>
        <w:t>l’Évangile,</w:t>
      </w:r>
      <w:r w:rsidRPr="002C4077">
        <w:t xml:space="preserve"> </w:t>
      </w:r>
      <w:r>
        <w:t>par</w:t>
      </w:r>
      <w:r w:rsidRPr="002C4077">
        <w:t xml:space="preserve"> </w:t>
      </w:r>
      <w:r>
        <w:t>un</w:t>
      </w:r>
      <w:r w:rsidRPr="002C4077">
        <w:t xml:space="preserve"> </w:t>
      </w:r>
      <w:r>
        <w:t>intervalle</w:t>
      </w:r>
      <w:r w:rsidRPr="002C4077">
        <w:t xml:space="preserve"> </w:t>
      </w:r>
      <w:r>
        <w:t>laissé</w:t>
      </w:r>
      <w:r w:rsidRPr="002C4077">
        <w:t xml:space="preserve"> </w:t>
      </w:r>
      <w:r>
        <w:t>en</w:t>
      </w:r>
      <w:r w:rsidRPr="002C4077">
        <w:t xml:space="preserve"> </w:t>
      </w:r>
      <w:r>
        <w:t>blanc,</w:t>
      </w:r>
      <w:r w:rsidRPr="002C4077">
        <w:t xml:space="preserve"> </w:t>
      </w:r>
      <w:r>
        <w:t>les</w:t>
      </w:r>
      <w:r w:rsidRPr="002C4077">
        <w:t xml:space="preserve"> </w:t>
      </w:r>
      <w:r>
        <w:t>douze</w:t>
      </w:r>
      <w:r w:rsidRPr="002C4077">
        <w:t xml:space="preserve"> </w:t>
      </w:r>
      <w:r>
        <w:t>derniers</w:t>
      </w:r>
      <w:r w:rsidRPr="002C4077">
        <w:t xml:space="preserve"> </w:t>
      </w:r>
      <w:r>
        <w:t>versets</w:t>
      </w:r>
      <w:r w:rsidRPr="002C4077">
        <w:t xml:space="preserve"> </w:t>
      </w:r>
      <w:r>
        <w:t>de</w:t>
      </w:r>
      <w:r w:rsidRPr="002C4077">
        <w:t xml:space="preserve"> </w:t>
      </w:r>
      <w:r>
        <w:t>saint</w:t>
      </w:r>
      <w:r w:rsidRPr="002C4077">
        <w:t xml:space="preserve"> </w:t>
      </w:r>
      <w:r>
        <w:t>Marc</w:t>
      </w:r>
      <w:bookmarkStart w:id="491" w:name="z_MarcSaint_o1"/>
      <w:bookmarkEnd w:id="491"/>
      <w:r w:rsidR="00216D08">
        <w:rPr>
          <w:rStyle w:val="Appelnotedebasdep"/>
        </w:rPr>
        <w:footnoteReference w:id="646"/>
      </w:r>
      <w:r>
        <w:t>,</w:t>
      </w:r>
      <w:r w:rsidRPr="002C4077">
        <w:t xml:space="preserve"> </w:t>
      </w:r>
      <w:r>
        <w:t>montrant</w:t>
      </w:r>
      <w:r w:rsidRPr="002C4077">
        <w:t xml:space="preserve"> </w:t>
      </w:r>
      <w:r>
        <w:t>de</w:t>
      </w:r>
      <w:r w:rsidRPr="002C4077">
        <w:t xml:space="preserve"> </w:t>
      </w:r>
      <w:r>
        <w:t>la</w:t>
      </w:r>
      <w:r w:rsidRPr="002C4077">
        <w:t xml:space="preserve"> </w:t>
      </w:r>
      <w:r>
        <w:t>sorte</w:t>
      </w:r>
      <w:r w:rsidRPr="002C4077">
        <w:t xml:space="preserve"> </w:t>
      </w:r>
      <w:r>
        <w:t>que</w:t>
      </w:r>
      <w:r w:rsidRPr="002C4077">
        <w:t xml:space="preserve"> </w:t>
      </w:r>
      <w:r>
        <w:t>ce</w:t>
      </w:r>
      <w:r w:rsidRPr="002C4077">
        <w:t xml:space="preserve"> </w:t>
      </w:r>
      <w:r>
        <w:t>passage</w:t>
      </w:r>
      <w:r w:rsidRPr="002C4077">
        <w:t xml:space="preserve"> </w:t>
      </w:r>
      <w:r>
        <w:t>ne</w:t>
      </w:r>
      <w:r w:rsidRPr="002C4077">
        <w:t xml:space="preserve"> </w:t>
      </w:r>
      <w:r>
        <w:t>possédait</w:t>
      </w:r>
      <w:r w:rsidRPr="002C4077">
        <w:t xml:space="preserve"> </w:t>
      </w:r>
      <w:r>
        <w:t>pas</w:t>
      </w:r>
      <w:r w:rsidRPr="002C4077">
        <w:t xml:space="preserve"> </w:t>
      </w:r>
      <w:r>
        <w:t>à</w:t>
      </w:r>
      <w:r w:rsidRPr="002C4077">
        <w:t xml:space="preserve"> </w:t>
      </w:r>
      <w:r>
        <w:t>leurs</w:t>
      </w:r>
      <w:r w:rsidRPr="002C4077">
        <w:t xml:space="preserve"> </w:t>
      </w:r>
      <w:r>
        <w:t>yeux</w:t>
      </w:r>
      <w:r w:rsidRPr="002C4077">
        <w:t xml:space="preserve"> </w:t>
      </w:r>
      <w:r>
        <w:t>le</w:t>
      </w:r>
      <w:r w:rsidRPr="002C4077">
        <w:t xml:space="preserve"> </w:t>
      </w:r>
      <w:r>
        <w:t>même</w:t>
      </w:r>
      <w:r w:rsidRPr="002C4077">
        <w:t xml:space="preserve"> </w:t>
      </w:r>
      <w:r>
        <w:t>degré</w:t>
      </w:r>
      <w:r w:rsidRPr="002C4077">
        <w:t xml:space="preserve"> </w:t>
      </w:r>
      <w:r>
        <w:t>d’authenticité</w:t>
      </w:r>
      <w:r w:rsidRPr="002C4077">
        <w:t xml:space="preserve"> </w:t>
      </w:r>
      <w:r>
        <w:t>et</w:t>
      </w:r>
      <w:r w:rsidRPr="002C4077">
        <w:t xml:space="preserve"> </w:t>
      </w:r>
      <w:r>
        <w:t>d’inspiration</w:t>
      </w:r>
      <w:r w:rsidRPr="002C4077">
        <w:t xml:space="preserve"> </w:t>
      </w:r>
      <w:r>
        <w:t>que</w:t>
      </w:r>
      <w:r w:rsidRPr="002C4077">
        <w:t xml:space="preserve"> </w:t>
      </w:r>
      <w:r>
        <w:t>le</w:t>
      </w:r>
      <w:r w:rsidRPr="002C4077">
        <w:t xml:space="preserve"> </w:t>
      </w:r>
      <w:r>
        <w:t>reste</w:t>
      </w:r>
      <w:r w:rsidRPr="002C4077">
        <w:t xml:space="preserve"> </w:t>
      </w:r>
      <w:r>
        <w:t>de</w:t>
      </w:r>
      <w:r w:rsidRPr="002C4077">
        <w:t xml:space="preserve"> </w:t>
      </w:r>
      <w:r>
        <w:t>l’écrit.</w:t>
      </w:r>
      <w:r w:rsidRPr="002C4077">
        <w:t xml:space="preserve"> </w:t>
      </w:r>
      <w:r>
        <w:t>Bien</w:t>
      </w:r>
      <w:r w:rsidRPr="002C4077">
        <w:t xml:space="preserve"> </w:t>
      </w:r>
      <w:r>
        <w:t>plus,</w:t>
      </w:r>
      <w:r w:rsidRPr="002C4077">
        <w:t xml:space="preserve"> </w:t>
      </w:r>
      <w:r>
        <w:t>j’ai</w:t>
      </w:r>
      <w:r w:rsidRPr="002C4077">
        <w:t xml:space="preserve"> </w:t>
      </w:r>
      <w:r>
        <w:t>cherché</w:t>
      </w:r>
      <w:r w:rsidRPr="002C4077">
        <w:t xml:space="preserve"> </w:t>
      </w:r>
      <w:r>
        <w:t>complètement</w:t>
      </w:r>
      <w:r w:rsidRPr="002C4077">
        <w:t xml:space="preserve"> </w:t>
      </w:r>
      <w:r>
        <w:t>en</w:t>
      </w:r>
      <w:r w:rsidRPr="002C4077">
        <w:t xml:space="preserve"> </w:t>
      </w:r>
      <w:r>
        <w:t>vain,</w:t>
      </w:r>
      <w:r w:rsidRPr="002C4077">
        <w:t xml:space="preserve"> </w:t>
      </w:r>
      <w:r>
        <w:t>dans</w:t>
      </w:r>
      <w:r w:rsidRPr="002C4077">
        <w:t xml:space="preserve"> </w:t>
      </w:r>
      <w:r>
        <w:t>la</w:t>
      </w:r>
      <w:r w:rsidRPr="002C4077">
        <w:t xml:space="preserve"> </w:t>
      </w:r>
      <w:r>
        <w:t>traduction</w:t>
      </w:r>
      <w:r w:rsidRPr="002C4077">
        <w:t xml:space="preserve"> </w:t>
      </w:r>
      <w:r>
        <w:t>révisée,</w:t>
      </w:r>
      <w:r w:rsidRPr="002C4077">
        <w:t xml:space="preserve"> </w:t>
      </w:r>
      <w:r>
        <w:t>le</w:t>
      </w:r>
      <w:r w:rsidRPr="002C4077">
        <w:t xml:space="preserve"> </w:t>
      </w:r>
      <w:r>
        <w:t>célèbre</w:t>
      </w:r>
      <w:r w:rsidRPr="002C4077">
        <w:t xml:space="preserve"> </w:t>
      </w:r>
      <w:r>
        <w:t>verset</w:t>
      </w:r>
      <w:r w:rsidRPr="002C4077">
        <w:t xml:space="preserve"> </w:t>
      </w:r>
      <w:r>
        <w:t>connu</w:t>
      </w:r>
      <w:r w:rsidRPr="002C4077">
        <w:t xml:space="preserve"> </w:t>
      </w:r>
      <w:r>
        <w:t>sous</w:t>
      </w:r>
      <w:r w:rsidRPr="002C4077">
        <w:t xml:space="preserve"> </w:t>
      </w:r>
      <w:r>
        <w:t>le</w:t>
      </w:r>
      <w:r w:rsidRPr="002C4077">
        <w:t xml:space="preserve"> </w:t>
      </w:r>
      <w:r>
        <w:t>nom</w:t>
      </w:r>
      <w:r w:rsidRPr="002C4077">
        <w:t xml:space="preserve"> </w:t>
      </w:r>
      <w:r>
        <w:t>de</w:t>
      </w:r>
      <w:r w:rsidR="00FB4E2C" w:rsidRPr="002C4077">
        <w:t xml:space="preserve"> </w:t>
      </w:r>
      <w:r w:rsidR="00FB4E2C">
        <w:rPr>
          <w:rStyle w:val="italicus"/>
        </w:rPr>
        <w:t>Comma</w:t>
      </w:r>
      <w:r w:rsidR="00FB4E2C" w:rsidRPr="002C4077">
        <w:t xml:space="preserve"> </w:t>
      </w:r>
      <w:r w:rsidR="00FB4E2C">
        <w:rPr>
          <w:rStyle w:val="italicus"/>
        </w:rPr>
        <w:t>Joan</w:t>
      </w:r>
      <w:r w:rsidR="00FB4E2C" w:rsidRPr="000A34B5">
        <w:rPr>
          <w:rStyle w:val="italicus"/>
        </w:rPr>
        <w:t>néum</w:t>
      </w:r>
      <w:bookmarkStart w:id="492" w:name="z_CommaJoanneum_o1"/>
      <w:bookmarkEnd w:id="492"/>
      <w:r w:rsidR="00F6492C">
        <w:rPr>
          <w:rStyle w:val="Appelnotedebasdep"/>
          <w:i/>
        </w:rPr>
        <w:footnoteReference w:id="647"/>
      </w:r>
      <w:r w:rsidR="00B546AF">
        <w:t> :</w:t>
      </w:r>
      <w:r w:rsidR="00C45B47">
        <w:t xml:space="preserve"> {</w:t>
      </w:r>
      <w:r w:rsidR="001F5257">
        <w:t>194</w:t>
      </w:r>
      <w:bookmarkStart w:id="493" w:name="p194"/>
      <w:bookmarkEnd w:id="493"/>
      <w:r w:rsidR="001F5257">
        <w:t xml:space="preserve">} </w:t>
      </w:r>
      <w:r>
        <w:t>on</w:t>
      </w:r>
      <w:r w:rsidRPr="002C4077">
        <w:t xml:space="preserve"> </w:t>
      </w:r>
      <w:r>
        <w:t>l’a</w:t>
      </w:r>
      <w:r w:rsidRPr="002C4077">
        <w:t xml:space="preserve"> </w:t>
      </w:r>
      <w:r>
        <w:t>purement</w:t>
      </w:r>
      <w:r w:rsidRPr="002C4077">
        <w:t xml:space="preserve"> </w:t>
      </w:r>
      <w:r>
        <w:t>et</w:t>
      </w:r>
      <w:r w:rsidRPr="002C4077">
        <w:t xml:space="preserve"> </w:t>
      </w:r>
      <w:r>
        <w:t>simplement</w:t>
      </w:r>
      <w:r w:rsidRPr="002C4077">
        <w:t xml:space="preserve"> </w:t>
      </w:r>
      <w:r>
        <w:t>enlevé</w:t>
      </w:r>
      <w:r w:rsidRPr="002C4077">
        <w:t xml:space="preserve"> </w:t>
      </w:r>
      <w:r>
        <w:t>sans</w:t>
      </w:r>
      <w:r w:rsidRPr="002C4077">
        <w:t xml:space="preserve"> </w:t>
      </w:r>
      <w:r>
        <w:t>crier</w:t>
      </w:r>
      <w:r w:rsidRPr="002C4077">
        <w:t xml:space="preserve"> </w:t>
      </w:r>
      <w:r>
        <w:t>gare.</w:t>
      </w:r>
      <w:r w:rsidRPr="002C4077">
        <w:t xml:space="preserve"> </w:t>
      </w:r>
      <w:r>
        <w:t>Ne</w:t>
      </w:r>
      <w:r w:rsidRPr="002C4077">
        <w:t xml:space="preserve"> </w:t>
      </w:r>
      <w:r>
        <w:t>sont-ce</w:t>
      </w:r>
      <w:r w:rsidRPr="002C4077">
        <w:t xml:space="preserve"> </w:t>
      </w:r>
      <w:r>
        <w:t>pas</w:t>
      </w:r>
      <w:r w:rsidRPr="002C4077">
        <w:t xml:space="preserve"> </w:t>
      </w:r>
      <w:r>
        <w:t>là</w:t>
      </w:r>
      <w:r w:rsidRPr="002C4077">
        <w:t xml:space="preserve"> </w:t>
      </w:r>
      <w:r>
        <w:t>de</w:t>
      </w:r>
      <w:r w:rsidRPr="002C4077">
        <w:t xml:space="preserve"> </w:t>
      </w:r>
      <w:r>
        <w:t>vrais</w:t>
      </w:r>
      <w:r w:rsidRPr="002C4077">
        <w:t xml:space="preserve"> </w:t>
      </w:r>
      <w:r>
        <w:t>coups</w:t>
      </w:r>
      <w:r w:rsidRPr="002C4077">
        <w:t xml:space="preserve"> </w:t>
      </w:r>
      <w:r>
        <w:t>d’audace</w:t>
      </w:r>
      <w:r w:rsidR="00B546AF">
        <w:t> ?</w:t>
      </w:r>
      <w:r w:rsidRPr="002C4077">
        <w:t xml:space="preserve"> </w:t>
      </w:r>
      <w:r>
        <w:t>Quoiqu’on</w:t>
      </w:r>
      <w:r w:rsidRPr="002C4077">
        <w:t xml:space="preserve"> </w:t>
      </w:r>
      <w:r>
        <w:t>nous</w:t>
      </w:r>
      <w:r w:rsidRPr="002C4077">
        <w:t xml:space="preserve"> </w:t>
      </w:r>
      <w:r>
        <w:t>accuse,</w:t>
      </w:r>
      <w:r w:rsidRPr="002C4077">
        <w:t xml:space="preserve"> </w:t>
      </w:r>
      <w:r>
        <w:t>nous</w:t>
      </w:r>
      <w:r w:rsidRPr="002C4077">
        <w:t xml:space="preserve"> </w:t>
      </w:r>
      <w:r>
        <w:t>autres</w:t>
      </w:r>
      <w:r w:rsidRPr="002C4077">
        <w:t xml:space="preserve"> </w:t>
      </w:r>
      <w:r>
        <w:t>catholiques,</w:t>
      </w:r>
      <w:r w:rsidRPr="002C4077">
        <w:t xml:space="preserve"> </w:t>
      </w:r>
      <w:r>
        <w:t>de</w:t>
      </w:r>
      <w:r w:rsidRPr="002C4077">
        <w:t xml:space="preserve"> </w:t>
      </w:r>
      <w:r>
        <w:t>manquer</w:t>
      </w:r>
      <w:r w:rsidRPr="002C4077">
        <w:t xml:space="preserve"> </w:t>
      </w:r>
      <w:r>
        <w:t>de</w:t>
      </w:r>
      <w:r w:rsidRPr="002C4077">
        <w:t xml:space="preserve"> </w:t>
      </w:r>
      <w:r>
        <w:t>critique</w:t>
      </w:r>
      <w:r w:rsidRPr="002C4077">
        <w:t xml:space="preserve"> </w:t>
      </w:r>
      <w:r>
        <w:t>dans</w:t>
      </w:r>
      <w:r w:rsidRPr="002C4077">
        <w:t xml:space="preserve"> </w:t>
      </w:r>
      <w:r>
        <w:t>nos</w:t>
      </w:r>
      <w:r w:rsidRPr="002C4077">
        <w:t xml:space="preserve"> </w:t>
      </w:r>
      <w:r>
        <w:t>études</w:t>
      </w:r>
      <w:r w:rsidRPr="002C4077">
        <w:t xml:space="preserve"> </w:t>
      </w:r>
      <w:r>
        <w:t>scripturaires</w:t>
      </w:r>
      <w:r w:rsidR="00B91AF7">
        <w:rPr>
          <w:rStyle w:val="Appelnotedebasdep"/>
        </w:rPr>
        <w:footnoteReference w:id="648"/>
      </w:r>
      <w:r>
        <w:t>,</w:t>
      </w:r>
      <w:r w:rsidRPr="002C4077">
        <w:t xml:space="preserve"> </w:t>
      </w:r>
      <w:r>
        <w:t>nous</w:t>
      </w:r>
      <w:r w:rsidRPr="002C4077">
        <w:t xml:space="preserve"> </w:t>
      </w:r>
      <w:r>
        <w:t>n’ignorons</w:t>
      </w:r>
      <w:r w:rsidRPr="002C4077">
        <w:t xml:space="preserve"> </w:t>
      </w:r>
      <w:r>
        <w:t>pas</w:t>
      </w:r>
      <w:r w:rsidRPr="002C4077">
        <w:t xml:space="preserve"> </w:t>
      </w:r>
      <w:r>
        <w:t>plus</w:t>
      </w:r>
      <w:r w:rsidRPr="002C4077">
        <w:t xml:space="preserve"> </w:t>
      </w:r>
      <w:r>
        <w:t>que</w:t>
      </w:r>
      <w:r w:rsidRPr="002C4077">
        <w:t xml:space="preserve"> </w:t>
      </w:r>
      <w:r>
        <w:t>les</w:t>
      </w:r>
      <w:r w:rsidRPr="002C4077">
        <w:t xml:space="preserve"> </w:t>
      </w:r>
      <w:r>
        <w:t>exégètes</w:t>
      </w:r>
      <w:r w:rsidRPr="002C4077">
        <w:t xml:space="preserve"> </w:t>
      </w:r>
      <w:r>
        <w:t>protestants</w:t>
      </w:r>
      <w:r w:rsidRPr="002C4077">
        <w:t xml:space="preserve"> </w:t>
      </w:r>
      <w:r>
        <w:t>les</w:t>
      </w:r>
      <w:r w:rsidRPr="002C4077">
        <w:t xml:space="preserve"> </w:t>
      </w:r>
      <w:r>
        <w:t>doutes</w:t>
      </w:r>
      <w:r w:rsidRPr="002C4077">
        <w:t xml:space="preserve"> </w:t>
      </w:r>
      <w:r>
        <w:t>que</w:t>
      </w:r>
      <w:r w:rsidRPr="002C4077">
        <w:t xml:space="preserve"> </w:t>
      </w:r>
      <w:r>
        <w:t>soulevèrent,</w:t>
      </w:r>
      <w:r w:rsidRPr="002C4077">
        <w:t xml:space="preserve"> </w:t>
      </w:r>
      <w:r>
        <w:t>dans</w:t>
      </w:r>
      <w:r w:rsidRPr="002C4077">
        <w:t xml:space="preserve"> </w:t>
      </w:r>
      <w:r>
        <w:t>l’antiquité</w:t>
      </w:r>
      <w:r w:rsidRPr="002C4077">
        <w:t xml:space="preserve"> </w:t>
      </w:r>
      <w:r>
        <w:t>chrétienne,</w:t>
      </w:r>
      <w:r w:rsidRPr="002C4077">
        <w:t xml:space="preserve"> </w:t>
      </w:r>
      <w:r>
        <w:t>la</w:t>
      </w:r>
      <w:r w:rsidRPr="002C4077">
        <w:t xml:space="preserve"> </w:t>
      </w:r>
      <w:r>
        <w:t>canonicité</w:t>
      </w:r>
      <w:r w:rsidRPr="002C4077">
        <w:t xml:space="preserve"> </w:t>
      </w:r>
      <w:r>
        <w:t>ou</w:t>
      </w:r>
      <w:r w:rsidRPr="002C4077">
        <w:t xml:space="preserve"> </w:t>
      </w:r>
      <w:r>
        <w:t>l’authenticité</w:t>
      </w:r>
      <w:r w:rsidRPr="002C4077">
        <w:t xml:space="preserve"> </w:t>
      </w:r>
      <w:r>
        <w:t>des</w:t>
      </w:r>
      <w:r w:rsidRPr="002C4077">
        <w:t xml:space="preserve"> </w:t>
      </w:r>
      <w:r>
        <w:t>trois</w:t>
      </w:r>
      <w:r w:rsidRPr="002C4077">
        <w:t xml:space="preserve"> </w:t>
      </w:r>
      <w:r>
        <w:t>passages</w:t>
      </w:r>
      <w:r w:rsidRPr="002C4077">
        <w:t xml:space="preserve"> </w:t>
      </w:r>
      <w:r>
        <w:t>que</w:t>
      </w:r>
      <w:r w:rsidRPr="002C4077">
        <w:t xml:space="preserve"> </w:t>
      </w:r>
      <w:r>
        <w:t>nous</w:t>
      </w:r>
      <w:r w:rsidRPr="002C4077">
        <w:t xml:space="preserve"> </w:t>
      </w:r>
      <w:r>
        <w:t>venons</w:t>
      </w:r>
      <w:r w:rsidRPr="002C4077">
        <w:t xml:space="preserve"> </w:t>
      </w:r>
      <w:r>
        <w:t>de</w:t>
      </w:r>
      <w:r w:rsidRPr="002C4077">
        <w:t xml:space="preserve"> </w:t>
      </w:r>
      <w:r>
        <w:t>signaler</w:t>
      </w:r>
      <w:r w:rsidR="00B546AF">
        <w:t> ;</w:t>
      </w:r>
      <w:r w:rsidRPr="002C4077">
        <w:t xml:space="preserve"> </w:t>
      </w:r>
      <w:r>
        <w:t>mais</w:t>
      </w:r>
      <w:r w:rsidRPr="002C4077">
        <w:t xml:space="preserve"> </w:t>
      </w:r>
      <w:r>
        <w:t>nous</w:t>
      </w:r>
      <w:r w:rsidRPr="002C4077">
        <w:t xml:space="preserve"> </w:t>
      </w:r>
      <w:r>
        <w:t>savons</w:t>
      </w:r>
      <w:r w:rsidRPr="002C4077">
        <w:t xml:space="preserve"> </w:t>
      </w:r>
      <w:r>
        <w:t>aussi</w:t>
      </w:r>
      <w:r w:rsidRPr="002C4077">
        <w:t xml:space="preserve"> </w:t>
      </w:r>
      <w:r>
        <w:t>que</w:t>
      </w:r>
      <w:r w:rsidRPr="002C4077">
        <w:t xml:space="preserve"> </w:t>
      </w:r>
      <w:r>
        <w:t>d’anciens</w:t>
      </w:r>
      <w:r w:rsidRPr="002C4077">
        <w:t xml:space="preserve"> </w:t>
      </w:r>
      <w:r>
        <w:t>documents</w:t>
      </w:r>
      <w:r w:rsidRPr="002C4077">
        <w:t xml:space="preserve"> </w:t>
      </w:r>
      <w:r>
        <w:t>de</w:t>
      </w:r>
      <w:r w:rsidRPr="002C4077">
        <w:t xml:space="preserve"> </w:t>
      </w:r>
      <w:r>
        <w:t>la</w:t>
      </w:r>
      <w:r w:rsidRPr="002C4077">
        <w:t xml:space="preserve"> </w:t>
      </w:r>
      <w:r>
        <w:t>plus</w:t>
      </w:r>
      <w:r w:rsidRPr="002C4077">
        <w:t xml:space="preserve"> </w:t>
      </w:r>
      <w:r>
        <w:t>haute</w:t>
      </w:r>
      <w:r w:rsidRPr="002C4077">
        <w:t xml:space="preserve"> </w:t>
      </w:r>
      <w:r>
        <w:t>importance</w:t>
      </w:r>
      <w:r w:rsidRPr="002C4077">
        <w:t xml:space="preserve"> </w:t>
      </w:r>
      <w:r>
        <w:t>permettent</w:t>
      </w:r>
      <w:r w:rsidRPr="002C4077">
        <w:t xml:space="preserve"> </w:t>
      </w:r>
      <w:r>
        <w:t>de</w:t>
      </w:r>
      <w:r w:rsidRPr="002C4077">
        <w:t xml:space="preserve"> </w:t>
      </w:r>
      <w:r>
        <w:t>démontrer</w:t>
      </w:r>
      <w:r w:rsidRPr="002C4077">
        <w:t xml:space="preserve"> </w:t>
      </w:r>
      <w:r>
        <w:t>victorieusement</w:t>
      </w:r>
      <w:r w:rsidRPr="002C4077">
        <w:t xml:space="preserve"> </w:t>
      </w:r>
      <w:r>
        <w:t>que</w:t>
      </w:r>
      <w:r w:rsidRPr="002C4077">
        <w:t xml:space="preserve"> </w:t>
      </w:r>
      <w:r>
        <w:t>l’histoire</w:t>
      </w:r>
      <w:r w:rsidRPr="002C4077">
        <w:t xml:space="preserve"> </w:t>
      </w:r>
      <w:r>
        <w:t>de</w:t>
      </w:r>
      <w:r w:rsidRPr="002C4077">
        <w:t xml:space="preserve"> </w:t>
      </w:r>
      <w:r>
        <w:t>la</w:t>
      </w:r>
      <w:r w:rsidRPr="002C4077">
        <w:t xml:space="preserve"> </w:t>
      </w:r>
      <w:r>
        <w:t>femme</w:t>
      </w:r>
      <w:r w:rsidRPr="002C4077">
        <w:t xml:space="preserve"> </w:t>
      </w:r>
      <w:r>
        <w:t>adultère,</w:t>
      </w:r>
      <w:r w:rsidRPr="002C4077">
        <w:t xml:space="preserve"> </w:t>
      </w:r>
      <w:r>
        <w:t>la</w:t>
      </w:r>
      <w:r w:rsidRPr="002C4077">
        <w:t xml:space="preserve"> </w:t>
      </w:r>
      <w:r>
        <w:t>fin</w:t>
      </w:r>
      <w:r w:rsidRPr="002C4077">
        <w:t xml:space="preserve"> </w:t>
      </w:r>
      <w:r>
        <w:t>du</w:t>
      </w:r>
      <w:r w:rsidRPr="002C4077">
        <w:t xml:space="preserve"> </w:t>
      </w:r>
      <w:r>
        <w:t>second</w:t>
      </w:r>
      <w:r w:rsidRPr="002C4077">
        <w:t xml:space="preserve"> </w:t>
      </w:r>
      <w:r>
        <w:t>évangile</w:t>
      </w:r>
      <w:r w:rsidRPr="002C4077">
        <w:t xml:space="preserve"> </w:t>
      </w:r>
      <w:r>
        <w:t>et</w:t>
      </w:r>
      <w:r w:rsidRPr="002C4077">
        <w:t xml:space="preserve"> </w:t>
      </w:r>
      <w:r>
        <w:t>le</w:t>
      </w:r>
      <w:r w:rsidRPr="002C4077">
        <w:t xml:space="preserve"> </w:t>
      </w:r>
      <w:r w:rsidRPr="000A34B5">
        <w:rPr>
          <w:rStyle w:val="italicus"/>
        </w:rPr>
        <w:t>Co</w:t>
      </w:r>
      <w:r w:rsidR="001730C6" w:rsidRPr="000A34B5">
        <w:rPr>
          <w:rStyle w:val="italicus"/>
        </w:rPr>
        <w:t>mm</w:t>
      </w:r>
      <w:r w:rsidRPr="000A34B5">
        <w:rPr>
          <w:rStyle w:val="italicus"/>
        </w:rPr>
        <w:t>a</w:t>
      </w:r>
      <w:r w:rsidRPr="002C4077">
        <w:t xml:space="preserve"> </w:t>
      </w:r>
      <w:r w:rsidR="00FB4E2C" w:rsidRPr="000A34B5">
        <w:rPr>
          <w:rStyle w:val="italicus"/>
        </w:rPr>
        <w:t>Joannéum</w:t>
      </w:r>
      <w:r w:rsidRPr="002C4077">
        <w:t xml:space="preserve"> </w:t>
      </w:r>
      <w:r>
        <w:t>ont</w:t>
      </w:r>
      <w:r w:rsidRPr="002C4077">
        <w:t xml:space="preserve"> </w:t>
      </w:r>
      <w:r>
        <w:t>toujours</w:t>
      </w:r>
      <w:r w:rsidRPr="002C4077">
        <w:t xml:space="preserve"> </w:t>
      </w:r>
      <w:r>
        <w:t>fait</w:t>
      </w:r>
      <w:r w:rsidRPr="002C4077">
        <w:t xml:space="preserve"> </w:t>
      </w:r>
      <w:r>
        <w:t>partie</w:t>
      </w:r>
      <w:r w:rsidRPr="002C4077">
        <w:t xml:space="preserve"> </w:t>
      </w:r>
      <w:r>
        <w:t>intégrante</w:t>
      </w:r>
      <w:r w:rsidRPr="002C4077">
        <w:t xml:space="preserve"> </w:t>
      </w:r>
      <w:r>
        <w:t>de</w:t>
      </w:r>
      <w:r w:rsidRPr="002C4077">
        <w:t xml:space="preserve"> </w:t>
      </w:r>
      <w:r>
        <w:t>la</w:t>
      </w:r>
      <w:r w:rsidRPr="002C4077">
        <w:t xml:space="preserve"> </w:t>
      </w:r>
      <w:r>
        <w:t>Sainte</w:t>
      </w:r>
      <w:r w:rsidRPr="002C4077">
        <w:t xml:space="preserve"> </w:t>
      </w:r>
      <w:r>
        <w:t>Écriture</w:t>
      </w:r>
      <w:r w:rsidR="00B91AF7">
        <w:rPr>
          <w:rStyle w:val="Appelnotedebasdep"/>
        </w:rPr>
        <w:footnoteReference w:id="649"/>
      </w:r>
      <w:r>
        <w:t>.</w:t>
      </w:r>
      <w:r w:rsidR="00422B3A">
        <w:t xml:space="preserve"> </w:t>
      </w:r>
    </w:p>
    <w:p w:rsidR="000A7AAB" w:rsidRPr="001F5257" w:rsidRDefault="000A7AAB" w:rsidP="000A7AAB">
      <w:r>
        <w:t>D’assez</w:t>
      </w:r>
      <w:r w:rsidRPr="002C4077">
        <w:t xml:space="preserve"> </w:t>
      </w:r>
      <w:r>
        <w:t>bonne</w:t>
      </w:r>
      <w:r w:rsidRPr="002C4077">
        <w:t xml:space="preserve"> </w:t>
      </w:r>
      <w:r>
        <w:t>heure,</w:t>
      </w:r>
      <w:r w:rsidRPr="002C4077">
        <w:t xml:space="preserve"> </w:t>
      </w:r>
      <w:r>
        <w:t>le</w:t>
      </w:r>
      <w:r w:rsidRPr="002C4077">
        <w:t xml:space="preserve"> </w:t>
      </w:r>
      <w:r>
        <w:t>comité</w:t>
      </w:r>
      <w:r w:rsidRPr="002C4077">
        <w:t xml:space="preserve"> </w:t>
      </w:r>
      <w:r>
        <w:t>s’adjoignait</w:t>
      </w:r>
      <w:r w:rsidRPr="002C4077">
        <w:t xml:space="preserve"> </w:t>
      </w:r>
      <w:r>
        <w:t>un</w:t>
      </w:r>
      <w:r w:rsidRPr="002C4077">
        <w:t xml:space="preserve"> </w:t>
      </w:r>
      <w:r>
        <w:t>certain</w:t>
      </w:r>
      <w:r w:rsidRPr="002C4077">
        <w:t xml:space="preserve"> </w:t>
      </w:r>
      <w:r>
        <w:t>nombre</w:t>
      </w:r>
      <w:r w:rsidRPr="002C4077">
        <w:t xml:space="preserve"> </w:t>
      </w:r>
      <w:r>
        <w:t>de</w:t>
      </w:r>
      <w:r w:rsidRPr="002C4077">
        <w:t xml:space="preserve"> </w:t>
      </w:r>
      <w:r>
        <w:t>théologiens</w:t>
      </w:r>
      <w:r w:rsidRPr="002C4077">
        <w:t xml:space="preserve"> </w:t>
      </w:r>
      <w:r>
        <w:t>américains,</w:t>
      </w:r>
      <w:r w:rsidRPr="002C4077">
        <w:t xml:space="preserve"> </w:t>
      </w:r>
      <w:r>
        <w:t>avec</w:t>
      </w:r>
      <w:r w:rsidRPr="002C4077">
        <w:t xml:space="preserve"> </w:t>
      </w:r>
      <w:r>
        <w:t>lesquels</w:t>
      </w:r>
      <w:r w:rsidRPr="002C4077">
        <w:t xml:space="preserve"> </w:t>
      </w:r>
      <w:r>
        <w:t>il</w:t>
      </w:r>
      <w:r w:rsidRPr="002C4077">
        <w:t xml:space="preserve"> </w:t>
      </w:r>
      <w:r>
        <w:t>maintint</w:t>
      </w:r>
      <w:r w:rsidRPr="002C4077">
        <w:t xml:space="preserve"> </w:t>
      </w:r>
      <w:r>
        <w:t>de</w:t>
      </w:r>
      <w:r w:rsidRPr="002C4077">
        <w:t xml:space="preserve"> </w:t>
      </w:r>
      <w:r>
        <w:t>perpétuelles</w:t>
      </w:r>
      <w:r w:rsidRPr="002C4077">
        <w:t xml:space="preserve"> </w:t>
      </w:r>
      <w:r>
        <w:t>communications</w:t>
      </w:r>
      <w:r w:rsidRPr="002C4077">
        <w:t xml:space="preserve"> </w:t>
      </w:r>
      <w:r>
        <w:t>à</w:t>
      </w:r>
      <w:r w:rsidRPr="002C4077">
        <w:t xml:space="preserve"> </w:t>
      </w:r>
      <w:r>
        <w:t>travers</w:t>
      </w:r>
      <w:r w:rsidRPr="002C4077">
        <w:t xml:space="preserve"> </w:t>
      </w:r>
      <w:r>
        <w:t>l’Océan.</w:t>
      </w:r>
      <w:r w:rsidRPr="002C4077">
        <w:t xml:space="preserve"> </w:t>
      </w:r>
      <w:r>
        <w:t>Où</w:t>
      </w:r>
      <w:r w:rsidRPr="002C4077">
        <w:t xml:space="preserve"> </w:t>
      </w:r>
      <w:r>
        <w:t>ne</w:t>
      </w:r>
      <w:r w:rsidRPr="002C4077">
        <w:t xml:space="preserve"> </w:t>
      </w:r>
      <w:r>
        <w:t>se</w:t>
      </w:r>
      <w:r w:rsidRPr="002C4077">
        <w:t xml:space="preserve"> </w:t>
      </w:r>
      <w:r>
        <w:t>serait-il</w:t>
      </w:r>
      <w:r w:rsidRPr="002C4077">
        <w:t xml:space="preserve"> </w:t>
      </w:r>
      <w:r>
        <w:t>pas</w:t>
      </w:r>
      <w:r w:rsidRPr="002C4077">
        <w:t xml:space="preserve"> </w:t>
      </w:r>
      <w:r>
        <w:t>laissé</w:t>
      </w:r>
      <w:r w:rsidRPr="002C4077">
        <w:t xml:space="preserve"> </w:t>
      </w:r>
      <w:r>
        <w:t>conduire,</w:t>
      </w:r>
      <w:r w:rsidRPr="002C4077">
        <w:t xml:space="preserve"> </w:t>
      </w:r>
      <w:r>
        <w:t>s’il</w:t>
      </w:r>
      <w:r w:rsidRPr="002C4077">
        <w:t xml:space="preserve"> </w:t>
      </w:r>
      <w:r>
        <w:t>eût</w:t>
      </w:r>
      <w:r w:rsidRPr="002C4077">
        <w:t xml:space="preserve"> </w:t>
      </w:r>
      <w:r>
        <w:t>docilement</w:t>
      </w:r>
      <w:r w:rsidRPr="002C4077">
        <w:t xml:space="preserve"> </w:t>
      </w:r>
      <w:r>
        <w:t>obéi</w:t>
      </w:r>
      <w:r w:rsidRPr="002C4077">
        <w:t xml:space="preserve"> </w:t>
      </w:r>
      <w:r>
        <w:t>à</w:t>
      </w:r>
      <w:r w:rsidRPr="002C4077">
        <w:t xml:space="preserve"> </w:t>
      </w:r>
      <w:r>
        <w:t>toutes</w:t>
      </w:r>
      <w:r w:rsidRPr="002C4077">
        <w:t xml:space="preserve"> </w:t>
      </w:r>
      <w:r>
        <w:t>les</w:t>
      </w:r>
      <w:r w:rsidRPr="002C4077">
        <w:t xml:space="preserve"> </w:t>
      </w:r>
      <w:r>
        <w:t>suggestions</w:t>
      </w:r>
      <w:r w:rsidRPr="002C4077">
        <w:t xml:space="preserve"> </w:t>
      </w:r>
      <w:r>
        <w:t>de</w:t>
      </w:r>
      <w:r w:rsidRPr="002C4077">
        <w:t xml:space="preserve"> </w:t>
      </w:r>
      <w:r>
        <w:t>ces</w:t>
      </w:r>
      <w:r w:rsidRPr="002C4077">
        <w:t xml:space="preserve"> </w:t>
      </w:r>
      <w:r w:rsidRPr="000A34B5">
        <w:rPr>
          <w:rStyle w:val="italicus"/>
        </w:rPr>
        <w:t>Yankees</w:t>
      </w:r>
      <w:r w:rsidR="00B546AF">
        <w:rPr>
          <w:rStyle w:val="italicus"/>
        </w:rPr>
        <w:t> </w:t>
      </w:r>
      <w:r w:rsidR="00B546AF" w:rsidRPr="000A34B5">
        <w:rPr>
          <w:rStyle w:val="italicus"/>
        </w:rPr>
        <w:t>?</w:t>
      </w:r>
      <w:r w:rsidRPr="002C4077">
        <w:t xml:space="preserve"> </w:t>
      </w:r>
      <w:r>
        <w:t>Le</w:t>
      </w:r>
      <w:r w:rsidRPr="002C4077">
        <w:t xml:space="preserve"> </w:t>
      </w:r>
      <w:r w:rsidRPr="000A34B5">
        <w:rPr>
          <w:rStyle w:val="italicus"/>
        </w:rPr>
        <w:t>Go</w:t>
      </w:r>
      <w:r w:rsidRPr="002C4077">
        <w:t xml:space="preserve"> </w:t>
      </w:r>
      <w:r w:rsidRPr="000A34B5">
        <w:rPr>
          <w:rStyle w:val="italicus"/>
        </w:rPr>
        <w:t>ahead</w:t>
      </w:r>
      <w:r w:rsidR="006E7907">
        <w:rPr>
          <w:rStyle w:val="Appelnotedebasdep"/>
          <w:i/>
        </w:rPr>
        <w:footnoteReference w:id="650"/>
      </w:r>
      <w:r w:rsidRPr="002C4077">
        <w:t xml:space="preserve"> </w:t>
      </w:r>
      <w:r>
        <w:t>américain</w:t>
      </w:r>
      <w:r w:rsidRPr="002C4077">
        <w:t xml:space="preserve"> </w:t>
      </w:r>
      <w:r>
        <w:t>aurait</w:t>
      </w:r>
      <w:r w:rsidRPr="002C4077">
        <w:t xml:space="preserve"> </w:t>
      </w:r>
      <w:r>
        <w:t>voulu</w:t>
      </w:r>
      <w:r w:rsidRPr="002C4077">
        <w:t xml:space="preserve"> </w:t>
      </w:r>
      <w:r>
        <w:t>qu’on</w:t>
      </w:r>
      <w:r w:rsidRPr="002C4077">
        <w:t xml:space="preserve"> </w:t>
      </w:r>
      <w:r>
        <w:lastRenderedPageBreak/>
        <w:t>supprimât</w:t>
      </w:r>
      <w:r w:rsidRPr="002C4077">
        <w:t xml:space="preserve"> </w:t>
      </w:r>
      <w:r>
        <w:t>l’abréviation</w:t>
      </w:r>
      <w:r w:rsidRPr="002C4077">
        <w:t xml:space="preserve"> </w:t>
      </w:r>
      <w:r>
        <w:t>S.</w:t>
      </w:r>
      <w:r w:rsidRPr="004440EA">
        <w:t xml:space="preserve"> (</w:t>
      </w:r>
      <w:r>
        <w:t>équivalant</w:t>
      </w:r>
      <w:r w:rsidRPr="002C4077">
        <w:t xml:space="preserve"> </w:t>
      </w:r>
      <w:r>
        <w:t>à</w:t>
      </w:r>
      <w:r w:rsidRPr="002C4077">
        <w:t xml:space="preserve"> </w:t>
      </w:r>
      <w:r>
        <w:t>Saint</w:t>
      </w:r>
      <w:r w:rsidR="00B546AF" w:rsidRPr="002C4077">
        <w:t>)</w:t>
      </w:r>
      <w:r w:rsidRPr="00950016">
        <w:t>,</w:t>
      </w:r>
      <w:r w:rsidRPr="002C4077">
        <w:t xml:space="preserve"> </w:t>
      </w:r>
      <w:r>
        <w:t>traditionnellement</w:t>
      </w:r>
      <w:r w:rsidRPr="002C4077">
        <w:t xml:space="preserve"> </w:t>
      </w:r>
      <w:r>
        <w:t>placée</w:t>
      </w:r>
      <w:r w:rsidRPr="002C4077">
        <w:t xml:space="preserve"> </w:t>
      </w:r>
      <w:r>
        <w:t>devant</w:t>
      </w:r>
      <w:r w:rsidRPr="002C4077">
        <w:t xml:space="preserve"> </w:t>
      </w:r>
      <w:r>
        <w:t>le</w:t>
      </w:r>
      <w:r w:rsidRPr="002C4077">
        <w:t xml:space="preserve"> </w:t>
      </w:r>
      <w:r>
        <w:t>nom</w:t>
      </w:r>
      <w:r w:rsidRPr="002C4077">
        <w:t xml:space="preserve"> </w:t>
      </w:r>
      <w:r>
        <w:t>des</w:t>
      </w:r>
      <w:r w:rsidRPr="002C4077">
        <w:t xml:space="preserve"> </w:t>
      </w:r>
      <w:r>
        <w:t>évangélistes,</w:t>
      </w:r>
      <w:r w:rsidRPr="002C4077">
        <w:t xml:space="preserve"> </w:t>
      </w:r>
      <w:r>
        <w:t>et</w:t>
      </w:r>
      <w:r w:rsidRPr="002C4077">
        <w:t xml:space="preserve"> </w:t>
      </w:r>
      <w:r>
        <w:t>les</w:t>
      </w:r>
      <w:r w:rsidRPr="002C4077">
        <w:t xml:space="preserve"> </w:t>
      </w:r>
      <w:r>
        <w:t>mots</w:t>
      </w:r>
      <w:r w:rsidRPr="002C4077">
        <w:t xml:space="preserve"> </w:t>
      </w:r>
      <w:r w:rsidRPr="000A34B5">
        <w:rPr>
          <w:rStyle w:val="italicus"/>
        </w:rPr>
        <w:t>of</w:t>
      </w:r>
      <w:r w:rsidRPr="002C4077">
        <w:t xml:space="preserve"> </w:t>
      </w:r>
      <w:r w:rsidRPr="000A34B5">
        <w:rPr>
          <w:rStyle w:val="italicus"/>
        </w:rPr>
        <w:t>Paul</w:t>
      </w:r>
      <w:r w:rsidRPr="002C4077">
        <w:t xml:space="preserve"> </w:t>
      </w:r>
      <w:r w:rsidRPr="000A34B5">
        <w:rPr>
          <w:rStyle w:val="italicus"/>
        </w:rPr>
        <w:t>the</w:t>
      </w:r>
      <w:r w:rsidRPr="002C4077">
        <w:t xml:space="preserve"> </w:t>
      </w:r>
      <w:r w:rsidRPr="000A34B5">
        <w:rPr>
          <w:rStyle w:val="italicus"/>
        </w:rPr>
        <w:t>apostle</w:t>
      </w:r>
      <w:r w:rsidRPr="004440EA">
        <w:t xml:space="preserve"> (</w:t>
      </w:r>
      <w:r>
        <w:t>de</w:t>
      </w:r>
      <w:r w:rsidRPr="002C4077">
        <w:t xml:space="preserve"> </w:t>
      </w:r>
      <w:r>
        <w:t>l’apôtre</w:t>
      </w:r>
      <w:r w:rsidRPr="002C4077">
        <w:t xml:space="preserve"> </w:t>
      </w:r>
      <w:r>
        <w:t>Paul</w:t>
      </w:r>
      <w:r w:rsidR="00B546AF" w:rsidRPr="002C4077">
        <w:t>)</w:t>
      </w:r>
      <w:r w:rsidRPr="002C4077">
        <w:t xml:space="preserve"> </w:t>
      </w:r>
      <w:r>
        <w:t>qui</w:t>
      </w:r>
      <w:r w:rsidRPr="002C4077">
        <w:t xml:space="preserve"> </w:t>
      </w:r>
      <w:r>
        <w:t>font</w:t>
      </w:r>
      <w:r w:rsidRPr="002C4077">
        <w:t xml:space="preserve"> </w:t>
      </w:r>
      <w:r>
        <w:t>partie</w:t>
      </w:r>
      <w:r w:rsidRPr="002C4077">
        <w:t xml:space="preserve"> </w:t>
      </w:r>
      <w:r>
        <w:t>du</w:t>
      </w:r>
      <w:r w:rsidRPr="002C4077">
        <w:t xml:space="preserve"> </w:t>
      </w:r>
      <w:r>
        <w:t>titre</w:t>
      </w:r>
      <w:r w:rsidRPr="002C4077">
        <w:t xml:space="preserve"> </w:t>
      </w:r>
      <w:r>
        <w:t>de</w:t>
      </w:r>
      <w:r w:rsidRPr="002C4077">
        <w:t xml:space="preserve"> </w:t>
      </w:r>
      <w:r>
        <w:t>l’épître</w:t>
      </w:r>
      <w:r w:rsidRPr="002C4077">
        <w:t xml:space="preserve"> </w:t>
      </w:r>
      <w:r>
        <w:t>aux</w:t>
      </w:r>
      <w:r w:rsidRPr="002C4077">
        <w:t xml:space="preserve"> </w:t>
      </w:r>
      <w:r>
        <w:t>Hébreux.</w:t>
      </w:r>
      <w:r w:rsidRPr="002C4077">
        <w:t xml:space="preserve"> </w:t>
      </w:r>
      <w:r>
        <w:t>Les</w:t>
      </w:r>
      <w:r w:rsidRPr="002C4077">
        <w:t xml:space="preserve"> </w:t>
      </w:r>
      <w:r>
        <w:t>correcteurs</w:t>
      </w:r>
      <w:r w:rsidRPr="002C4077">
        <w:t xml:space="preserve"> </w:t>
      </w:r>
      <w:r>
        <w:t>anglais</w:t>
      </w:r>
      <w:r w:rsidRPr="002C4077">
        <w:t xml:space="preserve"> </w:t>
      </w:r>
      <w:r>
        <w:t>n’agréèrent</w:t>
      </w:r>
      <w:r w:rsidRPr="002C4077">
        <w:t xml:space="preserve"> </w:t>
      </w:r>
      <w:r>
        <w:t>point</w:t>
      </w:r>
      <w:r w:rsidRPr="002C4077">
        <w:t xml:space="preserve"> </w:t>
      </w:r>
      <w:r>
        <w:t>de</w:t>
      </w:r>
      <w:r w:rsidRPr="002C4077">
        <w:t xml:space="preserve"> </w:t>
      </w:r>
      <w:r>
        <w:t>telles</w:t>
      </w:r>
      <w:r w:rsidRPr="002C4077">
        <w:t xml:space="preserve"> </w:t>
      </w:r>
      <w:r w:rsidR="00B546AF">
        <w:t>« </w:t>
      </w:r>
      <w:r>
        <w:t>améliorations</w:t>
      </w:r>
      <w:r w:rsidR="00B546AF">
        <w:t> » ;</w:t>
      </w:r>
      <w:r w:rsidRPr="002C4077">
        <w:t xml:space="preserve"> </w:t>
      </w:r>
      <w:r>
        <w:t>par</w:t>
      </w:r>
      <w:r w:rsidRPr="002C4077">
        <w:t xml:space="preserve"> </w:t>
      </w:r>
      <w:r>
        <w:t>faiblesse,</w:t>
      </w:r>
      <w:r w:rsidRPr="002C4077">
        <w:t xml:space="preserve"> </w:t>
      </w:r>
      <w:r>
        <w:t>pourtant,</w:t>
      </w:r>
      <w:r w:rsidRPr="002C4077">
        <w:t xml:space="preserve"> </w:t>
      </w:r>
      <w:r>
        <w:t>ils</w:t>
      </w:r>
      <w:r w:rsidRPr="002C4077">
        <w:t xml:space="preserve"> </w:t>
      </w:r>
      <w:r>
        <w:t>consentirent</w:t>
      </w:r>
      <w:r w:rsidRPr="002C4077">
        <w:t xml:space="preserve"> </w:t>
      </w:r>
      <w:r>
        <w:t>à</w:t>
      </w:r>
      <w:r w:rsidRPr="002C4077">
        <w:t xml:space="preserve"> </w:t>
      </w:r>
      <w:r>
        <w:t>imprimer</w:t>
      </w:r>
      <w:r w:rsidRPr="002C4077">
        <w:t xml:space="preserve"> </w:t>
      </w:r>
      <w:r>
        <w:t>à</w:t>
      </w:r>
      <w:r w:rsidRPr="002C4077">
        <w:t xml:space="preserve"> </w:t>
      </w:r>
      <w:r>
        <w:t>la</w:t>
      </w:r>
      <w:r w:rsidRPr="002C4077">
        <w:t xml:space="preserve"> </w:t>
      </w:r>
      <w:r>
        <w:t>fin</w:t>
      </w:r>
      <w:r w:rsidRPr="002C4077">
        <w:t xml:space="preserve"> </w:t>
      </w:r>
      <w:r>
        <w:t>du</w:t>
      </w:r>
      <w:r w:rsidRPr="002C4077">
        <w:t xml:space="preserve"> </w:t>
      </w:r>
      <w:r>
        <w:t>volume</w:t>
      </w:r>
      <w:r w:rsidRPr="002C4077">
        <w:t xml:space="preserve"> </w:t>
      </w:r>
      <w:r>
        <w:t>ces</w:t>
      </w:r>
      <w:r w:rsidRPr="002C4077">
        <w:t xml:space="preserve"> </w:t>
      </w:r>
      <w:r w:rsidRPr="000A34B5">
        <w:rPr>
          <w:rStyle w:val="italicus"/>
        </w:rPr>
        <w:t>desi</w:t>
      </w:r>
      <w:r w:rsidR="003B53FD" w:rsidRPr="000A34B5">
        <w:rPr>
          <w:rStyle w:val="italicus"/>
        </w:rPr>
        <w:t>der</w:t>
      </w:r>
      <w:r w:rsidR="003B53FD">
        <w:rPr>
          <w:rStyle w:val="italicus"/>
        </w:rPr>
        <w:t>á</w:t>
      </w:r>
      <w:r w:rsidR="003B53FD" w:rsidRPr="000A34B5">
        <w:rPr>
          <w:rStyle w:val="italicus"/>
        </w:rPr>
        <w:t>ta</w:t>
      </w:r>
      <w:r w:rsidRPr="002C4077">
        <w:t xml:space="preserve"> </w:t>
      </w:r>
      <w:r>
        <w:t>du</w:t>
      </w:r>
      <w:r w:rsidRPr="002C4077">
        <w:t xml:space="preserve"> </w:t>
      </w:r>
      <w:r>
        <w:t>Nouveau</w:t>
      </w:r>
      <w:r w:rsidRPr="002C4077">
        <w:t xml:space="preserve"> </w:t>
      </w:r>
      <w:r>
        <w:t>Monde</w:t>
      </w:r>
      <w:r w:rsidR="00B91AF7">
        <w:rPr>
          <w:rStyle w:val="Appelnotedebasdep"/>
        </w:rPr>
        <w:footnoteReference w:id="651"/>
      </w:r>
      <w:r>
        <w:t>.</w:t>
      </w:r>
      <w:r w:rsidR="00C45B47">
        <w:t xml:space="preserve"> {</w:t>
      </w:r>
      <w:r w:rsidR="001F5257">
        <w:t>195</w:t>
      </w:r>
      <w:bookmarkStart w:id="494" w:name="p195"/>
      <w:bookmarkEnd w:id="494"/>
      <w:r w:rsidR="001F5257">
        <w:t xml:space="preserve">} </w:t>
      </w:r>
    </w:p>
    <w:p w:rsidR="000A7AAB" w:rsidRDefault="000A7AAB" w:rsidP="000A7AAB">
      <w:r>
        <w:t>Au</w:t>
      </w:r>
      <w:r w:rsidRPr="002C4077">
        <w:t xml:space="preserve"> </w:t>
      </w:r>
      <w:r>
        <w:t>reste,</w:t>
      </w:r>
      <w:r w:rsidRPr="002C4077">
        <w:t xml:space="preserve"> </w:t>
      </w:r>
      <w:r>
        <w:t>tout</w:t>
      </w:r>
      <w:r w:rsidRPr="002C4077">
        <w:t xml:space="preserve"> </w:t>
      </w:r>
      <w:r>
        <w:t>en</w:t>
      </w:r>
      <w:r w:rsidRPr="002C4077">
        <w:t xml:space="preserve"> </w:t>
      </w:r>
      <w:r>
        <w:t>signalant</w:t>
      </w:r>
      <w:r w:rsidRPr="002C4077">
        <w:t xml:space="preserve"> </w:t>
      </w:r>
      <w:r>
        <w:t>ces</w:t>
      </w:r>
      <w:r w:rsidRPr="002C4077">
        <w:t xml:space="preserve"> </w:t>
      </w:r>
      <w:r>
        <w:t>défauts,</w:t>
      </w:r>
      <w:r w:rsidRPr="002C4077">
        <w:t xml:space="preserve"> </w:t>
      </w:r>
      <w:r>
        <w:t>nous</w:t>
      </w:r>
      <w:r w:rsidRPr="002C4077">
        <w:t xml:space="preserve"> </w:t>
      </w:r>
      <w:r>
        <w:t>rendons</w:t>
      </w:r>
      <w:r w:rsidRPr="002C4077">
        <w:t xml:space="preserve"> </w:t>
      </w:r>
      <w:r>
        <w:t>volontiers</w:t>
      </w:r>
      <w:r w:rsidRPr="002C4077">
        <w:t xml:space="preserve"> </w:t>
      </w:r>
      <w:r>
        <w:t>justice</w:t>
      </w:r>
      <w:r w:rsidRPr="002C4077">
        <w:t xml:space="preserve"> </w:t>
      </w:r>
      <w:r>
        <w:t>à</w:t>
      </w:r>
      <w:r w:rsidRPr="002C4077">
        <w:t xml:space="preserve"> </w:t>
      </w:r>
      <w:r>
        <w:t>l’esprit</w:t>
      </w:r>
      <w:r w:rsidRPr="002C4077">
        <w:t xml:space="preserve"> </w:t>
      </w:r>
      <w:r>
        <w:t>de</w:t>
      </w:r>
      <w:r w:rsidRPr="002C4077">
        <w:t xml:space="preserve"> </w:t>
      </w:r>
      <w:r>
        <w:t>religion</w:t>
      </w:r>
      <w:r w:rsidRPr="002C4077">
        <w:t xml:space="preserve"> </w:t>
      </w:r>
      <w:r>
        <w:t>qui</w:t>
      </w:r>
      <w:r w:rsidRPr="002C4077">
        <w:t xml:space="preserve"> </w:t>
      </w:r>
      <w:r>
        <w:t>semble</w:t>
      </w:r>
      <w:r w:rsidRPr="002C4077">
        <w:t xml:space="preserve"> </w:t>
      </w:r>
      <w:r>
        <w:t>avoir</w:t>
      </w:r>
      <w:r w:rsidRPr="002C4077">
        <w:t xml:space="preserve"> </w:t>
      </w:r>
      <w:r>
        <w:t>animé</w:t>
      </w:r>
      <w:r w:rsidRPr="002C4077">
        <w:t xml:space="preserve"> </w:t>
      </w:r>
      <w:r>
        <w:t>la</w:t>
      </w:r>
      <w:r w:rsidRPr="002C4077">
        <w:t xml:space="preserve"> </w:t>
      </w:r>
      <w:r>
        <w:t>majorité</w:t>
      </w:r>
      <w:r w:rsidRPr="002C4077">
        <w:t xml:space="preserve"> </w:t>
      </w:r>
      <w:r>
        <w:t>des</w:t>
      </w:r>
      <w:r w:rsidRPr="002C4077">
        <w:t xml:space="preserve"> </w:t>
      </w:r>
      <w:r>
        <w:t>réviseurs.</w:t>
      </w:r>
      <w:r w:rsidRPr="002C4077">
        <w:t xml:space="preserve"> </w:t>
      </w:r>
      <w:r w:rsidR="00B546AF">
        <w:t>« </w:t>
      </w:r>
      <w:r>
        <w:t>Nous</w:t>
      </w:r>
      <w:r w:rsidRPr="002C4077">
        <w:t xml:space="preserve"> </w:t>
      </w:r>
      <w:r>
        <w:t>recommandons</w:t>
      </w:r>
      <w:r w:rsidRPr="002C4077">
        <w:t xml:space="preserve"> </w:t>
      </w:r>
      <w:r>
        <w:t>humblement</w:t>
      </w:r>
      <w:r w:rsidRPr="002C4077">
        <w:t xml:space="preserve"> </w:t>
      </w:r>
      <w:r>
        <w:t>nos</w:t>
      </w:r>
      <w:r w:rsidRPr="002C4077">
        <w:t xml:space="preserve"> </w:t>
      </w:r>
      <w:r>
        <w:t>travaux</w:t>
      </w:r>
      <w:r w:rsidRPr="002C4077">
        <w:t xml:space="preserve"> </w:t>
      </w:r>
      <w:r>
        <w:t>au</w:t>
      </w:r>
      <w:r w:rsidRPr="002C4077">
        <w:t xml:space="preserve"> </w:t>
      </w:r>
      <w:r>
        <w:t>Dieu</w:t>
      </w:r>
      <w:r w:rsidRPr="002C4077">
        <w:t xml:space="preserve"> </w:t>
      </w:r>
      <w:r>
        <w:t>tout-puissant,</w:t>
      </w:r>
      <w:r w:rsidRPr="002C4077">
        <w:t xml:space="preserve"> </w:t>
      </w:r>
      <w:r>
        <w:t>disent-ils</w:t>
      </w:r>
      <w:r w:rsidRPr="002C4077">
        <w:t xml:space="preserve"> </w:t>
      </w:r>
      <w:r>
        <w:t>en</w:t>
      </w:r>
      <w:r w:rsidRPr="002C4077">
        <w:t xml:space="preserve"> </w:t>
      </w:r>
      <w:r>
        <w:t>terminant</w:t>
      </w:r>
      <w:r w:rsidRPr="002C4077">
        <w:t xml:space="preserve"> </w:t>
      </w:r>
      <w:r>
        <w:t>leur</w:t>
      </w:r>
      <w:r w:rsidRPr="002C4077">
        <w:t xml:space="preserve"> </w:t>
      </w:r>
      <w:r>
        <w:t>préface</w:t>
      </w:r>
      <w:r w:rsidR="00B91AF7">
        <w:rPr>
          <w:rStyle w:val="Appelnotedebasdep"/>
        </w:rPr>
        <w:footnoteReference w:id="652"/>
      </w:r>
      <w:r>
        <w:t>,</w:t>
      </w:r>
      <w:r w:rsidRPr="002C4077">
        <w:t xml:space="preserve"> </w:t>
      </w:r>
      <w:r>
        <w:t>et</w:t>
      </w:r>
      <w:r w:rsidRPr="002C4077">
        <w:t xml:space="preserve"> </w:t>
      </w:r>
      <w:r>
        <w:t>nous</w:t>
      </w:r>
      <w:r w:rsidRPr="002C4077">
        <w:t xml:space="preserve"> </w:t>
      </w:r>
      <w:r>
        <w:t>le</w:t>
      </w:r>
      <w:r w:rsidRPr="002C4077">
        <w:t xml:space="preserve"> </w:t>
      </w:r>
      <w:r>
        <w:t>prions</w:t>
      </w:r>
      <w:r w:rsidRPr="002C4077">
        <w:t xml:space="preserve"> </w:t>
      </w:r>
      <w:r>
        <w:t>de</w:t>
      </w:r>
      <w:r w:rsidRPr="002C4077">
        <w:t xml:space="preserve"> </w:t>
      </w:r>
      <w:r>
        <w:t>répandre</w:t>
      </w:r>
      <w:r w:rsidRPr="002C4077">
        <w:t xml:space="preserve"> </w:t>
      </w:r>
      <w:r>
        <w:t>sa</w:t>
      </w:r>
      <w:r w:rsidRPr="002C4077">
        <w:t xml:space="preserve"> </w:t>
      </w:r>
      <w:r>
        <w:t>faveur</w:t>
      </w:r>
      <w:r w:rsidRPr="002C4077">
        <w:t xml:space="preserve"> </w:t>
      </w:r>
      <w:r>
        <w:t>et</w:t>
      </w:r>
      <w:r w:rsidRPr="002C4077">
        <w:t xml:space="preserve"> </w:t>
      </w:r>
      <w:r>
        <w:t>sa</w:t>
      </w:r>
      <w:r w:rsidRPr="002C4077">
        <w:t xml:space="preserve"> </w:t>
      </w:r>
      <w:r>
        <w:t>bénédiction</w:t>
      </w:r>
      <w:r w:rsidRPr="002C4077">
        <w:t xml:space="preserve"> </w:t>
      </w:r>
      <w:r>
        <w:t>sur</w:t>
      </w:r>
      <w:r w:rsidRPr="002C4077">
        <w:t xml:space="preserve"> </w:t>
      </w:r>
      <w:r>
        <w:t>ce</w:t>
      </w:r>
      <w:r w:rsidRPr="002C4077">
        <w:t xml:space="preserve"> </w:t>
      </w:r>
      <w:r>
        <w:t>qui</w:t>
      </w:r>
      <w:r w:rsidRPr="002C4077">
        <w:t xml:space="preserve"> </w:t>
      </w:r>
      <w:r>
        <w:t>a</w:t>
      </w:r>
      <w:r w:rsidRPr="002C4077">
        <w:t xml:space="preserve"> </w:t>
      </w:r>
      <w:r>
        <w:t>été</w:t>
      </w:r>
      <w:r w:rsidRPr="002C4077">
        <w:t xml:space="preserve"> </w:t>
      </w:r>
      <w:r>
        <w:t>fait</w:t>
      </w:r>
      <w:r w:rsidRPr="002C4077">
        <w:t xml:space="preserve"> </w:t>
      </w:r>
      <w:r>
        <w:t>en</w:t>
      </w:r>
      <w:r w:rsidRPr="002C4077">
        <w:t xml:space="preserve"> </w:t>
      </w:r>
      <w:r>
        <w:t>son</w:t>
      </w:r>
      <w:r w:rsidRPr="002C4077">
        <w:t xml:space="preserve"> </w:t>
      </w:r>
      <w:r>
        <w:t>nom…</w:t>
      </w:r>
      <w:r w:rsidRPr="002C4077">
        <w:t xml:space="preserve"> </w:t>
      </w:r>
      <w:r>
        <w:t>Nous</w:t>
      </w:r>
      <w:r w:rsidRPr="002C4077">
        <w:t xml:space="preserve"> </w:t>
      </w:r>
      <w:r>
        <w:t>avons</w:t>
      </w:r>
      <w:r w:rsidRPr="002C4077">
        <w:t xml:space="preserve"> </w:t>
      </w:r>
      <w:r>
        <w:t>senti</w:t>
      </w:r>
      <w:r w:rsidRPr="002C4077">
        <w:t xml:space="preserve"> </w:t>
      </w:r>
      <w:r>
        <w:t>de</w:t>
      </w:r>
      <w:r w:rsidRPr="002C4077">
        <w:t xml:space="preserve"> </w:t>
      </w:r>
      <w:r>
        <w:t>plus</w:t>
      </w:r>
      <w:r w:rsidRPr="002C4077">
        <w:t xml:space="preserve"> </w:t>
      </w:r>
      <w:r>
        <w:t>en</w:t>
      </w:r>
      <w:r w:rsidRPr="002C4077">
        <w:t xml:space="preserve"> </w:t>
      </w:r>
      <w:r>
        <w:t>plus,</w:t>
      </w:r>
      <w:r w:rsidRPr="002C4077">
        <w:t xml:space="preserve"> </w:t>
      </w:r>
      <w:r>
        <w:t>à</w:t>
      </w:r>
      <w:r w:rsidRPr="002C4077">
        <w:t xml:space="preserve"> </w:t>
      </w:r>
      <w:r>
        <w:t>mesure</w:t>
      </w:r>
      <w:r w:rsidRPr="002C4077">
        <w:t xml:space="preserve"> </w:t>
      </w:r>
      <w:r>
        <w:t>que</w:t>
      </w:r>
      <w:r w:rsidRPr="002C4077">
        <w:t xml:space="preserve"> </w:t>
      </w:r>
      <w:r>
        <w:t>nous</w:t>
      </w:r>
      <w:r w:rsidRPr="002C4077">
        <w:t xml:space="preserve"> </w:t>
      </w:r>
      <w:r>
        <w:t>avancions,</w:t>
      </w:r>
      <w:r w:rsidRPr="002C4077">
        <w:t xml:space="preserve"> </w:t>
      </w:r>
      <w:r>
        <w:t>qu’un</w:t>
      </w:r>
      <w:r w:rsidRPr="002C4077">
        <w:t xml:space="preserve"> </w:t>
      </w:r>
      <w:r>
        <w:t>travail</w:t>
      </w:r>
      <w:r w:rsidRPr="002C4077">
        <w:t xml:space="preserve"> </w:t>
      </w:r>
      <w:r>
        <w:t>de</w:t>
      </w:r>
      <w:r w:rsidRPr="002C4077">
        <w:t xml:space="preserve"> </w:t>
      </w:r>
      <w:r>
        <w:t>ce</w:t>
      </w:r>
      <w:r w:rsidRPr="002C4077">
        <w:t xml:space="preserve"> </w:t>
      </w:r>
      <w:r>
        <w:t>genre</w:t>
      </w:r>
      <w:r w:rsidRPr="002C4077">
        <w:t xml:space="preserve"> </w:t>
      </w:r>
      <w:r>
        <w:t>ne</w:t>
      </w:r>
      <w:r w:rsidRPr="002C4077">
        <w:t xml:space="preserve"> </w:t>
      </w:r>
      <w:r>
        <w:t>saurait</w:t>
      </w:r>
      <w:r w:rsidRPr="002C4077">
        <w:t xml:space="preserve"> </w:t>
      </w:r>
      <w:r>
        <w:t>être</w:t>
      </w:r>
      <w:r w:rsidRPr="002C4077">
        <w:t xml:space="preserve"> </w:t>
      </w:r>
      <w:r>
        <w:t>accompli</w:t>
      </w:r>
      <w:r w:rsidRPr="002C4077">
        <w:t xml:space="preserve"> </w:t>
      </w:r>
      <w:r>
        <w:t>par</w:t>
      </w:r>
      <w:r w:rsidRPr="002C4077">
        <w:t xml:space="preserve"> </w:t>
      </w:r>
      <w:r>
        <w:t>les</w:t>
      </w:r>
      <w:r w:rsidRPr="002C4077">
        <w:t xml:space="preserve"> </w:t>
      </w:r>
      <w:r>
        <w:t>efforts</w:t>
      </w:r>
      <w:r w:rsidRPr="002C4077">
        <w:t xml:space="preserve"> </w:t>
      </w:r>
      <w:r>
        <w:t>les</w:t>
      </w:r>
      <w:r w:rsidRPr="002C4077">
        <w:t xml:space="preserve"> </w:t>
      </w:r>
      <w:r>
        <w:t>mieux</w:t>
      </w:r>
      <w:r w:rsidRPr="002C4077">
        <w:t xml:space="preserve"> </w:t>
      </w:r>
      <w:r>
        <w:t>combinés</w:t>
      </w:r>
      <w:r w:rsidRPr="002C4077">
        <w:t xml:space="preserve"> </w:t>
      </w:r>
      <w:r>
        <w:t>de</w:t>
      </w:r>
      <w:r w:rsidRPr="002C4077">
        <w:t xml:space="preserve"> </w:t>
      </w:r>
      <w:r>
        <w:t>la</w:t>
      </w:r>
      <w:r w:rsidRPr="002C4077">
        <w:t xml:space="preserve"> </w:t>
      </w:r>
      <w:r>
        <w:t>science</w:t>
      </w:r>
      <w:r w:rsidRPr="002C4077">
        <w:t xml:space="preserve"> </w:t>
      </w:r>
      <w:r>
        <w:t>et</w:t>
      </w:r>
      <w:r w:rsidRPr="002C4077">
        <w:t xml:space="preserve"> </w:t>
      </w:r>
      <w:r>
        <w:t>de</w:t>
      </w:r>
      <w:r w:rsidRPr="002C4077">
        <w:t xml:space="preserve"> </w:t>
      </w:r>
      <w:r>
        <w:t>la</w:t>
      </w:r>
      <w:r w:rsidRPr="002C4077">
        <w:t xml:space="preserve"> </w:t>
      </w:r>
      <w:r>
        <w:t>critique,</w:t>
      </w:r>
      <w:r w:rsidRPr="002C4077">
        <w:t xml:space="preserve"> </w:t>
      </w:r>
      <w:r>
        <w:t>indépendamment</w:t>
      </w:r>
      <w:r w:rsidRPr="002C4077">
        <w:t xml:space="preserve"> </w:t>
      </w:r>
      <w:r>
        <w:t>de</w:t>
      </w:r>
      <w:r w:rsidRPr="002C4077">
        <w:t xml:space="preserve"> </w:t>
      </w:r>
      <w:r>
        <w:t>l’assistance</w:t>
      </w:r>
      <w:r w:rsidRPr="002C4077">
        <w:t xml:space="preserve"> </w:t>
      </w:r>
      <w:r>
        <w:t>divine…</w:t>
      </w:r>
      <w:r w:rsidRPr="002C4077">
        <w:t xml:space="preserve"> </w:t>
      </w:r>
      <w:r>
        <w:t>Aussi,</w:t>
      </w:r>
      <w:r w:rsidRPr="002C4077">
        <w:t xml:space="preserve"> </w:t>
      </w:r>
      <w:r>
        <w:t>tandis</w:t>
      </w:r>
      <w:r w:rsidRPr="002C4077">
        <w:t xml:space="preserve"> </w:t>
      </w:r>
      <w:r>
        <w:t>que</w:t>
      </w:r>
      <w:r w:rsidRPr="002C4077">
        <w:t xml:space="preserve"> </w:t>
      </w:r>
      <w:r>
        <w:t>nous</w:t>
      </w:r>
      <w:r w:rsidRPr="002C4077">
        <w:t xml:space="preserve"> </w:t>
      </w:r>
      <w:r>
        <w:t>jetons</w:t>
      </w:r>
      <w:r w:rsidRPr="002C4077">
        <w:t xml:space="preserve"> </w:t>
      </w:r>
      <w:r>
        <w:t>un</w:t>
      </w:r>
      <w:r w:rsidRPr="002C4077">
        <w:t xml:space="preserve"> </w:t>
      </w:r>
      <w:r>
        <w:t>coup</w:t>
      </w:r>
      <w:r w:rsidRPr="002C4077">
        <w:t xml:space="preserve"> </w:t>
      </w:r>
      <w:r>
        <w:t>d’œil</w:t>
      </w:r>
      <w:r w:rsidRPr="002C4077">
        <w:t xml:space="preserve"> </w:t>
      </w:r>
      <w:r>
        <w:t>rétrospectif</w:t>
      </w:r>
      <w:r w:rsidRPr="002C4077">
        <w:t xml:space="preserve"> </w:t>
      </w:r>
      <w:r>
        <w:t>sur</w:t>
      </w:r>
      <w:r w:rsidRPr="002C4077">
        <w:t xml:space="preserve"> </w:t>
      </w:r>
      <w:r>
        <w:t>l’œuvre</w:t>
      </w:r>
      <w:r w:rsidRPr="002C4077">
        <w:t xml:space="preserve"> </w:t>
      </w:r>
      <w:r>
        <w:t>qu’il</w:t>
      </w:r>
      <w:r w:rsidRPr="002C4077">
        <w:t xml:space="preserve"> </w:t>
      </w:r>
      <w:r>
        <w:t>nous</w:t>
      </w:r>
      <w:r w:rsidRPr="002C4077">
        <w:t xml:space="preserve"> </w:t>
      </w:r>
      <w:r>
        <w:t>a</w:t>
      </w:r>
      <w:r w:rsidRPr="002C4077">
        <w:t xml:space="preserve"> </w:t>
      </w:r>
      <w:r>
        <w:t>été</w:t>
      </w:r>
      <w:r w:rsidRPr="002C4077">
        <w:t xml:space="preserve"> </w:t>
      </w:r>
      <w:r>
        <w:t>donné</w:t>
      </w:r>
      <w:r w:rsidRPr="002C4077">
        <w:t xml:space="preserve"> </w:t>
      </w:r>
      <w:r>
        <w:t>d’achever,</w:t>
      </w:r>
      <w:r w:rsidRPr="002C4077">
        <w:t xml:space="preserve"> </w:t>
      </w:r>
      <w:r>
        <w:t>nos</w:t>
      </w:r>
      <w:r w:rsidRPr="002C4077">
        <w:t xml:space="preserve"> </w:t>
      </w:r>
      <w:r>
        <w:t>dernières</w:t>
      </w:r>
      <w:r w:rsidRPr="002C4077">
        <w:t xml:space="preserve"> </w:t>
      </w:r>
      <w:r>
        <w:t>paroles</w:t>
      </w:r>
      <w:r w:rsidRPr="002C4077">
        <w:t xml:space="preserve"> </w:t>
      </w:r>
      <w:r>
        <w:t>seront-elles</w:t>
      </w:r>
      <w:r w:rsidRPr="002C4077">
        <w:t xml:space="preserve"> </w:t>
      </w:r>
      <w:r>
        <w:t>des</w:t>
      </w:r>
      <w:r w:rsidRPr="002C4077">
        <w:t xml:space="preserve"> </w:t>
      </w:r>
      <w:r>
        <w:t>paroles</w:t>
      </w:r>
      <w:r w:rsidRPr="002C4077">
        <w:t xml:space="preserve"> </w:t>
      </w:r>
      <w:r>
        <w:t>tout</w:t>
      </w:r>
      <w:r w:rsidRPr="002C4077">
        <w:t xml:space="preserve"> </w:t>
      </w:r>
      <w:r>
        <w:t>à</w:t>
      </w:r>
      <w:r w:rsidRPr="002C4077">
        <w:t xml:space="preserve"> </w:t>
      </w:r>
      <w:r>
        <w:t>la</w:t>
      </w:r>
      <w:r w:rsidRPr="002C4077">
        <w:t xml:space="preserve"> </w:t>
      </w:r>
      <w:r>
        <w:t>fois</w:t>
      </w:r>
      <w:r w:rsidRPr="002C4077">
        <w:t xml:space="preserve"> </w:t>
      </w:r>
      <w:r>
        <w:t>d’action</w:t>
      </w:r>
      <w:r w:rsidRPr="002C4077">
        <w:t xml:space="preserve"> </w:t>
      </w:r>
      <w:r>
        <w:t>de</w:t>
      </w:r>
      <w:r w:rsidRPr="002C4077">
        <w:t xml:space="preserve"> </w:t>
      </w:r>
      <w:r>
        <w:t>grâces,</w:t>
      </w:r>
      <w:r w:rsidRPr="002C4077">
        <w:t xml:space="preserve"> </w:t>
      </w:r>
      <w:r>
        <w:t>d’humilité</w:t>
      </w:r>
      <w:r w:rsidRPr="002C4077">
        <w:t xml:space="preserve"> </w:t>
      </w:r>
      <w:r>
        <w:t>et</w:t>
      </w:r>
      <w:r w:rsidRPr="002C4077">
        <w:t xml:space="preserve"> </w:t>
      </w:r>
      <w:r>
        <w:t>de</w:t>
      </w:r>
      <w:r w:rsidRPr="002C4077">
        <w:t xml:space="preserve"> </w:t>
      </w:r>
      <w:r>
        <w:t>prières</w:t>
      </w:r>
      <w:r w:rsidR="00B546AF">
        <w:t> :</w:t>
      </w:r>
      <w:r w:rsidRPr="002C4077">
        <w:t xml:space="preserve"> </w:t>
      </w:r>
      <w:r>
        <w:t>d’action</w:t>
      </w:r>
      <w:r w:rsidRPr="002C4077">
        <w:t xml:space="preserve"> </w:t>
      </w:r>
      <w:r>
        <w:t>de</w:t>
      </w:r>
      <w:r w:rsidRPr="002C4077">
        <w:t xml:space="preserve"> </w:t>
      </w:r>
      <w:r>
        <w:t>grâces,</w:t>
      </w:r>
      <w:r w:rsidRPr="002C4077">
        <w:t xml:space="preserve"> </w:t>
      </w:r>
      <w:r>
        <w:t>pour</w:t>
      </w:r>
      <w:r w:rsidRPr="002C4077">
        <w:t xml:space="preserve"> </w:t>
      </w:r>
      <w:r>
        <w:t>les</w:t>
      </w:r>
      <w:r w:rsidRPr="002C4077">
        <w:t xml:space="preserve"> </w:t>
      </w:r>
      <w:r>
        <w:t>bénédictions</w:t>
      </w:r>
      <w:r w:rsidRPr="002C4077">
        <w:t xml:space="preserve"> </w:t>
      </w:r>
      <w:r>
        <w:t>multiples</w:t>
      </w:r>
      <w:r w:rsidRPr="002C4077">
        <w:t xml:space="preserve"> </w:t>
      </w:r>
      <w:r>
        <w:t>que</w:t>
      </w:r>
      <w:r w:rsidRPr="002C4077">
        <w:t xml:space="preserve"> </w:t>
      </w:r>
      <w:r>
        <w:t>nous</w:t>
      </w:r>
      <w:r w:rsidRPr="002C4077">
        <w:t xml:space="preserve"> </w:t>
      </w:r>
      <w:r>
        <w:t>avons</w:t>
      </w:r>
      <w:r w:rsidRPr="002C4077">
        <w:t xml:space="preserve"> </w:t>
      </w:r>
      <w:r>
        <w:t>constamment</w:t>
      </w:r>
      <w:r w:rsidRPr="002C4077">
        <w:t xml:space="preserve"> </w:t>
      </w:r>
      <w:r>
        <w:t>reçues</w:t>
      </w:r>
      <w:r w:rsidRPr="002C4077">
        <w:t xml:space="preserve"> </w:t>
      </w:r>
      <w:r>
        <w:t>durant</w:t>
      </w:r>
      <w:r w:rsidRPr="002C4077">
        <w:t xml:space="preserve"> </w:t>
      </w:r>
      <w:r>
        <w:t>le</w:t>
      </w:r>
      <w:r w:rsidRPr="002C4077">
        <w:t xml:space="preserve"> </w:t>
      </w:r>
      <w:r>
        <w:t>cours</w:t>
      </w:r>
      <w:r w:rsidRPr="002C4077">
        <w:t xml:space="preserve"> </w:t>
      </w:r>
      <w:r>
        <w:t>de</w:t>
      </w:r>
      <w:r w:rsidRPr="002C4077">
        <w:t xml:space="preserve"> </w:t>
      </w:r>
      <w:r>
        <w:t>nos</w:t>
      </w:r>
      <w:r w:rsidRPr="002C4077">
        <w:t xml:space="preserve"> </w:t>
      </w:r>
      <w:r>
        <w:t>labeurs</w:t>
      </w:r>
      <w:r w:rsidRPr="002C4077">
        <w:t xml:space="preserve"> </w:t>
      </w:r>
      <w:r>
        <w:t>communs</w:t>
      </w:r>
      <w:r w:rsidR="00B546AF">
        <w:t> ;</w:t>
      </w:r>
      <w:r w:rsidRPr="002C4077">
        <w:t xml:space="preserve"> </w:t>
      </w:r>
      <w:r>
        <w:t>d’humilité,</w:t>
      </w:r>
      <w:r w:rsidRPr="002C4077">
        <w:t xml:space="preserve"> </w:t>
      </w:r>
      <w:r>
        <w:t>à</w:t>
      </w:r>
      <w:r w:rsidRPr="002C4077">
        <w:t xml:space="preserve"> </w:t>
      </w:r>
      <w:r>
        <w:t>cause</w:t>
      </w:r>
      <w:r w:rsidRPr="002C4077">
        <w:t xml:space="preserve"> </w:t>
      </w:r>
      <w:r>
        <w:t>de</w:t>
      </w:r>
      <w:r w:rsidRPr="002C4077">
        <w:t xml:space="preserve"> </w:t>
      </w:r>
      <w:r>
        <w:t>nos</w:t>
      </w:r>
      <w:r w:rsidRPr="002C4077">
        <w:t xml:space="preserve"> </w:t>
      </w:r>
      <w:r>
        <w:t>manquements</w:t>
      </w:r>
      <w:r w:rsidRPr="002C4077">
        <w:t xml:space="preserve"> </w:t>
      </w:r>
      <w:r>
        <w:t>et</w:t>
      </w:r>
      <w:r w:rsidRPr="002C4077">
        <w:t xml:space="preserve"> </w:t>
      </w:r>
      <w:r>
        <w:t>imperfections</w:t>
      </w:r>
      <w:r w:rsidRPr="002C4077">
        <w:t xml:space="preserve"> </w:t>
      </w:r>
      <w:r>
        <w:t>dans</w:t>
      </w:r>
      <w:r w:rsidRPr="002C4077">
        <w:t xml:space="preserve"> </w:t>
      </w:r>
      <w:r>
        <w:t>l’accomplissement</w:t>
      </w:r>
      <w:r w:rsidRPr="002C4077">
        <w:t xml:space="preserve"> </w:t>
      </w:r>
      <w:r>
        <w:t>de</w:t>
      </w:r>
      <w:r w:rsidRPr="002C4077">
        <w:t xml:space="preserve"> </w:t>
      </w:r>
      <w:r>
        <w:t>notre</w:t>
      </w:r>
      <w:r w:rsidRPr="002C4077">
        <w:t xml:space="preserve"> </w:t>
      </w:r>
      <w:r>
        <w:t>tâche</w:t>
      </w:r>
      <w:r w:rsidR="00B546AF">
        <w:t> ;</w:t>
      </w:r>
      <w:r w:rsidRPr="002C4077">
        <w:t xml:space="preserve"> </w:t>
      </w:r>
      <w:r>
        <w:t>de</w:t>
      </w:r>
      <w:r w:rsidRPr="002C4077">
        <w:t xml:space="preserve"> </w:t>
      </w:r>
      <w:r>
        <w:t>prière</w:t>
      </w:r>
      <w:r w:rsidRPr="002C4077">
        <w:t xml:space="preserve"> </w:t>
      </w:r>
      <w:r>
        <w:t>au</w:t>
      </w:r>
      <w:r w:rsidRPr="002C4077">
        <w:t xml:space="preserve"> </w:t>
      </w:r>
      <w:r>
        <w:t>Tout-Puissant,</w:t>
      </w:r>
      <w:r w:rsidRPr="002C4077">
        <w:t xml:space="preserve"> </w:t>
      </w:r>
      <w:r>
        <w:t>afin</w:t>
      </w:r>
      <w:r w:rsidRPr="002C4077">
        <w:t xml:space="preserve"> </w:t>
      </w:r>
      <w:r>
        <w:t>que</w:t>
      </w:r>
      <w:r w:rsidRPr="002C4077">
        <w:t xml:space="preserve"> </w:t>
      </w:r>
      <w:r>
        <w:t>l’Évangile</w:t>
      </w:r>
      <w:r w:rsidRPr="002C4077">
        <w:t xml:space="preserve"> </w:t>
      </w:r>
      <w:r>
        <w:t>de</w:t>
      </w:r>
      <w:r w:rsidRPr="002C4077">
        <w:t xml:space="preserve"> </w:t>
      </w:r>
      <w:r>
        <w:t>Notre</w:t>
      </w:r>
      <w:r w:rsidRPr="002C4077">
        <w:t xml:space="preserve"> </w:t>
      </w:r>
      <w:r>
        <w:t>Seigneur</w:t>
      </w:r>
      <w:r w:rsidRPr="002C4077">
        <w:t xml:space="preserve"> </w:t>
      </w:r>
      <w:r>
        <w:t>et</w:t>
      </w:r>
      <w:r w:rsidRPr="002C4077">
        <w:t xml:space="preserve"> </w:t>
      </w:r>
      <w:r>
        <w:t>Sauveur</w:t>
      </w:r>
      <w:r w:rsidRPr="002C4077">
        <w:t xml:space="preserve"> </w:t>
      </w:r>
      <w:r w:rsidR="00425C50">
        <w:t>Jésus</w:t>
      </w:r>
      <w:r>
        <w:t>-</w:t>
      </w:r>
      <w:r w:rsidR="00425C50">
        <w:t>Christ</w:t>
      </w:r>
      <w:r w:rsidRPr="002C4077">
        <w:t xml:space="preserve"> </w:t>
      </w:r>
      <w:r>
        <w:t>soit</w:t>
      </w:r>
      <w:r w:rsidRPr="002C4077">
        <w:t xml:space="preserve"> </w:t>
      </w:r>
      <w:r>
        <w:t>manifesté</w:t>
      </w:r>
      <w:r w:rsidRPr="002C4077">
        <w:t xml:space="preserve"> </w:t>
      </w:r>
      <w:r>
        <w:t>avec</w:t>
      </w:r>
      <w:r w:rsidRPr="002C4077">
        <w:t xml:space="preserve"> </w:t>
      </w:r>
      <w:r>
        <w:t>plus</w:t>
      </w:r>
      <w:r w:rsidRPr="002C4077">
        <w:t xml:space="preserve"> </w:t>
      </w:r>
      <w:r>
        <w:t>de</w:t>
      </w:r>
      <w:r w:rsidRPr="002C4077">
        <w:t xml:space="preserve"> </w:t>
      </w:r>
      <w:r>
        <w:t>fraîcheur</w:t>
      </w:r>
      <w:r w:rsidRPr="002C4077">
        <w:t xml:space="preserve"> </w:t>
      </w:r>
      <w:r>
        <w:t>et</w:t>
      </w:r>
      <w:r w:rsidRPr="002C4077">
        <w:t xml:space="preserve"> </w:t>
      </w:r>
      <w:r>
        <w:t>de</w:t>
      </w:r>
      <w:r w:rsidRPr="002C4077">
        <w:t xml:space="preserve"> </w:t>
      </w:r>
      <w:r>
        <w:t>clarté</w:t>
      </w:r>
      <w:r w:rsidRPr="002C4077">
        <w:t xml:space="preserve"> </w:t>
      </w:r>
      <w:r>
        <w:t>à</w:t>
      </w:r>
      <w:r w:rsidRPr="002C4077">
        <w:t xml:space="preserve"> </w:t>
      </w:r>
      <w:r>
        <w:t>tous</w:t>
      </w:r>
      <w:r w:rsidRPr="002C4077">
        <w:t xml:space="preserve"> </w:t>
      </w:r>
      <w:r>
        <w:t>ceux</w:t>
      </w:r>
      <w:r w:rsidRPr="002C4077">
        <w:t xml:space="preserve"> </w:t>
      </w:r>
      <w:r>
        <w:t>qui</w:t>
      </w:r>
      <w:r w:rsidRPr="002C4077">
        <w:t xml:space="preserve"> </w:t>
      </w:r>
      <w:r>
        <w:t>liront</w:t>
      </w:r>
      <w:r w:rsidRPr="002C4077">
        <w:t xml:space="preserve"> </w:t>
      </w:r>
      <w:r>
        <w:t>ce</w:t>
      </w:r>
      <w:r w:rsidRPr="002C4077">
        <w:t xml:space="preserve"> </w:t>
      </w:r>
      <w:r>
        <w:t>livre</w:t>
      </w:r>
      <w:r w:rsidR="00B546AF">
        <w:t> »</w:t>
      </w:r>
      <w:r>
        <w:t>.</w:t>
      </w:r>
      <w:r w:rsidRPr="002C4077">
        <w:t xml:space="preserve"> </w:t>
      </w:r>
    </w:p>
    <w:p w:rsidR="000A7AAB" w:rsidRDefault="000A7AAB" w:rsidP="000A7AAB">
      <w:r>
        <w:t>Ces</w:t>
      </w:r>
      <w:r w:rsidRPr="002C4077">
        <w:t xml:space="preserve"> </w:t>
      </w:r>
      <w:r>
        <w:t>dispositions</w:t>
      </w:r>
      <w:r w:rsidRPr="002C4077">
        <w:t xml:space="preserve"> </w:t>
      </w:r>
      <w:r>
        <w:t>sont</w:t>
      </w:r>
      <w:r w:rsidRPr="002C4077">
        <w:t xml:space="preserve"> </w:t>
      </w:r>
      <w:r>
        <w:t>très</w:t>
      </w:r>
      <w:r w:rsidRPr="002C4077">
        <w:t xml:space="preserve"> </w:t>
      </w:r>
      <w:r>
        <w:t>louables</w:t>
      </w:r>
      <w:r w:rsidRPr="002C4077">
        <w:t xml:space="preserve"> </w:t>
      </w:r>
      <w:r>
        <w:t>assurément</w:t>
      </w:r>
      <w:r w:rsidR="00B546AF">
        <w:t> ;</w:t>
      </w:r>
      <w:r w:rsidRPr="002C4077">
        <w:t xml:space="preserve"> </w:t>
      </w:r>
      <w:r>
        <w:t>mais,</w:t>
      </w:r>
      <w:r w:rsidRPr="002C4077">
        <w:t xml:space="preserve"> </w:t>
      </w:r>
      <w:r>
        <w:t>encore</w:t>
      </w:r>
      <w:r w:rsidRPr="002C4077">
        <w:t xml:space="preserve"> </w:t>
      </w:r>
      <w:r>
        <w:t>une</w:t>
      </w:r>
      <w:r w:rsidRPr="002C4077">
        <w:t xml:space="preserve"> </w:t>
      </w:r>
      <w:r>
        <w:t>fois,</w:t>
      </w:r>
      <w:r w:rsidRPr="002C4077">
        <w:t xml:space="preserve"> </w:t>
      </w:r>
      <w:r>
        <w:t>c’est</w:t>
      </w:r>
      <w:r w:rsidRPr="002C4077">
        <w:t xml:space="preserve"> </w:t>
      </w:r>
      <w:r>
        <w:t>la</w:t>
      </w:r>
      <w:r w:rsidRPr="002C4077">
        <w:t xml:space="preserve"> </w:t>
      </w:r>
      <w:r>
        <w:t>question</w:t>
      </w:r>
      <w:r w:rsidRPr="002C4077">
        <w:t xml:space="preserve"> </w:t>
      </w:r>
      <w:r>
        <w:t>d’autorité</w:t>
      </w:r>
      <w:r w:rsidRPr="002C4077">
        <w:t xml:space="preserve"> </w:t>
      </w:r>
      <w:r>
        <w:t>qui</w:t>
      </w:r>
      <w:r w:rsidRPr="002C4077">
        <w:t xml:space="preserve"> </w:t>
      </w:r>
      <w:r>
        <w:t>prime</w:t>
      </w:r>
      <w:r w:rsidRPr="002C4077">
        <w:t xml:space="preserve"> </w:t>
      </w:r>
      <w:r>
        <w:t>ici</w:t>
      </w:r>
      <w:r w:rsidRPr="002C4077">
        <w:t xml:space="preserve"> </w:t>
      </w:r>
      <w:r>
        <w:t>toutes</w:t>
      </w:r>
      <w:r w:rsidRPr="002C4077">
        <w:t xml:space="preserve"> </w:t>
      </w:r>
      <w:r>
        <w:t>les</w:t>
      </w:r>
      <w:r w:rsidRPr="002C4077">
        <w:t xml:space="preserve"> </w:t>
      </w:r>
      <w:r>
        <w:t>autres</w:t>
      </w:r>
      <w:r w:rsidR="00B546AF">
        <w:t> :</w:t>
      </w:r>
      <w:r w:rsidRPr="002C4077">
        <w:t xml:space="preserve"> </w:t>
      </w:r>
      <w:r>
        <w:t>or</w:t>
      </w:r>
      <w:r w:rsidRPr="002C4077">
        <w:t xml:space="preserve"> </w:t>
      </w:r>
      <w:r>
        <w:t>les</w:t>
      </w:r>
      <w:r w:rsidRPr="002C4077">
        <w:t xml:space="preserve"> </w:t>
      </w:r>
      <w:r>
        <w:t>réviseurs</w:t>
      </w:r>
      <w:r w:rsidRPr="002C4077">
        <w:t xml:space="preserve"> </w:t>
      </w:r>
      <w:r>
        <w:t>ne</w:t>
      </w:r>
      <w:r w:rsidRPr="002C4077">
        <w:t xml:space="preserve"> </w:t>
      </w:r>
      <w:r>
        <w:t>me</w:t>
      </w:r>
      <w:r w:rsidRPr="002C4077">
        <w:t xml:space="preserve"> </w:t>
      </w:r>
      <w:r>
        <w:t>prouveront</w:t>
      </w:r>
      <w:r w:rsidRPr="002C4077">
        <w:t xml:space="preserve"> </w:t>
      </w:r>
      <w:r>
        <w:t>jamais</w:t>
      </w:r>
      <w:r w:rsidRPr="002C4077">
        <w:t xml:space="preserve"> </w:t>
      </w:r>
      <w:r>
        <w:t>qu’ils</w:t>
      </w:r>
      <w:r w:rsidRPr="002C4077">
        <w:t xml:space="preserve"> </w:t>
      </w:r>
      <w:r>
        <w:t>ont</w:t>
      </w:r>
      <w:r w:rsidRPr="002C4077">
        <w:t xml:space="preserve"> </w:t>
      </w:r>
      <w:r>
        <w:t>agi</w:t>
      </w:r>
      <w:r w:rsidRPr="002C4077">
        <w:t xml:space="preserve"> </w:t>
      </w:r>
      <w:r>
        <w:t>en</w:t>
      </w:r>
      <w:r w:rsidRPr="002C4077">
        <w:t xml:space="preserve"> </w:t>
      </w:r>
      <w:r>
        <w:t>vertu</w:t>
      </w:r>
      <w:r w:rsidRPr="002C4077">
        <w:t xml:space="preserve"> </w:t>
      </w:r>
      <w:r>
        <w:t>d’une</w:t>
      </w:r>
      <w:r w:rsidRPr="002C4077">
        <w:t xml:space="preserve"> </w:t>
      </w:r>
      <w:r>
        <w:t>mission</w:t>
      </w:r>
      <w:bookmarkStart w:id="495" w:name="z_Revision_o5"/>
      <w:bookmarkEnd w:id="495"/>
      <w:r w:rsidRPr="002C4077">
        <w:t xml:space="preserve"> </w:t>
      </w:r>
      <w:r>
        <w:t>divine.</w:t>
      </w:r>
      <w:r w:rsidRPr="002C4077">
        <w:t xml:space="preserve"> </w:t>
      </w:r>
    </w:p>
    <w:p w:rsidR="009269FC" w:rsidRDefault="009269FC" w:rsidP="000A7AAB">
      <w:pPr>
        <w:rPr>
          <w:smallCaps/>
        </w:rPr>
      </w:pPr>
    </w:p>
    <w:p w:rsidR="000A7AAB" w:rsidRDefault="000A7AAB" w:rsidP="000A7AAB">
      <w:r>
        <w:rPr>
          <w:smallCaps/>
        </w:rPr>
        <w:t>3°</w:t>
      </w:r>
      <w:r w:rsidRPr="002C4077">
        <w:t xml:space="preserve"> </w:t>
      </w:r>
      <w:r>
        <w:rPr>
          <w:smallCaps/>
        </w:rPr>
        <w:t>Après</w:t>
      </w:r>
      <w:r w:rsidRPr="002C4077">
        <w:t xml:space="preserve"> </w:t>
      </w:r>
      <w:r>
        <w:rPr>
          <w:smallCaps/>
        </w:rPr>
        <w:t>la</w:t>
      </w:r>
      <w:r w:rsidRPr="002C4077">
        <w:t xml:space="preserve"> </w:t>
      </w:r>
      <w:r>
        <w:rPr>
          <w:smallCaps/>
        </w:rPr>
        <w:t>révision</w:t>
      </w:r>
      <w:r>
        <w:t>.</w:t>
      </w:r>
      <w:bookmarkStart w:id="496" w:name="z_Revision_o6"/>
      <w:bookmarkEnd w:id="496"/>
      <w:r w:rsidRPr="002C4077">
        <w:t xml:space="preserve"> </w:t>
      </w:r>
      <w:r>
        <w:t>—</w:t>
      </w:r>
      <w:r w:rsidRPr="002C4077">
        <w:t xml:space="preserve"> </w:t>
      </w:r>
      <w:r>
        <w:t>Enfin</w:t>
      </w:r>
      <w:r w:rsidRPr="002C4077">
        <w:t xml:space="preserve"> </w:t>
      </w:r>
      <w:r>
        <w:t>l’œuvre</w:t>
      </w:r>
      <w:r w:rsidRPr="002C4077">
        <w:t xml:space="preserve"> </w:t>
      </w:r>
      <w:r w:rsidR="00425C50">
        <w:t>est</w:t>
      </w:r>
      <w:r w:rsidRPr="002C4077">
        <w:t xml:space="preserve"> </w:t>
      </w:r>
      <w:r>
        <w:t>achevée,</w:t>
      </w:r>
      <w:r w:rsidRPr="002C4077">
        <w:t xml:space="preserve"> </w:t>
      </w:r>
      <w:r>
        <w:t>mise</w:t>
      </w:r>
      <w:r w:rsidRPr="002C4077">
        <w:t xml:space="preserve"> </w:t>
      </w:r>
      <w:r>
        <w:t>au</w:t>
      </w:r>
      <w:r w:rsidRPr="002C4077">
        <w:t xml:space="preserve"> </w:t>
      </w:r>
      <w:r>
        <w:t>jour.</w:t>
      </w:r>
      <w:r w:rsidRPr="002C4077">
        <w:t xml:space="preserve"> </w:t>
      </w:r>
      <w:r>
        <w:t>Le</w:t>
      </w:r>
      <w:r w:rsidRPr="002C4077">
        <w:t xml:space="preserve"> </w:t>
      </w:r>
      <w:r>
        <w:t>public</w:t>
      </w:r>
      <w:r w:rsidRPr="002C4077">
        <w:t xml:space="preserve"> </w:t>
      </w:r>
      <w:r>
        <w:t>se</w:t>
      </w:r>
      <w:r w:rsidRPr="002C4077">
        <w:t xml:space="preserve"> </w:t>
      </w:r>
      <w:r>
        <w:t>jette</w:t>
      </w:r>
      <w:r w:rsidRPr="002C4077">
        <w:t xml:space="preserve"> </w:t>
      </w:r>
      <w:r>
        <w:t>sur</w:t>
      </w:r>
      <w:r w:rsidRPr="002C4077">
        <w:t xml:space="preserve"> </w:t>
      </w:r>
      <w:r>
        <w:t>elle</w:t>
      </w:r>
      <w:r w:rsidRPr="002C4077">
        <w:t xml:space="preserve"> </w:t>
      </w:r>
      <w:r>
        <w:t>avec</w:t>
      </w:r>
      <w:r w:rsidRPr="002C4077">
        <w:t xml:space="preserve"> </w:t>
      </w:r>
      <w:r>
        <w:t>l’empressement</w:t>
      </w:r>
      <w:r w:rsidRPr="002C4077">
        <w:t xml:space="preserve"> </w:t>
      </w:r>
      <w:r>
        <w:t>que</w:t>
      </w:r>
      <w:r w:rsidRPr="002C4077">
        <w:t xml:space="preserve"> </w:t>
      </w:r>
      <w:r>
        <w:t>nous</w:t>
      </w:r>
      <w:r w:rsidRPr="002C4077">
        <w:t xml:space="preserve"> </w:t>
      </w:r>
      <w:r>
        <w:t>avons</w:t>
      </w:r>
      <w:r w:rsidRPr="002C4077">
        <w:t xml:space="preserve"> </w:t>
      </w:r>
      <w:r>
        <w:t>décrit.</w:t>
      </w:r>
      <w:r w:rsidRPr="002C4077">
        <w:t xml:space="preserve"> </w:t>
      </w:r>
      <w:r>
        <w:t>Chacun</w:t>
      </w:r>
      <w:r w:rsidRPr="002C4077">
        <w:t xml:space="preserve"> </w:t>
      </w:r>
      <w:r>
        <w:t>veut</w:t>
      </w:r>
      <w:r w:rsidRPr="002C4077">
        <w:t xml:space="preserve"> </w:t>
      </w:r>
      <w:r>
        <w:t>lire</w:t>
      </w:r>
      <w:r w:rsidRPr="002C4077">
        <w:t xml:space="preserve"> </w:t>
      </w:r>
      <w:r>
        <w:t>la</w:t>
      </w:r>
      <w:r w:rsidRPr="002C4077">
        <w:t xml:space="preserve"> </w:t>
      </w:r>
      <w:r>
        <w:t>version</w:t>
      </w:r>
      <w:r w:rsidRPr="002C4077">
        <w:t xml:space="preserve"> </w:t>
      </w:r>
      <w:r>
        <w:t>révisée</w:t>
      </w:r>
      <w:r w:rsidR="00B546AF">
        <w:t> ;</w:t>
      </w:r>
      <w:r w:rsidRPr="002C4077">
        <w:t xml:space="preserve"> </w:t>
      </w:r>
      <w:r>
        <w:t>mais</w:t>
      </w:r>
      <w:r w:rsidRPr="002C4077">
        <w:t xml:space="preserve"> </w:t>
      </w:r>
      <w:r>
        <w:t>surtout,</w:t>
      </w:r>
      <w:r w:rsidRPr="002C4077">
        <w:t xml:space="preserve"> </w:t>
      </w:r>
      <w:r>
        <w:t>chacun</w:t>
      </w:r>
      <w:r w:rsidRPr="002C4077">
        <w:t xml:space="preserve"> </w:t>
      </w:r>
      <w:r>
        <w:t>veut</w:t>
      </w:r>
      <w:r w:rsidRPr="002C4077">
        <w:t xml:space="preserve"> </w:t>
      </w:r>
      <w:r>
        <w:t>la</w:t>
      </w:r>
      <w:r w:rsidRPr="002C4077">
        <w:t xml:space="preserve"> </w:t>
      </w:r>
      <w:r>
        <w:t>comparer</w:t>
      </w:r>
      <w:r w:rsidRPr="002C4077">
        <w:t xml:space="preserve"> </w:t>
      </w:r>
      <w:r>
        <w:t>avec</w:t>
      </w:r>
      <w:r w:rsidRPr="002C4077">
        <w:t xml:space="preserve"> </w:t>
      </w:r>
      <w:r>
        <w:t>la</w:t>
      </w:r>
      <w:r w:rsidRPr="002C4077">
        <w:t xml:space="preserve"> </w:t>
      </w:r>
      <w:r>
        <w:t>traduction</w:t>
      </w:r>
      <w:r w:rsidRPr="002C4077">
        <w:t xml:space="preserve"> </w:t>
      </w:r>
      <w:r>
        <w:t>chérie</w:t>
      </w:r>
      <w:r w:rsidRPr="002C4077">
        <w:t xml:space="preserve"> </w:t>
      </w:r>
      <w:r>
        <w:t>qu’elle</w:t>
      </w:r>
      <w:r w:rsidRPr="002C4077">
        <w:t xml:space="preserve"> </w:t>
      </w:r>
      <w:r>
        <w:t>venait</w:t>
      </w:r>
      <w:r w:rsidRPr="002C4077">
        <w:t xml:space="preserve"> </w:t>
      </w:r>
      <w:r>
        <w:t>remplacer.</w:t>
      </w:r>
      <w:r w:rsidR="00C45B47">
        <w:t xml:space="preserve"> {</w:t>
      </w:r>
      <w:r w:rsidR="001F5257">
        <w:t>196</w:t>
      </w:r>
      <w:bookmarkStart w:id="497" w:name="p196"/>
      <w:bookmarkEnd w:id="497"/>
      <w:r w:rsidR="001F5257">
        <w:t xml:space="preserve">} </w:t>
      </w:r>
      <w:r>
        <w:t>Finalement,</w:t>
      </w:r>
      <w:r w:rsidRPr="002C4077">
        <w:t xml:space="preserve"> </w:t>
      </w:r>
      <w:r>
        <w:t>l’opinion</w:t>
      </w:r>
      <w:r w:rsidRPr="002C4077">
        <w:t xml:space="preserve"> </w:t>
      </w:r>
      <w:r>
        <w:t>prononce</w:t>
      </w:r>
      <w:r w:rsidRPr="002C4077">
        <w:t xml:space="preserve"> </w:t>
      </w:r>
      <w:r>
        <w:t>son</w:t>
      </w:r>
      <w:r w:rsidRPr="002C4077">
        <w:t xml:space="preserve"> </w:t>
      </w:r>
      <w:r>
        <w:t>verdict.</w:t>
      </w:r>
      <w:r w:rsidRPr="002C4077">
        <w:t xml:space="preserve"> </w:t>
      </w:r>
    </w:p>
    <w:p w:rsidR="000A7AAB" w:rsidRDefault="000A7AAB" w:rsidP="000A7AAB">
      <w:r>
        <w:t>Quel</w:t>
      </w:r>
      <w:r w:rsidRPr="002C4077">
        <w:t xml:space="preserve"> </w:t>
      </w:r>
      <w:r w:rsidR="00425C50">
        <w:t>est</w:t>
      </w:r>
      <w:r>
        <w:t>-il</w:t>
      </w:r>
      <w:r w:rsidR="00B546AF">
        <w:t> ?</w:t>
      </w:r>
      <w:r w:rsidRPr="002C4077">
        <w:t xml:space="preserve"> </w:t>
      </w:r>
    </w:p>
    <w:p w:rsidR="000A7AAB" w:rsidRDefault="000A7AAB" w:rsidP="000A7AAB">
      <w:r>
        <w:t>Pour</w:t>
      </w:r>
      <w:r w:rsidRPr="002C4077">
        <w:t xml:space="preserve"> </w:t>
      </w:r>
      <w:r>
        <w:t>le</w:t>
      </w:r>
      <w:r w:rsidRPr="002C4077">
        <w:t xml:space="preserve"> </w:t>
      </w:r>
      <w:r>
        <w:t>motif</w:t>
      </w:r>
      <w:r w:rsidRPr="002C4077">
        <w:t xml:space="preserve"> </w:t>
      </w:r>
      <w:r>
        <w:t>indiqué</w:t>
      </w:r>
      <w:r w:rsidRPr="002C4077">
        <w:t xml:space="preserve"> </w:t>
      </w:r>
      <w:r>
        <w:t>précédemment,</w:t>
      </w:r>
      <w:r w:rsidRPr="002C4077">
        <w:t xml:space="preserve"> </w:t>
      </w:r>
      <w:r>
        <w:t>l’indifférence</w:t>
      </w:r>
      <w:r w:rsidRPr="002C4077">
        <w:t xml:space="preserve"> </w:t>
      </w:r>
      <w:r>
        <w:t>n’existe</w:t>
      </w:r>
      <w:r w:rsidRPr="002C4077">
        <w:t xml:space="preserve"> </w:t>
      </w:r>
      <w:r>
        <w:t>nulle</w:t>
      </w:r>
      <w:r w:rsidRPr="002C4077">
        <w:t xml:space="preserve"> </w:t>
      </w:r>
      <w:r>
        <w:t>part</w:t>
      </w:r>
      <w:r w:rsidR="00B546AF">
        <w:t> ;</w:t>
      </w:r>
      <w:r w:rsidRPr="002C4077">
        <w:t xml:space="preserve"> </w:t>
      </w:r>
      <w:r>
        <w:t>l’on</w:t>
      </w:r>
      <w:r w:rsidRPr="002C4077">
        <w:t xml:space="preserve"> </w:t>
      </w:r>
      <w:r w:rsidR="00425C50">
        <w:t>est</w:t>
      </w:r>
      <w:r w:rsidRPr="002C4077">
        <w:t xml:space="preserve"> </w:t>
      </w:r>
      <w:r>
        <w:t>content</w:t>
      </w:r>
      <w:r w:rsidRPr="002C4077">
        <w:t xml:space="preserve"> </w:t>
      </w:r>
      <w:r>
        <w:t>ou</w:t>
      </w:r>
      <w:r w:rsidRPr="002C4077">
        <w:t xml:space="preserve"> </w:t>
      </w:r>
      <w:r>
        <w:t>mécontent.</w:t>
      </w:r>
      <w:r w:rsidRPr="002C4077">
        <w:t xml:space="preserve"> </w:t>
      </w:r>
    </w:p>
    <w:p w:rsidR="000A7AAB" w:rsidRDefault="000A7AAB" w:rsidP="000A7AAB">
      <w:r>
        <w:t>Il</w:t>
      </w:r>
      <w:r w:rsidRPr="002C4077">
        <w:t xml:space="preserve"> </w:t>
      </w:r>
      <w:r>
        <w:t>y</w:t>
      </w:r>
      <w:r w:rsidRPr="002C4077">
        <w:t xml:space="preserve"> </w:t>
      </w:r>
      <w:r>
        <w:t>a</w:t>
      </w:r>
      <w:r w:rsidRPr="002C4077">
        <w:t xml:space="preserve"> </w:t>
      </w:r>
      <w:r>
        <w:t>un</w:t>
      </w:r>
      <w:r w:rsidRPr="002C4077">
        <w:t xml:space="preserve"> </w:t>
      </w:r>
      <w:r>
        <w:t>assez</w:t>
      </w:r>
      <w:r w:rsidRPr="002C4077">
        <w:t xml:space="preserve"> </w:t>
      </w:r>
      <w:r>
        <w:t>grand</w:t>
      </w:r>
      <w:r w:rsidRPr="002C4077">
        <w:t xml:space="preserve"> </w:t>
      </w:r>
      <w:r>
        <w:t>nombre</w:t>
      </w:r>
      <w:r w:rsidRPr="002C4077">
        <w:t xml:space="preserve"> </w:t>
      </w:r>
      <w:r>
        <w:t>de</w:t>
      </w:r>
      <w:r w:rsidRPr="002C4077">
        <w:t xml:space="preserve"> </w:t>
      </w:r>
      <w:r>
        <w:t>satisfaits,</w:t>
      </w:r>
      <w:r w:rsidRPr="002C4077">
        <w:t xml:space="preserve"> </w:t>
      </w:r>
      <w:r>
        <w:t>qui</w:t>
      </w:r>
      <w:r w:rsidRPr="002C4077">
        <w:t xml:space="preserve"> </w:t>
      </w:r>
      <w:r>
        <w:t>prônent</w:t>
      </w:r>
      <w:r w:rsidRPr="002C4077">
        <w:t xml:space="preserve"> </w:t>
      </w:r>
      <w:r>
        <w:t>hautement</w:t>
      </w:r>
      <w:r w:rsidRPr="002C4077">
        <w:t xml:space="preserve"> </w:t>
      </w:r>
      <w:r>
        <w:t>le</w:t>
      </w:r>
      <w:r w:rsidRPr="002C4077">
        <w:t xml:space="preserve"> </w:t>
      </w:r>
      <w:r>
        <w:t>travail</w:t>
      </w:r>
      <w:r w:rsidRPr="002C4077">
        <w:t xml:space="preserve"> </w:t>
      </w:r>
      <w:r>
        <w:t>des</w:t>
      </w:r>
      <w:r w:rsidRPr="002C4077">
        <w:t xml:space="preserve"> </w:t>
      </w:r>
      <w:r>
        <w:t>correcteurs,</w:t>
      </w:r>
      <w:r w:rsidRPr="002C4077">
        <w:t xml:space="preserve"> </w:t>
      </w:r>
      <w:r>
        <w:t>s’écriant</w:t>
      </w:r>
      <w:r w:rsidRPr="002C4077">
        <w:t xml:space="preserve"> </w:t>
      </w:r>
      <w:r>
        <w:t>à</w:t>
      </w:r>
      <w:r w:rsidRPr="002C4077">
        <w:t xml:space="preserve"> </w:t>
      </w:r>
      <w:r>
        <w:t>propos</w:t>
      </w:r>
      <w:r w:rsidRPr="002C4077">
        <w:t xml:space="preserve"> </w:t>
      </w:r>
      <w:r>
        <w:t>de</w:t>
      </w:r>
      <w:r w:rsidRPr="002C4077">
        <w:t xml:space="preserve"> </w:t>
      </w:r>
      <w:r>
        <w:t>tous</w:t>
      </w:r>
      <w:r w:rsidRPr="002C4077">
        <w:t xml:space="preserve"> </w:t>
      </w:r>
      <w:r>
        <w:t>leurs</w:t>
      </w:r>
      <w:r w:rsidRPr="002C4077">
        <w:t xml:space="preserve"> </w:t>
      </w:r>
      <w:r>
        <w:t>changements</w:t>
      </w:r>
      <w:r w:rsidR="00B546AF">
        <w:t> :</w:t>
      </w:r>
      <w:r w:rsidRPr="002C4077">
        <w:t xml:space="preserve"> </w:t>
      </w:r>
      <w:r w:rsidRPr="000A34B5">
        <w:rPr>
          <w:rStyle w:val="italicus"/>
        </w:rPr>
        <w:t>Pulchre</w:t>
      </w:r>
      <w:r w:rsidR="00B546AF">
        <w:rPr>
          <w:rStyle w:val="italicus"/>
        </w:rPr>
        <w:t> </w:t>
      </w:r>
      <w:r w:rsidR="00B546AF" w:rsidRPr="000A34B5">
        <w:rPr>
          <w:rStyle w:val="italicus"/>
        </w:rPr>
        <w:t>!</w:t>
      </w:r>
      <w:r w:rsidRPr="002C4077">
        <w:t xml:space="preserve"> </w:t>
      </w:r>
      <w:r w:rsidRPr="000A34B5">
        <w:rPr>
          <w:rStyle w:val="italicus"/>
        </w:rPr>
        <w:t>bene</w:t>
      </w:r>
      <w:r w:rsidR="00B546AF">
        <w:rPr>
          <w:rStyle w:val="italicus"/>
        </w:rPr>
        <w:t> </w:t>
      </w:r>
      <w:r w:rsidR="00B546AF" w:rsidRPr="000A34B5">
        <w:rPr>
          <w:rStyle w:val="italicus"/>
        </w:rPr>
        <w:t>!</w:t>
      </w:r>
      <w:r w:rsidRPr="002C4077">
        <w:t xml:space="preserve"> </w:t>
      </w:r>
      <w:r w:rsidRPr="000A34B5">
        <w:rPr>
          <w:rStyle w:val="italicus"/>
        </w:rPr>
        <w:t>recte</w:t>
      </w:r>
      <w:r w:rsidR="00B546AF">
        <w:rPr>
          <w:rStyle w:val="italicus"/>
        </w:rPr>
        <w:t> </w:t>
      </w:r>
      <w:r w:rsidR="00B546AF" w:rsidRPr="000A34B5">
        <w:rPr>
          <w:rStyle w:val="italicus"/>
        </w:rPr>
        <w:t>!</w:t>
      </w:r>
      <w:r w:rsidRPr="002C4077">
        <w:t xml:space="preserve"> </w:t>
      </w:r>
      <w:r>
        <w:t>La</w:t>
      </w:r>
      <w:r w:rsidRPr="002C4077">
        <w:t xml:space="preserve"> </w:t>
      </w:r>
      <w:r>
        <w:t>majorité</w:t>
      </w:r>
      <w:r w:rsidRPr="002C4077">
        <w:t xml:space="preserve"> </w:t>
      </w:r>
      <w:r>
        <w:t>des</w:t>
      </w:r>
      <w:r w:rsidRPr="002C4077">
        <w:t xml:space="preserve"> </w:t>
      </w:r>
      <w:r>
        <w:t>réviseurs,</w:t>
      </w:r>
      <w:r w:rsidRPr="002C4077">
        <w:t xml:space="preserve"> </w:t>
      </w:r>
      <w:r>
        <w:t>cela</w:t>
      </w:r>
      <w:r w:rsidRPr="002C4077">
        <w:t xml:space="preserve"> </w:t>
      </w:r>
      <w:r>
        <w:t>va</w:t>
      </w:r>
      <w:r w:rsidRPr="002C4077">
        <w:t xml:space="preserve"> </w:t>
      </w:r>
      <w:r>
        <w:t>de</w:t>
      </w:r>
      <w:r w:rsidRPr="002C4077">
        <w:t xml:space="preserve"> </w:t>
      </w:r>
      <w:r>
        <w:t>soi,</w:t>
      </w:r>
      <w:r w:rsidRPr="002C4077">
        <w:t xml:space="preserve"> </w:t>
      </w:r>
      <w:r w:rsidR="00425C50">
        <w:t>est</w:t>
      </w:r>
      <w:r w:rsidRPr="002C4077">
        <w:t xml:space="preserve"> </w:t>
      </w:r>
      <w:r w:rsidR="00FB4E2C">
        <w:t>fière</w:t>
      </w:r>
      <w:r w:rsidRPr="002C4077">
        <w:t xml:space="preserve"> </w:t>
      </w:r>
      <w:r>
        <w:t>de</w:t>
      </w:r>
      <w:r w:rsidRPr="002C4077">
        <w:t xml:space="preserve"> </w:t>
      </w:r>
      <w:r>
        <w:t>son</w:t>
      </w:r>
      <w:r w:rsidRPr="002C4077">
        <w:t xml:space="preserve"> </w:t>
      </w:r>
      <w:r>
        <w:t>œuvre,</w:t>
      </w:r>
      <w:r w:rsidRPr="002C4077">
        <w:t xml:space="preserve"> </w:t>
      </w:r>
      <w:r>
        <w:t>et</w:t>
      </w:r>
      <w:r w:rsidRPr="002C4077">
        <w:t xml:space="preserve"> </w:t>
      </w:r>
      <w:r>
        <w:t>pas</w:t>
      </w:r>
      <w:r w:rsidRPr="002C4077">
        <w:t xml:space="preserve"> </w:t>
      </w:r>
      <w:r>
        <w:t>assez</w:t>
      </w:r>
      <w:r w:rsidRPr="002C4077">
        <w:t xml:space="preserve"> </w:t>
      </w:r>
      <w:r>
        <w:t>modeste</w:t>
      </w:r>
      <w:r w:rsidRPr="002C4077">
        <w:t xml:space="preserve"> </w:t>
      </w:r>
      <w:r>
        <w:t>pour</w:t>
      </w:r>
      <w:r w:rsidRPr="002C4077">
        <w:t xml:space="preserve"> </w:t>
      </w:r>
      <w:r>
        <w:t>ne</w:t>
      </w:r>
      <w:r w:rsidRPr="002C4077">
        <w:t xml:space="preserve"> </w:t>
      </w:r>
      <w:r>
        <w:t>pas</w:t>
      </w:r>
      <w:r w:rsidRPr="002C4077">
        <w:t xml:space="preserve"> </w:t>
      </w:r>
      <w:r>
        <w:t>s’applaudir</w:t>
      </w:r>
      <w:r w:rsidRPr="002C4077">
        <w:t xml:space="preserve"> </w:t>
      </w:r>
      <w:r>
        <w:t>elle-même</w:t>
      </w:r>
      <w:r w:rsidRPr="002C4077">
        <w:t xml:space="preserve"> </w:t>
      </w:r>
      <w:r>
        <w:t>en</w:t>
      </w:r>
      <w:r w:rsidRPr="002C4077">
        <w:t xml:space="preserve"> </w:t>
      </w:r>
      <w:r>
        <w:t>face</w:t>
      </w:r>
      <w:r w:rsidRPr="002C4077">
        <w:t xml:space="preserve"> </w:t>
      </w:r>
      <w:r>
        <w:t>du</w:t>
      </w:r>
      <w:r w:rsidRPr="002C4077">
        <w:t xml:space="preserve"> </w:t>
      </w:r>
      <w:r>
        <w:t>monde</w:t>
      </w:r>
      <w:r w:rsidRPr="002C4077">
        <w:t xml:space="preserve"> </w:t>
      </w:r>
      <w:r>
        <w:t>anglais.</w:t>
      </w:r>
      <w:r w:rsidRPr="002C4077">
        <w:t xml:space="preserve"> </w:t>
      </w:r>
      <w:r>
        <w:t>Prenez,</w:t>
      </w:r>
      <w:r w:rsidRPr="002C4077">
        <w:t xml:space="preserve"> </w:t>
      </w:r>
      <w:r>
        <w:t>par</w:t>
      </w:r>
      <w:r w:rsidRPr="002C4077">
        <w:t xml:space="preserve"> </w:t>
      </w:r>
      <w:r>
        <w:t>exemple,</w:t>
      </w:r>
      <w:r w:rsidRPr="002C4077">
        <w:t xml:space="preserve"> </w:t>
      </w:r>
      <w:r>
        <w:t>le</w:t>
      </w:r>
      <w:r w:rsidRPr="002C4077">
        <w:t xml:space="preserve"> </w:t>
      </w:r>
      <w:r>
        <w:t>petit</w:t>
      </w:r>
      <w:r w:rsidRPr="002C4077">
        <w:t xml:space="preserve"> </w:t>
      </w:r>
      <w:r>
        <w:t>volume</w:t>
      </w:r>
      <w:r w:rsidRPr="002C4077">
        <w:t xml:space="preserve"> </w:t>
      </w:r>
      <w:r>
        <w:t>composé</w:t>
      </w:r>
      <w:r w:rsidRPr="002C4077">
        <w:t xml:space="preserve"> </w:t>
      </w:r>
      <w:r>
        <w:t>par</w:t>
      </w:r>
      <w:r w:rsidRPr="002C4077">
        <w:t xml:space="preserve"> </w:t>
      </w:r>
      <w:r>
        <w:t>le</w:t>
      </w:r>
      <w:r w:rsidRPr="002C4077">
        <w:t xml:space="preserve"> </w:t>
      </w:r>
      <w:r>
        <w:t>révérend</w:t>
      </w:r>
      <w:r w:rsidRPr="002C4077">
        <w:t xml:space="preserve"> </w:t>
      </w:r>
      <w:r>
        <w:t>A.</w:t>
      </w:r>
      <w:r w:rsidRPr="002C4077">
        <w:t xml:space="preserve"> </w:t>
      </w:r>
      <w:r>
        <w:t>Roberts</w:t>
      </w:r>
      <w:r w:rsidR="00B91AF7">
        <w:rPr>
          <w:rStyle w:val="Appelnotedebasdep"/>
        </w:rPr>
        <w:footnoteReference w:id="653"/>
      </w:r>
      <w:r>
        <w:t>,</w:t>
      </w:r>
      <w:r w:rsidRPr="002C4077">
        <w:t xml:space="preserve"> </w:t>
      </w:r>
      <w:r>
        <w:t>l’un</w:t>
      </w:r>
      <w:r w:rsidRPr="002C4077">
        <w:t xml:space="preserve"> </w:t>
      </w:r>
      <w:r>
        <w:t>des</w:t>
      </w:r>
      <w:r w:rsidRPr="002C4077">
        <w:t xml:space="preserve"> </w:t>
      </w:r>
      <w:r>
        <w:t>membres</w:t>
      </w:r>
      <w:r w:rsidRPr="002C4077">
        <w:t xml:space="preserve"> </w:t>
      </w:r>
      <w:r>
        <w:t>du</w:t>
      </w:r>
      <w:r w:rsidRPr="002C4077">
        <w:t xml:space="preserve"> </w:t>
      </w:r>
      <w:r>
        <w:t>célèbre</w:t>
      </w:r>
      <w:r w:rsidRPr="002C4077">
        <w:t xml:space="preserve"> </w:t>
      </w:r>
      <w:r>
        <w:t>comité</w:t>
      </w:r>
      <w:r w:rsidR="00B546AF">
        <w:t> :</w:t>
      </w:r>
      <w:r w:rsidRPr="002C4077">
        <w:t xml:space="preserve"> </w:t>
      </w:r>
      <w:r>
        <w:t>c’est</w:t>
      </w:r>
      <w:r w:rsidRPr="002C4077">
        <w:t xml:space="preserve"> </w:t>
      </w:r>
      <w:r>
        <w:t>un</w:t>
      </w:r>
      <w:r w:rsidRPr="002C4077">
        <w:t xml:space="preserve"> </w:t>
      </w:r>
      <w:r>
        <w:t>perpétuel</w:t>
      </w:r>
      <w:r w:rsidRPr="002C4077">
        <w:t xml:space="preserve"> </w:t>
      </w:r>
      <w:r>
        <w:t>éloge</w:t>
      </w:r>
      <w:r w:rsidRPr="002C4077">
        <w:t xml:space="preserve"> </w:t>
      </w:r>
      <w:r>
        <w:t>de</w:t>
      </w:r>
      <w:r w:rsidRPr="002C4077">
        <w:t xml:space="preserve"> </w:t>
      </w:r>
      <w:r>
        <w:t>la</w:t>
      </w:r>
      <w:r w:rsidRPr="002C4077">
        <w:t xml:space="preserve"> </w:t>
      </w:r>
      <w:r>
        <w:t>nouvelle</w:t>
      </w:r>
      <w:r w:rsidRPr="002C4077">
        <w:t xml:space="preserve"> </w:t>
      </w:r>
      <w:r>
        <w:t>traduction,</w:t>
      </w:r>
      <w:r w:rsidRPr="002C4077">
        <w:t xml:space="preserve"> </w:t>
      </w:r>
      <w:r>
        <w:t>aux</w:t>
      </w:r>
      <w:r w:rsidRPr="002C4077">
        <w:t xml:space="preserve"> </w:t>
      </w:r>
      <w:r>
        <w:t>dépens,</w:t>
      </w:r>
      <w:r w:rsidRPr="002C4077">
        <w:t xml:space="preserve"> </w:t>
      </w:r>
      <w:r>
        <w:t>bien</w:t>
      </w:r>
      <w:r w:rsidRPr="002C4077">
        <w:t xml:space="preserve"> </w:t>
      </w:r>
      <w:r>
        <w:t>entendu,</w:t>
      </w:r>
      <w:r w:rsidRPr="002C4077">
        <w:t xml:space="preserve"> </w:t>
      </w:r>
      <w:r>
        <w:t>de</w:t>
      </w:r>
      <w:r w:rsidRPr="002C4077">
        <w:t xml:space="preserve"> </w:t>
      </w:r>
      <w:r>
        <w:t>la</w:t>
      </w:r>
      <w:r w:rsidRPr="002C4077">
        <w:t xml:space="preserve"> </w:t>
      </w:r>
      <w:r>
        <w:t>pauvre</w:t>
      </w:r>
      <w:r w:rsidRPr="002C4077">
        <w:t xml:space="preserve"> </w:t>
      </w:r>
      <w:r w:rsidR="007B3C26">
        <w:t>Ve</w:t>
      </w:r>
      <w:r>
        <w:t>rsion</w:t>
      </w:r>
      <w:r w:rsidRPr="002C4077">
        <w:t xml:space="preserve"> </w:t>
      </w:r>
      <w:r>
        <w:t>autorisée.</w:t>
      </w:r>
      <w:r w:rsidRPr="002C4077">
        <w:t xml:space="preserve"> </w:t>
      </w:r>
      <w:r>
        <w:t>À</w:t>
      </w:r>
      <w:r w:rsidRPr="002C4077">
        <w:t xml:space="preserve"> </w:t>
      </w:r>
      <w:r>
        <w:t>chaque</w:t>
      </w:r>
      <w:r w:rsidRPr="002C4077">
        <w:t xml:space="preserve"> </w:t>
      </w:r>
      <w:r>
        <w:t>instant</w:t>
      </w:r>
      <w:r w:rsidRPr="002C4077">
        <w:t xml:space="preserve"> </w:t>
      </w:r>
      <w:r>
        <w:t>nous</w:t>
      </w:r>
      <w:r w:rsidRPr="002C4077">
        <w:t xml:space="preserve"> </w:t>
      </w:r>
      <w:r>
        <w:t>y</w:t>
      </w:r>
      <w:r w:rsidRPr="002C4077">
        <w:t xml:space="preserve"> </w:t>
      </w:r>
      <w:r>
        <w:t>rencontrons</w:t>
      </w:r>
      <w:r w:rsidRPr="002C4077">
        <w:t xml:space="preserve"> </w:t>
      </w:r>
      <w:r>
        <w:t>des</w:t>
      </w:r>
      <w:r w:rsidRPr="002C4077">
        <w:t xml:space="preserve"> </w:t>
      </w:r>
      <w:r>
        <w:t>phrases</w:t>
      </w:r>
      <w:r w:rsidRPr="002C4077">
        <w:t xml:space="preserve"> </w:t>
      </w:r>
      <w:r>
        <w:t>de</w:t>
      </w:r>
      <w:r w:rsidRPr="002C4077">
        <w:t xml:space="preserve"> </w:t>
      </w:r>
      <w:r>
        <w:t>ce</w:t>
      </w:r>
      <w:r w:rsidRPr="002C4077">
        <w:t xml:space="preserve"> </w:t>
      </w:r>
      <w:r>
        <w:t>genre</w:t>
      </w:r>
      <w:r w:rsidR="00B91AF7">
        <w:rPr>
          <w:rStyle w:val="Appelnotedebasdep"/>
        </w:rPr>
        <w:footnoteReference w:id="654"/>
      </w:r>
      <w:r w:rsidR="00B546AF">
        <w:t> :</w:t>
      </w:r>
      <w:r w:rsidRPr="002C4077">
        <w:t xml:space="preserve"> </w:t>
      </w:r>
      <w:r w:rsidR="00B546AF">
        <w:t>« </w:t>
      </w:r>
      <w:r>
        <w:t>La</w:t>
      </w:r>
      <w:r w:rsidRPr="002C4077">
        <w:t xml:space="preserve"> </w:t>
      </w:r>
      <w:r>
        <w:t>version</w:t>
      </w:r>
      <w:r w:rsidRPr="002C4077">
        <w:t xml:space="preserve"> </w:t>
      </w:r>
      <w:r>
        <w:t>autorisée</w:t>
      </w:r>
      <w:r w:rsidRPr="002C4077">
        <w:t xml:space="preserve"> </w:t>
      </w:r>
      <w:r>
        <w:t>s’est</w:t>
      </w:r>
      <w:r w:rsidRPr="002C4077">
        <w:t xml:space="preserve"> </w:t>
      </w:r>
      <w:r>
        <w:t>égarée</w:t>
      </w:r>
      <w:r w:rsidR="00B546AF">
        <w:t> ;</w:t>
      </w:r>
      <w:r w:rsidRPr="002C4077">
        <w:t xml:space="preserve"> </w:t>
      </w:r>
      <w:r>
        <w:t>mais</w:t>
      </w:r>
      <w:r w:rsidRPr="002C4077">
        <w:t xml:space="preserve"> </w:t>
      </w:r>
      <w:r>
        <w:t>voici</w:t>
      </w:r>
      <w:r w:rsidRPr="002C4077">
        <w:t xml:space="preserve"> </w:t>
      </w:r>
      <w:r>
        <w:t>une</w:t>
      </w:r>
      <w:r w:rsidRPr="002C4077">
        <w:t xml:space="preserve"> </w:t>
      </w:r>
      <w:r>
        <w:t>belle</w:t>
      </w:r>
      <w:r w:rsidRPr="002C4077">
        <w:t xml:space="preserve"> </w:t>
      </w:r>
      <w:r>
        <w:t>amélioration…</w:t>
      </w:r>
      <w:r w:rsidRPr="002C4077">
        <w:t xml:space="preserve"> </w:t>
      </w:r>
      <w:r>
        <w:t>C’était</w:t>
      </w:r>
      <w:r w:rsidRPr="002C4077">
        <w:t xml:space="preserve"> </w:t>
      </w:r>
      <w:r>
        <w:t>presque</w:t>
      </w:r>
      <w:r w:rsidRPr="002C4077">
        <w:t xml:space="preserve"> </w:t>
      </w:r>
      <w:r>
        <w:t>inintelligible</w:t>
      </w:r>
      <w:r w:rsidR="00B546AF">
        <w:t> ;</w:t>
      </w:r>
      <w:r w:rsidRPr="002C4077">
        <w:t xml:space="preserve"> </w:t>
      </w:r>
      <w:r>
        <w:t>un</w:t>
      </w:r>
      <w:r w:rsidRPr="002C4077">
        <w:t xml:space="preserve"> </w:t>
      </w:r>
      <w:r>
        <w:t>léger</w:t>
      </w:r>
      <w:r w:rsidRPr="002C4077">
        <w:t xml:space="preserve"> </w:t>
      </w:r>
      <w:r>
        <w:t>changement</w:t>
      </w:r>
      <w:r w:rsidRPr="002C4077">
        <w:t xml:space="preserve"> </w:t>
      </w:r>
      <w:r>
        <w:t>a</w:t>
      </w:r>
      <w:r w:rsidRPr="002C4077">
        <w:t xml:space="preserve"> </w:t>
      </w:r>
      <w:r>
        <w:t>produit</w:t>
      </w:r>
      <w:r w:rsidRPr="002C4077">
        <w:t xml:space="preserve"> </w:t>
      </w:r>
      <w:r>
        <w:t>une</w:t>
      </w:r>
      <w:r w:rsidRPr="002C4077">
        <w:t xml:space="preserve"> </w:t>
      </w:r>
      <w:r>
        <w:t>grande</w:t>
      </w:r>
      <w:r w:rsidRPr="002C4077">
        <w:t xml:space="preserve"> </w:t>
      </w:r>
      <w:r>
        <w:t>amélioration</w:t>
      </w:r>
      <w:r w:rsidRPr="002C4077">
        <w:t xml:space="preserve"> </w:t>
      </w:r>
      <w:r>
        <w:t>du</w:t>
      </w:r>
      <w:r w:rsidRPr="002C4077">
        <w:t xml:space="preserve"> </w:t>
      </w:r>
      <w:r>
        <w:t>texte…</w:t>
      </w:r>
      <w:r w:rsidRPr="002C4077">
        <w:t xml:space="preserve"> </w:t>
      </w:r>
      <w:r>
        <w:t>La</w:t>
      </w:r>
      <w:r w:rsidRPr="002C4077">
        <w:t xml:space="preserve"> </w:t>
      </w:r>
      <w:r>
        <w:t>version</w:t>
      </w:r>
      <w:r w:rsidRPr="002C4077">
        <w:t xml:space="preserve"> </w:t>
      </w:r>
      <w:r>
        <w:t>autorisée</w:t>
      </w:r>
      <w:r w:rsidRPr="002C4077">
        <w:t xml:space="preserve"> </w:t>
      </w:r>
      <w:r>
        <w:t>présente</w:t>
      </w:r>
      <w:r w:rsidRPr="002C4077">
        <w:t xml:space="preserve"> </w:t>
      </w:r>
      <w:r>
        <w:t>ici</w:t>
      </w:r>
      <w:r w:rsidRPr="002C4077">
        <w:t xml:space="preserve"> </w:t>
      </w:r>
      <w:r>
        <w:t>une</w:t>
      </w:r>
      <w:r w:rsidRPr="002C4077">
        <w:t xml:space="preserve"> </w:t>
      </w:r>
      <w:r>
        <w:t>traduction</w:t>
      </w:r>
      <w:r w:rsidRPr="002C4077">
        <w:t xml:space="preserve"> </w:t>
      </w:r>
      <w:r>
        <w:t>impossible,</w:t>
      </w:r>
      <w:r w:rsidRPr="002C4077">
        <w:t xml:space="preserve"> </w:t>
      </w:r>
      <w:r>
        <w:t>il</w:t>
      </w:r>
      <w:r w:rsidRPr="002C4077">
        <w:t xml:space="preserve"> </w:t>
      </w:r>
      <w:r w:rsidR="00425C50">
        <w:t>est</w:t>
      </w:r>
      <w:r w:rsidRPr="002C4077">
        <w:t xml:space="preserve"> </w:t>
      </w:r>
      <w:r>
        <w:t>certain</w:t>
      </w:r>
      <w:r w:rsidRPr="002C4077">
        <w:t xml:space="preserve"> </w:t>
      </w:r>
      <w:r>
        <w:t>qu’elle</w:t>
      </w:r>
      <w:r w:rsidRPr="002C4077">
        <w:t xml:space="preserve"> </w:t>
      </w:r>
      <w:r>
        <w:t>se</w:t>
      </w:r>
      <w:r w:rsidRPr="002C4077">
        <w:t xml:space="preserve"> </w:t>
      </w:r>
      <w:r>
        <w:t>trompe</w:t>
      </w:r>
      <w:r w:rsidR="00B546AF">
        <w:t> ;</w:t>
      </w:r>
      <w:r w:rsidRPr="002C4077">
        <w:t xml:space="preserve"> </w:t>
      </w:r>
      <w:r>
        <w:t>mais</w:t>
      </w:r>
      <w:r w:rsidRPr="002C4077">
        <w:t xml:space="preserve"> </w:t>
      </w:r>
      <w:r>
        <w:t>les</w:t>
      </w:r>
      <w:r w:rsidRPr="002C4077">
        <w:t xml:space="preserve"> </w:t>
      </w:r>
      <w:r>
        <w:t>réviseurs</w:t>
      </w:r>
      <w:r w:rsidRPr="002C4077">
        <w:t xml:space="preserve"> </w:t>
      </w:r>
      <w:r>
        <w:t>ont</w:t>
      </w:r>
      <w:r w:rsidRPr="002C4077">
        <w:t xml:space="preserve"> </w:t>
      </w:r>
      <w:r>
        <w:t>fait</w:t>
      </w:r>
      <w:r w:rsidRPr="002C4077">
        <w:t xml:space="preserve"> </w:t>
      </w:r>
      <w:r>
        <w:t>un</w:t>
      </w:r>
      <w:r w:rsidRPr="002C4077">
        <w:t xml:space="preserve"> </w:t>
      </w:r>
      <w:r>
        <w:t>remarquable</w:t>
      </w:r>
      <w:r w:rsidRPr="002C4077">
        <w:t xml:space="preserve"> </w:t>
      </w:r>
      <w:r>
        <w:t>changement…</w:t>
      </w:r>
      <w:r w:rsidRPr="002C4077">
        <w:t xml:space="preserve"> </w:t>
      </w:r>
      <w:r>
        <w:t>Ce</w:t>
      </w:r>
      <w:r w:rsidRPr="002C4077">
        <w:t xml:space="preserve"> </w:t>
      </w:r>
      <w:r>
        <w:t>verset</w:t>
      </w:r>
      <w:r w:rsidRPr="002C4077">
        <w:t xml:space="preserve"> </w:t>
      </w:r>
      <w:r w:rsidR="00425C50">
        <w:t>est</w:t>
      </w:r>
      <w:r w:rsidRPr="002C4077">
        <w:t xml:space="preserve"> </w:t>
      </w:r>
      <w:r>
        <w:t>gâté</w:t>
      </w:r>
      <w:r w:rsidRPr="002C4077">
        <w:t xml:space="preserve"> </w:t>
      </w:r>
      <w:r>
        <w:t>dans</w:t>
      </w:r>
      <w:r w:rsidRPr="002C4077">
        <w:t xml:space="preserve"> </w:t>
      </w:r>
      <w:r>
        <w:t>la</w:t>
      </w:r>
      <w:r w:rsidRPr="002C4077">
        <w:t xml:space="preserve"> </w:t>
      </w:r>
      <w:r>
        <w:t>version</w:t>
      </w:r>
      <w:r w:rsidRPr="002C4077">
        <w:t xml:space="preserve"> </w:t>
      </w:r>
      <w:r>
        <w:t>autorisée</w:t>
      </w:r>
      <w:r w:rsidR="00B546AF">
        <w:t> ;</w:t>
      </w:r>
      <w:r w:rsidRPr="002C4077">
        <w:t xml:space="preserve"> </w:t>
      </w:r>
      <w:r>
        <w:t>sa</w:t>
      </w:r>
      <w:r w:rsidRPr="002C4077">
        <w:t xml:space="preserve"> </w:t>
      </w:r>
      <w:r>
        <w:t>traduction</w:t>
      </w:r>
      <w:r w:rsidRPr="002C4077">
        <w:t xml:space="preserve"> </w:t>
      </w:r>
      <w:r w:rsidR="00425C50">
        <w:t>est</w:t>
      </w:r>
      <w:r w:rsidRPr="002C4077">
        <w:t xml:space="preserve"> </w:t>
      </w:r>
      <w:r>
        <w:t>non-seulement</w:t>
      </w:r>
      <w:r w:rsidRPr="002C4077">
        <w:t xml:space="preserve"> </w:t>
      </w:r>
      <w:r>
        <w:t>erronée,</w:t>
      </w:r>
      <w:r w:rsidRPr="002C4077">
        <w:t xml:space="preserve"> </w:t>
      </w:r>
      <w:r>
        <w:t>mais</w:t>
      </w:r>
      <w:r w:rsidRPr="002C4077">
        <w:t xml:space="preserve"> </w:t>
      </w:r>
      <w:r>
        <w:t>absurde</w:t>
      </w:r>
      <w:r w:rsidR="00B546AF">
        <w:t> ;</w:t>
      </w:r>
      <w:r w:rsidRPr="002C4077">
        <w:t xml:space="preserve"> </w:t>
      </w:r>
      <w:r>
        <w:t>quel</w:t>
      </w:r>
      <w:r w:rsidRPr="002C4077">
        <w:t xml:space="preserve"> </w:t>
      </w:r>
      <w:r>
        <w:t>changement</w:t>
      </w:r>
      <w:r w:rsidRPr="002C4077">
        <w:t xml:space="preserve"> </w:t>
      </w:r>
      <w:r>
        <w:t>intéressant</w:t>
      </w:r>
      <w:r w:rsidRPr="002C4077">
        <w:t xml:space="preserve"> </w:t>
      </w:r>
      <w:r>
        <w:t>dans</w:t>
      </w:r>
      <w:r w:rsidRPr="002C4077">
        <w:t xml:space="preserve"> </w:t>
      </w:r>
      <w:r>
        <w:t>la</w:t>
      </w:r>
      <w:r w:rsidRPr="002C4077">
        <w:t xml:space="preserve"> </w:t>
      </w:r>
      <w:r>
        <w:t>version</w:t>
      </w:r>
      <w:r w:rsidRPr="002C4077">
        <w:t xml:space="preserve"> </w:t>
      </w:r>
      <w:r>
        <w:t>nouvelle</w:t>
      </w:r>
      <w:r w:rsidR="00B546AF">
        <w:t> ! »</w:t>
      </w:r>
      <w:r w:rsidRPr="002C4077">
        <w:t xml:space="preserve"> </w:t>
      </w:r>
    </w:p>
    <w:p w:rsidR="000A7AAB" w:rsidRDefault="000A7AAB" w:rsidP="000A7AAB">
      <w:r>
        <w:t>Cependant,</w:t>
      </w:r>
      <w:r w:rsidRPr="002C4077">
        <w:t xml:space="preserve"> </w:t>
      </w:r>
      <w:r>
        <w:t>tel</w:t>
      </w:r>
      <w:r w:rsidRPr="002C4077">
        <w:t xml:space="preserve"> </w:t>
      </w:r>
      <w:r>
        <w:t>n’est</w:t>
      </w:r>
      <w:r w:rsidRPr="002C4077">
        <w:t xml:space="preserve"> </w:t>
      </w:r>
      <w:r>
        <w:t>pas</w:t>
      </w:r>
      <w:r w:rsidRPr="002C4077">
        <w:t xml:space="preserve"> </w:t>
      </w:r>
      <w:r>
        <w:t>l’avis</w:t>
      </w:r>
      <w:r w:rsidRPr="002C4077">
        <w:t xml:space="preserve"> </w:t>
      </w:r>
      <w:r>
        <w:t>universel,</w:t>
      </w:r>
      <w:r w:rsidRPr="002C4077">
        <w:t xml:space="preserve"> </w:t>
      </w:r>
      <w:r>
        <w:t>car,</w:t>
      </w:r>
      <w:r w:rsidRPr="002C4077">
        <w:t xml:space="preserve"> </w:t>
      </w:r>
      <w:r>
        <w:t>dès</w:t>
      </w:r>
      <w:r w:rsidRPr="002C4077">
        <w:t xml:space="preserve"> </w:t>
      </w:r>
      <w:r>
        <w:t>les</w:t>
      </w:r>
      <w:r w:rsidRPr="002C4077">
        <w:t xml:space="preserve"> </w:t>
      </w:r>
      <w:r>
        <w:t>premiers</w:t>
      </w:r>
      <w:r w:rsidRPr="002C4077">
        <w:t xml:space="preserve"> </w:t>
      </w:r>
      <w:r>
        <w:t>jours,</w:t>
      </w:r>
      <w:r w:rsidRPr="002C4077">
        <w:t xml:space="preserve"> </w:t>
      </w:r>
      <w:r>
        <w:t>les</w:t>
      </w:r>
      <w:r w:rsidRPr="002C4077">
        <w:t xml:space="preserve"> </w:t>
      </w:r>
      <w:r>
        <w:t>contradicteurs</w:t>
      </w:r>
      <w:r w:rsidRPr="002C4077">
        <w:t xml:space="preserve"> </w:t>
      </w:r>
      <w:r>
        <w:t>se</w:t>
      </w:r>
      <w:r w:rsidRPr="002C4077">
        <w:t xml:space="preserve"> </w:t>
      </w:r>
      <w:r>
        <w:t>nommaient</w:t>
      </w:r>
      <w:r w:rsidRPr="002C4077">
        <w:t xml:space="preserve"> </w:t>
      </w:r>
      <w:r>
        <w:t>légion.</w:t>
      </w:r>
      <w:r w:rsidRPr="002C4077">
        <w:t xml:space="preserve"> </w:t>
      </w:r>
      <w:r>
        <w:t>Je</w:t>
      </w:r>
      <w:r w:rsidRPr="002C4077">
        <w:t xml:space="preserve"> </w:t>
      </w:r>
      <w:r>
        <w:t>ne</w:t>
      </w:r>
      <w:r w:rsidRPr="002C4077">
        <w:t xml:space="preserve"> </w:t>
      </w:r>
      <w:r>
        <w:t>sais</w:t>
      </w:r>
      <w:r w:rsidRPr="002C4077">
        <w:t xml:space="preserve"> </w:t>
      </w:r>
      <w:r>
        <w:t>quel</w:t>
      </w:r>
      <w:r w:rsidRPr="002C4077">
        <w:t xml:space="preserve"> </w:t>
      </w:r>
      <w:r>
        <w:t>journal</w:t>
      </w:r>
      <w:r w:rsidRPr="002C4077">
        <w:t xml:space="preserve"> </w:t>
      </w:r>
      <w:r>
        <w:t>avait</w:t>
      </w:r>
      <w:r w:rsidRPr="002C4077">
        <w:t xml:space="preserve"> </w:t>
      </w:r>
      <w:r>
        <w:t>eu</w:t>
      </w:r>
      <w:r w:rsidRPr="002C4077">
        <w:t xml:space="preserve"> </w:t>
      </w:r>
      <w:r>
        <w:t>la</w:t>
      </w:r>
      <w:r w:rsidRPr="002C4077">
        <w:t xml:space="preserve"> </w:t>
      </w:r>
      <w:r>
        <w:t>pensée</w:t>
      </w:r>
      <w:r w:rsidRPr="002C4077">
        <w:t xml:space="preserve"> </w:t>
      </w:r>
      <w:r>
        <w:t>de</w:t>
      </w:r>
      <w:r w:rsidRPr="002C4077">
        <w:t xml:space="preserve"> </w:t>
      </w:r>
      <w:r>
        <w:t>grouper</w:t>
      </w:r>
      <w:r w:rsidRPr="002C4077">
        <w:t xml:space="preserve"> </w:t>
      </w:r>
      <w:r>
        <w:t>leurs</w:t>
      </w:r>
      <w:r w:rsidRPr="002C4077">
        <w:t xml:space="preserve"> </w:t>
      </w:r>
      <w:r>
        <w:t>appréciations</w:t>
      </w:r>
      <w:r w:rsidRPr="002C4077">
        <w:t xml:space="preserve"> </w:t>
      </w:r>
      <w:r>
        <w:t>plus</w:t>
      </w:r>
      <w:r w:rsidRPr="002C4077">
        <w:t xml:space="preserve"> </w:t>
      </w:r>
      <w:r>
        <w:t>ou</w:t>
      </w:r>
      <w:r w:rsidRPr="002C4077">
        <w:t xml:space="preserve"> </w:t>
      </w:r>
      <w:r>
        <w:t>moins</w:t>
      </w:r>
      <w:r w:rsidRPr="002C4077">
        <w:t xml:space="preserve"> </w:t>
      </w:r>
      <w:r>
        <w:t>sévères,</w:t>
      </w:r>
      <w:r w:rsidRPr="002C4077">
        <w:t xml:space="preserve"> </w:t>
      </w:r>
      <w:r w:rsidR="00B546AF">
        <w:t>« </w:t>
      </w:r>
      <w:r>
        <w:t>ce</w:t>
      </w:r>
      <w:r w:rsidRPr="002C4077">
        <w:t xml:space="preserve"> </w:t>
      </w:r>
      <w:r>
        <w:t>qui</w:t>
      </w:r>
      <w:r w:rsidRPr="002C4077">
        <w:t xml:space="preserve"> </w:t>
      </w:r>
      <w:r>
        <w:t>nous</w:t>
      </w:r>
      <w:r w:rsidRPr="002C4077">
        <w:t xml:space="preserve"> </w:t>
      </w:r>
      <w:r>
        <w:t>eût</w:t>
      </w:r>
      <w:r w:rsidRPr="002C4077">
        <w:t xml:space="preserve"> </w:t>
      </w:r>
      <w:r>
        <w:t>donné,</w:t>
      </w:r>
      <w:r w:rsidRPr="002C4077">
        <w:t xml:space="preserve"> </w:t>
      </w:r>
      <w:r>
        <w:t>dit-une</w:t>
      </w:r>
      <w:r w:rsidRPr="002C4077">
        <w:t xml:space="preserve"> </w:t>
      </w:r>
      <w:r>
        <w:t>autre</w:t>
      </w:r>
      <w:r w:rsidRPr="002C4077">
        <w:t xml:space="preserve"> </w:t>
      </w:r>
      <w:r>
        <w:t>feuille</w:t>
      </w:r>
      <w:r w:rsidRPr="002C4077">
        <w:t xml:space="preserve"> </w:t>
      </w:r>
      <w:r w:rsidR="0075326F">
        <w:t>périodique</w:t>
      </w:r>
      <w:r w:rsidR="0075326F">
        <w:rPr>
          <w:rStyle w:val="Appelnotedebasdep"/>
        </w:rPr>
        <w:footnoteReference w:id="655"/>
      </w:r>
      <w:r>
        <w:t>,</w:t>
      </w:r>
      <w:r w:rsidRPr="002C4077">
        <w:t xml:space="preserve"> </w:t>
      </w:r>
      <w:r>
        <w:t>un</w:t>
      </w:r>
      <w:r w:rsidRPr="002C4077">
        <w:t xml:space="preserve"> </w:t>
      </w:r>
      <w:r>
        <w:t>curieux</w:t>
      </w:r>
      <w:r w:rsidRPr="002C4077">
        <w:t xml:space="preserve"> </w:t>
      </w:r>
      <w:r w:rsidR="00FB4E2C" w:rsidRPr="000A34B5">
        <w:rPr>
          <w:rStyle w:val="italicus"/>
        </w:rPr>
        <w:t>symp</w:t>
      </w:r>
      <w:r w:rsidR="00FB4E2C">
        <w:rPr>
          <w:rStyle w:val="italicus"/>
        </w:rPr>
        <w:t>o</w:t>
      </w:r>
      <w:r w:rsidR="00FB4E2C" w:rsidRPr="000A34B5">
        <w:rPr>
          <w:rStyle w:val="italicus"/>
        </w:rPr>
        <w:t>sium</w:t>
      </w:r>
      <w:r w:rsidR="00B546AF">
        <w:t> »</w:t>
      </w:r>
      <w:r>
        <w:t>.</w:t>
      </w:r>
      <w:r w:rsidR="00C45B47">
        <w:t xml:space="preserve"> {</w:t>
      </w:r>
      <w:r w:rsidR="001F5257">
        <w:t>197</w:t>
      </w:r>
      <w:bookmarkStart w:id="498" w:name="p197"/>
      <w:bookmarkEnd w:id="498"/>
      <w:r w:rsidR="001F5257">
        <w:t xml:space="preserve">} </w:t>
      </w:r>
      <w:r>
        <w:t>Curieux</w:t>
      </w:r>
      <w:r w:rsidRPr="002C4077">
        <w:t xml:space="preserve"> </w:t>
      </w:r>
      <w:r>
        <w:t>banquet,</w:t>
      </w:r>
      <w:r w:rsidRPr="002C4077">
        <w:t xml:space="preserve"> </w:t>
      </w:r>
      <w:r>
        <w:t>assurément</w:t>
      </w:r>
      <w:r w:rsidR="00B546AF">
        <w:t> ;</w:t>
      </w:r>
      <w:r w:rsidRPr="002C4077">
        <w:t xml:space="preserve"> </w:t>
      </w:r>
      <w:r>
        <w:t>ses</w:t>
      </w:r>
      <w:r w:rsidRPr="002C4077">
        <w:t xml:space="preserve"> </w:t>
      </w:r>
      <w:r>
        <w:t>mets,</w:t>
      </w:r>
      <w:r w:rsidRPr="002C4077">
        <w:t xml:space="preserve"> </w:t>
      </w:r>
      <w:r>
        <w:t>toutefois,</w:t>
      </w:r>
      <w:r w:rsidRPr="002C4077">
        <w:t xml:space="preserve"> </w:t>
      </w:r>
      <w:r>
        <w:t>auront</w:t>
      </w:r>
      <w:r w:rsidRPr="002C4077">
        <w:t xml:space="preserve"> </w:t>
      </w:r>
      <w:r>
        <w:t>dû</w:t>
      </w:r>
      <w:r w:rsidRPr="002C4077">
        <w:t xml:space="preserve"> </w:t>
      </w:r>
      <w:r>
        <w:t>paraître</w:t>
      </w:r>
      <w:r w:rsidRPr="002C4077">
        <w:t xml:space="preserve"> </w:t>
      </w:r>
      <w:r>
        <w:t>bien</w:t>
      </w:r>
      <w:r w:rsidRPr="002C4077">
        <w:t xml:space="preserve"> </w:t>
      </w:r>
      <w:r>
        <w:t>amers</w:t>
      </w:r>
      <w:r w:rsidRPr="002C4077">
        <w:t xml:space="preserve"> </w:t>
      </w:r>
      <w:r>
        <w:t>aux</w:t>
      </w:r>
      <w:r w:rsidRPr="002C4077">
        <w:t xml:space="preserve"> </w:t>
      </w:r>
      <w:r>
        <w:t>réviseurs.</w:t>
      </w:r>
      <w:r w:rsidRPr="002C4077">
        <w:t xml:space="preserve"> </w:t>
      </w:r>
      <w:r>
        <w:t>Nous</w:t>
      </w:r>
      <w:r w:rsidRPr="002C4077">
        <w:t xml:space="preserve"> </w:t>
      </w:r>
      <w:r>
        <w:t>n’avons</w:t>
      </w:r>
      <w:r w:rsidRPr="002C4077">
        <w:t xml:space="preserve"> </w:t>
      </w:r>
      <w:r>
        <w:t>pu</w:t>
      </w:r>
      <w:r w:rsidRPr="002C4077">
        <w:t xml:space="preserve"> </w:t>
      </w:r>
      <w:r>
        <w:t>mettre</w:t>
      </w:r>
      <w:r w:rsidRPr="002C4077">
        <w:t xml:space="preserve"> </w:t>
      </w:r>
      <w:r>
        <w:t>la</w:t>
      </w:r>
      <w:r w:rsidRPr="002C4077">
        <w:t xml:space="preserve"> </w:t>
      </w:r>
      <w:r>
        <w:t>main</w:t>
      </w:r>
      <w:r w:rsidRPr="002C4077">
        <w:t xml:space="preserve"> </w:t>
      </w:r>
      <w:r>
        <w:t>sur</w:t>
      </w:r>
      <w:r w:rsidRPr="002C4077">
        <w:t xml:space="preserve"> </w:t>
      </w:r>
      <w:r>
        <w:t>cette</w:t>
      </w:r>
      <w:r w:rsidRPr="002C4077">
        <w:t xml:space="preserve"> </w:t>
      </w:r>
      <w:r>
        <w:t>pièce,</w:t>
      </w:r>
      <w:r w:rsidRPr="002C4077">
        <w:t xml:space="preserve"> </w:t>
      </w:r>
      <w:r>
        <w:t>qui</w:t>
      </w:r>
      <w:r w:rsidRPr="002C4077">
        <w:t xml:space="preserve"> </w:t>
      </w:r>
      <w:r>
        <w:t>peut-être</w:t>
      </w:r>
      <w:r w:rsidRPr="002C4077">
        <w:t xml:space="preserve"> </w:t>
      </w:r>
      <w:r>
        <w:t>n’a</w:t>
      </w:r>
      <w:r w:rsidRPr="002C4077">
        <w:t xml:space="preserve"> </w:t>
      </w:r>
      <w:r>
        <w:t>jamais</w:t>
      </w:r>
      <w:r w:rsidRPr="002C4077">
        <w:t xml:space="preserve"> </w:t>
      </w:r>
      <w:r>
        <w:t>vu</w:t>
      </w:r>
      <w:r w:rsidRPr="002C4077">
        <w:t xml:space="preserve"> </w:t>
      </w:r>
      <w:r>
        <w:t>le</w:t>
      </w:r>
      <w:r w:rsidRPr="002C4077">
        <w:t xml:space="preserve"> </w:t>
      </w:r>
      <w:r>
        <w:t>jour.</w:t>
      </w:r>
      <w:r w:rsidRPr="002C4077">
        <w:t xml:space="preserve"> </w:t>
      </w:r>
      <w:r>
        <w:t>Du</w:t>
      </w:r>
      <w:r w:rsidRPr="002C4077">
        <w:t xml:space="preserve"> </w:t>
      </w:r>
      <w:r>
        <w:t>reste,</w:t>
      </w:r>
      <w:r w:rsidRPr="002C4077">
        <w:t xml:space="preserve"> </w:t>
      </w:r>
      <w:r>
        <w:t>les</w:t>
      </w:r>
      <w:r w:rsidRPr="002C4077">
        <w:t xml:space="preserve"> </w:t>
      </w:r>
      <w:r>
        <w:t>lignes</w:t>
      </w:r>
      <w:r w:rsidRPr="002C4077">
        <w:t xml:space="preserve"> </w:t>
      </w:r>
      <w:r>
        <w:t>qui</w:t>
      </w:r>
      <w:r w:rsidRPr="002C4077">
        <w:t xml:space="preserve"> </w:t>
      </w:r>
      <w:r>
        <w:t>suivent</w:t>
      </w:r>
      <w:r w:rsidRPr="002C4077">
        <w:t xml:space="preserve"> </w:t>
      </w:r>
      <w:r>
        <w:t>indiqueront</w:t>
      </w:r>
      <w:r w:rsidRPr="002C4077">
        <w:t xml:space="preserve"> </w:t>
      </w:r>
      <w:r>
        <w:t>approximativement</w:t>
      </w:r>
      <w:r w:rsidRPr="002C4077">
        <w:t xml:space="preserve"> </w:t>
      </w:r>
      <w:r>
        <w:t>au</w:t>
      </w:r>
      <w:r w:rsidRPr="002C4077">
        <w:t xml:space="preserve"> </w:t>
      </w:r>
      <w:r>
        <w:t>lecteur</w:t>
      </w:r>
      <w:r w:rsidRPr="002C4077">
        <w:t xml:space="preserve"> </w:t>
      </w:r>
      <w:r>
        <w:t>ce</w:t>
      </w:r>
      <w:r w:rsidRPr="002C4077">
        <w:t xml:space="preserve"> </w:t>
      </w:r>
      <w:r>
        <w:t>que</w:t>
      </w:r>
      <w:r w:rsidRPr="002C4077">
        <w:t xml:space="preserve"> </w:t>
      </w:r>
      <w:r>
        <w:t>pouvait</w:t>
      </w:r>
      <w:r w:rsidRPr="002C4077">
        <w:t xml:space="preserve"> </w:t>
      </w:r>
      <w:r>
        <w:t>être</w:t>
      </w:r>
      <w:r w:rsidRPr="002C4077">
        <w:t xml:space="preserve"> </w:t>
      </w:r>
      <w:r>
        <w:t>le</w:t>
      </w:r>
      <w:r w:rsidRPr="002C4077">
        <w:t xml:space="preserve"> </w:t>
      </w:r>
      <w:r>
        <w:t>menu</w:t>
      </w:r>
      <w:r w:rsidRPr="002C4077">
        <w:t xml:space="preserve"> </w:t>
      </w:r>
      <w:r>
        <w:t>d’un</w:t>
      </w:r>
      <w:r w:rsidRPr="002C4077">
        <w:t xml:space="preserve"> </w:t>
      </w:r>
      <w:r>
        <w:t>tel</w:t>
      </w:r>
      <w:r w:rsidRPr="002C4077">
        <w:t xml:space="preserve"> </w:t>
      </w:r>
      <w:r w:rsidR="00FB4E2C" w:rsidRPr="000A34B5">
        <w:rPr>
          <w:rStyle w:val="italicus"/>
        </w:rPr>
        <w:t>symp</w:t>
      </w:r>
      <w:r w:rsidR="00FB4E2C">
        <w:rPr>
          <w:rStyle w:val="italicus"/>
        </w:rPr>
        <w:t>o</w:t>
      </w:r>
      <w:r w:rsidR="00FB4E2C" w:rsidRPr="000A34B5">
        <w:rPr>
          <w:rStyle w:val="italicus"/>
        </w:rPr>
        <w:t>sium</w:t>
      </w:r>
      <w:r w:rsidR="00D22163">
        <w:rPr>
          <w:rStyle w:val="Appelnotedebasdep"/>
          <w:i/>
        </w:rPr>
        <w:footnoteReference w:id="656"/>
      </w:r>
      <w:r w:rsidR="00D22163">
        <w:rPr>
          <w:rStyle w:val="italicus"/>
        </w:rPr>
        <w:t>.</w:t>
      </w:r>
      <w:r w:rsidRPr="002C4077">
        <w:t xml:space="preserve"> </w:t>
      </w:r>
    </w:p>
    <w:p w:rsidR="000A7AAB" w:rsidRDefault="000A7AAB" w:rsidP="000A7AAB">
      <w:r>
        <w:t>Donnons</w:t>
      </w:r>
      <w:r w:rsidRPr="002C4077">
        <w:t xml:space="preserve"> </w:t>
      </w:r>
      <w:r>
        <w:t>d’abord</w:t>
      </w:r>
      <w:r w:rsidRPr="002C4077">
        <w:t xml:space="preserve"> </w:t>
      </w:r>
      <w:r>
        <w:t>quelques</w:t>
      </w:r>
      <w:r w:rsidRPr="002C4077">
        <w:t xml:space="preserve"> </w:t>
      </w:r>
      <w:r>
        <w:t>appréciations</w:t>
      </w:r>
      <w:r w:rsidRPr="002C4077">
        <w:t xml:space="preserve"> </w:t>
      </w:r>
      <w:r>
        <w:t>générales,</w:t>
      </w:r>
      <w:r w:rsidRPr="002C4077">
        <w:t xml:space="preserve"> </w:t>
      </w:r>
      <w:r>
        <w:t>—</w:t>
      </w:r>
      <w:r w:rsidRPr="002C4077">
        <w:t xml:space="preserve"> </w:t>
      </w:r>
      <w:r>
        <w:t>et</w:t>
      </w:r>
      <w:r w:rsidRPr="002C4077">
        <w:t xml:space="preserve"> </w:t>
      </w:r>
      <w:r>
        <w:t>ce</w:t>
      </w:r>
      <w:r w:rsidRPr="002C4077">
        <w:t xml:space="preserve"> </w:t>
      </w:r>
      <w:r>
        <w:t>n’est</w:t>
      </w:r>
      <w:r w:rsidRPr="002C4077">
        <w:t xml:space="preserve"> </w:t>
      </w:r>
      <w:r>
        <w:t>pas</w:t>
      </w:r>
      <w:r w:rsidRPr="002C4077">
        <w:t xml:space="preserve"> </w:t>
      </w:r>
      <w:r>
        <w:t>au</w:t>
      </w:r>
      <w:r w:rsidRPr="002C4077">
        <w:t xml:space="preserve"> </w:t>
      </w:r>
      <w:r>
        <w:t>premier</w:t>
      </w:r>
      <w:r w:rsidRPr="002C4077">
        <w:t xml:space="preserve"> </w:t>
      </w:r>
      <w:r>
        <w:t>venu</w:t>
      </w:r>
      <w:r w:rsidRPr="002C4077">
        <w:t xml:space="preserve"> </w:t>
      </w:r>
      <w:r>
        <w:t>que</w:t>
      </w:r>
      <w:r w:rsidRPr="002C4077">
        <w:t xml:space="preserve"> </w:t>
      </w:r>
      <w:r>
        <w:t>nous</w:t>
      </w:r>
      <w:r w:rsidRPr="002C4077">
        <w:t xml:space="preserve"> </w:t>
      </w:r>
      <w:r>
        <w:t>allons</w:t>
      </w:r>
      <w:r w:rsidRPr="002C4077">
        <w:t xml:space="preserve"> </w:t>
      </w:r>
      <w:r>
        <w:t>les</w:t>
      </w:r>
      <w:r w:rsidRPr="002C4077">
        <w:t xml:space="preserve"> </w:t>
      </w:r>
      <w:r>
        <w:t>emprunter.</w:t>
      </w:r>
      <w:r w:rsidRPr="002C4077">
        <w:t xml:space="preserve"> </w:t>
      </w:r>
    </w:p>
    <w:p w:rsidR="000A7AAB" w:rsidRDefault="00B546AF" w:rsidP="000A7AAB">
      <w:r>
        <w:lastRenderedPageBreak/>
        <w:t>« </w:t>
      </w:r>
      <w:r w:rsidR="000A7AAB">
        <w:t>L’œuvre</w:t>
      </w:r>
      <w:r w:rsidR="000A7AAB" w:rsidRPr="002C4077">
        <w:t xml:space="preserve"> </w:t>
      </w:r>
      <w:r w:rsidR="000A7AAB">
        <w:t>qui</w:t>
      </w:r>
      <w:r w:rsidR="000A7AAB" w:rsidRPr="002C4077">
        <w:t xml:space="preserve"> </w:t>
      </w:r>
      <w:r w:rsidR="000A7AAB">
        <w:t>vient</w:t>
      </w:r>
      <w:r w:rsidR="000A7AAB" w:rsidRPr="002C4077">
        <w:t xml:space="preserve"> </w:t>
      </w:r>
      <w:r w:rsidR="000A7AAB">
        <w:t>d’être</w:t>
      </w:r>
      <w:r w:rsidR="000A7AAB" w:rsidRPr="002C4077">
        <w:t xml:space="preserve"> </w:t>
      </w:r>
      <w:r w:rsidR="000A7AAB">
        <w:t>publiée</w:t>
      </w:r>
      <w:r w:rsidR="000A7AAB" w:rsidRPr="002C4077">
        <w:t xml:space="preserve"> </w:t>
      </w:r>
      <w:r w:rsidR="000A7AAB">
        <w:t>répond-elle</w:t>
      </w:r>
      <w:r w:rsidR="000A7AAB" w:rsidRPr="002C4077">
        <w:t xml:space="preserve"> </w:t>
      </w:r>
      <w:r w:rsidR="000A7AAB">
        <w:t>aux</w:t>
      </w:r>
      <w:r w:rsidR="000A7AAB" w:rsidRPr="002C4077">
        <w:t xml:space="preserve"> </w:t>
      </w:r>
      <w:r w:rsidR="000A7AAB">
        <w:t>espérances</w:t>
      </w:r>
      <w:r w:rsidR="000A7AAB" w:rsidRPr="002C4077">
        <w:t xml:space="preserve"> </w:t>
      </w:r>
      <w:r w:rsidR="000A7AAB">
        <w:t>qu’on</w:t>
      </w:r>
      <w:r w:rsidR="000A7AAB" w:rsidRPr="002C4077">
        <w:t xml:space="preserve"> </w:t>
      </w:r>
      <w:r w:rsidR="000A7AAB">
        <w:t>avait</w:t>
      </w:r>
      <w:r w:rsidR="000A7AAB" w:rsidRPr="002C4077">
        <w:t xml:space="preserve"> </w:t>
      </w:r>
      <w:r w:rsidR="000A7AAB">
        <w:t>entretenues</w:t>
      </w:r>
      <w:r w:rsidR="000A7AAB" w:rsidRPr="002C4077">
        <w:t xml:space="preserve"> </w:t>
      </w:r>
      <w:r w:rsidR="000A7AAB">
        <w:t>à</w:t>
      </w:r>
      <w:r w:rsidR="000A7AAB" w:rsidRPr="002C4077">
        <w:t xml:space="preserve"> </w:t>
      </w:r>
      <w:r w:rsidR="000A7AAB">
        <w:t>son</w:t>
      </w:r>
      <w:r w:rsidR="000A7AAB" w:rsidRPr="002C4077">
        <w:t xml:space="preserve"> </w:t>
      </w:r>
      <w:r w:rsidR="000A7AAB">
        <w:t>sujet</w:t>
      </w:r>
      <w:r>
        <w:t> ?</w:t>
      </w:r>
      <w:r w:rsidR="000A7AAB" w:rsidRPr="002C4077">
        <w:t xml:space="preserve"> </w:t>
      </w:r>
      <w:r w:rsidR="000A7AAB">
        <w:t>Telle</w:t>
      </w:r>
      <w:r w:rsidR="000A7AAB" w:rsidRPr="002C4077">
        <w:t xml:space="preserve"> </w:t>
      </w:r>
      <w:r w:rsidR="00425C50">
        <w:t>est</w:t>
      </w:r>
      <w:r w:rsidR="000A7AAB" w:rsidRPr="002C4077">
        <w:t xml:space="preserve"> </w:t>
      </w:r>
      <w:r w:rsidR="000A7AAB">
        <w:t>la</w:t>
      </w:r>
      <w:r w:rsidR="000A7AAB" w:rsidRPr="002C4077">
        <w:t xml:space="preserve"> </w:t>
      </w:r>
      <w:r w:rsidR="000A7AAB">
        <w:t>question</w:t>
      </w:r>
      <w:r w:rsidR="000A7AAB" w:rsidRPr="002C4077">
        <w:t xml:space="preserve"> </w:t>
      </w:r>
      <w:r w:rsidR="000A7AAB">
        <w:t>qui</w:t>
      </w:r>
      <w:r w:rsidR="000A7AAB" w:rsidRPr="002C4077">
        <w:t xml:space="preserve"> </w:t>
      </w:r>
      <w:r w:rsidR="000A7AAB">
        <w:t>se</w:t>
      </w:r>
      <w:r w:rsidR="000A7AAB" w:rsidRPr="002C4077">
        <w:t xml:space="preserve"> </w:t>
      </w:r>
      <w:r w:rsidR="000A7AAB">
        <w:t>pose</w:t>
      </w:r>
      <w:r w:rsidR="000A7AAB" w:rsidRPr="002C4077">
        <w:t xml:space="preserve"> </w:t>
      </w:r>
      <w:r w:rsidR="000A7AAB">
        <w:t>maintenant</w:t>
      </w:r>
      <w:r w:rsidR="00B91AF7">
        <w:rPr>
          <w:rStyle w:val="Appelnotedebasdep"/>
        </w:rPr>
        <w:footnoteReference w:id="657"/>
      </w:r>
      <w:r>
        <w:t> »</w:t>
      </w:r>
      <w:r w:rsidR="000A7AAB">
        <w:t>.</w:t>
      </w:r>
      <w:r w:rsidR="000A7AAB" w:rsidRPr="002C4077">
        <w:t xml:space="preserve"> </w:t>
      </w:r>
      <w:r w:rsidR="000A7AAB">
        <w:t>La</w:t>
      </w:r>
      <w:r w:rsidR="000A7AAB" w:rsidRPr="002C4077">
        <w:t xml:space="preserve"> </w:t>
      </w:r>
      <w:r w:rsidR="000A7AAB">
        <w:t>réponse</w:t>
      </w:r>
      <w:r w:rsidR="000A7AAB" w:rsidRPr="002C4077">
        <w:t xml:space="preserve"> </w:t>
      </w:r>
      <w:r w:rsidR="000A7AAB">
        <w:t>ne</w:t>
      </w:r>
      <w:r w:rsidR="000A7AAB" w:rsidRPr="002C4077">
        <w:t xml:space="preserve"> </w:t>
      </w:r>
      <w:r w:rsidR="000A7AAB">
        <w:t>se</w:t>
      </w:r>
      <w:r w:rsidR="000A7AAB" w:rsidRPr="002C4077">
        <w:t xml:space="preserve"> </w:t>
      </w:r>
      <w:r w:rsidR="000A7AAB">
        <w:t>fait</w:t>
      </w:r>
      <w:r w:rsidR="000A7AAB" w:rsidRPr="002C4077">
        <w:t xml:space="preserve"> </w:t>
      </w:r>
      <w:r w:rsidR="000A7AAB">
        <w:t>pas</w:t>
      </w:r>
      <w:r w:rsidR="000A7AAB" w:rsidRPr="002C4077">
        <w:t xml:space="preserve"> </w:t>
      </w:r>
      <w:r w:rsidR="000A7AAB">
        <w:t>longtemps</w:t>
      </w:r>
      <w:r w:rsidR="000A7AAB" w:rsidRPr="002C4077">
        <w:t xml:space="preserve"> </w:t>
      </w:r>
      <w:r w:rsidR="000A7AAB">
        <w:t>attendre.</w:t>
      </w:r>
      <w:r w:rsidR="000A7AAB" w:rsidRPr="002C4077">
        <w:t xml:space="preserve"> </w:t>
      </w:r>
      <w:r>
        <w:t>« </w:t>
      </w:r>
      <w:r w:rsidR="000A7AAB">
        <w:t>Ce</w:t>
      </w:r>
      <w:r w:rsidR="000A7AAB" w:rsidRPr="002C4077">
        <w:t xml:space="preserve"> </w:t>
      </w:r>
      <w:r w:rsidR="000A7AAB">
        <w:t>serait</w:t>
      </w:r>
      <w:r w:rsidR="000A7AAB" w:rsidRPr="002C4077">
        <w:t xml:space="preserve"> </w:t>
      </w:r>
      <w:r w:rsidR="000A7AAB">
        <w:t>certainement</w:t>
      </w:r>
      <w:r w:rsidR="000A7AAB" w:rsidRPr="002C4077">
        <w:t xml:space="preserve"> </w:t>
      </w:r>
      <w:r w:rsidR="000A7AAB">
        <w:t>une</w:t>
      </w:r>
      <w:r w:rsidR="000A7AAB" w:rsidRPr="002C4077">
        <w:t xml:space="preserve"> </w:t>
      </w:r>
      <w:r w:rsidR="000A7AAB">
        <w:t>chose</w:t>
      </w:r>
      <w:r w:rsidR="000A7AAB" w:rsidRPr="002C4077">
        <w:t xml:space="preserve"> </w:t>
      </w:r>
      <w:r w:rsidR="000A7AAB">
        <w:t>fâcheuse,</w:t>
      </w:r>
      <w:r w:rsidR="000A7AAB" w:rsidRPr="002C4077">
        <w:t xml:space="preserve"> </w:t>
      </w:r>
      <w:r w:rsidR="000A7AAB">
        <w:t>continue</w:t>
      </w:r>
      <w:r w:rsidR="000A7AAB" w:rsidRPr="002C4077">
        <w:t xml:space="preserve"> </w:t>
      </w:r>
      <w:r w:rsidR="000A7AAB">
        <w:t>M.</w:t>
      </w:r>
      <w:r w:rsidR="000A7AAB" w:rsidRPr="002C4077">
        <w:t xml:space="preserve"> </w:t>
      </w:r>
      <w:r w:rsidR="000A7AAB">
        <w:t>Drummond,</w:t>
      </w:r>
      <w:r w:rsidR="000A7AAB" w:rsidRPr="002C4077">
        <w:t xml:space="preserve"> </w:t>
      </w:r>
      <w:r w:rsidR="000A7AAB">
        <w:t>si</w:t>
      </w:r>
      <w:r w:rsidR="000A7AAB" w:rsidRPr="002C4077">
        <w:t xml:space="preserve"> </w:t>
      </w:r>
      <w:r w:rsidR="000A7AAB">
        <w:t>l’on</w:t>
      </w:r>
      <w:r w:rsidR="000A7AAB" w:rsidRPr="002C4077">
        <w:t xml:space="preserve"> </w:t>
      </w:r>
      <w:r w:rsidR="000A7AAB">
        <w:t>découvrait</w:t>
      </w:r>
      <w:r w:rsidR="000A7AAB" w:rsidRPr="002C4077">
        <w:t xml:space="preserve"> </w:t>
      </w:r>
      <w:r w:rsidR="000A7AAB">
        <w:t>qu’en</w:t>
      </w:r>
      <w:r w:rsidR="000A7AAB" w:rsidRPr="002C4077">
        <w:t xml:space="preserve"> </w:t>
      </w:r>
      <w:r w:rsidR="000A7AAB">
        <w:t>corrigeant</w:t>
      </w:r>
      <w:r w:rsidR="000A7AAB" w:rsidRPr="002C4077">
        <w:t xml:space="preserve"> </w:t>
      </w:r>
      <w:r w:rsidR="000A7AAB">
        <w:t>les</w:t>
      </w:r>
      <w:r w:rsidR="000A7AAB" w:rsidRPr="002C4077">
        <w:t xml:space="preserve"> </w:t>
      </w:r>
      <w:r w:rsidR="000A7AAB">
        <w:t>erreurs</w:t>
      </w:r>
      <w:r w:rsidR="000A7AAB" w:rsidRPr="002C4077">
        <w:t xml:space="preserve"> </w:t>
      </w:r>
      <w:r w:rsidR="000A7AAB">
        <w:t>de</w:t>
      </w:r>
      <w:r w:rsidR="000A7AAB" w:rsidRPr="002C4077">
        <w:t xml:space="preserve"> </w:t>
      </w:r>
      <w:r w:rsidR="000A7AAB">
        <w:t>leurs</w:t>
      </w:r>
      <w:r w:rsidR="000A7AAB" w:rsidRPr="002C4077">
        <w:t xml:space="preserve"> </w:t>
      </w:r>
      <w:r w:rsidR="000A7AAB">
        <w:t>prédécesseurs,</w:t>
      </w:r>
      <w:r w:rsidR="000A7AAB" w:rsidRPr="002C4077">
        <w:t xml:space="preserve"> </w:t>
      </w:r>
      <w:r w:rsidR="000A7AAB">
        <w:t>les</w:t>
      </w:r>
      <w:r w:rsidR="000A7AAB" w:rsidRPr="002C4077">
        <w:t xml:space="preserve"> </w:t>
      </w:r>
      <w:r w:rsidR="000A7AAB">
        <w:t>membres</w:t>
      </w:r>
      <w:r w:rsidR="000A7AAB" w:rsidRPr="002C4077">
        <w:t xml:space="preserve"> </w:t>
      </w:r>
      <w:r w:rsidR="000A7AAB">
        <w:t>du</w:t>
      </w:r>
      <w:r w:rsidR="000A7AAB" w:rsidRPr="002C4077">
        <w:t xml:space="preserve"> </w:t>
      </w:r>
      <w:r w:rsidR="000A7AAB">
        <w:t>comité</w:t>
      </w:r>
      <w:r w:rsidR="000A7AAB" w:rsidRPr="002C4077">
        <w:t xml:space="preserve"> </w:t>
      </w:r>
      <w:r w:rsidR="000A7AAB">
        <w:t>ont</w:t>
      </w:r>
      <w:r w:rsidR="000A7AAB" w:rsidRPr="002C4077">
        <w:t xml:space="preserve"> </w:t>
      </w:r>
      <w:r w:rsidR="000A7AAB">
        <w:t>introduit</w:t>
      </w:r>
      <w:r w:rsidR="000A7AAB" w:rsidRPr="002C4077">
        <w:t xml:space="preserve"> </w:t>
      </w:r>
      <w:r w:rsidR="000A7AAB">
        <w:t>de</w:t>
      </w:r>
      <w:r w:rsidR="000A7AAB" w:rsidRPr="002C4077">
        <w:t xml:space="preserve"> </w:t>
      </w:r>
      <w:r w:rsidR="000A7AAB">
        <w:t>leur</w:t>
      </w:r>
      <w:r w:rsidR="000A7AAB" w:rsidRPr="002C4077">
        <w:t xml:space="preserve"> </w:t>
      </w:r>
      <w:r w:rsidR="000A7AAB">
        <w:t>propre</w:t>
      </w:r>
      <w:r w:rsidR="000A7AAB" w:rsidRPr="002C4077">
        <w:t xml:space="preserve"> </w:t>
      </w:r>
      <w:r w:rsidR="000A7AAB">
        <w:t>fonds</w:t>
      </w:r>
      <w:r w:rsidR="000A7AAB" w:rsidRPr="002C4077">
        <w:t xml:space="preserve"> </w:t>
      </w:r>
      <w:r w:rsidR="000A7AAB">
        <w:t>des</w:t>
      </w:r>
      <w:r w:rsidR="000A7AAB" w:rsidRPr="002C4077">
        <w:t xml:space="preserve"> </w:t>
      </w:r>
      <w:r w:rsidR="000A7AAB">
        <w:t>fautes</w:t>
      </w:r>
      <w:r w:rsidR="000A7AAB" w:rsidRPr="002C4077">
        <w:t xml:space="preserve"> </w:t>
      </w:r>
      <w:r w:rsidR="000A7AAB">
        <w:t>nouvelles</w:t>
      </w:r>
      <w:r>
        <w:t> ;</w:t>
      </w:r>
      <w:r w:rsidR="000A7AAB" w:rsidRPr="002C4077">
        <w:t xml:space="preserve"> </w:t>
      </w:r>
      <w:r w:rsidR="000A7AAB">
        <w:t>or</w:t>
      </w:r>
      <w:r w:rsidR="000A7AAB" w:rsidRPr="002C4077">
        <w:t xml:space="preserve"> </w:t>
      </w:r>
      <w:r w:rsidR="000A7AAB">
        <w:t>il</w:t>
      </w:r>
      <w:r w:rsidR="000A7AAB" w:rsidRPr="002C4077">
        <w:t xml:space="preserve"> </w:t>
      </w:r>
      <w:r w:rsidR="00425C50">
        <w:t>est</w:t>
      </w:r>
      <w:r w:rsidR="000A7AAB" w:rsidRPr="002C4077">
        <w:t xml:space="preserve"> </w:t>
      </w:r>
      <w:r w:rsidR="000A7AAB">
        <w:t>à</w:t>
      </w:r>
      <w:r w:rsidR="000A7AAB" w:rsidRPr="002C4077">
        <w:t xml:space="preserve"> </w:t>
      </w:r>
      <w:r w:rsidR="000A7AAB">
        <w:t>craindre</w:t>
      </w:r>
      <w:r w:rsidR="000A7AAB" w:rsidRPr="002C4077">
        <w:t xml:space="preserve"> </w:t>
      </w:r>
      <w:r w:rsidR="000A7AAB">
        <w:t>que</w:t>
      </w:r>
      <w:r w:rsidR="000A7AAB" w:rsidRPr="002C4077">
        <w:t xml:space="preserve"> </w:t>
      </w:r>
      <w:r w:rsidR="000A7AAB">
        <w:t>tel</w:t>
      </w:r>
      <w:r w:rsidR="000A7AAB" w:rsidRPr="002C4077">
        <w:t xml:space="preserve"> </w:t>
      </w:r>
      <w:r w:rsidR="000A7AAB">
        <w:t>ne</w:t>
      </w:r>
      <w:r w:rsidR="000A7AAB" w:rsidRPr="002C4077">
        <w:t xml:space="preserve"> </w:t>
      </w:r>
      <w:r w:rsidR="000A7AAB">
        <w:t>soit</w:t>
      </w:r>
      <w:r w:rsidR="000A7AAB" w:rsidRPr="002C4077">
        <w:t xml:space="preserve"> </w:t>
      </w:r>
      <w:r w:rsidR="000A7AAB">
        <w:t>le</w:t>
      </w:r>
      <w:r w:rsidR="000A7AAB" w:rsidRPr="002C4077">
        <w:t xml:space="preserve"> </w:t>
      </w:r>
      <w:r w:rsidR="000A7AAB">
        <w:t>cas</w:t>
      </w:r>
      <w:r>
        <w:t> »</w:t>
      </w:r>
      <w:r w:rsidR="000A7AAB">
        <w:t>.</w:t>
      </w:r>
      <w:r w:rsidR="000A7AAB" w:rsidRPr="002C4077">
        <w:t xml:space="preserve"> </w:t>
      </w:r>
    </w:p>
    <w:p w:rsidR="000A7AAB" w:rsidRDefault="000A7AAB" w:rsidP="000A7AAB">
      <w:r>
        <w:t>Quoiqu’il</w:t>
      </w:r>
      <w:r w:rsidRPr="002C4077">
        <w:t xml:space="preserve"> </w:t>
      </w:r>
      <w:r>
        <w:t>ait</w:t>
      </w:r>
      <w:r w:rsidRPr="002C4077">
        <w:t xml:space="preserve"> </w:t>
      </w:r>
      <w:r>
        <w:t>été</w:t>
      </w:r>
      <w:r w:rsidRPr="002C4077">
        <w:t xml:space="preserve"> </w:t>
      </w:r>
      <w:r>
        <w:t>l’un</w:t>
      </w:r>
      <w:r w:rsidRPr="002C4077">
        <w:t xml:space="preserve"> </w:t>
      </w:r>
      <w:r>
        <w:t>des</w:t>
      </w:r>
      <w:r w:rsidRPr="002C4077">
        <w:t xml:space="preserve"> </w:t>
      </w:r>
      <w:r>
        <w:t>correcteurs,</w:t>
      </w:r>
      <w:r w:rsidRPr="002C4077">
        <w:t xml:space="preserve"> </w:t>
      </w:r>
      <w:r>
        <w:t>le</w:t>
      </w:r>
      <w:r w:rsidRPr="002C4077">
        <w:t xml:space="preserve"> </w:t>
      </w:r>
      <w:r>
        <w:t>révérend</w:t>
      </w:r>
      <w:r w:rsidRPr="002C4077">
        <w:t xml:space="preserve"> </w:t>
      </w:r>
      <w:r>
        <w:t>G.</w:t>
      </w:r>
      <w:r w:rsidRPr="002C4077">
        <w:t xml:space="preserve"> </w:t>
      </w:r>
      <w:r>
        <w:t>Vance</w:t>
      </w:r>
      <w:r w:rsidRPr="002C4077">
        <w:t xml:space="preserve"> </w:t>
      </w:r>
      <w:r>
        <w:t>Smith</w:t>
      </w:r>
      <w:r w:rsidRPr="002C4077">
        <w:t xml:space="preserve"> </w:t>
      </w:r>
      <w:r>
        <w:t>croit</w:t>
      </w:r>
      <w:r w:rsidRPr="002C4077">
        <w:t xml:space="preserve"> </w:t>
      </w:r>
      <w:r>
        <w:t>avoir</w:t>
      </w:r>
      <w:r w:rsidRPr="002C4077">
        <w:t xml:space="preserve"> </w:t>
      </w:r>
      <w:r>
        <w:t>maintenant</w:t>
      </w:r>
      <w:r w:rsidRPr="002C4077">
        <w:t xml:space="preserve"> </w:t>
      </w:r>
      <w:r>
        <w:t>le</w:t>
      </w:r>
      <w:r w:rsidRPr="002C4077">
        <w:t xml:space="preserve"> </w:t>
      </w:r>
      <w:r>
        <w:t>droit</w:t>
      </w:r>
      <w:r w:rsidRPr="002C4077">
        <w:t xml:space="preserve"> </w:t>
      </w:r>
      <w:r w:rsidR="00B546AF">
        <w:t>« </w:t>
      </w:r>
      <w:r>
        <w:t>de</w:t>
      </w:r>
      <w:r w:rsidRPr="002C4077">
        <w:t xml:space="preserve"> </w:t>
      </w:r>
      <w:r>
        <w:t>juger</w:t>
      </w:r>
      <w:r w:rsidRPr="002C4077">
        <w:t xml:space="preserve"> </w:t>
      </w:r>
      <w:r>
        <w:t>et</w:t>
      </w:r>
      <w:r w:rsidRPr="002C4077">
        <w:t xml:space="preserve"> </w:t>
      </w:r>
      <w:r>
        <w:t>de</w:t>
      </w:r>
      <w:r w:rsidRPr="002C4077">
        <w:t xml:space="preserve"> </w:t>
      </w:r>
      <w:r>
        <w:t>critiquer</w:t>
      </w:r>
      <w:r w:rsidRPr="002C4077">
        <w:t xml:space="preserve"> </w:t>
      </w:r>
      <w:r>
        <w:t>en</w:t>
      </w:r>
      <w:r w:rsidRPr="002C4077">
        <w:t xml:space="preserve"> </w:t>
      </w:r>
      <w:r>
        <w:t>son</w:t>
      </w:r>
      <w:r w:rsidRPr="002C4077">
        <w:t xml:space="preserve"> </w:t>
      </w:r>
      <w:r>
        <w:t>nom</w:t>
      </w:r>
      <w:r w:rsidRPr="002C4077">
        <w:t xml:space="preserve"> </w:t>
      </w:r>
      <w:r>
        <w:t>particulier</w:t>
      </w:r>
      <w:r w:rsidRPr="002C4077">
        <w:t xml:space="preserve"> </w:t>
      </w:r>
      <w:r>
        <w:t>l’œuvre</w:t>
      </w:r>
      <w:r w:rsidRPr="002C4077">
        <w:t xml:space="preserve"> </w:t>
      </w:r>
      <w:r>
        <w:t>accomplie</w:t>
      </w:r>
      <w:r w:rsidRPr="002C4077">
        <w:t xml:space="preserve"> </w:t>
      </w:r>
      <w:r>
        <w:t>par</w:t>
      </w:r>
      <w:r w:rsidRPr="002C4077">
        <w:t xml:space="preserve"> </w:t>
      </w:r>
      <w:r>
        <w:t>toute</w:t>
      </w:r>
      <w:r w:rsidRPr="002C4077">
        <w:t xml:space="preserve"> </w:t>
      </w:r>
      <w:r>
        <w:t>la</w:t>
      </w:r>
      <w:r w:rsidRPr="002C4077">
        <w:t xml:space="preserve"> </w:t>
      </w:r>
      <w:r>
        <w:t>commission</w:t>
      </w:r>
      <w:r w:rsidR="00B546AF">
        <w:t> »</w:t>
      </w:r>
      <w:r>
        <w:t>.</w:t>
      </w:r>
      <w:r w:rsidRPr="002C4077">
        <w:t xml:space="preserve"> </w:t>
      </w:r>
      <w:r>
        <w:t>Il</w:t>
      </w:r>
      <w:r w:rsidRPr="002C4077">
        <w:t xml:space="preserve"> </w:t>
      </w:r>
      <w:r>
        <w:t>la</w:t>
      </w:r>
      <w:r w:rsidRPr="002C4077">
        <w:t xml:space="preserve"> </w:t>
      </w:r>
      <w:r>
        <w:t>juge</w:t>
      </w:r>
      <w:r w:rsidRPr="002C4077">
        <w:t xml:space="preserve"> </w:t>
      </w:r>
      <w:r>
        <w:t>et</w:t>
      </w:r>
      <w:r w:rsidRPr="002C4077">
        <w:t xml:space="preserve"> </w:t>
      </w:r>
      <w:r>
        <w:t>la</w:t>
      </w:r>
      <w:r w:rsidRPr="002C4077">
        <w:t xml:space="preserve"> </w:t>
      </w:r>
      <w:r>
        <w:t>critique</w:t>
      </w:r>
      <w:r w:rsidRPr="002C4077">
        <w:t xml:space="preserve"> </w:t>
      </w:r>
      <w:r>
        <w:t>en</w:t>
      </w:r>
      <w:r w:rsidRPr="002C4077">
        <w:t xml:space="preserve"> </w:t>
      </w:r>
      <w:r>
        <w:t>effet</w:t>
      </w:r>
      <w:r w:rsidRPr="002C4077">
        <w:t xml:space="preserve"> </w:t>
      </w:r>
      <w:r>
        <w:t>à</w:t>
      </w:r>
      <w:r w:rsidRPr="002C4077">
        <w:t xml:space="preserve"> </w:t>
      </w:r>
      <w:r>
        <w:t>son</w:t>
      </w:r>
      <w:r w:rsidRPr="002C4077">
        <w:t xml:space="preserve"> </w:t>
      </w:r>
      <w:r>
        <w:t>aise,</w:t>
      </w:r>
      <w:r w:rsidRPr="002C4077">
        <w:t xml:space="preserve"> </w:t>
      </w:r>
      <w:r>
        <w:t>dans</w:t>
      </w:r>
      <w:r w:rsidRPr="002C4077">
        <w:t xml:space="preserve"> </w:t>
      </w:r>
      <w:r>
        <w:t>un</w:t>
      </w:r>
      <w:r w:rsidRPr="002C4077">
        <w:t xml:space="preserve"> </w:t>
      </w:r>
      <w:r>
        <w:t>article</w:t>
      </w:r>
      <w:r w:rsidRPr="002C4077">
        <w:t xml:space="preserve"> </w:t>
      </w:r>
      <w:r>
        <w:t>intitulé</w:t>
      </w:r>
      <w:r w:rsidR="00B546AF">
        <w:t> :</w:t>
      </w:r>
      <w:r w:rsidRPr="002C4077">
        <w:t xml:space="preserve"> </w:t>
      </w:r>
      <w:r w:rsidR="00FB4E2C">
        <w:rPr>
          <w:rStyle w:val="italicus"/>
        </w:rPr>
        <w:t>A</w:t>
      </w:r>
      <w:r w:rsidRPr="002C4077">
        <w:t xml:space="preserve"> </w:t>
      </w:r>
      <w:r w:rsidRPr="000A34B5">
        <w:rPr>
          <w:rStyle w:val="italicus"/>
        </w:rPr>
        <w:t>Reviser</w:t>
      </w:r>
      <w:r w:rsidRPr="002C4077">
        <w:t xml:space="preserve"> </w:t>
      </w:r>
      <w:r w:rsidRPr="000A34B5">
        <w:rPr>
          <w:rStyle w:val="italicus"/>
        </w:rPr>
        <w:t>on</w:t>
      </w:r>
      <w:r w:rsidRPr="002C4077">
        <w:t xml:space="preserve"> </w:t>
      </w:r>
      <w:r w:rsidRPr="000A34B5">
        <w:rPr>
          <w:rStyle w:val="italicus"/>
        </w:rPr>
        <w:t>the</w:t>
      </w:r>
      <w:r w:rsidRPr="002C4077">
        <w:t xml:space="preserve"> </w:t>
      </w:r>
      <w:r w:rsidRPr="000A34B5">
        <w:rPr>
          <w:rStyle w:val="italicus"/>
        </w:rPr>
        <w:t>new</w:t>
      </w:r>
      <w:r w:rsidRPr="002C4077">
        <w:t xml:space="preserve"> </w:t>
      </w:r>
      <w:r w:rsidRPr="000A34B5">
        <w:rPr>
          <w:rStyle w:val="italicus"/>
        </w:rPr>
        <w:t>Revision</w:t>
      </w:r>
      <w:r w:rsidR="00242610">
        <w:rPr>
          <w:rStyle w:val="Appelnotedebasdep"/>
          <w:i/>
        </w:rPr>
        <w:footnoteReference w:id="658"/>
      </w:r>
      <w:r>
        <w:t>.</w:t>
      </w:r>
      <w:r w:rsidRPr="002C4077">
        <w:t xml:space="preserve"> </w:t>
      </w:r>
      <w:r>
        <w:t>On</w:t>
      </w:r>
      <w:r w:rsidRPr="002C4077">
        <w:t xml:space="preserve"> </w:t>
      </w:r>
      <w:r>
        <w:t>devine</w:t>
      </w:r>
      <w:r w:rsidRPr="002C4077">
        <w:t xml:space="preserve"> </w:t>
      </w:r>
      <w:r>
        <w:t>à</w:t>
      </w:r>
      <w:r w:rsidRPr="002C4077">
        <w:t xml:space="preserve"> </w:t>
      </w:r>
      <w:r>
        <w:t>son</w:t>
      </w:r>
      <w:r w:rsidRPr="002C4077">
        <w:t xml:space="preserve"> </w:t>
      </w:r>
      <w:r>
        <w:t>langage</w:t>
      </w:r>
      <w:r w:rsidRPr="002C4077">
        <w:t xml:space="preserve"> </w:t>
      </w:r>
      <w:r>
        <w:t>qu’il</w:t>
      </w:r>
      <w:r w:rsidRPr="002C4077">
        <w:t xml:space="preserve"> </w:t>
      </w:r>
      <w:r>
        <w:t>a</w:t>
      </w:r>
      <w:r w:rsidRPr="002C4077">
        <w:t xml:space="preserve"> </w:t>
      </w:r>
      <w:r>
        <w:t>dû</w:t>
      </w:r>
      <w:r w:rsidRPr="002C4077">
        <w:t xml:space="preserve"> </w:t>
      </w:r>
      <w:r>
        <w:t>souvent</w:t>
      </w:r>
      <w:r w:rsidRPr="002C4077">
        <w:t xml:space="preserve"> </w:t>
      </w:r>
      <w:r>
        <w:t>faire</w:t>
      </w:r>
      <w:r w:rsidRPr="002C4077">
        <w:t xml:space="preserve"> </w:t>
      </w:r>
      <w:r>
        <w:t>partie</w:t>
      </w:r>
      <w:r w:rsidRPr="002C4077">
        <w:t xml:space="preserve"> </w:t>
      </w:r>
      <w:r>
        <w:t>de</w:t>
      </w:r>
      <w:r w:rsidRPr="002C4077">
        <w:t xml:space="preserve"> </w:t>
      </w:r>
      <w:r>
        <w:t>la</w:t>
      </w:r>
      <w:r w:rsidRPr="002C4077">
        <w:t xml:space="preserve"> </w:t>
      </w:r>
      <w:r>
        <w:t>minorité</w:t>
      </w:r>
      <w:r w:rsidRPr="002C4077">
        <w:t xml:space="preserve"> </w:t>
      </w:r>
      <w:r w:rsidRPr="000A34B5">
        <w:rPr>
          <w:rStyle w:val="italicus"/>
        </w:rPr>
        <w:t>outvoted.</w:t>
      </w:r>
      <w:r w:rsidRPr="002C4077">
        <w:t xml:space="preserve"> </w:t>
      </w:r>
      <w:r>
        <w:t>Mais,</w:t>
      </w:r>
      <w:r w:rsidRPr="002C4077">
        <w:t xml:space="preserve"> </w:t>
      </w:r>
      <w:r>
        <w:t>dit-il,</w:t>
      </w:r>
      <w:r w:rsidRPr="002C4077">
        <w:t xml:space="preserve"> </w:t>
      </w:r>
      <w:r>
        <w:t>il</w:t>
      </w:r>
      <w:r w:rsidRPr="002C4077">
        <w:t xml:space="preserve"> </w:t>
      </w:r>
      <w:r>
        <w:t>serait</w:t>
      </w:r>
      <w:r w:rsidRPr="002C4077">
        <w:t xml:space="preserve"> </w:t>
      </w:r>
      <w:r>
        <w:t>fort</w:t>
      </w:r>
      <w:r w:rsidRPr="002C4077">
        <w:t xml:space="preserve"> </w:t>
      </w:r>
      <w:r>
        <w:t>singulier</w:t>
      </w:r>
      <w:r w:rsidRPr="002C4077">
        <w:t xml:space="preserve"> </w:t>
      </w:r>
      <w:r>
        <w:t>de</w:t>
      </w:r>
      <w:r w:rsidRPr="002C4077">
        <w:t xml:space="preserve"> </w:t>
      </w:r>
      <w:r>
        <w:t>supposer</w:t>
      </w:r>
      <w:r w:rsidRPr="002C4077">
        <w:t xml:space="preserve"> </w:t>
      </w:r>
      <w:r>
        <w:t>que</w:t>
      </w:r>
      <w:r w:rsidRPr="002C4077">
        <w:t xml:space="preserve"> </w:t>
      </w:r>
      <w:r w:rsidR="00B546AF">
        <w:t>« </w:t>
      </w:r>
      <w:r>
        <w:t>cette</w:t>
      </w:r>
      <w:r w:rsidRPr="002C4077">
        <w:t xml:space="preserve"> </w:t>
      </w:r>
      <w:r>
        <w:t>minorité,</w:t>
      </w:r>
      <w:r w:rsidRPr="002C4077">
        <w:t xml:space="preserve"> </w:t>
      </w:r>
      <w:r>
        <w:t>quoique</w:t>
      </w:r>
      <w:r w:rsidRPr="002C4077">
        <w:t xml:space="preserve"> </w:t>
      </w:r>
      <w:r>
        <w:t>battue,</w:t>
      </w:r>
      <w:r w:rsidRPr="002C4077">
        <w:t xml:space="preserve"> </w:t>
      </w:r>
      <w:r>
        <w:t>ait</w:t>
      </w:r>
      <w:r w:rsidRPr="002C4077">
        <w:t xml:space="preserve"> </w:t>
      </w:r>
      <w:r>
        <w:t>été</w:t>
      </w:r>
      <w:r w:rsidRPr="002C4077">
        <w:t xml:space="preserve"> </w:t>
      </w:r>
      <w:r>
        <w:t>condamnée</w:t>
      </w:r>
      <w:r w:rsidRPr="002C4077">
        <w:t xml:space="preserve"> </w:t>
      </w:r>
      <w:r>
        <w:t>à</w:t>
      </w:r>
      <w:r w:rsidRPr="002C4077">
        <w:t xml:space="preserve"> </w:t>
      </w:r>
      <w:r>
        <w:t>un</w:t>
      </w:r>
      <w:r w:rsidRPr="002C4077">
        <w:t xml:space="preserve"> </w:t>
      </w:r>
      <w:r>
        <w:t>perpétuel</w:t>
      </w:r>
      <w:r w:rsidRPr="002C4077">
        <w:t xml:space="preserve"> </w:t>
      </w:r>
      <w:r>
        <w:t>silence,</w:t>
      </w:r>
      <w:r w:rsidRPr="002C4077">
        <w:t xml:space="preserve"> </w:t>
      </w:r>
      <w:r>
        <w:t>et</w:t>
      </w:r>
      <w:r w:rsidRPr="002C4077">
        <w:t xml:space="preserve"> </w:t>
      </w:r>
      <w:r>
        <w:t>qu’on</w:t>
      </w:r>
      <w:r w:rsidRPr="002C4077">
        <w:t xml:space="preserve"> </w:t>
      </w:r>
      <w:r>
        <w:t>ait</w:t>
      </w:r>
      <w:r w:rsidRPr="002C4077">
        <w:t xml:space="preserve"> </w:t>
      </w:r>
      <w:r>
        <w:t>pu</w:t>
      </w:r>
      <w:r w:rsidRPr="002C4077">
        <w:t xml:space="preserve"> </w:t>
      </w:r>
      <w:r>
        <w:t>lui</w:t>
      </w:r>
      <w:r w:rsidRPr="002C4077">
        <w:t xml:space="preserve"> </w:t>
      </w:r>
      <w:r>
        <w:t>interdire</w:t>
      </w:r>
      <w:r w:rsidRPr="002C4077">
        <w:t xml:space="preserve"> </w:t>
      </w:r>
      <w:r>
        <w:t>d’exprimer</w:t>
      </w:r>
      <w:r w:rsidRPr="002C4077">
        <w:t xml:space="preserve"> </w:t>
      </w:r>
      <w:r>
        <w:t>soit</w:t>
      </w:r>
      <w:r w:rsidRPr="002C4077">
        <w:t xml:space="preserve"> </w:t>
      </w:r>
      <w:r>
        <w:t>la</w:t>
      </w:r>
      <w:r w:rsidRPr="002C4077">
        <w:t xml:space="preserve"> </w:t>
      </w:r>
      <w:r>
        <w:t>nature,</w:t>
      </w:r>
      <w:r w:rsidRPr="002C4077">
        <w:t xml:space="preserve"> </w:t>
      </w:r>
      <w:r>
        <w:t>soit</w:t>
      </w:r>
      <w:r w:rsidRPr="002C4077">
        <w:t xml:space="preserve"> </w:t>
      </w:r>
      <w:r>
        <w:t>les</w:t>
      </w:r>
      <w:r w:rsidRPr="002C4077">
        <w:t xml:space="preserve"> </w:t>
      </w:r>
      <w:r>
        <w:t>causes</w:t>
      </w:r>
      <w:r w:rsidRPr="002C4077">
        <w:t xml:space="preserve"> </w:t>
      </w:r>
      <w:r>
        <w:t>de</w:t>
      </w:r>
      <w:r w:rsidRPr="002C4077">
        <w:t xml:space="preserve"> </w:t>
      </w:r>
      <w:r>
        <w:t>ses</w:t>
      </w:r>
      <w:r w:rsidRPr="002C4077">
        <w:t xml:space="preserve"> </w:t>
      </w:r>
      <w:r>
        <w:t>dissentiments</w:t>
      </w:r>
      <w:r w:rsidR="00B91AF7">
        <w:rPr>
          <w:rStyle w:val="Appelnotedebasdep"/>
        </w:rPr>
        <w:footnoteReference w:id="659"/>
      </w:r>
      <w:r>
        <w:t>…</w:t>
      </w:r>
      <w:r w:rsidR="00C45B47">
        <w:t xml:space="preserve"> {</w:t>
      </w:r>
      <w:r w:rsidR="001F5257">
        <w:t>198</w:t>
      </w:r>
      <w:bookmarkStart w:id="499" w:name="p198"/>
      <w:bookmarkEnd w:id="499"/>
      <w:r w:rsidR="001F5257">
        <w:t xml:space="preserve">} </w:t>
      </w:r>
      <w:r>
        <w:t>Je</w:t>
      </w:r>
      <w:r w:rsidRPr="002C4077">
        <w:t xml:space="preserve"> </w:t>
      </w:r>
      <w:r>
        <w:t>me</w:t>
      </w:r>
      <w:r w:rsidRPr="002C4077">
        <w:t xml:space="preserve"> </w:t>
      </w:r>
      <w:r>
        <w:t>sens</w:t>
      </w:r>
      <w:r w:rsidRPr="002C4077">
        <w:t xml:space="preserve"> </w:t>
      </w:r>
      <w:r>
        <w:t>à</w:t>
      </w:r>
      <w:r w:rsidRPr="002C4077">
        <w:t xml:space="preserve"> </w:t>
      </w:r>
      <w:r>
        <w:t>moitié</w:t>
      </w:r>
      <w:r w:rsidRPr="002C4077">
        <w:t xml:space="preserve"> </w:t>
      </w:r>
      <w:r>
        <w:t>porté</w:t>
      </w:r>
      <w:r w:rsidRPr="002C4077">
        <w:t xml:space="preserve"> </w:t>
      </w:r>
      <w:r>
        <w:t>à</w:t>
      </w:r>
      <w:r w:rsidRPr="002C4077">
        <w:t xml:space="preserve"> </w:t>
      </w:r>
      <w:r>
        <w:t>confesser</w:t>
      </w:r>
      <w:r w:rsidRPr="002C4077">
        <w:t xml:space="preserve"> </w:t>
      </w:r>
      <w:r>
        <w:t>que,</w:t>
      </w:r>
      <w:r w:rsidRPr="002C4077">
        <w:t xml:space="preserve"> </w:t>
      </w:r>
      <w:r>
        <w:t>sous</w:t>
      </w:r>
      <w:r w:rsidRPr="002C4077">
        <w:t xml:space="preserve"> </w:t>
      </w:r>
      <w:r>
        <w:t>plusieurs</w:t>
      </w:r>
      <w:r w:rsidRPr="002C4077">
        <w:t xml:space="preserve"> </w:t>
      </w:r>
      <w:r>
        <w:t>rapports,</w:t>
      </w:r>
      <w:r w:rsidRPr="002C4077">
        <w:t xml:space="preserve"> </w:t>
      </w:r>
      <w:r>
        <w:t>les</w:t>
      </w:r>
      <w:r w:rsidRPr="002C4077">
        <w:t xml:space="preserve"> </w:t>
      </w:r>
      <w:r>
        <w:t>résultats</w:t>
      </w:r>
      <w:r w:rsidRPr="002C4077">
        <w:t xml:space="preserve"> </w:t>
      </w:r>
      <w:r>
        <w:t>auxquels</w:t>
      </w:r>
      <w:r w:rsidRPr="002C4077">
        <w:t xml:space="preserve"> </w:t>
      </w:r>
      <w:r>
        <w:t>on</w:t>
      </w:r>
      <w:r w:rsidRPr="002C4077">
        <w:t xml:space="preserve"> </w:t>
      </w:r>
      <w:r w:rsidR="00425C50">
        <w:t>est</w:t>
      </w:r>
      <w:r w:rsidRPr="002C4077">
        <w:t xml:space="preserve"> </w:t>
      </w:r>
      <w:r>
        <w:t>arrivé</w:t>
      </w:r>
      <w:r w:rsidRPr="002C4077">
        <w:t xml:space="preserve"> </w:t>
      </w:r>
      <w:r>
        <w:t>dans</w:t>
      </w:r>
      <w:r w:rsidRPr="002C4077">
        <w:t xml:space="preserve"> </w:t>
      </w:r>
      <w:r>
        <w:t>le</w:t>
      </w:r>
      <w:r w:rsidRPr="002C4077">
        <w:t xml:space="preserve"> </w:t>
      </w:r>
      <w:r>
        <w:t>volume</w:t>
      </w:r>
      <w:r w:rsidRPr="002C4077">
        <w:t xml:space="preserve"> </w:t>
      </w:r>
      <w:r>
        <w:t>publié</w:t>
      </w:r>
      <w:r w:rsidRPr="002C4077">
        <w:t xml:space="preserve"> </w:t>
      </w:r>
      <w:r>
        <w:t>naguère</w:t>
      </w:r>
      <w:r w:rsidRPr="002C4077">
        <w:t xml:space="preserve"> </w:t>
      </w:r>
      <w:r>
        <w:t>tendent,</w:t>
      </w:r>
      <w:r w:rsidRPr="002C4077">
        <w:t xml:space="preserve"> </w:t>
      </w:r>
      <w:r>
        <w:t>sinon</w:t>
      </w:r>
      <w:r w:rsidRPr="002C4077">
        <w:t xml:space="preserve"> </w:t>
      </w:r>
      <w:r>
        <w:t>à</w:t>
      </w:r>
      <w:r w:rsidRPr="002C4077">
        <w:t xml:space="preserve"> </w:t>
      </w:r>
      <w:r>
        <w:t>justifier,</w:t>
      </w:r>
      <w:r w:rsidRPr="002C4077">
        <w:t xml:space="preserve"> </w:t>
      </w:r>
      <w:r>
        <w:t>du</w:t>
      </w:r>
      <w:r w:rsidRPr="002C4077">
        <w:t xml:space="preserve"> </w:t>
      </w:r>
      <w:r>
        <w:t>moins</w:t>
      </w:r>
      <w:r w:rsidRPr="002C4077">
        <w:t xml:space="preserve"> </w:t>
      </w:r>
      <w:r>
        <w:t>à</w:t>
      </w:r>
      <w:r w:rsidRPr="002C4077">
        <w:t xml:space="preserve"> </w:t>
      </w:r>
      <w:r>
        <w:t>expliquer</w:t>
      </w:r>
      <w:r w:rsidRPr="002C4077">
        <w:t xml:space="preserve"> </w:t>
      </w:r>
      <w:r>
        <w:t>les</w:t>
      </w:r>
      <w:r w:rsidRPr="002C4077">
        <w:t xml:space="preserve"> </w:t>
      </w:r>
      <w:r>
        <w:t>doutes</w:t>
      </w:r>
      <w:r w:rsidRPr="002C4077">
        <w:t xml:space="preserve"> </w:t>
      </w:r>
      <w:r>
        <w:t>et</w:t>
      </w:r>
      <w:r w:rsidRPr="002C4077">
        <w:t xml:space="preserve"> </w:t>
      </w:r>
      <w:r>
        <w:t>les</w:t>
      </w:r>
      <w:r w:rsidRPr="002C4077">
        <w:t xml:space="preserve"> </w:t>
      </w:r>
      <w:r>
        <w:t>craintes</w:t>
      </w:r>
      <w:r w:rsidRPr="002C4077">
        <w:t xml:space="preserve"> </w:t>
      </w:r>
      <w:r>
        <w:t>de</w:t>
      </w:r>
      <w:r w:rsidRPr="002C4077">
        <w:t xml:space="preserve"> </w:t>
      </w:r>
      <w:r>
        <w:t>ceux</w:t>
      </w:r>
      <w:r w:rsidRPr="002C4077">
        <w:t xml:space="preserve"> </w:t>
      </w:r>
      <w:r>
        <w:t>qui</w:t>
      </w:r>
      <w:r w:rsidRPr="002C4077">
        <w:t xml:space="preserve"> </w:t>
      </w:r>
      <w:r>
        <w:t>étaient</w:t>
      </w:r>
      <w:r w:rsidRPr="002C4077">
        <w:t xml:space="preserve"> </w:t>
      </w:r>
      <w:r>
        <w:t>opposés</w:t>
      </w:r>
      <w:r w:rsidRPr="002C4077">
        <w:t xml:space="preserve"> </w:t>
      </w:r>
      <w:r>
        <w:t>à</w:t>
      </w:r>
      <w:r w:rsidRPr="002C4077">
        <w:t xml:space="preserve"> </w:t>
      </w:r>
      <w:r>
        <w:t>la</w:t>
      </w:r>
      <w:r w:rsidRPr="002C4077">
        <w:t xml:space="preserve"> </w:t>
      </w:r>
      <w:r>
        <w:t>révision</w:t>
      </w:r>
      <w:r w:rsidR="00B91AF7">
        <w:rPr>
          <w:rStyle w:val="Appelnotedebasdep"/>
        </w:rPr>
        <w:footnoteReference w:id="660"/>
      </w:r>
      <w:r>
        <w:t>…</w:t>
      </w:r>
      <w:r w:rsidRPr="002C4077">
        <w:t xml:space="preserve"> </w:t>
      </w:r>
      <w:r>
        <w:t>Le</w:t>
      </w:r>
      <w:r w:rsidRPr="002C4077">
        <w:t xml:space="preserve"> </w:t>
      </w:r>
      <w:r>
        <w:t>critique</w:t>
      </w:r>
      <w:r w:rsidRPr="002C4077">
        <w:t xml:space="preserve"> </w:t>
      </w:r>
      <w:r>
        <w:t>même</w:t>
      </w:r>
      <w:r w:rsidRPr="002C4077">
        <w:t xml:space="preserve"> </w:t>
      </w:r>
      <w:r>
        <w:t>le</w:t>
      </w:r>
      <w:r w:rsidRPr="002C4077">
        <w:t xml:space="preserve"> </w:t>
      </w:r>
      <w:r>
        <w:t>plus</w:t>
      </w:r>
      <w:r w:rsidRPr="002C4077">
        <w:t xml:space="preserve"> </w:t>
      </w:r>
      <w:r>
        <w:t>tolérant</w:t>
      </w:r>
      <w:r w:rsidRPr="002C4077">
        <w:t xml:space="preserve"> </w:t>
      </w:r>
      <w:r>
        <w:t>et</w:t>
      </w:r>
      <w:r w:rsidRPr="002C4077">
        <w:t xml:space="preserve"> </w:t>
      </w:r>
      <w:r>
        <w:t>le</w:t>
      </w:r>
      <w:r w:rsidRPr="002C4077">
        <w:t xml:space="preserve"> </w:t>
      </w:r>
      <w:r>
        <w:t>plus</w:t>
      </w:r>
      <w:r w:rsidRPr="002C4077">
        <w:t xml:space="preserve"> </w:t>
      </w:r>
      <w:r>
        <w:t>sympathique</w:t>
      </w:r>
      <w:r w:rsidRPr="002C4077">
        <w:t xml:space="preserve"> </w:t>
      </w:r>
      <w:r w:rsidR="00425C50">
        <w:t>est</w:t>
      </w:r>
      <w:r w:rsidRPr="002C4077">
        <w:t xml:space="preserve"> </w:t>
      </w:r>
      <w:r>
        <w:t>en</w:t>
      </w:r>
      <w:r w:rsidRPr="002C4077">
        <w:t xml:space="preserve"> </w:t>
      </w:r>
      <w:r>
        <w:t>droit</w:t>
      </w:r>
      <w:r w:rsidRPr="002C4077">
        <w:t xml:space="preserve"> </w:t>
      </w:r>
      <w:r>
        <w:t>de</w:t>
      </w:r>
      <w:r w:rsidRPr="002C4077">
        <w:t xml:space="preserve"> </w:t>
      </w:r>
      <w:r>
        <w:t>se</w:t>
      </w:r>
      <w:r w:rsidRPr="002C4077">
        <w:t xml:space="preserve"> </w:t>
      </w:r>
      <w:r>
        <w:t>plaindre</w:t>
      </w:r>
      <w:r w:rsidR="0043070A">
        <w:rPr>
          <w:rStyle w:val="Appelnotedebasdep"/>
        </w:rPr>
        <w:footnoteReference w:id="661"/>
      </w:r>
      <w:r w:rsidR="00B546AF">
        <w:t> »</w:t>
      </w:r>
      <w:r>
        <w:t>.</w:t>
      </w:r>
      <w:r w:rsidRPr="002C4077">
        <w:t xml:space="preserve"> </w:t>
      </w:r>
    </w:p>
    <w:p w:rsidR="000A7AAB" w:rsidRDefault="000A7AAB" w:rsidP="000A7AAB">
      <w:r>
        <w:t>Ce</w:t>
      </w:r>
      <w:r w:rsidRPr="002C4077">
        <w:t xml:space="preserve"> </w:t>
      </w:r>
      <w:r>
        <w:t>n’est</w:t>
      </w:r>
      <w:r w:rsidRPr="002C4077">
        <w:t xml:space="preserve"> </w:t>
      </w:r>
      <w:r>
        <w:t>pas</w:t>
      </w:r>
      <w:r w:rsidRPr="002C4077">
        <w:t xml:space="preserve"> </w:t>
      </w:r>
      <w:r>
        <w:t>tendre.</w:t>
      </w:r>
      <w:r w:rsidRPr="002C4077">
        <w:t xml:space="preserve"> </w:t>
      </w:r>
      <w:r>
        <w:t>Mais</w:t>
      </w:r>
      <w:r w:rsidRPr="002C4077">
        <w:t xml:space="preserve"> </w:t>
      </w:r>
      <w:r>
        <w:t>la</w:t>
      </w:r>
      <w:r w:rsidRPr="002C4077">
        <w:t xml:space="preserve"> </w:t>
      </w:r>
      <w:r>
        <w:t>critique</w:t>
      </w:r>
      <w:r w:rsidRPr="002C4077">
        <w:t xml:space="preserve"> </w:t>
      </w:r>
      <w:r>
        <w:t>ne</w:t>
      </w:r>
      <w:r w:rsidRPr="002C4077">
        <w:t xml:space="preserve"> </w:t>
      </w:r>
      <w:r>
        <w:t>s’en</w:t>
      </w:r>
      <w:r w:rsidRPr="002C4077">
        <w:t xml:space="preserve"> </w:t>
      </w:r>
      <w:r w:rsidR="00425C50">
        <w:t>est</w:t>
      </w:r>
      <w:r w:rsidRPr="002C4077">
        <w:t xml:space="preserve"> </w:t>
      </w:r>
      <w:r>
        <w:t>pas</w:t>
      </w:r>
      <w:r w:rsidRPr="002C4077">
        <w:t xml:space="preserve"> </w:t>
      </w:r>
      <w:r>
        <w:t>tenue</w:t>
      </w:r>
      <w:r w:rsidRPr="002C4077">
        <w:t xml:space="preserve"> </w:t>
      </w:r>
      <w:r>
        <w:t>à</w:t>
      </w:r>
      <w:r w:rsidRPr="002C4077">
        <w:t xml:space="preserve"> </w:t>
      </w:r>
      <w:r>
        <w:t>des</w:t>
      </w:r>
      <w:r w:rsidRPr="002C4077">
        <w:t xml:space="preserve"> </w:t>
      </w:r>
      <w:r>
        <w:t>généralités</w:t>
      </w:r>
      <w:r w:rsidR="00B546AF">
        <w:t> :</w:t>
      </w:r>
      <w:r w:rsidRPr="002C4077">
        <w:t xml:space="preserve"> </w:t>
      </w:r>
      <w:r>
        <w:t>elle</w:t>
      </w:r>
      <w:r w:rsidRPr="002C4077">
        <w:t xml:space="preserve"> </w:t>
      </w:r>
      <w:r>
        <w:t>semble</w:t>
      </w:r>
      <w:r w:rsidRPr="002C4077">
        <w:t xml:space="preserve"> </w:t>
      </w:r>
      <w:r>
        <w:t>s’être</w:t>
      </w:r>
      <w:r w:rsidRPr="002C4077">
        <w:t xml:space="preserve"> </w:t>
      </w:r>
      <w:r>
        <w:t>complue,</w:t>
      </w:r>
      <w:r w:rsidRPr="002C4077">
        <w:t xml:space="preserve"> </w:t>
      </w:r>
      <w:r>
        <w:t>au</w:t>
      </w:r>
      <w:r w:rsidRPr="002C4077">
        <w:t xml:space="preserve"> </w:t>
      </w:r>
      <w:r>
        <w:t>contraire,</w:t>
      </w:r>
      <w:r w:rsidRPr="002C4077">
        <w:t xml:space="preserve"> </w:t>
      </w:r>
      <w:r>
        <w:t>à</w:t>
      </w:r>
      <w:r w:rsidRPr="002C4077">
        <w:t xml:space="preserve"> </w:t>
      </w:r>
      <w:r>
        <w:t>pénétrer</w:t>
      </w:r>
      <w:r w:rsidRPr="002C4077">
        <w:t xml:space="preserve"> </w:t>
      </w:r>
      <w:r>
        <w:t>dans</w:t>
      </w:r>
      <w:r w:rsidRPr="002C4077">
        <w:t xml:space="preserve"> </w:t>
      </w:r>
      <w:r>
        <w:t>les</w:t>
      </w:r>
      <w:r w:rsidRPr="002C4077">
        <w:t xml:space="preserve"> </w:t>
      </w:r>
      <w:r>
        <w:t>détails</w:t>
      </w:r>
      <w:r w:rsidRPr="002C4077">
        <w:t xml:space="preserve"> </w:t>
      </w:r>
      <w:r>
        <w:t>de</w:t>
      </w:r>
      <w:r w:rsidRPr="002C4077">
        <w:t xml:space="preserve"> </w:t>
      </w:r>
      <w:r>
        <w:t>l’œuvre,</w:t>
      </w:r>
      <w:r w:rsidRPr="002C4077">
        <w:t xml:space="preserve"> </w:t>
      </w:r>
      <w:r>
        <w:t>ce</w:t>
      </w:r>
      <w:r w:rsidRPr="002C4077">
        <w:t xml:space="preserve"> </w:t>
      </w:r>
      <w:r>
        <w:t>qui</w:t>
      </w:r>
      <w:r w:rsidRPr="002C4077">
        <w:t xml:space="preserve"> </w:t>
      </w:r>
      <w:r>
        <w:t>lui</w:t>
      </w:r>
      <w:r w:rsidRPr="002C4077">
        <w:t xml:space="preserve"> </w:t>
      </w:r>
      <w:r>
        <w:t>a</w:t>
      </w:r>
      <w:r w:rsidRPr="002C4077">
        <w:t xml:space="preserve"> </w:t>
      </w:r>
      <w:r>
        <w:t>permis</w:t>
      </w:r>
      <w:r w:rsidRPr="002C4077">
        <w:t xml:space="preserve"> </w:t>
      </w:r>
      <w:r>
        <w:t>de</w:t>
      </w:r>
      <w:r w:rsidRPr="002C4077">
        <w:t xml:space="preserve"> </w:t>
      </w:r>
      <w:r>
        <w:t>cribler</w:t>
      </w:r>
      <w:r w:rsidRPr="002C4077">
        <w:t xml:space="preserve"> </w:t>
      </w:r>
      <w:r>
        <w:t>les</w:t>
      </w:r>
      <w:r w:rsidRPr="002C4077">
        <w:t xml:space="preserve"> </w:t>
      </w:r>
      <w:r>
        <w:t>réviseurs</w:t>
      </w:r>
      <w:r w:rsidRPr="002C4077">
        <w:t xml:space="preserve"> </w:t>
      </w:r>
      <w:r>
        <w:t>de</w:t>
      </w:r>
      <w:r w:rsidRPr="002C4077">
        <w:t xml:space="preserve"> </w:t>
      </w:r>
      <w:r>
        <w:t>cent</w:t>
      </w:r>
      <w:r w:rsidRPr="002C4077">
        <w:t xml:space="preserve"> </w:t>
      </w:r>
      <w:r>
        <w:t>traits</w:t>
      </w:r>
      <w:r w:rsidRPr="002C4077">
        <w:t xml:space="preserve"> </w:t>
      </w:r>
      <w:r>
        <w:t>acérés.</w:t>
      </w:r>
      <w:r w:rsidRPr="002C4077">
        <w:t xml:space="preserve"> </w:t>
      </w:r>
    </w:p>
    <w:p w:rsidR="000A7AAB" w:rsidRDefault="000A7AAB" w:rsidP="000A7AAB">
      <w:r>
        <w:t>Au</w:t>
      </w:r>
      <w:r w:rsidRPr="002C4077">
        <w:t xml:space="preserve"> </w:t>
      </w:r>
      <w:r>
        <w:t>point</w:t>
      </w:r>
      <w:r w:rsidRPr="002C4077">
        <w:t xml:space="preserve"> </w:t>
      </w:r>
      <w:r>
        <w:t>de</w:t>
      </w:r>
      <w:r w:rsidRPr="002C4077">
        <w:t xml:space="preserve"> </w:t>
      </w:r>
      <w:r>
        <w:t>vue</w:t>
      </w:r>
      <w:r w:rsidRPr="002C4077">
        <w:t xml:space="preserve"> </w:t>
      </w:r>
      <w:r>
        <w:t>du</w:t>
      </w:r>
      <w:r w:rsidRPr="002C4077">
        <w:t xml:space="preserve"> </w:t>
      </w:r>
      <w:r>
        <w:t>fond,</w:t>
      </w:r>
      <w:r w:rsidRPr="002C4077">
        <w:t xml:space="preserve"> </w:t>
      </w:r>
      <w:r>
        <w:t>c’est-à-dire</w:t>
      </w:r>
      <w:r w:rsidRPr="002C4077">
        <w:t xml:space="preserve"> </w:t>
      </w:r>
      <w:r>
        <w:t>du</w:t>
      </w:r>
      <w:r w:rsidRPr="002C4077">
        <w:t xml:space="preserve"> </w:t>
      </w:r>
      <w:r>
        <w:t>sens,</w:t>
      </w:r>
      <w:r w:rsidRPr="002C4077">
        <w:t xml:space="preserve"> </w:t>
      </w:r>
      <w:r>
        <w:t>quels</w:t>
      </w:r>
      <w:r w:rsidRPr="002C4077">
        <w:t xml:space="preserve"> </w:t>
      </w:r>
      <w:r>
        <w:t>gémissements</w:t>
      </w:r>
      <w:r w:rsidRPr="002C4077">
        <w:t xml:space="preserve"> </w:t>
      </w:r>
      <w:r>
        <w:t>lugubres,</w:t>
      </w:r>
      <w:r w:rsidRPr="002C4077">
        <w:t xml:space="preserve"> </w:t>
      </w:r>
      <w:r>
        <w:t>alternant</w:t>
      </w:r>
      <w:r w:rsidRPr="002C4077">
        <w:t xml:space="preserve"> </w:t>
      </w:r>
      <w:r>
        <w:t>avec</w:t>
      </w:r>
      <w:r w:rsidRPr="002C4077">
        <w:t xml:space="preserve"> </w:t>
      </w:r>
      <w:r>
        <w:t>des</w:t>
      </w:r>
      <w:r w:rsidRPr="002C4077">
        <w:t xml:space="preserve"> </w:t>
      </w:r>
      <w:r>
        <w:t>reproches</w:t>
      </w:r>
      <w:r w:rsidRPr="002C4077">
        <w:t xml:space="preserve"> </w:t>
      </w:r>
      <w:r>
        <w:t>pleins</w:t>
      </w:r>
      <w:r w:rsidRPr="002C4077">
        <w:t xml:space="preserve"> </w:t>
      </w:r>
      <w:r>
        <w:t>de</w:t>
      </w:r>
      <w:r w:rsidRPr="002C4077">
        <w:t xml:space="preserve"> </w:t>
      </w:r>
      <w:r>
        <w:t>vivacité</w:t>
      </w:r>
      <w:r w:rsidR="00B546AF">
        <w:t> !</w:t>
      </w:r>
      <w:r w:rsidRPr="002C4077">
        <w:t xml:space="preserve"> </w:t>
      </w:r>
    </w:p>
    <w:p w:rsidR="000A7AAB" w:rsidRPr="001F5257" w:rsidRDefault="00B546AF" w:rsidP="000A7AAB">
      <w:r>
        <w:t>« </w:t>
      </w:r>
      <w:r w:rsidR="000A7AAB">
        <w:t>Hélas</w:t>
      </w:r>
      <w:r>
        <w:t> !</w:t>
      </w:r>
      <w:r w:rsidR="000A7AAB" w:rsidRPr="002C4077">
        <w:t xml:space="preserve"> </w:t>
      </w:r>
      <w:r w:rsidR="000A7AAB">
        <w:t>écrit</w:t>
      </w:r>
      <w:r w:rsidR="000A7AAB" w:rsidRPr="002C4077">
        <w:t xml:space="preserve"> </w:t>
      </w:r>
      <w:r w:rsidR="000A7AAB">
        <w:t>M.</w:t>
      </w:r>
      <w:r w:rsidR="000A7AAB" w:rsidRPr="002C4077">
        <w:t xml:space="preserve"> </w:t>
      </w:r>
      <w:r w:rsidR="000A7AAB">
        <w:t>Salmon</w:t>
      </w:r>
      <w:r w:rsidR="000A7AAB" w:rsidRPr="004440EA">
        <w:t xml:space="preserve"> (</w:t>
      </w:r>
      <w:r w:rsidR="000A7AAB">
        <w:t>c’est</w:t>
      </w:r>
      <w:r w:rsidR="000A7AAB" w:rsidRPr="002C4077">
        <w:t xml:space="preserve"> </w:t>
      </w:r>
      <w:r w:rsidR="000A7AAB">
        <w:t>pourtant</w:t>
      </w:r>
      <w:r w:rsidR="000A7AAB" w:rsidRPr="002C4077">
        <w:t xml:space="preserve"> </w:t>
      </w:r>
      <w:r w:rsidR="000A7AAB">
        <w:t>un</w:t>
      </w:r>
      <w:r w:rsidR="000A7AAB" w:rsidRPr="002C4077">
        <w:t xml:space="preserve"> </w:t>
      </w:r>
      <w:r w:rsidR="000A7AAB">
        <w:t>ami</w:t>
      </w:r>
      <w:r>
        <w:t> !</w:t>
      </w:r>
      <w:r w:rsidRPr="002C4077">
        <w:t>)</w:t>
      </w:r>
      <w:r w:rsidR="000A7AAB" w:rsidRPr="00950016">
        <w:t>,</w:t>
      </w:r>
      <w:r w:rsidR="000A7AAB" w:rsidRPr="002C4077">
        <w:t xml:space="preserve"> </w:t>
      </w:r>
      <w:r w:rsidR="000A7AAB">
        <w:t>nos</w:t>
      </w:r>
      <w:r w:rsidR="000A7AAB" w:rsidRPr="002C4077">
        <w:t xml:space="preserve"> </w:t>
      </w:r>
      <w:r w:rsidR="000A7AAB">
        <w:t>présents</w:t>
      </w:r>
      <w:r w:rsidR="000A7AAB" w:rsidRPr="002C4077">
        <w:t xml:space="preserve"> </w:t>
      </w:r>
      <w:r w:rsidR="000A7AAB">
        <w:t>correcteurs</w:t>
      </w:r>
      <w:r w:rsidR="000A7AAB" w:rsidRPr="002C4077">
        <w:t xml:space="preserve"> </w:t>
      </w:r>
      <w:r w:rsidR="000A7AAB">
        <w:t>ne</w:t>
      </w:r>
      <w:r w:rsidR="000A7AAB" w:rsidRPr="002C4077">
        <w:t xml:space="preserve"> </w:t>
      </w:r>
      <w:r w:rsidR="000A7AAB">
        <w:t>sont</w:t>
      </w:r>
      <w:r w:rsidR="000A7AAB" w:rsidRPr="002C4077">
        <w:t xml:space="preserve"> </w:t>
      </w:r>
      <w:r w:rsidR="000A7AAB">
        <w:t>pas</w:t>
      </w:r>
      <w:r w:rsidR="000A7AAB" w:rsidRPr="002C4077">
        <w:t xml:space="preserve"> </w:t>
      </w:r>
      <w:r w:rsidR="000A7AAB">
        <w:t>plus</w:t>
      </w:r>
      <w:r w:rsidR="000A7AAB" w:rsidRPr="002C4077">
        <w:t xml:space="preserve"> </w:t>
      </w:r>
      <w:r w:rsidR="000A7AAB">
        <w:t>infaillibles</w:t>
      </w:r>
      <w:r w:rsidR="000A7AAB" w:rsidRPr="002C4077">
        <w:t xml:space="preserve"> </w:t>
      </w:r>
      <w:r w:rsidR="000A7AAB">
        <w:t>que</w:t>
      </w:r>
      <w:r w:rsidR="000A7AAB" w:rsidRPr="002C4077">
        <w:t xml:space="preserve"> </w:t>
      </w:r>
      <w:r w:rsidR="000A7AAB">
        <w:t>leurs</w:t>
      </w:r>
      <w:r w:rsidR="000A7AAB" w:rsidRPr="002C4077">
        <w:t xml:space="preserve"> </w:t>
      </w:r>
      <w:r w:rsidR="000A7AAB">
        <w:t>devanciers</w:t>
      </w:r>
      <w:r w:rsidR="00B91AF7">
        <w:rPr>
          <w:rStyle w:val="Appelnotedebasdep"/>
        </w:rPr>
        <w:footnoteReference w:id="662"/>
      </w:r>
      <w:r>
        <w:t> »</w:t>
      </w:r>
      <w:r w:rsidR="000A7AAB">
        <w:t>.</w:t>
      </w:r>
      <w:r w:rsidR="000A7AAB" w:rsidRPr="002C4077">
        <w:t xml:space="preserve"> </w:t>
      </w:r>
      <w:r w:rsidR="000A7AAB">
        <w:t>En</w:t>
      </w:r>
      <w:r w:rsidR="000A7AAB" w:rsidRPr="002C4077">
        <w:t xml:space="preserve"> </w:t>
      </w:r>
      <w:r w:rsidR="000A7AAB">
        <w:t>tel</w:t>
      </w:r>
      <w:r w:rsidR="000A7AAB" w:rsidRPr="002C4077">
        <w:t xml:space="preserve"> </w:t>
      </w:r>
      <w:r w:rsidR="000A7AAB">
        <w:t>endroit,</w:t>
      </w:r>
      <w:r w:rsidR="000A7AAB" w:rsidRPr="002C4077">
        <w:t xml:space="preserve"> </w:t>
      </w:r>
      <w:r>
        <w:t>« </w:t>
      </w:r>
      <w:r w:rsidR="000A7AAB">
        <w:t>la</w:t>
      </w:r>
      <w:r w:rsidR="000A7AAB" w:rsidRPr="002C4077">
        <w:t xml:space="preserve"> </w:t>
      </w:r>
      <w:r w:rsidR="000A7AAB">
        <w:t>vraie</w:t>
      </w:r>
      <w:r w:rsidR="000A7AAB" w:rsidRPr="002C4077">
        <w:t xml:space="preserve"> </w:t>
      </w:r>
      <w:r w:rsidR="000A7AAB">
        <w:t>signification</w:t>
      </w:r>
      <w:r w:rsidR="000A7AAB" w:rsidRPr="002C4077">
        <w:t xml:space="preserve"> </w:t>
      </w:r>
      <w:r w:rsidR="000A7AAB">
        <w:t>a</w:t>
      </w:r>
      <w:r w:rsidR="000A7AAB" w:rsidRPr="002C4077">
        <w:t xml:space="preserve"> </w:t>
      </w:r>
      <w:r w:rsidR="000A7AAB">
        <w:t>été</w:t>
      </w:r>
      <w:r w:rsidR="000A7AAB" w:rsidRPr="002C4077">
        <w:t xml:space="preserve"> </w:t>
      </w:r>
      <w:r w:rsidR="000A7AAB">
        <w:t>manquée</w:t>
      </w:r>
      <w:r w:rsidR="000A7AAB" w:rsidRPr="002C4077">
        <w:t xml:space="preserve"> </w:t>
      </w:r>
      <w:r w:rsidR="000A7AAB">
        <w:t>totalement</w:t>
      </w:r>
      <w:r w:rsidR="000A7AAB" w:rsidRPr="002C4077">
        <w:t xml:space="preserve"> </w:t>
      </w:r>
      <w:r w:rsidR="000A7AAB">
        <w:t>par</w:t>
      </w:r>
      <w:r w:rsidR="000A7AAB" w:rsidRPr="002C4077">
        <w:t xml:space="preserve"> </w:t>
      </w:r>
      <w:r w:rsidR="000A7AAB">
        <w:t>la</w:t>
      </w:r>
      <w:r w:rsidR="000A7AAB" w:rsidRPr="002C4077">
        <w:t xml:space="preserve"> </w:t>
      </w:r>
      <w:r w:rsidR="000A7AAB">
        <w:t>version</w:t>
      </w:r>
      <w:r w:rsidR="000A7AAB" w:rsidRPr="002C4077">
        <w:t xml:space="preserve"> </w:t>
      </w:r>
      <w:r w:rsidR="000A7AAB">
        <w:t>nouvelle</w:t>
      </w:r>
      <w:r w:rsidR="00B91AF7">
        <w:rPr>
          <w:rStyle w:val="Appelnotedebasdep"/>
        </w:rPr>
        <w:footnoteReference w:id="663"/>
      </w:r>
      <w:r>
        <w:t> »</w:t>
      </w:r>
      <w:r w:rsidR="000A7AAB">
        <w:t>.</w:t>
      </w:r>
      <w:r w:rsidR="000A7AAB" w:rsidRPr="002C4077">
        <w:t xml:space="preserve"> </w:t>
      </w:r>
      <w:r w:rsidR="000A7AAB">
        <w:t>Ailleurs,</w:t>
      </w:r>
      <w:r w:rsidR="000A7AAB" w:rsidRPr="002C4077">
        <w:t xml:space="preserve"> </w:t>
      </w:r>
      <w:r w:rsidR="000A7AAB">
        <w:t>la</w:t>
      </w:r>
      <w:r w:rsidR="000A7AAB" w:rsidRPr="002C4077">
        <w:t xml:space="preserve"> </w:t>
      </w:r>
      <w:r w:rsidR="000A7AAB">
        <w:t>commission</w:t>
      </w:r>
      <w:r w:rsidR="000A7AAB" w:rsidRPr="002C4077">
        <w:t xml:space="preserve"> </w:t>
      </w:r>
      <w:r w:rsidR="000A7AAB">
        <w:t>a</w:t>
      </w:r>
      <w:r w:rsidR="000A7AAB" w:rsidRPr="002C4077">
        <w:t xml:space="preserve"> </w:t>
      </w:r>
      <w:r w:rsidR="000A7AAB">
        <w:t>été</w:t>
      </w:r>
      <w:r w:rsidR="000A7AAB" w:rsidRPr="002C4077">
        <w:t xml:space="preserve"> </w:t>
      </w:r>
      <w:r>
        <w:t>« </w:t>
      </w:r>
      <w:r w:rsidR="000A7AAB">
        <w:t>inconséquente</w:t>
      </w:r>
      <w:r w:rsidR="000A7AAB" w:rsidRPr="002C4077">
        <w:t xml:space="preserve"> </w:t>
      </w:r>
      <w:r w:rsidR="000A7AAB">
        <w:t>avec</w:t>
      </w:r>
      <w:r w:rsidR="000A7AAB" w:rsidRPr="002C4077">
        <w:t xml:space="preserve"> </w:t>
      </w:r>
      <w:r w:rsidR="000A7AAB">
        <w:t>elle-même</w:t>
      </w:r>
      <w:r w:rsidR="00B91AF7">
        <w:rPr>
          <w:rStyle w:val="Appelnotedebasdep"/>
        </w:rPr>
        <w:footnoteReference w:id="664"/>
      </w:r>
      <w:r>
        <w:t> »</w:t>
      </w:r>
      <w:r w:rsidR="000A7AAB">
        <w:t>.</w:t>
      </w:r>
      <w:r w:rsidR="000A7AAB" w:rsidRPr="002C4077">
        <w:t xml:space="preserve"> </w:t>
      </w:r>
      <w:r w:rsidR="000A7AAB">
        <w:t>Toujours</w:t>
      </w:r>
      <w:r w:rsidR="000A7AAB" w:rsidRPr="002C4077">
        <w:t xml:space="preserve"> </w:t>
      </w:r>
      <w:r w:rsidR="000A7AAB">
        <w:t>sous</w:t>
      </w:r>
      <w:r w:rsidR="000A7AAB" w:rsidRPr="002C4077">
        <w:t xml:space="preserve"> </w:t>
      </w:r>
      <w:r w:rsidR="000A7AAB">
        <w:t>le</w:t>
      </w:r>
      <w:r w:rsidR="000A7AAB" w:rsidRPr="002C4077">
        <w:t xml:space="preserve"> </w:t>
      </w:r>
      <w:r w:rsidR="000A7AAB">
        <w:t>rapport</w:t>
      </w:r>
      <w:r w:rsidR="000A7AAB" w:rsidRPr="002C4077">
        <w:t xml:space="preserve"> </w:t>
      </w:r>
      <w:r w:rsidR="000A7AAB">
        <w:t>du</w:t>
      </w:r>
      <w:r w:rsidR="000A7AAB" w:rsidRPr="002C4077">
        <w:t xml:space="preserve"> </w:t>
      </w:r>
      <w:r w:rsidR="000A7AAB">
        <w:t>sens,</w:t>
      </w:r>
      <w:r w:rsidR="000A7AAB" w:rsidRPr="002C4077">
        <w:t xml:space="preserve"> </w:t>
      </w:r>
      <w:r w:rsidR="000A7AAB">
        <w:t>tel</w:t>
      </w:r>
      <w:r w:rsidR="000A7AAB" w:rsidRPr="002C4077">
        <w:t xml:space="preserve"> </w:t>
      </w:r>
      <w:r w:rsidR="000A7AAB">
        <w:t>passage</w:t>
      </w:r>
      <w:r w:rsidR="000A7AAB" w:rsidRPr="002C4077">
        <w:t xml:space="preserve"> </w:t>
      </w:r>
      <w:r>
        <w:t>« </w:t>
      </w:r>
      <w:r w:rsidR="000A7AAB">
        <w:t>réclame</w:t>
      </w:r>
      <w:r w:rsidR="000A7AAB" w:rsidRPr="002C4077">
        <w:t xml:space="preserve"> </w:t>
      </w:r>
      <w:r w:rsidR="000A7AAB">
        <w:t>quelques</w:t>
      </w:r>
      <w:r w:rsidR="000A7AAB" w:rsidRPr="002C4077">
        <w:t xml:space="preserve"> </w:t>
      </w:r>
      <w:r w:rsidR="000A7AAB">
        <w:t>observations,</w:t>
      </w:r>
      <w:r w:rsidR="000A7AAB" w:rsidRPr="002C4077">
        <w:t xml:space="preserve"> </w:t>
      </w:r>
      <w:r w:rsidR="000A7AAB">
        <w:t>observations</w:t>
      </w:r>
      <w:r w:rsidR="000A7AAB" w:rsidRPr="002C4077">
        <w:t xml:space="preserve"> </w:t>
      </w:r>
      <w:r w:rsidR="000A7AAB">
        <w:t>non</w:t>
      </w:r>
      <w:r w:rsidR="000A7AAB" w:rsidRPr="002C4077">
        <w:t xml:space="preserve"> </w:t>
      </w:r>
      <w:r w:rsidR="000A7AAB">
        <w:t>en</w:t>
      </w:r>
      <w:r w:rsidR="000A7AAB" w:rsidRPr="002C4077">
        <w:t xml:space="preserve"> </w:t>
      </w:r>
      <w:r w:rsidR="000A7AAB">
        <w:t>vue</w:t>
      </w:r>
      <w:r w:rsidR="000A7AAB" w:rsidRPr="002C4077">
        <w:t xml:space="preserve"> </w:t>
      </w:r>
      <w:r w:rsidR="000A7AAB">
        <w:t>de</w:t>
      </w:r>
      <w:r w:rsidR="000A7AAB" w:rsidRPr="002C4077">
        <w:t xml:space="preserve"> </w:t>
      </w:r>
      <w:r w:rsidR="000A7AAB">
        <w:t>louer,</w:t>
      </w:r>
      <w:r w:rsidR="000A7AAB" w:rsidRPr="002C4077">
        <w:t xml:space="preserve"> </w:t>
      </w:r>
      <w:r w:rsidR="000A7AAB">
        <w:t>mais</w:t>
      </w:r>
      <w:r w:rsidR="000A7AAB" w:rsidRPr="002C4077">
        <w:t xml:space="preserve"> </w:t>
      </w:r>
      <w:r w:rsidR="000A7AAB">
        <w:t>pour</w:t>
      </w:r>
      <w:r w:rsidR="000A7AAB" w:rsidRPr="002C4077">
        <w:t xml:space="preserve"> </w:t>
      </w:r>
      <w:r w:rsidR="000A7AAB">
        <w:t>blâmer</w:t>
      </w:r>
      <w:r w:rsidR="000A7AAB" w:rsidRPr="002C4077">
        <w:t xml:space="preserve"> </w:t>
      </w:r>
      <w:r w:rsidR="000A7AAB">
        <w:t>et</w:t>
      </w:r>
      <w:r w:rsidR="000A7AAB" w:rsidRPr="002C4077">
        <w:t xml:space="preserve"> </w:t>
      </w:r>
      <w:r w:rsidR="000A7AAB">
        <w:t>protester</w:t>
      </w:r>
      <w:r w:rsidR="00B91AF7">
        <w:rPr>
          <w:rStyle w:val="Appelnotedebasdep"/>
        </w:rPr>
        <w:footnoteReference w:id="665"/>
      </w:r>
      <w:r>
        <w:t> »</w:t>
      </w:r>
      <w:r w:rsidR="000A7AAB">
        <w:t>.</w:t>
      </w:r>
      <w:r w:rsidR="000A7AAB" w:rsidRPr="002C4077">
        <w:t xml:space="preserve"> </w:t>
      </w:r>
      <w:r>
        <w:t>« </w:t>
      </w:r>
      <w:r w:rsidR="000A7AAB">
        <w:t>Ce</w:t>
      </w:r>
      <w:r w:rsidR="000A7AAB" w:rsidRPr="002C4077">
        <w:t xml:space="preserve"> </w:t>
      </w:r>
      <w:r w:rsidR="000A7AAB">
        <w:t>serait</w:t>
      </w:r>
      <w:r w:rsidR="000A7AAB" w:rsidRPr="002C4077">
        <w:t xml:space="preserve"> </w:t>
      </w:r>
      <w:r w:rsidR="000A7AAB">
        <w:t>trop</w:t>
      </w:r>
      <w:r w:rsidR="000A7AAB" w:rsidRPr="002C4077">
        <w:t xml:space="preserve"> </w:t>
      </w:r>
      <w:r w:rsidR="000A7AAB">
        <w:t>d’affirmer</w:t>
      </w:r>
      <w:r w:rsidR="000A7AAB" w:rsidRPr="002C4077">
        <w:t xml:space="preserve"> </w:t>
      </w:r>
      <w:r w:rsidR="000A7AAB">
        <w:t>que</w:t>
      </w:r>
      <w:r w:rsidR="000A7AAB" w:rsidRPr="002C4077">
        <w:t xml:space="preserve"> </w:t>
      </w:r>
      <w:r w:rsidR="000A7AAB">
        <w:t>les</w:t>
      </w:r>
      <w:r w:rsidR="000A7AAB" w:rsidRPr="002C4077">
        <w:t xml:space="preserve"> </w:t>
      </w:r>
      <w:r w:rsidR="000A7AAB">
        <w:t>réviseurs</w:t>
      </w:r>
      <w:r w:rsidR="000A7AAB" w:rsidRPr="002C4077">
        <w:t xml:space="preserve"> </w:t>
      </w:r>
      <w:r w:rsidR="000A7AAB">
        <w:t>n’ont</w:t>
      </w:r>
      <w:r w:rsidR="000A7AAB" w:rsidRPr="002C4077">
        <w:t xml:space="preserve"> </w:t>
      </w:r>
      <w:r w:rsidR="000A7AAB">
        <w:t>jamais</w:t>
      </w:r>
      <w:r w:rsidR="000A7AAB" w:rsidRPr="002C4077">
        <w:t xml:space="preserve"> </w:t>
      </w:r>
      <w:r w:rsidR="000A7AAB">
        <w:t>été</w:t>
      </w:r>
      <w:r w:rsidR="000A7AAB" w:rsidRPr="002C4077">
        <w:t xml:space="preserve"> </w:t>
      </w:r>
      <w:r w:rsidR="000A7AAB">
        <w:t>influencés</w:t>
      </w:r>
      <w:r w:rsidR="000A7AAB" w:rsidRPr="002C4077">
        <w:t xml:space="preserve"> </w:t>
      </w:r>
      <w:r w:rsidR="000A7AAB">
        <w:t>par</w:t>
      </w:r>
      <w:r w:rsidR="000A7AAB" w:rsidRPr="002C4077">
        <w:t xml:space="preserve"> </w:t>
      </w:r>
      <w:r w:rsidR="000A7AAB">
        <w:t>des</w:t>
      </w:r>
      <w:r w:rsidR="000A7AAB" w:rsidRPr="002C4077">
        <w:t xml:space="preserve"> </w:t>
      </w:r>
      <w:r w:rsidR="000A7AAB">
        <w:t>préjugés</w:t>
      </w:r>
      <w:r w:rsidR="000A7AAB" w:rsidRPr="002C4077">
        <w:t xml:space="preserve"> </w:t>
      </w:r>
      <w:r w:rsidR="000A7AAB">
        <w:t>théologiques</w:t>
      </w:r>
      <w:r w:rsidR="00B91AF7">
        <w:rPr>
          <w:rStyle w:val="Appelnotedebasdep"/>
        </w:rPr>
        <w:footnoteReference w:id="666"/>
      </w:r>
      <w:r>
        <w:t> »</w:t>
      </w:r>
      <w:r w:rsidR="000A7AAB">
        <w:t>.</w:t>
      </w:r>
      <w:r w:rsidR="00C45B47">
        <w:t xml:space="preserve"> {</w:t>
      </w:r>
      <w:r w:rsidR="001F5257">
        <w:t>199</w:t>
      </w:r>
      <w:bookmarkStart w:id="500" w:name="p199"/>
      <w:bookmarkEnd w:id="500"/>
      <w:r w:rsidR="001F5257">
        <w:t xml:space="preserve">} </w:t>
      </w:r>
    </w:p>
    <w:p w:rsidR="000A7AAB" w:rsidRDefault="000A7AAB" w:rsidP="000A7AAB">
      <w:r>
        <w:t>La</w:t>
      </w:r>
      <w:r w:rsidRPr="002C4077">
        <w:t xml:space="preserve"> </w:t>
      </w:r>
      <w:r>
        <w:t>révision</w:t>
      </w:r>
      <w:r w:rsidRPr="002C4077">
        <w:t xml:space="preserve"> </w:t>
      </w:r>
      <w:r>
        <w:t>du</w:t>
      </w:r>
      <w:r w:rsidRPr="002C4077">
        <w:t xml:space="preserve"> </w:t>
      </w:r>
      <w:r>
        <w:t>style</w:t>
      </w:r>
      <w:r w:rsidRPr="002C4077">
        <w:t xml:space="preserve"> </w:t>
      </w:r>
      <w:r w:rsidR="00425C50">
        <w:t>est</w:t>
      </w:r>
      <w:r w:rsidRPr="002C4077">
        <w:t xml:space="preserve"> </w:t>
      </w:r>
      <w:r>
        <w:t>encore</w:t>
      </w:r>
      <w:r w:rsidRPr="002C4077">
        <w:t xml:space="preserve"> </w:t>
      </w:r>
      <w:r>
        <w:t>plus</w:t>
      </w:r>
      <w:r w:rsidRPr="002C4077">
        <w:t xml:space="preserve"> </w:t>
      </w:r>
      <w:r>
        <w:t>critiquée</w:t>
      </w:r>
      <w:r w:rsidRPr="002C4077">
        <w:t xml:space="preserve"> </w:t>
      </w:r>
      <w:r>
        <w:t>que</w:t>
      </w:r>
      <w:r w:rsidRPr="002C4077">
        <w:t xml:space="preserve"> </w:t>
      </w:r>
      <w:r>
        <w:t>celle</w:t>
      </w:r>
      <w:r w:rsidRPr="002C4077">
        <w:t xml:space="preserve"> </w:t>
      </w:r>
      <w:r>
        <w:t>du</w:t>
      </w:r>
      <w:r w:rsidRPr="002C4077">
        <w:t xml:space="preserve"> </w:t>
      </w:r>
      <w:r>
        <w:t>fond.</w:t>
      </w:r>
      <w:r w:rsidRPr="002C4077">
        <w:t xml:space="preserve"> </w:t>
      </w:r>
    </w:p>
    <w:p w:rsidR="000A7AAB" w:rsidRDefault="00B546AF" w:rsidP="000A7AAB">
      <w:r>
        <w:t>« </w:t>
      </w:r>
      <w:r w:rsidR="000A7AAB">
        <w:t>On</w:t>
      </w:r>
      <w:r w:rsidR="000A7AAB" w:rsidRPr="002C4077">
        <w:t xml:space="preserve"> </w:t>
      </w:r>
      <w:r w:rsidR="000A7AAB">
        <w:t>ne</w:t>
      </w:r>
      <w:r w:rsidR="000A7AAB" w:rsidRPr="002C4077">
        <w:t xml:space="preserve"> </w:t>
      </w:r>
      <w:r w:rsidR="000A7AAB">
        <w:t>peut</w:t>
      </w:r>
      <w:r w:rsidR="000A7AAB" w:rsidRPr="002C4077">
        <w:t xml:space="preserve"> </w:t>
      </w:r>
      <w:r w:rsidR="000A7AAB">
        <w:t>certainement</w:t>
      </w:r>
      <w:r w:rsidR="000A7AAB" w:rsidRPr="002C4077">
        <w:t xml:space="preserve"> </w:t>
      </w:r>
      <w:r w:rsidR="000A7AAB">
        <w:t>pas</w:t>
      </w:r>
      <w:r w:rsidR="000A7AAB" w:rsidRPr="002C4077">
        <w:t xml:space="preserve"> </w:t>
      </w:r>
      <w:r w:rsidR="000A7AAB">
        <w:t>dire</w:t>
      </w:r>
      <w:r w:rsidR="000A7AAB" w:rsidRPr="002C4077">
        <w:t xml:space="preserve"> </w:t>
      </w:r>
      <w:r w:rsidR="000A7AAB">
        <w:t>que</w:t>
      </w:r>
      <w:r w:rsidR="000A7AAB" w:rsidRPr="002C4077">
        <w:t xml:space="preserve"> </w:t>
      </w:r>
      <w:r w:rsidR="000A7AAB">
        <w:t>les</w:t>
      </w:r>
      <w:r w:rsidR="000A7AAB" w:rsidRPr="002C4077">
        <w:t xml:space="preserve"> </w:t>
      </w:r>
      <w:r w:rsidR="000A7AAB">
        <w:t>correcteurs</w:t>
      </w:r>
      <w:r w:rsidR="000A7AAB" w:rsidRPr="002C4077">
        <w:t xml:space="preserve"> </w:t>
      </w:r>
      <w:r w:rsidR="000A7AAB">
        <w:t>ont</w:t>
      </w:r>
      <w:r w:rsidR="000A7AAB" w:rsidRPr="002C4077">
        <w:t xml:space="preserve"> </w:t>
      </w:r>
      <w:r w:rsidR="000A7AAB">
        <w:t>fait</w:t>
      </w:r>
      <w:r w:rsidR="000A7AAB" w:rsidRPr="002C4077">
        <w:t xml:space="preserve"> </w:t>
      </w:r>
      <w:r w:rsidR="000A7AAB">
        <w:t>beaucoup</w:t>
      </w:r>
      <w:r w:rsidR="000A7AAB" w:rsidRPr="002C4077">
        <w:t xml:space="preserve"> </w:t>
      </w:r>
      <w:r w:rsidR="000A7AAB">
        <w:t>pour</w:t>
      </w:r>
      <w:r w:rsidR="000A7AAB" w:rsidRPr="002C4077">
        <w:t xml:space="preserve"> </w:t>
      </w:r>
      <w:r w:rsidR="000A7AAB">
        <w:t>enrichir</w:t>
      </w:r>
      <w:r w:rsidR="000A7AAB" w:rsidRPr="002C4077">
        <w:t xml:space="preserve"> </w:t>
      </w:r>
      <w:r w:rsidR="000A7AAB">
        <w:t>le</w:t>
      </w:r>
      <w:r w:rsidR="000A7AAB" w:rsidRPr="002C4077">
        <w:t xml:space="preserve"> </w:t>
      </w:r>
      <w:r w:rsidR="000A7AAB">
        <w:t>langage</w:t>
      </w:r>
      <w:r w:rsidR="000A7AAB" w:rsidRPr="002C4077">
        <w:t xml:space="preserve"> </w:t>
      </w:r>
      <w:r w:rsidR="000A7AAB">
        <w:t>de</w:t>
      </w:r>
      <w:r w:rsidR="000A7AAB" w:rsidRPr="002C4077">
        <w:t xml:space="preserve"> </w:t>
      </w:r>
      <w:r w:rsidR="000A7AAB">
        <w:t>la</w:t>
      </w:r>
      <w:r w:rsidR="000A7AAB" w:rsidRPr="002C4077">
        <w:t xml:space="preserve"> </w:t>
      </w:r>
      <w:r w:rsidR="000A7AAB">
        <w:t>Bible</w:t>
      </w:r>
      <w:r w:rsidR="000A7AAB" w:rsidRPr="002C4077">
        <w:t xml:space="preserve"> </w:t>
      </w:r>
      <w:r w:rsidR="000A7AAB">
        <w:t>anglaise,</w:t>
      </w:r>
      <w:r w:rsidR="000A7AAB" w:rsidRPr="002C4077">
        <w:t xml:space="preserve"> </w:t>
      </w:r>
      <w:r w:rsidR="000A7AAB">
        <w:t>ni</w:t>
      </w:r>
      <w:r w:rsidR="000A7AAB" w:rsidRPr="002C4077">
        <w:t xml:space="preserve"> </w:t>
      </w:r>
      <w:r w:rsidR="000A7AAB">
        <w:t>qu’ils</w:t>
      </w:r>
      <w:r w:rsidR="000A7AAB" w:rsidRPr="002C4077">
        <w:t xml:space="preserve"> </w:t>
      </w:r>
      <w:r w:rsidR="000A7AAB">
        <w:t>ont</w:t>
      </w:r>
      <w:r w:rsidR="000A7AAB" w:rsidRPr="002C4077">
        <w:t xml:space="preserve"> </w:t>
      </w:r>
      <w:r w:rsidR="000A7AAB">
        <w:t>mis</w:t>
      </w:r>
      <w:r w:rsidR="000A7AAB" w:rsidRPr="002C4077">
        <w:t xml:space="preserve"> </w:t>
      </w:r>
      <w:r w:rsidR="000A7AAB">
        <w:t>en</w:t>
      </w:r>
      <w:r w:rsidR="000A7AAB" w:rsidRPr="002C4077">
        <w:t xml:space="preserve"> </w:t>
      </w:r>
      <w:r w:rsidR="000A7AAB">
        <w:t>relief</w:t>
      </w:r>
      <w:r w:rsidR="000A7AAB" w:rsidRPr="002C4077">
        <w:t xml:space="preserve"> </w:t>
      </w:r>
      <w:r w:rsidR="000A7AAB">
        <w:t>toute</w:t>
      </w:r>
      <w:r w:rsidR="000A7AAB" w:rsidRPr="002C4077">
        <w:t xml:space="preserve"> </w:t>
      </w:r>
      <w:r w:rsidR="000A7AAB">
        <w:t>la</w:t>
      </w:r>
      <w:r w:rsidR="000A7AAB" w:rsidRPr="002C4077">
        <w:t xml:space="preserve"> </w:t>
      </w:r>
      <w:r w:rsidR="000A7AAB">
        <w:t>puissance</w:t>
      </w:r>
      <w:r w:rsidR="000A7AAB" w:rsidRPr="002C4077">
        <w:t xml:space="preserve"> </w:t>
      </w:r>
      <w:r w:rsidR="000A7AAB">
        <w:t>de</w:t>
      </w:r>
      <w:r w:rsidR="000A7AAB" w:rsidRPr="002C4077">
        <w:t xml:space="preserve"> </w:t>
      </w:r>
      <w:r w:rsidR="000A7AAB">
        <w:t>la</w:t>
      </w:r>
      <w:r w:rsidR="000A7AAB" w:rsidRPr="002C4077">
        <w:t xml:space="preserve"> </w:t>
      </w:r>
      <w:r w:rsidR="000A7AAB">
        <w:t>noble</w:t>
      </w:r>
      <w:r w:rsidR="000A7AAB" w:rsidRPr="002C4077">
        <w:t xml:space="preserve"> </w:t>
      </w:r>
      <w:r w:rsidR="000A7AAB">
        <w:t>langue</w:t>
      </w:r>
      <w:r w:rsidR="000A7AAB" w:rsidRPr="002C4077">
        <w:t xml:space="preserve"> </w:t>
      </w:r>
      <w:r w:rsidR="000A7AAB">
        <w:t>anglaise</w:t>
      </w:r>
      <w:r w:rsidR="00B91AF7">
        <w:rPr>
          <w:rStyle w:val="Appelnotedebasdep"/>
        </w:rPr>
        <w:footnoteReference w:id="667"/>
      </w:r>
      <w:r w:rsidR="000A7AAB">
        <w:t>…</w:t>
      </w:r>
      <w:r w:rsidR="000A7AAB" w:rsidRPr="002C4077">
        <w:t xml:space="preserve"> </w:t>
      </w:r>
      <w:r w:rsidR="000A7AAB">
        <w:t>Ils</w:t>
      </w:r>
      <w:r w:rsidR="000A7AAB" w:rsidRPr="002C4077">
        <w:t xml:space="preserve"> </w:t>
      </w:r>
      <w:r w:rsidR="000A7AAB">
        <w:t>ont</w:t>
      </w:r>
      <w:r w:rsidR="000A7AAB" w:rsidRPr="002C4077">
        <w:t xml:space="preserve"> </w:t>
      </w:r>
      <w:r w:rsidR="000A7AAB">
        <w:t>quelquefois</w:t>
      </w:r>
      <w:r w:rsidR="000A7AAB" w:rsidRPr="002C4077">
        <w:t xml:space="preserve"> </w:t>
      </w:r>
      <w:r w:rsidR="000A7AAB">
        <w:t>gâté</w:t>
      </w:r>
      <w:r w:rsidR="000A7AAB" w:rsidRPr="002C4077">
        <w:t xml:space="preserve"> </w:t>
      </w:r>
      <w:r w:rsidR="000A7AAB">
        <w:t>la</w:t>
      </w:r>
      <w:r w:rsidR="000A7AAB" w:rsidRPr="002C4077">
        <w:t xml:space="preserve"> </w:t>
      </w:r>
      <w:r w:rsidR="000A7AAB">
        <w:t>belle</w:t>
      </w:r>
      <w:r w:rsidR="000A7AAB" w:rsidRPr="002C4077">
        <w:t xml:space="preserve"> </w:t>
      </w:r>
      <w:r w:rsidR="000A7AAB">
        <w:t>traduction</w:t>
      </w:r>
      <w:r w:rsidR="000A7AAB" w:rsidRPr="002C4077">
        <w:t xml:space="preserve"> </w:t>
      </w:r>
      <w:r w:rsidR="000A7AAB">
        <w:t>qu’ils</w:t>
      </w:r>
      <w:r w:rsidR="000A7AAB" w:rsidRPr="002C4077">
        <w:t xml:space="preserve"> </w:t>
      </w:r>
      <w:r w:rsidR="000A7AAB">
        <w:t>avaient</w:t>
      </w:r>
      <w:r w:rsidR="000A7AAB" w:rsidRPr="002C4077">
        <w:t xml:space="preserve"> </w:t>
      </w:r>
      <w:r w:rsidR="000A7AAB">
        <w:t>entre</w:t>
      </w:r>
      <w:r w:rsidR="000A7AAB" w:rsidRPr="002C4077">
        <w:t xml:space="preserve"> </w:t>
      </w:r>
      <w:r w:rsidR="000A7AAB">
        <w:t>les</w:t>
      </w:r>
      <w:r w:rsidR="000A7AAB" w:rsidRPr="002C4077">
        <w:t xml:space="preserve"> </w:t>
      </w:r>
      <w:r w:rsidR="000A7AAB">
        <w:t>mains</w:t>
      </w:r>
      <w:r w:rsidR="00B91AF7">
        <w:rPr>
          <w:rStyle w:val="Appelnotedebasdep"/>
        </w:rPr>
        <w:footnoteReference w:id="668"/>
      </w:r>
      <w:r>
        <w:t> »</w:t>
      </w:r>
      <w:r w:rsidR="000A7AAB">
        <w:t>.</w:t>
      </w:r>
      <w:r w:rsidR="000A7AAB" w:rsidRPr="002C4077">
        <w:t xml:space="preserve"> </w:t>
      </w:r>
      <w:r>
        <w:t>« </w:t>
      </w:r>
      <w:r w:rsidR="000A7AAB">
        <w:t>Si,</w:t>
      </w:r>
      <w:r w:rsidR="000A7AAB" w:rsidRPr="002C4077">
        <w:t xml:space="preserve"> </w:t>
      </w:r>
      <w:r w:rsidR="000A7AAB">
        <w:t>quand</w:t>
      </w:r>
      <w:r w:rsidR="000A7AAB" w:rsidRPr="002C4077">
        <w:t xml:space="preserve"> </w:t>
      </w:r>
      <w:r w:rsidR="000A7AAB">
        <w:t>la</w:t>
      </w:r>
      <w:r w:rsidR="000A7AAB" w:rsidRPr="002C4077">
        <w:t xml:space="preserve"> </w:t>
      </w:r>
      <w:r w:rsidR="000A7AAB">
        <w:t>nouvelle</w:t>
      </w:r>
      <w:r w:rsidR="000A7AAB" w:rsidRPr="002C4077">
        <w:t xml:space="preserve"> </w:t>
      </w:r>
      <w:r w:rsidR="000A7AAB">
        <w:t>version</w:t>
      </w:r>
      <w:r w:rsidR="000A7AAB" w:rsidRPr="002C4077">
        <w:t xml:space="preserve"> </w:t>
      </w:r>
      <w:r w:rsidR="000A7AAB">
        <w:t>dévie</w:t>
      </w:r>
      <w:r w:rsidR="000A7AAB" w:rsidRPr="002C4077">
        <w:t xml:space="preserve"> </w:t>
      </w:r>
      <w:r w:rsidR="000A7AAB">
        <w:t>du</w:t>
      </w:r>
      <w:r w:rsidR="000A7AAB" w:rsidRPr="002C4077">
        <w:t xml:space="preserve"> </w:t>
      </w:r>
      <w:r w:rsidR="000A7AAB">
        <w:t>texte</w:t>
      </w:r>
      <w:r w:rsidR="000A7AAB" w:rsidRPr="002C4077">
        <w:t xml:space="preserve"> </w:t>
      </w:r>
      <w:r w:rsidR="000A7AAB">
        <w:t>autorisé,</w:t>
      </w:r>
      <w:r w:rsidR="000A7AAB" w:rsidRPr="002C4077">
        <w:t xml:space="preserve"> </w:t>
      </w:r>
      <w:r w:rsidR="000A7AAB">
        <w:t>on</w:t>
      </w:r>
      <w:r w:rsidR="000A7AAB" w:rsidRPr="002C4077">
        <w:t xml:space="preserve"> </w:t>
      </w:r>
      <w:r w:rsidR="000A7AAB">
        <w:t>trouve</w:t>
      </w:r>
      <w:r w:rsidR="000A7AAB" w:rsidRPr="002C4077">
        <w:t xml:space="preserve"> </w:t>
      </w:r>
      <w:r w:rsidR="000A7AAB">
        <w:t>qu’elle</w:t>
      </w:r>
      <w:r w:rsidR="000A7AAB" w:rsidRPr="002C4077">
        <w:t xml:space="preserve"> </w:t>
      </w:r>
      <w:r w:rsidR="000A7AAB">
        <w:t>en</w:t>
      </w:r>
      <w:r w:rsidR="000A7AAB" w:rsidRPr="002C4077">
        <w:t xml:space="preserve"> </w:t>
      </w:r>
      <w:r w:rsidR="000A7AAB">
        <w:t>obscurcit</w:t>
      </w:r>
      <w:r w:rsidR="000A7AAB" w:rsidRPr="002C4077">
        <w:t xml:space="preserve"> </w:t>
      </w:r>
      <w:r w:rsidR="000A7AAB">
        <w:t>parfois</w:t>
      </w:r>
      <w:r w:rsidR="000A7AAB" w:rsidRPr="002C4077">
        <w:t xml:space="preserve"> </w:t>
      </w:r>
      <w:r w:rsidR="000A7AAB">
        <w:t>les</w:t>
      </w:r>
      <w:r w:rsidR="000A7AAB" w:rsidRPr="002C4077">
        <w:t xml:space="preserve"> </w:t>
      </w:r>
      <w:r w:rsidR="000A7AAB">
        <w:t>beautés,</w:t>
      </w:r>
      <w:r w:rsidR="000A7AAB" w:rsidRPr="002C4077">
        <w:t xml:space="preserve"> </w:t>
      </w:r>
      <w:r w:rsidR="000A7AAB">
        <w:t>sans</w:t>
      </w:r>
      <w:r w:rsidR="000A7AAB" w:rsidRPr="002C4077">
        <w:t xml:space="preserve"> </w:t>
      </w:r>
      <w:r w:rsidR="000A7AAB">
        <w:t>autre</w:t>
      </w:r>
      <w:r w:rsidR="000A7AAB" w:rsidRPr="002C4077">
        <w:t xml:space="preserve"> </w:t>
      </w:r>
      <w:r w:rsidR="000A7AAB">
        <w:t>compensation</w:t>
      </w:r>
      <w:r w:rsidR="000A7AAB" w:rsidRPr="002C4077">
        <w:t xml:space="preserve"> </w:t>
      </w:r>
      <w:r w:rsidR="000A7AAB">
        <w:t>qu’un</w:t>
      </w:r>
      <w:r w:rsidR="000A7AAB" w:rsidRPr="002C4077">
        <w:t xml:space="preserve"> </w:t>
      </w:r>
      <w:r w:rsidR="000A7AAB">
        <w:t>léger</w:t>
      </w:r>
      <w:r w:rsidR="000A7AAB" w:rsidRPr="002C4077">
        <w:t xml:space="preserve"> </w:t>
      </w:r>
      <w:r w:rsidR="000A7AAB">
        <w:t>brin</w:t>
      </w:r>
      <w:r w:rsidR="000A7AAB" w:rsidRPr="002C4077">
        <w:t xml:space="preserve"> </w:t>
      </w:r>
      <w:r w:rsidR="000A7AAB">
        <w:t>de</w:t>
      </w:r>
      <w:r w:rsidR="000A7AAB" w:rsidRPr="002C4077">
        <w:t xml:space="preserve"> </w:t>
      </w:r>
      <w:r w:rsidR="000A7AAB">
        <w:t>pédanterie</w:t>
      </w:r>
      <w:r>
        <w:t> ;</w:t>
      </w:r>
      <w:r w:rsidR="000A7AAB" w:rsidRPr="002C4077">
        <w:t xml:space="preserve"> </w:t>
      </w:r>
      <w:r w:rsidR="000A7AAB">
        <w:t>si,</w:t>
      </w:r>
      <w:r w:rsidR="000A7AAB" w:rsidRPr="002C4077">
        <w:t xml:space="preserve"> </w:t>
      </w:r>
      <w:r w:rsidR="000A7AAB">
        <w:t>en</w:t>
      </w:r>
      <w:r w:rsidR="000A7AAB" w:rsidRPr="002C4077">
        <w:t xml:space="preserve"> </w:t>
      </w:r>
      <w:r w:rsidR="000A7AAB">
        <w:t>recherchant</w:t>
      </w:r>
      <w:r w:rsidR="000A7AAB" w:rsidRPr="002C4077">
        <w:t xml:space="preserve"> </w:t>
      </w:r>
      <w:r w:rsidR="000A7AAB">
        <w:t>d’une</w:t>
      </w:r>
      <w:r w:rsidR="000A7AAB" w:rsidRPr="002C4077">
        <w:t xml:space="preserve"> </w:t>
      </w:r>
      <w:r w:rsidR="000A7AAB">
        <w:t>manière</w:t>
      </w:r>
      <w:r w:rsidR="000A7AAB" w:rsidRPr="002C4077">
        <w:t xml:space="preserve"> </w:t>
      </w:r>
      <w:r w:rsidR="000A7AAB">
        <w:t>excessive</w:t>
      </w:r>
      <w:r w:rsidR="000A7AAB" w:rsidRPr="002C4077">
        <w:t xml:space="preserve"> </w:t>
      </w:r>
      <w:r w:rsidR="000A7AAB">
        <w:t>l’exactitude</w:t>
      </w:r>
      <w:r w:rsidR="000A7AAB" w:rsidRPr="002C4077">
        <w:t xml:space="preserve"> </w:t>
      </w:r>
      <w:r w:rsidR="000A7AAB">
        <w:t>littérale</w:t>
      </w:r>
      <w:r w:rsidR="000A7AAB" w:rsidRPr="002C4077">
        <w:t xml:space="preserve"> </w:t>
      </w:r>
      <w:r w:rsidR="000A7AAB">
        <w:t>alors</w:t>
      </w:r>
      <w:r w:rsidR="000A7AAB" w:rsidRPr="002C4077">
        <w:t xml:space="preserve"> </w:t>
      </w:r>
      <w:r w:rsidR="000A7AAB">
        <w:t>que</w:t>
      </w:r>
      <w:r w:rsidR="000A7AAB" w:rsidRPr="002C4077">
        <w:t xml:space="preserve"> </w:t>
      </w:r>
      <w:r w:rsidR="000A7AAB">
        <w:t>les</w:t>
      </w:r>
      <w:r w:rsidR="000A7AAB" w:rsidRPr="002C4077">
        <w:t xml:space="preserve"> </w:t>
      </w:r>
      <w:r w:rsidR="000A7AAB">
        <w:t>différences</w:t>
      </w:r>
      <w:r w:rsidR="000A7AAB" w:rsidRPr="002C4077">
        <w:t xml:space="preserve"> </w:t>
      </w:r>
      <w:r w:rsidR="000A7AAB">
        <w:t>des</w:t>
      </w:r>
      <w:r w:rsidR="000A7AAB" w:rsidRPr="002C4077">
        <w:t xml:space="preserve"> </w:t>
      </w:r>
      <w:r w:rsidR="000A7AAB">
        <w:t>langues</w:t>
      </w:r>
      <w:r w:rsidR="000A7AAB" w:rsidRPr="002C4077">
        <w:t xml:space="preserve"> </w:t>
      </w:r>
      <w:r w:rsidR="000A7AAB">
        <w:t>ne</w:t>
      </w:r>
      <w:r w:rsidR="000A7AAB" w:rsidRPr="002C4077">
        <w:t xml:space="preserve"> </w:t>
      </w:r>
      <w:r w:rsidR="000A7AAB">
        <w:t>le</w:t>
      </w:r>
      <w:r w:rsidR="000A7AAB" w:rsidRPr="002C4077">
        <w:t xml:space="preserve"> </w:t>
      </w:r>
      <w:r w:rsidR="000A7AAB">
        <w:t>permettent</w:t>
      </w:r>
      <w:r w:rsidR="000A7AAB" w:rsidRPr="002C4077">
        <w:t xml:space="preserve"> </w:t>
      </w:r>
      <w:r w:rsidR="000A7AAB">
        <w:t>pas,</w:t>
      </w:r>
      <w:r w:rsidR="000A7AAB" w:rsidRPr="002C4077">
        <w:t xml:space="preserve"> </w:t>
      </w:r>
      <w:r w:rsidR="000A7AAB">
        <w:t>elle</w:t>
      </w:r>
      <w:r w:rsidR="000A7AAB" w:rsidRPr="002C4077">
        <w:t xml:space="preserve"> </w:t>
      </w:r>
      <w:r w:rsidR="000A7AAB">
        <w:t>adopte</w:t>
      </w:r>
      <w:r w:rsidR="000A7AAB" w:rsidRPr="002C4077">
        <w:t xml:space="preserve"> </w:t>
      </w:r>
      <w:r w:rsidR="000A7AAB">
        <w:t>des</w:t>
      </w:r>
      <w:r w:rsidR="000A7AAB" w:rsidRPr="002C4077">
        <w:t xml:space="preserve"> </w:t>
      </w:r>
      <w:r w:rsidR="000A7AAB">
        <w:t>locutions</w:t>
      </w:r>
      <w:r w:rsidR="000A7AAB" w:rsidRPr="002C4077">
        <w:t xml:space="preserve"> </w:t>
      </w:r>
      <w:r w:rsidR="000A7AAB">
        <w:t>auxquelles</w:t>
      </w:r>
      <w:r w:rsidR="000A7AAB" w:rsidRPr="002C4077">
        <w:t xml:space="preserve"> </w:t>
      </w:r>
      <w:r w:rsidR="000A7AAB">
        <w:t>la</w:t>
      </w:r>
      <w:r w:rsidR="000A7AAB" w:rsidRPr="002C4077">
        <w:t xml:space="preserve"> </w:t>
      </w:r>
      <w:r w:rsidR="000A7AAB">
        <w:t>seule</w:t>
      </w:r>
      <w:r w:rsidR="000A7AAB" w:rsidRPr="002C4077">
        <w:t xml:space="preserve"> </w:t>
      </w:r>
      <w:r w:rsidR="000A7AAB">
        <w:t>courtoisie</w:t>
      </w:r>
      <w:r w:rsidR="000A7AAB" w:rsidRPr="002C4077">
        <w:t xml:space="preserve"> </w:t>
      </w:r>
      <w:r w:rsidR="000A7AAB">
        <w:t>peut</w:t>
      </w:r>
      <w:r w:rsidR="000A7AAB" w:rsidRPr="002C4077">
        <w:t xml:space="preserve"> </w:t>
      </w:r>
      <w:r w:rsidR="000A7AAB">
        <w:t>faire</w:t>
      </w:r>
      <w:r w:rsidR="000A7AAB" w:rsidRPr="002C4077">
        <w:t xml:space="preserve"> </w:t>
      </w:r>
      <w:r w:rsidR="000A7AAB">
        <w:t>attribuer</w:t>
      </w:r>
      <w:r w:rsidR="000A7AAB" w:rsidRPr="002C4077">
        <w:t xml:space="preserve"> </w:t>
      </w:r>
      <w:r w:rsidR="000A7AAB">
        <w:t>l’épithète</w:t>
      </w:r>
      <w:r w:rsidR="000A7AAB" w:rsidRPr="002C4077">
        <w:t xml:space="preserve"> </w:t>
      </w:r>
      <w:r w:rsidR="000A7AAB">
        <w:t>d’anglaises,</w:t>
      </w:r>
      <w:r w:rsidR="000A7AAB" w:rsidRPr="002C4077">
        <w:t xml:space="preserve"> </w:t>
      </w:r>
      <w:r w:rsidR="000A7AAB">
        <w:t>il</w:t>
      </w:r>
      <w:r w:rsidR="000A7AAB" w:rsidRPr="002C4077">
        <w:t xml:space="preserve"> </w:t>
      </w:r>
      <w:r w:rsidR="000A7AAB">
        <w:t>faut</w:t>
      </w:r>
      <w:r w:rsidR="000A7AAB" w:rsidRPr="002C4077">
        <w:t xml:space="preserve"> </w:t>
      </w:r>
      <w:r w:rsidR="000A7AAB">
        <w:t>dire</w:t>
      </w:r>
      <w:r w:rsidR="000A7AAB" w:rsidRPr="002C4077">
        <w:t xml:space="preserve"> </w:t>
      </w:r>
      <w:r w:rsidR="000A7AAB">
        <w:t>qu’à</w:t>
      </w:r>
      <w:r w:rsidR="000A7AAB" w:rsidRPr="002C4077">
        <w:t xml:space="preserve"> </w:t>
      </w:r>
      <w:r w:rsidR="000A7AAB">
        <w:t>ce</w:t>
      </w:r>
      <w:r w:rsidR="000A7AAB" w:rsidRPr="002C4077">
        <w:t xml:space="preserve"> </w:t>
      </w:r>
      <w:r w:rsidR="000A7AAB">
        <w:t>point</w:t>
      </w:r>
      <w:r w:rsidR="000A7AAB" w:rsidRPr="002C4077">
        <w:t xml:space="preserve"> </w:t>
      </w:r>
      <w:r w:rsidR="000A7AAB">
        <w:t>de</w:t>
      </w:r>
      <w:r w:rsidR="000A7AAB" w:rsidRPr="002C4077">
        <w:t xml:space="preserve"> </w:t>
      </w:r>
      <w:r w:rsidR="000A7AAB">
        <w:t>vue</w:t>
      </w:r>
      <w:r w:rsidR="000A7AAB" w:rsidRPr="002C4077">
        <w:t xml:space="preserve"> </w:t>
      </w:r>
      <w:r w:rsidR="000A7AAB">
        <w:t>elle</w:t>
      </w:r>
      <w:r w:rsidR="000A7AAB" w:rsidRPr="002C4077">
        <w:t xml:space="preserve"> </w:t>
      </w:r>
      <w:r w:rsidR="00425C50">
        <w:t>est</w:t>
      </w:r>
      <w:r w:rsidR="000A7AAB" w:rsidRPr="002C4077">
        <w:t xml:space="preserve"> </w:t>
      </w:r>
      <w:r w:rsidR="000A7AAB">
        <w:t>un</w:t>
      </w:r>
      <w:r w:rsidR="000A7AAB" w:rsidRPr="002C4077">
        <w:t xml:space="preserve"> </w:t>
      </w:r>
      <w:r w:rsidR="000A7AAB" w:rsidRPr="000A34B5">
        <w:rPr>
          <w:rStyle w:val="italicus"/>
        </w:rPr>
        <w:t>fiasco.</w:t>
      </w:r>
      <w:r w:rsidR="000A7AAB" w:rsidRPr="002C4077">
        <w:t xml:space="preserve"> </w:t>
      </w:r>
      <w:r w:rsidR="000A7AAB">
        <w:t>Or</w:t>
      </w:r>
      <w:r w:rsidR="000A7AAB" w:rsidRPr="002C4077">
        <w:t xml:space="preserve"> </w:t>
      </w:r>
      <w:r w:rsidR="000A7AAB">
        <w:t>il</w:t>
      </w:r>
      <w:r w:rsidR="000A7AAB" w:rsidRPr="002C4077">
        <w:t xml:space="preserve"> </w:t>
      </w:r>
      <w:r w:rsidR="000A7AAB">
        <w:t>n’est</w:t>
      </w:r>
      <w:r w:rsidR="000A7AAB" w:rsidRPr="002C4077">
        <w:t xml:space="preserve"> </w:t>
      </w:r>
      <w:r w:rsidR="000A7AAB">
        <w:t>que</w:t>
      </w:r>
      <w:r w:rsidR="000A7AAB" w:rsidRPr="002C4077">
        <w:t xml:space="preserve"> </w:t>
      </w:r>
      <w:r w:rsidR="000A7AAB">
        <w:t>trop</w:t>
      </w:r>
      <w:r w:rsidR="000A7AAB" w:rsidRPr="002C4077">
        <w:t xml:space="preserve"> </w:t>
      </w:r>
      <w:r w:rsidR="000A7AAB">
        <w:t>réel</w:t>
      </w:r>
      <w:r w:rsidR="000A7AAB" w:rsidRPr="002C4077">
        <w:t xml:space="preserve"> </w:t>
      </w:r>
      <w:r w:rsidR="000A7AAB">
        <w:t>qu’elle</w:t>
      </w:r>
      <w:r w:rsidR="000A7AAB" w:rsidRPr="002C4077">
        <w:t xml:space="preserve"> </w:t>
      </w:r>
      <w:r w:rsidR="000A7AAB">
        <w:t>contient</w:t>
      </w:r>
      <w:r w:rsidR="000A7AAB" w:rsidRPr="002C4077">
        <w:t xml:space="preserve"> </w:t>
      </w:r>
      <w:r w:rsidR="000A7AAB">
        <w:t>des</w:t>
      </w:r>
      <w:r w:rsidR="000A7AAB" w:rsidRPr="002C4077">
        <w:t xml:space="preserve"> </w:t>
      </w:r>
      <w:r w:rsidR="000A7AAB">
        <w:t>altérations</w:t>
      </w:r>
      <w:r w:rsidR="000A7AAB" w:rsidRPr="002C4077">
        <w:t xml:space="preserve"> </w:t>
      </w:r>
      <w:r w:rsidR="000A7AAB">
        <w:t>de</w:t>
      </w:r>
      <w:r w:rsidR="000A7AAB" w:rsidRPr="002C4077">
        <w:t xml:space="preserve"> </w:t>
      </w:r>
      <w:r w:rsidR="000A7AAB">
        <w:t>ce</w:t>
      </w:r>
      <w:r w:rsidR="000A7AAB" w:rsidRPr="002C4077">
        <w:t xml:space="preserve"> </w:t>
      </w:r>
      <w:r w:rsidR="00242610">
        <w:t>genre</w:t>
      </w:r>
      <w:r w:rsidR="00242610">
        <w:rPr>
          <w:rStyle w:val="Appelnotedebasdep"/>
        </w:rPr>
        <w:footnoteReference w:id="669"/>
      </w:r>
      <w:r>
        <w:t> »</w:t>
      </w:r>
      <w:r w:rsidR="000A7AAB">
        <w:t>.</w:t>
      </w:r>
      <w:r w:rsidR="000A7AAB" w:rsidRPr="002C4077">
        <w:t xml:space="preserve"> </w:t>
      </w:r>
      <w:r w:rsidR="000A7AAB">
        <w:t>Combien</w:t>
      </w:r>
      <w:r w:rsidR="000A7AAB" w:rsidRPr="002C4077">
        <w:t xml:space="preserve"> </w:t>
      </w:r>
      <w:r w:rsidR="000A7AAB">
        <w:t>de</w:t>
      </w:r>
      <w:r w:rsidR="000A7AAB" w:rsidRPr="002C4077">
        <w:t xml:space="preserve"> </w:t>
      </w:r>
      <w:r w:rsidR="000A7AAB">
        <w:t>passages</w:t>
      </w:r>
      <w:r w:rsidR="000A7AAB" w:rsidRPr="002C4077">
        <w:t xml:space="preserve"> </w:t>
      </w:r>
      <w:r>
        <w:t>« </w:t>
      </w:r>
      <w:r w:rsidR="000A7AAB">
        <w:t>perdent</w:t>
      </w:r>
      <w:r w:rsidR="000A7AAB" w:rsidRPr="002C4077">
        <w:t xml:space="preserve"> </w:t>
      </w:r>
      <w:r w:rsidR="000A7AAB">
        <w:t>leurs</w:t>
      </w:r>
      <w:r w:rsidR="000A7AAB" w:rsidRPr="002C4077">
        <w:t xml:space="preserve"> </w:t>
      </w:r>
      <w:r w:rsidR="000A7AAB">
        <w:t>charmes</w:t>
      </w:r>
      <w:r w:rsidR="000A7AAB" w:rsidRPr="002C4077">
        <w:t xml:space="preserve"> </w:t>
      </w:r>
      <w:r w:rsidR="000A7AAB">
        <w:t>dans</w:t>
      </w:r>
      <w:r w:rsidR="000A7AAB" w:rsidRPr="002C4077">
        <w:t xml:space="preserve"> </w:t>
      </w:r>
      <w:r w:rsidR="000A7AAB">
        <w:t>la</w:t>
      </w:r>
      <w:r w:rsidR="000A7AAB" w:rsidRPr="002C4077">
        <w:t xml:space="preserve"> </w:t>
      </w:r>
      <w:r w:rsidR="000A7AAB">
        <w:t>version</w:t>
      </w:r>
      <w:r w:rsidR="000A7AAB" w:rsidRPr="002C4077">
        <w:t xml:space="preserve"> </w:t>
      </w:r>
      <w:r w:rsidR="000A7AAB">
        <w:t>révisée</w:t>
      </w:r>
      <w:r>
        <w:t> »</w:t>
      </w:r>
      <w:r w:rsidR="000A7AAB">
        <w:t>,</w:t>
      </w:r>
      <w:r w:rsidR="000A7AAB" w:rsidRPr="002C4077">
        <w:t xml:space="preserve"> </w:t>
      </w:r>
      <w:r w:rsidR="000A7AAB">
        <w:t>combien</w:t>
      </w:r>
      <w:r w:rsidR="000A7AAB" w:rsidRPr="002C4077">
        <w:t xml:space="preserve"> </w:t>
      </w:r>
      <w:r w:rsidR="000A7AAB">
        <w:t>sont</w:t>
      </w:r>
      <w:r w:rsidR="000A7AAB" w:rsidRPr="002C4077">
        <w:t xml:space="preserve"> </w:t>
      </w:r>
      <w:r>
        <w:t>« </w:t>
      </w:r>
      <w:r w:rsidR="000A7AAB">
        <w:t>intolérables</w:t>
      </w:r>
      <w:r w:rsidR="009269FC">
        <w:t> !</w:t>
      </w:r>
      <w:r>
        <w:t> »</w:t>
      </w:r>
      <w:r w:rsidR="000A7AAB" w:rsidRPr="002C4077">
        <w:t xml:space="preserve"> </w:t>
      </w:r>
      <w:r w:rsidR="000A7AAB">
        <w:t>C’est</w:t>
      </w:r>
      <w:r w:rsidR="000A7AAB" w:rsidRPr="002C4077">
        <w:t xml:space="preserve"> </w:t>
      </w:r>
      <w:r w:rsidR="000A7AAB">
        <w:t>ce</w:t>
      </w:r>
      <w:r w:rsidR="000A7AAB" w:rsidRPr="002C4077">
        <w:t xml:space="preserve"> </w:t>
      </w:r>
      <w:r w:rsidR="000A7AAB">
        <w:t>qu’il</w:t>
      </w:r>
      <w:r w:rsidR="000A7AAB" w:rsidRPr="002C4077">
        <w:t xml:space="preserve"> </w:t>
      </w:r>
      <w:r w:rsidR="000A7AAB">
        <w:t>serait</w:t>
      </w:r>
      <w:r w:rsidR="000A7AAB" w:rsidRPr="002C4077">
        <w:t xml:space="preserve"> </w:t>
      </w:r>
      <w:r w:rsidR="000A7AAB">
        <w:t>trop</w:t>
      </w:r>
      <w:r w:rsidR="000A7AAB" w:rsidRPr="002C4077">
        <w:t xml:space="preserve"> </w:t>
      </w:r>
      <w:r w:rsidR="000A7AAB">
        <w:t>long</w:t>
      </w:r>
      <w:r w:rsidR="000A7AAB" w:rsidRPr="002C4077">
        <w:t xml:space="preserve"> </w:t>
      </w:r>
      <w:r w:rsidR="000A7AAB">
        <w:t>de</w:t>
      </w:r>
      <w:r w:rsidR="000A7AAB" w:rsidRPr="002C4077">
        <w:t xml:space="preserve"> </w:t>
      </w:r>
      <w:r w:rsidR="000A7AAB">
        <w:t>noter</w:t>
      </w:r>
      <w:r w:rsidR="00B91AF7">
        <w:rPr>
          <w:rStyle w:val="Appelnotedebasdep"/>
        </w:rPr>
        <w:footnoteReference w:id="670"/>
      </w:r>
      <w:r w:rsidR="000A7AAB">
        <w:t>.</w:t>
      </w:r>
      <w:r w:rsidR="000A7AAB" w:rsidRPr="002C4077">
        <w:t xml:space="preserve"> </w:t>
      </w:r>
    </w:p>
    <w:p w:rsidR="000A7AAB" w:rsidRPr="001F5257" w:rsidRDefault="000A7AAB" w:rsidP="000A7AAB">
      <w:r>
        <w:t>On</w:t>
      </w:r>
      <w:r w:rsidRPr="002C4077">
        <w:t xml:space="preserve"> </w:t>
      </w:r>
      <w:r>
        <w:t>a</w:t>
      </w:r>
      <w:r w:rsidRPr="002C4077">
        <w:t xml:space="preserve"> </w:t>
      </w:r>
      <w:r>
        <w:t>souvent</w:t>
      </w:r>
      <w:r w:rsidRPr="002C4077">
        <w:t xml:space="preserve"> </w:t>
      </w:r>
      <w:r>
        <w:t>reproché</w:t>
      </w:r>
      <w:r w:rsidRPr="002C4077">
        <w:t xml:space="preserve"> </w:t>
      </w:r>
      <w:r>
        <w:t>aux</w:t>
      </w:r>
      <w:r w:rsidRPr="002C4077">
        <w:t xml:space="preserve"> </w:t>
      </w:r>
      <w:r>
        <w:t>réviseurs</w:t>
      </w:r>
      <w:r w:rsidRPr="002C4077">
        <w:t xml:space="preserve"> </w:t>
      </w:r>
      <w:r>
        <w:t>leur</w:t>
      </w:r>
      <w:r w:rsidRPr="002C4077">
        <w:t xml:space="preserve"> </w:t>
      </w:r>
      <w:r>
        <w:t>tendance</w:t>
      </w:r>
      <w:r w:rsidRPr="002C4077">
        <w:t xml:space="preserve"> </w:t>
      </w:r>
      <w:r>
        <w:t>à</w:t>
      </w:r>
      <w:r w:rsidRPr="002C4077">
        <w:t xml:space="preserve"> </w:t>
      </w:r>
      <w:r>
        <w:t>une</w:t>
      </w:r>
      <w:r w:rsidRPr="002C4077">
        <w:t xml:space="preserve"> </w:t>
      </w:r>
      <w:r>
        <w:t>littéralité</w:t>
      </w:r>
      <w:r w:rsidRPr="002C4077">
        <w:t xml:space="preserve"> </w:t>
      </w:r>
      <w:r w:rsidR="00B546AF">
        <w:t>« </w:t>
      </w:r>
      <w:r>
        <w:t>outrée,</w:t>
      </w:r>
      <w:r w:rsidRPr="002C4077">
        <w:t xml:space="preserve"> </w:t>
      </w:r>
      <w:r>
        <w:t>pédantesque</w:t>
      </w:r>
      <w:r w:rsidR="00B546AF">
        <w:t> »</w:t>
      </w:r>
      <w:r>
        <w:t>,</w:t>
      </w:r>
      <w:r w:rsidRPr="002C4077">
        <w:t xml:space="preserve"> </w:t>
      </w:r>
      <w:r>
        <w:t>qui</w:t>
      </w:r>
      <w:r w:rsidRPr="002C4077">
        <w:t xml:space="preserve"> </w:t>
      </w:r>
      <w:r>
        <w:t>de</w:t>
      </w:r>
      <w:r w:rsidRPr="002C4077">
        <w:t xml:space="preserve"> </w:t>
      </w:r>
      <w:r>
        <w:t>temps</w:t>
      </w:r>
      <w:r w:rsidRPr="002C4077">
        <w:t xml:space="preserve"> </w:t>
      </w:r>
      <w:r>
        <w:t>à</w:t>
      </w:r>
      <w:r w:rsidRPr="002C4077">
        <w:t xml:space="preserve"> </w:t>
      </w:r>
      <w:r>
        <w:t>autre</w:t>
      </w:r>
      <w:r w:rsidRPr="002C4077">
        <w:t xml:space="preserve"> </w:t>
      </w:r>
      <w:r>
        <w:t>procure</w:t>
      </w:r>
      <w:r w:rsidRPr="002C4077">
        <w:t xml:space="preserve"> </w:t>
      </w:r>
      <w:r w:rsidR="00B546AF">
        <w:t>« </w:t>
      </w:r>
      <w:r>
        <w:t>un</w:t>
      </w:r>
      <w:r w:rsidRPr="002C4077">
        <w:t xml:space="preserve"> </w:t>
      </w:r>
      <w:r>
        <w:t>petit</w:t>
      </w:r>
      <w:r w:rsidRPr="002C4077">
        <w:t xml:space="preserve"> </w:t>
      </w:r>
      <w:r>
        <w:t>bénéfice</w:t>
      </w:r>
      <w:r w:rsidRPr="002C4077">
        <w:t xml:space="preserve"> </w:t>
      </w:r>
      <w:r>
        <w:t>sous</w:t>
      </w:r>
      <w:r w:rsidRPr="002C4077">
        <w:t xml:space="preserve"> </w:t>
      </w:r>
      <w:r>
        <w:t>le</w:t>
      </w:r>
      <w:r w:rsidRPr="002C4077">
        <w:t xml:space="preserve"> </w:t>
      </w:r>
      <w:r>
        <w:t>rapport</w:t>
      </w:r>
      <w:r w:rsidRPr="002C4077">
        <w:t xml:space="preserve"> </w:t>
      </w:r>
      <w:r>
        <w:t>de</w:t>
      </w:r>
      <w:r w:rsidRPr="002C4077">
        <w:t xml:space="preserve"> </w:t>
      </w:r>
      <w:r>
        <w:t>l’exactitude,</w:t>
      </w:r>
      <w:r w:rsidRPr="002C4077">
        <w:t xml:space="preserve"> </w:t>
      </w:r>
      <w:r>
        <w:t>mais</w:t>
      </w:r>
      <w:r w:rsidRPr="002C4077">
        <w:t xml:space="preserve"> </w:t>
      </w:r>
      <w:r>
        <w:t>qui</w:t>
      </w:r>
      <w:r w:rsidRPr="002C4077">
        <w:t xml:space="preserve"> </w:t>
      </w:r>
      <w:r>
        <w:t>produit</w:t>
      </w:r>
      <w:r w:rsidRPr="002C4077">
        <w:t xml:space="preserve"> </w:t>
      </w:r>
      <w:r>
        <w:t>aussi</w:t>
      </w:r>
      <w:r w:rsidRPr="002C4077">
        <w:t xml:space="preserve"> </w:t>
      </w:r>
      <w:r>
        <w:t>de</w:t>
      </w:r>
      <w:r w:rsidRPr="002C4077">
        <w:t xml:space="preserve"> </w:t>
      </w:r>
      <w:r>
        <w:t>grandes</w:t>
      </w:r>
      <w:r w:rsidRPr="002C4077">
        <w:t xml:space="preserve"> </w:t>
      </w:r>
      <w:r>
        <w:t>pertes</w:t>
      </w:r>
      <w:r w:rsidRPr="002C4077">
        <w:t xml:space="preserve"> </w:t>
      </w:r>
      <w:r>
        <w:lastRenderedPageBreak/>
        <w:t>sous</w:t>
      </w:r>
      <w:r w:rsidRPr="002C4077">
        <w:t xml:space="preserve"> </w:t>
      </w:r>
      <w:r>
        <w:t>le</w:t>
      </w:r>
      <w:r w:rsidRPr="002C4077">
        <w:t xml:space="preserve"> </w:t>
      </w:r>
      <w:r>
        <w:t>rapport</w:t>
      </w:r>
      <w:r w:rsidRPr="002C4077">
        <w:t xml:space="preserve"> </w:t>
      </w:r>
      <w:r>
        <w:t>du</w:t>
      </w:r>
      <w:r w:rsidRPr="002C4077">
        <w:t xml:space="preserve"> </w:t>
      </w:r>
      <w:r w:rsidR="0043070A">
        <w:t>rythme</w:t>
      </w:r>
      <w:r w:rsidR="00B91AF7">
        <w:rPr>
          <w:rStyle w:val="Appelnotedebasdep"/>
        </w:rPr>
        <w:footnoteReference w:id="671"/>
      </w:r>
      <w:r w:rsidR="00B546AF">
        <w:t> »</w:t>
      </w:r>
      <w:r>
        <w:t>.</w:t>
      </w:r>
      <w:r w:rsidRPr="002C4077">
        <w:t xml:space="preserve"> </w:t>
      </w:r>
      <w:r>
        <w:t>Encore</w:t>
      </w:r>
      <w:r w:rsidRPr="002C4077">
        <w:t xml:space="preserve"> </w:t>
      </w:r>
      <w:r>
        <w:t>leur</w:t>
      </w:r>
      <w:r w:rsidRPr="002C4077">
        <w:t xml:space="preserve"> </w:t>
      </w:r>
      <w:r>
        <w:t>arrive-t-il</w:t>
      </w:r>
      <w:r w:rsidRPr="002C4077">
        <w:t xml:space="preserve"> </w:t>
      </w:r>
      <w:r>
        <w:t>plus</w:t>
      </w:r>
      <w:r w:rsidRPr="002C4077">
        <w:t xml:space="preserve"> </w:t>
      </w:r>
      <w:r>
        <w:t>d’une</w:t>
      </w:r>
      <w:r w:rsidRPr="002C4077">
        <w:t xml:space="preserve"> </w:t>
      </w:r>
      <w:r>
        <w:t>fois</w:t>
      </w:r>
      <w:r w:rsidRPr="002C4077">
        <w:t xml:space="preserve"> </w:t>
      </w:r>
      <w:r>
        <w:t>de</w:t>
      </w:r>
      <w:r w:rsidRPr="002C4077">
        <w:t xml:space="preserve"> </w:t>
      </w:r>
      <w:r>
        <w:t>manquer</w:t>
      </w:r>
      <w:r w:rsidRPr="002C4077">
        <w:t xml:space="preserve"> </w:t>
      </w:r>
      <w:r>
        <w:t>le</w:t>
      </w:r>
      <w:r w:rsidRPr="002C4077">
        <w:t xml:space="preserve"> </w:t>
      </w:r>
      <w:r>
        <w:t>but</w:t>
      </w:r>
      <w:r w:rsidRPr="002C4077">
        <w:t xml:space="preserve"> </w:t>
      </w:r>
      <w:r>
        <w:t>et</w:t>
      </w:r>
      <w:r w:rsidRPr="002C4077">
        <w:t xml:space="preserve"> </w:t>
      </w:r>
      <w:r>
        <w:t>de</w:t>
      </w:r>
      <w:r w:rsidRPr="002C4077">
        <w:t xml:space="preserve"> </w:t>
      </w:r>
      <w:r>
        <w:t>n’être</w:t>
      </w:r>
      <w:r w:rsidRPr="002C4077">
        <w:t xml:space="preserve"> </w:t>
      </w:r>
      <w:r w:rsidR="00B546AF">
        <w:t>« </w:t>
      </w:r>
      <w:r>
        <w:t>pas</w:t>
      </w:r>
      <w:r w:rsidRPr="002C4077">
        <w:t xml:space="preserve"> </w:t>
      </w:r>
      <w:r>
        <w:t>même</w:t>
      </w:r>
      <w:r w:rsidRPr="002C4077">
        <w:t xml:space="preserve"> </w:t>
      </w:r>
      <w:r>
        <w:t>littéralement</w:t>
      </w:r>
      <w:r w:rsidRPr="002C4077">
        <w:t xml:space="preserve"> </w:t>
      </w:r>
      <w:r>
        <w:t>exacts</w:t>
      </w:r>
      <w:r w:rsidR="00B546AF">
        <w:t> »</w:t>
      </w:r>
      <w:r>
        <w:t>.</w:t>
      </w:r>
      <w:r w:rsidR="00C45B47">
        <w:t xml:space="preserve"> {</w:t>
      </w:r>
      <w:r w:rsidR="001F5257">
        <w:t>200</w:t>
      </w:r>
      <w:bookmarkStart w:id="501" w:name="p200"/>
      <w:bookmarkEnd w:id="501"/>
      <w:r w:rsidR="001F5257">
        <w:t xml:space="preserve">} </w:t>
      </w:r>
    </w:p>
    <w:p w:rsidR="000A7AAB" w:rsidRDefault="000A7AAB" w:rsidP="000A7AAB">
      <w:r>
        <w:t>Deux</w:t>
      </w:r>
      <w:r w:rsidRPr="002C4077">
        <w:t xml:space="preserve"> </w:t>
      </w:r>
      <w:r>
        <w:t>des</w:t>
      </w:r>
      <w:r w:rsidRPr="002C4077">
        <w:t xml:space="preserve"> </w:t>
      </w:r>
      <w:r>
        <w:t>réviseurs,</w:t>
      </w:r>
      <w:r w:rsidRPr="002C4077">
        <w:t xml:space="preserve"> </w:t>
      </w:r>
      <w:r>
        <w:t>nous</w:t>
      </w:r>
      <w:r w:rsidRPr="002C4077">
        <w:t xml:space="preserve"> </w:t>
      </w:r>
      <w:r>
        <w:t>l’avons</w:t>
      </w:r>
      <w:r w:rsidRPr="002C4077">
        <w:t xml:space="preserve"> </w:t>
      </w:r>
      <w:r>
        <w:t>dit,</w:t>
      </w:r>
      <w:r w:rsidRPr="002C4077">
        <w:t xml:space="preserve"> </w:t>
      </w:r>
      <w:r>
        <w:t>ont</w:t>
      </w:r>
      <w:r w:rsidRPr="002C4077">
        <w:t xml:space="preserve"> </w:t>
      </w:r>
      <w:r>
        <w:t>écrit</w:t>
      </w:r>
      <w:r w:rsidRPr="002C4077">
        <w:t xml:space="preserve"> </w:t>
      </w:r>
      <w:r>
        <w:t>au</w:t>
      </w:r>
      <w:r w:rsidRPr="002C4077">
        <w:t xml:space="preserve"> </w:t>
      </w:r>
      <w:r>
        <w:t>sujet</w:t>
      </w:r>
      <w:r w:rsidRPr="002C4077">
        <w:t xml:space="preserve"> </w:t>
      </w:r>
      <w:r>
        <w:t>de</w:t>
      </w:r>
      <w:r w:rsidRPr="002C4077">
        <w:t xml:space="preserve"> </w:t>
      </w:r>
      <w:r>
        <w:t>la</w:t>
      </w:r>
      <w:r w:rsidRPr="002C4077">
        <w:t xml:space="preserve"> </w:t>
      </w:r>
      <w:r>
        <w:t>révision</w:t>
      </w:r>
      <w:r w:rsidR="00242610">
        <w:rPr>
          <w:rStyle w:val="Appelnotedebasdep"/>
        </w:rPr>
        <w:footnoteReference w:id="672"/>
      </w:r>
      <w:r w:rsidR="00242610">
        <w:t>.</w:t>
      </w:r>
      <w:r w:rsidRPr="002C4077">
        <w:t xml:space="preserve"> </w:t>
      </w:r>
      <w:r>
        <w:t>Ils</w:t>
      </w:r>
      <w:r w:rsidRPr="002C4077">
        <w:t xml:space="preserve"> </w:t>
      </w:r>
      <w:r>
        <w:t>suivent</w:t>
      </w:r>
      <w:r w:rsidRPr="002C4077">
        <w:t xml:space="preserve"> </w:t>
      </w:r>
      <w:r>
        <w:t>pas</w:t>
      </w:r>
      <w:r w:rsidRPr="002C4077">
        <w:t xml:space="preserve"> </w:t>
      </w:r>
      <w:r>
        <w:t>à</w:t>
      </w:r>
      <w:r w:rsidRPr="002C4077">
        <w:t xml:space="preserve"> </w:t>
      </w:r>
      <w:r>
        <w:t>pas</w:t>
      </w:r>
      <w:r w:rsidRPr="002C4077">
        <w:t xml:space="preserve"> </w:t>
      </w:r>
      <w:r>
        <w:t>l’un</w:t>
      </w:r>
      <w:r w:rsidRPr="002C4077">
        <w:t xml:space="preserve"> </w:t>
      </w:r>
      <w:r>
        <w:t>et</w:t>
      </w:r>
      <w:r w:rsidRPr="002C4077">
        <w:t xml:space="preserve"> </w:t>
      </w:r>
      <w:r>
        <w:t>l’autre</w:t>
      </w:r>
      <w:r w:rsidRPr="002C4077">
        <w:t xml:space="preserve"> </w:t>
      </w:r>
      <w:r>
        <w:t>le</w:t>
      </w:r>
      <w:r w:rsidRPr="002C4077">
        <w:t xml:space="preserve"> </w:t>
      </w:r>
      <w:r>
        <w:t>travail</w:t>
      </w:r>
      <w:r w:rsidRPr="002C4077">
        <w:t xml:space="preserve"> </w:t>
      </w:r>
      <w:r>
        <w:t>du</w:t>
      </w:r>
      <w:r w:rsidRPr="002C4077">
        <w:t xml:space="preserve"> </w:t>
      </w:r>
      <w:r>
        <w:t>comité,</w:t>
      </w:r>
      <w:r w:rsidRPr="002C4077">
        <w:t xml:space="preserve"> </w:t>
      </w:r>
      <w:r w:rsidR="003B53FD">
        <w:t>celui</w:t>
      </w:r>
      <w:r>
        <w:t>-ci</w:t>
      </w:r>
      <w:r w:rsidRPr="002C4077">
        <w:t xml:space="preserve"> </w:t>
      </w:r>
      <w:r>
        <w:t>pour</w:t>
      </w:r>
      <w:r w:rsidRPr="002C4077">
        <w:t xml:space="preserve"> </w:t>
      </w:r>
      <w:r>
        <w:t>tout</w:t>
      </w:r>
      <w:r w:rsidRPr="002C4077">
        <w:t xml:space="preserve"> </w:t>
      </w:r>
      <w:r>
        <w:t>approuver,</w:t>
      </w:r>
      <w:r w:rsidRPr="002C4077">
        <w:t xml:space="preserve"> </w:t>
      </w:r>
      <w:r w:rsidR="003B53FD">
        <w:t>celui</w:t>
      </w:r>
      <w:r>
        <w:t>-là</w:t>
      </w:r>
      <w:r w:rsidRPr="002C4077">
        <w:t xml:space="preserve"> </w:t>
      </w:r>
      <w:r>
        <w:t>pour</w:t>
      </w:r>
      <w:r w:rsidRPr="002C4077">
        <w:t xml:space="preserve"> </w:t>
      </w:r>
      <w:r>
        <w:t>blâmer</w:t>
      </w:r>
      <w:r w:rsidRPr="002C4077">
        <w:t xml:space="preserve"> </w:t>
      </w:r>
      <w:r>
        <w:t>sans</w:t>
      </w:r>
      <w:r w:rsidRPr="002C4077">
        <w:t xml:space="preserve"> </w:t>
      </w:r>
      <w:r>
        <w:t>cesse.</w:t>
      </w:r>
      <w:r w:rsidRPr="002C4077">
        <w:t xml:space="preserve"> </w:t>
      </w:r>
      <w:r>
        <w:t>Qu’on</w:t>
      </w:r>
      <w:r w:rsidRPr="002C4077">
        <w:t xml:space="preserve"> </w:t>
      </w:r>
      <w:r>
        <w:t>nous</w:t>
      </w:r>
      <w:r w:rsidRPr="002C4077">
        <w:t xml:space="preserve"> </w:t>
      </w:r>
      <w:r>
        <w:t>permette</w:t>
      </w:r>
      <w:r w:rsidRPr="002C4077">
        <w:t xml:space="preserve"> </w:t>
      </w:r>
      <w:r>
        <w:t>de</w:t>
      </w:r>
      <w:r w:rsidRPr="002C4077">
        <w:t xml:space="preserve"> </w:t>
      </w:r>
      <w:r>
        <w:t>juxtaposer</w:t>
      </w:r>
      <w:r w:rsidRPr="002C4077">
        <w:t xml:space="preserve"> </w:t>
      </w:r>
      <w:r>
        <w:t>les</w:t>
      </w:r>
      <w:r w:rsidRPr="002C4077">
        <w:t xml:space="preserve"> </w:t>
      </w:r>
      <w:r>
        <w:t>appréciations</w:t>
      </w:r>
      <w:r w:rsidRPr="002C4077">
        <w:t xml:space="preserve"> </w:t>
      </w:r>
      <w:r>
        <w:t>qu’ils</w:t>
      </w:r>
      <w:r w:rsidRPr="002C4077">
        <w:t xml:space="preserve"> </w:t>
      </w:r>
      <w:r>
        <w:t>ont</w:t>
      </w:r>
      <w:r w:rsidRPr="002C4077">
        <w:t xml:space="preserve"> </w:t>
      </w:r>
      <w:r>
        <w:t>portées</w:t>
      </w:r>
      <w:r w:rsidRPr="002C4077">
        <w:t xml:space="preserve"> </w:t>
      </w:r>
      <w:r>
        <w:t>sur</w:t>
      </w:r>
      <w:r w:rsidRPr="002C4077">
        <w:t xml:space="preserve"> </w:t>
      </w:r>
      <w:r>
        <w:t>quelques</w:t>
      </w:r>
      <w:r w:rsidRPr="002C4077">
        <w:t xml:space="preserve"> </w:t>
      </w:r>
      <w:r>
        <w:t>réformes</w:t>
      </w:r>
      <w:r w:rsidRPr="002C4077">
        <w:t xml:space="preserve"> </w:t>
      </w:r>
      <w:r>
        <w:t>spéciales,</w:t>
      </w:r>
      <w:r w:rsidRPr="002C4077">
        <w:t xml:space="preserve"> </w:t>
      </w:r>
      <w:r>
        <w:t>auxquelles</w:t>
      </w:r>
      <w:r w:rsidRPr="002C4077">
        <w:t xml:space="preserve"> </w:t>
      </w:r>
      <w:r>
        <w:t>les</w:t>
      </w:r>
      <w:r w:rsidRPr="002C4077">
        <w:t xml:space="preserve"> </w:t>
      </w:r>
      <w:r>
        <w:t>correcteurs</w:t>
      </w:r>
      <w:r w:rsidRPr="002C4077">
        <w:t xml:space="preserve"> </w:t>
      </w:r>
      <w:r>
        <w:t>avaient</w:t>
      </w:r>
      <w:r w:rsidRPr="002C4077">
        <w:t xml:space="preserve"> </w:t>
      </w:r>
      <w:r>
        <w:t>attaché</w:t>
      </w:r>
      <w:r w:rsidRPr="002C4077">
        <w:t xml:space="preserve"> </w:t>
      </w:r>
      <w:r>
        <w:t>une</w:t>
      </w:r>
      <w:r w:rsidRPr="002C4077">
        <w:t xml:space="preserve"> </w:t>
      </w:r>
      <w:r>
        <w:t>certaine</w:t>
      </w:r>
      <w:r w:rsidRPr="002C4077">
        <w:t xml:space="preserve"> </w:t>
      </w:r>
      <w:r>
        <w:t>importance.</w:t>
      </w:r>
      <w:r w:rsidRPr="002C4077">
        <w:t xml:space="preserve"> </w:t>
      </w:r>
      <w:r>
        <w:t>Ce</w:t>
      </w:r>
      <w:r w:rsidRPr="002C4077">
        <w:t xml:space="preserve"> </w:t>
      </w:r>
      <w:r>
        <w:t>rapprochement</w:t>
      </w:r>
      <w:r w:rsidRPr="002C4077">
        <w:t xml:space="preserve"> </w:t>
      </w:r>
      <w:r>
        <w:t>sera</w:t>
      </w:r>
      <w:r w:rsidRPr="002C4077">
        <w:t xml:space="preserve"> </w:t>
      </w:r>
      <w:r>
        <w:t>piquant.</w:t>
      </w:r>
      <w:r w:rsidRPr="002C4077">
        <w:t xml:space="preserve"> </w:t>
      </w:r>
    </w:p>
    <w:p w:rsidR="000A7AAB" w:rsidRDefault="000A7AAB" w:rsidP="000A7AAB">
      <w:r>
        <w:t>1°</w:t>
      </w:r>
      <w:r w:rsidRPr="002C4077">
        <w:t xml:space="preserve"> </w:t>
      </w:r>
      <w:r w:rsidRPr="000A34B5">
        <w:rPr>
          <w:rStyle w:val="italicus"/>
        </w:rPr>
        <w:t>La</w:t>
      </w:r>
      <w:r w:rsidRPr="002C4077">
        <w:t xml:space="preserve"> </w:t>
      </w:r>
      <w:r w:rsidRPr="000A34B5">
        <w:rPr>
          <w:rStyle w:val="italicus"/>
        </w:rPr>
        <w:t>traduction</w:t>
      </w:r>
      <w:r w:rsidRPr="002C4077">
        <w:t xml:space="preserve"> </w:t>
      </w:r>
      <w:r w:rsidRPr="000A34B5">
        <w:rPr>
          <w:rStyle w:val="italicus"/>
        </w:rPr>
        <w:t>exacte</w:t>
      </w:r>
      <w:r w:rsidRPr="002C4077">
        <w:t xml:space="preserve"> </w:t>
      </w:r>
      <w:r w:rsidRPr="000A34B5">
        <w:rPr>
          <w:rStyle w:val="italicus"/>
        </w:rPr>
        <w:t>de</w:t>
      </w:r>
      <w:r w:rsidRPr="002C4077">
        <w:t xml:space="preserve"> </w:t>
      </w:r>
      <w:r w:rsidRPr="000A34B5">
        <w:rPr>
          <w:rStyle w:val="italicus"/>
        </w:rPr>
        <w:t>l’article</w:t>
      </w:r>
      <w:r w:rsidRPr="002C4077">
        <w:t xml:space="preserve"> </w:t>
      </w:r>
      <w:r w:rsidRPr="000A34B5">
        <w:rPr>
          <w:rStyle w:val="italicus"/>
        </w:rPr>
        <w:t>défini.</w:t>
      </w:r>
      <w:r w:rsidRPr="002C4077">
        <w:t xml:space="preserve"> </w:t>
      </w:r>
      <w:r>
        <w:t>—</w:t>
      </w:r>
      <w:r w:rsidRPr="002C4077">
        <w:t xml:space="preserve"> </w:t>
      </w:r>
      <w:r>
        <w:t>M.</w:t>
      </w:r>
      <w:r w:rsidRPr="002C4077">
        <w:t xml:space="preserve"> </w:t>
      </w:r>
      <w:r>
        <w:t>Roberts</w:t>
      </w:r>
      <w:r w:rsidR="00B546AF">
        <w:t> :</w:t>
      </w:r>
      <w:r w:rsidRPr="002C4077">
        <w:t xml:space="preserve"> </w:t>
      </w:r>
      <w:r w:rsidR="00B546AF">
        <w:t>« </w:t>
      </w:r>
      <w:r>
        <w:t>Dans</w:t>
      </w:r>
      <w:r w:rsidRPr="002C4077">
        <w:t xml:space="preserve"> </w:t>
      </w:r>
      <w:r>
        <w:t>la</w:t>
      </w:r>
      <w:r w:rsidRPr="002C4077">
        <w:t xml:space="preserve"> </w:t>
      </w:r>
      <w:r>
        <w:t>version</w:t>
      </w:r>
      <w:r w:rsidRPr="002C4077">
        <w:t xml:space="preserve"> </w:t>
      </w:r>
      <w:r>
        <w:t>autorisée,</w:t>
      </w:r>
      <w:r w:rsidRPr="002C4077">
        <w:t xml:space="preserve"> </w:t>
      </w:r>
      <w:r>
        <w:t>ce</w:t>
      </w:r>
      <w:r w:rsidRPr="002C4077">
        <w:t xml:space="preserve"> </w:t>
      </w:r>
      <w:r>
        <w:t>point</w:t>
      </w:r>
      <w:r w:rsidRPr="002C4077">
        <w:t xml:space="preserve"> </w:t>
      </w:r>
      <w:r>
        <w:t>avait</w:t>
      </w:r>
      <w:r w:rsidRPr="002C4077">
        <w:t xml:space="preserve"> </w:t>
      </w:r>
      <w:r>
        <w:t>été</w:t>
      </w:r>
      <w:r w:rsidRPr="002C4077">
        <w:t xml:space="preserve"> </w:t>
      </w:r>
      <w:r>
        <w:t>négligé</w:t>
      </w:r>
      <w:r w:rsidRPr="002C4077">
        <w:t xml:space="preserve"> </w:t>
      </w:r>
      <w:r>
        <w:t>presque</w:t>
      </w:r>
      <w:r w:rsidRPr="002C4077">
        <w:t xml:space="preserve"> </w:t>
      </w:r>
      <w:r>
        <w:t>entièrement,-</w:t>
      </w:r>
      <w:r w:rsidRPr="002C4077">
        <w:t xml:space="preserve"> </w:t>
      </w:r>
      <w:r>
        <w:t>La</w:t>
      </w:r>
      <w:r w:rsidRPr="002C4077">
        <w:t xml:space="preserve"> </w:t>
      </w:r>
      <w:r>
        <w:t>langue</w:t>
      </w:r>
      <w:r w:rsidRPr="002C4077">
        <w:t xml:space="preserve"> </w:t>
      </w:r>
      <w:r>
        <w:t>grecque</w:t>
      </w:r>
      <w:r w:rsidRPr="002C4077">
        <w:t xml:space="preserve"> </w:t>
      </w:r>
      <w:r>
        <w:t>a</w:t>
      </w:r>
      <w:r w:rsidRPr="002C4077">
        <w:t xml:space="preserve"> </w:t>
      </w:r>
      <w:r>
        <w:t>un</w:t>
      </w:r>
      <w:r w:rsidRPr="002C4077">
        <w:t xml:space="preserve"> </w:t>
      </w:r>
      <w:r>
        <w:t>article</w:t>
      </w:r>
      <w:r w:rsidRPr="002C4077">
        <w:t xml:space="preserve"> </w:t>
      </w:r>
      <w:r>
        <w:t>défini,</w:t>
      </w:r>
      <w:r w:rsidRPr="002C4077">
        <w:t xml:space="preserve"> </w:t>
      </w:r>
      <w:r>
        <w:t>et</w:t>
      </w:r>
      <w:r w:rsidRPr="002C4077">
        <w:t xml:space="preserve"> </w:t>
      </w:r>
      <w:r>
        <w:t>son</w:t>
      </w:r>
      <w:r w:rsidRPr="002C4077">
        <w:t xml:space="preserve"> </w:t>
      </w:r>
      <w:r>
        <w:t>omission</w:t>
      </w:r>
      <w:r w:rsidRPr="002C4077">
        <w:t xml:space="preserve"> </w:t>
      </w:r>
      <w:r>
        <w:t>ou</w:t>
      </w:r>
      <w:r w:rsidRPr="002C4077">
        <w:t xml:space="preserve"> </w:t>
      </w:r>
      <w:r>
        <w:t>son</w:t>
      </w:r>
      <w:r w:rsidRPr="002C4077">
        <w:t xml:space="preserve"> </w:t>
      </w:r>
      <w:r>
        <w:t>insertion</w:t>
      </w:r>
      <w:r w:rsidRPr="002C4077">
        <w:t xml:space="preserve"> </w:t>
      </w:r>
      <w:r>
        <w:t>dans</w:t>
      </w:r>
      <w:r w:rsidRPr="002C4077">
        <w:t xml:space="preserve"> </w:t>
      </w:r>
      <w:r>
        <w:t>un</w:t>
      </w:r>
      <w:r w:rsidRPr="002C4077">
        <w:t xml:space="preserve"> </w:t>
      </w:r>
      <w:r>
        <w:t>passage</w:t>
      </w:r>
      <w:r w:rsidRPr="002C4077">
        <w:t xml:space="preserve"> </w:t>
      </w:r>
      <w:r>
        <w:t>a</w:t>
      </w:r>
      <w:r w:rsidRPr="002C4077">
        <w:t xml:space="preserve"> </w:t>
      </w:r>
      <w:r>
        <w:t>souvent</w:t>
      </w:r>
      <w:r w:rsidRPr="002C4077">
        <w:t xml:space="preserve"> </w:t>
      </w:r>
      <w:r>
        <w:t>une</w:t>
      </w:r>
      <w:r w:rsidRPr="002C4077">
        <w:t xml:space="preserve"> </w:t>
      </w:r>
      <w:r>
        <w:t>très</w:t>
      </w:r>
      <w:r w:rsidRPr="002C4077">
        <w:t xml:space="preserve"> </w:t>
      </w:r>
      <w:r>
        <w:t>grande</w:t>
      </w:r>
      <w:r w:rsidRPr="002C4077">
        <w:t xml:space="preserve"> </w:t>
      </w:r>
      <w:r>
        <w:t>influence</w:t>
      </w:r>
      <w:r w:rsidRPr="002C4077">
        <w:t xml:space="preserve"> </w:t>
      </w:r>
      <w:r>
        <w:t>sur</w:t>
      </w:r>
      <w:r w:rsidRPr="002C4077">
        <w:t xml:space="preserve"> </w:t>
      </w:r>
      <w:r>
        <w:t>le</w:t>
      </w:r>
      <w:r w:rsidRPr="002C4077">
        <w:t xml:space="preserve"> </w:t>
      </w:r>
      <w:r>
        <w:t>sens.</w:t>
      </w:r>
      <w:r w:rsidRPr="002C4077">
        <w:t xml:space="preserve"> </w:t>
      </w:r>
      <w:r>
        <w:t>Cependant</w:t>
      </w:r>
      <w:r w:rsidRPr="002C4077">
        <w:t xml:space="preserve"> </w:t>
      </w:r>
      <w:r>
        <w:t>nos</w:t>
      </w:r>
      <w:r w:rsidRPr="004440EA">
        <w:t xml:space="preserve"> (</w:t>
      </w:r>
      <w:r>
        <w:t>anciens</w:t>
      </w:r>
      <w:r w:rsidR="00B546AF" w:rsidRPr="002C4077">
        <w:t>)</w:t>
      </w:r>
      <w:r w:rsidRPr="002C4077">
        <w:t xml:space="preserve"> </w:t>
      </w:r>
      <w:r>
        <w:t>traducteurs</w:t>
      </w:r>
      <w:r w:rsidRPr="002C4077">
        <w:t xml:space="preserve"> </w:t>
      </w:r>
      <w:r>
        <w:t>paraissent</w:t>
      </w:r>
      <w:r w:rsidRPr="002C4077">
        <w:t xml:space="preserve"> </w:t>
      </w:r>
      <w:r>
        <w:t>avoir</w:t>
      </w:r>
      <w:r w:rsidRPr="002C4077">
        <w:t xml:space="preserve"> </w:t>
      </w:r>
      <w:r>
        <w:t>ignoré</w:t>
      </w:r>
      <w:r w:rsidRPr="002C4077">
        <w:t xml:space="preserve"> </w:t>
      </w:r>
      <w:r>
        <w:t>ce</w:t>
      </w:r>
      <w:r w:rsidRPr="002C4077">
        <w:t xml:space="preserve"> </w:t>
      </w:r>
      <w:r>
        <w:t>fait…</w:t>
      </w:r>
      <w:r w:rsidRPr="002C4077">
        <w:t xml:space="preserve"> </w:t>
      </w:r>
      <w:r>
        <w:t>Ils</w:t>
      </w:r>
      <w:r w:rsidRPr="002C4077">
        <w:t xml:space="preserve"> </w:t>
      </w:r>
      <w:r>
        <w:t>se</w:t>
      </w:r>
      <w:r w:rsidRPr="002C4077">
        <w:t xml:space="preserve"> </w:t>
      </w:r>
      <w:r>
        <w:t>sont</w:t>
      </w:r>
      <w:r w:rsidRPr="002C4077">
        <w:t xml:space="preserve"> </w:t>
      </w:r>
      <w:r>
        <w:t>rendus</w:t>
      </w:r>
      <w:r w:rsidRPr="002C4077">
        <w:t xml:space="preserve"> </w:t>
      </w:r>
      <w:r>
        <w:t>coupables,</w:t>
      </w:r>
      <w:r w:rsidRPr="002C4077">
        <w:t xml:space="preserve"> </w:t>
      </w:r>
      <w:r>
        <w:t>à</w:t>
      </w:r>
      <w:r w:rsidRPr="002C4077">
        <w:t xml:space="preserve"> </w:t>
      </w:r>
      <w:r>
        <w:t>cet</w:t>
      </w:r>
      <w:r w:rsidRPr="002C4077">
        <w:t xml:space="preserve"> </w:t>
      </w:r>
      <w:r>
        <w:t>égard,</w:t>
      </w:r>
      <w:r w:rsidRPr="002C4077">
        <w:t xml:space="preserve"> </w:t>
      </w:r>
      <w:r>
        <w:t>de</w:t>
      </w:r>
      <w:r w:rsidRPr="002C4077">
        <w:t xml:space="preserve"> </w:t>
      </w:r>
      <w:r>
        <w:t>toutes</w:t>
      </w:r>
      <w:r w:rsidRPr="002C4077">
        <w:t xml:space="preserve"> </w:t>
      </w:r>
      <w:r>
        <w:t>sortes</w:t>
      </w:r>
      <w:r w:rsidRPr="002C4077">
        <w:t xml:space="preserve"> </w:t>
      </w:r>
      <w:r>
        <w:t>d’erreur…</w:t>
      </w:r>
      <w:r w:rsidR="00B546AF">
        <w:t> ;</w:t>
      </w:r>
      <w:r w:rsidRPr="002C4077">
        <w:t xml:space="preserve"> </w:t>
      </w:r>
      <w:r>
        <w:t>tandis</w:t>
      </w:r>
      <w:r w:rsidRPr="002C4077">
        <w:t xml:space="preserve"> </w:t>
      </w:r>
      <w:r>
        <w:t>que</w:t>
      </w:r>
      <w:r w:rsidRPr="002C4077">
        <w:t xml:space="preserve"> </w:t>
      </w:r>
      <w:r>
        <w:t>l’attention</w:t>
      </w:r>
      <w:r w:rsidRPr="002C4077">
        <w:t xml:space="preserve"> </w:t>
      </w:r>
      <w:r>
        <w:t>à</w:t>
      </w:r>
      <w:r w:rsidRPr="002C4077">
        <w:t xml:space="preserve"> </w:t>
      </w:r>
      <w:r>
        <w:t>employer</w:t>
      </w:r>
      <w:r w:rsidRPr="002C4077">
        <w:t xml:space="preserve"> </w:t>
      </w:r>
      <w:r>
        <w:t>l’article</w:t>
      </w:r>
      <w:r w:rsidRPr="002C4077">
        <w:t xml:space="preserve"> </w:t>
      </w:r>
      <w:r>
        <w:t>défini</w:t>
      </w:r>
      <w:r w:rsidRPr="002C4077">
        <w:t xml:space="preserve"> </w:t>
      </w:r>
      <w:r>
        <w:t>quand</w:t>
      </w:r>
      <w:r w:rsidRPr="002C4077">
        <w:t xml:space="preserve"> </w:t>
      </w:r>
      <w:r>
        <w:t>il</w:t>
      </w:r>
      <w:r w:rsidRPr="002C4077">
        <w:t xml:space="preserve"> </w:t>
      </w:r>
      <w:r>
        <w:t>existe</w:t>
      </w:r>
      <w:r w:rsidRPr="002C4077">
        <w:t xml:space="preserve"> </w:t>
      </w:r>
      <w:r>
        <w:t>dans</w:t>
      </w:r>
      <w:r w:rsidRPr="002C4077">
        <w:t xml:space="preserve"> </w:t>
      </w:r>
      <w:r>
        <w:t>le</w:t>
      </w:r>
      <w:r w:rsidRPr="002C4077">
        <w:t xml:space="preserve"> </w:t>
      </w:r>
      <w:r>
        <w:t>texte</w:t>
      </w:r>
      <w:r w:rsidRPr="002C4077">
        <w:t xml:space="preserve"> </w:t>
      </w:r>
      <w:r>
        <w:t>grec</w:t>
      </w:r>
      <w:r w:rsidRPr="002C4077">
        <w:t xml:space="preserve"> </w:t>
      </w:r>
      <w:r w:rsidR="00425C50">
        <w:t>est</w:t>
      </w:r>
      <w:r w:rsidRPr="002C4077">
        <w:t xml:space="preserve"> </w:t>
      </w:r>
      <w:r>
        <w:t>un</w:t>
      </w:r>
      <w:r w:rsidRPr="002C4077">
        <w:t xml:space="preserve"> </w:t>
      </w:r>
      <w:r>
        <w:t>des</w:t>
      </w:r>
      <w:r w:rsidRPr="002C4077">
        <w:t xml:space="preserve"> </w:t>
      </w:r>
      <w:r>
        <w:t>principaux</w:t>
      </w:r>
      <w:r w:rsidRPr="002C4077">
        <w:t xml:space="preserve"> </w:t>
      </w:r>
      <w:r>
        <w:t>caractères</w:t>
      </w:r>
      <w:r w:rsidRPr="002C4077">
        <w:t xml:space="preserve"> </w:t>
      </w:r>
      <w:r>
        <w:t>de</w:t>
      </w:r>
      <w:r w:rsidRPr="002C4077">
        <w:t xml:space="preserve"> </w:t>
      </w:r>
      <w:r>
        <w:t>la</w:t>
      </w:r>
      <w:r w:rsidRPr="002C4077">
        <w:t xml:space="preserve"> </w:t>
      </w:r>
      <w:r>
        <w:t>version</w:t>
      </w:r>
      <w:r w:rsidRPr="002C4077">
        <w:t xml:space="preserve"> </w:t>
      </w:r>
      <w:r>
        <w:t>révisée</w:t>
      </w:r>
      <w:r w:rsidR="00B91AF7">
        <w:rPr>
          <w:rStyle w:val="Appelnotedebasdep"/>
        </w:rPr>
        <w:footnoteReference w:id="673"/>
      </w:r>
      <w:r w:rsidR="00B546AF">
        <w:t> »</w:t>
      </w:r>
      <w:r>
        <w:t>.</w:t>
      </w:r>
      <w:r w:rsidRPr="002C4077">
        <w:t xml:space="preserve"> </w:t>
      </w:r>
      <w:r>
        <w:t>M.</w:t>
      </w:r>
      <w:r w:rsidRPr="002C4077">
        <w:t xml:space="preserve"> </w:t>
      </w:r>
      <w:r>
        <w:t>Vance</w:t>
      </w:r>
      <w:r w:rsidRPr="002C4077">
        <w:t xml:space="preserve"> </w:t>
      </w:r>
      <w:r>
        <w:t>Smith</w:t>
      </w:r>
      <w:r w:rsidR="00B546AF">
        <w:t> :</w:t>
      </w:r>
      <w:r w:rsidRPr="002C4077">
        <w:t xml:space="preserve"> </w:t>
      </w:r>
      <w:r w:rsidR="00B546AF">
        <w:t>« </w:t>
      </w:r>
      <w:r>
        <w:t>L’article</w:t>
      </w:r>
      <w:r w:rsidRPr="002C4077">
        <w:t xml:space="preserve"> </w:t>
      </w:r>
      <w:r>
        <w:t>défini</w:t>
      </w:r>
      <w:r w:rsidRPr="002C4077">
        <w:t xml:space="preserve"> </w:t>
      </w:r>
      <w:r w:rsidR="00425C50">
        <w:t>est</w:t>
      </w:r>
      <w:r w:rsidRPr="002C4077">
        <w:t xml:space="preserve"> </w:t>
      </w:r>
      <w:r>
        <w:t>trop</w:t>
      </w:r>
      <w:r w:rsidRPr="002C4077">
        <w:t xml:space="preserve"> </w:t>
      </w:r>
      <w:r>
        <w:t>souvent</w:t>
      </w:r>
      <w:r w:rsidRPr="002C4077">
        <w:t xml:space="preserve"> </w:t>
      </w:r>
      <w:r>
        <w:t>exprimé</w:t>
      </w:r>
      <w:r w:rsidRPr="004440EA">
        <w:t xml:space="preserve"> (</w:t>
      </w:r>
      <w:r>
        <w:t>dans</w:t>
      </w:r>
      <w:r w:rsidRPr="002C4077">
        <w:t xml:space="preserve"> </w:t>
      </w:r>
      <w:r>
        <w:t>la</w:t>
      </w:r>
      <w:r w:rsidRPr="002C4077">
        <w:t xml:space="preserve"> </w:t>
      </w:r>
      <w:r>
        <w:t>traduction</w:t>
      </w:r>
      <w:r w:rsidRPr="002C4077">
        <w:t xml:space="preserve"> </w:t>
      </w:r>
      <w:r>
        <w:t>nouvelle</w:t>
      </w:r>
      <w:r w:rsidR="00B546AF" w:rsidRPr="002C4077">
        <w:t>)</w:t>
      </w:r>
      <w:r w:rsidR="00B546AF" w:rsidRPr="00950016">
        <w:t> ;</w:t>
      </w:r>
      <w:r w:rsidRPr="002C4077">
        <w:t xml:space="preserve"> </w:t>
      </w:r>
      <w:r>
        <w:t>ce</w:t>
      </w:r>
      <w:r w:rsidRPr="002C4077">
        <w:t xml:space="preserve"> </w:t>
      </w:r>
      <w:r>
        <w:t>qui</w:t>
      </w:r>
      <w:r w:rsidRPr="002C4077">
        <w:t xml:space="preserve"> </w:t>
      </w:r>
      <w:r>
        <w:t>outrage</w:t>
      </w:r>
      <w:r w:rsidRPr="002C4077">
        <w:t xml:space="preserve"> </w:t>
      </w:r>
      <w:r>
        <w:t>parfois</w:t>
      </w:r>
      <w:r w:rsidRPr="002C4077">
        <w:t xml:space="preserve"> </w:t>
      </w:r>
      <w:r>
        <w:t>la</w:t>
      </w:r>
      <w:r w:rsidRPr="002C4077">
        <w:t xml:space="preserve"> </w:t>
      </w:r>
      <w:r>
        <w:t>langue</w:t>
      </w:r>
      <w:r w:rsidRPr="002C4077">
        <w:t xml:space="preserve"> </w:t>
      </w:r>
      <w:r>
        <w:t>anglaise,</w:t>
      </w:r>
      <w:r w:rsidRPr="002C4077">
        <w:t xml:space="preserve"> </w:t>
      </w:r>
      <w:r w:rsidR="0043070A">
        <w:t>détériore</w:t>
      </w:r>
      <w:r w:rsidRPr="002C4077">
        <w:t xml:space="preserve"> </w:t>
      </w:r>
      <w:r>
        <w:t>ou</w:t>
      </w:r>
      <w:r w:rsidRPr="002C4077">
        <w:t xml:space="preserve"> </w:t>
      </w:r>
      <w:r>
        <w:t>représente</w:t>
      </w:r>
      <w:r w:rsidRPr="002C4077">
        <w:t xml:space="preserve"> </w:t>
      </w:r>
      <w:r>
        <w:t>mal</w:t>
      </w:r>
      <w:r w:rsidRPr="002C4077">
        <w:t xml:space="preserve"> </w:t>
      </w:r>
      <w:r>
        <w:t>la</w:t>
      </w:r>
      <w:r w:rsidRPr="002C4077">
        <w:t xml:space="preserve"> </w:t>
      </w:r>
      <w:r>
        <w:t>force</w:t>
      </w:r>
      <w:r w:rsidRPr="002C4077">
        <w:t xml:space="preserve"> </w:t>
      </w:r>
      <w:r>
        <w:t>de</w:t>
      </w:r>
      <w:r w:rsidRPr="002C4077">
        <w:t xml:space="preserve"> </w:t>
      </w:r>
      <w:r>
        <w:t>l’original,</w:t>
      </w:r>
      <w:r w:rsidRPr="002C4077">
        <w:t xml:space="preserve"> </w:t>
      </w:r>
      <w:r>
        <w:t>donne</w:t>
      </w:r>
      <w:r w:rsidRPr="002C4077">
        <w:t xml:space="preserve"> </w:t>
      </w:r>
      <w:r>
        <w:t>une</w:t>
      </w:r>
      <w:r w:rsidRPr="002C4077">
        <w:t xml:space="preserve"> </w:t>
      </w:r>
      <w:r>
        <w:t>traduction</w:t>
      </w:r>
      <w:r w:rsidRPr="002C4077">
        <w:t xml:space="preserve"> </w:t>
      </w:r>
      <w:r>
        <w:t>injustifiable,</w:t>
      </w:r>
      <w:r w:rsidRPr="002C4077">
        <w:t xml:space="preserve"> </w:t>
      </w:r>
      <w:r>
        <w:t>ne</w:t>
      </w:r>
      <w:r w:rsidRPr="002C4077">
        <w:t xml:space="preserve"> </w:t>
      </w:r>
      <w:r>
        <w:t>fait</w:t>
      </w:r>
      <w:r w:rsidRPr="002C4077">
        <w:t xml:space="preserve"> </w:t>
      </w:r>
      <w:r>
        <w:t>qu’affaiblir</w:t>
      </w:r>
      <w:r w:rsidRPr="002C4077">
        <w:t xml:space="preserve"> </w:t>
      </w:r>
      <w:r>
        <w:t>la</w:t>
      </w:r>
      <w:r w:rsidRPr="002C4077">
        <w:t xml:space="preserve"> </w:t>
      </w:r>
      <w:r>
        <w:t>pensée</w:t>
      </w:r>
      <w:r w:rsidR="00242610">
        <w:rPr>
          <w:rStyle w:val="Appelnotedebasdep"/>
        </w:rPr>
        <w:footnoteReference w:id="674"/>
      </w:r>
      <w:r w:rsidR="00B546AF">
        <w:t> »</w:t>
      </w:r>
      <w:r>
        <w:t>.</w:t>
      </w:r>
      <w:r w:rsidRPr="002C4077">
        <w:t xml:space="preserve"> </w:t>
      </w:r>
    </w:p>
    <w:p w:rsidR="000A7AAB" w:rsidRPr="001F5257" w:rsidRDefault="000A7AAB" w:rsidP="000A7AAB">
      <w:r>
        <w:t>2°</w:t>
      </w:r>
      <w:r w:rsidRPr="002C4077">
        <w:t xml:space="preserve"> </w:t>
      </w:r>
      <w:r w:rsidRPr="000A34B5">
        <w:rPr>
          <w:rStyle w:val="italicus"/>
        </w:rPr>
        <w:t>Les</w:t>
      </w:r>
      <w:r w:rsidRPr="002C4077">
        <w:t xml:space="preserve"> </w:t>
      </w:r>
      <w:r w:rsidRPr="000A34B5">
        <w:rPr>
          <w:rStyle w:val="italicus"/>
        </w:rPr>
        <w:t>pronoms.</w:t>
      </w:r>
      <w:r w:rsidRPr="002C4077">
        <w:t xml:space="preserve"> </w:t>
      </w:r>
      <w:r>
        <w:t>—</w:t>
      </w:r>
      <w:r w:rsidRPr="002C4077">
        <w:t xml:space="preserve"> </w:t>
      </w:r>
      <w:r w:rsidR="00B546AF">
        <w:t>« </w:t>
      </w:r>
      <w:r>
        <w:t>Quant</w:t>
      </w:r>
      <w:r w:rsidRPr="002C4077">
        <w:t xml:space="preserve"> </w:t>
      </w:r>
      <w:r>
        <w:t>aux</w:t>
      </w:r>
      <w:r w:rsidRPr="002C4077">
        <w:t xml:space="preserve"> </w:t>
      </w:r>
      <w:r>
        <w:t>pronoms</w:t>
      </w:r>
      <w:r w:rsidRPr="002C4077">
        <w:t xml:space="preserve"> </w:t>
      </w:r>
      <w:r>
        <w:t>et</w:t>
      </w:r>
      <w:r w:rsidRPr="002C4077">
        <w:t xml:space="preserve"> </w:t>
      </w:r>
      <w:r>
        <w:t>à</w:t>
      </w:r>
      <w:r w:rsidRPr="002C4077">
        <w:t xml:space="preserve"> </w:t>
      </w:r>
      <w:r>
        <w:t>la</w:t>
      </w:r>
      <w:r w:rsidRPr="002C4077">
        <w:t xml:space="preserve"> </w:t>
      </w:r>
      <w:r>
        <w:t>place</w:t>
      </w:r>
      <w:r w:rsidRPr="002C4077">
        <w:t xml:space="preserve"> </w:t>
      </w:r>
      <w:r>
        <w:t>qu’ils</w:t>
      </w:r>
      <w:r w:rsidRPr="002C4077">
        <w:t xml:space="preserve"> </w:t>
      </w:r>
      <w:r>
        <w:t>occupent</w:t>
      </w:r>
      <w:r w:rsidRPr="002C4077">
        <w:t xml:space="preserve"> </w:t>
      </w:r>
      <w:r>
        <w:t>dans</w:t>
      </w:r>
      <w:r w:rsidRPr="002C4077">
        <w:t xml:space="preserve"> </w:t>
      </w:r>
      <w:r>
        <w:t>la</w:t>
      </w:r>
      <w:r w:rsidRPr="002C4077">
        <w:t xml:space="preserve"> </w:t>
      </w:r>
      <w:r>
        <w:t>phrase,</w:t>
      </w:r>
      <w:r w:rsidRPr="002C4077">
        <w:t xml:space="preserve"> </w:t>
      </w:r>
      <w:r>
        <w:t>chose</w:t>
      </w:r>
      <w:r w:rsidRPr="002C4077">
        <w:t xml:space="preserve"> </w:t>
      </w:r>
      <w:r>
        <w:t>dédaignée</w:t>
      </w:r>
      <w:r w:rsidRPr="002C4077">
        <w:t xml:space="preserve"> </w:t>
      </w:r>
      <w:r>
        <w:t>par</w:t>
      </w:r>
      <w:r w:rsidRPr="002C4077">
        <w:t xml:space="preserve"> </w:t>
      </w:r>
      <w:r>
        <w:t>nos</w:t>
      </w:r>
      <w:r w:rsidRPr="002C4077">
        <w:t xml:space="preserve"> </w:t>
      </w:r>
      <w:r>
        <w:t>prédécesseurs,</w:t>
      </w:r>
      <w:r w:rsidRPr="002C4077">
        <w:t xml:space="preserve"> </w:t>
      </w:r>
      <w:r>
        <w:t>ils</w:t>
      </w:r>
      <w:r w:rsidRPr="002C4077">
        <w:t xml:space="preserve"> </w:t>
      </w:r>
      <w:r>
        <w:t>ont</w:t>
      </w:r>
      <w:r w:rsidRPr="002C4077">
        <w:t xml:space="preserve"> </w:t>
      </w:r>
      <w:r>
        <w:t>été</w:t>
      </w:r>
      <w:r w:rsidRPr="002C4077">
        <w:t xml:space="preserve"> </w:t>
      </w:r>
      <w:r>
        <w:t>pour</w:t>
      </w:r>
      <w:r w:rsidRPr="002C4077">
        <w:t xml:space="preserve"> </w:t>
      </w:r>
      <w:r>
        <w:t>nous</w:t>
      </w:r>
      <w:r w:rsidRPr="002C4077">
        <w:t xml:space="preserve"> </w:t>
      </w:r>
      <w:r>
        <w:t>l’objet</w:t>
      </w:r>
      <w:r w:rsidRPr="002C4077">
        <w:t xml:space="preserve"> </w:t>
      </w:r>
      <w:r>
        <w:t>de</w:t>
      </w:r>
      <w:r w:rsidRPr="002C4077">
        <w:t xml:space="preserve"> </w:t>
      </w:r>
      <w:r>
        <w:t>soins</w:t>
      </w:r>
      <w:r w:rsidRPr="002C4077">
        <w:t xml:space="preserve"> </w:t>
      </w:r>
      <w:r>
        <w:t>particuliers</w:t>
      </w:r>
      <w:r w:rsidR="00B546AF">
        <w:t> »</w:t>
      </w:r>
      <w:r>
        <w:t>.</w:t>
      </w:r>
      <w:r w:rsidRPr="002C4077">
        <w:t xml:space="preserve"> </w:t>
      </w:r>
      <w:r>
        <w:t>Ainsi</w:t>
      </w:r>
      <w:r w:rsidRPr="002C4077">
        <w:t xml:space="preserve"> </w:t>
      </w:r>
      <w:r>
        <w:t>parlent</w:t>
      </w:r>
      <w:r w:rsidRPr="002C4077">
        <w:t xml:space="preserve"> </w:t>
      </w:r>
      <w:r>
        <w:t>les</w:t>
      </w:r>
      <w:r w:rsidRPr="002C4077">
        <w:t xml:space="preserve"> </w:t>
      </w:r>
      <w:r>
        <w:t>réviseurs</w:t>
      </w:r>
      <w:r w:rsidRPr="002C4077">
        <w:t xml:space="preserve"> </w:t>
      </w:r>
      <w:r>
        <w:t>eux-mêmes</w:t>
      </w:r>
      <w:r w:rsidR="00B91AF7">
        <w:rPr>
          <w:rStyle w:val="Appelnotedebasdep"/>
        </w:rPr>
        <w:footnoteReference w:id="675"/>
      </w:r>
      <w:r>
        <w:t>.</w:t>
      </w:r>
      <w:r w:rsidRPr="002C4077">
        <w:t xml:space="preserve"> </w:t>
      </w:r>
      <w:r>
        <w:t>Tout</w:t>
      </w:r>
      <w:r w:rsidRPr="002C4077">
        <w:t xml:space="preserve"> </w:t>
      </w:r>
      <w:r>
        <w:t>en</w:t>
      </w:r>
      <w:r w:rsidRPr="002C4077">
        <w:t xml:space="preserve"> </w:t>
      </w:r>
      <w:r>
        <w:t>leur</w:t>
      </w:r>
      <w:r w:rsidRPr="002C4077">
        <w:t xml:space="preserve"> </w:t>
      </w:r>
      <w:r>
        <w:t>accordant</w:t>
      </w:r>
      <w:r w:rsidRPr="002C4077">
        <w:t xml:space="preserve"> </w:t>
      </w:r>
      <w:r>
        <w:t>quelq</w:t>
      </w:r>
      <w:r w:rsidR="0043070A">
        <w:t>ues</w:t>
      </w:r>
      <w:r w:rsidR="0043070A" w:rsidRPr="002C4077">
        <w:t xml:space="preserve"> </w:t>
      </w:r>
      <w:r w:rsidR="0043070A">
        <w:t>bons</w:t>
      </w:r>
      <w:r w:rsidR="0043070A" w:rsidRPr="002C4077">
        <w:t xml:space="preserve"> </w:t>
      </w:r>
      <w:r w:rsidR="0043070A">
        <w:t>points</w:t>
      </w:r>
      <w:r w:rsidR="0043070A" w:rsidRPr="002C4077">
        <w:t xml:space="preserve"> </w:t>
      </w:r>
      <w:r w:rsidR="0043070A">
        <w:t>à</w:t>
      </w:r>
      <w:r w:rsidR="0043070A" w:rsidRPr="002C4077">
        <w:t xml:space="preserve"> </w:t>
      </w:r>
      <w:r w:rsidR="0043070A">
        <w:t>ce</w:t>
      </w:r>
      <w:r w:rsidR="0043070A" w:rsidRPr="002C4077">
        <w:t xml:space="preserve"> </w:t>
      </w:r>
      <w:r w:rsidR="0043070A">
        <w:t>sujet,</w:t>
      </w:r>
      <w:r w:rsidR="0043070A" w:rsidRPr="002C4077">
        <w:t xml:space="preserve"> </w:t>
      </w:r>
      <w:r w:rsidR="0043070A">
        <w:t>M.</w:t>
      </w:r>
      <w:r w:rsidR="0043070A" w:rsidRPr="002C4077">
        <w:t xml:space="preserve"> </w:t>
      </w:r>
      <w:r w:rsidR="0043070A">
        <w:t>V</w:t>
      </w:r>
      <w:r>
        <w:t>ance</w:t>
      </w:r>
      <w:r w:rsidRPr="002C4077">
        <w:t xml:space="preserve"> </w:t>
      </w:r>
      <w:r>
        <w:t>Smith</w:t>
      </w:r>
      <w:r w:rsidRPr="002C4077">
        <w:t xml:space="preserve"> </w:t>
      </w:r>
      <w:r>
        <w:t>leur</w:t>
      </w:r>
      <w:r w:rsidRPr="002C4077">
        <w:t xml:space="preserve"> </w:t>
      </w:r>
      <w:r>
        <w:t>reproche</w:t>
      </w:r>
      <w:r w:rsidRPr="002C4077">
        <w:t xml:space="preserve"> </w:t>
      </w:r>
      <w:r>
        <w:t>encore</w:t>
      </w:r>
      <w:r w:rsidRPr="002C4077">
        <w:t xml:space="preserve"> </w:t>
      </w:r>
      <w:r>
        <w:t>d’avoir</w:t>
      </w:r>
      <w:r w:rsidRPr="002C4077">
        <w:t xml:space="preserve"> </w:t>
      </w:r>
      <w:r>
        <w:t>exagéré</w:t>
      </w:r>
      <w:r w:rsidR="00B91AF7">
        <w:rPr>
          <w:rStyle w:val="Appelnotedebasdep"/>
        </w:rPr>
        <w:footnoteReference w:id="676"/>
      </w:r>
      <w:r>
        <w:t>.</w:t>
      </w:r>
      <w:r w:rsidR="00C45B47">
        <w:t xml:space="preserve"> {</w:t>
      </w:r>
      <w:r w:rsidR="001F5257">
        <w:t>201</w:t>
      </w:r>
      <w:bookmarkStart w:id="502" w:name="p201"/>
      <w:bookmarkEnd w:id="502"/>
      <w:r w:rsidR="001F5257">
        <w:t xml:space="preserve">} </w:t>
      </w:r>
    </w:p>
    <w:p w:rsidR="000A7AAB" w:rsidRDefault="000A7AAB" w:rsidP="000A7AAB">
      <w:r>
        <w:t>3°</w:t>
      </w:r>
      <w:r w:rsidRPr="002C4077">
        <w:t xml:space="preserve"> </w:t>
      </w:r>
      <w:r w:rsidRPr="000A34B5">
        <w:rPr>
          <w:rStyle w:val="italicus"/>
        </w:rPr>
        <w:t>Les</w:t>
      </w:r>
      <w:r w:rsidRPr="002C4077">
        <w:t xml:space="preserve"> </w:t>
      </w:r>
      <w:r w:rsidRPr="000A34B5">
        <w:rPr>
          <w:rStyle w:val="italicus"/>
        </w:rPr>
        <w:t>particules</w:t>
      </w:r>
      <w:r w:rsidRPr="002C4077">
        <w:t xml:space="preserve"> </w:t>
      </w:r>
      <w:r w:rsidRPr="000A34B5">
        <w:rPr>
          <w:rStyle w:val="italicus"/>
        </w:rPr>
        <w:t>et</w:t>
      </w:r>
      <w:r w:rsidRPr="002C4077">
        <w:t xml:space="preserve"> </w:t>
      </w:r>
      <w:r w:rsidRPr="000A34B5">
        <w:rPr>
          <w:rStyle w:val="italicus"/>
        </w:rPr>
        <w:t>les</w:t>
      </w:r>
      <w:r w:rsidRPr="002C4077">
        <w:t xml:space="preserve"> </w:t>
      </w:r>
      <w:r w:rsidRPr="000A34B5">
        <w:rPr>
          <w:rStyle w:val="italicus"/>
        </w:rPr>
        <w:t>prépositions.</w:t>
      </w:r>
      <w:r w:rsidRPr="002C4077">
        <w:t xml:space="preserve"> </w:t>
      </w:r>
      <w:r>
        <w:t>—</w:t>
      </w:r>
      <w:r w:rsidRPr="002C4077">
        <w:t xml:space="preserve"> </w:t>
      </w:r>
      <w:r>
        <w:t>La</w:t>
      </w:r>
      <w:r w:rsidRPr="002C4077">
        <w:t xml:space="preserve"> </w:t>
      </w:r>
      <w:r>
        <w:t>commission</w:t>
      </w:r>
      <w:r w:rsidRPr="002C4077">
        <w:t xml:space="preserve"> </w:t>
      </w:r>
      <w:r>
        <w:t>se</w:t>
      </w:r>
      <w:r w:rsidRPr="002C4077">
        <w:t xml:space="preserve"> </w:t>
      </w:r>
      <w:r>
        <w:t>loue</w:t>
      </w:r>
      <w:r w:rsidRPr="002C4077">
        <w:t xml:space="preserve"> </w:t>
      </w:r>
      <w:r>
        <w:t>d’en</w:t>
      </w:r>
      <w:r w:rsidRPr="002C4077">
        <w:t xml:space="preserve"> </w:t>
      </w:r>
      <w:r>
        <w:t>avoir</w:t>
      </w:r>
      <w:r w:rsidRPr="002C4077">
        <w:t xml:space="preserve"> </w:t>
      </w:r>
      <w:r>
        <w:t>bien</w:t>
      </w:r>
      <w:r w:rsidRPr="002C4077">
        <w:t xml:space="preserve"> </w:t>
      </w:r>
      <w:r>
        <w:t>exprimé</w:t>
      </w:r>
      <w:r w:rsidRPr="002C4077">
        <w:t xml:space="preserve"> </w:t>
      </w:r>
      <w:r>
        <w:t>la</w:t>
      </w:r>
      <w:r w:rsidRPr="002C4077">
        <w:t xml:space="preserve"> </w:t>
      </w:r>
      <w:r>
        <w:t>force</w:t>
      </w:r>
      <w:r w:rsidRPr="002C4077">
        <w:t xml:space="preserve"> </w:t>
      </w:r>
      <w:r>
        <w:t>et</w:t>
      </w:r>
      <w:r w:rsidRPr="002C4077">
        <w:t xml:space="preserve"> </w:t>
      </w:r>
      <w:r>
        <w:t>toutes</w:t>
      </w:r>
      <w:r w:rsidRPr="002C4077">
        <w:t xml:space="preserve"> </w:t>
      </w:r>
      <w:r>
        <w:t>les</w:t>
      </w:r>
      <w:r w:rsidRPr="002C4077">
        <w:t xml:space="preserve"> </w:t>
      </w:r>
      <w:r>
        <w:t>nuances</w:t>
      </w:r>
      <w:r w:rsidR="00B91AF7">
        <w:rPr>
          <w:rStyle w:val="Appelnotedebasdep"/>
        </w:rPr>
        <w:footnoteReference w:id="677"/>
      </w:r>
      <w:r>
        <w:t>.</w:t>
      </w:r>
      <w:r w:rsidRPr="002C4077">
        <w:t xml:space="preserve"> </w:t>
      </w:r>
      <w:r>
        <w:t>M.</w:t>
      </w:r>
      <w:r w:rsidRPr="002C4077">
        <w:t xml:space="preserve"> </w:t>
      </w:r>
      <w:r>
        <w:t>Roberts</w:t>
      </w:r>
      <w:r w:rsidRPr="002C4077">
        <w:t xml:space="preserve"> </w:t>
      </w:r>
      <w:r>
        <w:t>ajoute</w:t>
      </w:r>
      <w:r w:rsidRPr="002C4077">
        <w:t xml:space="preserve"> </w:t>
      </w:r>
      <w:r>
        <w:t>qu’on</w:t>
      </w:r>
      <w:r w:rsidRPr="002C4077">
        <w:t xml:space="preserve"> </w:t>
      </w:r>
      <w:r>
        <w:t>regrette</w:t>
      </w:r>
      <w:r w:rsidRPr="002C4077">
        <w:t xml:space="preserve"> </w:t>
      </w:r>
      <w:r>
        <w:t>sous</w:t>
      </w:r>
      <w:r w:rsidRPr="002C4077">
        <w:t xml:space="preserve"> </w:t>
      </w:r>
      <w:r>
        <w:t>ce</w:t>
      </w:r>
      <w:r w:rsidRPr="002C4077">
        <w:t xml:space="preserve"> </w:t>
      </w:r>
      <w:r>
        <w:t>rapport</w:t>
      </w:r>
      <w:r w:rsidRPr="002C4077">
        <w:t xml:space="preserve"> </w:t>
      </w:r>
      <w:r>
        <w:t>dans</w:t>
      </w:r>
      <w:r w:rsidRPr="002C4077">
        <w:t xml:space="preserve"> </w:t>
      </w:r>
      <w:r>
        <w:t>la</w:t>
      </w:r>
      <w:r w:rsidRPr="002C4077">
        <w:t xml:space="preserve"> </w:t>
      </w:r>
      <w:r>
        <w:t>traduction</w:t>
      </w:r>
      <w:r w:rsidRPr="002C4077">
        <w:t xml:space="preserve"> </w:t>
      </w:r>
      <w:r>
        <w:t>autorisée</w:t>
      </w:r>
      <w:r w:rsidRPr="002C4077">
        <w:t xml:space="preserve"> </w:t>
      </w:r>
      <w:r>
        <w:t>un</w:t>
      </w:r>
      <w:r w:rsidRPr="002C4077">
        <w:t xml:space="preserve"> </w:t>
      </w:r>
      <w:r>
        <w:t>funeste</w:t>
      </w:r>
      <w:r w:rsidRPr="002C4077">
        <w:t xml:space="preserve"> </w:t>
      </w:r>
      <w:r w:rsidR="00B546AF">
        <w:t>« </w:t>
      </w:r>
      <w:r>
        <w:t>laxisme</w:t>
      </w:r>
      <w:r w:rsidR="00B546AF">
        <w:t> »</w:t>
      </w:r>
      <w:r>
        <w:t>,</w:t>
      </w:r>
      <w:r w:rsidRPr="002C4077">
        <w:t xml:space="preserve"> </w:t>
      </w:r>
      <w:r>
        <w:t>qui</w:t>
      </w:r>
      <w:r w:rsidRPr="002C4077">
        <w:t xml:space="preserve"> </w:t>
      </w:r>
      <w:r>
        <w:t>a</w:t>
      </w:r>
      <w:r w:rsidRPr="002C4077">
        <w:t xml:space="preserve"> </w:t>
      </w:r>
      <w:r>
        <w:t>engendré</w:t>
      </w:r>
      <w:r w:rsidRPr="002C4077">
        <w:t xml:space="preserve"> </w:t>
      </w:r>
      <w:r>
        <w:t>beaucoup</w:t>
      </w:r>
      <w:r w:rsidRPr="002C4077">
        <w:t xml:space="preserve"> </w:t>
      </w:r>
      <w:r>
        <w:t>de</w:t>
      </w:r>
      <w:r w:rsidRPr="002C4077">
        <w:t xml:space="preserve"> </w:t>
      </w:r>
      <w:r w:rsidRPr="000A34B5">
        <w:rPr>
          <w:rStyle w:val="italicus"/>
        </w:rPr>
        <w:t>mis</w:t>
      </w:r>
      <w:r w:rsidRPr="002C4077">
        <w:t xml:space="preserve"> </w:t>
      </w:r>
      <w:r w:rsidRPr="000A34B5">
        <w:rPr>
          <w:rStyle w:val="italicus"/>
        </w:rPr>
        <w:t>translations,</w:t>
      </w:r>
      <w:r w:rsidRPr="002C4077">
        <w:t xml:space="preserve"> </w:t>
      </w:r>
      <w:r>
        <w:t>et</w:t>
      </w:r>
      <w:r w:rsidRPr="002C4077">
        <w:t xml:space="preserve"> </w:t>
      </w:r>
      <w:r>
        <w:t>donné</w:t>
      </w:r>
      <w:r w:rsidRPr="002C4077">
        <w:t xml:space="preserve"> </w:t>
      </w:r>
      <w:r>
        <w:t>beaucoup</w:t>
      </w:r>
      <w:r w:rsidRPr="002C4077">
        <w:t xml:space="preserve"> </w:t>
      </w:r>
      <w:r>
        <w:t>d’ouvrage</w:t>
      </w:r>
      <w:r w:rsidRPr="002C4077">
        <w:t xml:space="preserve"> </w:t>
      </w:r>
      <w:r>
        <w:t>aux</w:t>
      </w:r>
      <w:r w:rsidRPr="002C4077">
        <w:t xml:space="preserve"> </w:t>
      </w:r>
      <w:r>
        <w:t>réviseur</w:t>
      </w:r>
      <w:r w:rsidR="004377BC">
        <w:t>s</w:t>
      </w:r>
      <w:r w:rsidR="004377BC">
        <w:rPr>
          <w:rStyle w:val="Appelnotedebasdep"/>
        </w:rPr>
        <w:footnoteReference w:id="678"/>
      </w:r>
      <w:r>
        <w:t>.</w:t>
      </w:r>
      <w:r w:rsidRPr="002C4077">
        <w:t xml:space="preserve"> </w:t>
      </w:r>
      <w:r>
        <w:t>En</w:t>
      </w:r>
      <w:r w:rsidRPr="002C4077">
        <w:t xml:space="preserve"> </w:t>
      </w:r>
      <w:r>
        <w:t>mainte</w:t>
      </w:r>
      <w:r w:rsidRPr="002C4077">
        <w:t xml:space="preserve"> </w:t>
      </w:r>
      <w:r>
        <w:t>circonstance,</w:t>
      </w:r>
      <w:r w:rsidRPr="002C4077">
        <w:t xml:space="preserve"> </w:t>
      </w:r>
      <w:r>
        <w:t>dit</w:t>
      </w:r>
      <w:r w:rsidRPr="002C4077">
        <w:t xml:space="preserve"> </w:t>
      </w:r>
      <w:r>
        <w:t>M.</w:t>
      </w:r>
      <w:r w:rsidRPr="002C4077">
        <w:t xml:space="preserve"> </w:t>
      </w:r>
      <w:r>
        <w:t>Vance</w:t>
      </w:r>
      <w:r w:rsidRPr="002C4077">
        <w:t xml:space="preserve"> </w:t>
      </w:r>
      <w:r>
        <w:t>Smith,</w:t>
      </w:r>
      <w:r w:rsidRPr="002C4077">
        <w:t xml:space="preserve"> </w:t>
      </w:r>
      <w:r>
        <w:t>ces</w:t>
      </w:r>
      <w:r w:rsidRPr="002C4077">
        <w:t xml:space="preserve"> </w:t>
      </w:r>
      <w:r>
        <w:t>derniers</w:t>
      </w:r>
      <w:r w:rsidRPr="002C4077">
        <w:t xml:space="preserve"> </w:t>
      </w:r>
      <w:r w:rsidR="00B546AF">
        <w:t>« </w:t>
      </w:r>
      <w:r>
        <w:t>ont</w:t>
      </w:r>
      <w:r w:rsidRPr="002C4077">
        <w:t xml:space="preserve"> </w:t>
      </w:r>
      <w:r>
        <w:t>agi</w:t>
      </w:r>
      <w:r w:rsidRPr="002C4077">
        <w:t xml:space="preserve"> </w:t>
      </w:r>
      <w:r>
        <w:t>tout</w:t>
      </w:r>
      <w:r w:rsidRPr="002C4077">
        <w:t xml:space="preserve"> </w:t>
      </w:r>
      <w:r>
        <w:t>à</w:t>
      </w:r>
      <w:r w:rsidRPr="002C4077">
        <w:t xml:space="preserve"> </w:t>
      </w:r>
      <w:r>
        <w:t>fait</w:t>
      </w:r>
      <w:r w:rsidRPr="002C4077">
        <w:t xml:space="preserve"> </w:t>
      </w:r>
      <w:r>
        <w:t>arbitrairement</w:t>
      </w:r>
      <w:r w:rsidR="00B546AF">
        <w:t> »</w:t>
      </w:r>
      <w:r w:rsidRPr="002C4077">
        <w:t xml:space="preserve"> </w:t>
      </w:r>
      <w:r>
        <w:t>envers</w:t>
      </w:r>
      <w:r w:rsidRPr="002C4077">
        <w:t xml:space="preserve"> </w:t>
      </w:r>
      <w:r>
        <w:t>les</w:t>
      </w:r>
      <w:r w:rsidRPr="002C4077">
        <w:t xml:space="preserve"> </w:t>
      </w:r>
      <w:r>
        <w:t>particules</w:t>
      </w:r>
      <w:r w:rsidRPr="002C4077">
        <w:t xml:space="preserve"> </w:t>
      </w:r>
      <w:r>
        <w:t>et</w:t>
      </w:r>
      <w:r w:rsidR="00846153" w:rsidRPr="002C4077">
        <w:t xml:space="preserve"> </w:t>
      </w:r>
      <w:r w:rsidR="00846153">
        <w:t>les</w:t>
      </w:r>
      <w:r w:rsidR="00846153" w:rsidRPr="002C4077">
        <w:t xml:space="preserve"> </w:t>
      </w:r>
      <w:r w:rsidR="00846153">
        <w:t>prépositions</w:t>
      </w:r>
      <w:r w:rsidR="00846153" w:rsidRPr="002C4077">
        <w:t xml:space="preserve"> </w:t>
      </w:r>
      <w:r w:rsidR="00846153">
        <w:t>du</w:t>
      </w:r>
      <w:r w:rsidR="00846153" w:rsidRPr="002C4077">
        <w:t xml:space="preserve"> </w:t>
      </w:r>
      <w:r w:rsidR="00846153">
        <w:t>texte</w:t>
      </w:r>
      <w:r w:rsidR="00846153" w:rsidRPr="002C4077">
        <w:t xml:space="preserve"> </w:t>
      </w:r>
      <w:r w:rsidR="00846153">
        <w:t>grec</w:t>
      </w:r>
      <w:r w:rsidR="00846153">
        <w:rPr>
          <w:rStyle w:val="Appelnotedebasdep"/>
        </w:rPr>
        <w:footnoteReference w:id="679"/>
      </w:r>
      <w:r>
        <w:t>.</w:t>
      </w:r>
      <w:r w:rsidRPr="002C4077">
        <w:t xml:space="preserve"> </w:t>
      </w:r>
      <w:r w:rsidR="00B546AF">
        <w:t>« </w:t>
      </w:r>
      <w:r>
        <w:t>Ils</w:t>
      </w:r>
      <w:r w:rsidRPr="002C4077">
        <w:t xml:space="preserve"> </w:t>
      </w:r>
      <w:r>
        <w:t>ont</w:t>
      </w:r>
      <w:r w:rsidRPr="002C4077">
        <w:t xml:space="preserve"> </w:t>
      </w:r>
      <w:r>
        <w:t>oublié</w:t>
      </w:r>
      <w:r w:rsidRPr="002C4077">
        <w:t xml:space="preserve"> </w:t>
      </w:r>
      <w:r>
        <w:t>trop</w:t>
      </w:r>
      <w:r w:rsidRPr="002C4077">
        <w:t xml:space="preserve"> </w:t>
      </w:r>
      <w:r>
        <w:t>facilement</w:t>
      </w:r>
      <w:r w:rsidRPr="002C4077">
        <w:t xml:space="preserve"> </w:t>
      </w:r>
      <w:r>
        <w:t>le</w:t>
      </w:r>
      <w:r w:rsidRPr="002C4077">
        <w:t xml:space="preserve"> </w:t>
      </w:r>
      <w:r>
        <w:t>caractère</w:t>
      </w:r>
      <w:r w:rsidRPr="002C4077">
        <w:t xml:space="preserve"> </w:t>
      </w:r>
      <w:r>
        <w:t>du</w:t>
      </w:r>
      <w:r w:rsidRPr="002C4077">
        <w:t xml:space="preserve"> </w:t>
      </w:r>
      <w:r>
        <w:t>grec</w:t>
      </w:r>
      <w:r w:rsidRPr="004440EA">
        <w:t xml:space="preserve"> (</w:t>
      </w:r>
      <w:r>
        <w:t>du</w:t>
      </w:r>
      <w:r w:rsidRPr="002C4077">
        <w:t xml:space="preserve"> </w:t>
      </w:r>
      <w:r>
        <w:t>N.</w:t>
      </w:r>
      <w:r w:rsidRPr="002C4077">
        <w:t xml:space="preserve"> </w:t>
      </w:r>
      <w:r>
        <w:t>T.</w:t>
      </w:r>
      <w:r w:rsidR="00B546AF" w:rsidRPr="002C4077">
        <w:t>)</w:t>
      </w:r>
      <w:r w:rsidR="00B546AF" w:rsidRPr="00950016">
        <w:t> </w:t>
      </w:r>
      <w:r w:rsidR="00B546AF">
        <w:t>»</w:t>
      </w:r>
      <w:r>
        <w:t>,</w:t>
      </w:r>
      <w:r w:rsidRPr="002C4077">
        <w:t xml:space="preserve"> </w:t>
      </w:r>
      <w:r>
        <w:t>donné</w:t>
      </w:r>
      <w:r w:rsidRPr="002C4077">
        <w:t xml:space="preserve"> </w:t>
      </w:r>
      <w:r>
        <w:t>à</w:t>
      </w:r>
      <w:r w:rsidRPr="002C4077">
        <w:t xml:space="preserve"> </w:t>
      </w:r>
      <w:r>
        <w:t>tel</w:t>
      </w:r>
      <w:r w:rsidRPr="002C4077">
        <w:t xml:space="preserve"> </w:t>
      </w:r>
      <w:r>
        <w:t>passage</w:t>
      </w:r>
      <w:r w:rsidRPr="002C4077">
        <w:t xml:space="preserve"> </w:t>
      </w:r>
      <w:r w:rsidR="00B546AF">
        <w:t>« </w:t>
      </w:r>
      <w:r>
        <w:t>un</w:t>
      </w:r>
      <w:r w:rsidRPr="002C4077">
        <w:t xml:space="preserve"> </w:t>
      </w:r>
      <w:r>
        <w:t>air</w:t>
      </w:r>
      <w:r w:rsidRPr="002C4077">
        <w:t xml:space="preserve"> </w:t>
      </w:r>
      <w:r>
        <w:t>de</w:t>
      </w:r>
      <w:r w:rsidRPr="002C4077">
        <w:t xml:space="preserve"> </w:t>
      </w:r>
      <w:r>
        <w:t>gaucherie</w:t>
      </w:r>
      <w:r w:rsidRPr="002C4077">
        <w:t xml:space="preserve"> </w:t>
      </w:r>
      <w:r>
        <w:t>qui</w:t>
      </w:r>
      <w:r w:rsidRPr="002C4077">
        <w:t xml:space="preserve"> </w:t>
      </w:r>
      <w:r>
        <w:t>n’apparaît</w:t>
      </w:r>
      <w:r w:rsidRPr="002C4077">
        <w:t xml:space="preserve"> </w:t>
      </w:r>
      <w:r>
        <w:t>ni</w:t>
      </w:r>
      <w:r w:rsidRPr="002C4077">
        <w:t xml:space="preserve"> </w:t>
      </w:r>
      <w:r>
        <w:t>dans</w:t>
      </w:r>
      <w:r w:rsidRPr="002C4077">
        <w:t xml:space="preserve"> </w:t>
      </w:r>
      <w:r>
        <w:t>le</w:t>
      </w:r>
      <w:r w:rsidRPr="002C4077">
        <w:t xml:space="preserve"> </w:t>
      </w:r>
      <w:r>
        <w:t>grec,</w:t>
      </w:r>
      <w:r w:rsidRPr="002C4077">
        <w:t xml:space="preserve"> </w:t>
      </w:r>
      <w:r>
        <w:t>ni</w:t>
      </w:r>
      <w:r w:rsidRPr="002C4077">
        <w:t xml:space="preserve"> </w:t>
      </w:r>
      <w:r>
        <w:t>dans</w:t>
      </w:r>
      <w:r w:rsidRPr="002C4077">
        <w:t xml:space="preserve"> </w:t>
      </w:r>
      <w:r>
        <w:t>la</w:t>
      </w:r>
      <w:r w:rsidRPr="002C4077">
        <w:t xml:space="preserve"> </w:t>
      </w:r>
      <w:r>
        <w:t>version</w:t>
      </w:r>
      <w:r w:rsidRPr="002C4077">
        <w:t xml:space="preserve"> </w:t>
      </w:r>
      <w:r>
        <w:t>autorisée</w:t>
      </w:r>
      <w:r w:rsidR="00B546AF">
        <w:t> »</w:t>
      </w:r>
      <w:r>
        <w:t>,</w:t>
      </w:r>
      <w:r w:rsidRPr="002C4077">
        <w:t xml:space="preserve"> </w:t>
      </w:r>
      <w:r>
        <w:t>et</w:t>
      </w:r>
      <w:r w:rsidRPr="002C4077">
        <w:t xml:space="preserve"> </w:t>
      </w:r>
      <w:r>
        <w:t>par</w:t>
      </w:r>
      <w:r w:rsidRPr="002C4077">
        <w:t xml:space="preserve"> </w:t>
      </w:r>
      <w:r>
        <w:t>là</w:t>
      </w:r>
      <w:r w:rsidRPr="002C4077">
        <w:t xml:space="preserve"> </w:t>
      </w:r>
      <w:r>
        <w:t>même</w:t>
      </w:r>
      <w:r w:rsidRPr="002C4077">
        <w:t xml:space="preserve"> </w:t>
      </w:r>
      <w:r w:rsidR="00B546AF">
        <w:t>« </w:t>
      </w:r>
      <w:r>
        <w:t>embrouillé</w:t>
      </w:r>
      <w:r w:rsidRPr="002C4077">
        <w:t xml:space="preserve"> </w:t>
      </w:r>
      <w:r>
        <w:t>le</w:t>
      </w:r>
      <w:r w:rsidRPr="002C4077">
        <w:t xml:space="preserve"> </w:t>
      </w:r>
      <w:r>
        <w:t>lecteur,</w:t>
      </w:r>
      <w:r w:rsidRPr="002C4077">
        <w:t xml:space="preserve"> </w:t>
      </w:r>
      <w:r>
        <w:t>en</w:t>
      </w:r>
      <w:r w:rsidRPr="002C4077">
        <w:t xml:space="preserve"> </w:t>
      </w:r>
      <w:r>
        <w:t>jetant</w:t>
      </w:r>
      <w:r w:rsidRPr="002C4077">
        <w:t xml:space="preserve"> </w:t>
      </w:r>
      <w:r>
        <w:t>le</w:t>
      </w:r>
      <w:r w:rsidRPr="002C4077">
        <w:t xml:space="preserve"> </w:t>
      </w:r>
      <w:r>
        <w:t>trouble</w:t>
      </w:r>
      <w:r w:rsidRPr="002C4077">
        <w:t xml:space="preserve"> </w:t>
      </w:r>
      <w:r>
        <w:t>dans</w:t>
      </w:r>
      <w:r w:rsidRPr="002C4077">
        <w:t xml:space="preserve"> </w:t>
      </w:r>
      <w:r>
        <w:t>les</w:t>
      </w:r>
      <w:r w:rsidRPr="002C4077">
        <w:t xml:space="preserve"> </w:t>
      </w:r>
      <w:r>
        <w:t>phrases</w:t>
      </w:r>
      <w:r w:rsidRPr="002C4077">
        <w:t xml:space="preserve"> </w:t>
      </w:r>
      <w:r>
        <w:t>anciennes</w:t>
      </w:r>
      <w:r w:rsidRPr="002C4077">
        <w:t xml:space="preserve"> </w:t>
      </w:r>
      <w:r>
        <w:t>et</w:t>
      </w:r>
      <w:r w:rsidRPr="002C4077">
        <w:t xml:space="preserve"> </w:t>
      </w:r>
      <w:r>
        <w:t>familières</w:t>
      </w:r>
      <w:r w:rsidR="00B546AF">
        <w:t> »</w:t>
      </w:r>
      <w:r>
        <w:t>.</w:t>
      </w:r>
      <w:r w:rsidRPr="002C4077">
        <w:t xml:space="preserve"> </w:t>
      </w:r>
    </w:p>
    <w:p w:rsidR="000A7AAB" w:rsidRDefault="000A7AAB" w:rsidP="000A7AAB">
      <w:r>
        <w:t>4°</w:t>
      </w:r>
      <w:r w:rsidRPr="002C4077">
        <w:t xml:space="preserve"> </w:t>
      </w:r>
      <w:r w:rsidRPr="000A34B5">
        <w:rPr>
          <w:rStyle w:val="italicus"/>
        </w:rPr>
        <w:t>Les</w:t>
      </w:r>
      <w:r w:rsidRPr="002C4077">
        <w:t xml:space="preserve"> </w:t>
      </w:r>
      <w:r w:rsidRPr="000A34B5">
        <w:rPr>
          <w:rStyle w:val="italicus"/>
        </w:rPr>
        <w:t>temps</w:t>
      </w:r>
      <w:r w:rsidRPr="002C4077">
        <w:t xml:space="preserve"> </w:t>
      </w:r>
      <w:r w:rsidRPr="000A34B5">
        <w:rPr>
          <w:rStyle w:val="italicus"/>
        </w:rPr>
        <w:t>des</w:t>
      </w:r>
      <w:r w:rsidRPr="002C4077">
        <w:t xml:space="preserve"> </w:t>
      </w:r>
      <w:r w:rsidRPr="000A34B5">
        <w:rPr>
          <w:rStyle w:val="italicus"/>
        </w:rPr>
        <w:t>verbes.</w:t>
      </w:r>
      <w:r w:rsidRPr="002C4077">
        <w:t xml:space="preserve"> </w:t>
      </w:r>
      <w:r>
        <w:t>—</w:t>
      </w:r>
      <w:r w:rsidRPr="002C4077">
        <w:t xml:space="preserve"> </w:t>
      </w:r>
      <w:r>
        <w:t>Ici</w:t>
      </w:r>
      <w:r w:rsidRPr="002C4077">
        <w:t xml:space="preserve"> </w:t>
      </w:r>
      <w:r>
        <w:t>encore,</w:t>
      </w:r>
      <w:r w:rsidRPr="002C4077">
        <w:t xml:space="preserve"> </w:t>
      </w:r>
      <w:r w:rsidR="00B546AF">
        <w:t>« </w:t>
      </w:r>
      <w:r>
        <w:t>la</w:t>
      </w:r>
      <w:r w:rsidRPr="002C4077">
        <w:t xml:space="preserve"> </w:t>
      </w:r>
      <w:r>
        <w:t>version</w:t>
      </w:r>
      <w:r w:rsidRPr="002C4077">
        <w:t xml:space="preserve"> </w:t>
      </w:r>
      <w:r>
        <w:t>autorisée</w:t>
      </w:r>
      <w:r w:rsidRPr="002C4077">
        <w:t xml:space="preserve"> </w:t>
      </w:r>
      <w:r>
        <w:t>s’était</w:t>
      </w:r>
      <w:r w:rsidRPr="002C4077">
        <w:t xml:space="preserve"> </w:t>
      </w:r>
      <w:r>
        <w:t>peu</w:t>
      </w:r>
      <w:r w:rsidRPr="002C4077">
        <w:t xml:space="preserve"> </w:t>
      </w:r>
      <w:r>
        <w:t>inquiétée</w:t>
      </w:r>
      <w:r w:rsidR="00B546AF">
        <w:t> »</w:t>
      </w:r>
      <w:r w:rsidRPr="002C4077">
        <w:t xml:space="preserve"> </w:t>
      </w:r>
      <w:r>
        <w:t>des</w:t>
      </w:r>
      <w:r w:rsidRPr="002C4077">
        <w:t xml:space="preserve"> </w:t>
      </w:r>
      <w:r>
        <w:t>nuances</w:t>
      </w:r>
      <w:r w:rsidRPr="002C4077">
        <w:t xml:space="preserve"> </w:t>
      </w:r>
      <w:r>
        <w:t>si</w:t>
      </w:r>
      <w:r w:rsidRPr="002C4077">
        <w:t xml:space="preserve"> </w:t>
      </w:r>
      <w:r>
        <w:t>délicates</w:t>
      </w:r>
      <w:r w:rsidRPr="002C4077">
        <w:t xml:space="preserve"> </w:t>
      </w:r>
      <w:r>
        <w:t>de</w:t>
      </w:r>
      <w:r w:rsidRPr="002C4077">
        <w:t xml:space="preserve"> </w:t>
      </w:r>
      <w:r>
        <w:t>la</w:t>
      </w:r>
      <w:r w:rsidRPr="002C4077">
        <w:t xml:space="preserve"> </w:t>
      </w:r>
      <w:r>
        <w:t>langue</w:t>
      </w:r>
      <w:r w:rsidRPr="002C4077">
        <w:t xml:space="preserve"> </w:t>
      </w:r>
      <w:r>
        <w:t>grecque</w:t>
      </w:r>
      <w:r w:rsidR="00B546AF">
        <w:t> :</w:t>
      </w:r>
      <w:r w:rsidRPr="002C4077">
        <w:t xml:space="preserve"> </w:t>
      </w:r>
      <w:r>
        <w:t>cela</w:t>
      </w:r>
      <w:r w:rsidRPr="002C4077">
        <w:t xml:space="preserve"> </w:t>
      </w:r>
      <w:r w:rsidR="00B546AF">
        <w:t>« </w:t>
      </w:r>
      <w:r>
        <w:t>au</w:t>
      </w:r>
      <w:r w:rsidRPr="002C4077">
        <w:t xml:space="preserve"> </w:t>
      </w:r>
      <w:r>
        <w:t>grand</w:t>
      </w:r>
      <w:r w:rsidRPr="002C4077">
        <w:t xml:space="preserve"> </w:t>
      </w:r>
      <w:r>
        <w:t>détriment</w:t>
      </w:r>
      <w:r w:rsidRPr="002C4077">
        <w:t xml:space="preserve"> </w:t>
      </w:r>
      <w:r>
        <w:t>du</w:t>
      </w:r>
      <w:r w:rsidRPr="002C4077">
        <w:t xml:space="preserve"> </w:t>
      </w:r>
      <w:r>
        <w:t>sens</w:t>
      </w:r>
      <w:r w:rsidR="00B546AF">
        <w:t> »</w:t>
      </w:r>
      <w:r>
        <w:t>,</w:t>
      </w:r>
      <w:r w:rsidRPr="002C4077">
        <w:t xml:space="preserve"> </w:t>
      </w:r>
      <w:r>
        <w:t>et</w:t>
      </w:r>
      <w:r w:rsidRPr="002C4077">
        <w:t xml:space="preserve"> </w:t>
      </w:r>
      <w:r>
        <w:t>de</w:t>
      </w:r>
      <w:r w:rsidRPr="002C4077">
        <w:t xml:space="preserve"> </w:t>
      </w:r>
      <w:r>
        <w:t>manière</w:t>
      </w:r>
      <w:r w:rsidRPr="002C4077">
        <w:t xml:space="preserve"> </w:t>
      </w:r>
      <w:r>
        <w:t>à</w:t>
      </w:r>
      <w:r w:rsidRPr="002C4077">
        <w:t xml:space="preserve"> </w:t>
      </w:r>
      <w:r>
        <w:t>produire</w:t>
      </w:r>
      <w:r w:rsidRPr="002C4077">
        <w:t xml:space="preserve"> </w:t>
      </w:r>
      <w:r w:rsidR="00B546AF">
        <w:t>« </w:t>
      </w:r>
      <w:r>
        <w:t>une</w:t>
      </w:r>
      <w:r w:rsidRPr="002C4077">
        <w:t xml:space="preserve"> </w:t>
      </w:r>
      <w:r>
        <w:t>grande</w:t>
      </w:r>
      <w:r w:rsidRPr="002C4077">
        <w:t xml:space="preserve"> </w:t>
      </w:r>
      <w:r>
        <w:t>confusion</w:t>
      </w:r>
      <w:r w:rsidR="00B546AF">
        <w:t> » ;</w:t>
      </w:r>
      <w:r w:rsidRPr="002C4077">
        <w:t xml:space="preserve"> </w:t>
      </w:r>
      <w:r>
        <w:t>car</w:t>
      </w:r>
      <w:r w:rsidRPr="002C4077">
        <w:t xml:space="preserve"> </w:t>
      </w:r>
      <w:r>
        <w:t>elle</w:t>
      </w:r>
      <w:r w:rsidRPr="002C4077">
        <w:t xml:space="preserve"> </w:t>
      </w:r>
      <w:r>
        <w:t>t</w:t>
      </w:r>
      <w:r w:rsidR="003B53FD">
        <w:t>raduit</w:t>
      </w:r>
      <w:r w:rsidRPr="002C4077">
        <w:t xml:space="preserve"> </w:t>
      </w:r>
      <w:r>
        <w:t>quelquefois</w:t>
      </w:r>
      <w:r w:rsidRPr="002C4077">
        <w:t xml:space="preserve"> </w:t>
      </w:r>
      <w:r>
        <w:t>le</w:t>
      </w:r>
      <w:r w:rsidRPr="002C4077">
        <w:t xml:space="preserve"> </w:t>
      </w:r>
      <w:r>
        <w:t>présent</w:t>
      </w:r>
      <w:r w:rsidRPr="002C4077">
        <w:t xml:space="preserve"> </w:t>
      </w:r>
      <w:r>
        <w:t>par</w:t>
      </w:r>
      <w:r w:rsidRPr="002C4077">
        <w:t xml:space="preserve"> </w:t>
      </w:r>
      <w:r>
        <w:t>le</w:t>
      </w:r>
      <w:r w:rsidRPr="002C4077">
        <w:t xml:space="preserve"> </w:t>
      </w:r>
      <w:r>
        <w:t>passé</w:t>
      </w:r>
      <w:r w:rsidRPr="002C4077">
        <w:t xml:space="preserve"> </w:t>
      </w:r>
      <w:r>
        <w:t>ou</w:t>
      </w:r>
      <w:r w:rsidRPr="002C4077">
        <w:t xml:space="preserve"> </w:t>
      </w:r>
      <w:r>
        <w:t>par</w:t>
      </w:r>
      <w:r w:rsidRPr="002C4077">
        <w:t xml:space="preserve"> </w:t>
      </w:r>
      <w:r>
        <w:t>le</w:t>
      </w:r>
      <w:r w:rsidRPr="002C4077">
        <w:t xml:space="preserve"> </w:t>
      </w:r>
      <w:r>
        <w:t>futur,</w:t>
      </w:r>
      <w:r w:rsidRPr="002C4077">
        <w:t xml:space="preserve"> </w:t>
      </w:r>
      <w:r>
        <w:t>le</w:t>
      </w:r>
      <w:r w:rsidRPr="002C4077">
        <w:t xml:space="preserve"> </w:t>
      </w:r>
      <w:r>
        <w:t>futur</w:t>
      </w:r>
      <w:r w:rsidRPr="002C4077">
        <w:t xml:space="preserve"> </w:t>
      </w:r>
      <w:r>
        <w:t>par</w:t>
      </w:r>
      <w:r w:rsidRPr="002C4077">
        <w:t xml:space="preserve"> </w:t>
      </w:r>
      <w:r>
        <w:t>l’impératif,</w:t>
      </w:r>
      <w:r w:rsidRPr="002C4077">
        <w:t xml:space="preserve"> </w:t>
      </w:r>
      <w:r w:rsidR="00425C50">
        <w:t>etc</w:t>
      </w:r>
      <w:r>
        <w:t>.</w:t>
      </w:r>
      <w:r w:rsidRPr="002C4077">
        <w:t xml:space="preserve"> </w:t>
      </w:r>
      <w:r>
        <w:t>La</w:t>
      </w:r>
      <w:r w:rsidRPr="002C4077">
        <w:t xml:space="preserve"> </w:t>
      </w:r>
      <w:r>
        <w:t>version</w:t>
      </w:r>
      <w:r w:rsidRPr="002C4077">
        <w:t xml:space="preserve"> </w:t>
      </w:r>
      <w:r>
        <w:t>révisée</w:t>
      </w:r>
      <w:r w:rsidRPr="002C4077">
        <w:t xml:space="preserve"> </w:t>
      </w:r>
      <w:r>
        <w:t>a</w:t>
      </w:r>
      <w:r w:rsidRPr="002C4077">
        <w:t xml:space="preserve"> </w:t>
      </w:r>
      <w:r>
        <w:t>heureusement</w:t>
      </w:r>
      <w:r w:rsidRPr="002C4077">
        <w:t xml:space="preserve"> </w:t>
      </w:r>
      <w:r>
        <w:t>fait</w:t>
      </w:r>
      <w:r w:rsidRPr="002C4077">
        <w:t xml:space="preserve"> </w:t>
      </w:r>
      <w:r>
        <w:t>disparaître</w:t>
      </w:r>
      <w:r w:rsidRPr="002C4077">
        <w:t xml:space="preserve"> </w:t>
      </w:r>
      <w:r>
        <w:t>ces</w:t>
      </w:r>
      <w:r w:rsidRPr="002C4077">
        <w:t xml:space="preserve"> </w:t>
      </w:r>
      <w:r>
        <w:t>taches.</w:t>
      </w:r>
      <w:r w:rsidRPr="002C4077">
        <w:t xml:space="preserve"> </w:t>
      </w:r>
      <w:r>
        <w:t>C’est</w:t>
      </w:r>
      <w:r w:rsidRPr="002C4077">
        <w:t xml:space="preserve"> </w:t>
      </w:r>
      <w:r>
        <w:t>du</w:t>
      </w:r>
      <w:r w:rsidRPr="002C4077">
        <w:t xml:space="preserve"> </w:t>
      </w:r>
      <w:r>
        <w:t>moins</w:t>
      </w:r>
      <w:r w:rsidRPr="002C4077">
        <w:t xml:space="preserve"> </w:t>
      </w:r>
      <w:r>
        <w:t>l’opinion</w:t>
      </w:r>
      <w:r w:rsidRPr="002C4077">
        <w:t xml:space="preserve"> </w:t>
      </w:r>
      <w:r>
        <w:t>de</w:t>
      </w:r>
      <w:r w:rsidRPr="002C4077">
        <w:t xml:space="preserve"> </w:t>
      </w:r>
      <w:r>
        <w:t>M.</w:t>
      </w:r>
      <w:r w:rsidRPr="002C4077">
        <w:t xml:space="preserve"> </w:t>
      </w:r>
      <w:r>
        <w:t>Roberts</w:t>
      </w:r>
      <w:r w:rsidR="00B91AF7">
        <w:rPr>
          <w:rStyle w:val="Appelnotedebasdep"/>
        </w:rPr>
        <w:footnoteReference w:id="680"/>
      </w:r>
      <w:r>
        <w:t>.</w:t>
      </w:r>
      <w:r w:rsidRPr="002C4077">
        <w:t xml:space="preserve"> </w:t>
      </w:r>
      <w:r>
        <w:t>Qu’en</w:t>
      </w:r>
      <w:r w:rsidRPr="002C4077">
        <w:t xml:space="preserve"> </w:t>
      </w:r>
      <w:r>
        <w:t>pense</w:t>
      </w:r>
      <w:r w:rsidRPr="002C4077">
        <w:t xml:space="preserve"> </w:t>
      </w:r>
      <w:r>
        <w:t>M.</w:t>
      </w:r>
      <w:r w:rsidRPr="002C4077">
        <w:t xml:space="preserve"> </w:t>
      </w:r>
      <w:r>
        <w:t>Smith</w:t>
      </w:r>
      <w:r w:rsidR="00B546AF">
        <w:t> ?</w:t>
      </w:r>
      <w:r w:rsidRPr="002C4077">
        <w:t xml:space="preserve"> </w:t>
      </w:r>
      <w:r w:rsidR="00B546AF">
        <w:t>« </w:t>
      </w:r>
      <w:r>
        <w:t>Les</w:t>
      </w:r>
      <w:r w:rsidRPr="002C4077">
        <w:t xml:space="preserve"> </w:t>
      </w:r>
      <w:r>
        <w:t>résultats</w:t>
      </w:r>
      <w:r w:rsidRPr="002C4077">
        <w:t xml:space="preserve"> </w:t>
      </w:r>
      <w:r>
        <w:t>ne</w:t>
      </w:r>
      <w:r w:rsidRPr="002C4077">
        <w:t xml:space="preserve"> </w:t>
      </w:r>
      <w:r>
        <w:t>sont</w:t>
      </w:r>
      <w:r w:rsidRPr="002C4077">
        <w:t xml:space="preserve"> </w:t>
      </w:r>
      <w:r>
        <w:t>pas</w:t>
      </w:r>
      <w:r w:rsidRPr="002C4077">
        <w:t xml:space="preserve"> </w:t>
      </w:r>
      <w:r>
        <w:t>toujours</w:t>
      </w:r>
      <w:r w:rsidRPr="002C4077">
        <w:t xml:space="preserve"> </w:t>
      </w:r>
      <w:r>
        <w:t>heureux…</w:t>
      </w:r>
      <w:r w:rsidRPr="002C4077">
        <w:t xml:space="preserve"> </w:t>
      </w:r>
      <w:r>
        <w:t>L’ancienne</w:t>
      </w:r>
      <w:r w:rsidRPr="002C4077">
        <w:t xml:space="preserve"> </w:t>
      </w:r>
      <w:r>
        <w:t>traduction</w:t>
      </w:r>
      <w:r w:rsidRPr="002C4077">
        <w:t xml:space="preserve"> </w:t>
      </w:r>
      <w:r>
        <w:t>était</w:t>
      </w:r>
      <w:r w:rsidRPr="002C4077">
        <w:t xml:space="preserve"> </w:t>
      </w:r>
      <w:r>
        <w:t>presque</w:t>
      </w:r>
      <w:r w:rsidRPr="002C4077">
        <w:t xml:space="preserve"> </w:t>
      </w:r>
      <w:r>
        <w:t>toujours</w:t>
      </w:r>
      <w:r w:rsidRPr="002C4077">
        <w:t xml:space="preserve"> </w:t>
      </w:r>
      <w:r>
        <w:t>préférable…</w:t>
      </w:r>
      <w:r w:rsidRPr="002C4077">
        <w:t xml:space="preserve"> </w:t>
      </w:r>
      <w:r>
        <w:t>Les</w:t>
      </w:r>
      <w:r w:rsidRPr="002C4077">
        <w:t xml:space="preserve"> </w:t>
      </w:r>
      <w:r>
        <w:t>changements</w:t>
      </w:r>
      <w:r w:rsidRPr="002C4077">
        <w:t xml:space="preserve"> </w:t>
      </w:r>
      <w:r>
        <w:t>de</w:t>
      </w:r>
      <w:r w:rsidRPr="002C4077">
        <w:t xml:space="preserve"> </w:t>
      </w:r>
      <w:r>
        <w:t>ce</w:t>
      </w:r>
      <w:r w:rsidRPr="002C4077">
        <w:t xml:space="preserve"> </w:t>
      </w:r>
      <w:r>
        <w:t>genre</w:t>
      </w:r>
      <w:r w:rsidRPr="002C4077">
        <w:t xml:space="preserve"> </w:t>
      </w:r>
      <w:r>
        <w:t>frapperont</w:t>
      </w:r>
      <w:r w:rsidRPr="002C4077">
        <w:t xml:space="preserve"> </w:t>
      </w:r>
      <w:r>
        <w:t>souvent</w:t>
      </w:r>
      <w:r w:rsidRPr="002C4077">
        <w:t xml:space="preserve"> </w:t>
      </w:r>
      <w:r>
        <w:t>le</w:t>
      </w:r>
      <w:r w:rsidRPr="002C4077">
        <w:t xml:space="preserve"> </w:t>
      </w:r>
      <w:r>
        <w:t>lecteur</w:t>
      </w:r>
      <w:r w:rsidRPr="002C4077">
        <w:t xml:space="preserve"> </w:t>
      </w:r>
      <w:r>
        <w:t>et</w:t>
      </w:r>
      <w:r w:rsidRPr="002C4077">
        <w:t xml:space="preserve"> </w:t>
      </w:r>
      <w:r>
        <w:t>en</w:t>
      </w:r>
      <w:r w:rsidRPr="002C4077">
        <w:t xml:space="preserve"> </w:t>
      </w:r>
      <w:r>
        <w:t>général</w:t>
      </w:r>
      <w:r w:rsidRPr="002C4077">
        <w:t xml:space="preserve"> </w:t>
      </w:r>
      <w:r>
        <w:t>d’une</w:t>
      </w:r>
      <w:r w:rsidRPr="002C4077">
        <w:t xml:space="preserve"> </w:t>
      </w:r>
      <w:r>
        <w:t>manière</w:t>
      </w:r>
      <w:r w:rsidRPr="002C4077">
        <w:t xml:space="preserve"> </w:t>
      </w:r>
      <w:r>
        <w:t>pénible,</w:t>
      </w:r>
      <w:r w:rsidRPr="002C4077">
        <w:t xml:space="preserve"> </w:t>
      </w:r>
      <w:r>
        <w:t>car</w:t>
      </w:r>
      <w:r w:rsidRPr="002C4077">
        <w:t xml:space="preserve"> </w:t>
      </w:r>
      <w:r>
        <w:t>ils</w:t>
      </w:r>
      <w:r w:rsidRPr="002C4077">
        <w:t xml:space="preserve"> </w:t>
      </w:r>
      <w:r>
        <w:t>produisent</w:t>
      </w:r>
      <w:r w:rsidRPr="002C4077">
        <w:t xml:space="preserve"> </w:t>
      </w:r>
      <w:r>
        <w:t>des</w:t>
      </w:r>
      <w:r w:rsidRPr="002C4077">
        <w:t xml:space="preserve"> </w:t>
      </w:r>
      <w:r>
        <w:t>effets</w:t>
      </w:r>
      <w:r w:rsidRPr="002C4077">
        <w:t xml:space="preserve"> </w:t>
      </w:r>
      <w:r>
        <w:t>rudes</w:t>
      </w:r>
      <w:r w:rsidRPr="002C4077">
        <w:t xml:space="preserve"> </w:t>
      </w:r>
      <w:r>
        <w:t>et</w:t>
      </w:r>
      <w:r w:rsidRPr="002C4077">
        <w:t xml:space="preserve"> </w:t>
      </w:r>
      <w:r>
        <w:t>saccadés</w:t>
      </w:r>
      <w:r w:rsidR="00B91AF7">
        <w:rPr>
          <w:rStyle w:val="Appelnotedebasdep"/>
        </w:rPr>
        <w:footnoteReference w:id="681"/>
      </w:r>
      <w:r w:rsidR="00B546AF">
        <w:t> »</w:t>
      </w:r>
      <w:r>
        <w:t>.</w:t>
      </w:r>
      <w:r w:rsidRPr="002C4077">
        <w:t xml:space="preserve"> </w:t>
      </w:r>
    </w:p>
    <w:p w:rsidR="000A7AAB" w:rsidRDefault="000A7AAB" w:rsidP="000A7AAB">
      <w:r>
        <w:t>5°</w:t>
      </w:r>
      <w:r w:rsidRPr="002C4077">
        <w:t xml:space="preserve"> </w:t>
      </w:r>
      <w:r w:rsidRPr="000A34B5">
        <w:rPr>
          <w:rStyle w:val="italicus"/>
        </w:rPr>
        <w:t>Les</w:t>
      </w:r>
      <w:r w:rsidRPr="002C4077">
        <w:t xml:space="preserve"> </w:t>
      </w:r>
      <w:r w:rsidRPr="000A34B5">
        <w:rPr>
          <w:rStyle w:val="italicus"/>
        </w:rPr>
        <w:t>archaïsmes.</w:t>
      </w:r>
      <w:r w:rsidRPr="002C4077">
        <w:t xml:space="preserve"> </w:t>
      </w:r>
      <w:r>
        <w:t>—</w:t>
      </w:r>
      <w:r w:rsidRPr="002C4077">
        <w:t xml:space="preserve"> </w:t>
      </w:r>
      <w:r>
        <w:t>Ils</w:t>
      </w:r>
      <w:r w:rsidRPr="002C4077">
        <w:t xml:space="preserve"> </w:t>
      </w:r>
      <w:r>
        <w:t>abondent</w:t>
      </w:r>
      <w:r w:rsidRPr="002C4077">
        <w:t xml:space="preserve"> </w:t>
      </w:r>
      <w:r>
        <w:t>dans</w:t>
      </w:r>
      <w:r w:rsidRPr="002C4077">
        <w:t xml:space="preserve"> </w:t>
      </w:r>
      <w:r>
        <w:t>la</w:t>
      </w:r>
      <w:r w:rsidRPr="002C4077">
        <w:t xml:space="preserve"> </w:t>
      </w:r>
      <w:r>
        <w:t>version</w:t>
      </w:r>
      <w:r w:rsidRPr="002C4077">
        <w:t xml:space="preserve"> </w:t>
      </w:r>
      <w:r>
        <w:t>autorisée,</w:t>
      </w:r>
      <w:r w:rsidRPr="002C4077">
        <w:t xml:space="preserve"> </w:t>
      </w:r>
      <w:r>
        <w:t>à</w:t>
      </w:r>
      <w:r w:rsidRPr="002C4077">
        <w:t xml:space="preserve"> </w:t>
      </w:r>
      <w:r>
        <w:t>laquelle</w:t>
      </w:r>
      <w:r w:rsidRPr="002C4077">
        <w:t xml:space="preserve"> </w:t>
      </w:r>
      <w:r>
        <w:t>ils</w:t>
      </w:r>
      <w:r w:rsidRPr="002C4077">
        <w:t xml:space="preserve"> </w:t>
      </w:r>
      <w:r>
        <w:t>donnaient</w:t>
      </w:r>
      <w:r w:rsidRPr="002C4077">
        <w:t xml:space="preserve"> </w:t>
      </w:r>
      <w:r>
        <w:t>un</w:t>
      </w:r>
      <w:r w:rsidRPr="002C4077">
        <w:t xml:space="preserve"> </w:t>
      </w:r>
      <w:r w:rsidR="00B546AF">
        <w:t>« </w:t>
      </w:r>
      <w:r>
        <w:t>air</w:t>
      </w:r>
      <w:r w:rsidRPr="002C4077">
        <w:t xml:space="preserve"> </w:t>
      </w:r>
      <w:r>
        <w:t>antique</w:t>
      </w:r>
      <w:r w:rsidR="00B546AF">
        <w:t> »</w:t>
      </w:r>
      <w:r w:rsidRPr="002C4077">
        <w:t xml:space="preserve"> </w:t>
      </w:r>
      <w:r>
        <w:t>et</w:t>
      </w:r>
      <w:r w:rsidRPr="002C4077">
        <w:t xml:space="preserve"> </w:t>
      </w:r>
      <w:r>
        <w:t>solennel,</w:t>
      </w:r>
      <w:r w:rsidRPr="002C4077">
        <w:t xml:space="preserve"> </w:t>
      </w:r>
      <w:r>
        <w:t>qui</w:t>
      </w:r>
      <w:r w:rsidRPr="002C4077">
        <w:t xml:space="preserve"> </w:t>
      </w:r>
      <w:r>
        <w:t>était</w:t>
      </w:r>
      <w:r w:rsidRPr="002C4077">
        <w:t xml:space="preserve"> </w:t>
      </w:r>
      <w:r>
        <w:t>très</w:t>
      </w:r>
      <w:r w:rsidRPr="002C4077">
        <w:t xml:space="preserve"> </w:t>
      </w:r>
      <w:r>
        <w:t>goûté</w:t>
      </w:r>
      <w:r w:rsidRPr="002C4077">
        <w:t xml:space="preserve"> </w:t>
      </w:r>
      <w:r>
        <w:t>en</w:t>
      </w:r>
      <w:r w:rsidRPr="002C4077">
        <w:t xml:space="preserve"> </w:t>
      </w:r>
      <w:r>
        <w:t>Angleterre</w:t>
      </w:r>
      <w:r w:rsidR="00B91AF7">
        <w:rPr>
          <w:rStyle w:val="Appelnotedebasdep"/>
        </w:rPr>
        <w:footnoteReference w:id="682"/>
      </w:r>
      <w:r>
        <w:t>.</w:t>
      </w:r>
      <w:r w:rsidR="00C45B47">
        <w:t xml:space="preserve"> {</w:t>
      </w:r>
      <w:r w:rsidR="001F5257">
        <w:t>202</w:t>
      </w:r>
      <w:bookmarkStart w:id="503" w:name="p202"/>
      <w:bookmarkEnd w:id="503"/>
      <w:r w:rsidR="001F5257">
        <w:t xml:space="preserve">} </w:t>
      </w:r>
      <w:r>
        <w:t>Il</w:t>
      </w:r>
      <w:r w:rsidRPr="002C4077">
        <w:t xml:space="preserve"> </w:t>
      </w:r>
      <w:r>
        <w:t>était</w:t>
      </w:r>
      <w:r w:rsidRPr="002C4077">
        <w:t xml:space="preserve"> </w:t>
      </w:r>
      <w:r>
        <w:t>pourtant</w:t>
      </w:r>
      <w:r w:rsidRPr="002C4077">
        <w:t xml:space="preserve"> </w:t>
      </w:r>
      <w:r>
        <w:t>nécessaire</w:t>
      </w:r>
      <w:r w:rsidRPr="002C4077">
        <w:t xml:space="preserve"> </w:t>
      </w:r>
      <w:r>
        <w:t>d’en</w:t>
      </w:r>
      <w:r w:rsidRPr="002C4077">
        <w:t xml:space="preserve"> </w:t>
      </w:r>
      <w:r>
        <w:t>faire</w:t>
      </w:r>
      <w:r w:rsidRPr="002C4077">
        <w:t xml:space="preserve"> </w:t>
      </w:r>
      <w:r>
        <w:t>disparaître</w:t>
      </w:r>
      <w:r w:rsidRPr="002C4077">
        <w:t xml:space="preserve"> </w:t>
      </w:r>
      <w:r>
        <w:t>quelques-uns</w:t>
      </w:r>
      <w:r w:rsidR="00B91AF7">
        <w:rPr>
          <w:rStyle w:val="Appelnotedebasdep"/>
        </w:rPr>
        <w:footnoteReference w:id="683"/>
      </w:r>
      <w:r>
        <w:t>,</w:t>
      </w:r>
      <w:r w:rsidRPr="002C4077">
        <w:t xml:space="preserve"> </w:t>
      </w:r>
      <w:r>
        <w:t>ainsi</w:t>
      </w:r>
      <w:r w:rsidRPr="002C4077">
        <w:t xml:space="preserve"> </w:t>
      </w:r>
      <w:r>
        <w:t>qu’il</w:t>
      </w:r>
      <w:r w:rsidRPr="002C4077">
        <w:t xml:space="preserve"> </w:t>
      </w:r>
      <w:r>
        <w:t>a</w:t>
      </w:r>
      <w:r w:rsidRPr="002C4077">
        <w:t xml:space="preserve"> </w:t>
      </w:r>
      <w:r>
        <w:t>déjà</w:t>
      </w:r>
      <w:r w:rsidRPr="002C4077">
        <w:t xml:space="preserve"> </w:t>
      </w:r>
      <w:r>
        <w:t>été</w:t>
      </w:r>
      <w:r w:rsidRPr="002C4077">
        <w:t xml:space="preserve"> </w:t>
      </w:r>
      <w:r>
        <w:t>dit</w:t>
      </w:r>
      <w:r w:rsidRPr="002C4077">
        <w:t xml:space="preserve"> </w:t>
      </w:r>
      <w:r>
        <w:t>précédemment.</w:t>
      </w:r>
      <w:r w:rsidRPr="002C4077">
        <w:t xml:space="preserve"> </w:t>
      </w:r>
      <w:r>
        <w:t>Mais</w:t>
      </w:r>
      <w:r w:rsidRPr="002C4077">
        <w:t xml:space="preserve"> </w:t>
      </w:r>
      <w:r>
        <w:t>ici,</w:t>
      </w:r>
      <w:r w:rsidRPr="002C4077">
        <w:t xml:space="preserve"> </w:t>
      </w:r>
      <w:r>
        <w:t>d’après</w:t>
      </w:r>
      <w:r w:rsidRPr="002C4077">
        <w:t xml:space="preserve"> </w:t>
      </w:r>
      <w:r>
        <w:t>M.</w:t>
      </w:r>
      <w:r w:rsidRPr="002C4077">
        <w:t xml:space="preserve"> </w:t>
      </w:r>
      <w:r>
        <w:t>Vance</w:t>
      </w:r>
      <w:r w:rsidRPr="002C4077">
        <w:t xml:space="preserve"> </w:t>
      </w:r>
      <w:r>
        <w:t>Smith,</w:t>
      </w:r>
      <w:r w:rsidRPr="002C4077">
        <w:t xml:space="preserve"> </w:t>
      </w:r>
      <w:r>
        <w:t>les</w:t>
      </w:r>
      <w:r w:rsidRPr="002C4077">
        <w:t xml:space="preserve"> </w:t>
      </w:r>
      <w:r>
        <w:t>réviseurs</w:t>
      </w:r>
      <w:r w:rsidRPr="002C4077">
        <w:t xml:space="preserve"> </w:t>
      </w:r>
      <w:r>
        <w:t>sont</w:t>
      </w:r>
      <w:r w:rsidRPr="002C4077">
        <w:t xml:space="preserve"> </w:t>
      </w:r>
      <w:r>
        <w:t>demeurés</w:t>
      </w:r>
      <w:r w:rsidRPr="002C4077">
        <w:t xml:space="preserve"> </w:t>
      </w:r>
      <w:r>
        <w:t>en</w:t>
      </w:r>
      <w:r w:rsidRPr="002C4077">
        <w:t xml:space="preserve"> </w:t>
      </w:r>
      <w:r>
        <w:t>deçà</w:t>
      </w:r>
      <w:r w:rsidRPr="002C4077">
        <w:t xml:space="preserve"> </w:t>
      </w:r>
      <w:r>
        <w:t>de</w:t>
      </w:r>
      <w:r w:rsidRPr="002C4077">
        <w:t xml:space="preserve"> </w:t>
      </w:r>
      <w:r>
        <w:t>leur</w:t>
      </w:r>
      <w:r w:rsidRPr="002C4077">
        <w:t xml:space="preserve"> </w:t>
      </w:r>
      <w:r>
        <w:t>mission</w:t>
      </w:r>
      <w:r w:rsidR="00B546AF">
        <w:t> :</w:t>
      </w:r>
      <w:r w:rsidRPr="002C4077">
        <w:t xml:space="preserve"> </w:t>
      </w:r>
      <w:r>
        <w:t>ils</w:t>
      </w:r>
      <w:r w:rsidRPr="002C4077">
        <w:t xml:space="preserve"> </w:t>
      </w:r>
      <w:r>
        <w:t>ont</w:t>
      </w:r>
      <w:r w:rsidRPr="002C4077">
        <w:t xml:space="preserve"> </w:t>
      </w:r>
      <w:r>
        <w:t>laissé</w:t>
      </w:r>
      <w:r w:rsidRPr="002C4077">
        <w:t xml:space="preserve"> </w:t>
      </w:r>
      <w:r>
        <w:t>subsister</w:t>
      </w:r>
      <w:r w:rsidRPr="002C4077">
        <w:t xml:space="preserve"> </w:t>
      </w:r>
      <w:r>
        <w:t>des</w:t>
      </w:r>
      <w:r w:rsidRPr="002C4077">
        <w:t xml:space="preserve"> </w:t>
      </w:r>
      <w:r>
        <w:t>expressions</w:t>
      </w:r>
      <w:r w:rsidRPr="002C4077">
        <w:t xml:space="preserve"> </w:t>
      </w:r>
      <w:r w:rsidR="00B546AF">
        <w:t>« </w:t>
      </w:r>
      <w:r>
        <w:t>gauches,</w:t>
      </w:r>
      <w:r w:rsidRPr="002C4077">
        <w:t xml:space="preserve"> </w:t>
      </w:r>
      <w:r>
        <w:t>vulgaires,</w:t>
      </w:r>
      <w:r w:rsidRPr="002C4077">
        <w:t xml:space="preserve"> </w:t>
      </w:r>
      <w:r>
        <w:t>peu</w:t>
      </w:r>
      <w:r w:rsidRPr="002C4077">
        <w:t xml:space="preserve"> </w:t>
      </w:r>
      <w:r>
        <w:t>agréables</w:t>
      </w:r>
      <w:r w:rsidRPr="002C4077">
        <w:t xml:space="preserve"> </w:t>
      </w:r>
      <w:r>
        <w:t>à</w:t>
      </w:r>
      <w:r w:rsidRPr="002C4077">
        <w:t xml:space="preserve"> </w:t>
      </w:r>
      <w:r>
        <w:t>lire</w:t>
      </w:r>
      <w:r w:rsidR="00B546AF">
        <w:t> »</w:t>
      </w:r>
      <w:r>
        <w:t>,</w:t>
      </w:r>
      <w:r w:rsidRPr="002C4077">
        <w:t xml:space="preserve"> </w:t>
      </w:r>
      <w:r>
        <w:t>comme</w:t>
      </w:r>
      <w:r w:rsidRPr="002C4077">
        <w:t xml:space="preserve"> </w:t>
      </w:r>
      <w:r>
        <w:t>aussi</w:t>
      </w:r>
      <w:r w:rsidRPr="002C4077">
        <w:t xml:space="preserve"> </w:t>
      </w:r>
      <w:r>
        <w:t>de</w:t>
      </w:r>
      <w:r w:rsidRPr="002C4077">
        <w:t xml:space="preserve"> </w:t>
      </w:r>
      <w:r w:rsidR="00B546AF">
        <w:t>« </w:t>
      </w:r>
      <w:r>
        <w:t>lourdes</w:t>
      </w:r>
      <w:r w:rsidRPr="002C4077">
        <w:t xml:space="preserve"> </w:t>
      </w:r>
      <w:r>
        <w:t>inversions</w:t>
      </w:r>
      <w:r w:rsidR="00B546AF">
        <w:t> »</w:t>
      </w:r>
      <w:r w:rsidRPr="002C4077">
        <w:t xml:space="preserve"> </w:t>
      </w:r>
      <w:r>
        <w:t>qui</w:t>
      </w:r>
      <w:r w:rsidRPr="002C4077">
        <w:t xml:space="preserve"> </w:t>
      </w:r>
      <w:r>
        <w:t>ressemblent</w:t>
      </w:r>
      <w:r w:rsidRPr="002C4077">
        <w:t xml:space="preserve"> </w:t>
      </w:r>
      <w:r w:rsidR="00B546AF">
        <w:t>« </w:t>
      </w:r>
      <w:r>
        <w:t>à</w:t>
      </w:r>
      <w:r w:rsidRPr="002C4077">
        <w:t xml:space="preserve"> </w:t>
      </w:r>
      <w:r>
        <w:t>de</w:t>
      </w:r>
      <w:r w:rsidRPr="002C4077">
        <w:t xml:space="preserve"> </w:t>
      </w:r>
      <w:r>
        <w:t>l’allemand</w:t>
      </w:r>
      <w:r w:rsidRPr="002C4077">
        <w:t xml:space="preserve"> </w:t>
      </w:r>
      <w:r>
        <w:t>plutôt</w:t>
      </w:r>
      <w:r w:rsidRPr="002C4077">
        <w:t xml:space="preserve"> </w:t>
      </w:r>
      <w:r>
        <w:t>qu’à</w:t>
      </w:r>
      <w:r w:rsidRPr="002C4077">
        <w:t xml:space="preserve"> </w:t>
      </w:r>
      <w:r>
        <w:t>de</w:t>
      </w:r>
      <w:r w:rsidRPr="002C4077">
        <w:t xml:space="preserve"> </w:t>
      </w:r>
      <w:r>
        <w:t>l’anglai</w:t>
      </w:r>
      <w:r w:rsidR="004377BC">
        <w:t>s</w:t>
      </w:r>
      <w:r w:rsidR="004377BC">
        <w:rPr>
          <w:rStyle w:val="Appelnotedebasdep"/>
        </w:rPr>
        <w:footnoteReference w:id="684"/>
      </w:r>
      <w:r w:rsidR="00B546AF">
        <w:t> »</w:t>
      </w:r>
      <w:r>
        <w:t>.</w:t>
      </w:r>
      <w:r w:rsidRPr="002C4077">
        <w:t xml:space="preserve"> </w:t>
      </w:r>
    </w:p>
    <w:p w:rsidR="009269FC" w:rsidRDefault="009269FC" w:rsidP="000A7AAB"/>
    <w:p w:rsidR="000A7AAB" w:rsidRDefault="000A7AAB" w:rsidP="000A7AAB">
      <w:r w:rsidRPr="000A34B5">
        <w:rPr>
          <w:rStyle w:val="italicus"/>
        </w:rPr>
        <w:lastRenderedPageBreak/>
        <w:t>Quid</w:t>
      </w:r>
      <w:r w:rsidRPr="002C4077">
        <w:t xml:space="preserve"> </w:t>
      </w:r>
      <w:r w:rsidRPr="000A34B5">
        <w:rPr>
          <w:rStyle w:val="italicus"/>
        </w:rPr>
        <w:t>plura</w:t>
      </w:r>
      <w:r w:rsidR="00B546AF">
        <w:rPr>
          <w:rStyle w:val="italicus"/>
        </w:rPr>
        <w:t> </w:t>
      </w:r>
      <w:r w:rsidR="00B546AF" w:rsidRPr="000A34B5">
        <w:rPr>
          <w:rStyle w:val="italicus"/>
        </w:rPr>
        <w:t>?</w:t>
      </w:r>
      <w:r w:rsidRPr="002C4077">
        <w:t xml:space="preserve"> </w:t>
      </w:r>
      <w:r>
        <w:t>Nous</w:t>
      </w:r>
      <w:r w:rsidRPr="002C4077">
        <w:t xml:space="preserve"> </w:t>
      </w:r>
      <w:r>
        <w:t>n’en</w:t>
      </w:r>
      <w:r w:rsidRPr="002C4077">
        <w:t xml:space="preserve"> </w:t>
      </w:r>
      <w:r>
        <w:t>finirions</w:t>
      </w:r>
      <w:r w:rsidRPr="002C4077">
        <w:t xml:space="preserve"> </w:t>
      </w:r>
      <w:r>
        <w:t>point,</w:t>
      </w:r>
      <w:r w:rsidRPr="002C4077">
        <w:t xml:space="preserve"> </w:t>
      </w:r>
      <w:r>
        <w:t>si</w:t>
      </w:r>
      <w:r w:rsidRPr="002C4077">
        <w:t xml:space="preserve"> </w:t>
      </w:r>
      <w:r>
        <w:t>nous</w:t>
      </w:r>
      <w:r w:rsidRPr="002C4077">
        <w:t xml:space="preserve"> </w:t>
      </w:r>
      <w:r>
        <w:t>voulions</w:t>
      </w:r>
      <w:r w:rsidRPr="002C4077">
        <w:t xml:space="preserve"> </w:t>
      </w:r>
      <w:r>
        <w:t>étudier</w:t>
      </w:r>
      <w:r w:rsidRPr="002C4077">
        <w:t xml:space="preserve"> </w:t>
      </w:r>
      <w:r>
        <w:t>jusqu’au</w:t>
      </w:r>
      <w:r w:rsidRPr="002C4077">
        <w:t xml:space="preserve"> </w:t>
      </w:r>
      <w:r>
        <w:t>bout</w:t>
      </w:r>
      <w:r w:rsidRPr="002C4077">
        <w:t xml:space="preserve"> </w:t>
      </w:r>
      <w:r>
        <w:t>cet</w:t>
      </w:r>
      <w:r w:rsidRPr="002C4077">
        <w:t xml:space="preserve"> </w:t>
      </w:r>
      <w:r>
        <w:t>antagonisme</w:t>
      </w:r>
      <w:r w:rsidRPr="002C4077">
        <w:t xml:space="preserve"> </w:t>
      </w:r>
      <w:r>
        <w:t>entre</w:t>
      </w:r>
      <w:r w:rsidRPr="002C4077">
        <w:t xml:space="preserve"> </w:t>
      </w:r>
      <w:r>
        <w:t>réviseurs.</w:t>
      </w:r>
      <w:r w:rsidRPr="002C4077">
        <w:t xml:space="preserve"> </w:t>
      </w:r>
      <w:r>
        <w:t>C’est</w:t>
      </w:r>
      <w:r w:rsidRPr="002C4077">
        <w:t xml:space="preserve"> </w:t>
      </w:r>
      <w:r>
        <w:t>édifiant</w:t>
      </w:r>
      <w:r w:rsidR="00B546AF">
        <w:t> !</w:t>
      </w:r>
      <w:r w:rsidRPr="002C4077">
        <w:t xml:space="preserve"> </w:t>
      </w:r>
      <w:r>
        <w:t>mais</w:t>
      </w:r>
      <w:r w:rsidRPr="002C4077">
        <w:t xml:space="preserve"> </w:t>
      </w:r>
      <w:r>
        <w:t>la</w:t>
      </w:r>
      <w:r w:rsidRPr="002C4077">
        <w:t xml:space="preserve"> </w:t>
      </w:r>
      <w:r>
        <w:t>contradiction</w:t>
      </w:r>
      <w:r w:rsidRPr="002C4077">
        <w:t xml:space="preserve"> </w:t>
      </w:r>
      <w:r w:rsidR="00425C50">
        <w:t>est</w:t>
      </w:r>
      <w:r w:rsidRPr="002C4077">
        <w:t xml:space="preserve"> </w:t>
      </w:r>
      <w:r>
        <w:t>à</w:t>
      </w:r>
      <w:r w:rsidRPr="002C4077">
        <w:t xml:space="preserve"> </w:t>
      </w:r>
      <w:r>
        <w:t>la</w:t>
      </w:r>
      <w:r w:rsidRPr="002C4077">
        <w:t xml:space="preserve"> </w:t>
      </w:r>
      <w:r>
        <w:t>mode</w:t>
      </w:r>
      <w:r w:rsidRPr="002C4077">
        <w:t xml:space="preserve"> </w:t>
      </w:r>
      <w:r>
        <w:t>parmi</w:t>
      </w:r>
      <w:r w:rsidRPr="002C4077">
        <w:t xml:space="preserve"> </w:t>
      </w:r>
      <w:r>
        <w:t>les</w:t>
      </w:r>
      <w:r w:rsidRPr="002C4077">
        <w:t xml:space="preserve"> </w:t>
      </w:r>
      <w:r>
        <w:t>sectes</w:t>
      </w:r>
      <w:r w:rsidRPr="002C4077">
        <w:t xml:space="preserve"> </w:t>
      </w:r>
      <w:r>
        <w:t>protestantes,</w:t>
      </w:r>
      <w:r w:rsidRPr="002C4077">
        <w:t xml:space="preserve"> </w:t>
      </w:r>
      <w:r>
        <w:t>puisqu’elle</w:t>
      </w:r>
      <w:r w:rsidRPr="002C4077">
        <w:t xml:space="preserve"> </w:t>
      </w:r>
      <w:r>
        <w:t>constitue</w:t>
      </w:r>
      <w:r w:rsidRPr="002C4077">
        <w:t xml:space="preserve"> </w:t>
      </w:r>
      <w:r>
        <w:t>même</w:t>
      </w:r>
      <w:r w:rsidRPr="002C4077">
        <w:t xml:space="preserve"> </w:t>
      </w:r>
      <w:r>
        <w:t>un</w:t>
      </w:r>
      <w:r w:rsidRPr="002C4077">
        <w:t xml:space="preserve"> </w:t>
      </w:r>
      <w:r>
        <w:t>principe</w:t>
      </w:r>
      <w:r w:rsidRPr="002C4077">
        <w:t xml:space="preserve"> </w:t>
      </w:r>
      <w:r>
        <w:t>essentiel</w:t>
      </w:r>
      <w:r w:rsidRPr="002C4077">
        <w:t xml:space="preserve"> </w:t>
      </w:r>
      <w:r>
        <w:t>du</w:t>
      </w:r>
      <w:r w:rsidRPr="002C4077">
        <w:t xml:space="preserve"> </w:t>
      </w:r>
      <w:r>
        <w:t>protestantisme.</w:t>
      </w:r>
      <w:r w:rsidRPr="002C4077">
        <w:t xml:space="preserve"> </w:t>
      </w:r>
    </w:p>
    <w:p w:rsidR="000A7AAB" w:rsidRDefault="000A7AAB" w:rsidP="000A7AAB">
      <w:r>
        <w:t>Le</w:t>
      </w:r>
      <w:r w:rsidRPr="002C4077">
        <w:t xml:space="preserve"> </w:t>
      </w:r>
      <w:r>
        <w:t>révérend</w:t>
      </w:r>
      <w:r w:rsidRPr="002C4077">
        <w:t xml:space="preserve"> </w:t>
      </w:r>
      <w:r>
        <w:t>Drummond</w:t>
      </w:r>
      <w:r w:rsidRPr="002C4077">
        <w:t xml:space="preserve"> </w:t>
      </w:r>
      <w:r>
        <w:t>va</w:t>
      </w:r>
      <w:r w:rsidRPr="002C4077">
        <w:t xml:space="preserve"> </w:t>
      </w:r>
      <w:r>
        <w:t>nous</w:t>
      </w:r>
      <w:r w:rsidRPr="002C4077">
        <w:t xml:space="preserve"> </w:t>
      </w:r>
      <w:r>
        <w:t>fournir</w:t>
      </w:r>
      <w:r w:rsidRPr="002C4077">
        <w:t xml:space="preserve"> </w:t>
      </w:r>
      <w:r>
        <w:t>notre</w:t>
      </w:r>
      <w:r w:rsidRPr="002C4077">
        <w:t xml:space="preserve"> </w:t>
      </w:r>
      <w:r>
        <w:t>conclusion.</w:t>
      </w:r>
      <w:r w:rsidRPr="002C4077">
        <w:t xml:space="preserve"> </w:t>
      </w:r>
      <w:r w:rsidR="00B546AF">
        <w:t>« </w:t>
      </w:r>
      <w:r>
        <w:t>Il</w:t>
      </w:r>
      <w:r w:rsidRPr="002C4077">
        <w:t xml:space="preserve"> </w:t>
      </w:r>
      <w:r w:rsidR="00425C50">
        <w:t>est</w:t>
      </w:r>
      <w:r w:rsidRPr="002C4077">
        <w:t xml:space="preserve"> </w:t>
      </w:r>
      <w:r>
        <w:t>à</w:t>
      </w:r>
      <w:r w:rsidRPr="002C4077">
        <w:t xml:space="preserve"> </w:t>
      </w:r>
      <w:r>
        <w:t>peine</w:t>
      </w:r>
      <w:r w:rsidRPr="002C4077">
        <w:t xml:space="preserve"> </w:t>
      </w:r>
      <w:r>
        <w:t>désirable,</w:t>
      </w:r>
      <w:r w:rsidRPr="002C4077">
        <w:t xml:space="preserve"> </w:t>
      </w:r>
      <w:r>
        <w:t>dit-il</w:t>
      </w:r>
      <w:r w:rsidRPr="002C4077">
        <w:t xml:space="preserve"> </w:t>
      </w:r>
      <w:r>
        <w:t>en</w:t>
      </w:r>
      <w:r w:rsidRPr="002C4077">
        <w:t xml:space="preserve"> </w:t>
      </w:r>
      <w:r>
        <w:t>terminant</w:t>
      </w:r>
      <w:r w:rsidRPr="002C4077">
        <w:t xml:space="preserve"> </w:t>
      </w:r>
      <w:r>
        <w:t>l’article</w:t>
      </w:r>
      <w:r w:rsidRPr="002C4077">
        <w:t xml:space="preserve"> </w:t>
      </w:r>
      <w:r>
        <w:t>dont</w:t>
      </w:r>
      <w:r w:rsidRPr="002C4077">
        <w:t xml:space="preserve"> </w:t>
      </w:r>
      <w:r>
        <w:t>nous</w:t>
      </w:r>
      <w:r w:rsidRPr="002C4077">
        <w:t xml:space="preserve"> </w:t>
      </w:r>
      <w:r>
        <w:t>avons</w:t>
      </w:r>
      <w:r w:rsidRPr="002C4077">
        <w:t xml:space="preserve"> </w:t>
      </w:r>
      <w:r>
        <w:t>cité</w:t>
      </w:r>
      <w:r w:rsidRPr="002C4077">
        <w:t xml:space="preserve"> </w:t>
      </w:r>
      <w:r>
        <w:t>plusieurs</w:t>
      </w:r>
      <w:r w:rsidRPr="002C4077">
        <w:t xml:space="preserve"> </w:t>
      </w:r>
      <w:r>
        <w:t>fragments</w:t>
      </w:r>
      <w:r w:rsidR="00B91AF7">
        <w:rPr>
          <w:rStyle w:val="Appelnotedebasdep"/>
        </w:rPr>
        <w:footnoteReference w:id="685"/>
      </w:r>
      <w:r>
        <w:t>,</w:t>
      </w:r>
      <w:r w:rsidRPr="002C4077">
        <w:t xml:space="preserve"> </w:t>
      </w:r>
      <w:r>
        <w:t>que</w:t>
      </w:r>
      <w:r w:rsidRPr="002C4077">
        <w:t xml:space="preserve"> </w:t>
      </w:r>
      <w:r>
        <w:t>la</w:t>
      </w:r>
      <w:r w:rsidRPr="002C4077">
        <w:t xml:space="preserve"> </w:t>
      </w:r>
      <w:r>
        <w:t>version</w:t>
      </w:r>
      <w:r w:rsidRPr="002C4077">
        <w:t xml:space="preserve"> </w:t>
      </w:r>
      <w:r>
        <w:t>nouvelle</w:t>
      </w:r>
      <w:r w:rsidRPr="002C4077">
        <w:t xml:space="preserve"> </w:t>
      </w:r>
      <w:r>
        <w:t>prenne</w:t>
      </w:r>
      <w:r w:rsidRPr="002C4077">
        <w:t xml:space="preserve"> </w:t>
      </w:r>
      <w:r>
        <w:t>tout</w:t>
      </w:r>
      <w:r w:rsidRPr="002C4077">
        <w:t xml:space="preserve"> </w:t>
      </w:r>
      <w:r>
        <w:t>à</w:t>
      </w:r>
      <w:r w:rsidRPr="002C4077">
        <w:t xml:space="preserve"> </w:t>
      </w:r>
      <w:r>
        <w:t>coup,</w:t>
      </w:r>
      <w:r w:rsidRPr="002C4077">
        <w:t xml:space="preserve"> </w:t>
      </w:r>
      <w:r>
        <w:t>et</w:t>
      </w:r>
      <w:r w:rsidRPr="002C4077">
        <w:t xml:space="preserve"> </w:t>
      </w:r>
      <w:r>
        <w:t>sans</w:t>
      </w:r>
      <w:r w:rsidRPr="002C4077">
        <w:t xml:space="preserve"> </w:t>
      </w:r>
      <w:r>
        <w:t>avoir</w:t>
      </w:r>
      <w:r w:rsidRPr="002C4077">
        <w:t xml:space="preserve"> </w:t>
      </w:r>
      <w:r>
        <w:t>subi</w:t>
      </w:r>
      <w:r w:rsidRPr="002C4077">
        <w:t xml:space="preserve"> </w:t>
      </w:r>
      <w:r>
        <w:t>des</w:t>
      </w:r>
      <w:r w:rsidRPr="002C4077">
        <w:t xml:space="preserve"> </w:t>
      </w:r>
      <w:r>
        <w:t>modifications,</w:t>
      </w:r>
      <w:r w:rsidRPr="002C4077">
        <w:t xml:space="preserve"> </w:t>
      </w:r>
      <w:r>
        <w:t>la</w:t>
      </w:r>
      <w:r w:rsidRPr="002C4077">
        <w:t xml:space="preserve"> </w:t>
      </w:r>
      <w:r>
        <w:t>place</w:t>
      </w:r>
      <w:r w:rsidRPr="002C4077">
        <w:t xml:space="preserve"> </w:t>
      </w:r>
      <w:r>
        <w:t>de</w:t>
      </w:r>
      <w:r w:rsidRPr="002C4077">
        <w:t xml:space="preserve"> </w:t>
      </w:r>
      <w:r>
        <w:t>l’ancienne.</w:t>
      </w:r>
      <w:r w:rsidRPr="002C4077">
        <w:t xml:space="preserve"> </w:t>
      </w:r>
      <w:r>
        <w:t>Est-il</w:t>
      </w:r>
      <w:r w:rsidRPr="002C4077">
        <w:t xml:space="preserve"> </w:t>
      </w:r>
      <w:r>
        <w:t>impossible</w:t>
      </w:r>
      <w:r w:rsidRPr="002C4077">
        <w:t xml:space="preserve"> </w:t>
      </w:r>
      <w:r>
        <w:t>qu’elle</w:t>
      </w:r>
      <w:r w:rsidRPr="002C4077">
        <w:t xml:space="preserve"> </w:t>
      </w:r>
      <w:r>
        <w:t>soit</w:t>
      </w:r>
      <w:r w:rsidRPr="002C4077">
        <w:t xml:space="preserve"> </w:t>
      </w:r>
      <w:r>
        <w:t>elle-même</w:t>
      </w:r>
      <w:r w:rsidRPr="002C4077">
        <w:t xml:space="preserve"> </w:t>
      </w:r>
      <w:r>
        <w:t>soumise</w:t>
      </w:r>
      <w:r w:rsidRPr="002C4077">
        <w:t xml:space="preserve"> </w:t>
      </w:r>
      <w:r>
        <w:t>à</w:t>
      </w:r>
      <w:r w:rsidRPr="002C4077">
        <w:t xml:space="preserve"> </w:t>
      </w:r>
      <w:r>
        <w:t>une</w:t>
      </w:r>
      <w:r w:rsidRPr="002C4077">
        <w:t xml:space="preserve"> </w:t>
      </w:r>
      <w:r>
        <w:t>révision</w:t>
      </w:r>
      <w:r w:rsidRPr="002C4077">
        <w:t xml:space="preserve"> </w:t>
      </w:r>
      <w:r>
        <w:t>avant</w:t>
      </w:r>
      <w:r w:rsidRPr="002C4077">
        <w:t xml:space="preserve"> </w:t>
      </w:r>
      <w:r>
        <w:t>qu’elle</w:t>
      </w:r>
      <w:r w:rsidRPr="002C4077">
        <w:t xml:space="preserve"> </w:t>
      </w:r>
      <w:r>
        <w:t>ne</w:t>
      </w:r>
      <w:r w:rsidRPr="002C4077">
        <w:t xml:space="preserve"> </w:t>
      </w:r>
      <w:r>
        <w:t>devienne</w:t>
      </w:r>
      <w:r w:rsidRPr="002C4077">
        <w:t xml:space="preserve"> </w:t>
      </w:r>
      <w:r>
        <w:t>d’un</w:t>
      </w:r>
      <w:r w:rsidRPr="002C4077">
        <w:t xml:space="preserve"> </w:t>
      </w:r>
      <w:r>
        <w:t>usage</w:t>
      </w:r>
      <w:r w:rsidRPr="002C4077">
        <w:t xml:space="preserve"> </w:t>
      </w:r>
      <w:r>
        <w:t>universel,</w:t>
      </w:r>
      <w:r w:rsidRPr="002C4077">
        <w:t xml:space="preserve"> </w:t>
      </w:r>
      <w:r>
        <w:t>ou</w:t>
      </w:r>
      <w:r w:rsidRPr="002C4077">
        <w:t xml:space="preserve"> </w:t>
      </w:r>
      <w:r w:rsidR="00425C50">
        <w:t>est</w:t>
      </w:r>
      <w:r>
        <w:t>-elle</w:t>
      </w:r>
      <w:r w:rsidRPr="002C4077">
        <w:t xml:space="preserve"> </w:t>
      </w:r>
      <w:r>
        <w:t>investie</w:t>
      </w:r>
      <w:r w:rsidRPr="002C4077">
        <w:t xml:space="preserve"> </w:t>
      </w:r>
      <w:r>
        <w:t>de</w:t>
      </w:r>
      <w:r w:rsidRPr="002C4077">
        <w:t xml:space="preserve"> </w:t>
      </w:r>
      <w:r>
        <w:t>quelque</w:t>
      </w:r>
      <w:r w:rsidRPr="002C4077">
        <w:t xml:space="preserve"> </w:t>
      </w:r>
      <w:r>
        <w:t>autorité</w:t>
      </w:r>
      <w:r w:rsidR="00B91AF7">
        <w:rPr>
          <w:rStyle w:val="Appelnotedebasdep"/>
        </w:rPr>
        <w:footnoteReference w:id="686"/>
      </w:r>
      <w:r w:rsidR="00B546AF">
        <w:t> ? »</w:t>
      </w:r>
      <w:r w:rsidRPr="002C4077">
        <w:t xml:space="preserve"> </w:t>
      </w:r>
    </w:p>
    <w:p w:rsidR="000A7AAB" w:rsidRDefault="000A7AAB" w:rsidP="000A7AAB">
      <w:r>
        <w:t>Oui,</w:t>
      </w:r>
      <w:r w:rsidRPr="002C4077">
        <w:t xml:space="preserve"> </w:t>
      </w:r>
      <w:r>
        <w:t>nous</w:t>
      </w:r>
      <w:r w:rsidRPr="002C4077">
        <w:t xml:space="preserve"> </w:t>
      </w:r>
      <w:r>
        <w:t>le</w:t>
      </w:r>
      <w:r w:rsidRPr="002C4077">
        <w:t xml:space="preserve"> </w:t>
      </w:r>
      <w:r>
        <w:t>demandons</w:t>
      </w:r>
      <w:r w:rsidRPr="002C4077">
        <w:t xml:space="preserve"> </w:t>
      </w:r>
      <w:r>
        <w:t>une</w:t>
      </w:r>
      <w:r w:rsidRPr="002C4077">
        <w:t xml:space="preserve"> </w:t>
      </w:r>
      <w:r>
        <w:t>dernière</w:t>
      </w:r>
      <w:r w:rsidRPr="002C4077">
        <w:t xml:space="preserve"> </w:t>
      </w:r>
      <w:r>
        <w:t>fois,</w:t>
      </w:r>
      <w:r w:rsidRPr="002C4077">
        <w:t xml:space="preserve"> </w:t>
      </w:r>
      <w:r w:rsidR="00425C50">
        <w:rPr>
          <w:rStyle w:val="italicus"/>
        </w:rPr>
        <w:t>est</w:t>
      </w:r>
      <w:r w:rsidRPr="000A34B5">
        <w:rPr>
          <w:rStyle w:val="italicus"/>
        </w:rPr>
        <w:t>-elle</w:t>
      </w:r>
      <w:r w:rsidRPr="002C4077">
        <w:t xml:space="preserve"> </w:t>
      </w:r>
      <w:r w:rsidRPr="000A34B5">
        <w:rPr>
          <w:rStyle w:val="italicus"/>
        </w:rPr>
        <w:t>investie</w:t>
      </w:r>
      <w:r w:rsidRPr="002C4077">
        <w:t xml:space="preserve"> </w:t>
      </w:r>
      <w:r w:rsidRPr="000A34B5">
        <w:rPr>
          <w:rStyle w:val="italicus"/>
        </w:rPr>
        <w:t>de</w:t>
      </w:r>
      <w:r w:rsidRPr="002C4077">
        <w:t xml:space="preserve"> </w:t>
      </w:r>
      <w:r w:rsidRPr="000A34B5">
        <w:rPr>
          <w:rStyle w:val="italicus"/>
        </w:rPr>
        <w:t>quelque</w:t>
      </w:r>
      <w:bookmarkStart w:id="504" w:name="z_Revision_o7"/>
      <w:bookmarkEnd w:id="504"/>
      <w:r w:rsidRPr="002C4077">
        <w:t xml:space="preserve"> </w:t>
      </w:r>
      <w:r w:rsidRPr="000A34B5">
        <w:rPr>
          <w:rStyle w:val="italicus"/>
        </w:rPr>
        <w:t>autorité</w:t>
      </w:r>
      <w:r w:rsidR="00B546AF">
        <w:rPr>
          <w:rStyle w:val="italicus"/>
        </w:rPr>
        <w:t> </w:t>
      </w:r>
      <w:r w:rsidR="00B546AF" w:rsidRPr="000A34B5">
        <w:rPr>
          <w:rStyle w:val="italicus"/>
        </w:rPr>
        <w:t>?</w:t>
      </w:r>
      <w:r w:rsidRPr="002C4077">
        <w:t xml:space="preserve"> </w:t>
      </w:r>
    </w:p>
    <w:p w:rsidR="000A7AAB" w:rsidRPr="001F5257" w:rsidRDefault="000A7AAB" w:rsidP="000A7AAB">
      <w:r>
        <w:t>Les</w:t>
      </w:r>
      <w:r w:rsidRPr="002C4077">
        <w:t xml:space="preserve"> </w:t>
      </w:r>
      <w:r>
        <w:t>faits</w:t>
      </w:r>
      <w:r w:rsidRPr="002C4077">
        <w:t xml:space="preserve"> </w:t>
      </w:r>
      <w:r>
        <w:t>signalés</w:t>
      </w:r>
      <w:r w:rsidRPr="002C4077">
        <w:t xml:space="preserve"> </w:t>
      </w:r>
      <w:r>
        <w:t>au</w:t>
      </w:r>
      <w:r w:rsidRPr="002C4077">
        <w:t xml:space="preserve"> </w:t>
      </w:r>
      <w:r>
        <w:t>cours</w:t>
      </w:r>
      <w:r w:rsidRPr="002C4077">
        <w:t xml:space="preserve"> </w:t>
      </w:r>
      <w:r>
        <w:t>de</w:t>
      </w:r>
      <w:r w:rsidRPr="002C4077">
        <w:t xml:space="preserve"> </w:t>
      </w:r>
      <w:r>
        <w:t>cette</w:t>
      </w:r>
      <w:r w:rsidRPr="002C4077">
        <w:t xml:space="preserve"> </w:t>
      </w:r>
      <w:r>
        <w:t>étude</w:t>
      </w:r>
      <w:r w:rsidRPr="002C4077">
        <w:t xml:space="preserve"> </w:t>
      </w:r>
      <w:r>
        <w:t>ont</w:t>
      </w:r>
      <w:r w:rsidRPr="002C4077">
        <w:t xml:space="preserve"> </w:t>
      </w:r>
      <w:r>
        <w:t>amplement</w:t>
      </w:r>
      <w:r w:rsidRPr="002C4077">
        <w:t xml:space="preserve"> </w:t>
      </w:r>
      <w:r>
        <w:t>répondu.</w:t>
      </w:r>
      <w:r w:rsidRPr="002C4077">
        <w:t xml:space="preserve"> </w:t>
      </w:r>
      <w:r>
        <w:t>S’il</w:t>
      </w:r>
      <w:r w:rsidRPr="002C4077">
        <w:t xml:space="preserve"> </w:t>
      </w:r>
      <w:r w:rsidR="00425C50">
        <w:t>est</w:t>
      </w:r>
      <w:r w:rsidRPr="002C4077">
        <w:t xml:space="preserve"> </w:t>
      </w:r>
      <w:r>
        <w:t>vrai</w:t>
      </w:r>
      <w:r w:rsidRPr="002C4077">
        <w:t xml:space="preserve"> </w:t>
      </w:r>
      <w:r>
        <w:t>qu’en</w:t>
      </w:r>
      <w:r w:rsidRPr="002C4077">
        <w:t xml:space="preserve"> </w:t>
      </w:r>
      <w:r>
        <w:t>bien</w:t>
      </w:r>
      <w:r w:rsidRPr="002C4077">
        <w:t xml:space="preserve"> </w:t>
      </w:r>
      <w:r>
        <w:t>des</w:t>
      </w:r>
      <w:r w:rsidRPr="002C4077">
        <w:t xml:space="preserve"> </w:t>
      </w:r>
      <w:r>
        <w:t>points</w:t>
      </w:r>
      <w:r w:rsidRPr="002C4077">
        <w:t xml:space="preserve"> </w:t>
      </w:r>
      <w:r>
        <w:t>la</w:t>
      </w:r>
      <w:r w:rsidRPr="002C4077">
        <w:t xml:space="preserve"> </w:t>
      </w:r>
      <w:r>
        <w:t>version</w:t>
      </w:r>
      <w:r w:rsidRPr="002C4077">
        <w:t xml:space="preserve"> </w:t>
      </w:r>
      <w:r>
        <w:t>révisée</w:t>
      </w:r>
      <w:r w:rsidRPr="002C4077">
        <w:t xml:space="preserve"> </w:t>
      </w:r>
      <w:r>
        <w:t>a</w:t>
      </w:r>
      <w:r w:rsidRPr="002C4077">
        <w:t xml:space="preserve"> </w:t>
      </w:r>
      <w:r>
        <w:t>notablement</w:t>
      </w:r>
      <w:r w:rsidRPr="002C4077">
        <w:t xml:space="preserve"> </w:t>
      </w:r>
      <w:r>
        <w:t>amélioré</w:t>
      </w:r>
      <w:r w:rsidRPr="002C4077">
        <w:t xml:space="preserve"> </w:t>
      </w:r>
      <w:r>
        <w:t>la</w:t>
      </w:r>
      <w:r w:rsidRPr="002C4077">
        <w:t xml:space="preserve"> </w:t>
      </w:r>
      <w:r>
        <w:t>traduction</w:t>
      </w:r>
      <w:r w:rsidRPr="002C4077">
        <w:t xml:space="preserve"> </w:t>
      </w:r>
      <w:r>
        <w:t>autorisée</w:t>
      </w:r>
      <w:r w:rsidR="00B91AF7">
        <w:rPr>
          <w:rStyle w:val="Appelnotedebasdep"/>
        </w:rPr>
        <w:footnoteReference w:id="687"/>
      </w:r>
      <w:r>
        <w:t>,</w:t>
      </w:r>
      <w:r w:rsidRPr="002C4077">
        <w:t xml:space="preserve"> </w:t>
      </w:r>
      <w:r>
        <w:t>il</w:t>
      </w:r>
      <w:r w:rsidRPr="002C4077">
        <w:t xml:space="preserve"> </w:t>
      </w:r>
      <w:r>
        <w:t>n’est</w:t>
      </w:r>
      <w:r w:rsidRPr="002C4077">
        <w:t xml:space="preserve"> </w:t>
      </w:r>
      <w:r>
        <w:t>pas</w:t>
      </w:r>
      <w:r w:rsidRPr="002C4077">
        <w:t xml:space="preserve"> </w:t>
      </w:r>
      <w:r>
        <w:t>moins</w:t>
      </w:r>
      <w:r w:rsidRPr="002C4077">
        <w:t xml:space="preserve"> </w:t>
      </w:r>
      <w:r>
        <w:t>vrai</w:t>
      </w:r>
      <w:r w:rsidRPr="002C4077">
        <w:t xml:space="preserve"> </w:t>
      </w:r>
      <w:r>
        <w:t>qu’elle</w:t>
      </w:r>
      <w:r w:rsidRPr="002C4077">
        <w:t xml:space="preserve"> </w:t>
      </w:r>
      <w:r>
        <w:t>demeure,</w:t>
      </w:r>
      <w:r w:rsidRPr="002C4077">
        <w:t xml:space="preserve"> </w:t>
      </w:r>
      <w:r>
        <w:t>après</w:t>
      </w:r>
      <w:r w:rsidRPr="002C4077">
        <w:t xml:space="preserve"> </w:t>
      </w:r>
      <w:r>
        <w:t>tout,</w:t>
      </w:r>
      <w:r w:rsidRPr="002C4077">
        <w:t xml:space="preserve"> </w:t>
      </w:r>
      <w:r>
        <w:t>une</w:t>
      </w:r>
      <w:r w:rsidRPr="002C4077">
        <w:t xml:space="preserve"> </w:t>
      </w:r>
      <w:r>
        <w:t>œuvre</w:t>
      </w:r>
      <w:r w:rsidRPr="002C4077">
        <w:t xml:space="preserve"> </w:t>
      </w:r>
      <w:r>
        <w:t>humaine,</w:t>
      </w:r>
      <w:r w:rsidRPr="002C4077">
        <w:t xml:space="preserve"> </w:t>
      </w:r>
      <w:r>
        <w:t>dépourvue</w:t>
      </w:r>
      <w:r w:rsidRPr="002C4077">
        <w:t xml:space="preserve"> </w:t>
      </w:r>
      <w:r>
        <w:t>de</w:t>
      </w:r>
      <w:r w:rsidRPr="002C4077">
        <w:t xml:space="preserve"> </w:t>
      </w:r>
      <w:r>
        <w:t>tout</w:t>
      </w:r>
      <w:r w:rsidRPr="002C4077">
        <w:t xml:space="preserve"> </w:t>
      </w:r>
      <w:r>
        <w:t>caractère</w:t>
      </w:r>
      <w:r w:rsidRPr="002C4077">
        <w:t xml:space="preserve"> </w:t>
      </w:r>
      <w:r>
        <w:t>ecclésiastique</w:t>
      </w:r>
      <w:r w:rsidRPr="002C4077">
        <w:t xml:space="preserve"> </w:t>
      </w:r>
      <w:r>
        <w:t>et</w:t>
      </w:r>
      <w:r w:rsidRPr="002C4077">
        <w:t xml:space="preserve"> </w:t>
      </w:r>
      <w:r>
        <w:t>spirituel.</w:t>
      </w:r>
      <w:r w:rsidR="00C45B47">
        <w:t xml:space="preserve"> {</w:t>
      </w:r>
      <w:r w:rsidR="001F5257">
        <w:t>203</w:t>
      </w:r>
      <w:bookmarkStart w:id="505" w:name="p203"/>
      <w:bookmarkEnd w:id="505"/>
      <w:r w:rsidR="001F5257">
        <w:t xml:space="preserve">} </w:t>
      </w:r>
      <w:r>
        <w:t>Les</w:t>
      </w:r>
      <w:r w:rsidRPr="002C4077">
        <w:t xml:space="preserve"> </w:t>
      </w:r>
      <w:r>
        <w:t>Anglais</w:t>
      </w:r>
      <w:r w:rsidRPr="002C4077">
        <w:t xml:space="preserve"> </w:t>
      </w:r>
      <w:r>
        <w:t>n’ont</w:t>
      </w:r>
      <w:r w:rsidRPr="002C4077">
        <w:t xml:space="preserve"> </w:t>
      </w:r>
      <w:r>
        <w:t>aucune</w:t>
      </w:r>
      <w:r w:rsidRPr="002C4077">
        <w:t xml:space="preserve"> </w:t>
      </w:r>
      <w:r>
        <w:t>garantie</w:t>
      </w:r>
      <w:r w:rsidRPr="002C4077">
        <w:t xml:space="preserve"> </w:t>
      </w:r>
      <w:r>
        <w:t>officielle</w:t>
      </w:r>
      <w:r w:rsidRPr="002C4077">
        <w:t xml:space="preserve"> </w:t>
      </w:r>
      <w:r>
        <w:t>et</w:t>
      </w:r>
      <w:r w:rsidRPr="002C4077">
        <w:t xml:space="preserve"> </w:t>
      </w:r>
      <w:r>
        <w:t>supérieure</w:t>
      </w:r>
      <w:r w:rsidRPr="002C4077">
        <w:t xml:space="preserve"> </w:t>
      </w:r>
      <w:r>
        <w:t>qu’elle</w:t>
      </w:r>
      <w:r w:rsidRPr="002C4077">
        <w:t xml:space="preserve"> </w:t>
      </w:r>
      <w:r>
        <w:t>représente</w:t>
      </w:r>
      <w:r w:rsidRPr="002C4077">
        <w:t xml:space="preserve"> </w:t>
      </w:r>
      <w:r>
        <w:t>adéquatement,</w:t>
      </w:r>
      <w:r w:rsidRPr="002C4077">
        <w:t xml:space="preserve"> </w:t>
      </w:r>
      <w:r>
        <w:t>sûrement,</w:t>
      </w:r>
      <w:r w:rsidRPr="002C4077">
        <w:t xml:space="preserve"> </w:t>
      </w:r>
      <w:r>
        <w:t>la</w:t>
      </w:r>
      <w:r w:rsidRPr="002C4077">
        <w:t xml:space="preserve"> </w:t>
      </w:r>
      <w:r>
        <w:t>parole</w:t>
      </w:r>
      <w:r w:rsidRPr="002C4077">
        <w:t xml:space="preserve"> </w:t>
      </w:r>
      <w:r>
        <w:t>de</w:t>
      </w:r>
      <w:bookmarkStart w:id="506" w:name="z_TestamentNouveau_o3"/>
      <w:bookmarkEnd w:id="506"/>
      <w:r w:rsidRPr="002C4077">
        <w:t xml:space="preserve"> </w:t>
      </w:r>
      <w:r>
        <w:t>Dieu</w:t>
      </w:r>
      <w:r w:rsidR="00B91AF7">
        <w:rPr>
          <w:rStyle w:val="Appelnotedebasdep"/>
        </w:rPr>
        <w:footnoteReference w:id="688"/>
      </w:r>
      <w:r>
        <w:t>.</w:t>
      </w:r>
      <w:r w:rsidR="00C45B47">
        <w:t xml:space="preserve"> {</w:t>
      </w:r>
      <w:r w:rsidR="001F5257">
        <w:t>204</w:t>
      </w:r>
      <w:bookmarkStart w:id="507" w:name="p204"/>
      <w:bookmarkEnd w:id="507"/>
      <w:r w:rsidR="001F5257">
        <w:t>}</w:t>
      </w:r>
      <w:r w:rsidR="00C45B47">
        <w:t xml:space="preserve"> {</w:t>
      </w:r>
      <w:r w:rsidR="001F5257">
        <w:t>205</w:t>
      </w:r>
      <w:bookmarkStart w:id="508" w:name="p205"/>
      <w:bookmarkEnd w:id="508"/>
      <w:r w:rsidR="001F5257">
        <w:t xml:space="preserve">} </w:t>
      </w:r>
    </w:p>
    <w:p w:rsidR="000A7AAB" w:rsidRDefault="000A7AAB" w:rsidP="000A7AAB"/>
    <w:p w:rsidR="000A7AAB" w:rsidRDefault="000A7AAB" w:rsidP="00BA21A1">
      <w:pPr>
        <w:pStyle w:val="Titre1"/>
      </w:pPr>
      <w:bookmarkStart w:id="509" w:name="_Toc43882015"/>
      <w:r>
        <w:t>VII.</w:t>
      </w:r>
      <w:r w:rsidR="002A6EDB">
        <w:br/>
      </w:r>
      <w:r>
        <w:t>NAZARETH.</w:t>
      </w:r>
      <w:bookmarkStart w:id="510" w:name="a07"/>
      <w:bookmarkEnd w:id="509"/>
      <w:bookmarkEnd w:id="510"/>
      <w:r w:rsidRPr="002C4077">
        <w:t xml:space="preserve"> </w:t>
      </w:r>
    </w:p>
    <w:p w:rsidR="000A7AAB" w:rsidRDefault="000A7AAB" w:rsidP="000A7AAB">
      <w:r>
        <w:t>Après</w:t>
      </w:r>
      <w:bookmarkStart w:id="511" w:name="z_LucNazareth_o1"/>
      <w:bookmarkEnd w:id="511"/>
      <w:r w:rsidRPr="002C4077">
        <w:t xml:space="preserve"> </w:t>
      </w:r>
      <w:r>
        <w:t>que</w:t>
      </w:r>
      <w:bookmarkStart w:id="512" w:name="z_Nazareth_o1"/>
      <w:bookmarkEnd w:id="512"/>
      <w:r w:rsidRPr="002C4077">
        <w:t xml:space="preserve"> </w:t>
      </w:r>
      <w:r>
        <w:t>l’ange</w:t>
      </w:r>
      <w:bookmarkStart w:id="513" w:name="z_Nazareth_o2"/>
      <w:bookmarkEnd w:id="513"/>
      <w:r w:rsidRPr="002C4077">
        <w:t xml:space="preserve"> </w:t>
      </w:r>
      <w:r>
        <w:t>leur</w:t>
      </w:r>
      <w:r w:rsidRPr="002C4077">
        <w:t xml:space="preserve"> </w:t>
      </w:r>
      <w:r>
        <w:t>eut</w:t>
      </w:r>
      <w:r w:rsidRPr="002C4077">
        <w:t xml:space="preserve"> </w:t>
      </w:r>
      <w:r>
        <w:t>annoncé</w:t>
      </w:r>
      <w:r w:rsidRPr="002C4077">
        <w:t xml:space="preserve"> </w:t>
      </w:r>
      <w:r>
        <w:t>la</w:t>
      </w:r>
      <w:r w:rsidRPr="002C4077">
        <w:t xml:space="preserve"> </w:t>
      </w:r>
      <w:r>
        <w:t>naissance</w:t>
      </w:r>
      <w:r w:rsidRPr="002C4077">
        <w:t xml:space="preserve"> </w:t>
      </w:r>
      <w:r>
        <w:t>de</w:t>
      </w:r>
      <w:r w:rsidRPr="002C4077">
        <w:t xml:space="preserve"> </w:t>
      </w:r>
      <w:r>
        <w:t>l’Enfant-Dieu,</w:t>
      </w:r>
      <w:r w:rsidRPr="002C4077">
        <w:t xml:space="preserve"> </w:t>
      </w:r>
      <w:r>
        <w:t>les</w:t>
      </w:r>
      <w:r w:rsidRPr="002C4077">
        <w:t xml:space="preserve"> </w:t>
      </w:r>
      <w:r>
        <w:t>bergers</w:t>
      </w:r>
      <w:r w:rsidRPr="002C4077">
        <w:t xml:space="preserve"> </w:t>
      </w:r>
      <w:r>
        <w:t>se</w:t>
      </w:r>
      <w:r w:rsidRPr="002C4077">
        <w:t xml:space="preserve"> </w:t>
      </w:r>
      <w:r>
        <w:t>dirent</w:t>
      </w:r>
      <w:r w:rsidRPr="002C4077">
        <w:t xml:space="preserve"> </w:t>
      </w:r>
      <w:r>
        <w:t>l’un</w:t>
      </w:r>
      <w:r w:rsidRPr="002C4077">
        <w:t xml:space="preserve"> </w:t>
      </w:r>
      <w:r>
        <w:t>à</w:t>
      </w:r>
      <w:r w:rsidRPr="002C4077">
        <w:t xml:space="preserve"> </w:t>
      </w:r>
      <w:r>
        <w:t>l’autre</w:t>
      </w:r>
      <w:r w:rsidR="00B546AF">
        <w:t> :</w:t>
      </w:r>
      <w:r w:rsidRPr="002C4077">
        <w:t xml:space="preserve"> </w:t>
      </w:r>
      <w:r w:rsidR="00B546AF">
        <w:t>« </w:t>
      </w:r>
      <w:r>
        <w:t>Allons</w:t>
      </w:r>
      <w:r w:rsidRPr="002C4077">
        <w:t xml:space="preserve"> </w:t>
      </w:r>
      <w:r>
        <w:t>à</w:t>
      </w:r>
      <w:r w:rsidRPr="002C4077">
        <w:t xml:space="preserve"> </w:t>
      </w:r>
      <w:r>
        <w:t>Bethléem,</w:t>
      </w:r>
      <w:r w:rsidRPr="002C4077">
        <w:t xml:space="preserve"> </w:t>
      </w:r>
      <w:r>
        <w:t>pour</w:t>
      </w:r>
      <w:r w:rsidRPr="002C4077">
        <w:t xml:space="preserve"> </w:t>
      </w:r>
      <w:r>
        <w:t>contempler</w:t>
      </w:r>
      <w:r w:rsidRPr="002C4077">
        <w:t xml:space="preserve"> </w:t>
      </w:r>
      <w:r>
        <w:t>le</w:t>
      </w:r>
      <w:r w:rsidRPr="002C4077">
        <w:t xml:space="preserve"> </w:t>
      </w:r>
      <w:r>
        <w:t>mystère</w:t>
      </w:r>
      <w:r w:rsidRPr="002C4077">
        <w:t xml:space="preserve"> </w:t>
      </w:r>
      <w:r>
        <w:t>qui</w:t>
      </w:r>
      <w:r w:rsidRPr="002C4077">
        <w:t xml:space="preserve"> </w:t>
      </w:r>
      <w:r>
        <w:t>s’y</w:t>
      </w:r>
      <w:r w:rsidRPr="002C4077">
        <w:t xml:space="preserve"> </w:t>
      </w:r>
      <w:r w:rsidR="00425C50">
        <w:t>est</w:t>
      </w:r>
      <w:r w:rsidRPr="002C4077">
        <w:t xml:space="preserve"> </w:t>
      </w:r>
      <w:r>
        <w:t>accompli</w:t>
      </w:r>
      <w:r w:rsidR="00B91AF7">
        <w:rPr>
          <w:rStyle w:val="Appelnotedebasdep"/>
        </w:rPr>
        <w:footnoteReference w:id="689"/>
      </w:r>
      <w:r w:rsidR="00B546AF">
        <w:t> »</w:t>
      </w:r>
      <w:r>
        <w:t>.</w:t>
      </w:r>
      <w:r w:rsidRPr="002C4077">
        <w:t xml:space="preserve"> </w:t>
      </w:r>
      <w:r>
        <w:t>Le</w:t>
      </w:r>
      <w:r w:rsidRPr="002C4077">
        <w:t xml:space="preserve"> </w:t>
      </w:r>
      <w:r>
        <w:t>prochain</w:t>
      </w:r>
      <w:r w:rsidRPr="002C4077">
        <w:t xml:space="preserve"> </w:t>
      </w:r>
      <w:r>
        <w:t>retour</w:t>
      </w:r>
      <w:r w:rsidRPr="002C4077">
        <w:t xml:space="preserve"> </w:t>
      </w:r>
      <w:r>
        <w:t>du</w:t>
      </w:r>
      <w:r w:rsidRPr="002C4077">
        <w:t xml:space="preserve"> </w:t>
      </w:r>
      <w:r>
        <w:t>jour</w:t>
      </w:r>
      <w:r w:rsidRPr="002C4077">
        <w:t xml:space="preserve"> </w:t>
      </w:r>
      <w:r>
        <w:t>auquel</w:t>
      </w:r>
      <w:r w:rsidRPr="002C4077">
        <w:t xml:space="preserve"> </w:t>
      </w:r>
      <w:r>
        <w:t>nous</w:t>
      </w:r>
      <w:r w:rsidRPr="002C4077">
        <w:t xml:space="preserve"> </w:t>
      </w:r>
      <w:r>
        <w:t>fêtons</w:t>
      </w:r>
      <w:r w:rsidRPr="002C4077">
        <w:t xml:space="preserve"> </w:t>
      </w:r>
      <w:r>
        <w:t>l’Incarnation</w:t>
      </w:r>
      <w:r w:rsidRPr="002C4077">
        <w:t xml:space="preserve"> </w:t>
      </w:r>
      <w:r>
        <w:t>du</w:t>
      </w:r>
      <w:r w:rsidRPr="002C4077">
        <w:t xml:space="preserve"> </w:t>
      </w:r>
      <w:r w:rsidR="007B3C26">
        <w:t>Ve</w:t>
      </w:r>
      <w:r>
        <w:t>rbe</w:t>
      </w:r>
      <w:r w:rsidRPr="002C4077">
        <w:t xml:space="preserve"> </w:t>
      </w:r>
      <w:r>
        <w:t>n’est-il</w:t>
      </w:r>
      <w:r w:rsidRPr="002C4077">
        <w:t xml:space="preserve"> </w:t>
      </w:r>
      <w:r>
        <w:t>pas</w:t>
      </w:r>
      <w:r w:rsidRPr="002C4077">
        <w:t xml:space="preserve"> </w:t>
      </w:r>
      <w:r>
        <w:t>une</w:t>
      </w:r>
      <w:r w:rsidRPr="002C4077">
        <w:t xml:space="preserve"> </w:t>
      </w:r>
      <w:r>
        <w:t>excellente</w:t>
      </w:r>
      <w:r w:rsidRPr="002C4077">
        <w:t xml:space="preserve"> </w:t>
      </w:r>
      <w:r>
        <w:t>raison</w:t>
      </w:r>
      <w:r w:rsidRPr="002C4077">
        <w:t xml:space="preserve"> </w:t>
      </w:r>
      <w:r>
        <w:t>pour</w:t>
      </w:r>
      <w:r w:rsidRPr="002C4077">
        <w:t xml:space="preserve"> </w:t>
      </w:r>
      <w:r>
        <w:t>que</w:t>
      </w:r>
      <w:r w:rsidRPr="002C4077">
        <w:t xml:space="preserve"> </w:t>
      </w:r>
      <w:r>
        <w:t>nous</w:t>
      </w:r>
      <w:r w:rsidRPr="002C4077">
        <w:t xml:space="preserve"> </w:t>
      </w:r>
      <w:r>
        <w:t>nous</w:t>
      </w:r>
      <w:r w:rsidRPr="002C4077">
        <w:t xml:space="preserve"> </w:t>
      </w:r>
      <w:r>
        <w:t>disions</w:t>
      </w:r>
      <w:r w:rsidRPr="002C4077">
        <w:t xml:space="preserve"> </w:t>
      </w:r>
      <w:r>
        <w:t>aussi</w:t>
      </w:r>
      <w:r w:rsidR="00B546AF">
        <w:t> :</w:t>
      </w:r>
      <w:r w:rsidRPr="002C4077">
        <w:t xml:space="preserve"> </w:t>
      </w:r>
      <w:r w:rsidR="00B546AF">
        <w:t>« </w:t>
      </w:r>
      <w:r>
        <w:t>Allons</w:t>
      </w:r>
      <w:r w:rsidRPr="002C4077">
        <w:t xml:space="preserve"> </w:t>
      </w:r>
      <w:r>
        <w:t>à</w:t>
      </w:r>
      <w:r w:rsidRPr="002C4077">
        <w:t xml:space="preserve"> </w:t>
      </w:r>
      <w:r>
        <w:t>Nazareth</w:t>
      </w:r>
      <w:r w:rsidR="00B546AF">
        <w:t> »</w:t>
      </w:r>
      <w:r>
        <w:t>,</w:t>
      </w:r>
      <w:r w:rsidRPr="002C4077">
        <w:t xml:space="preserve"> </w:t>
      </w:r>
      <w:r>
        <w:t>afin</w:t>
      </w:r>
      <w:r w:rsidRPr="002C4077">
        <w:t xml:space="preserve"> </w:t>
      </w:r>
      <w:r>
        <w:t>d’y</w:t>
      </w:r>
      <w:r w:rsidRPr="002C4077">
        <w:t xml:space="preserve"> </w:t>
      </w:r>
      <w:r>
        <w:t>admirer</w:t>
      </w:r>
      <w:r w:rsidRPr="002C4077">
        <w:t xml:space="preserve"> </w:t>
      </w:r>
      <w:r>
        <w:t>des</w:t>
      </w:r>
      <w:r w:rsidRPr="002C4077">
        <w:t xml:space="preserve"> </w:t>
      </w:r>
      <w:r>
        <w:t>merveilles</w:t>
      </w:r>
      <w:r w:rsidRPr="002C4077">
        <w:t xml:space="preserve"> </w:t>
      </w:r>
      <w:r>
        <w:t>non</w:t>
      </w:r>
      <w:r w:rsidRPr="002C4077">
        <w:t xml:space="preserve"> </w:t>
      </w:r>
      <w:r>
        <w:t>moins</w:t>
      </w:r>
      <w:r w:rsidRPr="002C4077">
        <w:t xml:space="preserve"> </w:t>
      </w:r>
      <w:r>
        <w:t>émouvantes</w:t>
      </w:r>
      <w:r w:rsidRPr="002C4077">
        <w:t xml:space="preserve"> </w:t>
      </w:r>
      <w:r>
        <w:t>que</w:t>
      </w:r>
      <w:r w:rsidRPr="002C4077">
        <w:t xml:space="preserve"> </w:t>
      </w:r>
      <w:r>
        <w:t>celles</w:t>
      </w:r>
      <w:r w:rsidRPr="002C4077">
        <w:t xml:space="preserve"> </w:t>
      </w:r>
      <w:r>
        <w:t>de</w:t>
      </w:r>
      <w:r w:rsidRPr="002C4077">
        <w:t xml:space="preserve"> </w:t>
      </w:r>
      <w:r>
        <w:t>Bethléem</w:t>
      </w:r>
      <w:r w:rsidR="00B546AF">
        <w:t> ?</w:t>
      </w:r>
      <w:r w:rsidRPr="002C4077">
        <w:t xml:space="preserve"> </w:t>
      </w:r>
    </w:p>
    <w:p w:rsidR="000A7AAB" w:rsidRDefault="000A7AAB" w:rsidP="000A7AAB">
      <w:r>
        <w:t>Chemin</w:t>
      </w:r>
      <w:r w:rsidRPr="002C4077">
        <w:t xml:space="preserve"> </w:t>
      </w:r>
      <w:r>
        <w:t>faisant,</w:t>
      </w:r>
      <w:r w:rsidRPr="002C4077">
        <w:t xml:space="preserve"> </w:t>
      </w:r>
      <w:r>
        <w:t>cher</w:t>
      </w:r>
      <w:r w:rsidRPr="002C4077">
        <w:t xml:space="preserve"> </w:t>
      </w:r>
      <w:r>
        <w:t>lecteur,</w:t>
      </w:r>
      <w:r w:rsidRPr="002C4077">
        <w:t xml:space="preserve"> </w:t>
      </w:r>
      <w:r>
        <w:t>nous</w:t>
      </w:r>
      <w:r w:rsidRPr="002C4077">
        <w:t xml:space="preserve"> </w:t>
      </w:r>
      <w:r>
        <w:t>allons</w:t>
      </w:r>
      <w:r w:rsidRPr="002C4077">
        <w:t xml:space="preserve"> </w:t>
      </w:r>
      <w:r>
        <w:t>lire</w:t>
      </w:r>
      <w:r w:rsidRPr="002C4077">
        <w:t xml:space="preserve"> </w:t>
      </w:r>
      <w:r>
        <w:t>l’Évangile,</w:t>
      </w:r>
      <w:r w:rsidRPr="002C4077">
        <w:t xml:space="preserve"> </w:t>
      </w:r>
      <w:r>
        <w:t>en</w:t>
      </w:r>
      <w:r w:rsidRPr="002C4077">
        <w:t xml:space="preserve"> </w:t>
      </w:r>
      <w:r>
        <w:t>pieux</w:t>
      </w:r>
      <w:r w:rsidRPr="002C4077">
        <w:t xml:space="preserve"> </w:t>
      </w:r>
      <w:r>
        <w:t>pèlerins</w:t>
      </w:r>
      <w:r w:rsidRPr="002C4077">
        <w:t xml:space="preserve"> </w:t>
      </w:r>
      <w:r>
        <w:t>que</w:t>
      </w:r>
      <w:r w:rsidRPr="002C4077">
        <w:t xml:space="preserve"> </w:t>
      </w:r>
      <w:r>
        <w:t>nous</w:t>
      </w:r>
      <w:r w:rsidRPr="002C4077">
        <w:t xml:space="preserve"> </w:t>
      </w:r>
      <w:r>
        <w:t>sommes.</w:t>
      </w:r>
      <w:r w:rsidRPr="002C4077">
        <w:t xml:space="preserve"> </w:t>
      </w:r>
      <w:r>
        <w:t>Les</w:t>
      </w:r>
      <w:r w:rsidRPr="002C4077">
        <w:t xml:space="preserve"> </w:t>
      </w:r>
      <w:r>
        <w:t>pages</w:t>
      </w:r>
      <w:r w:rsidRPr="002C4077">
        <w:t xml:space="preserve"> </w:t>
      </w:r>
      <w:r>
        <w:t>sacrées</w:t>
      </w:r>
      <w:r w:rsidRPr="002C4077">
        <w:t xml:space="preserve"> </w:t>
      </w:r>
      <w:r>
        <w:t>nous</w:t>
      </w:r>
      <w:r w:rsidRPr="002C4077">
        <w:t xml:space="preserve"> </w:t>
      </w:r>
      <w:r>
        <w:t>rappelleront</w:t>
      </w:r>
      <w:r w:rsidRPr="002C4077">
        <w:t xml:space="preserve"> </w:t>
      </w:r>
      <w:r>
        <w:t>pourquoi</w:t>
      </w:r>
      <w:r w:rsidRPr="002C4077">
        <w:t xml:space="preserve"> </w:t>
      </w:r>
      <w:r>
        <w:t>l’humble</w:t>
      </w:r>
      <w:r w:rsidRPr="002C4077">
        <w:t xml:space="preserve"> </w:t>
      </w:r>
      <w:r>
        <w:t>bourgade</w:t>
      </w:r>
      <w:r w:rsidRPr="002C4077">
        <w:t xml:space="preserve"> </w:t>
      </w:r>
      <w:r>
        <w:t>doit</w:t>
      </w:r>
      <w:r w:rsidRPr="002C4077">
        <w:t xml:space="preserve"> </w:t>
      </w:r>
      <w:r>
        <w:t>nous</w:t>
      </w:r>
      <w:r w:rsidRPr="002C4077">
        <w:t xml:space="preserve"> </w:t>
      </w:r>
      <w:r>
        <w:t>être</w:t>
      </w:r>
      <w:r w:rsidRPr="002C4077">
        <w:t xml:space="preserve"> </w:t>
      </w:r>
      <w:r>
        <w:t>si</w:t>
      </w:r>
      <w:r w:rsidRPr="002C4077">
        <w:t xml:space="preserve"> </w:t>
      </w:r>
      <w:r>
        <w:t>chère</w:t>
      </w:r>
      <w:r w:rsidR="00B546AF">
        <w:t> ;</w:t>
      </w:r>
      <w:r w:rsidRPr="002C4077">
        <w:t xml:space="preserve"> </w:t>
      </w:r>
      <w:r>
        <w:t>elles</w:t>
      </w:r>
      <w:r w:rsidRPr="002C4077">
        <w:t xml:space="preserve"> </w:t>
      </w:r>
      <w:r>
        <w:t>prépareront</w:t>
      </w:r>
      <w:r w:rsidRPr="002C4077">
        <w:t xml:space="preserve"> </w:t>
      </w:r>
      <w:r>
        <w:t>nos</w:t>
      </w:r>
      <w:r w:rsidRPr="002C4077">
        <w:t xml:space="preserve"> </w:t>
      </w:r>
      <w:r>
        <w:t>cœurs</w:t>
      </w:r>
      <w:r w:rsidRPr="002C4077">
        <w:t xml:space="preserve"> </w:t>
      </w:r>
      <w:r>
        <w:t>aux</w:t>
      </w:r>
      <w:r w:rsidRPr="002C4077">
        <w:t xml:space="preserve"> </w:t>
      </w:r>
      <w:r>
        <w:t>douces</w:t>
      </w:r>
      <w:r w:rsidRPr="002C4077">
        <w:t xml:space="preserve"> </w:t>
      </w:r>
      <w:r>
        <w:t>émotions</w:t>
      </w:r>
      <w:r w:rsidRPr="002C4077">
        <w:t xml:space="preserve"> </w:t>
      </w:r>
      <w:r>
        <w:t>qui</w:t>
      </w:r>
      <w:r w:rsidRPr="002C4077">
        <w:t xml:space="preserve"> </w:t>
      </w:r>
      <w:r>
        <w:t>nous</w:t>
      </w:r>
      <w:r w:rsidRPr="002C4077">
        <w:t xml:space="preserve"> </w:t>
      </w:r>
      <w:r>
        <w:t>attendent</w:t>
      </w:r>
      <w:r w:rsidRPr="002C4077">
        <w:t xml:space="preserve"> </w:t>
      </w:r>
      <w:r>
        <w:t>là-bas.</w:t>
      </w:r>
      <w:r w:rsidRPr="002C4077">
        <w:t xml:space="preserve"> </w:t>
      </w:r>
    </w:p>
    <w:p w:rsidR="000A7AAB" w:rsidRDefault="002F7AFA" w:rsidP="00BA21A1">
      <w:pPr>
        <w:pStyle w:val="Titre2"/>
      </w:pPr>
      <w:bookmarkStart w:id="514" w:name="_Toc43882016"/>
      <w:r>
        <w:t>1</w:t>
      </w:r>
      <w:r w:rsidR="000A7AAB">
        <w:t>.</w:t>
      </w:r>
      <w:r w:rsidR="002A6EDB">
        <w:br/>
      </w:r>
      <w:r w:rsidR="000A7AAB">
        <w:t>Nazareth</w:t>
      </w:r>
      <w:r w:rsidR="000A7AAB" w:rsidRPr="002C4077">
        <w:t xml:space="preserve"> </w:t>
      </w:r>
      <w:r w:rsidR="000A7AAB">
        <w:t>et</w:t>
      </w:r>
      <w:r w:rsidR="000A7AAB" w:rsidRPr="002C4077">
        <w:t xml:space="preserve"> </w:t>
      </w:r>
      <w:r w:rsidR="000A7AAB">
        <w:t>l’Évangile.</w:t>
      </w:r>
      <w:bookmarkStart w:id="515" w:name="a0701"/>
      <w:bookmarkEnd w:id="514"/>
      <w:bookmarkEnd w:id="515"/>
      <w:r w:rsidR="000A7AAB" w:rsidRPr="002C4077">
        <w:t xml:space="preserve"> </w:t>
      </w:r>
    </w:p>
    <w:p w:rsidR="000A7AAB" w:rsidRDefault="00B546AF" w:rsidP="002F7AFA">
      <w:pPr>
        <w:pStyle w:val="locus"/>
      </w:pPr>
      <w:r>
        <w:t>« </w:t>
      </w:r>
      <w:r w:rsidR="000A7AAB">
        <w:t>Or,</w:t>
      </w:r>
      <w:r w:rsidR="000A7AAB" w:rsidRPr="002C4077">
        <w:t xml:space="preserve"> </w:t>
      </w:r>
      <w:r w:rsidR="000A7AAB">
        <w:t>au</w:t>
      </w:r>
      <w:r w:rsidR="000A7AAB" w:rsidRPr="002C4077">
        <w:t xml:space="preserve"> </w:t>
      </w:r>
      <w:r w:rsidR="000A7AAB">
        <w:t>sixième</w:t>
      </w:r>
      <w:r w:rsidR="000A7AAB" w:rsidRPr="002C4077">
        <w:t xml:space="preserve"> </w:t>
      </w:r>
      <w:r w:rsidR="000A7AAB">
        <w:t>mois,</w:t>
      </w:r>
      <w:r w:rsidR="000A7AAB" w:rsidRPr="002C4077">
        <w:t xml:space="preserve"> </w:t>
      </w:r>
      <w:r w:rsidR="000A7AAB">
        <w:t>l’ange</w:t>
      </w:r>
      <w:r w:rsidR="000A7AAB" w:rsidRPr="002C4077">
        <w:t xml:space="preserve"> </w:t>
      </w:r>
      <w:r w:rsidR="000A7AAB">
        <w:t>Gabriel</w:t>
      </w:r>
      <w:r w:rsidR="000A7AAB" w:rsidRPr="002C4077">
        <w:t xml:space="preserve"> </w:t>
      </w:r>
      <w:r w:rsidR="000A7AAB">
        <w:t>fut</w:t>
      </w:r>
      <w:r w:rsidR="000A7AAB" w:rsidRPr="002C4077">
        <w:t xml:space="preserve"> </w:t>
      </w:r>
      <w:r w:rsidR="000A7AAB">
        <w:t>envoyé</w:t>
      </w:r>
      <w:r w:rsidR="000A7AAB" w:rsidRPr="002C4077">
        <w:t xml:space="preserve"> </w:t>
      </w:r>
      <w:r w:rsidR="000A7AAB">
        <w:t>de</w:t>
      </w:r>
      <w:r w:rsidR="000A7AAB" w:rsidRPr="002C4077">
        <w:t xml:space="preserve"> </w:t>
      </w:r>
      <w:r w:rsidR="000A7AAB">
        <w:t>Dieu</w:t>
      </w:r>
      <w:r w:rsidR="000A7AAB" w:rsidRPr="002C4077">
        <w:t xml:space="preserve"> </w:t>
      </w:r>
      <w:r w:rsidR="000A7AAB">
        <w:t>dans</w:t>
      </w:r>
      <w:r w:rsidR="000A7AAB" w:rsidRPr="002C4077">
        <w:t xml:space="preserve"> </w:t>
      </w:r>
      <w:r w:rsidR="000A7AAB">
        <w:t>une</w:t>
      </w:r>
      <w:r w:rsidR="000A7AAB" w:rsidRPr="002C4077">
        <w:t xml:space="preserve"> </w:t>
      </w:r>
      <w:r w:rsidR="000A7AAB">
        <w:t>ville</w:t>
      </w:r>
      <w:r w:rsidR="000A7AAB" w:rsidRPr="002C4077">
        <w:t xml:space="preserve"> </w:t>
      </w:r>
      <w:r w:rsidR="000A7AAB">
        <w:t>de</w:t>
      </w:r>
      <w:r w:rsidR="000A7AAB" w:rsidRPr="002C4077">
        <w:t xml:space="preserve"> </w:t>
      </w:r>
      <w:r w:rsidR="000A7AAB">
        <w:t>Galilée,</w:t>
      </w:r>
      <w:r w:rsidR="000A7AAB" w:rsidRPr="002C4077">
        <w:t xml:space="preserve"> </w:t>
      </w:r>
      <w:r w:rsidR="000A7AAB">
        <w:t>appelée</w:t>
      </w:r>
      <w:r w:rsidR="000A7AAB" w:rsidRPr="002C4077">
        <w:t xml:space="preserve"> </w:t>
      </w:r>
      <w:r w:rsidR="000A7AAB">
        <w:t>Nazareth,</w:t>
      </w:r>
      <w:r w:rsidR="000A7AAB" w:rsidRPr="002C4077">
        <w:t xml:space="preserve"> </w:t>
      </w:r>
      <w:r w:rsidR="000A7AAB">
        <w:t>vers</w:t>
      </w:r>
      <w:r w:rsidR="000A7AAB" w:rsidRPr="002C4077">
        <w:t xml:space="preserve"> </w:t>
      </w:r>
      <w:r w:rsidR="000A7AAB">
        <w:t>une</w:t>
      </w:r>
      <w:r w:rsidR="000A7AAB" w:rsidRPr="002C4077">
        <w:t xml:space="preserve"> </w:t>
      </w:r>
      <w:r w:rsidR="000A7AAB">
        <w:t>vierge</w:t>
      </w:r>
      <w:r w:rsidR="000A7AAB" w:rsidRPr="002C4077">
        <w:t xml:space="preserve"> </w:t>
      </w:r>
      <w:r w:rsidR="000A7AAB">
        <w:t>fiancée</w:t>
      </w:r>
      <w:r w:rsidR="000A7AAB" w:rsidRPr="002C4077">
        <w:t xml:space="preserve"> </w:t>
      </w:r>
      <w:r w:rsidR="000A7AAB">
        <w:t>à</w:t>
      </w:r>
      <w:r w:rsidR="000A7AAB" w:rsidRPr="002C4077">
        <w:t xml:space="preserve"> </w:t>
      </w:r>
      <w:r w:rsidR="000A7AAB">
        <w:t>un</w:t>
      </w:r>
      <w:r w:rsidR="000A7AAB" w:rsidRPr="002C4077">
        <w:t xml:space="preserve"> </w:t>
      </w:r>
      <w:r w:rsidR="000A7AAB">
        <w:t>homme</w:t>
      </w:r>
      <w:r w:rsidR="000A7AAB" w:rsidRPr="002C4077">
        <w:t xml:space="preserve"> </w:t>
      </w:r>
      <w:r w:rsidR="000A7AAB">
        <w:t>nommé</w:t>
      </w:r>
      <w:r w:rsidR="000A7AAB" w:rsidRPr="002C4077">
        <w:t xml:space="preserve"> </w:t>
      </w:r>
      <w:r w:rsidR="000A7AAB">
        <w:t>Joseph</w:t>
      </w:r>
      <w:r w:rsidR="000A7AAB" w:rsidRPr="002C4077">
        <w:t xml:space="preserve"> </w:t>
      </w:r>
      <w:r w:rsidR="000A7AAB">
        <w:t>qui</w:t>
      </w:r>
      <w:r w:rsidR="000A7AAB" w:rsidRPr="002C4077">
        <w:t xml:space="preserve"> </w:t>
      </w:r>
      <w:r w:rsidR="000A7AAB">
        <w:t>était</w:t>
      </w:r>
      <w:r w:rsidR="000A7AAB" w:rsidRPr="002C4077">
        <w:t xml:space="preserve"> </w:t>
      </w:r>
      <w:r w:rsidR="000A7AAB">
        <w:t>de</w:t>
      </w:r>
      <w:r w:rsidR="000A7AAB" w:rsidRPr="002C4077">
        <w:t xml:space="preserve"> </w:t>
      </w:r>
      <w:r w:rsidR="000A7AAB">
        <w:t>la</w:t>
      </w:r>
      <w:r w:rsidR="000A7AAB" w:rsidRPr="002C4077">
        <w:t xml:space="preserve"> </w:t>
      </w:r>
      <w:r w:rsidR="000A7AAB">
        <w:t>maison</w:t>
      </w:r>
      <w:r w:rsidR="000A7AAB" w:rsidRPr="002C4077">
        <w:t xml:space="preserve"> </w:t>
      </w:r>
      <w:r w:rsidR="000A7AAB">
        <w:t>de</w:t>
      </w:r>
      <w:r w:rsidR="000A7AAB" w:rsidRPr="002C4077">
        <w:t xml:space="preserve"> </w:t>
      </w:r>
      <w:r w:rsidR="000A7AAB">
        <w:t>David,</w:t>
      </w:r>
      <w:r w:rsidR="000A7AAB" w:rsidRPr="002C4077">
        <w:t xml:space="preserve"> </w:t>
      </w:r>
      <w:r w:rsidR="000A7AAB">
        <w:t>et</w:t>
      </w:r>
      <w:r w:rsidR="002F7AFA" w:rsidRPr="002C4077">
        <w:t xml:space="preserve"> </w:t>
      </w:r>
      <w:r w:rsidR="000A7AAB">
        <w:t>le</w:t>
      </w:r>
      <w:r w:rsidR="000A7AAB" w:rsidRPr="002C4077">
        <w:t xml:space="preserve"> </w:t>
      </w:r>
      <w:r w:rsidR="000A7AAB">
        <w:t>nom</w:t>
      </w:r>
      <w:r w:rsidR="000A7AAB" w:rsidRPr="002C4077">
        <w:t xml:space="preserve"> </w:t>
      </w:r>
      <w:r w:rsidR="000A7AAB">
        <w:t>de</w:t>
      </w:r>
      <w:r w:rsidR="000A7AAB" w:rsidRPr="002C4077">
        <w:t xml:space="preserve"> </w:t>
      </w:r>
      <w:r w:rsidR="000A7AAB">
        <w:t>la</w:t>
      </w:r>
      <w:r w:rsidR="000A7AAB" w:rsidRPr="002C4077">
        <w:t xml:space="preserve"> </w:t>
      </w:r>
      <w:r w:rsidR="000A7AAB">
        <w:t>vierge</w:t>
      </w:r>
      <w:r w:rsidR="000A7AAB" w:rsidRPr="002C4077">
        <w:t xml:space="preserve"> </w:t>
      </w:r>
      <w:r w:rsidR="000A7AAB">
        <w:t>était</w:t>
      </w:r>
      <w:r w:rsidR="000A7AAB" w:rsidRPr="002C4077">
        <w:t xml:space="preserve"> </w:t>
      </w:r>
      <w:r w:rsidR="000A7AAB">
        <w:t>Marie.</w:t>
      </w:r>
      <w:r w:rsidR="00C45B47">
        <w:t xml:space="preserve"> {</w:t>
      </w:r>
      <w:r w:rsidR="001F5257">
        <w:t>206</w:t>
      </w:r>
      <w:bookmarkStart w:id="516" w:name="p206"/>
      <w:bookmarkEnd w:id="516"/>
      <w:r w:rsidR="001F5257">
        <w:t xml:space="preserve">} </w:t>
      </w:r>
      <w:r w:rsidR="000A7AAB">
        <w:t>Et</w:t>
      </w:r>
      <w:r w:rsidR="000A7AAB" w:rsidRPr="002C4077">
        <w:t xml:space="preserve"> </w:t>
      </w:r>
      <w:r w:rsidR="000A7AAB">
        <w:t>l’ange</w:t>
      </w:r>
      <w:r w:rsidR="000A7AAB" w:rsidRPr="002C4077">
        <w:t xml:space="preserve"> </w:t>
      </w:r>
      <w:r w:rsidR="000A7AAB">
        <w:t>étant</w:t>
      </w:r>
      <w:r w:rsidR="000A7AAB" w:rsidRPr="002C4077">
        <w:t xml:space="preserve"> </w:t>
      </w:r>
      <w:r w:rsidR="000A7AAB">
        <w:t>entré</w:t>
      </w:r>
      <w:r w:rsidR="000A7AAB" w:rsidRPr="002C4077">
        <w:t xml:space="preserve"> </w:t>
      </w:r>
      <w:r w:rsidR="000A7AAB">
        <w:t>dans</w:t>
      </w:r>
      <w:r w:rsidR="000A7AAB" w:rsidRPr="002C4077">
        <w:t xml:space="preserve"> </w:t>
      </w:r>
      <w:r w:rsidR="000A7AAB">
        <w:t>le</w:t>
      </w:r>
      <w:r w:rsidR="000A7AAB" w:rsidRPr="002C4077">
        <w:t xml:space="preserve"> </w:t>
      </w:r>
      <w:r w:rsidR="000A7AAB">
        <w:t>lieu</w:t>
      </w:r>
      <w:r w:rsidR="000A7AAB" w:rsidRPr="002C4077">
        <w:t xml:space="preserve"> </w:t>
      </w:r>
      <w:r w:rsidR="000A7AAB">
        <w:t>où</w:t>
      </w:r>
      <w:r w:rsidR="000A7AAB" w:rsidRPr="002C4077">
        <w:t xml:space="preserve"> </w:t>
      </w:r>
      <w:r w:rsidR="000A7AAB">
        <w:t>elle</w:t>
      </w:r>
      <w:r w:rsidR="000A7AAB" w:rsidRPr="002C4077">
        <w:t xml:space="preserve"> </w:t>
      </w:r>
      <w:r w:rsidR="000A7AAB">
        <w:t>était,</w:t>
      </w:r>
      <w:r w:rsidR="000A7AAB" w:rsidRPr="002C4077">
        <w:t xml:space="preserve"> </w:t>
      </w:r>
      <w:r w:rsidR="000A7AAB">
        <w:t>lui</w:t>
      </w:r>
      <w:r w:rsidR="000A7AAB" w:rsidRPr="002C4077">
        <w:t xml:space="preserve"> </w:t>
      </w:r>
      <w:r w:rsidR="000A7AAB">
        <w:t>dit</w:t>
      </w:r>
      <w:r>
        <w:t> :</w:t>
      </w:r>
      <w:r w:rsidR="000A7AAB" w:rsidRPr="002C4077">
        <w:t xml:space="preserve"> </w:t>
      </w:r>
      <w:r w:rsidR="000A7AAB">
        <w:t>Bien</w:t>
      </w:r>
      <w:r w:rsidR="000A7AAB" w:rsidRPr="002C4077">
        <w:t xml:space="preserve"> </w:t>
      </w:r>
      <w:r w:rsidR="000A7AAB">
        <w:t>te</w:t>
      </w:r>
      <w:r w:rsidR="000A7AAB" w:rsidRPr="002C4077">
        <w:t xml:space="preserve"> </w:t>
      </w:r>
      <w:r w:rsidR="000A7AAB">
        <w:t>soit,</w:t>
      </w:r>
      <w:r w:rsidR="000A7AAB" w:rsidRPr="002C4077">
        <w:t xml:space="preserve"> </w:t>
      </w:r>
      <w:r w:rsidR="000A7AAB">
        <w:t>ô</w:t>
      </w:r>
      <w:r w:rsidR="000A7AAB" w:rsidRPr="002C4077">
        <w:t xml:space="preserve"> </w:t>
      </w:r>
      <w:r w:rsidR="000A7AAB">
        <w:t>pleine</w:t>
      </w:r>
      <w:r w:rsidR="000A7AAB" w:rsidRPr="002C4077">
        <w:t xml:space="preserve"> </w:t>
      </w:r>
      <w:r w:rsidR="000A7AAB">
        <w:t>de</w:t>
      </w:r>
      <w:r w:rsidR="000A7AAB" w:rsidRPr="002C4077">
        <w:t xml:space="preserve"> </w:t>
      </w:r>
      <w:r w:rsidR="000A7AAB">
        <w:t>grâce</w:t>
      </w:r>
      <w:r>
        <w:t> !</w:t>
      </w:r>
      <w:r w:rsidR="000A7AAB" w:rsidRPr="002C4077">
        <w:t xml:space="preserve"> </w:t>
      </w:r>
      <w:r w:rsidR="000A7AAB">
        <w:t>le</w:t>
      </w:r>
      <w:r w:rsidR="000A7AAB" w:rsidRPr="002C4077">
        <w:t xml:space="preserve"> </w:t>
      </w:r>
      <w:r w:rsidR="000A7AAB">
        <w:t>Seigneur</w:t>
      </w:r>
      <w:r w:rsidR="000A7AAB" w:rsidRPr="002C4077">
        <w:t xml:space="preserve"> </w:t>
      </w:r>
      <w:r w:rsidR="00425C50">
        <w:t>est</w:t>
      </w:r>
      <w:r w:rsidR="000A7AAB" w:rsidRPr="002C4077">
        <w:t xml:space="preserve"> </w:t>
      </w:r>
      <w:r w:rsidR="000A7AAB">
        <w:t>avec</w:t>
      </w:r>
      <w:r w:rsidR="000A7AAB" w:rsidRPr="002C4077">
        <w:t xml:space="preserve"> </w:t>
      </w:r>
      <w:r w:rsidR="000A7AAB">
        <w:t>toi</w:t>
      </w:r>
      <w:r>
        <w:t> ;</w:t>
      </w:r>
      <w:r w:rsidR="000A7AAB" w:rsidRPr="002C4077">
        <w:t xml:space="preserve"> </w:t>
      </w:r>
      <w:r w:rsidR="000A7AAB">
        <w:t>tu</w:t>
      </w:r>
      <w:r w:rsidR="000A7AAB" w:rsidRPr="002C4077">
        <w:t xml:space="preserve"> </w:t>
      </w:r>
      <w:r w:rsidR="000A7AAB">
        <w:t>es</w:t>
      </w:r>
      <w:r w:rsidR="000A7AAB" w:rsidRPr="002C4077">
        <w:t xml:space="preserve"> </w:t>
      </w:r>
      <w:r w:rsidR="000A7AAB">
        <w:t>bénie</w:t>
      </w:r>
      <w:r w:rsidR="000A7AAB" w:rsidRPr="002C4077">
        <w:t xml:space="preserve"> </w:t>
      </w:r>
      <w:r w:rsidR="000A7AAB">
        <w:t>entre</w:t>
      </w:r>
      <w:r w:rsidR="000A7AAB" w:rsidRPr="002C4077">
        <w:t xml:space="preserve"> </w:t>
      </w:r>
      <w:r w:rsidR="000A7AAB">
        <w:t>toutes</w:t>
      </w:r>
      <w:r w:rsidR="000A7AAB" w:rsidRPr="002C4077">
        <w:t xml:space="preserve"> </w:t>
      </w:r>
      <w:r w:rsidR="000A7AAB">
        <w:t>les</w:t>
      </w:r>
      <w:r w:rsidR="000A7AAB" w:rsidRPr="002C4077">
        <w:t xml:space="preserve"> </w:t>
      </w:r>
      <w:r w:rsidR="000A7AAB">
        <w:t>femmes.</w:t>
      </w:r>
      <w:r w:rsidR="000A7AAB" w:rsidRPr="002C4077">
        <w:t xml:space="preserve"> </w:t>
      </w:r>
      <w:r w:rsidR="000A7AAB">
        <w:t>Et</w:t>
      </w:r>
      <w:r w:rsidR="000A7AAB" w:rsidRPr="002C4077">
        <w:t xml:space="preserve"> </w:t>
      </w:r>
      <w:r w:rsidR="000A7AAB">
        <w:t>quand</w:t>
      </w:r>
      <w:r w:rsidR="000A7AAB" w:rsidRPr="002C4077">
        <w:t xml:space="preserve"> </w:t>
      </w:r>
      <w:r w:rsidR="000A7AAB">
        <w:t>elle</w:t>
      </w:r>
      <w:r w:rsidR="000A7AAB" w:rsidRPr="002C4077">
        <w:t xml:space="preserve"> </w:t>
      </w:r>
      <w:r w:rsidR="000A7AAB">
        <w:t>l’eut</w:t>
      </w:r>
      <w:r w:rsidR="000A7AAB" w:rsidRPr="002C4077">
        <w:t xml:space="preserve"> </w:t>
      </w:r>
      <w:r w:rsidR="000A7AAB">
        <w:t>vu,</w:t>
      </w:r>
      <w:r w:rsidR="000A7AAB" w:rsidRPr="002C4077">
        <w:t xml:space="preserve"> </w:t>
      </w:r>
      <w:r w:rsidR="000A7AAB">
        <w:t>elle</w:t>
      </w:r>
      <w:r w:rsidR="000A7AAB" w:rsidRPr="002C4077">
        <w:t xml:space="preserve"> </w:t>
      </w:r>
      <w:r w:rsidR="000A7AAB">
        <w:t>fut</w:t>
      </w:r>
      <w:r w:rsidR="000A7AAB" w:rsidRPr="002C4077">
        <w:t xml:space="preserve"> </w:t>
      </w:r>
      <w:r w:rsidR="000A7AAB">
        <w:t>fort</w:t>
      </w:r>
      <w:r w:rsidR="000A7AAB" w:rsidRPr="002C4077">
        <w:t xml:space="preserve"> </w:t>
      </w:r>
      <w:r w:rsidR="000A7AAB">
        <w:t>troublée</w:t>
      </w:r>
      <w:r w:rsidR="000A7AAB" w:rsidRPr="002C4077">
        <w:t xml:space="preserve"> </w:t>
      </w:r>
      <w:r w:rsidR="000A7AAB">
        <w:t>à</w:t>
      </w:r>
      <w:r w:rsidR="000A7AAB" w:rsidRPr="002C4077">
        <w:t xml:space="preserve"> </w:t>
      </w:r>
      <w:r w:rsidR="000A7AAB">
        <w:t>cause</w:t>
      </w:r>
      <w:r w:rsidR="000A7AAB" w:rsidRPr="002C4077">
        <w:t xml:space="preserve"> </w:t>
      </w:r>
      <w:r w:rsidR="000A7AAB">
        <w:t>de</w:t>
      </w:r>
      <w:r w:rsidR="000A7AAB" w:rsidRPr="002C4077">
        <w:t xml:space="preserve"> </w:t>
      </w:r>
      <w:r w:rsidR="000A7AAB">
        <w:t>ses</w:t>
      </w:r>
      <w:r w:rsidR="000A7AAB" w:rsidRPr="002C4077">
        <w:t xml:space="preserve"> </w:t>
      </w:r>
      <w:r w:rsidR="000A7AAB">
        <w:t>paroles,</w:t>
      </w:r>
      <w:r w:rsidR="000A7AAB" w:rsidRPr="002C4077">
        <w:t xml:space="preserve"> </w:t>
      </w:r>
      <w:r w:rsidR="000A7AAB">
        <w:t>et</w:t>
      </w:r>
      <w:r w:rsidR="000A7AAB" w:rsidRPr="002C4077">
        <w:t xml:space="preserve"> </w:t>
      </w:r>
      <w:r w:rsidR="000A7AAB">
        <w:t>elle</w:t>
      </w:r>
      <w:r w:rsidR="000A7AAB" w:rsidRPr="002C4077">
        <w:t xml:space="preserve"> </w:t>
      </w:r>
      <w:r w:rsidR="000A7AAB">
        <w:t>considérait</w:t>
      </w:r>
      <w:r w:rsidR="000A7AAB" w:rsidRPr="002C4077">
        <w:t xml:space="preserve"> </w:t>
      </w:r>
      <w:r w:rsidR="000A7AAB">
        <w:t>en</w:t>
      </w:r>
      <w:r w:rsidR="000A7AAB" w:rsidRPr="002C4077">
        <w:t xml:space="preserve"> </w:t>
      </w:r>
      <w:r w:rsidR="000A7AAB">
        <w:t>elle-même</w:t>
      </w:r>
      <w:r w:rsidR="000A7AAB" w:rsidRPr="002C4077">
        <w:t xml:space="preserve"> </w:t>
      </w:r>
      <w:r w:rsidR="000A7AAB">
        <w:t>quelle</w:t>
      </w:r>
      <w:r w:rsidR="000A7AAB" w:rsidRPr="002C4077">
        <w:t xml:space="preserve"> </w:t>
      </w:r>
      <w:r w:rsidR="000A7AAB">
        <w:t>était</w:t>
      </w:r>
      <w:r w:rsidR="000A7AAB" w:rsidRPr="002C4077">
        <w:t xml:space="preserve"> </w:t>
      </w:r>
      <w:r w:rsidR="000A7AAB">
        <w:t>cette</w:t>
      </w:r>
      <w:r w:rsidR="000A7AAB" w:rsidRPr="002C4077">
        <w:t xml:space="preserve"> </w:t>
      </w:r>
      <w:r w:rsidR="000A7AAB">
        <w:t>salutation.</w:t>
      </w:r>
      <w:r w:rsidR="000A7AAB" w:rsidRPr="002C4077">
        <w:t xml:space="preserve"> </w:t>
      </w:r>
      <w:r w:rsidR="000A7AAB">
        <w:t>Et</w:t>
      </w:r>
      <w:r w:rsidR="000A7AAB" w:rsidRPr="002C4077">
        <w:t xml:space="preserve"> </w:t>
      </w:r>
      <w:r w:rsidR="000A7AAB">
        <w:t>l’ange</w:t>
      </w:r>
      <w:r w:rsidR="000A7AAB" w:rsidRPr="002C4077">
        <w:t xml:space="preserve"> </w:t>
      </w:r>
      <w:r w:rsidR="000A7AAB">
        <w:t>lui</w:t>
      </w:r>
      <w:r w:rsidR="000A7AAB" w:rsidRPr="002C4077">
        <w:t xml:space="preserve"> </w:t>
      </w:r>
      <w:r w:rsidR="000A7AAB">
        <w:t>dit</w:t>
      </w:r>
      <w:r>
        <w:t> :</w:t>
      </w:r>
      <w:r w:rsidR="000A7AAB" w:rsidRPr="002C4077">
        <w:t xml:space="preserve"> </w:t>
      </w:r>
      <w:r w:rsidR="000A7AAB">
        <w:t>Marie,</w:t>
      </w:r>
      <w:r w:rsidR="000A7AAB" w:rsidRPr="002C4077">
        <w:t xml:space="preserve"> </w:t>
      </w:r>
      <w:r w:rsidR="000A7AAB">
        <w:t>ne</w:t>
      </w:r>
      <w:r w:rsidR="000A7AAB" w:rsidRPr="002C4077">
        <w:t xml:space="preserve"> </w:t>
      </w:r>
      <w:r w:rsidR="000A7AAB">
        <w:t>crains</w:t>
      </w:r>
      <w:r w:rsidR="000A7AAB" w:rsidRPr="002C4077">
        <w:t xml:space="preserve"> </w:t>
      </w:r>
      <w:r w:rsidR="000A7AAB">
        <w:t>point,</w:t>
      </w:r>
      <w:r w:rsidR="000A7AAB" w:rsidRPr="002C4077">
        <w:t xml:space="preserve"> </w:t>
      </w:r>
      <w:r w:rsidR="000A7AAB">
        <w:t>car</w:t>
      </w:r>
      <w:r w:rsidR="000A7AAB" w:rsidRPr="002C4077">
        <w:t xml:space="preserve"> </w:t>
      </w:r>
      <w:r w:rsidR="000A7AAB">
        <w:t>tu</w:t>
      </w:r>
      <w:r w:rsidR="000A7AAB" w:rsidRPr="002C4077">
        <w:t xml:space="preserve"> </w:t>
      </w:r>
      <w:r w:rsidR="000A7AAB">
        <w:t>as</w:t>
      </w:r>
      <w:r w:rsidR="000A7AAB" w:rsidRPr="002C4077">
        <w:t xml:space="preserve"> </w:t>
      </w:r>
      <w:r w:rsidR="000A7AAB">
        <w:t>trouvé</w:t>
      </w:r>
      <w:r w:rsidR="000A7AAB" w:rsidRPr="002C4077">
        <w:t xml:space="preserve"> </w:t>
      </w:r>
      <w:r w:rsidR="000A7AAB">
        <w:t>grâce</w:t>
      </w:r>
      <w:r w:rsidR="000A7AAB" w:rsidRPr="002C4077">
        <w:t xml:space="preserve"> </w:t>
      </w:r>
      <w:r w:rsidR="000A7AAB">
        <w:t>devant</w:t>
      </w:r>
      <w:r w:rsidR="000A7AAB" w:rsidRPr="002C4077">
        <w:t xml:space="preserve"> </w:t>
      </w:r>
      <w:r w:rsidR="000A7AAB">
        <w:t>Dieu.</w:t>
      </w:r>
      <w:r w:rsidR="000A7AAB" w:rsidRPr="002C4077">
        <w:t xml:space="preserve"> </w:t>
      </w:r>
      <w:r w:rsidR="000A7AAB">
        <w:t>Et</w:t>
      </w:r>
      <w:r w:rsidR="000A7AAB" w:rsidRPr="002C4077">
        <w:t xml:space="preserve"> </w:t>
      </w:r>
      <w:r w:rsidR="000A7AAB">
        <w:t>voici,</w:t>
      </w:r>
      <w:r w:rsidR="000A7AAB" w:rsidRPr="002C4077">
        <w:t xml:space="preserve"> </w:t>
      </w:r>
      <w:r w:rsidR="000A7AAB">
        <w:t>tu</w:t>
      </w:r>
      <w:r w:rsidR="000A7AAB" w:rsidRPr="002C4077">
        <w:t xml:space="preserve"> </w:t>
      </w:r>
      <w:r w:rsidR="000A7AAB">
        <w:t>concevras</w:t>
      </w:r>
      <w:r w:rsidR="000A7AAB" w:rsidRPr="002C4077">
        <w:t xml:space="preserve"> </w:t>
      </w:r>
      <w:r w:rsidR="000A7AAB">
        <w:t>en</w:t>
      </w:r>
      <w:r w:rsidR="000A7AAB" w:rsidRPr="002C4077">
        <w:t xml:space="preserve"> </w:t>
      </w:r>
      <w:r w:rsidR="000A7AAB">
        <w:t>ton</w:t>
      </w:r>
      <w:r w:rsidR="000A7AAB" w:rsidRPr="002C4077">
        <w:t xml:space="preserve"> </w:t>
      </w:r>
      <w:r w:rsidR="000A7AAB">
        <w:t>sein,</w:t>
      </w:r>
      <w:r w:rsidR="000A7AAB" w:rsidRPr="002C4077">
        <w:t xml:space="preserve"> </w:t>
      </w:r>
      <w:r w:rsidR="000A7AAB">
        <w:t>et</w:t>
      </w:r>
      <w:r w:rsidR="000A7AAB" w:rsidRPr="002C4077">
        <w:t xml:space="preserve"> </w:t>
      </w:r>
      <w:r w:rsidR="000A7AAB">
        <w:t>tu</w:t>
      </w:r>
      <w:r w:rsidR="000A7AAB" w:rsidRPr="002C4077">
        <w:t xml:space="preserve"> </w:t>
      </w:r>
      <w:r w:rsidR="000A7AAB">
        <w:t>enfanteras</w:t>
      </w:r>
      <w:r w:rsidR="000A7AAB" w:rsidRPr="002C4077">
        <w:t xml:space="preserve"> </w:t>
      </w:r>
      <w:r w:rsidR="000A7AAB">
        <w:t>un</w:t>
      </w:r>
      <w:r w:rsidR="000A7AAB" w:rsidRPr="002C4077">
        <w:t xml:space="preserve"> </w:t>
      </w:r>
      <w:r w:rsidR="000A7AAB">
        <w:t>fils,</w:t>
      </w:r>
      <w:r w:rsidR="000A7AAB" w:rsidRPr="002C4077">
        <w:t xml:space="preserve"> </w:t>
      </w:r>
      <w:r w:rsidR="000A7AAB">
        <w:t>et</w:t>
      </w:r>
      <w:r w:rsidR="000A7AAB" w:rsidRPr="002C4077">
        <w:t xml:space="preserve"> </w:t>
      </w:r>
      <w:r w:rsidR="000A7AAB">
        <w:t>tu</w:t>
      </w:r>
      <w:r w:rsidR="000A7AAB" w:rsidRPr="002C4077">
        <w:t xml:space="preserve"> </w:t>
      </w:r>
      <w:r w:rsidR="000A7AAB">
        <w:t>appelleras</w:t>
      </w:r>
      <w:r w:rsidR="000A7AAB" w:rsidRPr="002C4077">
        <w:t xml:space="preserve"> </w:t>
      </w:r>
      <w:r w:rsidR="000A7AAB">
        <w:t>son</w:t>
      </w:r>
      <w:r w:rsidR="000A7AAB" w:rsidRPr="002C4077">
        <w:t xml:space="preserve"> </w:t>
      </w:r>
      <w:r w:rsidR="000A7AAB">
        <w:t>nom</w:t>
      </w:r>
      <w:r w:rsidR="000A7AAB" w:rsidRPr="002C4077">
        <w:t xml:space="preserve"> </w:t>
      </w:r>
      <w:r w:rsidR="00425C50">
        <w:t>Jésus</w:t>
      </w:r>
      <w:r w:rsidR="000A7AAB">
        <w:t>.</w:t>
      </w:r>
      <w:r w:rsidR="000A7AAB" w:rsidRPr="002C4077">
        <w:t xml:space="preserve"> </w:t>
      </w:r>
      <w:r w:rsidR="000A7AAB">
        <w:t>Il</w:t>
      </w:r>
      <w:r w:rsidR="000A7AAB" w:rsidRPr="002C4077">
        <w:t xml:space="preserve"> </w:t>
      </w:r>
      <w:r w:rsidR="000A7AAB">
        <w:t>sera</w:t>
      </w:r>
      <w:r w:rsidR="000A7AAB" w:rsidRPr="002C4077">
        <w:t xml:space="preserve"> </w:t>
      </w:r>
      <w:r w:rsidR="000A7AAB">
        <w:t>grand</w:t>
      </w:r>
      <w:r w:rsidR="000A7AAB" w:rsidRPr="002C4077">
        <w:t xml:space="preserve"> </w:t>
      </w:r>
      <w:r w:rsidR="000A7AAB">
        <w:t>et</w:t>
      </w:r>
      <w:r w:rsidR="000A7AAB" w:rsidRPr="002C4077">
        <w:t xml:space="preserve"> </w:t>
      </w:r>
      <w:r w:rsidR="000A7AAB">
        <w:t>sera</w:t>
      </w:r>
      <w:r w:rsidR="000A7AAB" w:rsidRPr="002C4077">
        <w:t xml:space="preserve"> </w:t>
      </w:r>
      <w:r w:rsidR="000A7AAB">
        <w:t>appelé</w:t>
      </w:r>
      <w:r w:rsidR="000A7AAB" w:rsidRPr="002C4077">
        <w:t xml:space="preserve"> </w:t>
      </w:r>
      <w:r w:rsidR="000A7AAB">
        <w:t>le</w:t>
      </w:r>
      <w:r w:rsidR="000A7AAB" w:rsidRPr="002C4077">
        <w:t xml:space="preserve"> </w:t>
      </w:r>
      <w:r w:rsidR="000A7AAB">
        <w:t>Fils</w:t>
      </w:r>
      <w:r w:rsidR="000A7AAB" w:rsidRPr="002C4077">
        <w:t xml:space="preserve"> </w:t>
      </w:r>
      <w:r w:rsidR="000A7AAB">
        <w:t>du</w:t>
      </w:r>
      <w:r w:rsidR="000A7AAB" w:rsidRPr="002C4077">
        <w:t xml:space="preserve"> </w:t>
      </w:r>
      <w:r w:rsidR="000A7AAB">
        <w:t>Souverain,</w:t>
      </w:r>
      <w:r w:rsidR="000A7AAB" w:rsidRPr="002C4077">
        <w:t xml:space="preserve"> </w:t>
      </w:r>
      <w:r w:rsidR="000A7AAB">
        <w:t>et</w:t>
      </w:r>
      <w:r w:rsidR="000A7AAB" w:rsidRPr="002C4077">
        <w:t xml:space="preserve"> </w:t>
      </w:r>
      <w:r w:rsidR="000A7AAB">
        <w:t>le</w:t>
      </w:r>
      <w:r w:rsidR="000A7AAB" w:rsidRPr="002C4077">
        <w:t xml:space="preserve"> </w:t>
      </w:r>
      <w:r w:rsidR="000A7AAB">
        <w:t>Seigneur</w:t>
      </w:r>
      <w:r w:rsidR="000A7AAB" w:rsidRPr="002C4077">
        <w:t xml:space="preserve"> </w:t>
      </w:r>
      <w:r w:rsidR="000A7AAB">
        <w:t>Dieu</w:t>
      </w:r>
      <w:r w:rsidR="000A7AAB" w:rsidRPr="002C4077">
        <w:t xml:space="preserve"> </w:t>
      </w:r>
      <w:r w:rsidR="000A7AAB">
        <w:t>lui</w:t>
      </w:r>
      <w:r w:rsidR="000A7AAB" w:rsidRPr="002C4077">
        <w:t xml:space="preserve"> </w:t>
      </w:r>
      <w:r w:rsidR="000A7AAB">
        <w:t>donnera</w:t>
      </w:r>
      <w:r w:rsidR="000A7AAB" w:rsidRPr="002C4077">
        <w:t xml:space="preserve"> </w:t>
      </w:r>
      <w:r w:rsidR="000A7AAB">
        <w:t>le</w:t>
      </w:r>
      <w:r w:rsidR="000A7AAB" w:rsidRPr="002C4077">
        <w:t xml:space="preserve"> </w:t>
      </w:r>
      <w:r w:rsidR="000A7AAB">
        <w:t>trône</w:t>
      </w:r>
      <w:r w:rsidR="000A7AAB" w:rsidRPr="002C4077">
        <w:t xml:space="preserve"> </w:t>
      </w:r>
      <w:r w:rsidR="000A7AAB">
        <w:t>de</w:t>
      </w:r>
      <w:r w:rsidR="000A7AAB" w:rsidRPr="002C4077">
        <w:t xml:space="preserve"> </w:t>
      </w:r>
      <w:r w:rsidR="000A7AAB">
        <w:t>David</w:t>
      </w:r>
      <w:r w:rsidR="000A7AAB" w:rsidRPr="002C4077">
        <w:t xml:space="preserve"> </w:t>
      </w:r>
      <w:r w:rsidR="000A7AAB">
        <w:t>son</w:t>
      </w:r>
      <w:r w:rsidR="000A7AAB" w:rsidRPr="002C4077">
        <w:t xml:space="preserve"> </w:t>
      </w:r>
      <w:r w:rsidR="000A7AAB">
        <w:t>père,</w:t>
      </w:r>
      <w:r w:rsidR="000A7AAB" w:rsidRPr="002C4077">
        <w:t xml:space="preserve"> </w:t>
      </w:r>
      <w:r w:rsidR="000A7AAB">
        <w:t>et</w:t>
      </w:r>
      <w:r w:rsidR="000A7AAB" w:rsidRPr="002C4077">
        <w:t xml:space="preserve"> </w:t>
      </w:r>
      <w:r w:rsidR="000A7AAB">
        <w:t>il</w:t>
      </w:r>
      <w:r w:rsidR="000A7AAB" w:rsidRPr="002C4077">
        <w:t xml:space="preserve"> </w:t>
      </w:r>
      <w:r w:rsidR="000A7AAB">
        <w:t>régnera</w:t>
      </w:r>
      <w:r w:rsidR="000A7AAB" w:rsidRPr="002C4077">
        <w:t xml:space="preserve"> </w:t>
      </w:r>
      <w:r w:rsidR="000A7AAB">
        <w:t>sur</w:t>
      </w:r>
      <w:r w:rsidR="000A7AAB" w:rsidRPr="002C4077">
        <w:t xml:space="preserve"> </w:t>
      </w:r>
      <w:r w:rsidR="000A7AAB">
        <w:t>la</w:t>
      </w:r>
      <w:r w:rsidR="000A7AAB" w:rsidRPr="002C4077">
        <w:t xml:space="preserve"> </w:t>
      </w:r>
      <w:r w:rsidR="000A7AAB">
        <w:t>maison</w:t>
      </w:r>
      <w:r w:rsidR="000A7AAB" w:rsidRPr="002C4077">
        <w:t xml:space="preserve"> </w:t>
      </w:r>
      <w:r w:rsidR="000A7AAB">
        <w:t>de</w:t>
      </w:r>
      <w:r w:rsidR="000A7AAB" w:rsidRPr="002C4077">
        <w:t xml:space="preserve"> </w:t>
      </w:r>
      <w:r w:rsidR="000A7AAB">
        <w:t>Jacob</w:t>
      </w:r>
      <w:r w:rsidR="000A7AAB" w:rsidRPr="002C4077">
        <w:t xml:space="preserve"> </w:t>
      </w:r>
      <w:r w:rsidR="000A7AAB">
        <w:t>éternellement,</w:t>
      </w:r>
      <w:r w:rsidR="000A7AAB" w:rsidRPr="002C4077">
        <w:t xml:space="preserve"> </w:t>
      </w:r>
      <w:r w:rsidR="000A7AAB">
        <w:t>et</w:t>
      </w:r>
      <w:r w:rsidR="000A7AAB" w:rsidRPr="002C4077">
        <w:t xml:space="preserve"> </w:t>
      </w:r>
      <w:r w:rsidR="000A7AAB">
        <w:t>il</w:t>
      </w:r>
      <w:r w:rsidR="000A7AAB" w:rsidRPr="002C4077">
        <w:t xml:space="preserve"> </w:t>
      </w:r>
      <w:r w:rsidR="000A7AAB">
        <w:t>n’y</w:t>
      </w:r>
      <w:r w:rsidR="000A7AAB" w:rsidRPr="002C4077">
        <w:t xml:space="preserve"> </w:t>
      </w:r>
      <w:r w:rsidR="000A7AAB">
        <w:t>aura</w:t>
      </w:r>
      <w:r w:rsidR="000A7AAB" w:rsidRPr="002C4077">
        <w:t xml:space="preserve"> </w:t>
      </w:r>
      <w:r w:rsidR="000A7AAB">
        <w:t>point</w:t>
      </w:r>
      <w:r w:rsidR="000A7AAB" w:rsidRPr="002C4077">
        <w:t xml:space="preserve"> </w:t>
      </w:r>
      <w:r w:rsidR="000A7AAB">
        <w:t>de</w:t>
      </w:r>
      <w:r w:rsidR="000A7AAB" w:rsidRPr="002C4077">
        <w:t xml:space="preserve"> </w:t>
      </w:r>
      <w:r w:rsidR="000A7AAB">
        <w:t>fin</w:t>
      </w:r>
      <w:r w:rsidR="000A7AAB" w:rsidRPr="002C4077">
        <w:t xml:space="preserve"> </w:t>
      </w:r>
      <w:r w:rsidR="000A7AAB">
        <w:t>à</w:t>
      </w:r>
      <w:r w:rsidR="000A7AAB" w:rsidRPr="002C4077">
        <w:t xml:space="preserve"> </w:t>
      </w:r>
      <w:r w:rsidR="000A7AAB">
        <w:t>son</w:t>
      </w:r>
      <w:r w:rsidR="000A7AAB" w:rsidRPr="002C4077">
        <w:t xml:space="preserve"> </w:t>
      </w:r>
      <w:r w:rsidR="000A7AAB">
        <w:t>règne.</w:t>
      </w:r>
      <w:r w:rsidR="000A7AAB" w:rsidRPr="002C4077">
        <w:t xml:space="preserve"> </w:t>
      </w:r>
      <w:r w:rsidR="000A7AAB">
        <w:t>Alors</w:t>
      </w:r>
      <w:r w:rsidR="000A7AAB" w:rsidRPr="002C4077">
        <w:t xml:space="preserve"> </w:t>
      </w:r>
      <w:r w:rsidR="000A7AAB">
        <w:t>Marie</w:t>
      </w:r>
      <w:r w:rsidR="000A7AAB" w:rsidRPr="002C4077">
        <w:t xml:space="preserve"> </w:t>
      </w:r>
      <w:r w:rsidR="000A7AAB">
        <w:t>dit</w:t>
      </w:r>
      <w:r w:rsidR="000A7AAB" w:rsidRPr="002C4077">
        <w:t xml:space="preserve"> </w:t>
      </w:r>
      <w:r w:rsidR="000A7AAB">
        <w:t>à</w:t>
      </w:r>
      <w:r w:rsidR="000A7AAB" w:rsidRPr="002C4077">
        <w:t xml:space="preserve"> </w:t>
      </w:r>
      <w:r w:rsidR="000A7AAB">
        <w:t>l’ange</w:t>
      </w:r>
      <w:r>
        <w:t> :</w:t>
      </w:r>
      <w:r w:rsidR="000A7AAB" w:rsidRPr="002C4077">
        <w:t xml:space="preserve"> </w:t>
      </w:r>
      <w:r w:rsidR="000A7AAB">
        <w:t>Comment</w:t>
      </w:r>
      <w:r w:rsidR="000A7AAB" w:rsidRPr="002C4077">
        <w:t xml:space="preserve"> </w:t>
      </w:r>
      <w:r w:rsidR="000A7AAB">
        <w:t>arrivera</w:t>
      </w:r>
      <w:r w:rsidR="000A7AAB" w:rsidRPr="002C4077">
        <w:t xml:space="preserve"> </w:t>
      </w:r>
      <w:r w:rsidR="000A7AAB">
        <w:t>ceci,</w:t>
      </w:r>
      <w:r w:rsidR="000A7AAB" w:rsidRPr="002C4077">
        <w:t xml:space="preserve"> </w:t>
      </w:r>
      <w:r w:rsidR="000A7AAB">
        <w:t>vu</w:t>
      </w:r>
      <w:r w:rsidR="000A7AAB" w:rsidRPr="002C4077">
        <w:t xml:space="preserve"> </w:t>
      </w:r>
      <w:r w:rsidR="000A7AAB">
        <w:t>que</w:t>
      </w:r>
      <w:r w:rsidR="000A7AAB" w:rsidRPr="002C4077">
        <w:t xml:space="preserve"> </w:t>
      </w:r>
      <w:r w:rsidR="000A7AAB">
        <w:t>je</w:t>
      </w:r>
      <w:r w:rsidR="000A7AAB" w:rsidRPr="002C4077">
        <w:t xml:space="preserve"> </w:t>
      </w:r>
      <w:r w:rsidR="000A7AAB">
        <w:t>ne</w:t>
      </w:r>
      <w:r w:rsidR="000A7AAB" w:rsidRPr="002C4077">
        <w:t xml:space="preserve"> </w:t>
      </w:r>
      <w:r w:rsidR="000A7AAB">
        <w:t>connais</w:t>
      </w:r>
      <w:r w:rsidR="000A7AAB" w:rsidRPr="002C4077">
        <w:t xml:space="preserve"> </w:t>
      </w:r>
      <w:r w:rsidR="000A7AAB">
        <w:t>point</w:t>
      </w:r>
      <w:r w:rsidR="000A7AAB" w:rsidRPr="002C4077">
        <w:t xml:space="preserve"> </w:t>
      </w:r>
      <w:r w:rsidR="000A7AAB">
        <w:t>d’homme</w:t>
      </w:r>
      <w:r>
        <w:t> ?</w:t>
      </w:r>
      <w:r w:rsidR="000A7AAB" w:rsidRPr="002C4077">
        <w:t xml:space="preserve"> </w:t>
      </w:r>
      <w:r w:rsidR="000A7AAB">
        <w:t>Et</w:t>
      </w:r>
      <w:r w:rsidR="000A7AAB" w:rsidRPr="002C4077">
        <w:t xml:space="preserve"> </w:t>
      </w:r>
      <w:r w:rsidR="000A7AAB">
        <w:t>l’ange,</w:t>
      </w:r>
      <w:r w:rsidR="000A7AAB" w:rsidRPr="002C4077">
        <w:t xml:space="preserve"> </w:t>
      </w:r>
      <w:r w:rsidR="000A7AAB">
        <w:t>répondant,</w:t>
      </w:r>
      <w:r w:rsidR="000A7AAB" w:rsidRPr="002C4077">
        <w:t xml:space="preserve"> </w:t>
      </w:r>
      <w:r w:rsidR="000A7AAB">
        <w:t>lui</w:t>
      </w:r>
      <w:r w:rsidR="000A7AAB" w:rsidRPr="002C4077">
        <w:t xml:space="preserve"> </w:t>
      </w:r>
      <w:r w:rsidR="000A7AAB">
        <w:t>dit</w:t>
      </w:r>
      <w:r>
        <w:t> :</w:t>
      </w:r>
      <w:r w:rsidR="000A7AAB" w:rsidRPr="002C4077">
        <w:t xml:space="preserve"> </w:t>
      </w:r>
      <w:r w:rsidR="000A7AAB">
        <w:t>Le</w:t>
      </w:r>
      <w:r w:rsidR="000A7AAB" w:rsidRPr="002C4077">
        <w:t xml:space="preserve"> </w:t>
      </w:r>
      <w:r w:rsidR="000A7AAB">
        <w:t>Saint-Esprit</w:t>
      </w:r>
      <w:r w:rsidR="000A7AAB" w:rsidRPr="002C4077">
        <w:t xml:space="preserve"> </w:t>
      </w:r>
      <w:r w:rsidR="000A7AAB">
        <w:t>surviendra</w:t>
      </w:r>
      <w:r w:rsidR="000A7AAB" w:rsidRPr="002C4077">
        <w:t xml:space="preserve"> </w:t>
      </w:r>
      <w:r w:rsidR="000A7AAB">
        <w:t>en</w:t>
      </w:r>
      <w:r w:rsidR="000A7AAB" w:rsidRPr="002C4077">
        <w:t xml:space="preserve"> </w:t>
      </w:r>
      <w:r w:rsidR="000A7AAB">
        <w:t>toi,</w:t>
      </w:r>
      <w:r w:rsidR="000A7AAB" w:rsidRPr="002C4077">
        <w:t xml:space="preserve"> </w:t>
      </w:r>
      <w:r w:rsidR="000A7AAB">
        <w:t>et</w:t>
      </w:r>
      <w:r w:rsidR="000A7AAB" w:rsidRPr="002C4077">
        <w:t xml:space="preserve"> </w:t>
      </w:r>
      <w:r w:rsidR="000A7AAB">
        <w:t>la</w:t>
      </w:r>
      <w:r w:rsidR="000A7AAB" w:rsidRPr="002C4077">
        <w:t xml:space="preserve"> </w:t>
      </w:r>
      <w:r w:rsidR="000A7AAB">
        <w:t>vertu</w:t>
      </w:r>
      <w:r w:rsidR="000A7AAB" w:rsidRPr="002C4077">
        <w:t xml:space="preserve"> </w:t>
      </w:r>
      <w:r w:rsidR="000A7AAB">
        <w:t>du</w:t>
      </w:r>
      <w:r w:rsidR="000A7AAB" w:rsidRPr="002C4077">
        <w:t xml:space="preserve"> </w:t>
      </w:r>
      <w:r w:rsidR="000A7AAB">
        <w:t>Souverain</w:t>
      </w:r>
      <w:r w:rsidR="000A7AAB" w:rsidRPr="002C4077">
        <w:t xml:space="preserve"> </w:t>
      </w:r>
      <w:r w:rsidR="000A7AAB">
        <w:t>t’enombrera</w:t>
      </w:r>
      <w:r w:rsidR="00B91AF7">
        <w:rPr>
          <w:rStyle w:val="Appelnotedebasdep"/>
        </w:rPr>
        <w:footnoteReference w:id="690"/>
      </w:r>
      <w:r>
        <w:t> ;</w:t>
      </w:r>
      <w:r w:rsidR="000A7AAB" w:rsidRPr="002C4077">
        <w:t xml:space="preserve"> </w:t>
      </w:r>
      <w:r w:rsidR="000A7AAB">
        <w:t>c’est</w:t>
      </w:r>
      <w:r w:rsidR="000A7AAB" w:rsidRPr="002C4077">
        <w:t xml:space="preserve"> </w:t>
      </w:r>
      <w:r w:rsidR="000A7AAB">
        <w:t>pourquoi</w:t>
      </w:r>
      <w:r w:rsidR="000A7AAB" w:rsidRPr="002C4077">
        <w:t xml:space="preserve"> </w:t>
      </w:r>
      <w:r w:rsidR="000A7AAB">
        <w:t>ce</w:t>
      </w:r>
      <w:r w:rsidR="000A7AAB" w:rsidRPr="002C4077">
        <w:t xml:space="preserve"> </w:t>
      </w:r>
      <w:r w:rsidR="000A7AAB">
        <w:t>qui</w:t>
      </w:r>
      <w:r w:rsidR="000A7AAB" w:rsidRPr="002C4077">
        <w:t xml:space="preserve"> </w:t>
      </w:r>
      <w:r w:rsidR="000A7AAB">
        <w:t>naîtra</w:t>
      </w:r>
      <w:r w:rsidR="000A7AAB" w:rsidRPr="002C4077">
        <w:t xml:space="preserve"> </w:t>
      </w:r>
      <w:r w:rsidR="000A7AAB">
        <w:t>de</w:t>
      </w:r>
      <w:r w:rsidR="000A7AAB" w:rsidRPr="002C4077">
        <w:t xml:space="preserve"> </w:t>
      </w:r>
      <w:r w:rsidR="000A7AAB">
        <w:t>toi</w:t>
      </w:r>
      <w:r w:rsidR="000A7AAB" w:rsidRPr="002C4077">
        <w:t xml:space="preserve"> </w:t>
      </w:r>
      <w:r w:rsidR="000A7AAB">
        <w:t>saint,</w:t>
      </w:r>
      <w:r w:rsidR="000A7AAB" w:rsidRPr="002C4077">
        <w:t xml:space="preserve"> </w:t>
      </w:r>
      <w:r w:rsidR="000A7AAB">
        <w:t>sera</w:t>
      </w:r>
      <w:r w:rsidR="000A7AAB" w:rsidRPr="002C4077">
        <w:t xml:space="preserve"> </w:t>
      </w:r>
      <w:r w:rsidR="000A7AAB">
        <w:t>appelé</w:t>
      </w:r>
      <w:r w:rsidR="000A7AAB" w:rsidRPr="002C4077">
        <w:t xml:space="preserve"> </w:t>
      </w:r>
      <w:r w:rsidR="000A7AAB">
        <w:t>le</w:t>
      </w:r>
      <w:r w:rsidR="000A7AAB" w:rsidRPr="002C4077">
        <w:t xml:space="preserve"> </w:t>
      </w:r>
      <w:r w:rsidR="000A7AAB">
        <w:t>Fils</w:t>
      </w:r>
      <w:r w:rsidR="000A7AAB" w:rsidRPr="002C4077">
        <w:t xml:space="preserve"> </w:t>
      </w:r>
      <w:r w:rsidR="000A7AAB">
        <w:t>de</w:t>
      </w:r>
      <w:r w:rsidR="000A7AAB" w:rsidRPr="002C4077">
        <w:t xml:space="preserve"> </w:t>
      </w:r>
      <w:r w:rsidR="000A7AAB">
        <w:t>Dieu.</w:t>
      </w:r>
      <w:r w:rsidR="000A7AAB" w:rsidRPr="002C4077">
        <w:t xml:space="preserve"> </w:t>
      </w:r>
      <w:r w:rsidR="000A7AAB">
        <w:t>Et</w:t>
      </w:r>
      <w:r w:rsidR="000A7AAB" w:rsidRPr="002C4077">
        <w:t xml:space="preserve"> </w:t>
      </w:r>
      <w:r w:rsidR="000A7AAB">
        <w:t>voici,</w:t>
      </w:r>
      <w:r w:rsidR="000A7AAB" w:rsidRPr="002C4077">
        <w:t xml:space="preserve"> </w:t>
      </w:r>
      <w:r w:rsidR="000A7AAB">
        <w:t>Élisabeth,</w:t>
      </w:r>
      <w:r w:rsidR="000A7AAB" w:rsidRPr="002C4077">
        <w:t xml:space="preserve"> </w:t>
      </w:r>
      <w:r w:rsidR="000A7AAB">
        <w:t>ta</w:t>
      </w:r>
      <w:r w:rsidR="000A7AAB" w:rsidRPr="002C4077">
        <w:t xml:space="preserve"> </w:t>
      </w:r>
      <w:r w:rsidR="000A7AAB">
        <w:t>cousine,</w:t>
      </w:r>
      <w:r w:rsidR="000A7AAB" w:rsidRPr="002C4077">
        <w:t xml:space="preserve"> </w:t>
      </w:r>
      <w:r w:rsidR="000A7AAB">
        <w:t>a</w:t>
      </w:r>
      <w:r w:rsidR="000A7AAB" w:rsidRPr="002C4077">
        <w:t xml:space="preserve"> </w:t>
      </w:r>
      <w:r w:rsidR="000A7AAB">
        <w:t>aussi</w:t>
      </w:r>
      <w:r w:rsidR="000A7AAB" w:rsidRPr="002C4077">
        <w:t xml:space="preserve"> </w:t>
      </w:r>
      <w:r w:rsidR="000A7AAB">
        <w:t>conçu</w:t>
      </w:r>
      <w:r w:rsidR="000A7AAB" w:rsidRPr="002C4077">
        <w:t xml:space="preserve"> </w:t>
      </w:r>
      <w:r w:rsidR="000A7AAB">
        <w:t>un</w:t>
      </w:r>
      <w:r w:rsidR="000A7AAB" w:rsidRPr="002C4077">
        <w:t xml:space="preserve"> </w:t>
      </w:r>
      <w:r w:rsidR="000A7AAB">
        <w:t>fils</w:t>
      </w:r>
      <w:r w:rsidR="000A7AAB" w:rsidRPr="002C4077">
        <w:t xml:space="preserve"> </w:t>
      </w:r>
      <w:r w:rsidR="000A7AAB">
        <w:t>en</w:t>
      </w:r>
      <w:r w:rsidR="000A7AAB" w:rsidRPr="002C4077">
        <w:t xml:space="preserve"> </w:t>
      </w:r>
      <w:r w:rsidR="000A7AAB">
        <w:t>sa</w:t>
      </w:r>
      <w:r w:rsidR="000A7AAB" w:rsidRPr="002C4077">
        <w:t xml:space="preserve"> </w:t>
      </w:r>
      <w:r w:rsidR="000A7AAB">
        <w:t>vieillesse</w:t>
      </w:r>
      <w:r>
        <w:t> ;</w:t>
      </w:r>
      <w:r w:rsidR="000A7AAB" w:rsidRPr="002C4077">
        <w:t xml:space="preserve"> </w:t>
      </w:r>
      <w:r w:rsidR="000A7AAB">
        <w:t>et</w:t>
      </w:r>
      <w:r w:rsidR="000A7AAB" w:rsidRPr="002C4077">
        <w:t xml:space="preserve"> </w:t>
      </w:r>
      <w:r w:rsidR="000A7AAB">
        <w:t>c’est</w:t>
      </w:r>
      <w:r w:rsidR="000A7AAB" w:rsidRPr="002C4077">
        <w:t xml:space="preserve"> </w:t>
      </w:r>
      <w:r w:rsidR="000A7AAB">
        <w:t>ici</w:t>
      </w:r>
      <w:r w:rsidR="000A7AAB" w:rsidRPr="002C4077">
        <w:t xml:space="preserve"> </w:t>
      </w:r>
      <w:r w:rsidR="000A7AAB">
        <w:t>le</w:t>
      </w:r>
      <w:r w:rsidR="000A7AAB" w:rsidRPr="002C4077">
        <w:t xml:space="preserve"> </w:t>
      </w:r>
      <w:r w:rsidR="000A7AAB">
        <w:t>sixième</w:t>
      </w:r>
      <w:r w:rsidR="000A7AAB" w:rsidRPr="002C4077">
        <w:t xml:space="preserve"> </w:t>
      </w:r>
      <w:r w:rsidR="000A7AAB">
        <w:t>mois</w:t>
      </w:r>
      <w:r w:rsidR="000A7AAB" w:rsidRPr="002C4077">
        <w:t xml:space="preserve"> </w:t>
      </w:r>
      <w:r w:rsidR="000A7AAB">
        <w:t>à</w:t>
      </w:r>
      <w:r w:rsidR="000A7AAB" w:rsidRPr="002C4077">
        <w:t xml:space="preserve"> </w:t>
      </w:r>
      <w:r w:rsidR="000A7AAB">
        <w:lastRenderedPageBreak/>
        <w:t>celle</w:t>
      </w:r>
      <w:r w:rsidR="000A7AAB" w:rsidRPr="002C4077">
        <w:t xml:space="preserve"> </w:t>
      </w:r>
      <w:r w:rsidR="000A7AAB">
        <w:t>qui</w:t>
      </w:r>
      <w:r w:rsidR="000A7AAB" w:rsidRPr="002C4077">
        <w:t xml:space="preserve"> </w:t>
      </w:r>
      <w:r w:rsidR="000A7AAB">
        <w:t>était</w:t>
      </w:r>
      <w:r w:rsidR="000A7AAB" w:rsidRPr="002C4077">
        <w:t xml:space="preserve"> </w:t>
      </w:r>
      <w:r w:rsidR="000A7AAB">
        <w:t>appelée</w:t>
      </w:r>
      <w:r w:rsidR="000A7AAB" w:rsidRPr="002C4077">
        <w:t xml:space="preserve"> </w:t>
      </w:r>
      <w:r w:rsidR="000A7AAB">
        <w:t>stérile,</w:t>
      </w:r>
      <w:r w:rsidR="000A7AAB" w:rsidRPr="002C4077">
        <w:t xml:space="preserve"> </w:t>
      </w:r>
      <w:r w:rsidR="000A7AAB">
        <w:t>car</w:t>
      </w:r>
      <w:r w:rsidR="000A7AAB" w:rsidRPr="002C4077">
        <w:t xml:space="preserve"> </w:t>
      </w:r>
      <w:r w:rsidR="000A7AAB">
        <w:t>aucune</w:t>
      </w:r>
      <w:r w:rsidR="000A7AAB" w:rsidRPr="002C4077">
        <w:t xml:space="preserve"> </w:t>
      </w:r>
      <w:r w:rsidR="000A7AAB">
        <w:t>chose</w:t>
      </w:r>
      <w:r w:rsidR="000A7AAB" w:rsidRPr="002C4077">
        <w:t xml:space="preserve"> </w:t>
      </w:r>
      <w:r w:rsidR="000A7AAB">
        <w:t>ne</w:t>
      </w:r>
      <w:r w:rsidR="000A7AAB" w:rsidRPr="002C4077">
        <w:t xml:space="preserve"> </w:t>
      </w:r>
      <w:r w:rsidR="000A7AAB">
        <w:t>sera</w:t>
      </w:r>
      <w:r w:rsidR="000A7AAB" w:rsidRPr="002C4077">
        <w:t xml:space="preserve"> </w:t>
      </w:r>
      <w:r w:rsidR="000A7AAB">
        <w:t>impossible</w:t>
      </w:r>
      <w:r w:rsidR="000A7AAB" w:rsidRPr="002C4077">
        <w:t xml:space="preserve"> </w:t>
      </w:r>
      <w:r w:rsidR="000A7AAB">
        <w:t>à</w:t>
      </w:r>
      <w:r w:rsidR="000A7AAB" w:rsidRPr="002C4077">
        <w:t xml:space="preserve"> </w:t>
      </w:r>
      <w:r w:rsidR="000A7AAB">
        <w:t>Dieu.</w:t>
      </w:r>
      <w:r w:rsidR="000A7AAB" w:rsidRPr="002C4077">
        <w:t xml:space="preserve"> </w:t>
      </w:r>
      <w:r w:rsidR="000A7AAB">
        <w:t>Et</w:t>
      </w:r>
      <w:r w:rsidR="000A7AAB" w:rsidRPr="002C4077">
        <w:t xml:space="preserve"> </w:t>
      </w:r>
      <w:r w:rsidR="000A7AAB">
        <w:t>Marie</w:t>
      </w:r>
      <w:r w:rsidR="000A7AAB" w:rsidRPr="002C4077">
        <w:t xml:space="preserve"> </w:t>
      </w:r>
      <w:r w:rsidR="000A7AAB">
        <w:t>dit</w:t>
      </w:r>
      <w:r>
        <w:t> :</w:t>
      </w:r>
      <w:r w:rsidR="000A7AAB" w:rsidRPr="002C4077">
        <w:t xml:space="preserve"> </w:t>
      </w:r>
      <w:r w:rsidR="000A7AAB">
        <w:t>Voici</w:t>
      </w:r>
      <w:r w:rsidR="000A7AAB" w:rsidRPr="002C4077">
        <w:t xml:space="preserve"> </w:t>
      </w:r>
      <w:r w:rsidR="000A7AAB">
        <w:t>la</w:t>
      </w:r>
      <w:r w:rsidR="000A7AAB" w:rsidRPr="002C4077">
        <w:t xml:space="preserve"> </w:t>
      </w:r>
      <w:r w:rsidR="000A7AAB">
        <w:t>servante</w:t>
      </w:r>
      <w:r w:rsidR="000A7AAB" w:rsidRPr="002C4077">
        <w:t xml:space="preserve"> </w:t>
      </w:r>
      <w:r w:rsidR="000A7AAB">
        <w:t>du</w:t>
      </w:r>
      <w:r w:rsidR="000A7AAB" w:rsidRPr="002C4077">
        <w:t xml:space="preserve"> </w:t>
      </w:r>
      <w:r w:rsidR="000A7AAB">
        <w:t>Seigneur</w:t>
      </w:r>
      <w:r>
        <w:t> ;</w:t>
      </w:r>
      <w:r w:rsidR="000A7AAB" w:rsidRPr="002C4077">
        <w:t xml:space="preserve"> </w:t>
      </w:r>
      <w:r w:rsidR="000A7AAB">
        <w:t>qu’il</w:t>
      </w:r>
      <w:r w:rsidR="000A7AAB" w:rsidRPr="002C4077">
        <w:t xml:space="preserve"> </w:t>
      </w:r>
      <w:r w:rsidR="000A7AAB">
        <w:t>me</w:t>
      </w:r>
      <w:r w:rsidR="000A7AAB" w:rsidRPr="002C4077">
        <w:t xml:space="preserve"> </w:t>
      </w:r>
      <w:r w:rsidR="000A7AAB">
        <w:t>soit</w:t>
      </w:r>
      <w:r w:rsidR="000A7AAB" w:rsidRPr="002C4077">
        <w:t xml:space="preserve"> </w:t>
      </w:r>
      <w:r w:rsidR="000A7AAB">
        <w:t>fait</w:t>
      </w:r>
      <w:r w:rsidR="000A7AAB" w:rsidRPr="002C4077">
        <w:t xml:space="preserve"> </w:t>
      </w:r>
      <w:r w:rsidR="000A7AAB">
        <w:t>selon</w:t>
      </w:r>
      <w:r w:rsidR="000A7AAB" w:rsidRPr="002C4077">
        <w:t xml:space="preserve"> </w:t>
      </w:r>
      <w:r w:rsidR="000A7AAB">
        <w:t>ta</w:t>
      </w:r>
      <w:r w:rsidR="000A7AAB" w:rsidRPr="002C4077">
        <w:t xml:space="preserve"> </w:t>
      </w:r>
      <w:r w:rsidR="000A7AAB">
        <w:t>parole</w:t>
      </w:r>
      <w:r>
        <w:t> !</w:t>
      </w:r>
      <w:r w:rsidR="000A7AAB" w:rsidRPr="002C4077">
        <w:t xml:space="preserve"> </w:t>
      </w:r>
      <w:r w:rsidR="000A7AAB">
        <w:t>Et</w:t>
      </w:r>
      <w:r w:rsidR="000A7AAB" w:rsidRPr="002C4077">
        <w:t xml:space="preserve"> </w:t>
      </w:r>
      <w:r w:rsidR="000A7AAB">
        <w:t>l’ange</w:t>
      </w:r>
      <w:r w:rsidR="000A7AAB" w:rsidRPr="002C4077">
        <w:t xml:space="preserve"> </w:t>
      </w:r>
      <w:r w:rsidR="000A7AAB">
        <w:t>se</w:t>
      </w:r>
      <w:r w:rsidR="000A7AAB" w:rsidRPr="002C4077">
        <w:t xml:space="preserve"> </w:t>
      </w:r>
      <w:r w:rsidR="000A7AAB">
        <w:t>retira</w:t>
      </w:r>
      <w:r w:rsidR="000A7AAB" w:rsidRPr="002C4077">
        <w:t xml:space="preserve"> </w:t>
      </w:r>
      <w:r w:rsidR="000A7AAB">
        <w:t>d’avec</w:t>
      </w:r>
      <w:r w:rsidR="000A7AAB" w:rsidRPr="002C4077">
        <w:t xml:space="preserve"> </w:t>
      </w:r>
      <w:r w:rsidR="000A7AAB">
        <w:t>elle</w:t>
      </w:r>
      <w:r w:rsidR="00B91AF7">
        <w:rPr>
          <w:rStyle w:val="Appelnotedebasdep"/>
        </w:rPr>
        <w:footnoteReference w:id="691"/>
      </w:r>
      <w:r>
        <w:t> »</w:t>
      </w:r>
      <w:r w:rsidR="000A7AAB">
        <w:t>.</w:t>
      </w:r>
      <w:r w:rsidR="000A7AAB" w:rsidRPr="002C4077">
        <w:t xml:space="preserve"> </w:t>
      </w:r>
    </w:p>
    <w:p w:rsidR="000A7AAB" w:rsidRDefault="000A7AAB" w:rsidP="000A7AAB">
      <w:r>
        <w:t>Toute</w:t>
      </w:r>
      <w:r w:rsidRPr="002C4077">
        <w:t xml:space="preserve"> </w:t>
      </w:r>
      <w:r>
        <w:t>l’histoire,</w:t>
      </w:r>
      <w:r w:rsidRPr="002C4077">
        <w:t xml:space="preserve"> </w:t>
      </w:r>
      <w:r>
        <w:t>toute</w:t>
      </w:r>
      <w:r w:rsidRPr="002C4077">
        <w:t xml:space="preserve"> </w:t>
      </w:r>
      <w:r>
        <w:t>la</w:t>
      </w:r>
      <w:r w:rsidRPr="002C4077">
        <w:t xml:space="preserve"> </w:t>
      </w:r>
      <w:r>
        <w:t>gloire</w:t>
      </w:r>
      <w:r w:rsidRPr="002C4077">
        <w:t xml:space="preserve"> </w:t>
      </w:r>
      <w:r>
        <w:t>de</w:t>
      </w:r>
      <w:r w:rsidRPr="002C4077">
        <w:t xml:space="preserve"> </w:t>
      </w:r>
      <w:r>
        <w:t>Nazareth</w:t>
      </w:r>
      <w:r w:rsidRPr="002C4077">
        <w:t xml:space="preserve"> </w:t>
      </w:r>
      <w:r>
        <w:t>sont</w:t>
      </w:r>
      <w:r w:rsidRPr="002C4077">
        <w:t xml:space="preserve"> </w:t>
      </w:r>
      <w:r>
        <w:t>concentrées</w:t>
      </w:r>
      <w:r w:rsidRPr="002C4077">
        <w:t xml:space="preserve"> </w:t>
      </w:r>
      <w:r>
        <w:t>dans</w:t>
      </w:r>
      <w:r w:rsidRPr="002C4077">
        <w:t xml:space="preserve"> </w:t>
      </w:r>
      <w:r>
        <w:t>ce</w:t>
      </w:r>
      <w:r w:rsidRPr="002C4077">
        <w:t xml:space="preserve"> </w:t>
      </w:r>
      <w:r>
        <w:t>récit.</w:t>
      </w:r>
      <w:r w:rsidRPr="002C4077">
        <w:t xml:space="preserve"> </w:t>
      </w:r>
      <w:r>
        <w:t>Qu’importe,</w:t>
      </w:r>
      <w:r w:rsidRPr="002C4077">
        <w:t xml:space="preserve"> </w:t>
      </w:r>
      <w:r>
        <w:t>après</w:t>
      </w:r>
      <w:r w:rsidRPr="002C4077">
        <w:t xml:space="preserve"> </w:t>
      </w:r>
      <w:r>
        <w:t>cela,</w:t>
      </w:r>
      <w:r w:rsidRPr="002C4077">
        <w:t xml:space="preserve"> </w:t>
      </w:r>
      <w:r>
        <w:t>que</w:t>
      </w:r>
      <w:r w:rsidRPr="002C4077">
        <w:t xml:space="preserve"> </w:t>
      </w:r>
      <w:r>
        <w:t>son</w:t>
      </w:r>
      <w:r w:rsidRPr="002C4077">
        <w:t xml:space="preserve"> </w:t>
      </w:r>
      <w:r>
        <w:t>nom</w:t>
      </w:r>
      <w:r w:rsidRPr="002C4077">
        <w:t xml:space="preserve"> </w:t>
      </w:r>
      <w:r>
        <w:t>n’apparaisse</w:t>
      </w:r>
      <w:r w:rsidRPr="002C4077">
        <w:t xml:space="preserve"> </w:t>
      </w:r>
      <w:r>
        <w:t>pas</w:t>
      </w:r>
      <w:r w:rsidRPr="002C4077">
        <w:t xml:space="preserve"> </w:t>
      </w:r>
      <w:r>
        <w:t>une</w:t>
      </w:r>
      <w:r w:rsidRPr="002C4077">
        <w:t xml:space="preserve"> </w:t>
      </w:r>
      <w:r>
        <w:t>seule</w:t>
      </w:r>
      <w:r w:rsidRPr="002C4077">
        <w:t xml:space="preserve"> </w:t>
      </w:r>
      <w:r>
        <w:t>fois</w:t>
      </w:r>
      <w:r w:rsidRPr="002C4077">
        <w:t xml:space="preserve"> </w:t>
      </w:r>
      <w:r>
        <w:t>dans</w:t>
      </w:r>
      <w:r w:rsidRPr="002C4077">
        <w:t xml:space="preserve"> </w:t>
      </w:r>
      <w:r>
        <w:t>les</w:t>
      </w:r>
      <w:r w:rsidRPr="002C4077">
        <w:t xml:space="preserve"> </w:t>
      </w:r>
      <w:r>
        <w:t>livres</w:t>
      </w:r>
      <w:r w:rsidRPr="002C4077">
        <w:t xml:space="preserve"> </w:t>
      </w:r>
      <w:r>
        <w:t>de</w:t>
      </w:r>
      <w:r w:rsidRPr="002C4077">
        <w:t xml:space="preserve"> </w:t>
      </w:r>
      <w:r>
        <w:t>l’Ancien</w:t>
      </w:r>
      <w:r w:rsidRPr="002C4077">
        <w:t xml:space="preserve"> </w:t>
      </w:r>
      <w:r>
        <w:t>Testament,</w:t>
      </w:r>
      <w:r w:rsidRPr="002C4077">
        <w:t xml:space="preserve"> </w:t>
      </w:r>
      <w:r>
        <w:t>qu’il</w:t>
      </w:r>
      <w:r w:rsidRPr="002C4077">
        <w:t xml:space="preserve"> </w:t>
      </w:r>
      <w:r>
        <w:t>soit</w:t>
      </w:r>
      <w:r w:rsidRPr="002C4077">
        <w:t xml:space="preserve"> </w:t>
      </w:r>
      <w:r>
        <w:t>pareillement</w:t>
      </w:r>
      <w:r w:rsidRPr="002C4077">
        <w:t xml:space="preserve"> </w:t>
      </w:r>
      <w:r>
        <w:t>omis</w:t>
      </w:r>
      <w:r w:rsidRPr="002C4077">
        <w:t xml:space="preserve"> </w:t>
      </w:r>
      <w:r>
        <w:t>dans</w:t>
      </w:r>
      <w:r w:rsidRPr="002C4077">
        <w:t xml:space="preserve"> </w:t>
      </w:r>
      <w:r>
        <w:t>le</w:t>
      </w:r>
      <w:r w:rsidR="0043070A">
        <w:t>s</w:t>
      </w:r>
      <w:r w:rsidR="0043070A" w:rsidRPr="002C4077">
        <w:t xml:space="preserve"> </w:t>
      </w:r>
      <w:r w:rsidR="0043070A">
        <w:t>écrits</w:t>
      </w:r>
      <w:r w:rsidR="0043070A" w:rsidRPr="002C4077">
        <w:t xml:space="preserve"> </w:t>
      </w:r>
      <w:r w:rsidR="0043070A">
        <w:t>de</w:t>
      </w:r>
      <w:r w:rsidR="0043070A" w:rsidRPr="002C4077">
        <w:t xml:space="preserve"> </w:t>
      </w:r>
      <w:r w:rsidR="0043070A">
        <w:t>l’historien</w:t>
      </w:r>
      <w:r w:rsidR="0043070A" w:rsidRPr="002C4077">
        <w:t xml:space="preserve"> </w:t>
      </w:r>
      <w:r w:rsidR="0043070A">
        <w:t>Josèphe</w:t>
      </w:r>
      <w:r w:rsidR="0043070A">
        <w:rPr>
          <w:rStyle w:val="Appelnotedebasdep"/>
        </w:rPr>
        <w:footnoteReference w:id="692"/>
      </w:r>
      <w:r w:rsidRPr="002C4077">
        <w:t xml:space="preserve"> </w:t>
      </w:r>
      <w:r>
        <w:t>et</w:t>
      </w:r>
      <w:r w:rsidRPr="002C4077">
        <w:t xml:space="preserve"> </w:t>
      </w:r>
      <w:r>
        <w:t>dans</w:t>
      </w:r>
      <w:r w:rsidRPr="002C4077">
        <w:t xml:space="preserve"> </w:t>
      </w:r>
      <w:r>
        <w:t>les</w:t>
      </w:r>
      <w:r w:rsidRPr="002C4077">
        <w:t xml:space="preserve"> </w:t>
      </w:r>
      <w:r>
        <w:t>différentes</w:t>
      </w:r>
      <w:r w:rsidRPr="002C4077">
        <w:t xml:space="preserve"> </w:t>
      </w:r>
      <w:r>
        <w:t>parties</w:t>
      </w:r>
      <w:r w:rsidRPr="002C4077">
        <w:t xml:space="preserve"> </w:t>
      </w:r>
      <w:r>
        <w:t>du</w:t>
      </w:r>
      <w:r w:rsidRPr="002C4077">
        <w:t xml:space="preserve"> </w:t>
      </w:r>
      <w:r>
        <w:t>Talmud</w:t>
      </w:r>
      <w:r w:rsidR="00B91AF7">
        <w:rPr>
          <w:rStyle w:val="Appelnotedebasdep"/>
        </w:rPr>
        <w:footnoteReference w:id="693"/>
      </w:r>
      <w:r w:rsidR="00B546AF">
        <w:t> ?</w:t>
      </w:r>
      <w:r w:rsidRPr="002C4077">
        <w:t xml:space="preserve"> </w:t>
      </w:r>
      <w:r>
        <w:t>L’Incarnation</w:t>
      </w:r>
      <w:r w:rsidRPr="002C4077">
        <w:t xml:space="preserve"> </w:t>
      </w:r>
      <w:r>
        <w:t>suffit</w:t>
      </w:r>
      <w:r w:rsidRPr="002C4077">
        <w:t xml:space="preserve"> </w:t>
      </w:r>
      <w:r>
        <w:t>pour</w:t>
      </w:r>
      <w:r w:rsidRPr="002C4077">
        <w:t xml:space="preserve"> </w:t>
      </w:r>
      <w:r>
        <w:t>lui</w:t>
      </w:r>
      <w:r w:rsidRPr="002C4077">
        <w:t xml:space="preserve"> </w:t>
      </w:r>
      <w:r>
        <w:t>donner</w:t>
      </w:r>
      <w:r w:rsidRPr="002C4077">
        <w:t xml:space="preserve"> </w:t>
      </w:r>
      <w:r>
        <w:t>une</w:t>
      </w:r>
      <w:r w:rsidRPr="002C4077">
        <w:t xml:space="preserve"> </w:t>
      </w:r>
      <w:r>
        <w:t>célébrité</w:t>
      </w:r>
      <w:r w:rsidRPr="002C4077">
        <w:t xml:space="preserve"> </w:t>
      </w:r>
      <w:r>
        <w:t>incomparable.</w:t>
      </w:r>
      <w:r w:rsidRPr="002C4077">
        <w:t xml:space="preserve"> </w:t>
      </w:r>
      <w:r>
        <w:t>Que</w:t>
      </w:r>
      <w:r w:rsidRPr="002C4077">
        <w:t xml:space="preserve"> </w:t>
      </w:r>
      <w:r>
        <w:t>d’autres</w:t>
      </w:r>
      <w:r w:rsidRPr="002C4077">
        <w:t xml:space="preserve"> </w:t>
      </w:r>
      <w:r>
        <w:t>cités</w:t>
      </w:r>
      <w:r w:rsidRPr="002C4077">
        <w:t xml:space="preserve"> </w:t>
      </w:r>
      <w:r>
        <w:t>se</w:t>
      </w:r>
      <w:r w:rsidRPr="002C4077">
        <w:t xml:space="preserve"> </w:t>
      </w:r>
      <w:r>
        <w:t>vantent</w:t>
      </w:r>
      <w:r w:rsidRPr="002C4077">
        <w:t xml:space="preserve"> </w:t>
      </w:r>
      <w:r>
        <w:t>d’avoir</w:t>
      </w:r>
      <w:r w:rsidRPr="002C4077">
        <w:t xml:space="preserve"> </w:t>
      </w:r>
      <w:r>
        <w:t>vu</w:t>
      </w:r>
      <w:r w:rsidRPr="002C4077">
        <w:t xml:space="preserve"> </w:t>
      </w:r>
      <w:r>
        <w:t>naître</w:t>
      </w:r>
      <w:r w:rsidRPr="002C4077">
        <w:t xml:space="preserve"> </w:t>
      </w:r>
      <w:r>
        <w:t>de</w:t>
      </w:r>
      <w:r w:rsidRPr="002C4077">
        <w:t xml:space="preserve"> </w:t>
      </w:r>
      <w:r>
        <w:t>grands</w:t>
      </w:r>
      <w:r w:rsidRPr="002C4077">
        <w:t xml:space="preserve"> </w:t>
      </w:r>
      <w:r>
        <w:t>conquérants,</w:t>
      </w:r>
      <w:r w:rsidRPr="002C4077">
        <w:t xml:space="preserve"> </w:t>
      </w:r>
      <w:r>
        <w:t>de</w:t>
      </w:r>
      <w:r w:rsidRPr="002C4077">
        <w:t xml:space="preserve"> </w:t>
      </w:r>
      <w:r>
        <w:t>bons</w:t>
      </w:r>
      <w:r w:rsidRPr="002C4077">
        <w:t xml:space="preserve"> </w:t>
      </w:r>
      <w:r>
        <w:t>rois,</w:t>
      </w:r>
      <w:r w:rsidRPr="002C4077">
        <w:t xml:space="preserve"> </w:t>
      </w:r>
      <w:r>
        <w:t>ou,</w:t>
      </w:r>
      <w:r w:rsidRPr="002C4077">
        <w:t xml:space="preserve"> </w:t>
      </w:r>
      <w:r>
        <w:t>ce</w:t>
      </w:r>
      <w:r w:rsidRPr="002C4077">
        <w:t xml:space="preserve"> </w:t>
      </w:r>
      <w:r>
        <w:t>qui</w:t>
      </w:r>
      <w:r w:rsidRPr="002C4077">
        <w:t xml:space="preserve"> </w:t>
      </w:r>
      <w:r>
        <w:t>vaut</w:t>
      </w:r>
      <w:r w:rsidRPr="002C4077">
        <w:t xml:space="preserve"> </w:t>
      </w:r>
      <w:r>
        <w:t>mieux</w:t>
      </w:r>
      <w:r w:rsidRPr="002C4077">
        <w:t xml:space="preserve"> </w:t>
      </w:r>
      <w:r>
        <w:t>encore,</w:t>
      </w:r>
      <w:r w:rsidRPr="002C4077">
        <w:t xml:space="preserve"> </w:t>
      </w:r>
      <w:r>
        <w:t>quelque</w:t>
      </w:r>
      <w:r w:rsidRPr="002C4077">
        <w:t xml:space="preserve"> </w:t>
      </w:r>
      <w:r>
        <w:t>saint</w:t>
      </w:r>
      <w:r w:rsidRPr="002C4077">
        <w:t xml:space="preserve"> </w:t>
      </w:r>
      <w:r>
        <w:t>renommé.</w:t>
      </w:r>
      <w:r w:rsidR="00C45B47">
        <w:t xml:space="preserve"> {</w:t>
      </w:r>
      <w:r w:rsidR="001F5257">
        <w:t>207</w:t>
      </w:r>
      <w:bookmarkStart w:id="517" w:name="p207"/>
      <w:bookmarkEnd w:id="517"/>
      <w:r w:rsidR="001F5257">
        <w:t xml:space="preserve">} </w:t>
      </w:r>
      <w:r>
        <w:t>Nazareth,</w:t>
      </w:r>
      <w:r w:rsidRPr="002C4077">
        <w:t xml:space="preserve"> </w:t>
      </w:r>
      <w:r>
        <w:t>quand</w:t>
      </w:r>
      <w:r w:rsidRPr="002C4077">
        <w:t xml:space="preserve"> </w:t>
      </w:r>
      <w:r>
        <w:t>son</w:t>
      </w:r>
      <w:r w:rsidRPr="002C4077">
        <w:t xml:space="preserve"> </w:t>
      </w:r>
      <w:r>
        <w:t>tour</w:t>
      </w:r>
      <w:r w:rsidRPr="002C4077">
        <w:t xml:space="preserve"> </w:t>
      </w:r>
      <w:r>
        <w:t>sera</w:t>
      </w:r>
      <w:r w:rsidRPr="002C4077">
        <w:t xml:space="preserve"> </w:t>
      </w:r>
      <w:r>
        <w:t>venu</w:t>
      </w:r>
      <w:r w:rsidRPr="002C4077">
        <w:t xml:space="preserve"> </w:t>
      </w:r>
      <w:r>
        <w:t>de</w:t>
      </w:r>
      <w:r w:rsidRPr="002C4077">
        <w:t xml:space="preserve"> </w:t>
      </w:r>
      <w:r>
        <w:t>faire</w:t>
      </w:r>
      <w:r w:rsidRPr="002C4077">
        <w:t xml:space="preserve"> </w:t>
      </w:r>
      <w:r>
        <w:t>valoir</w:t>
      </w:r>
      <w:r w:rsidRPr="002C4077">
        <w:t xml:space="preserve"> </w:t>
      </w:r>
      <w:r>
        <w:t>ses</w:t>
      </w:r>
      <w:r w:rsidRPr="002C4077">
        <w:t xml:space="preserve"> </w:t>
      </w:r>
      <w:r>
        <w:t>titres,</w:t>
      </w:r>
      <w:r w:rsidRPr="002C4077">
        <w:t xml:space="preserve"> </w:t>
      </w:r>
      <w:r>
        <w:t>se</w:t>
      </w:r>
      <w:r w:rsidRPr="002C4077">
        <w:t xml:space="preserve"> </w:t>
      </w:r>
      <w:r>
        <w:t>contentera</w:t>
      </w:r>
      <w:r w:rsidRPr="002C4077">
        <w:t xml:space="preserve"> </w:t>
      </w:r>
      <w:r>
        <w:t>de</w:t>
      </w:r>
      <w:r w:rsidRPr="002C4077">
        <w:t xml:space="preserve"> </w:t>
      </w:r>
      <w:r>
        <w:t>nous</w:t>
      </w:r>
      <w:r w:rsidRPr="002C4077">
        <w:t xml:space="preserve"> </w:t>
      </w:r>
      <w:r>
        <w:t>montrer,</w:t>
      </w:r>
      <w:r w:rsidRPr="002C4077">
        <w:t xml:space="preserve"> </w:t>
      </w:r>
      <w:r>
        <w:t>dans</w:t>
      </w:r>
      <w:r w:rsidRPr="002C4077">
        <w:t xml:space="preserve"> </w:t>
      </w:r>
      <w:r>
        <w:t>la</w:t>
      </w:r>
      <w:r w:rsidRPr="002C4077">
        <w:t xml:space="preserve"> </w:t>
      </w:r>
      <w:r>
        <w:t>petite</w:t>
      </w:r>
      <w:r w:rsidRPr="002C4077">
        <w:t xml:space="preserve"> </w:t>
      </w:r>
      <w:r>
        <w:t>grotte</w:t>
      </w:r>
      <w:r w:rsidRPr="002C4077">
        <w:t xml:space="preserve"> </w:t>
      </w:r>
      <w:r>
        <w:t>que</w:t>
      </w:r>
      <w:r w:rsidRPr="002C4077">
        <w:t xml:space="preserve"> </w:t>
      </w:r>
      <w:r>
        <w:t>nous</w:t>
      </w:r>
      <w:r w:rsidRPr="002C4077">
        <w:t xml:space="preserve"> </w:t>
      </w:r>
      <w:r>
        <w:t>décrirons</w:t>
      </w:r>
      <w:r w:rsidRPr="002C4077">
        <w:t xml:space="preserve"> </w:t>
      </w:r>
      <w:r>
        <w:t>plus</w:t>
      </w:r>
      <w:r w:rsidRPr="002C4077">
        <w:t xml:space="preserve"> </w:t>
      </w:r>
      <w:r>
        <w:t>loin,</w:t>
      </w:r>
      <w:r w:rsidRPr="002C4077">
        <w:t xml:space="preserve"> </w:t>
      </w:r>
      <w:r>
        <w:t>ces</w:t>
      </w:r>
      <w:r w:rsidRPr="002C4077">
        <w:t xml:space="preserve"> </w:t>
      </w:r>
      <w:r>
        <w:t>simples</w:t>
      </w:r>
      <w:r w:rsidRPr="002C4077">
        <w:t xml:space="preserve"> </w:t>
      </w:r>
      <w:r>
        <w:t>mots</w:t>
      </w:r>
      <w:r w:rsidRPr="002C4077">
        <w:t xml:space="preserve"> </w:t>
      </w:r>
      <w:r>
        <w:t>écrits</w:t>
      </w:r>
      <w:r w:rsidRPr="002C4077">
        <w:t xml:space="preserve"> </w:t>
      </w:r>
      <w:r>
        <w:t>sur</w:t>
      </w:r>
      <w:r w:rsidRPr="002C4077">
        <w:t xml:space="preserve"> </w:t>
      </w:r>
      <w:r>
        <w:t>le</w:t>
      </w:r>
      <w:r w:rsidRPr="002C4077">
        <w:t xml:space="preserve"> </w:t>
      </w:r>
      <w:r>
        <w:t>sol</w:t>
      </w:r>
      <w:r w:rsidR="00B546AF">
        <w:t> :</w:t>
      </w:r>
      <w:r w:rsidRPr="002C4077">
        <w:t xml:space="preserve"> </w:t>
      </w:r>
      <w:r w:rsidR="00B546AF">
        <w:t>« </w:t>
      </w:r>
      <w:r>
        <w:t>C’est</w:t>
      </w:r>
      <w:r w:rsidRPr="002C4077">
        <w:t xml:space="preserve"> </w:t>
      </w:r>
      <w:r>
        <w:t>ici</w:t>
      </w:r>
      <w:r w:rsidRPr="002C4077">
        <w:t xml:space="preserve"> </w:t>
      </w:r>
      <w:r>
        <w:t>que</w:t>
      </w:r>
      <w:r w:rsidRPr="002C4077">
        <w:t xml:space="preserve"> </w:t>
      </w:r>
      <w:r>
        <w:t>le</w:t>
      </w:r>
      <w:r w:rsidRPr="002C4077">
        <w:t xml:space="preserve"> </w:t>
      </w:r>
      <w:r w:rsidR="007B3C26">
        <w:t>Ve</w:t>
      </w:r>
      <w:r>
        <w:t>rbe</w:t>
      </w:r>
      <w:r w:rsidRPr="002C4077">
        <w:t xml:space="preserve"> </w:t>
      </w:r>
      <w:r>
        <w:t>s’est</w:t>
      </w:r>
      <w:r w:rsidRPr="002C4077">
        <w:t xml:space="preserve"> </w:t>
      </w:r>
      <w:r>
        <w:t>fait</w:t>
      </w:r>
      <w:r w:rsidRPr="002C4077">
        <w:t xml:space="preserve"> </w:t>
      </w:r>
      <w:r>
        <w:t>chair</w:t>
      </w:r>
      <w:r w:rsidR="00B546AF">
        <w:t> ! »</w:t>
      </w:r>
      <w:r w:rsidRPr="002C4077">
        <w:t xml:space="preserve"> </w:t>
      </w:r>
    </w:p>
    <w:p w:rsidR="000A7AAB" w:rsidRDefault="000A7AAB" w:rsidP="000A7AAB">
      <w:r>
        <w:t>Mais</w:t>
      </w:r>
      <w:r w:rsidRPr="002C4077">
        <w:t xml:space="preserve"> </w:t>
      </w:r>
      <w:r>
        <w:t>Nazareth</w:t>
      </w:r>
      <w:r w:rsidRPr="002C4077">
        <w:t xml:space="preserve"> </w:t>
      </w:r>
      <w:r>
        <w:t>n’est</w:t>
      </w:r>
      <w:r w:rsidRPr="002C4077">
        <w:t xml:space="preserve"> </w:t>
      </w:r>
      <w:r>
        <w:t>pas</w:t>
      </w:r>
      <w:r w:rsidRPr="002C4077">
        <w:t xml:space="preserve"> </w:t>
      </w:r>
      <w:r>
        <w:t>seulement</w:t>
      </w:r>
      <w:r w:rsidRPr="002C4077">
        <w:t xml:space="preserve"> </w:t>
      </w:r>
      <w:r>
        <w:t>le</w:t>
      </w:r>
      <w:r w:rsidRPr="002C4077">
        <w:t xml:space="preserve"> </w:t>
      </w:r>
      <w:r>
        <w:t>lieu</w:t>
      </w:r>
      <w:r w:rsidRPr="002C4077">
        <w:t xml:space="preserve"> </w:t>
      </w:r>
      <w:r>
        <w:t>de</w:t>
      </w:r>
      <w:r w:rsidRPr="002C4077">
        <w:t xml:space="preserve"> </w:t>
      </w:r>
      <w:r>
        <w:t>l’Annonciation</w:t>
      </w:r>
      <w:r w:rsidRPr="002C4077">
        <w:t xml:space="preserve"> </w:t>
      </w:r>
      <w:r>
        <w:t>de</w:t>
      </w:r>
      <w:r w:rsidRPr="002C4077">
        <w:t xml:space="preserve"> </w:t>
      </w:r>
      <w:r>
        <w:t>Marie</w:t>
      </w:r>
      <w:r w:rsidRPr="002C4077">
        <w:t xml:space="preserve"> </w:t>
      </w:r>
      <w:r>
        <w:t>et</w:t>
      </w:r>
      <w:r w:rsidRPr="002C4077">
        <w:t xml:space="preserve"> </w:t>
      </w:r>
      <w:r>
        <w:t>de</w:t>
      </w:r>
      <w:r w:rsidRPr="002C4077">
        <w:t xml:space="preserve"> </w:t>
      </w:r>
      <w:r>
        <w:t>l’Incarnation</w:t>
      </w:r>
      <w:r w:rsidRPr="002C4077">
        <w:t xml:space="preserve"> </w:t>
      </w:r>
      <w:r>
        <w:t>du</w:t>
      </w:r>
      <w:r w:rsidRPr="002C4077">
        <w:t xml:space="preserve"> </w:t>
      </w:r>
      <w:r w:rsidR="007B3C26">
        <w:t>Ve</w:t>
      </w:r>
      <w:r>
        <w:t>rbe.</w:t>
      </w:r>
      <w:r w:rsidRPr="002C4077">
        <w:t xml:space="preserve"> </w:t>
      </w:r>
      <w:r>
        <w:t>Pendant</w:t>
      </w:r>
      <w:r w:rsidRPr="002C4077">
        <w:t xml:space="preserve"> </w:t>
      </w:r>
      <w:r>
        <w:t>de</w:t>
      </w:r>
      <w:r w:rsidRPr="002C4077">
        <w:t xml:space="preserve"> </w:t>
      </w:r>
      <w:r>
        <w:t>longues</w:t>
      </w:r>
      <w:r w:rsidRPr="002C4077">
        <w:t xml:space="preserve"> </w:t>
      </w:r>
      <w:r>
        <w:t>années,</w:t>
      </w:r>
      <w:r w:rsidRPr="002C4077">
        <w:t xml:space="preserve"> </w:t>
      </w:r>
      <w:r>
        <w:t>elle</w:t>
      </w:r>
      <w:r w:rsidRPr="002C4077">
        <w:t xml:space="preserve"> </w:t>
      </w:r>
      <w:r>
        <w:t>servit</w:t>
      </w:r>
      <w:r w:rsidRPr="002C4077">
        <w:t xml:space="preserve"> </w:t>
      </w:r>
      <w:r>
        <w:t>de</w:t>
      </w:r>
      <w:r w:rsidRPr="002C4077">
        <w:t xml:space="preserve"> </w:t>
      </w:r>
      <w:r>
        <w:t>retraite</w:t>
      </w:r>
      <w:r w:rsidRPr="002C4077">
        <w:t xml:space="preserve"> </w:t>
      </w:r>
      <w:r>
        <w:t>à</w:t>
      </w:r>
      <w:r w:rsidRPr="002C4077">
        <w:t xml:space="preserve"> </w:t>
      </w:r>
      <w:r>
        <w:t>la</w:t>
      </w:r>
      <w:r w:rsidRPr="002C4077">
        <w:t xml:space="preserve"> </w:t>
      </w:r>
      <w:r>
        <w:t>sainte</w:t>
      </w:r>
      <w:r w:rsidRPr="002C4077">
        <w:t xml:space="preserve"> </w:t>
      </w:r>
      <w:r>
        <w:t>Famille.</w:t>
      </w:r>
      <w:r w:rsidRPr="002C4077">
        <w:t xml:space="preserve"> </w:t>
      </w:r>
      <w:r>
        <w:t>Sur</w:t>
      </w:r>
      <w:r w:rsidRPr="002C4077">
        <w:t xml:space="preserve"> </w:t>
      </w:r>
      <w:r>
        <w:t>les</w:t>
      </w:r>
      <w:r w:rsidRPr="002C4077">
        <w:t xml:space="preserve"> </w:t>
      </w:r>
      <w:r>
        <w:t>trente-trois</w:t>
      </w:r>
      <w:r w:rsidRPr="002C4077">
        <w:t xml:space="preserve"> </w:t>
      </w:r>
      <w:r>
        <w:t>ans</w:t>
      </w:r>
      <w:r w:rsidRPr="002C4077">
        <w:t xml:space="preserve"> </w:t>
      </w:r>
      <w:r>
        <w:t>que</w:t>
      </w:r>
      <w:r w:rsidRPr="002C4077">
        <w:t xml:space="preserve"> </w:t>
      </w:r>
      <w:r w:rsidR="00425C50">
        <w:t>Jésus</w:t>
      </w:r>
      <w:r w:rsidRPr="002C4077">
        <w:t xml:space="preserve"> </w:t>
      </w:r>
      <w:r>
        <w:t>vécut</w:t>
      </w:r>
      <w:r w:rsidRPr="002C4077">
        <w:t xml:space="preserve"> </w:t>
      </w:r>
      <w:r>
        <w:t>parmi</w:t>
      </w:r>
      <w:r w:rsidRPr="002C4077">
        <w:t xml:space="preserve"> </w:t>
      </w:r>
      <w:r>
        <w:t>les</w:t>
      </w:r>
      <w:r w:rsidRPr="002C4077">
        <w:t xml:space="preserve"> </w:t>
      </w:r>
      <w:r>
        <w:t>hommes,</w:t>
      </w:r>
      <w:r w:rsidRPr="002C4077">
        <w:t xml:space="preserve"> </w:t>
      </w:r>
      <w:r>
        <w:t>il</w:t>
      </w:r>
      <w:r w:rsidRPr="002C4077">
        <w:t xml:space="preserve"> </w:t>
      </w:r>
      <w:r>
        <w:t>en</w:t>
      </w:r>
      <w:r w:rsidRPr="002C4077">
        <w:t xml:space="preserve"> </w:t>
      </w:r>
      <w:r>
        <w:t>séjourna</w:t>
      </w:r>
      <w:r w:rsidRPr="002C4077">
        <w:t xml:space="preserve"> </w:t>
      </w:r>
      <w:r>
        <w:t>près</w:t>
      </w:r>
      <w:r w:rsidRPr="002C4077">
        <w:t xml:space="preserve"> </w:t>
      </w:r>
      <w:r>
        <w:t>de</w:t>
      </w:r>
      <w:r w:rsidRPr="002C4077">
        <w:t xml:space="preserve"> </w:t>
      </w:r>
      <w:r>
        <w:t>trente</w:t>
      </w:r>
      <w:r w:rsidRPr="002C4077">
        <w:t xml:space="preserve"> </w:t>
      </w:r>
      <w:r>
        <w:t>à</w:t>
      </w:r>
      <w:r w:rsidRPr="002C4077">
        <w:t xml:space="preserve"> </w:t>
      </w:r>
      <w:r>
        <w:t>Nazareth.</w:t>
      </w:r>
      <w:r w:rsidRPr="002C4077">
        <w:t xml:space="preserve"> </w:t>
      </w:r>
      <w:r>
        <w:t>À</w:t>
      </w:r>
      <w:r w:rsidRPr="002C4077">
        <w:t xml:space="preserve"> </w:t>
      </w:r>
      <w:r>
        <w:t>part</w:t>
      </w:r>
      <w:r w:rsidRPr="002C4077">
        <w:t xml:space="preserve"> </w:t>
      </w:r>
      <w:r>
        <w:t>quelques</w:t>
      </w:r>
      <w:r w:rsidRPr="002C4077">
        <w:t xml:space="preserve"> </w:t>
      </w:r>
      <w:r>
        <w:t>semaines</w:t>
      </w:r>
      <w:r w:rsidRPr="002C4077">
        <w:t xml:space="preserve"> </w:t>
      </w:r>
      <w:r>
        <w:t>passées</w:t>
      </w:r>
      <w:r w:rsidRPr="002C4077">
        <w:t xml:space="preserve"> </w:t>
      </w:r>
      <w:r>
        <w:t>à</w:t>
      </w:r>
      <w:r w:rsidRPr="002C4077">
        <w:t xml:space="preserve"> </w:t>
      </w:r>
      <w:r>
        <w:t>Bethléem</w:t>
      </w:r>
      <w:r w:rsidRPr="002C4077">
        <w:t xml:space="preserve"> </w:t>
      </w:r>
      <w:r>
        <w:t>après</w:t>
      </w:r>
      <w:r w:rsidRPr="002C4077">
        <w:t xml:space="preserve"> </w:t>
      </w:r>
      <w:r>
        <w:t>sa</w:t>
      </w:r>
      <w:r w:rsidRPr="002C4077">
        <w:t xml:space="preserve"> </w:t>
      </w:r>
      <w:r>
        <w:t>naissance,</w:t>
      </w:r>
      <w:r w:rsidRPr="002C4077">
        <w:t xml:space="preserve"> </w:t>
      </w:r>
      <w:r>
        <w:t>à</w:t>
      </w:r>
      <w:r w:rsidRPr="002C4077">
        <w:t xml:space="preserve"> </w:t>
      </w:r>
      <w:r>
        <w:t>part</w:t>
      </w:r>
      <w:r w:rsidRPr="002C4077">
        <w:t xml:space="preserve"> </w:t>
      </w:r>
      <w:r>
        <w:t>quelques</w:t>
      </w:r>
      <w:r w:rsidRPr="002C4077">
        <w:t xml:space="preserve"> </w:t>
      </w:r>
      <w:r>
        <w:t>mois</w:t>
      </w:r>
      <w:r w:rsidRPr="002C4077">
        <w:t xml:space="preserve"> </w:t>
      </w:r>
      <w:r>
        <w:t>d’exil</w:t>
      </w:r>
      <w:r w:rsidRPr="002C4077">
        <w:t xml:space="preserve"> </w:t>
      </w:r>
      <w:r>
        <w:t>en</w:t>
      </w:r>
      <w:r w:rsidRPr="002C4077">
        <w:t xml:space="preserve"> </w:t>
      </w:r>
      <w:r>
        <w:t>Égypte</w:t>
      </w:r>
      <w:r w:rsidRPr="002C4077">
        <w:t xml:space="preserve"> </w:t>
      </w:r>
      <w:r>
        <w:t>après</w:t>
      </w:r>
      <w:r w:rsidRPr="002C4077">
        <w:t xml:space="preserve"> </w:t>
      </w:r>
      <w:r>
        <w:t>la</w:t>
      </w:r>
      <w:r w:rsidRPr="002C4077">
        <w:t xml:space="preserve"> </w:t>
      </w:r>
      <w:r>
        <w:t>visite</w:t>
      </w:r>
      <w:r w:rsidRPr="002C4077">
        <w:t xml:space="preserve"> </w:t>
      </w:r>
      <w:r>
        <w:t>des</w:t>
      </w:r>
      <w:r w:rsidRPr="002C4077">
        <w:t xml:space="preserve"> </w:t>
      </w:r>
      <w:r>
        <w:t>Mages</w:t>
      </w:r>
      <w:r w:rsidR="00B91AF7">
        <w:rPr>
          <w:rStyle w:val="Appelnotedebasdep"/>
        </w:rPr>
        <w:footnoteReference w:id="694"/>
      </w:r>
      <w:r>
        <w:t>,</w:t>
      </w:r>
      <w:r w:rsidRPr="002C4077">
        <w:t xml:space="preserve"> </w:t>
      </w:r>
      <w:r>
        <w:t>toute</w:t>
      </w:r>
      <w:r w:rsidRPr="002C4077">
        <w:t xml:space="preserve"> </w:t>
      </w:r>
      <w:r>
        <w:t>la</w:t>
      </w:r>
      <w:r w:rsidRPr="002C4077">
        <w:t xml:space="preserve"> </w:t>
      </w:r>
      <w:r>
        <w:t>vie</w:t>
      </w:r>
      <w:r w:rsidRPr="002C4077">
        <w:t xml:space="preserve"> </w:t>
      </w:r>
      <w:r>
        <w:t>cachée</w:t>
      </w:r>
      <w:r w:rsidRPr="002C4077">
        <w:t xml:space="preserve"> </w:t>
      </w:r>
      <w:r>
        <w:t>du</w:t>
      </w:r>
      <w:r w:rsidRPr="002C4077">
        <w:t xml:space="preserve"> </w:t>
      </w:r>
      <w:r>
        <w:t>Fils</w:t>
      </w:r>
      <w:r w:rsidRPr="002C4077">
        <w:t xml:space="preserve"> </w:t>
      </w:r>
      <w:r>
        <w:t>de</w:t>
      </w:r>
      <w:r w:rsidRPr="002C4077">
        <w:t xml:space="preserve"> </w:t>
      </w:r>
      <w:r>
        <w:t>l’homme</w:t>
      </w:r>
      <w:r w:rsidRPr="002C4077">
        <w:t xml:space="preserve"> </w:t>
      </w:r>
      <w:r>
        <w:t>eut</w:t>
      </w:r>
      <w:r w:rsidRPr="002C4077">
        <w:t xml:space="preserve"> </w:t>
      </w:r>
      <w:r>
        <w:t>Nazareth</w:t>
      </w:r>
      <w:r w:rsidRPr="002C4077">
        <w:t xml:space="preserve"> </w:t>
      </w:r>
      <w:r>
        <w:t>pour</w:t>
      </w:r>
      <w:r w:rsidRPr="002C4077">
        <w:t xml:space="preserve"> </w:t>
      </w:r>
      <w:r>
        <w:t>théâtre,</w:t>
      </w:r>
      <w:r w:rsidRPr="002C4077">
        <w:t xml:space="preserve"> </w:t>
      </w:r>
      <w:r>
        <w:t>nous</w:t>
      </w:r>
      <w:r w:rsidRPr="002C4077">
        <w:t xml:space="preserve"> </w:t>
      </w:r>
      <w:r>
        <w:t>devrions</w:t>
      </w:r>
      <w:r w:rsidRPr="002C4077">
        <w:t xml:space="preserve"> </w:t>
      </w:r>
      <w:r>
        <w:t>dire</w:t>
      </w:r>
      <w:r w:rsidRPr="002C4077">
        <w:t xml:space="preserve"> </w:t>
      </w:r>
      <w:r>
        <w:t>pour</w:t>
      </w:r>
      <w:r w:rsidRPr="002C4077">
        <w:t xml:space="preserve"> </w:t>
      </w:r>
      <w:r>
        <w:t>sanctuaire</w:t>
      </w:r>
      <w:r w:rsidRPr="002C4077">
        <w:t xml:space="preserve"> </w:t>
      </w:r>
      <w:r>
        <w:t>intime.</w:t>
      </w:r>
      <w:r w:rsidRPr="002C4077">
        <w:t xml:space="preserve"> </w:t>
      </w:r>
    </w:p>
    <w:p w:rsidR="000A7AAB" w:rsidRPr="001F5257" w:rsidRDefault="00B546AF" w:rsidP="002F7AFA">
      <w:pPr>
        <w:pStyle w:val="locus"/>
      </w:pPr>
      <w:r>
        <w:t>« </w:t>
      </w:r>
      <w:r w:rsidR="000A7AAB">
        <w:t>Après</w:t>
      </w:r>
      <w:r w:rsidR="000A7AAB" w:rsidRPr="002C4077">
        <w:t xml:space="preserve"> </w:t>
      </w:r>
      <w:r w:rsidR="000A7AAB">
        <w:t>qu’Hérode</w:t>
      </w:r>
      <w:r w:rsidR="000A7AAB" w:rsidRPr="002C4077">
        <w:t xml:space="preserve"> </w:t>
      </w:r>
      <w:r w:rsidR="000A7AAB">
        <w:t>fut</w:t>
      </w:r>
      <w:r w:rsidR="000A7AAB" w:rsidRPr="002C4077">
        <w:t xml:space="preserve"> </w:t>
      </w:r>
      <w:r w:rsidR="000A7AAB">
        <w:t>mort,</w:t>
      </w:r>
      <w:r w:rsidR="000A7AAB" w:rsidRPr="002C4077">
        <w:t xml:space="preserve"> </w:t>
      </w:r>
      <w:r w:rsidR="000A7AAB">
        <w:t>voici,</w:t>
      </w:r>
      <w:r w:rsidR="000A7AAB" w:rsidRPr="002C4077">
        <w:t xml:space="preserve"> </w:t>
      </w:r>
      <w:r w:rsidR="000A7AAB">
        <w:t>l’ange</w:t>
      </w:r>
      <w:r w:rsidR="000A7AAB" w:rsidRPr="002C4077">
        <w:t xml:space="preserve"> </w:t>
      </w:r>
      <w:r w:rsidR="000A7AAB">
        <w:t>du</w:t>
      </w:r>
      <w:r w:rsidR="000A7AAB" w:rsidRPr="002C4077">
        <w:t xml:space="preserve"> </w:t>
      </w:r>
      <w:r w:rsidR="000A7AAB">
        <w:t>Seigneur</w:t>
      </w:r>
      <w:r w:rsidR="000A7AAB" w:rsidRPr="002C4077">
        <w:t xml:space="preserve"> </w:t>
      </w:r>
      <w:r w:rsidR="000A7AAB">
        <w:t>apparut</w:t>
      </w:r>
      <w:r w:rsidR="000A7AAB" w:rsidRPr="002C4077">
        <w:t xml:space="preserve"> </w:t>
      </w:r>
      <w:r w:rsidR="000A7AAB">
        <w:t>en</w:t>
      </w:r>
      <w:r w:rsidR="000A7AAB" w:rsidRPr="002C4077">
        <w:t xml:space="preserve"> </w:t>
      </w:r>
      <w:r w:rsidR="000A7AAB">
        <w:t>songe</w:t>
      </w:r>
      <w:r w:rsidR="000A7AAB" w:rsidRPr="002C4077">
        <w:t xml:space="preserve"> </w:t>
      </w:r>
      <w:r w:rsidR="000A7AAB">
        <w:t>à</w:t>
      </w:r>
      <w:r w:rsidR="000A7AAB" w:rsidRPr="002C4077">
        <w:t xml:space="preserve"> </w:t>
      </w:r>
      <w:r w:rsidR="000A7AAB">
        <w:t>Joseph,</w:t>
      </w:r>
      <w:r w:rsidR="000A7AAB" w:rsidRPr="002C4077">
        <w:t xml:space="preserve"> </w:t>
      </w:r>
      <w:r w:rsidR="000A7AAB">
        <w:t>en</w:t>
      </w:r>
      <w:r w:rsidR="000A7AAB" w:rsidRPr="002C4077">
        <w:t xml:space="preserve"> </w:t>
      </w:r>
      <w:r w:rsidR="000A7AAB">
        <w:t>Égypte,</w:t>
      </w:r>
      <w:r w:rsidR="000A7AAB" w:rsidRPr="002C4077">
        <w:t xml:space="preserve"> </w:t>
      </w:r>
      <w:r w:rsidR="000A7AAB">
        <w:t>et</w:t>
      </w:r>
      <w:r w:rsidR="000A7AAB" w:rsidRPr="002C4077">
        <w:t xml:space="preserve"> </w:t>
      </w:r>
      <w:r w:rsidR="000A7AAB">
        <w:t>lui</w:t>
      </w:r>
      <w:r w:rsidR="000A7AAB" w:rsidRPr="002C4077">
        <w:t xml:space="preserve"> </w:t>
      </w:r>
      <w:r w:rsidR="000A7AAB">
        <w:t>dit</w:t>
      </w:r>
      <w:r>
        <w:t> :</w:t>
      </w:r>
      <w:r w:rsidR="000A7AAB" w:rsidRPr="002C4077">
        <w:t xml:space="preserve"> </w:t>
      </w:r>
      <w:r w:rsidR="000A7AAB">
        <w:t>Lève-toi,</w:t>
      </w:r>
      <w:r w:rsidR="000A7AAB" w:rsidRPr="002C4077">
        <w:t xml:space="preserve"> </w:t>
      </w:r>
      <w:r w:rsidR="000A7AAB">
        <w:t>et</w:t>
      </w:r>
      <w:r w:rsidR="000A7AAB" w:rsidRPr="002C4077">
        <w:t xml:space="preserve"> </w:t>
      </w:r>
      <w:r w:rsidR="000A7AAB">
        <w:t>prends</w:t>
      </w:r>
      <w:r w:rsidR="000A7AAB" w:rsidRPr="002C4077">
        <w:t xml:space="preserve"> </w:t>
      </w:r>
      <w:r w:rsidR="000A7AAB">
        <w:t>le</w:t>
      </w:r>
      <w:r w:rsidR="000A7AAB" w:rsidRPr="002C4077">
        <w:t xml:space="preserve"> </w:t>
      </w:r>
      <w:r w:rsidR="000A7AAB">
        <w:t>petit</w:t>
      </w:r>
      <w:r w:rsidR="000A7AAB" w:rsidRPr="002C4077">
        <w:t xml:space="preserve"> </w:t>
      </w:r>
      <w:r w:rsidR="000A7AAB">
        <w:t>enfant</w:t>
      </w:r>
      <w:r w:rsidR="000A7AAB" w:rsidRPr="002C4077">
        <w:t xml:space="preserve"> </w:t>
      </w:r>
      <w:r w:rsidR="000A7AAB">
        <w:t>et</w:t>
      </w:r>
      <w:r w:rsidR="000A7AAB" w:rsidRPr="002C4077">
        <w:t xml:space="preserve"> </w:t>
      </w:r>
      <w:r w:rsidR="000A7AAB">
        <w:t>sa</w:t>
      </w:r>
      <w:r w:rsidR="000A7AAB" w:rsidRPr="002C4077">
        <w:t xml:space="preserve"> </w:t>
      </w:r>
      <w:r w:rsidR="000A7AAB">
        <w:t>mère,</w:t>
      </w:r>
      <w:r w:rsidR="000A7AAB" w:rsidRPr="002C4077">
        <w:t xml:space="preserve"> </w:t>
      </w:r>
      <w:r w:rsidR="000A7AAB">
        <w:t>et</w:t>
      </w:r>
      <w:r w:rsidR="000A7AAB" w:rsidRPr="002C4077">
        <w:t xml:space="preserve"> </w:t>
      </w:r>
      <w:r w:rsidR="000A7AAB">
        <w:t>t’en</w:t>
      </w:r>
      <w:r w:rsidR="000A7AAB" w:rsidRPr="002C4077">
        <w:t xml:space="preserve"> </w:t>
      </w:r>
      <w:r w:rsidR="000A7AAB">
        <w:t>va</w:t>
      </w:r>
      <w:r w:rsidR="000A7AAB" w:rsidRPr="002C4077">
        <w:t xml:space="preserve"> </w:t>
      </w:r>
      <w:r w:rsidR="000A7AAB">
        <w:t>au</w:t>
      </w:r>
      <w:r w:rsidR="000A7AAB" w:rsidRPr="002C4077">
        <w:t xml:space="preserve"> </w:t>
      </w:r>
      <w:r w:rsidR="000A7AAB">
        <w:t>pays</w:t>
      </w:r>
      <w:r w:rsidR="000A7AAB" w:rsidRPr="002C4077">
        <w:t xml:space="preserve"> </w:t>
      </w:r>
      <w:r w:rsidR="000A7AAB">
        <w:t>d’Israël,</w:t>
      </w:r>
      <w:r w:rsidR="000A7AAB" w:rsidRPr="002C4077">
        <w:t xml:space="preserve"> </w:t>
      </w:r>
      <w:r w:rsidR="000A7AAB">
        <w:t>car</w:t>
      </w:r>
      <w:r w:rsidR="000A7AAB" w:rsidRPr="002C4077">
        <w:t xml:space="preserve"> </w:t>
      </w:r>
      <w:r w:rsidR="000A7AAB">
        <w:t>ceux</w:t>
      </w:r>
      <w:r w:rsidR="000A7AAB" w:rsidRPr="002C4077">
        <w:t xml:space="preserve"> </w:t>
      </w:r>
      <w:r w:rsidR="000A7AAB">
        <w:t>qui</w:t>
      </w:r>
      <w:r w:rsidR="000A7AAB" w:rsidRPr="002C4077">
        <w:t xml:space="preserve"> </w:t>
      </w:r>
      <w:r w:rsidR="000A7AAB">
        <w:t>cherchaient</w:t>
      </w:r>
      <w:r w:rsidR="000A7AAB" w:rsidRPr="002C4077">
        <w:t xml:space="preserve"> </w:t>
      </w:r>
      <w:r w:rsidR="000A7AAB">
        <w:t>l’âme</w:t>
      </w:r>
      <w:r w:rsidR="000A7AAB" w:rsidRPr="002C4077">
        <w:t xml:space="preserve"> </w:t>
      </w:r>
      <w:r w:rsidR="000A7AAB">
        <w:t>du</w:t>
      </w:r>
      <w:r w:rsidR="000A7AAB" w:rsidRPr="002C4077">
        <w:t xml:space="preserve"> </w:t>
      </w:r>
      <w:r w:rsidR="000A7AAB">
        <w:t>petit</w:t>
      </w:r>
      <w:r w:rsidR="000A7AAB" w:rsidRPr="002C4077">
        <w:t xml:space="preserve"> </w:t>
      </w:r>
      <w:r w:rsidR="000A7AAB">
        <w:t>enfant</w:t>
      </w:r>
      <w:r w:rsidR="000A7AAB" w:rsidRPr="002C4077">
        <w:t xml:space="preserve"> </w:t>
      </w:r>
      <w:r w:rsidR="000A7AAB">
        <w:t>sont</w:t>
      </w:r>
      <w:r w:rsidR="000A7AAB" w:rsidRPr="002C4077">
        <w:t xml:space="preserve"> </w:t>
      </w:r>
      <w:r w:rsidR="000A7AAB">
        <w:t>morts.</w:t>
      </w:r>
      <w:r w:rsidR="000A7AAB" w:rsidRPr="002C4077">
        <w:t xml:space="preserve"> </w:t>
      </w:r>
      <w:r w:rsidR="000A7AAB">
        <w:t>Joseph</w:t>
      </w:r>
      <w:r w:rsidR="000A7AAB" w:rsidRPr="002C4077">
        <w:t xml:space="preserve"> </w:t>
      </w:r>
      <w:r w:rsidR="000A7AAB">
        <w:t>donc</w:t>
      </w:r>
      <w:r w:rsidR="000A7AAB" w:rsidRPr="002C4077">
        <w:t xml:space="preserve"> </w:t>
      </w:r>
      <w:r w:rsidR="000A7AAB">
        <w:t>s’étant</w:t>
      </w:r>
      <w:r w:rsidR="000A7AAB" w:rsidRPr="002C4077">
        <w:t xml:space="preserve"> </w:t>
      </w:r>
      <w:r w:rsidR="000A7AAB">
        <w:t>réveillé,</w:t>
      </w:r>
      <w:r w:rsidR="000A7AAB" w:rsidRPr="002C4077">
        <w:t xml:space="preserve"> </w:t>
      </w:r>
      <w:r w:rsidR="000A7AAB">
        <w:t>prit</w:t>
      </w:r>
      <w:r w:rsidR="000A7AAB" w:rsidRPr="002C4077">
        <w:t xml:space="preserve"> </w:t>
      </w:r>
      <w:r w:rsidR="000A7AAB">
        <w:t>le</w:t>
      </w:r>
      <w:r w:rsidR="000A7AAB" w:rsidRPr="002C4077">
        <w:t xml:space="preserve"> </w:t>
      </w:r>
      <w:r w:rsidR="000A7AAB">
        <w:t>petit</w:t>
      </w:r>
      <w:r w:rsidR="000A7AAB" w:rsidRPr="002C4077">
        <w:t xml:space="preserve"> </w:t>
      </w:r>
      <w:r w:rsidR="000A7AAB">
        <w:t>enfant</w:t>
      </w:r>
      <w:r w:rsidR="000A7AAB" w:rsidRPr="002C4077">
        <w:t xml:space="preserve"> </w:t>
      </w:r>
      <w:r w:rsidR="000A7AAB">
        <w:t>et</w:t>
      </w:r>
      <w:r w:rsidR="000A7AAB" w:rsidRPr="002C4077">
        <w:t xml:space="preserve"> </w:t>
      </w:r>
      <w:r w:rsidR="000A7AAB">
        <w:t>sa</w:t>
      </w:r>
      <w:r w:rsidR="000A7AAB" w:rsidRPr="002C4077">
        <w:t xml:space="preserve"> </w:t>
      </w:r>
      <w:r w:rsidR="000A7AAB">
        <w:t>mère,</w:t>
      </w:r>
      <w:r w:rsidR="000A7AAB" w:rsidRPr="002C4077">
        <w:t xml:space="preserve"> </w:t>
      </w:r>
      <w:r w:rsidR="000A7AAB">
        <w:t>et</w:t>
      </w:r>
      <w:r w:rsidR="000A7AAB" w:rsidRPr="002C4077">
        <w:t xml:space="preserve"> </w:t>
      </w:r>
      <w:r w:rsidR="000A7AAB">
        <w:t>s’en</w:t>
      </w:r>
      <w:r w:rsidR="000A7AAB" w:rsidRPr="002C4077">
        <w:t xml:space="preserve"> </w:t>
      </w:r>
      <w:r w:rsidR="000A7AAB">
        <w:t>vint</w:t>
      </w:r>
      <w:r w:rsidR="000A7AAB" w:rsidRPr="002C4077">
        <w:t xml:space="preserve"> </w:t>
      </w:r>
      <w:r w:rsidR="000A7AAB">
        <w:t>au</w:t>
      </w:r>
      <w:r w:rsidR="000A7AAB" w:rsidRPr="002C4077">
        <w:t xml:space="preserve"> </w:t>
      </w:r>
      <w:r w:rsidR="000A7AAB">
        <w:t>pays</w:t>
      </w:r>
      <w:r w:rsidR="000A7AAB" w:rsidRPr="002C4077">
        <w:t xml:space="preserve"> </w:t>
      </w:r>
      <w:r w:rsidR="000A7AAB">
        <w:t>d’Israël.</w:t>
      </w:r>
      <w:r w:rsidR="000A7AAB" w:rsidRPr="002C4077">
        <w:t xml:space="preserve"> </w:t>
      </w:r>
      <w:r w:rsidR="000A7AAB">
        <w:t>Mais</w:t>
      </w:r>
      <w:r w:rsidR="000A7AAB" w:rsidRPr="002C4077">
        <w:t xml:space="preserve"> </w:t>
      </w:r>
      <w:r w:rsidR="000A7AAB">
        <w:t>quand</w:t>
      </w:r>
      <w:r w:rsidR="000A7AAB" w:rsidRPr="002C4077">
        <w:t xml:space="preserve"> </w:t>
      </w:r>
      <w:r w:rsidR="000A7AAB">
        <w:t>il</w:t>
      </w:r>
      <w:r w:rsidR="000A7AAB" w:rsidRPr="002C4077">
        <w:t xml:space="preserve"> </w:t>
      </w:r>
      <w:r w:rsidR="000A7AAB">
        <w:t>eut</w:t>
      </w:r>
      <w:r w:rsidR="000A7AAB" w:rsidRPr="002C4077">
        <w:t xml:space="preserve"> </w:t>
      </w:r>
      <w:r w:rsidR="000A7AAB">
        <w:t>appris</w:t>
      </w:r>
      <w:r w:rsidR="000A7AAB" w:rsidRPr="002C4077">
        <w:t xml:space="preserve"> </w:t>
      </w:r>
      <w:r w:rsidR="000A7AAB">
        <w:t>qu’Archélaus</w:t>
      </w:r>
      <w:r w:rsidR="000A7AAB" w:rsidRPr="002C4077">
        <w:t xml:space="preserve"> </w:t>
      </w:r>
      <w:r w:rsidR="000A7AAB">
        <w:t>régnait</w:t>
      </w:r>
      <w:r w:rsidR="000A7AAB" w:rsidRPr="002C4077">
        <w:t xml:space="preserve"> </w:t>
      </w:r>
      <w:r w:rsidR="000A7AAB">
        <w:t>en</w:t>
      </w:r>
      <w:r w:rsidR="000A7AAB" w:rsidRPr="002C4077">
        <w:t xml:space="preserve"> </w:t>
      </w:r>
      <w:r w:rsidR="000A7AAB">
        <w:t>Judée</w:t>
      </w:r>
      <w:r w:rsidR="000A7AAB" w:rsidRPr="002C4077">
        <w:t xml:space="preserve"> </w:t>
      </w:r>
      <w:r w:rsidR="000A7AAB">
        <w:t>à</w:t>
      </w:r>
      <w:r w:rsidR="000A7AAB" w:rsidRPr="002C4077">
        <w:t xml:space="preserve"> </w:t>
      </w:r>
      <w:r w:rsidR="000A7AAB">
        <w:t>la</w:t>
      </w:r>
      <w:r w:rsidR="000A7AAB" w:rsidRPr="002C4077">
        <w:t xml:space="preserve"> </w:t>
      </w:r>
      <w:r w:rsidR="000A7AAB">
        <w:t>place</w:t>
      </w:r>
      <w:r w:rsidR="000A7AAB" w:rsidRPr="002C4077">
        <w:t xml:space="preserve"> </w:t>
      </w:r>
      <w:r w:rsidR="000A7AAB">
        <w:t>d’Hérode</w:t>
      </w:r>
      <w:r w:rsidR="000A7AAB" w:rsidRPr="002C4077">
        <w:t xml:space="preserve"> </w:t>
      </w:r>
      <w:r w:rsidR="000A7AAB">
        <w:t>son</w:t>
      </w:r>
      <w:r w:rsidR="000A7AAB" w:rsidRPr="002C4077">
        <w:t xml:space="preserve"> </w:t>
      </w:r>
      <w:r w:rsidR="000A7AAB">
        <w:t>père,</w:t>
      </w:r>
      <w:r w:rsidR="000A7AAB" w:rsidRPr="002C4077">
        <w:t xml:space="preserve"> </w:t>
      </w:r>
      <w:r w:rsidR="000A7AAB">
        <w:t>il</w:t>
      </w:r>
      <w:r w:rsidR="000A7AAB" w:rsidRPr="002C4077">
        <w:t xml:space="preserve"> </w:t>
      </w:r>
      <w:r w:rsidR="000A7AAB">
        <w:t>craignit</w:t>
      </w:r>
      <w:r w:rsidR="000A7AAB" w:rsidRPr="002C4077">
        <w:t xml:space="preserve"> </w:t>
      </w:r>
      <w:r w:rsidR="000A7AAB">
        <w:t>d’y</w:t>
      </w:r>
      <w:r w:rsidR="000A7AAB" w:rsidRPr="002C4077">
        <w:t xml:space="preserve"> </w:t>
      </w:r>
      <w:r w:rsidR="000A7AAB">
        <w:t>aller</w:t>
      </w:r>
      <w:r>
        <w:t> ;</w:t>
      </w:r>
      <w:r w:rsidR="000A7AAB" w:rsidRPr="002C4077">
        <w:t xml:space="preserve"> </w:t>
      </w:r>
      <w:r w:rsidR="000A7AAB">
        <w:t>et</w:t>
      </w:r>
      <w:r w:rsidR="000A7AAB" w:rsidRPr="002C4077">
        <w:t xml:space="preserve"> </w:t>
      </w:r>
      <w:r w:rsidR="000A7AAB">
        <w:t>étant</w:t>
      </w:r>
      <w:r w:rsidR="000A7AAB" w:rsidRPr="002C4077">
        <w:t xml:space="preserve"> </w:t>
      </w:r>
      <w:r w:rsidR="000A7AAB">
        <w:t>divinement</w:t>
      </w:r>
      <w:r w:rsidR="000A7AAB" w:rsidRPr="002C4077">
        <w:t xml:space="preserve"> </w:t>
      </w:r>
      <w:r w:rsidR="000A7AAB">
        <w:t>averti</w:t>
      </w:r>
      <w:r w:rsidR="000A7AAB" w:rsidRPr="002C4077">
        <w:t xml:space="preserve"> </w:t>
      </w:r>
      <w:r w:rsidR="000A7AAB">
        <w:t>en</w:t>
      </w:r>
      <w:r w:rsidR="000A7AAB" w:rsidRPr="002C4077">
        <w:t xml:space="preserve"> </w:t>
      </w:r>
      <w:r w:rsidR="000A7AAB">
        <w:t>songe,</w:t>
      </w:r>
      <w:r w:rsidR="000A7AAB" w:rsidRPr="002C4077">
        <w:t xml:space="preserve"> </w:t>
      </w:r>
      <w:r w:rsidR="000A7AAB">
        <w:t>il</w:t>
      </w:r>
      <w:r w:rsidR="000A7AAB" w:rsidRPr="002C4077">
        <w:t xml:space="preserve"> </w:t>
      </w:r>
      <w:r w:rsidR="000A7AAB">
        <w:t>se</w:t>
      </w:r>
      <w:r w:rsidR="000A7AAB" w:rsidRPr="002C4077">
        <w:t xml:space="preserve"> </w:t>
      </w:r>
      <w:r w:rsidR="000A7AAB">
        <w:t>retira</w:t>
      </w:r>
      <w:r w:rsidR="000A7AAB" w:rsidRPr="002C4077">
        <w:t xml:space="preserve"> </w:t>
      </w:r>
      <w:r w:rsidR="000A7AAB">
        <w:t>dans</w:t>
      </w:r>
      <w:r w:rsidR="000A7AAB" w:rsidRPr="002C4077">
        <w:t xml:space="preserve"> </w:t>
      </w:r>
      <w:r w:rsidR="000A7AAB">
        <w:t>les</w:t>
      </w:r>
      <w:r w:rsidR="000A7AAB" w:rsidRPr="002C4077">
        <w:t xml:space="preserve"> </w:t>
      </w:r>
      <w:r w:rsidR="000A7AAB">
        <w:t>quartiers</w:t>
      </w:r>
      <w:r w:rsidR="000A7AAB" w:rsidRPr="002C4077">
        <w:t xml:space="preserve"> </w:t>
      </w:r>
      <w:r w:rsidR="000A7AAB">
        <w:t>de</w:t>
      </w:r>
      <w:r w:rsidR="000A7AAB" w:rsidRPr="002C4077">
        <w:t xml:space="preserve"> </w:t>
      </w:r>
      <w:r w:rsidR="000A7AAB">
        <w:t>Galilée.</w:t>
      </w:r>
      <w:r w:rsidR="000A7AAB" w:rsidRPr="002C4077">
        <w:t xml:space="preserve"> </w:t>
      </w:r>
      <w:r w:rsidR="000A7AAB">
        <w:t>Et</w:t>
      </w:r>
      <w:r w:rsidR="000A7AAB" w:rsidRPr="002C4077">
        <w:t xml:space="preserve"> </w:t>
      </w:r>
      <w:r w:rsidR="000A7AAB">
        <w:t>y</w:t>
      </w:r>
      <w:r w:rsidR="000A7AAB" w:rsidRPr="002C4077">
        <w:t xml:space="preserve"> </w:t>
      </w:r>
      <w:r w:rsidR="000A7AAB">
        <w:t>étant</w:t>
      </w:r>
      <w:r w:rsidR="000A7AAB" w:rsidRPr="002C4077">
        <w:t xml:space="preserve"> </w:t>
      </w:r>
      <w:r w:rsidR="000A7AAB">
        <w:t>arrivé,</w:t>
      </w:r>
      <w:r w:rsidR="000A7AAB" w:rsidRPr="002C4077">
        <w:t xml:space="preserve"> </w:t>
      </w:r>
      <w:r w:rsidR="000A7AAB">
        <w:t>il</w:t>
      </w:r>
      <w:r w:rsidR="000A7AAB" w:rsidRPr="002C4077">
        <w:t xml:space="preserve"> </w:t>
      </w:r>
      <w:r w:rsidR="000A7AAB">
        <w:t>habita</w:t>
      </w:r>
      <w:r w:rsidR="000A7AAB" w:rsidRPr="002C4077">
        <w:t xml:space="preserve"> </w:t>
      </w:r>
      <w:r w:rsidR="000A7AAB">
        <w:t>dans</w:t>
      </w:r>
      <w:r w:rsidR="000A7AAB" w:rsidRPr="002C4077">
        <w:t xml:space="preserve"> </w:t>
      </w:r>
      <w:r w:rsidR="000A7AAB">
        <w:t>la</w:t>
      </w:r>
      <w:r w:rsidR="000A7AAB" w:rsidRPr="002C4077">
        <w:t xml:space="preserve"> </w:t>
      </w:r>
      <w:r w:rsidR="000A7AAB">
        <w:t>ville</w:t>
      </w:r>
      <w:r w:rsidR="000A7AAB" w:rsidRPr="002C4077">
        <w:t xml:space="preserve"> </w:t>
      </w:r>
      <w:r w:rsidR="000A7AAB">
        <w:t>appelée</w:t>
      </w:r>
      <w:r w:rsidR="000A7AAB" w:rsidRPr="002C4077">
        <w:t xml:space="preserve"> </w:t>
      </w:r>
      <w:r w:rsidR="000A7AAB">
        <w:t>Nazareth,</w:t>
      </w:r>
      <w:r w:rsidR="000A7AAB" w:rsidRPr="002C4077">
        <w:t xml:space="preserve"> </w:t>
      </w:r>
      <w:r w:rsidR="000A7AAB">
        <w:t>afin</w:t>
      </w:r>
      <w:r w:rsidR="000A7AAB" w:rsidRPr="002C4077">
        <w:t xml:space="preserve"> </w:t>
      </w:r>
      <w:r w:rsidR="000A7AAB">
        <w:t>que</w:t>
      </w:r>
      <w:r w:rsidR="000A7AAB" w:rsidRPr="002C4077">
        <w:t xml:space="preserve"> </w:t>
      </w:r>
      <w:r w:rsidR="000A7AAB">
        <w:t>fût</w:t>
      </w:r>
      <w:r w:rsidR="000A7AAB" w:rsidRPr="002C4077">
        <w:t xml:space="preserve"> </w:t>
      </w:r>
      <w:r w:rsidR="000A7AAB">
        <w:t>acco</w:t>
      </w:r>
      <w:r w:rsidR="001730C6">
        <w:t>m</w:t>
      </w:r>
      <w:r w:rsidR="000A7AAB">
        <w:t>pli</w:t>
      </w:r>
      <w:r w:rsidR="000A7AAB" w:rsidRPr="002C4077">
        <w:t xml:space="preserve"> </w:t>
      </w:r>
      <w:r w:rsidR="000A7AAB">
        <w:t>ce</w:t>
      </w:r>
      <w:r w:rsidR="000A7AAB" w:rsidRPr="002C4077">
        <w:t xml:space="preserve"> </w:t>
      </w:r>
      <w:r w:rsidR="000A7AAB">
        <w:t>qui</w:t>
      </w:r>
      <w:r w:rsidR="000A7AAB" w:rsidRPr="002C4077">
        <w:t xml:space="preserve"> </w:t>
      </w:r>
      <w:r w:rsidR="000A7AAB">
        <w:t>avait</w:t>
      </w:r>
      <w:r w:rsidR="000A7AAB" w:rsidRPr="002C4077">
        <w:t xml:space="preserve"> </w:t>
      </w:r>
      <w:r w:rsidR="000A7AAB">
        <w:t>été</w:t>
      </w:r>
      <w:r w:rsidR="000A7AAB" w:rsidRPr="002C4077">
        <w:t xml:space="preserve"> </w:t>
      </w:r>
      <w:r w:rsidR="000A7AAB">
        <w:t>dit</w:t>
      </w:r>
      <w:r w:rsidR="000A7AAB" w:rsidRPr="002C4077">
        <w:t xml:space="preserve"> </w:t>
      </w:r>
      <w:r w:rsidR="000A7AAB">
        <w:t>par</w:t>
      </w:r>
      <w:r w:rsidR="000A7AAB" w:rsidRPr="002C4077">
        <w:t xml:space="preserve"> </w:t>
      </w:r>
      <w:r w:rsidR="000A7AAB">
        <w:t>les</w:t>
      </w:r>
      <w:r w:rsidR="000A7AAB" w:rsidRPr="002C4077">
        <w:t xml:space="preserve"> </w:t>
      </w:r>
      <w:r w:rsidR="000A7AAB">
        <w:t>Prophètes</w:t>
      </w:r>
      <w:r>
        <w:t> :</w:t>
      </w:r>
      <w:r w:rsidR="000A7AAB" w:rsidRPr="002C4077">
        <w:t xml:space="preserve"> </w:t>
      </w:r>
      <w:r w:rsidR="000A7AAB">
        <w:t>Il</w:t>
      </w:r>
      <w:r w:rsidR="000A7AAB" w:rsidRPr="002C4077">
        <w:t xml:space="preserve"> </w:t>
      </w:r>
      <w:r w:rsidR="000A7AAB">
        <w:t>sera</w:t>
      </w:r>
      <w:r w:rsidR="000A7AAB" w:rsidRPr="002C4077">
        <w:t xml:space="preserve"> </w:t>
      </w:r>
      <w:r w:rsidR="000A7AAB">
        <w:t>appelé</w:t>
      </w:r>
      <w:r w:rsidR="000A7AAB" w:rsidRPr="002C4077">
        <w:t xml:space="preserve"> </w:t>
      </w:r>
      <w:r w:rsidR="000A7AAB">
        <w:t>Nazaréen</w:t>
      </w:r>
      <w:r w:rsidR="00B91AF7">
        <w:rPr>
          <w:rStyle w:val="Appelnotedebasdep"/>
        </w:rPr>
        <w:footnoteReference w:id="695"/>
      </w:r>
      <w:r>
        <w:t> »</w:t>
      </w:r>
      <w:r w:rsidR="000A7AAB">
        <w:t>.</w:t>
      </w:r>
      <w:r w:rsidR="00C45B47">
        <w:t xml:space="preserve"> {</w:t>
      </w:r>
      <w:r w:rsidR="001F5257">
        <w:t>208</w:t>
      </w:r>
      <w:bookmarkStart w:id="518" w:name="p208"/>
      <w:bookmarkEnd w:id="518"/>
      <w:r w:rsidR="001F5257">
        <w:t xml:space="preserve">} </w:t>
      </w:r>
    </w:p>
    <w:p w:rsidR="000A7AAB" w:rsidRDefault="000A7AAB" w:rsidP="000A7AAB">
      <w:r>
        <w:t>Ne</w:t>
      </w:r>
      <w:r w:rsidRPr="002C4077">
        <w:t xml:space="preserve"> </w:t>
      </w:r>
      <w:r>
        <w:t>croirait-on</w:t>
      </w:r>
      <w:r w:rsidRPr="002C4077">
        <w:t xml:space="preserve"> </w:t>
      </w:r>
      <w:r>
        <w:t>pas,</w:t>
      </w:r>
      <w:r w:rsidRPr="002C4077">
        <w:t xml:space="preserve"> </w:t>
      </w:r>
      <w:r>
        <w:t>d’après</w:t>
      </w:r>
      <w:r w:rsidRPr="002C4077">
        <w:t xml:space="preserve"> </w:t>
      </w:r>
      <w:r>
        <w:t>ces</w:t>
      </w:r>
      <w:r w:rsidRPr="002C4077">
        <w:t xml:space="preserve"> </w:t>
      </w:r>
      <w:r>
        <w:t>lignes,</w:t>
      </w:r>
      <w:r w:rsidRPr="002C4077">
        <w:t xml:space="preserve"> </w:t>
      </w:r>
      <w:r>
        <w:t>que</w:t>
      </w:r>
      <w:r w:rsidRPr="002C4077">
        <w:t xml:space="preserve"> </w:t>
      </w:r>
      <w:r>
        <w:t>Joseph</w:t>
      </w:r>
      <w:r w:rsidRPr="002C4077">
        <w:t xml:space="preserve"> </w:t>
      </w:r>
      <w:r>
        <w:t>et</w:t>
      </w:r>
      <w:r w:rsidRPr="002C4077">
        <w:t xml:space="preserve"> </w:t>
      </w:r>
      <w:r>
        <w:t>Marie</w:t>
      </w:r>
      <w:r w:rsidRPr="002C4077">
        <w:t xml:space="preserve"> </w:t>
      </w:r>
      <w:r>
        <w:t>s’étaient</w:t>
      </w:r>
      <w:r w:rsidRPr="002C4077">
        <w:t xml:space="preserve"> </w:t>
      </w:r>
      <w:r>
        <w:t>proposé,</w:t>
      </w:r>
      <w:r w:rsidRPr="002C4077">
        <w:t xml:space="preserve"> </w:t>
      </w:r>
      <w:r>
        <w:t>à</w:t>
      </w:r>
      <w:r w:rsidRPr="002C4077">
        <w:t xml:space="preserve"> </w:t>
      </w:r>
      <w:r>
        <w:t>leur</w:t>
      </w:r>
      <w:r w:rsidRPr="002C4077">
        <w:t xml:space="preserve"> </w:t>
      </w:r>
      <w:r>
        <w:t>retour</w:t>
      </w:r>
      <w:r w:rsidRPr="002C4077">
        <w:t xml:space="preserve"> </w:t>
      </w:r>
      <w:r>
        <w:t>d’Égypte,</w:t>
      </w:r>
      <w:r w:rsidR="002F7AFA" w:rsidRPr="002C4077">
        <w:t xml:space="preserve"> </w:t>
      </w:r>
      <w:r>
        <w:t>de</w:t>
      </w:r>
      <w:r w:rsidRPr="002C4077">
        <w:t xml:space="preserve"> </w:t>
      </w:r>
      <w:r>
        <w:t>se</w:t>
      </w:r>
      <w:r w:rsidRPr="002C4077">
        <w:t xml:space="preserve"> </w:t>
      </w:r>
      <w:r>
        <w:t>fixer</w:t>
      </w:r>
      <w:r w:rsidRPr="002C4077">
        <w:t xml:space="preserve"> </w:t>
      </w:r>
      <w:r>
        <w:t>à</w:t>
      </w:r>
      <w:r w:rsidRPr="002C4077">
        <w:t xml:space="preserve"> </w:t>
      </w:r>
      <w:r>
        <w:t>Bethléem</w:t>
      </w:r>
      <w:r w:rsidR="00B91AF7">
        <w:rPr>
          <w:rStyle w:val="Appelnotedebasdep"/>
        </w:rPr>
        <w:footnoteReference w:id="696"/>
      </w:r>
      <w:r>
        <w:t>,</w:t>
      </w:r>
      <w:r w:rsidRPr="002C4077">
        <w:t xml:space="preserve"> </w:t>
      </w:r>
      <w:r>
        <w:t>dans</w:t>
      </w:r>
      <w:r w:rsidRPr="002C4077">
        <w:t xml:space="preserve"> </w:t>
      </w:r>
      <w:r>
        <w:t>la</w:t>
      </w:r>
      <w:r w:rsidRPr="002C4077">
        <w:t xml:space="preserve"> </w:t>
      </w:r>
      <w:r>
        <w:t>pensée</w:t>
      </w:r>
      <w:r w:rsidRPr="002C4077">
        <w:t xml:space="preserve"> </w:t>
      </w:r>
      <w:r>
        <w:t>qu’il</w:t>
      </w:r>
      <w:r w:rsidRPr="002C4077">
        <w:t xml:space="preserve"> </w:t>
      </w:r>
      <w:r>
        <w:t>était</w:t>
      </w:r>
      <w:r w:rsidRPr="002C4077">
        <w:t xml:space="preserve"> </w:t>
      </w:r>
      <w:r>
        <w:t>convenable</w:t>
      </w:r>
      <w:r w:rsidRPr="002C4077">
        <w:t xml:space="preserve"> </w:t>
      </w:r>
      <w:r>
        <w:t>que</w:t>
      </w:r>
      <w:r w:rsidRPr="002C4077">
        <w:t xml:space="preserve"> </w:t>
      </w:r>
      <w:r>
        <w:t>l’héritier</w:t>
      </w:r>
      <w:r w:rsidRPr="002C4077">
        <w:t xml:space="preserve"> </w:t>
      </w:r>
      <w:r>
        <w:t>de</w:t>
      </w:r>
      <w:r w:rsidRPr="002C4077">
        <w:t xml:space="preserve"> </w:t>
      </w:r>
      <w:r>
        <w:t>David</w:t>
      </w:r>
      <w:r w:rsidRPr="002C4077">
        <w:t xml:space="preserve"> </w:t>
      </w:r>
      <w:r>
        <w:t>eût</w:t>
      </w:r>
      <w:r w:rsidRPr="002C4077">
        <w:t xml:space="preserve"> </w:t>
      </w:r>
      <w:r>
        <w:t>pour</w:t>
      </w:r>
      <w:r w:rsidRPr="002C4077">
        <w:t xml:space="preserve"> </w:t>
      </w:r>
      <w:r>
        <w:t>résidence</w:t>
      </w:r>
      <w:r w:rsidRPr="002C4077">
        <w:t xml:space="preserve"> </w:t>
      </w:r>
      <w:r>
        <w:t>la</w:t>
      </w:r>
      <w:r w:rsidRPr="002C4077">
        <w:t xml:space="preserve"> </w:t>
      </w:r>
      <w:r>
        <w:t>cité</w:t>
      </w:r>
      <w:r w:rsidRPr="002C4077">
        <w:t xml:space="preserve"> </w:t>
      </w:r>
      <w:r>
        <w:t>de</w:t>
      </w:r>
      <w:r w:rsidRPr="002C4077">
        <w:t xml:space="preserve"> </w:t>
      </w:r>
      <w:r>
        <w:t>David,</w:t>
      </w:r>
      <w:r w:rsidRPr="002C4077">
        <w:t xml:space="preserve"> </w:t>
      </w:r>
      <w:r>
        <w:t>où</w:t>
      </w:r>
      <w:r w:rsidRPr="002C4077">
        <w:t xml:space="preserve"> </w:t>
      </w:r>
      <w:r>
        <w:t>la</w:t>
      </w:r>
      <w:r w:rsidRPr="002C4077">
        <w:t xml:space="preserve"> </w:t>
      </w:r>
      <w:r>
        <w:t>Providence</w:t>
      </w:r>
      <w:r w:rsidRPr="002C4077">
        <w:t xml:space="preserve"> </w:t>
      </w:r>
      <w:r>
        <w:t>avait,</w:t>
      </w:r>
      <w:r w:rsidRPr="002C4077">
        <w:t xml:space="preserve"> </w:t>
      </w:r>
      <w:r>
        <w:t>depuis</w:t>
      </w:r>
      <w:r w:rsidRPr="002C4077">
        <w:t xml:space="preserve"> </w:t>
      </w:r>
      <w:r>
        <w:t>longtemps</w:t>
      </w:r>
      <w:r w:rsidRPr="002C4077">
        <w:t xml:space="preserve"> </w:t>
      </w:r>
      <w:r>
        <w:t>par</w:t>
      </w:r>
      <w:r w:rsidRPr="002C4077">
        <w:t xml:space="preserve"> </w:t>
      </w:r>
      <w:r>
        <w:t>ses</w:t>
      </w:r>
      <w:r w:rsidRPr="002C4077">
        <w:t xml:space="preserve"> </w:t>
      </w:r>
      <w:r>
        <w:t>Prophètes</w:t>
      </w:r>
      <w:r w:rsidR="00B91AF7">
        <w:rPr>
          <w:rStyle w:val="Appelnotedebasdep"/>
        </w:rPr>
        <w:footnoteReference w:id="697"/>
      </w:r>
      <w:r>
        <w:t>,</w:t>
      </w:r>
      <w:r w:rsidRPr="002C4077">
        <w:t xml:space="preserve"> </w:t>
      </w:r>
      <w:r>
        <w:t>puis</w:t>
      </w:r>
      <w:r w:rsidRPr="002C4077">
        <w:t xml:space="preserve"> </w:t>
      </w:r>
      <w:r>
        <w:t>naguère</w:t>
      </w:r>
      <w:r w:rsidRPr="002C4077">
        <w:t xml:space="preserve"> </w:t>
      </w:r>
      <w:r>
        <w:t>par</w:t>
      </w:r>
      <w:r w:rsidRPr="002C4077">
        <w:t xml:space="preserve"> </w:t>
      </w:r>
      <w:r>
        <w:t>an</w:t>
      </w:r>
      <w:r w:rsidRPr="002C4077">
        <w:t xml:space="preserve"> </w:t>
      </w:r>
      <w:r>
        <w:t>décret</w:t>
      </w:r>
      <w:r w:rsidRPr="002C4077">
        <w:t xml:space="preserve"> </w:t>
      </w:r>
      <w:r>
        <w:t>inconscient</w:t>
      </w:r>
      <w:r w:rsidRPr="002C4077">
        <w:t xml:space="preserve"> </w:t>
      </w:r>
      <w:r w:rsidR="00242610">
        <w:t>d’Auguste</w:t>
      </w:r>
      <w:r w:rsidR="00242610">
        <w:rPr>
          <w:rStyle w:val="Appelnotedebasdep"/>
        </w:rPr>
        <w:footnoteReference w:id="698"/>
      </w:r>
      <w:r>
        <w:t>,</w:t>
      </w:r>
      <w:r w:rsidRPr="002C4077">
        <w:t xml:space="preserve"> </w:t>
      </w:r>
      <w:r>
        <w:t>placé</w:t>
      </w:r>
      <w:r w:rsidRPr="002C4077">
        <w:t xml:space="preserve"> </w:t>
      </w:r>
      <w:r>
        <w:t>le</w:t>
      </w:r>
      <w:r w:rsidRPr="002C4077">
        <w:t xml:space="preserve"> </w:t>
      </w:r>
      <w:r>
        <w:t>berceau</w:t>
      </w:r>
      <w:r w:rsidRPr="002C4077">
        <w:t xml:space="preserve"> </w:t>
      </w:r>
      <w:r>
        <w:t>de</w:t>
      </w:r>
      <w:r w:rsidRPr="002C4077">
        <w:t xml:space="preserve"> </w:t>
      </w:r>
      <w:r>
        <w:t>l’Enfant-Dieu</w:t>
      </w:r>
      <w:r w:rsidR="00B546AF">
        <w:t> ?</w:t>
      </w:r>
      <w:r w:rsidRPr="002C4077">
        <w:t xml:space="preserve"> </w:t>
      </w:r>
      <w:r>
        <w:t>Mais</w:t>
      </w:r>
      <w:r w:rsidRPr="002C4077">
        <w:t xml:space="preserve"> </w:t>
      </w:r>
      <w:r>
        <w:t>telles</w:t>
      </w:r>
      <w:r w:rsidRPr="002C4077">
        <w:t xml:space="preserve"> </w:t>
      </w:r>
      <w:r>
        <w:t>ne</w:t>
      </w:r>
      <w:r w:rsidRPr="002C4077">
        <w:t xml:space="preserve"> </w:t>
      </w:r>
      <w:r>
        <w:t>sont</w:t>
      </w:r>
      <w:r w:rsidRPr="002C4077">
        <w:t xml:space="preserve"> </w:t>
      </w:r>
      <w:r>
        <w:t>pas</w:t>
      </w:r>
      <w:r w:rsidRPr="002C4077">
        <w:t xml:space="preserve"> </w:t>
      </w:r>
      <w:r>
        <w:t>les</w:t>
      </w:r>
      <w:r w:rsidRPr="002C4077">
        <w:t xml:space="preserve"> </w:t>
      </w:r>
      <w:r>
        <w:t>intentions</w:t>
      </w:r>
      <w:r w:rsidRPr="002C4077">
        <w:t xml:space="preserve"> </w:t>
      </w:r>
      <w:r>
        <w:t>du</w:t>
      </w:r>
      <w:r w:rsidRPr="002C4077">
        <w:t xml:space="preserve"> </w:t>
      </w:r>
      <w:r>
        <w:t>Très-Haut.</w:t>
      </w:r>
      <w:r w:rsidRPr="002C4077">
        <w:t xml:space="preserve"> </w:t>
      </w:r>
      <w:r>
        <w:t>C’est</w:t>
      </w:r>
      <w:r w:rsidRPr="002C4077">
        <w:t xml:space="preserve"> </w:t>
      </w:r>
      <w:r>
        <w:t>dans</w:t>
      </w:r>
      <w:r w:rsidRPr="002C4077">
        <w:t xml:space="preserve"> </w:t>
      </w:r>
      <w:r>
        <w:t>la</w:t>
      </w:r>
      <w:r w:rsidRPr="002C4077">
        <w:t xml:space="preserve"> </w:t>
      </w:r>
      <w:r>
        <w:t>solitude</w:t>
      </w:r>
      <w:r w:rsidRPr="002C4077">
        <w:t xml:space="preserve"> </w:t>
      </w:r>
      <w:r>
        <w:t>de</w:t>
      </w:r>
      <w:r w:rsidRPr="002C4077">
        <w:t xml:space="preserve"> </w:t>
      </w:r>
      <w:r>
        <w:t>Nazareth</w:t>
      </w:r>
      <w:r w:rsidRPr="002C4077">
        <w:t xml:space="preserve"> </w:t>
      </w:r>
      <w:r>
        <w:t>que</w:t>
      </w:r>
      <w:r w:rsidRPr="002C4077">
        <w:t xml:space="preserve"> </w:t>
      </w:r>
      <w:r w:rsidR="00425C50">
        <w:t>Jésus</w:t>
      </w:r>
      <w:r w:rsidRPr="002C4077">
        <w:t xml:space="preserve"> </w:t>
      </w:r>
      <w:r>
        <w:t>attendra</w:t>
      </w:r>
      <w:r w:rsidRPr="002C4077">
        <w:t xml:space="preserve"> </w:t>
      </w:r>
      <w:r>
        <w:t>l’heure</w:t>
      </w:r>
      <w:r w:rsidRPr="002C4077">
        <w:t xml:space="preserve"> </w:t>
      </w:r>
      <w:r>
        <w:t>de</w:t>
      </w:r>
      <w:r w:rsidRPr="002C4077">
        <w:t xml:space="preserve"> </w:t>
      </w:r>
      <w:r>
        <w:t>se</w:t>
      </w:r>
      <w:r w:rsidRPr="002C4077">
        <w:t xml:space="preserve"> </w:t>
      </w:r>
      <w:r>
        <w:t>manifester</w:t>
      </w:r>
      <w:r w:rsidRPr="002C4077">
        <w:t xml:space="preserve"> </w:t>
      </w:r>
      <w:r>
        <w:t>au</w:t>
      </w:r>
      <w:r w:rsidRPr="002C4077">
        <w:t xml:space="preserve"> </w:t>
      </w:r>
      <w:r>
        <w:t>monde.</w:t>
      </w:r>
      <w:r w:rsidRPr="002C4077">
        <w:t xml:space="preserve"> </w:t>
      </w:r>
      <w:r>
        <w:t>Heureuse</w:t>
      </w:r>
      <w:r w:rsidRPr="002C4077">
        <w:t xml:space="preserve"> </w:t>
      </w:r>
      <w:r>
        <w:t>Nazareth</w:t>
      </w:r>
      <w:r w:rsidR="00B546AF">
        <w:t> !</w:t>
      </w:r>
      <w:r>
        <w:t>…</w:t>
      </w:r>
      <w:r w:rsidRPr="002C4077">
        <w:t xml:space="preserve"> </w:t>
      </w:r>
      <w:r>
        <w:t>Mais</w:t>
      </w:r>
      <w:r w:rsidRPr="002C4077">
        <w:t xml:space="preserve"> </w:t>
      </w:r>
      <w:r>
        <w:t>suivons</w:t>
      </w:r>
      <w:r w:rsidRPr="002C4077">
        <w:t xml:space="preserve"> </w:t>
      </w:r>
      <w:r>
        <w:t>encore</w:t>
      </w:r>
      <w:r w:rsidRPr="002C4077">
        <w:t xml:space="preserve"> </w:t>
      </w:r>
      <w:r>
        <w:t>le</w:t>
      </w:r>
      <w:r w:rsidRPr="002C4077">
        <w:t xml:space="preserve"> </w:t>
      </w:r>
      <w:r>
        <w:t>récit</w:t>
      </w:r>
      <w:r w:rsidRPr="002C4077">
        <w:t xml:space="preserve"> </w:t>
      </w:r>
      <w:r>
        <w:t>sacré.</w:t>
      </w:r>
      <w:r w:rsidRPr="002C4077">
        <w:t xml:space="preserve"> </w:t>
      </w:r>
    </w:p>
    <w:p w:rsidR="000A7AAB" w:rsidRDefault="00B546AF" w:rsidP="002F7AFA">
      <w:pPr>
        <w:pStyle w:val="locus"/>
      </w:pPr>
      <w:r>
        <w:t>« </w:t>
      </w:r>
      <w:r w:rsidR="000A7AAB">
        <w:t>Ils</w:t>
      </w:r>
      <w:r w:rsidR="000A7AAB" w:rsidRPr="002C4077">
        <w:t xml:space="preserve"> </w:t>
      </w:r>
      <w:r w:rsidR="000A7AAB">
        <w:t>s’en</w:t>
      </w:r>
      <w:r w:rsidR="000A7AAB" w:rsidRPr="002C4077">
        <w:t xml:space="preserve"> </w:t>
      </w:r>
      <w:r w:rsidR="000A7AAB">
        <w:t>retournèrent</w:t>
      </w:r>
      <w:r w:rsidR="000A7AAB" w:rsidRPr="002C4077">
        <w:t xml:space="preserve"> </w:t>
      </w:r>
      <w:r w:rsidR="000A7AAB">
        <w:t>en</w:t>
      </w:r>
      <w:r w:rsidR="000A7AAB" w:rsidRPr="002C4077">
        <w:t xml:space="preserve"> </w:t>
      </w:r>
      <w:r w:rsidR="000A7AAB">
        <w:t>Galilée,</w:t>
      </w:r>
      <w:r w:rsidR="000A7AAB" w:rsidRPr="002C4077">
        <w:t xml:space="preserve"> </w:t>
      </w:r>
      <w:r w:rsidR="000A7AAB">
        <w:t>à</w:t>
      </w:r>
      <w:r w:rsidR="000A7AAB" w:rsidRPr="002C4077">
        <w:t xml:space="preserve"> </w:t>
      </w:r>
      <w:r w:rsidR="000A7AAB">
        <w:t>Nazareth</w:t>
      </w:r>
      <w:r w:rsidR="000A7AAB" w:rsidRPr="002C4077">
        <w:t xml:space="preserve"> </w:t>
      </w:r>
      <w:r w:rsidR="000A7AAB">
        <w:t>leur</w:t>
      </w:r>
      <w:r w:rsidR="000A7AAB" w:rsidRPr="002C4077">
        <w:t xml:space="preserve"> </w:t>
      </w:r>
      <w:r w:rsidR="000A7AAB">
        <w:t>ville.</w:t>
      </w:r>
      <w:r w:rsidR="000A7AAB" w:rsidRPr="002C4077">
        <w:t xml:space="preserve"> </w:t>
      </w:r>
      <w:r w:rsidR="000A7AAB">
        <w:t>Et</w:t>
      </w:r>
      <w:r w:rsidR="000A7AAB" w:rsidRPr="002C4077">
        <w:t xml:space="preserve"> </w:t>
      </w:r>
      <w:r w:rsidR="000A7AAB">
        <w:t>le</w:t>
      </w:r>
      <w:r w:rsidR="000A7AAB" w:rsidRPr="002C4077">
        <w:t xml:space="preserve"> </w:t>
      </w:r>
      <w:r w:rsidR="000A7AAB">
        <w:t>petit</w:t>
      </w:r>
      <w:r w:rsidR="000A7AAB" w:rsidRPr="002C4077">
        <w:t xml:space="preserve"> </w:t>
      </w:r>
      <w:r w:rsidR="000A7AAB">
        <w:t>enfant</w:t>
      </w:r>
      <w:r w:rsidR="000A7AAB" w:rsidRPr="002C4077">
        <w:t xml:space="preserve"> </w:t>
      </w:r>
      <w:r w:rsidR="000A7AAB">
        <w:t>croissait</w:t>
      </w:r>
      <w:r w:rsidR="000A7AAB" w:rsidRPr="002C4077">
        <w:t xml:space="preserve"> </w:t>
      </w:r>
      <w:r w:rsidR="000A7AAB">
        <w:t>et</w:t>
      </w:r>
      <w:r w:rsidR="000A7AAB" w:rsidRPr="002C4077">
        <w:t xml:space="preserve"> </w:t>
      </w:r>
      <w:r w:rsidR="000A7AAB">
        <w:t>se</w:t>
      </w:r>
      <w:r w:rsidR="000A7AAB" w:rsidRPr="002C4077">
        <w:t xml:space="preserve"> </w:t>
      </w:r>
      <w:r w:rsidR="000A7AAB">
        <w:t>fortifiait,</w:t>
      </w:r>
      <w:r w:rsidR="000A7AAB" w:rsidRPr="002C4077">
        <w:t xml:space="preserve"> </w:t>
      </w:r>
      <w:r w:rsidR="000A7AAB">
        <w:t>étant</w:t>
      </w:r>
      <w:r w:rsidR="000A7AAB" w:rsidRPr="002C4077">
        <w:t xml:space="preserve"> </w:t>
      </w:r>
      <w:r w:rsidR="000A7AAB">
        <w:t>rempli</w:t>
      </w:r>
      <w:r w:rsidR="000A7AAB" w:rsidRPr="002C4077">
        <w:t xml:space="preserve"> </w:t>
      </w:r>
      <w:r w:rsidR="000A7AAB">
        <w:t>de</w:t>
      </w:r>
      <w:r w:rsidR="000A7AAB" w:rsidRPr="002C4077">
        <w:t xml:space="preserve"> </w:t>
      </w:r>
      <w:r w:rsidR="000A7AAB">
        <w:t>sagesse,</w:t>
      </w:r>
      <w:r w:rsidR="000A7AAB" w:rsidRPr="002C4077">
        <w:t xml:space="preserve"> </w:t>
      </w:r>
      <w:r w:rsidR="000A7AAB">
        <w:t>et</w:t>
      </w:r>
      <w:r w:rsidR="000A7AAB" w:rsidRPr="002C4077">
        <w:t xml:space="preserve"> </w:t>
      </w:r>
      <w:r w:rsidR="000A7AAB">
        <w:t>la</w:t>
      </w:r>
      <w:r w:rsidR="000A7AAB" w:rsidRPr="002C4077">
        <w:t xml:space="preserve"> </w:t>
      </w:r>
      <w:r w:rsidR="000A7AAB">
        <w:t>grâce</w:t>
      </w:r>
      <w:r w:rsidR="000A7AAB" w:rsidRPr="002C4077">
        <w:t xml:space="preserve"> </w:t>
      </w:r>
      <w:r w:rsidR="000A7AAB">
        <w:t>de</w:t>
      </w:r>
      <w:r w:rsidR="000A7AAB" w:rsidRPr="002C4077">
        <w:t xml:space="preserve"> </w:t>
      </w:r>
      <w:r w:rsidR="000A7AAB">
        <w:t>Dieu</w:t>
      </w:r>
      <w:r w:rsidR="000A7AAB" w:rsidRPr="002C4077">
        <w:t xml:space="preserve"> </w:t>
      </w:r>
      <w:r w:rsidR="000A7AAB">
        <w:t>était</w:t>
      </w:r>
      <w:r w:rsidR="000A7AAB" w:rsidRPr="002C4077">
        <w:t xml:space="preserve"> </w:t>
      </w:r>
      <w:r w:rsidR="000A7AAB">
        <w:t>en</w:t>
      </w:r>
      <w:r w:rsidR="000A7AAB" w:rsidRPr="002C4077">
        <w:t xml:space="preserve"> </w:t>
      </w:r>
      <w:r w:rsidR="000A7AAB">
        <w:t>lui…</w:t>
      </w:r>
      <w:r w:rsidR="000A7AAB" w:rsidRPr="002C4077">
        <w:t xml:space="preserve"> </w:t>
      </w:r>
      <w:r w:rsidR="000A7AAB">
        <w:t>Il</w:t>
      </w:r>
      <w:r w:rsidR="000A7AAB" w:rsidRPr="002C4077">
        <w:t xml:space="preserve"> </w:t>
      </w:r>
      <w:r w:rsidR="000A7AAB">
        <w:t>descendit</w:t>
      </w:r>
      <w:r w:rsidR="000A7AAB" w:rsidRPr="002C4077">
        <w:t xml:space="preserve"> </w:t>
      </w:r>
      <w:r w:rsidR="000A7AAB">
        <w:t>avec</w:t>
      </w:r>
      <w:r w:rsidR="000A7AAB" w:rsidRPr="002C4077">
        <w:t xml:space="preserve"> </w:t>
      </w:r>
      <w:r w:rsidR="000A7AAB">
        <w:t>eux</w:t>
      </w:r>
      <w:r w:rsidR="000A7AAB" w:rsidRPr="002C4077">
        <w:t xml:space="preserve"> </w:t>
      </w:r>
      <w:r w:rsidR="000A7AAB">
        <w:t>et</w:t>
      </w:r>
      <w:r w:rsidR="000A7AAB" w:rsidRPr="002C4077">
        <w:t xml:space="preserve"> </w:t>
      </w:r>
      <w:r w:rsidR="000A7AAB">
        <w:t>vint</w:t>
      </w:r>
      <w:r w:rsidR="000A7AAB" w:rsidRPr="002C4077">
        <w:t xml:space="preserve"> </w:t>
      </w:r>
      <w:r w:rsidR="000A7AAB">
        <w:t>à</w:t>
      </w:r>
      <w:r w:rsidR="000A7AAB" w:rsidRPr="002C4077">
        <w:t xml:space="preserve"> </w:t>
      </w:r>
      <w:r w:rsidR="000A7AAB">
        <w:t>Nazareth,</w:t>
      </w:r>
      <w:r w:rsidR="000A7AAB" w:rsidRPr="002C4077">
        <w:t xml:space="preserve"> </w:t>
      </w:r>
      <w:r w:rsidR="000A7AAB">
        <w:t>et</w:t>
      </w:r>
      <w:r w:rsidR="000A7AAB" w:rsidRPr="002C4077">
        <w:t xml:space="preserve"> </w:t>
      </w:r>
      <w:r w:rsidR="000A7AAB">
        <w:t>il</w:t>
      </w:r>
      <w:r w:rsidR="000A7AAB" w:rsidRPr="002C4077">
        <w:t xml:space="preserve"> </w:t>
      </w:r>
      <w:r w:rsidR="000A7AAB">
        <w:t>leur</w:t>
      </w:r>
      <w:r w:rsidR="000A7AAB" w:rsidRPr="002C4077">
        <w:t xml:space="preserve"> </w:t>
      </w:r>
      <w:r w:rsidR="000A7AAB">
        <w:t>était</w:t>
      </w:r>
      <w:r w:rsidR="000A7AAB" w:rsidRPr="002C4077">
        <w:t xml:space="preserve"> </w:t>
      </w:r>
      <w:r w:rsidR="000A7AAB">
        <w:t>soumis…</w:t>
      </w:r>
      <w:r w:rsidR="000A7AAB" w:rsidRPr="002C4077">
        <w:t xml:space="preserve"> </w:t>
      </w:r>
      <w:r w:rsidR="000A7AAB">
        <w:t>Et</w:t>
      </w:r>
      <w:r w:rsidR="000A7AAB" w:rsidRPr="002C4077">
        <w:t xml:space="preserve"> </w:t>
      </w:r>
      <w:r w:rsidR="00425C50">
        <w:t>Jésus</w:t>
      </w:r>
      <w:r w:rsidR="000A7AAB" w:rsidRPr="002C4077">
        <w:t xml:space="preserve"> </w:t>
      </w:r>
      <w:r w:rsidR="000A7AAB">
        <w:t>s’avançait</w:t>
      </w:r>
      <w:r w:rsidR="000A7AAB" w:rsidRPr="002C4077">
        <w:t xml:space="preserve"> </w:t>
      </w:r>
      <w:r w:rsidR="000A7AAB">
        <w:t>en</w:t>
      </w:r>
      <w:r w:rsidR="000A7AAB" w:rsidRPr="002C4077">
        <w:t xml:space="preserve"> </w:t>
      </w:r>
      <w:r w:rsidR="000A7AAB">
        <w:t>sagesse,</w:t>
      </w:r>
      <w:r w:rsidR="000A7AAB" w:rsidRPr="002C4077">
        <w:t xml:space="preserve"> </w:t>
      </w:r>
      <w:r w:rsidR="000A7AAB">
        <w:t>et</w:t>
      </w:r>
      <w:r w:rsidR="000A7AAB" w:rsidRPr="002C4077">
        <w:t xml:space="preserve"> </w:t>
      </w:r>
      <w:r w:rsidR="000A7AAB">
        <w:t>en</w:t>
      </w:r>
      <w:r w:rsidR="000A7AAB" w:rsidRPr="002C4077">
        <w:t xml:space="preserve"> </w:t>
      </w:r>
      <w:r w:rsidR="000A7AAB">
        <w:t>stature,</w:t>
      </w:r>
      <w:r w:rsidR="000A7AAB" w:rsidRPr="002C4077">
        <w:t xml:space="preserve"> </w:t>
      </w:r>
      <w:r w:rsidR="000A7AAB">
        <w:t>et</w:t>
      </w:r>
      <w:r w:rsidR="000A7AAB" w:rsidRPr="002C4077">
        <w:t xml:space="preserve"> </w:t>
      </w:r>
      <w:r w:rsidR="000A7AAB">
        <w:t>en</w:t>
      </w:r>
      <w:r w:rsidR="000A7AAB" w:rsidRPr="002C4077">
        <w:t xml:space="preserve"> </w:t>
      </w:r>
      <w:r w:rsidR="000A7AAB">
        <w:t>grâce,</w:t>
      </w:r>
      <w:r w:rsidR="000A7AAB" w:rsidRPr="002C4077">
        <w:t xml:space="preserve"> </w:t>
      </w:r>
      <w:r w:rsidR="000A7AAB">
        <w:t>devant</w:t>
      </w:r>
      <w:r w:rsidR="000A7AAB" w:rsidRPr="002C4077">
        <w:t xml:space="preserve"> </w:t>
      </w:r>
      <w:r w:rsidR="000A7AAB">
        <w:t>Dieu</w:t>
      </w:r>
      <w:r w:rsidR="000A7AAB" w:rsidRPr="002C4077">
        <w:t xml:space="preserve"> </w:t>
      </w:r>
      <w:r w:rsidR="000A7AAB">
        <w:t>et</w:t>
      </w:r>
      <w:r w:rsidR="000A7AAB" w:rsidRPr="002C4077">
        <w:t xml:space="preserve"> </w:t>
      </w:r>
      <w:r w:rsidR="000A7AAB">
        <w:t>devant</w:t>
      </w:r>
      <w:r w:rsidR="000A7AAB" w:rsidRPr="002C4077">
        <w:t xml:space="preserve"> </w:t>
      </w:r>
      <w:r w:rsidR="000A7AAB">
        <w:t>les</w:t>
      </w:r>
      <w:r w:rsidR="000A7AAB" w:rsidRPr="002C4077">
        <w:t xml:space="preserve"> </w:t>
      </w:r>
      <w:r w:rsidR="000A7AAB">
        <w:t>hommes</w:t>
      </w:r>
      <w:r w:rsidR="00B91AF7">
        <w:rPr>
          <w:rStyle w:val="Appelnotedebasdep"/>
        </w:rPr>
        <w:footnoteReference w:id="699"/>
      </w:r>
      <w:r>
        <w:t> »</w:t>
      </w:r>
      <w:r w:rsidR="000A7AAB">
        <w:t>.</w:t>
      </w:r>
      <w:r w:rsidR="000A7AAB" w:rsidRPr="002C4077">
        <w:t xml:space="preserve"> </w:t>
      </w:r>
    </w:p>
    <w:p w:rsidR="000A7AAB" w:rsidRDefault="000A7AAB" w:rsidP="000A7AAB">
      <w:r>
        <w:t>Ô</w:t>
      </w:r>
      <w:r w:rsidRPr="002C4077">
        <w:t xml:space="preserve"> </w:t>
      </w:r>
      <w:r>
        <w:t>merveilles</w:t>
      </w:r>
      <w:r w:rsidRPr="002C4077">
        <w:t xml:space="preserve"> </w:t>
      </w:r>
      <w:r>
        <w:t>indicibles</w:t>
      </w:r>
      <w:r w:rsidRPr="002C4077">
        <w:t xml:space="preserve"> </w:t>
      </w:r>
      <w:r>
        <w:t>contenues</w:t>
      </w:r>
      <w:r w:rsidRPr="002C4077">
        <w:t xml:space="preserve"> </w:t>
      </w:r>
      <w:r>
        <w:t>dans</w:t>
      </w:r>
      <w:r w:rsidRPr="002C4077">
        <w:t xml:space="preserve"> </w:t>
      </w:r>
      <w:r>
        <w:t>ces</w:t>
      </w:r>
      <w:r w:rsidRPr="002C4077">
        <w:t xml:space="preserve"> </w:t>
      </w:r>
      <w:r>
        <w:t>quelques</w:t>
      </w:r>
      <w:r w:rsidRPr="002C4077">
        <w:t xml:space="preserve"> </w:t>
      </w:r>
      <w:r>
        <w:t>phrases</w:t>
      </w:r>
      <w:r w:rsidR="00B546AF">
        <w:t> !</w:t>
      </w:r>
      <w:r w:rsidRPr="002C4077">
        <w:t xml:space="preserve"> </w:t>
      </w:r>
      <w:r>
        <w:t>Et</w:t>
      </w:r>
      <w:r w:rsidRPr="002C4077">
        <w:t xml:space="preserve"> </w:t>
      </w:r>
      <w:r>
        <w:t>c’est</w:t>
      </w:r>
      <w:r w:rsidRPr="002C4077">
        <w:t xml:space="preserve"> </w:t>
      </w:r>
      <w:r>
        <w:t>à</w:t>
      </w:r>
      <w:r w:rsidRPr="002C4077">
        <w:t xml:space="preserve"> </w:t>
      </w:r>
      <w:r>
        <w:t>Nazareth</w:t>
      </w:r>
      <w:r w:rsidRPr="002C4077">
        <w:t xml:space="preserve"> </w:t>
      </w:r>
      <w:r>
        <w:t>qu’elles</w:t>
      </w:r>
      <w:r w:rsidRPr="002C4077">
        <w:t xml:space="preserve"> </w:t>
      </w:r>
      <w:r>
        <w:t>se</w:t>
      </w:r>
      <w:r w:rsidRPr="002C4077">
        <w:t xml:space="preserve"> </w:t>
      </w:r>
      <w:r>
        <w:t>passèrent</w:t>
      </w:r>
      <w:r w:rsidRPr="002C4077">
        <w:t xml:space="preserve"> </w:t>
      </w:r>
      <w:r>
        <w:t>durant</w:t>
      </w:r>
      <w:r w:rsidRPr="002C4077">
        <w:t xml:space="preserve"> </w:t>
      </w:r>
      <w:r>
        <w:t>près</w:t>
      </w:r>
      <w:r w:rsidRPr="002C4077">
        <w:t xml:space="preserve"> </w:t>
      </w:r>
      <w:r>
        <w:t>de</w:t>
      </w:r>
      <w:r w:rsidRPr="002C4077">
        <w:t xml:space="preserve"> </w:t>
      </w:r>
      <w:r>
        <w:t>trente</w:t>
      </w:r>
      <w:r w:rsidRPr="002C4077">
        <w:t xml:space="preserve"> </w:t>
      </w:r>
      <w:r>
        <w:t>années</w:t>
      </w:r>
      <w:r w:rsidR="00B546AF">
        <w:t> !</w:t>
      </w:r>
      <w:r w:rsidRPr="002C4077">
        <w:t xml:space="preserve"> </w:t>
      </w:r>
    </w:p>
    <w:p w:rsidR="000A7AAB" w:rsidRDefault="000A7AAB" w:rsidP="000A7AAB">
      <w:r>
        <w:t>La</w:t>
      </w:r>
      <w:r w:rsidRPr="002C4077">
        <w:t xml:space="preserve"> </w:t>
      </w:r>
      <w:r>
        <w:t>vie</w:t>
      </w:r>
      <w:r w:rsidRPr="002C4077">
        <w:t xml:space="preserve"> </w:t>
      </w:r>
      <w:r>
        <w:t>cachée</w:t>
      </w:r>
      <w:r w:rsidRPr="002C4077">
        <w:t xml:space="preserve"> </w:t>
      </w:r>
      <w:r>
        <w:t>a</w:t>
      </w:r>
      <w:r w:rsidRPr="002C4077">
        <w:t xml:space="preserve"> </w:t>
      </w:r>
      <w:r>
        <w:t>pris</w:t>
      </w:r>
      <w:r w:rsidRPr="002C4077">
        <w:t xml:space="preserve"> </w:t>
      </w:r>
      <w:r>
        <w:t>fin,</w:t>
      </w:r>
      <w:r w:rsidRPr="002C4077">
        <w:t xml:space="preserve"> </w:t>
      </w:r>
      <w:r>
        <w:t>et</w:t>
      </w:r>
      <w:r w:rsidRPr="002C4077">
        <w:t xml:space="preserve"> </w:t>
      </w:r>
      <w:r>
        <w:t>voici</w:t>
      </w:r>
      <w:r w:rsidRPr="002C4077">
        <w:t xml:space="preserve"> </w:t>
      </w:r>
      <w:r>
        <w:t>que</w:t>
      </w:r>
      <w:r w:rsidRPr="002C4077">
        <w:t xml:space="preserve"> </w:t>
      </w:r>
      <w:r>
        <w:t>la</w:t>
      </w:r>
      <w:r w:rsidRPr="002C4077">
        <w:t xml:space="preserve"> </w:t>
      </w:r>
      <w:r>
        <w:t>vie</w:t>
      </w:r>
      <w:r w:rsidRPr="002C4077">
        <w:t xml:space="preserve"> </w:t>
      </w:r>
      <w:r>
        <w:t>publique</w:t>
      </w:r>
      <w:r w:rsidRPr="002C4077">
        <w:t xml:space="preserve"> </w:t>
      </w:r>
      <w:r>
        <w:t>du</w:t>
      </w:r>
      <w:r w:rsidRPr="002C4077">
        <w:t xml:space="preserve"> </w:t>
      </w:r>
      <w:r>
        <w:t>Sauveur</w:t>
      </w:r>
      <w:r w:rsidRPr="002C4077">
        <w:t xml:space="preserve"> </w:t>
      </w:r>
      <w:r>
        <w:t>commence.</w:t>
      </w:r>
      <w:r w:rsidRPr="002C4077">
        <w:t xml:space="preserve"> </w:t>
      </w:r>
      <w:r w:rsidR="00B546AF">
        <w:t>« </w:t>
      </w:r>
      <w:r>
        <w:t>En</w:t>
      </w:r>
      <w:r w:rsidRPr="002C4077">
        <w:t xml:space="preserve"> </w:t>
      </w:r>
      <w:r>
        <w:t>ces</w:t>
      </w:r>
      <w:r w:rsidRPr="002C4077">
        <w:t xml:space="preserve"> </w:t>
      </w:r>
      <w:r>
        <w:t>jours,</w:t>
      </w:r>
      <w:r w:rsidRPr="002C4077">
        <w:t xml:space="preserve"> </w:t>
      </w:r>
      <w:r>
        <w:t>écrit</w:t>
      </w:r>
      <w:r w:rsidRPr="002C4077">
        <w:t xml:space="preserve"> </w:t>
      </w:r>
      <w:r>
        <w:t>saint</w:t>
      </w:r>
      <w:r w:rsidRPr="002C4077">
        <w:t xml:space="preserve"> </w:t>
      </w:r>
      <w:r>
        <w:t>Marc</w:t>
      </w:r>
      <w:r w:rsidR="00B91AF7">
        <w:rPr>
          <w:rStyle w:val="Appelnotedebasdep"/>
        </w:rPr>
        <w:footnoteReference w:id="700"/>
      </w:r>
      <w:r>
        <w:t>,</w:t>
      </w:r>
      <w:r w:rsidRPr="002C4077">
        <w:t xml:space="preserve"> </w:t>
      </w:r>
      <w:r w:rsidR="00425C50">
        <w:t>Jésus</w:t>
      </w:r>
      <w:r w:rsidRPr="002C4077">
        <w:t xml:space="preserve"> </w:t>
      </w:r>
      <w:r>
        <w:t>vint</w:t>
      </w:r>
      <w:r w:rsidRPr="002C4077">
        <w:t xml:space="preserve"> </w:t>
      </w:r>
      <w:r>
        <w:t>de</w:t>
      </w:r>
      <w:r w:rsidRPr="002C4077">
        <w:t xml:space="preserve"> </w:t>
      </w:r>
      <w:r>
        <w:t>Nazareth,</w:t>
      </w:r>
      <w:r w:rsidRPr="002C4077">
        <w:t xml:space="preserve"> </w:t>
      </w:r>
      <w:r>
        <w:t>ville</w:t>
      </w:r>
      <w:r w:rsidRPr="002C4077">
        <w:t xml:space="preserve"> </w:t>
      </w:r>
      <w:r>
        <w:t>de</w:t>
      </w:r>
      <w:r w:rsidRPr="002C4077">
        <w:t xml:space="preserve"> </w:t>
      </w:r>
      <w:r>
        <w:t>Galilée,</w:t>
      </w:r>
      <w:r w:rsidRPr="002C4077">
        <w:t xml:space="preserve"> </w:t>
      </w:r>
      <w:r>
        <w:t>et</w:t>
      </w:r>
      <w:r w:rsidRPr="002C4077">
        <w:t xml:space="preserve"> </w:t>
      </w:r>
      <w:r>
        <w:t>il</w:t>
      </w:r>
      <w:r w:rsidRPr="002C4077">
        <w:t xml:space="preserve"> </w:t>
      </w:r>
      <w:r>
        <w:t>fut</w:t>
      </w:r>
      <w:r w:rsidRPr="002C4077">
        <w:t xml:space="preserve"> </w:t>
      </w:r>
      <w:r>
        <w:t>baptisé</w:t>
      </w:r>
      <w:r w:rsidRPr="002C4077">
        <w:t xml:space="preserve"> </w:t>
      </w:r>
      <w:r>
        <w:t>par</w:t>
      </w:r>
      <w:r w:rsidRPr="002C4077">
        <w:t xml:space="preserve"> </w:t>
      </w:r>
      <w:r>
        <w:t>saint</w:t>
      </w:r>
      <w:r w:rsidRPr="002C4077">
        <w:t xml:space="preserve"> </w:t>
      </w:r>
      <w:r>
        <w:t>Jean</w:t>
      </w:r>
      <w:r w:rsidRPr="002C4077">
        <w:t xml:space="preserve"> </w:t>
      </w:r>
      <w:r>
        <w:t>au</w:t>
      </w:r>
      <w:r w:rsidRPr="002C4077">
        <w:t xml:space="preserve"> </w:t>
      </w:r>
      <w:r>
        <w:t>Jourdain</w:t>
      </w:r>
      <w:r w:rsidR="00B546AF">
        <w:t> »</w:t>
      </w:r>
      <w:r>
        <w:t>.</w:t>
      </w:r>
      <w:r w:rsidRPr="002C4077">
        <w:t xml:space="preserve"> </w:t>
      </w:r>
      <w:r>
        <w:t>À</w:t>
      </w:r>
      <w:r w:rsidRPr="002C4077">
        <w:t xml:space="preserve"> </w:t>
      </w:r>
      <w:r>
        <w:t>partir</w:t>
      </w:r>
      <w:r w:rsidRPr="002C4077">
        <w:t xml:space="preserve"> </w:t>
      </w:r>
      <w:r>
        <w:t>de</w:t>
      </w:r>
      <w:r w:rsidRPr="002C4077">
        <w:t xml:space="preserve"> </w:t>
      </w:r>
      <w:r>
        <w:t>cette</w:t>
      </w:r>
      <w:r w:rsidRPr="002C4077">
        <w:t xml:space="preserve"> </w:t>
      </w:r>
      <w:r>
        <w:t>époque,</w:t>
      </w:r>
      <w:r w:rsidRPr="002C4077">
        <w:t xml:space="preserve"> </w:t>
      </w:r>
      <w:r>
        <w:t>Nazareth</w:t>
      </w:r>
      <w:r w:rsidRPr="002C4077">
        <w:t xml:space="preserve"> </w:t>
      </w:r>
      <w:r>
        <w:t>cessa</w:t>
      </w:r>
      <w:r w:rsidRPr="002C4077">
        <w:t xml:space="preserve"> </w:t>
      </w:r>
      <w:r>
        <w:t>d’être</w:t>
      </w:r>
      <w:r w:rsidRPr="002C4077">
        <w:t xml:space="preserve"> </w:t>
      </w:r>
      <w:r>
        <w:t>le</w:t>
      </w:r>
      <w:r w:rsidRPr="002C4077">
        <w:t xml:space="preserve"> </w:t>
      </w:r>
      <w:r>
        <w:t>séjour</w:t>
      </w:r>
      <w:r w:rsidRPr="002C4077">
        <w:t xml:space="preserve"> </w:t>
      </w:r>
      <w:r>
        <w:t>accoutumé</w:t>
      </w:r>
      <w:r w:rsidRPr="002C4077">
        <w:t xml:space="preserve"> </w:t>
      </w:r>
      <w:r>
        <w:t>de</w:t>
      </w:r>
      <w:r w:rsidRPr="002C4077">
        <w:t xml:space="preserve"> </w:t>
      </w:r>
      <w:r w:rsidR="00425C50">
        <w:t>Jésus</w:t>
      </w:r>
      <w:r w:rsidR="00B546AF">
        <w:t> :</w:t>
      </w:r>
      <w:r w:rsidRPr="002C4077">
        <w:t xml:space="preserve"> </w:t>
      </w:r>
      <w:r>
        <w:t>comme</w:t>
      </w:r>
      <w:r w:rsidRPr="002C4077">
        <w:t xml:space="preserve"> </w:t>
      </w:r>
      <w:r>
        <w:t>un</w:t>
      </w:r>
      <w:r w:rsidRPr="002C4077">
        <w:t xml:space="preserve"> </w:t>
      </w:r>
      <w:r>
        <w:t>missionnaire,</w:t>
      </w:r>
      <w:r w:rsidRPr="002C4077">
        <w:t xml:space="preserve"> </w:t>
      </w:r>
      <w:r>
        <w:t>le</w:t>
      </w:r>
      <w:r w:rsidRPr="002C4077">
        <w:t xml:space="preserve"> </w:t>
      </w:r>
      <w:r>
        <w:t>Messie</w:t>
      </w:r>
      <w:r w:rsidRPr="002C4077">
        <w:t xml:space="preserve"> </w:t>
      </w:r>
      <w:r>
        <w:t>va</w:t>
      </w:r>
      <w:r w:rsidRPr="002C4077">
        <w:t xml:space="preserve"> </w:t>
      </w:r>
      <w:r>
        <w:t>parcourir</w:t>
      </w:r>
      <w:r w:rsidRPr="002C4077">
        <w:t xml:space="preserve"> </w:t>
      </w:r>
      <w:r>
        <w:t>toute</w:t>
      </w:r>
      <w:r w:rsidRPr="002C4077">
        <w:t xml:space="preserve"> </w:t>
      </w:r>
      <w:r>
        <w:t>la</w:t>
      </w:r>
      <w:r w:rsidRPr="002C4077">
        <w:t xml:space="preserve"> </w:t>
      </w:r>
      <w:r>
        <w:t>contrée,</w:t>
      </w:r>
      <w:r w:rsidRPr="002C4077">
        <w:t xml:space="preserve"> </w:t>
      </w:r>
      <w:r>
        <w:t>prêchant,</w:t>
      </w:r>
      <w:r w:rsidRPr="002C4077">
        <w:t xml:space="preserve"> </w:t>
      </w:r>
      <w:r>
        <w:t>faisant</w:t>
      </w:r>
      <w:r w:rsidRPr="002C4077">
        <w:t xml:space="preserve"> </w:t>
      </w:r>
      <w:r>
        <w:t>le</w:t>
      </w:r>
      <w:r w:rsidRPr="002C4077">
        <w:t xml:space="preserve"> </w:t>
      </w:r>
      <w:r>
        <w:t>bien,</w:t>
      </w:r>
      <w:r w:rsidRPr="002C4077">
        <w:t xml:space="preserve"> </w:t>
      </w:r>
      <w:r>
        <w:t>convertissant</w:t>
      </w:r>
      <w:r w:rsidRPr="002C4077">
        <w:t xml:space="preserve"> </w:t>
      </w:r>
      <w:r>
        <w:t>les</w:t>
      </w:r>
      <w:r w:rsidRPr="002C4077">
        <w:t xml:space="preserve"> </w:t>
      </w:r>
      <w:r>
        <w:t>hommes.</w:t>
      </w:r>
      <w:r w:rsidRPr="002C4077">
        <w:t xml:space="preserve"> </w:t>
      </w:r>
      <w:r>
        <w:t>Mais</w:t>
      </w:r>
      <w:r w:rsidRPr="002C4077">
        <w:t xml:space="preserve"> </w:t>
      </w:r>
      <w:r>
        <w:t>ne</w:t>
      </w:r>
      <w:r w:rsidRPr="002C4077">
        <w:t xml:space="preserve"> </w:t>
      </w:r>
      <w:r>
        <w:t>lui</w:t>
      </w:r>
      <w:r w:rsidRPr="002C4077">
        <w:t xml:space="preserve"> </w:t>
      </w:r>
      <w:r>
        <w:t>faudra-t-il</w:t>
      </w:r>
      <w:r w:rsidRPr="002C4077">
        <w:t xml:space="preserve"> </w:t>
      </w:r>
      <w:r>
        <w:t>pas</w:t>
      </w:r>
      <w:r w:rsidRPr="002C4077">
        <w:t xml:space="preserve"> </w:t>
      </w:r>
      <w:r>
        <w:t>un</w:t>
      </w:r>
      <w:r w:rsidRPr="002C4077">
        <w:t xml:space="preserve"> </w:t>
      </w:r>
      <w:r>
        <w:t>centre</w:t>
      </w:r>
      <w:r w:rsidRPr="002C4077">
        <w:t xml:space="preserve"> </w:t>
      </w:r>
      <w:r>
        <w:t>où</w:t>
      </w:r>
      <w:r w:rsidRPr="002C4077">
        <w:t xml:space="preserve"> </w:t>
      </w:r>
      <w:r>
        <w:t>il</w:t>
      </w:r>
      <w:r w:rsidRPr="002C4077">
        <w:t xml:space="preserve"> </w:t>
      </w:r>
      <w:r>
        <w:t>viendra</w:t>
      </w:r>
      <w:r w:rsidRPr="002C4077">
        <w:t xml:space="preserve"> </w:t>
      </w:r>
      <w:r>
        <w:t>se</w:t>
      </w:r>
      <w:r w:rsidRPr="002C4077">
        <w:t xml:space="preserve"> </w:t>
      </w:r>
      <w:r>
        <w:t>reposer,</w:t>
      </w:r>
      <w:r w:rsidRPr="002C4077">
        <w:t xml:space="preserve"> </w:t>
      </w:r>
      <w:r>
        <w:t>où</w:t>
      </w:r>
      <w:r w:rsidRPr="002C4077">
        <w:t xml:space="preserve"> </w:t>
      </w:r>
      <w:r>
        <w:t>ses</w:t>
      </w:r>
      <w:r w:rsidRPr="002C4077">
        <w:t xml:space="preserve"> </w:t>
      </w:r>
      <w:r>
        <w:t>disciples</w:t>
      </w:r>
      <w:r w:rsidRPr="002C4077">
        <w:t xml:space="preserve"> </w:t>
      </w:r>
      <w:r>
        <w:t>le</w:t>
      </w:r>
      <w:r w:rsidRPr="002C4077">
        <w:t xml:space="preserve"> </w:t>
      </w:r>
      <w:r>
        <w:t>retrouveront</w:t>
      </w:r>
      <w:r w:rsidRPr="002C4077">
        <w:t xml:space="preserve"> </w:t>
      </w:r>
      <w:r>
        <w:t>après</w:t>
      </w:r>
      <w:r w:rsidRPr="002C4077">
        <w:t xml:space="preserve"> </w:t>
      </w:r>
      <w:r>
        <w:t>chacune</w:t>
      </w:r>
      <w:r w:rsidRPr="002C4077">
        <w:t xml:space="preserve"> </w:t>
      </w:r>
      <w:r>
        <w:t>de</w:t>
      </w:r>
      <w:r w:rsidRPr="002C4077">
        <w:t xml:space="preserve"> </w:t>
      </w:r>
      <w:r>
        <w:t>ses</w:t>
      </w:r>
      <w:r w:rsidRPr="002C4077">
        <w:t xml:space="preserve"> </w:t>
      </w:r>
      <w:r>
        <w:t>grandes</w:t>
      </w:r>
      <w:r w:rsidRPr="002C4077">
        <w:t xml:space="preserve"> </w:t>
      </w:r>
      <w:r>
        <w:t>courses</w:t>
      </w:r>
      <w:r w:rsidRPr="002C4077">
        <w:t xml:space="preserve"> </w:t>
      </w:r>
      <w:r>
        <w:lastRenderedPageBreak/>
        <w:t>apostoliques</w:t>
      </w:r>
      <w:r w:rsidR="00B546AF">
        <w:t> ?</w:t>
      </w:r>
      <w:r w:rsidR="00C45B47">
        <w:t xml:space="preserve"> {</w:t>
      </w:r>
      <w:r w:rsidR="001F5257">
        <w:t>209</w:t>
      </w:r>
      <w:bookmarkStart w:id="519" w:name="p209"/>
      <w:bookmarkEnd w:id="519"/>
      <w:r w:rsidR="001F5257">
        <w:t xml:space="preserve">} </w:t>
      </w:r>
      <w:r>
        <w:t>Assurément</w:t>
      </w:r>
      <w:r w:rsidR="00B546AF">
        <w:t> ;</w:t>
      </w:r>
      <w:r w:rsidRPr="002C4077">
        <w:t xml:space="preserve"> </w:t>
      </w:r>
      <w:r>
        <w:t>toutefois</w:t>
      </w:r>
      <w:r w:rsidRPr="002C4077">
        <w:t xml:space="preserve"> </w:t>
      </w:r>
      <w:r>
        <w:t>Nazareth,</w:t>
      </w:r>
      <w:r w:rsidRPr="002C4077">
        <w:t xml:space="preserve"> </w:t>
      </w:r>
      <w:r>
        <w:t>à</w:t>
      </w:r>
      <w:r w:rsidRPr="002C4077">
        <w:t xml:space="preserve"> </w:t>
      </w:r>
      <w:r>
        <w:t>cause</w:t>
      </w:r>
      <w:r w:rsidRPr="002C4077">
        <w:t xml:space="preserve"> </w:t>
      </w:r>
      <w:r>
        <w:t>de</w:t>
      </w:r>
      <w:r w:rsidRPr="002C4077">
        <w:t xml:space="preserve"> </w:t>
      </w:r>
      <w:r>
        <w:t>sa</w:t>
      </w:r>
      <w:r w:rsidRPr="002C4077">
        <w:t xml:space="preserve"> </w:t>
      </w:r>
      <w:r>
        <w:t>situation</w:t>
      </w:r>
      <w:r w:rsidRPr="002C4077">
        <w:t xml:space="preserve"> </w:t>
      </w:r>
      <w:r>
        <w:t>isolée,</w:t>
      </w:r>
      <w:r w:rsidRPr="002C4077">
        <w:t xml:space="preserve"> </w:t>
      </w:r>
      <w:r>
        <w:t>Nazareth</w:t>
      </w:r>
      <w:r w:rsidRPr="002C4077">
        <w:t xml:space="preserve"> </w:t>
      </w:r>
      <w:r>
        <w:t>difficilement</w:t>
      </w:r>
      <w:r w:rsidRPr="002C4077">
        <w:t xml:space="preserve"> </w:t>
      </w:r>
      <w:r>
        <w:t>abordable,</w:t>
      </w:r>
      <w:r w:rsidRPr="002C4077">
        <w:t xml:space="preserve"> </w:t>
      </w:r>
      <w:r>
        <w:t>—</w:t>
      </w:r>
      <w:r w:rsidRPr="002C4077">
        <w:t xml:space="preserve"> </w:t>
      </w:r>
      <w:r>
        <w:t>votre</w:t>
      </w:r>
      <w:r w:rsidRPr="002C4077">
        <w:t xml:space="preserve"> </w:t>
      </w:r>
      <w:r>
        <w:t>monture</w:t>
      </w:r>
      <w:r w:rsidRPr="002C4077">
        <w:t xml:space="preserve"> </w:t>
      </w:r>
      <w:r>
        <w:t>ne</w:t>
      </w:r>
      <w:r w:rsidRPr="002C4077">
        <w:t xml:space="preserve"> </w:t>
      </w:r>
      <w:r>
        <w:t>bronche-t-elle</w:t>
      </w:r>
      <w:r w:rsidRPr="002C4077">
        <w:t xml:space="preserve"> </w:t>
      </w:r>
      <w:r>
        <w:t>point</w:t>
      </w:r>
      <w:r w:rsidRPr="002C4077">
        <w:t xml:space="preserve"> </w:t>
      </w:r>
      <w:r>
        <w:t>à</w:t>
      </w:r>
      <w:r w:rsidRPr="002C4077">
        <w:t xml:space="preserve"> </w:t>
      </w:r>
      <w:r>
        <w:t>chaque</w:t>
      </w:r>
      <w:r w:rsidRPr="002C4077">
        <w:t xml:space="preserve"> </w:t>
      </w:r>
      <w:r>
        <w:t>instant</w:t>
      </w:r>
      <w:r w:rsidRPr="002C4077">
        <w:t xml:space="preserve"> </w:t>
      </w:r>
      <w:r>
        <w:t>sur</w:t>
      </w:r>
      <w:r w:rsidRPr="002C4077">
        <w:t xml:space="preserve"> </w:t>
      </w:r>
      <w:r>
        <w:t>ces</w:t>
      </w:r>
      <w:r w:rsidRPr="002C4077">
        <w:t xml:space="preserve"> </w:t>
      </w:r>
      <w:r>
        <w:t>mauvais</w:t>
      </w:r>
      <w:r w:rsidRPr="002C4077">
        <w:t xml:space="preserve"> </w:t>
      </w:r>
      <w:r w:rsidR="003B53FD">
        <w:t>chemins</w:t>
      </w:r>
      <w:r w:rsidR="00B546AF">
        <w:t> ?</w:t>
      </w:r>
      <w:r w:rsidRPr="002C4077">
        <w:t xml:space="preserve"> </w:t>
      </w:r>
      <w:r>
        <w:t>—</w:t>
      </w:r>
      <w:r w:rsidRPr="002C4077">
        <w:t xml:space="preserve"> </w:t>
      </w:r>
      <w:r>
        <w:t>ne</w:t>
      </w:r>
      <w:r w:rsidRPr="002C4077">
        <w:t xml:space="preserve"> </w:t>
      </w:r>
      <w:r>
        <w:t>convenait</w:t>
      </w:r>
      <w:r w:rsidRPr="002C4077">
        <w:t xml:space="preserve"> </w:t>
      </w:r>
      <w:r>
        <w:t>plus</w:t>
      </w:r>
      <w:r w:rsidRPr="002C4077">
        <w:t xml:space="preserve"> </w:t>
      </w:r>
      <w:r>
        <w:t>pour</w:t>
      </w:r>
      <w:r w:rsidRPr="002C4077">
        <w:t xml:space="preserve"> </w:t>
      </w:r>
      <w:r>
        <w:t>ce</w:t>
      </w:r>
      <w:r w:rsidRPr="002C4077">
        <w:t xml:space="preserve"> </w:t>
      </w:r>
      <w:r>
        <w:t>rôle</w:t>
      </w:r>
      <w:r w:rsidRPr="002C4077">
        <w:t xml:space="preserve"> </w:t>
      </w:r>
      <w:r>
        <w:t>nouveau.</w:t>
      </w:r>
      <w:r w:rsidRPr="002C4077">
        <w:t xml:space="preserve"> </w:t>
      </w:r>
      <w:r>
        <w:t>C’est</w:t>
      </w:r>
      <w:r w:rsidRPr="002C4077">
        <w:t xml:space="preserve"> </w:t>
      </w:r>
      <w:r>
        <w:t>pourquoi</w:t>
      </w:r>
      <w:r w:rsidRPr="002C4077">
        <w:t xml:space="preserve"> </w:t>
      </w:r>
      <w:r w:rsidR="00425C50">
        <w:t>Jésus</w:t>
      </w:r>
      <w:r w:rsidRPr="002C4077">
        <w:t xml:space="preserve"> </w:t>
      </w:r>
      <w:r>
        <w:t>la</w:t>
      </w:r>
      <w:r w:rsidRPr="002C4077">
        <w:t xml:space="preserve"> </w:t>
      </w:r>
      <w:r>
        <w:t>quitta</w:t>
      </w:r>
      <w:r w:rsidRPr="002C4077">
        <w:t xml:space="preserve"> </w:t>
      </w:r>
      <w:r>
        <w:t>et</w:t>
      </w:r>
      <w:r w:rsidRPr="002C4077">
        <w:t xml:space="preserve"> </w:t>
      </w:r>
      <w:r>
        <w:t>alla</w:t>
      </w:r>
      <w:r w:rsidRPr="002C4077">
        <w:t xml:space="preserve"> </w:t>
      </w:r>
      <w:r>
        <w:t>s’établir</w:t>
      </w:r>
      <w:r w:rsidRPr="002C4077">
        <w:t xml:space="preserve"> </w:t>
      </w:r>
      <w:r>
        <w:t>à</w:t>
      </w:r>
      <w:r w:rsidRPr="002C4077">
        <w:t xml:space="preserve"> </w:t>
      </w:r>
      <w:r w:rsidR="0043070A">
        <w:t>Capharnaüm</w:t>
      </w:r>
      <w:r>
        <w:t>,</w:t>
      </w:r>
      <w:r w:rsidRPr="002C4077">
        <w:t xml:space="preserve"> </w:t>
      </w:r>
      <w:r>
        <w:t>sur</w:t>
      </w:r>
      <w:r w:rsidRPr="002C4077">
        <w:t xml:space="preserve"> </w:t>
      </w:r>
      <w:r>
        <w:t>les</w:t>
      </w:r>
      <w:r w:rsidRPr="002C4077">
        <w:t xml:space="preserve"> </w:t>
      </w:r>
      <w:r>
        <w:t>bords</w:t>
      </w:r>
      <w:r w:rsidRPr="002C4077">
        <w:t xml:space="preserve"> </w:t>
      </w:r>
      <w:r>
        <w:t>du</w:t>
      </w:r>
      <w:r w:rsidRPr="002C4077">
        <w:t xml:space="preserve"> </w:t>
      </w:r>
      <w:r>
        <w:t>lac</w:t>
      </w:r>
      <w:r w:rsidRPr="002C4077">
        <w:t xml:space="preserve"> </w:t>
      </w:r>
      <w:r>
        <w:t>de</w:t>
      </w:r>
      <w:r w:rsidRPr="002C4077">
        <w:t xml:space="preserve"> </w:t>
      </w:r>
      <w:r>
        <w:t>Tibériade</w:t>
      </w:r>
      <w:r w:rsidR="00B91AF7">
        <w:rPr>
          <w:rStyle w:val="Appelnotedebasdep"/>
        </w:rPr>
        <w:footnoteReference w:id="701"/>
      </w:r>
      <w:r>
        <w:t>.</w:t>
      </w:r>
      <w:r w:rsidRPr="002C4077">
        <w:t xml:space="preserve"> </w:t>
      </w:r>
    </w:p>
    <w:p w:rsidR="000A7AAB" w:rsidRDefault="000A7AAB" w:rsidP="000A7AAB">
      <w:r>
        <w:t>À</w:t>
      </w:r>
      <w:r w:rsidRPr="002C4077">
        <w:t xml:space="preserve"> </w:t>
      </w:r>
      <w:r>
        <w:t>deux</w:t>
      </w:r>
      <w:r w:rsidRPr="002C4077">
        <w:t xml:space="preserve"> </w:t>
      </w:r>
      <w:r>
        <w:t>reprises</w:t>
      </w:r>
      <w:r w:rsidRPr="002C4077">
        <w:t xml:space="preserve"> </w:t>
      </w:r>
      <w:r>
        <w:t>cependant</w:t>
      </w:r>
      <w:r w:rsidR="00B91AF7">
        <w:rPr>
          <w:rStyle w:val="Appelnotedebasdep"/>
        </w:rPr>
        <w:footnoteReference w:id="702"/>
      </w:r>
      <w:r>
        <w:t>,</w:t>
      </w:r>
      <w:r w:rsidRPr="002C4077">
        <w:t xml:space="preserve"> </w:t>
      </w:r>
      <w:r>
        <w:t>il</w:t>
      </w:r>
      <w:r w:rsidRPr="002C4077">
        <w:t xml:space="preserve"> </w:t>
      </w:r>
      <w:r>
        <w:t>daigna</w:t>
      </w:r>
      <w:r w:rsidRPr="002C4077">
        <w:t xml:space="preserve"> </w:t>
      </w:r>
      <w:r>
        <w:t>la</w:t>
      </w:r>
      <w:r w:rsidRPr="002C4077">
        <w:t xml:space="preserve"> </w:t>
      </w:r>
      <w:r>
        <w:t>visiter</w:t>
      </w:r>
      <w:r w:rsidRPr="002C4077">
        <w:t xml:space="preserve"> </w:t>
      </w:r>
      <w:r>
        <w:t>et</w:t>
      </w:r>
      <w:r w:rsidRPr="002C4077">
        <w:t xml:space="preserve"> </w:t>
      </w:r>
      <w:r>
        <w:t>passer</w:t>
      </w:r>
      <w:r w:rsidRPr="002C4077">
        <w:t xml:space="preserve"> </w:t>
      </w:r>
      <w:r>
        <w:t>quelques</w:t>
      </w:r>
      <w:r w:rsidRPr="002C4077">
        <w:t xml:space="preserve"> </w:t>
      </w:r>
      <w:r>
        <w:t>jours</w:t>
      </w:r>
      <w:r w:rsidRPr="002C4077">
        <w:t xml:space="preserve"> </w:t>
      </w:r>
      <w:r>
        <w:t>dans</w:t>
      </w:r>
      <w:r w:rsidRPr="002C4077">
        <w:t xml:space="preserve"> </w:t>
      </w:r>
      <w:r>
        <w:t>ses</w:t>
      </w:r>
      <w:r w:rsidRPr="002C4077">
        <w:t xml:space="preserve"> </w:t>
      </w:r>
      <w:r>
        <w:t>murs.</w:t>
      </w:r>
      <w:r w:rsidRPr="002C4077">
        <w:t xml:space="preserve"> </w:t>
      </w:r>
      <w:r>
        <w:t>Ce</w:t>
      </w:r>
      <w:r w:rsidRPr="002C4077">
        <w:t xml:space="preserve"> </w:t>
      </w:r>
      <w:r>
        <w:t>n’était</w:t>
      </w:r>
      <w:r w:rsidRPr="002C4077">
        <w:t xml:space="preserve"> </w:t>
      </w:r>
      <w:r>
        <w:t>plus</w:t>
      </w:r>
      <w:r w:rsidRPr="002C4077">
        <w:t xml:space="preserve"> </w:t>
      </w:r>
      <w:r>
        <w:t>alors</w:t>
      </w:r>
      <w:r w:rsidRPr="002C4077">
        <w:t xml:space="preserve"> </w:t>
      </w:r>
      <w:r>
        <w:t>l’humble</w:t>
      </w:r>
      <w:r w:rsidRPr="002C4077">
        <w:t xml:space="preserve"> </w:t>
      </w:r>
      <w:r>
        <w:t>charpentier</w:t>
      </w:r>
      <w:r w:rsidRPr="002C4077">
        <w:t xml:space="preserve"> </w:t>
      </w:r>
      <w:r>
        <w:t>qui</w:t>
      </w:r>
      <w:r w:rsidRPr="002C4077">
        <w:t xml:space="preserve"> </w:t>
      </w:r>
      <w:r>
        <w:t>n’attirait</w:t>
      </w:r>
      <w:r w:rsidRPr="002C4077">
        <w:t xml:space="preserve"> </w:t>
      </w:r>
      <w:r>
        <w:t>les</w:t>
      </w:r>
      <w:r w:rsidRPr="002C4077">
        <w:t xml:space="preserve"> </w:t>
      </w:r>
      <w:r>
        <w:t>regards</w:t>
      </w:r>
      <w:r w:rsidRPr="002C4077">
        <w:t xml:space="preserve"> </w:t>
      </w:r>
      <w:r>
        <w:t>de</w:t>
      </w:r>
      <w:r w:rsidRPr="002C4077">
        <w:t xml:space="preserve"> </w:t>
      </w:r>
      <w:r>
        <w:t>ses</w:t>
      </w:r>
      <w:r w:rsidRPr="002C4077">
        <w:t xml:space="preserve"> </w:t>
      </w:r>
      <w:r>
        <w:t>concitoyens</w:t>
      </w:r>
      <w:r w:rsidRPr="002C4077">
        <w:t xml:space="preserve"> </w:t>
      </w:r>
      <w:r>
        <w:t>que</w:t>
      </w:r>
      <w:r w:rsidRPr="002C4077">
        <w:t xml:space="preserve"> </w:t>
      </w:r>
      <w:r>
        <w:t>par</w:t>
      </w:r>
      <w:r w:rsidRPr="002C4077">
        <w:t xml:space="preserve"> </w:t>
      </w:r>
      <w:r>
        <w:t>sa</w:t>
      </w:r>
      <w:r w:rsidRPr="002C4077">
        <w:t xml:space="preserve"> </w:t>
      </w:r>
      <w:r>
        <w:t>modestie,</w:t>
      </w:r>
      <w:r w:rsidRPr="002C4077">
        <w:t xml:space="preserve"> </w:t>
      </w:r>
      <w:r>
        <w:t>sa</w:t>
      </w:r>
      <w:r w:rsidRPr="002C4077">
        <w:t xml:space="preserve"> </w:t>
      </w:r>
      <w:r>
        <w:t>réserve,</w:t>
      </w:r>
      <w:r w:rsidRPr="002C4077">
        <w:t xml:space="preserve"> </w:t>
      </w:r>
      <w:r>
        <w:t>son</w:t>
      </w:r>
      <w:r w:rsidRPr="002C4077">
        <w:t xml:space="preserve"> </w:t>
      </w:r>
      <w:r>
        <w:t>silence,</w:t>
      </w:r>
      <w:r w:rsidRPr="002C4077">
        <w:t xml:space="preserve"> </w:t>
      </w:r>
      <w:r>
        <w:t>sa</w:t>
      </w:r>
      <w:r w:rsidRPr="002C4077">
        <w:t xml:space="preserve"> </w:t>
      </w:r>
      <w:r>
        <w:t>vie</w:t>
      </w:r>
      <w:r w:rsidRPr="002C4077">
        <w:t xml:space="preserve"> </w:t>
      </w:r>
      <w:r>
        <w:t>pieuse</w:t>
      </w:r>
      <w:r w:rsidRPr="002C4077">
        <w:t xml:space="preserve"> </w:t>
      </w:r>
      <w:r>
        <w:t>et</w:t>
      </w:r>
      <w:r w:rsidRPr="002C4077">
        <w:t xml:space="preserve"> </w:t>
      </w:r>
      <w:r>
        <w:t>recueillie</w:t>
      </w:r>
      <w:r w:rsidR="00B546AF">
        <w:t> :</w:t>
      </w:r>
      <w:r w:rsidRPr="002C4077">
        <w:t xml:space="preserve"> </w:t>
      </w:r>
      <w:r>
        <w:t>c’était</w:t>
      </w:r>
      <w:r w:rsidRPr="002C4077">
        <w:t xml:space="preserve"> </w:t>
      </w:r>
      <w:r>
        <w:t>un</w:t>
      </w:r>
      <w:r w:rsidRPr="002C4077">
        <w:t xml:space="preserve"> </w:t>
      </w:r>
      <w:r>
        <w:t>grand</w:t>
      </w:r>
      <w:r w:rsidRPr="002C4077">
        <w:t xml:space="preserve"> </w:t>
      </w:r>
      <w:r>
        <w:t>prédicateur</w:t>
      </w:r>
      <w:r w:rsidRPr="002C4077">
        <w:t xml:space="preserve"> </w:t>
      </w:r>
      <w:r>
        <w:t>autour</w:t>
      </w:r>
      <w:r w:rsidRPr="002C4077">
        <w:t xml:space="preserve"> </w:t>
      </w:r>
      <w:r>
        <w:t>duquel</w:t>
      </w:r>
      <w:r w:rsidRPr="002C4077">
        <w:t xml:space="preserve"> </w:t>
      </w:r>
      <w:r>
        <w:t>les</w:t>
      </w:r>
      <w:r w:rsidRPr="002C4077">
        <w:t xml:space="preserve"> </w:t>
      </w:r>
      <w:r>
        <w:t>foules</w:t>
      </w:r>
      <w:r w:rsidRPr="002C4077">
        <w:t xml:space="preserve"> </w:t>
      </w:r>
      <w:r>
        <w:t>aimaient</w:t>
      </w:r>
      <w:r w:rsidRPr="002C4077">
        <w:t xml:space="preserve"> </w:t>
      </w:r>
      <w:r>
        <w:t>à</w:t>
      </w:r>
      <w:r w:rsidRPr="002C4077">
        <w:t xml:space="preserve"> </w:t>
      </w:r>
      <w:r>
        <w:t>se</w:t>
      </w:r>
      <w:r w:rsidRPr="002C4077">
        <w:t xml:space="preserve"> </w:t>
      </w:r>
      <w:r>
        <w:t>presser</w:t>
      </w:r>
      <w:r w:rsidR="00B546AF">
        <w:t> ;</w:t>
      </w:r>
      <w:r w:rsidRPr="002C4077">
        <w:t xml:space="preserve"> </w:t>
      </w:r>
      <w:r>
        <w:t>c’était</w:t>
      </w:r>
      <w:r w:rsidRPr="002C4077">
        <w:t xml:space="preserve"> </w:t>
      </w:r>
      <w:r>
        <w:t>un</w:t>
      </w:r>
      <w:r w:rsidRPr="002C4077">
        <w:t xml:space="preserve"> </w:t>
      </w:r>
      <w:r>
        <w:t>thaumaturge</w:t>
      </w:r>
      <w:r w:rsidRPr="002C4077">
        <w:t xml:space="preserve"> </w:t>
      </w:r>
      <w:r>
        <w:t>qui</w:t>
      </w:r>
      <w:r w:rsidRPr="002C4077">
        <w:t xml:space="preserve"> </w:t>
      </w:r>
      <w:r>
        <w:t>guérissait</w:t>
      </w:r>
      <w:r w:rsidRPr="002C4077">
        <w:t xml:space="preserve"> </w:t>
      </w:r>
      <w:r>
        <w:t>les</w:t>
      </w:r>
      <w:r w:rsidRPr="002C4077">
        <w:t xml:space="preserve"> </w:t>
      </w:r>
      <w:r>
        <w:t>malades,</w:t>
      </w:r>
      <w:r w:rsidRPr="002C4077">
        <w:t xml:space="preserve"> </w:t>
      </w:r>
      <w:r>
        <w:t>expulsait</w:t>
      </w:r>
      <w:r w:rsidRPr="002C4077">
        <w:t xml:space="preserve"> </w:t>
      </w:r>
      <w:r>
        <w:t>les</w:t>
      </w:r>
      <w:r w:rsidRPr="002C4077">
        <w:t xml:space="preserve"> </w:t>
      </w:r>
      <w:r>
        <w:t>démons,</w:t>
      </w:r>
      <w:r w:rsidRPr="002C4077">
        <w:t xml:space="preserve"> </w:t>
      </w:r>
      <w:r>
        <w:t>ressuscitait</w:t>
      </w:r>
      <w:r w:rsidRPr="002C4077">
        <w:t xml:space="preserve"> </w:t>
      </w:r>
      <w:r>
        <w:t>les</w:t>
      </w:r>
      <w:r w:rsidRPr="002C4077">
        <w:t xml:space="preserve"> </w:t>
      </w:r>
      <w:r>
        <w:t>morts</w:t>
      </w:r>
      <w:r w:rsidR="00B546AF">
        <w:t> ;</w:t>
      </w:r>
      <w:r w:rsidRPr="002C4077">
        <w:t xml:space="preserve"> </w:t>
      </w:r>
      <w:r>
        <w:t>bien</w:t>
      </w:r>
      <w:r w:rsidRPr="002C4077">
        <w:t xml:space="preserve"> </w:t>
      </w:r>
      <w:r>
        <w:t>plus,</w:t>
      </w:r>
      <w:r w:rsidRPr="002C4077">
        <w:t xml:space="preserve"> </w:t>
      </w:r>
      <w:r>
        <w:t>c’était</w:t>
      </w:r>
      <w:r w:rsidRPr="002C4077">
        <w:t xml:space="preserve"> </w:t>
      </w:r>
      <w:r>
        <w:t>le</w:t>
      </w:r>
      <w:r w:rsidRPr="002C4077">
        <w:t xml:space="preserve"> </w:t>
      </w:r>
      <w:r>
        <w:t>Messie</w:t>
      </w:r>
      <w:r w:rsidRPr="002C4077">
        <w:t xml:space="preserve"> </w:t>
      </w:r>
      <w:r>
        <w:t>en</w:t>
      </w:r>
      <w:r w:rsidRPr="002C4077">
        <w:t xml:space="preserve"> </w:t>
      </w:r>
      <w:r>
        <w:t>personne</w:t>
      </w:r>
      <w:r w:rsidR="00B546AF">
        <w:t> !</w:t>
      </w:r>
      <w:r w:rsidRPr="002C4077">
        <w:t xml:space="preserve"> </w:t>
      </w:r>
      <w:r>
        <w:t>Les</w:t>
      </w:r>
      <w:r w:rsidRPr="002C4077">
        <w:t xml:space="preserve"> </w:t>
      </w:r>
      <w:r>
        <w:t>possédés</w:t>
      </w:r>
      <w:r w:rsidRPr="002C4077">
        <w:t xml:space="preserve"> </w:t>
      </w:r>
      <w:r>
        <w:t>eux-mêmes,</w:t>
      </w:r>
      <w:r w:rsidRPr="002C4077">
        <w:t xml:space="preserve"> </w:t>
      </w:r>
      <w:r>
        <w:t>aussi</w:t>
      </w:r>
      <w:r w:rsidRPr="002C4077">
        <w:t xml:space="preserve"> </w:t>
      </w:r>
      <w:r>
        <w:t>bien</w:t>
      </w:r>
      <w:r w:rsidRPr="002C4077">
        <w:t xml:space="preserve"> </w:t>
      </w:r>
      <w:r>
        <w:t>que</w:t>
      </w:r>
      <w:r w:rsidRPr="002C4077">
        <w:t xml:space="preserve"> </w:t>
      </w:r>
      <w:r>
        <w:t>les</w:t>
      </w:r>
      <w:r w:rsidRPr="002C4077">
        <w:t xml:space="preserve"> </w:t>
      </w:r>
      <w:r>
        <w:t>mendiants,</w:t>
      </w:r>
      <w:r w:rsidRPr="002C4077">
        <w:t xml:space="preserve"> </w:t>
      </w:r>
      <w:r>
        <w:t>ne</w:t>
      </w:r>
      <w:r w:rsidRPr="002C4077">
        <w:t xml:space="preserve"> </w:t>
      </w:r>
      <w:r>
        <w:t>le</w:t>
      </w:r>
      <w:r w:rsidRPr="002C4077">
        <w:t xml:space="preserve"> </w:t>
      </w:r>
      <w:r>
        <w:t>criaient-ils</w:t>
      </w:r>
      <w:r w:rsidRPr="002C4077">
        <w:t xml:space="preserve"> </w:t>
      </w:r>
      <w:r>
        <w:t>point</w:t>
      </w:r>
      <w:r w:rsidRPr="002C4077">
        <w:t xml:space="preserve"> </w:t>
      </w:r>
      <w:r>
        <w:t>partout</w:t>
      </w:r>
      <w:r w:rsidRPr="002C4077">
        <w:t xml:space="preserve"> </w:t>
      </w:r>
      <w:r>
        <w:t>sur</w:t>
      </w:r>
      <w:r w:rsidRPr="002C4077">
        <w:t xml:space="preserve"> </w:t>
      </w:r>
      <w:r>
        <w:t>son</w:t>
      </w:r>
      <w:r w:rsidRPr="002C4077">
        <w:t xml:space="preserve"> </w:t>
      </w:r>
      <w:r>
        <w:t>passage</w:t>
      </w:r>
      <w:r w:rsidR="00B546AF">
        <w:t> ?</w:t>
      </w:r>
      <w:r w:rsidRPr="002C4077">
        <w:t xml:space="preserve"> </w:t>
      </w:r>
      <w:r>
        <w:t>Les</w:t>
      </w:r>
      <w:r w:rsidRPr="002C4077">
        <w:t xml:space="preserve"> </w:t>
      </w:r>
      <w:r>
        <w:t>habitants</w:t>
      </w:r>
      <w:r w:rsidRPr="002C4077">
        <w:t xml:space="preserve"> </w:t>
      </w:r>
      <w:r>
        <w:t>de</w:t>
      </w:r>
      <w:r w:rsidRPr="002C4077">
        <w:t xml:space="preserve"> </w:t>
      </w:r>
      <w:r>
        <w:t>Nazareth</w:t>
      </w:r>
      <w:r w:rsidRPr="002C4077">
        <w:t xml:space="preserve"> </w:t>
      </w:r>
      <w:r>
        <w:t>vont</w:t>
      </w:r>
      <w:r w:rsidRPr="002C4077">
        <w:t xml:space="preserve"> </w:t>
      </w:r>
      <w:r>
        <w:t>donc</w:t>
      </w:r>
      <w:r w:rsidRPr="002C4077">
        <w:t xml:space="preserve"> </w:t>
      </w:r>
      <w:r>
        <w:t>lui</w:t>
      </w:r>
      <w:r w:rsidRPr="002C4077">
        <w:t xml:space="preserve"> </w:t>
      </w:r>
      <w:r>
        <w:t>élever</w:t>
      </w:r>
      <w:r w:rsidRPr="002C4077">
        <w:t xml:space="preserve"> </w:t>
      </w:r>
      <w:r>
        <w:t>des</w:t>
      </w:r>
      <w:r w:rsidRPr="002C4077">
        <w:t xml:space="preserve"> </w:t>
      </w:r>
      <w:r>
        <w:t>arcs</w:t>
      </w:r>
      <w:r w:rsidRPr="002C4077">
        <w:t xml:space="preserve"> </w:t>
      </w:r>
      <w:r>
        <w:t>de</w:t>
      </w:r>
      <w:r w:rsidRPr="002C4077">
        <w:t xml:space="preserve"> </w:t>
      </w:r>
      <w:r>
        <w:t>triomphe</w:t>
      </w:r>
      <w:r w:rsidR="00B546AF">
        <w:t> ;</w:t>
      </w:r>
      <w:r w:rsidRPr="002C4077">
        <w:t xml:space="preserve"> </w:t>
      </w:r>
      <w:r>
        <w:t>ils</w:t>
      </w:r>
      <w:r w:rsidRPr="002C4077">
        <w:t xml:space="preserve"> </w:t>
      </w:r>
      <w:r>
        <w:t>préluderont,</w:t>
      </w:r>
      <w:r w:rsidRPr="002C4077">
        <w:t xml:space="preserve"> </w:t>
      </w:r>
      <w:r>
        <w:t>parleur</w:t>
      </w:r>
      <w:r w:rsidRPr="002C4077">
        <w:t xml:space="preserve"> </w:t>
      </w:r>
      <w:r>
        <w:t>réception</w:t>
      </w:r>
      <w:r w:rsidRPr="002C4077">
        <w:t xml:space="preserve"> </w:t>
      </w:r>
      <w:r>
        <w:t>joyeuse</w:t>
      </w:r>
      <w:r w:rsidRPr="002C4077">
        <w:t xml:space="preserve"> </w:t>
      </w:r>
      <w:r>
        <w:t>et</w:t>
      </w:r>
      <w:r w:rsidRPr="002C4077">
        <w:t xml:space="preserve"> </w:t>
      </w:r>
      <w:r>
        <w:t>solennelle,</w:t>
      </w:r>
      <w:r w:rsidRPr="002C4077">
        <w:t xml:space="preserve"> </w:t>
      </w:r>
      <w:r>
        <w:t>à</w:t>
      </w:r>
      <w:r w:rsidRPr="002C4077">
        <w:t xml:space="preserve"> </w:t>
      </w:r>
      <w:r>
        <w:t>l’Hosanna</w:t>
      </w:r>
      <w:r w:rsidRPr="002C4077">
        <w:t xml:space="preserve"> </w:t>
      </w:r>
      <w:r>
        <w:t>du</w:t>
      </w:r>
      <w:r w:rsidRPr="002C4077">
        <w:t xml:space="preserve"> </w:t>
      </w:r>
      <w:r>
        <w:t>jour</w:t>
      </w:r>
      <w:r w:rsidRPr="002C4077">
        <w:t xml:space="preserve"> </w:t>
      </w:r>
      <w:r>
        <w:t>des</w:t>
      </w:r>
      <w:r w:rsidRPr="002C4077">
        <w:t xml:space="preserve"> </w:t>
      </w:r>
      <w:r>
        <w:t>Rameaux.</w:t>
      </w:r>
      <w:r w:rsidRPr="002C4077">
        <w:t xml:space="preserve"> </w:t>
      </w:r>
      <w:r>
        <w:t>Hélas</w:t>
      </w:r>
      <w:r w:rsidR="00B546AF">
        <w:t> !</w:t>
      </w:r>
      <w:r w:rsidRPr="002C4077">
        <w:t xml:space="preserve"> </w:t>
      </w:r>
      <w:r>
        <w:t>à</w:t>
      </w:r>
      <w:r w:rsidRPr="002C4077">
        <w:t xml:space="preserve"> </w:t>
      </w:r>
      <w:r>
        <w:t>la</w:t>
      </w:r>
      <w:r w:rsidRPr="002C4077">
        <w:t xml:space="preserve"> </w:t>
      </w:r>
      <w:r>
        <w:t>première</w:t>
      </w:r>
      <w:r w:rsidRPr="002C4077">
        <w:t xml:space="preserve"> </w:t>
      </w:r>
      <w:r>
        <w:t>de</w:t>
      </w:r>
      <w:r w:rsidRPr="002C4077">
        <w:t xml:space="preserve"> </w:t>
      </w:r>
      <w:r>
        <w:t>ces</w:t>
      </w:r>
      <w:r w:rsidRPr="002C4077">
        <w:t xml:space="preserve"> </w:t>
      </w:r>
      <w:r>
        <w:t>visites,</w:t>
      </w:r>
      <w:r w:rsidRPr="002C4077">
        <w:t xml:space="preserve"> </w:t>
      </w:r>
      <w:r>
        <w:t>ils</w:t>
      </w:r>
      <w:r w:rsidRPr="002C4077">
        <w:t xml:space="preserve"> </w:t>
      </w:r>
      <w:r>
        <w:t>tentèrent</w:t>
      </w:r>
      <w:r w:rsidRPr="002C4077">
        <w:t xml:space="preserve"> </w:t>
      </w:r>
      <w:r>
        <w:t>de</w:t>
      </w:r>
      <w:r w:rsidRPr="002C4077">
        <w:t xml:space="preserve"> </w:t>
      </w:r>
      <w:r>
        <w:t>lui</w:t>
      </w:r>
      <w:r w:rsidRPr="002C4077">
        <w:t xml:space="preserve"> </w:t>
      </w:r>
      <w:r>
        <w:t>donner</w:t>
      </w:r>
      <w:r w:rsidRPr="002C4077">
        <w:t xml:space="preserve"> </w:t>
      </w:r>
      <w:r>
        <w:t>la</w:t>
      </w:r>
      <w:r w:rsidRPr="002C4077">
        <w:t xml:space="preserve"> </w:t>
      </w:r>
      <w:r>
        <w:t>mort.</w:t>
      </w:r>
      <w:r w:rsidRPr="002C4077">
        <w:t xml:space="preserve"> </w:t>
      </w:r>
      <w:r>
        <w:t>Nous</w:t>
      </w:r>
      <w:r w:rsidRPr="002C4077">
        <w:t xml:space="preserve"> </w:t>
      </w:r>
      <w:r>
        <w:t>lirons</w:t>
      </w:r>
      <w:r w:rsidRPr="002C4077">
        <w:t xml:space="preserve"> </w:t>
      </w:r>
      <w:r>
        <w:t>sur</w:t>
      </w:r>
      <w:r w:rsidRPr="002C4077">
        <w:t xml:space="preserve"> </w:t>
      </w:r>
      <w:r>
        <w:t>les</w:t>
      </w:r>
      <w:r w:rsidRPr="002C4077">
        <w:t xml:space="preserve"> </w:t>
      </w:r>
      <w:r>
        <w:t>lieux</w:t>
      </w:r>
      <w:r w:rsidRPr="002C4077">
        <w:t xml:space="preserve"> </w:t>
      </w:r>
      <w:r>
        <w:t>mêmes</w:t>
      </w:r>
      <w:r w:rsidRPr="002C4077">
        <w:t xml:space="preserve"> </w:t>
      </w:r>
      <w:r>
        <w:t>le</w:t>
      </w:r>
      <w:r w:rsidRPr="002C4077">
        <w:t xml:space="preserve"> </w:t>
      </w:r>
      <w:r>
        <w:t>récit</w:t>
      </w:r>
      <w:r w:rsidRPr="002C4077">
        <w:t xml:space="preserve"> </w:t>
      </w:r>
      <w:r>
        <w:t>de</w:t>
      </w:r>
      <w:r w:rsidRPr="002C4077">
        <w:t xml:space="preserve"> </w:t>
      </w:r>
      <w:r>
        <w:t>cet</w:t>
      </w:r>
      <w:r w:rsidRPr="002C4077">
        <w:t xml:space="preserve"> </w:t>
      </w:r>
      <w:r>
        <w:t>affreux</w:t>
      </w:r>
      <w:r w:rsidRPr="002C4077">
        <w:t xml:space="preserve"> </w:t>
      </w:r>
      <w:r>
        <w:t>attentat.</w:t>
      </w:r>
      <w:r w:rsidRPr="002C4077">
        <w:t xml:space="preserve"> </w:t>
      </w:r>
      <w:r>
        <w:t>À</w:t>
      </w:r>
      <w:r w:rsidRPr="002C4077">
        <w:t xml:space="preserve"> </w:t>
      </w:r>
      <w:r>
        <w:t>la</w:t>
      </w:r>
      <w:r w:rsidRPr="002C4077">
        <w:t xml:space="preserve"> </w:t>
      </w:r>
      <w:r>
        <w:t>seconde,</w:t>
      </w:r>
      <w:r w:rsidRPr="002C4077">
        <w:t xml:space="preserve"> </w:t>
      </w:r>
      <w:r>
        <w:t>ils</w:t>
      </w:r>
      <w:r w:rsidRPr="002C4077">
        <w:t xml:space="preserve"> </w:t>
      </w:r>
      <w:r>
        <w:t>furent</w:t>
      </w:r>
      <w:r w:rsidRPr="002C4077">
        <w:t xml:space="preserve"> </w:t>
      </w:r>
      <w:r>
        <w:t>scandalisés</w:t>
      </w:r>
      <w:r w:rsidRPr="002C4077">
        <w:t xml:space="preserve"> </w:t>
      </w:r>
      <w:r>
        <w:t>à</w:t>
      </w:r>
      <w:r w:rsidRPr="002C4077">
        <w:t xml:space="preserve"> </w:t>
      </w:r>
      <w:r>
        <w:t>son</w:t>
      </w:r>
      <w:r w:rsidRPr="002C4077">
        <w:t xml:space="preserve"> </w:t>
      </w:r>
      <w:r>
        <w:t>sujet,</w:t>
      </w:r>
      <w:r w:rsidRPr="002C4077">
        <w:t xml:space="preserve"> </w:t>
      </w:r>
      <w:r>
        <w:t>et</w:t>
      </w:r>
      <w:r w:rsidRPr="002C4077">
        <w:t xml:space="preserve"> </w:t>
      </w:r>
      <w:r>
        <w:t>refusèrent</w:t>
      </w:r>
      <w:r w:rsidRPr="002C4077">
        <w:t xml:space="preserve"> </w:t>
      </w:r>
      <w:r>
        <w:t>de</w:t>
      </w:r>
      <w:r w:rsidRPr="002C4077">
        <w:t xml:space="preserve"> </w:t>
      </w:r>
      <w:r>
        <w:t>croire</w:t>
      </w:r>
      <w:r w:rsidRPr="002C4077">
        <w:t xml:space="preserve"> </w:t>
      </w:r>
      <w:r>
        <w:t>à</w:t>
      </w:r>
      <w:r w:rsidRPr="002C4077">
        <w:t xml:space="preserve"> </w:t>
      </w:r>
      <w:r>
        <w:t>sa</w:t>
      </w:r>
      <w:r w:rsidRPr="002C4077">
        <w:t xml:space="preserve"> </w:t>
      </w:r>
      <w:r>
        <w:t>mission.</w:t>
      </w:r>
      <w:r w:rsidRPr="002C4077">
        <w:t xml:space="preserve"> </w:t>
      </w:r>
    </w:p>
    <w:p w:rsidR="000A7AAB" w:rsidRDefault="00B546AF" w:rsidP="002F7AFA">
      <w:pPr>
        <w:pStyle w:val="locus"/>
      </w:pPr>
      <w:r>
        <w:t>« </w:t>
      </w:r>
      <w:r w:rsidR="000A7AAB">
        <w:t>Et</w:t>
      </w:r>
      <w:r w:rsidR="000A7AAB" w:rsidRPr="002C4077">
        <w:t xml:space="preserve"> </w:t>
      </w:r>
      <w:r w:rsidR="000A7AAB">
        <w:t>étant</w:t>
      </w:r>
      <w:r w:rsidR="000A7AAB" w:rsidRPr="002C4077">
        <w:t xml:space="preserve"> </w:t>
      </w:r>
      <w:r w:rsidR="000A7AAB">
        <w:t>venu</w:t>
      </w:r>
      <w:r w:rsidR="000A7AAB" w:rsidRPr="002C4077">
        <w:t xml:space="preserve"> </w:t>
      </w:r>
      <w:r w:rsidR="000A7AAB">
        <w:t>en</w:t>
      </w:r>
      <w:r w:rsidR="000A7AAB" w:rsidRPr="002C4077">
        <w:t xml:space="preserve"> </w:t>
      </w:r>
      <w:r w:rsidR="000A7AAB">
        <w:t>son</w:t>
      </w:r>
      <w:r w:rsidR="000A7AAB" w:rsidRPr="002C4077">
        <w:t xml:space="preserve"> </w:t>
      </w:r>
      <w:r w:rsidR="000A7AAB">
        <w:t>pays,</w:t>
      </w:r>
      <w:r w:rsidR="000A7AAB" w:rsidRPr="002C4077">
        <w:t xml:space="preserve"> </w:t>
      </w:r>
      <w:r w:rsidR="000A7AAB">
        <w:t>il</w:t>
      </w:r>
      <w:r w:rsidR="000A7AAB" w:rsidRPr="002C4077">
        <w:t xml:space="preserve"> </w:t>
      </w:r>
      <w:r w:rsidR="000A7AAB">
        <w:t>les</w:t>
      </w:r>
      <w:r w:rsidR="000A7AAB" w:rsidRPr="002C4077">
        <w:t xml:space="preserve"> </w:t>
      </w:r>
      <w:r w:rsidR="000A7AAB">
        <w:t>enseignait</w:t>
      </w:r>
      <w:r w:rsidR="000A7AAB" w:rsidRPr="002C4077">
        <w:t xml:space="preserve"> </w:t>
      </w:r>
      <w:r w:rsidR="000A7AAB">
        <w:t>dans</w:t>
      </w:r>
      <w:r w:rsidR="000A7AAB" w:rsidRPr="002C4077">
        <w:t xml:space="preserve"> </w:t>
      </w:r>
      <w:r w:rsidR="000A7AAB">
        <w:t>leur</w:t>
      </w:r>
      <w:r w:rsidR="000A7AAB" w:rsidRPr="002C4077">
        <w:t xml:space="preserve"> </w:t>
      </w:r>
      <w:r w:rsidR="000A7AAB">
        <w:t>synagogue,</w:t>
      </w:r>
      <w:r w:rsidR="000A7AAB" w:rsidRPr="002C4077">
        <w:t xml:space="preserve"> </w:t>
      </w:r>
      <w:r w:rsidR="000A7AAB">
        <w:t>de</w:t>
      </w:r>
      <w:r w:rsidR="000A7AAB" w:rsidRPr="002C4077">
        <w:t xml:space="preserve"> </w:t>
      </w:r>
      <w:r w:rsidR="000A7AAB">
        <w:t>telle</w:t>
      </w:r>
      <w:r w:rsidR="000A7AAB" w:rsidRPr="002C4077">
        <w:t xml:space="preserve"> </w:t>
      </w:r>
      <w:r w:rsidR="000A7AAB">
        <w:t>sorte</w:t>
      </w:r>
      <w:r w:rsidR="000A7AAB" w:rsidRPr="002C4077">
        <w:t xml:space="preserve"> </w:t>
      </w:r>
      <w:r w:rsidR="000A7AAB">
        <w:t>qu’ils</w:t>
      </w:r>
      <w:r w:rsidR="000A7AAB" w:rsidRPr="002C4077">
        <w:t xml:space="preserve"> </w:t>
      </w:r>
      <w:r w:rsidR="000A7AAB">
        <w:t>en</w:t>
      </w:r>
      <w:r w:rsidR="000A7AAB" w:rsidRPr="002C4077">
        <w:t xml:space="preserve"> </w:t>
      </w:r>
      <w:r w:rsidR="000A7AAB">
        <w:t>étaient</w:t>
      </w:r>
      <w:r w:rsidR="000A7AAB" w:rsidRPr="002C4077">
        <w:t xml:space="preserve"> </w:t>
      </w:r>
      <w:r w:rsidR="000A7AAB">
        <w:t>étonnés</w:t>
      </w:r>
      <w:r w:rsidR="000A7AAB" w:rsidRPr="002C4077">
        <w:t xml:space="preserve"> </w:t>
      </w:r>
      <w:r w:rsidR="000A7AAB">
        <w:t>et</w:t>
      </w:r>
      <w:r w:rsidR="000A7AAB" w:rsidRPr="002C4077">
        <w:t xml:space="preserve"> </w:t>
      </w:r>
      <w:r w:rsidR="000A7AAB">
        <w:t>disaient</w:t>
      </w:r>
      <w:r>
        <w:t> :</w:t>
      </w:r>
      <w:r w:rsidR="000A7AAB" w:rsidRPr="002C4077">
        <w:t xml:space="preserve"> </w:t>
      </w:r>
      <w:r w:rsidR="000A7AAB">
        <w:t>D’où</w:t>
      </w:r>
      <w:r w:rsidR="000A7AAB" w:rsidRPr="002C4077">
        <w:t xml:space="preserve"> </w:t>
      </w:r>
      <w:r w:rsidR="000A7AAB">
        <w:t>viennent</w:t>
      </w:r>
      <w:r w:rsidR="000A7AAB" w:rsidRPr="002C4077">
        <w:t xml:space="preserve"> </w:t>
      </w:r>
      <w:r w:rsidR="000A7AAB">
        <w:t>à</w:t>
      </w:r>
      <w:r w:rsidR="000A7AAB" w:rsidRPr="002C4077">
        <w:t xml:space="preserve"> </w:t>
      </w:r>
      <w:r w:rsidR="003B53FD">
        <w:t>celui</w:t>
      </w:r>
      <w:r w:rsidR="000A7AAB">
        <w:t>-ci</w:t>
      </w:r>
      <w:r w:rsidR="000A7AAB" w:rsidRPr="002C4077">
        <w:t xml:space="preserve"> </w:t>
      </w:r>
      <w:r w:rsidR="000A7AAB">
        <w:t>cette</w:t>
      </w:r>
      <w:r w:rsidR="000A7AAB" w:rsidRPr="002C4077">
        <w:t xml:space="preserve"> </w:t>
      </w:r>
      <w:r w:rsidR="000A7AAB">
        <w:t>sapience</w:t>
      </w:r>
      <w:r w:rsidR="000A7AAB" w:rsidRPr="002C4077">
        <w:t xml:space="preserve"> </w:t>
      </w:r>
      <w:r w:rsidR="000A7AAB">
        <w:t>et</w:t>
      </w:r>
      <w:r w:rsidR="000A7AAB" w:rsidRPr="002C4077">
        <w:t xml:space="preserve"> </w:t>
      </w:r>
      <w:r w:rsidR="000A7AAB">
        <w:t>ces</w:t>
      </w:r>
      <w:r w:rsidR="000A7AAB" w:rsidRPr="002C4077">
        <w:t xml:space="preserve"> </w:t>
      </w:r>
      <w:r w:rsidR="000A7AAB">
        <w:t>vertus</w:t>
      </w:r>
      <w:r>
        <w:t> ?</w:t>
      </w:r>
      <w:r w:rsidR="00C45B47">
        <w:t xml:space="preserve"> {</w:t>
      </w:r>
      <w:r w:rsidR="001F5257">
        <w:t>210</w:t>
      </w:r>
      <w:bookmarkStart w:id="520" w:name="p210"/>
      <w:bookmarkEnd w:id="520"/>
      <w:r w:rsidR="001F5257">
        <w:t xml:space="preserve">} </w:t>
      </w:r>
      <w:r w:rsidR="003B53FD">
        <w:t>Celui</w:t>
      </w:r>
      <w:r w:rsidR="000A7AAB">
        <w:t>-ci</w:t>
      </w:r>
      <w:r w:rsidR="000A7AAB" w:rsidRPr="002C4077">
        <w:t xml:space="preserve"> </w:t>
      </w:r>
      <w:r w:rsidR="000A7AAB">
        <w:t>n’est-il</w:t>
      </w:r>
      <w:r w:rsidR="002F7AFA" w:rsidRPr="002C4077">
        <w:t xml:space="preserve"> </w:t>
      </w:r>
      <w:r w:rsidR="000A7AAB">
        <w:t>pas</w:t>
      </w:r>
      <w:r w:rsidR="000A7AAB" w:rsidRPr="002C4077">
        <w:t xml:space="preserve"> </w:t>
      </w:r>
      <w:r w:rsidR="000A7AAB">
        <w:t>le</w:t>
      </w:r>
      <w:r w:rsidR="000A7AAB" w:rsidRPr="002C4077">
        <w:t xml:space="preserve"> </w:t>
      </w:r>
      <w:r w:rsidR="000A7AAB">
        <w:t>fils</w:t>
      </w:r>
      <w:r w:rsidR="000A7AAB" w:rsidRPr="002C4077">
        <w:t xml:space="preserve"> </w:t>
      </w:r>
      <w:r w:rsidR="000A7AAB">
        <w:t>du</w:t>
      </w:r>
      <w:r w:rsidR="000A7AAB" w:rsidRPr="002C4077">
        <w:t xml:space="preserve"> </w:t>
      </w:r>
      <w:r w:rsidR="000A7AAB">
        <w:t>charpentier</w:t>
      </w:r>
      <w:r>
        <w:t> ?</w:t>
      </w:r>
      <w:r w:rsidR="000A7AAB" w:rsidRPr="002C4077">
        <w:t xml:space="preserve"> </w:t>
      </w:r>
      <w:r w:rsidR="000A7AAB">
        <w:t>sa</w:t>
      </w:r>
      <w:r w:rsidR="000A7AAB" w:rsidRPr="002C4077">
        <w:t xml:space="preserve"> </w:t>
      </w:r>
      <w:r w:rsidR="000A7AAB">
        <w:t>mère</w:t>
      </w:r>
      <w:r w:rsidR="000A7AAB" w:rsidRPr="002C4077">
        <w:t xml:space="preserve"> </w:t>
      </w:r>
      <w:r w:rsidR="000A7AAB">
        <w:t>ne</w:t>
      </w:r>
      <w:r w:rsidR="000A7AAB" w:rsidRPr="002C4077">
        <w:t xml:space="preserve"> </w:t>
      </w:r>
      <w:r w:rsidR="000A7AAB">
        <w:t>s’appelle-t-elle</w:t>
      </w:r>
      <w:r w:rsidR="000A7AAB" w:rsidRPr="002C4077">
        <w:t xml:space="preserve"> </w:t>
      </w:r>
      <w:r w:rsidR="000A7AAB">
        <w:t>pas</w:t>
      </w:r>
      <w:r w:rsidR="000A7AAB" w:rsidRPr="002C4077">
        <w:t xml:space="preserve"> </w:t>
      </w:r>
      <w:r w:rsidR="000A7AAB">
        <w:t>Marie</w:t>
      </w:r>
      <w:r>
        <w:t> ?</w:t>
      </w:r>
      <w:r w:rsidR="000A7AAB" w:rsidRPr="002C4077">
        <w:t xml:space="preserve"> </w:t>
      </w:r>
      <w:r w:rsidR="000A7AAB">
        <w:t>et</w:t>
      </w:r>
      <w:r w:rsidR="000A7AAB" w:rsidRPr="002C4077">
        <w:t xml:space="preserve"> </w:t>
      </w:r>
      <w:r w:rsidR="000A7AAB">
        <w:t>ses</w:t>
      </w:r>
      <w:r w:rsidR="000A7AAB" w:rsidRPr="002C4077">
        <w:t xml:space="preserve"> </w:t>
      </w:r>
      <w:r w:rsidR="000A7AAB">
        <w:t>frères</w:t>
      </w:r>
      <w:r w:rsidR="000A7AAB" w:rsidRPr="002C4077">
        <w:t xml:space="preserve"> </w:t>
      </w:r>
      <w:r w:rsidR="000A7AAB">
        <w:t>ne</w:t>
      </w:r>
      <w:r w:rsidR="000A7AAB" w:rsidRPr="002C4077">
        <w:t xml:space="preserve"> </w:t>
      </w:r>
      <w:r w:rsidR="000A7AAB">
        <w:t>sont-ils</w:t>
      </w:r>
      <w:r w:rsidR="000A7AAB" w:rsidRPr="002C4077">
        <w:t xml:space="preserve"> </w:t>
      </w:r>
      <w:r w:rsidR="000A7AAB">
        <w:t>pas</w:t>
      </w:r>
      <w:r w:rsidR="000A7AAB" w:rsidRPr="002C4077">
        <w:t xml:space="preserve"> </w:t>
      </w:r>
      <w:r w:rsidR="000A7AAB">
        <w:t>Jacques,</w:t>
      </w:r>
      <w:r w:rsidR="000A7AAB" w:rsidRPr="002C4077">
        <w:t xml:space="preserve"> </w:t>
      </w:r>
      <w:r w:rsidR="000A7AAB">
        <w:t>Jean,</w:t>
      </w:r>
      <w:r w:rsidR="000A7AAB" w:rsidRPr="002C4077">
        <w:t xml:space="preserve"> </w:t>
      </w:r>
      <w:r w:rsidR="000A7AAB">
        <w:t>Simon</w:t>
      </w:r>
      <w:r w:rsidR="000A7AAB" w:rsidRPr="002C4077">
        <w:t xml:space="preserve"> </w:t>
      </w:r>
      <w:r w:rsidR="000A7AAB">
        <w:t>et</w:t>
      </w:r>
      <w:r w:rsidR="000A7AAB" w:rsidRPr="002C4077">
        <w:t xml:space="preserve"> </w:t>
      </w:r>
      <w:r w:rsidR="000A7AAB">
        <w:t>Jude</w:t>
      </w:r>
      <w:r>
        <w:t> ?</w:t>
      </w:r>
      <w:r w:rsidR="000A7AAB" w:rsidRPr="002C4077">
        <w:t xml:space="preserve"> </w:t>
      </w:r>
      <w:r w:rsidR="000A7AAB">
        <w:t>et</w:t>
      </w:r>
      <w:r w:rsidR="000A7AAB" w:rsidRPr="002C4077">
        <w:t xml:space="preserve"> </w:t>
      </w:r>
      <w:r w:rsidR="000A7AAB">
        <w:t>ses</w:t>
      </w:r>
      <w:r w:rsidR="000A7AAB" w:rsidRPr="002C4077">
        <w:t xml:space="preserve"> </w:t>
      </w:r>
      <w:r w:rsidR="000A7AAB">
        <w:t>sœurs</w:t>
      </w:r>
      <w:r w:rsidR="000A7AAB" w:rsidRPr="002C4077">
        <w:t xml:space="preserve"> </w:t>
      </w:r>
      <w:r w:rsidR="000A7AAB">
        <w:t>ne</w:t>
      </w:r>
      <w:r w:rsidR="000A7AAB" w:rsidRPr="002C4077">
        <w:t xml:space="preserve"> </w:t>
      </w:r>
      <w:r w:rsidR="000A7AAB">
        <w:t>sont-elles</w:t>
      </w:r>
      <w:r w:rsidR="000A7AAB" w:rsidRPr="002C4077">
        <w:t xml:space="preserve"> </w:t>
      </w:r>
      <w:r w:rsidR="000A7AAB">
        <w:t>pas</w:t>
      </w:r>
      <w:r w:rsidR="000A7AAB" w:rsidRPr="002C4077">
        <w:t xml:space="preserve"> </w:t>
      </w:r>
      <w:r w:rsidR="000A7AAB">
        <w:t>toutes</w:t>
      </w:r>
      <w:r w:rsidR="000A7AAB" w:rsidRPr="002C4077">
        <w:t xml:space="preserve"> </w:t>
      </w:r>
      <w:r w:rsidR="000A7AAB">
        <w:t>parmi</w:t>
      </w:r>
      <w:r w:rsidR="000A7AAB" w:rsidRPr="002C4077">
        <w:t xml:space="preserve"> </w:t>
      </w:r>
      <w:r w:rsidR="000A7AAB">
        <w:t>nous</w:t>
      </w:r>
      <w:r>
        <w:t> ?</w:t>
      </w:r>
      <w:r w:rsidR="000A7AAB" w:rsidRPr="002C4077">
        <w:t xml:space="preserve"> </w:t>
      </w:r>
      <w:r w:rsidR="000A7AAB">
        <w:t>D’où</w:t>
      </w:r>
      <w:r w:rsidR="000A7AAB" w:rsidRPr="002C4077">
        <w:t xml:space="preserve"> </w:t>
      </w:r>
      <w:r w:rsidR="000A7AAB">
        <w:t>viennent</w:t>
      </w:r>
      <w:r w:rsidR="000A7AAB" w:rsidRPr="002C4077">
        <w:t xml:space="preserve"> </w:t>
      </w:r>
      <w:r w:rsidR="000A7AAB">
        <w:t>donc</w:t>
      </w:r>
      <w:r w:rsidR="000A7AAB" w:rsidRPr="002C4077">
        <w:t xml:space="preserve"> </w:t>
      </w:r>
      <w:r w:rsidR="000A7AAB">
        <w:t>à</w:t>
      </w:r>
      <w:r w:rsidR="000A7AAB" w:rsidRPr="002C4077">
        <w:t xml:space="preserve"> </w:t>
      </w:r>
      <w:r w:rsidR="003B53FD">
        <w:t>celui</w:t>
      </w:r>
      <w:r w:rsidR="000A7AAB">
        <w:t>-ci</w:t>
      </w:r>
      <w:r w:rsidR="000A7AAB" w:rsidRPr="002C4077">
        <w:t xml:space="preserve"> </w:t>
      </w:r>
      <w:r w:rsidR="000A7AAB">
        <w:t>toutes</w:t>
      </w:r>
      <w:r w:rsidR="000A7AAB" w:rsidRPr="002C4077">
        <w:t xml:space="preserve"> </w:t>
      </w:r>
      <w:r w:rsidR="000A7AAB">
        <w:t>ces</w:t>
      </w:r>
      <w:r w:rsidR="000A7AAB" w:rsidRPr="002C4077">
        <w:t xml:space="preserve"> </w:t>
      </w:r>
      <w:r w:rsidR="000A7AAB">
        <w:t>choses</w:t>
      </w:r>
      <w:r>
        <w:t> ?</w:t>
      </w:r>
      <w:r w:rsidR="000A7AAB" w:rsidRPr="002C4077">
        <w:t xml:space="preserve"> </w:t>
      </w:r>
      <w:r w:rsidR="000A7AAB">
        <w:t>Tellement</w:t>
      </w:r>
      <w:r w:rsidR="000A7AAB" w:rsidRPr="002C4077">
        <w:t xml:space="preserve"> </w:t>
      </w:r>
      <w:r w:rsidR="000A7AAB">
        <w:t>qu’ils</w:t>
      </w:r>
      <w:r w:rsidR="000A7AAB" w:rsidRPr="002C4077">
        <w:t xml:space="preserve"> </w:t>
      </w:r>
      <w:r w:rsidR="000A7AAB">
        <w:t>étaient</w:t>
      </w:r>
      <w:r w:rsidR="000A7AAB" w:rsidRPr="002C4077">
        <w:t xml:space="preserve"> </w:t>
      </w:r>
      <w:r w:rsidR="000A7AAB">
        <w:t>scandalisés</w:t>
      </w:r>
      <w:r w:rsidR="000A7AAB" w:rsidRPr="002C4077">
        <w:t xml:space="preserve"> </w:t>
      </w:r>
      <w:r w:rsidR="000A7AAB">
        <w:t>en</w:t>
      </w:r>
      <w:r w:rsidR="000A7AAB" w:rsidRPr="002C4077">
        <w:t xml:space="preserve"> </w:t>
      </w:r>
      <w:r w:rsidR="000A7AAB">
        <w:t>lui</w:t>
      </w:r>
      <w:r>
        <w:t> !</w:t>
      </w:r>
      <w:r w:rsidR="000A7AAB" w:rsidRPr="002C4077">
        <w:t xml:space="preserve"> </w:t>
      </w:r>
      <w:r w:rsidR="000A7AAB">
        <w:t>Mais</w:t>
      </w:r>
      <w:r w:rsidR="000A7AAB" w:rsidRPr="002C4077">
        <w:t xml:space="preserve"> </w:t>
      </w:r>
      <w:r w:rsidR="00425C50">
        <w:t>Jésus</w:t>
      </w:r>
      <w:r w:rsidR="000A7AAB" w:rsidRPr="002C4077">
        <w:t xml:space="preserve"> </w:t>
      </w:r>
      <w:r w:rsidR="000A7AAB">
        <w:t>leur</w:t>
      </w:r>
      <w:r w:rsidR="000A7AAB" w:rsidRPr="002C4077">
        <w:t xml:space="preserve"> </w:t>
      </w:r>
      <w:r w:rsidR="000A7AAB">
        <w:t>dit</w:t>
      </w:r>
      <w:r>
        <w:t> :</w:t>
      </w:r>
      <w:r w:rsidR="000A7AAB" w:rsidRPr="002C4077">
        <w:t xml:space="preserve"> </w:t>
      </w:r>
      <w:r w:rsidR="000A7AAB">
        <w:t>Un</w:t>
      </w:r>
      <w:r w:rsidR="000A7AAB" w:rsidRPr="002C4077">
        <w:t xml:space="preserve"> </w:t>
      </w:r>
      <w:r w:rsidR="000A7AAB">
        <w:t>prophète</w:t>
      </w:r>
      <w:r w:rsidR="000A7AAB" w:rsidRPr="002C4077">
        <w:t xml:space="preserve"> </w:t>
      </w:r>
      <w:r w:rsidR="000A7AAB">
        <w:t>n’est</w:t>
      </w:r>
      <w:r w:rsidR="000A7AAB" w:rsidRPr="002C4077">
        <w:t xml:space="preserve"> </w:t>
      </w:r>
      <w:r w:rsidR="000A7AAB">
        <w:t>sans</w:t>
      </w:r>
      <w:r w:rsidR="000A7AAB" w:rsidRPr="002C4077">
        <w:t xml:space="preserve"> </w:t>
      </w:r>
      <w:r w:rsidR="000A7AAB">
        <w:t>honneur</w:t>
      </w:r>
      <w:r w:rsidR="000A7AAB" w:rsidRPr="002C4077">
        <w:t xml:space="preserve"> </w:t>
      </w:r>
      <w:r w:rsidR="000A7AAB">
        <w:t>que</w:t>
      </w:r>
      <w:r w:rsidR="000A7AAB" w:rsidRPr="002C4077">
        <w:t xml:space="preserve"> </w:t>
      </w:r>
      <w:r w:rsidR="000A7AAB">
        <w:t>dans</w:t>
      </w:r>
      <w:r w:rsidR="000A7AAB" w:rsidRPr="002C4077">
        <w:t xml:space="preserve"> </w:t>
      </w:r>
      <w:r w:rsidR="000A7AAB">
        <w:t>son</w:t>
      </w:r>
      <w:r w:rsidR="000A7AAB" w:rsidRPr="002C4077">
        <w:t xml:space="preserve"> </w:t>
      </w:r>
      <w:r w:rsidR="000A7AAB">
        <w:t>pays</w:t>
      </w:r>
      <w:r w:rsidR="000A7AAB" w:rsidRPr="002C4077">
        <w:t xml:space="preserve"> </w:t>
      </w:r>
      <w:r w:rsidR="000A7AAB">
        <w:t>et</w:t>
      </w:r>
      <w:r w:rsidR="000A7AAB" w:rsidRPr="002C4077">
        <w:t xml:space="preserve"> </w:t>
      </w:r>
      <w:r w:rsidR="000A7AAB">
        <w:t>dans</w:t>
      </w:r>
      <w:r w:rsidR="000A7AAB" w:rsidRPr="002C4077">
        <w:t xml:space="preserve"> </w:t>
      </w:r>
      <w:r w:rsidR="000A7AAB">
        <w:t>sa</w:t>
      </w:r>
      <w:r w:rsidR="000A7AAB" w:rsidRPr="002C4077">
        <w:t xml:space="preserve"> </w:t>
      </w:r>
      <w:r w:rsidR="000A7AAB">
        <w:t>maison.</w:t>
      </w:r>
      <w:r w:rsidR="000A7AAB" w:rsidRPr="002C4077">
        <w:t xml:space="preserve"> </w:t>
      </w:r>
      <w:r w:rsidR="000A7AAB">
        <w:t>Et</w:t>
      </w:r>
      <w:r w:rsidR="000A7AAB" w:rsidRPr="002C4077">
        <w:t xml:space="preserve"> </w:t>
      </w:r>
      <w:r w:rsidR="000A7AAB">
        <w:t>il</w:t>
      </w:r>
      <w:r w:rsidR="000A7AAB" w:rsidRPr="002C4077">
        <w:t xml:space="preserve"> </w:t>
      </w:r>
      <w:r w:rsidR="000A7AAB">
        <w:t>ne</w:t>
      </w:r>
      <w:r w:rsidR="000A7AAB" w:rsidRPr="002C4077">
        <w:t xml:space="preserve"> </w:t>
      </w:r>
      <w:r w:rsidR="000A7AAB">
        <w:t>fit</w:t>
      </w:r>
      <w:r w:rsidR="000A7AAB" w:rsidRPr="002C4077">
        <w:t xml:space="preserve"> </w:t>
      </w:r>
      <w:r w:rsidR="000A7AAB">
        <w:t>là</w:t>
      </w:r>
      <w:r w:rsidR="000A7AAB" w:rsidRPr="002C4077">
        <w:t xml:space="preserve"> </w:t>
      </w:r>
      <w:r w:rsidR="000A7AAB">
        <w:t>guère</w:t>
      </w:r>
      <w:r w:rsidR="000A7AAB" w:rsidRPr="002C4077">
        <w:t xml:space="preserve"> </w:t>
      </w:r>
      <w:r w:rsidR="000A7AAB">
        <w:t>de</w:t>
      </w:r>
      <w:r w:rsidR="000A7AAB" w:rsidRPr="002C4077">
        <w:t xml:space="preserve"> </w:t>
      </w:r>
      <w:r w:rsidR="000A7AAB">
        <w:t>miracles</w:t>
      </w:r>
      <w:r w:rsidR="000A7AAB" w:rsidRPr="002C4077">
        <w:t xml:space="preserve"> </w:t>
      </w:r>
      <w:r w:rsidR="000A7AAB">
        <w:t>à</w:t>
      </w:r>
      <w:r w:rsidR="000A7AAB" w:rsidRPr="002C4077">
        <w:t xml:space="preserve"> </w:t>
      </w:r>
      <w:r w:rsidR="000A7AAB">
        <w:t>cause</w:t>
      </w:r>
      <w:r w:rsidR="000A7AAB" w:rsidRPr="002C4077">
        <w:t xml:space="preserve"> </w:t>
      </w:r>
      <w:r w:rsidR="000A7AAB">
        <w:t>de</w:t>
      </w:r>
      <w:r w:rsidR="000A7AAB" w:rsidRPr="002C4077">
        <w:t xml:space="preserve"> </w:t>
      </w:r>
      <w:r w:rsidR="000A7AAB">
        <w:t>leur</w:t>
      </w:r>
      <w:bookmarkStart w:id="521" w:name="z_Nazareth_o3"/>
      <w:bookmarkEnd w:id="521"/>
      <w:r w:rsidR="000A7AAB" w:rsidRPr="002C4077">
        <w:t xml:space="preserve"> </w:t>
      </w:r>
      <w:r w:rsidR="000A7AAB">
        <w:t>incrédulité</w:t>
      </w:r>
      <w:r w:rsidR="00B91AF7">
        <w:rPr>
          <w:rStyle w:val="Appelnotedebasdep"/>
        </w:rPr>
        <w:footnoteReference w:id="703"/>
      </w:r>
      <w:r>
        <w:t> »</w:t>
      </w:r>
      <w:r w:rsidR="000A7AAB">
        <w:t>.</w:t>
      </w:r>
      <w:r w:rsidR="000A7AAB" w:rsidRPr="002C4077">
        <w:t xml:space="preserve"> </w:t>
      </w:r>
    </w:p>
    <w:p w:rsidR="000A7AAB" w:rsidRPr="001F5257" w:rsidRDefault="000A7AAB" w:rsidP="000A7AAB">
      <w:r>
        <w:t>Ingrate</w:t>
      </w:r>
      <w:r w:rsidRPr="002C4077">
        <w:t xml:space="preserve"> </w:t>
      </w:r>
      <w:r>
        <w:t>cité</w:t>
      </w:r>
      <w:r w:rsidRPr="002C4077">
        <w:t xml:space="preserve"> </w:t>
      </w:r>
      <w:r>
        <w:t>de</w:t>
      </w:r>
      <w:r w:rsidRPr="002C4077">
        <w:t xml:space="preserve"> </w:t>
      </w:r>
      <w:r>
        <w:t>Nazareth</w:t>
      </w:r>
      <w:r w:rsidR="00B546AF">
        <w:t> !</w:t>
      </w:r>
      <w:r w:rsidRPr="002C4077">
        <w:t xml:space="preserve"> </w:t>
      </w:r>
      <w:r>
        <w:t>Ne</w:t>
      </w:r>
      <w:r w:rsidRPr="002C4077">
        <w:t xml:space="preserve"> </w:t>
      </w:r>
      <w:r>
        <w:t>mériterais-tu</w:t>
      </w:r>
      <w:r w:rsidRPr="002C4077">
        <w:t xml:space="preserve"> </w:t>
      </w:r>
      <w:r>
        <w:t>pas</w:t>
      </w:r>
      <w:r w:rsidRPr="002C4077">
        <w:t xml:space="preserve"> </w:t>
      </w:r>
      <w:r>
        <w:t>que</w:t>
      </w:r>
      <w:r w:rsidRPr="002C4077">
        <w:t xml:space="preserve"> </w:t>
      </w:r>
      <w:r>
        <w:t>nous</w:t>
      </w:r>
      <w:r w:rsidRPr="002C4077">
        <w:t xml:space="preserve"> </w:t>
      </w:r>
      <w:r>
        <w:t>disions</w:t>
      </w:r>
      <w:r w:rsidRPr="002C4077">
        <w:t xml:space="preserve"> </w:t>
      </w:r>
      <w:r>
        <w:t>de</w:t>
      </w:r>
      <w:r w:rsidRPr="002C4077">
        <w:t xml:space="preserve"> </w:t>
      </w:r>
      <w:r>
        <w:t>toi,</w:t>
      </w:r>
      <w:r w:rsidRPr="002C4077">
        <w:t xml:space="preserve"> </w:t>
      </w:r>
      <w:r>
        <w:t>comme</w:t>
      </w:r>
      <w:r w:rsidRPr="002C4077">
        <w:t xml:space="preserve"> </w:t>
      </w:r>
      <w:r>
        <w:t>Nathanaël,</w:t>
      </w:r>
      <w:r w:rsidRPr="002C4077">
        <w:t xml:space="preserve"> </w:t>
      </w:r>
      <w:r>
        <w:t>ce</w:t>
      </w:r>
      <w:r w:rsidRPr="002C4077">
        <w:t xml:space="preserve"> </w:t>
      </w:r>
      <w:r>
        <w:t>bon</w:t>
      </w:r>
      <w:r w:rsidRPr="002C4077">
        <w:t xml:space="preserve"> </w:t>
      </w:r>
      <w:r>
        <w:t>Israélite</w:t>
      </w:r>
      <w:r w:rsidRPr="002C4077">
        <w:t xml:space="preserve"> </w:t>
      </w:r>
      <w:r>
        <w:t>à</w:t>
      </w:r>
      <w:r w:rsidRPr="002C4077">
        <w:t xml:space="preserve"> </w:t>
      </w:r>
      <w:r>
        <w:t>qui</w:t>
      </w:r>
      <w:r w:rsidRPr="002C4077">
        <w:t xml:space="preserve"> </w:t>
      </w:r>
      <w:r>
        <w:t>son</w:t>
      </w:r>
      <w:r w:rsidRPr="002C4077">
        <w:t xml:space="preserve"> </w:t>
      </w:r>
      <w:r>
        <w:t>ami</w:t>
      </w:r>
      <w:r w:rsidRPr="002C4077">
        <w:t xml:space="preserve"> </w:t>
      </w:r>
      <w:r>
        <w:t>Philippe</w:t>
      </w:r>
      <w:r w:rsidRPr="002C4077">
        <w:t xml:space="preserve"> </w:t>
      </w:r>
      <w:r>
        <w:t>annonçait</w:t>
      </w:r>
      <w:r w:rsidRPr="002C4077">
        <w:t xml:space="preserve"> </w:t>
      </w:r>
      <w:r>
        <w:t>qu’il</w:t>
      </w:r>
      <w:r w:rsidRPr="002C4077">
        <w:t xml:space="preserve"> </w:t>
      </w:r>
      <w:r>
        <w:t>avait</w:t>
      </w:r>
      <w:r w:rsidRPr="002C4077">
        <w:t xml:space="preserve"> </w:t>
      </w:r>
      <w:r>
        <w:t>découvert</w:t>
      </w:r>
      <w:r w:rsidRPr="002C4077">
        <w:t xml:space="preserve"> </w:t>
      </w:r>
      <w:r>
        <w:t>le</w:t>
      </w:r>
      <w:r w:rsidRPr="002C4077">
        <w:t xml:space="preserve"> </w:t>
      </w:r>
      <w:r>
        <w:t>Messie,</w:t>
      </w:r>
      <w:r w:rsidRPr="002C4077">
        <w:t xml:space="preserve"> </w:t>
      </w:r>
      <w:r w:rsidR="00425C50">
        <w:t>Jésus</w:t>
      </w:r>
      <w:r w:rsidRPr="002C4077">
        <w:t xml:space="preserve"> </w:t>
      </w:r>
      <w:r>
        <w:t>de</w:t>
      </w:r>
      <w:r w:rsidRPr="002C4077">
        <w:t xml:space="preserve"> </w:t>
      </w:r>
      <w:r>
        <w:t>Nazareth</w:t>
      </w:r>
      <w:r w:rsidR="00B546AF">
        <w:t> :</w:t>
      </w:r>
      <w:r w:rsidRPr="002C4077">
        <w:t xml:space="preserve"> </w:t>
      </w:r>
      <w:r w:rsidR="00B546AF">
        <w:t>« </w:t>
      </w:r>
      <w:r>
        <w:t>De</w:t>
      </w:r>
      <w:r w:rsidRPr="002C4077">
        <w:t xml:space="preserve"> </w:t>
      </w:r>
      <w:r>
        <w:t>Nazareth</w:t>
      </w:r>
      <w:r w:rsidR="00B546AF">
        <w:t> !</w:t>
      </w:r>
      <w:r w:rsidRPr="002C4077">
        <w:t xml:space="preserve"> </w:t>
      </w:r>
      <w:r>
        <w:t>mais</w:t>
      </w:r>
      <w:r w:rsidRPr="002C4077">
        <w:t xml:space="preserve"> </w:t>
      </w:r>
      <w:r w:rsidR="00425C50">
        <w:t>est</w:t>
      </w:r>
      <w:r>
        <w:t>-il</w:t>
      </w:r>
      <w:r w:rsidRPr="002C4077">
        <w:t xml:space="preserve"> </w:t>
      </w:r>
      <w:r>
        <w:t>possible</w:t>
      </w:r>
      <w:r w:rsidRPr="002C4077">
        <w:t xml:space="preserve"> </w:t>
      </w:r>
      <w:r>
        <w:t>qu’il</w:t>
      </w:r>
      <w:r w:rsidRPr="002C4077">
        <w:t xml:space="preserve"> </w:t>
      </w:r>
      <w:r>
        <w:t>sorte</w:t>
      </w:r>
      <w:r w:rsidRPr="002C4077">
        <w:t xml:space="preserve"> </w:t>
      </w:r>
      <w:r>
        <w:t>quelque</w:t>
      </w:r>
      <w:r w:rsidRPr="002C4077">
        <w:t xml:space="preserve"> </w:t>
      </w:r>
      <w:r>
        <w:t>chose</w:t>
      </w:r>
      <w:r w:rsidRPr="002C4077">
        <w:t xml:space="preserve"> </w:t>
      </w:r>
      <w:r>
        <w:t>de</w:t>
      </w:r>
      <w:r w:rsidRPr="002C4077">
        <w:t xml:space="preserve"> </w:t>
      </w:r>
      <w:r>
        <w:t>bon</w:t>
      </w:r>
      <w:r w:rsidRPr="002C4077">
        <w:t xml:space="preserve"> </w:t>
      </w:r>
      <w:r>
        <w:t>de</w:t>
      </w:r>
      <w:r w:rsidRPr="002C4077">
        <w:t xml:space="preserve"> </w:t>
      </w:r>
      <w:r>
        <w:t>Nazareth</w:t>
      </w:r>
      <w:r w:rsidR="00B91AF7">
        <w:rPr>
          <w:rStyle w:val="Appelnotedebasdep"/>
        </w:rPr>
        <w:footnoteReference w:id="704"/>
      </w:r>
      <w:r w:rsidR="00B546AF">
        <w:t> ? »</w:t>
      </w:r>
      <w:r w:rsidRPr="002C4077">
        <w:t xml:space="preserve"> </w:t>
      </w:r>
      <w:r>
        <w:t>Nous</w:t>
      </w:r>
      <w:r w:rsidRPr="002C4077">
        <w:t xml:space="preserve"> </w:t>
      </w:r>
      <w:r>
        <w:t>ignorons</w:t>
      </w:r>
      <w:r w:rsidRPr="002C4077">
        <w:t xml:space="preserve"> </w:t>
      </w:r>
      <w:r>
        <w:t>pour</w:t>
      </w:r>
      <w:r w:rsidRPr="002C4077">
        <w:t xml:space="preserve"> </w:t>
      </w:r>
      <w:r>
        <w:t>quel</w:t>
      </w:r>
      <w:r w:rsidRPr="002C4077">
        <w:t xml:space="preserve"> </w:t>
      </w:r>
      <w:r>
        <w:t>motif</w:t>
      </w:r>
      <w:r w:rsidRPr="002C4077">
        <w:t xml:space="preserve"> </w:t>
      </w:r>
      <w:r>
        <w:t>tu</w:t>
      </w:r>
      <w:r w:rsidRPr="002C4077">
        <w:t xml:space="preserve"> </w:t>
      </w:r>
      <w:r>
        <w:t>avais</w:t>
      </w:r>
      <w:r w:rsidRPr="002C4077">
        <w:t xml:space="preserve"> </w:t>
      </w:r>
      <w:r>
        <w:t>a</w:t>
      </w:r>
      <w:r w:rsidR="00846153">
        <w:t>lors</w:t>
      </w:r>
      <w:r w:rsidR="00846153" w:rsidRPr="002C4077">
        <w:t xml:space="preserve"> </w:t>
      </w:r>
      <w:r w:rsidR="00846153">
        <w:t>une</w:t>
      </w:r>
      <w:r w:rsidR="00846153" w:rsidRPr="002C4077">
        <w:t xml:space="preserve"> </w:t>
      </w:r>
      <w:r w:rsidR="00846153">
        <w:t>si</w:t>
      </w:r>
      <w:r w:rsidR="00846153" w:rsidRPr="002C4077">
        <w:t xml:space="preserve"> </w:t>
      </w:r>
      <w:r w:rsidR="00846153">
        <w:t>mauvaise</w:t>
      </w:r>
      <w:r w:rsidR="00846153" w:rsidRPr="002C4077">
        <w:t xml:space="preserve"> </w:t>
      </w:r>
      <w:r w:rsidR="00846153">
        <w:t>réputation</w:t>
      </w:r>
      <w:r w:rsidR="00846153">
        <w:rPr>
          <w:rStyle w:val="Appelnotedebasdep"/>
        </w:rPr>
        <w:footnoteReference w:id="705"/>
      </w:r>
      <w:r w:rsidR="00B546AF">
        <w:t> ;</w:t>
      </w:r>
      <w:r w:rsidRPr="002C4077">
        <w:t xml:space="preserve"> </w:t>
      </w:r>
      <w:r>
        <w:t>ne</w:t>
      </w:r>
      <w:r w:rsidRPr="002C4077">
        <w:t xml:space="preserve"> </w:t>
      </w:r>
      <w:r>
        <w:t>l’as-tu</w:t>
      </w:r>
      <w:r w:rsidRPr="002C4077">
        <w:t xml:space="preserve"> </w:t>
      </w:r>
      <w:r>
        <w:t>pas</w:t>
      </w:r>
      <w:r w:rsidRPr="002C4077">
        <w:t xml:space="preserve"> </w:t>
      </w:r>
      <w:r>
        <w:t>complètement</w:t>
      </w:r>
      <w:r w:rsidRPr="002C4077">
        <w:t xml:space="preserve"> </w:t>
      </w:r>
      <w:r>
        <w:t>justifiée</w:t>
      </w:r>
      <w:r w:rsidRPr="002C4077">
        <w:t xml:space="preserve"> </w:t>
      </w:r>
      <w:r>
        <w:t>en</w:t>
      </w:r>
      <w:r w:rsidRPr="002C4077">
        <w:t xml:space="preserve"> </w:t>
      </w:r>
      <w:r>
        <w:t>ces</w:t>
      </w:r>
      <w:r w:rsidRPr="002C4077">
        <w:t xml:space="preserve"> </w:t>
      </w:r>
      <w:r>
        <w:t>tristes</w:t>
      </w:r>
      <w:r w:rsidRPr="002C4077">
        <w:t xml:space="preserve"> </w:t>
      </w:r>
      <w:r>
        <w:t>circonstances</w:t>
      </w:r>
      <w:r w:rsidR="00B546AF">
        <w:t> ?</w:t>
      </w:r>
      <w:r w:rsidRPr="002C4077">
        <w:t xml:space="preserve"> </w:t>
      </w:r>
      <w:r>
        <w:t>Toutefois,</w:t>
      </w:r>
      <w:r w:rsidRPr="002C4077">
        <w:t xml:space="preserve"> </w:t>
      </w:r>
      <w:r>
        <w:t>nous</w:t>
      </w:r>
      <w:r w:rsidRPr="002C4077">
        <w:t xml:space="preserve"> </w:t>
      </w:r>
      <w:r>
        <w:t>oublierons</w:t>
      </w:r>
      <w:r w:rsidRPr="002C4077">
        <w:t xml:space="preserve"> </w:t>
      </w:r>
      <w:r>
        <w:t>tes</w:t>
      </w:r>
      <w:r w:rsidRPr="002C4077">
        <w:t xml:space="preserve"> </w:t>
      </w:r>
      <w:r>
        <w:t>faiblesses</w:t>
      </w:r>
      <w:r w:rsidRPr="002C4077">
        <w:t xml:space="preserve"> </w:t>
      </w:r>
      <w:r>
        <w:t>pour</w:t>
      </w:r>
      <w:r w:rsidRPr="002C4077">
        <w:t xml:space="preserve"> </w:t>
      </w:r>
      <w:r>
        <w:t>ne</w:t>
      </w:r>
      <w:r w:rsidRPr="002C4077">
        <w:t xml:space="preserve"> </w:t>
      </w:r>
      <w:r>
        <w:t>penser</w:t>
      </w:r>
      <w:r w:rsidRPr="002C4077">
        <w:t xml:space="preserve"> </w:t>
      </w:r>
      <w:r>
        <w:t>qu’à</w:t>
      </w:r>
      <w:r w:rsidRPr="002C4077">
        <w:t xml:space="preserve"> </w:t>
      </w:r>
      <w:r>
        <w:t>ta</w:t>
      </w:r>
      <w:r w:rsidRPr="002C4077">
        <w:t xml:space="preserve"> </w:t>
      </w:r>
      <w:r>
        <w:t>gloire.</w:t>
      </w:r>
      <w:r w:rsidRPr="002C4077">
        <w:t xml:space="preserve"> </w:t>
      </w:r>
      <w:r>
        <w:t>Nous</w:t>
      </w:r>
      <w:r w:rsidRPr="002C4077">
        <w:t xml:space="preserve"> </w:t>
      </w:r>
      <w:r>
        <w:t>ne</w:t>
      </w:r>
      <w:r w:rsidRPr="002C4077">
        <w:t xml:space="preserve"> </w:t>
      </w:r>
      <w:r>
        <w:t>nous</w:t>
      </w:r>
      <w:r w:rsidRPr="002C4077">
        <w:t xml:space="preserve"> </w:t>
      </w:r>
      <w:r>
        <w:t>souviendrons</w:t>
      </w:r>
      <w:r w:rsidRPr="002C4077">
        <w:t xml:space="preserve"> </w:t>
      </w:r>
      <w:r>
        <w:t>que</w:t>
      </w:r>
      <w:r w:rsidRPr="002C4077">
        <w:t xml:space="preserve"> </w:t>
      </w:r>
      <w:r>
        <w:t>des</w:t>
      </w:r>
      <w:r w:rsidRPr="002C4077">
        <w:t xml:space="preserve"> </w:t>
      </w:r>
      <w:r>
        <w:t>ineffables</w:t>
      </w:r>
      <w:r w:rsidRPr="002C4077">
        <w:t xml:space="preserve"> </w:t>
      </w:r>
      <w:r>
        <w:t>mystères</w:t>
      </w:r>
      <w:r w:rsidRPr="002C4077">
        <w:t xml:space="preserve"> </w:t>
      </w:r>
      <w:r>
        <w:t>dont</w:t>
      </w:r>
      <w:r w:rsidRPr="002C4077">
        <w:t xml:space="preserve"> </w:t>
      </w:r>
      <w:r>
        <w:t>tu</w:t>
      </w:r>
      <w:r w:rsidRPr="002C4077">
        <w:t xml:space="preserve"> </w:t>
      </w:r>
      <w:r>
        <w:t>as</w:t>
      </w:r>
      <w:r w:rsidRPr="002C4077">
        <w:t xml:space="preserve"> </w:t>
      </w:r>
      <w:r>
        <w:t>été</w:t>
      </w:r>
      <w:r w:rsidRPr="002C4077">
        <w:t xml:space="preserve"> </w:t>
      </w:r>
      <w:r>
        <w:t>Je</w:t>
      </w:r>
      <w:r w:rsidRPr="002C4077">
        <w:t xml:space="preserve"> </w:t>
      </w:r>
      <w:r>
        <w:t>théâtre.</w:t>
      </w:r>
      <w:r w:rsidRPr="002C4077">
        <w:t xml:space="preserve"> </w:t>
      </w:r>
      <w:r>
        <w:t>Vingt</w:t>
      </w:r>
      <w:r w:rsidRPr="002C4077">
        <w:t xml:space="preserve"> </w:t>
      </w:r>
      <w:r>
        <w:t>fois</w:t>
      </w:r>
      <w:r w:rsidRPr="002C4077">
        <w:t xml:space="preserve"> </w:t>
      </w:r>
      <w:r>
        <w:t>au</w:t>
      </w:r>
      <w:r w:rsidRPr="002C4077">
        <w:t xml:space="preserve"> </w:t>
      </w:r>
      <w:r>
        <w:t>moins</w:t>
      </w:r>
      <w:r w:rsidRPr="002C4077">
        <w:t xml:space="preserve"> </w:t>
      </w:r>
      <w:r>
        <w:t>dans</w:t>
      </w:r>
      <w:r w:rsidRPr="002C4077">
        <w:t xml:space="preserve"> </w:t>
      </w:r>
      <w:r>
        <w:t>le</w:t>
      </w:r>
      <w:r w:rsidRPr="002C4077">
        <w:t xml:space="preserve"> </w:t>
      </w:r>
      <w:r>
        <w:t>Nouveau</w:t>
      </w:r>
      <w:r w:rsidRPr="002C4077">
        <w:t xml:space="preserve"> </w:t>
      </w:r>
      <w:r>
        <w:t>Testament</w:t>
      </w:r>
      <w:r w:rsidRPr="002C4077">
        <w:t xml:space="preserve"> </w:t>
      </w:r>
      <w:r w:rsidR="00425C50">
        <w:t>Jésus</w:t>
      </w:r>
      <w:r>
        <w:t>-</w:t>
      </w:r>
      <w:r w:rsidR="00425C50">
        <w:t>Christ</w:t>
      </w:r>
      <w:r w:rsidRPr="002C4077">
        <w:t xml:space="preserve"> </w:t>
      </w:r>
      <w:r>
        <w:t>n’est-il</w:t>
      </w:r>
      <w:r w:rsidRPr="002C4077">
        <w:t xml:space="preserve"> </w:t>
      </w:r>
      <w:r>
        <w:t>pas</w:t>
      </w:r>
      <w:r w:rsidRPr="002C4077">
        <w:t xml:space="preserve"> </w:t>
      </w:r>
      <w:r>
        <w:t>appelé</w:t>
      </w:r>
      <w:r w:rsidRPr="002C4077">
        <w:t xml:space="preserve"> </w:t>
      </w:r>
      <w:r w:rsidR="00B546AF">
        <w:t>« </w:t>
      </w:r>
      <w:r w:rsidR="00425C50">
        <w:t>Jésus</w:t>
      </w:r>
      <w:r w:rsidRPr="002C4077">
        <w:t xml:space="preserve"> </w:t>
      </w:r>
      <w:r>
        <w:t>de</w:t>
      </w:r>
      <w:r w:rsidRPr="002C4077">
        <w:t xml:space="preserve"> </w:t>
      </w:r>
      <w:r>
        <w:t>Nazareth</w:t>
      </w:r>
      <w:r w:rsidR="00B91AF7">
        <w:rPr>
          <w:rStyle w:val="Appelnotedebasdep"/>
        </w:rPr>
        <w:footnoteReference w:id="706"/>
      </w:r>
      <w:r w:rsidR="00B546AF">
        <w:t> ? »</w:t>
      </w:r>
      <w:r w:rsidRPr="002C4077">
        <w:t xml:space="preserve"> </w:t>
      </w:r>
      <w:r>
        <w:t>et,</w:t>
      </w:r>
      <w:r w:rsidRPr="002C4077">
        <w:t xml:space="preserve"> </w:t>
      </w:r>
      <w:r>
        <w:t>à</w:t>
      </w:r>
      <w:r w:rsidRPr="002C4077">
        <w:t xml:space="preserve"> </w:t>
      </w:r>
      <w:r>
        <w:t>cause</w:t>
      </w:r>
      <w:r w:rsidRPr="002C4077">
        <w:t xml:space="preserve"> </w:t>
      </w:r>
      <w:r>
        <w:t>de</w:t>
      </w:r>
      <w:r w:rsidRPr="002C4077">
        <w:t xml:space="preserve"> </w:t>
      </w:r>
      <w:r>
        <w:t>Lui</w:t>
      </w:r>
      <w:r w:rsidRPr="002C4077">
        <w:t xml:space="preserve"> </w:t>
      </w:r>
      <w:r>
        <w:t>et</w:t>
      </w:r>
      <w:r w:rsidRPr="002C4077">
        <w:t xml:space="preserve"> </w:t>
      </w:r>
      <w:r>
        <w:t>de</w:t>
      </w:r>
      <w:r w:rsidRPr="002C4077">
        <w:t xml:space="preserve"> </w:t>
      </w:r>
      <w:r>
        <w:t>toi,</w:t>
      </w:r>
      <w:r w:rsidRPr="002C4077">
        <w:t xml:space="preserve"> </w:t>
      </w:r>
      <w:r>
        <w:t>les</w:t>
      </w:r>
      <w:r w:rsidRPr="002C4077">
        <w:t xml:space="preserve"> </w:t>
      </w:r>
      <w:r>
        <w:t>chrétiens</w:t>
      </w:r>
      <w:r w:rsidRPr="002C4077">
        <w:t xml:space="preserve"> </w:t>
      </w:r>
      <w:r>
        <w:t>n’ont-ils</w:t>
      </w:r>
      <w:r w:rsidRPr="002C4077">
        <w:t xml:space="preserve"> </w:t>
      </w:r>
      <w:r>
        <w:t>pas</w:t>
      </w:r>
      <w:r w:rsidRPr="002C4077">
        <w:t xml:space="preserve"> </w:t>
      </w:r>
      <w:r>
        <w:t>longtemps</w:t>
      </w:r>
      <w:r w:rsidRPr="002C4077">
        <w:t xml:space="preserve"> </w:t>
      </w:r>
      <w:r>
        <w:t>porté</w:t>
      </w:r>
      <w:r w:rsidRPr="002C4077">
        <w:t xml:space="preserve"> </w:t>
      </w:r>
      <w:r>
        <w:t>le</w:t>
      </w:r>
      <w:r w:rsidRPr="002C4077">
        <w:t xml:space="preserve"> </w:t>
      </w:r>
      <w:r>
        <w:t>surnom</w:t>
      </w:r>
      <w:r w:rsidRPr="002C4077">
        <w:t xml:space="preserve"> </w:t>
      </w:r>
      <w:r>
        <w:t>de</w:t>
      </w:r>
      <w:r w:rsidRPr="002C4077">
        <w:t xml:space="preserve"> </w:t>
      </w:r>
      <w:r>
        <w:t>Nazaréens</w:t>
      </w:r>
      <w:r w:rsidR="00B91AF7">
        <w:rPr>
          <w:rStyle w:val="Appelnotedebasdep"/>
        </w:rPr>
        <w:footnoteReference w:id="707"/>
      </w:r>
      <w:r w:rsidR="00B546AF">
        <w:t> ?</w:t>
      </w:r>
      <w:r w:rsidR="00C45B47">
        <w:t xml:space="preserve"> {</w:t>
      </w:r>
      <w:r w:rsidR="001F5257">
        <w:t>211</w:t>
      </w:r>
      <w:bookmarkStart w:id="522" w:name="p211"/>
      <w:bookmarkEnd w:id="522"/>
      <w:r w:rsidR="001F5257">
        <w:t xml:space="preserve">} </w:t>
      </w:r>
    </w:p>
    <w:p w:rsidR="000A7AAB" w:rsidRDefault="002F7AFA" w:rsidP="002F7AFA">
      <w:pPr>
        <w:pStyle w:val="Titre2"/>
      </w:pPr>
      <w:bookmarkStart w:id="523" w:name="_Toc43882017"/>
      <w:r>
        <w:t>2.</w:t>
      </w:r>
      <w:r>
        <w:br/>
      </w:r>
      <w:r w:rsidR="000A7AAB">
        <w:t>La</w:t>
      </w:r>
      <w:r w:rsidR="000A7AAB" w:rsidRPr="002C4077">
        <w:t xml:space="preserve"> </w:t>
      </w:r>
      <w:r w:rsidR="000A7AAB">
        <w:t>ville</w:t>
      </w:r>
      <w:r w:rsidR="000A7AAB" w:rsidRPr="002C4077">
        <w:t xml:space="preserve"> </w:t>
      </w:r>
      <w:r w:rsidR="000A7AAB">
        <w:t>de</w:t>
      </w:r>
      <w:r w:rsidR="000A7AAB" w:rsidRPr="002C4077">
        <w:t xml:space="preserve"> </w:t>
      </w:r>
      <w:r w:rsidR="000A7AAB">
        <w:t>Nazareth.</w:t>
      </w:r>
      <w:bookmarkStart w:id="524" w:name="a0702"/>
      <w:bookmarkEnd w:id="523"/>
      <w:bookmarkEnd w:id="524"/>
      <w:r w:rsidR="000A7AAB" w:rsidRPr="002C4077">
        <w:t xml:space="preserve"> </w:t>
      </w:r>
    </w:p>
    <w:p w:rsidR="000A7AAB" w:rsidRDefault="000A7AAB" w:rsidP="000A7AAB">
      <w:r>
        <w:t>Si</w:t>
      </w:r>
      <w:bookmarkStart w:id="525" w:name="z_Nazareth_o4"/>
      <w:bookmarkEnd w:id="525"/>
      <w:r w:rsidRPr="002C4077">
        <w:t xml:space="preserve"> </w:t>
      </w:r>
      <w:r>
        <w:t>la</w:t>
      </w:r>
      <w:r w:rsidRPr="002C4077">
        <w:t xml:space="preserve"> </w:t>
      </w:r>
      <w:r>
        <w:t>Nazareth</w:t>
      </w:r>
      <w:r w:rsidRPr="002C4077">
        <w:t xml:space="preserve"> </w:t>
      </w:r>
      <w:r>
        <w:t>ancienne</w:t>
      </w:r>
      <w:r w:rsidRPr="002C4077">
        <w:t xml:space="preserve"> </w:t>
      </w:r>
      <w:r>
        <w:t>était</w:t>
      </w:r>
      <w:r w:rsidRPr="002C4077">
        <w:t xml:space="preserve"> </w:t>
      </w:r>
      <w:r>
        <w:t>une</w:t>
      </w:r>
      <w:r w:rsidRPr="002C4077">
        <w:t xml:space="preserve"> </w:t>
      </w:r>
      <w:r>
        <w:t>petite</w:t>
      </w:r>
      <w:r w:rsidRPr="002C4077">
        <w:t xml:space="preserve"> </w:t>
      </w:r>
      <w:r>
        <w:t>ville</w:t>
      </w:r>
      <w:r w:rsidRPr="002C4077">
        <w:t xml:space="preserve"> </w:t>
      </w:r>
      <w:r>
        <w:t>solitaire,</w:t>
      </w:r>
      <w:r w:rsidRPr="002C4077">
        <w:t xml:space="preserve"> </w:t>
      </w:r>
      <w:r>
        <w:t>sans</w:t>
      </w:r>
      <w:r w:rsidRPr="002C4077">
        <w:t xml:space="preserve"> </w:t>
      </w:r>
      <w:r>
        <w:t>histoire</w:t>
      </w:r>
      <w:r w:rsidRPr="002C4077">
        <w:t xml:space="preserve"> </w:t>
      </w:r>
      <w:r>
        <w:t>publique,</w:t>
      </w:r>
      <w:r w:rsidRPr="002C4077">
        <w:t xml:space="preserve"> </w:t>
      </w:r>
      <w:r>
        <w:t>dont</w:t>
      </w:r>
      <w:r w:rsidRPr="002C4077">
        <w:t xml:space="preserve"> </w:t>
      </w:r>
      <w:r>
        <w:t>aucun</w:t>
      </w:r>
      <w:r w:rsidRPr="002C4077">
        <w:t xml:space="preserve"> </w:t>
      </w:r>
      <w:r>
        <w:t>poète,</w:t>
      </w:r>
      <w:r w:rsidRPr="002C4077">
        <w:t xml:space="preserve"> </w:t>
      </w:r>
      <w:r>
        <w:t>aucun</w:t>
      </w:r>
      <w:r w:rsidRPr="002C4077">
        <w:t xml:space="preserve"> </w:t>
      </w:r>
      <w:r>
        <w:t>prince,</w:t>
      </w:r>
      <w:r w:rsidRPr="002C4077">
        <w:t xml:space="preserve"> </w:t>
      </w:r>
      <w:r>
        <w:t>aucun</w:t>
      </w:r>
      <w:r w:rsidRPr="002C4077">
        <w:t xml:space="preserve"> </w:t>
      </w:r>
      <w:r>
        <w:t>historien</w:t>
      </w:r>
      <w:r w:rsidRPr="002C4077">
        <w:t xml:space="preserve"> </w:t>
      </w:r>
      <w:r>
        <w:t>d’Israël</w:t>
      </w:r>
      <w:r w:rsidRPr="002C4077">
        <w:t xml:space="preserve"> </w:t>
      </w:r>
      <w:r>
        <w:t>n’avait</w:t>
      </w:r>
      <w:r w:rsidRPr="002C4077">
        <w:t xml:space="preserve"> </w:t>
      </w:r>
      <w:r>
        <w:t>jamais</w:t>
      </w:r>
      <w:r w:rsidRPr="002C4077">
        <w:t xml:space="preserve"> </w:t>
      </w:r>
      <w:r>
        <w:t>pris</w:t>
      </w:r>
      <w:r w:rsidRPr="002C4077">
        <w:t xml:space="preserve"> </w:t>
      </w:r>
      <w:r>
        <w:t>note,</w:t>
      </w:r>
      <w:r w:rsidRPr="002C4077">
        <w:t xml:space="preserve"> </w:t>
      </w:r>
      <w:r>
        <w:t>cela</w:t>
      </w:r>
      <w:r w:rsidRPr="002C4077">
        <w:t xml:space="preserve"> </w:t>
      </w:r>
      <w:r>
        <w:t>ne</w:t>
      </w:r>
      <w:r w:rsidRPr="002C4077">
        <w:t xml:space="preserve"> </w:t>
      </w:r>
      <w:r>
        <w:t>l’empêchait</w:t>
      </w:r>
      <w:r w:rsidRPr="002C4077">
        <w:t xml:space="preserve"> </w:t>
      </w:r>
      <w:r>
        <w:t>pas</w:t>
      </w:r>
      <w:r w:rsidRPr="002C4077">
        <w:t xml:space="preserve"> </w:t>
      </w:r>
      <w:r>
        <w:t>d’être,</w:t>
      </w:r>
      <w:r w:rsidRPr="002C4077">
        <w:t xml:space="preserve"> </w:t>
      </w:r>
      <w:r w:rsidRPr="0043070A">
        <w:t>comme</w:t>
      </w:r>
      <w:r w:rsidRPr="002C4077">
        <w:t xml:space="preserve"> </w:t>
      </w:r>
      <w:r w:rsidRPr="0043070A">
        <w:t>l’</w:t>
      </w:r>
      <w:r w:rsidR="0043070A">
        <w:rPr>
          <w:rStyle w:val="italicus"/>
        </w:rPr>
        <w:t>En</w:t>
      </w:r>
      <w:r w:rsidRPr="000A34B5">
        <w:rPr>
          <w:rStyle w:val="italicus"/>
        </w:rPr>
        <w:t>-Nasira</w:t>
      </w:r>
      <w:r w:rsidR="0043070A">
        <w:rPr>
          <w:rStyle w:val="Appelnotedebasdep"/>
          <w:i/>
        </w:rPr>
        <w:footnoteReference w:id="708"/>
      </w:r>
      <w:r w:rsidRPr="002C4077">
        <w:t xml:space="preserve"> </w:t>
      </w:r>
      <w:r>
        <w:t>moderne,</w:t>
      </w:r>
      <w:r w:rsidRPr="002C4077">
        <w:t xml:space="preserve"> </w:t>
      </w:r>
      <w:r>
        <w:t>une</w:t>
      </w:r>
      <w:r w:rsidRPr="002C4077">
        <w:t xml:space="preserve"> </w:t>
      </w:r>
      <w:r>
        <w:t>bourgade</w:t>
      </w:r>
      <w:r w:rsidRPr="002C4077">
        <w:t xml:space="preserve"> </w:t>
      </w:r>
      <w:r>
        <w:t>tout</w:t>
      </w:r>
      <w:r w:rsidRPr="002C4077">
        <w:t xml:space="preserve"> </w:t>
      </w:r>
      <w:r>
        <w:t>à</w:t>
      </w:r>
      <w:r w:rsidRPr="002C4077">
        <w:t xml:space="preserve"> </w:t>
      </w:r>
      <w:r>
        <w:t>fait</w:t>
      </w:r>
      <w:r w:rsidRPr="002C4077">
        <w:t xml:space="preserve"> </w:t>
      </w:r>
      <w:r>
        <w:t>aimable.</w:t>
      </w:r>
      <w:r w:rsidRPr="002C4077">
        <w:t xml:space="preserve"> </w:t>
      </w:r>
    </w:p>
    <w:p w:rsidR="000A7AAB" w:rsidRDefault="000A7AAB" w:rsidP="000A7AAB">
      <w:r>
        <w:t>Son</w:t>
      </w:r>
      <w:r w:rsidRPr="002C4077">
        <w:t xml:space="preserve"> </w:t>
      </w:r>
      <w:r>
        <w:t>nom</w:t>
      </w:r>
      <w:r w:rsidRPr="002C4077">
        <w:t xml:space="preserve"> </w:t>
      </w:r>
      <w:r w:rsidR="00425C50">
        <w:t>est</w:t>
      </w:r>
      <w:r w:rsidRPr="002C4077">
        <w:t xml:space="preserve"> </w:t>
      </w:r>
      <w:r>
        <w:t>d’ailleurs</w:t>
      </w:r>
      <w:r w:rsidRPr="002C4077">
        <w:t xml:space="preserve"> </w:t>
      </w:r>
      <w:r>
        <w:t>une</w:t>
      </w:r>
      <w:r w:rsidRPr="002C4077">
        <w:t xml:space="preserve"> </w:t>
      </w:r>
      <w:r>
        <w:t>preuve</w:t>
      </w:r>
      <w:r w:rsidRPr="002C4077">
        <w:t xml:space="preserve"> </w:t>
      </w:r>
      <w:r>
        <w:t>vivante</w:t>
      </w:r>
      <w:r w:rsidRPr="002C4077">
        <w:t xml:space="preserve"> </w:t>
      </w:r>
      <w:r>
        <w:t>de</w:t>
      </w:r>
      <w:r w:rsidRPr="002C4077">
        <w:t xml:space="preserve"> </w:t>
      </w:r>
      <w:r>
        <w:t>sa</w:t>
      </w:r>
      <w:r w:rsidRPr="002C4077">
        <w:t xml:space="preserve"> </w:t>
      </w:r>
      <w:r>
        <w:t>bonne</w:t>
      </w:r>
      <w:r w:rsidRPr="002C4077">
        <w:t xml:space="preserve"> </w:t>
      </w:r>
      <w:r>
        <w:t>grâce</w:t>
      </w:r>
      <w:r w:rsidRPr="002C4077">
        <w:t xml:space="preserve"> </w:t>
      </w:r>
      <w:r>
        <w:t>antique.</w:t>
      </w:r>
      <w:r w:rsidRPr="002C4077">
        <w:t xml:space="preserve"> </w:t>
      </w:r>
      <w:r>
        <w:t>Laissons</w:t>
      </w:r>
      <w:r w:rsidRPr="002C4077">
        <w:t xml:space="preserve"> </w:t>
      </w:r>
      <w:r>
        <w:t>les</w:t>
      </w:r>
      <w:r w:rsidRPr="002C4077">
        <w:t xml:space="preserve"> </w:t>
      </w:r>
      <w:r>
        <w:t>savants</w:t>
      </w:r>
      <w:r w:rsidRPr="002C4077">
        <w:t xml:space="preserve"> </w:t>
      </w:r>
      <w:r>
        <w:t>se</w:t>
      </w:r>
      <w:r w:rsidRPr="002C4077">
        <w:t xml:space="preserve"> </w:t>
      </w:r>
      <w:r>
        <w:t>quereller</w:t>
      </w:r>
      <w:r w:rsidRPr="002C4077">
        <w:t xml:space="preserve"> </w:t>
      </w:r>
      <w:r>
        <w:t>pour</w:t>
      </w:r>
      <w:r w:rsidRPr="002C4077">
        <w:t xml:space="preserve"> </w:t>
      </w:r>
      <w:r>
        <w:t>savoir</w:t>
      </w:r>
      <w:r w:rsidRPr="002C4077">
        <w:t xml:space="preserve"> </w:t>
      </w:r>
      <w:r>
        <w:t>si</w:t>
      </w:r>
      <w:r w:rsidRPr="002C4077">
        <w:t xml:space="preserve"> </w:t>
      </w:r>
      <w:r>
        <w:t>la</w:t>
      </w:r>
      <w:r w:rsidRPr="002C4077">
        <w:t xml:space="preserve"> </w:t>
      </w:r>
      <w:r>
        <w:t>forme</w:t>
      </w:r>
      <w:r w:rsidRPr="002C4077">
        <w:t xml:space="preserve"> </w:t>
      </w:r>
      <w:r>
        <w:t>primitive</w:t>
      </w:r>
      <w:r w:rsidRPr="002C4077">
        <w:t xml:space="preserve"> </w:t>
      </w:r>
      <w:r>
        <w:t>de</w:t>
      </w:r>
      <w:r w:rsidRPr="002C4077">
        <w:t xml:space="preserve"> </w:t>
      </w:r>
      <w:r>
        <w:t>ce</w:t>
      </w:r>
      <w:r w:rsidRPr="002C4077">
        <w:t xml:space="preserve"> </w:t>
      </w:r>
      <w:r>
        <w:t>nom</w:t>
      </w:r>
      <w:r w:rsidRPr="002C4077">
        <w:t xml:space="preserve"> </w:t>
      </w:r>
      <w:r>
        <w:t>était</w:t>
      </w:r>
      <w:r w:rsidRPr="002C4077">
        <w:t xml:space="preserve"> </w:t>
      </w:r>
      <w:r w:rsidRPr="000A34B5">
        <w:rPr>
          <w:rStyle w:val="italicus"/>
        </w:rPr>
        <w:t>Nézer,</w:t>
      </w:r>
      <w:r w:rsidRPr="002C4077">
        <w:t xml:space="preserve"> </w:t>
      </w:r>
      <w:r>
        <w:t>les</w:t>
      </w:r>
      <w:r w:rsidRPr="002C4077">
        <w:t xml:space="preserve"> </w:t>
      </w:r>
      <w:r>
        <w:t>lettres</w:t>
      </w:r>
      <w:r w:rsidRPr="002C4077">
        <w:t xml:space="preserve"> </w:t>
      </w:r>
      <w:r w:rsidRPr="000A34B5">
        <w:rPr>
          <w:rStyle w:val="italicus"/>
        </w:rPr>
        <w:t>eth</w:t>
      </w:r>
      <w:r w:rsidRPr="002C4077">
        <w:t xml:space="preserve"> </w:t>
      </w:r>
      <w:r>
        <w:t>n’étant</w:t>
      </w:r>
      <w:r w:rsidRPr="002C4077">
        <w:t xml:space="preserve"> </w:t>
      </w:r>
      <w:r>
        <w:t>qu’une</w:t>
      </w:r>
      <w:r w:rsidRPr="002C4077">
        <w:t xml:space="preserve"> </w:t>
      </w:r>
      <w:r>
        <w:t>désinence</w:t>
      </w:r>
      <w:r w:rsidRPr="002C4077">
        <w:t xml:space="preserve"> </w:t>
      </w:r>
      <w:r>
        <w:t>ajoutée</w:t>
      </w:r>
      <w:r w:rsidRPr="002C4077">
        <w:t xml:space="preserve"> </w:t>
      </w:r>
      <w:r>
        <w:t>par</w:t>
      </w:r>
      <w:r w:rsidRPr="002C4077">
        <w:t xml:space="preserve"> </w:t>
      </w:r>
      <w:r>
        <w:t>les</w:t>
      </w:r>
      <w:r w:rsidRPr="002C4077">
        <w:t xml:space="preserve"> </w:t>
      </w:r>
      <w:r>
        <w:t>Grecs</w:t>
      </w:r>
      <w:r w:rsidR="00B91AF7">
        <w:rPr>
          <w:rStyle w:val="Appelnotedebasdep"/>
        </w:rPr>
        <w:footnoteReference w:id="709"/>
      </w:r>
      <w:r>
        <w:t>,</w:t>
      </w:r>
      <w:r w:rsidRPr="002C4077">
        <w:t xml:space="preserve"> </w:t>
      </w:r>
      <w:r>
        <w:t>ou</w:t>
      </w:r>
      <w:r w:rsidRPr="002C4077">
        <w:t xml:space="preserve"> </w:t>
      </w:r>
      <w:r>
        <w:t>s’il</w:t>
      </w:r>
      <w:r w:rsidRPr="002C4077">
        <w:t xml:space="preserve"> </w:t>
      </w:r>
      <w:r>
        <w:t>nous</w:t>
      </w:r>
      <w:r w:rsidRPr="002C4077">
        <w:t xml:space="preserve"> </w:t>
      </w:r>
      <w:r>
        <w:t>a</w:t>
      </w:r>
      <w:r w:rsidRPr="002C4077">
        <w:t xml:space="preserve"> </w:t>
      </w:r>
      <w:r>
        <w:t>été</w:t>
      </w:r>
      <w:r w:rsidRPr="002C4077">
        <w:t xml:space="preserve"> </w:t>
      </w:r>
      <w:r>
        <w:t>fidèlement</w:t>
      </w:r>
      <w:r w:rsidRPr="002C4077">
        <w:t xml:space="preserve"> </w:t>
      </w:r>
      <w:r>
        <w:t>transmis</w:t>
      </w:r>
      <w:r w:rsidRPr="002C4077">
        <w:t xml:space="preserve"> </w:t>
      </w:r>
      <w:r>
        <w:t>par</w:t>
      </w:r>
      <w:r w:rsidRPr="002C4077">
        <w:t xml:space="preserve"> </w:t>
      </w:r>
      <w:r>
        <w:t>les</w:t>
      </w:r>
      <w:r w:rsidRPr="002C4077">
        <w:t xml:space="preserve"> </w:t>
      </w:r>
      <w:r>
        <w:t>Évangiles</w:t>
      </w:r>
      <w:r w:rsidRPr="002C4077">
        <w:t xml:space="preserve"> </w:t>
      </w:r>
      <w:r>
        <w:t>avec</w:t>
      </w:r>
      <w:r w:rsidRPr="002C4077">
        <w:t xml:space="preserve"> </w:t>
      </w:r>
      <w:r>
        <w:t>sa</w:t>
      </w:r>
      <w:r w:rsidRPr="002C4077">
        <w:t xml:space="preserve"> </w:t>
      </w:r>
      <w:r>
        <w:t>prononciation</w:t>
      </w:r>
      <w:r w:rsidRPr="002C4077">
        <w:t xml:space="preserve"> </w:t>
      </w:r>
      <w:r>
        <w:t>hébraïque</w:t>
      </w:r>
      <w:r w:rsidR="00242610">
        <w:rPr>
          <w:rStyle w:val="Appelnotedebasdep"/>
        </w:rPr>
        <w:footnoteReference w:id="710"/>
      </w:r>
      <w:r w:rsidR="00B546AF">
        <w:t> ;</w:t>
      </w:r>
      <w:r w:rsidRPr="002C4077">
        <w:t xml:space="preserve"> </w:t>
      </w:r>
      <w:r>
        <w:lastRenderedPageBreak/>
        <w:t>tout</w:t>
      </w:r>
      <w:r w:rsidRPr="002C4077">
        <w:t xml:space="preserve"> </w:t>
      </w:r>
      <w:r>
        <w:t>ce</w:t>
      </w:r>
      <w:r w:rsidRPr="002C4077">
        <w:t xml:space="preserve"> </w:t>
      </w:r>
      <w:r>
        <w:t>que</w:t>
      </w:r>
      <w:r w:rsidRPr="002C4077">
        <w:t xml:space="preserve"> </w:t>
      </w:r>
      <w:r>
        <w:t>nous</w:t>
      </w:r>
      <w:r w:rsidRPr="002C4077">
        <w:t xml:space="preserve"> </w:t>
      </w:r>
      <w:r>
        <w:t>en</w:t>
      </w:r>
      <w:r w:rsidRPr="002C4077">
        <w:t xml:space="preserve"> </w:t>
      </w:r>
      <w:r>
        <w:t>voulons</w:t>
      </w:r>
      <w:r w:rsidRPr="002C4077">
        <w:t xml:space="preserve"> </w:t>
      </w:r>
      <w:r>
        <w:t>savoir,</w:t>
      </w:r>
      <w:r w:rsidRPr="002C4077">
        <w:t xml:space="preserve"> </w:t>
      </w:r>
      <w:r>
        <w:t>c’est</w:t>
      </w:r>
      <w:r w:rsidRPr="002C4077">
        <w:t xml:space="preserve"> </w:t>
      </w:r>
      <w:r>
        <w:t>qu’il</w:t>
      </w:r>
      <w:r w:rsidRPr="002C4077">
        <w:t xml:space="preserve"> </w:t>
      </w:r>
      <w:r>
        <w:t>dérive</w:t>
      </w:r>
      <w:r w:rsidRPr="002C4077">
        <w:t xml:space="preserve"> </w:t>
      </w:r>
      <w:r>
        <w:t>d’une</w:t>
      </w:r>
      <w:r w:rsidRPr="002C4077">
        <w:t xml:space="preserve"> </w:t>
      </w:r>
      <w:r>
        <w:t>racine</w:t>
      </w:r>
      <w:r w:rsidRPr="002C4077">
        <w:t xml:space="preserve"> </w:t>
      </w:r>
      <w:r>
        <w:t>qui</w:t>
      </w:r>
      <w:r w:rsidRPr="002C4077">
        <w:t xml:space="preserve"> </w:t>
      </w:r>
      <w:r>
        <w:t>signifie</w:t>
      </w:r>
      <w:r w:rsidRPr="002C4077">
        <w:t xml:space="preserve"> </w:t>
      </w:r>
      <w:r w:rsidR="00B546AF">
        <w:t>« </w:t>
      </w:r>
      <w:r>
        <w:t>fleur</w:t>
      </w:r>
      <w:r w:rsidR="00B546AF">
        <w:t> »</w:t>
      </w:r>
      <w:r w:rsidR="00B91AF7">
        <w:rPr>
          <w:rStyle w:val="Appelnotedebasdep"/>
        </w:rPr>
        <w:footnoteReference w:id="711"/>
      </w:r>
      <w:r>
        <w:t>,</w:t>
      </w:r>
      <w:r w:rsidRPr="002C4077">
        <w:t xml:space="preserve"> </w:t>
      </w:r>
      <w:r>
        <w:t>et</w:t>
      </w:r>
      <w:r w:rsidRPr="002C4077">
        <w:t xml:space="preserve"> </w:t>
      </w:r>
      <w:r>
        <w:t>que</w:t>
      </w:r>
      <w:r w:rsidRPr="002C4077">
        <w:t xml:space="preserve"> </w:t>
      </w:r>
      <w:r>
        <w:t>cette</w:t>
      </w:r>
      <w:r w:rsidRPr="002C4077">
        <w:t xml:space="preserve"> </w:t>
      </w:r>
      <w:r>
        <w:t>signification</w:t>
      </w:r>
      <w:r w:rsidRPr="002C4077">
        <w:t xml:space="preserve"> </w:t>
      </w:r>
      <w:r>
        <w:t>a</w:t>
      </w:r>
      <w:r w:rsidRPr="002C4077">
        <w:t xml:space="preserve"> </w:t>
      </w:r>
      <w:r>
        <w:t>toujours</w:t>
      </w:r>
      <w:r w:rsidRPr="002C4077">
        <w:t xml:space="preserve"> </w:t>
      </w:r>
      <w:r>
        <w:t>été</w:t>
      </w:r>
      <w:r w:rsidRPr="002C4077">
        <w:t xml:space="preserve"> </w:t>
      </w:r>
      <w:r>
        <w:t>parfaitement</w:t>
      </w:r>
      <w:r w:rsidRPr="002C4077">
        <w:t xml:space="preserve"> </w:t>
      </w:r>
      <w:r>
        <w:t>réalisée.</w:t>
      </w:r>
      <w:r w:rsidRPr="002C4077">
        <w:t xml:space="preserve"> </w:t>
      </w:r>
      <w:r w:rsidR="00B546AF">
        <w:t>« </w:t>
      </w:r>
      <w:r>
        <w:t>Nous</w:t>
      </w:r>
      <w:r w:rsidRPr="002C4077">
        <w:t xml:space="preserve"> </w:t>
      </w:r>
      <w:r>
        <w:t>irons</w:t>
      </w:r>
      <w:r w:rsidRPr="002C4077">
        <w:t xml:space="preserve"> </w:t>
      </w:r>
      <w:r>
        <w:t>à</w:t>
      </w:r>
      <w:r w:rsidRPr="002C4077">
        <w:t xml:space="preserve"> </w:t>
      </w:r>
      <w:r>
        <w:t>Nazareth,</w:t>
      </w:r>
      <w:r w:rsidRPr="002C4077">
        <w:t xml:space="preserve"> </w:t>
      </w:r>
      <w:r>
        <w:t>écrivait</w:t>
      </w:r>
      <w:r w:rsidRPr="002C4077">
        <w:t xml:space="preserve"> </w:t>
      </w:r>
      <w:r>
        <w:t>saint</w:t>
      </w:r>
      <w:r w:rsidRPr="002C4077">
        <w:t xml:space="preserve"> </w:t>
      </w:r>
      <w:r>
        <w:t>Jérôme</w:t>
      </w:r>
      <w:r w:rsidR="00B91AF7">
        <w:rPr>
          <w:rStyle w:val="Appelnotedebasdep"/>
        </w:rPr>
        <w:footnoteReference w:id="712"/>
      </w:r>
      <w:r>
        <w:t>,</w:t>
      </w:r>
      <w:r w:rsidRPr="002C4077">
        <w:t xml:space="preserve"> </w:t>
      </w:r>
      <w:r>
        <w:t>et,</w:t>
      </w:r>
      <w:r w:rsidRPr="002C4077">
        <w:t xml:space="preserve"> </w:t>
      </w:r>
      <w:r>
        <w:t>conformément</w:t>
      </w:r>
      <w:r w:rsidRPr="002C4077">
        <w:t xml:space="preserve"> </w:t>
      </w:r>
      <w:r>
        <w:t>à</w:t>
      </w:r>
      <w:r w:rsidRPr="002C4077">
        <w:t xml:space="preserve"> </w:t>
      </w:r>
      <w:r>
        <w:t>l’interprétation</w:t>
      </w:r>
      <w:r w:rsidRPr="002C4077">
        <w:t xml:space="preserve"> </w:t>
      </w:r>
      <w:r>
        <w:t>de</w:t>
      </w:r>
      <w:r w:rsidRPr="002C4077">
        <w:t xml:space="preserve"> </w:t>
      </w:r>
      <w:r>
        <w:t>son</w:t>
      </w:r>
      <w:r w:rsidRPr="002C4077">
        <w:t xml:space="preserve"> </w:t>
      </w:r>
      <w:r>
        <w:t>nom,</w:t>
      </w:r>
      <w:r w:rsidRPr="002C4077">
        <w:t xml:space="preserve"> </w:t>
      </w:r>
      <w:r>
        <w:t>nous</w:t>
      </w:r>
      <w:r w:rsidRPr="002C4077">
        <w:t xml:space="preserve"> </w:t>
      </w:r>
      <w:r>
        <w:t>verrons</w:t>
      </w:r>
      <w:r w:rsidRPr="002C4077">
        <w:t xml:space="preserve"> </w:t>
      </w:r>
      <w:r>
        <w:t>la</w:t>
      </w:r>
      <w:r w:rsidRPr="002C4077">
        <w:t xml:space="preserve"> </w:t>
      </w:r>
      <w:r w:rsidRPr="000A34B5">
        <w:rPr>
          <w:rStyle w:val="italicus"/>
        </w:rPr>
        <w:t>fleur</w:t>
      </w:r>
      <w:r w:rsidRPr="002C4077">
        <w:t xml:space="preserve"> </w:t>
      </w:r>
      <w:r>
        <w:t>de</w:t>
      </w:r>
      <w:r w:rsidRPr="002C4077">
        <w:t xml:space="preserve"> </w:t>
      </w:r>
      <w:r>
        <w:t>la</w:t>
      </w:r>
      <w:r w:rsidRPr="002C4077">
        <w:t xml:space="preserve"> </w:t>
      </w:r>
      <w:r>
        <w:t>Galilée</w:t>
      </w:r>
      <w:r w:rsidR="00B546AF">
        <w:t> »</w:t>
      </w:r>
      <w:r>
        <w:t>.</w:t>
      </w:r>
      <w:r w:rsidRPr="002C4077">
        <w:t xml:space="preserve"> </w:t>
      </w:r>
      <w:r>
        <w:t>Sanutus</w:t>
      </w:r>
      <w:r w:rsidRPr="002C4077">
        <w:t xml:space="preserve"> </w:t>
      </w:r>
      <w:r>
        <w:t>disait</w:t>
      </w:r>
      <w:r w:rsidRPr="002C4077">
        <w:t xml:space="preserve"> </w:t>
      </w:r>
      <w:r>
        <w:t>plus</w:t>
      </w:r>
      <w:r w:rsidRPr="002C4077">
        <w:t xml:space="preserve"> </w:t>
      </w:r>
      <w:r>
        <w:t>tard</w:t>
      </w:r>
      <w:r w:rsidR="00B546AF">
        <w:t> :</w:t>
      </w:r>
      <w:r w:rsidRPr="002C4077">
        <w:t xml:space="preserve"> </w:t>
      </w:r>
      <w:r w:rsidR="00B546AF">
        <w:t>« </w:t>
      </w:r>
      <w:r>
        <w:t>Voici</w:t>
      </w:r>
      <w:r w:rsidRPr="002C4077">
        <w:t xml:space="preserve"> </w:t>
      </w:r>
      <w:r>
        <w:t>cette</w:t>
      </w:r>
      <w:r w:rsidRPr="002C4077">
        <w:t xml:space="preserve"> </w:t>
      </w:r>
      <w:r>
        <w:t>charmante</w:t>
      </w:r>
      <w:r w:rsidRPr="002C4077">
        <w:t xml:space="preserve"> </w:t>
      </w:r>
      <w:r>
        <w:t>cité</w:t>
      </w:r>
      <w:r w:rsidRPr="002C4077">
        <w:t xml:space="preserve"> </w:t>
      </w:r>
      <w:r>
        <w:t>de</w:t>
      </w:r>
      <w:r w:rsidRPr="002C4077">
        <w:t xml:space="preserve"> </w:t>
      </w:r>
      <w:r>
        <w:t>Nazareth,</w:t>
      </w:r>
      <w:r w:rsidRPr="002C4077">
        <w:t xml:space="preserve"> </w:t>
      </w:r>
      <w:r>
        <w:t>qui</w:t>
      </w:r>
      <w:r w:rsidRPr="002C4077">
        <w:t xml:space="preserve"> </w:t>
      </w:r>
      <w:r>
        <w:t>veut</w:t>
      </w:r>
      <w:r w:rsidRPr="002C4077">
        <w:t xml:space="preserve"> </w:t>
      </w:r>
      <w:r>
        <w:t>dire</w:t>
      </w:r>
      <w:r w:rsidRPr="002C4077">
        <w:t xml:space="preserve"> </w:t>
      </w:r>
      <w:r w:rsidRPr="000A34B5">
        <w:rPr>
          <w:rStyle w:val="italicus"/>
        </w:rPr>
        <w:t>la</w:t>
      </w:r>
      <w:r w:rsidRPr="002C4077">
        <w:t xml:space="preserve"> </w:t>
      </w:r>
      <w:r w:rsidRPr="000A34B5">
        <w:rPr>
          <w:rStyle w:val="italicus"/>
        </w:rPr>
        <w:t>fleurie</w:t>
      </w:r>
      <w:r w:rsidR="00B546AF">
        <w:rPr>
          <w:rStyle w:val="italicus"/>
        </w:rPr>
        <w:t> </w:t>
      </w:r>
      <w:r w:rsidR="00B546AF" w:rsidRPr="000A34B5">
        <w:rPr>
          <w:rStyle w:val="italicus"/>
        </w:rPr>
        <w:t>;</w:t>
      </w:r>
      <w:r w:rsidR="00C45B47">
        <w:t xml:space="preserve"> {</w:t>
      </w:r>
      <w:r w:rsidR="001F5257">
        <w:t>212</w:t>
      </w:r>
      <w:bookmarkStart w:id="526" w:name="p212"/>
      <w:bookmarkEnd w:id="526"/>
      <w:r w:rsidR="001F5257">
        <w:t xml:space="preserve">} </w:t>
      </w:r>
      <w:r>
        <w:t>en</w:t>
      </w:r>
      <w:r w:rsidRPr="002C4077">
        <w:t xml:space="preserve"> </w:t>
      </w:r>
      <w:r>
        <w:t>elle</w:t>
      </w:r>
      <w:r w:rsidRPr="002C4077">
        <w:t xml:space="preserve"> </w:t>
      </w:r>
      <w:r w:rsidR="00425C50">
        <w:t>est</w:t>
      </w:r>
      <w:r w:rsidRPr="002C4077">
        <w:t xml:space="preserve"> </w:t>
      </w:r>
      <w:r>
        <w:t>née</w:t>
      </w:r>
      <w:r w:rsidRPr="002C4077">
        <w:t xml:space="preserve"> </w:t>
      </w:r>
      <w:r>
        <w:t>la</w:t>
      </w:r>
      <w:r w:rsidRPr="002C4077">
        <w:t xml:space="preserve"> </w:t>
      </w:r>
      <w:r>
        <w:t>fleur</w:t>
      </w:r>
      <w:r w:rsidRPr="002C4077">
        <w:t xml:space="preserve"> </w:t>
      </w:r>
      <w:r>
        <w:t>des</w:t>
      </w:r>
      <w:r w:rsidRPr="002C4077">
        <w:t xml:space="preserve"> </w:t>
      </w:r>
      <w:r>
        <w:t>champs,</w:t>
      </w:r>
      <w:r w:rsidRPr="002C4077">
        <w:t xml:space="preserve"> </w:t>
      </w:r>
      <w:r>
        <w:t>lorsque</w:t>
      </w:r>
      <w:r w:rsidRPr="002C4077">
        <w:t xml:space="preserve"> </w:t>
      </w:r>
      <w:r>
        <w:t>le</w:t>
      </w:r>
      <w:r w:rsidRPr="002C4077">
        <w:t xml:space="preserve"> </w:t>
      </w:r>
      <w:r w:rsidR="007B3C26">
        <w:t>Ve</w:t>
      </w:r>
      <w:r>
        <w:t>rbe</w:t>
      </w:r>
      <w:r w:rsidRPr="002C4077">
        <w:t xml:space="preserve"> </w:t>
      </w:r>
      <w:r>
        <w:t>s’est</w:t>
      </w:r>
      <w:r w:rsidRPr="002C4077">
        <w:t xml:space="preserve"> </w:t>
      </w:r>
      <w:r>
        <w:t>fait</w:t>
      </w:r>
      <w:r w:rsidRPr="002C4077">
        <w:t xml:space="preserve"> </w:t>
      </w:r>
      <w:r>
        <w:t>chair</w:t>
      </w:r>
      <w:r w:rsidRPr="002C4077">
        <w:t xml:space="preserve"> </w:t>
      </w:r>
      <w:r>
        <w:t>dans</w:t>
      </w:r>
      <w:r w:rsidRPr="002C4077">
        <w:t xml:space="preserve"> </w:t>
      </w:r>
      <w:r>
        <w:t>le</w:t>
      </w:r>
      <w:r w:rsidRPr="002C4077">
        <w:t xml:space="preserve"> </w:t>
      </w:r>
      <w:r>
        <w:t>sein</w:t>
      </w:r>
      <w:r w:rsidRPr="002C4077">
        <w:t xml:space="preserve"> </w:t>
      </w:r>
      <w:r>
        <w:t>d’une</w:t>
      </w:r>
      <w:r w:rsidRPr="002C4077">
        <w:t xml:space="preserve"> </w:t>
      </w:r>
      <w:r>
        <w:t>vierge</w:t>
      </w:r>
      <w:r w:rsidR="00B91AF7">
        <w:rPr>
          <w:rStyle w:val="Appelnotedebasdep"/>
        </w:rPr>
        <w:footnoteReference w:id="713"/>
      </w:r>
      <w:r w:rsidR="00B546AF">
        <w:t> »</w:t>
      </w:r>
      <w:r w:rsidR="00B91AF7">
        <w:t>.</w:t>
      </w:r>
      <w:r w:rsidRPr="002C4077">
        <w:t xml:space="preserve"> </w:t>
      </w:r>
      <w:r>
        <w:t>De</w:t>
      </w:r>
      <w:r w:rsidRPr="002C4077">
        <w:t xml:space="preserve"> </w:t>
      </w:r>
      <w:r>
        <w:t>même</w:t>
      </w:r>
      <w:r w:rsidRPr="002C4077">
        <w:t xml:space="preserve"> </w:t>
      </w:r>
      <w:r>
        <w:t>Quar</w:t>
      </w:r>
      <w:r w:rsidR="0043070A">
        <w:t>e</w:t>
      </w:r>
      <w:r w:rsidR="003B53FD">
        <w:t>smius</w:t>
      </w:r>
      <w:r w:rsidR="00B546AF">
        <w:t> :</w:t>
      </w:r>
      <w:r w:rsidRPr="002C4077">
        <w:t xml:space="preserve"> </w:t>
      </w:r>
      <w:r w:rsidR="00B546AF">
        <w:t>« </w:t>
      </w:r>
      <w:r>
        <w:t>Nazareth</w:t>
      </w:r>
      <w:r w:rsidRPr="002C4077">
        <w:t xml:space="preserve"> </w:t>
      </w:r>
      <w:r w:rsidR="00425C50">
        <w:t>est</w:t>
      </w:r>
      <w:r w:rsidRPr="002C4077">
        <w:t xml:space="preserve"> </w:t>
      </w:r>
      <w:r>
        <w:t>une</w:t>
      </w:r>
      <w:r w:rsidRPr="002C4077">
        <w:t xml:space="preserve"> </w:t>
      </w:r>
      <w:r>
        <w:t>rose,</w:t>
      </w:r>
      <w:r w:rsidRPr="002C4077">
        <w:t xml:space="preserve"> </w:t>
      </w:r>
      <w:r>
        <w:t>et,</w:t>
      </w:r>
      <w:r w:rsidRPr="002C4077">
        <w:t xml:space="preserve"> </w:t>
      </w:r>
      <w:r>
        <w:t>comme</w:t>
      </w:r>
      <w:r w:rsidRPr="002C4077">
        <w:t xml:space="preserve"> </w:t>
      </w:r>
      <w:r>
        <w:t>une</w:t>
      </w:r>
      <w:r w:rsidRPr="002C4077">
        <w:t xml:space="preserve"> </w:t>
      </w:r>
      <w:r>
        <w:t>rose</w:t>
      </w:r>
      <w:r w:rsidRPr="002C4077">
        <w:t xml:space="preserve"> </w:t>
      </w:r>
      <w:r>
        <w:t>à</w:t>
      </w:r>
      <w:r w:rsidRPr="002C4077">
        <w:t xml:space="preserve"> </w:t>
      </w:r>
      <w:r>
        <w:t>la</w:t>
      </w:r>
      <w:r w:rsidRPr="002C4077">
        <w:t xml:space="preserve"> </w:t>
      </w:r>
      <w:r>
        <w:t>forme</w:t>
      </w:r>
      <w:r w:rsidRPr="002C4077">
        <w:t xml:space="preserve"> </w:t>
      </w:r>
      <w:r>
        <w:t>arrondie,</w:t>
      </w:r>
      <w:r w:rsidRPr="002C4077">
        <w:t xml:space="preserve"> </w:t>
      </w:r>
      <w:r>
        <w:t>elle</w:t>
      </w:r>
      <w:r w:rsidRPr="002C4077">
        <w:t xml:space="preserve"> </w:t>
      </w:r>
      <w:r w:rsidR="00425C50">
        <w:t>est</w:t>
      </w:r>
      <w:r w:rsidRPr="002C4077">
        <w:t xml:space="preserve"> </w:t>
      </w:r>
      <w:r>
        <w:t>entourée</w:t>
      </w:r>
      <w:r w:rsidRPr="002C4077">
        <w:t xml:space="preserve"> </w:t>
      </w:r>
      <w:r>
        <w:t>de</w:t>
      </w:r>
      <w:r w:rsidRPr="002C4077">
        <w:t xml:space="preserve"> </w:t>
      </w:r>
      <w:r>
        <w:t>montagnes,</w:t>
      </w:r>
      <w:r w:rsidRPr="002C4077">
        <w:t xml:space="preserve"> </w:t>
      </w:r>
      <w:r>
        <w:t>de</w:t>
      </w:r>
      <w:r w:rsidRPr="002C4077">
        <w:t xml:space="preserve"> </w:t>
      </w:r>
      <w:r>
        <w:t>même</w:t>
      </w:r>
      <w:r w:rsidRPr="002C4077">
        <w:t xml:space="preserve"> </w:t>
      </w:r>
      <w:r>
        <w:t>qu’une</w:t>
      </w:r>
      <w:r w:rsidRPr="002C4077">
        <w:t xml:space="preserve"> </w:t>
      </w:r>
      <w:r>
        <w:t>rose</w:t>
      </w:r>
      <w:r w:rsidRPr="002C4077">
        <w:t xml:space="preserve"> </w:t>
      </w:r>
      <w:r>
        <w:t>l’est</w:t>
      </w:r>
      <w:r w:rsidRPr="002C4077">
        <w:t xml:space="preserve"> </w:t>
      </w:r>
      <w:r>
        <w:t>de</w:t>
      </w:r>
      <w:r w:rsidRPr="002C4077">
        <w:t xml:space="preserve"> </w:t>
      </w:r>
      <w:r>
        <w:t>ses</w:t>
      </w:r>
      <w:r w:rsidRPr="002C4077">
        <w:t xml:space="preserve"> </w:t>
      </w:r>
      <w:r>
        <w:t>feuilles</w:t>
      </w:r>
      <w:r w:rsidR="00B546AF">
        <w:t> »</w:t>
      </w:r>
      <w:r>
        <w:t>.</w:t>
      </w:r>
      <w:r w:rsidRPr="002C4077">
        <w:t xml:space="preserve"> </w:t>
      </w:r>
    </w:p>
    <w:p w:rsidR="000A7AAB" w:rsidRPr="001F5257" w:rsidRDefault="000A7AAB" w:rsidP="000A7AAB">
      <w:r>
        <w:t>Et</w:t>
      </w:r>
      <w:r w:rsidRPr="002C4077">
        <w:t xml:space="preserve"> </w:t>
      </w:r>
      <w:r>
        <w:t>en</w:t>
      </w:r>
      <w:r w:rsidRPr="002C4077">
        <w:t xml:space="preserve"> </w:t>
      </w:r>
      <w:r>
        <w:t>effet,</w:t>
      </w:r>
      <w:r w:rsidRPr="002C4077">
        <w:t xml:space="preserve"> </w:t>
      </w:r>
      <w:r>
        <w:t>quand</w:t>
      </w:r>
      <w:r w:rsidRPr="002C4077">
        <w:t xml:space="preserve"> </w:t>
      </w:r>
      <w:r>
        <w:t>vous</w:t>
      </w:r>
      <w:r w:rsidRPr="002C4077">
        <w:t xml:space="preserve"> </w:t>
      </w:r>
      <w:r>
        <w:t>regardez</w:t>
      </w:r>
      <w:r w:rsidRPr="002C4077">
        <w:t xml:space="preserve"> </w:t>
      </w:r>
      <w:r>
        <w:t>En-Nasira</w:t>
      </w:r>
      <w:r w:rsidRPr="002C4077">
        <w:t xml:space="preserve"> </w:t>
      </w:r>
      <w:r>
        <w:t>du</w:t>
      </w:r>
      <w:r w:rsidRPr="002C4077">
        <w:t xml:space="preserve"> </w:t>
      </w:r>
      <w:r>
        <w:t>haut</w:t>
      </w:r>
      <w:r w:rsidRPr="002C4077">
        <w:t xml:space="preserve"> </w:t>
      </w:r>
      <w:r>
        <w:t>des</w:t>
      </w:r>
      <w:r w:rsidRPr="002C4077">
        <w:t xml:space="preserve"> </w:t>
      </w:r>
      <w:r>
        <w:t>seize</w:t>
      </w:r>
      <w:r w:rsidRPr="002C4077">
        <w:t xml:space="preserve"> </w:t>
      </w:r>
      <w:r>
        <w:t>collines</w:t>
      </w:r>
      <w:r w:rsidRPr="002C4077">
        <w:t xml:space="preserve"> </w:t>
      </w:r>
      <w:r>
        <w:t>qui</w:t>
      </w:r>
      <w:r w:rsidRPr="002C4077">
        <w:t xml:space="preserve"> </w:t>
      </w:r>
      <w:r>
        <w:t>la</w:t>
      </w:r>
      <w:r w:rsidRPr="002C4077">
        <w:t xml:space="preserve"> </w:t>
      </w:r>
      <w:r>
        <w:t>dominent,</w:t>
      </w:r>
      <w:r w:rsidRPr="002C4077">
        <w:t xml:space="preserve"> </w:t>
      </w:r>
      <w:r>
        <w:t>avec</w:t>
      </w:r>
      <w:r w:rsidRPr="002C4077">
        <w:t xml:space="preserve"> </w:t>
      </w:r>
      <w:r>
        <w:t>ses</w:t>
      </w:r>
      <w:r w:rsidRPr="002C4077">
        <w:t xml:space="preserve"> </w:t>
      </w:r>
      <w:r>
        <w:t>maisons</w:t>
      </w:r>
      <w:r w:rsidRPr="002C4077">
        <w:t xml:space="preserve"> </w:t>
      </w:r>
      <w:r>
        <w:t>éblouissantes</w:t>
      </w:r>
      <w:r w:rsidRPr="002C4077">
        <w:t xml:space="preserve"> </w:t>
      </w:r>
      <w:r>
        <w:t>de</w:t>
      </w:r>
      <w:r w:rsidRPr="002C4077">
        <w:t xml:space="preserve"> </w:t>
      </w:r>
      <w:r>
        <w:t>blancheur,</w:t>
      </w:r>
      <w:r w:rsidRPr="002C4077">
        <w:t xml:space="preserve"> </w:t>
      </w:r>
      <w:r>
        <w:t>son</w:t>
      </w:r>
      <w:r w:rsidRPr="002C4077">
        <w:t xml:space="preserve"> </w:t>
      </w:r>
      <w:r>
        <w:t>sol</w:t>
      </w:r>
      <w:r w:rsidRPr="002C4077">
        <w:t xml:space="preserve"> </w:t>
      </w:r>
      <w:r>
        <w:t>crayeux,</w:t>
      </w:r>
      <w:r w:rsidRPr="002C4077">
        <w:t xml:space="preserve"> </w:t>
      </w:r>
      <w:r>
        <w:t>les</w:t>
      </w:r>
      <w:r w:rsidRPr="002C4077">
        <w:t xml:space="preserve"> </w:t>
      </w:r>
      <w:r>
        <w:t>arbres</w:t>
      </w:r>
      <w:r w:rsidRPr="002C4077">
        <w:t xml:space="preserve"> </w:t>
      </w:r>
      <w:r>
        <w:t>verdoyants</w:t>
      </w:r>
      <w:r w:rsidRPr="002C4077">
        <w:t xml:space="preserve"> </w:t>
      </w:r>
      <w:r>
        <w:t>qui</w:t>
      </w:r>
      <w:r w:rsidRPr="002C4077">
        <w:t xml:space="preserve"> </w:t>
      </w:r>
      <w:r>
        <w:t>l’environnent</w:t>
      </w:r>
      <w:r w:rsidRPr="002C4077">
        <w:t xml:space="preserve"> </w:t>
      </w:r>
      <w:r>
        <w:t>de</w:t>
      </w:r>
      <w:r w:rsidRPr="002C4077">
        <w:t xml:space="preserve"> </w:t>
      </w:r>
      <w:r>
        <w:t>toutes</w:t>
      </w:r>
      <w:r w:rsidRPr="002C4077">
        <w:t xml:space="preserve"> </w:t>
      </w:r>
      <w:r>
        <w:t>parts,</w:t>
      </w:r>
      <w:r w:rsidRPr="002C4077">
        <w:t xml:space="preserve"> </w:t>
      </w:r>
      <w:r>
        <w:t>ne</w:t>
      </w:r>
      <w:r w:rsidRPr="002C4077">
        <w:t xml:space="preserve"> </w:t>
      </w:r>
      <w:r>
        <w:t>re</w:t>
      </w:r>
      <w:r w:rsidR="001730C6">
        <w:t>ss</w:t>
      </w:r>
      <w:r>
        <w:t>emble-t-elle</w:t>
      </w:r>
      <w:r w:rsidRPr="002C4077">
        <w:t xml:space="preserve"> </w:t>
      </w:r>
      <w:r>
        <w:t>pas</w:t>
      </w:r>
      <w:r w:rsidRPr="002C4077">
        <w:t xml:space="preserve"> </w:t>
      </w:r>
      <w:r>
        <w:t>à</w:t>
      </w:r>
      <w:r w:rsidRPr="002C4077">
        <w:t xml:space="preserve"> </w:t>
      </w:r>
      <w:r>
        <w:t>une</w:t>
      </w:r>
      <w:r w:rsidRPr="002C4077">
        <w:t xml:space="preserve"> </w:t>
      </w:r>
      <w:r>
        <w:t>belle</w:t>
      </w:r>
      <w:r w:rsidRPr="002C4077">
        <w:t xml:space="preserve"> </w:t>
      </w:r>
      <w:r>
        <w:t>rose</w:t>
      </w:r>
      <w:r w:rsidRPr="002C4077">
        <w:t xml:space="preserve"> </w:t>
      </w:r>
      <w:r>
        <w:t>blanche,</w:t>
      </w:r>
      <w:r w:rsidRPr="002C4077">
        <w:t xml:space="preserve"> </w:t>
      </w:r>
      <w:r>
        <w:t>qui,</w:t>
      </w:r>
      <w:r w:rsidRPr="002C4077">
        <w:t xml:space="preserve"> </w:t>
      </w:r>
      <w:r>
        <w:t>pour</w:t>
      </w:r>
      <w:r w:rsidRPr="002C4077">
        <w:t xml:space="preserve"> </w:t>
      </w:r>
      <w:r>
        <w:t>emprunter</w:t>
      </w:r>
      <w:r w:rsidRPr="002C4077">
        <w:t xml:space="preserve"> </w:t>
      </w:r>
      <w:r>
        <w:t>encore</w:t>
      </w:r>
      <w:r w:rsidRPr="002C4077">
        <w:t xml:space="preserve"> </w:t>
      </w:r>
      <w:r>
        <w:t>un</w:t>
      </w:r>
      <w:r w:rsidRPr="002C4077">
        <w:t xml:space="preserve"> </w:t>
      </w:r>
      <w:r>
        <w:t>mot</w:t>
      </w:r>
      <w:r w:rsidRPr="002C4077">
        <w:t xml:space="preserve"> </w:t>
      </w:r>
      <w:r>
        <w:t>à</w:t>
      </w:r>
      <w:r w:rsidRPr="002C4077">
        <w:t xml:space="preserve"> </w:t>
      </w:r>
      <w:r>
        <w:t>saint</w:t>
      </w:r>
      <w:r w:rsidRPr="002C4077">
        <w:t xml:space="preserve"> </w:t>
      </w:r>
      <w:r>
        <w:t>Jérôme,</w:t>
      </w:r>
      <w:r w:rsidRPr="002C4077">
        <w:t xml:space="preserve"> </w:t>
      </w:r>
      <w:r>
        <w:t>ouvre</w:t>
      </w:r>
      <w:r w:rsidRPr="002C4077">
        <w:t xml:space="preserve"> </w:t>
      </w:r>
      <w:r>
        <w:t>délicatement</w:t>
      </w:r>
      <w:r w:rsidRPr="002C4077">
        <w:t xml:space="preserve"> </w:t>
      </w:r>
      <w:r>
        <w:t>sa</w:t>
      </w:r>
      <w:r w:rsidRPr="002C4077">
        <w:t xml:space="preserve"> </w:t>
      </w:r>
      <w:r>
        <w:t>corolle</w:t>
      </w:r>
      <w:r w:rsidR="00B546AF">
        <w:t> ?</w:t>
      </w:r>
      <w:r w:rsidRPr="002C4077">
        <w:t xml:space="preserve"> </w:t>
      </w:r>
      <w:r>
        <w:t>C’est</w:t>
      </w:r>
      <w:r w:rsidRPr="002C4077">
        <w:t xml:space="preserve"> </w:t>
      </w:r>
      <w:r>
        <w:t>pour</w:t>
      </w:r>
      <w:r w:rsidRPr="002C4077">
        <w:t xml:space="preserve"> </w:t>
      </w:r>
      <w:r>
        <w:t>cela</w:t>
      </w:r>
      <w:r w:rsidRPr="002C4077">
        <w:t xml:space="preserve"> </w:t>
      </w:r>
      <w:r>
        <w:t>que</w:t>
      </w:r>
      <w:r w:rsidRPr="002C4077">
        <w:t xml:space="preserve"> </w:t>
      </w:r>
      <w:r>
        <w:t>les</w:t>
      </w:r>
      <w:r w:rsidRPr="002C4077">
        <w:t xml:space="preserve"> </w:t>
      </w:r>
      <w:r w:rsidR="003B53FD">
        <w:t>Arabes</w:t>
      </w:r>
      <w:r w:rsidRPr="002C4077">
        <w:t xml:space="preserve"> </w:t>
      </w:r>
      <w:r>
        <w:t>l’ont</w:t>
      </w:r>
      <w:r w:rsidRPr="002C4077">
        <w:t xml:space="preserve"> </w:t>
      </w:r>
      <w:r>
        <w:t>parfois</w:t>
      </w:r>
      <w:r w:rsidRPr="002C4077">
        <w:t xml:space="preserve"> </w:t>
      </w:r>
      <w:r>
        <w:t>nommée</w:t>
      </w:r>
      <w:r w:rsidRPr="002C4077">
        <w:t xml:space="preserve"> </w:t>
      </w:r>
      <w:r w:rsidRPr="000A34B5">
        <w:rPr>
          <w:rStyle w:val="italicus"/>
        </w:rPr>
        <w:t>Medina-Abiat,</w:t>
      </w:r>
      <w:r w:rsidRPr="002C4077">
        <w:t xml:space="preserve"> </w:t>
      </w:r>
      <w:r w:rsidR="00B546AF">
        <w:t>« </w:t>
      </w:r>
      <w:r>
        <w:t>blanche</w:t>
      </w:r>
      <w:r w:rsidRPr="002C4077">
        <w:t xml:space="preserve"> </w:t>
      </w:r>
      <w:r>
        <w:t>ville</w:t>
      </w:r>
      <w:r w:rsidR="00B546AF">
        <w:t> »</w:t>
      </w:r>
      <w:r>
        <w:t>,</w:t>
      </w:r>
      <w:r w:rsidRPr="002C4077">
        <w:t xml:space="preserve"> </w:t>
      </w:r>
      <w:r>
        <w:t>parce</w:t>
      </w:r>
      <w:r w:rsidRPr="002C4077">
        <w:t xml:space="preserve"> </w:t>
      </w:r>
      <w:r>
        <w:t>que,</w:t>
      </w:r>
      <w:r w:rsidRPr="002C4077">
        <w:t xml:space="preserve"> </w:t>
      </w:r>
      <w:r>
        <w:t>ajoute</w:t>
      </w:r>
      <w:r w:rsidRPr="002C4077">
        <w:t xml:space="preserve"> </w:t>
      </w:r>
      <w:r w:rsidR="0043070A">
        <w:t>Quaresmius</w:t>
      </w:r>
      <w:r w:rsidR="00B91AF7">
        <w:rPr>
          <w:rStyle w:val="Appelnotedebasdep"/>
        </w:rPr>
        <w:footnoteReference w:id="714"/>
      </w:r>
      <w:r>
        <w:t>,</w:t>
      </w:r>
      <w:r w:rsidRPr="002C4077">
        <w:t xml:space="preserve"> </w:t>
      </w:r>
      <w:r>
        <w:t>des</w:t>
      </w:r>
      <w:r w:rsidRPr="002C4077">
        <w:t xml:space="preserve"> </w:t>
      </w:r>
      <w:r>
        <w:t>montagnes</w:t>
      </w:r>
      <w:r w:rsidRPr="002C4077">
        <w:t xml:space="preserve"> </w:t>
      </w:r>
      <w:r>
        <w:t>blanches</w:t>
      </w:r>
      <w:r w:rsidRPr="002C4077">
        <w:t xml:space="preserve"> </w:t>
      </w:r>
      <w:r>
        <w:t>la</w:t>
      </w:r>
      <w:r w:rsidRPr="002C4077">
        <w:t xml:space="preserve"> </w:t>
      </w:r>
      <w:r>
        <w:t>ceignent</w:t>
      </w:r>
      <w:r w:rsidRPr="002C4077">
        <w:t xml:space="preserve"> </w:t>
      </w:r>
      <w:r>
        <w:t>de</w:t>
      </w:r>
      <w:r w:rsidRPr="002C4077">
        <w:t xml:space="preserve"> </w:t>
      </w:r>
      <w:r>
        <w:t>tous</w:t>
      </w:r>
      <w:r w:rsidRPr="002C4077">
        <w:t xml:space="preserve"> </w:t>
      </w:r>
      <w:r>
        <w:t>côtés.</w:t>
      </w:r>
      <w:r w:rsidRPr="002C4077">
        <w:t xml:space="preserve"> </w:t>
      </w:r>
      <w:r>
        <w:t>Et</w:t>
      </w:r>
      <w:r w:rsidRPr="002C4077">
        <w:t xml:space="preserve"> </w:t>
      </w:r>
      <w:r>
        <w:t>non-seulement</w:t>
      </w:r>
      <w:r w:rsidRPr="002C4077">
        <w:t xml:space="preserve"> </w:t>
      </w:r>
      <w:r>
        <w:t>Nazareth</w:t>
      </w:r>
      <w:r w:rsidRPr="002C4077">
        <w:t xml:space="preserve"> </w:t>
      </w:r>
      <w:r w:rsidR="00425C50">
        <w:t>est</w:t>
      </w:r>
      <w:r w:rsidRPr="002C4077">
        <w:t xml:space="preserve"> </w:t>
      </w:r>
      <w:r>
        <w:t>une</w:t>
      </w:r>
      <w:r w:rsidRPr="002C4077">
        <w:t xml:space="preserve"> </w:t>
      </w:r>
      <w:r>
        <w:t>fleur,</w:t>
      </w:r>
      <w:r w:rsidRPr="002C4077">
        <w:t xml:space="preserve"> </w:t>
      </w:r>
      <w:r>
        <w:t>mais</w:t>
      </w:r>
      <w:r w:rsidRPr="002C4077">
        <w:t xml:space="preserve"> </w:t>
      </w:r>
      <w:r>
        <w:t>elle</w:t>
      </w:r>
      <w:r w:rsidRPr="002C4077">
        <w:t xml:space="preserve"> </w:t>
      </w:r>
      <w:r>
        <w:t>a</w:t>
      </w:r>
      <w:r w:rsidRPr="002C4077">
        <w:t xml:space="preserve"> </w:t>
      </w:r>
      <w:r>
        <w:t>toujours</w:t>
      </w:r>
      <w:r w:rsidRPr="002C4077">
        <w:t xml:space="preserve"> </w:t>
      </w:r>
      <w:r>
        <w:t>été</w:t>
      </w:r>
      <w:r w:rsidRPr="002C4077">
        <w:t xml:space="preserve"> </w:t>
      </w:r>
      <w:r>
        <w:t>le</w:t>
      </w:r>
      <w:r w:rsidRPr="002C4077">
        <w:t xml:space="preserve"> </w:t>
      </w:r>
      <w:r>
        <w:t>pays</w:t>
      </w:r>
      <w:r w:rsidRPr="002C4077">
        <w:t xml:space="preserve"> </w:t>
      </w:r>
      <w:r>
        <w:t>des</w:t>
      </w:r>
      <w:r w:rsidRPr="002C4077">
        <w:t xml:space="preserve"> </w:t>
      </w:r>
      <w:r>
        <w:t>fleur</w:t>
      </w:r>
      <w:r w:rsidR="004377BC">
        <w:t>s</w:t>
      </w:r>
      <w:r w:rsidR="004377BC">
        <w:rPr>
          <w:rStyle w:val="Appelnotedebasdep"/>
        </w:rPr>
        <w:footnoteReference w:id="715"/>
      </w:r>
      <w:r>
        <w:t>.</w:t>
      </w:r>
      <w:r w:rsidRPr="002C4077">
        <w:t xml:space="preserve"> </w:t>
      </w:r>
      <w:r>
        <w:t>Voyez</w:t>
      </w:r>
      <w:r w:rsidRPr="002C4077">
        <w:t xml:space="preserve"> </w:t>
      </w:r>
      <w:r>
        <w:t>ces</w:t>
      </w:r>
      <w:r w:rsidRPr="002C4077">
        <w:t xml:space="preserve"> </w:t>
      </w:r>
      <w:r>
        <w:t>marguerites,</w:t>
      </w:r>
      <w:r w:rsidRPr="002C4077">
        <w:t xml:space="preserve"> </w:t>
      </w:r>
      <w:r>
        <w:t>ces</w:t>
      </w:r>
      <w:r w:rsidRPr="002C4077">
        <w:t xml:space="preserve"> </w:t>
      </w:r>
      <w:r>
        <w:t>tulipes,</w:t>
      </w:r>
      <w:r w:rsidRPr="002C4077">
        <w:t xml:space="preserve"> </w:t>
      </w:r>
      <w:r>
        <w:t>ces</w:t>
      </w:r>
      <w:r w:rsidRPr="002C4077">
        <w:t xml:space="preserve"> </w:t>
      </w:r>
      <w:r>
        <w:t>anémones,</w:t>
      </w:r>
      <w:r w:rsidRPr="002C4077">
        <w:t xml:space="preserve"> </w:t>
      </w:r>
      <w:r>
        <w:t>ces</w:t>
      </w:r>
      <w:r w:rsidRPr="002C4077">
        <w:t xml:space="preserve"> </w:t>
      </w:r>
      <w:r>
        <w:t>roses</w:t>
      </w:r>
      <w:r w:rsidRPr="002C4077">
        <w:t xml:space="preserve"> </w:t>
      </w:r>
      <w:r>
        <w:t>trémières,</w:t>
      </w:r>
      <w:r w:rsidRPr="002C4077">
        <w:t xml:space="preserve"> </w:t>
      </w:r>
      <w:r>
        <w:t>ces</w:t>
      </w:r>
      <w:r w:rsidRPr="002C4077">
        <w:t xml:space="preserve"> </w:t>
      </w:r>
      <w:r>
        <w:t>lis</w:t>
      </w:r>
      <w:r w:rsidRPr="002C4077">
        <w:t xml:space="preserve"> </w:t>
      </w:r>
      <w:r>
        <w:t>à</w:t>
      </w:r>
      <w:r w:rsidRPr="002C4077">
        <w:t xml:space="preserve"> </w:t>
      </w:r>
      <w:r>
        <w:t>travers</w:t>
      </w:r>
      <w:r w:rsidRPr="002C4077">
        <w:t xml:space="preserve"> </w:t>
      </w:r>
      <w:r>
        <w:t>champs</w:t>
      </w:r>
      <w:r w:rsidR="00B546AF">
        <w:t> !</w:t>
      </w:r>
      <w:r w:rsidRPr="002C4077">
        <w:t xml:space="preserve"> </w:t>
      </w:r>
      <w:r>
        <w:t>quelle</w:t>
      </w:r>
      <w:r w:rsidRPr="002C4077">
        <w:t xml:space="preserve"> </w:t>
      </w:r>
      <w:r>
        <w:t>profusion</w:t>
      </w:r>
      <w:r w:rsidR="00B546AF">
        <w:t> !</w:t>
      </w:r>
      <w:r w:rsidRPr="002C4077">
        <w:t xml:space="preserve"> </w:t>
      </w:r>
      <w:r>
        <w:t>quelles</w:t>
      </w:r>
      <w:r w:rsidRPr="002C4077">
        <w:t xml:space="preserve"> </w:t>
      </w:r>
      <w:r>
        <w:t>couleurs</w:t>
      </w:r>
      <w:r w:rsidRPr="002C4077">
        <w:t xml:space="preserve"> </w:t>
      </w:r>
      <w:r>
        <w:t>éclatantes</w:t>
      </w:r>
      <w:r w:rsidR="00B546AF">
        <w:t> !</w:t>
      </w:r>
      <w:r w:rsidRPr="002C4077">
        <w:t xml:space="preserve"> </w:t>
      </w:r>
      <w:r>
        <w:t>Comme</w:t>
      </w:r>
      <w:r w:rsidRPr="002C4077">
        <w:t xml:space="preserve"> </w:t>
      </w:r>
      <w:r>
        <w:t>nos</w:t>
      </w:r>
      <w:r w:rsidRPr="002C4077">
        <w:t xml:space="preserve"> </w:t>
      </w:r>
      <w:r>
        <w:t>enfants</w:t>
      </w:r>
      <w:r w:rsidRPr="002C4077">
        <w:t xml:space="preserve"> </w:t>
      </w:r>
      <w:r>
        <w:t>au</w:t>
      </w:r>
      <w:r w:rsidRPr="002C4077">
        <w:t xml:space="preserve"> </w:t>
      </w:r>
      <w:r>
        <w:t>mois</w:t>
      </w:r>
      <w:r w:rsidRPr="002C4077">
        <w:t xml:space="preserve"> </w:t>
      </w:r>
      <w:r>
        <w:t>de</w:t>
      </w:r>
      <w:r w:rsidRPr="002C4077">
        <w:t xml:space="preserve"> </w:t>
      </w:r>
      <w:r>
        <w:t>mai,</w:t>
      </w:r>
      <w:r w:rsidRPr="002C4077">
        <w:t xml:space="preserve"> </w:t>
      </w:r>
      <w:r>
        <w:t>les</w:t>
      </w:r>
      <w:r w:rsidRPr="002C4077">
        <w:t xml:space="preserve"> </w:t>
      </w:r>
      <w:r>
        <w:t>petits</w:t>
      </w:r>
      <w:r w:rsidRPr="002C4077">
        <w:t xml:space="preserve"> </w:t>
      </w:r>
      <w:r>
        <w:t>Nazaréens</w:t>
      </w:r>
      <w:r w:rsidRPr="002C4077">
        <w:t xml:space="preserve"> </w:t>
      </w:r>
      <w:r>
        <w:t>aiment</w:t>
      </w:r>
      <w:r w:rsidRPr="002C4077">
        <w:t xml:space="preserve"> </w:t>
      </w:r>
      <w:r>
        <w:t>à</w:t>
      </w:r>
      <w:r w:rsidRPr="002C4077">
        <w:t xml:space="preserve"> </w:t>
      </w:r>
      <w:r>
        <w:t>les</w:t>
      </w:r>
      <w:r w:rsidRPr="002C4077">
        <w:t xml:space="preserve"> </w:t>
      </w:r>
      <w:r>
        <w:t>cueillir</w:t>
      </w:r>
      <w:r w:rsidRPr="002C4077">
        <w:t xml:space="preserve"> </w:t>
      </w:r>
      <w:r>
        <w:t>pour</w:t>
      </w:r>
      <w:r w:rsidRPr="002C4077">
        <w:t xml:space="preserve"> </w:t>
      </w:r>
      <w:r>
        <w:t>les</w:t>
      </w:r>
      <w:r w:rsidRPr="002C4077">
        <w:t xml:space="preserve"> </w:t>
      </w:r>
      <w:r>
        <w:t>déposer</w:t>
      </w:r>
      <w:r w:rsidRPr="002C4077">
        <w:t xml:space="preserve"> </w:t>
      </w:r>
      <w:r>
        <w:t>sur</w:t>
      </w:r>
      <w:r w:rsidRPr="002C4077">
        <w:t xml:space="preserve"> </w:t>
      </w:r>
      <w:r>
        <w:t>l’autel</w:t>
      </w:r>
      <w:r w:rsidRPr="002C4077">
        <w:t xml:space="preserve"> </w:t>
      </w:r>
      <w:r>
        <w:t>de</w:t>
      </w:r>
      <w:r w:rsidRPr="002C4077">
        <w:t xml:space="preserve"> </w:t>
      </w:r>
      <w:r>
        <w:t>Marie.</w:t>
      </w:r>
      <w:r w:rsidRPr="002C4077">
        <w:t xml:space="preserve"> </w:t>
      </w:r>
      <w:r>
        <w:t>Voyez</w:t>
      </w:r>
      <w:r w:rsidRPr="002C4077">
        <w:t xml:space="preserve"> </w:t>
      </w:r>
      <w:r>
        <w:t>aussi</w:t>
      </w:r>
      <w:r w:rsidRPr="002C4077">
        <w:t xml:space="preserve"> </w:t>
      </w:r>
      <w:r>
        <w:t>ces</w:t>
      </w:r>
      <w:r w:rsidRPr="002C4077">
        <w:t xml:space="preserve"> </w:t>
      </w:r>
      <w:r>
        <w:t>beaux</w:t>
      </w:r>
      <w:r w:rsidRPr="002C4077">
        <w:t xml:space="preserve"> </w:t>
      </w:r>
      <w:r>
        <w:t>grenadiers</w:t>
      </w:r>
      <w:r w:rsidRPr="002C4077">
        <w:t xml:space="preserve"> </w:t>
      </w:r>
      <w:r>
        <w:t>chargés</w:t>
      </w:r>
      <w:r w:rsidRPr="002C4077">
        <w:t xml:space="preserve"> </w:t>
      </w:r>
      <w:r>
        <w:t>de</w:t>
      </w:r>
      <w:r w:rsidRPr="002C4077">
        <w:t xml:space="preserve"> </w:t>
      </w:r>
      <w:r>
        <w:t>fruits,</w:t>
      </w:r>
      <w:r w:rsidRPr="002C4077">
        <w:t xml:space="preserve"> </w:t>
      </w:r>
      <w:r>
        <w:t>ces</w:t>
      </w:r>
      <w:r w:rsidRPr="002C4077">
        <w:t xml:space="preserve"> </w:t>
      </w:r>
      <w:r>
        <w:t>vignes</w:t>
      </w:r>
      <w:r w:rsidRPr="002C4077">
        <w:t xml:space="preserve"> </w:t>
      </w:r>
      <w:r>
        <w:t>avec</w:t>
      </w:r>
      <w:r w:rsidRPr="002C4077">
        <w:t xml:space="preserve"> </w:t>
      </w:r>
      <w:r>
        <w:t>leurs</w:t>
      </w:r>
      <w:r w:rsidRPr="002C4077">
        <w:t xml:space="preserve"> </w:t>
      </w:r>
      <w:r>
        <w:t>gros</w:t>
      </w:r>
      <w:r w:rsidRPr="002C4077">
        <w:t xml:space="preserve"> </w:t>
      </w:r>
      <w:r>
        <w:t>raisins,</w:t>
      </w:r>
      <w:r w:rsidRPr="002C4077">
        <w:t xml:space="preserve"> </w:t>
      </w:r>
      <w:r>
        <w:t>ces</w:t>
      </w:r>
      <w:r w:rsidRPr="002C4077">
        <w:t xml:space="preserve"> </w:t>
      </w:r>
      <w:r>
        <w:t>figues</w:t>
      </w:r>
      <w:r w:rsidRPr="002C4077">
        <w:t xml:space="preserve"> </w:t>
      </w:r>
      <w:r>
        <w:t>vertes</w:t>
      </w:r>
      <w:r w:rsidRPr="002C4077">
        <w:t xml:space="preserve"> </w:t>
      </w:r>
      <w:r>
        <w:t>et</w:t>
      </w:r>
      <w:r w:rsidRPr="002C4077">
        <w:t xml:space="preserve"> </w:t>
      </w:r>
      <w:r>
        <w:t>violettes</w:t>
      </w:r>
      <w:r w:rsidRPr="002C4077">
        <w:t xml:space="preserve"> </w:t>
      </w:r>
      <w:r>
        <w:t>suspendues</w:t>
      </w:r>
      <w:r w:rsidRPr="002C4077">
        <w:t xml:space="preserve"> </w:t>
      </w:r>
      <w:r>
        <w:t>aux</w:t>
      </w:r>
      <w:r w:rsidRPr="002C4077">
        <w:t xml:space="preserve"> </w:t>
      </w:r>
      <w:r>
        <w:t>figuiers,</w:t>
      </w:r>
      <w:r w:rsidRPr="002C4077">
        <w:t xml:space="preserve"> </w:t>
      </w:r>
      <w:r>
        <w:t>ces</w:t>
      </w:r>
      <w:r w:rsidRPr="002C4077">
        <w:t xml:space="preserve"> </w:t>
      </w:r>
      <w:r>
        <w:t>orangers</w:t>
      </w:r>
      <w:r w:rsidRPr="002C4077">
        <w:t xml:space="preserve"> </w:t>
      </w:r>
      <w:r>
        <w:t>couverts</w:t>
      </w:r>
      <w:r w:rsidRPr="002C4077">
        <w:t xml:space="preserve"> </w:t>
      </w:r>
      <w:r>
        <w:t>de</w:t>
      </w:r>
      <w:r w:rsidRPr="002C4077">
        <w:t xml:space="preserve"> </w:t>
      </w:r>
      <w:r>
        <w:t>pommes</w:t>
      </w:r>
      <w:r w:rsidRPr="002C4077">
        <w:t xml:space="preserve"> </w:t>
      </w:r>
      <w:r>
        <w:t>d’or,</w:t>
      </w:r>
      <w:r w:rsidRPr="002C4077">
        <w:t xml:space="preserve"> </w:t>
      </w:r>
      <w:r>
        <w:t>et</w:t>
      </w:r>
      <w:r w:rsidRPr="002C4077">
        <w:t xml:space="preserve"> </w:t>
      </w:r>
      <w:r>
        <w:t>ces</w:t>
      </w:r>
      <w:r w:rsidRPr="002C4077">
        <w:t xml:space="preserve"> </w:t>
      </w:r>
      <w:r>
        <w:t>cactus</w:t>
      </w:r>
      <w:r w:rsidRPr="002C4077">
        <w:t xml:space="preserve"> </w:t>
      </w:r>
      <w:r>
        <w:t>gigantesques</w:t>
      </w:r>
      <w:r w:rsidRPr="002C4077">
        <w:t xml:space="preserve"> </w:t>
      </w:r>
      <w:r>
        <w:t>servant</w:t>
      </w:r>
      <w:r w:rsidRPr="002C4077">
        <w:t xml:space="preserve"> </w:t>
      </w:r>
      <w:r>
        <w:t>de</w:t>
      </w:r>
      <w:r w:rsidRPr="002C4077">
        <w:t xml:space="preserve"> </w:t>
      </w:r>
      <w:r>
        <w:t>haies</w:t>
      </w:r>
      <w:r w:rsidRPr="002C4077">
        <w:t xml:space="preserve"> </w:t>
      </w:r>
      <w:r>
        <w:t>ou</w:t>
      </w:r>
      <w:r w:rsidRPr="002C4077">
        <w:t xml:space="preserve"> </w:t>
      </w:r>
      <w:r>
        <w:t>croissant</w:t>
      </w:r>
      <w:r w:rsidRPr="002C4077">
        <w:t xml:space="preserve"> </w:t>
      </w:r>
      <w:r>
        <w:t>parmi</w:t>
      </w:r>
      <w:r w:rsidRPr="002C4077">
        <w:t xml:space="preserve"> </w:t>
      </w:r>
      <w:r>
        <w:t>les</w:t>
      </w:r>
      <w:r w:rsidRPr="002C4077">
        <w:t xml:space="preserve"> </w:t>
      </w:r>
      <w:r>
        <w:t>ruines</w:t>
      </w:r>
      <w:r w:rsidR="00B546AF">
        <w:t> :</w:t>
      </w:r>
      <w:r w:rsidRPr="002C4077">
        <w:t xml:space="preserve"> </w:t>
      </w:r>
      <w:r>
        <w:t>ils</w:t>
      </w:r>
      <w:r w:rsidRPr="002C4077">
        <w:t xml:space="preserve"> </w:t>
      </w:r>
      <w:r>
        <w:t>ont</w:t>
      </w:r>
      <w:r w:rsidRPr="002C4077">
        <w:t xml:space="preserve"> </w:t>
      </w:r>
      <w:r>
        <w:t>plus</w:t>
      </w:r>
      <w:r w:rsidRPr="002C4077">
        <w:t xml:space="preserve"> </w:t>
      </w:r>
      <w:r>
        <w:t>d’épines</w:t>
      </w:r>
      <w:r w:rsidRPr="002C4077">
        <w:t xml:space="preserve"> </w:t>
      </w:r>
      <w:r>
        <w:t>que</w:t>
      </w:r>
      <w:r w:rsidRPr="002C4077">
        <w:t xml:space="preserve"> </w:t>
      </w:r>
      <w:r>
        <w:t>de</w:t>
      </w:r>
      <w:r w:rsidRPr="002C4077">
        <w:t xml:space="preserve"> </w:t>
      </w:r>
      <w:r>
        <w:t>fruits,</w:t>
      </w:r>
      <w:r w:rsidRPr="002C4077">
        <w:t xml:space="preserve"> </w:t>
      </w:r>
      <w:r>
        <w:t>mais</w:t>
      </w:r>
      <w:r w:rsidRPr="002C4077">
        <w:t xml:space="preserve"> </w:t>
      </w:r>
      <w:r>
        <w:t>comme</w:t>
      </w:r>
      <w:r w:rsidRPr="002C4077">
        <w:t xml:space="preserve"> </w:t>
      </w:r>
      <w:r>
        <w:t>leur</w:t>
      </w:r>
      <w:r w:rsidRPr="002C4077">
        <w:t xml:space="preserve"> </w:t>
      </w:r>
      <w:r>
        <w:t>aspect</w:t>
      </w:r>
      <w:r w:rsidRPr="002C4077">
        <w:t xml:space="preserve"> </w:t>
      </w:r>
      <w:r w:rsidR="00425C50">
        <w:t>est</w:t>
      </w:r>
      <w:r w:rsidRPr="002C4077">
        <w:t xml:space="preserve"> </w:t>
      </w:r>
      <w:r>
        <w:t>pittoresque</w:t>
      </w:r>
      <w:r w:rsidR="00B546AF">
        <w:t> !</w:t>
      </w:r>
      <w:r w:rsidRPr="002C4077">
        <w:t xml:space="preserve"> </w:t>
      </w:r>
      <w:r>
        <w:t>et</w:t>
      </w:r>
      <w:r w:rsidRPr="002C4077">
        <w:t xml:space="preserve"> </w:t>
      </w:r>
      <w:r>
        <w:t>puis,</w:t>
      </w:r>
      <w:r w:rsidRPr="002C4077">
        <w:t xml:space="preserve"> </w:t>
      </w:r>
      <w:r>
        <w:t>comme</w:t>
      </w:r>
      <w:r w:rsidRPr="002C4077">
        <w:t xml:space="preserve"> </w:t>
      </w:r>
      <w:r>
        <w:t>ces</w:t>
      </w:r>
      <w:r w:rsidRPr="002C4077">
        <w:t xml:space="preserve"> </w:t>
      </w:r>
      <w:r>
        <w:t>épines</w:t>
      </w:r>
      <w:r w:rsidRPr="002C4077">
        <w:t xml:space="preserve"> </w:t>
      </w:r>
      <w:r>
        <w:t>écartent</w:t>
      </w:r>
      <w:r w:rsidRPr="002C4077">
        <w:t xml:space="preserve"> </w:t>
      </w:r>
      <w:r>
        <w:t>bien</w:t>
      </w:r>
      <w:r w:rsidRPr="002C4077">
        <w:t xml:space="preserve"> </w:t>
      </w:r>
      <w:r>
        <w:t>les</w:t>
      </w:r>
      <w:r w:rsidRPr="002C4077">
        <w:t xml:space="preserve"> </w:t>
      </w:r>
      <w:r>
        <w:t>maraudeurs,</w:t>
      </w:r>
      <w:r w:rsidRPr="002C4077">
        <w:t xml:space="preserve"> </w:t>
      </w:r>
      <w:r>
        <w:t>qui</w:t>
      </w:r>
      <w:r w:rsidRPr="002C4077">
        <w:t xml:space="preserve"> </w:t>
      </w:r>
      <w:r>
        <w:t>ne</w:t>
      </w:r>
      <w:r w:rsidRPr="002C4077">
        <w:t xml:space="preserve"> </w:t>
      </w:r>
      <w:r>
        <w:t>manquent</w:t>
      </w:r>
      <w:r w:rsidRPr="002C4077">
        <w:t xml:space="preserve"> </w:t>
      </w:r>
      <w:r>
        <w:t>pas</w:t>
      </w:r>
      <w:r w:rsidRPr="002C4077">
        <w:t xml:space="preserve"> </w:t>
      </w:r>
      <w:r>
        <w:t>plus</w:t>
      </w:r>
      <w:r w:rsidRPr="002C4077">
        <w:t xml:space="preserve"> </w:t>
      </w:r>
      <w:r>
        <w:t>à</w:t>
      </w:r>
      <w:r w:rsidRPr="002C4077">
        <w:t xml:space="preserve"> </w:t>
      </w:r>
      <w:r>
        <w:t>Nazareth</w:t>
      </w:r>
      <w:r w:rsidRPr="002C4077">
        <w:t xml:space="preserve"> </w:t>
      </w:r>
      <w:r>
        <w:t>que</w:t>
      </w:r>
      <w:r w:rsidRPr="002C4077">
        <w:t xml:space="preserve"> </w:t>
      </w:r>
      <w:r>
        <w:t>chez</w:t>
      </w:r>
      <w:r w:rsidRPr="002C4077">
        <w:t xml:space="preserve"> </w:t>
      </w:r>
      <w:r>
        <w:t>nous</w:t>
      </w:r>
      <w:r w:rsidR="00B546AF">
        <w:t> !</w:t>
      </w:r>
      <w:r w:rsidR="00C45B47">
        <w:t xml:space="preserve"> {</w:t>
      </w:r>
      <w:r w:rsidR="001F5257">
        <w:t>213</w:t>
      </w:r>
      <w:bookmarkStart w:id="527" w:name="p213"/>
      <w:bookmarkEnd w:id="527"/>
      <w:r w:rsidR="001F5257">
        <w:t xml:space="preserve">} </w:t>
      </w:r>
    </w:p>
    <w:p w:rsidR="000A7AAB" w:rsidRDefault="000A7AAB" w:rsidP="000A7AAB">
      <w:r>
        <w:t>Imaginez</w:t>
      </w:r>
      <w:r w:rsidRPr="002C4077">
        <w:t xml:space="preserve"> </w:t>
      </w:r>
      <w:r>
        <w:t>un</w:t>
      </w:r>
      <w:r w:rsidRPr="002C4077">
        <w:t xml:space="preserve"> </w:t>
      </w:r>
      <w:r>
        <w:t>plateau</w:t>
      </w:r>
      <w:r w:rsidRPr="002C4077">
        <w:t xml:space="preserve"> </w:t>
      </w:r>
      <w:r>
        <w:t>élevé</w:t>
      </w:r>
      <w:r w:rsidRPr="002C4077">
        <w:t xml:space="preserve"> </w:t>
      </w:r>
      <w:r>
        <w:t>qui</w:t>
      </w:r>
      <w:r w:rsidRPr="002C4077">
        <w:t xml:space="preserve"> </w:t>
      </w:r>
      <w:r>
        <w:t>représente</w:t>
      </w:r>
      <w:r w:rsidRPr="002C4077">
        <w:t xml:space="preserve"> </w:t>
      </w:r>
      <w:r>
        <w:t>la</w:t>
      </w:r>
      <w:r w:rsidRPr="002C4077">
        <w:t xml:space="preserve"> </w:t>
      </w:r>
      <w:r>
        <w:t>province</w:t>
      </w:r>
      <w:r w:rsidRPr="002C4077">
        <w:t xml:space="preserve"> </w:t>
      </w:r>
      <w:r>
        <w:t>de</w:t>
      </w:r>
      <w:r w:rsidRPr="002C4077">
        <w:t xml:space="preserve"> </w:t>
      </w:r>
      <w:r>
        <w:t>Galilée</w:t>
      </w:r>
      <w:r w:rsidR="00B91AF7">
        <w:rPr>
          <w:rStyle w:val="Appelnotedebasdep"/>
        </w:rPr>
        <w:footnoteReference w:id="716"/>
      </w:r>
      <w:r>
        <w:t>.</w:t>
      </w:r>
      <w:r w:rsidRPr="002C4077">
        <w:t xml:space="preserve"> </w:t>
      </w:r>
      <w:r>
        <w:t>Avant</w:t>
      </w:r>
      <w:r w:rsidRPr="002C4077">
        <w:t xml:space="preserve"> </w:t>
      </w:r>
      <w:r>
        <w:t>de</w:t>
      </w:r>
      <w:r w:rsidRPr="002C4077">
        <w:t xml:space="preserve"> </w:t>
      </w:r>
      <w:r>
        <w:t>venir</w:t>
      </w:r>
      <w:r w:rsidRPr="002C4077">
        <w:t xml:space="preserve"> </w:t>
      </w:r>
      <w:r>
        <w:t>expirer</w:t>
      </w:r>
      <w:r w:rsidRPr="002C4077">
        <w:t xml:space="preserve"> </w:t>
      </w:r>
      <w:r>
        <w:t>brusquement</w:t>
      </w:r>
      <w:r w:rsidRPr="002C4077">
        <w:t xml:space="preserve"> </w:t>
      </w:r>
      <w:r>
        <w:t>dans</w:t>
      </w:r>
      <w:r w:rsidRPr="002C4077">
        <w:t xml:space="preserve"> </w:t>
      </w:r>
      <w:r>
        <w:t>la</w:t>
      </w:r>
      <w:r w:rsidRPr="002C4077">
        <w:t xml:space="preserve"> </w:t>
      </w:r>
      <w:r>
        <w:t>plaine</w:t>
      </w:r>
      <w:r w:rsidRPr="002C4077">
        <w:t xml:space="preserve"> </w:t>
      </w:r>
      <w:r>
        <w:t>d’Esdrelon,</w:t>
      </w:r>
      <w:r w:rsidRPr="002C4077">
        <w:t xml:space="preserve"> </w:t>
      </w:r>
      <w:r>
        <w:t>les</w:t>
      </w:r>
      <w:r w:rsidRPr="002C4077">
        <w:t xml:space="preserve"> </w:t>
      </w:r>
      <w:r>
        <w:t>montagnes</w:t>
      </w:r>
      <w:r w:rsidRPr="002C4077">
        <w:t xml:space="preserve"> </w:t>
      </w:r>
      <w:r>
        <w:t>qui</w:t>
      </w:r>
      <w:r w:rsidRPr="002C4077">
        <w:t xml:space="preserve"> </w:t>
      </w:r>
      <w:r>
        <w:t>le</w:t>
      </w:r>
      <w:r w:rsidRPr="002C4077">
        <w:t xml:space="preserve"> </w:t>
      </w:r>
      <w:r>
        <w:t>recouvrent</w:t>
      </w:r>
      <w:r w:rsidRPr="002C4077">
        <w:t xml:space="preserve"> </w:t>
      </w:r>
      <w:r>
        <w:t>de</w:t>
      </w:r>
      <w:r w:rsidRPr="002C4077">
        <w:t xml:space="preserve"> </w:t>
      </w:r>
      <w:r>
        <w:t>leurs</w:t>
      </w:r>
      <w:r w:rsidRPr="002C4077">
        <w:t xml:space="preserve"> </w:t>
      </w:r>
      <w:r>
        <w:t>ondulations</w:t>
      </w:r>
      <w:r w:rsidRPr="002C4077">
        <w:t xml:space="preserve"> </w:t>
      </w:r>
      <w:r>
        <w:t>variées,</w:t>
      </w:r>
      <w:r w:rsidRPr="002C4077">
        <w:t xml:space="preserve"> </w:t>
      </w:r>
      <w:r>
        <w:t>dernières</w:t>
      </w:r>
      <w:r w:rsidRPr="002C4077">
        <w:t xml:space="preserve"> </w:t>
      </w:r>
      <w:r>
        <w:t>arêtes</w:t>
      </w:r>
      <w:r w:rsidRPr="002C4077">
        <w:t xml:space="preserve"> </w:t>
      </w:r>
      <w:r>
        <w:t>du</w:t>
      </w:r>
      <w:r w:rsidRPr="002C4077">
        <w:t xml:space="preserve"> </w:t>
      </w:r>
      <w:r>
        <w:t>Liban</w:t>
      </w:r>
      <w:r w:rsidRPr="002C4077">
        <w:t xml:space="preserve"> </w:t>
      </w:r>
      <w:r>
        <w:t>dans</w:t>
      </w:r>
      <w:r w:rsidRPr="002C4077">
        <w:t xml:space="preserve"> </w:t>
      </w:r>
      <w:r>
        <w:t>la</w:t>
      </w:r>
      <w:r w:rsidRPr="002C4077">
        <w:t xml:space="preserve"> </w:t>
      </w:r>
      <w:r>
        <w:t>direction</w:t>
      </w:r>
      <w:r w:rsidRPr="002C4077">
        <w:t xml:space="preserve"> </w:t>
      </w:r>
      <w:r>
        <w:t>du</w:t>
      </w:r>
      <w:r w:rsidRPr="002C4077">
        <w:t xml:space="preserve"> </w:t>
      </w:r>
      <w:r>
        <w:t>sud,</w:t>
      </w:r>
      <w:r w:rsidRPr="002C4077">
        <w:t xml:space="preserve"> </w:t>
      </w:r>
      <w:r>
        <w:t>s’écartent</w:t>
      </w:r>
      <w:r w:rsidRPr="002C4077">
        <w:t xml:space="preserve"> </w:t>
      </w:r>
      <w:r>
        <w:t>et</w:t>
      </w:r>
      <w:r w:rsidRPr="002C4077">
        <w:t xml:space="preserve"> </w:t>
      </w:r>
      <w:r>
        <w:t>se</w:t>
      </w:r>
      <w:r w:rsidRPr="002C4077">
        <w:t xml:space="preserve"> </w:t>
      </w:r>
      <w:r>
        <w:t>groupent</w:t>
      </w:r>
      <w:r w:rsidRPr="002C4077">
        <w:t xml:space="preserve"> </w:t>
      </w:r>
      <w:r>
        <w:t>en</w:t>
      </w:r>
      <w:r w:rsidRPr="002C4077">
        <w:t xml:space="preserve"> </w:t>
      </w:r>
      <w:r>
        <w:t>rond,</w:t>
      </w:r>
      <w:r w:rsidRPr="002C4077">
        <w:t xml:space="preserve"> </w:t>
      </w:r>
      <w:r>
        <w:t>de</w:t>
      </w:r>
      <w:r w:rsidRPr="002C4077">
        <w:t xml:space="preserve"> </w:t>
      </w:r>
      <w:r>
        <w:t>manière</w:t>
      </w:r>
      <w:r w:rsidRPr="002C4077">
        <w:t xml:space="preserve"> </w:t>
      </w:r>
      <w:r>
        <w:t>à</w:t>
      </w:r>
      <w:r w:rsidRPr="002C4077">
        <w:t xml:space="preserve"> </w:t>
      </w:r>
      <w:r>
        <w:t>former</w:t>
      </w:r>
      <w:r w:rsidRPr="002C4077">
        <w:t xml:space="preserve"> </w:t>
      </w:r>
      <w:r>
        <w:t>une</w:t>
      </w:r>
      <w:r w:rsidRPr="002C4077">
        <w:t xml:space="preserve"> </w:t>
      </w:r>
      <w:r>
        <w:t>vallée</w:t>
      </w:r>
      <w:r w:rsidRPr="002C4077">
        <w:t xml:space="preserve"> </w:t>
      </w:r>
      <w:r>
        <w:t>étroite,</w:t>
      </w:r>
      <w:r w:rsidRPr="002C4077">
        <w:t xml:space="preserve"> </w:t>
      </w:r>
      <w:r>
        <w:t>mais</w:t>
      </w:r>
      <w:r w:rsidRPr="002C4077">
        <w:t xml:space="preserve"> </w:t>
      </w:r>
      <w:r>
        <w:t>gracieuse,</w:t>
      </w:r>
      <w:r w:rsidRPr="002C4077">
        <w:t xml:space="preserve"> </w:t>
      </w:r>
      <w:r>
        <w:t>qu’elles</w:t>
      </w:r>
      <w:r w:rsidRPr="002C4077">
        <w:t xml:space="preserve"> </w:t>
      </w:r>
      <w:r>
        <w:t>semblent</w:t>
      </w:r>
      <w:r w:rsidRPr="002C4077">
        <w:t xml:space="preserve"> </w:t>
      </w:r>
      <w:r>
        <w:t>vouloir</w:t>
      </w:r>
      <w:r w:rsidRPr="002C4077">
        <w:t xml:space="preserve"> </w:t>
      </w:r>
      <w:r>
        <w:t>protéger</w:t>
      </w:r>
      <w:r w:rsidRPr="002C4077">
        <w:t xml:space="preserve"> </w:t>
      </w:r>
      <w:r>
        <w:t>de</w:t>
      </w:r>
      <w:r w:rsidRPr="002C4077">
        <w:t xml:space="preserve"> </w:t>
      </w:r>
      <w:r>
        <w:t>la</w:t>
      </w:r>
      <w:r w:rsidRPr="002C4077">
        <w:t xml:space="preserve"> </w:t>
      </w:r>
      <w:r>
        <w:t>façon</w:t>
      </w:r>
      <w:r w:rsidRPr="002C4077">
        <w:t xml:space="preserve"> </w:t>
      </w:r>
      <w:r>
        <w:t>la</w:t>
      </w:r>
      <w:r w:rsidRPr="002C4077">
        <w:t xml:space="preserve"> </w:t>
      </w:r>
      <w:r>
        <w:t>plus</w:t>
      </w:r>
      <w:r w:rsidRPr="002C4077">
        <w:t xml:space="preserve"> </w:t>
      </w:r>
      <w:r>
        <w:t>jalouse.</w:t>
      </w:r>
      <w:r w:rsidRPr="002C4077">
        <w:t xml:space="preserve"> </w:t>
      </w:r>
      <w:r>
        <w:t>C’est</w:t>
      </w:r>
      <w:r w:rsidRPr="002C4077">
        <w:t xml:space="preserve"> </w:t>
      </w:r>
      <w:r>
        <w:t>dans</w:t>
      </w:r>
      <w:r w:rsidRPr="002C4077">
        <w:t xml:space="preserve"> </w:t>
      </w:r>
      <w:r>
        <w:t>cette</w:t>
      </w:r>
      <w:r w:rsidRPr="002C4077">
        <w:t xml:space="preserve"> </w:t>
      </w:r>
      <w:r>
        <w:t>vallée,</w:t>
      </w:r>
      <w:r w:rsidRPr="002C4077">
        <w:t xml:space="preserve"> </w:t>
      </w:r>
      <w:r>
        <w:t>justement</w:t>
      </w:r>
      <w:r w:rsidRPr="002C4077">
        <w:t xml:space="preserve"> </w:t>
      </w:r>
      <w:r>
        <w:t>comparée</w:t>
      </w:r>
      <w:r w:rsidRPr="002C4077">
        <w:t xml:space="preserve"> </w:t>
      </w:r>
      <w:r>
        <w:t>par</w:t>
      </w:r>
      <w:r w:rsidRPr="002C4077">
        <w:t xml:space="preserve"> </w:t>
      </w:r>
      <w:r>
        <w:t>quelques</w:t>
      </w:r>
      <w:r w:rsidRPr="002C4077">
        <w:t xml:space="preserve"> </w:t>
      </w:r>
      <w:r>
        <w:t>voyageurs</w:t>
      </w:r>
      <w:r w:rsidRPr="002C4077">
        <w:t xml:space="preserve"> </w:t>
      </w:r>
      <w:r>
        <w:t>à</w:t>
      </w:r>
      <w:r w:rsidRPr="002C4077">
        <w:t xml:space="preserve"> </w:t>
      </w:r>
      <w:r>
        <w:t>un</w:t>
      </w:r>
      <w:r w:rsidRPr="002C4077">
        <w:t xml:space="preserve"> </w:t>
      </w:r>
      <w:r>
        <w:t>nid</w:t>
      </w:r>
      <w:r w:rsidRPr="002C4077">
        <w:t xml:space="preserve"> </w:t>
      </w:r>
      <w:r>
        <w:t>bien</w:t>
      </w:r>
      <w:r w:rsidRPr="002C4077">
        <w:t xml:space="preserve"> </w:t>
      </w:r>
      <w:r>
        <w:t>abrité,</w:t>
      </w:r>
      <w:r w:rsidRPr="002C4077">
        <w:t xml:space="preserve"> </w:t>
      </w:r>
      <w:r>
        <w:t>qu’est</w:t>
      </w:r>
      <w:r w:rsidRPr="002C4077">
        <w:t xml:space="preserve"> </w:t>
      </w:r>
      <w:r>
        <w:t>bâtie</w:t>
      </w:r>
      <w:r w:rsidRPr="002C4077">
        <w:t xml:space="preserve"> </w:t>
      </w:r>
      <w:r>
        <w:t>ou</w:t>
      </w:r>
      <w:r w:rsidRPr="002C4077">
        <w:t xml:space="preserve"> </w:t>
      </w:r>
      <w:r>
        <w:t>plutôt</w:t>
      </w:r>
      <w:r w:rsidRPr="002C4077">
        <w:t xml:space="preserve"> </w:t>
      </w:r>
      <w:r>
        <w:t>que</w:t>
      </w:r>
      <w:r w:rsidRPr="002C4077">
        <w:t xml:space="preserve"> </w:t>
      </w:r>
      <w:r>
        <w:t>se</w:t>
      </w:r>
      <w:r w:rsidRPr="002C4077">
        <w:t xml:space="preserve"> </w:t>
      </w:r>
      <w:r>
        <w:t>cache</w:t>
      </w:r>
      <w:r w:rsidRPr="002C4077">
        <w:t xml:space="preserve"> </w:t>
      </w:r>
      <w:r>
        <w:t>avec</w:t>
      </w:r>
      <w:r w:rsidRPr="002C4077">
        <w:t xml:space="preserve"> </w:t>
      </w:r>
      <w:r>
        <w:t>soin</w:t>
      </w:r>
      <w:r w:rsidRPr="002C4077">
        <w:t xml:space="preserve"> </w:t>
      </w:r>
      <w:r>
        <w:t>Nazareth.</w:t>
      </w:r>
      <w:r w:rsidRPr="002C4077">
        <w:t xml:space="preserve"> </w:t>
      </w:r>
      <w:r>
        <w:t>Bethléem</w:t>
      </w:r>
      <w:r w:rsidRPr="002C4077">
        <w:t xml:space="preserve"> </w:t>
      </w:r>
      <w:r>
        <w:t>s’élève</w:t>
      </w:r>
      <w:r w:rsidRPr="002C4077">
        <w:t xml:space="preserve"> </w:t>
      </w:r>
      <w:r>
        <w:t>fièrement</w:t>
      </w:r>
      <w:r w:rsidRPr="002C4077">
        <w:t xml:space="preserve"> </w:t>
      </w:r>
      <w:r>
        <w:t>au-dessus</w:t>
      </w:r>
      <w:r w:rsidRPr="002C4077">
        <w:t xml:space="preserve"> </w:t>
      </w:r>
      <w:r>
        <w:t>d’une</w:t>
      </w:r>
      <w:r w:rsidRPr="002C4077">
        <w:t xml:space="preserve"> </w:t>
      </w:r>
      <w:r>
        <w:t>montagne</w:t>
      </w:r>
      <w:r w:rsidR="00B546AF">
        <w:t> ;</w:t>
      </w:r>
      <w:r w:rsidRPr="002C4077">
        <w:t xml:space="preserve"> </w:t>
      </w:r>
      <w:r>
        <w:t>Nazareth,</w:t>
      </w:r>
      <w:r w:rsidRPr="002C4077">
        <w:t xml:space="preserve"> </w:t>
      </w:r>
      <w:r>
        <w:t>au</w:t>
      </w:r>
      <w:r w:rsidRPr="002C4077">
        <w:t xml:space="preserve"> </w:t>
      </w:r>
      <w:r>
        <w:t>contraire,</w:t>
      </w:r>
      <w:r w:rsidRPr="002C4077">
        <w:t xml:space="preserve"> </w:t>
      </w:r>
      <w:r>
        <w:t>semble</w:t>
      </w:r>
      <w:r w:rsidRPr="002C4077">
        <w:t xml:space="preserve"> </w:t>
      </w:r>
      <w:r>
        <w:t>vouloir</w:t>
      </w:r>
      <w:r w:rsidRPr="002C4077">
        <w:t xml:space="preserve"> </w:t>
      </w:r>
      <w:r>
        <w:t>se</w:t>
      </w:r>
      <w:r w:rsidRPr="002C4077">
        <w:t xml:space="preserve"> </w:t>
      </w:r>
      <w:r>
        <w:t>dissimuler</w:t>
      </w:r>
      <w:r w:rsidRPr="002C4077">
        <w:t xml:space="preserve"> </w:t>
      </w:r>
      <w:r>
        <w:t>derrière</w:t>
      </w:r>
      <w:r w:rsidRPr="002C4077">
        <w:t xml:space="preserve"> </w:t>
      </w:r>
      <w:r>
        <w:t>sa</w:t>
      </w:r>
      <w:r w:rsidRPr="002C4077">
        <w:t xml:space="preserve"> </w:t>
      </w:r>
      <w:r>
        <w:t>ceinture</w:t>
      </w:r>
      <w:r w:rsidRPr="002C4077">
        <w:t xml:space="preserve"> </w:t>
      </w:r>
      <w:r>
        <w:t>de</w:t>
      </w:r>
      <w:r w:rsidRPr="002C4077">
        <w:t xml:space="preserve"> </w:t>
      </w:r>
      <w:r>
        <w:t>collines</w:t>
      </w:r>
      <w:r w:rsidR="00B546AF">
        <w:t> ;</w:t>
      </w:r>
      <w:r w:rsidRPr="002C4077">
        <w:t xml:space="preserve"> </w:t>
      </w:r>
      <w:r>
        <w:t>aussi,</w:t>
      </w:r>
      <w:r w:rsidRPr="002C4077">
        <w:t xml:space="preserve"> </w:t>
      </w:r>
      <w:r>
        <w:t>ne</w:t>
      </w:r>
      <w:r w:rsidRPr="002C4077">
        <w:t xml:space="preserve"> </w:t>
      </w:r>
      <w:r>
        <w:t>l’aperçoit-on</w:t>
      </w:r>
      <w:r w:rsidRPr="002C4077">
        <w:t xml:space="preserve"> </w:t>
      </w:r>
      <w:r>
        <w:t>guère</w:t>
      </w:r>
      <w:r w:rsidRPr="002C4077">
        <w:t xml:space="preserve"> </w:t>
      </w:r>
      <w:r>
        <w:t>qu’au</w:t>
      </w:r>
      <w:r w:rsidRPr="002C4077">
        <w:t xml:space="preserve"> </w:t>
      </w:r>
      <w:r>
        <w:t>moment</w:t>
      </w:r>
      <w:r w:rsidRPr="002C4077">
        <w:t xml:space="preserve"> </w:t>
      </w:r>
      <w:r>
        <w:t>où</w:t>
      </w:r>
      <w:r w:rsidRPr="002C4077">
        <w:t xml:space="preserve"> </w:t>
      </w:r>
      <w:r>
        <w:t>l’on</w:t>
      </w:r>
      <w:r w:rsidRPr="002C4077">
        <w:t xml:space="preserve"> </w:t>
      </w:r>
      <w:r w:rsidR="00425C50">
        <w:t>est</w:t>
      </w:r>
      <w:r w:rsidRPr="002C4077">
        <w:t xml:space="preserve"> </w:t>
      </w:r>
      <w:r>
        <w:t>sur</w:t>
      </w:r>
      <w:r w:rsidRPr="002C4077">
        <w:t xml:space="preserve"> </w:t>
      </w:r>
      <w:r>
        <w:t>le</w:t>
      </w:r>
      <w:r w:rsidRPr="002C4077">
        <w:t xml:space="preserve"> </w:t>
      </w:r>
      <w:r>
        <w:t>point</w:t>
      </w:r>
      <w:r w:rsidRPr="002C4077">
        <w:t xml:space="preserve"> </w:t>
      </w:r>
      <w:r>
        <w:t>d’y</w:t>
      </w:r>
      <w:r w:rsidRPr="002C4077">
        <w:t xml:space="preserve"> </w:t>
      </w:r>
      <w:r>
        <w:t>pénétrer.</w:t>
      </w:r>
      <w:r w:rsidRPr="002C4077">
        <w:t xml:space="preserve"> </w:t>
      </w:r>
    </w:p>
    <w:p w:rsidR="000A7AAB" w:rsidRDefault="000A7AAB" w:rsidP="000A7AAB">
      <w:r>
        <w:t>La</w:t>
      </w:r>
      <w:r w:rsidRPr="002C4077">
        <w:t xml:space="preserve"> </w:t>
      </w:r>
      <w:r>
        <w:t>ville,</w:t>
      </w:r>
      <w:r w:rsidRPr="002C4077">
        <w:t xml:space="preserve"> </w:t>
      </w:r>
      <w:r>
        <w:t>cependant,</w:t>
      </w:r>
      <w:r w:rsidRPr="002C4077">
        <w:t xml:space="preserve"> </w:t>
      </w:r>
      <w:r>
        <w:t>n’est</w:t>
      </w:r>
      <w:r w:rsidRPr="002C4077">
        <w:t xml:space="preserve"> </w:t>
      </w:r>
      <w:r>
        <w:t>pas</w:t>
      </w:r>
      <w:r w:rsidRPr="002C4077">
        <w:t xml:space="preserve"> </w:t>
      </w:r>
      <w:r>
        <w:t>tout</w:t>
      </w:r>
      <w:r w:rsidRPr="002C4077">
        <w:t xml:space="preserve"> </w:t>
      </w:r>
      <w:r>
        <w:t>à</w:t>
      </w:r>
      <w:r w:rsidRPr="002C4077">
        <w:t xml:space="preserve"> </w:t>
      </w:r>
      <w:r>
        <w:t>fait</w:t>
      </w:r>
      <w:r w:rsidRPr="002C4077">
        <w:t xml:space="preserve"> </w:t>
      </w:r>
      <w:r>
        <w:t>au</w:t>
      </w:r>
      <w:r w:rsidRPr="002C4077">
        <w:t xml:space="preserve"> </w:t>
      </w:r>
      <w:r>
        <w:t>fond</w:t>
      </w:r>
      <w:r w:rsidRPr="002C4077">
        <w:t xml:space="preserve"> </w:t>
      </w:r>
      <w:r>
        <w:t>du</w:t>
      </w:r>
      <w:r w:rsidRPr="002C4077">
        <w:t xml:space="preserve"> </w:t>
      </w:r>
      <w:r>
        <w:t>bassin,</w:t>
      </w:r>
      <w:r w:rsidRPr="002C4077">
        <w:t xml:space="preserve"> </w:t>
      </w:r>
      <w:r>
        <w:t>bien</w:t>
      </w:r>
      <w:r w:rsidRPr="002C4077">
        <w:t xml:space="preserve"> </w:t>
      </w:r>
      <w:r>
        <w:t>que</w:t>
      </w:r>
      <w:r w:rsidRPr="002C4077">
        <w:t xml:space="preserve"> </w:t>
      </w:r>
      <w:r>
        <w:t>ses</w:t>
      </w:r>
      <w:r w:rsidRPr="002C4077">
        <w:t xml:space="preserve"> </w:t>
      </w:r>
      <w:r>
        <w:t>dernières</w:t>
      </w:r>
      <w:r w:rsidRPr="002C4077">
        <w:t xml:space="preserve"> </w:t>
      </w:r>
      <w:r>
        <w:t>maisons</w:t>
      </w:r>
      <w:r w:rsidRPr="002C4077">
        <w:t xml:space="preserve"> </w:t>
      </w:r>
      <w:r>
        <w:t>l’atteignent.</w:t>
      </w:r>
      <w:r w:rsidRPr="002C4077">
        <w:t xml:space="preserve"> </w:t>
      </w:r>
      <w:r>
        <w:t>Elle</w:t>
      </w:r>
      <w:r w:rsidRPr="002C4077">
        <w:t xml:space="preserve"> </w:t>
      </w:r>
      <w:r>
        <w:t>s’avance</w:t>
      </w:r>
      <w:r w:rsidRPr="002C4077">
        <w:t xml:space="preserve"> </w:t>
      </w:r>
      <w:r>
        <w:t>en</w:t>
      </w:r>
      <w:r w:rsidRPr="002C4077">
        <w:t xml:space="preserve"> </w:t>
      </w:r>
      <w:r>
        <w:t>amphithéâtre</w:t>
      </w:r>
      <w:r w:rsidRPr="002C4077">
        <w:t xml:space="preserve"> </w:t>
      </w:r>
      <w:r>
        <w:t>le</w:t>
      </w:r>
      <w:r w:rsidRPr="002C4077">
        <w:t xml:space="preserve"> </w:t>
      </w:r>
      <w:r>
        <w:t>long</w:t>
      </w:r>
      <w:r w:rsidRPr="002C4077">
        <w:t xml:space="preserve"> </w:t>
      </w:r>
      <w:r>
        <w:t>des</w:t>
      </w:r>
      <w:r w:rsidRPr="002C4077">
        <w:t xml:space="preserve"> </w:t>
      </w:r>
      <w:r>
        <w:t>flancs</w:t>
      </w:r>
      <w:r w:rsidRPr="002C4077">
        <w:t xml:space="preserve"> </w:t>
      </w:r>
      <w:r>
        <w:t>de</w:t>
      </w:r>
      <w:r w:rsidRPr="002C4077">
        <w:t xml:space="preserve"> </w:t>
      </w:r>
      <w:r>
        <w:t>la</w:t>
      </w:r>
      <w:r w:rsidRPr="002C4077">
        <w:t xml:space="preserve"> </w:t>
      </w:r>
      <w:r>
        <w:t>hauteur</w:t>
      </w:r>
      <w:r w:rsidRPr="002C4077">
        <w:t xml:space="preserve"> </w:t>
      </w:r>
      <w:r>
        <w:t>principale,</w:t>
      </w:r>
      <w:r w:rsidRPr="002C4077">
        <w:t xml:space="preserve"> </w:t>
      </w:r>
      <w:r>
        <w:t>jusqu’au</w:t>
      </w:r>
      <w:r w:rsidRPr="002C4077">
        <w:t xml:space="preserve"> </w:t>
      </w:r>
      <w:r>
        <w:t>moment</w:t>
      </w:r>
      <w:r w:rsidRPr="002C4077">
        <w:t xml:space="preserve"> </w:t>
      </w:r>
      <w:r>
        <w:t>où</w:t>
      </w:r>
      <w:r w:rsidRPr="002C4077">
        <w:t xml:space="preserve"> </w:t>
      </w:r>
      <w:r>
        <w:t>celle-ci</w:t>
      </w:r>
      <w:r w:rsidRPr="002C4077">
        <w:t xml:space="preserve"> </w:t>
      </w:r>
      <w:r>
        <w:t>se</w:t>
      </w:r>
      <w:r w:rsidRPr="002C4077">
        <w:t xml:space="preserve"> </w:t>
      </w:r>
      <w:r>
        <w:t>dresse</w:t>
      </w:r>
      <w:r w:rsidRPr="002C4077">
        <w:t xml:space="preserve"> </w:t>
      </w:r>
      <w:r>
        <w:t>assez</w:t>
      </w:r>
      <w:r w:rsidRPr="002C4077">
        <w:t xml:space="preserve"> </w:t>
      </w:r>
      <w:r>
        <w:t>rapidement</w:t>
      </w:r>
      <w:r w:rsidRPr="002C4077">
        <w:t xml:space="preserve"> </w:t>
      </w:r>
      <w:r>
        <w:t>à</w:t>
      </w:r>
      <w:r w:rsidRPr="002C4077">
        <w:t xml:space="preserve"> </w:t>
      </w:r>
      <w:r>
        <w:t>cinq</w:t>
      </w:r>
      <w:r w:rsidRPr="002C4077">
        <w:t xml:space="preserve"> </w:t>
      </w:r>
      <w:r>
        <w:t>cents</w:t>
      </w:r>
      <w:r w:rsidRPr="002C4077">
        <w:t xml:space="preserve"> </w:t>
      </w:r>
      <w:r>
        <w:t>pieds</w:t>
      </w:r>
      <w:r w:rsidRPr="002C4077">
        <w:t xml:space="preserve"> </w:t>
      </w:r>
      <w:r>
        <w:t>au</w:t>
      </w:r>
      <w:r w:rsidRPr="002C4077">
        <w:t xml:space="preserve"> </w:t>
      </w:r>
      <w:r>
        <w:t>dessus</w:t>
      </w:r>
      <w:r w:rsidRPr="002C4077">
        <w:t xml:space="preserve"> </w:t>
      </w:r>
      <w:r>
        <w:t>de</w:t>
      </w:r>
      <w:r w:rsidRPr="002C4077">
        <w:t xml:space="preserve"> </w:t>
      </w:r>
      <w:r>
        <w:t>la</w:t>
      </w:r>
      <w:r w:rsidRPr="002C4077">
        <w:t xml:space="preserve"> </w:t>
      </w:r>
      <w:r>
        <w:t>vallée.</w:t>
      </w:r>
      <w:r w:rsidRPr="002C4077">
        <w:t xml:space="preserve"> </w:t>
      </w:r>
    </w:p>
    <w:p w:rsidR="000A7AAB" w:rsidRDefault="000A7AAB" w:rsidP="000A7AAB">
      <w:r>
        <w:t>C’est</w:t>
      </w:r>
      <w:r w:rsidRPr="002C4077">
        <w:t xml:space="preserve"> </w:t>
      </w:r>
      <w:r>
        <w:t>bien</w:t>
      </w:r>
      <w:r w:rsidRPr="002C4077">
        <w:t xml:space="preserve"> </w:t>
      </w:r>
      <w:r>
        <w:t>ainsi</w:t>
      </w:r>
      <w:r w:rsidRPr="002C4077">
        <w:t xml:space="preserve"> </w:t>
      </w:r>
      <w:r>
        <w:t>que</w:t>
      </w:r>
      <w:r w:rsidRPr="002C4077">
        <w:t xml:space="preserve"> </w:t>
      </w:r>
      <w:r>
        <w:t>Nazareth</w:t>
      </w:r>
      <w:r w:rsidRPr="002C4077">
        <w:t xml:space="preserve"> </w:t>
      </w:r>
      <w:r>
        <w:t>était</w:t>
      </w:r>
      <w:r w:rsidRPr="002C4077">
        <w:t xml:space="preserve"> </w:t>
      </w:r>
      <w:r>
        <w:t>autrefois</w:t>
      </w:r>
      <w:r w:rsidRPr="002C4077">
        <w:t xml:space="preserve"> </w:t>
      </w:r>
      <w:r>
        <w:t>apparue</w:t>
      </w:r>
      <w:r w:rsidRPr="002C4077">
        <w:t xml:space="preserve"> </w:t>
      </w:r>
      <w:r>
        <w:t>aux</w:t>
      </w:r>
      <w:r w:rsidRPr="002C4077">
        <w:t xml:space="preserve"> </w:t>
      </w:r>
      <w:r>
        <w:t>anciens</w:t>
      </w:r>
      <w:r w:rsidRPr="002C4077">
        <w:t xml:space="preserve"> </w:t>
      </w:r>
      <w:r>
        <w:t>pèlerins.</w:t>
      </w:r>
      <w:r w:rsidRPr="002C4077">
        <w:t xml:space="preserve"> </w:t>
      </w:r>
      <w:r w:rsidR="00B546AF">
        <w:t>« </w:t>
      </w:r>
      <w:r>
        <w:t>Elle</w:t>
      </w:r>
      <w:r w:rsidRPr="002C4077">
        <w:t xml:space="preserve"> </w:t>
      </w:r>
      <w:r w:rsidR="00425C50">
        <w:t>est</w:t>
      </w:r>
      <w:r w:rsidRPr="002C4077">
        <w:t xml:space="preserve"> </w:t>
      </w:r>
      <w:r>
        <w:t>construite,</w:t>
      </w:r>
      <w:r w:rsidRPr="002C4077">
        <w:t xml:space="preserve"> </w:t>
      </w:r>
      <w:r>
        <w:t>disait</w:t>
      </w:r>
      <w:r w:rsidRPr="002C4077">
        <w:t xml:space="preserve"> </w:t>
      </w:r>
      <w:r>
        <w:t>Phocas</w:t>
      </w:r>
      <w:r w:rsidRPr="002C4077">
        <w:t xml:space="preserve"> </w:t>
      </w:r>
      <w:r>
        <w:t>au</w:t>
      </w:r>
      <w:r w:rsidRPr="002C4077">
        <w:t xml:space="preserve"> </w:t>
      </w:r>
      <w:r>
        <w:t>X</w:t>
      </w:r>
      <w:r w:rsidR="007B3C26">
        <w:t>II</w:t>
      </w:r>
      <w:r w:rsidR="007B3C26" w:rsidRPr="007B3C26">
        <w:rPr>
          <w:vertAlign w:val="superscript"/>
        </w:rPr>
        <w:t>e</w:t>
      </w:r>
      <w:r w:rsidRPr="002C4077">
        <w:t xml:space="preserve"> </w:t>
      </w:r>
      <w:r>
        <w:t>siècle</w:t>
      </w:r>
      <w:r w:rsidR="00B91AF7">
        <w:rPr>
          <w:rStyle w:val="Appelnotedebasdep"/>
        </w:rPr>
        <w:footnoteReference w:id="717"/>
      </w:r>
      <w:r>
        <w:t>,</w:t>
      </w:r>
      <w:r w:rsidRPr="002C4077">
        <w:t xml:space="preserve"> </w:t>
      </w:r>
      <w:r>
        <w:t>parmi</w:t>
      </w:r>
      <w:r w:rsidRPr="002C4077">
        <w:t xml:space="preserve"> </w:t>
      </w:r>
      <w:r>
        <w:t>des</w:t>
      </w:r>
      <w:r w:rsidRPr="002C4077">
        <w:t xml:space="preserve"> </w:t>
      </w:r>
      <w:r>
        <w:t>collines</w:t>
      </w:r>
      <w:r w:rsidRPr="002C4077">
        <w:t xml:space="preserve"> </w:t>
      </w:r>
      <w:r>
        <w:t>de</w:t>
      </w:r>
      <w:r w:rsidRPr="002C4077">
        <w:t xml:space="preserve"> </w:t>
      </w:r>
      <w:r>
        <w:t>différentes</w:t>
      </w:r>
      <w:r w:rsidRPr="002C4077">
        <w:t xml:space="preserve"> </w:t>
      </w:r>
      <w:r>
        <w:t>grandeurs,</w:t>
      </w:r>
      <w:r w:rsidRPr="002C4077">
        <w:t xml:space="preserve"> </w:t>
      </w:r>
      <w:r>
        <w:t>au</w:t>
      </w:r>
      <w:r w:rsidRPr="002C4077">
        <w:t xml:space="preserve"> </w:t>
      </w:r>
      <w:r>
        <w:t>sein</w:t>
      </w:r>
      <w:r w:rsidRPr="002C4077">
        <w:t xml:space="preserve"> </w:t>
      </w:r>
      <w:r>
        <w:t>de</w:t>
      </w:r>
      <w:r w:rsidRPr="002C4077">
        <w:t xml:space="preserve"> </w:t>
      </w:r>
      <w:r>
        <w:t>la</w:t>
      </w:r>
      <w:r w:rsidRPr="002C4077">
        <w:t xml:space="preserve"> </w:t>
      </w:r>
      <w:r>
        <w:t>vallée</w:t>
      </w:r>
      <w:r w:rsidRPr="002C4077">
        <w:t xml:space="preserve"> </w:t>
      </w:r>
      <w:r>
        <w:t>formée</w:t>
      </w:r>
      <w:r w:rsidRPr="002C4077">
        <w:t xml:space="preserve"> </w:t>
      </w:r>
      <w:r>
        <w:t>par</w:t>
      </w:r>
      <w:r w:rsidRPr="002C4077">
        <w:t xml:space="preserve"> </w:t>
      </w:r>
      <w:r>
        <w:t>elles</w:t>
      </w:r>
      <w:r w:rsidR="00B546AF">
        <w:t> »</w:t>
      </w:r>
      <w:r>
        <w:t>.</w:t>
      </w:r>
      <w:r w:rsidRPr="002C4077">
        <w:t xml:space="preserve"> </w:t>
      </w:r>
      <w:r>
        <w:t>Guillaume</w:t>
      </w:r>
      <w:r w:rsidRPr="002C4077">
        <w:t xml:space="preserve"> </w:t>
      </w:r>
      <w:r>
        <w:t>de</w:t>
      </w:r>
      <w:r w:rsidRPr="002C4077">
        <w:t xml:space="preserve"> </w:t>
      </w:r>
      <w:r>
        <w:t>Tyr</w:t>
      </w:r>
      <w:r w:rsidR="00B91AF7">
        <w:rPr>
          <w:rStyle w:val="Appelnotedebasdep"/>
        </w:rPr>
        <w:footnoteReference w:id="718"/>
      </w:r>
      <w:r w:rsidRPr="002C4077">
        <w:t xml:space="preserve"> </w:t>
      </w:r>
      <w:r>
        <w:t>parle</w:t>
      </w:r>
      <w:r w:rsidRPr="002C4077">
        <w:t xml:space="preserve"> </w:t>
      </w:r>
      <w:r>
        <w:t>également</w:t>
      </w:r>
      <w:r w:rsidRPr="002C4077">
        <w:t xml:space="preserve"> </w:t>
      </w:r>
      <w:r>
        <w:t>des</w:t>
      </w:r>
      <w:r w:rsidRPr="002C4077">
        <w:t xml:space="preserve"> </w:t>
      </w:r>
      <w:r>
        <w:t>hauteurs</w:t>
      </w:r>
      <w:r w:rsidRPr="002C4077">
        <w:t xml:space="preserve"> </w:t>
      </w:r>
      <w:r>
        <w:t>au</w:t>
      </w:r>
      <w:r w:rsidRPr="002C4077">
        <w:t xml:space="preserve"> </w:t>
      </w:r>
      <w:r>
        <w:t>milieu</w:t>
      </w:r>
      <w:r w:rsidRPr="002C4077">
        <w:t xml:space="preserve"> </w:t>
      </w:r>
      <w:r>
        <w:t>desquelles</w:t>
      </w:r>
      <w:r w:rsidRPr="002C4077">
        <w:t xml:space="preserve"> </w:t>
      </w:r>
      <w:r w:rsidR="00425C50">
        <w:t>est</w:t>
      </w:r>
      <w:r w:rsidRPr="002C4077">
        <w:t xml:space="preserve"> </w:t>
      </w:r>
      <w:r>
        <w:t>située</w:t>
      </w:r>
      <w:r w:rsidRPr="002C4077">
        <w:t xml:space="preserve"> </w:t>
      </w:r>
      <w:r>
        <w:t>Nazareth.</w:t>
      </w:r>
      <w:r w:rsidRPr="002C4077">
        <w:t xml:space="preserve"> </w:t>
      </w:r>
    </w:p>
    <w:p w:rsidR="000A7AAB" w:rsidRPr="009269FC" w:rsidRDefault="000A7AAB" w:rsidP="000A7AAB">
      <w:pPr>
        <w:rPr>
          <w:rStyle w:val="italicus"/>
        </w:rPr>
      </w:pPr>
      <w:r>
        <w:t>La</w:t>
      </w:r>
      <w:r w:rsidRPr="002C4077">
        <w:t xml:space="preserve"> </w:t>
      </w:r>
      <w:r>
        <w:t>petite</w:t>
      </w:r>
      <w:r w:rsidRPr="002C4077">
        <w:t xml:space="preserve"> </w:t>
      </w:r>
      <w:r>
        <w:t>vallée</w:t>
      </w:r>
      <w:r w:rsidRPr="002C4077">
        <w:t xml:space="preserve"> </w:t>
      </w:r>
      <w:r>
        <w:t>de</w:t>
      </w:r>
      <w:r w:rsidRPr="002C4077">
        <w:t xml:space="preserve"> </w:t>
      </w:r>
      <w:r>
        <w:t>Nazareth</w:t>
      </w:r>
      <w:r w:rsidRPr="002C4077">
        <w:t xml:space="preserve"> </w:t>
      </w:r>
      <w:r>
        <w:t>s’étend</w:t>
      </w:r>
      <w:r w:rsidRPr="002C4077">
        <w:t xml:space="preserve"> </w:t>
      </w:r>
      <w:r>
        <w:t>du</w:t>
      </w:r>
      <w:r w:rsidRPr="002C4077">
        <w:t xml:space="preserve"> </w:t>
      </w:r>
      <w:r>
        <w:t>S.</w:t>
      </w:r>
      <w:r w:rsidRPr="002C4077">
        <w:t xml:space="preserve"> </w:t>
      </w:r>
      <w:r>
        <w:t>S.</w:t>
      </w:r>
      <w:r w:rsidRPr="002C4077">
        <w:t xml:space="preserve"> </w:t>
      </w:r>
      <w:r w:rsidR="002F7AFA">
        <w:t>O</w:t>
      </w:r>
      <w:r>
        <w:t>.</w:t>
      </w:r>
      <w:r w:rsidRPr="002C4077">
        <w:t xml:space="preserve"> </w:t>
      </w:r>
      <w:r>
        <w:t>au</w:t>
      </w:r>
      <w:r w:rsidRPr="002C4077">
        <w:t xml:space="preserve"> </w:t>
      </w:r>
      <w:r>
        <w:t>N.</w:t>
      </w:r>
      <w:r w:rsidRPr="002C4077">
        <w:t xml:space="preserve"> </w:t>
      </w:r>
      <w:r>
        <w:t>N.</w:t>
      </w:r>
      <w:r w:rsidRPr="002C4077">
        <w:t xml:space="preserve"> </w:t>
      </w:r>
      <w:r>
        <w:t>E.</w:t>
      </w:r>
      <w:r w:rsidR="00B546AF">
        <w:t> :</w:t>
      </w:r>
      <w:r w:rsidRPr="002C4077">
        <w:t xml:space="preserve"> </w:t>
      </w:r>
      <w:r>
        <w:t>on</w:t>
      </w:r>
      <w:r w:rsidRPr="002C4077">
        <w:t xml:space="preserve"> </w:t>
      </w:r>
      <w:r>
        <w:t>la</w:t>
      </w:r>
      <w:r w:rsidRPr="002C4077">
        <w:t xml:space="preserve"> </w:t>
      </w:r>
      <w:r>
        <w:t>parcourt</w:t>
      </w:r>
      <w:r w:rsidRPr="002C4077">
        <w:t xml:space="preserve"> </w:t>
      </w:r>
      <w:r>
        <w:t>en</w:t>
      </w:r>
      <w:r w:rsidRPr="002C4077">
        <w:t xml:space="preserve"> </w:t>
      </w:r>
      <w:r>
        <w:t>vingt</w:t>
      </w:r>
      <w:r w:rsidRPr="002C4077">
        <w:t xml:space="preserve"> </w:t>
      </w:r>
      <w:r>
        <w:t>minutes</w:t>
      </w:r>
      <w:r w:rsidRPr="002C4077">
        <w:t xml:space="preserve"> </w:t>
      </w:r>
      <w:r>
        <w:t>dans</w:t>
      </w:r>
      <w:r w:rsidRPr="002C4077">
        <w:t xml:space="preserve"> </w:t>
      </w:r>
      <w:r>
        <w:t>le</w:t>
      </w:r>
      <w:r w:rsidRPr="002C4077">
        <w:t xml:space="preserve"> </w:t>
      </w:r>
      <w:r>
        <w:t>sens</w:t>
      </w:r>
      <w:r w:rsidRPr="002C4077">
        <w:t xml:space="preserve"> </w:t>
      </w:r>
      <w:r>
        <w:t>de</w:t>
      </w:r>
      <w:r w:rsidRPr="002C4077">
        <w:t xml:space="preserve"> </w:t>
      </w:r>
      <w:r>
        <w:t>la</w:t>
      </w:r>
      <w:r w:rsidRPr="002C4077">
        <w:t xml:space="preserve"> </w:t>
      </w:r>
      <w:r>
        <w:t>longueur</w:t>
      </w:r>
      <w:r w:rsidR="00B546AF">
        <w:t> ;</w:t>
      </w:r>
      <w:r w:rsidRPr="002C4077">
        <w:t xml:space="preserve"> </w:t>
      </w:r>
      <w:r>
        <w:t>en</w:t>
      </w:r>
      <w:r w:rsidRPr="002C4077">
        <w:t xml:space="preserve"> </w:t>
      </w:r>
      <w:r>
        <w:t>moins</w:t>
      </w:r>
      <w:r w:rsidRPr="002C4077">
        <w:t xml:space="preserve"> </w:t>
      </w:r>
      <w:r>
        <w:t>de</w:t>
      </w:r>
      <w:r w:rsidRPr="002C4077">
        <w:t xml:space="preserve"> </w:t>
      </w:r>
      <w:r>
        <w:t>dix</w:t>
      </w:r>
      <w:r w:rsidRPr="002C4077">
        <w:t xml:space="preserve"> </w:t>
      </w:r>
      <w:r>
        <w:t>minutes</w:t>
      </w:r>
      <w:r w:rsidRPr="002C4077">
        <w:t xml:space="preserve"> </w:t>
      </w:r>
      <w:r>
        <w:t>dans</w:t>
      </w:r>
      <w:r w:rsidRPr="002C4077">
        <w:t xml:space="preserve"> </w:t>
      </w:r>
      <w:r w:rsidR="003B53FD">
        <w:t>celui</w:t>
      </w:r>
      <w:r w:rsidRPr="002C4077">
        <w:t xml:space="preserve"> </w:t>
      </w:r>
      <w:r>
        <w:t>de</w:t>
      </w:r>
      <w:r w:rsidRPr="002C4077">
        <w:t xml:space="preserve"> </w:t>
      </w:r>
      <w:r>
        <w:t>la</w:t>
      </w:r>
      <w:r w:rsidRPr="002C4077">
        <w:t xml:space="preserve"> </w:t>
      </w:r>
      <w:r>
        <w:t>largeur.</w:t>
      </w:r>
      <w:r w:rsidR="00C45B47">
        <w:t xml:space="preserve"> {</w:t>
      </w:r>
      <w:r w:rsidR="001F5257">
        <w:t>214</w:t>
      </w:r>
      <w:bookmarkStart w:id="528" w:name="p214"/>
      <w:bookmarkEnd w:id="528"/>
      <w:r w:rsidR="001F5257">
        <w:t xml:space="preserve">} </w:t>
      </w:r>
      <w:r>
        <w:t>Son</w:t>
      </w:r>
      <w:r w:rsidRPr="002C4077">
        <w:t xml:space="preserve"> </w:t>
      </w:r>
      <w:r>
        <w:t>altitude</w:t>
      </w:r>
      <w:r w:rsidRPr="002C4077">
        <w:t xml:space="preserve"> </w:t>
      </w:r>
      <w:r w:rsidR="00425C50">
        <w:t>est</w:t>
      </w:r>
      <w:r w:rsidRPr="002C4077">
        <w:t xml:space="preserve"> </w:t>
      </w:r>
      <w:r>
        <w:t>d’environ</w:t>
      </w:r>
      <w:r w:rsidRPr="002C4077">
        <w:t xml:space="preserve"> </w:t>
      </w:r>
      <w:r>
        <w:t>huit</w:t>
      </w:r>
      <w:r w:rsidRPr="002C4077">
        <w:t xml:space="preserve"> </w:t>
      </w:r>
      <w:r>
        <w:t>cents</w:t>
      </w:r>
      <w:r w:rsidRPr="002C4077">
        <w:t xml:space="preserve"> </w:t>
      </w:r>
      <w:r>
        <w:t>pieds</w:t>
      </w:r>
      <w:r w:rsidRPr="002C4077">
        <w:t xml:space="preserve"> </w:t>
      </w:r>
      <w:r>
        <w:t>au-dessus</w:t>
      </w:r>
      <w:r w:rsidRPr="002C4077">
        <w:t xml:space="preserve"> </w:t>
      </w:r>
      <w:r>
        <w:t>du</w:t>
      </w:r>
      <w:r w:rsidRPr="002C4077">
        <w:t xml:space="preserve"> </w:t>
      </w:r>
      <w:r>
        <w:t>niveau</w:t>
      </w:r>
      <w:r w:rsidRPr="002C4077">
        <w:t xml:space="preserve"> </w:t>
      </w:r>
      <w:r>
        <w:t>de</w:t>
      </w:r>
      <w:r w:rsidRPr="002C4077">
        <w:t xml:space="preserve"> </w:t>
      </w:r>
      <w:r>
        <w:t>la</w:t>
      </w:r>
      <w:r w:rsidRPr="002C4077">
        <w:t xml:space="preserve"> </w:t>
      </w:r>
      <w:r>
        <w:t>mer.</w:t>
      </w:r>
      <w:r w:rsidRPr="002C4077">
        <w:t xml:space="preserve"> </w:t>
      </w:r>
      <w:r>
        <w:t>Elle</w:t>
      </w:r>
      <w:r w:rsidRPr="002C4077">
        <w:t xml:space="preserve"> </w:t>
      </w:r>
      <w:r w:rsidR="00425C50">
        <w:t>est</w:t>
      </w:r>
      <w:r w:rsidRPr="002C4077">
        <w:t xml:space="preserve"> </w:t>
      </w:r>
      <w:r>
        <w:t>fertile</w:t>
      </w:r>
      <w:r w:rsidRPr="002C4077">
        <w:t xml:space="preserve"> </w:t>
      </w:r>
      <w:r>
        <w:t>et</w:t>
      </w:r>
      <w:r w:rsidRPr="002C4077">
        <w:t xml:space="preserve"> </w:t>
      </w:r>
      <w:r>
        <w:t>généralement</w:t>
      </w:r>
      <w:r w:rsidRPr="002C4077">
        <w:t xml:space="preserve"> </w:t>
      </w:r>
      <w:r>
        <w:t>bien</w:t>
      </w:r>
      <w:r w:rsidRPr="002C4077">
        <w:t xml:space="preserve"> </w:t>
      </w:r>
      <w:r>
        <w:t>cultivée.</w:t>
      </w:r>
      <w:r w:rsidRPr="002C4077">
        <w:t xml:space="preserve"> </w:t>
      </w:r>
      <w:r>
        <w:t>Ses</w:t>
      </w:r>
      <w:r w:rsidRPr="002C4077">
        <w:t xml:space="preserve"> </w:t>
      </w:r>
      <w:r>
        <w:t>champs</w:t>
      </w:r>
      <w:r w:rsidRPr="002C4077">
        <w:t xml:space="preserve"> </w:t>
      </w:r>
      <w:r>
        <w:t>et</w:t>
      </w:r>
      <w:r w:rsidRPr="002C4077">
        <w:t xml:space="preserve"> </w:t>
      </w:r>
      <w:r>
        <w:t>ses</w:t>
      </w:r>
      <w:r w:rsidRPr="002C4077">
        <w:t xml:space="preserve"> </w:t>
      </w:r>
      <w:r>
        <w:t>jardins</w:t>
      </w:r>
      <w:r w:rsidRPr="002C4077">
        <w:t xml:space="preserve"> </w:t>
      </w:r>
      <w:r>
        <w:t>jouissaient</w:t>
      </w:r>
      <w:r w:rsidRPr="002C4077">
        <w:t xml:space="preserve"> </w:t>
      </w:r>
      <w:r>
        <w:t>déjà</w:t>
      </w:r>
      <w:r w:rsidRPr="002C4077">
        <w:t xml:space="preserve"> </w:t>
      </w:r>
      <w:r>
        <w:t>d’une</w:t>
      </w:r>
      <w:r w:rsidRPr="002C4077">
        <w:t xml:space="preserve"> </w:t>
      </w:r>
      <w:r>
        <w:t>grande</w:t>
      </w:r>
      <w:r w:rsidRPr="002C4077">
        <w:t xml:space="preserve"> </w:t>
      </w:r>
      <w:r>
        <w:t>réputation</w:t>
      </w:r>
      <w:r w:rsidRPr="002C4077">
        <w:t xml:space="preserve"> </w:t>
      </w:r>
      <w:r>
        <w:t>au</w:t>
      </w:r>
      <w:r w:rsidRPr="002C4077">
        <w:t xml:space="preserve"> </w:t>
      </w:r>
      <w:r w:rsidR="007B3C26">
        <w:t>VI</w:t>
      </w:r>
      <w:r w:rsidR="007B3C26" w:rsidRPr="007B3C26">
        <w:rPr>
          <w:vertAlign w:val="superscript"/>
        </w:rPr>
        <w:t>e</w:t>
      </w:r>
      <w:r w:rsidRPr="002C4077">
        <w:t xml:space="preserve"> </w:t>
      </w:r>
      <w:r>
        <w:t>siècle,</w:t>
      </w:r>
      <w:r w:rsidRPr="002C4077">
        <w:t xml:space="preserve"> </w:t>
      </w:r>
      <w:r>
        <w:t>car</w:t>
      </w:r>
      <w:r w:rsidRPr="002C4077">
        <w:t xml:space="preserve"> </w:t>
      </w:r>
      <w:r>
        <w:t>saint</w:t>
      </w:r>
      <w:r w:rsidRPr="002C4077">
        <w:t xml:space="preserve"> </w:t>
      </w:r>
      <w:r>
        <w:t>Antonin</w:t>
      </w:r>
      <w:r w:rsidRPr="002C4077">
        <w:t xml:space="preserve"> </w:t>
      </w:r>
      <w:r>
        <w:t>le</w:t>
      </w:r>
      <w:r w:rsidRPr="002C4077">
        <w:t xml:space="preserve"> </w:t>
      </w:r>
      <w:r>
        <w:t>Martyr</w:t>
      </w:r>
      <w:r w:rsidRPr="002C4077">
        <w:t xml:space="preserve"> </w:t>
      </w:r>
      <w:r>
        <w:t>les</w:t>
      </w:r>
      <w:r w:rsidRPr="002C4077">
        <w:t xml:space="preserve"> </w:t>
      </w:r>
      <w:r>
        <w:t>mentionne</w:t>
      </w:r>
      <w:r w:rsidRPr="002C4077">
        <w:t xml:space="preserve"> </w:t>
      </w:r>
      <w:r>
        <w:t>dans</w:t>
      </w:r>
      <w:r w:rsidRPr="002C4077">
        <w:t xml:space="preserve"> </w:t>
      </w:r>
      <w:r>
        <w:t>son</w:t>
      </w:r>
      <w:r w:rsidRPr="002C4077">
        <w:t xml:space="preserve"> </w:t>
      </w:r>
      <w:r>
        <w:t>Itinéraire,</w:t>
      </w:r>
      <w:r w:rsidRPr="002C4077">
        <w:t xml:space="preserve"> </w:t>
      </w:r>
      <w:r>
        <w:t>comparant</w:t>
      </w:r>
      <w:r w:rsidRPr="002C4077">
        <w:t xml:space="preserve"> </w:t>
      </w:r>
      <w:r>
        <w:t>leur</w:t>
      </w:r>
      <w:r w:rsidRPr="002C4077">
        <w:t xml:space="preserve"> </w:t>
      </w:r>
      <w:r>
        <w:t>fraîcheur</w:t>
      </w:r>
      <w:r w:rsidRPr="002C4077">
        <w:t xml:space="preserve"> </w:t>
      </w:r>
      <w:r>
        <w:t>à</w:t>
      </w:r>
      <w:r w:rsidRPr="002C4077">
        <w:t xml:space="preserve"> </w:t>
      </w:r>
      <w:r>
        <w:t>celle</w:t>
      </w:r>
      <w:r w:rsidRPr="002C4077">
        <w:t xml:space="preserve"> </w:t>
      </w:r>
      <w:r>
        <w:t>de</w:t>
      </w:r>
      <w:r w:rsidRPr="002C4077">
        <w:t xml:space="preserve"> </w:t>
      </w:r>
      <w:r>
        <w:t>l’Éden</w:t>
      </w:r>
      <w:r w:rsidR="00B546AF">
        <w:t> :</w:t>
      </w:r>
      <w:r w:rsidRPr="002C4077">
        <w:t xml:space="preserve"> </w:t>
      </w:r>
      <w:r w:rsidRPr="009269FC">
        <w:rPr>
          <w:rStyle w:val="italicus"/>
        </w:rPr>
        <w:t>P</w:t>
      </w:r>
      <w:r w:rsidR="001730C6" w:rsidRPr="009269FC">
        <w:rPr>
          <w:rStyle w:val="italicus"/>
        </w:rPr>
        <w:t>ar</w:t>
      </w:r>
      <w:r w:rsidRPr="009269FC">
        <w:rPr>
          <w:rStyle w:val="italicus"/>
        </w:rPr>
        <w:t xml:space="preserve">adiso </w:t>
      </w:r>
      <w:r w:rsidR="003B53FD" w:rsidRPr="009269FC">
        <w:rPr>
          <w:rStyle w:val="italicus"/>
        </w:rPr>
        <w:t>símilem</w:t>
      </w:r>
      <w:r w:rsidR="002F7AFA" w:rsidRPr="004440EA">
        <w:t xml:space="preserve"> (</w:t>
      </w:r>
      <w:r w:rsidRPr="002F7AFA">
        <w:rPr>
          <w:rStyle w:val="italicus"/>
        </w:rPr>
        <w:t>reg</w:t>
      </w:r>
      <w:r w:rsidR="003B53FD" w:rsidRPr="002F7AFA">
        <w:rPr>
          <w:rStyle w:val="italicus"/>
        </w:rPr>
        <w:t>iónem</w:t>
      </w:r>
      <w:r w:rsidR="00B546AF" w:rsidRPr="002C4077">
        <w:t>)</w:t>
      </w:r>
      <w:r w:rsidRPr="009269FC">
        <w:rPr>
          <w:rStyle w:val="italicus"/>
        </w:rPr>
        <w:t xml:space="preserve">, </w:t>
      </w:r>
      <w:r w:rsidR="0043070A" w:rsidRPr="009269FC">
        <w:rPr>
          <w:rStyle w:val="italicus"/>
        </w:rPr>
        <w:t>trítico</w:t>
      </w:r>
      <w:r w:rsidRPr="009269FC">
        <w:rPr>
          <w:rStyle w:val="italicus"/>
        </w:rPr>
        <w:t xml:space="preserve"> et fr</w:t>
      </w:r>
      <w:r w:rsidR="003B53FD" w:rsidRPr="009269FC">
        <w:rPr>
          <w:rStyle w:val="italicus"/>
        </w:rPr>
        <w:t>úgibus</w:t>
      </w:r>
      <w:r w:rsidRPr="009269FC">
        <w:rPr>
          <w:rStyle w:val="italicus"/>
        </w:rPr>
        <w:t xml:space="preserve"> </w:t>
      </w:r>
      <w:r w:rsidR="003B53FD" w:rsidRPr="009269FC">
        <w:rPr>
          <w:rStyle w:val="italicus"/>
        </w:rPr>
        <w:t>símilem</w:t>
      </w:r>
      <w:r w:rsidRPr="009269FC">
        <w:rPr>
          <w:rStyle w:val="italicus"/>
        </w:rPr>
        <w:t xml:space="preserve"> </w:t>
      </w:r>
      <w:r w:rsidR="0043070A" w:rsidRPr="009269FC">
        <w:rPr>
          <w:rStyle w:val="italicus"/>
        </w:rPr>
        <w:t>Ægýpto</w:t>
      </w:r>
      <w:r w:rsidR="00B546AF" w:rsidRPr="009269FC">
        <w:rPr>
          <w:rStyle w:val="italicus"/>
        </w:rPr>
        <w:t> ;</w:t>
      </w:r>
      <w:r w:rsidRPr="009269FC">
        <w:rPr>
          <w:rStyle w:val="italicus"/>
        </w:rPr>
        <w:t xml:space="preserve"> vinum, </w:t>
      </w:r>
      <w:r w:rsidR="0043070A" w:rsidRPr="009269FC">
        <w:rPr>
          <w:rStyle w:val="italicus"/>
        </w:rPr>
        <w:t>óleum</w:t>
      </w:r>
      <w:r w:rsidRPr="009269FC">
        <w:rPr>
          <w:rStyle w:val="italicus"/>
        </w:rPr>
        <w:t>, mel illic optima, et m</w:t>
      </w:r>
      <w:r w:rsidR="003B53FD" w:rsidRPr="009269FC">
        <w:rPr>
          <w:rStyle w:val="italicus"/>
        </w:rPr>
        <w:t>ílium</w:t>
      </w:r>
      <w:r w:rsidRPr="009269FC">
        <w:rPr>
          <w:rStyle w:val="italicus"/>
        </w:rPr>
        <w:t xml:space="preserve"> al tum nimis, et p</w:t>
      </w:r>
      <w:r w:rsidR="003B53FD" w:rsidRPr="009269FC">
        <w:rPr>
          <w:rStyle w:val="italicus"/>
        </w:rPr>
        <w:t>áleam</w:t>
      </w:r>
      <w:r w:rsidRPr="009269FC">
        <w:rPr>
          <w:rStyle w:val="italicus"/>
        </w:rPr>
        <w:t xml:space="preserve"> grossam. </w:t>
      </w:r>
    </w:p>
    <w:p w:rsidR="009269FC" w:rsidRDefault="009269FC" w:rsidP="000A7AAB"/>
    <w:p w:rsidR="000A7AAB" w:rsidRDefault="000A7AAB" w:rsidP="000A7AAB">
      <w:r>
        <w:lastRenderedPageBreak/>
        <w:t>Vue</w:t>
      </w:r>
      <w:r w:rsidRPr="002C4077">
        <w:t xml:space="preserve"> </w:t>
      </w:r>
      <w:r>
        <w:t>à</w:t>
      </w:r>
      <w:r w:rsidRPr="002C4077">
        <w:t xml:space="preserve"> </w:t>
      </w:r>
      <w:r>
        <w:t>distance,</w:t>
      </w:r>
      <w:r w:rsidRPr="002C4077">
        <w:t xml:space="preserve"> </w:t>
      </w:r>
      <w:r>
        <w:t>la</w:t>
      </w:r>
      <w:r w:rsidRPr="002C4077">
        <w:t xml:space="preserve"> </w:t>
      </w:r>
      <w:r>
        <w:t>ville</w:t>
      </w:r>
      <w:r w:rsidRPr="002C4077">
        <w:t xml:space="preserve"> </w:t>
      </w:r>
      <w:r>
        <w:t>qui</w:t>
      </w:r>
      <w:r w:rsidRPr="002C4077">
        <w:t xml:space="preserve"> </w:t>
      </w:r>
      <w:r>
        <w:t>repose</w:t>
      </w:r>
      <w:r w:rsidRPr="002C4077">
        <w:t xml:space="preserve"> </w:t>
      </w:r>
      <w:r>
        <w:t>dans</w:t>
      </w:r>
      <w:r w:rsidRPr="002C4077">
        <w:t xml:space="preserve"> </w:t>
      </w:r>
      <w:r>
        <w:t>ce</w:t>
      </w:r>
      <w:r w:rsidRPr="002C4077">
        <w:t xml:space="preserve"> </w:t>
      </w:r>
      <w:r>
        <w:t>site</w:t>
      </w:r>
      <w:r w:rsidRPr="002C4077">
        <w:t xml:space="preserve"> </w:t>
      </w:r>
      <w:r>
        <w:t>aimable</w:t>
      </w:r>
      <w:r w:rsidRPr="002C4077">
        <w:t xml:space="preserve"> </w:t>
      </w:r>
      <w:r>
        <w:t>offre</w:t>
      </w:r>
      <w:r w:rsidRPr="002C4077">
        <w:t xml:space="preserve"> </w:t>
      </w:r>
      <w:r>
        <w:t>un</w:t>
      </w:r>
      <w:r w:rsidRPr="002C4077">
        <w:t xml:space="preserve"> </w:t>
      </w:r>
      <w:r>
        <w:t>aspect</w:t>
      </w:r>
      <w:r w:rsidRPr="002C4077">
        <w:t xml:space="preserve"> </w:t>
      </w:r>
      <w:r>
        <w:t>vraiment</w:t>
      </w:r>
      <w:r w:rsidRPr="002C4077">
        <w:t xml:space="preserve"> </w:t>
      </w:r>
      <w:r>
        <w:t>charmant.</w:t>
      </w:r>
      <w:r w:rsidRPr="002C4077">
        <w:t xml:space="preserve"> </w:t>
      </w:r>
      <w:r>
        <w:t>Les</w:t>
      </w:r>
      <w:r w:rsidRPr="002C4077">
        <w:t xml:space="preserve"> </w:t>
      </w:r>
      <w:r>
        <w:t>maisons</w:t>
      </w:r>
      <w:r w:rsidRPr="002C4077">
        <w:t xml:space="preserve"> </w:t>
      </w:r>
      <w:r>
        <w:t>sont</w:t>
      </w:r>
      <w:r w:rsidRPr="002C4077">
        <w:t xml:space="preserve"> </w:t>
      </w:r>
      <w:r>
        <w:t>arrangées</w:t>
      </w:r>
      <w:r w:rsidRPr="002C4077">
        <w:t xml:space="preserve"> </w:t>
      </w:r>
      <w:r>
        <w:t>en</w:t>
      </w:r>
      <w:r w:rsidRPr="002C4077">
        <w:t xml:space="preserve"> </w:t>
      </w:r>
      <w:r>
        <w:t>gradins</w:t>
      </w:r>
      <w:r w:rsidRPr="002C4077">
        <w:t xml:space="preserve"> </w:t>
      </w:r>
      <w:r>
        <w:t>irréguliers.</w:t>
      </w:r>
      <w:r w:rsidRPr="002C4077">
        <w:t xml:space="preserve"> </w:t>
      </w:r>
      <w:r>
        <w:t>Il</w:t>
      </w:r>
      <w:r w:rsidRPr="002C4077">
        <w:t xml:space="preserve"> </w:t>
      </w:r>
      <w:r>
        <w:t>y</w:t>
      </w:r>
      <w:r w:rsidRPr="002C4077">
        <w:t xml:space="preserve"> </w:t>
      </w:r>
      <w:r>
        <w:t>a</w:t>
      </w:r>
      <w:r w:rsidRPr="002C4077">
        <w:t xml:space="preserve"> </w:t>
      </w:r>
      <w:r>
        <w:t>sans</w:t>
      </w:r>
      <w:r w:rsidRPr="002C4077">
        <w:t xml:space="preserve"> </w:t>
      </w:r>
      <w:r>
        <w:t>doute,</w:t>
      </w:r>
      <w:r w:rsidRPr="002C4077">
        <w:t xml:space="preserve"> </w:t>
      </w:r>
      <w:r>
        <w:t>comme</w:t>
      </w:r>
      <w:r w:rsidRPr="002C4077">
        <w:t xml:space="preserve"> </w:t>
      </w:r>
      <w:r>
        <w:t>partout</w:t>
      </w:r>
      <w:r w:rsidRPr="002C4077">
        <w:t xml:space="preserve"> </w:t>
      </w:r>
      <w:r>
        <w:t>ailleurs,</w:t>
      </w:r>
      <w:r w:rsidRPr="002C4077">
        <w:t xml:space="preserve"> </w:t>
      </w:r>
      <w:r>
        <w:t>les</w:t>
      </w:r>
      <w:r w:rsidRPr="002C4077">
        <w:t xml:space="preserve"> </w:t>
      </w:r>
      <w:r>
        <w:t>masures</w:t>
      </w:r>
      <w:r w:rsidRPr="002C4077">
        <w:t xml:space="preserve"> </w:t>
      </w:r>
      <w:r>
        <w:t>des</w:t>
      </w:r>
      <w:r w:rsidRPr="002C4077">
        <w:t xml:space="preserve"> </w:t>
      </w:r>
      <w:r>
        <w:t>pauvres,</w:t>
      </w:r>
      <w:r w:rsidRPr="002C4077">
        <w:t xml:space="preserve"> </w:t>
      </w:r>
      <w:r>
        <w:t>qui</w:t>
      </w:r>
      <w:r w:rsidRPr="002C4077">
        <w:t xml:space="preserve"> </w:t>
      </w:r>
      <w:r>
        <w:t>ont</w:t>
      </w:r>
      <w:r w:rsidRPr="002C4077">
        <w:t xml:space="preserve"> </w:t>
      </w:r>
      <w:r>
        <w:t>un</w:t>
      </w:r>
      <w:r w:rsidRPr="002C4077">
        <w:t xml:space="preserve"> </w:t>
      </w:r>
      <w:r>
        <w:t>air</w:t>
      </w:r>
      <w:r w:rsidRPr="002C4077">
        <w:t xml:space="preserve"> </w:t>
      </w:r>
      <w:r>
        <w:t>très</w:t>
      </w:r>
      <w:r w:rsidRPr="002C4077">
        <w:t xml:space="preserve"> </w:t>
      </w:r>
      <w:r>
        <w:t>misérable</w:t>
      </w:r>
      <w:r w:rsidR="00B546AF">
        <w:t> ;</w:t>
      </w:r>
      <w:r w:rsidRPr="002C4077">
        <w:t xml:space="preserve"> </w:t>
      </w:r>
      <w:r>
        <w:t>mais</w:t>
      </w:r>
      <w:r w:rsidRPr="002C4077">
        <w:t xml:space="preserve"> </w:t>
      </w:r>
      <w:r>
        <w:t>la</w:t>
      </w:r>
      <w:r w:rsidRPr="002C4077">
        <w:t xml:space="preserve"> </w:t>
      </w:r>
      <w:r>
        <w:t>plupart</w:t>
      </w:r>
      <w:r w:rsidRPr="002C4077">
        <w:t xml:space="preserve"> </w:t>
      </w:r>
      <w:r>
        <w:t>des</w:t>
      </w:r>
      <w:r w:rsidRPr="002C4077">
        <w:t xml:space="preserve"> </w:t>
      </w:r>
      <w:r>
        <w:t>habitations</w:t>
      </w:r>
      <w:r w:rsidRPr="002C4077">
        <w:t xml:space="preserve"> </w:t>
      </w:r>
      <w:r>
        <w:t>sont</w:t>
      </w:r>
      <w:r w:rsidRPr="002C4077">
        <w:t xml:space="preserve"> </w:t>
      </w:r>
      <w:r>
        <w:t>assez</w:t>
      </w:r>
      <w:r w:rsidRPr="002C4077">
        <w:t xml:space="preserve"> </w:t>
      </w:r>
      <w:r>
        <w:t>bien</w:t>
      </w:r>
      <w:r w:rsidRPr="002C4077">
        <w:t xml:space="preserve"> </w:t>
      </w:r>
      <w:r>
        <w:t>bâties</w:t>
      </w:r>
      <w:r w:rsidR="00B546AF">
        <w:t> :</w:t>
      </w:r>
      <w:r w:rsidRPr="002C4077">
        <w:t xml:space="preserve"> </w:t>
      </w:r>
      <w:r>
        <w:t>quelques-unes</w:t>
      </w:r>
      <w:r w:rsidRPr="002C4077">
        <w:t xml:space="preserve"> </w:t>
      </w:r>
      <w:r>
        <w:t>même</w:t>
      </w:r>
      <w:r w:rsidRPr="002C4077">
        <w:t xml:space="preserve"> </w:t>
      </w:r>
      <w:r>
        <w:t>ont</w:t>
      </w:r>
      <w:r w:rsidRPr="002C4077">
        <w:t xml:space="preserve"> </w:t>
      </w:r>
      <w:r>
        <w:t>un</w:t>
      </w:r>
      <w:r w:rsidRPr="002C4077">
        <w:t xml:space="preserve"> </w:t>
      </w:r>
      <w:r>
        <w:t>cachet</w:t>
      </w:r>
      <w:r w:rsidRPr="002C4077">
        <w:t xml:space="preserve"> </w:t>
      </w:r>
      <w:r>
        <w:t>européen</w:t>
      </w:r>
      <w:r w:rsidRPr="002C4077">
        <w:t xml:space="preserve"> </w:t>
      </w:r>
      <w:r>
        <w:t>qui</w:t>
      </w:r>
      <w:r w:rsidRPr="002C4077">
        <w:t xml:space="preserve"> </w:t>
      </w:r>
      <w:r>
        <w:t>surprend</w:t>
      </w:r>
      <w:r w:rsidRPr="002C4077">
        <w:t xml:space="preserve"> </w:t>
      </w:r>
      <w:r>
        <w:t>le</w:t>
      </w:r>
      <w:r w:rsidRPr="002C4077">
        <w:t xml:space="preserve"> </w:t>
      </w:r>
      <w:r>
        <w:t>visiteur.</w:t>
      </w:r>
      <w:r w:rsidRPr="002C4077">
        <w:t xml:space="preserve"> </w:t>
      </w:r>
      <w:r>
        <w:t>Plusieurs</w:t>
      </w:r>
      <w:r w:rsidRPr="002C4077">
        <w:t xml:space="preserve"> </w:t>
      </w:r>
      <w:r>
        <w:t>ont</w:t>
      </w:r>
      <w:r w:rsidRPr="002C4077">
        <w:t xml:space="preserve"> </w:t>
      </w:r>
      <w:r>
        <w:t>deux</w:t>
      </w:r>
      <w:r w:rsidRPr="002C4077">
        <w:t xml:space="preserve"> </w:t>
      </w:r>
      <w:r>
        <w:t>étages.</w:t>
      </w:r>
      <w:r w:rsidRPr="002C4077">
        <w:t xml:space="preserve"> </w:t>
      </w:r>
      <w:r>
        <w:t>Leurs</w:t>
      </w:r>
      <w:r w:rsidRPr="002C4077">
        <w:t xml:space="preserve"> </w:t>
      </w:r>
      <w:r>
        <w:t>murs</w:t>
      </w:r>
      <w:r w:rsidRPr="002C4077">
        <w:t xml:space="preserve"> </w:t>
      </w:r>
      <w:r>
        <w:t>sont</w:t>
      </w:r>
      <w:r w:rsidRPr="002C4077">
        <w:t xml:space="preserve"> </w:t>
      </w:r>
      <w:r>
        <w:t>généralement</w:t>
      </w:r>
      <w:r w:rsidRPr="002C4077">
        <w:t xml:space="preserve"> </w:t>
      </w:r>
      <w:r>
        <w:t>construits</w:t>
      </w:r>
      <w:r w:rsidRPr="002C4077">
        <w:t xml:space="preserve"> </w:t>
      </w:r>
      <w:r>
        <w:t>en</w:t>
      </w:r>
      <w:r w:rsidRPr="002C4077">
        <w:t xml:space="preserve"> </w:t>
      </w:r>
      <w:r>
        <w:t>moëllons</w:t>
      </w:r>
      <w:r w:rsidRPr="002C4077">
        <w:t xml:space="preserve"> </w:t>
      </w:r>
      <w:r>
        <w:t>et</w:t>
      </w:r>
      <w:r w:rsidRPr="002C4077">
        <w:t xml:space="preserve"> </w:t>
      </w:r>
      <w:r>
        <w:t>solidement</w:t>
      </w:r>
      <w:r w:rsidRPr="002C4077">
        <w:t xml:space="preserve"> </w:t>
      </w:r>
      <w:r>
        <w:t>appuyés</w:t>
      </w:r>
      <w:r w:rsidRPr="002C4077">
        <w:t xml:space="preserve"> </w:t>
      </w:r>
      <w:r>
        <w:t>sur</w:t>
      </w:r>
      <w:r w:rsidRPr="002C4077">
        <w:t xml:space="preserve"> </w:t>
      </w:r>
      <w:r>
        <w:t>le</w:t>
      </w:r>
      <w:r w:rsidRPr="002C4077">
        <w:t xml:space="preserve"> </w:t>
      </w:r>
      <w:r>
        <w:t>roc,</w:t>
      </w:r>
      <w:r w:rsidRPr="002C4077">
        <w:t xml:space="preserve"> </w:t>
      </w:r>
      <w:r>
        <w:t>qu’on</w:t>
      </w:r>
      <w:r w:rsidRPr="002C4077">
        <w:t xml:space="preserve"> </w:t>
      </w:r>
      <w:r>
        <w:t>ne</w:t>
      </w:r>
      <w:r w:rsidRPr="002C4077">
        <w:t xml:space="preserve"> </w:t>
      </w:r>
      <w:r>
        <w:t>craint</w:t>
      </w:r>
      <w:r w:rsidRPr="002C4077">
        <w:t xml:space="preserve"> </w:t>
      </w:r>
      <w:r>
        <w:t>point,</w:t>
      </w:r>
      <w:r w:rsidRPr="002C4077">
        <w:t xml:space="preserve"> </w:t>
      </w:r>
      <w:r>
        <w:t>parfois,</w:t>
      </w:r>
      <w:r w:rsidRPr="002C4077">
        <w:t xml:space="preserve"> </w:t>
      </w:r>
      <w:r>
        <w:t>d’aller</w:t>
      </w:r>
      <w:r w:rsidRPr="002C4077">
        <w:t xml:space="preserve"> </w:t>
      </w:r>
      <w:r>
        <w:t>chercher</w:t>
      </w:r>
      <w:r w:rsidRPr="002C4077">
        <w:t xml:space="preserve"> </w:t>
      </w:r>
      <w:r>
        <w:t>jusqu’à</w:t>
      </w:r>
      <w:r w:rsidRPr="002C4077">
        <w:t xml:space="preserve"> </w:t>
      </w:r>
      <w:r>
        <w:t>trente</w:t>
      </w:r>
      <w:r w:rsidRPr="002C4077">
        <w:t xml:space="preserve"> </w:t>
      </w:r>
      <w:r>
        <w:t>pieds</w:t>
      </w:r>
      <w:r w:rsidRPr="002C4077">
        <w:t xml:space="preserve"> </w:t>
      </w:r>
      <w:r>
        <w:t>de</w:t>
      </w:r>
      <w:r w:rsidRPr="002C4077">
        <w:t xml:space="preserve"> </w:t>
      </w:r>
      <w:r>
        <w:t>profondeur,</w:t>
      </w:r>
      <w:r w:rsidRPr="002C4077">
        <w:t xml:space="preserve"> </w:t>
      </w:r>
      <w:r>
        <w:t>comme</w:t>
      </w:r>
      <w:r w:rsidRPr="002C4077">
        <w:t xml:space="preserve"> </w:t>
      </w:r>
      <w:r>
        <w:t>si</w:t>
      </w:r>
      <w:r w:rsidRPr="002C4077">
        <w:t xml:space="preserve"> </w:t>
      </w:r>
      <w:r>
        <w:t>on</w:t>
      </w:r>
      <w:r w:rsidRPr="002C4077">
        <w:t xml:space="preserve"> </w:t>
      </w:r>
      <w:r>
        <w:t>eût</w:t>
      </w:r>
      <w:r w:rsidRPr="002C4077">
        <w:t xml:space="preserve"> </w:t>
      </w:r>
      <w:r>
        <w:t>voulu</w:t>
      </w:r>
      <w:r w:rsidRPr="002C4077">
        <w:t xml:space="preserve"> </w:t>
      </w:r>
      <w:r>
        <w:t>réaliser,</w:t>
      </w:r>
      <w:r w:rsidRPr="002C4077">
        <w:t xml:space="preserve"> </w:t>
      </w:r>
      <w:r>
        <w:t>dans</w:t>
      </w:r>
      <w:r w:rsidRPr="002C4077">
        <w:t xml:space="preserve"> </w:t>
      </w:r>
      <w:r>
        <w:t>la</w:t>
      </w:r>
      <w:r w:rsidRPr="002C4077">
        <w:t xml:space="preserve"> </w:t>
      </w:r>
      <w:r>
        <w:t>cité</w:t>
      </w:r>
      <w:r w:rsidRPr="002C4077">
        <w:t xml:space="preserve"> </w:t>
      </w:r>
      <w:r>
        <w:t>de</w:t>
      </w:r>
      <w:r w:rsidRPr="002C4077">
        <w:t xml:space="preserve"> </w:t>
      </w:r>
      <w:r w:rsidR="00425C50">
        <w:t>Jésus</w:t>
      </w:r>
      <w:r>
        <w:t>,</w:t>
      </w:r>
      <w:r w:rsidRPr="002C4077">
        <w:t xml:space="preserve"> </w:t>
      </w:r>
      <w:r>
        <w:t>la</w:t>
      </w:r>
      <w:r w:rsidRPr="002C4077">
        <w:t xml:space="preserve"> </w:t>
      </w:r>
      <w:r>
        <w:t>belle</w:t>
      </w:r>
      <w:r w:rsidRPr="002C4077">
        <w:t xml:space="preserve"> </w:t>
      </w:r>
      <w:r>
        <w:t>comparaison</w:t>
      </w:r>
      <w:r w:rsidRPr="002C4077">
        <w:t xml:space="preserve"> </w:t>
      </w:r>
      <w:r>
        <w:t>qui</w:t>
      </w:r>
      <w:r w:rsidRPr="002C4077">
        <w:t xml:space="preserve"> </w:t>
      </w:r>
      <w:r>
        <w:t>termine</w:t>
      </w:r>
      <w:r w:rsidRPr="002C4077">
        <w:t xml:space="preserve"> </w:t>
      </w:r>
      <w:r>
        <w:t>le</w:t>
      </w:r>
      <w:r w:rsidRPr="002C4077">
        <w:t xml:space="preserve"> </w:t>
      </w:r>
      <w:r>
        <w:t>Discours</w:t>
      </w:r>
      <w:r w:rsidRPr="002C4077">
        <w:t xml:space="preserve"> </w:t>
      </w:r>
      <w:r>
        <w:t>sur</w:t>
      </w:r>
      <w:r w:rsidRPr="002C4077">
        <w:t xml:space="preserve"> </w:t>
      </w:r>
      <w:r>
        <w:t>la</w:t>
      </w:r>
      <w:r w:rsidRPr="002C4077">
        <w:t xml:space="preserve"> </w:t>
      </w:r>
      <w:r>
        <w:t>Montagne</w:t>
      </w:r>
      <w:r w:rsidR="00242610">
        <w:rPr>
          <w:rStyle w:val="Appelnotedebasdep"/>
        </w:rPr>
        <w:footnoteReference w:id="719"/>
      </w:r>
      <w:r w:rsidR="00242610">
        <w:t>.</w:t>
      </w:r>
      <w:r w:rsidRPr="002C4077">
        <w:t xml:space="preserve"> </w:t>
      </w:r>
      <w:r>
        <w:t>Cette</w:t>
      </w:r>
      <w:r w:rsidRPr="002C4077">
        <w:t xml:space="preserve"> </w:t>
      </w:r>
      <w:r>
        <w:t>précaution</w:t>
      </w:r>
      <w:r w:rsidRPr="002C4077">
        <w:t xml:space="preserve"> </w:t>
      </w:r>
      <w:r>
        <w:t>était</w:t>
      </w:r>
      <w:r w:rsidRPr="002C4077">
        <w:t xml:space="preserve"> </w:t>
      </w:r>
      <w:r>
        <w:t>nécessaire,</w:t>
      </w:r>
      <w:r w:rsidRPr="002C4077">
        <w:t xml:space="preserve"> </w:t>
      </w:r>
      <w:r>
        <w:t>à</w:t>
      </w:r>
      <w:r w:rsidRPr="002C4077">
        <w:t xml:space="preserve"> </w:t>
      </w:r>
      <w:r>
        <w:t>cause</w:t>
      </w:r>
      <w:r w:rsidRPr="002C4077">
        <w:t xml:space="preserve"> </w:t>
      </w:r>
      <w:r>
        <w:t>des</w:t>
      </w:r>
      <w:r w:rsidRPr="002C4077">
        <w:t xml:space="preserve"> </w:t>
      </w:r>
      <w:r>
        <w:t>torrents</w:t>
      </w:r>
      <w:r w:rsidRPr="002C4077">
        <w:t xml:space="preserve"> </w:t>
      </w:r>
      <w:r>
        <w:t>impétueux</w:t>
      </w:r>
      <w:r w:rsidRPr="002C4077">
        <w:t xml:space="preserve"> </w:t>
      </w:r>
      <w:r>
        <w:t>qui</w:t>
      </w:r>
      <w:r w:rsidRPr="002C4077">
        <w:t xml:space="preserve"> </w:t>
      </w:r>
      <w:r>
        <w:t>se</w:t>
      </w:r>
      <w:r w:rsidRPr="002C4077">
        <w:t xml:space="preserve"> </w:t>
      </w:r>
      <w:r>
        <w:t>précipitent</w:t>
      </w:r>
      <w:r w:rsidRPr="002C4077">
        <w:t xml:space="preserve"> </w:t>
      </w:r>
      <w:r>
        <w:t>du</w:t>
      </w:r>
      <w:r w:rsidRPr="002C4077">
        <w:t xml:space="preserve"> </w:t>
      </w:r>
      <w:r>
        <w:t>haut</w:t>
      </w:r>
      <w:r w:rsidRPr="002C4077">
        <w:t xml:space="preserve"> </w:t>
      </w:r>
      <w:r>
        <w:t>des</w:t>
      </w:r>
      <w:r w:rsidRPr="002C4077">
        <w:t xml:space="preserve"> </w:t>
      </w:r>
      <w:r>
        <w:t>collines</w:t>
      </w:r>
      <w:r w:rsidRPr="002C4077">
        <w:t xml:space="preserve"> </w:t>
      </w:r>
      <w:r>
        <w:t>à</w:t>
      </w:r>
      <w:r w:rsidRPr="002C4077">
        <w:t xml:space="preserve"> </w:t>
      </w:r>
      <w:r>
        <w:t>la</w:t>
      </w:r>
      <w:r w:rsidRPr="002C4077">
        <w:t xml:space="preserve"> </w:t>
      </w:r>
      <w:r>
        <w:t>saison</w:t>
      </w:r>
      <w:r w:rsidRPr="002C4077">
        <w:t xml:space="preserve"> </w:t>
      </w:r>
      <w:r>
        <w:t>des</w:t>
      </w:r>
      <w:r w:rsidRPr="002C4077">
        <w:t xml:space="preserve"> </w:t>
      </w:r>
      <w:r>
        <w:t>pluies,</w:t>
      </w:r>
      <w:r w:rsidRPr="002C4077">
        <w:t xml:space="preserve"> </w:t>
      </w:r>
      <w:r>
        <w:t>et</w:t>
      </w:r>
      <w:r w:rsidRPr="002C4077">
        <w:t xml:space="preserve"> </w:t>
      </w:r>
      <w:r>
        <w:t>qui</w:t>
      </w:r>
      <w:r w:rsidRPr="002C4077">
        <w:t xml:space="preserve"> </w:t>
      </w:r>
      <w:r>
        <w:t>viennent</w:t>
      </w:r>
      <w:r w:rsidRPr="002C4077">
        <w:t xml:space="preserve"> </w:t>
      </w:r>
      <w:r>
        <w:t>battre</w:t>
      </w:r>
      <w:r w:rsidRPr="002C4077">
        <w:t xml:space="preserve"> </w:t>
      </w:r>
      <w:r>
        <w:t>les</w:t>
      </w:r>
      <w:r w:rsidRPr="002C4077">
        <w:t xml:space="preserve"> </w:t>
      </w:r>
      <w:r>
        <w:t>constructions</w:t>
      </w:r>
      <w:r w:rsidRPr="002C4077">
        <w:t xml:space="preserve"> </w:t>
      </w:r>
      <w:r>
        <w:t>avec</w:t>
      </w:r>
      <w:r w:rsidRPr="002C4077">
        <w:t xml:space="preserve"> </w:t>
      </w:r>
      <w:r>
        <w:t>une</w:t>
      </w:r>
      <w:r w:rsidRPr="002C4077">
        <w:t xml:space="preserve"> </w:t>
      </w:r>
      <w:r>
        <w:t>fureur</w:t>
      </w:r>
      <w:r w:rsidRPr="002C4077">
        <w:t xml:space="preserve"> </w:t>
      </w:r>
      <w:r>
        <w:t>dont</w:t>
      </w:r>
      <w:r w:rsidRPr="002C4077">
        <w:t xml:space="preserve"> </w:t>
      </w:r>
      <w:r>
        <w:t>nous</w:t>
      </w:r>
      <w:r w:rsidRPr="002C4077">
        <w:t xml:space="preserve"> </w:t>
      </w:r>
      <w:r>
        <w:t>nous</w:t>
      </w:r>
      <w:r w:rsidRPr="002C4077">
        <w:t xml:space="preserve"> </w:t>
      </w:r>
      <w:r>
        <w:t>faisons</w:t>
      </w:r>
      <w:r w:rsidRPr="002C4077">
        <w:t xml:space="preserve"> </w:t>
      </w:r>
      <w:r>
        <w:t>difficilement</w:t>
      </w:r>
      <w:r w:rsidRPr="002C4077">
        <w:t xml:space="preserve"> </w:t>
      </w:r>
      <w:r>
        <w:t>une</w:t>
      </w:r>
      <w:r w:rsidRPr="002C4077">
        <w:t xml:space="preserve"> </w:t>
      </w:r>
      <w:r>
        <w:t>idée.</w:t>
      </w:r>
      <w:r w:rsidRPr="002C4077">
        <w:t xml:space="preserve"> </w:t>
      </w:r>
      <w:r>
        <w:t>Comme</w:t>
      </w:r>
      <w:r w:rsidRPr="002C4077">
        <w:t xml:space="preserve"> </w:t>
      </w:r>
      <w:r>
        <w:t>le</w:t>
      </w:r>
      <w:r w:rsidRPr="002C4077">
        <w:t xml:space="preserve"> </w:t>
      </w:r>
      <w:r>
        <w:t>bois</w:t>
      </w:r>
      <w:r w:rsidRPr="002C4077">
        <w:t xml:space="preserve"> </w:t>
      </w:r>
      <w:r>
        <w:t>de</w:t>
      </w:r>
      <w:r w:rsidRPr="002C4077">
        <w:t xml:space="preserve"> </w:t>
      </w:r>
      <w:r>
        <w:t>charpente</w:t>
      </w:r>
      <w:r w:rsidRPr="002C4077">
        <w:t xml:space="preserve"> </w:t>
      </w:r>
      <w:r>
        <w:t>fait</w:t>
      </w:r>
      <w:r w:rsidRPr="002C4077">
        <w:t xml:space="preserve"> </w:t>
      </w:r>
      <w:r>
        <w:t>actuellement</w:t>
      </w:r>
      <w:r w:rsidRPr="002C4077">
        <w:t xml:space="preserve"> </w:t>
      </w:r>
      <w:r>
        <w:t>défaut</w:t>
      </w:r>
      <w:r w:rsidRPr="002C4077">
        <w:t xml:space="preserve"> </w:t>
      </w:r>
      <w:r>
        <w:t>aux</w:t>
      </w:r>
      <w:r w:rsidRPr="002C4077">
        <w:t xml:space="preserve"> </w:t>
      </w:r>
      <w:r>
        <w:t>environs</w:t>
      </w:r>
      <w:r w:rsidRPr="002C4077">
        <w:t xml:space="preserve"> </w:t>
      </w:r>
      <w:r>
        <w:t>de</w:t>
      </w:r>
      <w:r w:rsidRPr="002C4077">
        <w:t xml:space="preserve"> </w:t>
      </w:r>
      <w:r>
        <w:t>Nazareth,</w:t>
      </w:r>
      <w:r w:rsidRPr="002C4077">
        <w:t xml:space="preserve"> </w:t>
      </w:r>
      <w:r>
        <w:t>pour</w:t>
      </w:r>
      <w:r w:rsidRPr="002C4077">
        <w:t xml:space="preserve"> </w:t>
      </w:r>
      <w:r>
        <w:t>éviter</w:t>
      </w:r>
      <w:r w:rsidRPr="002C4077">
        <w:t xml:space="preserve"> </w:t>
      </w:r>
      <w:r>
        <w:t>les</w:t>
      </w:r>
      <w:r w:rsidRPr="002C4077">
        <w:t xml:space="preserve"> </w:t>
      </w:r>
      <w:r>
        <w:t>frais</w:t>
      </w:r>
      <w:r w:rsidRPr="002C4077">
        <w:t xml:space="preserve"> </w:t>
      </w:r>
      <w:r>
        <w:t>considérables</w:t>
      </w:r>
      <w:r w:rsidRPr="002C4077">
        <w:t xml:space="preserve"> </w:t>
      </w:r>
      <w:r>
        <w:t>auxquels</w:t>
      </w:r>
      <w:r w:rsidRPr="002C4077">
        <w:t xml:space="preserve"> </w:t>
      </w:r>
      <w:r>
        <w:t>on</w:t>
      </w:r>
      <w:r w:rsidRPr="002C4077">
        <w:t xml:space="preserve"> </w:t>
      </w:r>
      <w:r>
        <w:t>s’exposerait</w:t>
      </w:r>
      <w:r w:rsidRPr="002C4077">
        <w:t xml:space="preserve"> </w:t>
      </w:r>
      <w:r>
        <w:t>en</w:t>
      </w:r>
      <w:r w:rsidRPr="002C4077">
        <w:t xml:space="preserve"> </w:t>
      </w:r>
      <w:r>
        <w:t>l’apportant</w:t>
      </w:r>
      <w:r w:rsidRPr="002C4077">
        <w:t xml:space="preserve"> </w:t>
      </w:r>
      <w:r>
        <w:t>du</w:t>
      </w:r>
      <w:r w:rsidRPr="002C4077">
        <w:t xml:space="preserve"> </w:t>
      </w:r>
      <w:r>
        <w:t>Liban,</w:t>
      </w:r>
      <w:r w:rsidRPr="002C4077">
        <w:t xml:space="preserve"> </w:t>
      </w:r>
      <w:r>
        <w:t>par</w:t>
      </w:r>
      <w:r w:rsidRPr="002C4077">
        <w:t xml:space="preserve"> </w:t>
      </w:r>
      <w:r>
        <w:t>mer,</w:t>
      </w:r>
      <w:r w:rsidRPr="002C4077">
        <w:t xml:space="preserve"> </w:t>
      </w:r>
      <w:r>
        <w:t>jusqu’à</w:t>
      </w:r>
      <w:r w:rsidRPr="002C4077">
        <w:t xml:space="preserve"> </w:t>
      </w:r>
      <w:r>
        <w:t>Saint-Jean-d’Acre,</w:t>
      </w:r>
      <w:r w:rsidRPr="002C4077">
        <w:t xml:space="preserve"> </w:t>
      </w:r>
      <w:r>
        <w:t>puis</w:t>
      </w:r>
      <w:r w:rsidRPr="002C4077">
        <w:t xml:space="preserve"> </w:t>
      </w:r>
      <w:r>
        <w:t>de</w:t>
      </w:r>
      <w:r w:rsidRPr="002C4077">
        <w:t xml:space="preserve"> </w:t>
      </w:r>
      <w:r>
        <w:t>là</w:t>
      </w:r>
      <w:r w:rsidRPr="002C4077">
        <w:t xml:space="preserve"> </w:t>
      </w:r>
      <w:r>
        <w:t>à</w:t>
      </w:r>
      <w:r w:rsidRPr="002C4077">
        <w:t xml:space="preserve"> </w:t>
      </w:r>
      <w:r>
        <w:t>dos</w:t>
      </w:r>
      <w:r w:rsidRPr="002C4077">
        <w:t xml:space="preserve"> </w:t>
      </w:r>
      <w:r>
        <w:t>de</w:t>
      </w:r>
      <w:r w:rsidRPr="002C4077">
        <w:t xml:space="preserve"> </w:t>
      </w:r>
      <w:r>
        <w:t>chameau,</w:t>
      </w:r>
      <w:r w:rsidRPr="002C4077">
        <w:t xml:space="preserve"> </w:t>
      </w:r>
      <w:r>
        <w:t>on</w:t>
      </w:r>
      <w:r w:rsidRPr="002C4077">
        <w:t xml:space="preserve"> </w:t>
      </w:r>
      <w:r>
        <w:t>établit</w:t>
      </w:r>
      <w:r w:rsidRPr="002C4077">
        <w:t xml:space="preserve"> </w:t>
      </w:r>
      <w:r>
        <w:t>des</w:t>
      </w:r>
      <w:r w:rsidRPr="002C4077">
        <w:t xml:space="preserve"> </w:t>
      </w:r>
      <w:r>
        <w:t>voûtes</w:t>
      </w:r>
      <w:r w:rsidRPr="002C4077">
        <w:t xml:space="preserve"> </w:t>
      </w:r>
      <w:r>
        <w:t>dans</w:t>
      </w:r>
      <w:r w:rsidRPr="002C4077">
        <w:t xml:space="preserve"> </w:t>
      </w:r>
      <w:r>
        <w:t>presque</w:t>
      </w:r>
      <w:r w:rsidRPr="002C4077">
        <w:t xml:space="preserve"> </w:t>
      </w:r>
      <w:r>
        <w:t>toutes</w:t>
      </w:r>
      <w:r w:rsidRPr="002C4077">
        <w:t xml:space="preserve"> </w:t>
      </w:r>
      <w:r>
        <w:t>les</w:t>
      </w:r>
      <w:r w:rsidRPr="002C4077">
        <w:t xml:space="preserve"> </w:t>
      </w:r>
      <w:r>
        <w:t>chambres</w:t>
      </w:r>
      <w:r w:rsidR="00B546AF">
        <w:t> :</w:t>
      </w:r>
      <w:r w:rsidR="00C45B47">
        <w:t xml:space="preserve"> {</w:t>
      </w:r>
      <w:r w:rsidR="001F5257">
        <w:t>215</w:t>
      </w:r>
      <w:bookmarkStart w:id="529" w:name="p215"/>
      <w:bookmarkEnd w:id="529"/>
      <w:r w:rsidR="001F5257">
        <w:t xml:space="preserve">} </w:t>
      </w:r>
      <w:r>
        <w:t>on</w:t>
      </w:r>
      <w:r w:rsidRPr="002C4077">
        <w:t xml:space="preserve"> </w:t>
      </w:r>
      <w:r>
        <w:t>se</w:t>
      </w:r>
      <w:r w:rsidRPr="002C4077">
        <w:t xml:space="preserve"> </w:t>
      </w:r>
      <w:r>
        <w:t>passe</w:t>
      </w:r>
      <w:r w:rsidRPr="002C4077">
        <w:t xml:space="preserve"> </w:t>
      </w:r>
      <w:r>
        <w:t>ainsi</w:t>
      </w:r>
      <w:r w:rsidRPr="002C4077">
        <w:t xml:space="preserve"> </w:t>
      </w:r>
      <w:r>
        <w:t>du</w:t>
      </w:r>
      <w:r w:rsidRPr="002C4077">
        <w:t xml:space="preserve"> </w:t>
      </w:r>
      <w:r>
        <w:t>charpentier,</w:t>
      </w:r>
      <w:r w:rsidRPr="002C4077">
        <w:t xml:space="preserve"> </w:t>
      </w:r>
      <w:r>
        <w:t>de</w:t>
      </w:r>
      <w:r w:rsidRPr="002C4077">
        <w:t xml:space="preserve"> </w:t>
      </w:r>
      <w:r>
        <w:t>sorte</w:t>
      </w:r>
      <w:r w:rsidRPr="002C4077">
        <w:t xml:space="preserve"> </w:t>
      </w:r>
      <w:r>
        <w:t>qu’aujourd’hui</w:t>
      </w:r>
      <w:r w:rsidRPr="002C4077">
        <w:t xml:space="preserve"> </w:t>
      </w:r>
      <w:r>
        <w:t>saint</w:t>
      </w:r>
      <w:r w:rsidRPr="002C4077">
        <w:t xml:space="preserve"> </w:t>
      </w:r>
      <w:r>
        <w:t>Joseph</w:t>
      </w:r>
      <w:r w:rsidRPr="002C4077">
        <w:t xml:space="preserve"> </w:t>
      </w:r>
      <w:r>
        <w:t>et</w:t>
      </w:r>
      <w:r w:rsidRPr="002C4077">
        <w:t xml:space="preserve"> </w:t>
      </w:r>
      <w:r>
        <w:t>son</w:t>
      </w:r>
      <w:r w:rsidRPr="002C4077">
        <w:t xml:space="preserve"> </w:t>
      </w:r>
      <w:r>
        <w:t>Fils</w:t>
      </w:r>
      <w:r w:rsidRPr="002C4077">
        <w:t xml:space="preserve"> </w:t>
      </w:r>
      <w:r>
        <w:t>adoptif</w:t>
      </w:r>
      <w:r w:rsidRPr="002C4077">
        <w:t xml:space="preserve"> </w:t>
      </w:r>
      <w:r>
        <w:t>gagneraient</w:t>
      </w:r>
      <w:r w:rsidRPr="002C4077">
        <w:t xml:space="preserve"> </w:t>
      </w:r>
      <w:r>
        <w:t>encore</w:t>
      </w:r>
      <w:r w:rsidRPr="002C4077">
        <w:t xml:space="preserve"> </w:t>
      </w:r>
      <w:r>
        <w:t>plus</w:t>
      </w:r>
      <w:r w:rsidRPr="002C4077">
        <w:t xml:space="preserve"> </w:t>
      </w:r>
      <w:r>
        <w:t>péniblement</w:t>
      </w:r>
      <w:r w:rsidRPr="002C4077">
        <w:t xml:space="preserve"> </w:t>
      </w:r>
      <w:r>
        <w:t>leur</w:t>
      </w:r>
      <w:r w:rsidRPr="002C4077">
        <w:t xml:space="preserve"> </w:t>
      </w:r>
      <w:r>
        <w:t>vie</w:t>
      </w:r>
      <w:r w:rsidRPr="002C4077">
        <w:t xml:space="preserve"> </w:t>
      </w:r>
      <w:r>
        <w:t>qu’autrefois,</w:t>
      </w:r>
      <w:r w:rsidRPr="002C4077">
        <w:t xml:space="preserve"> </w:t>
      </w:r>
      <w:r>
        <w:t>puisque</w:t>
      </w:r>
      <w:r w:rsidRPr="002C4077">
        <w:t xml:space="preserve"> </w:t>
      </w:r>
      <w:r>
        <w:t>l’ouvrage</w:t>
      </w:r>
      <w:r w:rsidRPr="002C4077">
        <w:t xml:space="preserve"> </w:t>
      </w:r>
      <w:r>
        <w:t>leur</w:t>
      </w:r>
      <w:r w:rsidRPr="002C4077">
        <w:t xml:space="preserve"> </w:t>
      </w:r>
      <w:r>
        <w:t>manquerait</w:t>
      </w:r>
      <w:r w:rsidRPr="002C4077">
        <w:t xml:space="preserve"> </w:t>
      </w:r>
      <w:r>
        <w:t>souvent.</w:t>
      </w:r>
      <w:r w:rsidRPr="002C4077">
        <w:t xml:space="preserve"> </w:t>
      </w:r>
    </w:p>
    <w:p w:rsidR="000A7AAB" w:rsidRDefault="000A7AAB" w:rsidP="000A7AAB">
      <w:r>
        <w:t>Les</w:t>
      </w:r>
      <w:r w:rsidRPr="002C4077">
        <w:t xml:space="preserve"> </w:t>
      </w:r>
      <w:r>
        <w:t>toits</w:t>
      </w:r>
      <w:r w:rsidRPr="002C4077">
        <w:t xml:space="preserve"> </w:t>
      </w:r>
      <w:r>
        <w:t>sont</w:t>
      </w:r>
      <w:r w:rsidRPr="002C4077">
        <w:t xml:space="preserve"> </w:t>
      </w:r>
      <w:r>
        <w:t>complètement</w:t>
      </w:r>
      <w:r w:rsidRPr="002C4077">
        <w:t xml:space="preserve"> </w:t>
      </w:r>
      <w:r>
        <w:t>plats</w:t>
      </w:r>
      <w:r w:rsidR="00B546AF">
        <w:t> :</w:t>
      </w:r>
      <w:r w:rsidRPr="002C4077">
        <w:t xml:space="preserve"> </w:t>
      </w:r>
      <w:r>
        <w:t>nous</w:t>
      </w:r>
      <w:r w:rsidRPr="002C4077">
        <w:t xml:space="preserve"> </w:t>
      </w:r>
      <w:r>
        <w:t>n’avons</w:t>
      </w:r>
      <w:r w:rsidRPr="002C4077">
        <w:t xml:space="preserve"> </w:t>
      </w:r>
      <w:r>
        <w:t>plus</w:t>
      </w:r>
      <w:r w:rsidRPr="002C4077">
        <w:t xml:space="preserve"> </w:t>
      </w:r>
      <w:r>
        <w:t>ici,</w:t>
      </w:r>
      <w:r w:rsidRPr="002C4077">
        <w:t xml:space="preserve"> </w:t>
      </w:r>
      <w:r>
        <w:t>comme</w:t>
      </w:r>
      <w:r w:rsidRPr="002C4077">
        <w:t xml:space="preserve"> </w:t>
      </w:r>
      <w:r>
        <w:t>à</w:t>
      </w:r>
      <w:r w:rsidRPr="002C4077">
        <w:t xml:space="preserve"> </w:t>
      </w:r>
      <w:r>
        <w:t>Jérusalem</w:t>
      </w:r>
      <w:r w:rsidRPr="002C4077">
        <w:t xml:space="preserve"> </w:t>
      </w:r>
      <w:r>
        <w:t>et</w:t>
      </w:r>
      <w:r w:rsidRPr="002C4077">
        <w:t xml:space="preserve"> </w:t>
      </w:r>
      <w:r>
        <w:t>dans</w:t>
      </w:r>
      <w:r w:rsidRPr="002C4077">
        <w:t xml:space="preserve"> </w:t>
      </w:r>
      <w:r>
        <w:t>la</w:t>
      </w:r>
      <w:r w:rsidRPr="002C4077">
        <w:t xml:space="preserve"> </w:t>
      </w:r>
      <w:r>
        <w:t>Palestine</w:t>
      </w:r>
      <w:r w:rsidRPr="002C4077">
        <w:t xml:space="preserve"> </w:t>
      </w:r>
      <w:r>
        <w:t>du</w:t>
      </w:r>
      <w:r w:rsidRPr="002C4077">
        <w:t xml:space="preserve"> </w:t>
      </w:r>
      <w:r>
        <w:t>sud,</w:t>
      </w:r>
      <w:r w:rsidRPr="002C4077">
        <w:t xml:space="preserve"> </w:t>
      </w:r>
      <w:r>
        <w:t>ces</w:t>
      </w:r>
      <w:r w:rsidRPr="002C4077">
        <w:t xml:space="preserve"> </w:t>
      </w:r>
      <w:r>
        <w:t>coupoles</w:t>
      </w:r>
      <w:r w:rsidRPr="002C4077">
        <w:t xml:space="preserve"> </w:t>
      </w:r>
      <w:r>
        <w:t>gracieuses</w:t>
      </w:r>
      <w:r w:rsidRPr="002C4077">
        <w:t xml:space="preserve"> </w:t>
      </w:r>
      <w:r>
        <w:t>qui</w:t>
      </w:r>
      <w:r w:rsidRPr="002C4077">
        <w:t xml:space="preserve"> </w:t>
      </w:r>
      <w:r>
        <w:t>donnent</w:t>
      </w:r>
      <w:r w:rsidRPr="002C4077">
        <w:t xml:space="preserve"> </w:t>
      </w:r>
      <w:r>
        <w:t>aux</w:t>
      </w:r>
      <w:r w:rsidRPr="002C4077">
        <w:t xml:space="preserve"> </w:t>
      </w:r>
      <w:r>
        <w:t>maisons</w:t>
      </w:r>
      <w:r w:rsidRPr="002C4077">
        <w:t xml:space="preserve"> </w:t>
      </w:r>
      <w:r>
        <w:t>et</w:t>
      </w:r>
      <w:r w:rsidRPr="002C4077">
        <w:t xml:space="preserve"> </w:t>
      </w:r>
      <w:r>
        <w:t>aux</w:t>
      </w:r>
      <w:r w:rsidRPr="002C4077">
        <w:t xml:space="preserve"> </w:t>
      </w:r>
      <w:r>
        <w:t>villes</w:t>
      </w:r>
      <w:r w:rsidRPr="002C4077">
        <w:t xml:space="preserve"> </w:t>
      </w:r>
      <w:r>
        <w:t>une</w:t>
      </w:r>
      <w:r w:rsidRPr="002C4077">
        <w:t xml:space="preserve"> </w:t>
      </w:r>
      <w:r>
        <w:t>tournure</w:t>
      </w:r>
      <w:r w:rsidRPr="002C4077">
        <w:t xml:space="preserve"> </w:t>
      </w:r>
      <w:r>
        <w:t>si</w:t>
      </w:r>
      <w:r w:rsidRPr="002C4077">
        <w:t xml:space="preserve"> </w:t>
      </w:r>
      <w:r>
        <w:t>pittoresque.</w:t>
      </w:r>
      <w:r w:rsidRPr="002C4077">
        <w:t xml:space="preserve"> </w:t>
      </w:r>
      <w:r>
        <w:t>Mais</w:t>
      </w:r>
      <w:r w:rsidRPr="002C4077">
        <w:t xml:space="preserve"> </w:t>
      </w:r>
      <w:r>
        <w:t>Nazareth</w:t>
      </w:r>
      <w:r w:rsidRPr="002C4077">
        <w:t xml:space="preserve"> </w:t>
      </w:r>
      <w:r>
        <w:t>n’a-t-elle</w:t>
      </w:r>
      <w:r w:rsidRPr="002C4077">
        <w:t xml:space="preserve"> </w:t>
      </w:r>
      <w:r>
        <w:t>pas</w:t>
      </w:r>
      <w:r w:rsidRPr="002C4077">
        <w:t xml:space="preserve"> </w:t>
      </w:r>
      <w:r>
        <w:t>assez</w:t>
      </w:r>
      <w:r w:rsidRPr="002C4077">
        <w:t xml:space="preserve"> </w:t>
      </w:r>
      <w:r>
        <w:t>d’autres</w:t>
      </w:r>
      <w:r w:rsidRPr="002C4077">
        <w:t xml:space="preserve"> </w:t>
      </w:r>
      <w:r>
        <w:t>avantages</w:t>
      </w:r>
      <w:r w:rsidR="00B546AF">
        <w:t> ?</w:t>
      </w:r>
      <w:r w:rsidRPr="002C4077">
        <w:t xml:space="preserve"> </w:t>
      </w:r>
      <w:r>
        <w:t>Quel</w:t>
      </w:r>
      <w:r w:rsidRPr="002C4077">
        <w:t xml:space="preserve"> </w:t>
      </w:r>
      <w:r>
        <w:t>dommage</w:t>
      </w:r>
      <w:r w:rsidRPr="002C4077">
        <w:t xml:space="preserve"> </w:t>
      </w:r>
      <w:r>
        <w:t>pourtant</w:t>
      </w:r>
      <w:r w:rsidRPr="002C4077">
        <w:t xml:space="preserve"> </w:t>
      </w:r>
      <w:r>
        <w:t>qu’une</w:t>
      </w:r>
      <w:r w:rsidRPr="002C4077">
        <w:t xml:space="preserve"> </w:t>
      </w:r>
      <w:r>
        <w:t>flèche</w:t>
      </w:r>
      <w:r w:rsidRPr="002C4077">
        <w:t xml:space="preserve"> </w:t>
      </w:r>
      <w:r>
        <w:t>gothique</w:t>
      </w:r>
      <w:r w:rsidRPr="002C4077">
        <w:t xml:space="preserve"> </w:t>
      </w:r>
      <w:r>
        <w:t>bien</w:t>
      </w:r>
      <w:r w:rsidRPr="002C4077">
        <w:t xml:space="preserve"> </w:t>
      </w:r>
      <w:r>
        <w:t>découpée,</w:t>
      </w:r>
      <w:r w:rsidRPr="002C4077">
        <w:t xml:space="preserve"> </w:t>
      </w:r>
      <w:r>
        <w:t>surmontée</w:t>
      </w:r>
      <w:r w:rsidRPr="002C4077">
        <w:t xml:space="preserve"> </w:t>
      </w:r>
      <w:r>
        <w:t>de</w:t>
      </w:r>
      <w:r w:rsidRPr="002C4077">
        <w:t xml:space="preserve"> </w:t>
      </w:r>
      <w:r>
        <w:t>la</w:t>
      </w:r>
      <w:r w:rsidRPr="002C4077">
        <w:t xml:space="preserve"> </w:t>
      </w:r>
      <w:r>
        <w:t>croix</w:t>
      </w:r>
      <w:r w:rsidRPr="002C4077">
        <w:t xml:space="preserve"> </w:t>
      </w:r>
      <w:r>
        <w:t>du</w:t>
      </w:r>
      <w:r w:rsidRPr="002C4077">
        <w:t xml:space="preserve"> </w:t>
      </w:r>
      <w:r>
        <w:t>Sauveur,</w:t>
      </w:r>
      <w:r w:rsidRPr="002C4077">
        <w:t xml:space="preserve"> </w:t>
      </w:r>
      <w:r>
        <w:t>ne</w:t>
      </w:r>
      <w:r w:rsidRPr="002C4077">
        <w:t xml:space="preserve"> </w:t>
      </w:r>
      <w:r>
        <w:t>domine</w:t>
      </w:r>
      <w:r w:rsidRPr="002C4077">
        <w:t xml:space="preserve"> </w:t>
      </w:r>
      <w:r>
        <w:t>pas</w:t>
      </w:r>
      <w:r w:rsidRPr="002C4077">
        <w:t xml:space="preserve"> </w:t>
      </w:r>
      <w:r>
        <w:t>ce</w:t>
      </w:r>
      <w:r w:rsidRPr="002C4077">
        <w:t xml:space="preserve"> </w:t>
      </w:r>
      <w:r>
        <w:t>charmant</w:t>
      </w:r>
      <w:r w:rsidRPr="002C4077">
        <w:t xml:space="preserve"> </w:t>
      </w:r>
      <w:r>
        <w:t>ensemble</w:t>
      </w:r>
      <w:r w:rsidRPr="002C4077">
        <w:t xml:space="preserve"> </w:t>
      </w:r>
      <w:r>
        <w:t>de</w:t>
      </w:r>
      <w:r w:rsidRPr="002C4077">
        <w:t xml:space="preserve"> </w:t>
      </w:r>
      <w:r>
        <w:t>constructions</w:t>
      </w:r>
      <w:r w:rsidR="00B91AF7">
        <w:rPr>
          <w:rStyle w:val="Appelnotedebasdep"/>
        </w:rPr>
        <w:footnoteReference w:id="720"/>
      </w:r>
      <w:r>
        <w:t>.</w:t>
      </w:r>
      <w:r w:rsidRPr="002C4077">
        <w:t xml:space="preserve"> </w:t>
      </w:r>
      <w:r>
        <w:t>Il</w:t>
      </w:r>
      <w:r w:rsidRPr="002C4077">
        <w:t xml:space="preserve"> </w:t>
      </w:r>
      <w:r w:rsidR="00425C50">
        <w:t>est</w:t>
      </w:r>
      <w:r w:rsidRPr="002C4077">
        <w:t xml:space="preserve"> </w:t>
      </w:r>
      <w:r>
        <w:t>triste</w:t>
      </w:r>
      <w:r w:rsidRPr="002C4077">
        <w:t xml:space="preserve"> </w:t>
      </w:r>
      <w:r>
        <w:t>de</w:t>
      </w:r>
      <w:r w:rsidRPr="002C4077">
        <w:t xml:space="preserve"> </w:t>
      </w:r>
      <w:r>
        <w:t>dire</w:t>
      </w:r>
      <w:r w:rsidRPr="002C4077">
        <w:t xml:space="preserve"> </w:t>
      </w:r>
      <w:r>
        <w:t>que</w:t>
      </w:r>
      <w:r w:rsidRPr="002C4077">
        <w:t xml:space="preserve"> </w:t>
      </w:r>
      <w:r>
        <w:t>l’édifice</w:t>
      </w:r>
      <w:r w:rsidRPr="002C4077">
        <w:t xml:space="preserve"> </w:t>
      </w:r>
      <w:r>
        <w:t>le</w:t>
      </w:r>
      <w:r w:rsidRPr="002C4077">
        <w:t xml:space="preserve"> </w:t>
      </w:r>
      <w:r>
        <w:t>plus</w:t>
      </w:r>
      <w:r w:rsidRPr="002C4077">
        <w:t xml:space="preserve"> </w:t>
      </w:r>
      <w:r>
        <w:t>élevé,</w:t>
      </w:r>
      <w:r w:rsidRPr="002C4077">
        <w:t xml:space="preserve"> </w:t>
      </w:r>
      <w:r>
        <w:t>l’édifice</w:t>
      </w:r>
      <w:r w:rsidRPr="002C4077">
        <w:t xml:space="preserve"> </w:t>
      </w:r>
      <w:r>
        <w:t>tranchant</w:t>
      </w:r>
      <w:r w:rsidRPr="002C4077">
        <w:t xml:space="preserve"> </w:t>
      </w:r>
      <w:r>
        <w:t>de</w:t>
      </w:r>
      <w:r w:rsidRPr="002C4077">
        <w:t xml:space="preserve"> </w:t>
      </w:r>
      <w:r>
        <w:t>Nazareth,</w:t>
      </w:r>
      <w:r w:rsidRPr="002C4077">
        <w:t xml:space="preserve"> </w:t>
      </w:r>
      <w:r w:rsidR="00425C50">
        <w:t>est</w:t>
      </w:r>
      <w:r w:rsidRPr="002C4077">
        <w:t xml:space="preserve"> </w:t>
      </w:r>
      <w:r>
        <w:t>le</w:t>
      </w:r>
      <w:r w:rsidRPr="002C4077">
        <w:t xml:space="preserve"> </w:t>
      </w:r>
      <w:r>
        <w:t>minaret</w:t>
      </w:r>
      <w:r w:rsidRPr="002C4077">
        <w:t xml:space="preserve"> </w:t>
      </w:r>
      <w:r>
        <w:t>élancé</w:t>
      </w:r>
      <w:r w:rsidRPr="002C4077">
        <w:t xml:space="preserve"> </w:t>
      </w:r>
      <w:r>
        <w:t>de</w:t>
      </w:r>
      <w:r w:rsidRPr="002C4077">
        <w:t xml:space="preserve"> </w:t>
      </w:r>
      <w:r>
        <w:t>la</w:t>
      </w:r>
      <w:r w:rsidRPr="002C4077">
        <w:t xml:space="preserve"> </w:t>
      </w:r>
      <w:r>
        <w:t>mosquée.</w:t>
      </w:r>
      <w:r w:rsidRPr="002C4077">
        <w:t xml:space="preserve"> </w:t>
      </w:r>
      <w:r>
        <w:t>Le</w:t>
      </w:r>
      <w:r w:rsidRPr="002C4077">
        <w:t xml:space="preserve"> </w:t>
      </w:r>
      <w:r>
        <w:t>minaret</w:t>
      </w:r>
      <w:r w:rsidRPr="002C4077">
        <w:t xml:space="preserve"> </w:t>
      </w:r>
      <w:r>
        <w:t>et</w:t>
      </w:r>
      <w:r w:rsidRPr="002C4077">
        <w:t xml:space="preserve"> </w:t>
      </w:r>
      <w:r>
        <w:t>le</w:t>
      </w:r>
      <w:r w:rsidRPr="002C4077">
        <w:t xml:space="preserve"> </w:t>
      </w:r>
      <w:r>
        <w:t>croissant</w:t>
      </w:r>
      <w:r w:rsidRPr="002C4077">
        <w:t xml:space="preserve"> </w:t>
      </w:r>
      <w:r>
        <w:t>écrasent</w:t>
      </w:r>
      <w:r w:rsidRPr="002C4077">
        <w:t xml:space="preserve"> </w:t>
      </w:r>
      <w:r>
        <w:t>tout</w:t>
      </w:r>
      <w:r w:rsidRPr="002C4077">
        <w:t xml:space="preserve"> </w:t>
      </w:r>
      <w:r>
        <w:t>le</w:t>
      </w:r>
      <w:r w:rsidRPr="002C4077">
        <w:t xml:space="preserve"> </w:t>
      </w:r>
      <w:r>
        <w:t>reste</w:t>
      </w:r>
      <w:r w:rsidRPr="002C4077">
        <w:t xml:space="preserve"> </w:t>
      </w:r>
      <w:r>
        <w:t>de</w:t>
      </w:r>
      <w:r w:rsidRPr="002C4077">
        <w:t xml:space="preserve"> </w:t>
      </w:r>
      <w:r>
        <w:t>la</w:t>
      </w:r>
      <w:r w:rsidRPr="002C4077">
        <w:t xml:space="preserve"> </w:t>
      </w:r>
      <w:r>
        <w:t>ville</w:t>
      </w:r>
      <w:r w:rsidRPr="002C4077">
        <w:t xml:space="preserve"> </w:t>
      </w:r>
      <w:r>
        <w:t>de</w:t>
      </w:r>
      <w:r w:rsidRPr="002C4077">
        <w:t xml:space="preserve"> </w:t>
      </w:r>
      <w:r>
        <w:t>l’Incarnation</w:t>
      </w:r>
      <w:r w:rsidRPr="002C4077">
        <w:t xml:space="preserve"> </w:t>
      </w:r>
      <w:r>
        <w:t>et</w:t>
      </w:r>
      <w:r w:rsidRPr="002C4077">
        <w:t xml:space="preserve"> </w:t>
      </w:r>
      <w:r>
        <w:t>de</w:t>
      </w:r>
      <w:r w:rsidRPr="002C4077">
        <w:t xml:space="preserve"> </w:t>
      </w:r>
      <w:r>
        <w:t>la</w:t>
      </w:r>
      <w:r w:rsidRPr="002C4077">
        <w:t xml:space="preserve"> </w:t>
      </w:r>
      <w:r>
        <w:t>vie</w:t>
      </w:r>
      <w:r w:rsidRPr="002C4077">
        <w:t xml:space="preserve"> </w:t>
      </w:r>
      <w:r>
        <w:t>cachée</w:t>
      </w:r>
      <w:r w:rsidRPr="002C4077">
        <w:t xml:space="preserve"> </w:t>
      </w:r>
      <w:r>
        <w:t>de</w:t>
      </w:r>
      <w:r w:rsidRPr="002C4077">
        <w:t xml:space="preserve"> </w:t>
      </w:r>
      <w:r w:rsidR="00425C50">
        <w:t>Jésus</w:t>
      </w:r>
      <w:r w:rsidR="00B546AF">
        <w:t> !</w:t>
      </w:r>
      <w:r w:rsidRPr="002C4077">
        <w:t xml:space="preserve"> </w:t>
      </w:r>
    </w:p>
    <w:p w:rsidR="002F7AFA" w:rsidRDefault="002F7AFA" w:rsidP="000A7AAB"/>
    <w:p w:rsidR="000A7AAB" w:rsidRDefault="000A7AAB" w:rsidP="000A7AAB">
      <w:r>
        <w:t>L’intérieur</w:t>
      </w:r>
      <w:r w:rsidRPr="002C4077">
        <w:t xml:space="preserve"> </w:t>
      </w:r>
      <w:r>
        <w:t>du</w:t>
      </w:r>
      <w:r w:rsidRPr="002C4077">
        <w:t xml:space="preserve"> </w:t>
      </w:r>
      <w:r>
        <w:t>bourg</w:t>
      </w:r>
      <w:r w:rsidRPr="002C4077">
        <w:t xml:space="preserve"> </w:t>
      </w:r>
      <w:r w:rsidR="00425C50">
        <w:t>est</w:t>
      </w:r>
      <w:r w:rsidRPr="002C4077">
        <w:t xml:space="preserve"> </w:t>
      </w:r>
      <w:r>
        <w:t>loin</w:t>
      </w:r>
      <w:r w:rsidRPr="002C4077">
        <w:t xml:space="preserve"> </w:t>
      </w:r>
      <w:r>
        <w:t>de</w:t>
      </w:r>
      <w:r w:rsidRPr="002C4077">
        <w:t xml:space="preserve"> </w:t>
      </w:r>
      <w:r>
        <w:t>répondre</w:t>
      </w:r>
      <w:r w:rsidRPr="002C4077">
        <w:t xml:space="preserve"> </w:t>
      </w:r>
      <w:r>
        <w:t>aux</w:t>
      </w:r>
      <w:r w:rsidRPr="002C4077">
        <w:t xml:space="preserve"> </w:t>
      </w:r>
      <w:r>
        <w:t>espérances</w:t>
      </w:r>
      <w:r w:rsidRPr="002C4077">
        <w:t xml:space="preserve"> </w:t>
      </w:r>
      <w:r>
        <w:t>qu’on</w:t>
      </w:r>
      <w:r w:rsidRPr="002C4077">
        <w:t xml:space="preserve"> </w:t>
      </w:r>
      <w:r>
        <w:t>en</w:t>
      </w:r>
      <w:r w:rsidRPr="002C4077">
        <w:t xml:space="preserve"> </w:t>
      </w:r>
      <w:r>
        <w:t>avait</w:t>
      </w:r>
      <w:r w:rsidRPr="002C4077">
        <w:t xml:space="preserve"> </w:t>
      </w:r>
      <w:r>
        <w:t>conçues</w:t>
      </w:r>
      <w:r w:rsidRPr="002C4077">
        <w:t xml:space="preserve"> </w:t>
      </w:r>
      <w:r>
        <w:t>du</w:t>
      </w:r>
      <w:r w:rsidRPr="002C4077">
        <w:t xml:space="preserve"> </w:t>
      </w:r>
      <w:r>
        <w:t>dehors.</w:t>
      </w:r>
      <w:r w:rsidRPr="002C4077">
        <w:t xml:space="preserve"> </w:t>
      </w:r>
      <w:r>
        <w:t>De</w:t>
      </w:r>
      <w:r w:rsidRPr="002C4077">
        <w:t xml:space="preserve"> </w:t>
      </w:r>
      <w:r>
        <w:t>même</w:t>
      </w:r>
      <w:r w:rsidRPr="002C4077">
        <w:t xml:space="preserve"> </w:t>
      </w:r>
      <w:r>
        <w:t>que</w:t>
      </w:r>
      <w:r w:rsidRPr="002C4077">
        <w:t xml:space="preserve"> </w:t>
      </w:r>
      <w:r>
        <w:t>Jérusalem,</w:t>
      </w:r>
      <w:r w:rsidRPr="002C4077">
        <w:t xml:space="preserve"> </w:t>
      </w:r>
      <w:r>
        <w:t>que</w:t>
      </w:r>
      <w:r w:rsidRPr="002C4077">
        <w:t xml:space="preserve"> </w:t>
      </w:r>
      <w:r>
        <w:t>Damas,</w:t>
      </w:r>
      <w:r w:rsidRPr="002C4077">
        <w:t xml:space="preserve"> </w:t>
      </w:r>
      <w:r>
        <w:t>que</w:t>
      </w:r>
      <w:r w:rsidRPr="002C4077">
        <w:t xml:space="preserve"> </w:t>
      </w:r>
      <w:r>
        <w:t>la</w:t>
      </w:r>
      <w:r w:rsidRPr="002C4077">
        <w:t xml:space="preserve"> </w:t>
      </w:r>
      <w:r>
        <w:t>plupart</w:t>
      </w:r>
      <w:r w:rsidRPr="002C4077">
        <w:t xml:space="preserve"> </w:t>
      </w:r>
      <w:r>
        <w:t>des</w:t>
      </w:r>
      <w:r w:rsidRPr="002C4077">
        <w:t xml:space="preserve"> </w:t>
      </w:r>
      <w:r>
        <w:t>cités</w:t>
      </w:r>
      <w:r w:rsidRPr="002C4077">
        <w:t xml:space="preserve"> </w:t>
      </w:r>
      <w:r>
        <w:t>orientales,</w:t>
      </w:r>
      <w:r w:rsidRPr="002C4077">
        <w:t xml:space="preserve"> </w:t>
      </w:r>
      <w:r>
        <w:t>Nazareth</w:t>
      </w:r>
      <w:r w:rsidRPr="002C4077">
        <w:t xml:space="preserve"> </w:t>
      </w:r>
      <w:r>
        <w:t>prépare</w:t>
      </w:r>
      <w:r w:rsidRPr="002C4077">
        <w:t xml:space="preserve"> </w:t>
      </w:r>
      <w:r>
        <w:t>sous</w:t>
      </w:r>
      <w:r w:rsidRPr="002C4077">
        <w:t xml:space="preserve"> </w:t>
      </w:r>
      <w:r>
        <w:t>ce</w:t>
      </w:r>
      <w:r w:rsidRPr="002C4077">
        <w:t xml:space="preserve"> </w:t>
      </w:r>
      <w:r>
        <w:t>rapport</w:t>
      </w:r>
      <w:r w:rsidRPr="002C4077">
        <w:t xml:space="preserve"> </w:t>
      </w:r>
      <w:r>
        <w:t>une</w:t>
      </w:r>
      <w:r w:rsidRPr="002C4077">
        <w:t xml:space="preserve"> </w:t>
      </w:r>
      <w:r>
        <w:t>vraie</w:t>
      </w:r>
      <w:r w:rsidRPr="002C4077">
        <w:t xml:space="preserve"> </w:t>
      </w:r>
      <w:r>
        <w:t>déception</w:t>
      </w:r>
      <w:r w:rsidRPr="002C4077">
        <w:t xml:space="preserve"> </w:t>
      </w:r>
      <w:r>
        <w:t>à</w:t>
      </w:r>
      <w:r w:rsidRPr="002C4077">
        <w:t xml:space="preserve"> </w:t>
      </w:r>
      <w:r>
        <w:t>l’étranger.</w:t>
      </w:r>
      <w:r w:rsidRPr="002C4077">
        <w:t xml:space="preserve"> </w:t>
      </w:r>
    </w:p>
    <w:p w:rsidR="000A7AAB" w:rsidRDefault="000A7AAB" w:rsidP="000A7AAB">
      <w:r>
        <w:t>Les</w:t>
      </w:r>
      <w:r w:rsidRPr="002C4077">
        <w:t xml:space="preserve"> </w:t>
      </w:r>
      <w:r>
        <w:t>rues</w:t>
      </w:r>
      <w:r w:rsidRPr="002C4077">
        <w:t xml:space="preserve"> </w:t>
      </w:r>
      <w:r>
        <w:t>sont</w:t>
      </w:r>
      <w:r w:rsidRPr="002C4077">
        <w:t xml:space="preserve"> </w:t>
      </w:r>
      <w:r>
        <w:t>étroites,</w:t>
      </w:r>
      <w:r w:rsidRPr="002C4077">
        <w:t xml:space="preserve"> </w:t>
      </w:r>
      <w:r>
        <w:t>tortueuses,</w:t>
      </w:r>
      <w:r w:rsidRPr="002C4077">
        <w:t xml:space="preserve"> </w:t>
      </w:r>
      <w:r>
        <w:t>notablement</w:t>
      </w:r>
      <w:r w:rsidRPr="002C4077">
        <w:t xml:space="preserve"> </w:t>
      </w:r>
      <w:r>
        <w:t>inclinées.</w:t>
      </w:r>
      <w:r w:rsidRPr="002C4077">
        <w:t xml:space="preserve"> </w:t>
      </w:r>
      <w:r>
        <w:t>N’allez</w:t>
      </w:r>
      <w:r w:rsidRPr="002C4077">
        <w:t xml:space="preserve"> </w:t>
      </w:r>
      <w:r>
        <w:t>pas</w:t>
      </w:r>
      <w:r w:rsidRPr="002C4077">
        <w:t xml:space="preserve"> </w:t>
      </w:r>
      <w:r>
        <w:t>vous</w:t>
      </w:r>
      <w:r w:rsidRPr="002C4077">
        <w:t xml:space="preserve"> </w:t>
      </w:r>
      <w:r>
        <w:t>y</w:t>
      </w:r>
      <w:r w:rsidRPr="002C4077">
        <w:t xml:space="preserve"> </w:t>
      </w:r>
      <w:r>
        <w:t>aventurer</w:t>
      </w:r>
      <w:r w:rsidRPr="002C4077">
        <w:t xml:space="preserve"> </w:t>
      </w:r>
      <w:r>
        <w:t>un</w:t>
      </w:r>
      <w:r w:rsidRPr="002C4077">
        <w:t xml:space="preserve"> </w:t>
      </w:r>
      <w:r>
        <w:t>jour</w:t>
      </w:r>
      <w:r w:rsidRPr="002C4077">
        <w:t xml:space="preserve"> </w:t>
      </w:r>
      <w:r>
        <w:t>de</w:t>
      </w:r>
      <w:r w:rsidRPr="002C4077">
        <w:t xml:space="preserve"> </w:t>
      </w:r>
      <w:r>
        <w:t>pluie.</w:t>
      </w:r>
      <w:r w:rsidRPr="002C4077">
        <w:t xml:space="preserve"> </w:t>
      </w:r>
      <w:r>
        <w:t>Vous</w:t>
      </w:r>
      <w:r w:rsidRPr="002C4077">
        <w:t xml:space="preserve"> </w:t>
      </w:r>
      <w:r>
        <w:t>les</w:t>
      </w:r>
      <w:r w:rsidRPr="002C4077">
        <w:t xml:space="preserve"> </w:t>
      </w:r>
      <w:r>
        <w:t>trouveriez</w:t>
      </w:r>
      <w:r w:rsidRPr="002C4077">
        <w:t xml:space="preserve"> </w:t>
      </w:r>
      <w:r>
        <w:t>presque</w:t>
      </w:r>
      <w:r w:rsidRPr="002C4077">
        <w:t xml:space="preserve"> </w:t>
      </w:r>
      <w:r>
        <w:t>impraticables,</w:t>
      </w:r>
      <w:r w:rsidRPr="002C4077">
        <w:t xml:space="preserve"> </w:t>
      </w:r>
      <w:r>
        <w:t>semblables</w:t>
      </w:r>
      <w:r w:rsidRPr="002C4077">
        <w:t xml:space="preserve"> </w:t>
      </w:r>
      <w:r>
        <w:t>à</w:t>
      </w:r>
      <w:r w:rsidRPr="002C4077">
        <w:t xml:space="preserve"> </w:t>
      </w:r>
      <w:r>
        <w:t>de</w:t>
      </w:r>
      <w:r w:rsidRPr="002C4077">
        <w:t xml:space="preserve"> </w:t>
      </w:r>
      <w:r>
        <w:t>vastes</w:t>
      </w:r>
      <w:r w:rsidRPr="002C4077">
        <w:t xml:space="preserve"> </w:t>
      </w:r>
      <w:r>
        <w:t>fondrières</w:t>
      </w:r>
      <w:r w:rsidRPr="002C4077">
        <w:t xml:space="preserve"> </w:t>
      </w:r>
      <w:r>
        <w:t>dans</w:t>
      </w:r>
      <w:r w:rsidRPr="002C4077">
        <w:t xml:space="preserve"> </w:t>
      </w:r>
      <w:r>
        <w:t>lesquelles</w:t>
      </w:r>
      <w:r w:rsidRPr="002C4077">
        <w:t xml:space="preserve"> </w:t>
      </w:r>
      <w:r>
        <w:t>vous</w:t>
      </w:r>
      <w:r w:rsidRPr="002C4077">
        <w:t xml:space="preserve"> </w:t>
      </w:r>
      <w:r>
        <w:t>enfonceriez</w:t>
      </w:r>
      <w:r w:rsidRPr="002C4077">
        <w:t xml:space="preserve"> </w:t>
      </w:r>
      <w:r>
        <w:t>jusqu’aux</w:t>
      </w:r>
      <w:r w:rsidRPr="002C4077">
        <w:t xml:space="preserve"> </w:t>
      </w:r>
      <w:r>
        <w:t>genoux.</w:t>
      </w:r>
      <w:r w:rsidRPr="002C4077">
        <w:t xml:space="preserve"> </w:t>
      </w:r>
      <w:r>
        <w:t>Même</w:t>
      </w:r>
      <w:r w:rsidRPr="002C4077">
        <w:t xml:space="preserve"> </w:t>
      </w:r>
      <w:r>
        <w:t>par</w:t>
      </w:r>
      <w:r w:rsidRPr="002C4077">
        <w:t xml:space="preserve"> </w:t>
      </w:r>
      <w:r>
        <w:t>un</w:t>
      </w:r>
      <w:r w:rsidRPr="002C4077">
        <w:t xml:space="preserve"> </w:t>
      </w:r>
      <w:r>
        <w:t>beau</w:t>
      </w:r>
      <w:r w:rsidRPr="002C4077">
        <w:t xml:space="preserve"> </w:t>
      </w:r>
      <w:r>
        <w:t>temps,</w:t>
      </w:r>
      <w:r w:rsidRPr="002C4077">
        <w:t xml:space="preserve"> </w:t>
      </w:r>
      <w:r>
        <w:t>quelle</w:t>
      </w:r>
      <w:r w:rsidRPr="002C4077">
        <w:t xml:space="preserve"> </w:t>
      </w:r>
      <w:r>
        <w:t>affreuse</w:t>
      </w:r>
      <w:r w:rsidRPr="002C4077">
        <w:t xml:space="preserve"> </w:t>
      </w:r>
      <w:r>
        <w:t>malpropreté</w:t>
      </w:r>
      <w:r w:rsidRPr="002C4077">
        <w:t xml:space="preserve"> </w:t>
      </w:r>
      <w:r>
        <w:t>y</w:t>
      </w:r>
      <w:r w:rsidRPr="002C4077">
        <w:t xml:space="preserve"> </w:t>
      </w:r>
      <w:r>
        <w:t>règne</w:t>
      </w:r>
      <w:r w:rsidR="00B546AF">
        <w:t> !</w:t>
      </w:r>
      <w:r w:rsidRPr="002C4077">
        <w:t xml:space="preserve"> </w:t>
      </w:r>
      <w:r>
        <w:t>Chacun</w:t>
      </w:r>
      <w:r w:rsidRPr="002C4077">
        <w:t xml:space="preserve"> </w:t>
      </w:r>
      <w:r>
        <w:t>accumule</w:t>
      </w:r>
      <w:r w:rsidRPr="002C4077">
        <w:t xml:space="preserve"> </w:t>
      </w:r>
      <w:r>
        <w:t>sans</w:t>
      </w:r>
      <w:r w:rsidRPr="002C4077">
        <w:t xml:space="preserve"> </w:t>
      </w:r>
      <w:r>
        <w:t>plus</w:t>
      </w:r>
      <w:r w:rsidRPr="002C4077">
        <w:t xml:space="preserve"> </w:t>
      </w:r>
      <w:r>
        <w:t>de</w:t>
      </w:r>
      <w:r w:rsidRPr="002C4077">
        <w:t xml:space="preserve"> </w:t>
      </w:r>
      <w:r>
        <w:t>façon</w:t>
      </w:r>
      <w:r w:rsidRPr="002C4077">
        <w:t xml:space="preserve"> </w:t>
      </w:r>
      <w:r>
        <w:t>les</w:t>
      </w:r>
      <w:r w:rsidRPr="002C4077">
        <w:t xml:space="preserve"> </w:t>
      </w:r>
      <w:r>
        <w:t>détritus</w:t>
      </w:r>
      <w:r w:rsidRPr="002C4077">
        <w:t xml:space="preserve"> </w:t>
      </w:r>
      <w:r>
        <w:t>du</w:t>
      </w:r>
      <w:r w:rsidRPr="002C4077">
        <w:t xml:space="preserve"> </w:t>
      </w:r>
      <w:r>
        <w:t>ménage</w:t>
      </w:r>
      <w:r w:rsidRPr="002C4077">
        <w:t xml:space="preserve"> </w:t>
      </w:r>
      <w:r>
        <w:t>à</w:t>
      </w:r>
      <w:r w:rsidRPr="002C4077">
        <w:t xml:space="preserve"> </w:t>
      </w:r>
      <w:r>
        <w:t>la</w:t>
      </w:r>
      <w:r w:rsidRPr="002C4077">
        <w:t xml:space="preserve"> </w:t>
      </w:r>
      <w:r>
        <w:t>porte</w:t>
      </w:r>
      <w:r w:rsidRPr="002C4077">
        <w:t xml:space="preserve"> </w:t>
      </w:r>
      <w:r>
        <w:t>de</w:t>
      </w:r>
      <w:r w:rsidRPr="002C4077">
        <w:t xml:space="preserve"> </w:t>
      </w:r>
      <w:r>
        <w:t>sa</w:t>
      </w:r>
      <w:r w:rsidRPr="002C4077">
        <w:t xml:space="preserve"> </w:t>
      </w:r>
      <w:r>
        <w:t>maison.</w:t>
      </w:r>
      <w:r w:rsidRPr="002C4077">
        <w:t xml:space="preserve"> </w:t>
      </w:r>
      <w:r>
        <w:t>Comme</w:t>
      </w:r>
      <w:r w:rsidRPr="002C4077">
        <w:t xml:space="preserve"> </w:t>
      </w:r>
      <w:r>
        <w:t>aucun</w:t>
      </w:r>
      <w:r w:rsidRPr="002C4077">
        <w:t xml:space="preserve"> </w:t>
      </w:r>
      <w:r>
        <w:t>balayeur</w:t>
      </w:r>
      <w:r w:rsidRPr="002C4077">
        <w:t xml:space="preserve"> </w:t>
      </w:r>
      <w:r>
        <w:t>ne</w:t>
      </w:r>
      <w:r w:rsidRPr="002C4077">
        <w:t xml:space="preserve"> </w:t>
      </w:r>
      <w:r>
        <w:t>vient</w:t>
      </w:r>
      <w:r w:rsidRPr="002C4077">
        <w:t xml:space="preserve"> </w:t>
      </w:r>
      <w:r>
        <w:t>déranger</w:t>
      </w:r>
      <w:r w:rsidRPr="002C4077">
        <w:t xml:space="preserve"> </w:t>
      </w:r>
      <w:r>
        <w:t>ces</w:t>
      </w:r>
      <w:r w:rsidRPr="002C4077">
        <w:t xml:space="preserve"> </w:t>
      </w:r>
      <w:r>
        <w:t>ordures,</w:t>
      </w:r>
      <w:r w:rsidRPr="002C4077">
        <w:t xml:space="preserve"> </w:t>
      </w:r>
      <w:r>
        <w:t>elles</w:t>
      </w:r>
      <w:r w:rsidRPr="002C4077">
        <w:t xml:space="preserve"> </w:t>
      </w:r>
      <w:r>
        <w:t>restent</w:t>
      </w:r>
      <w:r w:rsidRPr="002C4077">
        <w:t xml:space="preserve"> </w:t>
      </w:r>
      <w:r>
        <w:t>là</w:t>
      </w:r>
      <w:r w:rsidRPr="002C4077">
        <w:t xml:space="preserve"> </w:t>
      </w:r>
      <w:r>
        <w:t>des</w:t>
      </w:r>
      <w:r w:rsidRPr="002C4077">
        <w:t xml:space="preserve"> </w:t>
      </w:r>
      <w:r>
        <w:t>mois</w:t>
      </w:r>
      <w:r w:rsidRPr="002C4077">
        <w:t xml:space="preserve"> </w:t>
      </w:r>
      <w:r>
        <w:t>entiers,</w:t>
      </w:r>
      <w:r w:rsidRPr="002C4077">
        <w:t xml:space="preserve"> </w:t>
      </w:r>
      <w:r>
        <w:t>les</w:t>
      </w:r>
      <w:r w:rsidRPr="002C4077">
        <w:t xml:space="preserve"> </w:t>
      </w:r>
      <w:r>
        <w:t>os</w:t>
      </w:r>
      <w:r w:rsidRPr="002C4077">
        <w:t xml:space="preserve"> </w:t>
      </w:r>
      <w:r>
        <w:t>par</w:t>
      </w:r>
      <w:r w:rsidRPr="002C4077">
        <w:t xml:space="preserve"> </w:t>
      </w:r>
      <w:r>
        <w:t>exemple,</w:t>
      </w:r>
      <w:r w:rsidRPr="002C4077">
        <w:t xml:space="preserve"> </w:t>
      </w:r>
      <w:r>
        <w:t>jusqu’à</w:t>
      </w:r>
      <w:r w:rsidRPr="002C4077">
        <w:t xml:space="preserve"> </w:t>
      </w:r>
      <w:r>
        <w:t>ce</w:t>
      </w:r>
      <w:r w:rsidRPr="002C4077">
        <w:t xml:space="preserve"> </w:t>
      </w:r>
      <w:r>
        <w:t>qu’elles</w:t>
      </w:r>
      <w:r w:rsidRPr="002C4077">
        <w:t xml:space="preserve"> </w:t>
      </w:r>
      <w:r>
        <w:t>aient</w:t>
      </w:r>
      <w:r w:rsidRPr="002C4077">
        <w:t xml:space="preserve"> </w:t>
      </w:r>
      <w:r>
        <w:t>été</w:t>
      </w:r>
      <w:r w:rsidRPr="002C4077">
        <w:t xml:space="preserve"> </w:t>
      </w:r>
      <w:r>
        <w:t>ensevelies</w:t>
      </w:r>
      <w:r w:rsidRPr="002C4077">
        <w:t xml:space="preserve"> </w:t>
      </w:r>
      <w:r>
        <w:t>dans</w:t>
      </w:r>
      <w:r w:rsidRPr="002C4077">
        <w:t xml:space="preserve"> </w:t>
      </w:r>
      <w:r>
        <w:t>la</w:t>
      </w:r>
      <w:r w:rsidRPr="002C4077">
        <w:t xml:space="preserve"> </w:t>
      </w:r>
      <w:r>
        <w:t>boue.</w:t>
      </w:r>
      <w:r w:rsidR="00C45B47">
        <w:t xml:space="preserve"> {</w:t>
      </w:r>
      <w:r w:rsidR="001F5257">
        <w:t>216</w:t>
      </w:r>
      <w:bookmarkStart w:id="530" w:name="p216"/>
      <w:bookmarkEnd w:id="530"/>
      <w:r w:rsidR="001F5257">
        <w:t xml:space="preserve">} </w:t>
      </w:r>
      <w:r>
        <w:t>Parfois</w:t>
      </w:r>
      <w:r w:rsidRPr="002C4077">
        <w:t xml:space="preserve"> </w:t>
      </w:r>
      <w:r>
        <w:t>le</w:t>
      </w:r>
      <w:r w:rsidRPr="002C4077">
        <w:t xml:space="preserve"> </w:t>
      </w:r>
      <w:r>
        <w:t>cadavre</w:t>
      </w:r>
      <w:r w:rsidRPr="002C4077">
        <w:t xml:space="preserve"> </w:t>
      </w:r>
      <w:r>
        <w:t>d’un</w:t>
      </w:r>
      <w:r w:rsidRPr="002C4077">
        <w:t xml:space="preserve"> </w:t>
      </w:r>
      <w:r>
        <w:t>âne</w:t>
      </w:r>
      <w:r w:rsidRPr="002C4077">
        <w:t xml:space="preserve"> </w:t>
      </w:r>
      <w:r>
        <w:t>demeure</w:t>
      </w:r>
      <w:r w:rsidRPr="002C4077">
        <w:t xml:space="preserve"> </w:t>
      </w:r>
      <w:r>
        <w:t>exposé</w:t>
      </w:r>
      <w:r w:rsidRPr="002C4077">
        <w:t xml:space="preserve"> </w:t>
      </w:r>
      <w:r>
        <w:t>dans</w:t>
      </w:r>
      <w:r w:rsidRPr="002C4077">
        <w:t xml:space="preserve"> </w:t>
      </w:r>
      <w:r>
        <w:t>la</w:t>
      </w:r>
      <w:r w:rsidRPr="002C4077">
        <w:t xml:space="preserve"> </w:t>
      </w:r>
      <w:r>
        <w:t>rue</w:t>
      </w:r>
      <w:r w:rsidRPr="002C4077">
        <w:t xml:space="preserve"> </w:t>
      </w:r>
      <w:r>
        <w:t>quinze</w:t>
      </w:r>
      <w:r w:rsidRPr="002C4077">
        <w:t xml:space="preserve"> </w:t>
      </w:r>
      <w:r>
        <w:t>jours</w:t>
      </w:r>
      <w:r w:rsidRPr="002C4077">
        <w:t xml:space="preserve"> </w:t>
      </w:r>
      <w:r>
        <w:t>durant,</w:t>
      </w:r>
      <w:r w:rsidRPr="002C4077">
        <w:t xml:space="preserve"> </w:t>
      </w:r>
      <w:r>
        <w:t>sans</w:t>
      </w:r>
      <w:r w:rsidRPr="002C4077">
        <w:t xml:space="preserve"> </w:t>
      </w:r>
      <w:r>
        <w:t>offusquer</w:t>
      </w:r>
      <w:r w:rsidRPr="002C4077">
        <w:t xml:space="preserve"> </w:t>
      </w:r>
      <w:r>
        <w:t>personne,</w:t>
      </w:r>
      <w:r w:rsidRPr="002C4077">
        <w:t xml:space="preserve"> </w:t>
      </w:r>
      <w:r>
        <w:t>à</w:t>
      </w:r>
      <w:r w:rsidRPr="002C4077">
        <w:t xml:space="preserve"> </w:t>
      </w:r>
      <w:r>
        <w:t>la</w:t>
      </w:r>
      <w:r w:rsidRPr="002C4077">
        <w:t xml:space="preserve"> </w:t>
      </w:r>
      <w:r>
        <w:t>grande</w:t>
      </w:r>
      <w:r w:rsidRPr="002C4077">
        <w:t xml:space="preserve"> </w:t>
      </w:r>
      <w:r>
        <w:t>joie</w:t>
      </w:r>
      <w:r w:rsidRPr="002C4077">
        <w:t xml:space="preserve"> </w:t>
      </w:r>
      <w:r>
        <w:t>des</w:t>
      </w:r>
      <w:r w:rsidRPr="002C4077">
        <w:t xml:space="preserve"> </w:t>
      </w:r>
      <w:r>
        <w:t>chiens</w:t>
      </w:r>
      <w:r w:rsidRPr="002C4077">
        <w:t xml:space="preserve"> </w:t>
      </w:r>
      <w:r>
        <w:t>et</w:t>
      </w:r>
      <w:r w:rsidRPr="002C4077">
        <w:t xml:space="preserve"> </w:t>
      </w:r>
      <w:r>
        <w:t>des</w:t>
      </w:r>
      <w:r w:rsidRPr="002C4077">
        <w:t xml:space="preserve"> </w:t>
      </w:r>
      <w:r>
        <w:t>chacals</w:t>
      </w:r>
      <w:r w:rsidRPr="002C4077">
        <w:t xml:space="preserve"> </w:t>
      </w:r>
      <w:r>
        <w:t>qui</w:t>
      </w:r>
      <w:r w:rsidRPr="002C4077">
        <w:t xml:space="preserve"> </w:t>
      </w:r>
      <w:r>
        <w:t>en</w:t>
      </w:r>
      <w:r w:rsidRPr="002C4077">
        <w:t xml:space="preserve"> </w:t>
      </w:r>
      <w:r>
        <w:t>font</w:t>
      </w:r>
      <w:r w:rsidRPr="002C4077">
        <w:t xml:space="preserve"> </w:t>
      </w:r>
      <w:r>
        <w:t>leurs</w:t>
      </w:r>
      <w:r w:rsidRPr="002C4077">
        <w:t xml:space="preserve"> </w:t>
      </w:r>
      <w:r>
        <w:t>délices</w:t>
      </w:r>
      <w:r w:rsidRPr="002C4077">
        <w:t xml:space="preserve"> </w:t>
      </w:r>
      <w:r>
        <w:t>pendant</w:t>
      </w:r>
      <w:r w:rsidRPr="002C4077">
        <w:t xml:space="preserve"> </w:t>
      </w:r>
      <w:r>
        <w:t>la</w:t>
      </w:r>
      <w:r w:rsidRPr="002C4077">
        <w:t xml:space="preserve"> </w:t>
      </w:r>
      <w:r>
        <w:t>nuit.</w:t>
      </w:r>
      <w:r w:rsidRPr="002C4077">
        <w:t xml:space="preserve"> </w:t>
      </w:r>
      <w:r>
        <w:t>Nous</w:t>
      </w:r>
      <w:r w:rsidRPr="002C4077">
        <w:t xml:space="preserve"> </w:t>
      </w:r>
      <w:r>
        <w:t>aimons</w:t>
      </w:r>
      <w:r w:rsidRPr="002C4077">
        <w:t xml:space="preserve"> </w:t>
      </w:r>
      <w:r>
        <w:t>à</w:t>
      </w:r>
      <w:r w:rsidRPr="002C4077">
        <w:t xml:space="preserve"> </w:t>
      </w:r>
      <w:r>
        <w:t>dire</w:t>
      </w:r>
      <w:r w:rsidRPr="002C4077">
        <w:t xml:space="preserve"> </w:t>
      </w:r>
      <w:r>
        <w:t>cependant</w:t>
      </w:r>
      <w:r w:rsidRPr="002C4077">
        <w:t xml:space="preserve"> </w:t>
      </w:r>
      <w:r>
        <w:t>que</w:t>
      </w:r>
      <w:r w:rsidRPr="002C4077">
        <w:t xml:space="preserve"> </w:t>
      </w:r>
      <w:r>
        <w:t>les</w:t>
      </w:r>
      <w:r w:rsidRPr="002C4077">
        <w:t xml:space="preserve"> </w:t>
      </w:r>
      <w:r>
        <w:t>chrétiens</w:t>
      </w:r>
      <w:r w:rsidRPr="002C4077">
        <w:t xml:space="preserve"> </w:t>
      </w:r>
      <w:r>
        <w:t>sont,</w:t>
      </w:r>
      <w:r w:rsidRPr="002C4077">
        <w:t xml:space="preserve"> </w:t>
      </w:r>
      <w:r>
        <w:t>en</w:t>
      </w:r>
      <w:r w:rsidRPr="002C4077">
        <w:t xml:space="preserve"> </w:t>
      </w:r>
      <w:r>
        <w:t>général,</w:t>
      </w:r>
      <w:r w:rsidRPr="002C4077">
        <w:t xml:space="preserve"> </w:t>
      </w:r>
      <w:r>
        <w:t>beaucoup</w:t>
      </w:r>
      <w:r w:rsidRPr="002C4077">
        <w:t xml:space="preserve"> </w:t>
      </w:r>
      <w:r>
        <w:t>plus</w:t>
      </w:r>
      <w:r w:rsidRPr="002C4077">
        <w:t xml:space="preserve"> </w:t>
      </w:r>
      <w:r>
        <w:t>propres</w:t>
      </w:r>
      <w:r w:rsidRPr="002C4077">
        <w:t xml:space="preserve"> </w:t>
      </w:r>
      <w:r>
        <w:t>que</w:t>
      </w:r>
      <w:r w:rsidRPr="002C4077">
        <w:t xml:space="preserve"> </w:t>
      </w:r>
      <w:r>
        <w:t>les</w:t>
      </w:r>
      <w:r w:rsidRPr="002C4077">
        <w:t xml:space="preserve"> </w:t>
      </w:r>
      <w:r>
        <w:t>mahométans.</w:t>
      </w:r>
      <w:r w:rsidRPr="002C4077">
        <w:t xml:space="preserve"> </w:t>
      </w:r>
    </w:p>
    <w:p w:rsidR="000A7AAB" w:rsidRDefault="000A7AAB" w:rsidP="000A7AAB">
      <w:r>
        <w:t>À</w:t>
      </w:r>
      <w:r w:rsidRPr="002C4077">
        <w:t xml:space="preserve"> </w:t>
      </w:r>
      <w:r>
        <w:t>part</w:t>
      </w:r>
      <w:r w:rsidRPr="002C4077">
        <w:t xml:space="preserve"> </w:t>
      </w:r>
      <w:r>
        <w:t>la</w:t>
      </w:r>
      <w:r w:rsidRPr="002C4077">
        <w:t xml:space="preserve"> </w:t>
      </w:r>
      <w:r>
        <w:t>mosquée</w:t>
      </w:r>
      <w:r w:rsidRPr="002C4077">
        <w:t xml:space="preserve"> </w:t>
      </w:r>
      <w:r>
        <w:t>signalée</w:t>
      </w:r>
      <w:r w:rsidRPr="002C4077">
        <w:t xml:space="preserve"> </w:t>
      </w:r>
      <w:r>
        <w:t>plus</w:t>
      </w:r>
      <w:r w:rsidRPr="002C4077">
        <w:t xml:space="preserve"> </w:t>
      </w:r>
      <w:r>
        <w:t>haut</w:t>
      </w:r>
      <w:r w:rsidRPr="002C4077">
        <w:t xml:space="preserve"> </w:t>
      </w:r>
      <w:r>
        <w:t>et</w:t>
      </w:r>
      <w:r w:rsidRPr="002C4077">
        <w:t xml:space="preserve"> </w:t>
      </w:r>
      <w:r>
        <w:t>entourée,</w:t>
      </w:r>
      <w:r w:rsidRPr="002C4077">
        <w:t xml:space="preserve"> </w:t>
      </w:r>
      <w:r>
        <w:t>suivant</w:t>
      </w:r>
      <w:r w:rsidRPr="002C4077">
        <w:t xml:space="preserve"> </w:t>
      </w:r>
      <w:r>
        <w:t>l’usage,</w:t>
      </w:r>
      <w:r w:rsidRPr="002C4077">
        <w:t xml:space="preserve"> </w:t>
      </w:r>
      <w:r>
        <w:t>de</w:t>
      </w:r>
      <w:r w:rsidRPr="002C4077">
        <w:t xml:space="preserve"> </w:t>
      </w:r>
      <w:r>
        <w:t>sombres</w:t>
      </w:r>
      <w:r w:rsidRPr="002C4077">
        <w:t xml:space="preserve"> </w:t>
      </w:r>
      <w:r>
        <w:t>cyprès</w:t>
      </w:r>
      <w:r w:rsidR="00B546AF">
        <w:t> :</w:t>
      </w:r>
      <w:r w:rsidRPr="002C4077">
        <w:t xml:space="preserve"> </w:t>
      </w:r>
      <w:r>
        <w:t>à</w:t>
      </w:r>
      <w:r w:rsidRPr="002C4077">
        <w:t xml:space="preserve"> </w:t>
      </w:r>
      <w:r>
        <w:t>part</w:t>
      </w:r>
      <w:r w:rsidRPr="002C4077">
        <w:t xml:space="preserve"> </w:t>
      </w:r>
      <w:r>
        <w:t>les</w:t>
      </w:r>
      <w:r w:rsidRPr="002C4077">
        <w:t xml:space="preserve"> </w:t>
      </w:r>
      <w:r>
        <w:t>établissements</w:t>
      </w:r>
      <w:r w:rsidRPr="002C4077">
        <w:t xml:space="preserve"> </w:t>
      </w:r>
      <w:r>
        <w:t>chrétiens</w:t>
      </w:r>
      <w:r w:rsidRPr="002C4077">
        <w:t xml:space="preserve"> </w:t>
      </w:r>
      <w:r>
        <w:t>dont</w:t>
      </w:r>
      <w:r w:rsidRPr="002C4077">
        <w:t xml:space="preserve"> </w:t>
      </w:r>
      <w:r>
        <w:t>il</w:t>
      </w:r>
      <w:r w:rsidRPr="002C4077">
        <w:t xml:space="preserve"> </w:t>
      </w:r>
      <w:r>
        <w:t>sera</w:t>
      </w:r>
      <w:r w:rsidRPr="002C4077">
        <w:t xml:space="preserve"> </w:t>
      </w:r>
      <w:r>
        <w:t>question</w:t>
      </w:r>
      <w:r w:rsidRPr="002C4077">
        <w:t xml:space="preserve"> </w:t>
      </w:r>
      <w:r>
        <w:t>plus</w:t>
      </w:r>
      <w:r w:rsidRPr="002C4077">
        <w:t xml:space="preserve"> </w:t>
      </w:r>
      <w:r>
        <w:t>loin,</w:t>
      </w:r>
      <w:r w:rsidRPr="002C4077">
        <w:t xml:space="preserve"> </w:t>
      </w:r>
      <w:r>
        <w:t>les</w:t>
      </w:r>
      <w:r w:rsidRPr="002C4077">
        <w:t xml:space="preserve"> </w:t>
      </w:r>
      <w:r>
        <w:t>édifices</w:t>
      </w:r>
      <w:r w:rsidRPr="002C4077">
        <w:t xml:space="preserve"> </w:t>
      </w:r>
      <w:r>
        <w:t>publics</w:t>
      </w:r>
      <w:r w:rsidRPr="002C4077">
        <w:t xml:space="preserve"> </w:t>
      </w:r>
      <w:r>
        <w:t>de</w:t>
      </w:r>
      <w:r w:rsidRPr="002C4077">
        <w:t xml:space="preserve"> </w:t>
      </w:r>
      <w:r>
        <w:t>Nazareth</w:t>
      </w:r>
      <w:r w:rsidRPr="002C4077">
        <w:t xml:space="preserve"> </w:t>
      </w:r>
      <w:r>
        <w:t>sont</w:t>
      </w:r>
      <w:r w:rsidRPr="002C4077">
        <w:t xml:space="preserve"> </w:t>
      </w:r>
      <w:r>
        <w:t>peu</w:t>
      </w:r>
      <w:r w:rsidRPr="002C4077">
        <w:t xml:space="preserve"> </w:t>
      </w:r>
      <w:r>
        <w:t>nombreux</w:t>
      </w:r>
      <w:r w:rsidRPr="002C4077">
        <w:t xml:space="preserve"> </w:t>
      </w:r>
      <w:r>
        <w:t>et</w:t>
      </w:r>
      <w:r w:rsidRPr="002C4077">
        <w:t xml:space="preserve"> </w:t>
      </w:r>
      <w:r>
        <w:t>peu</w:t>
      </w:r>
      <w:r w:rsidRPr="002C4077">
        <w:t xml:space="preserve"> </w:t>
      </w:r>
      <w:r>
        <w:t>intéressants.</w:t>
      </w:r>
      <w:r w:rsidRPr="002C4077">
        <w:t xml:space="preserve"> </w:t>
      </w:r>
      <w:r>
        <w:t>Le</w:t>
      </w:r>
      <w:r w:rsidRPr="002C4077">
        <w:t xml:space="preserve"> </w:t>
      </w:r>
      <w:r>
        <w:t>grand</w:t>
      </w:r>
      <w:r w:rsidRPr="002C4077">
        <w:t xml:space="preserve"> </w:t>
      </w:r>
      <w:r>
        <w:t>khan</w:t>
      </w:r>
      <w:r w:rsidRPr="002C4077">
        <w:t xml:space="preserve"> </w:t>
      </w:r>
      <w:r>
        <w:t>situé</w:t>
      </w:r>
      <w:r w:rsidRPr="002C4077">
        <w:t xml:space="preserve"> </w:t>
      </w:r>
      <w:r>
        <w:t>au</w:t>
      </w:r>
      <w:r w:rsidRPr="002C4077">
        <w:t xml:space="preserve"> </w:t>
      </w:r>
      <w:r>
        <w:t>sud</w:t>
      </w:r>
      <w:r w:rsidRPr="002C4077">
        <w:t xml:space="preserve"> </w:t>
      </w:r>
      <w:r>
        <w:t>de</w:t>
      </w:r>
      <w:r w:rsidRPr="002C4077">
        <w:t xml:space="preserve"> </w:t>
      </w:r>
      <w:r>
        <w:t>la</w:t>
      </w:r>
      <w:r w:rsidRPr="002C4077">
        <w:t xml:space="preserve"> </w:t>
      </w:r>
      <w:r>
        <w:t>ville</w:t>
      </w:r>
      <w:r w:rsidRPr="002C4077">
        <w:t xml:space="preserve"> </w:t>
      </w:r>
      <w:r>
        <w:t>ressemble</w:t>
      </w:r>
      <w:r w:rsidRPr="002C4077">
        <w:t xml:space="preserve"> </w:t>
      </w:r>
      <w:r>
        <w:t>à</w:t>
      </w:r>
      <w:r w:rsidRPr="002C4077">
        <w:t xml:space="preserve"> </w:t>
      </w:r>
      <w:r>
        <w:t>tous</w:t>
      </w:r>
      <w:r w:rsidRPr="002C4077">
        <w:t xml:space="preserve"> </w:t>
      </w:r>
      <w:r>
        <w:t>ses</w:t>
      </w:r>
      <w:r w:rsidRPr="002C4077">
        <w:t xml:space="preserve"> </w:t>
      </w:r>
      <w:r>
        <w:t>frères</w:t>
      </w:r>
      <w:r w:rsidRPr="002C4077">
        <w:t xml:space="preserve"> </w:t>
      </w:r>
      <w:r>
        <w:t>de</w:t>
      </w:r>
      <w:r w:rsidRPr="002C4077">
        <w:t xml:space="preserve"> </w:t>
      </w:r>
      <w:r>
        <w:t>l’Orient.</w:t>
      </w:r>
      <w:r w:rsidRPr="002C4077">
        <w:t xml:space="preserve"> </w:t>
      </w:r>
      <w:r>
        <w:t>Le</w:t>
      </w:r>
      <w:r w:rsidRPr="002C4077">
        <w:t xml:space="preserve"> </w:t>
      </w:r>
      <w:r>
        <w:t>bazar,</w:t>
      </w:r>
      <w:r w:rsidRPr="002C4077">
        <w:t xml:space="preserve"> </w:t>
      </w:r>
      <w:r>
        <w:t>ou</w:t>
      </w:r>
      <w:r w:rsidRPr="002C4077">
        <w:t xml:space="preserve"> </w:t>
      </w:r>
      <w:r>
        <w:t>marché,</w:t>
      </w:r>
      <w:r w:rsidRPr="002C4077">
        <w:t xml:space="preserve"> </w:t>
      </w:r>
      <w:r w:rsidR="00425C50">
        <w:t>est</w:t>
      </w:r>
      <w:r w:rsidRPr="002C4077">
        <w:t xml:space="preserve"> </w:t>
      </w:r>
      <w:r>
        <w:t>assez</w:t>
      </w:r>
      <w:r w:rsidRPr="002C4077">
        <w:t xml:space="preserve"> </w:t>
      </w:r>
      <w:r>
        <w:t>misérable,</w:t>
      </w:r>
      <w:r w:rsidRPr="002C4077">
        <w:t xml:space="preserve"> </w:t>
      </w:r>
      <w:r>
        <w:t>quoiqu’il</w:t>
      </w:r>
      <w:r w:rsidRPr="002C4077">
        <w:t xml:space="preserve"> </w:t>
      </w:r>
      <w:r>
        <w:t>y</w:t>
      </w:r>
      <w:r w:rsidRPr="002C4077">
        <w:t xml:space="preserve"> </w:t>
      </w:r>
      <w:r>
        <w:t>règne</w:t>
      </w:r>
      <w:r w:rsidRPr="002C4077">
        <w:t xml:space="preserve"> </w:t>
      </w:r>
      <w:r>
        <w:t>naturellement</w:t>
      </w:r>
      <w:r w:rsidRPr="002C4077">
        <w:t xml:space="preserve"> </w:t>
      </w:r>
      <w:r>
        <w:t>une</w:t>
      </w:r>
      <w:r w:rsidRPr="002C4077">
        <w:t xml:space="preserve"> </w:t>
      </w:r>
      <w:r>
        <w:t>certaine</w:t>
      </w:r>
      <w:r w:rsidRPr="002C4077">
        <w:t xml:space="preserve"> </w:t>
      </w:r>
      <w:r>
        <w:t>activité.</w:t>
      </w:r>
      <w:r w:rsidRPr="002C4077">
        <w:t xml:space="preserve"> </w:t>
      </w:r>
      <w:r>
        <w:t>En</w:t>
      </w:r>
      <w:r w:rsidRPr="002C4077">
        <w:t xml:space="preserve"> </w:t>
      </w:r>
      <w:r>
        <w:t>somme,</w:t>
      </w:r>
      <w:r w:rsidRPr="002C4077">
        <w:t xml:space="preserve"> </w:t>
      </w:r>
      <w:r>
        <w:t>en</w:t>
      </w:r>
      <w:r w:rsidRPr="002C4077">
        <w:t xml:space="preserve"> </w:t>
      </w:r>
      <w:r>
        <w:t>tant</w:t>
      </w:r>
      <w:r w:rsidRPr="002C4077">
        <w:t xml:space="preserve"> </w:t>
      </w:r>
      <w:r>
        <w:t>que</w:t>
      </w:r>
      <w:r w:rsidRPr="002C4077">
        <w:t xml:space="preserve"> </w:t>
      </w:r>
      <w:r>
        <w:t>ville</w:t>
      </w:r>
      <w:r w:rsidRPr="002C4077">
        <w:t xml:space="preserve"> </w:t>
      </w:r>
      <w:r>
        <w:t>humaine</w:t>
      </w:r>
      <w:r w:rsidRPr="002C4077">
        <w:t xml:space="preserve"> </w:t>
      </w:r>
      <w:r>
        <w:t>et</w:t>
      </w:r>
      <w:r w:rsidRPr="002C4077">
        <w:t xml:space="preserve"> </w:t>
      </w:r>
      <w:r>
        <w:t>indépendamment</w:t>
      </w:r>
      <w:r w:rsidRPr="002C4077">
        <w:t xml:space="preserve"> </w:t>
      </w:r>
      <w:r>
        <w:t>de</w:t>
      </w:r>
      <w:r w:rsidRPr="002C4077">
        <w:t xml:space="preserve"> </w:t>
      </w:r>
      <w:r>
        <w:t>sa</w:t>
      </w:r>
      <w:r w:rsidRPr="002C4077">
        <w:t xml:space="preserve"> </w:t>
      </w:r>
      <w:r>
        <w:t>jolie</w:t>
      </w:r>
      <w:r w:rsidRPr="002C4077">
        <w:t xml:space="preserve"> </w:t>
      </w:r>
      <w:r>
        <w:t>situation,</w:t>
      </w:r>
      <w:r w:rsidRPr="002C4077">
        <w:t xml:space="preserve"> </w:t>
      </w:r>
      <w:r>
        <w:t>Nazareth</w:t>
      </w:r>
      <w:r w:rsidRPr="002C4077">
        <w:t xml:space="preserve"> </w:t>
      </w:r>
      <w:r>
        <w:t>aurait,</w:t>
      </w:r>
      <w:r w:rsidRPr="002C4077">
        <w:t xml:space="preserve"> </w:t>
      </w:r>
      <w:r>
        <w:t>même</w:t>
      </w:r>
      <w:r w:rsidRPr="002C4077">
        <w:t xml:space="preserve"> </w:t>
      </w:r>
      <w:r>
        <w:t>en</w:t>
      </w:r>
      <w:r w:rsidRPr="002C4077">
        <w:t xml:space="preserve"> </w:t>
      </w:r>
      <w:r>
        <w:t>Palestine,</w:t>
      </w:r>
      <w:r w:rsidRPr="002C4077">
        <w:t xml:space="preserve"> </w:t>
      </w:r>
      <w:r>
        <w:t>une</w:t>
      </w:r>
      <w:r w:rsidRPr="002C4077">
        <w:t xml:space="preserve"> </w:t>
      </w:r>
      <w:r>
        <w:t>foule</w:t>
      </w:r>
      <w:r w:rsidRPr="002C4077">
        <w:t xml:space="preserve"> </w:t>
      </w:r>
      <w:r>
        <w:t>de</w:t>
      </w:r>
      <w:r w:rsidRPr="002C4077">
        <w:t xml:space="preserve"> </w:t>
      </w:r>
      <w:r>
        <w:t>rivales.</w:t>
      </w:r>
      <w:r w:rsidRPr="002C4077">
        <w:t xml:space="preserve"> </w:t>
      </w:r>
      <w:r>
        <w:t>Mais</w:t>
      </w:r>
      <w:r w:rsidRPr="002C4077">
        <w:t xml:space="preserve"> </w:t>
      </w:r>
      <w:r>
        <w:t>la</w:t>
      </w:r>
      <w:r w:rsidRPr="002C4077">
        <w:t xml:space="preserve"> </w:t>
      </w:r>
      <w:r>
        <w:t>géographie</w:t>
      </w:r>
      <w:r w:rsidRPr="002C4077">
        <w:t xml:space="preserve"> </w:t>
      </w:r>
      <w:r>
        <w:t>du</w:t>
      </w:r>
      <w:r w:rsidRPr="002C4077">
        <w:t xml:space="preserve"> </w:t>
      </w:r>
      <w:r>
        <w:t>cœur</w:t>
      </w:r>
      <w:r w:rsidRPr="002C4077">
        <w:t xml:space="preserve"> </w:t>
      </w:r>
      <w:r>
        <w:t>suit,</w:t>
      </w:r>
      <w:r w:rsidRPr="002C4077">
        <w:t xml:space="preserve"> </w:t>
      </w:r>
      <w:r>
        <w:t>dans</w:t>
      </w:r>
      <w:r w:rsidRPr="002C4077">
        <w:t xml:space="preserve"> </w:t>
      </w:r>
      <w:r>
        <w:t>ses</w:t>
      </w:r>
      <w:r w:rsidRPr="002C4077">
        <w:t xml:space="preserve"> </w:t>
      </w:r>
      <w:r>
        <w:t>classements,</w:t>
      </w:r>
      <w:r w:rsidRPr="002C4077">
        <w:t xml:space="preserve"> </w:t>
      </w:r>
      <w:r>
        <w:t>d’autres</w:t>
      </w:r>
      <w:r w:rsidRPr="002C4077">
        <w:t xml:space="preserve"> </w:t>
      </w:r>
      <w:r>
        <w:t>principes</w:t>
      </w:r>
      <w:r w:rsidRPr="002C4077">
        <w:t xml:space="preserve"> </w:t>
      </w:r>
      <w:r>
        <w:t>que</w:t>
      </w:r>
      <w:r w:rsidRPr="002C4077">
        <w:t xml:space="preserve"> </w:t>
      </w:r>
      <w:r>
        <w:t>la</w:t>
      </w:r>
      <w:r w:rsidRPr="002C4077">
        <w:t xml:space="preserve"> </w:t>
      </w:r>
      <w:r>
        <w:t>géographie</w:t>
      </w:r>
      <w:r w:rsidRPr="002C4077">
        <w:t xml:space="preserve"> </w:t>
      </w:r>
      <w:r>
        <w:t>des</w:t>
      </w:r>
      <w:r w:rsidRPr="002C4077">
        <w:t xml:space="preserve"> </w:t>
      </w:r>
      <w:r>
        <w:t>savants.</w:t>
      </w:r>
      <w:r w:rsidRPr="002C4077">
        <w:t xml:space="preserve"> </w:t>
      </w:r>
      <w:r>
        <w:t>Paris</w:t>
      </w:r>
      <w:r w:rsidRPr="002C4077">
        <w:t xml:space="preserve"> </w:t>
      </w:r>
      <w:r>
        <w:t>et</w:t>
      </w:r>
      <w:r w:rsidRPr="002C4077">
        <w:t xml:space="preserve"> </w:t>
      </w:r>
      <w:r>
        <w:t>Londres,</w:t>
      </w:r>
      <w:r w:rsidRPr="002C4077">
        <w:t xml:space="preserve"> </w:t>
      </w:r>
      <w:r>
        <w:t>avec</w:t>
      </w:r>
      <w:r w:rsidRPr="002C4077">
        <w:t xml:space="preserve"> </w:t>
      </w:r>
      <w:r>
        <w:t>leur</w:t>
      </w:r>
      <w:r w:rsidRPr="002C4077">
        <w:t xml:space="preserve"> </w:t>
      </w:r>
      <w:r>
        <w:t>importance</w:t>
      </w:r>
      <w:r w:rsidRPr="002C4077">
        <w:t xml:space="preserve"> </w:t>
      </w:r>
      <w:r>
        <w:t>politique,</w:t>
      </w:r>
      <w:r w:rsidRPr="002C4077">
        <w:t xml:space="preserve"> </w:t>
      </w:r>
      <w:r>
        <w:t>leur</w:t>
      </w:r>
      <w:r w:rsidRPr="002C4077">
        <w:t xml:space="preserve"> </w:t>
      </w:r>
      <w:r>
        <w:t>commerce</w:t>
      </w:r>
      <w:r w:rsidRPr="002C4077">
        <w:t xml:space="preserve"> </w:t>
      </w:r>
      <w:r>
        <w:t>gigantesque,</w:t>
      </w:r>
      <w:r w:rsidRPr="002C4077">
        <w:t xml:space="preserve"> </w:t>
      </w:r>
      <w:r>
        <w:t>leurs</w:t>
      </w:r>
      <w:r w:rsidRPr="002C4077">
        <w:t xml:space="preserve"> </w:t>
      </w:r>
      <w:r>
        <w:t>deux</w:t>
      </w:r>
      <w:r w:rsidRPr="002C4077">
        <w:t xml:space="preserve"> </w:t>
      </w:r>
      <w:r>
        <w:t>millions</w:t>
      </w:r>
      <w:r w:rsidRPr="002C4077">
        <w:t xml:space="preserve"> </w:t>
      </w:r>
      <w:r>
        <w:t>d’habitants,</w:t>
      </w:r>
      <w:r w:rsidRPr="002C4077">
        <w:t xml:space="preserve"> </w:t>
      </w:r>
      <w:r>
        <w:t>ne</w:t>
      </w:r>
      <w:r w:rsidRPr="002C4077">
        <w:t xml:space="preserve"> </w:t>
      </w:r>
      <w:r>
        <w:t>vaudront</w:t>
      </w:r>
      <w:r w:rsidRPr="002C4077">
        <w:t xml:space="preserve"> </w:t>
      </w:r>
      <w:r>
        <w:t>jamais,</w:t>
      </w:r>
      <w:r w:rsidRPr="002C4077">
        <w:t xml:space="preserve"> </w:t>
      </w:r>
      <w:r>
        <w:t>pour</w:t>
      </w:r>
      <w:r w:rsidRPr="002C4077">
        <w:t xml:space="preserve"> </w:t>
      </w:r>
      <w:r>
        <w:t>une</w:t>
      </w:r>
      <w:r w:rsidRPr="002C4077">
        <w:t xml:space="preserve"> </w:t>
      </w:r>
      <w:r>
        <w:t>âme</w:t>
      </w:r>
      <w:r w:rsidRPr="002C4077">
        <w:t xml:space="preserve"> </w:t>
      </w:r>
      <w:r>
        <w:t>croyante,</w:t>
      </w:r>
      <w:r w:rsidRPr="002C4077">
        <w:t xml:space="preserve"> </w:t>
      </w:r>
      <w:r>
        <w:t>ni</w:t>
      </w:r>
      <w:r w:rsidRPr="002C4077">
        <w:t xml:space="preserve"> </w:t>
      </w:r>
      <w:r>
        <w:t>Capharnaüm,</w:t>
      </w:r>
      <w:r w:rsidRPr="002C4077">
        <w:t xml:space="preserve"> </w:t>
      </w:r>
      <w:r>
        <w:t>ni</w:t>
      </w:r>
      <w:r w:rsidRPr="002C4077">
        <w:t xml:space="preserve"> </w:t>
      </w:r>
      <w:r>
        <w:t>Naïm,</w:t>
      </w:r>
      <w:r w:rsidRPr="002C4077">
        <w:t xml:space="preserve"> </w:t>
      </w:r>
      <w:r>
        <w:t>ni</w:t>
      </w:r>
      <w:r w:rsidRPr="002C4077">
        <w:t xml:space="preserve"> </w:t>
      </w:r>
      <w:r>
        <w:t>Béthanie,</w:t>
      </w:r>
      <w:r w:rsidRPr="002C4077">
        <w:t xml:space="preserve"> </w:t>
      </w:r>
      <w:r>
        <w:t>ni</w:t>
      </w:r>
      <w:r w:rsidRPr="002C4077">
        <w:t xml:space="preserve"> </w:t>
      </w:r>
      <w:r>
        <w:t>surtout</w:t>
      </w:r>
      <w:r w:rsidRPr="002C4077">
        <w:t xml:space="preserve"> </w:t>
      </w:r>
      <w:r>
        <w:t>Nazareth.</w:t>
      </w:r>
      <w:r w:rsidRPr="002C4077">
        <w:t xml:space="preserve"> </w:t>
      </w:r>
    </w:p>
    <w:p w:rsidR="000A7AAB" w:rsidRPr="001F5257" w:rsidRDefault="000A7AAB" w:rsidP="000A7AAB">
      <w:r>
        <w:t>La</w:t>
      </w:r>
      <w:r w:rsidRPr="002C4077">
        <w:t xml:space="preserve"> </w:t>
      </w:r>
      <w:r>
        <w:t>population</w:t>
      </w:r>
      <w:r w:rsidRPr="002C4077">
        <w:t xml:space="preserve"> </w:t>
      </w:r>
      <w:r>
        <w:t>de</w:t>
      </w:r>
      <w:r w:rsidRPr="002C4077">
        <w:t xml:space="preserve"> </w:t>
      </w:r>
      <w:r>
        <w:t>Nazareth</w:t>
      </w:r>
      <w:r w:rsidRPr="002C4077">
        <w:t xml:space="preserve"> </w:t>
      </w:r>
      <w:r>
        <w:t>n’a</w:t>
      </w:r>
      <w:r w:rsidRPr="002C4077">
        <w:t xml:space="preserve"> </w:t>
      </w:r>
      <w:r>
        <w:t>jamais</w:t>
      </w:r>
      <w:r w:rsidRPr="002C4077">
        <w:t xml:space="preserve"> </w:t>
      </w:r>
      <w:r>
        <w:t>été</w:t>
      </w:r>
      <w:r w:rsidRPr="002C4077">
        <w:t xml:space="preserve"> </w:t>
      </w:r>
      <w:r>
        <w:t>et</w:t>
      </w:r>
      <w:r w:rsidRPr="002C4077">
        <w:t xml:space="preserve"> </w:t>
      </w:r>
      <w:r>
        <w:t>ne</w:t>
      </w:r>
      <w:r w:rsidRPr="002C4077">
        <w:t xml:space="preserve"> </w:t>
      </w:r>
      <w:r>
        <w:t>saurait</w:t>
      </w:r>
      <w:r w:rsidRPr="002C4077">
        <w:t xml:space="preserve"> </w:t>
      </w:r>
      <w:r>
        <w:t>jamais</w:t>
      </w:r>
      <w:r w:rsidRPr="002C4077">
        <w:t xml:space="preserve"> </w:t>
      </w:r>
      <w:r>
        <w:t>être</w:t>
      </w:r>
      <w:r w:rsidRPr="002C4077">
        <w:t xml:space="preserve"> </w:t>
      </w:r>
      <w:r>
        <w:t>bien</w:t>
      </w:r>
      <w:r w:rsidRPr="002C4077">
        <w:t xml:space="preserve"> </w:t>
      </w:r>
      <w:r>
        <w:t>considérable</w:t>
      </w:r>
      <w:r w:rsidR="00B546AF">
        <w:t> :</w:t>
      </w:r>
      <w:r w:rsidRPr="002C4077">
        <w:t xml:space="preserve"> </w:t>
      </w:r>
      <w:r>
        <w:t>à</w:t>
      </w:r>
      <w:r w:rsidRPr="002C4077">
        <w:t xml:space="preserve"> </w:t>
      </w:r>
      <w:r>
        <w:t>peu</w:t>
      </w:r>
      <w:r w:rsidRPr="002C4077">
        <w:t xml:space="preserve"> </w:t>
      </w:r>
      <w:r>
        <w:t>près</w:t>
      </w:r>
      <w:r w:rsidRPr="002C4077">
        <w:t xml:space="preserve"> </w:t>
      </w:r>
      <w:r>
        <w:t>quatre</w:t>
      </w:r>
      <w:r w:rsidRPr="002C4077">
        <w:t xml:space="preserve"> </w:t>
      </w:r>
      <w:r>
        <w:t>mille</w:t>
      </w:r>
      <w:r w:rsidRPr="002C4077">
        <w:t xml:space="preserve"> </w:t>
      </w:r>
      <w:r>
        <w:t>habitants,</w:t>
      </w:r>
      <w:r w:rsidRPr="002C4077">
        <w:t xml:space="preserve"> </w:t>
      </w:r>
      <w:r>
        <w:t>voilà</w:t>
      </w:r>
      <w:r w:rsidRPr="002C4077">
        <w:t xml:space="preserve"> </w:t>
      </w:r>
      <w:r>
        <w:t>ce</w:t>
      </w:r>
      <w:r w:rsidRPr="002C4077">
        <w:t xml:space="preserve"> </w:t>
      </w:r>
      <w:r>
        <w:t>que</w:t>
      </w:r>
      <w:r w:rsidRPr="002C4077">
        <w:t xml:space="preserve"> </w:t>
      </w:r>
      <w:r>
        <w:t>cette</w:t>
      </w:r>
      <w:r w:rsidRPr="002C4077">
        <w:t xml:space="preserve"> </w:t>
      </w:r>
      <w:r>
        <w:t>petite</w:t>
      </w:r>
      <w:r w:rsidRPr="002C4077">
        <w:t xml:space="preserve"> </w:t>
      </w:r>
      <w:r>
        <w:t>cité</w:t>
      </w:r>
      <w:r w:rsidRPr="002C4077">
        <w:t xml:space="preserve"> </w:t>
      </w:r>
      <w:r>
        <w:t>paraît</w:t>
      </w:r>
      <w:r w:rsidRPr="002C4077">
        <w:t xml:space="preserve"> </w:t>
      </w:r>
      <w:r>
        <w:t>contenir</w:t>
      </w:r>
      <w:r w:rsidRPr="002C4077">
        <w:t xml:space="preserve"> </w:t>
      </w:r>
      <w:r>
        <w:t>aujourd’hui.</w:t>
      </w:r>
      <w:r w:rsidRPr="002C4077">
        <w:t xml:space="preserve"> </w:t>
      </w:r>
      <w:r>
        <w:t>Les</w:t>
      </w:r>
      <w:r w:rsidRPr="002C4077">
        <w:t xml:space="preserve"> </w:t>
      </w:r>
      <w:r>
        <w:t>deux</w:t>
      </w:r>
      <w:r w:rsidRPr="002C4077">
        <w:t xml:space="preserve"> </w:t>
      </w:r>
      <w:r>
        <w:t>tiers</w:t>
      </w:r>
      <w:r w:rsidRPr="002C4077">
        <w:t xml:space="preserve"> </w:t>
      </w:r>
      <w:r>
        <w:t>environ</w:t>
      </w:r>
      <w:r w:rsidRPr="002C4077">
        <w:t xml:space="preserve"> </w:t>
      </w:r>
      <w:r>
        <w:t>appartiennent</w:t>
      </w:r>
      <w:r w:rsidRPr="002C4077">
        <w:t xml:space="preserve"> </w:t>
      </w:r>
      <w:r>
        <w:t>à</w:t>
      </w:r>
      <w:r w:rsidRPr="002C4077">
        <w:t xml:space="preserve"> </w:t>
      </w:r>
      <w:r>
        <w:t>la</w:t>
      </w:r>
      <w:r w:rsidRPr="002C4077">
        <w:t xml:space="preserve"> </w:t>
      </w:r>
      <w:r>
        <w:t>religion</w:t>
      </w:r>
      <w:r w:rsidRPr="002C4077">
        <w:t xml:space="preserve"> </w:t>
      </w:r>
      <w:r>
        <w:t>chrétienne,</w:t>
      </w:r>
      <w:r w:rsidRPr="002C4077">
        <w:t xml:space="preserve"> </w:t>
      </w:r>
      <w:r>
        <w:t>le</w:t>
      </w:r>
      <w:r w:rsidRPr="002C4077">
        <w:t xml:space="preserve"> </w:t>
      </w:r>
      <w:r>
        <w:t>reste</w:t>
      </w:r>
      <w:r w:rsidRPr="002C4077">
        <w:t xml:space="preserve"> </w:t>
      </w:r>
      <w:r>
        <w:t>au</w:t>
      </w:r>
      <w:r w:rsidRPr="002C4077">
        <w:t xml:space="preserve"> </w:t>
      </w:r>
      <w:r>
        <w:t>mahométisme</w:t>
      </w:r>
      <w:r w:rsidR="00B546AF">
        <w:t> ;</w:t>
      </w:r>
      <w:r w:rsidRPr="002C4077">
        <w:t xml:space="preserve"> </w:t>
      </w:r>
      <w:r>
        <w:t>mais</w:t>
      </w:r>
      <w:r w:rsidRPr="002C4077">
        <w:t xml:space="preserve"> </w:t>
      </w:r>
      <w:r>
        <w:t>les</w:t>
      </w:r>
      <w:r w:rsidRPr="002C4077">
        <w:t xml:space="preserve"> </w:t>
      </w:r>
      <w:r>
        <w:t>Grecs</w:t>
      </w:r>
      <w:r w:rsidRPr="002C4077">
        <w:t xml:space="preserve"> </w:t>
      </w:r>
      <w:r>
        <w:t>schismatiques</w:t>
      </w:r>
      <w:r w:rsidRPr="002C4077">
        <w:t xml:space="preserve"> </w:t>
      </w:r>
      <w:r>
        <w:t>sont</w:t>
      </w:r>
      <w:r w:rsidRPr="002C4077">
        <w:t xml:space="preserve"> </w:t>
      </w:r>
      <w:r>
        <w:t>beaucoup</w:t>
      </w:r>
      <w:r w:rsidRPr="002C4077">
        <w:t xml:space="preserve"> </w:t>
      </w:r>
      <w:r>
        <w:t>plus</w:t>
      </w:r>
      <w:r w:rsidRPr="002C4077">
        <w:t xml:space="preserve"> </w:t>
      </w:r>
      <w:r>
        <w:t>nombreux</w:t>
      </w:r>
      <w:r w:rsidRPr="002C4077">
        <w:t xml:space="preserve"> </w:t>
      </w:r>
      <w:r>
        <w:t>que</w:t>
      </w:r>
      <w:r w:rsidRPr="002C4077">
        <w:t xml:space="preserve"> </w:t>
      </w:r>
      <w:r>
        <w:t>les</w:t>
      </w:r>
      <w:r w:rsidRPr="002C4077">
        <w:t xml:space="preserve"> </w:t>
      </w:r>
      <w:r>
        <w:t>catholiques.</w:t>
      </w:r>
      <w:r w:rsidRPr="002C4077">
        <w:t xml:space="preserve"> </w:t>
      </w:r>
      <w:r>
        <w:t>Ces</w:t>
      </w:r>
      <w:r w:rsidRPr="002C4077">
        <w:t xml:space="preserve"> </w:t>
      </w:r>
      <w:r>
        <w:t>derniers,</w:t>
      </w:r>
      <w:r w:rsidRPr="002C4077">
        <w:t xml:space="preserve"> </w:t>
      </w:r>
      <w:r>
        <w:t>Latins,</w:t>
      </w:r>
      <w:r w:rsidRPr="002C4077">
        <w:t xml:space="preserve"> </w:t>
      </w:r>
      <w:r>
        <w:t>Maronites,</w:t>
      </w:r>
      <w:r w:rsidRPr="002C4077">
        <w:t xml:space="preserve"> </w:t>
      </w:r>
      <w:r>
        <w:t>Grecs</w:t>
      </w:r>
      <w:r w:rsidRPr="002C4077">
        <w:t xml:space="preserve"> </w:t>
      </w:r>
      <w:r>
        <w:t>unis,</w:t>
      </w:r>
      <w:r w:rsidRPr="002C4077">
        <w:t xml:space="preserve"> </w:t>
      </w:r>
      <w:r>
        <w:t>forment</w:t>
      </w:r>
      <w:r w:rsidRPr="002C4077">
        <w:t xml:space="preserve"> </w:t>
      </w:r>
      <w:r>
        <w:t>tout</w:t>
      </w:r>
      <w:r w:rsidRPr="002C4077">
        <w:t xml:space="preserve"> </w:t>
      </w:r>
      <w:r>
        <w:t>au</w:t>
      </w:r>
      <w:r w:rsidRPr="002C4077">
        <w:t xml:space="preserve"> </w:t>
      </w:r>
      <w:r>
        <w:t>plus</w:t>
      </w:r>
      <w:r w:rsidRPr="002C4077">
        <w:t xml:space="preserve"> </w:t>
      </w:r>
      <w:r>
        <w:t>le</w:t>
      </w:r>
      <w:r w:rsidRPr="002C4077">
        <w:t xml:space="preserve"> </w:t>
      </w:r>
      <w:r>
        <w:t>quart</w:t>
      </w:r>
      <w:r w:rsidRPr="002C4077">
        <w:t xml:space="preserve"> </w:t>
      </w:r>
      <w:r>
        <w:t>de</w:t>
      </w:r>
      <w:r w:rsidRPr="002C4077">
        <w:t xml:space="preserve"> </w:t>
      </w:r>
      <w:r>
        <w:t>la</w:t>
      </w:r>
      <w:r w:rsidRPr="002C4077">
        <w:t xml:space="preserve"> </w:t>
      </w:r>
      <w:r>
        <w:t>population</w:t>
      </w:r>
      <w:r w:rsidRPr="002C4077">
        <w:t xml:space="preserve"> </w:t>
      </w:r>
      <w:r>
        <w:t>totale.</w:t>
      </w:r>
      <w:r w:rsidR="00C45B47">
        <w:t xml:space="preserve"> {</w:t>
      </w:r>
      <w:r w:rsidR="001F5257">
        <w:t>217</w:t>
      </w:r>
      <w:bookmarkStart w:id="531" w:name="p217"/>
      <w:bookmarkEnd w:id="531"/>
      <w:r w:rsidR="001F5257">
        <w:t xml:space="preserve">} </w:t>
      </w:r>
    </w:p>
    <w:p w:rsidR="000A7AAB" w:rsidRDefault="000A7AAB" w:rsidP="000A7AAB">
      <w:r>
        <w:t>Tandis</w:t>
      </w:r>
      <w:r w:rsidRPr="002C4077">
        <w:t xml:space="preserve"> </w:t>
      </w:r>
      <w:r>
        <w:t>que</w:t>
      </w:r>
      <w:r w:rsidRPr="002C4077">
        <w:t xml:space="preserve"> </w:t>
      </w:r>
      <w:r>
        <w:t>les</w:t>
      </w:r>
      <w:r w:rsidRPr="002C4077">
        <w:t xml:space="preserve"> </w:t>
      </w:r>
      <w:r>
        <w:t>Juifs</w:t>
      </w:r>
      <w:r w:rsidRPr="002C4077">
        <w:t xml:space="preserve"> </w:t>
      </w:r>
      <w:r>
        <w:t>abondent</w:t>
      </w:r>
      <w:r w:rsidRPr="002C4077">
        <w:t xml:space="preserve"> </w:t>
      </w:r>
      <w:r>
        <w:t>dans</w:t>
      </w:r>
      <w:r w:rsidRPr="002C4077">
        <w:t xml:space="preserve"> </w:t>
      </w:r>
      <w:r>
        <w:t>les</w:t>
      </w:r>
      <w:r w:rsidRPr="002C4077">
        <w:t xml:space="preserve"> </w:t>
      </w:r>
      <w:r>
        <w:t>régions</w:t>
      </w:r>
      <w:r w:rsidRPr="002C4077">
        <w:t xml:space="preserve"> </w:t>
      </w:r>
      <w:r>
        <w:t>voisines,</w:t>
      </w:r>
      <w:r w:rsidRPr="002C4077">
        <w:t xml:space="preserve"> </w:t>
      </w:r>
      <w:r>
        <w:t>on</w:t>
      </w:r>
      <w:r w:rsidRPr="002C4077">
        <w:t xml:space="preserve"> </w:t>
      </w:r>
      <w:r>
        <w:t>n’en</w:t>
      </w:r>
      <w:r w:rsidRPr="002C4077">
        <w:t xml:space="preserve"> </w:t>
      </w:r>
      <w:r>
        <w:t>rencontre</w:t>
      </w:r>
      <w:r w:rsidRPr="002C4077">
        <w:t xml:space="preserve"> </w:t>
      </w:r>
      <w:r>
        <w:t>pas</w:t>
      </w:r>
      <w:r w:rsidRPr="002C4077">
        <w:t xml:space="preserve"> </w:t>
      </w:r>
      <w:r>
        <w:t>un</w:t>
      </w:r>
      <w:r w:rsidRPr="002C4077">
        <w:t xml:space="preserve"> </w:t>
      </w:r>
      <w:r>
        <w:t>seul</w:t>
      </w:r>
      <w:r w:rsidRPr="002C4077">
        <w:t xml:space="preserve"> </w:t>
      </w:r>
      <w:r>
        <w:t>à</w:t>
      </w:r>
      <w:r w:rsidRPr="002C4077">
        <w:t xml:space="preserve"> </w:t>
      </w:r>
      <w:r>
        <w:t>Nazareth.</w:t>
      </w:r>
      <w:r w:rsidRPr="002C4077">
        <w:t xml:space="preserve"> </w:t>
      </w:r>
      <w:r>
        <w:t>Ce</w:t>
      </w:r>
      <w:r w:rsidRPr="002C4077">
        <w:t xml:space="preserve"> </w:t>
      </w:r>
      <w:r>
        <w:t>qui</w:t>
      </w:r>
      <w:r w:rsidRPr="002C4077">
        <w:t xml:space="preserve"> </w:t>
      </w:r>
      <w:r>
        <w:t>faisait</w:t>
      </w:r>
      <w:r w:rsidRPr="002C4077">
        <w:t xml:space="preserve"> </w:t>
      </w:r>
      <w:r>
        <w:t>pousser</w:t>
      </w:r>
      <w:r w:rsidRPr="002C4077">
        <w:t xml:space="preserve"> </w:t>
      </w:r>
      <w:r>
        <w:t>à</w:t>
      </w:r>
      <w:r w:rsidRPr="002C4077">
        <w:t xml:space="preserve"> </w:t>
      </w:r>
      <w:r>
        <w:t>un</w:t>
      </w:r>
      <w:r w:rsidRPr="002C4077">
        <w:t xml:space="preserve"> </w:t>
      </w:r>
      <w:r>
        <w:t>vieil</w:t>
      </w:r>
      <w:r w:rsidRPr="002C4077">
        <w:t xml:space="preserve"> </w:t>
      </w:r>
      <w:r>
        <w:t>auteur</w:t>
      </w:r>
      <w:r w:rsidRPr="002C4077">
        <w:t xml:space="preserve"> </w:t>
      </w:r>
      <w:r>
        <w:t>cette</w:t>
      </w:r>
      <w:r w:rsidRPr="002C4077">
        <w:t xml:space="preserve"> </w:t>
      </w:r>
      <w:r>
        <w:t>exclamation</w:t>
      </w:r>
      <w:r w:rsidRPr="002C4077">
        <w:t xml:space="preserve"> </w:t>
      </w:r>
      <w:r>
        <w:t>naïve,</w:t>
      </w:r>
      <w:r w:rsidRPr="002C4077">
        <w:t xml:space="preserve"> </w:t>
      </w:r>
      <w:r>
        <w:t>appuyée</w:t>
      </w:r>
      <w:r w:rsidRPr="002C4077">
        <w:t xml:space="preserve"> </w:t>
      </w:r>
      <w:r>
        <w:t>sur</w:t>
      </w:r>
      <w:r w:rsidRPr="002C4077">
        <w:t xml:space="preserve"> </w:t>
      </w:r>
      <w:r>
        <w:t>une</w:t>
      </w:r>
      <w:r w:rsidRPr="002C4077">
        <w:t xml:space="preserve"> </w:t>
      </w:r>
      <w:r>
        <w:t>croyance</w:t>
      </w:r>
      <w:r w:rsidRPr="002C4077">
        <w:t xml:space="preserve"> </w:t>
      </w:r>
      <w:r>
        <w:t>non</w:t>
      </w:r>
      <w:r w:rsidRPr="002C4077">
        <w:t xml:space="preserve"> </w:t>
      </w:r>
      <w:r>
        <w:t>moins</w:t>
      </w:r>
      <w:r w:rsidRPr="002C4077">
        <w:t xml:space="preserve"> </w:t>
      </w:r>
      <w:r>
        <w:t>naïve</w:t>
      </w:r>
      <w:r w:rsidR="00B546AF">
        <w:t> :</w:t>
      </w:r>
      <w:r w:rsidRPr="002C4077">
        <w:t xml:space="preserve"> </w:t>
      </w:r>
      <w:r w:rsidR="00B546AF">
        <w:t>« </w:t>
      </w:r>
      <w:r>
        <w:t>Le</w:t>
      </w:r>
      <w:r w:rsidRPr="002C4077">
        <w:t xml:space="preserve"> </w:t>
      </w:r>
      <w:r>
        <w:t>diable</w:t>
      </w:r>
      <w:r w:rsidRPr="002C4077">
        <w:t xml:space="preserve"> </w:t>
      </w:r>
      <w:r>
        <w:t>fuit</w:t>
      </w:r>
      <w:r w:rsidRPr="002C4077">
        <w:t xml:space="preserve"> </w:t>
      </w:r>
      <w:r>
        <w:t>à</w:t>
      </w:r>
      <w:r w:rsidRPr="002C4077">
        <w:t xml:space="preserve"> </w:t>
      </w:r>
      <w:r>
        <w:t>peine</w:t>
      </w:r>
      <w:r w:rsidRPr="002C4077">
        <w:t xml:space="preserve"> </w:t>
      </w:r>
      <w:r>
        <w:t>autant</w:t>
      </w:r>
      <w:r w:rsidRPr="002C4077">
        <w:t xml:space="preserve"> </w:t>
      </w:r>
      <w:r>
        <w:t>la</w:t>
      </w:r>
      <w:r w:rsidRPr="002C4077">
        <w:t xml:space="preserve"> </w:t>
      </w:r>
      <w:r>
        <w:t>sainte</w:t>
      </w:r>
      <w:r w:rsidRPr="002C4077">
        <w:t xml:space="preserve"> </w:t>
      </w:r>
      <w:r>
        <w:t>croix,</w:t>
      </w:r>
      <w:r w:rsidRPr="002C4077">
        <w:t xml:space="preserve"> </w:t>
      </w:r>
      <w:r>
        <w:t>que</w:t>
      </w:r>
      <w:r w:rsidRPr="002C4077">
        <w:t xml:space="preserve"> </w:t>
      </w:r>
      <w:r>
        <w:t>les</w:t>
      </w:r>
      <w:r w:rsidRPr="002C4077">
        <w:t xml:space="preserve"> </w:t>
      </w:r>
      <w:r>
        <w:t>Juifs</w:t>
      </w:r>
      <w:r w:rsidRPr="002C4077">
        <w:t xml:space="preserve"> </w:t>
      </w:r>
      <w:r>
        <w:t>la</w:t>
      </w:r>
      <w:r w:rsidRPr="002C4077">
        <w:t xml:space="preserve"> </w:t>
      </w:r>
      <w:r>
        <w:t>petite</w:t>
      </w:r>
      <w:r w:rsidRPr="002C4077">
        <w:t xml:space="preserve"> </w:t>
      </w:r>
      <w:r>
        <w:t>ville</w:t>
      </w:r>
      <w:r w:rsidRPr="002C4077">
        <w:t xml:space="preserve"> </w:t>
      </w:r>
      <w:r>
        <w:t>de</w:t>
      </w:r>
      <w:r w:rsidRPr="002C4077">
        <w:t xml:space="preserve"> </w:t>
      </w:r>
      <w:r>
        <w:t>Nazareth</w:t>
      </w:r>
      <w:r w:rsidR="00B546AF">
        <w:t> ?</w:t>
      </w:r>
      <w:r w:rsidRPr="002C4077">
        <w:t xml:space="preserve"> </w:t>
      </w:r>
      <w:r>
        <w:t>Au</w:t>
      </w:r>
      <w:r w:rsidRPr="002C4077">
        <w:t xml:space="preserve"> </w:t>
      </w:r>
      <w:r>
        <w:t>reste,</w:t>
      </w:r>
      <w:r w:rsidRPr="002C4077">
        <w:t xml:space="preserve"> </w:t>
      </w:r>
      <w:r>
        <w:t>ils</w:t>
      </w:r>
      <w:r w:rsidRPr="002C4077">
        <w:t xml:space="preserve"> </w:t>
      </w:r>
      <w:r>
        <w:t>y</w:t>
      </w:r>
      <w:r w:rsidRPr="002C4077">
        <w:t xml:space="preserve"> </w:t>
      </w:r>
      <w:r>
        <w:t>tombent</w:t>
      </w:r>
      <w:r w:rsidRPr="002C4077">
        <w:t xml:space="preserve"> </w:t>
      </w:r>
      <w:r>
        <w:t>malades</w:t>
      </w:r>
      <w:r w:rsidRPr="002C4077">
        <w:t xml:space="preserve"> </w:t>
      </w:r>
      <w:r>
        <w:t>et</w:t>
      </w:r>
      <w:r w:rsidRPr="002C4077">
        <w:t xml:space="preserve"> </w:t>
      </w:r>
      <w:r>
        <w:t>y</w:t>
      </w:r>
      <w:r w:rsidRPr="002C4077">
        <w:t xml:space="preserve"> </w:t>
      </w:r>
      <w:r>
        <w:t>meurent</w:t>
      </w:r>
      <w:r w:rsidRPr="002C4077">
        <w:t xml:space="preserve"> </w:t>
      </w:r>
      <w:r>
        <w:t>promptement</w:t>
      </w:r>
      <w:r w:rsidR="00B91AF7">
        <w:rPr>
          <w:rStyle w:val="Appelnotedebasdep"/>
        </w:rPr>
        <w:footnoteReference w:id="721"/>
      </w:r>
      <w:r w:rsidR="00B546AF">
        <w:t> »</w:t>
      </w:r>
      <w:r>
        <w:t>.</w:t>
      </w:r>
      <w:r w:rsidRPr="002C4077">
        <w:t xml:space="preserve"> </w:t>
      </w:r>
      <w:r>
        <w:t>Et</w:t>
      </w:r>
      <w:r w:rsidRPr="002C4077">
        <w:t xml:space="preserve"> </w:t>
      </w:r>
      <w:r>
        <w:t>pourtant,</w:t>
      </w:r>
      <w:r w:rsidRPr="002C4077">
        <w:t xml:space="preserve"> </w:t>
      </w:r>
      <w:r>
        <w:t>durant</w:t>
      </w:r>
      <w:r w:rsidRPr="002C4077">
        <w:t xml:space="preserve"> </w:t>
      </w:r>
      <w:r>
        <w:t>les</w:t>
      </w:r>
      <w:r w:rsidRPr="002C4077">
        <w:t xml:space="preserve"> </w:t>
      </w:r>
      <w:r>
        <w:t>premiers</w:t>
      </w:r>
      <w:r w:rsidRPr="002C4077">
        <w:t xml:space="preserve"> </w:t>
      </w:r>
      <w:r>
        <w:t>siècles</w:t>
      </w:r>
      <w:r w:rsidRPr="002C4077">
        <w:t xml:space="preserve"> </w:t>
      </w:r>
      <w:r>
        <w:t>de</w:t>
      </w:r>
      <w:r w:rsidRPr="002C4077">
        <w:t xml:space="preserve"> </w:t>
      </w:r>
      <w:r>
        <w:t>l’ère</w:t>
      </w:r>
      <w:r w:rsidRPr="002C4077">
        <w:t xml:space="preserve"> </w:t>
      </w:r>
      <w:r>
        <w:t>chrétienne,</w:t>
      </w:r>
      <w:r w:rsidRPr="002C4077">
        <w:t xml:space="preserve"> </w:t>
      </w:r>
      <w:r>
        <w:t>comme</w:t>
      </w:r>
      <w:r w:rsidRPr="002C4077">
        <w:t xml:space="preserve"> </w:t>
      </w:r>
      <w:r>
        <w:lastRenderedPageBreak/>
        <w:t>le</w:t>
      </w:r>
      <w:r w:rsidRPr="002C4077">
        <w:t xml:space="preserve"> </w:t>
      </w:r>
      <w:r>
        <w:t>rapporte</w:t>
      </w:r>
      <w:r w:rsidRPr="002C4077">
        <w:t xml:space="preserve"> </w:t>
      </w:r>
      <w:r>
        <w:t>S.</w:t>
      </w:r>
      <w:r w:rsidRPr="002C4077">
        <w:t xml:space="preserve"> </w:t>
      </w:r>
      <w:r>
        <w:t>Épiphane</w:t>
      </w:r>
      <w:r w:rsidR="00B91AF7">
        <w:rPr>
          <w:rStyle w:val="Appelnotedebasdep"/>
        </w:rPr>
        <w:footnoteReference w:id="722"/>
      </w:r>
      <w:r>
        <w:t>,</w:t>
      </w:r>
      <w:r w:rsidRPr="002C4077">
        <w:t xml:space="preserve"> </w:t>
      </w:r>
      <w:r>
        <w:t>la</w:t>
      </w:r>
      <w:r w:rsidRPr="002C4077">
        <w:t xml:space="preserve"> </w:t>
      </w:r>
      <w:r>
        <w:t>cité</w:t>
      </w:r>
      <w:r w:rsidRPr="002C4077">
        <w:t xml:space="preserve"> </w:t>
      </w:r>
      <w:r>
        <w:t>de</w:t>
      </w:r>
      <w:r w:rsidRPr="002C4077">
        <w:t xml:space="preserve"> </w:t>
      </w:r>
      <w:r w:rsidR="00425C50">
        <w:t>Jésus</w:t>
      </w:r>
      <w:r w:rsidRPr="002C4077">
        <w:t xml:space="preserve"> </w:t>
      </w:r>
      <w:r>
        <w:t>n’était</w:t>
      </w:r>
      <w:r w:rsidRPr="002C4077">
        <w:t xml:space="preserve"> </w:t>
      </w:r>
      <w:r>
        <w:t>habitée</w:t>
      </w:r>
      <w:r w:rsidRPr="002C4077">
        <w:t xml:space="preserve"> </w:t>
      </w:r>
      <w:r>
        <w:t>que</w:t>
      </w:r>
      <w:r w:rsidRPr="002C4077">
        <w:t xml:space="preserve"> </w:t>
      </w:r>
      <w:r>
        <w:t>par</w:t>
      </w:r>
      <w:r w:rsidRPr="002C4077">
        <w:t xml:space="preserve"> </w:t>
      </w:r>
      <w:r>
        <w:t>des</w:t>
      </w:r>
      <w:r w:rsidRPr="002C4077">
        <w:t xml:space="preserve"> </w:t>
      </w:r>
      <w:r>
        <w:t>Israélites,</w:t>
      </w:r>
      <w:r w:rsidRPr="002C4077">
        <w:t xml:space="preserve"> </w:t>
      </w:r>
      <w:r>
        <w:t>qui</w:t>
      </w:r>
      <w:r w:rsidRPr="002C4077">
        <w:t xml:space="preserve"> </w:t>
      </w:r>
      <w:r>
        <w:t>ne</w:t>
      </w:r>
      <w:r w:rsidRPr="002C4077">
        <w:t xml:space="preserve"> </w:t>
      </w:r>
      <w:r>
        <w:t>permettaient</w:t>
      </w:r>
      <w:r w:rsidRPr="002C4077">
        <w:t xml:space="preserve"> </w:t>
      </w:r>
      <w:r>
        <w:t>pas</w:t>
      </w:r>
      <w:r w:rsidRPr="002C4077">
        <w:t xml:space="preserve"> </w:t>
      </w:r>
      <w:r>
        <w:t>aux</w:t>
      </w:r>
      <w:r w:rsidRPr="002C4077">
        <w:t xml:space="preserve"> </w:t>
      </w:r>
      <w:r>
        <w:t>chrétiens</w:t>
      </w:r>
      <w:r w:rsidRPr="002C4077">
        <w:t xml:space="preserve"> </w:t>
      </w:r>
      <w:r>
        <w:t>d’y</w:t>
      </w:r>
      <w:r w:rsidRPr="002C4077">
        <w:t xml:space="preserve"> </w:t>
      </w:r>
      <w:r>
        <w:t>établir</w:t>
      </w:r>
      <w:r w:rsidRPr="002C4077">
        <w:t xml:space="preserve"> </w:t>
      </w:r>
      <w:r>
        <w:t>leur</w:t>
      </w:r>
      <w:r w:rsidRPr="002C4077">
        <w:t xml:space="preserve"> </w:t>
      </w:r>
      <w:r>
        <w:t>résidence.</w:t>
      </w:r>
      <w:r w:rsidRPr="002C4077">
        <w:t xml:space="preserve"> </w:t>
      </w:r>
    </w:p>
    <w:p w:rsidR="000A7AAB" w:rsidRDefault="000A7AAB" w:rsidP="000A7AAB">
      <w:r>
        <w:t>Nazareth</w:t>
      </w:r>
      <w:r w:rsidRPr="002C4077">
        <w:t xml:space="preserve"> </w:t>
      </w:r>
      <w:r>
        <w:t>compte</w:t>
      </w:r>
      <w:r w:rsidRPr="002C4077">
        <w:t xml:space="preserve"> </w:t>
      </w:r>
      <w:r>
        <w:t>aussi</w:t>
      </w:r>
      <w:r w:rsidRPr="002C4077">
        <w:t xml:space="preserve"> </w:t>
      </w:r>
      <w:r>
        <w:t>quelques</w:t>
      </w:r>
      <w:r w:rsidRPr="002C4077">
        <w:t xml:space="preserve"> </w:t>
      </w:r>
      <w:r>
        <w:t>protestants,</w:t>
      </w:r>
      <w:r w:rsidRPr="002C4077">
        <w:t xml:space="preserve"> </w:t>
      </w:r>
      <w:r>
        <w:t>dont</w:t>
      </w:r>
      <w:r w:rsidRPr="002C4077">
        <w:t xml:space="preserve"> </w:t>
      </w:r>
      <w:r>
        <w:t>chacun</w:t>
      </w:r>
      <w:r w:rsidRPr="002C4077">
        <w:t xml:space="preserve"> </w:t>
      </w:r>
      <w:r>
        <w:t>a</w:t>
      </w:r>
      <w:r w:rsidRPr="002C4077">
        <w:t xml:space="preserve"> </w:t>
      </w:r>
      <w:r>
        <w:t>coûté</w:t>
      </w:r>
      <w:r w:rsidRPr="002C4077">
        <w:t xml:space="preserve"> </w:t>
      </w:r>
      <w:r>
        <w:t>des</w:t>
      </w:r>
      <w:r w:rsidRPr="002C4077">
        <w:t xml:space="preserve"> </w:t>
      </w:r>
      <w:r>
        <w:t>sommes</w:t>
      </w:r>
      <w:r w:rsidRPr="002C4077">
        <w:t xml:space="preserve"> </w:t>
      </w:r>
      <w:r>
        <w:t>fabuleuses</w:t>
      </w:r>
      <w:r w:rsidRPr="002C4077">
        <w:t xml:space="preserve"> </w:t>
      </w:r>
      <w:r>
        <w:t>à</w:t>
      </w:r>
      <w:r w:rsidRPr="002C4077">
        <w:t xml:space="preserve"> </w:t>
      </w:r>
      <w:r>
        <w:t>la</w:t>
      </w:r>
      <w:r w:rsidRPr="002C4077">
        <w:t xml:space="preserve"> </w:t>
      </w:r>
      <w:r>
        <w:t>Société</w:t>
      </w:r>
      <w:r w:rsidRPr="002C4077">
        <w:t xml:space="preserve"> </w:t>
      </w:r>
      <w:r>
        <w:t>Biblique.</w:t>
      </w:r>
      <w:r w:rsidRPr="002C4077">
        <w:t xml:space="preserve"> </w:t>
      </w:r>
    </w:p>
    <w:p w:rsidR="000A7AAB" w:rsidRDefault="0043070A" w:rsidP="000A7AAB">
      <w:r>
        <w:t>Burckhardt</w:t>
      </w:r>
      <w:r>
        <w:rPr>
          <w:rStyle w:val="Appelnotedebasdep"/>
        </w:rPr>
        <w:footnoteReference w:id="723"/>
      </w:r>
      <w:r w:rsidR="000A7AAB" w:rsidRPr="002C4077">
        <w:t xml:space="preserve"> </w:t>
      </w:r>
      <w:r w:rsidR="000A7AAB">
        <w:t>a</w:t>
      </w:r>
      <w:r w:rsidR="000A7AAB" w:rsidRPr="002C4077">
        <w:t xml:space="preserve"> </w:t>
      </w:r>
      <w:r w:rsidR="000A7AAB">
        <w:t>fait</w:t>
      </w:r>
      <w:r w:rsidR="000A7AAB" w:rsidRPr="002C4077">
        <w:t xml:space="preserve"> </w:t>
      </w:r>
      <w:r w:rsidR="000A7AAB">
        <w:t>l’observation</w:t>
      </w:r>
      <w:r w:rsidR="000A7AAB" w:rsidRPr="002C4077">
        <w:t xml:space="preserve"> </w:t>
      </w:r>
      <w:r w:rsidR="000A7AAB">
        <w:t>que,</w:t>
      </w:r>
      <w:r w:rsidR="000A7AAB" w:rsidRPr="002C4077">
        <w:t xml:space="preserve"> </w:t>
      </w:r>
      <w:r w:rsidR="000A7AAB">
        <w:t>sous</w:t>
      </w:r>
      <w:r w:rsidR="000A7AAB" w:rsidRPr="002C4077">
        <w:t xml:space="preserve"> </w:t>
      </w:r>
      <w:r w:rsidR="000A7AAB">
        <w:t>le</w:t>
      </w:r>
      <w:r w:rsidR="000A7AAB" w:rsidRPr="002C4077">
        <w:t xml:space="preserve"> </w:t>
      </w:r>
      <w:r w:rsidR="000A7AAB">
        <w:t>rapport</w:t>
      </w:r>
      <w:r w:rsidR="000A7AAB" w:rsidRPr="002C4077">
        <w:t xml:space="preserve"> </w:t>
      </w:r>
      <w:r w:rsidR="000A7AAB">
        <w:t>de</w:t>
      </w:r>
      <w:r w:rsidR="000A7AAB" w:rsidRPr="002C4077">
        <w:t xml:space="preserve"> </w:t>
      </w:r>
      <w:r w:rsidR="000A7AAB">
        <w:t>la</w:t>
      </w:r>
      <w:r w:rsidR="000A7AAB" w:rsidRPr="002C4077">
        <w:t xml:space="preserve"> </w:t>
      </w:r>
      <w:r w:rsidR="000A7AAB">
        <w:t>physionomie</w:t>
      </w:r>
      <w:r w:rsidR="000A7AAB" w:rsidRPr="002C4077">
        <w:t xml:space="preserve"> </w:t>
      </w:r>
      <w:r w:rsidR="000A7AAB">
        <w:t>et</w:t>
      </w:r>
      <w:r w:rsidR="000A7AAB" w:rsidRPr="002C4077">
        <w:t xml:space="preserve"> </w:t>
      </w:r>
      <w:r w:rsidR="000A7AAB">
        <w:t>du</w:t>
      </w:r>
      <w:r w:rsidR="000A7AAB" w:rsidRPr="002C4077">
        <w:t xml:space="preserve"> </w:t>
      </w:r>
      <w:r w:rsidR="000A7AAB">
        <w:t>teint,</w:t>
      </w:r>
      <w:r w:rsidR="000A7AAB" w:rsidRPr="002C4077">
        <w:t xml:space="preserve"> </w:t>
      </w:r>
      <w:r w:rsidR="000A7AAB">
        <w:t>les</w:t>
      </w:r>
      <w:r w:rsidR="000A7AAB" w:rsidRPr="002C4077">
        <w:t xml:space="preserve"> </w:t>
      </w:r>
      <w:r w:rsidR="000A7AAB">
        <w:t>habitants</w:t>
      </w:r>
      <w:r w:rsidR="000A7AAB" w:rsidRPr="002C4077">
        <w:t xml:space="preserve"> </w:t>
      </w:r>
      <w:r w:rsidR="000A7AAB">
        <w:t>de</w:t>
      </w:r>
      <w:r w:rsidR="000A7AAB" w:rsidRPr="002C4077">
        <w:t xml:space="preserve"> </w:t>
      </w:r>
      <w:r w:rsidR="000A7AAB">
        <w:t>Nazareth</w:t>
      </w:r>
      <w:r w:rsidR="000A7AAB" w:rsidRPr="002C4077">
        <w:t xml:space="preserve"> </w:t>
      </w:r>
      <w:r w:rsidR="000A7AAB">
        <w:t>diffèrent</w:t>
      </w:r>
      <w:r w:rsidR="000A7AAB" w:rsidRPr="002C4077">
        <w:t xml:space="preserve"> </w:t>
      </w:r>
      <w:r w:rsidR="000A7AAB">
        <w:t>notablement</w:t>
      </w:r>
      <w:r w:rsidR="000A7AAB" w:rsidRPr="002C4077">
        <w:t xml:space="preserve"> </w:t>
      </w:r>
      <w:r w:rsidR="000A7AAB">
        <w:t>des</w:t>
      </w:r>
      <w:r w:rsidR="000A7AAB" w:rsidRPr="002C4077">
        <w:t xml:space="preserve"> </w:t>
      </w:r>
      <w:r w:rsidR="000A7AAB">
        <w:t>Syriens,</w:t>
      </w:r>
      <w:r w:rsidR="000A7AAB" w:rsidRPr="002C4077">
        <w:t xml:space="preserve"> </w:t>
      </w:r>
      <w:r w:rsidR="000A7AAB">
        <w:t>leurs</w:t>
      </w:r>
      <w:r w:rsidR="000A7AAB" w:rsidRPr="002C4077">
        <w:t xml:space="preserve"> </w:t>
      </w:r>
      <w:r w:rsidR="000A7AAB" w:rsidRPr="0043070A">
        <w:t>voisins.</w:t>
      </w:r>
      <w:r w:rsidR="000A7AAB" w:rsidRPr="002C4077">
        <w:t xml:space="preserve"> </w:t>
      </w:r>
      <w:r w:rsidR="00B546AF" w:rsidRPr="0043070A">
        <w:t>« </w:t>
      </w:r>
      <w:r w:rsidR="000A7AAB" w:rsidRPr="0043070A">
        <w:t>La</w:t>
      </w:r>
      <w:r w:rsidR="000A7AAB" w:rsidRPr="002C4077">
        <w:t xml:space="preserve"> </w:t>
      </w:r>
      <w:r w:rsidR="000A7AAB" w:rsidRPr="0043070A">
        <w:t>forme</w:t>
      </w:r>
      <w:r w:rsidR="000A7AAB" w:rsidRPr="002C4077">
        <w:t xml:space="preserve"> </w:t>
      </w:r>
      <w:r w:rsidR="000A7AAB" w:rsidRPr="0043070A">
        <w:t>de</w:t>
      </w:r>
      <w:r w:rsidR="000A7AAB" w:rsidRPr="002C4077">
        <w:t xml:space="preserve"> </w:t>
      </w:r>
      <w:r w:rsidR="000A7AAB" w:rsidRPr="0043070A">
        <w:t>leur</w:t>
      </w:r>
      <w:r w:rsidR="000A7AAB" w:rsidRPr="002C4077">
        <w:t xml:space="preserve"> </w:t>
      </w:r>
      <w:r w:rsidR="000A7AAB" w:rsidRPr="0043070A">
        <w:t>visage,</w:t>
      </w:r>
      <w:r w:rsidR="000A7AAB" w:rsidRPr="002C4077">
        <w:t xml:space="preserve"> </w:t>
      </w:r>
      <w:r w:rsidR="000A7AAB" w:rsidRPr="0043070A">
        <w:t>dit-il,</w:t>
      </w:r>
      <w:r w:rsidR="000A7AAB" w:rsidRPr="002C4077">
        <w:t xml:space="preserve"> </w:t>
      </w:r>
      <w:r w:rsidR="000A7AAB" w:rsidRPr="0043070A">
        <w:t>se</w:t>
      </w:r>
      <w:r w:rsidR="000A7AAB" w:rsidRPr="002C4077">
        <w:t xml:space="preserve"> </w:t>
      </w:r>
      <w:r w:rsidR="000A7AAB" w:rsidRPr="0043070A">
        <w:t>rapproche</w:t>
      </w:r>
      <w:r w:rsidR="000A7AAB" w:rsidRPr="002C4077">
        <w:t xml:space="preserve"> </w:t>
      </w:r>
      <w:r w:rsidR="000A7AAB" w:rsidRPr="0043070A">
        <w:t>beaucoup</w:t>
      </w:r>
      <w:r w:rsidR="000A7AAB" w:rsidRPr="002C4077">
        <w:t xml:space="preserve"> </w:t>
      </w:r>
      <w:r w:rsidR="000A7AAB" w:rsidRPr="0043070A">
        <w:t>plus</w:t>
      </w:r>
      <w:r w:rsidR="000A7AAB" w:rsidRPr="002C4077">
        <w:t xml:space="preserve"> </w:t>
      </w:r>
      <w:r w:rsidR="000A7AAB" w:rsidRPr="0043070A">
        <w:t>du</w:t>
      </w:r>
      <w:r w:rsidR="000A7AAB" w:rsidRPr="002C4077">
        <w:t xml:space="preserve"> </w:t>
      </w:r>
      <w:r w:rsidR="000A7AAB" w:rsidRPr="0043070A">
        <w:t>type</w:t>
      </w:r>
      <w:r w:rsidR="000A7AAB" w:rsidRPr="002C4077">
        <w:t xml:space="preserve"> </w:t>
      </w:r>
      <w:r w:rsidR="000A7AAB" w:rsidRPr="0043070A">
        <w:t>égyptien</w:t>
      </w:r>
      <w:r w:rsidR="000A7AAB" w:rsidRPr="002C4077">
        <w:t xml:space="preserve"> </w:t>
      </w:r>
      <w:r w:rsidR="000A7AAB" w:rsidRPr="0043070A">
        <w:t>que</w:t>
      </w:r>
      <w:r w:rsidR="000A7AAB" w:rsidRPr="002C4077">
        <w:t xml:space="preserve"> </w:t>
      </w:r>
      <w:r w:rsidR="000A7AAB" w:rsidRPr="0043070A">
        <w:t>du</w:t>
      </w:r>
      <w:r w:rsidR="000A7AAB" w:rsidRPr="002C4077">
        <w:t xml:space="preserve"> </w:t>
      </w:r>
      <w:r w:rsidR="000A7AAB" w:rsidRPr="0043070A">
        <w:t>type</w:t>
      </w:r>
      <w:r w:rsidR="000A7AAB" w:rsidRPr="002C4077">
        <w:t xml:space="preserve"> </w:t>
      </w:r>
      <w:r w:rsidR="000A7AAB" w:rsidRPr="0043070A">
        <w:t>syrien,</w:t>
      </w:r>
      <w:r w:rsidR="000A7AAB" w:rsidRPr="002C4077">
        <w:t xml:space="preserve"> </w:t>
      </w:r>
      <w:r w:rsidR="000A7AAB" w:rsidRPr="0043070A">
        <w:t>de</w:t>
      </w:r>
      <w:r w:rsidR="000A7AAB" w:rsidRPr="002C4077">
        <w:t xml:space="preserve"> </w:t>
      </w:r>
      <w:r w:rsidR="000A7AAB" w:rsidRPr="0043070A">
        <w:t>même</w:t>
      </w:r>
      <w:r w:rsidR="000A7AAB" w:rsidRPr="002C4077">
        <w:t xml:space="preserve"> </w:t>
      </w:r>
      <w:r w:rsidR="000A7AAB" w:rsidRPr="0043070A">
        <w:t>que</w:t>
      </w:r>
      <w:r w:rsidR="000A7AAB" w:rsidRPr="002C4077">
        <w:t xml:space="preserve"> </w:t>
      </w:r>
      <w:r w:rsidR="000A7AAB" w:rsidRPr="0043070A">
        <w:t>leur</w:t>
      </w:r>
      <w:r w:rsidR="000A7AAB" w:rsidRPr="002C4077">
        <w:t xml:space="preserve"> </w:t>
      </w:r>
      <w:r w:rsidR="000A7AAB" w:rsidRPr="0043070A">
        <w:t>dialecte</w:t>
      </w:r>
      <w:r w:rsidR="000A7AAB" w:rsidRPr="002C4077">
        <w:t xml:space="preserve"> </w:t>
      </w:r>
      <w:r w:rsidR="000A7AAB" w:rsidRPr="0043070A">
        <w:t>ressemble</w:t>
      </w:r>
      <w:r w:rsidR="000A7AAB" w:rsidRPr="002C4077">
        <w:t xml:space="preserve"> </w:t>
      </w:r>
      <w:r w:rsidR="000A7AAB" w:rsidRPr="0043070A">
        <w:t>plutôt</w:t>
      </w:r>
      <w:r w:rsidR="000A7AAB" w:rsidRPr="002C4077">
        <w:t xml:space="preserve"> </w:t>
      </w:r>
      <w:r w:rsidR="000A7AAB" w:rsidRPr="0043070A">
        <w:t>à</w:t>
      </w:r>
      <w:r w:rsidR="000A7AAB" w:rsidRPr="002C4077">
        <w:t xml:space="preserve"> </w:t>
      </w:r>
      <w:r w:rsidR="000A7AAB" w:rsidRPr="0043070A">
        <w:t>l’idiome</w:t>
      </w:r>
      <w:r w:rsidR="000A7AAB" w:rsidRPr="002C4077">
        <w:t xml:space="preserve"> </w:t>
      </w:r>
      <w:r w:rsidR="000A7AAB" w:rsidRPr="0043070A">
        <w:t>égyptien</w:t>
      </w:r>
      <w:r w:rsidR="000A7AAB" w:rsidRPr="002C4077">
        <w:t xml:space="preserve"> </w:t>
      </w:r>
      <w:r w:rsidR="000A7AAB" w:rsidRPr="0043070A">
        <w:t>qu’à</w:t>
      </w:r>
      <w:r w:rsidR="000A7AAB" w:rsidRPr="002C4077">
        <w:t xml:space="preserve"> </w:t>
      </w:r>
      <w:r w:rsidR="003B53FD" w:rsidRPr="0043070A">
        <w:t>celui</w:t>
      </w:r>
      <w:r w:rsidR="000A7AAB" w:rsidRPr="002C4077">
        <w:t xml:space="preserve"> </w:t>
      </w:r>
      <w:r w:rsidR="000A7AAB" w:rsidRPr="0043070A">
        <w:t>de</w:t>
      </w:r>
      <w:r w:rsidR="000A7AAB" w:rsidRPr="002C4077">
        <w:t xml:space="preserve"> </w:t>
      </w:r>
      <w:r w:rsidR="000A7AAB" w:rsidRPr="0043070A">
        <w:t>Damas</w:t>
      </w:r>
      <w:r w:rsidR="00B546AF" w:rsidRPr="0043070A">
        <w:t> »</w:t>
      </w:r>
      <w:r w:rsidR="000A7AAB" w:rsidRPr="0043070A">
        <w:t>.</w:t>
      </w:r>
      <w:r w:rsidR="000A7AAB" w:rsidRPr="002C4077">
        <w:t xml:space="preserve"> </w:t>
      </w:r>
      <w:r w:rsidR="000A7AAB" w:rsidRPr="0043070A">
        <w:t>Il</w:t>
      </w:r>
      <w:r w:rsidR="000A7AAB" w:rsidRPr="002C4077">
        <w:t xml:space="preserve"> </w:t>
      </w:r>
      <w:r w:rsidR="000A7AAB" w:rsidRPr="0043070A">
        <w:t>leur</w:t>
      </w:r>
      <w:r w:rsidR="000A7AAB" w:rsidRPr="002C4077">
        <w:t xml:space="preserve"> </w:t>
      </w:r>
      <w:r w:rsidR="000A7AAB" w:rsidRPr="0043070A">
        <w:t>trouve,</w:t>
      </w:r>
      <w:r w:rsidR="000A7AAB" w:rsidRPr="002C4077">
        <w:t xml:space="preserve"> </w:t>
      </w:r>
      <w:r w:rsidR="000A7AAB" w:rsidRPr="0043070A">
        <w:t>du</w:t>
      </w:r>
      <w:r w:rsidR="000A7AAB" w:rsidRPr="002C4077">
        <w:t xml:space="preserve"> </w:t>
      </w:r>
      <w:r w:rsidR="000A7AAB" w:rsidRPr="0043070A">
        <w:t>reste,</w:t>
      </w:r>
      <w:r w:rsidR="000A7AAB" w:rsidRPr="002C4077">
        <w:t xml:space="preserve"> </w:t>
      </w:r>
      <w:r w:rsidR="000A7AAB" w:rsidRPr="0043070A">
        <w:t>une</w:t>
      </w:r>
      <w:r w:rsidR="000A7AAB" w:rsidRPr="002C4077">
        <w:t xml:space="preserve"> </w:t>
      </w:r>
      <w:r w:rsidR="000A7AAB" w:rsidRPr="0043070A">
        <w:t>physionomie</w:t>
      </w:r>
      <w:r w:rsidR="000A7AAB" w:rsidRPr="002C4077">
        <w:t xml:space="preserve"> </w:t>
      </w:r>
      <w:r w:rsidR="000A7AAB">
        <w:t>toute</w:t>
      </w:r>
      <w:r w:rsidR="000A7AAB" w:rsidRPr="002C4077">
        <w:t xml:space="preserve"> </w:t>
      </w:r>
      <w:r w:rsidR="000A7AAB">
        <w:t>nationale</w:t>
      </w:r>
      <w:r w:rsidR="000A7AAB" w:rsidRPr="002C4077">
        <w:t xml:space="preserve"> </w:t>
      </w:r>
      <w:r w:rsidR="000A7AAB">
        <w:t>et</w:t>
      </w:r>
      <w:r w:rsidR="000A7AAB" w:rsidRPr="002C4077">
        <w:t xml:space="preserve"> </w:t>
      </w:r>
      <w:r w:rsidR="000A7AAB">
        <w:t>très</w:t>
      </w:r>
      <w:r w:rsidR="000A7AAB" w:rsidRPr="002C4077">
        <w:t xml:space="preserve"> </w:t>
      </w:r>
      <w:r w:rsidR="000A7AAB">
        <w:t>caractéristique.</w:t>
      </w:r>
      <w:r w:rsidR="000A7AAB" w:rsidRPr="002C4077">
        <w:t xml:space="preserve"> </w:t>
      </w:r>
      <w:r w:rsidR="000A7AAB">
        <w:t>Le</w:t>
      </w:r>
      <w:r w:rsidR="000A7AAB" w:rsidRPr="002C4077">
        <w:t xml:space="preserve"> </w:t>
      </w:r>
      <w:r w:rsidR="000A7AAB">
        <w:t>martyr</w:t>
      </w:r>
      <w:r w:rsidR="000A7AAB" w:rsidRPr="002C4077">
        <w:t xml:space="preserve"> </w:t>
      </w:r>
      <w:r w:rsidR="000A7AAB">
        <w:t>saint</w:t>
      </w:r>
      <w:r w:rsidR="000A7AAB" w:rsidRPr="002C4077">
        <w:t xml:space="preserve"> </w:t>
      </w:r>
      <w:r w:rsidR="000A7AAB">
        <w:t>Antonin</w:t>
      </w:r>
      <w:r w:rsidR="000A7AAB" w:rsidRPr="002C4077">
        <w:t xml:space="preserve"> </w:t>
      </w:r>
      <w:r w:rsidR="000A7AAB">
        <w:t>avait</w:t>
      </w:r>
      <w:r w:rsidR="000A7AAB" w:rsidRPr="002C4077">
        <w:t xml:space="preserve"> </w:t>
      </w:r>
      <w:r w:rsidR="000A7AAB">
        <w:t>fait,</w:t>
      </w:r>
      <w:r w:rsidR="000A7AAB" w:rsidRPr="002C4077">
        <w:t xml:space="preserve"> </w:t>
      </w:r>
      <w:r w:rsidR="000A7AAB">
        <w:t>au</w:t>
      </w:r>
      <w:r w:rsidR="000A7AAB" w:rsidRPr="002C4077">
        <w:t xml:space="preserve"> </w:t>
      </w:r>
      <w:r w:rsidR="000A7AAB">
        <w:t>même</w:t>
      </w:r>
      <w:r w:rsidR="000A7AAB" w:rsidRPr="002C4077">
        <w:t xml:space="preserve"> </w:t>
      </w:r>
      <w:r w:rsidR="000A7AAB">
        <w:t>point</w:t>
      </w:r>
      <w:r w:rsidR="000A7AAB" w:rsidRPr="002C4077">
        <w:t xml:space="preserve"> </w:t>
      </w:r>
      <w:r w:rsidR="000A7AAB">
        <w:t>de</w:t>
      </w:r>
      <w:r w:rsidR="000A7AAB" w:rsidRPr="002C4077">
        <w:t xml:space="preserve"> </w:t>
      </w:r>
      <w:r w:rsidR="000A7AAB">
        <w:t>vue,</w:t>
      </w:r>
      <w:r w:rsidR="000A7AAB" w:rsidRPr="002C4077">
        <w:t xml:space="preserve"> </w:t>
      </w:r>
      <w:r w:rsidR="000A7AAB">
        <w:t>une</w:t>
      </w:r>
      <w:r w:rsidR="000A7AAB" w:rsidRPr="002C4077">
        <w:t xml:space="preserve"> </w:t>
      </w:r>
      <w:r w:rsidR="000A7AAB">
        <w:t>autre</w:t>
      </w:r>
      <w:r w:rsidR="000A7AAB" w:rsidRPr="002C4077">
        <w:t xml:space="preserve"> </w:t>
      </w:r>
      <w:r w:rsidR="000A7AAB">
        <w:t>remarque</w:t>
      </w:r>
      <w:r w:rsidR="000A7AAB" w:rsidRPr="002C4077">
        <w:t xml:space="preserve"> </w:t>
      </w:r>
      <w:r w:rsidR="000A7AAB">
        <w:t>plus</w:t>
      </w:r>
      <w:r w:rsidR="000A7AAB" w:rsidRPr="002C4077">
        <w:t xml:space="preserve"> </w:t>
      </w:r>
      <w:r w:rsidR="000A7AAB">
        <w:t>curieuse</w:t>
      </w:r>
      <w:r w:rsidR="000A7AAB" w:rsidRPr="002C4077">
        <w:t xml:space="preserve"> </w:t>
      </w:r>
      <w:r w:rsidR="000A7AAB">
        <w:t>encore</w:t>
      </w:r>
      <w:r w:rsidR="00B546AF">
        <w:t> :</w:t>
      </w:r>
      <w:r w:rsidR="000A7AAB" w:rsidRPr="002C4077">
        <w:t xml:space="preserve"> </w:t>
      </w:r>
      <w:r w:rsidR="000A7AAB">
        <w:t>à</w:t>
      </w:r>
      <w:r w:rsidR="000A7AAB" w:rsidRPr="002C4077">
        <w:t xml:space="preserve"> </w:t>
      </w:r>
      <w:r w:rsidR="000A7AAB">
        <w:t>savoir,</w:t>
      </w:r>
      <w:r w:rsidR="000A7AAB" w:rsidRPr="002C4077">
        <w:t xml:space="preserve"> </w:t>
      </w:r>
      <w:r w:rsidR="000A7AAB">
        <w:t>que</w:t>
      </w:r>
      <w:r w:rsidR="000A7AAB" w:rsidRPr="002C4077">
        <w:t xml:space="preserve"> </w:t>
      </w:r>
      <w:r w:rsidR="000A7AAB">
        <w:t>les</w:t>
      </w:r>
      <w:r w:rsidR="000A7AAB" w:rsidRPr="002C4077">
        <w:t xml:space="preserve"> </w:t>
      </w:r>
      <w:r w:rsidR="000A7AAB">
        <w:t>femmes</w:t>
      </w:r>
      <w:r w:rsidR="000A7AAB" w:rsidRPr="002C4077">
        <w:t xml:space="preserve"> </w:t>
      </w:r>
      <w:r w:rsidR="000A7AAB">
        <w:t>de</w:t>
      </w:r>
      <w:r w:rsidR="000A7AAB" w:rsidRPr="002C4077">
        <w:t xml:space="preserve"> </w:t>
      </w:r>
      <w:r w:rsidR="000A7AAB">
        <w:t>Nazareth</w:t>
      </w:r>
      <w:r w:rsidR="000A7AAB" w:rsidRPr="002C4077">
        <w:t xml:space="preserve"> </w:t>
      </w:r>
      <w:r w:rsidR="000A7AAB">
        <w:t>sont</w:t>
      </w:r>
      <w:r w:rsidR="000A7AAB" w:rsidRPr="002C4077">
        <w:t xml:space="preserve"> </w:t>
      </w:r>
      <w:r w:rsidR="000A7AAB">
        <w:t>les</w:t>
      </w:r>
      <w:r w:rsidR="000A7AAB" w:rsidRPr="002C4077">
        <w:t xml:space="preserve"> </w:t>
      </w:r>
      <w:r w:rsidR="000A7AAB">
        <w:t>plus</w:t>
      </w:r>
      <w:r w:rsidR="000A7AAB" w:rsidRPr="002C4077">
        <w:t xml:space="preserve"> </w:t>
      </w:r>
      <w:r w:rsidR="000A7AAB">
        <w:t>belles</w:t>
      </w:r>
      <w:r w:rsidR="000A7AAB" w:rsidRPr="002C4077">
        <w:t xml:space="preserve"> </w:t>
      </w:r>
      <w:r w:rsidR="000A7AAB">
        <w:t>de</w:t>
      </w:r>
      <w:r w:rsidR="000A7AAB" w:rsidRPr="002C4077">
        <w:t xml:space="preserve"> </w:t>
      </w:r>
      <w:r w:rsidR="000A7AAB">
        <w:t>toute</w:t>
      </w:r>
      <w:r w:rsidR="000A7AAB" w:rsidRPr="002C4077">
        <w:t xml:space="preserve"> </w:t>
      </w:r>
      <w:r w:rsidR="000A7AAB">
        <w:t>la</w:t>
      </w:r>
      <w:r w:rsidR="000A7AAB" w:rsidRPr="002C4077">
        <w:t xml:space="preserve"> </w:t>
      </w:r>
      <w:r w:rsidR="000A7AAB">
        <w:t>Palestine</w:t>
      </w:r>
      <w:r w:rsidR="00B546AF">
        <w:t> ;</w:t>
      </w:r>
      <w:r w:rsidR="000A7AAB" w:rsidRPr="002C4077">
        <w:t xml:space="preserve"> </w:t>
      </w:r>
      <w:r w:rsidR="000A7AAB">
        <w:t>et,</w:t>
      </w:r>
      <w:r w:rsidR="000A7AAB" w:rsidRPr="002C4077">
        <w:t xml:space="preserve"> </w:t>
      </w:r>
      <w:r w:rsidR="000A7AAB">
        <w:t>d’après</w:t>
      </w:r>
      <w:r w:rsidR="000A7AAB" w:rsidRPr="002C4077">
        <w:t xml:space="preserve"> </w:t>
      </w:r>
      <w:r w:rsidR="000A7AAB">
        <w:t>la</w:t>
      </w:r>
      <w:r w:rsidR="000A7AAB" w:rsidRPr="002C4077">
        <w:t xml:space="preserve"> </w:t>
      </w:r>
      <w:r w:rsidR="000A7AAB">
        <w:t>tradition</w:t>
      </w:r>
      <w:r w:rsidR="000A7AAB" w:rsidRPr="002C4077">
        <w:t xml:space="preserve"> </w:t>
      </w:r>
      <w:r w:rsidR="000A7AAB">
        <w:t>du</w:t>
      </w:r>
      <w:r w:rsidR="000A7AAB" w:rsidRPr="002C4077">
        <w:t xml:space="preserve"> </w:t>
      </w:r>
      <w:r w:rsidR="000A7AAB">
        <w:t>pays,</w:t>
      </w:r>
      <w:r w:rsidR="000A7AAB" w:rsidRPr="002C4077">
        <w:t xml:space="preserve"> </w:t>
      </w:r>
      <w:r w:rsidR="000A7AAB">
        <w:t>il</w:t>
      </w:r>
      <w:r w:rsidR="000A7AAB" w:rsidRPr="002C4077">
        <w:t xml:space="preserve"> </w:t>
      </w:r>
      <w:r w:rsidR="000A7AAB">
        <w:t>signalait</w:t>
      </w:r>
      <w:r w:rsidR="000A7AAB" w:rsidRPr="002C4077">
        <w:t xml:space="preserve"> </w:t>
      </w:r>
      <w:r w:rsidR="000A7AAB">
        <w:t>cette</w:t>
      </w:r>
      <w:r w:rsidR="000A7AAB" w:rsidRPr="002C4077">
        <w:t xml:space="preserve"> </w:t>
      </w:r>
      <w:r w:rsidR="000A7AAB">
        <w:t>circonstance</w:t>
      </w:r>
      <w:r w:rsidR="000A7AAB" w:rsidRPr="002C4077">
        <w:t xml:space="preserve"> </w:t>
      </w:r>
      <w:r w:rsidR="000A7AAB">
        <w:t>comme</w:t>
      </w:r>
      <w:r w:rsidR="000A7AAB" w:rsidRPr="002C4077">
        <w:t xml:space="preserve"> </w:t>
      </w:r>
      <w:r w:rsidR="000A7AAB">
        <w:t>un</w:t>
      </w:r>
      <w:r w:rsidR="000A7AAB" w:rsidRPr="002C4077">
        <w:t xml:space="preserve"> </w:t>
      </w:r>
      <w:r w:rsidR="000A7AAB">
        <w:t>privilège</w:t>
      </w:r>
      <w:r w:rsidR="000A7AAB" w:rsidRPr="002C4077">
        <w:t xml:space="preserve"> </w:t>
      </w:r>
      <w:r w:rsidR="000A7AAB">
        <w:t>accordé</w:t>
      </w:r>
      <w:r w:rsidR="000A7AAB" w:rsidRPr="002C4077">
        <w:t xml:space="preserve"> </w:t>
      </w:r>
      <w:r w:rsidR="000A7AAB">
        <w:t>par</w:t>
      </w:r>
      <w:r w:rsidR="000A7AAB" w:rsidRPr="002C4077">
        <w:t xml:space="preserve"> </w:t>
      </w:r>
      <w:r w:rsidR="000A7AAB">
        <w:t>la</w:t>
      </w:r>
      <w:r w:rsidR="000A7AAB" w:rsidRPr="002C4077">
        <w:t xml:space="preserve"> </w:t>
      </w:r>
      <w:r w:rsidR="000A7AAB">
        <w:t>Sainte</w:t>
      </w:r>
      <w:r w:rsidR="000A7AAB" w:rsidRPr="002C4077">
        <w:t xml:space="preserve"> </w:t>
      </w:r>
      <w:r w:rsidR="000A7AAB">
        <w:t>Vierge</w:t>
      </w:r>
      <w:r w:rsidR="000A7AAB" w:rsidRPr="002C4077">
        <w:t xml:space="preserve"> </w:t>
      </w:r>
      <w:r w:rsidR="000A7AAB">
        <w:t>à</w:t>
      </w:r>
      <w:r w:rsidR="000A7AAB" w:rsidRPr="002C4077">
        <w:t xml:space="preserve"> </w:t>
      </w:r>
      <w:r w:rsidR="000A7AAB">
        <w:t>ses</w:t>
      </w:r>
      <w:r w:rsidR="000A7AAB" w:rsidRPr="002C4077">
        <w:t xml:space="preserve"> </w:t>
      </w:r>
      <w:r w:rsidR="000A7AAB">
        <w:t>anciennes</w:t>
      </w:r>
      <w:r w:rsidR="000A7AAB" w:rsidRPr="002C4077">
        <w:t xml:space="preserve"> </w:t>
      </w:r>
      <w:r w:rsidR="000A7AAB">
        <w:t>compatriot</w:t>
      </w:r>
      <w:r w:rsidR="00F6492C">
        <w:t>es</w:t>
      </w:r>
      <w:r w:rsidR="00F6492C">
        <w:rPr>
          <w:rStyle w:val="Appelnotedebasdep"/>
        </w:rPr>
        <w:footnoteReference w:id="724"/>
      </w:r>
      <w:r w:rsidR="00F6492C">
        <w:t>.</w:t>
      </w:r>
      <w:r w:rsidR="000A7AAB" w:rsidRPr="002C4077">
        <w:t xml:space="preserve"> </w:t>
      </w:r>
      <w:r w:rsidR="000A7AAB">
        <w:t>Beaucoup</w:t>
      </w:r>
      <w:r w:rsidR="000A7AAB" w:rsidRPr="002C4077">
        <w:t xml:space="preserve"> </w:t>
      </w:r>
      <w:r w:rsidR="000A7AAB">
        <w:t>de</w:t>
      </w:r>
      <w:r w:rsidR="000A7AAB" w:rsidRPr="002C4077">
        <w:t xml:space="preserve"> </w:t>
      </w:r>
      <w:r w:rsidR="000A7AAB">
        <w:t>voyageurs</w:t>
      </w:r>
      <w:r w:rsidR="000A7AAB" w:rsidRPr="002C4077">
        <w:t xml:space="preserve"> </w:t>
      </w:r>
      <w:r w:rsidR="000A7AAB">
        <w:t>modernes</w:t>
      </w:r>
      <w:r w:rsidR="000A7AAB" w:rsidRPr="002C4077">
        <w:t xml:space="preserve"> </w:t>
      </w:r>
      <w:r w:rsidR="000A7AAB">
        <w:t>ont</w:t>
      </w:r>
      <w:r w:rsidR="000A7AAB" w:rsidRPr="002C4077">
        <w:t xml:space="preserve"> </w:t>
      </w:r>
      <w:r w:rsidR="000A7AAB">
        <w:t>été</w:t>
      </w:r>
      <w:r w:rsidR="000A7AAB" w:rsidRPr="002C4077">
        <w:t xml:space="preserve"> </w:t>
      </w:r>
      <w:r w:rsidR="000A7AAB">
        <w:t>frappés</w:t>
      </w:r>
      <w:r w:rsidR="000A7AAB" w:rsidRPr="002C4077">
        <w:t xml:space="preserve"> </w:t>
      </w:r>
      <w:r w:rsidR="000A7AAB">
        <w:t>à</w:t>
      </w:r>
      <w:r w:rsidR="000A7AAB" w:rsidRPr="002C4077">
        <w:t xml:space="preserve"> </w:t>
      </w:r>
      <w:r w:rsidR="000A7AAB">
        <w:t>leur</w:t>
      </w:r>
      <w:r w:rsidR="000A7AAB" w:rsidRPr="002C4077">
        <w:t xml:space="preserve"> </w:t>
      </w:r>
      <w:r w:rsidR="000A7AAB">
        <w:t>tour</w:t>
      </w:r>
      <w:r w:rsidR="000A7AAB" w:rsidRPr="002C4077">
        <w:t xml:space="preserve"> </w:t>
      </w:r>
      <w:r w:rsidR="000A7AAB">
        <w:t>de</w:t>
      </w:r>
      <w:r w:rsidR="000A7AAB" w:rsidRPr="002C4077">
        <w:t xml:space="preserve"> </w:t>
      </w:r>
      <w:r w:rsidR="000A7AAB">
        <w:t>la</w:t>
      </w:r>
      <w:r w:rsidR="000A7AAB" w:rsidRPr="002C4077">
        <w:t xml:space="preserve"> </w:t>
      </w:r>
      <w:r w:rsidR="000A7AAB">
        <w:t>bonne</w:t>
      </w:r>
      <w:r w:rsidR="000A7AAB" w:rsidRPr="002C4077">
        <w:t xml:space="preserve"> </w:t>
      </w:r>
      <w:r w:rsidR="000A7AAB">
        <w:t>grâce</w:t>
      </w:r>
      <w:r w:rsidR="000A7AAB" w:rsidRPr="002C4077">
        <w:t xml:space="preserve"> </w:t>
      </w:r>
      <w:r w:rsidR="000A7AAB">
        <w:t>des</w:t>
      </w:r>
      <w:r w:rsidR="000A7AAB" w:rsidRPr="002C4077">
        <w:t xml:space="preserve"> </w:t>
      </w:r>
      <w:r w:rsidR="000A7AAB">
        <w:t>Nazaréennes.</w:t>
      </w:r>
      <w:r w:rsidR="00C45B47">
        <w:t xml:space="preserve"> {</w:t>
      </w:r>
      <w:r w:rsidR="001F5257">
        <w:t>218</w:t>
      </w:r>
      <w:bookmarkStart w:id="532" w:name="p218"/>
      <w:bookmarkEnd w:id="532"/>
      <w:r w:rsidR="001F5257">
        <w:t xml:space="preserve">} </w:t>
      </w:r>
      <w:r w:rsidR="00B546AF">
        <w:t>« </w:t>
      </w:r>
      <w:r w:rsidR="000A7AAB">
        <w:t>Je</w:t>
      </w:r>
      <w:r w:rsidR="000A7AAB" w:rsidRPr="002C4077">
        <w:t xml:space="preserve"> </w:t>
      </w:r>
      <w:r w:rsidR="000A7AAB">
        <w:t>n’ai</w:t>
      </w:r>
      <w:r w:rsidR="000A7AAB" w:rsidRPr="002C4077">
        <w:t xml:space="preserve"> </w:t>
      </w:r>
      <w:r w:rsidR="000A7AAB">
        <w:t>pas</w:t>
      </w:r>
      <w:r w:rsidR="000A7AAB" w:rsidRPr="002C4077">
        <w:t xml:space="preserve"> </w:t>
      </w:r>
      <w:r w:rsidR="000A7AAB">
        <w:t>trouvé</w:t>
      </w:r>
      <w:r w:rsidR="000A7AAB" w:rsidRPr="002C4077">
        <w:t xml:space="preserve"> </w:t>
      </w:r>
      <w:r w:rsidR="000A7AAB">
        <w:t>à</w:t>
      </w:r>
      <w:r w:rsidR="000A7AAB" w:rsidRPr="002C4077">
        <w:t xml:space="preserve"> </w:t>
      </w:r>
      <w:r w:rsidR="000A7AAB">
        <w:t>Nazareth,</w:t>
      </w:r>
      <w:r w:rsidR="000A7AAB" w:rsidRPr="002C4077">
        <w:t xml:space="preserve"> </w:t>
      </w:r>
      <w:r w:rsidR="000A7AAB">
        <w:t>dirons-nous</w:t>
      </w:r>
      <w:r w:rsidR="000A7AAB" w:rsidRPr="002C4077">
        <w:t xml:space="preserve"> </w:t>
      </w:r>
      <w:r w:rsidR="000A7AAB">
        <w:t>avec</w:t>
      </w:r>
      <w:r w:rsidR="000A7AAB" w:rsidRPr="002C4077">
        <w:t xml:space="preserve"> </w:t>
      </w:r>
      <w:r w:rsidR="000A7AAB">
        <w:t>M</w:t>
      </w:r>
      <w:r w:rsidR="006F72A8">
        <w:rPr>
          <w:vertAlign w:val="superscript"/>
        </w:rPr>
        <w:t>g</w:t>
      </w:r>
      <w:r w:rsidR="000A7AAB">
        <w:rPr>
          <w:vertAlign w:val="superscript"/>
        </w:rPr>
        <w:t>r</w:t>
      </w:r>
      <w:r w:rsidR="000A7AAB" w:rsidRPr="002C4077">
        <w:t xml:space="preserve"> </w:t>
      </w:r>
      <w:r w:rsidR="000A7AAB">
        <w:t>Mislin,</w:t>
      </w:r>
      <w:r w:rsidR="000A7AAB" w:rsidRPr="002C4077">
        <w:t xml:space="preserve"> </w:t>
      </w:r>
      <w:r w:rsidR="000A7AAB">
        <w:t>le</w:t>
      </w:r>
      <w:r w:rsidR="000A7AAB" w:rsidRPr="002C4077">
        <w:t xml:space="preserve"> </w:t>
      </w:r>
      <w:r w:rsidR="000A7AAB">
        <w:t>type</w:t>
      </w:r>
      <w:r w:rsidR="000A7AAB" w:rsidRPr="002C4077">
        <w:t xml:space="preserve"> </w:t>
      </w:r>
      <w:r w:rsidR="000A7AAB">
        <w:t>des</w:t>
      </w:r>
      <w:r w:rsidR="000A7AAB" w:rsidRPr="002C4077">
        <w:t xml:space="preserve"> </w:t>
      </w:r>
      <w:r w:rsidR="000A7AAB">
        <w:t>têtes</w:t>
      </w:r>
      <w:r w:rsidR="000A7AAB" w:rsidRPr="002C4077">
        <w:t xml:space="preserve"> </w:t>
      </w:r>
      <w:r w:rsidR="000A7AAB">
        <w:t>de</w:t>
      </w:r>
      <w:r w:rsidR="000A7AAB" w:rsidRPr="002C4077">
        <w:t xml:space="preserve"> </w:t>
      </w:r>
      <w:r w:rsidR="000A7AAB">
        <w:t>vierge</w:t>
      </w:r>
      <w:r w:rsidR="000A7AAB" w:rsidRPr="002C4077">
        <w:t xml:space="preserve"> </w:t>
      </w:r>
      <w:r w:rsidR="000A7AAB">
        <w:t>de</w:t>
      </w:r>
      <w:r w:rsidR="000A7AAB" w:rsidRPr="002C4077">
        <w:t xml:space="preserve"> </w:t>
      </w:r>
      <w:r w:rsidR="000A7AAB">
        <w:t>Raphaël,</w:t>
      </w:r>
      <w:r w:rsidR="000A7AAB" w:rsidRPr="002C4077">
        <w:t xml:space="preserve"> </w:t>
      </w:r>
      <w:r w:rsidR="000A7AAB">
        <w:t>mais</w:t>
      </w:r>
      <w:r w:rsidR="000A7AAB" w:rsidRPr="002C4077">
        <w:t xml:space="preserve"> </w:t>
      </w:r>
      <w:r w:rsidR="000A7AAB">
        <w:t>je</w:t>
      </w:r>
      <w:r w:rsidR="000A7AAB" w:rsidRPr="002C4077">
        <w:t xml:space="preserve"> </w:t>
      </w:r>
      <w:r w:rsidR="000A7AAB">
        <w:t>n’ai</w:t>
      </w:r>
      <w:r w:rsidR="000A7AAB" w:rsidRPr="002C4077">
        <w:t xml:space="preserve"> </w:t>
      </w:r>
      <w:r w:rsidR="000A7AAB">
        <w:t>pu</w:t>
      </w:r>
      <w:r w:rsidR="000A7AAB" w:rsidRPr="002C4077">
        <w:t xml:space="preserve"> </w:t>
      </w:r>
      <w:r w:rsidR="000A7AAB">
        <w:t>me</w:t>
      </w:r>
      <w:r w:rsidR="000A7AAB" w:rsidRPr="002C4077">
        <w:t xml:space="preserve"> </w:t>
      </w:r>
      <w:r w:rsidR="000A7AAB">
        <w:t>défendre</w:t>
      </w:r>
      <w:r w:rsidR="000A7AAB" w:rsidRPr="002C4077">
        <w:t xml:space="preserve"> </w:t>
      </w:r>
      <w:r w:rsidR="000A7AAB">
        <w:t>d’un</w:t>
      </w:r>
      <w:r w:rsidR="000A7AAB" w:rsidRPr="002C4077">
        <w:t xml:space="preserve"> </w:t>
      </w:r>
      <w:r w:rsidR="000A7AAB">
        <w:t>sentiment</w:t>
      </w:r>
      <w:r w:rsidR="000A7AAB" w:rsidRPr="002C4077">
        <w:t xml:space="preserve"> </w:t>
      </w:r>
      <w:r w:rsidR="000A7AAB">
        <w:t>de</w:t>
      </w:r>
      <w:r w:rsidR="000A7AAB" w:rsidRPr="002C4077">
        <w:t xml:space="preserve"> </w:t>
      </w:r>
      <w:r w:rsidR="000A7AAB">
        <w:t>plaisir</w:t>
      </w:r>
      <w:r w:rsidR="000A7AAB" w:rsidRPr="002C4077">
        <w:t xml:space="preserve"> </w:t>
      </w:r>
      <w:r w:rsidR="000A7AAB">
        <w:t>en</w:t>
      </w:r>
      <w:r w:rsidR="000A7AAB" w:rsidRPr="002C4077">
        <w:t xml:space="preserve"> </w:t>
      </w:r>
      <w:r w:rsidR="000A7AAB">
        <w:t>voyant</w:t>
      </w:r>
      <w:r w:rsidR="000A7AAB" w:rsidRPr="002C4077">
        <w:t xml:space="preserve"> </w:t>
      </w:r>
      <w:r w:rsidR="000A7AAB">
        <w:t>que</w:t>
      </w:r>
      <w:r w:rsidR="000A7AAB" w:rsidRPr="002C4077">
        <w:t xml:space="preserve"> </w:t>
      </w:r>
      <w:r w:rsidR="000A7AAB">
        <w:t>les</w:t>
      </w:r>
      <w:r w:rsidR="000A7AAB" w:rsidRPr="002C4077">
        <w:t xml:space="preserve"> </w:t>
      </w:r>
      <w:r w:rsidR="000A7AAB">
        <w:t>femmes</w:t>
      </w:r>
      <w:r w:rsidR="000A7AAB" w:rsidRPr="002C4077">
        <w:t xml:space="preserve"> </w:t>
      </w:r>
      <w:r w:rsidR="000A7AAB">
        <w:t>n’y</w:t>
      </w:r>
      <w:r w:rsidR="000A7AAB" w:rsidRPr="002C4077">
        <w:t xml:space="preserve"> </w:t>
      </w:r>
      <w:r w:rsidR="000A7AAB">
        <w:t>ressemblent</w:t>
      </w:r>
      <w:r w:rsidR="000A7AAB" w:rsidRPr="002C4077">
        <w:t xml:space="preserve"> </w:t>
      </w:r>
      <w:r w:rsidR="000A7AAB">
        <w:t>pas</w:t>
      </w:r>
      <w:r w:rsidR="000A7AAB" w:rsidRPr="002C4077">
        <w:t xml:space="preserve"> </w:t>
      </w:r>
      <w:r w:rsidR="000A7AAB">
        <w:t>à</w:t>
      </w:r>
      <w:r w:rsidR="000A7AAB" w:rsidRPr="002C4077">
        <w:t xml:space="preserve"> </w:t>
      </w:r>
      <w:r w:rsidR="000A7AAB">
        <w:t>celles</w:t>
      </w:r>
      <w:r w:rsidR="000A7AAB" w:rsidRPr="002C4077">
        <w:t xml:space="preserve"> </w:t>
      </w:r>
      <w:r w:rsidR="000A7AAB">
        <w:t>du</w:t>
      </w:r>
      <w:r w:rsidR="000A7AAB" w:rsidRPr="002C4077">
        <w:t xml:space="preserve"> </w:t>
      </w:r>
      <w:r w:rsidR="000A7AAB">
        <w:t>reste</w:t>
      </w:r>
      <w:r w:rsidR="000A7AAB" w:rsidRPr="002C4077">
        <w:t xml:space="preserve"> </w:t>
      </w:r>
      <w:r w:rsidR="000A7AAB">
        <w:t>de</w:t>
      </w:r>
      <w:r w:rsidR="000A7AAB" w:rsidRPr="002C4077">
        <w:t xml:space="preserve"> </w:t>
      </w:r>
      <w:r w:rsidR="000A7AAB">
        <w:t>la</w:t>
      </w:r>
      <w:r w:rsidR="000A7AAB" w:rsidRPr="002C4077">
        <w:t xml:space="preserve"> </w:t>
      </w:r>
      <w:r w:rsidR="000A7AAB">
        <w:t>Palestine,</w:t>
      </w:r>
      <w:r w:rsidR="000A7AAB" w:rsidRPr="002C4077">
        <w:t xml:space="preserve"> </w:t>
      </w:r>
      <w:r w:rsidR="000A7AAB">
        <w:t>qui</w:t>
      </w:r>
      <w:r w:rsidR="000A7AAB" w:rsidRPr="002C4077">
        <w:t xml:space="preserve"> </w:t>
      </w:r>
      <w:r w:rsidR="000A7AAB">
        <w:t>en</w:t>
      </w:r>
      <w:r w:rsidR="000A7AAB" w:rsidRPr="002C4077">
        <w:t xml:space="preserve"> </w:t>
      </w:r>
      <w:r w:rsidR="000A7AAB">
        <w:t>général</w:t>
      </w:r>
      <w:r w:rsidR="000A7AAB" w:rsidRPr="002C4077">
        <w:t xml:space="preserve"> </w:t>
      </w:r>
      <w:r w:rsidR="000A7AAB">
        <w:t>sont</w:t>
      </w:r>
      <w:r w:rsidR="000A7AAB" w:rsidRPr="002C4077">
        <w:t xml:space="preserve"> </w:t>
      </w:r>
      <w:r w:rsidR="000A7AAB">
        <w:t>fort</w:t>
      </w:r>
      <w:r w:rsidR="000A7AAB" w:rsidRPr="002C4077">
        <w:t xml:space="preserve"> </w:t>
      </w:r>
      <w:r w:rsidR="000A7AAB">
        <w:t>laides</w:t>
      </w:r>
      <w:r w:rsidR="00B91AF7">
        <w:rPr>
          <w:rStyle w:val="Appelnotedebasdep"/>
        </w:rPr>
        <w:footnoteReference w:id="725"/>
      </w:r>
      <w:r w:rsidR="00B546AF">
        <w:t> »</w:t>
      </w:r>
      <w:r w:rsidR="000A7AAB">
        <w:t>.</w:t>
      </w:r>
      <w:r w:rsidR="000A7AAB" w:rsidRPr="002C4077">
        <w:t xml:space="preserve"> </w:t>
      </w:r>
      <w:r w:rsidR="000A7AAB">
        <w:t>Leurs</w:t>
      </w:r>
      <w:r w:rsidR="000A7AAB" w:rsidRPr="002C4077">
        <w:t xml:space="preserve"> </w:t>
      </w:r>
      <w:r w:rsidR="000A7AAB">
        <w:t>traits</w:t>
      </w:r>
      <w:r w:rsidR="000A7AAB" w:rsidRPr="002C4077">
        <w:t xml:space="preserve"> </w:t>
      </w:r>
      <w:r w:rsidR="000A7AAB">
        <w:t>sont</w:t>
      </w:r>
      <w:r w:rsidR="000A7AAB" w:rsidRPr="002C4077">
        <w:t xml:space="preserve"> </w:t>
      </w:r>
      <w:r w:rsidR="000A7AAB">
        <w:t>assez</w:t>
      </w:r>
      <w:r w:rsidR="000A7AAB" w:rsidRPr="002C4077">
        <w:t xml:space="preserve"> </w:t>
      </w:r>
      <w:r w:rsidR="000A7AAB">
        <w:t>réguliers</w:t>
      </w:r>
      <w:r w:rsidR="000A7AAB" w:rsidRPr="002C4077">
        <w:t xml:space="preserve"> </w:t>
      </w:r>
      <w:r w:rsidR="000A7AAB">
        <w:t>et</w:t>
      </w:r>
      <w:r w:rsidR="000A7AAB" w:rsidRPr="002C4077">
        <w:t xml:space="preserve"> </w:t>
      </w:r>
      <w:r w:rsidR="000A7AAB">
        <w:t>nobles</w:t>
      </w:r>
      <w:r w:rsidR="00B546AF">
        <w:t> ;</w:t>
      </w:r>
      <w:r w:rsidR="000A7AAB" w:rsidRPr="002C4077">
        <w:t xml:space="preserve"> </w:t>
      </w:r>
      <w:r w:rsidR="000A7AAB">
        <w:t>elles</w:t>
      </w:r>
      <w:r w:rsidR="000A7AAB" w:rsidRPr="002C4077">
        <w:t xml:space="preserve"> </w:t>
      </w:r>
      <w:r w:rsidR="000A7AAB">
        <w:t>ont</w:t>
      </w:r>
      <w:r w:rsidR="000A7AAB" w:rsidRPr="002C4077">
        <w:t xml:space="preserve"> </w:t>
      </w:r>
      <w:r w:rsidR="006F72A8">
        <w:t>la</w:t>
      </w:r>
      <w:r w:rsidR="006F72A8" w:rsidRPr="002C4077">
        <w:t xml:space="preserve"> </w:t>
      </w:r>
      <w:r w:rsidR="006F72A8">
        <w:t>taille</w:t>
      </w:r>
      <w:r w:rsidR="006F72A8" w:rsidRPr="002C4077">
        <w:t xml:space="preserve"> </w:t>
      </w:r>
      <w:r w:rsidR="006F72A8">
        <w:t>élancée,</w:t>
      </w:r>
      <w:r w:rsidR="006F72A8" w:rsidRPr="002C4077">
        <w:t xml:space="preserve"> </w:t>
      </w:r>
      <w:r w:rsidR="006F72A8">
        <w:t>un</w:t>
      </w:r>
      <w:r w:rsidR="006F72A8" w:rsidRPr="002C4077">
        <w:t xml:space="preserve"> </w:t>
      </w:r>
      <w:r w:rsidR="006F72A8">
        <w:t>long</w:t>
      </w:r>
      <w:r w:rsidR="006F72A8" w:rsidRPr="002C4077">
        <w:t xml:space="preserve"> </w:t>
      </w:r>
      <w:r w:rsidR="006F72A8">
        <w:t>profil</w:t>
      </w:r>
      <w:r w:rsidR="000A7AAB">
        <w:t>.</w:t>
      </w:r>
      <w:r w:rsidR="000A7AAB" w:rsidRPr="002C4077">
        <w:t xml:space="preserve"> </w:t>
      </w:r>
      <w:r w:rsidR="000A7AAB">
        <w:t>Leurs</w:t>
      </w:r>
      <w:r w:rsidR="000A7AAB" w:rsidRPr="002C4077">
        <w:t xml:space="preserve"> </w:t>
      </w:r>
      <w:r w:rsidR="000A7AAB">
        <w:t>vêtements</w:t>
      </w:r>
      <w:r w:rsidR="000A7AAB" w:rsidRPr="002C4077">
        <w:t xml:space="preserve"> </w:t>
      </w:r>
      <w:r w:rsidR="000A7AAB">
        <w:t>consistent</w:t>
      </w:r>
      <w:r w:rsidR="000A7AAB" w:rsidRPr="002C4077">
        <w:t xml:space="preserve"> </w:t>
      </w:r>
      <w:r w:rsidR="000A7AAB">
        <w:t>en</w:t>
      </w:r>
      <w:r w:rsidR="000A7AAB" w:rsidRPr="002C4077">
        <w:t xml:space="preserve"> </w:t>
      </w:r>
      <w:r w:rsidR="000A7AAB">
        <w:t>un</w:t>
      </w:r>
      <w:r w:rsidR="000A7AAB" w:rsidRPr="002C4077">
        <w:t xml:space="preserve"> </w:t>
      </w:r>
      <w:r w:rsidR="000A7AAB">
        <w:t>large</w:t>
      </w:r>
      <w:r w:rsidR="000A7AAB" w:rsidRPr="002C4077">
        <w:t xml:space="preserve"> </w:t>
      </w:r>
      <w:r w:rsidR="000A7AAB">
        <w:t>pantalon</w:t>
      </w:r>
      <w:r w:rsidR="000A7AAB" w:rsidRPr="002C4077">
        <w:t xml:space="preserve"> </w:t>
      </w:r>
      <w:r w:rsidR="000A7AAB">
        <w:t>à</w:t>
      </w:r>
      <w:r w:rsidR="000A7AAB" w:rsidRPr="002C4077">
        <w:t xml:space="preserve"> </w:t>
      </w:r>
      <w:r w:rsidR="000A7AAB">
        <w:t>l’arménienne</w:t>
      </w:r>
      <w:r w:rsidR="000A7AAB" w:rsidRPr="002C4077">
        <w:t xml:space="preserve"> </w:t>
      </w:r>
      <w:r w:rsidR="000A7AAB">
        <w:t>attaché</w:t>
      </w:r>
      <w:r w:rsidR="000A7AAB" w:rsidRPr="002C4077">
        <w:t xml:space="preserve"> </w:t>
      </w:r>
      <w:r w:rsidR="000A7AAB">
        <w:t>au-dessus</w:t>
      </w:r>
      <w:r w:rsidR="000A7AAB" w:rsidRPr="002C4077">
        <w:t xml:space="preserve"> </w:t>
      </w:r>
      <w:r w:rsidR="000A7AAB">
        <w:t>des</w:t>
      </w:r>
      <w:r w:rsidR="000A7AAB" w:rsidRPr="002C4077">
        <w:t xml:space="preserve"> </w:t>
      </w:r>
      <w:r w:rsidR="000A7AAB">
        <w:t>chevilles,</w:t>
      </w:r>
      <w:r w:rsidR="000A7AAB" w:rsidRPr="002C4077">
        <w:t xml:space="preserve"> </w:t>
      </w:r>
      <w:r w:rsidR="000A7AAB">
        <w:t>en</w:t>
      </w:r>
      <w:r w:rsidR="000A7AAB" w:rsidRPr="002C4077">
        <w:t xml:space="preserve"> </w:t>
      </w:r>
      <w:r w:rsidR="000A7AAB">
        <w:t>une</w:t>
      </w:r>
      <w:r w:rsidR="000A7AAB" w:rsidRPr="002C4077">
        <w:t xml:space="preserve"> </w:t>
      </w:r>
      <w:r w:rsidR="000A7AAB">
        <w:t>robe</w:t>
      </w:r>
      <w:r w:rsidR="000A7AAB" w:rsidRPr="002C4077">
        <w:t xml:space="preserve"> </w:t>
      </w:r>
      <w:r w:rsidR="000A7AAB">
        <w:t>bleue</w:t>
      </w:r>
      <w:r w:rsidR="000A7AAB" w:rsidRPr="002C4077">
        <w:t xml:space="preserve"> </w:t>
      </w:r>
      <w:r w:rsidR="000A7AAB">
        <w:t>serrée</w:t>
      </w:r>
      <w:r w:rsidR="000A7AAB" w:rsidRPr="002C4077">
        <w:t xml:space="preserve"> </w:t>
      </w:r>
      <w:r w:rsidR="000A7AAB">
        <w:t>à</w:t>
      </w:r>
      <w:r w:rsidR="000A7AAB" w:rsidRPr="002C4077">
        <w:t xml:space="preserve"> </w:t>
      </w:r>
      <w:r w:rsidR="000A7AAB">
        <w:t>la</w:t>
      </w:r>
      <w:r w:rsidR="000A7AAB" w:rsidRPr="002C4077">
        <w:t xml:space="preserve"> </w:t>
      </w:r>
      <w:r w:rsidR="000A7AAB">
        <w:t>ceinture,</w:t>
      </w:r>
      <w:r w:rsidR="000A7AAB" w:rsidRPr="002C4077">
        <w:t xml:space="preserve"> </w:t>
      </w:r>
      <w:r w:rsidR="000A7AAB">
        <w:t>en</w:t>
      </w:r>
      <w:r w:rsidR="000A7AAB" w:rsidRPr="002C4077">
        <w:t xml:space="preserve"> </w:t>
      </w:r>
      <w:r w:rsidR="000A7AAB">
        <w:t>une</w:t>
      </w:r>
      <w:r w:rsidR="000A7AAB" w:rsidRPr="002C4077">
        <w:t xml:space="preserve"> </w:t>
      </w:r>
      <w:r w:rsidR="000A7AAB">
        <w:t>tunique</w:t>
      </w:r>
      <w:r w:rsidR="000A7AAB" w:rsidRPr="002C4077">
        <w:t xml:space="preserve"> </w:t>
      </w:r>
      <w:r w:rsidR="000A7AAB">
        <w:t>blanche</w:t>
      </w:r>
      <w:r w:rsidR="000A7AAB" w:rsidRPr="002C4077">
        <w:t xml:space="preserve"> </w:t>
      </w:r>
      <w:r w:rsidR="000A7AAB">
        <w:t>et</w:t>
      </w:r>
      <w:r w:rsidR="000A7AAB" w:rsidRPr="002C4077">
        <w:t xml:space="preserve"> </w:t>
      </w:r>
      <w:r w:rsidR="000A7AAB">
        <w:t>un</w:t>
      </w:r>
      <w:r w:rsidR="000A7AAB" w:rsidRPr="002C4077">
        <w:t xml:space="preserve"> </w:t>
      </w:r>
      <w:r w:rsidR="000A7AAB">
        <w:t>long</w:t>
      </w:r>
      <w:r w:rsidR="000A7AAB" w:rsidRPr="002C4077">
        <w:t xml:space="preserve"> </w:t>
      </w:r>
      <w:r w:rsidR="000A7AAB">
        <w:t>voile</w:t>
      </w:r>
      <w:r w:rsidR="000A7AAB" w:rsidRPr="002C4077">
        <w:t xml:space="preserve"> </w:t>
      </w:r>
      <w:r w:rsidR="000A7AAB">
        <w:t>rouge</w:t>
      </w:r>
      <w:r w:rsidR="000A7AAB" w:rsidRPr="002C4077">
        <w:t xml:space="preserve"> </w:t>
      </w:r>
      <w:r w:rsidR="000A7AAB">
        <w:t>qui</w:t>
      </w:r>
      <w:r w:rsidR="000A7AAB" w:rsidRPr="002C4077">
        <w:t xml:space="preserve"> </w:t>
      </w:r>
      <w:r w:rsidR="000A7AAB">
        <w:t>descend</w:t>
      </w:r>
      <w:r w:rsidR="000A7AAB" w:rsidRPr="002C4077">
        <w:t xml:space="preserve"> </w:t>
      </w:r>
      <w:r w:rsidR="000A7AAB">
        <w:t>de</w:t>
      </w:r>
      <w:r w:rsidR="000A7AAB" w:rsidRPr="002C4077">
        <w:t xml:space="preserve"> </w:t>
      </w:r>
      <w:r w:rsidR="000A7AAB">
        <w:t>la</w:t>
      </w:r>
      <w:r w:rsidR="000A7AAB" w:rsidRPr="002C4077">
        <w:t xml:space="preserve"> </w:t>
      </w:r>
      <w:r w:rsidR="000A7AAB">
        <w:t>tête</w:t>
      </w:r>
      <w:r w:rsidR="000A7AAB" w:rsidRPr="002C4077">
        <w:t xml:space="preserve"> </w:t>
      </w:r>
      <w:r w:rsidR="000A7AAB">
        <w:t>sur</w:t>
      </w:r>
      <w:r w:rsidR="000A7AAB" w:rsidRPr="002C4077">
        <w:t xml:space="preserve"> </w:t>
      </w:r>
      <w:r w:rsidR="000A7AAB">
        <w:t>le</w:t>
      </w:r>
      <w:r w:rsidR="000A7AAB" w:rsidRPr="002C4077">
        <w:t xml:space="preserve"> </w:t>
      </w:r>
      <w:r w:rsidR="000A7AAB">
        <w:t>dos,</w:t>
      </w:r>
      <w:r w:rsidR="000A7AAB" w:rsidRPr="002C4077">
        <w:t xml:space="preserve"> </w:t>
      </w:r>
      <w:r w:rsidR="000A7AAB">
        <w:t>de</w:t>
      </w:r>
      <w:r w:rsidR="000A7AAB" w:rsidRPr="002C4077">
        <w:t xml:space="preserve"> </w:t>
      </w:r>
      <w:r w:rsidR="000A7AAB">
        <w:t>manière</w:t>
      </w:r>
      <w:r w:rsidR="000A7AAB" w:rsidRPr="002C4077">
        <w:t xml:space="preserve"> </w:t>
      </w:r>
      <w:r w:rsidR="000A7AAB">
        <w:t>à</w:t>
      </w:r>
      <w:r w:rsidR="000A7AAB" w:rsidRPr="002C4077">
        <w:t xml:space="preserve"> </w:t>
      </w:r>
      <w:r w:rsidR="000A7AAB">
        <w:t>laisser</w:t>
      </w:r>
      <w:r w:rsidR="000A7AAB" w:rsidRPr="002C4077">
        <w:t xml:space="preserve"> </w:t>
      </w:r>
      <w:r w:rsidR="000A7AAB">
        <w:t>le</w:t>
      </w:r>
      <w:r w:rsidR="000A7AAB" w:rsidRPr="002C4077">
        <w:t xml:space="preserve"> </w:t>
      </w:r>
      <w:r w:rsidR="000A7AAB">
        <w:t>visage</w:t>
      </w:r>
      <w:r w:rsidR="000A7AAB" w:rsidRPr="002C4077">
        <w:t xml:space="preserve"> </w:t>
      </w:r>
      <w:r w:rsidR="000A7AAB">
        <w:t>libre</w:t>
      </w:r>
      <w:r w:rsidR="00B91AF7">
        <w:rPr>
          <w:rStyle w:val="Appelnotedebasdep"/>
        </w:rPr>
        <w:footnoteReference w:id="726"/>
      </w:r>
      <w:r w:rsidR="000A7AAB">
        <w:t>.</w:t>
      </w:r>
      <w:r w:rsidR="000A7AAB" w:rsidRPr="002C4077">
        <w:t xml:space="preserve"> </w:t>
      </w:r>
      <w:r w:rsidR="000A7AAB">
        <w:t>En</w:t>
      </w:r>
      <w:r w:rsidR="000A7AAB" w:rsidRPr="002C4077">
        <w:t xml:space="preserve"> </w:t>
      </w:r>
      <w:r w:rsidR="000A7AAB">
        <w:t>voyant</w:t>
      </w:r>
      <w:r w:rsidR="000A7AAB" w:rsidRPr="002C4077">
        <w:t xml:space="preserve"> </w:t>
      </w:r>
      <w:r w:rsidR="000A7AAB">
        <w:t>ces</w:t>
      </w:r>
      <w:r w:rsidR="000A7AAB" w:rsidRPr="002C4077">
        <w:t xml:space="preserve"> </w:t>
      </w:r>
      <w:r w:rsidR="000A7AAB">
        <w:t>couleurs</w:t>
      </w:r>
      <w:r w:rsidR="000A7AAB" w:rsidRPr="002C4077">
        <w:t xml:space="preserve"> </w:t>
      </w:r>
      <w:r w:rsidR="000A7AAB">
        <w:t>bigarrées</w:t>
      </w:r>
      <w:r w:rsidR="000A7AAB" w:rsidRPr="002C4077">
        <w:t xml:space="preserve"> </w:t>
      </w:r>
      <w:r w:rsidR="000A7AAB">
        <w:t>et</w:t>
      </w:r>
      <w:r w:rsidR="000A7AAB" w:rsidRPr="002C4077">
        <w:t xml:space="preserve"> </w:t>
      </w:r>
      <w:r w:rsidR="000A7AAB">
        <w:t>criantes,</w:t>
      </w:r>
      <w:r w:rsidR="000A7AAB" w:rsidRPr="002C4077">
        <w:t xml:space="preserve"> </w:t>
      </w:r>
      <w:r w:rsidR="000A7AAB">
        <w:t>on</w:t>
      </w:r>
      <w:r w:rsidR="000A7AAB" w:rsidRPr="002C4077">
        <w:t xml:space="preserve"> </w:t>
      </w:r>
      <w:r w:rsidR="00425C50">
        <w:t>est</w:t>
      </w:r>
      <w:r w:rsidR="000A7AAB" w:rsidRPr="002C4077">
        <w:t xml:space="preserve"> </w:t>
      </w:r>
      <w:r w:rsidR="000A7AAB">
        <w:t>tenté</w:t>
      </w:r>
      <w:r w:rsidR="000A7AAB" w:rsidRPr="002C4077">
        <w:t xml:space="preserve"> </w:t>
      </w:r>
      <w:r w:rsidR="000A7AAB">
        <w:t>de</w:t>
      </w:r>
      <w:r w:rsidR="000A7AAB" w:rsidRPr="002C4077">
        <w:t xml:space="preserve"> </w:t>
      </w:r>
      <w:r w:rsidR="000A7AAB">
        <w:t>se</w:t>
      </w:r>
      <w:r w:rsidR="000A7AAB" w:rsidRPr="002C4077">
        <w:t xml:space="preserve"> </w:t>
      </w:r>
      <w:r w:rsidR="000A7AAB">
        <w:t>demander</w:t>
      </w:r>
      <w:r w:rsidR="000A7AAB" w:rsidRPr="002C4077">
        <w:t xml:space="preserve"> </w:t>
      </w:r>
      <w:r w:rsidR="000A7AAB">
        <w:t>si</w:t>
      </w:r>
      <w:r w:rsidR="000A7AAB" w:rsidRPr="002C4077">
        <w:t xml:space="preserve"> </w:t>
      </w:r>
      <w:r w:rsidR="000A7AAB">
        <w:t>les</w:t>
      </w:r>
      <w:r w:rsidR="000A7AAB" w:rsidRPr="002C4077">
        <w:t xml:space="preserve"> </w:t>
      </w:r>
      <w:r w:rsidR="000A7AAB">
        <w:t>Nazaréennes</w:t>
      </w:r>
      <w:r w:rsidR="000A7AAB" w:rsidRPr="002C4077">
        <w:t xml:space="preserve"> </w:t>
      </w:r>
      <w:r w:rsidR="000A7AAB">
        <w:t>ne</w:t>
      </w:r>
      <w:r w:rsidR="000A7AAB" w:rsidRPr="002C4077">
        <w:t xml:space="preserve"> </w:t>
      </w:r>
      <w:r w:rsidR="000A7AAB">
        <w:t>sont</w:t>
      </w:r>
      <w:r w:rsidR="000A7AAB" w:rsidRPr="002C4077">
        <w:t xml:space="preserve"> </w:t>
      </w:r>
      <w:r w:rsidR="000A7AAB">
        <w:t>pas</w:t>
      </w:r>
      <w:r w:rsidR="000A7AAB" w:rsidRPr="002C4077">
        <w:t xml:space="preserve"> </w:t>
      </w:r>
      <w:r w:rsidR="000A7AAB">
        <w:t>enveloppées</w:t>
      </w:r>
      <w:r w:rsidR="000A7AAB" w:rsidRPr="002C4077">
        <w:t xml:space="preserve"> </w:t>
      </w:r>
      <w:r w:rsidR="000A7AAB">
        <w:t>dans</w:t>
      </w:r>
      <w:r w:rsidR="000A7AAB" w:rsidRPr="002C4077">
        <w:t xml:space="preserve"> </w:t>
      </w:r>
      <w:r w:rsidR="000A7AAB">
        <w:t>un</w:t>
      </w:r>
      <w:r w:rsidR="000A7AAB" w:rsidRPr="002C4077">
        <w:t xml:space="preserve"> </w:t>
      </w:r>
      <w:r w:rsidR="000A7AAB">
        <w:t>de</w:t>
      </w:r>
      <w:r w:rsidR="000A7AAB" w:rsidRPr="002C4077">
        <w:t xml:space="preserve"> </w:t>
      </w:r>
      <w:r w:rsidR="000A7AAB">
        <w:t>nos</w:t>
      </w:r>
      <w:r w:rsidR="000A7AAB" w:rsidRPr="002C4077">
        <w:t xml:space="preserve"> </w:t>
      </w:r>
      <w:r w:rsidR="000A7AAB">
        <w:t>drapeaux</w:t>
      </w:r>
      <w:r w:rsidR="000A7AAB" w:rsidRPr="002C4077">
        <w:t xml:space="preserve"> </w:t>
      </w:r>
      <w:r w:rsidR="000A7AAB">
        <w:t>tricolores.</w:t>
      </w:r>
      <w:r w:rsidR="000A7AAB" w:rsidRPr="002C4077">
        <w:t xml:space="preserve"> </w:t>
      </w:r>
      <w:r w:rsidR="000A7AAB">
        <w:t>Elles</w:t>
      </w:r>
      <w:r w:rsidR="000A7AAB" w:rsidRPr="002C4077">
        <w:t xml:space="preserve"> </w:t>
      </w:r>
      <w:r w:rsidR="000A7AAB">
        <w:t>portent</w:t>
      </w:r>
      <w:r w:rsidR="000A7AAB" w:rsidRPr="002C4077">
        <w:t xml:space="preserve"> </w:t>
      </w:r>
      <w:r w:rsidR="000A7AAB">
        <w:t>au</w:t>
      </w:r>
      <w:r w:rsidR="000A7AAB" w:rsidRPr="002C4077">
        <w:t xml:space="preserve"> </w:t>
      </w:r>
      <w:r w:rsidR="000A7AAB">
        <w:t>front</w:t>
      </w:r>
      <w:r w:rsidR="000A7AAB" w:rsidRPr="002C4077">
        <w:t xml:space="preserve"> </w:t>
      </w:r>
      <w:r w:rsidR="000A7AAB">
        <w:t>et</w:t>
      </w:r>
      <w:r w:rsidR="000A7AAB" w:rsidRPr="002C4077">
        <w:t xml:space="preserve"> </w:t>
      </w:r>
      <w:r w:rsidR="000A7AAB">
        <w:t>sur</w:t>
      </w:r>
      <w:r w:rsidR="000A7AAB" w:rsidRPr="002C4077">
        <w:t xml:space="preserve"> </w:t>
      </w:r>
      <w:r w:rsidR="000A7AAB">
        <w:t>la</w:t>
      </w:r>
      <w:r w:rsidR="000A7AAB" w:rsidRPr="002C4077">
        <w:t xml:space="preserve"> </w:t>
      </w:r>
      <w:r w:rsidR="000A7AAB">
        <w:t>poitrine</w:t>
      </w:r>
      <w:r w:rsidR="000A7AAB" w:rsidRPr="002C4077">
        <w:t xml:space="preserve"> </w:t>
      </w:r>
      <w:r w:rsidR="000A7AAB">
        <w:t>de</w:t>
      </w:r>
      <w:r w:rsidR="000A7AAB" w:rsidRPr="002C4077">
        <w:t xml:space="preserve"> </w:t>
      </w:r>
      <w:r w:rsidR="000A7AAB">
        <w:t>grandes</w:t>
      </w:r>
      <w:r w:rsidR="000A7AAB" w:rsidRPr="002C4077">
        <w:t xml:space="preserve"> </w:t>
      </w:r>
      <w:r w:rsidR="000A7AAB">
        <w:t>quantités</w:t>
      </w:r>
      <w:r w:rsidR="000A7AAB" w:rsidRPr="002C4077">
        <w:t xml:space="preserve"> </w:t>
      </w:r>
      <w:r w:rsidR="000A7AAB">
        <w:t>de</w:t>
      </w:r>
      <w:r w:rsidR="000A7AAB" w:rsidRPr="002C4077">
        <w:t xml:space="preserve"> </w:t>
      </w:r>
      <w:r w:rsidR="000A7AAB">
        <w:t>pièces</w:t>
      </w:r>
      <w:r w:rsidR="000A7AAB" w:rsidRPr="002C4077">
        <w:t xml:space="preserve"> </w:t>
      </w:r>
      <w:r w:rsidR="000A7AAB">
        <w:t>d’argent.</w:t>
      </w:r>
      <w:r w:rsidR="000A7AAB" w:rsidRPr="002C4077">
        <w:t xml:space="preserve"> </w:t>
      </w:r>
      <w:r w:rsidR="000A7AAB">
        <w:t>Les</w:t>
      </w:r>
      <w:r w:rsidR="000A7AAB" w:rsidRPr="002C4077">
        <w:t xml:space="preserve"> </w:t>
      </w:r>
      <w:r w:rsidR="000A7AAB">
        <w:t>enfants</w:t>
      </w:r>
      <w:r w:rsidR="000A7AAB" w:rsidRPr="002C4077">
        <w:t xml:space="preserve"> </w:t>
      </w:r>
      <w:r w:rsidR="000A7AAB">
        <w:t>ont</w:t>
      </w:r>
      <w:r w:rsidR="000A7AAB" w:rsidRPr="002C4077">
        <w:t xml:space="preserve"> </w:t>
      </w:r>
      <w:r w:rsidR="000A7AAB">
        <w:t>à</w:t>
      </w:r>
      <w:r w:rsidR="000A7AAB" w:rsidRPr="002C4077">
        <w:t xml:space="preserve"> </w:t>
      </w:r>
      <w:r w:rsidR="000A7AAB">
        <w:t>peu</w:t>
      </w:r>
      <w:r w:rsidR="000A7AAB" w:rsidRPr="002C4077">
        <w:t xml:space="preserve"> </w:t>
      </w:r>
      <w:r w:rsidR="000A7AAB">
        <w:t>près</w:t>
      </w:r>
      <w:r w:rsidR="000A7AAB" w:rsidRPr="002C4077">
        <w:t xml:space="preserve"> </w:t>
      </w:r>
      <w:r w:rsidR="000A7AAB">
        <w:t>le</w:t>
      </w:r>
      <w:r w:rsidR="000A7AAB" w:rsidRPr="002C4077">
        <w:t xml:space="preserve"> </w:t>
      </w:r>
      <w:r w:rsidR="000A7AAB">
        <w:t>même</w:t>
      </w:r>
      <w:r w:rsidR="000A7AAB" w:rsidRPr="002C4077">
        <w:t xml:space="preserve"> </w:t>
      </w:r>
      <w:r w:rsidR="000A7AAB">
        <w:t>costume,</w:t>
      </w:r>
      <w:r w:rsidR="000A7AAB" w:rsidRPr="002C4077">
        <w:t xml:space="preserve"> </w:t>
      </w:r>
      <w:r w:rsidR="000A7AAB">
        <w:t>à</w:t>
      </w:r>
      <w:r w:rsidR="000A7AAB" w:rsidRPr="002C4077">
        <w:t xml:space="preserve"> </w:t>
      </w:r>
      <w:r w:rsidR="000A7AAB">
        <w:t>part</w:t>
      </w:r>
      <w:r w:rsidR="000A7AAB" w:rsidRPr="002C4077">
        <w:t xml:space="preserve"> </w:t>
      </w:r>
      <w:r w:rsidR="000A7AAB">
        <w:t>le</w:t>
      </w:r>
      <w:r w:rsidR="000A7AAB" w:rsidRPr="002C4077">
        <w:t xml:space="preserve"> </w:t>
      </w:r>
      <w:r w:rsidR="000A7AAB">
        <w:t>voile,</w:t>
      </w:r>
      <w:r w:rsidR="000A7AAB" w:rsidRPr="002C4077">
        <w:t xml:space="preserve"> </w:t>
      </w:r>
      <w:r w:rsidR="000A7AAB">
        <w:t>que</w:t>
      </w:r>
      <w:r w:rsidR="000A7AAB" w:rsidRPr="002C4077">
        <w:t xml:space="preserve"> </w:t>
      </w:r>
      <w:r w:rsidR="000A7AAB">
        <w:t>remplacent</w:t>
      </w:r>
      <w:r w:rsidR="000A7AAB" w:rsidRPr="002C4077">
        <w:t xml:space="preserve"> </w:t>
      </w:r>
      <w:r w:rsidR="000A7AAB">
        <w:t>un</w:t>
      </w:r>
      <w:r w:rsidR="000A7AAB" w:rsidRPr="002C4077">
        <w:t xml:space="preserve"> </w:t>
      </w:r>
      <w:r w:rsidR="000A7AAB">
        <w:t>turban</w:t>
      </w:r>
      <w:r w:rsidR="000A7AAB" w:rsidRPr="002C4077">
        <w:t xml:space="preserve"> </w:t>
      </w:r>
      <w:r w:rsidR="000A7AAB">
        <w:t>rouge</w:t>
      </w:r>
      <w:r w:rsidR="000A7AAB" w:rsidRPr="002C4077">
        <w:t xml:space="preserve"> </w:t>
      </w:r>
      <w:r w:rsidR="000A7AAB">
        <w:t>et</w:t>
      </w:r>
      <w:r w:rsidR="000A7AAB" w:rsidRPr="002C4077">
        <w:t xml:space="preserve"> </w:t>
      </w:r>
      <w:r w:rsidR="000A7AAB">
        <w:t>un</w:t>
      </w:r>
      <w:r w:rsidR="000A7AAB" w:rsidRPr="002C4077">
        <w:t xml:space="preserve"> </w:t>
      </w:r>
      <w:r w:rsidR="000A7AAB">
        <w:t>manteau</w:t>
      </w:r>
      <w:r w:rsidR="000A7AAB" w:rsidRPr="002C4077">
        <w:t xml:space="preserve"> </w:t>
      </w:r>
      <w:r w:rsidR="000A7AAB">
        <w:t>de</w:t>
      </w:r>
      <w:r w:rsidR="000A7AAB" w:rsidRPr="002C4077">
        <w:t xml:space="preserve"> </w:t>
      </w:r>
      <w:r w:rsidR="000A7AAB">
        <w:t>laine</w:t>
      </w:r>
      <w:r w:rsidR="000A7AAB" w:rsidRPr="002C4077">
        <w:t xml:space="preserve"> </w:t>
      </w:r>
      <w:r w:rsidR="000A7AAB">
        <w:t>blanche.</w:t>
      </w:r>
      <w:r w:rsidR="000A7AAB" w:rsidRPr="002C4077">
        <w:t xml:space="preserve"> </w:t>
      </w:r>
      <w:r w:rsidR="000A7AAB">
        <w:t>L’habillement</w:t>
      </w:r>
      <w:r w:rsidR="000A7AAB" w:rsidRPr="002C4077">
        <w:t xml:space="preserve"> </w:t>
      </w:r>
      <w:r w:rsidR="000A7AAB">
        <w:t>des</w:t>
      </w:r>
      <w:r w:rsidR="000A7AAB" w:rsidRPr="002C4077">
        <w:t xml:space="preserve"> </w:t>
      </w:r>
      <w:r w:rsidR="000A7AAB">
        <w:t>hommes</w:t>
      </w:r>
      <w:r w:rsidR="000A7AAB" w:rsidRPr="002C4077">
        <w:t xml:space="preserve"> </w:t>
      </w:r>
      <w:r w:rsidR="00425C50">
        <w:t>est</w:t>
      </w:r>
      <w:r w:rsidR="000A7AAB" w:rsidRPr="002C4077">
        <w:t xml:space="preserve"> </w:t>
      </w:r>
      <w:r w:rsidR="000A7AAB">
        <w:t>plus</w:t>
      </w:r>
      <w:r w:rsidR="000A7AAB" w:rsidRPr="002C4077">
        <w:t xml:space="preserve"> </w:t>
      </w:r>
      <w:r w:rsidR="000A7AAB">
        <w:t>simple</w:t>
      </w:r>
      <w:r w:rsidR="000A7AAB" w:rsidRPr="002C4077">
        <w:t xml:space="preserve"> </w:t>
      </w:r>
      <w:r w:rsidR="000A7AAB">
        <w:t>et</w:t>
      </w:r>
      <w:r w:rsidR="000A7AAB" w:rsidRPr="002C4077">
        <w:t xml:space="preserve"> </w:t>
      </w:r>
      <w:r w:rsidR="000A7AAB">
        <w:t>tout</w:t>
      </w:r>
      <w:r w:rsidR="000A7AAB" w:rsidRPr="002C4077">
        <w:t xml:space="preserve"> </w:t>
      </w:r>
      <w:r w:rsidR="000A7AAB">
        <w:t>à</w:t>
      </w:r>
      <w:r w:rsidR="000A7AAB" w:rsidRPr="002C4077">
        <w:t xml:space="preserve"> </w:t>
      </w:r>
      <w:r w:rsidR="000A7AAB">
        <w:t>fait</w:t>
      </w:r>
      <w:r w:rsidR="000A7AAB" w:rsidRPr="002C4077">
        <w:t xml:space="preserve"> </w:t>
      </w:r>
      <w:r w:rsidR="000A7AAB">
        <w:t>distingué</w:t>
      </w:r>
      <w:r w:rsidR="000A7AAB" w:rsidRPr="002C4077">
        <w:t xml:space="preserve"> </w:t>
      </w:r>
      <w:r w:rsidR="000A7AAB">
        <w:t>dans</w:t>
      </w:r>
      <w:r w:rsidR="000A7AAB" w:rsidRPr="002C4077">
        <w:t xml:space="preserve"> </w:t>
      </w:r>
      <w:r w:rsidR="000A7AAB">
        <w:t>ses</w:t>
      </w:r>
      <w:r w:rsidR="000A7AAB" w:rsidRPr="002C4077">
        <w:t xml:space="preserve"> </w:t>
      </w:r>
      <w:r w:rsidR="000A7AAB">
        <w:t>formes.</w:t>
      </w:r>
      <w:r w:rsidR="000A7AAB" w:rsidRPr="002C4077">
        <w:t xml:space="preserve"> </w:t>
      </w:r>
    </w:p>
    <w:p w:rsidR="000A7AAB" w:rsidRDefault="000A7AAB" w:rsidP="000A7AAB">
      <w:r>
        <w:t>La</w:t>
      </w:r>
      <w:r w:rsidRPr="002C4077">
        <w:t xml:space="preserve"> </w:t>
      </w:r>
      <w:r>
        <w:t>plupart</w:t>
      </w:r>
      <w:r w:rsidRPr="002C4077">
        <w:t xml:space="preserve"> </w:t>
      </w:r>
      <w:r>
        <w:t>des</w:t>
      </w:r>
      <w:r w:rsidRPr="002C4077">
        <w:t xml:space="preserve"> </w:t>
      </w:r>
      <w:r>
        <w:t>habitants</w:t>
      </w:r>
      <w:r w:rsidRPr="002C4077">
        <w:t xml:space="preserve"> </w:t>
      </w:r>
      <w:r>
        <w:t>de</w:t>
      </w:r>
      <w:r w:rsidRPr="002C4077">
        <w:t xml:space="preserve"> </w:t>
      </w:r>
      <w:r>
        <w:t>Nazareth</w:t>
      </w:r>
      <w:r w:rsidRPr="002C4077">
        <w:t xml:space="preserve"> </w:t>
      </w:r>
      <w:r>
        <w:t>s’occupent</w:t>
      </w:r>
      <w:r w:rsidRPr="002C4077">
        <w:t xml:space="preserve"> </w:t>
      </w:r>
      <w:r>
        <w:t>paisiblement</w:t>
      </w:r>
      <w:r w:rsidRPr="002C4077">
        <w:t xml:space="preserve"> </w:t>
      </w:r>
      <w:r>
        <w:t>de</w:t>
      </w:r>
      <w:r w:rsidRPr="002C4077">
        <w:t xml:space="preserve"> </w:t>
      </w:r>
      <w:r>
        <w:t>travaux</w:t>
      </w:r>
      <w:r w:rsidRPr="002C4077">
        <w:t xml:space="preserve"> </w:t>
      </w:r>
      <w:r>
        <w:t>agricoles.</w:t>
      </w:r>
      <w:r w:rsidRPr="002C4077">
        <w:t xml:space="preserve"> </w:t>
      </w:r>
      <w:r>
        <w:t>Plusieurs</w:t>
      </w:r>
      <w:r w:rsidRPr="002C4077">
        <w:t xml:space="preserve"> </w:t>
      </w:r>
      <w:r>
        <w:t>s’adonnent</w:t>
      </w:r>
      <w:r w:rsidRPr="002C4077">
        <w:t xml:space="preserve"> </w:t>
      </w:r>
      <w:r>
        <w:t>aussi</w:t>
      </w:r>
      <w:r w:rsidRPr="002C4077">
        <w:t xml:space="preserve"> </w:t>
      </w:r>
      <w:r>
        <w:t>à</w:t>
      </w:r>
      <w:r w:rsidRPr="002C4077">
        <w:t xml:space="preserve"> </w:t>
      </w:r>
      <w:r>
        <w:t>l’horticulture.</w:t>
      </w:r>
      <w:r w:rsidRPr="002C4077">
        <w:t xml:space="preserve"> </w:t>
      </w:r>
      <w:r>
        <w:t>C’est</w:t>
      </w:r>
      <w:r w:rsidRPr="002C4077">
        <w:t xml:space="preserve"> </w:t>
      </w:r>
      <w:r>
        <w:t>à</w:t>
      </w:r>
      <w:r w:rsidRPr="002C4077">
        <w:t xml:space="preserve"> </w:t>
      </w:r>
      <w:r>
        <w:t>peine</w:t>
      </w:r>
      <w:r w:rsidRPr="002C4077">
        <w:t xml:space="preserve"> </w:t>
      </w:r>
      <w:r>
        <w:t>s’il</w:t>
      </w:r>
      <w:r w:rsidRPr="002C4077">
        <w:t xml:space="preserve"> </w:t>
      </w:r>
      <w:r>
        <w:t>y</w:t>
      </w:r>
      <w:r w:rsidRPr="002C4077">
        <w:t xml:space="preserve"> </w:t>
      </w:r>
      <w:r>
        <w:t>a</w:t>
      </w:r>
      <w:r w:rsidRPr="002C4077">
        <w:t xml:space="preserve"> </w:t>
      </w:r>
      <w:r>
        <w:t>parmi</w:t>
      </w:r>
      <w:r w:rsidRPr="002C4077">
        <w:t xml:space="preserve"> </w:t>
      </w:r>
      <w:r>
        <w:t>eux</w:t>
      </w:r>
      <w:r w:rsidRPr="002C4077">
        <w:t xml:space="preserve"> </w:t>
      </w:r>
      <w:r>
        <w:t>quelques</w:t>
      </w:r>
      <w:r w:rsidRPr="002C4077">
        <w:t xml:space="preserve"> </w:t>
      </w:r>
      <w:r>
        <w:t>industriels.</w:t>
      </w:r>
      <w:r w:rsidRPr="002C4077">
        <w:t xml:space="preserve"> </w:t>
      </w:r>
      <w:r>
        <w:t>Il</w:t>
      </w:r>
      <w:r w:rsidRPr="002C4077">
        <w:t xml:space="preserve"> </w:t>
      </w:r>
      <w:r>
        <w:t>en</w:t>
      </w:r>
      <w:r w:rsidRPr="002C4077">
        <w:t xml:space="preserve"> </w:t>
      </w:r>
      <w:r w:rsidR="00425C50">
        <w:t>est</w:t>
      </w:r>
      <w:r w:rsidRPr="002C4077">
        <w:t xml:space="preserve"> </w:t>
      </w:r>
      <w:r>
        <w:t>qui</w:t>
      </w:r>
      <w:r w:rsidRPr="002C4077">
        <w:t xml:space="preserve"> </w:t>
      </w:r>
      <w:r>
        <w:t>font</w:t>
      </w:r>
      <w:r w:rsidRPr="002C4077">
        <w:t xml:space="preserve"> </w:t>
      </w:r>
      <w:r>
        <w:t>avec</w:t>
      </w:r>
      <w:r w:rsidRPr="002C4077">
        <w:t xml:space="preserve"> </w:t>
      </w:r>
      <w:r>
        <w:t>succès</w:t>
      </w:r>
      <w:r w:rsidRPr="002C4077">
        <w:t xml:space="preserve"> </w:t>
      </w:r>
      <w:r>
        <w:t>le</w:t>
      </w:r>
      <w:r w:rsidRPr="002C4077">
        <w:t xml:space="preserve"> </w:t>
      </w:r>
      <w:r>
        <w:t>commerce</w:t>
      </w:r>
      <w:r w:rsidRPr="002C4077">
        <w:t xml:space="preserve"> </w:t>
      </w:r>
      <w:r>
        <w:t>du</w:t>
      </w:r>
      <w:r w:rsidRPr="002C4077">
        <w:t xml:space="preserve"> </w:t>
      </w:r>
      <w:r>
        <w:t>grain</w:t>
      </w:r>
      <w:r w:rsidRPr="002C4077">
        <w:t xml:space="preserve"> </w:t>
      </w:r>
      <w:r>
        <w:t>ou</w:t>
      </w:r>
      <w:r w:rsidRPr="002C4077">
        <w:t xml:space="preserve"> </w:t>
      </w:r>
      <w:r>
        <w:t>du</w:t>
      </w:r>
      <w:r w:rsidRPr="002C4077">
        <w:t xml:space="preserve"> </w:t>
      </w:r>
      <w:r>
        <w:t>coton.</w:t>
      </w:r>
      <w:r w:rsidRPr="002C4077">
        <w:t xml:space="preserve"> </w:t>
      </w:r>
    </w:p>
    <w:p w:rsidR="002F7AFA" w:rsidRDefault="002F7AFA" w:rsidP="000A7AAB"/>
    <w:p w:rsidR="000A7AAB" w:rsidRDefault="000A7AAB" w:rsidP="000A7AAB">
      <w:r>
        <w:t>Le</w:t>
      </w:r>
      <w:r w:rsidRPr="002C4077">
        <w:t xml:space="preserve"> </w:t>
      </w:r>
      <w:r>
        <w:t>climat</w:t>
      </w:r>
      <w:r w:rsidRPr="002C4077">
        <w:t xml:space="preserve"> </w:t>
      </w:r>
      <w:r>
        <w:t>de</w:t>
      </w:r>
      <w:r w:rsidRPr="002C4077">
        <w:t xml:space="preserve"> </w:t>
      </w:r>
      <w:r>
        <w:t>la</w:t>
      </w:r>
      <w:r w:rsidRPr="002C4077">
        <w:t xml:space="preserve"> </w:t>
      </w:r>
      <w:r>
        <w:t>ville</w:t>
      </w:r>
      <w:r w:rsidRPr="002C4077">
        <w:t xml:space="preserve"> </w:t>
      </w:r>
      <w:r w:rsidR="00425C50">
        <w:t>est</w:t>
      </w:r>
      <w:r w:rsidRPr="002C4077">
        <w:t xml:space="preserve"> </w:t>
      </w:r>
      <w:r>
        <w:t>fort</w:t>
      </w:r>
      <w:r w:rsidRPr="002C4077">
        <w:t xml:space="preserve"> </w:t>
      </w:r>
      <w:r>
        <w:t>sain.</w:t>
      </w:r>
      <w:r w:rsidRPr="002C4077">
        <w:t xml:space="preserve"> </w:t>
      </w:r>
      <w:r>
        <w:t>La</w:t>
      </w:r>
      <w:r w:rsidRPr="002C4077">
        <w:t xml:space="preserve"> </w:t>
      </w:r>
      <w:r>
        <w:t>température</w:t>
      </w:r>
      <w:r w:rsidRPr="002C4077">
        <w:t xml:space="preserve"> </w:t>
      </w:r>
      <w:r>
        <w:t>y</w:t>
      </w:r>
      <w:r w:rsidRPr="002C4077">
        <w:t xml:space="preserve"> </w:t>
      </w:r>
      <w:r w:rsidR="00425C50">
        <w:t>est</w:t>
      </w:r>
      <w:r w:rsidRPr="002C4077">
        <w:t xml:space="preserve"> </w:t>
      </w:r>
      <w:r>
        <w:t>généralement</w:t>
      </w:r>
      <w:r w:rsidRPr="002C4077">
        <w:t xml:space="preserve"> </w:t>
      </w:r>
      <w:r>
        <w:t>douce</w:t>
      </w:r>
      <w:r w:rsidR="00B546AF">
        <w:t> ;</w:t>
      </w:r>
      <w:r w:rsidRPr="002C4077">
        <w:t xml:space="preserve"> </w:t>
      </w:r>
      <w:r>
        <w:t>car,</w:t>
      </w:r>
      <w:r w:rsidRPr="002C4077">
        <w:t xml:space="preserve"> </w:t>
      </w:r>
      <w:r>
        <w:t>d’une</w:t>
      </w:r>
      <w:r w:rsidRPr="002C4077">
        <w:t xml:space="preserve"> </w:t>
      </w:r>
      <w:r>
        <w:t>part,</w:t>
      </w:r>
      <w:r w:rsidRPr="002C4077">
        <w:t xml:space="preserve"> </w:t>
      </w:r>
      <w:r>
        <w:t>les</w:t>
      </w:r>
      <w:r w:rsidRPr="002C4077">
        <w:t xml:space="preserve"> </w:t>
      </w:r>
      <w:r>
        <w:t>collines</w:t>
      </w:r>
      <w:r w:rsidRPr="002C4077">
        <w:t xml:space="preserve"> </w:t>
      </w:r>
      <w:r>
        <w:t>environnantes</w:t>
      </w:r>
      <w:r w:rsidRPr="002C4077">
        <w:t xml:space="preserve"> </w:t>
      </w:r>
      <w:r>
        <w:t>forment</w:t>
      </w:r>
      <w:r w:rsidRPr="002C4077">
        <w:t xml:space="preserve"> </w:t>
      </w:r>
      <w:r>
        <w:t>une</w:t>
      </w:r>
      <w:r w:rsidRPr="002C4077">
        <w:t xml:space="preserve"> </w:t>
      </w:r>
      <w:r>
        <w:t>barrière</w:t>
      </w:r>
      <w:r w:rsidRPr="002C4077">
        <w:t xml:space="preserve"> </w:t>
      </w:r>
      <w:r>
        <w:t>qui</w:t>
      </w:r>
      <w:r w:rsidRPr="002C4077">
        <w:t xml:space="preserve"> </w:t>
      </w:r>
      <w:r>
        <w:t>arrête</w:t>
      </w:r>
      <w:r w:rsidRPr="002C4077">
        <w:t xml:space="preserve"> </w:t>
      </w:r>
      <w:r>
        <w:t>le</w:t>
      </w:r>
      <w:r w:rsidRPr="002C4077">
        <w:t xml:space="preserve"> </w:t>
      </w:r>
      <w:r>
        <w:t>froid</w:t>
      </w:r>
      <w:r w:rsidR="00B546AF">
        <w:t> ;</w:t>
      </w:r>
      <w:r w:rsidRPr="002C4077">
        <w:t xml:space="preserve"> </w:t>
      </w:r>
      <w:r>
        <w:t>d’autre</w:t>
      </w:r>
      <w:r w:rsidRPr="002C4077">
        <w:t xml:space="preserve"> </w:t>
      </w:r>
      <w:r>
        <w:t>part,</w:t>
      </w:r>
      <w:r w:rsidRPr="002C4077">
        <w:t xml:space="preserve"> </w:t>
      </w:r>
      <w:r>
        <w:t>la</w:t>
      </w:r>
      <w:r w:rsidRPr="002C4077">
        <w:t xml:space="preserve"> </w:t>
      </w:r>
      <w:r>
        <w:t>chaleur</w:t>
      </w:r>
      <w:r w:rsidRPr="002C4077">
        <w:t xml:space="preserve"> </w:t>
      </w:r>
      <w:r w:rsidR="00425C50">
        <w:t>est</w:t>
      </w:r>
      <w:r w:rsidRPr="002C4077">
        <w:t xml:space="preserve"> </w:t>
      </w:r>
      <w:r>
        <w:t>moins</w:t>
      </w:r>
      <w:r w:rsidRPr="002C4077">
        <w:t xml:space="preserve"> </w:t>
      </w:r>
      <w:r>
        <w:t>fatigante</w:t>
      </w:r>
      <w:r w:rsidRPr="002C4077">
        <w:t xml:space="preserve"> </w:t>
      </w:r>
      <w:r>
        <w:t>qu’une</w:t>
      </w:r>
      <w:r w:rsidRPr="002C4077">
        <w:t xml:space="preserve"> </w:t>
      </w:r>
      <w:r>
        <w:t>pareille</w:t>
      </w:r>
      <w:r w:rsidRPr="002C4077">
        <w:t xml:space="preserve"> </w:t>
      </w:r>
      <w:r>
        <w:t>position</w:t>
      </w:r>
      <w:r w:rsidRPr="002C4077">
        <w:t xml:space="preserve"> </w:t>
      </w:r>
      <w:r>
        <w:t>pourrait</w:t>
      </w:r>
      <w:r w:rsidRPr="002C4077">
        <w:t xml:space="preserve"> </w:t>
      </w:r>
      <w:r>
        <w:t>le</w:t>
      </w:r>
      <w:r w:rsidRPr="002C4077">
        <w:t xml:space="preserve"> </w:t>
      </w:r>
      <w:r>
        <w:t>faire</w:t>
      </w:r>
      <w:r w:rsidRPr="002C4077">
        <w:t xml:space="preserve"> </w:t>
      </w:r>
      <w:r>
        <w:t>craindre.</w:t>
      </w:r>
      <w:r w:rsidR="00C45B47">
        <w:t xml:space="preserve"> {</w:t>
      </w:r>
      <w:r w:rsidR="001F5257">
        <w:t>219</w:t>
      </w:r>
      <w:bookmarkStart w:id="533" w:name="p219"/>
      <w:bookmarkEnd w:id="533"/>
      <w:r w:rsidR="001F5257">
        <w:t xml:space="preserve">} </w:t>
      </w:r>
      <w:r w:rsidR="00B546AF">
        <w:t>« </w:t>
      </w:r>
      <w:r>
        <w:t>Le</w:t>
      </w:r>
      <w:r w:rsidRPr="002C4077">
        <w:t xml:space="preserve"> </w:t>
      </w:r>
      <w:r>
        <w:t>vent</w:t>
      </w:r>
      <w:r w:rsidRPr="002C4077">
        <w:t xml:space="preserve"> </w:t>
      </w:r>
      <w:r>
        <w:t>brûlant</w:t>
      </w:r>
      <w:r w:rsidRPr="002C4077">
        <w:t xml:space="preserve"> </w:t>
      </w:r>
      <w:r>
        <w:t>du</w:t>
      </w:r>
      <w:r w:rsidRPr="002C4077">
        <w:t xml:space="preserve"> </w:t>
      </w:r>
      <w:r>
        <w:t>désert</w:t>
      </w:r>
      <w:r w:rsidRPr="002C4077">
        <w:t xml:space="preserve"> </w:t>
      </w:r>
      <w:r>
        <w:t>vient-il</w:t>
      </w:r>
      <w:r w:rsidRPr="002C4077">
        <w:t xml:space="preserve"> </w:t>
      </w:r>
      <w:r>
        <w:t>à</w:t>
      </w:r>
      <w:r w:rsidRPr="002C4077">
        <w:t xml:space="preserve"> </w:t>
      </w:r>
      <w:r>
        <w:t>s’élever</w:t>
      </w:r>
      <w:r w:rsidRPr="002C4077">
        <w:t xml:space="preserve"> </w:t>
      </w:r>
      <w:r>
        <w:t>des</w:t>
      </w:r>
      <w:r w:rsidRPr="002C4077">
        <w:t xml:space="preserve"> </w:t>
      </w:r>
      <w:r>
        <w:t>régions</w:t>
      </w:r>
      <w:r w:rsidRPr="002C4077">
        <w:t xml:space="preserve"> </w:t>
      </w:r>
      <w:r>
        <w:t>du</w:t>
      </w:r>
      <w:r w:rsidRPr="002C4077">
        <w:t xml:space="preserve"> </w:t>
      </w:r>
      <w:r>
        <w:t>sud-</w:t>
      </w:r>
      <w:r w:rsidR="00425C50">
        <w:t>est</w:t>
      </w:r>
      <w:r>
        <w:t>,</w:t>
      </w:r>
      <w:r w:rsidRPr="002C4077">
        <w:t xml:space="preserve"> </w:t>
      </w:r>
      <w:r>
        <w:t>bien</w:t>
      </w:r>
      <w:r w:rsidRPr="002C4077">
        <w:t xml:space="preserve"> </w:t>
      </w:r>
      <w:r>
        <w:t>que</w:t>
      </w:r>
      <w:r w:rsidRPr="002C4077">
        <w:t xml:space="preserve"> </w:t>
      </w:r>
      <w:r>
        <w:t>ses</w:t>
      </w:r>
      <w:r w:rsidRPr="002C4077">
        <w:t xml:space="preserve"> </w:t>
      </w:r>
      <w:r>
        <w:t>ardeurs</w:t>
      </w:r>
      <w:r w:rsidRPr="002C4077">
        <w:t xml:space="preserve"> </w:t>
      </w:r>
      <w:r>
        <w:t>fanent</w:t>
      </w:r>
      <w:r w:rsidRPr="002C4077">
        <w:t xml:space="preserve"> </w:t>
      </w:r>
      <w:r>
        <w:t>tout,</w:t>
      </w:r>
      <w:r w:rsidRPr="002C4077">
        <w:t xml:space="preserve"> </w:t>
      </w:r>
      <w:r>
        <w:t>lorsqu’il</w:t>
      </w:r>
      <w:r w:rsidRPr="002C4077">
        <w:t xml:space="preserve"> </w:t>
      </w:r>
      <w:r>
        <w:t>entre</w:t>
      </w:r>
      <w:r w:rsidRPr="002C4077">
        <w:t xml:space="preserve"> </w:t>
      </w:r>
      <w:r>
        <w:t>dans</w:t>
      </w:r>
      <w:r w:rsidRPr="002C4077">
        <w:t xml:space="preserve"> </w:t>
      </w:r>
      <w:r>
        <w:t>la</w:t>
      </w:r>
      <w:r w:rsidRPr="002C4077">
        <w:t xml:space="preserve"> </w:t>
      </w:r>
      <w:r>
        <w:t>vallée</w:t>
      </w:r>
      <w:r w:rsidRPr="002C4077">
        <w:t xml:space="preserve"> </w:t>
      </w:r>
      <w:r>
        <w:t>entourée</w:t>
      </w:r>
      <w:r w:rsidRPr="002C4077">
        <w:t xml:space="preserve"> </w:t>
      </w:r>
      <w:r>
        <w:t>de</w:t>
      </w:r>
      <w:r w:rsidRPr="002C4077">
        <w:t xml:space="preserve"> </w:t>
      </w:r>
      <w:r>
        <w:t>collines</w:t>
      </w:r>
      <w:r w:rsidRPr="002C4077">
        <w:t xml:space="preserve"> </w:t>
      </w:r>
      <w:r>
        <w:t>son</w:t>
      </w:r>
      <w:r w:rsidRPr="002C4077">
        <w:t xml:space="preserve"> </w:t>
      </w:r>
      <w:r>
        <w:t>souffle</w:t>
      </w:r>
      <w:r w:rsidRPr="002C4077">
        <w:t xml:space="preserve"> </w:t>
      </w:r>
      <w:r>
        <w:t>se</w:t>
      </w:r>
      <w:r w:rsidRPr="002C4077">
        <w:t xml:space="preserve"> </w:t>
      </w:r>
      <w:r>
        <w:t>rafraîchit</w:t>
      </w:r>
      <w:r w:rsidRPr="002C4077">
        <w:t xml:space="preserve"> </w:t>
      </w:r>
      <w:r>
        <w:t>aussitôt</w:t>
      </w:r>
      <w:r w:rsidRPr="002C4077">
        <w:t xml:space="preserve"> </w:t>
      </w:r>
      <w:r>
        <w:t>et</w:t>
      </w:r>
      <w:r w:rsidRPr="002C4077">
        <w:t xml:space="preserve"> </w:t>
      </w:r>
      <w:r>
        <w:t>devient</w:t>
      </w:r>
      <w:r w:rsidRPr="002C4077">
        <w:t xml:space="preserve"> </w:t>
      </w:r>
      <w:r>
        <w:t>un</w:t>
      </w:r>
      <w:r w:rsidRPr="002C4077">
        <w:t xml:space="preserve"> </w:t>
      </w:r>
      <w:r>
        <w:t>courant</w:t>
      </w:r>
      <w:r w:rsidRPr="002C4077">
        <w:t xml:space="preserve"> </w:t>
      </w:r>
      <w:r>
        <w:t>d’air</w:t>
      </w:r>
      <w:r w:rsidRPr="002C4077">
        <w:t xml:space="preserve"> </w:t>
      </w:r>
      <w:r>
        <w:t>chaud,</w:t>
      </w:r>
      <w:r w:rsidRPr="002C4077">
        <w:t xml:space="preserve"> </w:t>
      </w:r>
      <w:r>
        <w:t>mais</w:t>
      </w:r>
      <w:r w:rsidRPr="002C4077">
        <w:t xml:space="preserve"> </w:t>
      </w:r>
      <w:r>
        <w:t>bienfaisant,</w:t>
      </w:r>
      <w:r w:rsidRPr="002C4077">
        <w:t xml:space="preserve"> </w:t>
      </w:r>
      <w:r>
        <w:t>qui</w:t>
      </w:r>
      <w:r w:rsidRPr="002C4077">
        <w:t xml:space="preserve"> </w:t>
      </w:r>
      <w:r>
        <w:t>développe</w:t>
      </w:r>
      <w:r w:rsidRPr="002C4077">
        <w:t xml:space="preserve"> </w:t>
      </w:r>
      <w:r>
        <w:t>plus</w:t>
      </w:r>
      <w:r w:rsidRPr="002C4077">
        <w:t xml:space="preserve"> </w:t>
      </w:r>
      <w:r>
        <w:t>tôt</w:t>
      </w:r>
      <w:r w:rsidRPr="002C4077">
        <w:t xml:space="preserve"> </w:t>
      </w:r>
      <w:r>
        <w:t>la</w:t>
      </w:r>
      <w:r w:rsidRPr="002C4077">
        <w:t xml:space="preserve"> </w:t>
      </w:r>
      <w:r>
        <w:t>pousse</w:t>
      </w:r>
      <w:r w:rsidRPr="002C4077">
        <w:t xml:space="preserve"> </w:t>
      </w:r>
      <w:r>
        <w:t>des</w:t>
      </w:r>
      <w:r w:rsidRPr="002C4077">
        <w:t xml:space="preserve"> </w:t>
      </w:r>
      <w:r>
        <w:t>grenades,</w:t>
      </w:r>
      <w:r w:rsidRPr="002C4077">
        <w:t xml:space="preserve"> </w:t>
      </w:r>
      <w:r>
        <w:t>et</w:t>
      </w:r>
      <w:r w:rsidRPr="002C4077">
        <w:t xml:space="preserve"> </w:t>
      </w:r>
      <w:r>
        <w:t>hâte</w:t>
      </w:r>
      <w:r w:rsidRPr="002C4077">
        <w:t xml:space="preserve"> </w:t>
      </w:r>
      <w:r>
        <w:t>la</w:t>
      </w:r>
      <w:r w:rsidRPr="002C4077">
        <w:t xml:space="preserve"> </w:t>
      </w:r>
      <w:r>
        <w:t>maturité</w:t>
      </w:r>
      <w:r w:rsidRPr="002C4077">
        <w:t xml:space="preserve"> </w:t>
      </w:r>
      <w:r>
        <w:t>des</w:t>
      </w:r>
      <w:r w:rsidRPr="002C4077">
        <w:t xml:space="preserve"> </w:t>
      </w:r>
      <w:r>
        <w:t>oranges,</w:t>
      </w:r>
      <w:r w:rsidRPr="002C4077">
        <w:t xml:space="preserve"> </w:t>
      </w:r>
      <w:r>
        <w:t>des</w:t>
      </w:r>
      <w:r w:rsidRPr="002C4077">
        <w:t xml:space="preserve"> </w:t>
      </w:r>
      <w:r>
        <w:t>vignes,</w:t>
      </w:r>
      <w:r w:rsidRPr="002C4077">
        <w:t xml:space="preserve"> </w:t>
      </w:r>
      <w:r>
        <w:t>des</w:t>
      </w:r>
      <w:bookmarkStart w:id="534" w:name="z_Nazareth_o5"/>
      <w:bookmarkEnd w:id="534"/>
      <w:r w:rsidRPr="002C4077">
        <w:t xml:space="preserve"> </w:t>
      </w:r>
      <w:r>
        <w:t>oliviers</w:t>
      </w:r>
      <w:r w:rsidR="00B91AF7">
        <w:rPr>
          <w:rStyle w:val="Appelnotedebasdep"/>
        </w:rPr>
        <w:footnoteReference w:id="727"/>
      </w:r>
      <w:r w:rsidR="00B546AF">
        <w:t> »</w:t>
      </w:r>
      <w:r>
        <w:t>.</w:t>
      </w:r>
      <w:r w:rsidRPr="002C4077">
        <w:t xml:space="preserve"> </w:t>
      </w:r>
    </w:p>
    <w:p w:rsidR="000A7AAB" w:rsidRDefault="002F7AFA" w:rsidP="002F7AFA">
      <w:pPr>
        <w:pStyle w:val="Titre2"/>
      </w:pPr>
      <w:bookmarkStart w:id="535" w:name="_Toc43882018"/>
      <w:r>
        <w:t>3.</w:t>
      </w:r>
      <w:r>
        <w:br/>
      </w:r>
      <w:r w:rsidR="000A7AAB">
        <w:t>Les</w:t>
      </w:r>
      <w:r w:rsidR="000A7AAB" w:rsidRPr="002C4077">
        <w:t xml:space="preserve"> </w:t>
      </w:r>
      <w:r w:rsidR="000A7AAB">
        <w:t>Saints</w:t>
      </w:r>
      <w:r w:rsidR="000A7AAB" w:rsidRPr="002C4077">
        <w:t xml:space="preserve"> </w:t>
      </w:r>
      <w:r w:rsidR="000A7AAB">
        <w:t>Lieux</w:t>
      </w:r>
      <w:r w:rsidR="000A7AAB" w:rsidRPr="002C4077">
        <w:t xml:space="preserve"> </w:t>
      </w:r>
      <w:r w:rsidR="000A7AAB">
        <w:t>de</w:t>
      </w:r>
      <w:r w:rsidR="000A7AAB" w:rsidRPr="002C4077">
        <w:t xml:space="preserve"> </w:t>
      </w:r>
      <w:r w:rsidR="000A7AAB">
        <w:t>Nazareth.</w:t>
      </w:r>
      <w:bookmarkStart w:id="536" w:name="a0703"/>
      <w:bookmarkEnd w:id="535"/>
      <w:bookmarkEnd w:id="536"/>
      <w:r w:rsidR="000A7AAB" w:rsidRPr="002C4077">
        <w:t xml:space="preserve"> </w:t>
      </w:r>
    </w:p>
    <w:p w:rsidR="000A7AAB" w:rsidRDefault="000A7AAB" w:rsidP="000A7AAB">
      <w:r>
        <w:t>Il</w:t>
      </w:r>
      <w:bookmarkStart w:id="537" w:name="z_Nazareth_o6"/>
      <w:bookmarkEnd w:id="537"/>
      <w:r w:rsidRPr="002C4077">
        <w:t xml:space="preserve"> </w:t>
      </w:r>
      <w:r w:rsidR="00425C50">
        <w:t>est</w:t>
      </w:r>
      <w:r w:rsidRPr="002C4077">
        <w:t xml:space="preserve"> </w:t>
      </w:r>
      <w:r>
        <w:t>temps,</w:t>
      </w:r>
      <w:r w:rsidRPr="002C4077">
        <w:t xml:space="preserve"> </w:t>
      </w:r>
      <w:r>
        <w:t>puisque</w:t>
      </w:r>
      <w:r w:rsidRPr="002C4077">
        <w:t xml:space="preserve"> </w:t>
      </w:r>
      <w:r>
        <w:t>nous</w:t>
      </w:r>
      <w:r w:rsidRPr="002C4077">
        <w:t xml:space="preserve"> </w:t>
      </w:r>
      <w:r>
        <w:t>sommes</w:t>
      </w:r>
      <w:r w:rsidRPr="002C4077">
        <w:t xml:space="preserve"> </w:t>
      </w:r>
      <w:r>
        <w:t>des</w:t>
      </w:r>
      <w:r w:rsidRPr="002C4077">
        <w:t xml:space="preserve"> </w:t>
      </w:r>
      <w:r>
        <w:t>pèlerins</w:t>
      </w:r>
      <w:r w:rsidRPr="002C4077">
        <w:t xml:space="preserve"> </w:t>
      </w:r>
      <w:r>
        <w:t>et</w:t>
      </w:r>
      <w:r w:rsidRPr="002C4077">
        <w:t xml:space="preserve"> </w:t>
      </w:r>
      <w:r>
        <w:t>non</w:t>
      </w:r>
      <w:r w:rsidRPr="002C4077">
        <w:t xml:space="preserve"> </w:t>
      </w:r>
      <w:r>
        <w:t>des,</w:t>
      </w:r>
      <w:r w:rsidRPr="002C4077">
        <w:t xml:space="preserve"> </w:t>
      </w:r>
      <w:r>
        <w:t>touristes</w:t>
      </w:r>
      <w:r w:rsidRPr="002C4077">
        <w:t xml:space="preserve"> </w:t>
      </w:r>
      <w:r>
        <w:t>vulgaires,</w:t>
      </w:r>
      <w:r w:rsidRPr="002C4077">
        <w:t xml:space="preserve"> </w:t>
      </w:r>
      <w:r>
        <w:t>de</w:t>
      </w:r>
      <w:r w:rsidRPr="002C4077">
        <w:t xml:space="preserve"> </w:t>
      </w:r>
      <w:r>
        <w:t>nous</w:t>
      </w:r>
      <w:r w:rsidRPr="002C4077">
        <w:t xml:space="preserve"> </w:t>
      </w:r>
      <w:r>
        <w:t>diriger</w:t>
      </w:r>
      <w:r w:rsidRPr="002C4077">
        <w:t xml:space="preserve"> </w:t>
      </w:r>
      <w:r>
        <w:t>vers</w:t>
      </w:r>
      <w:r w:rsidRPr="002C4077">
        <w:t xml:space="preserve"> </w:t>
      </w:r>
      <w:r>
        <w:t>ce</w:t>
      </w:r>
      <w:r w:rsidRPr="002C4077">
        <w:t xml:space="preserve"> </w:t>
      </w:r>
      <w:r>
        <w:t>que</w:t>
      </w:r>
      <w:r w:rsidRPr="002C4077">
        <w:t xml:space="preserve"> </w:t>
      </w:r>
      <w:r>
        <w:t>nous</w:t>
      </w:r>
      <w:r w:rsidRPr="002C4077">
        <w:t xml:space="preserve"> </w:t>
      </w:r>
      <w:r>
        <w:t>pouvons</w:t>
      </w:r>
      <w:r w:rsidRPr="002C4077">
        <w:t xml:space="preserve"> </w:t>
      </w:r>
      <w:r>
        <w:t>appeler</w:t>
      </w:r>
      <w:r w:rsidRPr="002C4077">
        <w:t xml:space="preserve"> </w:t>
      </w:r>
      <w:r>
        <w:t>les</w:t>
      </w:r>
      <w:r w:rsidRPr="002C4077">
        <w:t xml:space="preserve"> </w:t>
      </w:r>
      <w:r w:rsidRPr="000A34B5">
        <w:rPr>
          <w:rStyle w:val="italicus"/>
        </w:rPr>
        <w:t>Saints</w:t>
      </w:r>
      <w:r w:rsidRPr="002C4077">
        <w:t xml:space="preserve"> </w:t>
      </w:r>
      <w:r w:rsidRPr="000A34B5">
        <w:rPr>
          <w:rStyle w:val="italicus"/>
        </w:rPr>
        <w:t>Lieux</w:t>
      </w:r>
      <w:r w:rsidRPr="002C4077">
        <w:t xml:space="preserve"> </w:t>
      </w:r>
      <w:r>
        <w:t>de</w:t>
      </w:r>
      <w:r w:rsidRPr="002C4077">
        <w:t xml:space="preserve"> </w:t>
      </w:r>
      <w:r>
        <w:t>Nazareth.</w:t>
      </w:r>
      <w:r w:rsidRPr="002C4077">
        <w:t xml:space="preserve"> </w:t>
      </w:r>
      <w:r>
        <w:t>Allons</w:t>
      </w:r>
      <w:r w:rsidRPr="002C4077">
        <w:t xml:space="preserve"> </w:t>
      </w:r>
      <w:r>
        <w:t>donc</w:t>
      </w:r>
      <w:r w:rsidRPr="002C4077">
        <w:t xml:space="preserve"> </w:t>
      </w:r>
      <w:r>
        <w:t>au</w:t>
      </w:r>
      <w:r w:rsidRPr="002C4077">
        <w:t xml:space="preserve"> </w:t>
      </w:r>
      <w:r>
        <w:t>couvent</w:t>
      </w:r>
      <w:r w:rsidRPr="002C4077">
        <w:t xml:space="preserve"> </w:t>
      </w:r>
      <w:r>
        <w:t>latin.</w:t>
      </w:r>
      <w:r w:rsidRPr="002C4077">
        <w:t xml:space="preserve"> </w:t>
      </w:r>
      <w:r>
        <w:t>Ce</w:t>
      </w:r>
      <w:r w:rsidRPr="002C4077">
        <w:t xml:space="preserve"> </w:t>
      </w:r>
      <w:r>
        <w:t>sera</w:t>
      </w:r>
      <w:r w:rsidRPr="002C4077">
        <w:t xml:space="preserve"> </w:t>
      </w:r>
      <w:r>
        <w:t>chose</w:t>
      </w:r>
      <w:r w:rsidRPr="002C4077">
        <w:t xml:space="preserve"> </w:t>
      </w:r>
      <w:r>
        <w:t>facile,</w:t>
      </w:r>
      <w:r w:rsidRPr="002C4077">
        <w:t xml:space="preserve"> </w:t>
      </w:r>
      <w:r>
        <w:t>puisque</w:t>
      </w:r>
      <w:r w:rsidRPr="002C4077">
        <w:t xml:space="preserve"> </w:t>
      </w:r>
      <w:r>
        <w:t>nous</w:t>
      </w:r>
      <w:r w:rsidRPr="002C4077">
        <w:t xml:space="preserve"> </w:t>
      </w:r>
      <w:r>
        <w:t>avons</w:t>
      </w:r>
      <w:r w:rsidRPr="002C4077">
        <w:t xml:space="preserve"> </w:t>
      </w:r>
      <w:r>
        <w:t>établi</w:t>
      </w:r>
      <w:r w:rsidRPr="002C4077">
        <w:t xml:space="preserve"> </w:t>
      </w:r>
      <w:r>
        <w:t>notre</w:t>
      </w:r>
      <w:r w:rsidRPr="002C4077">
        <w:t xml:space="preserve"> </w:t>
      </w:r>
      <w:r>
        <w:t>domicile</w:t>
      </w:r>
      <w:r w:rsidRPr="002C4077">
        <w:t xml:space="preserve"> </w:t>
      </w:r>
      <w:r>
        <w:t>à</w:t>
      </w:r>
      <w:r w:rsidRPr="002C4077">
        <w:t xml:space="preserve"> </w:t>
      </w:r>
      <w:r>
        <w:t>la</w:t>
      </w:r>
      <w:r w:rsidRPr="002C4077">
        <w:t xml:space="preserve"> </w:t>
      </w:r>
      <w:r w:rsidRPr="000A34B5">
        <w:rPr>
          <w:rStyle w:val="italicus"/>
        </w:rPr>
        <w:t>Casa</w:t>
      </w:r>
      <w:r w:rsidRPr="002C4077">
        <w:t xml:space="preserve"> </w:t>
      </w:r>
      <w:r w:rsidRPr="000A34B5">
        <w:rPr>
          <w:rStyle w:val="italicus"/>
        </w:rPr>
        <w:t>Nuova,</w:t>
      </w:r>
      <w:r w:rsidRPr="002C4077">
        <w:t xml:space="preserve"> </w:t>
      </w:r>
      <w:r>
        <w:t>belle</w:t>
      </w:r>
      <w:r w:rsidRPr="002C4077">
        <w:t xml:space="preserve"> </w:t>
      </w:r>
      <w:r>
        <w:t>hôtellerie</w:t>
      </w:r>
      <w:r w:rsidRPr="002C4077">
        <w:t xml:space="preserve"> </w:t>
      </w:r>
      <w:r>
        <w:t>qui</w:t>
      </w:r>
      <w:r w:rsidRPr="002C4077">
        <w:t xml:space="preserve"> </w:t>
      </w:r>
      <w:r>
        <w:t>en</w:t>
      </w:r>
      <w:r w:rsidRPr="002C4077">
        <w:t xml:space="preserve"> </w:t>
      </w:r>
      <w:r>
        <w:t>dépend.</w:t>
      </w:r>
      <w:r w:rsidRPr="002C4077">
        <w:t xml:space="preserve"> </w:t>
      </w:r>
      <w:r>
        <w:t>Ce</w:t>
      </w:r>
      <w:r w:rsidRPr="002C4077">
        <w:t xml:space="preserve"> </w:t>
      </w:r>
      <w:r>
        <w:t>couvent,</w:t>
      </w:r>
      <w:r w:rsidRPr="002C4077">
        <w:t xml:space="preserve"> </w:t>
      </w:r>
      <w:r>
        <w:t>dont</w:t>
      </w:r>
      <w:r w:rsidRPr="002C4077">
        <w:t xml:space="preserve"> </w:t>
      </w:r>
      <w:r>
        <w:t>les</w:t>
      </w:r>
      <w:r w:rsidRPr="002C4077">
        <w:t xml:space="preserve"> </w:t>
      </w:r>
      <w:r>
        <w:t>voyageurs</w:t>
      </w:r>
      <w:r w:rsidRPr="002C4077">
        <w:t xml:space="preserve"> </w:t>
      </w:r>
      <w:r>
        <w:t>protestants</w:t>
      </w:r>
      <w:r w:rsidRPr="002C4077">
        <w:t xml:space="preserve"> </w:t>
      </w:r>
      <w:r>
        <w:t>eux-mêmes</w:t>
      </w:r>
      <w:r w:rsidRPr="002C4077">
        <w:t xml:space="preserve"> </w:t>
      </w:r>
      <w:r>
        <w:t>vantent</w:t>
      </w:r>
      <w:r w:rsidRPr="002C4077">
        <w:t xml:space="preserve"> </w:t>
      </w:r>
      <w:r>
        <w:t>volontiers</w:t>
      </w:r>
      <w:r w:rsidRPr="002C4077">
        <w:t xml:space="preserve"> </w:t>
      </w:r>
      <w:r>
        <w:t>l’hospitalité,</w:t>
      </w:r>
      <w:r w:rsidRPr="002C4077">
        <w:t xml:space="preserve"> </w:t>
      </w:r>
      <w:r w:rsidR="00425C50">
        <w:t>est</w:t>
      </w:r>
      <w:r w:rsidRPr="002C4077">
        <w:t xml:space="preserve"> </w:t>
      </w:r>
      <w:r>
        <w:t>l’un</w:t>
      </w:r>
      <w:r w:rsidRPr="002C4077">
        <w:t xml:space="preserve"> </w:t>
      </w:r>
      <w:r>
        <w:t>des</w:t>
      </w:r>
      <w:r w:rsidRPr="002C4077">
        <w:t xml:space="preserve"> </w:t>
      </w:r>
      <w:r>
        <w:t>plus</w:t>
      </w:r>
      <w:r w:rsidRPr="002C4077">
        <w:t xml:space="preserve"> </w:t>
      </w:r>
      <w:r>
        <w:t>considérables</w:t>
      </w:r>
      <w:r w:rsidRPr="002C4077">
        <w:t xml:space="preserve"> </w:t>
      </w:r>
      <w:r>
        <w:t>et</w:t>
      </w:r>
      <w:r w:rsidRPr="002C4077">
        <w:t xml:space="preserve"> </w:t>
      </w:r>
      <w:r>
        <w:t>des</w:t>
      </w:r>
      <w:r w:rsidRPr="002C4077">
        <w:t xml:space="preserve"> </w:t>
      </w:r>
      <w:r>
        <w:t>mieux</w:t>
      </w:r>
      <w:r w:rsidRPr="002C4077">
        <w:t xml:space="preserve"> </w:t>
      </w:r>
      <w:r>
        <w:t>organisés</w:t>
      </w:r>
      <w:r w:rsidRPr="002C4077">
        <w:t xml:space="preserve"> </w:t>
      </w:r>
      <w:r>
        <w:t>parmi</w:t>
      </w:r>
      <w:r w:rsidRPr="002C4077">
        <w:t xml:space="preserve"> </w:t>
      </w:r>
      <w:r>
        <w:t>ceux</w:t>
      </w:r>
      <w:r w:rsidRPr="002C4077">
        <w:t xml:space="preserve"> </w:t>
      </w:r>
      <w:r>
        <w:t>que</w:t>
      </w:r>
      <w:r w:rsidRPr="002C4077">
        <w:t xml:space="preserve"> </w:t>
      </w:r>
      <w:r>
        <w:t>les</w:t>
      </w:r>
      <w:r w:rsidRPr="002C4077">
        <w:t xml:space="preserve"> </w:t>
      </w:r>
      <w:r>
        <w:t>Pères</w:t>
      </w:r>
      <w:r w:rsidRPr="002C4077">
        <w:t xml:space="preserve"> </w:t>
      </w:r>
      <w:r>
        <w:t>Franciscains</w:t>
      </w:r>
      <w:r w:rsidRPr="002C4077">
        <w:t xml:space="preserve"> </w:t>
      </w:r>
      <w:r>
        <w:t>possèdent</w:t>
      </w:r>
      <w:r w:rsidRPr="002C4077">
        <w:t xml:space="preserve"> </w:t>
      </w:r>
      <w:r>
        <w:t>dans</w:t>
      </w:r>
      <w:r w:rsidRPr="002C4077">
        <w:t xml:space="preserve"> </w:t>
      </w:r>
      <w:r>
        <w:t>le</w:t>
      </w:r>
      <w:r w:rsidRPr="002C4077">
        <w:t xml:space="preserve"> </w:t>
      </w:r>
      <w:r>
        <w:t>Levant.</w:t>
      </w:r>
      <w:r w:rsidRPr="002C4077">
        <w:t xml:space="preserve"> </w:t>
      </w:r>
      <w:r>
        <w:t>Les</w:t>
      </w:r>
      <w:r w:rsidRPr="002C4077">
        <w:t xml:space="preserve"> </w:t>
      </w:r>
      <w:r>
        <w:t>murs</w:t>
      </w:r>
      <w:r w:rsidRPr="002C4077">
        <w:t xml:space="preserve"> </w:t>
      </w:r>
      <w:r>
        <w:t>de</w:t>
      </w:r>
      <w:r w:rsidRPr="002C4077">
        <w:t xml:space="preserve"> </w:t>
      </w:r>
      <w:r>
        <w:t>couleur</w:t>
      </w:r>
      <w:r w:rsidRPr="002C4077">
        <w:t xml:space="preserve"> </w:t>
      </w:r>
      <w:r>
        <w:t>sombre</w:t>
      </w:r>
      <w:r w:rsidRPr="002C4077">
        <w:t xml:space="preserve"> </w:t>
      </w:r>
      <w:r>
        <w:t>qui</w:t>
      </w:r>
      <w:r w:rsidRPr="002C4077">
        <w:t xml:space="preserve"> </w:t>
      </w:r>
      <w:r>
        <w:t>l’enveloppent</w:t>
      </w:r>
      <w:r w:rsidRPr="002C4077">
        <w:t xml:space="preserve"> </w:t>
      </w:r>
      <w:r>
        <w:t>de</w:t>
      </w:r>
      <w:r w:rsidRPr="002C4077">
        <w:t xml:space="preserve"> </w:t>
      </w:r>
      <w:r>
        <w:t>toutes</w:t>
      </w:r>
      <w:r w:rsidRPr="002C4077">
        <w:t xml:space="preserve"> </w:t>
      </w:r>
      <w:r>
        <w:t>parts,</w:t>
      </w:r>
      <w:r w:rsidRPr="002C4077">
        <w:t xml:space="preserve"> </w:t>
      </w:r>
      <w:r>
        <w:t>et</w:t>
      </w:r>
      <w:r w:rsidRPr="002C4077">
        <w:t xml:space="preserve"> </w:t>
      </w:r>
      <w:r>
        <w:t>les</w:t>
      </w:r>
      <w:r w:rsidRPr="002C4077">
        <w:t xml:space="preserve"> </w:t>
      </w:r>
      <w:r>
        <w:t>constructions</w:t>
      </w:r>
      <w:r w:rsidRPr="002C4077">
        <w:t xml:space="preserve"> </w:t>
      </w:r>
      <w:r>
        <w:t>massives</w:t>
      </w:r>
      <w:r w:rsidRPr="002C4077">
        <w:t xml:space="preserve"> </w:t>
      </w:r>
      <w:r>
        <w:t>dont</w:t>
      </w:r>
      <w:r w:rsidRPr="002C4077">
        <w:t xml:space="preserve"> </w:t>
      </w:r>
      <w:r>
        <w:t>il</w:t>
      </w:r>
      <w:r w:rsidRPr="002C4077">
        <w:t xml:space="preserve"> </w:t>
      </w:r>
      <w:r>
        <w:t>se</w:t>
      </w:r>
      <w:r w:rsidRPr="002C4077">
        <w:t xml:space="preserve"> </w:t>
      </w:r>
      <w:r>
        <w:t>compose</w:t>
      </w:r>
      <w:r w:rsidRPr="002C4077">
        <w:t xml:space="preserve"> </w:t>
      </w:r>
      <w:r>
        <w:t>le</w:t>
      </w:r>
      <w:r w:rsidRPr="002C4077">
        <w:t xml:space="preserve"> </w:t>
      </w:r>
      <w:r>
        <w:t>font</w:t>
      </w:r>
      <w:r w:rsidRPr="002C4077">
        <w:t xml:space="preserve"> </w:t>
      </w:r>
      <w:r>
        <w:t>ressembler</w:t>
      </w:r>
      <w:r w:rsidRPr="002C4077">
        <w:t xml:space="preserve"> </w:t>
      </w:r>
      <w:r>
        <w:t>à</w:t>
      </w:r>
      <w:r w:rsidRPr="002C4077">
        <w:t xml:space="preserve"> </w:t>
      </w:r>
      <w:r>
        <w:t>une</w:t>
      </w:r>
      <w:r w:rsidRPr="002C4077">
        <w:t xml:space="preserve"> </w:t>
      </w:r>
      <w:r>
        <w:t>forteresse</w:t>
      </w:r>
      <w:r w:rsidRPr="002C4077">
        <w:t xml:space="preserve"> </w:t>
      </w:r>
      <w:r>
        <w:t>plutôt</w:t>
      </w:r>
      <w:r w:rsidRPr="002C4077">
        <w:t xml:space="preserve"> </w:t>
      </w:r>
      <w:r>
        <w:t>qu’à</w:t>
      </w:r>
      <w:r w:rsidRPr="002C4077">
        <w:t xml:space="preserve"> </w:t>
      </w:r>
      <w:r>
        <w:t>un</w:t>
      </w:r>
      <w:r w:rsidRPr="002C4077">
        <w:t xml:space="preserve"> </w:t>
      </w:r>
      <w:r>
        <w:t>doux</w:t>
      </w:r>
      <w:r w:rsidRPr="002C4077">
        <w:t xml:space="preserve"> </w:t>
      </w:r>
      <w:r>
        <w:t>asile</w:t>
      </w:r>
      <w:r w:rsidRPr="002C4077">
        <w:t xml:space="preserve"> </w:t>
      </w:r>
      <w:r>
        <w:t>de</w:t>
      </w:r>
      <w:r w:rsidRPr="002C4077">
        <w:t xml:space="preserve"> </w:t>
      </w:r>
      <w:r>
        <w:t>paix</w:t>
      </w:r>
      <w:r w:rsidRPr="002C4077">
        <w:t xml:space="preserve"> </w:t>
      </w:r>
      <w:r>
        <w:t>et</w:t>
      </w:r>
      <w:r w:rsidRPr="002C4077">
        <w:t xml:space="preserve"> </w:t>
      </w:r>
      <w:r>
        <w:t>de</w:t>
      </w:r>
      <w:r w:rsidRPr="002C4077">
        <w:t xml:space="preserve"> </w:t>
      </w:r>
      <w:r>
        <w:t>bénédiction.</w:t>
      </w:r>
      <w:r w:rsidRPr="002C4077">
        <w:t xml:space="preserve"> </w:t>
      </w:r>
      <w:r>
        <w:t>Mais</w:t>
      </w:r>
      <w:r w:rsidRPr="002C4077">
        <w:t xml:space="preserve"> </w:t>
      </w:r>
      <w:r>
        <w:t>telle</w:t>
      </w:r>
      <w:r w:rsidRPr="002C4077">
        <w:t xml:space="preserve"> </w:t>
      </w:r>
      <w:r w:rsidR="00425C50">
        <w:t>est</w:t>
      </w:r>
      <w:r w:rsidRPr="002C4077">
        <w:t xml:space="preserve"> </w:t>
      </w:r>
      <w:r>
        <w:t>la</w:t>
      </w:r>
      <w:r w:rsidRPr="002C4077">
        <w:t xml:space="preserve"> </w:t>
      </w:r>
      <w:r>
        <w:t>forme</w:t>
      </w:r>
      <w:r w:rsidRPr="002C4077">
        <w:t xml:space="preserve"> </w:t>
      </w:r>
      <w:r>
        <w:t>de</w:t>
      </w:r>
      <w:r w:rsidRPr="002C4077">
        <w:t xml:space="preserve"> </w:t>
      </w:r>
      <w:r>
        <w:t>tous</w:t>
      </w:r>
      <w:r w:rsidRPr="002C4077">
        <w:t xml:space="preserve"> </w:t>
      </w:r>
      <w:r>
        <w:t>les</w:t>
      </w:r>
      <w:r w:rsidRPr="002C4077">
        <w:t xml:space="preserve"> </w:t>
      </w:r>
      <w:r>
        <w:t>établissements</w:t>
      </w:r>
      <w:r w:rsidRPr="002C4077">
        <w:t xml:space="preserve"> </w:t>
      </w:r>
      <w:r>
        <w:t>du</w:t>
      </w:r>
      <w:r w:rsidRPr="002C4077">
        <w:t xml:space="preserve"> </w:t>
      </w:r>
      <w:r>
        <w:t>même</w:t>
      </w:r>
      <w:r w:rsidRPr="002C4077">
        <w:t xml:space="preserve"> </w:t>
      </w:r>
      <w:r>
        <w:t>g</w:t>
      </w:r>
      <w:r w:rsidR="002F7AFA">
        <w:t>enre</w:t>
      </w:r>
      <w:r w:rsidR="002F7AFA" w:rsidRPr="002C4077">
        <w:t xml:space="preserve"> </w:t>
      </w:r>
      <w:r w:rsidR="002F7AFA">
        <w:t>en</w:t>
      </w:r>
      <w:r w:rsidR="002F7AFA" w:rsidRPr="002C4077">
        <w:t xml:space="preserve"> </w:t>
      </w:r>
      <w:r w:rsidR="002F7AFA">
        <w:t>Égypte</w:t>
      </w:r>
      <w:r w:rsidR="002F7AFA" w:rsidRPr="002C4077">
        <w:t xml:space="preserve"> </w:t>
      </w:r>
      <w:r w:rsidR="002F7AFA">
        <w:t>et</w:t>
      </w:r>
      <w:r w:rsidR="002F7AFA" w:rsidRPr="002C4077">
        <w:t xml:space="preserve"> </w:t>
      </w:r>
      <w:r w:rsidR="002F7AFA">
        <w:t>en</w:t>
      </w:r>
      <w:r w:rsidR="002F7AFA" w:rsidRPr="002C4077">
        <w:t xml:space="preserve"> </w:t>
      </w:r>
      <w:r w:rsidR="002F7AFA">
        <w:t>Syrie.</w:t>
      </w:r>
      <w:r w:rsidR="002F7AFA" w:rsidRPr="002C4077">
        <w:t xml:space="preserve"> </w:t>
      </w:r>
      <w:r w:rsidR="002F7AFA">
        <w:t>Il</w:t>
      </w:r>
      <w:r w:rsidR="002F7AFA" w:rsidRPr="002C4077">
        <w:t xml:space="preserve"> </w:t>
      </w:r>
      <w:r>
        <w:t>fallait</w:t>
      </w:r>
      <w:r w:rsidRPr="002C4077">
        <w:t xml:space="preserve"> </w:t>
      </w:r>
      <w:r>
        <w:t>bien</w:t>
      </w:r>
      <w:r w:rsidRPr="002C4077">
        <w:t xml:space="preserve"> </w:t>
      </w:r>
      <w:r>
        <w:t>que</w:t>
      </w:r>
      <w:r w:rsidRPr="002C4077">
        <w:t xml:space="preserve"> </w:t>
      </w:r>
      <w:r>
        <w:t>les</w:t>
      </w:r>
      <w:r w:rsidRPr="002C4077">
        <w:t xml:space="preserve"> </w:t>
      </w:r>
      <w:r>
        <w:t>moines</w:t>
      </w:r>
      <w:r w:rsidRPr="002C4077">
        <w:t xml:space="preserve"> </w:t>
      </w:r>
      <w:r>
        <w:t>se</w:t>
      </w:r>
      <w:r w:rsidRPr="002C4077">
        <w:t xml:space="preserve"> </w:t>
      </w:r>
      <w:r>
        <w:t>défendissent</w:t>
      </w:r>
      <w:r w:rsidRPr="002C4077">
        <w:t xml:space="preserve"> </w:t>
      </w:r>
      <w:r>
        <w:t>contre</w:t>
      </w:r>
      <w:r w:rsidRPr="002C4077">
        <w:t xml:space="preserve"> </w:t>
      </w:r>
      <w:r>
        <w:t>les</w:t>
      </w:r>
      <w:r w:rsidRPr="002C4077">
        <w:t xml:space="preserve"> </w:t>
      </w:r>
      <w:r>
        <w:t>voleurs</w:t>
      </w:r>
      <w:r w:rsidRPr="002C4077">
        <w:t xml:space="preserve"> </w:t>
      </w:r>
      <w:r w:rsidR="003B53FD">
        <w:t>arabes</w:t>
      </w:r>
      <w:r w:rsidRPr="002C4077">
        <w:t xml:space="preserve"> </w:t>
      </w:r>
      <w:r>
        <w:t>et</w:t>
      </w:r>
      <w:r w:rsidRPr="002C4077">
        <w:t xml:space="preserve"> </w:t>
      </w:r>
      <w:r>
        <w:t>leurs</w:t>
      </w:r>
      <w:r w:rsidRPr="002C4077">
        <w:t xml:space="preserve"> </w:t>
      </w:r>
      <w:r>
        <w:t>fréquentes</w:t>
      </w:r>
      <w:r w:rsidRPr="002C4077">
        <w:t xml:space="preserve"> </w:t>
      </w:r>
      <w:r>
        <w:t>incursions</w:t>
      </w:r>
      <w:r w:rsidR="00B546AF">
        <w:t> ;</w:t>
      </w:r>
      <w:r w:rsidR="00C45B47">
        <w:t xml:space="preserve"> {</w:t>
      </w:r>
      <w:r w:rsidR="001F5257">
        <w:t>220</w:t>
      </w:r>
      <w:bookmarkStart w:id="538" w:name="p220"/>
      <w:bookmarkEnd w:id="538"/>
      <w:r w:rsidR="001F5257">
        <w:t xml:space="preserve">} </w:t>
      </w:r>
      <w:r>
        <w:t>ils</w:t>
      </w:r>
      <w:r w:rsidRPr="002C4077">
        <w:t xml:space="preserve"> </w:t>
      </w:r>
      <w:r>
        <w:t>avaient</w:t>
      </w:r>
      <w:r w:rsidRPr="002C4077">
        <w:t xml:space="preserve"> </w:t>
      </w:r>
      <w:r>
        <w:t>à</w:t>
      </w:r>
      <w:r w:rsidRPr="002C4077">
        <w:t xml:space="preserve"> </w:t>
      </w:r>
      <w:r>
        <w:t>se</w:t>
      </w:r>
      <w:r w:rsidRPr="002C4077">
        <w:t xml:space="preserve"> </w:t>
      </w:r>
      <w:r>
        <w:t>défendre</w:t>
      </w:r>
      <w:r w:rsidRPr="002C4077">
        <w:t xml:space="preserve"> </w:t>
      </w:r>
      <w:r>
        <w:t>aussi</w:t>
      </w:r>
      <w:r w:rsidRPr="002C4077">
        <w:t xml:space="preserve"> </w:t>
      </w:r>
      <w:r>
        <w:t>contre</w:t>
      </w:r>
      <w:r w:rsidRPr="002C4077">
        <w:t xml:space="preserve"> </w:t>
      </w:r>
      <w:r>
        <w:t>les</w:t>
      </w:r>
      <w:r w:rsidRPr="002C4077">
        <w:t xml:space="preserve"> </w:t>
      </w:r>
      <w:r>
        <w:t>hostilités</w:t>
      </w:r>
      <w:r w:rsidRPr="002C4077">
        <w:t xml:space="preserve"> </w:t>
      </w:r>
      <w:r>
        <w:t>parfois</w:t>
      </w:r>
      <w:r w:rsidRPr="002C4077">
        <w:t xml:space="preserve"> </w:t>
      </w:r>
      <w:r>
        <w:t>plus</w:t>
      </w:r>
      <w:r w:rsidRPr="002C4077">
        <w:t xml:space="preserve"> </w:t>
      </w:r>
      <w:r>
        <w:t>dangereuses</w:t>
      </w:r>
      <w:r w:rsidRPr="002C4077">
        <w:t xml:space="preserve"> </w:t>
      </w:r>
      <w:r>
        <w:t>encore</w:t>
      </w:r>
      <w:r w:rsidRPr="002C4077">
        <w:t xml:space="preserve"> </w:t>
      </w:r>
      <w:r>
        <w:t>du</w:t>
      </w:r>
      <w:r w:rsidRPr="002C4077">
        <w:t xml:space="preserve"> </w:t>
      </w:r>
      <w:r>
        <w:t>fanatisme</w:t>
      </w:r>
      <w:r w:rsidRPr="002C4077">
        <w:t xml:space="preserve"> </w:t>
      </w:r>
      <w:r>
        <w:t>schismatique</w:t>
      </w:r>
      <w:r w:rsidRPr="002C4077">
        <w:t xml:space="preserve"> </w:t>
      </w:r>
      <w:r>
        <w:t>ou</w:t>
      </w:r>
      <w:r w:rsidRPr="002C4077">
        <w:t xml:space="preserve"> </w:t>
      </w:r>
      <w:r>
        <w:t>musulman.</w:t>
      </w:r>
      <w:r w:rsidRPr="002C4077">
        <w:t xml:space="preserve"> </w:t>
      </w:r>
    </w:p>
    <w:p w:rsidR="002F7AFA" w:rsidRDefault="002F7AFA" w:rsidP="000A7AAB"/>
    <w:p w:rsidR="000A7AAB" w:rsidRDefault="000A7AAB" w:rsidP="000A7AAB">
      <w:r>
        <w:lastRenderedPageBreak/>
        <w:t>C’est</w:t>
      </w:r>
      <w:bookmarkStart w:id="539" w:name="z_Annonciation_o1"/>
      <w:bookmarkEnd w:id="539"/>
      <w:r w:rsidRPr="002C4077">
        <w:t xml:space="preserve"> </w:t>
      </w:r>
      <w:r>
        <w:t>là,</w:t>
      </w:r>
      <w:r w:rsidRPr="002C4077">
        <w:t xml:space="preserve"> </w:t>
      </w:r>
      <w:r>
        <w:t>à</w:t>
      </w:r>
      <w:r w:rsidRPr="002C4077">
        <w:t xml:space="preserve"> </w:t>
      </w:r>
      <w:r>
        <w:t>peine</w:t>
      </w:r>
      <w:r w:rsidRPr="002C4077">
        <w:t xml:space="preserve"> </w:t>
      </w:r>
      <w:r>
        <w:t>indiquée</w:t>
      </w:r>
      <w:r w:rsidRPr="002C4077">
        <w:t xml:space="preserve"> </w:t>
      </w:r>
      <w:r>
        <w:t>au</w:t>
      </w:r>
      <w:r w:rsidRPr="002C4077">
        <w:t xml:space="preserve"> </w:t>
      </w:r>
      <w:r>
        <w:t>dehors</w:t>
      </w:r>
      <w:r w:rsidRPr="002C4077">
        <w:t xml:space="preserve"> </w:t>
      </w:r>
      <w:r>
        <w:t>par</w:t>
      </w:r>
      <w:r w:rsidRPr="002C4077">
        <w:t xml:space="preserve"> </w:t>
      </w:r>
      <w:r>
        <w:t>un</w:t>
      </w:r>
      <w:r w:rsidRPr="002C4077">
        <w:t xml:space="preserve"> </w:t>
      </w:r>
      <w:r>
        <w:t>modeste</w:t>
      </w:r>
      <w:r w:rsidRPr="002C4077">
        <w:t xml:space="preserve"> </w:t>
      </w:r>
      <w:r>
        <w:t>campanile,</w:t>
      </w:r>
      <w:r w:rsidRPr="002C4077">
        <w:t xml:space="preserve"> </w:t>
      </w:r>
      <w:r>
        <w:t>que</w:t>
      </w:r>
      <w:r w:rsidRPr="002C4077">
        <w:t xml:space="preserve"> </w:t>
      </w:r>
      <w:r>
        <w:t>se</w:t>
      </w:r>
      <w:r w:rsidRPr="002C4077">
        <w:t xml:space="preserve"> </w:t>
      </w:r>
      <w:r>
        <w:t>trouve</w:t>
      </w:r>
      <w:r w:rsidRPr="002C4077">
        <w:t xml:space="preserve"> </w:t>
      </w:r>
      <w:r>
        <w:t>l’église</w:t>
      </w:r>
      <w:r w:rsidRPr="002C4077">
        <w:t xml:space="preserve"> </w:t>
      </w:r>
      <w:r>
        <w:t>de</w:t>
      </w:r>
      <w:r w:rsidRPr="002C4077">
        <w:t xml:space="preserve"> </w:t>
      </w:r>
      <w:r>
        <w:t>l’Annonciation,</w:t>
      </w:r>
      <w:r w:rsidRPr="002C4077">
        <w:t xml:space="preserve"> </w:t>
      </w:r>
      <w:r>
        <w:t>et,</w:t>
      </w:r>
      <w:r w:rsidRPr="002C4077">
        <w:t xml:space="preserve"> </w:t>
      </w:r>
      <w:r>
        <w:t>dans</w:t>
      </w:r>
      <w:r w:rsidRPr="002C4077">
        <w:t xml:space="preserve"> </w:t>
      </w:r>
      <w:r>
        <w:t>celte</w:t>
      </w:r>
      <w:r w:rsidRPr="002C4077">
        <w:t xml:space="preserve"> </w:t>
      </w:r>
      <w:r>
        <w:t>église,</w:t>
      </w:r>
      <w:r w:rsidRPr="002C4077">
        <w:t xml:space="preserve"> </w:t>
      </w:r>
      <w:r>
        <w:t>la</w:t>
      </w:r>
      <w:r w:rsidRPr="002C4077">
        <w:t xml:space="preserve"> </w:t>
      </w:r>
      <w:r>
        <w:t>grotte</w:t>
      </w:r>
      <w:r w:rsidRPr="002C4077">
        <w:t xml:space="preserve"> </w:t>
      </w:r>
      <w:r>
        <w:t>où,</w:t>
      </w:r>
      <w:r w:rsidRPr="002C4077">
        <w:t xml:space="preserve"> </w:t>
      </w:r>
      <w:r>
        <w:t>suivant</w:t>
      </w:r>
      <w:r w:rsidRPr="002C4077">
        <w:t xml:space="preserve"> </w:t>
      </w:r>
      <w:r>
        <w:t>une</w:t>
      </w:r>
      <w:r w:rsidRPr="002C4077">
        <w:t xml:space="preserve"> </w:t>
      </w:r>
      <w:r>
        <w:t>tradition</w:t>
      </w:r>
      <w:r w:rsidRPr="002C4077">
        <w:t xml:space="preserve"> </w:t>
      </w:r>
      <w:r>
        <w:t>des</w:t>
      </w:r>
      <w:r w:rsidRPr="002C4077">
        <w:t xml:space="preserve"> </w:t>
      </w:r>
      <w:r>
        <w:t>plus</w:t>
      </w:r>
      <w:r w:rsidRPr="002C4077">
        <w:t xml:space="preserve"> </w:t>
      </w:r>
      <w:r>
        <w:t>vénérables,</w:t>
      </w:r>
      <w:r w:rsidRPr="002C4077">
        <w:t xml:space="preserve"> </w:t>
      </w:r>
      <w:r>
        <w:t>l’Ange</w:t>
      </w:r>
      <w:r w:rsidRPr="002C4077">
        <w:t xml:space="preserve"> </w:t>
      </w:r>
      <w:r>
        <w:t>apparut</w:t>
      </w:r>
      <w:r w:rsidRPr="002C4077">
        <w:t xml:space="preserve"> </w:t>
      </w:r>
      <w:r>
        <w:t>à</w:t>
      </w:r>
      <w:r w:rsidRPr="002C4077">
        <w:t xml:space="preserve"> </w:t>
      </w:r>
      <w:r>
        <w:t>Marie</w:t>
      </w:r>
      <w:r w:rsidRPr="002C4077">
        <w:t xml:space="preserve"> </w:t>
      </w:r>
      <w:r>
        <w:t>pour</w:t>
      </w:r>
      <w:r w:rsidRPr="002C4077">
        <w:t xml:space="preserve"> </w:t>
      </w:r>
      <w:r>
        <w:t>lui</w:t>
      </w:r>
      <w:r w:rsidRPr="002C4077">
        <w:t xml:space="preserve"> </w:t>
      </w:r>
      <w:r>
        <w:t>apporter</w:t>
      </w:r>
      <w:r w:rsidRPr="002C4077">
        <w:t xml:space="preserve"> </w:t>
      </w:r>
      <w:r>
        <w:t>le</w:t>
      </w:r>
      <w:r w:rsidRPr="002C4077">
        <w:t xml:space="preserve"> </w:t>
      </w:r>
      <w:r>
        <w:t>divin</w:t>
      </w:r>
      <w:r w:rsidRPr="002C4077">
        <w:t xml:space="preserve"> </w:t>
      </w:r>
      <w:r>
        <w:t>message.</w:t>
      </w:r>
      <w:r w:rsidRPr="002C4077">
        <w:t xml:space="preserve"> </w:t>
      </w:r>
    </w:p>
    <w:p w:rsidR="000A7AAB" w:rsidRDefault="000A7AAB" w:rsidP="000A7AAB">
      <w:r>
        <w:t>Après</w:t>
      </w:r>
      <w:r w:rsidRPr="002C4077">
        <w:t xml:space="preserve"> </w:t>
      </w:r>
      <w:r>
        <w:t>le</w:t>
      </w:r>
      <w:r w:rsidRPr="002C4077">
        <w:t xml:space="preserve"> </w:t>
      </w:r>
      <w:r>
        <w:t>Saint-Sépulcre,</w:t>
      </w:r>
      <w:r w:rsidRPr="002C4077">
        <w:t xml:space="preserve"> </w:t>
      </w:r>
      <w:r>
        <w:t>la</w:t>
      </w:r>
      <w:r w:rsidRPr="002C4077">
        <w:t xml:space="preserve"> </w:t>
      </w:r>
      <w:r>
        <w:t>Syrie</w:t>
      </w:r>
      <w:r w:rsidRPr="002C4077">
        <w:t xml:space="preserve"> </w:t>
      </w:r>
      <w:r>
        <w:t>n’a</w:t>
      </w:r>
      <w:r w:rsidRPr="002C4077">
        <w:t xml:space="preserve"> </w:t>
      </w:r>
      <w:r>
        <w:t>pas</w:t>
      </w:r>
      <w:r w:rsidRPr="002C4077">
        <w:t xml:space="preserve"> </w:t>
      </w:r>
      <w:r>
        <w:t>de</w:t>
      </w:r>
      <w:r w:rsidRPr="002C4077">
        <w:t xml:space="preserve"> </w:t>
      </w:r>
      <w:r>
        <w:t>plus</w:t>
      </w:r>
      <w:r w:rsidRPr="002C4077">
        <w:t xml:space="preserve"> </w:t>
      </w:r>
      <w:r>
        <w:t>beau</w:t>
      </w:r>
      <w:r w:rsidRPr="002C4077">
        <w:t xml:space="preserve"> </w:t>
      </w:r>
      <w:r>
        <w:t>temple</w:t>
      </w:r>
      <w:r w:rsidRPr="002C4077">
        <w:t xml:space="preserve"> </w:t>
      </w:r>
      <w:r>
        <w:t>chrétien</w:t>
      </w:r>
      <w:r w:rsidRPr="002C4077">
        <w:t xml:space="preserve"> </w:t>
      </w:r>
      <w:r>
        <w:t>que</w:t>
      </w:r>
      <w:r w:rsidRPr="002C4077">
        <w:t xml:space="preserve"> </w:t>
      </w:r>
      <w:r w:rsidR="003B53FD">
        <w:t>celui</w:t>
      </w:r>
      <w:r w:rsidRPr="002C4077">
        <w:t xml:space="preserve"> </w:t>
      </w:r>
      <w:r>
        <w:t>de</w:t>
      </w:r>
      <w:r w:rsidRPr="002C4077">
        <w:t xml:space="preserve"> </w:t>
      </w:r>
      <w:r>
        <w:t>l’Annonciation.</w:t>
      </w:r>
      <w:r w:rsidRPr="002C4077">
        <w:t xml:space="preserve"> </w:t>
      </w:r>
      <w:r>
        <w:t>Il</w:t>
      </w:r>
      <w:r w:rsidRPr="002C4077">
        <w:t xml:space="preserve"> </w:t>
      </w:r>
      <w:r w:rsidR="00425C50">
        <w:t>est</w:t>
      </w:r>
      <w:r w:rsidRPr="002C4077">
        <w:t xml:space="preserve"> </w:t>
      </w:r>
      <w:r>
        <w:t>bâti</w:t>
      </w:r>
      <w:r w:rsidRPr="002C4077">
        <w:t xml:space="preserve"> </w:t>
      </w:r>
      <w:r>
        <w:t>d’après</w:t>
      </w:r>
      <w:r w:rsidRPr="002C4077">
        <w:t xml:space="preserve"> </w:t>
      </w:r>
      <w:r>
        <w:t>le</w:t>
      </w:r>
      <w:r w:rsidRPr="002C4077">
        <w:t xml:space="preserve"> </w:t>
      </w:r>
      <w:r>
        <w:t>style</w:t>
      </w:r>
      <w:r w:rsidRPr="002C4077">
        <w:t xml:space="preserve"> </w:t>
      </w:r>
      <w:r w:rsidR="006F72A8">
        <w:t>italien</w:t>
      </w:r>
      <w:r w:rsidR="006F72A8" w:rsidRPr="002C4077">
        <w:t xml:space="preserve"> </w:t>
      </w:r>
      <w:r w:rsidR="006F72A8">
        <w:t>moderne.</w:t>
      </w:r>
      <w:r w:rsidR="006F72A8" w:rsidRPr="002C4077">
        <w:t xml:space="preserve"> </w:t>
      </w:r>
      <w:r w:rsidR="006F72A8">
        <w:t>N’êt</w:t>
      </w:r>
      <w:r>
        <w:t>es-vous</w:t>
      </w:r>
      <w:r w:rsidRPr="002C4077">
        <w:t xml:space="preserve"> </w:t>
      </w:r>
      <w:r>
        <w:t>point</w:t>
      </w:r>
      <w:r w:rsidRPr="002C4077">
        <w:t xml:space="preserve"> </w:t>
      </w:r>
      <w:r>
        <w:t>surpris</w:t>
      </w:r>
      <w:r w:rsidRPr="002C4077">
        <w:t xml:space="preserve"> </w:t>
      </w:r>
      <w:r>
        <w:t>tout</w:t>
      </w:r>
      <w:r w:rsidRPr="002C4077">
        <w:t xml:space="preserve"> </w:t>
      </w:r>
      <w:r>
        <w:t>d’abord</w:t>
      </w:r>
      <w:r w:rsidRPr="002C4077">
        <w:t xml:space="preserve"> </w:t>
      </w:r>
      <w:r>
        <w:t>de</w:t>
      </w:r>
      <w:r w:rsidRPr="002C4077">
        <w:t xml:space="preserve"> </w:t>
      </w:r>
      <w:r>
        <w:t>voir</w:t>
      </w:r>
      <w:r w:rsidRPr="002C4077">
        <w:t xml:space="preserve"> </w:t>
      </w:r>
      <w:r>
        <w:t>que</w:t>
      </w:r>
      <w:r w:rsidRPr="002C4077">
        <w:t xml:space="preserve"> </w:t>
      </w:r>
      <w:r>
        <w:t>ses</w:t>
      </w:r>
      <w:r w:rsidRPr="002C4077">
        <w:t xml:space="preserve"> </w:t>
      </w:r>
      <w:r>
        <w:t>dimensions</w:t>
      </w:r>
      <w:r w:rsidRPr="002C4077">
        <w:t xml:space="preserve"> </w:t>
      </w:r>
      <w:r>
        <w:t>sont</w:t>
      </w:r>
      <w:r w:rsidRPr="002C4077">
        <w:t xml:space="preserve"> </w:t>
      </w:r>
      <w:r>
        <w:t>peu</w:t>
      </w:r>
      <w:r w:rsidRPr="002C4077">
        <w:t xml:space="preserve"> </w:t>
      </w:r>
      <w:r>
        <w:t>proportionnées</w:t>
      </w:r>
      <w:r w:rsidR="00B546AF">
        <w:t> ?</w:t>
      </w:r>
      <w:r w:rsidRPr="002C4077">
        <w:t xml:space="preserve"> </w:t>
      </w:r>
      <w:r>
        <w:t>En</w:t>
      </w:r>
      <w:r w:rsidRPr="002C4077">
        <w:t xml:space="preserve"> </w:t>
      </w:r>
      <w:r>
        <w:t>effet,</w:t>
      </w:r>
      <w:r w:rsidRPr="002C4077">
        <w:t xml:space="preserve"> </w:t>
      </w:r>
      <w:r>
        <w:t>sa</w:t>
      </w:r>
      <w:r w:rsidRPr="002C4077">
        <w:t xml:space="preserve"> </w:t>
      </w:r>
      <w:r>
        <w:t>largeur</w:t>
      </w:r>
      <w:r w:rsidRPr="002C4077">
        <w:t xml:space="preserve"> </w:t>
      </w:r>
      <w:r w:rsidR="00425C50">
        <w:t>est</w:t>
      </w:r>
      <w:r w:rsidRPr="002C4077">
        <w:t xml:space="preserve"> </w:t>
      </w:r>
      <w:r>
        <w:t>presque</w:t>
      </w:r>
      <w:r w:rsidRPr="002C4077">
        <w:t xml:space="preserve"> </w:t>
      </w:r>
      <w:r>
        <w:t>égale</w:t>
      </w:r>
      <w:r w:rsidRPr="002C4077">
        <w:t xml:space="preserve"> </w:t>
      </w:r>
      <w:r>
        <w:t>à</w:t>
      </w:r>
      <w:r w:rsidRPr="002C4077">
        <w:t xml:space="preserve"> </w:t>
      </w:r>
      <w:r>
        <w:t>sa</w:t>
      </w:r>
      <w:r w:rsidRPr="002C4077">
        <w:t xml:space="preserve"> </w:t>
      </w:r>
      <w:r>
        <w:t>profondeur.</w:t>
      </w:r>
      <w:r w:rsidRPr="002C4077">
        <w:t xml:space="preserve"> </w:t>
      </w:r>
      <w:r>
        <w:t>Mais</w:t>
      </w:r>
      <w:r w:rsidRPr="002C4077">
        <w:t xml:space="preserve"> </w:t>
      </w:r>
      <w:r>
        <w:t>tout</w:t>
      </w:r>
      <w:r w:rsidRPr="002C4077">
        <w:t xml:space="preserve"> </w:t>
      </w:r>
      <w:r>
        <w:t>s’explique</w:t>
      </w:r>
      <w:r w:rsidRPr="002C4077">
        <w:t xml:space="preserve"> </w:t>
      </w:r>
      <w:r>
        <w:t>lorsqu’on</w:t>
      </w:r>
      <w:r w:rsidRPr="002C4077">
        <w:t xml:space="preserve"> </w:t>
      </w:r>
      <w:r>
        <w:t>nous</w:t>
      </w:r>
      <w:r w:rsidRPr="002C4077">
        <w:t xml:space="preserve"> </w:t>
      </w:r>
      <w:r>
        <w:t>dit</w:t>
      </w:r>
      <w:r w:rsidRPr="002C4077">
        <w:t xml:space="preserve"> </w:t>
      </w:r>
      <w:r>
        <w:t>que</w:t>
      </w:r>
      <w:r w:rsidRPr="002C4077">
        <w:t xml:space="preserve"> </w:t>
      </w:r>
      <w:r>
        <w:t>les</w:t>
      </w:r>
      <w:r w:rsidRPr="002C4077">
        <w:t xml:space="preserve"> </w:t>
      </w:r>
      <w:r>
        <w:t>malheurs</w:t>
      </w:r>
      <w:r w:rsidRPr="002C4077">
        <w:t xml:space="preserve"> </w:t>
      </w:r>
      <w:r>
        <w:t>des</w:t>
      </w:r>
      <w:r w:rsidRPr="002C4077">
        <w:t xml:space="preserve"> </w:t>
      </w:r>
      <w:r>
        <w:t>temps</w:t>
      </w:r>
      <w:r w:rsidRPr="002C4077">
        <w:t xml:space="preserve"> </w:t>
      </w:r>
      <w:r>
        <w:t>ont</w:t>
      </w:r>
      <w:r w:rsidRPr="002C4077">
        <w:t xml:space="preserve"> </w:t>
      </w:r>
      <w:r>
        <w:t>empêché</w:t>
      </w:r>
      <w:r w:rsidRPr="002C4077">
        <w:t xml:space="preserve"> </w:t>
      </w:r>
      <w:r>
        <w:t>ses</w:t>
      </w:r>
      <w:r w:rsidRPr="002C4077">
        <w:t xml:space="preserve"> </w:t>
      </w:r>
      <w:r>
        <w:t>pieux</w:t>
      </w:r>
      <w:r w:rsidRPr="002C4077">
        <w:t xml:space="preserve"> </w:t>
      </w:r>
      <w:r>
        <w:t>fondateurs</w:t>
      </w:r>
      <w:r w:rsidRPr="002C4077">
        <w:t xml:space="preserve"> </w:t>
      </w:r>
      <w:r>
        <w:t>de</w:t>
      </w:r>
      <w:r w:rsidRPr="002C4077">
        <w:t xml:space="preserve"> </w:t>
      </w:r>
      <w:r>
        <w:t>l’achever.</w:t>
      </w:r>
      <w:r w:rsidRPr="002C4077">
        <w:t xml:space="preserve"> </w:t>
      </w:r>
      <w:r>
        <w:t>L’intérieur</w:t>
      </w:r>
      <w:r w:rsidRPr="002C4077">
        <w:t xml:space="preserve"> </w:t>
      </w:r>
      <w:r w:rsidR="00425C50">
        <w:t>est</w:t>
      </w:r>
      <w:r w:rsidRPr="002C4077">
        <w:t xml:space="preserve"> </w:t>
      </w:r>
      <w:r>
        <w:t>richement</w:t>
      </w:r>
      <w:r w:rsidRPr="002C4077">
        <w:t xml:space="preserve"> </w:t>
      </w:r>
      <w:r>
        <w:t>orné</w:t>
      </w:r>
      <w:r w:rsidR="00B546AF">
        <w:t> :</w:t>
      </w:r>
      <w:r w:rsidRPr="002C4077">
        <w:t xml:space="preserve"> </w:t>
      </w:r>
      <w:r>
        <w:t>les</w:t>
      </w:r>
      <w:r w:rsidRPr="002C4077">
        <w:t xml:space="preserve"> </w:t>
      </w:r>
      <w:r>
        <w:t>murs</w:t>
      </w:r>
      <w:r w:rsidRPr="002C4077">
        <w:t xml:space="preserve"> </w:t>
      </w:r>
      <w:r>
        <w:t>disparaissent</w:t>
      </w:r>
      <w:r w:rsidRPr="002C4077">
        <w:t xml:space="preserve"> </w:t>
      </w:r>
      <w:r>
        <w:t>sous</w:t>
      </w:r>
      <w:r w:rsidRPr="002C4077">
        <w:t xml:space="preserve"> </w:t>
      </w:r>
      <w:r>
        <w:t>le</w:t>
      </w:r>
      <w:r w:rsidRPr="002C4077">
        <w:t xml:space="preserve"> </w:t>
      </w:r>
      <w:r>
        <w:t>marbre,</w:t>
      </w:r>
      <w:r w:rsidRPr="002C4077">
        <w:t xml:space="preserve"> </w:t>
      </w:r>
      <w:r>
        <w:t>les</w:t>
      </w:r>
      <w:r w:rsidRPr="002C4077">
        <w:t xml:space="preserve"> </w:t>
      </w:r>
      <w:r>
        <w:t>tapisseries,</w:t>
      </w:r>
      <w:r w:rsidRPr="002C4077">
        <w:t xml:space="preserve"> </w:t>
      </w:r>
      <w:r>
        <w:t>les</w:t>
      </w:r>
      <w:r w:rsidRPr="002C4077">
        <w:t xml:space="preserve"> </w:t>
      </w:r>
      <w:r>
        <w:t>tableaux.</w:t>
      </w:r>
      <w:r w:rsidRPr="002C4077">
        <w:t xml:space="preserve"> </w:t>
      </w:r>
      <w:r>
        <w:t>Mais</w:t>
      </w:r>
      <w:r w:rsidRPr="002C4077">
        <w:t xml:space="preserve"> </w:t>
      </w:r>
      <w:r>
        <w:t>pourquoi</w:t>
      </w:r>
      <w:r w:rsidRPr="002C4077">
        <w:t xml:space="preserve"> </w:t>
      </w:r>
      <w:r>
        <w:t>le</w:t>
      </w:r>
      <w:r w:rsidRPr="002C4077">
        <w:t xml:space="preserve"> </w:t>
      </w:r>
      <w:r>
        <w:t>chœur</w:t>
      </w:r>
      <w:r w:rsidRPr="002C4077">
        <w:t xml:space="preserve"> </w:t>
      </w:r>
      <w:r w:rsidR="00425C50">
        <w:t>est</w:t>
      </w:r>
      <w:r>
        <w:t>-il</w:t>
      </w:r>
      <w:r w:rsidRPr="002C4077">
        <w:t xml:space="preserve"> </w:t>
      </w:r>
      <w:r>
        <w:t>si</w:t>
      </w:r>
      <w:r w:rsidRPr="002C4077">
        <w:t xml:space="preserve"> </w:t>
      </w:r>
      <w:r>
        <w:t>élevé</w:t>
      </w:r>
      <w:r w:rsidRPr="002C4077">
        <w:t xml:space="preserve"> </w:t>
      </w:r>
      <w:r>
        <w:t>au-dessus</w:t>
      </w:r>
      <w:r w:rsidRPr="002C4077">
        <w:t xml:space="preserve"> </w:t>
      </w:r>
      <w:r>
        <w:t>de</w:t>
      </w:r>
      <w:r w:rsidRPr="002C4077">
        <w:t xml:space="preserve"> </w:t>
      </w:r>
      <w:r>
        <w:t>la</w:t>
      </w:r>
      <w:r w:rsidRPr="002C4077">
        <w:t xml:space="preserve"> </w:t>
      </w:r>
      <w:r>
        <w:t>nef</w:t>
      </w:r>
      <w:r w:rsidRPr="002C4077">
        <w:t xml:space="preserve"> </w:t>
      </w:r>
      <w:r>
        <w:t>principale,</w:t>
      </w:r>
      <w:r w:rsidRPr="002C4077">
        <w:t xml:space="preserve"> </w:t>
      </w:r>
      <w:r>
        <w:t>qui,</w:t>
      </w:r>
      <w:r w:rsidRPr="002C4077">
        <w:t xml:space="preserve"> </w:t>
      </w:r>
      <w:r>
        <w:t>du</w:t>
      </w:r>
      <w:r w:rsidRPr="002C4077">
        <w:t xml:space="preserve"> </w:t>
      </w:r>
      <w:r>
        <w:t>reste,</w:t>
      </w:r>
      <w:r w:rsidRPr="002C4077">
        <w:t xml:space="preserve"> </w:t>
      </w:r>
      <w:r>
        <w:t>nous</w:t>
      </w:r>
      <w:r w:rsidRPr="002C4077">
        <w:t xml:space="preserve"> </w:t>
      </w:r>
      <w:r>
        <w:t>venons</w:t>
      </w:r>
      <w:r w:rsidRPr="002C4077">
        <w:t xml:space="preserve"> </w:t>
      </w:r>
      <w:r>
        <w:t>de</w:t>
      </w:r>
      <w:r w:rsidRPr="002C4077">
        <w:t xml:space="preserve"> </w:t>
      </w:r>
      <w:r>
        <w:t>le</w:t>
      </w:r>
      <w:r w:rsidRPr="002C4077">
        <w:t xml:space="preserve"> </w:t>
      </w:r>
      <w:r>
        <w:t>voir,</w:t>
      </w:r>
      <w:r w:rsidRPr="002C4077">
        <w:t xml:space="preserve"> </w:t>
      </w:r>
      <w:r w:rsidR="00425C50">
        <w:t>est</w:t>
      </w:r>
      <w:r w:rsidRPr="002C4077">
        <w:t xml:space="preserve"> </w:t>
      </w:r>
      <w:r>
        <w:t>à</w:t>
      </w:r>
      <w:r w:rsidRPr="002C4077">
        <w:t xml:space="preserve"> </w:t>
      </w:r>
      <w:r>
        <w:t>peine</w:t>
      </w:r>
      <w:r w:rsidRPr="002C4077">
        <w:t xml:space="preserve"> </w:t>
      </w:r>
      <w:r>
        <w:t>ébauchée</w:t>
      </w:r>
      <w:r w:rsidR="00B546AF">
        <w:t> ?</w:t>
      </w:r>
      <w:r w:rsidRPr="002C4077">
        <w:t xml:space="preserve"> </w:t>
      </w:r>
      <w:r>
        <w:t>Recueillez-vous,</w:t>
      </w:r>
      <w:r w:rsidRPr="002C4077">
        <w:t xml:space="preserve"> </w:t>
      </w:r>
      <w:r>
        <w:t>cher</w:t>
      </w:r>
      <w:r w:rsidRPr="002C4077">
        <w:t xml:space="preserve"> </w:t>
      </w:r>
      <w:r>
        <w:t>lecteur,</w:t>
      </w:r>
      <w:r w:rsidRPr="002C4077">
        <w:t xml:space="preserve"> </w:t>
      </w:r>
      <w:r>
        <w:t>et</w:t>
      </w:r>
      <w:r w:rsidRPr="002C4077">
        <w:t xml:space="preserve"> </w:t>
      </w:r>
      <w:r>
        <w:t>suivez-moi</w:t>
      </w:r>
      <w:r w:rsidRPr="002C4077">
        <w:t xml:space="preserve"> </w:t>
      </w:r>
      <w:r>
        <w:t>en</w:t>
      </w:r>
      <w:r w:rsidRPr="002C4077">
        <w:t xml:space="preserve"> </w:t>
      </w:r>
      <w:r>
        <w:t>silence</w:t>
      </w:r>
      <w:r w:rsidR="00B546AF">
        <w:t> ;</w:t>
      </w:r>
      <w:r w:rsidRPr="002C4077">
        <w:t xml:space="preserve"> </w:t>
      </w:r>
      <w:r>
        <w:t>vous</w:t>
      </w:r>
      <w:r w:rsidRPr="002C4077">
        <w:t xml:space="preserve"> </w:t>
      </w:r>
      <w:r>
        <w:t>devinerez</w:t>
      </w:r>
      <w:r w:rsidRPr="002C4077">
        <w:t xml:space="preserve"> </w:t>
      </w:r>
      <w:r>
        <w:t>vous-même</w:t>
      </w:r>
      <w:r w:rsidRPr="002C4077">
        <w:t xml:space="preserve"> </w:t>
      </w:r>
      <w:r>
        <w:t>l’explication</w:t>
      </w:r>
      <w:r w:rsidRPr="002C4077">
        <w:t xml:space="preserve"> </w:t>
      </w:r>
      <w:r>
        <w:t>de</w:t>
      </w:r>
      <w:r w:rsidRPr="002C4077">
        <w:t xml:space="preserve"> </w:t>
      </w:r>
      <w:r>
        <w:t>cette</w:t>
      </w:r>
      <w:r w:rsidRPr="002C4077">
        <w:t xml:space="preserve"> </w:t>
      </w:r>
      <w:r>
        <w:t>anomalie.</w:t>
      </w:r>
      <w:r w:rsidRPr="002C4077">
        <w:t xml:space="preserve"> </w:t>
      </w:r>
      <w:r>
        <w:t>Nous</w:t>
      </w:r>
      <w:r w:rsidRPr="002C4077">
        <w:t xml:space="preserve"> </w:t>
      </w:r>
      <w:r>
        <w:t>descendons</w:t>
      </w:r>
      <w:r w:rsidRPr="002C4077">
        <w:t xml:space="preserve"> </w:t>
      </w:r>
      <w:r>
        <w:t>lentement</w:t>
      </w:r>
      <w:r w:rsidRPr="002C4077">
        <w:t xml:space="preserve"> </w:t>
      </w:r>
      <w:r>
        <w:t>les</w:t>
      </w:r>
      <w:r w:rsidRPr="002C4077">
        <w:t xml:space="preserve"> </w:t>
      </w:r>
      <w:r>
        <w:t>dix-sept</w:t>
      </w:r>
      <w:r w:rsidRPr="002C4077">
        <w:t xml:space="preserve"> </w:t>
      </w:r>
      <w:r>
        <w:t>marches</w:t>
      </w:r>
      <w:r w:rsidRPr="002C4077">
        <w:t xml:space="preserve"> </w:t>
      </w:r>
      <w:r>
        <w:t>d’un</w:t>
      </w:r>
      <w:r w:rsidRPr="002C4077">
        <w:t xml:space="preserve"> </w:t>
      </w:r>
      <w:r>
        <w:t>large</w:t>
      </w:r>
      <w:r w:rsidRPr="002C4077">
        <w:t xml:space="preserve"> </w:t>
      </w:r>
      <w:r>
        <w:t>escalier</w:t>
      </w:r>
      <w:r w:rsidRPr="002C4077">
        <w:t xml:space="preserve"> </w:t>
      </w:r>
      <w:r>
        <w:t>de</w:t>
      </w:r>
      <w:r w:rsidRPr="002C4077">
        <w:t xml:space="preserve"> </w:t>
      </w:r>
      <w:r>
        <w:t>marbre</w:t>
      </w:r>
      <w:r w:rsidRPr="002C4077">
        <w:t xml:space="preserve"> </w:t>
      </w:r>
      <w:r>
        <w:t>blanc</w:t>
      </w:r>
      <w:r w:rsidR="00B546AF">
        <w:t> :</w:t>
      </w:r>
      <w:r w:rsidRPr="002C4077">
        <w:t xml:space="preserve"> </w:t>
      </w:r>
      <w:r>
        <w:t>nous</w:t>
      </w:r>
      <w:r w:rsidRPr="002C4077">
        <w:t xml:space="preserve"> </w:t>
      </w:r>
      <w:r>
        <w:t>voici</w:t>
      </w:r>
      <w:r w:rsidRPr="002C4077">
        <w:t xml:space="preserve"> </w:t>
      </w:r>
      <w:r>
        <w:t>dans</w:t>
      </w:r>
      <w:r w:rsidRPr="002C4077">
        <w:t xml:space="preserve"> </w:t>
      </w:r>
      <w:r>
        <w:t>une</w:t>
      </w:r>
      <w:r w:rsidRPr="002C4077">
        <w:t xml:space="preserve"> </w:t>
      </w:r>
      <w:r>
        <w:t>crypte,</w:t>
      </w:r>
      <w:r w:rsidRPr="002C4077">
        <w:t xml:space="preserve"> </w:t>
      </w:r>
      <w:r>
        <w:t>ou</w:t>
      </w:r>
      <w:r w:rsidRPr="002C4077">
        <w:t xml:space="preserve"> </w:t>
      </w:r>
      <w:r>
        <w:t>chapelle</w:t>
      </w:r>
      <w:r w:rsidRPr="002C4077">
        <w:t xml:space="preserve"> </w:t>
      </w:r>
      <w:r>
        <w:t>souterraine,</w:t>
      </w:r>
      <w:r w:rsidRPr="002C4077">
        <w:t xml:space="preserve"> </w:t>
      </w:r>
      <w:r>
        <w:t>large</w:t>
      </w:r>
      <w:r w:rsidRPr="002C4077">
        <w:t xml:space="preserve"> </w:t>
      </w:r>
      <w:r>
        <w:t>d’environ</w:t>
      </w:r>
      <w:r w:rsidRPr="002C4077">
        <w:t xml:space="preserve"> </w:t>
      </w:r>
      <w:r>
        <w:t>dix-huit</w:t>
      </w:r>
      <w:r w:rsidRPr="002C4077">
        <w:t xml:space="preserve"> </w:t>
      </w:r>
      <w:r>
        <w:t>pieds,</w:t>
      </w:r>
      <w:r w:rsidRPr="002C4077">
        <w:t xml:space="preserve"> </w:t>
      </w:r>
      <w:r>
        <w:t>longue</w:t>
      </w:r>
      <w:r w:rsidRPr="002C4077">
        <w:t xml:space="preserve"> </w:t>
      </w:r>
      <w:r>
        <w:t>de</w:t>
      </w:r>
      <w:r w:rsidRPr="002C4077">
        <w:t xml:space="preserve"> </w:t>
      </w:r>
      <w:r>
        <w:t>huit,</w:t>
      </w:r>
      <w:r w:rsidRPr="002C4077">
        <w:t xml:space="preserve"> </w:t>
      </w:r>
      <w:r>
        <w:t>placée</w:t>
      </w:r>
      <w:r w:rsidRPr="002C4077">
        <w:t xml:space="preserve"> </w:t>
      </w:r>
      <w:r>
        <w:t>juste</w:t>
      </w:r>
      <w:r w:rsidRPr="002C4077">
        <w:t xml:space="preserve"> </w:t>
      </w:r>
      <w:r>
        <w:t>au-dessous</w:t>
      </w:r>
      <w:r w:rsidRPr="002C4077">
        <w:t xml:space="preserve"> </w:t>
      </w:r>
      <w:r>
        <w:t>du</w:t>
      </w:r>
      <w:r w:rsidRPr="002C4077">
        <w:t xml:space="preserve"> </w:t>
      </w:r>
      <w:r>
        <w:t>maître-autel</w:t>
      </w:r>
      <w:r w:rsidRPr="002C4077">
        <w:t xml:space="preserve"> </w:t>
      </w:r>
      <w:r>
        <w:t>de</w:t>
      </w:r>
      <w:r w:rsidRPr="002C4077">
        <w:t xml:space="preserve"> </w:t>
      </w:r>
      <w:r>
        <w:t>l’église</w:t>
      </w:r>
      <w:r w:rsidRPr="002C4077">
        <w:t xml:space="preserve"> </w:t>
      </w:r>
      <w:r>
        <w:t>supérieure.</w:t>
      </w:r>
      <w:r w:rsidRPr="002C4077">
        <w:t xml:space="preserve"> </w:t>
      </w:r>
      <w:r>
        <w:t>Lisez</w:t>
      </w:r>
      <w:r w:rsidRPr="002C4077">
        <w:t xml:space="preserve"> </w:t>
      </w:r>
      <w:r>
        <w:t>ces</w:t>
      </w:r>
      <w:r w:rsidRPr="002C4077">
        <w:t xml:space="preserve"> </w:t>
      </w:r>
      <w:r>
        <w:t>mots</w:t>
      </w:r>
      <w:r w:rsidRPr="002C4077">
        <w:t xml:space="preserve"> </w:t>
      </w:r>
      <w:r>
        <w:t>latins</w:t>
      </w:r>
      <w:r w:rsidRPr="002C4077">
        <w:t xml:space="preserve"> </w:t>
      </w:r>
      <w:r>
        <w:t>écrits</w:t>
      </w:r>
      <w:r w:rsidRPr="002C4077">
        <w:t xml:space="preserve"> </w:t>
      </w:r>
      <w:r>
        <w:t>sur</w:t>
      </w:r>
      <w:r w:rsidRPr="002C4077">
        <w:t xml:space="preserve"> </w:t>
      </w:r>
      <w:r>
        <w:t>les</w:t>
      </w:r>
      <w:r w:rsidRPr="002C4077">
        <w:t xml:space="preserve"> </w:t>
      </w:r>
      <w:r>
        <w:t>dalles</w:t>
      </w:r>
      <w:r w:rsidR="00B546AF">
        <w:t> :</w:t>
      </w:r>
      <w:r w:rsidRPr="002C4077">
        <w:t xml:space="preserve"> </w:t>
      </w:r>
      <w:r w:rsidR="007B3C26">
        <w:rPr>
          <w:smallCaps/>
        </w:rPr>
        <w:t>Ve</w:t>
      </w:r>
      <w:r>
        <w:rPr>
          <w:smallCaps/>
        </w:rPr>
        <w:t>rbum</w:t>
      </w:r>
      <w:r w:rsidRPr="002C4077">
        <w:t xml:space="preserve"> </w:t>
      </w:r>
      <w:r>
        <w:rPr>
          <w:smallCaps/>
        </w:rPr>
        <w:t>caro</w:t>
      </w:r>
      <w:r w:rsidRPr="002C4077">
        <w:t xml:space="preserve"> </w:t>
      </w:r>
      <w:r>
        <w:rPr>
          <w:smallCaps/>
        </w:rPr>
        <w:t>hic</w:t>
      </w:r>
      <w:r w:rsidRPr="002C4077">
        <w:t xml:space="preserve"> </w:t>
      </w:r>
      <w:r>
        <w:rPr>
          <w:smallCaps/>
        </w:rPr>
        <w:t>factum</w:t>
      </w:r>
      <w:r w:rsidRPr="002C4077">
        <w:t xml:space="preserve"> </w:t>
      </w:r>
      <w:r w:rsidR="00425C50">
        <w:rPr>
          <w:smallCaps/>
        </w:rPr>
        <w:t>est</w:t>
      </w:r>
      <w:r>
        <w:t>.</w:t>
      </w:r>
      <w:r w:rsidRPr="002C4077">
        <w:t xml:space="preserve"> </w:t>
      </w:r>
      <w:r w:rsidR="00B546AF">
        <w:t>« </w:t>
      </w:r>
      <w:r>
        <w:t>C’est</w:t>
      </w:r>
      <w:r w:rsidRPr="002C4077">
        <w:t xml:space="preserve"> </w:t>
      </w:r>
      <w:r>
        <w:t>ici</w:t>
      </w:r>
      <w:r w:rsidRPr="002C4077">
        <w:t xml:space="preserve"> </w:t>
      </w:r>
      <w:r>
        <w:t>que</w:t>
      </w:r>
      <w:r w:rsidRPr="002C4077">
        <w:t xml:space="preserve"> </w:t>
      </w:r>
      <w:r>
        <w:t>le</w:t>
      </w:r>
      <w:r w:rsidRPr="002C4077">
        <w:t xml:space="preserve"> </w:t>
      </w:r>
      <w:r w:rsidR="007B3C26">
        <w:t>Ve</w:t>
      </w:r>
      <w:r>
        <w:t>rbe</w:t>
      </w:r>
      <w:r w:rsidRPr="002C4077">
        <w:t xml:space="preserve"> </w:t>
      </w:r>
      <w:r>
        <w:t>s’est</w:t>
      </w:r>
      <w:r w:rsidRPr="002C4077">
        <w:t xml:space="preserve"> </w:t>
      </w:r>
      <w:r>
        <w:t>fait</w:t>
      </w:r>
      <w:r w:rsidRPr="002C4077">
        <w:t xml:space="preserve"> </w:t>
      </w:r>
      <w:r>
        <w:t>chair</w:t>
      </w:r>
      <w:r w:rsidR="00B546AF">
        <w:t> ! »</w:t>
      </w:r>
      <w:r w:rsidRPr="002C4077">
        <w:t xml:space="preserve"> </w:t>
      </w:r>
      <w:r>
        <w:t>Voyez</w:t>
      </w:r>
      <w:r w:rsidRPr="002C4077">
        <w:t xml:space="preserve"> </w:t>
      </w:r>
      <w:r>
        <w:t>ces</w:t>
      </w:r>
      <w:r w:rsidRPr="002C4077">
        <w:t xml:space="preserve"> </w:t>
      </w:r>
      <w:r>
        <w:t>sept</w:t>
      </w:r>
      <w:r w:rsidRPr="002C4077">
        <w:t xml:space="preserve"> </w:t>
      </w:r>
      <w:r>
        <w:t>lampes</w:t>
      </w:r>
      <w:r w:rsidRPr="002C4077">
        <w:t xml:space="preserve"> </w:t>
      </w:r>
      <w:r>
        <w:t>d’argent</w:t>
      </w:r>
      <w:r w:rsidRPr="002C4077">
        <w:t xml:space="preserve"> </w:t>
      </w:r>
      <w:r>
        <w:t>dont</w:t>
      </w:r>
      <w:r w:rsidRPr="002C4077">
        <w:t xml:space="preserve"> </w:t>
      </w:r>
      <w:r>
        <w:t>la</w:t>
      </w:r>
      <w:r w:rsidRPr="002C4077">
        <w:t xml:space="preserve"> </w:t>
      </w:r>
      <w:r>
        <w:t>lueur</w:t>
      </w:r>
      <w:r w:rsidRPr="002C4077">
        <w:t xml:space="preserve"> </w:t>
      </w:r>
      <w:r>
        <w:t>tremblante</w:t>
      </w:r>
      <w:r w:rsidRPr="002C4077">
        <w:t xml:space="preserve"> </w:t>
      </w:r>
      <w:r>
        <w:t>donne</w:t>
      </w:r>
      <w:r w:rsidRPr="002C4077">
        <w:t xml:space="preserve"> </w:t>
      </w:r>
      <w:r>
        <w:t>à</w:t>
      </w:r>
      <w:r w:rsidRPr="002C4077">
        <w:t xml:space="preserve"> </w:t>
      </w:r>
      <w:r>
        <w:t>ce</w:t>
      </w:r>
      <w:r w:rsidRPr="002C4077">
        <w:t xml:space="preserve"> </w:t>
      </w:r>
      <w:r>
        <w:t>lieu</w:t>
      </w:r>
      <w:r w:rsidRPr="002C4077">
        <w:t xml:space="preserve"> </w:t>
      </w:r>
      <w:r>
        <w:t>un</w:t>
      </w:r>
      <w:r w:rsidRPr="002C4077">
        <w:t xml:space="preserve"> </w:t>
      </w:r>
      <w:r>
        <w:t>aspect</w:t>
      </w:r>
      <w:r w:rsidRPr="002C4077">
        <w:t xml:space="preserve"> </w:t>
      </w:r>
      <w:r>
        <w:t>si</w:t>
      </w:r>
      <w:r w:rsidRPr="002C4077">
        <w:t xml:space="preserve"> </w:t>
      </w:r>
      <w:r>
        <w:t>mystique</w:t>
      </w:r>
      <w:r w:rsidR="00B546AF">
        <w:t> ;</w:t>
      </w:r>
      <w:r w:rsidRPr="002C4077">
        <w:t xml:space="preserve"> </w:t>
      </w:r>
      <w:r>
        <w:t>voyez</w:t>
      </w:r>
      <w:r w:rsidRPr="002C4077">
        <w:t xml:space="preserve"> </w:t>
      </w:r>
      <w:r>
        <w:t>ces</w:t>
      </w:r>
      <w:r w:rsidRPr="002C4077">
        <w:t xml:space="preserve"> </w:t>
      </w:r>
      <w:r>
        <w:t>pierres,</w:t>
      </w:r>
      <w:r w:rsidRPr="002C4077">
        <w:t xml:space="preserve"> </w:t>
      </w:r>
      <w:r>
        <w:t>usées,</w:t>
      </w:r>
      <w:r w:rsidRPr="002C4077">
        <w:t xml:space="preserve"> </w:t>
      </w:r>
      <w:r>
        <w:t>polies</w:t>
      </w:r>
      <w:r w:rsidRPr="002C4077">
        <w:t xml:space="preserve"> </w:t>
      </w:r>
      <w:r>
        <w:t>par</w:t>
      </w:r>
      <w:r w:rsidRPr="002C4077">
        <w:t xml:space="preserve"> </w:t>
      </w:r>
      <w:r>
        <w:t>les</w:t>
      </w:r>
      <w:r w:rsidRPr="002C4077">
        <w:t xml:space="preserve"> </w:t>
      </w:r>
      <w:r>
        <w:t>baisers</w:t>
      </w:r>
      <w:r w:rsidRPr="002C4077">
        <w:t xml:space="preserve"> </w:t>
      </w:r>
      <w:r>
        <w:t>qu’y</w:t>
      </w:r>
      <w:r w:rsidRPr="002C4077">
        <w:t xml:space="preserve"> </w:t>
      </w:r>
      <w:r>
        <w:t>ont</w:t>
      </w:r>
      <w:r w:rsidRPr="002C4077">
        <w:t xml:space="preserve"> </w:t>
      </w:r>
      <w:r>
        <w:t>pieusement</w:t>
      </w:r>
      <w:r w:rsidRPr="002C4077">
        <w:t xml:space="preserve"> </w:t>
      </w:r>
      <w:r>
        <w:t>déposés</w:t>
      </w:r>
      <w:r w:rsidRPr="002C4077">
        <w:t xml:space="preserve"> </w:t>
      </w:r>
      <w:r>
        <w:t>des</w:t>
      </w:r>
      <w:r w:rsidRPr="002C4077">
        <w:t xml:space="preserve"> </w:t>
      </w:r>
      <w:r>
        <w:t>milliers</w:t>
      </w:r>
      <w:r w:rsidRPr="002C4077">
        <w:t xml:space="preserve"> </w:t>
      </w:r>
      <w:r>
        <w:t>de</w:t>
      </w:r>
      <w:r w:rsidRPr="002C4077">
        <w:t xml:space="preserve"> </w:t>
      </w:r>
      <w:r>
        <w:t>pèlerins…</w:t>
      </w:r>
      <w:r w:rsidRPr="002C4077">
        <w:t xml:space="preserve"> </w:t>
      </w:r>
      <w:r>
        <w:t>Ah</w:t>
      </w:r>
      <w:r w:rsidR="00B546AF">
        <w:t> !</w:t>
      </w:r>
      <w:r w:rsidRPr="002C4077">
        <w:t xml:space="preserve"> </w:t>
      </w:r>
      <w:r>
        <w:t>vous</w:t>
      </w:r>
      <w:r w:rsidRPr="002C4077">
        <w:t xml:space="preserve"> </w:t>
      </w:r>
      <w:r>
        <w:t>vous</w:t>
      </w:r>
      <w:r w:rsidRPr="002C4077">
        <w:t xml:space="preserve"> </w:t>
      </w:r>
      <w:r>
        <w:t>agenouillez,</w:t>
      </w:r>
      <w:r w:rsidRPr="002C4077">
        <w:t xml:space="preserve"> </w:t>
      </w:r>
      <w:r>
        <w:t>et,</w:t>
      </w:r>
      <w:r w:rsidRPr="002C4077">
        <w:t xml:space="preserve"> </w:t>
      </w:r>
      <w:r>
        <w:t>à</w:t>
      </w:r>
      <w:r w:rsidRPr="002C4077">
        <w:t xml:space="preserve"> </w:t>
      </w:r>
      <w:r>
        <w:t>votre</w:t>
      </w:r>
      <w:r w:rsidRPr="002C4077">
        <w:t xml:space="preserve"> </w:t>
      </w:r>
      <w:r>
        <w:t>tour,</w:t>
      </w:r>
      <w:r w:rsidRPr="002C4077">
        <w:t xml:space="preserve"> </w:t>
      </w:r>
      <w:r>
        <w:t>vous</w:t>
      </w:r>
      <w:r w:rsidRPr="002C4077">
        <w:t xml:space="preserve"> </w:t>
      </w:r>
      <w:r>
        <w:t>collez</w:t>
      </w:r>
      <w:r w:rsidRPr="002C4077">
        <w:t xml:space="preserve"> </w:t>
      </w:r>
      <w:r>
        <w:t>vos</w:t>
      </w:r>
      <w:r w:rsidRPr="002C4077">
        <w:t xml:space="preserve"> </w:t>
      </w:r>
      <w:r>
        <w:t>lèvres</w:t>
      </w:r>
      <w:r w:rsidRPr="002C4077">
        <w:t xml:space="preserve"> </w:t>
      </w:r>
      <w:r>
        <w:t>sur</w:t>
      </w:r>
      <w:r w:rsidRPr="002C4077">
        <w:t xml:space="preserve"> </w:t>
      </w:r>
      <w:r>
        <w:t>ce</w:t>
      </w:r>
      <w:r w:rsidRPr="002C4077">
        <w:t xml:space="preserve"> </w:t>
      </w:r>
      <w:r>
        <w:t>sol</w:t>
      </w:r>
      <w:r w:rsidRPr="002C4077">
        <w:t xml:space="preserve"> </w:t>
      </w:r>
      <w:r>
        <w:t>sacré</w:t>
      </w:r>
      <w:r w:rsidR="00B546AF">
        <w:t> !</w:t>
      </w:r>
      <w:r w:rsidR="00C45B47">
        <w:t xml:space="preserve"> {</w:t>
      </w:r>
      <w:r w:rsidR="001F5257">
        <w:t>221</w:t>
      </w:r>
      <w:bookmarkStart w:id="540" w:name="p221"/>
      <w:bookmarkEnd w:id="540"/>
      <w:r w:rsidR="001F5257">
        <w:t xml:space="preserve">} </w:t>
      </w:r>
      <w:r>
        <w:t>Oui,</w:t>
      </w:r>
      <w:r w:rsidRPr="002C4077">
        <w:t xml:space="preserve"> </w:t>
      </w:r>
      <w:r>
        <w:t>adorons,</w:t>
      </w:r>
      <w:r w:rsidRPr="002C4077">
        <w:t xml:space="preserve"> </w:t>
      </w:r>
      <w:r>
        <w:t>bénissons,</w:t>
      </w:r>
      <w:r w:rsidRPr="002C4077">
        <w:t xml:space="preserve"> </w:t>
      </w:r>
      <w:r>
        <w:t>aimons,</w:t>
      </w:r>
      <w:r w:rsidRPr="002C4077">
        <w:t xml:space="preserve"> </w:t>
      </w:r>
      <w:r>
        <w:t>au</w:t>
      </w:r>
      <w:r w:rsidRPr="002C4077">
        <w:t xml:space="preserve"> </w:t>
      </w:r>
      <w:r>
        <w:t>souvenir</w:t>
      </w:r>
      <w:r w:rsidRPr="002C4077">
        <w:t xml:space="preserve"> </w:t>
      </w:r>
      <w:r>
        <w:t>des</w:t>
      </w:r>
      <w:r w:rsidRPr="002C4077">
        <w:t xml:space="preserve"> </w:t>
      </w:r>
      <w:r>
        <w:t>grandes</w:t>
      </w:r>
      <w:r w:rsidRPr="002C4077">
        <w:t xml:space="preserve"> </w:t>
      </w:r>
      <w:r>
        <w:t>choses</w:t>
      </w:r>
      <w:r w:rsidRPr="002C4077">
        <w:t xml:space="preserve"> </w:t>
      </w:r>
      <w:r>
        <w:t>qui</w:t>
      </w:r>
      <w:r w:rsidRPr="002C4077">
        <w:t xml:space="preserve"> </w:t>
      </w:r>
      <w:r>
        <w:t>se</w:t>
      </w:r>
      <w:r w:rsidRPr="002C4077">
        <w:t xml:space="preserve"> </w:t>
      </w:r>
      <w:r>
        <w:t>sont</w:t>
      </w:r>
      <w:r w:rsidRPr="002C4077">
        <w:t xml:space="preserve"> </w:t>
      </w:r>
      <w:r>
        <w:t>accomplies</w:t>
      </w:r>
      <w:r w:rsidRPr="002C4077">
        <w:t xml:space="preserve"> </w:t>
      </w:r>
      <w:r>
        <w:t>pour</w:t>
      </w:r>
      <w:r w:rsidRPr="002C4077">
        <w:t xml:space="preserve"> </w:t>
      </w:r>
      <w:r>
        <w:t>nous</w:t>
      </w:r>
      <w:r w:rsidRPr="002C4077">
        <w:t xml:space="preserve"> </w:t>
      </w:r>
      <w:r>
        <w:t>dans</w:t>
      </w:r>
      <w:r w:rsidRPr="002C4077">
        <w:t xml:space="preserve"> </w:t>
      </w:r>
      <w:r>
        <w:t>cet</w:t>
      </w:r>
      <w:r w:rsidRPr="002C4077">
        <w:t xml:space="preserve"> </w:t>
      </w:r>
      <w:r>
        <w:t>humble</w:t>
      </w:r>
      <w:r w:rsidRPr="002C4077">
        <w:t xml:space="preserve"> </w:t>
      </w:r>
      <w:r>
        <w:t>réduit.</w:t>
      </w:r>
      <w:r w:rsidRPr="002C4077">
        <w:t xml:space="preserve"> </w:t>
      </w:r>
    </w:p>
    <w:p w:rsidR="000A7AAB" w:rsidRDefault="000A7AAB" w:rsidP="000A7AAB">
      <w:r>
        <w:t>Là</w:t>
      </w:r>
      <w:r w:rsidRPr="002C4077">
        <w:t xml:space="preserve"> </w:t>
      </w:r>
      <w:r>
        <w:t>était</w:t>
      </w:r>
      <w:r w:rsidRPr="002C4077">
        <w:t xml:space="preserve"> </w:t>
      </w:r>
      <w:r>
        <w:t>donc</w:t>
      </w:r>
      <w:r w:rsidRPr="002C4077">
        <w:t xml:space="preserve"> </w:t>
      </w:r>
      <w:r>
        <w:t>autrefois</w:t>
      </w:r>
      <w:r w:rsidRPr="002C4077">
        <w:t xml:space="preserve"> </w:t>
      </w:r>
      <w:r>
        <w:t>la</w:t>
      </w:r>
      <w:r w:rsidRPr="002C4077">
        <w:t xml:space="preserve"> </w:t>
      </w:r>
      <w:r>
        <w:t>demeure</w:t>
      </w:r>
      <w:r w:rsidRPr="002C4077">
        <w:t xml:space="preserve"> </w:t>
      </w:r>
      <w:r>
        <w:t>de</w:t>
      </w:r>
      <w:r w:rsidRPr="002C4077">
        <w:t xml:space="preserve"> </w:t>
      </w:r>
      <w:r>
        <w:t>Marie,</w:t>
      </w:r>
      <w:r w:rsidRPr="002C4077">
        <w:t xml:space="preserve"> </w:t>
      </w:r>
      <w:r>
        <w:t>et</w:t>
      </w:r>
      <w:r w:rsidRPr="002C4077">
        <w:t xml:space="preserve"> </w:t>
      </w:r>
      <w:r>
        <w:t>la</w:t>
      </w:r>
      <w:r w:rsidRPr="002C4077">
        <w:t xml:space="preserve"> </w:t>
      </w:r>
      <w:r>
        <w:t>Vierge</w:t>
      </w:r>
      <w:r w:rsidRPr="002C4077">
        <w:t xml:space="preserve"> </w:t>
      </w:r>
      <w:r>
        <w:t>pleine</w:t>
      </w:r>
      <w:r w:rsidRPr="002C4077">
        <w:t xml:space="preserve"> </w:t>
      </w:r>
      <w:r>
        <w:t>de</w:t>
      </w:r>
      <w:r w:rsidRPr="002C4077">
        <w:t xml:space="preserve"> </w:t>
      </w:r>
      <w:r>
        <w:t>grâce</w:t>
      </w:r>
      <w:r w:rsidRPr="002C4077">
        <w:t xml:space="preserve"> </w:t>
      </w:r>
      <w:r>
        <w:t>se</w:t>
      </w:r>
      <w:r w:rsidRPr="002C4077">
        <w:t xml:space="preserve"> </w:t>
      </w:r>
      <w:r>
        <w:t>tenait,</w:t>
      </w:r>
      <w:r w:rsidRPr="002C4077">
        <w:t xml:space="preserve"> </w:t>
      </w:r>
      <w:r>
        <w:t>dit-on,</w:t>
      </w:r>
      <w:r w:rsidRPr="002C4077">
        <w:t xml:space="preserve"> </w:t>
      </w:r>
      <w:r>
        <w:t>sur</w:t>
      </w:r>
      <w:r w:rsidRPr="002C4077">
        <w:t xml:space="preserve"> </w:t>
      </w:r>
      <w:r>
        <w:t>l’emplacement</w:t>
      </w:r>
      <w:r w:rsidRPr="002C4077">
        <w:t xml:space="preserve"> </w:t>
      </w:r>
      <w:r>
        <w:t>occupé</w:t>
      </w:r>
      <w:r w:rsidRPr="002C4077">
        <w:t xml:space="preserve"> </w:t>
      </w:r>
      <w:r>
        <w:t>aujourd’hui</w:t>
      </w:r>
      <w:r w:rsidRPr="002C4077">
        <w:t xml:space="preserve"> </w:t>
      </w:r>
      <w:r>
        <w:t>par</w:t>
      </w:r>
      <w:r w:rsidRPr="002C4077">
        <w:t xml:space="preserve"> </w:t>
      </w:r>
      <w:r>
        <w:t>l’autel,</w:t>
      </w:r>
      <w:r w:rsidRPr="002C4077">
        <w:t xml:space="preserve"> </w:t>
      </w:r>
      <w:r>
        <w:t>quand</w:t>
      </w:r>
      <w:r w:rsidRPr="002C4077">
        <w:t xml:space="preserve"> </w:t>
      </w:r>
      <w:r>
        <w:t>l’Archange</w:t>
      </w:r>
      <w:r w:rsidRPr="002C4077">
        <w:t xml:space="preserve"> </w:t>
      </w:r>
      <w:r>
        <w:t>lui</w:t>
      </w:r>
      <w:r w:rsidRPr="002C4077">
        <w:t xml:space="preserve"> </w:t>
      </w:r>
      <w:r>
        <w:t>apporta</w:t>
      </w:r>
      <w:r w:rsidRPr="002C4077">
        <w:t xml:space="preserve"> </w:t>
      </w:r>
      <w:r>
        <w:t>l’étonnante</w:t>
      </w:r>
      <w:r w:rsidRPr="002C4077">
        <w:t xml:space="preserve"> </w:t>
      </w:r>
      <w:r>
        <w:t>proposition</w:t>
      </w:r>
      <w:r w:rsidRPr="002C4077">
        <w:t xml:space="preserve"> </w:t>
      </w:r>
      <w:r>
        <w:t>du</w:t>
      </w:r>
      <w:r w:rsidRPr="002C4077">
        <w:t xml:space="preserve"> </w:t>
      </w:r>
      <w:r>
        <w:t>Très-Haut.</w:t>
      </w:r>
      <w:r w:rsidRPr="002C4077">
        <w:t xml:space="preserve"> </w:t>
      </w:r>
      <w:r>
        <w:t>Cette</w:t>
      </w:r>
      <w:r w:rsidRPr="002C4077">
        <w:t xml:space="preserve"> </w:t>
      </w:r>
      <w:r>
        <w:t>colonne</w:t>
      </w:r>
      <w:r w:rsidRPr="002C4077">
        <w:t xml:space="preserve"> </w:t>
      </w:r>
      <w:r>
        <w:t>de</w:t>
      </w:r>
      <w:r w:rsidRPr="002C4077">
        <w:t xml:space="preserve"> </w:t>
      </w:r>
      <w:r>
        <w:t>porphyre,</w:t>
      </w:r>
      <w:r w:rsidRPr="002C4077">
        <w:t xml:space="preserve"> </w:t>
      </w:r>
      <w:r>
        <w:t>que</w:t>
      </w:r>
      <w:r w:rsidRPr="002C4077">
        <w:t xml:space="preserve"> </w:t>
      </w:r>
      <w:r>
        <w:t>vous</w:t>
      </w:r>
      <w:r w:rsidRPr="002C4077">
        <w:t xml:space="preserve"> </w:t>
      </w:r>
      <w:r>
        <w:t>apercevez</w:t>
      </w:r>
      <w:r w:rsidRPr="002C4077">
        <w:t xml:space="preserve"> </w:t>
      </w:r>
      <w:r>
        <w:t>à</w:t>
      </w:r>
      <w:r w:rsidRPr="002C4077">
        <w:t xml:space="preserve"> </w:t>
      </w:r>
      <w:r>
        <w:t>quelques</w:t>
      </w:r>
      <w:r w:rsidRPr="002C4077">
        <w:t xml:space="preserve"> </w:t>
      </w:r>
      <w:r>
        <w:t>pas</w:t>
      </w:r>
      <w:r w:rsidRPr="002C4077">
        <w:t xml:space="preserve"> </w:t>
      </w:r>
      <w:r>
        <w:t>d’ici,</w:t>
      </w:r>
      <w:r w:rsidRPr="002C4077">
        <w:t xml:space="preserve"> </w:t>
      </w:r>
      <w:r>
        <w:t>marque</w:t>
      </w:r>
      <w:r w:rsidRPr="002C4077">
        <w:t xml:space="preserve"> </w:t>
      </w:r>
      <w:r>
        <w:t>l’endroit</w:t>
      </w:r>
      <w:r w:rsidRPr="002C4077">
        <w:t xml:space="preserve"> </w:t>
      </w:r>
      <w:r>
        <w:t>où</w:t>
      </w:r>
      <w:r w:rsidRPr="002C4077">
        <w:t xml:space="preserve"> </w:t>
      </w:r>
      <w:r>
        <w:t>s’arrêta</w:t>
      </w:r>
      <w:r w:rsidRPr="002C4077">
        <w:t xml:space="preserve"> </w:t>
      </w:r>
      <w:r>
        <w:t>le</w:t>
      </w:r>
      <w:r w:rsidRPr="002C4077">
        <w:t xml:space="preserve"> </w:t>
      </w:r>
      <w:r>
        <w:t>messager</w:t>
      </w:r>
      <w:r w:rsidRPr="002C4077">
        <w:t xml:space="preserve"> </w:t>
      </w:r>
      <w:r>
        <w:t>céleste.</w:t>
      </w:r>
      <w:r w:rsidRPr="002C4077">
        <w:t xml:space="preserve"> </w:t>
      </w:r>
      <w:r>
        <w:t>Outre</w:t>
      </w:r>
      <w:r w:rsidRPr="002C4077">
        <w:t xml:space="preserve"> </w:t>
      </w:r>
      <w:r>
        <w:t>l’autel</w:t>
      </w:r>
      <w:r w:rsidRPr="002C4077">
        <w:t xml:space="preserve"> </w:t>
      </w:r>
      <w:r>
        <w:t>principal,</w:t>
      </w:r>
      <w:r w:rsidRPr="002C4077">
        <w:t xml:space="preserve"> </w:t>
      </w:r>
      <w:r>
        <w:t>dédié</w:t>
      </w:r>
      <w:r w:rsidRPr="002C4077">
        <w:t xml:space="preserve"> </w:t>
      </w:r>
      <w:r>
        <w:t>au</w:t>
      </w:r>
      <w:r w:rsidRPr="002C4077">
        <w:t xml:space="preserve"> </w:t>
      </w:r>
      <w:r w:rsidR="007B3C26">
        <w:t>Ve</w:t>
      </w:r>
      <w:r>
        <w:t>rbe</w:t>
      </w:r>
      <w:r w:rsidRPr="002C4077">
        <w:t xml:space="preserve"> </w:t>
      </w:r>
      <w:r>
        <w:t>incarné</w:t>
      </w:r>
      <w:r w:rsidRPr="002C4077">
        <w:t xml:space="preserve"> </w:t>
      </w:r>
      <w:r>
        <w:t>et</w:t>
      </w:r>
      <w:r w:rsidRPr="002C4077">
        <w:t xml:space="preserve"> </w:t>
      </w:r>
      <w:r>
        <w:t>à</w:t>
      </w:r>
      <w:r w:rsidRPr="002C4077">
        <w:t xml:space="preserve"> </w:t>
      </w:r>
      <w:r>
        <w:t>sa</w:t>
      </w:r>
      <w:r w:rsidRPr="002C4077">
        <w:t xml:space="preserve"> </w:t>
      </w:r>
      <w:r>
        <w:t>sainte</w:t>
      </w:r>
      <w:r w:rsidRPr="002C4077">
        <w:t xml:space="preserve"> </w:t>
      </w:r>
      <w:r>
        <w:t>Mère,</w:t>
      </w:r>
      <w:r w:rsidRPr="002C4077">
        <w:t xml:space="preserve"> </w:t>
      </w:r>
      <w:r>
        <w:t>la</w:t>
      </w:r>
      <w:r w:rsidRPr="002C4077">
        <w:t xml:space="preserve"> </w:t>
      </w:r>
      <w:r>
        <w:t>crypte</w:t>
      </w:r>
      <w:r w:rsidRPr="002C4077">
        <w:t xml:space="preserve"> </w:t>
      </w:r>
      <w:r>
        <w:t>contient</w:t>
      </w:r>
      <w:r w:rsidRPr="002C4077">
        <w:t xml:space="preserve"> </w:t>
      </w:r>
      <w:r>
        <w:t>deux</w:t>
      </w:r>
      <w:r w:rsidRPr="002C4077">
        <w:t xml:space="preserve"> </w:t>
      </w:r>
      <w:r>
        <w:t>autres</w:t>
      </w:r>
      <w:r w:rsidRPr="002C4077">
        <w:t xml:space="preserve"> </w:t>
      </w:r>
      <w:r>
        <w:t>autels</w:t>
      </w:r>
      <w:r w:rsidRPr="002C4077">
        <w:t xml:space="preserve"> </w:t>
      </w:r>
      <w:r>
        <w:t>secondaires,</w:t>
      </w:r>
      <w:r w:rsidRPr="002C4077">
        <w:t xml:space="preserve"> </w:t>
      </w:r>
      <w:r>
        <w:t>dont</w:t>
      </w:r>
      <w:r w:rsidRPr="002C4077">
        <w:t xml:space="preserve"> </w:t>
      </w:r>
      <w:r>
        <w:t>l’un</w:t>
      </w:r>
      <w:r w:rsidRPr="002C4077">
        <w:t xml:space="preserve"> </w:t>
      </w:r>
      <w:r w:rsidR="00425C50">
        <w:t>est</w:t>
      </w:r>
      <w:r w:rsidRPr="002C4077">
        <w:t xml:space="preserve"> </w:t>
      </w:r>
      <w:r>
        <w:t>consacré</w:t>
      </w:r>
      <w:r w:rsidRPr="002C4077">
        <w:t xml:space="preserve"> </w:t>
      </w:r>
      <w:r>
        <w:t>à</w:t>
      </w:r>
      <w:r w:rsidRPr="002C4077">
        <w:t xml:space="preserve"> </w:t>
      </w:r>
      <w:r>
        <w:t>saint</w:t>
      </w:r>
      <w:r w:rsidRPr="002C4077">
        <w:t xml:space="preserve"> </w:t>
      </w:r>
      <w:r>
        <w:t>Gabriel,</w:t>
      </w:r>
      <w:r w:rsidRPr="002C4077">
        <w:t xml:space="preserve"> </w:t>
      </w:r>
      <w:r>
        <w:t>l’autre</w:t>
      </w:r>
      <w:r w:rsidRPr="002C4077">
        <w:t xml:space="preserve"> </w:t>
      </w:r>
      <w:r>
        <w:t>aux</w:t>
      </w:r>
      <w:r w:rsidRPr="002C4077">
        <w:t xml:space="preserve"> </w:t>
      </w:r>
      <w:r>
        <w:t>parents</w:t>
      </w:r>
      <w:r w:rsidRPr="002C4077">
        <w:t xml:space="preserve"> </w:t>
      </w:r>
      <w:r>
        <w:t>de</w:t>
      </w:r>
      <w:r w:rsidRPr="002C4077">
        <w:t xml:space="preserve"> </w:t>
      </w:r>
      <w:r>
        <w:t>Marie,</w:t>
      </w:r>
      <w:r w:rsidRPr="002C4077">
        <w:t xml:space="preserve"> </w:t>
      </w:r>
      <w:r>
        <w:t>saint</w:t>
      </w:r>
      <w:r w:rsidRPr="002C4077">
        <w:t xml:space="preserve"> </w:t>
      </w:r>
      <w:r>
        <w:t>Joachim</w:t>
      </w:r>
      <w:r w:rsidRPr="002C4077">
        <w:t xml:space="preserve"> </w:t>
      </w:r>
      <w:r>
        <w:t>et</w:t>
      </w:r>
      <w:r w:rsidRPr="002C4077">
        <w:t xml:space="preserve"> </w:t>
      </w:r>
      <w:r>
        <w:t>sainte</w:t>
      </w:r>
      <w:r w:rsidRPr="002C4077">
        <w:t xml:space="preserve"> </w:t>
      </w:r>
      <w:r>
        <w:t>Anne.</w:t>
      </w:r>
      <w:r w:rsidRPr="002C4077">
        <w:t xml:space="preserve"> </w:t>
      </w:r>
      <w:r>
        <w:t>Saint</w:t>
      </w:r>
      <w:r w:rsidRPr="002C4077">
        <w:t xml:space="preserve"> </w:t>
      </w:r>
      <w:r>
        <w:t>Joseph</w:t>
      </w:r>
      <w:r w:rsidRPr="002C4077">
        <w:t xml:space="preserve"> </w:t>
      </w:r>
      <w:r>
        <w:t>n’a</w:t>
      </w:r>
      <w:r w:rsidRPr="002C4077">
        <w:t xml:space="preserve"> </w:t>
      </w:r>
      <w:r>
        <w:t>pas</w:t>
      </w:r>
      <w:r w:rsidRPr="002C4077">
        <w:t xml:space="preserve"> </w:t>
      </w:r>
      <w:r>
        <w:t>été</w:t>
      </w:r>
      <w:r w:rsidRPr="002C4077">
        <w:t xml:space="preserve"> </w:t>
      </w:r>
      <w:r>
        <w:t>oublié,</w:t>
      </w:r>
      <w:r w:rsidRPr="002C4077">
        <w:t xml:space="preserve"> </w:t>
      </w:r>
      <w:r>
        <w:t>car</w:t>
      </w:r>
      <w:r w:rsidRPr="002C4077">
        <w:t xml:space="preserve"> </w:t>
      </w:r>
      <w:r>
        <w:t>il</w:t>
      </w:r>
      <w:r w:rsidRPr="002C4077">
        <w:t xml:space="preserve"> </w:t>
      </w:r>
      <w:r>
        <w:t>a</w:t>
      </w:r>
      <w:r w:rsidRPr="002C4077">
        <w:t xml:space="preserve"> </w:t>
      </w:r>
      <w:r>
        <w:t>aussi</w:t>
      </w:r>
      <w:r w:rsidRPr="002C4077">
        <w:t xml:space="preserve"> </w:t>
      </w:r>
      <w:r>
        <w:t>son</w:t>
      </w:r>
      <w:r w:rsidRPr="002C4077">
        <w:t xml:space="preserve"> </w:t>
      </w:r>
      <w:r>
        <w:t>autel</w:t>
      </w:r>
      <w:r w:rsidRPr="002C4077">
        <w:t xml:space="preserve"> </w:t>
      </w:r>
      <w:r>
        <w:t>spécial</w:t>
      </w:r>
      <w:r w:rsidRPr="002C4077">
        <w:t xml:space="preserve"> </w:t>
      </w:r>
      <w:r>
        <w:t>dans</w:t>
      </w:r>
      <w:r w:rsidRPr="002C4077">
        <w:t xml:space="preserve"> </w:t>
      </w:r>
      <w:r>
        <w:t>l’église</w:t>
      </w:r>
      <w:r w:rsidRPr="002C4077">
        <w:t xml:space="preserve"> </w:t>
      </w:r>
      <w:r>
        <w:t>supérieure.</w:t>
      </w:r>
      <w:r w:rsidRPr="002C4077">
        <w:t xml:space="preserve"> </w:t>
      </w:r>
    </w:p>
    <w:p w:rsidR="000A7AAB" w:rsidRDefault="000A7AAB" w:rsidP="000A7AAB">
      <w:r>
        <w:t>Tous</w:t>
      </w:r>
      <w:r w:rsidRPr="002C4077">
        <w:t xml:space="preserve"> </w:t>
      </w:r>
      <w:r>
        <w:t>les</w:t>
      </w:r>
      <w:r w:rsidRPr="002C4077">
        <w:t xml:space="preserve"> </w:t>
      </w:r>
      <w:r>
        <w:t>jours</w:t>
      </w:r>
      <w:r w:rsidRPr="002C4077">
        <w:t xml:space="preserve"> </w:t>
      </w:r>
      <w:r>
        <w:t>les</w:t>
      </w:r>
      <w:r w:rsidRPr="002C4077">
        <w:t xml:space="preserve"> </w:t>
      </w:r>
      <w:r>
        <w:t>moines,</w:t>
      </w:r>
      <w:r w:rsidRPr="002C4077">
        <w:t xml:space="preserve"> </w:t>
      </w:r>
      <w:r>
        <w:t>accompagnés</w:t>
      </w:r>
      <w:r w:rsidRPr="002C4077">
        <w:t xml:space="preserve"> </w:t>
      </w:r>
      <w:r>
        <w:t>de</w:t>
      </w:r>
      <w:r w:rsidRPr="002C4077">
        <w:t xml:space="preserve"> </w:t>
      </w:r>
      <w:r>
        <w:t>leurs</w:t>
      </w:r>
      <w:r w:rsidRPr="002C4077">
        <w:t xml:space="preserve"> </w:t>
      </w:r>
      <w:r>
        <w:t>petits</w:t>
      </w:r>
      <w:r w:rsidRPr="002C4077">
        <w:t xml:space="preserve"> </w:t>
      </w:r>
      <w:r w:rsidR="003B53FD">
        <w:t>Arabes</w:t>
      </w:r>
      <w:r w:rsidRPr="002C4077">
        <w:t xml:space="preserve"> </w:t>
      </w:r>
      <w:r>
        <w:t>en</w:t>
      </w:r>
      <w:r w:rsidRPr="002C4077">
        <w:t xml:space="preserve"> </w:t>
      </w:r>
      <w:r>
        <w:t>costume</w:t>
      </w:r>
      <w:r w:rsidRPr="002C4077">
        <w:t xml:space="preserve"> </w:t>
      </w:r>
      <w:r>
        <w:t>d’enfants</w:t>
      </w:r>
      <w:r w:rsidRPr="002C4077">
        <w:t xml:space="preserve"> </w:t>
      </w:r>
      <w:r>
        <w:t>de</w:t>
      </w:r>
      <w:r w:rsidRPr="002C4077">
        <w:t xml:space="preserve"> </w:t>
      </w:r>
      <w:r>
        <w:t>chœur,</w:t>
      </w:r>
      <w:r w:rsidRPr="002C4077">
        <w:t xml:space="preserve"> </w:t>
      </w:r>
      <w:r>
        <w:t>font</w:t>
      </w:r>
      <w:r w:rsidRPr="002C4077">
        <w:t xml:space="preserve"> </w:t>
      </w:r>
      <w:r>
        <w:t>une</w:t>
      </w:r>
      <w:r w:rsidRPr="002C4077">
        <w:t xml:space="preserve"> </w:t>
      </w:r>
      <w:r>
        <w:t>procession</w:t>
      </w:r>
      <w:r w:rsidRPr="002C4077">
        <w:t xml:space="preserve"> </w:t>
      </w:r>
      <w:r>
        <w:t>dans</w:t>
      </w:r>
      <w:r w:rsidRPr="002C4077">
        <w:t xml:space="preserve"> </w:t>
      </w:r>
      <w:r>
        <w:t>les</w:t>
      </w:r>
      <w:r w:rsidRPr="002C4077">
        <w:t xml:space="preserve"> </w:t>
      </w:r>
      <w:r>
        <w:t>deux</w:t>
      </w:r>
      <w:r w:rsidRPr="002C4077">
        <w:t xml:space="preserve"> </w:t>
      </w:r>
      <w:r>
        <w:t>sanctuaires</w:t>
      </w:r>
      <w:r w:rsidR="00B546AF">
        <w:t> ;</w:t>
      </w:r>
      <w:r w:rsidRPr="002C4077">
        <w:t xml:space="preserve"> </w:t>
      </w:r>
      <w:r>
        <w:t>ils</w:t>
      </w:r>
      <w:r w:rsidRPr="002C4077">
        <w:t xml:space="preserve"> </w:t>
      </w:r>
      <w:r>
        <w:t>s’arrêtent</w:t>
      </w:r>
      <w:r w:rsidRPr="002C4077">
        <w:t xml:space="preserve"> </w:t>
      </w:r>
      <w:r>
        <w:t>quelques</w:t>
      </w:r>
      <w:r w:rsidRPr="002C4077">
        <w:t xml:space="preserve"> </w:t>
      </w:r>
      <w:r>
        <w:t>instants</w:t>
      </w:r>
      <w:r w:rsidRPr="002C4077">
        <w:t xml:space="preserve"> </w:t>
      </w:r>
      <w:r>
        <w:t>devant</w:t>
      </w:r>
      <w:r w:rsidRPr="002C4077">
        <w:t xml:space="preserve"> </w:t>
      </w:r>
      <w:r>
        <w:t>chaque</w:t>
      </w:r>
      <w:r w:rsidRPr="002C4077">
        <w:t xml:space="preserve"> </w:t>
      </w:r>
      <w:r>
        <w:t>autel</w:t>
      </w:r>
      <w:r w:rsidRPr="002C4077">
        <w:t xml:space="preserve"> </w:t>
      </w:r>
      <w:r>
        <w:t>pour</w:t>
      </w:r>
      <w:r w:rsidRPr="002C4077">
        <w:t xml:space="preserve"> </w:t>
      </w:r>
      <w:r>
        <w:t>y</w:t>
      </w:r>
      <w:r w:rsidRPr="002C4077">
        <w:t xml:space="preserve"> </w:t>
      </w:r>
      <w:r>
        <w:t>chanter</w:t>
      </w:r>
      <w:r w:rsidRPr="002C4077">
        <w:t xml:space="preserve"> </w:t>
      </w:r>
      <w:r>
        <w:t>un</w:t>
      </w:r>
      <w:r w:rsidRPr="002C4077">
        <w:t xml:space="preserve"> </w:t>
      </w:r>
      <w:r>
        <w:t>hymne</w:t>
      </w:r>
      <w:r w:rsidRPr="002C4077">
        <w:t xml:space="preserve"> </w:t>
      </w:r>
      <w:r>
        <w:t>et</w:t>
      </w:r>
      <w:r w:rsidRPr="002C4077">
        <w:t xml:space="preserve"> </w:t>
      </w:r>
      <w:r>
        <w:t>des</w:t>
      </w:r>
      <w:r w:rsidRPr="002C4077">
        <w:t xml:space="preserve"> </w:t>
      </w:r>
      <w:r>
        <w:t>antiennes.</w:t>
      </w:r>
      <w:r w:rsidRPr="002C4077">
        <w:t xml:space="preserve"> </w:t>
      </w:r>
      <w:r>
        <w:t>La</w:t>
      </w:r>
      <w:r w:rsidRPr="002C4077">
        <w:t xml:space="preserve"> </w:t>
      </w:r>
      <w:r>
        <w:t>cérémonie</w:t>
      </w:r>
      <w:r w:rsidRPr="002C4077">
        <w:t xml:space="preserve"> </w:t>
      </w:r>
      <w:r>
        <w:t>se</w:t>
      </w:r>
      <w:r w:rsidRPr="002C4077">
        <w:t xml:space="preserve"> </w:t>
      </w:r>
      <w:r>
        <w:t>termine</w:t>
      </w:r>
      <w:r w:rsidRPr="002C4077">
        <w:t xml:space="preserve"> </w:t>
      </w:r>
      <w:r>
        <w:t>par</w:t>
      </w:r>
      <w:r w:rsidR="00205F90" w:rsidRPr="002C4077">
        <w:t xml:space="preserve"> </w:t>
      </w:r>
      <w:r w:rsidR="00205F90">
        <w:t>l’</w:t>
      </w:r>
      <w:r w:rsidR="003B53FD">
        <w:rPr>
          <w:rStyle w:val="italicus"/>
        </w:rPr>
        <w:t>Angelus</w:t>
      </w:r>
      <w:r w:rsidRPr="000A34B5">
        <w:rPr>
          <w:rStyle w:val="italicus"/>
        </w:rPr>
        <w:t>,</w:t>
      </w:r>
      <w:r w:rsidRPr="002C4077">
        <w:t xml:space="preserve"> </w:t>
      </w:r>
      <w:r>
        <w:t>récité</w:t>
      </w:r>
      <w:r w:rsidRPr="002C4077">
        <w:t xml:space="preserve"> </w:t>
      </w:r>
      <w:r>
        <w:t>de</w:t>
      </w:r>
      <w:r w:rsidRPr="002C4077">
        <w:t xml:space="preserve"> </w:t>
      </w:r>
      <w:r>
        <w:t>la</w:t>
      </w:r>
      <w:r w:rsidRPr="002C4077">
        <w:t xml:space="preserve"> </w:t>
      </w:r>
      <w:r>
        <w:t>manière</w:t>
      </w:r>
      <w:r w:rsidRPr="002C4077">
        <w:t xml:space="preserve"> </w:t>
      </w:r>
      <w:r>
        <w:t>la</w:t>
      </w:r>
      <w:r w:rsidRPr="002C4077">
        <w:t xml:space="preserve"> </w:t>
      </w:r>
      <w:r>
        <w:t>plus</w:t>
      </w:r>
      <w:r w:rsidRPr="002C4077">
        <w:t xml:space="preserve"> </w:t>
      </w:r>
      <w:r>
        <w:t>solennelle.</w:t>
      </w:r>
      <w:r w:rsidRPr="002C4077">
        <w:t xml:space="preserve"> </w:t>
      </w:r>
      <w:r>
        <w:t>Les</w:t>
      </w:r>
      <w:r w:rsidRPr="002C4077">
        <w:t xml:space="preserve"> </w:t>
      </w:r>
      <w:r>
        <w:t>bons</w:t>
      </w:r>
      <w:r w:rsidRPr="002C4077">
        <w:t xml:space="preserve"> </w:t>
      </w:r>
      <w:r>
        <w:t>Pères</w:t>
      </w:r>
      <w:r w:rsidRPr="002C4077">
        <w:t xml:space="preserve"> </w:t>
      </w:r>
      <w:r>
        <w:t>sont</w:t>
      </w:r>
      <w:r w:rsidRPr="002C4077">
        <w:t xml:space="preserve"> </w:t>
      </w:r>
      <w:r>
        <w:t>à</w:t>
      </w:r>
      <w:r w:rsidRPr="002C4077">
        <w:t xml:space="preserve"> </w:t>
      </w:r>
      <w:r>
        <w:t>genoux,</w:t>
      </w:r>
      <w:r w:rsidRPr="002C4077">
        <w:t xml:space="preserve"> </w:t>
      </w:r>
      <w:r>
        <w:t>les</w:t>
      </w:r>
      <w:r w:rsidRPr="002C4077">
        <w:t xml:space="preserve"> </w:t>
      </w:r>
      <w:r>
        <w:t>bras</w:t>
      </w:r>
      <w:r w:rsidRPr="002C4077">
        <w:t xml:space="preserve"> </w:t>
      </w:r>
      <w:r>
        <w:t>en</w:t>
      </w:r>
      <w:r w:rsidRPr="002C4077">
        <w:t xml:space="preserve"> </w:t>
      </w:r>
      <w:r>
        <w:t>croix,</w:t>
      </w:r>
      <w:r w:rsidRPr="002C4077">
        <w:t xml:space="preserve"> </w:t>
      </w:r>
      <w:r>
        <w:t>et</w:t>
      </w:r>
      <w:r w:rsidRPr="002C4077">
        <w:t xml:space="preserve"> </w:t>
      </w:r>
      <w:r>
        <w:t>ils</w:t>
      </w:r>
      <w:r w:rsidRPr="002C4077">
        <w:t xml:space="preserve"> </w:t>
      </w:r>
      <w:r>
        <w:t>baisent</w:t>
      </w:r>
      <w:r w:rsidRPr="002C4077">
        <w:t xml:space="preserve"> </w:t>
      </w:r>
      <w:r>
        <w:t>la</w:t>
      </w:r>
      <w:r w:rsidRPr="002C4077">
        <w:t xml:space="preserve"> </w:t>
      </w:r>
      <w:r>
        <w:t>terre</w:t>
      </w:r>
      <w:r w:rsidRPr="002C4077">
        <w:t xml:space="preserve"> </w:t>
      </w:r>
      <w:r>
        <w:t>à</w:t>
      </w:r>
      <w:r w:rsidRPr="002C4077">
        <w:t xml:space="preserve"> </w:t>
      </w:r>
      <w:r>
        <w:t>chaque</w:t>
      </w:r>
      <w:r w:rsidRPr="002C4077">
        <w:t xml:space="preserve"> </w:t>
      </w:r>
      <w:r w:rsidRPr="000A34B5">
        <w:rPr>
          <w:rStyle w:val="italicus"/>
        </w:rPr>
        <w:t>Ave</w:t>
      </w:r>
      <w:r w:rsidRPr="002C4077">
        <w:t xml:space="preserve"> </w:t>
      </w:r>
      <w:r w:rsidR="003B53FD" w:rsidRPr="000A34B5">
        <w:rPr>
          <w:rStyle w:val="italicus"/>
        </w:rPr>
        <w:t>Mar</w:t>
      </w:r>
      <w:r w:rsidR="003B53FD">
        <w:rPr>
          <w:rStyle w:val="italicus"/>
        </w:rPr>
        <w:t>í</w:t>
      </w:r>
      <w:r w:rsidR="003B53FD" w:rsidRPr="000A34B5">
        <w:rPr>
          <w:rStyle w:val="italicus"/>
        </w:rPr>
        <w:t>a</w:t>
      </w:r>
      <w:r w:rsidR="00B546AF">
        <w:rPr>
          <w:rStyle w:val="italicus"/>
        </w:rPr>
        <w:t> </w:t>
      </w:r>
      <w:r w:rsidR="00B546AF" w:rsidRPr="000A34B5">
        <w:rPr>
          <w:rStyle w:val="italicus"/>
        </w:rPr>
        <w:t>:</w:t>
      </w:r>
      <w:r w:rsidRPr="002C4077">
        <w:t xml:space="preserve"> </w:t>
      </w:r>
      <w:r>
        <w:t>en</w:t>
      </w:r>
      <w:r w:rsidRPr="002C4077">
        <w:t xml:space="preserve"> </w:t>
      </w:r>
      <w:r>
        <w:t>un</w:t>
      </w:r>
      <w:r w:rsidRPr="002C4077">
        <w:t xml:space="preserve"> </w:t>
      </w:r>
      <w:r>
        <w:t>tel</w:t>
      </w:r>
      <w:r w:rsidRPr="002C4077">
        <w:t xml:space="preserve"> </w:t>
      </w:r>
      <w:r>
        <w:t>lieu,</w:t>
      </w:r>
      <w:r w:rsidRPr="002C4077">
        <w:t xml:space="preserve"> </w:t>
      </w:r>
      <w:r>
        <w:t>c’est</w:t>
      </w:r>
      <w:r w:rsidRPr="002C4077">
        <w:t xml:space="preserve"> </w:t>
      </w:r>
      <w:r>
        <w:t>un</w:t>
      </w:r>
      <w:r w:rsidRPr="002C4077">
        <w:t xml:space="preserve"> </w:t>
      </w:r>
      <w:r>
        <w:t>spectacle</w:t>
      </w:r>
      <w:r w:rsidRPr="002C4077">
        <w:t xml:space="preserve"> </w:t>
      </w:r>
      <w:r>
        <w:t>vraiment</w:t>
      </w:r>
      <w:r w:rsidRPr="002C4077">
        <w:t xml:space="preserve"> </w:t>
      </w:r>
      <w:r>
        <w:t>saisissant.</w:t>
      </w:r>
      <w:r w:rsidRPr="002C4077">
        <w:t xml:space="preserve"> </w:t>
      </w:r>
    </w:p>
    <w:p w:rsidR="000A7AAB" w:rsidRPr="001F5257" w:rsidRDefault="000A7AAB" w:rsidP="000A7AAB">
      <w:r>
        <w:t>Qu’on</w:t>
      </w:r>
      <w:r w:rsidRPr="002C4077">
        <w:t xml:space="preserve"> </w:t>
      </w:r>
      <w:r>
        <w:t>aimerait</w:t>
      </w:r>
      <w:r w:rsidRPr="002C4077">
        <w:t xml:space="preserve"> </w:t>
      </w:r>
      <w:r>
        <w:t>à</w:t>
      </w:r>
      <w:r w:rsidRPr="002C4077">
        <w:t xml:space="preserve"> </w:t>
      </w:r>
      <w:r>
        <w:t>demeurer</w:t>
      </w:r>
      <w:r w:rsidRPr="002C4077">
        <w:t xml:space="preserve"> </w:t>
      </w:r>
      <w:r>
        <w:t>toute</w:t>
      </w:r>
      <w:r w:rsidRPr="002C4077">
        <w:t xml:space="preserve"> </w:t>
      </w:r>
      <w:r>
        <w:t>sa</w:t>
      </w:r>
      <w:r w:rsidRPr="002C4077">
        <w:t xml:space="preserve"> </w:t>
      </w:r>
      <w:r>
        <w:t>vie</w:t>
      </w:r>
      <w:r w:rsidRPr="002C4077">
        <w:t xml:space="preserve"> </w:t>
      </w:r>
      <w:r>
        <w:t>dans</w:t>
      </w:r>
      <w:r w:rsidRPr="002C4077">
        <w:t xml:space="preserve"> </w:t>
      </w:r>
      <w:r>
        <w:t>la</w:t>
      </w:r>
      <w:r w:rsidRPr="002C4077">
        <w:t xml:space="preserve"> </w:t>
      </w:r>
      <w:r>
        <w:t>crypte</w:t>
      </w:r>
      <w:r w:rsidRPr="002C4077">
        <w:t xml:space="preserve"> </w:t>
      </w:r>
      <w:r>
        <w:t>de</w:t>
      </w:r>
      <w:r w:rsidRPr="002C4077">
        <w:t xml:space="preserve"> </w:t>
      </w:r>
      <w:r>
        <w:t>l’Annonciation</w:t>
      </w:r>
      <w:r w:rsidR="00B546AF">
        <w:t> !</w:t>
      </w:r>
      <w:r w:rsidRPr="002C4077">
        <w:t xml:space="preserve"> </w:t>
      </w:r>
      <w:r>
        <w:t>Emportons-en</w:t>
      </w:r>
      <w:r w:rsidRPr="002C4077">
        <w:t xml:space="preserve"> </w:t>
      </w:r>
      <w:r>
        <w:t>du</w:t>
      </w:r>
      <w:r w:rsidRPr="002C4077">
        <w:t xml:space="preserve"> </w:t>
      </w:r>
      <w:r>
        <w:t>moins</w:t>
      </w:r>
      <w:r w:rsidRPr="002C4077">
        <w:t xml:space="preserve"> </w:t>
      </w:r>
      <w:r>
        <w:t>de</w:t>
      </w:r>
      <w:r w:rsidRPr="002C4077">
        <w:t xml:space="preserve"> </w:t>
      </w:r>
      <w:r>
        <w:t>vivants</w:t>
      </w:r>
      <w:r w:rsidRPr="002C4077">
        <w:t xml:space="preserve"> </w:t>
      </w:r>
      <w:r>
        <w:t>souvenirs,</w:t>
      </w:r>
      <w:r w:rsidRPr="002C4077">
        <w:t xml:space="preserve"> </w:t>
      </w:r>
      <w:r>
        <w:t>qui</w:t>
      </w:r>
      <w:r w:rsidRPr="002C4077">
        <w:t xml:space="preserve"> </w:t>
      </w:r>
      <w:r>
        <w:t>nous</w:t>
      </w:r>
      <w:r w:rsidRPr="002C4077">
        <w:t xml:space="preserve"> </w:t>
      </w:r>
      <w:r>
        <w:t>aideront</w:t>
      </w:r>
      <w:r w:rsidRPr="002C4077">
        <w:t xml:space="preserve"> </w:t>
      </w:r>
      <w:r>
        <w:t>à</w:t>
      </w:r>
      <w:r w:rsidRPr="002C4077">
        <w:t xml:space="preserve"> </w:t>
      </w:r>
      <w:r>
        <w:t>mener</w:t>
      </w:r>
      <w:r w:rsidRPr="002C4077">
        <w:t xml:space="preserve"> </w:t>
      </w:r>
      <w:r>
        <w:t>toujours</w:t>
      </w:r>
      <w:r w:rsidRPr="002C4077">
        <w:t xml:space="preserve"> </w:t>
      </w:r>
      <w:r>
        <w:t>une</w:t>
      </w:r>
      <w:r w:rsidRPr="002C4077">
        <w:t xml:space="preserve"> </w:t>
      </w:r>
      <w:r>
        <w:t>vie</w:t>
      </w:r>
      <w:r w:rsidRPr="002C4077">
        <w:t xml:space="preserve"> </w:t>
      </w:r>
      <w:r>
        <w:t>digne</w:t>
      </w:r>
      <w:r w:rsidRPr="002C4077">
        <w:t xml:space="preserve"> </w:t>
      </w:r>
      <w:r>
        <w:t>de</w:t>
      </w:r>
      <w:r w:rsidRPr="002C4077">
        <w:t xml:space="preserve"> </w:t>
      </w:r>
      <w:r w:rsidR="00425C50">
        <w:t>Jésus</w:t>
      </w:r>
      <w:r w:rsidRPr="002C4077">
        <w:t xml:space="preserve"> </w:t>
      </w:r>
      <w:r>
        <w:t>de</w:t>
      </w:r>
      <w:r w:rsidRPr="002C4077">
        <w:t xml:space="preserve"> </w:t>
      </w:r>
      <w:r>
        <w:t>Nazareth.</w:t>
      </w:r>
      <w:r w:rsidRPr="002C4077">
        <w:t xml:space="preserve"> </w:t>
      </w:r>
      <w:r>
        <w:t>Nous</w:t>
      </w:r>
      <w:r w:rsidRPr="002C4077">
        <w:t xml:space="preserve"> </w:t>
      </w:r>
      <w:r>
        <w:t>pouvons</w:t>
      </w:r>
      <w:r w:rsidRPr="002C4077">
        <w:t xml:space="preserve"> </w:t>
      </w:r>
      <w:r>
        <w:t>aussi,</w:t>
      </w:r>
      <w:r w:rsidRPr="002C4077">
        <w:t xml:space="preserve"> </w:t>
      </w:r>
      <w:r>
        <w:t>en</w:t>
      </w:r>
      <w:r w:rsidRPr="002C4077">
        <w:t xml:space="preserve"> </w:t>
      </w:r>
      <w:r>
        <w:t>sortant</w:t>
      </w:r>
      <w:r w:rsidRPr="002C4077">
        <w:t xml:space="preserve"> </w:t>
      </w:r>
      <w:r>
        <w:t>par</w:t>
      </w:r>
      <w:r w:rsidRPr="002C4077">
        <w:t xml:space="preserve"> </w:t>
      </w:r>
      <w:r>
        <w:t>ce</w:t>
      </w:r>
      <w:r w:rsidRPr="002C4077">
        <w:t xml:space="preserve"> </w:t>
      </w:r>
      <w:r>
        <w:t>petit</w:t>
      </w:r>
      <w:r w:rsidRPr="002C4077">
        <w:t xml:space="preserve"> </w:t>
      </w:r>
      <w:r>
        <w:t>couloir</w:t>
      </w:r>
      <w:r w:rsidRPr="002C4077">
        <w:t xml:space="preserve"> </w:t>
      </w:r>
      <w:r>
        <w:t>taillé</w:t>
      </w:r>
      <w:r w:rsidRPr="002C4077">
        <w:t xml:space="preserve"> </w:t>
      </w:r>
      <w:r>
        <w:t>dans</w:t>
      </w:r>
      <w:r w:rsidRPr="002C4077">
        <w:t xml:space="preserve"> </w:t>
      </w:r>
      <w:r>
        <w:t>la</w:t>
      </w:r>
      <w:r w:rsidRPr="002C4077">
        <w:t xml:space="preserve"> </w:t>
      </w:r>
      <w:r>
        <w:t>roche</w:t>
      </w:r>
      <w:r w:rsidRPr="002C4077">
        <w:t xml:space="preserve"> </w:t>
      </w:r>
      <w:r>
        <w:t>crayeuse,</w:t>
      </w:r>
      <w:r w:rsidRPr="002C4077">
        <w:t xml:space="preserve"> </w:t>
      </w:r>
      <w:r>
        <w:t>détacher</w:t>
      </w:r>
      <w:r w:rsidRPr="002C4077">
        <w:t xml:space="preserve"> </w:t>
      </w:r>
      <w:r>
        <w:t>de</w:t>
      </w:r>
      <w:r w:rsidRPr="002C4077">
        <w:t xml:space="preserve"> </w:t>
      </w:r>
      <w:r>
        <w:t>la</w:t>
      </w:r>
      <w:r w:rsidRPr="002C4077">
        <w:t xml:space="preserve"> </w:t>
      </w:r>
      <w:r>
        <w:t>paroi</w:t>
      </w:r>
      <w:r w:rsidRPr="002C4077">
        <w:t xml:space="preserve"> </w:t>
      </w:r>
      <w:r>
        <w:t>un</w:t>
      </w:r>
      <w:r w:rsidRPr="002C4077">
        <w:t xml:space="preserve"> </w:t>
      </w:r>
      <w:r>
        <w:t>morceau</w:t>
      </w:r>
      <w:r w:rsidRPr="002C4077">
        <w:t xml:space="preserve"> </w:t>
      </w:r>
      <w:r>
        <w:t>de</w:t>
      </w:r>
      <w:r w:rsidRPr="002C4077">
        <w:t xml:space="preserve"> </w:t>
      </w:r>
      <w:r>
        <w:t>pierre</w:t>
      </w:r>
      <w:r w:rsidRPr="002C4077">
        <w:t xml:space="preserve"> </w:t>
      </w:r>
      <w:r>
        <w:t>que</w:t>
      </w:r>
      <w:r w:rsidRPr="002C4077">
        <w:t xml:space="preserve"> </w:t>
      </w:r>
      <w:r>
        <w:t>nous</w:t>
      </w:r>
      <w:r w:rsidRPr="002C4077">
        <w:t xml:space="preserve"> </w:t>
      </w:r>
      <w:r>
        <w:t>conserverons</w:t>
      </w:r>
      <w:r w:rsidRPr="002C4077">
        <w:t xml:space="preserve"> </w:t>
      </w:r>
      <w:r>
        <w:t>comme</w:t>
      </w:r>
      <w:r w:rsidRPr="002C4077">
        <w:t xml:space="preserve"> </w:t>
      </w:r>
      <w:r>
        <w:t>une</w:t>
      </w:r>
      <w:r w:rsidRPr="002C4077">
        <w:t xml:space="preserve"> </w:t>
      </w:r>
      <w:r>
        <w:t>précieuse</w:t>
      </w:r>
      <w:r w:rsidRPr="002C4077">
        <w:t xml:space="preserve"> </w:t>
      </w:r>
      <w:r>
        <w:t>relique</w:t>
      </w:r>
      <w:r w:rsidR="00B91AF7">
        <w:rPr>
          <w:rStyle w:val="Appelnotedebasdep"/>
        </w:rPr>
        <w:footnoteReference w:id="728"/>
      </w:r>
      <w:r>
        <w:t>.</w:t>
      </w:r>
      <w:r w:rsidR="00C45B47">
        <w:t xml:space="preserve"> {</w:t>
      </w:r>
      <w:r w:rsidR="001F5257">
        <w:t>222</w:t>
      </w:r>
      <w:bookmarkStart w:id="541" w:name="p222"/>
      <w:bookmarkEnd w:id="541"/>
      <w:r w:rsidR="001F5257">
        <w:t xml:space="preserve">} </w:t>
      </w:r>
    </w:p>
    <w:p w:rsidR="002F7AFA" w:rsidRDefault="002F7AFA" w:rsidP="000A7AAB"/>
    <w:p w:rsidR="000A7AAB" w:rsidRDefault="000A7AAB" w:rsidP="000A7AAB">
      <w:r>
        <w:t>Continuant</w:t>
      </w:r>
      <w:r w:rsidRPr="002C4077">
        <w:t xml:space="preserve"> </w:t>
      </w:r>
      <w:r>
        <w:t>d’être</w:t>
      </w:r>
      <w:r w:rsidRPr="002C4077">
        <w:t xml:space="preserve"> </w:t>
      </w:r>
      <w:r>
        <w:t>votre</w:t>
      </w:r>
      <w:r w:rsidRPr="002C4077">
        <w:t xml:space="preserve"> </w:t>
      </w:r>
      <w:r>
        <w:t>cicérone,</w:t>
      </w:r>
      <w:r w:rsidRPr="002C4077">
        <w:t xml:space="preserve"> </w:t>
      </w:r>
      <w:r>
        <w:t>je</w:t>
      </w:r>
      <w:r w:rsidRPr="002C4077">
        <w:t xml:space="preserve"> </w:t>
      </w:r>
      <w:r>
        <w:t>vais</w:t>
      </w:r>
      <w:r w:rsidRPr="002C4077">
        <w:t xml:space="preserve"> </w:t>
      </w:r>
      <w:r>
        <w:t>vous</w:t>
      </w:r>
      <w:r w:rsidRPr="002C4077">
        <w:t xml:space="preserve"> </w:t>
      </w:r>
      <w:r>
        <w:t>conduire</w:t>
      </w:r>
      <w:r w:rsidRPr="002C4077">
        <w:t xml:space="preserve"> </w:t>
      </w:r>
      <w:r>
        <w:t>à</w:t>
      </w:r>
      <w:r w:rsidRPr="002C4077">
        <w:t xml:space="preserve"> </w:t>
      </w:r>
      <w:r>
        <w:t>présent</w:t>
      </w:r>
      <w:r w:rsidRPr="002C4077">
        <w:t xml:space="preserve"> </w:t>
      </w:r>
      <w:r>
        <w:t>à</w:t>
      </w:r>
      <w:r w:rsidRPr="002C4077">
        <w:t xml:space="preserve"> </w:t>
      </w:r>
      <w:r>
        <w:t>ce</w:t>
      </w:r>
      <w:r w:rsidRPr="002C4077">
        <w:t xml:space="preserve"> </w:t>
      </w:r>
      <w:r>
        <w:t>que</w:t>
      </w:r>
      <w:r w:rsidRPr="002C4077">
        <w:t xml:space="preserve"> </w:t>
      </w:r>
      <w:r>
        <w:t>l’on</w:t>
      </w:r>
      <w:r w:rsidRPr="002C4077">
        <w:t xml:space="preserve"> </w:t>
      </w:r>
      <w:r>
        <w:t>nomme</w:t>
      </w:r>
      <w:r w:rsidRPr="002C4077">
        <w:t xml:space="preserve"> </w:t>
      </w:r>
      <w:r>
        <w:t>la</w:t>
      </w:r>
      <w:r w:rsidRPr="002C4077">
        <w:t xml:space="preserve"> </w:t>
      </w:r>
      <w:r w:rsidR="00B546AF">
        <w:t>« </w:t>
      </w:r>
      <w:r>
        <w:t>Boutique</w:t>
      </w:r>
      <w:r w:rsidRPr="002C4077">
        <w:t xml:space="preserve"> </w:t>
      </w:r>
      <w:r>
        <w:t>de</w:t>
      </w:r>
      <w:r w:rsidRPr="002C4077">
        <w:t xml:space="preserve"> </w:t>
      </w:r>
      <w:r>
        <w:t>saint</w:t>
      </w:r>
      <w:r w:rsidRPr="002C4077">
        <w:t xml:space="preserve"> </w:t>
      </w:r>
      <w:r>
        <w:t>Joseph</w:t>
      </w:r>
      <w:r w:rsidR="00B546AF">
        <w:t> » ;</w:t>
      </w:r>
      <w:r w:rsidRPr="002C4077">
        <w:t xml:space="preserve"> </w:t>
      </w:r>
      <w:r>
        <w:t>elle</w:t>
      </w:r>
      <w:r w:rsidRPr="002C4077">
        <w:t xml:space="preserve"> </w:t>
      </w:r>
      <w:r w:rsidR="00425C50">
        <w:t>est</w:t>
      </w:r>
      <w:r w:rsidRPr="002C4077">
        <w:t xml:space="preserve"> </w:t>
      </w:r>
      <w:r>
        <w:t>située</w:t>
      </w:r>
      <w:r w:rsidRPr="002C4077">
        <w:t xml:space="preserve"> </w:t>
      </w:r>
      <w:r>
        <w:t>à</w:t>
      </w:r>
      <w:r w:rsidRPr="002C4077">
        <w:t xml:space="preserve"> </w:t>
      </w:r>
      <w:r>
        <w:t>peu</w:t>
      </w:r>
      <w:r w:rsidRPr="002C4077">
        <w:t xml:space="preserve"> </w:t>
      </w:r>
      <w:r>
        <w:t>de</w:t>
      </w:r>
      <w:r w:rsidRPr="002C4077">
        <w:t xml:space="preserve"> </w:t>
      </w:r>
      <w:r>
        <w:t>distance</w:t>
      </w:r>
      <w:r w:rsidRPr="002C4077">
        <w:t xml:space="preserve"> </w:t>
      </w:r>
      <w:r>
        <w:t>et</w:t>
      </w:r>
      <w:r w:rsidRPr="002C4077">
        <w:t xml:space="preserve"> </w:t>
      </w:r>
      <w:r>
        <w:t>au</w:t>
      </w:r>
      <w:r w:rsidRPr="002C4077">
        <w:t xml:space="preserve"> </w:t>
      </w:r>
      <w:r>
        <w:t>nord-</w:t>
      </w:r>
      <w:r w:rsidR="00425C50">
        <w:t>est</w:t>
      </w:r>
      <w:r w:rsidRPr="002C4077">
        <w:t xml:space="preserve"> </w:t>
      </w:r>
      <w:r>
        <w:t>du</w:t>
      </w:r>
      <w:r w:rsidRPr="002C4077">
        <w:t xml:space="preserve"> </w:t>
      </w:r>
      <w:r>
        <w:t>couvent</w:t>
      </w:r>
      <w:r w:rsidRPr="002C4077">
        <w:t xml:space="preserve"> </w:t>
      </w:r>
      <w:r>
        <w:t>franciscain.</w:t>
      </w:r>
      <w:r w:rsidRPr="002C4077">
        <w:t xml:space="preserve"> </w:t>
      </w:r>
      <w:r>
        <w:t>Nos</w:t>
      </w:r>
      <w:r w:rsidRPr="002C4077">
        <w:t xml:space="preserve"> </w:t>
      </w:r>
      <w:r>
        <w:t>aïeux,</w:t>
      </w:r>
      <w:r w:rsidRPr="002C4077">
        <w:t xml:space="preserve"> </w:t>
      </w:r>
      <w:r>
        <w:t>les</w:t>
      </w:r>
      <w:r w:rsidRPr="002C4077">
        <w:t xml:space="preserve"> </w:t>
      </w:r>
      <w:r>
        <w:t>Croisés,</w:t>
      </w:r>
      <w:r w:rsidRPr="002C4077">
        <w:t xml:space="preserve"> </w:t>
      </w:r>
      <w:r>
        <w:t>en</w:t>
      </w:r>
      <w:r w:rsidRPr="002C4077">
        <w:t xml:space="preserve"> </w:t>
      </w:r>
      <w:r>
        <w:t>bâtissant</w:t>
      </w:r>
      <w:r w:rsidRPr="002C4077">
        <w:t xml:space="preserve"> </w:t>
      </w:r>
      <w:r>
        <w:t>autrefois</w:t>
      </w:r>
      <w:r w:rsidRPr="002C4077">
        <w:t xml:space="preserve"> </w:t>
      </w:r>
      <w:r>
        <w:t>une</w:t>
      </w:r>
      <w:r w:rsidRPr="002C4077">
        <w:t xml:space="preserve"> </w:t>
      </w:r>
      <w:r>
        <w:t>église</w:t>
      </w:r>
      <w:r w:rsidRPr="002C4077">
        <w:t xml:space="preserve"> </w:t>
      </w:r>
      <w:r>
        <w:t>à</w:t>
      </w:r>
      <w:r w:rsidRPr="002C4077">
        <w:t xml:space="preserve"> </w:t>
      </w:r>
      <w:r>
        <w:t>cet</w:t>
      </w:r>
      <w:r w:rsidRPr="002C4077">
        <w:t xml:space="preserve"> </w:t>
      </w:r>
      <w:r>
        <w:t>endroit,</w:t>
      </w:r>
      <w:r w:rsidRPr="002C4077">
        <w:t xml:space="preserve"> </w:t>
      </w:r>
      <w:r>
        <w:t>avaient</w:t>
      </w:r>
      <w:r w:rsidRPr="002C4077">
        <w:t xml:space="preserve"> </w:t>
      </w:r>
      <w:r>
        <w:t>voulu</w:t>
      </w:r>
      <w:r w:rsidRPr="002C4077">
        <w:t xml:space="preserve"> </w:t>
      </w:r>
      <w:r>
        <w:t>honorer</w:t>
      </w:r>
      <w:r w:rsidRPr="002C4077">
        <w:t xml:space="preserve"> </w:t>
      </w:r>
      <w:r>
        <w:t>la</w:t>
      </w:r>
      <w:r w:rsidRPr="002C4077">
        <w:t xml:space="preserve"> </w:t>
      </w:r>
      <w:r>
        <w:t>mémoire</w:t>
      </w:r>
      <w:r w:rsidRPr="002C4077">
        <w:t xml:space="preserve"> </w:t>
      </w:r>
      <w:r>
        <w:t>du</w:t>
      </w:r>
      <w:r w:rsidRPr="002C4077">
        <w:t xml:space="preserve"> </w:t>
      </w:r>
      <w:r>
        <w:t>chaste</w:t>
      </w:r>
      <w:r w:rsidRPr="002C4077">
        <w:t xml:space="preserve"> </w:t>
      </w:r>
      <w:r>
        <w:t>époux</w:t>
      </w:r>
      <w:r w:rsidRPr="002C4077">
        <w:t xml:space="preserve"> </w:t>
      </w:r>
      <w:r>
        <w:t>de</w:t>
      </w:r>
      <w:r w:rsidRPr="002C4077">
        <w:t xml:space="preserve"> </w:t>
      </w:r>
      <w:r>
        <w:t>Marie</w:t>
      </w:r>
      <w:r w:rsidRPr="002C4077">
        <w:t xml:space="preserve"> </w:t>
      </w:r>
      <w:r>
        <w:t>et</w:t>
      </w:r>
      <w:r w:rsidRPr="002C4077">
        <w:t xml:space="preserve"> </w:t>
      </w:r>
      <w:r>
        <w:t>celle</w:t>
      </w:r>
      <w:r w:rsidRPr="002C4077">
        <w:t xml:space="preserve"> </w:t>
      </w:r>
      <w:r>
        <w:t>de</w:t>
      </w:r>
      <w:r w:rsidRPr="002C4077">
        <w:t xml:space="preserve"> </w:t>
      </w:r>
      <w:r>
        <w:t>ses</w:t>
      </w:r>
      <w:r w:rsidRPr="002C4077">
        <w:t xml:space="preserve"> </w:t>
      </w:r>
      <w:r>
        <w:t>rudes</w:t>
      </w:r>
      <w:r w:rsidRPr="002C4077">
        <w:t xml:space="preserve"> </w:t>
      </w:r>
      <w:r>
        <w:t>labeurs,</w:t>
      </w:r>
      <w:r w:rsidRPr="002C4077">
        <w:t xml:space="preserve"> </w:t>
      </w:r>
      <w:r>
        <w:t>si</w:t>
      </w:r>
      <w:r w:rsidRPr="002C4077">
        <w:t xml:space="preserve"> </w:t>
      </w:r>
      <w:r>
        <w:t>généreusement</w:t>
      </w:r>
      <w:r w:rsidRPr="002C4077">
        <w:t xml:space="preserve"> </w:t>
      </w:r>
      <w:r>
        <w:t>entrepris,</w:t>
      </w:r>
      <w:r w:rsidRPr="002C4077">
        <w:t xml:space="preserve"> </w:t>
      </w:r>
      <w:r>
        <w:t>si</w:t>
      </w:r>
      <w:r w:rsidRPr="002C4077">
        <w:t xml:space="preserve"> </w:t>
      </w:r>
      <w:r>
        <w:t>patiemment</w:t>
      </w:r>
      <w:r w:rsidRPr="002C4077">
        <w:t xml:space="preserve"> </w:t>
      </w:r>
      <w:r>
        <w:t>supportés</w:t>
      </w:r>
      <w:r w:rsidRPr="002C4077">
        <w:t xml:space="preserve"> </w:t>
      </w:r>
      <w:r>
        <w:t>par</w:t>
      </w:r>
      <w:r w:rsidRPr="002C4077">
        <w:t xml:space="preserve"> </w:t>
      </w:r>
      <w:r>
        <w:t>amour</w:t>
      </w:r>
      <w:r w:rsidRPr="002C4077">
        <w:t xml:space="preserve"> </w:t>
      </w:r>
      <w:r>
        <w:t>pour</w:t>
      </w:r>
      <w:r w:rsidRPr="002C4077">
        <w:t xml:space="preserve"> </w:t>
      </w:r>
      <w:r>
        <w:t>la</w:t>
      </w:r>
      <w:r w:rsidRPr="002C4077">
        <w:t xml:space="preserve"> </w:t>
      </w:r>
      <w:r>
        <w:t>Vierge</w:t>
      </w:r>
      <w:r w:rsidRPr="002C4077">
        <w:t xml:space="preserve"> </w:t>
      </w:r>
      <w:r>
        <w:t>très</w:t>
      </w:r>
      <w:r w:rsidRPr="002C4077">
        <w:t xml:space="preserve"> </w:t>
      </w:r>
      <w:r>
        <w:t>pure</w:t>
      </w:r>
      <w:r w:rsidRPr="002C4077">
        <w:t xml:space="preserve"> </w:t>
      </w:r>
      <w:r>
        <w:t>et</w:t>
      </w:r>
      <w:r w:rsidRPr="002C4077">
        <w:t xml:space="preserve"> </w:t>
      </w:r>
      <w:r>
        <w:t>pour</w:t>
      </w:r>
      <w:r w:rsidRPr="002C4077">
        <w:t xml:space="preserve"> </w:t>
      </w:r>
      <w:r>
        <w:t>le</w:t>
      </w:r>
      <w:r w:rsidRPr="002C4077">
        <w:t xml:space="preserve"> </w:t>
      </w:r>
      <w:r>
        <w:t>divin</w:t>
      </w:r>
      <w:r w:rsidRPr="002C4077">
        <w:t xml:space="preserve"> </w:t>
      </w:r>
      <w:r>
        <w:t>Enfant.</w:t>
      </w:r>
      <w:r w:rsidRPr="002C4077">
        <w:t xml:space="preserve"> </w:t>
      </w:r>
      <w:r>
        <w:t>L’église</w:t>
      </w:r>
      <w:r w:rsidRPr="002C4077">
        <w:t xml:space="preserve"> </w:t>
      </w:r>
      <w:r>
        <w:t>a</w:t>
      </w:r>
      <w:r w:rsidRPr="002C4077">
        <w:t xml:space="preserve"> </w:t>
      </w:r>
      <w:r>
        <w:t>été</w:t>
      </w:r>
      <w:r w:rsidRPr="002C4077">
        <w:t xml:space="preserve"> </w:t>
      </w:r>
      <w:r>
        <w:t>depuis</w:t>
      </w:r>
      <w:r w:rsidRPr="002C4077">
        <w:t xml:space="preserve"> </w:t>
      </w:r>
      <w:r>
        <w:t>longtemps</w:t>
      </w:r>
      <w:r w:rsidRPr="002C4077">
        <w:t xml:space="preserve"> </w:t>
      </w:r>
      <w:r>
        <w:t>détruite,</w:t>
      </w:r>
      <w:r w:rsidRPr="002C4077">
        <w:t xml:space="preserve"> </w:t>
      </w:r>
      <w:r>
        <w:t>mais</w:t>
      </w:r>
      <w:r w:rsidRPr="002C4077">
        <w:t xml:space="preserve"> </w:t>
      </w:r>
      <w:r>
        <w:t>la</w:t>
      </w:r>
      <w:r w:rsidRPr="002C4077">
        <w:t xml:space="preserve"> </w:t>
      </w:r>
      <w:r w:rsidRPr="000A34B5">
        <w:rPr>
          <w:rStyle w:val="italicus"/>
        </w:rPr>
        <w:t>Bottega</w:t>
      </w:r>
      <w:r w:rsidR="00B91AF7">
        <w:rPr>
          <w:rStyle w:val="Appelnotedebasdep"/>
          <w:i/>
        </w:rPr>
        <w:footnoteReference w:id="729"/>
      </w:r>
      <w:r w:rsidRPr="002C4077">
        <w:t xml:space="preserve"> </w:t>
      </w:r>
      <w:r>
        <w:t>existe</w:t>
      </w:r>
      <w:r w:rsidRPr="002C4077">
        <w:t xml:space="preserve"> </w:t>
      </w:r>
      <w:r>
        <w:t>encore</w:t>
      </w:r>
      <w:r w:rsidRPr="002C4077">
        <w:t xml:space="preserve"> </w:t>
      </w:r>
      <w:r>
        <w:t>sous</w:t>
      </w:r>
      <w:r w:rsidRPr="002C4077">
        <w:t xml:space="preserve"> </w:t>
      </w:r>
      <w:r>
        <w:t>la</w:t>
      </w:r>
      <w:r w:rsidRPr="002C4077">
        <w:t xml:space="preserve"> </w:t>
      </w:r>
      <w:r>
        <w:t>forme</w:t>
      </w:r>
      <w:r w:rsidRPr="002C4077">
        <w:t xml:space="preserve"> </w:t>
      </w:r>
      <w:r>
        <w:t>d’une</w:t>
      </w:r>
      <w:r w:rsidRPr="002C4077">
        <w:t xml:space="preserve"> </w:t>
      </w:r>
      <w:r>
        <w:t>petite</w:t>
      </w:r>
      <w:r w:rsidRPr="002C4077">
        <w:t xml:space="preserve"> </w:t>
      </w:r>
      <w:r>
        <w:t>chapelle</w:t>
      </w:r>
      <w:r w:rsidRPr="002C4077">
        <w:t xml:space="preserve"> </w:t>
      </w:r>
      <w:r>
        <w:t>qui</w:t>
      </w:r>
      <w:r w:rsidRPr="002C4077">
        <w:t xml:space="preserve"> </w:t>
      </w:r>
      <w:r>
        <w:t>s’élève</w:t>
      </w:r>
      <w:r w:rsidRPr="002C4077">
        <w:t xml:space="preserve"> </w:t>
      </w:r>
      <w:r>
        <w:t>au</w:t>
      </w:r>
      <w:r w:rsidRPr="002C4077">
        <w:t xml:space="preserve"> </w:t>
      </w:r>
      <w:r>
        <w:t>milieu</w:t>
      </w:r>
      <w:r w:rsidRPr="002C4077">
        <w:t xml:space="preserve"> </w:t>
      </w:r>
      <w:r>
        <w:t>d’une</w:t>
      </w:r>
      <w:r w:rsidRPr="002C4077">
        <w:t xml:space="preserve"> </w:t>
      </w:r>
      <w:r>
        <w:t>cour</w:t>
      </w:r>
      <w:r w:rsidRPr="002C4077">
        <w:t xml:space="preserve"> </w:t>
      </w:r>
      <w:r w:rsidR="006F72A8">
        <w:t>murée</w:t>
      </w:r>
      <w:r>
        <w:t>.</w:t>
      </w:r>
      <w:r w:rsidRPr="002C4077">
        <w:t xml:space="preserve"> </w:t>
      </w:r>
      <w:r>
        <w:t>Au-dessus</w:t>
      </w:r>
      <w:r w:rsidRPr="002C4077">
        <w:t xml:space="preserve"> </w:t>
      </w:r>
      <w:r>
        <w:t>de</w:t>
      </w:r>
      <w:r w:rsidRPr="002C4077">
        <w:t xml:space="preserve"> </w:t>
      </w:r>
      <w:r>
        <w:t>l’autel</w:t>
      </w:r>
      <w:r w:rsidRPr="002C4077">
        <w:t xml:space="preserve"> </w:t>
      </w:r>
      <w:r w:rsidR="00425C50">
        <w:t>est</w:t>
      </w:r>
      <w:r w:rsidRPr="002C4077">
        <w:t xml:space="preserve"> </w:t>
      </w:r>
      <w:r>
        <w:t>suspendu</w:t>
      </w:r>
      <w:r w:rsidRPr="002C4077">
        <w:t xml:space="preserve"> </w:t>
      </w:r>
      <w:r>
        <w:t>un</w:t>
      </w:r>
      <w:r w:rsidRPr="002C4077">
        <w:t xml:space="preserve"> </w:t>
      </w:r>
      <w:r>
        <w:t>tableau</w:t>
      </w:r>
      <w:r w:rsidRPr="002C4077">
        <w:t xml:space="preserve"> </w:t>
      </w:r>
      <w:r>
        <w:t>qui</w:t>
      </w:r>
      <w:r w:rsidRPr="002C4077">
        <w:t xml:space="preserve"> </w:t>
      </w:r>
      <w:r>
        <w:t>représente</w:t>
      </w:r>
      <w:r w:rsidRPr="002C4077">
        <w:t xml:space="preserve"> </w:t>
      </w:r>
      <w:r>
        <w:t>saint</w:t>
      </w:r>
      <w:r w:rsidRPr="002C4077">
        <w:t xml:space="preserve"> </w:t>
      </w:r>
      <w:r>
        <w:t>Joseph</w:t>
      </w:r>
      <w:r w:rsidRPr="002C4077">
        <w:t xml:space="preserve"> </w:t>
      </w:r>
      <w:r>
        <w:t>travaillant</w:t>
      </w:r>
      <w:r w:rsidRPr="002C4077">
        <w:t xml:space="preserve"> </w:t>
      </w:r>
      <w:r>
        <w:t>avec</w:t>
      </w:r>
      <w:r w:rsidRPr="002C4077">
        <w:t xml:space="preserve"> </w:t>
      </w:r>
      <w:r>
        <w:t>l’Enfant-</w:t>
      </w:r>
      <w:r w:rsidR="00425C50">
        <w:t>Jésus</w:t>
      </w:r>
      <w:r>
        <w:t>,</w:t>
      </w:r>
      <w:r w:rsidRPr="002C4077">
        <w:t xml:space="preserve"> </w:t>
      </w:r>
      <w:r>
        <w:t>et</w:t>
      </w:r>
      <w:r w:rsidRPr="002C4077">
        <w:t xml:space="preserve"> </w:t>
      </w:r>
      <w:r>
        <w:t>Marie</w:t>
      </w:r>
      <w:r w:rsidRPr="002C4077">
        <w:t xml:space="preserve"> </w:t>
      </w:r>
      <w:r>
        <w:t>auprès</w:t>
      </w:r>
      <w:r w:rsidRPr="002C4077">
        <w:t xml:space="preserve"> </w:t>
      </w:r>
      <w:r>
        <w:t>d’eux.</w:t>
      </w:r>
      <w:r w:rsidRPr="002C4077">
        <w:t xml:space="preserve"> </w:t>
      </w:r>
      <w:r>
        <w:t>L’humble</w:t>
      </w:r>
      <w:r w:rsidRPr="002C4077">
        <w:t xml:space="preserve"> </w:t>
      </w:r>
      <w:r>
        <w:t>oratoire</w:t>
      </w:r>
      <w:r w:rsidRPr="002C4077">
        <w:t xml:space="preserve"> </w:t>
      </w:r>
      <w:r>
        <w:t>n’a</w:t>
      </w:r>
      <w:r w:rsidRPr="002C4077">
        <w:t xml:space="preserve"> </w:t>
      </w:r>
      <w:r>
        <w:t>pas</w:t>
      </w:r>
      <w:r w:rsidRPr="002C4077">
        <w:t xml:space="preserve"> </w:t>
      </w:r>
      <w:r>
        <w:t>d’autre</w:t>
      </w:r>
      <w:r w:rsidRPr="002C4077">
        <w:t xml:space="preserve"> </w:t>
      </w:r>
      <w:r>
        <w:t>ornement</w:t>
      </w:r>
      <w:r w:rsidR="00B91AF7">
        <w:rPr>
          <w:rStyle w:val="Appelnotedebasdep"/>
        </w:rPr>
        <w:footnoteReference w:id="730"/>
      </w:r>
      <w:r>
        <w:t>.</w:t>
      </w:r>
      <w:r w:rsidRPr="002C4077">
        <w:t xml:space="preserve"> </w:t>
      </w:r>
    </w:p>
    <w:p w:rsidR="002F7AFA" w:rsidRDefault="002F7AFA" w:rsidP="000A7AAB"/>
    <w:p w:rsidR="000A7AAB" w:rsidRDefault="000A7AAB" w:rsidP="000A7AAB">
      <w:r>
        <w:t>Dirigeons-nous</w:t>
      </w:r>
      <w:r w:rsidRPr="002C4077">
        <w:t xml:space="preserve"> </w:t>
      </w:r>
      <w:r>
        <w:t>maintenant</w:t>
      </w:r>
      <w:r w:rsidRPr="002C4077">
        <w:t xml:space="preserve"> </w:t>
      </w:r>
      <w:r>
        <w:t>vers</w:t>
      </w:r>
      <w:r w:rsidRPr="002C4077">
        <w:t xml:space="preserve"> </w:t>
      </w:r>
      <w:r>
        <w:t>l’ouest.</w:t>
      </w:r>
      <w:r w:rsidRPr="002C4077">
        <w:t xml:space="preserve"> </w:t>
      </w:r>
      <w:r>
        <w:t>Nous</w:t>
      </w:r>
      <w:r w:rsidRPr="002C4077">
        <w:t xml:space="preserve"> </w:t>
      </w:r>
      <w:r>
        <w:t>trouvons</w:t>
      </w:r>
      <w:r w:rsidRPr="002C4077">
        <w:t xml:space="preserve"> </w:t>
      </w:r>
      <w:r>
        <w:t>bientôt</w:t>
      </w:r>
      <w:r w:rsidRPr="002C4077">
        <w:t xml:space="preserve"> </w:t>
      </w:r>
      <w:r>
        <w:t>une</w:t>
      </w:r>
      <w:r w:rsidRPr="002C4077">
        <w:t xml:space="preserve"> </w:t>
      </w:r>
      <w:r>
        <w:t>autre</w:t>
      </w:r>
      <w:r w:rsidRPr="002C4077">
        <w:t xml:space="preserve"> </w:t>
      </w:r>
      <w:r>
        <w:t>grotte</w:t>
      </w:r>
      <w:r w:rsidRPr="002C4077">
        <w:t xml:space="preserve"> </w:t>
      </w:r>
      <w:r>
        <w:t>intéressante,</w:t>
      </w:r>
      <w:r w:rsidRPr="002C4077">
        <w:t xml:space="preserve"> </w:t>
      </w:r>
      <w:r>
        <w:t>transformée</w:t>
      </w:r>
      <w:r w:rsidRPr="002C4077">
        <w:t xml:space="preserve"> </w:t>
      </w:r>
      <w:r>
        <w:t>en</w:t>
      </w:r>
      <w:r w:rsidRPr="002C4077">
        <w:t xml:space="preserve"> </w:t>
      </w:r>
      <w:r>
        <w:t>sanctuaire</w:t>
      </w:r>
      <w:r w:rsidRPr="002C4077">
        <w:t xml:space="preserve"> </w:t>
      </w:r>
      <w:r>
        <w:t>comme</w:t>
      </w:r>
      <w:r w:rsidRPr="002C4077">
        <w:t xml:space="preserve"> </w:t>
      </w:r>
      <w:r>
        <w:t>celle</w:t>
      </w:r>
      <w:r w:rsidRPr="002C4077">
        <w:t xml:space="preserve"> </w:t>
      </w:r>
      <w:r>
        <w:t>de</w:t>
      </w:r>
      <w:r w:rsidRPr="002C4077">
        <w:t xml:space="preserve"> </w:t>
      </w:r>
      <w:r>
        <w:t>l’Annonciation.</w:t>
      </w:r>
      <w:r w:rsidRPr="002C4077">
        <w:t xml:space="preserve"> </w:t>
      </w:r>
      <w:r>
        <w:t>C’est</w:t>
      </w:r>
      <w:r w:rsidRPr="002C4077">
        <w:t xml:space="preserve"> </w:t>
      </w:r>
      <w:r>
        <w:t>la</w:t>
      </w:r>
      <w:r w:rsidRPr="002C4077">
        <w:t xml:space="preserve"> </w:t>
      </w:r>
      <w:r>
        <w:t>grotte</w:t>
      </w:r>
      <w:r w:rsidRPr="002C4077">
        <w:t xml:space="preserve"> </w:t>
      </w:r>
      <w:r>
        <w:t>de</w:t>
      </w:r>
      <w:r w:rsidRPr="002C4077">
        <w:t xml:space="preserve"> </w:t>
      </w:r>
      <w:r>
        <w:t>la</w:t>
      </w:r>
      <w:r w:rsidRPr="002C4077">
        <w:t xml:space="preserve"> </w:t>
      </w:r>
      <w:r w:rsidRPr="000A34B5">
        <w:rPr>
          <w:rStyle w:val="italicus"/>
        </w:rPr>
        <w:t>Mensa</w:t>
      </w:r>
      <w:r w:rsidRPr="002C4077">
        <w:t xml:space="preserve"> </w:t>
      </w:r>
      <w:r w:rsidR="003B53FD" w:rsidRPr="000A34B5">
        <w:rPr>
          <w:rStyle w:val="italicus"/>
        </w:rPr>
        <w:t>Chr</w:t>
      </w:r>
      <w:r w:rsidR="003B53FD">
        <w:rPr>
          <w:rStyle w:val="italicus"/>
        </w:rPr>
        <w:t>i</w:t>
      </w:r>
      <w:r w:rsidR="003B53FD" w:rsidRPr="000A34B5">
        <w:rPr>
          <w:rStyle w:val="italicus"/>
        </w:rPr>
        <w:t>sti</w:t>
      </w:r>
      <w:r w:rsidRPr="000A34B5">
        <w:rPr>
          <w:rStyle w:val="italicus"/>
        </w:rPr>
        <w:t>,</w:t>
      </w:r>
      <w:r w:rsidRPr="002C4077">
        <w:t xml:space="preserve"> </w:t>
      </w:r>
      <w:r>
        <w:t>c’est-à-dire</w:t>
      </w:r>
      <w:r w:rsidRPr="002C4077">
        <w:t xml:space="preserve"> </w:t>
      </w:r>
      <w:r>
        <w:t>de</w:t>
      </w:r>
      <w:r w:rsidRPr="002C4077">
        <w:t xml:space="preserve"> </w:t>
      </w:r>
      <w:r>
        <w:t>la</w:t>
      </w:r>
      <w:r w:rsidRPr="002C4077">
        <w:t xml:space="preserve"> </w:t>
      </w:r>
      <w:r>
        <w:t>Table</w:t>
      </w:r>
      <w:r w:rsidRPr="002C4077">
        <w:t xml:space="preserve"> </w:t>
      </w:r>
      <w:r>
        <w:t>du</w:t>
      </w:r>
      <w:r w:rsidRPr="002C4077">
        <w:t xml:space="preserve"> </w:t>
      </w:r>
      <w:r w:rsidR="00425C50">
        <w:t>Christ</w:t>
      </w:r>
      <w:r>
        <w:t>.</w:t>
      </w:r>
      <w:r w:rsidRPr="002C4077">
        <w:t xml:space="preserve"> </w:t>
      </w:r>
      <w:r>
        <w:t>Là</w:t>
      </w:r>
      <w:r w:rsidRPr="002C4077">
        <w:t xml:space="preserve"> </w:t>
      </w:r>
      <w:r>
        <w:t>se</w:t>
      </w:r>
      <w:r w:rsidRPr="002C4077">
        <w:t xml:space="preserve"> </w:t>
      </w:r>
      <w:r>
        <w:t>trouve</w:t>
      </w:r>
      <w:r w:rsidRPr="002C4077">
        <w:t xml:space="preserve"> </w:t>
      </w:r>
      <w:r>
        <w:t>une</w:t>
      </w:r>
      <w:r w:rsidRPr="002C4077">
        <w:t xml:space="preserve"> </w:t>
      </w:r>
      <w:r>
        <w:t>grosse</w:t>
      </w:r>
      <w:r w:rsidRPr="002C4077">
        <w:t xml:space="preserve"> </w:t>
      </w:r>
      <w:r>
        <w:t>pierre</w:t>
      </w:r>
      <w:r w:rsidRPr="002C4077">
        <w:t xml:space="preserve"> </w:t>
      </w:r>
      <w:r>
        <w:t>arrondie,</w:t>
      </w:r>
      <w:r w:rsidRPr="002C4077">
        <w:t xml:space="preserve"> </w:t>
      </w:r>
      <w:r>
        <w:t>haute</w:t>
      </w:r>
      <w:r w:rsidRPr="002C4077">
        <w:t xml:space="preserve"> </w:t>
      </w:r>
      <w:r>
        <w:t>d’environ</w:t>
      </w:r>
      <w:r w:rsidRPr="002C4077">
        <w:t xml:space="preserve"> </w:t>
      </w:r>
      <w:r>
        <w:t>trois</w:t>
      </w:r>
      <w:r w:rsidRPr="002C4077">
        <w:t xml:space="preserve"> </w:t>
      </w:r>
      <w:r>
        <w:t>pieds,</w:t>
      </w:r>
      <w:r w:rsidRPr="002C4077">
        <w:t xml:space="preserve"> </w:t>
      </w:r>
      <w:r>
        <w:t>sur</w:t>
      </w:r>
      <w:r w:rsidRPr="002C4077">
        <w:t xml:space="preserve"> </w:t>
      </w:r>
      <w:r>
        <w:t>laquelle,</w:t>
      </w:r>
      <w:r w:rsidRPr="002C4077">
        <w:t xml:space="preserve"> </w:t>
      </w:r>
      <w:r>
        <w:t>d’après</w:t>
      </w:r>
      <w:r w:rsidRPr="002C4077">
        <w:t xml:space="preserve"> </w:t>
      </w:r>
      <w:r>
        <w:t>de</w:t>
      </w:r>
      <w:r w:rsidRPr="002C4077">
        <w:t xml:space="preserve"> </w:t>
      </w:r>
      <w:r>
        <w:t>pieuses</w:t>
      </w:r>
      <w:r w:rsidRPr="002C4077">
        <w:t xml:space="preserve"> </w:t>
      </w:r>
      <w:r>
        <w:t>traditions,</w:t>
      </w:r>
      <w:r w:rsidRPr="002C4077">
        <w:t xml:space="preserve"> </w:t>
      </w:r>
      <w:r>
        <w:t>Notre</w:t>
      </w:r>
      <w:r w:rsidRPr="002C4077">
        <w:t xml:space="preserve"> </w:t>
      </w:r>
      <w:r>
        <w:t>Seigneur</w:t>
      </w:r>
      <w:r w:rsidRPr="002C4077">
        <w:t xml:space="preserve"> </w:t>
      </w:r>
      <w:r w:rsidR="00425C50">
        <w:t>Jésus</w:t>
      </w:r>
      <w:r>
        <w:t>-</w:t>
      </w:r>
      <w:r w:rsidR="00425C50">
        <w:t>Christ</w:t>
      </w:r>
      <w:r w:rsidRPr="002C4077">
        <w:t xml:space="preserve"> </w:t>
      </w:r>
      <w:r>
        <w:t>aurait</w:t>
      </w:r>
      <w:r w:rsidRPr="002C4077">
        <w:t xml:space="preserve"> </w:t>
      </w:r>
      <w:r>
        <w:t>pris</w:t>
      </w:r>
      <w:r w:rsidRPr="002C4077">
        <w:t xml:space="preserve"> </w:t>
      </w:r>
      <w:r>
        <w:t>quelquefois</w:t>
      </w:r>
      <w:r w:rsidRPr="002C4077">
        <w:t xml:space="preserve"> </w:t>
      </w:r>
      <w:r>
        <w:t>ses</w:t>
      </w:r>
      <w:r w:rsidRPr="002C4077">
        <w:t xml:space="preserve"> </w:t>
      </w:r>
      <w:r>
        <w:t>repas</w:t>
      </w:r>
      <w:r w:rsidRPr="002C4077">
        <w:t xml:space="preserve"> </w:t>
      </w:r>
      <w:r>
        <w:t>en</w:t>
      </w:r>
      <w:r w:rsidRPr="002C4077">
        <w:t xml:space="preserve"> </w:t>
      </w:r>
      <w:r>
        <w:t>compagnie</w:t>
      </w:r>
      <w:r w:rsidRPr="002C4077">
        <w:t xml:space="preserve"> </w:t>
      </w:r>
      <w:r>
        <w:t>de</w:t>
      </w:r>
      <w:r w:rsidRPr="002C4077">
        <w:t xml:space="preserve"> </w:t>
      </w:r>
      <w:r>
        <w:t>ses</w:t>
      </w:r>
      <w:r w:rsidRPr="002C4077">
        <w:t xml:space="preserve"> </w:t>
      </w:r>
      <w:r>
        <w:t>disciples.</w:t>
      </w:r>
      <w:r w:rsidRPr="002C4077">
        <w:t xml:space="preserve"> </w:t>
      </w:r>
    </w:p>
    <w:p w:rsidR="002F7AFA" w:rsidRDefault="002F7AFA" w:rsidP="000A7AAB"/>
    <w:p w:rsidR="000A7AAB" w:rsidRDefault="000A7AAB" w:rsidP="000A7AAB">
      <w:r>
        <w:t>Si</w:t>
      </w:r>
      <w:r w:rsidRPr="002C4077">
        <w:t xml:space="preserve"> </w:t>
      </w:r>
      <w:r>
        <w:t>vous</w:t>
      </w:r>
      <w:r w:rsidRPr="002C4077">
        <w:t xml:space="preserve"> </w:t>
      </w:r>
      <w:r>
        <w:t>le</w:t>
      </w:r>
      <w:r w:rsidRPr="002C4077">
        <w:t xml:space="preserve"> </w:t>
      </w:r>
      <w:r>
        <w:t>voulez</w:t>
      </w:r>
      <w:r w:rsidRPr="002C4077">
        <w:t xml:space="preserve"> </w:t>
      </w:r>
      <w:r>
        <w:t>bien,</w:t>
      </w:r>
      <w:r w:rsidRPr="002C4077">
        <w:t xml:space="preserve"> </w:t>
      </w:r>
      <w:r>
        <w:t>nous</w:t>
      </w:r>
      <w:r w:rsidRPr="002C4077">
        <w:t xml:space="preserve"> </w:t>
      </w:r>
      <w:r>
        <w:t>terminerons</w:t>
      </w:r>
      <w:r w:rsidRPr="002C4077">
        <w:t xml:space="preserve"> </w:t>
      </w:r>
      <w:r>
        <w:t>notre</w:t>
      </w:r>
      <w:r w:rsidRPr="002C4077">
        <w:t xml:space="preserve"> </w:t>
      </w:r>
      <w:r>
        <w:t>visite</w:t>
      </w:r>
      <w:r w:rsidRPr="002C4077">
        <w:t xml:space="preserve"> </w:t>
      </w:r>
      <w:r>
        <w:t>à</w:t>
      </w:r>
      <w:r w:rsidRPr="002C4077">
        <w:t xml:space="preserve"> </w:t>
      </w:r>
      <w:r>
        <w:t>ceux</w:t>
      </w:r>
      <w:r w:rsidRPr="002C4077">
        <w:t xml:space="preserve"> </w:t>
      </w:r>
      <w:r>
        <w:t>des</w:t>
      </w:r>
      <w:r w:rsidRPr="002C4077">
        <w:t xml:space="preserve"> </w:t>
      </w:r>
      <w:r>
        <w:t>Saints</w:t>
      </w:r>
      <w:r w:rsidRPr="002C4077">
        <w:t xml:space="preserve"> </w:t>
      </w:r>
      <w:r>
        <w:t>Lieux</w:t>
      </w:r>
      <w:r w:rsidRPr="002C4077">
        <w:t xml:space="preserve"> </w:t>
      </w:r>
      <w:r>
        <w:t>qui</w:t>
      </w:r>
      <w:r w:rsidRPr="002C4077">
        <w:t xml:space="preserve"> </w:t>
      </w:r>
      <w:r>
        <w:t>appartiennent</w:t>
      </w:r>
      <w:r w:rsidRPr="002C4077">
        <w:t xml:space="preserve"> </w:t>
      </w:r>
      <w:r>
        <w:t>aux</w:t>
      </w:r>
      <w:r w:rsidRPr="002C4077">
        <w:t xml:space="preserve"> </w:t>
      </w:r>
      <w:r>
        <w:t>catholiques</w:t>
      </w:r>
      <w:r w:rsidRPr="002C4077">
        <w:t xml:space="preserve"> </w:t>
      </w:r>
      <w:r>
        <w:t>du</w:t>
      </w:r>
      <w:r w:rsidRPr="002C4077">
        <w:t xml:space="preserve"> </w:t>
      </w:r>
      <w:r>
        <w:t>rit</w:t>
      </w:r>
      <w:r w:rsidRPr="002C4077">
        <w:t xml:space="preserve"> </w:t>
      </w:r>
      <w:r>
        <w:t>latin,</w:t>
      </w:r>
      <w:r w:rsidRPr="002C4077">
        <w:t xml:space="preserve"> </w:t>
      </w:r>
      <w:r>
        <w:t>par</w:t>
      </w:r>
      <w:r w:rsidRPr="002C4077">
        <w:t xml:space="preserve"> </w:t>
      </w:r>
      <w:r>
        <w:t>une</w:t>
      </w:r>
      <w:r w:rsidRPr="002C4077">
        <w:t xml:space="preserve"> </w:t>
      </w:r>
      <w:r>
        <w:t>visite</w:t>
      </w:r>
      <w:r w:rsidRPr="002C4077">
        <w:t xml:space="preserve"> </w:t>
      </w:r>
      <w:r>
        <w:t>aux</w:t>
      </w:r>
      <w:r w:rsidRPr="002C4077">
        <w:t xml:space="preserve"> </w:t>
      </w:r>
      <w:r>
        <w:t>Dames</w:t>
      </w:r>
      <w:r w:rsidRPr="002C4077">
        <w:t xml:space="preserve"> </w:t>
      </w:r>
      <w:r>
        <w:t>de</w:t>
      </w:r>
      <w:r w:rsidRPr="002C4077">
        <w:t xml:space="preserve"> </w:t>
      </w:r>
      <w:r>
        <w:t>Nazareth.</w:t>
      </w:r>
      <w:r w:rsidRPr="002C4077">
        <w:t xml:space="preserve"> </w:t>
      </w:r>
      <w:r>
        <w:t>Elles</w:t>
      </w:r>
      <w:r w:rsidRPr="002C4077">
        <w:t xml:space="preserve"> </w:t>
      </w:r>
      <w:r>
        <w:t>méritent</w:t>
      </w:r>
      <w:r w:rsidRPr="002C4077">
        <w:t xml:space="preserve"> </w:t>
      </w:r>
      <w:r>
        <w:t>cette</w:t>
      </w:r>
      <w:r w:rsidRPr="002C4077">
        <w:t xml:space="preserve"> </w:t>
      </w:r>
      <w:r>
        <w:t>marque</w:t>
      </w:r>
      <w:r w:rsidRPr="002C4077">
        <w:t xml:space="preserve"> </w:t>
      </w:r>
      <w:r>
        <w:t>de</w:t>
      </w:r>
      <w:r w:rsidRPr="002C4077">
        <w:t xml:space="preserve"> </w:t>
      </w:r>
      <w:r>
        <w:t>sympathie,</w:t>
      </w:r>
      <w:r w:rsidRPr="002C4077">
        <w:t xml:space="preserve"> </w:t>
      </w:r>
      <w:r>
        <w:lastRenderedPageBreak/>
        <w:t>d’abord</w:t>
      </w:r>
      <w:r w:rsidRPr="002C4077">
        <w:t xml:space="preserve"> </w:t>
      </w:r>
      <w:r>
        <w:t>parce</w:t>
      </w:r>
      <w:r w:rsidRPr="002C4077">
        <w:t xml:space="preserve"> </w:t>
      </w:r>
      <w:r>
        <w:t>que</w:t>
      </w:r>
      <w:r w:rsidRPr="002C4077">
        <w:t xml:space="preserve"> </w:t>
      </w:r>
      <w:r>
        <w:t>ce</w:t>
      </w:r>
      <w:r w:rsidRPr="002C4077">
        <w:t xml:space="preserve"> </w:t>
      </w:r>
      <w:r>
        <w:t>sont</w:t>
      </w:r>
      <w:r w:rsidRPr="002C4077">
        <w:t xml:space="preserve"> </w:t>
      </w:r>
      <w:r>
        <w:t>des</w:t>
      </w:r>
      <w:r w:rsidRPr="002C4077">
        <w:t xml:space="preserve"> </w:t>
      </w:r>
      <w:r>
        <w:t>Françaises,</w:t>
      </w:r>
      <w:r w:rsidRPr="002C4077">
        <w:t xml:space="preserve"> </w:t>
      </w:r>
      <w:r>
        <w:t>ensuite</w:t>
      </w:r>
      <w:r w:rsidRPr="002C4077">
        <w:t xml:space="preserve"> </w:t>
      </w:r>
      <w:r>
        <w:t>parce</w:t>
      </w:r>
      <w:r w:rsidRPr="002C4077">
        <w:t xml:space="preserve"> </w:t>
      </w:r>
      <w:r>
        <w:t>qu’elles</w:t>
      </w:r>
      <w:r w:rsidRPr="002C4077">
        <w:t xml:space="preserve"> </w:t>
      </w:r>
      <w:r>
        <w:t>se</w:t>
      </w:r>
      <w:r w:rsidRPr="002C4077">
        <w:t xml:space="preserve"> </w:t>
      </w:r>
      <w:r>
        <w:t>dévouent</w:t>
      </w:r>
      <w:r w:rsidRPr="002C4077">
        <w:t xml:space="preserve"> </w:t>
      </w:r>
      <w:r>
        <w:t>avec</w:t>
      </w:r>
      <w:r w:rsidRPr="002C4077">
        <w:t xml:space="preserve"> </w:t>
      </w:r>
      <w:r>
        <w:t>tant</w:t>
      </w:r>
      <w:r w:rsidRPr="002C4077">
        <w:t xml:space="preserve"> </w:t>
      </w:r>
      <w:r>
        <w:t>de</w:t>
      </w:r>
      <w:r w:rsidRPr="002C4077">
        <w:t xml:space="preserve"> </w:t>
      </w:r>
      <w:r>
        <w:t>générosité</w:t>
      </w:r>
      <w:r w:rsidRPr="002C4077">
        <w:t xml:space="preserve"> </w:t>
      </w:r>
      <w:r>
        <w:t>aux</w:t>
      </w:r>
      <w:r w:rsidRPr="002C4077">
        <w:t xml:space="preserve"> </w:t>
      </w:r>
      <w:r>
        <w:t>œuvres</w:t>
      </w:r>
      <w:r w:rsidRPr="002C4077">
        <w:t xml:space="preserve"> </w:t>
      </w:r>
      <w:r>
        <w:t>de</w:t>
      </w:r>
      <w:r w:rsidRPr="002C4077">
        <w:t xml:space="preserve"> </w:t>
      </w:r>
      <w:r>
        <w:t>la</w:t>
      </w:r>
      <w:r w:rsidRPr="002C4077">
        <w:t xml:space="preserve"> </w:t>
      </w:r>
      <w:r>
        <w:t>Terre-Sainte.</w:t>
      </w:r>
      <w:r w:rsidR="00C45B47">
        <w:t xml:space="preserve"> {</w:t>
      </w:r>
      <w:r w:rsidR="001F5257">
        <w:t>223</w:t>
      </w:r>
      <w:bookmarkStart w:id="542" w:name="p223"/>
      <w:bookmarkEnd w:id="542"/>
      <w:r w:rsidR="001F5257">
        <w:t xml:space="preserve">} </w:t>
      </w:r>
      <w:r>
        <w:t>Établies</w:t>
      </w:r>
      <w:r w:rsidRPr="002C4077">
        <w:t xml:space="preserve"> </w:t>
      </w:r>
      <w:r>
        <w:t>dans</w:t>
      </w:r>
      <w:r w:rsidRPr="002C4077">
        <w:t xml:space="preserve"> </w:t>
      </w:r>
      <w:r>
        <w:t>la</w:t>
      </w:r>
      <w:r w:rsidRPr="002C4077">
        <w:t xml:space="preserve"> </w:t>
      </w:r>
      <w:r>
        <w:t>cité</w:t>
      </w:r>
      <w:r w:rsidRPr="002C4077">
        <w:t xml:space="preserve"> </w:t>
      </w:r>
      <w:r>
        <w:t>de</w:t>
      </w:r>
      <w:r w:rsidRPr="002C4077">
        <w:t xml:space="preserve"> </w:t>
      </w:r>
      <w:r w:rsidR="00425C50">
        <w:t>Jésus</w:t>
      </w:r>
      <w:r w:rsidRPr="002C4077">
        <w:t xml:space="preserve"> </w:t>
      </w:r>
      <w:r>
        <w:t>depuis</w:t>
      </w:r>
      <w:r w:rsidRPr="002C4077">
        <w:t xml:space="preserve"> </w:t>
      </w:r>
      <w:r>
        <w:t>environ</w:t>
      </w:r>
      <w:r w:rsidRPr="002C4077">
        <w:t xml:space="preserve"> </w:t>
      </w:r>
      <w:r>
        <w:t>trente</w:t>
      </w:r>
      <w:r w:rsidRPr="002C4077">
        <w:t xml:space="preserve"> </w:t>
      </w:r>
      <w:r>
        <w:t>ans,</w:t>
      </w:r>
      <w:r w:rsidRPr="002C4077">
        <w:t xml:space="preserve"> </w:t>
      </w:r>
      <w:r>
        <w:t>ces</w:t>
      </w:r>
      <w:r w:rsidRPr="002C4077">
        <w:t xml:space="preserve"> </w:t>
      </w:r>
      <w:r>
        <w:t>saintes</w:t>
      </w:r>
      <w:r w:rsidRPr="002C4077">
        <w:t xml:space="preserve"> </w:t>
      </w:r>
      <w:r>
        <w:t>religieuses</w:t>
      </w:r>
      <w:r w:rsidRPr="002C4077">
        <w:t xml:space="preserve"> </w:t>
      </w:r>
      <w:r>
        <w:t>y</w:t>
      </w:r>
      <w:r w:rsidRPr="002C4077">
        <w:t xml:space="preserve"> </w:t>
      </w:r>
      <w:r>
        <w:t>remplissent</w:t>
      </w:r>
      <w:r w:rsidRPr="002C4077">
        <w:t xml:space="preserve"> </w:t>
      </w:r>
      <w:r>
        <w:t>deux</w:t>
      </w:r>
      <w:r w:rsidRPr="002C4077">
        <w:t xml:space="preserve"> </w:t>
      </w:r>
      <w:r>
        <w:t>ministères</w:t>
      </w:r>
      <w:r w:rsidRPr="002C4077">
        <w:t xml:space="preserve"> </w:t>
      </w:r>
      <w:r>
        <w:t>principaux</w:t>
      </w:r>
      <w:r w:rsidR="00B546AF">
        <w:t> :</w:t>
      </w:r>
      <w:r w:rsidRPr="002C4077">
        <w:t xml:space="preserve"> </w:t>
      </w:r>
      <w:r>
        <w:t>elles</w:t>
      </w:r>
      <w:r w:rsidRPr="002C4077">
        <w:t xml:space="preserve"> </w:t>
      </w:r>
      <w:r>
        <w:t>font</w:t>
      </w:r>
      <w:r w:rsidRPr="002C4077">
        <w:t xml:space="preserve"> </w:t>
      </w:r>
      <w:r>
        <w:t>la</w:t>
      </w:r>
      <w:r w:rsidRPr="002C4077">
        <w:t xml:space="preserve"> </w:t>
      </w:r>
      <w:r>
        <w:t>classe</w:t>
      </w:r>
      <w:r w:rsidRPr="002C4077">
        <w:t xml:space="preserve"> </w:t>
      </w:r>
      <w:r>
        <w:t>aux</w:t>
      </w:r>
      <w:r w:rsidRPr="002C4077">
        <w:t xml:space="preserve"> </w:t>
      </w:r>
      <w:r>
        <w:t>petits</w:t>
      </w:r>
      <w:r w:rsidRPr="002C4077">
        <w:t xml:space="preserve"> </w:t>
      </w:r>
      <w:r>
        <w:t>enfants,</w:t>
      </w:r>
      <w:r w:rsidRPr="002C4077">
        <w:t xml:space="preserve"> </w:t>
      </w:r>
      <w:r>
        <w:t>qui</w:t>
      </w:r>
      <w:r w:rsidRPr="002C4077">
        <w:t xml:space="preserve"> </w:t>
      </w:r>
      <w:r>
        <w:t>accourent</w:t>
      </w:r>
      <w:r w:rsidRPr="002C4077">
        <w:t xml:space="preserve"> </w:t>
      </w:r>
      <w:r>
        <w:t>chez</w:t>
      </w:r>
      <w:r w:rsidRPr="002C4077">
        <w:t xml:space="preserve"> </w:t>
      </w:r>
      <w:r>
        <w:t>elles</w:t>
      </w:r>
      <w:r w:rsidRPr="002C4077">
        <w:t xml:space="preserve"> </w:t>
      </w:r>
      <w:r>
        <w:t>à</w:t>
      </w:r>
      <w:r w:rsidRPr="002C4077">
        <w:t xml:space="preserve"> </w:t>
      </w:r>
      <w:r>
        <w:t>l’envi</w:t>
      </w:r>
      <w:r w:rsidRPr="002C4077">
        <w:t xml:space="preserve"> </w:t>
      </w:r>
      <w:r>
        <w:t>pour</w:t>
      </w:r>
      <w:r w:rsidRPr="002C4077">
        <w:t xml:space="preserve"> </w:t>
      </w:r>
      <w:r>
        <w:t>profiter</w:t>
      </w:r>
      <w:r w:rsidRPr="002C4077">
        <w:t xml:space="preserve"> </w:t>
      </w:r>
      <w:r>
        <w:t>de</w:t>
      </w:r>
      <w:r w:rsidRPr="002C4077">
        <w:t xml:space="preserve"> </w:t>
      </w:r>
      <w:r>
        <w:t>leurs</w:t>
      </w:r>
      <w:r w:rsidRPr="002C4077">
        <w:t xml:space="preserve"> </w:t>
      </w:r>
      <w:r>
        <w:t>bons</w:t>
      </w:r>
      <w:r w:rsidRPr="002C4077">
        <w:t xml:space="preserve"> </w:t>
      </w:r>
      <w:r>
        <w:t>soins,</w:t>
      </w:r>
      <w:r w:rsidRPr="002C4077">
        <w:t xml:space="preserve"> </w:t>
      </w:r>
      <w:r>
        <w:t>sans</w:t>
      </w:r>
      <w:r w:rsidRPr="002C4077">
        <w:t xml:space="preserve"> </w:t>
      </w:r>
      <w:r>
        <w:t>distinction</w:t>
      </w:r>
      <w:r w:rsidRPr="002C4077">
        <w:t xml:space="preserve"> </w:t>
      </w:r>
      <w:r>
        <w:t>de</w:t>
      </w:r>
      <w:r w:rsidRPr="002C4077">
        <w:t xml:space="preserve"> </w:t>
      </w:r>
      <w:r>
        <w:t>religion,</w:t>
      </w:r>
      <w:r w:rsidRPr="002C4077">
        <w:t xml:space="preserve"> </w:t>
      </w:r>
      <w:r>
        <w:t>car</w:t>
      </w:r>
      <w:r w:rsidRPr="002C4077">
        <w:t xml:space="preserve"> </w:t>
      </w:r>
      <w:r>
        <w:t>elles</w:t>
      </w:r>
      <w:r w:rsidRPr="002C4077">
        <w:t xml:space="preserve"> </w:t>
      </w:r>
      <w:r>
        <w:t>ne</w:t>
      </w:r>
      <w:r w:rsidRPr="002C4077">
        <w:t xml:space="preserve"> </w:t>
      </w:r>
      <w:r>
        <w:t>repoussent</w:t>
      </w:r>
      <w:r w:rsidRPr="002C4077">
        <w:t xml:space="preserve"> </w:t>
      </w:r>
      <w:r>
        <w:t>personne,</w:t>
      </w:r>
      <w:r w:rsidRPr="002C4077">
        <w:t xml:space="preserve"> </w:t>
      </w:r>
      <w:r>
        <w:t>pas</w:t>
      </w:r>
      <w:r w:rsidRPr="002C4077">
        <w:t xml:space="preserve"> </w:t>
      </w:r>
      <w:r w:rsidR="00F042F3">
        <w:t>même</w:t>
      </w:r>
      <w:r w:rsidRPr="002C4077">
        <w:t xml:space="preserve"> </w:t>
      </w:r>
      <w:r>
        <w:t>les</w:t>
      </w:r>
      <w:r w:rsidRPr="002C4077">
        <w:t xml:space="preserve"> </w:t>
      </w:r>
      <w:r>
        <w:t>mahométans</w:t>
      </w:r>
      <w:r w:rsidR="00B546AF">
        <w:t> ;</w:t>
      </w:r>
      <w:r w:rsidRPr="002C4077">
        <w:t xml:space="preserve"> </w:t>
      </w:r>
      <w:r>
        <w:t>puis</w:t>
      </w:r>
      <w:r w:rsidRPr="002C4077">
        <w:t xml:space="preserve"> </w:t>
      </w:r>
      <w:r>
        <w:t>elles</w:t>
      </w:r>
      <w:r w:rsidRPr="002C4077">
        <w:t xml:space="preserve"> </w:t>
      </w:r>
      <w:r>
        <w:t>vont</w:t>
      </w:r>
      <w:r w:rsidRPr="002C4077">
        <w:t xml:space="preserve"> </w:t>
      </w:r>
      <w:r>
        <w:t>soigner</w:t>
      </w:r>
      <w:r w:rsidRPr="002C4077">
        <w:t xml:space="preserve"> </w:t>
      </w:r>
      <w:r>
        <w:t>les</w:t>
      </w:r>
      <w:r w:rsidRPr="002C4077">
        <w:t xml:space="preserve"> </w:t>
      </w:r>
      <w:r>
        <w:t>malades</w:t>
      </w:r>
      <w:r w:rsidRPr="002C4077">
        <w:t xml:space="preserve"> </w:t>
      </w:r>
      <w:r>
        <w:t>à</w:t>
      </w:r>
      <w:r w:rsidRPr="002C4077">
        <w:t xml:space="preserve"> </w:t>
      </w:r>
      <w:r>
        <w:t>domicile,</w:t>
      </w:r>
      <w:r w:rsidRPr="002C4077">
        <w:t xml:space="preserve"> </w:t>
      </w:r>
      <w:r>
        <w:t>également</w:t>
      </w:r>
      <w:r w:rsidRPr="002C4077">
        <w:t xml:space="preserve"> </w:t>
      </w:r>
      <w:r>
        <w:t>sans</w:t>
      </w:r>
      <w:r w:rsidRPr="002C4077">
        <w:t xml:space="preserve"> </w:t>
      </w:r>
      <w:r>
        <w:t>distinction.</w:t>
      </w:r>
      <w:r w:rsidRPr="002C4077">
        <w:t xml:space="preserve"> </w:t>
      </w:r>
      <w:r>
        <w:t>Que</w:t>
      </w:r>
      <w:r w:rsidRPr="002C4077">
        <w:t xml:space="preserve"> </w:t>
      </w:r>
      <w:r>
        <w:t>Dieu</w:t>
      </w:r>
      <w:r w:rsidRPr="002C4077">
        <w:t xml:space="preserve"> </w:t>
      </w:r>
      <w:r>
        <w:t>récompense</w:t>
      </w:r>
      <w:r w:rsidRPr="002C4077">
        <w:t xml:space="preserve"> </w:t>
      </w:r>
      <w:r>
        <w:t>leur</w:t>
      </w:r>
      <w:r w:rsidRPr="002C4077">
        <w:t xml:space="preserve"> </w:t>
      </w:r>
      <w:r>
        <w:t>noble</w:t>
      </w:r>
      <w:r w:rsidRPr="002C4077">
        <w:t xml:space="preserve"> </w:t>
      </w:r>
      <w:r>
        <w:t>dévouement</w:t>
      </w:r>
      <w:r w:rsidR="00B546AF">
        <w:t> !</w:t>
      </w:r>
      <w:r w:rsidRPr="002C4077">
        <w:t xml:space="preserve"> </w:t>
      </w:r>
    </w:p>
    <w:p w:rsidR="002F7AFA" w:rsidRDefault="002F7AFA" w:rsidP="000A7AAB"/>
    <w:p w:rsidR="000A7AAB" w:rsidRDefault="000A7AAB" w:rsidP="000A7AAB">
      <w:r>
        <w:t>Les</w:t>
      </w:r>
      <w:r w:rsidRPr="002C4077">
        <w:t xml:space="preserve"> </w:t>
      </w:r>
      <w:r>
        <w:t>Grecs</w:t>
      </w:r>
      <w:r w:rsidRPr="002C4077">
        <w:t xml:space="preserve"> </w:t>
      </w:r>
      <w:r>
        <w:t>schismatiques</w:t>
      </w:r>
      <w:r w:rsidRPr="002C4077">
        <w:t xml:space="preserve"> </w:t>
      </w:r>
      <w:r>
        <w:t>possèdent,</w:t>
      </w:r>
      <w:r w:rsidRPr="002C4077">
        <w:t xml:space="preserve"> </w:t>
      </w:r>
      <w:r>
        <w:t>à</w:t>
      </w:r>
      <w:r w:rsidRPr="002C4077">
        <w:t xml:space="preserve"> </w:t>
      </w:r>
      <w:r>
        <w:t>quelques</w:t>
      </w:r>
      <w:r w:rsidRPr="002C4077">
        <w:t xml:space="preserve"> </w:t>
      </w:r>
      <w:r>
        <w:t>minutes</w:t>
      </w:r>
      <w:r w:rsidRPr="002C4077">
        <w:t xml:space="preserve"> </w:t>
      </w:r>
      <w:r>
        <w:t>de</w:t>
      </w:r>
      <w:r w:rsidRPr="002C4077">
        <w:t xml:space="preserve"> </w:t>
      </w:r>
      <w:r>
        <w:t>la</w:t>
      </w:r>
      <w:r w:rsidRPr="002C4077">
        <w:t xml:space="preserve"> </w:t>
      </w:r>
      <w:r>
        <w:t>ville,</w:t>
      </w:r>
      <w:r w:rsidRPr="002C4077">
        <w:t xml:space="preserve"> </w:t>
      </w:r>
      <w:r>
        <w:t>un</w:t>
      </w:r>
      <w:r w:rsidRPr="002C4077">
        <w:t xml:space="preserve"> </w:t>
      </w:r>
      <w:r>
        <w:t>établissement</w:t>
      </w:r>
      <w:r w:rsidRPr="002C4077">
        <w:t xml:space="preserve"> </w:t>
      </w:r>
      <w:r>
        <w:t>qui</w:t>
      </w:r>
      <w:r w:rsidRPr="002C4077">
        <w:t xml:space="preserve"> </w:t>
      </w:r>
      <w:r>
        <w:t>excite</w:t>
      </w:r>
      <w:r w:rsidRPr="002C4077">
        <w:t xml:space="preserve"> </w:t>
      </w:r>
      <w:r>
        <w:t>à</w:t>
      </w:r>
      <w:r w:rsidRPr="002C4077">
        <w:t xml:space="preserve"> </w:t>
      </w:r>
      <w:r>
        <w:t>son</w:t>
      </w:r>
      <w:r w:rsidRPr="002C4077">
        <w:t xml:space="preserve"> </w:t>
      </w:r>
      <w:r>
        <w:t>tour</w:t>
      </w:r>
      <w:r w:rsidRPr="002C4077">
        <w:t xml:space="preserve"> </w:t>
      </w:r>
      <w:r>
        <w:t>notre</w:t>
      </w:r>
      <w:r w:rsidRPr="002C4077">
        <w:t xml:space="preserve"> </w:t>
      </w:r>
      <w:r>
        <w:t>sympathie.</w:t>
      </w:r>
      <w:r w:rsidRPr="002C4077">
        <w:t xml:space="preserve"> </w:t>
      </w:r>
      <w:r>
        <w:t>Il</w:t>
      </w:r>
      <w:r w:rsidRPr="002C4077">
        <w:t xml:space="preserve"> </w:t>
      </w:r>
      <w:r>
        <w:t>se</w:t>
      </w:r>
      <w:r w:rsidRPr="002C4077">
        <w:t xml:space="preserve"> </w:t>
      </w:r>
      <w:r>
        <w:t>compose</w:t>
      </w:r>
      <w:r w:rsidRPr="002C4077">
        <w:t xml:space="preserve"> </w:t>
      </w:r>
      <w:r>
        <w:t>d’un</w:t>
      </w:r>
      <w:r w:rsidRPr="002C4077">
        <w:t xml:space="preserve"> </w:t>
      </w:r>
      <w:r>
        <w:t>couvent</w:t>
      </w:r>
      <w:r w:rsidRPr="002C4077">
        <w:t xml:space="preserve"> </w:t>
      </w:r>
      <w:r>
        <w:t>et</w:t>
      </w:r>
      <w:r w:rsidRPr="002C4077">
        <w:t xml:space="preserve"> </w:t>
      </w:r>
      <w:r>
        <w:t>d’une</w:t>
      </w:r>
      <w:r w:rsidRPr="002C4077">
        <w:t xml:space="preserve"> </w:t>
      </w:r>
      <w:r>
        <w:t>fontaine.</w:t>
      </w:r>
      <w:r w:rsidRPr="002C4077">
        <w:t xml:space="preserve"> </w:t>
      </w:r>
    </w:p>
    <w:p w:rsidR="000A7AAB" w:rsidRDefault="000A7AAB" w:rsidP="000A7AAB">
      <w:r>
        <w:t>Le</w:t>
      </w:r>
      <w:r w:rsidRPr="002C4077">
        <w:t xml:space="preserve"> </w:t>
      </w:r>
      <w:r>
        <w:t>couvent,</w:t>
      </w:r>
      <w:r w:rsidRPr="002C4077">
        <w:t xml:space="preserve"> </w:t>
      </w:r>
      <w:r>
        <w:t>habité</w:t>
      </w:r>
      <w:r w:rsidRPr="002C4077">
        <w:t xml:space="preserve"> </w:t>
      </w:r>
      <w:r>
        <w:t>par</w:t>
      </w:r>
      <w:r w:rsidRPr="002C4077">
        <w:t xml:space="preserve"> </w:t>
      </w:r>
      <w:r>
        <w:t>quelques</w:t>
      </w:r>
      <w:r w:rsidRPr="002C4077">
        <w:t xml:space="preserve"> </w:t>
      </w:r>
      <w:r>
        <w:t>religieux,</w:t>
      </w:r>
      <w:r w:rsidRPr="002C4077">
        <w:t xml:space="preserve"> </w:t>
      </w:r>
      <w:r w:rsidR="00425C50">
        <w:t>est</w:t>
      </w:r>
      <w:r w:rsidRPr="002C4077">
        <w:t xml:space="preserve"> </w:t>
      </w:r>
      <w:r>
        <w:t>consacré</w:t>
      </w:r>
      <w:r w:rsidRPr="002C4077">
        <w:t xml:space="preserve"> </w:t>
      </w:r>
      <w:r>
        <w:t>à</w:t>
      </w:r>
      <w:r w:rsidRPr="002C4077">
        <w:t xml:space="preserve"> </w:t>
      </w:r>
      <w:r>
        <w:t>l’archange</w:t>
      </w:r>
      <w:r w:rsidRPr="002C4077">
        <w:t xml:space="preserve"> </w:t>
      </w:r>
      <w:r>
        <w:t>saint</w:t>
      </w:r>
      <w:r w:rsidRPr="002C4077">
        <w:t xml:space="preserve"> </w:t>
      </w:r>
      <w:r>
        <w:t>Gabriel,</w:t>
      </w:r>
      <w:r w:rsidRPr="002C4077">
        <w:t xml:space="preserve"> </w:t>
      </w:r>
      <w:r>
        <w:t>dont</w:t>
      </w:r>
      <w:r w:rsidRPr="002C4077">
        <w:t xml:space="preserve"> </w:t>
      </w:r>
      <w:r>
        <w:t>il</w:t>
      </w:r>
      <w:r w:rsidRPr="002C4077">
        <w:t xml:space="preserve"> </w:t>
      </w:r>
      <w:r>
        <w:t>porte</w:t>
      </w:r>
      <w:r w:rsidRPr="002C4077">
        <w:t xml:space="preserve"> </w:t>
      </w:r>
      <w:r>
        <w:t>le</w:t>
      </w:r>
      <w:r w:rsidRPr="002C4077">
        <w:t xml:space="preserve"> </w:t>
      </w:r>
      <w:r>
        <w:t>nom</w:t>
      </w:r>
      <w:r w:rsidR="00B546AF">
        <w:t> ;</w:t>
      </w:r>
      <w:r w:rsidRPr="002C4077">
        <w:t xml:space="preserve"> </w:t>
      </w:r>
      <w:r>
        <w:t>il</w:t>
      </w:r>
      <w:r w:rsidRPr="002C4077">
        <w:t xml:space="preserve"> </w:t>
      </w:r>
      <w:r>
        <w:t>se</w:t>
      </w:r>
      <w:r w:rsidRPr="002C4077">
        <w:t xml:space="preserve"> </w:t>
      </w:r>
      <w:r>
        <w:t>fait</w:t>
      </w:r>
      <w:r w:rsidRPr="002C4077">
        <w:t xml:space="preserve"> </w:t>
      </w:r>
      <w:r>
        <w:t>remarquer</w:t>
      </w:r>
      <w:r w:rsidRPr="002C4077">
        <w:t xml:space="preserve"> </w:t>
      </w:r>
      <w:r>
        <w:t>par</w:t>
      </w:r>
      <w:r w:rsidRPr="002C4077">
        <w:t xml:space="preserve"> </w:t>
      </w:r>
      <w:r w:rsidR="00B546AF">
        <w:t>« </w:t>
      </w:r>
      <w:r>
        <w:t>son</w:t>
      </w:r>
      <w:r w:rsidRPr="002C4077">
        <w:t xml:space="preserve"> </w:t>
      </w:r>
      <w:r>
        <w:t>architecture</w:t>
      </w:r>
      <w:r w:rsidRPr="002C4077">
        <w:t xml:space="preserve"> </w:t>
      </w:r>
      <w:r>
        <w:t>b</w:t>
      </w:r>
      <w:r w:rsidR="003B53FD">
        <w:t>arbare</w:t>
      </w:r>
      <w:r w:rsidR="00B91AF7">
        <w:rPr>
          <w:rStyle w:val="Appelnotedebasdep"/>
        </w:rPr>
        <w:footnoteReference w:id="731"/>
      </w:r>
      <w:r w:rsidR="00B546AF">
        <w:t> »</w:t>
      </w:r>
      <w:r>
        <w:t>.</w:t>
      </w:r>
      <w:r w:rsidRPr="002C4077">
        <w:t xml:space="preserve"> </w:t>
      </w:r>
      <w:r>
        <w:t>L’église,</w:t>
      </w:r>
      <w:r w:rsidRPr="002C4077">
        <w:t xml:space="preserve"> </w:t>
      </w:r>
      <w:r>
        <w:t>qui</w:t>
      </w:r>
      <w:r w:rsidRPr="002C4077">
        <w:t xml:space="preserve"> </w:t>
      </w:r>
      <w:r>
        <w:t>sert</w:t>
      </w:r>
      <w:r w:rsidRPr="002C4077">
        <w:t xml:space="preserve"> </w:t>
      </w:r>
      <w:r>
        <w:t>de</w:t>
      </w:r>
      <w:r w:rsidRPr="002C4077">
        <w:t xml:space="preserve"> </w:t>
      </w:r>
      <w:r>
        <w:t>paroisse,</w:t>
      </w:r>
      <w:r w:rsidRPr="002C4077">
        <w:t xml:space="preserve"> </w:t>
      </w:r>
      <w:r w:rsidR="00425C50">
        <w:t>est</w:t>
      </w:r>
      <w:r w:rsidRPr="002C4077">
        <w:t xml:space="preserve"> </w:t>
      </w:r>
      <w:r>
        <w:t>très</w:t>
      </w:r>
      <w:r w:rsidRPr="002C4077">
        <w:t xml:space="preserve"> </w:t>
      </w:r>
      <w:r>
        <w:t>simple</w:t>
      </w:r>
      <w:r w:rsidRPr="002C4077">
        <w:t xml:space="preserve"> </w:t>
      </w:r>
      <w:r>
        <w:t>au</w:t>
      </w:r>
      <w:r w:rsidRPr="002C4077">
        <w:t xml:space="preserve"> </w:t>
      </w:r>
      <w:r>
        <w:t>dehors</w:t>
      </w:r>
      <w:r w:rsidR="00B546AF">
        <w:t> ;</w:t>
      </w:r>
      <w:r w:rsidRPr="002C4077">
        <w:t xml:space="preserve"> </w:t>
      </w:r>
      <w:r>
        <w:t>mais,</w:t>
      </w:r>
      <w:r w:rsidRPr="002C4077">
        <w:t xml:space="preserve"> </w:t>
      </w:r>
      <w:r>
        <w:t>au</w:t>
      </w:r>
      <w:r w:rsidRPr="002C4077">
        <w:t xml:space="preserve"> </w:t>
      </w:r>
      <w:r>
        <w:t>dedans,</w:t>
      </w:r>
      <w:r w:rsidRPr="002C4077">
        <w:t xml:space="preserve"> </w:t>
      </w:r>
      <w:r>
        <w:t>elle</w:t>
      </w:r>
      <w:r w:rsidRPr="002C4077">
        <w:t xml:space="preserve"> </w:t>
      </w:r>
      <w:r w:rsidR="00425C50">
        <w:t>est</w:t>
      </w:r>
      <w:r w:rsidRPr="002C4077">
        <w:t xml:space="preserve"> </w:t>
      </w:r>
      <w:r>
        <w:t>surchargée</w:t>
      </w:r>
      <w:r w:rsidRPr="002C4077">
        <w:t xml:space="preserve"> </w:t>
      </w:r>
      <w:r>
        <w:t>d’ornements</w:t>
      </w:r>
      <w:r w:rsidRPr="002C4077">
        <w:t xml:space="preserve"> </w:t>
      </w:r>
      <w:r>
        <w:t>d’un</w:t>
      </w:r>
      <w:r w:rsidRPr="002C4077">
        <w:t xml:space="preserve"> </w:t>
      </w:r>
      <w:r>
        <w:t>goût</w:t>
      </w:r>
      <w:r w:rsidRPr="002C4077">
        <w:t xml:space="preserve"> </w:t>
      </w:r>
      <w:r>
        <w:t>douteux,</w:t>
      </w:r>
      <w:r w:rsidRPr="002C4077">
        <w:t xml:space="preserve"> </w:t>
      </w:r>
      <w:r>
        <w:t>en</w:t>
      </w:r>
      <w:r w:rsidRPr="002C4077">
        <w:t xml:space="preserve"> </w:t>
      </w:r>
      <w:r>
        <w:t>particulier</w:t>
      </w:r>
      <w:r w:rsidRPr="002C4077">
        <w:t xml:space="preserve"> </w:t>
      </w:r>
      <w:r>
        <w:t>d’affreux</w:t>
      </w:r>
      <w:r w:rsidRPr="002C4077">
        <w:t xml:space="preserve"> </w:t>
      </w:r>
      <w:r>
        <w:t>tableaux.</w:t>
      </w:r>
      <w:r w:rsidRPr="002C4077">
        <w:t xml:space="preserve"> </w:t>
      </w:r>
    </w:p>
    <w:p w:rsidR="000A7AAB" w:rsidRDefault="000A7AAB" w:rsidP="000A7AAB">
      <w:r>
        <w:t>La</w:t>
      </w:r>
      <w:r w:rsidRPr="002C4077">
        <w:t xml:space="preserve"> </w:t>
      </w:r>
      <w:r>
        <w:t>fontaine</w:t>
      </w:r>
      <w:bookmarkStart w:id="543" w:name="z_Fontaine_o1"/>
      <w:bookmarkEnd w:id="543"/>
      <w:r w:rsidRPr="002C4077">
        <w:t xml:space="preserve"> </w:t>
      </w:r>
      <w:r>
        <w:t>nous</w:t>
      </w:r>
      <w:r w:rsidRPr="002C4077">
        <w:t xml:space="preserve"> </w:t>
      </w:r>
      <w:r>
        <w:t>intéressera</w:t>
      </w:r>
      <w:r w:rsidRPr="002C4077">
        <w:t xml:space="preserve"> </w:t>
      </w:r>
      <w:r>
        <w:t>davantage.</w:t>
      </w:r>
      <w:r w:rsidRPr="002C4077">
        <w:t xml:space="preserve"> </w:t>
      </w:r>
    </w:p>
    <w:p w:rsidR="000A7AAB" w:rsidRDefault="000A7AAB" w:rsidP="000A7AAB">
      <w:r>
        <w:t>Sa</w:t>
      </w:r>
      <w:r w:rsidRPr="002C4077">
        <w:t xml:space="preserve"> </w:t>
      </w:r>
      <w:r>
        <w:t>source</w:t>
      </w:r>
      <w:r w:rsidRPr="002C4077">
        <w:t xml:space="preserve"> </w:t>
      </w:r>
      <w:r w:rsidR="00425C50">
        <w:t>est</w:t>
      </w:r>
      <w:r w:rsidRPr="002C4077">
        <w:t xml:space="preserve"> </w:t>
      </w:r>
      <w:r>
        <w:t>sous</w:t>
      </w:r>
      <w:r w:rsidRPr="002C4077">
        <w:t xml:space="preserve"> </w:t>
      </w:r>
      <w:r>
        <w:t>le</w:t>
      </w:r>
      <w:r w:rsidRPr="002C4077">
        <w:t xml:space="preserve"> </w:t>
      </w:r>
      <w:r>
        <w:t>maître-autel</w:t>
      </w:r>
      <w:r w:rsidRPr="002C4077">
        <w:t xml:space="preserve"> </w:t>
      </w:r>
      <w:r>
        <w:t>de</w:t>
      </w:r>
      <w:r w:rsidRPr="002C4077">
        <w:t xml:space="preserve"> </w:t>
      </w:r>
      <w:r>
        <w:t>l’église</w:t>
      </w:r>
      <w:r w:rsidR="00B546AF">
        <w:t> ;</w:t>
      </w:r>
      <w:r w:rsidRPr="002C4077">
        <w:t xml:space="preserve"> </w:t>
      </w:r>
      <w:r>
        <w:t>toutefois,</w:t>
      </w:r>
      <w:r w:rsidRPr="002C4077">
        <w:t xml:space="preserve"> </w:t>
      </w:r>
      <w:r>
        <w:t>on</w:t>
      </w:r>
      <w:r w:rsidRPr="002C4077">
        <w:t xml:space="preserve"> </w:t>
      </w:r>
      <w:r>
        <w:t>ne</w:t>
      </w:r>
      <w:r w:rsidRPr="002C4077">
        <w:t xml:space="preserve"> </w:t>
      </w:r>
      <w:r>
        <w:t>recueille</w:t>
      </w:r>
      <w:r w:rsidRPr="002C4077">
        <w:t xml:space="preserve"> </w:t>
      </w:r>
      <w:r>
        <w:t>ses</w:t>
      </w:r>
      <w:r w:rsidRPr="002C4077">
        <w:t xml:space="preserve"> </w:t>
      </w:r>
      <w:r>
        <w:t>eaux</w:t>
      </w:r>
      <w:r w:rsidRPr="002C4077">
        <w:t xml:space="preserve"> </w:t>
      </w:r>
      <w:r>
        <w:t>qu’à</w:t>
      </w:r>
      <w:r w:rsidRPr="002C4077">
        <w:t xml:space="preserve"> </w:t>
      </w:r>
      <w:r>
        <w:t>trente</w:t>
      </w:r>
      <w:r w:rsidRPr="002C4077">
        <w:t xml:space="preserve"> </w:t>
      </w:r>
      <w:r>
        <w:t>ou</w:t>
      </w:r>
      <w:r w:rsidRPr="002C4077">
        <w:t xml:space="preserve"> </w:t>
      </w:r>
      <w:r>
        <w:t>quarante</w:t>
      </w:r>
      <w:r w:rsidRPr="002C4077">
        <w:t xml:space="preserve"> </w:t>
      </w:r>
      <w:r>
        <w:t>pas</w:t>
      </w:r>
      <w:r w:rsidRPr="002C4077">
        <w:t xml:space="preserve"> </w:t>
      </w:r>
      <w:r>
        <w:t>de</w:t>
      </w:r>
      <w:r w:rsidRPr="002C4077">
        <w:t xml:space="preserve"> </w:t>
      </w:r>
      <w:r>
        <w:t>là,</w:t>
      </w:r>
      <w:r w:rsidRPr="002C4077">
        <w:t xml:space="preserve"> </w:t>
      </w:r>
      <w:r>
        <w:t>en</w:t>
      </w:r>
      <w:r w:rsidRPr="002C4077">
        <w:t xml:space="preserve"> </w:t>
      </w:r>
      <w:r>
        <w:t>dehors</w:t>
      </w:r>
      <w:r w:rsidRPr="002C4077">
        <w:t xml:space="preserve"> </w:t>
      </w:r>
      <w:r>
        <w:t>du</w:t>
      </w:r>
      <w:r w:rsidRPr="002C4077">
        <w:t xml:space="preserve"> </w:t>
      </w:r>
      <w:r>
        <w:t>couvent,</w:t>
      </w:r>
      <w:r w:rsidRPr="002C4077">
        <w:t xml:space="preserve"> </w:t>
      </w:r>
      <w:r>
        <w:t>dans</w:t>
      </w:r>
      <w:r w:rsidRPr="002C4077">
        <w:t xml:space="preserve"> </w:t>
      </w:r>
      <w:r>
        <w:t>une</w:t>
      </w:r>
      <w:r w:rsidRPr="002C4077">
        <w:t xml:space="preserve"> </w:t>
      </w:r>
      <w:r>
        <w:t>grotte</w:t>
      </w:r>
      <w:r w:rsidRPr="002C4077">
        <w:t xml:space="preserve"> </w:t>
      </w:r>
      <w:r>
        <w:t>qu’ombragent</w:t>
      </w:r>
      <w:r w:rsidRPr="002C4077">
        <w:t xml:space="preserve"> </w:t>
      </w:r>
      <w:r>
        <w:t>les</w:t>
      </w:r>
      <w:r w:rsidRPr="002C4077">
        <w:t xml:space="preserve"> </w:t>
      </w:r>
      <w:r>
        <w:t>ruines</w:t>
      </w:r>
      <w:r w:rsidRPr="002C4077">
        <w:t xml:space="preserve"> </w:t>
      </w:r>
      <w:r>
        <w:t>d’un</w:t>
      </w:r>
      <w:r w:rsidRPr="002C4077">
        <w:t xml:space="preserve"> </w:t>
      </w:r>
      <w:r>
        <w:t>ancien</w:t>
      </w:r>
      <w:r w:rsidRPr="002C4077">
        <w:t xml:space="preserve"> </w:t>
      </w:r>
      <w:r>
        <w:t>temple.</w:t>
      </w:r>
      <w:r w:rsidRPr="002C4077">
        <w:t xml:space="preserve"> </w:t>
      </w:r>
      <w:r>
        <w:t>Pourquoi</w:t>
      </w:r>
      <w:r w:rsidRPr="002C4077">
        <w:t xml:space="preserve"> </w:t>
      </w:r>
      <w:r>
        <w:t>vous</w:t>
      </w:r>
      <w:r w:rsidRPr="002C4077">
        <w:t xml:space="preserve"> </w:t>
      </w:r>
      <w:r>
        <w:t>disais-je</w:t>
      </w:r>
      <w:r w:rsidRPr="002C4077">
        <w:t xml:space="preserve"> </w:t>
      </w:r>
      <w:r>
        <w:t>que</w:t>
      </w:r>
      <w:r w:rsidRPr="002C4077">
        <w:t xml:space="preserve"> </w:t>
      </w:r>
      <w:r>
        <w:t>cette</w:t>
      </w:r>
      <w:r w:rsidRPr="002C4077">
        <w:t xml:space="preserve"> </w:t>
      </w:r>
      <w:r>
        <w:t>fontaine</w:t>
      </w:r>
      <w:r w:rsidRPr="002C4077">
        <w:t xml:space="preserve"> </w:t>
      </w:r>
      <w:r w:rsidR="00425C50">
        <w:t>est</w:t>
      </w:r>
      <w:r w:rsidRPr="002C4077">
        <w:t xml:space="preserve"> </w:t>
      </w:r>
      <w:r>
        <w:t>pleine</w:t>
      </w:r>
      <w:r w:rsidRPr="002C4077">
        <w:t xml:space="preserve"> </w:t>
      </w:r>
      <w:r>
        <w:t>d’intérêt</w:t>
      </w:r>
      <w:r w:rsidRPr="002C4077">
        <w:t xml:space="preserve"> </w:t>
      </w:r>
      <w:r>
        <w:t>pour</w:t>
      </w:r>
      <w:r w:rsidRPr="002C4077">
        <w:t xml:space="preserve"> </w:t>
      </w:r>
      <w:r>
        <w:t>nous</w:t>
      </w:r>
      <w:r w:rsidR="00B546AF">
        <w:t> ?</w:t>
      </w:r>
      <w:r w:rsidRPr="002C4077">
        <w:t xml:space="preserve"> </w:t>
      </w:r>
      <w:r>
        <w:t>Est-ce</w:t>
      </w:r>
      <w:r w:rsidRPr="002C4077">
        <w:t xml:space="preserve"> </w:t>
      </w:r>
      <w:r>
        <w:t>à</w:t>
      </w:r>
      <w:r w:rsidRPr="002C4077">
        <w:t xml:space="preserve"> </w:t>
      </w:r>
      <w:r>
        <w:t>cause</w:t>
      </w:r>
      <w:r w:rsidRPr="002C4077">
        <w:t xml:space="preserve"> </w:t>
      </w:r>
      <w:r>
        <w:t>du</w:t>
      </w:r>
      <w:r w:rsidRPr="002C4077">
        <w:t xml:space="preserve"> </w:t>
      </w:r>
      <w:r>
        <w:t>va-et-vient</w:t>
      </w:r>
      <w:r w:rsidRPr="002C4077">
        <w:t xml:space="preserve"> </w:t>
      </w:r>
      <w:r>
        <w:t>perpétuel</w:t>
      </w:r>
      <w:r w:rsidRPr="002C4077">
        <w:t xml:space="preserve"> </w:t>
      </w:r>
      <w:r>
        <w:t>qui</w:t>
      </w:r>
      <w:r w:rsidRPr="002C4077">
        <w:t xml:space="preserve"> </w:t>
      </w:r>
      <w:r>
        <w:t>a</w:t>
      </w:r>
      <w:r w:rsidRPr="002C4077">
        <w:t xml:space="preserve"> </w:t>
      </w:r>
      <w:r>
        <w:t>lieu</w:t>
      </w:r>
      <w:r w:rsidRPr="002C4077">
        <w:t xml:space="preserve"> </w:t>
      </w:r>
      <w:r>
        <w:t>autour</w:t>
      </w:r>
      <w:r w:rsidRPr="002C4077">
        <w:t xml:space="preserve"> </w:t>
      </w:r>
      <w:r>
        <w:t>d’elle</w:t>
      </w:r>
      <w:r w:rsidR="00B546AF">
        <w:t> ?</w:t>
      </w:r>
      <w:r w:rsidRPr="002C4077">
        <w:t xml:space="preserve"> </w:t>
      </w:r>
      <w:r>
        <w:t>Est-ce</w:t>
      </w:r>
      <w:r w:rsidRPr="002C4077">
        <w:t xml:space="preserve"> </w:t>
      </w:r>
      <w:r>
        <w:t>parce</w:t>
      </w:r>
      <w:r w:rsidRPr="002C4077">
        <w:t xml:space="preserve"> </w:t>
      </w:r>
      <w:r>
        <w:t>que</w:t>
      </w:r>
      <w:r w:rsidRPr="002C4077">
        <w:t xml:space="preserve"> </w:t>
      </w:r>
      <w:r>
        <w:t>les</w:t>
      </w:r>
      <w:r w:rsidRPr="002C4077">
        <w:t xml:space="preserve"> </w:t>
      </w:r>
      <w:r>
        <w:t>mères</w:t>
      </w:r>
      <w:r w:rsidRPr="002C4077">
        <w:t xml:space="preserve"> </w:t>
      </w:r>
      <w:r>
        <w:t>de</w:t>
      </w:r>
      <w:r w:rsidRPr="002C4077">
        <w:t xml:space="preserve"> </w:t>
      </w:r>
      <w:r>
        <w:t>famille,</w:t>
      </w:r>
      <w:r w:rsidRPr="002C4077">
        <w:t xml:space="preserve"> </w:t>
      </w:r>
      <w:r>
        <w:t>accompagnées</w:t>
      </w:r>
      <w:r w:rsidRPr="002C4077">
        <w:t xml:space="preserve"> </w:t>
      </w:r>
      <w:r>
        <w:t>de</w:t>
      </w:r>
      <w:r w:rsidRPr="002C4077">
        <w:t xml:space="preserve"> </w:t>
      </w:r>
      <w:r>
        <w:t>leurs</w:t>
      </w:r>
      <w:r w:rsidRPr="002C4077">
        <w:t xml:space="preserve"> </w:t>
      </w:r>
      <w:r>
        <w:t>enfants,</w:t>
      </w:r>
      <w:r w:rsidRPr="002C4077">
        <w:t xml:space="preserve"> </w:t>
      </w:r>
      <w:r>
        <w:t>les</w:t>
      </w:r>
      <w:r w:rsidRPr="002C4077">
        <w:t xml:space="preserve"> </w:t>
      </w:r>
      <w:r>
        <w:t>jeunes</w:t>
      </w:r>
      <w:r w:rsidRPr="002C4077">
        <w:t xml:space="preserve"> </w:t>
      </w:r>
      <w:r>
        <w:t>filles</w:t>
      </w:r>
      <w:r w:rsidRPr="002C4077">
        <w:t xml:space="preserve"> </w:t>
      </w:r>
      <w:r>
        <w:t>portant</w:t>
      </w:r>
      <w:r w:rsidRPr="002C4077">
        <w:t xml:space="preserve"> </w:t>
      </w:r>
      <w:r>
        <w:t>gracieusement</w:t>
      </w:r>
      <w:r w:rsidRPr="002C4077">
        <w:t xml:space="preserve"> </w:t>
      </w:r>
      <w:r>
        <w:t>leur</w:t>
      </w:r>
      <w:r w:rsidRPr="002C4077">
        <w:t xml:space="preserve"> </w:t>
      </w:r>
      <w:r>
        <w:t>urne</w:t>
      </w:r>
      <w:r w:rsidRPr="002C4077">
        <w:t xml:space="preserve"> </w:t>
      </w:r>
      <w:r>
        <w:t>sur</w:t>
      </w:r>
      <w:r w:rsidRPr="002C4077">
        <w:t xml:space="preserve"> </w:t>
      </w:r>
      <w:r>
        <w:t>la</w:t>
      </w:r>
      <w:r w:rsidRPr="002C4077">
        <w:t xml:space="preserve"> </w:t>
      </w:r>
      <w:r>
        <w:t>tête</w:t>
      </w:r>
      <w:r w:rsidRPr="002C4077">
        <w:t xml:space="preserve"> </w:t>
      </w:r>
      <w:r>
        <w:t>ou</w:t>
      </w:r>
      <w:r w:rsidRPr="002C4077">
        <w:t xml:space="preserve"> </w:t>
      </w:r>
      <w:r>
        <w:t>sur</w:t>
      </w:r>
      <w:r w:rsidRPr="002C4077">
        <w:t xml:space="preserve"> </w:t>
      </w:r>
      <w:r>
        <w:t>l’épaule</w:t>
      </w:r>
      <w:r w:rsidR="00B91AF7">
        <w:rPr>
          <w:rStyle w:val="Appelnotedebasdep"/>
        </w:rPr>
        <w:footnoteReference w:id="732"/>
      </w:r>
      <w:r>
        <w:t>,</w:t>
      </w:r>
      <w:r w:rsidRPr="002C4077">
        <w:t xml:space="preserve"> </w:t>
      </w:r>
      <w:r>
        <w:t>y</w:t>
      </w:r>
      <w:r w:rsidRPr="002C4077">
        <w:t xml:space="preserve"> </w:t>
      </w:r>
      <w:r>
        <w:t>accourent</w:t>
      </w:r>
      <w:r w:rsidRPr="002C4077">
        <w:t xml:space="preserve"> </w:t>
      </w:r>
      <w:r>
        <w:t>tout</w:t>
      </w:r>
      <w:r w:rsidRPr="002C4077">
        <w:t xml:space="preserve"> </w:t>
      </w:r>
      <w:r>
        <w:t>le</w:t>
      </w:r>
      <w:r w:rsidRPr="002C4077">
        <w:t xml:space="preserve"> </w:t>
      </w:r>
      <w:r>
        <w:t>jour</w:t>
      </w:r>
      <w:r w:rsidRPr="002C4077">
        <w:t xml:space="preserve"> </w:t>
      </w:r>
      <w:r>
        <w:t>pour</w:t>
      </w:r>
      <w:r w:rsidRPr="002C4077">
        <w:t xml:space="preserve"> </w:t>
      </w:r>
      <w:r>
        <w:t>y</w:t>
      </w:r>
      <w:r w:rsidRPr="002C4077">
        <w:t xml:space="preserve"> </w:t>
      </w:r>
      <w:r>
        <w:t>faire</w:t>
      </w:r>
      <w:r w:rsidRPr="002C4077">
        <w:t xml:space="preserve"> </w:t>
      </w:r>
      <w:r>
        <w:t>la</w:t>
      </w:r>
      <w:r w:rsidRPr="002C4077">
        <w:t xml:space="preserve"> </w:t>
      </w:r>
      <w:r>
        <w:t>provision</w:t>
      </w:r>
      <w:r w:rsidRPr="002C4077">
        <w:t xml:space="preserve"> </w:t>
      </w:r>
      <w:r>
        <w:t>d’eau</w:t>
      </w:r>
      <w:r w:rsidRPr="002C4077">
        <w:t xml:space="preserve"> </w:t>
      </w:r>
      <w:r>
        <w:t>nécessaire</w:t>
      </w:r>
      <w:r w:rsidRPr="002C4077">
        <w:t xml:space="preserve"> </w:t>
      </w:r>
      <w:r>
        <w:t>au</w:t>
      </w:r>
      <w:r w:rsidRPr="002C4077">
        <w:t xml:space="preserve"> </w:t>
      </w:r>
      <w:r>
        <w:t>ménage</w:t>
      </w:r>
      <w:r w:rsidR="00B546AF">
        <w:t> ?</w:t>
      </w:r>
      <w:r w:rsidR="00C45B47">
        <w:t xml:space="preserve"> {</w:t>
      </w:r>
      <w:r w:rsidR="001F5257">
        <w:t>224</w:t>
      </w:r>
      <w:bookmarkStart w:id="544" w:name="p224"/>
      <w:bookmarkEnd w:id="544"/>
      <w:r w:rsidR="001F5257">
        <w:t xml:space="preserve">} </w:t>
      </w:r>
      <w:r>
        <w:t>Non,</w:t>
      </w:r>
      <w:r w:rsidRPr="002C4077">
        <w:t xml:space="preserve"> </w:t>
      </w:r>
      <w:r>
        <w:t>ce</w:t>
      </w:r>
      <w:r w:rsidRPr="002C4077">
        <w:t xml:space="preserve"> </w:t>
      </w:r>
      <w:r>
        <w:t>n’est</w:t>
      </w:r>
      <w:r w:rsidRPr="002C4077">
        <w:t xml:space="preserve"> </w:t>
      </w:r>
      <w:r>
        <w:t>point</w:t>
      </w:r>
      <w:r w:rsidRPr="002C4077">
        <w:t xml:space="preserve"> </w:t>
      </w:r>
      <w:r>
        <w:t>précisément</w:t>
      </w:r>
      <w:r w:rsidRPr="002C4077">
        <w:t xml:space="preserve"> </w:t>
      </w:r>
      <w:r>
        <w:t>pour</w:t>
      </w:r>
      <w:r w:rsidRPr="002C4077">
        <w:t xml:space="preserve"> </w:t>
      </w:r>
      <w:r>
        <w:t>cela.</w:t>
      </w:r>
      <w:r w:rsidRPr="002C4077">
        <w:t xml:space="preserve"> </w:t>
      </w:r>
      <w:r>
        <w:t>Et</w:t>
      </w:r>
      <w:r w:rsidRPr="002C4077">
        <w:t xml:space="preserve"> </w:t>
      </w:r>
      <w:r>
        <w:t>cependant,</w:t>
      </w:r>
      <w:r w:rsidRPr="002C4077">
        <w:t xml:space="preserve"> </w:t>
      </w:r>
      <w:r>
        <w:t>quel</w:t>
      </w:r>
      <w:r w:rsidRPr="002C4077">
        <w:t xml:space="preserve"> </w:t>
      </w:r>
      <w:r>
        <w:t>beau</w:t>
      </w:r>
      <w:r w:rsidRPr="002C4077">
        <w:t xml:space="preserve"> </w:t>
      </w:r>
      <w:r>
        <w:t>tableau</w:t>
      </w:r>
      <w:r w:rsidRPr="002C4077">
        <w:t xml:space="preserve"> </w:t>
      </w:r>
      <w:r>
        <w:t>un</w:t>
      </w:r>
      <w:r w:rsidRPr="002C4077">
        <w:t xml:space="preserve"> </w:t>
      </w:r>
      <w:r>
        <w:t>peintre</w:t>
      </w:r>
      <w:r w:rsidRPr="002C4077">
        <w:t xml:space="preserve"> </w:t>
      </w:r>
      <w:r>
        <w:t>habile</w:t>
      </w:r>
      <w:r w:rsidRPr="002C4077">
        <w:t xml:space="preserve"> </w:t>
      </w:r>
      <w:r>
        <w:t>ne</w:t>
      </w:r>
      <w:r w:rsidRPr="002C4077">
        <w:t xml:space="preserve"> </w:t>
      </w:r>
      <w:r>
        <w:t>pourrait-il</w:t>
      </w:r>
      <w:r w:rsidRPr="002C4077">
        <w:t xml:space="preserve"> </w:t>
      </w:r>
      <w:r>
        <w:t>pas</w:t>
      </w:r>
      <w:r w:rsidRPr="002C4077">
        <w:t xml:space="preserve"> </w:t>
      </w:r>
      <w:r>
        <w:t>tirer</w:t>
      </w:r>
      <w:r w:rsidRPr="002C4077">
        <w:t xml:space="preserve"> </w:t>
      </w:r>
      <w:r>
        <w:t>de</w:t>
      </w:r>
      <w:r w:rsidRPr="002C4077">
        <w:t xml:space="preserve"> </w:t>
      </w:r>
      <w:r>
        <w:t>cet</w:t>
      </w:r>
      <w:r w:rsidRPr="002C4077">
        <w:t xml:space="preserve"> </w:t>
      </w:r>
      <w:r>
        <w:t>ensemble</w:t>
      </w:r>
      <w:r w:rsidR="00B546AF">
        <w:t> !</w:t>
      </w:r>
      <w:r w:rsidRPr="002C4077">
        <w:t xml:space="preserve"> </w:t>
      </w:r>
      <w:r>
        <w:t>Quelles</w:t>
      </w:r>
      <w:r w:rsidRPr="002C4077">
        <w:t xml:space="preserve"> </w:t>
      </w:r>
      <w:r>
        <w:t>curieuses</w:t>
      </w:r>
      <w:r w:rsidRPr="002C4077">
        <w:t xml:space="preserve"> </w:t>
      </w:r>
      <w:r>
        <w:t>études</w:t>
      </w:r>
      <w:r w:rsidRPr="002C4077">
        <w:t xml:space="preserve"> </w:t>
      </w:r>
      <w:r>
        <w:t>de</w:t>
      </w:r>
      <w:r w:rsidRPr="002C4077">
        <w:t xml:space="preserve"> </w:t>
      </w:r>
      <w:r>
        <w:t>mœurs</w:t>
      </w:r>
      <w:r w:rsidRPr="002C4077">
        <w:t xml:space="preserve"> </w:t>
      </w:r>
      <w:r>
        <w:t>nous</w:t>
      </w:r>
      <w:r w:rsidRPr="002C4077">
        <w:t xml:space="preserve"> </w:t>
      </w:r>
      <w:r>
        <w:t>pouvons</w:t>
      </w:r>
      <w:r w:rsidRPr="002C4077">
        <w:t xml:space="preserve"> </w:t>
      </w:r>
      <w:r>
        <w:t>faire</w:t>
      </w:r>
      <w:r w:rsidRPr="002C4077">
        <w:t xml:space="preserve"> </w:t>
      </w:r>
      <w:r>
        <w:t>si</w:t>
      </w:r>
      <w:r w:rsidRPr="002C4077">
        <w:t xml:space="preserve"> </w:t>
      </w:r>
      <w:r>
        <w:t>nous</w:t>
      </w:r>
      <w:r w:rsidRPr="002C4077">
        <w:t xml:space="preserve"> </w:t>
      </w:r>
      <w:r>
        <w:t>prenons</w:t>
      </w:r>
      <w:r w:rsidRPr="002C4077">
        <w:t xml:space="preserve"> </w:t>
      </w:r>
      <w:r>
        <w:t>la</w:t>
      </w:r>
      <w:r w:rsidRPr="002C4077">
        <w:t xml:space="preserve"> </w:t>
      </w:r>
      <w:r>
        <w:t>peine</w:t>
      </w:r>
      <w:r w:rsidRPr="002C4077">
        <w:t xml:space="preserve"> </w:t>
      </w:r>
      <w:r>
        <w:t>d’attendre</w:t>
      </w:r>
      <w:r w:rsidRPr="002C4077">
        <w:t xml:space="preserve"> </w:t>
      </w:r>
      <w:r>
        <w:t>quelques</w:t>
      </w:r>
      <w:r w:rsidRPr="002C4077">
        <w:t xml:space="preserve"> </w:t>
      </w:r>
      <w:r>
        <w:t>minutes</w:t>
      </w:r>
      <w:r w:rsidR="00B546AF">
        <w:t> !</w:t>
      </w:r>
      <w:r w:rsidRPr="002C4077">
        <w:t xml:space="preserve"> </w:t>
      </w:r>
      <w:r>
        <w:t>L’eau</w:t>
      </w:r>
      <w:r w:rsidRPr="002C4077">
        <w:t xml:space="preserve"> </w:t>
      </w:r>
      <w:r>
        <w:t>n’est</w:t>
      </w:r>
      <w:r w:rsidRPr="002C4077">
        <w:t xml:space="preserve"> </w:t>
      </w:r>
      <w:r>
        <w:t>pas</w:t>
      </w:r>
      <w:r w:rsidRPr="002C4077">
        <w:t xml:space="preserve"> </w:t>
      </w:r>
      <w:r>
        <w:t>très</w:t>
      </w:r>
      <w:r w:rsidRPr="002C4077">
        <w:t xml:space="preserve"> </w:t>
      </w:r>
      <w:r>
        <w:t>abondante,</w:t>
      </w:r>
      <w:r w:rsidRPr="002C4077">
        <w:t xml:space="preserve"> </w:t>
      </w:r>
      <w:r>
        <w:t>et</w:t>
      </w:r>
      <w:r w:rsidRPr="002C4077">
        <w:t xml:space="preserve"> </w:t>
      </w:r>
      <w:r>
        <w:t>c’est</w:t>
      </w:r>
      <w:r w:rsidRPr="002C4077">
        <w:t xml:space="preserve"> </w:t>
      </w:r>
      <w:r>
        <w:t>la</w:t>
      </w:r>
      <w:r w:rsidRPr="002C4077">
        <w:t xml:space="preserve"> </w:t>
      </w:r>
      <w:r>
        <w:t>meilleure</w:t>
      </w:r>
      <w:r w:rsidRPr="002C4077">
        <w:t xml:space="preserve"> </w:t>
      </w:r>
      <w:r>
        <w:t>de</w:t>
      </w:r>
      <w:r w:rsidRPr="002C4077">
        <w:t xml:space="preserve"> </w:t>
      </w:r>
      <w:r>
        <w:t>la</w:t>
      </w:r>
      <w:r w:rsidRPr="002C4077">
        <w:t xml:space="preserve"> </w:t>
      </w:r>
      <w:r>
        <w:t>ville,</w:t>
      </w:r>
      <w:r w:rsidRPr="002C4077">
        <w:t xml:space="preserve"> </w:t>
      </w:r>
      <w:r>
        <w:t>qui</w:t>
      </w:r>
      <w:r w:rsidRPr="002C4077">
        <w:t xml:space="preserve"> </w:t>
      </w:r>
      <w:r>
        <w:t>d’ailleurs,</w:t>
      </w:r>
      <w:r w:rsidRPr="002C4077">
        <w:t xml:space="preserve"> </w:t>
      </w:r>
      <w:r>
        <w:t>autant</w:t>
      </w:r>
      <w:r w:rsidRPr="002C4077">
        <w:t xml:space="preserve"> </w:t>
      </w:r>
      <w:r>
        <w:t>que</w:t>
      </w:r>
      <w:r w:rsidRPr="002C4077">
        <w:t xml:space="preserve"> </w:t>
      </w:r>
      <w:r>
        <w:t>je</w:t>
      </w:r>
      <w:r w:rsidRPr="002C4077">
        <w:t xml:space="preserve"> </w:t>
      </w:r>
      <w:r>
        <w:t>sache,</w:t>
      </w:r>
      <w:r w:rsidRPr="002C4077">
        <w:t xml:space="preserve"> </w:t>
      </w:r>
      <w:r>
        <w:t>n’a</w:t>
      </w:r>
      <w:r w:rsidRPr="002C4077">
        <w:t xml:space="preserve"> </w:t>
      </w:r>
      <w:r>
        <w:t>guère</w:t>
      </w:r>
      <w:r w:rsidRPr="002C4077">
        <w:t xml:space="preserve"> </w:t>
      </w:r>
      <w:r>
        <w:t>qu’une</w:t>
      </w:r>
      <w:r w:rsidRPr="002C4077">
        <w:t xml:space="preserve"> </w:t>
      </w:r>
      <w:r>
        <w:t>autre</w:t>
      </w:r>
      <w:r w:rsidRPr="002C4077">
        <w:t xml:space="preserve"> </w:t>
      </w:r>
      <w:r>
        <w:t>source</w:t>
      </w:r>
      <w:r w:rsidRPr="002C4077">
        <w:t xml:space="preserve"> </w:t>
      </w:r>
      <w:r>
        <w:t>avec</w:t>
      </w:r>
      <w:r w:rsidRPr="002C4077">
        <w:t xml:space="preserve"> </w:t>
      </w:r>
      <w:r>
        <w:t>celle-ci.</w:t>
      </w:r>
      <w:r w:rsidRPr="002C4077">
        <w:t xml:space="preserve"> </w:t>
      </w:r>
      <w:r>
        <w:t>Aussi</w:t>
      </w:r>
      <w:r w:rsidRPr="002C4077">
        <w:t xml:space="preserve"> </w:t>
      </w:r>
      <w:r>
        <w:t>bien,</w:t>
      </w:r>
      <w:r w:rsidRPr="002C4077">
        <w:t xml:space="preserve"> </w:t>
      </w:r>
      <w:r>
        <w:t>ce</w:t>
      </w:r>
      <w:r w:rsidRPr="002C4077">
        <w:t xml:space="preserve"> </w:t>
      </w:r>
      <w:r>
        <w:t>sont</w:t>
      </w:r>
      <w:r w:rsidRPr="002C4077">
        <w:t xml:space="preserve"> </w:t>
      </w:r>
      <w:r>
        <w:t>des</w:t>
      </w:r>
      <w:r w:rsidRPr="002C4077">
        <w:t xml:space="preserve"> </w:t>
      </w:r>
      <w:r>
        <w:t>lu</w:t>
      </w:r>
      <w:r w:rsidR="006F72A8">
        <w:t>t</w:t>
      </w:r>
      <w:r>
        <w:t>tes</w:t>
      </w:r>
      <w:r w:rsidRPr="002C4077">
        <w:t xml:space="preserve"> </w:t>
      </w:r>
      <w:r>
        <w:t>sans</w:t>
      </w:r>
      <w:r w:rsidRPr="002C4077">
        <w:t xml:space="preserve"> </w:t>
      </w:r>
      <w:r>
        <w:t>trêve,</w:t>
      </w:r>
      <w:r w:rsidRPr="002C4077">
        <w:t xml:space="preserve"> </w:t>
      </w:r>
      <w:r>
        <w:t>chacune</w:t>
      </w:r>
      <w:r w:rsidRPr="002C4077">
        <w:t xml:space="preserve"> </w:t>
      </w:r>
      <w:r>
        <w:t>de</w:t>
      </w:r>
      <w:r w:rsidRPr="002C4077">
        <w:t xml:space="preserve"> </w:t>
      </w:r>
      <w:r>
        <w:t>nos</w:t>
      </w:r>
      <w:r w:rsidRPr="002C4077">
        <w:t xml:space="preserve"> </w:t>
      </w:r>
      <w:r>
        <w:t>Rébecca</w:t>
      </w:r>
      <w:r w:rsidRPr="002C4077">
        <w:t xml:space="preserve"> </w:t>
      </w:r>
      <w:r>
        <w:t>voulant</w:t>
      </w:r>
      <w:r w:rsidRPr="002C4077">
        <w:t xml:space="preserve"> </w:t>
      </w:r>
      <w:r>
        <w:t>plonger</w:t>
      </w:r>
      <w:r w:rsidRPr="002C4077">
        <w:t xml:space="preserve"> </w:t>
      </w:r>
      <w:r>
        <w:t>la</w:t>
      </w:r>
      <w:r w:rsidRPr="002C4077">
        <w:t xml:space="preserve"> </w:t>
      </w:r>
      <w:r>
        <w:t>première</w:t>
      </w:r>
      <w:r w:rsidRPr="002C4077">
        <w:t xml:space="preserve"> </w:t>
      </w:r>
      <w:r>
        <w:t>son</w:t>
      </w:r>
      <w:r w:rsidRPr="002C4077">
        <w:t xml:space="preserve"> </w:t>
      </w:r>
      <w:r>
        <w:t>urne</w:t>
      </w:r>
      <w:r w:rsidRPr="002C4077">
        <w:t xml:space="preserve"> </w:t>
      </w:r>
      <w:r>
        <w:t>de</w:t>
      </w:r>
      <w:r w:rsidRPr="002C4077">
        <w:t xml:space="preserve"> </w:t>
      </w:r>
      <w:r>
        <w:t>grès</w:t>
      </w:r>
      <w:r w:rsidRPr="002C4077">
        <w:t xml:space="preserve"> </w:t>
      </w:r>
      <w:r>
        <w:t>dans</w:t>
      </w:r>
      <w:r w:rsidRPr="002C4077">
        <w:t xml:space="preserve"> </w:t>
      </w:r>
      <w:r>
        <w:t>le</w:t>
      </w:r>
      <w:r w:rsidRPr="002C4077">
        <w:t xml:space="preserve"> </w:t>
      </w:r>
      <w:r>
        <w:t>sarcophage</w:t>
      </w:r>
      <w:r w:rsidRPr="002C4077">
        <w:t xml:space="preserve"> </w:t>
      </w:r>
      <w:r>
        <w:t>antique</w:t>
      </w:r>
      <w:r w:rsidRPr="002C4077">
        <w:t xml:space="preserve"> </w:t>
      </w:r>
      <w:r>
        <w:t>où</w:t>
      </w:r>
      <w:r w:rsidRPr="002C4077">
        <w:t xml:space="preserve"> </w:t>
      </w:r>
      <w:r>
        <w:t>les</w:t>
      </w:r>
      <w:r w:rsidRPr="002C4077">
        <w:t xml:space="preserve"> </w:t>
      </w:r>
      <w:r>
        <w:t>eaux</w:t>
      </w:r>
      <w:r w:rsidRPr="002C4077">
        <w:t xml:space="preserve"> </w:t>
      </w:r>
      <w:r>
        <w:t>se</w:t>
      </w:r>
      <w:r w:rsidRPr="002C4077">
        <w:t xml:space="preserve"> </w:t>
      </w:r>
      <w:r>
        <w:t>rassemblent.</w:t>
      </w:r>
      <w:r w:rsidRPr="002C4077">
        <w:t xml:space="preserve"> </w:t>
      </w:r>
      <w:r>
        <w:t>Voyez</w:t>
      </w:r>
      <w:r w:rsidRPr="002C4077">
        <w:t xml:space="preserve"> </w:t>
      </w:r>
      <w:r>
        <w:t>ces</w:t>
      </w:r>
      <w:r w:rsidRPr="002C4077">
        <w:t xml:space="preserve"> </w:t>
      </w:r>
      <w:r>
        <w:t>yeux</w:t>
      </w:r>
      <w:r w:rsidRPr="002C4077">
        <w:t xml:space="preserve"> </w:t>
      </w:r>
      <w:r>
        <w:t>qui</w:t>
      </w:r>
      <w:r w:rsidRPr="002C4077">
        <w:t xml:space="preserve"> </w:t>
      </w:r>
      <w:r>
        <w:t>brillent</w:t>
      </w:r>
      <w:r w:rsidRPr="002C4077">
        <w:t xml:space="preserve"> </w:t>
      </w:r>
      <w:r>
        <w:t>de</w:t>
      </w:r>
      <w:r w:rsidRPr="002C4077">
        <w:t xml:space="preserve"> </w:t>
      </w:r>
      <w:r>
        <w:t>colère,</w:t>
      </w:r>
      <w:r w:rsidRPr="002C4077">
        <w:t xml:space="preserve"> </w:t>
      </w:r>
      <w:r>
        <w:t>ces</w:t>
      </w:r>
      <w:r w:rsidRPr="002C4077">
        <w:t xml:space="preserve"> </w:t>
      </w:r>
      <w:r>
        <w:t>regards</w:t>
      </w:r>
      <w:r w:rsidRPr="002C4077">
        <w:t xml:space="preserve"> </w:t>
      </w:r>
      <w:r>
        <w:t>menaçants,</w:t>
      </w:r>
      <w:r w:rsidRPr="002C4077">
        <w:t xml:space="preserve"> </w:t>
      </w:r>
      <w:r>
        <w:t>ces</w:t>
      </w:r>
      <w:r w:rsidRPr="002C4077">
        <w:t xml:space="preserve"> </w:t>
      </w:r>
      <w:r>
        <w:t>brusques</w:t>
      </w:r>
      <w:r w:rsidRPr="002C4077">
        <w:t xml:space="preserve"> </w:t>
      </w:r>
      <w:r>
        <w:t>mouvements</w:t>
      </w:r>
      <w:r w:rsidRPr="002C4077">
        <w:t xml:space="preserve"> </w:t>
      </w:r>
      <w:r>
        <w:t>pour</w:t>
      </w:r>
      <w:r w:rsidRPr="002C4077">
        <w:t xml:space="preserve"> </w:t>
      </w:r>
      <w:r>
        <w:t>rejeter</w:t>
      </w:r>
      <w:r w:rsidRPr="002C4077">
        <w:t xml:space="preserve"> </w:t>
      </w:r>
      <w:r>
        <w:t>en</w:t>
      </w:r>
      <w:r w:rsidRPr="002C4077">
        <w:t xml:space="preserve"> </w:t>
      </w:r>
      <w:r>
        <w:t>arrière</w:t>
      </w:r>
      <w:r w:rsidRPr="002C4077">
        <w:t xml:space="preserve"> </w:t>
      </w:r>
      <w:r>
        <w:t>une</w:t>
      </w:r>
      <w:r w:rsidRPr="002C4077">
        <w:t xml:space="preserve"> </w:t>
      </w:r>
      <w:r>
        <w:t>voisine</w:t>
      </w:r>
      <w:r w:rsidRPr="002C4077">
        <w:t xml:space="preserve"> </w:t>
      </w:r>
      <w:r>
        <w:t>audacieuse</w:t>
      </w:r>
      <w:r w:rsidRPr="002C4077">
        <w:t xml:space="preserve"> </w:t>
      </w:r>
      <w:r>
        <w:t>qui</w:t>
      </w:r>
      <w:r w:rsidRPr="002C4077">
        <w:t xml:space="preserve"> </w:t>
      </w:r>
      <w:r>
        <w:t>veut</w:t>
      </w:r>
      <w:r w:rsidRPr="002C4077">
        <w:t xml:space="preserve"> </w:t>
      </w:r>
      <w:r>
        <w:t>passer</w:t>
      </w:r>
      <w:r w:rsidRPr="002C4077">
        <w:t xml:space="preserve"> </w:t>
      </w:r>
      <w:r>
        <w:t>avant</w:t>
      </w:r>
      <w:r w:rsidRPr="002C4077">
        <w:t xml:space="preserve"> </w:t>
      </w:r>
      <w:r>
        <w:t>son</w:t>
      </w:r>
      <w:r w:rsidRPr="002C4077">
        <w:t xml:space="preserve"> </w:t>
      </w:r>
      <w:r>
        <w:t>tour</w:t>
      </w:r>
      <w:r w:rsidR="00B546AF">
        <w:t> !</w:t>
      </w:r>
      <w:r w:rsidRPr="002C4077">
        <w:t xml:space="preserve"> </w:t>
      </w:r>
      <w:r>
        <w:t>Entendez</w:t>
      </w:r>
      <w:r w:rsidRPr="002C4077">
        <w:t xml:space="preserve"> </w:t>
      </w:r>
      <w:r>
        <w:t>ces</w:t>
      </w:r>
      <w:r w:rsidRPr="002C4077">
        <w:t xml:space="preserve"> </w:t>
      </w:r>
      <w:r>
        <w:t>paroles</w:t>
      </w:r>
      <w:r w:rsidRPr="002C4077">
        <w:t xml:space="preserve"> </w:t>
      </w:r>
      <w:r>
        <w:t>pleines</w:t>
      </w:r>
      <w:r w:rsidRPr="002C4077">
        <w:t xml:space="preserve"> </w:t>
      </w:r>
      <w:r>
        <w:t>d’aigreur</w:t>
      </w:r>
      <w:r w:rsidRPr="002C4077">
        <w:t xml:space="preserve"> </w:t>
      </w:r>
      <w:r>
        <w:t>que</w:t>
      </w:r>
      <w:r w:rsidRPr="002C4077">
        <w:t xml:space="preserve"> </w:t>
      </w:r>
      <w:r>
        <w:t>vous</w:t>
      </w:r>
      <w:r w:rsidRPr="002C4077">
        <w:t xml:space="preserve"> </w:t>
      </w:r>
      <w:r>
        <w:t>croyez</w:t>
      </w:r>
      <w:r w:rsidRPr="002C4077">
        <w:t xml:space="preserve"> </w:t>
      </w:r>
      <w:r>
        <w:t>comprendre</w:t>
      </w:r>
      <w:r w:rsidRPr="002C4077">
        <w:t xml:space="preserve"> </w:t>
      </w:r>
      <w:r>
        <w:t>sans</w:t>
      </w:r>
      <w:r w:rsidRPr="002C4077">
        <w:t xml:space="preserve"> </w:t>
      </w:r>
      <w:r>
        <w:t>savoir</w:t>
      </w:r>
      <w:r w:rsidRPr="002C4077">
        <w:t xml:space="preserve"> </w:t>
      </w:r>
      <w:r>
        <w:t>un</w:t>
      </w:r>
      <w:r w:rsidRPr="002C4077">
        <w:t xml:space="preserve"> </w:t>
      </w:r>
      <w:r>
        <w:t>mot</w:t>
      </w:r>
      <w:r w:rsidRPr="002C4077">
        <w:t xml:space="preserve"> </w:t>
      </w:r>
      <w:r>
        <w:t>d’arabe</w:t>
      </w:r>
      <w:r w:rsidR="00B546AF">
        <w:t> !</w:t>
      </w:r>
      <w:r w:rsidRPr="002C4077">
        <w:t xml:space="preserve"> </w:t>
      </w:r>
      <w:r>
        <w:t>Je</w:t>
      </w:r>
      <w:r w:rsidRPr="002C4077">
        <w:t xml:space="preserve"> </w:t>
      </w:r>
      <w:r>
        <w:t>ne</w:t>
      </w:r>
      <w:r w:rsidRPr="002C4077">
        <w:t xml:space="preserve"> </w:t>
      </w:r>
      <w:r>
        <w:t>m’étonne</w:t>
      </w:r>
      <w:r w:rsidRPr="002C4077">
        <w:t xml:space="preserve"> </w:t>
      </w:r>
      <w:r>
        <w:t>point</w:t>
      </w:r>
      <w:r w:rsidRPr="002C4077">
        <w:t xml:space="preserve"> </w:t>
      </w:r>
      <w:r>
        <w:t>que</w:t>
      </w:r>
      <w:r w:rsidRPr="002C4077">
        <w:t xml:space="preserve"> </w:t>
      </w:r>
      <w:r>
        <w:t>le</w:t>
      </w:r>
      <w:r w:rsidRPr="002C4077">
        <w:t xml:space="preserve"> </w:t>
      </w:r>
      <w:r>
        <w:t>D</w:t>
      </w:r>
      <w:r>
        <w:rPr>
          <w:vertAlign w:val="superscript"/>
        </w:rPr>
        <w:t>r</w:t>
      </w:r>
      <w:r w:rsidRPr="002C4077">
        <w:t xml:space="preserve"> </w:t>
      </w:r>
      <w:r>
        <w:t>Thomson,</w:t>
      </w:r>
      <w:r w:rsidRPr="002C4077">
        <w:t xml:space="preserve"> </w:t>
      </w:r>
      <w:r>
        <w:t>tout</w:t>
      </w:r>
      <w:r w:rsidRPr="002C4077">
        <w:t xml:space="preserve"> </w:t>
      </w:r>
      <w:r>
        <w:t>américain</w:t>
      </w:r>
      <w:r w:rsidRPr="002C4077">
        <w:t xml:space="preserve"> </w:t>
      </w:r>
      <w:r>
        <w:t>qu’il</w:t>
      </w:r>
      <w:r w:rsidRPr="002C4077">
        <w:t xml:space="preserve"> </w:t>
      </w:r>
      <w:r>
        <w:t>fût,</w:t>
      </w:r>
      <w:r w:rsidRPr="002C4077">
        <w:t xml:space="preserve"> </w:t>
      </w:r>
      <w:r>
        <w:t>ait</w:t>
      </w:r>
      <w:r w:rsidRPr="002C4077">
        <w:t xml:space="preserve"> </w:t>
      </w:r>
      <w:r>
        <w:t>été</w:t>
      </w:r>
      <w:r w:rsidRPr="002C4077">
        <w:t xml:space="preserve"> </w:t>
      </w:r>
      <w:r>
        <w:t>choqué</w:t>
      </w:r>
      <w:r w:rsidRPr="002C4077">
        <w:t xml:space="preserve"> </w:t>
      </w:r>
      <w:r>
        <w:t>des</w:t>
      </w:r>
      <w:r w:rsidRPr="002C4077">
        <w:t xml:space="preserve"> </w:t>
      </w:r>
      <w:r>
        <w:t>airs</w:t>
      </w:r>
      <w:r w:rsidRPr="002C4077">
        <w:t xml:space="preserve"> </w:t>
      </w:r>
      <w:r>
        <w:t>immodestes,</w:t>
      </w:r>
      <w:r w:rsidRPr="002C4077">
        <w:t xml:space="preserve"> </w:t>
      </w:r>
      <w:r>
        <w:t>de</w:t>
      </w:r>
      <w:r w:rsidRPr="002C4077">
        <w:t xml:space="preserve"> </w:t>
      </w:r>
      <w:r>
        <w:t>la</w:t>
      </w:r>
      <w:r w:rsidRPr="002C4077">
        <w:t xml:space="preserve"> </w:t>
      </w:r>
      <w:r>
        <w:t>tenue</w:t>
      </w:r>
      <w:r w:rsidRPr="002C4077">
        <w:t xml:space="preserve"> </w:t>
      </w:r>
      <w:r>
        <w:t>hardie</w:t>
      </w:r>
      <w:r w:rsidRPr="002C4077">
        <w:t xml:space="preserve"> </w:t>
      </w:r>
      <w:r>
        <w:t>des</w:t>
      </w:r>
      <w:r w:rsidRPr="002C4077">
        <w:t xml:space="preserve"> </w:t>
      </w:r>
      <w:r>
        <w:t>jeunes</w:t>
      </w:r>
      <w:r w:rsidRPr="002C4077">
        <w:t xml:space="preserve"> </w:t>
      </w:r>
      <w:r>
        <w:t>Nazaréennes</w:t>
      </w:r>
      <w:r w:rsidRPr="002C4077">
        <w:t xml:space="preserve"> </w:t>
      </w:r>
      <w:r>
        <w:t>auprès</w:t>
      </w:r>
      <w:r w:rsidRPr="002C4077">
        <w:t xml:space="preserve"> </w:t>
      </w:r>
      <w:r>
        <w:t>de</w:t>
      </w:r>
      <w:r w:rsidRPr="002C4077">
        <w:t xml:space="preserve"> </w:t>
      </w:r>
      <w:r>
        <w:t>cette</w:t>
      </w:r>
      <w:r w:rsidRPr="002C4077">
        <w:t xml:space="preserve"> </w:t>
      </w:r>
      <w:r>
        <w:t>fontaine</w:t>
      </w:r>
      <w:r w:rsidR="00B91AF7">
        <w:rPr>
          <w:rStyle w:val="Appelnotedebasdep"/>
        </w:rPr>
        <w:footnoteReference w:id="733"/>
      </w:r>
      <w:r>
        <w:t>.</w:t>
      </w:r>
      <w:r w:rsidRPr="002C4077">
        <w:t xml:space="preserve"> </w:t>
      </w:r>
    </w:p>
    <w:p w:rsidR="000A7AAB" w:rsidRPr="001F5257" w:rsidRDefault="000A7AAB" w:rsidP="000A7AAB">
      <w:r>
        <w:t>Mais</w:t>
      </w:r>
      <w:r w:rsidRPr="002C4077">
        <w:t xml:space="preserve"> </w:t>
      </w:r>
      <w:r>
        <w:t>je</w:t>
      </w:r>
      <w:r w:rsidRPr="002C4077">
        <w:t xml:space="preserve"> </w:t>
      </w:r>
      <w:r>
        <w:t>vous</w:t>
      </w:r>
      <w:r w:rsidRPr="002C4077">
        <w:t xml:space="preserve"> </w:t>
      </w:r>
      <w:r>
        <w:t>ai</w:t>
      </w:r>
      <w:r w:rsidRPr="002C4077">
        <w:t xml:space="preserve"> </w:t>
      </w:r>
      <w:r>
        <w:t>dit</w:t>
      </w:r>
      <w:r w:rsidRPr="002C4077">
        <w:t xml:space="preserve"> </w:t>
      </w:r>
      <w:r>
        <w:t>qu’un</w:t>
      </w:r>
      <w:r w:rsidRPr="002C4077">
        <w:t xml:space="preserve"> </w:t>
      </w:r>
      <w:r>
        <w:t>autre</w:t>
      </w:r>
      <w:r w:rsidRPr="002C4077">
        <w:t xml:space="preserve"> </w:t>
      </w:r>
      <w:r>
        <w:t>motif</w:t>
      </w:r>
      <w:r w:rsidRPr="002C4077">
        <w:t xml:space="preserve"> </w:t>
      </w:r>
      <w:r>
        <w:t>nous</w:t>
      </w:r>
      <w:r w:rsidRPr="002C4077">
        <w:t xml:space="preserve"> </w:t>
      </w:r>
      <w:r>
        <w:t>attire</w:t>
      </w:r>
      <w:r w:rsidRPr="002C4077">
        <w:t xml:space="preserve"> </w:t>
      </w:r>
      <w:r>
        <w:t>en</w:t>
      </w:r>
      <w:r w:rsidRPr="002C4077">
        <w:t xml:space="preserve"> </w:t>
      </w:r>
      <w:r>
        <w:t>ce</w:t>
      </w:r>
      <w:r w:rsidRPr="002C4077">
        <w:t xml:space="preserve"> </w:t>
      </w:r>
      <w:r>
        <w:t>lieu.</w:t>
      </w:r>
      <w:r w:rsidRPr="002C4077">
        <w:t xml:space="preserve"> </w:t>
      </w:r>
      <w:r>
        <w:t>Écoutez</w:t>
      </w:r>
      <w:r w:rsidR="00B546AF">
        <w:t> !</w:t>
      </w:r>
      <w:r w:rsidRPr="002C4077">
        <w:t xml:space="preserve"> </w:t>
      </w:r>
      <w:r>
        <w:t>C’est</w:t>
      </w:r>
      <w:r w:rsidRPr="002C4077">
        <w:t xml:space="preserve"> </w:t>
      </w:r>
      <w:r>
        <w:t>ici</w:t>
      </w:r>
      <w:r w:rsidRPr="002C4077">
        <w:t xml:space="preserve"> </w:t>
      </w:r>
      <w:r>
        <w:t>la</w:t>
      </w:r>
      <w:r w:rsidRPr="002C4077">
        <w:t xml:space="preserve"> </w:t>
      </w:r>
      <w:r w:rsidR="00B546AF">
        <w:t>« </w:t>
      </w:r>
      <w:r>
        <w:t>Fontaine</w:t>
      </w:r>
      <w:r w:rsidRPr="002C4077">
        <w:t xml:space="preserve"> </w:t>
      </w:r>
      <w:r>
        <w:t>de</w:t>
      </w:r>
      <w:r w:rsidRPr="002C4077">
        <w:t xml:space="preserve"> </w:t>
      </w:r>
      <w:r>
        <w:t>la</w:t>
      </w:r>
      <w:r w:rsidRPr="002C4077">
        <w:t xml:space="preserve"> </w:t>
      </w:r>
      <w:r>
        <w:t>Vierge</w:t>
      </w:r>
      <w:r w:rsidR="00B546AF">
        <w:t> »</w:t>
      </w:r>
      <w:r>
        <w:t>,</w:t>
      </w:r>
      <w:r w:rsidRPr="002C4077">
        <w:t xml:space="preserve"> </w:t>
      </w:r>
      <w:r>
        <w:t>et,</w:t>
      </w:r>
      <w:r w:rsidRPr="002C4077">
        <w:t xml:space="preserve"> </w:t>
      </w:r>
      <w:r>
        <w:t>à</w:t>
      </w:r>
      <w:r w:rsidRPr="002C4077">
        <w:t xml:space="preserve"> </w:t>
      </w:r>
      <w:r>
        <w:t>Nazareth,</w:t>
      </w:r>
      <w:r w:rsidRPr="002C4077">
        <w:t xml:space="preserve"> </w:t>
      </w:r>
      <w:r>
        <w:t>vous</w:t>
      </w:r>
      <w:r w:rsidRPr="002C4077">
        <w:t xml:space="preserve"> </w:t>
      </w:r>
      <w:r>
        <w:t>savez</w:t>
      </w:r>
      <w:r w:rsidRPr="002C4077">
        <w:t xml:space="preserve"> </w:t>
      </w:r>
      <w:r>
        <w:t>quelle</w:t>
      </w:r>
      <w:r w:rsidRPr="002C4077">
        <w:t xml:space="preserve"> </w:t>
      </w:r>
      <w:r>
        <w:t>peut</w:t>
      </w:r>
      <w:r w:rsidRPr="002C4077">
        <w:t xml:space="preserve"> </w:t>
      </w:r>
      <w:r>
        <w:t>être</w:t>
      </w:r>
      <w:r w:rsidRPr="002C4077">
        <w:t xml:space="preserve"> </w:t>
      </w:r>
      <w:r>
        <w:t>la</w:t>
      </w:r>
      <w:r w:rsidRPr="002C4077">
        <w:t xml:space="preserve"> </w:t>
      </w:r>
      <w:r>
        <w:t>vierge</w:t>
      </w:r>
      <w:r w:rsidRPr="002C4077">
        <w:t xml:space="preserve"> </w:t>
      </w:r>
      <w:r>
        <w:t>par</w:t>
      </w:r>
      <w:r w:rsidRPr="002C4077">
        <w:t xml:space="preserve"> </w:t>
      </w:r>
      <w:r>
        <w:t>antonomase.</w:t>
      </w:r>
      <w:r w:rsidRPr="002C4077">
        <w:t xml:space="preserve"> </w:t>
      </w:r>
      <w:r w:rsidR="00B546AF">
        <w:t>« </w:t>
      </w:r>
      <w:r>
        <w:t>Si,</w:t>
      </w:r>
      <w:r w:rsidRPr="002C4077">
        <w:t xml:space="preserve"> </w:t>
      </w:r>
      <w:r>
        <w:t>dans</w:t>
      </w:r>
      <w:r w:rsidRPr="002C4077">
        <w:t xml:space="preserve"> </w:t>
      </w:r>
      <w:r>
        <w:t>toute</w:t>
      </w:r>
      <w:r w:rsidRPr="002C4077">
        <w:t xml:space="preserve"> </w:t>
      </w:r>
      <w:r>
        <w:t>la</w:t>
      </w:r>
      <w:r w:rsidRPr="002C4077">
        <w:t xml:space="preserve"> </w:t>
      </w:r>
      <w:r>
        <w:t>Palestine,</w:t>
      </w:r>
      <w:r w:rsidRPr="002C4077">
        <w:t xml:space="preserve"> </w:t>
      </w:r>
      <w:r>
        <w:t>dit</w:t>
      </w:r>
      <w:r w:rsidRPr="002C4077">
        <w:t xml:space="preserve"> </w:t>
      </w:r>
      <w:r>
        <w:t>très</w:t>
      </w:r>
      <w:r w:rsidRPr="002C4077">
        <w:t xml:space="preserve"> </w:t>
      </w:r>
      <w:r>
        <w:t>bien</w:t>
      </w:r>
      <w:r w:rsidRPr="002C4077">
        <w:t xml:space="preserve"> </w:t>
      </w:r>
      <w:r>
        <w:t>M.</w:t>
      </w:r>
      <w:r w:rsidRPr="002C4077">
        <w:t xml:space="preserve"> </w:t>
      </w:r>
      <w:r>
        <w:t>Clarke</w:t>
      </w:r>
      <w:r w:rsidR="00B91AF7">
        <w:rPr>
          <w:rStyle w:val="Appelnotedebasdep"/>
        </w:rPr>
        <w:footnoteReference w:id="734"/>
      </w:r>
      <w:r>
        <w:t>,</w:t>
      </w:r>
      <w:r w:rsidRPr="002C4077">
        <w:t xml:space="preserve"> </w:t>
      </w:r>
      <w:r>
        <w:t>il</w:t>
      </w:r>
      <w:r w:rsidRPr="002C4077">
        <w:t xml:space="preserve"> </w:t>
      </w:r>
      <w:r w:rsidR="00425C50">
        <w:t>est</w:t>
      </w:r>
      <w:r w:rsidRPr="002C4077">
        <w:t xml:space="preserve"> </w:t>
      </w:r>
      <w:r>
        <w:t>un</w:t>
      </w:r>
      <w:r w:rsidRPr="002C4077">
        <w:t xml:space="preserve"> </w:t>
      </w:r>
      <w:r>
        <w:t>endroit</w:t>
      </w:r>
      <w:r w:rsidRPr="002C4077">
        <w:t xml:space="preserve"> </w:t>
      </w:r>
      <w:r>
        <w:t>qui</w:t>
      </w:r>
      <w:r w:rsidRPr="002C4077">
        <w:t xml:space="preserve"> </w:t>
      </w:r>
      <w:r>
        <w:t>fut</w:t>
      </w:r>
      <w:r w:rsidRPr="002C4077">
        <w:t xml:space="preserve"> </w:t>
      </w:r>
      <w:r>
        <w:t>certainement</w:t>
      </w:r>
      <w:r w:rsidRPr="002C4077">
        <w:t xml:space="preserve"> </w:t>
      </w:r>
      <w:r>
        <w:t>honoré</w:t>
      </w:r>
      <w:r w:rsidRPr="002C4077">
        <w:t xml:space="preserve"> </w:t>
      </w:r>
      <w:r>
        <w:t>de</w:t>
      </w:r>
      <w:r w:rsidRPr="002C4077">
        <w:t xml:space="preserve"> </w:t>
      </w:r>
      <w:r>
        <w:t>la</w:t>
      </w:r>
      <w:r w:rsidRPr="002C4077">
        <w:t xml:space="preserve"> </w:t>
      </w:r>
      <w:r>
        <w:t>présence</w:t>
      </w:r>
      <w:r w:rsidRPr="002C4077">
        <w:t xml:space="preserve"> </w:t>
      </w:r>
      <w:r>
        <w:t>de</w:t>
      </w:r>
      <w:r w:rsidRPr="002C4077">
        <w:t xml:space="preserve"> </w:t>
      </w:r>
      <w:r>
        <w:t>Marie,</w:t>
      </w:r>
      <w:r w:rsidRPr="002C4077">
        <w:t xml:space="preserve"> </w:t>
      </w:r>
      <w:r>
        <w:t>nous</w:t>
      </w:r>
      <w:r w:rsidRPr="002C4077">
        <w:t xml:space="preserve"> </w:t>
      </w:r>
      <w:r>
        <w:t>pouvons</w:t>
      </w:r>
      <w:r w:rsidRPr="002C4077">
        <w:t xml:space="preserve"> </w:t>
      </w:r>
      <w:r>
        <w:t>croire</w:t>
      </w:r>
      <w:r w:rsidRPr="002C4077">
        <w:t xml:space="preserve"> </w:t>
      </w:r>
      <w:r>
        <w:t>que</w:t>
      </w:r>
      <w:r w:rsidRPr="002C4077">
        <w:t xml:space="preserve"> </w:t>
      </w:r>
      <w:r>
        <w:t>ce</w:t>
      </w:r>
      <w:r w:rsidRPr="002C4077">
        <w:t xml:space="preserve"> </w:t>
      </w:r>
      <w:r>
        <w:t>fut</w:t>
      </w:r>
      <w:r w:rsidRPr="002C4077">
        <w:t xml:space="preserve"> </w:t>
      </w:r>
      <w:r w:rsidR="003B53FD">
        <w:t>celui</w:t>
      </w:r>
      <w:r>
        <w:t>-ci.</w:t>
      </w:r>
      <w:r w:rsidRPr="002C4077">
        <w:t xml:space="preserve"> </w:t>
      </w:r>
      <w:r>
        <w:t>En</w:t>
      </w:r>
      <w:r w:rsidRPr="002C4077">
        <w:t xml:space="preserve"> </w:t>
      </w:r>
      <w:r>
        <w:t>effet,</w:t>
      </w:r>
      <w:r w:rsidRPr="002C4077">
        <w:t xml:space="preserve"> </w:t>
      </w:r>
      <w:r>
        <w:t>une</w:t>
      </w:r>
      <w:r w:rsidRPr="002C4077">
        <w:t xml:space="preserve"> </w:t>
      </w:r>
      <w:r>
        <w:t>fontaine</w:t>
      </w:r>
      <w:r w:rsidRPr="002C4077">
        <w:t xml:space="preserve"> </w:t>
      </w:r>
      <w:r>
        <w:t>ne</w:t>
      </w:r>
      <w:r w:rsidRPr="002C4077">
        <w:t xml:space="preserve"> </w:t>
      </w:r>
      <w:r>
        <w:t>change</w:t>
      </w:r>
      <w:r w:rsidRPr="002C4077">
        <w:t xml:space="preserve"> </w:t>
      </w:r>
      <w:r>
        <w:t>pas</w:t>
      </w:r>
      <w:r w:rsidRPr="002C4077">
        <w:t xml:space="preserve"> </w:t>
      </w:r>
      <w:r>
        <w:t>facilement</w:t>
      </w:r>
      <w:r w:rsidRPr="002C4077">
        <w:t xml:space="preserve"> </w:t>
      </w:r>
      <w:r>
        <w:t>de</w:t>
      </w:r>
      <w:r w:rsidRPr="002C4077">
        <w:t xml:space="preserve"> </w:t>
      </w:r>
      <w:r>
        <w:t>place</w:t>
      </w:r>
      <w:r w:rsidR="00B546AF">
        <w:t> ;</w:t>
      </w:r>
      <w:r w:rsidRPr="002C4077">
        <w:t xml:space="preserve"> </w:t>
      </w:r>
      <w:r>
        <w:t>de</w:t>
      </w:r>
      <w:r w:rsidRPr="002C4077">
        <w:t xml:space="preserve"> </w:t>
      </w:r>
      <w:r>
        <w:t>plus,</w:t>
      </w:r>
      <w:r w:rsidRPr="002C4077">
        <w:t xml:space="preserve"> </w:t>
      </w:r>
      <w:r>
        <w:t>la</w:t>
      </w:r>
      <w:r w:rsidRPr="002C4077">
        <w:t xml:space="preserve"> </w:t>
      </w:r>
      <w:r>
        <w:t>coutume</w:t>
      </w:r>
      <w:r w:rsidRPr="002C4077">
        <w:t xml:space="preserve"> </w:t>
      </w:r>
      <w:r>
        <w:t>de</w:t>
      </w:r>
      <w:r w:rsidRPr="002C4077">
        <w:t xml:space="preserve"> </w:t>
      </w:r>
      <w:r>
        <w:t>venir</w:t>
      </w:r>
      <w:r w:rsidRPr="002C4077">
        <w:t xml:space="preserve"> </w:t>
      </w:r>
      <w:r>
        <w:t>là</w:t>
      </w:r>
      <w:r w:rsidRPr="002C4077">
        <w:t xml:space="preserve"> </w:t>
      </w:r>
      <w:r>
        <w:t>chercher</w:t>
      </w:r>
      <w:r w:rsidRPr="002C4077">
        <w:t xml:space="preserve"> </w:t>
      </w:r>
      <w:r>
        <w:t>de</w:t>
      </w:r>
      <w:r w:rsidRPr="002C4077">
        <w:t xml:space="preserve"> </w:t>
      </w:r>
      <w:r>
        <w:t>l’eau</w:t>
      </w:r>
      <w:r w:rsidRPr="002C4077">
        <w:t xml:space="preserve"> </w:t>
      </w:r>
      <w:r>
        <w:t>a</w:t>
      </w:r>
      <w:r w:rsidRPr="002C4077">
        <w:t xml:space="preserve"> </w:t>
      </w:r>
      <w:r>
        <w:t>dû</w:t>
      </w:r>
      <w:r w:rsidRPr="002C4077">
        <w:t xml:space="preserve"> </w:t>
      </w:r>
      <w:r>
        <w:t>se</w:t>
      </w:r>
      <w:r w:rsidRPr="002C4077">
        <w:t xml:space="preserve"> </w:t>
      </w:r>
      <w:r>
        <w:t>continuer</w:t>
      </w:r>
      <w:r w:rsidRPr="002C4077">
        <w:t xml:space="preserve"> </w:t>
      </w:r>
      <w:r>
        <w:t>parmi</w:t>
      </w:r>
      <w:r w:rsidRPr="002C4077">
        <w:t xml:space="preserve"> </w:t>
      </w:r>
      <w:r>
        <w:t>les</w:t>
      </w:r>
      <w:r w:rsidRPr="002C4077">
        <w:t xml:space="preserve"> </w:t>
      </w:r>
      <w:r>
        <w:t>femmes</w:t>
      </w:r>
      <w:r w:rsidRPr="002C4077">
        <w:t xml:space="preserve"> </w:t>
      </w:r>
      <w:r>
        <w:t>de</w:t>
      </w:r>
      <w:r w:rsidRPr="002C4077">
        <w:t xml:space="preserve"> </w:t>
      </w:r>
      <w:r>
        <w:t>Nazareth</w:t>
      </w:r>
      <w:r w:rsidRPr="002C4077">
        <w:t xml:space="preserve"> </w:t>
      </w:r>
      <w:r>
        <w:t>depuis</w:t>
      </w:r>
      <w:r w:rsidRPr="002C4077">
        <w:t xml:space="preserve"> </w:t>
      </w:r>
      <w:r>
        <w:t>la</w:t>
      </w:r>
      <w:r w:rsidRPr="002C4077">
        <w:t xml:space="preserve"> </w:t>
      </w:r>
      <w:r>
        <w:t>période</w:t>
      </w:r>
      <w:r w:rsidRPr="002C4077">
        <w:t xml:space="preserve"> </w:t>
      </w:r>
      <w:r>
        <w:t>la</w:t>
      </w:r>
      <w:r w:rsidRPr="002C4077">
        <w:t xml:space="preserve"> </w:t>
      </w:r>
      <w:r>
        <w:t>plus</w:t>
      </w:r>
      <w:r w:rsidRPr="002C4077">
        <w:t xml:space="preserve"> </w:t>
      </w:r>
      <w:r>
        <w:t>reculée</w:t>
      </w:r>
      <w:r w:rsidRPr="002C4077">
        <w:t xml:space="preserve"> </w:t>
      </w:r>
      <w:r>
        <w:t>de</w:t>
      </w:r>
      <w:r w:rsidRPr="002C4077">
        <w:t xml:space="preserve"> </w:t>
      </w:r>
      <w:r>
        <w:t>l’histoire</w:t>
      </w:r>
      <w:r w:rsidRPr="002C4077">
        <w:t xml:space="preserve"> </w:t>
      </w:r>
      <w:r>
        <w:t>de</w:t>
      </w:r>
      <w:r w:rsidRPr="002C4077">
        <w:t xml:space="preserve"> </w:t>
      </w:r>
      <w:r>
        <w:t>cette</w:t>
      </w:r>
      <w:r w:rsidRPr="002C4077">
        <w:t xml:space="preserve"> </w:t>
      </w:r>
      <w:r>
        <w:t>bourgade</w:t>
      </w:r>
      <w:r w:rsidR="00B546AF">
        <w:t> »</w:t>
      </w:r>
      <w:r>
        <w:t>.</w:t>
      </w:r>
      <w:r w:rsidRPr="002C4077">
        <w:t xml:space="preserve"> </w:t>
      </w:r>
      <w:r>
        <w:t>Marie,</w:t>
      </w:r>
      <w:r w:rsidRPr="002C4077">
        <w:t xml:space="preserve"> </w:t>
      </w:r>
      <w:r>
        <w:t>nous</w:t>
      </w:r>
      <w:r w:rsidRPr="002C4077">
        <w:t xml:space="preserve"> </w:t>
      </w:r>
      <w:r>
        <w:t>n’en</w:t>
      </w:r>
      <w:r w:rsidRPr="002C4077">
        <w:t xml:space="preserve"> </w:t>
      </w:r>
      <w:r>
        <w:t>saurions</w:t>
      </w:r>
      <w:r w:rsidRPr="002C4077">
        <w:t xml:space="preserve"> </w:t>
      </w:r>
      <w:r>
        <w:t>douter,</w:t>
      </w:r>
      <w:r w:rsidRPr="002C4077">
        <w:t xml:space="preserve"> </w:t>
      </w:r>
      <w:r w:rsidR="00425C50">
        <w:t>est</w:t>
      </w:r>
      <w:r w:rsidRPr="002C4077">
        <w:t xml:space="preserve"> </w:t>
      </w:r>
      <w:r>
        <w:t>donc</w:t>
      </w:r>
      <w:r w:rsidRPr="002C4077">
        <w:t xml:space="preserve"> </w:t>
      </w:r>
      <w:r>
        <w:t>venue</w:t>
      </w:r>
      <w:r w:rsidRPr="002C4077">
        <w:t xml:space="preserve"> </w:t>
      </w:r>
      <w:r>
        <w:t>pendant</w:t>
      </w:r>
      <w:r w:rsidRPr="002C4077">
        <w:t xml:space="preserve"> </w:t>
      </w:r>
      <w:r>
        <w:t>de</w:t>
      </w:r>
      <w:r w:rsidRPr="002C4077">
        <w:t xml:space="preserve"> </w:t>
      </w:r>
      <w:r>
        <w:t>longues</w:t>
      </w:r>
      <w:r w:rsidRPr="002C4077">
        <w:t xml:space="preserve"> </w:t>
      </w:r>
      <w:r>
        <w:t>années</w:t>
      </w:r>
      <w:r w:rsidRPr="002C4077">
        <w:t xml:space="preserve"> </w:t>
      </w:r>
      <w:r>
        <w:t>puiser</w:t>
      </w:r>
      <w:r w:rsidRPr="002C4077">
        <w:t xml:space="preserve"> </w:t>
      </w:r>
      <w:r>
        <w:t>de</w:t>
      </w:r>
      <w:r w:rsidRPr="002C4077">
        <w:t xml:space="preserve"> </w:t>
      </w:r>
      <w:r>
        <w:t>l’eau</w:t>
      </w:r>
      <w:r w:rsidRPr="002C4077">
        <w:t xml:space="preserve"> </w:t>
      </w:r>
      <w:r>
        <w:t>à</w:t>
      </w:r>
      <w:r w:rsidRPr="002C4077">
        <w:t xml:space="preserve"> </w:t>
      </w:r>
      <w:r>
        <w:t>cette</w:t>
      </w:r>
      <w:r w:rsidRPr="002C4077">
        <w:t xml:space="preserve"> </w:t>
      </w:r>
      <w:r>
        <w:t>fontaine,</w:t>
      </w:r>
      <w:r w:rsidRPr="002C4077">
        <w:t xml:space="preserve"> </w:t>
      </w:r>
      <w:r>
        <w:t>souvent</w:t>
      </w:r>
      <w:r w:rsidRPr="002C4077">
        <w:t xml:space="preserve"> </w:t>
      </w:r>
      <w:r>
        <w:t>sans</w:t>
      </w:r>
      <w:r w:rsidRPr="002C4077">
        <w:t xml:space="preserve"> </w:t>
      </w:r>
      <w:r>
        <w:t>doute</w:t>
      </w:r>
      <w:r w:rsidRPr="002C4077">
        <w:t xml:space="preserve"> </w:t>
      </w:r>
      <w:r>
        <w:t>accompagnée</w:t>
      </w:r>
      <w:r w:rsidRPr="002C4077">
        <w:t xml:space="preserve"> </w:t>
      </w:r>
      <w:r>
        <w:t>du</w:t>
      </w:r>
      <w:r w:rsidRPr="002C4077">
        <w:t xml:space="preserve"> </w:t>
      </w:r>
      <w:r>
        <w:t>divin</w:t>
      </w:r>
      <w:r w:rsidRPr="002C4077">
        <w:t xml:space="preserve"> </w:t>
      </w:r>
      <w:r>
        <w:t>Enfant.</w:t>
      </w:r>
      <w:r w:rsidR="00C45B47">
        <w:t xml:space="preserve"> {</w:t>
      </w:r>
      <w:r w:rsidR="001F5257">
        <w:t>225</w:t>
      </w:r>
      <w:bookmarkStart w:id="545" w:name="p225"/>
      <w:bookmarkEnd w:id="545"/>
      <w:r w:rsidR="001F5257">
        <w:t xml:space="preserve">} </w:t>
      </w:r>
    </w:p>
    <w:p w:rsidR="000A7AAB" w:rsidRDefault="000A7AAB" w:rsidP="000A7AAB">
      <w:r>
        <w:t>La</w:t>
      </w:r>
      <w:r w:rsidRPr="002C4077">
        <w:t xml:space="preserve"> </w:t>
      </w:r>
      <w:r>
        <w:t>légende</w:t>
      </w:r>
      <w:r w:rsidRPr="002C4077">
        <w:t xml:space="preserve"> </w:t>
      </w:r>
      <w:r>
        <w:t>ne</w:t>
      </w:r>
      <w:r w:rsidRPr="002C4077">
        <w:t xml:space="preserve"> </w:t>
      </w:r>
      <w:r>
        <w:t>pouvait</w:t>
      </w:r>
      <w:r w:rsidRPr="002C4077">
        <w:t xml:space="preserve"> </w:t>
      </w:r>
      <w:r>
        <w:t>pas</w:t>
      </w:r>
      <w:r w:rsidRPr="002C4077">
        <w:t xml:space="preserve"> </w:t>
      </w:r>
      <w:r>
        <w:t>manquer</w:t>
      </w:r>
      <w:r w:rsidRPr="002C4077">
        <w:t xml:space="preserve"> </w:t>
      </w:r>
      <w:r>
        <w:t>de</w:t>
      </w:r>
      <w:r w:rsidRPr="002C4077">
        <w:t xml:space="preserve"> </w:t>
      </w:r>
      <w:r>
        <w:t>s’emparer</w:t>
      </w:r>
      <w:r w:rsidRPr="002C4077">
        <w:t xml:space="preserve"> </w:t>
      </w:r>
      <w:r>
        <w:t>d’un</w:t>
      </w:r>
      <w:r w:rsidRPr="002C4077">
        <w:t xml:space="preserve"> </w:t>
      </w:r>
      <w:r>
        <w:t>fait</w:t>
      </w:r>
      <w:r w:rsidRPr="002C4077">
        <w:t xml:space="preserve"> </w:t>
      </w:r>
      <w:r>
        <w:t>aussi</w:t>
      </w:r>
      <w:r w:rsidRPr="002C4077">
        <w:t xml:space="preserve"> </w:t>
      </w:r>
      <w:r>
        <w:t>intéressant.</w:t>
      </w:r>
      <w:r w:rsidRPr="002C4077">
        <w:t xml:space="preserve"> </w:t>
      </w:r>
      <w:r>
        <w:t>D’après</w:t>
      </w:r>
      <w:r w:rsidRPr="002C4077">
        <w:t xml:space="preserve"> </w:t>
      </w:r>
      <w:r>
        <w:t>l’écrit</w:t>
      </w:r>
      <w:r w:rsidRPr="002C4077">
        <w:t xml:space="preserve"> </w:t>
      </w:r>
      <w:r>
        <w:t>apocryphe</w:t>
      </w:r>
      <w:r w:rsidRPr="002C4077">
        <w:t xml:space="preserve"> </w:t>
      </w:r>
      <w:r>
        <w:t>connu</w:t>
      </w:r>
      <w:r w:rsidRPr="002C4077">
        <w:t xml:space="preserve"> </w:t>
      </w:r>
      <w:r>
        <w:t>sous</w:t>
      </w:r>
      <w:r w:rsidRPr="002C4077">
        <w:t xml:space="preserve"> </w:t>
      </w:r>
      <w:r>
        <w:t>le</w:t>
      </w:r>
      <w:r w:rsidRPr="002C4077">
        <w:t xml:space="preserve"> </w:t>
      </w:r>
      <w:r>
        <w:t>nom</w:t>
      </w:r>
      <w:r w:rsidRPr="002C4077">
        <w:t xml:space="preserve"> </w:t>
      </w:r>
      <w:r>
        <w:t>de</w:t>
      </w:r>
      <w:r w:rsidRPr="002C4077">
        <w:t xml:space="preserve"> </w:t>
      </w:r>
      <w:r>
        <w:t>Protévangile</w:t>
      </w:r>
      <w:r w:rsidRPr="002C4077">
        <w:t xml:space="preserve"> </w:t>
      </w:r>
      <w:r>
        <w:t>de</w:t>
      </w:r>
      <w:r w:rsidRPr="002C4077">
        <w:t xml:space="preserve"> </w:t>
      </w:r>
      <w:r>
        <w:t>Jacques-le-M</w:t>
      </w:r>
      <w:r w:rsidR="001730C6">
        <w:t>in</w:t>
      </w:r>
      <w:r>
        <w:t>eur</w:t>
      </w:r>
      <w:r w:rsidR="00B91AF7">
        <w:rPr>
          <w:rStyle w:val="Appelnotedebasdep"/>
        </w:rPr>
        <w:footnoteReference w:id="735"/>
      </w:r>
      <w:r>
        <w:t>,</w:t>
      </w:r>
      <w:r w:rsidRPr="002C4077">
        <w:t xml:space="preserve"> </w:t>
      </w:r>
      <w:r>
        <w:t>l’Annonciation</w:t>
      </w:r>
      <w:r w:rsidRPr="002C4077">
        <w:t xml:space="preserve"> </w:t>
      </w:r>
      <w:r>
        <w:t>aurait</w:t>
      </w:r>
      <w:r w:rsidRPr="002C4077">
        <w:t xml:space="preserve"> </w:t>
      </w:r>
      <w:r>
        <w:t>eu</w:t>
      </w:r>
      <w:r w:rsidRPr="002C4077">
        <w:t xml:space="preserve"> </w:t>
      </w:r>
      <w:r>
        <w:t>lieu</w:t>
      </w:r>
      <w:r w:rsidRPr="002C4077">
        <w:t xml:space="preserve"> </w:t>
      </w:r>
      <w:r>
        <w:t>auprès</w:t>
      </w:r>
      <w:r w:rsidRPr="002C4077">
        <w:t xml:space="preserve"> </w:t>
      </w:r>
      <w:r>
        <w:t>de</w:t>
      </w:r>
      <w:r w:rsidRPr="002C4077">
        <w:t xml:space="preserve"> </w:t>
      </w:r>
      <w:r>
        <w:t>la</w:t>
      </w:r>
      <w:r w:rsidRPr="002C4077">
        <w:t xml:space="preserve"> </w:t>
      </w:r>
      <w:r>
        <w:t>Fontaine</w:t>
      </w:r>
      <w:r w:rsidRPr="002C4077">
        <w:t xml:space="preserve"> </w:t>
      </w:r>
      <w:r>
        <w:t>de</w:t>
      </w:r>
      <w:r w:rsidRPr="002C4077">
        <w:t xml:space="preserve"> </w:t>
      </w:r>
      <w:r>
        <w:t>la</w:t>
      </w:r>
      <w:r w:rsidRPr="002C4077">
        <w:t xml:space="preserve"> </w:t>
      </w:r>
      <w:r>
        <w:t>Vierge,</w:t>
      </w:r>
      <w:r w:rsidRPr="002C4077">
        <w:t xml:space="preserve"> </w:t>
      </w:r>
      <w:r>
        <w:t>et</w:t>
      </w:r>
      <w:r w:rsidRPr="002C4077">
        <w:t xml:space="preserve"> </w:t>
      </w:r>
      <w:r>
        <w:t>c’est</w:t>
      </w:r>
      <w:r w:rsidRPr="002C4077">
        <w:t xml:space="preserve"> </w:t>
      </w:r>
      <w:r>
        <w:t>ce</w:t>
      </w:r>
      <w:r w:rsidRPr="002C4077">
        <w:t xml:space="preserve"> </w:t>
      </w:r>
      <w:r>
        <w:t>que</w:t>
      </w:r>
      <w:r w:rsidRPr="002C4077">
        <w:t xml:space="preserve"> </w:t>
      </w:r>
      <w:r>
        <w:t>prétendent</w:t>
      </w:r>
      <w:r w:rsidRPr="002C4077">
        <w:t xml:space="preserve"> </w:t>
      </w:r>
      <w:r>
        <w:t>encore</w:t>
      </w:r>
      <w:r w:rsidRPr="002C4077">
        <w:t xml:space="preserve"> </w:t>
      </w:r>
      <w:r>
        <w:t>les</w:t>
      </w:r>
      <w:r w:rsidRPr="002C4077">
        <w:t xml:space="preserve"> </w:t>
      </w:r>
      <w:r>
        <w:t>Grecs.</w:t>
      </w:r>
      <w:r w:rsidRPr="002C4077">
        <w:t xml:space="preserve"> </w:t>
      </w:r>
      <w:r>
        <w:t>Mais</w:t>
      </w:r>
      <w:r w:rsidRPr="002C4077">
        <w:t xml:space="preserve"> </w:t>
      </w:r>
      <w:r>
        <w:t>laissez-moi</w:t>
      </w:r>
      <w:r w:rsidRPr="002C4077">
        <w:t xml:space="preserve"> </w:t>
      </w:r>
      <w:r>
        <w:t>vous</w:t>
      </w:r>
      <w:r w:rsidRPr="002C4077">
        <w:t xml:space="preserve"> </w:t>
      </w:r>
      <w:r>
        <w:t>raconter</w:t>
      </w:r>
      <w:r w:rsidRPr="002C4077">
        <w:t xml:space="preserve"> </w:t>
      </w:r>
      <w:r>
        <w:t>ce</w:t>
      </w:r>
      <w:r w:rsidRPr="002C4077">
        <w:t xml:space="preserve"> </w:t>
      </w:r>
      <w:r>
        <w:t>fait</w:t>
      </w:r>
      <w:r w:rsidRPr="002C4077">
        <w:t xml:space="preserve"> </w:t>
      </w:r>
      <w:r>
        <w:t>d’après</w:t>
      </w:r>
      <w:r w:rsidRPr="002C4077">
        <w:t xml:space="preserve"> </w:t>
      </w:r>
      <w:r>
        <w:t>le</w:t>
      </w:r>
      <w:r w:rsidRPr="002C4077">
        <w:t xml:space="preserve"> </w:t>
      </w:r>
      <w:r>
        <w:t>poète</w:t>
      </w:r>
      <w:r w:rsidRPr="002C4077">
        <w:t xml:space="preserve"> </w:t>
      </w:r>
      <w:r>
        <w:t>américain</w:t>
      </w:r>
      <w:r w:rsidRPr="002C4077">
        <w:t xml:space="preserve"> </w:t>
      </w:r>
      <w:r>
        <w:t>Longfellow,</w:t>
      </w:r>
      <w:r w:rsidRPr="002C4077">
        <w:t xml:space="preserve"> </w:t>
      </w:r>
      <w:r>
        <w:t>qui</w:t>
      </w:r>
      <w:r w:rsidRPr="002C4077">
        <w:t xml:space="preserve"> </w:t>
      </w:r>
      <w:r>
        <w:t>l’a</w:t>
      </w:r>
      <w:r w:rsidRPr="002C4077">
        <w:t xml:space="preserve"> </w:t>
      </w:r>
      <w:r>
        <w:t>inséré</w:t>
      </w:r>
      <w:r w:rsidRPr="002C4077">
        <w:t xml:space="preserve"> </w:t>
      </w:r>
      <w:r>
        <w:t>dans</w:t>
      </w:r>
      <w:r w:rsidRPr="002C4077">
        <w:t xml:space="preserve"> </w:t>
      </w:r>
      <w:r>
        <w:t>sa</w:t>
      </w:r>
      <w:r w:rsidRPr="002C4077">
        <w:t xml:space="preserve"> </w:t>
      </w:r>
      <w:r w:rsidRPr="000A34B5">
        <w:rPr>
          <w:rStyle w:val="italicus"/>
        </w:rPr>
        <w:t>Légende</w:t>
      </w:r>
      <w:r w:rsidRPr="002C4077">
        <w:t xml:space="preserve"> </w:t>
      </w:r>
      <w:r w:rsidRPr="000A34B5">
        <w:rPr>
          <w:rStyle w:val="italicus"/>
        </w:rPr>
        <w:t>dorée,</w:t>
      </w:r>
      <w:r w:rsidRPr="002C4077">
        <w:t xml:space="preserve"> </w:t>
      </w:r>
      <w:r>
        <w:t>en</w:t>
      </w:r>
      <w:r w:rsidRPr="002C4077">
        <w:t xml:space="preserve"> </w:t>
      </w:r>
      <w:r>
        <w:t>suivant</w:t>
      </w:r>
      <w:r w:rsidRPr="002C4077">
        <w:t xml:space="preserve"> </w:t>
      </w:r>
      <w:r>
        <w:t>quelques</w:t>
      </w:r>
      <w:r w:rsidRPr="002C4077">
        <w:t xml:space="preserve"> </w:t>
      </w:r>
      <w:r>
        <w:t>vieux</w:t>
      </w:r>
      <w:r w:rsidRPr="002C4077">
        <w:t xml:space="preserve"> </w:t>
      </w:r>
      <w:r>
        <w:t>Mystères</w:t>
      </w:r>
      <w:r w:rsidRPr="002C4077">
        <w:t xml:space="preserve"> </w:t>
      </w:r>
      <w:r>
        <w:t>du</w:t>
      </w:r>
      <w:r w:rsidRPr="002C4077">
        <w:t xml:space="preserve"> </w:t>
      </w:r>
      <w:r>
        <w:t>Moyen-âge.</w:t>
      </w:r>
      <w:r w:rsidRPr="002C4077">
        <w:t xml:space="preserve"> </w:t>
      </w:r>
    </w:p>
    <w:p w:rsidR="000A7AAB" w:rsidRDefault="000A7AAB" w:rsidP="002F7AFA">
      <w:pPr>
        <w:pStyle w:val="LcCentrum"/>
      </w:pPr>
      <w:r>
        <w:t>MARIE</w:t>
      </w:r>
      <w:r w:rsidRPr="002C4077">
        <w:t xml:space="preserve"> </w:t>
      </w:r>
      <w:r>
        <w:t>À</w:t>
      </w:r>
      <w:r w:rsidRPr="002C4077">
        <w:t xml:space="preserve"> </w:t>
      </w:r>
      <w:r>
        <w:t>LA</w:t>
      </w:r>
      <w:r w:rsidRPr="002C4077">
        <w:t xml:space="preserve"> </w:t>
      </w:r>
      <w:r>
        <w:t>FONTAINE.</w:t>
      </w:r>
      <w:r w:rsidRPr="002C4077">
        <w:t xml:space="preserve"> </w:t>
      </w:r>
    </w:p>
    <w:p w:rsidR="000A7AAB" w:rsidRDefault="000A7AAB" w:rsidP="00F042F3">
      <w:pPr>
        <w:pStyle w:val="locus"/>
      </w:pPr>
      <w:r>
        <w:rPr>
          <w:smallCaps/>
        </w:rPr>
        <w:t>Marie</w:t>
      </w:r>
      <w:r>
        <w:t>.</w:t>
      </w:r>
      <w:r w:rsidRPr="002C4077">
        <w:t xml:space="preserve"> </w:t>
      </w:r>
      <w:r>
        <w:t>Le</w:t>
      </w:r>
      <w:r w:rsidRPr="002C4077">
        <w:t xml:space="preserve"> </w:t>
      </w:r>
      <w:r>
        <w:t>long</w:t>
      </w:r>
      <w:r w:rsidRPr="002C4077">
        <w:t xml:space="preserve"> </w:t>
      </w:r>
      <w:r>
        <w:t>de</w:t>
      </w:r>
      <w:r w:rsidRPr="002C4077">
        <w:t xml:space="preserve"> </w:t>
      </w:r>
      <w:r>
        <w:t>l’allée</w:t>
      </w:r>
      <w:r w:rsidRPr="002C4077">
        <w:t xml:space="preserve"> </w:t>
      </w:r>
      <w:r>
        <w:t>du</w:t>
      </w:r>
      <w:r w:rsidRPr="002C4077">
        <w:t xml:space="preserve"> </w:t>
      </w:r>
      <w:r>
        <w:t>jardin,</w:t>
      </w:r>
      <w:r w:rsidRPr="002C4077">
        <w:t xml:space="preserve"> </w:t>
      </w:r>
      <w:r>
        <w:t>puis</w:t>
      </w:r>
      <w:r w:rsidRPr="002C4077">
        <w:t xml:space="preserve"> </w:t>
      </w:r>
      <w:r>
        <w:t>à</w:t>
      </w:r>
      <w:r w:rsidRPr="002C4077">
        <w:t xml:space="preserve"> </w:t>
      </w:r>
      <w:r>
        <w:t>travers</w:t>
      </w:r>
      <w:r w:rsidRPr="002C4077">
        <w:t xml:space="preserve"> </w:t>
      </w:r>
      <w:r>
        <w:t>la</w:t>
      </w:r>
      <w:r w:rsidRPr="002C4077">
        <w:t xml:space="preserve"> </w:t>
      </w:r>
      <w:r>
        <w:t>barrière</w:t>
      </w:r>
      <w:r w:rsidRPr="002C4077">
        <w:t xml:space="preserve"> </w:t>
      </w:r>
      <w:r>
        <w:t>placée</w:t>
      </w:r>
      <w:r w:rsidRPr="002C4077">
        <w:t xml:space="preserve"> </w:t>
      </w:r>
      <w:r>
        <w:t>au</w:t>
      </w:r>
      <w:r w:rsidRPr="002C4077">
        <w:t xml:space="preserve"> </w:t>
      </w:r>
      <w:r>
        <w:t>milieu</w:t>
      </w:r>
      <w:r w:rsidRPr="002C4077">
        <w:t xml:space="preserve"> </w:t>
      </w:r>
      <w:r>
        <w:t>de</w:t>
      </w:r>
      <w:r w:rsidRPr="002C4077">
        <w:t xml:space="preserve"> </w:t>
      </w:r>
      <w:r>
        <w:t>la</w:t>
      </w:r>
      <w:r w:rsidRPr="002C4077">
        <w:t xml:space="preserve"> </w:t>
      </w:r>
      <w:r>
        <w:t>baie,</w:t>
      </w:r>
      <w:r w:rsidRPr="002C4077">
        <w:t xml:space="preserve"> </w:t>
      </w:r>
      <w:r>
        <w:t>je</w:t>
      </w:r>
      <w:r w:rsidRPr="002C4077">
        <w:t xml:space="preserve"> </w:t>
      </w:r>
      <w:r>
        <w:t>m’avance</w:t>
      </w:r>
      <w:r w:rsidRPr="002C4077">
        <w:t xml:space="preserve"> </w:t>
      </w:r>
      <w:r>
        <w:t>à</w:t>
      </w:r>
      <w:r w:rsidRPr="002C4077">
        <w:t xml:space="preserve"> </w:t>
      </w:r>
      <w:r>
        <w:t>la</w:t>
      </w:r>
      <w:r w:rsidRPr="002C4077">
        <w:t xml:space="preserve"> </w:t>
      </w:r>
      <w:r>
        <w:t>dérobée,</w:t>
      </w:r>
      <w:r w:rsidRPr="002C4077">
        <w:t xml:space="preserve"> </w:t>
      </w:r>
      <w:r>
        <w:t>quoique</w:t>
      </w:r>
      <w:r w:rsidRPr="002C4077">
        <w:t xml:space="preserve"> </w:t>
      </w:r>
      <w:r>
        <w:t>tranquillement,</w:t>
      </w:r>
      <w:r w:rsidRPr="002C4077">
        <w:t xml:space="preserve"> </w:t>
      </w:r>
      <w:r>
        <w:t>pour</w:t>
      </w:r>
      <w:r w:rsidRPr="002C4077">
        <w:t xml:space="preserve"> </w:t>
      </w:r>
      <w:r>
        <w:t>remplir</w:t>
      </w:r>
      <w:r w:rsidRPr="002C4077">
        <w:t xml:space="preserve"> </w:t>
      </w:r>
      <w:r>
        <w:t>ma</w:t>
      </w:r>
      <w:r w:rsidRPr="002C4077">
        <w:t xml:space="preserve"> </w:t>
      </w:r>
      <w:r>
        <w:t>cruche</w:t>
      </w:r>
      <w:r w:rsidRPr="002C4077">
        <w:t xml:space="preserve"> </w:t>
      </w:r>
      <w:r>
        <w:t>à</w:t>
      </w:r>
      <w:r w:rsidRPr="002C4077">
        <w:t xml:space="preserve"> </w:t>
      </w:r>
      <w:r>
        <w:t>la</w:t>
      </w:r>
      <w:r w:rsidRPr="002C4077">
        <w:t xml:space="preserve"> </w:t>
      </w:r>
      <w:r>
        <w:t>fontaine,</w:t>
      </w:r>
      <w:r w:rsidRPr="002C4077">
        <w:t xml:space="preserve"> </w:t>
      </w:r>
      <w:r>
        <w:t>cette</w:t>
      </w:r>
      <w:r w:rsidRPr="002C4077">
        <w:t xml:space="preserve"> </w:t>
      </w:r>
      <w:r>
        <w:t>fontaine</w:t>
      </w:r>
      <w:r w:rsidRPr="002C4077">
        <w:t xml:space="preserve"> </w:t>
      </w:r>
      <w:r>
        <w:t>si</w:t>
      </w:r>
      <w:r w:rsidRPr="002C4077">
        <w:t xml:space="preserve"> </w:t>
      </w:r>
      <w:r>
        <w:t>profonde,</w:t>
      </w:r>
      <w:r w:rsidRPr="002C4077">
        <w:t xml:space="preserve"> </w:t>
      </w:r>
      <w:r>
        <w:t>et</w:t>
      </w:r>
      <w:r w:rsidRPr="002C4077">
        <w:t xml:space="preserve"> </w:t>
      </w:r>
      <w:r>
        <w:t>si</w:t>
      </w:r>
      <w:r w:rsidRPr="002C4077">
        <w:t xml:space="preserve"> </w:t>
      </w:r>
      <w:r>
        <w:t>fraîche,</w:t>
      </w:r>
      <w:r w:rsidRPr="002C4077">
        <w:t xml:space="preserve"> </w:t>
      </w:r>
      <w:r>
        <w:t>et</w:t>
      </w:r>
      <w:r w:rsidRPr="002C4077">
        <w:t xml:space="preserve"> </w:t>
      </w:r>
      <w:r>
        <w:t>si</w:t>
      </w:r>
      <w:r w:rsidRPr="002C4077">
        <w:t xml:space="preserve"> </w:t>
      </w:r>
      <w:r>
        <w:t>calme,</w:t>
      </w:r>
      <w:r w:rsidRPr="002C4077">
        <w:t xml:space="preserve"> </w:t>
      </w:r>
      <w:r>
        <w:t>qu’on</w:t>
      </w:r>
      <w:r w:rsidRPr="002C4077">
        <w:t xml:space="preserve"> </w:t>
      </w:r>
      <w:r>
        <w:t>trouve</w:t>
      </w:r>
      <w:r w:rsidRPr="002C4077">
        <w:t xml:space="preserve"> </w:t>
      </w:r>
      <w:r>
        <w:t>en</w:t>
      </w:r>
      <w:r w:rsidRPr="002C4077">
        <w:t xml:space="preserve"> </w:t>
      </w:r>
      <w:r>
        <w:t>ce</w:t>
      </w:r>
      <w:r w:rsidRPr="002C4077">
        <w:t xml:space="preserve"> </w:t>
      </w:r>
      <w:r>
        <w:t>lieu</w:t>
      </w:r>
      <w:r w:rsidRPr="002C4077">
        <w:t xml:space="preserve"> </w:t>
      </w:r>
      <w:r>
        <w:t>solitaire.</w:t>
      </w:r>
      <w:r w:rsidRPr="002C4077">
        <w:t xml:space="preserve"> </w:t>
      </w:r>
      <w:r>
        <w:t>Des</w:t>
      </w:r>
      <w:r w:rsidRPr="002C4077">
        <w:t xml:space="preserve"> </w:t>
      </w:r>
      <w:r>
        <w:t>sycomores</w:t>
      </w:r>
      <w:r w:rsidRPr="002C4077">
        <w:t xml:space="preserve"> </w:t>
      </w:r>
      <w:r>
        <w:t>montent</w:t>
      </w:r>
      <w:r w:rsidRPr="002C4077">
        <w:t xml:space="preserve"> </w:t>
      </w:r>
      <w:r>
        <w:t>la</w:t>
      </w:r>
      <w:r w:rsidRPr="002C4077">
        <w:t xml:space="preserve"> </w:t>
      </w:r>
      <w:r>
        <w:t>garde</w:t>
      </w:r>
      <w:r w:rsidRPr="002C4077">
        <w:t xml:space="preserve"> </w:t>
      </w:r>
      <w:r>
        <w:t>tout</w:t>
      </w:r>
      <w:r w:rsidRPr="002C4077">
        <w:t xml:space="preserve"> </w:t>
      </w:r>
      <w:r>
        <w:t>autour.</w:t>
      </w:r>
      <w:r w:rsidRPr="002C4077">
        <w:t xml:space="preserve"> </w:t>
      </w:r>
      <w:r>
        <w:t>Je</w:t>
      </w:r>
      <w:r w:rsidRPr="002C4077">
        <w:t xml:space="preserve"> </w:t>
      </w:r>
      <w:r>
        <w:t>ne</w:t>
      </w:r>
      <w:r w:rsidRPr="002C4077">
        <w:t xml:space="preserve"> </w:t>
      </w:r>
      <w:r>
        <w:t>vois</w:t>
      </w:r>
      <w:r w:rsidRPr="002C4077">
        <w:t xml:space="preserve"> </w:t>
      </w:r>
      <w:r>
        <w:t>personne,</w:t>
      </w:r>
      <w:r w:rsidRPr="002C4077">
        <w:t xml:space="preserve"> </w:t>
      </w:r>
      <w:r>
        <w:t>je</w:t>
      </w:r>
      <w:r w:rsidRPr="002C4077">
        <w:t xml:space="preserve"> </w:t>
      </w:r>
      <w:r>
        <w:t>n’entends</w:t>
      </w:r>
      <w:r w:rsidRPr="002C4077">
        <w:t xml:space="preserve"> </w:t>
      </w:r>
      <w:r>
        <w:t>d’autre</w:t>
      </w:r>
      <w:r w:rsidRPr="002C4077">
        <w:t xml:space="preserve"> </w:t>
      </w:r>
      <w:r>
        <w:t>bruit</w:t>
      </w:r>
      <w:r w:rsidRPr="002C4077">
        <w:t xml:space="preserve"> </w:t>
      </w:r>
      <w:r>
        <w:t>que</w:t>
      </w:r>
      <w:r w:rsidRPr="002C4077">
        <w:t xml:space="preserve"> </w:t>
      </w:r>
      <w:r>
        <w:t>les</w:t>
      </w:r>
      <w:r w:rsidRPr="002C4077">
        <w:t xml:space="preserve"> </w:t>
      </w:r>
      <w:r>
        <w:t>murmures</w:t>
      </w:r>
      <w:r w:rsidRPr="002C4077">
        <w:t xml:space="preserve"> </w:t>
      </w:r>
      <w:r>
        <w:t>de</w:t>
      </w:r>
      <w:r w:rsidRPr="002C4077">
        <w:t xml:space="preserve"> </w:t>
      </w:r>
      <w:r>
        <w:t>la</w:t>
      </w:r>
      <w:r w:rsidRPr="002C4077">
        <w:t xml:space="preserve"> </w:t>
      </w:r>
      <w:r>
        <w:t>source</w:t>
      </w:r>
      <w:r w:rsidR="00B546AF">
        <w:t> ;</w:t>
      </w:r>
      <w:r w:rsidRPr="002C4077">
        <w:t xml:space="preserve"> </w:t>
      </w:r>
      <w:r>
        <w:t>j’entends</w:t>
      </w:r>
      <w:r w:rsidRPr="002C4077">
        <w:t xml:space="preserve"> </w:t>
      </w:r>
      <w:r>
        <w:t>aussi</w:t>
      </w:r>
      <w:r w:rsidRPr="002C4077">
        <w:t xml:space="preserve"> </w:t>
      </w:r>
      <w:r>
        <w:t>mes</w:t>
      </w:r>
      <w:r w:rsidRPr="002C4077">
        <w:t xml:space="preserve"> </w:t>
      </w:r>
      <w:r>
        <w:t>compagnes</w:t>
      </w:r>
      <w:r w:rsidRPr="002C4077">
        <w:t xml:space="preserve"> </w:t>
      </w:r>
      <w:r>
        <w:t>qui,</w:t>
      </w:r>
      <w:r w:rsidRPr="002C4077">
        <w:t xml:space="preserve"> </w:t>
      </w:r>
      <w:r>
        <w:t>au</w:t>
      </w:r>
      <w:r w:rsidRPr="002C4077">
        <w:t xml:space="preserve"> </w:t>
      </w:r>
      <w:r>
        <w:t>sein</w:t>
      </w:r>
      <w:r w:rsidRPr="002C4077">
        <w:t xml:space="preserve"> </w:t>
      </w:r>
      <w:r>
        <w:t>de</w:t>
      </w:r>
      <w:r w:rsidRPr="002C4077">
        <w:t xml:space="preserve"> </w:t>
      </w:r>
      <w:r>
        <w:t>leur</w:t>
      </w:r>
      <w:r w:rsidRPr="002C4077">
        <w:t xml:space="preserve"> </w:t>
      </w:r>
      <w:r>
        <w:t>retraite,</w:t>
      </w:r>
      <w:r w:rsidRPr="002C4077">
        <w:t xml:space="preserve"> </w:t>
      </w:r>
      <w:r>
        <w:t>tissent</w:t>
      </w:r>
      <w:r w:rsidRPr="002C4077">
        <w:t xml:space="preserve"> </w:t>
      </w:r>
      <w:r>
        <w:t>les</w:t>
      </w:r>
      <w:r w:rsidRPr="002C4077">
        <w:t xml:space="preserve"> </w:t>
      </w:r>
      <w:r>
        <w:t>fils</w:t>
      </w:r>
      <w:r w:rsidRPr="002C4077">
        <w:t xml:space="preserve"> </w:t>
      </w:r>
      <w:r>
        <w:t>d’or</w:t>
      </w:r>
      <w:r w:rsidRPr="002C4077">
        <w:t xml:space="preserve"> </w:t>
      </w:r>
      <w:r>
        <w:t>et</w:t>
      </w:r>
      <w:r w:rsidRPr="002C4077">
        <w:t xml:space="preserve"> </w:t>
      </w:r>
      <w:r>
        <w:t>d’écarlate,</w:t>
      </w:r>
      <w:r w:rsidRPr="002C4077">
        <w:t xml:space="preserve"> </w:t>
      </w:r>
      <w:r>
        <w:t>et</w:t>
      </w:r>
      <w:r w:rsidRPr="002C4077">
        <w:t xml:space="preserve"> </w:t>
      </w:r>
      <w:r>
        <w:t>qui</w:t>
      </w:r>
      <w:r w:rsidRPr="002C4077">
        <w:t xml:space="preserve"> </w:t>
      </w:r>
      <w:r>
        <w:t>égaient</w:t>
      </w:r>
      <w:r w:rsidRPr="002C4077">
        <w:t xml:space="preserve"> </w:t>
      </w:r>
      <w:r>
        <w:t>leurs</w:t>
      </w:r>
      <w:r w:rsidRPr="002C4077">
        <w:t xml:space="preserve"> </w:t>
      </w:r>
      <w:r>
        <w:t>travaux</w:t>
      </w:r>
      <w:r w:rsidRPr="002C4077">
        <w:t xml:space="preserve"> </w:t>
      </w:r>
      <w:r>
        <w:t>par</w:t>
      </w:r>
      <w:r w:rsidRPr="002C4077">
        <w:t xml:space="preserve"> </w:t>
      </w:r>
      <w:r>
        <w:t>leurs</w:t>
      </w:r>
      <w:r w:rsidRPr="002C4077">
        <w:t xml:space="preserve"> </w:t>
      </w:r>
      <w:r>
        <w:t>chants.</w:t>
      </w:r>
      <w:r w:rsidRPr="002C4077">
        <w:t xml:space="preserve"> </w:t>
      </w:r>
    </w:p>
    <w:p w:rsidR="000A7AAB" w:rsidRDefault="000A7AAB" w:rsidP="002F7AFA">
      <w:pPr>
        <w:pStyle w:val="locus"/>
      </w:pPr>
      <w:r>
        <w:rPr>
          <w:smallCaps/>
        </w:rPr>
        <w:t>L’ange</w:t>
      </w:r>
      <w:r w:rsidRPr="002C4077">
        <w:t xml:space="preserve"> </w:t>
      </w:r>
      <w:r>
        <w:rPr>
          <w:smallCaps/>
        </w:rPr>
        <w:t>Gabriel</w:t>
      </w:r>
      <w:r>
        <w:t>.</w:t>
      </w:r>
      <w:r w:rsidRPr="002C4077">
        <w:t xml:space="preserve"> </w:t>
      </w:r>
      <w:r>
        <w:t>Salut,</w:t>
      </w:r>
      <w:r w:rsidRPr="002C4077">
        <w:t xml:space="preserve"> </w:t>
      </w:r>
      <w:r>
        <w:t>Vierge</w:t>
      </w:r>
      <w:r w:rsidRPr="002C4077">
        <w:t xml:space="preserve"> </w:t>
      </w:r>
      <w:r>
        <w:t>Marie,</w:t>
      </w:r>
      <w:r w:rsidRPr="002C4077">
        <w:t xml:space="preserve"> </w:t>
      </w:r>
      <w:r>
        <w:t>pleine</w:t>
      </w:r>
      <w:r w:rsidRPr="002C4077">
        <w:t xml:space="preserve"> </w:t>
      </w:r>
      <w:r>
        <w:t>de</w:t>
      </w:r>
      <w:r w:rsidRPr="002C4077">
        <w:t xml:space="preserve"> </w:t>
      </w:r>
      <w:r>
        <w:t>grâce</w:t>
      </w:r>
      <w:r w:rsidR="00B546AF">
        <w:t> !</w:t>
      </w:r>
      <w:r w:rsidRPr="002C4077">
        <w:t xml:space="preserve"> </w:t>
      </w:r>
    </w:p>
    <w:p w:rsidR="000A7AAB" w:rsidRPr="002F7AFA" w:rsidRDefault="000A7AAB" w:rsidP="002F7AFA">
      <w:pPr>
        <w:pStyle w:val="locus"/>
        <w:rPr>
          <w:rStyle w:val="italicus"/>
        </w:rPr>
      </w:pPr>
      <w:r w:rsidRPr="002C4077">
        <w:t>(</w:t>
      </w:r>
      <w:r w:rsidRPr="002F7AFA">
        <w:rPr>
          <w:rStyle w:val="italicus"/>
        </w:rPr>
        <w:t>Ici</w:t>
      </w:r>
      <w:r w:rsidRPr="002C4077">
        <w:t xml:space="preserve"> </w:t>
      </w:r>
      <w:r w:rsidRPr="002F7AFA">
        <w:rPr>
          <w:rStyle w:val="italicus"/>
        </w:rPr>
        <w:t>Marie</w:t>
      </w:r>
      <w:r w:rsidRPr="002C4077">
        <w:t xml:space="preserve"> </w:t>
      </w:r>
      <w:r w:rsidRPr="002F7AFA">
        <w:rPr>
          <w:rStyle w:val="italicus"/>
        </w:rPr>
        <w:t>regarde</w:t>
      </w:r>
      <w:r w:rsidRPr="002C4077">
        <w:t xml:space="preserve"> </w:t>
      </w:r>
      <w:r w:rsidRPr="002F7AFA">
        <w:rPr>
          <w:rStyle w:val="italicus"/>
        </w:rPr>
        <w:t>tout</w:t>
      </w:r>
      <w:r w:rsidRPr="002C4077">
        <w:t xml:space="preserve"> </w:t>
      </w:r>
      <w:r w:rsidRPr="002F7AFA">
        <w:rPr>
          <w:rStyle w:val="italicus"/>
        </w:rPr>
        <w:t>autour</w:t>
      </w:r>
      <w:r w:rsidRPr="002C4077">
        <w:t xml:space="preserve"> </w:t>
      </w:r>
      <w:r w:rsidRPr="002F7AFA">
        <w:rPr>
          <w:rStyle w:val="italicus"/>
        </w:rPr>
        <w:t>d’elle</w:t>
      </w:r>
      <w:r w:rsidRPr="002C4077">
        <w:t xml:space="preserve"> </w:t>
      </w:r>
      <w:r w:rsidRPr="002F7AFA">
        <w:rPr>
          <w:rStyle w:val="italicus"/>
        </w:rPr>
        <w:t>en</w:t>
      </w:r>
      <w:r w:rsidRPr="002C4077">
        <w:t xml:space="preserve"> </w:t>
      </w:r>
      <w:r w:rsidRPr="002F7AFA">
        <w:rPr>
          <w:rStyle w:val="italicus"/>
        </w:rPr>
        <w:t>tremblant,</w:t>
      </w:r>
      <w:r w:rsidRPr="002C4077">
        <w:t xml:space="preserve"> </w:t>
      </w:r>
      <w:r w:rsidRPr="002F7AFA">
        <w:rPr>
          <w:rStyle w:val="italicus"/>
        </w:rPr>
        <w:t>puis</w:t>
      </w:r>
      <w:r w:rsidRPr="002C4077">
        <w:t xml:space="preserve"> </w:t>
      </w:r>
      <w:r w:rsidRPr="002F7AFA">
        <w:rPr>
          <w:rStyle w:val="italicus"/>
        </w:rPr>
        <w:t>elle</w:t>
      </w:r>
      <w:r w:rsidRPr="002C4077">
        <w:t xml:space="preserve"> </w:t>
      </w:r>
      <w:r w:rsidRPr="002F7AFA">
        <w:rPr>
          <w:rStyle w:val="italicus"/>
        </w:rPr>
        <w:t>prend</w:t>
      </w:r>
      <w:r w:rsidRPr="002C4077">
        <w:t xml:space="preserve"> </w:t>
      </w:r>
      <w:r w:rsidRPr="002F7AFA">
        <w:rPr>
          <w:rStyle w:val="italicus"/>
        </w:rPr>
        <w:t>la</w:t>
      </w:r>
      <w:r w:rsidRPr="002C4077">
        <w:t xml:space="preserve"> </w:t>
      </w:r>
      <w:r w:rsidRPr="002F7AFA">
        <w:rPr>
          <w:rStyle w:val="italicus"/>
        </w:rPr>
        <w:t>parole.</w:t>
      </w:r>
      <w:r w:rsidR="00B546AF" w:rsidRPr="002C4077">
        <w:t>)</w:t>
      </w:r>
      <w:r w:rsidRPr="002C4077">
        <w:t xml:space="preserve"> </w:t>
      </w:r>
    </w:p>
    <w:p w:rsidR="000A7AAB" w:rsidRDefault="000A7AAB" w:rsidP="002F7AFA">
      <w:pPr>
        <w:pStyle w:val="locus"/>
      </w:pPr>
      <w:r>
        <w:rPr>
          <w:smallCaps/>
        </w:rPr>
        <w:lastRenderedPageBreak/>
        <w:t>Marie</w:t>
      </w:r>
      <w:r>
        <w:t>.</w:t>
      </w:r>
      <w:r w:rsidRPr="002C4077">
        <w:t xml:space="preserve"> </w:t>
      </w:r>
      <w:r>
        <w:t>Qui</w:t>
      </w:r>
      <w:r w:rsidRPr="002C4077">
        <w:t xml:space="preserve"> </w:t>
      </w:r>
      <w:r w:rsidR="00425C50">
        <w:t>est</w:t>
      </w:r>
      <w:r>
        <w:t>-ce</w:t>
      </w:r>
      <w:r w:rsidRPr="002C4077">
        <w:t xml:space="preserve"> </w:t>
      </w:r>
      <w:r>
        <w:t>qui</w:t>
      </w:r>
      <w:r w:rsidRPr="002C4077">
        <w:t xml:space="preserve"> </w:t>
      </w:r>
      <w:r>
        <w:t>parle</w:t>
      </w:r>
      <w:r w:rsidRPr="002C4077">
        <w:t xml:space="preserve"> </w:t>
      </w:r>
      <w:r>
        <w:t>en</w:t>
      </w:r>
      <w:r w:rsidRPr="002C4077">
        <w:t xml:space="preserve"> </w:t>
      </w:r>
      <w:r>
        <w:t>ce</w:t>
      </w:r>
      <w:r w:rsidRPr="002C4077">
        <w:t xml:space="preserve"> </w:t>
      </w:r>
      <w:r>
        <w:t>lieu</w:t>
      </w:r>
      <w:r w:rsidRPr="002C4077">
        <w:t xml:space="preserve"> </w:t>
      </w:r>
      <w:r>
        <w:t>avec</w:t>
      </w:r>
      <w:r w:rsidRPr="002C4077">
        <w:t xml:space="preserve"> </w:t>
      </w:r>
      <w:r>
        <w:t>une</w:t>
      </w:r>
      <w:r w:rsidRPr="002C4077">
        <w:t xml:space="preserve"> </w:t>
      </w:r>
      <w:r>
        <w:t>voix</w:t>
      </w:r>
      <w:r w:rsidRPr="002C4077">
        <w:t xml:space="preserve"> </w:t>
      </w:r>
      <w:r>
        <w:t>si</w:t>
      </w:r>
      <w:r w:rsidRPr="002C4077">
        <w:t xml:space="preserve"> </w:t>
      </w:r>
      <w:r>
        <w:t>douce</w:t>
      </w:r>
      <w:r w:rsidR="00B546AF">
        <w:t> ?</w:t>
      </w:r>
      <w:r w:rsidRPr="002C4077">
        <w:t xml:space="preserve"> </w:t>
      </w:r>
    </w:p>
    <w:p w:rsidR="000A7AAB" w:rsidRDefault="000A7AAB" w:rsidP="002F7AFA">
      <w:pPr>
        <w:pStyle w:val="locus"/>
      </w:pPr>
      <w:r>
        <w:rPr>
          <w:smallCaps/>
        </w:rPr>
        <w:t>Gabriel</w:t>
      </w:r>
      <w:r>
        <w:t>.</w:t>
      </w:r>
      <w:r w:rsidRPr="002C4077">
        <w:t xml:space="preserve"> </w:t>
      </w:r>
      <w:r>
        <w:t>Le</w:t>
      </w:r>
      <w:r w:rsidRPr="002C4077">
        <w:t xml:space="preserve"> </w:t>
      </w:r>
      <w:r>
        <w:t>Dieu</w:t>
      </w:r>
      <w:r w:rsidRPr="002C4077">
        <w:t xml:space="preserve"> </w:t>
      </w:r>
      <w:r>
        <w:t>du</w:t>
      </w:r>
      <w:r w:rsidRPr="002C4077">
        <w:t xml:space="preserve"> </w:t>
      </w:r>
      <w:r>
        <w:t>ciel</w:t>
      </w:r>
      <w:r w:rsidRPr="002C4077">
        <w:t xml:space="preserve"> </w:t>
      </w:r>
      <w:r w:rsidR="00425C50">
        <w:t>est</w:t>
      </w:r>
      <w:r w:rsidRPr="002C4077">
        <w:t xml:space="preserve"> </w:t>
      </w:r>
      <w:r>
        <w:t>avec</w:t>
      </w:r>
      <w:r w:rsidRPr="002C4077">
        <w:t xml:space="preserve"> </w:t>
      </w:r>
      <w:r>
        <w:t>vous</w:t>
      </w:r>
      <w:r w:rsidR="00B546AF">
        <w:t> !</w:t>
      </w:r>
      <w:r w:rsidRPr="002C4077">
        <w:t xml:space="preserve"> </w:t>
      </w:r>
      <w:r>
        <w:t>Vous</w:t>
      </w:r>
      <w:r w:rsidRPr="002C4077">
        <w:t xml:space="preserve"> </w:t>
      </w:r>
      <w:r>
        <w:t>êtes</w:t>
      </w:r>
      <w:r w:rsidRPr="002C4077">
        <w:t xml:space="preserve"> </w:t>
      </w:r>
      <w:r>
        <w:t>bénie</w:t>
      </w:r>
      <w:r w:rsidRPr="002C4077">
        <w:t xml:space="preserve"> </w:t>
      </w:r>
      <w:r>
        <w:t>entre</w:t>
      </w:r>
      <w:r w:rsidRPr="002C4077">
        <w:t xml:space="preserve"> </w:t>
      </w:r>
      <w:r>
        <w:t>toutes</w:t>
      </w:r>
      <w:r w:rsidRPr="002C4077">
        <w:t xml:space="preserve"> </w:t>
      </w:r>
      <w:r>
        <w:t>les</w:t>
      </w:r>
      <w:r w:rsidRPr="002C4077">
        <w:t xml:space="preserve"> </w:t>
      </w:r>
      <w:r>
        <w:t>femmes,</w:t>
      </w:r>
      <w:r w:rsidRPr="002C4077">
        <w:t xml:space="preserve"> </w:t>
      </w:r>
      <w:r>
        <w:t>ô</w:t>
      </w:r>
      <w:r w:rsidRPr="002C4077">
        <w:t xml:space="preserve"> </w:t>
      </w:r>
      <w:r>
        <w:t>vous</w:t>
      </w:r>
      <w:r w:rsidRPr="002C4077">
        <w:t xml:space="preserve"> </w:t>
      </w:r>
      <w:r>
        <w:t>qu’il</w:t>
      </w:r>
      <w:r w:rsidRPr="002C4077">
        <w:t xml:space="preserve"> </w:t>
      </w:r>
      <w:r>
        <w:t>a</w:t>
      </w:r>
      <w:r w:rsidRPr="002C4077">
        <w:t xml:space="preserve"> </w:t>
      </w:r>
      <w:r>
        <w:t>daigné</w:t>
      </w:r>
      <w:r w:rsidRPr="002C4077">
        <w:t xml:space="preserve"> </w:t>
      </w:r>
      <w:r>
        <w:t>choisir</w:t>
      </w:r>
      <w:r w:rsidR="00B546AF">
        <w:t> !</w:t>
      </w:r>
      <w:r w:rsidRPr="002C4077">
        <w:t xml:space="preserve"> </w:t>
      </w:r>
    </w:p>
    <w:p w:rsidR="000A7AAB" w:rsidRDefault="000A7AAB" w:rsidP="002F7AFA">
      <w:pPr>
        <w:pStyle w:val="locus"/>
      </w:pPr>
      <w:r>
        <w:rPr>
          <w:smallCaps/>
        </w:rPr>
        <w:t>Marie</w:t>
      </w:r>
      <w:r w:rsidRPr="002C4077">
        <w:t xml:space="preserve"> </w:t>
      </w:r>
      <w:r w:rsidR="00F042F3" w:rsidRPr="00F042F3">
        <w:t>(</w:t>
      </w:r>
      <w:r w:rsidRPr="000A34B5">
        <w:rPr>
          <w:rStyle w:val="italicus"/>
        </w:rPr>
        <w:t>posant</w:t>
      </w:r>
      <w:r w:rsidRPr="002C4077">
        <w:t xml:space="preserve"> </w:t>
      </w:r>
      <w:r w:rsidRPr="000A34B5">
        <w:rPr>
          <w:rStyle w:val="italicus"/>
        </w:rPr>
        <w:t>sa</w:t>
      </w:r>
      <w:r w:rsidRPr="002C4077">
        <w:t xml:space="preserve"> </w:t>
      </w:r>
      <w:r w:rsidRPr="000A34B5">
        <w:rPr>
          <w:rStyle w:val="italicus"/>
        </w:rPr>
        <w:t>cruche</w:t>
      </w:r>
      <w:r w:rsidRPr="002C4077">
        <w:t xml:space="preserve"> </w:t>
      </w:r>
      <w:r w:rsidRPr="000A34B5">
        <w:rPr>
          <w:rStyle w:val="italicus"/>
        </w:rPr>
        <w:t>à</w:t>
      </w:r>
      <w:r w:rsidRPr="002C4077">
        <w:t xml:space="preserve"> </w:t>
      </w:r>
      <w:r w:rsidRPr="000A34B5">
        <w:rPr>
          <w:rStyle w:val="italicus"/>
        </w:rPr>
        <w:t>terre</w:t>
      </w:r>
      <w:r w:rsidR="00B546AF" w:rsidRPr="002C4077">
        <w:t>)</w:t>
      </w:r>
      <w:r w:rsidRPr="000A34B5">
        <w:rPr>
          <w:rStyle w:val="italicus"/>
        </w:rPr>
        <w:t>.</w:t>
      </w:r>
      <w:r w:rsidRPr="002C4077">
        <w:t xml:space="preserve"> </w:t>
      </w:r>
      <w:r>
        <w:t>Que</w:t>
      </w:r>
      <w:r w:rsidRPr="002C4077">
        <w:t xml:space="preserve"> </w:t>
      </w:r>
      <w:r>
        <w:t>signifie</w:t>
      </w:r>
      <w:r w:rsidRPr="002C4077">
        <w:t xml:space="preserve"> </w:t>
      </w:r>
      <w:r>
        <w:t>cela</w:t>
      </w:r>
      <w:r w:rsidR="00B546AF">
        <w:t> ?</w:t>
      </w:r>
      <w:r w:rsidRPr="002C4077">
        <w:t xml:space="preserve"> </w:t>
      </w:r>
      <w:r>
        <w:t>Je</w:t>
      </w:r>
      <w:r w:rsidRPr="002C4077">
        <w:t xml:space="preserve"> </w:t>
      </w:r>
      <w:r>
        <w:t>ne</w:t>
      </w:r>
      <w:r w:rsidRPr="002C4077">
        <w:t xml:space="preserve"> </w:t>
      </w:r>
      <w:r>
        <w:t>vois</w:t>
      </w:r>
      <w:r w:rsidRPr="002C4077">
        <w:t xml:space="preserve"> </w:t>
      </w:r>
      <w:r>
        <w:t>personne,</w:t>
      </w:r>
      <w:r w:rsidRPr="002C4077">
        <w:t xml:space="preserve"> </w:t>
      </w:r>
      <w:r>
        <w:t>et</w:t>
      </w:r>
      <w:r w:rsidRPr="002C4077">
        <w:t xml:space="preserve"> </w:t>
      </w:r>
      <w:r>
        <w:t>pourtant</w:t>
      </w:r>
      <w:r w:rsidRPr="002C4077">
        <w:t xml:space="preserve"> </w:t>
      </w:r>
      <w:r>
        <w:t>j’entends</w:t>
      </w:r>
      <w:r w:rsidRPr="002C4077">
        <w:t xml:space="preserve"> </w:t>
      </w:r>
      <w:r>
        <w:t>des</w:t>
      </w:r>
      <w:r w:rsidRPr="002C4077">
        <w:t xml:space="preserve"> </w:t>
      </w:r>
      <w:r>
        <w:t>paroles</w:t>
      </w:r>
      <w:r w:rsidRPr="002C4077">
        <w:t xml:space="preserve"> </w:t>
      </w:r>
      <w:r>
        <w:t>toutes</w:t>
      </w:r>
      <w:r w:rsidRPr="002C4077">
        <w:t xml:space="preserve"> </w:t>
      </w:r>
      <w:r>
        <w:t>sacrées.</w:t>
      </w:r>
      <w:r w:rsidRPr="002C4077">
        <w:t xml:space="preserve"> </w:t>
      </w:r>
      <w:r>
        <w:t>Je</w:t>
      </w:r>
      <w:r w:rsidRPr="002C4077">
        <w:t xml:space="preserve"> </w:t>
      </w:r>
      <w:r>
        <w:t>n’ose</w:t>
      </w:r>
      <w:r w:rsidRPr="002C4077">
        <w:t xml:space="preserve"> </w:t>
      </w:r>
      <w:r>
        <w:t>demeurer</w:t>
      </w:r>
      <w:r w:rsidRPr="002C4077">
        <w:t xml:space="preserve"> </w:t>
      </w:r>
      <w:r>
        <w:t>ici.</w:t>
      </w:r>
      <w:r w:rsidRPr="002C4077">
        <w:t xml:space="preserve"> </w:t>
      </w:r>
    </w:p>
    <w:p w:rsidR="000A7AAB" w:rsidRPr="002F7AFA" w:rsidRDefault="000A7AAB" w:rsidP="002F7AFA">
      <w:pPr>
        <w:pStyle w:val="locus"/>
        <w:rPr>
          <w:rStyle w:val="italicus"/>
        </w:rPr>
      </w:pPr>
      <w:r w:rsidRPr="002C4077">
        <w:t>(</w:t>
      </w:r>
      <w:r w:rsidRPr="002F7AFA">
        <w:rPr>
          <w:rStyle w:val="italicus"/>
        </w:rPr>
        <w:t>En</w:t>
      </w:r>
      <w:r w:rsidRPr="002C4077">
        <w:t xml:space="preserve"> </w:t>
      </w:r>
      <w:r w:rsidRPr="002F7AFA">
        <w:rPr>
          <w:rStyle w:val="italicus"/>
        </w:rPr>
        <w:t>ce</w:t>
      </w:r>
      <w:r w:rsidRPr="002C4077">
        <w:t xml:space="preserve"> </w:t>
      </w:r>
      <w:r w:rsidRPr="002F7AFA">
        <w:rPr>
          <w:rStyle w:val="italicus"/>
        </w:rPr>
        <w:t>moment,</w:t>
      </w:r>
      <w:r w:rsidRPr="002C4077">
        <w:t xml:space="preserve"> </w:t>
      </w:r>
      <w:r w:rsidRPr="002F7AFA">
        <w:rPr>
          <w:rStyle w:val="italicus"/>
        </w:rPr>
        <w:t>l’Ange</w:t>
      </w:r>
      <w:r w:rsidRPr="002C4077">
        <w:t xml:space="preserve"> </w:t>
      </w:r>
      <w:r w:rsidRPr="002F7AFA">
        <w:rPr>
          <w:rStyle w:val="italicus"/>
        </w:rPr>
        <w:t>lui</w:t>
      </w:r>
      <w:r w:rsidRPr="002C4077">
        <w:t xml:space="preserve"> </w:t>
      </w:r>
      <w:r w:rsidRPr="002F7AFA">
        <w:rPr>
          <w:rStyle w:val="italicus"/>
        </w:rPr>
        <w:t>apparaît</w:t>
      </w:r>
      <w:r w:rsidRPr="002C4077">
        <w:t xml:space="preserve"> </w:t>
      </w:r>
      <w:r w:rsidRPr="002F7AFA">
        <w:rPr>
          <w:rStyle w:val="italicus"/>
        </w:rPr>
        <w:t>et</w:t>
      </w:r>
      <w:r w:rsidRPr="002C4077">
        <w:t xml:space="preserve"> </w:t>
      </w:r>
      <w:r w:rsidRPr="002F7AFA">
        <w:rPr>
          <w:rStyle w:val="italicus"/>
        </w:rPr>
        <w:t>dit</w:t>
      </w:r>
      <w:r w:rsidR="00B546AF" w:rsidRPr="002F7AFA">
        <w:rPr>
          <w:rStyle w:val="italicus"/>
        </w:rPr>
        <w:t> :</w:t>
      </w:r>
      <w:r w:rsidR="00B546AF" w:rsidRPr="002C4077">
        <w:t>)</w:t>
      </w:r>
      <w:r w:rsidRPr="002C4077">
        <w:t xml:space="preserve"> </w:t>
      </w:r>
    </w:p>
    <w:p w:rsidR="000A7AAB" w:rsidRPr="001F5257" w:rsidRDefault="000A7AAB" w:rsidP="002F7AFA">
      <w:pPr>
        <w:pStyle w:val="locus"/>
      </w:pPr>
      <w:r>
        <w:rPr>
          <w:smallCaps/>
        </w:rPr>
        <w:t>Gabriel</w:t>
      </w:r>
      <w:r>
        <w:t>.</w:t>
      </w:r>
      <w:r w:rsidRPr="002C4077">
        <w:t xml:space="preserve"> </w:t>
      </w:r>
      <w:r>
        <w:t>Ne</w:t>
      </w:r>
      <w:r w:rsidRPr="002C4077">
        <w:t xml:space="preserve"> </w:t>
      </w:r>
      <w:r>
        <w:t>craignez</w:t>
      </w:r>
      <w:r w:rsidRPr="002C4077">
        <w:t xml:space="preserve"> </w:t>
      </w:r>
      <w:r>
        <w:t>point,</w:t>
      </w:r>
      <w:r w:rsidRPr="002C4077">
        <w:t xml:space="preserve"> </w:t>
      </w:r>
      <w:r>
        <w:t>ô</w:t>
      </w:r>
      <w:r w:rsidRPr="002C4077">
        <w:t xml:space="preserve"> </w:t>
      </w:r>
      <w:r>
        <w:t>Marie,</w:t>
      </w:r>
      <w:r w:rsidRPr="002C4077">
        <w:t xml:space="preserve"> </w:t>
      </w:r>
      <w:r>
        <w:t>mais</w:t>
      </w:r>
      <w:r w:rsidRPr="002C4077">
        <w:t xml:space="preserve"> </w:t>
      </w:r>
      <w:r>
        <w:t>croyez.</w:t>
      </w:r>
      <w:r w:rsidRPr="002C4077">
        <w:t xml:space="preserve"> </w:t>
      </w:r>
      <w:r>
        <w:t>Car,</w:t>
      </w:r>
      <w:r w:rsidRPr="002C4077">
        <w:t xml:space="preserve"> </w:t>
      </w:r>
      <w:r>
        <w:t>en</w:t>
      </w:r>
      <w:r w:rsidRPr="002C4077">
        <w:t xml:space="preserve"> </w:t>
      </w:r>
      <w:r>
        <w:t>ce</w:t>
      </w:r>
      <w:r w:rsidRPr="002C4077">
        <w:t xml:space="preserve"> </w:t>
      </w:r>
      <w:r>
        <w:t>jour</w:t>
      </w:r>
      <w:r w:rsidRPr="002C4077">
        <w:t xml:space="preserve"> </w:t>
      </w:r>
      <w:r>
        <w:t>même,</w:t>
      </w:r>
      <w:r w:rsidRPr="002C4077">
        <w:t xml:space="preserve"> </w:t>
      </w:r>
      <w:r>
        <w:t>en</w:t>
      </w:r>
      <w:r w:rsidRPr="002C4077">
        <w:t xml:space="preserve"> </w:t>
      </w:r>
      <w:r>
        <w:t>demeurant</w:t>
      </w:r>
      <w:r w:rsidRPr="002C4077">
        <w:t xml:space="preserve"> </w:t>
      </w:r>
      <w:r>
        <w:t>vierge,</w:t>
      </w:r>
      <w:r w:rsidRPr="002C4077">
        <w:t xml:space="preserve"> </w:t>
      </w:r>
      <w:r>
        <w:t>vous</w:t>
      </w:r>
      <w:r w:rsidRPr="002C4077">
        <w:t xml:space="preserve"> </w:t>
      </w:r>
      <w:r>
        <w:t>concevrez</w:t>
      </w:r>
      <w:r w:rsidRPr="002C4077">
        <w:t xml:space="preserve"> </w:t>
      </w:r>
      <w:r>
        <w:t>un</w:t>
      </w:r>
      <w:r w:rsidRPr="002C4077">
        <w:t xml:space="preserve"> </w:t>
      </w:r>
      <w:r>
        <w:t>fils.</w:t>
      </w:r>
      <w:r w:rsidRPr="002C4077">
        <w:t xml:space="preserve"> </w:t>
      </w:r>
      <w:r>
        <w:t>Ne</w:t>
      </w:r>
      <w:r w:rsidRPr="002C4077">
        <w:t xml:space="preserve"> </w:t>
      </w:r>
      <w:r>
        <w:t>craignez</w:t>
      </w:r>
      <w:r w:rsidRPr="002C4077">
        <w:t xml:space="preserve"> </w:t>
      </w:r>
      <w:r>
        <w:t>pas,</w:t>
      </w:r>
      <w:r w:rsidRPr="002C4077">
        <w:t xml:space="preserve"> </w:t>
      </w:r>
      <w:r>
        <w:t>ô</w:t>
      </w:r>
      <w:r w:rsidRPr="002C4077">
        <w:t xml:space="preserve"> </w:t>
      </w:r>
      <w:r>
        <w:t>Marie.</w:t>
      </w:r>
      <w:r w:rsidRPr="002C4077">
        <w:t xml:space="preserve"> </w:t>
      </w:r>
      <w:r>
        <w:t>Du</w:t>
      </w:r>
      <w:r w:rsidRPr="002C4077">
        <w:t xml:space="preserve"> </w:t>
      </w:r>
      <w:r>
        <w:t>haut</w:t>
      </w:r>
      <w:r w:rsidRPr="002C4077">
        <w:t xml:space="preserve"> </w:t>
      </w:r>
      <w:r>
        <w:t>du</w:t>
      </w:r>
      <w:r w:rsidRPr="002C4077">
        <w:t xml:space="preserve"> </w:t>
      </w:r>
      <w:r>
        <w:t>ciel,</w:t>
      </w:r>
      <w:r w:rsidRPr="002C4077">
        <w:t xml:space="preserve"> </w:t>
      </w:r>
      <w:r>
        <w:t>la</w:t>
      </w:r>
      <w:r w:rsidRPr="002C4077">
        <w:t xml:space="preserve"> </w:t>
      </w:r>
      <w:r>
        <w:t>majesté</w:t>
      </w:r>
      <w:r w:rsidRPr="002C4077">
        <w:t xml:space="preserve"> </w:t>
      </w:r>
      <w:r>
        <w:t>du</w:t>
      </w:r>
      <w:r w:rsidRPr="002C4077">
        <w:t xml:space="preserve"> </w:t>
      </w:r>
      <w:r>
        <w:t>Très-Haut</w:t>
      </w:r>
      <w:r w:rsidRPr="002C4077">
        <w:t xml:space="preserve"> </w:t>
      </w:r>
      <w:r>
        <w:t>vous</w:t>
      </w:r>
      <w:r w:rsidRPr="002C4077">
        <w:t xml:space="preserve"> </w:t>
      </w:r>
      <w:r>
        <w:t>couvrira</w:t>
      </w:r>
      <w:r w:rsidRPr="002C4077">
        <w:t xml:space="preserve"> </w:t>
      </w:r>
      <w:r>
        <w:t>de</w:t>
      </w:r>
      <w:r w:rsidRPr="002C4077">
        <w:t xml:space="preserve"> </w:t>
      </w:r>
      <w:r>
        <w:t>son</w:t>
      </w:r>
      <w:r w:rsidRPr="002C4077">
        <w:t xml:space="preserve"> </w:t>
      </w:r>
      <w:r>
        <w:t>ombre.</w:t>
      </w:r>
      <w:r w:rsidR="00C45B47">
        <w:t xml:space="preserve"> {</w:t>
      </w:r>
      <w:r w:rsidR="001F5257">
        <w:t>226</w:t>
      </w:r>
      <w:bookmarkStart w:id="546" w:name="p226"/>
      <w:bookmarkEnd w:id="546"/>
      <w:r w:rsidR="001F5257">
        <w:t xml:space="preserve">} </w:t>
      </w:r>
    </w:p>
    <w:p w:rsidR="000A7AAB" w:rsidRDefault="000A7AAB" w:rsidP="002F7AFA">
      <w:pPr>
        <w:pStyle w:val="locus"/>
      </w:pPr>
      <w:r>
        <w:rPr>
          <w:smallCaps/>
        </w:rPr>
        <w:t>Marie</w:t>
      </w:r>
      <w:r>
        <w:t>.</w:t>
      </w:r>
      <w:r w:rsidRPr="002C4077">
        <w:t xml:space="preserve"> </w:t>
      </w:r>
      <w:r>
        <w:t>Voici</w:t>
      </w:r>
      <w:r w:rsidRPr="002C4077">
        <w:t xml:space="preserve"> </w:t>
      </w:r>
      <w:r>
        <w:t>la</w:t>
      </w:r>
      <w:r w:rsidRPr="002C4077">
        <w:t xml:space="preserve"> </w:t>
      </w:r>
      <w:r>
        <w:t>servante</w:t>
      </w:r>
      <w:r w:rsidRPr="002C4077">
        <w:t xml:space="preserve"> </w:t>
      </w:r>
      <w:r>
        <w:t>du</w:t>
      </w:r>
      <w:r w:rsidRPr="002C4077">
        <w:t xml:space="preserve"> </w:t>
      </w:r>
      <w:r>
        <w:t>Seigneur</w:t>
      </w:r>
      <w:r w:rsidR="00B546AF">
        <w:t> !</w:t>
      </w:r>
      <w:r w:rsidRPr="002C4077">
        <w:t xml:space="preserve"> </w:t>
      </w:r>
      <w:r>
        <w:t>Qu’il</w:t>
      </w:r>
      <w:r w:rsidRPr="002C4077">
        <w:t xml:space="preserve"> </w:t>
      </w:r>
      <w:r>
        <w:t>me</w:t>
      </w:r>
      <w:r w:rsidRPr="002C4077">
        <w:t xml:space="preserve"> </w:t>
      </w:r>
      <w:r>
        <w:t>soit</w:t>
      </w:r>
      <w:r w:rsidRPr="002C4077">
        <w:t xml:space="preserve"> </w:t>
      </w:r>
      <w:r>
        <w:t>fait</w:t>
      </w:r>
      <w:r w:rsidRPr="002C4077">
        <w:t xml:space="preserve"> </w:t>
      </w:r>
      <w:r>
        <w:t>selon</w:t>
      </w:r>
      <w:r w:rsidRPr="002C4077">
        <w:t xml:space="preserve"> </w:t>
      </w:r>
      <w:r>
        <w:t>votre</w:t>
      </w:r>
      <w:r w:rsidRPr="002C4077">
        <w:t xml:space="preserve"> </w:t>
      </w:r>
      <w:r>
        <w:t>sainte</w:t>
      </w:r>
      <w:r w:rsidRPr="002C4077">
        <w:t xml:space="preserve"> </w:t>
      </w:r>
      <w:r>
        <w:t>parole</w:t>
      </w:r>
      <w:r w:rsidR="00B91AF7">
        <w:rPr>
          <w:rStyle w:val="Appelnotedebasdep"/>
        </w:rPr>
        <w:footnoteReference w:id="736"/>
      </w:r>
      <w:r w:rsidR="00B546AF">
        <w:t> !</w:t>
      </w:r>
      <w:r w:rsidRPr="002C4077">
        <w:t xml:space="preserve"> </w:t>
      </w:r>
    </w:p>
    <w:p w:rsidR="000A7AAB" w:rsidRDefault="000A7AAB" w:rsidP="000A7AAB">
      <w:r>
        <w:t>Délicieux</w:t>
      </w:r>
      <w:r w:rsidRPr="002C4077">
        <w:t xml:space="preserve"> </w:t>
      </w:r>
      <w:r>
        <w:t>récit,</w:t>
      </w:r>
      <w:r w:rsidRPr="002C4077">
        <w:t xml:space="preserve"> </w:t>
      </w:r>
      <w:r>
        <w:t>n’est-il</w:t>
      </w:r>
      <w:r w:rsidRPr="002C4077">
        <w:t xml:space="preserve"> </w:t>
      </w:r>
      <w:r>
        <w:t>pas</w:t>
      </w:r>
      <w:r w:rsidRPr="002C4077">
        <w:t xml:space="preserve"> </w:t>
      </w:r>
      <w:r>
        <w:t>vrai</w:t>
      </w:r>
      <w:r w:rsidR="00B546AF">
        <w:t> ?</w:t>
      </w:r>
      <w:r w:rsidRPr="002C4077">
        <w:t xml:space="preserve"> </w:t>
      </w:r>
      <w:r>
        <w:t>Que</w:t>
      </w:r>
      <w:r w:rsidRPr="002C4077">
        <w:t xml:space="preserve"> </w:t>
      </w:r>
      <w:r>
        <w:t>pensez-vous</w:t>
      </w:r>
      <w:r w:rsidRPr="002C4077">
        <w:t xml:space="preserve"> </w:t>
      </w:r>
      <w:r>
        <w:t>de</w:t>
      </w:r>
      <w:r w:rsidRPr="002C4077">
        <w:t xml:space="preserve"> </w:t>
      </w:r>
      <w:r>
        <w:t>cet</w:t>
      </w:r>
      <w:r w:rsidRPr="002C4077">
        <w:t xml:space="preserve"> </w:t>
      </w:r>
      <w:r>
        <w:t>autre</w:t>
      </w:r>
      <w:r w:rsidRPr="002C4077">
        <w:t xml:space="preserve"> </w:t>
      </w:r>
      <w:r>
        <w:t>trait</w:t>
      </w:r>
      <w:r w:rsidRPr="002C4077">
        <w:t xml:space="preserve"> </w:t>
      </w:r>
      <w:r>
        <w:t>rapporté</w:t>
      </w:r>
      <w:r w:rsidRPr="002C4077">
        <w:t xml:space="preserve"> </w:t>
      </w:r>
      <w:r>
        <w:t>par</w:t>
      </w:r>
      <w:r w:rsidRPr="002C4077">
        <w:t xml:space="preserve"> </w:t>
      </w:r>
      <w:r>
        <w:t>Sanutus</w:t>
      </w:r>
      <w:r w:rsidR="00B91AF7">
        <w:rPr>
          <w:rStyle w:val="Appelnotedebasdep"/>
        </w:rPr>
        <w:footnoteReference w:id="737"/>
      </w:r>
      <w:r w:rsidR="00B546AF">
        <w:t> ?</w:t>
      </w:r>
      <w:r w:rsidRPr="002C4077">
        <w:t xml:space="preserve"> </w:t>
      </w:r>
      <w:r>
        <w:t>L’Enfant</w:t>
      </w:r>
      <w:r w:rsidRPr="002C4077">
        <w:t xml:space="preserve"> </w:t>
      </w:r>
      <w:r w:rsidR="00425C50">
        <w:t>Jésus</w:t>
      </w:r>
      <w:r>
        <w:t>,</w:t>
      </w:r>
      <w:r w:rsidRPr="002C4077">
        <w:t xml:space="preserve"> </w:t>
      </w:r>
      <w:r>
        <w:t>envoyé</w:t>
      </w:r>
      <w:r w:rsidRPr="002C4077">
        <w:t xml:space="preserve"> </w:t>
      </w:r>
      <w:r>
        <w:t>par</w:t>
      </w:r>
      <w:r w:rsidRPr="002C4077">
        <w:t xml:space="preserve"> </w:t>
      </w:r>
      <w:r>
        <w:t>sa</w:t>
      </w:r>
      <w:r w:rsidRPr="002C4077">
        <w:t xml:space="preserve"> </w:t>
      </w:r>
      <w:r>
        <w:t>mère</w:t>
      </w:r>
      <w:r w:rsidRPr="002C4077">
        <w:t xml:space="preserve"> </w:t>
      </w:r>
      <w:r>
        <w:t>à</w:t>
      </w:r>
      <w:r w:rsidRPr="002C4077">
        <w:t xml:space="preserve"> </w:t>
      </w:r>
      <w:r>
        <w:t>la</w:t>
      </w:r>
      <w:r w:rsidRPr="002C4077">
        <w:t xml:space="preserve"> </w:t>
      </w:r>
      <w:r>
        <w:t>fontaine,</w:t>
      </w:r>
      <w:r w:rsidRPr="002C4077">
        <w:t xml:space="preserve"> </w:t>
      </w:r>
      <w:r>
        <w:t>aurait</w:t>
      </w:r>
      <w:r w:rsidRPr="002C4077">
        <w:t xml:space="preserve"> </w:t>
      </w:r>
      <w:r>
        <w:t>un</w:t>
      </w:r>
      <w:r w:rsidRPr="002C4077">
        <w:t xml:space="preserve"> </w:t>
      </w:r>
      <w:r>
        <w:t>jour</w:t>
      </w:r>
      <w:r w:rsidRPr="002C4077">
        <w:t xml:space="preserve"> </w:t>
      </w:r>
      <w:r>
        <w:t>brisé</w:t>
      </w:r>
      <w:r w:rsidRPr="002C4077">
        <w:t xml:space="preserve"> </w:t>
      </w:r>
      <w:r>
        <w:t>l’amphore</w:t>
      </w:r>
      <w:r w:rsidRPr="002C4077">
        <w:t xml:space="preserve"> </w:t>
      </w:r>
      <w:r>
        <w:t>qu’elle</w:t>
      </w:r>
      <w:r w:rsidRPr="002C4077">
        <w:t xml:space="preserve"> </w:t>
      </w:r>
      <w:r>
        <w:t>lui</w:t>
      </w:r>
      <w:r w:rsidRPr="002C4077">
        <w:t xml:space="preserve"> </w:t>
      </w:r>
      <w:r>
        <w:t>avait</w:t>
      </w:r>
      <w:r w:rsidRPr="002C4077">
        <w:t xml:space="preserve"> </w:t>
      </w:r>
      <w:r>
        <w:t>confiée.</w:t>
      </w:r>
      <w:r w:rsidRPr="002C4077">
        <w:t xml:space="preserve"> </w:t>
      </w:r>
      <w:r>
        <w:t>Mais</w:t>
      </w:r>
      <w:r w:rsidRPr="002C4077">
        <w:t xml:space="preserve"> </w:t>
      </w:r>
      <w:r>
        <w:t>cet</w:t>
      </w:r>
      <w:r w:rsidRPr="002C4077">
        <w:t xml:space="preserve"> </w:t>
      </w:r>
      <w:r>
        <w:t>accident</w:t>
      </w:r>
      <w:r w:rsidRPr="002C4077">
        <w:t xml:space="preserve"> </w:t>
      </w:r>
      <w:r>
        <w:t>ne</w:t>
      </w:r>
      <w:r w:rsidRPr="002C4077">
        <w:t xml:space="preserve"> </w:t>
      </w:r>
      <w:r>
        <w:t>l’embarrassa</w:t>
      </w:r>
      <w:r w:rsidRPr="002C4077">
        <w:t xml:space="preserve"> </w:t>
      </w:r>
      <w:r>
        <w:t>guère.</w:t>
      </w:r>
      <w:r w:rsidRPr="002C4077">
        <w:t xml:space="preserve"> </w:t>
      </w:r>
      <w:r>
        <w:t>Il</w:t>
      </w:r>
      <w:r w:rsidRPr="002C4077">
        <w:t xml:space="preserve"> </w:t>
      </w:r>
      <w:r>
        <w:t>reçut</w:t>
      </w:r>
      <w:r w:rsidRPr="002C4077">
        <w:t xml:space="preserve"> </w:t>
      </w:r>
      <w:r>
        <w:t>l’eau</w:t>
      </w:r>
      <w:r w:rsidRPr="002C4077">
        <w:t xml:space="preserve"> </w:t>
      </w:r>
      <w:r>
        <w:t>dans</w:t>
      </w:r>
      <w:r w:rsidRPr="002C4077">
        <w:t xml:space="preserve"> </w:t>
      </w:r>
      <w:r>
        <w:t>les</w:t>
      </w:r>
      <w:r w:rsidRPr="002C4077">
        <w:t xml:space="preserve"> </w:t>
      </w:r>
      <w:r>
        <w:t>plis</w:t>
      </w:r>
      <w:r w:rsidRPr="002C4077">
        <w:t xml:space="preserve"> </w:t>
      </w:r>
      <w:r>
        <w:t>de</w:t>
      </w:r>
      <w:r w:rsidRPr="002C4077">
        <w:t xml:space="preserve"> </w:t>
      </w:r>
      <w:r>
        <w:t>sa</w:t>
      </w:r>
      <w:r w:rsidRPr="002C4077">
        <w:t xml:space="preserve"> </w:t>
      </w:r>
      <w:r>
        <w:t>robe</w:t>
      </w:r>
      <w:r w:rsidRPr="002C4077">
        <w:t xml:space="preserve"> </w:t>
      </w:r>
      <w:r>
        <w:t>et</w:t>
      </w:r>
      <w:r w:rsidRPr="002C4077">
        <w:t xml:space="preserve"> </w:t>
      </w:r>
      <w:r>
        <w:t>vint</w:t>
      </w:r>
      <w:r w:rsidRPr="002C4077">
        <w:t xml:space="preserve"> </w:t>
      </w:r>
      <w:r>
        <w:t>apporter</w:t>
      </w:r>
      <w:r w:rsidRPr="002C4077">
        <w:t xml:space="preserve"> </w:t>
      </w:r>
      <w:r>
        <w:t>à</w:t>
      </w:r>
      <w:r w:rsidRPr="002C4077">
        <w:t xml:space="preserve"> </w:t>
      </w:r>
      <w:r>
        <w:t>Marie,</w:t>
      </w:r>
      <w:r w:rsidRPr="002C4077">
        <w:t xml:space="preserve"> </w:t>
      </w:r>
      <w:r>
        <w:t>en</w:t>
      </w:r>
      <w:r w:rsidRPr="002C4077">
        <w:t xml:space="preserve"> </w:t>
      </w:r>
      <w:r>
        <w:t>souriant,</w:t>
      </w:r>
      <w:r w:rsidRPr="002C4077">
        <w:t xml:space="preserve"> </w:t>
      </w:r>
      <w:r>
        <w:t>la</w:t>
      </w:r>
      <w:r w:rsidRPr="002C4077">
        <w:t xml:space="preserve"> </w:t>
      </w:r>
      <w:r>
        <w:t>provision</w:t>
      </w:r>
      <w:bookmarkStart w:id="547" w:name="z_Fontaine_o2"/>
      <w:bookmarkEnd w:id="547"/>
      <w:r w:rsidRPr="002C4077">
        <w:t xml:space="preserve"> </w:t>
      </w:r>
      <w:r>
        <w:t>accoutumée</w:t>
      </w:r>
      <w:r w:rsidR="00B546AF">
        <w:t> !</w:t>
      </w:r>
      <w:r w:rsidRPr="002C4077">
        <w:t xml:space="preserve"> </w:t>
      </w:r>
    </w:p>
    <w:p w:rsidR="000A7AAB" w:rsidRDefault="002F7AFA" w:rsidP="002F7AFA">
      <w:pPr>
        <w:pStyle w:val="Titre2"/>
      </w:pPr>
      <w:bookmarkStart w:id="548" w:name="_Toc43882019"/>
      <w:r>
        <w:t>4.</w:t>
      </w:r>
      <w:r>
        <w:br/>
      </w:r>
      <w:r w:rsidR="000A7AAB">
        <w:t>De</w:t>
      </w:r>
      <w:r w:rsidR="000A7AAB" w:rsidRPr="002C4077">
        <w:t xml:space="preserve"> </w:t>
      </w:r>
      <w:r w:rsidR="000A7AAB">
        <w:t>quelques</w:t>
      </w:r>
      <w:r w:rsidR="000A7AAB" w:rsidRPr="002C4077">
        <w:t xml:space="preserve"> </w:t>
      </w:r>
      <w:r w:rsidR="000A7AAB">
        <w:t>autres</w:t>
      </w:r>
      <w:r w:rsidR="000A7AAB" w:rsidRPr="002C4077">
        <w:t xml:space="preserve"> </w:t>
      </w:r>
      <w:r w:rsidR="000A7AAB">
        <w:t>lieux</w:t>
      </w:r>
      <w:r w:rsidR="000A7AAB" w:rsidRPr="002C4077">
        <w:t xml:space="preserve"> </w:t>
      </w:r>
      <w:r w:rsidR="000A7AAB">
        <w:t>sacrés</w:t>
      </w:r>
      <w:r w:rsidR="000A7AAB" w:rsidRPr="002C4077">
        <w:t xml:space="preserve"> </w:t>
      </w:r>
      <w:r w:rsidR="000A7AAB">
        <w:t>et</w:t>
      </w:r>
      <w:r w:rsidR="000A7AAB" w:rsidRPr="002C4077">
        <w:t xml:space="preserve"> </w:t>
      </w:r>
      <w:r w:rsidR="000A7AAB">
        <w:t>des</w:t>
      </w:r>
      <w:r w:rsidR="000A7AAB" w:rsidRPr="002C4077">
        <w:t xml:space="preserve"> </w:t>
      </w:r>
      <w:r w:rsidR="000A7AAB">
        <w:t>environs</w:t>
      </w:r>
      <w:r w:rsidR="000A7AAB" w:rsidRPr="002C4077">
        <w:t xml:space="preserve"> </w:t>
      </w:r>
      <w:r w:rsidR="000A7AAB">
        <w:t>de</w:t>
      </w:r>
      <w:r w:rsidR="000A7AAB" w:rsidRPr="002C4077">
        <w:t xml:space="preserve"> </w:t>
      </w:r>
      <w:r w:rsidR="000A7AAB">
        <w:t>Nazareth.</w:t>
      </w:r>
      <w:bookmarkStart w:id="549" w:name="a0704"/>
      <w:bookmarkEnd w:id="548"/>
      <w:bookmarkEnd w:id="549"/>
      <w:r w:rsidR="000A7AAB" w:rsidRPr="002C4077">
        <w:t xml:space="preserve"> </w:t>
      </w:r>
    </w:p>
    <w:p w:rsidR="000A7AAB" w:rsidRDefault="000A7AAB" w:rsidP="000A7AAB">
      <w:r>
        <w:t>Voulez-vous</w:t>
      </w:r>
      <w:r w:rsidRPr="002C4077">
        <w:t xml:space="preserve"> </w:t>
      </w:r>
      <w:r>
        <w:t>maintenant</w:t>
      </w:r>
      <w:r w:rsidRPr="002C4077">
        <w:t xml:space="preserve"> </w:t>
      </w:r>
      <w:r>
        <w:t>que</w:t>
      </w:r>
      <w:r w:rsidRPr="002C4077">
        <w:t xml:space="preserve"> </w:t>
      </w:r>
      <w:r>
        <w:t>nous</w:t>
      </w:r>
      <w:r w:rsidRPr="002C4077">
        <w:t xml:space="preserve"> </w:t>
      </w:r>
      <w:r>
        <w:t>allions</w:t>
      </w:r>
      <w:r w:rsidRPr="002C4077">
        <w:t xml:space="preserve"> </w:t>
      </w:r>
      <w:r>
        <w:t>nous</w:t>
      </w:r>
      <w:r w:rsidRPr="002C4077">
        <w:t xml:space="preserve"> </w:t>
      </w:r>
      <w:r>
        <w:t>reposer</w:t>
      </w:r>
      <w:r w:rsidRPr="002C4077">
        <w:t xml:space="preserve"> </w:t>
      </w:r>
      <w:r>
        <w:t>à</w:t>
      </w:r>
      <w:r w:rsidRPr="002C4077">
        <w:t xml:space="preserve"> </w:t>
      </w:r>
      <w:r>
        <w:t>la</w:t>
      </w:r>
      <w:r w:rsidRPr="002C4077">
        <w:t xml:space="preserve"> </w:t>
      </w:r>
      <w:r w:rsidRPr="000A34B5">
        <w:rPr>
          <w:rStyle w:val="italicus"/>
        </w:rPr>
        <w:t>Casa</w:t>
      </w:r>
      <w:r w:rsidRPr="002C4077">
        <w:t xml:space="preserve"> </w:t>
      </w:r>
      <w:r w:rsidRPr="000A34B5">
        <w:rPr>
          <w:rStyle w:val="italicus"/>
        </w:rPr>
        <w:t>Nuova,</w:t>
      </w:r>
      <w:r w:rsidRPr="002C4077">
        <w:t xml:space="preserve"> </w:t>
      </w:r>
      <w:r>
        <w:t>ou</w:t>
      </w:r>
      <w:r w:rsidRPr="002C4077">
        <w:t xml:space="preserve"> </w:t>
      </w:r>
      <w:r>
        <w:t>mieux</w:t>
      </w:r>
      <w:r w:rsidRPr="002C4077">
        <w:t xml:space="preserve"> </w:t>
      </w:r>
      <w:r>
        <w:t>encore,</w:t>
      </w:r>
      <w:r w:rsidRPr="002C4077">
        <w:t xml:space="preserve"> </w:t>
      </w:r>
      <w:r>
        <w:t>sur</w:t>
      </w:r>
      <w:r w:rsidRPr="002C4077">
        <w:t xml:space="preserve"> </w:t>
      </w:r>
      <w:r>
        <w:t>le</w:t>
      </w:r>
      <w:r w:rsidRPr="002C4077">
        <w:t xml:space="preserve"> </w:t>
      </w:r>
      <w:r>
        <w:t>toit</w:t>
      </w:r>
      <w:r w:rsidRPr="002C4077">
        <w:t xml:space="preserve"> </w:t>
      </w:r>
      <w:r>
        <w:t>plat</w:t>
      </w:r>
      <w:r w:rsidRPr="002C4077">
        <w:t xml:space="preserve"> </w:t>
      </w:r>
      <w:r>
        <w:t>du</w:t>
      </w:r>
      <w:r w:rsidRPr="002C4077">
        <w:t xml:space="preserve"> </w:t>
      </w:r>
      <w:r>
        <w:t>couvent</w:t>
      </w:r>
      <w:r w:rsidRPr="002C4077">
        <w:t xml:space="preserve"> </w:t>
      </w:r>
      <w:r>
        <w:t>latin</w:t>
      </w:r>
      <w:r w:rsidR="00B546AF">
        <w:t> ?</w:t>
      </w:r>
      <w:r w:rsidRPr="002C4077">
        <w:t xml:space="preserve"> </w:t>
      </w:r>
      <w:r>
        <w:t>Là,</w:t>
      </w:r>
      <w:r w:rsidRPr="002C4077">
        <w:t xml:space="preserve"> </w:t>
      </w:r>
      <w:r>
        <w:t>je</w:t>
      </w:r>
      <w:r w:rsidRPr="002C4077">
        <w:t xml:space="preserve"> </w:t>
      </w:r>
      <w:r>
        <w:t>pourrai</w:t>
      </w:r>
      <w:r w:rsidRPr="002C4077">
        <w:t xml:space="preserve"> </w:t>
      </w:r>
      <w:r>
        <w:t>vous</w:t>
      </w:r>
      <w:r w:rsidRPr="002C4077">
        <w:t xml:space="preserve"> </w:t>
      </w:r>
      <w:r>
        <w:t>citer</w:t>
      </w:r>
      <w:r w:rsidRPr="002C4077">
        <w:t xml:space="preserve"> </w:t>
      </w:r>
      <w:r>
        <w:t>divers</w:t>
      </w:r>
      <w:r w:rsidRPr="002C4077">
        <w:t xml:space="preserve"> </w:t>
      </w:r>
      <w:r>
        <w:t>traits</w:t>
      </w:r>
      <w:r w:rsidRPr="002C4077">
        <w:t xml:space="preserve"> </w:t>
      </w:r>
      <w:r>
        <w:t>que</w:t>
      </w:r>
      <w:r w:rsidRPr="002C4077">
        <w:t xml:space="preserve"> </w:t>
      </w:r>
      <w:r>
        <w:t>j’aurai</w:t>
      </w:r>
      <w:r w:rsidRPr="002C4077">
        <w:t xml:space="preserve"> </w:t>
      </w:r>
      <w:r>
        <w:t>oubliés</w:t>
      </w:r>
      <w:r w:rsidRPr="002C4077">
        <w:t xml:space="preserve"> </w:t>
      </w:r>
      <w:r>
        <w:t>chemin</w:t>
      </w:r>
      <w:r w:rsidRPr="002C4077">
        <w:t xml:space="preserve"> </w:t>
      </w:r>
      <w:r>
        <w:t>faisant,</w:t>
      </w:r>
      <w:r w:rsidRPr="002C4077">
        <w:t xml:space="preserve"> </w:t>
      </w:r>
      <w:r>
        <w:t>et</w:t>
      </w:r>
      <w:r w:rsidRPr="002C4077">
        <w:t xml:space="preserve"> </w:t>
      </w:r>
      <w:r>
        <w:t>puis,</w:t>
      </w:r>
      <w:r w:rsidRPr="002C4077">
        <w:t xml:space="preserve"> </w:t>
      </w:r>
      <w:r>
        <w:t>nous</w:t>
      </w:r>
      <w:r w:rsidRPr="002C4077">
        <w:t xml:space="preserve"> </w:t>
      </w:r>
      <w:r>
        <w:t>prendrons</w:t>
      </w:r>
      <w:r w:rsidRPr="002C4077">
        <w:t xml:space="preserve"> </w:t>
      </w:r>
      <w:r>
        <w:t>des</w:t>
      </w:r>
      <w:r w:rsidRPr="002C4077">
        <w:t xml:space="preserve"> </w:t>
      </w:r>
      <w:r>
        <w:t>forces</w:t>
      </w:r>
      <w:r w:rsidRPr="002C4077">
        <w:t xml:space="preserve"> </w:t>
      </w:r>
      <w:r>
        <w:t>pour</w:t>
      </w:r>
      <w:r w:rsidRPr="002C4077">
        <w:t xml:space="preserve"> </w:t>
      </w:r>
      <w:r>
        <w:t>faire</w:t>
      </w:r>
      <w:r w:rsidRPr="002C4077">
        <w:t xml:space="preserve"> </w:t>
      </w:r>
      <w:r>
        <w:t>une</w:t>
      </w:r>
      <w:r w:rsidRPr="002C4077">
        <w:t xml:space="preserve"> </w:t>
      </w:r>
      <w:r>
        <w:t>excursion</w:t>
      </w:r>
      <w:r w:rsidRPr="002C4077">
        <w:t xml:space="preserve"> </w:t>
      </w:r>
      <w:r>
        <w:t>sur</w:t>
      </w:r>
      <w:r w:rsidRPr="002C4077">
        <w:t xml:space="preserve"> </w:t>
      </w:r>
      <w:r>
        <w:t>les</w:t>
      </w:r>
      <w:r w:rsidRPr="002C4077">
        <w:t xml:space="preserve"> </w:t>
      </w:r>
      <w:r>
        <w:t>collines</w:t>
      </w:r>
      <w:r w:rsidRPr="002C4077">
        <w:t xml:space="preserve"> </w:t>
      </w:r>
      <w:r>
        <w:t>qui</w:t>
      </w:r>
      <w:r w:rsidRPr="002C4077">
        <w:t xml:space="preserve"> </w:t>
      </w:r>
      <w:r>
        <w:t>dominent</w:t>
      </w:r>
      <w:r w:rsidRPr="002C4077">
        <w:t xml:space="preserve"> </w:t>
      </w:r>
      <w:r>
        <w:t>Nazareth.</w:t>
      </w:r>
      <w:r w:rsidRPr="002C4077">
        <w:t xml:space="preserve"> </w:t>
      </w:r>
    </w:p>
    <w:p w:rsidR="002F7AFA" w:rsidRDefault="002F7AFA" w:rsidP="000A7AAB"/>
    <w:p w:rsidR="000A7AAB" w:rsidRDefault="000A7AAB" w:rsidP="000A7AAB">
      <w:r>
        <w:t>De</w:t>
      </w:r>
      <w:r w:rsidRPr="002C4077">
        <w:t xml:space="preserve"> </w:t>
      </w:r>
      <w:r>
        <w:t>quelle</w:t>
      </w:r>
      <w:r w:rsidRPr="002C4077">
        <w:t xml:space="preserve"> </w:t>
      </w:r>
      <w:r>
        <w:t>agréable</w:t>
      </w:r>
      <w:r w:rsidRPr="002C4077">
        <w:t xml:space="preserve"> </w:t>
      </w:r>
      <w:r>
        <w:t>perspective</w:t>
      </w:r>
      <w:r w:rsidRPr="002C4077">
        <w:t xml:space="preserve"> </w:t>
      </w:r>
      <w:r>
        <w:t>nous</w:t>
      </w:r>
      <w:r w:rsidRPr="002C4077">
        <w:t xml:space="preserve"> </w:t>
      </w:r>
      <w:r>
        <w:t>jouissons</w:t>
      </w:r>
      <w:r w:rsidRPr="002C4077">
        <w:t xml:space="preserve"> </w:t>
      </w:r>
      <w:r>
        <w:t>du</w:t>
      </w:r>
      <w:r w:rsidRPr="002C4077">
        <w:t xml:space="preserve"> </w:t>
      </w:r>
      <w:r>
        <w:t>haut</w:t>
      </w:r>
      <w:r w:rsidRPr="002C4077">
        <w:t xml:space="preserve"> </w:t>
      </w:r>
      <w:r>
        <w:t>de</w:t>
      </w:r>
      <w:r w:rsidRPr="002C4077">
        <w:t xml:space="preserve"> </w:t>
      </w:r>
      <w:r>
        <w:t>cet</w:t>
      </w:r>
      <w:r w:rsidRPr="002C4077">
        <w:t xml:space="preserve"> </w:t>
      </w:r>
      <w:r>
        <w:t>observatoire</w:t>
      </w:r>
      <w:r w:rsidR="00B546AF">
        <w:t> !</w:t>
      </w:r>
      <w:r w:rsidRPr="002C4077">
        <w:t xml:space="preserve"> </w:t>
      </w:r>
      <w:r>
        <w:t>Nulle</w:t>
      </w:r>
      <w:r w:rsidRPr="002C4077">
        <w:t xml:space="preserve"> </w:t>
      </w:r>
      <w:r>
        <w:t>part</w:t>
      </w:r>
      <w:r w:rsidRPr="002C4077">
        <w:t xml:space="preserve"> </w:t>
      </w:r>
      <w:r>
        <w:t>ailleurs,</w:t>
      </w:r>
      <w:r w:rsidRPr="002C4077">
        <w:t xml:space="preserve"> </w:t>
      </w:r>
      <w:r>
        <w:t>dans</w:t>
      </w:r>
      <w:r w:rsidRPr="002C4077">
        <w:t xml:space="preserve"> </w:t>
      </w:r>
      <w:r>
        <w:t>la</w:t>
      </w:r>
      <w:r w:rsidRPr="002C4077">
        <w:t xml:space="preserve"> </w:t>
      </w:r>
      <w:r>
        <w:t>vallée,</w:t>
      </w:r>
      <w:r w:rsidRPr="002C4077">
        <w:t xml:space="preserve"> </w:t>
      </w:r>
      <w:r>
        <w:t>si</w:t>
      </w:r>
      <w:r w:rsidRPr="002C4077">
        <w:t xml:space="preserve"> </w:t>
      </w:r>
      <w:r>
        <w:t>ce</w:t>
      </w:r>
      <w:r w:rsidRPr="002C4077">
        <w:t xml:space="preserve"> </w:t>
      </w:r>
      <w:r>
        <w:t>n’est</w:t>
      </w:r>
      <w:r w:rsidRPr="002C4077">
        <w:t xml:space="preserve"> </w:t>
      </w:r>
      <w:r>
        <w:t>de</w:t>
      </w:r>
      <w:r w:rsidRPr="002C4077">
        <w:t xml:space="preserve"> </w:t>
      </w:r>
      <w:r>
        <w:t>l’église</w:t>
      </w:r>
      <w:r w:rsidRPr="002C4077">
        <w:t xml:space="preserve"> </w:t>
      </w:r>
      <w:r>
        <w:t>des</w:t>
      </w:r>
      <w:r w:rsidRPr="002C4077">
        <w:t xml:space="preserve"> </w:t>
      </w:r>
      <w:r>
        <w:t>Maronites</w:t>
      </w:r>
      <w:bookmarkStart w:id="550" w:name="z_Maronites_o1"/>
      <w:bookmarkEnd w:id="550"/>
      <w:r w:rsidRPr="002C4077">
        <w:t xml:space="preserve"> </w:t>
      </w:r>
      <w:r>
        <w:t>que</w:t>
      </w:r>
      <w:r w:rsidRPr="002C4077">
        <w:t xml:space="preserve"> </w:t>
      </w:r>
      <w:r>
        <w:t>nous</w:t>
      </w:r>
      <w:r w:rsidRPr="002C4077">
        <w:t xml:space="preserve"> </w:t>
      </w:r>
      <w:r>
        <w:t>irons</w:t>
      </w:r>
      <w:r w:rsidRPr="002C4077">
        <w:t xml:space="preserve"> </w:t>
      </w:r>
      <w:r>
        <w:t>visiter</w:t>
      </w:r>
      <w:r w:rsidRPr="002C4077">
        <w:t xml:space="preserve"> </w:t>
      </w:r>
      <w:r>
        <w:t>bientôt,</w:t>
      </w:r>
      <w:r w:rsidRPr="002C4077">
        <w:t xml:space="preserve"> </w:t>
      </w:r>
      <w:r>
        <w:t>on</w:t>
      </w:r>
      <w:r w:rsidRPr="002C4077">
        <w:t xml:space="preserve"> </w:t>
      </w:r>
      <w:r>
        <w:t>n’aperçoit</w:t>
      </w:r>
      <w:r w:rsidRPr="002C4077">
        <w:t xml:space="preserve"> </w:t>
      </w:r>
      <w:r>
        <w:t>si</w:t>
      </w:r>
      <w:r w:rsidRPr="002C4077">
        <w:t xml:space="preserve"> </w:t>
      </w:r>
      <w:r>
        <w:t>bien</w:t>
      </w:r>
      <w:r w:rsidRPr="002C4077">
        <w:t xml:space="preserve"> </w:t>
      </w:r>
      <w:r>
        <w:t>la</w:t>
      </w:r>
      <w:r w:rsidRPr="002C4077">
        <w:t xml:space="preserve"> </w:t>
      </w:r>
      <w:r>
        <w:t>ville</w:t>
      </w:r>
      <w:r w:rsidRPr="002C4077">
        <w:t xml:space="preserve"> </w:t>
      </w:r>
      <w:r>
        <w:t>et</w:t>
      </w:r>
      <w:r w:rsidRPr="002C4077">
        <w:t xml:space="preserve"> </w:t>
      </w:r>
      <w:r>
        <w:t>ses</w:t>
      </w:r>
      <w:r w:rsidRPr="002C4077">
        <w:t xml:space="preserve"> </w:t>
      </w:r>
      <w:r>
        <w:t>alentours</w:t>
      </w:r>
      <w:r w:rsidRPr="002C4077">
        <w:t xml:space="preserve"> </w:t>
      </w:r>
      <w:r>
        <w:t>les</w:t>
      </w:r>
      <w:r w:rsidRPr="002C4077">
        <w:t xml:space="preserve"> </w:t>
      </w:r>
      <w:r>
        <w:t>plus</w:t>
      </w:r>
      <w:r w:rsidRPr="002C4077">
        <w:t xml:space="preserve"> </w:t>
      </w:r>
      <w:r>
        <w:t>rapprochés.</w:t>
      </w:r>
      <w:r w:rsidR="00C45B47">
        <w:t xml:space="preserve"> {</w:t>
      </w:r>
      <w:r w:rsidR="001F5257">
        <w:t>227</w:t>
      </w:r>
      <w:bookmarkStart w:id="551" w:name="p227"/>
      <w:bookmarkEnd w:id="551"/>
      <w:r w:rsidR="001F5257">
        <w:t xml:space="preserve">} </w:t>
      </w:r>
      <w:r>
        <w:t>Mais</w:t>
      </w:r>
      <w:r w:rsidRPr="002C4077">
        <w:t xml:space="preserve"> </w:t>
      </w:r>
      <w:r>
        <w:t>l’horizon</w:t>
      </w:r>
      <w:r w:rsidRPr="002C4077">
        <w:t xml:space="preserve"> </w:t>
      </w:r>
      <w:r>
        <w:t>n’est</w:t>
      </w:r>
      <w:r w:rsidRPr="002C4077">
        <w:t xml:space="preserve"> </w:t>
      </w:r>
      <w:r>
        <w:t>pas</w:t>
      </w:r>
      <w:r w:rsidRPr="002C4077">
        <w:t xml:space="preserve"> </w:t>
      </w:r>
      <w:r>
        <w:t>très</w:t>
      </w:r>
      <w:r w:rsidRPr="002C4077">
        <w:t xml:space="preserve"> </w:t>
      </w:r>
      <w:r>
        <w:t>étendu.</w:t>
      </w:r>
      <w:r w:rsidRPr="002C4077">
        <w:t xml:space="preserve"> </w:t>
      </w:r>
      <w:r>
        <w:t>De</w:t>
      </w:r>
      <w:r w:rsidRPr="002C4077">
        <w:t xml:space="preserve"> </w:t>
      </w:r>
      <w:r>
        <w:t>tous</w:t>
      </w:r>
      <w:r w:rsidRPr="002C4077">
        <w:t xml:space="preserve"> </w:t>
      </w:r>
      <w:r>
        <w:t>côtés,</w:t>
      </w:r>
      <w:r w:rsidRPr="002C4077">
        <w:t xml:space="preserve"> </w:t>
      </w:r>
      <w:r>
        <w:t>ces</w:t>
      </w:r>
      <w:r w:rsidRPr="002C4077">
        <w:t xml:space="preserve"> </w:t>
      </w:r>
      <w:r>
        <w:t>montagnes</w:t>
      </w:r>
      <w:r w:rsidRPr="002C4077">
        <w:t xml:space="preserve"> </w:t>
      </w:r>
      <w:r>
        <w:t>arrondies,</w:t>
      </w:r>
      <w:r w:rsidRPr="002C4077">
        <w:t xml:space="preserve"> </w:t>
      </w:r>
      <w:r>
        <w:t>belles</w:t>
      </w:r>
      <w:r w:rsidRPr="002C4077">
        <w:t xml:space="preserve"> </w:t>
      </w:r>
      <w:r>
        <w:t>malgré</w:t>
      </w:r>
      <w:r w:rsidRPr="002C4077">
        <w:t xml:space="preserve"> </w:t>
      </w:r>
      <w:r>
        <w:t>l’absence</w:t>
      </w:r>
      <w:r w:rsidRPr="002C4077">
        <w:t xml:space="preserve"> </w:t>
      </w:r>
      <w:r>
        <w:t>de</w:t>
      </w:r>
      <w:r w:rsidRPr="002C4077">
        <w:t xml:space="preserve"> </w:t>
      </w:r>
      <w:r>
        <w:t>végétation</w:t>
      </w:r>
      <w:r w:rsidRPr="002C4077">
        <w:t xml:space="preserve"> </w:t>
      </w:r>
      <w:r>
        <w:t>et</w:t>
      </w:r>
      <w:r w:rsidRPr="002C4077">
        <w:t xml:space="preserve"> </w:t>
      </w:r>
      <w:r>
        <w:t>de</w:t>
      </w:r>
      <w:r w:rsidRPr="002C4077">
        <w:t xml:space="preserve"> </w:t>
      </w:r>
      <w:r>
        <w:t>verdure,</w:t>
      </w:r>
      <w:r w:rsidRPr="002C4077">
        <w:t xml:space="preserve"> </w:t>
      </w:r>
      <w:r>
        <w:t>arrêtent</w:t>
      </w:r>
      <w:r w:rsidRPr="002C4077">
        <w:t xml:space="preserve"> </w:t>
      </w:r>
      <w:r>
        <w:t>promptement</w:t>
      </w:r>
      <w:r w:rsidRPr="002C4077">
        <w:t xml:space="preserve"> </w:t>
      </w:r>
      <w:r>
        <w:t>nos</w:t>
      </w:r>
      <w:r w:rsidRPr="002C4077">
        <w:t xml:space="preserve"> </w:t>
      </w:r>
      <w:r>
        <w:t>regards.</w:t>
      </w:r>
      <w:r w:rsidRPr="002C4077">
        <w:t xml:space="preserve"> </w:t>
      </w:r>
      <w:r>
        <w:t>N’êtes-vous</w:t>
      </w:r>
      <w:r w:rsidRPr="002C4077">
        <w:t xml:space="preserve"> </w:t>
      </w:r>
      <w:r>
        <w:t>pas</w:t>
      </w:r>
      <w:r w:rsidRPr="002C4077">
        <w:t xml:space="preserve"> </w:t>
      </w:r>
      <w:r>
        <w:t>frappé</w:t>
      </w:r>
      <w:r w:rsidRPr="002C4077">
        <w:t xml:space="preserve"> </w:t>
      </w:r>
      <w:r>
        <w:t>de</w:t>
      </w:r>
      <w:r w:rsidRPr="002C4077">
        <w:t xml:space="preserve"> </w:t>
      </w:r>
      <w:r>
        <w:t>l’idée</w:t>
      </w:r>
      <w:r w:rsidRPr="002C4077">
        <w:t xml:space="preserve"> </w:t>
      </w:r>
      <w:r>
        <w:t>de</w:t>
      </w:r>
      <w:r w:rsidRPr="002C4077">
        <w:t xml:space="preserve"> </w:t>
      </w:r>
      <w:r>
        <w:t>retraite,</w:t>
      </w:r>
      <w:r w:rsidRPr="002C4077">
        <w:t xml:space="preserve"> </w:t>
      </w:r>
      <w:r>
        <w:t>de</w:t>
      </w:r>
      <w:r w:rsidRPr="002C4077">
        <w:t xml:space="preserve"> </w:t>
      </w:r>
      <w:r>
        <w:t>recueillement,</w:t>
      </w:r>
      <w:r w:rsidRPr="002C4077">
        <w:t xml:space="preserve"> </w:t>
      </w:r>
      <w:r>
        <w:t>qui</w:t>
      </w:r>
      <w:r w:rsidRPr="002C4077">
        <w:t xml:space="preserve"> </w:t>
      </w:r>
      <w:r>
        <w:t>saisit</w:t>
      </w:r>
      <w:r w:rsidRPr="002C4077">
        <w:t xml:space="preserve"> </w:t>
      </w:r>
      <w:r>
        <w:t>l’âme</w:t>
      </w:r>
      <w:r w:rsidRPr="002C4077">
        <w:t xml:space="preserve"> </w:t>
      </w:r>
      <w:r>
        <w:t>à</w:t>
      </w:r>
      <w:r w:rsidRPr="002C4077">
        <w:t xml:space="preserve"> </w:t>
      </w:r>
      <w:r>
        <w:t>Nazareth</w:t>
      </w:r>
      <w:r w:rsidR="00B546AF">
        <w:t> ?</w:t>
      </w:r>
      <w:r w:rsidRPr="002C4077">
        <w:t xml:space="preserve"> </w:t>
      </w:r>
      <w:r>
        <w:t>La</w:t>
      </w:r>
      <w:r w:rsidRPr="002C4077">
        <w:t xml:space="preserve"> </w:t>
      </w:r>
      <w:r>
        <w:t>retraite,</w:t>
      </w:r>
      <w:r w:rsidRPr="002C4077">
        <w:t xml:space="preserve"> </w:t>
      </w:r>
      <w:r>
        <w:t>voilà</w:t>
      </w:r>
      <w:r w:rsidRPr="002C4077">
        <w:t xml:space="preserve"> </w:t>
      </w:r>
      <w:r>
        <w:t>bien</w:t>
      </w:r>
      <w:r w:rsidRPr="002C4077">
        <w:t xml:space="preserve"> </w:t>
      </w:r>
      <w:r>
        <w:t>son</w:t>
      </w:r>
      <w:r w:rsidRPr="002C4077">
        <w:t xml:space="preserve"> </w:t>
      </w:r>
      <w:r>
        <w:t>caractère</w:t>
      </w:r>
      <w:r w:rsidRPr="002C4077">
        <w:t xml:space="preserve"> </w:t>
      </w:r>
      <w:r>
        <w:t>spécial.</w:t>
      </w:r>
      <w:r w:rsidRPr="002C4077">
        <w:t xml:space="preserve"> </w:t>
      </w:r>
      <w:r>
        <w:t>Aussi</w:t>
      </w:r>
      <w:r w:rsidRPr="002C4077">
        <w:t xml:space="preserve"> </w:t>
      </w:r>
      <w:r>
        <w:t>comprenons-nous</w:t>
      </w:r>
      <w:r w:rsidRPr="002C4077">
        <w:t xml:space="preserve"> </w:t>
      </w:r>
      <w:r>
        <w:t>mieux</w:t>
      </w:r>
      <w:r w:rsidRPr="002C4077">
        <w:t xml:space="preserve"> </w:t>
      </w:r>
      <w:r>
        <w:t>que</w:t>
      </w:r>
      <w:r w:rsidRPr="002C4077">
        <w:t xml:space="preserve"> </w:t>
      </w:r>
      <w:r>
        <w:t>jamais</w:t>
      </w:r>
      <w:r w:rsidRPr="002C4077">
        <w:t xml:space="preserve"> </w:t>
      </w:r>
      <w:r>
        <w:t>pourquoi</w:t>
      </w:r>
      <w:r w:rsidRPr="002C4077">
        <w:t xml:space="preserve"> </w:t>
      </w:r>
      <w:r>
        <w:t>Dieu</w:t>
      </w:r>
      <w:r w:rsidRPr="002C4077">
        <w:t xml:space="preserve"> </w:t>
      </w:r>
      <w:r>
        <w:t>avait</w:t>
      </w:r>
      <w:r w:rsidRPr="002C4077">
        <w:t xml:space="preserve"> </w:t>
      </w:r>
      <w:r>
        <w:t>jeté</w:t>
      </w:r>
      <w:r w:rsidRPr="002C4077">
        <w:t xml:space="preserve"> </w:t>
      </w:r>
      <w:r>
        <w:t>les</w:t>
      </w:r>
      <w:r w:rsidRPr="002C4077">
        <w:t xml:space="preserve"> </w:t>
      </w:r>
      <w:r>
        <w:t>yeux</w:t>
      </w:r>
      <w:r w:rsidRPr="002C4077">
        <w:t xml:space="preserve"> </w:t>
      </w:r>
      <w:r>
        <w:t>sur</w:t>
      </w:r>
      <w:r w:rsidRPr="002C4077">
        <w:t xml:space="preserve"> </w:t>
      </w:r>
      <w:r>
        <w:t>elle,</w:t>
      </w:r>
      <w:r w:rsidRPr="002C4077">
        <w:t xml:space="preserve"> </w:t>
      </w:r>
      <w:r>
        <w:t>afin</w:t>
      </w:r>
      <w:r w:rsidRPr="002C4077">
        <w:t xml:space="preserve"> </w:t>
      </w:r>
      <w:r>
        <w:t>qu’elle</w:t>
      </w:r>
      <w:r w:rsidRPr="002C4077">
        <w:t xml:space="preserve"> </w:t>
      </w:r>
      <w:r>
        <w:t>servît</w:t>
      </w:r>
      <w:r w:rsidRPr="002C4077">
        <w:t xml:space="preserve"> </w:t>
      </w:r>
      <w:r>
        <w:t>de</w:t>
      </w:r>
      <w:r w:rsidRPr="002C4077">
        <w:t xml:space="preserve"> </w:t>
      </w:r>
      <w:r>
        <w:t>théâtre</w:t>
      </w:r>
      <w:r w:rsidRPr="002C4077">
        <w:t xml:space="preserve"> </w:t>
      </w:r>
      <w:r>
        <w:t>à</w:t>
      </w:r>
      <w:r w:rsidRPr="002C4077">
        <w:t xml:space="preserve"> </w:t>
      </w:r>
      <w:r>
        <w:t>la</w:t>
      </w:r>
      <w:r w:rsidRPr="002C4077">
        <w:t xml:space="preserve"> </w:t>
      </w:r>
      <w:r>
        <w:t>vie</w:t>
      </w:r>
      <w:r w:rsidRPr="002C4077">
        <w:t xml:space="preserve"> </w:t>
      </w:r>
      <w:r>
        <w:t>cachée</w:t>
      </w:r>
      <w:r w:rsidRPr="002C4077">
        <w:t xml:space="preserve"> </w:t>
      </w:r>
      <w:r>
        <w:t>de</w:t>
      </w:r>
      <w:r w:rsidRPr="002C4077">
        <w:t xml:space="preserve"> </w:t>
      </w:r>
      <w:r>
        <w:t>son</w:t>
      </w:r>
      <w:r w:rsidRPr="002C4077">
        <w:t xml:space="preserve"> </w:t>
      </w:r>
      <w:r>
        <w:t>Fils.</w:t>
      </w:r>
      <w:r w:rsidRPr="002C4077">
        <w:t xml:space="preserve"> </w:t>
      </w:r>
      <w:r>
        <w:t>Avant</w:t>
      </w:r>
      <w:r w:rsidRPr="002C4077">
        <w:t xml:space="preserve"> </w:t>
      </w:r>
      <w:r>
        <w:t>les</w:t>
      </w:r>
      <w:r w:rsidRPr="002C4077">
        <w:t xml:space="preserve"> </w:t>
      </w:r>
      <w:r>
        <w:t>jours</w:t>
      </w:r>
      <w:r w:rsidRPr="002C4077">
        <w:t xml:space="preserve"> </w:t>
      </w:r>
      <w:r>
        <w:t>de</w:t>
      </w:r>
      <w:r w:rsidRPr="002C4077">
        <w:t xml:space="preserve"> </w:t>
      </w:r>
      <w:r>
        <w:t>sa</w:t>
      </w:r>
      <w:r w:rsidRPr="002C4077">
        <w:t xml:space="preserve"> </w:t>
      </w:r>
      <w:r>
        <w:t>manifestation,</w:t>
      </w:r>
      <w:r w:rsidRPr="002C4077">
        <w:t xml:space="preserve"> </w:t>
      </w:r>
      <w:r>
        <w:t>qui</w:t>
      </w:r>
      <w:r w:rsidRPr="002C4077">
        <w:t xml:space="preserve"> </w:t>
      </w:r>
      <w:r>
        <w:t>eût</w:t>
      </w:r>
      <w:r w:rsidRPr="002C4077">
        <w:t xml:space="preserve"> </w:t>
      </w:r>
      <w:r>
        <w:t>pu</w:t>
      </w:r>
      <w:r w:rsidRPr="002C4077">
        <w:t xml:space="preserve"> </w:t>
      </w:r>
      <w:r>
        <w:t>soupçonner</w:t>
      </w:r>
      <w:r w:rsidRPr="002C4077">
        <w:t xml:space="preserve"> </w:t>
      </w:r>
      <w:r>
        <w:t>que</w:t>
      </w:r>
      <w:r w:rsidRPr="002C4077">
        <w:t xml:space="preserve"> </w:t>
      </w:r>
      <w:r>
        <w:t>le</w:t>
      </w:r>
      <w:r w:rsidRPr="002C4077">
        <w:t xml:space="preserve"> </w:t>
      </w:r>
      <w:r>
        <w:t>Messie</w:t>
      </w:r>
      <w:r w:rsidRPr="002C4077">
        <w:t xml:space="preserve"> </w:t>
      </w:r>
      <w:r>
        <w:t>vivait</w:t>
      </w:r>
      <w:r w:rsidRPr="002C4077">
        <w:t xml:space="preserve"> </w:t>
      </w:r>
      <w:r>
        <w:t>ici</w:t>
      </w:r>
      <w:r w:rsidRPr="002C4077">
        <w:t xml:space="preserve"> </w:t>
      </w:r>
      <w:r>
        <w:t>dans</w:t>
      </w:r>
      <w:r w:rsidRPr="002C4077">
        <w:t xml:space="preserve"> </w:t>
      </w:r>
      <w:r>
        <w:t>une</w:t>
      </w:r>
      <w:r w:rsidRPr="002C4077">
        <w:t xml:space="preserve"> </w:t>
      </w:r>
      <w:r>
        <w:t>pauvre</w:t>
      </w:r>
      <w:r w:rsidRPr="002C4077">
        <w:t xml:space="preserve"> </w:t>
      </w:r>
      <w:r>
        <w:t>maison</w:t>
      </w:r>
      <w:r w:rsidR="00B546AF">
        <w:t> ?</w:t>
      </w:r>
      <w:r w:rsidRPr="002C4077">
        <w:t xml:space="preserve"> </w:t>
      </w:r>
      <w:r>
        <w:t>Qui</w:t>
      </w:r>
      <w:r w:rsidRPr="002C4077">
        <w:t xml:space="preserve"> </w:t>
      </w:r>
      <w:r>
        <w:t>serait</w:t>
      </w:r>
      <w:r w:rsidRPr="002C4077">
        <w:t xml:space="preserve"> </w:t>
      </w:r>
      <w:r>
        <w:t>venu</w:t>
      </w:r>
      <w:r w:rsidRPr="002C4077">
        <w:t xml:space="preserve"> </w:t>
      </w:r>
      <w:r>
        <w:t>le</w:t>
      </w:r>
      <w:r w:rsidRPr="002C4077">
        <w:t xml:space="preserve"> </w:t>
      </w:r>
      <w:r>
        <w:t>chercher</w:t>
      </w:r>
      <w:r w:rsidRPr="002C4077">
        <w:t xml:space="preserve"> </w:t>
      </w:r>
      <w:r>
        <w:t>dans</w:t>
      </w:r>
      <w:r w:rsidRPr="002C4077">
        <w:t xml:space="preserve"> </w:t>
      </w:r>
      <w:r>
        <w:t>cette</w:t>
      </w:r>
      <w:r w:rsidRPr="002C4077">
        <w:t xml:space="preserve"> </w:t>
      </w:r>
      <w:r>
        <w:t>petite</w:t>
      </w:r>
      <w:r w:rsidRPr="002C4077">
        <w:t xml:space="preserve"> </w:t>
      </w:r>
      <w:r>
        <w:t>bourgade,</w:t>
      </w:r>
      <w:r w:rsidRPr="002C4077">
        <w:t xml:space="preserve"> </w:t>
      </w:r>
      <w:r>
        <w:t>située</w:t>
      </w:r>
      <w:r w:rsidRPr="002C4077">
        <w:t xml:space="preserve"> </w:t>
      </w:r>
      <w:r>
        <w:t>autrefois,</w:t>
      </w:r>
      <w:r w:rsidRPr="002C4077">
        <w:t xml:space="preserve"> </w:t>
      </w:r>
      <w:r>
        <w:t>comme</w:t>
      </w:r>
      <w:r w:rsidRPr="002C4077">
        <w:t xml:space="preserve"> </w:t>
      </w:r>
      <w:r>
        <w:t>aujourd’hui,</w:t>
      </w:r>
      <w:r w:rsidRPr="002C4077">
        <w:t xml:space="preserve"> </w:t>
      </w:r>
      <w:r>
        <w:t>à</w:t>
      </w:r>
      <w:r w:rsidRPr="002C4077">
        <w:t xml:space="preserve"> </w:t>
      </w:r>
      <w:r>
        <w:t>plusieurs</w:t>
      </w:r>
      <w:r w:rsidRPr="002C4077">
        <w:t xml:space="preserve"> </w:t>
      </w:r>
      <w:r>
        <w:t>heures</w:t>
      </w:r>
      <w:r w:rsidRPr="002C4077">
        <w:t xml:space="preserve"> </w:t>
      </w:r>
      <w:r>
        <w:t>de</w:t>
      </w:r>
      <w:r w:rsidRPr="002C4077">
        <w:t xml:space="preserve"> </w:t>
      </w:r>
      <w:r>
        <w:t>la</w:t>
      </w:r>
      <w:r w:rsidRPr="002C4077">
        <w:t xml:space="preserve"> </w:t>
      </w:r>
      <w:r>
        <w:t>grande</w:t>
      </w:r>
      <w:r w:rsidRPr="002C4077">
        <w:t xml:space="preserve"> </w:t>
      </w:r>
      <w:r>
        <w:t>route,</w:t>
      </w:r>
      <w:r w:rsidRPr="002C4077">
        <w:t xml:space="preserve"> </w:t>
      </w:r>
      <w:r>
        <w:t>si</w:t>
      </w:r>
      <w:r w:rsidRPr="002C4077">
        <w:t xml:space="preserve"> </w:t>
      </w:r>
      <w:r>
        <w:t>perdue</w:t>
      </w:r>
      <w:r w:rsidRPr="002C4077">
        <w:t xml:space="preserve"> </w:t>
      </w:r>
      <w:r>
        <w:t>au</w:t>
      </w:r>
      <w:r w:rsidRPr="002C4077">
        <w:t xml:space="preserve"> </w:t>
      </w:r>
      <w:r>
        <w:t>milieu</w:t>
      </w:r>
      <w:r w:rsidRPr="002C4077">
        <w:t xml:space="preserve"> </w:t>
      </w:r>
      <w:r>
        <w:t>des</w:t>
      </w:r>
      <w:r w:rsidRPr="002C4077">
        <w:t xml:space="preserve"> </w:t>
      </w:r>
      <w:r>
        <w:t>montagnes</w:t>
      </w:r>
      <w:r w:rsidR="00B546AF">
        <w:t> ?</w:t>
      </w:r>
      <w:r w:rsidRPr="002C4077">
        <w:t xml:space="preserve"> </w:t>
      </w:r>
      <w:r>
        <w:t>Et</w:t>
      </w:r>
      <w:r w:rsidRPr="002C4077">
        <w:t xml:space="preserve"> </w:t>
      </w:r>
      <w:r>
        <w:t>pourtant,</w:t>
      </w:r>
      <w:r w:rsidRPr="002C4077">
        <w:t xml:space="preserve"> </w:t>
      </w:r>
      <w:r>
        <w:t>lorsqu’on</w:t>
      </w:r>
      <w:r w:rsidRPr="002C4077">
        <w:t xml:space="preserve"> </w:t>
      </w:r>
      <w:r w:rsidR="00425C50">
        <w:t>est</w:t>
      </w:r>
      <w:r w:rsidRPr="002C4077">
        <w:t xml:space="preserve"> </w:t>
      </w:r>
      <w:r>
        <w:t>à</w:t>
      </w:r>
      <w:r w:rsidRPr="002C4077">
        <w:t xml:space="preserve"> </w:t>
      </w:r>
      <w:r>
        <w:t>Nazareth,</w:t>
      </w:r>
      <w:r w:rsidRPr="002C4077">
        <w:t xml:space="preserve"> </w:t>
      </w:r>
      <w:r>
        <w:t>comme</w:t>
      </w:r>
      <w:r w:rsidRPr="002C4077">
        <w:t xml:space="preserve"> </w:t>
      </w:r>
      <w:r>
        <w:t>l’on</w:t>
      </w:r>
      <w:r w:rsidRPr="002C4077">
        <w:t xml:space="preserve"> </w:t>
      </w:r>
      <w:r w:rsidRPr="000A34B5">
        <w:rPr>
          <w:rStyle w:val="italicus"/>
        </w:rPr>
        <w:t>sent</w:t>
      </w:r>
      <w:r w:rsidRPr="002C4077">
        <w:t xml:space="preserve"> </w:t>
      </w:r>
      <w:r>
        <w:t>que</w:t>
      </w:r>
      <w:r w:rsidRPr="002C4077">
        <w:t xml:space="preserve"> </w:t>
      </w:r>
      <w:r w:rsidR="00425C50">
        <w:t>Jésus</w:t>
      </w:r>
      <w:r w:rsidRPr="002C4077">
        <w:t xml:space="preserve"> </w:t>
      </w:r>
      <w:r>
        <w:t>y</w:t>
      </w:r>
      <w:r w:rsidRPr="002C4077">
        <w:t xml:space="preserve"> </w:t>
      </w:r>
      <w:r>
        <w:t>a</w:t>
      </w:r>
      <w:r w:rsidRPr="002C4077">
        <w:t xml:space="preserve"> </w:t>
      </w:r>
      <w:r>
        <w:t>vécu</w:t>
      </w:r>
      <w:r w:rsidR="00B546AF">
        <w:t> !</w:t>
      </w:r>
      <w:r w:rsidRPr="002C4077">
        <w:t xml:space="preserve"> </w:t>
      </w:r>
      <w:r>
        <w:t>Il</w:t>
      </w:r>
      <w:r w:rsidRPr="002C4077">
        <w:t xml:space="preserve"> </w:t>
      </w:r>
      <w:r>
        <w:t>a</w:t>
      </w:r>
      <w:r w:rsidRPr="002C4077">
        <w:t xml:space="preserve"> </w:t>
      </w:r>
      <w:r>
        <w:t>parcouru</w:t>
      </w:r>
      <w:r w:rsidRPr="002C4077">
        <w:t xml:space="preserve"> </w:t>
      </w:r>
      <w:r>
        <w:t>mille</w:t>
      </w:r>
      <w:r w:rsidRPr="002C4077">
        <w:t xml:space="preserve"> </w:t>
      </w:r>
      <w:r>
        <w:t>fois</w:t>
      </w:r>
      <w:r w:rsidRPr="002C4077">
        <w:t xml:space="preserve"> </w:t>
      </w:r>
      <w:r>
        <w:t>ces</w:t>
      </w:r>
      <w:r w:rsidRPr="002C4077">
        <w:t xml:space="preserve"> </w:t>
      </w:r>
      <w:r w:rsidR="003B53FD">
        <w:t>chemins</w:t>
      </w:r>
      <w:r w:rsidRPr="002C4077">
        <w:t xml:space="preserve"> </w:t>
      </w:r>
      <w:r>
        <w:t>par</w:t>
      </w:r>
      <w:r w:rsidRPr="002C4077">
        <w:t xml:space="preserve"> </w:t>
      </w:r>
      <w:r>
        <w:t>lesquels</w:t>
      </w:r>
      <w:r w:rsidRPr="002C4077">
        <w:t xml:space="preserve"> </w:t>
      </w:r>
      <w:r>
        <w:t>nous</w:t>
      </w:r>
      <w:r w:rsidRPr="002C4077">
        <w:t xml:space="preserve"> </w:t>
      </w:r>
      <w:r>
        <w:t>passions</w:t>
      </w:r>
      <w:r w:rsidRPr="002C4077">
        <w:t xml:space="preserve"> </w:t>
      </w:r>
      <w:r>
        <w:t>tout</w:t>
      </w:r>
      <w:r w:rsidRPr="002C4077">
        <w:t xml:space="preserve"> </w:t>
      </w:r>
      <w:r>
        <w:t>à</w:t>
      </w:r>
      <w:r w:rsidRPr="002C4077">
        <w:t xml:space="preserve"> </w:t>
      </w:r>
      <w:r>
        <w:t>l’heure</w:t>
      </w:r>
      <w:r w:rsidR="00B546AF">
        <w:t> ;</w:t>
      </w:r>
      <w:r w:rsidRPr="002C4077">
        <w:t xml:space="preserve"> </w:t>
      </w:r>
      <w:r>
        <w:t>ses</w:t>
      </w:r>
      <w:r w:rsidRPr="002C4077">
        <w:t xml:space="preserve"> </w:t>
      </w:r>
      <w:r>
        <w:t>yeux</w:t>
      </w:r>
      <w:r w:rsidRPr="002C4077">
        <w:t xml:space="preserve"> </w:t>
      </w:r>
      <w:r>
        <w:t>se</w:t>
      </w:r>
      <w:r w:rsidRPr="002C4077">
        <w:t xml:space="preserve"> </w:t>
      </w:r>
      <w:r>
        <w:t>sont</w:t>
      </w:r>
      <w:r w:rsidRPr="002C4077">
        <w:t xml:space="preserve"> </w:t>
      </w:r>
      <w:r>
        <w:t>reposés</w:t>
      </w:r>
      <w:r w:rsidRPr="002C4077">
        <w:t xml:space="preserve"> </w:t>
      </w:r>
      <w:r>
        <w:t>comme</w:t>
      </w:r>
      <w:r w:rsidRPr="002C4077">
        <w:t xml:space="preserve"> </w:t>
      </w:r>
      <w:r>
        <w:t>les</w:t>
      </w:r>
      <w:r w:rsidRPr="002C4077">
        <w:t xml:space="preserve"> </w:t>
      </w:r>
      <w:r>
        <w:t>nôtres</w:t>
      </w:r>
      <w:r w:rsidRPr="002C4077">
        <w:t xml:space="preserve"> </w:t>
      </w:r>
      <w:r>
        <w:t>sur</w:t>
      </w:r>
      <w:r w:rsidRPr="002C4077">
        <w:t xml:space="preserve"> </w:t>
      </w:r>
      <w:r>
        <w:t>ces</w:t>
      </w:r>
      <w:r w:rsidRPr="002C4077">
        <w:t xml:space="preserve"> </w:t>
      </w:r>
      <w:r>
        <w:t>doux</w:t>
      </w:r>
      <w:r w:rsidRPr="002C4077">
        <w:t xml:space="preserve"> </w:t>
      </w:r>
      <w:r>
        <w:t>horizons</w:t>
      </w:r>
      <w:r w:rsidR="00B546AF">
        <w:t> ;</w:t>
      </w:r>
      <w:r w:rsidRPr="002C4077">
        <w:t xml:space="preserve"> </w:t>
      </w:r>
      <w:r>
        <w:t>comme</w:t>
      </w:r>
      <w:r w:rsidRPr="002C4077">
        <w:t xml:space="preserve"> </w:t>
      </w:r>
      <w:r>
        <w:t>les</w:t>
      </w:r>
      <w:r w:rsidRPr="002C4077">
        <w:t xml:space="preserve"> </w:t>
      </w:r>
      <w:r>
        <w:t>nôtres,</w:t>
      </w:r>
      <w:r w:rsidRPr="002C4077">
        <w:t xml:space="preserve"> </w:t>
      </w:r>
      <w:r>
        <w:t>se</w:t>
      </w:r>
      <w:r w:rsidRPr="002C4077">
        <w:t xml:space="preserve"> </w:t>
      </w:r>
      <w:r>
        <w:t>trouvant</w:t>
      </w:r>
      <w:r w:rsidRPr="002C4077">
        <w:t xml:space="preserve"> </w:t>
      </w:r>
      <w:r>
        <w:t>trop</w:t>
      </w:r>
      <w:r w:rsidRPr="002C4077">
        <w:t xml:space="preserve"> </w:t>
      </w:r>
      <w:r>
        <w:t>promptement</w:t>
      </w:r>
      <w:r w:rsidRPr="002C4077">
        <w:t xml:space="preserve"> </w:t>
      </w:r>
      <w:r>
        <w:t>arrêtés</w:t>
      </w:r>
      <w:r w:rsidRPr="002C4077">
        <w:t xml:space="preserve"> </w:t>
      </w:r>
      <w:r>
        <w:t>par</w:t>
      </w:r>
      <w:r w:rsidRPr="002C4077">
        <w:t xml:space="preserve"> </w:t>
      </w:r>
      <w:r>
        <w:t>les</w:t>
      </w:r>
      <w:r w:rsidRPr="002C4077">
        <w:t xml:space="preserve"> </w:t>
      </w:r>
      <w:r>
        <w:t>montagnes,</w:t>
      </w:r>
      <w:r w:rsidRPr="002C4077">
        <w:t xml:space="preserve"> </w:t>
      </w:r>
      <w:r>
        <w:t>ils</w:t>
      </w:r>
      <w:r w:rsidRPr="002C4077">
        <w:t xml:space="preserve"> </w:t>
      </w:r>
      <w:r>
        <w:t>se</w:t>
      </w:r>
      <w:r w:rsidRPr="002C4077">
        <w:t xml:space="preserve"> </w:t>
      </w:r>
      <w:r>
        <w:t>sont</w:t>
      </w:r>
      <w:r w:rsidRPr="002C4077">
        <w:t xml:space="preserve"> </w:t>
      </w:r>
      <w:r>
        <w:t>élevés</w:t>
      </w:r>
      <w:r w:rsidRPr="002C4077">
        <w:t xml:space="preserve"> </w:t>
      </w:r>
      <w:r>
        <w:t>vers</w:t>
      </w:r>
      <w:r w:rsidRPr="002C4077">
        <w:t xml:space="preserve"> </w:t>
      </w:r>
      <w:r>
        <w:t>ce</w:t>
      </w:r>
      <w:r w:rsidRPr="002C4077">
        <w:t xml:space="preserve"> </w:t>
      </w:r>
      <w:r>
        <w:t>beau</w:t>
      </w:r>
      <w:r w:rsidRPr="002C4077">
        <w:t xml:space="preserve"> </w:t>
      </w:r>
      <w:r>
        <w:t>ciel</w:t>
      </w:r>
      <w:r w:rsidRPr="002C4077">
        <w:t xml:space="preserve"> </w:t>
      </w:r>
      <w:r>
        <w:t>d’Orient</w:t>
      </w:r>
      <w:r w:rsidRPr="002C4077">
        <w:t xml:space="preserve"> </w:t>
      </w:r>
      <w:r>
        <w:t>qu’on</w:t>
      </w:r>
      <w:r w:rsidRPr="002C4077">
        <w:t xml:space="preserve"> </w:t>
      </w:r>
      <w:r>
        <w:t>ne</w:t>
      </w:r>
      <w:r w:rsidRPr="002C4077">
        <w:t xml:space="preserve"> </w:t>
      </w:r>
      <w:r>
        <w:t>se</w:t>
      </w:r>
      <w:r w:rsidRPr="002C4077">
        <w:t xml:space="preserve"> </w:t>
      </w:r>
      <w:r>
        <w:t>lasse</w:t>
      </w:r>
      <w:r w:rsidRPr="002C4077">
        <w:t xml:space="preserve"> </w:t>
      </w:r>
      <w:r>
        <w:t>jamais</w:t>
      </w:r>
      <w:r w:rsidRPr="002C4077">
        <w:t xml:space="preserve"> </w:t>
      </w:r>
      <w:r>
        <w:t>de</w:t>
      </w:r>
      <w:r w:rsidRPr="002C4077">
        <w:t xml:space="preserve"> </w:t>
      </w:r>
      <w:r>
        <w:t>contempler,</w:t>
      </w:r>
      <w:r w:rsidRPr="002C4077">
        <w:t xml:space="preserve"> </w:t>
      </w:r>
      <w:r>
        <w:t>et</w:t>
      </w:r>
      <w:r w:rsidRPr="002C4077">
        <w:t xml:space="preserve"> </w:t>
      </w:r>
      <w:r>
        <w:t>qui</w:t>
      </w:r>
      <w:r w:rsidRPr="002C4077">
        <w:t xml:space="preserve"> </w:t>
      </w:r>
      <w:r w:rsidR="00425C50">
        <w:t>est</w:t>
      </w:r>
      <w:r>
        <w:t>,</w:t>
      </w:r>
      <w:r w:rsidRPr="002C4077">
        <w:t xml:space="preserve"> </w:t>
      </w:r>
      <w:r>
        <w:t>là</w:t>
      </w:r>
      <w:r w:rsidRPr="002C4077">
        <w:t xml:space="preserve"> </w:t>
      </w:r>
      <w:r>
        <w:t>où</w:t>
      </w:r>
      <w:r w:rsidRPr="002C4077">
        <w:t xml:space="preserve"> </w:t>
      </w:r>
      <w:r>
        <w:t>nous</w:t>
      </w:r>
      <w:r w:rsidRPr="002C4077">
        <w:t xml:space="preserve"> </w:t>
      </w:r>
      <w:r>
        <w:t>sommes,</w:t>
      </w:r>
      <w:r w:rsidRPr="002C4077">
        <w:t xml:space="preserve"> </w:t>
      </w:r>
      <w:r>
        <w:t>si</w:t>
      </w:r>
      <w:r w:rsidRPr="002C4077">
        <w:t xml:space="preserve"> </w:t>
      </w:r>
      <w:r>
        <w:t>magnifiquement</w:t>
      </w:r>
      <w:r w:rsidRPr="002C4077">
        <w:t xml:space="preserve"> </w:t>
      </w:r>
      <w:r>
        <w:t>encadré.</w:t>
      </w:r>
      <w:r w:rsidRPr="002C4077">
        <w:t xml:space="preserve"> </w:t>
      </w:r>
      <w:r>
        <w:t>Quand</w:t>
      </w:r>
      <w:r w:rsidRPr="002C4077">
        <w:t xml:space="preserve"> </w:t>
      </w:r>
      <w:r>
        <w:t>nous</w:t>
      </w:r>
      <w:r w:rsidRPr="002C4077">
        <w:t xml:space="preserve"> </w:t>
      </w:r>
      <w:r>
        <w:t>avons</w:t>
      </w:r>
      <w:r w:rsidRPr="002C4077">
        <w:t xml:space="preserve"> </w:t>
      </w:r>
      <w:r>
        <w:t>rencontré</w:t>
      </w:r>
      <w:r w:rsidRPr="002C4077">
        <w:t xml:space="preserve"> </w:t>
      </w:r>
      <w:r>
        <w:t>dans</w:t>
      </w:r>
      <w:r w:rsidRPr="002C4077">
        <w:t xml:space="preserve"> </w:t>
      </w:r>
      <w:r>
        <w:t>la</w:t>
      </w:r>
      <w:r w:rsidRPr="002C4077">
        <w:t xml:space="preserve"> </w:t>
      </w:r>
      <w:r>
        <w:t>rue</w:t>
      </w:r>
      <w:r w:rsidRPr="002C4077">
        <w:t xml:space="preserve"> </w:t>
      </w:r>
      <w:r>
        <w:t>ce</w:t>
      </w:r>
      <w:r w:rsidRPr="002C4077">
        <w:t xml:space="preserve"> </w:t>
      </w:r>
      <w:r>
        <w:t>beau</w:t>
      </w:r>
      <w:r w:rsidRPr="002C4077">
        <w:t xml:space="preserve"> </w:t>
      </w:r>
      <w:r>
        <w:t>et</w:t>
      </w:r>
      <w:r w:rsidRPr="002C4077">
        <w:t xml:space="preserve"> </w:t>
      </w:r>
      <w:r>
        <w:t>modeste</w:t>
      </w:r>
      <w:r w:rsidRPr="002C4077">
        <w:t xml:space="preserve"> </w:t>
      </w:r>
      <w:r>
        <w:t>jeune</w:t>
      </w:r>
      <w:r w:rsidRPr="002C4077">
        <w:t xml:space="preserve"> </w:t>
      </w:r>
      <w:r>
        <w:t>homme,</w:t>
      </w:r>
      <w:r w:rsidRPr="002C4077">
        <w:t xml:space="preserve"> </w:t>
      </w:r>
      <w:r>
        <w:t>qui</w:t>
      </w:r>
      <w:r w:rsidRPr="002C4077">
        <w:t xml:space="preserve"> </w:t>
      </w:r>
      <w:r>
        <w:t>portait</w:t>
      </w:r>
      <w:r w:rsidRPr="002C4077">
        <w:t xml:space="preserve"> </w:t>
      </w:r>
      <w:r>
        <w:t>une</w:t>
      </w:r>
      <w:r w:rsidRPr="002C4077">
        <w:t xml:space="preserve"> </w:t>
      </w:r>
      <w:r>
        <w:t>hache</w:t>
      </w:r>
      <w:r w:rsidRPr="002C4077">
        <w:t xml:space="preserve"> </w:t>
      </w:r>
      <w:r>
        <w:t>sur</w:t>
      </w:r>
      <w:r w:rsidRPr="002C4077">
        <w:t xml:space="preserve"> </w:t>
      </w:r>
      <w:r>
        <w:t>l’épaule</w:t>
      </w:r>
      <w:r w:rsidRPr="002C4077">
        <w:t xml:space="preserve"> </w:t>
      </w:r>
      <w:r>
        <w:t>et</w:t>
      </w:r>
      <w:r w:rsidRPr="002C4077">
        <w:t xml:space="preserve"> </w:t>
      </w:r>
      <w:r>
        <w:t>une</w:t>
      </w:r>
      <w:r w:rsidRPr="002C4077">
        <w:t xml:space="preserve"> </w:t>
      </w:r>
      <w:r>
        <w:t>pièce</w:t>
      </w:r>
      <w:r w:rsidRPr="002C4077">
        <w:t xml:space="preserve"> </w:t>
      </w:r>
      <w:r>
        <w:t>de</w:t>
      </w:r>
      <w:r w:rsidRPr="002C4077">
        <w:t xml:space="preserve"> </w:t>
      </w:r>
      <w:r>
        <w:t>bois</w:t>
      </w:r>
      <w:r w:rsidRPr="002C4077">
        <w:t xml:space="preserve"> </w:t>
      </w:r>
      <w:r>
        <w:t>à</w:t>
      </w:r>
      <w:r w:rsidRPr="002C4077">
        <w:t xml:space="preserve"> </w:t>
      </w:r>
      <w:r>
        <w:t>la</w:t>
      </w:r>
      <w:r w:rsidRPr="002C4077">
        <w:t xml:space="preserve"> </w:t>
      </w:r>
      <w:r>
        <w:t>main,</w:t>
      </w:r>
      <w:r w:rsidRPr="002C4077">
        <w:t xml:space="preserve"> </w:t>
      </w:r>
      <w:r>
        <w:t>n’avez-vous</w:t>
      </w:r>
      <w:r w:rsidRPr="002C4077">
        <w:t xml:space="preserve"> </w:t>
      </w:r>
      <w:r>
        <w:t>pas</w:t>
      </w:r>
      <w:r w:rsidRPr="002C4077">
        <w:t xml:space="preserve"> </w:t>
      </w:r>
      <w:r>
        <w:t>cru</w:t>
      </w:r>
      <w:r w:rsidRPr="002C4077">
        <w:t xml:space="preserve"> </w:t>
      </w:r>
      <w:r>
        <w:t>que</w:t>
      </w:r>
      <w:r w:rsidRPr="002C4077">
        <w:t xml:space="preserve"> </w:t>
      </w:r>
      <w:r>
        <w:t>c’était</w:t>
      </w:r>
      <w:r w:rsidRPr="002C4077">
        <w:t xml:space="preserve"> </w:t>
      </w:r>
      <w:r w:rsidR="00425C50">
        <w:t>Jésus</w:t>
      </w:r>
      <w:r w:rsidR="00B546AF">
        <w:t> ?</w:t>
      </w:r>
      <w:r>
        <w:t>…</w:t>
      </w:r>
      <w:r w:rsidRPr="002C4077">
        <w:t xml:space="preserve"> </w:t>
      </w:r>
    </w:p>
    <w:p w:rsidR="000A7AAB" w:rsidRDefault="000A7AAB" w:rsidP="000A7AAB">
      <w:r>
        <w:t>Mais</w:t>
      </w:r>
      <w:r w:rsidRPr="002C4077">
        <w:t xml:space="preserve"> </w:t>
      </w:r>
      <w:r>
        <w:t>quand</w:t>
      </w:r>
      <w:r w:rsidRPr="002C4077">
        <w:t xml:space="preserve"> </w:t>
      </w:r>
      <w:r w:rsidR="00425C50">
        <w:t>est</w:t>
      </w:r>
      <w:r>
        <w:t>-ce</w:t>
      </w:r>
      <w:r w:rsidRPr="002C4077">
        <w:t xml:space="preserve"> </w:t>
      </w:r>
      <w:r>
        <w:t>que</w:t>
      </w:r>
      <w:r w:rsidRPr="002C4077">
        <w:t xml:space="preserve"> </w:t>
      </w:r>
      <w:r>
        <w:t>nous</w:t>
      </w:r>
      <w:r w:rsidRPr="002C4077">
        <w:t xml:space="preserve"> </w:t>
      </w:r>
      <w:r>
        <w:t>nous</w:t>
      </w:r>
      <w:r w:rsidRPr="002C4077">
        <w:t xml:space="preserve"> </w:t>
      </w:r>
      <w:r>
        <w:t>arrêterions,</w:t>
      </w:r>
      <w:r w:rsidRPr="002C4077">
        <w:t xml:space="preserve"> </w:t>
      </w:r>
      <w:r>
        <w:t>si</w:t>
      </w:r>
      <w:r w:rsidRPr="002C4077">
        <w:t xml:space="preserve"> </w:t>
      </w:r>
      <w:r>
        <w:t>nous</w:t>
      </w:r>
      <w:r w:rsidRPr="002C4077">
        <w:t xml:space="preserve"> </w:t>
      </w:r>
      <w:r>
        <w:t>suivions</w:t>
      </w:r>
      <w:r w:rsidRPr="002C4077">
        <w:t xml:space="preserve"> </w:t>
      </w:r>
      <w:r>
        <w:t>ainsi</w:t>
      </w:r>
      <w:r w:rsidRPr="002C4077">
        <w:t xml:space="preserve"> </w:t>
      </w:r>
      <w:r>
        <w:t>le</w:t>
      </w:r>
      <w:r w:rsidRPr="002C4077">
        <w:t xml:space="preserve"> </w:t>
      </w:r>
      <w:r>
        <w:t>cours</w:t>
      </w:r>
      <w:r w:rsidRPr="002C4077">
        <w:t xml:space="preserve"> </w:t>
      </w:r>
      <w:r>
        <w:t>de</w:t>
      </w:r>
      <w:r w:rsidRPr="002C4077">
        <w:t xml:space="preserve"> </w:t>
      </w:r>
      <w:r>
        <w:t>nos</w:t>
      </w:r>
      <w:r w:rsidRPr="002C4077">
        <w:t xml:space="preserve"> </w:t>
      </w:r>
      <w:r>
        <w:t>pensées</w:t>
      </w:r>
      <w:r w:rsidR="00B546AF">
        <w:t> ?</w:t>
      </w:r>
      <w:r w:rsidRPr="002C4077">
        <w:t xml:space="preserve"> </w:t>
      </w:r>
      <w:r>
        <w:t>Tenez,</w:t>
      </w:r>
      <w:r w:rsidRPr="002C4077">
        <w:t xml:space="preserve"> </w:t>
      </w:r>
      <w:r>
        <w:t>regardez</w:t>
      </w:r>
      <w:r w:rsidRPr="002C4077">
        <w:t xml:space="preserve"> </w:t>
      </w:r>
      <w:r>
        <w:t>ce</w:t>
      </w:r>
      <w:r w:rsidRPr="002C4077">
        <w:t xml:space="preserve"> </w:t>
      </w:r>
      <w:r>
        <w:t>noble</w:t>
      </w:r>
      <w:r w:rsidRPr="002C4077">
        <w:t xml:space="preserve"> </w:t>
      </w:r>
      <w:r>
        <w:t>palmier</w:t>
      </w:r>
      <w:r w:rsidRPr="002C4077">
        <w:t xml:space="preserve"> </w:t>
      </w:r>
      <w:r>
        <w:t>qui</w:t>
      </w:r>
      <w:r w:rsidRPr="002C4077">
        <w:t xml:space="preserve"> </w:t>
      </w:r>
      <w:r>
        <w:t>se</w:t>
      </w:r>
      <w:r w:rsidRPr="002C4077">
        <w:t xml:space="preserve"> </w:t>
      </w:r>
      <w:r>
        <w:t>dresse</w:t>
      </w:r>
      <w:r w:rsidRPr="002C4077">
        <w:t xml:space="preserve"> </w:t>
      </w:r>
      <w:r>
        <w:t>fièrement</w:t>
      </w:r>
      <w:r w:rsidRPr="002C4077">
        <w:t xml:space="preserve"> </w:t>
      </w:r>
      <w:r>
        <w:t>dans</w:t>
      </w:r>
      <w:r w:rsidRPr="002C4077">
        <w:t xml:space="preserve"> </w:t>
      </w:r>
      <w:r>
        <w:t>le</w:t>
      </w:r>
      <w:r w:rsidRPr="002C4077">
        <w:t xml:space="preserve"> </w:t>
      </w:r>
      <w:r>
        <w:t>jardin</w:t>
      </w:r>
      <w:r w:rsidRPr="002C4077">
        <w:t xml:space="preserve"> </w:t>
      </w:r>
      <w:r>
        <w:t>des</w:t>
      </w:r>
      <w:r w:rsidRPr="002C4077">
        <w:t xml:space="preserve"> </w:t>
      </w:r>
      <w:r>
        <w:t>Pères</w:t>
      </w:r>
      <w:r w:rsidRPr="002C4077">
        <w:t xml:space="preserve"> </w:t>
      </w:r>
      <w:r>
        <w:t>Franciscains</w:t>
      </w:r>
      <w:r w:rsidR="00B546AF">
        <w:t> :</w:t>
      </w:r>
      <w:r w:rsidRPr="002C4077">
        <w:t xml:space="preserve"> </w:t>
      </w:r>
      <w:r>
        <w:t>c’est</w:t>
      </w:r>
      <w:r w:rsidRPr="002C4077">
        <w:t xml:space="preserve"> </w:t>
      </w:r>
      <w:r>
        <w:t>le</w:t>
      </w:r>
      <w:r w:rsidRPr="002C4077">
        <w:t xml:space="preserve"> </w:t>
      </w:r>
      <w:r>
        <w:t>seul</w:t>
      </w:r>
      <w:r w:rsidRPr="002C4077">
        <w:t xml:space="preserve"> </w:t>
      </w:r>
      <w:r>
        <w:t>qu’on</w:t>
      </w:r>
      <w:r w:rsidRPr="002C4077">
        <w:t xml:space="preserve"> </w:t>
      </w:r>
      <w:r>
        <w:t>trouve</w:t>
      </w:r>
      <w:r w:rsidRPr="002C4077">
        <w:t xml:space="preserve"> </w:t>
      </w:r>
      <w:r>
        <w:t>actuellement</w:t>
      </w:r>
      <w:r w:rsidRPr="002C4077">
        <w:t xml:space="preserve"> </w:t>
      </w:r>
      <w:r>
        <w:t>à</w:t>
      </w:r>
      <w:r w:rsidRPr="002C4077">
        <w:t xml:space="preserve"> </w:t>
      </w:r>
      <w:r>
        <w:t>Nazareth.</w:t>
      </w:r>
      <w:r w:rsidRPr="002C4077">
        <w:t xml:space="preserve"> </w:t>
      </w:r>
      <w:r>
        <w:t>Non</w:t>
      </w:r>
      <w:r w:rsidRPr="002C4077">
        <w:t xml:space="preserve"> </w:t>
      </w:r>
      <w:r>
        <w:t>loin</w:t>
      </w:r>
      <w:r w:rsidRPr="002C4077">
        <w:t xml:space="preserve"> </w:t>
      </w:r>
      <w:r>
        <w:t>de</w:t>
      </w:r>
      <w:r w:rsidRPr="002C4077">
        <w:t xml:space="preserve"> </w:t>
      </w:r>
      <w:r>
        <w:t>nous,</w:t>
      </w:r>
      <w:r w:rsidRPr="002C4077">
        <w:t xml:space="preserve"> </w:t>
      </w:r>
      <w:r>
        <w:t>voici</w:t>
      </w:r>
      <w:r w:rsidRPr="002C4077">
        <w:t xml:space="preserve"> </w:t>
      </w:r>
      <w:r>
        <w:t>le</w:t>
      </w:r>
      <w:r w:rsidRPr="002C4077">
        <w:t xml:space="preserve"> </w:t>
      </w:r>
      <w:r>
        <w:t>cimetière.</w:t>
      </w:r>
      <w:r w:rsidRPr="002C4077">
        <w:t xml:space="preserve"> </w:t>
      </w:r>
      <w:r>
        <w:t>S’il</w:t>
      </w:r>
      <w:r w:rsidRPr="002C4077">
        <w:t xml:space="preserve"> </w:t>
      </w:r>
      <w:r>
        <w:t>y</w:t>
      </w:r>
      <w:r w:rsidRPr="002C4077">
        <w:t xml:space="preserve"> </w:t>
      </w:r>
      <w:r>
        <w:t>avait</w:t>
      </w:r>
      <w:r w:rsidRPr="002C4077">
        <w:t xml:space="preserve"> </w:t>
      </w:r>
      <w:r>
        <w:t>aujourd’hui</w:t>
      </w:r>
      <w:r w:rsidRPr="002C4077">
        <w:t xml:space="preserve"> </w:t>
      </w:r>
      <w:r>
        <w:t>un</w:t>
      </w:r>
      <w:r w:rsidRPr="002C4077">
        <w:t xml:space="preserve"> </w:t>
      </w:r>
      <w:r>
        <w:t>convoi</w:t>
      </w:r>
      <w:r w:rsidRPr="002C4077">
        <w:t xml:space="preserve"> </w:t>
      </w:r>
      <w:r>
        <w:t>funèbre,</w:t>
      </w:r>
      <w:r w:rsidRPr="002C4077">
        <w:t xml:space="preserve"> </w:t>
      </w:r>
      <w:r>
        <w:t>nous</w:t>
      </w:r>
      <w:r w:rsidRPr="002C4077">
        <w:t xml:space="preserve"> </w:t>
      </w:r>
      <w:r>
        <w:t>pourrions</w:t>
      </w:r>
      <w:r w:rsidRPr="002C4077">
        <w:t xml:space="preserve"> </w:t>
      </w:r>
      <w:r>
        <w:t>assister</w:t>
      </w:r>
      <w:r w:rsidRPr="002C4077">
        <w:t xml:space="preserve"> </w:t>
      </w:r>
      <w:r>
        <w:t>à</w:t>
      </w:r>
      <w:r w:rsidRPr="002C4077">
        <w:t xml:space="preserve"> </w:t>
      </w:r>
      <w:r>
        <w:t>la</w:t>
      </w:r>
      <w:r w:rsidRPr="002C4077">
        <w:t xml:space="preserve"> </w:t>
      </w:r>
      <w:r>
        <w:t>célèbre</w:t>
      </w:r>
      <w:r w:rsidRPr="002C4077">
        <w:t xml:space="preserve"> </w:t>
      </w:r>
      <w:r w:rsidR="00B546AF">
        <w:t>« </w:t>
      </w:r>
      <w:r>
        <w:t>Danse</w:t>
      </w:r>
      <w:r w:rsidRPr="002C4077">
        <w:t xml:space="preserve"> </w:t>
      </w:r>
      <w:r>
        <w:t>des</w:t>
      </w:r>
      <w:r w:rsidRPr="002C4077">
        <w:t xml:space="preserve"> </w:t>
      </w:r>
      <w:r>
        <w:t>morts</w:t>
      </w:r>
      <w:bookmarkStart w:id="552" w:name="z_DanseDesMorts_o1"/>
      <w:bookmarkEnd w:id="552"/>
      <w:r w:rsidR="00B546AF">
        <w:t> »</w:t>
      </w:r>
      <w:r>
        <w:t>,</w:t>
      </w:r>
      <w:r w:rsidRPr="002C4077">
        <w:t xml:space="preserve"> </w:t>
      </w:r>
      <w:r>
        <w:t>dont</w:t>
      </w:r>
      <w:r w:rsidRPr="002C4077">
        <w:t xml:space="preserve"> </w:t>
      </w:r>
      <w:r>
        <w:t>tant</w:t>
      </w:r>
      <w:r w:rsidRPr="002C4077">
        <w:t xml:space="preserve"> </w:t>
      </w:r>
      <w:r>
        <w:t>de</w:t>
      </w:r>
      <w:r w:rsidRPr="002C4077">
        <w:t xml:space="preserve"> </w:t>
      </w:r>
      <w:r>
        <w:t>voyageurs</w:t>
      </w:r>
      <w:r w:rsidRPr="002C4077">
        <w:t xml:space="preserve"> </w:t>
      </w:r>
      <w:r>
        <w:t>ont</w:t>
      </w:r>
      <w:r w:rsidRPr="002C4077">
        <w:t xml:space="preserve"> </w:t>
      </w:r>
      <w:r>
        <w:t>été</w:t>
      </w:r>
      <w:r w:rsidRPr="002C4077">
        <w:t xml:space="preserve"> </w:t>
      </w:r>
      <w:r>
        <w:t>témoins</w:t>
      </w:r>
      <w:r w:rsidR="00B91AF7">
        <w:rPr>
          <w:rStyle w:val="Appelnotedebasdep"/>
        </w:rPr>
        <w:footnoteReference w:id="738"/>
      </w:r>
      <w:r>
        <w:t>.</w:t>
      </w:r>
      <w:r w:rsidR="00C45B47">
        <w:t xml:space="preserve"> {</w:t>
      </w:r>
      <w:r w:rsidR="001F5257">
        <w:t>228</w:t>
      </w:r>
      <w:bookmarkStart w:id="553" w:name="p228"/>
      <w:bookmarkEnd w:id="553"/>
      <w:r w:rsidR="001F5257">
        <w:t xml:space="preserve">} </w:t>
      </w:r>
      <w:r>
        <w:t>Rien</w:t>
      </w:r>
      <w:r w:rsidRPr="002C4077">
        <w:t xml:space="preserve"> </w:t>
      </w:r>
      <w:r>
        <w:t>de</w:t>
      </w:r>
      <w:r w:rsidRPr="002C4077">
        <w:t xml:space="preserve"> </w:t>
      </w:r>
      <w:r>
        <w:t>plus</w:t>
      </w:r>
      <w:r w:rsidRPr="002C4077">
        <w:t xml:space="preserve"> </w:t>
      </w:r>
      <w:r>
        <w:t>étrange</w:t>
      </w:r>
      <w:r w:rsidRPr="002C4077">
        <w:t xml:space="preserve"> </w:t>
      </w:r>
      <w:r>
        <w:t>que</w:t>
      </w:r>
      <w:r w:rsidRPr="002C4077">
        <w:t xml:space="preserve"> </w:t>
      </w:r>
      <w:r w:rsidR="006F72A8">
        <w:t>cette</w:t>
      </w:r>
      <w:r w:rsidRPr="002C4077">
        <w:t xml:space="preserve"> </w:t>
      </w:r>
      <w:r>
        <w:t>cérémonie,</w:t>
      </w:r>
      <w:r w:rsidRPr="002C4077">
        <w:t xml:space="preserve"> </w:t>
      </w:r>
      <w:r>
        <w:t>qui</w:t>
      </w:r>
      <w:r w:rsidRPr="002C4077">
        <w:t xml:space="preserve"> </w:t>
      </w:r>
      <w:r>
        <w:t>se</w:t>
      </w:r>
      <w:r w:rsidRPr="002C4077">
        <w:t xml:space="preserve"> </w:t>
      </w:r>
      <w:r>
        <w:t>pratique</w:t>
      </w:r>
      <w:r w:rsidRPr="002C4077">
        <w:t xml:space="preserve"> </w:t>
      </w:r>
      <w:r>
        <w:t>à</w:t>
      </w:r>
      <w:r w:rsidRPr="002C4077">
        <w:t xml:space="preserve"> </w:t>
      </w:r>
      <w:r>
        <w:t>Nazareth</w:t>
      </w:r>
      <w:r w:rsidRPr="002C4077">
        <w:t xml:space="preserve"> </w:t>
      </w:r>
      <w:r>
        <w:t>comme</w:t>
      </w:r>
      <w:r w:rsidRPr="002C4077">
        <w:t xml:space="preserve"> </w:t>
      </w:r>
      <w:r>
        <w:t>dans</w:t>
      </w:r>
      <w:r w:rsidRPr="002C4077">
        <w:t xml:space="preserve"> </w:t>
      </w:r>
      <w:r>
        <w:t>la</w:t>
      </w:r>
      <w:r w:rsidRPr="002C4077">
        <w:t xml:space="preserve"> </w:t>
      </w:r>
      <w:r>
        <w:t>plus</w:t>
      </w:r>
      <w:r w:rsidRPr="002C4077">
        <w:t xml:space="preserve"> </w:t>
      </w:r>
      <w:r>
        <w:t>grande</w:t>
      </w:r>
      <w:r w:rsidRPr="002C4077">
        <w:t xml:space="preserve"> </w:t>
      </w:r>
      <w:r>
        <w:t>partie</w:t>
      </w:r>
      <w:r w:rsidRPr="002C4077">
        <w:t xml:space="preserve"> </w:t>
      </w:r>
      <w:r>
        <w:t>de</w:t>
      </w:r>
      <w:r w:rsidRPr="002C4077">
        <w:t xml:space="preserve"> </w:t>
      </w:r>
      <w:r>
        <w:t>la</w:t>
      </w:r>
      <w:r w:rsidRPr="002C4077">
        <w:t xml:space="preserve"> </w:t>
      </w:r>
      <w:r>
        <w:t>Palestine,</w:t>
      </w:r>
      <w:r w:rsidRPr="002C4077">
        <w:t xml:space="preserve"> </w:t>
      </w:r>
      <w:r>
        <w:t>depuis</w:t>
      </w:r>
      <w:r w:rsidRPr="002C4077">
        <w:t xml:space="preserve"> </w:t>
      </w:r>
      <w:r>
        <w:t>des</w:t>
      </w:r>
      <w:r w:rsidRPr="002C4077">
        <w:t xml:space="preserve"> </w:t>
      </w:r>
      <w:r>
        <w:t>milliers</w:t>
      </w:r>
      <w:r w:rsidRPr="002C4077">
        <w:t xml:space="preserve"> </w:t>
      </w:r>
      <w:r>
        <w:t>d’années</w:t>
      </w:r>
      <w:r w:rsidRPr="002C4077">
        <w:t xml:space="preserve"> </w:t>
      </w:r>
      <w:r>
        <w:t>sans</w:t>
      </w:r>
      <w:r w:rsidRPr="002C4077">
        <w:t xml:space="preserve"> </w:t>
      </w:r>
      <w:r>
        <w:t>doute.</w:t>
      </w:r>
      <w:r w:rsidRPr="002C4077">
        <w:t xml:space="preserve"> </w:t>
      </w:r>
      <w:r>
        <w:t>Elle</w:t>
      </w:r>
      <w:r w:rsidRPr="002C4077">
        <w:t xml:space="preserve"> </w:t>
      </w:r>
      <w:r>
        <w:t>a</w:t>
      </w:r>
      <w:r w:rsidRPr="002C4077">
        <w:t xml:space="preserve"> </w:t>
      </w:r>
      <w:r>
        <w:t>lieu</w:t>
      </w:r>
      <w:r w:rsidRPr="002C4077">
        <w:t xml:space="preserve"> </w:t>
      </w:r>
      <w:r>
        <w:t>aux</w:t>
      </w:r>
      <w:r w:rsidRPr="002C4077">
        <w:t xml:space="preserve"> </w:t>
      </w:r>
      <w:r>
        <w:t>funérailles</w:t>
      </w:r>
      <w:r w:rsidRPr="002C4077">
        <w:t xml:space="preserve"> </w:t>
      </w:r>
      <w:r>
        <w:t>catholiques</w:t>
      </w:r>
      <w:r w:rsidRPr="002C4077">
        <w:t xml:space="preserve"> </w:t>
      </w:r>
      <w:r>
        <w:t>tout</w:t>
      </w:r>
      <w:r w:rsidRPr="002C4077">
        <w:t xml:space="preserve"> </w:t>
      </w:r>
      <w:r>
        <w:t>aussi</w:t>
      </w:r>
      <w:r w:rsidRPr="002C4077">
        <w:t xml:space="preserve"> </w:t>
      </w:r>
      <w:r>
        <w:t>bien</w:t>
      </w:r>
      <w:r w:rsidRPr="002C4077">
        <w:t xml:space="preserve"> </w:t>
      </w:r>
      <w:r>
        <w:t>qu’aux</w:t>
      </w:r>
      <w:r w:rsidRPr="002C4077">
        <w:t xml:space="preserve"> </w:t>
      </w:r>
      <w:r>
        <w:t>enterrements</w:t>
      </w:r>
      <w:r w:rsidRPr="002C4077">
        <w:t xml:space="preserve"> </w:t>
      </w:r>
      <w:r>
        <w:t>des</w:t>
      </w:r>
      <w:r w:rsidRPr="002C4077">
        <w:t xml:space="preserve"> </w:t>
      </w:r>
      <w:r w:rsidR="006F72A8">
        <w:t>schismatiques</w:t>
      </w:r>
      <w:r w:rsidRPr="002C4077">
        <w:t xml:space="preserve"> </w:t>
      </w:r>
      <w:r>
        <w:t>et</w:t>
      </w:r>
      <w:r w:rsidRPr="002C4077">
        <w:t xml:space="preserve"> </w:t>
      </w:r>
      <w:r>
        <w:t>des</w:t>
      </w:r>
      <w:r w:rsidRPr="002C4077">
        <w:t xml:space="preserve"> </w:t>
      </w:r>
      <w:r>
        <w:t>mahométans.</w:t>
      </w:r>
      <w:r w:rsidRPr="002C4077">
        <w:t xml:space="preserve"> </w:t>
      </w:r>
      <w:r>
        <w:t>Les</w:t>
      </w:r>
      <w:r w:rsidRPr="002C4077">
        <w:t xml:space="preserve"> </w:t>
      </w:r>
      <w:r>
        <w:t>femmes</w:t>
      </w:r>
      <w:r w:rsidRPr="002C4077">
        <w:t xml:space="preserve"> </w:t>
      </w:r>
      <w:r>
        <w:t>seules</w:t>
      </w:r>
      <w:r w:rsidRPr="002C4077">
        <w:t xml:space="preserve"> </w:t>
      </w:r>
      <w:r>
        <w:t>y</w:t>
      </w:r>
      <w:r w:rsidRPr="002C4077">
        <w:t xml:space="preserve"> </w:t>
      </w:r>
      <w:r>
        <w:t>prennent</w:t>
      </w:r>
      <w:r w:rsidRPr="002C4077">
        <w:t xml:space="preserve"> </w:t>
      </w:r>
      <w:r>
        <w:t>part.</w:t>
      </w:r>
      <w:r w:rsidRPr="002C4077">
        <w:t xml:space="preserve"> </w:t>
      </w:r>
      <w:r>
        <w:t>Elle</w:t>
      </w:r>
      <w:r w:rsidRPr="002C4077">
        <w:t xml:space="preserve"> </w:t>
      </w:r>
      <w:r>
        <w:t>consiste</w:t>
      </w:r>
      <w:r w:rsidRPr="002C4077">
        <w:t xml:space="preserve"> </w:t>
      </w:r>
      <w:r>
        <w:t>en</w:t>
      </w:r>
      <w:r w:rsidRPr="002C4077">
        <w:t xml:space="preserve"> </w:t>
      </w:r>
      <w:r>
        <w:t>une</w:t>
      </w:r>
      <w:r w:rsidRPr="002C4077">
        <w:t xml:space="preserve"> </w:t>
      </w:r>
      <w:r>
        <w:t>sorte</w:t>
      </w:r>
      <w:r w:rsidRPr="002C4077">
        <w:t xml:space="preserve"> </w:t>
      </w:r>
      <w:r>
        <w:t>de</w:t>
      </w:r>
      <w:r w:rsidRPr="002C4077">
        <w:t xml:space="preserve"> </w:t>
      </w:r>
      <w:r>
        <w:t>valse</w:t>
      </w:r>
      <w:r w:rsidRPr="002C4077">
        <w:t xml:space="preserve"> </w:t>
      </w:r>
      <w:r>
        <w:t>ou</w:t>
      </w:r>
      <w:r w:rsidRPr="002C4077">
        <w:t xml:space="preserve"> </w:t>
      </w:r>
      <w:r>
        <w:t>de</w:t>
      </w:r>
      <w:r w:rsidRPr="002C4077">
        <w:t xml:space="preserve"> </w:t>
      </w:r>
      <w:r>
        <w:t>ronde</w:t>
      </w:r>
      <w:r w:rsidRPr="002C4077">
        <w:t xml:space="preserve"> </w:t>
      </w:r>
      <w:r>
        <w:t>rapide,</w:t>
      </w:r>
      <w:r w:rsidRPr="002C4077">
        <w:t xml:space="preserve"> </w:t>
      </w:r>
      <w:r>
        <w:t>accompagnée</w:t>
      </w:r>
      <w:r w:rsidRPr="002C4077">
        <w:t xml:space="preserve"> </w:t>
      </w:r>
      <w:r>
        <w:t>de</w:t>
      </w:r>
      <w:r w:rsidRPr="002C4077">
        <w:t xml:space="preserve"> </w:t>
      </w:r>
      <w:r>
        <w:t>cris</w:t>
      </w:r>
      <w:r w:rsidRPr="002C4077">
        <w:t xml:space="preserve"> </w:t>
      </w:r>
      <w:r>
        <w:t>plaintifs</w:t>
      </w:r>
      <w:r w:rsidRPr="002C4077">
        <w:t xml:space="preserve"> </w:t>
      </w:r>
      <w:r>
        <w:t>et</w:t>
      </w:r>
      <w:r w:rsidRPr="002C4077">
        <w:t xml:space="preserve"> </w:t>
      </w:r>
      <w:r>
        <w:t>monotones.</w:t>
      </w:r>
      <w:r w:rsidRPr="002C4077">
        <w:t xml:space="preserve"> </w:t>
      </w:r>
      <w:r>
        <w:t>Les</w:t>
      </w:r>
      <w:r w:rsidRPr="002C4077">
        <w:t xml:space="preserve"> </w:t>
      </w:r>
      <w:r>
        <w:t>danseuses</w:t>
      </w:r>
      <w:r w:rsidRPr="002C4077">
        <w:t xml:space="preserve"> </w:t>
      </w:r>
      <w:r>
        <w:t>se</w:t>
      </w:r>
      <w:r w:rsidRPr="002C4077">
        <w:t xml:space="preserve"> </w:t>
      </w:r>
      <w:r>
        <w:t>frappent</w:t>
      </w:r>
      <w:r w:rsidRPr="002C4077">
        <w:t xml:space="preserve"> </w:t>
      </w:r>
      <w:r>
        <w:t>le</w:t>
      </w:r>
      <w:r w:rsidRPr="002C4077">
        <w:t xml:space="preserve"> </w:t>
      </w:r>
      <w:r>
        <w:t>visage</w:t>
      </w:r>
      <w:r w:rsidRPr="002C4077">
        <w:t xml:space="preserve"> </w:t>
      </w:r>
      <w:r>
        <w:t>et</w:t>
      </w:r>
      <w:r w:rsidRPr="002C4077">
        <w:t xml:space="preserve"> </w:t>
      </w:r>
      <w:r>
        <w:t>la</w:t>
      </w:r>
      <w:r w:rsidRPr="002C4077">
        <w:t xml:space="preserve"> </w:t>
      </w:r>
      <w:r>
        <w:t>poitrine,</w:t>
      </w:r>
      <w:r w:rsidRPr="002C4077">
        <w:t xml:space="preserve"> </w:t>
      </w:r>
      <w:r>
        <w:t>s’arrachent</w:t>
      </w:r>
      <w:r w:rsidRPr="002C4077">
        <w:t xml:space="preserve"> </w:t>
      </w:r>
      <w:r>
        <w:t>les</w:t>
      </w:r>
      <w:r w:rsidRPr="002C4077">
        <w:t xml:space="preserve"> </w:t>
      </w:r>
      <w:r>
        <w:t>cheveux</w:t>
      </w:r>
      <w:r w:rsidRPr="002C4077">
        <w:t xml:space="preserve"> </w:t>
      </w:r>
      <w:r>
        <w:t>en</w:t>
      </w:r>
      <w:r w:rsidRPr="002C4077">
        <w:t xml:space="preserve"> </w:t>
      </w:r>
      <w:r>
        <w:t>signe</w:t>
      </w:r>
      <w:r w:rsidRPr="002C4077">
        <w:t xml:space="preserve"> </w:t>
      </w:r>
      <w:r>
        <w:t>de</w:t>
      </w:r>
      <w:r w:rsidRPr="002C4077">
        <w:t xml:space="preserve"> </w:t>
      </w:r>
      <w:r>
        <w:t>désespoir.</w:t>
      </w:r>
      <w:r w:rsidRPr="002C4077">
        <w:t xml:space="preserve"> </w:t>
      </w:r>
      <w:r>
        <w:t>Quelles</w:t>
      </w:r>
      <w:r w:rsidRPr="002C4077">
        <w:t xml:space="preserve"> </w:t>
      </w:r>
      <w:r>
        <w:t>singulières</w:t>
      </w:r>
      <w:r w:rsidRPr="002C4077">
        <w:t xml:space="preserve"> </w:t>
      </w:r>
      <w:r>
        <w:t>coutumes</w:t>
      </w:r>
      <w:r w:rsidR="00B546AF">
        <w:t> !</w:t>
      </w:r>
      <w:r w:rsidRPr="002C4077">
        <w:t xml:space="preserve"> </w:t>
      </w:r>
      <w:r>
        <w:t>Qui</w:t>
      </w:r>
      <w:r w:rsidRPr="002C4077">
        <w:t xml:space="preserve"> </w:t>
      </w:r>
      <w:r>
        <w:t>songerait,</w:t>
      </w:r>
      <w:r w:rsidRPr="002C4077">
        <w:t xml:space="preserve"> </w:t>
      </w:r>
      <w:r>
        <w:t>dans</w:t>
      </w:r>
      <w:r w:rsidRPr="002C4077">
        <w:t xml:space="preserve"> </w:t>
      </w:r>
      <w:r>
        <w:t>notre</w:t>
      </w:r>
      <w:r w:rsidRPr="002C4077">
        <w:t xml:space="preserve"> </w:t>
      </w:r>
      <w:r>
        <w:t>Occident,</w:t>
      </w:r>
      <w:r w:rsidRPr="002C4077">
        <w:t xml:space="preserve"> </w:t>
      </w:r>
      <w:r>
        <w:t>à</w:t>
      </w:r>
      <w:r w:rsidRPr="002C4077">
        <w:t xml:space="preserve"> </w:t>
      </w:r>
      <w:r>
        <w:t>exprimer</w:t>
      </w:r>
      <w:r w:rsidRPr="002C4077">
        <w:t xml:space="preserve"> </w:t>
      </w:r>
      <w:r>
        <w:t>la</w:t>
      </w:r>
      <w:r w:rsidRPr="002C4077">
        <w:t xml:space="preserve"> </w:t>
      </w:r>
      <w:r>
        <w:t>douleur</w:t>
      </w:r>
      <w:r w:rsidRPr="002C4077">
        <w:t xml:space="preserve"> </w:t>
      </w:r>
      <w:r>
        <w:t>par</w:t>
      </w:r>
      <w:r w:rsidRPr="002C4077">
        <w:t xml:space="preserve"> </w:t>
      </w:r>
      <w:r>
        <w:t>la</w:t>
      </w:r>
      <w:r w:rsidRPr="002C4077">
        <w:t xml:space="preserve"> </w:t>
      </w:r>
      <w:r>
        <w:t>danse</w:t>
      </w:r>
      <w:r w:rsidR="00B546AF">
        <w:t> ?</w:t>
      </w:r>
      <w:r w:rsidRPr="002C4077">
        <w:t xml:space="preserve"> </w:t>
      </w:r>
    </w:p>
    <w:p w:rsidR="006E11E9" w:rsidRDefault="006E11E9" w:rsidP="000A7AAB"/>
    <w:p w:rsidR="000A7AAB" w:rsidRDefault="000A7AAB" w:rsidP="000A7AAB">
      <w:r>
        <w:lastRenderedPageBreak/>
        <w:t>Je</w:t>
      </w:r>
      <w:r w:rsidRPr="002C4077">
        <w:t xml:space="preserve"> </w:t>
      </w:r>
      <w:r>
        <w:t>ne</w:t>
      </w:r>
      <w:r w:rsidRPr="002C4077">
        <w:t xml:space="preserve"> </w:t>
      </w:r>
      <w:r>
        <w:t>vous</w:t>
      </w:r>
      <w:r w:rsidRPr="002C4077">
        <w:t xml:space="preserve"> </w:t>
      </w:r>
      <w:r>
        <w:t>ai</w:t>
      </w:r>
      <w:r w:rsidRPr="002C4077">
        <w:t xml:space="preserve"> </w:t>
      </w:r>
      <w:r>
        <w:t>guère</w:t>
      </w:r>
      <w:r w:rsidRPr="002C4077">
        <w:t xml:space="preserve"> </w:t>
      </w:r>
      <w:r>
        <w:t>parlé</w:t>
      </w:r>
      <w:r w:rsidRPr="002C4077">
        <w:t xml:space="preserve"> </w:t>
      </w:r>
      <w:r>
        <w:t>jusqu’ici</w:t>
      </w:r>
      <w:r w:rsidRPr="002C4077">
        <w:t xml:space="preserve"> </w:t>
      </w:r>
      <w:r>
        <w:t>que</w:t>
      </w:r>
      <w:r w:rsidRPr="002C4077">
        <w:t xml:space="preserve"> </w:t>
      </w:r>
      <w:r>
        <w:t>de</w:t>
      </w:r>
      <w:r w:rsidRPr="002C4077">
        <w:t xml:space="preserve"> </w:t>
      </w:r>
      <w:r>
        <w:t>la</w:t>
      </w:r>
      <w:r w:rsidRPr="002C4077">
        <w:t xml:space="preserve"> </w:t>
      </w:r>
      <w:r>
        <w:t>ville</w:t>
      </w:r>
      <w:r w:rsidRPr="002C4077">
        <w:t xml:space="preserve"> </w:t>
      </w:r>
      <w:r>
        <w:t>moderne,</w:t>
      </w:r>
      <w:r w:rsidRPr="002C4077">
        <w:t xml:space="preserve"> </w:t>
      </w:r>
      <w:r>
        <w:t>et</w:t>
      </w:r>
      <w:r w:rsidRPr="002C4077">
        <w:t xml:space="preserve"> </w:t>
      </w:r>
      <w:r>
        <w:t>point</w:t>
      </w:r>
      <w:r w:rsidRPr="002C4077">
        <w:t xml:space="preserve"> </w:t>
      </w:r>
      <w:r>
        <w:t>de</w:t>
      </w:r>
      <w:r w:rsidRPr="002C4077">
        <w:t xml:space="preserve"> </w:t>
      </w:r>
      <w:r>
        <w:t>l’antique</w:t>
      </w:r>
      <w:r w:rsidRPr="002C4077">
        <w:t xml:space="preserve"> </w:t>
      </w:r>
      <w:r>
        <w:t>Nazareth,</w:t>
      </w:r>
      <w:r w:rsidRPr="002C4077">
        <w:t xml:space="preserve"> </w:t>
      </w:r>
      <w:r>
        <w:t>telle</w:t>
      </w:r>
      <w:r w:rsidRPr="002C4077">
        <w:t xml:space="preserve"> </w:t>
      </w:r>
      <w:r>
        <w:t>qu’elle</w:t>
      </w:r>
      <w:r w:rsidRPr="002C4077">
        <w:t xml:space="preserve"> </w:t>
      </w:r>
      <w:r>
        <w:t>était</w:t>
      </w:r>
      <w:r w:rsidRPr="002C4077">
        <w:t xml:space="preserve"> </w:t>
      </w:r>
      <w:r>
        <w:t>à</w:t>
      </w:r>
      <w:r w:rsidRPr="002C4077">
        <w:t xml:space="preserve"> </w:t>
      </w:r>
      <w:r>
        <w:t>l’époque</w:t>
      </w:r>
      <w:r w:rsidRPr="002C4077">
        <w:t xml:space="preserve"> </w:t>
      </w:r>
      <w:r>
        <w:t>de</w:t>
      </w:r>
      <w:r w:rsidRPr="002C4077">
        <w:t xml:space="preserve"> </w:t>
      </w:r>
      <w:r>
        <w:t>N.</w:t>
      </w:r>
      <w:r w:rsidRPr="002C4077">
        <w:t xml:space="preserve"> </w:t>
      </w:r>
      <w:r>
        <w:t>S.</w:t>
      </w:r>
      <w:r w:rsidRPr="002C4077">
        <w:t xml:space="preserve"> </w:t>
      </w:r>
      <w:r w:rsidR="00425C50">
        <w:t>Jésus</w:t>
      </w:r>
      <w:r>
        <w:t>-</w:t>
      </w:r>
      <w:r w:rsidR="00425C50">
        <w:t>Christ</w:t>
      </w:r>
      <w:r>
        <w:t>.</w:t>
      </w:r>
      <w:r w:rsidRPr="002C4077">
        <w:t xml:space="preserve"> </w:t>
      </w:r>
      <w:r>
        <w:t>Que</w:t>
      </w:r>
      <w:r w:rsidRPr="002C4077">
        <w:t xml:space="preserve"> </w:t>
      </w:r>
      <w:r>
        <w:t>vous</w:t>
      </w:r>
      <w:r w:rsidRPr="002C4077">
        <w:t xml:space="preserve"> </w:t>
      </w:r>
      <w:r>
        <w:t>dirai-je</w:t>
      </w:r>
      <w:r w:rsidRPr="002C4077">
        <w:t xml:space="preserve"> </w:t>
      </w:r>
      <w:r>
        <w:t>de</w:t>
      </w:r>
      <w:r w:rsidRPr="002C4077">
        <w:t xml:space="preserve"> </w:t>
      </w:r>
      <w:r>
        <w:t>celle-ci</w:t>
      </w:r>
      <w:r w:rsidR="00B546AF">
        <w:t> ?</w:t>
      </w:r>
      <w:r w:rsidRPr="002C4077">
        <w:t xml:space="preserve"> </w:t>
      </w:r>
      <w:r>
        <w:t>Elle</w:t>
      </w:r>
      <w:r w:rsidRPr="002C4077">
        <w:t xml:space="preserve"> </w:t>
      </w:r>
      <w:r>
        <w:t>s’élevait,</w:t>
      </w:r>
      <w:r w:rsidRPr="002C4077">
        <w:t xml:space="preserve"> </w:t>
      </w:r>
      <w:r>
        <w:t>cela</w:t>
      </w:r>
      <w:r w:rsidRPr="002C4077">
        <w:t xml:space="preserve"> </w:t>
      </w:r>
      <w:r>
        <w:t>n’est</w:t>
      </w:r>
      <w:r w:rsidRPr="002C4077">
        <w:t xml:space="preserve"> </w:t>
      </w:r>
      <w:r>
        <w:t>pas</w:t>
      </w:r>
      <w:r w:rsidRPr="002C4077">
        <w:t xml:space="preserve"> </w:t>
      </w:r>
      <w:r>
        <w:t>douteux,</w:t>
      </w:r>
      <w:r w:rsidRPr="002C4077">
        <w:t xml:space="preserve"> </w:t>
      </w:r>
      <w:r>
        <w:t>sur</w:t>
      </w:r>
      <w:r w:rsidRPr="002C4077">
        <w:t xml:space="preserve"> </w:t>
      </w:r>
      <w:r>
        <w:t>l’emplacement</w:t>
      </w:r>
      <w:r w:rsidRPr="002C4077">
        <w:t xml:space="preserve"> </w:t>
      </w:r>
      <w:r>
        <w:t>de</w:t>
      </w:r>
      <w:r w:rsidRPr="002C4077">
        <w:t xml:space="preserve"> </w:t>
      </w:r>
      <w:r>
        <w:t>la</w:t>
      </w:r>
      <w:r w:rsidRPr="002C4077">
        <w:t xml:space="preserve"> </w:t>
      </w:r>
      <w:r>
        <w:t>cité</w:t>
      </w:r>
      <w:r w:rsidRPr="002C4077">
        <w:t xml:space="preserve"> </w:t>
      </w:r>
      <w:r>
        <w:t>actuelle</w:t>
      </w:r>
      <w:r w:rsidR="00B91AF7">
        <w:rPr>
          <w:rStyle w:val="Appelnotedebasdep"/>
        </w:rPr>
        <w:footnoteReference w:id="739"/>
      </w:r>
      <w:r>
        <w:t>.</w:t>
      </w:r>
      <w:r w:rsidRPr="002C4077">
        <w:t xml:space="preserve"> </w:t>
      </w:r>
      <w:r>
        <w:t>Après</w:t>
      </w:r>
      <w:r w:rsidRPr="002C4077">
        <w:t xml:space="preserve"> </w:t>
      </w:r>
      <w:r>
        <w:t>avoir</w:t>
      </w:r>
      <w:r w:rsidRPr="002C4077">
        <w:t xml:space="preserve"> </w:t>
      </w:r>
      <w:r>
        <w:t>appartenu</w:t>
      </w:r>
      <w:r w:rsidRPr="002C4077">
        <w:t xml:space="preserve"> </w:t>
      </w:r>
      <w:r>
        <w:t>autrefois</w:t>
      </w:r>
      <w:r w:rsidRPr="002C4077">
        <w:t xml:space="preserve"> </w:t>
      </w:r>
      <w:r>
        <w:t>au</w:t>
      </w:r>
      <w:r w:rsidRPr="002C4077">
        <w:t xml:space="preserve"> </w:t>
      </w:r>
      <w:r>
        <w:t>territoire</w:t>
      </w:r>
      <w:r w:rsidRPr="002C4077">
        <w:t xml:space="preserve"> </w:t>
      </w:r>
      <w:r>
        <w:t>de</w:t>
      </w:r>
      <w:r w:rsidRPr="002C4077">
        <w:t xml:space="preserve"> </w:t>
      </w:r>
      <w:r>
        <w:t>la</w:t>
      </w:r>
      <w:r w:rsidRPr="002C4077">
        <w:t xml:space="preserve"> </w:t>
      </w:r>
      <w:r>
        <w:t>tribu</w:t>
      </w:r>
      <w:r w:rsidRPr="002C4077">
        <w:t xml:space="preserve"> </w:t>
      </w:r>
      <w:r>
        <w:t>de</w:t>
      </w:r>
      <w:r w:rsidRPr="002C4077">
        <w:t xml:space="preserve"> </w:t>
      </w:r>
      <w:r>
        <w:t>Zabulon,</w:t>
      </w:r>
      <w:r w:rsidRPr="002C4077">
        <w:t xml:space="preserve"> </w:t>
      </w:r>
      <w:r>
        <w:t>elle</w:t>
      </w:r>
      <w:r w:rsidRPr="002C4077">
        <w:t xml:space="preserve"> </w:t>
      </w:r>
      <w:r>
        <w:t>dépendit</w:t>
      </w:r>
      <w:r w:rsidRPr="002C4077">
        <w:t xml:space="preserve"> </w:t>
      </w:r>
      <w:r>
        <w:t>ensuite</w:t>
      </w:r>
      <w:r w:rsidRPr="002C4077">
        <w:t xml:space="preserve"> </w:t>
      </w:r>
      <w:r>
        <w:t>de</w:t>
      </w:r>
      <w:r w:rsidRPr="002C4077">
        <w:t xml:space="preserve"> </w:t>
      </w:r>
      <w:r>
        <w:t>la</w:t>
      </w:r>
      <w:r w:rsidRPr="002C4077">
        <w:t xml:space="preserve"> </w:t>
      </w:r>
      <w:r>
        <w:t>province</w:t>
      </w:r>
      <w:r w:rsidRPr="002C4077">
        <w:t xml:space="preserve"> </w:t>
      </w:r>
      <w:r>
        <w:t>de</w:t>
      </w:r>
      <w:r w:rsidRPr="002C4077">
        <w:t xml:space="preserve"> </w:t>
      </w:r>
      <w:r>
        <w:t>Galilée.</w:t>
      </w:r>
      <w:r w:rsidRPr="002C4077">
        <w:t xml:space="preserve"> </w:t>
      </w:r>
    </w:p>
    <w:p w:rsidR="000A7AAB" w:rsidRDefault="00B546AF" w:rsidP="000A7AAB">
      <w:r>
        <w:t>« </w:t>
      </w:r>
      <w:r w:rsidR="000A7AAB">
        <w:t>À</w:t>
      </w:r>
      <w:r w:rsidR="000A7AAB" w:rsidRPr="002C4077">
        <w:t xml:space="preserve"> </w:t>
      </w:r>
      <w:r w:rsidR="000A7AAB">
        <w:t>part</w:t>
      </w:r>
      <w:r w:rsidR="000A7AAB" w:rsidRPr="002C4077">
        <w:t xml:space="preserve"> </w:t>
      </w:r>
      <w:r w:rsidR="000A7AAB">
        <w:t>quelque</w:t>
      </w:r>
      <w:r w:rsidR="000A7AAB" w:rsidRPr="002C4077">
        <w:t xml:space="preserve"> </w:t>
      </w:r>
      <w:r w:rsidR="000A7AAB">
        <w:t>chose</w:t>
      </w:r>
      <w:r w:rsidR="000A7AAB" w:rsidRPr="002C4077">
        <w:t xml:space="preserve"> </w:t>
      </w:r>
      <w:r w:rsidR="000A7AAB">
        <w:t>de</w:t>
      </w:r>
      <w:r w:rsidR="000A7AAB" w:rsidRPr="002C4077">
        <w:t xml:space="preserve"> </w:t>
      </w:r>
      <w:r w:rsidR="000A7AAB">
        <w:t>sordide,</w:t>
      </w:r>
      <w:r w:rsidR="000A7AAB" w:rsidRPr="002C4077">
        <w:t xml:space="preserve"> </w:t>
      </w:r>
      <w:r w:rsidR="000A7AAB">
        <w:t>écrit</w:t>
      </w:r>
      <w:r w:rsidR="000A7AAB" w:rsidRPr="002C4077">
        <w:t xml:space="preserve"> </w:t>
      </w:r>
      <w:r w:rsidR="000A7AAB">
        <w:t>un</w:t>
      </w:r>
      <w:r w:rsidR="000A7AAB" w:rsidRPr="002C4077">
        <w:t xml:space="preserve"> </w:t>
      </w:r>
      <w:r w:rsidR="000A7AAB">
        <w:t>auteur</w:t>
      </w:r>
      <w:r w:rsidR="000A7AAB" w:rsidRPr="002C4077">
        <w:t xml:space="preserve"> </w:t>
      </w:r>
      <w:r w:rsidR="000A7AAB">
        <w:t>qui</w:t>
      </w:r>
      <w:r w:rsidR="000A7AAB" w:rsidRPr="002C4077">
        <w:t xml:space="preserve"> </w:t>
      </w:r>
      <w:r w:rsidR="000A7AAB">
        <w:t>ne</w:t>
      </w:r>
      <w:r w:rsidR="000A7AAB" w:rsidRPr="002C4077">
        <w:t xml:space="preserve"> </w:t>
      </w:r>
      <w:r w:rsidR="000A7AAB">
        <w:t>manque</w:t>
      </w:r>
      <w:r w:rsidR="000A7AAB" w:rsidRPr="002C4077">
        <w:t xml:space="preserve"> </w:t>
      </w:r>
      <w:r w:rsidR="000A7AAB">
        <w:t>pas</w:t>
      </w:r>
      <w:r w:rsidR="000A7AAB" w:rsidRPr="002C4077">
        <w:t xml:space="preserve"> </w:t>
      </w:r>
      <w:r w:rsidR="000A7AAB">
        <w:t>d’autorité</w:t>
      </w:r>
      <w:r w:rsidR="000A7AAB" w:rsidRPr="002C4077">
        <w:t xml:space="preserve"> </w:t>
      </w:r>
      <w:r w:rsidR="000A7AAB">
        <w:t>sur</w:t>
      </w:r>
      <w:r w:rsidR="000A7AAB" w:rsidRPr="002C4077">
        <w:t xml:space="preserve"> </w:t>
      </w:r>
      <w:r w:rsidR="000A7AAB">
        <w:t>cette</w:t>
      </w:r>
      <w:r w:rsidR="000A7AAB" w:rsidRPr="002C4077">
        <w:t xml:space="preserve"> </w:t>
      </w:r>
      <w:r w:rsidR="000A7AAB">
        <w:t>sorte</w:t>
      </w:r>
      <w:r w:rsidR="000A7AAB" w:rsidRPr="002C4077">
        <w:t xml:space="preserve"> </w:t>
      </w:r>
      <w:r w:rsidR="000A7AAB">
        <w:t>de</w:t>
      </w:r>
      <w:r w:rsidR="000A7AAB" w:rsidRPr="002C4077">
        <w:t xml:space="preserve"> </w:t>
      </w:r>
      <w:r w:rsidR="000A7AAB">
        <w:t>questions,</w:t>
      </w:r>
      <w:r w:rsidR="000A7AAB" w:rsidRPr="002C4077">
        <w:t xml:space="preserve"> </w:t>
      </w:r>
      <w:r w:rsidR="000A7AAB">
        <w:t>quoique</w:t>
      </w:r>
      <w:r w:rsidR="000A7AAB" w:rsidRPr="002C4077">
        <w:t xml:space="preserve"> </w:t>
      </w:r>
      <w:r w:rsidR="000A7AAB">
        <w:t>nous</w:t>
      </w:r>
      <w:r w:rsidR="000A7AAB" w:rsidRPr="002C4077">
        <w:t xml:space="preserve"> </w:t>
      </w:r>
      <w:r w:rsidR="000A7AAB">
        <w:t>ne</w:t>
      </w:r>
      <w:r w:rsidR="000A7AAB" w:rsidRPr="002C4077">
        <w:t xml:space="preserve"> </w:t>
      </w:r>
      <w:r w:rsidR="000A7AAB">
        <w:t>le</w:t>
      </w:r>
      <w:r w:rsidR="000A7AAB" w:rsidRPr="002C4077">
        <w:t xml:space="preserve"> </w:t>
      </w:r>
      <w:r w:rsidR="000A7AAB">
        <w:t>citions</w:t>
      </w:r>
      <w:r w:rsidR="000A7AAB" w:rsidRPr="002C4077">
        <w:t xml:space="preserve"> </w:t>
      </w:r>
      <w:r w:rsidR="000A7AAB">
        <w:t>ici</w:t>
      </w:r>
      <w:r w:rsidR="000A7AAB" w:rsidRPr="002C4077">
        <w:t xml:space="preserve"> </w:t>
      </w:r>
      <w:r w:rsidR="000A7AAB">
        <w:t>qu’à</w:t>
      </w:r>
      <w:r w:rsidR="000A7AAB" w:rsidRPr="002C4077">
        <w:t xml:space="preserve"> </w:t>
      </w:r>
      <w:r w:rsidR="00242610">
        <w:t>regret</w:t>
      </w:r>
      <w:r w:rsidR="00242610">
        <w:rPr>
          <w:rStyle w:val="Appelnotedebasdep"/>
        </w:rPr>
        <w:footnoteReference w:id="740"/>
      </w:r>
      <w:r w:rsidR="000A7AAB">
        <w:t>,</w:t>
      </w:r>
      <w:r w:rsidR="000A7AAB" w:rsidRPr="002C4077">
        <w:t xml:space="preserve"> </w:t>
      </w:r>
      <w:r w:rsidR="000A7AAB">
        <w:t>à</w:t>
      </w:r>
      <w:r w:rsidR="000A7AAB" w:rsidRPr="002C4077">
        <w:t xml:space="preserve"> </w:t>
      </w:r>
      <w:r w:rsidR="000A7AAB">
        <w:t>part</w:t>
      </w:r>
      <w:r w:rsidR="000A7AAB" w:rsidRPr="002C4077">
        <w:t xml:space="preserve"> </w:t>
      </w:r>
      <w:r w:rsidR="000A7AAB">
        <w:t>quelque</w:t>
      </w:r>
      <w:r w:rsidR="000A7AAB" w:rsidRPr="002C4077">
        <w:t xml:space="preserve"> </w:t>
      </w:r>
      <w:r w:rsidR="000A7AAB">
        <w:t>chose</w:t>
      </w:r>
      <w:r w:rsidR="000A7AAB" w:rsidRPr="002C4077">
        <w:t xml:space="preserve"> </w:t>
      </w:r>
      <w:r w:rsidR="000A7AAB">
        <w:t>de</w:t>
      </w:r>
      <w:r w:rsidR="000A7AAB" w:rsidRPr="002C4077">
        <w:t xml:space="preserve"> </w:t>
      </w:r>
      <w:r w:rsidR="000A7AAB">
        <w:t>sordide</w:t>
      </w:r>
      <w:r w:rsidR="000A7AAB" w:rsidRPr="002C4077">
        <w:t xml:space="preserve"> </w:t>
      </w:r>
      <w:r w:rsidR="000A7AAB">
        <w:t>et</w:t>
      </w:r>
      <w:r w:rsidR="000A7AAB" w:rsidRPr="002C4077">
        <w:t xml:space="preserve"> </w:t>
      </w:r>
      <w:r w:rsidR="000A7AAB">
        <w:t>de</w:t>
      </w:r>
      <w:r w:rsidR="000A7AAB" w:rsidRPr="002C4077">
        <w:t xml:space="preserve"> </w:t>
      </w:r>
      <w:r w:rsidR="000A7AAB">
        <w:t>repoussant</w:t>
      </w:r>
      <w:r w:rsidR="000A7AAB" w:rsidRPr="002C4077">
        <w:t xml:space="preserve"> </w:t>
      </w:r>
      <w:r w:rsidR="000A7AAB">
        <w:t>que</w:t>
      </w:r>
      <w:r w:rsidR="000A7AAB" w:rsidRPr="002C4077">
        <w:t xml:space="preserve"> </w:t>
      </w:r>
      <w:r w:rsidR="000A7AAB">
        <w:t>l’islamisme</w:t>
      </w:r>
      <w:r w:rsidR="000A7AAB" w:rsidRPr="002C4077">
        <w:t xml:space="preserve"> </w:t>
      </w:r>
      <w:r w:rsidR="000A7AAB">
        <w:t>porte</w:t>
      </w:r>
      <w:r w:rsidR="000A7AAB" w:rsidRPr="002C4077">
        <w:t xml:space="preserve"> </w:t>
      </w:r>
      <w:r w:rsidR="000A7AAB">
        <w:t>partout</w:t>
      </w:r>
      <w:r w:rsidR="000A7AAB" w:rsidRPr="002C4077">
        <w:t xml:space="preserve"> </w:t>
      </w:r>
      <w:r w:rsidR="000A7AAB">
        <w:t>avec</w:t>
      </w:r>
      <w:r w:rsidR="000A7AAB" w:rsidRPr="002C4077">
        <w:t xml:space="preserve"> </w:t>
      </w:r>
      <w:r w:rsidR="000A7AAB">
        <w:t>lui,</w:t>
      </w:r>
      <w:r w:rsidR="000A7AAB" w:rsidRPr="002C4077">
        <w:t xml:space="preserve"> </w:t>
      </w:r>
      <w:r w:rsidR="000A7AAB">
        <w:t>la</w:t>
      </w:r>
      <w:r w:rsidR="000A7AAB" w:rsidRPr="002C4077">
        <w:t xml:space="preserve"> </w:t>
      </w:r>
      <w:r w:rsidR="000A7AAB">
        <w:t>ville</w:t>
      </w:r>
      <w:r w:rsidR="000A7AAB" w:rsidRPr="002C4077">
        <w:t xml:space="preserve"> </w:t>
      </w:r>
      <w:r w:rsidR="000A7AAB">
        <w:t>de</w:t>
      </w:r>
      <w:r w:rsidR="000A7AAB" w:rsidRPr="002C4077">
        <w:t xml:space="preserve"> </w:t>
      </w:r>
      <w:r w:rsidR="000A7AAB">
        <w:t>Nazareth,</w:t>
      </w:r>
      <w:r w:rsidR="000A7AAB" w:rsidRPr="002C4077">
        <w:t xml:space="preserve"> </w:t>
      </w:r>
      <w:r w:rsidR="000A7AAB">
        <w:t>au</w:t>
      </w:r>
      <w:r w:rsidR="000A7AAB" w:rsidRPr="002C4077">
        <w:t xml:space="preserve"> </w:t>
      </w:r>
      <w:r w:rsidR="000A7AAB">
        <w:t>temps</w:t>
      </w:r>
      <w:r w:rsidR="000A7AAB" w:rsidRPr="002C4077">
        <w:t xml:space="preserve"> </w:t>
      </w:r>
      <w:r w:rsidR="000A7AAB">
        <w:t>de</w:t>
      </w:r>
      <w:r w:rsidR="000A7AAB" w:rsidRPr="002C4077">
        <w:t xml:space="preserve"> </w:t>
      </w:r>
      <w:r w:rsidR="00425C50">
        <w:t>Jésus</w:t>
      </w:r>
      <w:r w:rsidR="000A7AAB">
        <w:t>,</w:t>
      </w:r>
      <w:r w:rsidR="000A7AAB" w:rsidRPr="002C4077">
        <w:t xml:space="preserve"> </w:t>
      </w:r>
      <w:r w:rsidR="000A7AAB">
        <w:t>ne</w:t>
      </w:r>
      <w:r w:rsidR="000A7AAB" w:rsidRPr="002C4077">
        <w:t xml:space="preserve"> </w:t>
      </w:r>
      <w:r w:rsidR="000A7AAB">
        <w:t>différait</w:t>
      </w:r>
      <w:r w:rsidR="000A7AAB" w:rsidRPr="002C4077">
        <w:t xml:space="preserve"> </w:t>
      </w:r>
      <w:r w:rsidR="000A7AAB">
        <w:t>peut-être</w:t>
      </w:r>
      <w:r w:rsidR="000A7AAB" w:rsidRPr="002C4077">
        <w:t xml:space="preserve"> </w:t>
      </w:r>
      <w:r w:rsidR="000A7AAB">
        <w:t>pas</w:t>
      </w:r>
      <w:r w:rsidR="000A7AAB" w:rsidRPr="002C4077">
        <w:t xml:space="preserve"> </w:t>
      </w:r>
      <w:r w:rsidR="000A7AAB">
        <w:t>beaucoup</w:t>
      </w:r>
      <w:r w:rsidR="000A7AAB" w:rsidRPr="002C4077">
        <w:t xml:space="preserve"> </w:t>
      </w:r>
      <w:r w:rsidR="000A7AAB">
        <w:t>de</w:t>
      </w:r>
      <w:r w:rsidR="000A7AAB" w:rsidRPr="002C4077">
        <w:t xml:space="preserve"> </w:t>
      </w:r>
      <w:r w:rsidR="000A7AAB">
        <w:t>ce</w:t>
      </w:r>
      <w:r w:rsidR="000A7AAB" w:rsidRPr="002C4077">
        <w:t xml:space="preserve"> </w:t>
      </w:r>
      <w:r w:rsidR="000A7AAB">
        <w:t>qu’elle</w:t>
      </w:r>
      <w:r w:rsidR="000A7AAB" w:rsidRPr="002C4077">
        <w:t xml:space="preserve"> </w:t>
      </w:r>
      <w:r w:rsidR="00425C50">
        <w:t>est</w:t>
      </w:r>
      <w:r w:rsidR="000A7AAB" w:rsidRPr="002C4077">
        <w:t xml:space="preserve"> </w:t>
      </w:r>
      <w:r w:rsidR="000A7AAB">
        <w:t>aujourd’hui.</w:t>
      </w:r>
      <w:r w:rsidR="000A7AAB" w:rsidRPr="002C4077">
        <w:t xml:space="preserve"> </w:t>
      </w:r>
      <w:r w:rsidR="000A7AAB">
        <w:t>Les</w:t>
      </w:r>
      <w:r w:rsidR="000A7AAB" w:rsidRPr="002C4077">
        <w:t xml:space="preserve"> </w:t>
      </w:r>
      <w:r w:rsidR="000A7AAB">
        <w:t>rues</w:t>
      </w:r>
      <w:r w:rsidR="000A7AAB" w:rsidRPr="002C4077">
        <w:t xml:space="preserve"> </w:t>
      </w:r>
      <w:r w:rsidR="000A7AAB">
        <w:t>où</w:t>
      </w:r>
      <w:r w:rsidR="000A7AAB" w:rsidRPr="002C4077">
        <w:t xml:space="preserve"> </w:t>
      </w:r>
      <w:r w:rsidR="000A7AAB">
        <w:t>il</w:t>
      </w:r>
      <w:r w:rsidR="000A7AAB" w:rsidRPr="002C4077">
        <w:t xml:space="preserve"> </w:t>
      </w:r>
      <w:r w:rsidR="000A7AAB">
        <w:t>joua</w:t>
      </w:r>
      <w:r w:rsidR="000A7AAB" w:rsidRPr="002C4077">
        <w:t xml:space="preserve"> </w:t>
      </w:r>
      <w:r w:rsidR="000A7AAB">
        <w:t>enfant,</w:t>
      </w:r>
      <w:r w:rsidR="000A7AAB" w:rsidRPr="002C4077">
        <w:t xml:space="preserve"> </w:t>
      </w:r>
      <w:r w:rsidR="000A7AAB">
        <w:t>nous</w:t>
      </w:r>
      <w:r w:rsidR="000A7AAB" w:rsidRPr="002C4077">
        <w:t xml:space="preserve"> </w:t>
      </w:r>
      <w:r w:rsidR="000A7AAB">
        <w:t>les</w:t>
      </w:r>
      <w:r w:rsidR="000A7AAB" w:rsidRPr="002C4077">
        <w:t xml:space="preserve"> </w:t>
      </w:r>
      <w:r w:rsidR="000A7AAB">
        <w:t>voyons</w:t>
      </w:r>
      <w:r w:rsidR="000A7AAB" w:rsidRPr="002C4077">
        <w:t xml:space="preserve"> </w:t>
      </w:r>
      <w:r w:rsidR="000A7AAB">
        <w:t>dans</w:t>
      </w:r>
      <w:r w:rsidR="000A7AAB" w:rsidRPr="002C4077">
        <w:t xml:space="preserve"> </w:t>
      </w:r>
      <w:r w:rsidR="000A7AAB">
        <w:t>ces</w:t>
      </w:r>
      <w:r w:rsidR="000A7AAB" w:rsidRPr="002C4077">
        <w:t xml:space="preserve"> </w:t>
      </w:r>
      <w:r w:rsidR="000A7AAB">
        <w:t>sentiers</w:t>
      </w:r>
      <w:r w:rsidR="000A7AAB" w:rsidRPr="002C4077">
        <w:t xml:space="preserve"> </w:t>
      </w:r>
      <w:r w:rsidR="000A7AAB">
        <w:t>pierreux</w:t>
      </w:r>
      <w:r w:rsidR="000A7AAB" w:rsidRPr="002C4077">
        <w:t xml:space="preserve"> </w:t>
      </w:r>
      <w:r w:rsidR="000A7AAB">
        <w:t>ou</w:t>
      </w:r>
      <w:r w:rsidR="000A7AAB" w:rsidRPr="002C4077">
        <w:t xml:space="preserve"> </w:t>
      </w:r>
      <w:r w:rsidR="000A7AAB">
        <w:t>ces</w:t>
      </w:r>
      <w:r w:rsidR="000A7AAB" w:rsidRPr="002C4077">
        <w:t xml:space="preserve"> </w:t>
      </w:r>
      <w:r w:rsidR="000A7AAB">
        <w:t>petits</w:t>
      </w:r>
      <w:r w:rsidR="000A7AAB" w:rsidRPr="002C4077">
        <w:t xml:space="preserve"> </w:t>
      </w:r>
      <w:r w:rsidR="000A7AAB">
        <w:t>carrefours</w:t>
      </w:r>
      <w:r w:rsidR="000A7AAB" w:rsidRPr="002C4077">
        <w:t xml:space="preserve"> </w:t>
      </w:r>
      <w:r w:rsidR="000A7AAB">
        <w:t>qui</w:t>
      </w:r>
      <w:r w:rsidR="000A7AAB" w:rsidRPr="002C4077">
        <w:t xml:space="preserve"> </w:t>
      </w:r>
      <w:r w:rsidR="000A7AAB">
        <w:t>séparent</w:t>
      </w:r>
      <w:r w:rsidR="000A7AAB" w:rsidRPr="002C4077">
        <w:t xml:space="preserve"> </w:t>
      </w:r>
      <w:r w:rsidR="000A7AAB">
        <w:t>les</w:t>
      </w:r>
      <w:r w:rsidR="000A7AAB" w:rsidRPr="002C4077">
        <w:t xml:space="preserve"> </w:t>
      </w:r>
      <w:r w:rsidR="000A7AAB">
        <w:t>cases.</w:t>
      </w:r>
      <w:r w:rsidR="00C45B47">
        <w:t xml:space="preserve"> {</w:t>
      </w:r>
      <w:r w:rsidR="001F5257">
        <w:t>229</w:t>
      </w:r>
      <w:bookmarkStart w:id="554" w:name="p229"/>
      <w:bookmarkEnd w:id="554"/>
      <w:r w:rsidR="001F5257">
        <w:t xml:space="preserve">} </w:t>
      </w:r>
      <w:r w:rsidR="000A7AAB">
        <w:t>La</w:t>
      </w:r>
      <w:r w:rsidR="000A7AAB" w:rsidRPr="002C4077">
        <w:t xml:space="preserve"> </w:t>
      </w:r>
      <w:r w:rsidR="000A7AAB">
        <w:t>maison</w:t>
      </w:r>
      <w:r w:rsidR="000A7AAB" w:rsidRPr="002C4077">
        <w:t xml:space="preserve"> </w:t>
      </w:r>
      <w:r w:rsidR="000A7AAB">
        <w:t>de</w:t>
      </w:r>
      <w:r w:rsidR="000A7AAB" w:rsidRPr="002C4077">
        <w:t xml:space="preserve"> </w:t>
      </w:r>
      <w:r w:rsidR="000A7AAB">
        <w:t>Joseph</w:t>
      </w:r>
      <w:r w:rsidR="000A7AAB" w:rsidRPr="002C4077">
        <w:t xml:space="preserve"> </w:t>
      </w:r>
      <w:r w:rsidR="000A7AAB">
        <w:t>ressemble</w:t>
      </w:r>
      <w:r w:rsidR="000A7AAB" w:rsidRPr="002C4077">
        <w:t xml:space="preserve"> </w:t>
      </w:r>
      <w:r w:rsidR="000A7AAB">
        <w:t>beaucoup</w:t>
      </w:r>
      <w:r w:rsidR="000A7AAB" w:rsidRPr="002C4077">
        <w:t xml:space="preserve"> </w:t>
      </w:r>
      <w:r w:rsidR="000A7AAB">
        <w:t>sans</w:t>
      </w:r>
      <w:r w:rsidR="000A7AAB" w:rsidRPr="002C4077">
        <w:t xml:space="preserve"> </w:t>
      </w:r>
      <w:r w:rsidR="000A7AAB">
        <w:t>doute</w:t>
      </w:r>
      <w:r w:rsidR="000A7AAB" w:rsidRPr="002C4077">
        <w:t xml:space="preserve"> </w:t>
      </w:r>
      <w:r w:rsidR="000A7AAB">
        <w:t>à</w:t>
      </w:r>
      <w:r w:rsidR="000A7AAB" w:rsidRPr="002C4077">
        <w:t xml:space="preserve"> </w:t>
      </w:r>
      <w:r w:rsidR="000A7AAB">
        <w:t>ces</w:t>
      </w:r>
      <w:r w:rsidR="000A7AAB" w:rsidRPr="002C4077">
        <w:t xml:space="preserve"> </w:t>
      </w:r>
      <w:r w:rsidR="000A7AAB">
        <w:t>pauvres</w:t>
      </w:r>
      <w:r w:rsidR="000A7AAB" w:rsidRPr="002C4077">
        <w:t xml:space="preserve"> </w:t>
      </w:r>
      <w:r w:rsidR="000A7AAB">
        <w:t>boutiques,</w:t>
      </w:r>
      <w:r w:rsidR="000A7AAB" w:rsidRPr="002C4077">
        <w:t xml:space="preserve"> </w:t>
      </w:r>
      <w:r w:rsidR="000A7AAB">
        <w:t>éclairées</w:t>
      </w:r>
      <w:r w:rsidR="000A7AAB" w:rsidRPr="002C4077">
        <w:t xml:space="preserve"> </w:t>
      </w:r>
      <w:r w:rsidR="000A7AAB">
        <w:t>par</w:t>
      </w:r>
      <w:r w:rsidR="000A7AAB" w:rsidRPr="002C4077">
        <w:t xml:space="preserve"> </w:t>
      </w:r>
      <w:r w:rsidR="000A7AAB">
        <w:t>la</w:t>
      </w:r>
      <w:r w:rsidR="000A7AAB" w:rsidRPr="002C4077">
        <w:t xml:space="preserve"> </w:t>
      </w:r>
      <w:r w:rsidR="000A7AAB">
        <w:t>porte,</w:t>
      </w:r>
      <w:r w:rsidR="000A7AAB" w:rsidRPr="002C4077">
        <w:t xml:space="preserve"> </w:t>
      </w:r>
      <w:r w:rsidR="000A7AAB">
        <w:t>servant</w:t>
      </w:r>
      <w:r w:rsidR="000A7AAB" w:rsidRPr="002C4077">
        <w:t xml:space="preserve"> </w:t>
      </w:r>
      <w:r w:rsidR="000A7AAB">
        <w:t>à</w:t>
      </w:r>
      <w:r w:rsidR="000A7AAB" w:rsidRPr="002C4077">
        <w:t xml:space="preserve"> </w:t>
      </w:r>
      <w:r w:rsidR="000A7AAB">
        <w:t>la</w:t>
      </w:r>
      <w:r w:rsidR="000A7AAB" w:rsidRPr="002C4077">
        <w:t xml:space="preserve"> </w:t>
      </w:r>
      <w:r w:rsidR="000A7AAB">
        <w:t>fois</w:t>
      </w:r>
      <w:r w:rsidR="000A7AAB" w:rsidRPr="002C4077">
        <w:t xml:space="preserve"> </w:t>
      </w:r>
      <w:r w:rsidR="000A7AAB">
        <w:t>d’établi,</w:t>
      </w:r>
      <w:r w:rsidR="000A7AAB" w:rsidRPr="002C4077">
        <w:t xml:space="preserve"> </w:t>
      </w:r>
      <w:r w:rsidR="000A7AAB">
        <w:t>de</w:t>
      </w:r>
      <w:r w:rsidR="000A7AAB" w:rsidRPr="002C4077">
        <w:t xml:space="preserve"> </w:t>
      </w:r>
      <w:r w:rsidR="000A7AAB">
        <w:t>cuisine,</w:t>
      </w:r>
      <w:r w:rsidR="000A7AAB" w:rsidRPr="002C4077">
        <w:t xml:space="preserve"> </w:t>
      </w:r>
      <w:r w:rsidR="000A7AAB">
        <w:t>de</w:t>
      </w:r>
      <w:r w:rsidR="000A7AAB" w:rsidRPr="002C4077">
        <w:t xml:space="preserve"> </w:t>
      </w:r>
      <w:r w:rsidR="000A7AAB">
        <w:t>chambre</w:t>
      </w:r>
      <w:r w:rsidR="000A7AAB" w:rsidRPr="002C4077">
        <w:t xml:space="preserve"> </w:t>
      </w:r>
      <w:r w:rsidR="000A7AAB">
        <w:t>à</w:t>
      </w:r>
      <w:r w:rsidR="000A7AAB" w:rsidRPr="002C4077">
        <w:t xml:space="preserve"> </w:t>
      </w:r>
      <w:r w:rsidR="000A7AAB">
        <w:t>coucher,</w:t>
      </w:r>
      <w:r w:rsidR="000A7AAB" w:rsidRPr="002C4077">
        <w:t xml:space="preserve"> </w:t>
      </w:r>
      <w:r w:rsidR="000A7AAB">
        <w:t>ayant</w:t>
      </w:r>
      <w:r w:rsidR="000A7AAB" w:rsidRPr="002C4077">
        <w:t xml:space="preserve"> </w:t>
      </w:r>
      <w:r w:rsidR="000A7AAB">
        <w:t>pour</w:t>
      </w:r>
      <w:r w:rsidR="000A7AAB" w:rsidRPr="002C4077">
        <w:t xml:space="preserve"> </w:t>
      </w:r>
      <w:r w:rsidR="000A7AAB">
        <w:t>ameublement</w:t>
      </w:r>
      <w:r w:rsidR="000A7AAB" w:rsidRPr="002C4077">
        <w:t xml:space="preserve"> </w:t>
      </w:r>
      <w:r w:rsidR="000A7AAB">
        <w:t>une</w:t>
      </w:r>
      <w:r w:rsidR="000A7AAB" w:rsidRPr="002C4077">
        <w:t xml:space="preserve"> </w:t>
      </w:r>
      <w:r w:rsidR="000A7AAB">
        <w:t>natte,</w:t>
      </w:r>
      <w:r w:rsidR="000A7AAB" w:rsidRPr="002C4077">
        <w:t xml:space="preserve"> </w:t>
      </w:r>
      <w:r w:rsidR="000A7AAB">
        <w:t>quelques</w:t>
      </w:r>
      <w:r w:rsidR="000A7AAB" w:rsidRPr="002C4077">
        <w:t xml:space="preserve"> </w:t>
      </w:r>
      <w:r w:rsidR="000A7AAB">
        <w:t>coussins</w:t>
      </w:r>
      <w:r w:rsidR="000A7AAB" w:rsidRPr="002C4077">
        <w:t xml:space="preserve"> </w:t>
      </w:r>
      <w:r w:rsidR="000A7AAB">
        <w:t>à</w:t>
      </w:r>
      <w:r w:rsidR="000A7AAB" w:rsidRPr="002C4077">
        <w:t xml:space="preserve"> </w:t>
      </w:r>
      <w:r w:rsidR="000A7AAB">
        <w:t>terre,</w:t>
      </w:r>
      <w:r w:rsidR="000A7AAB" w:rsidRPr="002C4077">
        <w:t xml:space="preserve"> </w:t>
      </w:r>
      <w:r w:rsidR="000A7AAB">
        <w:t>un</w:t>
      </w:r>
      <w:r w:rsidR="000A7AAB" w:rsidRPr="002C4077">
        <w:t xml:space="preserve"> </w:t>
      </w:r>
      <w:r w:rsidR="000A7AAB">
        <w:t>ou</w:t>
      </w:r>
      <w:r w:rsidR="000A7AAB" w:rsidRPr="002C4077">
        <w:t xml:space="preserve"> </w:t>
      </w:r>
      <w:r w:rsidR="000A7AAB">
        <w:t>deux</w:t>
      </w:r>
      <w:r w:rsidR="000A7AAB" w:rsidRPr="002C4077">
        <w:t xml:space="preserve"> </w:t>
      </w:r>
      <w:r w:rsidR="000A7AAB">
        <w:t>vases</w:t>
      </w:r>
      <w:r w:rsidR="000A7AAB" w:rsidRPr="002C4077">
        <w:t xml:space="preserve"> </w:t>
      </w:r>
      <w:r w:rsidR="000A7AAB">
        <w:t>d’argile</w:t>
      </w:r>
      <w:r w:rsidR="000A7AAB" w:rsidRPr="002C4077">
        <w:t xml:space="preserve"> </w:t>
      </w:r>
      <w:r w:rsidR="000A7AAB">
        <w:t>et</w:t>
      </w:r>
      <w:r w:rsidR="000A7AAB" w:rsidRPr="002C4077">
        <w:t xml:space="preserve"> </w:t>
      </w:r>
      <w:r w:rsidR="000A7AAB">
        <w:t>un</w:t>
      </w:r>
      <w:r w:rsidR="000A7AAB" w:rsidRPr="002C4077">
        <w:t xml:space="preserve"> </w:t>
      </w:r>
      <w:r w:rsidR="000A7AAB">
        <w:t>coffre</w:t>
      </w:r>
      <w:r w:rsidR="000A7AAB" w:rsidRPr="002C4077">
        <w:t xml:space="preserve"> </w:t>
      </w:r>
      <w:r w:rsidR="000A7AAB">
        <w:t>peint</w:t>
      </w:r>
      <w:r>
        <w:t> »</w:t>
      </w:r>
      <w:r w:rsidR="000A7AAB">
        <w:t>.</w:t>
      </w:r>
      <w:r w:rsidR="000A7AAB" w:rsidRPr="002C4077">
        <w:t xml:space="preserve"> </w:t>
      </w:r>
      <w:r>
        <w:t>« </w:t>
      </w:r>
      <w:r w:rsidR="000A7AAB">
        <w:t>L’aspect</w:t>
      </w:r>
      <w:r w:rsidR="000A7AAB" w:rsidRPr="002C4077">
        <w:t xml:space="preserve"> </w:t>
      </w:r>
      <w:r w:rsidR="000A7AAB">
        <w:t>grossier</w:t>
      </w:r>
      <w:r w:rsidR="000A7AAB" w:rsidRPr="002C4077">
        <w:t xml:space="preserve"> </w:t>
      </w:r>
      <w:r w:rsidR="000A7AAB">
        <w:t>des</w:t>
      </w:r>
      <w:r w:rsidR="000A7AAB" w:rsidRPr="002C4077">
        <w:t xml:space="preserve"> </w:t>
      </w:r>
      <w:r w:rsidR="000A7AAB">
        <w:t>ruines</w:t>
      </w:r>
      <w:r w:rsidR="000A7AAB" w:rsidRPr="002C4077">
        <w:t xml:space="preserve"> </w:t>
      </w:r>
      <w:r w:rsidR="000A7AAB">
        <w:t>qui</w:t>
      </w:r>
      <w:r w:rsidR="000A7AAB" w:rsidRPr="002C4077">
        <w:t xml:space="preserve"> </w:t>
      </w:r>
      <w:r w:rsidR="000A7AAB">
        <w:t>couvrent</w:t>
      </w:r>
      <w:r w:rsidR="000A7AAB" w:rsidRPr="002C4077">
        <w:t xml:space="preserve"> </w:t>
      </w:r>
      <w:r w:rsidR="000A7AAB">
        <w:t>la</w:t>
      </w:r>
      <w:r w:rsidR="000A7AAB" w:rsidRPr="002C4077">
        <w:t xml:space="preserve"> </w:t>
      </w:r>
      <w:r w:rsidR="000A7AAB">
        <w:t>Palestine,</w:t>
      </w:r>
      <w:r w:rsidR="000A7AAB" w:rsidRPr="002C4077">
        <w:t xml:space="preserve"> </w:t>
      </w:r>
      <w:r w:rsidR="000A7AAB">
        <w:t>ajoute</w:t>
      </w:r>
      <w:r w:rsidR="000A7AAB" w:rsidRPr="002C4077">
        <w:t xml:space="preserve"> </w:t>
      </w:r>
      <w:r w:rsidR="000A7AAB">
        <w:t>le</w:t>
      </w:r>
      <w:r w:rsidR="000A7AAB" w:rsidRPr="002C4077">
        <w:t xml:space="preserve"> </w:t>
      </w:r>
      <w:r w:rsidR="000A7AAB">
        <w:t>même</w:t>
      </w:r>
      <w:r w:rsidR="000A7AAB" w:rsidRPr="002C4077">
        <w:t xml:space="preserve"> </w:t>
      </w:r>
      <w:r w:rsidR="000A7AAB">
        <w:t>auteur</w:t>
      </w:r>
      <w:r w:rsidR="000A7AAB" w:rsidRPr="002C4077">
        <w:t xml:space="preserve"> </w:t>
      </w:r>
      <w:r w:rsidR="000A7AAB">
        <w:t>dans</w:t>
      </w:r>
      <w:r w:rsidR="000A7AAB" w:rsidRPr="002C4077">
        <w:t xml:space="preserve"> </w:t>
      </w:r>
      <w:r w:rsidR="000A7AAB">
        <w:t>une</w:t>
      </w:r>
      <w:r w:rsidR="000A7AAB" w:rsidRPr="002C4077">
        <w:t xml:space="preserve"> </w:t>
      </w:r>
      <w:r w:rsidR="000A7AAB">
        <w:t>note,</w:t>
      </w:r>
      <w:r w:rsidR="000A7AAB" w:rsidRPr="002C4077">
        <w:t xml:space="preserve"> </w:t>
      </w:r>
      <w:r w:rsidR="000A7AAB">
        <w:t>prouve</w:t>
      </w:r>
      <w:r w:rsidR="000A7AAB" w:rsidRPr="002C4077">
        <w:t xml:space="preserve"> </w:t>
      </w:r>
      <w:r w:rsidR="000A7AAB">
        <w:t>que</w:t>
      </w:r>
      <w:r w:rsidR="000A7AAB" w:rsidRPr="002C4077">
        <w:t xml:space="preserve"> </w:t>
      </w:r>
      <w:r w:rsidR="000A7AAB">
        <w:t>les</w:t>
      </w:r>
      <w:r w:rsidR="000A7AAB" w:rsidRPr="002C4077">
        <w:t xml:space="preserve"> </w:t>
      </w:r>
      <w:r w:rsidR="000A7AAB">
        <w:t>villes</w:t>
      </w:r>
      <w:r w:rsidR="000A7AAB" w:rsidRPr="002C4077">
        <w:t xml:space="preserve"> </w:t>
      </w:r>
      <w:r w:rsidR="000A7AAB">
        <w:t>qui</w:t>
      </w:r>
      <w:r w:rsidR="000A7AAB" w:rsidRPr="002C4077">
        <w:t xml:space="preserve"> </w:t>
      </w:r>
      <w:r w:rsidR="000A7AAB">
        <w:t>ne</w:t>
      </w:r>
      <w:r w:rsidR="000A7AAB" w:rsidRPr="002C4077">
        <w:t xml:space="preserve"> </w:t>
      </w:r>
      <w:r w:rsidR="000A7AAB">
        <w:t>furent</w:t>
      </w:r>
      <w:r w:rsidR="000A7AAB" w:rsidRPr="002C4077">
        <w:t xml:space="preserve"> </w:t>
      </w:r>
      <w:r w:rsidR="000A7AAB">
        <w:t>pas</w:t>
      </w:r>
      <w:r w:rsidR="000A7AAB" w:rsidRPr="002C4077">
        <w:t xml:space="preserve"> </w:t>
      </w:r>
      <w:r w:rsidR="000A7AAB">
        <w:t>reconstruites</w:t>
      </w:r>
      <w:r w:rsidR="000A7AAB" w:rsidRPr="002C4077">
        <w:t xml:space="preserve"> </w:t>
      </w:r>
      <w:r w:rsidR="000A7AAB">
        <w:t>à</w:t>
      </w:r>
      <w:r w:rsidR="000A7AAB" w:rsidRPr="002C4077">
        <w:t xml:space="preserve"> </w:t>
      </w:r>
      <w:r w:rsidR="000A7AAB">
        <w:t>la</w:t>
      </w:r>
      <w:r w:rsidR="000A7AAB" w:rsidRPr="002C4077">
        <w:t xml:space="preserve"> </w:t>
      </w:r>
      <w:r w:rsidR="000A7AAB">
        <w:t>romaine</w:t>
      </w:r>
      <w:r w:rsidR="000A7AAB" w:rsidRPr="002C4077">
        <w:t xml:space="preserve"> </w:t>
      </w:r>
      <w:r w:rsidR="000A7AAB">
        <w:t>étaient</w:t>
      </w:r>
      <w:r w:rsidR="000A7AAB" w:rsidRPr="002C4077">
        <w:t xml:space="preserve"> </w:t>
      </w:r>
      <w:r w:rsidR="000A7AAB">
        <w:t>fort</w:t>
      </w:r>
      <w:r w:rsidR="000A7AAB" w:rsidRPr="002C4077">
        <w:t xml:space="preserve"> </w:t>
      </w:r>
      <w:r w:rsidR="000A7AAB">
        <w:t>mal</w:t>
      </w:r>
      <w:r w:rsidR="000A7AAB" w:rsidRPr="002C4077">
        <w:t xml:space="preserve"> </w:t>
      </w:r>
      <w:r w:rsidR="000A7AAB">
        <w:t>bâties.</w:t>
      </w:r>
      <w:r w:rsidR="000A7AAB" w:rsidRPr="002C4077">
        <w:t xml:space="preserve"> </w:t>
      </w:r>
      <w:r w:rsidR="000A7AAB">
        <w:t>Quant</w:t>
      </w:r>
      <w:r w:rsidR="000A7AAB" w:rsidRPr="002C4077">
        <w:t xml:space="preserve"> </w:t>
      </w:r>
      <w:r w:rsidR="000A7AAB">
        <w:t>à</w:t>
      </w:r>
      <w:r w:rsidR="000A7AAB" w:rsidRPr="002C4077">
        <w:t xml:space="preserve"> </w:t>
      </w:r>
      <w:r w:rsidR="000A7AAB">
        <w:t>la</w:t>
      </w:r>
      <w:r w:rsidR="000A7AAB" w:rsidRPr="002C4077">
        <w:t xml:space="preserve"> </w:t>
      </w:r>
      <w:r w:rsidR="000A7AAB">
        <w:t>forme</w:t>
      </w:r>
      <w:r w:rsidR="000A7AAB" w:rsidRPr="002C4077">
        <w:t xml:space="preserve"> </w:t>
      </w:r>
      <w:r w:rsidR="000A7AAB">
        <w:t>des</w:t>
      </w:r>
      <w:r w:rsidR="000A7AAB" w:rsidRPr="002C4077">
        <w:t xml:space="preserve"> </w:t>
      </w:r>
      <w:r w:rsidR="000A7AAB">
        <w:t>maisons,</w:t>
      </w:r>
      <w:r w:rsidR="000A7AAB" w:rsidRPr="002C4077">
        <w:t xml:space="preserve"> </w:t>
      </w:r>
      <w:r w:rsidR="000A7AAB">
        <w:t>elle</w:t>
      </w:r>
      <w:r w:rsidR="000A7AAB" w:rsidRPr="002C4077">
        <w:t xml:space="preserve"> </w:t>
      </w:r>
      <w:r w:rsidR="00425C50">
        <w:t>est</w:t>
      </w:r>
      <w:r w:rsidR="000A7AAB">
        <w:t>,</w:t>
      </w:r>
      <w:r w:rsidR="000A7AAB" w:rsidRPr="002C4077">
        <w:t xml:space="preserve"> </w:t>
      </w:r>
      <w:r w:rsidR="000A7AAB">
        <w:t>en</w:t>
      </w:r>
      <w:r w:rsidR="000A7AAB" w:rsidRPr="002C4077">
        <w:t xml:space="preserve"> </w:t>
      </w:r>
      <w:r w:rsidR="000A7AAB">
        <w:t>Syrie,</w:t>
      </w:r>
      <w:r w:rsidR="000A7AAB" w:rsidRPr="002C4077">
        <w:t xml:space="preserve"> </w:t>
      </w:r>
      <w:r w:rsidR="000A7AAB">
        <w:t>si</w:t>
      </w:r>
      <w:r w:rsidR="000A7AAB" w:rsidRPr="002C4077">
        <w:t xml:space="preserve"> </w:t>
      </w:r>
      <w:r w:rsidR="000A7AAB">
        <w:t>simple</w:t>
      </w:r>
      <w:r w:rsidR="000A7AAB" w:rsidRPr="002C4077">
        <w:t xml:space="preserve"> </w:t>
      </w:r>
      <w:r w:rsidR="000A7AAB">
        <w:t>et</w:t>
      </w:r>
      <w:r w:rsidR="000A7AAB" w:rsidRPr="002C4077">
        <w:t xml:space="preserve"> </w:t>
      </w:r>
      <w:r w:rsidR="000A7AAB">
        <w:t>si</w:t>
      </w:r>
      <w:r w:rsidR="000A7AAB" w:rsidRPr="002C4077">
        <w:t xml:space="preserve"> </w:t>
      </w:r>
      <w:r w:rsidR="000A7AAB">
        <w:t>impérieusement</w:t>
      </w:r>
      <w:r w:rsidR="000A7AAB" w:rsidRPr="002C4077">
        <w:t xml:space="preserve"> </w:t>
      </w:r>
      <w:r w:rsidR="000A7AAB">
        <w:t>commandée</w:t>
      </w:r>
      <w:r w:rsidR="000A7AAB" w:rsidRPr="002C4077">
        <w:t xml:space="preserve"> </w:t>
      </w:r>
      <w:r w:rsidR="000A7AAB">
        <w:t>par</w:t>
      </w:r>
      <w:r w:rsidR="000A7AAB" w:rsidRPr="002C4077">
        <w:t xml:space="preserve"> </w:t>
      </w:r>
      <w:r w:rsidR="000A7AAB">
        <w:t>le</w:t>
      </w:r>
      <w:r w:rsidR="000A7AAB" w:rsidRPr="002C4077">
        <w:t xml:space="preserve"> </w:t>
      </w:r>
      <w:r w:rsidR="000A7AAB">
        <w:t>climat,</w:t>
      </w:r>
      <w:r w:rsidR="000A7AAB" w:rsidRPr="002C4077">
        <w:t xml:space="preserve"> </w:t>
      </w:r>
      <w:r w:rsidR="000A7AAB">
        <w:t>qu’elle</w:t>
      </w:r>
      <w:r w:rsidR="000A7AAB" w:rsidRPr="002C4077">
        <w:t xml:space="preserve"> </w:t>
      </w:r>
      <w:r w:rsidR="000A7AAB">
        <w:t>n’a</w:t>
      </w:r>
      <w:r w:rsidR="000A7AAB" w:rsidRPr="002C4077">
        <w:t xml:space="preserve"> </w:t>
      </w:r>
      <w:r w:rsidR="000A7AAB">
        <w:t>jamais</w:t>
      </w:r>
      <w:r w:rsidR="000A7AAB" w:rsidRPr="002C4077">
        <w:t xml:space="preserve"> </w:t>
      </w:r>
      <w:r w:rsidR="000A7AAB">
        <w:t>dû</w:t>
      </w:r>
      <w:r w:rsidR="000A7AAB" w:rsidRPr="002C4077">
        <w:t xml:space="preserve"> </w:t>
      </w:r>
      <w:r w:rsidR="000A7AAB">
        <w:t>changer</w:t>
      </w:r>
      <w:r>
        <w:t> »</w:t>
      </w:r>
      <w:r w:rsidR="000A7AAB">
        <w:t>.</w:t>
      </w:r>
      <w:r w:rsidR="000A7AAB" w:rsidRPr="002C4077">
        <w:t xml:space="preserve"> </w:t>
      </w:r>
      <w:r w:rsidR="000A7AAB">
        <w:t>Du</w:t>
      </w:r>
      <w:r w:rsidR="000A7AAB" w:rsidRPr="002C4077">
        <w:t xml:space="preserve"> </w:t>
      </w:r>
      <w:r w:rsidR="000A7AAB">
        <w:t>reste,</w:t>
      </w:r>
      <w:r w:rsidR="000A7AAB" w:rsidRPr="002C4077">
        <w:t xml:space="preserve"> </w:t>
      </w:r>
      <w:r w:rsidR="000A7AAB">
        <w:t>alors</w:t>
      </w:r>
      <w:r w:rsidR="000A7AAB" w:rsidRPr="002C4077">
        <w:t xml:space="preserve"> </w:t>
      </w:r>
      <w:r w:rsidR="000A7AAB">
        <w:t>même</w:t>
      </w:r>
      <w:r w:rsidR="000A7AAB" w:rsidRPr="002C4077">
        <w:t xml:space="preserve"> </w:t>
      </w:r>
      <w:r w:rsidR="000A7AAB">
        <w:t>que</w:t>
      </w:r>
      <w:r w:rsidR="000A7AAB" w:rsidRPr="002C4077">
        <w:t xml:space="preserve"> </w:t>
      </w:r>
      <w:r w:rsidR="000A7AAB">
        <w:t>beaucoup</w:t>
      </w:r>
      <w:r w:rsidR="000A7AAB" w:rsidRPr="002C4077">
        <w:t xml:space="preserve"> </w:t>
      </w:r>
      <w:r w:rsidR="000A7AAB">
        <w:t>de</w:t>
      </w:r>
      <w:r w:rsidR="000A7AAB" w:rsidRPr="002C4077">
        <w:t xml:space="preserve"> </w:t>
      </w:r>
      <w:r w:rsidR="000A7AAB">
        <w:t>choses</w:t>
      </w:r>
      <w:r w:rsidR="000A7AAB" w:rsidRPr="002C4077">
        <w:t xml:space="preserve"> </w:t>
      </w:r>
      <w:r w:rsidR="000A7AAB">
        <w:t>se</w:t>
      </w:r>
      <w:r w:rsidR="000A7AAB" w:rsidRPr="002C4077">
        <w:t xml:space="preserve"> </w:t>
      </w:r>
      <w:r w:rsidR="000A7AAB">
        <w:t>seraient</w:t>
      </w:r>
      <w:r w:rsidR="000A7AAB" w:rsidRPr="002C4077">
        <w:t xml:space="preserve"> </w:t>
      </w:r>
      <w:r w:rsidR="000A7AAB">
        <w:t>transformées</w:t>
      </w:r>
      <w:r w:rsidR="000A7AAB" w:rsidRPr="002C4077">
        <w:t xml:space="preserve"> </w:t>
      </w:r>
      <w:r w:rsidR="000A7AAB">
        <w:t>en</w:t>
      </w:r>
      <w:r w:rsidR="000A7AAB" w:rsidRPr="002C4077">
        <w:t xml:space="preserve"> </w:t>
      </w:r>
      <w:r w:rsidR="000A7AAB">
        <w:t>dix-neuf</w:t>
      </w:r>
      <w:r w:rsidR="000A7AAB" w:rsidRPr="002C4077">
        <w:t xml:space="preserve"> </w:t>
      </w:r>
      <w:r w:rsidR="000A7AAB">
        <w:t>siècles,</w:t>
      </w:r>
      <w:r w:rsidR="000A7AAB" w:rsidRPr="002C4077">
        <w:t xml:space="preserve"> </w:t>
      </w:r>
      <w:r w:rsidR="000A7AAB">
        <w:t>les</w:t>
      </w:r>
      <w:r w:rsidR="000A7AAB" w:rsidRPr="002C4077">
        <w:t xml:space="preserve"> </w:t>
      </w:r>
      <w:r w:rsidR="000A7AAB">
        <w:t>lieux</w:t>
      </w:r>
      <w:r w:rsidR="000A7AAB" w:rsidRPr="002C4077">
        <w:t xml:space="preserve"> </w:t>
      </w:r>
      <w:r w:rsidR="000A7AAB">
        <w:t>sont</w:t>
      </w:r>
      <w:r w:rsidR="000A7AAB" w:rsidRPr="002C4077">
        <w:t xml:space="preserve"> </w:t>
      </w:r>
      <w:r w:rsidR="000A7AAB">
        <w:t>bien</w:t>
      </w:r>
      <w:r w:rsidR="000A7AAB" w:rsidRPr="002C4077">
        <w:t xml:space="preserve"> </w:t>
      </w:r>
      <w:r w:rsidR="000A7AAB">
        <w:t>restés</w:t>
      </w:r>
      <w:r w:rsidR="000A7AAB" w:rsidRPr="002C4077">
        <w:t xml:space="preserve"> </w:t>
      </w:r>
      <w:r w:rsidR="000A7AAB">
        <w:t>les</w:t>
      </w:r>
      <w:r w:rsidR="000A7AAB" w:rsidRPr="002C4077">
        <w:t xml:space="preserve"> </w:t>
      </w:r>
      <w:r w:rsidR="000A7AAB">
        <w:t>mêmes</w:t>
      </w:r>
      <w:r>
        <w:t> :</w:t>
      </w:r>
      <w:r w:rsidR="000A7AAB" w:rsidRPr="002C4077">
        <w:t xml:space="preserve"> </w:t>
      </w:r>
      <w:r w:rsidR="000A7AAB">
        <w:t>au</w:t>
      </w:r>
      <w:r w:rsidR="000A7AAB" w:rsidRPr="002C4077">
        <w:t xml:space="preserve"> </w:t>
      </w:r>
      <w:r w:rsidR="000A7AAB">
        <w:t>fond,</w:t>
      </w:r>
      <w:r w:rsidR="000A7AAB" w:rsidRPr="002C4077">
        <w:t xml:space="preserve"> </w:t>
      </w:r>
      <w:r w:rsidR="000A7AAB">
        <w:t>la</w:t>
      </w:r>
      <w:r w:rsidR="000A7AAB" w:rsidRPr="002C4077">
        <w:t xml:space="preserve"> </w:t>
      </w:r>
      <w:r w:rsidR="000A7AAB">
        <w:t>patrie</w:t>
      </w:r>
      <w:r w:rsidR="000A7AAB" w:rsidRPr="002C4077">
        <w:t xml:space="preserve"> </w:t>
      </w:r>
      <w:r w:rsidR="000A7AAB">
        <w:t>du</w:t>
      </w:r>
      <w:r w:rsidR="000A7AAB" w:rsidRPr="002C4077">
        <w:t xml:space="preserve"> </w:t>
      </w:r>
      <w:r w:rsidR="000A7AAB">
        <w:t>Sauveur</w:t>
      </w:r>
      <w:r w:rsidR="000A7AAB" w:rsidRPr="002C4077">
        <w:t xml:space="preserve"> </w:t>
      </w:r>
      <w:r w:rsidR="00425C50">
        <w:t>est</w:t>
      </w:r>
      <w:r w:rsidR="000A7AAB" w:rsidRPr="002C4077">
        <w:t xml:space="preserve"> </w:t>
      </w:r>
      <w:r w:rsidR="000A7AAB">
        <w:t>donc</w:t>
      </w:r>
      <w:r w:rsidR="000A7AAB" w:rsidRPr="002C4077">
        <w:t xml:space="preserve"> </w:t>
      </w:r>
      <w:r w:rsidR="000A7AAB">
        <w:t>aujourd’hui</w:t>
      </w:r>
      <w:r w:rsidR="000A7AAB" w:rsidRPr="002C4077">
        <w:t xml:space="preserve"> </w:t>
      </w:r>
      <w:r w:rsidR="000A7AAB">
        <w:t>ce</w:t>
      </w:r>
      <w:r w:rsidR="000A7AAB" w:rsidRPr="002C4077">
        <w:t xml:space="preserve"> </w:t>
      </w:r>
      <w:r w:rsidR="000A7AAB">
        <w:t>qu’elle</w:t>
      </w:r>
      <w:r w:rsidR="000A7AAB" w:rsidRPr="002C4077">
        <w:t xml:space="preserve"> </w:t>
      </w:r>
      <w:r w:rsidR="000A7AAB">
        <w:t>était</w:t>
      </w:r>
      <w:r w:rsidR="000A7AAB" w:rsidRPr="002C4077">
        <w:t xml:space="preserve"> </w:t>
      </w:r>
      <w:r w:rsidR="000A7AAB">
        <w:t>de</w:t>
      </w:r>
      <w:r w:rsidR="000A7AAB" w:rsidRPr="002C4077">
        <w:t xml:space="preserve"> </w:t>
      </w:r>
      <w:r w:rsidR="000A7AAB">
        <w:t>son</w:t>
      </w:r>
      <w:bookmarkStart w:id="555" w:name="z_Nazareth_o7"/>
      <w:bookmarkEnd w:id="555"/>
      <w:r w:rsidR="000A7AAB" w:rsidRPr="002C4077">
        <w:t xml:space="preserve"> </w:t>
      </w:r>
      <w:r w:rsidR="000A7AAB">
        <w:t>vivant.</w:t>
      </w:r>
      <w:r w:rsidR="000A7AAB" w:rsidRPr="002C4077">
        <w:t xml:space="preserve"> </w:t>
      </w:r>
    </w:p>
    <w:p w:rsidR="006E11E9" w:rsidRDefault="006E11E9" w:rsidP="000A7AAB"/>
    <w:p w:rsidR="000A7AAB" w:rsidRDefault="000A7AAB" w:rsidP="000A7AAB">
      <w:r>
        <w:t>Mais</w:t>
      </w:r>
      <w:bookmarkStart w:id="556" w:name="z_Nazareth_o8"/>
      <w:bookmarkEnd w:id="556"/>
      <w:r w:rsidRPr="002C4077">
        <w:t xml:space="preserve"> </w:t>
      </w:r>
      <w:r>
        <w:t>il</w:t>
      </w:r>
      <w:r w:rsidRPr="002C4077">
        <w:t xml:space="preserve"> </w:t>
      </w:r>
      <w:r w:rsidR="00425C50">
        <w:t>est</w:t>
      </w:r>
      <w:r w:rsidRPr="002C4077">
        <w:t xml:space="preserve"> </w:t>
      </w:r>
      <w:r>
        <w:t>temps</w:t>
      </w:r>
      <w:r w:rsidRPr="002C4077">
        <w:t xml:space="preserve"> </w:t>
      </w:r>
      <w:r>
        <w:t>de</w:t>
      </w:r>
      <w:r w:rsidRPr="002C4077">
        <w:t xml:space="preserve"> </w:t>
      </w:r>
      <w:r>
        <w:t>nous</w:t>
      </w:r>
      <w:r w:rsidRPr="002C4077">
        <w:t xml:space="preserve"> </w:t>
      </w:r>
      <w:r>
        <w:t>mettre</w:t>
      </w:r>
      <w:r w:rsidRPr="002C4077">
        <w:t xml:space="preserve"> </w:t>
      </w:r>
      <w:r>
        <w:t>en</w:t>
      </w:r>
      <w:r w:rsidRPr="002C4077">
        <w:t xml:space="preserve"> </w:t>
      </w:r>
      <w:r>
        <w:t>route</w:t>
      </w:r>
      <w:r w:rsidRPr="002C4077">
        <w:t xml:space="preserve"> </w:t>
      </w:r>
      <w:r>
        <w:t>pour</w:t>
      </w:r>
      <w:r w:rsidRPr="002C4077">
        <w:t xml:space="preserve"> </w:t>
      </w:r>
      <w:r>
        <w:t>l’excursion</w:t>
      </w:r>
      <w:r w:rsidRPr="002C4077">
        <w:t xml:space="preserve"> </w:t>
      </w:r>
      <w:r>
        <w:t>que</w:t>
      </w:r>
      <w:r w:rsidRPr="002C4077">
        <w:t xml:space="preserve"> </w:t>
      </w:r>
      <w:r>
        <w:t>je</w:t>
      </w:r>
      <w:r w:rsidRPr="002C4077">
        <w:t xml:space="preserve"> </w:t>
      </w:r>
      <w:r>
        <w:t>vous</w:t>
      </w:r>
      <w:r w:rsidRPr="002C4077">
        <w:t xml:space="preserve"> </w:t>
      </w:r>
      <w:r>
        <w:t>ai</w:t>
      </w:r>
      <w:r w:rsidRPr="002C4077">
        <w:t xml:space="preserve"> </w:t>
      </w:r>
      <w:r>
        <w:t>promise.</w:t>
      </w:r>
      <w:r w:rsidRPr="002C4077">
        <w:t xml:space="preserve"> </w:t>
      </w:r>
      <w:r>
        <w:t>Après</w:t>
      </w:r>
      <w:r w:rsidRPr="002C4077">
        <w:t xml:space="preserve"> </w:t>
      </w:r>
      <w:r>
        <w:t>avoir</w:t>
      </w:r>
      <w:r w:rsidRPr="002C4077">
        <w:t xml:space="preserve"> </w:t>
      </w:r>
      <w:r>
        <w:t>étudié</w:t>
      </w:r>
      <w:r w:rsidRPr="002C4077">
        <w:t xml:space="preserve"> </w:t>
      </w:r>
      <w:r>
        <w:t>la</w:t>
      </w:r>
      <w:r w:rsidRPr="002C4077">
        <w:t xml:space="preserve"> </w:t>
      </w:r>
      <w:r>
        <w:t>ville</w:t>
      </w:r>
      <w:r w:rsidRPr="002C4077">
        <w:t xml:space="preserve"> </w:t>
      </w:r>
      <w:r>
        <w:t>dans</w:t>
      </w:r>
      <w:r w:rsidRPr="002C4077">
        <w:t xml:space="preserve"> </w:t>
      </w:r>
      <w:r>
        <w:t>ce</w:t>
      </w:r>
      <w:r w:rsidRPr="002C4077">
        <w:t xml:space="preserve"> </w:t>
      </w:r>
      <w:r>
        <w:t>qu’elle</w:t>
      </w:r>
      <w:r w:rsidRPr="002C4077">
        <w:t xml:space="preserve"> </w:t>
      </w:r>
      <w:r>
        <w:t>a</w:t>
      </w:r>
      <w:r w:rsidRPr="002C4077">
        <w:t xml:space="preserve"> </w:t>
      </w:r>
      <w:r>
        <w:t>de</w:t>
      </w:r>
      <w:r w:rsidRPr="002C4077">
        <w:t xml:space="preserve"> </w:t>
      </w:r>
      <w:r>
        <w:t>plus</w:t>
      </w:r>
      <w:r w:rsidRPr="002C4077">
        <w:t xml:space="preserve"> </w:t>
      </w:r>
      <w:r>
        <w:t>remarquable,</w:t>
      </w:r>
      <w:r w:rsidRPr="002C4077">
        <w:t xml:space="preserve"> </w:t>
      </w:r>
      <w:r>
        <w:t>nous</w:t>
      </w:r>
      <w:r w:rsidRPr="002C4077">
        <w:t xml:space="preserve"> </w:t>
      </w:r>
      <w:r>
        <w:t>allons</w:t>
      </w:r>
      <w:r w:rsidRPr="002C4077">
        <w:t xml:space="preserve"> </w:t>
      </w:r>
      <w:r>
        <w:t>parcourir</w:t>
      </w:r>
      <w:r w:rsidRPr="002C4077">
        <w:t xml:space="preserve"> </w:t>
      </w:r>
      <w:r>
        <w:t>rapidement</w:t>
      </w:r>
      <w:r w:rsidRPr="002C4077">
        <w:t xml:space="preserve"> </w:t>
      </w:r>
      <w:r>
        <w:t>ses</w:t>
      </w:r>
      <w:r w:rsidRPr="002C4077">
        <w:t xml:space="preserve"> </w:t>
      </w:r>
      <w:r>
        <w:t>environs,</w:t>
      </w:r>
      <w:r w:rsidRPr="002C4077">
        <w:t xml:space="preserve"> </w:t>
      </w:r>
      <w:r>
        <w:t>de</w:t>
      </w:r>
      <w:r w:rsidRPr="002C4077">
        <w:t xml:space="preserve"> </w:t>
      </w:r>
      <w:r>
        <w:t>sorte</w:t>
      </w:r>
      <w:r w:rsidRPr="002C4077">
        <w:t xml:space="preserve"> </w:t>
      </w:r>
      <w:r>
        <w:t>que</w:t>
      </w:r>
      <w:r w:rsidRPr="002C4077">
        <w:t xml:space="preserve"> </w:t>
      </w:r>
      <w:r>
        <w:t>nous</w:t>
      </w:r>
      <w:r w:rsidRPr="002C4077">
        <w:t xml:space="preserve"> </w:t>
      </w:r>
      <w:r>
        <w:t>emporterons</w:t>
      </w:r>
      <w:r w:rsidRPr="002C4077">
        <w:t xml:space="preserve"> </w:t>
      </w:r>
      <w:r>
        <w:t>de</w:t>
      </w:r>
      <w:r w:rsidRPr="002C4077">
        <w:t xml:space="preserve"> </w:t>
      </w:r>
      <w:r>
        <w:t>Nazareth</w:t>
      </w:r>
      <w:r w:rsidRPr="002C4077">
        <w:t xml:space="preserve"> </w:t>
      </w:r>
      <w:r>
        <w:t>une</w:t>
      </w:r>
      <w:r w:rsidRPr="002C4077">
        <w:t xml:space="preserve"> </w:t>
      </w:r>
      <w:r>
        <w:t>idée</w:t>
      </w:r>
      <w:r w:rsidRPr="002C4077">
        <w:t xml:space="preserve"> </w:t>
      </w:r>
      <w:r>
        <w:t>à</w:t>
      </w:r>
      <w:r w:rsidRPr="002C4077">
        <w:t xml:space="preserve"> </w:t>
      </w:r>
      <w:r>
        <w:t>peu</w:t>
      </w:r>
      <w:r w:rsidRPr="002C4077">
        <w:t xml:space="preserve"> </w:t>
      </w:r>
      <w:r>
        <w:t>près</w:t>
      </w:r>
      <w:r w:rsidRPr="002C4077">
        <w:t xml:space="preserve"> </w:t>
      </w:r>
      <w:r>
        <w:t>complète.</w:t>
      </w:r>
      <w:r w:rsidRPr="002C4077">
        <w:t xml:space="preserve"> </w:t>
      </w:r>
      <w:r>
        <w:t>Notre</w:t>
      </w:r>
      <w:r w:rsidRPr="002C4077">
        <w:t xml:space="preserve"> </w:t>
      </w:r>
      <w:r>
        <w:t>promenade</w:t>
      </w:r>
      <w:r w:rsidRPr="002C4077">
        <w:t xml:space="preserve"> </w:t>
      </w:r>
      <w:r>
        <w:t>devant</w:t>
      </w:r>
      <w:r w:rsidRPr="002C4077">
        <w:t xml:space="preserve"> </w:t>
      </w:r>
      <w:r>
        <w:t>rouler</w:t>
      </w:r>
      <w:r w:rsidRPr="002C4077">
        <w:t xml:space="preserve"> </w:t>
      </w:r>
      <w:r>
        <w:t>presque</w:t>
      </w:r>
      <w:r w:rsidRPr="002C4077">
        <w:t xml:space="preserve"> </w:t>
      </w:r>
      <w:r>
        <w:t>toute</w:t>
      </w:r>
      <w:r w:rsidRPr="002C4077">
        <w:t xml:space="preserve"> </w:t>
      </w:r>
      <w:r>
        <w:t>entière</w:t>
      </w:r>
      <w:r w:rsidRPr="002C4077">
        <w:t xml:space="preserve"> </w:t>
      </w:r>
      <w:r>
        <w:t>autour</w:t>
      </w:r>
      <w:r w:rsidRPr="002C4077">
        <w:t xml:space="preserve"> </w:t>
      </w:r>
      <w:r>
        <w:t>d’un</w:t>
      </w:r>
      <w:r w:rsidRPr="002C4077">
        <w:t xml:space="preserve"> </w:t>
      </w:r>
      <w:r>
        <w:t>événement</w:t>
      </w:r>
      <w:r w:rsidRPr="002C4077">
        <w:t xml:space="preserve"> </w:t>
      </w:r>
      <w:r>
        <w:t>extraordinaire</w:t>
      </w:r>
      <w:r w:rsidRPr="002C4077">
        <w:t xml:space="preserve"> </w:t>
      </w:r>
      <w:r>
        <w:t>de</w:t>
      </w:r>
      <w:r w:rsidRPr="002C4077">
        <w:t xml:space="preserve"> </w:t>
      </w:r>
      <w:r>
        <w:t>la</w:t>
      </w:r>
      <w:r w:rsidRPr="002C4077">
        <w:t xml:space="preserve"> </w:t>
      </w:r>
      <w:r>
        <w:t>vie</w:t>
      </w:r>
      <w:r w:rsidRPr="002C4077">
        <w:t xml:space="preserve"> </w:t>
      </w:r>
      <w:r>
        <w:t>du</w:t>
      </w:r>
      <w:r w:rsidRPr="002C4077">
        <w:t xml:space="preserve"> </w:t>
      </w:r>
      <w:r>
        <w:t>Sauveur</w:t>
      </w:r>
      <w:r w:rsidRPr="002C4077">
        <w:t xml:space="preserve"> </w:t>
      </w:r>
      <w:r>
        <w:t>à</w:t>
      </w:r>
      <w:r w:rsidRPr="002C4077">
        <w:t xml:space="preserve"> </w:t>
      </w:r>
      <w:r>
        <w:t>Nazareth,</w:t>
      </w:r>
      <w:r w:rsidRPr="002C4077">
        <w:t xml:space="preserve"> </w:t>
      </w:r>
      <w:r>
        <w:t>voici</w:t>
      </w:r>
      <w:r w:rsidRPr="002C4077">
        <w:t xml:space="preserve"> </w:t>
      </w:r>
      <w:r>
        <w:t>la</w:t>
      </w:r>
      <w:r w:rsidRPr="002C4077">
        <w:t xml:space="preserve"> </w:t>
      </w:r>
      <w:r>
        <w:t>narration</w:t>
      </w:r>
      <w:r w:rsidRPr="002C4077">
        <w:t xml:space="preserve"> </w:t>
      </w:r>
      <w:r>
        <w:t>de</w:t>
      </w:r>
      <w:r w:rsidRPr="002C4077">
        <w:t xml:space="preserve"> </w:t>
      </w:r>
      <w:r>
        <w:t>ce</w:t>
      </w:r>
      <w:r w:rsidRPr="002C4077">
        <w:t xml:space="preserve"> </w:t>
      </w:r>
      <w:r>
        <w:t>fait</w:t>
      </w:r>
      <w:r w:rsidRPr="002C4077">
        <w:t xml:space="preserve"> </w:t>
      </w:r>
      <w:r>
        <w:t>d’après</w:t>
      </w:r>
      <w:r w:rsidRPr="002C4077">
        <w:t xml:space="preserve"> </w:t>
      </w:r>
      <w:r>
        <w:t>S.</w:t>
      </w:r>
      <w:r w:rsidRPr="002C4077">
        <w:t xml:space="preserve"> </w:t>
      </w:r>
      <w:r>
        <w:t>Luc</w:t>
      </w:r>
      <w:bookmarkStart w:id="557" w:name="z_LucNazareth_o2"/>
      <w:bookmarkEnd w:id="557"/>
      <w:r>
        <w:t>.</w:t>
      </w:r>
      <w:r w:rsidRPr="002C4077">
        <w:t xml:space="preserve"> </w:t>
      </w:r>
      <w:r>
        <w:t>C’est</w:t>
      </w:r>
      <w:r w:rsidRPr="002C4077">
        <w:t xml:space="preserve"> </w:t>
      </w:r>
      <w:r>
        <w:t>à</w:t>
      </w:r>
      <w:r w:rsidRPr="002C4077">
        <w:t xml:space="preserve"> </w:t>
      </w:r>
      <w:r>
        <w:t>dessein</w:t>
      </w:r>
      <w:r w:rsidRPr="002C4077">
        <w:t xml:space="preserve"> </w:t>
      </w:r>
      <w:r>
        <w:t>que</w:t>
      </w:r>
      <w:r w:rsidRPr="002C4077">
        <w:t xml:space="preserve"> </w:t>
      </w:r>
      <w:r>
        <w:t>j’ai</w:t>
      </w:r>
      <w:r w:rsidRPr="002C4077">
        <w:t xml:space="preserve"> </w:t>
      </w:r>
      <w:r>
        <w:t>retardé</w:t>
      </w:r>
      <w:r w:rsidRPr="002C4077">
        <w:t xml:space="preserve"> </w:t>
      </w:r>
      <w:r>
        <w:t>jusqu’à</w:t>
      </w:r>
      <w:r w:rsidRPr="002C4077">
        <w:t xml:space="preserve"> </w:t>
      </w:r>
      <w:r>
        <w:t>maintenant</w:t>
      </w:r>
      <w:r w:rsidRPr="002C4077">
        <w:t xml:space="preserve"> </w:t>
      </w:r>
      <w:r>
        <w:t>cette</w:t>
      </w:r>
      <w:r w:rsidRPr="002C4077">
        <w:t xml:space="preserve"> </w:t>
      </w:r>
      <w:r>
        <w:t>lecture,</w:t>
      </w:r>
      <w:r w:rsidRPr="002C4077">
        <w:t xml:space="preserve"> </w:t>
      </w:r>
      <w:r>
        <w:t>afin</w:t>
      </w:r>
      <w:r w:rsidRPr="002C4077">
        <w:t xml:space="preserve"> </w:t>
      </w:r>
      <w:r>
        <w:t>que</w:t>
      </w:r>
      <w:r w:rsidRPr="002C4077">
        <w:t xml:space="preserve"> </w:t>
      </w:r>
      <w:r>
        <w:t>tous</w:t>
      </w:r>
      <w:r w:rsidRPr="002C4077">
        <w:t xml:space="preserve"> </w:t>
      </w:r>
      <w:r>
        <w:t>les</w:t>
      </w:r>
      <w:r w:rsidRPr="002C4077">
        <w:t xml:space="preserve"> </w:t>
      </w:r>
      <w:r>
        <w:t>traits</w:t>
      </w:r>
      <w:r w:rsidRPr="002C4077">
        <w:t xml:space="preserve"> </w:t>
      </w:r>
      <w:r>
        <w:t>du</w:t>
      </w:r>
      <w:r w:rsidRPr="002C4077">
        <w:t xml:space="preserve"> </w:t>
      </w:r>
      <w:r>
        <w:t>récit</w:t>
      </w:r>
      <w:r w:rsidRPr="002C4077">
        <w:t xml:space="preserve"> </w:t>
      </w:r>
      <w:r>
        <w:t>fussent</w:t>
      </w:r>
      <w:r w:rsidRPr="002C4077">
        <w:t xml:space="preserve"> </w:t>
      </w:r>
      <w:r>
        <w:t>plus</w:t>
      </w:r>
      <w:r w:rsidRPr="002C4077">
        <w:t xml:space="preserve"> </w:t>
      </w:r>
      <w:r>
        <w:t>présents</w:t>
      </w:r>
      <w:r w:rsidRPr="002C4077">
        <w:t xml:space="preserve"> </w:t>
      </w:r>
      <w:r>
        <w:t>à</w:t>
      </w:r>
      <w:r w:rsidRPr="002C4077">
        <w:t xml:space="preserve"> </w:t>
      </w:r>
      <w:r>
        <w:t>notre</w:t>
      </w:r>
      <w:r w:rsidRPr="002C4077">
        <w:t xml:space="preserve"> </w:t>
      </w:r>
      <w:r>
        <w:t>esprit.</w:t>
      </w:r>
      <w:r w:rsidRPr="002C4077">
        <w:t xml:space="preserve"> </w:t>
      </w:r>
    </w:p>
    <w:p w:rsidR="000A7AAB" w:rsidRDefault="006E11E9" w:rsidP="006E11E9">
      <w:pPr>
        <w:pStyle w:val="locus"/>
      </w:pPr>
      <w:r>
        <w:rPr>
          <w:rStyle w:val="italicus"/>
          <w:i w:val="0"/>
        </w:rPr>
        <w:t>« </w:t>
      </w:r>
      <w:r w:rsidRPr="00170CB0">
        <w:rPr>
          <w:rStyle w:val="italicus"/>
          <w:i w:val="0"/>
        </w:rPr>
        <w:t>Jésus</w:t>
      </w:r>
      <w:r w:rsidRPr="002C4077">
        <w:t xml:space="preserve"> </w:t>
      </w:r>
      <w:r w:rsidRPr="00170CB0">
        <w:rPr>
          <w:rStyle w:val="italicus"/>
          <w:i w:val="0"/>
        </w:rPr>
        <w:t>retourna</w:t>
      </w:r>
      <w:r w:rsidRPr="002C4077">
        <w:t xml:space="preserve"> </w:t>
      </w:r>
      <w:r w:rsidRPr="00170CB0">
        <w:rPr>
          <w:rStyle w:val="italicus"/>
          <w:i w:val="0"/>
        </w:rPr>
        <w:t>en</w:t>
      </w:r>
      <w:r w:rsidRPr="002C4077">
        <w:t xml:space="preserve"> </w:t>
      </w:r>
      <w:r w:rsidRPr="00170CB0">
        <w:rPr>
          <w:rStyle w:val="italicus"/>
          <w:i w:val="0"/>
        </w:rPr>
        <w:t>Galilée</w:t>
      </w:r>
      <w:r w:rsidRPr="002C4077">
        <w:t xml:space="preserve"> </w:t>
      </w:r>
      <w:r w:rsidRPr="00170CB0">
        <w:rPr>
          <w:rStyle w:val="italicus"/>
          <w:i w:val="0"/>
        </w:rPr>
        <w:t>parla</w:t>
      </w:r>
      <w:r w:rsidRPr="002C4077">
        <w:t xml:space="preserve"> </w:t>
      </w:r>
      <w:r w:rsidRPr="00170CB0">
        <w:rPr>
          <w:rStyle w:val="italicus"/>
          <w:i w:val="0"/>
        </w:rPr>
        <w:t>vertu</w:t>
      </w:r>
      <w:r w:rsidRPr="002C4077">
        <w:t xml:space="preserve"> </w:t>
      </w:r>
      <w:r w:rsidRPr="00170CB0">
        <w:rPr>
          <w:rStyle w:val="italicus"/>
          <w:i w:val="0"/>
        </w:rPr>
        <w:t>de</w:t>
      </w:r>
      <w:r w:rsidRPr="002C4077">
        <w:t xml:space="preserve"> </w:t>
      </w:r>
      <w:r w:rsidRPr="00170CB0">
        <w:rPr>
          <w:rStyle w:val="italicus"/>
          <w:i w:val="0"/>
        </w:rPr>
        <w:t>l</w:t>
      </w:r>
      <w:r>
        <w:rPr>
          <w:rStyle w:val="italicus"/>
          <w:i w:val="0"/>
        </w:rPr>
        <w:t>’</w:t>
      </w:r>
      <w:r w:rsidRPr="00170CB0">
        <w:rPr>
          <w:rStyle w:val="italicus"/>
          <w:i w:val="0"/>
        </w:rPr>
        <w:t>Esprit...,</w:t>
      </w:r>
      <w:r w:rsidRPr="002C4077">
        <w:t xml:space="preserve"> </w:t>
      </w:r>
      <w:r w:rsidRPr="00170CB0">
        <w:rPr>
          <w:rStyle w:val="italicus"/>
          <w:i w:val="0"/>
        </w:rPr>
        <w:t>et</w:t>
      </w:r>
      <w:r w:rsidRPr="002C4077">
        <w:t xml:space="preserve"> </w:t>
      </w:r>
      <w:r w:rsidRPr="00170CB0">
        <w:rPr>
          <w:rStyle w:val="italicus"/>
          <w:i w:val="0"/>
        </w:rPr>
        <w:t>il</w:t>
      </w:r>
      <w:r w:rsidRPr="002C4077">
        <w:t xml:space="preserve"> </w:t>
      </w:r>
      <w:r w:rsidRPr="00170CB0">
        <w:rPr>
          <w:rStyle w:val="italicus"/>
          <w:i w:val="0"/>
        </w:rPr>
        <w:t>vint</w:t>
      </w:r>
      <w:r w:rsidRPr="002C4077">
        <w:t xml:space="preserve"> </w:t>
      </w:r>
      <w:r w:rsidRPr="00170CB0">
        <w:rPr>
          <w:rStyle w:val="italicus"/>
          <w:i w:val="0"/>
        </w:rPr>
        <w:t>à</w:t>
      </w:r>
      <w:r w:rsidRPr="002C4077">
        <w:t xml:space="preserve"> </w:t>
      </w:r>
      <w:r w:rsidRPr="00170CB0">
        <w:rPr>
          <w:rStyle w:val="italicus"/>
          <w:i w:val="0"/>
        </w:rPr>
        <w:t>Nazareth</w:t>
      </w:r>
      <w:r w:rsidRPr="002C4077">
        <w:t xml:space="preserve"> </w:t>
      </w:r>
      <w:r w:rsidRPr="00170CB0">
        <w:rPr>
          <w:rStyle w:val="italicus"/>
          <w:i w:val="0"/>
        </w:rPr>
        <w:t>où</w:t>
      </w:r>
      <w:r w:rsidRPr="002C4077">
        <w:t xml:space="preserve"> </w:t>
      </w:r>
      <w:r w:rsidRPr="00170CB0">
        <w:rPr>
          <w:rStyle w:val="italicus"/>
          <w:i w:val="0"/>
        </w:rPr>
        <w:t>il</w:t>
      </w:r>
      <w:r w:rsidRPr="002C4077">
        <w:t xml:space="preserve"> </w:t>
      </w:r>
      <w:r w:rsidRPr="00170CB0">
        <w:rPr>
          <w:rStyle w:val="italicus"/>
          <w:i w:val="0"/>
        </w:rPr>
        <w:t>avait</w:t>
      </w:r>
      <w:r w:rsidRPr="002C4077">
        <w:t xml:space="preserve"> </w:t>
      </w:r>
      <w:r w:rsidRPr="00170CB0">
        <w:rPr>
          <w:rStyle w:val="italicus"/>
          <w:i w:val="0"/>
        </w:rPr>
        <w:t>été</w:t>
      </w:r>
      <w:r w:rsidRPr="002C4077">
        <w:t xml:space="preserve"> </w:t>
      </w:r>
      <w:r w:rsidRPr="00170CB0">
        <w:rPr>
          <w:rStyle w:val="italicus"/>
          <w:i w:val="0"/>
        </w:rPr>
        <w:t>nourri,</w:t>
      </w:r>
      <w:r w:rsidRPr="002C4077">
        <w:t xml:space="preserve"> </w:t>
      </w:r>
      <w:r w:rsidRPr="00170CB0">
        <w:rPr>
          <w:rStyle w:val="italicus"/>
          <w:i w:val="0"/>
        </w:rPr>
        <w:t>et</w:t>
      </w:r>
      <w:r w:rsidRPr="002C4077">
        <w:t xml:space="preserve"> </w:t>
      </w:r>
      <w:r w:rsidRPr="00170CB0">
        <w:rPr>
          <w:rStyle w:val="italicus"/>
          <w:i w:val="0"/>
        </w:rPr>
        <w:t>entra</w:t>
      </w:r>
      <w:r w:rsidRPr="002C4077">
        <w:t xml:space="preserve"> </w:t>
      </w:r>
      <w:r w:rsidRPr="00170CB0">
        <w:rPr>
          <w:rStyle w:val="italicus"/>
          <w:i w:val="0"/>
        </w:rPr>
        <w:t>dans</w:t>
      </w:r>
      <w:r w:rsidRPr="002C4077">
        <w:t xml:space="preserve"> </w:t>
      </w:r>
      <w:r w:rsidRPr="00170CB0">
        <w:rPr>
          <w:rStyle w:val="italicus"/>
          <w:i w:val="0"/>
        </w:rPr>
        <w:t>la</w:t>
      </w:r>
      <w:r w:rsidRPr="002C4077">
        <w:t xml:space="preserve"> </w:t>
      </w:r>
      <w:r w:rsidRPr="00170CB0">
        <w:rPr>
          <w:rStyle w:val="italicus"/>
          <w:i w:val="0"/>
        </w:rPr>
        <w:t>synagogue</w:t>
      </w:r>
      <w:r w:rsidRPr="002C4077">
        <w:t xml:space="preserve"> </w:t>
      </w:r>
      <w:r w:rsidRPr="00170CB0">
        <w:rPr>
          <w:rStyle w:val="italicus"/>
          <w:i w:val="0"/>
        </w:rPr>
        <w:t>le</w:t>
      </w:r>
      <w:r w:rsidRPr="002C4077">
        <w:t xml:space="preserve"> </w:t>
      </w:r>
      <w:r w:rsidRPr="00170CB0">
        <w:rPr>
          <w:rStyle w:val="italicus"/>
          <w:i w:val="0"/>
        </w:rPr>
        <w:t>jour</w:t>
      </w:r>
      <w:r w:rsidRPr="002C4077">
        <w:t xml:space="preserve"> </w:t>
      </w:r>
      <w:r w:rsidRPr="00170CB0">
        <w:rPr>
          <w:rStyle w:val="italicus"/>
          <w:i w:val="0"/>
        </w:rPr>
        <w:t>du</w:t>
      </w:r>
      <w:r w:rsidRPr="002C4077">
        <w:t xml:space="preserve"> </w:t>
      </w:r>
      <w:r w:rsidRPr="00170CB0">
        <w:rPr>
          <w:rStyle w:val="italicus"/>
          <w:i w:val="0"/>
        </w:rPr>
        <w:t>sabbat</w:t>
      </w:r>
      <w:r w:rsidRPr="002C4077">
        <w:t xml:space="preserve"> </w:t>
      </w:r>
      <w:r w:rsidRPr="00170CB0">
        <w:rPr>
          <w:rStyle w:val="italicus"/>
          <w:i w:val="0"/>
        </w:rPr>
        <w:t>selon</w:t>
      </w:r>
      <w:r w:rsidRPr="002C4077">
        <w:t xml:space="preserve"> </w:t>
      </w:r>
      <w:r w:rsidRPr="00170CB0">
        <w:rPr>
          <w:rStyle w:val="italicus"/>
          <w:i w:val="0"/>
        </w:rPr>
        <w:t>sa</w:t>
      </w:r>
      <w:r w:rsidRPr="002C4077">
        <w:t xml:space="preserve"> </w:t>
      </w:r>
      <w:r w:rsidRPr="00170CB0">
        <w:rPr>
          <w:rStyle w:val="italicus"/>
          <w:i w:val="0"/>
        </w:rPr>
        <w:t>coutume</w:t>
      </w:r>
      <w:r>
        <w:rPr>
          <w:rStyle w:val="italicus"/>
          <w:i w:val="0"/>
        </w:rPr>
        <w:t> </w:t>
      </w:r>
      <w:r w:rsidRPr="00170CB0">
        <w:rPr>
          <w:rStyle w:val="italicus"/>
          <w:i w:val="0"/>
        </w:rPr>
        <w:t>;</w:t>
      </w:r>
      <w:r w:rsidRPr="002C4077">
        <w:t xml:space="preserve"> </w:t>
      </w:r>
      <w:r w:rsidRPr="00170CB0">
        <w:rPr>
          <w:rStyle w:val="italicus"/>
          <w:i w:val="0"/>
        </w:rPr>
        <w:t>puis</w:t>
      </w:r>
      <w:r w:rsidRPr="002C4077">
        <w:t xml:space="preserve"> </w:t>
      </w:r>
      <w:r w:rsidRPr="00170CB0">
        <w:rPr>
          <w:rStyle w:val="italicus"/>
          <w:i w:val="0"/>
        </w:rPr>
        <w:t>il</w:t>
      </w:r>
      <w:r w:rsidRPr="002C4077">
        <w:t xml:space="preserve"> </w:t>
      </w:r>
      <w:r w:rsidRPr="00170CB0">
        <w:rPr>
          <w:rStyle w:val="italicus"/>
          <w:i w:val="0"/>
        </w:rPr>
        <w:t>se</w:t>
      </w:r>
      <w:r w:rsidRPr="002C4077">
        <w:t xml:space="preserve"> </w:t>
      </w:r>
      <w:r w:rsidRPr="00170CB0">
        <w:rPr>
          <w:rStyle w:val="italicus"/>
          <w:i w:val="0"/>
        </w:rPr>
        <w:t>leva</w:t>
      </w:r>
      <w:r w:rsidRPr="002C4077">
        <w:t xml:space="preserve"> </w:t>
      </w:r>
      <w:r w:rsidRPr="00170CB0">
        <w:rPr>
          <w:rStyle w:val="italicus"/>
          <w:i w:val="0"/>
        </w:rPr>
        <w:t>pour</w:t>
      </w:r>
      <w:r w:rsidRPr="002C4077">
        <w:t xml:space="preserve"> </w:t>
      </w:r>
      <w:r w:rsidRPr="00170CB0">
        <w:rPr>
          <w:rStyle w:val="italicus"/>
          <w:i w:val="0"/>
        </w:rPr>
        <w:t>lire.</w:t>
      </w:r>
      <w:r w:rsidRPr="002C4077">
        <w:t xml:space="preserve"> </w:t>
      </w:r>
      <w:r w:rsidRPr="00170CB0">
        <w:rPr>
          <w:rStyle w:val="italicus"/>
          <w:i w:val="0"/>
        </w:rPr>
        <w:t>Et</w:t>
      </w:r>
      <w:r w:rsidRPr="002C4077">
        <w:t xml:space="preserve"> </w:t>
      </w:r>
      <w:r w:rsidRPr="00170CB0">
        <w:rPr>
          <w:rStyle w:val="italicus"/>
          <w:i w:val="0"/>
        </w:rPr>
        <w:t>on</w:t>
      </w:r>
      <w:r w:rsidRPr="002C4077">
        <w:t xml:space="preserve"> </w:t>
      </w:r>
      <w:r w:rsidRPr="00170CB0">
        <w:rPr>
          <w:rStyle w:val="italicus"/>
          <w:i w:val="0"/>
        </w:rPr>
        <w:t>lui</w:t>
      </w:r>
      <w:r w:rsidRPr="002C4077">
        <w:t xml:space="preserve"> </w:t>
      </w:r>
      <w:r w:rsidRPr="00170CB0">
        <w:rPr>
          <w:rStyle w:val="italicus"/>
          <w:i w:val="0"/>
        </w:rPr>
        <w:t>donna</w:t>
      </w:r>
      <w:r w:rsidRPr="002C4077">
        <w:t xml:space="preserve"> </w:t>
      </w:r>
      <w:r w:rsidRPr="00170CB0">
        <w:rPr>
          <w:rStyle w:val="italicus"/>
          <w:i w:val="0"/>
        </w:rPr>
        <w:t>le</w:t>
      </w:r>
      <w:r w:rsidRPr="002C4077">
        <w:t xml:space="preserve"> </w:t>
      </w:r>
      <w:r w:rsidRPr="00170CB0">
        <w:rPr>
          <w:rStyle w:val="italicus"/>
          <w:i w:val="0"/>
        </w:rPr>
        <w:t>livre</w:t>
      </w:r>
      <w:r w:rsidRPr="002C4077">
        <w:t xml:space="preserve"> </w:t>
      </w:r>
      <w:r w:rsidRPr="00170CB0">
        <w:rPr>
          <w:rStyle w:val="italicus"/>
          <w:i w:val="0"/>
        </w:rPr>
        <w:t>du</w:t>
      </w:r>
      <w:r w:rsidRPr="002C4077">
        <w:t xml:space="preserve"> </w:t>
      </w:r>
      <w:r w:rsidRPr="00170CB0">
        <w:rPr>
          <w:rStyle w:val="italicus"/>
          <w:i w:val="0"/>
        </w:rPr>
        <w:t>prophète</w:t>
      </w:r>
      <w:r w:rsidRPr="002C4077">
        <w:t xml:space="preserve"> </w:t>
      </w:r>
      <w:r w:rsidRPr="00170CB0">
        <w:rPr>
          <w:rStyle w:val="italicus"/>
          <w:i w:val="0"/>
        </w:rPr>
        <w:t>Isaïe,</w:t>
      </w:r>
      <w:r w:rsidRPr="002C4077">
        <w:t xml:space="preserve"> </w:t>
      </w:r>
      <w:r w:rsidRPr="00170CB0">
        <w:rPr>
          <w:rStyle w:val="italicus"/>
          <w:i w:val="0"/>
        </w:rPr>
        <w:t>et,</w:t>
      </w:r>
      <w:r w:rsidRPr="002C4077">
        <w:t xml:space="preserve"> </w:t>
      </w:r>
      <w:r w:rsidRPr="00170CB0">
        <w:rPr>
          <w:rStyle w:val="italicus"/>
          <w:i w:val="0"/>
        </w:rPr>
        <w:t>quand</w:t>
      </w:r>
      <w:r w:rsidRPr="002C4077">
        <w:t xml:space="preserve"> </w:t>
      </w:r>
      <w:r w:rsidRPr="00170CB0">
        <w:rPr>
          <w:rStyle w:val="italicus"/>
          <w:i w:val="0"/>
        </w:rPr>
        <w:t>il</w:t>
      </w:r>
      <w:r w:rsidRPr="002C4077">
        <w:t xml:space="preserve"> </w:t>
      </w:r>
      <w:r w:rsidRPr="00170CB0">
        <w:rPr>
          <w:rStyle w:val="italicus"/>
          <w:i w:val="0"/>
        </w:rPr>
        <w:t>eut</w:t>
      </w:r>
      <w:r w:rsidRPr="002C4077">
        <w:t xml:space="preserve"> </w:t>
      </w:r>
      <w:r w:rsidRPr="00170CB0">
        <w:rPr>
          <w:rStyle w:val="italicus"/>
          <w:i w:val="0"/>
        </w:rPr>
        <w:t>déployé</w:t>
      </w:r>
      <w:r w:rsidRPr="002C4077">
        <w:t xml:space="preserve"> </w:t>
      </w:r>
      <w:r w:rsidRPr="00170CB0">
        <w:rPr>
          <w:rStyle w:val="italicus"/>
          <w:i w:val="0"/>
        </w:rPr>
        <w:t>le</w:t>
      </w:r>
      <w:r w:rsidRPr="002C4077">
        <w:t xml:space="preserve"> </w:t>
      </w:r>
      <w:r w:rsidRPr="00170CB0">
        <w:rPr>
          <w:rStyle w:val="italicus"/>
          <w:i w:val="0"/>
        </w:rPr>
        <w:t>livre,</w:t>
      </w:r>
      <w:r w:rsidRPr="002C4077">
        <w:t xml:space="preserve"> </w:t>
      </w:r>
      <w:r w:rsidRPr="00170CB0">
        <w:rPr>
          <w:rStyle w:val="italicus"/>
          <w:i w:val="0"/>
        </w:rPr>
        <w:t>il</w:t>
      </w:r>
      <w:r w:rsidRPr="002C4077">
        <w:t xml:space="preserve"> </w:t>
      </w:r>
      <w:r w:rsidRPr="00170CB0">
        <w:rPr>
          <w:rStyle w:val="italicus"/>
          <w:i w:val="0"/>
        </w:rPr>
        <w:t>trouva</w:t>
      </w:r>
      <w:r w:rsidRPr="002C4077">
        <w:t xml:space="preserve"> </w:t>
      </w:r>
      <w:r w:rsidRPr="00170CB0">
        <w:rPr>
          <w:rStyle w:val="italicus"/>
          <w:i w:val="0"/>
        </w:rPr>
        <w:t>le</w:t>
      </w:r>
      <w:r w:rsidRPr="002C4077">
        <w:t xml:space="preserve"> </w:t>
      </w:r>
      <w:r w:rsidRPr="00170CB0">
        <w:rPr>
          <w:rStyle w:val="italicus"/>
          <w:i w:val="0"/>
        </w:rPr>
        <w:t>passage</w:t>
      </w:r>
      <w:r w:rsidRPr="002C4077">
        <w:t xml:space="preserve"> </w:t>
      </w:r>
      <w:r w:rsidRPr="00170CB0">
        <w:rPr>
          <w:rStyle w:val="italicus"/>
          <w:i w:val="0"/>
        </w:rPr>
        <w:t>où</w:t>
      </w:r>
      <w:r w:rsidRPr="002C4077">
        <w:t xml:space="preserve"> </w:t>
      </w:r>
      <w:r w:rsidRPr="00170CB0">
        <w:rPr>
          <w:rStyle w:val="italicus"/>
          <w:i w:val="0"/>
        </w:rPr>
        <w:t>il</w:t>
      </w:r>
      <w:r w:rsidRPr="002C4077">
        <w:t xml:space="preserve"> </w:t>
      </w:r>
      <w:r w:rsidRPr="00170CB0">
        <w:rPr>
          <w:rStyle w:val="italicus"/>
          <w:i w:val="0"/>
        </w:rPr>
        <w:t>est</w:t>
      </w:r>
      <w:r w:rsidRPr="002C4077">
        <w:t xml:space="preserve"> </w:t>
      </w:r>
      <w:r w:rsidRPr="00170CB0">
        <w:rPr>
          <w:rStyle w:val="italicus"/>
          <w:i w:val="0"/>
        </w:rPr>
        <w:t>écrit</w:t>
      </w:r>
      <w:r>
        <w:rPr>
          <w:rStyle w:val="italicus"/>
          <w:i w:val="0"/>
        </w:rPr>
        <w:t> </w:t>
      </w:r>
      <w:r w:rsidRPr="00170CB0">
        <w:rPr>
          <w:rStyle w:val="italicus"/>
          <w:i w:val="0"/>
        </w:rPr>
        <w:t>:</w:t>
      </w:r>
      <w:r w:rsidRPr="002C4077">
        <w:t xml:space="preserve"> </w:t>
      </w:r>
      <w:r w:rsidRPr="00170CB0">
        <w:rPr>
          <w:rStyle w:val="italicus"/>
          <w:i w:val="0"/>
        </w:rPr>
        <w:t>L</w:t>
      </w:r>
      <w:r>
        <w:rPr>
          <w:rStyle w:val="italicus"/>
          <w:i w:val="0"/>
        </w:rPr>
        <w:t>’</w:t>
      </w:r>
      <w:r w:rsidRPr="00170CB0">
        <w:rPr>
          <w:rStyle w:val="italicus"/>
          <w:i w:val="0"/>
        </w:rPr>
        <w:t>Esprit</w:t>
      </w:r>
      <w:r w:rsidRPr="002C4077">
        <w:t xml:space="preserve"> </w:t>
      </w:r>
      <w:r w:rsidRPr="00170CB0">
        <w:rPr>
          <w:rStyle w:val="italicus"/>
          <w:i w:val="0"/>
        </w:rPr>
        <w:t>du</w:t>
      </w:r>
      <w:r w:rsidRPr="002C4077">
        <w:t xml:space="preserve"> </w:t>
      </w:r>
      <w:r w:rsidRPr="00170CB0">
        <w:rPr>
          <w:rStyle w:val="italicus"/>
          <w:i w:val="0"/>
        </w:rPr>
        <w:t>Seigneur</w:t>
      </w:r>
      <w:r w:rsidRPr="002C4077">
        <w:t xml:space="preserve"> </w:t>
      </w:r>
      <w:r w:rsidRPr="00170CB0">
        <w:rPr>
          <w:rStyle w:val="italicus"/>
          <w:i w:val="0"/>
        </w:rPr>
        <w:t>est</w:t>
      </w:r>
      <w:r w:rsidRPr="002C4077">
        <w:t xml:space="preserve"> </w:t>
      </w:r>
      <w:r w:rsidRPr="00170CB0">
        <w:rPr>
          <w:rStyle w:val="italicus"/>
          <w:i w:val="0"/>
        </w:rPr>
        <w:t>sur</w:t>
      </w:r>
      <w:r w:rsidRPr="002C4077">
        <w:t xml:space="preserve"> </w:t>
      </w:r>
      <w:r w:rsidRPr="00170CB0">
        <w:rPr>
          <w:rStyle w:val="italicus"/>
          <w:i w:val="0"/>
        </w:rPr>
        <w:t>moi,</w:t>
      </w:r>
      <w:r w:rsidRPr="002C4077">
        <w:t xml:space="preserve"> </w:t>
      </w:r>
      <w:r w:rsidRPr="00170CB0">
        <w:rPr>
          <w:rStyle w:val="italicus"/>
          <w:i w:val="0"/>
        </w:rPr>
        <w:t>parce</w:t>
      </w:r>
      <w:r w:rsidRPr="002C4077">
        <w:t xml:space="preserve"> </w:t>
      </w:r>
      <w:r w:rsidRPr="00170CB0">
        <w:rPr>
          <w:rStyle w:val="italicus"/>
          <w:i w:val="0"/>
        </w:rPr>
        <w:t>qu</w:t>
      </w:r>
      <w:r>
        <w:rPr>
          <w:rStyle w:val="italicus"/>
          <w:i w:val="0"/>
        </w:rPr>
        <w:t>’</w:t>
      </w:r>
      <w:r w:rsidRPr="00170CB0">
        <w:rPr>
          <w:rStyle w:val="italicus"/>
          <w:i w:val="0"/>
        </w:rPr>
        <w:t>il</w:t>
      </w:r>
      <w:r w:rsidRPr="002C4077">
        <w:t xml:space="preserve"> </w:t>
      </w:r>
      <w:r w:rsidRPr="00170CB0">
        <w:rPr>
          <w:rStyle w:val="italicus"/>
          <w:i w:val="0"/>
        </w:rPr>
        <w:t>m</w:t>
      </w:r>
      <w:r>
        <w:rPr>
          <w:rStyle w:val="italicus"/>
          <w:i w:val="0"/>
        </w:rPr>
        <w:t>’</w:t>
      </w:r>
      <w:r w:rsidRPr="00170CB0">
        <w:rPr>
          <w:rStyle w:val="italicus"/>
          <w:i w:val="0"/>
        </w:rPr>
        <w:t>a</w:t>
      </w:r>
      <w:r w:rsidRPr="002C4077">
        <w:t xml:space="preserve"> </w:t>
      </w:r>
      <w:r w:rsidRPr="00170CB0">
        <w:rPr>
          <w:rStyle w:val="italicus"/>
          <w:i w:val="0"/>
        </w:rPr>
        <w:t>oint</w:t>
      </w:r>
      <w:r>
        <w:rPr>
          <w:rStyle w:val="italicus"/>
          <w:i w:val="0"/>
        </w:rPr>
        <w:t> </w:t>
      </w:r>
      <w:r w:rsidRPr="00170CB0">
        <w:rPr>
          <w:rStyle w:val="italicus"/>
          <w:i w:val="0"/>
        </w:rPr>
        <w:t>;</w:t>
      </w:r>
      <w:r w:rsidR="00C45B47">
        <w:t xml:space="preserve"> {</w:t>
      </w:r>
      <w:r w:rsidR="001F5257">
        <w:t>230</w:t>
      </w:r>
      <w:bookmarkStart w:id="558" w:name="p230"/>
      <w:bookmarkEnd w:id="558"/>
      <w:r w:rsidR="001F5257">
        <w:t xml:space="preserve">} </w:t>
      </w:r>
      <w:r w:rsidRPr="00170CB0">
        <w:rPr>
          <w:rStyle w:val="italicus"/>
          <w:i w:val="0"/>
        </w:rPr>
        <w:t>il</w:t>
      </w:r>
      <w:r w:rsidRPr="002C4077">
        <w:t xml:space="preserve"> </w:t>
      </w:r>
      <w:r w:rsidRPr="00170CB0">
        <w:rPr>
          <w:rStyle w:val="italicus"/>
          <w:i w:val="0"/>
        </w:rPr>
        <w:t>m</w:t>
      </w:r>
      <w:r>
        <w:rPr>
          <w:rStyle w:val="italicus"/>
          <w:i w:val="0"/>
        </w:rPr>
        <w:t>’</w:t>
      </w:r>
      <w:r w:rsidRPr="00170CB0">
        <w:rPr>
          <w:rStyle w:val="italicus"/>
          <w:i w:val="0"/>
        </w:rPr>
        <w:t>a</w:t>
      </w:r>
      <w:r w:rsidRPr="002C4077">
        <w:t xml:space="preserve"> </w:t>
      </w:r>
      <w:r w:rsidRPr="00170CB0">
        <w:rPr>
          <w:rStyle w:val="italicus"/>
          <w:i w:val="0"/>
        </w:rPr>
        <w:t>envoyé</w:t>
      </w:r>
      <w:r w:rsidRPr="002C4077">
        <w:t xml:space="preserve"> </w:t>
      </w:r>
      <w:r w:rsidRPr="00170CB0">
        <w:rPr>
          <w:rStyle w:val="italicus"/>
          <w:i w:val="0"/>
        </w:rPr>
        <w:t>pour</w:t>
      </w:r>
      <w:r w:rsidRPr="002C4077">
        <w:t xml:space="preserve"> </w:t>
      </w:r>
      <w:r w:rsidRPr="00170CB0">
        <w:rPr>
          <w:rStyle w:val="italicus"/>
          <w:i w:val="0"/>
        </w:rPr>
        <w:t>évangéliser</w:t>
      </w:r>
      <w:r w:rsidRPr="002C4077">
        <w:t xml:space="preserve"> </w:t>
      </w:r>
      <w:r w:rsidRPr="00170CB0">
        <w:rPr>
          <w:rStyle w:val="italicus"/>
          <w:i w:val="0"/>
        </w:rPr>
        <w:t>aux</w:t>
      </w:r>
      <w:r w:rsidRPr="002C4077">
        <w:t xml:space="preserve"> </w:t>
      </w:r>
      <w:r w:rsidR="000A7AAB">
        <w:t>pauvres,</w:t>
      </w:r>
      <w:r w:rsidR="000A7AAB" w:rsidRPr="002C4077">
        <w:t xml:space="preserve"> </w:t>
      </w:r>
      <w:r w:rsidR="000A7AAB">
        <w:t>pour</w:t>
      </w:r>
      <w:r w:rsidR="000A7AAB" w:rsidRPr="002C4077">
        <w:t xml:space="preserve"> </w:t>
      </w:r>
      <w:r w:rsidR="000A7AAB">
        <w:t>guérir</w:t>
      </w:r>
      <w:r w:rsidR="000A7AAB" w:rsidRPr="002C4077">
        <w:t xml:space="preserve"> </w:t>
      </w:r>
      <w:r w:rsidR="000A7AAB">
        <w:t>ceux</w:t>
      </w:r>
      <w:r w:rsidR="000A7AAB" w:rsidRPr="002C4077">
        <w:t xml:space="preserve"> </w:t>
      </w:r>
      <w:r w:rsidR="000A7AAB">
        <w:t>qui</w:t>
      </w:r>
      <w:r w:rsidR="000A7AAB" w:rsidRPr="002C4077">
        <w:t xml:space="preserve"> </w:t>
      </w:r>
      <w:r w:rsidR="000A7AAB">
        <w:t>ont</w:t>
      </w:r>
      <w:r w:rsidR="000A7AAB" w:rsidRPr="002C4077">
        <w:t xml:space="preserve"> </w:t>
      </w:r>
      <w:r w:rsidR="000A7AAB">
        <w:t>le</w:t>
      </w:r>
      <w:r w:rsidR="000A7AAB" w:rsidRPr="002C4077">
        <w:t xml:space="preserve"> </w:t>
      </w:r>
      <w:r w:rsidR="000A7AAB">
        <w:t>cœur</w:t>
      </w:r>
      <w:r w:rsidR="000A7AAB" w:rsidRPr="002C4077">
        <w:t xml:space="preserve"> </w:t>
      </w:r>
      <w:r w:rsidR="000A7AAB">
        <w:t>froissé,</w:t>
      </w:r>
      <w:r w:rsidR="000A7AAB" w:rsidRPr="002C4077">
        <w:t xml:space="preserve"> </w:t>
      </w:r>
      <w:r w:rsidR="000A7AAB">
        <w:t>pour</w:t>
      </w:r>
      <w:r w:rsidR="000A7AAB" w:rsidRPr="002C4077">
        <w:t xml:space="preserve"> </w:t>
      </w:r>
      <w:r w:rsidR="000A7AAB">
        <w:t>publier</w:t>
      </w:r>
      <w:r w:rsidR="000A7AAB" w:rsidRPr="002C4077">
        <w:t xml:space="preserve"> </w:t>
      </w:r>
      <w:r w:rsidR="000A7AAB">
        <w:t>aux</w:t>
      </w:r>
      <w:r w:rsidR="000A7AAB" w:rsidRPr="002C4077">
        <w:t xml:space="preserve"> </w:t>
      </w:r>
      <w:r w:rsidR="000A7AAB">
        <w:t>captifs</w:t>
      </w:r>
      <w:r w:rsidR="000A7AAB" w:rsidRPr="002C4077">
        <w:t xml:space="preserve"> </w:t>
      </w:r>
      <w:r w:rsidR="000A7AAB">
        <w:t>la</w:t>
      </w:r>
      <w:r w:rsidR="000A7AAB" w:rsidRPr="002C4077">
        <w:t xml:space="preserve"> </w:t>
      </w:r>
      <w:r w:rsidR="000A7AAB">
        <w:t>délivrance,</w:t>
      </w:r>
      <w:r w:rsidR="000A7AAB" w:rsidRPr="002C4077">
        <w:t xml:space="preserve"> </w:t>
      </w:r>
      <w:r w:rsidR="000A7AAB">
        <w:t>et</w:t>
      </w:r>
      <w:r w:rsidR="000A7AAB" w:rsidRPr="002C4077">
        <w:t xml:space="preserve"> </w:t>
      </w:r>
      <w:r w:rsidR="000A7AAB">
        <w:t>aux</w:t>
      </w:r>
      <w:r w:rsidR="000A7AAB" w:rsidRPr="002C4077">
        <w:t xml:space="preserve"> </w:t>
      </w:r>
      <w:r w:rsidR="000A7AAB">
        <w:t>aveugles</w:t>
      </w:r>
      <w:r w:rsidR="000A7AAB" w:rsidRPr="002C4077">
        <w:t xml:space="preserve"> </w:t>
      </w:r>
      <w:r w:rsidR="000A7AAB">
        <w:t>le</w:t>
      </w:r>
      <w:r w:rsidR="000A7AAB" w:rsidRPr="002C4077">
        <w:t xml:space="preserve"> </w:t>
      </w:r>
      <w:r w:rsidR="000A7AAB">
        <w:t>recouvrement</w:t>
      </w:r>
      <w:r w:rsidR="000A7AAB" w:rsidRPr="002C4077">
        <w:t xml:space="preserve"> </w:t>
      </w:r>
      <w:r w:rsidR="000A7AAB">
        <w:t>de</w:t>
      </w:r>
      <w:r w:rsidR="000A7AAB" w:rsidRPr="002C4077">
        <w:t xml:space="preserve"> </w:t>
      </w:r>
      <w:r w:rsidR="000A7AAB">
        <w:t>la</w:t>
      </w:r>
      <w:r w:rsidR="000A7AAB" w:rsidRPr="002C4077">
        <w:t xml:space="preserve"> </w:t>
      </w:r>
      <w:r w:rsidR="000A7AAB">
        <w:t>vue,</w:t>
      </w:r>
      <w:r w:rsidR="000A7AAB" w:rsidRPr="002C4077">
        <w:t xml:space="preserve"> </w:t>
      </w:r>
      <w:r w:rsidR="000A7AAB">
        <w:t>pour</w:t>
      </w:r>
      <w:r w:rsidR="000A7AAB" w:rsidRPr="002C4077">
        <w:t xml:space="preserve"> </w:t>
      </w:r>
      <w:r w:rsidR="000A7AAB">
        <w:t>mettre</w:t>
      </w:r>
      <w:r w:rsidR="000A7AAB" w:rsidRPr="002C4077">
        <w:t xml:space="preserve"> </w:t>
      </w:r>
      <w:r w:rsidR="000A7AAB">
        <w:t>en</w:t>
      </w:r>
      <w:r w:rsidR="000A7AAB" w:rsidRPr="002C4077">
        <w:t xml:space="preserve"> </w:t>
      </w:r>
      <w:r w:rsidR="000A7AAB">
        <w:t>liberté</w:t>
      </w:r>
      <w:r w:rsidR="000A7AAB" w:rsidRPr="002C4077">
        <w:t xml:space="preserve"> </w:t>
      </w:r>
      <w:r w:rsidR="000A7AAB">
        <w:t>ceux</w:t>
      </w:r>
      <w:r w:rsidR="000A7AAB" w:rsidRPr="002C4077">
        <w:t xml:space="preserve"> </w:t>
      </w:r>
      <w:r w:rsidR="000A7AAB">
        <w:t>qui</w:t>
      </w:r>
      <w:r w:rsidR="000A7AAB" w:rsidRPr="002C4077">
        <w:t xml:space="preserve"> </w:t>
      </w:r>
      <w:r w:rsidR="000A7AAB">
        <w:t>sont</w:t>
      </w:r>
      <w:r w:rsidR="000A7AAB" w:rsidRPr="002C4077">
        <w:t xml:space="preserve"> </w:t>
      </w:r>
      <w:r w:rsidR="000A7AAB">
        <w:t>foulés,</w:t>
      </w:r>
      <w:r w:rsidR="000A7AAB" w:rsidRPr="002C4077">
        <w:t xml:space="preserve"> </w:t>
      </w:r>
      <w:r w:rsidR="000A7AAB">
        <w:t>et</w:t>
      </w:r>
      <w:r w:rsidR="000A7AAB" w:rsidRPr="002C4077">
        <w:t xml:space="preserve"> </w:t>
      </w:r>
      <w:r w:rsidR="000A7AAB">
        <w:t>pour</w:t>
      </w:r>
      <w:r w:rsidR="000A7AAB" w:rsidRPr="002C4077">
        <w:t xml:space="preserve"> </w:t>
      </w:r>
      <w:r w:rsidR="000A7AAB">
        <w:t>publier</w:t>
      </w:r>
      <w:r w:rsidR="000A7AAB" w:rsidRPr="002C4077">
        <w:t xml:space="preserve"> </w:t>
      </w:r>
      <w:r w:rsidR="000A7AAB">
        <w:t>l’an</w:t>
      </w:r>
      <w:r w:rsidR="000A7AAB" w:rsidRPr="002C4077">
        <w:t xml:space="preserve"> </w:t>
      </w:r>
      <w:r w:rsidR="000A7AAB">
        <w:t>agréable</w:t>
      </w:r>
      <w:r w:rsidR="000A7AAB" w:rsidRPr="002C4077">
        <w:t xml:space="preserve"> </w:t>
      </w:r>
      <w:r w:rsidR="000A7AAB">
        <w:t>du</w:t>
      </w:r>
      <w:r w:rsidR="000A7AAB" w:rsidRPr="002C4077">
        <w:t xml:space="preserve"> </w:t>
      </w:r>
      <w:r w:rsidR="000A7AAB">
        <w:t>Seigneur.</w:t>
      </w:r>
      <w:r w:rsidR="000A7AAB" w:rsidRPr="002C4077">
        <w:t xml:space="preserve"> </w:t>
      </w:r>
      <w:r w:rsidR="000A7AAB">
        <w:t>Puis,</w:t>
      </w:r>
      <w:r w:rsidR="000A7AAB" w:rsidRPr="002C4077">
        <w:t xml:space="preserve"> </w:t>
      </w:r>
      <w:r w:rsidR="000A7AAB">
        <w:t>ayant</w:t>
      </w:r>
      <w:r w:rsidR="000A7AAB" w:rsidRPr="002C4077">
        <w:t xml:space="preserve"> </w:t>
      </w:r>
      <w:r w:rsidR="000A7AAB">
        <w:t>ployé</w:t>
      </w:r>
      <w:r w:rsidR="000A7AAB" w:rsidRPr="002C4077">
        <w:t xml:space="preserve"> </w:t>
      </w:r>
      <w:r w:rsidR="000A7AAB">
        <w:t>le</w:t>
      </w:r>
      <w:r w:rsidR="000A7AAB" w:rsidRPr="002C4077">
        <w:t xml:space="preserve"> </w:t>
      </w:r>
      <w:r w:rsidR="000A7AAB">
        <w:t>livre</w:t>
      </w:r>
      <w:r w:rsidR="000A7AAB" w:rsidRPr="002C4077">
        <w:t xml:space="preserve"> </w:t>
      </w:r>
      <w:r w:rsidR="000A7AAB">
        <w:t>et</w:t>
      </w:r>
      <w:r w:rsidR="000A7AAB" w:rsidRPr="002C4077">
        <w:t xml:space="preserve"> </w:t>
      </w:r>
      <w:r w:rsidR="000A7AAB">
        <w:t>l’ayant</w:t>
      </w:r>
      <w:r w:rsidR="000A7AAB" w:rsidRPr="002C4077">
        <w:t xml:space="preserve"> </w:t>
      </w:r>
      <w:r w:rsidR="000A7AAB">
        <w:t>rendu</w:t>
      </w:r>
      <w:r w:rsidR="000A7AAB" w:rsidRPr="002C4077">
        <w:t xml:space="preserve"> </w:t>
      </w:r>
      <w:r w:rsidR="000A7AAB">
        <w:t>au</w:t>
      </w:r>
      <w:r w:rsidR="000A7AAB" w:rsidRPr="002C4077">
        <w:t xml:space="preserve"> </w:t>
      </w:r>
      <w:r w:rsidR="000A7AAB">
        <w:t>ministre,</w:t>
      </w:r>
      <w:r w:rsidR="000A7AAB" w:rsidRPr="002C4077">
        <w:t xml:space="preserve"> </w:t>
      </w:r>
      <w:r w:rsidR="000A7AAB">
        <w:t>il</w:t>
      </w:r>
      <w:r w:rsidR="000A7AAB" w:rsidRPr="002C4077">
        <w:t xml:space="preserve"> </w:t>
      </w:r>
      <w:r w:rsidR="000A7AAB">
        <w:t>s’assit,</w:t>
      </w:r>
      <w:r w:rsidR="000A7AAB" w:rsidRPr="002C4077">
        <w:t xml:space="preserve"> </w:t>
      </w:r>
      <w:r w:rsidR="000A7AAB">
        <w:t>et</w:t>
      </w:r>
      <w:r w:rsidR="000A7AAB" w:rsidRPr="002C4077">
        <w:t xml:space="preserve"> </w:t>
      </w:r>
      <w:r w:rsidR="000A7AAB">
        <w:t>les</w:t>
      </w:r>
      <w:r w:rsidR="000A7AAB" w:rsidRPr="002C4077">
        <w:t xml:space="preserve"> </w:t>
      </w:r>
      <w:r w:rsidR="000A7AAB">
        <w:t>yeux</w:t>
      </w:r>
      <w:r w:rsidR="000A7AAB" w:rsidRPr="002C4077">
        <w:t xml:space="preserve"> </w:t>
      </w:r>
      <w:r w:rsidR="000A7AAB">
        <w:t>de</w:t>
      </w:r>
      <w:r w:rsidR="000A7AAB" w:rsidRPr="002C4077">
        <w:t xml:space="preserve"> </w:t>
      </w:r>
      <w:r w:rsidR="000A7AAB">
        <w:t>tous</w:t>
      </w:r>
      <w:r w:rsidR="000A7AAB" w:rsidRPr="002C4077">
        <w:t xml:space="preserve"> </w:t>
      </w:r>
      <w:r w:rsidR="000A7AAB">
        <w:t>ceux</w:t>
      </w:r>
      <w:r w:rsidR="000A7AAB" w:rsidRPr="002C4077">
        <w:t xml:space="preserve"> </w:t>
      </w:r>
      <w:r w:rsidR="000A7AAB">
        <w:t>qui</w:t>
      </w:r>
      <w:r w:rsidR="000A7AAB" w:rsidRPr="002C4077">
        <w:t xml:space="preserve"> </w:t>
      </w:r>
      <w:r w:rsidR="000A7AAB">
        <w:t>étaient</w:t>
      </w:r>
      <w:r w:rsidR="000A7AAB" w:rsidRPr="002C4077">
        <w:t xml:space="preserve"> </w:t>
      </w:r>
      <w:r w:rsidR="000A7AAB">
        <w:t>dans</w:t>
      </w:r>
      <w:r w:rsidR="000A7AAB" w:rsidRPr="002C4077">
        <w:t xml:space="preserve"> </w:t>
      </w:r>
      <w:r w:rsidR="000A7AAB">
        <w:t>la</w:t>
      </w:r>
      <w:r w:rsidR="000A7AAB" w:rsidRPr="002C4077">
        <w:t xml:space="preserve"> </w:t>
      </w:r>
      <w:r w:rsidR="000A7AAB">
        <w:t>synagogue</w:t>
      </w:r>
      <w:r w:rsidR="000A7AAB" w:rsidRPr="002C4077">
        <w:t xml:space="preserve"> </w:t>
      </w:r>
      <w:r w:rsidR="000A7AAB">
        <w:t>étaient</w:t>
      </w:r>
      <w:r w:rsidR="000A7AAB" w:rsidRPr="002C4077">
        <w:t xml:space="preserve"> </w:t>
      </w:r>
      <w:r w:rsidR="000A7AAB">
        <w:t>arrêtés</w:t>
      </w:r>
      <w:r w:rsidR="000A7AAB" w:rsidRPr="002C4077">
        <w:t xml:space="preserve"> </w:t>
      </w:r>
      <w:r w:rsidR="000A7AAB">
        <w:t>sur</w:t>
      </w:r>
      <w:r w:rsidR="000A7AAB" w:rsidRPr="002C4077">
        <w:t xml:space="preserve"> </w:t>
      </w:r>
      <w:r w:rsidR="000A7AAB">
        <w:t>lui.</w:t>
      </w:r>
      <w:r w:rsidR="000A7AAB" w:rsidRPr="002C4077">
        <w:t xml:space="preserve"> </w:t>
      </w:r>
      <w:r w:rsidR="000A7AAB">
        <w:t>Alors</w:t>
      </w:r>
      <w:r w:rsidR="000A7AAB" w:rsidRPr="002C4077">
        <w:t xml:space="preserve"> </w:t>
      </w:r>
      <w:r w:rsidR="000A7AAB">
        <w:t>il</w:t>
      </w:r>
      <w:r w:rsidR="000A7AAB" w:rsidRPr="002C4077">
        <w:t xml:space="preserve"> </w:t>
      </w:r>
      <w:r w:rsidR="000A7AAB">
        <w:t>commença</w:t>
      </w:r>
      <w:r w:rsidR="000A7AAB" w:rsidRPr="002C4077">
        <w:t xml:space="preserve"> </w:t>
      </w:r>
      <w:r w:rsidR="000A7AAB">
        <w:t>à</w:t>
      </w:r>
      <w:r w:rsidR="000A7AAB" w:rsidRPr="002C4077">
        <w:t xml:space="preserve"> </w:t>
      </w:r>
      <w:r w:rsidR="000A7AAB">
        <w:t>leur</w:t>
      </w:r>
      <w:r w:rsidR="000A7AAB" w:rsidRPr="002C4077">
        <w:t xml:space="preserve"> </w:t>
      </w:r>
      <w:r w:rsidR="000A7AAB">
        <w:t>dire</w:t>
      </w:r>
      <w:r w:rsidR="00B546AF">
        <w:t> :</w:t>
      </w:r>
      <w:r w:rsidR="000A7AAB" w:rsidRPr="002C4077">
        <w:t xml:space="preserve"> </w:t>
      </w:r>
      <w:r w:rsidR="000A7AAB">
        <w:t>Aujourd’hui</w:t>
      </w:r>
      <w:r w:rsidR="000A7AAB" w:rsidRPr="002C4077">
        <w:t xml:space="preserve"> </w:t>
      </w:r>
      <w:r w:rsidR="000A7AAB">
        <w:t>cette</w:t>
      </w:r>
      <w:r w:rsidR="000A7AAB" w:rsidRPr="002C4077">
        <w:t xml:space="preserve"> </w:t>
      </w:r>
      <w:r w:rsidR="000A7AAB">
        <w:t>écriture</w:t>
      </w:r>
      <w:r w:rsidR="000A7AAB" w:rsidRPr="002C4077">
        <w:t xml:space="preserve"> </w:t>
      </w:r>
      <w:r w:rsidR="00425C50">
        <w:t>est</w:t>
      </w:r>
      <w:r w:rsidR="000A7AAB" w:rsidRPr="002C4077">
        <w:t xml:space="preserve"> </w:t>
      </w:r>
      <w:r w:rsidR="000A7AAB">
        <w:t>accomplie,</w:t>
      </w:r>
      <w:r w:rsidR="000A7AAB" w:rsidRPr="002C4077">
        <w:t xml:space="preserve"> </w:t>
      </w:r>
      <w:r w:rsidR="000A7AAB">
        <w:t>vous</w:t>
      </w:r>
      <w:r w:rsidR="000A7AAB" w:rsidRPr="002C4077">
        <w:t xml:space="preserve"> </w:t>
      </w:r>
      <w:r w:rsidR="000A7AAB">
        <w:t>l’oyant.</w:t>
      </w:r>
      <w:r w:rsidR="000A7AAB" w:rsidRPr="002C4077">
        <w:t xml:space="preserve"> </w:t>
      </w:r>
      <w:r w:rsidR="000A7AAB">
        <w:t>Et</w:t>
      </w:r>
      <w:r w:rsidR="000A7AAB" w:rsidRPr="002C4077">
        <w:t xml:space="preserve"> </w:t>
      </w:r>
      <w:r w:rsidR="000A7AAB">
        <w:t>tous</w:t>
      </w:r>
      <w:r w:rsidR="000A7AAB" w:rsidRPr="002C4077">
        <w:t xml:space="preserve"> </w:t>
      </w:r>
      <w:r w:rsidR="000A7AAB">
        <w:t>lui</w:t>
      </w:r>
      <w:r w:rsidR="000A7AAB" w:rsidRPr="002C4077">
        <w:t xml:space="preserve"> </w:t>
      </w:r>
      <w:r w:rsidR="000A7AAB">
        <w:t>rendaient</w:t>
      </w:r>
      <w:r w:rsidR="000A7AAB" w:rsidRPr="002C4077">
        <w:t xml:space="preserve"> </w:t>
      </w:r>
      <w:r w:rsidR="000A7AAB">
        <w:t>témoignage,</w:t>
      </w:r>
      <w:r w:rsidR="000A7AAB" w:rsidRPr="002C4077">
        <w:t xml:space="preserve"> </w:t>
      </w:r>
      <w:r w:rsidR="000A7AAB">
        <w:t>et</w:t>
      </w:r>
      <w:r w:rsidR="000A7AAB" w:rsidRPr="002C4077">
        <w:t xml:space="preserve"> </w:t>
      </w:r>
      <w:r w:rsidR="000A7AAB">
        <w:t>s’étonnaient</w:t>
      </w:r>
      <w:r w:rsidR="000A7AAB" w:rsidRPr="002C4077">
        <w:t xml:space="preserve"> </w:t>
      </w:r>
      <w:r w:rsidR="000A7AAB">
        <w:t>des</w:t>
      </w:r>
      <w:r w:rsidR="000A7AAB" w:rsidRPr="002C4077">
        <w:t xml:space="preserve"> </w:t>
      </w:r>
      <w:r w:rsidR="000A7AAB">
        <w:t>paroles</w:t>
      </w:r>
      <w:r w:rsidR="000A7AAB" w:rsidRPr="002C4077">
        <w:t xml:space="preserve"> </w:t>
      </w:r>
      <w:r w:rsidR="000A7AAB">
        <w:t>pleines</w:t>
      </w:r>
      <w:r w:rsidR="000A7AAB" w:rsidRPr="002C4077">
        <w:t xml:space="preserve"> </w:t>
      </w:r>
      <w:r w:rsidR="000A7AAB">
        <w:t>de</w:t>
      </w:r>
      <w:r w:rsidR="000A7AAB" w:rsidRPr="002C4077">
        <w:t xml:space="preserve"> </w:t>
      </w:r>
      <w:r w:rsidR="000A7AAB">
        <w:t>grâce</w:t>
      </w:r>
      <w:r w:rsidR="000A7AAB" w:rsidRPr="002C4077">
        <w:t xml:space="preserve"> </w:t>
      </w:r>
      <w:r w:rsidR="000A7AAB">
        <w:t>qui</w:t>
      </w:r>
      <w:r w:rsidR="000A7AAB" w:rsidRPr="002C4077">
        <w:t xml:space="preserve"> </w:t>
      </w:r>
      <w:r w:rsidR="000A7AAB">
        <w:t>sortaient</w:t>
      </w:r>
      <w:r w:rsidR="000A7AAB" w:rsidRPr="002C4077">
        <w:t xml:space="preserve"> </w:t>
      </w:r>
      <w:r w:rsidR="000A7AAB">
        <w:t>de</w:t>
      </w:r>
      <w:r w:rsidR="000A7AAB" w:rsidRPr="002C4077">
        <w:t xml:space="preserve"> </w:t>
      </w:r>
      <w:r w:rsidR="000A7AAB">
        <w:t>sa</w:t>
      </w:r>
      <w:r w:rsidR="000A7AAB" w:rsidRPr="002C4077">
        <w:t xml:space="preserve"> </w:t>
      </w:r>
      <w:r w:rsidR="000A7AAB">
        <w:t>bouche,</w:t>
      </w:r>
      <w:r w:rsidR="000A7AAB" w:rsidRPr="002C4077">
        <w:t xml:space="preserve"> </w:t>
      </w:r>
      <w:r w:rsidR="000A7AAB">
        <w:t>et</w:t>
      </w:r>
      <w:r w:rsidR="000A7AAB" w:rsidRPr="002C4077">
        <w:t xml:space="preserve"> </w:t>
      </w:r>
      <w:r w:rsidR="000A7AAB">
        <w:t>ils</w:t>
      </w:r>
      <w:r w:rsidR="000A7AAB" w:rsidRPr="002C4077">
        <w:t xml:space="preserve"> </w:t>
      </w:r>
      <w:r w:rsidR="000A7AAB">
        <w:t>disaient</w:t>
      </w:r>
      <w:r w:rsidR="00B546AF">
        <w:t> :</w:t>
      </w:r>
      <w:r w:rsidR="000A7AAB" w:rsidRPr="002C4077">
        <w:t xml:space="preserve"> </w:t>
      </w:r>
      <w:r w:rsidR="003B53FD">
        <w:t>Celui</w:t>
      </w:r>
      <w:r w:rsidR="000A7AAB">
        <w:t>-ci</w:t>
      </w:r>
      <w:r w:rsidR="000A7AAB" w:rsidRPr="002C4077">
        <w:t xml:space="preserve"> </w:t>
      </w:r>
      <w:r w:rsidR="000A7AAB">
        <w:t>n’est-il</w:t>
      </w:r>
      <w:r w:rsidR="000A7AAB" w:rsidRPr="002C4077">
        <w:t xml:space="preserve"> </w:t>
      </w:r>
      <w:r w:rsidR="000A7AAB">
        <w:t>pas</w:t>
      </w:r>
      <w:r w:rsidR="000A7AAB" w:rsidRPr="002C4077">
        <w:t xml:space="preserve"> </w:t>
      </w:r>
      <w:r w:rsidR="000A7AAB">
        <w:t>le</w:t>
      </w:r>
      <w:r w:rsidR="000A7AAB" w:rsidRPr="002C4077">
        <w:t xml:space="preserve"> </w:t>
      </w:r>
      <w:r w:rsidR="000A7AAB">
        <w:t>fils</w:t>
      </w:r>
      <w:r w:rsidR="000A7AAB" w:rsidRPr="002C4077">
        <w:t xml:space="preserve"> </w:t>
      </w:r>
      <w:r w:rsidR="000A7AAB">
        <w:t>de</w:t>
      </w:r>
      <w:r w:rsidR="000A7AAB" w:rsidRPr="002C4077">
        <w:t xml:space="preserve"> </w:t>
      </w:r>
      <w:r w:rsidR="000A7AAB">
        <w:t>Joseph</w:t>
      </w:r>
      <w:r w:rsidR="00B546AF">
        <w:t> ?</w:t>
      </w:r>
      <w:r w:rsidR="000A7AAB" w:rsidRPr="002C4077">
        <w:t xml:space="preserve"> </w:t>
      </w:r>
      <w:r w:rsidR="000A7AAB">
        <w:t>Et</w:t>
      </w:r>
      <w:r w:rsidR="000A7AAB" w:rsidRPr="002C4077">
        <w:t xml:space="preserve"> </w:t>
      </w:r>
      <w:r w:rsidR="000A7AAB">
        <w:t>il</w:t>
      </w:r>
      <w:r w:rsidR="000A7AAB" w:rsidRPr="002C4077">
        <w:t xml:space="preserve"> </w:t>
      </w:r>
      <w:r w:rsidR="000A7AAB">
        <w:t>leur</w:t>
      </w:r>
      <w:r w:rsidR="000A7AAB" w:rsidRPr="002C4077">
        <w:t xml:space="preserve"> </w:t>
      </w:r>
      <w:r w:rsidR="000A7AAB">
        <w:t>dit</w:t>
      </w:r>
      <w:r w:rsidR="00B546AF">
        <w:t> :</w:t>
      </w:r>
      <w:r w:rsidR="000A7AAB" w:rsidRPr="002C4077">
        <w:t xml:space="preserve"> </w:t>
      </w:r>
      <w:r w:rsidR="000A7AAB">
        <w:t>Assurément,</w:t>
      </w:r>
      <w:r w:rsidR="000A7AAB" w:rsidRPr="002C4077">
        <w:t xml:space="preserve"> </w:t>
      </w:r>
      <w:r w:rsidR="000A7AAB">
        <w:t>vous</w:t>
      </w:r>
      <w:r w:rsidR="000A7AAB" w:rsidRPr="002C4077">
        <w:t xml:space="preserve"> </w:t>
      </w:r>
      <w:r w:rsidR="000A7AAB">
        <w:t>me</w:t>
      </w:r>
      <w:r w:rsidR="000A7AAB" w:rsidRPr="002C4077">
        <w:t xml:space="preserve"> </w:t>
      </w:r>
      <w:r w:rsidR="000A7AAB">
        <w:t>direz</w:t>
      </w:r>
      <w:r w:rsidR="000A7AAB" w:rsidRPr="002C4077">
        <w:t xml:space="preserve"> </w:t>
      </w:r>
      <w:r w:rsidR="000A7AAB">
        <w:t>ce</w:t>
      </w:r>
      <w:r w:rsidR="000A7AAB" w:rsidRPr="002C4077">
        <w:t xml:space="preserve"> </w:t>
      </w:r>
      <w:r w:rsidR="000A7AAB">
        <w:t>proverbe</w:t>
      </w:r>
      <w:r w:rsidR="00B546AF">
        <w:t> :</w:t>
      </w:r>
      <w:r w:rsidR="000A7AAB" w:rsidRPr="002C4077">
        <w:t xml:space="preserve"> </w:t>
      </w:r>
      <w:r w:rsidR="000A7AAB">
        <w:t>Médecin,</w:t>
      </w:r>
      <w:r w:rsidR="000A7AAB" w:rsidRPr="002C4077">
        <w:t xml:space="preserve"> </w:t>
      </w:r>
      <w:r w:rsidR="000A7AAB">
        <w:t>guéris-toi</w:t>
      </w:r>
      <w:r w:rsidR="000A7AAB" w:rsidRPr="002C4077">
        <w:t xml:space="preserve"> </w:t>
      </w:r>
      <w:r w:rsidR="000A7AAB">
        <w:t>toi-même,</w:t>
      </w:r>
      <w:r w:rsidR="000A7AAB" w:rsidRPr="002C4077">
        <w:t xml:space="preserve"> </w:t>
      </w:r>
      <w:r w:rsidR="000A7AAB">
        <w:t>et</w:t>
      </w:r>
      <w:r w:rsidR="000A7AAB" w:rsidRPr="002C4077">
        <w:t xml:space="preserve"> </w:t>
      </w:r>
      <w:r w:rsidR="000A7AAB">
        <w:t>fais</w:t>
      </w:r>
      <w:r w:rsidR="000A7AAB" w:rsidRPr="002C4077">
        <w:t xml:space="preserve"> </w:t>
      </w:r>
      <w:r w:rsidR="000A7AAB">
        <w:t>ici</w:t>
      </w:r>
      <w:r w:rsidR="000A7AAB" w:rsidRPr="002C4077">
        <w:t xml:space="preserve"> </w:t>
      </w:r>
      <w:r w:rsidR="000A7AAB">
        <w:t>dans</w:t>
      </w:r>
      <w:r w:rsidR="000A7AAB" w:rsidRPr="002C4077">
        <w:t xml:space="preserve"> </w:t>
      </w:r>
      <w:r w:rsidR="000A7AAB">
        <w:t>ton</w:t>
      </w:r>
      <w:r w:rsidR="000A7AAB" w:rsidRPr="002C4077">
        <w:t xml:space="preserve"> </w:t>
      </w:r>
      <w:r w:rsidR="000A7AAB">
        <w:t>pays</w:t>
      </w:r>
      <w:r w:rsidR="000A7AAB" w:rsidRPr="002C4077">
        <w:t xml:space="preserve"> </w:t>
      </w:r>
      <w:r w:rsidR="000A7AAB">
        <w:t>toutes</w:t>
      </w:r>
      <w:r w:rsidR="000A7AAB" w:rsidRPr="002C4077">
        <w:t xml:space="preserve"> </w:t>
      </w:r>
      <w:r w:rsidR="000A7AAB">
        <w:t>les</w:t>
      </w:r>
      <w:r w:rsidR="000A7AAB" w:rsidRPr="002C4077">
        <w:t xml:space="preserve"> </w:t>
      </w:r>
      <w:r w:rsidR="000A7AAB">
        <w:t>choses</w:t>
      </w:r>
      <w:r w:rsidR="000A7AAB" w:rsidRPr="002C4077">
        <w:t xml:space="preserve"> </w:t>
      </w:r>
      <w:r w:rsidR="000A7AAB">
        <w:t>que</w:t>
      </w:r>
      <w:r w:rsidR="000A7AAB" w:rsidRPr="002C4077">
        <w:t xml:space="preserve"> </w:t>
      </w:r>
      <w:r w:rsidR="000A7AAB">
        <w:t>nous</w:t>
      </w:r>
      <w:r w:rsidR="000A7AAB" w:rsidRPr="002C4077">
        <w:t xml:space="preserve"> </w:t>
      </w:r>
      <w:r w:rsidR="000A7AAB">
        <w:t>avons</w:t>
      </w:r>
      <w:r w:rsidR="000A7AAB" w:rsidRPr="002C4077">
        <w:t xml:space="preserve"> </w:t>
      </w:r>
      <w:r w:rsidR="000A7AAB">
        <w:t>ouï</w:t>
      </w:r>
      <w:r w:rsidR="000A7AAB" w:rsidRPr="002C4077">
        <w:t xml:space="preserve"> </w:t>
      </w:r>
      <w:r w:rsidR="000A7AAB">
        <w:t>dire</w:t>
      </w:r>
      <w:r w:rsidR="000A7AAB" w:rsidRPr="002C4077">
        <w:t xml:space="preserve"> </w:t>
      </w:r>
      <w:r w:rsidR="000A7AAB">
        <w:t>que</w:t>
      </w:r>
      <w:r w:rsidR="000A7AAB" w:rsidRPr="002C4077">
        <w:t xml:space="preserve"> </w:t>
      </w:r>
      <w:r w:rsidR="000A7AAB">
        <w:t>tu</w:t>
      </w:r>
      <w:r w:rsidR="000A7AAB" w:rsidRPr="002C4077">
        <w:t xml:space="preserve"> </w:t>
      </w:r>
      <w:r w:rsidR="000A7AAB">
        <w:t>as</w:t>
      </w:r>
      <w:r w:rsidR="000A7AAB" w:rsidRPr="002C4077">
        <w:t xml:space="preserve"> </w:t>
      </w:r>
      <w:r w:rsidR="000A7AAB">
        <w:t>faites</w:t>
      </w:r>
      <w:r w:rsidR="000A7AAB" w:rsidRPr="002C4077">
        <w:t xml:space="preserve"> </w:t>
      </w:r>
      <w:r w:rsidR="000A7AAB">
        <w:t>à</w:t>
      </w:r>
      <w:r w:rsidR="000A7AAB" w:rsidRPr="002C4077">
        <w:t xml:space="preserve"> </w:t>
      </w:r>
      <w:r w:rsidR="00425C50">
        <w:t>Capharnaüm</w:t>
      </w:r>
      <w:r w:rsidR="000A7AAB">
        <w:t>.</w:t>
      </w:r>
      <w:r w:rsidR="000A7AAB" w:rsidRPr="002C4077">
        <w:t xml:space="preserve"> </w:t>
      </w:r>
      <w:r w:rsidR="000A7AAB">
        <w:t>Mais</w:t>
      </w:r>
      <w:r w:rsidR="000A7AAB" w:rsidRPr="002C4077">
        <w:t xml:space="preserve"> </w:t>
      </w:r>
      <w:r w:rsidR="000A7AAB">
        <w:t>il</w:t>
      </w:r>
      <w:r w:rsidR="000A7AAB" w:rsidRPr="002C4077">
        <w:t xml:space="preserve"> </w:t>
      </w:r>
      <w:r w:rsidR="000A7AAB">
        <w:t>leur</w:t>
      </w:r>
      <w:r w:rsidR="000A7AAB" w:rsidRPr="002C4077">
        <w:t xml:space="preserve"> </w:t>
      </w:r>
      <w:r w:rsidR="000A7AAB">
        <w:t>dit</w:t>
      </w:r>
      <w:r w:rsidR="00B546AF">
        <w:t> ;</w:t>
      </w:r>
      <w:r w:rsidR="000A7AAB" w:rsidRPr="002C4077">
        <w:t xml:space="preserve"> </w:t>
      </w:r>
      <w:r w:rsidR="000A7AAB">
        <w:t>En</w:t>
      </w:r>
      <w:r w:rsidR="000A7AAB" w:rsidRPr="002C4077">
        <w:t xml:space="preserve"> </w:t>
      </w:r>
      <w:r w:rsidR="000A7AAB">
        <w:t>vérité,</w:t>
      </w:r>
      <w:r w:rsidR="000A7AAB" w:rsidRPr="002C4077">
        <w:t xml:space="preserve"> </w:t>
      </w:r>
      <w:r w:rsidR="000A7AAB">
        <w:t>je</w:t>
      </w:r>
      <w:r w:rsidR="000A7AAB" w:rsidRPr="002C4077">
        <w:t xml:space="preserve"> </w:t>
      </w:r>
      <w:r w:rsidR="000A7AAB">
        <w:t>vous</w:t>
      </w:r>
      <w:r w:rsidR="000A7AAB" w:rsidRPr="002C4077">
        <w:t xml:space="preserve"> </w:t>
      </w:r>
      <w:r w:rsidR="000A7AAB">
        <w:t>dis</w:t>
      </w:r>
      <w:r w:rsidR="000A7AAB" w:rsidRPr="002C4077">
        <w:t xml:space="preserve"> </w:t>
      </w:r>
      <w:r w:rsidR="000A7AAB">
        <w:t>qu’aucun</w:t>
      </w:r>
      <w:r w:rsidR="000A7AAB" w:rsidRPr="002C4077">
        <w:t xml:space="preserve"> </w:t>
      </w:r>
      <w:r w:rsidR="000A7AAB">
        <w:t>prophète</w:t>
      </w:r>
      <w:r w:rsidR="000A7AAB" w:rsidRPr="002C4077">
        <w:t xml:space="preserve"> </w:t>
      </w:r>
      <w:r w:rsidR="000A7AAB">
        <w:t>n’est</w:t>
      </w:r>
      <w:r w:rsidR="000A7AAB" w:rsidRPr="002C4077">
        <w:t xml:space="preserve"> </w:t>
      </w:r>
      <w:r w:rsidR="000A7AAB">
        <w:t>bien</w:t>
      </w:r>
      <w:r w:rsidR="000A7AAB" w:rsidRPr="002C4077">
        <w:t xml:space="preserve"> </w:t>
      </w:r>
      <w:r w:rsidR="000A7AAB">
        <w:t>reçu</w:t>
      </w:r>
      <w:r w:rsidR="000A7AAB" w:rsidRPr="002C4077">
        <w:t xml:space="preserve"> </w:t>
      </w:r>
      <w:r w:rsidR="000A7AAB">
        <w:t>dans</w:t>
      </w:r>
      <w:r w:rsidR="000A7AAB" w:rsidRPr="002C4077">
        <w:t xml:space="preserve"> </w:t>
      </w:r>
      <w:r w:rsidR="000A7AAB">
        <w:t>son</w:t>
      </w:r>
      <w:r w:rsidR="000A7AAB" w:rsidRPr="002C4077">
        <w:t xml:space="preserve"> </w:t>
      </w:r>
      <w:r w:rsidR="000A7AAB">
        <w:t>pays.</w:t>
      </w:r>
      <w:r w:rsidR="000A7AAB" w:rsidRPr="002C4077">
        <w:t xml:space="preserve"> </w:t>
      </w:r>
      <w:r w:rsidR="000A7AAB">
        <w:t>Et</w:t>
      </w:r>
      <w:r w:rsidR="000A7AAB" w:rsidRPr="002C4077">
        <w:t xml:space="preserve"> </w:t>
      </w:r>
      <w:r w:rsidR="000A7AAB">
        <w:t>certes,</w:t>
      </w:r>
      <w:r w:rsidR="000A7AAB" w:rsidRPr="002C4077">
        <w:t xml:space="preserve"> </w:t>
      </w:r>
      <w:r w:rsidR="000A7AAB">
        <w:t>je</w:t>
      </w:r>
      <w:r w:rsidR="000A7AAB" w:rsidRPr="002C4077">
        <w:t xml:space="preserve"> </w:t>
      </w:r>
      <w:r w:rsidR="000A7AAB">
        <w:t>vous</w:t>
      </w:r>
      <w:r w:rsidR="000A7AAB" w:rsidRPr="002C4077">
        <w:t xml:space="preserve"> </w:t>
      </w:r>
      <w:r w:rsidR="000A7AAB">
        <w:t>dis</w:t>
      </w:r>
      <w:r w:rsidR="000A7AAB" w:rsidRPr="002C4077">
        <w:t xml:space="preserve"> </w:t>
      </w:r>
      <w:r w:rsidR="000A7AAB">
        <w:t>qu’il</w:t>
      </w:r>
      <w:r w:rsidR="000A7AAB" w:rsidRPr="002C4077">
        <w:t xml:space="preserve"> </w:t>
      </w:r>
      <w:r w:rsidR="000A7AAB">
        <w:t>y</w:t>
      </w:r>
      <w:r w:rsidR="000A7AAB" w:rsidRPr="002C4077">
        <w:t xml:space="preserve"> </w:t>
      </w:r>
      <w:r w:rsidR="000A7AAB">
        <w:t>avait</w:t>
      </w:r>
      <w:r w:rsidR="000A7AAB" w:rsidRPr="002C4077">
        <w:t xml:space="preserve"> </w:t>
      </w:r>
      <w:r w:rsidR="000A7AAB">
        <w:t>plusieurs</w:t>
      </w:r>
      <w:r w:rsidR="000A7AAB" w:rsidRPr="002C4077">
        <w:t xml:space="preserve"> </w:t>
      </w:r>
      <w:r w:rsidR="000A7AAB">
        <w:t>veuves</w:t>
      </w:r>
      <w:r w:rsidR="000A7AAB" w:rsidRPr="002C4077">
        <w:t xml:space="preserve"> </w:t>
      </w:r>
      <w:r w:rsidR="000A7AAB">
        <w:t>en</w:t>
      </w:r>
      <w:r w:rsidR="000A7AAB" w:rsidRPr="002C4077">
        <w:t xml:space="preserve"> </w:t>
      </w:r>
      <w:r w:rsidR="000A7AAB">
        <w:t>Israël</w:t>
      </w:r>
      <w:r w:rsidR="000A7AAB" w:rsidRPr="002C4077">
        <w:t xml:space="preserve"> </w:t>
      </w:r>
      <w:r w:rsidR="000A7AAB">
        <w:t>du</w:t>
      </w:r>
      <w:r w:rsidR="000A7AAB" w:rsidRPr="002C4077">
        <w:t xml:space="preserve"> </w:t>
      </w:r>
      <w:r w:rsidR="000A7AAB">
        <w:t>temps</w:t>
      </w:r>
      <w:r w:rsidR="000A7AAB" w:rsidRPr="002C4077">
        <w:t xml:space="preserve"> </w:t>
      </w:r>
      <w:r w:rsidR="000A7AAB">
        <w:t>d’Élie,</w:t>
      </w:r>
      <w:r w:rsidR="000A7AAB" w:rsidRPr="002C4077">
        <w:t xml:space="preserve"> </w:t>
      </w:r>
      <w:r w:rsidR="000A7AAB">
        <w:t>lorsque</w:t>
      </w:r>
      <w:r w:rsidR="000A7AAB" w:rsidRPr="002C4077">
        <w:t xml:space="preserve"> </w:t>
      </w:r>
      <w:r w:rsidR="000A7AAB">
        <w:t>le</w:t>
      </w:r>
      <w:r w:rsidR="000A7AAB" w:rsidRPr="002C4077">
        <w:t xml:space="preserve"> </w:t>
      </w:r>
      <w:r w:rsidR="000A7AAB">
        <w:t>ciel</w:t>
      </w:r>
      <w:r w:rsidR="000A7AAB" w:rsidRPr="002C4077">
        <w:t xml:space="preserve"> </w:t>
      </w:r>
      <w:r w:rsidR="000A7AAB">
        <w:t>fut</w:t>
      </w:r>
      <w:r w:rsidR="000A7AAB" w:rsidRPr="002C4077">
        <w:t xml:space="preserve"> </w:t>
      </w:r>
      <w:r w:rsidR="000A7AAB">
        <w:t>fermé</w:t>
      </w:r>
      <w:r w:rsidR="000A7AAB" w:rsidRPr="002C4077">
        <w:t xml:space="preserve"> </w:t>
      </w:r>
      <w:r w:rsidR="000A7AAB">
        <w:t>trois</w:t>
      </w:r>
      <w:r w:rsidR="000A7AAB" w:rsidRPr="002C4077">
        <w:t xml:space="preserve"> </w:t>
      </w:r>
      <w:r w:rsidR="000A7AAB">
        <w:t>ans</w:t>
      </w:r>
      <w:r w:rsidR="000A7AAB" w:rsidRPr="002C4077">
        <w:t xml:space="preserve"> </w:t>
      </w:r>
      <w:r w:rsidR="000A7AAB">
        <w:t>et</w:t>
      </w:r>
      <w:r w:rsidR="000A7AAB" w:rsidRPr="002C4077">
        <w:t xml:space="preserve"> </w:t>
      </w:r>
      <w:r w:rsidR="000A7AAB">
        <w:t>six</w:t>
      </w:r>
      <w:r w:rsidR="000A7AAB" w:rsidRPr="002C4077">
        <w:t xml:space="preserve"> </w:t>
      </w:r>
      <w:r w:rsidR="000A7AAB">
        <w:t>mois,</w:t>
      </w:r>
      <w:r w:rsidR="000A7AAB" w:rsidRPr="002C4077">
        <w:t xml:space="preserve"> </w:t>
      </w:r>
      <w:r w:rsidR="000A7AAB">
        <w:t>de</w:t>
      </w:r>
      <w:r w:rsidR="000A7AAB" w:rsidRPr="002C4077">
        <w:t xml:space="preserve"> </w:t>
      </w:r>
      <w:r w:rsidR="000A7AAB">
        <w:t>sorte</w:t>
      </w:r>
      <w:r w:rsidR="000A7AAB" w:rsidRPr="002C4077">
        <w:t xml:space="preserve"> </w:t>
      </w:r>
      <w:r w:rsidR="000A7AAB">
        <w:t>qu’il</w:t>
      </w:r>
      <w:r w:rsidR="000A7AAB" w:rsidRPr="002C4077">
        <w:t xml:space="preserve"> </w:t>
      </w:r>
      <w:r w:rsidR="000A7AAB">
        <w:t>y</w:t>
      </w:r>
      <w:r w:rsidR="000A7AAB" w:rsidRPr="002C4077">
        <w:t xml:space="preserve"> </w:t>
      </w:r>
      <w:r w:rsidR="000A7AAB">
        <w:t>eut</w:t>
      </w:r>
      <w:r w:rsidR="000A7AAB" w:rsidRPr="002C4077">
        <w:t xml:space="preserve"> </w:t>
      </w:r>
      <w:r w:rsidR="000A7AAB">
        <w:t>une</w:t>
      </w:r>
      <w:r w:rsidR="000A7AAB" w:rsidRPr="002C4077">
        <w:t xml:space="preserve"> </w:t>
      </w:r>
      <w:r w:rsidR="000A7AAB">
        <w:t>grande</w:t>
      </w:r>
      <w:r w:rsidR="000A7AAB" w:rsidRPr="002C4077">
        <w:t xml:space="preserve"> </w:t>
      </w:r>
      <w:r w:rsidR="000A7AAB">
        <w:t>famine</w:t>
      </w:r>
      <w:r w:rsidR="000A7AAB" w:rsidRPr="002C4077">
        <w:t xml:space="preserve"> </w:t>
      </w:r>
      <w:r w:rsidR="000A7AAB">
        <w:t>par</w:t>
      </w:r>
      <w:r w:rsidR="000A7AAB" w:rsidRPr="002C4077">
        <w:t xml:space="preserve"> </w:t>
      </w:r>
      <w:r w:rsidR="000A7AAB">
        <w:t>tout</w:t>
      </w:r>
      <w:r w:rsidR="000A7AAB" w:rsidRPr="002C4077">
        <w:t xml:space="preserve"> </w:t>
      </w:r>
      <w:r w:rsidR="000A7AAB">
        <w:t>le</w:t>
      </w:r>
      <w:r w:rsidR="000A7AAB" w:rsidRPr="002C4077">
        <w:t xml:space="preserve"> </w:t>
      </w:r>
      <w:r w:rsidR="000A7AAB">
        <w:t>pays</w:t>
      </w:r>
      <w:r w:rsidR="00B546AF">
        <w:t> ;</w:t>
      </w:r>
      <w:r w:rsidR="000A7AAB" w:rsidRPr="002C4077">
        <w:t xml:space="preserve"> </w:t>
      </w:r>
      <w:r w:rsidR="000A7AAB">
        <w:t>et</w:t>
      </w:r>
      <w:r w:rsidR="000A7AAB" w:rsidRPr="002C4077">
        <w:t xml:space="preserve"> </w:t>
      </w:r>
      <w:r w:rsidR="000A7AAB">
        <w:t>toutefois</w:t>
      </w:r>
      <w:r w:rsidR="000A7AAB" w:rsidRPr="002C4077">
        <w:t xml:space="preserve"> </w:t>
      </w:r>
      <w:r w:rsidR="000A7AAB">
        <w:t>Élie</w:t>
      </w:r>
      <w:r w:rsidR="000A7AAB" w:rsidRPr="002C4077">
        <w:t xml:space="preserve"> </w:t>
      </w:r>
      <w:r w:rsidR="000A7AAB">
        <w:t>ne</w:t>
      </w:r>
      <w:r w:rsidR="000A7AAB" w:rsidRPr="002C4077">
        <w:t xml:space="preserve"> </w:t>
      </w:r>
      <w:r w:rsidR="000A7AAB">
        <w:t>fut</w:t>
      </w:r>
      <w:r w:rsidR="000A7AAB" w:rsidRPr="002C4077">
        <w:t xml:space="preserve"> </w:t>
      </w:r>
      <w:r w:rsidR="000A7AAB">
        <w:t>envoyé</w:t>
      </w:r>
      <w:r w:rsidR="000A7AAB" w:rsidRPr="002C4077">
        <w:t xml:space="preserve"> </w:t>
      </w:r>
      <w:r w:rsidR="000A7AAB">
        <w:t>vers</w:t>
      </w:r>
      <w:r w:rsidR="000A7AAB" w:rsidRPr="002C4077">
        <w:t xml:space="preserve"> </w:t>
      </w:r>
      <w:r w:rsidR="000A7AAB">
        <w:t>aucune</w:t>
      </w:r>
      <w:r w:rsidR="000A7AAB" w:rsidRPr="002C4077">
        <w:t xml:space="preserve"> </w:t>
      </w:r>
      <w:r w:rsidR="000A7AAB">
        <w:t>d’elles,</w:t>
      </w:r>
      <w:r w:rsidR="000A7AAB" w:rsidRPr="002C4077">
        <w:t xml:space="preserve"> </w:t>
      </w:r>
      <w:r w:rsidR="000A7AAB">
        <w:t>mais</w:t>
      </w:r>
      <w:r w:rsidR="000A7AAB" w:rsidRPr="002C4077">
        <w:t xml:space="preserve"> </w:t>
      </w:r>
      <w:r w:rsidR="000A7AAB">
        <w:t>seulement</w:t>
      </w:r>
      <w:r w:rsidR="000A7AAB" w:rsidRPr="002C4077">
        <w:t xml:space="preserve"> </w:t>
      </w:r>
      <w:r w:rsidR="000A7AAB">
        <w:t>vers</w:t>
      </w:r>
      <w:r w:rsidR="000A7AAB" w:rsidRPr="002C4077">
        <w:t xml:space="preserve"> </w:t>
      </w:r>
      <w:r w:rsidR="000A7AAB">
        <w:t>une</w:t>
      </w:r>
      <w:r w:rsidR="000A7AAB" w:rsidRPr="002C4077">
        <w:t xml:space="preserve"> </w:t>
      </w:r>
      <w:r w:rsidR="000A7AAB">
        <w:t>femme</w:t>
      </w:r>
      <w:r w:rsidR="000A7AAB" w:rsidRPr="002C4077">
        <w:t xml:space="preserve"> </w:t>
      </w:r>
      <w:r w:rsidR="000A7AAB">
        <w:t>veuve</w:t>
      </w:r>
      <w:r w:rsidR="000A7AAB" w:rsidRPr="002C4077">
        <w:t xml:space="preserve"> </w:t>
      </w:r>
      <w:r w:rsidR="000A7AAB">
        <w:t>dans</w:t>
      </w:r>
      <w:r w:rsidR="000A7AAB" w:rsidRPr="002C4077">
        <w:t xml:space="preserve"> </w:t>
      </w:r>
      <w:r w:rsidR="000A7AAB">
        <w:t>Sarepta</w:t>
      </w:r>
      <w:r w:rsidR="000A7AAB" w:rsidRPr="002C4077">
        <w:t xml:space="preserve"> </w:t>
      </w:r>
      <w:r w:rsidR="000A7AAB">
        <w:t>de</w:t>
      </w:r>
      <w:r w:rsidR="000A7AAB" w:rsidRPr="002C4077">
        <w:t xml:space="preserve"> </w:t>
      </w:r>
      <w:r w:rsidR="000A7AAB">
        <w:t>Sidon.</w:t>
      </w:r>
      <w:r w:rsidR="000A7AAB" w:rsidRPr="002C4077">
        <w:t xml:space="preserve"> </w:t>
      </w:r>
      <w:r w:rsidR="000A7AAB">
        <w:t>Il</w:t>
      </w:r>
      <w:r w:rsidR="000A7AAB" w:rsidRPr="002C4077">
        <w:t xml:space="preserve"> </w:t>
      </w:r>
      <w:r w:rsidR="000A7AAB">
        <w:t>y</w:t>
      </w:r>
      <w:r w:rsidR="000A7AAB" w:rsidRPr="002C4077">
        <w:t xml:space="preserve"> </w:t>
      </w:r>
      <w:r w:rsidR="000A7AAB">
        <w:t>avait</w:t>
      </w:r>
      <w:r w:rsidR="000A7AAB" w:rsidRPr="002C4077">
        <w:t xml:space="preserve"> </w:t>
      </w:r>
      <w:r w:rsidR="000A7AAB">
        <w:t>aussi</w:t>
      </w:r>
      <w:r w:rsidR="000A7AAB" w:rsidRPr="002C4077">
        <w:t xml:space="preserve"> </w:t>
      </w:r>
      <w:r w:rsidR="000A7AAB">
        <w:t>plusieurs</w:t>
      </w:r>
      <w:r w:rsidR="000A7AAB" w:rsidRPr="002C4077">
        <w:t xml:space="preserve"> </w:t>
      </w:r>
      <w:r w:rsidR="000A7AAB">
        <w:t>lépreux</w:t>
      </w:r>
      <w:r w:rsidR="000A7AAB" w:rsidRPr="002C4077">
        <w:t xml:space="preserve"> </w:t>
      </w:r>
      <w:r w:rsidR="000A7AAB">
        <w:t>en</w:t>
      </w:r>
      <w:r w:rsidR="000A7AAB" w:rsidRPr="002C4077">
        <w:t xml:space="preserve"> </w:t>
      </w:r>
      <w:r w:rsidR="000A7AAB">
        <w:t>Israël</w:t>
      </w:r>
      <w:r w:rsidR="000A7AAB" w:rsidRPr="002C4077">
        <w:t xml:space="preserve"> </w:t>
      </w:r>
      <w:r w:rsidR="000A7AAB">
        <w:t>du</w:t>
      </w:r>
      <w:r w:rsidR="000A7AAB" w:rsidRPr="002C4077">
        <w:t xml:space="preserve"> </w:t>
      </w:r>
      <w:r w:rsidR="000A7AAB">
        <w:t>temps</w:t>
      </w:r>
      <w:r w:rsidR="000A7AAB" w:rsidRPr="002C4077">
        <w:t xml:space="preserve"> </w:t>
      </w:r>
      <w:r w:rsidR="000A7AAB">
        <w:t>d’</w:t>
      </w:r>
      <w:r w:rsidR="006F72A8">
        <w:t>Élisée</w:t>
      </w:r>
      <w:r w:rsidR="000A7AAB" w:rsidRPr="002C4077">
        <w:t xml:space="preserve"> </w:t>
      </w:r>
      <w:r w:rsidR="000A7AAB">
        <w:t>le</w:t>
      </w:r>
      <w:r w:rsidR="000A7AAB" w:rsidRPr="002C4077">
        <w:t xml:space="preserve"> </w:t>
      </w:r>
      <w:r w:rsidR="000A7AAB">
        <w:t>prophète</w:t>
      </w:r>
      <w:r w:rsidR="00B546AF">
        <w:t> ;</w:t>
      </w:r>
      <w:r w:rsidR="000A7AAB" w:rsidRPr="002C4077">
        <w:t xml:space="preserve"> </w:t>
      </w:r>
      <w:r w:rsidR="000A7AAB">
        <w:t>toutefois</w:t>
      </w:r>
      <w:r w:rsidR="000A7AAB" w:rsidRPr="002C4077">
        <w:t xml:space="preserve"> </w:t>
      </w:r>
      <w:r w:rsidR="000A7AAB">
        <w:t>pas</w:t>
      </w:r>
      <w:r w:rsidR="000A7AAB" w:rsidRPr="002C4077">
        <w:t xml:space="preserve"> </w:t>
      </w:r>
      <w:r w:rsidR="000A7AAB">
        <w:t>un</w:t>
      </w:r>
      <w:r w:rsidR="000A7AAB" w:rsidRPr="002C4077">
        <w:t xml:space="preserve"> </w:t>
      </w:r>
      <w:r w:rsidR="000A7AAB">
        <w:t>d’eux</w:t>
      </w:r>
      <w:r w:rsidR="000A7AAB" w:rsidRPr="002C4077">
        <w:t xml:space="preserve"> </w:t>
      </w:r>
      <w:r w:rsidR="000A7AAB">
        <w:t>ne</w:t>
      </w:r>
      <w:r w:rsidR="000A7AAB" w:rsidRPr="002C4077">
        <w:t xml:space="preserve"> </w:t>
      </w:r>
      <w:r w:rsidR="000A7AAB">
        <w:t>fut</w:t>
      </w:r>
      <w:r w:rsidR="000A7AAB" w:rsidRPr="002C4077">
        <w:t xml:space="preserve"> </w:t>
      </w:r>
      <w:r w:rsidR="000A7AAB">
        <w:t>guéri,</w:t>
      </w:r>
      <w:r w:rsidR="000A7AAB" w:rsidRPr="002C4077">
        <w:t xml:space="preserve"> </w:t>
      </w:r>
      <w:r w:rsidR="000A7AAB">
        <w:t>mais</w:t>
      </w:r>
      <w:r w:rsidR="000A7AAB" w:rsidRPr="002C4077">
        <w:t xml:space="preserve"> </w:t>
      </w:r>
      <w:r w:rsidR="000A7AAB">
        <w:t>seulement</w:t>
      </w:r>
      <w:r w:rsidR="000A7AAB" w:rsidRPr="002C4077">
        <w:t xml:space="preserve"> </w:t>
      </w:r>
      <w:r w:rsidR="000A7AAB">
        <w:t>Na</w:t>
      </w:r>
      <w:r w:rsidR="001730C6">
        <w:t>am</w:t>
      </w:r>
      <w:r w:rsidR="000A7AAB">
        <w:t>an,</w:t>
      </w:r>
      <w:r w:rsidR="000A7AAB" w:rsidRPr="002C4077">
        <w:t xml:space="preserve"> </w:t>
      </w:r>
      <w:r w:rsidR="000A7AAB">
        <w:t>le</w:t>
      </w:r>
      <w:r w:rsidR="000A7AAB" w:rsidRPr="002C4077">
        <w:t xml:space="preserve"> </w:t>
      </w:r>
      <w:r w:rsidR="000A7AAB">
        <w:t>Syrien.</w:t>
      </w:r>
      <w:r w:rsidR="000A7AAB" w:rsidRPr="002C4077">
        <w:t xml:space="preserve"> </w:t>
      </w:r>
      <w:r w:rsidR="000A7AAB">
        <w:t>Et</w:t>
      </w:r>
      <w:r w:rsidR="000A7AAB" w:rsidRPr="002C4077">
        <w:t xml:space="preserve"> </w:t>
      </w:r>
      <w:r w:rsidR="000A7AAB">
        <w:t>ils</w:t>
      </w:r>
      <w:r w:rsidR="000A7AAB" w:rsidRPr="002C4077">
        <w:t xml:space="preserve"> </w:t>
      </w:r>
      <w:r w:rsidR="000A7AAB">
        <w:t>furent</w:t>
      </w:r>
      <w:r w:rsidR="000A7AAB" w:rsidRPr="002C4077">
        <w:t xml:space="preserve"> </w:t>
      </w:r>
      <w:r w:rsidR="000A7AAB">
        <w:t>tous</w:t>
      </w:r>
      <w:r w:rsidR="000A7AAB" w:rsidRPr="002C4077">
        <w:t xml:space="preserve"> </w:t>
      </w:r>
      <w:r w:rsidR="000A7AAB">
        <w:t>remplis</w:t>
      </w:r>
      <w:r w:rsidR="000A7AAB" w:rsidRPr="002C4077">
        <w:t xml:space="preserve"> </w:t>
      </w:r>
      <w:r w:rsidR="000A7AAB">
        <w:t>de</w:t>
      </w:r>
      <w:r w:rsidR="000A7AAB" w:rsidRPr="002C4077">
        <w:t xml:space="preserve"> </w:t>
      </w:r>
      <w:r w:rsidR="000A7AAB">
        <w:t>colère</w:t>
      </w:r>
      <w:r w:rsidR="000A7AAB" w:rsidRPr="002C4077">
        <w:t xml:space="preserve"> </w:t>
      </w:r>
      <w:r w:rsidR="000A7AAB">
        <w:t>dans</w:t>
      </w:r>
      <w:r w:rsidR="000A7AAB" w:rsidRPr="002C4077">
        <w:t xml:space="preserve"> </w:t>
      </w:r>
      <w:r w:rsidR="000A7AAB">
        <w:t>la</w:t>
      </w:r>
      <w:r w:rsidR="000A7AAB" w:rsidRPr="002C4077">
        <w:t xml:space="preserve"> </w:t>
      </w:r>
      <w:r w:rsidR="000A7AAB">
        <w:t>synagogue,</w:t>
      </w:r>
      <w:r w:rsidR="000A7AAB" w:rsidRPr="002C4077">
        <w:t xml:space="preserve"> </w:t>
      </w:r>
      <w:r w:rsidR="000A7AAB">
        <w:t>entendant</w:t>
      </w:r>
      <w:r w:rsidR="000A7AAB" w:rsidRPr="002C4077">
        <w:t xml:space="preserve"> </w:t>
      </w:r>
      <w:r w:rsidR="000A7AAB">
        <w:t>ces</w:t>
      </w:r>
      <w:r w:rsidR="000A7AAB" w:rsidRPr="002C4077">
        <w:t xml:space="preserve"> </w:t>
      </w:r>
      <w:r w:rsidR="000A7AAB">
        <w:t>choses.</w:t>
      </w:r>
      <w:r w:rsidR="000A7AAB" w:rsidRPr="002C4077">
        <w:t xml:space="preserve"> </w:t>
      </w:r>
      <w:r w:rsidR="000A7AAB">
        <w:t>Et</w:t>
      </w:r>
      <w:r w:rsidR="000A7AAB" w:rsidRPr="002C4077">
        <w:t xml:space="preserve"> </w:t>
      </w:r>
      <w:r w:rsidR="000A7AAB">
        <w:t>s’étant</w:t>
      </w:r>
      <w:r w:rsidR="000A7AAB" w:rsidRPr="002C4077">
        <w:t xml:space="preserve"> </w:t>
      </w:r>
      <w:r w:rsidR="000A7AAB">
        <w:t>levés,</w:t>
      </w:r>
      <w:r w:rsidR="000A7AAB" w:rsidRPr="002C4077">
        <w:t xml:space="preserve"> </w:t>
      </w:r>
      <w:r w:rsidR="000A7AAB">
        <w:t>ils</w:t>
      </w:r>
      <w:r w:rsidR="000A7AAB" w:rsidRPr="002C4077">
        <w:t xml:space="preserve"> </w:t>
      </w:r>
      <w:r w:rsidR="000A7AAB">
        <w:t>le</w:t>
      </w:r>
      <w:r w:rsidR="000A7AAB" w:rsidRPr="002C4077">
        <w:t xml:space="preserve"> </w:t>
      </w:r>
      <w:r w:rsidR="000A7AAB">
        <w:t>mirent</w:t>
      </w:r>
      <w:r w:rsidR="000A7AAB" w:rsidRPr="002C4077">
        <w:t xml:space="preserve"> </w:t>
      </w:r>
      <w:r w:rsidR="000A7AAB">
        <w:t>hors</w:t>
      </w:r>
      <w:r w:rsidR="000A7AAB" w:rsidRPr="002C4077">
        <w:t xml:space="preserve"> </w:t>
      </w:r>
      <w:r w:rsidR="000A7AAB">
        <w:t>de</w:t>
      </w:r>
      <w:r w:rsidR="000A7AAB" w:rsidRPr="002C4077">
        <w:t xml:space="preserve"> </w:t>
      </w:r>
      <w:r w:rsidR="000A7AAB">
        <w:t>la</w:t>
      </w:r>
      <w:r w:rsidR="000A7AAB" w:rsidRPr="002C4077">
        <w:t xml:space="preserve"> </w:t>
      </w:r>
      <w:r w:rsidR="000A7AAB">
        <w:t>ville,</w:t>
      </w:r>
      <w:r w:rsidR="000A7AAB" w:rsidRPr="002C4077">
        <w:t xml:space="preserve"> </w:t>
      </w:r>
      <w:r w:rsidR="000A7AAB">
        <w:t>et</w:t>
      </w:r>
      <w:r w:rsidR="000A7AAB" w:rsidRPr="002C4077">
        <w:t xml:space="preserve"> </w:t>
      </w:r>
      <w:r w:rsidR="000A7AAB">
        <w:t>le</w:t>
      </w:r>
      <w:r w:rsidR="000A7AAB" w:rsidRPr="002C4077">
        <w:t xml:space="preserve"> </w:t>
      </w:r>
      <w:r w:rsidR="000A7AAB">
        <w:t>menèrent</w:t>
      </w:r>
      <w:r w:rsidR="000A7AAB" w:rsidRPr="002C4077">
        <w:t xml:space="preserve"> </w:t>
      </w:r>
      <w:r w:rsidR="000A7AAB">
        <w:t>jusqu’au</w:t>
      </w:r>
      <w:r w:rsidR="000A7AAB" w:rsidRPr="002C4077">
        <w:t xml:space="preserve"> </w:t>
      </w:r>
      <w:r w:rsidR="000A7AAB">
        <w:t>bord</w:t>
      </w:r>
      <w:r w:rsidR="000A7AAB" w:rsidRPr="002C4077">
        <w:t xml:space="preserve"> </w:t>
      </w:r>
      <w:r w:rsidR="000A7AAB">
        <w:t>de</w:t>
      </w:r>
      <w:r w:rsidR="000A7AAB" w:rsidRPr="002C4077">
        <w:t xml:space="preserve"> </w:t>
      </w:r>
      <w:r w:rsidR="000A7AAB">
        <w:t>la</w:t>
      </w:r>
      <w:r w:rsidR="000A7AAB" w:rsidRPr="002C4077">
        <w:t xml:space="preserve"> </w:t>
      </w:r>
      <w:r w:rsidR="000A7AAB">
        <w:t>montagne</w:t>
      </w:r>
      <w:r w:rsidR="000A7AAB" w:rsidRPr="002C4077">
        <w:t xml:space="preserve"> </w:t>
      </w:r>
      <w:r w:rsidR="000A7AAB">
        <w:t>sur</w:t>
      </w:r>
      <w:r w:rsidR="000A7AAB" w:rsidRPr="002C4077">
        <w:t xml:space="preserve"> </w:t>
      </w:r>
      <w:r w:rsidR="000A7AAB">
        <w:t>laquelle</w:t>
      </w:r>
      <w:r w:rsidR="000A7AAB" w:rsidRPr="002C4077">
        <w:t xml:space="preserve"> </w:t>
      </w:r>
      <w:r w:rsidR="000A7AAB">
        <w:t>leur</w:t>
      </w:r>
      <w:r w:rsidR="000A7AAB" w:rsidRPr="002C4077">
        <w:t xml:space="preserve"> </w:t>
      </w:r>
      <w:r w:rsidR="000A7AAB">
        <w:t>ville</w:t>
      </w:r>
      <w:r w:rsidR="000A7AAB" w:rsidRPr="002C4077">
        <w:t xml:space="preserve"> </w:t>
      </w:r>
      <w:r w:rsidR="000A7AAB">
        <w:t>était</w:t>
      </w:r>
      <w:r w:rsidR="000A7AAB" w:rsidRPr="002C4077">
        <w:t xml:space="preserve"> </w:t>
      </w:r>
      <w:r w:rsidR="000A7AAB">
        <w:t>bâtie,</w:t>
      </w:r>
      <w:r w:rsidR="000A7AAB" w:rsidRPr="002C4077">
        <w:t xml:space="preserve"> </w:t>
      </w:r>
      <w:r w:rsidR="000A7AAB">
        <w:t>pour</w:t>
      </w:r>
      <w:r w:rsidR="000A7AAB" w:rsidRPr="002C4077">
        <w:t xml:space="preserve"> </w:t>
      </w:r>
      <w:r w:rsidR="000A7AAB">
        <w:t>le</w:t>
      </w:r>
      <w:r w:rsidR="000A7AAB" w:rsidRPr="002C4077">
        <w:t xml:space="preserve"> </w:t>
      </w:r>
      <w:r w:rsidR="000A7AAB">
        <w:t>jeter</w:t>
      </w:r>
      <w:r w:rsidR="000A7AAB" w:rsidRPr="002C4077">
        <w:t xml:space="preserve"> </w:t>
      </w:r>
      <w:r w:rsidR="000A7AAB">
        <w:t>du</w:t>
      </w:r>
      <w:r w:rsidR="000A7AAB" w:rsidRPr="002C4077">
        <w:t xml:space="preserve"> </w:t>
      </w:r>
      <w:r w:rsidR="000A7AAB">
        <w:t>haut</w:t>
      </w:r>
      <w:r w:rsidR="000A7AAB" w:rsidRPr="002C4077">
        <w:t xml:space="preserve"> </w:t>
      </w:r>
      <w:r w:rsidR="000A7AAB">
        <w:t>en</w:t>
      </w:r>
      <w:r w:rsidR="000A7AAB" w:rsidRPr="002C4077">
        <w:t xml:space="preserve"> </w:t>
      </w:r>
      <w:r w:rsidR="000A7AAB">
        <w:t>bas.</w:t>
      </w:r>
      <w:r w:rsidR="000A7AAB" w:rsidRPr="002C4077">
        <w:t xml:space="preserve"> </w:t>
      </w:r>
      <w:r w:rsidR="000A7AAB">
        <w:t>Mais</w:t>
      </w:r>
      <w:r w:rsidR="000A7AAB" w:rsidRPr="002C4077">
        <w:t xml:space="preserve"> </w:t>
      </w:r>
      <w:r w:rsidR="000A7AAB">
        <w:t>il</w:t>
      </w:r>
      <w:r w:rsidR="000A7AAB" w:rsidRPr="002C4077">
        <w:t xml:space="preserve"> </w:t>
      </w:r>
      <w:r w:rsidR="000A7AAB">
        <w:t>passa</w:t>
      </w:r>
      <w:r w:rsidR="000A7AAB" w:rsidRPr="002C4077">
        <w:t xml:space="preserve"> </w:t>
      </w:r>
      <w:r w:rsidR="000A7AAB">
        <w:t>au</w:t>
      </w:r>
      <w:r w:rsidR="000A7AAB" w:rsidRPr="002C4077">
        <w:t xml:space="preserve"> </w:t>
      </w:r>
      <w:r w:rsidR="000A7AAB">
        <w:t>milieu</w:t>
      </w:r>
      <w:r w:rsidR="000A7AAB" w:rsidRPr="002C4077">
        <w:t xml:space="preserve"> </w:t>
      </w:r>
      <w:r w:rsidR="000A7AAB">
        <w:t>d’eux</w:t>
      </w:r>
      <w:r w:rsidR="000A7AAB" w:rsidRPr="002C4077">
        <w:t xml:space="preserve"> </w:t>
      </w:r>
      <w:r w:rsidR="000A7AAB">
        <w:t>et</w:t>
      </w:r>
      <w:r w:rsidR="000A7AAB" w:rsidRPr="002C4077">
        <w:t xml:space="preserve"> </w:t>
      </w:r>
      <w:r w:rsidR="000A7AAB">
        <w:t>s’en</w:t>
      </w:r>
      <w:bookmarkStart w:id="559" w:name="z_LucNazareth_o3"/>
      <w:bookmarkEnd w:id="559"/>
      <w:r w:rsidR="000A7AAB" w:rsidRPr="002C4077">
        <w:t xml:space="preserve"> </w:t>
      </w:r>
      <w:r w:rsidR="000A7AAB">
        <w:t>alla</w:t>
      </w:r>
      <w:r w:rsidR="00B91AF7">
        <w:rPr>
          <w:rStyle w:val="Appelnotedebasdep"/>
        </w:rPr>
        <w:footnoteReference w:id="741"/>
      </w:r>
      <w:r w:rsidR="00B546AF">
        <w:t> »</w:t>
      </w:r>
      <w:r w:rsidR="000A7AAB">
        <w:t>.</w:t>
      </w:r>
      <w:r w:rsidR="000A7AAB" w:rsidRPr="002C4077">
        <w:t xml:space="preserve"> </w:t>
      </w:r>
    </w:p>
    <w:p w:rsidR="000A7AAB" w:rsidRPr="001F5257" w:rsidRDefault="000A7AAB" w:rsidP="000A7AAB">
      <w:r>
        <w:t>Nous</w:t>
      </w:r>
      <w:r w:rsidRPr="002C4077">
        <w:t xml:space="preserve"> </w:t>
      </w:r>
      <w:r>
        <w:t>voici</w:t>
      </w:r>
      <w:r w:rsidRPr="002C4077">
        <w:t xml:space="preserve"> </w:t>
      </w:r>
      <w:r>
        <w:t>sur</w:t>
      </w:r>
      <w:r w:rsidRPr="002C4077">
        <w:t xml:space="preserve"> </w:t>
      </w:r>
      <w:r>
        <w:t>l’emplacement</w:t>
      </w:r>
      <w:r w:rsidRPr="002C4077">
        <w:t xml:space="preserve"> </w:t>
      </w:r>
      <w:r>
        <w:t>probable</w:t>
      </w:r>
      <w:r w:rsidRPr="002C4077">
        <w:t xml:space="preserve"> </w:t>
      </w:r>
      <w:r>
        <w:t>de</w:t>
      </w:r>
      <w:r w:rsidRPr="002C4077">
        <w:t xml:space="preserve"> </w:t>
      </w:r>
      <w:r>
        <w:t>la</w:t>
      </w:r>
      <w:r w:rsidRPr="002C4077">
        <w:t xml:space="preserve"> </w:t>
      </w:r>
      <w:r>
        <w:t>synagogue</w:t>
      </w:r>
      <w:r w:rsidRPr="002C4077">
        <w:t xml:space="preserve"> </w:t>
      </w:r>
      <w:r>
        <w:t>où</w:t>
      </w:r>
      <w:r w:rsidRPr="002C4077">
        <w:t xml:space="preserve"> </w:t>
      </w:r>
      <w:r>
        <w:t>se</w:t>
      </w:r>
      <w:r w:rsidRPr="002C4077">
        <w:t xml:space="preserve"> </w:t>
      </w:r>
      <w:r>
        <w:t>passa</w:t>
      </w:r>
      <w:r w:rsidRPr="002C4077">
        <w:t xml:space="preserve"> </w:t>
      </w:r>
      <w:r>
        <w:t>le</w:t>
      </w:r>
      <w:r w:rsidRPr="002C4077">
        <w:t xml:space="preserve"> </w:t>
      </w:r>
      <w:r>
        <w:t>premier</w:t>
      </w:r>
      <w:r w:rsidRPr="002C4077">
        <w:t xml:space="preserve"> </w:t>
      </w:r>
      <w:r>
        <w:t>acte</w:t>
      </w:r>
      <w:r w:rsidRPr="002C4077">
        <w:t xml:space="preserve"> </w:t>
      </w:r>
      <w:r>
        <w:t>de</w:t>
      </w:r>
      <w:r w:rsidRPr="002C4077">
        <w:t xml:space="preserve"> </w:t>
      </w:r>
      <w:r>
        <w:t>cette</w:t>
      </w:r>
      <w:r w:rsidRPr="002C4077">
        <w:t xml:space="preserve"> </w:t>
      </w:r>
      <w:r>
        <w:t>tragédie.</w:t>
      </w:r>
      <w:r w:rsidRPr="002C4077">
        <w:t xml:space="preserve"> </w:t>
      </w:r>
      <w:r>
        <w:t>C’est,</w:t>
      </w:r>
      <w:r w:rsidRPr="002C4077">
        <w:t xml:space="preserve"> </w:t>
      </w:r>
      <w:r>
        <w:t>comme</w:t>
      </w:r>
      <w:r w:rsidRPr="002C4077">
        <w:t xml:space="preserve"> </w:t>
      </w:r>
      <w:r>
        <w:t>vous</w:t>
      </w:r>
      <w:r w:rsidRPr="002C4077">
        <w:t xml:space="preserve"> </w:t>
      </w:r>
      <w:r>
        <w:t>le</w:t>
      </w:r>
      <w:r w:rsidRPr="002C4077">
        <w:t xml:space="preserve"> </w:t>
      </w:r>
      <w:r>
        <w:t>voyez,</w:t>
      </w:r>
      <w:r w:rsidRPr="002C4077">
        <w:t xml:space="preserve"> </w:t>
      </w:r>
      <w:r>
        <w:t>une</w:t>
      </w:r>
      <w:r w:rsidRPr="002C4077">
        <w:t xml:space="preserve"> </w:t>
      </w:r>
      <w:r>
        <w:t>petite</w:t>
      </w:r>
      <w:r w:rsidRPr="002C4077">
        <w:t xml:space="preserve"> </w:t>
      </w:r>
      <w:r>
        <w:t>église</w:t>
      </w:r>
      <w:r w:rsidRPr="002C4077">
        <w:t xml:space="preserve"> </w:t>
      </w:r>
      <w:r>
        <w:t>construite</w:t>
      </w:r>
      <w:r w:rsidRPr="002C4077">
        <w:t xml:space="preserve"> </w:t>
      </w:r>
      <w:r>
        <w:t>en</w:t>
      </w:r>
      <w:r w:rsidRPr="002C4077">
        <w:t xml:space="preserve"> </w:t>
      </w:r>
      <w:r>
        <w:t>pierres</w:t>
      </w:r>
      <w:r w:rsidRPr="002C4077">
        <w:t xml:space="preserve"> </w:t>
      </w:r>
      <w:r>
        <w:t>de</w:t>
      </w:r>
      <w:r w:rsidRPr="002C4077">
        <w:t xml:space="preserve"> </w:t>
      </w:r>
      <w:r>
        <w:t>taille</w:t>
      </w:r>
      <w:r w:rsidRPr="002C4077">
        <w:t xml:space="preserve"> </w:t>
      </w:r>
      <w:r>
        <w:t>et</w:t>
      </w:r>
      <w:r w:rsidRPr="002C4077">
        <w:t xml:space="preserve"> </w:t>
      </w:r>
      <w:r>
        <w:t>qui</w:t>
      </w:r>
      <w:r w:rsidRPr="002C4077">
        <w:t xml:space="preserve"> </w:t>
      </w:r>
      <w:r>
        <w:t>n’a</w:t>
      </w:r>
      <w:r w:rsidRPr="002C4077">
        <w:t xml:space="preserve"> </w:t>
      </w:r>
      <w:r>
        <w:t>d’ailleurs</w:t>
      </w:r>
      <w:r w:rsidRPr="002C4077">
        <w:t xml:space="preserve"> </w:t>
      </w:r>
      <w:r>
        <w:t>rien</w:t>
      </w:r>
      <w:r w:rsidRPr="002C4077">
        <w:t xml:space="preserve"> </w:t>
      </w:r>
      <w:r>
        <w:t>de</w:t>
      </w:r>
      <w:r w:rsidRPr="002C4077">
        <w:t xml:space="preserve"> </w:t>
      </w:r>
      <w:r>
        <w:t>particulier.</w:t>
      </w:r>
      <w:r w:rsidRPr="002C4077">
        <w:t xml:space="preserve"> </w:t>
      </w:r>
      <w:r>
        <w:t>Mais,</w:t>
      </w:r>
      <w:r w:rsidRPr="002C4077">
        <w:t xml:space="preserve"> </w:t>
      </w:r>
      <w:r>
        <w:t>du</w:t>
      </w:r>
      <w:r w:rsidRPr="002C4077">
        <w:t xml:space="preserve"> </w:t>
      </w:r>
      <w:r>
        <w:t>temps</w:t>
      </w:r>
      <w:r w:rsidRPr="002C4077">
        <w:t xml:space="preserve"> </w:t>
      </w:r>
      <w:r>
        <w:t>de</w:t>
      </w:r>
      <w:r w:rsidRPr="002C4077">
        <w:t xml:space="preserve"> </w:t>
      </w:r>
      <w:r>
        <w:t>Sanutus,</w:t>
      </w:r>
      <w:r w:rsidRPr="002C4077">
        <w:t xml:space="preserve"> </w:t>
      </w:r>
      <w:r>
        <w:t>on</w:t>
      </w:r>
      <w:r w:rsidRPr="002C4077">
        <w:t xml:space="preserve"> </w:t>
      </w:r>
      <w:r>
        <w:t>pouvait</w:t>
      </w:r>
      <w:r w:rsidRPr="002C4077">
        <w:t xml:space="preserve"> </w:t>
      </w:r>
      <w:r>
        <w:t>y</w:t>
      </w:r>
      <w:r w:rsidRPr="002C4077">
        <w:t xml:space="preserve"> </w:t>
      </w:r>
      <w:r>
        <w:t>contempler</w:t>
      </w:r>
      <w:r w:rsidRPr="002C4077">
        <w:t xml:space="preserve"> </w:t>
      </w:r>
      <w:r>
        <w:t>une</w:t>
      </w:r>
      <w:r w:rsidRPr="002C4077">
        <w:t xml:space="preserve"> </w:t>
      </w:r>
      <w:r>
        <w:t>poutre</w:t>
      </w:r>
      <w:r w:rsidRPr="002C4077">
        <w:t xml:space="preserve"> </w:t>
      </w:r>
      <w:r>
        <w:t>légendaire</w:t>
      </w:r>
      <w:r w:rsidRPr="002C4077">
        <w:t xml:space="preserve"> </w:t>
      </w:r>
      <w:r>
        <w:t>sur</w:t>
      </w:r>
      <w:r w:rsidRPr="002C4077">
        <w:t xml:space="preserve"> </w:t>
      </w:r>
      <w:r>
        <w:t>laquelle,</w:t>
      </w:r>
      <w:r w:rsidRPr="002C4077">
        <w:t xml:space="preserve"> </w:t>
      </w:r>
      <w:r>
        <w:t>dit</w:t>
      </w:r>
      <w:r w:rsidRPr="002C4077">
        <w:t xml:space="preserve"> </w:t>
      </w:r>
      <w:r>
        <w:t>ce</w:t>
      </w:r>
      <w:r w:rsidRPr="002C4077">
        <w:t xml:space="preserve"> </w:t>
      </w:r>
      <w:r>
        <w:t>bon</w:t>
      </w:r>
      <w:r w:rsidRPr="002C4077">
        <w:t xml:space="preserve"> </w:t>
      </w:r>
      <w:r>
        <w:t>vieil</w:t>
      </w:r>
      <w:r w:rsidRPr="002C4077">
        <w:t xml:space="preserve"> </w:t>
      </w:r>
      <w:r>
        <w:t>auteur,</w:t>
      </w:r>
      <w:r w:rsidRPr="002C4077">
        <w:t xml:space="preserve"> </w:t>
      </w:r>
      <w:r w:rsidR="00B546AF">
        <w:t>« </w:t>
      </w:r>
      <w:r>
        <w:t>le</w:t>
      </w:r>
      <w:r w:rsidRPr="002C4077">
        <w:t xml:space="preserve"> </w:t>
      </w:r>
      <w:r>
        <w:t>Seigneur</w:t>
      </w:r>
      <w:r w:rsidRPr="002C4077">
        <w:t xml:space="preserve"> </w:t>
      </w:r>
      <w:r w:rsidR="00425C50">
        <w:t>Jésus</w:t>
      </w:r>
      <w:r w:rsidRPr="002C4077">
        <w:t xml:space="preserve"> </w:t>
      </w:r>
      <w:r>
        <w:t>s’était</w:t>
      </w:r>
      <w:r w:rsidRPr="002C4077">
        <w:t xml:space="preserve"> </w:t>
      </w:r>
      <w:r>
        <w:t>assis</w:t>
      </w:r>
      <w:r w:rsidRPr="002C4077">
        <w:t xml:space="preserve"> </w:t>
      </w:r>
      <w:r>
        <w:t>jadis</w:t>
      </w:r>
      <w:r w:rsidRPr="002C4077">
        <w:t xml:space="preserve"> </w:t>
      </w:r>
      <w:r>
        <w:t>avec</w:t>
      </w:r>
      <w:r w:rsidRPr="002C4077">
        <w:t xml:space="preserve"> </w:t>
      </w:r>
      <w:r>
        <w:t>d’autres</w:t>
      </w:r>
      <w:r w:rsidRPr="002C4077">
        <w:t xml:space="preserve"> </w:t>
      </w:r>
      <w:r>
        <w:t>enfants</w:t>
      </w:r>
      <w:r w:rsidR="00B546AF">
        <w:t> :</w:t>
      </w:r>
      <w:r w:rsidRPr="002C4077">
        <w:t xml:space="preserve"> </w:t>
      </w:r>
      <w:r>
        <w:t>elle</w:t>
      </w:r>
      <w:r w:rsidRPr="002C4077">
        <w:t xml:space="preserve"> </w:t>
      </w:r>
      <w:r>
        <w:t>se</w:t>
      </w:r>
      <w:r w:rsidRPr="002C4077">
        <w:t xml:space="preserve"> </w:t>
      </w:r>
      <w:r>
        <w:t>soulève</w:t>
      </w:r>
      <w:r w:rsidRPr="002C4077">
        <w:t xml:space="preserve"> </w:t>
      </w:r>
      <w:r>
        <w:t>toutes</w:t>
      </w:r>
      <w:r w:rsidRPr="002C4077">
        <w:t xml:space="preserve"> </w:t>
      </w:r>
      <w:r>
        <w:t>les</w:t>
      </w:r>
      <w:r w:rsidRPr="002C4077">
        <w:t xml:space="preserve"> </w:t>
      </w:r>
      <w:r>
        <w:t>fois</w:t>
      </w:r>
      <w:r w:rsidRPr="002C4077">
        <w:t xml:space="preserve"> </w:t>
      </w:r>
      <w:r>
        <w:t>qu’elle</w:t>
      </w:r>
      <w:r w:rsidRPr="002C4077">
        <w:t xml:space="preserve"> </w:t>
      </w:r>
      <w:r w:rsidR="00425C50">
        <w:t>est</w:t>
      </w:r>
      <w:r w:rsidRPr="002C4077">
        <w:t xml:space="preserve"> </w:t>
      </w:r>
      <w:r>
        <w:t>mise</w:t>
      </w:r>
      <w:r w:rsidRPr="002C4077">
        <w:t xml:space="preserve"> </w:t>
      </w:r>
      <w:r>
        <w:t>en</w:t>
      </w:r>
      <w:r w:rsidRPr="002C4077">
        <w:t xml:space="preserve"> </w:t>
      </w:r>
      <w:r>
        <w:t>mouvement</w:t>
      </w:r>
      <w:r w:rsidRPr="002C4077">
        <w:t xml:space="preserve"> </w:t>
      </w:r>
      <w:r>
        <w:t>par</w:t>
      </w:r>
      <w:r w:rsidRPr="002C4077">
        <w:t xml:space="preserve"> </w:t>
      </w:r>
      <w:r>
        <w:t>des</w:t>
      </w:r>
      <w:r w:rsidRPr="002C4077">
        <w:t xml:space="preserve"> </w:t>
      </w:r>
      <w:r>
        <w:t>chrétiens</w:t>
      </w:r>
      <w:r w:rsidR="00B546AF">
        <w:t> »</w:t>
      </w:r>
      <w:r>
        <w:t>.</w:t>
      </w:r>
      <w:r w:rsidRPr="002C4077">
        <w:t xml:space="preserve"> </w:t>
      </w:r>
      <w:r>
        <w:t>Cette</w:t>
      </w:r>
      <w:r w:rsidRPr="002C4077">
        <w:t xml:space="preserve"> </w:t>
      </w:r>
      <w:r>
        <w:t>église</w:t>
      </w:r>
      <w:r w:rsidRPr="002C4077">
        <w:t xml:space="preserve"> </w:t>
      </w:r>
      <w:r w:rsidR="00425C50">
        <w:t>est</w:t>
      </w:r>
      <w:r w:rsidRPr="002C4077">
        <w:t xml:space="preserve"> </w:t>
      </w:r>
      <w:r>
        <w:t>la</w:t>
      </w:r>
      <w:r w:rsidRPr="002C4077">
        <w:t xml:space="preserve"> </w:t>
      </w:r>
      <w:r>
        <w:t>propriété</w:t>
      </w:r>
      <w:r w:rsidRPr="002C4077">
        <w:t xml:space="preserve"> </w:t>
      </w:r>
      <w:r>
        <w:t>des</w:t>
      </w:r>
      <w:r w:rsidRPr="002C4077">
        <w:t xml:space="preserve"> </w:t>
      </w:r>
      <w:r>
        <w:t>Arméniens</w:t>
      </w:r>
      <w:r w:rsidR="00B546AF">
        <w:t> ;</w:t>
      </w:r>
      <w:r w:rsidRPr="002C4077">
        <w:t xml:space="preserve"> </w:t>
      </w:r>
      <w:r>
        <w:t>elle</w:t>
      </w:r>
      <w:r w:rsidRPr="002C4077">
        <w:t xml:space="preserve"> </w:t>
      </w:r>
      <w:r w:rsidR="00425C50">
        <w:t>est</w:t>
      </w:r>
      <w:r w:rsidRPr="002C4077">
        <w:t xml:space="preserve"> </w:t>
      </w:r>
      <w:r>
        <w:t>située</w:t>
      </w:r>
      <w:r w:rsidRPr="002C4077">
        <w:t xml:space="preserve"> </w:t>
      </w:r>
      <w:r>
        <w:t>sur</w:t>
      </w:r>
      <w:r w:rsidRPr="002C4077">
        <w:t xml:space="preserve"> </w:t>
      </w:r>
      <w:r>
        <w:t>la</w:t>
      </w:r>
      <w:r w:rsidRPr="002C4077">
        <w:t xml:space="preserve"> </w:t>
      </w:r>
      <w:r>
        <w:t>place</w:t>
      </w:r>
      <w:r w:rsidRPr="002C4077">
        <w:t xml:space="preserve"> </w:t>
      </w:r>
      <w:r>
        <w:t>publique</w:t>
      </w:r>
      <w:r w:rsidRPr="002C4077">
        <w:t xml:space="preserve"> </w:t>
      </w:r>
      <w:r>
        <w:t>et</w:t>
      </w:r>
      <w:r w:rsidRPr="002C4077">
        <w:t xml:space="preserve"> </w:t>
      </w:r>
      <w:r>
        <w:t>tout</w:t>
      </w:r>
      <w:r w:rsidRPr="002C4077">
        <w:t xml:space="preserve"> </w:t>
      </w:r>
      <w:r>
        <w:t>auprès</w:t>
      </w:r>
      <w:r w:rsidRPr="002C4077">
        <w:t xml:space="preserve"> </w:t>
      </w:r>
      <w:r>
        <w:t>de</w:t>
      </w:r>
      <w:r w:rsidRPr="002C4077">
        <w:t xml:space="preserve"> </w:t>
      </w:r>
      <w:r>
        <w:t>l’ancienne</w:t>
      </w:r>
      <w:r w:rsidRPr="002C4077">
        <w:t xml:space="preserve"> </w:t>
      </w:r>
      <w:r>
        <w:t>porte</w:t>
      </w:r>
      <w:r w:rsidRPr="002C4077">
        <w:t xml:space="preserve"> </w:t>
      </w:r>
      <w:r>
        <w:t>de</w:t>
      </w:r>
      <w:r w:rsidRPr="002C4077">
        <w:t xml:space="preserve"> </w:t>
      </w:r>
      <w:r>
        <w:t>la</w:t>
      </w:r>
      <w:r w:rsidRPr="002C4077">
        <w:t xml:space="preserve"> </w:t>
      </w:r>
      <w:r>
        <w:t>ville.</w:t>
      </w:r>
      <w:r w:rsidR="00C45B47">
        <w:t xml:space="preserve"> {</w:t>
      </w:r>
      <w:r w:rsidR="001F5257">
        <w:t>231</w:t>
      </w:r>
      <w:bookmarkStart w:id="560" w:name="p231"/>
      <w:bookmarkEnd w:id="560"/>
      <w:r w:rsidR="001F5257">
        <w:t xml:space="preserve">} </w:t>
      </w:r>
    </w:p>
    <w:p w:rsidR="000A7AAB" w:rsidRDefault="000A7AAB" w:rsidP="000A7AAB">
      <w:r>
        <w:t>Avançons,</w:t>
      </w:r>
      <w:r w:rsidRPr="002C4077">
        <w:t xml:space="preserve"> </w:t>
      </w:r>
      <w:r>
        <w:t>et</w:t>
      </w:r>
      <w:r w:rsidRPr="002C4077">
        <w:t xml:space="preserve"> </w:t>
      </w:r>
      <w:r>
        <w:t>dirigeons-nous</w:t>
      </w:r>
      <w:r w:rsidRPr="002C4077">
        <w:t xml:space="preserve"> </w:t>
      </w:r>
      <w:r>
        <w:t>vers</w:t>
      </w:r>
      <w:r w:rsidRPr="002C4077">
        <w:t xml:space="preserve"> </w:t>
      </w:r>
      <w:r>
        <w:t>une</w:t>
      </w:r>
      <w:r w:rsidRPr="002C4077">
        <w:t xml:space="preserve"> </w:t>
      </w:r>
      <w:r>
        <w:t>autre</w:t>
      </w:r>
      <w:r w:rsidRPr="002C4077">
        <w:t xml:space="preserve"> </w:t>
      </w:r>
      <w:r>
        <w:t>église,</w:t>
      </w:r>
      <w:r w:rsidRPr="002C4077">
        <w:t xml:space="preserve"> </w:t>
      </w:r>
      <w:r>
        <w:t>celle</w:t>
      </w:r>
      <w:r w:rsidRPr="002C4077">
        <w:t xml:space="preserve"> </w:t>
      </w:r>
      <w:r>
        <w:t>des</w:t>
      </w:r>
      <w:r w:rsidRPr="002C4077">
        <w:t xml:space="preserve"> </w:t>
      </w:r>
      <w:r>
        <w:t>Maronites</w:t>
      </w:r>
      <w:bookmarkStart w:id="561" w:name="z_Maronites_o2"/>
      <w:bookmarkEnd w:id="561"/>
      <w:r>
        <w:t>.</w:t>
      </w:r>
      <w:r w:rsidRPr="002C4077">
        <w:t xml:space="preserve"> </w:t>
      </w:r>
      <w:r>
        <w:t>Regardez</w:t>
      </w:r>
      <w:r w:rsidRPr="002C4077">
        <w:t xml:space="preserve"> </w:t>
      </w:r>
      <w:r>
        <w:t>maintenant</w:t>
      </w:r>
      <w:r w:rsidRPr="002C4077">
        <w:t xml:space="preserve"> </w:t>
      </w:r>
      <w:r>
        <w:t>ce</w:t>
      </w:r>
      <w:r w:rsidRPr="002C4077">
        <w:t xml:space="preserve"> </w:t>
      </w:r>
      <w:r>
        <w:t>rocher</w:t>
      </w:r>
      <w:r w:rsidRPr="002C4077">
        <w:t xml:space="preserve"> </w:t>
      </w:r>
      <w:r>
        <w:t>à</w:t>
      </w:r>
      <w:r w:rsidRPr="002C4077">
        <w:t xml:space="preserve"> </w:t>
      </w:r>
      <w:r>
        <w:t>pic</w:t>
      </w:r>
      <w:r w:rsidRPr="002C4077">
        <w:t xml:space="preserve"> </w:t>
      </w:r>
      <w:r>
        <w:t>qui</w:t>
      </w:r>
      <w:r w:rsidRPr="002C4077">
        <w:t xml:space="preserve"> </w:t>
      </w:r>
      <w:r>
        <w:t>la</w:t>
      </w:r>
      <w:r w:rsidRPr="002C4077">
        <w:t xml:space="preserve"> </w:t>
      </w:r>
      <w:r>
        <w:t>surplombe,</w:t>
      </w:r>
      <w:r w:rsidRPr="002C4077">
        <w:t xml:space="preserve"> </w:t>
      </w:r>
      <w:r>
        <w:t>et</w:t>
      </w:r>
      <w:r w:rsidRPr="002C4077">
        <w:t xml:space="preserve"> </w:t>
      </w:r>
      <w:r>
        <w:t>du</w:t>
      </w:r>
      <w:r w:rsidRPr="002C4077">
        <w:t xml:space="preserve"> </w:t>
      </w:r>
      <w:r>
        <w:t>haut</w:t>
      </w:r>
      <w:r w:rsidRPr="002C4077">
        <w:t xml:space="preserve"> </w:t>
      </w:r>
      <w:r>
        <w:t>duquel</w:t>
      </w:r>
      <w:r w:rsidRPr="002C4077">
        <w:t xml:space="preserve"> </w:t>
      </w:r>
      <w:r>
        <w:t>on</w:t>
      </w:r>
      <w:r w:rsidRPr="002C4077">
        <w:t xml:space="preserve"> </w:t>
      </w:r>
      <w:r>
        <w:t>a</w:t>
      </w:r>
      <w:r w:rsidRPr="002C4077">
        <w:t xml:space="preserve"> </w:t>
      </w:r>
      <w:r>
        <w:t>une</w:t>
      </w:r>
      <w:r w:rsidRPr="002C4077">
        <w:t xml:space="preserve"> </w:t>
      </w:r>
      <w:r>
        <w:t>si</w:t>
      </w:r>
      <w:r w:rsidRPr="002C4077">
        <w:t xml:space="preserve"> </w:t>
      </w:r>
      <w:r>
        <w:t>belle</w:t>
      </w:r>
      <w:r w:rsidRPr="002C4077">
        <w:t xml:space="preserve"> </w:t>
      </w:r>
      <w:r>
        <w:t>perspective</w:t>
      </w:r>
      <w:r w:rsidRPr="002C4077">
        <w:t xml:space="preserve"> </w:t>
      </w:r>
      <w:r>
        <w:t>soit</w:t>
      </w:r>
      <w:r w:rsidRPr="002C4077">
        <w:t xml:space="preserve"> </w:t>
      </w:r>
      <w:r>
        <w:t>sur</w:t>
      </w:r>
      <w:r w:rsidRPr="002C4077">
        <w:t xml:space="preserve"> </w:t>
      </w:r>
      <w:r>
        <w:t>la</w:t>
      </w:r>
      <w:r w:rsidRPr="002C4077">
        <w:t xml:space="preserve"> </w:t>
      </w:r>
      <w:r>
        <w:t>ville,</w:t>
      </w:r>
      <w:r w:rsidRPr="002C4077">
        <w:t xml:space="preserve"> </w:t>
      </w:r>
      <w:r>
        <w:t>soit</w:t>
      </w:r>
      <w:r w:rsidRPr="002C4077">
        <w:t xml:space="preserve"> </w:t>
      </w:r>
      <w:r>
        <w:t>sur</w:t>
      </w:r>
      <w:r w:rsidRPr="002C4077">
        <w:t xml:space="preserve"> </w:t>
      </w:r>
      <w:r>
        <w:t>la</w:t>
      </w:r>
      <w:r w:rsidRPr="002C4077">
        <w:t xml:space="preserve"> </w:t>
      </w:r>
      <w:r>
        <w:t>vallée.</w:t>
      </w:r>
      <w:r w:rsidRPr="002C4077">
        <w:t xml:space="preserve"> </w:t>
      </w:r>
      <w:r>
        <w:t>Ne</w:t>
      </w:r>
      <w:bookmarkStart w:id="562" w:name="z_Precipitation_o1"/>
      <w:bookmarkEnd w:id="562"/>
      <w:r w:rsidRPr="002C4077">
        <w:t xml:space="preserve"> </w:t>
      </w:r>
      <w:r>
        <w:lastRenderedPageBreak/>
        <w:t>serait-ce</w:t>
      </w:r>
      <w:r w:rsidRPr="002C4077">
        <w:t xml:space="preserve"> </w:t>
      </w:r>
      <w:r>
        <w:t>pas</w:t>
      </w:r>
      <w:r w:rsidRPr="002C4077">
        <w:t xml:space="preserve"> </w:t>
      </w:r>
      <w:r>
        <w:t>là</w:t>
      </w:r>
      <w:r w:rsidRPr="002C4077">
        <w:t xml:space="preserve"> </w:t>
      </w:r>
      <w:r>
        <w:t>ce</w:t>
      </w:r>
      <w:r w:rsidRPr="002C4077">
        <w:t xml:space="preserve"> </w:t>
      </w:r>
      <w:r>
        <w:t>que</w:t>
      </w:r>
      <w:r w:rsidRPr="002C4077">
        <w:t xml:space="preserve"> </w:t>
      </w:r>
      <w:r>
        <w:t>nos</w:t>
      </w:r>
      <w:r w:rsidRPr="002C4077">
        <w:t xml:space="preserve"> </w:t>
      </w:r>
      <w:r>
        <w:t>pères</w:t>
      </w:r>
      <w:r w:rsidRPr="002C4077">
        <w:t xml:space="preserve"> </w:t>
      </w:r>
      <w:r>
        <w:t>avaient</w:t>
      </w:r>
      <w:r w:rsidRPr="002C4077">
        <w:t xml:space="preserve"> </w:t>
      </w:r>
      <w:r>
        <w:t>nommé</w:t>
      </w:r>
      <w:r w:rsidRPr="002C4077">
        <w:t xml:space="preserve"> </w:t>
      </w:r>
      <w:r>
        <w:t>le</w:t>
      </w:r>
      <w:r w:rsidRPr="002C4077">
        <w:t xml:space="preserve"> </w:t>
      </w:r>
      <w:r w:rsidR="00B546AF">
        <w:t>« </w:t>
      </w:r>
      <w:r>
        <w:t>Saut</w:t>
      </w:r>
      <w:r w:rsidRPr="002C4077">
        <w:t xml:space="preserve"> </w:t>
      </w:r>
      <w:r>
        <w:t>du</w:t>
      </w:r>
      <w:r w:rsidRPr="002C4077">
        <w:t xml:space="preserve"> </w:t>
      </w:r>
      <w:r>
        <w:t>Seigneur</w:t>
      </w:r>
      <w:r w:rsidR="00B546AF">
        <w:t> »</w:t>
      </w:r>
      <w:r>
        <w:t>,</w:t>
      </w:r>
      <w:r w:rsidRPr="002C4077">
        <w:t xml:space="preserve"> </w:t>
      </w:r>
      <w:r w:rsidR="006F72A8" w:rsidRPr="000A34B5">
        <w:rPr>
          <w:rStyle w:val="italicus"/>
        </w:rPr>
        <w:t>Saltus</w:t>
      </w:r>
      <w:r w:rsidRPr="002C4077">
        <w:t xml:space="preserve"> </w:t>
      </w:r>
      <w:r w:rsidRPr="000A34B5">
        <w:rPr>
          <w:rStyle w:val="italicus"/>
        </w:rPr>
        <w:t>D</w:t>
      </w:r>
      <w:r w:rsidR="003B53FD">
        <w:rPr>
          <w:rStyle w:val="italicus"/>
        </w:rPr>
        <w:t>ó</w:t>
      </w:r>
      <w:r w:rsidR="003B53FD" w:rsidRPr="000A34B5">
        <w:rPr>
          <w:rStyle w:val="italicus"/>
        </w:rPr>
        <w:t>mini</w:t>
      </w:r>
      <w:bookmarkStart w:id="563" w:name="z_SaltusDomini_o1"/>
      <w:bookmarkEnd w:id="563"/>
      <w:r w:rsidRPr="000A34B5">
        <w:rPr>
          <w:rStyle w:val="italicus"/>
        </w:rPr>
        <w:t>,</w:t>
      </w:r>
      <w:r w:rsidRPr="002C4077">
        <w:t xml:space="preserve"> </w:t>
      </w:r>
      <w:r>
        <w:t>c’est-à-dire,</w:t>
      </w:r>
      <w:r w:rsidRPr="002C4077">
        <w:t xml:space="preserve"> </w:t>
      </w:r>
      <w:r>
        <w:t>l’endroit</w:t>
      </w:r>
      <w:r w:rsidRPr="002C4077">
        <w:t xml:space="preserve"> </w:t>
      </w:r>
      <w:r>
        <w:t>où</w:t>
      </w:r>
      <w:r w:rsidRPr="002C4077">
        <w:t xml:space="preserve"> </w:t>
      </w:r>
      <w:r>
        <w:t>les</w:t>
      </w:r>
      <w:r w:rsidRPr="002C4077">
        <w:t xml:space="preserve"> </w:t>
      </w:r>
      <w:r>
        <w:t>compatriotes</w:t>
      </w:r>
      <w:r w:rsidRPr="002C4077">
        <w:t xml:space="preserve"> </w:t>
      </w:r>
      <w:r>
        <w:t>de</w:t>
      </w:r>
      <w:r w:rsidRPr="002C4077">
        <w:t xml:space="preserve"> </w:t>
      </w:r>
      <w:r w:rsidR="00425C50">
        <w:t>Jésus</w:t>
      </w:r>
      <w:r w:rsidRPr="002C4077">
        <w:t xml:space="preserve"> </w:t>
      </w:r>
      <w:r>
        <w:t>voulaient</w:t>
      </w:r>
      <w:r w:rsidRPr="002C4077">
        <w:t xml:space="preserve"> </w:t>
      </w:r>
      <w:r>
        <w:t>se</w:t>
      </w:r>
      <w:r w:rsidRPr="002C4077">
        <w:t xml:space="preserve"> </w:t>
      </w:r>
      <w:r>
        <w:t>défaire</w:t>
      </w:r>
      <w:r w:rsidRPr="002C4077">
        <w:t xml:space="preserve"> </w:t>
      </w:r>
      <w:r>
        <w:t>de</w:t>
      </w:r>
      <w:r w:rsidRPr="002C4077">
        <w:t xml:space="preserve"> </w:t>
      </w:r>
      <w:r>
        <w:t>lui</w:t>
      </w:r>
      <w:r w:rsidRPr="002C4077">
        <w:t xml:space="preserve"> </w:t>
      </w:r>
      <w:r>
        <w:t>d’une</w:t>
      </w:r>
      <w:r w:rsidRPr="002C4077">
        <w:t xml:space="preserve"> </w:t>
      </w:r>
      <w:r>
        <w:t>manière</w:t>
      </w:r>
      <w:r w:rsidRPr="002C4077">
        <w:t xml:space="preserve"> </w:t>
      </w:r>
      <w:r>
        <w:t>si</w:t>
      </w:r>
      <w:r w:rsidRPr="002C4077">
        <w:t xml:space="preserve"> </w:t>
      </w:r>
      <w:r>
        <w:t>b</w:t>
      </w:r>
      <w:r w:rsidR="003B53FD">
        <w:t>arbare</w:t>
      </w:r>
      <w:r w:rsidR="00B546AF">
        <w:t> ?</w:t>
      </w:r>
      <w:r w:rsidRPr="002C4077">
        <w:t xml:space="preserve"> </w:t>
      </w:r>
      <w:r>
        <w:t>Beaucoup</w:t>
      </w:r>
      <w:r w:rsidRPr="002C4077">
        <w:t xml:space="preserve"> </w:t>
      </w:r>
      <w:r>
        <w:t>de</w:t>
      </w:r>
      <w:r w:rsidRPr="002C4077">
        <w:t xml:space="preserve"> </w:t>
      </w:r>
      <w:r>
        <w:t>voyageurs</w:t>
      </w:r>
      <w:r w:rsidRPr="002C4077">
        <w:t xml:space="preserve"> </w:t>
      </w:r>
      <w:r>
        <w:t>modernes</w:t>
      </w:r>
      <w:r w:rsidRPr="002C4077">
        <w:t xml:space="preserve"> </w:t>
      </w:r>
      <w:r>
        <w:t>l’ont</w:t>
      </w:r>
      <w:r w:rsidRPr="002C4077">
        <w:t xml:space="preserve"> </w:t>
      </w:r>
      <w:r>
        <w:t>supposé,</w:t>
      </w:r>
      <w:r w:rsidRPr="002C4077">
        <w:t xml:space="preserve"> </w:t>
      </w:r>
      <w:r>
        <w:t>et</w:t>
      </w:r>
      <w:r w:rsidRPr="002C4077">
        <w:t xml:space="preserve"> </w:t>
      </w:r>
      <w:r>
        <w:t>il</w:t>
      </w:r>
      <w:r w:rsidRPr="002C4077">
        <w:t xml:space="preserve"> </w:t>
      </w:r>
      <w:r>
        <w:t>faut</w:t>
      </w:r>
      <w:r w:rsidRPr="002C4077">
        <w:t xml:space="preserve"> </w:t>
      </w:r>
      <w:r>
        <w:t>avouer</w:t>
      </w:r>
      <w:r w:rsidRPr="002C4077">
        <w:t xml:space="preserve"> </w:t>
      </w:r>
      <w:r>
        <w:t>qu’à</w:t>
      </w:r>
      <w:r w:rsidRPr="002C4077">
        <w:t xml:space="preserve"> </w:t>
      </w:r>
      <w:r>
        <w:t>plus</w:t>
      </w:r>
      <w:r w:rsidRPr="002C4077">
        <w:t xml:space="preserve"> </w:t>
      </w:r>
      <w:r>
        <w:t>d’un</w:t>
      </w:r>
      <w:r w:rsidRPr="002C4077">
        <w:t xml:space="preserve"> </w:t>
      </w:r>
      <w:r>
        <w:t>titre</w:t>
      </w:r>
      <w:r w:rsidRPr="002C4077">
        <w:t xml:space="preserve"> </w:t>
      </w:r>
      <w:r>
        <w:t>il</w:t>
      </w:r>
      <w:r w:rsidRPr="002C4077">
        <w:t xml:space="preserve"> </w:t>
      </w:r>
      <w:r>
        <w:t>convient</w:t>
      </w:r>
      <w:r w:rsidRPr="002C4077">
        <w:t xml:space="preserve"> </w:t>
      </w:r>
      <w:r>
        <w:t>à</w:t>
      </w:r>
      <w:r w:rsidRPr="002C4077">
        <w:t xml:space="preserve"> </w:t>
      </w:r>
      <w:r>
        <w:t>merveille</w:t>
      </w:r>
      <w:r w:rsidRPr="002C4077">
        <w:t xml:space="preserve"> </w:t>
      </w:r>
      <w:r>
        <w:t>pour</w:t>
      </w:r>
      <w:r w:rsidRPr="002C4077">
        <w:t xml:space="preserve"> </w:t>
      </w:r>
      <w:r>
        <w:t>le</w:t>
      </w:r>
      <w:r w:rsidRPr="002C4077">
        <w:t xml:space="preserve"> </w:t>
      </w:r>
      <w:r>
        <w:t>but</w:t>
      </w:r>
      <w:r w:rsidRPr="002C4077">
        <w:t xml:space="preserve"> </w:t>
      </w:r>
      <w:r>
        <w:t>que</w:t>
      </w:r>
      <w:r w:rsidRPr="002C4077">
        <w:t xml:space="preserve"> </w:t>
      </w:r>
      <w:r>
        <w:t>cette</w:t>
      </w:r>
      <w:r w:rsidRPr="002C4077">
        <w:t xml:space="preserve"> </w:t>
      </w:r>
      <w:r>
        <w:t>foule</w:t>
      </w:r>
      <w:r w:rsidRPr="002C4077">
        <w:t xml:space="preserve"> </w:t>
      </w:r>
      <w:r>
        <w:t>en</w:t>
      </w:r>
      <w:r w:rsidRPr="002C4077">
        <w:t xml:space="preserve"> </w:t>
      </w:r>
      <w:r>
        <w:t>fureur</w:t>
      </w:r>
      <w:r w:rsidRPr="002C4077">
        <w:t xml:space="preserve"> </w:t>
      </w:r>
      <w:r>
        <w:t>se</w:t>
      </w:r>
      <w:r w:rsidRPr="002C4077">
        <w:t xml:space="preserve"> </w:t>
      </w:r>
      <w:r>
        <w:t>proposait.</w:t>
      </w:r>
      <w:r w:rsidRPr="002C4077">
        <w:t xml:space="preserve"> </w:t>
      </w:r>
      <w:r>
        <w:t>L’homme</w:t>
      </w:r>
      <w:r w:rsidRPr="002C4077">
        <w:t xml:space="preserve"> </w:t>
      </w:r>
      <w:r>
        <w:t>que</w:t>
      </w:r>
      <w:r w:rsidRPr="002C4077">
        <w:t xml:space="preserve"> </w:t>
      </w:r>
      <w:r>
        <w:t>l’on</w:t>
      </w:r>
      <w:r w:rsidRPr="002C4077">
        <w:t xml:space="preserve"> </w:t>
      </w:r>
      <w:r>
        <w:t>précipiterait</w:t>
      </w:r>
      <w:r w:rsidRPr="002C4077">
        <w:t xml:space="preserve"> </w:t>
      </w:r>
      <w:r>
        <w:t>en</w:t>
      </w:r>
      <w:r w:rsidRPr="002C4077">
        <w:t xml:space="preserve"> </w:t>
      </w:r>
      <w:r>
        <w:t>bas</w:t>
      </w:r>
      <w:r w:rsidRPr="002C4077">
        <w:t xml:space="preserve"> </w:t>
      </w:r>
      <w:r>
        <w:t>du</w:t>
      </w:r>
      <w:r w:rsidRPr="002C4077">
        <w:t xml:space="preserve"> </w:t>
      </w:r>
      <w:r>
        <w:t>rocher</w:t>
      </w:r>
      <w:r w:rsidRPr="002C4077">
        <w:t xml:space="preserve"> </w:t>
      </w:r>
      <w:r>
        <w:t>ferait</w:t>
      </w:r>
      <w:r w:rsidRPr="002C4077">
        <w:t xml:space="preserve"> </w:t>
      </w:r>
      <w:r>
        <w:t>une</w:t>
      </w:r>
      <w:r w:rsidRPr="002C4077">
        <w:t xml:space="preserve"> </w:t>
      </w:r>
      <w:r>
        <w:t>chute</w:t>
      </w:r>
      <w:r w:rsidRPr="002C4077">
        <w:t xml:space="preserve"> </w:t>
      </w:r>
      <w:r>
        <w:t>d’environ</w:t>
      </w:r>
      <w:r w:rsidRPr="002C4077">
        <w:t xml:space="preserve"> </w:t>
      </w:r>
      <w:r>
        <w:t>cinquante</w:t>
      </w:r>
      <w:r w:rsidRPr="002C4077">
        <w:t xml:space="preserve"> </w:t>
      </w:r>
      <w:r>
        <w:t>pieds,</w:t>
      </w:r>
      <w:r w:rsidRPr="002C4077">
        <w:t xml:space="preserve"> </w:t>
      </w:r>
      <w:r>
        <w:t>et</w:t>
      </w:r>
      <w:r w:rsidRPr="002C4077">
        <w:t xml:space="preserve"> </w:t>
      </w:r>
      <w:r>
        <w:t>il</w:t>
      </w:r>
      <w:r w:rsidRPr="002C4077">
        <w:t xml:space="preserve"> </w:t>
      </w:r>
      <w:r w:rsidR="00425C50">
        <w:t>est</w:t>
      </w:r>
      <w:r w:rsidRPr="002C4077">
        <w:t xml:space="preserve"> </w:t>
      </w:r>
      <w:r>
        <w:t>probable</w:t>
      </w:r>
      <w:r w:rsidRPr="002C4077">
        <w:t xml:space="preserve"> </w:t>
      </w:r>
      <w:r>
        <w:t>qu’il</w:t>
      </w:r>
      <w:r w:rsidRPr="002C4077">
        <w:t xml:space="preserve"> </w:t>
      </w:r>
      <w:r>
        <w:t>ne</w:t>
      </w:r>
      <w:r w:rsidRPr="002C4077">
        <w:t xml:space="preserve"> </w:t>
      </w:r>
      <w:r>
        <w:t>se</w:t>
      </w:r>
      <w:r w:rsidRPr="002C4077">
        <w:t xml:space="preserve"> </w:t>
      </w:r>
      <w:r>
        <w:t>relèverait</w:t>
      </w:r>
      <w:r w:rsidRPr="002C4077">
        <w:t xml:space="preserve"> </w:t>
      </w:r>
      <w:r>
        <w:t>jamais.</w:t>
      </w:r>
      <w:r w:rsidRPr="002C4077">
        <w:t xml:space="preserve"> </w:t>
      </w:r>
      <w:r>
        <w:t>De</w:t>
      </w:r>
      <w:r w:rsidRPr="002C4077">
        <w:t xml:space="preserve"> </w:t>
      </w:r>
      <w:r>
        <w:t>plus,</w:t>
      </w:r>
      <w:r w:rsidRPr="002C4077">
        <w:t xml:space="preserve"> </w:t>
      </w:r>
      <w:r>
        <w:t>cet</w:t>
      </w:r>
      <w:r w:rsidRPr="002C4077">
        <w:t xml:space="preserve"> </w:t>
      </w:r>
      <w:r>
        <w:t>endroit</w:t>
      </w:r>
      <w:r w:rsidRPr="002C4077">
        <w:t xml:space="preserve"> </w:t>
      </w:r>
      <w:r w:rsidR="00425C50">
        <w:t>est</w:t>
      </w:r>
      <w:r w:rsidRPr="002C4077">
        <w:t xml:space="preserve"> </w:t>
      </w:r>
      <w:r>
        <w:t>près</w:t>
      </w:r>
      <w:r w:rsidRPr="002C4077">
        <w:t xml:space="preserve"> </w:t>
      </w:r>
      <w:r>
        <w:t>de</w:t>
      </w:r>
      <w:r w:rsidRPr="002C4077">
        <w:t xml:space="preserve"> </w:t>
      </w:r>
      <w:r>
        <w:t>la</w:t>
      </w:r>
      <w:r w:rsidRPr="002C4077">
        <w:t xml:space="preserve"> </w:t>
      </w:r>
      <w:r>
        <w:t>ville,</w:t>
      </w:r>
      <w:r w:rsidRPr="002C4077">
        <w:t xml:space="preserve"> </w:t>
      </w:r>
      <w:r>
        <w:t>à</w:t>
      </w:r>
      <w:r w:rsidRPr="002C4077">
        <w:t xml:space="preserve"> </w:t>
      </w:r>
      <w:r>
        <w:t>quelques</w:t>
      </w:r>
      <w:r w:rsidRPr="002C4077">
        <w:t xml:space="preserve"> </w:t>
      </w:r>
      <w:r>
        <w:t>minutes</w:t>
      </w:r>
      <w:r w:rsidRPr="002C4077">
        <w:t xml:space="preserve"> </w:t>
      </w:r>
      <w:r>
        <w:t>seulement</w:t>
      </w:r>
      <w:r w:rsidRPr="002C4077">
        <w:t xml:space="preserve"> </w:t>
      </w:r>
      <w:r>
        <w:t>de</w:t>
      </w:r>
      <w:r w:rsidRPr="002C4077">
        <w:t xml:space="preserve"> </w:t>
      </w:r>
      <w:r>
        <w:t>la</w:t>
      </w:r>
      <w:r w:rsidRPr="002C4077">
        <w:t xml:space="preserve"> </w:t>
      </w:r>
      <w:r>
        <w:t>synagogue.</w:t>
      </w:r>
      <w:r w:rsidRPr="002C4077">
        <w:t xml:space="preserve"> </w:t>
      </w:r>
      <w:r>
        <w:t>Au</w:t>
      </w:r>
      <w:r w:rsidRPr="002C4077">
        <w:t xml:space="preserve"> </w:t>
      </w:r>
      <w:r>
        <w:t>contraire,</w:t>
      </w:r>
      <w:r w:rsidRPr="002C4077">
        <w:t xml:space="preserve"> </w:t>
      </w:r>
      <w:r>
        <w:t>pour</w:t>
      </w:r>
      <w:r w:rsidRPr="002C4077">
        <w:t xml:space="preserve"> </w:t>
      </w:r>
      <w:r>
        <w:t>atteindre</w:t>
      </w:r>
      <w:r w:rsidRPr="002C4077">
        <w:t xml:space="preserve"> </w:t>
      </w:r>
      <w:r>
        <w:t>le</w:t>
      </w:r>
      <w:r w:rsidRPr="002C4077">
        <w:t xml:space="preserve"> </w:t>
      </w:r>
      <w:r w:rsidRPr="000A34B5">
        <w:rPr>
          <w:rStyle w:val="italicus"/>
        </w:rPr>
        <w:t>Saltus</w:t>
      </w:r>
      <w:r w:rsidRPr="002C4077">
        <w:t xml:space="preserve"> </w:t>
      </w:r>
      <w:r w:rsidRPr="000A34B5">
        <w:rPr>
          <w:rStyle w:val="italicus"/>
        </w:rPr>
        <w:t>D</w:t>
      </w:r>
      <w:r w:rsidR="003B53FD">
        <w:rPr>
          <w:rStyle w:val="italicus"/>
        </w:rPr>
        <w:t>ó</w:t>
      </w:r>
      <w:r w:rsidR="003B53FD" w:rsidRPr="000A34B5">
        <w:rPr>
          <w:rStyle w:val="italicus"/>
        </w:rPr>
        <w:t>mini</w:t>
      </w:r>
      <w:r w:rsidRPr="002C4077">
        <w:t xml:space="preserve"> </w:t>
      </w:r>
      <w:r>
        <w:t>traditionnel,</w:t>
      </w:r>
      <w:r w:rsidRPr="002C4077">
        <w:t xml:space="preserve"> </w:t>
      </w:r>
      <w:r>
        <w:t>il</w:t>
      </w:r>
      <w:r w:rsidRPr="002C4077">
        <w:t xml:space="preserve"> </w:t>
      </w:r>
      <w:r>
        <w:t>nous</w:t>
      </w:r>
      <w:r w:rsidRPr="002C4077">
        <w:t xml:space="preserve"> </w:t>
      </w:r>
      <w:r>
        <w:t>faudra</w:t>
      </w:r>
      <w:r w:rsidRPr="002C4077">
        <w:t xml:space="preserve"> </w:t>
      </w:r>
      <w:r>
        <w:t>marcher</w:t>
      </w:r>
      <w:r w:rsidRPr="002C4077">
        <w:t xml:space="preserve"> </w:t>
      </w:r>
      <w:r>
        <w:t>pendant</w:t>
      </w:r>
      <w:r w:rsidRPr="002C4077">
        <w:t xml:space="preserve"> </w:t>
      </w:r>
      <w:r>
        <w:t>près</w:t>
      </w:r>
      <w:r w:rsidRPr="002C4077">
        <w:t xml:space="preserve"> </w:t>
      </w:r>
      <w:r>
        <w:t>d’une</w:t>
      </w:r>
      <w:r w:rsidRPr="002C4077">
        <w:t xml:space="preserve"> </w:t>
      </w:r>
      <w:r>
        <w:t>heure</w:t>
      </w:r>
      <w:r w:rsidRPr="002C4077">
        <w:t xml:space="preserve"> </w:t>
      </w:r>
      <w:r>
        <w:t>par</w:t>
      </w:r>
      <w:r w:rsidRPr="002C4077">
        <w:t xml:space="preserve"> </w:t>
      </w:r>
      <w:r>
        <w:t>des</w:t>
      </w:r>
      <w:r w:rsidRPr="002C4077">
        <w:t xml:space="preserve"> </w:t>
      </w:r>
      <w:r w:rsidR="003B53FD">
        <w:t>chemins</w:t>
      </w:r>
      <w:r w:rsidRPr="002C4077">
        <w:t xml:space="preserve"> </w:t>
      </w:r>
      <w:r>
        <w:t>difficiles,</w:t>
      </w:r>
      <w:r w:rsidRPr="002C4077">
        <w:t xml:space="preserve"> </w:t>
      </w:r>
      <w:r>
        <w:t>et</w:t>
      </w:r>
      <w:r w:rsidRPr="002C4077">
        <w:t xml:space="preserve"> </w:t>
      </w:r>
      <w:r>
        <w:t>il</w:t>
      </w:r>
      <w:r w:rsidRPr="002C4077">
        <w:t xml:space="preserve"> </w:t>
      </w:r>
      <w:r>
        <w:t>semble</w:t>
      </w:r>
      <w:r w:rsidRPr="002C4077">
        <w:t xml:space="preserve"> </w:t>
      </w:r>
      <w:r>
        <w:t>peu</w:t>
      </w:r>
      <w:r w:rsidRPr="002C4077">
        <w:t xml:space="preserve"> </w:t>
      </w:r>
      <w:r>
        <w:t>naturel,</w:t>
      </w:r>
      <w:r w:rsidRPr="002C4077">
        <w:t xml:space="preserve"> </w:t>
      </w:r>
      <w:r>
        <w:t>au</w:t>
      </w:r>
      <w:r w:rsidRPr="002C4077">
        <w:t xml:space="preserve"> </w:t>
      </w:r>
      <w:r>
        <w:t>point</w:t>
      </w:r>
      <w:r w:rsidRPr="002C4077">
        <w:t xml:space="preserve"> </w:t>
      </w:r>
      <w:r>
        <w:t>de</w:t>
      </w:r>
      <w:r w:rsidRPr="002C4077">
        <w:t xml:space="preserve"> </w:t>
      </w:r>
      <w:r>
        <w:t>vue</w:t>
      </w:r>
      <w:r w:rsidRPr="002C4077">
        <w:t xml:space="preserve"> </w:t>
      </w:r>
      <w:r>
        <w:t>psychologique,</w:t>
      </w:r>
      <w:r w:rsidRPr="002C4077">
        <w:t xml:space="preserve"> </w:t>
      </w:r>
      <w:r>
        <w:t>que</w:t>
      </w:r>
      <w:r w:rsidRPr="002C4077">
        <w:t xml:space="preserve"> </w:t>
      </w:r>
      <w:r>
        <w:t>des</w:t>
      </w:r>
      <w:r w:rsidRPr="002C4077">
        <w:t xml:space="preserve"> </w:t>
      </w:r>
      <w:r>
        <w:t>hommes</w:t>
      </w:r>
      <w:r w:rsidRPr="002C4077">
        <w:t xml:space="preserve"> </w:t>
      </w:r>
      <w:r>
        <w:t>altérés</w:t>
      </w:r>
      <w:r w:rsidRPr="002C4077">
        <w:t xml:space="preserve"> </w:t>
      </w:r>
      <w:r>
        <w:t>de</w:t>
      </w:r>
      <w:r w:rsidRPr="002C4077">
        <w:t xml:space="preserve"> </w:t>
      </w:r>
      <w:r>
        <w:t>sang</w:t>
      </w:r>
      <w:r w:rsidRPr="002C4077">
        <w:t xml:space="preserve"> </w:t>
      </w:r>
      <w:r>
        <w:t>aient</w:t>
      </w:r>
      <w:r w:rsidRPr="002C4077">
        <w:t xml:space="preserve"> </w:t>
      </w:r>
      <w:r>
        <w:t>pu</w:t>
      </w:r>
      <w:r w:rsidRPr="002C4077">
        <w:t xml:space="preserve"> </w:t>
      </w:r>
      <w:r>
        <w:t>contenir</w:t>
      </w:r>
      <w:r w:rsidRPr="002C4077">
        <w:t xml:space="preserve"> </w:t>
      </w:r>
      <w:r>
        <w:t>leur</w:t>
      </w:r>
      <w:r w:rsidRPr="002C4077">
        <w:t xml:space="preserve"> </w:t>
      </w:r>
      <w:r>
        <w:t>rage</w:t>
      </w:r>
      <w:r w:rsidRPr="002C4077">
        <w:t xml:space="preserve"> </w:t>
      </w:r>
      <w:r>
        <w:t>une</w:t>
      </w:r>
      <w:r w:rsidRPr="002C4077">
        <w:t xml:space="preserve"> </w:t>
      </w:r>
      <w:r>
        <w:t>heure</w:t>
      </w:r>
      <w:r w:rsidRPr="002C4077">
        <w:t xml:space="preserve"> </w:t>
      </w:r>
      <w:r>
        <w:t>durant,</w:t>
      </w:r>
      <w:r w:rsidRPr="002C4077">
        <w:t xml:space="preserve"> </w:t>
      </w:r>
      <w:r>
        <w:t>alors</w:t>
      </w:r>
      <w:r w:rsidRPr="002C4077">
        <w:t xml:space="preserve"> </w:t>
      </w:r>
      <w:r>
        <w:t>qu’il</w:t>
      </w:r>
      <w:r w:rsidRPr="002C4077">
        <w:t xml:space="preserve"> </w:t>
      </w:r>
      <w:r>
        <w:t>leur</w:t>
      </w:r>
      <w:r w:rsidRPr="002C4077">
        <w:t xml:space="preserve"> </w:t>
      </w:r>
      <w:r>
        <w:t>était</w:t>
      </w:r>
      <w:r w:rsidRPr="002C4077">
        <w:t xml:space="preserve"> </w:t>
      </w:r>
      <w:r>
        <w:t>si</w:t>
      </w:r>
      <w:r w:rsidRPr="002C4077">
        <w:t xml:space="preserve"> </w:t>
      </w:r>
      <w:r>
        <w:t>aisé</w:t>
      </w:r>
      <w:r w:rsidRPr="002C4077">
        <w:t xml:space="preserve"> </w:t>
      </w:r>
      <w:r>
        <w:t>de</w:t>
      </w:r>
      <w:r w:rsidRPr="002C4077">
        <w:t xml:space="preserve"> </w:t>
      </w:r>
      <w:r>
        <w:t>l’assouvir</w:t>
      </w:r>
      <w:r w:rsidRPr="002C4077">
        <w:t xml:space="preserve"> </w:t>
      </w:r>
      <w:r>
        <w:t>immédiatement.</w:t>
      </w:r>
      <w:r w:rsidRPr="002C4077">
        <w:t xml:space="preserve"> </w:t>
      </w:r>
      <w:r>
        <w:t>Quoi</w:t>
      </w:r>
      <w:r w:rsidRPr="002C4077">
        <w:t xml:space="preserve"> </w:t>
      </w:r>
      <w:r>
        <w:t>qu’il</w:t>
      </w:r>
      <w:r w:rsidRPr="002C4077">
        <w:t xml:space="preserve"> </w:t>
      </w:r>
      <w:r>
        <w:t>en</w:t>
      </w:r>
      <w:r w:rsidRPr="002C4077">
        <w:t xml:space="preserve"> </w:t>
      </w:r>
      <w:r>
        <w:t>soit,</w:t>
      </w:r>
      <w:r w:rsidRPr="002C4077">
        <w:t xml:space="preserve"> </w:t>
      </w:r>
      <w:r>
        <w:t>nous</w:t>
      </w:r>
      <w:r w:rsidRPr="002C4077">
        <w:t xml:space="preserve"> </w:t>
      </w:r>
      <w:r>
        <w:t>ne</w:t>
      </w:r>
      <w:r w:rsidRPr="002C4077">
        <w:t xml:space="preserve"> </w:t>
      </w:r>
      <w:r>
        <w:t>pouvons</w:t>
      </w:r>
      <w:r w:rsidRPr="002C4077">
        <w:t xml:space="preserve"> </w:t>
      </w:r>
      <w:r>
        <w:t>pas</w:t>
      </w:r>
      <w:r w:rsidRPr="002C4077">
        <w:t xml:space="preserve"> </w:t>
      </w:r>
      <w:r>
        <w:t>moins</w:t>
      </w:r>
      <w:r w:rsidRPr="002C4077">
        <w:t xml:space="preserve"> </w:t>
      </w:r>
      <w:r>
        <w:t>faire</w:t>
      </w:r>
      <w:r w:rsidRPr="002C4077">
        <w:t xml:space="preserve"> </w:t>
      </w:r>
      <w:r>
        <w:t>que</w:t>
      </w:r>
      <w:r w:rsidRPr="002C4077">
        <w:t xml:space="preserve"> </w:t>
      </w:r>
      <w:r>
        <w:t>de</w:t>
      </w:r>
      <w:r w:rsidRPr="002C4077">
        <w:t xml:space="preserve"> </w:t>
      </w:r>
      <w:r>
        <w:t>le</w:t>
      </w:r>
      <w:r w:rsidRPr="002C4077">
        <w:t xml:space="preserve"> </w:t>
      </w:r>
      <w:r>
        <w:t>visiter.</w:t>
      </w:r>
      <w:r w:rsidRPr="002C4077">
        <w:t xml:space="preserve"> </w:t>
      </w:r>
      <w:r>
        <w:t>Enfonçons-nous</w:t>
      </w:r>
      <w:r w:rsidRPr="002C4077">
        <w:t xml:space="preserve"> </w:t>
      </w:r>
      <w:r>
        <w:t>donc</w:t>
      </w:r>
      <w:r w:rsidRPr="002C4077">
        <w:t xml:space="preserve"> </w:t>
      </w:r>
      <w:r>
        <w:t>dans</w:t>
      </w:r>
      <w:r w:rsidRPr="002C4077">
        <w:t xml:space="preserve"> </w:t>
      </w:r>
      <w:r>
        <w:t>ce</w:t>
      </w:r>
      <w:r w:rsidRPr="002C4077">
        <w:t xml:space="preserve"> </w:t>
      </w:r>
      <w:r>
        <w:t>vallon</w:t>
      </w:r>
      <w:r w:rsidRPr="002C4077">
        <w:t xml:space="preserve"> </w:t>
      </w:r>
      <w:r>
        <w:t>latéral,</w:t>
      </w:r>
      <w:r w:rsidRPr="002C4077">
        <w:t xml:space="preserve"> </w:t>
      </w:r>
      <w:r>
        <w:t>et</w:t>
      </w:r>
      <w:r w:rsidRPr="002C4077">
        <w:t xml:space="preserve"> </w:t>
      </w:r>
      <w:r>
        <w:t>marchons</w:t>
      </w:r>
      <w:r w:rsidRPr="002C4077">
        <w:t xml:space="preserve"> </w:t>
      </w:r>
      <w:r>
        <w:t>en</w:t>
      </w:r>
      <w:r w:rsidRPr="002C4077">
        <w:t xml:space="preserve"> </w:t>
      </w:r>
      <w:r>
        <w:t>pensant</w:t>
      </w:r>
      <w:r w:rsidRPr="002C4077">
        <w:t xml:space="preserve"> </w:t>
      </w:r>
      <w:r>
        <w:t>à</w:t>
      </w:r>
      <w:r w:rsidRPr="002C4077">
        <w:t xml:space="preserve"> </w:t>
      </w:r>
      <w:r w:rsidR="00425C50">
        <w:t>Jésus</w:t>
      </w:r>
      <w:r>
        <w:t>.</w:t>
      </w:r>
      <w:r w:rsidRPr="002C4077">
        <w:t xml:space="preserve"> </w:t>
      </w:r>
      <w:r>
        <w:t>N’admirez-vous</w:t>
      </w:r>
      <w:r w:rsidRPr="002C4077">
        <w:t xml:space="preserve"> </w:t>
      </w:r>
      <w:r>
        <w:t>pas</w:t>
      </w:r>
      <w:r w:rsidRPr="002C4077">
        <w:t xml:space="preserve"> </w:t>
      </w:r>
      <w:r>
        <w:t>combien</w:t>
      </w:r>
      <w:r w:rsidRPr="002C4077">
        <w:t xml:space="preserve"> </w:t>
      </w:r>
      <w:r>
        <w:t>ce</w:t>
      </w:r>
      <w:r w:rsidRPr="002C4077">
        <w:t xml:space="preserve"> </w:t>
      </w:r>
      <w:r>
        <w:t>lieu</w:t>
      </w:r>
      <w:r w:rsidRPr="002C4077">
        <w:t xml:space="preserve"> </w:t>
      </w:r>
      <w:r w:rsidR="00425C50">
        <w:t>est</w:t>
      </w:r>
      <w:r w:rsidRPr="002C4077">
        <w:t xml:space="preserve"> </w:t>
      </w:r>
      <w:r>
        <w:t>solitaire</w:t>
      </w:r>
      <w:r w:rsidR="00B546AF">
        <w:t> ?</w:t>
      </w:r>
      <w:r w:rsidRPr="002C4077">
        <w:t xml:space="preserve"> </w:t>
      </w:r>
      <w:r>
        <w:t>Il</w:t>
      </w:r>
      <w:r w:rsidRPr="002C4077">
        <w:t xml:space="preserve"> </w:t>
      </w:r>
      <w:r>
        <w:t>y</w:t>
      </w:r>
      <w:r w:rsidRPr="002C4077">
        <w:t xml:space="preserve"> </w:t>
      </w:r>
      <w:r>
        <w:t>a</w:t>
      </w:r>
      <w:r w:rsidRPr="002C4077">
        <w:t xml:space="preserve"> </w:t>
      </w:r>
      <w:r>
        <w:t>aux</w:t>
      </w:r>
      <w:r w:rsidRPr="002C4077">
        <w:t xml:space="preserve"> </w:t>
      </w:r>
      <w:r>
        <w:t>alentours</w:t>
      </w:r>
      <w:r w:rsidRPr="002C4077">
        <w:t xml:space="preserve"> </w:t>
      </w:r>
      <w:r>
        <w:t>de</w:t>
      </w:r>
      <w:r w:rsidRPr="002C4077">
        <w:t xml:space="preserve"> </w:t>
      </w:r>
      <w:r>
        <w:t>Nazareth</w:t>
      </w:r>
      <w:r w:rsidRPr="002C4077">
        <w:t xml:space="preserve"> </w:t>
      </w:r>
      <w:r>
        <w:t>plusieurs</w:t>
      </w:r>
      <w:r w:rsidRPr="002C4077">
        <w:t xml:space="preserve"> </w:t>
      </w:r>
      <w:r w:rsidRPr="000A34B5">
        <w:rPr>
          <w:rStyle w:val="italicus"/>
        </w:rPr>
        <w:t>ouadis</w:t>
      </w:r>
      <w:r w:rsidRPr="004440EA">
        <w:t xml:space="preserve"> (</w:t>
      </w:r>
      <w:r>
        <w:t>vallées</w:t>
      </w:r>
      <w:r w:rsidR="00B546AF" w:rsidRPr="002C4077">
        <w:t>)</w:t>
      </w:r>
      <w:r w:rsidRPr="002C4077">
        <w:t xml:space="preserve"> </w:t>
      </w:r>
      <w:r>
        <w:t>semblables,</w:t>
      </w:r>
      <w:r w:rsidRPr="002C4077">
        <w:t xml:space="preserve"> </w:t>
      </w:r>
      <w:r>
        <w:t>qui</w:t>
      </w:r>
      <w:r w:rsidRPr="002C4077">
        <w:t xml:space="preserve"> </w:t>
      </w:r>
      <w:r>
        <w:t>s’en</w:t>
      </w:r>
      <w:r w:rsidRPr="002C4077">
        <w:t xml:space="preserve"> </w:t>
      </w:r>
      <w:r>
        <w:t>vont</w:t>
      </w:r>
      <w:r w:rsidRPr="002C4077">
        <w:t xml:space="preserve"> </w:t>
      </w:r>
      <w:r>
        <w:t>dans</w:t>
      </w:r>
      <w:r w:rsidRPr="002C4077">
        <w:t xml:space="preserve"> </w:t>
      </w:r>
      <w:r>
        <w:t>toutes</w:t>
      </w:r>
      <w:r w:rsidRPr="002C4077">
        <w:t xml:space="preserve"> </w:t>
      </w:r>
      <w:r>
        <w:t>les</w:t>
      </w:r>
      <w:r w:rsidRPr="002C4077">
        <w:t xml:space="preserve"> </w:t>
      </w:r>
      <w:r>
        <w:t>directions.</w:t>
      </w:r>
      <w:r w:rsidRPr="002C4077">
        <w:t xml:space="preserve"> </w:t>
      </w:r>
      <w:r>
        <w:t>Le</w:t>
      </w:r>
      <w:r w:rsidRPr="002C4077">
        <w:t xml:space="preserve"> </w:t>
      </w:r>
      <w:r>
        <w:t>Sauveur</w:t>
      </w:r>
      <w:r w:rsidRPr="002C4077">
        <w:t xml:space="preserve"> </w:t>
      </w:r>
      <w:r>
        <w:t>a</w:t>
      </w:r>
      <w:r w:rsidRPr="002C4077">
        <w:t xml:space="preserve"> </w:t>
      </w:r>
      <w:r>
        <w:t>dû</w:t>
      </w:r>
      <w:r w:rsidRPr="002C4077">
        <w:t xml:space="preserve"> </w:t>
      </w:r>
      <w:r>
        <w:t>les</w:t>
      </w:r>
      <w:r w:rsidRPr="002C4077">
        <w:t xml:space="preserve"> </w:t>
      </w:r>
      <w:r>
        <w:t>parcourir</w:t>
      </w:r>
      <w:r w:rsidRPr="002C4077">
        <w:t xml:space="preserve"> </w:t>
      </w:r>
      <w:r>
        <w:t>souvent,</w:t>
      </w:r>
      <w:r w:rsidRPr="002C4077">
        <w:t xml:space="preserve"> </w:t>
      </w:r>
      <w:r>
        <w:t>l’esprit</w:t>
      </w:r>
      <w:r w:rsidRPr="002C4077">
        <w:t xml:space="preserve"> </w:t>
      </w:r>
      <w:r>
        <w:t>rempli</w:t>
      </w:r>
      <w:r w:rsidRPr="002C4077">
        <w:t xml:space="preserve"> </w:t>
      </w:r>
      <w:r>
        <w:t>de</w:t>
      </w:r>
      <w:r w:rsidRPr="002C4077">
        <w:t xml:space="preserve"> </w:t>
      </w:r>
      <w:r>
        <w:t>l’œuvre</w:t>
      </w:r>
      <w:r w:rsidRPr="002C4077">
        <w:t xml:space="preserve"> </w:t>
      </w:r>
      <w:r>
        <w:t>de</w:t>
      </w:r>
      <w:r w:rsidRPr="002C4077">
        <w:t xml:space="preserve"> </w:t>
      </w:r>
      <w:r>
        <w:t>rédemption</w:t>
      </w:r>
      <w:r w:rsidRPr="002C4077">
        <w:t xml:space="preserve"> </w:t>
      </w:r>
      <w:r>
        <w:t>qu’il</w:t>
      </w:r>
      <w:r w:rsidRPr="002C4077">
        <w:t xml:space="preserve"> </w:t>
      </w:r>
      <w:r>
        <w:t>lui</w:t>
      </w:r>
      <w:r w:rsidRPr="002C4077">
        <w:t xml:space="preserve"> </w:t>
      </w:r>
      <w:r>
        <w:t>tardait</w:t>
      </w:r>
      <w:r w:rsidRPr="002C4077">
        <w:t xml:space="preserve"> </w:t>
      </w:r>
      <w:r>
        <w:t>d’accomplir</w:t>
      </w:r>
      <w:r w:rsidRPr="002C4077">
        <w:t xml:space="preserve"> </w:t>
      </w:r>
      <w:r>
        <w:t>pour</w:t>
      </w:r>
      <w:r w:rsidRPr="002C4077">
        <w:t xml:space="preserve"> </w:t>
      </w:r>
      <w:r>
        <w:t>les</w:t>
      </w:r>
      <w:r w:rsidRPr="002C4077">
        <w:t xml:space="preserve"> </w:t>
      </w:r>
      <w:r>
        <w:t>hommes.</w:t>
      </w:r>
      <w:r w:rsidRPr="002C4077">
        <w:t xml:space="preserve"> </w:t>
      </w:r>
    </w:p>
    <w:p w:rsidR="000A7AAB" w:rsidRPr="001F5257" w:rsidRDefault="000A7AAB" w:rsidP="000A7AAB">
      <w:r>
        <w:t>Les</w:t>
      </w:r>
      <w:r w:rsidRPr="002C4077">
        <w:t xml:space="preserve"> </w:t>
      </w:r>
      <w:r>
        <w:t>ruines</w:t>
      </w:r>
      <w:r w:rsidRPr="002C4077">
        <w:t xml:space="preserve"> </w:t>
      </w:r>
      <w:r>
        <w:t>que</w:t>
      </w:r>
      <w:r w:rsidRPr="002C4077">
        <w:t xml:space="preserve"> </w:t>
      </w:r>
      <w:r>
        <w:t>nous</w:t>
      </w:r>
      <w:r w:rsidRPr="002C4077">
        <w:t xml:space="preserve"> </w:t>
      </w:r>
      <w:r>
        <w:t>apercevons</w:t>
      </w:r>
      <w:r w:rsidRPr="002C4077">
        <w:t xml:space="preserve"> </w:t>
      </w:r>
      <w:r>
        <w:t>au</w:t>
      </w:r>
      <w:r w:rsidRPr="002C4077">
        <w:t xml:space="preserve"> </w:t>
      </w:r>
      <w:r>
        <w:t>sud,</w:t>
      </w:r>
      <w:r w:rsidRPr="002C4077">
        <w:t xml:space="preserve"> </w:t>
      </w:r>
      <w:r>
        <w:t>sur</w:t>
      </w:r>
      <w:r w:rsidRPr="002C4077">
        <w:t xml:space="preserve"> </w:t>
      </w:r>
      <w:r>
        <w:t>la</w:t>
      </w:r>
      <w:r w:rsidRPr="002C4077">
        <w:t xml:space="preserve"> </w:t>
      </w:r>
      <w:r>
        <w:t>colline,</w:t>
      </w:r>
      <w:r w:rsidRPr="002C4077">
        <w:t xml:space="preserve"> </w:t>
      </w:r>
      <w:r>
        <w:t>sont</w:t>
      </w:r>
      <w:r w:rsidRPr="002C4077">
        <w:t xml:space="preserve"> </w:t>
      </w:r>
      <w:r>
        <w:t>celles</w:t>
      </w:r>
      <w:r w:rsidRPr="002C4077">
        <w:t xml:space="preserve"> </w:t>
      </w:r>
      <w:r>
        <w:t>d’une</w:t>
      </w:r>
      <w:r w:rsidRPr="002C4077">
        <w:t xml:space="preserve"> </w:t>
      </w:r>
      <w:r>
        <w:t>église,</w:t>
      </w:r>
      <w:r w:rsidRPr="002C4077">
        <w:t xml:space="preserve"> </w:t>
      </w:r>
      <w:r>
        <w:t>et</w:t>
      </w:r>
      <w:r w:rsidRPr="002C4077">
        <w:t xml:space="preserve"> </w:t>
      </w:r>
      <w:r>
        <w:t>d’un</w:t>
      </w:r>
      <w:r w:rsidRPr="002C4077">
        <w:t xml:space="preserve"> </w:t>
      </w:r>
      <w:r>
        <w:t>couvent</w:t>
      </w:r>
      <w:r w:rsidRPr="002C4077">
        <w:t xml:space="preserve"> </w:t>
      </w:r>
      <w:r>
        <w:t>de</w:t>
      </w:r>
      <w:r w:rsidRPr="002C4077">
        <w:t xml:space="preserve"> </w:t>
      </w:r>
      <w:r>
        <w:t>femmes</w:t>
      </w:r>
      <w:r w:rsidRPr="002C4077">
        <w:t xml:space="preserve"> </w:t>
      </w:r>
      <w:r>
        <w:t>dont</w:t>
      </w:r>
      <w:r w:rsidRPr="002C4077">
        <w:t xml:space="preserve"> </w:t>
      </w:r>
      <w:r>
        <w:t>elle</w:t>
      </w:r>
      <w:r w:rsidRPr="002C4077">
        <w:t xml:space="preserve"> </w:t>
      </w:r>
      <w:r>
        <w:t>dépendait.</w:t>
      </w:r>
      <w:r w:rsidRPr="002C4077">
        <w:t xml:space="preserve"> </w:t>
      </w:r>
      <w:r>
        <w:t>On</w:t>
      </w:r>
      <w:r w:rsidRPr="002C4077">
        <w:t xml:space="preserve"> </w:t>
      </w:r>
      <w:r>
        <w:t>les</w:t>
      </w:r>
      <w:r w:rsidRPr="002C4077">
        <w:t xml:space="preserve"> </w:t>
      </w:r>
      <w:r>
        <w:t>nomme</w:t>
      </w:r>
      <w:r w:rsidRPr="002C4077">
        <w:t xml:space="preserve"> </w:t>
      </w:r>
      <w:r>
        <w:t>encore</w:t>
      </w:r>
      <w:r w:rsidRPr="002C4077">
        <w:t xml:space="preserve"> </w:t>
      </w:r>
      <w:r w:rsidRPr="000A34B5">
        <w:rPr>
          <w:rStyle w:val="italicus"/>
        </w:rPr>
        <w:t>S.</w:t>
      </w:r>
      <w:r w:rsidRPr="002C4077">
        <w:t xml:space="preserve"> </w:t>
      </w:r>
      <w:r w:rsidR="003B53FD" w:rsidRPr="000A34B5">
        <w:rPr>
          <w:rStyle w:val="italicus"/>
        </w:rPr>
        <w:t>Mar</w:t>
      </w:r>
      <w:r w:rsidR="003B53FD">
        <w:rPr>
          <w:rStyle w:val="italicus"/>
        </w:rPr>
        <w:t>í</w:t>
      </w:r>
      <w:r w:rsidR="003B53FD" w:rsidRPr="000A34B5">
        <w:rPr>
          <w:rStyle w:val="italicus"/>
        </w:rPr>
        <w:t>a</w:t>
      </w:r>
      <w:r w:rsidRPr="002C4077">
        <w:t xml:space="preserve"> </w:t>
      </w:r>
      <w:r w:rsidRPr="000A34B5">
        <w:rPr>
          <w:rStyle w:val="italicus"/>
        </w:rPr>
        <w:t>del</w:t>
      </w:r>
      <w:r w:rsidRPr="002C4077">
        <w:t xml:space="preserve"> </w:t>
      </w:r>
      <w:r w:rsidRPr="000A34B5">
        <w:rPr>
          <w:rStyle w:val="italicus"/>
        </w:rPr>
        <w:t>Tr</w:t>
      </w:r>
      <w:r w:rsidR="001730C6" w:rsidRPr="000A34B5">
        <w:rPr>
          <w:rStyle w:val="italicus"/>
        </w:rPr>
        <w:t>em</w:t>
      </w:r>
      <w:r w:rsidRPr="000A34B5">
        <w:rPr>
          <w:rStyle w:val="italicus"/>
        </w:rPr>
        <w:t>or,</w:t>
      </w:r>
      <w:r w:rsidRPr="002C4077">
        <w:t xml:space="preserve"> </w:t>
      </w:r>
      <w:r>
        <w:t>ou</w:t>
      </w:r>
      <w:r w:rsidRPr="002C4077">
        <w:t xml:space="preserve"> </w:t>
      </w:r>
      <w:r>
        <w:t>Notre-Dame</w:t>
      </w:r>
      <w:r w:rsidRPr="002C4077">
        <w:t xml:space="preserve"> </w:t>
      </w:r>
      <w:r>
        <w:t>de</w:t>
      </w:r>
      <w:r w:rsidRPr="002C4077">
        <w:t xml:space="preserve"> </w:t>
      </w:r>
      <w:r>
        <w:t>l’Effroi.</w:t>
      </w:r>
      <w:r w:rsidRPr="002C4077">
        <w:t xml:space="preserve"> </w:t>
      </w:r>
      <w:r>
        <w:t>La</w:t>
      </w:r>
      <w:r w:rsidRPr="002C4077">
        <w:t xml:space="preserve"> </w:t>
      </w:r>
      <w:r>
        <w:t>Mère</w:t>
      </w:r>
      <w:r w:rsidRPr="002C4077">
        <w:t xml:space="preserve"> </w:t>
      </w:r>
      <w:r>
        <w:t>de</w:t>
      </w:r>
      <w:r w:rsidRPr="002C4077">
        <w:t xml:space="preserve"> </w:t>
      </w:r>
      <w:r w:rsidR="00425C50">
        <w:t>Jésus</w:t>
      </w:r>
      <w:r w:rsidRPr="002C4077">
        <w:t xml:space="preserve"> </w:t>
      </w:r>
      <w:r>
        <w:t>serait</w:t>
      </w:r>
      <w:r w:rsidRPr="002C4077">
        <w:t xml:space="preserve"> </w:t>
      </w:r>
      <w:r>
        <w:t>accourue</w:t>
      </w:r>
      <w:r w:rsidRPr="002C4077">
        <w:t xml:space="preserve"> </w:t>
      </w:r>
      <w:r>
        <w:t>jusque-là</w:t>
      </w:r>
      <w:r w:rsidRPr="002C4077">
        <w:t xml:space="preserve"> </w:t>
      </w:r>
      <w:r>
        <w:t>quand</w:t>
      </w:r>
      <w:r w:rsidRPr="002C4077">
        <w:t xml:space="preserve"> </w:t>
      </w:r>
      <w:r>
        <w:t>elle</w:t>
      </w:r>
      <w:r w:rsidRPr="002C4077">
        <w:t xml:space="preserve"> </w:t>
      </w:r>
      <w:r>
        <w:t>apprit</w:t>
      </w:r>
      <w:r w:rsidRPr="002C4077">
        <w:t xml:space="preserve"> </w:t>
      </w:r>
      <w:r>
        <w:t>qu’on</w:t>
      </w:r>
      <w:r w:rsidRPr="002C4077">
        <w:t xml:space="preserve"> </w:t>
      </w:r>
      <w:r>
        <w:t>allait</w:t>
      </w:r>
      <w:r w:rsidRPr="002C4077">
        <w:t xml:space="preserve"> </w:t>
      </w:r>
      <w:r>
        <w:t>massacrer</w:t>
      </w:r>
      <w:r w:rsidRPr="002C4077">
        <w:t xml:space="preserve"> </w:t>
      </w:r>
      <w:r>
        <w:t>son</w:t>
      </w:r>
      <w:r w:rsidRPr="002C4077">
        <w:t xml:space="preserve"> </w:t>
      </w:r>
      <w:r>
        <w:t>divin</w:t>
      </w:r>
      <w:r w:rsidRPr="002C4077">
        <w:t xml:space="preserve"> </w:t>
      </w:r>
      <w:r>
        <w:t>Fils.</w:t>
      </w:r>
      <w:r w:rsidR="00C45B47">
        <w:t xml:space="preserve"> {</w:t>
      </w:r>
      <w:r w:rsidR="001F5257">
        <w:t>232</w:t>
      </w:r>
      <w:bookmarkStart w:id="564" w:name="p232"/>
      <w:bookmarkEnd w:id="564"/>
      <w:r w:rsidR="001F5257">
        <w:t xml:space="preserve">} </w:t>
      </w:r>
    </w:p>
    <w:p w:rsidR="000A7AAB" w:rsidRDefault="000A7AAB" w:rsidP="000A7AAB">
      <w:r>
        <w:t>L’horrible</w:t>
      </w:r>
      <w:r w:rsidRPr="002C4077">
        <w:t xml:space="preserve"> </w:t>
      </w:r>
      <w:r>
        <w:t>supplice</w:t>
      </w:r>
      <w:r w:rsidRPr="002C4077">
        <w:t xml:space="preserve"> </w:t>
      </w:r>
      <w:r>
        <w:t>de</w:t>
      </w:r>
      <w:r w:rsidRPr="002C4077">
        <w:t xml:space="preserve"> </w:t>
      </w:r>
      <w:r>
        <w:t>la</w:t>
      </w:r>
      <w:r w:rsidRPr="002C4077">
        <w:t xml:space="preserve"> </w:t>
      </w:r>
      <w:r w:rsidR="00B546AF">
        <w:t>« </w:t>
      </w:r>
      <w:r>
        <w:t>Précipitation</w:t>
      </w:r>
      <w:r w:rsidR="00B546AF">
        <w:t> »</w:t>
      </w:r>
      <w:r w:rsidRPr="002C4077">
        <w:t xml:space="preserve"> </w:t>
      </w:r>
      <w:r>
        <w:t>était,</w:t>
      </w:r>
      <w:r w:rsidRPr="002C4077">
        <w:t xml:space="preserve"> </w:t>
      </w:r>
      <w:r>
        <w:t>chez</w:t>
      </w:r>
      <w:r w:rsidRPr="002C4077">
        <w:t xml:space="preserve"> </w:t>
      </w:r>
      <w:r>
        <w:t>les</w:t>
      </w:r>
      <w:r w:rsidRPr="002C4077">
        <w:t xml:space="preserve"> </w:t>
      </w:r>
      <w:r>
        <w:t>Juifs,</w:t>
      </w:r>
      <w:r w:rsidRPr="002C4077">
        <w:t xml:space="preserve"> </w:t>
      </w:r>
      <w:r>
        <w:t>une</w:t>
      </w:r>
      <w:r w:rsidRPr="002C4077">
        <w:t xml:space="preserve"> </w:t>
      </w:r>
      <w:r>
        <w:t>forme</w:t>
      </w:r>
      <w:r w:rsidRPr="002C4077">
        <w:t xml:space="preserve"> </w:t>
      </w:r>
      <w:r>
        <w:t>particulière</w:t>
      </w:r>
      <w:r w:rsidRPr="002C4077">
        <w:t xml:space="preserve"> </w:t>
      </w:r>
      <w:r>
        <w:t>de</w:t>
      </w:r>
      <w:r w:rsidRPr="002C4077">
        <w:t xml:space="preserve"> </w:t>
      </w:r>
      <w:r>
        <w:t>la</w:t>
      </w:r>
      <w:r w:rsidRPr="002C4077">
        <w:t xml:space="preserve"> </w:t>
      </w:r>
      <w:r>
        <w:t>lapidation.</w:t>
      </w:r>
      <w:r w:rsidRPr="002C4077">
        <w:t xml:space="preserve"> </w:t>
      </w:r>
      <w:r>
        <w:t>Souvent,</w:t>
      </w:r>
      <w:r w:rsidRPr="002C4077">
        <w:t xml:space="preserve"> </w:t>
      </w:r>
      <w:r>
        <w:t>en</w:t>
      </w:r>
      <w:r w:rsidRPr="002C4077">
        <w:t xml:space="preserve"> </w:t>
      </w:r>
      <w:r>
        <w:t>effet,</w:t>
      </w:r>
      <w:r w:rsidRPr="002C4077">
        <w:t xml:space="preserve"> </w:t>
      </w:r>
      <w:r>
        <w:t>au</w:t>
      </w:r>
      <w:r w:rsidRPr="002C4077">
        <w:t xml:space="preserve"> </w:t>
      </w:r>
      <w:r>
        <w:t>lieu</w:t>
      </w:r>
      <w:r w:rsidRPr="002C4077">
        <w:t xml:space="preserve"> </w:t>
      </w:r>
      <w:r>
        <w:t>de</w:t>
      </w:r>
      <w:r w:rsidRPr="002C4077">
        <w:t xml:space="preserve"> </w:t>
      </w:r>
      <w:r>
        <w:t>faire</w:t>
      </w:r>
      <w:r w:rsidRPr="002C4077">
        <w:t xml:space="preserve"> </w:t>
      </w:r>
      <w:r>
        <w:t>périr</w:t>
      </w:r>
      <w:r w:rsidRPr="002C4077">
        <w:t xml:space="preserve"> </w:t>
      </w:r>
      <w:r>
        <w:t>simplement</w:t>
      </w:r>
      <w:r w:rsidRPr="002C4077">
        <w:t xml:space="preserve"> </w:t>
      </w:r>
      <w:r>
        <w:t>sous</w:t>
      </w:r>
      <w:r w:rsidRPr="002C4077">
        <w:t xml:space="preserve"> </w:t>
      </w:r>
      <w:r>
        <w:t>une</w:t>
      </w:r>
      <w:r w:rsidRPr="002C4077">
        <w:t xml:space="preserve"> </w:t>
      </w:r>
      <w:r>
        <w:t>grêle</w:t>
      </w:r>
      <w:r w:rsidRPr="002C4077">
        <w:t xml:space="preserve"> </w:t>
      </w:r>
      <w:r>
        <w:t>de</w:t>
      </w:r>
      <w:r w:rsidRPr="002C4077">
        <w:t xml:space="preserve"> </w:t>
      </w:r>
      <w:r>
        <w:t>pierres</w:t>
      </w:r>
      <w:r w:rsidRPr="002C4077">
        <w:t xml:space="preserve"> </w:t>
      </w:r>
      <w:r>
        <w:t>le</w:t>
      </w:r>
      <w:r w:rsidRPr="002C4077">
        <w:t xml:space="preserve"> </w:t>
      </w:r>
      <w:r>
        <w:t>malheureux</w:t>
      </w:r>
      <w:r w:rsidRPr="002C4077">
        <w:t xml:space="preserve"> </w:t>
      </w:r>
      <w:r>
        <w:t>qu’on</w:t>
      </w:r>
      <w:r w:rsidRPr="002C4077">
        <w:t xml:space="preserve"> </w:t>
      </w:r>
      <w:r>
        <w:t>avait</w:t>
      </w:r>
      <w:r w:rsidRPr="002C4077">
        <w:t xml:space="preserve"> </w:t>
      </w:r>
      <w:r>
        <w:t>condamné</w:t>
      </w:r>
      <w:r w:rsidRPr="002C4077">
        <w:t xml:space="preserve"> </w:t>
      </w:r>
      <w:r>
        <w:t>à</w:t>
      </w:r>
      <w:r w:rsidRPr="002C4077">
        <w:t xml:space="preserve"> </w:t>
      </w:r>
      <w:r>
        <w:t>être</w:t>
      </w:r>
      <w:r w:rsidRPr="002C4077">
        <w:t xml:space="preserve"> </w:t>
      </w:r>
      <w:r>
        <w:t>lapidé,</w:t>
      </w:r>
      <w:r w:rsidRPr="002C4077">
        <w:t xml:space="preserve"> </w:t>
      </w:r>
      <w:r>
        <w:t>on</w:t>
      </w:r>
      <w:r w:rsidRPr="002C4077">
        <w:t xml:space="preserve"> </w:t>
      </w:r>
      <w:r>
        <w:t>le</w:t>
      </w:r>
      <w:r w:rsidRPr="002C4077">
        <w:t xml:space="preserve"> </w:t>
      </w:r>
      <w:r>
        <w:t>précipitait</w:t>
      </w:r>
      <w:r w:rsidRPr="002C4077">
        <w:t xml:space="preserve"> </w:t>
      </w:r>
      <w:r>
        <w:t>d’un</w:t>
      </w:r>
      <w:r w:rsidR="006F72A8" w:rsidRPr="002C4077">
        <w:t xml:space="preserve"> </w:t>
      </w:r>
      <w:r w:rsidR="006F72A8">
        <w:t>endroit</w:t>
      </w:r>
      <w:r w:rsidR="006F72A8" w:rsidRPr="002C4077">
        <w:t xml:space="preserve"> </w:t>
      </w:r>
      <w:r w:rsidR="006F72A8">
        <w:t>élevé.</w:t>
      </w:r>
      <w:r w:rsidR="006F72A8" w:rsidRPr="002C4077">
        <w:t xml:space="preserve"> </w:t>
      </w:r>
      <w:r w:rsidR="006F72A8">
        <w:t>S’il</w:t>
      </w:r>
      <w:r w:rsidR="006F72A8" w:rsidRPr="002C4077">
        <w:t xml:space="preserve"> </w:t>
      </w:r>
      <w:r w:rsidR="006F72A8">
        <w:t>survivait,</w:t>
      </w:r>
      <w:r w:rsidR="006F72A8" w:rsidRPr="002C4077">
        <w:t xml:space="preserve"> </w:t>
      </w:r>
      <w:r>
        <w:t>on</w:t>
      </w:r>
      <w:r w:rsidRPr="002C4077">
        <w:t xml:space="preserve"> </w:t>
      </w:r>
      <w:r>
        <w:t>faisait</w:t>
      </w:r>
      <w:r w:rsidRPr="002C4077">
        <w:t xml:space="preserve"> </w:t>
      </w:r>
      <w:r>
        <w:t>rouler</w:t>
      </w:r>
      <w:r w:rsidRPr="002C4077">
        <w:t xml:space="preserve"> </w:t>
      </w:r>
      <w:r>
        <w:t>sur</w:t>
      </w:r>
      <w:r w:rsidRPr="002C4077">
        <w:t xml:space="preserve"> </w:t>
      </w:r>
      <w:r>
        <w:t>lui</w:t>
      </w:r>
      <w:r w:rsidRPr="002C4077">
        <w:t xml:space="preserve"> </w:t>
      </w:r>
      <w:r>
        <w:t>de</w:t>
      </w:r>
      <w:r w:rsidRPr="002C4077">
        <w:t xml:space="preserve"> </w:t>
      </w:r>
      <w:r>
        <w:t>grosses</w:t>
      </w:r>
      <w:r w:rsidRPr="002C4077">
        <w:t xml:space="preserve"> </w:t>
      </w:r>
      <w:r>
        <w:t>pierres</w:t>
      </w:r>
      <w:r w:rsidRPr="002C4077">
        <w:t xml:space="preserve"> </w:t>
      </w:r>
      <w:r>
        <w:t>qui</w:t>
      </w:r>
      <w:r w:rsidRPr="002C4077">
        <w:t xml:space="preserve"> </w:t>
      </w:r>
      <w:r>
        <w:t>achevaient</w:t>
      </w:r>
      <w:r w:rsidRPr="002C4077">
        <w:t xml:space="preserve"> </w:t>
      </w:r>
      <w:r>
        <w:t>de</w:t>
      </w:r>
      <w:r w:rsidRPr="002C4077">
        <w:t xml:space="preserve"> </w:t>
      </w:r>
      <w:r>
        <w:t>l’écraser</w:t>
      </w:r>
      <w:r w:rsidR="00B91AF7">
        <w:rPr>
          <w:rStyle w:val="Appelnotedebasdep"/>
        </w:rPr>
        <w:footnoteReference w:id="742"/>
      </w:r>
      <w:r>
        <w:t>.</w:t>
      </w:r>
      <w:r w:rsidRPr="002C4077">
        <w:t xml:space="preserve"> </w:t>
      </w:r>
      <w:r>
        <w:t>Les</w:t>
      </w:r>
      <w:r w:rsidRPr="002C4077">
        <w:t xml:space="preserve"> </w:t>
      </w:r>
      <w:r>
        <w:t>Lacédémoniens,</w:t>
      </w:r>
      <w:r w:rsidRPr="002C4077">
        <w:t xml:space="preserve"> </w:t>
      </w:r>
      <w:r>
        <w:t>les</w:t>
      </w:r>
      <w:r w:rsidRPr="002C4077">
        <w:t xml:space="preserve"> </w:t>
      </w:r>
      <w:r>
        <w:t>Athéniens,</w:t>
      </w:r>
      <w:r w:rsidRPr="002C4077">
        <w:t xml:space="preserve"> </w:t>
      </w:r>
      <w:r>
        <w:t>les</w:t>
      </w:r>
      <w:r w:rsidRPr="002C4077">
        <w:t xml:space="preserve"> </w:t>
      </w:r>
      <w:r>
        <w:t>habitants</w:t>
      </w:r>
      <w:r w:rsidRPr="002C4077">
        <w:t xml:space="preserve"> </w:t>
      </w:r>
      <w:r>
        <w:t>de</w:t>
      </w:r>
      <w:r w:rsidRPr="002C4077">
        <w:t xml:space="preserve"> </w:t>
      </w:r>
      <w:r>
        <w:t>Delphes,</w:t>
      </w:r>
      <w:r w:rsidRPr="002C4077">
        <w:t xml:space="preserve"> </w:t>
      </w:r>
      <w:r>
        <w:t>les</w:t>
      </w:r>
      <w:r w:rsidRPr="002C4077">
        <w:t xml:space="preserve"> </w:t>
      </w:r>
      <w:r>
        <w:t>Romains,</w:t>
      </w:r>
      <w:r w:rsidRPr="002C4077">
        <w:t xml:space="preserve"> </w:t>
      </w:r>
      <w:r>
        <w:t>connaissaient</w:t>
      </w:r>
      <w:r w:rsidRPr="002C4077">
        <w:t xml:space="preserve"> </w:t>
      </w:r>
      <w:r>
        <w:t>fort</w:t>
      </w:r>
      <w:r w:rsidRPr="002C4077">
        <w:t xml:space="preserve"> </w:t>
      </w:r>
      <w:r>
        <w:t>bien</w:t>
      </w:r>
      <w:r w:rsidRPr="002C4077">
        <w:t xml:space="preserve"> </w:t>
      </w:r>
      <w:r>
        <w:t>ce</w:t>
      </w:r>
      <w:r w:rsidRPr="002C4077">
        <w:t xml:space="preserve"> </w:t>
      </w:r>
      <w:r>
        <w:t>genre</w:t>
      </w:r>
      <w:r w:rsidRPr="002C4077">
        <w:t xml:space="preserve"> </w:t>
      </w:r>
      <w:r>
        <w:t>de</w:t>
      </w:r>
      <w:r w:rsidRPr="002C4077">
        <w:t xml:space="preserve"> </w:t>
      </w:r>
      <w:r>
        <w:t>supplice</w:t>
      </w:r>
      <w:r w:rsidR="00B546AF">
        <w:t> :</w:t>
      </w:r>
      <w:r w:rsidRPr="002C4077">
        <w:t xml:space="preserve"> </w:t>
      </w:r>
      <w:r>
        <w:t>nos</w:t>
      </w:r>
      <w:r w:rsidRPr="002C4077">
        <w:t xml:space="preserve"> </w:t>
      </w:r>
      <w:r>
        <w:t>ancêtres</w:t>
      </w:r>
      <w:r w:rsidRPr="002C4077">
        <w:t xml:space="preserve"> </w:t>
      </w:r>
      <w:r>
        <w:t>l’employèrent</w:t>
      </w:r>
      <w:r w:rsidRPr="002C4077">
        <w:t xml:space="preserve"> </w:t>
      </w:r>
      <w:r>
        <w:t>plus</w:t>
      </w:r>
      <w:r w:rsidRPr="002C4077">
        <w:t xml:space="preserve"> </w:t>
      </w:r>
      <w:r>
        <w:t>d’une</w:t>
      </w:r>
      <w:r w:rsidRPr="002C4077">
        <w:t xml:space="preserve"> </w:t>
      </w:r>
      <w:r>
        <w:t>fois</w:t>
      </w:r>
      <w:r w:rsidRPr="002C4077">
        <w:t xml:space="preserve"> </w:t>
      </w:r>
      <w:r>
        <w:t>au</w:t>
      </w:r>
      <w:r w:rsidRPr="002C4077">
        <w:t xml:space="preserve"> </w:t>
      </w:r>
      <w:r>
        <w:t>Moyen-âge.</w:t>
      </w:r>
      <w:r w:rsidRPr="002C4077">
        <w:t xml:space="preserve"> </w:t>
      </w:r>
      <w:r>
        <w:t>Chez</w:t>
      </w:r>
      <w:r w:rsidRPr="002C4077">
        <w:t xml:space="preserve"> </w:t>
      </w:r>
      <w:r>
        <w:t>les</w:t>
      </w:r>
      <w:r w:rsidRPr="002C4077">
        <w:t xml:space="preserve"> </w:t>
      </w:r>
      <w:r>
        <w:t>Juifs,</w:t>
      </w:r>
      <w:r w:rsidRPr="002C4077">
        <w:t xml:space="preserve"> </w:t>
      </w:r>
      <w:r>
        <w:t>il</w:t>
      </w:r>
      <w:r w:rsidRPr="002C4077">
        <w:t xml:space="preserve"> </w:t>
      </w:r>
      <w:r>
        <w:t>était</w:t>
      </w:r>
      <w:r w:rsidRPr="002C4077">
        <w:t xml:space="preserve"> </w:t>
      </w:r>
      <w:r>
        <w:t>surtout</w:t>
      </w:r>
      <w:r w:rsidRPr="002C4077">
        <w:t xml:space="preserve"> </w:t>
      </w:r>
      <w:r>
        <w:t>usité</w:t>
      </w:r>
      <w:r w:rsidRPr="002C4077">
        <w:t xml:space="preserve"> </w:t>
      </w:r>
      <w:r>
        <w:t>pour</w:t>
      </w:r>
      <w:r w:rsidRPr="002C4077">
        <w:t xml:space="preserve"> </w:t>
      </w:r>
      <w:r>
        <w:t>les</w:t>
      </w:r>
      <w:r w:rsidRPr="002C4077">
        <w:t xml:space="preserve"> </w:t>
      </w:r>
      <w:r>
        <w:t>blasphémateurs</w:t>
      </w:r>
      <w:r w:rsidR="00B546AF">
        <w:t> ;</w:t>
      </w:r>
      <w:r w:rsidRPr="002C4077">
        <w:t xml:space="preserve"> </w:t>
      </w:r>
      <w:r>
        <w:t>or,</w:t>
      </w:r>
      <w:r w:rsidRPr="002C4077">
        <w:t xml:space="preserve"> </w:t>
      </w:r>
      <w:r>
        <w:t>aux</w:t>
      </w:r>
      <w:r w:rsidRPr="002C4077">
        <w:t xml:space="preserve"> </w:t>
      </w:r>
      <w:r>
        <w:t>yeux</w:t>
      </w:r>
      <w:r w:rsidRPr="002C4077">
        <w:t xml:space="preserve"> </w:t>
      </w:r>
      <w:r>
        <w:t>de</w:t>
      </w:r>
      <w:r w:rsidRPr="002C4077">
        <w:t xml:space="preserve"> </w:t>
      </w:r>
      <w:r>
        <w:t>ses</w:t>
      </w:r>
      <w:r w:rsidRPr="002C4077">
        <w:t xml:space="preserve"> </w:t>
      </w:r>
      <w:r>
        <w:t>concitoyens</w:t>
      </w:r>
      <w:r w:rsidRPr="002C4077">
        <w:t xml:space="preserve"> </w:t>
      </w:r>
      <w:r>
        <w:t>incrédules,</w:t>
      </w:r>
      <w:r w:rsidRPr="002C4077">
        <w:t xml:space="preserve"> </w:t>
      </w:r>
      <w:r w:rsidR="00425C50">
        <w:t>Jésus</w:t>
      </w:r>
      <w:r w:rsidRPr="002C4077">
        <w:t xml:space="preserve"> </w:t>
      </w:r>
      <w:r>
        <w:t>s’était</w:t>
      </w:r>
      <w:r w:rsidRPr="002C4077">
        <w:t xml:space="preserve"> </w:t>
      </w:r>
      <w:r>
        <w:t>précisément</w:t>
      </w:r>
      <w:r w:rsidRPr="002C4077">
        <w:t xml:space="preserve"> </w:t>
      </w:r>
      <w:r>
        <w:t>rendu</w:t>
      </w:r>
      <w:r w:rsidRPr="002C4077">
        <w:t xml:space="preserve"> </w:t>
      </w:r>
      <w:r>
        <w:t>coupable</w:t>
      </w:r>
      <w:r w:rsidRPr="002C4077">
        <w:t xml:space="preserve"> </w:t>
      </w:r>
      <w:r>
        <w:t>de</w:t>
      </w:r>
      <w:r w:rsidRPr="002C4077">
        <w:t xml:space="preserve"> </w:t>
      </w:r>
      <w:r>
        <w:t>blasphème</w:t>
      </w:r>
      <w:r w:rsidRPr="002C4077">
        <w:t xml:space="preserve"> </w:t>
      </w:r>
      <w:r>
        <w:t>dans</w:t>
      </w:r>
      <w:r w:rsidRPr="002C4077">
        <w:t xml:space="preserve"> </w:t>
      </w:r>
      <w:r>
        <w:t>la</w:t>
      </w:r>
      <w:r w:rsidRPr="002C4077">
        <w:t xml:space="preserve"> </w:t>
      </w:r>
      <w:r>
        <w:t>synagogue,</w:t>
      </w:r>
      <w:r w:rsidRPr="002C4077">
        <w:t xml:space="preserve"> </w:t>
      </w:r>
      <w:r>
        <w:t>en</w:t>
      </w:r>
      <w:r w:rsidRPr="002C4077">
        <w:t xml:space="preserve"> </w:t>
      </w:r>
      <w:r>
        <w:t>insinuant</w:t>
      </w:r>
      <w:r w:rsidRPr="002C4077">
        <w:t xml:space="preserve"> </w:t>
      </w:r>
      <w:r>
        <w:t>qu’il</w:t>
      </w:r>
      <w:r w:rsidRPr="002C4077">
        <w:t xml:space="preserve"> </w:t>
      </w:r>
      <w:r>
        <w:t>était</w:t>
      </w:r>
      <w:r w:rsidRPr="002C4077">
        <w:t xml:space="preserve"> </w:t>
      </w:r>
      <w:r>
        <w:t>le</w:t>
      </w:r>
      <w:r w:rsidRPr="002C4077">
        <w:t xml:space="preserve"> </w:t>
      </w:r>
      <w:r>
        <w:t>Messie.</w:t>
      </w:r>
      <w:r w:rsidRPr="002C4077">
        <w:t xml:space="preserve"> </w:t>
      </w:r>
    </w:p>
    <w:p w:rsidR="000A7AAB" w:rsidRDefault="000A7AAB" w:rsidP="000A7AAB">
      <w:r>
        <w:t>Enfin</w:t>
      </w:r>
      <w:r w:rsidRPr="002C4077">
        <w:t xml:space="preserve"> </w:t>
      </w:r>
      <w:r>
        <w:t>nous</w:t>
      </w:r>
      <w:r w:rsidRPr="002C4077">
        <w:t xml:space="preserve"> </w:t>
      </w:r>
      <w:r>
        <w:t>sommes</w:t>
      </w:r>
      <w:r w:rsidRPr="002C4077">
        <w:t xml:space="preserve"> </w:t>
      </w:r>
      <w:r>
        <w:t>arrivés.</w:t>
      </w:r>
      <w:r w:rsidRPr="002C4077">
        <w:t xml:space="preserve"> </w:t>
      </w:r>
      <w:r>
        <w:t>Contemplez</w:t>
      </w:r>
      <w:r w:rsidRPr="002C4077">
        <w:t xml:space="preserve"> </w:t>
      </w:r>
      <w:r>
        <w:t>ce</w:t>
      </w:r>
      <w:r w:rsidRPr="002C4077">
        <w:t xml:space="preserve"> </w:t>
      </w:r>
      <w:r>
        <w:t>groupe</w:t>
      </w:r>
      <w:r w:rsidRPr="002C4077">
        <w:t xml:space="preserve"> </w:t>
      </w:r>
      <w:r>
        <w:t>de</w:t>
      </w:r>
      <w:r w:rsidRPr="002C4077">
        <w:t xml:space="preserve"> </w:t>
      </w:r>
      <w:r>
        <w:t>roches</w:t>
      </w:r>
      <w:r w:rsidRPr="002C4077">
        <w:t xml:space="preserve"> </w:t>
      </w:r>
      <w:r>
        <w:t>colossales,</w:t>
      </w:r>
      <w:r w:rsidRPr="002C4077">
        <w:t xml:space="preserve"> </w:t>
      </w:r>
      <w:r>
        <w:t>et</w:t>
      </w:r>
      <w:r w:rsidRPr="002C4077">
        <w:t xml:space="preserve"> </w:t>
      </w:r>
      <w:r>
        <w:t>concevez</w:t>
      </w:r>
      <w:r w:rsidRPr="002C4077">
        <w:t xml:space="preserve"> </w:t>
      </w:r>
      <w:r>
        <w:t>ce</w:t>
      </w:r>
      <w:r w:rsidRPr="002C4077">
        <w:t xml:space="preserve"> </w:t>
      </w:r>
      <w:r>
        <w:t>que</w:t>
      </w:r>
      <w:r w:rsidRPr="002C4077">
        <w:t xml:space="preserve"> </w:t>
      </w:r>
      <w:r>
        <w:t>seraient</w:t>
      </w:r>
      <w:r w:rsidRPr="002C4077">
        <w:t xml:space="preserve"> </w:t>
      </w:r>
      <w:r>
        <w:t>devenus</w:t>
      </w:r>
      <w:r w:rsidRPr="002C4077">
        <w:t xml:space="preserve"> </w:t>
      </w:r>
      <w:r>
        <w:t>les</w:t>
      </w:r>
      <w:r w:rsidRPr="002C4077">
        <w:t xml:space="preserve"> </w:t>
      </w:r>
      <w:r>
        <w:t>membres</w:t>
      </w:r>
      <w:r w:rsidRPr="002C4077">
        <w:t xml:space="preserve"> </w:t>
      </w:r>
      <w:r>
        <w:t>délicats</w:t>
      </w:r>
      <w:r w:rsidRPr="002C4077">
        <w:t xml:space="preserve"> </w:t>
      </w:r>
      <w:r>
        <w:t>de</w:t>
      </w:r>
      <w:r w:rsidRPr="002C4077">
        <w:t xml:space="preserve"> </w:t>
      </w:r>
      <w:r w:rsidR="00425C50">
        <w:t>Jésus</w:t>
      </w:r>
      <w:r>
        <w:t>,</w:t>
      </w:r>
      <w:r w:rsidRPr="002C4077">
        <w:t xml:space="preserve"> </w:t>
      </w:r>
      <w:r>
        <w:t>s’ils</w:t>
      </w:r>
      <w:r w:rsidRPr="002C4077">
        <w:t xml:space="preserve"> </w:t>
      </w:r>
      <w:r>
        <w:t>eussent</w:t>
      </w:r>
      <w:r w:rsidRPr="002C4077">
        <w:t xml:space="preserve"> </w:t>
      </w:r>
      <w:r>
        <w:t>roulé</w:t>
      </w:r>
      <w:r w:rsidRPr="002C4077">
        <w:t xml:space="preserve"> </w:t>
      </w:r>
      <w:r>
        <w:t>d’arête</w:t>
      </w:r>
      <w:r w:rsidRPr="002C4077">
        <w:t xml:space="preserve"> </w:t>
      </w:r>
      <w:r>
        <w:t>en</w:t>
      </w:r>
      <w:r w:rsidRPr="002C4077">
        <w:t xml:space="preserve"> </w:t>
      </w:r>
      <w:r>
        <w:t>arête</w:t>
      </w:r>
      <w:r w:rsidRPr="002C4077">
        <w:t xml:space="preserve"> </w:t>
      </w:r>
      <w:r>
        <w:t>depuis</w:t>
      </w:r>
      <w:r w:rsidRPr="002C4077">
        <w:t xml:space="preserve"> </w:t>
      </w:r>
      <w:r>
        <w:t>le</w:t>
      </w:r>
      <w:r w:rsidRPr="002C4077">
        <w:t xml:space="preserve"> </w:t>
      </w:r>
      <w:r>
        <w:t>sommet</w:t>
      </w:r>
      <w:r w:rsidRPr="002C4077">
        <w:t xml:space="preserve"> </w:t>
      </w:r>
      <w:r>
        <w:t>du</w:t>
      </w:r>
      <w:r w:rsidRPr="002C4077">
        <w:t xml:space="preserve"> </w:t>
      </w:r>
      <w:r>
        <w:t>précipice</w:t>
      </w:r>
      <w:r w:rsidRPr="002C4077">
        <w:t xml:space="preserve"> </w:t>
      </w:r>
      <w:r>
        <w:t>jusqu’à</w:t>
      </w:r>
      <w:r w:rsidRPr="002C4077">
        <w:t xml:space="preserve"> </w:t>
      </w:r>
      <w:r>
        <w:t>sa</w:t>
      </w:r>
      <w:r w:rsidRPr="002C4077">
        <w:t xml:space="preserve"> </w:t>
      </w:r>
      <w:r>
        <w:t>base.</w:t>
      </w:r>
      <w:r w:rsidRPr="002C4077">
        <w:t xml:space="preserve"> </w:t>
      </w:r>
      <w:r>
        <w:t>C’est</w:t>
      </w:r>
      <w:r w:rsidRPr="002C4077">
        <w:t xml:space="preserve"> </w:t>
      </w:r>
      <w:r>
        <w:t>un</w:t>
      </w:r>
      <w:r w:rsidRPr="002C4077">
        <w:t xml:space="preserve"> </w:t>
      </w:r>
      <w:r>
        <w:t>abîme</w:t>
      </w:r>
      <w:r w:rsidRPr="002C4077">
        <w:t xml:space="preserve"> </w:t>
      </w:r>
      <w:r>
        <w:t>qui</w:t>
      </w:r>
      <w:r w:rsidRPr="002C4077">
        <w:t xml:space="preserve"> </w:t>
      </w:r>
      <w:r>
        <w:t>a</w:t>
      </w:r>
      <w:r w:rsidRPr="002C4077">
        <w:t xml:space="preserve"> </w:t>
      </w:r>
      <w:r>
        <w:t>bien</w:t>
      </w:r>
      <w:r w:rsidRPr="002C4077">
        <w:t xml:space="preserve"> </w:t>
      </w:r>
      <w:r>
        <w:t>trois</w:t>
      </w:r>
      <w:r w:rsidRPr="002C4077">
        <w:t xml:space="preserve"> </w:t>
      </w:r>
      <w:r>
        <w:t>cents</w:t>
      </w:r>
      <w:r w:rsidRPr="002C4077">
        <w:t xml:space="preserve"> </w:t>
      </w:r>
      <w:r>
        <w:t>pieds</w:t>
      </w:r>
      <w:r w:rsidRPr="002C4077">
        <w:t xml:space="preserve"> </w:t>
      </w:r>
      <w:r>
        <w:t>de</w:t>
      </w:r>
      <w:r w:rsidRPr="002C4077">
        <w:t xml:space="preserve"> </w:t>
      </w:r>
      <w:r>
        <w:t>profondeur</w:t>
      </w:r>
      <w:r w:rsidR="00B546AF">
        <w:t> !</w:t>
      </w:r>
      <w:r w:rsidRPr="002C4077">
        <w:t xml:space="preserve"> </w:t>
      </w:r>
      <w:r>
        <w:t>Prenez</w:t>
      </w:r>
      <w:r w:rsidRPr="002C4077">
        <w:t xml:space="preserve"> </w:t>
      </w:r>
      <w:r>
        <w:t>garde</w:t>
      </w:r>
      <w:r w:rsidR="00B546AF">
        <w:t> :</w:t>
      </w:r>
      <w:r w:rsidRPr="002C4077">
        <w:t xml:space="preserve"> </w:t>
      </w:r>
      <w:r>
        <w:t>nos</w:t>
      </w:r>
      <w:r w:rsidRPr="002C4077">
        <w:t xml:space="preserve"> </w:t>
      </w:r>
      <w:r>
        <w:t>compagnons</w:t>
      </w:r>
      <w:r w:rsidRPr="002C4077">
        <w:t xml:space="preserve"> </w:t>
      </w:r>
      <w:r>
        <w:t>agiles</w:t>
      </w:r>
      <w:r w:rsidRPr="002C4077">
        <w:t xml:space="preserve"> </w:t>
      </w:r>
      <w:r>
        <w:t>qui,</w:t>
      </w:r>
      <w:r w:rsidRPr="002C4077">
        <w:t xml:space="preserve"> </w:t>
      </w:r>
      <w:r>
        <w:t>par</w:t>
      </w:r>
      <w:r w:rsidRPr="002C4077">
        <w:t xml:space="preserve"> </w:t>
      </w:r>
      <w:r>
        <w:t>un</w:t>
      </w:r>
      <w:r w:rsidRPr="002C4077">
        <w:t xml:space="preserve"> </w:t>
      </w:r>
      <w:r>
        <w:t>sentier</w:t>
      </w:r>
      <w:r w:rsidRPr="002C4077">
        <w:t xml:space="preserve"> </w:t>
      </w:r>
      <w:r>
        <w:t>détourné,</w:t>
      </w:r>
      <w:r w:rsidRPr="002C4077">
        <w:t xml:space="preserve"> </w:t>
      </w:r>
      <w:r>
        <w:t>ont</w:t>
      </w:r>
      <w:r w:rsidRPr="002C4077">
        <w:t xml:space="preserve"> </w:t>
      </w:r>
      <w:r>
        <w:t>fait</w:t>
      </w:r>
      <w:r w:rsidRPr="002C4077">
        <w:t xml:space="preserve"> </w:t>
      </w:r>
      <w:r>
        <w:t>l’ascension</w:t>
      </w:r>
      <w:r w:rsidRPr="002C4077">
        <w:t xml:space="preserve"> </w:t>
      </w:r>
      <w:r>
        <w:t>du</w:t>
      </w:r>
      <w:r w:rsidRPr="002C4077">
        <w:t xml:space="preserve"> </w:t>
      </w:r>
      <w:r>
        <w:t>rocher,</w:t>
      </w:r>
      <w:r w:rsidRPr="002C4077">
        <w:t xml:space="preserve"> </w:t>
      </w:r>
      <w:r>
        <w:t>jettent</w:t>
      </w:r>
      <w:r w:rsidRPr="002C4077">
        <w:t xml:space="preserve"> </w:t>
      </w:r>
      <w:r>
        <w:t>imprudemment</w:t>
      </w:r>
      <w:r w:rsidRPr="002C4077">
        <w:t xml:space="preserve"> </w:t>
      </w:r>
      <w:r>
        <w:t>des</w:t>
      </w:r>
      <w:r w:rsidRPr="002C4077">
        <w:t xml:space="preserve"> </w:t>
      </w:r>
      <w:r>
        <w:t>pierres</w:t>
      </w:r>
      <w:r w:rsidRPr="002C4077">
        <w:t xml:space="preserve"> </w:t>
      </w:r>
      <w:r>
        <w:t>au</w:t>
      </w:r>
      <w:r w:rsidRPr="002C4077">
        <w:t xml:space="preserve"> </w:t>
      </w:r>
      <w:r>
        <w:t>fond</w:t>
      </w:r>
      <w:r w:rsidRPr="002C4077">
        <w:t xml:space="preserve"> </w:t>
      </w:r>
      <w:r>
        <w:t>du</w:t>
      </w:r>
      <w:r w:rsidRPr="002C4077">
        <w:t xml:space="preserve"> </w:t>
      </w:r>
      <w:r>
        <w:t>gouffre.</w:t>
      </w:r>
      <w:r w:rsidRPr="002C4077">
        <w:t xml:space="preserve"> </w:t>
      </w:r>
      <w:r>
        <w:t>Avec</w:t>
      </w:r>
      <w:r w:rsidRPr="002C4077">
        <w:t xml:space="preserve"> </w:t>
      </w:r>
      <w:r>
        <w:t>quelle</w:t>
      </w:r>
      <w:r w:rsidRPr="002C4077">
        <w:t xml:space="preserve"> </w:t>
      </w:r>
      <w:r>
        <w:t>rapidité,</w:t>
      </w:r>
      <w:r w:rsidRPr="002C4077">
        <w:t xml:space="preserve"> </w:t>
      </w:r>
      <w:r>
        <w:t>avec</w:t>
      </w:r>
      <w:r w:rsidRPr="002C4077">
        <w:t xml:space="preserve"> </w:t>
      </w:r>
      <w:r>
        <w:t>quel</w:t>
      </w:r>
      <w:r w:rsidRPr="002C4077">
        <w:t xml:space="preserve"> </w:t>
      </w:r>
      <w:r>
        <w:t>fracas</w:t>
      </w:r>
      <w:r w:rsidRPr="002C4077">
        <w:t xml:space="preserve"> </w:t>
      </w:r>
      <w:r>
        <w:t>elles</w:t>
      </w:r>
      <w:r w:rsidRPr="002C4077">
        <w:t xml:space="preserve"> </w:t>
      </w:r>
      <w:r>
        <w:t>se</w:t>
      </w:r>
      <w:r w:rsidRPr="002C4077">
        <w:t xml:space="preserve"> </w:t>
      </w:r>
      <w:r>
        <w:t>précipitent</w:t>
      </w:r>
      <w:r w:rsidR="00B546AF">
        <w:t> !</w:t>
      </w:r>
      <w:r w:rsidRPr="002C4077">
        <w:t xml:space="preserve"> </w:t>
      </w:r>
    </w:p>
    <w:p w:rsidR="006E11E9" w:rsidRDefault="006E11E9" w:rsidP="000A7AAB"/>
    <w:p w:rsidR="000A7AAB" w:rsidRDefault="000A7AAB" w:rsidP="000A7AAB">
      <w:r>
        <w:t>Nous</w:t>
      </w:r>
      <w:r w:rsidRPr="002C4077">
        <w:t xml:space="preserve"> </w:t>
      </w:r>
      <w:r>
        <w:t>pourrions</w:t>
      </w:r>
      <w:r w:rsidRPr="002C4077">
        <w:t xml:space="preserve"> </w:t>
      </w:r>
      <w:r>
        <w:t>admirer</w:t>
      </w:r>
      <w:r w:rsidRPr="002C4077">
        <w:t xml:space="preserve"> </w:t>
      </w:r>
      <w:r>
        <w:t>la</w:t>
      </w:r>
      <w:r w:rsidRPr="002C4077">
        <w:t xml:space="preserve"> </w:t>
      </w:r>
      <w:r>
        <w:t>vue</w:t>
      </w:r>
      <w:r w:rsidRPr="002C4077">
        <w:t xml:space="preserve"> </w:t>
      </w:r>
      <w:r>
        <w:t>charmante</w:t>
      </w:r>
      <w:r w:rsidRPr="002C4077">
        <w:t xml:space="preserve"> </w:t>
      </w:r>
      <w:r>
        <w:t>que</w:t>
      </w:r>
      <w:r w:rsidRPr="002C4077">
        <w:t xml:space="preserve"> </w:t>
      </w:r>
      <w:r>
        <w:t>nous</w:t>
      </w:r>
      <w:r w:rsidRPr="002C4077">
        <w:t xml:space="preserve"> </w:t>
      </w:r>
      <w:r>
        <w:t>avons</w:t>
      </w:r>
      <w:r w:rsidRPr="002C4077">
        <w:t xml:space="preserve"> </w:t>
      </w:r>
      <w:r>
        <w:t>d’ici</w:t>
      </w:r>
      <w:r w:rsidRPr="002C4077">
        <w:t xml:space="preserve"> </w:t>
      </w:r>
      <w:r>
        <w:t>sur</w:t>
      </w:r>
      <w:r w:rsidRPr="002C4077">
        <w:t xml:space="preserve"> </w:t>
      </w:r>
      <w:r>
        <w:t>la</w:t>
      </w:r>
      <w:r w:rsidRPr="002C4077">
        <w:t xml:space="preserve"> </w:t>
      </w:r>
      <w:r>
        <w:t>plaine</w:t>
      </w:r>
      <w:r w:rsidRPr="002C4077">
        <w:t xml:space="preserve"> </w:t>
      </w:r>
      <w:r>
        <w:t>d’Esdrelon.</w:t>
      </w:r>
      <w:r w:rsidRPr="002C4077">
        <w:t xml:space="preserve"> </w:t>
      </w:r>
      <w:r>
        <w:t>Cependant,</w:t>
      </w:r>
      <w:r w:rsidRPr="002C4077">
        <w:t xml:space="preserve"> </w:t>
      </w:r>
      <w:r>
        <w:t>comme</w:t>
      </w:r>
      <w:r w:rsidRPr="002C4077">
        <w:t xml:space="preserve"> </w:t>
      </w:r>
      <w:r>
        <w:t>nous</w:t>
      </w:r>
      <w:r w:rsidRPr="002C4077">
        <w:t xml:space="preserve"> </w:t>
      </w:r>
      <w:r>
        <w:t>l’aurons</w:t>
      </w:r>
      <w:r w:rsidRPr="002C4077">
        <w:t xml:space="preserve"> </w:t>
      </w:r>
      <w:r>
        <w:t>plus</w:t>
      </w:r>
      <w:r w:rsidRPr="002C4077">
        <w:t xml:space="preserve"> </w:t>
      </w:r>
      <w:r>
        <w:t>belle</w:t>
      </w:r>
      <w:r w:rsidRPr="002C4077">
        <w:t xml:space="preserve"> </w:t>
      </w:r>
      <w:r>
        <w:t>encore</w:t>
      </w:r>
      <w:r w:rsidRPr="002C4077">
        <w:t xml:space="preserve"> </w:t>
      </w:r>
      <w:r>
        <w:t>et</w:t>
      </w:r>
      <w:r w:rsidRPr="002C4077">
        <w:t xml:space="preserve"> </w:t>
      </w:r>
      <w:r>
        <w:t>beaucoup</w:t>
      </w:r>
      <w:r w:rsidRPr="002C4077">
        <w:t xml:space="preserve"> </w:t>
      </w:r>
      <w:r>
        <w:t>plus</w:t>
      </w:r>
      <w:r w:rsidRPr="002C4077">
        <w:t xml:space="preserve"> </w:t>
      </w:r>
      <w:r>
        <w:t>complète</w:t>
      </w:r>
      <w:r w:rsidRPr="002C4077">
        <w:t xml:space="preserve"> </w:t>
      </w:r>
      <w:r>
        <w:t>en</w:t>
      </w:r>
      <w:r w:rsidRPr="002C4077">
        <w:t xml:space="preserve"> </w:t>
      </w:r>
      <w:r>
        <w:t>haut</w:t>
      </w:r>
      <w:r w:rsidRPr="002C4077">
        <w:t xml:space="preserve"> </w:t>
      </w:r>
      <w:r>
        <w:t>du</w:t>
      </w:r>
      <w:r w:rsidRPr="002C4077">
        <w:t xml:space="preserve"> </w:t>
      </w:r>
      <w:r>
        <w:t>Neby</w:t>
      </w:r>
      <w:r w:rsidRPr="002C4077">
        <w:t xml:space="preserve"> </w:t>
      </w:r>
      <w:r>
        <w:t>Ismaïl</w:t>
      </w:r>
      <w:bookmarkStart w:id="565" w:name="z_NebyIsmail_o1"/>
      <w:bookmarkEnd w:id="565"/>
      <w:r w:rsidRPr="002C4077">
        <w:t xml:space="preserve"> </w:t>
      </w:r>
      <w:r>
        <w:t>vers</w:t>
      </w:r>
      <w:r w:rsidRPr="002C4077">
        <w:t xml:space="preserve"> </w:t>
      </w:r>
      <w:r>
        <w:t>lequel</w:t>
      </w:r>
      <w:r w:rsidRPr="002C4077">
        <w:t xml:space="preserve"> </w:t>
      </w:r>
      <w:r>
        <w:t>je</w:t>
      </w:r>
      <w:r w:rsidRPr="002C4077">
        <w:t xml:space="preserve"> </w:t>
      </w:r>
      <w:r>
        <w:t>vous</w:t>
      </w:r>
      <w:r w:rsidRPr="002C4077">
        <w:t xml:space="preserve"> </w:t>
      </w:r>
      <w:r w:rsidR="003B53FD">
        <w:t>conduis</w:t>
      </w:r>
      <w:r>
        <w:t>,</w:t>
      </w:r>
      <w:r w:rsidRPr="002C4077">
        <w:t xml:space="preserve"> </w:t>
      </w:r>
      <w:r>
        <w:t>modérez</w:t>
      </w:r>
      <w:r w:rsidRPr="002C4077">
        <w:t xml:space="preserve"> </w:t>
      </w:r>
      <w:r>
        <w:t>votre</w:t>
      </w:r>
      <w:r w:rsidRPr="002C4077">
        <w:t xml:space="preserve"> </w:t>
      </w:r>
      <w:r>
        <w:t>enthousiasme</w:t>
      </w:r>
      <w:r w:rsidRPr="002C4077">
        <w:t xml:space="preserve"> </w:t>
      </w:r>
      <w:r>
        <w:t>pendant</w:t>
      </w:r>
      <w:r w:rsidRPr="002C4077">
        <w:t xml:space="preserve"> </w:t>
      </w:r>
      <w:r>
        <w:t>quelque</w:t>
      </w:r>
      <w:r w:rsidRPr="002C4077">
        <w:t xml:space="preserve"> </w:t>
      </w:r>
      <w:r>
        <w:t>temps.</w:t>
      </w:r>
      <w:r w:rsidRPr="002C4077">
        <w:t xml:space="preserve"> </w:t>
      </w:r>
    </w:p>
    <w:p w:rsidR="000A7AAB" w:rsidRDefault="000A7AAB" w:rsidP="000A7AAB">
      <w:r>
        <w:t>Mais</w:t>
      </w:r>
      <w:r w:rsidRPr="002C4077">
        <w:t xml:space="preserve"> </w:t>
      </w:r>
      <w:r>
        <w:t>qu’est-ce</w:t>
      </w:r>
      <w:r w:rsidRPr="002C4077">
        <w:t xml:space="preserve"> </w:t>
      </w:r>
      <w:r>
        <w:t>que</w:t>
      </w:r>
      <w:r w:rsidRPr="002C4077">
        <w:t xml:space="preserve"> </w:t>
      </w:r>
      <w:r>
        <w:t>le</w:t>
      </w:r>
      <w:r w:rsidRPr="002C4077">
        <w:t xml:space="preserve"> </w:t>
      </w:r>
      <w:r>
        <w:t>Neby</w:t>
      </w:r>
      <w:r w:rsidRPr="002C4077">
        <w:t xml:space="preserve"> </w:t>
      </w:r>
      <w:r>
        <w:t>Ismaïl</w:t>
      </w:r>
      <w:r w:rsidR="00B546AF">
        <w:t> ?</w:t>
      </w:r>
      <w:r w:rsidRPr="002C4077">
        <w:t xml:space="preserve"> </w:t>
      </w:r>
      <w:r>
        <w:t>—</w:t>
      </w:r>
      <w:r w:rsidRPr="002C4077">
        <w:t xml:space="preserve"> </w:t>
      </w:r>
      <w:r>
        <w:t>C’est</w:t>
      </w:r>
      <w:r w:rsidRPr="002C4077">
        <w:t xml:space="preserve"> </w:t>
      </w:r>
      <w:r>
        <w:t>cette</w:t>
      </w:r>
      <w:r w:rsidRPr="002C4077">
        <w:t xml:space="preserve"> </w:t>
      </w:r>
      <w:r>
        <w:t>belle</w:t>
      </w:r>
      <w:r w:rsidRPr="002C4077">
        <w:t xml:space="preserve"> </w:t>
      </w:r>
      <w:r>
        <w:t>montagne</w:t>
      </w:r>
      <w:r w:rsidRPr="002C4077">
        <w:t xml:space="preserve"> </w:t>
      </w:r>
      <w:r>
        <w:t>qui</w:t>
      </w:r>
      <w:r w:rsidRPr="002C4077">
        <w:t xml:space="preserve"> </w:t>
      </w:r>
      <w:r>
        <w:t>s’élève</w:t>
      </w:r>
      <w:r w:rsidRPr="002C4077">
        <w:t xml:space="preserve"> </w:t>
      </w:r>
      <w:r>
        <w:t>un</w:t>
      </w:r>
      <w:r w:rsidRPr="002C4077">
        <w:t xml:space="preserve"> </w:t>
      </w:r>
      <w:r>
        <w:t>peu</w:t>
      </w:r>
      <w:r w:rsidRPr="002C4077">
        <w:t xml:space="preserve"> </w:t>
      </w:r>
      <w:r>
        <w:t>plus</w:t>
      </w:r>
      <w:r w:rsidRPr="002C4077">
        <w:t xml:space="preserve"> </w:t>
      </w:r>
      <w:r>
        <w:t>haut</w:t>
      </w:r>
      <w:r w:rsidRPr="002C4077">
        <w:t xml:space="preserve"> </w:t>
      </w:r>
      <w:r>
        <w:t>que</w:t>
      </w:r>
      <w:r w:rsidRPr="002C4077">
        <w:t xml:space="preserve"> </w:t>
      </w:r>
      <w:r>
        <w:t>les</w:t>
      </w:r>
      <w:r w:rsidRPr="002C4077">
        <w:t xml:space="preserve"> </w:t>
      </w:r>
      <w:r>
        <w:t>autres</w:t>
      </w:r>
      <w:r w:rsidRPr="002C4077">
        <w:t xml:space="preserve"> </w:t>
      </w:r>
      <w:r>
        <w:t>au-dessus</w:t>
      </w:r>
      <w:r w:rsidRPr="002C4077">
        <w:t xml:space="preserve"> </w:t>
      </w:r>
      <w:r>
        <w:t>de</w:t>
      </w:r>
      <w:r w:rsidRPr="002C4077">
        <w:t xml:space="preserve"> </w:t>
      </w:r>
      <w:r>
        <w:t>Nazareth</w:t>
      </w:r>
      <w:r w:rsidR="00B546AF">
        <w:t> :</w:t>
      </w:r>
      <w:r w:rsidR="00C45B47">
        <w:t xml:space="preserve"> {</w:t>
      </w:r>
      <w:r w:rsidR="001F5257">
        <w:t>233</w:t>
      </w:r>
      <w:bookmarkStart w:id="566" w:name="p233"/>
      <w:bookmarkEnd w:id="566"/>
      <w:r w:rsidR="001F5257">
        <w:t xml:space="preserve">} </w:t>
      </w:r>
      <w:r>
        <w:t>nous</w:t>
      </w:r>
      <w:r w:rsidRPr="002C4077">
        <w:t xml:space="preserve"> </w:t>
      </w:r>
      <w:r>
        <w:t>l’avons</w:t>
      </w:r>
      <w:r w:rsidRPr="002C4077">
        <w:t xml:space="preserve"> </w:t>
      </w:r>
      <w:r>
        <w:t>eue</w:t>
      </w:r>
      <w:r w:rsidRPr="002C4077">
        <w:t xml:space="preserve"> </w:t>
      </w:r>
      <w:r>
        <w:t>tout</w:t>
      </w:r>
      <w:r w:rsidRPr="002C4077">
        <w:t xml:space="preserve"> </w:t>
      </w:r>
      <w:r>
        <w:t>le</w:t>
      </w:r>
      <w:r w:rsidRPr="002C4077">
        <w:t xml:space="preserve"> </w:t>
      </w:r>
      <w:r>
        <w:t>jour</w:t>
      </w:r>
      <w:r w:rsidRPr="002C4077">
        <w:t xml:space="preserve"> </w:t>
      </w:r>
      <w:r>
        <w:t>sur</w:t>
      </w:r>
      <w:r w:rsidRPr="002C4077">
        <w:t xml:space="preserve"> </w:t>
      </w:r>
      <w:r>
        <w:t>nos</w:t>
      </w:r>
      <w:r w:rsidRPr="002C4077">
        <w:t xml:space="preserve"> </w:t>
      </w:r>
      <w:r>
        <w:t>têtes.</w:t>
      </w:r>
      <w:r w:rsidRPr="002C4077">
        <w:t xml:space="preserve"> </w:t>
      </w:r>
      <w:r>
        <w:t>On</w:t>
      </w:r>
      <w:r w:rsidRPr="002C4077">
        <w:t xml:space="preserve"> </w:t>
      </w:r>
      <w:r>
        <w:t>lui</w:t>
      </w:r>
      <w:r w:rsidRPr="002C4077">
        <w:t xml:space="preserve"> </w:t>
      </w:r>
      <w:r>
        <w:t>a</w:t>
      </w:r>
      <w:r w:rsidRPr="002C4077">
        <w:t xml:space="preserve"> </w:t>
      </w:r>
      <w:r>
        <w:t>donné</w:t>
      </w:r>
      <w:r w:rsidRPr="002C4077">
        <w:t xml:space="preserve"> </w:t>
      </w:r>
      <w:r>
        <w:t>ce</w:t>
      </w:r>
      <w:r w:rsidRPr="002C4077">
        <w:t xml:space="preserve"> </w:t>
      </w:r>
      <w:r>
        <w:t>nom</w:t>
      </w:r>
      <w:r w:rsidRPr="002C4077">
        <w:t xml:space="preserve"> </w:t>
      </w:r>
      <w:r>
        <w:t>parce-que</w:t>
      </w:r>
      <w:r w:rsidRPr="002C4077">
        <w:t xml:space="preserve"> </w:t>
      </w:r>
      <w:r>
        <w:t>les</w:t>
      </w:r>
      <w:r w:rsidRPr="002C4077">
        <w:t xml:space="preserve"> </w:t>
      </w:r>
      <w:r>
        <w:t>musulmans</w:t>
      </w:r>
      <w:r w:rsidRPr="002C4077">
        <w:t xml:space="preserve"> </w:t>
      </w:r>
      <w:r>
        <w:t>ont</w:t>
      </w:r>
      <w:r w:rsidRPr="002C4077">
        <w:t xml:space="preserve"> </w:t>
      </w:r>
      <w:r w:rsidR="006F72A8">
        <w:t>bâti</w:t>
      </w:r>
      <w:r w:rsidRPr="002C4077">
        <w:t xml:space="preserve"> </w:t>
      </w:r>
      <w:r>
        <w:t>sur</w:t>
      </w:r>
      <w:r w:rsidRPr="002C4077">
        <w:t xml:space="preserve"> </w:t>
      </w:r>
      <w:r>
        <w:t>le</w:t>
      </w:r>
      <w:r w:rsidRPr="002C4077">
        <w:t xml:space="preserve"> </w:t>
      </w:r>
      <w:r>
        <w:t>plateau</w:t>
      </w:r>
      <w:r w:rsidRPr="002C4077">
        <w:t xml:space="preserve"> </w:t>
      </w:r>
      <w:r>
        <w:t>qui</w:t>
      </w:r>
      <w:r w:rsidRPr="002C4077">
        <w:t xml:space="preserve"> </w:t>
      </w:r>
      <w:r>
        <w:t>la</w:t>
      </w:r>
      <w:r w:rsidRPr="002C4077">
        <w:t xml:space="preserve"> </w:t>
      </w:r>
      <w:r>
        <w:t>couronne</w:t>
      </w:r>
      <w:r w:rsidRPr="002C4077">
        <w:t xml:space="preserve"> </w:t>
      </w:r>
      <w:r>
        <w:t>un</w:t>
      </w:r>
      <w:r w:rsidRPr="002C4077">
        <w:t xml:space="preserve"> </w:t>
      </w:r>
      <w:r w:rsidRPr="000A34B5">
        <w:rPr>
          <w:rStyle w:val="italicus"/>
        </w:rPr>
        <w:t>ouély</w:t>
      </w:r>
      <w:r w:rsidRPr="002C4077">
        <w:t xml:space="preserve"> </w:t>
      </w:r>
      <w:r>
        <w:t>ou</w:t>
      </w:r>
      <w:r w:rsidRPr="002C4077">
        <w:t xml:space="preserve"> </w:t>
      </w:r>
      <w:r>
        <w:t>tombeau,</w:t>
      </w:r>
      <w:r w:rsidRPr="002C4077">
        <w:t xml:space="preserve"> </w:t>
      </w:r>
      <w:r>
        <w:t>en</w:t>
      </w:r>
      <w:r w:rsidRPr="002C4077">
        <w:t xml:space="preserve"> </w:t>
      </w:r>
      <w:r>
        <w:t>l’honneur</w:t>
      </w:r>
      <w:r w:rsidRPr="002C4077">
        <w:t xml:space="preserve"> </w:t>
      </w:r>
      <w:r>
        <w:t>d’un</w:t>
      </w:r>
      <w:r w:rsidRPr="002C4077">
        <w:t xml:space="preserve"> </w:t>
      </w:r>
      <w:r>
        <w:t>haut</w:t>
      </w:r>
      <w:r w:rsidRPr="002C4077">
        <w:t xml:space="preserve"> </w:t>
      </w:r>
      <w:r>
        <w:t>personnage</w:t>
      </w:r>
      <w:r w:rsidRPr="002C4077">
        <w:t xml:space="preserve"> </w:t>
      </w:r>
      <w:r>
        <w:t>de</w:t>
      </w:r>
      <w:r w:rsidRPr="002C4077">
        <w:t xml:space="preserve"> </w:t>
      </w:r>
      <w:r>
        <w:t>leur</w:t>
      </w:r>
      <w:r w:rsidRPr="002C4077">
        <w:t xml:space="preserve"> </w:t>
      </w:r>
      <w:r>
        <w:t>religion,</w:t>
      </w:r>
      <w:r w:rsidRPr="002C4077">
        <w:t xml:space="preserve"> </w:t>
      </w:r>
      <w:r>
        <w:t>qui</w:t>
      </w:r>
      <w:r w:rsidRPr="002C4077">
        <w:t xml:space="preserve"> </w:t>
      </w:r>
      <w:r>
        <w:t>s’appelait</w:t>
      </w:r>
      <w:r w:rsidRPr="002C4077">
        <w:t xml:space="preserve"> </w:t>
      </w:r>
      <w:r>
        <w:t>Ismaïl.</w:t>
      </w:r>
      <w:r w:rsidRPr="002C4077">
        <w:t xml:space="preserve"> </w:t>
      </w:r>
    </w:p>
    <w:p w:rsidR="000A7AAB" w:rsidRDefault="000A7AAB" w:rsidP="000A7AAB">
      <w:r>
        <w:t>Regardez</w:t>
      </w:r>
      <w:r w:rsidRPr="002C4077">
        <w:t xml:space="preserve"> </w:t>
      </w:r>
      <w:r>
        <w:t>maintenant.</w:t>
      </w:r>
      <w:r w:rsidRPr="002C4077">
        <w:t xml:space="preserve"> </w:t>
      </w:r>
      <w:r>
        <w:t>Quel</w:t>
      </w:r>
      <w:r w:rsidRPr="002C4077">
        <w:t xml:space="preserve"> </w:t>
      </w:r>
      <w:r>
        <w:t>panorama</w:t>
      </w:r>
      <w:r w:rsidRPr="002C4077">
        <w:t xml:space="preserve"> </w:t>
      </w:r>
      <w:r>
        <w:t>incommensurable</w:t>
      </w:r>
      <w:r w:rsidR="00B546AF">
        <w:t> !</w:t>
      </w:r>
      <w:r w:rsidRPr="002C4077">
        <w:t xml:space="preserve"> </w:t>
      </w:r>
      <w:r>
        <w:t>Quel</w:t>
      </w:r>
      <w:r w:rsidRPr="002C4077">
        <w:t xml:space="preserve"> </w:t>
      </w:r>
      <w:r>
        <w:t>horizon</w:t>
      </w:r>
      <w:r w:rsidRPr="002C4077">
        <w:t xml:space="preserve"> </w:t>
      </w:r>
      <w:r>
        <w:t>splendide,</w:t>
      </w:r>
      <w:r w:rsidRPr="002C4077">
        <w:t xml:space="preserve"> </w:t>
      </w:r>
      <w:r>
        <w:t>dans</w:t>
      </w:r>
      <w:r w:rsidRPr="002C4077">
        <w:t xml:space="preserve"> </w:t>
      </w:r>
      <w:r>
        <w:t>quelque</w:t>
      </w:r>
      <w:r w:rsidRPr="002C4077">
        <w:t xml:space="preserve"> </w:t>
      </w:r>
      <w:r w:rsidR="006F72A8">
        <w:t>direction</w:t>
      </w:r>
      <w:r w:rsidRPr="002C4077">
        <w:t xml:space="preserve"> </w:t>
      </w:r>
      <w:r>
        <w:t>que</w:t>
      </w:r>
      <w:r w:rsidRPr="002C4077">
        <w:t xml:space="preserve"> </w:t>
      </w:r>
      <w:r>
        <w:t>nous</w:t>
      </w:r>
      <w:r w:rsidRPr="002C4077">
        <w:t xml:space="preserve"> </w:t>
      </w:r>
      <w:r>
        <w:t>plongions</w:t>
      </w:r>
      <w:r w:rsidRPr="002C4077">
        <w:t xml:space="preserve"> </w:t>
      </w:r>
      <w:r>
        <w:t>nos</w:t>
      </w:r>
      <w:r w:rsidRPr="002C4077">
        <w:t xml:space="preserve"> </w:t>
      </w:r>
      <w:r>
        <w:t>regards</w:t>
      </w:r>
      <w:r w:rsidRPr="002C4077">
        <w:t xml:space="preserve"> </w:t>
      </w:r>
      <w:r>
        <w:t>ravis</w:t>
      </w:r>
      <w:r w:rsidR="00B546AF">
        <w:t> !</w:t>
      </w:r>
      <w:r w:rsidRPr="002C4077">
        <w:t xml:space="preserve"> </w:t>
      </w:r>
      <w:r>
        <w:t>Tous</w:t>
      </w:r>
      <w:r w:rsidRPr="002C4077">
        <w:t xml:space="preserve"> </w:t>
      </w:r>
      <w:r>
        <w:t>les</w:t>
      </w:r>
      <w:r w:rsidRPr="002C4077">
        <w:t xml:space="preserve"> </w:t>
      </w:r>
      <w:r>
        <w:t>voyageurs</w:t>
      </w:r>
      <w:r w:rsidRPr="002C4077">
        <w:t xml:space="preserve"> </w:t>
      </w:r>
      <w:r>
        <w:t>l’ont</w:t>
      </w:r>
      <w:r w:rsidRPr="002C4077">
        <w:t xml:space="preserve"> </w:t>
      </w:r>
      <w:r>
        <w:t>célébré</w:t>
      </w:r>
      <w:r w:rsidR="00B546AF">
        <w:t> ;</w:t>
      </w:r>
      <w:r w:rsidRPr="002C4077">
        <w:t xml:space="preserve"> </w:t>
      </w:r>
      <w:r>
        <w:t>j’allais</w:t>
      </w:r>
      <w:r w:rsidRPr="002C4077">
        <w:t xml:space="preserve"> </w:t>
      </w:r>
      <w:r>
        <w:t>dire,</w:t>
      </w:r>
      <w:r w:rsidRPr="002C4077">
        <w:t xml:space="preserve"> </w:t>
      </w:r>
      <w:r>
        <w:t>l’ont</w:t>
      </w:r>
      <w:r w:rsidRPr="002C4077">
        <w:t xml:space="preserve"> </w:t>
      </w:r>
      <w:r>
        <w:t>chanté,</w:t>
      </w:r>
      <w:r w:rsidRPr="002C4077">
        <w:t xml:space="preserve"> </w:t>
      </w:r>
      <w:r>
        <w:t>car</w:t>
      </w:r>
      <w:r w:rsidRPr="002C4077">
        <w:t xml:space="preserve"> </w:t>
      </w:r>
      <w:r>
        <w:t>on</w:t>
      </w:r>
      <w:r w:rsidRPr="002C4077">
        <w:t xml:space="preserve"> </w:t>
      </w:r>
      <w:r>
        <w:t>devient</w:t>
      </w:r>
      <w:r w:rsidRPr="002C4077">
        <w:t xml:space="preserve"> </w:t>
      </w:r>
      <w:r>
        <w:t>poète</w:t>
      </w:r>
      <w:r w:rsidRPr="002C4077">
        <w:t xml:space="preserve"> </w:t>
      </w:r>
      <w:r>
        <w:t>en</w:t>
      </w:r>
      <w:r w:rsidRPr="002C4077">
        <w:t xml:space="preserve"> </w:t>
      </w:r>
      <w:r>
        <w:t>ces</w:t>
      </w:r>
      <w:r w:rsidRPr="002C4077">
        <w:t xml:space="preserve"> </w:t>
      </w:r>
      <w:r>
        <w:t>lieux.</w:t>
      </w:r>
      <w:r w:rsidRPr="002C4077">
        <w:t xml:space="preserve"> </w:t>
      </w:r>
      <w:r>
        <w:t>Quel</w:t>
      </w:r>
      <w:r w:rsidRPr="002C4077">
        <w:t xml:space="preserve"> </w:t>
      </w:r>
      <w:r>
        <w:t>contraste</w:t>
      </w:r>
      <w:r w:rsidRPr="002C4077">
        <w:t xml:space="preserve"> </w:t>
      </w:r>
      <w:r>
        <w:t>entre</w:t>
      </w:r>
      <w:r w:rsidRPr="002C4077">
        <w:t xml:space="preserve"> </w:t>
      </w:r>
      <w:r>
        <w:t>la</w:t>
      </w:r>
      <w:r w:rsidRPr="002C4077">
        <w:t xml:space="preserve"> </w:t>
      </w:r>
      <w:r>
        <w:t>vallée</w:t>
      </w:r>
      <w:r w:rsidRPr="002C4077">
        <w:t xml:space="preserve"> </w:t>
      </w:r>
      <w:r>
        <w:t>encaissée</w:t>
      </w:r>
      <w:r w:rsidRPr="002C4077">
        <w:t xml:space="preserve"> </w:t>
      </w:r>
      <w:r>
        <w:t>de</w:t>
      </w:r>
      <w:r w:rsidRPr="002C4077">
        <w:t xml:space="preserve"> </w:t>
      </w:r>
      <w:r>
        <w:t>Nazareth</w:t>
      </w:r>
      <w:r w:rsidRPr="002C4077">
        <w:t xml:space="preserve"> </w:t>
      </w:r>
      <w:r>
        <w:t>et</w:t>
      </w:r>
      <w:r w:rsidRPr="002C4077">
        <w:t xml:space="preserve"> </w:t>
      </w:r>
      <w:r>
        <w:t>ces</w:t>
      </w:r>
      <w:r w:rsidRPr="002C4077">
        <w:t xml:space="preserve"> </w:t>
      </w:r>
      <w:r>
        <w:t>vastes</w:t>
      </w:r>
      <w:r w:rsidRPr="002C4077">
        <w:t xml:space="preserve"> </w:t>
      </w:r>
      <w:r>
        <w:t>champs,</w:t>
      </w:r>
      <w:r w:rsidRPr="002C4077">
        <w:t xml:space="preserve"> </w:t>
      </w:r>
      <w:r>
        <w:t>aériens,</w:t>
      </w:r>
      <w:r w:rsidRPr="002C4077">
        <w:t xml:space="preserve"> </w:t>
      </w:r>
      <w:r>
        <w:t>terrestres</w:t>
      </w:r>
      <w:r w:rsidRPr="002C4077">
        <w:t xml:space="preserve"> </w:t>
      </w:r>
      <w:r>
        <w:t>et</w:t>
      </w:r>
      <w:r w:rsidRPr="002C4077">
        <w:t xml:space="preserve"> </w:t>
      </w:r>
      <w:r>
        <w:t>maritimes,</w:t>
      </w:r>
      <w:r w:rsidRPr="002C4077">
        <w:t xml:space="preserve"> </w:t>
      </w:r>
      <w:r>
        <w:t>qui</w:t>
      </w:r>
      <w:r w:rsidRPr="002C4077">
        <w:t xml:space="preserve"> </w:t>
      </w:r>
      <w:r>
        <w:t>nous</w:t>
      </w:r>
      <w:r w:rsidRPr="002C4077">
        <w:t xml:space="preserve"> </w:t>
      </w:r>
      <w:r>
        <w:t>attirent</w:t>
      </w:r>
      <w:r w:rsidRPr="002C4077">
        <w:t xml:space="preserve"> </w:t>
      </w:r>
      <w:r>
        <w:t>à</w:t>
      </w:r>
      <w:r w:rsidRPr="002C4077">
        <w:t xml:space="preserve"> </w:t>
      </w:r>
      <w:r>
        <w:t>qui</w:t>
      </w:r>
      <w:r w:rsidRPr="002C4077">
        <w:t xml:space="preserve"> </w:t>
      </w:r>
      <w:r>
        <w:t>mieux</w:t>
      </w:r>
      <w:r w:rsidRPr="002C4077">
        <w:t xml:space="preserve"> </w:t>
      </w:r>
      <w:r>
        <w:t>mieux</w:t>
      </w:r>
      <w:r w:rsidR="00B546AF">
        <w:t> !</w:t>
      </w:r>
      <w:r w:rsidRPr="002C4077">
        <w:t xml:space="preserve"> </w:t>
      </w:r>
      <w:r>
        <w:t>À</w:t>
      </w:r>
      <w:r w:rsidRPr="002C4077">
        <w:t xml:space="preserve"> </w:t>
      </w:r>
      <w:r>
        <w:t>quoi</w:t>
      </w:r>
      <w:r w:rsidRPr="002C4077">
        <w:t xml:space="preserve"> </w:t>
      </w:r>
      <w:r>
        <w:t>consacrerons-nous</w:t>
      </w:r>
      <w:r w:rsidRPr="002C4077">
        <w:t xml:space="preserve"> </w:t>
      </w:r>
      <w:r>
        <w:t>tout</w:t>
      </w:r>
      <w:r w:rsidRPr="002C4077">
        <w:t xml:space="preserve"> </w:t>
      </w:r>
      <w:r>
        <w:t>d’abord</w:t>
      </w:r>
      <w:r w:rsidRPr="002C4077">
        <w:t xml:space="preserve"> </w:t>
      </w:r>
      <w:r>
        <w:t>notre</w:t>
      </w:r>
      <w:r w:rsidRPr="002C4077">
        <w:t xml:space="preserve"> </w:t>
      </w:r>
      <w:r>
        <w:t>attention</w:t>
      </w:r>
      <w:r w:rsidR="00B546AF">
        <w:t> ?</w:t>
      </w:r>
      <w:r w:rsidRPr="002C4077">
        <w:t xml:space="preserve"> </w:t>
      </w:r>
      <w:r>
        <w:t>Sera-ce</w:t>
      </w:r>
      <w:r w:rsidRPr="002C4077">
        <w:t xml:space="preserve"> </w:t>
      </w:r>
      <w:r>
        <w:t>aux</w:t>
      </w:r>
      <w:r w:rsidRPr="002C4077">
        <w:t xml:space="preserve"> </w:t>
      </w:r>
      <w:r>
        <w:t>vallées,</w:t>
      </w:r>
      <w:r w:rsidRPr="002C4077">
        <w:t xml:space="preserve"> </w:t>
      </w:r>
      <w:r>
        <w:t>aux</w:t>
      </w:r>
      <w:r w:rsidRPr="002C4077">
        <w:t xml:space="preserve"> </w:t>
      </w:r>
      <w:r>
        <w:t>montagnes,</w:t>
      </w:r>
      <w:r w:rsidRPr="002C4077">
        <w:t xml:space="preserve"> </w:t>
      </w:r>
      <w:r>
        <w:t>aux</w:t>
      </w:r>
      <w:r w:rsidRPr="002C4077">
        <w:t xml:space="preserve"> </w:t>
      </w:r>
      <w:r>
        <w:t>villes,</w:t>
      </w:r>
      <w:r w:rsidRPr="002C4077">
        <w:t xml:space="preserve"> </w:t>
      </w:r>
      <w:r>
        <w:t>à</w:t>
      </w:r>
      <w:r w:rsidRPr="002C4077">
        <w:t xml:space="preserve"> </w:t>
      </w:r>
      <w:r>
        <w:t>la</w:t>
      </w:r>
      <w:r w:rsidRPr="002C4077">
        <w:t xml:space="preserve"> </w:t>
      </w:r>
      <w:r>
        <w:t>mer</w:t>
      </w:r>
      <w:r w:rsidR="00B546AF">
        <w:t> ?</w:t>
      </w:r>
      <w:r w:rsidRPr="002C4077">
        <w:t xml:space="preserve"> </w:t>
      </w:r>
      <w:r>
        <w:t>Voici</w:t>
      </w:r>
      <w:r w:rsidRPr="002C4077">
        <w:t xml:space="preserve"> </w:t>
      </w:r>
      <w:r>
        <w:t>la</w:t>
      </w:r>
      <w:r w:rsidRPr="002C4077">
        <w:t xml:space="preserve"> </w:t>
      </w:r>
      <w:r>
        <w:t>plaine</w:t>
      </w:r>
      <w:r w:rsidRPr="002C4077">
        <w:t xml:space="preserve"> </w:t>
      </w:r>
      <w:r>
        <w:t>d’Esdrelon,</w:t>
      </w:r>
      <w:r w:rsidRPr="002C4077">
        <w:t xml:space="preserve"> </w:t>
      </w:r>
      <w:r>
        <w:t>la</w:t>
      </w:r>
      <w:r w:rsidRPr="002C4077">
        <w:t xml:space="preserve"> </w:t>
      </w:r>
      <w:r>
        <w:t>profonde</w:t>
      </w:r>
      <w:r w:rsidRPr="002C4077">
        <w:t xml:space="preserve"> </w:t>
      </w:r>
      <w:r>
        <w:t>vallée</w:t>
      </w:r>
      <w:r w:rsidRPr="002C4077">
        <w:t xml:space="preserve"> </w:t>
      </w:r>
      <w:r>
        <w:t>du</w:t>
      </w:r>
      <w:r w:rsidRPr="002C4077">
        <w:t xml:space="preserve"> </w:t>
      </w:r>
      <w:r>
        <w:t>Jourdain,</w:t>
      </w:r>
      <w:r w:rsidRPr="002C4077">
        <w:t xml:space="preserve"> </w:t>
      </w:r>
      <w:r>
        <w:t>les</w:t>
      </w:r>
      <w:r w:rsidRPr="002C4077">
        <w:t xml:space="preserve"> </w:t>
      </w:r>
      <w:r w:rsidRPr="000A34B5">
        <w:rPr>
          <w:rStyle w:val="italicus"/>
        </w:rPr>
        <w:t>ouadis</w:t>
      </w:r>
      <w:r w:rsidRPr="002C4077">
        <w:t xml:space="preserve"> </w:t>
      </w:r>
      <w:r>
        <w:t>sans</w:t>
      </w:r>
      <w:r w:rsidRPr="002C4077">
        <w:t xml:space="preserve"> </w:t>
      </w:r>
      <w:r>
        <w:t>nombre</w:t>
      </w:r>
      <w:r w:rsidRPr="002C4077">
        <w:t xml:space="preserve"> </w:t>
      </w:r>
      <w:r>
        <w:t>qui</w:t>
      </w:r>
      <w:r w:rsidRPr="002C4077">
        <w:t xml:space="preserve"> </w:t>
      </w:r>
      <w:r>
        <w:t>s’</w:t>
      </w:r>
      <w:r w:rsidR="006F72A8">
        <w:t>entrouvrent</w:t>
      </w:r>
      <w:r w:rsidRPr="002C4077">
        <w:t xml:space="preserve"> </w:t>
      </w:r>
      <w:r>
        <w:t>et</w:t>
      </w:r>
      <w:r w:rsidRPr="002C4077">
        <w:t xml:space="preserve"> </w:t>
      </w:r>
      <w:r>
        <w:t>serpentent</w:t>
      </w:r>
      <w:r w:rsidRPr="002C4077">
        <w:t xml:space="preserve"> </w:t>
      </w:r>
      <w:r>
        <w:t>en</w:t>
      </w:r>
      <w:r w:rsidRPr="002C4077">
        <w:t xml:space="preserve"> </w:t>
      </w:r>
      <w:r>
        <w:t>tous</w:t>
      </w:r>
      <w:r w:rsidRPr="002C4077">
        <w:t xml:space="preserve"> </w:t>
      </w:r>
      <w:r>
        <w:t>sens</w:t>
      </w:r>
      <w:r w:rsidR="00B91AF7">
        <w:rPr>
          <w:rStyle w:val="Appelnotedebasdep"/>
        </w:rPr>
        <w:footnoteReference w:id="743"/>
      </w:r>
      <w:r>
        <w:t>.</w:t>
      </w:r>
      <w:r w:rsidRPr="002C4077">
        <w:t xml:space="preserve"> </w:t>
      </w:r>
      <w:r>
        <w:t>Voici,</w:t>
      </w:r>
      <w:r w:rsidRPr="002C4077">
        <w:t xml:space="preserve"> </w:t>
      </w:r>
      <w:r>
        <w:t>dans</w:t>
      </w:r>
      <w:r w:rsidRPr="002C4077">
        <w:t xml:space="preserve"> </w:t>
      </w:r>
      <w:r>
        <w:t>la</w:t>
      </w:r>
      <w:r w:rsidRPr="002C4077">
        <w:t xml:space="preserve"> </w:t>
      </w:r>
      <w:r>
        <w:t>direction</w:t>
      </w:r>
      <w:r w:rsidRPr="002C4077">
        <w:t xml:space="preserve"> </w:t>
      </w:r>
      <w:r>
        <w:t>du</w:t>
      </w:r>
      <w:r w:rsidRPr="002C4077">
        <w:t xml:space="preserve"> </w:t>
      </w:r>
      <w:r>
        <w:t>sud,</w:t>
      </w:r>
      <w:r w:rsidRPr="002C4077">
        <w:t xml:space="preserve"> </w:t>
      </w:r>
      <w:r>
        <w:t>Endor,</w:t>
      </w:r>
      <w:r w:rsidRPr="002C4077">
        <w:t xml:space="preserve"> </w:t>
      </w:r>
      <w:r>
        <w:t>Naïm,</w:t>
      </w:r>
      <w:r w:rsidRPr="002C4077">
        <w:t xml:space="preserve"> </w:t>
      </w:r>
      <w:r>
        <w:t>L</w:t>
      </w:r>
      <w:r w:rsidR="003B53FD">
        <w:t>égio</w:t>
      </w:r>
      <w:r>
        <w:t>,</w:t>
      </w:r>
      <w:r w:rsidRPr="002C4077">
        <w:t xml:space="preserve"> </w:t>
      </w:r>
      <w:r>
        <w:t>Jesréel</w:t>
      </w:r>
      <w:r w:rsidR="00B546AF">
        <w:t> ;</w:t>
      </w:r>
      <w:r w:rsidRPr="002C4077">
        <w:t xml:space="preserve"> </w:t>
      </w:r>
      <w:r>
        <w:t>dans</w:t>
      </w:r>
      <w:r w:rsidRPr="002C4077">
        <w:t xml:space="preserve"> </w:t>
      </w:r>
      <w:r>
        <w:t>celle</w:t>
      </w:r>
      <w:r w:rsidRPr="002C4077">
        <w:t xml:space="preserve"> </w:t>
      </w:r>
      <w:r>
        <w:t>du</w:t>
      </w:r>
      <w:r w:rsidRPr="002C4077">
        <w:t xml:space="preserve"> </w:t>
      </w:r>
      <w:r>
        <w:t>nord,</w:t>
      </w:r>
      <w:r w:rsidRPr="002C4077">
        <w:t xml:space="preserve"> </w:t>
      </w:r>
      <w:r>
        <w:t>Cana,</w:t>
      </w:r>
      <w:r w:rsidRPr="002C4077">
        <w:t xml:space="preserve"> </w:t>
      </w:r>
      <w:r>
        <w:t>Séphoris,</w:t>
      </w:r>
      <w:r w:rsidRPr="002C4077">
        <w:t xml:space="preserve"> </w:t>
      </w:r>
      <w:r>
        <w:t>Saphed,</w:t>
      </w:r>
      <w:r w:rsidRPr="002C4077">
        <w:t xml:space="preserve"> </w:t>
      </w:r>
      <w:r>
        <w:t>avec</w:t>
      </w:r>
      <w:r w:rsidRPr="002C4077">
        <w:t xml:space="preserve"> </w:t>
      </w:r>
      <w:r>
        <w:t>Nazareth</w:t>
      </w:r>
      <w:r w:rsidRPr="002C4077">
        <w:t xml:space="preserve"> </w:t>
      </w:r>
      <w:r>
        <w:t>à</w:t>
      </w:r>
      <w:r w:rsidRPr="002C4077">
        <w:t xml:space="preserve"> </w:t>
      </w:r>
      <w:r>
        <w:t>nos</w:t>
      </w:r>
      <w:r w:rsidRPr="002C4077">
        <w:t xml:space="preserve"> </w:t>
      </w:r>
      <w:r>
        <w:t>pieds.</w:t>
      </w:r>
      <w:r w:rsidRPr="002C4077">
        <w:t xml:space="preserve"> </w:t>
      </w:r>
      <w:r>
        <w:t>Voici</w:t>
      </w:r>
      <w:r w:rsidRPr="002C4077">
        <w:t xml:space="preserve"> </w:t>
      </w:r>
      <w:r>
        <w:t>le</w:t>
      </w:r>
      <w:r w:rsidRPr="002C4077">
        <w:t xml:space="preserve"> </w:t>
      </w:r>
      <w:r>
        <w:t>grand</w:t>
      </w:r>
      <w:r w:rsidRPr="002C4077">
        <w:t xml:space="preserve"> </w:t>
      </w:r>
      <w:r>
        <w:t>Hermon,</w:t>
      </w:r>
      <w:r w:rsidRPr="002C4077">
        <w:t xml:space="preserve"> </w:t>
      </w:r>
      <w:r>
        <w:t>dont</w:t>
      </w:r>
      <w:r w:rsidRPr="002C4077">
        <w:t xml:space="preserve"> </w:t>
      </w:r>
      <w:r>
        <w:t>les</w:t>
      </w:r>
      <w:r w:rsidRPr="002C4077">
        <w:t xml:space="preserve"> </w:t>
      </w:r>
      <w:r>
        <w:t>neiges</w:t>
      </w:r>
      <w:r w:rsidRPr="002C4077">
        <w:t xml:space="preserve"> </w:t>
      </w:r>
      <w:r>
        <w:t>nous</w:t>
      </w:r>
      <w:r w:rsidRPr="002C4077">
        <w:t xml:space="preserve"> </w:t>
      </w:r>
      <w:r>
        <w:t>éblouissent</w:t>
      </w:r>
      <w:r w:rsidRPr="002C4077">
        <w:t xml:space="preserve"> </w:t>
      </w:r>
      <w:r>
        <w:t>et</w:t>
      </w:r>
      <w:r w:rsidRPr="002C4077">
        <w:t xml:space="preserve"> </w:t>
      </w:r>
      <w:r>
        <w:t>semblent</w:t>
      </w:r>
      <w:r w:rsidRPr="002C4077">
        <w:t xml:space="preserve"> </w:t>
      </w:r>
      <w:r>
        <w:t>percer</w:t>
      </w:r>
      <w:r w:rsidRPr="002C4077">
        <w:t xml:space="preserve"> </w:t>
      </w:r>
      <w:r>
        <w:t>l’azur</w:t>
      </w:r>
      <w:r w:rsidRPr="002C4077">
        <w:t xml:space="preserve"> </w:t>
      </w:r>
      <w:r>
        <w:t>du</w:t>
      </w:r>
      <w:r w:rsidRPr="002C4077">
        <w:t xml:space="preserve"> </w:t>
      </w:r>
      <w:r>
        <w:t>ciel</w:t>
      </w:r>
      <w:r w:rsidR="00B546AF">
        <w:t> ;</w:t>
      </w:r>
      <w:r w:rsidRPr="002C4077">
        <w:t xml:space="preserve"> </w:t>
      </w:r>
      <w:r>
        <w:t>les</w:t>
      </w:r>
      <w:r w:rsidRPr="002C4077">
        <w:t xml:space="preserve"> </w:t>
      </w:r>
      <w:r>
        <w:t>montagnes</w:t>
      </w:r>
      <w:r w:rsidRPr="002C4077">
        <w:t xml:space="preserve"> </w:t>
      </w:r>
      <w:r>
        <w:t>de</w:t>
      </w:r>
      <w:r w:rsidRPr="002C4077">
        <w:t xml:space="preserve"> </w:t>
      </w:r>
      <w:r>
        <w:t>l’Hauran</w:t>
      </w:r>
      <w:r w:rsidRPr="002C4077">
        <w:t xml:space="preserve"> </w:t>
      </w:r>
      <w:r>
        <w:t>et</w:t>
      </w:r>
      <w:r w:rsidRPr="002C4077">
        <w:t xml:space="preserve"> </w:t>
      </w:r>
      <w:r>
        <w:t>de</w:t>
      </w:r>
      <w:r w:rsidRPr="002C4077">
        <w:t xml:space="preserve"> </w:t>
      </w:r>
      <w:r>
        <w:t>Moab</w:t>
      </w:r>
      <w:r w:rsidR="00B546AF">
        <w:t> ;</w:t>
      </w:r>
      <w:r w:rsidRPr="002C4077">
        <w:t xml:space="preserve"> </w:t>
      </w:r>
      <w:r>
        <w:t>les</w:t>
      </w:r>
      <w:r w:rsidRPr="002C4077">
        <w:t xml:space="preserve"> </w:t>
      </w:r>
      <w:r>
        <w:t>collines</w:t>
      </w:r>
      <w:r w:rsidRPr="002C4077">
        <w:t xml:space="preserve"> </w:t>
      </w:r>
      <w:r>
        <w:t>ondulées</w:t>
      </w:r>
      <w:r w:rsidRPr="002C4077">
        <w:t xml:space="preserve"> </w:t>
      </w:r>
      <w:r>
        <w:t>d’Éphraïm</w:t>
      </w:r>
      <w:r w:rsidR="00B546AF">
        <w:t> ;</w:t>
      </w:r>
      <w:r w:rsidRPr="002C4077">
        <w:t xml:space="preserve"> </w:t>
      </w:r>
      <w:r>
        <w:t>le</w:t>
      </w:r>
      <w:r w:rsidRPr="002C4077">
        <w:t xml:space="preserve"> </w:t>
      </w:r>
      <w:r>
        <w:t>Carmel,</w:t>
      </w:r>
      <w:r w:rsidRPr="002C4077">
        <w:t xml:space="preserve"> </w:t>
      </w:r>
      <w:r>
        <w:t>qui</w:t>
      </w:r>
      <w:r w:rsidRPr="002C4077">
        <w:t xml:space="preserve"> </w:t>
      </w:r>
      <w:r>
        <w:t>avance</w:t>
      </w:r>
      <w:r w:rsidRPr="002C4077">
        <w:t xml:space="preserve"> </w:t>
      </w:r>
      <w:r>
        <w:t>et</w:t>
      </w:r>
      <w:r w:rsidRPr="002C4077">
        <w:t xml:space="preserve"> </w:t>
      </w:r>
      <w:r>
        <w:t>baigne</w:t>
      </w:r>
      <w:r w:rsidRPr="002C4077">
        <w:t xml:space="preserve"> </w:t>
      </w:r>
      <w:r>
        <w:t>son</w:t>
      </w:r>
      <w:r w:rsidRPr="002C4077">
        <w:t xml:space="preserve"> </w:t>
      </w:r>
      <w:r>
        <w:t>pied</w:t>
      </w:r>
      <w:r w:rsidRPr="002C4077">
        <w:t xml:space="preserve"> </w:t>
      </w:r>
      <w:r>
        <w:t>dans</w:t>
      </w:r>
      <w:r w:rsidRPr="002C4077">
        <w:t xml:space="preserve"> </w:t>
      </w:r>
      <w:r>
        <w:t>la</w:t>
      </w:r>
      <w:r w:rsidRPr="002C4077">
        <w:t xml:space="preserve"> </w:t>
      </w:r>
      <w:r>
        <w:t>mer</w:t>
      </w:r>
      <w:r w:rsidR="00B546AF">
        <w:t> ;</w:t>
      </w:r>
      <w:r w:rsidRPr="002C4077">
        <w:t xml:space="preserve"> </w:t>
      </w:r>
      <w:r>
        <w:t>les</w:t>
      </w:r>
      <w:r w:rsidRPr="002C4077">
        <w:t xml:space="preserve"> </w:t>
      </w:r>
      <w:r>
        <w:t>hauteurs</w:t>
      </w:r>
      <w:r w:rsidRPr="002C4077">
        <w:t xml:space="preserve"> </w:t>
      </w:r>
      <w:r>
        <w:t>de</w:t>
      </w:r>
      <w:r w:rsidRPr="002C4077">
        <w:t xml:space="preserve"> </w:t>
      </w:r>
      <w:r w:rsidR="006F72A8">
        <w:t>Gelboé</w:t>
      </w:r>
      <w:r>
        <w:t>,</w:t>
      </w:r>
      <w:r w:rsidRPr="002C4077">
        <w:t xml:space="preserve"> </w:t>
      </w:r>
      <w:r>
        <w:t>tristement</w:t>
      </w:r>
      <w:r w:rsidRPr="002C4077">
        <w:t xml:space="preserve"> </w:t>
      </w:r>
      <w:r>
        <w:t>fameuses</w:t>
      </w:r>
      <w:r w:rsidRPr="002C4077">
        <w:t xml:space="preserve"> </w:t>
      </w:r>
      <w:r>
        <w:t>par</w:t>
      </w:r>
      <w:r w:rsidRPr="002C4077">
        <w:t xml:space="preserve"> </w:t>
      </w:r>
      <w:r>
        <w:t>la</w:t>
      </w:r>
      <w:r w:rsidRPr="002C4077">
        <w:t xml:space="preserve"> </w:t>
      </w:r>
      <w:r>
        <w:t>mort</w:t>
      </w:r>
      <w:r w:rsidRPr="002C4077">
        <w:t xml:space="preserve"> </w:t>
      </w:r>
      <w:r>
        <w:t>de</w:t>
      </w:r>
      <w:r w:rsidRPr="002C4077">
        <w:t xml:space="preserve"> </w:t>
      </w:r>
      <w:r w:rsidR="006F72A8">
        <w:t>Saül</w:t>
      </w:r>
      <w:r w:rsidRPr="002C4077">
        <w:t xml:space="preserve"> </w:t>
      </w:r>
      <w:r>
        <w:t>et</w:t>
      </w:r>
      <w:r w:rsidRPr="002C4077">
        <w:t xml:space="preserve"> </w:t>
      </w:r>
      <w:r>
        <w:t>de</w:t>
      </w:r>
      <w:r w:rsidRPr="002C4077">
        <w:t xml:space="preserve"> </w:t>
      </w:r>
      <w:r>
        <w:t>Jonathas</w:t>
      </w:r>
      <w:r w:rsidR="00B546AF">
        <w:t> ;</w:t>
      </w:r>
      <w:r w:rsidRPr="002C4077">
        <w:t xml:space="preserve"> </w:t>
      </w:r>
      <w:r>
        <w:t>le</w:t>
      </w:r>
      <w:r w:rsidRPr="002C4077">
        <w:t xml:space="preserve"> </w:t>
      </w:r>
      <w:r>
        <w:t>Thabor</w:t>
      </w:r>
      <w:r w:rsidRPr="002C4077">
        <w:t xml:space="preserve"> </w:t>
      </w:r>
      <w:r>
        <w:t>aux</w:t>
      </w:r>
      <w:r w:rsidRPr="002C4077">
        <w:t xml:space="preserve"> </w:t>
      </w:r>
      <w:r>
        <w:t>contours</w:t>
      </w:r>
      <w:r w:rsidRPr="002C4077">
        <w:t xml:space="preserve"> </w:t>
      </w:r>
      <w:r>
        <w:t>si</w:t>
      </w:r>
      <w:r w:rsidRPr="002C4077">
        <w:t xml:space="preserve"> </w:t>
      </w:r>
      <w:r>
        <w:t>nobles</w:t>
      </w:r>
      <w:r w:rsidRPr="002C4077">
        <w:t xml:space="preserve"> </w:t>
      </w:r>
      <w:r>
        <w:t>et</w:t>
      </w:r>
      <w:r w:rsidRPr="002C4077">
        <w:t xml:space="preserve"> </w:t>
      </w:r>
      <w:r>
        <w:t>si</w:t>
      </w:r>
      <w:r w:rsidRPr="002C4077">
        <w:t xml:space="preserve"> </w:t>
      </w:r>
      <w:r>
        <w:t>gracieux</w:t>
      </w:r>
      <w:r w:rsidR="00B546AF">
        <w:t> ;</w:t>
      </w:r>
      <w:r w:rsidRPr="002C4077">
        <w:t xml:space="preserve"> </w:t>
      </w:r>
      <w:r>
        <w:t>toute</w:t>
      </w:r>
      <w:r w:rsidRPr="002C4077">
        <w:t xml:space="preserve"> </w:t>
      </w:r>
      <w:r>
        <w:t>la</w:t>
      </w:r>
      <w:r w:rsidRPr="002C4077">
        <w:t xml:space="preserve"> </w:t>
      </w:r>
      <w:r>
        <w:t>chaîne</w:t>
      </w:r>
      <w:r w:rsidRPr="002C4077">
        <w:t xml:space="preserve"> </w:t>
      </w:r>
      <w:r>
        <w:t>de</w:t>
      </w:r>
      <w:r w:rsidRPr="002C4077">
        <w:t xml:space="preserve"> </w:t>
      </w:r>
      <w:r>
        <w:t>Galilée</w:t>
      </w:r>
      <w:r w:rsidRPr="002C4077">
        <w:t xml:space="preserve"> </w:t>
      </w:r>
      <w:r>
        <w:t>qui</w:t>
      </w:r>
      <w:r w:rsidRPr="002C4077">
        <w:t xml:space="preserve"> </w:t>
      </w:r>
      <w:r>
        <w:t>remonte</w:t>
      </w:r>
      <w:r w:rsidRPr="002C4077">
        <w:t xml:space="preserve"> </w:t>
      </w:r>
      <w:r>
        <w:t>vers</w:t>
      </w:r>
      <w:r w:rsidRPr="002C4077">
        <w:t xml:space="preserve"> </w:t>
      </w:r>
      <w:r>
        <w:t>le</w:t>
      </w:r>
      <w:r w:rsidRPr="002C4077">
        <w:t xml:space="preserve"> </w:t>
      </w:r>
      <w:r>
        <w:t>Liban.</w:t>
      </w:r>
      <w:r w:rsidRPr="002C4077">
        <w:t xml:space="preserve"> </w:t>
      </w:r>
      <w:r>
        <w:t>Voici</w:t>
      </w:r>
      <w:r w:rsidRPr="002C4077">
        <w:t xml:space="preserve"> </w:t>
      </w:r>
      <w:r>
        <w:t>la</w:t>
      </w:r>
      <w:r w:rsidRPr="002C4077">
        <w:t xml:space="preserve"> </w:t>
      </w:r>
      <w:r>
        <w:t>Méditerranée,</w:t>
      </w:r>
      <w:r w:rsidRPr="002C4077">
        <w:t xml:space="preserve"> </w:t>
      </w:r>
      <w:r>
        <w:t>polie</w:t>
      </w:r>
      <w:r w:rsidRPr="002C4077">
        <w:t xml:space="preserve"> </w:t>
      </w:r>
      <w:r>
        <w:t>et</w:t>
      </w:r>
      <w:r w:rsidRPr="002C4077">
        <w:t xml:space="preserve"> </w:t>
      </w:r>
      <w:r>
        <w:t>brillante</w:t>
      </w:r>
      <w:r w:rsidRPr="002C4077">
        <w:t xml:space="preserve"> </w:t>
      </w:r>
      <w:r>
        <w:t>comme</w:t>
      </w:r>
      <w:r w:rsidRPr="002C4077">
        <w:t xml:space="preserve"> </w:t>
      </w:r>
      <w:r>
        <w:t>un</w:t>
      </w:r>
      <w:r w:rsidRPr="002C4077">
        <w:t xml:space="preserve"> </w:t>
      </w:r>
      <w:r>
        <w:t>miroir.</w:t>
      </w:r>
      <w:r w:rsidRPr="002C4077">
        <w:t xml:space="preserve"> </w:t>
      </w:r>
      <w:r>
        <w:t>Ce</w:t>
      </w:r>
      <w:r w:rsidRPr="002C4077">
        <w:t xml:space="preserve"> </w:t>
      </w:r>
      <w:r>
        <w:t>point</w:t>
      </w:r>
      <w:r w:rsidRPr="002C4077">
        <w:t xml:space="preserve"> </w:t>
      </w:r>
      <w:r>
        <w:t>noir</w:t>
      </w:r>
      <w:r w:rsidRPr="002C4077">
        <w:t xml:space="preserve"> </w:t>
      </w:r>
      <w:r>
        <w:t>sur</w:t>
      </w:r>
      <w:r w:rsidRPr="002C4077">
        <w:t xml:space="preserve"> </w:t>
      </w:r>
      <w:r>
        <w:t>les</w:t>
      </w:r>
      <w:r w:rsidRPr="002C4077">
        <w:t xml:space="preserve"> </w:t>
      </w:r>
      <w:r>
        <w:t>ondes,</w:t>
      </w:r>
      <w:r w:rsidRPr="002C4077">
        <w:t xml:space="preserve"> </w:t>
      </w:r>
      <w:r w:rsidR="00425C50">
        <w:t>est</w:t>
      </w:r>
      <w:r>
        <w:t>-ce</w:t>
      </w:r>
      <w:r w:rsidRPr="002C4077">
        <w:t xml:space="preserve"> </w:t>
      </w:r>
      <w:r>
        <w:t>un</w:t>
      </w:r>
      <w:r w:rsidRPr="002C4077">
        <w:t xml:space="preserve"> </w:t>
      </w:r>
      <w:r>
        <w:t>vaisseau</w:t>
      </w:r>
      <w:r w:rsidR="00B546AF">
        <w:t> ?</w:t>
      </w:r>
      <w:r w:rsidRPr="002C4077">
        <w:t xml:space="preserve"> </w:t>
      </w:r>
      <w:r w:rsidR="00425C50">
        <w:t>est</w:t>
      </w:r>
      <w:r>
        <w:t>-ce</w:t>
      </w:r>
      <w:r w:rsidRPr="002C4077">
        <w:t xml:space="preserve"> </w:t>
      </w:r>
      <w:r>
        <w:t>un</w:t>
      </w:r>
      <w:r w:rsidRPr="002C4077">
        <w:t xml:space="preserve"> </w:t>
      </w:r>
      <w:r>
        <w:t>rocher</w:t>
      </w:r>
      <w:r w:rsidR="00B546AF">
        <w:t> ?</w:t>
      </w:r>
      <w:r w:rsidRPr="002C4077">
        <w:t xml:space="preserve"> </w:t>
      </w:r>
      <w:r>
        <w:t>C’est</w:t>
      </w:r>
      <w:r w:rsidRPr="002C4077">
        <w:t xml:space="preserve"> </w:t>
      </w:r>
      <w:r>
        <w:t>un</w:t>
      </w:r>
      <w:r w:rsidRPr="002C4077">
        <w:t xml:space="preserve"> </w:t>
      </w:r>
      <w:r>
        <w:t>vaisseau,</w:t>
      </w:r>
      <w:r w:rsidRPr="002C4077">
        <w:t xml:space="preserve"> </w:t>
      </w:r>
      <w:r>
        <w:t>car</w:t>
      </w:r>
      <w:r w:rsidRPr="002C4077">
        <w:t xml:space="preserve"> </w:t>
      </w:r>
      <w:r>
        <w:t>il</w:t>
      </w:r>
      <w:r w:rsidRPr="002C4077">
        <w:t xml:space="preserve"> </w:t>
      </w:r>
      <w:r>
        <w:t>paraît</w:t>
      </w:r>
      <w:r w:rsidRPr="002C4077">
        <w:t xml:space="preserve"> </w:t>
      </w:r>
      <w:r>
        <w:t>se</w:t>
      </w:r>
      <w:r w:rsidRPr="002C4077">
        <w:t xml:space="preserve"> </w:t>
      </w:r>
      <w:r>
        <w:t>mouvoir.</w:t>
      </w:r>
      <w:r w:rsidRPr="002C4077">
        <w:t xml:space="preserve"> </w:t>
      </w:r>
      <w:r>
        <w:t>Vient-il</w:t>
      </w:r>
      <w:r w:rsidRPr="002C4077">
        <w:t xml:space="preserve"> </w:t>
      </w:r>
      <w:r>
        <w:t>de</w:t>
      </w:r>
      <w:r w:rsidRPr="002C4077">
        <w:t xml:space="preserve"> </w:t>
      </w:r>
      <w:r>
        <w:t>France,</w:t>
      </w:r>
      <w:r w:rsidRPr="002C4077">
        <w:t xml:space="preserve"> </w:t>
      </w:r>
      <w:r>
        <w:t>ou</w:t>
      </w:r>
      <w:r w:rsidRPr="002C4077">
        <w:t xml:space="preserve"> </w:t>
      </w:r>
      <w:r>
        <w:t>y</w:t>
      </w:r>
      <w:r w:rsidRPr="002C4077">
        <w:t xml:space="preserve"> </w:t>
      </w:r>
      <w:r>
        <w:t>retourne-t-il</w:t>
      </w:r>
      <w:r w:rsidR="00B546AF">
        <w:t> ?</w:t>
      </w:r>
      <w:r w:rsidRPr="002C4077">
        <w:t xml:space="preserve"> </w:t>
      </w:r>
      <w:r>
        <w:t>Ah</w:t>
      </w:r>
      <w:r w:rsidR="00B546AF">
        <w:t> !</w:t>
      </w:r>
      <w:r w:rsidRPr="002C4077">
        <w:t xml:space="preserve"> </w:t>
      </w:r>
      <w:r>
        <w:t>la</w:t>
      </w:r>
      <w:r w:rsidRPr="002C4077">
        <w:t xml:space="preserve"> </w:t>
      </w:r>
      <w:r>
        <w:t>mer</w:t>
      </w:r>
      <w:r w:rsidRPr="002C4077">
        <w:t xml:space="preserve"> </w:t>
      </w:r>
      <w:r>
        <w:t>et</w:t>
      </w:r>
      <w:r w:rsidRPr="002C4077">
        <w:t xml:space="preserve"> </w:t>
      </w:r>
      <w:r>
        <w:lastRenderedPageBreak/>
        <w:t>l’occident</w:t>
      </w:r>
      <w:r w:rsidR="00B546AF">
        <w:t> !</w:t>
      </w:r>
      <w:r w:rsidR="00C45B47">
        <w:t xml:space="preserve"> {</w:t>
      </w:r>
      <w:r w:rsidR="001F5257">
        <w:t>234</w:t>
      </w:r>
      <w:bookmarkStart w:id="567" w:name="p234"/>
      <w:bookmarkEnd w:id="567"/>
      <w:r w:rsidR="001F5257">
        <w:t xml:space="preserve">} </w:t>
      </w:r>
      <w:r>
        <w:t>Combien</w:t>
      </w:r>
      <w:r w:rsidRPr="002C4077">
        <w:t xml:space="preserve"> </w:t>
      </w:r>
      <w:r>
        <w:t>de</w:t>
      </w:r>
      <w:r w:rsidRPr="002C4077">
        <w:t xml:space="preserve"> </w:t>
      </w:r>
      <w:r>
        <w:t>fois</w:t>
      </w:r>
      <w:r w:rsidRPr="002C4077">
        <w:t xml:space="preserve"> </w:t>
      </w:r>
      <w:r w:rsidR="00425C50">
        <w:t>Jésus</w:t>
      </w:r>
      <w:r>
        <w:t>,</w:t>
      </w:r>
      <w:r w:rsidRPr="002C4077">
        <w:t xml:space="preserve"> </w:t>
      </w:r>
      <w:r>
        <w:t>priant</w:t>
      </w:r>
      <w:r w:rsidRPr="002C4077">
        <w:t xml:space="preserve"> </w:t>
      </w:r>
      <w:r>
        <w:t>sur</w:t>
      </w:r>
      <w:r w:rsidRPr="002C4077">
        <w:t xml:space="preserve"> </w:t>
      </w:r>
      <w:r>
        <w:t>cet</w:t>
      </w:r>
      <w:r w:rsidRPr="002C4077">
        <w:t xml:space="preserve"> </w:t>
      </w:r>
      <w:r>
        <w:t>autel</w:t>
      </w:r>
      <w:r w:rsidRPr="002C4077">
        <w:t xml:space="preserve"> </w:t>
      </w:r>
      <w:r>
        <w:t>sublime,</w:t>
      </w:r>
      <w:r w:rsidRPr="002C4077">
        <w:t xml:space="preserve"> </w:t>
      </w:r>
      <w:r>
        <w:t>ne</w:t>
      </w:r>
      <w:r w:rsidRPr="002C4077">
        <w:t xml:space="preserve"> </w:t>
      </w:r>
      <w:r>
        <w:t>dirigea-t-il</w:t>
      </w:r>
      <w:r w:rsidRPr="002C4077">
        <w:t xml:space="preserve"> </w:t>
      </w:r>
      <w:r>
        <w:t>pas</w:t>
      </w:r>
      <w:r w:rsidRPr="002C4077">
        <w:t xml:space="preserve"> </w:t>
      </w:r>
      <w:r>
        <w:t>ses</w:t>
      </w:r>
      <w:r w:rsidRPr="002C4077">
        <w:t xml:space="preserve"> </w:t>
      </w:r>
      <w:r>
        <w:t>yeux</w:t>
      </w:r>
      <w:r w:rsidRPr="002C4077">
        <w:t xml:space="preserve"> </w:t>
      </w:r>
      <w:r>
        <w:t>de</w:t>
      </w:r>
      <w:r w:rsidRPr="002C4077">
        <w:t xml:space="preserve"> </w:t>
      </w:r>
      <w:r>
        <w:t>ce</w:t>
      </w:r>
      <w:r w:rsidRPr="002C4077">
        <w:t xml:space="preserve"> </w:t>
      </w:r>
      <w:r>
        <w:t>côté,</w:t>
      </w:r>
      <w:r w:rsidRPr="002C4077">
        <w:t xml:space="preserve"> </w:t>
      </w:r>
      <w:r>
        <w:t>pensant</w:t>
      </w:r>
      <w:r w:rsidRPr="002C4077">
        <w:t xml:space="preserve"> </w:t>
      </w:r>
      <w:r>
        <w:t>avec</w:t>
      </w:r>
      <w:r w:rsidRPr="002C4077">
        <w:t xml:space="preserve"> </w:t>
      </w:r>
      <w:r>
        <w:t>bonheur</w:t>
      </w:r>
      <w:r w:rsidRPr="002C4077">
        <w:t xml:space="preserve"> </w:t>
      </w:r>
      <w:r>
        <w:t>aux</w:t>
      </w:r>
      <w:r w:rsidRPr="002C4077">
        <w:t xml:space="preserve"> </w:t>
      </w:r>
      <w:r>
        <w:t>millions</w:t>
      </w:r>
      <w:r w:rsidRPr="002C4077">
        <w:t xml:space="preserve"> </w:t>
      </w:r>
      <w:r>
        <w:t>de</w:t>
      </w:r>
      <w:r w:rsidRPr="002C4077">
        <w:t xml:space="preserve"> </w:t>
      </w:r>
      <w:r>
        <w:t>cœurs</w:t>
      </w:r>
      <w:r w:rsidRPr="002C4077">
        <w:t xml:space="preserve"> </w:t>
      </w:r>
      <w:r>
        <w:t>qui</w:t>
      </w:r>
      <w:r w:rsidRPr="002C4077">
        <w:t xml:space="preserve"> </w:t>
      </w:r>
      <w:r>
        <w:t>devaient</w:t>
      </w:r>
      <w:r w:rsidRPr="002C4077">
        <w:t xml:space="preserve"> </w:t>
      </w:r>
      <w:r>
        <w:t>l’y</w:t>
      </w:r>
      <w:r w:rsidRPr="002C4077">
        <w:t xml:space="preserve"> </w:t>
      </w:r>
      <w:r>
        <w:t>aimer,</w:t>
      </w:r>
      <w:r w:rsidRPr="002C4077">
        <w:t xml:space="preserve"> </w:t>
      </w:r>
      <w:r>
        <w:t>l’y</w:t>
      </w:r>
      <w:r w:rsidRPr="002C4077">
        <w:t xml:space="preserve"> </w:t>
      </w:r>
      <w:r>
        <w:t>bénir</w:t>
      </w:r>
      <w:r w:rsidR="00B546AF">
        <w:t> !</w:t>
      </w:r>
      <w:r w:rsidRPr="002C4077">
        <w:t xml:space="preserve"> </w:t>
      </w:r>
    </w:p>
    <w:p w:rsidR="000A7AAB" w:rsidRDefault="00B546AF" w:rsidP="000A7AAB">
      <w:r>
        <w:t>« </w:t>
      </w:r>
      <w:r w:rsidR="000A7AAB">
        <w:t>Je</w:t>
      </w:r>
      <w:r w:rsidR="000A7AAB" w:rsidRPr="002C4077">
        <w:t xml:space="preserve"> </w:t>
      </w:r>
      <w:r w:rsidR="000A7AAB">
        <w:t>m’étais</w:t>
      </w:r>
      <w:r w:rsidR="000A7AAB" w:rsidRPr="002C4077">
        <w:t xml:space="preserve"> </w:t>
      </w:r>
      <w:r w:rsidR="000A7AAB">
        <w:t>tenu</w:t>
      </w:r>
      <w:r w:rsidR="000A7AAB" w:rsidRPr="002C4077">
        <w:t xml:space="preserve"> </w:t>
      </w:r>
      <w:r w:rsidR="000A7AAB">
        <w:t>debout,</w:t>
      </w:r>
      <w:r w:rsidR="000A7AAB" w:rsidRPr="002C4077">
        <w:t xml:space="preserve"> </w:t>
      </w:r>
      <w:r w:rsidR="000A7AAB">
        <w:t>écrit</w:t>
      </w:r>
      <w:r w:rsidR="000A7AAB" w:rsidRPr="002C4077">
        <w:t xml:space="preserve"> </w:t>
      </w:r>
      <w:r w:rsidR="000A7AAB">
        <w:t>un</w:t>
      </w:r>
      <w:r w:rsidR="000A7AAB" w:rsidRPr="002C4077">
        <w:t xml:space="preserve"> </w:t>
      </w:r>
      <w:r w:rsidR="000A7AAB">
        <w:t>voyageur,</w:t>
      </w:r>
      <w:r w:rsidR="000A7AAB" w:rsidRPr="002C4077">
        <w:t xml:space="preserve"> </w:t>
      </w:r>
      <w:r w:rsidR="000A7AAB">
        <w:t>sur</w:t>
      </w:r>
      <w:r w:rsidR="000A7AAB" w:rsidRPr="002C4077">
        <w:t xml:space="preserve"> </w:t>
      </w:r>
      <w:r w:rsidR="000A7AAB">
        <w:t>la</w:t>
      </w:r>
      <w:r w:rsidR="000A7AAB" w:rsidRPr="002C4077">
        <w:t xml:space="preserve"> </w:t>
      </w:r>
      <w:r w:rsidR="000A7AAB">
        <w:t>plus</w:t>
      </w:r>
      <w:r w:rsidR="000A7AAB" w:rsidRPr="002C4077">
        <w:t xml:space="preserve"> </w:t>
      </w:r>
      <w:r w:rsidR="000A7AAB">
        <w:t>haute</w:t>
      </w:r>
      <w:r w:rsidR="000A7AAB" w:rsidRPr="002C4077">
        <w:t xml:space="preserve"> </w:t>
      </w:r>
      <w:r w:rsidR="000A7AAB">
        <w:t>des</w:t>
      </w:r>
      <w:r w:rsidR="000A7AAB" w:rsidRPr="002C4077">
        <w:t xml:space="preserve"> </w:t>
      </w:r>
      <w:r w:rsidR="000A7AAB">
        <w:t>pyramides</w:t>
      </w:r>
      <w:r w:rsidR="000A7AAB" w:rsidRPr="002C4077">
        <w:t xml:space="preserve"> </w:t>
      </w:r>
      <w:r w:rsidR="000A7AAB">
        <w:t>d’Égypte,</w:t>
      </w:r>
      <w:r w:rsidR="000A7AAB" w:rsidRPr="002C4077">
        <w:t xml:space="preserve"> </w:t>
      </w:r>
      <w:r w:rsidR="000A7AAB">
        <w:t>avec</w:t>
      </w:r>
      <w:r w:rsidR="000A7AAB" w:rsidRPr="002C4077">
        <w:t xml:space="preserve"> </w:t>
      </w:r>
      <w:r w:rsidR="000A7AAB">
        <w:t>le</w:t>
      </w:r>
      <w:r w:rsidR="000A7AAB" w:rsidRPr="002C4077">
        <w:t xml:space="preserve"> </w:t>
      </w:r>
      <w:r w:rsidR="000A7AAB">
        <w:t>désert,</w:t>
      </w:r>
      <w:r w:rsidR="000A7AAB" w:rsidRPr="002C4077">
        <w:t xml:space="preserve"> </w:t>
      </w:r>
      <w:r w:rsidR="000A7AAB">
        <w:t>le</w:t>
      </w:r>
      <w:r w:rsidR="000A7AAB" w:rsidRPr="002C4077">
        <w:t xml:space="preserve"> </w:t>
      </w:r>
      <w:r w:rsidR="000A7AAB">
        <w:t>Nil</w:t>
      </w:r>
      <w:r w:rsidR="000A7AAB" w:rsidRPr="002C4077">
        <w:t xml:space="preserve"> </w:t>
      </w:r>
      <w:r w:rsidR="000A7AAB">
        <w:t>et</w:t>
      </w:r>
      <w:r w:rsidR="000A7AAB" w:rsidRPr="002C4077">
        <w:t xml:space="preserve"> </w:t>
      </w:r>
      <w:r w:rsidR="000A7AAB">
        <w:t>le</w:t>
      </w:r>
      <w:r w:rsidR="000A7AAB" w:rsidRPr="002C4077">
        <w:t xml:space="preserve"> </w:t>
      </w:r>
      <w:r w:rsidR="000A7AAB">
        <w:t>Caire</w:t>
      </w:r>
      <w:r w:rsidR="000A7AAB" w:rsidRPr="002C4077">
        <w:t xml:space="preserve"> </w:t>
      </w:r>
      <w:r w:rsidR="000A7AAB">
        <w:t>à</w:t>
      </w:r>
      <w:r w:rsidR="000A7AAB" w:rsidRPr="002C4077">
        <w:t xml:space="preserve"> </w:t>
      </w:r>
      <w:r w:rsidR="000A7AAB">
        <w:t>mes</w:t>
      </w:r>
      <w:r w:rsidR="000A7AAB" w:rsidRPr="002C4077">
        <w:t xml:space="preserve"> </w:t>
      </w:r>
      <w:r w:rsidR="000A7AAB">
        <w:t>pieds.</w:t>
      </w:r>
      <w:r w:rsidR="000A7AAB" w:rsidRPr="002C4077">
        <w:t xml:space="preserve"> </w:t>
      </w:r>
      <w:r w:rsidR="000A7AAB">
        <w:t>Je</w:t>
      </w:r>
      <w:r w:rsidR="000A7AAB" w:rsidRPr="002C4077">
        <w:t xml:space="preserve"> </w:t>
      </w:r>
      <w:r w:rsidR="000A7AAB">
        <w:t>m’étais</w:t>
      </w:r>
      <w:r w:rsidR="000A7AAB" w:rsidRPr="002C4077">
        <w:t xml:space="preserve"> </w:t>
      </w:r>
      <w:r w:rsidR="000A7AAB">
        <w:t>tenu</w:t>
      </w:r>
      <w:r w:rsidR="000A7AAB" w:rsidRPr="002C4077">
        <w:t xml:space="preserve"> </w:t>
      </w:r>
      <w:r w:rsidR="000A7AAB">
        <w:t>debout</w:t>
      </w:r>
      <w:r w:rsidR="000A7AAB" w:rsidRPr="002C4077">
        <w:t xml:space="preserve"> </w:t>
      </w:r>
      <w:r w:rsidR="000A7AAB">
        <w:t>sur</w:t>
      </w:r>
      <w:r w:rsidR="000A7AAB" w:rsidRPr="002C4077">
        <w:t xml:space="preserve"> </w:t>
      </w:r>
      <w:r w:rsidR="000A7AAB">
        <w:t>le</w:t>
      </w:r>
      <w:r w:rsidR="000A7AAB" w:rsidRPr="002C4077">
        <w:t xml:space="preserve"> </w:t>
      </w:r>
      <w:r w:rsidR="000A7AAB">
        <w:t>Sinaï,</w:t>
      </w:r>
      <w:r w:rsidR="000A7AAB" w:rsidRPr="002C4077">
        <w:t xml:space="preserve"> </w:t>
      </w:r>
      <w:r w:rsidR="000A7AAB">
        <w:t>cette</w:t>
      </w:r>
      <w:r w:rsidR="000A7AAB" w:rsidRPr="002C4077">
        <w:t xml:space="preserve"> </w:t>
      </w:r>
      <w:r w:rsidR="000A7AAB">
        <w:t>mystérieuse</w:t>
      </w:r>
      <w:r w:rsidR="000A7AAB" w:rsidRPr="002C4077">
        <w:t xml:space="preserve"> </w:t>
      </w:r>
      <w:r w:rsidR="000A7AAB">
        <w:t>montagne</w:t>
      </w:r>
      <w:r w:rsidR="000A7AAB" w:rsidRPr="002C4077">
        <w:t xml:space="preserve"> </w:t>
      </w:r>
      <w:r w:rsidR="000A7AAB">
        <w:t>du</w:t>
      </w:r>
      <w:r w:rsidR="000A7AAB" w:rsidRPr="002C4077">
        <w:t xml:space="preserve"> </w:t>
      </w:r>
      <w:r w:rsidR="000A7AAB">
        <w:t>Seigneur…</w:t>
      </w:r>
      <w:r w:rsidR="000A7AAB" w:rsidRPr="002C4077">
        <w:t xml:space="preserve"> </w:t>
      </w:r>
      <w:r w:rsidR="000A7AAB">
        <w:t>Du</w:t>
      </w:r>
      <w:r w:rsidR="000A7AAB" w:rsidRPr="002C4077">
        <w:t xml:space="preserve"> </w:t>
      </w:r>
      <w:r w:rsidR="000A7AAB">
        <w:t>minaret</w:t>
      </w:r>
      <w:r w:rsidR="000A7AAB" w:rsidRPr="002C4077">
        <w:t xml:space="preserve"> </w:t>
      </w:r>
      <w:r w:rsidR="000A7AAB">
        <w:t>situé</w:t>
      </w:r>
      <w:r w:rsidR="000A7AAB" w:rsidRPr="002C4077">
        <w:t xml:space="preserve"> </w:t>
      </w:r>
      <w:r w:rsidR="000A7AAB">
        <w:t>au</w:t>
      </w:r>
      <w:r w:rsidR="000A7AAB" w:rsidRPr="002C4077">
        <w:t xml:space="preserve"> </w:t>
      </w:r>
      <w:r w:rsidR="000A7AAB">
        <w:t>faîte</w:t>
      </w:r>
      <w:r w:rsidR="000A7AAB" w:rsidRPr="002C4077">
        <w:t xml:space="preserve"> </w:t>
      </w:r>
      <w:r w:rsidR="000A7AAB">
        <w:t>du</w:t>
      </w:r>
      <w:r w:rsidR="000A7AAB" w:rsidRPr="002C4077">
        <w:t xml:space="preserve"> </w:t>
      </w:r>
      <w:r w:rsidR="000A7AAB">
        <w:t>mont</w:t>
      </w:r>
      <w:r w:rsidR="000A7AAB" w:rsidRPr="002C4077">
        <w:t xml:space="preserve"> </w:t>
      </w:r>
      <w:r w:rsidR="000A7AAB">
        <w:t>des</w:t>
      </w:r>
      <w:r w:rsidR="000A7AAB" w:rsidRPr="002C4077">
        <w:t xml:space="preserve"> </w:t>
      </w:r>
      <w:r w:rsidR="000A7AAB">
        <w:t>Oliviers,</w:t>
      </w:r>
      <w:r w:rsidR="000A7AAB" w:rsidRPr="002C4077">
        <w:t xml:space="preserve"> </w:t>
      </w:r>
      <w:r w:rsidR="000A7AAB">
        <w:t>j’avais</w:t>
      </w:r>
      <w:r w:rsidR="000A7AAB" w:rsidRPr="002C4077">
        <w:t xml:space="preserve"> </w:t>
      </w:r>
      <w:r w:rsidR="000A7AAB">
        <w:t>embrassé</w:t>
      </w:r>
      <w:r w:rsidR="000A7AAB" w:rsidRPr="002C4077">
        <w:t xml:space="preserve"> </w:t>
      </w:r>
      <w:r w:rsidR="000A7AAB">
        <w:t>d’un</w:t>
      </w:r>
      <w:r w:rsidR="000A7AAB" w:rsidRPr="002C4077">
        <w:t xml:space="preserve"> </w:t>
      </w:r>
      <w:r w:rsidR="000A7AAB">
        <w:t>seul</w:t>
      </w:r>
      <w:r w:rsidR="000A7AAB" w:rsidRPr="002C4077">
        <w:t xml:space="preserve"> </w:t>
      </w:r>
      <w:r w:rsidR="000A7AAB">
        <w:t>coup</w:t>
      </w:r>
      <w:r w:rsidR="000A7AAB" w:rsidRPr="002C4077">
        <w:t xml:space="preserve"> </w:t>
      </w:r>
      <w:r w:rsidR="000A7AAB">
        <w:t>d’œil</w:t>
      </w:r>
      <w:r w:rsidR="000A7AAB" w:rsidRPr="002C4077">
        <w:t xml:space="preserve"> </w:t>
      </w:r>
      <w:r w:rsidR="000A7AAB">
        <w:t>la</w:t>
      </w:r>
      <w:r w:rsidR="000A7AAB" w:rsidRPr="002C4077">
        <w:t xml:space="preserve"> </w:t>
      </w:r>
      <w:r w:rsidR="000A7AAB">
        <w:t>Ville</w:t>
      </w:r>
      <w:r w:rsidR="000A7AAB" w:rsidRPr="002C4077">
        <w:t xml:space="preserve"> </w:t>
      </w:r>
      <w:r w:rsidR="000A7AAB">
        <w:t>sainte</w:t>
      </w:r>
      <w:r w:rsidR="000A7AAB" w:rsidRPr="002C4077">
        <w:t xml:space="preserve"> </w:t>
      </w:r>
      <w:r w:rsidR="000A7AAB">
        <w:t>avec</w:t>
      </w:r>
      <w:r w:rsidR="000A7AAB" w:rsidRPr="002C4077">
        <w:t xml:space="preserve"> </w:t>
      </w:r>
      <w:r w:rsidR="000A7AAB">
        <w:t>les</w:t>
      </w:r>
      <w:r w:rsidR="000A7AAB" w:rsidRPr="002C4077">
        <w:t xml:space="preserve"> </w:t>
      </w:r>
      <w:r w:rsidR="000A7AAB">
        <w:t>hauteurs</w:t>
      </w:r>
      <w:r w:rsidR="000A7AAB" w:rsidRPr="002C4077">
        <w:t xml:space="preserve"> </w:t>
      </w:r>
      <w:r w:rsidR="000A7AAB">
        <w:t>de</w:t>
      </w:r>
      <w:r w:rsidR="000A7AAB" w:rsidRPr="002C4077">
        <w:t xml:space="preserve"> </w:t>
      </w:r>
      <w:r w:rsidR="000A7AAB">
        <w:t>Bethléem</w:t>
      </w:r>
      <w:r w:rsidR="000A7AAB" w:rsidRPr="002C4077">
        <w:t xml:space="preserve"> </w:t>
      </w:r>
      <w:r w:rsidR="000A7AAB">
        <w:t>et</w:t>
      </w:r>
      <w:r w:rsidR="000A7AAB" w:rsidRPr="002C4077">
        <w:t xml:space="preserve"> </w:t>
      </w:r>
      <w:r w:rsidR="000A7AAB">
        <w:t>les</w:t>
      </w:r>
      <w:r w:rsidR="000A7AAB" w:rsidRPr="002C4077">
        <w:t xml:space="preserve"> </w:t>
      </w:r>
      <w:r w:rsidR="000A7AAB">
        <w:t>montagnes</w:t>
      </w:r>
      <w:r w:rsidR="000A7AAB" w:rsidRPr="002C4077">
        <w:t xml:space="preserve"> </w:t>
      </w:r>
      <w:r w:rsidR="000A7AAB">
        <w:t>de</w:t>
      </w:r>
      <w:r w:rsidR="000A7AAB" w:rsidRPr="002C4077">
        <w:t xml:space="preserve"> </w:t>
      </w:r>
      <w:r w:rsidR="000A7AAB">
        <w:t>Samarie,</w:t>
      </w:r>
      <w:r w:rsidR="000A7AAB" w:rsidRPr="002C4077">
        <w:t xml:space="preserve"> </w:t>
      </w:r>
      <w:r w:rsidR="000A7AAB">
        <w:t>le</w:t>
      </w:r>
      <w:r w:rsidR="000A7AAB" w:rsidRPr="002C4077">
        <w:t xml:space="preserve"> </w:t>
      </w:r>
      <w:r w:rsidR="000A7AAB">
        <w:t>lac</w:t>
      </w:r>
      <w:r w:rsidR="000A7AAB" w:rsidRPr="002C4077">
        <w:t xml:space="preserve"> </w:t>
      </w:r>
      <w:r w:rsidR="000A7AAB">
        <w:t>merveilleux</w:t>
      </w:r>
      <w:r w:rsidR="000A7AAB" w:rsidRPr="002C4077">
        <w:t xml:space="preserve"> </w:t>
      </w:r>
      <w:r w:rsidR="000A7AAB">
        <w:t>de</w:t>
      </w:r>
      <w:r w:rsidR="000A7AAB" w:rsidRPr="002C4077">
        <w:t xml:space="preserve"> </w:t>
      </w:r>
      <w:r w:rsidR="000A7AAB">
        <w:t>Sodome</w:t>
      </w:r>
      <w:r w:rsidR="000A7AAB" w:rsidRPr="002C4077">
        <w:t xml:space="preserve"> </w:t>
      </w:r>
      <w:r w:rsidR="000A7AAB">
        <w:t>et</w:t>
      </w:r>
      <w:r w:rsidR="000A7AAB" w:rsidRPr="002C4077">
        <w:t xml:space="preserve"> </w:t>
      </w:r>
      <w:r w:rsidR="000A7AAB">
        <w:t>les</w:t>
      </w:r>
      <w:r w:rsidR="000A7AAB" w:rsidRPr="002C4077">
        <w:t xml:space="preserve"> </w:t>
      </w:r>
      <w:r w:rsidR="000A7AAB">
        <w:t>monts</w:t>
      </w:r>
      <w:r w:rsidR="000A7AAB" w:rsidRPr="002C4077">
        <w:t xml:space="preserve"> </w:t>
      </w:r>
      <w:r w:rsidR="000A7AAB">
        <w:t>de</w:t>
      </w:r>
      <w:r w:rsidR="000A7AAB" w:rsidRPr="002C4077">
        <w:t xml:space="preserve"> </w:t>
      </w:r>
      <w:r w:rsidR="000A7AAB">
        <w:t>Moab.</w:t>
      </w:r>
      <w:r w:rsidR="000A7AAB" w:rsidRPr="002C4077">
        <w:t xml:space="preserve"> </w:t>
      </w:r>
      <w:r w:rsidR="000A7AAB">
        <w:t>Et</w:t>
      </w:r>
      <w:r w:rsidR="000A7AAB" w:rsidRPr="002C4077">
        <w:t xml:space="preserve"> </w:t>
      </w:r>
      <w:r w:rsidR="000A7AAB">
        <w:t>pourtant,</w:t>
      </w:r>
      <w:r w:rsidR="000A7AAB" w:rsidRPr="002C4077">
        <w:t xml:space="preserve"> </w:t>
      </w:r>
      <w:r w:rsidR="000A7AAB">
        <w:t>aujourd’hui,</w:t>
      </w:r>
      <w:r w:rsidR="000A7AAB" w:rsidRPr="002C4077">
        <w:t xml:space="preserve"> </w:t>
      </w:r>
      <w:r w:rsidR="000A7AAB">
        <w:t>j’étais</w:t>
      </w:r>
      <w:r w:rsidR="000A7AAB" w:rsidRPr="002C4077">
        <w:t xml:space="preserve"> </w:t>
      </w:r>
      <w:r w:rsidR="000A7AAB">
        <w:t>à</w:t>
      </w:r>
      <w:r w:rsidR="000A7AAB" w:rsidRPr="002C4077">
        <w:t xml:space="preserve"> </w:t>
      </w:r>
      <w:r w:rsidR="000A7AAB">
        <w:t>mes</w:t>
      </w:r>
      <w:r w:rsidR="000A7AAB" w:rsidRPr="002C4077">
        <w:t xml:space="preserve"> </w:t>
      </w:r>
      <w:r w:rsidR="000A7AAB">
        <w:t>propres</w:t>
      </w:r>
      <w:r w:rsidR="000A7AAB" w:rsidRPr="002C4077">
        <w:t xml:space="preserve"> </w:t>
      </w:r>
      <w:r w:rsidR="000A7AAB">
        <w:t>yeux</w:t>
      </w:r>
      <w:r w:rsidR="000A7AAB" w:rsidRPr="002C4077">
        <w:t xml:space="preserve"> </w:t>
      </w:r>
      <w:r w:rsidR="000A7AAB">
        <w:t>comme</w:t>
      </w:r>
      <w:r w:rsidR="000A7AAB" w:rsidRPr="002C4077">
        <w:t xml:space="preserve"> </w:t>
      </w:r>
      <w:r w:rsidR="000A7AAB">
        <w:t>un</w:t>
      </w:r>
      <w:r w:rsidR="000A7AAB" w:rsidRPr="002C4077">
        <w:t xml:space="preserve"> </w:t>
      </w:r>
      <w:r w:rsidR="000A7AAB">
        <w:t>enfant</w:t>
      </w:r>
      <w:r w:rsidR="000A7AAB" w:rsidRPr="002C4077">
        <w:t xml:space="preserve"> </w:t>
      </w:r>
      <w:r w:rsidR="000A7AAB">
        <w:t>qui</w:t>
      </w:r>
      <w:r w:rsidR="000A7AAB" w:rsidRPr="002C4077">
        <w:t xml:space="preserve"> </w:t>
      </w:r>
      <w:r w:rsidR="000A7AAB">
        <w:t>n’a</w:t>
      </w:r>
      <w:r w:rsidR="000A7AAB" w:rsidRPr="002C4077">
        <w:t xml:space="preserve"> </w:t>
      </w:r>
      <w:r w:rsidR="000A7AAB">
        <w:t>vu</w:t>
      </w:r>
      <w:r w:rsidR="000A7AAB" w:rsidRPr="002C4077">
        <w:t xml:space="preserve"> </w:t>
      </w:r>
      <w:r w:rsidR="000A7AAB">
        <w:t>autre</w:t>
      </w:r>
      <w:r w:rsidR="000A7AAB" w:rsidRPr="002C4077">
        <w:t xml:space="preserve"> </w:t>
      </w:r>
      <w:r w:rsidR="000A7AAB">
        <w:t>chose</w:t>
      </w:r>
      <w:r w:rsidR="000A7AAB" w:rsidRPr="002C4077">
        <w:t xml:space="preserve"> </w:t>
      </w:r>
      <w:r w:rsidR="000A7AAB">
        <w:t>que</w:t>
      </w:r>
      <w:r w:rsidR="000A7AAB" w:rsidRPr="002C4077">
        <w:t xml:space="preserve"> </w:t>
      </w:r>
      <w:r w:rsidR="000A7AAB">
        <w:t>son</w:t>
      </w:r>
      <w:r w:rsidR="000A7AAB" w:rsidRPr="002C4077">
        <w:t xml:space="preserve"> </w:t>
      </w:r>
      <w:r w:rsidR="000A7AAB">
        <w:t>pays</w:t>
      </w:r>
      <w:r w:rsidR="000A7AAB" w:rsidRPr="002C4077">
        <w:t xml:space="preserve"> </w:t>
      </w:r>
      <w:r w:rsidR="000A7AAB">
        <w:t>et</w:t>
      </w:r>
      <w:r w:rsidR="000A7AAB" w:rsidRPr="002C4077">
        <w:t xml:space="preserve"> </w:t>
      </w:r>
      <w:r w:rsidR="000A7AAB">
        <w:t>qui</w:t>
      </w:r>
      <w:r w:rsidR="000A7AAB" w:rsidRPr="002C4077">
        <w:t xml:space="preserve"> </w:t>
      </w:r>
      <w:r w:rsidR="000A7AAB">
        <w:t>ne</w:t>
      </w:r>
      <w:r w:rsidR="000A7AAB" w:rsidRPr="002C4077">
        <w:t xml:space="preserve"> </w:t>
      </w:r>
      <w:r w:rsidR="000A7AAB">
        <w:t>connaît</w:t>
      </w:r>
      <w:r w:rsidR="000A7AAB" w:rsidRPr="002C4077">
        <w:t xml:space="preserve"> </w:t>
      </w:r>
      <w:r w:rsidR="000A7AAB">
        <w:t>encore</w:t>
      </w:r>
      <w:r w:rsidR="000A7AAB" w:rsidRPr="002C4077">
        <w:t xml:space="preserve"> </w:t>
      </w:r>
      <w:r w:rsidR="000A7AAB">
        <w:t>rien</w:t>
      </w:r>
      <w:r w:rsidR="000A7AAB" w:rsidRPr="002C4077">
        <w:t xml:space="preserve"> </w:t>
      </w:r>
      <w:r w:rsidR="000A7AAB">
        <w:t>du</w:t>
      </w:r>
      <w:r w:rsidR="000A7AAB" w:rsidRPr="002C4077">
        <w:t xml:space="preserve"> </w:t>
      </w:r>
      <w:r w:rsidR="000A7AAB">
        <w:t>monde</w:t>
      </w:r>
      <w:r>
        <w:t> ;</w:t>
      </w:r>
      <w:r w:rsidR="000A7AAB" w:rsidRPr="002C4077">
        <w:t xml:space="preserve"> </w:t>
      </w:r>
      <w:r w:rsidR="000A7AAB">
        <w:t>tant</w:t>
      </w:r>
      <w:r w:rsidR="000A7AAB" w:rsidRPr="002C4077">
        <w:t xml:space="preserve"> </w:t>
      </w:r>
      <w:r w:rsidR="000A7AAB">
        <w:t>j’étais</w:t>
      </w:r>
      <w:r w:rsidR="000A7AAB" w:rsidRPr="002C4077">
        <w:t xml:space="preserve"> </w:t>
      </w:r>
      <w:r w:rsidR="000A7AAB">
        <w:t>ravi</w:t>
      </w:r>
      <w:r w:rsidR="000A7AAB" w:rsidRPr="002C4077">
        <w:t xml:space="preserve"> </w:t>
      </w:r>
      <w:r w:rsidR="000A7AAB">
        <w:t>par</w:t>
      </w:r>
      <w:r w:rsidR="000A7AAB" w:rsidRPr="002C4077">
        <w:t xml:space="preserve"> </w:t>
      </w:r>
      <w:r w:rsidR="000A7AAB">
        <w:t>l’horizon</w:t>
      </w:r>
      <w:r w:rsidR="000A7AAB" w:rsidRPr="002C4077">
        <w:t xml:space="preserve"> </w:t>
      </w:r>
      <w:r w:rsidR="000A7AAB">
        <w:t>du</w:t>
      </w:r>
      <w:r w:rsidR="000A7AAB" w:rsidRPr="002C4077">
        <w:t xml:space="preserve"> </w:t>
      </w:r>
      <w:r w:rsidR="000A7AAB">
        <w:t>Neby</w:t>
      </w:r>
      <w:r w:rsidR="000A7AAB" w:rsidRPr="002C4077">
        <w:t xml:space="preserve"> </w:t>
      </w:r>
      <w:r w:rsidR="000A7AAB">
        <w:t>Ismaïl</w:t>
      </w:r>
      <w:r>
        <w:t> !</w:t>
      </w:r>
      <w:r w:rsidR="000A7AAB">
        <w:t>…</w:t>
      </w:r>
      <w:r w:rsidR="000A7AAB" w:rsidRPr="002C4077">
        <w:t xml:space="preserve"> </w:t>
      </w:r>
      <w:r w:rsidR="000A7AAB">
        <w:t>Quels</w:t>
      </w:r>
      <w:r w:rsidR="000A7AAB" w:rsidRPr="002C4077">
        <w:t xml:space="preserve"> </w:t>
      </w:r>
      <w:r w:rsidR="000A7AAB">
        <w:t>étaient</w:t>
      </w:r>
      <w:r w:rsidR="000A7AAB" w:rsidRPr="002C4077">
        <w:t xml:space="preserve"> </w:t>
      </w:r>
      <w:r w:rsidR="000A7AAB">
        <w:t>les</w:t>
      </w:r>
      <w:r w:rsidR="000A7AAB" w:rsidRPr="002C4077">
        <w:t xml:space="preserve"> </w:t>
      </w:r>
      <w:r w:rsidR="000A7AAB">
        <w:t>sentiments</w:t>
      </w:r>
      <w:r w:rsidR="000A7AAB" w:rsidRPr="002C4077">
        <w:t xml:space="preserve"> </w:t>
      </w:r>
      <w:r w:rsidR="000A7AAB">
        <w:t>de</w:t>
      </w:r>
      <w:r w:rsidR="000A7AAB" w:rsidRPr="002C4077">
        <w:t xml:space="preserve"> </w:t>
      </w:r>
      <w:r w:rsidR="000A7AAB">
        <w:t>mon</w:t>
      </w:r>
      <w:r w:rsidR="000A7AAB" w:rsidRPr="002C4077">
        <w:t xml:space="preserve"> </w:t>
      </w:r>
      <w:r w:rsidR="000A7AAB">
        <w:t>âme</w:t>
      </w:r>
      <w:r w:rsidR="000A7AAB" w:rsidRPr="002C4077">
        <w:t xml:space="preserve"> </w:t>
      </w:r>
      <w:r w:rsidR="000A7AAB">
        <w:t>durant</w:t>
      </w:r>
      <w:r w:rsidR="000A7AAB" w:rsidRPr="002C4077">
        <w:t xml:space="preserve"> </w:t>
      </w:r>
      <w:r w:rsidR="000A7AAB">
        <w:t>cette</w:t>
      </w:r>
      <w:r w:rsidR="000A7AAB" w:rsidRPr="002C4077">
        <w:t xml:space="preserve"> </w:t>
      </w:r>
      <w:r w:rsidR="000A7AAB">
        <w:t>inspection</w:t>
      </w:r>
      <w:r>
        <w:t> ?</w:t>
      </w:r>
      <w:r w:rsidR="000A7AAB" w:rsidRPr="002C4077">
        <w:t xml:space="preserve"> </w:t>
      </w:r>
      <w:r w:rsidR="000A7AAB">
        <w:t>L’admiration</w:t>
      </w:r>
      <w:r w:rsidR="000A7AAB" w:rsidRPr="002C4077">
        <w:t xml:space="preserve"> </w:t>
      </w:r>
      <w:r w:rsidR="000A7AAB">
        <w:t>et</w:t>
      </w:r>
      <w:r w:rsidR="000A7AAB" w:rsidRPr="002C4077">
        <w:t xml:space="preserve"> </w:t>
      </w:r>
      <w:r w:rsidR="000A7AAB">
        <w:t>la</w:t>
      </w:r>
      <w:r w:rsidR="000A7AAB" w:rsidRPr="002C4077">
        <w:t xml:space="preserve"> </w:t>
      </w:r>
      <w:r w:rsidR="000A7AAB">
        <w:t>dévotion</w:t>
      </w:r>
      <w:r w:rsidR="000A7AAB" w:rsidRPr="002C4077">
        <w:t xml:space="preserve"> </w:t>
      </w:r>
      <w:r w:rsidR="000A7AAB">
        <w:t>que</w:t>
      </w:r>
      <w:r w:rsidR="000A7AAB" w:rsidRPr="002C4077">
        <w:t xml:space="preserve"> </w:t>
      </w:r>
      <w:r w:rsidR="000A7AAB">
        <w:t>je</w:t>
      </w:r>
      <w:r w:rsidR="000A7AAB" w:rsidRPr="002C4077">
        <w:t xml:space="preserve"> </w:t>
      </w:r>
      <w:r w:rsidR="000A7AAB">
        <w:t>ressentais</w:t>
      </w:r>
      <w:r w:rsidR="000A7AAB" w:rsidRPr="002C4077">
        <w:t xml:space="preserve"> </w:t>
      </w:r>
      <w:r w:rsidR="000A7AAB">
        <w:t>alors</w:t>
      </w:r>
      <w:r w:rsidR="000A7AAB" w:rsidRPr="002C4077">
        <w:t xml:space="preserve"> </w:t>
      </w:r>
      <w:r w:rsidR="000A7AAB">
        <w:t>n’ont</w:t>
      </w:r>
      <w:r w:rsidR="000A7AAB" w:rsidRPr="002C4077">
        <w:t xml:space="preserve"> </w:t>
      </w:r>
      <w:r w:rsidR="000A7AAB">
        <w:t>pas</w:t>
      </w:r>
      <w:r w:rsidR="000A7AAB" w:rsidRPr="002C4077">
        <w:t xml:space="preserve"> </w:t>
      </w:r>
      <w:r w:rsidR="000A7AAB">
        <w:t>d’expressions</w:t>
      </w:r>
      <w:r w:rsidR="000A7AAB" w:rsidRPr="002C4077">
        <w:t xml:space="preserve"> </w:t>
      </w:r>
      <w:r w:rsidR="000A7AAB">
        <w:t>qui</w:t>
      </w:r>
      <w:r w:rsidR="000A7AAB" w:rsidRPr="002C4077">
        <w:t xml:space="preserve"> </w:t>
      </w:r>
      <w:r w:rsidR="000A7AAB">
        <w:t>puissent</w:t>
      </w:r>
      <w:r w:rsidR="000A7AAB" w:rsidRPr="002C4077">
        <w:t xml:space="preserve"> </w:t>
      </w:r>
      <w:r w:rsidR="000A7AAB">
        <w:t>les</w:t>
      </w:r>
      <w:r w:rsidR="000A7AAB" w:rsidRPr="002C4077">
        <w:t xml:space="preserve"> </w:t>
      </w:r>
      <w:r w:rsidR="000A7AAB">
        <w:t>traduire</w:t>
      </w:r>
      <w:r>
        <w:t> ;</w:t>
      </w:r>
      <w:r w:rsidR="000A7AAB" w:rsidRPr="002C4077">
        <w:t xml:space="preserve"> </w:t>
      </w:r>
      <w:r w:rsidR="000A7AAB">
        <w:t>mais</w:t>
      </w:r>
      <w:r w:rsidR="000A7AAB" w:rsidRPr="002C4077">
        <w:t xml:space="preserve"> </w:t>
      </w:r>
      <w:r w:rsidR="000A7AAB">
        <w:t>un</w:t>
      </w:r>
      <w:r w:rsidR="000A7AAB" w:rsidRPr="002C4077">
        <w:t xml:space="preserve"> </w:t>
      </w:r>
      <w:r w:rsidR="000A7AAB">
        <w:t>psaume</w:t>
      </w:r>
      <w:r w:rsidR="000A7AAB" w:rsidRPr="002C4077">
        <w:t xml:space="preserve"> </w:t>
      </w:r>
      <w:r w:rsidR="000A7AAB">
        <w:t>de</w:t>
      </w:r>
      <w:r w:rsidR="000A7AAB" w:rsidRPr="002C4077">
        <w:t xml:space="preserve"> </w:t>
      </w:r>
      <w:r w:rsidR="000A7AAB">
        <w:t>David</w:t>
      </w:r>
      <w:r w:rsidR="000A7AAB" w:rsidRPr="002C4077">
        <w:t xml:space="preserve"> </w:t>
      </w:r>
      <w:r w:rsidR="000A7AAB">
        <w:t>montait</w:t>
      </w:r>
      <w:r w:rsidR="000A7AAB" w:rsidRPr="002C4077">
        <w:t xml:space="preserve"> </w:t>
      </w:r>
      <w:r w:rsidR="000A7AAB">
        <w:t>à</w:t>
      </w:r>
      <w:r w:rsidR="000A7AAB" w:rsidRPr="002C4077">
        <w:t xml:space="preserve"> </w:t>
      </w:r>
      <w:r w:rsidR="000A7AAB">
        <w:t>mes</w:t>
      </w:r>
      <w:r w:rsidR="000A7AAB" w:rsidRPr="002C4077">
        <w:t xml:space="preserve"> </w:t>
      </w:r>
      <w:r w:rsidR="000A7AAB">
        <w:t>lèvres,</w:t>
      </w:r>
      <w:r w:rsidR="000A7AAB" w:rsidRPr="002C4077">
        <w:t xml:space="preserve"> </w:t>
      </w:r>
      <w:r w:rsidR="000A7AAB">
        <w:t>pour</w:t>
      </w:r>
      <w:r w:rsidR="000A7AAB" w:rsidRPr="002C4077">
        <w:t xml:space="preserve"> </w:t>
      </w:r>
      <w:r w:rsidR="000A7AAB">
        <w:t>retentir</w:t>
      </w:r>
      <w:r w:rsidR="000A7AAB" w:rsidRPr="002C4077">
        <w:t xml:space="preserve"> </w:t>
      </w:r>
      <w:r w:rsidR="000A7AAB">
        <w:t>jusqu’aux</w:t>
      </w:r>
      <w:r w:rsidR="000A7AAB" w:rsidRPr="002C4077">
        <w:t xml:space="preserve"> </w:t>
      </w:r>
      <w:r w:rsidR="000A7AAB">
        <w:t>profondeurs</w:t>
      </w:r>
      <w:r w:rsidR="000A7AAB" w:rsidRPr="002C4077">
        <w:t xml:space="preserve"> </w:t>
      </w:r>
      <w:r w:rsidR="000A7AAB">
        <w:t>de</w:t>
      </w:r>
      <w:r w:rsidR="000A7AAB" w:rsidRPr="002C4077">
        <w:t xml:space="preserve"> </w:t>
      </w:r>
      <w:r w:rsidR="000A7AAB">
        <w:t>l’Océan</w:t>
      </w:r>
      <w:r w:rsidR="000A7AAB" w:rsidRPr="002C4077">
        <w:t xml:space="preserve"> </w:t>
      </w:r>
      <w:r w:rsidR="000A7AAB">
        <w:t>insondable,</w:t>
      </w:r>
      <w:r w:rsidR="000A7AAB" w:rsidRPr="002C4077">
        <w:t xml:space="preserve"> </w:t>
      </w:r>
      <w:r w:rsidR="000A7AAB">
        <w:t>pour</w:t>
      </w:r>
      <w:r w:rsidR="000A7AAB" w:rsidRPr="002C4077">
        <w:t xml:space="preserve"> </w:t>
      </w:r>
      <w:r w:rsidR="000A7AAB">
        <w:t>monter</w:t>
      </w:r>
      <w:r w:rsidR="000A7AAB" w:rsidRPr="002C4077">
        <w:t xml:space="preserve"> </w:t>
      </w:r>
      <w:r w:rsidR="000A7AAB">
        <w:t>jusqu’à</w:t>
      </w:r>
      <w:r w:rsidR="000A7AAB" w:rsidRPr="002C4077">
        <w:t xml:space="preserve"> </w:t>
      </w:r>
      <w:r w:rsidR="000A7AAB">
        <w:t>la</w:t>
      </w:r>
      <w:r w:rsidR="000A7AAB" w:rsidRPr="002C4077">
        <w:t xml:space="preserve"> </w:t>
      </w:r>
      <w:r w:rsidR="000A7AAB">
        <w:t>cime</w:t>
      </w:r>
      <w:r w:rsidR="000A7AAB" w:rsidRPr="002C4077">
        <w:t xml:space="preserve"> </w:t>
      </w:r>
      <w:r w:rsidR="000A7AAB">
        <w:t>neigeuse</w:t>
      </w:r>
      <w:r w:rsidR="000A7AAB" w:rsidRPr="002C4077">
        <w:t xml:space="preserve"> </w:t>
      </w:r>
      <w:r w:rsidR="000A7AAB">
        <w:t>de</w:t>
      </w:r>
      <w:r w:rsidR="000A7AAB" w:rsidRPr="002C4077">
        <w:t xml:space="preserve"> </w:t>
      </w:r>
      <w:r w:rsidR="000A7AAB">
        <w:t>l’Hermon</w:t>
      </w:r>
      <w:r w:rsidR="00B91AF7">
        <w:rPr>
          <w:rStyle w:val="Appelnotedebasdep"/>
        </w:rPr>
        <w:footnoteReference w:id="744"/>
      </w:r>
      <w:r>
        <w:t> »</w:t>
      </w:r>
      <w:r w:rsidR="000A7AAB">
        <w:t>.</w:t>
      </w:r>
      <w:r w:rsidR="000A7AAB" w:rsidRPr="002C4077">
        <w:t xml:space="preserve"> </w:t>
      </w:r>
    </w:p>
    <w:p w:rsidR="000A7AAB" w:rsidRDefault="000A7AAB" w:rsidP="000A7AAB">
      <w:r>
        <w:t>C’est</w:t>
      </w:r>
      <w:r w:rsidRPr="002C4077">
        <w:t xml:space="preserve"> </w:t>
      </w:r>
      <w:r>
        <w:t>à</w:t>
      </w:r>
      <w:r w:rsidRPr="002C4077">
        <w:t xml:space="preserve"> </w:t>
      </w:r>
      <w:r>
        <w:t>regret,</w:t>
      </w:r>
      <w:r w:rsidRPr="002C4077">
        <w:t xml:space="preserve"> </w:t>
      </w:r>
      <w:r>
        <w:t>n’est-il</w:t>
      </w:r>
      <w:r w:rsidRPr="002C4077">
        <w:t xml:space="preserve"> </w:t>
      </w:r>
      <w:r>
        <w:t>pas</w:t>
      </w:r>
      <w:r w:rsidRPr="002C4077">
        <w:t xml:space="preserve"> </w:t>
      </w:r>
      <w:r>
        <w:t>vrai,</w:t>
      </w:r>
      <w:r w:rsidRPr="002C4077">
        <w:t xml:space="preserve"> </w:t>
      </w:r>
      <w:r>
        <w:t>que</w:t>
      </w:r>
      <w:r w:rsidRPr="002C4077">
        <w:t xml:space="preserve"> </w:t>
      </w:r>
      <w:r>
        <w:t>nous</w:t>
      </w:r>
      <w:r w:rsidRPr="002C4077">
        <w:t xml:space="preserve"> </w:t>
      </w:r>
      <w:r>
        <w:t>nous</w:t>
      </w:r>
      <w:r w:rsidRPr="002C4077">
        <w:t xml:space="preserve"> </w:t>
      </w:r>
      <w:r>
        <w:t>arrachons</w:t>
      </w:r>
      <w:r w:rsidRPr="002C4077">
        <w:t xml:space="preserve"> </w:t>
      </w:r>
      <w:r>
        <w:t>à</w:t>
      </w:r>
      <w:r w:rsidRPr="002C4077">
        <w:t xml:space="preserve"> </w:t>
      </w:r>
      <w:r>
        <w:t>ce</w:t>
      </w:r>
      <w:r w:rsidRPr="002C4077">
        <w:t xml:space="preserve"> </w:t>
      </w:r>
      <w:r>
        <w:t>beau</w:t>
      </w:r>
      <w:r w:rsidRPr="002C4077">
        <w:t xml:space="preserve"> </w:t>
      </w:r>
      <w:r>
        <w:t>site.</w:t>
      </w:r>
      <w:r w:rsidRPr="002C4077">
        <w:t xml:space="preserve"> </w:t>
      </w:r>
      <w:r>
        <w:t>Oh</w:t>
      </w:r>
      <w:r w:rsidR="00B546AF">
        <w:t> !</w:t>
      </w:r>
      <w:r w:rsidRPr="002C4077">
        <w:t xml:space="preserve"> </w:t>
      </w:r>
      <w:r>
        <w:t>qu’on</w:t>
      </w:r>
      <w:r w:rsidRPr="002C4077">
        <w:t xml:space="preserve"> </w:t>
      </w:r>
      <w:r>
        <w:t>aimerait</w:t>
      </w:r>
      <w:r w:rsidRPr="002C4077">
        <w:t xml:space="preserve"> </w:t>
      </w:r>
      <w:r>
        <w:t>pouvoir</w:t>
      </w:r>
      <w:r w:rsidRPr="002C4077">
        <w:t xml:space="preserve"> </w:t>
      </w:r>
      <w:r>
        <w:t>y</w:t>
      </w:r>
      <w:r w:rsidRPr="002C4077">
        <w:t xml:space="preserve"> </w:t>
      </w:r>
      <w:r>
        <w:t>revenir</w:t>
      </w:r>
      <w:r w:rsidRPr="002C4077">
        <w:t xml:space="preserve"> </w:t>
      </w:r>
      <w:r>
        <w:t>de</w:t>
      </w:r>
      <w:r w:rsidRPr="002C4077">
        <w:t xml:space="preserve"> </w:t>
      </w:r>
      <w:r>
        <w:t>temps</w:t>
      </w:r>
      <w:r w:rsidRPr="002C4077">
        <w:t xml:space="preserve"> </w:t>
      </w:r>
      <w:r>
        <w:t>à</w:t>
      </w:r>
      <w:r w:rsidRPr="002C4077">
        <w:t xml:space="preserve"> </w:t>
      </w:r>
      <w:r>
        <w:t>autre</w:t>
      </w:r>
      <w:r w:rsidRPr="002C4077">
        <w:t xml:space="preserve"> </w:t>
      </w:r>
      <w:r>
        <w:t>pour</w:t>
      </w:r>
      <w:r w:rsidRPr="002C4077">
        <w:t xml:space="preserve"> </w:t>
      </w:r>
      <w:r>
        <w:t>ranimer</w:t>
      </w:r>
      <w:r w:rsidRPr="002C4077">
        <w:t xml:space="preserve"> </w:t>
      </w:r>
      <w:r>
        <w:t>sa</w:t>
      </w:r>
      <w:r w:rsidRPr="002C4077">
        <w:t xml:space="preserve"> </w:t>
      </w:r>
      <w:r>
        <w:t>foi</w:t>
      </w:r>
      <w:r w:rsidRPr="002C4077">
        <w:t xml:space="preserve"> </w:t>
      </w:r>
      <w:r>
        <w:t>et</w:t>
      </w:r>
      <w:r w:rsidRPr="002C4077">
        <w:t xml:space="preserve"> </w:t>
      </w:r>
      <w:r>
        <w:t>son</w:t>
      </w:r>
      <w:r w:rsidRPr="002C4077">
        <w:t xml:space="preserve"> </w:t>
      </w:r>
      <w:r>
        <w:t>amour</w:t>
      </w:r>
      <w:r w:rsidR="00B546AF">
        <w:t> !</w:t>
      </w:r>
      <w:r w:rsidRPr="002C4077">
        <w:t xml:space="preserve"> </w:t>
      </w:r>
      <w:r>
        <w:t>Allons</w:t>
      </w:r>
      <w:r w:rsidR="00B546AF">
        <w:t> !</w:t>
      </w:r>
      <w:r w:rsidRPr="002C4077">
        <w:t xml:space="preserve"> </w:t>
      </w:r>
      <w:r>
        <w:t>encore</w:t>
      </w:r>
      <w:r w:rsidRPr="002C4077">
        <w:t xml:space="preserve"> </w:t>
      </w:r>
      <w:r>
        <w:t>un</w:t>
      </w:r>
      <w:r w:rsidRPr="002C4077">
        <w:t xml:space="preserve"> </w:t>
      </w:r>
      <w:r>
        <w:t>coup</w:t>
      </w:r>
      <w:r w:rsidRPr="002C4077">
        <w:t xml:space="preserve"> </w:t>
      </w:r>
      <w:r>
        <w:t>d’œil,</w:t>
      </w:r>
      <w:r w:rsidRPr="002C4077">
        <w:t xml:space="preserve"> </w:t>
      </w:r>
      <w:r>
        <w:t>le</w:t>
      </w:r>
      <w:r w:rsidRPr="002C4077">
        <w:t xml:space="preserve"> </w:t>
      </w:r>
      <w:r>
        <w:t>regard</w:t>
      </w:r>
      <w:r w:rsidRPr="002C4077">
        <w:t xml:space="preserve"> </w:t>
      </w:r>
      <w:r>
        <w:t>d’adieu,</w:t>
      </w:r>
      <w:r w:rsidRPr="002C4077">
        <w:t xml:space="preserve"> </w:t>
      </w:r>
      <w:r>
        <w:t>et</w:t>
      </w:r>
      <w:r w:rsidRPr="002C4077">
        <w:t xml:space="preserve"> </w:t>
      </w:r>
      <w:r>
        <w:t>puis</w:t>
      </w:r>
      <w:r w:rsidRPr="002C4077">
        <w:t xml:space="preserve"> </w:t>
      </w:r>
      <w:r>
        <w:t>rentrons</w:t>
      </w:r>
      <w:r w:rsidRPr="002C4077">
        <w:t xml:space="preserve"> </w:t>
      </w:r>
      <w:r>
        <w:t>à</w:t>
      </w:r>
      <w:r w:rsidRPr="002C4077">
        <w:t xml:space="preserve"> </w:t>
      </w:r>
      <w:r>
        <w:t>Nazareth</w:t>
      </w:r>
      <w:r w:rsidRPr="002C4077">
        <w:t xml:space="preserve"> </w:t>
      </w:r>
      <w:r>
        <w:t>en</w:t>
      </w:r>
      <w:r w:rsidRPr="002C4077">
        <w:t xml:space="preserve"> </w:t>
      </w:r>
      <w:r>
        <w:t>côtoyant</w:t>
      </w:r>
      <w:r w:rsidRPr="002C4077">
        <w:t xml:space="preserve"> </w:t>
      </w:r>
      <w:r>
        <w:t>les</w:t>
      </w:r>
      <w:r w:rsidRPr="002C4077">
        <w:t xml:space="preserve"> </w:t>
      </w:r>
      <w:r>
        <w:t>flancs</w:t>
      </w:r>
      <w:r w:rsidRPr="002C4077">
        <w:t xml:space="preserve"> </w:t>
      </w:r>
      <w:r>
        <w:t>rapides</w:t>
      </w:r>
      <w:r w:rsidRPr="002C4077">
        <w:t xml:space="preserve"> </w:t>
      </w:r>
      <w:r>
        <w:t>du</w:t>
      </w:r>
      <w:r w:rsidRPr="002C4077">
        <w:t xml:space="preserve"> </w:t>
      </w:r>
      <w:r>
        <w:t>Neby</w:t>
      </w:r>
      <w:bookmarkStart w:id="568" w:name="z_Nazareth_o9"/>
      <w:bookmarkEnd w:id="568"/>
      <w:r w:rsidRPr="002C4077">
        <w:t xml:space="preserve"> </w:t>
      </w:r>
      <w:r>
        <w:t>Ismaïl.</w:t>
      </w:r>
      <w:r w:rsidRPr="002C4077">
        <w:t xml:space="preserve"> </w:t>
      </w:r>
    </w:p>
    <w:p w:rsidR="006E11E9" w:rsidRDefault="006E11E9" w:rsidP="000A7AAB"/>
    <w:p w:rsidR="000A7AAB" w:rsidRPr="001F5257" w:rsidRDefault="000A7AAB" w:rsidP="000A7AAB">
      <w:r>
        <w:t>Encore</w:t>
      </w:r>
      <w:bookmarkStart w:id="569" w:name="z_Nazareth_o10"/>
      <w:bookmarkEnd w:id="569"/>
      <w:r w:rsidRPr="002C4077">
        <w:t xml:space="preserve"> </w:t>
      </w:r>
      <w:r>
        <w:t>quelques</w:t>
      </w:r>
      <w:r w:rsidRPr="002C4077">
        <w:t xml:space="preserve"> </w:t>
      </w:r>
      <w:r>
        <w:t>mots,</w:t>
      </w:r>
      <w:r w:rsidRPr="002C4077">
        <w:t xml:space="preserve"> </w:t>
      </w:r>
      <w:r>
        <w:t>cher</w:t>
      </w:r>
      <w:r w:rsidRPr="002C4077">
        <w:t xml:space="preserve"> </w:t>
      </w:r>
      <w:r>
        <w:t>lecteur,</w:t>
      </w:r>
      <w:r w:rsidRPr="002C4077">
        <w:t xml:space="preserve"> </w:t>
      </w:r>
      <w:r>
        <w:t>et</w:t>
      </w:r>
      <w:r w:rsidRPr="002C4077">
        <w:t xml:space="preserve"> </w:t>
      </w:r>
      <w:r>
        <w:t>ma</w:t>
      </w:r>
      <w:r w:rsidRPr="002C4077">
        <w:t xml:space="preserve"> </w:t>
      </w:r>
      <w:r>
        <w:t>tâche</w:t>
      </w:r>
      <w:r w:rsidRPr="002C4077">
        <w:t xml:space="preserve"> </w:t>
      </w:r>
      <w:r>
        <w:t>de</w:t>
      </w:r>
      <w:r w:rsidRPr="002C4077">
        <w:t xml:space="preserve"> </w:t>
      </w:r>
      <w:r>
        <w:t>cicérone</w:t>
      </w:r>
      <w:r w:rsidRPr="002C4077">
        <w:t xml:space="preserve"> </w:t>
      </w:r>
      <w:r>
        <w:t>sera</w:t>
      </w:r>
      <w:r w:rsidRPr="002C4077">
        <w:t xml:space="preserve"> </w:t>
      </w:r>
      <w:r>
        <w:t>remplie.</w:t>
      </w:r>
      <w:r w:rsidRPr="002C4077">
        <w:t xml:space="preserve"> </w:t>
      </w:r>
      <w:r>
        <w:t>J’ai</w:t>
      </w:r>
      <w:r w:rsidRPr="002C4077">
        <w:t xml:space="preserve"> </w:t>
      </w:r>
      <w:r>
        <w:t>réservé</w:t>
      </w:r>
      <w:r w:rsidRPr="002C4077">
        <w:t xml:space="preserve"> </w:t>
      </w:r>
      <w:r>
        <w:t>pour</w:t>
      </w:r>
      <w:r w:rsidRPr="002C4077">
        <w:t xml:space="preserve"> </w:t>
      </w:r>
      <w:r>
        <w:t>la</w:t>
      </w:r>
      <w:r w:rsidRPr="002C4077">
        <w:t xml:space="preserve"> </w:t>
      </w:r>
      <w:r>
        <w:t>fin</w:t>
      </w:r>
      <w:r w:rsidRPr="002C4077">
        <w:t xml:space="preserve"> </w:t>
      </w:r>
      <w:r>
        <w:t>de</w:t>
      </w:r>
      <w:r w:rsidRPr="002C4077">
        <w:t xml:space="preserve"> </w:t>
      </w:r>
      <w:r>
        <w:t>ma</w:t>
      </w:r>
      <w:r w:rsidRPr="002C4077">
        <w:t xml:space="preserve"> </w:t>
      </w:r>
      <w:r>
        <w:t>monotone</w:t>
      </w:r>
      <w:r w:rsidRPr="002C4077">
        <w:t xml:space="preserve"> </w:t>
      </w:r>
      <w:r>
        <w:t>leçon</w:t>
      </w:r>
      <w:r w:rsidRPr="002C4077">
        <w:t xml:space="preserve"> </w:t>
      </w:r>
      <w:r>
        <w:t>les</w:t>
      </w:r>
      <w:r w:rsidRPr="002C4077">
        <w:t xml:space="preserve"> </w:t>
      </w:r>
      <w:r>
        <w:t>traits</w:t>
      </w:r>
      <w:r w:rsidRPr="002C4077">
        <w:t xml:space="preserve"> </w:t>
      </w:r>
      <w:r>
        <w:t>les</w:t>
      </w:r>
      <w:r w:rsidRPr="002C4077">
        <w:t xml:space="preserve"> </w:t>
      </w:r>
      <w:r>
        <w:t>plus</w:t>
      </w:r>
      <w:r w:rsidRPr="002C4077">
        <w:t xml:space="preserve"> </w:t>
      </w:r>
      <w:r>
        <w:t>remarquables</w:t>
      </w:r>
      <w:r w:rsidRPr="002C4077">
        <w:t xml:space="preserve"> </w:t>
      </w:r>
      <w:r>
        <w:t>de</w:t>
      </w:r>
      <w:r w:rsidRPr="002C4077">
        <w:t xml:space="preserve"> </w:t>
      </w:r>
      <w:r>
        <w:t>l’histoire</w:t>
      </w:r>
      <w:r w:rsidRPr="002C4077">
        <w:t xml:space="preserve"> </w:t>
      </w:r>
      <w:r>
        <w:t>de</w:t>
      </w:r>
      <w:r w:rsidRPr="002C4077">
        <w:t xml:space="preserve"> </w:t>
      </w:r>
      <w:r>
        <w:t>Nazareth.</w:t>
      </w:r>
      <w:r w:rsidR="00C45B47">
        <w:t xml:space="preserve"> {</w:t>
      </w:r>
      <w:r w:rsidR="001F5257">
        <w:t>235</w:t>
      </w:r>
      <w:bookmarkStart w:id="570" w:name="p235"/>
      <w:bookmarkEnd w:id="570"/>
      <w:r w:rsidR="001F5257">
        <w:t xml:space="preserve">} </w:t>
      </w:r>
    </w:p>
    <w:p w:rsidR="000A7AAB" w:rsidRDefault="000A7AAB" w:rsidP="000A7AAB">
      <w:r>
        <w:t>Depuis</w:t>
      </w:r>
      <w:r w:rsidRPr="002C4077">
        <w:t xml:space="preserve"> </w:t>
      </w:r>
      <w:r>
        <w:t>l’ère</w:t>
      </w:r>
      <w:r w:rsidRPr="002C4077">
        <w:t xml:space="preserve"> </w:t>
      </w:r>
      <w:r>
        <w:t>apostolique</w:t>
      </w:r>
      <w:r w:rsidRPr="002C4077">
        <w:t xml:space="preserve"> </w:t>
      </w:r>
      <w:r>
        <w:t>jusqu’au</w:t>
      </w:r>
      <w:r w:rsidRPr="002C4077">
        <w:t xml:space="preserve"> </w:t>
      </w:r>
      <w:r w:rsidR="007B3C26">
        <w:t>IV</w:t>
      </w:r>
      <w:r w:rsidR="007B3C26" w:rsidRPr="007B3C26">
        <w:rPr>
          <w:vertAlign w:val="superscript"/>
        </w:rPr>
        <w:t>e</w:t>
      </w:r>
      <w:r w:rsidRPr="002C4077">
        <w:t xml:space="preserve"> </w:t>
      </w:r>
      <w:r>
        <w:t>siècle,</w:t>
      </w:r>
      <w:r w:rsidRPr="002C4077">
        <w:t xml:space="preserve"> </w:t>
      </w:r>
      <w:r>
        <w:t>notre</w:t>
      </w:r>
      <w:r w:rsidRPr="002C4077">
        <w:t xml:space="preserve"> </w:t>
      </w:r>
      <w:r>
        <w:t>jolie</w:t>
      </w:r>
      <w:r w:rsidRPr="002C4077">
        <w:t xml:space="preserve"> </w:t>
      </w:r>
      <w:r>
        <w:t>bourgade</w:t>
      </w:r>
      <w:r w:rsidRPr="002C4077">
        <w:t xml:space="preserve"> </w:t>
      </w:r>
      <w:r>
        <w:t>semble</w:t>
      </w:r>
      <w:r w:rsidRPr="002C4077">
        <w:t xml:space="preserve"> </w:t>
      </w:r>
      <w:r>
        <w:t>être</w:t>
      </w:r>
      <w:r w:rsidRPr="002C4077">
        <w:t xml:space="preserve"> </w:t>
      </w:r>
      <w:r>
        <w:t>complètement</w:t>
      </w:r>
      <w:r w:rsidRPr="002C4077">
        <w:t xml:space="preserve"> </w:t>
      </w:r>
      <w:r>
        <w:t>retombée</w:t>
      </w:r>
      <w:r w:rsidRPr="002C4077">
        <w:t xml:space="preserve"> </w:t>
      </w:r>
      <w:r>
        <w:t>dans</w:t>
      </w:r>
      <w:r w:rsidRPr="002C4077">
        <w:t xml:space="preserve"> </w:t>
      </w:r>
      <w:r>
        <w:t>son</w:t>
      </w:r>
      <w:r w:rsidRPr="002C4077">
        <w:t xml:space="preserve"> </w:t>
      </w:r>
      <w:r>
        <w:t>ancienne</w:t>
      </w:r>
      <w:r w:rsidRPr="002C4077">
        <w:t xml:space="preserve"> </w:t>
      </w:r>
      <w:r>
        <w:t>obscurité,</w:t>
      </w:r>
      <w:r w:rsidRPr="002C4077">
        <w:t xml:space="preserve"> </w:t>
      </w:r>
      <w:r>
        <w:t>car</w:t>
      </w:r>
      <w:r w:rsidRPr="002C4077">
        <w:t xml:space="preserve"> </w:t>
      </w:r>
      <w:r>
        <w:t>son</w:t>
      </w:r>
      <w:r w:rsidRPr="002C4077">
        <w:t xml:space="preserve"> </w:t>
      </w:r>
      <w:r>
        <w:t>nom</w:t>
      </w:r>
      <w:r w:rsidRPr="002C4077">
        <w:t xml:space="preserve"> </w:t>
      </w:r>
      <w:r>
        <w:t>cesse</w:t>
      </w:r>
      <w:r w:rsidRPr="002C4077">
        <w:t xml:space="preserve"> </w:t>
      </w:r>
      <w:r>
        <w:t>d’apparaître</w:t>
      </w:r>
      <w:r w:rsidRPr="002C4077">
        <w:t xml:space="preserve"> </w:t>
      </w:r>
      <w:r>
        <w:t>dans</w:t>
      </w:r>
      <w:r w:rsidRPr="002C4077">
        <w:t xml:space="preserve"> </w:t>
      </w:r>
      <w:r>
        <w:t>les</w:t>
      </w:r>
      <w:r w:rsidRPr="002C4077">
        <w:t xml:space="preserve"> </w:t>
      </w:r>
      <w:r>
        <w:t>documents</w:t>
      </w:r>
      <w:r w:rsidRPr="002C4077">
        <w:t xml:space="preserve"> </w:t>
      </w:r>
      <w:r>
        <w:t>ecclésiastiques</w:t>
      </w:r>
      <w:r w:rsidRPr="002C4077">
        <w:t xml:space="preserve"> </w:t>
      </w:r>
      <w:r>
        <w:t>ou</w:t>
      </w:r>
      <w:r w:rsidRPr="002C4077">
        <w:t xml:space="preserve"> </w:t>
      </w:r>
      <w:r>
        <w:t>profanes.</w:t>
      </w:r>
      <w:r w:rsidRPr="002C4077">
        <w:t xml:space="preserve"> </w:t>
      </w:r>
      <w:r>
        <w:t>Toutefois,</w:t>
      </w:r>
      <w:r w:rsidRPr="002C4077">
        <w:t xml:space="preserve"> </w:t>
      </w:r>
      <w:r>
        <w:t>avec</w:t>
      </w:r>
      <w:r w:rsidRPr="002C4077">
        <w:t xml:space="preserve"> </w:t>
      </w:r>
      <w:r>
        <w:t>saint</w:t>
      </w:r>
      <w:r w:rsidRPr="002C4077">
        <w:t xml:space="preserve"> </w:t>
      </w:r>
      <w:r>
        <w:t>Épiphane</w:t>
      </w:r>
      <w:r w:rsidR="00B91AF7">
        <w:rPr>
          <w:rStyle w:val="Appelnotedebasdep"/>
        </w:rPr>
        <w:footnoteReference w:id="745"/>
      </w:r>
      <w:r>
        <w:t>,</w:t>
      </w:r>
      <w:r w:rsidRPr="002C4077">
        <w:t xml:space="preserve"> </w:t>
      </w:r>
      <w:r>
        <w:t>Eusèbe</w:t>
      </w:r>
      <w:r w:rsidRPr="002C4077">
        <w:t xml:space="preserve"> </w:t>
      </w:r>
      <w:r>
        <w:t>de</w:t>
      </w:r>
      <w:r w:rsidRPr="002C4077">
        <w:t xml:space="preserve"> </w:t>
      </w:r>
      <w:r>
        <w:t>Césarée</w:t>
      </w:r>
      <w:r w:rsidR="00B91AF7">
        <w:rPr>
          <w:rStyle w:val="Appelnotedebasdep"/>
        </w:rPr>
        <w:footnoteReference w:id="746"/>
      </w:r>
      <w:r>
        <w:t>,</w:t>
      </w:r>
      <w:r w:rsidRPr="002C4077">
        <w:t xml:space="preserve"> </w:t>
      </w:r>
      <w:r>
        <w:t>saint</w:t>
      </w:r>
      <w:r w:rsidRPr="002C4077">
        <w:t xml:space="preserve"> </w:t>
      </w:r>
      <w:r>
        <w:t>Jérôme,</w:t>
      </w:r>
      <w:r w:rsidRPr="002C4077">
        <w:t xml:space="preserve"> </w:t>
      </w:r>
      <w:r>
        <w:t>elle</w:t>
      </w:r>
      <w:r w:rsidRPr="002C4077">
        <w:t xml:space="preserve"> </w:t>
      </w:r>
      <w:r>
        <w:t>sort</w:t>
      </w:r>
      <w:r w:rsidRPr="002C4077">
        <w:t xml:space="preserve"> </w:t>
      </w:r>
      <w:r>
        <w:t>une</w:t>
      </w:r>
      <w:r w:rsidRPr="002C4077">
        <w:t xml:space="preserve"> </w:t>
      </w:r>
      <w:r>
        <w:t>seconde</w:t>
      </w:r>
      <w:r w:rsidRPr="002C4077">
        <w:t xml:space="preserve"> </w:t>
      </w:r>
      <w:r>
        <w:t>fois</w:t>
      </w:r>
      <w:r w:rsidRPr="002C4077">
        <w:t xml:space="preserve"> </w:t>
      </w:r>
      <w:r>
        <w:t>de</w:t>
      </w:r>
      <w:r w:rsidRPr="002C4077">
        <w:t xml:space="preserve"> </w:t>
      </w:r>
      <w:r>
        <w:t>l’oubli,</w:t>
      </w:r>
      <w:r w:rsidRPr="002C4077">
        <w:t xml:space="preserve"> </w:t>
      </w:r>
      <w:r>
        <w:t>puisque</w:t>
      </w:r>
      <w:r w:rsidRPr="002C4077">
        <w:t xml:space="preserve"> </w:t>
      </w:r>
      <w:r>
        <w:t>ces</w:t>
      </w:r>
      <w:r w:rsidRPr="002C4077">
        <w:t xml:space="preserve"> </w:t>
      </w:r>
      <w:r>
        <w:t>écrivains</w:t>
      </w:r>
      <w:r w:rsidRPr="002C4077">
        <w:t xml:space="preserve"> </w:t>
      </w:r>
      <w:r>
        <w:t>la</w:t>
      </w:r>
      <w:r w:rsidRPr="002C4077">
        <w:t xml:space="preserve"> </w:t>
      </w:r>
      <w:r>
        <w:t>mentionnent</w:t>
      </w:r>
      <w:r w:rsidRPr="002C4077">
        <w:t xml:space="preserve"> </w:t>
      </w:r>
      <w:r>
        <w:t>de</w:t>
      </w:r>
      <w:r w:rsidRPr="002C4077">
        <w:t xml:space="preserve"> </w:t>
      </w:r>
      <w:r>
        <w:t>manière</w:t>
      </w:r>
      <w:r w:rsidRPr="002C4077">
        <w:t xml:space="preserve"> </w:t>
      </w:r>
      <w:r>
        <w:t>à</w:t>
      </w:r>
      <w:r w:rsidRPr="002C4077">
        <w:t xml:space="preserve"> </w:t>
      </w:r>
      <w:r>
        <w:t>montrer</w:t>
      </w:r>
      <w:r w:rsidRPr="002C4077">
        <w:t xml:space="preserve"> </w:t>
      </w:r>
      <w:r>
        <w:t>que</w:t>
      </w:r>
      <w:r w:rsidRPr="002C4077">
        <w:t xml:space="preserve"> </w:t>
      </w:r>
      <w:r>
        <w:t>leurs</w:t>
      </w:r>
      <w:r w:rsidRPr="002C4077">
        <w:t xml:space="preserve"> </w:t>
      </w:r>
      <w:r>
        <w:t>contemporains</w:t>
      </w:r>
      <w:r w:rsidRPr="002C4077">
        <w:t xml:space="preserve"> </w:t>
      </w:r>
      <w:r>
        <w:t>aimaient</w:t>
      </w:r>
      <w:r w:rsidRPr="002C4077">
        <w:t xml:space="preserve"> </w:t>
      </w:r>
      <w:r>
        <w:t>à</w:t>
      </w:r>
      <w:r w:rsidRPr="002C4077">
        <w:t xml:space="preserve"> </w:t>
      </w:r>
      <w:r>
        <w:t>y</w:t>
      </w:r>
      <w:r w:rsidRPr="002C4077">
        <w:t xml:space="preserve"> </w:t>
      </w:r>
      <w:r>
        <w:t>faire</w:t>
      </w:r>
      <w:r w:rsidRPr="002C4077">
        <w:t xml:space="preserve"> </w:t>
      </w:r>
      <w:r>
        <w:t>parfois</w:t>
      </w:r>
      <w:r w:rsidRPr="002C4077">
        <w:t xml:space="preserve"> </w:t>
      </w:r>
      <w:r>
        <w:t>de</w:t>
      </w:r>
      <w:r w:rsidRPr="002C4077">
        <w:t xml:space="preserve"> </w:t>
      </w:r>
      <w:r>
        <w:t>pieux</w:t>
      </w:r>
      <w:r w:rsidRPr="002C4077">
        <w:t xml:space="preserve"> </w:t>
      </w:r>
      <w:r>
        <w:t>pèlerinages.</w:t>
      </w:r>
      <w:r w:rsidRPr="002C4077">
        <w:t xml:space="preserve"> </w:t>
      </w:r>
      <w:r>
        <w:t>C’est</w:t>
      </w:r>
      <w:r w:rsidRPr="002C4077">
        <w:t xml:space="preserve"> </w:t>
      </w:r>
      <w:r>
        <w:t>ainsi</w:t>
      </w:r>
      <w:r w:rsidRPr="002C4077">
        <w:t xml:space="preserve"> </w:t>
      </w:r>
      <w:r>
        <w:t>que</w:t>
      </w:r>
      <w:r w:rsidRPr="002C4077">
        <w:t xml:space="preserve"> </w:t>
      </w:r>
      <w:r>
        <w:t>saint</w:t>
      </w:r>
      <w:r w:rsidRPr="002C4077">
        <w:t xml:space="preserve"> </w:t>
      </w:r>
      <w:r>
        <w:t>Jérôme,</w:t>
      </w:r>
      <w:r w:rsidRPr="002C4077">
        <w:t xml:space="preserve"> </w:t>
      </w:r>
      <w:r>
        <w:t>parlant</w:t>
      </w:r>
      <w:r w:rsidRPr="002C4077">
        <w:t xml:space="preserve"> </w:t>
      </w:r>
      <w:r>
        <w:t>de</w:t>
      </w:r>
      <w:r w:rsidRPr="002C4077">
        <w:t xml:space="preserve"> </w:t>
      </w:r>
      <w:r>
        <w:t>sainte</w:t>
      </w:r>
      <w:r w:rsidRPr="002C4077">
        <w:t xml:space="preserve"> </w:t>
      </w:r>
      <w:r>
        <w:t>Paule</w:t>
      </w:r>
      <w:r w:rsidR="006F72A8">
        <w:rPr>
          <w:rStyle w:val="Appelnotedebasdep"/>
        </w:rPr>
        <w:footnoteReference w:id="747"/>
      </w:r>
      <w:r>
        <w:t>,</w:t>
      </w:r>
      <w:r w:rsidRPr="002C4077">
        <w:t xml:space="preserve"> </w:t>
      </w:r>
      <w:r>
        <w:t>dit</w:t>
      </w:r>
      <w:r w:rsidRPr="002C4077">
        <w:t xml:space="preserve"> </w:t>
      </w:r>
      <w:r>
        <w:t>qu’elle</w:t>
      </w:r>
      <w:r w:rsidRPr="002C4077">
        <w:t xml:space="preserve"> </w:t>
      </w:r>
      <w:r w:rsidR="00B546AF">
        <w:t>« </w:t>
      </w:r>
      <w:r>
        <w:t>se</w:t>
      </w:r>
      <w:r w:rsidRPr="002C4077">
        <w:t xml:space="preserve"> </w:t>
      </w:r>
      <w:r>
        <w:t>rendit</w:t>
      </w:r>
      <w:r w:rsidRPr="002C4077">
        <w:t xml:space="preserve"> </w:t>
      </w:r>
      <w:r>
        <w:t>à</w:t>
      </w:r>
      <w:r w:rsidRPr="002C4077">
        <w:t xml:space="preserve"> </w:t>
      </w:r>
      <w:r>
        <w:t>Nazareth,</w:t>
      </w:r>
      <w:r w:rsidRPr="002C4077">
        <w:t xml:space="preserve"> </w:t>
      </w:r>
      <w:r>
        <w:t>où</w:t>
      </w:r>
      <w:r w:rsidRPr="002C4077">
        <w:t xml:space="preserve"> </w:t>
      </w:r>
      <w:r>
        <w:t>le</w:t>
      </w:r>
      <w:r w:rsidRPr="002C4077">
        <w:t xml:space="preserve"> </w:t>
      </w:r>
      <w:r>
        <w:t>Seigneur</w:t>
      </w:r>
      <w:r w:rsidRPr="002C4077">
        <w:t xml:space="preserve"> </w:t>
      </w:r>
      <w:r>
        <w:t>avait</w:t>
      </w:r>
      <w:r w:rsidRPr="002C4077">
        <w:t xml:space="preserve"> </w:t>
      </w:r>
      <w:r>
        <w:t>été</w:t>
      </w:r>
      <w:r w:rsidRPr="002C4077">
        <w:t xml:space="preserve"> </w:t>
      </w:r>
      <w:r>
        <w:t>élevé</w:t>
      </w:r>
      <w:r w:rsidR="00B546AF">
        <w:t> »</w:t>
      </w:r>
      <w:r>
        <w:t>.</w:t>
      </w:r>
      <w:r w:rsidRPr="002C4077">
        <w:t xml:space="preserve"> </w:t>
      </w:r>
      <w:r>
        <w:t>Depuis</w:t>
      </w:r>
      <w:r w:rsidRPr="002C4077">
        <w:t xml:space="preserve"> </w:t>
      </w:r>
      <w:r>
        <w:t>lors,</w:t>
      </w:r>
      <w:r w:rsidRPr="002C4077">
        <w:t xml:space="preserve"> </w:t>
      </w:r>
      <w:r>
        <w:t>presque</w:t>
      </w:r>
      <w:r w:rsidRPr="002C4077">
        <w:t xml:space="preserve"> </w:t>
      </w:r>
      <w:r>
        <w:t>tous</w:t>
      </w:r>
      <w:r w:rsidRPr="002C4077">
        <w:t xml:space="preserve"> </w:t>
      </w:r>
      <w:r>
        <w:t>les</w:t>
      </w:r>
      <w:r w:rsidRPr="002C4077">
        <w:t xml:space="preserve"> </w:t>
      </w:r>
      <w:r>
        <w:t>anciens</w:t>
      </w:r>
      <w:r w:rsidRPr="002C4077">
        <w:t xml:space="preserve"> </w:t>
      </w:r>
      <w:r>
        <w:t>pèlerins</w:t>
      </w:r>
      <w:r w:rsidRPr="002C4077">
        <w:t xml:space="preserve"> </w:t>
      </w:r>
      <w:r>
        <w:t>la</w:t>
      </w:r>
      <w:r w:rsidRPr="002C4077">
        <w:t xml:space="preserve"> </w:t>
      </w:r>
      <w:r>
        <w:t>signalent</w:t>
      </w:r>
      <w:r w:rsidR="00B546AF">
        <w:t> :</w:t>
      </w:r>
      <w:r w:rsidRPr="002C4077">
        <w:t xml:space="preserve"> </w:t>
      </w:r>
      <w:r>
        <w:t>par</w:t>
      </w:r>
      <w:r w:rsidRPr="002C4077">
        <w:t xml:space="preserve"> </w:t>
      </w:r>
      <w:r>
        <w:t>exemple,</w:t>
      </w:r>
      <w:r w:rsidRPr="002C4077">
        <w:t xml:space="preserve"> </w:t>
      </w:r>
      <w:r>
        <w:t>saint</w:t>
      </w:r>
      <w:r w:rsidRPr="002C4077">
        <w:t xml:space="preserve"> </w:t>
      </w:r>
      <w:r>
        <w:t>A</w:t>
      </w:r>
      <w:r w:rsidR="001730C6">
        <w:t>nt</w:t>
      </w:r>
      <w:r>
        <w:t>onin</w:t>
      </w:r>
      <w:r w:rsidRPr="002C4077">
        <w:t xml:space="preserve"> </w:t>
      </w:r>
      <w:r>
        <w:t>au</w:t>
      </w:r>
      <w:r w:rsidRPr="002C4077">
        <w:t xml:space="preserve"> </w:t>
      </w:r>
      <w:r w:rsidR="007B3C26">
        <w:t>VI</w:t>
      </w:r>
      <w:r w:rsidR="007B3C26" w:rsidRPr="007B3C26">
        <w:rPr>
          <w:vertAlign w:val="superscript"/>
        </w:rPr>
        <w:t>e</w:t>
      </w:r>
      <w:r w:rsidRPr="002C4077">
        <w:t xml:space="preserve"> </w:t>
      </w:r>
      <w:r>
        <w:t>siècle,</w:t>
      </w:r>
      <w:r w:rsidRPr="002C4077">
        <w:t xml:space="preserve"> </w:t>
      </w:r>
      <w:r>
        <w:t>Arculf</w:t>
      </w:r>
      <w:r w:rsidRPr="002C4077">
        <w:t xml:space="preserve"> </w:t>
      </w:r>
      <w:r>
        <w:t>au</w:t>
      </w:r>
      <w:r w:rsidRPr="002C4077">
        <w:t xml:space="preserve"> </w:t>
      </w:r>
      <w:r>
        <w:t>V</w:t>
      </w:r>
      <w:r w:rsidR="007B3C26">
        <w:t>II</w:t>
      </w:r>
      <w:r w:rsidR="007B3C26" w:rsidRPr="007B3C26">
        <w:rPr>
          <w:vertAlign w:val="superscript"/>
        </w:rPr>
        <w:t>e</w:t>
      </w:r>
      <w:r>
        <w:t>,</w:t>
      </w:r>
      <w:r w:rsidRPr="002C4077">
        <w:t xml:space="preserve"> </w:t>
      </w:r>
      <w:r>
        <w:t>saint</w:t>
      </w:r>
      <w:r w:rsidRPr="002C4077">
        <w:t xml:space="preserve"> </w:t>
      </w:r>
      <w:r>
        <w:t>Willibald</w:t>
      </w:r>
      <w:r w:rsidRPr="002C4077">
        <w:t xml:space="preserve"> </w:t>
      </w:r>
      <w:r>
        <w:t>au</w:t>
      </w:r>
      <w:r w:rsidRPr="002C4077">
        <w:t xml:space="preserve"> </w:t>
      </w:r>
      <w:r w:rsidR="00242610">
        <w:t>VIIIe</w:t>
      </w:r>
      <w:r>
        <w:t>.</w:t>
      </w:r>
      <w:r w:rsidRPr="002C4077">
        <w:t xml:space="preserve"> </w:t>
      </w:r>
      <w:r>
        <w:t>Ces</w:t>
      </w:r>
      <w:r w:rsidRPr="002C4077">
        <w:t xml:space="preserve"> </w:t>
      </w:r>
      <w:r>
        <w:t>deux</w:t>
      </w:r>
      <w:r w:rsidRPr="002C4077">
        <w:t xml:space="preserve"> </w:t>
      </w:r>
      <w:r>
        <w:t>derniers</w:t>
      </w:r>
      <w:r w:rsidRPr="002C4077">
        <w:t xml:space="preserve"> </w:t>
      </w:r>
      <w:r>
        <w:t>y</w:t>
      </w:r>
      <w:r w:rsidRPr="002C4077">
        <w:t xml:space="preserve"> </w:t>
      </w:r>
      <w:r>
        <w:t>trouvèrent</w:t>
      </w:r>
      <w:r w:rsidRPr="002C4077">
        <w:t xml:space="preserve"> </w:t>
      </w:r>
      <w:r>
        <w:t>des</w:t>
      </w:r>
      <w:r w:rsidRPr="002C4077">
        <w:t xml:space="preserve"> </w:t>
      </w:r>
      <w:r>
        <w:t>églises</w:t>
      </w:r>
      <w:r w:rsidRPr="002C4077">
        <w:t xml:space="preserve"> </w:t>
      </w:r>
      <w:r>
        <w:t>construites</w:t>
      </w:r>
      <w:r w:rsidRPr="002C4077">
        <w:t xml:space="preserve"> </w:t>
      </w:r>
      <w:r>
        <w:t>sur</w:t>
      </w:r>
      <w:r w:rsidRPr="002C4077">
        <w:t xml:space="preserve"> </w:t>
      </w:r>
      <w:r>
        <w:t>la</w:t>
      </w:r>
      <w:r w:rsidRPr="002C4077">
        <w:t xml:space="preserve"> </w:t>
      </w:r>
      <w:r>
        <w:t>fontaine</w:t>
      </w:r>
      <w:r w:rsidRPr="002C4077">
        <w:t xml:space="preserve"> </w:t>
      </w:r>
      <w:r>
        <w:t>des</w:t>
      </w:r>
      <w:r w:rsidRPr="002C4077">
        <w:t xml:space="preserve"> </w:t>
      </w:r>
      <w:r>
        <w:t>Grecs</w:t>
      </w:r>
      <w:r w:rsidRPr="002C4077">
        <w:t xml:space="preserve"> </w:t>
      </w:r>
      <w:r>
        <w:t>et</w:t>
      </w:r>
      <w:r w:rsidRPr="002C4077">
        <w:t xml:space="preserve"> </w:t>
      </w:r>
      <w:r>
        <w:t>sur</w:t>
      </w:r>
      <w:r w:rsidRPr="002C4077">
        <w:t xml:space="preserve"> </w:t>
      </w:r>
      <w:r>
        <w:t>la</w:t>
      </w:r>
      <w:r w:rsidRPr="002C4077">
        <w:t xml:space="preserve"> </w:t>
      </w:r>
      <w:r>
        <w:t>maison</w:t>
      </w:r>
      <w:r w:rsidRPr="002C4077">
        <w:t xml:space="preserve"> </w:t>
      </w:r>
      <w:r>
        <w:t>de</w:t>
      </w:r>
      <w:r w:rsidRPr="002C4077">
        <w:t xml:space="preserve"> </w:t>
      </w:r>
      <w:r>
        <w:t>Marie.</w:t>
      </w:r>
      <w:r w:rsidRPr="002C4077">
        <w:t xml:space="preserve"> </w:t>
      </w:r>
    </w:p>
    <w:p w:rsidR="000A7AAB" w:rsidRDefault="000A7AAB" w:rsidP="000A7AAB">
      <w:r>
        <w:t>La</w:t>
      </w:r>
      <w:r w:rsidRPr="002C4077">
        <w:t xml:space="preserve"> </w:t>
      </w:r>
      <w:r>
        <w:t>ville</w:t>
      </w:r>
      <w:r w:rsidRPr="002C4077">
        <w:t xml:space="preserve"> </w:t>
      </w:r>
      <w:r>
        <w:t>fut</w:t>
      </w:r>
      <w:r w:rsidRPr="002C4077">
        <w:t xml:space="preserve"> </w:t>
      </w:r>
      <w:r>
        <w:t>horriblement</w:t>
      </w:r>
      <w:r w:rsidRPr="002C4077">
        <w:t xml:space="preserve"> </w:t>
      </w:r>
      <w:r>
        <w:t>ravagée</w:t>
      </w:r>
      <w:r w:rsidRPr="002C4077">
        <w:t xml:space="preserve"> </w:t>
      </w:r>
      <w:r>
        <w:t>par</w:t>
      </w:r>
      <w:r w:rsidRPr="002C4077">
        <w:t xml:space="preserve"> </w:t>
      </w:r>
      <w:r>
        <w:t>les</w:t>
      </w:r>
      <w:r w:rsidRPr="002C4077">
        <w:t xml:space="preserve"> </w:t>
      </w:r>
      <w:r>
        <w:t>Sarrasins</w:t>
      </w:r>
      <w:r w:rsidRPr="002C4077">
        <w:t xml:space="preserve"> </w:t>
      </w:r>
      <w:r>
        <w:t>en</w:t>
      </w:r>
      <w:r w:rsidRPr="002C4077">
        <w:t xml:space="preserve"> </w:t>
      </w:r>
      <w:r>
        <w:t>1103.</w:t>
      </w:r>
      <w:r w:rsidRPr="002C4077">
        <w:t xml:space="preserve"> </w:t>
      </w:r>
      <w:r>
        <w:t>Tancrède,</w:t>
      </w:r>
      <w:r w:rsidRPr="002C4077">
        <w:t xml:space="preserve"> </w:t>
      </w:r>
      <w:r>
        <w:t>à</w:t>
      </w:r>
      <w:r w:rsidRPr="002C4077">
        <w:t xml:space="preserve"> </w:t>
      </w:r>
      <w:r>
        <w:t>qui</w:t>
      </w:r>
      <w:r w:rsidRPr="002C4077">
        <w:t xml:space="preserve"> </w:t>
      </w:r>
      <w:r>
        <w:t>Godefroi</w:t>
      </w:r>
      <w:r w:rsidRPr="002C4077">
        <w:t xml:space="preserve"> </w:t>
      </w:r>
      <w:r>
        <w:t>de</w:t>
      </w:r>
      <w:r w:rsidRPr="002C4077">
        <w:t xml:space="preserve"> </w:t>
      </w:r>
      <w:r>
        <w:t>Bouillon</w:t>
      </w:r>
      <w:r w:rsidRPr="002C4077">
        <w:t xml:space="preserve"> </w:t>
      </w:r>
      <w:r>
        <w:t>la</w:t>
      </w:r>
      <w:r w:rsidRPr="002C4077">
        <w:t xml:space="preserve"> </w:t>
      </w:r>
      <w:r>
        <w:t>donna</w:t>
      </w:r>
      <w:r w:rsidRPr="002C4077">
        <w:t xml:space="preserve"> </w:t>
      </w:r>
      <w:r>
        <w:t>en</w:t>
      </w:r>
      <w:r w:rsidRPr="002C4077">
        <w:t xml:space="preserve"> </w:t>
      </w:r>
      <w:r>
        <w:t>fief</w:t>
      </w:r>
      <w:r w:rsidRPr="002C4077">
        <w:t xml:space="preserve"> </w:t>
      </w:r>
      <w:r>
        <w:t>avec</w:t>
      </w:r>
      <w:r w:rsidRPr="002C4077">
        <w:t xml:space="preserve"> </w:t>
      </w:r>
      <w:r>
        <w:t>le</w:t>
      </w:r>
      <w:r w:rsidRPr="002C4077">
        <w:t xml:space="preserve"> </w:t>
      </w:r>
      <w:r>
        <w:t>reste</w:t>
      </w:r>
      <w:r w:rsidRPr="002C4077">
        <w:t xml:space="preserve"> </w:t>
      </w:r>
      <w:r>
        <w:t>de</w:t>
      </w:r>
      <w:r w:rsidRPr="002C4077">
        <w:t xml:space="preserve"> </w:t>
      </w:r>
      <w:r>
        <w:t>la</w:t>
      </w:r>
      <w:r w:rsidRPr="002C4077">
        <w:t xml:space="preserve"> </w:t>
      </w:r>
      <w:r>
        <w:t>Galilée</w:t>
      </w:r>
      <w:r w:rsidRPr="002C4077">
        <w:t xml:space="preserve"> </w:t>
      </w:r>
      <w:r>
        <w:t>après</w:t>
      </w:r>
      <w:r w:rsidRPr="002C4077">
        <w:t xml:space="preserve"> </w:t>
      </w:r>
      <w:r>
        <w:t>la</w:t>
      </w:r>
      <w:r w:rsidRPr="002C4077">
        <w:t xml:space="preserve"> </w:t>
      </w:r>
      <w:r>
        <w:t>prise</w:t>
      </w:r>
      <w:r w:rsidRPr="002C4077">
        <w:t xml:space="preserve"> </w:t>
      </w:r>
      <w:r>
        <w:t>de</w:t>
      </w:r>
      <w:r w:rsidRPr="002C4077">
        <w:t xml:space="preserve"> </w:t>
      </w:r>
      <w:r>
        <w:t>Jérusalem</w:t>
      </w:r>
      <w:r w:rsidRPr="002C4077">
        <w:t xml:space="preserve"> </w:t>
      </w:r>
      <w:r>
        <w:t>par</w:t>
      </w:r>
      <w:r w:rsidRPr="002C4077">
        <w:t xml:space="preserve"> </w:t>
      </w:r>
      <w:r>
        <w:t>les</w:t>
      </w:r>
      <w:r w:rsidRPr="002C4077">
        <w:t xml:space="preserve"> </w:t>
      </w:r>
      <w:r>
        <w:t>Croisés,</w:t>
      </w:r>
      <w:r w:rsidRPr="002C4077">
        <w:t xml:space="preserve"> </w:t>
      </w:r>
      <w:r>
        <w:t>mit</w:t>
      </w:r>
      <w:r w:rsidRPr="002C4077">
        <w:t xml:space="preserve"> </w:t>
      </w:r>
      <w:r>
        <w:t>tous</w:t>
      </w:r>
      <w:r w:rsidRPr="002C4077">
        <w:t xml:space="preserve"> </w:t>
      </w:r>
      <w:r>
        <w:t>ses</w:t>
      </w:r>
      <w:r w:rsidRPr="002C4077">
        <w:t xml:space="preserve"> </w:t>
      </w:r>
      <w:r>
        <w:t>soins</w:t>
      </w:r>
      <w:r w:rsidRPr="002C4077">
        <w:t xml:space="preserve"> </w:t>
      </w:r>
      <w:r>
        <w:t>à</w:t>
      </w:r>
      <w:r w:rsidRPr="002C4077">
        <w:t xml:space="preserve"> </w:t>
      </w:r>
      <w:r>
        <w:t>la</w:t>
      </w:r>
      <w:r w:rsidRPr="002C4077">
        <w:t xml:space="preserve"> </w:t>
      </w:r>
      <w:r>
        <w:t>rebâtir,</w:t>
      </w:r>
      <w:r w:rsidRPr="002C4077">
        <w:t xml:space="preserve"> </w:t>
      </w:r>
      <w:r>
        <w:t>et</w:t>
      </w:r>
      <w:r w:rsidRPr="002C4077">
        <w:t xml:space="preserve"> </w:t>
      </w:r>
      <w:r>
        <w:t>dès</w:t>
      </w:r>
      <w:r w:rsidRPr="002C4077">
        <w:t xml:space="preserve"> </w:t>
      </w:r>
      <w:r>
        <w:t>lors</w:t>
      </w:r>
      <w:r w:rsidRPr="002C4077">
        <w:t xml:space="preserve"> </w:t>
      </w:r>
      <w:r>
        <w:t>commença</w:t>
      </w:r>
      <w:r w:rsidRPr="002C4077">
        <w:t xml:space="preserve"> </w:t>
      </w:r>
      <w:r>
        <w:t>pour</w:t>
      </w:r>
      <w:r w:rsidRPr="002C4077">
        <w:t xml:space="preserve"> </w:t>
      </w:r>
      <w:r>
        <w:t>elle</w:t>
      </w:r>
      <w:r w:rsidRPr="002C4077">
        <w:t xml:space="preserve"> </w:t>
      </w:r>
      <w:r>
        <w:t>une</w:t>
      </w:r>
      <w:r w:rsidRPr="002C4077">
        <w:t xml:space="preserve"> </w:t>
      </w:r>
      <w:r>
        <w:t>ère</w:t>
      </w:r>
      <w:r w:rsidRPr="002C4077">
        <w:t xml:space="preserve"> </w:t>
      </w:r>
      <w:r>
        <w:t>de</w:t>
      </w:r>
      <w:r w:rsidRPr="002C4077">
        <w:t xml:space="preserve"> </w:t>
      </w:r>
      <w:r>
        <w:t>grande</w:t>
      </w:r>
      <w:r w:rsidRPr="002C4077">
        <w:t xml:space="preserve"> </w:t>
      </w:r>
      <w:r>
        <w:t>prospérité.</w:t>
      </w:r>
      <w:r w:rsidRPr="002C4077">
        <w:t xml:space="preserve"> </w:t>
      </w:r>
      <w:r>
        <w:t>Elle</w:t>
      </w:r>
      <w:r w:rsidRPr="002C4077">
        <w:t xml:space="preserve"> </w:t>
      </w:r>
      <w:r>
        <w:t>devint</w:t>
      </w:r>
      <w:r w:rsidRPr="002C4077">
        <w:t xml:space="preserve"> </w:t>
      </w:r>
      <w:r>
        <w:t>le</w:t>
      </w:r>
      <w:r w:rsidRPr="002C4077">
        <w:t xml:space="preserve"> </w:t>
      </w:r>
      <w:r>
        <w:t>siège</w:t>
      </w:r>
      <w:r w:rsidRPr="002C4077">
        <w:t xml:space="preserve"> </w:t>
      </w:r>
      <w:r>
        <w:t>d’un</w:t>
      </w:r>
      <w:r w:rsidRPr="002C4077">
        <w:t xml:space="preserve"> </w:t>
      </w:r>
      <w:r>
        <w:t>archevêché</w:t>
      </w:r>
      <w:r w:rsidRPr="002C4077">
        <w:t xml:space="preserve"> </w:t>
      </w:r>
      <w:r>
        <w:t>et</w:t>
      </w:r>
      <w:r w:rsidRPr="002C4077">
        <w:t xml:space="preserve"> </w:t>
      </w:r>
      <w:r>
        <w:t>vit</w:t>
      </w:r>
      <w:r w:rsidRPr="002C4077">
        <w:t xml:space="preserve"> </w:t>
      </w:r>
      <w:r>
        <w:t>reconstruire</w:t>
      </w:r>
      <w:r w:rsidRPr="002C4077">
        <w:t xml:space="preserve"> </w:t>
      </w:r>
      <w:r>
        <w:t>ses</w:t>
      </w:r>
      <w:r w:rsidRPr="002C4077">
        <w:t xml:space="preserve"> </w:t>
      </w:r>
      <w:r>
        <w:t>églises,</w:t>
      </w:r>
      <w:r w:rsidRPr="002C4077">
        <w:t xml:space="preserve"> </w:t>
      </w:r>
      <w:r>
        <w:t>que</w:t>
      </w:r>
      <w:r w:rsidRPr="002C4077">
        <w:t xml:space="preserve"> </w:t>
      </w:r>
      <w:r>
        <w:t>les</w:t>
      </w:r>
      <w:r w:rsidRPr="002C4077">
        <w:t xml:space="preserve"> </w:t>
      </w:r>
      <w:r>
        <w:t>musulmans</w:t>
      </w:r>
      <w:r w:rsidRPr="002C4077">
        <w:t xml:space="preserve"> </w:t>
      </w:r>
      <w:r>
        <w:t>avaient</w:t>
      </w:r>
      <w:r w:rsidRPr="002C4077">
        <w:t xml:space="preserve"> </w:t>
      </w:r>
      <w:r>
        <w:t>détruites.</w:t>
      </w:r>
      <w:r w:rsidRPr="002C4077">
        <w:t xml:space="preserve"> </w:t>
      </w:r>
      <w:r>
        <w:t>Malheureusement,</w:t>
      </w:r>
      <w:r w:rsidRPr="002C4077">
        <w:t xml:space="preserve"> </w:t>
      </w:r>
      <w:r>
        <w:t>après</w:t>
      </w:r>
      <w:r w:rsidRPr="002C4077">
        <w:t xml:space="preserve"> </w:t>
      </w:r>
      <w:r>
        <w:t>la</w:t>
      </w:r>
      <w:r w:rsidRPr="002C4077">
        <w:t xml:space="preserve"> </w:t>
      </w:r>
      <w:r>
        <w:t>triste</w:t>
      </w:r>
      <w:r w:rsidRPr="002C4077">
        <w:t xml:space="preserve"> </w:t>
      </w:r>
      <w:r>
        <w:t>journée</w:t>
      </w:r>
      <w:r w:rsidRPr="002C4077">
        <w:t xml:space="preserve"> </w:t>
      </w:r>
      <w:r>
        <w:t>d’Hattîn,</w:t>
      </w:r>
      <w:r w:rsidRPr="002C4077">
        <w:t xml:space="preserve"> </w:t>
      </w:r>
      <w:r>
        <w:t>elle</w:t>
      </w:r>
      <w:r w:rsidRPr="002C4077">
        <w:t xml:space="preserve"> </w:t>
      </w:r>
      <w:r>
        <w:t>retomba,</w:t>
      </w:r>
      <w:r w:rsidRPr="002C4077">
        <w:t xml:space="preserve"> </w:t>
      </w:r>
      <w:r>
        <w:t>avec</w:t>
      </w:r>
      <w:r w:rsidRPr="002C4077">
        <w:t xml:space="preserve"> </w:t>
      </w:r>
      <w:r>
        <w:t>toute</w:t>
      </w:r>
      <w:r w:rsidRPr="002C4077">
        <w:t xml:space="preserve"> </w:t>
      </w:r>
      <w:r>
        <w:t>la</w:t>
      </w:r>
      <w:r w:rsidRPr="002C4077">
        <w:t xml:space="preserve"> </w:t>
      </w:r>
      <w:r>
        <w:t>contrée,</w:t>
      </w:r>
      <w:r w:rsidRPr="002C4077">
        <w:t xml:space="preserve"> </w:t>
      </w:r>
      <w:r>
        <w:t>au</w:t>
      </w:r>
      <w:r w:rsidRPr="002C4077">
        <w:t xml:space="preserve"> </w:t>
      </w:r>
      <w:r>
        <w:t>pouvoir</w:t>
      </w:r>
      <w:r w:rsidRPr="002C4077">
        <w:t xml:space="preserve"> </w:t>
      </w:r>
      <w:r>
        <w:t>des</w:t>
      </w:r>
      <w:r w:rsidRPr="002C4077">
        <w:t xml:space="preserve"> </w:t>
      </w:r>
      <w:r>
        <w:t>Mahométans.</w:t>
      </w:r>
      <w:r w:rsidRPr="002C4077">
        <w:t xml:space="preserve"> </w:t>
      </w:r>
      <w:r>
        <w:t>Plus</w:t>
      </w:r>
      <w:r w:rsidRPr="002C4077">
        <w:t xml:space="preserve"> </w:t>
      </w:r>
      <w:r>
        <w:t>tard,</w:t>
      </w:r>
      <w:r w:rsidRPr="002C4077">
        <w:t xml:space="preserve"> </w:t>
      </w:r>
      <w:r>
        <w:t>on</w:t>
      </w:r>
      <w:r w:rsidRPr="002C4077">
        <w:t xml:space="preserve"> </w:t>
      </w:r>
      <w:r>
        <w:t>ignore</w:t>
      </w:r>
      <w:r w:rsidRPr="002C4077">
        <w:t xml:space="preserve"> </w:t>
      </w:r>
      <w:r>
        <w:t>à</w:t>
      </w:r>
      <w:r w:rsidRPr="002C4077">
        <w:t xml:space="preserve"> </w:t>
      </w:r>
      <w:r>
        <w:t>quelle</w:t>
      </w:r>
      <w:r w:rsidRPr="002C4077">
        <w:t xml:space="preserve"> </w:t>
      </w:r>
      <w:r>
        <w:t>époque</w:t>
      </w:r>
      <w:r w:rsidRPr="002C4077">
        <w:t xml:space="preserve"> </w:t>
      </w:r>
      <w:r>
        <w:t>précise,</w:t>
      </w:r>
      <w:r w:rsidRPr="002C4077">
        <w:t xml:space="preserve"> </w:t>
      </w:r>
      <w:r>
        <w:t>les</w:t>
      </w:r>
      <w:r w:rsidRPr="002C4077">
        <w:t xml:space="preserve"> </w:t>
      </w:r>
      <w:r>
        <w:t>chrétiens</w:t>
      </w:r>
      <w:r w:rsidRPr="002C4077">
        <w:t xml:space="preserve"> </w:t>
      </w:r>
      <w:r>
        <w:t>eurent</w:t>
      </w:r>
      <w:r w:rsidRPr="002C4077">
        <w:t xml:space="preserve"> </w:t>
      </w:r>
      <w:r>
        <w:t>le</w:t>
      </w:r>
      <w:r w:rsidRPr="002C4077">
        <w:t xml:space="preserve"> </w:t>
      </w:r>
      <w:r>
        <w:t>bonheur</w:t>
      </w:r>
      <w:r w:rsidRPr="002C4077">
        <w:t xml:space="preserve"> </w:t>
      </w:r>
      <w:r>
        <w:t>de</w:t>
      </w:r>
      <w:r w:rsidRPr="002C4077">
        <w:t xml:space="preserve"> </w:t>
      </w:r>
      <w:r>
        <w:t>la</w:t>
      </w:r>
      <w:r w:rsidRPr="002C4077">
        <w:t xml:space="preserve"> </w:t>
      </w:r>
      <w:r>
        <w:t>reprendre.</w:t>
      </w:r>
      <w:r w:rsidRPr="002C4077">
        <w:t xml:space="preserve"> </w:t>
      </w:r>
    </w:p>
    <w:p w:rsidR="000A7AAB" w:rsidRDefault="000A7AAB" w:rsidP="000A7AAB">
      <w:r>
        <w:t>En</w:t>
      </w:r>
      <w:r w:rsidRPr="002C4077">
        <w:t xml:space="preserve"> </w:t>
      </w:r>
      <w:r>
        <w:t>1250,</w:t>
      </w:r>
      <w:r w:rsidRPr="002C4077">
        <w:t xml:space="preserve"> </w:t>
      </w:r>
      <w:r>
        <w:t>le</w:t>
      </w:r>
      <w:r w:rsidRPr="002C4077">
        <w:t xml:space="preserve"> </w:t>
      </w:r>
      <w:r>
        <w:t>roi</w:t>
      </w:r>
      <w:r w:rsidRPr="002C4077">
        <w:t xml:space="preserve"> </w:t>
      </w:r>
      <w:r>
        <w:t>saint</w:t>
      </w:r>
      <w:r w:rsidRPr="002C4077">
        <w:t xml:space="preserve"> </w:t>
      </w:r>
      <w:r>
        <w:t>Louis</w:t>
      </w:r>
      <w:r w:rsidRPr="002C4077">
        <w:t xml:space="preserve"> </w:t>
      </w:r>
      <w:r>
        <w:t>vint</w:t>
      </w:r>
      <w:r w:rsidRPr="002C4077">
        <w:t xml:space="preserve"> </w:t>
      </w:r>
      <w:r>
        <w:t>fêter</w:t>
      </w:r>
      <w:r w:rsidRPr="002C4077">
        <w:t xml:space="preserve"> </w:t>
      </w:r>
      <w:r>
        <w:t>à</w:t>
      </w:r>
      <w:r w:rsidRPr="002C4077">
        <w:t xml:space="preserve"> </w:t>
      </w:r>
      <w:r>
        <w:t>Nazareth</w:t>
      </w:r>
      <w:r w:rsidRPr="002C4077">
        <w:t xml:space="preserve"> </w:t>
      </w:r>
      <w:r>
        <w:t>l’anniversaire</w:t>
      </w:r>
      <w:r w:rsidRPr="002C4077">
        <w:t xml:space="preserve"> </w:t>
      </w:r>
      <w:r>
        <w:t>de</w:t>
      </w:r>
      <w:r w:rsidRPr="002C4077">
        <w:t xml:space="preserve"> </w:t>
      </w:r>
      <w:r>
        <w:t>l’Incarnation</w:t>
      </w:r>
      <w:r w:rsidRPr="002C4077">
        <w:t xml:space="preserve"> </w:t>
      </w:r>
      <w:r>
        <w:t>du</w:t>
      </w:r>
      <w:r w:rsidRPr="002C4077">
        <w:t xml:space="preserve"> </w:t>
      </w:r>
      <w:r w:rsidR="007B3C26">
        <w:t>Ve</w:t>
      </w:r>
      <w:r>
        <w:t>rbe.</w:t>
      </w:r>
      <w:r w:rsidRPr="002C4077">
        <w:t xml:space="preserve"> </w:t>
      </w:r>
      <w:r>
        <w:t>Geoffroy</w:t>
      </w:r>
      <w:r w:rsidRPr="002C4077">
        <w:t xml:space="preserve"> </w:t>
      </w:r>
      <w:r>
        <w:t>de</w:t>
      </w:r>
      <w:r w:rsidRPr="002C4077">
        <w:t xml:space="preserve"> </w:t>
      </w:r>
      <w:r w:rsidR="006F72A8">
        <w:t>Beaulieu</w:t>
      </w:r>
      <w:r w:rsidRPr="002C4077">
        <w:t xml:space="preserve"> </w:t>
      </w:r>
      <w:r>
        <w:t>raconte</w:t>
      </w:r>
      <w:r w:rsidRPr="002C4077">
        <w:t xml:space="preserve"> </w:t>
      </w:r>
      <w:r>
        <w:t>son</w:t>
      </w:r>
      <w:r w:rsidRPr="002C4077">
        <w:t xml:space="preserve"> </w:t>
      </w:r>
      <w:r>
        <w:t>entrée</w:t>
      </w:r>
      <w:r w:rsidRPr="002C4077">
        <w:t xml:space="preserve"> </w:t>
      </w:r>
      <w:r>
        <w:t>dans</w:t>
      </w:r>
      <w:r w:rsidRPr="002C4077">
        <w:t xml:space="preserve"> </w:t>
      </w:r>
      <w:r>
        <w:t>les</w:t>
      </w:r>
      <w:r w:rsidRPr="002C4077">
        <w:t xml:space="preserve"> </w:t>
      </w:r>
      <w:r>
        <w:t>termes</w:t>
      </w:r>
      <w:r w:rsidRPr="002C4077">
        <w:t xml:space="preserve"> </w:t>
      </w:r>
      <w:r>
        <w:t>suivants</w:t>
      </w:r>
      <w:r w:rsidR="00B546AF">
        <w:t> :</w:t>
      </w:r>
      <w:r w:rsidR="00C45B47">
        <w:t xml:space="preserve"> {</w:t>
      </w:r>
      <w:r w:rsidR="001F5257">
        <w:t>236</w:t>
      </w:r>
      <w:bookmarkStart w:id="571" w:name="p236"/>
      <w:bookmarkEnd w:id="571"/>
      <w:r w:rsidR="001F5257">
        <w:t xml:space="preserve">} </w:t>
      </w:r>
      <w:r w:rsidR="00B546AF">
        <w:t>« </w:t>
      </w:r>
      <w:r>
        <w:t>La</w:t>
      </w:r>
      <w:r w:rsidRPr="002C4077">
        <w:t xml:space="preserve"> </w:t>
      </w:r>
      <w:r>
        <w:t>veille</w:t>
      </w:r>
      <w:r w:rsidRPr="002C4077">
        <w:t xml:space="preserve"> </w:t>
      </w:r>
      <w:r>
        <w:t>de</w:t>
      </w:r>
      <w:r w:rsidRPr="002C4077">
        <w:t xml:space="preserve"> </w:t>
      </w:r>
      <w:r>
        <w:t>l’Annonciation,</w:t>
      </w:r>
      <w:r w:rsidRPr="002C4077">
        <w:t xml:space="preserve"> </w:t>
      </w:r>
      <w:r>
        <w:t>le</w:t>
      </w:r>
      <w:r w:rsidRPr="002C4077">
        <w:t xml:space="preserve"> </w:t>
      </w:r>
      <w:r>
        <w:t>roi,</w:t>
      </w:r>
      <w:r w:rsidRPr="002C4077">
        <w:t xml:space="preserve"> </w:t>
      </w:r>
      <w:r>
        <w:t>revêtu</w:t>
      </w:r>
      <w:r w:rsidRPr="002C4077">
        <w:t xml:space="preserve"> </w:t>
      </w:r>
      <w:r>
        <w:t>d’un</w:t>
      </w:r>
      <w:r w:rsidRPr="002C4077">
        <w:t xml:space="preserve"> </w:t>
      </w:r>
      <w:r>
        <w:t>cilice,</w:t>
      </w:r>
      <w:r w:rsidRPr="002C4077">
        <w:t xml:space="preserve"> </w:t>
      </w:r>
      <w:r>
        <w:t>se</w:t>
      </w:r>
      <w:r w:rsidRPr="002C4077">
        <w:t xml:space="preserve"> </w:t>
      </w:r>
      <w:r>
        <w:t>dirigea</w:t>
      </w:r>
      <w:r w:rsidRPr="002C4077">
        <w:t xml:space="preserve"> </w:t>
      </w:r>
      <w:r>
        <w:t>vers</w:t>
      </w:r>
      <w:r w:rsidRPr="002C4077">
        <w:t xml:space="preserve"> </w:t>
      </w:r>
      <w:r>
        <w:t>Nazareth.</w:t>
      </w:r>
      <w:r w:rsidRPr="002C4077">
        <w:t xml:space="preserve"> </w:t>
      </w:r>
      <w:r>
        <w:t>Lorsqu’il</w:t>
      </w:r>
      <w:r w:rsidRPr="002C4077">
        <w:t xml:space="preserve"> </w:t>
      </w:r>
      <w:r>
        <w:t>aperçut</w:t>
      </w:r>
      <w:r w:rsidRPr="002C4077">
        <w:t xml:space="preserve"> </w:t>
      </w:r>
      <w:r>
        <w:t>de</w:t>
      </w:r>
      <w:r w:rsidRPr="002C4077">
        <w:t xml:space="preserve"> </w:t>
      </w:r>
      <w:r>
        <w:t>loin</w:t>
      </w:r>
      <w:r w:rsidRPr="002C4077">
        <w:t xml:space="preserve"> </w:t>
      </w:r>
      <w:r>
        <w:t>les</w:t>
      </w:r>
      <w:r w:rsidRPr="002C4077">
        <w:t xml:space="preserve"> </w:t>
      </w:r>
      <w:r>
        <w:t>Lieux-Saints,</w:t>
      </w:r>
      <w:r w:rsidRPr="002C4077">
        <w:t xml:space="preserve"> </w:t>
      </w:r>
      <w:r>
        <w:t>il</w:t>
      </w:r>
      <w:r w:rsidRPr="002C4077">
        <w:t xml:space="preserve"> </w:t>
      </w:r>
      <w:r>
        <w:t>descendit</w:t>
      </w:r>
      <w:r w:rsidRPr="002C4077">
        <w:t xml:space="preserve"> </w:t>
      </w:r>
      <w:r>
        <w:t>de</w:t>
      </w:r>
      <w:r w:rsidRPr="002C4077">
        <w:t xml:space="preserve"> </w:t>
      </w:r>
      <w:r>
        <w:t>cheval,</w:t>
      </w:r>
      <w:r w:rsidRPr="002C4077">
        <w:t xml:space="preserve"> </w:t>
      </w:r>
      <w:r>
        <w:t>et,</w:t>
      </w:r>
      <w:r w:rsidRPr="002C4077">
        <w:t xml:space="preserve"> </w:t>
      </w:r>
      <w:r>
        <w:t>après</w:t>
      </w:r>
      <w:r w:rsidRPr="002C4077">
        <w:t xml:space="preserve"> </w:t>
      </w:r>
      <w:r>
        <w:t>avoir</w:t>
      </w:r>
      <w:r w:rsidRPr="002C4077">
        <w:t xml:space="preserve"> </w:t>
      </w:r>
      <w:r>
        <w:t>fléchi</w:t>
      </w:r>
      <w:r w:rsidRPr="002C4077">
        <w:t xml:space="preserve"> </w:t>
      </w:r>
      <w:r>
        <w:t>le</w:t>
      </w:r>
      <w:r w:rsidRPr="002C4077">
        <w:t xml:space="preserve"> </w:t>
      </w:r>
      <w:r>
        <w:t>genou,</w:t>
      </w:r>
      <w:r w:rsidRPr="002C4077">
        <w:t xml:space="preserve"> </w:t>
      </w:r>
      <w:r>
        <w:t>il</w:t>
      </w:r>
      <w:r w:rsidRPr="002C4077">
        <w:t xml:space="preserve"> </w:t>
      </w:r>
      <w:r>
        <w:t>s’avança</w:t>
      </w:r>
      <w:r w:rsidRPr="002C4077">
        <w:t xml:space="preserve"> </w:t>
      </w:r>
      <w:r>
        <w:t>à</w:t>
      </w:r>
      <w:r w:rsidRPr="002C4077">
        <w:t xml:space="preserve"> </w:t>
      </w:r>
      <w:r>
        <w:t>pied</w:t>
      </w:r>
      <w:r w:rsidRPr="002C4077">
        <w:t xml:space="preserve"> </w:t>
      </w:r>
      <w:r>
        <w:t>vers</w:t>
      </w:r>
      <w:r w:rsidRPr="002C4077">
        <w:t xml:space="preserve"> </w:t>
      </w:r>
      <w:r>
        <w:t>la</w:t>
      </w:r>
      <w:r w:rsidRPr="002C4077">
        <w:t xml:space="preserve"> </w:t>
      </w:r>
      <w:r>
        <w:t>cité</w:t>
      </w:r>
      <w:r w:rsidRPr="002C4077">
        <w:t xml:space="preserve"> </w:t>
      </w:r>
      <w:r>
        <w:t>sacrée.</w:t>
      </w:r>
      <w:r w:rsidRPr="002C4077">
        <w:t xml:space="preserve"> </w:t>
      </w:r>
      <w:r>
        <w:t>Il</w:t>
      </w:r>
      <w:r w:rsidRPr="002C4077">
        <w:t xml:space="preserve"> </w:t>
      </w:r>
      <w:r>
        <w:t>jeûna</w:t>
      </w:r>
      <w:r w:rsidRPr="002C4077">
        <w:t xml:space="preserve"> </w:t>
      </w:r>
      <w:r>
        <w:t>ce</w:t>
      </w:r>
      <w:r w:rsidRPr="002C4077">
        <w:t xml:space="preserve"> </w:t>
      </w:r>
      <w:r>
        <w:t>jour-là</w:t>
      </w:r>
      <w:r w:rsidRPr="002C4077">
        <w:t xml:space="preserve"> </w:t>
      </w:r>
      <w:r>
        <w:t>au</w:t>
      </w:r>
      <w:r w:rsidRPr="002C4077">
        <w:t xml:space="preserve"> </w:t>
      </w:r>
      <w:r>
        <w:t>pain</w:t>
      </w:r>
      <w:r w:rsidRPr="002C4077">
        <w:t xml:space="preserve"> </w:t>
      </w:r>
      <w:r>
        <w:t>et</w:t>
      </w:r>
      <w:r w:rsidRPr="002C4077">
        <w:t xml:space="preserve"> </w:t>
      </w:r>
      <w:r>
        <w:t>à</w:t>
      </w:r>
      <w:r w:rsidRPr="002C4077">
        <w:t xml:space="preserve"> </w:t>
      </w:r>
      <w:r>
        <w:t>l’eau,</w:t>
      </w:r>
      <w:r w:rsidRPr="002C4077">
        <w:t xml:space="preserve"> </w:t>
      </w:r>
      <w:r>
        <w:t>bien</w:t>
      </w:r>
      <w:r w:rsidRPr="002C4077">
        <w:t xml:space="preserve"> </w:t>
      </w:r>
      <w:r>
        <w:t>qu’il</w:t>
      </w:r>
      <w:r w:rsidRPr="002C4077">
        <w:t xml:space="preserve"> </w:t>
      </w:r>
      <w:r>
        <w:t>eût</w:t>
      </w:r>
      <w:r w:rsidRPr="002C4077">
        <w:t xml:space="preserve"> </w:t>
      </w:r>
      <w:r>
        <w:t>fait</w:t>
      </w:r>
      <w:r w:rsidRPr="002C4077">
        <w:t xml:space="preserve"> </w:t>
      </w:r>
      <w:r>
        <w:t>une</w:t>
      </w:r>
      <w:r w:rsidRPr="002C4077">
        <w:t xml:space="preserve"> </w:t>
      </w:r>
      <w:r>
        <w:t>marche</w:t>
      </w:r>
      <w:r w:rsidRPr="002C4077">
        <w:t xml:space="preserve"> </w:t>
      </w:r>
      <w:r>
        <w:t>fatigante.</w:t>
      </w:r>
      <w:r w:rsidRPr="002C4077">
        <w:t xml:space="preserve"> </w:t>
      </w:r>
      <w:r>
        <w:t>Ceux</w:t>
      </w:r>
      <w:r w:rsidRPr="002C4077">
        <w:t xml:space="preserve"> </w:t>
      </w:r>
      <w:r>
        <w:t>qui</w:t>
      </w:r>
      <w:r w:rsidRPr="002C4077">
        <w:t xml:space="preserve"> </w:t>
      </w:r>
      <w:r>
        <w:t>étaient</w:t>
      </w:r>
      <w:r w:rsidRPr="002C4077">
        <w:t xml:space="preserve"> </w:t>
      </w:r>
      <w:r>
        <w:t>avec</w:t>
      </w:r>
      <w:r w:rsidRPr="002C4077">
        <w:t xml:space="preserve"> </w:t>
      </w:r>
      <w:r>
        <w:t>lui</w:t>
      </w:r>
      <w:r w:rsidRPr="002C4077">
        <w:t xml:space="preserve"> </w:t>
      </w:r>
      <w:r>
        <w:t>peuvent</w:t>
      </w:r>
      <w:r w:rsidRPr="002C4077">
        <w:t xml:space="preserve"> </w:t>
      </w:r>
      <w:r>
        <w:t>dire</w:t>
      </w:r>
      <w:r w:rsidRPr="002C4077">
        <w:t xml:space="preserve"> </w:t>
      </w:r>
      <w:r>
        <w:t>avec</w:t>
      </w:r>
      <w:r w:rsidRPr="002C4077">
        <w:t xml:space="preserve"> </w:t>
      </w:r>
      <w:r>
        <w:t>quelle</w:t>
      </w:r>
      <w:r w:rsidRPr="002C4077">
        <w:t xml:space="preserve"> </w:t>
      </w:r>
      <w:r>
        <w:t>solennité</w:t>
      </w:r>
      <w:r w:rsidRPr="002C4077">
        <w:t xml:space="preserve"> </w:t>
      </w:r>
      <w:r>
        <w:t>les</w:t>
      </w:r>
      <w:r w:rsidRPr="002C4077">
        <w:t xml:space="preserve"> </w:t>
      </w:r>
      <w:r>
        <w:t>vêpres,</w:t>
      </w:r>
      <w:r w:rsidRPr="002C4077">
        <w:t xml:space="preserve"> </w:t>
      </w:r>
      <w:r>
        <w:t>les</w:t>
      </w:r>
      <w:r w:rsidRPr="002C4077">
        <w:t xml:space="preserve"> </w:t>
      </w:r>
      <w:r>
        <w:t>malines,</w:t>
      </w:r>
      <w:r w:rsidRPr="002C4077">
        <w:t xml:space="preserve"> </w:t>
      </w:r>
      <w:r>
        <w:t>la</w:t>
      </w:r>
      <w:r w:rsidRPr="002C4077">
        <w:t xml:space="preserve"> </w:t>
      </w:r>
      <w:r>
        <w:t>messe</w:t>
      </w:r>
      <w:r w:rsidRPr="002C4077">
        <w:t xml:space="preserve"> </w:t>
      </w:r>
      <w:r>
        <w:t>furent</w:t>
      </w:r>
      <w:r w:rsidRPr="002C4077">
        <w:t xml:space="preserve"> </w:t>
      </w:r>
      <w:r>
        <w:t>chantées.</w:t>
      </w:r>
      <w:r w:rsidRPr="002C4077">
        <w:t xml:space="preserve"> </w:t>
      </w:r>
      <w:r>
        <w:t>Depuis</w:t>
      </w:r>
      <w:r w:rsidRPr="002C4077">
        <w:t xml:space="preserve"> </w:t>
      </w:r>
      <w:r>
        <w:t>que</w:t>
      </w:r>
      <w:r w:rsidRPr="002C4077">
        <w:t xml:space="preserve"> </w:t>
      </w:r>
      <w:r>
        <w:t>le</w:t>
      </w:r>
      <w:r w:rsidRPr="002C4077">
        <w:t xml:space="preserve"> </w:t>
      </w:r>
      <w:r>
        <w:t>Fils</w:t>
      </w:r>
      <w:r w:rsidRPr="002C4077">
        <w:t xml:space="preserve"> </w:t>
      </w:r>
      <w:r>
        <w:t>de</w:t>
      </w:r>
      <w:r w:rsidRPr="002C4077">
        <w:t xml:space="preserve"> </w:t>
      </w:r>
      <w:r>
        <w:t>Dieu</w:t>
      </w:r>
      <w:r w:rsidRPr="002C4077">
        <w:t xml:space="preserve"> </w:t>
      </w:r>
      <w:r>
        <w:t>s’était</w:t>
      </w:r>
      <w:r w:rsidRPr="002C4077">
        <w:t xml:space="preserve"> </w:t>
      </w:r>
      <w:r>
        <w:t>incarné,</w:t>
      </w:r>
      <w:r w:rsidRPr="002C4077">
        <w:t xml:space="preserve"> </w:t>
      </w:r>
      <w:r>
        <w:t>jamais</w:t>
      </w:r>
      <w:r w:rsidRPr="002C4077">
        <w:t xml:space="preserve"> </w:t>
      </w:r>
      <w:r>
        <w:t>Nazareth</w:t>
      </w:r>
      <w:r w:rsidRPr="002C4077">
        <w:t xml:space="preserve"> </w:t>
      </w:r>
      <w:r>
        <w:t>n’avait</w:t>
      </w:r>
      <w:r w:rsidRPr="002C4077">
        <w:t xml:space="preserve"> </w:t>
      </w:r>
      <w:r>
        <w:t>vu</w:t>
      </w:r>
      <w:r w:rsidRPr="002C4077">
        <w:t xml:space="preserve"> </w:t>
      </w:r>
      <w:r>
        <w:t>une</w:t>
      </w:r>
      <w:r w:rsidRPr="002C4077">
        <w:t xml:space="preserve"> </w:t>
      </w:r>
      <w:r>
        <w:t>telle</w:t>
      </w:r>
      <w:r w:rsidRPr="002C4077">
        <w:t xml:space="preserve"> </w:t>
      </w:r>
      <w:r>
        <w:t>dévotion</w:t>
      </w:r>
      <w:r w:rsidR="00B91AF7">
        <w:rPr>
          <w:rStyle w:val="Appelnotedebasdep"/>
        </w:rPr>
        <w:footnoteReference w:id="748"/>
      </w:r>
      <w:r w:rsidR="00B546AF">
        <w:t> »</w:t>
      </w:r>
      <w:r>
        <w:t>.</w:t>
      </w:r>
      <w:r w:rsidRPr="002C4077">
        <w:t xml:space="preserve"> </w:t>
      </w:r>
    </w:p>
    <w:p w:rsidR="000A7AAB" w:rsidRPr="001F5257" w:rsidRDefault="000A7AAB" w:rsidP="000A7AAB">
      <w:r>
        <w:t>Treize</w:t>
      </w:r>
      <w:r w:rsidRPr="002C4077">
        <w:t xml:space="preserve"> </w:t>
      </w:r>
      <w:r>
        <w:t>ans</w:t>
      </w:r>
      <w:r w:rsidRPr="002C4077">
        <w:t xml:space="preserve"> </w:t>
      </w:r>
      <w:r>
        <w:t>après,</w:t>
      </w:r>
      <w:r w:rsidRPr="002C4077">
        <w:t xml:space="preserve"> </w:t>
      </w:r>
      <w:r>
        <w:t>en</w:t>
      </w:r>
      <w:r w:rsidRPr="002C4077">
        <w:t xml:space="preserve"> </w:t>
      </w:r>
      <w:r>
        <w:t>1263,</w:t>
      </w:r>
      <w:r w:rsidRPr="002C4077">
        <w:t xml:space="preserve"> </w:t>
      </w:r>
      <w:r>
        <w:t>le</w:t>
      </w:r>
      <w:r w:rsidRPr="002C4077">
        <w:t xml:space="preserve"> </w:t>
      </w:r>
      <w:r>
        <w:t>sultan</w:t>
      </w:r>
      <w:r w:rsidRPr="002C4077">
        <w:t xml:space="preserve"> </w:t>
      </w:r>
      <w:r>
        <w:t>Bibars</w:t>
      </w:r>
      <w:r w:rsidRPr="002C4077">
        <w:t xml:space="preserve"> </w:t>
      </w:r>
      <w:r>
        <w:t>arrivait</w:t>
      </w:r>
      <w:r w:rsidRPr="002C4077">
        <w:t xml:space="preserve"> </w:t>
      </w:r>
      <w:r>
        <w:t>à</w:t>
      </w:r>
      <w:r w:rsidRPr="002C4077">
        <w:t xml:space="preserve"> </w:t>
      </w:r>
      <w:r>
        <w:t>son</w:t>
      </w:r>
      <w:r w:rsidRPr="002C4077">
        <w:t xml:space="preserve"> </w:t>
      </w:r>
      <w:r>
        <w:t>tour</w:t>
      </w:r>
      <w:r w:rsidRPr="002C4077">
        <w:t xml:space="preserve"> </w:t>
      </w:r>
      <w:r>
        <w:t>dans</w:t>
      </w:r>
      <w:r w:rsidRPr="002C4077">
        <w:t xml:space="preserve"> </w:t>
      </w:r>
      <w:r>
        <w:t>la</w:t>
      </w:r>
      <w:r w:rsidRPr="002C4077">
        <w:t xml:space="preserve"> </w:t>
      </w:r>
      <w:r>
        <w:t>cité</w:t>
      </w:r>
      <w:r w:rsidRPr="002C4077">
        <w:t xml:space="preserve"> </w:t>
      </w:r>
      <w:r>
        <w:t>de</w:t>
      </w:r>
      <w:r w:rsidRPr="002C4077">
        <w:t xml:space="preserve"> </w:t>
      </w:r>
      <w:r w:rsidR="00425C50">
        <w:t>Jésus</w:t>
      </w:r>
      <w:r>
        <w:t>,</w:t>
      </w:r>
      <w:r w:rsidRPr="002C4077">
        <w:t xml:space="preserve"> </w:t>
      </w:r>
      <w:r>
        <w:t>mais</w:t>
      </w:r>
      <w:r w:rsidRPr="002C4077">
        <w:t xml:space="preserve"> </w:t>
      </w:r>
      <w:r>
        <w:t>pour</w:t>
      </w:r>
      <w:r w:rsidRPr="002C4077">
        <w:t xml:space="preserve"> </w:t>
      </w:r>
      <w:r>
        <w:t>l’anéantir</w:t>
      </w:r>
      <w:r w:rsidRPr="002C4077">
        <w:t xml:space="preserve"> </w:t>
      </w:r>
      <w:r>
        <w:t>presque</w:t>
      </w:r>
      <w:r w:rsidRPr="002C4077">
        <w:t xml:space="preserve"> </w:t>
      </w:r>
      <w:r>
        <w:t>en</w:t>
      </w:r>
      <w:r w:rsidRPr="002C4077">
        <w:t xml:space="preserve"> </w:t>
      </w:r>
      <w:r>
        <w:t>entier.</w:t>
      </w:r>
      <w:r w:rsidRPr="002C4077">
        <w:t xml:space="preserve"> </w:t>
      </w:r>
      <w:r>
        <w:t>Depuis</w:t>
      </w:r>
      <w:r w:rsidRPr="002C4077">
        <w:t xml:space="preserve"> </w:t>
      </w:r>
      <w:r>
        <w:t>lors,</w:t>
      </w:r>
      <w:r w:rsidRPr="002C4077">
        <w:t xml:space="preserve"> </w:t>
      </w:r>
      <w:r>
        <w:t>Nazareth</w:t>
      </w:r>
      <w:r w:rsidRPr="002C4077">
        <w:t xml:space="preserve"> </w:t>
      </w:r>
      <w:r>
        <w:t>ne</w:t>
      </w:r>
      <w:r w:rsidRPr="002C4077">
        <w:t xml:space="preserve"> </w:t>
      </w:r>
      <w:r>
        <w:t>fut,</w:t>
      </w:r>
      <w:r w:rsidRPr="002C4077">
        <w:t xml:space="preserve"> </w:t>
      </w:r>
      <w:r>
        <w:t>durant</w:t>
      </w:r>
      <w:r w:rsidRPr="002C4077">
        <w:t xml:space="preserve"> </w:t>
      </w:r>
      <w:r>
        <w:t>plusieurs</w:t>
      </w:r>
      <w:r w:rsidRPr="002C4077">
        <w:t xml:space="preserve"> </w:t>
      </w:r>
      <w:r>
        <w:t>siècles,</w:t>
      </w:r>
      <w:r w:rsidRPr="002C4077">
        <w:t xml:space="preserve"> </w:t>
      </w:r>
      <w:r>
        <w:t>qu’un</w:t>
      </w:r>
      <w:r w:rsidRPr="002C4077">
        <w:t xml:space="preserve"> </w:t>
      </w:r>
      <w:r>
        <w:t>misérable</w:t>
      </w:r>
      <w:r w:rsidRPr="002C4077">
        <w:t xml:space="preserve"> </w:t>
      </w:r>
      <w:r>
        <w:t>village</w:t>
      </w:r>
      <w:r w:rsidRPr="002C4077">
        <w:t xml:space="preserve"> </w:t>
      </w:r>
      <w:r>
        <w:t>musulman,</w:t>
      </w:r>
      <w:r w:rsidRPr="002C4077">
        <w:t xml:space="preserve"> </w:t>
      </w:r>
      <w:r>
        <w:t>où</w:t>
      </w:r>
      <w:r w:rsidRPr="002C4077">
        <w:t xml:space="preserve"> </w:t>
      </w:r>
      <w:r>
        <w:t>les</w:t>
      </w:r>
      <w:r w:rsidRPr="002C4077">
        <w:t xml:space="preserve"> </w:t>
      </w:r>
      <w:r>
        <w:t>voyageurs</w:t>
      </w:r>
      <w:r w:rsidRPr="002C4077">
        <w:t xml:space="preserve"> </w:t>
      </w:r>
      <w:r>
        <w:t>européens</w:t>
      </w:r>
      <w:r w:rsidRPr="002C4077">
        <w:t xml:space="preserve"> </w:t>
      </w:r>
      <w:r>
        <w:t>ne</w:t>
      </w:r>
      <w:r w:rsidRPr="002C4077">
        <w:t xml:space="preserve"> </w:t>
      </w:r>
      <w:r>
        <w:t>pénétraient</w:t>
      </w:r>
      <w:r w:rsidRPr="002C4077">
        <w:t xml:space="preserve"> </w:t>
      </w:r>
      <w:r>
        <w:t>qu’à</w:t>
      </w:r>
      <w:r w:rsidRPr="002C4077">
        <w:t xml:space="preserve"> </w:t>
      </w:r>
      <w:r w:rsidR="006F72A8">
        <w:t>grand-peine</w:t>
      </w:r>
      <w:r w:rsidRPr="002C4077">
        <w:t xml:space="preserve"> </w:t>
      </w:r>
      <w:r>
        <w:t>et</w:t>
      </w:r>
      <w:r w:rsidRPr="002C4077">
        <w:t xml:space="preserve"> </w:t>
      </w:r>
      <w:r>
        <w:t>avaient</w:t>
      </w:r>
      <w:r w:rsidRPr="002C4077">
        <w:t xml:space="preserve"> </w:t>
      </w:r>
      <w:r>
        <w:t>beaucoup</w:t>
      </w:r>
      <w:r w:rsidRPr="002C4077">
        <w:t xml:space="preserve"> </w:t>
      </w:r>
      <w:r>
        <w:t>à</w:t>
      </w:r>
      <w:r w:rsidRPr="002C4077">
        <w:t xml:space="preserve"> </w:t>
      </w:r>
      <w:r>
        <w:t>souffrir</w:t>
      </w:r>
      <w:r w:rsidRPr="002C4077">
        <w:t xml:space="preserve"> </w:t>
      </w:r>
      <w:r>
        <w:t>des</w:t>
      </w:r>
      <w:r w:rsidRPr="002C4077">
        <w:t xml:space="preserve"> </w:t>
      </w:r>
      <w:r w:rsidR="00B546AF">
        <w:t>« </w:t>
      </w:r>
      <w:r>
        <w:t>affreux</w:t>
      </w:r>
      <w:r w:rsidRPr="002C4077">
        <w:t xml:space="preserve"> </w:t>
      </w:r>
      <w:r>
        <w:t>Sarrasins</w:t>
      </w:r>
      <w:r w:rsidR="00B546AF">
        <w:t> »</w:t>
      </w:r>
      <w:r>
        <w:t>,</w:t>
      </w:r>
      <w:r w:rsidRPr="002C4077">
        <w:t xml:space="preserve"> </w:t>
      </w:r>
      <w:r>
        <w:t>comme</w:t>
      </w:r>
      <w:r w:rsidRPr="002C4077">
        <w:t xml:space="preserve"> </w:t>
      </w:r>
      <w:r>
        <w:t>ils</w:t>
      </w:r>
      <w:r w:rsidRPr="002C4077">
        <w:t xml:space="preserve"> </w:t>
      </w:r>
      <w:r>
        <w:t>se</w:t>
      </w:r>
      <w:r w:rsidRPr="002C4077">
        <w:t xml:space="preserve"> </w:t>
      </w:r>
      <w:r>
        <w:t>plaisent</w:t>
      </w:r>
      <w:r w:rsidRPr="002C4077">
        <w:t xml:space="preserve"> </w:t>
      </w:r>
      <w:r>
        <w:t>à</w:t>
      </w:r>
      <w:r w:rsidRPr="002C4077">
        <w:t xml:space="preserve"> </w:t>
      </w:r>
      <w:r>
        <w:t>les</w:t>
      </w:r>
      <w:r w:rsidRPr="002C4077">
        <w:t xml:space="preserve"> </w:t>
      </w:r>
      <w:r>
        <w:t>nommer</w:t>
      </w:r>
      <w:r w:rsidR="00B91AF7">
        <w:rPr>
          <w:rStyle w:val="Appelnotedebasdep"/>
        </w:rPr>
        <w:footnoteReference w:id="749"/>
      </w:r>
      <w:r>
        <w:t>.</w:t>
      </w:r>
      <w:r w:rsidRPr="002C4077">
        <w:t xml:space="preserve"> </w:t>
      </w:r>
      <w:r w:rsidR="00B546AF">
        <w:t>« </w:t>
      </w:r>
      <w:r>
        <w:t>Les</w:t>
      </w:r>
      <w:r w:rsidRPr="002C4077">
        <w:t xml:space="preserve"> </w:t>
      </w:r>
      <w:r>
        <w:t>habitants</w:t>
      </w:r>
      <w:r w:rsidRPr="002C4077">
        <w:t xml:space="preserve"> </w:t>
      </w:r>
      <w:r>
        <w:t>de</w:t>
      </w:r>
      <w:r w:rsidRPr="002C4077">
        <w:t xml:space="preserve"> </w:t>
      </w:r>
      <w:r>
        <w:t>ce</w:t>
      </w:r>
      <w:r w:rsidRPr="002C4077">
        <w:t xml:space="preserve"> </w:t>
      </w:r>
      <w:r>
        <w:t>pays,</w:t>
      </w:r>
      <w:r w:rsidRPr="002C4077">
        <w:t xml:space="preserve"> </w:t>
      </w:r>
      <w:r>
        <w:t>écrit</w:t>
      </w:r>
      <w:r w:rsidRPr="002C4077">
        <w:t xml:space="preserve"> </w:t>
      </w:r>
      <w:r>
        <w:t>l’un</w:t>
      </w:r>
      <w:r w:rsidRPr="002C4077">
        <w:t xml:space="preserve"> </w:t>
      </w:r>
      <w:r>
        <w:t>d’eux,</w:t>
      </w:r>
      <w:r w:rsidRPr="002C4077">
        <w:t xml:space="preserve"> </w:t>
      </w:r>
      <w:r>
        <w:t>qui</w:t>
      </w:r>
      <w:r w:rsidRPr="002C4077">
        <w:t xml:space="preserve"> </w:t>
      </w:r>
      <w:r>
        <w:t>visita</w:t>
      </w:r>
      <w:r w:rsidRPr="002C4077">
        <w:t xml:space="preserve"> </w:t>
      </w:r>
      <w:r>
        <w:t>Nazareth</w:t>
      </w:r>
      <w:r w:rsidRPr="002C4077">
        <w:t xml:space="preserve"> </w:t>
      </w:r>
      <w:r>
        <w:t>en</w:t>
      </w:r>
      <w:r w:rsidRPr="002C4077">
        <w:t xml:space="preserve"> </w:t>
      </w:r>
      <w:r>
        <w:t>1449</w:t>
      </w:r>
      <w:r w:rsidR="00B91AF7">
        <w:rPr>
          <w:rStyle w:val="Appelnotedebasdep"/>
        </w:rPr>
        <w:footnoteReference w:id="750"/>
      </w:r>
      <w:r>
        <w:t>,</w:t>
      </w:r>
      <w:r w:rsidRPr="002C4077">
        <w:t xml:space="preserve"> </w:t>
      </w:r>
      <w:r>
        <w:t>n’avaient</w:t>
      </w:r>
      <w:r w:rsidRPr="002C4077">
        <w:t xml:space="preserve"> </w:t>
      </w:r>
      <w:r>
        <w:t>depuis</w:t>
      </w:r>
      <w:r w:rsidRPr="002C4077">
        <w:t xml:space="preserve"> </w:t>
      </w:r>
      <w:r>
        <w:t>longtemps</w:t>
      </w:r>
      <w:r w:rsidRPr="002C4077">
        <w:t xml:space="preserve"> </w:t>
      </w:r>
      <w:r>
        <w:t>vu</w:t>
      </w:r>
      <w:r w:rsidRPr="002C4077">
        <w:t xml:space="preserve"> </w:t>
      </w:r>
      <w:r>
        <w:t>aucun</w:t>
      </w:r>
      <w:r w:rsidRPr="002C4077">
        <w:t xml:space="preserve"> </w:t>
      </w:r>
      <w:r>
        <w:t>Allemand,</w:t>
      </w:r>
      <w:r w:rsidRPr="002C4077">
        <w:t xml:space="preserve"> </w:t>
      </w:r>
      <w:r>
        <w:t>ce</w:t>
      </w:r>
      <w:r w:rsidRPr="002C4077">
        <w:t xml:space="preserve"> </w:t>
      </w:r>
      <w:r>
        <w:t>qui</w:t>
      </w:r>
      <w:r w:rsidRPr="002C4077">
        <w:t xml:space="preserve"> </w:t>
      </w:r>
      <w:r>
        <w:t>était</w:t>
      </w:r>
      <w:r w:rsidRPr="002C4077">
        <w:t xml:space="preserve"> </w:t>
      </w:r>
      <w:r>
        <w:t>cause</w:t>
      </w:r>
      <w:r w:rsidRPr="002C4077">
        <w:t xml:space="preserve"> </w:t>
      </w:r>
      <w:r>
        <w:t>qu’ils</w:t>
      </w:r>
      <w:r w:rsidRPr="002C4077">
        <w:t xml:space="preserve"> </w:t>
      </w:r>
      <w:r>
        <w:t>nous</w:t>
      </w:r>
      <w:r w:rsidRPr="002C4077">
        <w:t xml:space="preserve"> </w:t>
      </w:r>
      <w:r>
        <w:t>couraient</w:t>
      </w:r>
      <w:r w:rsidRPr="002C4077">
        <w:t xml:space="preserve"> </w:t>
      </w:r>
      <w:r>
        <w:t>après</w:t>
      </w:r>
      <w:r w:rsidRPr="002C4077">
        <w:t xml:space="preserve"> </w:t>
      </w:r>
      <w:r>
        <w:t>et</w:t>
      </w:r>
      <w:r w:rsidRPr="002C4077">
        <w:t xml:space="preserve"> </w:t>
      </w:r>
      <w:r>
        <w:t>nous</w:t>
      </w:r>
      <w:r w:rsidRPr="002C4077">
        <w:t xml:space="preserve"> </w:t>
      </w:r>
      <w:r>
        <w:t>regardaient</w:t>
      </w:r>
      <w:r w:rsidRPr="002C4077">
        <w:t xml:space="preserve"> </w:t>
      </w:r>
      <w:r>
        <w:t>comme</w:t>
      </w:r>
      <w:r w:rsidRPr="002C4077">
        <w:t xml:space="preserve"> </w:t>
      </w:r>
      <w:r>
        <w:t>si</w:t>
      </w:r>
      <w:r w:rsidRPr="002C4077">
        <w:t xml:space="preserve"> </w:t>
      </w:r>
      <w:r>
        <w:t>nous</w:t>
      </w:r>
      <w:r w:rsidRPr="002C4077">
        <w:t xml:space="preserve"> </w:t>
      </w:r>
      <w:r>
        <w:t>eussions</w:t>
      </w:r>
      <w:r w:rsidRPr="002C4077">
        <w:t xml:space="preserve"> </w:t>
      </w:r>
      <w:r>
        <w:t>été</w:t>
      </w:r>
      <w:r w:rsidRPr="002C4077">
        <w:t xml:space="preserve"> </w:t>
      </w:r>
      <w:r>
        <w:t>des</w:t>
      </w:r>
      <w:r w:rsidRPr="002C4077">
        <w:t xml:space="preserve"> </w:t>
      </w:r>
      <w:r>
        <w:t>monstres</w:t>
      </w:r>
      <w:r w:rsidRPr="002C4077">
        <w:t xml:space="preserve"> </w:t>
      </w:r>
      <w:r>
        <w:t>marins.</w:t>
      </w:r>
      <w:r w:rsidRPr="002C4077">
        <w:t xml:space="preserve"> </w:t>
      </w:r>
      <w:r>
        <w:t>Nous</w:t>
      </w:r>
      <w:r w:rsidRPr="002C4077">
        <w:t xml:space="preserve"> </w:t>
      </w:r>
      <w:r>
        <w:t>nous</w:t>
      </w:r>
      <w:r w:rsidRPr="002C4077">
        <w:t xml:space="preserve"> </w:t>
      </w:r>
      <w:r>
        <w:t>vîmes</w:t>
      </w:r>
      <w:r w:rsidRPr="002C4077">
        <w:t xml:space="preserve"> </w:t>
      </w:r>
      <w:r>
        <w:t>dans</w:t>
      </w:r>
      <w:r w:rsidRPr="002C4077">
        <w:t xml:space="preserve"> </w:t>
      </w:r>
      <w:r>
        <w:t>la</w:t>
      </w:r>
      <w:r w:rsidRPr="002C4077">
        <w:t xml:space="preserve"> </w:t>
      </w:r>
      <w:r>
        <w:t>nécessité</w:t>
      </w:r>
      <w:r w:rsidRPr="002C4077">
        <w:t xml:space="preserve"> </w:t>
      </w:r>
      <w:r>
        <w:t>de</w:t>
      </w:r>
      <w:r w:rsidRPr="002C4077">
        <w:t xml:space="preserve"> </w:t>
      </w:r>
      <w:r>
        <w:t>payer</w:t>
      </w:r>
      <w:r w:rsidRPr="002C4077">
        <w:t xml:space="preserve"> </w:t>
      </w:r>
      <w:r>
        <w:t>quelqu’un</w:t>
      </w:r>
      <w:r w:rsidRPr="002C4077">
        <w:t xml:space="preserve"> </w:t>
      </w:r>
      <w:r>
        <w:t>du</w:t>
      </w:r>
      <w:r w:rsidRPr="002C4077">
        <w:t xml:space="preserve"> </w:t>
      </w:r>
      <w:r>
        <w:t>pays</w:t>
      </w:r>
      <w:r w:rsidRPr="002C4077">
        <w:t xml:space="preserve"> </w:t>
      </w:r>
      <w:r>
        <w:t>pour</w:t>
      </w:r>
      <w:r w:rsidRPr="002C4077">
        <w:t xml:space="preserve"> </w:t>
      </w:r>
      <w:r>
        <w:t>les</w:t>
      </w:r>
      <w:r w:rsidRPr="002C4077">
        <w:t xml:space="preserve"> </w:t>
      </w:r>
      <w:r>
        <w:t>éloigner</w:t>
      </w:r>
      <w:r w:rsidRPr="002C4077">
        <w:t xml:space="preserve"> </w:t>
      </w:r>
      <w:r>
        <w:t>de</w:t>
      </w:r>
      <w:r w:rsidRPr="002C4077">
        <w:t xml:space="preserve"> </w:t>
      </w:r>
      <w:r>
        <w:t>nous.</w:t>
      </w:r>
      <w:r w:rsidRPr="002C4077">
        <w:t xml:space="preserve"> </w:t>
      </w:r>
      <w:r>
        <w:t>Il</w:t>
      </w:r>
      <w:r w:rsidRPr="002C4077">
        <w:t xml:space="preserve"> </w:t>
      </w:r>
      <w:r>
        <w:t>y</w:t>
      </w:r>
      <w:r w:rsidRPr="002C4077">
        <w:t xml:space="preserve"> </w:t>
      </w:r>
      <w:r>
        <w:t>avait</w:t>
      </w:r>
      <w:r w:rsidRPr="002C4077">
        <w:t xml:space="preserve"> </w:t>
      </w:r>
      <w:r>
        <w:t>là</w:t>
      </w:r>
      <w:r w:rsidRPr="002C4077">
        <w:t xml:space="preserve"> </w:t>
      </w:r>
      <w:r>
        <w:t>autrefois</w:t>
      </w:r>
      <w:r w:rsidRPr="002C4077">
        <w:t xml:space="preserve"> </w:t>
      </w:r>
      <w:r>
        <w:t>une</w:t>
      </w:r>
      <w:r w:rsidRPr="002C4077">
        <w:t xml:space="preserve"> </w:t>
      </w:r>
      <w:r>
        <w:t>belle</w:t>
      </w:r>
      <w:r w:rsidRPr="002C4077">
        <w:t xml:space="preserve"> </w:t>
      </w:r>
      <w:r>
        <w:t>église,</w:t>
      </w:r>
      <w:r w:rsidRPr="002C4077">
        <w:t xml:space="preserve"> </w:t>
      </w:r>
      <w:r>
        <w:t>mais</w:t>
      </w:r>
      <w:r w:rsidRPr="002C4077">
        <w:t xml:space="preserve"> </w:t>
      </w:r>
      <w:r>
        <w:t>elle</w:t>
      </w:r>
      <w:r w:rsidRPr="002C4077">
        <w:t xml:space="preserve"> </w:t>
      </w:r>
      <w:r w:rsidR="00425C50">
        <w:t>est</w:t>
      </w:r>
      <w:r w:rsidRPr="002C4077">
        <w:t xml:space="preserve"> </w:t>
      </w:r>
      <w:r>
        <w:t>presque</w:t>
      </w:r>
      <w:r w:rsidRPr="002C4077">
        <w:t xml:space="preserve"> </w:t>
      </w:r>
      <w:r>
        <w:t>détruite.</w:t>
      </w:r>
      <w:r w:rsidRPr="002C4077">
        <w:t xml:space="preserve"> </w:t>
      </w:r>
      <w:r>
        <w:t>Il</w:t>
      </w:r>
      <w:r w:rsidRPr="002C4077">
        <w:t xml:space="preserve"> </w:t>
      </w:r>
      <w:r>
        <w:t>reste</w:t>
      </w:r>
      <w:r w:rsidRPr="002C4077">
        <w:t xml:space="preserve"> </w:t>
      </w:r>
      <w:r>
        <w:t>encore</w:t>
      </w:r>
      <w:r w:rsidRPr="002C4077">
        <w:t xml:space="preserve"> </w:t>
      </w:r>
      <w:r>
        <w:t>une</w:t>
      </w:r>
      <w:r w:rsidRPr="002C4077">
        <w:t xml:space="preserve"> </w:t>
      </w:r>
      <w:r>
        <w:t>chapelle</w:t>
      </w:r>
      <w:r w:rsidRPr="002C4077">
        <w:t xml:space="preserve"> </w:t>
      </w:r>
      <w:r>
        <w:t>souterraine,</w:t>
      </w:r>
      <w:r w:rsidRPr="002C4077">
        <w:t xml:space="preserve"> </w:t>
      </w:r>
      <w:r>
        <w:t>mais</w:t>
      </w:r>
      <w:r w:rsidRPr="002C4077">
        <w:t xml:space="preserve"> </w:t>
      </w:r>
      <w:r>
        <w:t>il</w:t>
      </w:r>
      <w:r w:rsidRPr="002C4077">
        <w:t xml:space="preserve"> </w:t>
      </w:r>
      <w:r>
        <w:t>n’y</w:t>
      </w:r>
      <w:r w:rsidRPr="002C4077">
        <w:t xml:space="preserve"> </w:t>
      </w:r>
      <w:r>
        <w:t>a</w:t>
      </w:r>
      <w:r w:rsidRPr="002C4077">
        <w:t xml:space="preserve"> </w:t>
      </w:r>
      <w:r>
        <w:t>plus</w:t>
      </w:r>
      <w:r w:rsidRPr="002C4077">
        <w:t xml:space="preserve"> </w:t>
      </w:r>
      <w:r>
        <w:t>qu’un</w:t>
      </w:r>
      <w:r w:rsidRPr="002C4077">
        <w:t xml:space="preserve"> </w:t>
      </w:r>
      <w:r w:rsidR="00425C50">
        <w:t>prêtre</w:t>
      </w:r>
      <w:r w:rsidRPr="002C4077">
        <w:t xml:space="preserve"> </w:t>
      </w:r>
      <w:r>
        <w:t>et</w:t>
      </w:r>
      <w:r w:rsidRPr="002C4077">
        <w:t xml:space="preserve"> </w:t>
      </w:r>
      <w:r>
        <w:t>seulement</w:t>
      </w:r>
      <w:r w:rsidRPr="002C4077">
        <w:t xml:space="preserve"> </w:t>
      </w:r>
      <w:r w:rsidR="006E11E9">
        <w:t>deux</w:t>
      </w:r>
      <w:r w:rsidR="006E11E9" w:rsidRPr="002C4077">
        <w:t xml:space="preserve"> </w:t>
      </w:r>
      <w:r w:rsidR="006E11E9">
        <w:t>chrétiens</w:t>
      </w:r>
      <w:r w:rsidR="006E11E9" w:rsidRPr="002C4077">
        <w:t xml:space="preserve"> </w:t>
      </w:r>
      <w:r w:rsidR="006E11E9">
        <w:t>…</w:t>
      </w:r>
      <w:r w:rsidR="006E11E9" w:rsidRPr="002C4077">
        <w:t xml:space="preserve"> </w:t>
      </w:r>
      <w:r>
        <w:t>L’</w:t>
      </w:r>
      <w:r w:rsidR="006E11E9">
        <w:t>unique</w:t>
      </w:r>
      <w:r w:rsidR="006E11E9" w:rsidRPr="002C4077">
        <w:t xml:space="preserve"> </w:t>
      </w:r>
      <w:r w:rsidR="006E11E9">
        <w:t>chapelle</w:t>
      </w:r>
      <w:r w:rsidR="006E11E9" w:rsidRPr="002C4077">
        <w:t xml:space="preserve"> </w:t>
      </w:r>
      <w:r w:rsidR="006E11E9">
        <w:t>qui</w:t>
      </w:r>
      <w:r w:rsidR="006E11E9" w:rsidRPr="002C4077">
        <w:t xml:space="preserve"> </w:t>
      </w:r>
      <w:r w:rsidR="006E11E9">
        <w:t>reste</w:t>
      </w:r>
      <w:r w:rsidR="006E11E9" w:rsidRPr="002C4077">
        <w:t xml:space="preserve"> </w:t>
      </w:r>
      <w:r w:rsidR="006E11E9">
        <w:t>tombe</w:t>
      </w:r>
      <w:r w:rsidR="006E11E9" w:rsidRPr="002C4077">
        <w:t xml:space="preserve"> </w:t>
      </w:r>
      <w:r>
        <w:t>en</w:t>
      </w:r>
      <w:r w:rsidRPr="002C4077">
        <w:t xml:space="preserve"> </w:t>
      </w:r>
      <w:r>
        <w:t>ruines</w:t>
      </w:r>
      <w:r w:rsidRPr="002C4077">
        <w:t xml:space="preserve"> </w:t>
      </w:r>
      <w:r>
        <w:t>Le</w:t>
      </w:r>
      <w:r w:rsidRPr="002C4077">
        <w:t xml:space="preserve"> </w:t>
      </w:r>
      <w:r>
        <w:t>village</w:t>
      </w:r>
      <w:r w:rsidRPr="002C4077">
        <w:t xml:space="preserve"> </w:t>
      </w:r>
      <w:r>
        <w:t>n’était</w:t>
      </w:r>
      <w:r w:rsidRPr="002C4077">
        <w:t xml:space="preserve"> </w:t>
      </w:r>
      <w:r>
        <w:t>pas</w:t>
      </w:r>
      <w:r w:rsidRPr="002C4077">
        <w:t xml:space="preserve"> </w:t>
      </w:r>
      <w:r>
        <w:t>en</w:t>
      </w:r>
      <w:r w:rsidRPr="002C4077">
        <w:t xml:space="preserve"> </w:t>
      </w:r>
      <w:r>
        <w:t>meilleur</w:t>
      </w:r>
      <w:r w:rsidRPr="002C4077">
        <w:t xml:space="preserve"> </w:t>
      </w:r>
      <w:r>
        <w:t>état</w:t>
      </w:r>
      <w:r w:rsidRPr="002C4077">
        <w:t xml:space="preserve"> </w:t>
      </w:r>
      <w:r>
        <w:t>que</w:t>
      </w:r>
      <w:r w:rsidRPr="002C4077">
        <w:t xml:space="preserve"> </w:t>
      </w:r>
      <w:r>
        <w:t>les</w:t>
      </w:r>
      <w:r w:rsidRPr="002C4077">
        <w:t xml:space="preserve"> </w:t>
      </w:r>
      <w:r>
        <w:lastRenderedPageBreak/>
        <w:t>églises</w:t>
      </w:r>
      <w:r w:rsidR="00B546AF">
        <w:t> :</w:t>
      </w:r>
      <w:r w:rsidRPr="002C4077">
        <w:t xml:space="preserve"> </w:t>
      </w:r>
      <w:r>
        <w:t>ce</w:t>
      </w:r>
      <w:r w:rsidRPr="002C4077">
        <w:t xml:space="preserve"> </w:t>
      </w:r>
      <w:r>
        <w:t>n’était</w:t>
      </w:r>
      <w:r w:rsidRPr="002C4077">
        <w:t xml:space="preserve"> </w:t>
      </w:r>
      <w:r>
        <w:t>qu’un</w:t>
      </w:r>
      <w:r w:rsidRPr="002C4077">
        <w:t xml:space="preserve"> </w:t>
      </w:r>
      <w:r>
        <w:t>triste</w:t>
      </w:r>
      <w:r w:rsidRPr="002C4077">
        <w:t xml:space="preserve"> </w:t>
      </w:r>
      <w:r>
        <w:t>amas</w:t>
      </w:r>
      <w:r w:rsidRPr="002C4077">
        <w:t xml:space="preserve"> </w:t>
      </w:r>
      <w:r>
        <w:t>de</w:t>
      </w:r>
      <w:r w:rsidRPr="002C4077">
        <w:t xml:space="preserve"> </w:t>
      </w:r>
      <w:r>
        <w:t>décombres.</w:t>
      </w:r>
      <w:r w:rsidRPr="002C4077">
        <w:t xml:space="preserve"> </w:t>
      </w:r>
      <w:r w:rsidR="006F72A8">
        <w:t>Quaresmius</w:t>
      </w:r>
      <w:r w:rsidRPr="002C4077">
        <w:t xml:space="preserve"> </w:t>
      </w:r>
      <w:r>
        <w:t>en</w:t>
      </w:r>
      <w:r w:rsidRPr="002C4077">
        <w:t xml:space="preserve"> </w:t>
      </w:r>
      <w:r>
        <w:t>donne</w:t>
      </w:r>
      <w:r w:rsidRPr="002C4077">
        <w:t xml:space="preserve"> </w:t>
      </w:r>
      <w:r>
        <w:t>une</w:t>
      </w:r>
      <w:r w:rsidRPr="002C4077">
        <w:t xml:space="preserve"> </w:t>
      </w:r>
      <w:r>
        <w:t>description</w:t>
      </w:r>
      <w:r w:rsidRPr="002C4077">
        <w:t xml:space="preserve"> </w:t>
      </w:r>
      <w:r>
        <w:t>navrante</w:t>
      </w:r>
      <w:r w:rsidR="00B546AF">
        <w:t> :</w:t>
      </w:r>
      <w:r w:rsidRPr="002C4077">
        <w:t xml:space="preserve"> </w:t>
      </w:r>
      <w:r w:rsidRPr="000A34B5">
        <w:rPr>
          <w:rStyle w:val="italicus"/>
        </w:rPr>
        <w:t>C</w:t>
      </w:r>
      <w:r w:rsidR="003B53FD">
        <w:rPr>
          <w:rStyle w:val="italicus"/>
        </w:rPr>
        <w:t>í</w:t>
      </w:r>
      <w:r w:rsidR="003B53FD" w:rsidRPr="000A34B5">
        <w:rPr>
          <w:rStyle w:val="italicus"/>
        </w:rPr>
        <w:t>vitas</w:t>
      </w:r>
      <w:r w:rsidRPr="002C4077">
        <w:t xml:space="preserve"> </w:t>
      </w:r>
      <w:r w:rsidRPr="000A34B5">
        <w:rPr>
          <w:rStyle w:val="italicus"/>
        </w:rPr>
        <w:t>hæc….</w:t>
      </w:r>
      <w:r w:rsidRPr="002C4077">
        <w:t xml:space="preserve"> </w:t>
      </w:r>
      <w:r w:rsidRPr="000A34B5">
        <w:rPr>
          <w:rStyle w:val="italicus"/>
        </w:rPr>
        <w:t>fere</w:t>
      </w:r>
      <w:r w:rsidRPr="002C4077">
        <w:t xml:space="preserve"> </w:t>
      </w:r>
      <w:r w:rsidRPr="000A34B5">
        <w:rPr>
          <w:rStyle w:val="italicus"/>
        </w:rPr>
        <w:t>tota</w:t>
      </w:r>
      <w:r w:rsidRPr="002C4077">
        <w:t xml:space="preserve"> </w:t>
      </w:r>
      <w:r w:rsidRPr="000A34B5">
        <w:rPr>
          <w:rStyle w:val="italicus"/>
        </w:rPr>
        <w:t>coll</w:t>
      </w:r>
      <w:r w:rsidR="006E11E9">
        <w:rPr>
          <w:rStyle w:val="italicus"/>
        </w:rPr>
        <w:t>á</w:t>
      </w:r>
      <w:r w:rsidRPr="000A34B5">
        <w:rPr>
          <w:rStyle w:val="italicus"/>
        </w:rPr>
        <w:t>psa</w:t>
      </w:r>
      <w:r w:rsidR="00B546AF">
        <w:rPr>
          <w:rStyle w:val="italicus"/>
        </w:rPr>
        <w:t> </w:t>
      </w:r>
      <w:r w:rsidR="00B546AF" w:rsidRPr="000A34B5">
        <w:rPr>
          <w:rStyle w:val="italicus"/>
        </w:rPr>
        <w:t>:</w:t>
      </w:r>
      <w:r w:rsidRPr="002C4077">
        <w:t xml:space="preserve"> </w:t>
      </w:r>
      <w:r w:rsidRPr="000A34B5">
        <w:rPr>
          <w:rStyle w:val="italicus"/>
        </w:rPr>
        <w:t>i</w:t>
      </w:r>
      <w:r w:rsidR="006F72A8">
        <w:rPr>
          <w:rStyle w:val="italicus"/>
        </w:rPr>
        <w:t>n</w:t>
      </w:r>
      <w:r w:rsidR="006F72A8" w:rsidRPr="002C4077">
        <w:t xml:space="preserve"> </w:t>
      </w:r>
      <w:r w:rsidR="006F72A8">
        <w:rPr>
          <w:rStyle w:val="italicus"/>
        </w:rPr>
        <w:t>ejus</w:t>
      </w:r>
      <w:r w:rsidR="006F72A8" w:rsidRPr="002C4077">
        <w:t xml:space="preserve"> </w:t>
      </w:r>
      <w:r w:rsidR="006F72A8">
        <w:rPr>
          <w:rStyle w:val="italicus"/>
        </w:rPr>
        <w:t>situ</w:t>
      </w:r>
      <w:r w:rsidR="006F72A8" w:rsidRPr="002C4077">
        <w:t xml:space="preserve"> </w:t>
      </w:r>
      <w:r w:rsidR="006F72A8">
        <w:rPr>
          <w:rStyle w:val="italicus"/>
        </w:rPr>
        <w:t>paucæ</w:t>
      </w:r>
      <w:r w:rsidR="006F72A8" w:rsidRPr="002C4077">
        <w:t xml:space="preserve"> </w:t>
      </w:r>
      <w:r w:rsidR="006F72A8">
        <w:rPr>
          <w:rStyle w:val="italicus"/>
        </w:rPr>
        <w:t>et</w:t>
      </w:r>
      <w:r w:rsidR="006F72A8" w:rsidRPr="002C4077">
        <w:t xml:space="preserve"> </w:t>
      </w:r>
      <w:r w:rsidR="006F72A8">
        <w:rPr>
          <w:rStyle w:val="italicus"/>
        </w:rPr>
        <w:t>pauperc</w:t>
      </w:r>
      <w:r w:rsidR="006E11E9">
        <w:rPr>
          <w:rStyle w:val="italicus"/>
        </w:rPr>
        <w:t>ú</w:t>
      </w:r>
      <w:r w:rsidR="006F72A8">
        <w:rPr>
          <w:rStyle w:val="italicus"/>
        </w:rPr>
        <w:t>læ</w:t>
      </w:r>
      <w:r w:rsidR="006F72A8" w:rsidRPr="002C4077">
        <w:t xml:space="preserve"> </w:t>
      </w:r>
      <w:r w:rsidR="006F72A8">
        <w:rPr>
          <w:rStyle w:val="italicus"/>
        </w:rPr>
        <w:t>domus,</w:t>
      </w:r>
      <w:r w:rsidR="006F72A8" w:rsidRPr="002C4077">
        <w:t xml:space="preserve"> </w:t>
      </w:r>
      <w:r w:rsidR="006F72A8">
        <w:rPr>
          <w:rStyle w:val="italicus"/>
        </w:rPr>
        <w:t>tal</w:t>
      </w:r>
      <w:r w:rsidRPr="000A34B5">
        <w:rPr>
          <w:rStyle w:val="italicus"/>
        </w:rPr>
        <w:t>es</w:t>
      </w:r>
      <w:r w:rsidRPr="002C4077">
        <w:t xml:space="preserve"> </w:t>
      </w:r>
      <w:r w:rsidRPr="000A34B5">
        <w:rPr>
          <w:rStyle w:val="italicus"/>
        </w:rPr>
        <w:t>dicas,</w:t>
      </w:r>
      <w:r w:rsidRPr="002C4077">
        <w:t xml:space="preserve"> </w:t>
      </w:r>
      <w:r w:rsidRPr="000A34B5">
        <w:rPr>
          <w:rStyle w:val="italicus"/>
        </w:rPr>
        <w:t>quales</w:t>
      </w:r>
      <w:r w:rsidRPr="002C4077">
        <w:t xml:space="preserve"> </w:t>
      </w:r>
      <w:r w:rsidRPr="000A34B5">
        <w:rPr>
          <w:rStyle w:val="italicus"/>
        </w:rPr>
        <w:t>et</w:t>
      </w:r>
      <w:r w:rsidRPr="002C4077">
        <w:t xml:space="preserve"> </w:t>
      </w:r>
      <w:r w:rsidRPr="000A34B5">
        <w:rPr>
          <w:rStyle w:val="italicus"/>
        </w:rPr>
        <w:t>habitantes</w:t>
      </w:r>
      <w:r w:rsidRPr="002C4077">
        <w:t xml:space="preserve"> </w:t>
      </w:r>
      <w:r w:rsidRPr="000A34B5">
        <w:rPr>
          <w:rStyle w:val="italicus"/>
        </w:rPr>
        <w:t>in</w:t>
      </w:r>
      <w:r w:rsidRPr="002C4077">
        <w:t xml:space="preserve"> </w:t>
      </w:r>
      <w:r w:rsidRPr="000A34B5">
        <w:rPr>
          <w:rStyle w:val="italicus"/>
        </w:rPr>
        <w:t>ips</w:t>
      </w:r>
      <w:r w:rsidR="00F6492C" w:rsidRPr="000A34B5">
        <w:rPr>
          <w:rStyle w:val="italicus"/>
        </w:rPr>
        <w:t>is</w:t>
      </w:r>
      <w:r w:rsidR="00F6492C">
        <w:rPr>
          <w:rStyle w:val="Appelnotedebasdep"/>
          <w:i/>
        </w:rPr>
        <w:footnoteReference w:id="751"/>
      </w:r>
      <w:r w:rsidR="00F6492C" w:rsidRPr="000A34B5">
        <w:rPr>
          <w:rStyle w:val="italicus"/>
        </w:rPr>
        <w:t>.</w:t>
      </w:r>
      <w:r w:rsidR="00C45B47">
        <w:t xml:space="preserve"> {</w:t>
      </w:r>
      <w:r w:rsidR="001F5257">
        <w:t>237</w:t>
      </w:r>
      <w:bookmarkStart w:id="572" w:name="p237"/>
      <w:bookmarkEnd w:id="572"/>
      <w:r w:rsidR="001F5257">
        <w:t xml:space="preserve">} </w:t>
      </w:r>
    </w:p>
    <w:p w:rsidR="000A7AAB" w:rsidRDefault="000A7AAB" w:rsidP="000A7AAB">
      <w:r>
        <w:t>C’est</w:t>
      </w:r>
      <w:r w:rsidRPr="002C4077">
        <w:t xml:space="preserve"> </w:t>
      </w:r>
      <w:r>
        <w:t>aux</w:t>
      </w:r>
      <w:r w:rsidRPr="002C4077">
        <w:t xml:space="preserve"> </w:t>
      </w:r>
      <w:r>
        <w:t>moines</w:t>
      </w:r>
      <w:r w:rsidRPr="002C4077">
        <w:t xml:space="preserve"> </w:t>
      </w:r>
      <w:r>
        <w:t>franciscains</w:t>
      </w:r>
      <w:r w:rsidRPr="002C4077">
        <w:t xml:space="preserve"> </w:t>
      </w:r>
      <w:r>
        <w:t>que</w:t>
      </w:r>
      <w:r w:rsidRPr="002C4077">
        <w:t xml:space="preserve"> </w:t>
      </w:r>
      <w:r>
        <w:t>revient</w:t>
      </w:r>
      <w:r w:rsidRPr="002C4077">
        <w:t xml:space="preserve"> </w:t>
      </w:r>
      <w:r>
        <w:t>incontestablement</w:t>
      </w:r>
      <w:r w:rsidRPr="002C4077">
        <w:t xml:space="preserve"> </w:t>
      </w:r>
      <w:r>
        <w:t>l’honneur</w:t>
      </w:r>
      <w:r w:rsidRPr="002C4077">
        <w:t xml:space="preserve"> </w:t>
      </w:r>
      <w:r>
        <w:t>d’avoir</w:t>
      </w:r>
      <w:r w:rsidRPr="002C4077">
        <w:t xml:space="preserve"> </w:t>
      </w:r>
      <w:r>
        <w:t>rendu</w:t>
      </w:r>
      <w:r w:rsidRPr="002C4077">
        <w:t xml:space="preserve"> </w:t>
      </w:r>
      <w:r>
        <w:t>la</w:t>
      </w:r>
      <w:r w:rsidRPr="002C4077">
        <w:t xml:space="preserve"> </w:t>
      </w:r>
      <w:r>
        <w:t>vie</w:t>
      </w:r>
      <w:r w:rsidRPr="002C4077">
        <w:t xml:space="preserve"> </w:t>
      </w:r>
      <w:r>
        <w:t>à</w:t>
      </w:r>
      <w:r w:rsidRPr="002C4077">
        <w:t xml:space="preserve"> </w:t>
      </w:r>
      <w:r>
        <w:t>Nazareth.</w:t>
      </w:r>
      <w:r w:rsidRPr="002C4077">
        <w:t xml:space="preserve"> </w:t>
      </w:r>
      <w:r>
        <w:t>En</w:t>
      </w:r>
      <w:r w:rsidRPr="002C4077">
        <w:t xml:space="preserve"> </w:t>
      </w:r>
      <w:r>
        <w:t>1620,</w:t>
      </w:r>
      <w:r w:rsidRPr="002C4077">
        <w:t xml:space="preserve"> </w:t>
      </w:r>
      <w:r>
        <w:t>ils</w:t>
      </w:r>
      <w:r w:rsidRPr="002C4077">
        <w:t xml:space="preserve"> </w:t>
      </w:r>
      <w:r>
        <w:t>obtinrent</w:t>
      </w:r>
      <w:r w:rsidRPr="002C4077">
        <w:t xml:space="preserve"> </w:t>
      </w:r>
      <w:r>
        <w:t>de</w:t>
      </w:r>
      <w:r w:rsidRPr="002C4077">
        <w:t xml:space="preserve"> </w:t>
      </w:r>
      <w:r>
        <w:t>Facreddin</w:t>
      </w:r>
      <w:r w:rsidRPr="002C4077">
        <w:t xml:space="preserve"> </w:t>
      </w:r>
      <w:r>
        <w:t>un</w:t>
      </w:r>
      <w:r w:rsidRPr="002C4077">
        <w:t xml:space="preserve"> </w:t>
      </w:r>
      <w:r>
        <w:t>firman</w:t>
      </w:r>
      <w:r w:rsidRPr="002C4077">
        <w:t xml:space="preserve"> </w:t>
      </w:r>
      <w:r>
        <w:t>qui</w:t>
      </w:r>
      <w:r w:rsidRPr="002C4077">
        <w:t xml:space="preserve"> </w:t>
      </w:r>
      <w:r>
        <w:t>leur</w:t>
      </w:r>
      <w:r w:rsidRPr="002C4077">
        <w:t xml:space="preserve"> </w:t>
      </w:r>
      <w:r w:rsidR="006F72A8">
        <w:t>permettait</w:t>
      </w:r>
      <w:r w:rsidRPr="002C4077">
        <w:t xml:space="preserve"> </w:t>
      </w:r>
      <w:r>
        <w:t>de</w:t>
      </w:r>
      <w:r w:rsidRPr="002C4077">
        <w:t xml:space="preserve"> </w:t>
      </w:r>
      <w:r>
        <w:t>reconstruire</w:t>
      </w:r>
      <w:r w:rsidRPr="002C4077">
        <w:t xml:space="preserve"> </w:t>
      </w:r>
      <w:r>
        <w:t>le</w:t>
      </w:r>
      <w:r w:rsidRPr="002C4077">
        <w:t xml:space="preserve"> </w:t>
      </w:r>
      <w:r>
        <w:t>sanctuaire</w:t>
      </w:r>
      <w:r w:rsidRPr="002C4077">
        <w:t xml:space="preserve"> </w:t>
      </w:r>
      <w:r>
        <w:t>de</w:t>
      </w:r>
      <w:r w:rsidRPr="002C4077">
        <w:t xml:space="preserve"> </w:t>
      </w:r>
      <w:r>
        <w:t>l’Annonciation.</w:t>
      </w:r>
      <w:r w:rsidRPr="002C4077">
        <w:t xml:space="preserve"> </w:t>
      </w:r>
      <w:r>
        <w:t>Ils</w:t>
      </w:r>
      <w:r w:rsidRPr="002C4077">
        <w:t xml:space="preserve"> </w:t>
      </w:r>
      <w:r>
        <w:t>se</w:t>
      </w:r>
      <w:r w:rsidRPr="002C4077">
        <w:t xml:space="preserve"> </w:t>
      </w:r>
      <w:r>
        <w:t>mirent</w:t>
      </w:r>
      <w:r w:rsidRPr="002C4077">
        <w:t xml:space="preserve"> </w:t>
      </w:r>
      <w:r>
        <w:t>aussitôt</w:t>
      </w:r>
      <w:r w:rsidRPr="002C4077">
        <w:t xml:space="preserve"> </w:t>
      </w:r>
      <w:r>
        <w:t>à</w:t>
      </w:r>
      <w:r w:rsidRPr="002C4077">
        <w:t xml:space="preserve"> </w:t>
      </w:r>
      <w:r>
        <w:t>l’œuvre</w:t>
      </w:r>
      <w:r w:rsidR="00B546AF">
        <w:t> ;</w:t>
      </w:r>
      <w:r w:rsidRPr="002C4077">
        <w:t xml:space="preserve"> </w:t>
      </w:r>
      <w:r>
        <w:t>mais</w:t>
      </w:r>
      <w:r w:rsidRPr="002C4077">
        <w:t xml:space="preserve"> </w:t>
      </w:r>
      <w:r>
        <w:t>ils</w:t>
      </w:r>
      <w:r w:rsidRPr="002C4077">
        <w:t xml:space="preserve"> </w:t>
      </w:r>
      <w:r>
        <w:t>se</w:t>
      </w:r>
      <w:r w:rsidRPr="002C4077">
        <w:t xml:space="preserve"> </w:t>
      </w:r>
      <w:r>
        <w:t>trouvèrent</w:t>
      </w:r>
      <w:r w:rsidRPr="002C4077">
        <w:t xml:space="preserve"> </w:t>
      </w:r>
      <w:r>
        <w:t>en</w:t>
      </w:r>
      <w:r w:rsidRPr="002C4077">
        <w:t xml:space="preserve"> </w:t>
      </w:r>
      <w:r>
        <w:t>face</w:t>
      </w:r>
      <w:r w:rsidRPr="002C4077">
        <w:t xml:space="preserve"> </w:t>
      </w:r>
      <w:r>
        <w:t>de</w:t>
      </w:r>
      <w:r w:rsidRPr="002C4077">
        <w:t xml:space="preserve"> </w:t>
      </w:r>
      <w:r>
        <w:t>telles</w:t>
      </w:r>
      <w:r w:rsidRPr="002C4077">
        <w:t xml:space="preserve"> </w:t>
      </w:r>
      <w:r>
        <w:t>difficultés,</w:t>
      </w:r>
      <w:r w:rsidRPr="002C4077">
        <w:t xml:space="preserve"> </w:t>
      </w:r>
      <w:r>
        <w:t>qu’il</w:t>
      </w:r>
      <w:r w:rsidRPr="002C4077">
        <w:t xml:space="preserve"> </w:t>
      </w:r>
      <w:r>
        <w:t>leur</w:t>
      </w:r>
      <w:r w:rsidRPr="002C4077">
        <w:t xml:space="preserve"> </w:t>
      </w:r>
      <w:r>
        <w:t>fallut</w:t>
      </w:r>
      <w:r w:rsidRPr="002C4077">
        <w:t xml:space="preserve"> </w:t>
      </w:r>
      <w:r>
        <w:t>plus</w:t>
      </w:r>
      <w:r w:rsidRPr="002C4077">
        <w:t xml:space="preserve"> </w:t>
      </w:r>
      <w:r>
        <w:t>d’un</w:t>
      </w:r>
      <w:r w:rsidRPr="002C4077">
        <w:t xml:space="preserve"> </w:t>
      </w:r>
      <w:r>
        <w:t>siècle</w:t>
      </w:r>
      <w:r w:rsidRPr="002C4077">
        <w:t xml:space="preserve"> </w:t>
      </w:r>
      <w:r>
        <w:t>pour</w:t>
      </w:r>
      <w:r w:rsidRPr="002C4077">
        <w:t xml:space="preserve"> </w:t>
      </w:r>
      <w:r>
        <w:t>élever</w:t>
      </w:r>
      <w:r w:rsidRPr="002C4077">
        <w:t xml:space="preserve"> </w:t>
      </w:r>
      <w:r>
        <w:t>l’édifice</w:t>
      </w:r>
      <w:r w:rsidRPr="002C4077">
        <w:t xml:space="preserve"> </w:t>
      </w:r>
      <w:r>
        <w:t>actuel</w:t>
      </w:r>
      <w:r w:rsidRPr="002C4077">
        <w:t xml:space="preserve"> </w:t>
      </w:r>
      <w:r>
        <w:t>et</w:t>
      </w:r>
      <w:r w:rsidRPr="002C4077">
        <w:t xml:space="preserve"> </w:t>
      </w:r>
      <w:r>
        <w:t>le</w:t>
      </w:r>
      <w:r w:rsidRPr="002C4077">
        <w:t xml:space="preserve"> </w:t>
      </w:r>
      <w:r>
        <w:t>couvent.</w:t>
      </w:r>
      <w:r w:rsidRPr="002C4077">
        <w:t xml:space="preserve"> </w:t>
      </w:r>
      <w:r>
        <w:t>Néanmoins</w:t>
      </w:r>
      <w:r w:rsidRPr="002C4077">
        <w:t xml:space="preserve"> </w:t>
      </w:r>
      <w:r>
        <w:t>les</w:t>
      </w:r>
      <w:r w:rsidRPr="002C4077">
        <w:t xml:space="preserve"> </w:t>
      </w:r>
      <w:r>
        <w:t>chrétiens,</w:t>
      </w:r>
      <w:r w:rsidRPr="002C4077">
        <w:t xml:space="preserve"> </w:t>
      </w:r>
      <w:r>
        <w:t>encouragés</w:t>
      </w:r>
      <w:r w:rsidRPr="002C4077">
        <w:t xml:space="preserve"> </w:t>
      </w:r>
      <w:r>
        <w:t>par</w:t>
      </w:r>
      <w:r w:rsidRPr="002C4077">
        <w:t xml:space="preserve"> </w:t>
      </w:r>
      <w:r>
        <w:t>eux,</w:t>
      </w:r>
      <w:r w:rsidRPr="002C4077">
        <w:t xml:space="preserve"> </w:t>
      </w:r>
      <w:r>
        <w:t>vinrent</w:t>
      </w:r>
      <w:r w:rsidRPr="002C4077">
        <w:t xml:space="preserve"> </w:t>
      </w:r>
      <w:r>
        <w:t>se</w:t>
      </w:r>
      <w:r w:rsidRPr="002C4077">
        <w:t xml:space="preserve"> </w:t>
      </w:r>
      <w:r>
        <w:t>fixer</w:t>
      </w:r>
      <w:r w:rsidRPr="002C4077">
        <w:t xml:space="preserve"> </w:t>
      </w:r>
      <w:r>
        <w:t>de</w:t>
      </w:r>
      <w:r w:rsidRPr="002C4077">
        <w:t xml:space="preserve"> </w:t>
      </w:r>
      <w:r>
        <w:t>nouveau</w:t>
      </w:r>
      <w:r w:rsidRPr="002C4077">
        <w:t xml:space="preserve"> </w:t>
      </w:r>
      <w:r>
        <w:t>dans</w:t>
      </w:r>
      <w:r w:rsidRPr="002C4077">
        <w:t xml:space="preserve"> </w:t>
      </w:r>
      <w:r>
        <w:t>la</w:t>
      </w:r>
      <w:r w:rsidRPr="002C4077">
        <w:t xml:space="preserve"> </w:t>
      </w:r>
      <w:r>
        <w:t>ville,</w:t>
      </w:r>
      <w:r w:rsidRPr="002C4077">
        <w:t xml:space="preserve"> </w:t>
      </w:r>
      <w:r>
        <w:t>et</w:t>
      </w:r>
      <w:r w:rsidRPr="002C4077">
        <w:t xml:space="preserve"> </w:t>
      </w:r>
      <w:r>
        <w:t>c’est</w:t>
      </w:r>
      <w:r w:rsidRPr="002C4077">
        <w:t xml:space="preserve"> </w:t>
      </w:r>
      <w:r>
        <w:t>ainsi</w:t>
      </w:r>
      <w:r w:rsidRPr="002C4077">
        <w:t xml:space="preserve"> </w:t>
      </w:r>
      <w:r>
        <w:t>que</w:t>
      </w:r>
      <w:r w:rsidRPr="002C4077">
        <w:t xml:space="preserve"> </w:t>
      </w:r>
      <w:r>
        <w:t>Nazareth</w:t>
      </w:r>
      <w:r w:rsidRPr="002C4077">
        <w:t xml:space="preserve"> </w:t>
      </w:r>
      <w:r>
        <w:t>ressuscita</w:t>
      </w:r>
      <w:r w:rsidRPr="002C4077">
        <w:t xml:space="preserve"> </w:t>
      </w:r>
      <w:r>
        <w:t>peu</w:t>
      </w:r>
      <w:r w:rsidRPr="002C4077">
        <w:t xml:space="preserve"> </w:t>
      </w:r>
      <w:r>
        <w:t>à</w:t>
      </w:r>
      <w:r w:rsidRPr="002C4077">
        <w:t xml:space="preserve"> </w:t>
      </w:r>
      <w:r>
        <w:t>peu.</w:t>
      </w:r>
      <w:r w:rsidRPr="002C4077">
        <w:t xml:space="preserve"> </w:t>
      </w:r>
      <w:r>
        <w:t>Cependant,</w:t>
      </w:r>
      <w:r w:rsidRPr="002C4077">
        <w:t xml:space="preserve"> </w:t>
      </w:r>
      <w:r>
        <w:t>la</w:t>
      </w:r>
      <w:r w:rsidRPr="002C4077">
        <w:t xml:space="preserve"> </w:t>
      </w:r>
      <w:r>
        <w:t>cité</w:t>
      </w:r>
      <w:r w:rsidRPr="002C4077">
        <w:t xml:space="preserve"> </w:t>
      </w:r>
      <w:r>
        <w:t>du</w:t>
      </w:r>
      <w:r w:rsidRPr="002C4077">
        <w:t xml:space="preserve"> </w:t>
      </w:r>
      <w:r>
        <w:t>Roi</w:t>
      </w:r>
      <w:r w:rsidRPr="002C4077">
        <w:t xml:space="preserve"> </w:t>
      </w:r>
      <w:r>
        <w:t>de</w:t>
      </w:r>
      <w:r w:rsidRPr="002C4077">
        <w:t xml:space="preserve"> </w:t>
      </w:r>
      <w:r>
        <w:t>paix</w:t>
      </w:r>
      <w:r w:rsidRPr="002C4077">
        <w:t xml:space="preserve"> </w:t>
      </w:r>
      <w:r>
        <w:t>devait</w:t>
      </w:r>
      <w:r w:rsidRPr="002C4077">
        <w:t xml:space="preserve"> </w:t>
      </w:r>
      <w:r>
        <w:t>entendre</w:t>
      </w:r>
      <w:r w:rsidRPr="002C4077">
        <w:t xml:space="preserve"> </w:t>
      </w:r>
      <w:r>
        <w:t>encore</w:t>
      </w:r>
      <w:r w:rsidRPr="002C4077">
        <w:t xml:space="preserve"> </w:t>
      </w:r>
      <w:r>
        <w:t>le</w:t>
      </w:r>
      <w:r w:rsidRPr="002C4077">
        <w:t xml:space="preserve"> </w:t>
      </w:r>
      <w:r>
        <w:t>fracas</w:t>
      </w:r>
      <w:r w:rsidRPr="002C4077">
        <w:t xml:space="preserve"> </w:t>
      </w:r>
      <w:r>
        <w:t>des</w:t>
      </w:r>
      <w:r w:rsidRPr="002C4077">
        <w:t xml:space="preserve"> </w:t>
      </w:r>
      <w:r>
        <w:t>armes.</w:t>
      </w:r>
      <w:r w:rsidRPr="002C4077">
        <w:t xml:space="preserve"> </w:t>
      </w:r>
      <w:r>
        <w:t>En</w:t>
      </w:r>
      <w:r w:rsidRPr="002C4077">
        <w:t xml:space="preserve"> </w:t>
      </w:r>
      <w:r>
        <w:t>1793,</w:t>
      </w:r>
      <w:r w:rsidRPr="002C4077">
        <w:t xml:space="preserve"> </w:t>
      </w:r>
      <w:r>
        <w:t>Junot,</w:t>
      </w:r>
      <w:r w:rsidRPr="002C4077">
        <w:t xml:space="preserve"> </w:t>
      </w:r>
      <w:r>
        <w:t>qui</w:t>
      </w:r>
      <w:r w:rsidRPr="002C4077">
        <w:t xml:space="preserve"> </w:t>
      </w:r>
      <w:r>
        <w:t>l’occupait</w:t>
      </w:r>
      <w:r w:rsidRPr="002C4077">
        <w:t xml:space="preserve"> </w:t>
      </w:r>
      <w:r>
        <w:t>avec</w:t>
      </w:r>
      <w:r w:rsidRPr="002C4077">
        <w:t xml:space="preserve"> </w:t>
      </w:r>
      <w:r>
        <w:t>les</w:t>
      </w:r>
      <w:r w:rsidRPr="002C4077">
        <w:t xml:space="preserve"> </w:t>
      </w:r>
      <w:r>
        <w:t>avant-postes</w:t>
      </w:r>
      <w:r w:rsidRPr="002C4077">
        <w:t xml:space="preserve"> </w:t>
      </w:r>
      <w:r>
        <w:t>de</w:t>
      </w:r>
      <w:r w:rsidRPr="002C4077">
        <w:t xml:space="preserve"> </w:t>
      </w:r>
      <w:r>
        <w:t>l’armée</w:t>
      </w:r>
      <w:r w:rsidRPr="002C4077">
        <w:t xml:space="preserve"> </w:t>
      </w:r>
      <w:r>
        <w:t>française,</w:t>
      </w:r>
      <w:r w:rsidRPr="002C4077">
        <w:t xml:space="preserve"> </w:t>
      </w:r>
      <w:r>
        <w:t>se</w:t>
      </w:r>
      <w:r w:rsidRPr="002C4077">
        <w:t xml:space="preserve"> </w:t>
      </w:r>
      <w:r>
        <w:t>vit</w:t>
      </w:r>
      <w:r w:rsidRPr="002C4077">
        <w:t xml:space="preserve"> </w:t>
      </w:r>
      <w:r>
        <w:t>attaqué</w:t>
      </w:r>
      <w:r w:rsidRPr="002C4077">
        <w:t xml:space="preserve"> </w:t>
      </w:r>
      <w:r>
        <w:t>à</w:t>
      </w:r>
      <w:r w:rsidRPr="002C4077">
        <w:t xml:space="preserve"> </w:t>
      </w:r>
      <w:r>
        <w:t>l’improviste</w:t>
      </w:r>
      <w:r w:rsidRPr="002C4077">
        <w:t xml:space="preserve"> </w:t>
      </w:r>
      <w:r>
        <w:t>parles</w:t>
      </w:r>
      <w:r w:rsidRPr="002C4077">
        <w:t xml:space="preserve"> </w:t>
      </w:r>
      <w:r>
        <w:t>troupes</w:t>
      </w:r>
      <w:r w:rsidRPr="002C4077">
        <w:t xml:space="preserve"> </w:t>
      </w:r>
      <w:r>
        <w:t>d’Abdallah,</w:t>
      </w:r>
      <w:r w:rsidRPr="002C4077">
        <w:t xml:space="preserve"> </w:t>
      </w:r>
      <w:r>
        <w:t>sultan</w:t>
      </w:r>
      <w:r w:rsidRPr="002C4077">
        <w:t xml:space="preserve"> </w:t>
      </w:r>
      <w:r>
        <w:t>de</w:t>
      </w:r>
      <w:r w:rsidRPr="002C4077">
        <w:t xml:space="preserve"> </w:t>
      </w:r>
      <w:r>
        <w:t>Damas.</w:t>
      </w:r>
      <w:r w:rsidRPr="002C4077">
        <w:t xml:space="preserve"> </w:t>
      </w:r>
      <w:r>
        <w:t>Il</w:t>
      </w:r>
      <w:r w:rsidRPr="002C4077">
        <w:t xml:space="preserve"> </w:t>
      </w:r>
      <w:r>
        <w:t>réussit</w:t>
      </w:r>
      <w:r w:rsidRPr="002C4077">
        <w:t xml:space="preserve"> </w:t>
      </w:r>
      <w:r>
        <w:t>à</w:t>
      </w:r>
      <w:r w:rsidRPr="002C4077">
        <w:t xml:space="preserve"> </w:t>
      </w:r>
      <w:r>
        <w:t>se</w:t>
      </w:r>
      <w:r w:rsidRPr="002C4077">
        <w:t xml:space="preserve"> </w:t>
      </w:r>
      <w:r>
        <w:t>maintenir</w:t>
      </w:r>
      <w:r w:rsidRPr="002C4077">
        <w:t xml:space="preserve"> </w:t>
      </w:r>
      <w:r>
        <w:t>victorieusement</w:t>
      </w:r>
      <w:r w:rsidRPr="002C4077">
        <w:t xml:space="preserve"> </w:t>
      </w:r>
      <w:r>
        <w:t>dans</w:t>
      </w:r>
      <w:r w:rsidRPr="002C4077">
        <w:t xml:space="preserve"> </w:t>
      </w:r>
      <w:r>
        <w:t>ses</w:t>
      </w:r>
      <w:r w:rsidRPr="002C4077">
        <w:t xml:space="preserve"> </w:t>
      </w:r>
      <w:r>
        <w:t>positions.</w:t>
      </w:r>
      <w:r w:rsidRPr="002C4077">
        <w:t xml:space="preserve"> </w:t>
      </w:r>
      <w:r>
        <w:t>Peu</w:t>
      </w:r>
      <w:r w:rsidRPr="002C4077">
        <w:t xml:space="preserve"> </w:t>
      </w:r>
      <w:r>
        <w:t>après,</w:t>
      </w:r>
      <w:r w:rsidRPr="002C4077">
        <w:t xml:space="preserve"> </w:t>
      </w:r>
      <w:r>
        <w:t>Bonaparte</w:t>
      </w:r>
      <w:r w:rsidRPr="002C4077">
        <w:t xml:space="preserve"> </w:t>
      </w:r>
      <w:r>
        <w:t>entrait</w:t>
      </w:r>
      <w:r w:rsidRPr="002C4077">
        <w:t xml:space="preserve"> </w:t>
      </w:r>
      <w:r>
        <w:t>dans</w:t>
      </w:r>
      <w:r w:rsidRPr="002C4077">
        <w:t xml:space="preserve"> </w:t>
      </w:r>
      <w:r>
        <w:t>Nazareth.</w:t>
      </w:r>
      <w:r w:rsidRPr="002C4077">
        <w:t xml:space="preserve"> </w:t>
      </w:r>
      <w:r>
        <w:t>Mais</w:t>
      </w:r>
      <w:r w:rsidRPr="002C4077">
        <w:t xml:space="preserve"> </w:t>
      </w:r>
      <w:r>
        <w:t>ce</w:t>
      </w:r>
      <w:r w:rsidRPr="002C4077">
        <w:t xml:space="preserve"> </w:t>
      </w:r>
      <w:r>
        <w:t>ne</w:t>
      </w:r>
      <w:r w:rsidRPr="002C4077">
        <w:t xml:space="preserve"> </w:t>
      </w:r>
      <w:r>
        <w:t>fut</w:t>
      </w:r>
      <w:r w:rsidRPr="002C4077">
        <w:t xml:space="preserve"> </w:t>
      </w:r>
      <w:r>
        <w:t>qu’une</w:t>
      </w:r>
      <w:r w:rsidRPr="002C4077">
        <w:t xml:space="preserve"> </w:t>
      </w:r>
      <w:r>
        <w:t>rapide</w:t>
      </w:r>
      <w:r w:rsidRPr="002C4077">
        <w:t xml:space="preserve"> </w:t>
      </w:r>
      <w:r>
        <w:t>apparition</w:t>
      </w:r>
      <w:r w:rsidRPr="002C4077">
        <w:t xml:space="preserve"> </w:t>
      </w:r>
      <w:r>
        <w:t>de</w:t>
      </w:r>
      <w:r w:rsidRPr="002C4077">
        <w:t xml:space="preserve"> </w:t>
      </w:r>
      <w:r>
        <w:t>quelques</w:t>
      </w:r>
      <w:r w:rsidRPr="002C4077">
        <w:t xml:space="preserve"> </w:t>
      </w:r>
      <w:r>
        <w:t>heures,</w:t>
      </w:r>
      <w:r w:rsidRPr="002C4077">
        <w:t xml:space="preserve"> </w:t>
      </w:r>
      <w:r>
        <w:t>et</w:t>
      </w:r>
      <w:r w:rsidRPr="002C4077">
        <w:t xml:space="preserve"> </w:t>
      </w:r>
      <w:r>
        <w:t>pas</w:t>
      </w:r>
      <w:r w:rsidRPr="002C4077">
        <w:t xml:space="preserve"> </w:t>
      </w:r>
      <w:r>
        <w:t>le</w:t>
      </w:r>
      <w:r w:rsidRPr="002C4077">
        <w:t xml:space="preserve"> </w:t>
      </w:r>
      <w:r>
        <w:t>moins</w:t>
      </w:r>
      <w:r w:rsidRPr="002C4077">
        <w:t xml:space="preserve"> </w:t>
      </w:r>
      <w:r>
        <w:t>du</w:t>
      </w:r>
      <w:r w:rsidRPr="002C4077">
        <w:t xml:space="preserve"> </w:t>
      </w:r>
      <w:r>
        <w:t>monde</w:t>
      </w:r>
      <w:r w:rsidRPr="002C4077">
        <w:t xml:space="preserve"> </w:t>
      </w:r>
      <w:r>
        <w:t>une</w:t>
      </w:r>
      <w:r w:rsidRPr="002C4077">
        <w:t xml:space="preserve"> </w:t>
      </w:r>
      <w:r>
        <w:t>visite</w:t>
      </w:r>
      <w:r w:rsidRPr="002C4077">
        <w:t xml:space="preserve"> </w:t>
      </w:r>
      <w:r>
        <w:t>de</w:t>
      </w:r>
      <w:r w:rsidRPr="002C4077">
        <w:t xml:space="preserve"> </w:t>
      </w:r>
      <w:r>
        <w:t>piété.</w:t>
      </w:r>
      <w:r w:rsidRPr="002C4077">
        <w:t xml:space="preserve"> </w:t>
      </w:r>
      <w:r>
        <w:t>En</w:t>
      </w:r>
      <w:r w:rsidRPr="002C4077">
        <w:t xml:space="preserve"> </w:t>
      </w:r>
      <w:r>
        <w:t>janvier</w:t>
      </w:r>
      <w:r w:rsidRPr="002C4077">
        <w:t xml:space="preserve"> </w:t>
      </w:r>
      <w:r>
        <w:t>1837,</w:t>
      </w:r>
      <w:r w:rsidRPr="002C4077">
        <w:t xml:space="preserve"> </w:t>
      </w:r>
      <w:r>
        <w:t>la</w:t>
      </w:r>
      <w:r w:rsidRPr="002C4077">
        <w:t xml:space="preserve"> </w:t>
      </w:r>
      <w:r>
        <w:t>ville</w:t>
      </w:r>
      <w:r w:rsidRPr="002C4077">
        <w:t xml:space="preserve"> </w:t>
      </w:r>
      <w:r>
        <w:t>eut</w:t>
      </w:r>
      <w:r w:rsidRPr="002C4077">
        <w:t xml:space="preserve"> </w:t>
      </w:r>
      <w:r>
        <w:t>beaucoup</w:t>
      </w:r>
      <w:r w:rsidRPr="002C4077">
        <w:t xml:space="preserve"> </w:t>
      </w:r>
      <w:r>
        <w:t>à</w:t>
      </w:r>
      <w:r w:rsidRPr="002C4077">
        <w:t xml:space="preserve"> </w:t>
      </w:r>
      <w:r>
        <w:t>souffrir</w:t>
      </w:r>
      <w:r w:rsidRPr="002C4077">
        <w:t xml:space="preserve"> </w:t>
      </w:r>
      <w:r>
        <w:t>du</w:t>
      </w:r>
      <w:r w:rsidRPr="002C4077">
        <w:t xml:space="preserve"> </w:t>
      </w:r>
      <w:r>
        <w:t>tremblement</w:t>
      </w:r>
      <w:r w:rsidRPr="002C4077">
        <w:t xml:space="preserve"> </w:t>
      </w:r>
      <w:r>
        <w:t>de</w:t>
      </w:r>
      <w:r w:rsidRPr="002C4077">
        <w:t xml:space="preserve"> </w:t>
      </w:r>
      <w:r>
        <w:t>terre</w:t>
      </w:r>
      <w:r w:rsidRPr="002C4077">
        <w:t xml:space="preserve"> </w:t>
      </w:r>
      <w:r>
        <w:t>qui</w:t>
      </w:r>
      <w:r w:rsidRPr="002C4077">
        <w:t xml:space="preserve"> </w:t>
      </w:r>
      <w:r>
        <w:t>dévasta</w:t>
      </w:r>
      <w:r w:rsidRPr="002C4077">
        <w:t xml:space="preserve"> </w:t>
      </w:r>
      <w:r>
        <w:t>toute</w:t>
      </w:r>
      <w:r w:rsidRPr="002C4077">
        <w:t xml:space="preserve"> </w:t>
      </w:r>
      <w:r>
        <w:t>la</w:t>
      </w:r>
      <w:r w:rsidRPr="002C4077">
        <w:t xml:space="preserve"> </w:t>
      </w:r>
      <w:bookmarkStart w:id="573" w:name="z_Nazareth_o11"/>
      <w:bookmarkEnd w:id="573"/>
      <w:r>
        <w:t>région.</w:t>
      </w:r>
      <w:r w:rsidRPr="002C4077">
        <w:t xml:space="preserve"> </w:t>
      </w:r>
    </w:p>
    <w:p w:rsidR="006E11E9" w:rsidRDefault="006E11E9" w:rsidP="000A7AAB"/>
    <w:p w:rsidR="000A7AAB" w:rsidRDefault="000A7AAB" w:rsidP="000A7AAB">
      <w:r>
        <w:t>Souhaitons-lui,</w:t>
      </w:r>
      <w:r w:rsidRPr="002C4077">
        <w:t xml:space="preserve"> </w:t>
      </w:r>
      <w:r>
        <w:t>avant</w:t>
      </w:r>
      <w:r w:rsidRPr="002C4077">
        <w:t xml:space="preserve"> </w:t>
      </w:r>
      <w:r>
        <w:t>de</w:t>
      </w:r>
      <w:r w:rsidRPr="002C4077">
        <w:t xml:space="preserve"> </w:t>
      </w:r>
      <w:r>
        <w:t>la</w:t>
      </w:r>
      <w:r w:rsidRPr="002C4077">
        <w:t xml:space="preserve"> </w:t>
      </w:r>
      <w:r>
        <w:t>quitter,</w:t>
      </w:r>
      <w:r w:rsidRPr="002C4077">
        <w:t xml:space="preserve"> </w:t>
      </w:r>
      <w:r>
        <w:t>d’avoir</w:t>
      </w:r>
      <w:r w:rsidRPr="002C4077">
        <w:t xml:space="preserve"> </w:t>
      </w:r>
      <w:r>
        <w:t>une</w:t>
      </w:r>
      <w:r w:rsidRPr="002C4077">
        <w:t xml:space="preserve"> </w:t>
      </w:r>
      <w:r>
        <w:t>histoire</w:t>
      </w:r>
      <w:r w:rsidRPr="002C4077">
        <w:t xml:space="preserve"> </w:t>
      </w:r>
      <w:r>
        <w:t>moins</w:t>
      </w:r>
      <w:r w:rsidRPr="002C4077">
        <w:t xml:space="preserve"> </w:t>
      </w:r>
      <w:r>
        <w:t>orageuse</w:t>
      </w:r>
      <w:r w:rsidRPr="002C4077">
        <w:t xml:space="preserve"> </w:t>
      </w:r>
      <w:r>
        <w:t>que</w:t>
      </w:r>
      <w:r w:rsidRPr="002C4077">
        <w:t xml:space="preserve"> </w:t>
      </w:r>
      <w:r>
        <w:t>pendant</w:t>
      </w:r>
      <w:r w:rsidRPr="002C4077">
        <w:t xml:space="preserve"> </w:t>
      </w:r>
      <w:r>
        <w:t>les</w:t>
      </w:r>
      <w:r w:rsidRPr="002C4077">
        <w:t xml:space="preserve"> </w:t>
      </w:r>
      <w:r>
        <w:t>huit</w:t>
      </w:r>
      <w:r w:rsidRPr="002C4077">
        <w:t xml:space="preserve"> </w:t>
      </w:r>
      <w:r>
        <w:t>derniers</w:t>
      </w:r>
      <w:r w:rsidRPr="002C4077">
        <w:t xml:space="preserve"> </w:t>
      </w:r>
      <w:r>
        <w:t>siècles,</w:t>
      </w:r>
      <w:r w:rsidRPr="002C4077">
        <w:t xml:space="preserve"> </w:t>
      </w:r>
      <w:r>
        <w:t>et</w:t>
      </w:r>
      <w:r w:rsidRPr="002C4077">
        <w:t xml:space="preserve"> </w:t>
      </w:r>
      <w:r>
        <w:t>de</w:t>
      </w:r>
      <w:r w:rsidRPr="002C4077">
        <w:t xml:space="preserve"> </w:t>
      </w:r>
      <w:r>
        <w:t>garder</w:t>
      </w:r>
      <w:r w:rsidRPr="002C4077">
        <w:t xml:space="preserve"> </w:t>
      </w:r>
      <w:r>
        <w:t>longtemps</w:t>
      </w:r>
      <w:r w:rsidRPr="002C4077">
        <w:t xml:space="preserve"> </w:t>
      </w:r>
      <w:r>
        <w:t>la</w:t>
      </w:r>
      <w:r w:rsidRPr="002C4077">
        <w:t xml:space="preserve"> </w:t>
      </w:r>
      <w:r>
        <w:t>félicité</w:t>
      </w:r>
      <w:r w:rsidRPr="002C4077">
        <w:t xml:space="preserve"> </w:t>
      </w:r>
      <w:r>
        <w:t>dont</w:t>
      </w:r>
      <w:r w:rsidRPr="002C4077">
        <w:t xml:space="preserve"> </w:t>
      </w:r>
      <w:r>
        <w:t>elle</w:t>
      </w:r>
      <w:r w:rsidRPr="002C4077">
        <w:t xml:space="preserve"> </w:t>
      </w:r>
      <w:r>
        <w:t>paraît</w:t>
      </w:r>
      <w:r w:rsidRPr="002C4077">
        <w:t xml:space="preserve"> </w:t>
      </w:r>
      <w:r>
        <w:t>jouir</w:t>
      </w:r>
      <w:r w:rsidRPr="002C4077">
        <w:t xml:space="preserve"> </w:t>
      </w:r>
      <w:r>
        <w:t>actuellement.</w:t>
      </w:r>
      <w:r w:rsidRPr="002C4077">
        <w:t xml:space="preserve"> </w:t>
      </w:r>
    </w:p>
    <w:p w:rsidR="000A7AAB" w:rsidRPr="001F5257" w:rsidRDefault="000A7AAB" w:rsidP="000A7AAB">
      <w:r>
        <w:t>Mais</w:t>
      </w:r>
      <w:r w:rsidRPr="002C4077">
        <w:t xml:space="preserve"> </w:t>
      </w:r>
      <w:r>
        <w:t>les</w:t>
      </w:r>
      <w:r w:rsidRPr="002C4077">
        <w:t xml:space="preserve"> </w:t>
      </w:r>
      <w:r>
        <w:t>souhaits</w:t>
      </w:r>
      <w:r w:rsidRPr="002C4077">
        <w:t xml:space="preserve"> </w:t>
      </w:r>
      <w:r>
        <w:t>de</w:t>
      </w:r>
      <w:r w:rsidRPr="002C4077">
        <w:t xml:space="preserve"> </w:t>
      </w:r>
      <w:r>
        <w:t>la</w:t>
      </w:r>
      <w:r w:rsidRPr="002C4077">
        <w:t xml:space="preserve"> </w:t>
      </w:r>
      <w:r>
        <w:t>terre</w:t>
      </w:r>
      <w:r w:rsidRPr="002C4077">
        <w:t xml:space="preserve"> </w:t>
      </w:r>
      <w:r>
        <w:t>doivent-ils</w:t>
      </w:r>
      <w:r w:rsidRPr="002C4077">
        <w:t xml:space="preserve"> </w:t>
      </w:r>
      <w:r>
        <w:t>bien</w:t>
      </w:r>
      <w:r w:rsidRPr="002C4077">
        <w:t xml:space="preserve"> </w:t>
      </w:r>
      <w:r>
        <w:t>la</w:t>
      </w:r>
      <w:r w:rsidRPr="002C4077">
        <w:t xml:space="preserve"> </w:t>
      </w:r>
      <w:r>
        <w:t>toucher</w:t>
      </w:r>
      <w:r w:rsidR="00B546AF">
        <w:t> ?</w:t>
      </w:r>
      <w:r w:rsidRPr="002C4077">
        <w:t xml:space="preserve"> </w:t>
      </w:r>
      <w:r>
        <w:t>Sa</w:t>
      </w:r>
      <w:r w:rsidRPr="002C4077">
        <w:t xml:space="preserve"> </w:t>
      </w:r>
      <w:r>
        <w:t>richesse,</w:t>
      </w:r>
      <w:r w:rsidRPr="002C4077">
        <w:t xml:space="preserve"> </w:t>
      </w:r>
      <w:r>
        <w:t>sa</w:t>
      </w:r>
      <w:r w:rsidRPr="002C4077">
        <w:t xml:space="preserve"> </w:t>
      </w:r>
      <w:r>
        <w:t>gloire,</w:t>
      </w:r>
      <w:r w:rsidRPr="002C4077">
        <w:t xml:space="preserve"> </w:t>
      </w:r>
      <w:r>
        <w:t>sa</w:t>
      </w:r>
      <w:r w:rsidRPr="002C4077">
        <w:t xml:space="preserve"> </w:t>
      </w:r>
      <w:r>
        <w:t>vie,</w:t>
      </w:r>
      <w:r w:rsidRPr="002C4077">
        <w:t xml:space="preserve"> </w:t>
      </w:r>
      <w:r>
        <w:t>son</w:t>
      </w:r>
      <w:r w:rsidRPr="002C4077">
        <w:t xml:space="preserve"> </w:t>
      </w:r>
      <w:r>
        <w:t>bonheur,</w:t>
      </w:r>
      <w:r w:rsidRPr="002C4077">
        <w:t xml:space="preserve"> </w:t>
      </w:r>
      <w:r>
        <w:t>ne</w:t>
      </w:r>
      <w:r w:rsidRPr="002C4077">
        <w:t xml:space="preserve"> </w:t>
      </w:r>
      <w:r>
        <w:t>sont-ils</w:t>
      </w:r>
      <w:r w:rsidRPr="002C4077">
        <w:t xml:space="preserve"> </w:t>
      </w:r>
      <w:r>
        <w:t>pas</w:t>
      </w:r>
      <w:r w:rsidRPr="002C4077">
        <w:t xml:space="preserve"> </w:t>
      </w:r>
      <w:r>
        <w:t>renfermés</w:t>
      </w:r>
      <w:r w:rsidRPr="002C4077">
        <w:t xml:space="preserve"> </w:t>
      </w:r>
      <w:r>
        <w:t>dans</w:t>
      </w:r>
      <w:r w:rsidRPr="002C4077">
        <w:t xml:space="preserve"> </w:t>
      </w:r>
      <w:r>
        <w:t>ces</w:t>
      </w:r>
      <w:r w:rsidRPr="002C4077">
        <w:t xml:space="preserve"> </w:t>
      </w:r>
      <w:r>
        <w:t>mots</w:t>
      </w:r>
      <w:r w:rsidRPr="002C4077">
        <w:t xml:space="preserve"> </w:t>
      </w:r>
      <w:r>
        <w:t>qui</w:t>
      </w:r>
      <w:r w:rsidRPr="002C4077">
        <w:t xml:space="preserve"> </w:t>
      </w:r>
      <w:r>
        <w:t>ne</w:t>
      </w:r>
      <w:r w:rsidRPr="002C4077">
        <w:t xml:space="preserve"> </w:t>
      </w:r>
      <w:r>
        <w:t>cesseront</w:t>
      </w:r>
      <w:r w:rsidRPr="002C4077">
        <w:t xml:space="preserve"> </w:t>
      </w:r>
      <w:r>
        <w:t>jamais</w:t>
      </w:r>
      <w:r w:rsidRPr="002C4077">
        <w:t xml:space="preserve"> </w:t>
      </w:r>
      <w:r>
        <w:t>d’être</w:t>
      </w:r>
      <w:r w:rsidRPr="002C4077">
        <w:t xml:space="preserve"> </w:t>
      </w:r>
      <w:r>
        <w:t>vrais</w:t>
      </w:r>
      <w:r w:rsidR="00B546AF">
        <w:t> :</w:t>
      </w:r>
      <w:r w:rsidRPr="002C4077">
        <w:t xml:space="preserve"> </w:t>
      </w:r>
      <w:r w:rsidR="00425C50">
        <w:rPr>
          <w:rStyle w:val="italicus"/>
        </w:rPr>
        <w:t>Jésus</w:t>
      </w:r>
      <w:r w:rsidRPr="002C4077">
        <w:t xml:space="preserve"> </w:t>
      </w:r>
      <w:r w:rsidRPr="000A34B5">
        <w:rPr>
          <w:rStyle w:val="italicus"/>
        </w:rPr>
        <w:t>de</w:t>
      </w:r>
      <w:r w:rsidRPr="002C4077">
        <w:t xml:space="preserve"> </w:t>
      </w:r>
      <w:r w:rsidRPr="000A34B5">
        <w:rPr>
          <w:rStyle w:val="italicus"/>
        </w:rPr>
        <w:t>Nazareth</w:t>
      </w:r>
      <w:r w:rsidR="00B546AF">
        <w:rPr>
          <w:rStyle w:val="italicus"/>
        </w:rPr>
        <w:t> </w:t>
      </w:r>
      <w:r w:rsidR="00B546AF" w:rsidRPr="000A34B5">
        <w:rPr>
          <w:rStyle w:val="italicus"/>
        </w:rPr>
        <w:t>;</w:t>
      </w:r>
      <w:r w:rsidRPr="002C4077">
        <w:t xml:space="preserve"> </w:t>
      </w:r>
      <w:r w:rsidRPr="000A34B5">
        <w:rPr>
          <w:rStyle w:val="italicus"/>
        </w:rPr>
        <w:t>Il</w:t>
      </w:r>
      <w:r w:rsidRPr="002C4077">
        <w:t xml:space="preserve"> </w:t>
      </w:r>
      <w:r w:rsidRPr="000A34B5">
        <w:rPr>
          <w:rStyle w:val="italicus"/>
        </w:rPr>
        <w:t>sera</w:t>
      </w:r>
      <w:r w:rsidRPr="002C4077">
        <w:t xml:space="preserve"> </w:t>
      </w:r>
      <w:r w:rsidRPr="000A34B5">
        <w:rPr>
          <w:rStyle w:val="italicus"/>
        </w:rPr>
        <w:t>appelé</w:t>
      </w:r>
      <w:r w:rsidRPr="002C4077">
        <w:t xml:space="preserve"> </w:t>
      </w:r>
      <w:r w:rsidRPr="000A34B5">
        <w:rPr>
          <w:rStyle w:val="italicus"/>
        </w:rPr>
        <w:t>Nazaréen</w:t>
      </w:r>
      <w:r w:rsidR="00B546AF">
        <w:rPr>
          <w:rStyle w:val="italicus"/>
        </w:rPr>
        <w:t> </w:t>
      </w:r>
      <w:r w:rsidR="00B546AF" w:rsidRPr="000A34B5">
        <w:rPr>
          <w:rStyle w:val="italicus"/>
        </w:rPr>
        <w:t>;</w:t>
      </w:r>
      <w:r w:rsidRPr="002C4077">
        <w:t xml:space="preserve"> </w:t>
      </w:r>
      <w:r w:rsidRPr="000A34B5">
        <w:rPr>
          <w:rStyle w:val="italicus"/>
        </w:rPr>
        <w:t>Nazareth,</w:t>
      </w:r>
      <w:r w:rsidRPr="002C4077">
        <w:t xml:space="preserve"> </w:t>
      </w:r>
      <w:r w:rsidRPr="000A34B5">
        <w:rPr>
          <w:rStyle w:val="italicus"/>
        </w:rPr>
        <w:t>où</w:t>
      </w:r>
      <w:r w:rsidRPr="002C4077">
        <w:t xml:space="preserve"> </w:t>
      </w:r>
      <w:r w:rsidRPr="000A34B5">
        <w:rPr>
          <w:rStyle w:val="italicus"/>
        </w:rPr>
        <w:t>il</w:t>
      </w:r>
      <w:r w:rsidRPr="002C4077">
        <w:t xml:space="preserve"> </w:t>
      </w:r>
      <w:r w:rsidRPr="000A34B5">
        <w:rPr>
          <w:rStyle w:val="italicus"/>
        </w:rPr>
        <w:t>avait</w:t>
      </w:r>
      <w:r w:rsidRPr="002C4077">
        <w:t xml:space="preserve"> </w:t>
      </w:r>
      <w:r w:rsidRPr="000A34B5">
        <w:rPr>
          <w:rStyle w:val="italicus"/>
        </w:rPr>
        <w:t>été</w:t>
      </w:r>
      <w:r w:rsidRPr="002C4077">
        <w:t xml:space="preserve"> </w:t>
      </w:r>
      <w:r w:rsidRPr="000A34B5">
        <w:rPr>
          <w:rStyle w:val="italicus"/>
        </w:rPr>
        <w:t>élevé</w:t>
      </w:r>
      <w:r w:rsidR="00B546AF">
        <w:rPr>
          <w:rStyle w:val="italicus"/>
        </w:rPr>
        <w:t> </w:t>
      </w:r>
      <w:r w:rsidR="00B546AF" w:rsidRPr="000A34B5">
        <w:rPr>
          <w:rStyle w:val="italicus"/>
        </w:rPr>
        <w:t>?</w:t>
      </w:r>
      <w:r w:rsidR="00C45B47">
        <w:t xml:space="preserve"> {</w:t>
      </w:r>
      <w:r w:rsidR="001F5257">
        <w:t>238</w:t>
      </w:r>
      <w:bookmarkStart w:id="574" w:name="p238"/>
      <w:bookmarkEnd w:id="574"/>
      <w:r w:rsidR="001F5257">
        <w:t>}</w:t>
      </w:r>
      <w:r w:rsidR="00C45B47">
        <w:t xml:space="preserve"> {</w:t>
      </w:r>
      <w:r w:rsidR="001F5257">
        <w:t>239</w:t>
      </w:r>
      <w:bookmarkStart w:id="575" w:name="p239"/>
      <w:bookmarkEnd w:id="575"/>
      <w:r w:rsidR="001F5257">
        <w:t xml:space="preserve">} </w:t>
      </w:r>
    </w:p>
    <w:p w:rsidR="000A7AAB" w:rsidRDefault="00D67FA8" w:rsidP="00BE7D31">
      <w:pPr>
        <w:pStyle w:val="Titre1"/>
      </w:pPr>
      <w:bookmarkStart w:id="576" w:name="_Toc43882020"/>
      <w:r>
        <w:t>VIII.</w:t>
      </w:r>
      <w:r>
        <w:br/>
      </w:r>
      <w:r w:rsidR="000A7AAB">
        <w:t>LE</w:t>
      </w:r>
      <w:r w:rsidR="000A7AAB" w:rsidRPr="002C4077">
        <w:t xml:space="preserve"> </w:t>
      </w:r>
      <w:r w:rsidR="000A7AAB">
        <w:t>TRAVAIL</w:t>
      </w:r>
      <w:r w:rsidR="000A7AAB" w:rsidRPr="002C4077">
        <w:t xml:space="preserve"> </w:t>
      </w:r>
      <w:r w:rsidR="000A7AAB">
        <w:t>ET</w:t>
      </w:r>
      <w:r w:rsidR="000A7AAB" w:rsidRPr="002C4077">
        <w:t xml:space="preserve"> </w:t>
      </w:r>
      <w:r w:rsidR="000A7AAB">
        <w:t>LES</w:t>
      </w:r>
      <w:r w:rsidR="000A7AAB" w:rsidRPr="002C4077">
        <w:t xml:space="preserve"> </w:t>
      </w:r>
      <w:r w:rsidR="000A7AAB">
        <w:t>ARTISANS</w:t>
      </w:r>
      <w:r w:rsidR="000A7AAB" w:rsidRPr="002C4077">
        <w:t xml:space="preserve"> </w:t>
      </w:r>
      <w:r w:rsidR="000A7AAB">
        <w:t>CHEZ</w:t>
      </w:r>
      <w:r w:rsidR="000A7AAB" w:rsidRPr="002C4077">
        <w:t xml:space="preserve"> </w:t>
      </w:r>
      <w:r w:rsidR="000A7AAB">
        <w:t>LES</w:t>
      </w:r>
      <w:r w:rsidR="000A7AAB" w:rsidRPr="002C4077">
        <w:t xml:space="preserve"> </w:t>
      </w:r>
      <w:r w:rsidR="000A7AAB">
        <w:t>JUIFS</w:t>
      </w:r>
      <w:r w:rsidR="000A7AAB" w:rsidRPr="002C4077">
        <w:t xml:space="preserve"> </w:t>
      </w:r>
      <w:r w:rsidR="000A7AAB">
        <w:rPr>
          <w:smallCaps/>
        </w:rPr>
        <w:t>DE</w:t>
      </w:r>
      <w:r w:rsidR="000A7AAB" w:rsidRPr="002C4077">
        <w:t xml:space="preserve"> </w:t>
      </w:r>
      <w:r w:rsidR="000A7AAB">
        <w:rPr>
          <w:smallCaps/>
        </w:rPr>
        <w:t>PALESTINE</w:t>
      </w:r>
      <w:bookmarkStart w:id="577" w:name="a08"/>
      <w:bookmarkEnd w:id="576"/>
      <w:bookmarkEnd w:id="577"/>
      <w:r w:rsidR="000A7AAB" w:rsidRPr="002C4077">
        <w:t xml:space="preserve"> </w:t>
      </w:r>
    </w:p>
    <w:p w:rsidR="000A7AAB" w:rsidRDefault="000A7AAB" w:rsidP="00FD0BB0">
      <w:pPr>
        <w:pStyle w:val="st1"/>
      </w:pPr>
      <w:r>
        <w:t>AU</w:t>
      </w:r>
      <w:r w:rsidRPr="002C4077">
        <w:t xml:space="preserve"> </w:t>
      </w:r>
      <w:r>
        <w:t>TEMPS</w:t>
      </w:r>
      <w:r w:rsidRPr="002C4077">
        <w:t xml:space="preserve"> </w:t>
      </w:r>
      <w:r>
        <w:t>DE</w:t>
      </w:r>
      <w:r w:rsidRPr="002C4077">
        <w:t xml:space="preserve"> </w:t>
      </w:r>
      <w:r>
        <w:t>N.</w:t>
      </w:r>
      <w:r w:rsidRPr="002C4077">
        <w:t xml:space="preserve"> </w:t>
      </w:r>
      <w:r>
        <w:t>S.</w:t>
      </w:r>
      <w:r w:rsidRPr="002C4077">
        <w:t xml:space="preserve"> </w:t>
      </w:r>
      <w:r>
        <w:t>JÉSUS-CHRIST</w:t>
      </w:r>
      <w:r w:rsidR="00F6492C">
        <w:rPr>
          <w:rStyle w:val="Appelnotedebasdep"/>
        </w:rPr>
        <w:footnoteReference w:id="752"/>
      </w:r>
      <w:r>
        <w:t>.</w:t>
      </w:r>
      <w:r w:rsidRPr="002C4077">
        <w:t xml:space="preserve"> </w:t>
      </w:r>
    </w:p>
    <w:p w:rsidR="000A7AAB" w:rsidRDefault="000A7AAB" w:rsidP="000A7AAB">
      <w:r>
        <w:t>Quand</w:t>
      </w:r>
      <w:bookmarkStart w:id="578" w:name="z_Artisans_o1"/>
      <w:bookmarkEnd w:id="578"/>
      <w:r w:rsidRPr="002C4077">
        <w:t xml:space="preserve"> </w:t>
      </w:r>
      <w:r>
        <w:t>nous</w:t>
      </w:r>
      <w:bookmarkStart w:id="579" w:name="z_TravailManuel_o1"/>
      <w:bookmarkEnd w:id="579"/>
      <w:r w:rsidRPr="002C4077">
        <w:t xml:space="preserve"> </w:t>
      </w:r>
      <w:r>
        <w:t>lisons</w:t>
      </w:r>
      <w:r w:rsidRPr="002C4077">
        <w:t xml:space="preserve"> </w:t>
      </w:r>
      <w:r>
        <w:t>les</w:t>
      </w:r>
      <w:r w:rsidRPr="002C4077">
        <w:t xml:space="preserve"> </w:t>
      </w:r>
      <w:r>
        <w:t>anciens</w:t>
      </w:r>
      <w:r w:rsidRPr="002C4077">
        <w:t xml:space="preserve"> </w:t>
      </w:r>
      <w:r>
        <w:t>auteurs,</w:t>
      </w:r>
      <w:r w:rsidRPr="002C4077">
        <w:t xml:space="preserve"> </w:t>
      </w:r>
      <w:r>
        <w:t>et</w:t>
      </w:r>
      <w:r w:rsidRPr="002C4077">
        <w:t xml:space="preserve"> </w:t>
      </w:r>
      <w:r>
        <w:t>que</w:t>
      </w:r>
      <w:r w:rsidRPr="002C4077">
        <w:t xml:space="preserve"> </w:t>
      </w:r>
      <w:r>
        <w:t>nous</w:t>
      </w:r>
      <w:r w:rsidRPr="002C4077">
        <w:t xml:space="preserve"> </w:t>
      </w:r>
      <w:r>
        <w:t>rencontrons,</w:t>
      </w:r>
      <w:r w:rsidRPr="002C4077">
        <w:t xml:space="preserve"> </w:t>
      </w:r>
      <w:r>
        <w:t>dans</w:t>
      </w:r>
      <w:r w:rsidRPr="002C4077">
        <w:t xml:space="preserve"> </w:t>
      </w:r>
      <w:r>
        <w:t>les</w:t>
      </w:r>
      <w:r w:rsidRPr="002C4077">
        <w:t xml:space="preserve"> </w:t>
      </w:r>
      <w:r>
        <w:t>mœurs</w:t>
      </w:r>
      <w:r w:rsidRPr="002C4077">
        <w:t xml:space="preserve"> </w:t>
      </w:r>
      <w:r>
        <w:t>et</w:t>
      </w:r>
      <w:r w:rsidRPr="002C4077">
        <w:t xml:space="preserve"> </w:t>
      </w:r>
      <w:r>
        <w:t>les</w:t>
      </w:r>
      <w:r w:rsidRPr="002C4077">
        <w:t xml:space="preserve"> </w:t>
      </w:r>
      <w:r>
        <w:t>usages</w:t>
      </w:r>
      <w:r w:rsidRPr="002C4077">
        <w:t xml:space="preserve"> </w:t>
      </w:r>
      <w:r>
        <w:t>des</w:t>
      </w:r>
      <w:r w:rsidRPr="002C4077">
        <w:t xml:space="preserve"> </w:t>
      </w:r>
      <w:r>
        <w:t>peuples</w:t>
      </w:r>
      <w:r w:rsidRPr="002C4077">
        <w:t xml:space="preserve"> </w:t>
      </w:r>
      <w:r>
        <w:t>dont</w:t>
      </w:r>
      <w:r w:rsidRPr="002C4077">
        <w:t xml:space="preserve"> </w:t>
      </w:r>
      <w:r>
        <w:t>ils</w:t>
      </w:r>
      <w:r w:rsidRPr="002C4077">
        <w:t xml:space="preserve"> </w:t>
      </w:r>
      <w:r>
        <w:t>racontent</w:t>
      </w:r>
      <w:r w:rsidRPr="002C4077">
        <w:t xml:space="preserve"> </w:t>
      </w:r>
      <w:r>
        <w:t>l’histoire,</w:t>
      </w:r>
      <w:r w:rsidRPr="002C4077">
        <w:t xml:space="preserve"> </w:t>
      </w:r>
      <w:r>
        <w:t>quelques</w:t>
      </w:r>
      <w:r w:rsidRPr="002C4077">
        <w:t xml:space="preserve"> </w:t>
      </w:r>
      <w:r>
        <w:t>traits</w:t>
      </w:r>
      <w:r w:rsidRPr="002C4077">
        <w:t xml:space="preserve"> </w:t>
      </w:r>
      <w:r>
        <w:t>qui</w:t>
      </w:r>
      <w:r w:rsidRPr="002C4077">
        <w:t xml:space="preserve"> </w:t>
      </w:r>
      <w:r>
        <w:t>se</w:t>
      </w:r>
      <w:r w:rsidRPr="002C4077">
        <w:t xml:space="preserve"> </w:t>
      </w:r>
      <w:r>
        <w:t>rapprochent</w:t>
      </w:r>
      <w:r w:rsidRPr="002C4077">
        <w:t xml:space="preserve"> </w:t>
      </w:r>
      <w:r>
        <w:t>de</w:t>
      </w:r>
      <w:r w:rsidRPr="002C4077">
        <w:t xml:space="preserve"> </w:t>
      </w:r>
      <w:r>
        <w:t>nos</w:t>
      </w:r>
      <w:r w:rsidRPr="002C4077">
        <w:t xml:space="preserve"> </w:t>
      </w:r>
      <w:r>
        <w:t>habitudes,</w:t>
      </w:r>
      <w:r w:rsidRPr="002C4077">
        <w:t xml:space="preserve"> </w:t>
      </w:r>
      <w:r>
        <w:t>nous</w:t>
      </w:r>
      <w:r w:rsidRPr="002C4077">
        <w:t xml:space="preserve"> </w:t>
      </w:r>
      <w:r>
        <w:t>ne</w:t>
      </w:r>
      <w:r w:rsidRPr="002C4077">
        <w:t xml:space="preserve"> </w:t>
      </w:r>
      <w:r>
        <w:t>pouvons</w:t>
      </w:r>
      <w:r w:rsidRPr="002C4077">
        <w:t xml:space="preserve"> </w:t>
      </w:r>
      <w:r>
        <w:t>nous</w:t>
      </w:r>
      <w:r w:rsidRPr="002C4077">
        <w:t xml:space="preserve"> </w:t>
      </w:r>
      <w:r>
        <w:t>défendre</w:t>
      </w:r>
      <w:r w:rsidRPr="002C4077">
        <w:t xml:space="preserve"> </w:t>
      </w:r>
      <w:r>
        <w:t>d’un</w:t>
      </w:r>
      <w:r w:rsidRPr="002C4077">
        <w:t xml:space="preserve"> </w:t>
      </w:r>
      <w:r>
        <w:t>sentiment</w:t>
      </w:r>
      <w:r w:rsidRPr="002C4077">
        <w:t xml:space="preserve"> </w:t>
      </w:r>
      <w:r>
        <w:t>de</w:t>
      </w:r>
      <w:r w:rsidRPr="002C4077">
        <w:t xml:space="preserve"> </w:t>
      </w:r>
      <w:r>
        <w:t>douce</w:t>
      </w:r>
      <w:r w:rsidRPr="002C4077">
        <w:t xml:space="preserve"> </w:t>
      </w:r>
      <w:r>
        <w:t>satisfaction,</w:t>
      </w:r>
      <w:r w:rsidRPr="002C4077">
        <w:t xml:space="preserve"> </w:t>
      </w:r>
      <w:r>
        <w:t>et</w:t>
      </w:r>
      <w:r w:rsidRPr="002C4077">
        <w:t xml:space="preserve"> </w:t>
      </w:r>
      <w:r>
        <w:t>nous</w:t>
      </w:r>
      <w:r w:rsidRPr="002C4077">
        <w:t xml:space="preserve"> </w:t>
      </w:r>
      <w:r>
        <w:t>nous</w:t>
      </w:r>
      <w:r w:rsidRPr="002C4077">
        <w:t xml:space="preserve"> </w:t>
      </w:r>
      <w:r>
        <w:t>réjouissons</w:t>
      </w:r>
      <w:r w:rsidRPr="002C4077">
        <w:t xml:space="preserve"> </w:t>
      </w:r>
      <w:r>
        <w:t>de</w:t>
      </w:r>
      <w:r w:rsidRPr="002C4077">
        <w:t xml:space="preserve"> </w:t>
      </w:r>
      <w:r>
        <w:t>cette</w:t>
      </w:r>
      <w:r w:rsidRPr="002C4077">
        <w:t xml:space="preserve"> </w:t>
      </w:r>
      <w:r>
        <w:t>ressemblance.</w:t>
      </w:r>
      <w:r w:rsidRPr="002C4077">
        <w:t xml:space="preserve"> </w:t>
      </w:r>
    </w:p>
    <w:p w:rsidR="000A7AAB" w:rsidRDefault="000A7AAB" w:rsidP="000A7AAB">
      <w:r>
        <w:t>Cela</w:t>
      </w:r>
      <w:r w:rsidRPr="002C4077">
        <w:t xml:space="preserve"> </w:t>
      </w:r>
      <w:r>
        <w:t>tient</w:t>
      </w:r>
      <w:r w:rsidRPr="002C4077">
        <w:t xml:space="preserve"> </w:t>
      </w:r>
      <w:r>
        <w:t>à</w:t>
      </w:r>
      <w:r w:rsidRPr="002C4077">
        <w:t xml:space="preserve"> </w:t>
      </w:r>
      <w:r>
        <w:t>une</w:t>
      </w:r>
      <w:r w:rsidRPr="002C4077">
        <w:t xml:space="preserve"> </w:t>
      </w:r>
      <w:r>
        <w:t>double</w:t>
      </w:r>
      <w:r w:rsidRPr="002C4077">
        <w:t xml:space="preserve"> </w:t>
      </w:r>
      <w:r>
        <w:t>cause.</w:t>
      </w:r>
      <w:r w:rsidRPr="002C4077">
        <w:t xml:space="preserve"> </w:t>
      </w:r>
    </w:p>
    <w:p w:rsidR="000A7AAB" w:rsidRPr="001F5257" w:rsidRDefault="000A7AAB" w:rsidP="000A7AAB">
      <w:r>
        <w:t>Nous</w:t>
      </w:r>
      <w:r w:rsidRPr="002C4077">
        <w:t xml:space="preserve"> </w:t>
      </w:r>
      <w:r>
        <w:t>aimons</w:t>
      </w:r>
      <w:r w:rsidRPr="002C4077">
        <w:t xml:space="preserve"> </w:t>
      </w:r>
      <w:r>
        <w:t>à</w:t>
      </w:r>
      <w:r w:rsidRPr="002C4077">
        <w:t xml:space="preserve"> </w:t>
      </w:r>
      <w:r>
        <w:t>nous</w:t>
      </w:r>
      <w:r w:rsidRPr="002C4077">
        <w:t xml:space="preserve"> </w:t>
      </w:r>
      <w:r>
        <w:t>retrouver</w:t>
      </w:r>
      <w:r w:rsidRPr="002C4077">
        <w:t xml:space="preserve"> </w:t>
      </w:r>
      <w:r>
        <w:t>partout,</w:t>
      </w:r>
      <w:r w:rsidRPr="002C4077">
        <w:t xml:space="preserve"> </w:t>
      </w:r>
      <w:r>
        <w:t>à</w:t>
      </w:r>
      <w:r w:rsidRPr="002C4077">
        <w:t xml:space="preserve"> </w:t>
      </w:r>
      <w:r>
        <w:t>contempler,</w:t>
      </w:r>
      <w:r w:rsidRPr="002C4077">
        <w:t xml:space="preserve"> </w:t>
      </w:r>
      <w:r>
        <w:t>dans</w:t>
      </w:r>
      <w:r w:rsidRPr="002C4077">
        <w:t xml:space="preserve"> </w:t>
      </w:r>
      <w:r>
        <w:t>le</w:t>
      </w:r>
      <w:r w:rsidRPr="002C4077">
        <w:t xml:space="preserve"> </w:t>
      </w:r>
      <w:r>
        <w:t>passé</w:t>
      </w:r>
      <w:r w:rsidRPr="002C4077">
        <w:t xml:space="preserve"> </w:t>
      </w:r>
      <w:r>
        <w:t>aussi</w:t>
      </w:r>
      <w:r w:rsidRPr="002C4077">
        <w:t xml:space="preserve"> </w:t>
      </w:r>
      <w:r>
        <w:t>bien</w:t>
      </w:r>
      <w:r w:rsidRPr="002C4077">
        <w:t xml:space="preserve"> </w:t>
      </w:r>
      <w:r>
        <w:t>que</w:t>
      </w:r>
      <w:r w:rsidRPr="002C4077">
        <w:t xml:space="preserve"> </w:t>
      </w:r>
      <w:r>
        <w:t>dans</w:t>
      </w:r>
      <w:r w:rsidRPr="002C4077">
        <w:t xml:space="preserve"> </w:t>
      </w:r>
      <w:r>
        <w:t>l’avenir,</w:t>
      </w:r>
      <w:r w:rsidRPr="002C4077">
        <w:t xml:space="preserve"> </w:t>
      </w:r>
      <w:r>
        <w:t>comme</w:t>
      </w:r>
      <w:r w:rsidRPr="002C4077">
        <w:t xml:space="preserve"> </w:t>
      </w:r>
      <w:r>
        <w:t>notre</w:t>
      </w:r>
      <w:r w:rsidRPr="002C4077">
        <w:t xml:space="preserve"> </w:t>
      </w:r>
      <w:r>
        <w:t>portrait</w:t>
      </w:r>
      <w:r w:rsidRPr="002C4077">
        <w:t xml:space="preserve"> </w:t>
      </w:r>
      <w:r>
        <w:t>et</w:t>
      </w:r>
      <w:r w:rsidRPr="002C4077">
        <w:t xml:space="preserve"> </w:t>
      </w:r>
      <w:r>
        <w:t>notre</w:t>
      </w:r>
      <w:r w:rsidRPr="002C4077">
        <w:t xml:space="preserve"> </w:t>
      </w:r>
      <w:r>
        <w:t>image</w:t>
      </w:r>
      <w:r w:rsidRPr="002C4077">
        <w:t xml:space="preserve"> </w:t>
      </w:r>
      <w:r>
        <w:t>jusque</w:t>
      </w:r>
      <w:r w:rsidRPr="002C4077">
        <w:t xml:space="preserve"> </w:t>
      </w:r>
      <w:r>
        <w:t>dans</w:t>
      </w:r>
      <w:r w:rsidRPr="002C4077">
        <w:t xml:space="preserve"> </w:t>
      </w:r>
      <w:r>
        <w:t>ses</w:t>
      </w:r>
      <w:r w:rsidRPr="002C4077">
        <w:t xml:space="preserve"> </w:t>
      </w:r>
      <w:r>
        <w:t>plus</w:t>
      </w:r>
      <w:r w:rsidRPr="002C4077">
        <w:t xml:space="preserve"> </w:t>
      </w:r>
      <w:r>
        <w:t>petits</w:t>
      </w:r>
      <w:r w:rsidRPr="002C4077">
        <w:t xml:space="preserve"> </w:t>
      </w:r>
      <w:r>
        <w:t>détails</w:t>
      </w:r>
      <w:r w:rsidR="00B546AF">
        <w:t> ;</w:t>
      </w:r>
      <w:r w:rsidRPr="002C4077">
        <w:t xml:space="preserve"> </w:t>
      </w:r>
      <w:r>
        <w:t>nous</w:t>
      </w:r>
      <w:r w:rsidRPr="002C4077">
        <w:t xml:space="preserve"> </w:t>
      </w:r>
      <w:r>
        <w:t>sommes</w:t>
      </w:r>
      <w:r w:rsidRPr="002C4077">
        <w:t xml:space="preserve"> </w:t>
      </w:r>
      <w:r>
        <w:t>heureux</w:t>
      </w:r>
      <w:r w:rsidRPr="002C4077">
        <w:t xml:space="preserve"> </w:t>
      </w:r>
      <w:r>
        <w:t>aussi</w:t>
      </w:r>
      <w:r w:rsidRPr="002C4077">
        <w:t xml:space="preserve"> </w:t>
      </w:r>
      <w:r>
        <w:t>de</w:t>
      </w:r>
      <w:r w:rsidRPr="002C4077">
        <w:t xml:space="preserve"> </w:t>
      </w:r>
      <w:r>
        <w:t>voir</w:t>
      </w:r>
      <w:r w:rsidRPr="002C4077">
        <w:t xml:space="preserve"> </w:t>
      </w:r>
      <w:r>
        <w:t>que</w:t>
      </w:r>
      <w:r w:rsidRPr="002C4077">
        <w:t xml:space="preserve"> </w:t>
      </w:r>
      <w:r>
        <w:t>nos</w:t>
      </w:r>
      <w:r w:rsidRPr="002C4077">
        <w:t xml:space="preserve"> </w:t>
      </w:r>
      <w:r>
        <w:t>usages,</w:t>
      </w:r>
      <w:r w:rsidRPr="002C4077">
        <w:t xml:space="preserve"> </w:t>
      </w:r>
      <w:r>
        <w:t>que</w:t>
      </w:r>
      <w:r w:rsidRPr="002C4077">
        <w:t xml:space="preserve"> </w:t>
      </w:r>
      <w:r>
        <w:t>nos</w:t>
      </w:r>
      <w:r w:rsidRPr="002C4077">
        <w:t xml:space="preserve"> </w:t>
      </w:r>
      <w:r>
        <w:t>chères</w:t>
      </w:r>
      <w:r w:rsidRPr="002C4077">
        <w:t xml:space="preserve"> </w:t>
      </w:r>
      <w:r>
        <w:t>habitudes</w:t>
      </w:r>
      <w:r w:rsidRPr="002C4077">
        <w:t xml:space="preserve"> </w:t>
      </w:r>
      <w:r>
        <w:t>de</w:t>
      </w:r>
      <w:r w:rsidRPr="002C4077">
        <w:t xml:space="preserve"> </w:t>
      </w:r>
      <w:r>
        <w:t>société</w:t>
      </w:r>
      <w:r w:rsidRPr="002C4077">
        <w:t xml:space="preserve"> </w:t>
      </w:r>
      <w:r>
        <w:t>ou</w:t>
      </w:r>
      <w:r w:rsidRPr="002C4077">
        <w:t xml:space="preserve"> </w:t>
      </w:r>
      <w:r>
        <w:t>de</w:t>
      </w:r>
      <w:r w:rsidRPr="002C4077">
        <w:t xml:space="preserve"> </w:t>
      </w:r>
      <w:r>
        <w:t>famille</w:t>
      </w:r>
      <w:r w:rsidRPr="002C4077">
        <w:t xml:space="preserve"> </w:t>
      </w:r>
      <w:r>
        <w:t>remontent</w:t>
      </w:r>
      <w:r w:rsidRPr="002C4077">
        <w:t xml:space="preserve"> </w:t>
      </w:r>
      <w:r>
        <w:t>et</w:t>
      </w:r>
      <w:r w:rsidRPr="002C4077">
        <w:t xml:space="preserve"> </w:t>
      </w:r>
      <w:r>
        <w:t>s’étendent,</w:t>
      </w:r>
      <w:r w:rsidRPr="002C4077">
        <w:t xml:space="preserve"> </w:t>
      </w:r>
      <w:r>
        <w:t>pour</w:t>
      </w:r>
      <w:r w:rsidRPr="002C4077">
        <w:t xml:space="preserve"> </w:t>
      </w:r>
      <w:r>
        <w:t>ainsi</w:t>
      </w:r>
      <w:r w:rsidRPr="002C4077">
        <w:t xml:space="preserve"> </w:t>
      </w:r>
      <w:r>
        <w:t>dire,</w:t>
      </w:r>
      <w:r w:rsidRPr="002C4077">
        <w:t xml:space="preserve"> </w:t>
      </w:r>
      <w:r>
        <w:t>aussi</w:t>
      </w:r>
      <w:r w:rsidRPr="002C4077">
        <w:t xml:space="preserve"> </w:t>
      </w:r>
      <w:r>
        <w:t>loin</w:t>
      </w:r>
      <w:r w:rsidRPr="002C4077">
        <w:t xml:space="preserve"> </w:t>
      </w:r>
      <w:r>
        <w:t>que</w:t>
      </w:r>
      <w:r w:rsidRPr="002C4077">
        <w:t xml:space="preserve"> </w:t>
      </w:r>
      <w:r>
        <w:t>l’humanité.</w:t>
      </w:r>
      <w:r w:rsidRPr="002C4077">
        <w:t xml:space="preserve"> </w:t>
      </w:r>
      <w:r>
        <w:t>Les</w:t>
      </w:r>
      <w:r w:rsidRPr="002C4077">
        <w:t xml:space="preserve"> </w:t>
      </w:r>
      <w:r>
        <w:t>hommes</w:t>
      </w:r>
      <w:r w:rsidRPr="002C4077">
        <w:t xml:space="preserve"> </w:t>
      </w:r>
      <w:r>
        <w:t>sont</w:t>
      </w:r>
      <w:r w:rsidRPr="002C4077">
        <w:t xml:space="preserve"> </w:t>
      </w:r>
      <w:r>
        <w:t>toujours</w:t>
      </w:r>
      <w:r w:rsidRPr="002C4077">
        <w:t xml:space="preserve"> </w:t>
      </w:r>
      <w:r>
        <w:t>et</w:t>
      </w:r>
      <w:r w:rsidRPr="002C4077">
        <w:t xml:space="preserve"> </w:t>
      </w:r>
      <w:r>
        <w:t>partout</w:t>
      </w:r>
      <w:r w:rsidRPr="002C4077">
        <w:t xml:space="preserve"> </w:t>
      </w:r>
      <w:r>
        <w:t>les</w:t>
      </w:r>
      <w:r w:rsidRPr="002C4077">
        <w:t xml:space="preserve"> </w:t>
      </w:r>
      <w:r>
        <w:t>mêmes</w:t>
      </w:r>
      <w:r w:rsidR="00B546AF">
        <w:t> :</w:t>
      </w:r>
      <w:r w:rsidRPr="002C4077">
        <w:t xml:space="preserve"> </w:t>
      </w:r>
      <w:r>
        <w:t>il</w:t>
      </w:r>
      <w:r w:rsidRPr="002C4077">
        <w:t xml:space="preserve"> </w:t>
      </w:r>
      <w:r>
        <w:t>en</w:t>
      </w:r>
      <w:r w:rsidRPr="002C4077">
        <w:t xml:space="preserve"> </w:t>
      </w:r>
      <w:r w:rsidR="00425C50">
        <w:t>est</w:t>
      </w:r>
      <w:r w:rsidRPr="002C4077">
        <w:t xml:space="preserve"> </w:t>
      </w:r>
      <w:r>
        <w:t>de</w:t>
      </w:r>
      <w:r w:rsidRPr="002C4077">
        <w:t xml:space="preserve"> </w:t>
      </w:r>
      <w:r>
        <w:t>même</w:t>
      </w:r>
      <w:r w:rsidRPr="002C4077">
        <w:t xml:space="preserve"> </w:t>
      </w:r>
      <w:r>
        <w:t>des</w:t>
      </w:r>
      <w:r w:rsidRPr="002C4077">
        <w:t xml:space="preserve"> </w:t>
      </w:r>
      <w:r>
        <w:t>peuples</w:t>
      </w:r>
      <w:r w:rsidRPr="002C4077">
        <w:t xml:space="preserve"> </w:t>
      </w:r>
      <w:r>
        <w:t>et</w:t>
      </w:r>
      <w:r w:rsidRPr="002C4077">
        <w:t xml:space="preserve"> </w:t>
      </w:r>
      <w:r>
        <w:t>de</w:t>
      </w:r>
      <w:r w:rsidRPr="002C4077">
        <w:t xml:space="preserve"> </w:t>
      </w:r>
      <w:r>
        <w:t>leurs</w:t>
      </w:r>
      <w:r w:rsidRPr="002C4077">
        <w:t xml:space="preserve"> </w:t>
      </w:r>
      <w:r>
        <w:t>coutumes.</w:t>
      </w:r>
      <w:r w:rsidR="00C45B47">
        <w:t xml:space="preserve"> {</w:t>
      </w:r>
      <w:r w:rsidR="001F5257">
        <w:t>240</w:t>
      </w:r>
      <w:bookmarkStart w:id="580" w:name="p240"/>
      <w:bookmarkEnd w:id="580"/>
      <w:r w:rsidR="001F5257">
        <w:t xml:space="preserve">} </w:t>
      </w:r>
    </w:p>
    <w:p w:rsidR="000A7AAB" w:rsidRDefault="000A7AAB" w:rsidP="000A7AAB">
      <w:r>
        <w:t>Ces</w:t>
      </w:r>
      <w:r w:rsidRPr="002C4077">
        <w:t xml:space="preserve"> </w:t>
      </w:r>
      <w:r>
        <w:t>réflexions,</w:t>
      </w:r>
      <w:r w:rsidRPr="002C4077">
        <w:t xml:space="preserve"> </w:t>
      </w:r>
      <w:r>
        <w:t>qui</w:t>
      </w:r>
      <w:r w:rsidRPr="002C4077">
        <w:t xml:space="preserve"> </w:t>
      </w:r>
      <w:r>
        <w:t>m’avaient</w:t>
      </w:r>
      <w:r w:rsidRPr="002C4077">
        <w:t xml:space="preserve"> </w:t>
      </w:r>
      <w:r>
        <w:t>frappé</w:t>
      </w:r>
      <w:r w:rsidRPr="002C4077">
        <w:t xml:space="preserve"> </w:t>
      </w:r>
      <w:r>
        <w:t>jeune</w:t>
      </w:r>
      <w:r w:rsidRPr="002C4077">
        <w:t xml:space="preserve"> </w:t>
      </w:r>
      <w:r>
        <w:t>encore,</w:t>
      </w:r>
      <w:r w:rsidRPr="002C4077">
        <w:t xml:space="preserve"> </w:t>
      </w:r>
      <w:r>
        <w:t>lorsque</w:t>
      </w:r>
      <w:r w:rsidRPr="002C4077">
        <w:t xml:space="preserve"> </w:t>
      </w:r>
      <w:r>
        <w:t>je</w:t>
      </w:r>
      <w:r w:rsidRPr="002C4077">
        <w:t xml:space="preserve"> </w:t>
      </w:r>
      <w:r>
        <w:t>traduisais</w:t>
      </w:r>
      <w:r w:rsidRPr="002C4077">
        <w:t xml:space="preserve"> </w:t>
      </w:r>
      <w:r>
        <w:t>Virgile</w:t>
      </w:r>
      <w:r w:rsidRPr="002C4077">
        <w:t xml:space="preserve"> </w:t>
      </w:r>
      <w:r>
        <w:t>et</w:t>
      </w:r>
      <w:r w:rsidRPr="002C4077">
        <w:t xml:space="preserve"> </w:t>
      </w:r>
      <w:r>
        <w:t>Cicéron,</w:t>
      </w:r>
      <w:r w:rsidRPr="002C4077">
        <w:t xml:space="preserve"> </w:t>
      </w:r>
      <w:r>
        <w:t>ont</w:t>
      </w:r>
      <w:r w:rsidRPr="002C4077">
        <w:t xml:space="preserve"> </w:t>
      </w:r>
      <w:r>
        <w:t>pénétré</w:t>
      </w:r>
      <w:r w:rsidRPr="002C4077">
        <w:t xml:space="preserve"> </w:t>
      </w:r>
      <w:r>
        <w:t>naguère</w:t>
      </w:r>
      <w:r w:rsidRPr="002C4077">
        <w:t xml:space="preserve"> </w:t>
      </w:r>
      <w:r>
        <w:t>dans</w:t>
      </w:r>
      <w:r w:rsidRPr="002C4077">
        <w:t xml:space="preserve"> </w:t>
      </w:r>
      <w:r>
        <w:t>mon</w:t>
      </w:r>
      <w:r w:rsidRPr="002C4077">
        <w:t xml:space="preserve"> </w:t>
      </w:r>
      <w:r>
        <w:t>esprit</w:t>
      </w:r>
      <w:r w:rsidRPr="002C4077">
        <w:t xml:space="preserve"> </w:t>
      </w:r>
      <w:r>
        <w:t>avec</w:t>
      </w:r>
      <w:r w:rsidRPr="002C4077">
        <w:t xml:space="preserve"> </w:t>
      </w:r>
      <w:r>
        <w:t>une</w:t>
      </w:r>
      <w:r w:rsidRPr="002C4077">
        <w:t xml:space="preserve"> </w:t>
      </w:r>
      <w:r>
        <w:t>force</w:t>
      </w:r>
      <w:r w:rsidRPr="002C4077">
        <w:t xml:space="preserve"> </w:t>
      </w:r>
      <w:r>
        <w:t>toute</w:t>
      </w:r>
      <w:r w:rsidRPr="002C4077">
        <w:t xml:space="preserve"> </w:t>
      </w:r>
      <w:r>
        <w:t>nouvelle,</w:t>
      </w:r>
      <w:r w:rsidRPr="002C4077">
        <w:t xml:space="preserve"> </w:t>
      </w:r>
      <w:r>
        <w:t>tandis</w:t>
      </w:r>
      <w:r w:rsidRPr="002C4077">
        <w:t xml:space="preserve"> </w:t>
      </w:r>
      <w:r>
        <w:t>que</w:t>
      </w:r>
      <w:r w:rsidRPr="002C4077">
        <w:t xml:space="preserve"> </w:t>
      </w:r>
      <w:r>
        <w:t>je</w:t>
      </w:r>
      <w:r w:rsidRPr="002C4077">
        <w:t xml:space="preserve"> </w:t>
      </w:r>
      <w:r>
        <w:t>lisais</w:t>
      </w:r>
      <w:r w:rsidRPr="002C4077">
        <w:t xml:space="preserve"> </w:t>
      </w:r>
      <w:r>
        <w:t>le</w:t>
      </w:r>
      <w:r w:rsidRPr="002C4077">
        <w:t xml:space="preserve"> </w:t>
      </w:r>
      <w:r>
        <w:t>plus</w:t>
      </w:r>
      <w:r w:rsidRPr="002C4077">
        <w:t xml:space="preserve"> </w:t>
      </w:r>
      <w:r>
        <w:t>récent</w:t>
      </w:r>
      <w:r w:rsidRPr="002C4077">
        <w:t xml:space="preserve"> </w:t>
      </w:r>
      <w:r>
        <w:t>travail</w:t>
      </w:r>
      <w:r w:rsidRPr="002C4077">
        <w:t xml:space="preserve"> </w:t>
      </w:r>
      <w:r>
        <w:t>de</w:t>
      </w:r>
      <w:r w:rsidRPr="002C4077">
        <w:t xml:space="preserve"> </w:t>
      </w:r>
      <w:r>
        <w:t>M.</w:t>
      </w:r>
      <w:r w:rsidRPr="002C4077">
        <w:t xml:space="preserve"> </w:t>
      </w:r>
      <w:r>
        <w:t>le</w:t>
      </w:r>
      <w:r w:rsidRPr="002C4077">
        <w:t xml:space="preserve"> </w:t>
      </w:r>
      <w:r>
        <w:t>docteur</w:t>
      </w:r>
      <w:r w:rsidRPr="002C4077">
        <w:t xml:space="preserve"> </w:t>
      </w:r>
      <w:r>
        <w:t>F.</w:t>
      </w:r>
      <w:r w:rsidRPr="002C4077">
        <w:t xml:space="preserve"> </w:t>
      </w:r>
      <w:r>
        <w:t>Delitzsch</w:t>
      </w:r>
      <w:bookmarkStart w:id="581" w:name="z_Delitzsch_o1"/>
      <w:bookmarkEnd w:id="581"/>
      <w:r>
        <w:t>,</w:t>
      </w:r>
      <w:r w:rsidRPr="002C4077">
        <w:t xml:space="preserve"> </w:t>
      </w:r>
      <w:r>
        <w:t>professeur</w:t>
      </w:r>
      <w:r w:rsidRPr="002C4077">
        <w:t xml:space="preserve"> </w:t>
      </w:r>
      <w:r>
        <w:t>d’Écriture</w:t>
      </w:r>
      <w:r w:rsidRPr="002C4077">
        <w:t xml:space="preserve"> </w:t>
      </w:r>
      <w:r>
        <w:t>sainte</w:t>
      </w:r>
      <w:r w:rsidRPr="002C4077">
        <w:t xml:space="preserve"> </w:t>
      </w:r>
      <w:r>
        <w:t>à</w:t>
      </w:r>
      <w:r w:rsidRPr="002C4077">
        <w:t xml:space="preserve"> </w:t>
      </w:r>
      <w:r>
        <w:t>l’Université</w:t>
      </w:r>
      <w:r w:rsidRPr="002C4077">
        <w:t xml:space="preserve"> </w:t>
      </w:r>
      <w:r>
        <w:t>protestante</w:t>
      </w:r>
      <w:r w:rsidRPr="002C4077">
        <w:t xml:space="preserve"> </w:t>
      </w:r>
      <w:r>
        <w:t>d’Erlangen,</w:t>
      </w:r>
      <w:r w:rsidRPr="002C4077">
        <w:t xml:space="preserve"> </w:t>
      </w:r>
      <w:r>
        <w:t>cent</w:t>
      </w:r>
      <w:r w:rsidRPr="002C4077">
        <w:t xml:space="preserve"> </w:t>
      </w:r>
      <w:r>
        <w:t>pages</w:t>
      </w:r>
      <w:r w:rsidRPr="002C4077">
        <w:t xml:space="preserve"> </w:t>
      </w:r>
      <w:r>
        <w:t>des</w:t>
      </w:r>
      <w:r w:rsidRPr="002C4077">
        <w:t xml:space="preserve"> </w:t>
      </w:r>
      <w:r>
        <w:t>plus</w:t>
      </w:r>
      <w:r w:rsidRPr="002C4077">
        <w:t xml:space="preserve"> </w:t>
      </w:r>
      <w:r>
        <w:t>intéressantes</w:t>
      </w:r>
      <w:r w:rsidRPr="002C4077">
        <w:t xml:space="preserve"> </w:t>
      </w:r>
      <w:r>
        <w:t>sur</w:t>
      </w:r>
      <w:r w:rsidRPr="002C4077">
        <w:t xml:space="preserve"> </w:t>
      </w:r>
      <w:r>
        <w:t>la</w:t>
      </w:r>
      <w:r w:rsidRPr="002C4077">
        <w:t xml:space="preserve"> </w:t>
      </w:r>
      <w:r w:rsidRPr="000A34B5">
        <w:rPr>
          <w:rStyle w:val="italicus"/>
        </w:rPr>
        <w:t>Vie</w:t>
      </w:r>
      <w:r w:rsidRPr="002C4077">
        <w:t xml:space="preserve"> </w:t>
      </w:r>
      <w:r w:rsidRPr="000A34B5">
        <w:rPr>
          <w:rStyle w:val="italicus"/>
        </w:rPr>
        <w:t>des</w:t>
      </w:r>
      <w:r w:rsidRPr="002C4077">
        <w:t xml:space="preserve"> </w:t>
      </w:r>
      <w:r w:rsidRPr="000A34B5">
        <w:rPr>
          <w:rStyle w:val="italicus"/>
        </w:rPr>
        <w:t>artisans</w:t>
      </w:r>
      <w:r w:rsidRPr="002C4077">
        <w:t xml:space="preserve"> </w:t>
      </w:r>
      <w:r w:rsidRPr="000A34B5">
        <w:rPr>
          <w:rStyle w:val="italicus"/>
        </w:rPr>
        <w:t>chez</w:t>
      </w:r>
      <w:r w:rsidRPr="002C4077">
        <w:t xml:space="preserve"> </w:t>
      </w:r>
      <w:r w:rsidRPr="000A34B5">
        <w:rPr>
          <w:rStyle w:val="italicus"/>
        </w:rPr>
        <w:t>les</w:t>
      </w:r>
      <w:r w:rsidRPr="002C4077">
        <w:t xml:space="preserve"> </w:t>
      </w:r>
      <w:r w:rsidRPr="000A34B5">
        <w:rPr>
          <w:rStyle w:val="italicus"/>
        </w:rPr>
        <w:t>Juifs</w:t>
      </w:r>
      <w:r w:rsidRPr="002C4077">
        <w:t xml:space="preserve"> </w:t>
      </w:r>
      <w:r w:rsidRPr="000A34B5">
        <w:rPr>
          <w:rStyle w:val="italicus"/>
        </w:rPr>
        <w:t>au</w:t>
      </w:r>
      <w:r w:rsidRPr="002C4077">
        <w:t xml:space="preserve"> </w:t>
      </w:r>
      <w:r w:rsidRPr="000A34B5">
        <w:rPr>
          <w:rStyle w:val="italicus"/>
        </w:rPr>
        <w:t>temps</w:t>
      </w:r>
      <w:r w:rsidRPr="002C4077">
        <w:t xml:space="preserve"> </w:t>
      </w:r>
      <w:r w:rsidRPr="000A34B5">
        <w:rPr>
          <w:rStyle w:val="italicus"/>
        </w:rPr>
        <w:t>de</w:t>
      </w:r>
      <w:r w:rsidRPr="002C4077">
        <w:t xml:space="preserve"> </w:t>
      </w:r>
      <w:r w:rsidR="00425C50">
        <w:rPr>
          <w:rStyle w:val="italicus"/>
        </w:rPr>
        <w:t>Jésus</w:t>
      </w:r>
      <w:r w:rsidRPr="000A34B5">
        <w:rPr>
          <w:rStyle w:val="italicus"/>
        </w:rPr>
        <w:t>-</w:t>
      </w:r>
      <w:r w:rsidR="00425C50">
        <w:rPr>
          <w:rStyle w:val="italicus"/>
        </w:rPr>
        <w:t>Christ</w:t>
      </w:r>
      <w:r w:rsidR="00F6492C">
        <w:rPr>
          <w:rStyle w:val="Appelnotedebasdep"/>
          <w:i/>
        </w:rPr>
        <w:footnoteReference w:id="753"/>
      </w:r>
      <w:r w:rsidR="00F6492C" w:rsidRPr="000A34B5">
        <w:rPr>
          <w:rStyle w:val="italicus"/>
        </w:rPr>
        <w:t>.</w:t>
      </w:r>
      <w:r w:rsidRPr="002C4077">
        <w:t xml:space="preserve"> </w:t>
      </w:r>
      <w:r>
        <w:t>J’y</w:t>
      </w:r>
      <w:r w:rsidRPr="002C4077">
        <w:t xml:space="preserve"> </w:t>
      </w:r>
      <w:r>
        <w:t>voyais</w:t>
      </w:r>
      <w:r w:rsidRPr="002C4077">
        <w:t xml:space="preserve"> </w:t>
      </w:r>
      <w:r>
        <w:t>en</w:t>
      </w:r>
      <w:r w:rsidRPr="002C4077">
        <w:t xml:space="preserve"> </w:t>
      </w:r>
      <w:r>
        <w:t>effet</w:t>
      </w:r>
      <w:r w:rsidRPr="002C4077">
        <w:t xml:space="preserve"> </w:t>
      </w:r>
      <w:r>
        <w:t>la</w:t>
      </w:r>
      <w:r w:rsidRPr="002C4077">
        <w:t xml:space="preserve"> </w:t>
      </w:r>
      <w:r>
        <w:t>vieille</w:t>
      </w:r>
      <w:r w:rsidRPr="002C4077">
        <w:t xml:space="preserve"> </w:t>
      </w:r>
      <w:r>
        <w:t>société</w:t>
      </w:r>
      <w:r w:rsidRPr="002C4077">
        <w:t xml:space="preserve"> </w:t>
      </w:r>
      <w:r>
        <w:t>juive,</w:t>
      </w:r>
      <w:r w:rsidRPr="002C4077">
        <w:t xml:space="preserve"> </w:t>
      </w:r>
      <w:r>
        <w:t>peinte</w:t>
      </w:r>
      <w:r w:rsidRPr="002C4077">
        <w:t xml:space="preserve"> </w:t>
      </w:r>
      <w:r>
        <w:t>par</w:t>
      </w:r>
      <w:r w:rsidRPr="002C4077">
        <w:t xml:space="preserve"> </w:t>
      </w:r>
      <w:r>
        <w:t>elle-même</w:t>
      </w:r>
      <w:r w:rsidRPr="002C4077">
        <w:t xml:space="preserve"> </w:t>
      </w:r>
      <w:r>
        <w:t>dans</w:t>
      </w:r>
      <w:r w:rsidRPr="002C4077">
        <w:t xml:space="preserve"> </w:t>
      </w:r>
      <w:r>
        <w:t>ses</w:t>
      </w:r>
      <w:r w:rsidRPr="002C4077">
        <w:t xml:space="preserve"> </w:t>
      </w:r>
      <w:r>
        <w:t>anciens</w:t>
      </w:r>
      <w:r w:rsidRPr="002C4077">
        <w:t xml:space="preserve"> </w:t>
      </w:r>
      <w:r>
        <w:t>monuments,</w:t>
      </w:r>
      <w:r w:rsidRPr="002C4077">
        <w:t xml:space="preserve"> </w:t>
      </w:r>
      <w:r>
        <w:t>constituée</w:t>
      </w:r>
      <w:r w:rsidRPr="002C4077">
        <w:t xml:space="preserve"> </w:t>
      </w:r>
      <w:r>
        <w:t>identiquement</w:t>
      </w:r>
      <w:r w:rsidRPr="002C4077">
        <w:t xml:space="preserve"> </w:t>
      </w:r>
      <w:r>
        <w:t>comme</w:t>
      </w:r>
      <w:r w:rsidRPr="002C4077">
        <w:t xml:space="preserve"> </w:t>
      </w:r>
      <w:r>
        <w:t>la</w:t>
      </w:r>
      <w:r w:rsidRPr="002C4077">
        <w:t xml:space="preserve"> </w:t>
      </w:r>
      <w:r>
        <w:t>nôtre</w:t>
      </w:r>
      <w:r w:rsidRPr="002C4077">
        <w:t xml:space="preserve"> </w:t>
      </w:r>
      <w:r>
        <w:t>en</w:t>
      </w:r>
      <w:r w:rsidRPr="002C4077">
        <w:t xml:space="preserve"> </w:t>
      </w:r>
      <w:r>
        <w:t>tout</w:t>
      </w:r>
      <w:r w:rsidRPr="002C4077">
        <w:t xml:space="preserve"> </w:t>
      </w:r>
      <w:r>
        <w:t>ce</w:t>
      </w:r>
      <w:r w:rsidRPr="002C4077">
        <w:t xml:space="preserve"> </w:t>
      </w:r>
      <w:r>
        <w:t>qui</w:t>
      </w:r>
      <w:r w:rsidRPr="002C4077">
        <w:t xml:space="preserve"> </w:t>
      </w:r>
      <w:r>
        <w:t>regarde</w:t>
      </w:r>
      <w:r w:rsidRPr="002C4077">
        <w:t xml:space="preserve"> </w:t>
      </w:r>
      <w:r>
        <w:t>le</w:t>
      </w:r>
      <w:r w:rsidRPr="002C4077">
        <w:t xml:space="preserve"> </w:t>
      </w:r>
      <w:r>
        <w:t>travail</w:t>
      </w:r>
      <w:r w:rsidRPr="002C4077">
        <w:t xml:space="preserve"> </w:t>
      </w:r>
      <w:r>
        <w:t>et</w:t>
      </w:r>
      <w:r w:rsidRPr="002C4077">
        <w:t xml:space="preserve"> </w:t>
      </w:r>
      <w:r>
        <w:t>les</w:t>
      </w:r>
      <w:r w:rsidRPr="002C4077">
        <w:t xml:space="preserve"> </w:t>
      </w:r>
      <w:r>
        <w:t>ouvriers,</w:t>
      </w:r>
      <w:r w:rsidRPr="002C4077">
        <w:t xml:space="preserve"> </w:t>
      </w:r>
      <w:r>
        <w:t>munie</w:t>
      </w:r>
      <w:r w:rsidRPr="002C4077">
        <w:t xml:space="preserve"> </w:t>
      </w:r>
      <w:r>
        <w:t>d’usages</w:t>
      </w:r>
      <w:r w:rsidRPr="002C4077">
        <w:t xml:space="preserve"> </w:t>
      </w:r>
      <w:r>
        <w:t>que</w:t>
      </w:r>
      <w:r w:rsidRPr="002C4077">
        <w:t xml:space="preserve"> </w:t>
      </w:r>
      <w:r>
        <w:t>nous</w:t>
      </w:r>
      <w:r w:rsidRPr="002C4077">
        <w:t xml:space="preserve"> </w:t>
      </w:r>
      <w:r>
        <w:t>sommes</w:t>
      </w:r>
      <w:r w:rsidRPr="002C4077">
        <w:t xml:space="preserve"> </w:t>
      </w:r>
      <w:r>
        <w:t>tentés</w:t>
      </w:r>
      <w:r w:rsidRPr="002C4077">
        <w:t xml:space="preserve"> </w:t>
      </w:r>
      <w:r>
        <w:t>de</w:t>
      </w:r>
      <w:r w:rsidRPr="002C4077">
        <w:t xml:space="preserve"> </w:t>
      </w:r>
      <w:r>
        <w:t>croire</w:t>
      </w:r>
      <w:r w:rsidRPr="002C4077">
        <w:t xml:space="preserve"> </w:t>
      </w:r>
      <w:r>
        <w:t>aussi</w:t>
      </w:r>
      <w:r w:rsidRPr="002C4077">
        <w:t xml:space="preserve"> </w:t>
      </w:r>
      <w:r>
        <w:t>jeunes</w:t>
      </w:r>
      <w:r w:rsidRPr="002C4077">
        <w:t xml:space="preserve"> </w:t>
      </w:r>
      <w:r>
        <w:t>que</w:t>
      </w:r>
      <w:r w:rsidRPr="002C4077">
        <w:t xml:space="preserve"> </w:t>
      </w:r>
      <w:r>
        <w:t>nous.</w:t>
      </w:r>
      <w:r w:rsidRPr="002C4077">
        <w:t xml:space="preserve"> </w:t>
      </w:r>
      <w:r>
        <w:t>Elle</w:t>
      </w:r>
      <w:r w:rsidRPr="002C4077">
        <w:t xml:space="preserve"> </w:t>
      </w:r>
      <w:r>
        <w:t>m’a</w:t>
      </w:r>
      <w:r w:rsidRPr="002C4077">
        <w:t xml:space="preserve"> </w:t>
      </w:r>
      <w:r>
        <w:t>plu</w:t>
      </w:r>
      <w:r w:rsidRPr="002C4077">
        <w:t xml:space="preserve"> </w:t>
      </w:r>
      <w:r>
        <w:t>sous</w:t>
      </w:r>
      <w:r w:rsidRPr="002C4077">
        <w:t xml:space="preserve"> </w:t>
      </w:r>
      <w:r>
        <w:t>cette</w:t>
      </w:r>
      <w:r w:rsidRPr="002C4077">
        <w:t xml:space="preserve"> </w:t>
      </w:r>
      <w:r>
        <w:t>figure</w:t>
      </w:r>
      <w:r w:rsidRPr="002C4077">
        <w:t xml:space="preserve"> </w:t>
      </w:r>
      <w:r>
        <w:t>inconnue</w:t>
      </w:r>
      <w:r w:rsidRPr="002C4077">
        <w:t xml:space="preserve"> </w:t>
      </w:r>
      <w:r>
        <w:t>jusqu’alors,</w:t>
      </w:r>
      <w:r w:rsidRPr="002C4077">
        <w:t xml:space="preserve"> </w:t>
      </w:r>
      <w:r>
        <w:t>et,</w:t>
      </w:r>
      <w:r w:rsidRPr="002C4077">
        <w:t xml:space="preserve"> </w:t>
      </w:r>
      <w:r>
        <w:t>dans</w:t>
      </w:r>
      <w:r w:rsidRPr="002C4077">
        <w:t xml:space="preserve"> </w:t>
      </w:r>
      <w:r>
        <w:t>la</w:t>
      </w:r>
      <w:r w:rsidRPr="002C4077">
        <w:t xml:space="preserve"> </w:t>
      </w:r>
      <w:r>
        <w:t>conviction</w:t>
      </w:r>
      <w:r w:rsidRPr="002C4077">
        <w:t xml:space="preserve"> </w:t>
      </w:r>
      <w:r>
        <w:t>que</w:t>
      </w:r>
      <w:r w:rsidRPr="002C4077">
        <w:t xml:space="preserve"> </w:t>
      </w:r>
      <w:r>
        <w:t>d’autres</w:t>
      </w:r>
      <w:r w:rsidRPr="002C4077">
        <w:t xml:space="preserve"> </w:t>
      </w:r>
      <w:r>
        <w:t>pourraient</w:t>
      </w:r>
      <w:r w:rsidRPr="002C4077">
        <w:t xml:space="preserve"> </w:t>
      </w:r>
      <w:r>
        <w:t>s’instruire</w:t>
      </w:r>
      <w:r w:rsidRPr="002C4077">
        <w:t xml:space="preserve"> </w:t>
      </w:r>
      <w:r>
        <w:t>en</w:t>
      </w:r>
      <w:r w:rsidRPr="002C4077">
        <w:t xml:space="preserve"> </w:t>
      </w:r>
      <w:r>
        <w:t>la</w:t>
      </w:r>
      <w:r w:rsidRPr="002C4077">
        <w:t xml:space="preserve"> </w:t>
      </w:r>
      <w:r>
        <w:t>regardant</w:t>
      </w:r>
      <w:r w:rsidRPr="002C4077">
        <w:t xml:space="preserve"> </w:t>
      </w:r>
      <w:r>
        <w:t>à</w:t>
      </w:r>
      <w:r w:rsidRPr="002C4077">
        <w:t xml:space="preserve"> </w:t>
      </w:r>
      <w:r>
        <w:t>leur</w:t>
      </w:r>
      <w:r w:rsidRPr="002C4077">
        <w:t xml:space="preserve"> </w:t>
      </w:r>
      <w:r>
        <w:t>tour,</w:t>
      </w:r>
      <w:r w:rsidRPr="002C4077">
        <w:t xml:space="preserve"> </w:t>
      </w:r>
      <w:r>
        <w:t>j’ai</w:t>
      </w:r>
      <w:r w:rsidRPr="002C4077">
        <w:t xml:space="preserve"> </w:t>
      </w:r>
      <w:r>
        <w:t>voulu</w:t>
      </w:r>
      <w:r w:rsidRPr="002C4077">
        <w:t xml:space="preserve"> </w:t>
      </w:r>
      <w:r>
        <w:t>noter</w:t>
      </w:r>
      <w:r w:rsidRPr="002C4077">
        <w:t xml:space="preserve"> </w:t>
      </w:r>
      <w:r>
        <w:t>les</w:t>
      </w:r>
      <w:r w:rsidRPr="002C4077">
        <w:t xml:space="preserve"> </w:t>
      </w:r>
      <w:r>
        <w:t>circonstances</w:t>
      </w:r>
      <w:r w:rsidRPr="002C4077">
        <w:t xml:space="preserve"> </w:t>
      </w:r>
      <w:r>
        <w:t>qui</w:t>
      </w:r>
      <w:r w:rsidRPr="002C4077">
        <w:t xml:space="preserve"> </w:t>
      </w:r>
      <w:r>
        <w:t>m’ont</w:t>
      </w:r>
      <w:r w:rsidRPr="002C4077">
        <w:t xml:space="preserve"> </w:t>
      </w:r>
      <w:r>
        <w:t>paru</w:t>
      </w:r>
      <w:r w:rsidRPr="002C4077">
        <w:t xml:space="preserve"> </w:t>
      </w:r>
      <w:r>
        <w:t>le</w:t>
      </w:r>
      <w:r w:rsidRPr="002C4077">
        <w:t xml:space="preserve"> </w:t>
      </w:r>
      <w:r>
        <w:t>plus</w:t>
      </w:r>
      <w:r w:rsidRPr="002C4077">
        <w:t xml:space="preserve"> </w:t>
      </w:r>
      <w:r>
        <w:t>capables</w:t>
      </w:r>
      <w:r w:rsidRPr="002C4077">
        <w:t xml:space="preserve"> </w:t>
      </w:r>
      <w:r>
        <w:t>d’exciter</w:t>
      </w:r>
      <w:r w:rsidRPr="002C4077">
        <w:t xml:space="preserve"> </w:t>
      </w:r>
      <w:r>
        <w:t>l’attention.</w:t>
      </w:r>
      <w:r w:rsidRPr="002C4077">
        <w:t xml:space="preserve"> </w:t>
      </w:r>
      <w:r>
        <w:t>Les</w:t>
      </w:r>
      <w:r w:rsidRPr="002C4077">
        <w:t xml:space="preserve"> </w:t>
      </w:r>
      <w:r>
        <w:t>justes</w:t>
      </w:r>
      <w:r w:rsidRPr="002C4077">
        <w:t xml:space="preserve"> </w:t>
      </w:r>
      <w:r>
        <w:t>préoccupations</w:t>
      </w:r>
      <w:r w:rsidRPr="002C4077">
        <w:t xml:space="preserve"> </w:t>
      </w:r>
      <w:r>
        <w:t>qui</w:t>
      </w:r>
      <w:r w:rsidRPr="002C4077">
        <w:t xml:space="preserve"> </w:t>
      </w:r>
      <w:r>
        <w:t>agitent</w:t>
      </w:r>
      <w:r w:rsidRPr="002C4077">
        <w:t xml:space="preserve"> </w:t>
      </w:r>
      <w:r>
        <w:t>aujourd’hui</w:t>
      </w:r>
      <w:r w:rsidRPr="002C4077">
        <w:t xml:space="preserve"> </w:t>
      </w:r>
      <w:r>
        <w:t>le</w:t>
      </w:r>
      <w:r w:rsidRPr="002C4077">
        <w:t xml:space="preserve"> </w:t>
      </w:r>
      <w:r>
        <w:t>monde</w:t>
      </w:r>
      <w:r w:rsidRPr="002C4077">
        <w:t xml:space="preserve"> </w:t>
      </w:r>
      <w:r>
        <w:t>entier</w:t>
      </w:r>
      <w:r w:rsidRPr="002C4077">
        <w:t xml:space="preserve"> </w:t>
      </w:r>
      <w:r>
        <w:t>touchant</w:t>
      </w:r>
      <w:r w:rsidRPr="002C4077">
        <w:t xml:space="preserve"> </w:t>
      </w:r>
      <w:r>
        <w:t>la</w:t>
      </w:r>
      <w:r w:rsidRPr="002C4077">
        <w:t xml:space="preserve"> </w:t>
      </w:r>
      <w:r>
        <w:t>grave</w:t>
      </w:r>
      <w:r w:rsidRPr="002C4077">
        <w:t xml:space="preserve"> </w:t>
      </w:r>
      <w:r>
        <w:t>question</w:t>
      </w:r>
      <w:r w:rsidRPr="002C4077">
        <w:t xml:space="preserve"> </w:t>
      </w:r>
      <w:r>
        <w:t>du</w:t>
      </w:r>
      <w:r w:rsidRPr="002C4077">
        <w:t xml:space="preserve"> </w:t>
      </w:r>
      <w:r>
        <w:t>travail</w:t>
      </w:r>
      <w:r w:rsidRPr="002C4077">
        <w:t xml:space="preserve"> </w:t>
      </w:r>
      <w:r>
        <w:t>donneront</w:t>
      </w:r>
      <w:r w:rsidRPr="002C4077">
        <w:t xml:space="preserve"> </w:t>
      </w:r>
      <w:r>
        <w:t>d’ailleurs</w:t>
      </w:r>
      <w:r w:rsidRPr="002C4077">
        <w:t xml:space="preserve"> </w:t>
      </w:r>
      <w:r>
        <w:t>à</w:t>
      </w:r>
      <w:r w:rsidRPr="002C4077">
        <w:t xml:space="preserve"> </w:t>
      </w:r>
      <w:r>
        <w:t>cette</w:t>
      </w:r>
      <w:r w:rsidRPr="002C4077">
        <w:t xml:space="preserve"> </w:t>
      </w:r>
      <w:r>
        <w:t>étude</w:t>
      </w:r>
      <w:r w:rsidRPr="002C4077">
        <w:t xml:space="preserve"> </w:t>
      </w:r>
      <w:r>
        <w:t>un</w:t>
      </w:r>
      <w:r w:rsidRPr="002C4077">
        <w:t xml:space="preserve"> </w:t>
      </w:r>
      <w:r>
        <w:t>cachet</w:t>
      </w:r>
      <w:r w:rsidRPr="002C4077">
        <w:t xml:space="preserve"> </w:t>
      </w:r>
      <w:r>
        <w:t>d’opportunité</w:t>
      </w:r>
      <w:r w:rsidRPr="002C4077">
        <w:t xml:space="preserve"> </w:t>
      </w:r>
      <w:r>
        <w:t>qui</w:t>
      </w:r>
      <w:r w:rsidRPr="002C4077">
        <w:t xml:space="preserve"> </w:t>
      </w:r>
      <w:r>
        <w:t>en</w:t>
      </w:r>
      <w:r w:rsidRPr="002C4077">
        <w:t xml:space="preserve"> </w:t>
      </w:r>
      <w:r>
        <w:t>accroîtra</w:t>
      </w:r>
      <w:r w:rsidRPr="002C4077">
        <w:t xml:space="preserve"> </w:t>
      </w:r>
      <w:r>
        <w:t>l’intérêt.</w:t>
      </w:r>
      <w:r w:rsidRPr="002C4077">
        <w:t xml:space="preserve"> </w:t>
      </w:r>
    </w:p>
    <w:p w:rsidR="00FD0BB0" w:rsidRDefault="00FD0BB0" w:rsidP="000A7AAB"/>
    <w:p w:rsidR="000A7AAB" w:rsidRDefault="000A7AAB" w:rsidP="000A7AAB">
      <w:r>
        <w:t>Les</w:t>
      </w:r>
      <w:r w:rsidRPr="002C4077">
        <w:t xml:space="preserve"> </w:t>
      </w:r>
      <w:r>
        <w:t>détails</w:t>
      </w:r>
      <w:r w:rsidRPr="002C4077">
        <w:t xml:space="preserve"> </w:t>
      </w:r>
      <w:r>
        <w:t>que</w:t>
      </w:r>
      <w:r w:rsidRPr="002C4077">
        <w:t xml:space="preserve"> </w:t>
      </w:r>
      <w:r>
        <w:t>nous</w:t>
      </w:r>
      <w:r w:rsidRPr="002C4077">
        <w:t xml:space="preserve"> </w:t>
      </w:r>
      <w:r>
        <w:t>allons</w:t>
      </w:r>
      <w:r w:rsidRPr="002C4077">
        <w:t xml:space="preserve"> </w:t>
      </w:r>
      <w:r>
        <w:t>citer</w:t>
      </w:r>
      <w:r w:rsidRPr="002C4077">
        <w:t xml:space="preserve"> </w:t>
      </w:r>
      <w:r>
        <w:t>proviennent</w:t>
      </w:r>
      <w:r w:rsidRPr="002C4077">
        <w:t xml:space="preserve"> </w:t>
      </w:r>
      <w:r>
        <w:t>de</w:t>
      </w:r>
      <w:r w:rsidRPr="002C4077">
        <w:t xml:space="preserve"> </w:t>
      </w:r>
      <w:r>
        <w:t>quatre</w:t>
      </w:r>
      <w:r w:rsidRPr="002C4077">
        <w:t xml:space="preserve"> </w:t>
      </w:r>
      <w:r>
        <w:t>sources</w:t>
      </w:r>
      <w:bookmarkStart w:id="582" w:name="z_TravailManuel_o2"/>
      <w:bookmarkEnd w:id="582"/>
      <w:r w:rsidRPr="002C4077">
        <w:t xml:space="preserve"> </w:t>
      </w:r>
      <w:r>
        <w:t>principales</w:t>
      </w:r>
      <w:r w:rsidR="00B546AF">
        <w:t> :</w:t>
      </w:r>
      <w:r w:rsidRPr="002C4077">
        <w:t xml:space="preserve"> </w:t>
      </w:r>
      <w:r>
        <w:t>le</w:t>
      </w:r>
      <w:r w:rsidRPr="002C4077">
        <w:t xml:space="preserve"> </w:t>
      </w:r>
      <w:r>
        <w:t>Nouveau</w:t>
      </w:r>
      <w:r w:rsidRPr="002C4077">
        <w:t xml:space="preserve"> </w:t>
      </w:r>
      <w:r>
        <w:t>Testament,</w:t>
      </w:r>
      <w:r w:rsidRPr="002C4077">
        <w:t xml:space="preserve"> </w:t>
      </w:r>
      <w:r>
        <w:t>l’historien</w:t>
      </w:r>
      <w:r w:rsidRPr="002C4077">
        <w:t xml:space="preserve"> </w:t>
      </w:r>
      <w:r>
        <w:t>Josèphe,</w:t>
      </w:r>
      <w:r w:rsidRPr="002C4077">
        <w:t xml:space="preserve"> </w:t>
      </w:r>
      <w:r>
        <w:t>le</w:t>
      </w:r>
      <w:r w:rsidRPr="002C4077">
        <w:t xml:space="preserve"> </w:t>
      </w:r>
      <w:r>
        <w:t>Talmud</w:t>
      </w:r>
      <w:r w:rsidRPr="002C4077">
        <w:t xml:space="preserve"> </w:t>
      </w:r>
      <w:r>
        <w:t>et</w:t>
      </w:r>
      <w:r w:rsidRPr="002C4077">
        <w:t xml:space="preserve"> </w:t>
      </w:r>
      <w:r>
        <w:t>les</w:t>
      </w:r>
      <w:r w:rsidRPr="002C4077">
        <w:t xml:space="preserve"> </w:t>
      </w:r>
      <w:r w:rsidRPr="000A34B5">
        <w:rPr>
          <w:rStyle w:val="italicus"/>
        </w:rPr>
        <w:t>Midraschim.</w:t>
      </w:r>
      <w:r w:rsidRPr="002C4077">
        <w:t xml:space="preserve"> </w:t>
      </w:r>
    </w:p>
    <w:p w:rsidR="000A7AAB" w:rsidRDefault="000A7AAB" w:rsidP="000A7AAB">
      <w:r>
        <w:t>Les</w:t>
      </w:r>
      <w:bookmarkStart w:id="583" w:name="z_TestamentNouveau_o4"/>
      <w:bookmarkEnd w:id="583"/>
      <w:r w:rsidRPr="002C4077">
        <w:t xml:space="preserve"> </w:t>
      </w:r>
      <w:r>
        <w:t>écrits</w:t>
      </w:r>
      <w:r w:rsidRPr="002C4077">
        <w:t xml:space="preserve"> </w:t>
      </w:r>
      <w:r>
        <w:t>apostoliques</w:t>
      </w:r>
      <w:r w:rsidRPr="002C4077">
        <w:t xml:space="preserve"> </w:t>
      </w:r>
      <w:r>
        <w:t>ne</w:t>
      </w:r>
      <w:r w:rsidRPr="002C4077">
        <w:t xml:space="preserve"> </w:t>
      </w:r>
      <w:r>
        <w:t>fournissent</w:t>
      </w:r>
      <w:r w:rsidRPr="002C4077">
        <w:t xml:space="preserve"> </w:t>
      </w:r>
      <w:r>
        <w:t>sur</w:t>
      </w:r>
      <w:r w:rsidRPr="002C4077">
        <w:t xml:space="preserve"> </w:t>
      </w:r>
      <w:r>
        <w:t>le</w:t>
      </w:r>
      <w:r w:rsidRPr="002C4077">
        <w:t xml:space="preserve"> </w:t>
      </w:r>
      <w:r>
        <w:t>sujet</w:t>
      </w:r>
      <w:r w:rsidRPr="002C4077">
        <w:t xml:space="preserve"> </w:t>
      </w:r>
      <w:r>
        <w:t>qui</w:t>
      </w:r>
      <w:r w:rsidRPr="002C4077">
        <w:t xml:space="preserve"> </w:t>
      </w:r>
      <w:r>
        <w:t>nous</w:t>
      </w:r>
      <w:r w:rsidRPr="002C4077">
        <w:t xml:space="preserve"> </w:t>
      </w:r>
      <w:r>
        <w:t>occupe</w:t>
      </w:r>
      <w:r w:rsidRPr="002C4077">
        <w:t xml:space="preserve"> </w:t>
      </w:r>
      <w:r>
        <w:t>qu’un</w:t>
      </w:r>
      <w:r w:rsidRPr="002C4077">
        <w:t xml:space="preserve"> </w:t>
      </w:r>
      <w:r>
        <w:t>très</w:t>
      </w:r>
      <w:r w:rsidRPr="002C4077">
        <w:t xml:space="preserve"> </w:t>
      </w:r>
      <w:r>
        <w:t>petit</w:t>
      </w:r>
      <w:r w:rsidRPr="002C4077">
        <w:t xml:space="preserve"> </w:t>
      </w:r>
      <w:r>
        <w:t>nombre</w:t>
      </w:r>
      <w:r w:rsidRPr="002C4077">
        <w:t xml:space="preserve"> </w:t>
      </w:r>
      <w:r>
        <w:t>de</w:t>
      </w:r>
      <w:r w:rsidRPr="002C4077">
        <w:t xml:space="preserve"> </w:t>
      </w:r>
      <w:r>
        <w:t>renseignements.</w:t>
      </w:r>
      <w:r w:rsidRPr="002C4077">
        <w:t xml:space="preserve"> </w:t>
      </w:r>
      <w:r>
        <w:t>S.</w:t>
      </w:r>
      <w:r w:rsidRPr="002C4077">
        <w:t xml:space="preserve"> </w:t>
      </w:r>
      <w:r>
        <w:t>Joseph</w:t>
      </w:r>
      <w:r w:rsidRPr="002C4077">
        <w:t xml:space="preserve"> </w:t>
      </w:r>
      <w:r>
        <w:t>le</w:t>
      </w:r>
      <w:r w:rsidRPr="002C4077">
        <w:t xml:space="preserve"> </w:t>
      </w:r>
      <w:r>
        <w:t>charpentier,</w:t>
      </w:r>
      <w:r w:rsidRPr="002C4077">
        <w:t xml:space="preserve"> </w:t>
      </w:r>
      <w:r>
        <w:t>Simon</w:t>
      </w:r>
      <w:r w:rsidRPr="002C4077">
        <w:t xml:space="preserve"> </w:t>
      </w:r>
      <w:r>
        <w:t>le</w:t>
      </w:r>
      <w:r w:rsidRPr="002C4077">
        <w:t xml:space="preserve"> </w:t>
      </w:r>
      <w:r>
        <w:t>corroyeur,</w:t>
      </w:r>
      <w:r w:rsidRPr="002C4077">
        <w:t xml:space="preserve"> </w:t>
      </w:r>
      <w:r>
        <w:t>les</w:t>
      </w:r>
      <w:r w:rsidRPr="002C4077">
        <w:t xml:space="preserve"> </w:t>
      </w:r>
      <w:r>
        <w:t>pêcheurs</w:t>
      </w:r>
      <w:r w:rsidRPr="002C4077">
        <w:t xml:space="preserve"> </w:t>
      </w:r>
      <w:r>
        <w:t>de</w:t>
      </w:r>
      <w:r w:rsidRPr="002C4077">
        <w:t xml:space="preserve"> </w:t>
      </w:r>
      <w:r>
        <w:t>Galilée,</w:t>
      </w:r>
      <w:r w:rsidRPr="002C4077">
        <w:t xml:space="preserve"> </w:t>
      </w:r>
      <w:r>
        <w:t>Paul</w:t>
      </w:r>
      <w:r w:rsidRPr="002C4077">
        <w:t xml:space="preserve"> </w:t>
      </w:r>
      <w:r>
        <w:t>et</w:t>
      </w:r>
      <w:r w:rsidRPr="002C4077">
        <w:t xml:space="preserve"> </w:t>
      </w:r>
      <w:r>
        <w:t>Aquila</w:t>
      </w:r>
      <w:r w:rsidRPr="002C4077">
        <w:t xml:space="preserve"> </w:t>
      </w:r>
      <w:r>
        <w:t>fabricants</w:t>
      </w:r>
      <w:r w:rsidRPr="002C4077">
        <w:t xml:space="preserve"> </w:t>
      </w:r>
      <w:r>
        <w:t>de</w:t>
      </w:r>
      <w:r w:rsidRPr="002C4077">
        <w:t xml:space="preserve"> </w:t>
      </w:r>
      <w:r>
        <w:t>toile</w:t>
      </w:r>
      <w:r w:rsidRPr="002C4077">
        <w:t xml:space="preserve"> </w:t>
      </w:r>
      <w:r>
        <w:t>pour</w:t>
      </w:r>
      <w:r w:rsidRPr="002C4077">
        <w:t xml:space="preserve"> </w:t>
      </w:r>
      <w:r>
        <w:t>les</w:t>
      </w:r>
      <w:r w:rsidRPr="002C4077">
        <w:t xml:space="preserve"> </w:t>
      </w:r>
      <w:r>
        <w:t>tentes,</w:t>
      </w:r>
      <w:r w:rsidRPr="002C4077">
        <w:t xml:space="preserve"> </w:t>
      </w:r>
      <w:r>
        <w:t>tels</w:t>
      </w:r>
      <w:r w:rsidRPr="002C4077">
        <w:t xml:space="preserve"> </w:t>
      </w:r>
      <w:r>
        <w:t>sont</w:t>
      </w:r>
      <w:r w:rsidRPr="002C4077">
        <w:t xml:space="preserve"> </w:t>
      </w:r>
      <w:r>
        <w:t>à</w:t>
      </w:r>
      <w:r w:rsidRPr="002C4077">
        <w:t xml:space="preserve"> </w:t>
      </w:r>
      <w:r>
        <w:t>peu</w:t>
      </w:r>
      <w:r w:rsidRPr="002C4077">
        <w:t xml:space="preserve"> </w:t>
      </w:r>
      <w:r>
        <w:t>près</w:t>
      </w:r>
      <w:r w:rsidRPr="002C4077">
        <w:t xml:space="preserve"> </w:t>
      </w:r>
      <w:r>
        <w:t>les</w:t>
      </w:r>
      <w:r w:rsidRPr="002C4077">
        <w:t xml:space="preserve"> </w:t>
      </w:r>
      <w:r>
        <w:t>seuls</w:t>
      </w:r>
      <w:r w:rsidRPr="002C4077">
        <w:t xml:space="preserve"> </w:t>
      </w:r>
      <w:r>
        <w:t>art</w:t>
      </w:r>
      <w:r w:rsidRPr="002C4077">
        <w:t xml:space="preserve"> </w:t>
      </w:r>
      <w:r>
        <w:t>sans</w:t>
      </w:r>
      <w:r w:rsidRPr="002C4077">
        <w:t xml:space="preserve"> </w:t>
      </w:r>
      <w:r>
        <w:t>juifs</w:t>
      </w:r>
      <w:r w:rsidRPr="002C4077">
        <w:t xml:space="preserve"> </w:t>
      </w:r>
      <w:r>
        <w:t>dont</w:t>
      </w:r>
      <w:r w:rsidRPr="002C4077">
        <w:t xml:space="preserve"> </w:t>
      </w:r>
      <w:r>
        <w:t>il</w:t>
      </w:r>
      <w:r w:rsidRPr="002C4077">
        <w:t xml:space="preserve"> </w:t>
      </w:r>
      <w:r>
        <w:t>soit</w:t>
      </w:r>
      <w:r w:rsidRPr="002C4077">
        <w:t xml:space="preserve"> </w:t>
      </w:r>
      <w:r>
        <w:t>fait</w:t>
      </w:r>
      <w:r w:rsidRPr="002C4077">
        <w:t xml:space="preserve"> </w:t>
      </w:r>
      <w:r>
        <w:t>mention</w:t>
      </w:r>
      <w:r w:rsidRPr="002C4077">
        <w:t xml:space="preserve"> </w:t>
      </w:r>
      <w:r>
        <w:t>dans</w:t>
      </w:r>
      <w:r w:rsidRPr="002C4077">
        <w:t xml:space="preserve"> </w:t>
      </w:r>
      <w:r>
        <w:t>le</w:t>
      </w:r>
      <w:r w:rsidRPr="002C4077">
        <w:t xml:space="preserve"> </w:t>
      </w:r>
      <w:r>
        <w:lastRenderedPageBreak/>
        <w:t>Nouveau</w:t>
      </w:r>
      <w:r w:rsidRPr="002C4077">
        <w:t xml:space="preserve"> </w:t>
      </w:r>
      <w:r>
        <w:t>Testament</w:t>
      </w:r>
      <w:r w:rsidR="00B546AF">
        <w:t> ;</w:t>
      </w:r>
      <w:r w:rsidR="00C45B47">
        <w:t xml:space="preserve"> {</w:t>
      </w:r>
      <w:r w:rsidR="001F5257">
        <w:t>241</w:t>
      </w:r>
      <w:bookmarkStart w:id="584" w:name="p241"/>
      <w:bookmarkEnd w:id="584"/>
      <w:r w:rsidR="001F5257">
        <w:t xml:space="preserve">} </w:t>
      </w:r>
      <w:r>
        <w:t>aussi</w:t>
      </w:r>
      <w:r w:rsidRPr="002C4077">
        <w:t xml:space="preserve"> </w:t>
      </w:r>
      <w:r>
        <w:t>les</w:t>
      </w:r>
      <w:r w:rsidRPr="002C4077">
        <w:t xml:space="preserve"> </w:t>
      </w:r>
      <w:r>
        <w:t>données</w:t>
      </w:r>
      <w:r w:rsidRPr="002C4077">
        <w:t xml:space="preserve"> </w:t>
      </w:r>
      <w:r>
        <w:t>de</w:t>
      </w:r>
      <w:r w:rsidRPr="002C4077">
        <w:t xml:space="preserve"> </w:t>
      </w:r>
      <w:r>
        <w:t>l’Évangile</w:t>
      </w:r>
      <w:r w:rsidRPr="002C4077">
        <w:t xml:space="preserve"> </w:t>
      </w:r>
      <w:r>
        <w:t>seraient-elles</w:t>
      </w:r>
      <w:r w:rsidRPr="002C4077">
        <w:t xml:space="preserve"> </w:t>
      </w:r>
      <w:r>
        <w:t>insuffisantes</w:t>
      </w:r>
      <w:r w:rsidRPr="002C4077">
        <w:t xml:space="preserve"> </w:t>
      </w:r>
      <w:r>
        <w:t>pour</w:t>
      </w:r>
      <w:r w:rsidRPr="002C4077">
        <w:t xml:space="preserve"> </w:t>
      </w:r>
      <w:r>
        <w:t>nous</w:t>
      </w:r>
      <w:r w:rsidRPr="002C4077">
        <w:t xml:space="preserve"> </w:t>
      </w:r>
      <w:r>
        <w:t>faire</w:t>
      </w:r>
      <w:r w:rsidRPr="002C4077">
        <w:t xml:space="preserve"> </w:t>
      </w:r>
      <w:r>
        <w:t>connaître</w:t>
      </w:r>
      <w:r w:rsidRPr="002C4077">
        <w:t xml:space="preserve"> </w:t>
      </w:r>
      <w:r>
        <w:t>à</w:t>
      </w:r>
      <w:r w:rsidRPr="002C4077">
        <w:t xml:space="preserve"> </w:t>
      </w:r>
      <w:r>
        <w:t>fond,</w:t>
      </w:r>
      <w:r w:rsidRPr="002C4077">
        <w:t xml:space="preserve"> </w:t>
      </w:r>
      <w:r>
        <w:t>relativement</w:t>
      </w:r>
      <w:r w:rsidRPr="002C4077">
        <w:t xml:space="preserve"> </w:t>
      </w:r>
      <w:r>
        <w:t>au</w:t>
      </w:r>
      <w:r w:rsidRPr="002C4077">
        <w:t xml:space="preserve"> </w:t>
      </w:r>
      <w:r>
        <w:t>travail,</w:t>
      </w:r>
      <w:r w:rsidRPr="002C4077">
        <w:t xml:space="preserve"> </w:t>
      </w:r>
      <w:r>
        <w:t>la</w:t>
      </w:r>
      <w:r w:rsidRPr="002C4077">
        <w:t xml:space="preserve"> </w:t>
      </w:r>
      <w:r>
        <w:t>théorie</w:t>
      </w:r>
      <w:r w:rsidRPr="002C4077">
        <w:t xml:space="preserve"> </w:t>
      </w:r>
      <w:r>
        <w:t>et</w:t>
      </w:r>
      <w:r w:rsidRPr="002C4077">
        <w:t xml:space="preserve"> </w:t>
      </w:r>
      <w:r>
        <w:t>la</w:t>
      </w:r>
      <w:r w:rsidRPr="002C4077">
        <w:t xml:space="preserve"> </w:t>
      </w:r>
      <w:r>
        <w:t>pratique</w:t>
      </w:r>
      <w:r w:rsidRPr="002C4077">
        <w:t xml:space="preserve"> </w:t>
      </w:r>
      <w:r>
        <w:t>des</w:t>
      </w:r>
      <w:r w:rsidRPr="002C4077">
        <w:t xml:space="preserve"> </w:t>
      </w:r>
      <w:r>
        <w:t>Juifs</w:t>
      </w:r>
      <w:r w:rsidRPr="002C4077">
        <w:t xml:space="preserve"> </w:t>
      </w:r>
      <w:r>
        <w:t>contemporains</w:t>
      </w:r>
      <w:r w:rsidRPr="002C4077">
        <w:t xml:space="preserve"> </w:t>
      </w:r>
      <w:r>
        <w:t>de</w:t>
      </w:r>
      <w:r w:rsidRPr="002C4077">
        <w:t xml:space="preserve"> </w:t>
      </w:r>
      <w:r>
        <w:t>Notre</w:t>
      </w:r>
      <w:r w:rsidRPr="002C4077">
        <w:t xml:space="preserve"> </w:t>
      </w:r>
      <w:r>
        <w:t>Seigneur.</w:t>
      </w:r>
      <w:r w:rsidRPr="002C4077">
        <w:t xml:space="preserve"> </w:t>
      </w:r>
      <w:r>
        <w:t>Heureusement,</w:t>
      </w:r>
      <w:r w:rsidRPr="002C4077">
        <w:t xml:space="preserve"> </w:t>
      </w:r>
      <w:r>
        <w:t>les</w:t>
      </w:r>
      <w:r w:rsidRPr="002C4077">
        <w:t xml:space="preserve"> </w:t>
      </w:r>
      <w:r>
        <w:t>autres</w:t>
      </w:r>
      <w:r w:rsidRPr="002C4077">
        <w:t xml:space="preserve"> </w:t>
      </w:r>
      <w:r>
        <w:t>sources</w:t>
      </w:r>
      <w:r w:rsidRPr="002C4077">
        <w:t xml:space="preserve"> </w:t>
      </w:r>
      <w:r>
        <w:t>sont</w:t>
      </w:r>
      <w:r w:rsidRPr="002C4077">
        <w:t xml:space="preserve"> </w:t>
      </w:r>
      <w:r>
        <w:t>plus</w:t>
      </w:r>
      <w:r w:rsidRPr="002C4077">
        <w:t xml:space="preserve"> </w:t>
      </w:r>
      <w:r>
        <w:t>explicites.</w:t>
      </w:r>
      <w:r w:rsidRPr="002C4077">
        <w:t xml:space="preserve"> </w:t>
      </w:r>
      <w:r>
        <w:t>Josèphe</w:t>
      </w:r>
      <w:r w:rsidRPr="002C4077">
        <w:t xml:space="preserve"> </w:t>
      </w:r>
      <w:r>
        <w:t>nous</w:t>
      </w:r>
      <w:r w:rsidRPr="002C4077">
        <w:t xml:space="preserve"> </w:t>
      </w:r>
      <w:r>
        <w:t>livre</w:t>
      </w:r>
      <w:r w:rsidRPr="002C4077">
        <w:t xml:space="preserve"> </w:t>
      </w:r>
      <w:r>
        <w:t>dans</w:t>
      </w:r>
      <w:r w:rsidRPr="002C4077">
        <w:t xml:space="preserve"> </w:t>
      </w:r>
      <w:r>
        <w:t>ses</w:t>
      </w:r>
      <w:r w:rsidRPr="002C4077">
        <w:t xml:space="preserve"> </w:t>
      </w:r>
      <w:r>
        <w:t>divers</w:t>
      </w:r>
      <w:r w:rsidRPr="002C4077">
        <w:t xml:space="preserve"> </w:t>
      </w:r>
      <w:r>
        <w:t>écrits,</w:t>
      </w:r>
      <w:r w:rsidRPr="002C4077">
        <w:t xml:space="preserve"> </w:t>
      </w:r>
      <w:r>
        <w:t>et</w:t>
      </w:r>
      <w:r w:rsidRPr="002C4077">
        <w:t xml:space="preserve"> </w:t>
      </w:r>
      <w:r>
        <w:t>surtout</w:t>
      </w:r>
      <w:r w:rsidRPr="002C4077">
        <w:t xml:space="preserve"> </w:t>
      </w:r>
      <w:r>
        <w:t>dans</w:t>
      </w:r>
      <w:r w:rsidRPr="002C4077">
        <w:t xml:space="preserve"> </w:t>
      </w:r>
      <w:r>
        <w:t>ses</w:t>
      </w:r>
      <w:r w:rsidRPr="002C4077">
        <w:t xml:space="preserve"> </w:t>
      </w:r>
      <w:r w:rsidRPr="000A34B5">
        <w:rPr>
          <w:rStyle w:val="italicus"/>
        </w:rPr>
        <w:t>Antiquités,</w:t>
      </w:r>
      <w:r w:rsidRPr="002C4077">
        <w:t xml:space="preserve"> </w:t>
      </w:r>
      <w:r>
        <w:t>une</w:t>
      </w:r>
      <w:r w:rsidRPr="002C4077">
        <w:t xml:space="preserve"> </w:t>
      </w:r>
      <w:r>
        <w:t>foule</w:t>
      </w:r>
      <w:r w:rsidRPr="002C4077">
        <w:t xml:space="preserve"> </w:t>
      </w:r>
      <w:r>
        <w:t>de</w:t>
      </w:r>
      <w:r w:rsidRPr="002C4077">
        <w:t xml:space="preserve"> </w:t>
      </w:r>
      <w:r>
        <w:t>précieux</w:t>
      </w:r>
      <w:r w:rsidRPr="002C4077">
        <w:t xml:space="preserve"> </w:t>
      </w:r>
      <w:r>
        <w:t>matériaux.</w:t>
      </w:r>
      <w:r w:rsidRPr="002C4077">
        <w:t xml:space="preserve"> </w:t>
      </w:r>
      <w:r>
        <w:t>Le</w:t>
      </w:r>
      <w:r w:rsidRPr="002C4077">
        <w:t xml:space="preserve"> </w:t>
      </w:r>
      <w:r>
        <w:t>Talmud</w:t>
      </w:r>
      <w:bookmarkStart w:id="585" w:name="z_Talmud_o2"/>
      <w:bookmarkEnd w:id="585"/>
      <w:r>
        <w:t>,</w:t>
      </w:r>
      <w:r w:rsidRPr="002C4077">
        <w:t xml:space="preserve"> </w:t>
      </w:r>
      <w:r>
        <w:t>c’est-à-dire</w:t>
      </w:r>
      <w:r w:rsidRPr="002C4077">
        <w:t xml:space="preserve"> </w:t>
      </w:r>
      <w:r>
        <w:t>l’immense</w:t>
      </w:r>
      <w:r w:rsidRPr="002C4077">
        <w:t xml:space="preserve"> </w:t>
      </w:r>
      <w:r>
        <w:t>collection</w:t>
      </w:r>
      <w:r w:rsidRPr="002C4077">
        <w:t xml:space="preserve"> </w:t>
      </w:r>
      <w:r>
        <w:t>des</w:t>
      </w:r>
      <w:r w:rsidRPr="002C4077">
        <w:t xml:space="preserve"> </w:t>
      </w:r>
      <w:r>
        <w:t>lois</w:t>
      </w:r>
      <w:r w:rsidRPr="002C4077">
        <w:t xml:space="preserve"> </w:t>
      </w:r>
      <w:r>
        <w:t>qui</w:t>
      </w:r>
      <w:r w:rsidRPr="002C4077">
        <w:t xml:space="preserve"> </w:t>
      </w:r>
      <w:r>
        <w:t>dirigeaient</w:t>
      </w:r>
      <w:r w:rsidRPr="002C4077">
        <w:t xml:space="preserve"> </w:t>
      </w:r>
      <w:r>
        <w:t>la</w:t>
      </w:r>
      <w:r w:rsidRPr="002C4077">
        <w:t xml:space="preserve"> </w:t>
      </w:r>
      <w:r>
        <w:t>vie</w:t>
      </w:r>
      <w:r w:rsidRPr="002C4077">
        <w:t xml:space="preserve"> </w:t>
      </w:r>
      <w:r>
        <w:t>soit</w:t>
      </w:r>
      <w:r w:rsidRPr="002C4077">
        <w:t xml:space="preserve"> </w:t>
      </w:r>
      <w:r>
        <w:t>privée</w:t>
      </w:r>
      <w:r w:rsidRPr="002C4077">
        <w:t xml:space="preserve"> </w:t>
      </w:r>
      <w:r>
        <w:t>soit</w:t>
      </w:r>
      <w:r w:rsidRPr="002C4077">
        <w:t xml:space="preserve"> </w:t>
      </w:r>
      <w:r>
        <w:t>sociale</w:t>
      </w:r>
      <w:r w:rsidRPr="002C4077">
        <w:t xml:space="preserve"> </w:t>
      </w:r>
      <w:r>
        <w:t>des</w:t>
      </w:r>
      <w:r w:rsidRPr="002C4077">
        <w:t xml:space="preserve"> </w:t>
      </w:r>
      <w:r>
        <w:t>Juifs,</w:t>
      </w:r>
      <w:r w:rsidRPr="002C4077">
        <w:t xml:space="preserve"> </w:t>
      </w:r>
      <w:r>
        <w:t>et</w:t>
      </w:r>
      <w:r w:rsidRPr="002C4077">
        <w:t xml:space="preserve"> </w:t>
      </w:r>
      <w:r>
        <w:t>les</w:t>
      </w:r>
      <w:r w:rsidRPr="002C4077">
        <w:t xml:space="preserve"> </w:t>
      </w:r>
      <w:r w:rsidRPr="000A34B5">
        <w:rPr>
          <w:rStyle w:val="italicus"/>
        </w:rPr>
        <w:t>Midraschim,</w:t>
      </w:r>
      <w:r w:rsidRPr="002C4077">
        <w:t xml:space="preserve"> </w:t>
      </w:r>
      <w:r>
        <w:t>sorte</w:t>
      </w:r>
      <w:r w:rsidRPr="002C4077">
        <w:t xml:space="preserve"> </w:t>
      </w:r>
      <w:r>
        <w:t>de</w:t>
      </w:r>
      <w:r w:rsidRPr="002C4077">
        <w:t xml:space="preserve"> </w:t>
      </w:r>
      <w:r>
        <w:t>commentaires</w:t>
      </w:r>
      <w:r w:rsidRPr="002C4077">
        <w:t xml:space="preserve"> </w:t>
      </w:r>
      <w:r>
        <w:t>composés</w:t>
      </w:r>
      <w:r w:rsidRPr="002C4077">
        <w:t xml:space="preserve"> </w:t>
      </w:r>
      <w:r>
        <w:t>par</w:t>
      </w:r>
      <w:r w:rsidRPr="002C4077">
        <w:t xml:space="preserve"> </w:t>
      </w:r>
      <w:r>
        <w:t>les</w:t>
      </w:r>
      <w:r w:rsidRPr="002C4077">
        <w:t xml:space="preserve"> </w:t>
      </w:r>
      <w:r>
        <w:t>rabbins</w:t>
      </w:r>
      <w:r w:rsidRPr="002C4077">
        <w:t xml:space="preserve"> </w:t>
      </w:r>
      <w:r>
        <w:t>sur</w:t>
      </w:r>
      <w:r w:rsidRPr="002C4077">
        <w:t xml:space="preserve"> </w:t>
      </w:r>
      <w:r>
        <w:t>les</w:t>
      </w:r>
      <w:r w:rsidRPr="002C4077">
        <w:t xml:space="preserve"> </w:t>
      </w:r>
      <w:r>
        <w:t>principaux</w:t>
      </w:r>
      <w:r w:rsidRPr="002C4077">
        <w:t xml:space="preserve"> </w:t>
      </w:r>
      <w:r>
        <w:t>livres</w:t>
      </w:r>
      <w:r w:rsidRPr="002C4077">
        <w:t xml:space="preserve"> </w:t>
      </w:r>
      <w:r>
        <w:t>de</w:t>
      </w:r>
      <w:r w:rsidRPr="002C4077">
        <w:t xml:space="preserve"> </w:t>
      </w:r>
      <w:r>
        <w:t>l’Ancien</w:t>
      </w:r>
      <w:r w:rsidRPr="002C4077">
        <w:t xml:space="preserve"> </w:t>
      </w:r>
      <w:r>
        <w:t>Testament,</w:t>
      </w:r>
      <w:r w:rsidRPr="002C4077">
        <w:t xml:space="preserve"> </w:t>
      </w:r>
      <w:r>
        <w:t>nous</w:t>
      </w:r>
      <w:r w:rsidRPr="002C4077">
        <w:t xml:space="preserve"> </w:t>
      </w:r>
      <w:r>
        <w:t>en</w:t>
      </w:r>
      <w:r w:rsidRPr="002C4077">
        <w:t xml:space="preserve"> </w:t>
      </w:r>
      <w:r>
        <w:t>fournissent</w:t>
      </w:r>
      <w:r w:rsidRPr="002C4077">
        <w:t xml:space="preserve"> </w:t>
      </w:r>
      <w:r>
        <w:t>encore</w:t>
      </w:r>
      <w:r w:rsidRPr="002C4077">
        <w:t xml:space="preserve"> </w:t>
      </w:r>
      <w:r>
        <w:t>un</w:t>
      </w:r>
      <w:r w:rsidRPr="002C4077">
        <w:t xml:space="preserve"> </w:t>
      </w:r>
      <w:r>
        <w:t>plus</w:t>
      </w:r>
      <w:r w:rsidRPr="002C4077">
        <w:t xml:space="preserve"> </w:t>
      </w:r>
      <w:r>
        <w:t>grand</w:t>
      </w:r>
      <w:r w:rsidRPr="002C4077">
        <w:t xml:space="preserve"> </w:t>
      </w:r>
      <w:r>
        <w:t>nombre.</w:t>
      </w:r>
      <w:r w:rsidRPr="002C4077">
        <w:t xml:space="preserve"> </w:t>
      </w:r>
      <w:r>
        <w:t>Ces</w:t>
      </w:r>
      <w:r w:rsidRPr="002C4077">
        <w:t xml:space="preserve"> </w:t>
      </w:r>
      <w:r>
        <w:t>quatre</w:t>
      </w:r>
      <w:r w:rsidRPr="002C4077">
        <w:t xml:space="preserve"> </w:t>
      </w:r>
      <w:r>
        <w:t>sources,</w:t>
      </w:r>
      <w:r w:rsidRPr="002C4077">
        <w:t xml:space="preserve"> </w:t>
      </w:r>
      <w:r>
        <w:t>qui</w:t>
      </w:r>
      <w:r w:rsidRPr="002C4077">
        <w:t xml:space="preserve"> </w:t>
      </w:r>
      <w:r>
        <w:t>sont</w:t>
      </w:r>
      <w:r w:rsidRPr="002C4077">
        <w:t xml:space="preserve"> </w:t>
      </w:r>
      <w:r>
        <w:t>toutes,</w:t>
      </w:r>
      <w:r w:rsidRPr="002C4077">
        <w:t xml:space="preserve"> </w:t>
      </w:r>
      <w:r>
        <w:t>on</w:t>
      </w:r>
      <w:r w:rsidRPr="002C4077">
        <w:t xml:space="preserve"> </w:t>
      </w:r>
      <w:r>
        <w:t>le</w:t>
      </w:r>
      <w:r w:rsidRPr="002C4077">
        <w:t xml:space="preserve"> </w:t>
      </w:r>
      <w:r>
        <w:t>voit,</w:t>
      </w:r>
      <w:r w:rsidRPr="002C4077">
        <w:t xml:space="preserve"> </w:t>
      </w:r>
      <w:r>
        <w:t>de</w:t>
      </w:r>
      <w:r w:rsidRPr="002C4077">
        <w:t xml:space="preserve"> </w:t>
      </w:r>
      <w:r>
        <w:t>provenance</w:t>
      </w:r>
      <w:r w:rsidRPr="002C4077">
        <w:t xml:space="preserve"> </w:t>
      </w:r>
      <w:r>
        <w:t>juive,</w:t>
      </w:r>
      <w:r w:rsidRPr="002C4077">
        <w:t xml:space="preserve"> </w:t>
      </w:r>
      <w:r>
        <w:t>pourront</w:t>
      </w:r>
      <w:r w:rsidRPr="002C4077">
        <w:t xml:space="preserve"> </w:t>
      </w:r>
      <w:r>
        <w:t>donc</w:t>
      </w:r>
      <w:r w:rsidRPr="002C4077">
        <w:t xml:space="preserve"> </w:t>
      </w:r>
      <w:r>
        <w:t>nous</w:t>
      </w:r>
      <w:r w:rsidRPr="002C4077">
        <w:t xml:space="preserve"> </w:t>
      </w:r>
      <w:r>
        <w:t>aider</w:t>
      </w:r>
      <w:r w:rsidRPr="002C4077">
        <w:t xml:space="preserve"> </w:t>
      </w:r>
      <w:r>
        <w:t>à</w:t>
      </w:r>
      <w:r w:rsidRPr="002C4077">
        <w:t xml:space="preserve"> </w:t>
      </w:r>
      <w:r>
        <w:t>apprécier</w:t>
      </w:r>
      <w:r w:rsidRPr="002C4077">
        <w:t xml:space="preserve"> </w:t>
      </w:r>
      <w:r>
        <w:t>d’une</w:t>
      </w:r>
      <w:r w:rsidRPr="002C4077">
        <w:t xml:space="preserve"> </w:t>
      </w:r>
      <w:r>
        <w:t>manière</w:t>
      </w:r>
      <w:r w:rsidRPr="002C4077">
        <w:t xml:space="preserve"> </w:t>
      </w:r>
      <w:r>
        <w:t>assez</w:t>
      </w:r>
      <w:r w:rsidRPr="002C4077">
        <w:t xml:space="preserve"> </w:t>
      </w:r>
      <w:r>
        <w:t>complète</w:t>
      </w:r>
      <w:r w:rsidRPr="002C4077">
        <w:t xml:space="preserve"> </w:t>
      </w:r>
      <w:r>
        <w:t>les</w:t>
      </w:r>
      <w:r w:rsidRPr="002C4077">
        <w:t xml:space="preserve"> </w:t>
      </w:r>
      <w:r>
        <w:t>idées</w:t>
      </w:r>
      <w:r w:rsidRPr="002C4077">
        <w:t xml:space="preserve"> </w:t>
      </w:r>
      <w:r>
        <w:t>qui</w:t>
      </w:r>
      <w:r w:rsidRPr="002C4077">
        <w:t xml:space="preserve"> </w:t>
      </w:r>
      <w:r>
        <w:t>régnaient</w:t>
      </w:r>
      <w:r w:rsidRPr="002C4077">
        <w:t xml:space="preserve"> </w:t>
      </w:r>
      <w:r>
        <w:t>en</w:t>
      </w:r>
      <w:r w:rsidRPr="002C4077">
        <w:t xml:space="preserve"> </w:t>
      </w:r>
      <w:r>
        <w:t>Palestine,</w:t>
      </w:r>
      <w:r w:rsidRPr="002C4077">
        <w:t xml:space="preserve"> </w:t>
      </w:r>
      <w:r>
        <w:t>vers</w:t>
      </w:r>
      <w:r w:rsidRPr="002C4077">
        <w:t xml:space="preserve"> </w:t>
      </w:r>
      <w:r>
        <w:t>le</w:t>
      </w:r>
      <w:r w:rsidRPr="002C4077">
        <w:t xml:space="preserve"> </w:t>
      </w:r>
      <w:r>
        <w:t>premier</w:t>
      </w:r>
      <w:r w:rsidRPr="002C4077">
        <w:t xml:space="preserve"> </w:t>
      </w:r>
      <w:r>
        <w:t>siècle</w:t>
      </w:r>
      <w:r w:rsidRPr="002C4077">
        <w:t xml:space="preserve"> </w:t>
      </w:r>
      <w:r>
        <w:t>de</w:t>
      </w:r>
      <w:r w:rsidRPr="002C4077">
        <w:t xml:space="preserve"> </w:t>
      </w:r>
      <w:r>
        <w:t>notre</w:t>
      </w:r>
      <w:r w:rsidRPr="002C4077">
        <w:t xml:space="preserve"> </w:t>
      </w:r>
      <w:r>
        <w:t>ère,</w:t>
      </w:r>
      <w:r w:rsidRPr="002C4077">
        <w:t xml:space="preserve"> </w:t>
      </w:r>
      <w:r>
        <w:t>sur</w:t>
      </w:r>
      <w:r w:rsidRPr="002C4077">
        <w:t xml:space="preserve"> </w:t>
      </w:r>
      <w:r>
        <w:t>le</w:t>
      </w:r>
      <w:r w:rsidRPr="002C4077">
        <w:t xml:space="preserve"> </w:t>
      </w:r>
      <w:r>
        <w:t>travail</w:t>
      </w:r>
      <w:r w:rsidRPr="002C4077">
        <w:t xml:space="preserve"> </w:t>
      </w:r>
      <w:r>
        <w:t>et</w:t>
      </w:r>
      <w:r w:rsidRPr="002C4077">
        <w:t xml:space="preserve"> </w:t>
      </w:r>
      <w:r>
        <w:t>l’industrie</w:t>
      </w:r>
      <w:r w:rsidR="00B546AF">
        <w:t> ;</w:t>
      </w:r>
      <w:r w:rsidRPr="002C4077">
        <w:t xml:space="preserve"> </w:t>
      </w:r>
      <w:r>
        <w:t>elles</w:t>
      </w:r>
      <w:r w:rsidRPr="002C4077">
        <w:t xml:space="preserve"> </w:t>
      </w:r>
      <w:r>
        <w:t>nous</w:t>
      </w:r>
      <w:r w:rsidRPr="002C4077">
        <w:t xml:space="preserve"> </w:t>
      </w:r>
      <w:r>
        <w:t>montreront</w:t>
      </w:r>
      <w:r w:rsidRPr="002C4077">
        <w:t xml:space="preserve"> </w:t>
      </w:r>
      <w:r>
        <w:t>en</w:t>
      </w:r>
      <w:r w:rsidRPr="002C4077">
        <w:t xml:space="preserve"> </w:t>
      </w:r>
      <w:r>
        <w:t>même</w:t>
      </w:r>
      <w:r w:rsidRPr="002C4077">
        <w:t xml:space="preserve"> </w:t>
      </w:r>
      <w:r>
        <w:t>temps</w:t>
      </w:r>
      <w:r w:rsidRPr="002C4077">
        <w:t xml:space="preserve"> </w:t>
      </w:r>
      <w:r>
        <w:t>l’état</w:t>
      </w:r>
      <w:r w:rsidRPr="002C4077">
        <w:t xml:space="preserve"> </w:t>
      </w:r>
      <w:r>
        <w:t>de</w:t>
      </w:r>
      <w:r w:rsidRPr="002C4077">
        <w:t xml:space="preserve"> </w:t>
      </w:r>
      <w:r>
        <w:t>la</w:t>
      </w:r>
      <w:r w:rsidRPr="002C4077">
        <w:t xml:space="preserve"> </w:t>
      </w:r>
      <w:r>
        <w:t>classe</w:t>
      </w:r>
      <w:r w:rsidRPr="002C4077">
        <w:t xml:space="preserve"> </w:t>
      </w:r>
      <w:r>
        <w:t>ouvrière</w:t>
      </w:r>
      <w:r w:rsidRPr="002C4077">
        <w:t xml:space="preserve"> </w:t>
      </w:r>
      <w:r>
        <w:t>et</w:t>
      </w:r>
      <w:r w:rsidRPr="002C4077">
        <w:t xml:space="preserve"> </w:t>
      </w:r>
      <w:r>
        <w:t>les</w:t>
      </w:r>
      <w:r w:rsidRPr="002C4077">
        <w:t xml:space="preserve"> </w:t>
      </w:r>
      <w:r>
        <w:t>différentes</w:t>
      </w:r>
      <w:r w:rsidRPr="002C4077">
        <w:t xml:space="preserve"> </w:t>
      </w:r>
      <w:r>
        <w:t>professions</w:t>
      </w:r>
      <w:r w:rsidRPr="002C4077">
        <w:t xml:space="preserve"> </w:t>
      </w:r>
      <w:r>
        <w:t>de</w:t>
      </w:r>
      <w:r w:rsidRPr="002C4077">
        <w:t xml:space="preserve"> </w:t>
      </w:r>
      <w:r>
        <w:t>cette</w:t>
      </w:r>
      <w:r w:rsidRPr="002C4077">
        <w:t xml:space="preserve"> </w:t>
      </w:r>
      <w:r>
        <w:t>époque.</w:t>
      </w:r>
      <w:r w:rsidRPr="002C4077">
        <w:t xml:space="preserve"> </w:t>
      </w:r>
    </w:p>
    <w:p w:rsidR="000A7AAB" w:rsidRDefault="000A7AAB" w:rsidP="000A7AAB">
      <w:r>
        <w:t>Il</w:t>
      </w:r>
      <w:r w:rsidRPr="002C4077">
        <w:t xml:space="preserve"> </w:t>
      </w:r>
      <w:r>
        <w:t>y</w:t>
      </w:r>
      <w:r w:rsidRPr="002C4077">
        <w:t xml:space="preserve"> </w:t>
      </w:r>
      <w:r>
        <w:t>a</w:t>
      </w:r>
      <w:r w:rsidRPr="002C4077">
        <w:t xml:space="preserve"> </w:t>
      </w:r>
      <w:r>
        <w:t>trente</w:t>
      </w:r>
      <w:r w:rsidRPr="002C4077">
        <w:t xml:space="preserve"> </w:t>
      </w:r>
      <w:r>
        <w:t>ans</w:t>
      </w:r>
      <w:r w:rsidRPr="002C4077">
        <w:t xml:space="preserve"> </w:t>
      </w:r>
      <w:r>
        <w:t>que</w:t>
      </w:r>
      <w:r w:rsidRPr="002C4077">
        <w:t xml:space="preserve"> </w:t>
      </w:r>
      <w:r>
        <w:t>M.</w:t>
      </w:r>
      <w:r w:rsidRPr="002C4077">
        <w:t xml:space="preserve"> </w:t>
      </w:r>
      <w:r>
        <w:t>Delitzsch</w:t>
      </w:r>
      <w:r w:rsidRPr="002C4077">
        <w:t xml:space="preserve"> </w:t>
      </w:r>
      <w:r>
        <w:t>étudie</w:t>
      </w:r>
      <w:r w:rsidRPr="002C4077">
        <w:t xml:space="preserve"> </w:t>
      </w:r>
      <w:r>
        <w:t>l’histoire</w:t>
      </w:r>
      <w:r w:rsidRPr="002C4077">
        <w:t xml:space="preserve"> </w:t>
      </w:r>
      <w:r>
        <w:t>et</w:t>
      </w:r>
      <w:r w:rsidRPr="002C4077">
        <w:t xml:space="preserve"> </w:t>
      </w:r>
      <w:r>
        <w:t>la</w:t>
      </w:r>
      <w:r w:rsidRPr="002C4077">
        <w:t xml:space="preserve"> </w:t>
      </w:r>
      <w:r>
        <w:t>littérature</w:t>
      </w:r>
      <w:r w:rsidRPr="002C4077">
        <w:t xml:space="preserve"> </w:t>
      </w:r>
      <w:r>
        <w:t>du</w:t>
      </w:r>
      <w:r w:rsidRPr="002C4077">
        <w:t xml:space="preserve"> </w:t>
      </w:r>
      <w:r>
        <w:t>peuple</w:t>
      </w:r>
      <w:r w:rsidRPr="002C4077">
        <w:t xml:space="preserve"> </w:t>
      </w:r>
      <w:r>
        <w:t>juif</w:t>
      </w:r>
      <w:r w:rsidR="00B546AF">
        <w:t> :</w:t>
      </w:r>
      <w:r w:rsidRPr="002C4077">
        <w:t xml:space="preserve"> </w:t>
      </w:r>
      <w:r>
        <w:t>son</w:t>
      </w:r>
      <w:r w:rsidRPr="002C4077">
        <w:t xml:space="preserve"> </w:t>
      </w:r>
      <w:r>
        <w:t>témoignage</w:t>
      </w:r>
      <w:r w:rsidRPr="002C4077">
        <w:t xml:space="preserve"> </w:t>
      </w:r>
      <w:r w:rsidR="00425C50">
        <w:t>est</w:t>
      </w:r>
      <w:r w:rsidRPr="002C4077">
        <w:t xml:space="preserve"> </w:t>
      </w:r>
      <w:r>
        <w:t>donc</w:t>
      </w:r>
      <w:r w:rsidRPr="002C4077">
        <w:t xml:space="preserve"> </w:t>
      </w:r>
      <w:r>
        <w:t>pour</w:t>
      </w:r>
      <w:r w:rsidRPr="002C4077">
        <w:t xml:space="preserve"> </w:t>
      </w:r>
      <w:r>
        <w:t>nous</w:t>
      </w:r>
      <w:r w:rsidRPr="002C4077">
        <w:t xml:space="preserve"> </w:t>
      </w:r>
      <w:r>
        <w:t>une</w:t>
      </w:r>
      <w:r w:rsidRPr="002C4077">
        <w:t xml:space="preserve"> </w:t>
      </w:r>
      <w:r>
        <w:t>solide</w:t>
      </w:r>
      <w:r w:rsidRPr="002C4077">
        <w:t xml:space="preserve"> </w:t>
      </w:r>
      <w:r>
        <w:t>garantie.</w:t>
      </w:r>
      <w:r w:rsidRPr="002C4077">
        <w:t xml:space="preserve"> </w:t>
      </w:r>
      <w:r>
        <w:t>Presque</w:t>
      </w:r>
      <w:r w:rsidRPr="002C4077">
        <w:t xml:space="preserve"> </w:t>
      </w:r>
      <w:r>
        <w:t>tout</w:t>
      </w:r>
      <w:r w:rsidRPr="002C4077">
        <w:t xml:space="preserve"> </w:t>
      </w:r>
      <w:r>
        <w:t>ce</w:t>
      </w:r>
      <w:r w:rsidRPr="002C4077">
        <w:t xml:space="preserve"> </w:t>
      </w:r>
      <w:r>
        <w:t>que</w:t>
      </w:r>
      <w:r w:rsidRPr="002C4077">
        <w:t xml:space="preserve"> </w:t>
      </w:r>
      <w:r>
        <w:t>nous</w:t>
      </w:r>
      <w:r w:rsidRPr="002C4077">
        <w:t xml:space="preserve"> </w:t>
      </w:r>
      <w:r>
        <w:t>offrons</w:t>
      </w:r>
      <w:r w:rsidRPr="002C4077">
        <w:t xml:space="preserve"> </w:t>
      </w:r>
      <w:r>
        <w:t>à</w:t>
      </w:r>
      <w:r w:rsidRPr="002C4077">
        <w:t xml:space="preserve"> </w:t>
      </w:r>
      <w:r>
        <w:t>nos</w:t>
      </w:r>
      <w:r w:rsidRPr="002C4077">
        <w:t xml:space="preserve"> </w:t>
      </w:r>
      <w:r>
        <w:t>lecteurs</w:t>
      </w:r>
      <w:r w:rsidRPr="002C4077">
        <w:t xml:space="preserve"> </w:t>
      </w:r>
      <w:r w:rsidR="00425C50">
        <w:t>est</w:t>
      </w:r>
      <w:r w:rsidRPr="002C4077">
        <w:t xml:space="preserve"> </w:t>
      </w:r>
      <w:r>
        <w:t>le</w:t>
      </w:r>
      <w:r w:rsidRPr="002C4077">
        <w:t xml:space="preserve"> </w:t>
      </w:r>
      <w:r>
        <w:t>fruit</w:t>
      </w:r>
      <w:r w:rsidRPr="002C4077">
        <w:t xml:space="preserve"> </w:t>
      </w:r>
      <w:r>
        <w:t>de</w:t>
      </w:r>
      <w:r w:rsidRPr="002C4077">
        <w:t xml:space="preserve"> </w:t>
      </w:r>
      <w:r>
        <w:t>ses</w:t>
      </w:r>
      <w:r w:rsidRPr="002C4077">
        <w:t xml:space="preserve"> </w:t>
      </w:r>
      <w:r>
        <w:t>doctes</w:t>
      </w:r>
      <w:r w:rsidRPr="002C4077">
        <w:t xml:space="preserve"> </w:t>
      </w:r>
      <w:r>
        <w:t>recherches</w:t>
      </w:r>
      <w:r w:rsidR="00B546AF">
        <w:t> ;</w:t>
      </w:r>
      <w:r w:rsidRPr="002C4077">
        <w:t xml:space="preserve"> </w:t>
      </w:r>
      <w:r>
        <w:t>le</w:t>
      </w:r>
      <w:r w:rsidRPr="002C4077">
        <w:t xml:space="preserve"> </w:t>
      </w:r>
      <w:r>
        <w:t>plus</w:t>
      </w:r>
      <w:r w:rsidRPr="002C4077">
        <w:t xml:space="preserve"> </w:t>
      </w:r>
      <w:r>
        <w:t>souvent</w:t>
      </w:r>
      <w:r w:rsidRPr="002C4077">
        <w:t xml:space="preserve"> </w:t>
      </w:r>
      <w:r>
        <w:t>même,</w:t>
      </w:r>
      <w:r w:rsidRPr="002C4077">
        <w:t xml:space="preserve"> </w:t>
      </w:r>
      <w:r>
        <w:t>nous</w:t>
      </w:r>
      <w:r w:rsidRPr="002C4077">
        <w:t xml:space="preserve"> </w:t>
      </w:r>
      <w:r>
        <w:t>n’apporterons</w:t>
      </w:r>
      <w:r w:rsidRPr="002C4077">
        <w:t xml:space="preserve"> </w:t>
      </w:r>
      <w:r>
        <w:t>d’autre</w:t>
      </w:r>
      <w:r w:rsidRPr="002C4077">
        <w:t xml:space="preserve"> </w:t>
      </w:r>
      <w:r>
        <w:t>changement</w:t>
      </w:r>
      <w:r w:rsidRPr="002C4077">
        <w:t xml:space="preserve"> </w:t>
      </w:r>
      <w:r>
        <w:t>à</w:t>
      </w:r>
      <w:r w:rsidRPr="002C4077">
        <w:t xml:space="preserve"> </w:t>
      </w:r>
      <w:r>
        <w:t>sa</w:t>
      </w:r>
      <w:r w:rsidRPr="002C4077">
        <w:t xml:space="preserve"> </w:t>
      </w:r>
      <w:r>
        <w:t>parole</w:t>
      </w:r>
      <w:r w:rsidRPr="002C4077">
        <w:t xml:space="preserve"> </w:t>
      </w:r>
      <w:r>
        <w:t>que</w:t>
      </w:r>
      <w:r w:rsidRPr="002C4077">
        <w:t xml:space="preserve"> </w:t>
      </w:r>
      <w:r w:rsidR="003B53FD">
        <w:t>celui</w:t>
      </w:r>
      <w:r w:rsidRPr="002C4077">
        <w:t xml:space="preserve"> </w:t>
      </w:r>
      <w:r>
        <w:t>de</w:t>
      </w:r>
      <w:r w:rsidRPr="002C4077">
        <w:t xml:space="preserve"> </w:t>
      </w:r>
      <w:r>
        <w:t>l’abréger</w:t>
      </w:r>
      <w:r w:rsidRPr="002C4077">
        <w:t xml:space="preserve"> </w:t>
      </w:r>
      <w:r>
        <w:t>selon</w:t>
      </w:r>
      <w:r w:rsidRPr="002C4077">
        <w:t xml:space="preserve"> </w:t>
      </w:r>
      <w:r>
        <w:t>les</w:t>
      </w:r>
      <w:r w:rsidRPr="002C4077">
        <w:t xml:space="preserve"> </w:t>
      </w:r>
      <w:r>
        <w:t>limites</w:t>
      </w:r>
      <w:r w:rsidRPr="002C4077">
        <w:t xml:space="preserve"> </w:t>
      </w:r>
      <w:r>
        <w:t>que</w:t>
      </w:r>
      <w:r w:rsidRPr="002C4077">
        <w:t xml:space="preserve"> </w:t>
      </w:r>
      <w:r>
        <w:t>nous</w:t>
      </w:r>
      <w:r w:rsidRPr="002C4077">
        <w:t xml:space="preserve"> </w:t>
      </w:r>
      <w:r>
        <w:t>nous</w:t>
      </w:r>
      <w:r w:rsidRPr="002C4077">
        <w:t xml:space="preserve"> </w:t>
      </w:r>
      <w:r>
        <w:t>sommes</w:t>
      </w:r>
      <w:r w:rsidRPr="002C4077">
        <w:t xml:space="preserve"> </w:t>
      </w:r>
      <w:r>
        <w:t>prescrites.</w:t>
      </w:r>
      <w:r w:rsidRPr="002C4077">
        <w:t xml:space="preserve"> </w:t>
      </w:r>
      <w:r>
        <w:t>Toutefois,</w:t>
      </w:r>
      <w:r w:rsidRPr="002C4077">
        <w:t xml:space="preserve"> </w:t>
      </w:r>
      <w:r>
        <w:t>dans</w:t>
      </w:r>
      <w:r w:rsidRPr="002C4077">
        <w:t xml:space="preserve"> </w:t>
      </w:r>
      <w:r>
        <w:t>l’intérêt</w:t>
      </w:r>
      <w:r w:rsidRPr="002C4077">
        <w:t xml:space="preserve"> </w:t>
      </w:r>
      <w:r>
        <w:t>de</w:t>
      </w:r>
      <w:r w:rsidRPr="002C4077">
        <w:t xml:space="preserve"> </w:t>
      </w:r>
      <w:r>
        <w:t>l’ordre</w:t>
      </w:r>
      <w:r w:rsidRPr="002C4077">
        <w:t xml:space="preserve"> </w:t>
      </w:r>
      <w:r>
        <w:t>et</w:t>
      </w:r>
      <w:r w:rsidRPr="002C4077">
        <w:t xml:space="preserve"> </w:t>
      </w:r>
      <w:r>
        <w:t>de</w:t>
      </w:r>
      <w:r w:rsidRPr="002C4077">
        <w:t xml:space="preserve"> </w:t>
      </w:r>
      <w:r>
        <w:t>la</w:t>
      </w:r>
      <w:r w:rsidRPr="002C4077">
        <w:t xml:space="preserve"> </w:t>
      </w:r>
      <w:r>
        <w:t>clarté,</w:t>
      </w:r>
      <w:r w:rsidRPr="002C4077">
        <w:t xml:space="preserve"> </w:t>
      </w:r>
      <w:r>
        <w:t>nous</w:t>
      </w:r>
      <w:r w:rsidRPr="002C4077">
        <w:t xml:space="preserve"> </w:t>
      </w:r>
      <w:r>
        <w:t>nous</w:t>
      </w:r>
      <w:r w:rsidRPr="002C4077">
        <w:t xml:space="preserve"> </w:t>
      </w:r>
      <w:r>
        <w:t>permettrons</w:t>
      </w:r>
      <w:r w:rsidRPr="002C4077">
        <w:t xml:space="preserve"> </w:t>
      </w:r>
      <w:r>
        <w:t>souvent</w:t>
      </w:r>
      <w:r w:rsidRPr="002C4077">
        <w:t xml:space="preserve"> </w:t>
      </w:r>
      <w:r>
        <w:t>aussi</w:t>
      </w:r>
      <w:r w:rsidRPr="002C4077">
        <w:t xml:space="preserve"> </w:t>
      </w:r>
      <w:r>
        <w:t>de</w:t>
      </w:r>
      <w:r w:rsidRPr="002C4077">
        <w:t xml:space="preserve"> </w:t>
      </w:r>
      <w:r>
        <w:t>ne</w:t>
      </w:r>
      <w:r w:rsidRPr="002C4077">
        <w:t xml:space="preserve"> </w:t>
      </w:r>
      <w:r>
        <w:t>pas</w:t>
      </w:r>
      <w:r w:rsidRPr="002C4077">
        <w:t xml:space="preserve"> </w:t>
      </w:r>
      <w:r>
        <w:t>conserver</w:t>
      </w:r>
      <w:r w:rsidRPr="002C4077">
        <w:t xml:space="preserve"> </w:t>
      </w:r>
      <w:r>
        <w:t>aux</w:t>
      </w:r>
      <w:r w:rsidRPr="002C4077">
        <w:t xml:space="preserve"> </w:t>
      </w:r>
      <w:r>
        <w:t>faits</w:t>
      </w:r>
      <w:r w:rsidRPr="002C4077">
        <w:t xml:space="preserve"> </w:t>
      </w:r>
      <w:r>
        <w:t>la</w:t>
      </w:r>
      <w:r w:rsidRPr="002C4077">
        <w:t xml:space="preserve"> </w:t>
      </w:r>
      <w:r>
        <w:t>place</w:t>
      </w:r>
      <w:r w:rsidRPr="002C4077">
        <w:t xml:space="preserve"> </w:t>
      </w:r>
      <w:r>
        <w:t>que</w:t>
      </w:r>
      <w:r w:rsidRPr="002C4077">
        <w:t xml:space="preserve"> </w:t>
      </w:r>
      <w:r>
        <w:t>la</w:t>
      </w:r>
      <w:r w:rsidRPr="002C4077">
        <w:t xml:space="preserve"> </w:t>
      </w:r>
      <w:r>
        <w:t>forme</w:t>
      </w:r>
      <w:r w:rsidRPr="002C4077">
        <w:t xml:space="preserve"> </w:t>
      </w:r>
      <w:r>
        <w:t>oratoire</w:t>
      </w:r>
      <w:r w:rsidRPr="002C4077">
        <w:t xml:space="preserve"> </w:t>
      </w:r>
      <w:r>
        <w:t>de</w:t>
      </w:r>
      <w:r w:rsidRPr="002C4077">
        <w:t xml:space="preserve"> </w:t>
      </w:r>
      <w:r>
        <w:t>sa</w:t>
      </w:r>
      <w:r w:rsidRPr="002C4077">
        <w:t xml:space="preserve"> </w:t>
      </w:r>
      <w:r>
        <w:t>composition</w:t>
      </w:r>
      <w:r w:rsidRPr="002C4077">
        <w:t xml:space="preserve"> </w:t>
      </w:r>
      <w:r>
        <w:t>l’avait</w:t>
      </w:r>
      <w:r w:rsidRPr="002C4077">
        <w:t xml:space="preserve"> </w:t>
      </w:r>
      <w:r>
        <w:t>obligé</w:t>
      </w:r>
      <w:r w:rsidRPr="002C4077">
        <w:t xml:space="preserve"> </w:t>
      </w:r>
      <w:r>
        <w:t>de</w:t>
      </w:r>
      <w:r w:rsidRPr="002C4077">
        <w:t xml:space="preserve"> </w:t>
      </w:r>
      <w:r>
        <w:t>leur</w:t>
      </w:r>
      <w:bookmarkStart w:id="586" w:name="z_TravailManuel_o3"/>
      <w:bookmarkEnd w:id="586"/>
      <w:r w:rsidRPr="002C4077">
        <w:t xml:space="preserve"> </w:t>
      </w:r>
      <w:r>
        <w:t>donner.</w:t>
      </w:r>
      <w:r w:rsidRPr="002C4077">
        <w:t xml:space="preserve"> </w:t>
      </w:r>
    </w:p>
    <w:p w:rsidR="00FD0BB0" w:rsidRDefault="00FD0BB0" w:rsidP="000A7AAB"/>
    <w:p w:rsidR="000A7AAB" w:rsidRPr="001F5257" w:rsidRDefault="000A7AAB" w:rsidP="000A7AAB">
      <w:r>
        <w:t>Cherchons</w:t>
      </w:r>
      <w:r w:rsidRPr="002C4077">
        <w:t xml:space="preserve"> </w:t>
      </w:r>
      <w:r>
        <w:t>en</w:t>
      </w:r>
      <w:r w:rsidRPr="002C4077">
        <w:t xml:space="preserve"> </w:t>
      </w:r>
      <w:r>
        <w:t>premier</w:t>
      </w:r>
      <w:r w:rsidRPr="002C4077">
        <w:t xml:space="preserve"> </w:t>
      </w:r>
      <w:r>
        <w:t>lieu</w:t>
      </w:r>
      <w:r w:rsidRPr="002C4077">
        <w:t xml:space="preserve"> </w:t>
      </w:r>
      <w:r>
        <w:t>quelles</w:t>
      </w:r>
      <w:r w:rsidRPr="002C4077">
        <w:t xml:space="preserve"> </w:t>
      </w:r>
      <w:r>
        <w:t>étaient,</w:t>
      </w:r>
      <w:r w:rsidRPr="002C4077">
        <w:t xml:space="preserve"> </w:t>
      </w:r>
      <w:r>
        <w:t>à</w:t>
      </w:r>
      <w:r w:rsidRPr="002C4077">
        <w:t xml:space="preserve"> </w:t>
      </w:r>
      <w:r>
        <w:t>l’époque</w:t>
      </w:r>
      <w:r w:rsidRPr="002C4077">
        <w:t xml:space="preserve"> </w:t>
      </w:r>
      <w:r>
        <w:t>et</w:t>
      </w:r>
      <w:r w:rsidRPr="002C4077">
        <w:t xml:space="preserve"> </w:t>
      </w:r>
      <w:r>
        <w:t>dans</w:t>
      </w:r>
      <w:r w:rsidRPr="002C4077">
        <w:t xml:space="preserve"> </w:t>
      </w:r>
      <w:r>
        <w:t>la</w:t>
      </w:r>
      <w:r w:rsidRPr="002C4077">
        <w:t xml:space="preserve"> </w:t>
      </w:r>
      <w:r>
        <w:t>patrie</w:t>
      </w:r>
      <w:r w:rsidRPr="002C4077">
        <w:t xml:space="preserve"> </w:t>
      </w:r>
      <w:r>
        <w:t>du</w:t>
      </w:r>
      <w:r w:rsidRPr="002C4077">
        <w:t xml:space="preserve"> </w:t>
      </w:r>
      <w:r>
        <w:t>Sauveur,</w:t>
      </w:r>
      <w:r w:rsidRPr="002C4077">
        <w:t xml:space="preserve"> </w:t>
      </w:r>
      <w:r>
        <w:t>les</w:t>
      </w:r>
      <w:r w:rsidRPr="002C4077">
        <w:t xml:space="preserve"> </w:t>
      </w:r>
      <w:r>
        <w:t>idées</w:t>
      </w:r>
      <w:bookmarkStart w:id="587" w:name="z_TravailManuel_o4"/>
      <w:bookmarkEnd w:id="587"/>
      <w:r w:rsidRPr="002C4077">
        <w:t xml:space="preserve"> </w:t>
      </w:r>
      <w:r>
        <w:t>courantes</w:t>
      </w:r>
      <w:r w:rsidRPr="002C4077">
        <w:t xml:space="preserve"> </w:t>
      </w:r>
      <w:r>
        <w:t>sur</w:t>
      </w:r>
      <w:r w:rsidRPr="002C4077">
        <w:t xml:space="preserve"> </w:t>
      </w:r>
      <w:r>
        <w:t>le</w:t>
      </w:r>
      <w:r w:rsidRPr="002C4077">
        <w:t xml:space="preserve"> </w:t>
      </w:r>
      <w:r>
        <w:t>travail</w:t>
      </w:r>
      <w:r w:rsidRPr="002C4077">
        <w:t xml:space="preserve"> </w:t>
      </w:r>
      <w:r>
        <w:t>manuel.</w:t>
      </w:r>
      <w:r w:rsidR="00C45B47">
        <w:t xml:space="preserve"> {</w:t>
      </w:r>
      <w:r w:rsidR="001F5257">
        <w:t>242</w:t>
      </w:r>
      <w:bookmarkStart w:id="588" w:name="p242"/>
      <w:bookmarkEnd w:id="588"/>
      <w:r w:rsidR="001F5257">
        <w:t xml:space="preserve">} </w:t>
      </w:r>
    </w:p>
    <w:p w:rsidR="000A7AAB" w:rsidRDefault="00B546AF" w:rsidP="000A7AAB">
      <w:r>
        <w:t>« </w:t>
      </w:r>
      <w:r w:rsidR="000A7AAB">
        <w:t>De</w:t>
      </w:r>
      <w:r w:rsidR="000A7AAB" w:rsidRPr="002C4077">
        <w:t xml:space="preserve"> </w:t>
      </w:r>
      <w:r w:rsidR="000A7AAB">
        <w:t>tout</w:t>
      </w:r>
      <w:r w:rsidR="000A7AAB" w:rsidRPr="002C4077">
        <w:t xml:space="preserve"> </w:t>
      </w:r>
      <w:r w:rsidR="000A7AAB">
        <w:t>temps,</w:t>
      </w:r>
      <w:r w:rsidR="000A7AAB" w:rsidRPr="002C4077">
        <w:t xml:space="preserve"> </w:t>
      </w:r>
      <w:r w:rsidR="000A7AAB">
        <w:t>les</w:t>
      </w:r>
      <w:r w:rsidR="000A7AAB" w:rsidRPr="002C4077">
        <w:t xml:space="preserve"> </w:t>
      </w:r>
      <w:r w:rsidR="000A7AAB">
        <w:t>Juifs</w:t>
      </w:r>
      <w:r w:rsidR="000A7AAB" w:rsidRPr="002C4077">
        <w:t xml:space="preserve"> </w:t>
      </w:r>
      <w:r w:rsidR="000A7AAB">
        <w:t>ont</w:t>
      </w:r>
      <w:r w:rsidR="000A7AAB" w:rsidRPr="002C4077">
        <w:t xml:space="preserve"> </w:t>
      </w:r>
      <w:r w:rsidR="000A7AAB">
        <w:t>été</w:t>
      </w:r>
      <w:r w:rsidR="000A7AAB" w:rsidRPr="002C4077">
        <w:t xml:space="preserve"> </w:t>
      </w:r>
      <w:r w:rsidR="000A7AAB">
        <w:t>un</w:t>
      </w:r>
      <w:r w:rsidR="000A7AAB" w:rsidRPr="002C4077">
        <w:t xml:space="preserve"> </w:t>
      </w:r>
      <w:r w:rsidR="000A7AAB">
        <w:t>peuple</w:t>
      </w:r>
      <w:r w:rsidR="000A7AAB" w:rsidRPr="002C4077">
        <w:t xml:space="preserve"> </w:t>
      </w:r>
      <w:r w:rsidR="000A7AAB">
        <w:t>de</w:t>
      </w:r>
      <w:r w:rsidR="000A7AAB" w:rsidRPr="002C4077">
        <w:t xml:space="preserve"> </w:t>
      </w:r>
      <w:r w:rsidR="000A7AAB">
        <w:t>travailleurs,</w:t>
      </w:r>
      <w:r w:rsidR="006F72A8" w:rsidRPr="002C4077">
        <w:t xml:space="preserve"> </w:t>
      </w:r>
      <w:r w:rsidR="000A7AAB">
        <w:t>qui</w:t>
      </w:r>
      <w:r w:rsidR="000A7AAB" w:rsidRPr="002C4077">
        <w:t xml:space="preserve"> </w:t>
      </w:r>
      <w:r w:rsidR="000A7AAB">
        <w:t>ne</w:t>
      </w:r>
      <w:r w:rsidR="000A7AAB" w:rsidRPr="002C4077">
        <w:t xml:space="preserve"> </w:t>
      </w:r>
      <w:r w:rsidR="000A7AAB">
        <w:t>l’a</w:t>
      </w:r>
      <w:r w:rsidR="000A7AAB" w:rsidRPr="002C4077">
        <w:t xml:space="preserve"> </w:t>
      </w:r>
      <w:r w:rsidR="000A7AAB">
        <w:t>cédé</w:t>
      </w:r>
      <w:r w:rsidR="000A7AAB" w:rsidRPr="002C4077">
        <w:t xml:space="preserve"> </w:t>
      </w:r>
      <w:r w:rsidR="000A7AAB">
        <w:t>à</w:t>
      </w:r>
      <w:r w:rsidR="000A7AAB" w:rsidRPr="002C4077">
        <w:t xml:space="preserve"> </w:t>
      </w:r>
      <w:r w:rsidR="000A7AAB">
        <w:t>aucune</w:t>
      </w:r>
      <w:r w:rsidR="000A7AAB" w:rsidRPr="002C4077">
        <w:t xml:space="preserve"> </w:t>
      </w:r>
      <w:r w:rsidR="000A7AAB">
        <w:t>autre</w:t>
      </w:r>
      <w:r w:rsidR="000A7AAB" w:rsidRPr="002C4077">
        <w:t xml:space="preserve"> </w:t>
      </w:r>
      <w:r w:rsidR="000A7AAB">
        <w:t>nation</w:t>
      </w:r>
      <w:r w:rsidR="000A7AAB" w:rsidRPr="002C4077">
        <w:t xml:space="preserve"> </w:t>
      </w:r>
      <w:r w:rsidR="000A7AAB">
        <w:t>en</w:t>
      </w:r>
      <w:r w:rsidR="000A7AAB" w:rsidRPr="002C4077">
        <w:t xml:space="preserve"> </w:t>
      </w:r>
      <w:r w:rsidR="000A7AAB">
        <w:t>vigueur</w:t>
      </w:r>
      <w:r w:rsidR="000A7AAB" w:rsidRPr="002C4077">
        <w:t xml:space="preserve"> </w:t>
      </w:r>
      <w:r w:rsidR="000A7AAB">
        <w:t>et</w:t>
      </w:r>
      <w:r w:rsidR="000A7AAB" w:rsidRPr="002C4077">
        <w:t xml:space="preserve"> </w:t>
      </w:r>
      <w:r w:rsidR="000A7AAB">
        <w:t>en</w:t>
      </w:r>
      <w:r w:rsidR="000A7AAB" w:rsidRPr="002C4077">
        <w:t xml:space="preserve"> </w:t>
      </w:r>
      <w:r w:rsidR="000A7AAB">
        <w:t>activité.</w:t>
      </w:r>
      <w:r w:rsidR="000A7AAB" w:rsidRPr="002C4077">
        <w:t xml:space="preserve"> </w:t>
      </w:r>
      <w:r w:rsidR="000A7AAB">
        <w:t>L’agriculture</w:t>
      </w:r>
      <w:r w:rsidR="000A7AAB" w:rsidRPr="002C4077">
        <w:t xml:space="preserve"> </w:t>
      </w:r>
      <w:r w:rsidR="000A7AAB">
        <w:t>et</w:t>
      </w:r>
      <w:r w:rsidR="000A7AAB" w:rsidRPr="002C4077">
        <w:t xml:space="preserve"> </w:t>
      </w:r>
      <w:r w:rsidR="000A7AAB">
        <w:t>l’industrie</w:t>
      </w:r>
      <w:r w:rsidR="000A7AAB" w:rsidRPr="002C4077">
        <w:t xml:space="preserve"> </w:t>
      </w:r>
      <w:r w:rsidR="000A7AAB">
        <w:t>furent</w:t>
      </w:r>
      <w:r w:rsidR="000A7AAB" w:rsidRPr="002C4077">
        <w:t xml:space="preserve"> </w:t>
      </w:r>
      <w:r w:rsidR="000A7AAB">
        <w:t>ses</w:t>
      </w:r>
      <w:r w:rsidR="000A7AAB" w:rsidRPr="002C4077">
        <w:t xml:space="preserve"> </w:t>
      </w:r>
      <w:r w:rsidR="000A7AAB">
        <w:t>principales</w:t>
      </w:r>
      <w:r w:rsidR="000A7AAB" w:rsidRPr="002C4077">
        <w:t xml:space="preserve"> </w:t>
      </w:r>
      <w:r w:rsidR="000A7AAB">
        <w:t>occupations</w:t>
      </w:r>
      <w:r w:rsidR="000A7AAB" w:rsidRPr="002C4077">
        <w:t xml:space="preserve"> </w:t>
      </w:r>
      <w:r w:rsidR="000A7AAB">
        <w:t>jusqu’à</w:t>
      </w:r>
      <w:r w:rsidR="000A7AAB" w:rsidRPr="002C4077">
        <w:t xml:space="preserve"> </w:t>
      </w:r>
      <w:r w:rsidR="000A7AAB">
        <w:t>la</w:t>
      </w:r>
      <w:r w:rsidR="000A7AAB" w:rsidRPr="002C4077">
        <w:t xml:space="preserve"> </w:t>
      </w:r>
      <w:r w:rsidR="000A7AAB">
        <w:t>ruine</w:t>
      </w:r>
      <w:r w:rsidR="000A7AAB" w:rsidRPr="002C4077">
        <w:t xml:space="preserve"> </w:t>
      </w:r>
      <w:r w:rsidR="000A7AAB">
        <w:t>de</w:t>
      </w:r>
      <w:r w:rsidR="000A7AAB" w:rsidRPr="002C4077">
        <w:t xml:space="preserve"> </w:t>
      </w:r>
      <w:r w:rsidR="000A7AAB">
        <w:t>son</w:t>
      </w:r>
      <w:r w:rsidR="000A7AAB" w:rsidRPr="002C4077">
        <w:t xml:space="preserve"> </w:t>
      </w:r>
      <w:r w:rsidR="000A7AAB">
        <w:t>indépendance</w:t>
      </w:r>
      <w:r w:rsidR="000A7AAB" w:rsidRPr="002C4077">
        <w:t xml:space="preserve"> </w:t>
      </w:r>
      <w:r w:rsidR="000A7AAB">
        <w:t>politique</w:t>
      </w:r>
      <w:r>
        <w:t> :</w:t>
      </w:r>
      <w:r w:rsidR="000A7AAB" w:rsidRPr="002C4077">
        <w:t xml:space="preserve"> </w:t>
      </w:r>
      <w:r w:rsidR="000A7AAB">
        <w:t>c’est</w:t>
      </w:r>
      <w:r w:rsidR="000A7AAB" w:rsidRPr="002C4077">
        <w:t xml:space="preserve"> </w:t>
      </w:r>
      <w:r w:rsidR="000A7AAB">
        <w:t>uniquement</w:t>
      </w:r>
      <w:r w:rsidR="000A7AAB" w:rsidRPr="002C4077">
        <w:t xml:space="preserve"> </w:t>
      </w:r>
      <w:r w:rsidR="000A7AAB">
        <w:t>par</w:t>
      </w:r>
      <w:r w:rsidR="000A7AAB" w:rsidRPr="002C4077">
        <w:t xml:space="preserve"> </w:t>
      </w:r>
      <w:r w:rsidR="000A7AAB">
        <w:t>suite</w:t>
      </w:r>
      <w:r w:rsidR="000A7AAB" w:rsidRPr="002C4077">
        <w:t xml:space="preserve"> </w:t>
      </w:r>
      <w:r w:rsidR="000A7AAB">
        <w:t>de</w:t>
      </w:r>
      <w:r w:rsidR="000A7AAB" w:rsidRPr="002C4077">
        <w:t xml:space="preserve"> </w:t>
      </w:r>
      <w:r w:rsidR="000A7AAB">
        <w:t>sa</w:t>
      </w:r>
      <w:r w:rsidR="000A7AAB" w:rsidRPr="002C4077">
        <w:t xml:space="preserve"> </w:t>
      </w:r>
      <w:r w:rsidR="000A7AAB">
        <w:t>dispersion</w:t>
      </w:r>
      <w:r w:rsidR="000A7AAB" w:rsidRPr="002C4077">
        <w:t xml:space="preserve"> </w:t>
      </w:r>
      <w:r w:rsidR="000A7AAB">
        <w:t>et</w:t>
      </w:r>
      <w:r w:rsidR="000A7AAB" w:rsidRPr="002C4077">
        <w:t xml:space="preserve"> </w:t>
      </w:r>
      <w:r w:rsidR="000A7AAB">
        <w:t>des</w:t>
      </w:r>
      <w:r w:rsidR="000A7AAB" w:rsidRPr="002C4077">
        <w:t xml:space="preserve"> </w:t>
      </w:r>
      <w:r w:rsidR="000A7AAB">
        <w:t>bornes</w:t>
      </w:r>
      <w:r w:rsidR="000A7AAB" w:rsidRPr="002C4077">
        <w:t xml:space="preserve"> </w:t>
      </w:r>
      <w:r w:rsidR="000A7AAB">
        <w:t>étroites</w:t>
      </w:r>
      <w:r w:rsidR="000A7AAB" w:rsidRPr="002C4077">
        <w:t xml:space="preserve"> </w:t>
      </w:r>
      <w:r w:rsidR="000A7AAB">
        <w:t>imposées</w:t>
      </w:r>
      <w:r w:rsidR="000A7AAB" w:rsidRPr="002C4077">
        <w:t xml:space="preserve"> </w:t>
      </w:r>
      <w:r w:rsidR="000A7AAB">
        <w:t>à</w:t>
      </w:r>
      <w:r w:rsidR="000A7AAB" w:rsidRPr="002C4077">
        <w:t xml:space="preserve"> </w:t>
      </w:r>
      <w:r w:rsidR="000A7AAB">
        <w:t>son</w:t>
      </w:r>
      <w:r w:rsidR="000A7AAB" w:rsidRPr="002C4077">
        <w:t xml:space="preserve"> </w:t>
      </w:r>
      <w:r w:rsidR="000A7AAB">
        <w:t>amour</w:t>
      </w:r>
      <w:r w:rsidR="000A7AAB" w:rsidRPr="002C4077">
        <w:t xml:space="preserve"> </w:t>
      </w:r>
      <w:r w:rsidR="000A7AAB">
        <w:t>pour</w:t>
      </w:r>
      <w:r w:rsidR="000A7AAB" w:rsidRPr="002C4077">
        <w:t xml:space="preserve"> </w:t>
      </w:r>
      <w:r w:rsidR="000A7AAB">
        <w:t>le</w:t>
      </w:r>
      <w:r w:rsidR="000A7AAB" w:rsidRPr="002C4077">
        <w:t xml:space="preserve"> </w:t>
      </w:r>
      <w:r w:rsidR="000A7AAB">
        <w:t>travail</w:t>
      </w:r>
      <w:r w:rsidR="000A7AAB" w:rsidRPr="002C4077">
        <w:t xml:space="preserve"> </w:t>
      </w:r>
      <w:r w:rsidR="000A7AAB">
        <w:t>qu’il</w:t>
      </w:r>
      <w:r w:rsidR="000A7AAB" w:rsidRPr="002C4077">
        <w:t xml:space="preserve"> </w:t>
      </w:r>
      <w:r w:rsidR="00425C50">
        <w:t>est</w:t>
      </w:r>
      <w:r w:rsidR="000A7AAB" w:rsidRPr="002C4077">
        <w:t xml:space="preserve"> </w:t>
      </w:r>
      <w:r w:rsidR="000A7AAB">
        <w:t>devenu</w:t>
      </w:r>
      <w:r w:rsidR="000A7AAB" w:rsidRPr="002C4077">
        <w:t xml:space="preserve"> </w:t>
      </w:r>
      <w:r w:rsidR="000A7AAB">
        <w:t>un</w:t>
      </w:r>
      <w:r w:rsidR="000A7AAB" w:rsidRPr="002C4077">
        <w:t xml:space="preserve"> </w:t>
      </w:r>
      <w:r w:rsidR="000A7AAB">
        <w:t>peuple</w:t>
      </w:r>
      <w:r w:rsidR="000A7AAB" w:rsidRPr="002C4077">
        <w:t xml:space="preserve"> </w:t>
      </w:r>
      <w:r w:rsidR="000A7AAB">
        <w:t>d’usuriers</w:t>
      </w:r>
      <w:r w:rsidR="000A7AAB" w:rsidRPr="002C4077">
        <w:t xml:space="preserve"> </w:t>
      </w:r>
      <w:r w:rsidR="000A7AAB">
        <w:t>et</w:t>
      </w:r>
      <w:r w:rsidR="000A7AAB" w:rsidRPr="002C4077">
        <w:t xml:space="preserve"> </w:t>
      </w:r>
      <w:r w:rsidR="000A7AAB">
        <w:t>de</w:t>
      </w:r>
      <w:r w:rsidR="000A7AAB" w:rsidRPr="002C4077">
        <w:t xml:space="preserve"> </w:t>
      </w:r>
      <w:r w:rsidR="000A7AAB">
        <w:t>marchands,</w:t>
      </w:r>
      <w:r w:rsidR="000A7AAB" w:rsidRPr="002C4077">
        <w:t xml:space="preserve"> </w:t>
      </w:r>
      <w:r w:rsidR="000A7AAB">
        <w:t>et</w:t>
      </w:r>
      <w:r w:rsidR="000A7AAB" w:rsidRPr="002C4077">
        <w:t xml:space="preserve"> </w:t>
      </w:r>
      <w:r w:rsidR="000A7AAB">
        <w:t>qu’il</w:t>
      </w:r>
      <w:r w:rsidR="000A7AAB" w:rsidRPr="002C4077">
        <w:t xml:space="preserve"> </w:t>
      </w:r>
      <w:r w:rsidR="000A7AAB">
        <w:t>a</w:t>
      </w:r>
      <w:r w:rsidR="000A7AAB" w:rsidRPr="002C4077">
        <w:t xml:space="preserve"> </w:t>
      </w:r>
      <w:r w:rsidR="000A7AAB">
        <w:t>pris</w:t>
      </w:r>
      <w:r w:rsidR="000A7AAB" w:rsidRPr="002C4077">
        <w:t xml:space="preserve"> </w:t>
      </w:r>
      <w:r w:rsidR="000A7AAB">
        <w:t>la</w:t>
      </w:r>
      <w:r w:rsidR="000A7AAB" w:rsidRPr="002C4077">
        <w:t xml:space="preserve"> </w:t>
      </w:r>
      <w:r w:rsidR="000A7AAB">
        <w:t>place</w:t>
      </w:r>
      <w:r w:rsidR="000A7AAB" w:rsidRPr="002C4077">
        <w:t xml:space="preserve"> </w:t>
      </w:r>
      <w:r w:rsidR="000A7AAB">
        <w:t>des</w:t>
      </w:r>
      <w:r w:rsidR="000A7AAB" w:rsidRPr="002C4077">
        <w:t xml:space="preserve"> </w:t>
      </w:r>
      <w:r w:rsidR="000A7AAB">
        <w:t>vieux</w:t>
      </w:r>
      <w:r w:rsidR="000A7AAB" w:rsidRPr="002C4077">
        <w:t xml:space="preserve"> </w:t>
      </w:r>
      <w:r w:rsidR="000A7AAB">
        <w:t>Phéniciens.</w:t>
      </w:r>
      <w:r w:rsidR="000A7AAB" w:rsidRPr="002C4077">
        <w:t xml:space="preserve"> </w:t>
      </w:r>
      <w:r w:rsidR="000A7AAB">
        <w:t>Le</w:t>
      </w:r>
      <w:r w:rsidR="000A7AAB" w:rsidRPr="002C4077">
        <w:t xml:space="preserve"> </w:t>
      </w:r>
      <w:r w:rsidR="000A7AAB">
        <w:t>Dieu</w:t>
      </w:r>
      <w:r w:rsidR="000A7AAB" w:rsidRPr="002C4077">
        <w:t xml:space="preserve"> </w:t>
      </w:r>
      <w:r w:rsidR="000A7AAB">
        <w:t>des</w:t>
      </w:r>
      <w:r w:rsidR="000A7AAB" w:rsidRPr="002C4077">
        <w:t xml:space="preserve"> </w:t>
      </w:r>
      <w:r w:rsidR="000A7AAB">
        <w:t>Juifs,</w:t>
      </w:r>
      <w:r w:rsidR="000A7AAB" w:rsidRPr="002C4077">
        <w:t xml:space="preserve"> </w:t>
      </w:r>
      <w:r w:rsidR="000A7AAB">
        <w:t>dit</w:t>
      </w:r>
      <w:r w:rsidR="000A7AAB" w:rsidRPr="002C4077">
        <w:t xml:space="preserve"> </w:t>
      </w:r>
      <w:r w:rsidR="000A7AAB">
        <w:t>quelque</w:t>
      </w:r>
      <w:r w:rsidR="000A7AAB" w:rsidRPr="002C4077">
        <w:t xml:space="preserve"> </w:t>
      </w:r>
      <w:r w:rsidR="000A7AAB">
        <w:t>part</w:t>
      </w:r>
      <w:r w:rsidR="000A7AAB" w:rsidRPr="002C4077">
        <w:t xml:space="preserve"> </w:t>
      </w:r>
      <w:r w:rsidR="000A7AAB">
        <w:t>Cicéron</w:t>
      </w:r>
      <w:bookmarkStart w:id="589" w:name="z_Ciceron_o1"/>
      <w:bookmarkEnd w:id="589"/>
      <w:r w:rsidR="00242610">
        <w:rPr>
          <w:rStyle w:val="Appelnotedebasdep"/>
        </w:rPr>
        <w:footnoteReference w:id="754"/>
      </w:r>
      <w:r w:rsidR="00242610">
        <w:t>,</w:t>
      </w:r>
      <w:r w:rsidR="000A7AAB" w:rsidRPr="002C4077">
        <w:t xml:space="preserve"> </w:t>
      </w:r>
      <w:r w:rsidR="000A7AAB">
        <w:t>doit</w:t>
      </w:r>
      <w:r w:rsidR="000A7AAB" w:rsidRPr="002C4077">
        <w:t xml:space="preserve"> </w:t>
      </w:r>
      <w:r w:rsidR="000A7AAB">
        <w:t>être</w:t>
      </w:r>
      <w:r w:rsidR="000A7AAB" w:rsidRPr="002C4077">
        <w:t xml:space="preserve"> </w:t>
      </w:r>
      <w:r w:rsidR="000A7AAB">
        <w:t>un</w:t>
      </w:r>
      <w:r w:rsidR="000A7AAB" w:rsidRPr="002C4077">
        <w:t xml:space="preserve"> </w:t>
      </w:r>
      <w:r w:rsidR="000A7AAB">
        <w:t>petit</w:t>
      </w:r>
      <w:r w:rsidR="000A7AAB" w:rsidRPr="002C4077">
        <w:t xml:space="preserve"> </w:t>
      </w:r>
      <w:r w:rsidR="000A7AAB">
        <w:t>Dieu,</w:t>
      </w:r>
      <w:r w:rsidR="000A7AAB" w:rsidRPr="002C4077">
        <w:t xml:space="preserve"> </w:t>
      </w:r>
      <w:r w:rsidR="000A7AAB">
        <w:t>puisqu’il</w:t>
      </w:r>
      <w:r w:rsidR="000A7AAB" w:rsidRPr="002C4077">
        <w:t xml:space="preserve"> </w:t>
      </w:r>
      <w:r w:rsidR="000A7AAB">
        <w:t>a</w:t>
      </w:r>
      <w:r w:rsidR="000A7AAB" w:rsidRPr="002C4077">
        <w:t xml:space="preserve"> </w:t>
      </w:r>
      <w:r w:rsidR="000A7AAB">
        <w:t>donné</w:t>
      </w:r>
      <w:r w:rsidR="000A7AAB" w:rsidRPr="002C4077">
        <w:t xml:space="preserve"> </w:t>
      </w:r>
      <w:r w:rsidR="000A7AAB">
        <w:t>à</w:t>
      </w:r>
      <w:r w:rsidR="000A7AAB" w:rsidRPr="002C4077">
        <w:t xml:space="preserve"> </w:t>
      </w:r>
      <w:r w:rsidR="000A7AAB">
        <w:t>son</w:t>
      </w:r>
      <w:r w:rsidR="000A7AAB" w:rsidRPr="002C4077">
        <w:t xml:space="preserve"> </w:t>
      </w:r>
      <w:r w:rsidR="000A7AAB">
        <w:t>peuple</w:t>
      </w:r>
      <w:r w:rsidR="000A7AAB" w:rsidRPr="002C4077">
        <w:t xml:space="preserve"> </w:t>
      </w:r>
      <w:r w:rsidR="000A7AAB">
        <w:t>un</w:t>
      </w:r>
      <w:r w:rsidR="000A7AAB" w:rsidRPr="002C4077">
        <w:t xml:space="preserve"> </w:t>
      </w:r>
      <w:r w:rsidR="000A7AAB">
        <w:t>si</w:t>
      </w:r>
      <w:r w:rsidR="000A7AAB" w:rsidRPr="002C4077">
        <w:t xml:space="preserve"> </w:t>
      </w:r>
      <w:r w:rsidR="000A7AAB">
        <w:t>petit</w:t>
      </w:r>
      <w:r w:rsidR="000A7AAB" w:rsidRPr="002C4077">
        <w:t xml:space="preserve"> </w:t>
      </w:r>
      <w:r w:rsidR="000A7AAB">
        <w:t>pays.</w:t>
      </w:r>
      <w:r w:rsidR="000A7AAB" w:rsidRPr="002C4077">
        <w:t xml:space="preserve"> </w:t>
      </w:r>
      <w:r w:rsidR="000A7AAB">
        <w:t>Mais</w:t>
      </w:r>
      <w:r w:rsidR="000A7AAB" w:rsidRPr="002C4077">
        <w:t xml:space="preserve"> </w:t>
      </w:r>
      <w:r w:rsidR="000A7AAB">
        <w:t>ce</w:t>
      </w:r>
      <w:r w:rsidR="000A7AAB" w:rsidRPr="002C4077">
        <w:t xml:space="preserve"> </w:t>
      </w:r>
      <w:r w:rsidR="000A7AAB" w:rsidRPr="000A34B5">
        <w:rPr>
          <w:rStyle w:val="italicus"/>
        </w:rPr>
        <w:t>petit</w:t>
      </w:r>
      <w:r w:rsidR="000A7AAB" w:rsidRPr="002C4077">
        <w:t xml:space="preserve"> </w:t>
      </w:r>
      <w:r w:rsidR="000A7AAB" w:rsidRPr="000A34B5">
        <w:rPr>
          <w:rStyle w:val="italicus"/>
        </w:rPr>
        <w:t>pays</w:t>
      </w:r>
      <w:r w:rsidR="000A7AAB" w:rsidRPr="002C4077">
        <w:t xml:space="preserve"> </w:t>
      </w:r>
      <w:r w:rsidR="000A7AAB">
        <w:t>a</w:t>
      </w:r>
      <w:r w:rsidR="000A7AAB" w:rsidRPr="002C4077">
        <w:t xml:space="preserve"> </w:t>
      </w:r>
      <w:r w:rsidR="000A7AAB">
        <w:t>été,</w:t>
      </w:r>
      <w:r w:rsidR="000A7AAB" w:rsidRPr="002C4077">
        <w:t xml:space="preserve"> </w:t>
      </w:r>
      <w:r w:rsidR="000A7AAB">
        <w:t>durant</w:t>
      </w:r>
      <w:r w:rsidR="000A7AAB" w:rsidRPr="002C4077">
        <w:t xml:space="preserve"> </w:t>
      </w:r>
      <w:r w:rsidR="000A7AAB">
        <w:t>des</w:t>
      </w:r>
      <w:r w:rsidR="000A7AAB" w:rsidRPr="002C4077">
        <w:t xml:space="preserve"> </w:t>
      </w:r>
      <w:r w:rsidR="000A7AAB">
        <w:t>siècles,</w:t>
      </w:r>
      <w:r w:rsidR="000A7AAB" w:rsidRPr="002C4077">
        <w:t xml:space="preserve"> </w:t>
      </w:r>
      <w:r w:rsidR="000A7AAB">
        <w:t>un</w:t>
      </w:r>
      <w:r w:rsidR="000A7AAB" w:rsidRPr="002C4077">
        <w:t xml:space="preserve"> </w:t>
      </w:r>
      <w:r w:rsidR="000A7AAB">
        <w:t>paradis</w:t>
      </w:r>
      <w:r w:rsidR="000A7AAB" w:rsidRPr="002C4077">
        <w:t xml:space="preserve"> </w:t>
      </w:r>
      <w:r w:rsidR="000A7AAB">
        <w:t>terrestre,</w:t>
      </w:r>
      <w:r w:rsidR="000A7AAB" w:rsidRPr="002C4077">
        <w:t xml:space="preserve"> </w:t>
      </w:r>
      <w:r w:rsidR="000A7AAB">
        <w:t>sous</w:t>
      </w:r>
      <w:r w:rsidR="000A7AAB" w:rsidRPr="002C4077">
        <w:t xml:space="preserve"> </w:t>
      </w:r>
      <w:r w:rsidR="000A7AAB">
        <w:t>l’influence</w:t>
      </w:r>
      <w:r w:rsidR="000A7AAB" w:rsidRPr="002C4077">
        <w:t xml:space="preserve"> </w:t>
      </w:r>
      <w:r w:rsidR="000A7AAB">
        <w:t>simultanée</w:t>
      </w:r>
      <w:r w:rsidR="000A7AAB" w:rsidRPr="002C4077">
        <w:t xml:space="preserve"> </w:t>
      </w:r>
      <w:r w:rsidR="000A7AAB">
        <w:t>de</w:t>
      </w:r>
      <w:r w:rsidR="000A7AAB" w:rsidRPr="002C4077">
        <w:t xml:space="preserve"> </w:t>
      </w:r>
      <w:r w:rsidR="000A7AAB">
        <w:t>la</w:t>
      </w:r>
      <w:r w:rsidR="000A7AAB" w:rsidRPr="002C4077">
        <w:t xml:space="preserve"> </w:t>
      </w:r>
      <w:r w:rsidR="000A7AAB">
        <w:t>bénédiction</w:t>
      </w:r>
      <w:r w:rsidR="000A7AAB" w:rsidRPr="002C4077">
        <w:t xml:space="preserve"> </w:t>
      </w:r>
      <w:r w:rsidR="000A7AAB">
        <w:t>divine</w:t>
      </w:r>
      <w:r w:rsidR="000A7AAB" w:rsidRPr="002C4077">
        <w:t xml:space="preserve"> </w:t>
      </w:r>
      <w:r w:rsidR="000A7AAB">
        <w:t>et</w:t>
      </w:r>
      <w:r w:rsidR="000A7AAB" w:rsidRPr="002C4077">
        <w:t xml:space="preserve"> </w:t>
      </w:r>
      <w:r w:rsidR="000A7AAB">
        <w:t>du</w:t>
      </w:r>
      <w:r w:rsidR="000A7AAB" w:rsidRPr="002C4077">
        <w:t xml:space="preserve"> </w:t>
      </w:r>
      <w:r w:rsidR="000A7AAB">
        <w:t>travail</w:t>
      </w:r>
      <w:r w:rsidR="000A7AAB" w:rsidRPr="002C4077">
        <w:t xml:space="preserve"> </w:t>
      </w:r>
      <w:r w:rsidR="000A7AAB">
        <w:t>des</w:t>
      </w:r>
      <w:r w:rsidR="000A7AAB" w:rsidRPr="002C4077">
        <w:t xml:space="preserve"> </w:t>
      </w:r>
      <w:r w:rsidR="000A7AAB">
        <w:t>hommes</w:t>
      </w:r>
      <w:r w:rsidR="00B91AF7">
        <w:rPr>
          <w:rStyle w:val="Appelnotedebasdep"/>
        </w:rPr>
        <w:footnoteReference w:id="755"/>
      </w:r>
      <w:r>
        <w:t> »</w:t>
      </w:r>
      <w:r w:rsidR="000A7AAB">
        <w:t>.</w:t>
      </w:r>
      <w:r w:rsidR="000A7AAB" w:rsidRPr="002C4077">
        <w:t xml:space="preserve"> </w:t>
      </w:r>
    </w:p>
    <w:p w:rsidR="000A7AAB" w:rsidRPr="001F5257" w:rsidRDefault="000A7AAB" w:rsidP="000A7AAB">
      <w:r>
        <w:t>Un</w:t>
      </w:r>
      <w:r w:rsidRPr="002C4077">
        <w:t xml:space="preserve"> </w:t>
      </w:r>
      <w:r>
        <w:t>passage</w:t>
      </w:r>
      <w:r w:rsidRPr="002C4077">
        <w:t xml:space="preserve"> </w:t>
      </w:r>
      <w:r>
        <w:t>du</w:t>
      </w:r>
      <w:r w:rsidRPr="002C4077">
        <w:t xml:space="preserve"> </w:t>
      </w:r>
      <w:r>
        <w:t>Talmud</w:t>
      </w:r>
      <w:r w:rsidRPr="002C4077">
        <w:t xml:space="preserve"> </w:t>
      </w:r>
      <w:r>
        <w:t>nous</w:t>
      </w:r>
      <w:r w:rsidRPr="002C4077">
        <w:t xml:space="preserve"> </w:t>
      </w:r>
      <w:r>
        <w:t>montre</w:t>
      </w:r>
      <w:r w:rsidRPr="002C4077">
        <w:t xml:space="preserve"> </w:t>
      </w:r>
      <w:r>
        <w:t>d’une</w:t>
      </w:r>
      <w:r w:rsidRPr="002C4077">
        <w:t xml:space="preserve"> </w:t>
      </w:r>
      <w:r>
        <w:t>manière</w:t>
      </w:r>
      <w:r w:rsidRPr="002C4077">
        <w:t xml:space="preserve"> </w:t>
      </w:r>
      <w:r>
        <w:t>dramatique</w:t>
      </w:r>
      <w:r w:rsidRPr="002C4077">
        <w:t xml:space="preserve"> </w:t>
      </w:r>
      <w:r>
        <w:t>que</w:t>
      </w:r>
      <w:r w:rsidRPr="002C4077">
        <w:t xml:space="preserve"> </w:t>
      </w:r>
      <w:r>
        <w:t>les</w:t>
      </w:r>
      <w:r w:rsidRPr="002C4077">
        <w:t xml:space="preserve"> </w:t>
      </w:r>
      <w:r>
        <w:t>anciens</w:t>
      </w:r>
      <w:r w:rsidRPr="002C4077">
        <w:t xml:space="preserve"> </w:t>
      </w:r>
      <w:r>
        <w:t>Juifs</w:t>
      </w:r>
      <w:r w:rsidRPr="002C4077">
        <w:t xml:space="preserve"> </w:t>
      </w:r>
      <w:r>
        <w:t>auraient</w:t>
      </w:r>
      <w:r w:rsidRPr="002C4077">
        <w:t xml:space="preserve"> </w:t>
      </w:r>
      <w:r>
        <w:t>pris</w:t>
      </w:r>
      <w:r w:rsidRPr="002C4077">
        <w:t xml:space="preserve"> </w:t>
      </w:r>
      <w:r>
        <w:t>volontiers</w:t>
      </w:r>
      <w:r w:rsidRPr="002C4077">
        <w:t xml:space="preserve"> </w:t>
      </w:r>
      <w:r>
        <w:t>pour</w:t>
      </w:r>
      <w:r w:rsidRPr="002C4077">
        <w:t xml:space="preserve"> </w:t>
      </w:r>
      <w:r>
        <w:t>devise</w:t>
      </w:r>
      <w:r w:rsidRPr="002C4077">
        <w:t xml:space="preserve"> </w:t>
      </w:r>
      <w:r>
        <w:t>le</w:t>
      </w:r>
      <w:r w:rsidRPr="002C4077">
        <w:t xml:space="preserve"> </w:t>
      </w:r>
      <w:r>
        <w:t>beau</w:t>
      </w:r>
      <w:r w:rsidRPr="002C4077">
        <w:t xml:space="preserve"> </w:t>
      </w:r>
      <w:r>
        <w:t>mot</w:t>
      </w:r>
      <w:r w:rsidRPr="002C4077">
        <w:t xml:space="preserve"> </w:t>
      </w:r>
      <w:r>
        <w:t>de</w:t>
      </w:r>
      <w:r w:rsidRPr="002C4077">
        <w:t xml:space="preserve"> </w:t>
      </w:r>
      <w:r>
        <w:t>Jeanne</w:t>
      </w:r>
      <w:r w:rsidRPr="002C4077">
        <w:t xml:space="preserve"> </w:t>
      </w:r>
      <w:r>
        <w:t>d’Arc</w:t>
      </w:r>
      <w:r w:rsidR="00B546AF">
        <w:t> :</w:t>
      </w:r>
      <w:r w:rsidRPr="002C4077">
        <w:t xml:space="preserve"> </w:t>
      </w:r>
      <w:r w:rsidRPr="000A34B5">
        <w:rPr>
          <w:rStyle w:val="italicus"/>
        </w:rPr>
        <w:t>Vive</w:t>
      </w:r>
      <w:r w:rsidRPr="002C4077">
        <w:t xml:space="preserve"> </w:t>
      </w:r>
      <w:r w:rsidRPr="000A34B5">
        <w:rPr>
          <w:rStyle w:val="italicus"/>
        </w:rPr>
        <w:t>labeur</w:t>
      </w:r>
      <w:r w:rsidR="00B546AF">
        <w:rPr>
          <w:rStyle w:val="italicus"/>
        </w:rPr>
        <w:t> </w:t>
      </w:r>
      <w:r w:rsidR="00B546AF" w:rsidRPr="000A34B5">
        <w:rPr>
          <w:rStyle w:val="italicus"/>
        </w:rPr>
        <w:t>!</w:t>
      </w:r>
      <w:r w:rsidRPr="002C4077">
        <w:t xml:space="preserve"> </w:t>
      </w:r>
      <w:r w:rsidR="00B546AF">
        <w:t>« </w:t>
      </w:r>
      <w:r>
        <w:t>Lorsque</w:t>
      </w:r>
      <w:r w:rsidRPr="002C4077">
        <w:t xml:space="preserve"> </w:t>
      </w:r>
      <w:r>
        <w:t>le</w:t>
      </w:r>
      <w:r w:rsidRPr="002C4077">
        <w:t xml:space="preserve"> </w:t>
      </w:r>
      <w:r>
        <w:t>Saint,</w:t>
      </w:r>
      <w:r w:rsidRPr="002C4077">
        <w:t xml:space="preserve"> </w:t>
      </w:r>
      <w:r>
        <w:t>qu’il</w:t>
      </w:r>
      <w:r w:rsidRPr="002C4077">
        <w:t xml:space="preserve"> </w:t>
      </w:r>
      <w:r>
        <w:t>soit</w:t>
      </w:r>
      <w:r w:rsidRPr="002C4077">
        <w:t xml:space="preserve"> </w:t>
      </w:r>
      <w:r>
        <w:t>béni,</w:t>
      </w:r>
      <w:r w:rsidRPr="002C4077">
        <w:t xml:space="preserve"> </w:t>
      </w:r>
      <w:r>
        <w:t>annonça</w:t>
      </w:r>
      <w:r w:rsidRPr="002C4077">
        <w:t xml:space="preserve"> </w:t>
      </w:r>
      <w:r>
        <w:t>la</w:t>
      </w:r>
      <w:r w:rsidRPr="002C4077">
        <w:t xml:space="preserve"> </w:t>
      </w:r>
      <w:r>
        <w:t>sentence</w:t>
      </w:r>
      <w:r w:rsidRPr="002C4077">
        <w:t xml:space="preserve"> </w:t>
      </w:r>
      <w:r>
        <w:t>du</w:t>
      </w:r>
      <w:r w:rsidRPr="002C4077">
        <w:t xml:space="preserve"> </w:t>
      </w:r>
      <w:r>
        <w:t>premier</w:t>
      </w:r>
      <w:r w:rsidRPr="002C4077">
        <w:t xml:space="preserve"> </w:t>
      </w:r>
      <w:r>
        <w:t>homme</w:t>
      </w:r>
      <w:r w:rsidRPr="002C4077">
        <w:t xml:space="preserve"> </w:t>
      </w:r>
      <w:r>
        <w:t>après</w:t>
      </w:r>
      <w:r w:rsidRPr="002C4077">
        <w:t xml:space="preserve"> </w:t>
      </w:r>
      <w:r>
        <w:t>son</w:t>
      </w:r>
      <w:r w:rsidRPr="002C4077">
        <w:t xml:space="preserve"> </w:t>
      </w:r>
      <w:r>
        <w:t>péché,</w:t>
      </w:r>
      <w:r w:rsidRPr="002C4077">
        <w:t xml:space="preserve"> </w:t>
      </w:r>
      <w:r>
        <w:t>à</w:t>
      </w:r>
      <w:r w:rsidRPr="002C4077">
        <w:t xml:space="preserve"> </w:t>
      </w:r>
      <w:r>
        <w:t>ces</w:t>
      </w:r>
      <w:r w:rsidRPr="002C4077">
        <w:t xml:space="preserve"> </w:t>
      </w:r>
      <w:r>
        <w:t>mots</w:t>
      </w:r>
      <w:r w:rsidR="00B546AF">
        <w:t> :</w:t>
      </w:r>
      <w:r w:rsidRPr="002C4077">
        <w:t xml:space="preserve"> </w:t>
      </w:r>
      <w:r w:rsidRPr="000A34B5">
        <w:rPr>
          <w:rStyle w:val="italicus"/>
        </w:rPr>
        <w:t>Elle</w:t>
      </w:r>
      <w:r w:rsidRPr="002C4077">
        <w:t xml:space="preserve"> </w:t>
      </w:r>
      <w:r w:rsidRPr="000A34B5">
        <w:rPr>
          <w:rStyle w:val="italicus"/>
        </w:rPr>
        <w:t>portera</w:t>
      </w:r>
      <w:r w:rsidRPr="002C4077">
        <w:t xml:space="preserve"> </w:t>
      </w:r>
      <w:r w:rsidRPr="000A34B5">
        <w:rPr>
          <w:rStyle w:val="italicus"/>
        </w:rPr>
        <w:t>pour</w:t>
      </w:r>
      <w:r w:rsidRPr="002C4077">
        <w:t xml:space="preserve"> </w:t>
      </w:r>
      <w:r w:rsidRPr="000A34B5">
        <w:rPr>
          <w:rStyle w:val="italicus"/>
        </w:rPr>
        <w:t>toi</w:t>
      </w:r>
      <w:r w:rsidRPr="002C4077">
        <w:t xml:space="preserve"> </w:t>
      </w:r>
      <w:r w:rsidRPr="000A34B5">
        <w:rPr>
          <w:rStyle w:val="italicus"/>
        </w:rPr>
        <w:t>des</w:t>
      </w:r>
      <w:r w:rsidRPr="002C4077">
        <w:t xml:space="preserve"> </w:t>
      </w:r>
      <w:r w:rsidRPr="000A34B5">
        <w:rPr>
          <w:rStyle w:val="italicus"/>
        </w:rPr>
        <w:t>épines</w:t>
      </w:r>
      <w:r w:rsidRPr="002C4077">
        <w:t xml:space="preserve"> </w:t>
      </w:r>
      <w:r w:rsidRPr="000A34B5">
        <w:rPr>
          <w:rStyle w:val="italicus"/>
        </w:rPr>
        <w:t>et</w:t>
      </w:r>
      <w:r w:rsidRPr="002C4077">
        <w:t xml:space="preserve"> </w:t>
      </w:r>
      <w:r w:rsidRPr="000A34B5">
        <w:rPr>
          <w:rStyle w:val="italicus"/>
        </w:rPr>
        <w:t>des</w:t>
      </w:r>
      <w:r w:rsidRPr="002C4077">
        <w:t xml:space="preserve"> </w:t>
      </w:r>
      <w:r w:rsidRPr="000A34B5">
        <w:rPr>
          <w:rStyle w:val="italicus"/>
        </w:rPr>
        <w:t>chardons,</w:t>
      </w:r>
      <w:r w:rsidRPr="002C4077">
        <w:t xml:space="preserve"> </w:t>
      </w:r>
      <w:r>
        <w:t>des</w:t>
      </w:r>
      <w:r w:rsidRPr="002C4077">
        <w:t xml:space="preserve"> </w:t>
      </w:r>
      <w:r>
        <w:t>larmes</w:t>
      </w:r>
      <w:r w:rsidRPr="002C4077">
        <w:t xml:space="preserve"> </w:t>
      </w:r>
      <w:r>
        <w:t>s’échappèrent</w:t>
      </w:r>
      <w:r w:rsidRPr="002C4077">
        <w:t xml:space="preserve"> </w:t>
      </w:r>
      <w:r>
        <w:t>des</w:t>
      </w:r>
      <w:r w:rsidRPr="002C4077">
        <w:t xml:space="preserve"> </w:t>
      </w:r>
      <w:r>
        <w:t>yeux</w:t>
      </w:r>
      <w:r w:rsidRPr="002C4077">
        <w:t xml:space="preserve"> </w:t>
      </w:r>
      <w:r>
        <w:t>d’Adam,</w:t>
      </w:r>
      <w:r w:rsidRPr="002C4077">
        <w:t xml:space="preserve"> </w:t>
      </w:r>
      <w:r>
        <w:t>et</w:t>
      </w:r>
      <w:r w:rsidRPr="002C4077">
        <w:t xml:space="preserve"> </w:t>
      </w:r>
      <w:r>
        <w:t>il</w:t>
      </w:r>
      <w:r w:rsidRPr="002C4077">
        <w:t xml:space="preserve"> </w:t>
      </w:r>
      <w:r>
        <w:t>s’écria</w:t>
      </w:r>
      <w:r w:rsidR="00B546AF">
        <w:t> :</w:t>
      </w:r>
      <w:r w:rsidRPr="002C4077">
        <w:t xml:space="preserve"> </w:t>
      </w:r>
      <w:r>
        <w:t>Ô</w:t>
      </w:r>
      <w:r w:rsidRPr="002C4077">
        <w:t xml:space="preserve"> </w:t>
      </w:r>
      <w:r>
        <w:t>Seigneur</w:t>
      </w:r>
      <w:r w:rsidRPr="002C4077">
        <w:t xml:space="preserve"> </w:t>
      </w:r>
      <w:r>
        <w:t>du</w:t>
      </w:r>
      <w:r w:rsidRPr="002C4077">
        <w:t xml:space="preserve"> </w:t>
      </w:r>
      <w:r>
        <w:t>monde,</w:t>
      </w:r>
      <w:r w:rsidRPr="002C4077">
        <w:t xml:space="preserve"> </w:t>
      </w:r>
      <w:r>
        <w:t>moi</w:t>
      </w:r>
      <w:r w:rsidRPr="002C4077">
        <w:t xml:space="preserve"> </w:t>
      </w:r>
      <w:r>
        <w:t>et</w:t>
      </w:r>
      <w:r w:rsidRPr="002C4077">
        <w:t xml:space="preserve"> </w:t>
      </w:r>
      <w:r>
        <w:t>l’âne</w:t>
      </w:r>
      <w:r w:rsidRPr="002C4077">
        <w:t xml:space="preserve"> </w:t>
      </w:r>
      <w:r>
        <w:t>nous</w:t>
      </w:r>
      <w:r w:rsidRPr="002C4077">
        <w:t xml:space="preserve"> </w:t>
      </w:r>
      <w:r>
        <w:t>mangerons</w:t>
      </w:r>
      <w:r w:rsidRPr="002C4077">
        <w:t xml:space="preserve"> </w:t>
      </w:r>
      <w:r>
        <w:t>donc</w:t>
      </w:r>
      <w:r w:rsidRPr="002C4077">
        <w:t xml:space="preserve"> </w:t>
      </w:r>
      <w:r>
        <w:t>à</w:t>
      </w:r>
      <w:r w:rsidRPr="002C4077">
        <w:t xml:space="preserve"> </w:t>
      </w:r>
      <w:r>
        <w:t>une</w:t>
      </w:r>
      <w:r w:rsidRPr="002C4077">
        <w:t xml:space="preserve"> </w:t>
      </w:r>
      <w:r>
        <w:t>même</w:t>
      </w:r>
      <w:r w:rsidRPr="002C4077">
        <w:t xml:space="preserve"> </w:t>
      </w:r>
      <w:r>
        <w:t>crèche</w:t>
      </w:r>
      <w:r w:rsidR="00B546AF">
        <w:t> ?</w:t>
      </w:r>
      <w:r w:rsidRPr="002C4077">
        <w:t xml:space="preserve"> </w:t>
      </w:r>
      <w:r>
        <w:t>Mais</w:t>
      </w:r>
      <w:r w:rsidRPr="002C4077">
        <w:t xml:space="preserve"> </w:t>
      </w:r>
      <w:r>
        <w:t>lorsque</w:t>
      </w:r>
      <w:r w:rsidRPr="002C4077">
        <w:t xml:space="preserve"> </w:t>
      </w:r>
      <w:r>
        <w:t>Dieu</w:t>
      </w:r>
      <w:r w:rsidRPr="002C4077">
        <w:t xml:space="preserve"> </w:t>
      </w:r>
      <w:r>
        <w:t>eu</w:t>
      </w:r>
      <w:r w:rsidR="001730C6">
        <w:t>t</w:t>
      </w:r>
      <w:r w:rsidR="006F72A8" w:rsidRPr="002C4077">
        <w:t xml:space="preserve"> </w:t>
      </w:r>
      <w:r w:rsidR="001730C6">
        <w:t>a</w:t>
      </w:r>
      <w:r>
        <w:t>jouté</w:t>
      </w:r>
      <w:r w:rsidR="00B546AF">
        <w:t> :</w:t>
      </w:r>
      <w:r w:rsidRPr="002C4077">
        <w:t xml:space="preserve"> </w:t>
      </w:r>
      <w:r w:rsidRPr="000A34B5">
        <w:rPr>
          <w:rStyle w:val="italicus"/>
        </w:rPr>
        <w:t>Tu</w:t>
      </w:r>
      <w:r w:rsidRPr="002C4077">
        <w:t xml:space="preserve"> </w:t>
      </w:r>
      <w:r w:rsidRPr="000A34B5">
        <w:rPr>
          <w:rStyle w:val="italicus"/>
        </w:rPr>
        <w:t>mangeras</w:t>
      </w:r>
      <w:r w:rsidRPr="002C4077">
        <w:t xml:space="preserve"> </w:t>
      </w:r>
      <w:r w:rsidRPr="000A34B5">
        <w:rPr>
          <w:rStyle w:val="italicus"/>
        </w:rPr>
        <w:t>ton</w:t>
      </w:r>
      <w:r w:rsidRPr="002C4077">
        <w:t xml:space="preserve"> </w:t>
      </w:r>
      <w:r w:rsidRPr="000A34B5">
        <w:rPr>
          <w:rStyle w:val="italicus"/>
        </w:rPr>
        <w:t>pain</w:t>
      </w:r>
      <w:r w:rsidRPr="002C4077">
        <w:t xml:space="preserve"> </w:t>
      </w:r>
      <w:r w:rsidRPr="000A34B5">
        <w:rPr>
          <w:rStyle w:val="italicus"/>
        </w:rPr>
        <w:t>à</w:t>
      </w:r>
      <w:r w:rsidRPr="002C4077">
        <w:t xml:space="preserve"> </w:t>
      </w:r>
      <w:r w:rsidRPr="000A34B5">
        <w:rPr>
          <w:rStyle w:val="italicus"/>
        </w:rPr>
        <w:t>la</w:t>
      </w:r>
      <w:r w:rsidRPr="002C4077">
        <w:t xml:space="preserve"> </w:t>
      </w:r>
      <w:r w:rsidRPr="000A34B5">
        <w:rPr>
          <w:rStyle w:val="italicus"/>
        </w:rPr>
        <w:t>sueur</w:t>
      </w:r>
      <w:r w:rsidRPr="002C4077">
        <w:t xml:space="preserve"> </w:t>
      </w:r>
      <w:r w:rsidRPr="000A34B5">
        <w:rPr>
          <w:rStyle w:val="italicus"/>
        </w:rPr>
        <w:t>de</w:t>
      </w:r>
      <w:r w:rsidRPr="002C4077">
        <w:t xml:space="preserve"> </w:t>
      </w:r>
      <w:r w:rsidRPr="000A34B5">
        <w:rPr>
          <w:rStyle w:val="italicus"/>
        </w:rPr>
        <w:t>ton</w:t>
      </w:r>
      <w:r w:rsidRPr="002C4077">
        <w:t xml:space="preserve"> </w:t>
      </w:r>
      <w:r w:rsidRPr="000A34B5">
        <w:rPr>
          <w:rStyle w:val="italicus"/>
        </w:rPr>
        <w:t>front,</w:t>
      </w:r>
      <w:r w:rsidRPr="002C4077">
        <w:t xml:space="preserve"> </w:t>
      </w:r>
      <w:r>
        <w:t>alors</w:t>
      </w:r>
      <w:r w:rsidRPr="002C4077">
        <w:t xml:space="preserve"> </w:t>
      </w:r>
      <w:r>
        <w:t>il</w:t>
      </w:r>
      <w:r w:rsidRPr="002C4077">
        <w:t xml:space="preserve"> </w:t>
      </w:r>
      <w:r>
        <w:t>fut</w:t>
      </w:r>
      <w:r w:rsidRPr="002C4077">
        <w:t xml:space="preserve"> </w:t>
      </w:r>
      <w:r>
        <w:t>consolé</w:t>
      </w:r>
      <w:r w:rsidR="00242610">
        <w:rPr>
          <w:rStyle w:val="Appelnotedebasdep"/>
        </w:rPr>
        <w:footnoteReference w:id="756"/>
      </w:r>
      <w:r w:rsidR="00B546AF">
        <w:t> »</w:t>
      </w:r>
      <w:r>
        <w:t>.</w:t>
      </w:r>
      <w:r w:rsidRPr="002C4077">
        <w:t xml:space="preserve"> </w:t>
      </w:r>
      <w:r>
        <w:t>Nous</w:t>
      </w:r>
      <w:r w:rsidRPr="002C4077">
        <w:t xml:space="preserve"> </w:t>
      </w:r>
      <w:r>
        <w:t>voyons</w:t>
      </w:r>
      <w:r w:rsidRPr="002C4077">
        <w:t xml:space="preserve"> </w:t>
      </w:r>
      <w:r>
        <w:t>par</w:t>
      </w:r>
      <w:r w:rsidRPr="002C4077">
        <w:t xml:space="preserve"> </w:t>
      </w:r>
      <w:r>
        <w:t>là</w:t>
      </w:r>
      <w:r w:rsidRPr="002C4077">
        <w:t xml:space="preserve"> </w:t>
      </w:r>
      <w:r>
        <w:t>l’idée</w:t>
      </w:r>
      <w:r w:rsidRPr="002C4077">
        <w:t xml:space="preserve"> </w:t>
      </w:r>
      <w:r>
        <w:t>sublime</w:t>
      </w:r>
      <w:r w:rsidRPr="002C4077">
        <w:t xml:space="preserve"> </w:t>
      </w:r>
      <w:r>
        <w:t>que</w:t>
      </w:r>
      <w:r w:rsidRPr="002C4077">
        <w:t xml:space="preserve"> </w:t>
      </w:r>
      <w:r>
        <w:t>les</w:t>
      </w:r>
      <w:r w:rsidRPr="002C4077">
        <w:t xml:space="preserve"> </w:t>
      </w:r>
      <w:r>
        <w:t>Juifs</w:t>
      </w:r>
      <w:r w:rsidRPr="002C4077">
        <w:t xml:space="preserve"> </w:t>
      </w:r>
      <w:r>
        <w:t>se</w:t>
      </w:r>
      <w:r w:rsidRPr="002C4077">
        <w:t xml:space="preserve"> </w:t>
      </w:r>
      <w:r>
        <w:t>formaient</w:t>
      </w:r>
      <w:r w:rsidRPr="002C4077">
        <w:t xml:space="preserve"> </w:t>
      </w:r>
      <w:r>
        <w:t>du</w:t>
      </w:r>
      <w:r w:rsidRPr="002C4077">
        <w:t xml:space="preserve"> </w:t>
      </w:r>
      <w:r>
        <w:t>travail.</w:t>
      </w:r>
      <w:r w:rsidRPr="002C4077">
        <w:t xml:space="preserve"> </w:t>
      </w:r>
      <w:r>
        <w:t>D’après</w:t>
      </w:r>
      <w:r w:rsidRPr="002C4077">
        <w:t xml:space="preserve"> </w:t>
      </w:r>
      <w:r>
        <w:t>eux,</w:t>
      </w:r>
      <w:r w:rsidRPr="002C4077">
        <w:t xml:space="preserve"> </w:t>
      </w:r>
      <w:r>
        <w:t>ce</w:t>
      </w:r>
      <w:r w:rsidRPr="002C4077">
        <w:t xml:space="preserve"> </w:t>
      </w:r>
      <w:r>
        <w:t>qui</w:t>
      </w:r>
      <w:r w:rsidRPr="002C4077">
        <w:t xml:space="preserve"> </w:t>
      </w:r>
      <w:r>
        <w:t>élève</w:t>
      </w:r>
      <w:r w:rsidRPr="002C4077">
        <w:t xml:space="preserve"> </w:t>
      </w:r>
      <w:r>
        <w:t>actuellement</w:t>
      </w:r>
      <w:r w:rsidRPr="002C4077">
        <w:t xml:space="preserve"> </w:t>
      </w:r>
      <w:r>
        <w:t>l’homme</w:t>
      </w:r>
      <w:r w:rsidRPr="002C4077">
        <w:t xml:space="preserve"> </w:t>
      </w:r>
      <w:r>
        <w:t>au-dessus</w:t>
      </w:r>
      <w:r w:rsidRPr="002C4077">
        <w:t xml:space="preserve"> </w:t>
      </w:r>
      <w:r>
        <w:t>des</w:t>
      </w:r>
      <w:r w:rsidRPr="002C4077">
        <w:t xml:space="preserve"> </w:t>
      </w:r>
      <w:r>
        <w:t>animaux,</w:t>
      </w:r>
      <w:r w:rsidRPr="002C4077">
        <w:t xml:space="preserve"> </w:t>
      </w:r>
      <w:r>
        <w:t>c’est</w:t>
      </w:r>
      <w:r w:rsidRPr="002C4077">
        <w:t xml:space="preserve"> </w:t>
      </w:r>
      <w:r>
        <w:t>que</w:t>
      </w:r>
      <w:r w:rsidRPr="002C4077">
        <w:t xml:space="preserve"> </w:t>
      </w:r>
      <w:r>
        <w:t>sa</w:t>
      </w:r>
      <w:r w:rsidRPr="002C4077">
        <w:t xml:space="preserve"> </w:t>
      </w:r>
      <w:r>
        <w:t>nourriture,</w:t>
      </w:r>
      <w:r w:rsidRPr="002C4077">
        <w:t xml:space="preserve"> </w:t>
      </w:r>
      <w:r>
        <w:t>pour</w:t>
      </w:r>
      <w:r w:rsidRPr="002C4077">
        <w:t xml:space="preserve"> </w:t>
      </w:r>
      <w:r>
        <w:t>amère</w:t>
      </w:r>
      <w:r w:rsidRPr="002C4077">
        <w:t xml:space="preserve"> </w:t>
      </w:r>
      <w:r>
        <w:t>qu’elle</w:t>
      </w:r>
      <w:r w:rsidRPr="002C4077">
        <w:t xml:space="preserve"> </w:t>
      </w:r>
      <w:r>
        <w:t>lui</w:t>
      </w:r>
      <w:r w:rsidRPr="002C4077">
        <w:t xml:space="preserve"> </w:t>
      </w:r>
      <w:r>
        <w:t>paraisse</w:t>
      </w:r>
      <w:r w:rsidRPr="002C4077">
        <w:t xml:space="preserve"> </w:t>
      </w:r>
      <w:r>
        <w:t>souvent,</w:t>
      </w:r>
      <w:r w:rsidRPr="002C4077">
        <w:t xml:space="preserve"> </w:t>
      </w:r>
      <w:r w:rsidR="00425C50">
        <w:t>est</w:t>
      </w:r>
      <w:r w:rsidRPr="002C4077">
        <w:t xml:space="preserve"> </w:t>
      </w:r>
      <w:r>
        <w:t>le</w:t>
      </w:r>
      <w:r w:rsidRPr="002C4077">
        <w:t xml:space="preserve"> </w:t>
      </w:r>
      <w:r>
        <w:t>fruit</w:t>
      </w:r>
      <w:r w:rsidRPr="002C4077">
        <w:t xml:space="preserve"> </w:t>
      </w:r>
      <w:r>
        <w:t>et</w:t>
      </w:r>
      <w:r w:rsidRPr="002C4077">
        <w:t xml:space="preserve"> </w:t>
      </w:r>
      <w:r>
        <w:t>la</w:t>
      </w:r>
      <w:r w:rsidRPr="002C4077">
        <w:t xml:space="preserve"> </w:t>
      </w:r>
      <w:r>
        <w:t>récompense</w:t>
      </w:r>
      <w:r w:rsidRPr="002C4077">
        <w:t xml:space="preserve"> </w:t>
      </w:r>
      <w:r>
        <w:t>de</w:t>
      </w:r>
      <w:r w:rsidRPr="002C4077">
        <w:t xml:space="preserve"> </w:t>
      </w:r>
      <w:r>
        <w:t>sa</w:t>
      </w:r>
      <w:r w:rsidRPr="002C4077">
        <w:t xml:space="preserve"> </w:t>
      </w:r>
      <w:r>
        <w:t>propre</w:t>
      </w:r>
      <w:r w:rsidRPr="002C4077">
        <w:t xml:space="preserve"> </w:t>
      </w:r>
      <w:r>
        <w:t>industrie.</w:t>
      </w:r>
      <w:r w:rsidR="00C45B47">
        <w:t xml:space="preserve"> {</w:t>
      </w:r>
      <w:r w:rsidR="001F5257">
        <w:t>243</w:t>
      </w:r>
      <w:bookmarkStart w:id="590" w:name="p243"/>
      <w:bookmarkEnd w:id="590"/>
      <w:r w:rsidR="001F5257">
        <w:t xml:space="preserve">} </w:t>
      </w:r>
    </w:p>
    <w:p w:rsidR="000A7AAB" w:rsidRDefault="000A7AAB" w:rsidP="000A7AAB">
      <w:r>
        <w:t>À</w:t>
      </w:r>
      <w:r w:rsidRPr="002C4077">
        <w:t xml:space="preserve"> </w:t>
      </w:r>
      <w:r>
        <w:t>côté</w:t>
      </w:r>
      <w:r w:rsidRPr="002C4077">
        <w:t xml:space="preserve"> </w:t>
      </w:r>
      <w:r>
        <w:t>de</w:t>
      </w:r>
      <w:r w:rsidRPr="002C4077">
        <w:t xml:space="preserve"> </w:t>
      </w:r>
      <w:r>
        <w:t>ce</w:t>
      </w:r>
      <w:r w:rsidRPr="002C4077">
        <w:t xml:space="preserve"> </w:t>
      </w:r>
      <w:r>
        <w:t>trait</w:t>
      </w:r>
      <w:r w:rsidRPr="002C4077">
        <w:t xml:space="preserve"> </w:t>
      </w:r>
      <w:r>
        <w:t>significatif,</w:t>
      </w:r>
      <w:r w:rsidRPr="002C4077">
        <w:t xml:space="preserve"> </w:t>
      </w:r>
      <w:r>
        <w:t>mille</w:t>
      </w:r>
      <w:r w:rsidRPr="002C4077">
        <w:t xml:space="preserve"> </w:t>
      </w:r>
      <w:r>
        <w:t>proverbes</w:t>
      </w:r>
      <w:bookmarkStart w:id="591" w:name="z_ProverbesJuifs_o1"/>
      <w:bookmarkEnd w:id="591"/>
      <w:r w:rsidRPr="002C4077">
        <w:t xml:space="preserve"> </w:t>
      </w:r>
      <w:r>
        <w:t>révérés,</w:t>
      </w:r>
      <w:r w:rsidRPr="002C4077">
        <w:t xml:space="preserve"> </w:t>
      </w:r>
      <w:r>
        <w:t>et</w:t>
      </w:r>
      <w:r w:rsidRPr="002C4077">
        <w:t xml:space="preserve"> </w:t>
      </w:r>
      <w:r>
        <w:t>surtout</w:t>
      </w:r>
      <w:r w:rsidRPr="002C4077">
        <w:t xml:space="preserve"> </w:t>
      </w:r>
      <w:r>
        <w:t>mis</w:t>
      </w:r>
      <w:r w:rsidRPr="002C4077">
        <w:t xml:space="preserve"> </w:t>
      </w:r>
      <w:r>
        <w:t>en</w:t>
      </w:r>
      <w:r w:rsidRPr="002C4077">
        <w:t xml:space="preserve"> </w:t>
      </w:r>
      <w:r>
        <w:t>pratique,</w:t>
      </w:r>
      <w:r w:rsidRPr="002C4077">
        <w:t xml:space="preserve"> </w:t>
      </w:r>
      <w:r>
        <w:t>avaient</w:t>
      </w:r>
      <w:r w:rsidRPr="002C4077">
        <w:t xml:space="preserve"> </w:t>
      </w:r>
      <w:r>
        <w:t>cours</w:t>
      </w:r>
      <w:r w:rsidRPr="002C4077">
        <w:t xml:space="preserve"> </w:t>
      </w:r>
      <w:r>
        <w:t>parmi</w:t>
      </w:r>
      <w:r w:rsidRPr="002C4077">
        <w:t xml:space="preserve"> </w:t>
      </w:r>
      <w:r>
        <w:t>le</w:t>
      </w:r>
      <w:r w:rsidRPr="002C4077">
        <w:t xml:space="preserve"> </w:t>
      </w:r>
      <w:r>
        <w:t>peuple.</w:t>
      </w:r>
      <w:r w:rsidRPr="002C4077">
        <w:t xml:space="preserve"> </w:t>
      </w:r>
      <w:r w:rsidR="00B546AF">
        <w:t>« </w:t>
      </w:r>
      <w:r>
        <w:t>Aime</w:t>
      </w:r>
      <w:r w:rsidRPr="002C4077">
        <w:t xml:space="preserve"> </w:t>
      </w:r>
      <w:r>
        <w:t>le</w:t>
      </w:r>
      <w:r w:rsidRPr="002C4077">
        <w:t xml:space="preserve"> </w:t>
      </w:r>
      <w:r>
        <w:t>travail</w:t>
      </w:r>
      <w:r w:rsidR="00B546AF">
        <w:t> »</w:t>
      </w:r>
      <w:r>
        <w:t>,</w:t>
      </w:r>
      <w:r w:rsidRPr="002C4077">
        <w:t xml:space="preserve"> </w:t>
      </w:r>
      <w:r>
        <w:t>disait</w:t>
      </w:r>
      <w:r w:rsidRPr="002C4077">
        <w:t xml:space="preserve"> </w:t>
      </w:r>
      <w:r>
        <w:t>Schemaïa,</w:t>
      </w:r>
      <w:r w:rsidRPr="002C4077">
        <w:t xml:space="preserve"> </w:t>
      </w:r>
      <w:r>
        <w:t>le</w:t>
      </w:r>
      <w:r w:rsidRPr="002C4077">
        <w:t xml:space="preserve"> </w:t>
      </w:r>
      <w:r>
        <w:t>maître</w:t>
      </w:r>
      <w:r w:rsidRPr="002C4077">
        <w:t xml:space="preserve"> </w:t>
      </w:r>
      <w:r>
        <w:t>d’Hillel</w:t>
      </w:r>
      <w:r w:rsidR="00B91AF7">
        <w:rPr>
          <w:rStyle w:val="Appelnotedebasdep"/>
        </w:rPr>
        <w:footnoteReference w:id="757"/>
      </w:r>
      <w:r>
        <w:t>.</w:t>
      </w:r>
      <w:r w:rsidRPr="002C4077">
        <w:t xml:space="preserve"> </w:t>
      </w:r>
      <w:r w:rsidR="00B546AF">
        <w:t>« </w:t>
      </w:r>
      <w:r>
        <w:t>Le</w:t>
      </w:r>
      <w:r w:rsidRPr="002C4077">
        <w:t xml:space="preserve"> </w:t>
      </w:r>
      <w:r>
        <w:t>travail</w:t>
      </w:r>
      <w:r w:rsidRPr="002C4077">
        <w:t xml:space="preserve"> </w:t>
      </w:r>
      <w:r w:rsidR="00425C50">
        <w:t>est</w:t>
      </w:r>
      <w:r w:rsidRPr="002C4077">
        <w:t xml:space="preserve"> </w:t>
      </w:r>
      <w:r>
        <w:t>grand,</w:t>
      </w:r>
      <w:r w:rsidRPr="002C4077">
        <w:t xml:space="preserve"> </w:t>
      </w:r>
      <w:r>
        <w:t>disait</w:t>
      </w:r>
      <w:r w:rsidRPr="002C4077">
        <w:t xml:space="preserve"> </w:t>
      </w:r>
      <w:r>
        <w:t>un</w:t>
      </w:r>
      <w:r w:rsidRPr="002C4077">
        <w:t xml:space="preserve"> </w:t>
      </w:r>
      <w:r>
        <w:t>autre,</w:t>
      </w:r>
      <w:r w:rsidRPr="002C4077">
        <w:t xml:space="preserve"> </w:t>
      </w:r>
      <w:r>
        <w:t>car</w:t>
      </w:r>
      <w:r w:rsidRPr="002C4077">
        <w:t xml:space="preserve"> </w:t>
      </w:r>
      <w:r>
        <w:t>il</w:t>
      </w:r>
      <w:r w:rsidRPr="002C4077">
        <w:t xml:space="preserve"> </w:t>
      </w:r>
      <w:r>
        <w:t>honore</w:t>
      </w:r>
      <w:r w:rsidRPr="002C4077">
        <w:t xml:space="preserve"> </w:t>
      </w:r>
      <w:r>
        <w:t>son</w:t>
      </w:r>
      <w:r w:rsidRPr="002C4077">
        <w:t xml:space="preserve"> </w:t>
      </w:r>
      <w:r>
        <w:t>maître</w:t>
      </w:r>
      <w:r w:rsidR="00B91AF7">
        <w:rPr>
          <w:rStyle w:val="Appelnotedebasdep"/>
        </w:rPr>
        <w:footnoteReference w:id="758"/>
      </w:r>
      <w:r w:rsidR="00B546AF">
        <w:t> »</w:t>
      </w:r>
      <w:r>
        <w:t>.</w:t>
      </w:r>
      <w:r w:rsidRPr="002C4077">
        <w:t xml:space="preserve"> </w:t>
      </w:r>
      <w:r>
        <w:t>Ou</w:t>
      </w:r>
      <w:r w:rsidRPr="002C4077">
        <w:t xml:space="preserve"> </w:t>
      </w:r>
      <w:r>
        <w:t>bien</w:t>
      </w:r>
      <w:r w:rsidR="00B546AF">
        <w:t> :</w:t>
      </w:r>
      <w:r w:rsidRPr="002C4077">
        <w:t xml:space="preserve"> </w:t>
      </w:r>
      <w:r w:rsidR="00B546AF">
        <w:t>« </w:t>
      </w:r>
      <w:r>
        <w:t>Le</w:t>
      </w:r>
      <w:r w:rsidRPr="002C4077">
        <w:t xml:space="preserve"> </w:t>
      </w:r>
      <w:r>
        <w:t>travail</w:t>
      </w:r>
      <w:r w:rsidRPr="002C4077">
        <w:t xml:space="preserve"> </w:t>
      </w:r>
      <w:r w:rsidR="00425C50">
        <w:t>est</w:t>
      </w:r>
      <w:r w:rsidRPr="002C4077">
        <w:t xml:space="preserve"> </w:t>
      </w:r>
      <w:r>
        <w:t>grand,</w:t>
      </w:r>
      <w:r w:rsidRPr="002C4077">
        <w:t xml:space="preserve"> </w:t>
      </w:r>
      <w:r>
        <w:t>car</w:t>
      </w:r>
      <w:r w:rsidRPr="002C4077">
        <w:t xml:space="preserve"> </w:t>
      </w:r>
      <w:r>
        <w:t>il</w:t>
      </w:r>
      <w:r w:rsidRPr="002C4077">
        <w:t xml:space="preserve"> </w:t>
      </w:r>
      <w:r>
        <w:t>réchauffe</w:t>
      </w:r>
      <w:r w:rsidRPr="002C4077">
        <w:t xml:space="preserve"> </w:t>
      </w:r>
      <w:r>
        <w:t>son</w:t>
      </w:r>
      <w:r w:rsidRPr="002C4077">
        <w:t xml:space="preserve"> </w:t>
      </w:r>
      <w:r w:rsidR="00242610">
        <w:t>maître</w:t>
      </w:r>
      <w:r w:rsidR="00242610">
        <w:rPr>
          <w:rStyle w:val="Appelnotedebasdep"/>
        </w:rPr>
        <w:footnoteReference w:id="759"/>
      </w:r>
      <w:r w:rsidR="00B546AF">
        <w:t> »</w:t>
      </w:r>
      <w:r>
        <w:t>.</w:t>
      </w:r>
      <w:r w:rsidRPr="002C4077">
        <w:t xml:space="preserve"> </w:t>
      </w:r>
      <w:r w:rsidR="00B546AF">
        <w:t>« </w:t>
      </w:r>
      <w:r>
        <w:t>Que</w:t>
      </w:r>
      <w:r w:rsidRPr="002C4077">
        <w:t xml:space="preserve"> </w:t>
      </w:r>
      <w:r>
        <w:t>le</w:t>
      </w:r>
      <w:r w:rsidRPr="002C4077">
        <w:t xml:space="preserve"> </w:t>
      </w:r>
      <w:r>
        <w:t>travail</w:t>
      </w:r>
      <w:r w:rsidRPr="002C4077">
        <w:t xml:space="preserve"> </w:t>
      </w:r>
      <w:r>
        <w:t>a</w:t>
      </w:r>
      <w:r w:rsidRPr="002C4077">
        <w:t xml:space="preserve"> </w:t>
      </w:r>
      <w:r>
        <w:t>de</w:t>
      </w:r>
      <w:r w:rsidRPr="002C4077">
        <w:t xml:space="preserve"> </w:t>
      </w:r>
      <w:r>
        <w:t>prix</w:t>
      </w:r>
      <w:r w:rsidRPr="002C4077">
        <w:t xml:space="preserve"> </w:t>
      </w:r>
      <w:r>
        <w:t>aux</w:t>
      </w:r>
      <w:r w:rsidRPr="002C4077">
        <w:t xml:space="preserve"> </w:t>
      </w:r>
      <w:r>
        <w:t>yeux</w:t>
      </w:r>
      <w:r w:rsidRPr="002C4077">
        <w:t xml:space="preserve"> </w:t>
      </w:r>
      <w:r>
        <w:t>de</w:t>
      </w:r>
      <w:r w:rsidRPr="002C4077">
        <w:t xml:space="preserve"> </w:t>
      </w:r>
      <w:r>
        <w:t>Dieu</w:t>
      </w:r>
      <w:r w:rsidR="00B91AF7">
        <w:rPr>
          <w:rStyle w:val="Appelnotedebasdep"/>
        </w:rPr>
        <w:footnoteReference w:id="760"/>
      </w:r>
      <w:r w:rsidR="00B546AF">
        <w:t> ! »</w:t>
      </w:r>
      <w:r w:rsidRPr="002C4077">
        <w:t xml:space="preserve"> </w:t>
      </w:r>
      <w:r w:rsidR="00B546AF">
        <w:t>« </w:t>
      </w:r>
      <w:r>
        <w:t>Mon</w:t>
      </w:r>
      <w:r w:rsidRPr="002C4077">
        <w:t xml:space="preserve"> </w:t>
      </w:r>
      <w:r>
        <w:t>enfant,</w:t>
      </w:r>
      <w:r w:rsidRPr="002C4077">
        <w:t xml:space="preserve"> </w:t>
      </w:r>
      <w:r>
        <w:t>disait</w:t>
      </w:r>
      <w:r w:rsidRPr="002C4077">
        <w:t xml:space="preserve"> </w:t>
      </w:r>
      <w:r>
        <w:t>R.</w:t>
      </w:r>
      <w:r w:rsidRPr="002C4077">
        <w:t xml:space="preserve"> </w:t>
      </w:r>
      <w:r>
        <w:t>Ismaël</w:t>
      </w:r>
      <w:r w:rsidRPr="002C4077">
        <w:t xml:space="preserve"> </w:t>
      </w:r>
      <w:r>
        <w:t>à</w:t>
      </w:r>
      <w:r w:rsidRPr="002C4077">
        <w:t xml:space="preserve"> </w:t>
      </w:r>
      <w:r>
        <w:t>un</w:t>
      </w:r>
      <w:r w:rsidRPr="002C4077">
        <w:t xml:space="preserve"> </w:t>
      </w:r>
      <w:r>
        <w:t>jeune</w:t>
      </w:r>
      <w:r w:rsidRPr="002C4077">
        <w:t xml:space="preserve"> </w:t>
      </w:r>
      <w:r>
        <w:t>travailleur,</w:t>
      </w:r>
      <w:r w:rsidRPr="002C4077">
        <w:t xml:space="preserve"> </w:t>
      </w:r>
      <w:r>
        <w:t>ton</w:t>
      </w:r>
      <w:r w:rsidRPr="002C4077">
        <w:t xml:space="preserve"> </w:t>
      </w:r>
      <w:r>
        <w:t>travail</w:t>
      </w:r>
      <w:r w:rsidRPr="002C4077">
        <w:t xml:space="preserve"> </w:t>
      </w:r>
      <w:r w:rsidR="00425C50">
        <w:t>est</w:t>
      </w:r>
      <w:r w:rsidRPr="002C4077">
        <w:t xml:space="preserve"> </w:t>
      </w:r>
      <w:r>
        <w:t>un</w:t>
      </w:r>
      <w:r w:rsidRPr="002C4077">
        <w:t xml:space="preserve"> </w:t>
      </w:r>
      <w:r>
        <w:t>travail</w:t>
      </w:r>
      <w:r w:rsidRPr="002C4077">
        <w:t xml:space="preserve"> </w:t>
      </w:r>
      <w:r>
        <w:t>divin</w:t>
      </w:r>
      <w:r w:rsidR="00B91AF7">
        <w:rPr>
          <w:rStyle w:val="Appelnotedebasdep"/>
        </w:rPr>
        <w:footnoteReference w:id="761"/>
      </w:r>
      <w:r w:rsidR="00B546AF">
        <w:t> »</w:t>
      </w:r>
      <w:r>
        <w:t>.</w:t>
      </w:r>
      <w:r w:rsidRPr="002C4077">
        <w:t xml:space="preserve"> </w:t>
      </w:r>
    </w:p>
    <w:p w:rsidR="000A7AAB" w:rsidRDefault="000A7AAB" w:rsidP="000A7AAB">
      <w:r>
        <w:t>D’autres</w:t>
      </w:r>
      <w:r w:rsidRPr="002C4077">
        <w:t xml:space="preserve"> </w:t>
      </w:r>
      <w:r>
        <w:t>maximes</w:t>
      </w:r>
      <w:r w:rsidRPr="002C4077">
        <w:t xml:space="preserve"> </w:t>
      </w:r>
      <w:r>
        <w:t>visent</w:t>
      </w:r>
      <w:r w:rsidRPr="002C4077">
        <w:t xml:space="preserve"> </w:t>
      </w:r>
      <w:r>
        <w:t>moins</w:t>
      </w:r>
      <w:r w:rsidRPr="002C4077">
        <w:t xml:space="preserve"> </w:t>
      </w:r>
      <w:r>
        <w:t>haut</w:t>
      </w:r>
      <w:r w:rsidR="00B546AF">
        <w:t> ;</w:t>
      </w:r>
      <w:r w:rsidRPr="002C4077">
        <w:t xml:space="preserve"> </w:t>
      </w:r>
      <w:r>
        <w:t>elles</w:t>
      </w:r>
      <w:r w:rsidRPr="002C4077">
        <w:t xml:space="preserve"> </w:t>
      </w:r>
      <w:r>
        <w:t>excitent</w:t>
      </w:r>
      <w:r w:rsidRPr="002C4077">
        <w:t xml:space="preserve"> </w:t>
      </w:r>
      <w:r>
        <w:t>au</w:t>
      </w:r>
      <w:r w:rsidRPr="002C4077">
        <w:t xml:space="preserve"> </w:t>
      </w:r>
      <w:r>
        <w:t>travail</w:t>
      </w:r>
      <w:r w:rsidRPr="002C4077">
        <w:t xml:space="preserve"> </w:t>
      </w:r>
      <w:r>
        <w:t>par</w:t>
      </w:r>
      <w:r w:rsidRPr="002C4077">
        <w:t xml:space="preserve"> </w:t>
      </w:r>
      <w:r>
        <w:t>des</w:t>
      </w:r>
      <w:r w:rsidRPr="002C4077">
        <w:t xml:space="preserve"> </w:t>
      </w:r>
      <w:r>
        <w:t>motifs</w:t>
      </w:r>
      <w:r w:rsidRPr="002C4077">
        <w:t xml:space="preserve"> </w:t>
      </w:r>
      <w:r>
        <w:t>moins</w:t>
      </w:r>
      <w:r w:rsidRPr="002C4077">
        <w:t xml:space="preserve"> </w:t>
      </w:r>
      <w:r>
        <w:t>surnaturels.</w:t>
      </w:r>
      <w:r w:rsidRPr="002C4077">
        <w:t xml:space="preserve"> </w:t>
      </w:r>
      <w:r w:rsidR="00B546AF">
        <w:t>« </w:t>
      </w:r>
      <w:r>
        <w:t>Fais</w:t>
      </w:r>
      <w:r w:rsidRPr="002C4077">
        <w:t xml:space="preserve"> </w:t>
      </w:r>
      <w:r>
        <w:t>du</w:t>
      </w:r>
      <w:r w:rsidRPr="002C4077">
        <w:t xml:space="preserve"> </w:t>
      </w:r>
      <w:r>
        <w:t>sabbat</w:t>
      </w:r>
      <w:r w:rsidRPr="002C4077">
        <w:t xml:space="preserve"> </w:t>
      </w:r>
      <w:r>
        <w:t>un</w:t>
      </w:r>
      <w:r w:rsidRPr="002C4077">
        <w:t xml:space="preserve"> </w:t>
      </w:r>
      <w:r>
        <w:t>jour</w:t>
      </w:r>
      <w:r w:rsidRPr="002C4077">
        <w:t xml:space="preserve"> </w:t>
      </w:r>
      <w:r>
        <w:t>ouvrable,</w:t>
      </w:r>
      <w:r w:rsidRPr="002C4077">
        <w:t xml:space="preserve"> </w:t>
      </w:r>
      <w:r>
        <w:t>dit</w:t>
      </w:r>
      <w:r w:rsidRPr="002C4077">
        <w:t xml:space="preserve"> </w:t>
      </w:r>
      <w:r>
        <w:t>un</w:t>
      </w:r>
      <w:r w:rsidRPr="002C4077">
        <w:t xml:space="preserve"> </w:t>
      </w:r>
      <w:r>
        <w:t>passage</w:t>
      </w:r>
      <w:r w:rsidRPr="002C4077">
        <w:t xml:space="preserve"> </w:t>
      </w:r>
      <w:r w:rsidR="006F72A8">
        <w:t>du</w:t>
      </w:r>
      <w:r w:rsidR="006F72A8" w:rsidRPr="002C4077">
        <w:t xml:space="preserve"> </w:t>
      </w:r>
      <w:r w:rsidR="006F72A8">
        <w:t>Talmud</w:t>
      </w:r>
      <w:r>
        <w:t>,</w:t>
      </w:r>
      <w:r w:rsidRPr="002C4077">
        <w:t xml:space="preserve"> </w:t>
      </w:r>
      <w:r>
        <w:t>et</w:t>
      </w:r>
      <w:r w:rsidRPr="002C4077">
        <w:t xml:space="preserve"> </w:t>
      </w:r>
      <w:r>
        <w:t>tâche</w:t>
      </w:r>
      <w:r w:rsidRPr="002C4077">
        <w:t xml:space="preserve"> </w:t>
      </w:r>
      <w:r>
        <w:t>de</w:t>
      </w:r>
      <w:r w:rsidRPr="002C4077">
        <w:t xml:space="preserve"> </w:t>
      </w:r>
      <w:r>
        <w:t>te</w:t>
      </w:r>
      <w:r w:rsidRPr="002C4077">
        <w:t xml:space="preserve"> </w:t>
      </w:r>
      <w:r>
        <w:t>passer</w:t>
      </w:r>
      <w:r w:rsidRPr="002C4077">
        <w:t xml:space="preserve"> </w:t>
      </w:r>
      <w:r>
        <w:t>des</w:t>
      </w:r>
      <w:r w:rsidRPr="002C4077">
        <w:t xml:space="preserve"> </w:t>
      </w:r>
      <w:r>
        <w:t>autres</w:t>
      </w:r>
      <w:r w:rsidR="00B91AF7">
        <w:rPr>
          <w:rStyle w:val="Appelnotedebasdep"/>
        </w:rPr>
        <w:footnoteReference w:id="762"/>
      </w:r>
      <w:r w:rsidR="00B546AF">
        <w:t> »</w:t>
      </w:r>
      <w:r>
        <w:t>.</w:t>
      </w:r>
      <w:r w:rsidRPr="002C4077">
        <w:t xml:space="preserve"> </w:t>
      </w:r>
      <w:r>
        <w:t>Nous</w:t>
      </w:r>
      <w:r w:rsidRPr="002C4077">
        <w:t xml:space="preserve"> </w:t>
      </w:r>
      <w:r>
        <w:t>lisons</w:t>
      </w:r>
      <w:r w:rsidRPr="002C4077">
        <w:t xml:space="preserve"> </w:t>
      </w:r>
      <w:r>
        <w:t>encore</w:t>
      </w:r>
      <w:r w:rsidRPr="002C4077">
        <w:t xml:space="preserve"> </w:t>
      </w:r>
      <w:r>
        <w:t>ailleurs</w:t>
      </w:r>
      <w:r w:rsidR="00B546AF">
        <w:t> :</w:t>
      </w:r>
      <w:r w:rsidRPr="002C4077">
        <w:t xml:space="preserve"> </w:t>
      </w:r>
      <w:r w:rsidR="00B546AF">
        <w:t>« </w:t>
      </w:r>
      <w:r>
        <w:t>Que</w:t>
      </w:r>
      <w:r w:rsidRPr="002C4077">
        <w:t xml:space="preserve"> </w:t>
      </w:r>
      <w:r>
        <w:t>l’homme</w:t>
      </w:r>
      <w:r w:rsidRPr="002C4077">
        <w:t xml:space="preserve"> </w:t>
      </w:r>
      <w:r>
        <w:t>accepte</w:t>
      </w:r>
      <w:r w:rsidRPr="002C4077">
        <w:t xml:space="preserve"> </w:t>
      </w:r>
      <w:r>
        <w:t>un</w:t>
      </w:r>
      <w:r w:rsidRPr="002C4077">
        <w:t xml:space="preserve"> </w:t>
      </w:r>
      <w:r>
        <w:t>ouvrage</w:t>
      </w:r>
      <w:r w:rsidRPr="002C4077">
        <w:t xml:space="preserve"> </w:t>
      </w:r>
      <w:r>
        <w:t>qui</w:t>
      </w:r>
      <w:r w:rsidRPr="002C4077">
        <w:t xml:space="preserve"> </w:t>
      </w:r>
      <w:r>
        <w:t>lui</w:t>
      </w:r>
      <w:r w:rsidRPr="002C4077">
        <w:t xml:space="preserve"> </w:t>
      </w:r>
      <w:r>
        <w:t>répugne,</w:t>
      </w:r>
      <w:r w:rsidRPr="002C4077">
        <w:t xml:space="preserve"> </w:t>
      </w:r>
      <w:r>
        <w:t>pourvu</w:t>
      </w:r>
      <w:r w:rsidRPr="002C4077">
        <w:t xml:space="preserve"> </w:t>
      </w:r>
      <w:r>
        <w:t>qu’il</w:t>
      </w:r>
      <w:r w:rsidRPr="002C4077">
        <w:t xml:space="preserve"> </w:t>
      </w:r>
      <w:r>
        <w:t>puisse</w:t>
      </w:r>
      <w:r w:rsidRPr="002C4077">
        <w:t xml:space="preserve"> </w:t>
      </w:r>
      <w:r>
        <w:t>se</w:t>
      </w:r>
      <w:r w:rsidRPr="002C4077">
        <w:t xml:space="preserve"> </w:t>
      </w:r>
      <w:r>
        <w:t>passer</w:t>
      </w:r>
      <w:r w:rsidRPr="002C4077">
        <w:t xml:space="preserve"> </w:t>
      </w:r>
      <w:r>
        <w:t>d’autrui</w:t>
      </w:r>
      <w:r w:rsidR="00B91AF7">
        <w:rPr>
          <w:rStyle w:val="Appelnotedebasdep"/>
        </w:rPr>
        <w:footnoteReference w:id="763"/>
      </w:r>
      <w:r w:rsidR="00B546AF">
        <w:t> »</w:t>
      </w:r>
      <w:r>
        <w:t>.</w:t>
      </w:r>
      <w:r w:rsidRPr="002C4077">
        <w:t xml:space="preserve"> </w:t>
      </w:r>
      <w:r>
        <w:t>Travaillons</w:t>
      </w:r>
      <w:r w:rsidRPr="002C4077">
        <w:t xml:space="preserve"> </w:t>
      </w:r>
      <w:r>
        <w:t>pour</w:t>
      </w:r>
      <w:r w:rsidRPr="002C4077">
        <w:t xml:space="preserve"> </w:t>
      </w:r>
      <w:r>
        <w:t>assurer</w:t>
      </w:r>
      <w:r w:rsidRPr="002C4077">
        <w:t xml:space="preserve"> </w:t>
      </w:r>
      <w:r>
        <w:t>notre</w:t>
      </w:r>
      <w:r w:rsidRPr="002C4077">
        <w:t xml:space="preserve"> </w:t>
      </w:r>
      <w:r>
        <w:t>indépendance</w:t>
      </w:r>
      <w:r w:rsidRPr="002C4077">
        <w:t xml:space="preserve"> </w:t>
      </w:r>
      <w:r>
        <w:t>et</w:t>
      </w:r>
      <w:r w:rsidRPr="002C4077">
        <w:t xml:space="preserve"> </w:t>
      </w:r>
      <w:r>
        <w:t>notre</w:t>
      </w:r>
      <w:r w:rsidRPr="002C4077">
        <w:t xml:space="preserve"> </w:t>
      </w:r>
      <w:r>
        <w:t>liberté.</w:t>
      </w:r>
      <w:r w:rsidRPr="002C4077">
        <w:t xml:space="preserve"> </w:t>
      </w:r>
      <w:r w:rsidR="003B53FD">
        <w:t>Celui</w:t>
      </w:r>
      <w:r w:rsidRPr="002C4077">
        <w:t xml:space="preserve"> </w:t>
      </w:r>
      <w:r>
        <w:t>qui</w:t>
      </w:r>
      <w:r w:rsidRPr="002C4077">
        <w:t xml:space="preserve"> </w:t>
      </w:r>
      <w:r>
        <w:t>travaille</w:t>
      </w:r>
      <w:r w:rsidRPr="002C4077">
        <w:t xml:space="preserve"> </w:t>
      </w:r>
      <w:r>
        <w:t>et</w:t>
      </w:r>
      <w:r w:rsidRPr="002C4077">
        <w:t xml:space="preserve"> </w:t>
      </w:r>
      <w:r>
        <w:t>qui</w:t>
      </w:r>
      <w:r w:rsidRPr="002C4077">
        <w:t xml:space="preserve"> </w:t>
      </w:r>
      <w:r>
        <w:t>gagne</w:t>
      </w:r>
      <w:r w:rsidRPr="002C4077">
        <w:t xml:space="preserve"> </w:t>
      </w:r>
      <w:r>
        <w:t>ainsi,</w:t>
      </w:r>
      <w:r w:rsidRPr="002C4077">
        <w:t xml:space="preserve"> </w:t>
      </w:r>
      <w:r>
        <w:t>quoique</w:t>
      </w:r>
      <w:r w:rsidRPr="002C4077">
        <w:t xml:space="preserve"> </w:t>
      </w:r>
      <w:r>
        <w:lastRenderedPageBreak/>
        <w:t>péniblement,</w:t>
      </w:r>
      <w:r w:rsidRPr="002C4077">
        <w:t xml:space="preserve"> </w:t>
      </w:r>
      <w:r>
        <w:t>le</w:t>
      </w:r>
      <w:r w:rsidRPr="002C4077">
        <w:t xml:space="preserve"> </w:t>
      </w:r>
      <w:r>
        <w:t>pain</w:t>
      </w:r>
      <w:r w:rsidRPr="002C4077">
        <w:t xml:space="preserve"> </w:t>
      </w:r>
      <w:r>
        <w:t>dont</w:t>
      </w:r>
      <w:r w:rsidRPr="002C4077">
        <w:t xml:space="preserve"> </w:t>
      </w:r>
      <w:r>
        <w:t>il</w:t>
      </w:r>
      <w:r w:rsidRPr="002C4077">
        <w:t xml:space="preserve"> </w:t>
      </w:r>
      <w:r>
        <w:t>se</w:t>
      </w:r>
      <w:r w:rsidRPr="002C4077">
        <w:t xml:space="preserve"> </w:t>
      </w:r>
      <w:r>
        <w:t>nourrit,</w:t>
      </w:r>
      <w:r w:rsidRPr="002C4077">
        <w:t xml:space="preserve"> </w:t>
      </w:r>
      <w:r>
        <w:t>n’est-il</w:t>
      </w:r>
      <w:r w:rsidRPr="002C4077">
        <w:t xml:space="preserve"> </w:t>
      </w:r>
      <w:r>
        <w:t>pas</w:t>
      </w:r>
      <w:r w:rsidRPr="002C4077">
        <w:t xml:space="preserve"> </w:t>
      </w:r>
      <w:r>
        <w:t>mille</w:t>
      </w:r>
      <w:r w:rsidRPr="002C4077">
        <w:t xml:space="preserve"> </w:t>
      </w:r>
      <w:r>
        <w:t>fois</w:t>
      </w:r>
      <w:r w:rsidRPr="002C4077">
        <w:t xml:space="preserve"> </w:t>
      </w:r>
      <w:r>
        <w:t>plus</w:t>
      </w:r>
      <w:r w:rsidRPr="002C4077">
        <w:t xml:space="preserve"> </w:t>
      </w:r>
      <w:r>
        <w:t>heureux</w:t>
      </w:r>
      <w:r w:rsidRPr="002C4077">
        <w:t xml:space="preserve"> </w:t>
      </w:r>
      <w:r>
        <w:t>que</w:t>
      </w:r>
      <w:r w:rsidRPr="002C4077">
        <w:t xml:space="preserve"> </w:t>
      </w:r>
      <w:r>
        <w:t>l’homme</w:t>
      </w:r>
      <w:r w:rsidRPr="002C4077">
        <w:t xml:space="preserve"> </w:t>
      </w:r>
      <w:r>
        <w:t>oisif</w:t>
      </w:r>
      <w:r w:rsidRPr="002C4077">
        <w:t xml:space="preserve"> </w:t>
      </w:r>
      <w:r>
        <w:t>et</w:t>
      </w:r>
      <w:r w:rsidRPr="002C4077">
        <w:t xml:space="preserve"> </w:t>
      </w:r>
      <w:r>
        <w:t>paresseux,</w:t>
      </w:r>
      <w:r w:rsidRPr="002C4077">
        <w:t xml:space="preserve"> </w:t>
      </w:r>
      <w:r>
        <w:t>qui</w:t>
      </w:r>
      <w:r w:rsidRPr="002C4077">
        <w:t xml:space="preserve"> </w:t>
      </w:r>
      <w:r w:rsidR="00425C50">
        <w:t>est</w:t>
      </w:r>
      <w:r w:rsidRPr="002C4077">
        <w:t xml:space="preserve"> </w:t>
      </w:r>
      <w:r>
        <w:t>à</w:t>
      </w:r>
      <w:r w:rsidRPr="002C4077">
        <w:t xml:space="preserve"> </w:t>
      </w:r>
      <w:r>
        <w:t>charge</w:t>
      </w:r>
      <w:r w:rsidRPr="002C4077">
        <w:t xml:space="preserve"> </w:t>
      </w:r>
      <w:r>
        <w:t>aux</w:t>
      </w:r>
      <w:r w:rsidRPr="002C4077">
        <w:t xml:space="preserve"> </w:t>
      </w:r>
      <w:r>
        <w:t>autres</w:t>
      </w:r>
      <w:r w:rsidRPr="002C4077">
        <w:t xml:space="preserve"> </w:t>
      </w:r>
      <w:r>
        <w:t>tout</w:t>
      </w:r>
      <w:r w:rsidRPr="002C4077">
        <w:t xml:space="preserve"> </w:t>
      </w:r>
      <w:r>
        <w:t>autant</w:t>
      </w:r>
      <w:r w:rsidRPr="002C4077">
        <w:t xml:space="preserve"> </w:t>
      </w:r>
      <w:r>
        <w:t>qu’à</w:t>
      </w:r>
      <w:r w:rsidRPr="002C4077">
        <w:t xml:space="preserve"> </w:t>
      </w:r>
      <w:r>
        <w:t>lui-même</w:t>
      </w:r>
      <w:r w:rsidR="00B546AF">
        <w:t> ?</w:t>
      </w:r>
      <w:r w:rsidRPr="002C4077">
        <w:t xml:space="preserve"> </w:t>
      </w:r>
      <w:r>
        <w:t>Voilà</w:t>
      </w:r>
      <w:r w:rsidRPr="002C4077">
        <w:t xml:space="preserve"> </w:t>
      </w:r>
      <w:r>
        <w:t>pourquoi</w:t>
      </w:r>
      <w:r w:rsidRPr="002C4077">
        <w:t xml:space="preserve"> </w:t>
      </w:r>
      <w:r>
        <w:t>S.</w:t>
      </w:r>
      <w:r w:rsidRPr="002C4077">
        <w:t xml:space="preserve"> </w:t>
      </w:r>
      <w:r>
        <w:t>Paul,</w:t>
      </w:r>
      <w:r w:rsidRPr="002C4077">
        <w:t xml:space="preserve"> </w:t>
      </w:r>
      <w:r>
        <w:t>bien</w:t>
      </w:r>
      <w:r w:rsidRPr="002C4077">
        <w:t xml:space="preserve"> </w:t>
      </w:r>
      <w:r>
        <w:t>qu’il</w:t>
      </w:r>
      <w:r w:rsidRPr="002C4077">
        <w:t xml:space="preserve"> </w:t>
      </w:r>
      <w:r>
        <w:t>eût</w:t>
      </w:r>
      <w:r w:rsidRPr="002C4077">
        <w:t xml:space="preserve"> </w:t>
      </w:r>
      <w:r>
        <w:t>le</w:t>
      </w:r>
      <w:r w:rsidRPr="002C4077">
        <w:t xml:space="preserve"> </w:t>
      </w:r>
      <w:r>
        <w:t>droit</w:t>
      </w:r>
      <w:r w:rsidRPr="002C4077">
        <w:t xml:space="preserve"> </w:t>
      </w:r>
      <w:r>
        <w:t>de</w:t>
      </w:r>
      <w:r w:rsidRPr="002C4077">
        <w:t xml:space="preserve"> </w:t>
      </w:r>
      <w:r>
        <w:t>vivre</w:t>
      </w:r>
      <w:r w:rsidRPr="002C4077">
        <w:t xml:space="preserve"> </w:t>
      </w:r>
      <w:r>
        <w:t>aux</w:t>
      </w:r>
      <w:r w:rsidRPr="002C4077">
        <w:t xml:space="preserve"> </w:t>
      </w:r>
      <w:r>
        <w:t>frais</w:t>
      </w:r>
      <w:r w:rsidRPr="002C4077">
        <w:t xml:space="preserve"> </w:t>
      </w:r>
      <w:r>
        <w:t>des</w:t>
      </w:r>
      <w:r w:rsidRPr="002C4077">
        <w:t xml:space="preserve"> </w:t>
      </w:r>
      <w:r>
        <w:t>peuples</w:t>
      </w:r>
      <w:r w:rsidRPr="002C4077">
        <w:t xml:space="preserve"> </w:t>
      </w:r>
      <w:r>
        <w:t>évangélisés</w:t>
      </w:r>
      <w:r w:rsidRPr="002C4077">
        <w:t xml:space="preserve"> </w:t>
      </w:r>
      <w:r>
        <w:t>par</w:t>
      </w:r>
      <w:r w:rsidRPr="002C4077">
        <w:t xml:space="preserve"> </w:t>
      </w:r>
      <w:r>
        <w:t>lui,</w:t>
      </w:r>
      <w:r w:rsidRPr="002C4077">
        <w:t xml:space="preserve"> </w:t>
      </w:r>
      <w:r>
        <w:t>préférait</w:t>
      </w:r>
      <w:r w:rsidRPr="002C4077">
        <w:t xml:space="preserve"> </w:t>
      </w:r>
      <w:r>
        <w:t>cependant</w:t>
      </w:r>
      <w:r w:rsidRPr="002C4077">
        <w:t xml:space="preserve"> </w:t>
      </w:r>
      <w:r>
        <w:t>vivre</w:t>
      </w:r>
      <w:r w:rsidRPr="002C4077">
        <w:t xml:space="preserve"> </w:t>
      </w:r>
      <w:r>
        <w:t>du</w:t>
      </w:r>
      <w:r w:rsidRPr="002C4077">
        <w:t xml:space="preserve"> </w:t>
      </w:r>
      <w:r>
        <w:t>travail</w:t>
      </w:r>
      <w:r w:rsidRPr="002C4077">
        <w:t xml:space="preserve"> </w:t>
      </w:r>
      <w:r>
        <w:t>de</w:t>
      </w:r>
      <w:r w:rsidRPr="002C4077">
        <w:t xml:space="preserve"> </w:t>
      </w:r>
      <w:r>
        <w:t>ses</w:t>
      </w:r>
      <w:r w:rsidRPr="002C4077">
        <w:t xml:space="preserve"> </w:t>
      </w:r>
      <w:r>
        <w:t>propres</w:t>
      </w:r>
      <w:r w:rsidRPr="002C4077">
        <w:t xml:space="preserve"> </w:t>
      </w:r>
      <w:r>
        <w:t>mains</w:t>
      </w:r>
      <w:r w:rsidR="00B91AF7">
        <w:rPr>
          <w:rStyle w:val="Appelnotedebasdep"/>
        </w:rPr>
        <w:footnoteReference w:id="764"/>
      </w:r>
      <w:r>
        <w:t>.</w:t>
      </w:r>
      <w:r w:rsidRPr="002C4077">
        <w:t xml:space="preserve"> </w:t>
      </w:r>
    </w:p>
    <w:p w:rsidR="000A7AAB" w:rsidRDefault="000A7AAB" w:rsidP="000A7AAB">
      <w:r>
        <w:t>Le</w:t>
      </w:r>
      <w:r w:rsidRPr="002C4077">
        <w:t xml:space="preserve"> </w:t>
      </w:r>
      <w:r>
        <w:t>travail</w:t>
      </w:r>
      <w:r w:rsidRPr="002C4077">
        <w:t xml:space="preserve"> </w:t>
      </w:r>
      <w:r>
        <w:t>et</w:t>
      </w:r>
      <w:r w:rsidRPr="002C4077">
        <w:t xml:space="preserve"> </w:t>
      </w:r>
      <w:r>
        <w:t>l’industrie</w:t>
      </w:r>
      <w:r w:rsidRPr="002C4077">
        <w:t xml:space="preserve"> </w:t>
      </w:r>
      <w:r>
        <w:t>étaient</w:t>
      </w:r>
      <w:r w:rsidRPr="002C4077">
        <w:t xml:space="preserve"> </w:t>
      </w:r>
      <w:r>
        <w:t>donc</w:t>
      </w:r>
      <w:r w:rsidRPr="002C4077">
        <w:t xml:space="preserve"> </w:t>
      </w:r>
      <w:r>
        <w:t>singulièrement</w:t>
      </w:r>
      <w:r w:rsidRPr="002C4077">
        <w:t xml:space="preserve"> </w:t>
      </w:r>
      <w:r>
        <w:t>en</w:t>
      </w:r>
      <w:r w:rsidRPr="002C4077">
        <w:t xml:space="preserve"> </w:t>
      </w:r>
      <w:r>
        <w:t>honneur</w:t>
      </w:r>
      <w:r w:rsidRPr="002C4077">
        <w:t xml:space="preserve"> </w:t>
      </w:r>
      <w:r>
        <w:t>chez</w:t>
      </w:r>
      <w:r w:rsidRPr="002C4077">
        <w:t xml:space="preserve"> </w:t>
      </w:r>
      <w:r>
        <w:t>les</w:t>
      </w:r>
      <w:r w:rsidRPr="002C4077">
        <w:t xml:space="preserve"> </w:t>
      </w:r>
      <w:r>
        <w:t>Juifs</w:t>
      </w:r>
      <w:r w:rsidRPr="002C4077">
        <w:t xml:space="preserve"> </w:t>
      </w:r>
      <w:r>
        <w:t>au</w:t>
      </w:r>
      <w:r w:rsidRPr="002C4077">
        <w:t xml:space="preserve"> </w:t>
      </w:r>
      <w:r>
        <w:t>temps</w:t>
      </w:r>
      <w:r w:rsidRPr="002C4077">
        <w:t xml:space="preserve"> </w:t>
      </w:r>
      <w:r>
        <w:t>dont</w:t>
      </w:r>
      <w:r w:rsidRPr="002C4077">
        <w:t xml:space="preserve"> </w:t>
      </w:r>
      <w:r>
        <w:t>nous</w:t>
      </w:r>
      <w:r w:rsidRPr="002C4077">
        <w:t xml:space="preserve"> </w:t>
      </w:r>
      <w:r>
        <w:t>parlons.</w:t>
      </w:r>
      <w:r w:rsidRPr="002C4077">
        <w:t xml:space="preserve"> </w:t>
      </w:r>
      <w:r>
        <w:t>Aussi,</w:t>
      </w:r>
      <w:r w:rsidRPr="002C4077">
        <w:t xml:space="preserve"> </w:t>
      </w:r>
      <w:r>
        <w:t>ceux</w:t>
      </w:r>
      <w:r w:rsidRPr="002C4077">
        <w:t xml:space="preserve"> </w:t>
      </w:r>
      <w:r>
        <w:t>qui</w:t>
      </w:r>
      <w:r w:rsidRPr="002C4077">
        <w:t xml:space="preserve"> </w:t>
      </w:r>
      <w:r>
        <w:t>pensaient</w:t>
      </w:r>
      <w:r w:rsidRPr="002C4077">
        <w:t xml:space="preserve"> </w:t>
      </w:r>
      <w:r>
        <w:t>autrement</w:t>
      </w:r>
      <w:r w:rsidRPr="002C4077">
        <w:t xml:space="preserve"> </w:t>
      </w:r>
      <w:r>
        <w:t>tombaient-ils</w:t>
      </w:r>
      <w:r w:rsidRPr="002C4077">
        <w:t xml:space="preserve"> </w:t>
      </w:r>
      <w:r>
        <w:t>sous</w:t>
      </w:r>
      <w:r w:rsidRPr="002C4077">
        <w:t xml:space="preserve"> </w:t>
      </w:r>
      <w:r>
        <w:t>l’anathème</w:t>
      </w:r>
      <w:r w:rsidRPr="002C4077">
        <w:t xml:space="preserve"> </w:t>
      </w:r>
      <w:r>
        <w:t>public.</w:t>
      </w:r>
      <w:r w:rsidRPr="002C4077">
        <w:t xml:space="preserve"> </w:t>
      </w:r>
      <w:r w:rsidR="00B546AF">
        <w:t>« </w:t>
      </w:r>
      <w:r>
        <w:t>Ne</w:t>
      </w:r>
      <w:r w:rsidRPr="002C4077">
        <w:t xml:space="preserve"> </w:t>
      </w:r>
      <w:r>
        <w:t>dites</w:t>
      </w:r>
      <w:r w:rsidRPr="002C4077">
        <w:t xml:space="preserve"> </w:t>
      </w:r>
      <w:r>
        <w:t>point</w:t>
      </w:r>
      <w:r w:rsidR="00B546AF">
        <w:t> :</w:t>
      </w:r>
      <w:r w:rsidRPr="002C4077">
        <w:t xml:space="preserve"> </w:t>
      </w:r>
      <w:r>
        <w:t>Je</w:t>
      </w:r>
      <w:r w:rsidRPr="002C4077">
        <w:t xml:space="preserve"> </w:t>
      </w:r>
      <w:r>
        <w:t>suis</w:t>
      </w:r>
      <w:r w:rsidRPr="002C4077">
        <w:t xml:space="preserve"> </w:t>
      </w:r>
      <w:r w:rsidR="00425C50">
        <w:t>prêtre</w:t>
      </w:r>
      <w:r>
        <w:t>,</w:t>
      </w:r>
      <w:r w:rsidRPr="002C4077">
        <w:t xml:space="preserve"> </w:t>
      </w:r>
      <w:r>
        <w:t>ou</w:t>
      </w:r>
      <w:r w:rsidR="00B546AF">
        <w:t> :</w:t>
      </w:r>
      <w:r w:rsidRPr="002C4077">
        <w:t xml:space="preserve"> </w:t>
      </w:r>
      <w:r>
        <w:t>Je</w:t>
      </w:r>
      <w:r w:rsidRPr="002C4077">
        <w:t xml:space="preserve"> </w:t>
      </w:r>
      <w:r>
        <w:t>suis</w:t>
      </w:r>
      <w:r w:rsidRPr="002C4077">
        <w:t xml:space="preserve"> </w:t>
      </w:r>
      <w:r>
        <w:t>un</w:t>
      </w:r>
      <w:r w:rsidRPr="002C4077">
        <w:t xml:space="preserve"> </w:t>
      </w:r>
      <w:r>
        <w:t>grand</w:t>
      </w:r>
      <w:r w:rsidRPr="002C4077">
        <w:t xml:space="preserve"> </w:t>
      </w:r>
      <w:r>
        <w:t>homme,</w:t>
      </w:r>
      <w:r w:rsidRPr="002C4077">
        <w:t xml:space="preserve"> </w:t>
      </w:r>
      <w:r>
        <w:t>et</w:t>
      </w:r>
      <w:r w:rsidRPr="002C4077">
        <w:t xml:space="preserve"> </w:t>
      </w:r>
      <w:r>
        <w:t>l’occupation</w:t>
      </w:r>
      <w:r w:rsidRPr="002C4077">
        <w:t xml:space="preserve"> </w:t>
      </w:r>
      <w:r>
        <w:t>m’est</w:t>
      </w:r>
      <w:r w:rsidRPr="002C4077">
        <w:t xml:space="preserve"> </w:t>
      </w:r>
      <w:r>
        <w:t>odieuse</w:t>
      </w:r>
      <w:r w:rsidR="00B91AF7">
        <w:rPr>
          <w:rStyle w:val="Appelnotedebasdep"/>
        </w:rPr>
        <w:footnoteReference w:id="765"/>
      </w:r>
      <w:r w:rsidR="00B546AF">
        <w:t> »</w:t>
      </w:r>
      <w:r>
        <w:t>.</w:t>
      </w:r>
      <w:r w:rsidR="00C45B47">
        <w:t xml:space="preserve"> {</w:t>
      </w:r>
      <w:r w:rsidR="001F5257">
        <w:t>244</w:t>
      </w:r>
      <w:bookmarkStart w:id="592" w:name="p244"/>
      <w:bookmarkEnd w:id="592"/>
      <w:r w:rsidR="001F5257">
        <w:t xml:space="preserve">} </w:t>
      </w:r>
      <w:r w:rsidR="00B546AF">
        <w:t>« </w:t>
      </w:r>
      <w:r>
        <w:t>N’enseigner</w:t>
      </w:r>
      <w:r w:rsidRPr="002C4077">
        <w:t xml:space="preserve"> </w:t>
      </w:r>
      <w:r>
        <w:t>aucun</w:t>
      </w:r>
      <w:r w:rsidRPr="002C4077">
        <w:t xml:space="preserve"> </w:t>
      </w:r>
      <w:r>
        <w:t>métier</w:t>
      </w:r>
      <w:r w:rsidRPr="002C4077">
        <w:t xml:space="preserve"> </w:t>
      </w:r>
      <w:r>
        <w:t>à</w:t>
      </w:r>
      <w:r w:rsidRPr="002C4077">
        <w:t xml:space="preserve"> </w:t>
      </w:r>
      <w:r>
        <w:t>son</w:t>
      </w:r>
      <w:r w:rsidRPr="002C4077">
        <w:t xml:space="preserve"> </w:t>
      </w:r>
      <w:r>
        <w:t>fils,</w:t>
      </w:r>
      <w:r w:rsidRPr="002C4077">
        <w:t xml:space="preserve"> </w:t>
      </w:r>
      <w:r>
        <w:t>c’est</w:t>
      </w:r>
      <w:r w:rsidRPr="002C4077">
        <w:t xml:space="preserve"> </w:t>
      </w:r>
      <w:r>
        <w:t>en</w:t>
      </w:r>
      <w:r w:rsidRPr="002C4077">
        <w:t xml:space="preserve"> </w:t>
      </w:r>
      <w:r>
        <w:t>faire</w:t>
      </w:r>
      <w:r w:rsidRPr="002C4077">
        <w:t xml:space="preserve"> </w:t>
      </w:r>
      <w:r>
        <w:t>un</w:t>
      </w:r>
      <w:r w:rsidRPr="002C4077">
        <w:t xml:space="preserve"> </w:t>
      </w:r>
      <w:r>
        <w:t>voleur</w:t>
      </w:r>
      <w:r w:rsidRPr="002C4077">
        <w:t xml:space="preserve"> </w:t>
      </w:r>
      <w:r>
        <w:t>de</w:t>
      </w:r>
      <w:r w:rsidRPr="002C4077">
        <w:t xml:space="preserve"> </w:t>
      </w:r>
      <w:r>
        <w:t>grand</w:t>
      </w:r>
      <w:r w:rsidRPr="002C4077">
        <w:t xml:space="preserve"> </w:t>
      </w:r>
      <w:r>
        <w:t>chemin</w:t>
      </w:r>
      <w:r w:rsidR="00B91AF7">
        <w:rPr>
          <w:rStyle w:val="Appelnotedebasdep"/>
        </w:rPr>
        <w:footnoteReference w:id="766"/>
      </w:r>
      <w:r w:rsidR="00B546AF">
        <w:t> »</w:t>
      </w:r>
      <w:r>
        <w:t>.</w:t>
      </w:r>
      <w:r w:rsidRPr="002C4077">
        <w:t xml:space="preserve"> </w:t>
      </w:r>
    </w:p>
    <w:p w:rsidR="000A7AAB" w:rsidRDefault="000A7AAB" w:rsidP="000A7AAB">
      <w:r>
        <w:t>Cet</w:t>
      </w:r>
      <w:bookmarkStart w:id="593" w:name="z_Commerce_o1"/>
      <w:bookmarkEnd w:id="593"/>
      <w:r w:rsidRPr="002C4077">
        <w:t xml:space="preserve"> </w:t>
      </w:r>
      <w:r>
        <w:t>amour</w:t>
      </w:r>
      <w:r w:rsidRPr="002C4077">
        <w:t xml:space="preserve"> </w:t>
      </w:r>
      <w:r>
        <w:t>pour</w:t>
      </w:r>
      <w:r w:rsidRPr="002C4077">
        <w:t xml:space="preserve"> </w:t>
      </w:r>
      <w:r>
        <w:t>le</w:t>
      </w:r>
      <w:r w:rsidRPr="002C4077">
        <w:t xml:space="preserve"> </w:t>
      </w:r>
      <w:r>
        <w:t>travail</w:t>
      </w:r>
      <w:r w:rsidRPr="002C4077">
        <w:t xml:space="preserve"> </w:t>
      </w:r>
      <w:r>
        <w:t>n’a</w:t>
      </w:r>
      <w:r w:rsidRPr="002C4077">
        <w:t xml:space="preserve"> </w:t>
      </w:r>
      <w:r>
        <w:t>cependant</w:t>
      </w:r>
      <w:r w:rsidRPr="002C4077">
        <w:t xml:space="preserve"> </w:t>
      </w:r>
      <w:r>
        <w:t>jamais</w:t>
      </w:r>
      <w:r w:rsidRPr="002C4077">
        <w:t xml:space="preserve"> </w:t>
      </w:r>
      <w:r>
        <w:t>empêché</w:t>
      </w:r>
      <w:r w:rsidRPr="002C4077">
        <w:t xml:space="preserve"> </w:t>
      </w:r>
      <w:r>
        <w:t>le</w:t>
      </w:r>
      <w:r w:rsidRPr="002C4077">
        <w:t xml:space="preserve"> </w:t>
      </w:r>
      <w:r>
        <w:t>peuple</w:t>
      </w:r>
      <w:r w:rsidRPr="002C4077">
        <w:t xml:space="preserve"> </w:t>
      </w:r>
      <w:r>
        <w:t>juif</w:t>
      </w:r>
      <w:r w:rsidRPr="002C4077">
        <w:t xml:space="preserve"> </w:t>
      </w:r>
      <w:r>
        <w:t>de</w:t>
      </w:r>
      <w:r w:rsidRPr="002C4077">
        <w:t xml:space="preserve"> </w:t>
      </w:r>
      <w:r>
        <w:t>manifester</w:t>
      </w:r>
      <w:r w:rsidRPr="002C4077">
        <w:t xml:space="preserve"> </w:t>
      </w:r>
      <w:r>
        <w:t>au</w:t>
      </w:r>
      <w:r w:rsidRPr="002C4077">
        <w:t xml:space="preserve"> </w:t>
      </w:r>
      <w:r>
        <w:t>grand</w:t>
      </w:r>
      <w:r w:rsidRPr="002C4077">
        <w:t xml:space="preserve"> </w:t>
      </w:r>
      <w:r>
        <w:t>jour</w:t>
      </w:r>
      <w:r w:rsidRPr="002C4077">
        <w:t xml:space="preserve"> </w:t>
      </w:r>
      <w:r>
        <w:t>les</w:t>
      </w:r>
      <w:r w:rsidRPr="002C4077">
        <w:t xml:space="preserve"> </w:t>
      </w:r>
      <w:r>
        <w:t>dispositions</w:t>
      </w:r>
      <w:r w:rsidRPr="002C4077">
        <w:t xml:space="preserve"> </w:t>
      </w:r>
      <w:r>
        <w:t>mercantiles</w:t>
      </w:r>
      <w:r w:rsidRPr="002C4077">
        <w:t xml:space="preserve"> </w:t>
      </w:r>
      <w:r>
        <w:t>qu’il</w:t>
      </w:r>
      <w:r w:rsidRPr="002C4077">
        <w:t xml:space="preserve"> </w:t>
      </w:r>
      <w:r>
        <w:t>a</w:t>
      </w:r>
      <w:r w:rsidRPr="002C4077">
        <w:t xml:space="preserve"> </w:t>
      </w:r>
      <w:r>
        <w:t>développées</w:t>
      </w:r>
      <w:r w:rsidRPr="002C4077">
        <w:t xml:space="preserve"> </w:t>
      </w:r>
      <w:r>
        <w:t>à</w:t>
      </w:r>
      <w:r w:rsidRPr="002C4077">
        <w:t xml:space="preserve"> </w:t>
      </w:r>
      <w:r>
        <w:t>un</w:t>
      </w:r>
      <w:r w:rsidRPr="002C4077">
        <w:t xml:space="preserve"> </w:t>
      </w:r>
      <w:r>
        <w:t>si</w:t>
      </w:r>
      <w:r w:rsidRPr="002C4077">
        <w:t xml:space="preserve"> </w:t>
      </w:r>
      <w:r>
        <w:t>haut</w:t>
      </w:r>
      <w:r w:rsidRPr="002C4077">
        <w:t xml:space="preserve"> </w:t>
      </w:r>
      <w:r>
        <w:t>degré</w:t>
      </w:r>
      <w:r w:rsidRPr="002C4077">
        <w:t xml:space="preserve"> </w:t>
      </w:r>
      <w:r>
        <w:t>dans</w:t>
      </w:r>
      <w:r w:rsidRPr="002C4077">
        <w:t xml:space="preserve"> </w:t>
      </w:r>
      <w:r>
        <w:t>le</w:t>
      </w:r>
      <w:r w:rsidRPr="002C4077">
        <w:t xml:space="preserve"> </w:t>
      </w:r>
      <w:r>
        <w:t>cours</w:t>
      </w:r>
      <w:r w:rsidRPr="002C4077">
        <w:t xml:space="preserve"> </w:t>
      </w:r>
      <w:r>
        <w:t>des</w:t>
      </w:r>
      <w:r w:rsidRPr="002C4077">
        <w:t xml:space="preserve"> </w:t>
      </w:r>
      <w:r>
        <w:t>siècles.</w:t>
      </w:r>
      <w:r w:rsidRPr="002C4077">
        <w:t xml:space="preserve"> </w:t>
      </w:r>
      <w:r>
        <w:t>M.</w:t>
      </w:r>
      <w:r w:rsidRPr="002C4077">
        <w:t xml:space="preserve"> </w:t>
      </w:r>
      <w:r>
        <w:t>Delitzsch</w:t>
      </w:r>
      <w:r w:rsidRPr="002C4077">
        <w:t xml:space="preserve"> </w:t>
      </w:r>
      <w:r>
        <w:t>s’appuie</w:t>
      </w:r>
      <w:r w:rsidRPr="002C4077">
        <w:t xml:space="preserve"> </w:t>
      </w:r>
      <w:r>
        <w:t>sur</w:t>
      </w:r>
      <w:r w:rsidRPr="002C4077">
        <w:t xml:space="preserve"> </w:t>
      </w:r>
      <w:r>
        <w:t>plusieurs</w:t>
      </w:r>
      <w:r w:rsidRPr="002C4077">
        <w:t xml:space="preserve"> </w:t>
      </w:r>
      <w:r>
        <w:t>textes</w:t>
      </w:r>
      <w:r w:rsidRPr="002C4077">
        <w:t xml:space="preserve"> </w:t>
      </w:r>
      <w:r>
        <w:t>du</w:t>
      </w:r>
      <w:r w:rsidRPr="002C4077">
        <w:t xml:space="preserve"> </w:t>
      </w:r>
      <w:r>
        <w:t>Talmud</w:t>
      </w:r>
      <w:r w:rsidRPr="002C4077">
        <w:t xml:space="preserve"> </w:t>
      </w:r>
      <w:r>
        <w:t>pour</w:t>
      </w:r>
      <w:r w:rsidRPr="002C4077">
        <w:t xml:space="preserve"> </w:t>
      </w:r>
      <w:r>
        <w:t>croire</w:t>
      </w:r>
      <w:r w:rsidRPr="002C4077">
        <w:t xml:space="preserve"> </w:t>
      </w:r>
      <w:r>
        <w:t>qu’au</w:t>
      </w:r>
      <w:r w:rsidRPr="002C4077">
        <w:t xml:space="preserve"> </w:t>
      </w:r>
      <w:r>
        <w:t>temps</w:t>
      </w:r>
      <w:r w:rsidRPr="002C4077">
        <w:t xml:space="preserve"> </w:t>
      </w:r>
      <w:r>
        <w:t>de</w:t>
      </w:r>
      <w:r w:rsidRPr="002C4077">
        <w:t xml:space="preserve"> </w:t>
      </w:r>
      <w:r>
        <w:t>Notre</w:t>
      </w:r>
      <w:r w:rsidRPr="002C4077">
        <w:t xml:space="preserve"> </w:t>
      </w:r>
      <w:r>
        <w:t>Seigneur</w:t>
      </w:r>
      <w:r w:rsidRPr="002C4077">
        <w:t xml:space="preserve"> </w:t>
      </w:r>
      <w:r>
        <w:t>le</w:t>
      </w:r>
      <w:r w:rsidRPr="002C4077">
        <w:t xml:space="preserve"> </w:t>
      </w:r>
      <w:r>
        <w:t>commerce</w:t>
      </w:r>
      <w:r w:rsidRPr="002C4077">
        <w:t xml:space="preserve"> </w:t>
      </w:r>
      <w:r>
        <w:t>était</w:t>
      </w:r>
      <w:r w:rsidRPr="002C4077">
        <w:t xml:space="preserve"> </w:t>
      </w:r>
      <w:r>
        <w:t>méprisé</w:t>
      </w:r>
      <w:r w:rsidRPr="002C4077">
        <w:t xml:space="preserve"> </w:t>
      </w:r>
      <w:r>
        <w:t>des</w:t>
      </w:r>
      <w:r w:rsidRPr="002C4077">
        <w:t xml:space="preserve"> </w:t>
      </w:r>
      <w:r>
        <w:t>habitants</w:t>
      </w:r>
      <w:r w:rsidRPr="002C4077">
        <w:t xml:space="preserve"> </w:t>
      </w:r>
      <w:r>
        <w:t>de</w:t>
      </w:r>
      <w:r w:rsidRPr="002C4077">
        <w:t xml:space="preserve"> </w:t>
      </w:r>
      <w:r>
        <w:t>la</w:t>
      </w:r>
      <w:r w:rsidRPr="002C4077">
        <w:t xml:space="preserve"> </w:t>
      </w:r>
      <w:r>
        <w:t>Palestine.</w:t>
      </w:r>
      <w:r w:rsidRPr="002C4077">
        <w:t xml:space="preserve"> </w:t>
      </w:r>
      <w:r w:rsidR="00B546AF">
        <w:t>« </w:t>
      </w:r>
      <w:r>
        <w:t>Dans</w:t>
      </w:r>
      <w:r w:rsidRPr="002C4077">
        <w:t xml:space="preserve"> </w:t>
      </w:r>
      <w:r>
        <w:t>les</w:t>
      </w:r>
      <w:r w:rsidRPr="002C4077">
        <w:t xml:space="preserve"> </w:t>
      </w:r>
      <w:r>
        <w:t>soixante-trois</w:t>
      </w:r>
      <w:r w:rsidRPr="002C4077">
        <w:t xml:space="preserve"> </w:t>
      </w:r>
      <w:r>
        <w:t>écrits</w:t>
      </w:r>
      <w:r w:rsidRPr="002C4077">
        <w:t xml:space="preserve"> </w:t>
      </w:r>
      <w:r>
        <w:t>dont</w:t>
      </w:r>
      <w:r w:rsidRPr="002C4077">
        <w:t xml:space="preserve"> </w:t>
      </w:r>
      <w:r>
        <w:t>se</w:t>
      </w:r>
      <w:r w:rsidRPr="002C4077">
        <w:t xml:space="preserve"> </w:t>
      </w:r>
      <w:r>
        <w:t>compose</w:t>
      </w:r>
      <w:r w:rsidRPr="002C4077">
        <w:t xml:space="preserve"> </w:t>
      </w:r>
      <w:r>
        <w:t>le</w:t>
      </w:r>
      <w:r w:rsidRPr="002C4077">
        <w:t xml:space="preserve"> </w:t>
      </w:r>
      <w:r>
        <w:t>Talmud,</w:t>
      </w:r>
      <w:r w:rsidRPr="002C4077">
        <w:t xml:space="preserve"> </w:t>
      </w:r>
      <w:r>
        <w:t>nous</w:t>
      </w:r>
      <w:r w:rsidRPr="002C4077">
        <w:t xml:space="preserve"> </w:t>
      </w:r>
      <w:r>
        <w:t>dit-il</w:t>
      </w:r>
      <w:r w:rsidR="00B91AF7">
        <w:rPr>
          <w:rStyle w:val="Appelnotedebasdep"/>
        </w:rPr>
        <w:footnoteReference w:id="767"/>
      </w:r>
      <w:r>
        <w:t>,</w:t>
      </w:r>
      <w:r w:rsidRPr="002C4077">
        <w:t xml:space="preserve"> </w:t>
      </w:r>
      <w:r>
        <w:t>on</w:t>
      </w:r>
      <w:r w:rsidRPr="002C4077">
        <w:t xml:space="preserve"> </w:t>
      </w:r>
      <w:r>
        <w:t>trouve</w:t>
      </w:r>
      <w:r w:rsidRPr="002C4077">
        <w:t xml:space="preserve"> </w:t>
      </w:r>
      <w:r>
        <w:t>à</w:t>
      </w:r>
      <w:r w:rsidRPr="002C4077">
        <w:t xml:space="preserve"> </w:t>
      </w:r>
      <w:r>
        <w:t>peine</w:t>
      </w:r>
      <w:r w:rsidRPr="002C4077">
        <w:t xml:space="preserve"> </w:t>
      </w:r>
      <w:r>
        <w:t>un</w:t>
      </w:r>
      <w:r w:rsidRPr="002C4077">
        <w:t xml:space="preserve"> </w:t>
      </w:r>
      <w:r>
        <w:t>mot</w:t>
      </w:r>
      <w:r w:rsidRPr="002C4077">
        <w:t xml:space="preserve"> </w:t>
      </w:r>
      <w:r>
        <w:t>en</w:t>
      </w:r>
      <w:r w:rsidRPr="002C4077">
        <w:t xml:space="preserve"> </w:t>
      </w:r>
      <w:r>
        <w:t>faveur</w:t>
      </w:r>
      <w:r w:rsidRPr="002C4077">
        <w:t xml:space="preserve"> </w:t>
      </w:r>
      <w:r>
        <w:t>du</w:t>
      </w:r>
      <w:r w:rsidRPr="002C4077">
        <w:t xml:space="preserve"> </w:t>
      </w:r>
      <w:r>
        <w:t>commerce</w:t>
      </w:r>
      <w:r w:rsidR="00B546AF">
        <w:t> ;</w:t>
      </w:r>
      <w:r w:rsidRPr="002C4077">
        <w:t xml:space="preserve"> </w:t>
      </w:r>
      <w:r>
        <w:t>on</w:t>
      </w:r>
      <w:r w:rsidRPr="002C4077">
        <w:t xml:space="preserve"> </w:t>
      </w:r>
      <w:r>
        <w:t>en</w:t>
      </w:r>
      <w:r w:rsidRPr="002C4077">
        <w:t xml:space="preserve"> </w:t>
      </w:r>
      <w:r>
        <w:t>rencontre</w:t>
      </w:r>
      <w:r w:rsidRPr="002C4077">
        <w:t xml:space="preserve"> </w:t>
      </w:r>
      <w:r>
        <w:t>au</w:t>
      </w:r>
      <w:r w:rsidRPr="002C4077">
        <w:t xml:space="preserve"> </w:t>
      </w:r>
      <w:r>
        <w:t>contraire</w:t>
      </w:r>
      <w:r w:rsidRPr="002C4077">
        <w:t xml:space="preserve"> </w:t>
      </w:r>
      <w:r>
        <w:t>un</w:t>
      </w:r>
      <w:r w:rsidRPr="002C4077">
        <w:t xml:space="preserve"> </w:t>
      </w:r>
      <w:r>
        <w:t>grand</w:t>
      </w:r>
      <w:r w:rsidRPr="002C4077">
        <w:t xml:space="preserve"> </w:t>
      </w:r>
      <w:r>
        <w:t>nombre</w:t>
      </w:r>
      <w:r w:rsidRPr="002C4077">
        <w:t xml:space="preserve"> </w:t>
      </w:r>
      <w:r>
        <w:t>qui</w:t>
      </w:r>
      <w:r w:rsidRPr="002C4077">
        <w:t xml:space="preserve"> </w:t>
      </w:r>
      <w:r>
        <w:t>attirent</w:t>
      </w:r>
      <w:r w:rsidRPr="002C4077">
        <w:t xml:space="preserve"> </w:t>
      </w:r>
      <w:r>
        <w:t>l’attention</w:t>
      </w:r>
      <w:r w:rsidRPr="002C4077">
        <w:t xml:space="preserve"> </w:t>
      </w:r>
      <w:r>
        <w:t>sur</w:t>
      </w:r>
      <w:r w:rsidRPr="002C4077">
        <w:t xml:space="preserve"> </w:t>
      </w:r>
      <w:r>
        <w:t>les</w:t>
      </w:r>
      <w:r w:rsidRPr="002C4077">
        <w:t xml:space="preserve"> </w:t>
      </w:r>
      <w:r>
        <w:t>dangers</w:t>
      </w:r>
      <w:r w:rsidRPr="002C4077">
        <w:t xml:space="preserve"> </w:t>
      </w:r>
      <w:r>
        <w:t>de</w:t>
      </w:r>
      <w:r w:rsidRPr="002C4077">
        <w:t xml:space="preserve"> </w:t>
      </w:r>
      <w:r>
        <w:t>la</w:t>
      </w:r>
      <w:r w:rsidRPr="002C4077">
        <w:t xml:space="preserve"> </w:t>
      </w:r>
      <w:r>
        <w:t>spéculation</w:t>
      </w:r>
      <w:r w:rsidRPr="002C4077">
        <w:t xml:space="preserve"> </w:t>
      </w:r>
      <w:r>
        <w:t>et</w:t>
      </w:r>
      <w:r w:rsidRPr="002C4077">
        <w:t xml:space="preserve"> </w:t>
      </w:r>
      <w:r>
        <w:t>de</w:t>
      </w:r>
      <w:r w:rsidRPr="002C4077">
        <w:t xml:space="preserve"> </w:t>
      </w:r>
      <w:r>
        <w:t>la</w:t>
      </w:r>
      <w:r w:rsidRPr="002C4077">
        <w:t xml:space="preserve"> </w:t>
      </w:r>
      <w:r>
        <w:t>vie</w:t>
      </w:r>
      <w:r w:rsidRPr="002C4077">
        <w:t xml:space="preserve"> </w:t>
      </w:r>
      <w:r>
        <w:t>errante</w:t>
      </w:r>
      <w:r w:rsidR="00B546AF">
        <w:t> »</w:t>
      </w:r>
      <w:r>
        <w:t>.</w:t>
      </w:r>
      <w:r w:rsidRPr="002C4077">
        <w:t xml:space="preserve"> </w:t>
      </w:r>
      <w:r>
        <w:t>Il</w:t>
      </w:r>
      <w:r w:rsidRPr="002C4077">
        <w:t xml:space="preserve"> </w:t>
      </w:r>
      <w:r>
        <w:t>cite</w:t>
      </w:r>
      <w:r w:rsidRPr="002C4077">
        <w:t xml:space="preserve"> </w:t>
      </w:r>
      <w:r>
        <w:t>ensuite</w:t>
      </w:r>
      <w:r w:rsidRPr="002C4077">
        <w:t xml:space="preserve"> </w:t>
      </w:r>
      <w:r>
        <w:t>ce</w:t>
      </w:r>
      <w:r w:rsidRPr="002C4077">
        <w:t xml:space="preserve"> </w:t>
      </w:r>
      <w:r>
        <w:t>passage</w:t>
      </w:r>
      <w:r w:rsidRPr="002C4077">
        <w:t xml:space="preserve"> </w:t>
      </w:r>
      <w:r>
        <w:t>de</w:t>
      </w:r>
      <w:r w:rsidRPr="002C4077">
        <w:t xml:space="preserve"> </w:t>
      </w:r>
      <w:r>
        <w:t>R.</w:t>
      </w:r>
      <w:r w:rsidRPr="002C4077">
        <w:t xml:space="preserve"> </w:t>
      </w:r>
      <w:r>
        <w:t>Jochanan</w:t>
      </w:r>
      <w:r w:rsidR="00B546AF">
        <w:t> :</w:t>
      </w:r>
      <w:r w:rsidRPr="002C4077">
        <w:t xml:space="preserve"> </w:t>
      </w:r>
      <w:r w:rsidR="00B546AF">
        <w:t>« </w:t>
      </w:r>
      <w:r>
        <w:t>La</w:t>
      </w:r>
      <w:r w:rsidRPr="002C4077">
        <w:t xml:space="preserve"> </w:t>
      </w:r>
      <w:r>
        <w:t>sagesse</w:t>
      </w:r>
      <w:r w:rsidRPr="002C4077">
        <w:t xml:space="preserve"> </w:t>
      </w:r>
      <w:r>
        <w:t>n’es</w:t>
      </w:r>
      <w:r w:rsidRPr="002C4077">
        <w:t xml:space="preserve"> </w:t>
      </w:r>
      <w:r>
        <w:t>point</w:t>
      </w:r>
      <w:r w:rsidRPr="002C4077">
        <w:t xml:space="preserve"> </w:t>
      </w:r>
      <w:r>
        <w:t>dans</w:t>
      </w:r>
      <w:r w:rsidRPr="002C4077">
        <w:t xml:space="preserve"> </w:t>
      </w:r>
      <w:r>
        <w:t>le</w:t>
      </w:r>
      <w:r w:rsidRPr="002C4077">
        <w:t xml:space="preserve"> </w:t>
      </w:r>
      <w:r>
        <w:t>ciel,</w:t>
      </w:r>
      <w:r w:rsidRPr="002C4077">
        <w:t xml:space="preserve"> </w:t>
      </w:r>
      <w:r>
        <w:t>c’est-à-dire</w:t>
      </w:r>
      <w:r w:rsidRPr="002C4077">
        <w:t xml:space="preserve"> </w:t>
      </w:r>
      <w:r>
        <w:t>qu’on</w:t>
      </w:r>
      <w:r w:rsidRPr="002C4077">
        <w:t xml:space="preserve"> </w:t>
      </w:r>
      <w:r>
        <w:t>ne</w:t>
      </w:r>
      <w:r w:rsidRPr="002C4077">
        <w:t xml:space="preserve"> </w:t>
      </w:r>
      <w:r>
        <w:t>la</w:t>
      </w:r>
      <w:r w:rsidRPr="002C4077">
        <w:t xml:space="preserve"> </w:t>
      </w:r>
      <w:r>
        <w:t>trouve</w:t>
      </w:r>
      <w:r w:rsidRPr="002C4077">
        <w:t xml:space="preserve"> </w:t>
      </w:r>
      <w:r>
        <w:t>pas</w:t>
      </w:r>
      <w:r w:rsidRPr="002C4077">
        <w:t xml:space="preserve"> </w:t>
      </w:r>
      <w:r>
        <w:t>chez</w:t>
      </w:r>
      <w:r w:rsidRPr="002C4077">
        <w:t xml:space="preserve"> </w:t>
      </w:r>
      <w:r>
        <w:t>les</w:t>
      </w:r>
      <w:r w:rsidRPr="002C4077">
        <w:t xml:space="preserve"> </w:t>
      </w:r>
      <w:r>
        <w:t>arrogants</w:t>
      </w:r>
      <w:r w:rsidR="00B546AF">
        <w:t> ;</w:t>
      </w:r>
      <w:r w:rsidRPr="002C4077">
        <w:t xml:space="preserve"> </w:t>
      </w:r>
      <w:r>
        <w:t>elle</w:t>
      </w:r>
      <w:r w:rsidRPr="002C4077">
        <w:t xml:space="preserve"> </w:t>
      </w:r>
      <w:r>
        <w:t>n’est</w:t>
      </w:r>
      <w:r w:rsidRPr="002C4077">
        <w:t xml:space="preserve"> </w:t>
      </w:r>
      <w:r>
        <w:t>point</w:t>
      </w:r>
      <w:r w:rsidRPr="002C4077">
        <w:t xml:space="preserve"> </w:t>
      </w:r>
      <w:r>
        <w:t>de</w:t>
      </w:r>
      <w:r w:rsidRPr="002C4077">
        <w:t xml:space="preserve"> </w:t>
      </w:r>
      <w:r>
        <w:t>l’autre</w:t>
      </w:r>
      <w:r w:rsidRPr="002C4077">
        <w:t xml:space="preserve"> </w:t>
      </w:r>
      <w:r>
        <w:t>côté</w:t>
      </w:r>
      <w:r w:rsidRPr="002C4077">
        <w:t xml:space="preserve"> </w:t>
      </w:r>
      <w:r>
        <w:t>de</w:t>
      </w:r>
      <w:r w:rsidRPr="002C4077">
        <w:t xml:space="preserve"> </w:t>
      </w:r>
      <w:r>
        <w:t>la</w:t>
      </w:r>
      <w:r w:rsidRPr="002C4077">
        <w:t xml:space="preserve"> </w:t>
      </w:r>
      <w:r>
        <w:t>mer,</w:t>
      </w:r>
      <w:r w:rsidRPr="002C4077">
        <w:t xml:space="preserve"> </w:t>
      </w:r>
      <w:r>
        <w:t>c’est-à-dire</w:t>
      </w:r>
      <w:r w:rsidRPr="002C4077">
        <w:t xml:space="preserve"> </w:t>
      </w:r>
      <w:r>
        <w:t>que</w:t>
      </w:r>
      <w:r w:rsidRPr="002C4077">
        <w:t xml:space="preserve"> </w:t>
      </w:r>
      <w:r>
        <w:t>vous</w:t>
      </w:r>
      <w:r w:rsidRPr="002C4077">
        <w:t xml:space="preserve"> </w:t>
      </w:r>
      <w:r>
        <w:t>ne</w:t>
      </w:r>
      <w:r w:rsidRPr="002C4077">
        <w:t xml:space="preserve"> </w:t>
      </w:r>
      <w:r>
        <w:t>la</w:t>
      </w:r>
      <w:r w:rsidRPr="002C4077">
        <w:t xml:space="preserve"> </w:t>
      </w:r>
      <w:r>
        <w:t>trouvez</w:t>
      </w:r>
      <w:r w:rsidRPr="002C4077">
        <w:t xml:space="preserve"> </w:t>
      </w:r>
      <w:r>
        <w:t>point</w:t>
      </w:r>
      <w:r w:rsidRPr="002C4077">
        <w:t xml:space="preserve"> </w:t>
      </w:r>
      <w:r>
        <w:t>chez</w:t>
      </w:r>
      <w:r w:rsidRPr="002C4077">
        <w:t xml:space="preserve"> </w:t>
      </w:r>
      <w:r>
        <w:t>les</w:t>
      </w:r>
      <w:r w:rsidRPr="002C4077">
        <w:t xml:space="preserve"> </w:t>
      </w:r>
      <w:r>
        <w:t>gens</w:t>
      </w:r>
      <w:r w:rsidRPr="002C4077">
        <w:t xml:space="preserve"> </w:t>
      </w:r>
      <w:r>
        <w:t>de</w:t>
      </w:r>
      <w:r w:rsidRPr="002C4077">
        <w:t xml:space="preserve"> </w:t>
      </w:r>
      <w:r>
        <w:t>négoce</w:t>
      </w:r>
      <w:r w:rsidRPr="002C4077">
        <w:t xml:space="preserve"> </w:t>
      </w:r>
      <w:r>
        <w:t>et</w:t>
      </w:r>
      <w:r w:rsidRPr="002C4077">
        <w:t xml:space="preserve"> </w:t>
      </w:r>
      <w:r>
        <w:t>les</w:t>
      </w:r>
      <w:r w:rsidRPr="002C4077">
        <w:t xml:space="preserve"> </w:t>
      </w:r>
      <w:r>
        <w:t>marchands</w:t>
      </w:r>
      <w:r w:rsidRPr="002C4077">
        <w:t xml:space="preserve"> </w:t>
      </w:r>
      <w:r>
        <w:t>qui</w:t>
      </w:r>
      <w:r w:rsidRPr="002C4077">
        <w:t xml:space="preserve"> </w:t>
      </w:r>
      <w:r>
        <w:t>voyagent</w:t>
      </w:r>
      <w:r w:rsidR="00B91AF7">
        <w:rPr>
          <w:rStyle w:val="Appelnotedebasdep"/>
        </w:rPr>
        <w:footnoteReference w:id="768"/>
      </w:r>
      <w:r w:rsidR="00B546AF">
        <w:t> »</w:t>
      </w:r>
      <w:r>
        <w:t>.</w:t>
      </w:r>
      <w:r w:rsidRPr="002C4077">
        <w:t xml:space="preserve"> </w:t>
      </w:r>
      <w:r>
        <w:t>Plus</w:t>
      </w:r>
      <w:r w:rsidRPr="002C4077">
        <w:t xml:space="preserve"> </w:t>
      </w:r>
      <w:r>
        <w:t>loin</w:t>
      </w:r>
      <w:r w:rsidRPr="002C4077">
        <w:t xml:space="preserve"> </w:t>
      </w:r>
      <w:r>
        <w:t>il</w:t>
      </w:r>
      <w:r w:rsidRPr="002C4077">
        <w:t xml:space="preserve"> </w:t>
      </w:r>
      <w:r>
        <w:t>ajoute,</w:t>
      </w:r>
      <w:r w:rsidRPr="002C4077">
        <w:t xml:space="preserve"> </w:t>
      </w:r>
      <w:r>
        <w:t>pour</w:t>
      </w:r>
      <w:r w:rsidRPr="002C4077">
        <w:t xml:space="preserve"> </w:t>
      </w:r>
      <w:r>
        <w:t>montrer</w:t>
      </w:r>
      <w:r w:rsidRPr="002C4077">
        <w:t xml:space="preserve"> </w:t>
      </w:r>
      <w:r>
        <w:t>que</w:t>
      </w:r>
      <w:r w:rsidRPr="002C4077">
        <w:t xml:space="preserve"> </w:t>
      </w:r>
      <w:r>
        <w:t>l’usure</w:t>
      </w:r>
      <w:bookmarkStart w:id="594" w:name="z_JuifsUsure_o1"/>
      <w:bookmarkEnd w:id="594"/>
      <w:r w:rsidRPr="002C4077">
        <w:t xml:space="preserve"> </w:t>
      </w:r>
      <w:r>
        <w:t>permise</w:t>
      </w:r>
      <w:r w:rsidRPr="002C4077">
        <w:t xml:space="preserve"> </w:t>
      </w:r>
      <w:r>
        <w:t>par</w:t>
      </w:r>
      <w:r w:rsidRPr="002C4077">
        <w:t xml:space="preserve"> </w:t>
      </w:r>
      <w:r>
        <w:t>la</w:t>
      </w:r>
      <w:r w:rsidRPr="002C4077">
        <w:t xml:space="preserve"> </w:t>
      </w:r>
      <w:r>
        <w:t>loi</w:t>
      </w:r>
      <w:r w:rsidRPr="002C4077">
        <w:t xml:space="preserve"> </w:t>
      </w:r>
      <w:r>
        <w:t>de</w:t>
      </w:r>
      <w:r w:rsidRPr="002C4077">
        <w:t xml:space="preserve"> </w:t>
      </w:r>
      <w:r>
        <w:t>Moïse</w:t>
      </w:r>
      <w:r w:rsidR="00B91AF7">
        <w:rPr>
          <w:rStyle w:val="Appelnotedebasdep"/>
        </w:rPr>
        <w:footnoteReference w:id="769"/>
      </w:r>
      <w:r w:rsidRPr="002C4077">
        <w:t xml:space="preserve"> </w:t>
      </w:r>
      <w:r>
        <w:t>n’était</w:t>
      </w:r>
      <w:r w:rsidRPr="002C4077">
        <w:t xml:space="preserve"> </w:t>
      </w:r>
      <w:r>
        <w:t>pas</w:t>
      </w:r>
      <w:r w:rsidRPr="002C4077">
        <w:t xml:space="preserve"> </w:t>
      </w:r>
      <w:r>
        <w:t>dans</w:t>
      </w:r>
      <w:r w:rsidRPr="002C4077">
        <w:t xml:space="preserve"> </w:t>
      </w:r>
      <w:r>
        <w:t>l’esprit</w:t>
      </w:r>
      <w:r w:rsidRPr="002C4077">
        <w:t xml:space="preserve"> </w:t>
      </w:r>
      <w:r>
        <w:t>du</w:t>
      </w:r>
      <w:r w:rsidRPr="002C4077">
        <w:t xml:space="preserve"> </w:t>
      </w:r>
      <w:r>
        <w:t>judaïsme</w:t>
      </w:r>
      <w:r w:rsidR="00B546AF">
        <w:t> :</w:t>
      </w:r>
      <w:r w:rsidRPr="002C4077">
        <w:t xml:space="preserve"> </w:t>
      </w:r>
      <w:r w:rsidR="00B546AF">
        <w:t>« </w:t>
      </w:r>
      <w:r>
        <w:t>Le</w:t>
      </w:r>
      <w:r w:rsidRPr="002C4077">
        <w:t xml:space="preserve"> </w:t>
      </w:r>
      <w:r>
        <w:t>Talmud</w:t>
      </w:r>
      <w:r w:rsidRPr="002C4077">
        <w:t xml:space="preserve"> </w:t>
      </w:r>
      <w:r>
        <w:t>place</w:t>
      </w:r>
      <w:r w:rsidRPr="002C4077">
        <w:t xml:space="preserve"> </w:t>
      </w:r>
      <w:r>
        <w:t>sur</w:t>
      </w:r>
      <w:r w:rsidRPr="002C4077">
        <w:t xml:space="preserve"> </w:t>
      </w:r>
      <w:r>
        <w:t>une</w:t>
      </w:r>
      <w:r w:rsidRPr="002C4077">
        <w:t xml:space="preserve"> </w:t>
      </w:r>
      <w:r>
        <w:t>même</w:t>
      </w:r>
      <w:r w:rsidRPr="002C4077">
        <w:t xml:space="preserve"> </w:t>
      </w:r>
      <w:r>
        <w:t>ligne</w:t>
      </w:r>
      <w:r w:rsidRPr="002C4077">
        <w:t xml:space="preserve"> </w:t>
      </w:r>
      <w:r>
        <w:t>l’usurier</w:t>
      </w:r>
      <w:r w:rsidRPr="002C4077">
        <w:t xml:space="preserve"> </w:t>
      </w:r>
      <w:r>
        <w:t>et</w:t>
      </w:r>
      <w:r w:rsidRPr="002C4077">
        <w:t xml:space="preserve"> </w:t>
      </w:r>
      <w:r w:rsidR="003B53FD">
        <w:t>celui</w:t>
      </w:r>
      <w:r w:rsidRPr="002C4077">
        <w:t xml:space="preserve"> </w:t>
      </w:r>
      <w:r>
        <w:t>qui</w:t>
      </w:r>
      <w:r w:rsidRPr="002C4077">
        <w:t xml:space="preserve"> </w:t>
      </w:r>
      <w:r>
        <w:t>se</w:t>
      </w:r>
      <w:r w:rsidRPr="002C4077">
        <w:t xml:space="preserve"> </w:t>
      </w:r>
      <w:r>
        <w:t>livre</w:t>
      </w:r>
      <w:r w:rsidRPr="002C4077">
        <w:t xml:space="preserve"> </w:t>
      </w:r>
      <w:r>
        <w:t>aux</w:t>
      </w:r>
      <w:r w:rsidRPr="002C4077">
        <w:t xml:space="preserve"> </w:t>
      </w:r>
      <w:r>
        <w:t>jeux</w:t>
      </w:r>
      <w:r w:rsidRPr="002C4077">
        <w:t xml:space="preserve"> </w:t>
      </w:r>
      <w:r>
        <w:t>de</w:t>
      </w:r>
      <w:r w:rsidRPr="002C4077">
        <w:t xml:space="preserve"> </w:t>
      </w:r>
      <w:r>
        <w:t>hasard,</w:t>
      </w:r>
      <w:r w:rsidRPr="002C4077">
        <w:t xml:space="preserve"> </w:t>
      </w:r>
      <w:r>
        <w:t>et</w:t>
      </w:r>
      <w:r w:rsidRPr="002C4077">
        <w:t xml:space="preserve"> </w:t>
      </w:r>
      <w:r>
        <w:t>il</w:t>
      </w:r>
      <w:r w:rsidRPr="002C4077">
        <w:t xml:space="preserve"> </w:t>
      </w:r>
      <w:r>
        <w:t>les</w:t>
      </w:r>
      <w:r w:rsidRPr="002C4077">
        <w:t xml:space="preserve"> </w:t>
      </w:r>
      <w:r>
        <w:t>regarde</w:t>
      </w:r>
      <w:r w:rsidRPr="002C4077">
        <w:t xml:space="preserve"> </w:t>
      </w:r>
      <w:r>
        <w:t>l’un</w:t>
      </w:r>
      <w:r w:rsidRPr="002C4077">
        <w:t xml:space="preserve"> </w:t>
      </w:r>
      <w:r>
        <w:t>et</w:t>
      </w:r>
      <w:r w:rsidRPr="002C4077">
        <w:t xml:space="preserve"> </w:t>
      </w:r>
      <w:r>
        <w:t>l’autre</w:t>
      </w:r>
      <w:r w:rsidRPr="002C4077">
        <w:t xml:space="preserve"> </w:t>
      </w:r>
      <w:r>
        <w:t>comme</w:t>
      </w:r>
      <w:r w:rsidRPr="002C4077">
        <w:t xml:space="preserve"> </w:t>
      </w:r>
      <w:r>
        <w:t>des</w:t>
      </w:r>
      <w:r w:rsidRPr="002C4077">
        <w:t xml:space="preserve"> </w:t>
      </w:r>
      <w:r>
        <w:t>hommes</w:t>
      </w:r>
      <w:r w:rsidRPr="002C4077">
        <w:t xml:space="preserve"> </w:t>
      </w:r>
      <w:r>
        <w:t>vicieux</w:t>
      </w:r>
      <w:r w:rsidRPr="002C4077">
        <w:t xml:space="preserve"> </w:t>
      </w:r>
      <w:r>
        <w:t>dont</w:t>
      </w:r>
      <w:r w:rsidRPr="002C4077">
        <w:t xml:space="preserve"> </w:t>
      </w:r>
      <w:r>
        <w:t>le</w:t>
      </w:r>
      <w:r w:rsidRPr="002C4077">
        <w:t xml:space="preserve"> </w:t>
      </w:r>
      <w:r>
        <w:t>témoignage</w:t>
      </w:r>
      <w:r w:rsidRPr="002C4077">
        <w:t xml:space="preserve"> </w:t>
      </w:r>
      <w:r>
        <w:t>doit</w:t>
      </w:r>
      <w:r w:rsidRPr="002C4077">
        <w:t xml:space="preserve"> </w:t>
      </w:r>
      <w:r>
        <w:t>être</w:t>
      </w:r>
      <w:r w:rsidRPr="002C4077">
        <w:t xml:space="preserve"> </w:t>
      </w:r>
      <w:r>
        <w:t>récusé</w:t>
      </w:r>
      <w:r w:rsidRPr="002C4077">
        <w:t xml:space="preserve"> </w:t>
      </w:r>
      <w:r>
        <w:t>dans</w:t>
      </w:r>
      <w:r w:rsidRPr="002C4077">
        <w:t xml:space="preserve"> </w:t>
      </w:r>
      <w:r>
        <w:t>les</w:t>
      </w:r>
      <w:r w:rsidRPr="002C4077">
        <w:t xml:space="preserve"> </w:t>
      </w:r>
      <w:r>
        <w:t>jugements</w:t>
      </w:r>
      <w:r w:rsidR="00B91AF7">
        <w:rPr>
          <w:rStyle w:val="Appelnotedebasdep"/>
        </w:rPr>
        <w:footnoteReference w:id="770"/>
      </w:r>
      <w:r w:rsidR="00B546AF">
        <w:t> »</w:t>
      </w:r>
      <w:r>
        <w:t>.</w:t>
      </w:r>
      <w:r w:rsidRPr="002C4077">
        <w:t xml:space="preserve"> </w:t>
      </w:r>
      <w:r>
        <w:t>Quant</w:t>
      </w:r>
      <w:r w:rsidRPr="002C4077">
        <w:t xml:space="preserve"> </w:t>
      </w:r>
      <w:r>
        <w:t>à</w:t>
      </w:r>
      <w:r w:rsidRPr="002C4077">
        <w:t xml:space="preserve"> </w:t>
      </w:r>
      <w:r>
        <w:t>nous,</w:t>
      </w:r>
      <w:r w:rsidRPr="002C4077">
        <w:t xml:space="preserve"> </w:t>
      </w:r>
      <w:r>
        <w:t>nous</w:t>
      </w:r>
      <w:r w:rsidRPr="002C4077">
        <w:t xml:space="preserve"> </w:t>
      </w:r>
      <w:r>
        <w:t>serions</w:t>
      </w:r>
      <w:r w:rsidRPr="002C4077">
        <w:t xml:space="preserve"> </w:t>
      </w:r>
      <w:r>
        <w:t>porté</w:t>
      </w:r>
      <w:r w:rsidRPr="002C4077">
        <w:t xml:space="preserve"> </w:t>
      </w:r>
      <w:r>
        <w:t>à</w:t>
      </w:r>
      <w:r w:rsidRPr="002C4077">
        <w:t xml:space="preserve"> </w:t>
      </w:r>
      <w:r>
        <w:t>tirer</w:t>
      </w:r>
      <w:r w:rsidRPr="002C4077">
        <w:t xml:space="preserve"> </w:t>
      </w:r>
      <w:r>
        <w:t>de</w:t>
      </w:r>
      <w:r w:rsidRPr="002C4077">
        <w:t xml:space="preserve"> </w:t>
      </w:r>
      <w:r>
        <w:t>ces</w:t>
      </w:r>
      <w:r w:rsidRPr="002C4077">
        <w:t xml:space="preserve"> </w:t>
      </w:r>
      <w:r>
        <w:t>textes</w:t>
      </w:r>
      <w:r w:rsidRPr="002C4077">
        <w:t xml:space="preserve"> </w:t>
      </w:r>
      <w:r>
        <w:t>une</w:t>
      </w:r>
      <w:r w:rsidRPr="002C4077">
        <w:t xml:space="preserve"> </w:t>
      </w:r>
      <w:r>
        <w:t>conclusion</w:t>
      </w:r>
      <w:r w:rsidRPr="002C4077">
        <w:t xml:space="preserve"> </w:t>
      </w:r>
      <w:r>
        <w:t>toute</w:t>
      </w:r>
      <w:r w:rsidRPr="002C4077">
        <w:t xml:space="preserve"> </w:t>
      </w:r>
      <w:r>
        <w:t>opposée,</w:t>
      </w:r>
      <w:r w:rsidRPr="002C4077">
        <w:t xml:space="preserve"> </w:t>
      </w:r>
      <w:r>
        <w:t>et</w:t>
      </w:r>
      <w:r w:rsidRPr="002C4077">
        <w:t xml:space="preserve"> </w:t>
      </w:r>
      <w:r>
        <w:t>à</w:t>
      </w:r>
      <w:r w:rsidRPr="002C4077">
        <w:t xml:space="preserve"> </w:t>
      </w:r>
      <w:r>
        <w:t>croire</w:t>
      </w:r>
      <w:r w:rsidRPr="002C4077">
        <w:t xml:space="preserve"> </w:t>
      </w:r>
      <w:r>
        <w:t>qu’ils</w:t>
      </w:r>
      <w:r w:rsidRPr="002C4077">
        <w:t xml:space="preserve"> </w:t>
      </w:r>
      <w:r>
        <w:t>doivent</w:t>
      </w:r>
      <w:r w:rsidRPr="002C4077">
        <w:t xml:space="preserve"> </w:t>
      </w:r>
      <w:r>
        <w:t>précisément</w:t>
      </w:r>
      <w:r w:rsidRPr="002C4077">
        <w:t xml:space="preserve"> </w:t>
      </w:r>
      <w:r>
        <w:t>leur</w:t>
      </w:r>
      <w:r w:rsidRPr="002C4077">
        <w:t xml:space="preserve"> </w:t>
      </w:r>
      <w:r>
        <w:t>existence</w:t>
      </w:r>
      <w:r w:rsidRPr="002C4077">
        <w:t xml:space="preserve"> </w:t>
      </w:r>
      <w:r>
        <w:t>à</w:t>
      </w:r>
      <w:r w:rsidRPr="002C4077">
        <w:t xml:space="preserve"> </w:t>
      </w:r>
      <w:r>
        <w:t>une</w:t>
      </w:r>
      <w:r w:rsidRPr="002C4077">
        <w:t xml:space="preserve"> </w:t>
      </w:r>
      <w:r>
        <w:t>tendance</w:t>
      </w:r>
      <w:r w:rsidRPr="002C4077">
        <w:t xml:space="preserve"> </w:t>
      </w:r>
      <w:r>
        <w:t>très</w:t>
      </w:r>
      <w:r w:rsidRPr="002C4077">
        <w:t xml:space="preserve"> </w:t>
      </w:r>
      <w:r>
        <w:t>prononcée</w:t>
      </w:r>
      <w:r w:rsidRPr="002C4077">
        <w:t xml:space="preserve"> </w:t>
      </w:r>
      <w:r>
        <w:t>du</w:t>
      </w:r>
      <w:r w:rsidRPr="002C4077">
        <w:t xml:space="preserve"> </w:t>
      </w:r>
      <w:r>
        <w:t>peuple</w:t>
      </w:r>
      <w:r w:rsidRPr="002C4077">
        <w:t xml:space="preserve"> </w:t>
      </w:r>
      <w:r>
        <w:t>juif,</w:t>
      </w:r>
      <w:r w:rsidRPr="002C4077">
        <w:t xml:space="preserve"> </w:t>
      </w:r>
      <w:r>
        <w:t>vers</w:t>
      </w:r>
      <w:r w:rsidRPr="002C4077">
        <w:t xml:space="preserve"> </w:t>
      </w:r>
      <w:r>
        <w:t>cette</w:t>
      </w:r>
      <w:r w:rsidRPr="002C4077">
        <w:t xml:space="preserve"> </w:t>
      </w:r>
      <w:r>
        <w:t>époque,</w:t>
      </w:r>
      <w:r w:rsidRPr="002C4077">
        <w:t xml:space="preserve"> </w:t>
      </w:r>
      <w:r>
        <w:t>pour</w:t>
      </w:r>
      <w:r w:rsidRPr="002C4077">
        <w:t xml:space="preserve"> </w:t>
      </w:r>
      <w:r>
        <w:t>le</w:t>
      </w:r>
      <w:r w:rsidRPr="002C4077">
        <w:t xml:space="preserve"> </w:t>
      </w:r>
      <w:r>
        <w:t>commerce</w:t>
      </w:r>
      <w:r w:rsidRPr="002C4077">
        <w:t xml:space="preserve"> </w:t>
      </w:r>
      <w:r>
        <w:t>et</w:t>
      </w:r>
      <w:r w:rsidRPr="002C4077">
        <w:t xml:space="preserve"> </w:t>
      </w:r>
      <w:r>
        <w:t>l’agiotage.</w:t>
      </w:r>
      <w:r w:rsidR="00C45B47">
        <w:t xml:space="preserve"> {</w:t>
      </w:r>
      <w:r w:rsidR="001F5257">
        <w:t>245</w:t>
      </w:r>
      <w:bookmarkStart w:id="595" w:name="p245"/>
      <w:bookmarkEnd w:id="595"/>
      <w:r w:rsidR="001F5257">
        <w:t xml:space="preserve">} </w:t>
      </w:r>
      <w:r>
        <w:t>Autrement,</w:t>
      </w:r>
      <w:r w:rsidRPr="002C4077">
        <w:t xml:space="preserve"> </w:t>
      </w:r>
      <w:r>
        <w:t>rien</w:t>
      </w:r>
      <w:r w:rsidRPr="002C4077">
        <w:t xml:space="preserve"> </w:t>
      </w:r>
      <w:r>
        <w:t>n’aurait</w:t>
      </w:r>
      <w:r w:rsidRPr="002C4077">
        <w:t xml:space="preserve"> </w:t>
      </w:r>
      <w:r>
        <w:t>légitimé</w:t>
      </w:r>
      <w:r w:rsidRPr="002C4077">
        <w:t xml:space="preserve"> </w:t>
      </w:r>
      <w:r>
        <w:t>le</w:t>
      </w:r>
      <w:r w:rsidRPr="002C4077">
        <w:t xml:space="preserve"> </w:t>
      </w:r>
      <w:r>
        <w:t>langage</w:t>
      </w:r>
      <w:r w:rsidRPr="002C4077">
        <w:t xml:space="preserve"> </w:t>
      </w:r>
      <w:r>
        <w:t>sévère</w:t>
      </w:r>
      <w:r w:rsidRPr="002C4077">
        <w:t xml:space="preserve"> </w:t>
      </w:r>
      <w:r>
        <w:t>des</w:t>
      </w:r>
      <w:r w:rsidRPr="002C4077">
        <w:t xml:space="preserve"> </w:t>
      </w:r>
      <w:r>
        <w:t>rabbins.</w:t>
      </w:r>
      <w:r w:rsidRPr="002C4077">
        <w:t xml:space="preserve"> </w:t>
      </w:r>
    </w:p>
    <w:p w:rsidR="000A7AAB" w:rsidRDefault="000A7AAB" w:rsidP="000A7AAB">
      <w:r>
        <w:t>Du</w:t>
      </w:r>
      <w:bookmarkStart w:id="596" w:name="z_Pharisiens_o1"/>
      <w:bookmarkEnd w:id="596"/>
      <w:r w:rsidRPr="002C4077">
        <w:t xml:space="preserve"> </w:t>
      </w:r>
      <w:r>
        <w:t>reste,</w:t>
      </w:r>
      <w:r w:rsidRPr="002C4077">
        <w:t xml:space="preserve"> </w:t>
      </w:r>
      <w:r>
        <w:t>nous</w:t>
      </w:r>
      <w:r w:rsidRPr="002C4077">
        <w:t xml:space="preserve"> </w:t>
      </w:r>
      <w:r>
        <w:t>n’avons</w:t>
      </w:r>
      <w:r w:rsidRPr="002C4077">
        <w:t xml:space="preserve"> </w:t>
      </w:r>
      <w:r>
        <w:t>pas</w:t>
      </w:r>
      <w:r w:rsidRPr="002C4077">
        <w:t xml:space="preserve"> </w:t>
      </w:r>
      <w:r>
        <w:t>de</w:t>
      </w:r>
      <w:r w:rsidRPr="002C4077">
        <w:t xml:space="preserve"> </w:t>
      </w:r>
      <w:r>
        <w:t>peine</w:t>
      </w:r>
      <w:r w:rsidRPr="002C4077">
        <w:t xml:space="preserve"> </w:t>
      </w:r>
      <w:r>
        <w:t>à</w:t>
      </w:r>
      <w:r w:rsidRPr="002C4077">
        <w:t xml:space="preserve"> </w:t>
      </w:r>
      <w:r>
        <w:t>reconnaître</w:t>
      </w:r>
      <w:r w:rsidRPr="002C4077">
        <w:t xml:space="preserve"> </w:t>
      </w:r>
      <w:r>
        <w:t>que,</w:t>
      </w:r>
      <w:r w:rsidRPr="002C4077">
        <w:t xml:space="preserve"> </w:t>
      </w:r>
      <w:r>
        <w:t>généralement,</w:t>
      </w:r>
      <w:r w:rsidRPr="002C4077">
        <w:t xml:space="preserve"> </w:t>
      </w:r>
      <w:r>
        <w:t>le</w:t>
      </w:r>
      <w:r w:rsidRPr="002C4077">
        <w:t xml:space="preserve"> </w:t>
      </w:r>
      <w:r>
        <w:t>travail</w:t>
      </w:r>
      <w:r w:rsidRPr="002C4077">
        <w:t xml:space="preserve"> </w:t>
      </w:r>
      <w:r>
        <w:t>était</w:t>
      </w:r>
      <w:r w:rsidRPr="002C4077">
        <w:t xml:space="preserve"> </w:t>
      </w:r>
      <w:r>
        <w:t>plus</w:t>
      </w:r>
      <w:r w:rsidRPr="002C4077">
        <w:t xml:space="preserve"> </w:t>
      </w:r>
      <w:r>
        <w:t>estimé</w:t>
      </w:r>
      <w:r w:rsidRPr="002C4077">
        <w:t xml:space="preserve"> </w:t>
      </w:r>
      <w:r>
        <w:t>et</w:t>
      </w:r>
      <w:r w:rsidRPr="002C4077">
        <w:t xml:space="preserve"> </w:t>
      </w:r>
      <w:r>
        <w:t>plus</w:t>
      </w:r>
      <w:r w:rsidRPr="002C4077">
        <w:t xml:space="preserve"> </w:t>
      </w:r>
      <w:r>
        <w:t>pratiqué</w:t>
      </w:r>
      <w:r w:rsidRPr="002C4077">
        <w:t xml:space="preserve"> </w:t>
      </w:r>
      <w:r>
        <w:t>que</w:t>
      </w:r>
      <w:r w:rsidRPr="002C4077">
        <w:t xml:space="preserve"> </w:t>
      </w:r>
      <w:r>
        <w:t>le</w:t>
      </w:r>
      <w:r w:rsidRPr="002C4077">
        <w:t xml:space="preserve"> </w:t>
      </w:r>
      <w:r>
        <w:t>négoce.</w:t>
      </w:r>
      <w:r w:rsidRPr="002C4077">
        <w:t xml:space="preserve"> </w:t>
      </w:r>
      <w:r>
        <w:t>Aux</w:t>
      </w:r>
      <w:r w:rsidRPr="002C4077">
        <w:t xml:space="preserve"> </w:t>
      </w:r>
      <w:r>
        <w:t>proverbes</w:t>
      </w:r>
      <w:r w:rsidRPr="002C4077">
        <w:t xml:space="preserve"> </w:t>
      </w:r>
      <w:r>
        <w:t>que</w:t>
      </w:r>
      <w:r w:rsidRPr="002C4077">
        <w:t xml:space="preserve"> </w:t>
      </w:r>
      <w:r>
        <w:t>nous</w:t>
      </w:r>
      <w:r w:rsidRPr="002C4077">
        <w:t xml:space="preserve"> </w:t>
      </w:r>
      <w:r>
        <w:t>citions</w:t>
      </w:r>
      <w:r w:rsidRPr="002C4077">
        <w:t xml:space="preserve"> </w:t>
      </w:r>
      <w:r>
        <w:t>tout</w:t>
      </w:r>
      <w:r w:rsidRPr="002C4077">
        <w:t xml:space="preserve"> </w:t>
      </w:r>
      <w:r>
        <w:t>à</w:t>
      </w:r>
      <w:r w:rsidRPr="002C4077">
        <w:t xml:space="preserve"> </w:t>
      </w:r>
      <w:r>
        <w:t>l’heure,</w:t>
      </w:r>
      <w:r w:rsidRPr="002C4077">
        <w:t xml:space="preserve"> </w:t>
      </w:r>
      <w:r>
        <w:t>nous</w:t>
      </w:r>
      <w:r w:rsidRPr="002C4077">
        <w:t xml:space="preserve"> </w:t>
      </w:r>
      <w:r>
        <w:t>pourrions</w:t>
      </w:r>
      <w:r w:rsidRPr="002C4077">
        <w:t xml:space="preserve"> </w:t>
      </w:r>
      <w:r>
        <w:t>encore</w:t>
      </w:r>
      <w:r w:rsidRPr="002C4077">
        <w:t xml:space="preserve"> </w:t>
      </w:r>
      <w:r>
        <w:t>en</w:t>
      </w:r>
      <w:r w:rsidRPr="002C4077">
        <w:t xml:space="preserve"> </w:t>
      </w:r>
      <w:r>
        <w:t>ajouter</w:t>
      </w:r>
      <w:r w:rsidRPr="002C4077">
        <w:t xml:space="preserve"> </w:t>
      </w:r>
      <w:r>
        <w:t>d’autres</w:t>
      </w:r>
      <w:r w:rsidRPr="002C4077">
        <w:t xml:space="preserve"> </w:t>
      </w:r>
      <w:r>
        <w:t>non</w:t>
      </w:r>
      <w:r w:rsidRPr="002C4077">
        <w:t xml:space="preserve"> </w:t>
      </w:r>
      <w:r>
        <w:t>moins</w:t>
      </w:r>
      <w:r w:rsidRPr="002C4077">
        <w:t xml:space="preserve"> </w:t>
      </w:r>
      <w:r>
        <w:t>significatifs,</w:t>
      </w:r>
      <w:r w:rsidRPr="002C4077">
        <w:t xml:space="preserve"> </w:t>
      </w:r>
      <w:r>
        <w:t>qui</w:t>
      </w:r>
      <w:r w:rsidRPr="002C4077">
        <w:t xml:space="preserve"> </w:t>
      </w:r>
      <w:r>
        <w:t>se</w:t>
      </w:r>
      <w:r w:rsidRPr="002C4077">
        <w:t xml:space="preserve"> </w:t>
      </w:r>
      <w:r>
        <w:t>sont</w:t>
      </w:r>
      <w:r w:rsidRPr="002C4077">
        <w:t xml:space="preserve"> </w:t>
      </w:r>
      <w:r>
        <w:t>conservés</w:t>
      </w:r>
      <w:r w:rsidRPr="002C4077">
        <w:t xml:space="preserve"> </w:t>
      </w:r>
      <w:r>
        <w:t>jusqu’à</w:t>
      </w:r>
      <w:r w:rsidRPr="002C4077">
        <w:t xml:space="preserve"> </w:t>
      </w:r>
      <w:r>
        <w:t>ce</w:t>
      </w:r>
      <w:r w:rsidRPr="002C4077">
        <w:t xml:space="preserve"> </w:t>
      </w:r>
      <w:r>
        <w:t>jour</w:t>
      </w:r>
      <w:r w:rsidRPr="002C4077">
        <w:t xml:space="preserve"> </w:t>
      </w:r>
      <w:r>
        <w:t>dans</w:t>
      </w:r>
      <w:r w:rsidRPr="002C4077">
        <w:t xml:space="preserve"> </w:t>
      </w:r>
      <w:r>
        <w:t>certaines</w:t>
      </w:r>
      <w:r w:rsidRPr="002C4077">
        <w:t xml:space="preserve"> </w:t>
      </w:r>
      <w:r>
        <w:t>parties</w:t>
      </w:r>
      <w:r w:rsidRPr="002C4077">
        <w:t xml:space="preserve"> </w:t>
      </w:r>
      <w:r>
        <w:t>de</w:t>
      </w:r>
      <w:r w:rsidRPr="002C4077">
        <w:t xml:space="preserve"> </w:t>
      </w:r>
      <w:r>
        <w:t>l’Allemagne</w:t>
      </w:r>
      <w:r w:rsidR="00B546AF">
        <w:t> :</w:t>
      </w:r>
      <w:r w:rsidRPr="002C4077">
        <w:t xml:space="preserve"> </w:t>
      </w:r>
      <w:r w:rsidRPr="000A34B5">
        <w:rPr>
          <w:rStyle w:val="italicus"/>
        </w:rPr>
        <w:t>M</w:t>
      </w:r>
      <w:r w:rsidR="001730C6" w:rsidRPr="000A34B5">
        <w:rPr>
          <w:rStyle w:val="italicus"/>
        </w:rPr>
        <w:t>el</w:t>
      </w:r>
      <w:r w:rsidRPr="000A34B5">
        <w:rPr>
          <w:rStyle w:val="italicus"/>
        </w:rPr>
        <w:t>oche</w:t>
      </w:r>
      <w:r w:rsidRPr="002C4077">
        <w:t xml:space="preserve"> </w:t>
      </w:r>
      <w:r w:rsidRPr="000A34B5">
        <w:rPr>
          <w:rStyle w:val="italicus"/>
        </w:rPr>
        <w:t>is</w:t>
      </w:r>
      <w:r w:rsidRPr="002C4077">
        <w:t xml:space="preserve"> </w:t>
      </w:r>
      <w:r w:rsidRPr="000A34B5">
        <w:rPr>
          <w:rStyle w:val="italicus"/>
        </w:rPr>
        <w:t>Beroche,</w:t>
      </w:r>
      <w:r w:rsidRPr="002C4077">
        <w:t xml:space="preserve"> </w:t>
      </w:r>
      <w:r w:rsidR="00B546AF">
        <w:t>« </w:t>
      </w:r>
      <w:r>
        <w:t>Le</w:t>
      </w:r>
      <w:r w:rsidRPr="002C4077">
        <w:t xml:space="preserve"> </w:t>
      </w:r>
      <w:r>
        <w:t>travail</w:t>
      </w:r>
      <w:r w:rsidRPr="002C4077">
        <w:t xml:space="preserve"> </w:t>
      </w:r>
      <w:r w:rsidR="00425C50">
        <w:t>est</w:t>
      </w:r>
      <w:r w:rsidRPr="002C4077">
        <w:t xml:space="preserve"> </w:t>
      </w:r>
      <w:r>
        <w:t>une</w:t>
      </w:r>
      <w:r w:rsidRPr="002C4077">
        <w:t xml:space="preserve"> </w:t>
      </w:r>
      <w:r>
        <w:t>bénédiction</w:t>
      </w:r>
      <w:r w:rsidR="00B546AF">
        <w:t> » ;</w:t>
      </w:r>
      <w:r w:rsidRPr="002C4077">
        <w:t xml:space="preserve"> </w:t>
      </w:r>
      <w:r w:rsidRPr="000A34B5">
        <w:rPr>
          <w:rStyle w:val="italicus"/>
        </w:rPr>
        <w:t>Arbeit</w:t>
      </w:r>
      <w:r w:rsidRPr="002C4077">
        <w:t xml:space="preserve"> </w:t>
      </w:r>
      <w:r w:rsidRPr="000A34B5">
        <w:rPr>
          <w:rStyle w:val="italicus"/>
        </w:rPr>
        <w:t>is</w:t>
      </w:r>
      <w:r w:rsidRPr="002C4077">
        <w:t xml:space="preserve"> </w:t>
      </w:r>
      <w:r w:rsidRPr="000A34B5">
        <w:rPr>
          <w:rStyle w:val="italicus"/>
        </w:rPr>
        <w:t>kan</w:t>
      </w:r>
      <w:r w:rsidRPr="002C4077">
        <w:t xml:space="preserve"> </w:t>
      </w:r>
      <w:r w:rsidRPr="000A34B5">
        <w:rPr>
          <w:rStyle w:val="italicus"/>
        </w:rPr>
        <w:t>Charpe,</w:t>
      </w:r>
      <w:r w:rsidRPr="002C4077">
        <w:t xml:space="preserve"> </w:t>
      </w:r>
      <w:r w:rsidR="00B546AF">
        <w:t>« </w:t>
      </w:r>
      <w:r>
        <w:t>Le</w:t>
      </w:r>
      <w:r w:rsidRPr="002C4077">
        <w:t xml:space="preserve"> </w:t>
      </w:r>
      <w:r>
        <w:t>travail</w:t>
      </w:r>
      <w:r w:rsidRPr="002C4077">
        <w:t xml:space="preserve"> </w:t>
      </w:r>
      <w:r>
        <w:t>n’est</w:t>
      </w:r>
      <w:r w:rsidRPr="002C4077">
        <w:t xml:space="preserve"> </w:t>
      </w:r>
      <w:r>
        <w:t>pas</w:t>
      </w:r>
      <w:r w:rsidRPr="002C4077">
        <w:t xml:space="preserve"> </w:t>
      </w:r>
      <w:r>
        <w:t>une</w:t>
      </w:r>
      <w:r w:rsidRPr="002C4077">
        <w:t xml:space="preserve"> </w:t>
      </w:r>
      <w:r>
        <w:t>honte</w:t>
      </w:r>
      <w:r w:rsidR="00B91AF7">
        <w:rPr>
          <w:rStyle w:val="Appelnotedebasdep"/>
        </w:rPr>
        <w:footnoteReference w:id="771"/>
      </w:r>
      <w:r w:rsidR="00B546AF">
        <w:t> »</w:t>
      </w:r>
      <w:r>
        <w:t>.</w:t>
      </w:r>
      <w:r w:rsidRPr="002C4077">
        <w:t xml:space="preserve"> </w:t>
      </w:r>
    </w:p>
    <w:p w:rsidR="000A7AAB" w:rsidRDefault="000A7AAB" w:rsidP="000A7AAB">
      <w:r>
        <w:t>Mais</w:t>
      </w:r>
      <w:r w:rsidRPr="002C4077">
        <w:t xml:space="preserve"> </w:t>
      </w:r>
      <w:r>
        <w:t>les</w:t>
      </w:r>
      <w:r w:rsidRPr="002C4077">
        <w:t xml:space="preserve"> </w:t>
      </w:r>
      <w:r>
        <w:t>faits</w:t>
      </w:r>
      <w:r w:rsidRPr="002C4077">
        <w:t xml:space="preserve"> </w:t>
      </w:r>
      <w:r>
        <w:t>ont</w:t>
      </w:r>
      <w:r w:rsidRPr="002C4077">
        <w:t xml:space="preserve"> </w:t>
      </w:r>
      <w:r>
        <w:t>encore</w:t>
      </w:r>
      <w:r w:rsidRPr="002C4077">
        <w:t xml:space="preserve"> </w:t>
      </w:r>
      <w:r>
        <w:t>plus</w:t>
      </w:r>
      <w:r w:rsidRPr="002C4077">
        <w:t xml:space="preserve"> </w:t>
      </w:r>
      <w:r>
        <w:t>de</w:t>
      </w:r>
      <w:r w:rsidRPr="002C4077">
        <w:t xml:space="preserve"> </w:t>
      </w:r>
      <w:r>
        <w:t>force</w:t>
      </w:r>
      <w:r w:rsidRPr="002C4077">
        <w:t xml:space="preserve"> </w:t>
      </w:r>
      <w:r>
        <w:t>que</w:t>
      </w:r>
      <w:r w:rsidRPr="002C4077">
        <w:t xml:space="preserve"> </w:t>
      </w:r>
      <w:r>
        <w:t>les</w:t>
      </w:r>
      <w:r w:rsidRPr="002C4077">
        <w:t xml:space="preserve"> </w:t>
      </w:r>
      <w:r>
        <w:t>paroles.</w:t>
      </w:r>
      <w:r w:rsidRPr="002C4077">
        <w:t xml:space="preserve"> </w:t>
      </w:r>
      <w:r>
        <w:t>Une</w:t>
      </w:r>
      <w:r w:rsidRPr="002C4077">
        <w:t xml:space="preserve"> </w:t>
      </w:r>
      <w:r>
        <w:t>loi</w:t>
      </w:r>
      <w:r w:rsidRPr="002C4077">
        <w:t xml:space="preserve"> </w:t>
      </w:r>
      <w:r>
        <w:t>désignait</w:t>
      </w:r>
      <w:r w:rsidRPr="002C4077">
        <w:t xml:space="preserve"> </w:t>
      </w:r>
      <w:r>
        <w:t>les</w:t>
      </w:r>
      <w:r w:rsidRPr="002C4077">
        <w:t xml:space="preserve"> </w:t>
      </w:r>
      <w:r>
        <w:t>personnages</w:t>
      </w:r>
      <w:r w:rsidRPr="002C4077">
        <w:t xml:space="preserve"> </w:t>
      </w:r>
      <w:r>
        <w:t>distingués,</w:t>
      </w:r>
      <w:r w:rsidRPr="002C4077">
        <w:t xml:space="preserve"> </w:t>
      </w:r>
      <w:r>
        <w:t>soit</w:t>
      </w:r>
      <w:r w:rsidRPr="002C4077">
        <w:t xml:space="preserve"> </w:t>
      </w:r>
      <w:r>
        <w:t>par</w:t>
      </w:r>
      <w:r w:rsidRPr="002C4077">
        <w:t xml:space="preserve"> </w:t>
      </w:r>
      <w:r>
        <w:t>leur</w:t>
      </w:r>
      <w:r w:rsidRPr="002C4077">
        <w:t xml:space="preserve"> </w:t>
      </w:r>
      <w:r>
        <w:t>position,</w:t>
      </w:r>
      <w:r w:rsidRPr="002C4077">
        <w:t xml:space="preserve"> </w:t>
      </w:r>
      <w:r>
        <w:t>soit</w:t>
      </w:r>
      <w:r w:rsidRPr="002C4077">
        <w:t xml:space="preserve"> </w:t>
      </w:r>
      <w:r>
        <w:t>par</w:t>
      </w:r>
      <w:r w:rsidRPr="002C4077">
        <w:t xml:space="preserve"> </w:t>
      </w:r>
      <w:r>
        <w:t>leur</w:t>
      </w:r>
      <w:r w:rsidRPr="002C4077">
        <w:t xml:space="preserve"> </w:t>
      </w:r>
      <w:r>
        <w:t>science,</w:t>
      </w:r>
      <w:r w:rsidRPr="002C4077">
        <w:t xml:space="preserve"> </w:t>
      </w:r>
      <w:r>
        <w:t>que</w:t>
      </w:r>
      <w:r w:rsidRPr="002C4077">
        <w:t xml:space="preserve"> </w:t>
      </w:r>
      <w:r>
        <w:t>chacun</w:t>
      </w:r>
      <w:r w:rsidRPr="002C4077">
        <w:t xml:space="preserve"> </w:t>
      </w:r>
      <w:r>
        <w:t>devait</w:t>
      </w:r>
      <w:r w:rsidRPr="002C4077">
        <w:t xml:space="preserve"> </w:t>
      </w:r>
      <w:r>
        <w:t>saluer</w:t>
      </w:r>
      <w:r w:rsidRPr="002C4077">
        <w:t xml:space="preserve"> </w:t>
      </w:r>
      <w:r>
        <w:t>lorsqu’ils</w:t>
      </w:r>
      <w:r w:rsidRPr="002C4077">
        <w:t xml:space="preserve"> </w:t>
      </w:r>
      <w:r>
        <w:t>passaient</w:t>
      </w:r>
      <w:r w:rsidRPr="002C4077">
        <w:t xml:space="preserve"> </w:t>
      </w:r>
      <w:r>
        <w:t>dans</w:t>
      </w:r>
      <w:r w:rsidRPr="002C4077">
        <w:t xml:space="preserve"> </w:t>
      </w:r>
      <w:r>
        <w:t>les</w:t>
      </w:r>
      <w:r w:rsidRPr="002C4077">
        <w:t xml:space="preserve"> </w:t>
      </w:r>
      <w:r>
        <w:t>rues</w:t>
      </w:r>
      <w:r w:rsidR="00B546AF">
        <w:t> :</w:t>
      </w:r>
      <w:r w:rsidRPr="002C4077">
        <w:t xml:space="preserve"> </w:t>
      </w:r>
      <w:r>
        <w:t>les</w:t>
      </w:r>
      <w:r w:rsidRPr="002C4077">
        <w:t xml:space="preserve"> </w:t>
      </w:r>
      <w:r>
        <w:t>ouvriers</w:t>
      </w:r>
      <w:r w:rsidRPr="002C4077">
        <w:t xml:space="preserve"> </w:t>
      </w:r>
      <w:r>
        <w:t>seuls</w:t>
      </w:r>
      <w:r w:rsidRPr="002C4077">
        <w:t xml:space="preserve"> </w:t>
      </w:r>
      <w:r>
        <w:t>étaient</w:t>
      </w:r>
      <w:r w:rsidRPr="002C4077">
        <w:t xml:space="preserve"> </w:t>
      </w:r>
      <w:r>
        <w:t>dispensés</w:t>
      </w:r>
      <w:r w:rsidRPr="002C4077">
        <w:t xml:space="preserve"> </w:t>
      </w:r>
      <w:r>
        <w:t>de</w:t>
      </w:r>
      <w:r w:rsidRPr="002C4077">
        <w:t xml:space="preserve"> </w:t>
      </w:r>
      <w:r>
        <w:t>cette</w:t>
      </w:r>
      <w:r w:rsidRPr="002C4077">
        <w:t xml:space="preserve"> </w:t>
      </w:r>
      <w:r>
        <w:t>formalité,</w:t>
      </w:r>
      <w:r w:rsidRPr="002C4077">
        <w:t xml:space="preserve"> </w:t>
      </w:r>
      <w:r>
        <w:t>car</w:t>
      </w:r>
      <w:r w:rsidRPr="002C4077">
        <w:t xml:space="preserve"> </w:t>
      </w:r>
      <w:r>
        <w:t>une</w:t>
      </w:r>
      <w:r w:rsidRPr="002C4077">
        <w:t xml:space="preserve"> </w:t>
      </w:r>
      <w:r>
        <w:t>clause</w:t>
      </w:r>
      <w:r w:rsidRPr="002C4077">
        <w:t xml:space="preserve"> </w:t>
      </w:r>
      <w:r>
        <w:t>spéciale</w:t>
      </w:r>
      <w:r w:rsidRPr="002C4077">
        <w:t xml:space="preserve"> </w:t>
      </w:r>
      <w:r>
        <w:t>les</w:t>
      </w:r>
      <w:r w:rsidRPr="002C4077">
        <w:t xml:space="preserve"> </w:t>
      </w:r>
      <w:r>
        <w:t>autorisait</w:t>
      </w:r>
      <w:r w:rsidRPr="002C4077">
        <w:t xml:space="preserve"> </w:t>
      </w:r>
      <w:r>
        <w:t>à</w:t>
      </w:r>
      <w:r w:rsidRPr="002C4077">
        <w:t xml:space="preserve"> </w:t>
      </w:r>
      <w:r>
        <w:t>demeurer</w:t>
      </w:r>
      <w:r w:rsidRPr="002C4077">
        <w:t xml:space="preserve"> </w:t>
      </w:r>
      <w:r>
        <w:t>assis</w:t>
      </w:r>
      <w:r w:rsidRPr="002C4077">
        <w:t xml:space="preserve"> </w:t>
      </w:r>
      <w:r>
        <w:t>et</w:t>
      </w:r>
      <w:r w:rsidRPr="002C4077">
        <w:t xml:space="preserve"> </w:t>
      </w:r>
      <w:r>
        <w:t>à</w:t>
      </w:r>
      <w:r w:rsidRPr="002C4077">
        <w:t xml:space="preserve"> </w:t>
      </w:r>
      <w:r>
        <w:t>continuer</w:t>
      </w:r>
      <w:r w:rsidRPr="002C4077">
        <w:t xml:space="preserve"> </w:t>
      </w:r>
      <w:r>
        <w:t>leur</w:t>
      </w:r>
      <w:r w:rsidRPr="002C4077">
        <w:t xml:space="preserve"> </w:t>
      </w:r>
      <w:r>
        <w:t>travail</w:t>
      </w:r>
      <w:r w:rsidRPr="002C4077">
        <w:t xml:space="preserve"> </w:t>
      </w:r>
      <w:r>
        <w:t>quand</w:t>
      </w:r>
      <w:r w:rsidRPr="002C4077">
        <w:t xml:space="preserve"> </w:t>
      </w:r>
      <w:r>
        <w:t>un</w:t>
      </w:r>
      <w:r w:rsidRPr="002C4077">
        <w:t xml:space="preserve"> </w:t>
      </w:r>
      <w:r>
        <w:t>de</w:t>
      </w:r>
      <w:r w:rsidRPr="002C4077">
        <w:t xml:space="preserve"> </w:t>
      </w:r>
      <w:r>
        <w:t>ces</w:t>
      </w:r>
      <w:r w:rsidRPr="002C4077">
        <w:t xml:space="preserve"> </w:t>
      </w:r>
      <w:r>
        <w:t>hommes</w:t>
      </w:r>
      <w:r w:rsidRPr="002C4077">
        <w:t xml:space="preserve"> </w:t>
      </w:r>
      <w:r>
        <w:t>honorables</w:t>
      </w:r>
      <w:r w:rsidRPr="002C4077">
        <w:t xml:space="preserve"> </w:t>
      </w:r>
      <w:r>
        <w:t>passait</w:t>
      </w:r>
      <w:r w:rsidRPr="002C4077">
        <w:t xml:space="preserve"> </w:t>
      </w:r>
      <w:r>
        <w:t>devant</w:t>
      </w:r>
      <w:r w:rsidRPr="002C4077">
        <w:t xml:space="preserve"> </w:t>
      </w:r>
      <w:r>
        <w:t>eux.</w:t>
      </w:r>
      <w:r w:rsidRPr="002C4077">
        <w:t xml:space="preserve"> </w:t>
      </w:r>
      <w:r>
        <w:t>L’artisan</w:t>
      </w:r>
      <w:r w:rsidRPr="002C4077">
        <w:t xml:space="preserve"> </w:t>
      </w:r>
      <w:r>
        <w:t>à</w:t>
      </w:r>
      <w:r w:rsidRPr="002C4077">
        <w:t xml:space="preserve"> </w:t>
      </w:r>
      <w:r>
        <w:t>l’ouvrage</w:t>
      </w:r>
      <w:r w:rsidRPr="002C4077">
        <w:t xml:space="preserve"> </w:t>
      </w:r>
      <w:r>
        <w:t>était</w:t>
      </w:r>
      <w:r w:rsidRPr="002C4077">
        <w:t xml:space="preserve"> </w:t>
      </w:r>
      <w:r>
        <w:t>donc</w:t>
      </w:r>
      <w:r w:rsidRPr="002C4077">
        <w:t xml:space="preserve"> </w:t>
      </w:r>
      <w:r>
        <w:t>regardé</w:t>
      </w:r>
      <w:r w:rsidRPr="002C4077">
        <w:t xml:space="preserve"> </w:t>
      </w:r>
      <w:r>
        <w:t>comme</w:t>
      </w:r>
      <w:r w:rsidRPr="002C4077">
        <w:t xml:space="preserve"> </w:t>
      </w:r>
      <w:r>
        <w:t>une</w:t>
      </w:r>
      <w:r w:rsidRPr="002C4077">
        <w:t xml:space="preserve"> </w:t>
      </w:r>
      <w:r>
        <w:t>personne</w:t>
      </w:r>
      <w:r w:rsidRPr="002C4077">
        <w:t xml:space="preserve"> </w:t>
      </w:r>
      <w:r>
        <w:t>sacrée,</w:t>
      </w:r>
      <w:r w:rsidRPr="002C4077">
        <w:t xml:space="preserve"> </w:t>
      </w:r>
      <w:r>
        <w:t>qui</w:t>
      </w:r>
      <w:r w:rsidRPr="002C4077">
        <w:t xml:space="preserve"> </w:t>
      </w:r>
      <w:r>
        <w:t>n’était</w:t>
      </w:r>
      <w:r w:rsidRPr="002C4077">
        <w:t xml:space="preserve"> </w:t>
      </w:r>
      <w:r>
        <w:t>pas</w:t>
      </w:r>
      <w:r w:rsidRPr="002C4077">
        <w:t xml:space="preserve"> </w:t>
      </w:r>
      <w:r>
        <w:t>obligée</w:t>
      </w:r>
      <w:r w:rsidRPr="002C4077">
        <w:t xml:space="preserve"> </w:t>
      </w:r>
      <w:r>
        <w:t>de</w:t>
      </w:r>
      <w:r w:rsidRPr="002C4077">
        <w:t xml:space="preserve"> </w:t>
      </w:r>
      <w:r>
        <w:t>se</w:t>
      </w:r>
      <w:r w:rsidRPr="002C4077">
        <w:t xml:space="preserve"> </w:t>
      </w:r>
      <w:r>
        <w:t>lever</w:t>
      </w:r>
      <w:r w:rsidRPr="002C4077">
        <w:t xml:space="preserve"> </w:t>
      </w:r>
      <w:r>
        <w:t>ni</w:t>
      </w:r>
      <w:r w:rsidRPr="002C4077">
        <w:t xml:space="preserve"> </w:t>
      </w:r>
      <w:r>
        <w:t>de</w:t>
      </w:r>
      <w:r w:rsidRPr="002C4077">
        <w:t xml:space="preserve"> </w:t>
      </w:r>
      <w:r>
        <w:t>s’incliner</w:t>
      </w:r>
      <w:r w:rsidRPr="002C4077">
        <w:t xml:space="preserve"> </w:t>
      </w:r>
      <w:r>
        <w:t>devant</w:t>
      </w:r>
      <w:r w:rsidRPr="002C4077">
        <w:t xml:space="preserve"> </w:t>
      </w:r>
      <w:r>
        <w:t>ce</w:t>
      </w:r>
      <w:r w:rsidRPr="002C4077">
        <w:t xml:space="preserve"> </w:t>
      </w:r>
      <w:r>
        <w:t>qu’il</w:t>
      </w:r>
      <w:r w:rsidRPr="002C4077">
        <w:t xml:space="preserve"> </w:t>
      </w:r>
      <w:r>
        <w:t>y</w:t>
      </w:r>
      <w:r w:rsidRPr="002C4077">
        <w:t xml:space="preserve"> </w:t>
      </w:r>
      <w:r>
        <w:t>avait</w:t>
      </w:r>
      <w:r w:rsidRPr="002C4077">
        <w:t xml:space="preserve"> </w:t>
      </w:r>
      <w:r>
        <w:t>de</w:t>
      </w:r>
      <w:r w:rsidRPr="002C4077">
        <w:t xml:space="preserve"> </w:t>
      </w:r>
      <w:r>
        <w:t>plus</w:t>
      </w:r>
      <w:r w:rsidRPr="002C4077">
        <w:t xml:space="preserve"> </w:t>
      </w:r>
      <w:r>
        <w:t>grand</w:t>
      </w:r>
      <w:r w:rsidRPr="002C4077">
        <w:t xml:space="preserve"> </w:t>
      </w:r>
      <w:r>
        <w:t>alors</w:t>
      </w:r>
      <w:r w:rsidR="00B91AF7">
        <w:rPr>
          <w:rStyle w:val="Appelnotedebasdep"/>
        </w:rPr>
        <w:footnoteReference w:id="772"/>
      </w:r>
      <w:r>
        <w:t>.</w:t>
      </w:r>
      <w:r w:rsidRPr="002C4077">
        <w:t xml:space="preserve"> </w:t>
      </w:r>
    </w:p>
    <w:p w:rsidR="00FD0BB0" w:rsidRDefault="00FD0BB0" w:rsidP="000A7AAB"/>
    <w:p w:rsidR="000A7AAB" w:rsidRDefault="000A7AAB" w:rsidP="000A7AAB">
      <w:r>
        <w:t>Il</w:t>
      </w:r>
      <w:r w:rsidRPr="002C4077">
        <w:t xml:space="preserve"> </w:t>
      </w:r>
      <w:r w:rsidR="00425C50">
        <w:t>est</w:t>
      </w:r>
      <w:r w:rsidRPr="002C4077">
        <w:t xml:space="preserve"> </w:t>
      </w:r>
      <w:r>
        <w:t>toutefois</w:t>
      </w:r>
      <w:r w:rsidRPr="002C4077">
        <w:t xml:space="preserve"> </w:t>
      </w:r>
      <w:r>
        <w:t>évident</w:t>
      </w:r>
      <w:r w:rsidRPr="002C4077">
        <w:t xml:space="preserve"> </w:t>
      </w:r>
      <w:r>
        <w:t>qu’il</w:t>
      </w:r>
      <w:r w:rsidRPr="002C4077">
        <w:t xml:space="preserve"> </w:t>
      </w:r>
      <w:r>
        <w:t>y</w:t>
      </w:r>
      <w:r w:rsidRPr="002C4077">
        <w:t xml:space="preserve"> </w:t>
      </w:r>
      <w:r>
        <w:t>eut,</w:t>
      </w:r>
      <w:r w:rsidRPr="002C4077">
        <w:t xml:space="preserve"> </w:t>
      </w:r>
      <w:r>
        <w:t>ici</w:t>
      </w:r>
      <w:r w:rsidRPr="002C4077">
        <w:t xml:space="preserve"> </w:t>
      </w:r>
      <w:r>
        <w:t>comme</w:t>
      </w:r>
      <w:r w:rsidRPr="002C4077">
        <w:t xml:space="preserve"> </w:t>
      </w:r>
      <w:r>
        <w:t>partout,</w:t>
      </w:r>
      <w:r w:rsidRPr="002C4077">
        <w:t xml:space="preserve"> </w:t>
      </w:r>
      <w:r>
        <w:t>quelques</w:t>
      </w:r>
      <w:r w:rsidRPr="002C4077">
        <w:t xml:space="preserve"> </w:t>
      </w:r>
      <w:r>
        <w:t>exceptions.</w:t>
      </w:r>
      <w:r w:rsidRPr="002C4077">
        <w:t xml:space="preserve"> </w:t>
      </w:r>
      <w:r>
        <w:t>Dans</w:t>
      </w:r>
      <w:r w:rsidRPr="002C4077">
        <w:t xml:space="preserve"> </w:t>
      </w:r>
      <w:r>
        <w:t>les</w:t>
      </w:r>
      <w:r w:rsidRPr="002C4077">
        <w:t xml:space="preserve"> </w:t>
      </w:r>
      <w:r>
        <w:t>pages</w:t>
      </w:r>
      <w:r w:rsidRPr="002C4077">
        <w:t xml:space="preserve"> </w:t>
      </w:r>
      <w:r>
        <w:t>du</w:t>
      </w:r>
      <w:r w:rsidRPr="002C4077">
        <w:t xml:space="preserve"> </w:t>
      </w:r>
      <w:r>
        <w:t>Talmud,</w:t>
      </w:r>
      <w:r w:rsidRPr="002C4077">
        <w:t xml:space="preserve"> </w:t>
      </w:r>
      <w:r>
        <w:t>on</w:t>
      </w:r>
      <w:r w:rsidRPr="002C4077">
        <w:t xml:space="preserve"> </w:t>
      </w:r>
      <w:r>
        <w:t>voit</w:t>
      </w:r>
      <w:r w:rsidRPr="002C4077">
        <w:t xml:space="preserve"> </w:t>
      </w:r>
      <w:r>
        <w:t>paraître</w:t>
      </w:r>
      <w:r w:rsidRPr="002C4077">
        <w:t xml:space="preserve"> </w:t>
      </w:r>
      <w:r w:rsidR="006F72A8">
        <w:t>çà</w:t>
      </w:r>
      <w:r w:rsidRPr="002C4077">
        <w:t xml:space="preserve"> </w:t>
      </w:r>
      <w:r>
        <w:t>et</w:t>
      </w:r>
      <w:r w:rsidRPr="002C4077">
        <w:t xml:space="preserve"> </w:t>
      </w:r>
      <w:r>
        <w:t>là</w:t>
      </w:r>
      <w:r w:rsidRPr="002C4077">
        <w:t xml:space="preserve"> </w:t>
      </w:r>
      <w:r>
        <w:t>quelques</w:t>
      </w:r>
      <w:r w:rsidRPr="002C4077">
        <w:t xml:space="preserve"> </w:t>
      </w:r>
      <w:r>
        <w:t>Pharisiens</w:t>
      </w:r>
      <w:r w:rsidRPr="002C4077">
        <w:t xml:space="preserve"> </w:t>
      </w:r>
      <w:r>
        <w:t>superbes</w:t>
      </w:r>
      <w:r w:rsidRPr="002C4077">
        <w:t xml:space="preserve"> </w:t>
      </w:r>
      <w:r>
        <w:t>qui,</w:t>
      </w:r>
      <w:r w:rsidRPr="002C4077">
        <w:t xml:space="preserve"> </w:t>
      </w:r>
      <w:r>
        <w:t>du</w:t>
      </w:r>
      <w:r w:rsidRPr="002C4077">
        <w:t xml:space="preserve"> </w:t>
      </w:r>
      <w:r>
        <w:t>haut</w:t>
      </w:r>
      <w:r w:rsidRPr="002C4077">
        <w:t xml:space="preserve"> </w:t>
      </w:r>
      <w:r>
        <w:t>de</w:t>
      </w:r>
      <w:r w:rsidRPr="002C4077">
        <w:t xml:space="preserve"> </w:t>
      </w:r>
      <w:r>
        <w:t>la</w:t>
      </w:r>
      <w:r w:rsidRPr="002C4077">
        <w:t xml:space="preserve"> </w:t>
      </w:r>
      <w:r>
        <w:t>chaire</w:t>
      </w:r>
      <w:r w:rsidRPr="002C4077">
        <w:t xml:space="preserve"> </w:t>
      </w:r>
      <w:r>
        <w:t>où</w:t>
      </w:r>
      <w:r w:rsidRPr="002C4077">
        <w:t xml:space="preserve"> </w:t>
      </w:r>
      <w:r>
        <w:t>ils</w:t>
      </w:r>
      <w:r w:rsidRPr="002C4077">
        <w:t xml:space="preserve"> </w:t>
      </w:r>
      <w:r w:rsidR="006F72A8">
        <w:t>siégeaient</w:t>
      </w:r>
      <w:r w:rsidRPr="002C4077">
        <w:t xml:space="preserve"> </w:t>
      </w:r>
      <w:r>
        <w:t>comme</w:t>
      </w:r>
      <w:r w:rsidRPr="002C4077">
        <w:t xml:space="preserve"> </w:t>
      </w:r>
      <w:r>
        <w:t>docteurs,</w:t>
      </w:r>
      <w:r w:rsidRPr="002C4077">
        <w:t xml:space="preserve"> </w:t>
      </w:r>
      <w:r>
        <w:t>contemplent</w:t>
      </w:r>
      <w:r w:rsidRPr="002C4077">
        <w:t xml:space="preserve"> </w:t>
      </w:r>
      <w:r>
        <w:t>avec</w:t>
      </w:r>
      <w:r w:rsidRPr="002C4077">
        <w:t xml:space="preserve"> </w:t>
      </w:r>
      <w:r>
        <w:t>mépris</w:t>
      </w:r>
      <w:r w:rsidRPr="002C4077">
        <w:t xml:space="preserve"> </w:t>
      </w:r>
      <w:r>
        <w:t>le</w:t>
      </w:r>
      <w:r w:rsidRPr="002C4077">
        <w:t xml:space="preserve"> </w:t>
      </w:r>
      <w:r>
        <w:t>pauvre</w:t>
      </w:r>
      <w:r w:rsidRPr="002C4077">
        <w:t xml:space="preserve"> </w:t>
      </w:r>
      <w:r>
        <w:t>travailleur,</w:t>
      </w:r>
      <w:r w:rsidRPr="002C4077">
        <w:t xml:space="preserve"> </w:t>
      </w:r>
      <w:r>
        <w:t>et</w:t>
      </w:r>
      <w:r w:rsidRPr="002C4077">
        <w:t xml:space="preserve"> </w:t>
      </w:r>
      <w:r>
        <w:t>qui</w:t>
      </w:r>
      <w:r w:rsidRPr="002C4077">
        <w:t xml:space="preserve"> </w:t>
      </w:r>
      <w:r>
        <w:t>croient</w:t>
      </w:r>
      <w:r w:rsidRPr="002C4077">
        <w:t xml:space="preserve"> </w:t>
      </w:r>
      <w:r w:rsidRPr="000A34B5">
        <w:rPr>
          <w:rStyle w:val="italicus"/>
        </w:rPr>
        <w:t>l’encre</w:t>
      </w:r>
      <w:r w:rsidRPr="002C4077">
        <w:t xml:space="preserve"> </w:t>
      </w:r>
      <w:r w:rsidRPr="000A34B5">
        <w:rPr>
          <w:rStyle w:val="italicus"/>
        </w:rPr>
        <w:t>du</w:t>
      </w:r>
      <w:r w:rsidRPr="002C4077">
        <w:t xml:space="preserve"> </w:t>
      </w:r>
      <w:r w:rsidRPr="000A34B5">
        <w:rPr>
          <w:rStyle w:val="italicus"/>
        </w:rPr>
        <w:t>savant</w:t>
      </w:r>
      <w:r w:rsidRPr="002C4077">
        <w:t xml:space="preserve"> </w:t>
      </w:r>
      <w:r w:rsidRPr="000A34B5">
        <w:rPr>
          <w:rStyle w:val="italicus"/>
        </w:rPr>
        <w:t>plus</w:t>
      </w:r>
      <w:r w:rsidRPr="002C4077">
        <w:t xml:space="preserve"> </w:t>
      </w:r>
      <w:r w:rsidRPr="000A34B5">
        <w:rPr>
          <w:rStyle w:val="italicus"/>
        </w:rPr>
        <w:t>précieuse</w:t>
      </w:r>
      <w:r w:rsidRPr="002C4077">
        <w:t xml:space="preserve"> </w:t>
      </w:r>
      <w:r w:rsidRPr="000A34B5">
        <w:rPr>
          <w:rStyle w:val="italicus"/>
        </w:rPr>
        <w:t>que</w:t>
      </w:r>
      <w:r w:rsidRPr="002C4077">
        <w:t xml:space="preserve"> </w:t>
      </w:r>
      <w:r w:rsidRPr="000A34B5">
        <w:rPr>
          <w:rStyle w:val="italicus"/>
        </w:rPr>
        <w:t>le</w:t>
      </w:r>
      <w:r w:rsidRPr="002C4077">
        <w:t xml:space="preserve"> </w:t>
      </w:r>
      <w:r w:rsidRPr="000A34B5">
        <w:rPr>
          <w:rStyle w:val="italicus"/>
        </w:rPr>
        <w:t>sang</w:t>
      </w:r>
      <w:r w:rsidRPr="002C4077">
        <w:t xml:space="preserve"> </w:t>
      </w:r>
      <w:r w:rsidRPr="000A34B5">
        <w:rPr>
          <w:rStyle w:val="italicus"/>
        </w:rPr>
        <w:t>des</w:t>
      </w:r>
      <w:r w:rsidRPr="002C4077">
        <w:t xml:space="preserve"> </w:t>
      </w:r>
      <w:r w:rsidRPr="000A34B5">
        <w:rPr>
          <w:rStyle w:val="italicus"/>
        </w:rPr>
        <w:t>martyrs</w:t>
      </w:r>
      <w:r w:rsidR="006F72A8">
        <w:rPr>
          <w:rStyle w:val="Appelnotedebasdep"/>
          <w:i/>
        </w:rPr>
        <w:footnoteReference w:id="773"/>
      </w:r>
      <w:r w:rsidR="006F72A8">
        <w:rPr>
          <w:rStyle w:val="italicus"/>
        </w:rPr>
        <w:t>.</w:t>
      </w:r>
      <w:r w:rsidR="00C45B47">
        <w:t xml:space="preserve"> {</w:t>
      </w:r>
      <w:r w:rsidR="001F5257">
        <w:t>246</w:t>
      </w:r>
      <w:bookmarkStart w:id="597" w:name="p246"/>
      <w:bookmarkEnd w:id="597"/>
      <w:r w:rsidR="001F5257">
        <w:t xml:space="preserve">} </w:t>
      </w:r>
      <w:r>
        <w:t>Tel</w:t>
      </w:r>
      <w:r w:rsidRPr="002C4077">
        <w:t xml:space="preserve"> </w:t>
      </w:r>
      <w:r>
        <w:t>R.</w:t>
      </w:r>
      <w:r w:rsidRPr="002C4077">
        <w:t xml:space="preserve"> </w:t>
      </w:r>
      <w:r>
        <w:t>Nech</w:t>
      </w:r>
      <w:r w:rsidR="006F72A8">
        <w:t>u</w:t>
      </w:r>
      <w:r w:rsidR="003B53FD">
        <w:t>nia</w:t>
      </w:r>
      <w:r w:rsidRPr="002C4077">
        <w:t xml:space="preserve"> </w:t>
      </w:r>
      <w:r>
        <w:t>ben</w:t>
      </w:r>
      <w:r w:rsidRPr="002C4077">
        <w:t xml:space="preserve"> </w:t>
      </w:r>
      <w:r>
        <w:t>Hakana</w:t>
      </w:r>
      <w:r w:rsidRPr="002C4077">
        <w:t xml:space="preserve"> </w:t>
      </w:r>
      <w:r>
        <w:t>qui,</w:t>
      </w:r>
      <w:r w:rsidRPr="002C4077">
        <w:t xml:space="preserve"> </w:t>
      </w:r>
      <w:r>
        <w:t>au</w:t>
      </w:r>
      <w:r w:rsidRPr="002C4077">
        <w:t xml:space="preserve"> </w:t>
      </w:r>
      <w:r>
        <w:t>sortir</w:t>
      </w:r>
      <w:r w:rsidRPr="002C4077">
        <w:t xml:space="preserve"> </w:t>
      </w:r>
      <w:r>
        <w:t>de</w:t>
      </w:r>
      <w:r w:rsidRPr="002C4077">
        <w:t xml:space="preserve"> </w:t>
      </w:r>
      <w:r>
        <w:t>son</w:t>
      </w:r>
      <w:r w:rsidRPr="002C4077">
        <w:t xml:space="preserve"> </w:t>
      </w:r>
      <w:r>
        <w:t>cours,</w:t>
      </w:r>
      <w:r w:rsidRPr="002C4077">
        <w:t xml:space="preserve"> </w:t>
      </w:r>
      <w:r>
        <w:t>avait</w:t>
      </w:r>
      <w:r w:rsidRPr="002C4077">
        <w:t xml:space="preserve"> </w:t>
      </w:r>
      <w:r>
        <w:t>coutume</w:t>
      </w:r>
      <w:r w:rsidRPr="002C4077">
        <w:t xml:space="preserve"> </w:t>
      </w:r>
      <w:r>
        <w:t>de</w:t>
      </w:r>
      <w:r w:rsidRPr="002C4077">
        <w:t xml:space="preserve"> </w:t>
      </w:r>
      <w:r>
        <w:t>faire</w:t>
      </w:r>
      <w:r w:rsidRPr="002C4077">
        <w:t xml:space="preserve"> </w:t>
      </w:r>
      <w:r>
        <w:t>cette</w:t>
      </w:r>
      <w:r w:rsidRPr="002C4077">
        <w:t xml:space="preserve"> </w:t>
      </w:r>
      <w:r>
        <w:t>prière</w:t>
      </w:r>
      <w:r w:rsidR="00B546AF">
        <w:t> :</w:t>
      </w:r>
      <w:r w:rsidRPr="002C4077">
        <w:t xml:space="preserve"> </w:t>
      </w:r>
      <w:r w:rsidR="00B546AF">
        <w:t>« </w:t>
      </w:r>
      <w:r>
        <w:t>Je</w:t>
      </w:r>
      <w:r w:rsidRPr="002C4077">
        <w:t xml:space="preserve"> </w:t>
      </w:r>
      <w:r>
        <w:t>vous</w:t>
      </w:r>
      <w:r w:rsidRPr="002C4077">
        <w:t xml:space="preserve"> </w:t>
      </w:r>
      <w:r>
        <w:t>remercie,</w:t>
      </w:r>
      <w:r w:rsidRPr="002C4077">
        <w:t xml:space="preserve"> </w:t>
      </w:r>
      <w:r>
        <w:t>Seigneur</w:t>
      </w:r>
      <w:r w:rsidRPr="002C4077">
        <w:t xml:space="preserve"> </w:t>
      </w:r>
      <w:r>
        <w:t>mon</w:t>
      </w:r>
      <w:r w:rsidRPr="002C4077">
        <w:t xml:space="preserve"> </w:t>
      </w:r>
      <w:r>
        <w:t>Dieu,</w:t>
      </w:r>
      <w:r w:rsidRPr="002C4077">
        <w:t xml:space="preserve"> </w:t>
      </w:r>
      <w:r>
        <w:t>de</w:t>
      </w:r>
      <w:r w:rsidRPr="002C4077">
        <w:t xml:space="preserve"> </w:t>
      </w:r>
      <w:r>
        <w:t>ce</w:t>
      </w:r>
      <w:r w:rsidRPr="002C4077">
        <w:t xml:space="preserve"> </w:t>
      </w:r>
      <w:r>
        <w:t>que</w:t>
      </w:r>
      <w:r w:rsidRPr="002C4077">
        <w:t xml:space="preserve"> </w:t>
      </w:r>
      <w:r>
        <w:t>ma</w:t>
      </w:r>
      <w:r w:rsidRPr="002C4077">
        <w:t xml:space="preserve"> </w:t>
      </w:r>
      <w:r>
        <w:t>part</w:t>
      </w:r>
      <w:r w:rsidRPr="002C4077">
        <w:t xml:space="preserve"> </w:t>
      </w:r>
      <w:r>
        <w:t>m’a</w:t>
      </w:r>
      <w:r w:rsidRPr="002C4077">
        <w:t xml:space="preserve"> </w:t>
      </w:r>
      <w:r>
        <w:t>été</w:t>
      </w:r>
      <w:r w:rsidRPr="002C4077">
        <w:t xml:space="preserve"> </w:t>
      </w:r>
      <w:r>
        <w:t>assignée</w:t>
      </w:r>
      <w:r w:rsidRPr="002C4077">
        <w:t xml:space="preserve"> </w:t>
      </w:r>
      <w:r>
        <w:t>parmi</w:t>
      </w:r>
      <w:r w:rsidRPr="002C4077">
        <w:t xml:space="preserve"> </w:t>
      </w:r>
      <w:r>
        <w:t>ceux</w:t>
      </w:r>
      <w:r w:rsidRPr="002C4077">
        <w:t xml:space="preserve"> </w:t>
      </w:r>
      <w:r>
        <w:t>qui</w:t>
      </w:r>
      <w:r w:rsidRPr="002C4077">
        <w:t xml:space="preserve"> </w:t>
      </w:r>
      <w:r>
        <w:t>visitent</w:t>
      </w:r>
      <w:r w:rsidRPr="002C4077">
        <w:t xml:space="preserve"> </w:t>
      </w:r>
      <w:r>
        <w:t>la</w:t>
      </w:r>
      <w:r w:rsidRPr="002C4077">
        <w:t xml:space="preserve"> </w:t>
      </w:r>
      <w:r>
        <w:t>maison</w:t>
      </w:r>
      <w:r w:rsidRPr="002C4077">
        <w:t xml:space="preserve"> </w:t>
      </w:r>
      <w:r>
        <w:t>de</w:t>
      </w:r>
      <w:r w:rsidRPr="002C4077">
        <w:t xml:space="preserve"> </w:t>
      </w:r>
      <w:r>
        <w:t>la</w:t>
      </w:r>
      <w:r w:rsidRPr="002C4077">
        <w:t xml:space="preserve"> </w:t>
      </w:r>
      <w:r>
        <w:t>science,</w:t>
      </w:r>
      <w:r w:rsidRPr="002C4077">
        <w:t xml:space="preserve"> </w:t>
      </w:r>
      <w:r>
        <w:t>et</w:t>
      </w:r>
      <w:r w:rsidRPr="002C4077">
        <w:t xml:space="preserve"> </w:t>
      </w:r>
      <w:r>
        <w:t>non</w:t>
      </w:r>
      <w:r w:rsidRPr="002C4077">
        <w:t xml:space="preserve"> </w:t>
      </w:r>
      <w:r>
        <w:t>parmi</w:t>
      </w:r>
      <w:r w:rsidRPr="002C4077">
        <w:t xml:space="preserve"> </w:t>
      </w:r>
      <w:r>
        <w:t>ceux</w:t>
      </w:r>
      <w:r w:rsidRPr="002C4077">
        <w:t xml:space="preserve"> </w:t>
      </w:r>
      <w:r>
        <w:t>qui</w:t>
      </w:r>
      <w:r w:rsidRPr="002C4077">
        <w:t xml:space="preserve"> </w:t>
      </w:r>
      <w:r>
        <w:t>travaillent</w:t>
      </w:r>
      <w:r w:rsidRPr="002C4077">
        <w:t xml:space="preserve"> </w:t>
      </w:r>
      <w:r>
        <w:t>aux</w:t>
      </w:r>
      <w:r w:rsidRPr="002C4077">
        <w:t xml:space="preserve"> </w:t>
      </w:r>
      <w:r>
        <w:t>coins</w:t>
      </w:r>
      <w:r w:rsidRPr="002C4077">
        <w:t xml:space="preserve"> </w:t>
      </w:r>
      <w:r>
        <w:t>des</w:t>
      </w:r>
      <w:r w:rsidRPr="002C4077">
        <w:t xml:space="preserve"> </w:t>
      </w:r>
      <w:r>
        <w:t>rues.</w:t>
      </w:r>
      <w:r w:rsidRPr="002C4077">
        <w:t xml:space="preserve"> </w:t>
      </w:r>
      <w:r>
        <w:t>Car</w:t>
      </w:r>
      <w:r w:rsidRPr="002C4077">
        <w:t xml:space="preserve"> </w:t>
      </w:r>
      <w:r>
        <w:t>je</w:t>
      </w:r>
      <w:r w:rsidRPr="002C4077">
        <w:t xml:space="preserve"> </w:t>
      </w:r>
      <w:r>
        <w:t>me</w:t>
      </w:r>
      <w:r w:rsidRPr="002C4077">
        <w:t xml:space="preserve"> </w:t>
      </w:r>
      <w:r>
        <w:t>lève</w:t>
      </w:r>
      <w:r w:rsidRPr="002C4077">
        <w:t xml:space="preserve"> </w:t>
      </w:r>
      <w:r>
        <w:t>de</w:t>
      </w:r>
      <w:r w:rsidRPr="002C4077">
        <w:t xml:space="preserve"> </w:t>
      </w:r>
      <w:r>
        <w:t>bonne</w:t>
      </w:r>
      <w:r w:rsidRPr="002C4077">
        <w:t xml:space="preserve"> </w:t>
      </w:r>
      <w:r>
        <w:t>heure,</w:t>
      </w:r>
      <w:r w:rsidRPr="002C4077">
        <w:t xml:space="preserve"> </w:t>
      </w:r>
      <w:r>
        <w:t>et</w:t>
      </w:r>
      <w:r w:rsidRPr="002C4077">
        <w:t xml:space="preserve"> </w:t>
      </w:r>
      <w:r>
        <w:t>ils</w:t>
      </w:r>
      <w:r w:rsidRPr="002C4077">
        <w:t xml:space="preserve"> </w:t>
      </w:r>
      <w:r>
        <w:t>se</w:t>
      </w:r>
      <w:r w:rsidRPr="002C4077">
        <w:t xml:space="preserve"> </w:t>
      </w:r>
      <w:r>
        <w:t>lèvent</w:t>
      </w:r>
      <w:r w:rsidRPr="002C4077">
        <w:t xml:space="preserve"> </w:t>
      </w:r>
      <w:r>
        <w:t>de</w:t>
      </w:r>
      <w:r w:rsidRPr="002C4077">
        <w:t xml:space="preserve"> </w:t>
      </w:r>
      <w:r>
        <w:t>bonne</w:t>
      </w:r>
      <w:r w:rsidRPr="002C4077">
        <w:t xml:space="preserve"> </w:t>
      </w:r>
      <w:r>
        <w:t>heure.</w:t>
      </w:r>
      <w:r w:rsidRPr="002C4077">
        <w:t xml:space="preserve"> </w:t>
      </w:r>
      <w:r>
        <w:t>Dès</w:t>
      </w:r>
      <w:r w:rsidRPr="002C4077">
        <w:t xml:space="preserve"> </w:t>
      </w:r>
      <w:r>
        <w:t>l’aurore</w:t>
      </w:r>
      <w:r w:rsidRPr="002C4077">
        <w:t xml:space="preserve"> </w:t>
      </w:r>
      <w:r>
        <w:t>je</w:t>
      </w:r>
      <w:r w:rsidRPr="002C4077">
        <w:t xml:space="preserve"> </w:t>
      </w:r>
      <w:r>
        <w:t>m’applique</w:t>
      </w:r>
      <w:r w:rsidRPr="002C4077">
        <w:t xml:space="preserve"> </w:t>
      </w:r>
      <w:r>
        <w:t>aux</w:t>
      </w:r>
      <w:r w:rsidRPr="002C4077">
        <w:t xml:space="preserve"> </w:t>
      </w:r>
      <w:r>
        <w:t>paroles</w:t>
      </w:r>
      <w:r w:rsidRPr="002C4077">
        <w:t xml:space="preserve"> </w:t>
      </w:r>
      <w:r>
        <w:t>de</w:t>
      </w:r>
      <w:r w:rsidRPr="002C4077">
        <w:t xml:space="preserve"> </w:t>
      </w:r>
      <w:r>
        <w:t>la</w:t>
      </w:r>
      <w:r w:rsidRPr="002C4077">
        <w:t xml:space="preserve"> </w:t>
      </w:r>
      <w:r>
        <w:t>loi</w:t>
      </w:r>
      <w:r w:rsidR="00B546AF">
        <w:t> ;</w:t>
      </w:r>
      <w:r w:rsidRPr="002C4077">
        <w:t xml:space="preserve"> </w:t>
      </w:r>
      <w:r>
        <w:t>mais</w:t>
      </w:r>
      <w:r w:rsidRPr="002C4077">
        <w:t xml:space="preserve"> </w:t>
      </w:r>
      <w:r>
        <w:t>eux,</w:t>
      </w:r>
      <w:r w:rsidRPr="002C4077">
        <w:t xml:space="preserve"> </w:t>
      </w:r>
      <w:r>
        <w:t>à</w:t>
      </w:r>
      <w:r w:rsidRPr="002C4077">
        <w:t xml:space="preserve"> </w:t>
      </w:r>
      <w:r>
        <w:t>des</w:t>
      </w:r>
      <w:r w:rsidRPr="002C4077">
        <w:t xml:space="preserve"> </w:t>
      </w:r>
      <w:r>
        <w:t>choses</w:t>
      </w:r>
      <w:r w:rsidRPr="002C4077">
        <w:t xml:space="preserve"> </w:t>
      </w:r>
      <w:r>
        <w:t>vaines.</w:t>
      </w:r>
      <w:r w:rsidRPr="002C4077">
        <w:t xml:space="preserve"> </w:t>
      </w:r>
      <w:r>
        <w:lastRenderedPageBreak/>
        <w:t>Je</w:t>
      </w:r>
      <w:r w:rsidRPr="002C4077">
        <w:t xml:space="preserve"> </w:t>
      </w:r>
      <w:r>
        <w:t>travaille</w:t>
      </w:r>
      <w:r w:rsidRPr="002C4077">
        <w:t xml:space="preserve"> </w:t>
      </w:r>
      <w:r>
        <w:t>et</w:t>
      </w:r>
      <w:r w:rsidRPr="002C4077">
        <w:t xml:space="preserve"> </w:t>
      </w:r>
      <w:r>
        <w:t>ils</w:t>
      </w:r>
      <w:r w:rsidRPr="002C4077">
        <w:t xml:space="preserve"> </w:t>
      </w:r>
      <w:r>
        <w:t>travaillent.</w:t>
      </w:r>
      <w:r w:rsidRPr="002C4077">
        <w:t xml:space="preserve"> </w:t>
      </w:r>
      <w:r>
        <w:t>Je</w:t>
      </w:r>
      <w:r w:rsidRPr="002C4077">
        <w:t xml:space="preserve"> </w:t>
      </w:r>
      <w:r>
        <w:t>travaille</w:t>
      </w:r>
      <w:r w:rsidRPr="002C4077">
        <w:t xml:space="preserve"> </w:t>
      </w:r>
      <w:r>
        <w:t>et</w:t>
      </w:r>
      <w:r w:rsidRPr="002C4077">
        <w:t xml:space="preserve"> </w:t>
      </w:r>
      <w:r>
        <w:t>je</w:t>
      </w:r>
      <w:r w:rsidRPr="002C4077">
        <w:t xml:space="preserve"> </w:t>
      </w:r>
      <w:r>
        <w:t>reçois</w:t>
      </w:r>
      <w:r w:rsidRPr="002C4077">
        <w:t xml:space="preserve"> </w:t>
      </w:r>
      <w:r>
        <w:t>une</w:t>
      </w:r>
      <w:r w:rsidRPr="002C4077">
        <w:t xml:space="preserve"> </w:t>
      </w:r>
      <w:r>
        <w:t>récompense</w:t>
      </w:r>
      <w:r w:rsidR="00B546AF">
        <w:t> ;</w:t>
      </w:r>
      <w:r w:rsidRPr="002C4077">
        <w:t xml:space="preserve"> </w:t>
      </w:r>
      <w:r>
        <w:t>ils</w:t>
      </w:r>
      <w:r w:rsidRPr="002C4077">
        <w:t xml:space="preserve"> </w:t>
      </w:r>
      <w:r>
        <w:t>travaillent</w:t>
      </w:r>
      <w:r w:rsidRPr="002C4077">
        <w:t xml:space="preserve"> </w:t>
      </w:r>
      <w:r>
        <w:t>et</w:t>
      </w:r>
      <w:r w:rsidRPr="002C4077">
        <w:t xml:space="preserve"> </w:t>
      </w:r>
      <w:r>
        <w:t>n’en</w:t>
      </w:r>
      <w:r w:rsidRPr="002C4077">
        <w:t xml:space="preserve"> </w:t>
      </w:r>
      <w:r>
        <w:t>reçoivent</w:t>
      </w:r>
      <w:r w:rsidRPr="002C4077">
        <w:t xml:space="preserve"> </w:t>
      </w:r>
      <w:r>
        <w:t>aucune.</w:t>
      </w:r>
      <w:r w:rsidRPr="002C4077">
        <w:t xml:space="preserve"> </w:t>
      </w:r>
      <w:r>
        <w:t>Je</w:t>
      </w:r>
      <w:r w:rsidRPr="002C4077">
        <w:t xml:space="preserve"> </w:t>
      </w:r>
      <w:r>
        <w:t>cours</w:t>
      </w:r>
      <w:r w:rsidRPr="002C4077">
        <w:t xml:space="preserve"> </w:t>
      </w:r>
      <w:r>
        <w:t>et</w:t>
      </w:r>
      <w:r w:rsidRPr="002C4077">
        <w:t xml:space="preserve"> </w:t>
      </w:r>
      <w:r>
        <w:t>ils</w:t>
      </w:r>
      <w:r w:rsidRPr="002C4077">
        <w:t xml:space="preserve"> </w:t>
      </w:r>
      <w:r>
        <w:t>courent.</w:t>
      </w:r>
      <w:r w:rsidRPr="002C4077">
        <w:t xml:space="preserve"> </w:t>
      </w:r>
      <w:r>
        <w:t>Je</w:t>
      </w:r>
      <w:r w:rsidRPr="002C4077">
        <w:t xml:space="preserve"> </w:t>
      </w:r>
      <w:r>
        <w:t>cours</w:t>
      </w:r>
      <w:r w:rsidRPr="002C4077">
        <w:t xml:space="preserve"> </w:t>
      </w:r>
      <w:r>
        <w:t>à</w:t>
      </w:r>
      <w:r w:rsidRPr="002C4077">
        <w:t xml:space="preserve"> </w:t>
      </w:r>
      <w:r>
        <w:t>la</w:t>
      </w:r>
      <w:r w:rsidRPr="002C4077">
        <w:t xml:space="preserve"> </w:t>
      </w:r>
      <w:r>
        <w:t>vie</w:t>
      </w:r>
      <w:r w:rsidRPr="002C4077">
        <w:t xml:space="preserve"> </w:t>
      </w:r>
      <w:r>
        <w:t>éternelle,</w:t>
      </w:r>
      <w:r w:rsidRPr="002C4077">
        <w:t xml:space="preserve"> </w:t>
      </w:r>
      <w:r>
        <w:t>tandis</w:t>
      </w:r>
      <w:r w:rsidRPr="002C4077">
        <w:t xml:space="preserve"> </w:t>
      </w:r>
      <w:r>
        <w:t>qu’ils</w:t>
      </w:r>
      <w:r w:rsidRPr="002C4077">
        <w:t xml:space="preserve"> </w:t>
      </w:r>
      <w:r>
        <w:t>courent</w:t>
      </w:r>
      <w:r w:rsidRPr="002C4077">
        <w:t xml:space="preserve"> </w:t>
      </w:r>
      <w:r>
        <w:t>vers</w:t>
      </w:r>
      <w:r w:rsidRPr="002C4077">
        <w:t xml:space="preserve"> </w:t>
      </w:r>
      <w:r>
        <w:t>l’abîme</w:t>
      </w:r>
      <w:r w:rsidR="00B91AF7">
        <w:rPr>
          <w:rStyle w:val="Appelnotedebasdep"/>
        </w:rPr>
        <w:footnoteReference w:id="774"/>
      </w:r>
      <w:r w:rsidR="00B546AF">
        <w:t> »</w:t>
      </w:r>
      <w:r>
        <w:t>.</w:t>
      </w:r>
      <w:r w:rsidRPr="002C4077">
        <w:t xml:space="preserve"> </w:t>
      </w:r>
      <w:r>
        <w:t>Assurément,</w:t>
      </w:r>
      <w:r w:rsidRPr="002C4077">
        <w:t xml:space="preserve"> </w:t>
      </w:r>
      <w:r>
        <w:t>tous</w:t>
      </w:r>
      <w:r w:rsidRPr="002C4077">
        <w:t xml:space="preserve"> </w:t>
      </w:r>
      <w:r>
        <w:t>nous</w:t>
      </w:r>
      <w:r w:rsidRPr="002C4077">
        <w:t xml:space="preserve"> </w:t>
      </w:r>
      <w:r>
        <w:t>préférerons</w:t>
      </w:r>
      <w:r w:rsidRPr="002C4077">
        <w:t xml:space="preserve"> </w:t>
      </w:r>
      <w:r>
        <w:t>ces</w:t>
      </w:r>
      <w:r w:rsidRPr="002C4077">
        <w:t xml:space="preserve"> </w:t>
      </w:r>
      <w:r>
        <w:t>autres</w:t>
      </w:r>
      <w:r w:rsidRPr="002C4077">
        <w:t xml:space="preserve"> </w:t>
      </w:r>
      <w:r>
        <w:t>paroles,</w:t>
      </w:r>
      <w:r w:rsidRPr="002C4077">
        <w:t xml:space="preserve"> </w:t>
      </w:r>
      <w:r>
        <w:t>à</w:t>
      </w:r>
      <w:r w:rsidRPr="002C4077">
        <w:t xml:space="preserve"> </w:t>
      </w:r>
      <w:r>
        <w:t>peu</w:t>
      </w:r>
      <w:r w:rsidRPr="002C4077">
        <w:t xml:space="preserve"> </w:t>
      </w:r>
      <w:r>
        <w:t>près</w:t>
      </w:r>
      <w:r w:rsidRPr="002C4077">
        <w:t xml:space="preserve"> </w:t>
      </w:r>
      <w:r>
        <w:t>identiques</w:t>
      </w:r>
      <w:r w:rsidRPr="002C4077">
        <w:t xml:space="preserve"> </w:t>
      </w:r>
      <w:r>
        <w:t>pour</w:t>
      </w:r>
      <w:r w:rsidRPr="002C4077">
        <w:t xml:space="preserve"> </w:t>
      </w:r>
      <w:r>
        <w:t>la</w:t>
      </w:r>
      <w:r w:rsidRPr="002C4077">
        <w:t xml:space="preserve"> </w:t>
      </w:r>
      <w:r>
        <w:t>forme,</w:t>
      </w:r>
      <w:r w:rsidRPr="002C4077">
        <w:t xml:space="preserve"> </w:t>
      </w:r>
      <w:r>
        <w:t>mais</w:t>
      </w:r>
      <w:r w:rsidRPr="002C4077">
        <w:t xml:space="preserve"> </w:t>
      </w:r>
      <w:r>
        <w:t>si</w:t>
      </w:r>
      <w:r w:rsidRPr="002C4077">
        <w:t xml:space="preserve"> </w:t>
      </w:r>
      <w:r>
        <w:t>différentes</w:t>
      </w:r>
      <w:r w:rsidRPr="002C4077">
        <w:t xml:space="preserve"> </w:t>
      </w:r>
      <w:r>
        <w:t>quant</w:t>
      </w:r>
      <w:r w:rsidRPr="002C4077">
        <w:t xml:space="preserve"> </w:t>
      </w:r>
      <w:r>
        <w:t>au</w:t>
      </w:r>
      <w:r w:rsidRPr="002C4077">
        <w:t xml:space="preserve"> </w:t>
      </w:r>
      <w:r>
        <w:t>sens,</w:t>
      </w:r>
      <w:r w:rsidRPr="002C4077">
        <w:t xml:space="preserve"> </w:t>
      </w:r>
      <w:r>
        <w:t>attribuées</w:t>
      </w:r>
      <w:r w:rsidRPr="002C4077">
        <w:t xml:space="preserve"> </w:t>
      </w:r>
      <w:r>
        <w:t>aux</w:t>
      </w:r>
      <w:r w:rsidRPr="002C4077">
        <w:t xml:space="preserve"> </w:t>
      </w:r>
      <w:r>
        <w:t>illustres</w:t>
      </w:r>
      <w:r w:rsidRPr="002C4077">
        <w:t xml:space="preserve"> </w:t>
      </w:r>
      <w:r>
        <w:t>docteurs</w:t>
      </w:r>
      <w:r w:rsidRPr="002C4077">
        <w:t xml:space="preserve"> </w:t>
      </w:r>
      <w:r>
        <w:t>de</w:t>
      </w:r>
      <w:r w:rsidRPr="002C4077">
        <w:t xml:space="preserve"> </w:t>
      </w:r>
      <w:r>
        <w:t>Jabné</w:t>
      </w:r>
      <w:bookmarkStart w:id="598" w:name="y_DocteursDeJabne"/>
      <w:bookmarkEnd w:id="598"/>
      <w:r w:rsidR="00B546AF">
        <w:t> :</w:t>
      </w:r>
      <w:r w:rsidRPr="002C4077">
        <w:t xml:space="preserve"> </w:t>
      </w:r>
      <w:r w:rsidR="00B546AF">
        <w:t>« </w:t>
      </w:r>
      <w:r>
        <w:t>Je</w:t>
      </w:r>
      <w:r w:rsidRPr="002C4077">
        <w:t xml:space="preserve"> </w:t>
      </w:r>
      <w:r>
        <w:t>suis</w:t>
      </w:r>
      <w:r w:rsidRPr="002C4077">
        <w:t xml:space="preserve"> </w:t>
      </w:r>
      <w:r>
        <w:t>la</w:t>
      </w:r>
      <w:r w:rsidRPr="002C4077">
        <w:t xml:space="preserve"> </w:t>
      </w:r>
      <w:r>
        <w:t>créature</w:t>
      </w:r>
      <w:r w:rsidRPr="002C4077">
        <w:t xml:space="preserve"> </w:t>
      </w:r>
      <w:r>
        <w:t>de</w:t>
      </w:r>
      <w:r w:rsidRPr="002C4077">
        <w:t xml:space="preserve"> </w:t>
      </w:r>
      <w:r>
        <w:t>Dieu</w:t>
      </w:r>
      <w:r w:rsidR="00B546AF">
        <w:t> ;</w:t>
      </w:r>
      <w:r w:rsidRPr="002C4077">
        <w:t xml:space="preserve"> </w:t>
      </w:r>
      <w:r>
        <w:t>mon</w:t>
      </w:r>
      <w:r w:rsidRPr="002C4077">
        <w:t xml:space="preserve"> </w:t>
      </w:r>
      <w:r>
        <w:t>prochain</w:t>
      </w:r>
      <w:r w:rsidRPr="002C4077">
        <w:t xml:space="preserve"> </w:t>
      </w:r>
      <w:r>
        <w:t>l’est</w:t>
      </w:r>
      <w:r w:rsidRPr="002C4077">
        <w:t xml:space="preserve"> </w:t>
      </w:r>
      <w:r>
        <w:t>aussi.</w:t>
      </w:r>
      <w:r w:rsidRPr="002C4077">
        <w:t xml:space="preserve"> </w:t>
      </w:r>
      <w:r>
        <w:t>J’ai</w:t>
      </w:r>
      <w:r w:rsidRPr="002C4077">
        <w:t xml:space="preserve"> </w:t>
      </w:r>
      <w:r>
        <w:t>mon</w:t>
      </w:r>
      <w:r w:rsidRPr="002C4077">
        <w:t xml:space="preserve"> </w:t>
      </w:r>
      <w:r>
        <w:t>occupation</w:t>
      </w:r>
      <w:r w:rsidRPr="002C4077">
        <w:t xml:space="preserve"> </w:t>
      </w:r>
      <w:r>
        <w:t>dans</w:t>
      </w:r>
      <w:r w:rsidRPr="002C4077">
        <w:t xml:space="preserve"> </w:t>
      </w:r>
      <w:r>
        <w:t>la</w:t>
      </w:r>
      <w:r w:rsidRPr="002C4077">
        <w:t xml:space="preserve"> </w:t>
      </w:r>
      <w:r>
        <w:t>ville,</w:t>
      </w:r>
      <w:r w:rsidRPr="002C4077">
        <w:t xml:space="preserve"> </w:t>
      </w:r>
      <w:r>
        <w:t>et</w:t>
      </w:r>
      <w:r w:rsidRPr="002C4077">
        <w:t xml:space="preserve"> </w:t>
      </w:r>
      <w:r>
        <w:t>lui</w:t>
      </w:r>
      <w:r w:rsidRPr="002C4077">
        <w:t xml:space="preserve"> </w:t>
      </w:r>
      <w:r>
        <w:t>dans</w:t>
      </w:r>
      <w:r w:rsidRPr="002C4077">
        <w:t xml:space="preserve"> </w:t>
      </w:r>
      <w:r>
        <w:t>les</w:t>
      </w:r>
      <w:r w:rsidRPr="002C4077">
        <w:t xml:space="preserve"> </w:t>
      </w:r>
      <w:r>
        <w:t>champs.</w:t>
      </w:r>
      <w:r w:rsidRPr="002C4077">
        <w:t xml:space="preserve"> </w:t>
      </w:r>
      <w:r>
        <w:t>De</w:t>
      </w:r>
      <w:r w:rsidRPr="002C4077">
        <w:t xml:space="preserve"> </w:t>
      </w:r>
      <w:r>
        <w:t>grand</w:t>
      </w:r>
      <w:r w:rsidRPr="002C4077">
        <w:t xml:space="preserve"> </w:t>
      </w:r>
      <w:r>
        <w:t>matin</w:t>
      </w:r>
      <w:r w:rsidRPr="002C4077">
        <w:t xml:space="preserve"> </w:t>
      </w:r>
      <w:r>
        <w:t>je</w:t>
      </w:r>
      <w:r w:rsidRPr="002C4077">
        <w:t xml:space="preserve"> </w:t>
      </w:r>
      <w:r>
        <w:t>vais</w:t>
      </w:r>
      <w:r w:rsidRPr="002C4077">
        <w:t xml:space="preserve"> </w:t>
      </w:r>
      <w:r>
        <w:t>à</w:t>
      </w:r>
      <w:r w:rsidRPr="002C4077">
        <w:t xml:space="preserve"> </w:t>
      </w:r>
      <w:r>
        <w:t>mon</w:t>
      </w:r>
      <w:r w:rsidRPr="002C4077">
        <w:t xml:space="preserve"> </w:t>
      </w:r>
      <w:r>
        <w:t>travail,</w:t>
      </w:r>
      <w:r w:rsidRPr="002C4077">
        <w:t xml:space="preserve"> </w:t>
      </w:r>
      <w:r>
        <w:t>et</w:t>
      </w:r>
      <w:r w:rsidRPr="002C4077">
        <w:t xml:space="preserve"> </w:t>
      </w:r>
      <w:r>
        <w:t>lui</w:t>
      </w:r>
      <w:r w:rsidRPr="002C4077">
        <w:t xml:space="preserve"> </w:t>
      </w:r>
      <w:r>
        <w:t>au</w:t>
      </w:r>
      <w:r w:rsidRPr="002C4077">
        <w:t xml:space="preserve"> </w:t>
      </w:r>
      <w:r>
        <w:t>sien.</w:t>
      </w:r>
      <w:r w:rsidRPr="002C4077">
        <w:t xml:space="preserve"> </w:t>
      </w:r>
      <w:r>
        <w:t>De</w:t>
      </w:r>
      <w:r w:rsidRPr="002C4077">
        <w:t xml:space="preserve"> </w:t>
      </w:r>
      <w:r>
        <w:t>même</w:t>
      </w:r>
      <w:r w:rsidRPr="002C4077">
        <w:t xml:space="preserve"> </w:t>
      </w:r>
      <w:r>
        <w:t>qu’il</w:t>
      </w:r>
      <w:r w:rsidRPr="002C4077">
        <w:t xml:space="preserve"> </w:t>
      </w:r>
      <w:r>
        <w:t>ne</w:t>
      </w:r>
      <w:r w:rsidRPr="002C4077">
        <w:t xml:space="preserve"> </w:t>
      </w:r>
      <w:r>
        <w:t>s’enorgueillit</w:t>
      </w:r>
      <w:r w:rsidRPr="002C4077">
        <w:t xml:space="preserve"> </w:t>
      </w:r>
      <w:r>
        <w:t>pas</w:t>
      </w:r>
      <w:r w:rsidRPr="002C4077">
        <w:t xml:space="preserve"> </w:t>
      </w:r>
      <w:r>
        <w:t>de</w:t>
      </w:r>
      <w:r w:rsidRPr="002C4077">
        <w:t xml:space="preserve"> </w:t>
      </w:r>
      <w:r>
        <w:t>son</w:t>
      </w:r>
      <w:r w:rsidRPr="002C4077">
        <w:t xml:space="preserve"> </w:t>
      </w:r>
      <w:r>
        <w:t>ouvrage,</w:t>
      </w:r>
      <w:r w:rsidRPr="002C4077">
        <w:t xml:space="preserve"> </w:t>
      </w:r>
      <w:r>
        <w:t>moi</w:t>
      </w:r>
      <w:r w:rsidRPr="002C4077">
        <w:t xml:space="preserve"> </w:t>
      </w:r>
      <w:r>
        <w:t>je</w:t>
      </w:r>
      <w:r w:rsidRPr="002C4077">
        <w:t xml:space="preserve"> </w:t>
      </w:r>
      <w:r>
        <w:t>ne</w:t>
      </w:r>
      <w:r w:rsidRPr="002C4077">
        <w:t xml:space="preserve"> </w:t>
      </w:r>
      <w:r>
        <w:t>tire</w:t>
      </w:r>
      <w:r w:rsidRPr="002C4077">
        <w:t xml:space="preserve"> </w:t>
      </w:r>
      <w:r>
        <w:t>pas</w:t>
      </w:r>
      <w:r w:rsidRPr="002C4077">
        <w:t xml:space="preserve"> </w:t>
      </w:r>
      <w:r>
        <w:t>vanité</w:t>
      </w:r>
      <w:r w:rsidRPr="002C4077">
        <w:t xml:space="preserve"> </w:t>
      </w:r>
      <w:r>
        <w:t>du</w:t>
      </w:r>
      <w:r w:rsidRPr="002C4077">
        <w:t xml:space="preserve"> </w:t>
      </w:r>
      <w:r>
        <w:t>mien.</w:t>
      </w:r>
      <w:r w:rsidRPr="002C4077">
        <w:t xml:space="preserve"> </w:t>
      </w:r>
      <w:r>
        <w:t>Que</w:t>
      </w:r>
      <w:r w:rsidRPr="002C4077">
        <w:t xml:space="preserve"> </w:t>
      </w:r>
      <w:r>
        <w:t>si</w:t>
      </w:r>
      <w:r w:rsidRPr="002C4077">
        <w:t xml:space="preserve"> </w:t>
      </w:r>
      <w:r>
        <w:t>cette</w:t>
      </w:r>
      <w:r w:rsidRPr="002C4077">
        <w:t xml:space="preserve"> </w:t>
      </w:r>
      <w:r>
        <w:t>pensée</w:t>
      </w:r>
      <w:r w:rsidRPr="002C4077">
        <w:t xml:space="preserve"> </w:t>
      </w:r>
      <w:r>
        <w:t>te</w:t>
      </w:r>
      <w:r w:rsidRPr="002C4077">
        <w:t xml:space="preserve"> </w:t>
      </w:r>
      <w:r>
        <w:t>venait</w:t>
      </w:r>
      <w:r w:rsidRPr="002C4077">
        <w:t xml:space="preserve"> </w:t>
      </w:r>
      <w:r>
        <w:t>à</w:t>
      </w:r>
      <w:r w:rsidRPr="002C4077">
        <w:t xml:space="preserve"> </w:t>
      </w:r>
      <w:r>
        <w:t>l’esprit</w:t>
      </w:r>
      <w:r w:rsidR="00B546AF">
        <w:t> :</w:t>
      </w:r>
      <w:r w:rsidRPr="002C4077">
        <w:t xml:space="preserve"> </w:t>
      </w:r>
      <w:r>
        <w:t>Moi,</w:t>
      </w:r>
      <w:r w:rsidRPr="002C4077">
        <w:t xml:space="preserve"> </w:t>
      </w:r>
      <w:r>
        <w:t>je</w:t>
      </w:r>
      <w:r w:rsidRPr="002C4077">
        <w:t xml:space="preserve"> </w:t>
      </w:r>
      <w:r>
        <w:t>fais</w:t>
      </w:r>
      <w:r w:rsidRPr="002C4077">
        <w:t xml:space="preserve"> </w:t>
      </w:r>
      <w:r>
        <w:t>de</w:t>
      </w:r>
      <w:r w:rsidRPr="002C4077">
        <w:t xml:space="preserve"> </w:t>
      </w:r>
      <w:r>
        <w:t>grandes</w:t>
      </w:r>
      <w:r w:rsidRPr="002C4077">
        <w:t xml:space="preserve"> </w:t>
      </w:r>
      <w:r>
        <w:t>choses,</w:t>
      </w:r>
      <w:r w:rsidRPr="002C4077">
        <w:t xml:space="preserve"> </w:t>
      </w:r>
      <w:r>
        <w:t>et</w:t>
      </w:r>
      <w:r w:rsidRPr="002C4077">
        <w:t xml:space="preserve"> </w:t>
      </w:r>
      <w:r>
        <w:t>lui</w:t>
      </w:r>
      <w:r w:rsidRPr="002C4077">
        <w:t xml:space="preserve"> </w:t>
      </w:r>
      <w:r>
        <w:t>de</w:t>
      </w:r>
      <w:r w:rsidRPr="002C4077">
        <w:t xml:space="preserve"> </w:t>
      </w:r>
      <w:r>
        <w:t>petites</w:t>
      </w:r>
      <w:r w:rsidR="00B546AF">
        <w:t> ;</w:t>
      </w:r>
      <w:r w:rsidRPr="002C4077">
        <w:t xml:space="preserve"> </w:t>
      </w:r>
      <w:r>
        <w:t>pour</w:t>
      </w:r>
      <w:r w:rsidRPr="002C4077">
        <w:t xml:space="preserve"> </w:t>
      </w:r>
      <w:r>
        <w:t>nous,</w:t>
      </w:r>
      <w:r w:rsidRPr="002C4077">
        <w:t xml:space="preserve"> </w:t>
      </w:r>
      <w:r>
        <w:t>nous</w:t>
      </w:r>
      <w:r w:rsidRPr="002C4077">
        <w:t xml:space="preserve"> </w:t>
      </w:r>
      <w:r>
        <w:t>avons</w:t>
      </w:r>
      <w:r w:rsidRPr="002C4077">
        <w:t xml:space="preserve"> </w:t>
      </w:r>
      <w:r>
        <w:t>appris</w:t>
      </w:r>
      <w:r w:rsidRPr="002C4077">
        <w:t xml:space="preserve"> </w:t>
      </w:r>
      <w:r>
        <w:t>qu’un</w:t>
      </w:r>
      <w:r w:rsidRPr="002C4077">
        <w:t xml:space="preserve"> </w:t>
      </w:r>
      <w:r>
        <w:t>travail</w:t>
      </w:r>
      <w:r w:rsidRPr="002C4077">
        <w:t xml:space="preserve"> </w:t>
      </w:r>
      <w:r>
        <w:t>fidèle,</w:t>
      </w:r>
      <w:r w:rsidRPr="002C4077">
        <w:t xml:space="preserve"> </w:t>
      </w:r>
      <w:r>
        <w:t>soit</w:t>
      </w:r>
      <w:r w:rsidRPr="002C4077">
        <w:t xml:space="preserve"> </w:t>
      </w:r>
      <w:r>
        <w:t>qu’il</w:t>
      </w:r>
      <w:r w:rsidRPr="002C4077">
        <w:t xml:space="preserve"> </w:t>
      </w:r>
      <w:r>
        <w:t>crée</w:t>
      </w:r>
      <w:r w:rsidRPr="002C4077">
        <w:t xml:space="preserve"> </w:t>
      </w:r>
      <w:r>
        <w:t>de</w:t>
      </w:r>
      <w:r w:rsidRPr="002C4077">
        <w:t xml:space="preserve"> </w:t>
      </w:r>
      <w:r>
        <w:t>grandes</w:t>
      </w:r>
      <w:r w:rsidRPr="002C4077">
        <w:t xml:space="preserve"> </w:t>
      </w:r>
      <w:r>
        <w:t>choses,</w:t>
      </w:r>
      <w:r w:rsidRPr="002C4077">
        <w:t xml:space="preserve"> </w:t>
      </w:r>
      <w:r>
        <w:t>soit</w:t>
      </w:r>
      <w:r w:rsidRPr="002C4077">
        <w:t xml:space="preserve"> </w:t>
      </w:r>
      <w:r>
        <w:t>qu’il</w:t>
      </w:r>
      <w:r w:rsidRPr="002C4077">
        <w:t xml:space="preserve"> </w:t>
      </w:r>
      <w:r>
        <w:t>en</w:t>
      </w:r>
      <w:r w:rsidRPr="002C4077">
        <w:t xml:space="preserve"> </w:t>
      </w:r>
      <w:r>
        <w:t>produise</w:t>
      </w:r>
      <w:r w:rsidRPr="002C4077">
        <w:t xml:space="preserve"> </w:t>
      </w:r>
      <w:r>
        <w:t>de</w:t>
      </w:r>
      <w:r w:rsidR="00FD0BB0" w:rsidRPr="002C4077">
        <w:t xml:space="preserve"> </w:t>
      </w:r>
      <w:r w:rsidR="00FD0BB0">
        <w:t>médiocres,</w:t>
      </w:r>
      <w:r w:rsidR="00FD0BB0" w:rsidRPr="002C4077">
        <w:t xml:space="preserve"> </w:t>
      </w:r>
      <w:r w:rsidR="00FD0BB0">
        <w:t>conduit</w:t>
      </w:r>
      <w:r w:rsidR="00FD0BB0" w:rsidRPr="002C4077">
        <w:t xml:space="preserve"> </w:t>
      </w:r>
      <w:r w:rsidR="00FD0BB0">
        <w:t>au</w:t>
      </w:r>
      <w:r w:rsidR="00FD0BB0" w:rsidRPr="002C4077">
        <w:t xml:space="preserve"> </w:t>
      </w:r>
      <w:r w:rsidR="00FD0BB0">
        <w:t>même</w:t>
      </w:r>
      <w:r w:rsidR="00FD0BB0" w:rsidRPr="002C4077">
        <w:t xml:space="preserve"> </w:t>
      </w:r>
      <w:r w:rsidR="00FD0BB0">
        <w:t>but</w:t>
      </w:r>
      <w:r w:rsidR="00FD0BB0">
        <w:rPr>
          <w:rStyle w:val="Appelnotedebasdep"/>
        </w:rPr>
        <w:footnoteReference w:id="775"/>
      </w:r>
      <w:r w:rsidR="00B546AF">
        <w:t> »</w:t>
      </w:r>
      <w:r>
        <w:t>.</w:t>
      </w:r>
      <w:r w:rsidRPr="002C4077">
        <w:t xml:space="preserve"> </w:t>
      </w:r>
    </w:p>
    <w:p w:rsidR="00FD0BB0" w:rsidRDefault="00FD0BB0" w:rsidP="000A7AAB"/>
    <w:p w:rsidR="000A7AAB" w:rsidRDefault="000A7AAB" w:rsidP="000A7AAB">
      <w:r>
        <w:t>On</w:t>
      </w:r>
      <w:r w:rsidRPr="002C4077">
        <w:t xml:space="preserve"> </w:t>
      </w:r>
      <w:r>
        <w:t>conçoit</w:t>
      </w:r>
      <w:r w:rsidRPr="002C4077">
        <w:t xml:space="preserve"> </w:t>
      </w:r>
      <w:r>
        <w:t>parfaitement</w:t>
      </w:r>
      <w:r w:rsidRPr="002C4077">
        <w:t xml:space="preserve"> </w:t>
      </w:r>
      <w:r>
        <w:t>qu’avec</w:t>
      </w:r>
      <w:r w:rsidRPr="002C4077">
        <w:t xml:space="preserve"> </w:t>
      </w:r>
      <w:r>
        <w:t>de</w:t>
      </w:r>
      <w:r w:rsidRPr="002C4077">
        <w:t xml:space="preserve"> </w:t>
      </w:r>
      <w:r>
        <w:t>pareils</w:t>
      </w:r>
      <w:r w:rsidRPr="002C4077">
        <w:t xml:space="preserve"> </w:t>
      </w:r>
      <w:r>
        <w:t>principes,</w:t>
      </w:r>
      <w:r w:rsidRPr="002C4077">
        <w:t xml:space="preserve"> </w:t>
      </w:r>
      <w:r>
        <w:t>reconnus</w:t>
      </w:r>
      <w:r w:rsidRPr="002C4077">
        <w:t xml:space="preserve"> </w:t>
      </w:r>
      <w:r>
        <w:t>par</w:t>
      </w:r>
      <w:r w:rsidRPr="002C4077">
        <w:t xml:space="preserve"> </w:t>
      </w:r>
      <w:r>
        <w:t>la</w:t>
      </w:r>
      <w:r w:rsidRPr="002C4077">
        <w:t xml:space="preserve"> </w:t>
      </w:r>
      <w:r>
        <w:t>nation</w:t>
      </w:r>
      <w:r w:rsidRPr="002C4077">
        <w:t xml:space="preserve"> </w:t>
      </w:r>
      <w:r>
        <w:t>entière,</w:t>
      </w:r>
      <w:r w:rsidRPr="002C4077">
        <w:t xml:space="preserve"> </w:t>
      </w:r>
      <w:r>
        <w:t>toute</w:t>
      </w:r>
      <w:r w:rsidRPr="002C4077">
        <w:t xml:space="preserve"> </w:t>
      </w:r>
      <w:r>
        <w:t>profession</w:t>
      </w:r>
      <w:r w:rsidRPr="002C4077">
        <w:t xml:space="preserve"> </w:t>
      </w:r>
      <w:r>
        <w:t>dût</w:t>
      </w:r>
      <w:r w:rsidRPr="002C4077">
        <w:t xml:space="preserve"> </w:t>
      </w:r>
      <w:r>
        <w:t>être</w:t>
      </w:r>
      <w:r w:rsidRPr="002C4077">
        <w:t xml:space="preserve"> </w:t>
      </w:r>
      <w:r>
        <w:t>estimée</w:t>
      </w:r>
      <w:r w:rsidRPr="002C4077">
        <w:t xml:space="preserve"> </w:t>
      </w:r>
      <w:r>
        <w:t>en</w:t>
      </w:r>
      <w:r w:rsidRPr="002C4077">
        <w:t xml:space="preserve"> </w:t>
      </w:r>
      <w:r>
        <w:t>Palestine.</w:t>
      </w:r>
      <w:r w:rsidRPr="002C4077">
        <w:t xml:space="preserve"> </w:t>
      </w:r>
      <w:r w:rsidR="00B546AF">
        <w:t>« </w:t>
      </w:r>
      <w:r>
        <w:t>Il</w:t>
      </w:r>
      <w:r w:rsidRPr="002C4077">
        <w:t xml:space="preserve"> </w:t>
      </w:r>
      <w:r>
        <w:t>n’est</w:t>
      </w:r>
      <w:r w:rsidRPr="002C4077">
        <w:t xml:space="preserve"> </w:t>
      </w:r>
      <w:r>
        <w:t>pas</w:t>
      </w:r>
      <w:r w:rsidRPr="002C4077">
        <w:t xml:space="preserve"> </w:t>
      </w:r>
      <w:r>
        <w:t>de</w:t>
      </w:r>
      <w:r w:rsidRPr="002C4077">
        <w:t xml:space="preserve"> </w:t>
      </w:r>
      <w:r>
        <w:t>métier,</w:t>
      </w:r>
      <w:r w:rsidRPr="002C4077">
        <w:t xml:space="preserve"> </w:t>
      </w:r>
      <w:r>
        <w:t>dit</w:t>
      </w:r>
      <w:r w:rsidRPr="002C4077">
        <w:t xml:space="preserve"> </w:t>
      </w:r>
      <w:r>
        <w:t>le</w:t>
      </w:r>
      <w:r w:rsidRPr="002C4077">
        <w:t xml:space="preserve"> </w:t>
      </w:r>
      <w:r>
        <w:t>Talmud,</w:t>
      </w:r>
      <w:r w:rsidRPr="002C4077">
        <w:t xml:space="preserve"> </w:t>
      </w:r>
      <w:r>
        <w:t>dont</w:t>
      </w:r>
      <w:r w:rsidRPr="002C4077">
        <w:t xml:space="preserve"> </w:t>
      </w:r>
      <w:r>
        <w:t>le</w:t>
      </w:r>
      <w:r w:rsidRPr="002C4077">
        <w:t xml:space="preserve"> </w:t>
      </w:r>
      <w:r>
        <w:t>monde</w:t>
      </w:r>
      <w:r w:rsidRPr="002C4077">
        <w:t xml:space="preserve"> </w:t>
      </w:r>
      <w:r>
        <w:t>puisse</w:t>
      </w:r>
      <w:r w:rsidRPr="002C4077">
        <w:t xml:space="preserve"> </w:t>
      </w:r>
      <w:r>
        <w:t>se</w:t>
      </w:r>
      <w:r w:rsidRPr="002C4077">
        <w:t xml:space="preserve"> </w:t>
      </w:r>
      <w:r>
        <w:t>passer</w:t>
      </w:r>
      <w:r w:rsidR="00B546AF">
        <w:t> »</w:t>
      </w:r>
      <w:r>
        <w:t>.</w:t>
      </w:r>
      <w:r w:rsidRPr="002C4077">
        <w:t xml:space="preserve"> </w:t>
      </w:r>
      <w:r>
        <w:t>N’est-il</w:t>
      </w:r>
      <w:r w:rsidRPr="002C4077">
        <w:t xml:space="preserve"> </w:t>
      </w:r>
      <w:r>
        <w:t>pas</w:t>
      </w:r>
      <w:r w:rsidRPr="002C4077">
        <w:t xml:space="preserve"> </w:t>
      </w:r>
      <w:r>
        <w:t>vrai,</w:t>
      </w:r>
      <w:r w:rsidRPr="002C4077">
        <w:t xml:space="preserve"> </w:t>
      </w:r>
      <w:r>
        <w:t>en</w:t>
      </w:r>
      <w:r w:rsidRPr="002C4077">
        <w:t xml:space="preserve"> </w:t>
      </w:r>
      <w:r>
        <w:t>effet,</w:t>
      </w:r>
      <w:r w:rsidRPr="002C4077">
        <w:t xml:space="preserve"> </w:t>
      </w:r>
      <w:r>
        <w:t>même</w:t>
      </w:r>
      <w:r w:rsidRPr="002C4077">
        <w:t xml:space="preserve"> </w:t>
      </w:r>
      <w:r>
        <w:t>humainement</w:t>
      </w:r>
      <w:r w:rsidRPr="002C4077">
        <w:t xml:space="preserve"> </w:t>
      </w:r>
      <w:r>
        <w:t>parlant,</w:t>
      </w:r>
      <w:r w:rsidRPr="002C4077">
        <w:t xml:space="preserve"> </w:t>
      </w:r>
      <w:r>
        <w:t>que</w:t>
      </w:r>
      <w:r w:rsidRPr="002C4077">
        <w:t xml:space="preserve"> </w:t>
      </w:r>
      <w:r>
        <w:t>le</w:t>
      </w:r>
      <w:r w:rsidRPr="002C4077">
        <w:t xml:space="preserve"> </w:t>
      </w:r>
      <w:r>
        <w:t>plus</w:t>
      </w:r>
      <w:r w:rsidRPr="002C4077">
        <w:t xml:space="preserve"> </w:t>
      </w:r>
      <w:r>
        <w:t>humble</w:t>
      </w:r>
      <w:r w:rsidRPr="002C4077">
        <w:t xml:space="preserve"> </w:t>
      </w:r>
      <w:r>
        <w:t>travail,</w:t>
      </w:r>
      <w:r w:rsidRPr="002C4077">
        <w:t xml:space="preserve"> </w:t>
      </w:r>
      <w:r>
        <w:t>dès</w:t>
      </w:r>
      <w:r w:rsidRPr="002C4077">
        <w:t xml:space="preserve"> </w:t>
      </w:r>
      <w:r>
        <w:t>qu’il</w:t>
      </w:r>
      <w:r w:rsidRPr="002C4077">
        <w:t xml:space="preserve"> </w:t>
      </w:r>
      <w:r w:rsidR="00425C50">
        <w:t>est</w:t>
      </w:r>
      <w:r w:rsidRPr="002C4077">
        <w:t xml:space="preserve"> </w:t>
      </w:r>
      <w:r>
        <w:t>honorable</w:t>
      </w:r>
      <w:r w:rsidRPr="002C4077">
        <w:t xml:space="preserve"> </w:t>
      </w:r>
      <w:r>
        <w:t>dans</w:t>
      </w:r>
      <w:r w:rsidRPr="002C4077">
        <w:t xml:space="preserve"> </w:t>
      </w:r>
      <w:r>
        <w:t>sa</w:t>
      </w:r>
      <w:r w:rsidRPr="002C4077">
        <w:t xml:space="preserve"> </w:t>
      </w:r>
      <w:r>
        <w:t>fin</w:t>
      </w:r>
      <w:r w:rsidRPr="002C4077">
        <w:t xml:space="preserve"> </w:t>
      </w:r>
      <w:r>
        <w:t>et</w:t>
      </w:r>
      <w:r w:rsidRPr="002C4077">
        <w:t xml:space="preserve"> </w:t>
      </w:r>
      <w:r>
        <w:t>dans</w:t>
      </w:r>
      <w:r w:rsidRPr="002C4077">
        <w:t xml:space="preserve"> </w:t>
      </w:r>
      <w:r>
        <w:t>ses</w:t>
      </w:r>
      <w:r w:rsidRPr="002C4077">
        <w:t xml:space="preserve"> </w:t>
      </w:r>
      <w:r>
        <w:t>moyens,</w:t>
      </w:r>
      <w:r w:rsidRPr="002C4077">
        <w:t xml:space="preserve"> </w:t>
      </w:r>
      <w:r>
        <w:t>n’a</w:t>
      </w:r>
      <w:r w:rsidRPr="002C4077">
        <w:t xml:space="preserve"> </w:t>
      </w:r>
      <w:r>
        <w:t>rien</w:t>
      </w:r>
      <w:r w:rsidRPr="002C4077">
        <w:t xml:space="preserve"> </w:t>
      </w:r>
      <w:r>
        <w:t>de</w:t>
      </w:r>
      <w:r w:rsidRPr="002C4077">
        <w:t xml:space="preserve"> </w:t>
      </w:r>
      <w:r>
        <w:t>vil</w:t>
      </w:r>
      <w:r w:rsidRPr="002C4077">
        <w:t xml:space="preserve"> </w:t>
      </w:r>
      <w:r>
        <w:t>ni</w:t>
      </w:r>
      <w:r w:rsidRPr="002C4077">
        <w:t xml:space="preserve"> </w:t>
      </w:r>
      <w:r>
        <w:t>de</w:t>
      </w:r>
      <w:r w:rsidRPr="002C4077">
        <w:t xml:space="preserve"> </w:t>
      </w:r>
      <w:r>
        <w:t>dégradant,</w:t>
      </w:r>
      <w:r w:rsidRPr="002C4077">
        <w:t xml:space="preserve"> </w:t>
      </w:r>
      <w:r>
        <w:t>et</w:t>
      </w:r>
      <w:r w:rsidRPr="002C4077">
        <w:t xml:space="preserve"> </w:t>
      </w:r>
      <w:r>
        <w:t>qu’il</w:t>
      </w:r>
      <w:r w:rsidRPr="002C4077">
        <w:t xml:space="preserve"> </w:t>
      </w:r>
      <w:r>
        <w:t>honore</w:t>
      </w:r>
      <w:r w:rsidRPr="002C4077">
        <w:t xml:space="preserve"> </w:t>
      </w:r>
      <w:r>
        <w:t>au</w:t>
      </w:r>
      <w:r w:rsidRPr="002C4077">
        <w:t xml:space="preserve"> </w:t>
      </w:r>
      <w:r>
        <w:t>contraire</w:t>
      </w:r>
      <w:r w:rsidRPr="002C4077">
        <w:t xml:space="preserve"> </w:t>
      </w:r>
      <w:r>
        <w:t>son</w:t>
      </w:r>
      <w:r w:rsidRPr="002C4077">
        <w:t xml:space="preserve"> </w:t>
      </w:r>
      <w:r>
        <w:t>auteur</w:t>
      </w:r>
      <w:r w:rsidR="00B546AF">
        <w:t> ?</w:t>
      </w:r>
      <w:r w:rsidR="00C45B47">
        <w:t xml:space="preserve"> {</w:t>
      </w:r>
      <w:r w:rsidR="001F5257">
        <w:t>247</w:t>
      </w:r>
      <w:bookmarkStart w:id="599" w:name="p247"/>
      <w:bookmarkEnd w:id="599"/>
      <w:r w:rsidR="001F5257">
        <w:t xml:space="preserve">} </w:t>
      </w:r>
      <w:r>
        <w:t>Écoutons,</w:t>
      </w:r>
      <w:r w:rsidRPr="002C4077">
        <w:t xml:space="preserve"> </w:t>
      </w:r>
      <w:r>
        <w:t>à</w:t>
      </w:r>
      <w:r w:rsidRPr="002C4077">
        <w:t xml:space="preserve"> </w:t>
      </w:r>
      <w:r>
        <w:t>ce</w:t>
      </w:r>
      <w:r w:rsidRPr="002C4077">
        <w:t xml:space="preserve"> </w:t>
      </w:r>
      <w:r>
        <w:t>sujet,</w:t>
      </w:r>
      <w:r w:rsidRPr="002C4077">
        <w:t xml:space="preserve"> </w:t>
      </w:r>
      <w:r>
        <w:t>une</w:t>
      </w:r>
      <w:r w:rsidRPr="002C4077">
        <w:t xml:space="preserve"> </w:t>
      </w:r>
      <w:r>
        <w:t>des</w:t>
      </w:r>
      <w:r w:rsidRPr="002C4077">
        <w:t xml:space="preserve"> </w:t>
      </w:r>
      <w:r>
        <w:t>anecdotes</w:t>
      </w:r>
      <w:r w:rsidRPr="002C4077">
        <w:t xml:space="preserve"> </w:t>
      </w:r>
      <w:r>
        <w:t>dont</w:t>
      </w:r>
      <w:r w:rsidRPr="002C4077">
        <w:t xml:space="preserve"> </w:t>
      </w:r>
      <w:r>
        <w:t>les</w:t>
      </w:r>
      <w:r w:rsidRPr="002C4077">
        <w:t xml:space="preserve"> </w:t>
      </w:r>
      <w:r>
        <w:t>rabbins</w:t>
      </w:r>
      <w:r w:rsidRPr="002C4077">
        <w:t xml:space="preserve"> </w:t>
      </w:r>
      <w:r>
        <w:t>entremêlent</w:t>
      </w:r>
      <w:r w:rsidRPr="002C4077">
        <w:t xml:space="preserve"> </w:t>
      </w:r>
      <w:r>
        <w:t>leurs</w:t>
      </w:r>
      <w:r w:rsidRPr="002C4077">
        <w:t xml:space="preserve"> </w:t>
      </w:r>
      <w:r>
        <w:t>minutieuses</w:t>
      </w:r>
      <w:r w:rsidRPr="002C4077">
        <w:t xml:space="preserve"> </w:t>
      </w:r>
      <w:r>
        <w:t>discussions</w:t>
      </w:r>
      <w:r w:rsidRPr="002C4077">
        <w:t xml:space="preserve"> </w:t>
      </w:r>
      <w:r>
        <w:t>de</w:t>
      </w:r>
      <w:r w:rsidRPr="002C4077">
        <w:t xml:space="preserve"> </w:t>
      </w:r>
      <w:r>
        <w:t>liturgie.</w:t>
      </w:r>
      <w:r w:rsidRPr="002C4077">
        <w:t xml:space="preserve"> </w:t>
      </w:r>
      <w:r w:rsidR="00B546AF">
        <w:t>« </w:t>
      </w:r>
      <w:r>
        <w:t>Un</w:t>
      </w:r>
      <w:r w:rsidRPr="002C4077">
        <w:t xml:space="preserve"> </w:t>
      </w:r>
      <w:r>
        <w:t>certain</w:t>
      </w:r>
      <w:r w:rsidRPr="002C4077">
        <w:t xml:space="preserve"> </w:t>
      </w:r>
      <w:r>
        <w:t>Siméon,</w:t>
      </w:r>
      <w:r w:rsidRPr="002C4077">
        <w:t xml:space="preserve"> </w:t>
      </w:r>
      <w:r>
        <w:t>du</w:t>
      </w:r>
      <w:r w:rsidRPr="002C4077">
        <w:t xml:space="preserve"> </w:t>
      </w:r>
      <w:r>
        <w:t>village</w:t>
      </w:r>
      <w:r w:rsidRPr="002C4077">
        <w:t xml:space="preserve"> </w:t>
      </w:r>
      <w:r>
        <w:t>de</w:t>
      </w:r>
      <w:r w:rsidRPr="002C4077">
        <w:t xml:space="preserve"> </w:t>
      </w:r>
      <w:r>
        <w:t>Sichnin,</w:t>
      </w:r>
      <w:r w:rsidRPr="002C4077">
        <w:t xml:space="preserve"> </w:t>
      </w:r>
      <w:r>
        <w:t>s’était</w:t>
      </w:r>
      <w:r w:rsidRPr="002C4077">
        <w:t xml:space="preserve"> </w:t>
      </w:r>
      <w:r>
        <w:t>fait,</w:t>
      </w:r>
      <w:r w:rsidRPr="002C4077">
        <w:t xml:space="preserve"> </w:t>
      </w:r>
      <w:r>
        <w:t>au</w:t>
      </w:r>
      <w:r w:rsidRPr="002C4077">
        <w:t xml:space="preserve"> </w:t>
      </w:r>
      <w:r>
        <w:t>temps</w:t>
      </w:r>
      <w:r w:rsidRPr="002C4077">
        <w:t xml:space="preserve"> </w:t>
      </w:r>
      <w:r>
        <w:t>de</w:t>
      </w:r>
      <w:r w:rsidRPr="002C4077">
        <w:t xml:space="preserve"> </w:t>
      </w:r>
      <w:r w:rsidR="00425C50">
        <w:t>Jésus</w:t>
      </w:r>
      <w:r>
        <w:t>,</w:t>
      </w:r>
      <w:r w:rsidRPr="002C4077">
        <w:t xml:space="preserve"> </w:t>
      </w:r>
      <w:r>
        <w:t>une</w:t>
      </w:r>
      <w:r w:rsidRPr="002C4077">
        <w:t xml:space="preserve"> </w:t>
      </w:r>
      <w:r>
        <w:t>grande</w:t>
      </w:r>
      <w:r w:rsidRPr="002C4077">
        <w:t xml:space="preserve"> </w:t>
      </w:r>
      <w:r>
        <w:t>réputation</w:t>
      </w:r>
      <w:r w:rsidRPr="002C4077">
        <w:t xml:space="preserve"> </w:t>
      </w:r>
      <w:r>
        <w:t>par</w:t>
      </w:r>
      <w:r w:rsidRPr="002C4077">
        <w:t xml:space="preserve"> </w:t>
      </w:r>
      <w:r>
        <w:t>son</w:t>
      </w:r>
      <w:r w:rsidRPr="002C4077">
        <w:t xml:space="preserve"> </w:t>
      </w:r>
      <w:r>
        <w:t>habileté</w:t>
      </w:r>
      <w:r w:rsidRPr="002C4077">
        <w:t xml:space="preserve"> </w:t>
      </w:r>
      <w:r>
        <w:t>dans</w:t>
      </w:r>
      <w:r w:rsidRPr="002C4077">
        <w:t xml:space="preserve"> </w:t>
      </w:r>
      <w:r>
        <w:t>l’art</w:t>
      </w:r>
      <w:r w:rsidRPr="002C4077">
        <w:t xml:space="preserve"> </w:t>
      </w:r>
      <w:r>
        <w:t>de</w:t>
      </w:r>
      <w:r w:rsidRPr="002C4077">
        <w:t xml:space="preserve"> </w:t>
      </w:r>
      <w:r>
        <w:t>creuser</w:t>
      </w:r>
      <w:r w:rsidRPr="002C4077">
        <w:t xml:space="preserve"> </w:t>
      </w:r>
      <w:r>
        <w:t>les</w:t>
      </w:r>
      <w:r w:rsidRPr="002C4077">
        <w:t xml:space="preserve"> </w:t>
      </w:r>
      <w:r>
        <w:t>puits</w:t>
      </w:r>
      <w:r w:rsidRPr="002C4077">
        <w:t xml:space="preserve"> </w:t>
      </w:r>
      <w:r>
        <w:t>et</w:t>
      </w:r>
      <w:r w:rsidRPr="002C4077">
        <w:t xml:space="preserve"> </w:t>
      </w:r>
      <w:r>
        <w:t>les</w:t>
      </w:r>
      <w:r w:rsidRPr="002C4077">
        <w:t xml:space="preserve"> </w:t>
      </w:r>
      <w:r>
        <w:t>fontaines</w:t>
      </w:r>
      <w:r w:rsidRPr="002C4077">
        <w:t xml:space="preserve"> </w:t>
      </w:r>
      <w:r>
        <w:t>à</w:t>
      </w:r>
      <w:r w:rsidRPr="002C4077">
        <w:t xml:space="preserve"> </w:t>
      </w:r>
      <w:r>
        <w:t>Jérusalem.</w:t>
      </w:r>
      <w:r w:rsidRPr="002C4077">
        <w:t xml:space="preserve"> </w:t>
      </w:r>
      <w:r>
        <w:t>Or,</w:t>
      </w:r>
      <w:r w:rsidRPr="002C4077">
        <w:t xml:space="preserve"> </w:t>
      </w:r>
      <w:r>
        <w:t>il</w:t>
      </w:r>
      <w:r w:rsidRPr="002C4077">
        <w:t xml:space="preserve"> </w:t>
      </w:r>
      <w:r>
        <w:t>vint</w:t>
      </w:r>
      <w:r w:rsidRPr="002C4077">
        <w:t xml:space="preserve"> </w:t>
      </w:r>
      <w:r>
        <w:t>un</w:t>
      </w:r>
      <w:r w:rsidRPr="002C4077">
        <w:t xml:space="preserve"> </w:t>
      </w:r>
      <w:r>
        <w:t>jour</w:t>
      </w:r>
      <w:r w:rsidRPr="002C4077">
        <w:t xml:space="preserve"> </w:t>
      </w:r>
      <w:r>
        <w:t>auprès</w:t>
      </w:r>
      <w:r w:rsidRPr="002C4077">
        <w:t xml:space="preserve"> </w:t>
      </w:r>
      <w:r>
        <w:t>de</w:t>
      </w:r>
      <w:r w:rsidRPr="002C4077">
        <w:t xml:space="preserve"> </w:t>
      </w:r>
      <w:r>
        <w:t>R.</w:t>
      </w:r>
      <w:r w:rsidRPr="002C4077">
        <w:t xml:space="preserve"> </w:t>
      </w:r>
      <w:r>
        <w:t>Jochanan</w:t>
      </w:r>
      <w:r w:rsidRPr="002C4077">
        <w:t xml:space="preserve"> </w:t>
      </w:r>
      <w:r>
        <w:t>ben</w:t>
      </w:r>
      <w:r w:rsidRPr="002C4077">
        <w:t xml:space="preserve"> </w:t>
      </w:r>
      <w:r>
        <w:t>Zaccaï,</w:t>
      </w:r>
      <w:r w:rsidRPr="002C4077">
        <w:t xml:space="preserve"> </w:t>
      </w:r>
      <w:r>
        <w:t>le</w:t>
      </w:r>
      <w:r w:rsidRPr="002C4077">
        <w:t xml:space="preserve"> </w:t>
      </w:r>
      <w:r>
        <w:t>maître</w:t>
      </w:r>
      <w:r w:rsidRPr="002C4077">
        <w:t xml:space="preserve"> </w:t>
      </w:r>
      <w:r>
        <w:t>d’Hillel,</w:t>
      </w:r>
      <w:r w:rsidRPr="002C4077">
        <w:t xml:space="preserve"> </w:t>
      </w:r>
      <w:r>
        <w:t>et</w:t>
      </w:r>
      <w:r w:rsidRPr="002C4077">
        <w:t xml:space="preserve"> </w:t>
      </w:r>
      <w:r>
        <w:t>il</w:t>
      </w:r>
      <w:r w:rsidRPr="002C4077">
        <w:t xml:space="preserve"> </w:t>
      </w:r>
      <w:r>
        <w:t>lui</w:t>
      </w:r>
      <w:r w:rsidRPr="002C4077">
        <w:t xml:space="preserve"> </w:t>
      </w:r>
      <w:r>
        <w:t>dit</w:t>
      </w:r>
      <w:r w:rsidR="00B546AF">
        <w:t> :</w:t>
      </w:r>
      <w:r w:rsidRPr="002C4077">
        <w:t xml:space="preserve"> </w:t>
      </w:r>
      <w:r>
        <w:t>Je</w:t>
      </w:r>
      <w:r w:rsidRPr="002C4077">
        <w:t xml:space="preserve"> </w:t>
      </w:r>
      <w:r>
        <w:t>suis</w:t>
      </w:r>
      <w:r w:rsidRPr="002C4077">
        <w:t xml:space="preserve"> </w:t>
      </w:r>
      <w:r>
        <w:t>un</w:t>
      </w:r>
      <w:r w:rsidRPr="002C4077">
        <w:t xml:space="preserve"> </w:t>
      </w:r>
      <w:r>
        <w:t>aussi</w:t>
      </w:r>
      <w:r w:rsidRPr="002C4077">
        <w:t xml:space="preserve"> </w:t>
      </w:r>
      <w:r>
        <w:t>grand</w:t>
      </w:r>
      <w:r w:rsidRPr="002C4077">
        <w:t xml:space="preserve"> </w:t>
      </w:r>
      <w:r>
        <w:t>homme</w:t>
      </w:r>
      <w:r w:rsidRPr="002C4077">
        <w:t xml:space="preserve"> </w:t>
      </w:r>
      <w:r>
        <w:t>que</w:t>
      </w:r>
      <w:r w:rsidRPr="002C4077">
        <w:t xml:space="preserve"> </w:t>
      </w:r>
      <w:r>
        <w:t>vous.</w:t>
      </w:r>
      <w:r w:rsidRPr="002C4077">
        <w:t xml:space="preserve"> </w:t>
      </w:r>
      <w:r>
        <w:t>L’illustre</w:t>
      </w:r>
      <w:r w:rsidRPr="002C4077">
        <w:t xml:space="preserve"> </w:t>
      </w:r>
      <w:r>
        <w:t>rabbin</w:t>
      </w:r>
      <w:r w:rsidRPr="002C4077">
        <w:t xml:space="preserve"> </w:t>
      </w:r>
      <w:r>
        <w:t>répondit</w:t>
      </w:r>
      <w:r w:rsidR="00B546AF">
        <w:t> :</w:t>
      </w:r>
      <w:r w:rsidRPr="002C4077">
        <w:t xml:space="preserve"> </w:t>
      </w:r>
      <w:r>
        <w:t>Comment</w:t>
      </w:r>
      <w:r w:rsidRPr="002C4077">
        <w:t xml:space="preserve"> </w:t>
      </w:r>
      <w:r>
        <w:t>cela</w:t>
      </w:r>
      <w:r w:rsidR="00B546AF">
        <w:t> ?</w:t>
      </w:r>
      <w:r w:rsidRPr="002C4077">
        <w:t xml:space="preserve"> </w:t>
      </w:r>
      <w:r>
        <w:t>C’est,</w:t>
      </w:r>
      <w:r w:rsidRPr="002C4077">
        <w:t xml:space="preserve"> </w:t>
      </w:r>
      <w:r>
        <w:t>reprit</w:t>
      </w:r>
      <w:r w:rsidRPr="002C4077">
        <w:t xml:space="preserve"> </w:t>
      </w:r>
      <w:r>
        <w:t>Siméon,</w:t>
      </w:r>
      <w:r w:rsidRPr="002C4077">
        <w:t xml:space="preserve"> </w:t>
      </w:r>
      <w:r>
        <w:t>que</w:t>
      </w:r>
      <w:r w:rsidRPr="002C4077">
        <w:t xml:space="preserve"> </w:t>
      </w:r>
      <w:r>
        <w:t>je</w:t>
      </w:r>
      <w:r w:rsidRPr="002C4077">
        <w:t xml:space="preserve"> </w:t>
      </w:r>
      <w:r>
        <w:t>ne</w:t>
      </w:r>
      <w:r w:rsidRPr="002C4077">
        <w:t xml:space="preserve"> </w:t>
      </w:r>
      <w:r>
        <w:t>sers</w:t>
      </w:r>
      <w:r w:rsidRPr="002C4077">
        <w:t xml:space="preserve"> </w:t>
      </w:r>
      <w:r>
        <w:t>pas</w:t>
      </w:r>
      <w:r w:rsidRPr="002C4077">
        <w:t xml:space="preserve"> </w:t>
      </w:r>
      <w:r>
        <w:t>moins</w:t>
      </w:r>
      <w:r w:rsidRPr="002C4077">
        <w:t xml:space="preserve"> </w:t>
      </w:r>
      <w:r>
        <w:t>que</w:t>
      </w:r>
      <w:r w:rsidRPr="002C4077">
        <w:t xml:space="preserve"> </w:t>
      </w:r>
      <w:r>
        <w:t>vous</w:t>
      </w:r>
      <w:r w:rsidRPr="002C4077">
        <w:t xml:space="preserve"> </w:t>
      </w:r>
      <w:r>
        <w:t>les</w:t>
      </w:r>
      <w:r w:rsidRPr="002C4077">
        <w:t xml:space="preserve"> </w:t>
      </w:r>
      <w:r>
        <w:t>intérêts</w:t>
      </w:r>
      <w:r w:rsidRPr="002C4077">
        <w:t xml:space="preserve"> </w:t>
      </w:r>
      <w:r>
        <w:t>de</w:t>
      </w:r>
      <w:r w:rsidRPr="002C4077">
        <w:t xml:space="preserve"> </w:t>
      </w:r>
      <w:r>
        <w:t>la</w:t>
      </w:r>
      <w:r w:rsidRPr="002C4077">
        <w:t xml:space="preserve"> </w:t>
      </w:r>
      <w:r>
        <w:t>communauté.</w:t>
      </w:r>
      <w:r w:rsidRPr="002C4077">
        <w:t xml:space="preserve"> </w:t>
      </w:r>
      <w:r>
        <w:t>Lorsqu’on</w:t>
      </w:r>
      <w:r w:rsidRPr="002C4077">
        <w:t xml:space="preserve"> </w:t>
      </w:r>
      <w:r>
        <w:t>vient</w:t>
      </w:r>
      <w:r w:rsidRPr="002C4077">
        <w:t xml:space="preserve"> </w:t>
      </w:r>
      <w:r>
        <w:t>à</w:t>
      </w:r>
      <w:r w:rsidRPr="002C4077">
        <w:t xml:space="preserve"> </w:t>
      </w:r>
      <w:r>
        <w:t>vous</w:t>
      </w:r>
      <w:r w:rsidRPr="002C4077">
        <w:t xml:space="preserve"> </w:t>
      </w:r>
      <w:r>
        <w:t>et</w:t>
      </w:r>
      <w:r w:rsidRPr="002C4077">
        <w:t xml:space="preserve"> </w:t>
      </w:r>
      <w:r>
        <w:t>qu’on</w:t>
      </w:r>
      <w:r w:rsidRPr="002C4077">
        <w:t xml:space="preserve"> </w:t>
      </w:r>
      <w:r>
        <w:t>vous</w:t>
      </w:r>
      <w:r w:rsidRPr="002C4077">
        <w:t xml:space="preserve"> </w:t>
      </w:r>
      <w:r>
        <w:t>demande</w:t>
      </w:r>
      <w:r w:rsidRPr="002C4077">
        <w:t xml:space="preserve"> </w:t>
      </w:r>
      <w:r>
        <w:t>en</w:t>
      </w:r>
      <w:r w:rsidRPr="002C4077">
        <w:t xml:space="preserve"> </w:t>
      </w:r>
      <w:r>
        <w:t>quel</w:t>
      </w:r>
      <w:r w:rsidRPr="002C4077">
        <w:t xml:space="preserve"> </w:t>
      </w:r>
      <w:r>
        <w:t>endroit</w:t>
      </w:r>
      <w:r w:rsidRPr="002C4077">
        <w:t xml:space="preserve"> </w:t>
      </w:r>
      <w:r>
        <w:t>on</w:t>
      </w:r>
      <w:r w:rsidRPr="002C4077">
        <w:t xml:space="preserve"> </w:t>
      </w:r>
      <w:r>
        <w:t>trouvera</w:t>
      </w:r>
      <w:r w:rsidRPr="002C4077">
        <w:t xml:space="preserve"> </w:t>
      </w:r>
      <w:r>
        <w:t>une</w:t>
      </w:r>
      <w:r w:rsidRPr="002C4077">
        <w:t xml:space="preserve"> </w:t>
      </w:r>
      <w:r>
        <w:t>eau</w:t>
      </w:r>
      <w:r w:rsidRPr="002C4077">
        <w:t xml:space="preserve"> </w:t>
      </w:r>
      <w:r>
        <w:t>pure</w:t>
      </w:r>
      <w:r w:rsidRPr="002C4077">
        <w:t xml:space="preserve"> </w:t>
      </w:r>
      <w:r>
        <w:t>selon</w:t>
      </w:r>
      <w:r w:rsidRPr="002C4077">
        <w:t xml:space="preserve"> </w:t>
      </w:r>
      <w:r>
        <w:t>la</w:t>
      </w:r>
      <w:r w:rsidRPr="002C4077">
        <w:t xml:space="preserve"> </w:t>
      </w:r>
      <w:r>
        <w:t>loi,</w:t>
      </w:r>
      <w:r w:rsidRPr="002C4077">
        <w:t xml:space="preserve"> </w:t>
      </w:r>
      <w:r>
        <w:t>vous</w:t>
      </w:r>
      <w:r w:rsidRPr="002C4077">
        <w:t xml:space="preserve"> </w:t>
      </w:r>
      <w:r>
        <w:t>dites</w:t>
      </w:r>
      <w:r w:rsidR="00B546AF">
        <w:t> :</w:t>
      </w:r>
      <w:r w:rsidRPr="002C4077">
        <w:t xml:space="preserve"> </w:t>
      </w:r>
      <w:r>
        <w:t>Puisez</w:t>
      </w:r>
      <w:r w:rsidRPr="002C4077">
        <w:t xml:space="preserve"> </w:t>
      </w:r>
      <w:r>
        <w:t>à</w:t>
      </w:r>
      <w:r w:rsidRPr="002C4077">
        <w:t xml:space="preserve"> </w:t>
      </w:r>
      <w:r>
        <w:t>telle</w:t>
      </w:r>
      <w:r w:rsidRPr="002C4077">
        <w:t xml:space="preserve"> </w:t>
      </w:r>
      <w:r>
        <w:t>fontaine,</w:t>
      </w:r>
      <w:r w:rsidRPr="002C4077">
        <w:t xml:space="preserve"> </w:t>
      </w:r>
      <w:r>
        <w:t>car</w:t>
      </w:r>
      <w:r w:rsidRPr="002C4077">
        <w:t xml:space="preserve"> </w:t>
      </w:r>
      <w:r>
        <w:t>ses</w:t>
      </w:r>
      <w:r w:rsidRPr="002C4077">
        <w:t xml:space="preserve"> </w:t>
      </w:r>
      <w:r>
        <w:t>eaux</w:t>
      </w:r>
      <w:r w:rsidRPr="002C4077">
        <w:t xml:space="preserve"> </w:t>
      </w:r>
      <w:r>
        <w:t>sont</w:t>
      </w:r>
      <w:r w:rsidRPr="002C4077">
        <w:t xml:space="preserve"> </w:t>
      </w:r>
      <w:r>
        <w:t>pures</w:t>
      </w:r>
      <w:r w:rsidRPr="002C4077">
        <w:t xml:space="preserve"> </w:t>
      </w:r>
      <w:r>
        <w:t>et</w:t>
      </w:r>
      <w:r w:rsidRPr="002C4077">
        <w:t xml:space="preserve"> </w:t>
      </w:r>
      <w:r>
        <w:t>fraîches</w:t>
      </w:r>
      <w:r w:rsidR="00B546AF">
        <w:t> ;</w:t>
      </w:r>
      <w:r w:rsidRPr="002C4077">
        <w:t xml:space="preserve"> </w:t>
      </w:r>
      <w:r>
        <w:t>ou</w:t>
      </w:r>
      <w:r w:rsidRPr="002C4077">
        <w:t xml:space="preserve"> </w:t>
      </w:r>
      <w:r>
        <w:t>bien,</w:t>
      </w:r>
      <w:r w:rsidRPr="002C4077">
        <w:t xml:space="preserve"> </w:t>
      </w:r>
      <w:r>
        <w:t>quand</w:t>
      </w:r>
      <w:r w:rsidRPr="002C4077">
        <w:t xml:space="preserve"> </w:t>
      </w:r>
      <w:r>
        <w:t>une</w:t>
      </w:r>
      <w:r w:rsidRPr="002C4077">
        <w:t xml:space="preserve"> </w:t>
      </w:r>
      <w:r>
        <w:t>femme</w:t>
      </w:r>
      <w:r w:rsidRPr="002C4077">
        <w:t xml:space="preserve"> </w:t>
      </w:r>
      <w:r>
        <w:t>s’informe</w:t>
      </w:r>
      <w:r w:rsidRPr="002C4077">
        <w:t xml:space="preserve"> </w:t>
      </w:r>
      <w:r>
        <w:t>auprès</w:t>
      </w:r>
      <w:r w:rsidRPr="002C4077">
        <w:t xml:space="preserve"> </w:t>
      </w:r>
      <w:r>
        <w:t>de</w:t>
      </w:r>
      <w:r w:rsidRPr="002C4077">
        <w:t xml:space="preserve"> </w:t>
      </w:r>
      <w:r>
        <w:t>vous</w:t>
      </w:r>
      <w:r w:rsidRPr="002C4077">
        <w:t xml:space="preserve"> </w:t>
      </w:r>
      <w:r>
        <w:t>de</w:t>
      </w:r>
      <w:r w:rsidRPr="002C4077">
        <w:t xml:space="preserve"> </w:t>
      </w:r>
      <w:r>
        <w:t>la</w:t>
      </w:r>
      <w:r w:rsidRPr="002C4077">
        <w:t xml:space="preserve"> </w:t>
      </w:r>
      <w:r>
        <w:t>meilleure</w:t>
      </w:r>
      <w:r w:rsidRPr="002C4077">
        <w:t xml:space="preserve"> </w:t>
      </w:r>
      <w:r>
        <w:t>eau</w:t>
      </w:r>
      <w:r w:rsidRPr="002C4077">
        <w:t xml:space="preserve"> </w:t>
      </w:r>
      <w:r>
        <w:t>pour</w:t>
      </w:r>
      <w:r w:rsidRPr="002C4077">
        <w:t xml:space="preserve"> </w:t>
      </w:r>
      <w:r>
        <w:t>se</w:t>
      </w:r>
      <w:r w:rsidRPr="002C4077">
        <w:t xml:space="preserve"> </w:t>
      </w:r>
      <w:r>
        <w:t>baigner,</w:t>
      </w:r>
      <w:r w:rsidRPr="002C4077">
        <w:t xml:space="preserve"> </w:t>
      </w:r>
      <w:r>
        <w:t>vous</w:t>
      </w:r>
      <w:r w:rsidRPr="002C4077">
        <w:t xml:space="preserve"> </w:t>
      </w:r>
      <w:r>
        <w:t>lui</w:t>
      </w:r>
      <w:r w:rsidRPr="002C4077">
        <w:t xml:space="preserve"> </w:t>
      </w:r>
      <w:r>
        <w:t>dites</w:t>
      </w:r>
      <w:r w:rsidR="00B546AF">
        <w:t> :</w:t>
      </w:r>
      <w:r w:rsidRPr="002C4077">
        <w:t xml:space="preserve"> </w:t>
      </w:r>
      <w:r>
        <w:t>Baignez-vous</w:t>
      </w:r>
      <w:r w:rsidRPr="002C4077">
        <w:t xml:space="preserve"> </w:t>
      </w:r>
      <w:r>
        <w:t>dans</w:t>
      </w:r>
      <w:r w:rsidRPr="002C4077">
        <w:t xml:space="preserve"> </w:t>
      </w:r>
      <w:r>
        <w:t>telle</w:t>
      </w:r>
      <w:r w:rsidRPr="002C4077">
        <w:t xml:space="preserve"> </w:t>
      </w:r>
      <w:r>
        <w:t>ou</w:t>
      </w:r>
      <w:r w:rsidRPr="002C4077">
        <w:t xml:space="preserve"> </w:t>
      </w:r>
      <w:r>
        <w:t>telle</w:t>
      </w:r>
      <w:r w:rsidRPr="002C4077">
        <w:t xml:space="preserve"> </w:t>
      </w:r>
      <w:r>
        <w:t>Citerne,</w:t>
      </w:r>
      <w:r w:rsidRPr="002C4077">
        <w:t xml:space="preserve"> </w:t>
      </w:r>
      <w:r>
        <w:t>car</w:t>
      </w:r>
      <w:r w:rsidRPr="002C4077">
        <w:t xml:space="preserve"> </w:t>
      </w:r>
      <w:r>
        <w:t>ses</w:t>
      </w:r>
      <w:r w:rsidRPr="002C4077">
        <w:t xml:space="preserve"> </w:t>
      </w:r>
      <w:r>
        <w:t>eaux</w:t>
      </w:r>
      <w:r w:rsidRPr="002C4077">
        <w:t xml:space="preserve"> </w:t>
      </w:r>
      <w:r>
        <w:t>enlèvent</w:t>
      </w:r>
      <w:r w:rsidRPr="002C4077">
        <w:t xml:space="preserve"> </w:t>
      </w:r>
      <w:r>
        <w:t>toute</w:t>
      </w:r>
      <w:r w:rsidRPr="002C4077">
        <w:t xml:space="preserve"> </w:t>
      </w:r>
      <w:r>
        <w:t>impureté</w:t>
      </w:r>
      <w:r w:rsidR="00B91AF7">
        <w:rPr>
          <w:rStyle w:val="Appelnotedebasdep"/>
        </w:rPr>
        <w:footnoteReference w:id="776"/>
      </w:r>
      <w:r w:rsidR="00B546AF">
        <w:t> »</w:t>
      </w:r>
      <w:r>
        <w:t>.</w:t>
      </w:r>
      <w:r w:rsidRPr="002C4077">
        <w:t xml:space="preserve"> </w:t>
      </w:r>
      <w:r>
        <w:t>Et,</w:t>
      </w:r>
      <w:r w:rsidRPr="002C4077">
        <w:t xml:space="preserve"> </w:t>
      </w:r>
      <w:r>
        <w:t>en</w:t>
      </w:r>
      <w:r w:rsidRPr="002C4077">
        <w:t xml:space="preserve"> </w:t>
      </w:r>
      <w:r>
        <w:t>réalité,</w:t>
      </w:r>
      <w:r w:rsidRPr="002C4077">
        <w:t xml:space="preserve"> </w:t>
      </w:r>
      <w:r>
        <w:t>ajoute</w:t>
      </w:r>
      <w:r w:rsidRPr="002C4077">
        <w:t xml:space="preserve"> </w:t>
      </w:r>
      <w:r>
        <w:t>M.</w:t>
      </w:r>
      <w:r w:rsidRPr="002C4077">
        <w:t xml:space="preserve"> </w:t>
      </w:r>
      <w:r>
        <w:t>Delitzsch</w:t>
      </w:r>
      <w:r w:rsidR="00B91AF7">
        <w:rPr>
          <w:rStyle w:val="Appelnotedebasdep"/>
        </w:rPr>
        <w:footnoteReference w:id="777"/>
      </w:r>
      <w:r>
        <w:t>,</w:t>
      </w:r>
      <w:r w:rsidRPr="002C4077">
        <w:t xml:space="preserve"> </w:t>
      </w:r>
      <w:r>
        <w:t>pour</w:t>
      </w:r>
      <w:r w:rsidRPr="002C4077">
        <w:t xml:space="preserve"> </w:t>
      </w:r>
      <w:r>
        <w:t>l’observation</w:t>
      </w:r>
      <w:r w:rsidRPr="002C4077">
        <w:t xml:space="preserve"> </w:t>
      </w:r>
      <w:r>
        <w:t>des</w:t>
      </w:r>
      <w:r w:rsidRPr="002C4077">
        <w:t xml:space="preserve"> </w:t>
      </w:r>
      <w:r>
        <w:t>lois</w:t>
      </w:r>
      <w:r w:rsidRPr="002C4077">
        <w:t xml:space="preserve"> </w:t>
      </w:r>
      <w:r>
        <w:t>juives</w:t>
      </w:r>
      <w:r w:rsidRPr="002C4077">
        <w:t xml:space="preserve"> </w:t>
      </w:r>
      <w:r>
        <w:t>relatives</w:t>
      </w:r>
      <w:r w:rsidRPr="002C4077">
        <w:t xml:space="preserve"> </w:t>
      </w:r>
      <w:r>
        <w:t>à</w:t>
      </w:r>
      <w:r w:rsidRPr="002C4077">
        <w:t xml:space="preserve"> </w:t>
      </w:r>
      <w:r>
        <w:t>la</w:t>
      </w:r>
      <w:r w:rsidRPr="002C4077">
        <w:t xml:space="preserve"> </w:t>
      </w:r>
      <w:r>
        <w:t>pureté</w:t>
      </w:r>
      <w:r w:rsidRPr="002C4077">
        <w:t xml:space="preserve"> </w:t>
      </w:r>
      <w:r>
        <w:t>extérieure,</w:t>
      </w:r>
      <w:r w:rsidRPr="002C4077">
        <w:t xml:space="preserve"> </w:t>
      </w:r>
      <w:r>
        <w:t>Siméon</w:t>
      </w:r>
      <w:r w:rsidRPr="002C4077">
        <w:t xml:space="preserve"> </w:t>
      </w:r>
      <w:r>
        <w:t>n’était</w:t>
      </w:r>
      <w:r w:rsidRPr="002C4077">
        <w:t xml:space="preserve"> </w:t>
      </w:r>
      <w:r>
        <w:t>pas</w:t>
      </w:r>
      <w:r w:rsidRPr="002C4077">
        <w:t xml:space="preserve"> </w:t>
      </w:r>
      <w:r>
        <w:t>moins</w:t>
      </w:r>
      <w:r w:rsidRPr="002C4077">
        <w:t xml:space="preserve"> </w:t>
      </w:r>
      <w:r>
        <w:t>indispensable</w:t>
      </w:r>
      <w:r w:rsidRPr="002C4077">
        <w:t xml:space="preserve"> </w:t>
      </w:r>
      <w:r>
        <w:t>que</w:t>
      </w:r>
      <w:r w:rsidRPr="002C4077">
        <w:t xml:space="preserve"> </w:t>
      </w:r>
      <w:r>
        <w:t>les</w:t>
      </w:r>
      <w:r w:rsidRPr="002C4077">
        <w:t xml:space="preserve"> </w:t>
      </w:r>
      <w:r>
        <w:t>plus</w:t>
      </w:r>
      <w:r w:rsidRPr="002C4077">
        <w:t xml:space="preserve"> </w:t>
      </w:r>
      <w:r>
        <w:t>savants</w:t>
      </w:r>
      <w:r w:rsidRPr="002C4077">
        <w:t xml:space="preserve"> </w:t>
      </w:r>
      <w:r>
        <w:t>docteurs.</w:t>
      </w:r>
      <w:r w:rsidRPr="002C4077">
        <w:t xml:space="preserve"> </w:t>
      </w:r>
    </w:p>
    <w:p w:rsidR="000A7AAB" w:rsidRDefault="000A7AAB" w:rsidP="000A7AAB">
      <w:r>
        <w:t>Le</w:t>
      </w:r>
      <w:r w:rsidRPr="002C4077">
        <w:t xml:space="preserve"> </w:t>
      </w:r>
      <w:r>
        <w:t>Talmud</w:t>
      </w:r>
      <w:r w:rsidRPr="002C4077">
        <w:t xml:space="preserve"> </w:t>
      </w:r>
      <w:r>
        <w:t>nous</w:t>
      </w:r>
      <w:r w:rsidRPr="002C4077">
        <w:t xml:space="preserve"> </w:t>
      </w:r>
      <w:r>
        <w:t>indique</w:t>
      </w:r>
      <w:r w:rsidRPr="002C4077">
        <w:t xml:space="preserve"> </w:t>
      </w:r>
      <w:r>
        <w:t>d’une</w:t>
      </w:r>
      <w:r w:rsidRPr="002C4077">
        <w:t xml:space="preserve"> </w:t>
      </w:r>
      <w:r>
        <w:t>autre</w:t>
      </w:r>
      <w:r w:rsidRPr="002C4077">
        <w:t xml:space="preserve"> </w:t>
      </w:r>
      <w:r>
        <w:t>manière</w:t>
      </w:r>
      <w:r w:rsidRPr="002C4077">
        <w:t xml:space="preserve"> </w:t>
      </w:r>
      <w:r>
        <w:t>la</w:t>
      </w:r>
      <w:r w:rsidRPr="002C4077">
        <w:t xml:space="preserve"> </w:t>
      </w:r>
      <w:r>
        <w:t>noblesse</w:t>
      </w:r>
      <w:r w:rsidRPr="002C4077">
        <w:t xml:space="preserve"> </w:t>
      </w:r>
      <w:r>
        <w:t>intrinsèque</w:t>
      </w:r>
      <w:r w:rsidRPr="002C4077">
        <w:t xml:space="preserve"> </w:t>
      </w:r>
      <w:r>
        <w:t>de</w:t>
      </w:r>
      <w:r w:rsidRPr="002C4077">
        <w:t xml:space="preserve"> </w:t>
      </w:r>
      <w:r>
        <w:t>tout</w:t>
      </w:r>
      <w:r w:rsidRPr="002C4077">
        <w:t xml:space="preserve"> </w:t>
      </w:r>
      <w:r>
        <w:t>travail,</w:t>
      </w:r>
      <w:r w:rsidRPr="002C4077">
        <w:t xml:space="preserve"> </w:t>
      </w:r>
      <w:r>
        <w:t>quand</w:t>
      </w:r>
      <w:r w:rsidRPr="002C4077">
        <w:t xml:space="preserve"> </w:t>
      </w:r>
      <w:r>
        <w:t>il</w:t>
      </w:r>
      <w:r w:rsidRPr="002C4077">
        <w:t xml:space="preserve"> </w:t>
      </w:r>
      <w:r>
        <w:t>affirme</w:t>
      </w:r>
      <w:r w:rsidRPr="002C4077">
        <w:t xml:space="preserve"> </w:t>
      </w:r>
      <w:r>
        <w:t>que</w:t>
      </w:r>
      <w:r w:rsidRPr="002C4077">
        <w:t xml:space="preserve"> </w:t>
      </w:r>
      <w:r>
        <w:t>chaque</w:t>
      </w:r>
      <w:r w:rsidRPr="002C4077">
        <w:t xml:space="preserve"> </w:t>
      </w:r>
      <w:r>
        <w:t>artisan</w:t>
      </w:r>
      <w:r w:rsidRPr="002C4077">
        <w:t xml:space="preserve"> </w:t>
      </w:r>
      <w:r>
        <w:t>aime</w:t>
      </w:r>
      <w:r w:rsidRPr="002C4077">
        <w:t xml:space="preserve"> </w:t>
      </w:r>
      <w:r>
        <w:t>son</w:t>
      </w:r>
      <w:r w:rsidRPr="002C4077">
        <w:t xml:space="preserve"> </w:t>
      </w:r>
      <w:r>
        <w:t>occupation,</w:t>
      </w:r>
      <w:r w:rsidRPr="002C4077">
        <w:t xml:space="preserve"> </w:t>
      </w:r>
      <w:r>
        <w:t>et</w:t>
      </w:r>
      <w:r w:rsidRPr="002C4077">
        <w:t xml:space="preserve"> </w:t>
      </w:r>
      <w:r>
        <w:t>que</w:t>
      </w:r>
      <w:r w:rsidRPr="002C4077">
        <w:t xml:space="preserve"> </w:t>
      </w:r>
      <w:r>
        <w:t>Dieu</w:t>
      </w:r>
      <w:r w:rsidRPr="002C4077">
        <w:t xml:space="preserve"> </w:t>
      </w:r>
      <w:r>
        <w:t>l’a</w:t>
      </w:r>
      <w:r w:rsidRPr="002C4077">
        <w:t xml:space="preserve"> </w:t>
      </w:r>
      <w:r>
        <w:t>ordonné</w:t>
      </w:r>
      <w:r w:rsidRPr="002C4077">
        <w:t xml:space="preserve"> </w:t>
      </w:r>
      <w:r>
        <w:t>ainsi</w:t>
      </w:r>
      <w:r w:rsidRPr="002C4077">
        <w:t xml:space="preserve"> </w:t>
      </w:r>
      <w:r>
        <w:t>afin</w:t>
      </w:r>
      <w:r w:rsidRPr="002C4077">
        <w:t xml:space="preserve"> </w:t>
      </w:r>
      <w:r>
        <w:t>qu’aucune</w:t>
      </w:r>
      <w:r w:rsidRPr="002C4077">
        <w:t xml:space="preserve"> </w:t>
      </w:r>
      <w:r>
        <w:t>profession</w:t>
      </w:r>
      <w:r w:rsidRPr="002C4077">
        <w:t xml:space="preserve"> </w:t>
      </w:r>
      <w:r>
        <w:t>ne</w:t>
      </w:r>
      <w:r w:rsidRPr="002C4077">
        <w:t xml:space="preserve"> </w:t>
      </w:r>
      <w:r>
        <w:t>disparût</w:t>
      </w:r>
      <w:r w:rsidRPr="002C4077">
        <w:t xml:space="preserve"> </w:t>
      </w:r>
      <w:r>
        <w:t>du</w:t>
      </w:r>
      <w:r w:rsidRPr="002C4077">
        <w:t xml:space="preserve"> </w:t>
      </w:r>
      <w:r w:rsidR="00242610">
        <w:t>monde</w:t>
      </w:r>
      <w:r w:rsidR="00242610">
        <w:rPr>
          <w:rStyle w:val="Appelnotedebasdep"/>
        </w:rPr>
        <w:footnoteReference w:id="778"/>
      </w:r>
      <w:r>
        <w:t>.</w:t>
      </w:r>
      <w:r w:rsidRPr="002C4077">
        <w:t xml:space="preserve"> </w:t>
      </w:r>
    </w:p>
    <w:p w:rsidR="000A7AAB" w:rsidRDefault="000A7AAB" w:rsidP="000A7AAB">
      <w:r>
        <w:t>À</w:t>
      </w:r>
      <w:r w:rsidRPr="002C4077">
        <w:t xml:space="preserve"> </w:t>
      </w:r>
      <w:r>
        <w:t>côté</w:t>
      </w:r>
      <w:r w:rsidRPr="002C4077">
        <w:t xml:space="preserve"> </w:t>
      </w:r>
      <w:r>
        <w:t>de</w:t>
      </w:r>
      <w:r w:rsidRPr="002C4077">
        <w:t xml:space="preserve"> </w:t>
      </w:r>
      <w:r>
        <w:t>l’ouvrier,</w:t>
      </w:r>
      <w:r w:rsidRPr="002C4077">
        <w:t xml:space="preserve"> </w:t>
      </w:r>
      <w:r>
        <w:t>il</w:t>
      </w:r>
      <w:r w:rsidRPr="002C4077">
        <w:t xml:space="preserve"> </w:t>
      </w:r>
      <w:r>
        <w:t>nous</w:t>
      </w:r>
      <w:r w:rsidRPr="002C4077">
        <w:t xml:space="preserve"> </w:t>
      </w:r>
      <w:r>
        <w:t>fait</w:t>
      </w:r>
      <w:r w:rsidRPr="002C4077">
        <w:t xml:space="preserve"> </w:t>
      </w:r>
      <w:r>
        <w:t>voir</w:t>
      </w:r>
      <w:r w:rsidRPr="002C4077">
        <w:t xml:space="preserve"> </w:t>
      </w:r>
      <w:r>
        <w:t>aussi,</w:t>
      </w:r>
      <w:r w:rsidRPr="002C4077">
        <w:t xml:space="preserve"> </w:t>
      </w:r>
      <w:r>
        <w:t>par</w:t>
      </w:r>
      <w:r w:rsidRPr="002C4077">
        <w:t xml:space="preserve"> </w:t>
      </w:r>
      <w:r>
        <w:t>un</w:t>
      </w:r>
      <w:r w:rsidRPr="002C4077">
        <w:t xml:space="preserve"> </w:t>
      </w:r>
      <w:r>
        <w:t>rapprochement</w:t>
      </w:r>
      <w:r w:rsidRPr="002C4077">
        <w:t xml:space="preserve"> </w:t>
      </w:r>
      <w:r>
        <w:t>qui</w:t>
      </w:r>
      <w:r w:rsidRPr="002C4077">
        <w:t xml:space="preserve"> </w:t>
      </w:r>
      <w:r>
        <w:t>ne</w:t>
      </w:r>
      <w:r w:rsidRPr="002C4077">
        <w:t xml:space="preserve"> </w:t>
      </w:r>
      <w:r>
        <w:t>manque</w:t>
      </w:r>
      <w:r w:rsidRPr="002C4077">
        <w:t xml:space="preserve"> </w:t>
      </w:r>
      <w:r>
        <w:t>ni</w:t>
      </w:r>
      <w:r w:rsidRPr="002C4077">
        <w:t xml:space="preserve"> </w:t>
      </w:r>
      <w:r>
        <w:t>de</w:t>
      </w:r>
      <w:r w:rsidRPr="002C4077">
        <w:t xml:space="preserve"> </w:t>
      </w:r>
      <w:r>
        <w:t>charmes</w:t>
      </w:r>
      <w:r w:rsidRPr="002C4077">
        <w:t xml:space="preserve"> </w:t>
      </w:r>
      <w:r>
        <w:t>ni</w:t>
      </w:r>
      <w:r w:rsidRPr="002C4077">
        <w:t xml:space="preserve"> </w:t>
      </w:r>
      <w:r>
        <w:t>de</w:t>
      </w:r>
      <w:r w:rsidRPr="002C4077">
        <w:t xml:space="preserve"> </w:t>
      </w:r>
      <w:r>
        <w:t>malice,</w:t>
      </w:r>
      <w:r w:rsidRPr="002C4077">
        <w:t xml:space="preserve"> </w:t>
      </w:r>
      <w:r>
        <w:t>la</w:t>
      </w:r>
      <w:r w:rsidRPr="002C4077">
        <w:t xml:space="preserve"> </w:t>
      </w:r>
      <w:r>
        <w:t>compagne</w:t>
      </w:r>
      <w:r w:rsidRPr="002C4077">
        <w:t xml:space="preserve"> </w:t>
      </w:r>
      <w:r>
        <w:t>de</w:t>
      </w:r>
      <w:r w:rsidRPr="002C4077">
        <w:t xml:space="preserve"> </w:t>
      </w:r>
      <w:r>
        <w:t>ses</w:t>
      </w:r>
      <w:r w:rsidRPr="002C4077">
        <w:t xml:space="preserve"> </w:t>
      </w:r>
      <w:r>
        <w:t>travaux</w:t>
      </w:r>
      <w:r w:rsidRPr="002C4077">
        <w:t xml:space="preserve"> </w:t>
      </w:r>
      <w:r>
        <w:t>et</w:t>
      </w:r>
      <w:r w:rsidRPr="002C4077">
        <w:t xml:space="preserve"> </w:t>
      </w:r>
      <w:r>
        <w:t>de</w:t>
      </w:r>
      <w:r w:rsidRPr="002C4077">
        <w:t xml:space="preserve"> </w:t>
      </w:r>
      <w:r>
        <w:t>sa</w:t>
      </w:r>
      <w:r w:rsidRPr="002C4077">
        <w:t xml:space="preserve"> </w:t>
      </w:r>
      <w:r>
        <w:t>vie,</w:t>
      </w:r>
      <w:r w:rsidRPr="002C4077">
        <w:t xml:space="preserve"> </w:t>
      </w:r>
      <w:r>
        <w:t>toujours</w:t>
      </w:r>
      <w:r w:rsidRPr="002C4077">
        <w:t xml:space="preserve"> </w:t>
      </w:r>
      <w:r>
        <w:t>fière</w:t>
      </w:r>
      <w:r w:rsidRPr="002C4077">
        <w:t xml:space="preserve"> </w:t>
      </w:r>
      <w:r>
        <w:t>de</w:t>
      </w:r>
      <w:r w:rsidRPr="002C4077">
        <w:t xml:space="preserve"> </w:t>
      </w:r>
      <w:r>
        <w:t>la</w:t>
      </w:r>
      <w:r w:rsidRPr="002C4077">
        <w:t xml:space="preserve"> </w:t>
      </w:r>
      <w:r>
        <w:t>position</w:t>
      </w:r>
      <w:r w:rsidRPr="002C4077">
        <w:t xml:space="preserve"> </w:t>
      </w:r>
      <w:r>
        <w:t>de</w:t>
      </w:r>
      <w:r w:rsidRPr="002C4077">
        <w:t xml:space="preserve"> </w:t>
      </w:r>
      <w:r>
        <w:t>son</w:t>
      </w:r>
      <w:r w:rsidRPr="002C4077">
        <w:t xml:space="preserve"> </w:t>
      </w:r>
      <w:r>
        <w:t>mari.</w:t>
      </w:r>
      <w:r w:rsidR="00C45B47">
        <w:t xml:space="preserve"> {</w:t>
      </w:r>
      <w:r w:rsidR="001F5257">
        <w:t>248</w:t>
      </w:r>
      <w:bookmarkStart w:id="600" w:name="p248"/>
      <w:bookmarkEnd w:id="600"/>
      <w:r w:rsidR="001F5257">
        <w:t xml:space="preserve">} </w:t>
      </w:r>
      <w:r w:rsidR="00B546AF">
        <w:t>« </w:t>
      </w:r>
      <w:r>
        <w:t>Quand</w:t>
      </w:r>
      <w:r w:rsidRPr="002C4077">
        <w:t xml:space="preserve"> </w:t>
      </w:r>
      <w:r>
        <w:t>même</w:t>
      </w:r>
      <w:r w:rsidRPr="002C4077">
        <w:t xml:space="preserve"> </w:t>
      </w:r>
      <w:r>
        <w:t>l’homme</w:t>
      </w:r>
      <w:r w:rsidRPr="002C4077">
        <w:t xml:space="preserve"> </w:t>
      </w:r>
      <w:r>
        <w:t>n’est</w:t>
      </w:r>
      <w:r w:rsidRPr="002C4077">
        <w:t xml:space="preserve"> </w:t>
      </w:r>
      <w:r>
        <w:t>pas</w:t>
      </w:r>
      <w:r w:rsidRPr="002C4077">
        <w:t xml:space="preserve"> </w:t>
      </w:r>
      <w:r>
        <w:t>plus</w:t>
      </w:r>
      <w:r w:rsidRPr="002C4077">
        <w:t xml:space="preserve"> </w:t>
      </w:r>
      <w:r>
        <w:t>gros</w:t>
      </w:r>
      <w:r w:rsidRPr="002C4077">
        <w:t xml:space="preserve"> </w:t>
      </w:r>
      <w:r>
        <w:t>qu’une</w:t>
      </w:r>
      <w:r w:rsidRPr="002C4077">
        <w:t xml:space="preserve"> </w:t>
      </w:r>
      <w:r>
        <w:t>fourmi,</w:t>
      </w:r>
      <w:r w:rsidRPr="002C4077">
        <w:t xml:space="preserve"> </w:t>
      </w:r>
      <w:r>
        <w:t>la</w:t>
      </w:r>
      <w:r w:rsidRPr="002C4077">
        <w:t xml:space="preserve"> </w:t>
      </w:r>
      <w:r>
        <w:t>femme</w:t>
      </w:r>
      <w:r w:rsidRPr="002C4077">
        <w:t xml:space="preserve"> </w:t>
      </w:r>
      <w:r>
        <w:t>ne</w:t>
      </w:r>
      <w:r w:rsidRPr="002C4077">
        <w:t xml:space="preserve"> </w:t>
      </w:r>
      <w:r>
        <w:t>l’en</w:t>
      </w:r>
      <w:r w:rsidRPr="002C4077">
        <w:t xml:space="preserve"> </w:t>
      </w:r>
      <w:r>
        <w:t>place</w:t>
      </w:r>
      <w:r w:rsidRPr="002C4077">
        <w:t xml:space="preserve"> </w:t>
      </w:r>
      <w:r>
        <w:t>pas</w:t>
      </w:r>
      <w:r w:rsidRPr="002C4077">
        <w:t xml:space="preserve"> </w:t>
      </w:r>
      <w:r>
        <w:t>moins</w:t>
      </w:r>
      <w:r w:rsidRPr="002C4077">
        <w:t xml:space="preserve"> </w:t>
      </w:r>
      <w:r>
        <w:t>parmi</w:t>
      </w:r>
      <w:r w:rsidRPr="002C4077">
        <w:t xml:space="preserve"> </w:t>
      </w:r>
      <w:r>
        <w:t>les</w:t>
      </w:r>
      <w:r w:rsidRPr="002C4077">
        <w:t xml:space="preserve"> </w:t>
      </w:r>
      <w:r>
        <w:t>plus</w:t>
      </w:r>
      <w:r w:rsidRPr="002C4077">
        <w:t xml:space="preserve"> </w:t>
      </w:r>
      <w:r>
        <w:t>distingués</w:t>
      </w:r>
      <w:r w:rsidR="00B546AF">
        <w:t> »</w:t>
      </w:r>
      <w:r>
        <w:t>.</w:t>
      </w:r>
      <w:r w:rsidRPr="002C4077">
        <w:t xml:space="preserve"> </w:t>
      </w:r>
      <w:r w:rsidR="00B546AF">
        <w:t>« </w:t>
      </w:r>
      <w:r>
        <w:t>Le</w:t>
      </w:r>
      <w:r w:rsidRPr="002C4077">
        <w:t xml:space="preserve"> </w:t>
      </w:r>
      <w:r>
        <w:t>mari</w:t>
      </w:r>
      <w:r w:rsidRPr="002C4077">
        <w:t xml:space="preserve"> </w:t>
      </w:r>
      <w:r>
        <w:t>ne</w:t>
      </w:r>
      <w:r w:rsidRPr="002C4077">
        <w:t xml:space="preserve"> </w:t>
      </w:r>
      <w:r>
        <w:t>serait-il</w:t>
      </w:r>
      <w:r w:rsidRPr="002C4077">
        <w:t xml:space="preserve"> </w:t>
      </w:r>
      <w:r>
        <w:t>qu’un</w:t>
      </w:r>
      <w:r w:rsidRPr="002C4077">
        <w:t xml:space="preserve"> </w:t>
      </w:r>
      <w:r>
        <w:t>garde-champêtre,</w:t>
      </w:r>
      <w:r w:rsidRPr="002C4077">
        <w:t xml:space="preserve"> </w:t>
      </w:r>
      <w:r>
        <w:t>sa</w:t>
      </w:r>
      <w:r w:rsidRPr="002C4077">
        <w:t xml:space="preserve"> </w:t>
      </w:r>
      <w:r>
        <w:t>femme</w:t>
      </w:r>
      <w:r w:rsidRPr="002C4077">
        <w:t xml:space="preserve"> </w:t>
      </w:r>
      <w:r w:rsidR="00425C50">
        <w:t>est</w:t>
      </w:r>
      <w:r w:rsidRPr="002C4077">
        <w:t xml:space="preserve"> </w:t>
      </w:r>
      <w:r>
        <w:t>contente,</w:t>
      </w:r>
      <w:r w:rsidRPr="002C4077">
        <w:t xml:space="preserve"> </w:t>
      </w:r>
      <w:r>
        <w:t>et</w:t>
      </w:r>
      <w:r w:rsidRPr="002C4077">
        <w:t xml:space="preserve"> </w:t>
      </w:r>
      <w:r>
        <w:t>elle</w:t>
      </w:r>
      <w:r w:rsidRPr="002C4077">
        <w:t xml:space="preserve"> </w:t>
      </w:r>
      <w:r>
        <w:t>ne</w:t>
      </w:r>
      <w:r w:rsidRPr="002C4077">
        <w:t xml:space="preserve"> </w:t>
      </w:r>
      <w:r>
        <w:t>désire</w:t>
      </w:r>
      <w:r w:rsidRPr="002C4077">
        <w:t xml:space="preserve"> </w:t>
      </w:r>
      <w:r>
        <w:t>pas</w:t>
      </w:r>
      <w:r w:rsidRPr="002C4077">
        <w:t xml:space="preserve"> </w:t>
      </w:r>
      <w:r>
        <w:t>de</w:t>
      </w:r>
      <w:r w:rsidRPr="002C4077">
        <w:t xml:space="preserve"> </w:t>
      </w:r>
      <w:r>
        <w:t>pois</w:t>
      </w:r>
      <w:r w:rsidRPr="002C4077">
        <w:t xml:space="preserve"> </w:t>
      </w:r>
      <w:r>
        <w:t>dans</w:t>
      </w:r>
      <w:r w:rsidRPr="002C4077">
        <w:t xml:space="preserve"> </w:t>
      </w:r>
      <w:r>
        <w:t>sa</w:t>
      </w:r>
      <w:r w:rsidRPr="002C4077">
        <w:t xml:space="preserve"> </w:t>
      </w:r>
      <w:r>
        <w:t>marmite</w:t>
      </w:r>
      <w:r w:rsidR="00B546AF">
        <w:t> »</w:t>
      </w:r>
      <w:r>
        <w:t>.</w:t>
      </w:r>
      <w:r w:rsidRPr="002C4077">
        <w:t xml:space="preserve"> </w:t>
      </w:r>
      <w:r w:rsidR="00B546AF">
        <w:t>« </w:t>
      </w:r>
      <w:r>
        <w:t>Quand</w:t>
      </w:r>
      <w:r w:rsidRPr="002C4077">
        <w:t xml:space="preserve"> </w:t>
      </w:r>
      <w:r>
        <w:t>même</w:t>
      </w:r>
      <w:r w:rsidRPr="002C4077">
        <w:t xml:space="preserve"> </w:t>
      </w:r>
      <w:r>
        <w:t>l’homme</w:t>
      </w:r>
      <w:r w:rsidRPr="002C4077">
        <w:t xml:space="preserve"> </w:t>
      </w:r>
      <w:r>
        <w:t>n’est</w:t>
      </w:r>
      <w:r w:rsidRPr="002C4077">
        <w:t xml:space="preserve"> </w:t>
      </w:r>
      <w:r>
        <w:t>qu’un</w:t>
      </w:r>
      <w:r w:rsidRPr="002C4077">
        <w:t xml:space="preserve"> </w:t>
      </w:r>
      <w:r>
        <w:t>cardeur</w:t>
      </w:r>
      <w:r w:rsidRPr="002C4077">
        <w:t xml:space="preserve"> </w:t>
      </w:r>
      <w:r>
        <w:t>de</w:t>
      </w:r>
      <w:r w:rsidRPr="002C4077">
        <w:t xml:space="preserve"> </w:t>
      </w:r>
      <w:r>
        <w:t>laine,</w:t>
      </w:r>
      <w:r w:rsidRPr="002C4077">
        <w:t xml:space="preserve"> </w:t>
      </w:r>
      <w:r>
        <w:t>la</w:t>
      </w:r>
      <w:r w:rsidRPr="002C4077">
        <w:t xml:space="preserve"> </w:t>
      </w:r>
      <w:r>
        <w:t>femme</w:t>
      </w:r>
      <w:r w:rsidRPr="002C4077">
        <w:t xml:space="preserve"> </w:t>
      </w:r>
      <w:r>
        <w:t>l’appelle</w:t>
      </w:r>
      <w:r w:rsidRPr="002C4077">
        <w:t xml:space="preserve"> </w:t>
      </w:r>
      <w:r>
        <w:t>sur</w:t>
      </w:r>
      <w:r w:rsidRPr="002C4077">
        <w:t xml:space="preserve"> </w:t>
      </w:r>
      <w:r>
        <w:t>le</w:t>
      </w:r>
      <w:r w:rsidRPr="002C4077">
        <w:t xml:space="preserve"> </w:t>
      </w:r>
      <w:r w:rsidR="00425C50">
        <w:t>seuil</w:t>
      </w:r>
      <w:r w:rsidRPr="002C4077">
        <w:t xml:space="preserve"> </w:t>
      </w:r>
      <w:r>
        <w:t>de</w:t>
      </w:r>
      <w:r w:rsidRPr="002C4077">
        <w:t xml:space="preserve"> </w:t>
      </w:r>
      <w:r>
        <w:t>la</w:t>
      </w:r>
      <w:r w:rsidRPr="002C4077">
        <w:t xml:space="preserve"> </w:t>
      </w:r>
      <w:r>
        <w:t>porte,</w:t>
      </w:r>
      <w:r w:rsidRPr="002C4077">
        <w:t xml:space="preserve"> </w:t>
      </w:r>
      <w:r>
        <w:t>et</w:t>
      </w:r>
      <w:r w:rsidRPr="002C4077">
        <w:t xml:space="preserve"> </w:t>
      </w:r>
      <w:r>
        <w:t>elle</w:t>
      </w:r>
      <w:r w:rsidRPr="002C4077">
        <w:t xml:space="preserve"> </w:t>
      </w:r>
      <w:r>
        <w:t>s’assied</w:t>
      </w:r>
      <w:r w:rsidRPr="002C4077">
        <w:t xml:space="preserve"> </w:t>
      </w:r>
      <w:r>
        <w:t>à</w:t>
      </w:r>
      <w:r w:rsidRPr="002C4077">
        <w:t xml:space="preserve"> </w:t>
      </w:r>
      <w:r>
        <w:t>côté</w:t>
      </w:r>
      <w:r w:rsidRPr="002C4077">
        <w:t xml:space="preserve"> </w:t>
      </w:r>
      <w:r>
        <w:t>de</w:t>
      </w:r>
      <w:bookmarkStart w:id="601" w:name="z_TravailManuel_o5"/>
      <w:bookmarkEnd w:id="601"/>
      <w:r w:rsidRPr="002C4077">
        <w:t xml:space="preserve"> </w:t>
      </w:r>
      <w:r>
        <w:t>lui</w:t>
      </w:r>
      <w:r w:rsidR="00B91AF7">
        <w:rPr>
          <w:rStyle w:val="Appelnotedebasdep"/>
        </w:rPr>
        <w:footnoteReference w:id="779"/>
      </w:r>
      <w:r w:rsidR="00B546AF">
        <w:t> »</w:t>
      </w:r>
      <w:r>
        <w:t>.</w:t>
      </w:r>
      <w:r w:rsidRPr="002C4077">
        <w:t xml:space="preserve"> </w:t>
      </w:r>
    </w:p>
    <w:p w:rsidR="00FD0BB0" w:rsidRDefault="00FD0BB0" w:rsidP="000A7AAB"/>
    <w:p w:rsidR="000A7AAB" w:rsidRPr="001F5257" w:rsidRDefault="000A7AAB" w:rsidP="000A7AAB">
      <w:r>
        <w:t>Jamais</w:t>
      </w:r>
      <w:bookmarkStart w:id="602" w:name="z_TravailManuel_o6"/>
      <w:bookmarkEnd w:id="602"/>
      <w:r>
        <w:t>,</w:t>
      </w:r>
      <w:r w:rsidRPr="002C4077">
        <w:t xml:space="preserve"> </w:t>
      </w:r>
      <w:r>
        <w:t>cependant,</w:t>
      </w:r>
      <w:r w:rsidRPr="002C4077">
        <w:t xml:space="preserve"> </w:t>
      </w:r>
      <w:r>
        <w:t>les</w:t>
      </w:r>
      <w:r w:rsidRPr="002C4077">
        <w:t xml:space="preserve"> </w:t>
      </w:r>
      <w:r>
        <w:t>Juifs</w:t>
      </w:r>
      <w:r w:rsidRPr="002C4077">
        <w:t xml:space="preserve"> </w:t>
      </w:r>
      <w:r>
        <w:t>n’ont</w:t>
      </w:r>
      <w:r w:rsidRPr="002C4077">
        <w:t xml:space="preserve"> </w:t>
      </w:r>
      <w:r>
        <w:t>prétendu</w:t>
      </w:r>
      <w:r w:rsidRPr="002C4077">
        <w:t xml:space="preserve"> </w:t>
      </w:r>
      <w:r>
        <w:t>faire</w:t>
      </w:r>
      <w:r w:rsidRPr="002C4077">
        <w:t xml:space="preserve"> </w:t>
      </w:r>
      <w:r>
        <w:t>table</w:t>
      </w:r>
      <w:r w:rsidRPr="002C4077">
        <w:t xml:space="preserve"> </w:t>
      </w:r>
      <w:r>
        <w:t>rase</w:t>
      </w:r>
      <w:r w:rsidRPr="002C4077">
        <w:t xml:space="preserve"> </w:t>
      </w:r>
      <w:r>
        <w:t>dans</w:t>
      </w:r>
      <w:r w:rsidRPr="002C4077">
        <w:t xml:space="preserve"> </w:t>
      </w:r>
      <w:r>
        <w:t>la</w:t>
      </w:r>
      <w:r w:rsidRPr="002C4077">
        <w:t xml:space="preserve"> </w:t>
      </w:r>
      <w:r>
        <w:t>société,</w:t>
      </w:r>
      <w:r w:rsidRPr="002C4077">
        <w:t xml:space="preserve"> </w:t>
      </w:r>
      <w:r>
        <w:t>et</w:t>
      </w:r>
      <w:r w:rsidRPr="002C4077">
        <w:t xml:space="preserve"> </w:t>
      </w:r>
      <w:r>
        <w:t>mettre</w:t>
      </w:r>
      <w:r w:rsidRPr="002C4077">
        <w:t xml:space="preserve"> </w:t>
      </w:r>
      <w:r>
        <w:t>toutes</w:t>
      </w:r>
      <w:r w:rsidRPr="002C4077">
        <w:t xml:space="preserve"> </w:t>
      </w:r>
      <w:r>
        <w:t>les</w:t>
      </w:r>
      <w:r w:rsidRPr="002C4077">
        <w:t xml:space="preserve"> </w:t>
      </w:r>
      <w:r>
        <w:t>professions</w:t>
      </w:r>
      <w:r w:rsidRPr="002C4077">
        <w:t xml:space="preserve"> </w:t>
      </w:r>
      <w:r>
        <w:t>au</w:t>
      </w:r>
      <w:r w:rsidRPr="002C4077">
        <w:t xml:space="preserve"> </w:t>
      </w:r>
      <w:r>
        <w:t>même</w:t>
      </w:r>
      <w:r w:rsidRPr="002C4077">
        <w:t xml:space="preserve"> </w:t>
      </w:r>
      <w:r>
        <w:t>niveau.</w:t>
      </w:r>
      <w:r w:rsidRPr="002C4077">
        <w:t xml:space="preserve"> </w:t>
      </w:r>
      <w:r>
        <w:t>Toutes</w:t>
      </w:r>
      <w:r w:rsidRPr="002C4077">
        <w:t xml:space="preserve"> </w:t>
      </w:r>
      <w:r>
        <w:t>sont</w:t>
      </w:r>
      <w:r w:rsidRPr="002C4077">
        <w:t xml:space="preserve"> </w:t>
      </w:r>
      <w:r>
        <w:t>utiles,</w:t>
      </w:r>
      <w:r w:rsidRPr="002C4077">
        <w:t xml:space="preserve"> </w:t>
      </w:r>
      <w:r>
        <w:t>aucune</w:t>
      </w:r>
      <w:r w:rsidRPr="002C4077">
        <w:t xml:space="preserve"> </w:t>
      </w:r>
      <w:r>
        <w:t>n’est</w:t>
      </w:r>
      <w:r w:rsidRPr="002C4077">
        <w:t xml:space="preserve"> </w:t>
      </w:r>
      <w:r>
        <w:t>infamante</w:t>
      </w:r>
      <w:r w:rsidRPr="002C4077">
        <w:t xml:space="preserve"> </w:t>
      </w:r>
      <w:r>
        <w:t>par</w:t>
      </w:r>
      <w:r w:rsidRPr="002C4077">
        <w:t xml:space="preserve"> </w:t>
      </w:r>
      <w:r>
        <w:t>elle-même</w:t>
      </w:r>
      <w:r w:rsidR="00B546AF">
        <w:t> :</w:t>
      </w:r>
      <w:r w:rsidRPr="002C4077">
        <w:t xml:space="preserve"> </w:t>
      </w:r>
      <w:r>
        <w:t>tel</w:t>
      </w:r>
      <w:r w:rsidRPr="002C4077">
        <w:t xml:space="preserve"> </w:t>
      </w:r>
      <w:r>
        <w:t>était</w:t>
      </w:r>
      <w:r w:rsidRPr="002C4077">
        <w:t xml:space="preserve"> </w:t>
      </w:r>
      <w:r>
        <w:t>leur</w:t>
      </w:r>
      <w:r w:rsidRPr="002C4077">
        <w:t xml:space="preserve"> </w:t>
      </w:r>
      <w:r>
        <w:t>principe.</w:t>
      </w:r>
      <w:r w:rsidRPr="002C4077">
        <w:t xml:space="preserve"> </w:t>
      </w:r>
      <w:r>
        <w:t>Néanmoins,</w:t>
      </w:r>
      <w:r w:rsidRPr="002C4077">
        <w:t xml:space="preserve"> </w:t>
      </w:r>
      <w:r>
        <w:t>ils</w:t>
      </w:r>
      <w:r w:rsidRPr="002C4077">
        <w:t xml:space="preserve"> </w:t>
      </w:r>
      <w:r>
        <w:t>n’attribuaient</w:t>
      </w:r>
      <w:r w:rsidRPr="002C4077">
        <w:t xml:space="preserve"> </w:t>
      </w:r>
      <w:r>
        <w:t>pas</w:t>
      </w:r>
      <w:r w:rsidRPr="002C4077">
        <w:t xml:space="preserve"> </w:t>
      </w:r>
      <w:r>
        <w:t>à</w:t>
      </w:r>
      <w:r w:rsidRPr="002C4077">
        <w:t xml:space="preserve"> </w:t>
      </w:r>
      <w:r>
        <w:t>toutes</w:t>
      </w:r>
      <w:r w:rsidRPr="002C4077">
        <w:t xml:space="preserve"> </w:t>
      </w:r>
      <w:r>
        <w:t>un</w:t>
      </w:r>
      <w:r w:rsidRPr="002C4077">
        <w:t xml:space="preserve"> </w:t>
      </w:r>
      <w:r>
        <w:t>égal</w:t>
      </w:r>
      <w:r w:rsidRPr="002C4077">
        <w:t xml:space="preserve"> </w:t>
      </w:r>
      <w:r>
        <w:t>degré</w:t>
      </w:r>
      <w:r w:rsidRPr="002C4077">
        <w:t xml:space="preserve"> </w:t>
      </w:r>
      <w:r>
        <w:t>de</w:t>
      </w:r>
      <w:r w:rsidRPr="002C4077">
        <w:t xml:space="preserve"> </w:t>
      </w:r>
      <w:r>
        <w:t>distinction</w:t>
      </w:r>
      <w:r w:rsidRPr="002C4077">
        <w:t xml:space="preserve"> </w:t>
      </w:r>
      <w:r>
        <w:t>et</w:t>
      </w:r>
      <w:r w:rsidRPr="002C4077">
        <w:t xml:space="preserve"> </w:t>
      </w:r>
      <w:r>
        <w:t>de</w:t>
      </w:r>
      <w:r w:rsidRPr="002C4077">
        <w:t xml:space="preserve"> </w:t>
      </w:r>
      <w:r>
        <w:t>mérite.</w:t>
      </w:r>
      <w:r w:rsidRPr="002C4077">
        <w:t xml:space="preserve"> </w:t>
      </w:r>
      <w:r>
        <w:t>Mais</w:t>
      </w:r>
      <w:r w:rsidRPr="002C4077">
        <w:t xml:space="preserve"> </w:t>
      </w:r>
      <w:r>
        <w:t>à</w:t>
      </w:r>
      <w:r w:rsidRPr="002C4077">
        <w:t xml:space="preserve"> </w:t>
      </w:r>
      <w:r>
        <w:t>quel</w:t>
      </w:r>
      <w:r w:rsidRPr="002C4077">
        <w:t xml:space="preserve"> </w:t>
      </w:r>
      <w:r>
        <w:t>point</w:t>
      </w:r>
      <w:r w:rsidRPr="002C4077">
        <w:t xml:space="preserve"> </w:t>
      </w:r>
      <w:r>
        <w:t>de</w:t>
      </w:r>
      <w:r w:rsidRPr="002C4077">
        <w:t xml:space="preserve"> </w:t>
      </w:r>
      <w:r>
        <w:t>vue</w:t>
      </w:r>
      <w:r w:rsidRPr="002C4077">
        <w:t xml:space="preserve"> </w:t>
      </w:r>
      <w:r>
        <w:t>se</w:t>
      </w:r>
      <w:r w:rsidRPr="002C4077">
        <w:t xml:space="preserve"> </w:t>
      </w:r>
      <w:r>
        <w:t>plaçaient-ils</w:t>
      </w:r>
      <w:r w:rsidRPr="002C4077">
        <w:t xml:space="preserve"> </w:t>
      </w:r>
      <w:r>
        <w:t>pour</w:t>
      </w:r>
      <w:r w:rsidRPr="002C4077">
        <w:t xml:space="preserve"> </w:t>
      </w:r>
      <w:r>
        <w:t>porter</w:t>
      </w:r>
      <w:r w:rsidRPr="002C4077">
        <w:t xml:space="preserve"> </w:t>
      </w:r>
      <w:r>
        <w:t>un</w:t>
      </w:r>
      <w:r w:rsidRPr="002C4077">
        <w:t xml:space="preserve"> </w:t>
      </w:r>
      <w:r>
        <w:t>jugement</w:t>
      </w:r>
      <w:r w:rsidRPr="002C4077">
        <w:t xml:space="preserve"> </w:t>
      </w:r>
      <w:r>
        <w:t>sur</w:t>
      </w:r>
      <w:r w:rsidRPr="002C4077">
        <w:t xml:space="preserve"> </w:t>
      </w:r>
      <w:r>
        <w:t>la</w:t>
      </w:r>
      <w:r w:rsidRPr="002C4077">
        <w:t xml:space="preserve"> </w:t>
      </w:r>
      <w:r>
        <w:t>supériorité</w:t>
      </w:r>
      <w:r w:rsidRPr="002C4077">
        <w:t xml:space="preserve"> </w:t>
      </w:r>
      <w:r>
        <w:t>ou</w:t>
      </w:r>
      <w:r w:rsidRPr="002C4077">
        <w:t xml:space="preserve"> </w:t>
      </w:r>
      <w:r>
        <w:t>l’infériorité</w:t>
      </w:r>
      <w:r w:rsidRPr="002C4077">
        <w:t xml:space="preserve"> </w:t>
      </w:r>
      <w:r>
        <w:t>d’une</w:t>
      </w:r>
      <w:r w:rsidRPr="002C4077">
        <w:t xml:space="preserve"> </w:t>
      </w:r>
      <w:r>
        <w:t>occupation</w:t>
      </w:r>
      <w:r w:rsidR="00B546AF">
        <w:t> ?</w:t>
      </w:r>
      <w:r w:rsidRPr="002C4077">
        <w:t xml:space="preserve"> </w:t>
      </w:r>
      <w:r>
        <w:t>Naturellement,</w:t>
      </w:r>
      <w:r w:rsidRPr="002C4077">
        <w:t xml:space="preserve"> </w:t>
      </w:r>
      <w:r>
        <w:t>c’était</w:t>
      </w:r>
      <w:r w:rsidRPr="002C4077">
        <w:t xml:space="preserve"> </w:t>
      </w:r>
      <w:r>
        <w:t>le</w:t>
      </w:r>
      <w:r w:rsidRPr="002C4077">
        <w:t xml:space="preserve"> </w:t>
      </w:r>
      <w:r>
        <w:t>côté</w:t>
      </w:r>
      <w:r w:rsidRPr="002C4077">
        <w:t xml:space="preserve"> </w:t>
      </w:r>
      <w:r>
        <w:t>religieux</w:t>
      </w:r>
      <w:r w:rsidRPr="002C4077">
        <w:t xml:space="preserve"> </w:t>
      </w:r>
      <w:r>
        <w:t>que</w:t>
      </w:r>
      <w:r w:rsidRPr="002C4077">
        <w:t xml:space="preserve"> </w:t>
      </w:r>
      <w:r>
        <w:t>le</w:t>
      </w:r>
      <w:r w:rsidRPr="002C4077">
        <w:t xml:space="preserve"> </w:t>
      </w:r>
      <w:r>
        <w:t>peuple</w:t>
      </w:r>
      <w:r w:rsidRPr="002C4077">
        <w:t xml:space="preserve"> </w:t>
      </w:r>
      <w:r>
        <w:t>théocratique</w:t>
      </w:r>
      <w:r w:rsidRPr="002C4077">
        <w:t xml:space="preserve"> </w:t>
      </w:r>
      <w:r>
        <w:t>devait</w:t>
      </w:r>
      <w:r w:rsidRPr="002C4077">
        <w:t xml:space="preserve"> </w:t>
      </w:r>
      <w:r>
        <w:t>tout</w:t>
      </w:r>
      <w:r w:rsidRPr="002C4077">
        <w:t xml:space="preserve"> </w:t>
      </w:r>
      <w:r>
        <w:t>d’abord</w:t>
      </w:r>
      <w:r w:rsidRPr="002C4077">
        <w:t xml:space="preserve"> </w:t>
      </w:r>
      <w:r>
        <w:t>envisager.</w:t>
      </w:r>
      <w:r w:rsidRPr="002C4077">
        <w:t xml:space="preserve"> </w:t>
      </w:r>
      <w:r>
        <w:t>On</w:t>
      </w:r>
      <w:r w:rsidRPr="002C4077">
        <w:t xml:space="preserve"> </w:t>
      </w:r>
      <w:r>
        <w:t>sait</w:t>
      </w:r>
      <w:r w:rsidRPr="002C4077">
        <w:t xml:space="preserve"> </w:t>
      </w:r>
      <w:r>
        <w:t>toute</w:t>
      </w:r>
      <w:r w:rsidRPr="002C4077">
        <w:t xml:space="preserve"> </w:t>
      </w:r>
      <w:r>
        <w:t>l’importance</w:t>
      </w:r>
      <w:r w:rsidRPr="002C4077">
        <w:t xml:space="preserve"> </w:t>
      </w:r>
      <w:r>
        <w:t>que</w:t>
      </w:r>
      <w:r w:rsidRPr="002C4077">
        <w:t xml:space="preserve"> </w:t>
      </w:r>
      <w:r>
        <w:t>le</w:t>
      </w:r>
      <w:r w:rsidRPr="002C4077">
        <w:t xml:space="preserve"> </w:t>
      </w:r>
      <w:r>
        <w:t>rituel</w:t>
      </w:r>
      <w:r w:rsidRPr="002C4077">
        <w:t xml:space="preserve"> </w:t>
      </w:r>
      <w:r>
        <w:t>des</w:t>
      </w:r>
      <w:r w:rsidRPr="002C4077">
        <w:t xml:space="preserve"> </w:t>
      </w:r>
      <w:r>
        <w:t>Juifs</w:t>
      </w:r>
      <w:r w:rsidRPr="002C4077">
        <w:t xml:space="preserve"> </w:t>
      </w:r>
      <w:r>
        <w:t>attachait</w:t>
      </w:r>
      <w:r w:rsidRPr="002C4077">
        <w:t xml:space="preserve"> </w:t>
      </w:r>
      <w:r>
        <w:t>au</w:t>
      </w:r>
      <w:r w:rsidRPr="002C4077">
        <w:t xml:space="preserve"> </w:t>
      </w:r>
      <w:r>
        <w:t>pur</w:t>
      </w:r>
      <w:r w:rsidRPr="002C4077">
        <w:t xml:space="preserve"> </w:t>
      </w:r>
      <w:r>
        <w:t>et</w:t>
      </w:r>
      <w:r w:rsidRPr="002C4077">
        <w:t xml:space="preserve"> </w:t>
      </w:r>
      <w:r>
        <w:t>à</w:t>
      </w:r>
      <w:r w:rsidRPr="002C4077">
        <w:t xml:space="preserve"> </w:t>
      </w:r>
      <w:r>
        <w:t>l’impur,</w:t>
      </w:r>
      <w:r w:rsidRPr="002C4077">
        <w:t xml:space="preserve"> </w:t>
      </w:r>
      <w:r>
        <w:t>et</w:t>
      </w:r>
      <w:r w:rsidRPr="002C4077">
        <w:t xml:space="preserve"> </w:t>
      </w:r>
      <w:r>
        <w:t>combien</w:t>
      </w:r>
      <w:r w:rsidRPr="002C4077">
        <w:t xml:space="preserve"> </w:t>
      </w:r>
      <w:r>
        <w:t>les</w:t>
      </w:r>
      <w:r w:rsidRPr="002C4077">
        <w:t xml:space="preserve"> </w:t>
      </w:r>
      <w:r>
        <w:t>Israélites</w:t>
      </w:r>
      <w:r w:rsidRPr="002C4077">
        <w:t xml:space="preserve"> </w:t>
      </w:r>
      <w:r>
        <w:t>avaient</w:t>
      </w:r>
      <w:r w:rsidRPr="002C4077">
        <w:t xml:space="preserve"> </w:t>
      </w:r>
      <w:r>
        <w:t>en</w:t>
      </w:r>
      <w:r w:rsidRPr="002C4077">
        <w:t xml:space="preserve"> </w:t>
      </w:r>
      <w:r>
        <w:t>horreur</w:t>
      </w:r>
      <w:r w:rsidRPr="002C4077">
        <w:t xml:space="preserve"> </w:t>
      </w:r>
      <w:r>
        <w:t>tout</w:t>
      </w:r>
      <w:r w:rsidRPr="002C4077">
        <w:t xml:space="preserve"> </w:t>
      </w:r>
      <w:r>
        <w:t>ce</w:t>
      </w:r>
      <w:r w:rsidRPr="002C4077">
        <w:t xml:space="preserve"> </w:t>
      </w:r>
      <w:r>
        <w:t>qui</w:t>
      </w:r>
      <w:r w:rsidRPr="002C4077">
        <w:t xml:space="preserve"> </w:t>
      </w:r>
      <w:r>
        <w:t>pouvait</w:t>
      </w:r>
      <w:r w:rsidRPr="002C4077">
        <w:t xml:space="preserve"> </w:t>
      </w:r>
      <w:r>
        <w:t>leur</w:t>
      </w:r>
      <w:r w:rsidRPr="002C4077">
        <w:t xml:space="preserve"> </w:t>
      </w:r>
      <w:r>
        <w:t>faire</w:t>
      </w:r>
      <w:r w:rsidRPr="002C4077">
        <w:t xml:space="preserve"> </w:t>
      </w:r>
      <w:r>
        <w:t>contracter</w:t>
      </w:r>
      <w:r w:rsidRPr="002C4077">
        <w:t xml:space="preserve"> </w:t>
      </w:r>
      <w:r>
        <w:t>la</w:t>
      </w:r>
      <w:r w:rsidRPr="002C4077">
        <w:t xml:space="preserve"> </w:t>
      </w:r>
      <w:r>
        <w:t>moindre</w:t>
      </w:r>
      <w:r w:rsidRPr="002C4077">
        <w:t xml:space="preserve"> </w:t>
      </w:r>
      <w:r>
        <w:t>souillure</w:t>
      </w:r>
      <w:r w:rsidRPr="002C4077">
        <w:t xml:space="preserve"> </w:t>
      </w:r>
      <w:r>
        <w:t>légale,</w:t>
      </w:r>
      <w:r w:rsidRPr="002C4077">
        <w:t xml:space="preserve"> </w:t>
      </w:r>
      <w:r>
        <w:t>emblème</w:t>
      </w:r>
      <w:r w:rsidRPr="002C4077">
        <w:t xml:space="preserve"> </w:t>
      </w:r>
      <w:r>
        <w:t>de</w:t>
      </w:r>
      <w:r w:rsidRPr="002C4077">
        <w:t xml:space="preserve"> </w:t>
      </w:r>
      <w:r>
        <w:t>l’impureté</w:t>
      </w:r>
      <w:r w:rsidRPr="002C4077">
        <w:t xml:space="preserve"> </w:t>
      </w:r>
      <w:r>
        <w:t>spirituelle</w:t>
      </w:r>
      <w:r w:rsidRPr="002C4077">
        <w:t xml:space="preserve"> </w:t>
      </w:r>
      <w:r>
        <w:t>qu’ils</w:t>
      </w:r>
      <w:r w:rsidRPr="002C4077">
        <w:t xml:space="preserve"> </w:t>
      </w:r>
      <w:r>
        <w:t>devaient</w:t>
      </w:r>
      <w:r w:rsidRPr="002C4077">
        <w:t xml:space="preserve"> </w:t>
      </w:r>
      <w:r>
        <w:t>fuir</w:t>
      </w:r>
      <w:r w:rsidRPr="002C4077">
        <w:t xml:space="preserve"> </w:t>
      </w:r>
      <w:r>
        <w:t>avec</w:t>
      </w:r>
      <w:r w:rsidRPr="002C4077">
        <w:t xml:space="preserve"> </w:t>
      </w:r>
      <w:r>
        <w:t>un</w:t>
      </w:r>
      <w:r w:rsidRPr="002C4077">
        <w:t xml:space="preserve"> </w:t>
      </w:r>
      <w:r>
        <w:t>zèle</w:t>
      </w:r>
      <w:r w:rsidRPr="002C4077">
        <w:t xml:space="preserve"> </w:t>
      </w:r>
      <w:r>
        <w:t>plus</w:t>
      </w:r>
      <w:r w:rsidRPr="002C4077">
        <w:t xml:space="preserve"> </w:t>
      </w:r>
      <w:r>
        <w:t>grand</w:t>
      </w:r>
      <w:r w:rsidRPr="002C4077">
        <w:t xml:space="preserve"> </w:t>
      </w:r>
      <w:r>
        <w:t>encore.</w:t>
      </w:r>
      <w:r w:rsidRPr="002C4077">
        <w:t xml:space="preserve"> </w:t>
      </w:r>
      <w:r>
        <w:t>Partant</w:t>
      </w:r>
      <w:r w:rsidRPr="002C4077">
        <w:t xml:space="preserve"> </w:t>
      </w:r>
      <w:r>
        <w:t>de</w:t>
      </w:r>
      <w:r w:rsidRPr="002C4077">
        <w:t xml:space="preserve"> </w:t>
      </w:r>
      <w:r>
        <w:t>là,</w:t>
      </w:r>
      <w:r w:rsidRPr="002C4077">
        <w:t xml:space="preserve"> </w:t>
      </w:r>
      <w:r>
        <w:t>ils</w:t>
      </w:r>
      <w:r w:rsidRPr="002C4077">
        <w:t xml:space="preserve"> </w:t>
      </w:r>
      <w:r>
        <w:t>estimaient</w:t>
      </w:r>
      <w:r w:rsidRPr="002C4077">
        <w:t xml:space="preserve"> </w:t>
      </w:r>
      <w:r>
        <w:t>moins</w:t>
      </w:r>
      <w:r w:rsidRPr="002C4077">
        <w:t xml:space="preserve"> </w:t>
      </w:r>
      <w:r>
        <w:t>les</w:t>
      </w:r>
      <w:r w:rsidRPr="002C4077">
        <w:t xml:space="preserve"> </w:t>
      </w:r>
      <w:r>
        <w:t>professions</w:t>
      </w:r>
      <w:r w:rsidRPr="002C4077">
        <w:t xml:space="preserve"> </w:t>
      </w:r>
      <w:r>
        <w:t>qui</w:t>
      </w:r>
      <w:r w:rsidRPr="002C4077">
        <w:t xml:space="preserve"> </w:t>
      </w:r>
      <w:r>
        <w:t>mettaient</w:t>
      </w:r>
      <w:r w:rsidRPr="002C4077">
        <w:t xml:space="preserve"> </w:t>
      </w:r>
      <w:r>
        <w:t>les</w:t>
      </w:r>
      <w:r w:rsidRPr="002C4077">
        <w:t xml:space="preserve"> </w:t>
      </w:r>
      <w:r>
        <w:t>ouvriers</w:t>
      </w:r>
      <w:r w:rsidRPr="002C4077">
        <w:t xml:space="preserve"> </w:t>
      </w:r>
      <w:r>
        <w:t>en</w:t>
      </w:r>
      <w:r w:rsidRPr="002C4077">
        <w:t xml:space="preserve"> </w:t>
      </w:r>
      <w:r>
        <w:t>rapport</w:t>
      </w:r>
      <w:r w:rsidRPr="002C4077">
        <w:t xml:space="preserve"> </w:t>
      </w:r>
      <w:r>
        <w:t>avec</w:t>
      </w:r>
      <w:r w:rsidRPr="002C4077">
        <w:t xml:space="preserve"> </w:t>
      </w:r>
      <w:r>
        <w:t>des</w:t>
      </w:r>
      <w:r w:rsidRPr="002C4077">
        <w:t xml:space="preserve"> </w:t>
      </w:r>
      <w:r>
        <w:t>matières</w:t>
      </w:r>
      <w:r w:rsidRPr="002C4077">
        <w:t xml:space="preserve"> </w:t>
      </w:r>
      <w:r>
        <w:t>impures</w:t>
      </w:r>
      <w:r w:rsidRPr="002C4077">
        <w:t xml:space="preserve"> </w:t>
      </w:r>
      <w:r>
        <w:t>selon</w:t>
      </w:r>
      <w:r w:rsidRPr="002C4077">
        <w:t xml:space="preserve"> </w:t>
      </w:r>
      <w:r>
        <w:t>la</w:t>
      </w:r>
      <w:r w:rsidRPr="002C4077">
        <w:t xml:space="preserve"> </w:t>
      </w:r>
      <w:r>
        <w:t>loi</w:t>
      </w:r>
      <w:r w:rsidR="00B546AF">
        <w:t> ;</w:t>
      </w:r>
      <w:r w:rsidRPr="002C4077">
        <w:t xml:space="preserve"> </w:t>
      </w:r>
      <w:r>
        <w:t>par</w:t>
      </w:r>
      <w:r w:rsidRPr="002C4077">
        <w:t xml:space="preserve"> </w:t>
      </w:r>
      <w:r>
        <w:t>exemple,</w:t>
      </w:r>
      <w:r w:rsidRPr="002C4077">
        <w:t xml:space="preserve"> </w:t>
      </w:r>
      <w:r>
        <w:t>celles</w:t>
      </w:r>
      <w:r w:rsidRPr="002C4077">
        <w:t xml:space="preserve"> </w:t>
      </w:r>
      <w:r>
        <w:t>de</w:t>
      </w:r>
      <w:r w:rsidRPr="002C4077">
        <w:t xml:space="preserve"> </w:t>
      </w:r>
      <w:r>
        <w:t>corroyeur</w:t>
      </w:r>
      <w:r w:rsidRPr="002C4077">
        <w:t xml:space="preserve"> </w:t>
      </w:r>
      <w:r>
        <w:t>et</w:t>
      </w:r>
      <w:r w:rsidRPr="002C4077">
        <w:t xml:space="preserve"> </w:t>
      </w:r>
      <w:r>
        <w:t>de</w:t>
      </w:r>
      <w:r w:rsidRPr="002C4077">
        <w:t xml:space="preserve"> </w:t>
      </w:r>
      <w:r>
        <w:t>mineur.</w:t>
      </w:r>
      <w:r w:rsidRPr="002C4077">
        <w:t xml:space="preserve"> </w:t>
      </w:r>
      <w:r w:rsidR="00B546AF">
        <w:t>« </w:t>
      </w:r>
      <w:r>
        <w:t>Le</w:t>
      </w:r>
      <w:r w:rsidRPr="002C4077">
        <w:t xml:space="preserve"> </w:t>
      </w:r>
      <w:r>
        <w:t>monde,</w:t>
      </w:r>
      <w:r w:rsidRPr="002C4077">
        <w:t xml:space="preserve"> </w:t>
      </w:r>
      <w:r>
        <w:t>dit</w:t>
      </w:r>
      <w:r w:rsidRPr="002C4077">
        <w:t xml:space="preserve"> </w:t>
      </w:r>
      <w:r>
        <w:t>un</w:t>
      </w:r>
      <w:r w:rsidRPr="002C4077">
        <w:t xml:space="preserve"> </w:t>
      </w:r>
      <w:r>
        <w:t>proverbe</w:t>
      </w:r>
      <w:r w:rsidRPr="002C4077">
        <w:t xml:space="preserve"> </w:t>
      </w:r>
      <w:r>
        <w:t>rabbinique,</w:t>
      </w:r>
      <w:r w:rsidRPr="002C4077">
        <w:t xml:space="preserve"> </w:t>
      </w:r>
      <w:r>
        <w:t>ne</w:t>
      </w:r>
      <w:r w:rsidRPr="002C4077">
        <w:t xml:space="preserve"> </w:t>
      </w:r>
      <w:r>
        <w:t>peut</w:t>
      </w:r>
      <w:r w:rsidRPr="002C4077">
        <w:t xml:space="preserve"> </w:t>
      </w:r>
      <w:r>
        <w:t>subsister</w:t>
      </w:r>
      <w:r w:rsidRPr="002C4077">
        <w:t xml:space="preserve"> </w:t>
      </w:r>
      <w:r>
        <w:t>ni</w:t>
      </w:r>
      <w:r w:rsidRPr="002C4077">
        <w:t xml:space="preserve"> </w:t>
      </w:r>
      <w:r>
        <w:t>sans</w:t>
      </w:r>
      <w:r w:rsidRPr="002C4077">
        <w:t xml:space="preserve"> </w:t>
      </w:r>
      <w:r>
        <w:t>parfumeurs,</w:t>
      </w:r>
      <w:r w:rsidRPr="002C4077">
        <w:t xml:space="preserve"> </w:t>
      </w:r>
      <w:r>
        <w:t>ni</w:t>
      </w:r>
      <w:r w:rsidRPr="002C4077">
        <w:t xml:space="preserve"> </w:t>
      </w:r>
      <w:r>
        <w:t>sans</w:t>
      </w:r>
      <w:r w:rsidRPr="002C4077">
        <w:t xml:space="preserve"> </w:t>
      </w:r>
      <w:r>
        <w:t>corroyeurs.</w:t>
      </w:r>
      <w:r w:rsidRPr="002C4077">
        <w:t xml:space="preserve"> </w:t>
      </w:r>
      <w:r>
        <w:t>Heureux</w:t>
      </w:r>
      <w:r w:rsidRPr="002C4077">
        <w:t xml:space="preserve"> </w:t>
      </w:r>
      <w:r w:rsidR="003B53FD">
        <w:t>celui</w:t>
      </w:r>
      <w:r w:rsidRPr="002C4077">
        <w:t xml:space="preserve"> </w:t>
      </w:r>
      <w:r>
        <w:t>qui</w:t>
      </w:r>
      <w:r w:rsidRPr="002C4077">
        <w:t xml:space="preserve"> </w:t>
      </w:r>
      <w:r>
        <w:t>compose</w:t>
      </w:r>
      <w:r w:rsidRPr="002C4077">
        <w:t xml:space="preserve"> </w:t>
      </w:r>
      <w:r>
        <w:t>les</w:t>
      </w:r>
      <w:r w:rsidRPr="002C4077">
        <w:t xml:space="preserve"> </w:t>
      </w:r>
      <w:r>
        <w:t>parfums</w:t>
      </w:r>
      <w:bookmarkStart w:id="603" w:name="z_Parfumeurs_o1"/>
      <w:bookmarkEnd w:id="603"/>
      <w:r w:rsidR="00B546AF">
        <w:t> !</w:t>
      </w:r>
      <w:r w:rsidRPr="002C4077">
        <w:t xml:space="preserve"> </w:t>
      </w:r>
      <w:r>
        <w:t>Malheur</w:t>
      </w:r>
      <w:r w:rsidRPr="002C4077">
        <w:t xml:space="preserve"> </w:t>
      </w:r>
      <w:r>
        <w:t>à</w:t>
      </w:r>
      <w:r w:rsidRPr="002C4077">
        <w:t xml:space="preserve"> </w:t>
      </w:r>
      <w:r w:rsidR="003B53FD">
        <w:t>celui</w:t>
      </w:r>
      <w:r w:rsidRPr="002C4077">
        <w:t xml:space="preserve"> </w:t>
      </w:r>
      <w:r>
        <w:t>qui</w:t>
      </w:r>
      <w:r w:rsidRPr="002C4077">
        <w:t xml:space="preserve"> </w:t>
      </w:r>
      <w:r>
        <w:t>passe</w:t>
      </w:r>
      <w:r w:rsidRPr="002C4077">
        <w:t xml:space="preserve"> </w:t>
      </w:r>
      <w:r>
        <w:t>sa</w:t>
      </w:r>
      <w:r w:rsidRPr="002C4077">
        <w:t xml:space="preserve"> </w:t>
      </w:r>
      <w:r>
        <w:t>vie</w:t>
      </w:r>
      <w:r w:rsidRPr="002C4077">
        <w:t xml:space="preserve"> </w:t>
      </w:r>
      <w:r>
        <w:t>à</w:t>
      </w:r>
      <w:r w:rsidRPr="002C4077">
        <w:t xml:space="preserve"> </w:t>
      </w:r>
      <w:r>
        <w:t>corroyer</w:t>
      </w:r>
      <w:r w:rsidR="00B91AF7">
        <w:rPr>
          <w:rStyle w:val="Appelnotedebasdep"/>
        </w:rPr>
        <w:footnoteReference w:id="780"/>
      </w:r>
      <w:r w:rsidR="00B546AF">
        <w:t> ! »</w:t>
      </w:r>
      <w:r w:rsidR="00C45B47">
        <w:t xml:space="preserve"> {</w:t>
      </w:r>
      <w:r w:rsidR="001F5257">
        <w:t>249</w:t>
      </w:r>
      <w:bookmarkStart w:id="604" w:name="p249"/>
      <w:bookmarkEnd w:id="604"/>
      <w:r w:rsidR="001F5257">
        <w:t xml:space="preserve">} </w:t>
      </w:r>
    </w:p>
    <w:p w:rsidR="000A7AAB" w:rsidRDefault="000A7AAB" w:rsidP="000A7AAB">
      <w:r>
        <w:t>Toutefois,</w:t>
      </w:r>
      <w:r w:rsidRPr="002C4077">
        <w:t xml:space="preserve"> </w:t>
      </w:r>
      <w:r>
        <w:t>les</w:t>
      </w:r>
      <w:r w:rsidRPr="002C4077">
        <w:t xml:space="preserve"> </w:t>
      </w:r>
      <w:r>
        <w:t>parfumeurs</w:t>
      </w:r>
      <w:r w:rsidRPr="002C4077">
        <w:t xml:space="preserve"> </w:t>
      </w:r>
      <w:r>
        <w:t>ne</w:t>
      </w:r>
      <w:r w:rsidRPr="002C4077">
        <w:t xml:space="preserve"> </w:t>
      </w:r>
      <w:r>
        <w:t>reçoivent</w:t>
      </w:r>
      <w:r w:rsidRPr="002C4077">
        <w:t xml:space="preserve"> </w:t>
      </w:r>
      <w:r>
        <w:t>pas</w:t>
      </w:r>
      <w:r w:rsidRPr="002C4077">
        <w:t xml:space="preserve"> </w:t>
      </w:r>
      <w:r>
        <w:t>toujours</w:t>
      </w:r>
      <w:r w:rsidRPr="002C4077">
        <w:t xml:space="preserve"> </w:t>
      </w:r>
      <w:r>
        <w:t>de</w:t>
      </w:r>
      <w:r w:rsidRPr="002C4077">
        <w:t xml:space="preserve"> </w:t>
      </w:r>
      <w:r>
        <w:t>si</w:t>
      </w:r>
      <w:r w:rsidRPr="002C4077">
        <w:t xml:space="preserve"> </w:t>
      </w:r>
      <w:r>
        <w:t>grands</w:t>
      </w:r>
      <w:r w:rsidRPr="002C4077">
        <w:t xml:space="preserve"> </w:t>
      </w:r>
      <w:r>
        <w:t>éloges.</w:t>
      </w:r>
      <w:r w:rsidRPr="002C4077">
        <w:t xml:space="preserve"> </w:t>
      </w:r>
      <w:r>
        <w:t>En</w:t>
      </w:r>
      <w:r w:rsidRPr="002C4077">
        <w:t xml:space="preserve"> </w:t>
      </w:r>
      <w:r>
        <w:t>voici</w:t>
      </w:r>
      <w:r w:rsidRPr="002C4077">
        <w:t xml:space="preserve"> </w:t>
      </w:r>
      <w:r>
        <w:t>la</w:t>
      </w:r>
      <w:r w:rsidRPr="002C4077">
        <w:t xml:space="preserve"> </w:t>
      </w:r>
      <w:r>
        <w:t>raison.</w:t>
      </w:r>
      <w:r w:rsidRPr="002C4077">
        <w:t xml:space="preserve"> </w:t>
      </w:r>
      <w:r>
        <w:t>De</w:t>
      </w:r>
      <w:r w:rsidRPr="002C4077">
        <w:t xml:space="preserve"> </w:t>
      </w:r>
      <w:r>
        <w:t>tout</w:t>
      </w:r>
      <w:r w:rsidRPr="002C4077">
        <w:t xml:space="preserve"> </w:t>
      </w:r>
      <w:r>
        <w:t>temps,</w:t>
      </w:r>
      <w:r w:rsidRPr="002C4077">
        <w:t xml:space="preserve"> </w:t>
      </w:r>
      <w:r>
        <w:t>les</w:t>
      </w:r>
      <w:r w:rsidRPr="002C4077">
        <w:t xml:space="preserve"> </w:t>
      </w:r>
      <w:r>
        <w:t>Orientaux</w:t>
      </w:r>
      <w:r w:rsidRPr="002C4077">
        <w:t xml:space="preserve"> </w:t>
      </w:r>
      <w:r>
        <w:t>ont</w:t>
      </w:r>
      <w:r w:rsidRPr="002C4077">
        <w:t xml:space="preserve"> </w:t>
      </w:r>
      <w:r>
        <w:t>été</w:t>
      </w:r>
      <w:r w:rsidRPr="002C4077">
        <w:t xml:space="preserve"> </w:t>
      </w:r>
      <w:r>
        <w:t>d’une</w:t>
      </w:r>
      <w:r w:rsidRPr="002C4077">
        <w:t xml:space="preserve"> </w:t>
      </w:r>
      <w:r>
        <w:t>délicatesse</w:t>
      </w:r>
      <w:r w:rsidRPr="002C4077">
        <w:t xml:space="preserve"> </w:t>
      </w:r>
      <w:r>
        <w:t>extrême</w:t>
      </w:r>
      <w:r w:rsidRPr="002C4077">
        <w:t xml:space="preserve"> </w:t>
      </w:r>
      <w:r>
        <w:t>dans</w:t>
      </w:r>
      <w:r w:rsidRPr="002C4077">
        <w:t xml:space="preserve"> </w:t>
      </w:r>
      <w:r>
        <w:t>leurs</w:t>
      </w:r>
      <w:r w:rsidRPr="002C4077">
        <w:t xml:space="preserve"> </w:t>
      </w:r>
      <w:r>
        <w:t>relations</w:t>
      </w:r>
      <w:r w:rsidRPr="002C4077">
        <w:t xml:space="preserve"> </w:t>
      </w:r>
      <w:r>
        <w:t>avec</w:t>
      </w:r>
      <w:r w:rsidRPr="002C4077">
        <w:t xml:space="preserve"> </w:t>
      </w:r>
      <w:r>
        <w:t>les</w:t>
      </w:r>
      <w:r w:rsidRPr="002C4077">
        <w:t xml:space="preserve"> </w:t>
      </w:r>
      <w:r>
        <w:t>femmes</w:t>
      </w:r>
      <w:r w:rsidR="00B91AF7">
        <w:rPr>
          <w:rStyle w:val="Appelnotedebasdep"/>
        </w:rPr>
        <w:footnoteReference w:id="781"/>
      </w:r>
      <w:r>
        <w:t>.</w:t>
      </w:r>
      <w:r w:rsidRPr="002C4077">
        <w:t xml:space="preserve"> </w:t>
      </w:r>
      <w:r>
        <w:t>La</w:t>
      </w:r>
      <w:r w:rsidRPr="002C4077">
        <w:t xml:space="preserve"> </w:t>
      </w:r>
      <w:r>
        <w:t>réserve</w:t>
      </w:r>
      <w:r w:rsidRPr="002C4077">
        <w:t xml:space="preserve"> </w:t>
      </w:r>
      <w:r>
        <w:t>des</w:t>
      </w:r>
      <w:r w:rsidRPr="002C4077">
        <w:t xml:space="preserve"> </w:t>
      </w:r>
      <w:r>
        <w:t>Juifs</w:t>
      </w:r>
      <w:r w:rsidRPr="002C4077">
        <w:t xml:space="preserve"> </w:t>
      </w:r>
      <w:r>
        <w:lastRenderedPageBreak/>
        <w:t>surpassait</w:t>
      </w:r>
      <w:r w:rsidRPr="002C4077">
        <w:t xml:space="preserve"> </w:t>
      </w:r>
      <w:r>
        <w:t>encore</w:t>
      </w:r>
      <w:r w:rsidRPr="002C4077">
        <w:t xml:space="preserve"> </w:t>
      </w:r>
      <w:r>
        <w:t>celle</w:t>
      </w:r>
      <w:r w:rsidRPr="002C4077">
        <w:t xml:space="preserve"> </w:t>
      </w:r>
      <w:r>
        <w:t>des</w:t>
      </w:r>
      <w:r w:rsidRPr="002C4077">
        <w:t xml:space="preserve"> </w:t>
      </w:r>
      <w:r>
        <w:t>autres</w:t>
      </w:r>
      <w:r w:rsidRPr="002C4077">
        <w:t xml:space="preserve"> </w:t>
      </w:r>
      <w:r>
        <w:t>peuples</w:t>
      </w:r>
      <w:r w:rsidRPr="002C4077">
        <w:t xml:space="preserve"> </w:t>
      </w:r>
      <w:r>
        <w:t>sous</w:t>
      </w:r>
      <w:r w:rsidRPr="002C4077">
        <w:t xml:space="preserve"> </w:t>
      </w:r>
      <w:r>
        <w:t>ce</w:t>
      </w:r>
      <w:r w:rsidRPr="002C4077">
        <w:t xml:space="preserve"> </w:t>
      </w:r>
      <w:r>
        <w:t>rapport,</w:t>
      </w:r>
      <w:r w:rsidRPr="002C4077">
        <w:t xml:space="preserve"> </w:t>
      </w:r>
      <w:r>
        <w:t>à</w:t>
      </w:r>
      <w:r w:rsidRPr="002C4077">
        <w:t xml:space="preserve"> </w:t>
      </w:r>
      <w:r>
        <w:t>tel</w:t>
      </w:r>
      <w:r w:rsidRPr="002C4077">
        <w:t xml:space="preserve"> </w:t>
      </w:r>
      <w:r>
        <w:t>point</w:t>
      </w:r>
      <w:r w:rsidRPr="002C4077">
        <w:t xml:space="preserve"> </w:t>
      </w:r>
      <w:r>
        <w:t>qu’en</w:t>
      </w:r>
      <w:r w:rsidRPr="002C4077">
        <w:t xml:space="preserve"> </w:t>
      </w:r>
      <w:r>
        <w:t>Galilée</w:t>
      </w:r>
      <w:r w:rsidRPr="002C4077">
        <w:t xml:space="preserve"> </w:t>
      </w:r>
      <w:r>
        <w:t>un</w:t>
      </w:r>
      <w:r w:rsidRPr="002C4077">
        <w:t xml:space="preserve"> </w:t>
      </w:r>
      <w:r>
        <w:t>jeune</w:t>
      </w:r>
      <w:r w:rsidRPr="002C4077">
        <w:t xml:space="preserve"> </w:t>
      </w:r>
      <w:r>
        <w:t>homme</w:t>
      </w:r>
      <w:r w:rsidRPr="002C4077">
        <w:t xml:space="preserve"> </w:t>
      </w:r>
      <w:r>
        <w:t>n’obtenait</w:t>
      </w:r>
      <w:r w:rsidRPr="002C4077">
        <w:t xml:space="preserve"> </w:t>
      </w:r>
      <w:r>
        <w:t>jamais,</w:t>
      </w:r>
      <w:r w:rsidRPr="002C4077">
        <w:t xml:space="preserve"> </w:t>
      </w:r>
      <w:r>
        <w:t>avant</w:t>
      </w:r>
      <w:r w:rsidRPr="002C4077">
        <w:t xml:space="preserve"> </w:t>
      </w:r>
      <w:r>
        <w:t>son</w:t>
      </w:r>
      <w:r w:rsidRPr="002C4077">
        <w:t xml:space="preserve"> </w:t>
      </w:r>
      <w:r>
        <w:t>mariage,</w:t>
      </w:r>
      <w:r w:rsidRPr="002C4077">
        <w:t xml:space="preserve"> </w:t>
      </w:r>
      <w:r>
        <w:t>la</w:t>
      </w:r>
      <w:r w:rsidRPr="002C4077">
        <w:t xml:space="preserve"> </w:t>
      </w:r>
      <w:r>
        <w:t>permission</w:t>
      </w:r>
      <w:r w:rsidRPr="002C4077">
        <w:t xml:space="preserve"> </w:t>
      </w:r>
      <w:r>
        <w:t>d’être</w:t>
      </w:r>
      <w:r w:rsidRPr="002C4077">
        <w:t xml:space="preserve"> </w:t>
      </w:r>
      <w:r>
        <w:t>seul</w:t>
      </w:r>
      <w:r w:rsidRPr="002C4077">
        <w:t xml:space="preserve"> </w:t>
      </w:r>
      <w:r>
        <w:t>avec</w:t>
      </w:r>
      <w:r w:rsidRPr="002C4077">
        <w:t xml:space="preserve"> </w:t>
      </w:r>
      <w:r>
        <w:t>sa</w:t>
      </w:r>
      <w:r w:rsidRPr="002C4077">
        <w:t xml:space="preserve"> </w:t>
      </w:r>
      <w:r>
        <w:t>fiancée.</w:t>
      </w:r>
      <w:r w:rsidRPr="002C4077">
        <w:t xml:space="preserve"> </w:t>
      </w:r>
      <w:r>
        <w:t>On</w:t>
      </w:r>
      <w:r w:rsidRPr="002C4077">
        <w:t xml:space="preserve"> </w:t>
      </w:r>
      <w:r>
        <w:t>comprendra</w:t>
      </w:r>
      <w:r w:rsidRPr="002C4077">
        <w:t xml:space="preserve"> </w:t>
      </w:r>
      <w:r>
        <w:t>donc</w:t>
      </w:r>
      <w:r w:rsidRPr="002C4077">
        <w:t xml:space="preserve"> </w:t>
      </w:r>
      <w:r>
        <w:t>sans</w:t>
      </w:r>
      <w:r w:rsidRPr="002C4077">
        <w:t xml:space="preserve"> </w:t>
      </w:r>
      <w:r>
        <w:t>peine</w:t>
      </w:r>
      <w:r w:rsidRPr="002C4077">
        <w:t xml:space="preserve"> </w:t>
      </w:r>
      <w:r>
        <w:t>qu’ils</w:t>
      </w:r>
      <w:r w:rsidRPr="002C4077">
        <w:t xml:space="preserve"> </w:t>
      </w:r>
      <w:r>
        <w:t>aient</w:t>
      </w:r>
      <w:r w:rsidRPr="002C4077">
        <w:t xml:space="preserve"> </w:t>
      </w:r>
      <w:r>
        <w:t>placé</w:t>
      </w:r>
      <w:r w:rsidRPr="002C4077">
        <w:t xml:space="preserve"> </w:t>
      </w:r>
      <w:r>
        <w:t>à</w:t>
      </w:r>
      <w:r w:rsidRPr="002C4077">
        <w:t xml:space="preserve"> </w:t>
      </w:r>
      <w:r>
        <w:t>un</w:t>
      </w:r>
      <w:r w:rsidRPr="002C4077">
        <w:t xml:space="preserve"> </w:t>
      </w:r>
      <w:r>
        <w:t>rang</w:t>
      </w:r>
      <w:r w:rsidRPr="002C4077">
        <w:t xml:space="preserve"> </w:t>
      </w:r>
      <w:r>
        <w:t>inférieur</w:t>
      </w:r>
      <w:r w:rsidRPr="002C4077">
        <w:t xml:space="preserve"> </w:t>
      </w:r>
      <w:r>
        <w:t>les</w:t>
      </w:r>
      <w:r w:rsidRPr="002C4077">
        <w:t xml:space="preserve"> </w:t>
      </w:r>
      <w:r>
        <w:t>professions</w:t>
      </w:r>
      <w:r w:rsidRPr="002C4077">
        <w:t xml:space="preserve"> </w:t>
      </w:r>
      <w:r>
        <w:t>qui</w:t>
      </w:r>
      <w:r w:rsidRPr="002C4077">
        <w:t xml:space="preserve"> </w:t>
      </w:r>
      <w:r>
        <w:t>mettent</w:t>
      </w:r>
      <w:r w:rsidRPr="002C4077">
        <w:t xml:space="preserve"> </w:t>
      </w:r>
      <w:r>
        <w:t>les</w:t>
      </w:r>
      <w:r w:rsidRPr="002C4077">
        <w:t xml:space="preserve"> </w:t>
      </w:r>
      <w:r>
        <w:t>deux</w:t>
      </w:r>
      <w:r w:rsidRPr="002C4077">
        <w:t xml:space="preserve"> </w:t>
      </w:r>
      <w:r>
        <w:t>sexes</w:t>
      </w:r>
      <w:r w:rsidRPr="002C4077">
        <w:t xml:space="preserve"> </w:t>
      </w:r>
      <w:r>
        <w:t>en</w:t>
      </w:r>
      <w:r w:rsidRPr="002C4077">
        <w:t xml:space="preserve"> </w:t>
      </w:r>
      <w:r>
        <w:t>rapport,</w:t>
      </w:r>
      <w:r w:rsidRPr="002C4077">
        <w:t xml:space="preserve"> </w:t>
      </w:r>
      <w:r>
        <w:t>comme</w:t>
      </w:r>
      <w:r w:rsidRPr="002C4077">
        <w:t xml:space="preserve"> </w:t>
      </w:r>
      <w:r>
        <w:t>celles</w:t>
      </w:r>
      <w:r w:rsidRPr="002C4077">
        <w:t xml:space="preserve"> </w:t>
      </w:r>
      <w:r>
        <w:t>de</w:t>
      </w:r>
      <w:r w:rsidRPr="002C4077">
        <w:t xml:space="preserve"> </w:t>
      </w:r>
      <w:r>
        <w:t>bijoutier,</w:t>
      </w:r>
      <w:r w:rsidRPr="002C4077">
        <w:t xml:space="preserve"> </w:t>
      </w:r>
      <w:r>
        <w:t>de</w:t>
      </w:r>
      <w:r w:rsidRPr="002C4077">
        <w:t xml:space="preserve"> </w:t>
      </w:r>
      <w:r>
        <w:t>cardeur</w:t>
      </w:r>
      <w:r w:rsidRPr="002C4077">
        <w:t xml:space="preserve"> </w:t>
      </w:r>
      <w:r>
        <w:t>de</w:t>
      </w:r>
      <w:r w:rsidRPr="002C4077">
        <w:t xml:space="preserve"> </w:t>
      </w:r>
      <w:r>
        <w:t>laine,</w:t>
      </w:r>
      <w:r w:rsidRPr="002C4077">
        <w:t xml:space="preserve"> </w:t>
      </w:r>
      <w:r>
        <w:t>de</w:t>
      </w:r>
      <w:r w:rsidRPr="002C4077">
        <w:t xml:space="preserve"> </w:t>
      </w:r>
      <w:r>
        <w:t>foulon,</w:t>
      </w:r>
      <w:r w:rsidRPr="002C4077">
        <w:t xml:space="preserve"> </w:t>
      </w:r>
      <w:r>
        <w:t>de</w:t>
      </w:r>
      <w:r w:rsidRPr="002C4077">
        <w:t xml:space="preserve"> </w:t>
      </w:r>
      <w:r>
        <w:t>friseur,</w:t>
      </w:r>
      <w:r w:rsidRPr="002C4077">
        <w:t xml:space="preserve"> </w:t>
      </w:r>
      <w:r>
        <w:t>de</w:t>
      </w:r>
      <w:r w:rsidRPr="002C4077">
        <w:t xml:space="preserve"> </w:t>
      </w:r>
      <w:r>
        <w:t>tisserand,</w:t>
      </w:r>
      <w:r w:rsidRPr="002C4077">
        <w:t xml:space="preserve"> </w:t>
      </w:r>
      <w:r w:rsidR="00425C50">
        <w:t>etc</w:t>
      </w:r>
      <w:r>
        <w:t>.</w:t>
      </w:r>
      <w:r w:rsidRPr="002C4077">
        <w:t xml:space="preserve"> </w:t>
      </w:r>
      <w:r>
        <w:t>Aucun</w:t>
      </w:r>
      <w:r w:rsidRPr="002C4077">
        <w:t xml:space="preserve"> </w:t>
      </w:r>
      <w:r>
        <w:t>de</w:t>
      </w:r>
      <w:r w:rsidRPr="002C4077">
        <w:t xml:space="preserve"> </w:t>
      </w:r>
      <w:r>
        <w:t>ceux</w:t>
      </w:r>
      <w:r w:rsidRPr="002C4077">
        <w:t xml:space="preserve"> </w:t>
      </w:r>
      <w:r>
        <w:t>qui</w:t>
      </w:r>
      <w:r w:rsidRPr="002C4077">
        <w:t xml:space="preserve"> </w:t>
      </w:r>
      <w:r>
        <w:t>se</w:t>
      </w:r>
      <w:r w:rsidRPr="002C4077">
        <w:t xml:space="preserve"> </w:t>
      </w:r>
      <w:r>
        <w:t>livraient</w:t>
      </w:r>
      <w:r w:rsidRPr="002C4077">
        <w:t xml:space="preserve"> </w:t>
      </w:r>
      <w:r>
        <w:t>à</w:t>
      </w:r>
      <w:r w:rsidRPr="002C4077">
        <w:t xml:space="preserve"> </w:t>
      </w:r>
      <w:r>
        <w:t>des</w:t>
      </w:r>
      <w:r w:rsidRPr="002C4077">
        <w:t xml:space="preserve"> </w:t>
      </w:r>
      <w:r>
        <w:t>travaux</w:t>
      </w:r>
      <w:r w:rsidRPr="002C4077">
        <w:t xml:space="preserve"> </w:t>
      </w:r>
      <w:r>
        <w:t>de</w:t>
      </w:r>
      <w:r w:rsidRPr="002C4077">
        <w:t xml:space="preserve"> </w:t>
      </w:r>
      <w:r>
        <w:t>ce</w:t>
      </w:r>
      <w:r w:rsidRPr="002C4077">
        <w:t xml:space="preserve"> </w:t>
      </w:r>
      <w:r>
        <w:t>genre</w:t>
      </w:r>
      <w:r w:rsidRPr="002C4077">
        <w:t xml:space="preserve"> </w:t>
      </w:r>
      <w:r>
        <w:t>ne</w:t>
      </w:r>
      <w:r w:rsidRPr="002C4077">
        <w:t xml:space="preserve"> </w:t>
      </w:r>
      <w:r>
        <w:t>pouvait</w:t>
      </w:r>
      <w:r w:rsidRPr="002C4077">
        <w:t xml:space="preserve"> </w:t>
      </w:r>
      <w:r>
        <w:t>devenir</w:t>
      </w:r>
      <w:r w:rsidRPr="002C4077">
        <w:t xml:space="preserve"> </w:t>
      </w:r>
      <w:r>
        <w:t>roi</w:t>
      </w:r>
      <w:r w:rsidRPr="002C4077">
        <w:t xml:space="preserve"> </w:t>
      </w:r>
      <w:r>
        <w:t>ni</w:t>
      </w:r>
      <w:r w:rsidRPr="002C4077">
        <w:t xml:space="preserve"> </w:t>
      </w:r>
      <w:r>
        <w:t>grand-</w:t>
      </w:r>
      <w:r w:rsidR="00425C50">
        <w:t>prêtre</w:t>
      </w:r>
      <w:r w:rsidR="00B91AF7">
        <w:rPr>
          <w:rStyle w:val="Appelnotedebasdep"/>
        </w:rPr>
        <w:footnoteReference w:id="782"/>
      </w:r>
      <w:r>
        <w:t>.</w:t>
      </w:r>
      <w:r w:rsidRPr="002C4077">
        <w:t xml:space="preserve"> </w:t>
      </w:r>
      <w:r>
        <w:t>Cette</w:t>
      </w:r>
      <w:r w:rsidRPr="002C4077">
        <w:t xml:space="preserve"> </w:t>
      </w:r>
      <w:r>
        <w:t>étonnante</w:t>
      </w:r>
      <w:r w:rsidRPr="002C4077">
        <w:t xml:space="preserve"> </w:t>
      </w:r>
      <w:r>
        <w:t>sévérité</w:t>
      </w:r>
      <w:r w:rsidRPr="002C4077">
        <w:t xml:space="preserve"> </w:t>
      </w:r>
      <w:r>
        <w:t>était</w:t>
      </w:r>
      <w:r w:rsidRPr="002C4077">
        <w:t xml:space="preserve"> </w:t>
      </w:r>
      <w:r>
        <w:t>inspirée</w:t>
      </w:r>
      <w:r w:rsidRPr="002C4077">
        <w:t xml:space="preserve"> </w:t>
      </w:r>
      <w:r>
        <w:t>par</w:t>
      </w:r>
      <w:r w:rsidRPr="002C4077">
        <w:t xml:space="preserve"> </w:t>
      </w:r>
      <w:r>
        <w:t>les</w:t>
      </w:r>
      <w:r w:rsidRPr="002C4077">
        <w:t xml:space="preserve"> </w:t>
      </w:r>
      <w:r>
        <w:t>dangers</w:t>
      </w:r>
      <w:r w:rsidRPr="002C4077">
        <w:t xml:space="preserve"> </w:t>
      </w:r>
      <w:r>
        <w:t>que</w:t>
      </w:r>
      <w:r w:rsidRPr="002C4077">
        <w:t xml:space="preserve"> </w:t>
      </w:r>
      <w:r>
        <w:t>présentent</w:t>
      </w:r>
      <w:r w:rsidRPr="002C4077">
        <w:t xml:space="preserve"> </w:t>
      </w:r>
      <w:r>
        <w:t>toujours</w:t>
      </w:r>
      <w:r w:rsidRPr="002C4077">
        <w:t xml:space="preserve"> </w:t>
      </w:r>
      <w:r>
        <w:t>de</w:t>
      </w:r>
      <w:r w:rsidRPr="002C4077">
        <w:t xml:space="preserve"> </w:t>
      </w:r>
      <w:r>
        <w:t>tels</w:t>
      </w:r>
      <w:r w:rsidRPr="002C4077">
        <w:t xml:space="preserve"> </w:t>
      </w:r>
      <w:r>
        <w:t>rapprochements.</w:t>
      </w:r>
      <w:r w:rsidRPr="002C4077">
        <w:t xml:space="preserve"> </w:t>
      </w:r>
      <w:r>
        <w:t>Pour</w:t>
      </w:r>
      <w:r w:rsidRPr="002C4077">
        <w:t xml:space="preserve"> </w:t>
      </w:r>
      <w:r>
        <w:t>combien</w:t>
      </w:r>
      <w:r w:rsidRPr="002C4077">
        <w:t xml:space="preserve"> </w:t>
      </w:r>
      <w:r>
        <w:t>de</w:t>
      </w:r>
      <w:r w:rsidRPr="002C4077">
        <w:t xml:space="preserve"> </w:t>
      </w:r>
      <w:r>
        <w:t>jeunes</w:t>
      </w:r>
      <w:r w:rsidRPr="002C4077">
        <w:t xml:space="preserve"> </w:t>
      </w:r>
      <w:r>
        <w:t>gens</w:t>
      </w:r>
      <w:r w:rsidRPr="002C4077">
        <w:t xml:space="preserve"> </w:t>
      </w:r>
      <w:r>
        <w:t>les</w:t>
      </w:r>
      <w:r w:rsidRPr="002C4077">
        <w:t xml:space="preserve"> </w:t>
      </w:r>
      <w:r>
        <w:t>ateliers</w:t>
      </w:r>
      <w:r w:rsidRPr="002C4077">
        <w:t xml:space="preserve"> </w:t>
      </w:r>
      <w:r>
        <w:t>anciens</w:t>
      </w:r>
      <w:r w:rsidRPr="002C4077">
        <w:t xml:space="preserve"> </w:t>
      </w:r>
      <w:r>
        <w:t>et</w:t>
      </w:r>
      <w:r w:rsidRPr="002C4077">
        <w:t xml:space="preserve"> </w:t>
      </w:r>
      <w:r>
        <w:t>modernes</w:t>
      </w:r>
      <w:r w:rsidRPr="002C4077">
        <w:t xml:space="preserve"> </w:t>
      </w:r>
      <w:r>
        <w:t>n’ont-ils</w:t>
      </w:r>
      <w:r w:rsidRPr="002C4077">
        <w:t xml:space="preserve"> </w:t>
      </w:r>
      <w:r>
        <w:t>pas</w:t>
      </w:r>
      <w:r w:rsidRPr="002C4077">
        <w:t xml:space="preserve"> </w:t>
      </w:r>
      <w:r>
        <w:t>été</w:t>
      </w:r>
      <w:r w:rsidRPr="002C4077">
        <w:t xml:space="preserve"> </w:t>
      </w:r>
      <w:r>
        <w:t>des</w:t>
      </w:r>
      <w:r w:rsidRPr="002C4077">
        <w:t xml:space="preserve"> </w:t>
      </w:r>
      <w:r>
        <w:t>écoles</w:t>
      </w:r>
      <w:r w:rsidRPr="002C4077">
        <w:t xml:space="preserve"> </w:t>
      </w:r>
      <w:r>
        <w:t>d’immoralité</w:t>
      </w:r>
      <w:r w:rsidR="00B546AF">
        <w:t> ?</w:t>
      </w:r>
      <w:r w:rsidRPr="002C4077">
        <w:t xml:space="preserve"> </w:t>
      </w:r>
      <w:r w:rsidR="00B546AF">
        <w:t>« </w:t>
      </w:r>
      <w:r>
        <w:t>Un</w:t>
      </w:r>
      <w:r w:rsidRPr="002C4077">
        <w:t xml:space="preserve"> </w:t>
      </w:r>
      <w:r>
        <w:t>sage,</w:t>
      </w:r>
      <w:r w:rsidRPr="002C4077">
        <w:t xml:space="preserve"> </w:t>
      </w:r>
      <w:r>
        <w:t>dit</w:t>
      </w:r>
      <w:r w:rsidRPr="002C4077">
        <w:t xml:space="preserve"> </w:t>
      </w:r>
      <w:r>
        <w:t>une</w:t>
      </w:r>
      <w:r w:rsidRPr="002C4077">
        <w:t xml:space="preserve"> </w:t>
      </w:r>
      <w:r>
        <w:t>parabole</w:t>
      </w:r>
      <w:r w:rsidRPr="002C4077">
        <w:t xml:space="preserve"> </w:t>
      </w:r>
      <w:r>
        <w:t>juive,</w:t>
      </w:r>
      <w:r w:rsidRPr="002C4077">
        <w:t xml:space="preserve"> </w:t>
      </w:r>
      <w:r>
        <w:t>ouvrit</w:t>
      </w:r>
      <w:r w:rsidRPr="002C4077">
        <w:t xml:space="preserve"> </w:t>
      </w:r>
      <w:r>
        <w:t>pour</w:t>
      </w:r>
      <w:r w:rsidRPr="002C4077">
        <w:t xml:space="preserve"> </w:t>
      </w:r>
      <w:r>
        <w:t>son</w:t>
      </w:r>
      <w:r w:rsidRPr="002C4077">
        <w:t xml:space="preserve"> </w:t>
      </w:r>
      <w:r>
        <w:t>fils</w:t>
      </w:r>
      <w:r w:rsidRPr="002C4077">
        <w:t xml:space="preserve"> </w:t>
      </w:r>
      <w:r>
        <w:t>un</w:t>
      </w:r>
      <w:r w:rsidRPr="002C4077">
        <w:t xml:space="preserve"> </w:t>
      </w:r>
      <w:r>
        <w:t>commerce</w:t>
      </w:r>
      <w:r w:rsidRPr="002C4077">
        <w:t xml:space="preserve"> </w:t>
      </w:r>
      <w:r>
        <w:t>de</w:t>
      </w:r>
      <w:r w:rsidRPr="002C4077">
        <w:t xml:space="preserve"> </w:t>
      </w:r>
      <w:r>
        <w:t>parfumerie</w:t>
      </w:r>
      <w:r w:rsidRPr="002C4077">
        <w:t xml:space="preserve"> </w:t>
      </w:r>
      <w:r>
        <w:t>en</w:t>
      </w:r>
      <w:r w:rsidRPr="002C4077">
        <w:t xml:space="preserve"> </w:t>
      </w:r>
      <w:r>
        <w:t>un</w:t>
      </w:r>
      <w:r w:rsidRPr="002C4077">
        <w:t xml:space="preserve"> </w:t>
      </w:r>
      <w:r>
        <w:t>lieu</w:t>
      </w:r>
      <w:r w:rsidRPr="002C4077">
        <w:t xml:space="preserve"> </w:t>
      </w:r>
      <w:r>
        <w:t>où</w:t>
      </w:r>
      <w:r w:rsidRPr="002C4077">
        <w:t xml:space="preserve"> </w:t>
      </w:r>
      <w:r>
        <w:t>se</w:t>
      </w:r>
      <w:r w:rsidRPr="002C4077">
        <w:t xml:space="preserve"> </w:t>
      </w:r>
      <w:r>
        <w:t>réunissaient</w:t>
      </w:r>
      <w:r w:rsidRPr="002C4077">
        <w:t xml:space="preserve"> </w:t>
      </w:r>
      <w:r>
        <w:t>les</w:t>
      </w:r>
      <w:r w:rsidRPr="002C4077">
        <w:t xml:space="preserve"> </w:t>
      </w:r>
      <w:r>
        <w:t>femmes</w:t>
      </w:r>
      <w:r w:rsidRPr="002C4077">
        <w:t xml:space="preserve"> </w:t>
      </w:r>
      <w:r>
        <w:t>publiques.</w:t>
      </w:r>
      <w:r w:rsidRPr="002C4077">
        <w:t xml:space="preserve"> </w:t>
      </w:r>
      <w:r>
        <w:t>L’emplacement,</w:t>
      </w:r>
      <w:r w:rsidRPr="002C4077">
        <w:t xml:space="preserve"> </w:t>
      </w:r>
      <w:r>
        <w:t>le</w:t>
      </w:r>
      <w:r w:rsidRPr="002C4077">
        <w:t xml:space="preserve"> </w:t>
      </w:r>
      <w:r>
        <w:t>commerce</w:t>
      </w:r>
      <w:r w:rsidRPr="002C4077">
        <w:t xml:space="preserve"> </w:t>
      </w:r>
      <w:r>
        <w:t>lui-même</w:t>
      </w:r>
      <w:r w:rsidRPr="002C4077">
        <w:t xml:space="preserve"> </w:t>
      </w:r>
      <w:r>
        <w:t>et</w:t>
      </w:r>
      <w:r w:rsidRPr="002C4077">
        <w:t xml:space="preserve"> </w:t>
      </w:r>
      <w:r>
        <w:t>la</w:t>
      </w:r>
      <w:r w:rsidRPr="002C4077">
        <w:t xml:space="preserve"> </w:t>
      </w:r>
      <w:r>
        <w:t>légèreté</w:t>
      </w:r>
      <w:r w:rsidRPr="002C4077">
        <w:t xml:space="preserve"> </w:t>
      </w:r>
      <w:r>
        <w:t>du</w:t>
      </w:r>
      <w:r w:rsidRPr="002C4077">
        <w:t xml:space="preserve"> </w:t>
      </w:r>
      <w:r>
        <w:t>jeune</w:t>
      </w:r>
      <w:r w:rsidRPr="002C4077">
        <w:t xml:space="preserve"> </w:t>
      </w:r>
      <w:r>
        <w:t>homme</w:t>
      </w:r>
      <w:r w:rsidRPr="002C4077">
        <w:t xml:space="preserve"> </w:t>
      </w:r>
      <w:r>
        <w:t>le</w:t>
      </w:r>
      <w:r w:rsidRPr="002C4077">
        <w:t xml:space="preserve"> </w:t>
      </w:r>
      <w:r>
        <w:t>rendirent</w:t>
      </w:r>
      <w:r w:rsidRPr="002C4077">
        <w:t xml:space="preserve"> </w:t>
      </w:r>
      <w:r>
        <w:t>bientôt</w:t>
      </w:r>
      <w:r w:rsidRPr="002C4077">
        <w:t xml:space="preserve"> </w:t>
      </w:r>
      <w:r>
        <w:t>la</w:t>
      </w:r>
      <w:r w:rsidRPr="002C4077">
        <w:t xml:space="preserve"> </w:t>
      </w:r>
      <w:r>
        <w:t>proie</w:t>
      </w:r>
      <w:r w:rsidRPr="002C4077">
        <w:t xml:space="preserve"> </w:t>
      </w:r>
      <w:r>
        <w:t>du</w:t>
      </w:r>
      <w:r w:rsidRPr="002C4077">
        <w:t xml:space="preserve"> </w:t>
      </w:r>
      <w:r>
        <w:t>vice.</w:t>
      </w:r>
      <w:r w:rsidRPr="002C4077">
        <w:t xml:space="preserve"> </w:t>
      </w:r>
      <w:r>
        <w:t>Alors</w:t>
      </w:r>
      <w:r w:rsidRPr="002C4077">
        <w:t xml:space="preserve"> </w:t>
      </w:r>
      <w:r>
        <w:t>éclata</w:t>
      </w:r>
      <w:r w:rsidRPr="002C4077">
        <w:t xml:space="preserve"> </w:t>
      </w:r>
      <w:r>
        <w:t>la</w:t>
      </w:r>
      <w:r w:rsidRPr="002C4077">
        <w:t xml:space="preserve"> </w:t>
      </w:r>
      <w:r>
        <w:t>colère</w:t>
      </w:r>
      <w:r w:rsidRPr="002C4077">
        <w:t xml:space="preserve"> </w:t>
      </w:r>
      <w:r>
        <w:t>du</w:t>
      </w:r>
      <w:r w:rsidRPr="002C4077">
        <w:t xml:space="preserve"> </w:t>
      </w:r>
      <w:r>
        <w:t>père,</w:t>
      </w:r>
      <w:r w:rsidRPr="002C4077">
        <w:t xml:space="preserve"> </w:t>
      </w:r>
      <w:r>
        <w:t>et</w:t>
      </w:r>
      <w:r w:rsidRPr="002C4077">
        <w:t xml:space="preserve"> </w:t>
      </w:r>
      <w:r>
        <w:t>il</w:t>
      </w:r>
      <w:r w:rsidRPr="002C4077">
        <w:t xml:space="preserve"> </w:t>
      </w:r>
      <w:r>
        <w:t>s’écria</w:t>
      </w:r>
      <w:r w:rsidR="00B546AF">
        <w:t> :</w:t>
      </w:r>
      <w:r w:rsidRPr="002C4077">
        <w:t xml:space="preserve"> </w:t>
      </w:r>
      <w:r>
        <w:t>Je</w:t>
      </w:r>
      <w:r w:rsidRPr="002C4077">
        <w:t xml:space="preserve"> </w:t>
      </w:r>
      <w:r>
        <w:t>te</w:t>
      </w:r>
      <w:r w:rsidRPr="002C4077">
        <w:t xml:space="preserve"> </w:t>
      </w:r>
      <w:r>
        <w:t>donne</w:t>
      </w:r>
      <w:r w:rsidRPr="002C4077">
        <w:t xml:space="preserve"> </w:t>
      </w:r>
      <w:r>
        <w:t>la</w:t>
      </w:r>
      <w:r w:rsidRPr="002C4077">
        <w:t xml:space="preserve"> </w:t>
      </w:r>
      <w:r>
        <w:t>mort</w:t>
      </w:r>
      <w:r w:rsidR="00B546AF">
        <w:t> !</w:t>
      </w:r>
      <w:r w:rsidRPr="002C4077">
        <w:t xml:space="preserve"> </w:t>
      </w:r>
      <w:r>
        <w:t>Un</w:t>
      </w:r>
      <w:r w:rsidRPr="002C4077">
        <w:t xml:space="preserve"> </w:t>
      </w:r>
      <w:r>
        <w:t>ami</w:t>
      </w:r>
      <w:r w:rsidRPr="002C4077">
        <w:t xml:space="preserve"> </w:t>
      </w:r>
      <w:r>
        <w:t>l’entendit.</w:t>
      </w:r>
      <w:r w:rsidRPr="002C4077">
        <w:t xml:space="preserve"> </w:t>
      </w:r>
      <w:r>
        <w:t>Comment</w:t>
      </w:r>
      <w:r w:rsidR="00B546AF">
        <w:t> !</w:t>
      </w:r>
      <w:r w:rsidRPr="002C4077">
        <w:t xml:space="preserve"> </w:t>
      </w:r>
      <w:r>
        <w:t>lui</w:t>
      </w:r>
      <w:r w:rsidRPr="002C4077">
        <w:t xml:space="preserve"> </w:t>
      </w:r>
      <w:r>
        <w:t>dit-il,</w:t>
      </w:r>
      <w:r w:rsidRPr="002C4077">
        <w:t xml:space="preserve"> </w:t>
      </w:r>
      <w:r>
        <w:t>tu</w:t>
      </w:r>
      <w:r w:rsidRPr="002C4077">
        <w:t xml:space="preserve"> </w:t>
      </w:r>
      <w:r>
        <w:t>veux</w:t>
      </w:r>
      <w:r w:rsidRPr="002C4077">
        <w:t xml:space="preserve"> </w:t>
      </w:r>
      <w:r>
        <w:t>mettre</w:t>
      </w:r>
      <w:r w:rsidRPr="002C4077">
        <w:t xml:space="preserve"> </w:t>
      </w:r>
      <w:r>
        <w:t>à</w:t>
      </w:r>
      <w:r w:rsidRPr="002C4077">
        <w:t xml:space="preserve"> </w:t>
      </w:r>
      <w:r>
        <w:t>mort</w:t>
      </w:r>
      <w:r w:rsidRPr="002C4077">
        <w:t xml:space="preserve"> </w:t>
      </w:r>
      <w:r>
        <w:t>ce</w:t>
      </w:r>
      <w:r w:rsidRPr="002C4077">
        <w:t xml:space="preserve"> </w:t>
      </w:r>
      <w:r>
        <w:t>jeune</w:t>
      </w:r>
      <w:r w:rsidRPr="002C4077">
        <w:t xml:space="preserve"> </w:t>
      </w:r>
      <w:r>
        <w:t>homme</w:t>
      </w:r>
      <w:r w:rsidRPr="002C4077">
        <w:t xml:space="preserve"> </w:t>
      </w:r>
      <w:r>
        <w:t>et</w:t>
      </w:r>
      <w:r w:rsidRPr="002C4077">
        <w:t xml:space="preserve"> </w:t>
      </w:r>
      <w:r>
        <w:t>tu</w:t>
      </w:r>
      <w:r w:rsidRPr="002C4077">
        <w:t xml:space="preserve"> </w:t>
      </w:r>
      <w:r>
        <w:t>t’irrites</w:t>
      </w:r>
      <w:r w:rsidRPr="002C4077">
        <w:t xml:space="preserve"> </w:t>
      </w:r>
      <w:r>
        <w:t>à</w:t>
      </w:r>
      <w:r w:rsidRPr="002C4077">
        <w:t xml:space="preserve"> </w:t>
      </w:r>
      <w:r>
        <w:t>ce</w:t>
      </w:r>
      <w:r w:rsidRPr="002C4077">
        <w:t xml:space="preserve"> </w:t>
      </w:r>
      <w:r>
        <w:t>point</w:t>
      </w:r>
      <w:r w:rsidR="00B546AF">
        <w:t> ?</w:t>
      </w:r>
      <w:r w:rsidRPr="002C4077">
        <w:t xml:space="preserve"> </w:t>
      </w:r>
      <w:r>
        <w:t>N’y</w:t>
      </w:r>
      <w:r w:rsidRPr="002C4077">
        <w:t xml:space="preserve"> </w:t>
      </w:r>
      <w:r>
        <w:t>avait-il</w:t>
      </w:r>
      <w:r w:rsidRPr="002C4077">
        <w:t xml:space="preserve"> </w:t>
      </w:r>
      <w:r>
        <w:t>pas</w:t>
      </w:r>
      <w:r w:rsidRPr="002C4077">
        <w:t xml:space="preserve"> </w:t>
      </w:r>
      <w:r>
        <w:t>d’autre</w:t>
      </w:r>
      <w:r w:rsidRPr="002C4077">
        <w:t xml:space="preserve"> </w:t>
      </w:r>
      <w:r>
        <w:t>profe</w:t>
      </w:r>
      <w:r w:rsidR="001730C6">
        <w:t>s</w:t>
      </w:r>
      <w:r>
        <w:t>sion</w:t>
      </w:r>
      <w:r w:rsidRPr="002C4077">
        <w:t xml:space="preserve"> </w:t>
      </w:r>
      <w:r>
        <w:t>digne</w:t>
      </w:r>
      <w:r w:rsidRPr="002C4077">
        <w:t xml:space="preserve"> </w:t>
      </w:r>
      <w:r>
        <w:t>de</w:t>
      </w:r>
      <w:r w:rsidRPr="002C4077">
        <w:t xml:space="preserve"> </w:t>
      </w:r>
      <w:r>
        <w:t>lui</w:t>
      </w:r>
      <w:r w:rsidR="00B546AF">
        <w:t> ?</w:t>
      </w:r>
      <w:r w:rsidRPr="002C4077">
        <w:t xml:space="preserve"> </w:t>
      </w:r>
      <w:r>
        <w:t>Et</w:t>
      </w:r>
      <w:r w:rsidRPr="002C4077">
        <w:t xml:space="preserve"> </w:t>
      </w:r>
      <w:r>
        <w:t>n’y</w:t>
      </w:r>
      <w:r w:rsidRPr="002C4077">
        <w:t xml:space="preserve"> </w:t>
      </w:r>
      <w:r>
        <w:t>avait-il</w:t>
      </w:r>
      <w:r w:rsidRPr="002C4077">
        <w:t xml:space="preserve"> </w:t>
      </w:r>
      <w:r>
        <w:t>pas</w:t>
      </w:r>
      <w:r w:rsidRPr="002C4077">
        <w:t xml:space="preserve"> </w:t>
      </w:r>
      <w:r>
        <w:t>d’autre</w:t>
      </w:r>
      <w:r w:rsidRPr="002C4077">
        <w:t xml:space="preserve"> </w:t>
      </w:r>
      <w:r>
        <w:t>place</w:t>
      </w:r>
      <w:r w:rsidRPr="002C4077">
        <w:t xml:space="preserve"> </w:t>
      </w:r>
      <w:r>
        <w:t>pour</w:t>
      </w:r>
      <w:r w:rsidRPr="002C4077">
        <w:t xml:space="preserve"> </w:t>
      </w:r>
      <w:r>
        <w:t>sa</w:t>
      </w:r>
      <w:r w:rsidRPr="002C4077">
        <w:t xml:space="preserve"> </w:t>
      </w:r>
      <w:r>
        <w:t>boutique</w:t>
      </w:r>
      <w:r w:rsidR="00846153">
        <w:rPr>
          <w:rStyle w:val="Appelnotedebasdep"/>
        </w:rPr>
        <w:footnoteReference w:id="783"/>
      </w:r>
      <w:r w:rsidR="00B546AF">
        <w:t> ? »</w:t>
      </w:r>
      <w:r w:rsidRPr="002C4077">
        <w:t xml:space="preserve"> </w:t>
      </w:r>
    </w:p>
    <w:p w:rsidR="000A7AAB" w:rsidRPr="001F5257" w:rsidRDefault="000A7AAB" w:rsidP="000A7AAB">
      <w:r>
        <w:t>Les</w:t>
      </w:r>
      <w:r w:rsidRPr="002C4077">
        <w:t xml:space="preserve"> </w:t>
      </w:r>
      <w:r>
        <w:t>Juifs</w:t>
      </w:r>
      <w:r w:rsidRPr="002C4077">
        <w:t xml:space="preserve"> </w:t>
      </w:r>
      <w:r>
        <w:t>avaient</w:t>
      </w:r>
      <w:r w:rsidRPr="002C4077">
        <w:t xml:space="preserve"> </w:t>
      </w:r>
      <w:r>
        <w:t>un</w:t>
      </w:r>
      <w:r w:rsidRPr="002C4077">
        <w:t xml:space="preserve"> </w:t>
      </w:r>
      <w:r>
        <w:t>troisième</w:t>
      </w:r>
      <w:r w:rsidRPr="002C4077">
        <w:t xml:space="preserve"> </w:t>
      </w:r>
      <w:r w:rsidRPr="000A34B5">
        <w:rPr>
          <w:rStyle w:val="italicus"/>
        </w:rPr>
        <w:t>critérium</w:t>
      </w:r>
      <w:r w:rsidRPr="002C4077">
        <w:t xml:space="preserve"> </w:t>
      </w:r>
      <w:r>
        <w:t>pour</w:t>
      </w:r>
      <w:r w:rsidRPr="002C4077">
        <w:t xml:space="preserve"> </w:t>
      </w:r>
      <w:r>
        <w:t>apprécier</w:t>
      </w:r>
      <w:r w:rsidRPr="002C4077">
        <w:t xml:space="preserve"> </w:t>
      </w:r>
      <w:r>
        <w:t>la</w:t>
      </w:r>
      <w:r w:rsidRPr="002C4077">
        <w:t xml:space="preserve"> </w:t>
      </w:r>
      <w:r>
        <w:t>valeur</w:t>
      </w:r>
      <w:r w:rsidRPr="002C4077">
        <w:t xml:space="preserve"> </w:t>
      </w:r>
      <w:r>
        <w:t>d’une</w:t>
      </w:r>
      <w:r w:rsidRPr="002C4077">
        <w:t xml:space="preserve"> </w:t>
      </w:r>
      <w:r>
        <w:t>profession</w:t>
      </w:r>
      <w:r w:rsidR="00B546AF">
        <w:t> :</w:t>
      </w:r>
      <w:r w:rsidRPr="002C4077">
        <w:t xml:space="preserve"> </w:t>
      </w:r>
      <w:r>
        <w:t>c’était</w:t>
      </w:r>
      <w:r w:rsidRPr="002C4077">
        <w:t xml:space="preserve"> </w:t>
      </w:r>
      <w:r>
        <w:t>la</w:t>
      </w:r>
      <w:r w:rsidRPr="002C4077">
        <w:t xml:space="preserve"> </w:t>
      </w:r>
      <w:r>
        <w:t>réputation</w:t>
      </w:r>
      <w:r w:rsidRPr="002C4077">
        <w:t xml:space="preserve"> </w:t>
      </w:r>
      <w:r>
        <w:t>et</w:t>
      </w:r>
      <w:r w:rsidRPr="002C4077">
        <w:t xml:space="preserve"> </w:t>
      </w:r>
      <w:r>
        <w:t>la</w:t>
      </w:r>
      <w:r w:rsidRPr="002C4077">
        <w:t xml:space="preserve"> </w:t>
      </w:r>
      <w:r>
        <w:t>conduite</w:t>
      </w:r>
      <w:r w:rsidRPr="002C4077">
        <w:t xml:space="preserve"> </w:t>
      </w:r>
      <w:r>
        <w:t>de</w:t>
      </w:r>
      <w:r w:rsidRPr="002C4077">
        <w:t xml:space="preserve"> </w:t>
      </w:r>
      <w:r>
        <w:t>ceux</w:t>
      </w:r>
      <w:r w:rsidRPr="002C4077">
        <w:t xml:space="preserve"> </w:t>
      </w:r>
      <w:r>
        <w:t>qui</w:t>
      </w:r>
      <w:r w:rsidRPr="002C4077">
        <w:t xml:space="preserve"> </w:t>
      </w:r>
      <w:r>
        <w:t>l’avaient</w:t>
      </w:r>
      <w:r w:rsidRPr="002C4077">
        <w:t xml:space="preserve"> </w:t>
      </w:r>
      <w:r>
        <w:t>embrassée.</w:t>
      </w:r>
      <w:r w:rsidRPr="002C4077">
        <w:t xml:space="preserve"> </w:t>
      </w:r>
      <w:r>
        <w:t>Suivant</w:t>
      </w:r>
      <w:r w:rsidRPr="002C4077">
        <w:t xml:space="preserve"> </w:t>
      </w:r>
      <w:r>
        <w:t>un</w:t>
      </w:r>
      <w:r w:rsidRPr="002C4077">
        <w:t xml:space="preserve"> </w:t>
      </w:r>
      <w:r>
        <w:t>proverbe,</w:t>
      </w:r>
      <w:r w:rsidRPr="002C4077">
        <w:t xml:space="preserve"> </w:t>
      </w:r>
      <w:r w:rsidR="00B546AF">
        <w:t>« </w:t>
      </w:r>
      <w:r>
        <w:t>personne</w:t>
      </w:r>
      <w:r w:rsidRPr="002C4077">
        <w:t xml:space="preserve"> </w:t>
      </w:r>
      <w:r>
        <w:t>ne</w:t>
      </w:r>
      <w:r w:rsidRPr="002C4077">
        <w:t xml:space="preserve"> </w:t>
      </w:r>
      <w:r>
        <w:t>doit</w:t>
      </w:r>
      <w:r w:rsidRPr="002C4077">
        <w:t xml:space="preserve"> </w:t>
      </w:r>
      <w:r>
        <w:t>permettre</w:t>
      </w:r>
      <w:r w:rsidRPr="002C4077">
        <w:t xml:space="preserve"> </w:t>
      </w:r>
      <w:r>
        <w:t>à</w:t>
      </w:r>
      <w:r w:rsidRPr="002C4077">
        <w:t xml:space="preserve"> </w:t>
      </w:r>
      <w:r>
        <w:t>son</w:t>
      </w:r>
      <w:r w:rsidRPr="002C4077">
        <w:t xml:space="preserve"> </w:t>
      </w:r>
      <w:r>
        <w:t>fils</w:t>
      </w:r>
      <w:r w:rsidRPr="002C4077">
        <w:t xml:space="preserve"> </w:t>
      </w:r>
      <w:r>
        <w:t>de</w:t>
      </w:r>
      <w:r w:rsidRPr="002C4077">
        <w:t xml:space="preserve"> </w:t>
      </w:r>
      <w:r>
        <w:t>devenir</w:t>
      </w:r>
      <w:r w:rsidRPr="002C4077">
        <w:t xml:space="preserve"> </w:t>
      </w:r>
      <w:r>
        <w:t>conducteur</w:t>
      </w:r>
      <w:r w:rsidRPr="002C4077">
        <w:t xml:space="preserve"> </w:t>
      </w:r>
      <w:r>
        <w:t>d’ânes</w:t>
      </w:r>
      <w:r w:rsidRPr="002C4077">
        <w:t xml:space="preserve"> </w:t>
      </w:r>
      <w:r>
        <w:t>ou</w:t>
      </w:r>
      <w:r w:rsidRPr="002C4077">
        <w:t xml:space="preserve"> </w:t>
      </w:r>
      <w:r>
        <w:t>de</w:t>
      </w:r>
      <w:r w:rsidRPr="002C4077">
        <w:t xml:space="preserve"> </w:t>
      </w:r>
      <w:r>
        <w:t>chameaux,</w:t>
      </w:r>
      <w:r w:rsidRPr="002C4077">
        <w:t xml:space="preserve"> </w:t>
      </w:r>
      <w:r>
        <w:t>barbier,</w:t>
      </w:r>
      <w:r w:rsidRPr="002C4077">
        <w:t xml:space="preserve"> </w:t>
      </w:r>
      <w:r>
        <w:t>batelier,</w:t>
      </w:r>
      <w:r w:rsidRPr="002C4077">
        <w:t xml:space="preserve"> </w:t>
      </w:r>
      <w:r>
        <w:t>berger</w:t>
      </w:r>
      <w:r w:rsidRPr="002C4077">
        <w:t xml:space="preserve"> </w:t>
      </w:r>
      <w:r>
        <w:t>ou</w:t>
      </w:r>
      <w:r w:rsidRPr="002C4077">
        <w:t xml:space="preserve"> </w:t>
      </w:r>
      <w:r>
        <w:t>épicier,</w:t>
      </w:r>
      <w:r w:rsidRPr="002C4077">
        <w:t xml:space="preserve"> </w:t>
      </w:r>
      <w:r>
        <w:t>car</w:t>
      </w:r>
      <w:r w:rsidRPr="002C4077">
        <w:t xml:space="preserve"> </w:t>
      </w:r>
      <w:r>
        <w:t>ce</w:t>
      </w:r>
      <w:r w:rsidRPr="002C4077">
        <w:t xml:space="preserve"> </w:t>
      </w:r>
      <w:r>
        <w:t>sont</w:t>
      </w:r>
      <w:r w:rsidRPr="002C4077">
        <w:t xml:space="preserve"> </w:t>
      </w:r>
      <w:r>
        <w:t>là</w:t>
      </w:r>
      <w:r w:rsidRPr="002C4077">
        <w:t xml:space="preserve"> </w:t>
      </w:r>
      <w:r>
        <w:t>des</w:t>
      </w:r>
      <w:r w:rsidRPr="002C4077">
        <w:t xml:space="preserve"> </w:t>
      </w:r>
      <w:r>
        <w:t>métiers</w:t>
      </w:r>
      <w:r w:rsidRPr="002C4077">
        <w:t xml:space="preserve"> </w:t>
      </w:r>
      <w:r>
        <w:t>de</w:t>
      </w:r>
      <w:r w:rsidRPr="002C4077">
        <w:t xml:space="preserve"> </w:t>
      </w:r>
      <w:r>
        <w:t>voleurs</w:t>
      </w:r>
      <w:r w:rsidR="00B91AF7">
        <w:rPr>
          <w:rStyle w:val="Appelnotedebasdep"/>
        </w:rPr>
        <w:footnoteReference w:id="784"/>
      </w:r>
      <w:r>
        <w:t>.</w:t>
      </w:r>
      <w:r w:rsidR="00B546AF">
        <w:t> »</w:t>
      </w:r>
      <w:r w:rsidR="00C45B47">
        <w:t xml:space="preserve"> {</w:t>
      </w:r>
      <w:r w:rsidR="001F5257">
        <w:t>250</w:t>
      </w:r>
      <w:bookmarkStart w:id="605" w:name="p250"/>
      <w:bookmarkEnd w:id="605"/>
      <w:r w:rsidR="001F5257">
        <w:t xml:space="preserve">} </w:t>
      </w:r>
    </w:p>
    <w:p w:rsidR="000A7AAB" w:rsidRPr="001F5257" w:rsidRDefault="000A7AAB" w:rsidP="000A7AAB">
      <w:r>
        <w:t>Il</w:t>
      </w:r>
      <w:bookmarkStart w:id="606" w:name="z_AniersJuifs_o1"/>
      <w:bookmarkEnd w:id="606"/>
      <w:r w:rsidRPr="002C4077">
        <w:t xml:space="preserve"> </w:t>
      </w:r>
      <w:r w:rsidR="00425C50">
        <w:t>est</w:t>
      </w:r>
      <w:r w:rsidRPr="002C4077">
        <w:t xml:space="preserve"> </w:t>
      </w:r>
      <w:r>
        <w:t>vrai</w:t>
      </w:r>
      <w:r w:rsidRPr="002C4077">
        <w:t xml:space="preserve"> </w:t>
      </w:r>
      <w:r>
        <w:t>qu’on</w:t>
      </w:r>
      <w:r w:rsidRPr="002C4077">
        <w:t xml:space="preserve"> </w:t>
      </w:r>
      <w:r>
        <w:t>trouve</w:t>
      </w:r>
      <w:r w:rsidRPr="002C4077">
        <w:t xml:space="preserve"> </w:t>
      </w:r>
      <w:r>
        <w:t>ailleurs</w:t>
      </w:r>
      <w:r w:rsidRPr="002C4077">
        <w:t xml:space="preserve"> </w:t>
      </w:r>
      <w:r>
        <w:t>quelques</w:t>
      </w:r>
      <w:r w:rsidRPr="002C4077">
        <w:t xml:space="preserve"> </w:t>
      </w:r>
      <w:r>
        <w:t>variantes</w:t>
      </w:r>
      <w:r w:rsidRPr="002C4077">
        <w:t xml:space="preserve"> </w:t>
      </w:r>
      <w:r>
        <w:t>dans</w:t>
      </w:r>
      <w:r w:rsidRPr="002C4077">
        <w:t xml:space="preserve"> </w:t>
      </w:r>
      <w:r>
        <w:t>les</w:t>
      </w:r>
      <w:r w:rsidRPr="002C4077">
        <w:t xml:space="preserve"> </w:t>
      </w:r>
      <w:r>
        <w:t>appréciations.</w:t>
      </w:r>
      <w:r w:rsidRPr="002C4077">
        <w:t xml:space="preserve"> </w:t>
      </w:r>
      <w:r w:rsidR="00B546AF">
        <w:t>« </w:t>
      </w:r>
      <w:r>
        <w:t>Les</w:t>
      </w:r>
      <w:r w:rsidRPr="002C4077">
        <w:t xml:space="preserve"> </w:t>
      </w:r>
      <w:r>
        <w:t>âniers</w:t>
      </w:r>
      <w:r w:rsidRPr="002C4077">
        <w:t xml:space="preserve"> </w:t>
      </w:r>
      <w:r>
        <w:t>sont</w:t>
      </w:r>
      <w:r w:rsidRPr="002C4077">
        <w:t xml:space="preserve"> </w:t>
      </w:r>
      <w:r>
        <w:t>la</w:t>
      </w:r>
      <w:r w:rsidRPr="002C4077">
        <w:t xml:space="preserve"> </w:t>
      </w:r>
      <w:r>
        <w:t>plupart</w:t>
      </w:r>
      <w:r w:rsidRPr="002C4077">
        <w:t xml:space="preserve"> </w:t>
      </w:r>
      <w:r>
        <w:t>du</w:t>
      </w:r>
      <w:r w:rsidRPr="002C4077">
        <w:t xml:space="preserve"> </w:t>
      </w:r>
      <w:r>
        <w:t>temps</w:t>
      </w:r>
      <w:r w:rsidRPr="002C4077">
        <w:t xml:space="preserve"> </w:t>
      </w:r>
      <w:r>
        <w:t>des</w:t>
      </w:r>
      <w:r w:rsidRPr="002C4077">
        <w:t xml:space="preserve"> </w:t>
      </w:r>
      <w:r>
        <w:t>impies,</w:t>
      </w:r>
      <w:r w:rsidRPr="002C4077">
        <w:t xml:space="preserve"> </w:t>
      </w:r>
      <w:r>
        <w:t>les</w:t>
      </w:r>
      <w:r w:rsidRPr="002C4077">
        <w:t xml:space="preserve"> </w:t>
      </w:r>
      <w:r>
        <w:t>conducteurs</w:t>
      </w:r>
      <w:r w:rsidRPr="002C4077">
        <w:t xml:space="preserve"> </w:t>
      </w:r>
      <w:r>
        <w:t>de</w:t>
      </w:r>
      <w:r w:rsidRPr="002C4077">
        <w:t xml:space="preserve"> </w:t>
      </w:r>
      <w:r>
        <w:t>chameaux</w:t>
      </w:r>
      <w:r w:rsidRPr="002C4077">
        <w:t xml:space="preserve"> </w:t>
      </w:r>
      <w:r>
        <w:t>presque</w:t>
      </w:r>
      <w:r w:rsidRPr="002C4077">
        <w:t xml:space="preserve"> </w:t>
      </w:r>
      <w:r>
        <w:t>tous</w:t>
      </w:r>
      <w:r w:rsidRPr="002C4077">
        <w:t xml:space="preserve"> </w:t>
      </w:r>
      <w:r>
        <w:t>des</w:t>
      </w:r>
      <w:r w:rsidRPr="002C4077">
        <w:t xml:space="preserve"> </w:t>
      </w:r>
      <w:r>
        <w:t>gens</w:t>
      </w:r>
      <w:r w:rsidRPr="002C4077">
        <w:t xml:space="preserve"> </w:t>
      </w:r>
      <w:r>
        <w:t>honorables,</w:t>
      </w:r>
      <w:r w:rsidRPr="002C4077">
        <w:t xml:space="preserve"> </w:t>
      </w:r>
      <w:r>
        <w:t>les</w:t>
      </w:r>
      <w:r w:rsidRPr="002C4077">
        <w:t xml:space="preserve"> </w:t>
      </w:r>
      <w:r>
        <w:t>bateliers</w:t>
      </w:r>
      <w:r w:rsidRPr="002C4077">
        <w:t xml:space="preserve"> </w:t>
      </w:r>
      <w:r>
        <w:t>pieux</w:t>
      </w:r>
      <w:r w:rsidRPr="002C4077">
        <w:t xml:space="preserve"> </w:t>
      </w:r>
      <w:r>
        <w:t>pour</w:t>
      </w:r>
      <w:r w:rsidRPr="002C4077">
        <w:t xml:space="preserve"> </w:t>
      </w:r>
      <w:r>
        <w:t>la</w:t>
      </w:r>
      <w:r w:rsidRPr="002C4077">
        <w:t xml:space="preserve"> </w:t>
      </w:r>
      <w:r>
        <w:t>plupart</w:t>
      </w:r>
      <w:r w:rsidR="00B546AF">
        <w:t> ;</w:t>
      </w:r>
      <w:r w:rsidRPr="002C4077">
        <w:t xml:space="preserve"> </w:t>
      </w:r>
      <w:r>
        <w:t>le</w:t>
      </w:r>
      <w:r w:rsidRPr="002C4077">
        <w:t xml:space="preserve"> </w:t>
      </w:r>
      <w:r>
        <w:t>meilleur</w:t>
      </w:r>
      <w:r w:rsidRPr="002C4077">
        <w:t xml:space="preserve"> </w:t>
      </w:r>
      <w:r>
        <w:t>des</w:t>
      </w:r>
      <w:r w:rsidRPr="002C4077">
        <w:t xml:space="preserve"> </w:t>
      </w:r>
      <w:r>
        <w:t>médecins</w:t>
      </w:r>
      <w:r w:rsidRPr="002C4077">
        <w:t xml:space="preserve"> </w:t>
      </w:r>
      <w:r w:rsidR="00425C50">
        <w:t>est</w:t>
      </w:r>
      <w:r w:rsidRPr="002C4077">
        <w:t xml:space="preserve"> </w:t>
      </w:r>
      <w:r>
        <w:t>mûr</w:t>
      </w:r>
      <w:r w:rsidRPr="002C4077">
        <w:t xml:space="preserve"> </w:t>
      </w:r>
      <w:r>
        <w:t>pour</w:t>
      </w:r>
      <w:r w:rsidRPr="002C4077">
        <w:t xml:space="preserve"> </w:t>
      </w:r>
      <w:r>
        <w:t>l’enfer,</w:t>
      </w:r>
      <w:r w:rsidRPr="002C4077">
        <w:t xml:space="preserve"> </w:t>
      </w:r>
      <w:r>
        <w:t>et</w:t>
      </w:r>
      <w:r w:rsidRPr="002C4077">
        <w:t xml:space="preserve"> </w:t>
      </w:r>
      <w:r>
        <w:t>le</w:t>
      </w:r>
      <w:r w:rsidRPr="002C4077">
        <w:t xml:space="preserve"> </w:t>
      </w:r>
      <w:r>
        <w:t>plus</w:t>
      </w:r>
      <w:r w:rsidRPr="002C4077">
        <w:t xml:space="preserve"> </w:t>
      </w:r>
      <w:r>
        <w:t>honnête</w:t>
      </w:r>
      <w:r w:rsidRPr="002C4077">
        <w:t xml:space="preserve"> </w:t>
      </w:r>
      <w:r>
        <w:t>des</w:t>
      </w:r>
      <w:r w:rsidRPr="002C4077">
        <w:t xml:space="preserve"> </w:t>
      </w:r>
      <w:r>
        <w:t>bouchers</w:t>
      </w:r>
      <w:r w:rsidRPr="002C4077">
        <w:t xml:space="preserve"> </w:t>
      </w:r>
      <w:r w:rsidR="00425C50">
        <w:t>est</w:t>
      </w:r>
      <w:r w:rsidRPr="002C4077">
        <w:t xml:space="preserve"> </w:t>
      </w:r>
      <w:r>
        <w:t>le</w:t>
      </w:r>
      <w:r w:rsidRPr="002C4077">
        <w:t xml:space="preserve"> </w:t>
      </w:r>
      <w:r>
        <w:t>compagnon</w:t>
      </w:r>
      <w:r w:rsidRPr="002C4077">
        <w:t xml:space="preserve"> </w:t>
      </w:r>
      <w:r>
        <w:t>d’Amalec</w:t>
      </w:r>
      <w:r w:rsidR="00B91AF7">
        <w:rPr>
          <w:rStyle w:val="Appelnotedebasdep"/>
        </w:rPr>
        <w:footnoteReference w:id="785"/>
      </w:r>
      <w:r w:rsidR="00B546AF">
        <w:t> »</w:t>
      </w:r>
      <w:r>
        <w:t>.</w:t>
      </w:r>
      <w:r w:rsidRPr="002C4077">
        <w:t xml:space="preserve"> </w:t>
      </w:r>
      <w:r>
        <w:t>Voici,</w:t>
      </w:r>
      <w:r w:rsidRPr="002C4077">
        <w:t xml:space="preserve"> </w:t>
      </w:r>
      <w:r>
        <w:t>du</w:t>
      </w:r>
      <w:r w:rsidRPr="002C4077">
        <w:t xml:space="preserve"> </w:t>
      </w:r>
      <w:r>
        <w:t>reste,</w:t>
      </w:r>
      <w:r w:rsidRPr="002C4077">
        <w:t xml:space="preserve"> </w:t>
      </w:r>
      <w:r>
        <w:t>un</w:t>
      </w:r>
      <w:r w:rsidRPr="002C4077">
        <w:t xml:space="preserve"> </w:t>
      </w:r>
      <w:r>
        <w:t>trait</w:t>
      </w:r>
      <w:r w:rsidRPr="002C4077">
        <w:t xml:space="preserve"> </w:t>
      </w:r>
      <w:r>
        <w:t>curieux</w:t>
      </w:r>
      <w:r w:rsidRPr="002C4077">
        <w:t xml:space="preserve"> </w:t>
      </w:r>
      <w:r>
        <w:t>qui</w:t>
      </w:r>
      <w:r w:rsidRPr="002C4077">
        <w:t xml:space="preserve"> </w:t>
      </w:r>
      <w:r>
        <w:t>nous</w:t>
      </w:r>
      <w:r w:rsidRPr="002C4077">
        <w:t xml:space="preserve"> </w:t>
      </w:r>
      <w:r>
        <w:t>aidera</w:t>
      </w:r>
      <w:r w:rsidRPr="002C4077">
        <w:t xml:space="preserve"> </w:t>
      </w:r>
      <w:r>
        <w:t>à</w:t>
      </w:r>
      <w:r w:rsidRPr="002C4077">
        <w:t xml:space="preserve"> </w:t>
      </w:r>
      <w:r>
        <w:t>comprendre</w:t>
      </w:r>
      <w:r w:rsidRPr="002C4077">
        <w:t xml:space="preserve"> </w:t>
      </w:r>
      <w:r>
        <w:t>pourquoi</w:t>
      </w:r>
      <w:r w:rsidRPr="002C4077">
        <w:t xml:space="preserve"> </w:t>
      </w:r>
      <w:r>
        <w:t>les</w:t>
      </w:r>
      <w:r w:rsidRPr="002C4077">
        <w:t xml:space="preserve"> </w:t>
      </w:r>
      <w:r>
        <w:t>muletiers</w:t>
      </w:r>
      <w:r w:rsidRPr="002C4077">
        <w:t xml:space="preserve"> </w:t>
      </w:r>
      <w:r>
        <w:t>étaient</w:t>
      </w:r>
      <w:r w:rsidRPr="002C4077">
        <w:t xml:space="preserve"> </w:t>
      </w:r>
      <w:r>
        <w:t>alors</w:t>
      </w:r>
      <w:r w:rsidRPr="002C4077">
        <w:t xml:space="preserve"> </w:t>
      </w:r>
      <w:r>
        <w:t>si</w:t>
      </w:r>
      <w:r w:rsidRPr="002C4077">
        <w:t xml:space="preserve"> </w:t>
      </w:r>
      <w:r>
        <w:t>peu</w:t>
      </w:r>
      <w:r w:rsidRPr="002C4077">
        <w:t xml:space="preserve"> </w:t>
      </w:r>
      <w:r>
        <w:t>en</w:t>
      </w:r>
      <w:r w:rsidRPr="002C4077">
        <w:t xml:space="preserve"> </w:t>
      </w:r>
      <w:r>
        <w:t>odeur</w:t>
      </w:r>
      <w:r w:rsidRPr="002C4077">
        <w:t xml:space="preserve"> </w:t>
      </w:r>
      <w:r>
        <w:t>de</w:t>
      </w:r>
      <w:r w:rsidRPr="002C4077">
        <w:t xml:space="preserve"> </w:t>
      </w:r>
      <w:r>
        <w:t>sainteté.</w:t>
      </w:r>
      <w:r w:rsidRPr="002C4077">
        <w:t xml:space="preserve"> </w:t>
      </w:r>
      <w:r>
        <w:t>Une</w:t>
      </w:r>
      <w:r w:rsidRPr="002C4077">
        <w:t xml:space="preserve"> </w:t>
      </w:r>
      <w:r>
        <w:t>ville</w:t>
      </w:r>
      <w:r w:rsidRPr="002C4077">
        <w:t xml:space="preserve"> </w:t>
      </w:r>
      <w:r>
        <w:t>de</w:t>
      </w:r>
      <w:r w:rsidRPr="002C4077">
        <w:t xml:space="preserve"> </w:t>
      </w:r>
      <w:r>
        <w:t>Palestine</w:t>
      </w:r>
      <w:r w:rsidRPr="002C4077">
        <w:t xml:space="preserve"> </w:t>
      </w:r>
      <w:r>
        <w:t>vint</w:t>
      </w:r>
      <w:r w:rsidRPr="002C4077">
        <w:t xml:space="preserve"> </w:t>
      </w:r>
      <w:r>
        <w:t>tout</w:t>
      </w:r>
      <w:r w:rsidRPr="002C4077">
        <w:t xml:space="preserve"> </w:t>
      </w:r>
      <w:r>
        <w:t>à</w:t>
      </w:r>
      <w:r w:rsidRPr="002C4077">
        <w:t xml:space="preserve"> </w:t>
      </w:r>
      <w:r>
        <w:t>coup</w:t>
      </w:r>
      <w:r w:rsidRPr="002C4077">
        <w:t xml:space="preserve"> </w:t>
      </w:r>
      <w:r>
        <w:t>à</w:t>
      </w:r>
      <w:r w:rsidRPr="002C4077">
        <w:t xml:space="preserve"> </w:t>
      </w:r>
      <w:r>
        <w:t>manquer</w:t>
      </w:r>
      <w:r w:rsidRPr="002C4077">
        <w:t xml:space="preserve"> </w:t>
      </w:r>
      <w:r>
        <w:t>de</w:t>
      </w:r>
      <w:r w:rsidRPr="002C4077">
        <w:t xml:space="preserve"> </w:t>
      </w:r>
      <w:r>
        <w:t>sel.</w:t>
      </w:r>
      <w:r w:rsidRPr="002C4077">
        <w:t xml:space="preserve"> </w:t>
      </w:r>
      <w:r>
        <w:t>Les</w:t>
      </w:r>
      <w:r w:rsidRPr="002C4077">
        <w:t xml:space="preserve"> </w:t>
      </w:r>
      <w:r w:rsidR="006F72A8">
        <w:t>âniers</w:t>
      </w:r>
      <w:r w:rsidRPr="002C4077">
        <w:t xml:space="preserve"> </w:t>
      </w:r>
      <w:r>
        <w:t>qui</w:t>
      </w:r>
      <w:r w:rsidRPr="002C4077">
        <w:t xml:space="preserve"> </w:t>
      </w:r>
      <w:r>
        <w:t>s’y</w:t>
      </w:r>
      <w:r w:rsidRPr="002C4077">
        <w:t xml:space="preserve"> </w:t>
      </w:r>
      <w:r>
        <w:t>trouvaient</w:t>
      </w:r>
      <w:r w:rsidRPr="002C4077">
        <w:t xml:space="preserve"> </w:t>
      </w:r>
      <w:r>
        <w:t>s’entendirent</w:t>
      </w:r>
      <w:r w:rsidRPr="002C4077">
        <w:t xml:space="preserve"> </w:t>
      </w:r>
      <w:r>
        <w:t>pour</w:t>
      </w:r>
      <w:r w:rsidRPr="002C4077">
        <w:t xml:space="preserve"> </w:t>
      </w:r>
      <w:r>
        <w:t>fournir</w:t>
      </w:r>
      <w:r w:rsidRPr="002C4077">
        <w:t xml:space="preserve"> </w:t>
      </w:r>
      <w:r>
        <w:t>le</w:t>
      </w:r>
      <w:r w:rsidRPr="002C4077">
        <w:t xml:space="preserve"> </w:t>
      </w:r>
      <w:r>
        <w:t>plus</w:t>
      </w:r>
      <w:r w:rsidRPr="002C4077">
        <w:t xml:space="preserve"> </w:t>
      </w:r>
      <w:r>
        <w:t>promptement</w:t>
      </w:r>
      <w:r w:rsidRPr="002C4077">
        <w:t xml:space="preserve"> </w:t>
      </w:r>
      <w:r>
        <w:t>possible</w:t>
      </w:r>
      <w:r w:rsidRPr="002C4077">
        <w:t xml:space="preserve"> </w:t>
      </w:r>
      <w:r>
        <w:t>aux</w:t>
      </w:r>
      <w:r w:rsidRPr="002C4077">
        <w:t xml:space="preserve"> </w:t>
      </w:r>
      <w:r>
        <w:t>habitants</w:t>
      </w:r>
      <w:r w:rsidRPr="002C4077">
        <w:t xml:space="preserve"> </w:t>
      </w:r>
      <w:r>
        <w:t>cet</w:t>
      </w:r>
      <w:r w:rsidRPr="002C4077">
        <w:t xml:space="preserve"> </w:t>
      </w:r>
      <w:r>
        <w:t>assaisonnement</w:t>
      </w:r>
      <w:r w:rsidRPr="002C4077">
        <w:t xml:space="preserve"> </w:t>
      </w:r>
      <w:r>
        <w:t>indispensable.</w:t>
      </w:r>
      <w:r w:rsidRPr="002C4077">
        <w:t xml:space="preserve"> </w:t>
      </w:r>
      <w:r>
        <w:t>Lorsqu’ils</w:t>
      </w:r>
      <w:r w:rsidRPr="002C4077">
        <w:t xml:space="preserve"> </w:t>
      </w:r>
      <w:r>
        <w:t>convièrent</w:t>
      </w:r>
      <w:r w:rsidRPr="002C4077">
        <w:t xml:space="preserve"> </w:t>
      </w:r>
      <w:r>
        <w:t>leur</w:t>
      </w:r>
      <w:r w:rsidRPr="002C4077">
        <w:t xml:space="preserve"> </w:t>
      </w:r>
      <w:r>
        <w:t>chef</w:t>
      </w:r>
      <w:r w:rsidRPr="002C4077">
        <w:t xml:space="preserve"> </w:t>
      </w:r>
      <w:r>
        <w:t>à</w:t>
      </w:r>
      <w:r w:rsidRPr="002C4077">
        <w:t xml:space="preserve"> </w:t>
      </w:r>
      <w:r>
        <w:t>partir</w:t>
      </w:r>
      <w:r w:rsidRPr="002C4077">
        <w:t xml:space="preserve"> </w:t>
      </w:r>
      <w:r>
        <w:t>avec</w:t>
      </w:r>
      <w:r w:rsidRPr="002C4077">
        <w:t xml:space="preserve"> </w:t>
      </w:r>
      <w:r>
        <w:t>eux</w:t>
      </w:r>
      <w:r w:rsidR="00B546AF">
        <w:t> :</w:t>
      </w:r>
      <w:r w:rsidRPr="002C4077">
        <w:t xml:space="preserve"> </w:t>
      </w:r>
      <w:r>
        <w:t>Aujourd’hui</w:t>
      </w:r>
      <w:r w:rsidRPr="002C4077">
        <w:t xml:space="preserve"> </w:t>
      </w:r>
      <w:r>
        <w:t>et</w:t>
      </w:r>
      <w:r w:rsidRPr="002C4077">
        <w:t xml:space="preserve"> </w:t>
      </w:r>
      <w:r>
        <w:t>demain</w:t>
      </w:r>
      <w:r w:rsidRPr="004440EA">
        <w:t xml:space="preserve"> (</w:t>
      </w:r>
      <w:r>
        <w:t>telle</w:t>
      </w:r>
      <w:r w:rsidRPr="002C4077">
        <w:t xml:space="preserve"> </w:t>
      </w:r>
      <w:r>
        <w:t>fut</w:t>
      </w:r>
      <w:r w:rsidRPr="002C4077">
        <w:t xml:space="preserve"> </w:t>
      </w:r>
      <w:r>
        <w:t>sa</w:t>
      </w:r>
      <w:r w:rsidRPr="002C4077">
        <w:t xml:space="preserve"> </w:t>
      </w:r>
      <w:r>
        <w:t>réponse</w:t>
      </w:r>
      <w:r w:rsidR="00B546AF" w:rsidRPr="002C4077">
        <w:t>)</w:t>
      </w:r>
      <w:r w:rsidRPr="00950016">
        <w:t>,</w:t>
      </w:r>
      <w:r w:rsidRPr="002C4077">
        <w:t xml:space="preserve"> </w:t>
      </w:r>
      <w:r>
        <w:t>le</w:t>
      </w:r>
      <w:r w:rsidRPr="002C4077">
        <w:t xml:space="preserve"> </w:t>
      </w:r>
      <w:r>
        <w:t>voyage</w:t>
      </w:r>
      <w:r w:rsidRPr="002C4077">
        <w:t xml:space="preserve"> </w:t>
      </w:r>
      <w:r>
        <w:t>m’est</w:t>
      </w:r>
      <w:r w:rsidRPr="002C4077">
        <w:t xml:space="preserve"> </w:t>
      </w:r>
      <w:r>
        <w:t>impossible,</w:t>
      </w:r>
      <w:r w:rsidRPr="002C4077">
        <w:t xml:space="preserve"> </w:t>
      </w:r>
      <w:r>
        <w:t>car</w:t>
      </w:r>
      <w:r w:rsidRPr="002C4077">
        <w:t xml:space="preserve"> </w:t>
      </w:r>
      <w:r>
        <w:t>j’ai</w:t>
      </w:r>
      <w:r w:rsidRPr="002C4077">
        <w:t xml:space="preserve"> </w:t>
      </w:r>
      <w:r>
        <w:t>à</w:t>
      </w:r>
      <w:r w:rsidRPr="002C4077">
        <w:t xml:space="preserve"> </w:t>
      </w:r>
      <w:r>
        <w:t>labourer</w:t>
      </w:r>
      <w:r w:rsidRPr="002C4077">
        <w:t xml:space="preserve"> </w:t>
      </w:r>
      <w:r>
        <w:t>mon</w:t>
      </w:r>
      <w:r w:rsidRPr="002C4077">
        <w:t xml:space="preserve"> </w:t>
      </w:r>
      <w:r>
        <w:t>champ</w:t>
      </w:r>
      <w:r w:rsidR="00B546AF">
        <w:t> ;</w:t>
      </w:r>
      <w:r w:rsidRPr="002C4077">
        <w:t xml:space="preserve"> </w:t>
      </w:r>
      <w:r>
        <w:t>mais</w:t>
      </w:r>
      <w:r w:rsidRPr="002C4077">
        <w:t xml:space="preserve"> </w:t>
      </w:r>
      <w:r>
        <w:t>attendez,</w:t>
      </w:r>
      <w:r w:rsidRPr="002C4077">
        <w:t xml:space="preserve"> </w:t>
      </w:r>
      <w:r>
        <w:t>nous</w:t>
      </w:r>
      <w:r w:rsidRPr="002C4077">
        <w:t xml:space="preserve"> </w:t>
      </w:r>
      <w:r>
        <w:t>ferons</w:t>
      </w:r>
      <w:r w:rsidRPr="002C4077">
        <w:t xml:space="preserve"> </w:t>
      </w:r>
      <w:r>
        <w:t>ensuite</w:t>
      </w:r>
      <w:r w:rsidRPr="002C4077">
        <w:t xml:space="preserve"> </w:t>
      </w:r>
      <w:r>
        <w:t>route</w:t>
      </w:r>
      <w:r w:rsidRPr="002C4077">
        <w:t xml:space="preserve"> </w:t>
      </w:r>
      <w:r>
        <w:t>ensemble.</w:t>
      </w:r>
      <w:r w:rsidRPr="002C4077">
        <w:t xml:space="preserve"> </w:t>
      </w:r>
      <w:r>
        <w:t>Ils</w:t>
      </w:r>
      <w:r w:rsidRPr="002C4077">
        <w:t xml:space="preserve"> </w:t>
      </w:r>
      <w:r>
        <w:t>y</w:t>
      </w:r>
      <w:r w:rsidRPr="002C4077">
        <w:t xml:space="preserve"> </w:t>
      </w:r>
      <w:r>
        <w:t>consentirent</w:t>
      </w:r>
      <w:r w:rsidRPr="002C4077">
        <w:t xml:space="preserve"> </w:t>
      </w:r>
      <w:r>
        <w:t>volontiers.</w:t>
      </w:r>
      <w:r w:rsidRPr="002C4077">
        <w:t xml:space="preserve"> </w:t>
      </w:r>
      <w:r>
        <w:t>Toutefois,</w:t>
      </w:r>
      <w:r w:rsidRPr="002C4077">
        <w:t xml:space="preserve"> </w:t>
      </w:r>
      <w:r>
        <w:t>tandis</w:t>
      </w:r>
      <w:r w:rsidRPr="002C4077">
        <w:t xml:space="preserve"> </w:t>
      </w:r>
      <w:r>
        <w:t>que</w:t>
      </w:r>
      <w:r w:rsidRPr="002C4077">
        <w:t xml:space="preserve"> </w:t>
      </w:r>
      <w:r>
        <w:t>notre</w:t>
      </w:r>
      <w:r w:rsidRPr="002C4077">
        <w:t xml:space="preserve"> </w:t>
      </w:r>
      <w:r>
        <w:t>homme</w:t>
      </w:r>
      <w:r w:rsidRPr="002C4077">
        <w:t xml:space="preserve"> </w:t>
      </w:r>
      <w:r>
        <w:t>labourait</w:t>
      </w:r>
      <w:r w:rsidRPr="002C4077">
        <w:t xml:space="preserve"> </w:t>
      </w:r>
      <w:r>
        <w:t>son</w:t>
      </w:r>
      <w:r w:rsidRPr="002C4077">
        <w:t xml:space="preserve"> </w:t>
      </w:r>
      <w:r>
        <w:t>champ,</w:t>
      </w:r>
      <w:r w:rsidRPr="002C4077">
        <w:t xml:space="preserve"> </w:t>
      </w:r>
      <w:r>
        <w:t>il</w:t>
      </w:r>
      <w:r w:rsidRPr="002C4077">
        <w:t xml:space="preserve"> </w:t>
      </w:r>
      <w:r>
        <w:t>lui</w:t>
      </w:r>
      <w:r w:rsidRPr="002C4077">
        <w:t xml:space="preserve"> </w:t>
      </w:r>
      <w:r>
        <w:t>vint</w:t>
      </w:r>
      <w:r w:rsidRPr="002C4077">
        <w:t xml:space="preserve"> </w:t>
      </w:r>
      <w:r>
        <w:t>une</w:t>
      </w:r>
      <w:r w:rsidRPr="002C4077">
        <w:t xml:space="preserve"> </w:t>
      </w:r>
      <w:r>
        <w:t>idée</w:t>
      </w:r>
      <w:r w:rsidRPr="002C4077">
        <w:t xml:space="preserve"> </w:t>
      </w:r>
      <w:r>
        <w:t>sublime</w:t>
      </w:r>
      <w:r w:rsidRPr="002C4077">
        <w:t xml:space="preserve"> </w:t>
      </w:r>
      <w:r>
        <w:t>qu’il</w:t>
      </w:r>
      <w:r w:rsidRPr="002C4077">
        <w:t xml:space="preserve"> </w:t>
      </w:r>
      <w:r>
        <w:t>s’empressa</w:t>
      </w:r>
      <w:r w:rsidRPr="002C4077">
        <w:t xml:space="preserve"> </w:t>
      </w:r>
      <w:r>
        <w:t>d’aller</w:t>
      </w:r>
      <w:r w:rsidRPr="002C4077">
        <w:t xml:space="preserve"> </w:t>
      </w:r>
      <w:r>
        <w:t>communiquer</w:t>
      </w:r>
      <w:r w:rsidRPr="002C4077">
        <w:t xml:space="preserve"> </w:t>
      </w:r>
      <w:r>
        <w:t>à</w:t>
      </w:r>
      <w:r w:rsidRPr="002C4077">
        <w:t xml:space="preserve"> </w:t>
      </w:r>
      <w:r>
        <w:t>sa</w:t>
      </w:r>
      <w:r w:rsidRPr="002C4077">
        <w:t xml:space="preserve"> </w:t>
      </w:r>
      <w:r>
        <w:t>femme.</w:t>
      </w:r>
      <w:r w:rsidRPr="002C4077">
        <w:t xml:space="preserve"> </w:t>
      </w:r>
      <w:r>
        <w:t>Fais</w:t>
      </w:r>
      <w:r w:rsidRPr="002C4077">
        <w:t xml:space="preserve"> </w:t>
      </w:r>
      <w:r>
        <w:t>bien</w:t>
      </w:r>
      <w:r w:rsidRPr="002C4077">
        <w:t xml:space="preserve"> </w:t>
      </w:r>
      <w:r>
        <w:t>attention,</w:t>
      </w:r>
      <w:r w:rsidRPr="002C4077">
        <w:t xml:space="preserve"> </w:t>
      </w:r>
      <w:r>
        <w:t>lui</w:t>
      </w:r>
      <w:r w:rsidRPr="002C4077">
        <w:t xml:space="preserve"> </w:t>
      </w:r>
      <w:r>
        <w:t>dit-il,</w:t>
      </w:r>
      <w:r w:rsidRPr="002C4077">
        <w:t xml:space="preserve"> </w:t>
      </w:r>
      <w:r>
        <w:t>lorsque</w:t>
      </w:r>
      <w:r w:rsidRPr="002C4077">
        <w:t xml:space="preserve"> </w:t>
      </w:r>
      <w:r>
        <w:t>je</w:t>
      </w:r>
      <w:r w:rsidRPr="002C4077">
        <w:t xml:space="preserve"> </w:t>
      </w:r>
      <w:r>
        <w:t>te</w:t>
      </w:r>
      <w:r w:rsidRPr="002C4077">
        <w:t xml:space="preserve"> </w:t>
      </w:r>
      <w:r>
        <w:t>demanderai</w:t>
      </w:r>
      <w:r w:rsidRPr="002C4077">
        <w:t xml:space="preserve"> </w:t>
      </w:r>
      <w:r>
        <w:t>le</w:t>
      </w:r>
      <w:r w:rsidRPr="002C4077">
        <w:t xml:space="preserve"> </w:t>
      </w:r>
      <w:r>
        <w:t>joug,</w:t>
      </w:r>
      <w:r w:rsidRPr="002C4077">
        <w:t xml:space="preserve"> </w:t>
      </w:r>
      <w:r>
        <w:t>tu</w:t>
      </w:r>
      <w:r w:rsidRPr="002C4077">
        <w:t xml:space="preserve"> </w:t>
      </w:r>
      <w:r>
        <w:t>me</w:t>
      </w:r>
      <w:r w:rsidRPr="002C4077">
        <w:t xml:space="preserve"> </w:t>
      </w:r>
      <w:r>
        <w:t>donneras</w:t>
      </w:r>
      <w:r w:rsidRPr="002C4077">
        <w:t xml:space="preserve"> </w:t>
      </w:r>
      <w:r>
        <w:t>la</w:t>
      </w:r>
      <w:r w:rsidRPr="002C4077">
        <w:t xml:space="preserve"> </w:t>
      </w:r>
      <w:r>
        <w:t>selle,</w:t>
      </w:r>
      <w:r w:rsidRPr="002C4077">
        <w:t xml:space="preserve"> </w:t>
      </w:r>
      <w:r>
        <w:t>et</w:t>
      </w:r>
      <w:r w:rsidRPr="002C4077">
        <w:t xml:space="preserve"> </w:t>
      </w:r>
      <w:r>
        <w:t>quand</w:t>
      </w:r>
      <w:r w:rsidRPr="002C4077">
        <w:t xml:space="preserve"> </w:t>
      </w:r>
      <w:r>
        <w:t>je</w:t>
      </w:r>
      <w:r w:rsidRPr="002C4077">
        <w:t xml:space="preserve"> </w:t>
      </w:r>
      <w:r>
        <w:t>te-demanderai</w:t>
      </w:r>
      <w:r w:rsidRPr="002C4077">
        <w:t xml:space="preserve"> </w:t>
      </w:r>
      <w:r>
        <w:t>la</w:t>
      </w:r>
      <w:r w:rsidRPr="002C4077">
        <w:t xml:space="preserve"> </w:t>
      </w:r>
      <w:r>
        <w:t>cruche,</w:t>
      </w:r>
      <w:r w:rsidRPr="002C4077">
        <w:t xml:space="preserve"> </w:t>
      </w:r>
      <w:r>
        <w:t>tu</w:t>
      </w:r>
      <w:r w:rsidRPr="002C4077">
        <w:t xml:space="preserve"> </w:t>
      </w:r>
      <w:r>
        <w:t>me</w:t>
      </w:r>
      <w:r w:rsidRPr="002C4077">
        <w:t xml:space="preserve"> </w:t>
      </w:r>
      <w:r>
        <w:t>donneras</w:t>
      </w:r>
      <w:r w:rsidRPr="002C4077">
        <w:t xml:space="preserve"> </w:t>
      </w:r>
      <w:r>
        <w:t>le</w:t>
      </w:r>
      <w:r w:rsidRPr="002C4077">
        <w:t xml:space="preserve"> </w:t>
      </w:r>
      <w:r>
        <w:t>sac.</w:t>
      </w:r>
      <w:r w:rsidRPr="002C4077">
        <w:t xml:space="preserve"> </w:t>
      </w:r>
      <w:r>
        <w:t>Il</w:t>
      </w:r>
      <w:r w:rsidRPr="002C4077">
        <w:t xml:space="preserve"> </w:t>
      </w:r>
      <w:r>
        <w:t>plaça</w:t>
      </w:r>
      <w:r w:rsidRPr="002C4077">
        <w:t xml:space="preserve"> </w:t>
      </w:r>
      <w:r>
        <w:t>donc</w:t>
      </w:r>
      <w:r w:rsidRPr="002C4077">
        <w:t xml:space="preserve"> </w:t>
      </w:r>
      <w:r>
        <w:t>le</w:t>
      </w:r>
      <w:r w:rsidRPr="002C4077">
        <w:t xml:space="preserve"> </w:t>
      </w:r>
      <w:r>
        <w:t>sac</w:t>
      </w:r>
      <w:r w:rsidRPr="002C4077">
        <w:t xml:space="preserve"> </w:t>
      </w:r>
      <w:r>
        <w:t>sur</w:t>
      </w:r>
      <w:r w:rsidRPr="002C4077">
        <w:t xml:space="preserve"> </w:t>
      </w:r>
      <w:r>
        <w:t>le</w:t>
      </w:r>
      <w:r w:rsidRPr="002C4077">
        <w:t xml:space="preserve"> </w:t>
      </w:r>
      <w:r>
        <w:t>dos</w:t>
      </w:r>
      <w:r w:rsidRPr="002C4077">
        <w:t xml:space="preserve"> </w:t>
      </w:r>
      <w:r>
        <w:t>de</w:t>
      </w:r>
      <w:r w:rsidRPr="002C4077">
        <w:t xml:space="preserve"> </w:t>
      </w:r>
      <w:r>
        <w:t>son</w:t>
      </w:r>
      <w:r w:rsidRPr="002C4077">
        <w:t xml:space="preserve"> </w:t>
      </w:r>
      <w:r>
        <w:t>âne,</w:t>
      </w:r>
      <w:r w:rsidRPr="002C4077">
        <w:t xml:space="preserve"> </w:t>
      </w:r>
      <w:r>
        <w:t>et</w:t>
      </w:r>
      <w:r w:rsidRPr="002C4077">
        <w:t xml:space="preserve"> </w:t>
      </w:r>
      <w:r>
        <w:t>partit.</w:t>
      </w:r>
      <w:r w:rsidRPr="002C4077">
        <w:t xml:space="preserve"> </w:t>
      </w:r>
      <w:r>
        <w:t>Ses</w:t>
      </w:r>
      <w:r w:rsidRPr="002C4077">
        <w:t xml:space="preserve"> </w:t>
      </w:r>
      <w:r>
        <w:t>compagnons</w:t>
      </w:r>
      <w:r w:rsidRPr="002C4077">
        <w:t xml:space="preserve"> </w:t>
      </w:r>
      <w:r>
        <w:t>vinrent</w:t>
      </w:r>
      <w:r w:rsidRPr="002C4077">
        <w:t xml:space="preserve"> </w:t>
      </w:r>
      <w:r>
        <w:t>plus</w:t>
      </w:r>
      <w:r w:rsidRPr="002C4077">
        <w:t xml:space="preserve"> </w:t>
      </w:r>
      <w:r>
        <w:t>tard</w:t>
      </w:r>
      <w:r w:rsidRPr="002C4077">
        <w:t xml:space="preserve"> </w:t>
      </w:r>
      <w:r>
        <w:t>le</w:t>
      </w:r>
      <w:r w:rsidRPr="002C4077">
        <w:t xml:space="preserve"> </w:t>
      </w:r>
      <w:r>
        <w:t>chercher,</w:t>
      </w:r>
      <w:r w:rsidRPr="002C4077">
        <w:t xml:space="preserve"> </w:t>
      </w:r>
      <w:r>
        <w:t>mais</w:t>
      </w:r>
      <w:r w:rsidRPr="002C4077">
        <w:t xml:space="preserve"> </w:t>
      </w:r>
      <w:r>
        <w:t>on</w:t>
      </w:r>
      <w:r w:rsidRPr="002C4077">
        <w:t xml:space="preserve"> </w:t>
      </w:r>
      <w:r>
        <w:t>leur</w:t>
      </w:r>
      <w:r w:rsidRPr="002C4077">
        <w:t xml:space="preserve"> </w:t>
      </w:r>
      <w:r>
        <w:t>répondit</w:t>
      </w:r>
      <w:r w:rsidRPr="002C4077">
        <w:t xml:space="preserve"> </w:t>
      </w:r>
      <w:r>
        <w:t>qu’il</w:t>
      </w:r>
      <w:r w:rsidRPr="002C4077">
        <w:t xml:space="preserve"> </w:t>
      </w:r>
      <w:r>
        <w:t>était</w:t>
      </w:r>
      <w:r w:rsidRPr="002C4077">
        <w:t xml:space="preserve"> </w:t>
      </w:r>
      <w:r>
        <w:t>en</w:t>
      </w:r>
      <w:r w:rsidRPr="002C4077">
        <w:t xml:space="preserve"> </w:t>
      </w:r>
      <w:r>
        <w:t>route</w:t>
      </w:r>
      <w:r w:rsidRPr="002C4077">
        <w:t xml:space="preserve"> </w:t>
      </w:r>
      <w:r>
        <w:t>depuis</w:t>
      </w:r>
      <w:r w:rsidRPr="002C4077">
        <w:t xml:space="preserve"> </w:t>
      </w:r>
      <w:r>
        <w:t>la</w:t>
      </w:r>
      <w:r w:rsidRPr="002C4077">
        <w:t xml:space="preserve"> </w:t>
      </w:r>
      <w:r>
        <w:t>veille.</w:t>
      </w:r>
      <w:r w:rsidRPr="002C4077">
        <w:t xml:space="preserve"> </w:t>
      </w:r>
      <w:r>
        <w:t>Ils</w:t>
      </w:r>
      <w:r w:rsidRPr="002C4077">
        <w:t xml:space="preserve"> </w:t>
      </w:r>
      <w:r>
        <w:t>quittaient</w:t>
      </w:r>
      <w:r w:rsidRPr="002C4077">
        <w:t xml:space="preserve"> </w:t>
      </w:r>
      <w:r>
        <w:t>à</w:t>
      </w:r>
      <w:r w:rsidRPr="002C4077">
        <w:t xml:space="preserve"> </w:t>
      </w:r>
      <w:r>
        <w:t>peine</w:t>
      </w:r>
      <w:r w:rsidRPr="002C4077">
        <w:t xml:space="preserve"> </w:t>
      </w:r>
      <w:r>
        <w:t>la</w:t>
      </w:r>
      <w:r w:rsidRPr="002C4077">
        <w:t xml:space="preserve"> </w:t>
      </w:r>
      <w:r>
        <w:t>ville</w:t>
      </w:r>
      <w:r w:rsidRPr="002C4077">
        <w:t xml:space="preserve"> </w:t>
      </w:r>
      <w:r>
        <w:t>qu’ils</w:t>
      </w:r>
      <w:r w:rsidRPr="002C4077">
        <w:t xml:space="preserve"> </w:t>
      </w:r>
      <w:r>
        <w:t>le</w:t>
      </w:r>
      <w:r w:rsidRPr="002C4077">
        <w:t xml:space="preserve"> </w:t>
      </w:r>
      <w:r>
        <w:t>virent</w:t>
      </w:r>
      <w:r w:rsidRPr="002C4077">
        <w:t xml:space="preserve"> </w:t>
      </w:r>
      <w:r>
        <w:t>arriver</w:t>
      </w:r>
      <w:r w:rsidRPr="002C4077">
        <w:t xml:space="preserve"> </w:t>
      </w:r>
      <w:r>
        <w:t>au</w:t>
      </w:r>
      <w:r w:rsidRPr="002C4077">
        <w:t xml:space="preserve"> </w:t>
      </w:r>
      <w:r>
        <w:t>devant</w:t>
      </w:r>
      <w:r w:rsidRPr="002C4077">
        <w:t xml:space="preserve"> </w:t>
      </w:r>
      <w:r>
        <w:t>d’eux</w:t>
      </w:r>
      <w:r w:rsidRPr="002C4077">
        <w:t xml:space="preserve"> </w:t>
      </w:r>
      <w:r>
        <w:t>avec</w:t>
      </w:r>
      <w:r w:rsidRPr="002C4077">
        <w:t xml:space="preserve"> </w:t>
      </w:r>
      <w:r>
        <w:t>sa</w:t>
      </w:r>
      <w:r w:rsidRPr="002C4077">
        <w:t xml:space="preserve"> </w:t>
      </w:r>
      <w:r>
        <w:t>provision.</w:t>
      </w:r>
      <w:r w:rsidRPr="002C4077">
        <w:t xml:space="preserve"> </w:t>
      </w:r>
      <w:r>
        <w:t>Pourquoi,</w:t>
      </w:r>
      <w:r w:rsidRPr="002C4077">
        <w:t xml:space="preserve"> </w:t>
      </w:r>
      <w:r>
        <w:t>lui</w:t>
      </w:r>
      <w:r w:rsidRPr="002C4077">
        <w:t xml:space="preserve"> </w:t>
      </w:r>
      <w:r>
        <w:t>crièrent-ils,</w:t>
      </w:r>
      <w:r w:rsidRPr="002C4077">
        <w:t xml:space="preserve"> </w:t>
      </w:r>
      <w:r>
        <w:t>nous</w:t>
      </w:r>
      <w:r w:rsidRPr="002C4077">
        <w:t xml:space="preserve"> </w:t>
      </w:r>
      <w:r>
        <w:t>as-tu</w:t>
      </w:r>
      <w:r w:rsidRPr="002C4077">
        <w:t xml:space="preserve"> </w:t>
      </w:r>
      <w:r>
        <w:t>trompés</w:t>
      </w:r>
      <w:r w:rsidRPr="002C4077">
        <w:t xml:space="preserve"> </w:t>
      </w:r>
      <w:r>
        <w:t>de</w:t>
      </w:r>
      <w:r w:rsidRPr="002C4077">
        <w:t xml:space="preserve"> </w:t>
      </w:r>
      <w:r>
        <w:t>la</w:t>
      </w:r>
      <w:r w:rsidRPr="002C4077">
        <w:t xml:space="preserve"> </w:t>
      </w:r>
      <w:r>
        <w:t>sorte</w:t>
      </w:r>
      <w:r w:rsidR="00B546AF">
        <w:t> !</w:t>
      </w:r>
      <w:r w:rsidRPr="002C4077">
        <w:t xml:space="preserve"> </w:t>
      </w:r>
      <w:r>
        <w:t>Il</w:t>
      </w:r>
      <w:r w:rsidRPr="002C4077">
        <w:t xml:space="preserve"> </w:t>
      </w:r>
      <w:r>
        <w:t>répondit</w:t>
      </w:r>
      <w:r w:rsidR="00B546AF">
        <w:t> :</w:t>
      </w:r>
      <w:r w:rsidRPr="002C4077">
        <w:t xml:space="preserve"> </w:t>
      </w:r>
      <w:r>
        <w:t>Soyez</w:t>
      </w:r>
      <w:r w:rsidRPr="002C4077">
        <w:t xml:space="preserve"> </w:t>
      </w:r>
      <w:r>
        <w:t>raisonnables</w:t>
      </w:r>
      <w:r w:rsidR="00B546AF">
        <w:t> ;</w:t>
      </w:r>
      <w:r w:rsidRPr="002C4077">
        <w:t xml:space="preserve"> </w:t>
      </w:r>
      <w:r>
        <w:t>si</w:t>
      </w:r>
      <w:r w:rsidRPr="002C4077">
        <w:t xml:space="preserve"> </w:t>
      </w:r>
      <w:r>
        <w:t>nous</w:t>
      </w:r>
      <w:r w:rsidRPr="002C4077">
        <w:t xml:space="preserve"> </w:t>
      </w:r>
      <w:r>
        <w:t>étions</w:t>
      </w:r>
      <w:r w:rsidRPr="002C4077">
        <w:t xml:space="preserve"> </w:t>
      </w:r>
      <w:r>
        <w:t>partis</w:t>
      </w:r>
      <w:r w:rsidRPr="002C4077">
        <w:t xml:space="preserve"> </w:t>
      </w:r>
      <w:r>
        <w:t>tous</w:t>
      </w:r>
      <w:r w:rsidRPr="002C4077">
        <w:t xml:space="preserve"> </w:t>
      </w:r>
      <w:r>
        <w:t>ensemble,</w:t>
      </w:r>
      <w:r w:rsidRPr="002C4077">
        <w:t xml:space="preserve"> </w:t>
      </w:r>
      <w:r>
        <w:t>le</w:t>
      </w:r>
      <w:r w:rsidRPr="002C4077">
        <w:t xml:space="preserve"> </w:t>
      </w:r>
      <w:r>
        <w:t>sel</w:t>
      </w:r>
      <w:r w:rsidRPr="002C4077">
        <w:t xml:space="preserve"> </w:t>
      </w:r>
      <w:r>
        <w:t>se</w:t>
      </w:r>
      <w:r w:rsidRPr="002C4077">
        <w:t xml:space="preserve"> </w:t>
      </w:r>
      <w:r>
        <w:t>serait</w:t>
      </w:r>
      <w:r w:rsidRPr="002C4077">
        <w:t xml:space="preserve"> </w:t>
      </w:r>
      <w:r>
        <w:t>vendu</w:t>
      </w:r>
      <w:r w:rsidRPr="002C4077">
        <w:t xml:space="preserve"> </w:t>
      </w:r>
      <w:r>
        <w:t>à</w:t>
      </w:r>
      <w:r w:rsidRPr="002C4077">
        <w:t xml:space="preserve"> </w:t>
      </w:r>
      <w:r>
        <w:t>vil</w:t>
      </w:r>
      <w:r w:rsidRPr="002C4077">
        <w:t xml:space="preserve"> </w:t>
      </w:r>
      <w:r>
        <w:t>prix,</w:t>
      </w:r>
      <w:r w:rsidRPr="002C4077">
        <w:t xml:space="preserve"> </w:t>
      </w:r>
      <w:r>
        <w:t>tandis</w:t>
      </w:r>
      <w:r w:rsidRPr="002C4077">
        <w:t xml:space="preserve"> </w:t>
      </w:r>
      <w:r>
        <w:t>qu’à</w:t>
      </w:r>
      <w:r w:rsidRPr="002C4077">
        <w:t xml:space="preserve"> </w:t>
      </w:r>
      <w:r>
        <w:t>votre</w:t>
      </w:r>
      <w:r w:rsidRPr="002C4077">
        <w:t xml:space="preserve"> </w:t>
      </w:r>
      <w:r>
        <w:t>retour</w:t>
      </w:r>
      <w:r w:rsidRPr="002C4077">
        <w:t xml:space="preserve"> </w:t>
      </w:r>
      <w:r>
        <w:t>j’aurai</w:t>
      </w:r>
      <w:r w:rsidRPr="002C4077">
        <w:t xml:space="preserve"> </w:t>
      </w:r>
      <w:r>
        <w:t>déjà</w:t>
      </w:r>
      <w:r w:rsidRPr="002C4077">
        <w:t xml:space="preserve"> </w:t>
      </w:r>
      <w:r>
        <w:t>vendu</w:t>
      </w:r>
      <w:r w:rsidRPr="002C4077">
        <w:t xml:space="preserve"> </w:t>
      </w:r>
      <w:r>
        <w:t>ma</w:t>
      </w:r>
      <w:r w:rsidRPr="002C4077">
        <w:t xml:space="preserve"> </w:t>
      </w:r>
      <w:r>
        <w:t>part,</w:t>
      </w:r>
      <w:r w:rsidRPr="002C4077">
        <w:t xml:space="preserve"> </w:t>
      </w:r>
      <w:r>
        <w:t>et</w:t>
      </w:r>
      <w:r w:rsidRPr="002C4077">
        <w:t xml:space="preserve"> </w:t>
      </w:r>
      <w:r>
        <w:t>vous</w:t>
      </w:r>
      <w:r w:rsidRPr="002C4077">
        <w:t xml:space="preserve"> </w:t>
      </w:r>
      <w:r>
        <w:t>ferez</w:t>
      </w:r>
      <w:r w:rsidRPr="002C4077">
        <w:t xml:space="preserve"> </w:t>
      </w:r>
      <w:r>
        <w:t>après</w:t>
      </w:r>
      <w:r w:rsidRPr="002C4077">
        <w:t xml:space="preserve"> </w:t>
      </w:r>
      <w:r>
        <w:t>mois</w:t>
      </w:r>
      <w:r w:rsidRPr="002C4077">
        <w:t xml:space="preserve"> </w:t>
      </w:r>
      <w:r>
        <w:t>un</w:t>
      </w:r>
      <w:r w:rsidRPr="002C4077">
        <w:t xml:space="preserve"> </w:t>
      </w:r>
      <w:r>
        <w:t>assez</w:t>
      </w:r>
      <w:r w:rsidRPr="002C4077">
        <w:t xml:space="preserve"> </w:t>
      </w:r>
      <w:r>
        <w:t>joli</w:t>
      </w:r>
      <w:r w:rsidRPr="002C4077">
        <w:t xml:space="preserve"> </w:t>
      </w:r>
      <w:r>
        <w:t>profit</w:t>
      </w:r>
      <w:r w:rsidR="00B91AF7">
        <w:rPr>
          <w:rStyle w:val="Appelnotedebasdep"/>
        </w:rPr>
        <w:footnoteReference w:id="786"/>
      </w:r>
      <w:r w:rsidR="00B546AF">
        <w:t> !</w:t>
      </w:r>
      <w:r w:rsidR="00C45B47">
        <w:t xml:space="preserve"> {</w:t>
      </w:r>
      <w:r w:rsidR="001F5257">
        <w:t>251</w:t>
      </w:r>
      <w:bookmarkStart w:id="607" w:name="p251"/>
      <w:bookmarkEnd w:id="607"/>
      <w:r w:rsidR="001F5257">
        <w:t xml:space="preserve">} </w:t>
      </w:r>
    </w:p>
    <w:p w:rsidR="000A7AAB" w:rsidRDefault="000A7AAB" w:rsidP="000A7AAB">
      <w:r>
        <w:t>La</w:t>
      </w:r>
      <w:r w:rsidRPr="002C4077">
        <w:t xml:space="preserve"> </w:t>
      </w:r>
      <w:r>
        <w:t>renommée</w:t>
      </w:r>
      <w:r w:rsidRPr="002C4077">
        <w:t xml:space="preserve"> </w:t>
      </w:r>
      <w:r>
        <w:t>des</w:t>
      </w:r>
      <w:r w:rsidRPr="002C4077">
        <w:t xml:space="preserve"> </w:t>
      </w:r>
      <w:r>
        <w:t>tisserands</w:t>
      </w:r>
      <w:r w:rsidRPr="002C4077">
        <w:t xml:space="preserve"> </w:t>
      </w:r>
      <w:r>
        <w:t>était</w:t>
      </w:r>
      <w:r w:rsidRPr="002C4077">
        <w:t xml:space="preserve"> </w:t>
      </w:r>
      <w:r>
        <w:t>également</w:t>
      </w:r>
      <w:r w:rsidRPr="002C4077">
        <w:t xml:space="preserve"> </w:t>
      </w:r>
      <w:r>
        <w:t>si</w:t>
      </w:r>
      <w:r w:rsidRPr="002C4077">
        <w:t xml:space="preserve"> </w:t>
      </w:r>
      <w:r>
        <w:t>mauvaise,</w:t>
      </w:r>
      <w:r w:rsidRPr="002C4077">
        <w:t xml:space="preserve"> </w:t>
      </w:r>
      <w:r>
        <w:t>que</w:t>
      </w:r>
      <w:r w:rsidRPr="002C4077">
        <w:t xml:space="preserve"> </w:t>
      </w:r>
      <w:r>
        <w:t>les</w:t>
      </w:r>
      <w:r w:rsidRPr="002C4077">
        <w:t xml:space="preserve"> </w:t>
      </w:r>
      <w:r>
        <w:t>chansons</w:t>
      </w:r>
      <w:r w:rsidRPr="002C4077">
        <w:t xml:space="preserve"> </w:t>
      </w:r>
      <w:r>
        <w:t>populaires</w:t>
      </w:r>
      <w:r w:rsidRPr="002C4077">
        <w:t xml:space="preserve"> </w:t>
      </w:r>
      <w:r>
        <w:t>auxquelles</w:t>
      </w:r>
      <w:r w:rsidRPr="002C4077">
        <w:t xml:space="preserve"> </w:t>
      </w:r>
      <w:r>
        <w:t>un</w:t>
      </w:r>
      <w:r w:rsidRPr="002C4077">
        <w:t xml:space="preserve"> </w:t>
      </w:r>
      <w:r>
        <w:t>homme</w:t>
      </w:r>
      <w:r w:rsidRPr="002C4077">
        <w:t xml:space="preserve"> </w:t>
      </w:r>
      <w:r>
        <w:t>honorable</w:t>
      </w:r>
      <w:r w:rsidRPr="002C4077">
        <w:t xml:space="preserve"> </w:t>
      </w:r>
      <w:r>
        <w:t>ne</w:t>
      </w:r>
      <w:r w:rsidRPr="002C4077">
        <w:t xml:space="preserve"> </w:t>
      </w:r>
      <w:r>
        <w:t>pouvait</w:t>
      </w:r>
      <w:r w:rsidRPr="002C4077">
        <w:t xml:space="preserve"> </w:t>
      </w:r>
      <w:r>
        <w:t>pas</w:t>
      </w:r>
      <w:r w:rsidRPr="002C4077">
        <w:t xml:space="preserve"> </w:t>
      </w:r>
      <w:r>
        <w:t>décemment</w:t>
      </w:r>
      <w:r w:rsidRPr="002C4077">
        <w:t xml:space="preserve"> </w:t>
      </w:r>
      <w:r>
        <w:t>prêter</w:t>
      </w:r>
      <w:r w:rsidRPr="002C4077">
        <w:t xml:space="preserve"> </w:t>
      </w:r>
      <w:r>
        <w:t>l’oreille</w:t>
      </w:r>
      <w:r w:rsidRPr="002C4077">
        <w:t xml:space="preserve"> </w:t>
      </w:r>
      <w:r>
        <w:t>étaient</w:t>
      </w:r>
      <w:r w:rsidRPr="002C4077">
        <w:t xml:space="preserve"> </w:t>
      </w:r>
      <w:r>
        <w:t>appelées</w:t>
      </w:r>
      <w:r w:rsidRPr="002C4077">
        <w:t xml:space="preserve"> </w:t>
      </w:r>
      <w:r>
        <w:t>des</w:t>
      </w:r>
      <w:r w:rsidRPr="002C4077">
        <w:t xml:space="preserve"> </w:t>
      </w:r>
      <w:r w:rsidRPr="000A34B5">
        <w:rPr>
          <w:rStyle w:val="italicus"/>
        </w:rPr>
        <w:t>chants</w:t>
      </w:r>
      <w:bookmarkStart w:id="608" w:name="z_TravailManuel_o7"/>
      <w:bookmarkEnd w:id="608"/>
      <w:r w:rsidRPr="002C4077">
        <w:t xml:space="preserve"> </w:t>
      </w:r>
      <w:r w:rsidRPr="000A34B5">
        <w:rPr>
          <w:rStyle w:val="italicus"/>
        </w:rPr>
        <w:t>de</w:t>
      </w:r>
      <w:r w:rsidRPr="002C4077">
        <w:t xml:space="preserve"> </w:t>
      </w:r>
      <w:r w:rsidRPr="000A34B5">
        <w:rPr>
          <w:rStyle w:val="italicus"/>
        </w:rPr>
        <w:t>tisseran</w:t>
      </w:r>
      <w:r w:rsidR="00F6492C" w:rsidRPr="000A34B5">
        <w:rPr>
          <w:rStyle w:val="italicus"/>
        </w:rPr>
        <w:t>ds</w:t>
      </w:r>
      <w:r w:rsidR="00F6492C">
        <w:rPr>
          <w:rStyle w:val="Appelnotedebasdep"/>
          <w:i/>
        </w:rPr>
        <w:footnoteReference w:id="787"/>
      </w:r>
      <w:r w:rsidR="00F6492C" w:rsidRPr="000A34B5">
        <w:rPr>
          <w:rStyle w:val="italicus"/>
        </w:rPr>
        <w:t>.</w:t>
      </w:r>
      <w:r w:rsidRPr="002C4077">
        <w:t xml:space="preserve"> </w:t>
      </w:r>
    </w:p>
    <w:p w:rsidR="00FD0BB0" w:rsidRDefault="00FD0BB0" w:rsidP="000A7AAB"/>
    <w:p w:rsidR="000A7AAB" w:rsidRDefault="000A7AAB" w:rsidP="000A7AAB">
      <w:r>
        <w:t>L’anecdote</w:t>
      </w:r>
      <w:r w:rsidRPr="002C4077">
        <w:t xml:space="preserve"> </w:t>
      </w:r>
      <w:r>
        <w:t>que</w:t>
      </w:r>
      <w:r w:rsidRPr="002C4077">
        <w:t xml:space="preserve"> </w:t>
      </w:r>
      <w:r>
        <w:t>nous</w:t>
      </w:r>
      <w:r w:rsidRPr="002C4077">
        <w:t xml:space="preserve"> </w:t>
      </w:r>
      <w:r>
        <w:t>venons</w:t>
      </w:r>
      <w:r w:rsidRPr="002C4077">
        <w:t xml:space="preserve"> </w:t>
      </w:r>
      <w:r>
        <w:t>de</w:t>
      </w:r>
      <w:r w:rsidRPr="002C4077">
        <w:t xml:space="preserve"> </w:t>
      </w:r>
      <w:r>
        <w:t>raconter</w:t>
      </w:r>
      <w:r w:rsidRPr="002C4077">
        <w:t xml:space="preserve"> </w:t>
      </w:r>
      <w:r>
        <w:t>au</w:t>
      </w:r>
      <w:r w:rsidRPr="002C4077">
        <w:t xml:space="preserve"> </w:t>
      </w:r>
      <w:r>
        <w:t>sujet</w:t>
      </w:r>
      <w:r w:rsidRPr="002C4077">
        <w:t xml:space="preserve"> </w:t>
      </w:r>
      <w:r>
        <w:t>des</w:t>
      </w:r>
      <w:r w:rsidRPr="002C4077">
        <w:t xml:space="preserve"> </w:t>
      </w:r>
      <w:r>
        <w:t>muletiers</w:t>
      </w:r>
      <w:r w:rsidRPr="002C4077">
        <w:t xml:space="preserve"> </w:t>
      </w:r>
      <w:r>
        <w:t>juifs</w:t>
      </w:r>
      <w:r w:rsidRPr="002C4077">
        <w:t xml:space="preserve"> </w:t>
      </w:r>
      <w:r>
        <w:t>nous</w:t>
      </w:r>
      <w:r w:rsidRPr="002C4077">
        <w:t xml:space="preserve"> </w:t>
      </w:r>
      <w:r>
        <w:t>les</w:t>
      </w:r>
      <w:r w:rsidRPr="002C4077">
        <w:t xml:space="preserve"> </w:t>
      </w:r>
      <w:r>
        <w:t>montre</w:t>
      </w:r>
      <w:r w:rsidRPr="002C4077">
        <w:t xml:space="preserve"> </w:t>
      </w:r>
      <w:r>
        <w:t>soumis</w:t>
      </w:r>
      <w:r w:rsidRPr="002C4077">
        <w:t xml:space="preserve"> </w:t>
      </w:r>
      <w:r>
        <w:t>à</w:t>
      </w:r>
      <w:r w:rsidRPr="002C4077">
        <w:t xml:space="preserve"> </w:t>
      </w:r>
      <w:r>
        <w:t>un</w:t>
      </w:r>
      <w:r w:rsidRPr="002C4077">
        <w:t xml:space="preserve"> </w:t>
      </w:r>
      <w:r>
        <w:t>chef</w:t>
      </w:r>
      <w:r w:rsidRPr="002C4077">
        <w:t xml:space="preserve"> </w:t>
      </w:r>
      <w:r>
        <w:t>dont</w:t>
      </w:r>
      <w:r w:rsidRPr="002C4077">
        <w:t xml:space="preserve"> </w:t>
      </w:r>
      <w:r>
        <w:t>ils</w:t>
      </w:r>
      <w:r w:rsidRPr="002C4077">
        <w:t xml:space="preserve"> </w:t>
      </w:r>
      <w:r>
        <w:t>viennent</w:t>
      </w:r>
      <w:r w:rsidRPr="002C4077">
        <w:t xml:space="preserve"> </w:t>
      </w:r>
      <w:r>
        <w:t>prendre</w:t>
      </w:r>
      <w:r w:rsidRPr="002C4077">
        <w:t xml:space="preserve"> </w:t>
      </w:r>
      <w:r>
        <w:t>les</w:t>
      </w:r>
      <w:r w:rsidRPr="002C4077">
        <w:t xml:space="preserve"> </w:t>
      </w:r>
      <w:r>
        <w:t>ordres.</w:t>
      </w:r>
      <w:r w:rsidRPr="002C4077">
        <w:t xml:space="preserve"> </w:t>
      </w:r>
      <w:r>
        <w:t>Ce</w:t>
      </w:r>
      <w:r w:rsidRPr="002C4077">
        <w:t xml:space="preserve"> </w:t>
      </w:r>
      <w:r>
        <w:t>fait</w:t>
      </w:r>
      <w:r w:rsidRPr="002C4077">
        <w:t xml:space="preserve"> </w:t>
      </w:r>
      <w:r>
        <w:t>nous</w:t>
      </w:r>
      <w:r w:rsidRPr="002C4077">
        <w:t xml:space="preserve"> </w:t>
      </w:r>
      <w:r>
        <w:t>donne</w:t>
      </w:r>
      <w:r w:rsidRPr="002C4077">
        <w:t xml:space="preserve"> </w:t>
      </w:r>
      <w:r>
        <w:t>occasion</w:t>
      </w:r>
      <w:r w:rsidRPr="002C4077">
        <w:t xml:space="preserve"> </w:t>
      </w:r>
      <w:r>
        <w:t>de</w:t>
      </w:r>
      <w:r w:rsidRPr="002C4077">
        <w:t xml:space="preserve"> </w:t>
      </w:r>
      <w:r>
        <w:t>dire</w:t>
      </w:r>
      <w:r w:rsidRPr="002C4077">
        <w:t xml:space="preserve"> </w:t>
      </w:r>
      <w:r>
        <w:t>quelques</w:t>
      </w:r>
      <w:r w:rsidRPr="002C4077">
        <w:t xml:space="preserve"> </w:t>
      </w:r>
      <w:r>
        <w:t>mots</w:t>
      </w:r>
      <w:r w:rsidRPr="002C4077">
        <w:t xml:space="preserve"> </w:t>
      </w:r>
      <w:r>
        <w:t>sur</w:t>
      </w:r>
      <w:r w:rsidRPr="002C4077">
        <w:t xml:space="preserve"> </w:t>
      </w:r>
      <w:r>
        <w:t>l’organisation</w:t>
      </w:r>
      <w:r w:rsidRPr="002C4077">
        <w:t xml:space="preserve"> </w:t>
      </w:r>
      <w:r>
        <w:t>des</w:t>
      </w:r>
      <w:r w:rsidRPr="002C4077">
        <w:t xml:space="preserve"> </w:t>
      </w:r>
      <w:r>
        <w:t>corps</w:t>
      </w:r>
      <w:r w:rsidRPr="002C4077">
        <w:t xml:space="preserve"> </w:t>
      </w:r>
      <w:r>
        <w:t>de</w:t>
      </w:r>
      <w:r w:rsidRPr="002C4077">
        <w:t xml:space="preserve"> </w:t>
      </w:r>
      <w:r>
        <w:t>métiers</w:t>
      </w:r>
      <w:r w:rsidRPr="002C4077">
        <w:t xml:space="preserve"> </w:t>
      </w:r>
      <w:r>
        <w:t>en</w:t>
      </w:r>
      <w:r w:rsidRPr="002C4077">
        <w:t xml:space="preserve"> </w:t>
      </w:r>
      <w:r>
        <w:t>Palestine</w:t>
      </w:r>
      <w:r w:rsidRPr="002C4077">
        <w:t xml:space="preserve"> </w:t>
      </w:r>
      <w:r>
        <w:t>au</w:t>
      </w:r>
      <w:r w:rsidRPr="002C4077">
        <w:t xml:space="preserve"> </w:t>
      </w:r>
      <w:r>
        <w:t>temps</w:t>
      </w:r>
      <w:r w:rsidRPr="002C4077">
        <w:t xml:space="preserve"> </w:t>
      </w:r>
      <w:r>
        <w:t>du</w:t>
      </w:r>
      <w:r w:rsidRPr="002C4077">
        <w:t xml:space="preserve"> </w:t>
      </w:r>
      <w:r w:rsidR="00425C50">
        <w:t>Christ</w:t>
      </w:r>
      <w:r>
        <w:t>.</w:t>
      </w:r>
      <w:r w:rsidRPr="002C4077">
        <w:t xml:space="preserve"> </w:t>
      </w:r>
    </w:p>
    <w:p w:rsidR="000A7AAB" w:rsidRDefault="000A7AAB" w:rsidP="000A7AAB">
      <w:r>
        <w:t>À</w:t>
      </w:r>
      <w:r w:rsidRPr="002C4077">
        <w:t xml:space="preserve"> </w:t>
      </w:r>
      <w:r>
        <w:t>toutes</w:t>
      </w:r>
      <w:r w:rsidRPr="002C4077">
        <w:t xml:space="preserve"> </w:t>
      </w:r>
      <w:r>
        <w:t>les</w:t>
      </w:r>
      <w:r w:rsidRPr="002C4077">
        <w:t xml:space="preserve"> </w:t>
      </w:r>
      <w:r>
        <w:t>époques,</w:t>
      </w:r>
      <w:r w:rsidRPr="002C4077">
        <w:t xml:space="preserve"> </w:t>
      </w:r>
      <w:r>
        <w:t>on</w:t>
      </w:r>
      <w:r w:rsidRPr="002C4077">
        <w:t xml:space="preserve"> </w:t>
      </w:r>
      <w:r>
        <w:t>a</w:t>
      </w:r>
      <w:r w:rsidRPr="002C4077">
        <w:t xml:space="preserve"> </w:t>
      </w:r>
      <w:r>
        <w:t>ressenti</w:t>
      </w:r>
      <w:r w:rsidRPr="002C4077">
        <w:t xml:space="preserve"> </w:t>
      </w:r>
      <w:r>
        <w:t>l’utilité</w:t>
      </w:r>
      <w:r w:rsidRPr="002C4077">
        <w:t xml:space="preserve"> </w:t>
      </w:r>
      <w:r>
        <w:t>de</w:t>
      </w:r>
      <w:r w:rsidRPr="002C4077">
        <w:t xml:space="preserve"> </w:t>
      </w:r>
      <w:r>
        <w:t>l’association</w:t>
      </w:r>
      <w:bookmarkStart w:id="609" w:name="z_TravailManuel_o8"/>
      <w:bookmarkEnd w:id="609"/>
      <w:r w:rsidRPr="002C4077">
        <w:t xml:space="preserve"> </w:t>
      </w:r>
      <w:r>
        <w:t>et</w:t>
      </w:r>
      <w:r w:rsidRPr="002C4077">
        <w:t xml:space="preserve"> </w:t>
      </w:r>
      <w:r>
        <w:t>la</w:t>
      </w:r>
      <w:r w:rsidRPr="002C4077">
        <w:t xml:space="preserve"> </w:t>
      </w:r>
      <w:r>
        <w:t>vérité</w:t>
      </w:r>
      <w:r w:rsidRPr="002C4077">
        <w:t xml:space="preserve"> </w:t>
      </w:r>
      <w:r>
        <w:t>de</w:t>
      </w:r>
      <w:r w:rsidRPr="002C4077">
        <w:t xml:space="preserve"> </w:t>
      </w:r>
      <w:r>
        <w:t>la</w:t>
      </w:r>
      <w:r w:rsidRPr="002C4077">
        <w:t xml:space="preserve"> </w:t>
      </w:r>
      <w:r>
        <w:t>devise</w:t>
      </w:r>
      <w:r w:rsidRPr="002C4077">
        <w:t xml:space="preserve"> </w:t>
      </w:r>
      <w:r>
        <w:t>si</w:t>
      </w:r>
      <w:r w:rsidRPr="002C4077">
        <w:t xml:space="preserve"> </w:t>
      </w:r>
      <w:r>
        <w:t>connue</w:t>
      </w:r>
      <w:r w:rsidR="00B546AF">
        <w:t> :</w:t>
      </w:r>
      <w:r w:rsidRPr="002C4077">
        <w:t xml:space="preserve"> </w:t>
      </w:r>
      <w:r w:rsidRPr="000A34B5">
        <w:rPr>
          <w:rStyle w:val="italicus"/>
        </w:rPr>
        <w:t>L’union</w:t>
      </w:r>
      <w:r w:rsidRPr="002C4077">
        <w:t xml:space="preserve"> </w:t>
      </w:r>
      <w:r w:rsidRPr="000A34B5">
        <w:rPr>
          <w:rStyle w:val="italicus"/>
        </w:rPr>
        <w:t>fait</w:t>
      </w:r>
      <w:r w:rsidRPr="002C4077">
        <w:t xml:space="preserve"> </w:t>
      </w:r>
      <w:r w:rsidRPr="000A34B5">
        <w:rPr>
          <w:rStyle w:val="italicus"/>
        </w:rPr>
        <w:t>la</w:t>
      </w:r>
      <w:r w:rsidRPr="002C4077">
        <w:t xml:space="preserve"> </w:t>
      </w:r>
      <w:r w:rsidRPr="000A34B5">
        <w:rPr>
          <w:rStyle w:val="italicus"/>
        </w:rPr>
        <w:t>force.</w:t>
      </w:r>
      <w:r w:rsidRPr="002C4077">
        <w:t xml:space="preserve"> </w:t>
      </w:r>
      <w:r>
        <w:t>Les</w:t>
      </w:r>
      <w:r w:rsidRPr="002C4077">
        <w:t xml:space="preserve"> </w:t>
      </w:r>
      <w:r>
        <w:t>corporations</w:t>
      </w:r>
      <w:bookmarkStart w:id="610" w:name="z_Corporations_o1"/>
      <w:bookmarkEnd w:id="610"/>
      <w:r w:rsidRPr="002C4077">
        <w:t xml:space="preserve"> </w:t>
      </w:r>
      <w:r>
        <w:t>de</w:t>
      </w:r>
      <w:r w:rsidRPr="002C4077">
        <w:t xml:space="preserve"> </w:t>
      </w:r>
      <w:r>
        <w:t>métiers</w:t>
      </w:r>
      <w:r w:rsidRPr="002C4077">
        <w:t xml:space="preserve"> </w:t>
      </w:r>
      <w:r>
        <w:t>ne</w:t>
      </w:r>
      <w:r w:rsidRPr="002C4077">
        <w:t xml:space="preserve"> </w:t>
      </w:r>
      <w:r>
        <w:t>datent</w:t>
      </w:r>
      <w:r w:rsidRPr="002C4077">
        <w:t xml:space="preserve"> </w:t>
      </w:r>
      <w:r>
        <w:t>donc</w:t>
      </w:r>
      <w:r w:rsidRPr="002C4077">
        <w:t xml:space="preserve"> </w:t>
      </w:r>
      <w:r>
        <w:t>ni</w:t>
      </w:r>
      <w:r w:rsidRPr="002C4077">
        <w:t xml:space="preserve"> </w:t>
      </w:r>
      <w:r>
        <w:t>de</w:t>
      </w:r>
      <w:r w:rsidRPr="002C4077">
        <w:t xml:space="preserve"> </w:t>
      </w:r>
      <w:r>
        <w:t>nos</w:t>
      </w:r>
      <w:r w:rsidRPr="002C4077">
        <w:t xml:space="preserve"> </w:t>
      </w:r>
      <w:r>
        <w:t>jours,</w:t>
      </w:r>
      <w:r w:rsidRPr="002C4077">
        <w:t xml:space="preserve"> </w:t>
      </w:r>
      <w:r>
        <w:t>ni</w:t>
      </w:r>
      <w:r w:rsidRPr="002C4077">
        <w:t xml:space="preserve"> </w:t>
      </w:r>
      <w:r>
        <w:t>du</w:t>
      </w:r>
      <w:r w:rsidRPr="002C4077">
        <w:t xml:space="preserve"> </w:t>
      </w:r>
      <w:r w:rsidR="006F72A8">
        <w:t>Moyen-âge</w:t>
      </w:r>
      <w:r w:rsidR="00B546AF">
        <w:t> ;</w:t>
      </w:r>
      <w:r w:rsidRPr="002C4077">
        <w:t xml:space="preserve"> </w:t>
      </w:r>
      <w:r>
        <w:t>elles</w:t>
      </w:r>
      <w:r w:rsidRPr="002C4077">
        <w:t xml:space="preserve"> </w:t>
      </w:r>
      <w:r>
        <w:t>existaient</w:t>
      </w:r>
      <w:r w:rsidRPr="002C4077">
        <w:t xml:space="preserve"> </w:t>
      </w:r>
      <w:r>
        <w:t>déjà</w:t>
      </w:r>
      <w:r w:rsidRPr="002C4077">
        <w:t xml:space="preserve"> </w:t>
      </w:r>
      <w:r>
        <w:t>chez</w:t>
      </w:r>
      <w:r w:rsidRPr="002C4077">
        <w:t xml:space="preserve"> </w:t>
      </w:r>
      <w:r>
        <w:t>les</w:t>
      </w:r>
      <w:r w:rsidRPr="002C4077">
        <w:t xml:space="preserve"> </w:t>
      </w:r>
      <w:r>
        <w:t>compatriotes</w:t>
      </w:r>
      <w:r w:rsidRPr="002C4077">
        <w:t xml:space="preserve"> </w:t>
      </w:r>
      <w:r>
        <w:t>et</w:t>
      </w:r>
      <w:r w:rsidRPr="002C4077">
        <w:t xml:space="preserve"> </w:t>
      </w:r>
      <w:r>
        <w:t>les</w:t>
      </w:r>
      <w:r w:rsidRPr="002C4077">
        <w:t xml:space="preserve"> </w:t>
      </w:r>
      <w:r>
        <w:t>contemporains</w:t>
      </w:r>
      <w:r w:rsidRPr="002C4077">
        <w:t xml:space="preserve"> </w:t>
      </w:r>
      <w:r>
        <w:t>de</w:t>
      </w:r>
      <w:r w:rsidRPr="002C4077">
        <w:t xml:space="preserve"> </w:t>
      </w:r>
      <w:r>
        <w:t>Notre</w:t>
      </w:r>
      <w:r w:rsidRPr="002C4077">
        <w:t xml:space="preserve"> </w:t>
      </w:r>
      <w:r>
        <w:t>Seigneur.</w:t>
      </w:r>
      <w:r w:rsidRPr="002C4077">
        <w:t xml:space="preserve"> </w:t>
      </w:r>
      <w:r>
        <w:t>Plusieurs</w:t>
      </w:r>
      <w:r w:rsidRPr="002C4077">
        <w:t xml:space="preserve"> </w:t>
      </w:r>
      <w:r>
        <w:t>faits</w:t>
      </w:r>
      <w:r w:rsidRPr="002C4077">
        <w:t xml:space="preserve"> </w:t>
      </w:r>
      <w:r>
        <w:t>le</w:t>
      </w:r>
      <w:r w:rsidRPr="002C4077">
        <w:t xml:space="preserve"> </w:t>
      </w:r>
      <w:r>
        <w:t>prouvent</w:t>
      </w:r>
      <w:r w:rsidRPr="002C4077">
        <w:t xml:space="preserve"> </w:t>
      </w:r>
      <w:r>
        <w:t>jusqu’à</w:t>
      </w:r>
      <w:r w:rsidRPr="002C4077">
        <w:t xml:space="preserve"> </w:t>
      </w:r>
      <w:r>
        <w:t>l’évidence.</w:t>
      </w:r>
      <w:r w:rsidRPr="002C4077">
        <w:t xml:space="preserve"> </w:t>
      </w:r>
    </w:p>
    <w:p w:rsidR="000A7AAB" w:rsidRDefault="000A7AAB" w:rsidP="000A7AAB">
      <w:r>
        <w:t>Par</w:t>
      </w:r>
      <w:r w:rsidRPr="002C4077">
        <w:t xml:space="preserve"> </w:t>
      </w:r>
      <w:r>
        <w:t>exemple,</w:t>
      </w:r>
      <w:r w:rsidRPr="002C4077">
        <w:t xml:space="preserve"> </w:t>
      </w:r>
      <w:r>
        <w:t>il</w:t>
      </w:r>
      <w:r w:rsidRPr="002C4077">
        <w:t xml:space="preserve"> </w:t>
      </w:r>
      <w:r>
        <w:t>existait</w:t>
      </w:r>
      <w:r w:rsidRPr="002C4077">
        <w:t xml:space="preserve"> </w:t>
      </w:r>
      <w:r>
        <w:t>alors</w:t>
      </w:r>
      <w:r w:rsidRPr="002C4077">
        <w:t xml:space="preserve"> </w:t>
      </w:r>
      <w:r>
        <w:t>un</w:t>
      </w:r>
      <w:r w:rsidRPr="002C4077">
        <w:t xml:space="preserve"> </w:t>
      </w:r>
      <w:r>
        <w:t>genre</w:t>
      </w:r>
      <w:r w:rsidRPr="002C4077">
        <w:t xml:space="preserve"> </w:t>
      </w:r>
      <w:r>
        <w:t>particulier</w:t>
      </w:r>
      <w:r w:rsidRPr="002C4077">
        <w:t xml:space="preserve"> </w:t>
      </w:r>
      <w:r>
        <w:t>d’axiomes</w:t>
      </w:r>
      <w:r w:rsidRPr="002C4077">
        <w:t xml:space="preserve"> </w:t>
      </w:r>
      <w:r>
        <w:t>moraux,</w:t>
      </w:r>
      <w:r w:rsidRPr="002C4077">
        <w:t xml:space="preserve"> </w:t>
      </w:r>
      <w:r>
        <w:t>que</w:t>
      </w:r>
      <w:r w:rsidRPr="002C4077">
        <w:t xml:space="preserve"> </w:t>
      </w:r>
      <w:r>
        <w:t>l’on</w:t>
      </w:r>
      <w:r w:rsidRPr="002C4077">
        <w:t xml:space="preserve"> </w:t>
      </w:r>
      <w:r>
        <w:t>désignait</w:t>
      </w:r>
      <w:r w:rsidRPr="002C4077">
        <w:t xml:space="preserve"> </w:t>
      </w:r>
      <w:r>
        <w:t>sous</w:t>
      </w:r>
      <w:r w:rsidRPr="002C4077">
        <w:t xml:space="preserve"> </w:t>
      </w:r>
      <w:r>
        <w:t>le</w:t>
      </w:r>
      <w:r w:rsidRPr="002C4077">
        <w:t xml:space="preserve"> </w:t>
      </w:r>
      <w:r>
        <w:t>nom</w:t>
      </w:r>
      <w:r w:rsidRPr="002C4077">
        <w:t xml:space="preserve"> </w:t>
      </w:r>
      <w:r>
        <w:t>de</w:t>
      </w:r>
      <w:r w:rsidRPr="002C4077">
        <w:t xml:space="preserve"> </w:t>
      </w:r>
      <w:r w:rsidRPr="000A34B5">
        <w:rPr>
          <w:rStyle w:val="italicus"/>
        </w:rPr>
        <w:t>maximes</w:t>
      </w:r>
      <w:r w:rsidRPr="002C4077">
        <w:t xml:space="preserve"> </w:t>
      </w:r>
      <w:r w:rsidRPr="000A34B5">
        <w:rPr>
          <w:rStyle w:val="italicus"/>
        </w:rPr>
        <w:t>des</w:t>
      </w:r>
      <w:r w:rsidRPr="002C4077">
        <w:t xml:space="preserve"> </w:t>
      </w:r>
      <w:r w:rsidRPr="000A34B5">
        <w:rPr>
          <w:rStyle w:val="italicus"/>
        </w:rPr>
        <w:t>foulo</w:t>
      </w:r>
      <w:r w:rsidR="006F72A8">
        <w:rPr>
          <w:rStyle w:val="italicus"/>
        </w:rPr>
        <w:t>n</w:t>
      </w:r>
      <w:r w:rsidR="004377BC">
        <w:rPr>
          <w:rStyle w:val="italicus"/>
        </w:rPr>
        <w:t>s</w:t>
      </w:r>
      <w:r w:rsidR="004377BC">
        <w:rPr>
          <w:rStyle w:val="Appelnotedebasdep"/>
          <w:i/>
        </w:rPr>
        <w:footnoteReference w:id="788"/>
      </w:r>
      <w:r w:rsidRPr="000A34B5">
        <w:rPr>
          <w:rStyle w:val="italicus"/>
        </w:rPr>
        <w:t>.</w:t>
      </w:r>
      <w:r w:rsidRPr="002C4077">
        <w:t xml:space="preserve"> </w:t>
      </w:r>
      <w:r>
        <w:t>Ces</w:t>
      </w:r>
      <w:r w:rsidRPr="002C4077">
        <w:t xml:space="preserve"> </w:t>
      </w:r>
      <w:r>
        <w:t>artisans,</w:t>
      </w:r>
      <w:r w:rsidRPr="002C4077">
        <w:t xml:space="preserve"> </w:t>
      </w:r>
      <w:r>
        <w:t>qui</w:t>
      </w:r>
      <w:r w:rsidRPr="002C4077">
        <w:t xml:space="preserve"> </w:t>
      </w:r>
      <w:r>
        <w:t>possédaient,</w:t>
      </w:r>
      <w:r w:rsidRPr="002C4077">
        <w:t xml:space="preserve"> </w:t>
      </w:r>
      <w:r>
        <w:t>pour</w:t>
      </w:r>
      <w:r w:rsidRPr="002C4077">
        <w:t xml:space="preserve"> </w:t>
      </w:r>
      <w:r>
        <w:t>le</w:t>
      </w:r>
      <w:r w:rsidRPr="002C4077">
        <w:t xml:space="preserve"> </w:t>
      </w:r>
      <w:r>
        <w:t>nettoyage</w:t>
      </w:r>
      <w:r w:rsidRPr="002C4077">
        <w:t xml:space="preserve"> </w:t>
      </w:r>
      <w:r>
        <w:t>des</w:t>
      </w:r>
      <w:r w:rsidRPr="002C4077">
        <w:t xml:space="preserve"> </w:t>
      </w:r>
      <w:r>
        <w:t>étoffes</w:t>
      </w:r>
      <w:r w:rsidRPr="002C4077">
        <w:t xml:space="preserve"> </w:t>
      </w:r>
      <w:r>
        <w:t>de</w:t>
      </w:r>
      <w:r w:rsidRPr="002C4077">
        <w:t xml:space="preserve"> </w:t>
      </w:r>
      <w:r>
        <w:t>laine,</w:t>
      </w:r>
      <w:r w:rsidRPr="002C4077">
        <w:t xml:space="preserve"> </w:t>
      </w:r>
      <w:r>
        <w:t>un</w:t>
      </w:r>
      <w:r w:rsidRPr="002C4077">
        <w:t xml:space="preserve"> </w:t>
      </w:r>
      <w:r>
        <w:t>lavoir</w:t>
      </w:r>
      <w:r w:rsidRPr="002C4077">
        <w:t xml:space="preserve"> </w:t>
      </w:r>
      <w:r>
        <w:t>spécial</w:t>
      </w:r>
      <w:r w:rsidRPr="002C4077">
        <w:t xml:space="preserve"> </w:t>
      </w:r>
      <w:r>
        <w:t>sur</w:t>
      </w:r>
      <w:r w:rsidRPr="002C4077">
        <w:t xml:space="preserve"> </w:t>
      </w:r>
      <w:r>
        <w:t>la</w:t>
      </w:r>
      <w:r w:rsidRPr="002C4077">
        <w:t xml:space="preserve"> </w:t>
      </w:r>
      <w:r>
        <w:t>route</w:t>
      </w:r>
      <w:r w:rsidRPr="002C4077">
        <w:t xml:space="preserve"> </w:t>
      </w:r>
      <w:r>
        <w:t>de</w:t>
      </w:r>
      <w:r w:rsidRPr="002C4077">
        <w:t xml:space="preserve"> </w:t>
      </w:r>
      <w:r>
        <w:t>Jérusalem</w:t>
      </w:r>
      <w:r w:rsidRPr="002C4077">
        <w:t xml:space="preserve"> </w:t>
      </w:r>
      <w:r>
        <w:t>à</w:t>
      </w:r>
      <w:r w:rsidRPr="002C4077">
        <w:t xml:space="preserve"> </w:t>
      </w:r>
      <w:r>
        <w:t>Joppé</w:t>
      </w:r>
      <w:r w:rsidR="00B91AF7">
        <w:rPr>
          <w:rStyle w:val="Appelnotedebasdep"/>
        </w:rPr>
        <w:footnoteReference w:id="789"/>
      </w:r>
      <w:r>
        <w:t>,</w:t>
      </w:r>
      <w:r w:rsidRPr="002C4077">
        <w:t xml:space="preserve"> </w:t>
      </w:r>
      <w:r>
        <w:t>formaient</w:t>
      </w:r>
      <w:r w:rsidRPr="002C4077">
        <w:t xml:space="preserve"> </w:t>
      </w:r>
      <w:r>
        <w:t>donc</w:t>
      </w:r>
      <w:r w:rsidRPr="002C4077">
        <w:t xml:space="preserve"> </w:t>
      </w:r>
      <w:r>
        <w:t>une</w:t>
      </w:r>
      <w:r w:rsidRPr="002C4077">
        <w:t xml:space="preserve"> </w:t>
      </w:r>
      <w:r>
        <w:t>association,</w:t>
      </w:r>
      <w:r w:rsidRPr="002C4077">
        <w:t xml:space="preserve"> </w:t>
      </w:r>
      <w:r>
        <w:t>et</w:t>
      </w:r>
      <w:r w:rsidRPr="002C4077">
        <w:t xml:space="preserve"> </w:t>
      </w:r>
      <w:r>
        <w:t>ils</w:t>
      </w:r>
      <w:r w:rsidRPr="002C4077">
        <w:t xml:space="preserve"> </w:t>
      </w:r>
      <w:r>
        <w:t>avaient,</w:t>
      </w:r>
      <w:r w:rsidRPr="002C4077">
        <w:t xml:space="preserve"> </w:t>
      </w:r>
      <w:r>
        <w:t>comme</w:t>
      </w:r>
      <w:r w:rsidRPr="002C4077">
        <w:t xml:space="preserve"> </w:t>
      </w:r>
      <w:r>
        <w:t>les</w:t>
      </w:r>
      <w:r w:rsidRPr="002C4077">
        <w:t xml:space="preserve"> </w:t>
      </w:r>
      <w:r w:rsidRPr="000A34B5">
        <w:rPr>
          <w:rStyle w:val="italicus"/>
        </w:rPr>
        <w:t>compagnons</w:t>
      </w:r>
      <w:r w:rsidRPr="002C4077">
        <w:t xml:space="preserve"> </w:t>
      </w:r>
      <w:r>
        <w:t>modernes,</w:t>
      </w:r>
      <w:r w:rsidRPr="002C4077">
        <w:t xml:space="preserve"> </w:t>
      </w:r>
      <w:r>
        <w:t>un</w:t>
      </w:r>
      <w:r w:rsidRPr="002C4077">
        <w:t xml:space="preserve"> </w:t>
      </w:r>
      <w:r>
        <w:t>cercle</w:t>
      </w:r>
      <w:r w:rsidRPr="002C4077">
        <w:t xml:space="preserve"> </w:t>
      </w:r>
      <w:r>
        <w:t>de</w:t>
      </w:r>
      <w:r w:rsidRPr="002C4077">
        <w:t xml:space="preserve"> </w:t>
      </w:r>
      <w:r>
        <w:t>pensées</w:t>
      </w:r>
      <w:r w:rsidRPr="002C4077">
        <w:t xml:space="preserve"> </w:t>
      </w:r>
      <w:r>
        <w:t>que</w:t>
      </w:r>
      <w:r w:rsidRPr="002C4077">
        <w:t xml:space="preserve"> </w:t>
      </w:r>
      <w:r>
        <w:t>les</w:t>
      </w:r>
      <w:r w:rsidRPr="002C4077">
        <w:t xml:space="preserve"> </w:t>
      </w:r>
      <w:r>
        <w:t>initiés</w:t>
      </w:r>
      <w:r w:rsidRPr="002C4077">
        <w:t xml:space="preserve"> </w:t>
      </w:r>
      <w:r>
        <w:t>seuls</w:t>
      </w:r>
      <w:r w:rsidRPr="002C4077">
        <w:t xml:space="preserve"> </w:t>
      </w:r>
      <w:r>
        <w:t>pouvaient</w:t>
      </w:r>
      <w:r w:rsidRPr="002C4077">
        <w:t xml:space="preserve"> </w:t>
      </w:r>
      <w:r>
        <w:t>comprendre.</w:t>
      </w:r>
      <w:r w:rsidRPr="002C4077">
        <w:t xml:space="preserve"> </w:t>
      </w:r>
      <w:r>
        <w:t>Il</w:t>
      </w:r>
      <w:r w:rsidRPr="002C4077">
        <w:t xml:space="preserve"> </w:t>
      </w:r>
      <w:r>
        <w:t>y</w:t>
      </w:r>
      <w:r w:rsidRPr="002C4077">
        <w:t xml:space="preserve"> </w:t>
      </w:r>
      <w:r>
        <w:t>avait</w:t>
      </w:r>
      <w:r w:rsidRPr="002C4077">
        <w:t xml:space="preserve"> </w:t>
      </w:r>
      <w:r>
        <w:t>aussi</w:t>
      </w:r>
      <w:r w:rsidRPr="002C4077">
        <w:t xml:space="preserve"> </w:t>
      </w:r>
      <w:r>
        <w:t>des</w:t>
      </w:r>
      <w:r w:rsidRPr="002C4077">
        <w:t xml:space="preserve"> </w:t>
      </w:r>
      <w:r>
        <w:t>sociétés</w:t>
      </w:r>
      <w:r w:rsidRPr="002C4077">
        <w:t xml:space="preserve"> </w:t>
      </w:r>
      <w:r>
        <w:t>d’armateurs</w:t>
      </w:r>
      <w:r w:rsidRPr="002C4077">
        <w:t xml:space="preserve"> </w:t>
      </w:r>
      <w:r>
        <w:t>et</w:t>
      </w:r>
      <w:r w:rsidRPr="002C4077">
        <w:t xml:space="preserve"> </w:t>
      </w:r>
      <w:r>
        <w:t>de</w:t>
      </w:r>
      <w:r w:rsidRPr="002C4077">
        <w:t xml:space="preserve"> </w:t>
      </w:r>
      <w:r>
        <w:t>muletiers,</w:t>
      </w:r>
      <w:r w:rsidRPr="002C4077">
        <w:t xml:space="preserve"> </w:t>
      </w:r>
      <w:r>
        <w:t>dont</w:t>
      </w:r>
      <w:r w:rsidRPr="002C4077">
        <w:t xml:space="preserve"> </w:t>
      </w:r>
      <w:r>
        <w:t>les</w:t>
      </w:r>
      <w:r w:rsidRPr="002C4077">
        <w:t xml:space="preserve"> </w:t>
      </w:r>
      <w:r>
        <w:t>membres</w:t>
      </w:r>
      <w:r w:rsidRPr="002C4077">
        <w:t xml:space="preserve"> </w:t>
      </w:r>
      <w:r>
        <w:t>s’engageaient</w:t>
      </w:r>
      <w:r w:rsidRPr="002C4077">
        <w:t xml:space="preserve"> </w:t>
      </w:r>
      <w:r>
        <w:t>à</w:t>
      </w:r>
      <w:r w:rsidRPr="002C4077">
        <w:t xml:space="preserve"> </w:t>
      </w:r>
      <w:r>
        <w:t>s’aider</w:t>
      </w:r>
      <w:r w:rsidRPr="002C4077">
        <w:t xml:space="preserve"> </w:t>
      </w:r>
      <w:r>
        <w:t>mutuellement,</w:t>
      </w:r>
      <w:r w:rsidRPr="002C4077">
        <w:t xml:space="preserve"> </w:t>
      </w:r>
      <w:r>
        <w:t>et</w:t>
      </w:r>
      <w:r w:rsidRPr="002C4077">
        <w:t xml:space="preserve"> </w:t>
      </w:r>
      <w:r>
        <w:t>à</w:t>
      </w:r>
      <w:r w:rsidRPr="002C4077">
        <w:t xml:space="preserve"> </w:t>
      </w:r>
      <w:r>
        <w:t>remplacer</w:t>
      </w:r>
      <w:r w:rsidRPr="002C4077">
        <w:t xml:space="preserve"> </w:t>
      </w:r>
      <w:r>
        <w:lastRenderedPageBreak/>
        <w:t>à</w:t>
      </w:r>
      <w:r w:rsidRPr="002C4077">
        <w:t xml:space="preserve"> </w:t>
      </w:r>
      <w:r>
        <w:t>frais</w:t>
      </w:r>
      <w:r w:rsidRPr="002C4077">
        <w:t xml:space="preserve"> </w:t>
      </w:r>
      <w:r>
        <w:t>communs</w:t>
      </w:r>
      <w:r w:rsidRPr="002C4077">
        <w:t xml:space="preserve"> </w:t>
      </w:r>
      <w:r>
        <w:t>le</w:t>
      </w:r>
      <w:r w:rsidRPr="002C4077">
        <w:t xml:space="preserve"> </w:t>
      </w:r>
      <w:r>
        <w:t>navire</w:t>
      </w:r>
      <w:r w:rsidRPr="002C4077">
        <w:t xml:space="preserve"> </w:t>
      </w:r>
      <w:r>
        <w:t>ou</w:t>
      </w:r>
      <w:r w:rsidRPr="002C4077">
        <w:t xml:space="preserve"> </w:t>
      </w:r>
      <w:r>
        <w:t>l’âne</w:t>
      </w:r>
      <w:r w:rsidRPr="002C4077">
        <w:t xml:space="preserve"> </w:t>
      </w:r>
      <w:r>
        <w:t>de</w:t>
      </w:r>
      <w:r w:rsidRPr="002C4077">
        <w:t xml:space="preserve"> </w:t>
      </w:r>
      <w:r w:rsidR="003B53FD">
        <w:t>celui</w:t>
      </w:r>
      <w:r w:rsidRPr="002C4077">
        <w:t xml:space="preserve"> </w:t>
      </w:r>
      <w:r>
        <w:t>d’entre</w:t>
      </w:r>
      <w:r w:rsidRPr="002C4077">
        <w:t xml:space="preserve"> </w:t>
      </w:r>
      <w:r>
        <w:t>eux</w:t>
      </w:r>
      <w:r w:rsidRPr="002C4077">
        <w:t xml:space="preserve"> </w:t>
      </w:r>
      <w:r>
        <w:t>qui</w:t>
      </w:r>
      <w:r w:rsidRPr="002C4077">
        <w:t xml:space="preserve"> </w:t>
      </w:r>
      <w:r>
        <w:t>avait</w:t>
      </w:r>
      <w:r w:rsidRPr="002C4077">
        <w:t xml:space="preserve"> </w:t>
      </w:r>
      <w:r>
        <w:t>perdu</w:t>
      </w:r>
      <w:r w:rsidRPr="002C4077">
        <w:t xml:space="preserve"> </w:t>
      </w:r>
      <w:r>
        <w:t>ces</w:t>
      </w:r>
      <w:r w:rsidRPr="002C4077">
        <w:t xml:space="preserve"> </w:t>
      </w:r>
      <w:r>
        <w:t>moyens</w:t>
      </w:r>
      <w:r w:rsidRPr="002C4077">
        <w:t xml:space="preserve"> </w:t>
      </w:r>
      <w:r>
        <w:t>de</w:t>
      </w:r>
      <w:r w:rsidRPr="002C4077">
        <w:t xml:space="preserve"> </w:t>
      </w:r>
      <w:r>
        <w:t>subsistance</w:t>
      </w:r>
      <w:r w:rsidRPr="002C4077">
        <w:t xml:space="preserve"> </w:t>
      </w:r>
      <w:r>
        <w:t>sans</w:t>
      </w:r>
      <w:r w:rsidRPr="002C4077">
        <w:t xml:space="preserve"> </w:t>
      </w:r>
      <w:r>
        <w:t>qu’il</w:t>
      </w:r>
      <w:r w:rsidRPr="002C4077">
        <w:t xml:space="preserve"> </w:t>
      </w:r>
      <w:r>
        <w:t>y</w:t>
      </w:r>
      <w:r w:rsidRPr="002C4077">
        <w:t xml:space="preserve"> </w:t>
      </w:r>
      <w:r>
        <w:t>eût</w:t>
      </w:r>
      <w:r w:rsidRPr="002C4077">
        <w:t xml:space="preserve"> </w:t>
      </w:r>
      <w:r>
        <w:t>de</w:t>
      </w:r>
      <w:r w:rsidRPr="002C4077">
        <w:t xml:space="preserve"> </w:t>
      </w:r>
      <w:r>
        <w:t>sa</w:t>
      </w:r>
      <w:r w:rsidRPr="002C4077">
        <w:t xml:space="preserve"> </w:t>
      </w:r>
      <w:r>
        <w:t>faute</w:t>
      </w:r>
      <w:r w:rsidR="00B91AF7">
        <w:rPr>
          <w:rStyle w:val="Appelnotedebasdep"/>
        </w:rPr>
        <w:footnoteReference w:id="790"/>
      </w:r>
      <w:r>
        <w:t>.</w:t>
      </w:r>
      <w:r w:rsidR="00C45B47">
        <w:t xml:space="preserve"> {</w:t>
      </w:r>
      <w:r w:rsidR="001F5257">
        <w:t>252</w:t>
      </w:r>
      <w:bookmarkStart w:id="611" w:name="p252"/>
      <w:bookmarkEnd w:id="611"/>
      <w:r w:rsidR="001F5257">
        <w:t xml:space="preserve">} </w:t>
      </w:r>
      <w:r>
        <w:t>Les</w:t>
      </w:r>
      <w:r w:rsidRPr="002C4077">
        <w:t xml:space="preserve"> </w:t>
      </w:r>
      <w:r>
        <w:t>chaudronniers</w:t>
      </w:r>
      <w:r w:rsidRPr="002C4077">
        <w:t xml:space="preserve"> </w:t>
      </w:r>
      <w:r>
        <w:t>avaient</w:t>
      </w:r>
      <w:r w:rsidRPr="002C4077">
        <w:t xml:space="preserve"> </w:t>
      </w:r>
      <w:r>
        <w:t>à</w:t>
      </w:r>
      <w:r w:rsidRPr="002C4077">
        <w:t xml:space="preserve"> </w:t>
      </w:r>
      <w:r>
        <w:t>Jérusalem</w:t>
      </w:r>
      <w:r w:rsidRPr="002C4077">
        <w:t xml:space="preserve"> </w:t>
      </w:r>
      <w:r>
        <w:t>leur</w:t>
      </w:r>
      <w:r w:rsidRPr="002C4077">
        <w:t xml:space="preserve"> </w:t>
      </w:r>
      <w:r>
        <w:t>synagogue</w:t>
      </w:r>
      <w:r w:rsidRPr="002C4077">
        <w:t xml:space="preserve"> </w:t>
      </w:r>
      <w:r>
        <w:t>et</w:t>
      </w:r>
      <w:r w:rsidRPr="002C4077">
        <w:t xml:space="preserve"> </w:t>
      </w:r>
      <w:r>
        <w:t>leur</w:t>
      </w:r>
      <w:r w:rsidRPr="002C4077">
        <w:t xml:space="preserve"> </w:t>
      </w:r>
      <w:r>
        <w:t>cimetière</w:t>
      </w:r>
      <w:r w:rsidRPr="002C4077">
        <w:t xml:space="preserve"> </w:t>
      </w:r>
      <w:r>
        <w:t>particuliers</w:t>
      </w:r>
      <w:r w:rsidR="00B91AF7">
        <w:rPr>
          <w:rStyle w:val="Appelnotedebasdep"/>
        </w:rPr>
        <w:footnoteReference w:id="791"/>
      </w:r>
      <w:r>
        <w:t>.</w:t>
      </w:r>
      <w:r w:rsidRPr="002C4077">
        <w:t xml:space="preserve"> </w:t>
      </w:r>
    </w:p>
    <w:p w:rsidR="000A7AAB" w:rsidRDefault="000A7AAB" w:rsidP="000A7AAB">
      <w:r>
        <w:t>Mais</w:t>
      </w:r>
      <w:r w:rsidRPr="002C4077">
        <w:t xml:space="preserve"> </w:t>
      </w:r>
      <w:r>
        <w:t>cet</w:t>
      </w:r>
      <w:r w:rsidRPr="002C4077">
        <w:t xml:space="preserve"> </w:t>
      </w:r>
      <w:r>
        <w:t>esprit</w:t>
      </w:r>
      <w:r w:rsidRPr="002C4077">
        <w:t xml:space="preserve"> </w:t>
      </w:r>
      <w:r>
        <w:t>d’association</w:t>
      </w:r>
      <w:r w:rsidRPr="002C4077">
        <w:t xml:space="preserve"> </w:t>
      </w:r>
      <w:r>
        <w:t>régnait</w:t>
      </w:r>
      <w:r w:rsidRPr="002C4077">
        <w:t xml:space="preserve"> </w:t>
      </w:r>
      <w:r>
        <w:t>encore</w:t>
      </w:r>
      <w:r w:rsidRPr="002C4077">
        <w:t xml:space="preserve"> </w:t>
      </w:r>
      <w:r>
        <w:t>à</w:t>
      </w:r>
      <w:r w:rsidRPr="002C4077">
        <w:t xml:space="preserve"> </w:t>
      </w:r>
      <w:r>
        <w:t>un</w:t>
      </w:r>
      <w:r w:rsidRPr="002C4077">
        <w:t xml:space="preserve"> </w:t>
      </w:r>
      <w:r>
        <w:t>plus</w:t>
      </w:r>
      <w:r w:rsidRPr="002C4077">
        <w:t xml:space="preserve"> </w:t>
      </w:r>
      <w:r>
        <w:t>haut</w:t>
      </w:r>
      <w:r w:rsidRPr="002C4077">
        <w:t xml:space="preserve"> </w:t>
      </w:r>
      <w:r>
        <w:t>degré</w:t>
      </w:r>
      <w:r w:rsidRPr="002C4077">
        <w:t xml:space="preserve"> </w:t>
      </w:r>
      <w:r>
        <w:t>chez</w:t>
      </w:r>
      <w:r w:rsidRPr="002C4077">
        <w:t xml:space="preserve"> </w:t>
      </w:r>
      <w:r>
        <w:t>les</w:t>
      </w:r>
      <w:r w:rsidRPr="002C4077">
        <w:t xml:space="preserve"> </w:t>
      </w:r>
      <w:r>
        <w:t>Juifs</w:t>
      </w:r>
      <w:r w:rsidRPr="002C4077">
        <w:t xml:space="preserve"> </w:t>
      </w:r>
      <w:r>
        <w:t>établis</w:t>
      </w:r>
      <w:r w:rsidRPr="002C4077">
        <w:t xml:space="preserve"> </w:t>
      </w:r>
      <w:r>
        <w:t>en</w:t>
      </w:r>
      <w:r w:rsidRPr="002C4077">
        <w:t xml:space="preserve"> </w:t>
      </w:r>
      <w:r>
        <w:t>Égypte.</w:t>
      </w:r>
      <w:r w:rsidRPr="002C4077">
        <w:t xml:space="preserve"> </w:t>
      </w:r>
      <w:r>
        <w:t>Les</w:t>
      </w:r>
      <w:r w:rsidRPr="002C4077">
        <w:t xml:space="preserve"> </w:t>
      </w:r>
      <w:r>
        <w:t>ouvriers</w:t>
      </w:r>
      <w:r w:rsidRPr="002C4077">
        <w:t xml:space="preserve"> </w:t>
      </w:r>
      <w:r>
        <w:t>s’étaient</w:t>
      </w:r>
      <w:r w:rsidRPr="002C4077">
        <w:t xml:space="preserve"> </w:t>
      </w:r>
      <w:r>
        <w:t>fait</w:t>
      </w:r>
      <w:r w:rsidRPr="002C4077">
        <w:t xml:space="preserve"> </w:t>
      </w:r>
      <w:r>
        <w:t>construire</w:t>
      </w:r>
      <w:r w:rsidRPr="002C4077">
        <w:t xml:space="preserve"> </w:t>
      </w:r>
      <w:r>
        <w:t>à</w:t>
      </w:r>
      <w:r w:rsidRPr="002C4077">
        <w:t xml:space="preserve"> </w:t>
      </w:r>
      <w:r>
        <w:t>Alexandrie</w:t>
      </w:r>
      <w:r w:rsidRPr="002C4077">
        <w:t xml:space="preserve"> </w:t>
      </w:r>
      <w:r>
        <w:t>une</w:t>
      </w:r>
      <w:r w:rsidRPr="002C4077">
        <w:t xml:space="preserve"> </w:t>
      </w:r>
      <w:r>
        <w:t>synagogue</w:t>
      </w:r>
      <w:r w:rsidRPr="002C4077">
        <w:t xml:space="preserve"> </w:t>
      </w:r>
      <w:r>
        <w:t>splendide,</w:t>
      </w:r>
      <w:r w:rsidRPr="002C4077">
        <w:t xml:space="preserve"> </w:t>
      </w:r>
      <w:r>
        <w:t>et</w:t>
      </w:r>
      <w:r w:rsidRPr="002C4077">
        <w:t xml:space="preserve"> </w:t>
      </w:r>
      <w:r>
        <w:t>si</w:t>
      </w:r>
      <w:r w:rsidRPr="002C4077">
        <w:t xml:space="preserve"> </w:t>
      </w:r>
      <w:r>
        <w:t>vaste,</w:t>
      </w:r>
      <w:r w:rsidRPr="002C4077">
        <w:t xml:space="preserve"> </w:t>
      </w:r>
      <w:r>
        <w:t>qu’au</w:t>
      </w:r>
      <w:r w:rsidRPr="002C4077">
        <w:t xml:space="preserve"> </w:t>
      </w:r>
      <w:r>
        <w:t>moment</w:t>
      </w:r>
      <w:r w:rsidRPr="002C4077">
        <w:t xml:space="preserve"> </w:t>
      </w:r>
      <w:r>
        <w:t>où</w:t>
      </w:r>
      <w:r w:rsidRPr="002C4077">
        <w:t xml:space="preserve"> </w:t>
      </w:r>
      <w:r>
        <w:t>l’assemblée</w:t>
      </w:r>
      <w:r w:rsidRPr="002C4077">
        <w:t xml:space="preserve"> </w:t>
      </w:r>
      <w:r>
        <w:t>devait</w:t>
      </w:r>
      <w:r w:rsidRPr="002C4077">
        <w:t xml:space="preserve"> </w:t>
      </w:r>
      <w:r>
        <w:t>répondre</w:t>
      </w:r>
      <w:r w:rsidRPr="002C4077">
        <w:t xml:space="preserve"> </w:t>
      </w:r>
      <w:r w:rsidRPr="000A34B5">
        <w:rPr>
          <w:rStyle w:val="italicus"/>
        </w:rPr>
        <w:t>Amen,</w:t>
      </w:r>
      <w:r w:rsidRPr="002C4077">
        <w:t xml:space="preserve"> </w:t>
      </w:r>
      <w:r>
        <w:t>le</w:t>
      </w:r>
      <w:r w:rsidRPr="002C4077">
        <w:t xml:space="preserve"> </w:t>
      </w:r>
      <w:r>
        <w:t>bedeau</w:t>
      </w:r>
      <w:r w:rsidRPr="004440EA">
        <w:t xml:space="preserve"> (</w:t>
      </w:r>
      <w:r w:rsidRPr="000A34B5">
        <w:rPr>
          <w:rStyle w:val="italicus"/>
        </w:rPr>
        <w:t>chazan</w:t>
      </w:r>
      <w:r w:rsidR="00B546AF" w:rsidRPr="002C4077">
        <w:t>)</w:t>
      </w:r>
      <w:r w:rsidRPr="002C4077">
        <w:t xml:space="preserve"> </w:t>
      </w:r>
      <w:r>
        <w:t>devait</w:t>
      </w:r>
      <w:r w:rsidRPr="002C4077">
        <w:t xml:space="preserve"> </w:t>
      </w:r>
      <w:r>
        <w:t>agiter</w:t>
      </w:r>
      <w:r w:rsidRPr="002C4077">
        <w:t xml:space="preserve"> </w:t>
      </w:r>
      <w:r>
        <w:t>un</w:t>
      </w:r>
      <w:r w:rsidRPr="002C4077">
        <w:t xml:space="preserve"> </w:t>
      </w:r>
      <w:r>
        <w:t>voile</w:t>
      </w:r>
      <w:r w:rsidRPr="002C4077">
        <w:t xml:space="preserve"> </w:t>
      </w:r>
      <w:r>
        <w:t>pour</w:t>
      </w:r>
      <w:r w:rsidRPr="002C4077">
        <w:t xml:space="preserve"> </w:t>
      </w:r>
      <w:r>
        <w:t>avertir</w:t>
      </w:r>
      <w:r w:rsidRPr="002C4077">
        <w:t xml:space="preserve"> </w:t>
      </w:r>
      <w:r>
        <w:t>les</w:t>
      </w:r>
      <w:r w:rsidRPr="002C4077">
        <w:t xml:space="preserve"> </w:t>
      </w:r>
      <w:r>
        <w:t>assistants.</w:t>
      </w:r>
      <w:r w:rsidRPr="002C4077">
        <w:t xml:space="preserve"> </w:t>
      </w:r>
      <w:r>
        <w:t>Dans</w:t>
      </w:r>
      <w:r w:rsidRPr="002C4077">
        <w:t xml:space="preserve"> </w:t>
      </w:r>
      <w:r>
        <w:t>ce</w:t>
      </w:r>
      <w:r w:rsidRPr="002C4077">
        <w:t xml:space="preserve"> </w:t>
      </w:r>
      <w:r>
        <w:t>lieu</w:t>
      </w:r>
      <w:r w:rsidRPr="002C4077">
        <w:t xml:space="preserve"> </w:t>
      </w:r>
      <w:r>
        <w:t>de</w:t>
      </w:r>
      <w:r w:rsidRPr="002C4077">
        <w:t xml:space="preserve"> </w:t>
      </w:r>
      <w:r>
        <w:t>prières,</w:t>
      </w:r>
      <w:r w:rsidRPr="002C4077">
        <w:t xml:space="preserve"> </w:t>
      </w:r>
      <w:r>
        <w:t>les</w:t>
      </w:r>
      <w:r w:rsidRPr="002C4077">
        <w:t xml:space="preserve"> </w:t>
      </w:r>
      <w:r>
        <w:t>hommes</w:t>
      </w:r>
      <w:r w:rsidRPr="002C4077">
        <w:t xml:space="preserve"> </w:t>
      </w:r>
      <w:r>
        <w:t>étaient</w:t>
      </w:r>
      <w:r w:rsidRPr="002C4077">
        <w:t xml:space="preserve"> </w:t>
      </w:r>
      <w:r>
        <w:t>placés</w:t>
      </w:r>
      <w:r w:rsidRPr="002C4077">
        <w:t xml:space="preserve"> </w:t>
      </w:r>
      <w:r>
        <w:t>suivant</w:t>
      </w:r>
      <w:r w:rsidRPr="002C4077">
        <w:t xml:space="preserve"> </w:t>
      </w:r>
      <w:r>
        <w:t>leur</w:t>
      </w:r>
      <w:r w:rsidRPr="002C4077">
        <w:t xml:space="preserve"> </w:t>
      </w:r>
      <w:r>
        <w:t>profession</w:t>
      </w:r>
      <w:r w:rsidR="00B546AF">
        <w:t> ;</w:t>
      </w:r>
      <w:r w:rsidRPr="002C4077">
        <w:t xml:space="preserve"> </w:t>
      </w:r>
      <w:r>
        <w:t>il</w:t>
      </w:r>
      <w:r w:rsidRPr="002C4077">
        <w:t xml:space="preserve"> </w:t>
      </w:r>
      <w:r>
        <w:t>y</w:t>
      </w:r>
      <w:r w:rsidRPr="002C4077">
        <w:t xml:space="preserve"> </w:t>
      </w:r>
      <w:r>
        <w:t>avait</w:t>
      </w:r>
      <w:r w:rsidRPr="002C4077">
        <w:t xml:space="preserve"> </w:t>
      </w:r>
      <w:r>
        <w:t>des</w:t>
      </w:r>
      <w:r w:rsidRPr="002C4077">
        <w:t xml:space="preserve"> </w:t>
      </w:r>
      <w:r>
        <w:t>bancs</w:t>
      </w:r>
      <w:r w:rsidRPr="002C4077">
        <w:t xml:space="preserve"> </w:t>
      </w:r>
      <w:r>
        <w:t>spéciaux</w:t>
      </w:r>
      <w:r w:rsidRPr="002C4077">
        <w:t xml:space="preserve"> </w:t>
      </w:r>
      <w:r>
        <w:t>pour</w:t>
      </w:r>
      <w:r w:rsidRPr="002C4077">
        <w:t xml:space="preserve"> </w:t>
      </w:r>
      <w:r>
        <w:t>les</w:t>
      </w:r>
      <w:r w:rsidRPr="002C4077">
        <w:t xml:space="preserve"> </w:t>
      </w:r>
      <w:r>
        <w:t>orfèvres,</w:t>
      </w:r>
      <w:r w:rsidRPr="002C4077">
        <w:t xml:space="preserve"> </w:t>
      </w:r>
      <w:r>
        <w:t>les</w:t>
      </w:r>
      <w:r w:rsidRPr="002C4077">
        <w:t xml:space="preserve"> </w:t>
      </w:r>
      <w:r>
        <w:t>fabricants</w:t>
      </w:r>
      <w:r w:rsidRPr="002C4077">
        <w:t xml:space="preserve"> </w:t>
      </w:r>
      <w:r>
        <w:t>d’aiguilles</w:t>
      </w:r>
      <w:r w:rsidRPr="002C4077">
        <w:t xml:space="preserve"> </w:t>
      </w:r>
      <w:r>
        <w:t>ou</w:t>
      </w:r>
      <w:r w:rsidRPr="002C4077">
        <w:t xml:space="preserve"> </w:t>
      </w:r>
      <w:r>
        <w:t>d’épingles,</w:t>
      </w:r>
      <w:r w:rsidRPr="002C4077">
        <w:t xml:space="preserve"> </w:t>
      </w:r>
      <w:r>
        <w:t>les</w:t>
      </w:r>
      <w:r w:rsidRPr="002C4077">
        <w:t xml:space="preserve"> </w:t>
      </w:r>
      <w:r>
        <w:t>chaudronniers,</w:t>
      </w:r>
      <w:r w:rsidRPr="002C4077">
        <w:t xml:space="preserve"> </w:t>
      </w:r>
      <w:r>
        <w:t>les</w:t>
      </w:r>
      <w:r w:rsidRPr="002C4077">
        <w:t xml:space="preserve"> </w:t>
      </w:r>
      <w:r>
        <w:t>tisserands,</w:t>
      </w:r>
      <w:r w:rsidRPr="002C4077">
        <w:t xml:space="preserve"> </w:t>
      </w:r>
      <w:r w:rsidR="00425C50">
        <w:t>etc</w:t>
      </w:r>
      <w:r>
        <w:t>.</w:t>
      </w:r>
      <w:r w:rsidRPr="002C4077">
        <w:t xml:space="preserve"> </w:t>
      </w:r>
      <w:r>
        <w:t>Quand</w:t>
      </w:r>
      <w:r w:rsidRPr="002C4077">
        <w:t xml:space="preserve"> </w:t>
      </w:r>
      <w:r>
        <w:t>un</w:t>
      </w:r>
      <w:r w:rsidRPr="002C4077">
        <w:t xml:space="preserve"> </w:t>
      </w:r>
      <w:r>
        <w:t>ouvrier</w:t>
      </w:r>
      <w:r w:rsidRPr="002C4077">
        <w:t xml:space="preserve"> </w:t>
      </w:r>
      <w:r>
        <w:t>se</w:t>
      </w:r>
      <w:r w:rsidRPr="002C4077">
        <w:t xml:space="preserve"> </w:t>
      </w:r>
      <w:r>
        <w:t>trouvait</w:t>
      </w:r>
      <w:r w:rsidRPr="002C4077">
        <w:t xml:space="preserve"> </w:t>
      </w:r>
      <w:r>
        <w:t>dans</w:t>
      </w:r>
      <w:r w:rsidRPr="002C4077">
        <w:t xml:space="preserve"> </w:t>
      </w:r>
      <w:r>
        <w:t>la</w:t>
      </w:r>
      <w:r w:rsidRPr="002C4077">
        <w:t xml:space="preserve"> </w:t>
      </w:r>
      <w:r>
        <w:t>gêne</w:t>
      </w:r>
      <w:r w:rsidRPr="002C4077">
        <w:t xml:space="preserve"> </w:t>
      </w:r>
      <w:r>
        <w:t>ou</w:t>
      </w:r>
      <w:r w:rsidRPr="002C4077">
        <w:t xml:space="preserve"> </w:t>
      </w:r>
      <w:r>
        <w:t>manquait</w:t>
      </w:r>
      <w:r w:rsidRPr="002C4077">
        <w:t xml:space="preserve"> </w:t>
      </w:r>
      <w:r>
        <w:t>de</w:t>
      </w:r>
      <w:r w:rsidRPr="002C4077">
        <w:t xml:space="preserve"> </w:t>
      </w:r>
      <w:r>
        <w:t>travail,</w:t>
      </w:r>
      <w:r w:rsidRPr="002C4077">
        <w:t xml:space="preserve"> </w:t>
      </w:r>
      <w:r>
        <w:t>il</w:t>
      </w:r>
      <w:r w:rsidRPr="002C4077">
        <w:t xml:space="preserve"> </w:t>
      </w:r>
      <w:r>
        <w:t>était</w:t>
      </w:r>
      <w:r w:rsidRPr="002C4077">
        <w:t xml:space="preserve"> </w:t>
      </w:r>
      <w:r>
        <w:t>soutenu</w:t>
      </w:r>
      <w:r w:rsidRPr="002C4077">
        <w:t xml:space="preserve"> </w:t>
      </w:r>
      <w:r>
        <w:t>par</w:t>
      </w:r>
      <w:r w:rsidRPr="002C4077">
        <w:t xml:space="preserve"> </w:t>
      </w:r>
      <w:r>
        <w:t>les</w:t>
      </w:r>
      <w:r w:rsidRPr="002C4077">
        <w:t xml:space="preserve"> </w:t>
      </w:r>
      <w:r>
        <w:t>membres</w:t>
      </w:r>
      <w:r w:rsidRPr="002C4077">
        <w:t xml:space="preserve"> </w:t>
      </w:r>
      <w:r>
        <w:t>de</w:t>
      </w:r>
      <w:r w:rsidRPr="002C4077">
        <w:t xml:space="preserve"> </w:t>
      </w:r>
      <w:r>
        <w:t>l’association</w:t>
      </w:r>
      <w:r w:rsidRPr="002C4077">
        <w:t xml:space="preserve"> </w:t>
      </w:r>
      <w:r>
        <w:t>tant</w:t>
      </w:r>
      <w:r w:rsidRPr="002C4077">
        <w:t xml:space="preserve"> </w:t>
      </w:r>
      <w:r>
        <w:t>que</w:t>
      </w:r>
      <w:r w:rsidRPr="002C4077">
        <w:t xml:space="preserve"> </w:t>
      </w:r>
      <w:r>
        <w:t>durait</w:t>
      </w:r>
      <w:r w:rsidRPr="002C4077">
        <w:t xml:space="preserve"> </w:t>
      </w:r>
      <w:r>
        <w:t>son</w:t>
      </w:r>
      <w:r w:rsidRPr="002C4077">
        <w:t xml:space="preserve"> </w:t>
      </w:r>
      <w:r>
        <w:t>embarra</w:t>
      </w:r>
      <w:r w:rsidR="004377BC">
        <w:t>s</w:t>
      </w:r>
      <w:r w:rsidR="004377BC">
        <w:rPr>
          <w:rStyle w:val="Appelnotedebasdep"/>
        </w:rPr>
        <w:footnoteReference w:id="792"/>
      </w:r>
      <w:r>
        <w:t>.</w:t>
      </w:r>
      <w:r w:rsidRPr="002C4077">
        <w:t xml:space="preserve"> </w:t>
      </w:r>
    </w:p>
    <w:p w:rsidR="00FD0BB0" w:rsidRDefault="00FD0BB0" w:rsidP="000A7AAB"/>
    <w:p w:rsidR="000A7AAB" w:rsidRDefault="000A7AAB" w:rsidP="000A7AAB">
      <w:r>
        <w:t>Une</w:t>
      </w:r>
      <w:bookmarkStart w:id="612" w:name="z_TravailManuel_o9"/>
      <w:bookmarkEnd w:id="612"/>
      <w:r w:rsidRPr="002C4077">
        <w:t xml:space="preserve"> </w:t>
      </w:r>
      <w:r>
        <w:t>des</w:t>
      </w:r>
      <w:r w:rsidRPr="002C4077">
        <w:t xml:space="preserve"> </w:t>
      </w:r>
      <w:r>
        <w:t>circonstances</w:t>
      </w:r>
      <w:r w:rsidRPr="002C4077">
        <w:t xml:space="preserve"> </w:t>
      </w:r>
      <w:r>
        <w:t>les</w:t>
      </w:r>
      <w:r w:rsidRPr="002C4077">
        <w:t xml:space="preserve"> </w:t>
      </w:r>
      <w:r>
        <w:t>plus</w:t>
      </w:r>
      <w:r w:rsidRPr="002C4077">
        <w:t xml:space="preserve"> </w:t>
      </w:r>
      <w:r>
        <w:t>intéressantes</w:t>
      </w:r>
      <w:r w:rsidRPr="002C4077">
        <w:t xml:space="preserve"> </w:t>
      </w:r>
      <w:r>
        <w:t>du</w:t>
      </w:r>
      <w:r w:rsidRPr="002C4077">
        <w:t xml:space="preserve"> </w:t>
      </w:r>
      <w:r>
        <w:t>travail</w:t>
      </w:r>
      <w:r w:rsidRPr="002C4077">
        <w:t xml:space="preserve"> </w:t>
      </w:r>
      <w:r>
        <w:t>manuel</w:t>
      </w:r>
      <w:r w:rsidRPr="002C4077">
        <w:t xml:space="preserve"> </w:t>
      </w:r>
      <w:r>
        <w:t>à</w:t>
      </w:r>
      <w:r w:rsidRPr="002C4077">
        <w:t xml:space="preserve"> </w:t>
      </w:r>
      <w:r>
        <w:t>cette</w:t>
      </w:r>
      <w:r w:rsidRPr="002C4077">
        <w:t xml:space="preserve"> </w:t>
      </w:r>
      <w:r>
        <w:t>époque,</w:t>
      </w:r>
      <w:r w:rsidRPr="002C4077">
        <w:t xml:space="preserve"> </w:t>
      </w:r>
      <w:r>
        <w:t>c’est</w:t>
      </w:r>
      <w:r w:rsidRPr="002C4077">
        <w:t xml:space="preserve"> </w:t>
      </w:r>
      <w:r>
        <w:t>son</w:t>
      </w:r>
      <w:r w:rsidRPr="002C4077">
        <w:t xml:space="preserve"> </w:t>
      </w:r>
      <w:r>
        <w:t>union</w:t>
      </w:r>
      <w:r w:rsidRPr="002C4077">
        <w:t xml:space="preserve"> </w:t>
      </w:r>
      <w:r>
        <w:t>au</w:t>
      </w:r>
      <w:r w:rsidRPr="002C4077">
        <w:t xml:space="preserve"> </w:t>
      </w:r>
      <w:r>
        <w:t>travail</w:t>
      </w:r>
      <w:r w:rsidRPr="002C4077">
        <w:t xml:space="preserve"> </w:t>
      </w:r>
      <w:r>
        <w:t>de</w:t>
      </w:r>
      <w:r w:rsidRPr="002C4077">
        <w:t xml:space="preserve"> </w:t>
      </w:r>
      <w:r>
        <w:t>l’esprit,</w:t>
      </w:r>
      <w:r w:rsidRPr="002C4077">
        <w:t xml:space="preserve"> </w:t>
      </w:r>
      <w:r>
        <w:t>à</w:t>
      </w:r>
      <w:r w:rsidRPr="002C4077">
        <w:t xml:space="preserve"> </w:t>
      </w:r>
      <w:r>
        <w:t>la</w:t>
      </w:r>
      <w:r w:rsidRPr="002C4077">
        <w:t xml:space="preserve"> </w:t>
      </w:r>
      <w:r>
        <w:t>culture</w:t>
      </w:r>
      <w:r w:rsidRPr="002C4077">
        <w:t xml:space="preserve"> </w:t>
      </w:r>
      <w:r>
        <w:t>de</w:t>
      </w:r>
      <w:r w:rsidRPr="002C4077">
        <w:t xml:space="preserve"> </w:t>
      </w:r>
      <w:r>
        <w:t>la</w:t>
      </w:r>
      <w:r w:rsidRPr="002C4077">
        <w:t xml:space="preserve"> </w:t>
      </w:r>
      <w:r>
        <w:t>science.</w:t>
      </w:r>
      <w:r w:rsidRPr="002C4077">
        <w:t xml:space="preserve"> </w:t>
      </w:r>
      <w:r>
        <w:t>Le</w:t>
      </w:r>
      <w:r w:rsidRPr="002C4077">
        <w:t xml:space="preserve"> </w:t>
      </w:r>
      <w:r>
        <w:t>lecteur</w:t>
      </w:r>
      <w:r w:rsidRPr="002C4077">
        <w:t xml:space="preserve"> </w:t>
      </w:r>
      <w:r>
        <w:t>se</w:t>
      </w:r>
      <w:r w:rsidRPr="002C4077">
        <w:t xml:space="preserve"> </w:t>
      </w:r>
      <w:r>
        <w:t>souvient</w:t>
      </w:r>
      <w:r w:rsidRPr="002C4077">
        <w:t xml:space="preserve"> </w:t>
      </w:r>
      <w:r>
        <w:t>des</w:t>
      </w:r>
      <w:r w:rsidRPr="002C4077">
        <w:t xml:space="preserve"> </w:t>
      </w:r>
      <w:r>
        <w:t>nobles</w:t>
      </w:r>
      <w:r w:rsidRPr="002C4077">
        <w:t xml:space="preserve"> </w:t>
      </w:r>
      <w:r>
        <w:t>sentiments</w:t>
      </w:r>
      <w:r w:rsidRPr="002C4077">
        <w:t xml:space="preserve"> </w:t>
      </w:r>
      <w:r>
        <w:t>qui</w:t>
      </w:r>
      <w:r w:rsidRPr="002C4077">
        <w:t xml:space="preserve"> </w:t>
      </w:r>
      <w:r>
        <w:t>animaient</w:t>
      </w:r>
      <w:r w:rsidRPr="002C4077">
        <w:t xml:space="preserve"> </w:t>
      </w:r>
      <w:r>
        <w:t>les</w:t>
      </w:r>
      <w:r w:rsidRPr="002C4077">
        <w:t xml:space="preserve"> </w:t>
      </w:r>
      <w:r>
        <w:t>docteurs</w:t>
      </w:r>
      <w:r w:rsidRPr="002C4077">
        <w:t xml:space="preserve"> </w:t>
      </w:r>
      <w:r>
        <w:t>de</w:t>
      </w:r>
      <w:r w:rsidRPr="002C4077">
        <w:t xml:space="preserve"> </w:t>
      </w:r>
      <w:r>
        <w:t>Jabné</w:t>
      </w:r>
      <w:r w:rsidR="00B91AF7">
        <w:rPr>
          <w:rStyle w:val="Appelnotedebasdep"/>
        </w:rPr>
        <w:footnoteReference w:id="793"/>
      </w:r>
      <w:r w:rsidR="00B546AF">
        <w:t> :</w:t>
      </w:r>
      <w:r w:rsidRPr="002C4077">
        <w:t xml:space="preserve"> </w:t>
      </w:r>
      <w:r>
        <w:t>ils</w:t>
      </w:r>
      <w:r w:rsidRPr="002C4077">
        <w:t xml:space="preserve"> </w:t>
      </w:r>
      <w:r>
        <w:t>étaient</w:t>
      </w:r>
      <w:r w:rsidRPr="002C4077">
        <w:t xml:space="preserve"> </w:t>
      </w:r>
      <w:r>
        <w:t>partagés</w:t>
      </w:r>
      <w:r w:rsidRPr="002C4077">
        <w:t xml:space="preserve"> </w:t>
      </w:r>
      <w:r>
        <w:t>par</w:t>
      </w:r>
      <w:r w:rsidRPr="002C4077">
        <w:t xml:space="preserve"> </w:t>
      </w:r>
      <w:r>
        <w:t>la</w:t>
      </w:r>
      <w:r w:rsidRPr="002C4077">
        <w:t xml:space="preserve"> </w:t>
      </w:r>
      <w:r>
        <w:t>grande</w:t>
      </w:r>
      <w:r w:rsidRPr="002C4077">
        <w:t xml:space="preserve"> </w:t>
      </w:r>
      <w:r>
        <w:t>majorité</w:t>
      </w:r>
      <w:r w:rsidRPr="002C4077">
        <w:t xml:space="preserve"> </w:t>
      </w:r>
      <w:r>
        <w:t>des</w:t>
      </w:r>
      <w:r w:rsidRPr="002C4077">
        <w:t xml:space="preserve"> </w:t>
      </w:r>
      <w:r>
        <w:t>savants</w:t>
      </w:r>
      <w:r w:rsidRPr="002C4077">
        <w:t xml:space="preserve"> </w:t>
      </w:r>
      <w:r>
        <w:t>et</w:t>
      </w:r>
      <w:r w:rsidRPr="002C4077">
        <w:t xml:space="preserve"> </w:t>
      </w:r>
      <w:r>
        <w:t>des</w:t>
      </w:r>
      <w:r w:rsidRPr="002C4077">
        <w:t xml:space="preserve"> </w:t>
      </w:r>
      <w:r>
        <w:t>professeurs</w:t>
      </w:r>
      <w:r w:rsidRPr="002C4077">
        <w:t xml:space="preserve"> </w:t>
      </w:r>
      <w:r>
        <w:t>de</w:t>
      </w:r>
      <w:r w:rsidRPr="002C4077">
        <w:t xml:space="preserve"> </w:t>
      </w:r>
      <w:r>
        <w:t>ces</w:t>
      </w:r>
      <w:r w:rsidRPr="002C4077">
        <w:t xml:space="preserve"> </w:t>
      </w:r>
      <w:r>
        <w:t>temps.</w:t>
      </w:r>
      <w:r w:rsidRPr="002C4077">
        <w:t xml:space="preserve"> </w:t>
      </w:r>
      <w:r>
        <w:t>Non-seulement</w:t>
      </w:r>
      <w:r w:rsidRPr="002C4077">
        <w:t xml:space="preserve"> </w:t>
      </w:r>
      <w:r>
        <w:t>les</w:t>
      </w:r>
      <w:r w:rsidRPr="002C4077">
        <w:t xml:space="preserve"> </w:t>
      </w:r>
      <w:r>
        <w:t>hommes</w:t>
      </w:r>
      <w:r w:rsidRPr="002C4077">
        <w:t xml:space="preserve"> </w:t>
      </w:r>
      <w:r>
        <w:t>de</w:t>
      </w:r>
      <w:r w:rsidRPr="002C4077">
        <w:t xml:space="preserve"> </w:t>
      </w:r>
      <w:r>
        <w:t>lettres</w:t>
      </w:r>
      <w:r w:rsidRPr="002C4077">
        <w:t xml:space="preserve"> </w:t>
      </w:r>
      <w:r>
        <w:t>et</w:t>
      </w:r>
      <w:r w:rsidRPr="002C4077">
        <w:t xml:space="preserve"> </w:t>
      </w:r>
      <w:r>
        <w:t>de</w:t>
      </w:r>
      <w:r w:rsidRPr="002C4077">
        <w:t xml:space="preserve"> </w:t>
      </w:r>
      <w:r>
        <w:t>science</w:t>
      </w:r>
      <w:r w:rsidRPr="002C4077">
        <w:t xml:space="preserve"> </w:t>
      </w:r>
      <w:r>
        <w:t>aimaient</w:t>
      </w:r>
      <w:r w:rsidRPr="002C4077">
        <w:t xml:space="preserve"> </w:t>
      </w:r>
      <w:r>
        <w:t>le</w:t>
      </w:r>
      <w:r w:rsidRPr="002C4077">
        <w:t xml:space="preserve"> </w:t>
      </w:r>
      <w:r>
        <w:t>travail,</w:t>
      </w:r>
      <w:r w:rsidRPr="002C4077">
        <w:t xml:space="preserve"> </w:t>
      </w:r>
      <w:r>
        <w:t>mais</w:t>
      </w:r>
      <w:r w:rsidRPr="002C4077">
        <w:t xml:space="preserve"> </w:t>
      </w:r>
      <w:r>
        <w:t>ils</w:t>
      </w:r>
      <w:r w:rsidRPr="002C4077">
        <w:t xml:space="preserve"> </w:t>
      </w:r>
      <w:r>
        <w:t>le</w:t>
      </w:r>
      <w:r w:rsidRPr="002C4077">
        <w:t xml:space="preserve"> </w:t>
      </w:r>
      <w:r>
        <w:t>pratiquaient</w:t>
      </w:r>
      <w:r w:rsidRPr="002C4077">
        <w:t xml:space="preserve"> </w:t>
      </w:r>
      <w:r>
        <w:t>eux-mêmes</w:t>
      </w:r>
      <w:r w:rsidRPr="002C4077">
        <w:t xml:space="preserve"> </w:t>
      </w:r>
      <w:r>
        <w:t>et</w:t>
      </w:r>
      <w:r w:rsidRPr="002C4077">
        <w:t xml:space="preserve"> </w:t>
      </w:r>
      <w:r>
        <w:t>ne</w:t>
      </w:r>
      <w:r w:rsidRPr="002C4077">
        <w:t xml:space="preserve"> </w:t>
      </w:r>
      <w:r>
        <w:t>craignaient</w:t>
      </w:r>
      <w:r w:rsidRPr="002C4077">
        <w:t xml:space="preserve"> </w:t>
      </w:r>
      <w:r>
        <w:t>pas</w:t>
      </w:r>
      <w:r w:rsidRPr="002C4077">
        <w:t xml:space="preserve"> </w:t>
      </w:r>
      <w:r>
        <w:t>de</w:t>
      </w:r>
      <w:r w:rsidRPr="002C4077">
        <w:t xml:space="preserve"> </w:t>
      </w:r>
      <w:r>
        <w:t>s’avilir</w:t>
      </w:r>
      <w:r w:rsidRPr="002C4077">
        <w:t xml:space="preserve"> </w:t>
      </w:r>
      <w:r>
        <w:t>en</w:t>
      </w:r>
      <w:r w:rsidRPr="002C4077">
        <w:t xml:space="preserve"> </w:t>
      </w:r>
      <w:r>
        <w:t>gagnant</w:t>
      </w:r>
      <w:r w:rsidRPr="002C4077">
        <w:t xml:space="preserve"> </w:t>
      </w:r>
      <w:r>
        <w:t>péniblement</w:t>
      </w:r>
      <w:r w:rsidRPr="002C4077">
        <w:t xml:space="preserve"> </w:t>
      </w:r>
      <w:r>
        <w:t>leur</w:t>
      </w:r>
      <w:r w:rsidRPr="002C4077">
        <w:t xml:space="preserve"> </w:t>
      </w:r>
      <w:r>
        <w:t>vie.</w:t>
      </w:r>
      <w:r w:rsidRPr="002C4077">
        <w:t xml:space="preserve"> </w:t>
      </w:r>
      <w:r>
        <w:t>On</w:t>
      </w:r>
      <w:r w:rsidRPr="002C4077">
        <w:t xml:space="preserve"> </w:t>
      </w:r>
      <w:r>
        <w:t>a</w:t>
      </w:r>
      <w:r w:rsidRPr="002C4077">
        <w:t xml:space="preserve"> </w:t>
      </w:r>
      <w:r>
        <w:t>vu</w:t>
      </w:r>
      <w:r w:rsidRPr="002C4077">
        <w:t xml:space="preserve"> </w:t>
      </w:r>
      <w:r>
        <w:t>dans</w:t>
      </w:r>
      <w:r w:rsidRPr="002C4077">
        <w:t xml:space="preserve"> </w:t>
      </w:r>
      <w:r>
        <w:t>les</w:t>
      </w:r>
      <w:r w:rsidRPr="002C4077">
        <w:t xml:space="preserve"> </w:t>
      </w:r>
      <w:r>
        <w:t>temps</w:t>
      </w:r>
      <w:r w:rsidRPr="002C4077">
        <w:t xml:space="preserve"> </w:t>
      </w:r>
      <w:r>
        <w:t>modernes,</w:t>
      </w:r>
      <w:r w:rsidRPr="002C4077">
        <w:t xml:space="preserve"> </w:t>
      </w:r>
      <w:r>
        <w:t>nous</w:t>
      </w:r>
      <w:r w:rsidRPr="002C4077">
        <w:t xml:space="preserve"> </w:t>
      </w:r>
      <w:r>
        <w:t>avons</w:t>
      </w:r>
      <w:r w:rsidRPr="002C4077">
        <w:t xml:space="preserve"> </w:t>
      </w:r>
      <w:r>
        <w:t>vu</w:t>
      </w:r>
      <w:r w:rsidRPr="002C4077">
        <w:t xml:space="preserve"> </w:t>
      </w:r>
      <w:r>
        <w:t>de</w:t>
      </w:r>
      <w:r w:rsidRPr="002C4077">
        <w:t xml:space="preserve"> </w:t>
      </w:r>
      <w:r>
        <w:t>nos</w:t>
      </w:r>
      <w:r w:rsidRPr="002C4077">
        <w:t xml:space="preserve"> </w:t>
      </w:r>
      <w:r>
        <w:t>jours</w:t>
      </w:r>
      <w:r w:rsidRPr="002C4077">
        <w:t xml:space="preserve"> </w:t>
      </w:r>
      <w:r>
        <w:t>quelques</w:t>
      </w:r>
      <w:r w:rsidRPr="002C4077">
        <w:t xml:space="preserve"> </w:t>
      </w:r>
      <w:r>
        <w:t>exemples</w:t>
      </w:r>
      <w:r w:rsidRPr="002C4077">
        <w:t xml:space="preserve"> </w:t>
      </w:r>
      <w:r>
        <w:t>du</w:t>
      </w:r>
      <w:r w:rsidRPr="002C4077">
        <w:t xml:space="preserve"> </w:t>
      </w:r>
      <w:r>
        <w:t>travail</w:t>
      </w:r>
      <w:r w:rsidRPr="002C4077">
        <w:t xml:space="preserve"> </w:t>
      </w:r>
      <w:r>
        <w:t>corporel</w:t>
      </w:r>
      <w:r w:rsidRPr="002C4077">
        <w:t xml:space="preserve"> </w:t>
      </w:r>
      <w:r>
        <w:t>uni</w:t>
      </w:r>
      <w:r w:rsidRPr="002C4077">
        <w:t xml:space="preserve"> </w:t>
      </w:r>
      <w:r>
        <w:t>à</w:t>
      </w:r>
      <w:r w:rsidRPr="002C4077">
        <w:t xml:space="preserve"> </w:t>
      </w:r>
      <w:r>
        <w:t>l’étude</w:t>
      </w:r>
      <w:r w:rsidR="00B546AF">
        <w:t> ;</w:t>
      </w:r>
      <w:r w:rsidRPr="002C4077">
        <w:t xml:space="preserve"> </w:t>
      </w:r>
      <w:r>
        <w:t>l’histoire</w:t>
      </w:r>
      <w:r w:rsidRPr="002C4077">
        <w:t xml:space="preserve"> </w:t>
      </w:r>
      <w:r>
        <w:t>de</w:t>
      </w:r>
      <w:r w:rsidRPr="002C4077">
        <w:t xml:space="preserve"> </w:t>
      </w:r>
      <w:r>
        <w:t>la</w:t>
      </w:r>
      <w:r w:rsidRPr="002C4077">
        <w:t xml:space="preserve"> </w:t>
      </w:r>
      <w:r>
        <w:t>Grèce</w:t>
      </w:r>
      <w:r w:rsidRPr="002C4077">
        <w:t xml:space="preserve"> </w:t>
      </w:r>
      <w:r>
        <w:t>et</w:t>
      </w:r>
      <w:r w:rsidRPr="002C4077">
        <w:t xml:space="preserve"> </w:t>
      </w:r>
      <w:r>
        <w:t>de</w:t>
      </w:r>
      <w:r w:rsidRPr="002C4077">
        <w:t xml:space="preserve"> </w:t>
      </w:r>
      <w:r>
        <w:t>Rome</w:t>
      </w:r>
      <w:r w:rsidRPr="002C4077">
        <w:t xml:space="preserve"> </w:t>
      </w:r>
      <w:r>
        <w:t>nous</w:t>
      </w:r>
      <w:r w:rsidRPr="002C4077">
        <w:t xml:space="preserve"> </w:t>
      </w:r>
      <w:r>
        <w:t>a</w:t>
      </w:r>
      <w:r w:rsidRPr="002C4077">
        <w:t xml:space="preserve"> </w:t>
      </w:r>
      <w:r>
        <w:t>conservé</w:t>
      </w:r>
      <w:r w:rsidRPr="002C4077">
        <w:t xml:space="preserve"> </w:t>
      </w:r>
      <w:r>
        <w:t>un</w:t>
      </w:r>
      <w:r w:rsidRPr="002C4077">
        <w:t xml:space="preserve"> </w:t>
      </w:r>
      <w:r>
        <w:t>nombre</w:t>
      </w:r>
      <w:r w:rsidRPr="002C4077">
        <w:t xml:space="preserve"> </w:t>
      </w:r>
      <w:r>
        <w:t>plus</w:t>
      </w:r>
      <w:r w:rsidRPr="002C4077">
        <w:t xml:space="preserve"> </w:t>
      </w:r>
      <w:r>
        <w:t>grand</w:t>
      </w:r>
      <w:r w:rsidRPr="002C4077">
        <w:t xml:space="preserve"> </w:t>
      </w:r>
      <w:r>
        <w:t>encore</w:t>
      </w:r>
      <w:r w:rsidRPr="002C4077">
        <w:t xml:space="preserve"> </w:t>
      </w:r>
      <w:r>
        <w:t>de</w:t>
      </w:r>
      <w:r w:rsidRPr="002C4077">
        <w:t xml:space="preserve"> </w:t>
      </w:r>
      <w:r>
        <w:t>faits</w:t>
      </w:r>
      <w:r w:rsidRPr="002C4077">
        <w:t xml:space="preserve"> </w:t>
      </w:r>
      <w:r>
        <w:t>du</w:t>
      </w:r>
      <w:r w:rsidRPr="002C4077">
        <w:t xml:space="preserve"> </w:t>
      </w:r>
      <w:r>
        <w:t>même</w:t>
      </w:r>
      <w:r w:rsidRPr="002C4077">
        <w:t xml:space="preserve"> </w:t>
      </w:r>
      <w:r>
        <w:t>genre</w:t>
      </w:r>
      <w:r w:rsidR="00B546AF">
        <w:t> :</w:t>
      </w:r>
      <w:r w:rsidR="00C45B47">
        <w:t xml:space="preserve"> {</w:t>
      </w:r>
      <w:r w:rsidR="001F5257">
        <w:t>253</w:t>
      </w:r>
      <w:bookmarkStart w:id="613" w:name="p253"/>
      <w:bookmarkEnd w:id="613"/>
      <w:r w:rsidR="001F5257">
        <w:t xml:space="preserve">} </w:t>
      </w:r>
      <w:r>
        <w:t>mais,</w:t>
      </w:r>
      <w:r w:rsidRPr="002C4077">
        <w:t xml:space="preserve"> </w:t>
      </w:r>
      <w:r>
        <w:t>ce</w:t>
      </w:r>
      <w:r w:rsidRPr="002C4077">
        <w:t xml:space="preserve"> </w:t>
      </w:r>
      <w:r>
        <w:t>qui</w:t>
      </w:r>
      <w:r w:rsidRPr="002C4077">
        <w:t xml:space="preserve"> </w:t>
      </w:r>
      <w:r w:rsidR="00425C50">
        <w:t>est</w:t>
      </w:r>
      <w:r w:rsidRPr="002C4077">
        <w:t xml:space="preserve"> </w:t>
      </w:r>
      <w:r>
        <w:t>une</w:t>
      </w:r>
      <w:r w:rsidRPr="002C4077">
        <w:t xml:space="preserve"> </w:t>
      </w:r>
      <w:r>
        <w:t>exception</w:t>
      </w:r>
      <w:r w:rsidRPr="002C4077">
        <w:t xml:space="preserve"> </w:t>
      </w:r>
      <w:r>
        <w:t>partout</w:t>
      </w:r>
      <w:r w:rsidRPr="002C4077">
        <w:t xml:space="preserve"> </w:t>
      </w:r>
      <w:r>
        <w:t>ailleurs</w:t>
      </w:r>
      <w:r w:rsidRPr="002C4077">
        <w:t xml:space="preserve"> </w:t>
      </w:r>
      <w:r>
        <w:t>était</w:t>
      </w:r>
      <w:r w:rsidRPr="002C4077">
        <w:t xml:space="preserve"> </w:t>
      </w:r>
      <w:r>
        <w:t>l’usage</w:t>
      </w:r>
      <w:r w:rsidRPr="002C4077">
        <w:t xml:space="preserve"> </w:t>
      </w:r>
      <w:r>
        <w:t>chez</w:t>
      </w:r>
      <w:r w:rsidRPr="002C4077">
        <w:t xml:space="preserve"> </w:t>
      </w:r>
      <w:r>
        <w:t>les</w:t>
      </w:r>
      <w:r w:rsidRPr="002C4077">
        <w:t xml:space="preserve"> </w:t>
      </w:r>
      <w:r>
        <w:t>Juifs</w:t>
      </w:r>
      <w:r w:rsidRPr="002C4077">
        <w:t xml:space="preserve"> </w:t>
      </w:r>
      <w:r>
        <w:t>au</w:t>
      </w:r>
      <w:r w:rsidRPr="002C4077">
        <w:t xml:space="preserve"> </w:t>
      </w:r>
      <w:r>
        <w:t>temps</w:t>
      </w:r>
      <w:r w:rsidRPr="002C4077">
        <w:t xml:space="preserve"> </w:t>
      </w:r>
      <w:r>
        <w:t>de</w:t>
      </w:r>
      <w:r w:rsidRPr="002C4077">
        <w:t xml:space="preserve"> </w:t>
      </w:r>
      <w:r w:rsidR="00425C50">
        <w:t>Jésus</w:t>
      </w:r>
      <w:r>
        <w:t>-</w:t>
      </w:r>
      <w:r w:rsidR="00425C50">
        <w:t>Christ</w:t>
      </w:r>
      <w:r>
        <w:t>,</w:t>
      </w:r>
      <w:r w:rsidRPr="002C4077">
        <w:t xml:space="preserve"> </w:t>
      </w:r>
      <w:r>
        <w:t>et</w:t>
      </w:r>
      <w:r w:rsidRPr="002C4077">
        <w:t xml:space="preserve"> </w:t>
      </w:r>
      <w:r>
        <w:t>c’était</w:t>
      </w:r>
      <w:r w:rsidRPr="002C4077">
        <w:t xml:space="preserve"> </w:t>
      </w:r>
      <w:r>
        <w:t>alors</w:t>
      </w:r>
      <w:r w:rsidRPr="002C4077">
        <w:t xml:space="preserve"> </w:t>
      </w:r>
      <w:r>
        <w:t>une</w:t>
      </w:r>
      <w:r w:rsidRPr="002C4077">
        <w:t xml:space="preserve"> </w:t>
      </w:r>
      <w:r>
        <w:t>idée</w:t>
      </w:r>
      <w:r w:rsidRPr="002C4077">
        <w:t xml:space="preserve"> </w:t>
      </w:r>
      <w:r>
        <w:t>généralement</w:t>
      </w:r>
      <w:r w:rsidRPr="002C4077">
        <w:t xml:space="preserve"> </w:t>
      </w:r>
      <w:r>
        <w:t>reçue</w:t>
      </w:r>
      <w:r w:rsidRPr="002C4077">
        <w:t xml:space="preserve"> </w:t>
      </w:r>
      <w:r>
        <w:t>que</w:t>
      </w:r>
      <w:r w:rsidRPr="002C4077">
        <w:t xml:space="preserve"> </w:t>
      </w:r>
      <w:r>
        <w:t>la</w:t>
      </w:r>
      <w:r w:rsidRPr="002C4077">
        <w:t xml:space="preserve"> </w:t>
      </w:r>
      <w:r>
        <w:t>science</w:t>
      </w:r>
      <w:r w:rsidRPr="002C4077">
        <w:t xml:space="preserve"> </w:t>
      </w:r>
      <w:r>
        <w:t>acquérait</w:t>
      </w:r>
      <w:r w:rsidRPr="002C4077">
        <w:t xml:space="preserve"> </w:t>
      </w:r>
      <w:r>
        <w:t>un</w:t>
      </w:r>
      <w:r w:rsidRPr="002C4077">
        <w:t xml:space="preserve"> </w:t>
      </w:r>
      <w:r>
        <w:t>nouveau</w:t>
      </w:r>
      <w:r w:rsidRPr="002C4077">
        <w:t xml:space="preserve"> </w:t>
      </w:r>
      <w:r>
        <w:t>lustre</w:t>
      </w:r>
      <w:r w:rsidRPr="002C4077">
        <w:t xml:space="preserve"> </w:t>
      </w:r>
      <w:r>
        <w:t>en</w:t>
      </w:r>
      <w:r w:rsidRPr="002C4077">
        <w:t xml:space="preserve"> </w:t>
      </w:r>
      <w:r>
        <w:t>s’unissant</w:t>
      </w:r>
      <w:r w:rsidRPr="002C4077">
        <w:t xml:space="preserve"> </w:t>
      </w:r>
      <w:r>
        <w:t>au</w:t>
      </w:r>
      <w:r w:rsidRPr="002C4077">
        <w:t xml:space="preserve"> </w:t>
      </w:r>
      <w:r>
        <w:t>travail</w:t>
      </w:r>
      <w:r w:rsidRPr="002C4077">
        <w:t xml:space="preserve"> </w:t>
      </w:r>
      <w:r>
        <w:t>des</w:t>
      </w:r>
      <w:r w:rsidRPr="002C4077">
        <w:t xml:space="preserve"> </w:t>
      </w:r>
      <w:r>
        <w:t>mains.</w:t>
      </w:r>
      <w:r w:rsidRPr="002C4077">
        <w:t xml:space="preserve"> </w:t>
      </w:r>
    </w:p>
    <w:p w:rsidR="000A7AAB" w:rsidRDefault="000A7AAB" w:rsidP="000A7AAB">
      <w:r>
        <w:t>Il</w:t>
      </w:r>
      <w:r w:rsidRPr="002C4077">
        <w:t xml:space="preserve"> </w:t>
      </w:r>
      <w:r>
        <w:t>semble</w:t>
      </w:r>
      <w:r w:rsidRPr="002C4077">
        <w:t xml:space="preserve"> </w:t>
      </w:r>
      <w:r>
        <w:t>toutefois</w:t>
      </w:r>
      <w:r w:rsidRPr="002C4077">
        <w:t xml:space="preserve"> </w:t>
      </w:r>
      <w:r>
        <w:t>qu’il</w:t>
      </w:r>
      <w:r w:rsidRPr="002C4077">
        <w:t xml:space="preserve"> </w:t>
      </w:r>
      <w:r>
        <w:t>n’en</w:t>
      </w:r>
      <w:r w:rsidRPr="002C4077">
        <w:t xml:space="preserve"> </w:t>
      </w:r>
      <w:r>
        <w:t>avait</w:t>
      </w:r>
      <w:r w:rsidRPr="002C4077">
        <w:t xml:space="preserve"> </w:t>
      </w:r>
      <w:r>
        <w:t>pas</w:t>
      </w:r>
      <w:r w:rsidRPr="002C4077">
        <w:t xml:space="preserve"> </w:t>
      </w:r>
      <w:r>
        <w:t>toujours</w:t>
      </w:r>
      <w:r w:rsidRPr="002C4077">
        <w:t xml:space="preserve"> </w:t>
      </w:r>
      <w:r>
        <w:t>été</w:t>
      </w:r>
      <w:r w:rsidRPr="002C4077">
        <w:t xml:space="preserve"> </w:t>
      </w:r>
      <w:r>
        <w:t>ainsi,</w:t>
      </w:r>
      <w:r w:rsidRPr="002C4077">
        <w:t xml:space="preserve"> </w:t>
      </w:r>
      <w:r>
        <w:t>à</w:t>
      </w:r>
      <w:r w:rsidRPr="002C4077">
        <w:t xml:space="preserve"> </w:t>
      </w:r>
      <w:r>
        <w:t>en</w:t>
      </w:r>
      <w:r w:rsidRPr="002C4077">
        <w:t xml:space="preserve"> </w:t>
      </w:r>
      <w:r>
        <w:t>juger</w:t>
      </w:r>
      <w:r w:rsidRPr="002C4077">
        <w:t xml:space="preserve"> </w:t>
      </w:r>
      <w:r>
        <w:t>du</w:t>
      </w:r>
      <w:r w:rsidRPr="002C4077">
        <w:t xml:space="preserve"> </w:t>
      </w:r>
      <w:r>
        <w:t>moins</w:t>
      </w:r>
      <w:r w:rsidRPr="002C4077">
        <w:t xml:space="preserve"> </w:t>
      </w:r>
      <w:r>
        <w:t>par</w:t>
      </w:r>
      <w:r w:rsidRPr="002C4077">
        <w:t xml:space="preserve"> </w:t>
      </w:r>
      <w:r>
        <w:t>un</w:t>
      </w:r>
      <w:r w:rsidRPr="002C4077">
        <w:t xml:space="preserve"> </w:t>
      </w:r>
      <w:r>
        <w:t>passage</w:t>
      </w:r>
      <w:r w:rsidRPr="002C4077">
        <w:t xml:space="preserve"> </w:t>
      </w:r>
      <w:r>
        <w:t>de</w:t>
      </w:r>
      <w:r w:rsidRPr="002C4077">
        <w:t xml:space="preserve"> </w:t>
      </w:r>
      <w:r w:rsidRPr="000A34B5">
        <w:rPr>
          <w:rStyle w:val="italicus"/>
        </w:rPr>
        <w:t>l’Ecclésiastiq</w:t>
      </w:r>
      <w:r w:rsidR="00F6492C" w:rsidRPr="000A34B5">
        <w:rPr>
          <w:rStyle w:val="italicus"/>
        </w:rPr>
        <w:t>ue</w:t>
      </w:r>
      <w:r w:rsidR="00F6492C">
        <w:rPr>
          <w:rStyle w:val="Appelnotedebasdep"/>
          <w:i/>
        </w:rPr>
        <w:footnoteReference w:id="794"/>
      </w:r>
      <w:r w:rsidR="00F6492C" w:rsidRPr="000A34B5">
        <w:rPr>
          <w:rStyle w:val="italicus"/>
        </w:rPr>
        <w:t>,</w:t>
      </w:r>
      <w:r w:rsidRPr="002C4077">
        <w:t xml:space="preserve"> </w:t>
      </w:r>
      <w:r>
        <w:t>dans</w:t>
      </w:r>
      <w:r w:rsidRPr="002C4077">
        <w:t xml:space="preserve"> </w:t>
      </w:r>
      <w:r>
        <w:t>lequel</w:t>
      </w:r>
      <w:r w:rsidRPr="002C4077">
        <w:t xml:space="preserve"> </w:t>
      </w:r>
      <w:r>
        <w:t>le</w:t>
      </w:r>
      <w:r w:rsidRPr="002C4077">
        <w:t xml:space="preserve"> </w:t>
      </w:r>
      <w:r>
        <w:t>fils</w:t>
      </w:r>
      <w:r w:rsidRPr="002C4077">
        <w:t xml:space="preserve"> </w:t>
      </w:r>
      <w:r>
        <w:t>de</w:t>
      </w:r>
      <w:r w:rsidRPr="002C4077">
        <w:t xml:space="preserve"> </w:t>
      </w:r>
      <w:r>
        <w:t>Sirach</w:t>
      </w:r>
      <w:r w:rsidRPr="002C4077">
        <w:t xml:space="preserve"> </w:t>
      </w:r>
      <w:r>
        <w:t>dit</w:t>
      </w:r>
      <w:r w:rsidRPr="002C4077">
        <w:t xml:space="preserve"> </w:t>
      </w:r>
      <w:r>
        <w:t>nettement</w:t>
      </w:r>
      <w:r w:rsidRPr="002C4077">
        <w:t xml:space="preserve"> </w:t>
      </w:r>
      <w:r>
        <w:t>aux</w:t>
      </w:r>
      <w:r w:rsidRPr="002C4077">
        <w:t xml:space="preserve"> </w:t>
      </w:r>
      <w:r>
        <w:t>ouvriers</w:t>
      </w:r>
      <w:r w:rsidRPr="002C4077">
        <w:t xml:space="preserve"> </w:t>
      </w:r>
      <w:r>
        <w:t>ses</w:t>
      </w:r>
      <w:r w:rsidRPr="002C4077">
        <w:t xml:space="preserve"> </w:t>
      </w:r>
      <w:r>
        <w:t>contemporains</w:t>
      </w:r>
      <w:r w:rsidRPr="002C4077">
        <w:t xml:space="preserve"> </w:t>
      </w:r>
      <w:r>
        <w:t>que</w:t>
      </w:r>
      <w:r w:rsidRPr="002C4077">
        <w:t xml:space="preserve"> </w:t>
      </w:r>
      <w:r>
        <w:t>leurs</w:t>
      </w:r>
      <w:r w:rsidRPr="002C4077">
        <w:t xml:space="preserve"> </w:t>
      </w:r>
      <w:r>
        <w:t>occupations,</w:t>
      </w:r>
      <w:r w:rsidRPr="002C4077">
        <w:t xml:space="preserve"> </w:t>
      </w:r>
      <w:r>
        <w:t>s’ils</w:t>
      </w:r>
      <w:r w:rsidRPr="002C4077">
        <w:t xml:space="preserve"> </w:t>
      </w:r>
      <w:r>
        <w:t>s’y</w:t>
      </w:r>
      <w:r w:rsidRPr="002C4077">
        <w:t xml:space="preserve"> </w:t>
      </w:r>
      <w:r>
        <w:t>livrent</w:t>
      </w:r>
      <w:r w:rsidRPr="002C4077">
        <w:t xml:space="preserve"> </w:t>
      </w:r>
      <w:r>
        <w:t>avec</w:t>
      </w:r>
      <w:r w:rsidRPr="002C4077">
        <w:t xml:space="preserve"> </w:t>
      </w:r>
      <w:r>
        <w:t>zèle,</w:t>
      </w:r>
      <w:r w:rsidRPr="002C4077">
        <w:t xml:space="preserve"> </w:t>
      </w:r>
      <w:r>
        <w:t>ne</w:t>
      </w:r>
      <w:r w:rsidRPr="002C4077">
        <w:t xml:space="preserve"> </w:t>
      </w:r>
      <w:r>
        <w:t>leur</w:t>
      </w:r>
      <w:r w:rsidRPr="002C4077">
        <w:t xml:space="preserve"> </w:t>
      </w:r>
      <w:r>
        <w:t>laissent</w:t>
      </w:r>
      <w:r w:rsidRPr="002C4077">
        <w:t xml:space="preserve"> </w:t>
      </w:r>
      <w:r>
        <w:t>aucun</w:t>
      </w:r>
      <w:r w:rsidRPr="002C4077">
        <w:t xml:space="preserve"> </w:t>
      </w:r>
      <w:r>
        <w:t>loisir</w:t>
      </w:r>
      <w:r w:rsidRPr="002C4077">
        <w:t xml:space="preserve"> </w:t>
      </w:r>
      <w:r>
        <w:t>pour</w:t>
      </w:r>
      <w:r w:rsidRPr="002C4077">
        <w:t xml:space="preserve"> </w:t>
      </w:r>
      <w:r>
        <w:t>l’étude,</w:t>
      </w:r>
      <w:r w:rsidRPr="002C4077">
        <w:t xml:space="preserve"> </w:t>
      </w:r>
      <w:r>
        <w:t>et</w:t>
      </w:r>
      <w:r w:rsidRPr="002C4077">
        <w:t xml:space="preserve"> </w:t>
      </w:r>
      <w:r>
        <w:t>qu’elles</w:t>
      </w:r>
      <w:r w:rsidRPr="002C4077">
        <w:t xml:space="preserve"> </w:t>
      </w:r>
      <w:r>
        <w:t>les</w:t>
      </w:r>
      <w:r w:rsidRPr="002C4077">
        <w:t xml:space="preserve"> </w:t>
      </w:r>
      <w:r>
        <w:t>rendent</w:t>
      </w:r>
      <w:r w:rsidRPr="002C4077">
        <w:t xml:space="preserve"> </w:t>
      </w:r>
      <w:r>
        <w:t>par</w:t>
      </w:r>
      <w:r w:rsidRPr="002C4077">
        <w:t xml:space="preserve"> </w:t>
      </w:r>
      <w:r>
        <w:t>conséquent</w:t>
      </w:r>
      <w:r w:rsidRPr="002C4077">
        <w:t xml:space="preserve"> </w:t>
      </w:r>
      <w:r>
        <w:t>impropres</w:t>
      </w:r>
      <w:r w:rsidRPr="002C4077">
        <w:t xml:space="preserve"> </w:t>
      </w:r>
      <w:r>
        <w:t>à</w:t>
      </w:r>
      <w:r w:rsidRPr="002C4077">
        <w:t xml:space="preserve"> </w:t>
      </w:r>
      <w:r>
        <w:t>la</w:t>
      </w:r>
      <w:r w:rsidRPr="002C4077">
        <w:t xml:space="preserve"> </w:t>
      </w:r>
      <w:r>
        <w:t>science</w:t>
      </w:r>
      <w:r w:rsidRPr="002C4077">
        <w:t xml:space="preserve"> </w:t>
      </w:r>
      <w:r>
        <w:t>et</w:t>
      </w:r>
      <w:r w:rsidRPr="002C4077">
        <w:t xml:space="preserve"> </w:t>
      </w:r>
      <w:r>
        <w:t>aux</w:t>
      </w:r>
      <w:r w:rsidRPr="002C4077">
        <w:t xml:space="preserve"> </w:t>
      </w:r>
      <w:r>
        <w:t>fonctions</w:t>
      </w:r>
      <w:r w:rsidRPr="002C4077">
        <w:t xml:space="preserve"> </w:t>
      </w:r>
      <w:r>
        <w:t>civiles</w:t>
      </w:r>
      <w:r w:rsidRPr="002C4077">
        <w:t xml:space="preserve"> </w:t>
      </w:r>
      <w:r>
        <w:t>ou</w:t>
      </w:r>
      <w:r w:rsidRPr="002C4077">
        <w:t xml:space="preserve"> </w:t>
      </w:r>
      <w:r>
        <w:t>judiciaires.</w:t>
      </w:r>
      <w:r w:rsidRPr="002C4077">
        <w:t xml:space="preserve"> </w:t>
      </w:r>
    </w:p>
    <w:p w:rsidR="000A7AAB" w:rsidRPr="001F5257" w:rsidRDefault="000A7AAB" w:rsidP="000A7AAB">
      <w:r>
        <w:t>Néanmoins,</w:t>
      </w:r>
      <w:r w:rsidRPr="002C4077">
        <w:t xml:space="preserve"> </w:t>
      </w:r>
      <w:r>
        <w:t>supposé</w:t>
      </w:r>
      <w:r w:rsidRPr="002C4077">
        <w:t xml:space="preserve"> </w:t>
      </w:r>
      <w:r>
        <w:t>que</w:t>
      </w:r>
      <w:r w:rsidRPr="002C4077">
        <w:t xml:space="preserve"> </w:t>
      </w:r>
      <w:r>
        <w:t>telle</w:t>
      </w:r>
      <w:r w:rsidRPr="002C4077">
        <w:t xml:space="preserve"> </w:t>
      </w:r>
      <w:r>
        <w:t>fût</w:t>
      </w:r>
      <w:r w:rsidRPr="002C4077">
        <w:t xml:space="preserve"> </w:t>
      </w:r>
      <w:r>
        <w:t>alors</w:t>
      </w:r>
      <w:r w:rsidRPr="002C4077">
        <w:t xml:space="preserve"> </w:t>
      </w:r>
      <w:r>
        <w:t>l’opinion</w:t>
      </w:r>
      <w:r w:rsidRPr="002C4077">
        <w:t xml:space="preserve"> </w:t>
      </w:r>
      <w:r>
        <w:t>générale,</w:t>
      </w:r>
      <w:r w:rsidRPr="002C4077">
        <w:t xml:space="preserve"> </w:t>
      </w:r>
      <w:r>
        <w:t>il</w:t>
      </w:r>
      <w:r w:rsidRPr="002C4077">
        <w:t xml:space="preserve"> </w:t>
      </w:r>
      <w:r>
        <w:t>y</w:t>
      </w:r>
      <w:r w:rsidRPr="002C4077">
        <w:t xml:space="preserve"> </w:t>
      </w:r>
      <w:r>
        <w:t>eut</w:t>
      </w:r>
      <w:r w:rsidRPr="002C4077">
        <w:t xml:space="preserve"> </w:t>
      </w:r>
      <w:r>
        <w:t>un</w:t>
      </w:r>
      <w:r w:rsidRPr="002C4077">
        <w:t xml:space="preserve"> </w:t>
      </w:r>
      <w:r>
        <w:t>revirement</w:t>
      </w:r>
      <w:r w:rsidRPr="002C4077">
        <w:t xml:space="preserve"> </w:t>
      </w:r>
      <w:r>
        <w:t>complet</w:t>
      </w:r>
      <w:r w:rsidRPr="002C4077">
        <w:t xml:space="preserve"> </w:t>
      </w:r>
      <w:r>
        <w:t>d’idées</w:t>
      </w:r>
      <w:r w:rsidRPr="002C4077">
        <w:t xml:space="preserve"> </w:t>
      </w:r>
      <w:r>
        <w:t>à</w:t>
      </w:r>
      <w:r w:rsidRPr="002C4077">
        <w:t xml:space="preserve"> </w:t>
      </w:r>
      <w:r>
        <w:t>cet</w:t>
      </w:r>
      <w:r w:rsidRPr="002C4077">
        <w:t xml:space="preserve"> </w:t>
      </w:r>
      <w:r>
        <w:t>égard</w:t>
      </w:r>
      <w:r w:rsidRPr="002C4077">
        <w:t xml:space="preserve"> </w:t>
      </w:r>
      <w:r>
        <w:t>vers</w:t>
      </w:r>
      <w:r w:rsidRPr="002C4077">
        <w:t xml:space="preserve"> </w:t>
      </w:r>
      <w:r>
        <w:t>le</w:t>
      </w:r>
      <w:r w:rsidRPr="002C4077">
        <w:t xml:space="preserve"> </w:t>
      </w:r>
      <w:r>
        <w:t>premier</w:t>
      </w:r>
      <w:r w:rsidRPr="002C4077">
        <w:t xml:space="preserve"> </w:t>
      </w:r>
      <w:r>
        <w:t>siècle</w:t>
      </w:r>
      <w:r w:rsidRPr="002C4077">
        <w:t xml:space="preserve"> </w:t>
      </w:r>
      <w:r>
        <w:t>de</w:t>
      </w:r>
      <w:r w:rsidRPr="002C4077">
        <w:t xml:space="preserve"> </w:t>
      </w:r>
      <w:r>
        <w:t>notre</w:t>
      </w:r>
      <w:r w:rsidRPr="002C4077">
        <w:t xml:space="preserve"> </w:t>
      </w:r>
      <w:r>
        <w:t>ère.</w:t>
      </w:r>
      <w:r w:rsidRPr="002C4077">
        <w:t xml:space="preserve"> </w:t>
      </w:r>
      <w:r>
        <w:t>Voici,</w:t>
      </w:r>
      <w:r w:rsidRPr="002C4077">
        <w:t xml:space="preserve"> </w:t>
      </w:r>
      <w:r>
        <w:t>en</w:t>
      </w:r>
      <w:r w:rsidRPr="002C4077">
        <w:t xml:space="preserve"> </w:t>
      </w:r>
      <w:r>
        <w:t>effet,</w:t>
      </w:r>
      <w:r w:rsidRPr="002C4077">
        <w:t xml:space="preserve"> </w:t>
      </w:r>
      <w:r>
        <w:t>une</w:t>
      </w:r>
      <w:r w:rsidRPr="002C4077">
        <w:t xml:space="preserve"> </w:t>
      </w:r>
      <w:r>
        <w:t>maxime</w:t>
      </w:r>
      <w:r w:rsidRPr="002C4077">
        <w:t xml:space="preserve"> </w:t>
      </w:r>
      <w:r>
        <w:t>émise</w:t>
      </w:r>
      <w:r w:rsidRPr="002C4077">
        <w:t xml:space="preserve"> </w:t>
      </w:r>
      <w:r>
        <w:t>par</w:t>
      </w:r>
      <w:r w:rsidRPr="002C4077">
        <w:t xml:space="preserve"> </w:t>
      </w:r>
      <w:r>
        <w:t>l’illustre</w:t>
      </w:r>
      <w:r w:rsidRPr="002C4077">
        <w:t xml:space="preserve"> </w:t>
      </w:r>
      <w:r>
        <w:t>famille</w:t>
      </w:r>
      <w:r w:rsidRPr="002C4077">
        <w:t xml:space="preserve"> </w:t>
      </w:r>
      <w:r>
        <w:t>de</w:t>
      </w:r>
      <w:r w:rsidRPr="002C4077">
        <w:t xml:space="preserve"> </w:t>
      </w:r>
      <w:r>
        <w:t>Gam</w:t>
      </w:r>
      <w:r w:rsidR="001730C6">
        <w:t>al</w:t>
      </w:r>
      <w:r>
        <w:t>iel</w:t>
      </w:r>
      <w:r w:rsidRPr="002C4077">
        <w:t xml:space="preserve"> </w:t>
      </w:r>
      <w:r>
        <w:t>et</w:t>
      </w:r>
      <w:r w:rsidRPr="002C4077">
        <w:t xml:space="preserve"> </w:t>
      </w:r>
      <w:r>
        <w:t>réalisée</w:t>
      </w:r>
      <w:r w:rsidRPr="002C4077">
        <w:t xml:space="preserve"> </w:t>
      </w:r>
      <w:r>
        <w:t>par</w:t>
      </w:r>
      <w:r w:rsidRPr="002C4077">
        <w:t xml:space="preserve"> </w:t>
      </w:r>
      <w:r>
        <w:t>ses</w:t>
      </w:r>
      <w:r w:rsidRPr="002C4077">
        <w:t xml:space="preserve"> </w:t>
      </w:r>
      <w:r>
        <w:t>nombreux</w:t>
      </w:r>
      <w:r w:rsidRPr="002C4077">
        <w:t xml:space="preserve"> </w:t>
      </w:r>
      <w:r>
        <w:t>disciples</w:t>
      </w:r>
      <w:r w:rsidRPr="002C4077">
        <w:t xml:space="preserve"> </w:t>
      </w:r>
      <w:r>
        <w:t>ou</w:t>
      </w:r>
      <w:r w:rsidRPr="002C4077">
        <w:t xml:space="preserve"> </w:t>
      </w:r>
      <w:r>
        <w:t>partisans</w:t>
      </w:r>
      <w:r w:rsidR="00B546AF">
        <w:t> :</w:t>
      </w:r>
      <w:r w:rsidRPr="002C4077">
        <w:t xml:space="preserve"> </w:t>
      </w:r>
      <w:r w:rsidR="00B546AF">
        <w:t>« </w:t>
      </w:r>
      <w:r>
        <w:t>Il</w:t>
      </w:r>
      <w:r w:rsidRPr="002C4077">
        <w:t xml:space="preserve"> </w:t>
      </w:r>
      <w:r w:rsidR="00425C50">
        <w:t>est</w:t>
      </w:r>
      <w:r w:rsidRPr="002C4077">
        <w:t xml:space="preserve"> </w:t>
      </w:r>
      <w:r>
        <w:t>bon</w:t>
      </w:r>
      <w:r w:rsidRPr="002C4077">
        <w:t xml:space="preserve"> </w:t>
      </w:r>
      <w:r>
        <w:t>d’unir</w:t>
      </w:r>
      <w:r w:rsidRPr="002C4077">
        <w:t xml:space="preserve"> </w:t>
      </w:r>
      <w:r>
        <w:t>l’étude</w:t>
      </w:r>
      <w:r w:rsidRPr="002C4077">
        <w:t xml:space="preserve"> </w:t>
      </w:r>
      <w:r>
        <w:t>de</w:t>
      </w:r>
      <w:r w:rsidRPr="002C4077">
        <w:t xml:space="preserve"> </w:t>
      </w:r>
      <w:r>
        <w:t>la</w:t>
      </w:r>
      <w:r w:rsidRPr="002C4077">
        <w:t xml:space="preserve"> </w:t>
      </w:r>
      <w:r>
        <w:t>loi</w:t>
      </w:r>
      <w:r w:rsidRPr="002C4077">
        <w:t xml:space="preserve"> </w:t>
      </w:r>
      <w:r>
        <w:t>à</w:t>
      </w:r>
      <w:r w:rsidRPr="002C4077">
        <w:t xml:space="preserve"> </w:t>
      </w:r>
      <w:r>
        <w:t>un</w:t>
      </w:r>
      <w:r w:rsidRPr="002C4077">
        <w:t xml:space="preserve"> </w:t>
      </w:r>
      <w:r>
        <w:t>travail</w:t>
      </w:r>
      <w:r w:rsidRPr="002C4077">
        <w:t xml:space="preserve"> </w:t>
      </w:r>
      <w:r>
        <w:t>manuel,</w:t>
      </w:r>
      <w:r w:rsidRPr="002C4077">
        <w:t xml:space="preserve"> </w:t>
      </w:r>
      <w:r>
        <w:t>car,</w:t>
      </w:r>
      <w:r w:rsidRPr="002C4077">
        <w:t xml:space="preserve"> </w:t>
      </w:r>
      <w:r>
        <w:t>en</w:t>
      </w:r>
      <w:r w:rsidRPr="002C4077">
        <w:t xml:space="preserve"> </w:t>
      </w:r>
      <w:r>
        <w:t>se</w:t>
      </w:r>
      <w:r w:rsidRPr="002C4077">
        <w:t xml:space="preserve"> </w:t>
      </w:r>
      <w:r>
        <w:t>livrant</w:t>
      </w:r>
      <w:r w:rsidRPr="002C4077">
        <w:t xml:space="preserve"> </w:t>
      </w:r>
      <w:r>
        <w:t>activement</w:t>
      </w:r>
      <w:r w:rsidRPr="002C4077">
        <w:t xml:space="preserve"> </w:t>
      </w:r>
      <w:r>
        <w:t>à</w:t>
      </w:r>
      <w:r w:rsidRPr="002C4077">
        <w:t xml:space="preserve"> </w:t>
      </w:r>
      <w:r>
        <w:t>ces</w:t>
      </w:r>
      <w:r w:rsidRPr="002C4077">
        <w:t xml:space="preserve"> </w:t>
      </w:r>
      <w:r>
        <w:t>deux</w:t>
      </w:r>
      <w:r w:rsidRPr="002C4077">
        <w:t xml:space="preserve"> </w:t>
      </w:r>
      <w:r>
        <w:t>occupations,</w:t>
      </w:r>
      <w:r w:rsidRPr="002C4077">
        <w:t xml:space="preserve"> </w:t>
      </w:r>
      <w:r>
        <w:t>on</w:t>
      </w:r>
      <w:r w:rsidRPr="002C4077">
        <w:t xml:space="preserve"> </w:t>
      </w:r>
      <w:r>
        <w:t>perd</w:t>
      </w:r>
      <w:r w:rsidRPr="002C4077">
        <w:t xml:space="preserve"> </w:t>
      </w:r>
      <w:r>
        <w:t>l’habitude</w:t>
      </w:r>
      <w:r w:rsidRPr="002C4077">
        <w:t xml:space="preserve"> </w:t>
      </w:r>
      <w:r>
        <w:t>du</w:t>
      </w:r>
      <w:r w:rsidRPr="002C4077">
        <w:t xml:space="preserve"> </w:t>
      </w:r>
      <w:r>
        <w:t>péché</w:t>
      </w:r>
      <w:r w:rsidR="00B546AF">
        <w:t> ;</w:t>
      </w:r>
      <w:r w:rsidRPr="002C4077">
        <w:t xml:space="preserve"> </w:t>
      </w:r>
      <w:r>
        <w:t>au</w:t>
      </w:r>
      <w:r w:rsidRPr="002C4077">
        <w:t xml:space="preserve"> </w:t>
      </w:r>
      <w:r>
        <w:t>contraire,</w:t>
      </w:r>
      <w:r w:rsidRPr="002C4077">
        <w:t xml:space="preserve"> </w:t>
      </w:r>
      <w:r>
        <w:t>l’étude</w:t>
      </w:r>
      <w:r w:rsidRPr="002C4077">
        <w:t xml:space="preserve"> </w:t>
      </w:r>
      <w:r>
        <w:t>qui</w:t>
      </w:r>
      <w:r w:rsidRPr="002C4077">
        <w:t xml:space="preserve"> </w:t>
      </w:r>
      <w:r>
        <w:t>n’a</w:t>
      </w:r>
      <w:r w:rsidRPr="002C4077">
        <w:t xml:space="preserve"> </w:t>
      </w:r>
      <w:r>
        <w:t>aucune</w:t>
      </w:r>
      <w:r w:rsidRPr="002C4077">
        <w:t xml:space="preserve"> </w:t>
      </w:r>
      <w:r>
        <w:t>industrie</w:t>
      </w:r>
      <w:r w:rsidRPr="002C4077">
        <w:t xml:space="preserve"> </w:t>
      </w:r>
      <w:r>
        <w:t>pour</w:t>
      </w:r>
      <w:r w:rsidRPr="002C4077">
        <w:t xml:space="preserve"> </w:t>
      </w:r>
      <w:r>
        <w:t>compagne</w:t>
      </w:r>
      <w:r w:rsidRPr="002C4077">
        <w:t xml:space="preserve"> </w:t>
      </w:r>
      <w:r>
        <w:t>se</w:t>
      </w:r>
      <w:r w:rsidRPr="002C4077">
        <w:t xml:space="preserve"> </w:t>
      </w:r>
      <w:r>
        <w:t>termine</w:t>
      </w:r>
      <w:r w:rsidRPr="002C4077">
        <w:t xml:space="preserve"> </w:t>
      </w:r>
      <w:r>
        <w:t>par</w:t>
      </w:r>
      <w:r w:rsidRPr="002C4077">
        <w:t xml:space="preserve"> </w:t>
      </w:r>
      <w:r>
        <w:t>la</w:t>
      </w:r>
      <w:r w:rsidRPr="002C4077">
        <w:t xml:space="preserve"> </w:t>
      </w:r>
      <w:r>
        <w:t>vanité</w:t>
      </w:r>
      <w:r w:rsidRPr="002C4077">
        <w:t xml:space="preserve"> </w:t>
      </w:r>
      <w:r>
        <w:t>et</w:t>
      </w:r>
      <w:r w:rsidRPr="002C4077">
        <w:t xml:space="preserve"> </w:t>
      </w:r>
      <w:r>
        <w:t>par</w:t>
      </w:r>
      <w:r w:rsidRPr="002C4077">
        <w:t xml:space="preserve"> </w:t>
      </w:r>
      <w:r>
        <w:t>le</w:t>
      </w:r>
      <w:r w:rsidRPr="002C4077">
        <w:t xml:space="preserve"> </w:t>
      </w:r>
      <w:r>
        <w:t>péché’</w:t>
      </w:r>
      <w:r w:rsidR="00B91AF7">
        <w:rPr>
          <w:rStyle w:val="Appelnotedebasdep"/>
        </w:rPr>
        <w:footnoteReference w:id="795"/>
      </w:r>
      <w:r w:rsidR="00B546AF">
        <w:t> »</w:t>
      </w:r>
      <w:r>
        <w:t>.</w:t>
      </w:r>
      <w:r w:rsidRPr="002C4077">
        <w:t xml:space="preserve"> </w:t>
      </w:r>
      <w:r>
        <w:t>On</w:t>
      </w:r>
      <w:r w:rsidRPr="002C4077">
        <w:t xml:space="preserve"> </w:t>
      </w:r>
      <w:r>
        <w:t>sait</w:t>
      </w:r>
      <w:r w:rsidRPr="002C4077">
        <w:t xml:space="preserve"> </w:t>
      </w:r>
      <w:r>
        <w:t>que,</w:t>
      </w:r>
      <w:r w:rsidRPr="002C4077">
        <w:t xml:space="preserve"> </w:t>
      </w:r>
      <w:r>
        <w:t>vers</w:t>
      </w:r>
      <w:r w:rsidRPr="002C4077">
        <w:t xml:space="preserve"> </w:t>
      </w:r>
      <w:r>
        <w:t>ces</w:t>
      </w:r>
      <w:r w:rsidRPr="002C4077">
        <w:t xml:space="preserve"> </w:t>
      </w:r>
      <w:r>
        <w:t>temps,</w:t>
      </w:r>
      <w:r w:rsidRPr="002C4077">
        <w:t xml:space="preserve"> </w:t>
      </w:r>
      <w:r>
        <w:t>les</w:t>
      </w:r>
      <w:r w:rsidRPr="002C4077">
        <w:t xml:space="preserve"> </w:t>
      </w:r>
      <w:r>
        <w:t>explications</w:t>
      </w:r>
      <w:r w:rsidRPr="002C4077">
        <w:t xml:space="preserve"> </w:t>
      </w:r>
      <w:r>
        <w:t>allégoriques</w:t>
      </w:r>
      <w:r w:rsidRPr="002C4077">
        <w:t xml:space="preserve"> </w:t>
      </w:r>
      <w:r>
        <w:t>de</w:t>
      </w:r>
      <w:r w:rsidRPr="002C4077">
        <w:t xml:space="preserve"> </w:t>
      </w:r>
      <w:r>
        <w:t>l’Écriture</w:t>
      </w:r>
      <w:r w:rsidRPr="002C4077">
        <w:t xml:space="preserve"> </w:t>
      </w:r>
      <w:r>
        <w:t>sainte</w:t>
      </w:r>
      <w:r w:rsidRPr="002C4077">
        <w:t xml:space="preserve"> </w:t>
      </w:r>
      <w:r>
        <w:t>étaient</w:t>
      </w:r>
      <w:r w:rsidRPr="002C4077">
        <w:t xml:space="preserve"> </w:t>
      </w:r>
      <w:r>
        <w:t>fort</w:t>
      </w:r>
      <w:r w:rsidRPr="002C4077">
        <w:t xml:space="preserve"> </w:t>
      </w:r>
      <w:r>
        <w:t>en</w:t>
      </w:r>
      <w:r w:rsidRPr="002C4077">
        <w:t xml:space="preserve"> </w:t>
      </w:r>
      <w:r>
        <w:t>usage.</w:t>
      </w:r>
      <w:r w:rsidRPr="002C4077">
        <w:t xml:space="preserve"> </w:t>
      </w:r>
      <w:r>
        <w:t>On</w:t>
      </w:r>
      <w:r w:rsidRPr="002C4077">
        <w:t xml:space="preserve"> </w:t>
      </w:r>
      <w:r>
        <w:t>interprétait</w:t>
      </w:r>
      <w:r w:rsidRPr="002C4077">
        <w:t xml:space="preserve"> </w:t>
      </w:r>
      <w:r>
        <w:t>comme</w:t>
      </w:r>
      <w:r w:rsidRPr="002C4077">
        <w:t xml:space="preserve"> </w:t>
      </w:r>
      <w:r>
        <w:t>il</w:t>
      </w:r>
      <w:r w:rsidRPr="002C4077">
        <w:t xml:space="preserve"> </w:t>
      </w:r>
      <w:r>
        <w:t>suit</w:t>
      </w:r>
      <w:r w:rsidRPr="002C4077">
        <w:t xml:space="preserve"> </w:t>
      </w:r>
      <w:r>
        <w:t>le</w:t>
      </w:r>
      <w:r w:rsidRPr="002C4077">
        <w:t xml:space="preserve"> </w:t>
      </w:r>
      <w:r>
        <w:t>mot</w:t>
      </w:r>
      <w:r w:rsidRPr="002C4077">
        <w:t xml:space="preserve"> </w:t>
      </w:r>
      <w:r>
        <w:t>de</w:t>
      </w:r>
      <w:r w:rsidRPr="002C4077">
        <w:t xml:space="preserve"> </w:t>
      </w:r>
      <w:r>
        <w:t>Salomon,</w:t>
      </w:r>
      <w:r w:rsidRPr="002C4077">
        <w:t xml:space="preserve"> </w:t>
      </w:r>
      <w:r w:rsidRPr="000A34B5">
        <w:rPr>
          <w:rStyle w:val="italicus"/>
        </w:rPr>
        <w:t>Jouis</w:t>
      </w:r>
      <w:r w:rsidRPr="002C4077">
        <w:t xml:space="preserve"> </w:t>
      </w:r>
      <w:r w:rsidRPr="000A34B5">
        <w:rPr>
          <w:rStyle w:val="italicus"/>
        </w:rPr>
        <w:t>de</w:t>
      </w:r>
      <w:r w:rsidRPr="002C4077">
        <w:t xml:space="preserve"> </w:t>
      </w:r>
      <w:r w:rsidRPr="000A34B5">
        <w:rPr>
          <w:rStyle w:val="italicus"/>
        </w:rPr>
        <w:t>la</w:t>
      </w:r>
      <w:r w:rsidRPr="002C4077">
        <w:t xml:space="preserve"> </w:t>
      </w:r>
      <w:r w:rsidRPr="000A34B5">
        <w:rPr>
          <w:rStyle w:val="italicus"/>
        </w:rPr>
        <w:t>vie</w:t>
      </w:r>
      <w:r w:rsidRPr="002C4077">
        <w:t xml:space="preserve"> </w:t>
      </w:r>
      <w:r w:rsidRPr="000A34B5">
        <w:rPr>
          <w:rStyle w:val="italicus"/>
        </w:rPr>
        <w:t>avec</w:t>
      </w:r>
      <w:r w:rsidRPr="002C4077">
        <w:t xml:space="preserve"> </w:t>
      </w:r>
      <w:r w:rsidRPr="000A34B5">
        <w:rPr>
          <w:rStyle w:val="italicus"/>
        </w:rPr>
        <w:t>la</w:t>
      </w:r>
      <w:r w:rsidRPr="002C4077">
        <w:t xml:space="preserve"> </w:t>
      </w:r>
      <w:r w:rsidRPr="000A34B5">
        <w:rPr>
          <w:rStyle w:val="italicus"/>
        </w:rPr>
        <w:t>femme</w:t>
      </w:r>
      <w:r w:rsidRPr="002C4077">
        <w:t xml:space="preserve"> </w:t>
      </w:r>
      <w:r w:rsidRPr="000A34B5">
        <w:rPr>
          <w:rStyle w:val="italicus"/>
        </w:rPr>
        <w:t>que</w:t>
      </w:r>
      <w:r w:rsidRPr="002C4077">
        <w:t xml:space="preserve"> </w:t>
      </w:r>
      <w:r w:rsidRPr="000A34B5">
        <w:rPr>
          <w:rStyle w:val="italicus"/>
        </w:rPr>
        <w:t>tu</w:t>
      </w:r>
      <w:r w:rsidRPr="002C4077">
        <w:t xml:space="preserve"> </w:t>
      </w:r>
      <w:r w:rsidRPr="000A34B5">
        <w:rPr>
          <w:rStyle w:val="italicus"/>
        </w:rPr>
        <w:t>aime</w:t>
      </w:r>
      <w:r w:rsidR="004377BC">
        <w:rPr>
          <w:rStyle w:val="italicus"/>
        </w:rPr>
        <w:t>s</w:t>
      </w:r>
      <w:r w:rsidR="004377BC">
        <w:rPr>
          <w:rStyle w:val="Appelnotedebasdep"/>
          <w:i/>
        </w:rPr>
        <w:footnoteReference w:id="796"/>
      </w:r>
      <w:r w:rsidR="00B546AF">
        <w:rPr>
          <w:rStyle w:val="italicus"/>
        </w:rPr>
        <w:t> </w:t>
      </w:r>
      <w:r w:rsidR="00B546AF" w:rsidRPr="000A34B5">
        <w:rPr>
          <w:rStyle w:val="italicus"/>
        </w:rPr>
        <w:t>:</w:t>
      </w:r>
      <w:r w:rsidRPr="002C4077">
        <w:t xml:space="preserve"> </w:t>
      </w:r>
      <w:r w:rsidR="00B546AF">
        <w:t>« </w:t>
      </w:r>
      <w:r>
        <w:t>Tu</w:t>
      </w:r>
      <w:r w:rsidRPr="002C4077">
        <w:t xml:space="preserve"> </w:t>
      </w:r>
      <w:r>
        <w:t>t’es</w:t>
      </w:r>
      <w:r w:rsidRPr="002C4077">
        <w:t xml:space="preserve"> </w:t>
      </w:r>
      <w:r>
        <w:t>consacré</w:t>
      </w:r>
      <w:r w:rsidRPr="002C4077">
        <w:t xml:space="preserve"> </w:t>
      </w:r>
      <w:r>
        <w:t>par</w:t>
      </w:r>
      <w:r w:rsidRPr="002C4077">
        <w:t xml:space="preserve"> </w:t>
      </w:r>
      <w:r>
        <w:t>amour</w:t>
      </w:r>
      <w:r w:rsidRPr="002C4077">
        <w:t xml:space="preserve"> </w:t>
      </w:r>
      <w:r>
        <w:t>à</w:t>
      </w:r>
      <w:r w:rsidRPr="002C4077">
        <w:t xml:space="preserve"> </w:t>
      </w:r>
      <w:r>
        <w:t>la</w:t>
      </w:r>
      <w:r w:rsidRPr="002C4077">
        <w:t xml:space="preserve"> </w:t>
      </w:r>
      <w:r w:rsidRPr="000A34B5">
        <w:rPr>
          <w:rStyle w:val="italicus"/>
        </w:rPr>
        <w:t>Thora</w:t>
      </w:r>
      <w:r w:rsidRPr="004440EA">
        <w:t xml:space="preserve"> (</w:t>
      </w:r>
      <w:r>
        <w:t>à</w:t>
      </w:r>
      <w:r w:rsidRPr="002C4077">
        <w:t xml:space="preserve"> </w:t>
      </w:r>
      <w:r>
        <w:t>la</w:t>
      </w:r>
      <w:r w:rsidRPr="002C4077">
        <w:t xml:space="preserve"> </w:t>
      </w:r>
      <w:r>
        <w:t>loi</w:t>
      </w:r>
      <w:r w:rsidR="00B546AF" w:rsidRPr="002C4077">
        <w:t>)</w:t>
      </w:r>
      <w:r w:rsidR="00B546AF" w:rsidRPr="00950016">
        <w:t> ;</w:t>
      </w:r>
      <w:r w:rsidRPr="002C4077">
        <w:t xml:space="preserve"> </w:t>
      </w:r>
      <w:r>
        <w:t>choisis</w:t>
      </w:r>
      <w:r w:rsidRPr="002C4077">
        <w:t xml:space="preserve"> </w:t>
      </w:r>
      <w:r>
        <w:t>cependant</w:t>
      </w:r>
      <w:r w:rsidRPr="002C4077">
        <w:t xml:space="preserve"> </w:t>
      </w:r>
      <w:r>
        <w:t>et</w:t>
      </w:r>
      <w:r w:rsidRPr="002C4077">
        <w:t xml:space="preserve"> </w:t>
      </w:r>
      <w:r>
        <w:t>place</w:t>
      </w:r>
      <w:r w:rsidRPr="002C4077">
        <w:t xml:space="preserve"> </w:t>
      </w:r>
      <w:r>
        <w:t>à</w:t>
      </w:r>
      <w:r w:rsidRPr="002C4077">
        <w:t xml:space="preserve"> </w:t>
      </w:r>
      <w:r>
        <w:t>côté</w:t>
      </w:r>
      <w:r w:rsidRPr="002C4077">
        <w:t xml:space="preserve"> </w:t>
      </w:r>
      <w:r>
        <w:t>d’elle</w:t>
      </w:r>
      <w:r w:rsidRPr="002C4077">
        <w:t xml:space="preserve"> </w:t>
      </w:r>
      <w:r>
        <w:t>une</w:t>
      </w:r>
      <w:r w:rsidRPr="002C4077">
        <w:t xml:space="preserve"> </w:t>
      </w:r>
      <w:r>
        <w:t>industrie</w:t>
      </w:r>
      <w:r w:rsidRPr="002C4077">
        <w:t xml:space="preserve"> </w:t>
      </w:r>
      <w:r>
        <w:t>qui</w:t>
      </w:r>
      <w:r w:rsidRPr="002C4077">
        <w:t xml:space="preserve"> </w:t>
      </w:r>
      <w:r>
        <w:t>serve</w:t>
      </w:r>
      <w:r w:rsidRPr="002C4077">
        <w:t xml:space="preserve"> </w:t>
      </w:r>
      <w:r>
        <w:t>à</w:t>
      </w:r>
      <w:r w:rsidRPr="002C4077">
        <w:t xml:space="preserve"> </w:t>
      </w:r>
      <w:r>
        <w:t>te</w:t>
      </w:r>
      <w:r w:rsidRPr="002C4077">
        <w:t xml:space="preserve"> </w:t>
      </w:r>
      <w:r>
        <w:t>nourrir</w:t>
      </w:r>
      <w:r w:rsidR="00B91AF7">
        <w:rPr>
          <w:rStyle w:val="Appelnotedebasdep"/>
        </w:rPr>
        <w:footnoteReference w:id="797"/>
      </w:r>
      <w:r w:rsidR="00B546AF">
        <w:t> »</w:t>
      </w:r>
      <w:r>
        <w:t>.</w:t>
      </w:r>
      <w:r w:rsidR="00C45B47">
        <w:t xml:space="preserve"> {</w:t>
      </w:r>
      <w:r w:rsidR="001F5257">
        <w:t>254</w:t>
      </w:r>
      <w:bookmarkStart w:id="614" w:name="p254"/>
      <w:bookmarkEnd w:id="614"/>
      <w:r w:rsidR="001F5257">
        <w:t xml:space="preserve">} </w:t>
      </w:r>
    </w:p>
    <w:p w:rsidR="000A7AAB" w:rsidRDefault="000A7AAB" w:rsidP="000A7AAB">
      <w:r>
        <w:t>Ce</w:t>
      </w:r>
      <w:r w:rsidRPr="002C4077">
        <w:t xml:space="preserve"> </w:t>
      </w:r>
      <w:r>
        <w:t>n’était</w:t>
      </w:r>
      <w:r w:rsidRPr="002C4077">
        <w:t xml:space="preserve"> </w:t>
      </w:r>
      <w:r>
        <w:t>donc</w:t>
      </w:r>
      <w:r w:rsidRPr="002C4077">
        <w:t xml:space="preserve"> </w:t>
      </w:r>
      <w:r>
        <w:t>pas</w:t>
      </w:r>
      <w:r w:rsidRPr="002C4077">
        <w:t xml:space="preserve"> </w:t>
      </w:r>
      <w:r>
        <w:t>seulement</w:t>
      </w:r>
      <w:r w:rsidRPr="002C4077">
        <w:t xml:space="preserve"> </w:t>
      </w:r>
      <w:r>
        <w:t>l’étude</w:t>
      </w:r>
      <w:r w:rsidRPr="002C4077">
        <w:t xml:space="preserve"> </w:t>
      </w:r>
      <w:r>
        <w:t>et</w:t>
      </w:r>
      <w:r w:rsidRPr="002C4077">
        <w:t xml:space="preserve"> </w:t>
      </w:r>
      <w:r>
        <w:t>la</w:t>
      </w:r>
      <w:r w:rsidRPr="002C4077">
        <w:t xml:space="preserve"> </w:t>
      </w:r>
      <w:r>
        <w:t>pratique</w:t>
      </w:r>
      <w:r w:rsidRPr="002C4077">
        <w:t xml:space="preserve"> </w:t>
      </w:r>
      <w:r>
        <w:t>des</w:t>
      </w:r>
      <w:r w:rsidRPr="002C4077">
        <w:t xml:space="preserve"> </w:t>
      </w:r>
      <w:r>
        <w:t>œuvres</w:t>
      </w:r>
      <w:r w:rsidRPr="002C4077">
        <w:t xml:space="preserve"> </w:t>
      </w:r>
      <w:r>
        <w:t>de</w:t>
      </w:r>
      <w:r w:rsidRPr="002C4077">
        <w:t xml:space="preserve"> </w:t>
      </w:r>
      <w:r>
        <w:t>charité,</w:t>
      </w:r>
      <w:r w:rsidRPr="002C4077">
        <w:t xml:space="preserve"> </w:t>
      </w:r>
      <w:r>
        <w:t>ce</w:t>
      </w:r>
      <w:r w:rsidRPr="002C4077">
        <w:t xml:space="preserve"> </w:t>
      </w:r>
      <w:r>
        <w:t>n’était</w:t>
      </w:r>
      <w:r w:rsidRPr="002C4077">
        <w:t xml:space="preserve"> </w:t>
      </w:r>
      <w:r>
        <w:t>pas</w:t>
      </w:r>
      <w:r w:rsidRPr="002C4077">
        <w:t xml:space="preserve"> </w:t>
      </w:r>
      <w:r>
        <w:t>seulement</w:t>
      </w:r>
      <w:r w:rsidRPr="002C4077">
        <w:t xml:space="preserve"> </w:t>
      </w:r>
      <w:r>
        <w:t>un</w:t>
      </w:r>
      <w:r w:rsidRPr="002C4077">
        <w:t xml:space="preserve"> </w:t>
      </w:r>
      <w:r>
        <w:t>travail</w:t>
      </w:r>
      <w:r w:rsidRPr="002C4077">
        <w:t xml:space="preserve"> </w:t>
      </w:r>
      <w:r>
        <w:t>honnête</w:t>
      </w:r>
      <w:r w:rsidRPr="002C4077">
        <w:t xml:space="preserve"> </w:t>
      </w:r>
      <w:r>
        <w:t>et</w:t>
      </w:r>
      <w:r w:rsidRPr="002C4077">
        <w:t xml:space="preserve"> </w:t>
      </w:r>
      <w:r>
        <w:t>la</w:t>
      </w:r>
      <w:r w:rsidRPr="002C4077">
        <w:t xml:space="preserve"> </w:t>
      </w:r>
      <w:r>
        <w:t>prière</w:t>
      </w:r>
      <w:r w:rsidRPr="002C4077">
        <w:t xml:space="preserve"> </w:t>
      </w:r>
      <w:r>
        <w:t>qui</w:t>
      </w:r>
      <w:r w:rsidRPr="002C4077">
        <w:t xml:space="preserve"> </w:t>
      </w:r>
      <w:r>
        <w:t>étaient</w:t>
      </w:r>
      <w:r w:rsidRPr="002C4077">
        <w:t xml:space="preserve"> </w:t>
      </w:r>
      <w:r>
        <w:t>regardés</w:t>
      </w:r>
      <w:r w:rsidRPr="002C4077">
        <w:t xml:space="preserve"> </w:t>
      </w:r>
      <w:r>
        <w:t>comme</w:t>
      </w:r>
      <w:r w:rsidRPr="002C4077">
        <w:t xml:space="preserve"> </w:t>
      </w:r>
      <w:r>
        <w:t>des</w:t>
      </w:r>
      <w:r w:rsidRPr="002C4077">
        <w:t xml:space="preserve"> </w:t>
      </w:r>
      <w:r>
        <w:t>couples</w:t>
      </w:r>
      <w:r w:rsidRPr="002C4077">
        <w:t xml:space="preserve"> </w:t>
      </w:r>
      <w:r>
        <w:t>bien</w:t>
      </w:r>
      <w:r w:rsidRPr="002C4077">
        <w:t xml:space="preserve"> </w:t>
      </w:r>
      <w:r>
        <w:t>assortis</w:t>
      </w:r>
      <w:r w:rsidR="00B91AF7">
        <w:rPr>
          <w:rStyle w:val="Appelnotedebasdep"/>
        </w:rPr>
        <w:footnoteReference w:id="798"/>
      </w:r>
      <w:r>
        <w:t>,</w:t>
      </w:r>
      <w:r w:rsidRPr="002C4077">
        <w:t xml:space="preserve"> </w:t>
      </w:r>
      <w:r>
        <w:t>et</w:t>
      </w:r>
      <w:r w:rsidRPr="002C4077">
        <w:t xml:space="preserve"> </w:t>
      </w:r>
      <w:r>
        <w:t>qu’on</w:t>
      </w:r>
      <w:r w:rsidRPr="002C4077">
        <w:t xml:space="preserve"> </w:t>
      </w:r>
      <w:r>
        <w:t>devait</w:t>
      </w:r>
      <w:r w:rsidRPr="002C4077">
        <w:t xml:space="preserve"> </w:t>
      </w:r>
      <w:r>
        <w:t>se</w:t>
      </w:r>
      <w:r w:rsidRPr="002C4077">
        <w:t xml:space="preserve"> </w:t>
      </w:r>
      <w:r>
        <w:t>garder</w:t>
      </w:r>
      <w:r w:rsidRPr="002C4077">
        <w:t xml:space="preserve"> </w:t>
      </w:r>
      <w:r>
        <w:t>de</w:t>
      </w:r>
      <w:r w:rsidRPr="002C4077">
        <w:t xml:space="preserve"> </w:t>
      </w:r>
      <w:r>
        <w:t>désunir</w:t>
      </w:r>
      <w:r w:rsidR="00B546AF">
        <w:t> ;</w:t>
      </w:r>
      <w:r w:rsidRPr="002C4077">
        <w:t xml:space="preserve"> </w:t>
      </w:r>
      <w:r>
        <w:t>il</w:t>
      </w:r>
      <w:r w:rsidRPr="002C4077">
        <w:t xml:space="preserve"> </w:t>
      </w:r>
      <w:r>
        <w:t>en</w:t>
      </w:r>
      <w:r w:rsidRPr="002C4077">
        <w:t xml:space="preserve"> </w:t>
      </w:r>
      <w:r>
        <w:t>était</w:t>
      </w:r>
      <w:r w:rsidRPr="002C4077">
        <w:t xml:space="preserve"> </w:t>
      </w:r>
      <w:r>
        <w:t>de</w:t>
      </w:r>
      <w:r w:rsidRPr="002C4077">
        <w:t xml:space="preserve"> </w:t>
      </w:r>
      <w:r>
        <w:t>même</w:t>
      </w:r>
      <w:r w:rsidRPr="002C4077">
        <w:t xml:space="preserve"> </w:t>
      </w:r>
      <w:r>
        <w:t>de</w:t>
      </w:r>
      <w:r w:rsidRPr="002C4077">
        <w:t xml:space="preserve"> </w:t>
      </w:r>
      <w:r>
        <w:t>l’étude</w:t>
      </w:r>
      <w:r w:rsidRPr="002C4077">
        <w:t xml:space="preserve"> </w:t>
      </w:r>
      <w:r>
        <w:t>et</w:t>
      </w:r>
      <w:r w:rsidRPr="002C4077">
        <w:t xml:space="preserve"> </w:t>
      </w:r>
      <w:r>
        <w:t>du</w:t>
      </w:r>
      <w:r w:rsidRPr="002C4077">
        <w:t xml:space="preserve"> </w:t>
      </w:r>
      <w:r>
        <w:t>travail,</w:t>
      </w:r>
      <w:r w:rsidRPr="002C4077">
        <w:t xml:space="preserve"> </w:t>
      </w:r>
      <w:r>
        <w:t>de</w:t>
      </w:r>
      <w:r w:rsidRPr="002C4077">
        <w:t xml:space="preserve"> </w:t>
      </w:r>
      <w:r>
        <w:t>la</w:t>
      </w:r>
      <w:r w:rsidRPr="002C4077">
        <w:t xml:space="preserve"> </w:t>
      </w:r>
      <w:r>
        <w:t>science</w:t>
      </w:r>
      <w:r w:rsidRPr="002C4077">
        <w:t xml:space="preserve"> </w:t>
      </w:r>
      <w:r>
        <w:t>et</w:t>
      </w:r>
      <w:r w:rsidRPr="002C4077">
        <w:t xml:space="preserve"> </w:t>
      </w:r>
      <w:r>
        <w:t>de</w:t>
      </w:r>
      <w:r w:rsidRPr="002C4077">
        <w:t xml:space="preserve"> </w:t>
      </w:r>
      <w:r>
        <w:t>l’industrie,</w:t>
      </w:r>
      <w:r w:rsidRPr="002C4077">
        <w:t xml:space="preserve"> </w:t>
      </w:r>
      <w:r>
        <w:t>du</w:t>
      </w:r>
      <w:r w:rsidRPr="002C4077">
        <w:t xml:space="preserve"> </w:t>
      </w:r>
      <w:r>
        <w:t>travail</w:t>
      </w:r>
      <w:r w:rsidRPr="002C4077">
        <w:t xml:space="preserve"> </w:t>
      </w:r>
      <w:r>
        <w:t>de</w:t>
      </w:r>
      <w:r w:rsidRPr="002C4077">
        <w:t xml:space="preserve"> </w:t>
      </w:r>
      <w:r>
        <w:t>l’esprit</w:t>
      </w:r>
      <w:r w:rsidRPr="002C4077">
        <w:t xml:space="preserve"> </w:t>
      </w:r>
      <w:r>
        <w:t>et</w:t>
      </w:r>
      <w:r w:rsidRPr="002C4077">
        <w:t xml:space="preserve"> </w:t>
      </w:r>
      <w:r>
        <w:t>du</w:t>
      </w:r>
      <w:r w:rsidRPr="002C4077">
        <w:t xml:space="preserve"> </w:t>
      </w:r>
      <w:r>
        <w:t>travail</w:t>
      </w:r>
      <w:r w:rsidRPr="002C4077">
        <w:t xml:space="preserve"> </w:t>
      </w:r>
      <w:r>
        <w:t>des</w:t>
      </w:r>
      <w:r w:rsidRPr="002C4077">
        <w:t xml:space="preserve"> </w:t>
      </w:r>
      <w:r>
        <w:t>mains.</w:t>
      </w:r>
      <w:r w:rsidRPr="002C4077">
        <w:t xml:space="preserve"> </w:t>
      </w:r>
      <w:r>
        <w:t>Voilà</w:t>
      </w:r>
      <w:bookmarkStart w:id="615" w:name="z_RabbinsArtisans_o1"/>
      <w:bookmarkEnd w:id="615"/>
      <w:r w:rsidRPr="002C4077">
        <w:t xml:space="preserve"> </w:t>
      </w:r>
      <w:r>
        <w:t>pourquoi</w:t>
      </w:r>
      <w:r w:rsidRPr="002C4077">
        <w:t xml:space="preserve"> </w:t>
      </w:r>
      <w:r>
        <w:t>on</w:t>
      </w:r>
      <w:r w:rsidRPr="002C4077">
        <w:t xml:space="preserve"> </w:t>
      </w:r>
      <w:r>
        <w:t>appelait</w:t>
      </w:r>
      <w:r w:rsidRPr="002C4077">
        <w:t xml:space="preserve"> </w:t>
      </w:r>
      <w:r>
        <w:t>R.</w:t>
      </w:r>
      <w:r w:rsidRPr="002C4077">
        <w:t xml:space="preserve"> </w:t>
      </w:r>
      <w:r>
        <w:t>José</w:t>
      </w:r>
      <w:r w:rsidRPr="002C4077">
        <w:t xml:space="preserve"> </w:t>
      </w:r>
      <w:r>
        <w:t>ben</w:t>
      </w:r>
      <w:r w:rsidRPr="002C4077">
        <w:t xml:space="preserve"> </w:t>
      </w:r>
      <w:r>
        <w:t>Meschullam</w:t>
      </w:r>
      <w:r w:rsidRPr="002C4077">
        <w:t xml:space="preserve"> </w:t>
      </w:r>
      <w:r>
        <w:t>et</w:t>
      </w:r>
      <w:r w:rsidRPr="002C4077">
        <w:t xml:space="preserve"> </w:t>
      </w:r>
      <w:r>
        <w:t>R.</w:t>
      </w:r>
      <w:r w:rsidRPr="002C4077">
        <w:t xml:space="preserve"> </w:t>
      </w:r>
      <w:r>
        <w:t>Siméon</w:t>
      </w:r>
      <w:r w:rsidRPr="002C4077">
        <w:t xml:space="preserve"> </w:t>
      </w:r>
      <w:r>
        <w:t>ben</w:t>
      </w:r>
      <w:r w:rsidRPr="002C4077">
        <w:t xml:space="preserve"> </w:t>
      </w:r>
      <w:r>
        <w:t>Men</w:t>
      </w:r>
      <w:r w:rsidR="006F72A8">
        <w:t>a</w:t>
      </w:r>
      <w:r w:rsidR="003B53FD">
        <w:t>sia</w:t>
      </w:r>
      <w:r w:rsidRPr="002C4077">
        <w:t xml:space="preserve"> </w:t>
      </w:r>
      <w:r w:rsidRPr="000A34B5">
        <w:rPr>
          <w:rStyle w:val="italicus"/>
        </w:rPr>
        <w:t>la</w:t>
      </w:r>
      <w:r w:rsidRPr="002C4077">
        <w:t xml:space="preserve"> </w:t>
      </w:r>
      <w:r w:rsidRPr="000A34B5">
        <w:rPr>
          <w:rStyle w:val="italicus"/>
        </w:rPr>
        <w:t>sainte</w:t>
      </w:r>
      <w:r w:rsidRPr="002C4077">
        <w:t xml:space="preserve"> </w:t>
      </w:r>
      <w:r w:rsidRPr="000A34B5">
        <w:rPr>
          <w:rStyle w:val="italicus"/>
        </w:rPr>
        <w:t>Communauté,</w:t>
      </w:r>
      <w:r w:rsidRPr="002C4077">
        <w:t xml:space="preserve"> </w:t>
      </w:r>
      <w:r>
        <w:t>parce</w:t>
      </w:r>
      <w:r w:rsidRPr="002C4077">
        <w:t xml:space="preserve"> </w:t>
      </w:r>
      <w:r>
        <w:t>qu’ils</w:t>
      </w:r>
      <w:r w:rsidRPr="002C4077">
        <w:t xml:space="preserve"> </w:t>
      </w:r>
      <w:r>
        <w:t>consacraient</w:t>
      </w:r>
      <w:r w:rsidRPr="002C4077">
        <w:t xml:space="preserve"> </w:t>
      </w:r>
      <w:r>
        <w:t>un</w:t>
      </w:r>
      <w:r w:rsidRPr="002C4077">
        <w:t xml:space="preserve"> </w:t>
      </w:r>
      <w:r>
        <w:t>tiers</w:t>
      </w:r>
      <w:r w:rsidRPr="002C4077">
        <w:t xml:space="preserve"> </w:t>
      </w:r>
      <w:r>
        <w:t>du</w:t>
      </w:r>
      <w:r w:rsidRPr="002C4077">
        <w:t xml:space="preserve"> </w:t>
      </w:r>
      <w:r>
        <w:t>jour</w:t>
      </w:r>
      <w:r w:rsidRPr="002C4077">
        <w:t xml:space="preserve"> </w:t>
      </w:r>
      <w:r>
        <w:t>à</w:t>
      </w:r>
      <w:r w:rsidRPr="002C4077">
        <w:t xml:space="preserve"> </w:t>
      </w:r>
      <w:r>
        <w:t>la</w:t>
      </w:r>
      <w:r w:rsidRPr="002C4077">
        <w:t xml:space="preserve"> </w:t>
      </w:r>
      <w:r>
        <w:t>prière,</w:t>
      </w:r>
      <w:r w:rsidRPr="002C4077">
        <w:t xml:space="preserve"> </w:t>
      </w:r>
      <w:r>
        <w:t>un</w:t>
      </w:r>
      <w:r w:rsidRPr="002C4077">
        <w:t xml:space="preserve"> </w:t>
      </w:r>
      <w:r>
        <w:t>tiers</w:t>
      </w:r>
      <w:r w:rsidRPr="002C4077">
        <w:t xml:space="preserve"> </w:t>
      </w:r>
      <w:r>
        <w:t>à</w:t>
      </w:r>
      <w:r w:rsidRPr="002C4077">
        <w:t xml:space="preserve"> </w:t>
      </w:r>
      <w:r>
        <w:t>l’étude</w:t>
      </w:r>
      <w:r w:rsidRPr="002C4077">
        <w:t xml:space="preserve"> </w:t>
      </w:r>
      <w:r>
        <w:t>et</w:t>
      </w:r>
      <w:r w:rsidRPr="002C4077">
        <w:t xml:space="preserve"> </w:t>
      </w:r>
      <w:r>
        <w:t>un</w:t>
      </w:r>
      <w:r w:rsidRPr="002C4077">
        <w:t xml:space="preserve"> </w:t>
      </w:r>
      <w:r>
        <w:t>tiers</w:t>
      </w:r>
      <w:r w:rsidRPr="002C4077">
        <w:t xml:space="preserve"> </w:t>
      </w:r>
      <w:r>
        <w:t>au</w:t>
      </w:r>
      <w:r w:rsidRPr="002C4077">
        <w:t xml:space="preserve"> </w:t>
      </w:r>
      <w:r>
        <w:t>travail</w:t>
      </w:r>
      <w:r w:rsidRPr="002C4077">
        <w:t xml:space="preserve"> </w:t>
      </w:r>
      <w:r>
        <w:t>manuel.</w:t>
      </w:r>
      <w:r w:rsidRPr="002C4077">
        <w:t xml:space="preserve"> </w:t>
      </w:r>
      <w:r>
        <w:t>Voilà</w:t>
      </w:r>
      <w:r w:rsidRPr="002C4077">
        <w:t xml:space="preserve"> </w:t>
      </w:r>
      <w:r>
        <w:t>pourquoi</w:t>
      </w:r>
      <w:r w:rsidRPr="002C4077">
        <w:t xml:space="preserve"> </w:t>
      </w:r>
      <w:r>
        <w:t>des</w:t>
      </w:r>
      <w:r w:rsidRPr="002C4077">
        <w:t xml:space="preserve"> </w:t>
      </w:r>
      <w:r>
        <w:t>personnages</w:t>
      </w:r>
      <w:r w:rsidRPr="002C4077">
        <w:t xml:space="preserve"> </w:t>
      </w:r>
      <w:r>
        <w:t>renommés</w:t>
      </w:r>
      <w:r w:rsidRPr="002C4077">
        <w:t xml:space="preserve"> </w:t>
      </w:r>
      <w:r>
        <w:t>portaient</w:t>
      </w:r>
      <w:r w:rsidRPr="002C4077">
        <w:t xml:space="preserve"> </w:t>
      </w:r>
      <w:r>
        <w:t>leur</w:t>
      </w:r>
      <w:r w:rsidRPr="002C4077">
        <w:t xml:space="preserve"> </w:t>
      </w:r>
      <w:r>
        <w:t>siège</w:t>
      </w:r>
      <w:r w:rsidRPr="002C4077">
        <w:t xml:space="preserve"> </w:t>
      </w:r>
      <w:r>
        <w:t>sur</w:t>
      </w:r>
      <w:r w:rsidRPr="002C4077">
        <w:t xml:space="preserve"> </w:t>
      </w:r>
      <w:r>
        <w:t>leurs</w:t>
      </w:r>
      <w:r w:rsidRPr="002C4077">
        <w:t xml:space="preserve"> </w:t>
      </w:r>
      <w:r>
        <w:t>propres</w:t>
      </w:r>
      <w:r w:rsidRPr="002C4077">
        <w:t xml:space="preserve"> </w:t>
      </w:r>
      <w:r>
        <w:t>épaules</w:t>
      </w:r>
      <w:r w:rsidRPr="002C4077">
        <w:t xml:space="preserve"> </w:t>
      </w:r>
      <w:r>
        <w:t>jusqu’aux</w:t>
      </w:r>
      <w:r w:rsidRPr="002C4077">
        <w:t xml:space="preserve"> </w:t>
      </w:r>
      <w:r>
        <w:t>lieux</w:t>
      </w:r>
      <w:r w:rsidRPr="002C4077">
        <w:t xml:space="preserve"> </w:t>
      </w:r>
      <w:r>
        <w:t>où</w:t>
      </w:r>
      <w:r w:rsidRPr="002C4077">
        <w:t xml:space="preserve"> </w:t>
      </w:r>
      <w:r>
        <w:t>ils</w:t>
      </w:r>
      <w:r w:rsidRPr="002C4077">
        <w:t xml:space="preserve"> </w:t>
      </w:r>
      <w:r>
        <w:t>devaient</w:t>
      </w:r>
      <w:r w:rsidRPr="002C4077">
        <w:t xml:space="preserve"> </w:t>
      </w:r>
      <w:r>
        <w:t>donner</w:t>
      </w:r>
      <w:r w:rsidRPr="002C4077">
        <w:t xml:space="preserve"> </w:t>
      </w:r>
      <w:r>
        <w:t>leurs</w:t>
      </w:r>
      <w:r w:rsidRPr="002C4077">
        <w:t xml:space="preserve"> </w:t>
      </w:r>
      <w:r>
        <w:t>cours</w:t>
      </w:r>
      <w:r w:rsidR="00B91AF7">
        <w:rPr>
          <w:rStyle w:val="Appelnotedebasdep"/>
        </w:rPr>
        <w:footnoteReference w:id="799"/>
      </w:r>
      <w:r>
        <w:t>.</w:t>
      </w:r>
      <w:r w:rsidRPr="002C4077">
        <w:t xml:space="preserve"> </w:t>
      </w:r>
      <w:r>
        <w:t>Voilà</w:t>
      </w:r>
      <w:r w:rsidRPr="002C4077">
        <w:t xml:space="preserve"> </w:t>
      </w:r>
      <w:r>
        <w:t>pourquoi</w:t>
      </w:r>
      <w:r w:rsidRPr="002C4077">
        <w:t xml:space="preserve"> </w:t>
      </w:r>
      <w:r>
        <w:t>plus</w:t>
      </w:r>
      <w:r w:rsidRPr="002C4077">
        <w:t xml:space="preserve"> </w:t>
      </w:r>
      <w:r>
        <w:t>de</w:t>
      </w:r>
      <w:r w:rsidRPr="002C4077">
        <w:t xml:space="preserve"> </w:t>
      </w:r>
      <w:r>
        <w:t>cent</w:t>
      </w:r>
      <w:r w:rsidRPr="002C4077">
        <w:t xml:space="preserve"> </w:t>
      </w:r>
      <w:r>
        <w:t>rabbins,</w:t>
      </w:r>
      <w:r w:rsidRPr="002C4077">
        <w:t xml:space="preserve"> </w:t>
      </w:r>
      <w:r>
        <w:t>mentionnés</w:t>
      </w:r>
      <w:r w:rsidRPr="002C4077">
        <w:t xml:space="preserve"> </w:t>
      </w:r>
      <w:r>
        <w:t>dans</w:t>
      </w:r>
      <w:r w:rsidRPr="002C4077">
        <w:t xml:space="preserve"> </w:t>
      </w:r>
      <w:r>
        <w:t>le</w:t>
      </w:r>
      <w:r w:rsidRPr="002C4077">
        <w:t xml:space="preserve"> </w:t>
      </w:r>
      <w:r>
        <w:t>Talmud,</w:t>
      </w:r>
      <w:r w:rsidRPr="002C4077">
        <w:t xml:space="preserve"> </w:t>
      </w:r>
      <w:r>
        <w:t>étaient</w:t>
      </w:r>
      <w:r w:rsidRPr="002C4077">
        <w:t xml:space="preserve"> </w:t>
      </w:r>
      <w:r>
        <w:t>aussi</w:t>
      </w:r>
      <w:r w:rsidRPr="002C4077">
        <w:t xml:space="preserve"> </w:t>
      </w:r>
      <w:r>
        <w:t>des</w:t>
      </w:r>
      <w:r w:rsidRPr="002C4077">
        <w:t xml:space="preserve"> </w:t>
      </w:r>
      <w:r>
        <w:t>artisans.</w:t>
      </w:r>
      <w:r w:rsidRPr="002C4077">
        <w:t xml:space="preserve"> </w:t>
      </w:r>
      <w:r>
        <w:t>R.</w:t>
      </w:r>
      <w:r w:rsidRPr="002C4077">
        <w:t xml:space="preserve"> </w:t>
      </w:r>
      <w:r>
        <w:t>Oschaïa</w:t>
      </w:r>
      <w:r w:rsidRPr="002C4077">
        <w:t xml:space="preserve"> </w:t>
      </w:r>
      <w:r>
        <w:t>et</w:t>
      </w:r>
      <w:r w:rsidRPr="002C4077">
        <w:t xml:space="preserve"> </w:t>
      </w:r>
      <w:r>
        <w:t>R.</w:t>
      </w:r>
      <w:r w:rsidRPr="002C4077">
        <w:t xml:space="preserve"> </w:t>
      </w:r>
      <w:r>
        <w:t>Chanina</w:t>
      </w:r>
      <w:r w:rsidRPr="002C4077">
        <w:t xml:space="preserve"> </w:t>
      </w:r>
      <w:r>
        <w:t>étaient</w:t>
      </w:r>
      <w:r w:rsidRPr="002C4077">
        <w:t xml:space="preserve"> </w:t>
      </w:r>
      <w:r>
        <w:t>cordonniers</w:t>
      </w:r>
      <w:r w:rsidR="00B546AF">
        <w:t> ;</w:t>
      </w:r>
      <w:r w:rsidRPr="002C4077">
        <w:t xml:space="preserve"> </w:t>
      </w:r>
      <w:r>
        <w:t>R.</w:t>
      </w:r>
      <w:r w:rsidRPr="002C4077">
        <w:t xml:space="preserve"> </w:t>
      </w:r>
      <w:r>
        <w:t>Abba</w:t>
      </w:r>
      <w:r w:rsidRPr="002C4077">
        <w:t xml:space="preserve"> </w:t>
      </w:r>
      <w:r>
        <w:t>et</w:t>
      </w:r>
      <w:r w:rsidRPr="002C4077">
        <w:t xml:space="preserve"> </w:t>
      </w:r>
      <w:r>
        <w:t>R.</w:t>
      </w:r>
      <w:r w:rsidRPr="002C4077">
        <w:t xml:space="preserve"> </w:t>
      </w:r>
      <w:r>
        <w:t>Juda,</w:t>
      </w:r>
      <w:r w:rsidRPr="002C4077">
        <w:t xml:space="preserve"> </w:t>
      </w:r>
      <w:r>
        <w:t>tailleurs</w:t>
      </w:r>
      <w:r w:rsidR="00B546AF">
        <w:t> ;</w:t>
      </w:r>
      <w:r w:rsidRPr="002C4077">
        <w:t xml:space="preserve"> </w:t>
      </w:r>
      <w:r>
        <w:t>un</w:t>
      </w:r>
      <w:r w:rsidRPr="002C4077">
        <w:t xml:space="preserve"> </w:t>
      </w:r>
      <w:r>
        <w:t>autre</w:t>
      </w:r>
      <w:r w:rsidRPr="002C4077">
        <w:t xml:space="preserve"> </w:t>
      </w:r>
      <w:r>
        <w:t>Juda</w:t>
      </w:r>
      <w:r w:rsidRPr="002C4077">
        <w:t xml:space="preserve"> </w:t>
      </w:r>
      <w:r>
        <w:t>était</w:t>
      </w:r>
      <w:r w:rsidRPr="002C4077">
        <w:t xml:space="preserve"> </w:t>
      </w:r>
      <w:r>
        <w:t>boulanger,</w:t>
      </w:r>
      <w:r w:rsidRPr="002C4077">
        <w:t xml:space="preserve"> </w:t>
      </w:r>
      <w:r>
        <w:t>un</w:t>
      </w:r>
      <w:r w:rsidRPr="002C4077">
        <w:t xml:space="preserve"> </w:t>
      </w:r>
      <w:r>
        <w:t>troisième</w:t>
      </w:r>
      <w:r w:rsidRPr="002C4077">
        <w:t xml:space="preserve"> </w:t>
      </w:r>
      <w:r>
        <w:t>parfumeur</w:t>
      </w:r>
      <w:r w:rsidR="00B546AF">
        <w:t> ;</w:t>
      </w:r>
      <w:r w:rsidRPr="002C4077">
        <w:t xml:space="preserve"> </w:t>
      </w:r>
      <w:r>
        <w:t>et</w:t>
      </w:r>
      <w:r w:rsidRPr="002C4077">
        <w:t xml:space="preserve"> </w:t>
      </w:r>
      <w:r>
        <w:t>c’est</w:t>
      </w:r>
      <w:r w:rsidRPr="002C4077">
        <w:t xml:space="preserve"> </w:t>
      </w:r>
      <w:r>
        <w:t>encore</w:t>
      </w:r>
      <w:r w:rsidRPr="002C4077">
        <w:t xml:space="preserve"> </w:t>
      </w:r>
      <w:r>
        <w:t>ainsi</w:t>
      </w:r>
      <w:r w:rsidRPr="002C4077">
        <w:t xml:space="preserve"> </w:t>
      </w:r>
      <w:r>
        <w:t>que</w:t>
      </w:r>
      <w:r w:rsidRPr="002C4077">
        <w:t xml:space="preserve"> </w:t>
      </w:r>
      <w:r>
        <w:t>nous</w:t>
      </w:r>
      <w:r w:rsidRPr="002C4077">
        <w:t xml:space="preserve"> </w:t>
      </w:r>
      <w:r>
        <w:t>trouvons</w:t>
      </w:r>
      <w:r w:rsidRPr="002C4077">
        <w:t xml:space="preserve"> </w:t>
      </w:r>
      <w:r>
        <w:t>dans</w:t>
      </w:r>
      <w:r w:rsidRPr="002C4077">
        <w:t xml:space="preserve"> </w:t>
      </w:r>
      <w:r>
        <w:t>cette</w:t>
      </w:r>
      <w:r w:rsidRPr="002C4077">
        <w:t xml:space="preserve"> </w:t>
      </w:r>
      <w:r>
        <w:t>république</w:t>
      </w:r>
      <w:r w:rsidRPr="002C4077">
        <w:t xml:space="preserve"> </w:t>
      </w:r>
      <w:r>
        <w:t>de</w:t>
      </w:r>
      <w:r w:rsidRPr="002C4077">
        <w:t xml:space="preserve"> </w:t>
      </w:r>
      <w:r>
        <w:t>savants</w:t>
      </w:r>
      <w:r w:rsidRPr="002C4077">
        <w:t xml:space="preserve"> </w:t>
      </w:r>
      <w:r>
        <w:t>non-seulement</w:t>
      </w:r>
      <w:r w:rsidRPr="002C4077">
        <w:t xml:space="preserve"> </w:t>
      </w:r>
      <w:r>
        <w:t>un</w:t>
      </w:r>
      <w:r w:rsidRPr="002C4077">
        <w:t xml:space="preserve"> </w:t>
      </w:r>
      <w:r>
        <w:t>chirurgien</w:t>
      </w:r>
      <w:r w:rsidRPr="002C4077">
        <w:t xml:space="preserve"> </w:t>
      </w:r>
      <w:r>
        <w:t>Abba,</w:t>
      </w:r>
      <w:r w:rsidRPr="002C4077">
        <w:t xml:space="preserve"> </w:t>
      </w:r>
      <w:r>
        <w:t>un</w:t>
      </w:r>
      <w:r w:rsidRPr="002C4077">
        <w:t xml:space="preserve"> </w:t>
      </w:r>
      <w:r>
        <w:t>architecte</w:t>
      </w:r>
      <w:r w:rsidRPr="002C4077">
        <w:t xml:space="preserve"> </w:t>
      </w:r>
      <w:r>
        <w:t>Abba</w:t>
      </w:r>
      <w:r w:rsidRPr="002C4077">
        <w:t xml:space="preserve"> </w:t>
      </w:r>
      <w:r>
        <w:t>Josef,</w:t>
      </w:r>
      <w:r w:rsidRPr="002C4077">
        <w:t xml:space="preserve"> </w:t>
      </w:r>
      <w:r>
        <w:t>un</w:t>
      </w:r>
      <w:r w:rsidRPr="002C4077">
        <w:t xml:space="preserve"> </w:t>
      </w:r>
      <w:r>
        <w:t>fossoyeur</w:t>
      </w:r>
      <w:r w:rsidRPr="002C4077">
        <w:t xml:space="preserve"> </w:t>
      </w:r>
      <w:r>
        <w:t>Abba</w:t>
      </w:r>
      <w:r w:rsidRPr="002C4077">
        <w:t xml:space="preserve"> </w:t>
      </w:r>
      <w:r>
        <w:t>Scha</w:t>
      </w:r>
      <w:r w:rsidR="000F4CEC">
        <w:t>ü</w:t>
      </w:r>
      <w:r>
        <w:t>l,</w:t>
      </w:r>
      <w:r w:rsidRPr="002C4077">
        <w:t xml:space="preserve"> </w:t>
      </w:r>
      <w:r>
        <w:t>un</w:t>
      </w:r>
      <w:r w:rsidRPr="002C4077">
        <w:t xml:space="preserve"> </w:t>
      </w:r>
      <w:r>
        <w:t>géomètre</w:t>
      </w:r>
      <w:r w:rsidRPr="002C4077">
        <w:t xml:space="preserve"> </w:t>
      </w:r>
      <w:r>
        <w:t>Ada,</w:t>
      </w:r>
      <w:r w:rsidRPr="002C4077">
        <w:t xml:space="preserve"> </w:t>
      </w:r>
      <w:r>
        <w:t>un</w:t>
      </w:r>
      <w:r w:rsidRPr="002C4077">
        <w:t xml:space="preserve"> </w:t>
      </w:r>
      <w:r>
        <w:t>changeur</w:t>
      </w:r>
      <w:r w:rsidRPr="002C4077">
        <w:t xml:space="preserve"> </w:t>
      </w:r>
      <w:r>
        <w:t>Chana,</w:t>
      </w:r>
      <w:r w:rsidRPr="002C4077">
        <w:t xml:space="preserve"> </w:t>
      </w:r>
      <w:r>
        <w:t>mais</w:t>
      </w:r>
      <w:r w:rsidRPr="002C4077">
        <w:t xml:space="preserve"> </w:t>
      </w:r>
      <w:r>
        <w:t>aussi</w:t>
      </w:r>
      <w:r w:rsidRPr="002C4077">
        <w:t xml:space="preserve"> </w:t>
      </w:r>
      <w:r>
        <w:t>un</w:t>
      </w:r>
      <w:r w:rsidRPr="002C4077">
        <w:t xml:space="preserve"> </w:t>
      </w:r>
      <w:r>
        <w:t>charpentier</w:t>
      </w:r>
      <w:r w:rsidRPr="002C4077">
        <w:t xml:space="preserve"> </w:t>
      </w:r>
      <w:r>
        <w:t>Abin,</w:t>
      </w:r>
      <w:r w:rsidRPr="002C4077">
        <w:t xml:space="preserve"> </w:t>
      </w:r>
      <w:r>
        <w:t>un</w:t>
      </w:r>
      <w:r w:rsidRPr="002C4077">
        <w:t xml:space="preserve"> </w:t>
      </w:r>
      <w:r>
        <w:t>foulon</w:t>
      </w:r>
      <w:r w:rsidRPr="002C4077">
        <w:t xml:space="preserve"> </w:t>
      </w:r>
      <w:r>
        <w:t>Abba</w:t>
      </w:r>
      <w:r w:rsidRPr="002C4077">
        <w:t xml:space="preserve"> </w:t>
      </w:r>
      <w:r>
        <w:t>Behaïa,</w:t>
      </w:r>
      <w:r w:rsidRPr="002C4077">
        <w:t xml:space="preserve"> </w:t>
      </w:r>
      <w:r>
        <w:t>un</w:t>
      </w:r>
      <w:r w:rsidRPr="002C4077">
        <w:t xml:space="preserve"> </w:t>
      </w:r>
      <w:r>
        <w:t>fabricant</w:t>
      </w:r>
      <w:r w:rsidRPr="002C4077">
        <w:t xml:space="preserve"> </w:t>
      </w:r>
      <w:r>
        <w:t>de</w:t>
      </w:r>
      <w:r w:rsidRPr="002C4077">
        <w:t xml:space="preserve"> </w:t>
      </w:r>
      <w:r>
        <w:t>sandales</w:t>
      </w:r>
      <w:r w:rsidRPr="002C4077">
        <w:t xml:space="preserve"> </w:t>
      </w:r>
      <w:r>
        <w:t>Jochanan,</w:t>
      </w:r>
      <w:r w:rsidRPr="002C4077">
        <w:t xml:space="preserve"> </w:t>
      </w:r>
      <w:r>
        <w:t>un</w:t>
      </w:r>
      <w:r w:rsidRPr="002C4077">
        <w:t xml:space="preserve"> </w:t>
      </w:r>
      <w:r>
        <w:t>corroyeur</w:t>
      </w:r>
      <w:r w:rsidRPr="002C4077">
        <w:t xml:space="preserve"> </w:t>
      </w:r>
      <w:r>
        <w:t>José,</w:t>
      </w:r>
      <w:r w:rsidRPr="002C4077">
        <w:t xml:space="preserve"> </w:t>
      </w:r>
      <w:r>
        <w:t>un</w:t>
      </w:r>
      <w:r w:rsidRPr="002C4077">
        <w:t xml:space="preserve"> </w:t>
      </w:r>
      <w:r>
        <w:t>forgeron</w:t>
      </w:r>
      <w:r w:rsidRPr="002C4077">
        <w:t xml:space="preserve"> </w:t>
      </w:r>
      <w:r>
        <w:t>Isaac,</w:t>
      </w:r>
      <w:r w:rsidRPr="002C4077">
        <w:t xml:space="preserve"> </w:t>
      </w:r>
      <w:r>
        <w:t>un</w:t>
      </w:r>
      <w:r w:rsidRPr="002C4077">
        <w:t xml:space="preserve"> </w:t>
      </w:r>
      <w:r>
        <w:t>potier</w:t>
      </w:r>
      <w:r w:rsidRPr="002C4077">
        <w:t xml:space="preserve"> </w:t>
      </w:r>
      <w:r>
        <w:t>Néhémie,</w:t>
      </w:r>
      <w:r w:rsidRPr="002C4077">
        <w:t xml:space="preserve"> </w:t>
      </w:r>
      <w:r>
        <w:t>un</w:t>
      </w:r>
      <w:r w:rsidRPr="002C4077">
        <w:t xml:space="preserve"> </w:t>
      </w:r>
      <w:r>
        <w:t>brodeur</w:t>
      </w:r>
      <w:r w:rsidRPr="002C4077">
        <w:t xml:space="preserve"> </w:t>
      </w:r>
      <w:r>
        <w:lastRenderedPageBreak/>
        <w:t>Siméon,</w:t>
      </w:r>
      <w:r w:rsidRPr="002C4077">
        <w:t xml:space="preserve"> </w:t>
      </w:r>
      <w:r>
        <w:t>un</w:t>
      </w:r>
      <w:r w:rsidRPr="002C4077">
        <w:t xml:space="preserve"> </w:t>
      </w:r>
      <w:r>
        <w:t>fumiste</w:t>
      </w:r>
      <w:r w:rsidRPr="002C4077">
        <w:t xml:space="preserve"> </w:t>
      </w:r>
      <w:r>
        <w:t>Ami,</w:t>
      </w:r>
      <w:r w:rsidRPr="002C4077">
        <w:t xml:space="preserve"> </w:t>
      </w:r>
      <w:r w:rsidR="00425C50">
        <w:t>etc</w:t>
      </w:r>
      <w:r>
        <w:t>.</w:t>
      </w:r>
      <w:r w:rsidRPr="002C4077">
        <w:t xml:space="preserve"> </w:t>
      </w:r>
      <w:r>
        <w:t>Autre</w:t>
      </w:r>
      <w:r w:rsidRPr="002C4077">
        <w:t xml:space="preserve"> </w:t>
      </w:r>
      <w:r>
        <w:t>Fabr</w:t>
      </w:r>
      <w:r w:rsidR="003B53FD">
        <w:t>ícius</w:t>
      </w:r>
      <w:r>
        <w:t>,</w:t>
      </w:r>
      <w:r w:rsidRPr="002C4077">
        <w:t xml:space="preserve"> </w:t>
      </w:r>
      <w:r>
        <w:t>Pinéhas</w:t>
      </w:r>
      <w:r w:rsidRPr="002C4077">
        <w:t xml:space="preserve"> </w:t>
      </w:r>
      <w:r>
        <w:t>taillait</w:t>
      </w:r>
      <w:r w:rsidRPr="002C4077">
        <w:t xml:space="preserve"> </w:t>
      </w:r>
      <w:r>
        <w:t>une</w:t>
      </w:r>
      <w:r w:rsidRPr="002C4077">
        <w:t xml:space="preserve"> </w:t>
      </w:r>
      <w:r>
        <w:t>pierre</w:t>
      </w:r>
      <w:r w:rsidRPr="002C4077">
        <w:t xml:space="preserve"> </w:t>
      </w:r>
      <w:r>
        <w:t>lorsqu’on</w:t>
      </w:r>
      <w:r w:rsidRPr="002C4077">
        <w:t xml:space="preserve"> </w:t>
      </w:r>
      <w:r>
        <w:t>vint</w:t>
      </w:r>
      <w:r w:rsidRPr="002C4077">
        <w:t xml:space="preserve"> </w:t>
      </w:r>
      <w:r>
        <w:t>lui</w:t>
      </w:r>
      <w:r w:rsidRPr="002C4077">
        <w:t xml:space="preserve"> </w:t>
      </w:r>
      <w:r>
        <w:t>annoncer</w:t>
      </w:r>
      <w:r w:rsidRPr="002C4077">
        <w:t xml:space="preserve"> </w:t>
      </w:r>
      <w:r>
        <w:t>qu’il</w:t>
      </w:r>
      <w:r w:rsidRPr="002C4077">
        <w:t xml:space="preserve"> </w:t>
      </w:r>
      <w:r>
        <w:t>avait</w:t>
      </w:r>
      <w:r w:rsidRPr="002C4077">
        <w:t xml:space="preserve"> </w:t>
      </w:r>
      <w:r>
        <w:t>été</w:t>
      </w:r>
      <w:r w:rsidRPr="002C4077">
        <w:t xml:space="preserve"> </w:t>
      </w:r>
      <w:r>
        <w:t>élu</w:t>
      </w:r>
      <w:r w:rsidRPr="002C4077">
        <w:t xml:space="preserve"> </w:t>
      </w:r>
      <w:r>
        <w:t>grand-</w:t>
      </w:r>
      <w:r w:rsidR="00425C50">
        <w:t>prêtre</w:t>
      </w:r>
      <w:r w:rsidR="00242610">
        <w:rPr>
          <w:rStyle w:val="Appelnotedebasdep"/>
        </w:rPr>
        <w:footnoteReference w:id="800"/>
      </w:r>
      <w:r>
        <w:t>.</w:t>
      </w:r>
      <w:r w:rsidRPr="002C4077">
        <w:t xml:space="preserve"> </w:t>
      </w:r>
      <w:r>
        <w:t>R.</w:t>
      </w:r>
      <w:r w:rsidRPr="002C4077">
        <w:t xml:space="preserve"> </w:t>
      </w:r>
      <w:r>
        <w:t>Josef</w:t>
      </w:r>
      <w:r w:rsidRPr="002C4077">
        <w:t xml:space="preserve"> </w:t>
      </w:r>
      <w:r>
        <w:t>tournait</w:t>
      </w:r>
      <w:r w:rsidRPr="002C4077">
        <w:t xml:space="preserve"> </w:t>
      </w:r>
      <w:r>
        <w:t>la</w:t>
      </w:r>
      <w:r w:rsidRPr="002C4077">
        <w:t xml:space="preserve"> </w:t>
      </w:r>
      <w:r>
        <w:t>meule,</w:t>
      </w:r>
      <w:r w:rsidRPr="002C4077">
        <w:t xml:space="preserve"> </w:t>
      </w:r>
      <w:r>
        <w:t>R.</w:t>
      </w:r>
      <w:r w:rsidRPr="002C4077">
        <w:t xml:space="preserve"> </w:t>
      </w:r>
      <w:r>
        <w:t>Schercheth</w:t>
      </w:r>
      <w:r w:rsidRPr="002C4077">
        <w:t xml:space="preserve"> </w:t>
      </w:r>
      <w:r>
        <w:t>traînait</w:t>
      </w:r>
      <w:r w:rsidRPr="002C4077">
        <w:t xml:space="preserve"> </w:t>
      </w:r>
      <w:r>
        <w:t>des</w:t>
      </w:r>
      <w:r w:rsidRPr="002C4077">
        <w:t xml:space="preserve"> </w:t>
      </w:r>
      <w:r>
        <w:t>poutres,</w:t>
      </w:r>
      <w:r w:rsidRPr="002C4077">
        <w:t xml:space="preserve"> </w:t>
      </w:r>
      <w:r>
        <w:t>tout</w:t>
      </w:r>
      <w:r w:rsidRPr="002C4077">
        <w:t xml:space="preserve"> </w:t>
      </w:r>
      <w:r>
        <w:t>en</w:t>
      </w:r>
      <w:r w:rsidRPr="002C4077">
        <w:t xml:space="preserve"> </w:t>
      </w:r>
      <w:r>
        <w:t>faisant</w:t>
      </w:r>
      <w:r w:rsidRPr="002C4077">
        <w:t xml:space="preserve"> </w:t>
      </w:r>
      <w:r>
        <w:t>l’éloge</w:t>
      </w:r>
      <w:r w:rsidRPr="002C4077">
        <w:t xml:space="preserve"> </w:t>
      </w:r>
      <w:r>
        <w:t>du</w:t>
      </w:r>
      <w:r w:rsidRPr="002C4077">
        <w:t xml:space="preserve"> </w:t>
      </w:r>
      <w:r>
        <w:t>travail</w:t>
      </w:r>
      <w:r w:rsidRPr="002C4077">
        <w:t xml:space="preserve"> </w:t>
      </w:r>
      <w:r>
        <w:t>qui</w:t>
      </w:r>
      <w:r w:rsidRPr="002C4077">
        <w:t xml:space="preserve"> </w:t>
      </w:r>
      <w:r>
        <w:t>fait</w:t>
      </w:r>
      <w:r w:rsidRPr="002C4077">
        <w:t xml:space="preserve"> </w:t>
      </w:r>
      <w:r>
        <w:t>couler</w:t>
      </w:r>
      <w:r w:rsidRPr="002C4077">
        <w:t xml:space="preserve"> </w:t>
      </w:r>
      <w:r>
        <w:t>la</w:t>
      </w:r>
      <w:r w:rsidRPr="002C4077">
        <w:t xml:space="preserve"> </w:t>
      </w:r>
      <w:r>
        <w:t>sue</w:t>
      </w:r>
      <w:r w:rsidR="00F6492C">
        <w:t>ur</w:t>
      </w:r>
      <w:r w:rsidR="00F6492C">
        <w:rPr>
          <w:rStyle w:val="Appelnotedebasdep"/>
        </w:rPr>
        <w:footnoteReference w:id="801"/>
      </w:r>
      <w:r w:rsidR="00F6492C">
        <w:t>.</w:t>
      </w:r>
      <w:r w:rsidRPr="002C4077">
        <w:t xml:space="preserve"> </w:t>
      </w:r>
      <w:r>
        <w:t>R.</w:t>
      </w:r>
      <w:r w:rsidRPr="002C4077">
        <w:t xml:space="preserve"> </w:t>
      </w:r>
      <w:r>
        <w:t>J</w:t>
      </w:r>
      <w:r w:rsidR="000F4CEC">
        <w:t>o</w:t>
      </w:r>
      <w:r w:rsidR="003B53FD">
        <w:t>sua</w:t>
      </w:r>
      <w:r>
        <w:t>,</w:t>
      </w:r>
      <w:r w:rsidRPr="002C4077">
        <w:t xml:space="preserve"> </w:t>
      </w:r>
      <w:r>
        <w:t>un</w:t>
      </w:r>
      <w:r w:rsidRPr="002C4077">
        <w:t xml:space="preserve"> </w:t>
      </w:r>
      <w:r>
        <w:t>des</w:t>
      </w:r>
      <w:r w:rsidRPr="002C4077">
        <w:t xml:space="preserve"> </w:t>
      </w:r>
      <w:r>
        <w:t>docteurs</w:t>
      </w:r>
      <w:r w:rsidRPr="002C4077">
        <w:t xml:space="preserve"> </w:t>
      </w:r>
      <w:r>
        <w:t>les</w:t>
      </w:r>
      <w:r w:rsidRPr="002C4077">
        <w:t xml:space="preserve"> </w:t>
      </w:r>
      <w:r>
        <w:t>plus</w:t>
      </w:r>
      <w:r w:rsidRPr="002C4077">
        <w:t xml:space="preserve"> </w:t>
      </w:r>
      <w:r>
        <w:t>distingués,</w:t>
      </w:r>
      <w:r w:rsidRPr="002C4077">
        <w:t xml:space="preserve"> </w:t>
      </w:r>
      <w:r>
        <w:t>était</w:t>
      </w:r>
      <w:r w:rsidRPr="002C4077">
        <w:t xml:space="preserve"> </w:t>
      </w:r>
      <w:r>
        <w:t>fabricant</w:t>
      </w:r>
      <w:r w:rsidRPr="002C4077">
        <w:t xml:space="preserve"> </w:t>
      </w:r>
      <w:r>
        <w:t>d’aiguilles.</w:t>
      </w:r>
      <w:r w:rsidR="00C45B47">
        <w:t xml:space="preserve"> {</w:t>
      </w:r>
      <w:r w:rsidR="001F5257">
        <w:t>255</w:t>
      </w:r>
      <w:bookmarkStart w:id="616" w:name="p255"/>
      <w:bookmarkEnd w:id="616"/>
      <w:r w:rsidR="001F5257">
        <w:t xml:space="preserve">} </w:t>
      </w:r>
      <w:r>
        <w:t>Comme</w:t>
      </w:r>
      <w:r w:rsidRPr="002C4077">
        <w:t xml:space="preserve"> </w:t>
      </w:r>
      <w:r>
        <w:t>il</w:t>
      </w:r>
      <w:r w:rsidRPr="002C4077">
        <w:t xml:space="preserve"> </w:t>
      </w:r>
      <w:r>
        <w:t>s’était</w:t>
      </w:r>
      <w:r w:rsidRPr="002C4077">
        <w:t xml:space="preserve"> </w:t>
      </w:r>
      <w:r>
        <w:t>démis</w:t>
      </w:r>
      <w:r w:rsidRPr="002C4077">
        <w:t xml:space="preserve"> </w:t>
      </w:r>
      <w:r>
        <w:t>de</w:t>
      </w:r>
      <w:r w:rsidRPr="002C4077">
        <w:t xml:space="preserve"> </w:t>
      </w:r>
      <w:r>
        <w:t>ses</w:t>
      </w:r>
      <w:r w:rsidRPr="002C4077">
        <w:t xml:space="preserve"> </w:t>
      </w:r>
      <w:r>
        <w:t>fonctions</w:t>
      </w:r>
      <w:r w:rsidRPr="002C4077">
        <w:t xml:space="preserve"> </w:t>
      </w:r>
      <w:r>
        <w:t>magistrales</w:t>
      </w:r>
      <w:r w:rsidRPr="002C4077">
        <w:t xml:space="preserve"> </w:t>
      </w:r>
      <w:r>
        <w:t>à</w:t>
      </w:r>
      <w:r w:rsidRPr="002C4077">
        <w:t xml:space="preserve"> </w:t>
      </w:r>
      <w:r>
        <w:t>cause</w:t>
      </w:r>
      <w:r w:rsidRPr="002C4077">
        <w:t xml:space="preserve"> </w:t>
      </w:r>
      <w:r>
        <w:t>d’une</w:t>
      </w:r>
      <w:r w:rsidRPr="002C4077">
        <w:t xml:space="preserve"> </w:t>
      </w:r>
      <w:r>
        <w:t>injustice</w:t>
      </w:r>
      <w:r w:rsidRPr="002C4077">
        <w:t xml:space="preserve"> </w:t>
      </w:r>
      <w:r>
        <w:t>qu’on</w:t>
      </w:r>
      <w:r w:rsidRPr="002C4077">
        <w:t xml:space="preserve"> </w:t>
      </w:r>
      <w:r>
        <w:t>lui</w:t>
      </w:r>
      <w:r w:rsidRPr="002C4077">
        <w:t xml:space="preserve"> </w:t>
      </w:r>
      <w:r>
        <w:t>avait</w:t>
      </w:r>
      <w:r w:rsidRPr="002C4077">
        <w:t xml:space="preserve"> </w:t>
      </w:r>
      <w:r>
        <w:t>faite,</w:t>
      </w:r>
      <w:r w:rsidRPr="002C4077">
        <w:t xml:space="preserve"> </w:t>
      </w:r>
      <w:r>
        <w:t>R.</w:t>
      </w:r>
      <w:r w:rsidRPr="002C4077">
        <w:t xml:space="preserve"> </w:t>
      </w:r>
      <w:r>
        <w:t>Gamaliel</w:t>
      </w:r>
      <w:r w:rsidRPr="002C4077">
        <w:t xml:space="preserve"> </w:t>
      </w:r>
      <w:r>
        <w:t>se</w:t>
      </w:r>
      <w:r w:rsidRPr="002C4077">
        <w:t xml:space="preserve"> </w:t>
      </w:r>
      <w:r>
        <w:t>chargea</w:t>
      </w:r>
      <w:r w:rsidRPr="002C4077">
        <w:t xml:space="preserve"> </w:t>
      </w:r>
      <w:r>
        <w:t>de</w:t>
      </w:r>
      <w:r w:rsidRPr="002C4077">
        <w:t xml:space="preserve"> </w:t>
      </w:r>
      <w:r>
        <w:t>l’amener</w:t>
      </w:r>
      <w:r w:rsidRPr="002C4077">
        <w:t xml:space="preserve"> </w:t>
      </w:r>
      <w:r>
        <w:t>à</w:t>
      </w:r>
      <w:r w:rsidRPr="002C4077">
        <w:t xml:space="preserve"> </w:t>
      </w:r>
      <w:r>
        <w:t>les</w:t>
      </w:r>
      <w:r w:rsidRPr="002C4077">
        <w:t xml:space="preserve"> </w:t>
      </w:r>
      <w:r>
        <w:t>reprendre.</w:t>
      </w:r>
      <w:r w:rsidRPr="002C4077">
        <w:t xml:space="preserve"> </w:t>
      </w:r>
      <w:r>
        <w:t>Étant</w:t>
      </w:r>
      <w:r w:rsidRPr="002C4077">
        <w:t xml:space="preserve"> </w:t>
      </w:r>
      <w:r>
        <w:t>entré</w:t>
      </w:r>
      <w:r w:rsidRPr="002C4077">
        <w:t xml:space="preserve"> </w:t>
      </w:r>
      <w:r>
        <w:t>dans</w:t>
      </w:r>
      <w:r w:rsidRPr="002C4077">
        <w:t xml:space="preserve"> </w:t>
      </w:r>
      <w:r>
        <w:t>sa</w:t>
      </w:r>
      <w:r w:rsidRPr="002C4077">
        <w:t xml:space="preserve"> </w:t>
      </w:r>
      <w:r>
        <w:t>maison,</w:t>
      </w:r>
      <w:r w:rsidRPr="002C4077">
        <w:t xml:space="preserve"> </w:t>
      </w:r>
      <w:r>
        <w:t>il</w:t>
      </w:r>
      <w:r w:rsidRPr="002C4077">
        <w:t xml:space="preserve"> </w:t>
      </w:r>
      <w:r>
        <w:t>se</w:t>
      </w:r>
      <w:r w:rsidRPr="002C4077">
        <w:t xml:space="preserve"> </w:t>
      </w:r>
      <w:r>
        <w:t>mit</w:t>
      </w:r>
      <w:r w:rsidRPr="002C4077">
        <w:t xml:space="preserve"> </w:t>
      </w:r>
      <w:r>
        <w:t>à</w:t>
      </w:r>
      <w:r w:rsidRPr="002C4077">
        <w:t xml:space="preserve"> </w:t>
      </w:r>
      <w:r>
        <w:t>contempler</w:t>
      </w:r>
      <w:r w:rsidRPr="002C4077">
        <w:t xml:space="preserve"> </w:t>
      </w:r>
      <w:r>
        <w:t>les</w:t>
      </w:r>
      <w:r w:rsidRPr="002C4077">
        <w:t xml:space="preserve"> </w:t>
      </w:r>
      <w:r>
        <w:t>murailles</w:t>
      </w:r>
      <w:r w:rsidRPr="002C4077">
        <w:t xml:space="preserve"> </w:t>
      </w:r>
      <w:r>
        <w:t>noircies</w:t>
      </w:r>
      <w:r w:rsidR="00B546AF">
        <w:t> ;</w:t>
      </w:r>
      <w:r w:rsidRPr="002C4077">
        <w:t xml:space="preserve"> </w:t>
      </w:r>
      <w:r>
        <w:t>puis</w:t>
      </w:r>
      <w:r w:rsidRPr="002C4077">
        <w:t xml:space="preserve"> </w:t>
      </w:r>
      <w:r>
        <w:t>il</w:t>
      </w:r>
      <w:r w:rsidRPr="002C4077">
        <w:t xml:space="preserve"> </w:t>
      </w:r>
      <w:r>
        <w:t>s’écria</w:t>
      </w:r>
      <w:r w:rsidRPr="002C4077">
        <w:t xml:space="preserve"> </w:t>
      </w:r>
      <w:r>
        <w:t>avec</w:t>
      </w:r>
      <w:r w:rsidRPr="002C4077">
        <w:t xml:space="preserve"> </w:t>
      </w:r>
      <w:r>
        <w:t>un</w:t>
      </w:r>
      <w:r w:rsidRPr="002C4077">
        <w:t xml:space="preserve"> </w:t>
      </w:r>
      <w:r>
        <w:t>accent</w:t>
      </w:r>
      <w:r w:rsidRPr="002C4077">
        <w:t xml:space="preserve"> </w:t>
      </w:r>
      <w:r>
        <w:t>de</w:t>
      </w:r>
      <w:r w:rsidRPr="002C4077">
        <w:t xml:space="preserve"> </w:t>
      </w:r>
      <w:r>
        <w:t>raillerie</w:t>
      </w:r>
      <w:r w:rsidR="00B546AF">
        <w:t> :</w:t>
      </w:r>
      <w:r w:rsidRPr="002C4077">
        <w:t xml:space="preserve"> </w:t>
      </w:r>
      <w:r>
        <w:t>On</w:t>
      </w:r>
      <w:r w:rsidRPr="002C4077">
        <w:t xml:space="preserve"> </w:t>
      </w:r>
      <w:r>
        <w:t>voit</w:t>
      </w:r>
      <w:r w:rsidRPr="002C4077">
        <w:t xml:space="preserve"> </w:t>
      </w:r>
      <w:r>
        <w:t>bien,</w:t>
      </w:r>
      <w:r w:rsidRPr="002C4077">
        <w:t xml:space="preserve"> </w:t>
      </w:r>
      <w:r>
        <w:t>aux</w:t>
      </w:r>
      <w:r w:rsidRPr="002C4077">
        <w:t xml:space="preserve"> </w:t>
      </w:r>
      <w:r>
        <w:t>murs</w:t>
      </w:r>
      <w:r w:rsidRPr="002C4077">
        <w:t xml:space="preserve"> </w:t>
      </w:r>
      <w:r>
        <w:t>de</w:t>
      </w:r>
      <w:r w:rsidRPr="002C4077">
        <w:t xml:space="preserve"> </w:t>
      </w:r>
      <w:r>
        <w:t>votre</w:t>
      </w:r>
      <w:r w:rsidRPr="002C4077">
        <w:t xml:space="preserve"> </w:t>
      </w:r>
      <w:r>
        <w:t>maison,</w:t>
      </w:r>
      <w:r w:rsidRPr="002C4077">
        <w:t xml:space="preserve"> </w:t>
      </w:r>
      <w:r>
        <w:t>que</w:t>
      </w:r>
      <w:r w:rsidRPr="002C4077">
        <w:t xml:space="preserve"> </w:t>
      </w:r>
      <w:r>
        <w:t>vous</w:t>
      </w:r>
      <w:r w:rsidRPr="002C4077">
        <w:t xml:space="preserve"> </w:t>
      </w:r>
      <w:r>
        <w:t>êtes</w:t>
      </w:r>
      <w:r w:rsidRPr="002C4077">
        <w:t xml:space="preserve"> </w:t>
      </w:r>
      <w:r>
        <w:t>un</w:t>
      </w:r>
      <w:r w:rsidRPr="002C4077">
        <w:t xml:space="preserve"> </w:t>
      </w:r>
      <w:r>
        <w:t>fabricant</w:t>
      </w:r>
      <w:r w:rsidRPr="002C4077">
        <w:t xml:space="preserve"> </w:t>
      </w:r>
      <w:r>
        <w:t>d’aiguilles.</w:t>
      </w:r>
      <w:r w:rsidRPr="002C4077">
        <w:t xml:space="preserve"> </w:t>
      </w:r>
      <w:r w:rsidR="000F4CEC">
        <w:t>Josua</w:t>
      </w:r>
      <w:r>
        <w:t>,</w:t>
      </w:r>
      <w:r w:rsidRPr="002C4077">
        <w:t xml:space="preserve"> </w:t>
      </w:r>
      <w:r>
        <w:t>sans</w:t>
      </w:r>
      <w:r w:rsidRPr="002C4077">
        <w:t xml:space="preserve"> </w:t>
      </w:r>
      <w:r>
        <w:t>se</w:t>
      </w:r>
      <w:r w:rsidRPr="002C4077">
        <w:t xml:space="preserve"> </w:t>
      </w:r>
      <w:r>
        <w:t>laisser</w:t>
      </w:r>
      <w:r w:rsidRPr="002C4077">
        <w:t xml:space="preserve"> </w:t>
      </w:r>
      <w:r>
        <w:t>intimider</w:t>
      </w:r>
      <w:r w:rsidRPr="002C4077">
        <w:t xml:space="preserve"> </w:t>
      </w:r>
      <w:r>
        <w:t>par</w:t>
      </w:r>
      <w:r w:rsidRPr="002C4077">
        <w:t xml:space="preserve"> </w:t>
      </w:r>
      <w:r>
        <w:t>la</w:t>
      </w:r>
      <w:r w:rsidRPr="002C4077">
        <w:t xml:space="preserve"> </w:t>
      </w:r>
      <w:r>
        <w:t>noblesse</w:t>
      </w:r>
      <w:r w:rsidRPr="002C4077">
        <w:t xml:space="preserve"> </w:t>
      </w:r>
      <w:r>
        <w:t>de</w:t>
      </w:r>
      <w:r w:rsidRPr="002C4077">
        <w:t xml:space="preserve"> </w:t>
      </w:r>
      <w:r>
        <w:t>Gamaliel,</w:t>
      </w:r>
      <w:r w:rsidRPr="002C4077">
        <w:t xml:space="preserve"> </w:t>
      </w:r>
      <w:r>
        <w:t>lui</w:t>
      </w:r>
      <w:r w:rsidRPr="002C4077">
        <w:t xml:space="preserve"> </w:t>
      </w:r>
      <w:r>
        <w:t>répondit</w:t>
      </w:r>
      <w:r w:rsidR="00B546AF">
        <w:t> :</w:t>
      </w:r>
      <w:r w:rsidRPr="002C4077">
        <w:t xml:space="preserve"> </w:t>
      </w:r>
      <w:r>
        <w:t>Malheur</w:t>
      </w:r>
      <w:r w:rsidRPr="002C4077">
        <w:t xml:space="preserve"> </w:t>
      </w:r>
      <w:r>
        <w:t>à</w:t>
      </w:r>
      <w:r w:rsidRPr="002C4077">
        <w:t xml:space="preserve"> </w:t>
      </w:r>
      <w:r>
        <w:t>ta</w:t>
      </w:r>
      <w:r w:rsidRPr="002C4077">
        <w:t xml:space="preserve"> </w:t>
      </w:r>
      <w:r>
        <w:t>race</w:t>
      </w:r>
      <w:r w:rsidR="00B546AF">
        <w:t> !</w:t>
      </w:r>
      <w:r w:rsidRPr="002C4077">
        <w:t xml:space="preserve"> </w:t>
      </w:r>
      <w:r>
        <w:t>tu</w:t>
      </w:r>
      <w:r w:rsidRPr="002C4077">
        <w:t xml:space="preserve"> </w:t>
      </w:r>
      <w:r>
        <w:t>ne</w:t>
      </w:r>
      <w:r w:rsidRPr="002C4077">
        <w:t xml:space="preserve"> </w:t>
      </w:r>
      <w:r>
        <w:t>sais</w:t>
      </w:r>
      <w:r w:rsidRPr="002C4077">
        <w:t xml:space="preserve"> </w:t>
      </w:r>
      <w:r>
        <w:t>pas</w:t>
      </w:r>
      <w:r w:rsidRPr="002C4077">
        <w:t xml:space="preserve"> </w:t>
      </w:r>
      <w:r>
        <w:t>avec</w:t>
      </w:r>
      <w:r w:rsidRPr="002C4077">
        <w:t xml:space="preserve"> </w:t>
      </w:r>
      <w:r>
        <w:t>quelle</w:t>
      </w:r>
      <w:r w:rsidRPr="002C4077">
        <w:t xml:space="preserve"> </w:t>
      </w:r>
      <w:r>
        <w:t>pauvreté</w:t>
      </w:r>
      <w:r w:rsidRPr="002C4077">
        <w:t xml:space="preserve"> </w:t>
      </w:r>
      <w:r>
        <w:t>les</w:t>
      </w:r>
      <w:r w:rsidRPr="002C4077">
        <w:t xml:space="preserve"> </w:t>
      </w:r>
      <w:r>
        <w:t>savants</w:t>
      </w:r>
      <w:r w:rsidRPr="002C4077">
        <w:t xml:space="preserve"> </w:t>
      </w:r>
      <w:r>
        <w:t>ont</w:t>
      </w:r>
      <w:r w:rsidRPr="002C4077">
        <w:t xml:space="preserve"> </w:t>
      </w:r>
      <w:r>
        <w:t>à</w:t>
      </w:r>
      <w:r w:rsidRPr="002C4077">
        <w:t xml:space="preserve"> </w:t>
      </w:r>
      <w:r>
        <w:t>combattre</w:t>
      </w:r>
      <w:r w:rsidR="00B546AF">
        <w:t> ;</w:t>
      </w:r>
      <w:r w:rsidRPr="002C4077">
        <w:t xml:space="preserve"> </w:t>
      </w:r>
      <w:r>
        <w:t>tu</w:t>
      </w:r>
      <w:r w:rsidRPr="002C4077">
        <w:t xml:space="preserve"> </w:t>
      </w:r>
      <w:r>
        <w:t>ignores</w:t>
      </w:r>
      <w:r w:rsidRPr="002C4077">
        <w:t xml:space="preserve"> </w:t>
      </w:r>
      <w:r>
        <w:t>de</w:t>
      </w:r>
      <w:r w:rsidRPr="002C4077">
        <w:t xml:space="preserve"> </w:t>
      </w:r>
      <w:r>
        <w:t>quoi</w:t>
      </w:r>
      <w:r w:rsidRPr="002C4077">
        <w:t xml:space="preserve"> </w:t>
      </w:r>
      <w:r>
        <w:t>ils</w:t>
      </w:r>
      <w:r w:rsidRPr="002C4077">
        <w:t xml:space="preserve"> </w:t>
      </w:r>
      <w:r>
        <w:t>se</w:t>
      </w:r>
      <w:r w:rsidRPr="002C4077">
        <w:t xml:space="preserve"> </w:t>
      </w:r>
      <w:r>
        <w:t>nourrissent</w:t>
      </w:r>
      <w:r w:rsidRPr="002C4077">
        <w:t xml:space="preserve"> </w:t>
      </w:r>
      <w:r>
        <w:t>et</w:t>
      </w:r>
      <w:r w:rsidRPr="002C4077">
        <w:t xml:space="preserve"> </w:t>
      </w:r>
      <w:r>
        <w:t>comment</w:t>
      </w:r>
      <w:r w:rsidRPr="002C4077">
        <w:t xml:space="preserve"> </w:t>
      </w:r>
      <w:r>
        <w:t>ils</w:t>
      </w:r>
      <w:r w:rsidRPr="002C4077">
        <w:t xml:space="preserve"> </w:t>
      </w:r>
      <w:r>
        <w:t>soutiennent</w:t>
      </w:r>
      <w:r w:rsidRPr="002C4077">
        <w:t xml:space="preserve"> </w:t>
      </w:r>
      <w:r>
        <w:t>leur</w:t>
      </w:r>
      <w:r w:rsidRPr="002C4077">
        <w:t xml:space="preserve"> </w:t>
      </w:r>
      <w:r>
        <w:t>vie.</w:t>
      </w:r>
      <w:r w:rsidRPr="002C4077">
        <w:t xml:space="preserve"> </w:t>
      </w:r>
      <w:r>
        <w:t>Gamaliel</w:t>
      </w:r>
      <w:r w:rsidRPr="002C4077">
        <w:t xml:space="preserve"> </w:t>
      </w:r>
      <w:r>
        <w:t>reprit</w:t>
      </w:r>
      <w:r w:rsidR="00B546AF">
        <w:t> :</w:t>
      </w:r>
      <w:r w:rsidRPr="002C4077">
        <w:t xml:space="preserve"> </w:t>
      </w:r>
      <w:r>
        <w:t>Je</w:t>
      </w:r>
      <w:r w:rsidRPr="002C4077">
        <w:t xml:space="preserve"> </w:t>
      </w:r>
      <w:r>
        <w:t>me</w:t>
      </w:r>
      <w:r w:rsidRPr="002C4077">
        <w:t xml:space="preserve"> </w:t>
      </w:r>
      <w:r>
        <w:t>sens</w:t>
      </w:r>
      <w:r w:rsidRPr="002C4077">
        <w:t xml:space="preserve"> </w:t>
      </w:r>
      <w:r>
        <w:t>humilié,</w:t>
      </w:r>
      <w:r w:rsidRPr="002C4077">
        <w:t xml:space="preserve"> </w:t>
      </w:r>
      <w:r>
        <w:t>pardonnez-moi.</w:t>
      </w:r>
      <w:r w:rsidRPr="002C4077">
        <w:t xml:space="preserve"> </w:t>
      </w:r>
      <w:r>
        <w:t>Le</w:t>
      </w:r>
      <w:r w:rsidRPr="002C4077">
        <w:t xml:space="preserve"> </w:t>
      </w:r>
      <w:r>
        <w:t>rabbin</w:t>
      </w:r>
      <w:r w:rsidRPr="002C4077">
        <w:t xml:space="preserve"> </w:t>
      </w:r>
      <w:r>
        <w:t>se</w:t>
      </w:r>
      <w:r w:rsidRPr="002C4077">
        <w:t xml:space="preserve"> </w:t>
      </w:r>
      <w:r>
        <w:t>fit</w:t>
      </w:r>
      <w:r w:rsidRPr="002C4077">
        <w:t xml:space="preserve"> </w:t>
      </w:r>
      <w:r>
        <w:t>longtemps</w:t>
      </w:r>
      <w:r w:rsidRPr="002C4077">
        <w:t xml:space="preserve"> </w:t>
      </w:r>
      <w:r>
        <w:t>prier</w:t>
      </w:r>
      <w:r w:rsidR="00B546AF">
        <w:t> ;</w:t>
      </w:r>
      <w:r w:rsidRPr="002C4077">
        <w:t xml:space="preserve"> </w:t>
      </w:r>
      <w:r>
        <w:t>la</w:t>
      </w:r>
      <w:r w:rsidRPr="002C4077">
        <w:t xml:space="preserve"> </w:t>
      </w:r>
      <w:r>
        <w:t>considération</w:t>
      </w:r>
      <w:r w:rsidRPr="002C4077">
        <w:t xml:space="preserve"> </w:t>
      </w:r>
      <w:r>
        <w:t>des</w:t>
      </w:r>
      <w:r w:rsidRPr="002C4077">
        <w:t xml:space="preserve"> </w:t>
      </w:r>
      <w:r>
        <w:t>services</w:t>
      </w:r>
      <w:r w:rsidRPr="002C4077">
        <w:t xml:space="preserve"> </w:t>
      </w:r>
      <w:r>
        <w:t>rendus</w:t>
      </w:r>
      <w:r w:rsidRPr="002C4077">
        <w:t xml:space="preserve"> </w:t>
      </w:r>
      <w:r>
        <w:t>à</w:t>
      </w:r>
      <w:r w:rsidRPr="002C4077">
        <w:t xml:space="preserve"> </w:t>
      </w:r>
      <w:r>
        <w:t>la</w:t>
      </w:r>
      <w:r w:rsidRPr="002C4077">
        <w:t xml:space="preserve"> </w:t>
      </w:r>
      <w:r>
        <w:t>nation</w:t>
      </w:r>
      <w:r w:rsidRPr="002C4077">
        <w:t xml:space="preserve"> </w:t>
      </w:r>
      <w:r>
        <w:t>juive</w:t>
      </w:r>
      <w:r w:rsidRPr="002C4077">
        <w:t xml:space="preserve"> </w:t>
      </w:r>
      <w:r>
        <w:t>par</w:t>
      </w:r>
      <w:r w:rsidRPr="002C4077">
        <w:t xml:space="preserve"> </w:t>
      </w:r>
      <w:r>
        <w:t>la</w:t>
      </w:r>
      <w:r w:rsidRPr="002C4077">
        <w:t xml:space="preserve"> </w:t>
      </w:r>
      <w:r>
        <w:t>famille</w:t>
      </w:r>
      <w:r w:rsidRPr="002C4077">
        <w:t xml:space="preserve"> </w:t>
      </w:r>
      <w:r>
        <w:t>de</w:t>
      </w:r>
      <w:r w:rsidRPr="002C4077">
        <w:t xml:space="preserve"> </w:t>
      </w:r>
      <w:r>
        <w:t>Gamaliel</w:t>
      </w:r>
      <w:r w:rsidRPr="002C4077">
        <w:t xml:space="preserve"> </w:t>
      </w:r>
      <w:r>
        <w:t>put</w:t>
      </w:r>
      <w:r w:rsidRPr="002C4077">
        <w:t xml:space="preserve"> </w:t>
      </w:r>
      <w:r>
        <w:t>seule</w:t>
      </w:r>
      <w:r w:rsidRPr="002C4077">
        <w:t xml:space="preserve"> </w:t>
      </w:r>
      <w:r>
        <w:t>lui</w:t>
      </w:r>
      <w:r w:rsidRPr="002C4077">
        <w:t xml:space="preserve"> </w:t>
      </w:r>
      <w:r>
        <w:t>faire</w:t>
      </w:r>
      <w:r w:rsidRPr="002C4077">
        <w:t xml:space="preserve"> </w:t>
      </w:r>
      <w:r>
        <w:t>oublier</w:t>
      </w:r>
      <w:r w:rsidRPr="002C4077">
        <w:t xml:space="preserve"> </w:t>
      </w:r>
      <w:r>
        <w:t>l’arrogance</w:t>
      </w:r>
      <w:r w:rsidRPr="002C4077">
        <w:t xml:space="preserve"> </w:t>
      </w:r>
      <w:r>
        <w:t>du</w:t>
      </w:r>
      <w:r w:rsidRPr="002C4077">
        <w:t xml:space="preserve"> </w:t>
      </w:r>
      <w:r>
        <w:t>jeune</w:t>
      </w:r>
      <w:r w:rsidRPr="002C4077">
        <w:t xml:space="preserve"> </w:t>
      </w:r>
      <w:r>
        <w:t>savant.</w:t>
      </w:r>
      <w:r w:rsidRPr="002C4077">
        <w:t xml:space="preserve"> </w:t>
      </w:r>
      <w:r>
        <w:t>Un</w:t>
      </w:r>
      <w:r w:rsidRPr="002C4077">
        <w:t xml:space="preserve"> </w:t>
      </w:r>
      <w:r>
        <w:t>autre</w:t>
      </w:r>
      <w:r w:rsidRPr="002C4077">
        <w:t xml:space="preserve"> </w:t>
      </w:r>
      <w:r w:rsidR="00FD0BB0">
        <w:t>docteur</w:t>
      </w:r>
      <w:r w:rsidR="00FD0BB0" w:rsidRPr="002C4077">
        <w:t xml:space="preserve"> </w:t>
      </w:r>
      <w:r w:rsidR="00FD0BB0">
        <w:t>célèbre,</w:t>
      </w:r>
      <w:r w:rsidR="00FD0BB0" w:rsidRPr="002C4077">
        <w:t xml:space="preserve"> </w:t>
      </w:r>
      <w:r w:rsidR="00FD0BB0">
        <w:t>R.</w:t>
      </w:r>
      <w:r w:rsidR="00FD0BB0" w:rsidRPr="002C4077">
        <w:t xml:space="preserve"> </w:t>
      </w:r>
      <w:r w:rsidR="00FD0BB0">
        <w:t>Juda</w:t>
      </w:r>
      <w:r w:rsidR="00FD0BB0" w:rsidRPr="002C4077">
        <w:t xml:space="preserve"> </w:t>
      </w:r>
      <w:r w:rsidR="00FD0BB0">
        <w:t>bar</w:t>
      </w:r>
      <w:r w:rsidR="00FD0BB0" w:rsidRPr="002C4077">
        <w:t xml:space="preserve"> </w:t>
      </w:r>
      <w:r w:rsidR="00FD0BB0">
        <w:t>Il</w:t>
      </w:r>
      <w:r>
        <w:t>lia,</w:t>
      </w:r>
      <w:r w:rsidRPr="002C4077">
        <w:t xml:space="preserve"> </w:t>
      </w:r>
      <w:r>
        <w:t>était</w:t>
      </w:r>
      <w:r w:rsidRPr="002C4077">
        <w:t xml:space="preserve"> </w:t>
      </w:r>
      <w:r>
        <w:t>tonnelier</w:t>
      </w:r>
      <w:r w:rsidR="00B546AF">
        <w:t> ;</w:t>
      </w:r>
      <w:r w:rsidRPr="002C4077">
        <w:t xml:space="preserve"> </w:t>
      </w:r>
      <w:r>
        <w:t>il</w:t>
      </w:r>
      <w:r w:rsidRPr="002C4077">
        <w:t xml:space="preserve"> </w:t>
      </w:r>
      <w:r>
        <w:t>portait</w:t>
      </w:r>
      <w:r w:rsidRPr="002C4077">
        <w:t xml:space="preserve"> </w:t>
      </w:r>
      <w:r>
        <w:t>lui-même</w:t>
      </w:r>
      <w:r w:rsidRPr="002C4077">
        <w:t xml:space="preserve"> </w:t>
      </w:r>
      <w:r>
        <w:t>jusqu’au</w:t>
      </w:r>
      <w:r w:rsidRPr="002C4077">
        <w:t xml:space="preserve"> </w:t>
      </w:r>
      <w:r>
        <w:t>lieu</w:t>
      </w:r>
      <w:r w:rsidRPr="002C4077">
        <w:t xml:space="preserve"> </w:t>
      </w:r>
      <w:r>
        <w:t>de</w:t>
      </w:r>
      <w:r w:rsidRPr="002C4077">
        <w:t xml:space="preserve"> </w:t>
      </w:r>
      <w:r>
        <w:t>l’assemblée</w:t>
      </w:r>
      <w:r w:rsidRPr="002C4077">
        <w:t xml:space="preserve"> </w:t>
      </w:r>
      <w:r>
        <w:t>le</w:t>
      </w:r>
      <w:r w:rsidRPr="002C4077">
        <w:t xml:space="preserve"> </w:t>
      </w:r>
      <w:r>
        <w:t>tonneau</w:t>
      </w:r>
      <w:r w:rsidRPr="002C4077">
        <w:t xml:space="preserve"> </w:t>
      </w:r>
      <w:r>
        <w:t>sur</w:t>
      </w:r>
      <w:r w:rsidRPr="002C4077">
        <w:t xml:space="preserve"> </w:t>
      </w:r>
      <w:r>
        <w:t>lequel</w:t>
      </w:r>
      <w:r w:rsidRPr="002C4077">
        <w:t xml:space="preserve"> </w:t>
      </w:r>
      <w:r>
        <w:t>il</w:t>
      </w:r>
      <w:r w:rsidRPr="002C4077">
        <w:t xml:space="preserve"> </w:t>
      </w:r>
      <w:r>
        <w:t>s’asseyait</w:t>
      </w:r>
      <w:r w:rsidRPr="002C4077">
        <w:t xml:space="preserve"> </w:t>
      </w:r>
      <w:r>
        <w:t>pour</w:t>
      </w:r>
      <w:r w:rsidRPr="002C4077">
        <w:t xml:space="preserve"> </w:t>
      </w:r>
      <w:r>
        <w:t>donner</w:t>
      </w:r>
      <w:r w:rsidRPr="002C4077">
        <w:t xml:space="preserve"> </w:t>
      </w:r>
      <w:r>
        <w:t>ses</w:t>
      </w:r>
      <w:r w:rsidRPr="002C4077">
        <w:t xml:space="preserve"> </w:t>
      </w:r>
      <w:r>
        <w:t>leçons</w:t>
      </w:r>
      <w:r w:rsidR="00B91AF7">
        <w:rPr>
          <w:rStyle w:val="Appelnotedebasdep"/>
        </w:rPr>
        <w:footnoteReference w:id="802"/>
      </w:r>
      <w:r>
        <w:t>.</w:t>
      </w:r>
      <w:r w:rsidRPr="002C4077">
        <w:t xml:space="preserve"> </w:t>
      </w:r>
    </w:p>
    <w:p w:rsidR="000A7AAB" w:rsidRDefault="000A7AAB" w:rsidP="000A7AAB">
      <w:r>
        <w:t>Sans</w:t>
      </w:r>
      <w:r w:rsidRPr="002C4077">
        <w:t xml:space="preserve"> </w:t>
      </w:r>
      <w:r>
        <w:t>doute,</w:t>
      </w:r>
      <w:r w:rsidRPr="002C4077">
        <w:t xml:space="preserve"> </w:t>
      </w:r>
      <w:r>
        <w:t>l’amour</w:t>
      </w:r>
      <w:r w:rsidRPr="002C4077">
        <w:t xml:space="preserve"> </w:t>
      </w:r>
      <w:r>
        <w:t>du</w:t>
      </w:r>
      <w:r w:rsidRPr="002C4077">
        <w:t xml:space="preserve"> </w:t>
      </w:r>
      <w:r>
        <w:t>travail</w:t>
      </w:r>
      <w:r w:rsidRPr="002C4077">
        <w:t xml:space="preserve"> </w:t>
      </w:r>
      <w:r>
        <w:t>avait</w:t>
      </w:r>
      <w:r w:rsidRPr="002C4077">
        <w:t xml:space="preserve"> </w:t>
      </w:r>
      <w:r>
        <w:t>une</w:t>
      </w:r>
      <w:r w:rsidRPr="002C4077">
        <w:t xml:space="preserve"> </w:t>
      </w:r>
      <w:r>
        <w:t>grande</w:t>
      </w:r>
      <w:r w:rsidRPr="002C4077">
        <w:t xml:space="preserve"> </w:t>
      </w:r>
      <w:r>
        <w:t>part</w:t>
      </w:r>
      <w:r w:rsidRPr="002C4077">
        <w:t xml:space="preserve"> </w:t>
      </w:r>
      <w:r>
        <w:t>à</w:t>
      </w:r>
      <w:r w:rsidRPr="002C4077">
        <w:t xml:space="preserve"> </w:t>
      </w:r>
      <w:r>
        <w:t>cet</w:t>
      </w:r>
      <w:r w:rsidRPr="002C4077">
        <w:t xml:space="preserve"> </w:t>
      </w:r>
      <w:r>
        <w:t>état</w:t>
      </w:r>
      <w:r w:rsidRPr="002C4077">
        <w:t xml:space="preserve"> </w:t>
      </w:r>
      <w:r>
        <w:t>de</w:t>
      </w:r>
      <w:r w:rsidRPr="002C4077">
        <w:t xml:space="preserve"> </w:t>
      </w:r>
      <w:r>
        <w:t>choses</w:t>
      </w:r>
      <w:r w:rsidR="00B546AF">
        <w:t> ;</w:t>
      </w:r>
      <w:r w:rsidRPr="002C4077">
        <w:t xml:space="preserve"> </w:t>
      </w:r>
      <w:r>
        <w:t>néanmoins</w:t>
      </w:r>
      <w:r w:rsidRPr="002C4077">
        <w:t xml:space="preserve"> </w:t>
      </w:r>
      <w:r>
        <w:t>il</w:t>
      </w:r>
      <w:r w:rsidRPr="002C4077">
        <w:t xml:space="preserve"> </w:t>
      </w:r>
      <w:r>
        <w:t>ne</w:t>
      </w:r>
      <w:r w:rsidRPr="002C4077">
        <w:t xml:space="preserve"> </w:t>
      </w:r>
      <w:r>
        <w:t>suffit</w:t>
      </w:r>
      <w:r w:rsidRPr="002C4077">
        <w:t xml:space="preserve"> </w:t>
      </w:r>
      <w:r>
        <w:t>pas</w:t>
      </w:r>
      <w:r w:rsidRPr="002C4077">
        <w:t xml:space="preserve"> </w:t>
      </w:r>
      <w:r>
        <w:t>pour</w:t>
      </w:r>
      <w:r w:rsidRPr="002C4077">
        <w:t xml:space="preserve"> </w:t>
      </w:r>
      <w:r>
        <w:t>l’expliquer</w:t>
      </w:r>
      <w:r w:rsidRPr="002C4077">
        <w:t xml:space="preserve"> </w:t>
      </w:r>
      <w:r>
        <w:t>entièrement.</w:t>
      </w:r>
      <w:r w:rsidRPr="002C4077">
        <w:t xml:space="preserve"> </w:t>
      </w:r>
      <w:r>
        <w:t>Il</w:t>
      </w:r>
      <w:r w:rsidRPr="002C4077">
        <w:t xml:space="preserve"> </w:t>
      </w:r>
      <w:r w:rsidR="00425C50">
        <w:t>est</w:t>
      </w:r>
      <w:r w:rsidRPr="002C4077">
        <w:t xml:space="preserve"> </w:t>
      </w:r>
      <w:r>
        <w:t>certain</w:t>
      </w:r>
      <w:r w:rsidRPr="002C4077">
        <w:t xml:space="preserve"> </w:t>
      </w:r>
      <w:r>
        <w:t>qu’un</w:t>
      </w:r>
      <w:r w:rsidRPr="002C4077">
        <w:t xml:space="preserve"> </w:t>
      </w:r>
      <w:r>
        <w:t>grand</w:t>
      </w:r>
      <w:r w:rsidRPr="002C4077">
        <w:t xml:space="preserve"> </w:t>
      </w:r>
      <w:r>
        <w:t>nombre</w:t>
      </w:r>
      <w:r w:rsidRPr="002C4077">
        <w:t xml:space="preserve"> </w:t>
      </w:r>
      <w:r>
        <w:t>de</w:t>
      </w:r>
      <w:r w:rsidRPr="002C4077">
        <w:t xml:space="preserve"> </w:t>
      </w:r>
      <w:r>
        <w:t>ces</w:t>
      </w:r>
      <w:r w:rsidRPr="002C4077">
        <w:t xml:space="preserve"> </w:t>
      </w:r>
      <w:r>
        <w:t>savants</w:t>
      </w:r>
      <w:r w:rsidRPr="002C4077">
        <w:t xml:space="preserve"> </w:t>
      </w:r>
      <w:r>
        <w:t>auraient</w:t>
      </w:r>
      <w:r w:rsidRPr="002C4077">
        <w:t xml:space="preserve"> </w:t>
      </w:r>
      <w:r>
        <w:t>préféré</w:t>
      </w:r>
      <w:r w:rsidRPr="002C4077">
        <w:t xml:space="preserve"> </w:t>
      </w:r>
      <w:r>
        <w:t>consacrer</w:t>
      </w:r>
      <w:r w:rsidRPr="002C4077">
        <w:t xml:space="preserve"> </w:t>
      </w:r>
      <w:r>
        <w:t>tout</w:t>
      </w:r>
      <w:r w:rsidRPr="002C4077">
        <w:t xml:space="preserve"> </w:t>
      </w:r>
      <w:r>
        <w:t>leur</w:t>
      </w:r>
      <w:r w:rsidRPr="002C4077">
        <w:t xml:space="preserve"> </w:t>
      </w:r>
      <w:r>
        <w:t>temps</w:t>
      </w:r>
      <w:r w:rsidRPr="002C4077">
        <w:t xml:space="preserve"> </w:t>
      </w:r>
      <w:r>
        <w:t>à</w:t>
      </w:r>
      <w:r w:rsidRPr="002C4077">
        <w:t xml:space="preserve"> </w:t>
      </w:r>
      <w:r>
        <w:t>l’étude,</w:t>
      </w:r>
      <w:r w:rsidRPr="002C4077">
        <w:t xml:space="preserve"> </w:t>
      </w:r>
      <w:r>
        <w:t>s’ils</w:t>
      </w:r>
      <w:r w:rsidRPr="002C4077">
        <w:t xml:space="preserve"> </w:t>
      </w:r>
      <w:r>
        <w:t>avaient</w:t>
      </w:r>
      <w:r w:rsidRPr="002C4077">
        <w:t xml:space="preserve"> </w:t>
      </w:r>
      <w:r>
        <w:t>eu</w:t>
      </w:r>
      <w:r w:rsidRPr="002C4077">
        <w:t xml:space="preserve"> </w:t>
      </w:r>
      <w:r>
        <w:t>leur</w:t>
      </w:r>
      <w:r w:rsidRPr="002C4077">
        <w:t xml:space="preserve"> </w:t>
      </w:r>
      <w:r>
        <w:t>existence</w:t>
      </w:r>
      <w:r w:rsidRPr="002C4077">
        <w:t xml:space="preserve"> </w:t>
      </w:r>
      <w:r>
        <w:t>assurée.</w:t>
      </w:r>
      <w:r w:rsidRPr="002C4077">
        <w:t xml:space="preserve"> </w:t>
      </w:r>
      <w:r>
        <w:t>Mais,</w:t>
      </w:r>
      <w:r w:rsidRPr="002C4077">
        <w:t xml:space="preserve"> </w:t>
      </w:r>
      <w:r>
        <w:t>alors,</w:t>
      </w:r>
      <w:r w:rsidRPr="002C4077">
        <w:t xml:space="preserve"> </w:t>
      </w:r>
      <w:r>
        <w:t>les</w:t>
      </w:r>
      <w:r w:rsidRPr="002C4077">
        <w:t xml:space="preserve"> </w:t>
      </w:r>
      <w:r>
        <w:t>professeurs</w:t>
      </w:r>
      <w:r w:rsidRPr="002C4077">
        <w:t xml:space="preserve"> </w:t>
      </w:r>
      <w:r>
        <w:t>ne</w:t>
      </w:r>
      <w:r w:rsidRPr="002C4077">
        <w:t xml:space="preserve"> </w:t>
      </w:r>
      <w:r>
        <w:t>pouvaient</w:t>
      </w:r>
      <w:r w:rsidRPr="002C4077">
        <w:t xml:space="preserve"> </w:t>
      </w:r>
      <w:r>
        <w:t>compter</w:t>
      </w:r>
      <w:r w:rsidRPr="002C4077">
        <w:t xml:space="preserve"> </w:t>
      </w:r>
      <w:r>
        <w:t>sur</w:t>
      </w:r>
      <w:r w:rsidRPr="002C4077">
        <w:t xml:space="preserve"> </w:t>
      </w:r>
      <w:r>
        <w:t>des</w:t>
      </w:r>
      <w:r w:rsidRPr="002C4077">
        <w:t xml:space="preserve"> </w:t>
      </w:r>
      <w:r>
        <w:t>honoraires</w:t>
      </w:r>
      <w:r w:rsidRPr="002C4077">
        <w:t xml:space="preserve"> </w:t>
      </w:r>
      <w:r>
        <w:t>fixes.</w:t>
      </w:r>
      <w:r w:rsidRPr="002C4077">
        <w:t xml:space="preserve"> </w:t>
      </w:r>
      <w:r>
        <w:t>Sans</w:t>
      </w:r>
      <w:r w:rsidRPr="002C4077">
        <w:t xml:space="preserve"> </w:t>
      </w:r>
      <w:r>
        <w:t>leur</w:t>
      </w:r>
      <w:r w:rsidRPr="002C4077">
        <w:t xml:space="preserve"> </w:t>
      </w:r>
      <w:r>
        <w:t>travail</w:t>
      </w:r>
      <w:r w:rsidRPr="002C4077">
        <w:t xml:space="preserve"> </w:t>
      </w:r>
      <w:r>
        <w:t>personnel,</w:t>
      </w:r>
      <w:r w:rsidRPr="002C4077">
        <w:t xml:space="preserve"> </w:t>
      </w:r>
      <w:r>
        <w:t>ils</w:t>
      </w:r>
      <w:r w:rsidRPr="002C4077">
        <w:t xml:space="preserve"> </w:t>
      </w:r>
      <w:r>
        <w:t>eussent</w:t>
      </w:r>
      <w:r w:rsidRPr="002C4077">
        <w:t xml:space="preserve"> </w:t>
      </w:r>
      <w:r>
        <w:t>été</w:t>
      </w:r>
      <w:r w:rsidRPr="002C4077">
        <w:t xml:space="preserve"> </w:t>
      </w:r>
      <w:r>
        <w:t>réduits,</w:t>
      </w:r>
      <w:r w:rsidRPr="002C4077">
        <w:t xml:space="preserve"> </w:t>
      </w:r>
      <w:r>
        <w:t>en</w:t>
      </w:r>
      <w:r w:rsidRPr="002C4077">
        <w:t xml:space="preserve"> </w:t>
      </w:r>
      <w:r>
        <w:t>Palestine,</w:t>
      </w:r>
      <w:r w:rsidRPr="002C4077">
        <w:t xml:space="preserve"> </w:t>
      </w:r>
      <w:r>
        <w:t>aux</w:t>
      </w:r>
      <w:r w:rsidRPr="002C4077">
        <w:t xml:space="preserve"> </w:t>
      </w:r>
      <w:r>
        <w:t>offrandes</w:t>
      </w:r>
      <w:r w:rsidRPr="002C4077">
        <w:t xml:space="preserve"> </w:t>
      </w:r>
      <w:r>
        <w:t>gratuites</w:t>
      </w:r>
      <w:r w:rsidRPr="002C4077">
        <w:t xml:space="preserve"> </w:t>
      </w:r>
      <w:r>
        <w:t>de</w:t>
      </w:r>
      <w:r w:rsidRPr="002C4077">
        <w:t xml:space="preserve"> </w:t>
      </w:r>
      <w:r>
        <w:t>leurs</w:t>
      </w:r>
      <w:r w:rsidRPr="002C4077">
        <w:t xml:space="preserve"> </w:t>
      </w:r>
      <w:r>
        <w:t>élèves</w:t>
      </w:r>
      <w:r w:rsidRPr="002C4077">
        <w:t xml:space="preserve"> </w:t>
      </w:r>
      <w:r>
        <w:t>et</w:t>
      </w:r>
      <w:r w:rsidRPr="002C4077">
        <w:t xml:space="preserve"> </w:t>
      </w:r>
      <w:r>
        <w:t>à</w:t>
      </w:r>
      <w:r w:rsidRPr="002C4077">
        <w:t xml:space="preserve"> </w:t>
      </w:r>
      <w:r>
        <w:t>une</w:t>
      </w:r>
      <w:r w:rsidRPr="002C4077">
        <w:t xml:space="preserve"> </w:t>
      </w:r>
      <w:r>
        <w:t>portion</w:t>
      </w:r>
      <w:r w:rsidRPr="002C4077">
        <w:t xml:space="preserve"> </w:t>
      </w:r>
      <w:r>
        <w:t>de</w:t>
      </w:r>
      <w:r w:rsidRPr="002C4077">
        <w:t xml:space="preserve"> </w:t>
      </w:r>
      <w:r>
        <w:t>la</w:t>
      </w:r>
      <w:r w:rsidRPr="002C4077">
        <w:t xml:space="preserve"> </w:t>
      </w:r>
      <w:r>
        <w:t>dîme</w:t>
      </w:r>
      <w:r w:rsidRPr="002C4077">
        <w:t xml:space="preserve"> </w:t>
      </w:r>
      <w:r>
        <w:t>des</w:t>
      </w:r>
      <w:r w:rsidRPr="002C4077">
        <w:t xml:space="preserve"> </w:t>
      </w:r>
      <w:r>
        <w:t>pauvres.</w:t>
      </w:r>
      <w:r w:rsidRPr="002C4077">
        <w:t xml:space="preserve"> </w:t>
      </w:r>
      <w:r>
        <w:t>Parfois</w:t>
      </w:r>
      <w:r w:rsidRPr="002C4077">
        <w:t xml:space="preserve"> </w:t>
      </w:r>
      <w:r>
        <w:t>aussi</w:t>
      </w:r>
      <w:r w:rsidRPr="002C4077">
        <w:t xml:space="preserve"> </w:t>
      </w:r>
      <w:r>
        <w:t>le</w:t>
      </w:r>
      <w:r w:rsidRPr="002C4077">
        <w:t xml:space="preserve"> </w:t>
      </w:r>
      <w:r>
        <w:t>trésor</w:t>
      </w:r>
      <w:r w:rsidRPr="002C4077">
        <w:t xml:space="preserve"> </w:t>
      </w:r>
      <w:r>
        <w:t>du</w:t>
      </w:r>
      <w:r w:rsidRPr="002C4077">
        <w:t xml:space="preserve"> </w:t>
      </w:r>
      <w:r>
        <w:t>temple</w:t>
      </w:r>
      <w:r w:rsidRPr="002C4077">
        <w:t xml:space="preserve"> </w:t>
      </w:r>
      <w:r>
        <w:t>leur</w:t>
      </w:r>
      <w:r w:rsidRPr="002C4077">
        <w:t xml:space="preserve"> </w:t>
      </w:r>
      <w:r>
        <w:t>assurait</w:t>
      </w:r>
      <w:r w:rsidRPr="002C4077">
        <w:t xml:space="preserve"> </w:t>
      </w:r>
      <w:r>
        <w:t>une</w:t>
      </w:r>
      <w:r w:rsidRPr="002C4077">
        <w:t xml:space="preserve"> </w:t>
      </w:r>
      <w:r>
        <w:t>légère</w:t>
      </w:r>
      <w:r w:rsidRPr="002C4077">
        <w:t xml:space="preserve"> </w:t>
      </w:r>
      <w:r>
        <w:t>rétribution</w:t>
      </w:r>
      <w:r w:rsidR="00B546AF">
        <w:t> ;</w:t>
      </w:r>
      <w:r w:rsidRPr="002C4077">
        <w:t xml:space="preserve"> </w:t>
      </w:r>
      <w:r>
        <w:t>mais</w:t>
      </w:r>
      <w:r w:rsidRPr="002C4077">
        <w:t xml:space="preserve"> </w:t>
      </w:r>
      <w:r>
        <w:t>ces</w:t>
      </w:r>
      <w:r w:rsidRPr="002C4077">
        <w:t xml:space="preserve"> </w:t>
      </w:r>
      <w:r>
        <w:t>secours</w:t>
      </w:r>
      <w:r w:rsidRPr="002C4077">
        <w:t xml:space="preserve"> </w:t>
      </w:r>
      <w:r>
        <w:t>étaient</w:t>
      </w:r>
      <w:r w:rsidRPr="002C4077">
        <w:t xml:space="preserve"> </w:t>
      </w:r>
      <w:r>
        <w:t>trop</w:t>
      </w:r>
      <w:r w:rsidRPr="002C4077">
        <w:t xml:space="preserve"> </w:t>
      </w:r>
      <w:r>
        <w:t>casuels</w:t>
      </w:r>
      <w:r w:rsidRPr="002C4077">
        <w:t xml:space="preserve"> </w:t>
      </w:r>
      <w:r>
        <w:t>et</w:t>
      </w:r>
      <w:r w:rsidRPr="002C4077">
        <w:t xml:space="preserve"> </w:t>
      </w:r>
      <w:r>
        <w:t>trop</w:t>
      </w:r>
      <w:r w:rsidRPr="002C4077">
        <w:t xml:space="preserve"> </w:t>
      </w:r>
      <w:r>
        <w:t>peu</w:t>
      </w:r>
      <w:r w:rsidRPr="002C4077">
        <w:t xml:space="preserve"> </w:t>
      </w:r>
      <w:r>
        <w:t>certains</w:t>
      </w:r>
      <w:r w:rsidRPr="002C4077">
        <w:t xml:space="preserve"> </w:t>
      </w:r>
      <w:r>
        <w:t>pour</w:t>
      </w:r>
      <w:r w:rsidRPr="002C4077">
        <w:t xml:space="preserve"> </w:t>
      </w:r>
      <w:r>
        <w:t>qu’il</w:t>
      </w:r>
      <w:r w:rsidRPr="002C4077">
        <w:t xml:space="preserve"> </w:t>
      </w:r>
      <w:r>
        <w:t>leur</w:t>
      </w:r>
      <w:r w:rsidRPr="002C4077">
        <w:t xml:space="preserve"> </w:t>
      </w:r>
      <w:r>
        <w:t>fût</w:t>
      </w:r>
      <w:r w:rsidRPr="002C4077">
        <w:t xml:space="preserve"> </w:t>
      </w:r>
      <w:r>
        <w:t>permis</w:t>
      </w:r>
      <w:r w:rsidRPr="002C4077">
        <w:t xml:space="preserve"> </w:t>
      </w:r>
      <w:r>
        <w:t>de</w:t>
      </w:r>
      <w:r w:rsidRPr="002C4077">
        <w:t xml:space="preserve"> </w:t>
      </w:r>
      <w:r>
        <w:t>s’y</w:t>
      </w:r>
      <w:r w:rsidRPr="002C4077">
        <w:t xml:space="preserve"> </w:t>
      </w:r>
      <w:r>
        <w:t>fier.</w:t>
      </w:r>
      <w:r w:rsidRPr="002C4077">
        <w:t xml:space="preserve"> </w:t>
      </w:r>
      <w:r>
        <w:t>D’ailleurs,</w:t>
      </w:r>
      <w:r w:rsidRPr="002C4077">
        <w:t xml:space="preserve"> </w:t>
      </w:r>
      <w:r>
        <w:t>nous</w:t>
      </w:r>
      <w:r w:rsidRPr="002C4077">
        <w:t xml:space="preserve"> </w:t>
      </w:r>
      <w:r>
        <w:t>avons</w:t>
      </w:r>
      <w:r w:rsidRPr="002C4077">
        <w:t xml:space="preserve"> </w:t>
      </w:r>
      <w:r>
        <w:t>vu</w:t>
      </w:r>
      <w:r w:rsidRPr="002C4077">
        <w:t xml:space="preserve"> </w:t>
      </w:r>
      <w:r>
        <w:t>que</w:t>
      </w:r>
      <w:r w:rsidRPr="002C4077">
        <w:t xml:space="preserve"> </w:t>
      </w:r>
      <w:r>
        <w:t>les</w:t>
      </w:r>
      <w:r w:rsidRPr="002C4077">
        <w:t xml:space="preserve"> </w:t>
      </w:r>
      <w:r>
        <w:t>savants</w:t>
      </w:r>
      <w:r w:rsidRPr="002C4077">
        <w:t xml:space="preserve"> </w:t>
      </w:r>
      <w:r>
        <w:t>de</w:t>
      </w:r>
      <w:r w:rsidRPr="002C4077">
        <w:t xml:space="preserve"> </w:t>
      </w:r>
      <w:r>
        <w:t>cette</w:t>
      </w:r>
      <w:r w:rsidRPr="002C4077">
        <w:t xml:space="preserve"> </w:t>
      </w:r>
      <w:r>
        <w:t>époque</w:t>
      </w:r>
      <w:r w:rsidRPr="002C4077">
        <w:t xml:space="preserve"> </w:t>
      </w:r>
      <w:r>
        <w:t>ne</w:t>
      </w:r>
      <w:r w:rsidRPr="002C4077">
        <w:t xml:space="preserve"> </w:t>
      </w:r>
      <w:r>
        <w:t>regrettaient</w:t>
      </w:r>
      <w:r w:rsidRPr="002C4077">
        <w:t xml:space="preserve"> </w:t>
      </w:r>
      <w:r>
        <w:t>point</w:t>
      </w:r>
      <w:r w:rsidRPr="002C4077">
        <w:t xml:space="preserve"> </w:t>
      </w:r>
      <w:r>
        <w:t>la</w:t>
      </w:r>
      <w:r w:rsidRPr="002C4077">
        <w:t xml:space="preserve"> </w:t>
      </w:r>
      <w:r>
        <w:t>nécessité</w:t>
      </w:r>
      <w:r w:rsidRPr="002C4077">
        <w:t xml:space="preserve"> </w:t>
      </w:r>
      <w:r>
        <w:t>du</w:t>
      </w:r>
      <w:r w:rsidRPr="002C4077">
        <w:t xml:space="preserve"> </w:t>
      </w:r>
      <w:r>
        <w:t>travail</w:t>
      </w:r>
      <w:r w:rsidRPr="002C4077">
        <w:t xml:space="preserve"> </w:t>
      </w:r>
      <w:r>
        <w:t>corporel,</w:t>
      </w:r>
      <w:r w:rsidRPr="002C4077">
        <w:t xml:space="preserve"> </w:t>
      </w:r>
      <w:r>
        <w:t>et</w:t>
      </w:r>
      <w:r w:rsidRPr="002C4077">
        <w:t xml:space="preserve"> </w:t>
      </w:r>
      <w:r>
        <w:t>qu’ils</w:t>
      </w:r>
      <w:r w:rsidRPr="002C4077">
        <w:t xml:space="preserve"> </w:t>
      </w:r>
      <w:r>
        <w:t>le</w:t>
      </w:r>
      <w:r w:rsidRPr="002C4077">
        <w:t xml:space="preserve"> </w:t>
      </w:r>
      <w:r>
        <w:t>regardaient</w:t>
      </w:r>
      <w:r w:rsidRPr="002C4077">
        <w:t xml:space="preserve"> </w:t>
      </w:r>
      <w:r>
        <w:t>même</w:t>
      </w:r>
      <w:r w:rsidRPr="002C4077">
        <w:t xml:space="preserve"> </w:t>
      </w:r>
      <w:r>
        <w:t>comme</w:t>
      </w:r>
      <w:r w:rsidRPr="002C4077">
        <w:t xml:space="preserve"> </w:t>
      </w:r>
      <w:r>
        <w:t>un</w:t>
      </w:r>
      <w:r w:rsidRPr="002C4077">
        <w:t xml:space="preserve"> </w:t>
      </w:r>
      <w:r>
        <w:t>honneur</w:t>
      </w:r>
      <w:r w:rsidRPr="002C4077">
        <w:t xml:space="preserve"> </w:t>
      </w:r>
      <w:r>
        <w:t>et</w:t>
      </w:r>
      <w:r w:rsidRPr="002C4077">
        <w:t xml:space="preserve"> </w:t>
      </w:r>
      <w:r>
        <w:t>comme</w:t>
      </w:r>
      <w:r w:rsidRPr="002C4077">
        <w:t xml:space="preserve"> </w:t>
      </w:r>
      <w:r>
        <w:t>une</w:t>
      </w:r>
      <w:r w:rsidRPr="002C4077">
        <w:t xml:space="preserve"> </w:t>
      </w:r>
      <w:r>
        <w:t>bénédiction.</w:t>
      </w:r>
      <w:r w:rsidRPr="002C4077">
        <w:t xml:space="preserve"> </w:t>
      </w:r>
      <w:r>
        <w:t>Aujourd’hui,</w:t>
      </w:r>
      <w:r w:rsidRPr="002C4077">
        <w:t xml:space="preserve"> </w:t>
      </w:r>
      <w:r>
        <w:t>ce</w:t>
      </w:r>
      <w:r w:rsidRPr="002C4077">
        <w:t xml:space="preserve"> </w:t>
      </w:r>
      <w:r>
        <w:t>partage</w:t>
      </w:r>
      <w:r w:rsidRPr="002C4077">
        <w:t xml:space="preserve"> </w:t>
      </w:r>
      <w:r>
        <w:t>d’occupations</w:t>
      </w:r>
      <w:r w:rsidRPr="002C4077">
        <w:t xml:space="preserve"> </w:t>
      </w:r>
      <w:r>
        <w:t>serait</w:t>
      </w:r>
      <w:r w:rsidRPr="002C4077">
        <w:t xml:space="preserve"> </w:t>
      </w:r>
      <w:r>
        <w:t>moralement</w:t>
      </w:r>
      <w:r w:rsidRPr="002C4077">
        <w:t xml:space="preserve"> </w:t>
      </w:r>
      <w:r>
        <w:t>impraticable</w:t>
      </w:r>
      <w:r w:rsidR="00B546AF">
        <w:t> ;</w:t>
      </w:r>
      <w:r w:rsidR="00C45B47">
        <w:t xml:space="preserve"> {</w:t>
      </w:r>
      <w:r w:rsidR="001F5257">
        <w:t>256</w:t>
      </w:r>
      <w:bookmarkStart w:id="617" w:name="p256"/>
      <w:bookmarkEnd w:id="617"/>
      <w:r w:rsidR="001F5257">
        <w:t xml:space="preserve">} </w:t>
      </w:r>
      <w:r>
        <w:t>mais</w:t>
      </w:r>
      <w:r w:rsidRPr="002C4077">
        <w:t xml:space="preserve"> </w:t>
      </w:r>
      <w:r>
        <w:t>autrefois</w:t>
      </w:r>
      <w:r w:rsidRPr="002C4077">
        <w:t xml:space="preserve"> </w:t>
      </w:r>
      <w:r>
        <w:t>le</w:t>
      </w:r>
      <w:r w:rsidRPr="002C4077">
        <w:t xml:space="preserve"> </w:t>
      </w:r>
      <w:r>
        <w:t>domaine</w:t>
      </w:r>
      <w:r w:rsidRPr="002C4077">
        <w:t xml:space="preserve"> </w:t>
      </w:r>
      <w:r>
        <w:t>de</w:t>
      </w:r>
      <w:r w:rsidRPr="002C4077">
        <w:t xml:space="preserve"> </w:t>
      </w:r>
      <w:r>
        <w:t>la</w:t>
      </w:r>
      <w:r w:rsidRPr="002C4077">
        <w:t xml:space="preserve"> </w:t>
      </w:r>
      <w:r>
        <w:t>science</w:t>
      </w:r>
      <w:r w:rsidRPr="002C4077">
        <w:t xml:space="preserve"> </w:t>
      </w:r>
      <w:r>
        <w:t>était</w:t>
      </w:r>
      <w:r w:rsidRPr="002C4077">
        <w:t xml:space="preserve"> </w:t>
      </w:r>
      <w:r>
        <w:t>moins</w:t>
      </w:r>
      <w:r w:rsidRPr="002C4077">
        <w:t xml:space="preserve"> </w:t>
      </w:r>
      <w:r>
        <w:t>vaste,</w:t>
      </w:r>
      <w:r w:rsidRPr="002C4077">
        <w:t xml:space="preserve"> </w:t>
      </w:r>
      <w:r>
        <w:t>les</w:t>
      </w:r>
      <w:r w:rsidRPr="002C4077">
        <w:t xml:space="preserve"> </w:t>
      </w:r>
      <w:r>
        <w:t>connaissances</w:t>
      </w:r>
      <w:r w:rsidRPr="002C4077">
        <w:t xml:space="preserve"> </w:t>
      </w:r>
      <w:r>
        <w:t>s’acquéraient</w:t>
      </w:r>
      <w:r w:rsidRPr="002C4077">
        <w:t xml:space="preserve"> </w:t>
      </w:r>
      <w:r>
        <w:t>beaucoup</w:t>
      </w:r>
      <w:r w:rsidRPr="002C4077">
        <w:t xml:space="preserve"> </w:t>
      </w:r>
      <w:r>
        <w:t>moins</w:t>
      </w:r>
      <w:r w:rsidRPr="002C4077">
        <w:t xml:space="preserve"> </w:t>
      </w:r>
      <w:r>
        <w:t>par</w:t>
      </w:r>
      <w:r w:rsidRPr="002C4077">
        <w:t xml:space="preserve"> </w:t>
      </w:r>
      <w:r>
        <w:t>la</w:t>
      </w:r>
      <w:r w:rsidRPr="002C4077">
        <w:t xml:space="preserve"> </w:t>
      </w:r>
      <w:r>
        <w:t>lecture</w:t>
      </w:r>
      <w:r w:rsidRPr="002C4077">
        <w:t xml:space="preserve"> </w:t>
      </w:r>
      <w:r>
        <w:t>que</w:t>
      </w:r>
      <w:r w:rsidRPr="002C4077">
        <w:t xml:space="preserve"> </w:t>
      </w:r>
      <w:r>
        <w:t>par</w:t>
      </w:r>
      <w:r w:rsidRPr="002C4077">
        <w:t xml:space="preserve"> </w:t>
      </w:r>
      <w:r>
        <w:t>l’enseignement</w:t>
      </w:r>
      <w:r w:rsidR="00B546AF">
        <w:t> :</w:t>
      </w:r>
      <w:r w:rsidRPr="002C4077">
        <w:t xml:space="preserve"> </w:t>
      </w:r>
      <w:r>
        <w:t>maîtres</w:t>
      </w:r>
      <w:r w:rsidRPr="002C4077">
        <w:t xml:space="preserve"> </w:t>
      </w:r>
      <w:r>
        <w:t>et</w:t>
      </w:r>
      <w:r w:rsidRPr="002C4077">
        <w:t xml:space="preserve"> </w:t>
      </w:r>
      <w:r>
        <w:t>disciples</w:t>
      </w:r>
      <w:r w:rsidRPr="002C4077">
        <w:t xml:space="preserve"> </w:t>
      </w:r>
      <w:r>
        <w:t>pouvaient</w:t>
      </w:r>
      <w:r w:rsidRPr="002C4077">
        <w:t xml:space="preserve"> </w:t>
      </w:r>
      <w:r>
        <w:t>donc,</w:t>
      </w:r>
      <w:r w:rsidRPr="002C4077">
        <w:t xml:space="preserve"> </w:t>
      </w:r>
      <w:r>
        <w:t>sans</w:t>
      </w:r>
      <w:r w:rsidRPr="002C4077">
        <w:t xml:space="preserve"> </w:t>
      </w:r>
      <w:r>
        <w:t>nuire</w:t>
      </w:r>
      <w:r w:rsidRPr="002C4077">
        <w:t xml:space="preserve"> </w:t>
      </w:r>
      <w:r>
        <w:t>à</w:t>
      </w:r>
      <w:r w:rsidRPr="002C4077">
        <w:t xml:space="preserve"> </w:t>
      </w:r>
      <w:r>
        <w:t>leurs</w:t>
      </w:r>
      <w:r w:rsidRPr="002C4077">
        <w:t xml:space="preserve"> </w:t>
      </w:r>
      <w:r>
        <w:t>études,</w:t>
      </w:r>
      <w:r w:rsidRPr="002C4077">
        <w:t xml:space="preserve"> </w:t>
      </w:r>
      <w:r>
        <w:t>consacrer</w:t>
      </w:r>
      <w:r w:rsidRPr="002C4077">
        <w:t xml:space="preserve"> </w:t>
      </w:r>
      <w:r>
        <w:t>aux</w:t>
      </w:r>
      <w:r w:rsidRPr="002C4077">
        <w:t xml:space="preserve"> </w:t>
      </w:r>
      <w:r>
        <w:t>travaux</w:t>
      </w:r>
      <w:r w:rsidRPr="002C4077">
        <w:t xml:space="preserve"> </w:t>
      </w:r>
      <w:r>
        <w:t>extérieurs</w:t>
      </w:r>
      <w:r w:rsidRPr="002C4077">
        <w:t xml:space="preserve"> </w:t>
      </w:r>
      <w:r>
        <w:t>une</w:t>
      </w:r>
      <w:r w:rsidRPr="002C4077">
        <w:t xml:space="preserve"> </w:t>
      </w:r>
      <w:r>
        <w:t>bonne</w:t>
      </w:r>
      <w:r w:rsidRPr="002C4077">
        <w:t xml:space="preserve"> </w:t>
      </w:r>
      <w:r>
        <w:t>partie</w:t>
      </w:r>
      <w:r w:rsidRPr="002C4077">
        <w:t xml:space="preserve"> </w:t>
      </w:r>
      <w:r>
        <w:t>de</w:t>
      </w:r>
      <w:r w:rsidRPr="002C4077">
        <w:t xml:space="preserve"> </w:t>
      </w:r>
      <w:r>
        <w:t>leurs</w:t>
      </w:r>
      <w:bookmarkStart w:id="618" w:name="z_RabbinsArtisans_o2"/>
      <w:bookmarkEnd w:id="618"/>
      <w:r w:rsidRPr="002C4077">
        <w:t xml:space="preserve"> </w:t>
      </w:r>
      <w:r>
        <w:t>loisirs.</w:t>
      </w:r>
      <w:r w:rsidRPr="002C4077">
        <w:t xml:space="preserve"> </w:t>
      </w:r>
    </w:p>
    <w:p w:rsidR="000A7AAB" w:rsidRDefault="000A7AAB" w:rsidP="000A7AAB">
      <w:r>
        <w:t>Après</w:t>
      </w:r>
      <w:r w:rsidRPr="002C4077">
        <w:t xml:space="preserve"> </w:t>
      </w:r>
      <w:r>
        <w:t>ces</w:t>
      </w:r>
      <w:r w:rsidRPr="002C4077">
        <w:t xml:space="preserve"> </w:t>
      </w:r>
      <w:r>
        <w:t>développements,</w:t>
      </w:r>
      <w:r w:rsidRPr="002C4077">
        <w:t xml:space="preserve"> </w:t>
      </w:r>
      <w:r>
        <w:t>nous</w:t>
      </w:r>
      <w:r w:rsidRPr="002C4077">
        <w:t xml:space="preserve"> </w:t>
      </w:r>
      <w:r>
        <w:t>ne</w:t>
      </w:r>
      <w:r w:rsidRPr="002C4077">
        <w:t xml:space="preserve"> </w:t>
      </w:r>
      <w:r>
        <w:t>serons</w:t>
      </w:r>
      <w:r w:rsidRPr="002C4077">
        <w:t xml:space="preserve"> </w:t>
      </w:r>
      <w:r>
        <w:t>plus</w:t>
      </w:r>
      <w:r w:rsidRPr="002C4077">
        <w:t xml:space="preserve"> </w:t>
      </w:r>
      <w:r>
        <w:t>surpris</w:t>
      </w:r>
      <w:r w:rsidRPr="002C4077">
        <w:t xml:space="preserve"> </w:t>
      </w:r>
      <w:r>
        <w:t>de</w:t>
      </w:r>
      <w:r w:rsidRPr="002C4077">
        <w:t xml:space="preserve"> </w:t>
      </w:r>
      <w:r>
        <w:t>voir</w:t>
      </w:r>
      <w:r w:rsidRPr="002C4077">
        <w:t xml:space="preserve"> </w:t>
      </w:r>
      <w:r>
        <w:t>que</w:t>
      </w:r>
      <w:r w:rsidRPr="002C4077">
        <w:t xml:space="preserve"> </w:t>
      </w:r>
      <w:r>
        <w:t>saint</w:t>
      </w:r>
      <w:bookmarkStart w:id="619" w:name="z_TestamentNouveau_o5"/>
      <w:bookmarkEnd w:id="619"/>
      <w:r w:rsidRPr="002C4077">
        <w:t xml:space="preserve"> </w:t>
      </w:r>
      <w:r>
        <w:t>Paul</w:t>
      </w:r>
      <w:bookmarkStart w:id="620" w:name="z_PaulSaint_o1"/>
      <w:bookmarkEnd w:id="620"/>
      <w:r w:rsidRPr="002C4077">
        <w:t xml:space="preserve"> </w:t>
      </w:r>
      <w:r>
        <w:t>—</w:t>
      </w:r>
      <w:r w:rsidRPr="002C4077">
        <w:t xml:space="preserve"> </w:t>
      </w:r>
      <w:r>
        <w:t>ou</w:t>
      </w:r>
      <w:r w:rsidRPr="002C4077">
        <w:t xml:space="preserve"> </w:t>
      </w:r>
      <w:r>
        <w:t>plutôt</w:t>
      </w:r>
      <w:r w:rsidRPr="002C4077">
        <w:t xml:space="preserve"> </w:t>
      </w:r>
      <w:r>
        <w:t>que</w:t>
      </w:r>
      <w:r w:rsidRPr="002C4077">
        <w:t xml:space="preserve"> </w:t>
      </w:r>
      <w:r>
        <w:t>Saul</w:t>
      </w:r>
      <w:r w:rsidRPr="002C4077">
        <w:t xml:space="preserve"> </w:t>
      </w:r>
      <w:r>
        <w:t>—,</w:t>
      </w:r>
      <w:r w:rsidRPr="002C4077">
        <w:t xml:space="preserve"> </w:t>
      </w:r>
      <w:r>
        <w:t>bien</w:t>
      </w:r>
      <w:r w:rsidRPr="002C4077">
        <w:t xml:space="preserve"> </w:t>
      </w:r>
      <w:r>
        <w:t>qu’il</w:t>
      </w:r>
      <w:r w:rsidRPr="002C4077">
        <w:t xml:space="preserve"> </w:t>
      </w:r>
      <w:r>
        <w:t>eût</w:t>
      </w:r>
      <w:r w:rsidRPr="002C4077">
        <w:t xml:space="preserve"> </w:t>
      </w:r>
      <w:r>
        <w:t>été</w:t>
      </w:r>
      <w:r w:rsidRPr="002C4077">
        <w:t xml:space="preserve"> </w:t>
      </w:r>
      <w:r>
        <w:t>destiné</w:t>
      </w:r>
      <w:r w:rsidRPr="002C4077">
        <w:t xml:space="preserve"> </w:t>
      </w:r>
      <w:r>
        <w:t>de</w:t>
      </w:r>
      <w:r w:rsidRPr="002C4077">
        <w:t xml:space="preserve"> </w:t>
      </w:r>
      <w:r>
        <w:t>bonne</w:t>
      </w:r>
      <w:r w:rsidRPr="002C4077">
        <w:t xml:space="preserve"> </w:t>
      </w:r>
      <w:r>
        <w:t>heure</w:t>
      </w:r>
      <w:r w:rsidRPr="002C4077">
        <w:t xml:space="preserve"> </w:t>
      </w:r>
      <w:r>
        <w:t>par</w:t>
      </w:r>
      <w:r w:rsidRPr="002C4077">
        <w:t xml:space="preserve"> </w:t>
      </w:r>
      <w:r>
        <w:t>son</w:t>
      </w:r>
      <w:r w:rsidRPr="002C4077">
        <w:t xml:space="preserve"> </w:t>
      </w:r>
      <w:r>
        <w:t>père</w:t>
      </w:r>
      <w:r w:rsidRPr="002C4077">
        <w:t xml:space="preserve"> </w:t>
      </w:r>
      <w:r>
        <w:t>à</w:t>
      </w:r>
      <w:r w:rsidRPr="002C4077">
        <w:t xml:space="preserve"> </w:t>
      </w:r>
      <w:r>
        <w:t>la</w:t>
      </w:r>
      <w:r w:rsidRPr="002C4077">
        <w:t xml:space="preserve"> </w:t>
      </w:r>
      <w:r>
        <w:t>sublime</w:t>
      </w:r>
      <w:r w:rsidRPr="002C4077">
        <w:t xml:space="preserve"> </w:t>
      </w:r>
      <w:r>
        <w:t>fonction</w:t>
      </w:r>
      <w:r w:rsidRPr="002C4077">
        <w:t xml:space="preserve"> </w:t>
      </w:r>
      <w:r>
        <w:t>de</w:t>
      </w:r>
      <w:r w:rsidRPr="002C4077">
        <w:t xml:space="preserve"> </w:t>
      </w:r>
      <w:r>
        <w:t>Docteur</w:t>
      </w:r>
      <w:r w:rsidRPr="002C4077">
        <w:t xml:space="preserve"> </w:t>
      </w:r>
      <w:r>
        <w:t>de</w:t>
      </w:r>
      <w:r w:rsidRPr="002C4077">
        <w:t xml:space="preserve"> </w:t>
      </w:r>
      <w:r>
        <w:t>la</w:t>
      </w:r>
      <w:r w:rsidRPr="002C4077">
        <w:t xml:space="preserve"> </w:t>
      </w:r>
      <w:r>
        <w:t>loi,</w:t>
      </w:r>
      <w:r w:rsidRPr="002C4077">
        <w:t xml:space="preserve"> </w:t>
      </w:r>
      <w:r>
        <w:t>avait</w:t>
      </w:r>
      <w:r w:rsidRPr="002C4077">
        <w:t xml:space="preserve"> </w:t>
      </w:r>
      <w:r>
        <w:t>appris</w:t>
      </w:r>
      <w:r w:rsidRPr="002C4077">
        <w:t xml:space="preserve"> </w:t>
      </w:r>
      <w:r>
        <w:t>comme</w:t>
      </w:r>
      <w:r w:rsidRPr="002C4077">
        <w:t xml:space="preserve"> </w:t>
      </w:r>
      <w:r>
        <w:t>les</w:t>
      </w:r>
      <w:r w:rsidRPr="002C4077">
        <w:t xml:space="preserve"> </w:t>
      </w:r>
      <w:r>
        <w:t>autres</w:t>
      </w:r>
      <w:r w:rsidRPr="002C4077">
        <w:t xml:space="preserve"> </w:t>
      </w:r>
      <w:r>
        <w:t>à</w:t>
      </w:r>
      <w:r w:rsidRPr="002C4077">
        <w:t xml:space="preserve"> </w:t>
      </w:r>
      <w:r>
        <w:t>travailler</w:t>
      </w:r>
      <w:r w:rsidRPr="002C4077">
        <w:t xml:space="preserve"> </w:t>
      </w:r>
      <w:r>
        <w:t>de</w:t>
      </w:r>
      <w:r w:rsidRPr="002C4077">
        <w:t xml:space="preserve"> </w:t>
      </w:r>
      <w:r>
        <w:t>ses</w:t>
      </w:r>
      <w:r w:rsidRPr="002C4077">
        <w:t xml:space="preserve"> </w:t>
      </w:r>
      <w:r>
        <w:t>mains.</w:t>
      </w:r>
      <w:r w:rsidRPr="002C4077">
        <w:t xml:space="preserve"> </w:t>
      </w:r>
      <w:r>
        <w:t>Les</w:t>
      </w:r>
      <w:r w:rsidRPr="002C4077">
        <w:t xml:space="preserve"> </w:t>
      </w:r>
      <w:r>
        <w:t>Actes</w:t>
      </w:r>
      <w:r w:rsidRPr="002C4077">
        <w:t xml:space="preserve"> </w:t>
      </w:r>
      <w:r>
        <w:t>des</w:t>
      </w:r>
      <w:r w:rsidRPr="002C4077">
        <w:t xml:space="preserve"> </w:t>
      </w:r>
      <w:r>
        <w:t>Apôtres</w:t>
      </w:r>
      <w:r w:rsidRPr="002C4077">
        <w:t xml:space="preserve"> </w:t>
      </w:r>
      <w:r>
        <w:t>nous</w:t>
      </w:r>
      <w:r w:rsidRPr="002C4077">
        <w:t xml:space="preserve"> </w:t>
      </w:r>
      <w:r>
        <w:t>apprennent,</w:t>
      </w:r>
      <w:r w:rsidRPr="002C4077">
        <w:t xml:space="preserve"> </w:t>
      </w:r>
      <w:r>
        <w:t>en</w:t>
      </w:r>
      <w:r w:rsidRPr="002C4077">
        <w:t xml:space="preserve"> </w:t>
      </w:r>
      <w:r>
        <w:t>effet,</w:t>
      </w:r>
      <w:r w:rsidRPr="002C4077">
        <w:t xml:space="preserve"> </w:t>
      </w:r>
      <w:r>
        <w:t>qu’il</w:t>
      </w:r>
      <w:r w:rsidRPr="002C4077">
        <w:t xml:space="preserve"> </w:t>
      </w:r>
      <w:r>
        <w:t>fabriquait</w:t>
      </w:r>
      <w:r w:rsidRPr="002C4077">
        <w:t xml:space="preserve"> </w:t>
      </w:r>
      <w:r>
        <w:t>des</w:t>
      </w:r>
      <w:r w:rsidRPr="002C4077">
        <w:t xml:space="preserve"> </w:t>
      </w:r>
      <w:r>
        <w:t>étoffes</w:t>
      </w:r>
      <w:r w:rsidRPr="002C4077">
        <w:t xml:space="preserve"> </w:t>
      </w:r>
      <w:r>
        <w:t>pour</w:t>
      </w:r>
      <w:r w:rsidRPr="002C4077">
        <w:t xml:space="preserve"> </w:t>
      </w:r>
      <w:r>
        <w:t>les</w:t>
      </w:r>
      <w:r w:rsidRPr="002C4077">
        <w:t xml:space="preserve"> </w:t>
      </w:r>
      <w:r>
        <w:t>tentes</w:t>
      </w:r>
      <w:r w:rsidR="00B91AF7">
        <w:rPr>
          <w:rStyle w:val="Appelnotedebasdep"/>
        </w:rPr>
        <w:footnoteReference w:id="803"/>
      </w:r>
      <w:r>
        <w:t>.</w:t>
      </w:r>
      <w:r w:rsidRPr="002C4077">
        <w:t xml:space="preserve"> </w:t>
      </w:r>
      <w:r>
        <w:t>Comme</w:t>
      </w:r>
      <w:r w:rsidRPr="002C4077">
        <w:t xml:space="preserve"> </w:t>
      </w:r>
      <w:r>
        <w:t>la</w:t>
      </w:r>
      <w:r w:rsidRPr="002C4077">
        <w:t xml:space="preserve"> </w:t>
      </w:r>
      <w:r>
        <w:t>laine</w:t>
      </w:r>
      <w:r w:rsidRPr="002C4077">
        <w:t xml:space="preserve"> </w:t>
      </w:r>
      <w:r>
        <w:t>de</w:t>
      </w:r>
      <w:r w:rsidRPr="002C4077">
        <w:t xml:space="preserve"> </w:t>
      </w:r>
      <w:r>
        <w:t>la</w:t>
      </w:r>
      <w:r w:rsidRPr="002C4077">
        <w:t xml:space="preserve"> </w:t>
      </w:r>
      <w:r>
        <w:t>Cilicie</w:t>
      </w:r>
      <w:r w:rsidRPr="002C4077">
        <w:t xml:space="preserve"> </w:t>
      </w:r>
      <w:r>
        <w:t>était</w:t>
      </w:r>
      <w:r w:rsidRPr="002C4077">
        <w:t xml:space="preserve"> </w:t>
      </w:r>
      <w:r>
        <w:t>renommée</w:t>
      </w:r>
      <w:r w:rsidRPr="002C4077">
        <w:t xml:space="preserve"> </w:t>
      </w:r>
      <w:r>
        <w:t>entre</w:t>
      </w:r>
      <w:r w:rsidRPr="002C4077">
        <w:t xml:space="preserve"> </w:t>
      </w:r>
      <w:r>
        <w:t>toutes</w:t>
      </w:r>
      <w:r w:rsidRPr="002C4077">
        <w:t xml:space="preserve"> </w:t>
      </w:r>
      <w:r>
        <w:t>pour</w:t>
      </w:r>
      <w:r w:rsidRPr="002C4077">
        <w:t xml:space="preserve"> </w:t>
      </w:r>
      <w:r>
        <w:t>cet</w:t>
      </w:r>
      <w:r w:rsidRPr="002C4077">
        <w:t xml:space="preserve"> </w:t>
      </w:r>
      <w:r>
        <w:t>usage,</w:t>
      </w:r>
      <w:r w:rsidRPr="002C4077">
        <w:t xml:space="preserve"> </w:t>
      </w:r>
      <w:r>
        <w:t>il</w:t>
      </w:r>
      <w:r w:rsidRPr="002C4077">
        <w:t xml:space="preserve"> </w:t>
      </w:r>
      <w:r>
        <w:t>n’est</w:t>
      </w:r>
      <w:r w:rsidRPr="002C4077">
        <w:t xml:space="preserve"> </w:t>
      </w:r>
      <w:r>
        <w:t>pas</w:t>
      </w:r>
      <w:r w:rsidRPr="002C4077">
        <w:t xml:space="preserve"> </w:t>
      </w:r>
      <w:r>
        <w:t>étonnant</w:t>
      </w:r>
      <w:r w:rsidRPr="002C4077">
        <w:t xml:space="preserve"> </w:t>
      </w:r>
      <w:r>
        <w:t>qu’il</w:t>
      </w:r>
      <w:r w:rsidRPr="002C4077">
        <w:t xml:space="preserve"> </w:t>
      </w:r>
      <w:r>
        <w:t>ait</w:t>
      </w:r>
      <w:r w:rsidRPr="002C4077">
        <w:t xml:space="preserve"> </w:t>
      </w:r>
      <w:r>
        <w:t>choisi</w:t>
      </w:r>
      <w:r w:rsidRPr="002C4077">
        <w:t xml:space="preserve"> </w:t>
      </w:r>
      <w:r>
        <w:t>de</w:t>
      </w:r>
      <w:r w:rsidRPr="002C4077">
        <w:t xml:space="preserve"> </w:t>
      </w:r>
      <w:r>
        <w:t>préférence</w:t>
      </w:r>
      <w:r w:rsidRPr="002C4077">
        <w:t xml:space="preserve"> </w:t>
      </w:r>
      <w:r>
        <w:t>ce</w:t>
      </w:r>
      <w:r w:rsidRPr="002C4077">
        <w:t xml:space="preserve"> </w:t>
      </w:r>
      <w:r>
        <w:t>genre</w:t>
      </w:r>
      <w:r w:rsidRPr="002C4077">
        <w:t xml:space="preserve"> </w:t>
      </w:r>
      <w:r>
        <w:t>d’industrie.</w:t>
      </w:r>
      <w:r w:rsidRPr="002C4077">
        <w:t xml:space="preserve"> </w:t>
      </w:r>
      <w:r>
        <w:t>Peut-être</w:t>
      </w:r>
      <w:r w:rsidRPr="002C4077">
        <w:t xml:space="preserve"> </w:t>
      </w:r>
      <w:r>
        <w:t>même</w:t>
      </w:r>
      <w:r w:rsidRPr="002C4077">
        <w:t xml:space="preserve"> </w:t>
      </w:r>
      <w:r>
        <w:t>son</w:t>
      </w:r>
      <w:r w:rsidRPr="002C4077">
        <w:t xml:space="preserve"> </w:t>
      </w:r>
      <w:r>
        <w:t>métier</w:t>
      </w:r>
      <w:r w:rsidRPr="002C4077">
        <w:t xml:space="preserve"> </w:t>
      </w:r>
      <w:r>
        <w:t>lui</w:t>
      </w:r>
      <w:r w:rsidRPr="002C4077">
        <w:t xml:space="preserve"> </w:t>
      </w:r>
      <w:r>
        <w:t>aura-t-il</w:t>
      </w:r>
      <w:r w:rsidRPr="002C4077">
        <w:t xml:space="preserve"> </w:t>
      </w:r>
      <w:r>
        <w:t>été</w:t>
      </w:r>
      <w:r w:rsidRPr="002C4077">
        <w:t xml:space="preserve"> </w:t>
      </w:r>
      <w:r>
        <w:t>enseigné</w:t>
      </w:r>
      <w:r w:rsidRPr="002C4077">
        <w:t xml:space="preserve"> </w:t>
      </w:r>
      <w:r>
        <w:t>par</w:t>
      </w:r>
      <w:r w:rsidRPr="002C4077">
        <w:t xml:space="preserve"> </w:t>
      </w:r>
      <w:r>
        <w:t>son</w:t>
      </w:r>
      <w:r w:rsidRPr="002C4077">
        <w:t xml:space="preserve"> </w:t>
      </w:r>
      <w:r>
        <w:t>père,</w:t>
      </w:r>
      <w:r w:rsidRPr="002C4077">
        <w:t xml:space="preserve"> </w:t>
      </w:r>
      <w:r>
        <w:t>car,</w:t>
      </w:r>
      <w:r w:rsidRPr="002C4077">
        <w:t xml:space="preserve"> </w:t>
      </w:r>
      <w:r>
        <w:t>selon</w:t>
      </w:r>
      <w:r w:rsidRPr="002C4077">
        <w:t xml:space="preserve"> </w:t>
      </w:r>
      <w:r>
        <w:t>la</w:t>
      </w:r>
      <w:r w:rsidRPr="002C4077">
        <w:t xml:space="preserve"> </w:t>
      </w:r>
      <w:r>
        <w:t>coutume</w:t>
      </w:r>
      <w:r w:rsidRPr="002C4077">
        <w:t xml:space="preserve"> </w:t>
      </w:r>
      <w:r>
        <w:t>juive,</w:t>
      </w:r>
      <w:r w:rsidRPr="002C4077">
        <w:t xml:space="preserve"> </w:t>
      </w:r>
      <w:r>
        <w:t>les</w:t>
      </w:r>
      <w:r w:rsidRPr="002C4077">
        <w:t xml:space="preserve"> </w:t>
      </w:r>
      <w:r>
        <w:t>professions</w:t>
      </w:r>
      <w:r w:rsidRPr="002C4077">
        <w:t xml:space="preserve"> </w:t>
      </w:r>
      <w:r>
        <w:t>se</w:t>
      </w:r>
      <w:r w:rsidRPr="002C4077">
        <w:t xml:space="preserve"> </w:t>
      </w:r>
      <w:r>
        <w:t>perpétuaient</w:t>
      </w:r>
      <w:r w:rsidRPr="002C4077">
        <w:t xml:space="preserve"> </w:t>
      </w:r>
      <w:r>
        <w:t>de</w:t>
      </w:r>
      <w:r w:rsidRPr="002C4077">
        <w:t xml:space="preserve"> </w:t>
      </w:r>
      <w:r>
        <w:t>père</w:t>
      </w:r>
      <w:r w:rsidRPr="002C4077">
        <w:t xml:space="preserve"> </w:t>
      </w:r>
      <w:r>
        <w:t>en</w:t>
      </w:r>
      <w:r w:rsidRPr="002C4077">
        <w:t xml:space="preserve"> </w:t>
      </w:r>
      <w:r>
        <w:t>fils</w:t>
      </w:r>
      <w:r w:rsidRPr="002C4077">
        <w:t xml:space="preserve"> </w:t>
      </w:r>
      <w:r>
        <w:t>dans</w:t>
      </w:r>
      <w:r w:rsidRPr="002C4077">
        <w:t xml:space="preserve"> </w:t>
      </w:r>
      <w:r>
        <w:t>les</w:t>
      </w:r>
      <w:r w:rsidRPr="002C4077">
        <w:t xml:space="preserve"> </w:t>
      </w:r>
      <w:r>
        <w:t>familles</w:t>
      </w:r>
      <w:r w:rsidR="00B91AF7">
        <w:rPr>
          <w:rStyle w:val="Appelnotedebasdep"/>
        </w:rPr>
        <w:footnoteReference w:id="804"/>
      </w:r>
      <w:r>
        <w:t>.</w:t>
      </w:r>
      <w:r w:rsidRPr="002C4077">
        <w:t xml:space="preserve"> </w:t>
      </w:r>
      <w:r>
        <w:t>Quoi</w:t>
      </w:r>
      <w:r w:rsidRPr="002C4077">
        <w:t xml:space="preserve"> </w:t>
      </w:r>
      <w:r>
        <w:t>qu’il</w:t>
      </w:r>
      <w:r w:rsidRPr="002C4077">
        <w:t xml:space="preserve"> </w:t>
      </w:r>
      <w:r>
        <w:t>en</w:t>
      </w:r>
      <w:r w:rsidRPr="002C4077">
        <w:t xml:space="preserve"> </w:t>
      </w:r>
      <w:r>
        <w:t>soit,</w:t>
      </w:r>
      <w:r w:rsidRPr="002C4077">
        <w:t xml:space="preserve"> </w:t>
      </w:r>
      <w:r>
        <w:t>son</w:t>
      </w:r>
      <w:r w:rsidRPr="002C4077">
        <w:t xml:space="preserve"> </w:t>
      </w:r>
      <w:r>
        <w:t>habileté</w:t>
      </w:r>
      <w:r w:rsidRPr="002C4077">
        <w:t xml:space="preserve"> </w:t>
      </w:r>
      <w:r>
        <w:t>dans</w:t>
      </w:r>
      <w:r w:rsidRPr="002C4077">
        <w:t xml:space="preserve"> </w:t>
      </w:r>
      <w:r>
        <w:t>cet</w:t>
      </w:r>
      <w:r w:rsidRPr="002C4077">
        <w:t xml:space="preserve"> </w:t>
      </w:r>
      <w:r>
        <w:t>art</w:t>
      </w:r>
      <w:r w:rsidRPr="002C4077">
        <w:t xml:space="preserve"> </w:t>
      </w:r>
      <w:r>
        <w:t>lui</w:t>
      </w:r>
      <w:r w:rsidRPr="002C4077">
        <w:t xml:space="preserve"> </w:t>
      </w:r>
      <w:r>
        <w:t>rendit</w:t>
      </w:r>
      <w:r w:rsidRPr="002C4077">
        <w:t xml:space="preserve"> </w:t>
      </w:r>
      <w:r>
        <w:t>plus</w:t>
      </w:r>
      <w:r w:rsidRPr="002C4077">
        <w:t xml:space="preserve"> </w:t>
      </w:r>
      <w:r>
        <w:t>tard</w:t>
      </w:r>
      <w:r w:rsidRPr="002C4077">
        <w:t xml:space="preserve"> </w:t>
      </w:r>
      <w:r>
        <w:t>des</w:t>
      </w:r>
      <w:r w:rsidRPr="002C4077">
        <w:t xml:space="preserve"> </w:t>
      </w:r>
      <w:r>
        <w:t>services</w:t>
      </w:r>
      <w:r w:rsidRPr="002C4077">
        <w:t xml:space="preserve"> </w:t>
      </w:r>
      <w:r>
        <w:t>signalés,</w:t>
      </w:r>
      <w:r w:rsidRPr="002C4077">
        <w:t xml:space="preserve"> </w:t>
      </w:r>
      <w:r>
        <w:t>et</w:t>
      </w:r>
      <w:r w:rsidRPr="002C4077">
        <w:t xml:space="preserve"> </w:t>
      </w:r>
      <w:r>
        <w:t>ne</w:t>
      </w:r>
      <w:r w:rsidRPr="002C4077">
        <w:t xml:space="preserve"> </w:t>
      </w:r>
      <w:r>
        <w:t>con</w:t>
      </w:r>
      <w:r w:rsidR="003B53FD">
        <w:t>tribua</w:t>
      </w:r>
      <w:r w:rsidRPr="002C4077">
        <w:t xml:space="preserve"> </w:t>
      </w:r>
      <w:r>
        <w:t>pas</w:t>
      </w:r>
      <w:r w:rsidRPr="002C4077">
        <w:t xml:space="preserve"> </w:t>
      </w:r>
      <w:r>
        <w:t>peu</w:t>
      </w:r>
      <w:r w:rsidRPr="002C4077">
        <w:t xml:space="preserve"> </w:t>
      </w:r>
      <w:r>
        <w:t>aux</w:t>
      </w:r>
      <w:r w:rsidRPr="002C4077">
        <w:t xml:space="preserve"> </w:t>
      </w:r>
      <w:r>
        <w:t>fruits</w:t>
      </w:r>
      <w:r w:rsidRPr="002C4077">
        <w:t xml:space="preserve"> </w:t>
      </w:r>
      <w:r>
        <w:t>de</w:t>
      </w:r>
      <w:r w:rsidRPr="002C4077">
        <w:t xml:space="preserve"> </w:t>
      </w:r>
      <w:r>
        <w:t>son</w:t>
      </w:r>
      <w:r w:rsidRPr="002C4077">
        <w:t xml:space="preserve"> </w:t>
      </w:r>
      <w:r>
        <w:t>ministère</w:t>
      </w:r>
      <w:r w:rsidRPr="002C4077">
        <w:t xml:space="preserve"> </w:t>
      </w:r>
      <w:r>
        <w:t>en</w:t>
      </w:r>
      <w:r w:rsidRPr="002C4077">
        <w:t xml:space="preserve"> </w:t>
      </w:r>
      <w:r>
        <w:t>assurant</w:t>
      </w:r>
      <w:r w:rsidRPr="002C4077">
        <w:t xml:space="preserve"> </w:t>
      </w:r>
      <w:r>
        <w:t>son</w:t>
      </w:r>
      <w:r w:rsidRPr="002C4077">
        <w:t xml:space="preserve"> </w:t>
      </w:r>
      <w:r>
        <w:t>indépendance</w:t>
      </w:r>
      <w:r w:rsidR="00846153">
        <w:rPr>
          <w:rStyle w:val="Appelnotedebasdep"/>
        </w:rPr>
        <w:footnoteReference w:id="805"/>
      </w:r>
      <w:r>
        <w:t>.</w:t>
      </w:r>
      <w:r w:rsidRPr="002C4077">
        <w:t xml:space="preserve"> </w:t>
      </w:r>
      <w:r>
        <w:t>Telle</w:t>
      </w:r>
      <w:r w:rsidRPr="002C4077">
        <w:t xml:space="preserve"> </w:t>
      </w:r>
      <w:r>
        <w:t>avait</w:t>
      </w:r>
      <w:r w:rsidRPr="002C4077">
        <w:t xml:space="preserve"> </w:t>
      </w:r>
      <w:r>
        <w:t>été,</w:t>
      </w:r>
      <w:r w:rsidRPr="002C4077">
        <w:t xml:space="preserve"> </w:t>
      </w:r>
      <w:r>
        <w:t>du</w:t>
      </w:r>
      <w:r w:rsidRPr="002C4077">
        <w:t xml:space="preserve"> </w:t>
      </w:r>
      <w:r>
        <w:t>reste,</w:t>
      </w:r>
      <w:r w:rsidRPr="002C4077">
        <w:t xml:space="preserve"> </w:t>
      </w:r>
      <w:r>
        <w:t>la</w:t>
      </w:r>
      <w:r w:rsidRPr="002C4077">
        <w:t xml:space="preserve"> </w:t>
      </w:r>
      <w:r>
        <w:t>conduite</w:t>
      </w:r>
      <w:r w:rsidRPr="002C4077">
        <w:t xml:space="preserve"> </w:t>
      </w:r>
      <w:r>
        <w:t>du</w:t>
      </w:r>
      <w:r w:rsidRPr="002C4077">
        <w:t xml:space="preserve"> </w:t>
      </w:r>
      <w:r>
        <w:t>divin</w:t>
      </w:r>
      <w:r w:rsidRPr="002C4077">
        <w:t xml:space="preserve"> </w:t>
      </w:r>
      <w:r>
        <w:t>Maître</w:t>
      </w:r>
      <w:bookmarkStart w:id="621" w:name="z_JesusArtisan_o1"/>
      <w:bookmarkEnd w:id="621"/>
      <w:r>
        <w:t>.</w:t>
      </w:r>
      <w:r w:rsidRPr="002C4077">
        <w:t xml:space="preserve"> </w:t>
      </w:r>
      <w:r>
        <w:t>Pour</w:t>
      </w:r>
      <w:r w:rsidRPr="002C4077">
        <w:t xml:space="preserve"> </w:t>
      </w:r>
      <w:r>
        <w:t>nous</w:t>
      </w:r>
      <w:r w:rsidRPr="002C4077">
        <w:t xml:space="preserve"> </w:t>
      </w:r>
      <w:r>
        <w:t>donner</w:t>
      </w:r>
      <w:r w:rsidRPr="002C4077">
        <w:t xml:space="preserve"> </w:t>
      </w:r>
      <w:r>
        <w:t>l’exemple</w:t>
      </w:r>
      <w:r w:rsidRPr="002C4077">
        <w:t xml:space="preserve"> </w:t>
      </w:r>
      <w:r>
        <w:t>et</w:t>
      </w:r>
      <w:r w:rsidRPr="002C4077">
        <w:t xml:space="preserve"> </w:t>
      </w:r>
      <w:r>
        <w:t>nous</w:t>
      </w:r>
      <w:r w:rsidRPr="002C4077">
        <w:t xml:space="preserve"> </w:t>
      </w:r>
      <w:r>
        <w:t>inspirer</w:t>
      </w:r>
      <w:r w:rsidRPr="002C4077">
        <w:t xml:space="preserve"> </w:t>
      </w:r>
      <w:r>
        <w:t>l’amour</w:t>
      </w:r>
      <w:r w:rsidRPr="002C4077">
        <w:t xml:space="preserve"> </w:t>
      </w:r>
      <w:r>
        <w:t>du</w:t>
      </w:r>
      <w:r w:rsidRPr="002C4077">
        <w:t xml:space="preserve"> </w:t>
      </w:r>
      <w:r>
        <w:t>travail,</w:t>
      </w:r>
      <w:r w:rsidRPr="002C4077">
        <w:t xml:space="preserve"> </w:t>
      </w:r>
      <w:r>
        <w:t>comme</w:t>
      </w:r>
      <w:r w:rsidRPr="002C4077">
        <w:t xml:space="preserve"> </w:t>
      </w:r>
      <w:r>
        <w:t>aussi</w:t>
      </w:r>
      <w:r w:rsidRPr="002C4077">
        <w:t xml:space="preserve"> </w:t>
      </w:r>
      <w:r>
        <w:t>pour</w:t>
      </w:r>
      <w:r w:rsidRPr="002C4077">
        <w:t xml:space="preserve"> </w:t>
      </w:r>
      <w:r>
        <w:t>expier</w:t>
      </w:r>
      <w:r w:rsidRPr="002C4077">
        <w:t xml:space="preserve"> </w:t>
      </w:r>
      <w:r>
        <w:t>nos</w:t>
      </w:r>
      <w:r w:rsidRPr="002C4077">
        <w:t xml:space="preserve"> </w:t>
      </w:r>
      <w:r>
        <w:t>fautes</w:t>
      </w:r>
      <w:r w:rsidRPr="002C4077">
        <w:t xml:space="preserve"> </w:t>
      </w:r>
      <w:r>
        <w:t>par</w:t>
      </w:r>
      <w:r w:rsidRPr="002C4077">
        <w:t xml:space="preserve"> </w:t>
      </w:r>
      <w:r>
        <w:t>ses</w:t>
      </w:r>
      <w:r w:rsidRPr="002C4077">
        <w:t xml:space="preserve"> </w:t>
      </w:r>
      <w:r>
        <w:t>sueurs</w:t>
      </w:r>
      <w:r w:rsidRPr="002C4077">
        <w:t xml:space="preserve"> </w:t>
      </w:r>
      <w:r>
        <w:t>et</w:t>
      </w:r>
      <w:r w:rsidRPr="002C4077">
        <w:t xml:space="preserve"> </w:t>
      </w:r>
      <w:r>
        <w:t>ses</w:t>
      </w:r>
      <w:r w:rsidRPr="002C4077">
        <w:t xml:space="preserve"> </w:t>
      </w:r>
      <w:r>
        <w:t>fatigues,</w:t>
      </w:r>
      <w:r w:rsidRPr="002C4077">
        <w:t xml:space="preserve"> </w:t>
      </w:r>
      <w:r>
        <w:t>il</w:t>
      </w:r>
      <w:r w:rsidRPr="002C4077">
        <w:t xml:space="preserve"> </w:t>
      </w:r>
      <w:r>
        <w:t>a</w:t>
      </w:r>
      <w:r w:rsidRPr="002C4077">
        <w:t xml:space="preserve"> </w:t>
      </w:r>
      <w:r>
        <w:t>voulu</w:t>
      </w:r>
      <w:r w:rsidRPr="002C4077">
        <w:t xml:space="preserve"> </w:t>
      </w:r>
      <w:r>
        <w:t>exercer</w:t>
      </w:r>
      <w:r w:rsidRPr="002C4077">
        <w:t xml:space="preserve"> </w:t>
      </w:r>
      <w:r>
        <w:t>pendant</w:t>
      </w:r>
      <w:r w:rsidRPr="002C4077">
        <w:t xml:space="preserve"> </w:t>
      </w:r>
      <w:r>
        <w:t>les</w:t>
      </w:r>
      <w:r w:rsidRPr="002C4077">
        <w:t xml:space="preserve"> </w:t>
      </w:r>
      <w:r>
        <w:t>trente</w:t>
      </w:r>
      <w:r w:rsidRPr="002C4077">
        <w:t xml:space="preserve"> </w:t>
      </w:r>
      <w:r>
        <w:t>premières</w:t>
      </w:r>
      <w:r w:rsidRPr="002C4077">
        <w:t xml:space="preserve"> </w:t>
      </w:r>
      <w:r>
        <w:t>années</w:t>
      </w:r>
      <w:r w:rsidRPr="002C4077">
        <w:t xml:space="preserve"> </w:t>
      </w:r>
      <w:r>
        <w:t>de</w:t>
      </w:r>
      <w:r w:rsidRPr="002C4077">
        <w:t xml:space="preserve"> </w:t>
      </w:r>
      <w:r>
        <w:t>sa</w:t>
      </w:r>
      <w:r w:rsidRPr="002C4077">
        <w:t xml:space="preserve"> </w:t>
      </w:r>
      <w:r>
        <w:t>vie</w:t>
      </w:r>
      <w:r w:rsidRPr="002C4077">
        <w:t xml:space="preserve"> </w:t>
      </w:r>
      <w:r>
        <w:t>une</w:t>
      </w:r>
      <w:r w:rsidRPr="002C4077">
        <w:t xml:space="preserve"> </w:t>
      </w:r>
      <w:r>
        <w:t>humble</w:t>
      </w:r>
      <w:r w:rsidRPr="002C4077">
        <w:t xml:space="preserve"> </w:t>
      </w:r>
      <w:r>
        <w:t>et</w:t>
      </w:r>
      <w:r w:rsidRPr="002C4077">
        <w:t xml:space="preserve"> </w:t>
      </w:r>
      <w:r>
        <w:t>dure</w:t>
      </w:r>
      <w:r w:rsidRPr="002C4077">
        <w:t xml:space="preserve"> </w:t>
      </w:r>
      <w:r>
        <w:t>profession.</w:t>
      </w:r>
      <w:r w:rsidR="00C45B47">
        <w:t xml:space="preserve"> {</w:t>
      </w:r>
      <w:r w:rsidR="001F5257">
        <w:t>257</w:t>
      </w:r>
      <w:bookmarkStart w:id="622" w:name="p257"/>
      <w:bookmarkEnd w:id="622"/>
      <w:r w:rsidR="001F5257">
        <w:t xml:space="preserve">} </w:t>
      </w:r>
      <w:r w:rsidR="003B53FD">
        <w:t>Celui</w:t>
      </w:r>
      <w:r w:rsidRPr="002C4077">
        <w:t xml:space="preserve"> </w:t>
      </w:r>
      <w:r>
        <w:t>qu’il</w:t>
      </w:r>
      <w:r w:rsidRPr="002C4077">
        <w:t xml:space="preserve"> </w:t>
      </w:r>
      <w:r>
        <w:t>honorait</w:t>
      </w:r>
      <w:r w:rsidRPr="002C4077">
        <w:t xml:space="preserve"> </w:t>
      </w:r>
      <w:r>
        <w:t>du</w:t>
      </w:r>
      <w:r w:rsidRPr="002C4077">
        <w:t xml:space="preserve"> </w:t>
      </w:r>
      <w:r>
        <w:t>nom</w:t>
      </w:r>
      <w:r w:rsidRPr="002C4077">
        <w:t xml:space="preserve"> </w:t>
      </w:r>
      <w:r>
        <w:t>de</w:t>
      </w:r>
      <w:r w:rsidRPr="002C4077">
        <w:t xml:space="preserve"> </w:t>
      </w:r>
      <w:r>
        <w:t>père,</w:t>
      </w:r>
      <w:r w:rsidRPr="002C4077">
        <w:t xml:space="preserve"> </w:t>
      </w:r>
      <w:r>
        <w:t>le</w:t>
      </w:r>
      <w:r w:rsidRPr="002C4077">
        <w:t xml:space="preserve"> </w:t>
      </w:r>
      <w:r>
        <w:t>juste</w:t>
      </w:r>
      <w:r w:rsidRPr="002C4077">
        <w:t xml:space="preserve"> </w:t>
      </w:r>
      <w:r>
        <w:t>Joseph,</w:t>
      </w:r>
      <w:r w:rsidRPr="002C4077">
        <w:t xml:space="preserve"> </w:t>
      </w:r>
      <w:r>
        <w:t>son</w:t>
      </w:r>
      <w:r w:rsidRPr="002C4077">
        <w:t xml:space="preserve"> </w:t>
      </w:r>
      <w:r>
        <w:t>gardien</w:t>
      </w:r>
      <w:r w:rsidRPr="002C4077">
        <w:t xml:space="preserve"> </w:t>
      </w:r>
      <w:r>
        <w:t>et</w:t>
      </w:r>
      <w:r w:rsidRPr="002C4077">
        <w:t xml:space="preserve"> </w:t>
      </w:r>
      <w:r>
        <w:t>l’époux</w:t>
      </w:r>
      <w:r w:rsidRPr="002C4077">
        <w:t xml:space="preserve"> </w:t>
      </w:r>
      <w:r>
        <w:t>de</w:t>
      </w:r>
      <w:r w:rsidRPr="002C4077">
        <w:t xml:space="preserve"> </w:t>
      </w:r>
      <w:r>
        <w:t>sa</w:t>
      </w:r>
      <w:r w:rsidRPr="002C4077">
        <w:t xml:space="preserve"> </w:t>
      </w:r>
      <w:r>
        <w:t>mère,</w:t>
      </w:r>
      <w:r w:rsidRPr="002C4077">
        <w:t xml:space="preserve"> </w:t>
      </w:r>
      <w:r>
        <w:t>n’était</w:t>
      </w:r>
      <w:r w:rsidRPr="002C4077">
        <w:t xml:space="preserve"> </w:t>
      </w:r>
      <w:r>
        <w:t>qu’un</w:t>
      </w:r>
      <w:r w:rsidRPr="002C4077">
        <w:t xml:space="preserve"> </w:t>
      </w:r>
      <w:r>
        <w:t>pauvre</w:t>
      </w:r>
      <w:r w:rsidRPr="002C4077">
        <w:t xml:space="preserve"> </w:t>
      </w:r>
      <w:r>
        <w:t>charpentier</w:t>
      </w:r>
      <w:r w:rsidRPr="002C4077">
        <w:t xml:space="preserve"> </w:t>
      </w:r>
      <w:r>
        <w:t>dont</w:t>
      </w:r>
      <w:r w:rsidRPr="002C4077">
        <w:t xml:space="preserve"> </w:t>
      </w:r>
      <w:r>
        <w:t>il</w:t>
      </w:r>
      <w:r w:rsidRPr="002C4077">
        <w:t xml:space="preserve"> </w:t>
      </w:r>
      <w:r>
        <w:t>apprit</w:t>
      </w:r>
      <w:r w:rsidRPr="002C4077">
        <w:t xml:space="preserve"> </w:t>
      </w:r>
      <w:r>
        <w:t>et</w:t>
      </w:r>
      <w:r w:rsidRPr="002C4077">
        <w:t xml:space="preserve"> </w:t>
      </w:r>
      <w:r>
        <w:t>seconda</w:t>
      </w:r>
      <w:r w:rsidRPr="002C4077">
        <w:t xml:space="preserve"> </w:t>
      </w:r>
      <w:r>
        <w:t>les</w:t>
      </w:r>
      <w:r w:rsidRPr="002C4077">
        <w:t xml:space="preserve"> </w:t>
      </w:r>
      <w:r>
        <w:t>rudes</w:t>
      </w:r>
      <w:r w:rsidRPr="002C4077">
        <w:t xml:space="preserve"> </w:t>
      </w:r>
      <w:r>
        <w:t>travaux.</w:t>
      </w:r>
      <w:r w:rsidRPr="002C4077">
        <w:t xml:space="preserve"> </w:t>
      </w:r>
      <w:r>
        <w:t>Dans</w:t>
      </w:r>
      <w:r w:rsidRPr="002C4077">
        <w:t xml:space="preserve"> </w:t>
      </w:r>
      <w:r>
        <w:t>l’Évangile,</w:t>
      </w:r>
      <w:r w:rsidRPr="002C4077">
        <w:t xml:space="preserve"> </w:t>
      </w:r>
      <w:r>
        <w:t>nous</w:t>
      </w:r>
      <w:r w:rsidRPr="002C4077">
        <w:t xml:space="preserve"> </w:t>
      </w:r>
      <w:r>
        <w:t>voyons</w:t>
      </w:r>
      <w:r w:rsidRPr="002C4077">
        <w:t xml:space="preserve"> </w:t>
      </w:r>
      <w:r>
        <w:t>qu’on</w:t>
      </w:r>
      <w:r w:rsidRPr="002C4077">
        <w:t xml:space="preserve"> </w:t>
      </w:r>
      <w:r>
        <w:t>le</w:t>
      </w:r>
      <w:r w:rsidRPr="002C4077">
        <w:t xml:space="preserve"> </w:t>
      </w:r>
      <w:r>
        <w:t>désignait</w:t>
      </w:r>
      <w:r w:rsidRPr="002C4077">
        <w:t xml:space="preserve"> </w:t>
      </w:r>
      <w:r>
        <w:t>parfois</w:t>
      </w:r>
      <w:r w:rsidRPr="002C4077">
        <w:t xml:space="preserve"> </w:t>
      </w:r>
      <w:r>
        <w:t>lui-même</w:t>
      </w:r>
      <w:r w:rsidRPr="002C4077">
        <w:t xml:space="preserve"> </w:t>
      </w:r>
      <w:r>
        <w:t>sous</w:t>
      </w:r>
      <w:r w:rsidRPr="002C4077">
        <w:t xml:space="preserve"> </w:t>
      </w:r>
      <w:r>
        <w:t>le</w:t>
      </w:r>
      <w:r w:rsidRPr="002C4077">
        <w:t xml:space="preserve"> </w:t>
      </w:r>
      <w:r>
        <w:t>nom</w:t>
      </w:r>
      <w:r w:rsidRPr="002C4077">
        <w:t xml:space="preserve"> </w:t>
      </w:r>
      <w:r>
        <w:t>de</w:t>
      </w:r>
      <w:r w:rsidRPr="002C4077">
        <w:t xml:space="preserve"> </w:t>
      </w:r>
      <w:r w:rsidRPr="000A34B5">
        <w:rPr>
          <w:rStyle w:val="italicus"/>
        </w:rPr>
        <w:t>charpentier</w:t>
      </w:r>
      <w:r w:rsidRPr="004440EA">
        <w:t xml:space="preserve"> (</w:t>
      </w:r>
      <w:r w:rsidR="000F4CEC">
        <w:t>ὀ</w:t>
      </w:r>
      <w:r w:rsidR="000F4CEC" w:rsidRPr="002C4077">
        <w:t xml:space="preserve"> </w:t>
      </w:r>
      <w:r w:rsidR="000F4CEC" w:rsidRPr="000F4CEC">
        <w:t>τ</w:t>
      </w:r>
      <w:r w:rsidR="000F4CEC">
        <w:t>έκ</w:t>
      </w:r>
      <w:r w:rsidR="000F4CEC" w:rsidRPr="000F4CEC">
        <w:t>των</w:t>
      </w:r>
      <w:r>
        <w:t>,</w:t>
      </w:r>
      <w:r w:rsidRPr="002C4077">
        <w:t xml:space="preserve"> </w:t>
      </w:r>
      <w:r>
        <w:t>Vulg.</w:t>
      </w:r>
      <w:r w:rsidRPr="002C4077">
        <w:t xml:space="preserve"> </w:t>
      </w:r>
      <w:r w:rsidRPr="000F4CEC">
        <w:rPr>
          <w:rStyle w:val="italicus"/>
        </w:rPr>
        <w:t>f</w:t>
      </w:r>
      <w:r w:rsidR="001730C6" w:rsidRPr="000F4CEC">
        <w:rPr>
          <w:rStyle w:val="italicus"/>
        </w:rPr>
        <w:t>ab</w:t>
      </w:r>
      <w:r w:rsidR="000F4CEC" w:rsidRPr="000F4CEC">
        <w:rPr>
          <w:rStyle w:val="italicus"/>
        </w:rPr>
        <w:t>er</w:t>
      </w:r>
      <w:r w:rsidR="000F4CEC" w:rsidRPr="002C4077">
        <w:t>)</w:t>
      </w:r>
      <w:r w:rsidR="000F4CEC">
        <w:rPr>
          <w:rStyle w:val="Appelnotedebasdep"/>
        </w:rPr>
        <w:footnoteReference w:id="806"/>
      </w:r>
      <w:r w:rsidRPr="002C4077">
        <w:t xml:space="preserve"> </w:t>
      </w:r>
      <w:r>
        <w:t>ou</w:t>
      </w:r>
      <w:r w:rsidRPr="002C4077">
        <w:t xml:space="preserve"> </w:t>
      </w:r>
      <w:r>
        <w:t>de</w:t>
      </w:r>
      <w:r w:rsidRPr="002C4077">
        <w:t xml:space="preserve"> </w:t>
      </w:r>
      <w:r w:rsidRPr="000A34B5">
        <w:rPr>
          <w:rStyle w:val="italicus"/>
        </w:rPr>
        <w:t>fils</w:t>
      </w:r>
      <w:r w:rsidRPr="002C4077">
        <w:t xml:space="preserve"> </w:t>
      </w:r>
      <w:r w:rsidRPr="000A34B5">
        <w:rPr>
          <w:rStyle w:val="italicus"/>
        </w:rPr>
        <w:t>de</w:t>
      </w:r>
      <w:r w:rsidRPr="002C4077">
        <w:t xml:space="preserve"> </w:t>
      </w:r>
      <w:r w:rsidRPr="000A34B5">
        <w:rPr>
          <w:rStyle w:val="italicus"/>
        </w:rPr>
        <w:t>charpentier</w:t>
      </w:r>
      <w:r w:rsidR="00B91AF7">
        <w:rPr>
          <w:rStyle w:val="Appelnotedebasdep"/>
          <w:i/>
        </w:rPr>
        <w:footnoteReference w:id="807"/>
      </w:r>
      <w:r>
        <w:t>.</w:t>
      </w:r>
      <w:r w:rsidRPr="002C4077">
        <w:t xml:space="preserve"> </w:t>
      </w:r>
      <w:r>
        <w:t>Il</w:t>
      </w:r>
      <w:r w:rsidRPr="002C4077">
        <w:t xml:space="preserve"> </w:t>
      </w:r>
      <w:r w:rsidR="00425C50">
        <w:t>est</w:t>
      </w:r>
      <w:r w:rsidRPr="002C4077">
        <w:t xml:space="preserve"> </w:t>
      </w:r>
      <w:r>
        <w:t>vrai</w:t>
      </w:r>
      <w:r w:rsidRPr="002C4077">
        <w:t xml:space="preserve"> </w:t>
      </w:r>
      <w:r>
        <w:t>qu’en</w:t>
      </w:r>
      <w:r w:rsidRPr="002C4077">
        <w:t xml:space="preserve"> </w:t>
      </w:r>
      <w:r>
        <w:t>inaugurant</w:t>
      </w:r>
      <w:r w:rsidRPr="002C4077">
        <w:t xml:space="preserve"> </w:t>
      </w:r>
      <w:r>
        <w:t>sa</w:t>
      </w:r>
      <w:r w:rsidRPr="002C4077">
        <w:t xml:space="preserve"> </w:t>
      </w:r>
      <w:r>
        <w:t>carrière</w:t>
      </w:r>
      <w:r w:rsidRPr="002C4077">
        <w:t xml:space="preserve"> </w:t>
      </w:r>
      <w:r>
        <w:t>publique,</w:t>
      </w:r>
      <w:r w:rsidRPr="002C4077">
        <w:t xml:space="preserve"> </w:t>
      </w:r>
      <w:r>
        <w:t>il</w:t>
      </w:r>
      <w:r w:rsidRPr="002C4077">
        <w:t xml:space="preserve"> </w:t>
      </w:r>
      <w:r>
        <w:t>dut</w:t>
      </w:r>
      <w:r w:rsidRPr="002C4077">
        <w:t xml:space="preserve"> </w:t>
      </w:r>
      <w:r>
        <w:t>cesser</w:t>
      </w:r>
      <w:r w:rsidRPr="002C4077">
        <w:t xml:space="preserve"> </w:t>
      </w:r>
      <w:r>
        <w:t>d’être</w:t>
      </w:r>
      <w:r w:rsidRPr="002C4077">
        <w:t xml:space="preserve"> </w:t>
      </w:r>
      <w:r>
        <w:t>artisan</w:t>
      </w:r>
      <w:r w:rsidR="00B546AF">
        <w:t> :</w:t>
      </w:r>
      <w:r w:rsidRPr="002C4077">
        <w:t xml:space="preserve"> </w:t>
      </w:r>
      <w:r>
        <w:t>la</w:t>
      </w:r>
      <w:r w:rsidRPr="002C4077">
        <w:t xml:space="preserve"> </w:t>
      </w:r>
      <w:r>
        <w:t>prédication</w:t>
      </w:r>
      <w:r w:rsidRPr="002C4077">
        <w:t xml:space="preserve"> </w:t>
      </w:r>
      <w:r>
        <w:t>de</w:t>
      </w:r>
      <w:r w:rsidRPr="002C4077">
        <w:t xml:space="preserve"> </w:t>
      </w:r>
      <w:r>
        <w:t>l’Évangile</w:t>
      </w:r>
      <w:r w:rsidRPr="002C4077">
        <w:t xml:space="preserve"> </w:t>
      </w:r>
      <w:r>
        <w:t>et</w:t>
      </w:r>
      <w:r w:rsidRPr="002C4077">
        <w:t xml:space="preserve"> </w:t>
      </w:r>
      <w:r>
        <w:t>ses</w:t>
      </w:r>
      <w:r w:rsidRPr="002C4077">
        <w:t xml:space="preserve"> </w:t>
      </w:r>
      <w:r>
        <w:t>courses</w:t>
      </w:r>
      <w:r w:rsidRPr="002C4077">
        <w:t xml:space="preserve"> </w:t>
      </w:r>
      <w:r>
        <w:t>apostoliques</w:t>
      </w:r>
      <w:r w:rsidRPr="002C4077">
        <w:t xml:space="preserve"> </w:t>
      </w:r>
      <w:r>
        <w:t>à</w:t>
      </w:r>
      <w:r w:rsidRPr="002C4077">
        <w:t xml:space="preserve"> </w:t>
      </w:r>
      <w:r>
        <w:t>travers</w:t>
      </w:r>
      <w:r w:rsidRPr="002C4077">
        <w:t xml:space="preserve"> </w:t>
      </w:r>
      <w:r>
        <w:t>la</w:t>
      </w:r>
      <w:r w:rsidRPr="002C4077">
        <w:t xml:space="preserve"> </w:t>
      </w:r>
      <w:r>
        <w:t>Palestine</w:t>
      </w:r>
      <w:r w:rsidRPr="002C4077">
        <w:t xml:space="preserve"> </w:t>
      </w:r>
      <w:r>
        <w:t>occupèrent</w:t>
      </w:r>
      <w:r w:rsidRPr="002C4077">
        <w:t xml:space="preserve"> </w:t>
      </w:r>
      <w:r>
        <w:t>dès</w:t>
      </w:r>
      <w:r w:rsidRPr="002C4077">
        <w:t xml:space="preserve"> </w:t>
      </w:r>
      <w:r>
        <w:t>lors</w:t>
      </w:r>
      <w:r w:rsidRPr="002C4077">
        <w:t xml:space="preserve"> </w:t>
      </w:r>
      <w:r>
        <w:t>tous</w:t>
      </w:r>
      <w:r w:rsidRPr="002C4077">
        <w:t xml:space="preserve"> </w:t>
      </w:r>
      <w:r>
        <w:t>ses</w:t>
      </w:r>
      <w:r w:rsidRPr="002C4077">
        <w:t xml:space="preserve"> </w:t>
      </w:r>
      <w:r>
        <w:t>instants</w:t>
      </w:r>
      <w:r w:rsidR="00B546AF">
        <w:t> ;</w:t>
      </w:r>
      <w:r w:rsidRPr="002C4077">
        <w:t xml:space="preserve"> </w:t>
      </w:r>
      <w:r>
        <w:t>aussi,</w:t>
      </w:r>
      <w:r w:rsidRPr="002C4077">
        <w:t xml:space="preserve"> </w:t>
      </w:r>
      <w:r>
        <w:t>durant</w:t>
      </w:r>
      <w:r w:rsidRPr="002C4077">
        <w:t xml:space="preserve"> </w:t>
      </w:r>
      <w:r>
        <w:t>les</w:t>
      </w:r>
      <w:r w:rsidRPr="002C4077">
        <w:t xml:space="preserve"> </w:t>
      </w:r>
      <w:r>
        <w:t>dernières</w:t>
      </w:r>
      <w:r w:rsidRPr="002C4077">
        <w:t xml:space="preserve"> </w:t>
      </w:r>
      <w:r>
        <w:t>années</w:t>
      </w:r>
      <w:r w:rsidRPr="002C4077">
        <w:t xml:space="preserve"> </w:t>
      </w:r>
      <w:r>
        <w:t>de</w:t>
      </w:r>
      <w:r w:rsidRPr="002C4077">
        <w:t xml:space="preserve"> </w:t>
      </w:r>
      <w:r>
        <w:t>sa</w:t>
      </w:r>
      <w:r w:rsidRPr="002C4077">
        <w:t xml:space="preserve"> </w:t>
      </w:r>
      <w:r>
        <w:t>vie,</w:t>
      </w:r>
      <w:r w:rsidRPr="002C4077">
        <w:t xml:space="preserve"> </w:t>
      </w:r>
      <w:r>
        <w:t>mangeait-il</w:t>
      </w:r>
      <w:r w:rsidRPr="002C4077">
        <w:t xml:space="preserve"> </w:t>
      </w:r>
      <w:r>
        <w:t>le</w:t>
      </w:r>
      <w:r w:rsidRPr="002C4077">
        <w:t xml:space="preserve"> </w:t>
      </w:r>
      <w:r>
        <w:t>pa</w:t>
      </w:r>
      <w:r w:rsidR="005F4627">
        <w:t>in</w:t>
      </w:r>
      <w:r w:rsidR="005F4627" w:rsidRPr="002C4077">
        <w:t xml:space="preserve"> </w:t>
      </w:r>
      <w:r w:rsidR="005F4627">
        <w:t>de</w:t>
      </w:r>
      <w:r w:rsidR="005F4627" w:rsidRPr="002C4077">
        <w:t xml:space="preserve"> </w:t>
      </w:r>
      <w:r w:rsidR="005F4627">
        <w:t>l’aumône</w:t>
      </w:r>
      <w:r w:rsidR="005F4627" w:rsidRPr="002C4077">
        <w:t xml:space="preserve"> </w:t>
      </w:r>
      <w:r w:rsidR="005F4627">
        <w:t>et</w:t>
      </w:r>
      <w:r w:rsidR="005F4627" w:rsidRPr="002C4077">
        <w:t xml:space="preserve"> </w:t>
      </w:r>
      <w:r w:rsidR="005F4627">
        <w:t>de</w:t>
      </w:r>
      <w:r w:rsidR="005F4627" w:rsidRPr="002C4077">
        <w:t xml:space="preserve"> </w:t>
      </w:r>
      <w:r w:rsidR="005F4627">
        <w:t>la</w:t>
      </w:r>
      <w:bookmarkStart w:id="623" w:name="z_TravailManuel_o10"/>
      <w:bookmarkEnd w:id="623"/>
      <w:r w:rsidR="005F4627" w:rsidRPr="002C4077">
        <w:t xml:space="preserve"> </w:t>
      </w:r>
      <w:r w:rsidR="005F4627">
        <w:t>charité</w:t>
      </w:r>
      <w:r w:rsidR="005F4627">
        <w:rPr>
          <w:rStyle w:val="Appelnotedebasdep"/>
        </w:rPr>
        <w:footnoteReference w:id="808"/>
      </w:r>
      <w:r>
        <w:t>.</w:t>
      </w:r>
      <w:r w:rsidRPr="002C4077">
        <w:t xml:space="preserve"> </w:t>
      </w:r>
    </w:p>
    <w:p w:rsidR="00F042F3" w:rsidRDefault="00F042F3" w:rsidP="000A7AAB"/>
    <w:p w:rsidR="000A7AAB" w:rsidRDefault="000A7AAB" w:rsidP="000A7AAB">
      <w:r>
        <w:lastRenderedPageBreak/>
        <w:t>Parlant</w:t>
      </w:r>
      <w:bookmarkStart w:id="624" w:name="z_TravailManuel_o11"/>
      <w:bookmarkEnd w:id="624"/>
      <w:r w:rsidRPr="002C4077">
        <w:t xml:space="preserve"> </w:t>
      </w:r>
      <w:r>
        <w:t>des</w:t>
      </w:r>
      <w:r w:rsidRPr="002C4077">
        <w:t xml:space="preserve"> </w:t>
      </w:r>
      <w:r>
        <w:t>ouvriers</w:t>
      </w:r>
      <w:r w:rsidRPr="002C4077">
        <w:t xml:space="preserve"> </w:t>
      </w:r>
      <w:r>
        <w:t>juifs</w:t>
      </w:r>
      <w:r w:rsidRPr="002C4077">
        <w:t xml:space="preserve"> </w:t>
      </w:r>
      <w:r>
        <w:t>de</w:t>
      </w:r>
      <w:r w:rsidRPr="002C4077">
        <w:t xml:space="preserve"> </w:t>
      </w:r>
      <w:r>
        <w:t>la</w:t>
      </w:r>
      <w:r w:rsidRPr="002C4077">
        <w:t xml:space="preserve"> </w:t>
      </w:r>
      <w:r>
        <w:t>Palestine</w:t>
      </w:r>
      <w:r w:rsidRPr="002C4077">
        <w:t xml:space="preserve"> </w:t>
      </w:r>
      <w:r>
        <w:t>au</w:t>
      </w:r>
      <w:r w:rsidRPr="002C4077">
        <w:t xml:space="preserve"> </w:t>
      </w:r>
      <w:r>
        <w:t>temps</w:t>
      </w:r>
      <w:r w:rsidRPr="002C4077">
        <w:t xml:space="preserve"> </w:t>
      </w:r>
      <w:r>
        <w:t>de</w:t>
      </w:r>
      <w:r w:rsidRPr="002C4077">
        <w:t xml:space="preserve"> </w:t>
      </w:r>
      <w:r w:rsidR="00425C50">
        <w:t>Jésus</w:t>
      </w:r>
      <w:r>
        <w:t>-</w:t>
      </w:r>
      <w:r w:rsidR="00425C50">
        <w:t>Christ</w:t>
      </w:r>
      <w:r>
        <w:t>,</w:t>
      </w:r>
      <w:r w:rsidRPr="002C4077">
        <w:t xml:space="preserve"> </w:t>
      </w:r>
      <w:r>
        <w:t>nous</w:t>
      </w:r>
      <w:r w:rsidRPr="002C4077">
        <w:t xml:space="preserve"> </w:t>
      </w:r>
      <w:r>
        <w:t>devons</w:t>
      </w:r>
      <w:r w:rsidRPr="002C4077">
        <w:t xml:space="preserve"> </w:t>
      </w:r>
      <w:r>
        <w:t>nécessairement</w:t>
      </w:r>
      <w:r w:rsidRPr="002C4077">
        <w:t xml:space="preserve"> </w:t>
      </w:r>
      <w:r>
        <w:t>dire</w:t>
      </w:r>
      <w:r w:rsidRPr="002C4077">
        <w:t xml:space="preserve"> </w:t>
      </w:r>
      <w:r>
        <w:t>quelques</w:t>
      </w:r>
      <w:r w:rsidRPr="002C4077">
        <w:t xml:space="preserve"> </w:t>
      </w:r>
      <w:r>
        <w:t>mots</w:t>
      </w:r>
      <w:r w:rsidRPr="002C4077">
        <w:t xml:space="preserve"> </w:t>
      </w:r>
      <w:r>
        <w:t>d’une</w:t>
      </w:r>
      <w:r w:rsidRPr="002C4077">
        <w:t xml:space="preserve"> </w:t>
      </w:r>
      <w:r>
        <w:t>œuvre</w:t>
      </w:r>
      <w:bookmarkStart w:id="625" w:name="z_Temple_o1"/>
      <w:bookmarkEnd w:id="625"/>
      <w:r w:rsidRPr="002C4077">
        <w:t xml:space="preserve"> </w:t>
      </w:r>
      <w:r>
        <w:t>à</w:t>
      </w:r>
      <w:r w:rsidRPr="002C4077">
        <w:t xml:space="preserve"> </w:t>
      </w:r>
      <w:r>
        <w:t>laquelle</w:t>
      </w:r>
      <w:r w:rsidRPr="002C4077">
        <w:t xml:space="preserve"> </w:t>
      </w:r>
      <w:r>
        <w:t>ils</w:t>
      </w:r>
      <w:r w:rsidRPr="002C4077">
        <w:t xml:space="preserve"> </w:t>
      </w:r>
      <w:r>
        <w:t>participèrent</w:t>
      </w:r>
      <w:r w:rsidRPr="002C4077">
        <w:t xml:space="preserve"> </w:t>
      </w:r>
      <w:r>
        <w:t>en</w:t>
      </w:r>
      <w:r w:rsidRPr="002C4077">
        <w:t xml:space="preserve"> </w:t>
      </w:r>
      <w:r>
        <w:t>grand</w:t>
      </w:r>
      <w:r w:rsidRPr="002C4077">
        <w:t xml:space="preserve"> </w:t>
      </w:r>
      <w:r>
        <w:t>nombre,</w:t>
      </w:r>
      <w:r w:rsidRPr="002C4077">
        <w:t xml:space="preserve"> </w:t>
      </w:r>
      <w:r>
        <w:t>et</w:t>
      </w:r>
      <w:r w:rsidRPr="002C4077">
        <w:t xml:space="preserve"> </w:t>
      </w:r>
      <w:r>
        <w:t>qu’ils</w:t>
      </w:r>
      <w:r w:rsidRPr="002C4077">
        <w:t xml:space="preserve"> </w:t>
      </w:r>
      <w:r>
        <w:t>bénirent</w:t>
      </w:r>
      <w:r w:rsidRPr="002C4077">
        <w:t xml:space="preserve"> </w:t>
      </w:r>
      <w:r>
        <w:t>tous</w:t>
      </w:r>
      <w:r w:rsidRPr="002C4077">
        <w:t xml:space="preserve"> </w:t>
      </w:r>
      <w:r>
        <w:t>sans</w:t>
      </w:r>
      <w:r w:rsidRPr="002C4077">
        <w:t xml:space="preserve"> </w:t>
      </w:r>
      <w:r>
        <w:t>doute,</w:t>
      </w:r>
      <w:r w:rsidRPr="002C4077">
        <w:t xml:space="preserve"> </w:t>
      </w:r>
      <w:r>
        <w:t>car</w:t>
      </w:r>
      <w:r w:rsidRPr="002C4077">
        <w:t xml:space="preserve"> </w:t>
      </w:r>
      <w:r>
        <w:t>elle</w:t>
      </w:r>
      <w:r w:rsidRPr="002C4077">
        <w:t xml:space="preserve"> </w:t>
      </w:r>
      <w:r>
        <w:t>leur</w:t>
      </w:r>
      <w:r w:rsidRPr="002C4077">
        <w:t xml:space="preserve"> </w:t>
      </w:r>
      <w:r>
        <w:t>procura</w:t>
      </w:r>
      <w:r w:rsidRPr="002C4077">
        <w:t xml:space="preserve"> </w:t>
      </w:r>
      <w:r>
        <w:t>longtemps</w:t>
      </w:r>
      <w:r w:rsidRPr="002C4077">
        <w:t xml:space="preserve"> </w:t>
      </w:r>
      <w:r>
        <w:t>le</w:t>
      </w:r>
      <w:r w:rsidRPr="002C4077">
        <w:t xml:space="preserve"> </w:t>
      </w:r>
      <w:r>
        <w:t>travail</w:t>
      </w:r>
      <w:r w:rsidRPr="002C4077">
        <w:t xml:space="preserve"> </w:t>
      </w:r>
      <w:r>
        <w:t>et</w:t>
      </w:r>
      <w:r w:rsidRPr="002C4077">
        <w:t xml:space="preserve"> </w:t>
      </w:r>
      <w:r>
        <w:t>l’aisance.</w:t>
      </w:r>
      <w:r w:rsidRPr="002C4077">
        <w:t xml:space="preserve"> </w:t>
      </w:r>
    </w:p>
    <w:p w:rsidR="000A7AAB" w:rsidRDefault="000A7AAB" w:rsidP="000A7AAB">
      <w:r>
        <w:t>Durant</w:t>
      </w:r>
      <w:r w:rsidRPr="002C4077">
        <w:t xml:space="preserve"> </w:t>
      </w:r>
      <w:r>
        <w:t>le</w:t>
      </w:r>
      <w:r w:rsidRPr="002C4077">
        <w:t xml:space="preserve"> </w:t>
      </w:r>
      <w:r>
        <w:t>long</w:t>
      </w:r>
      <w:r w:rsidRPr="002C4077">
        <w:t xml:space="preserve"> </w:t>
      </w:r>
      <w:r>
        <w:t>règne</w:t>
      </w:r>
      <w:r w:rsidRPr="002C4077">
        <w:t xml:space="preserve"> </w:t>
      </w:r>
      <w:r>
        <w:t>d’Hérode</w:t>
      </w:r>
      <w:bookmarkStart w:id="626" w:name="z_Herode_o1"/>
      <w:bookmarkEnd w:id="626"/>
      <w:r>
        <w:t>,</w:t>
      </w:r>
      <w:r w:rsidRPr="002C4077">
        <w:t xml:space="preserve"> </w:t>
      </w:r>
      <w:r>
        <w:t>les</w:t>
      </w:r>
      <w:r w:rsidRPr="002C4077">
        <w:t xml:space="preserve"> </w:t>
      </w:r>
      <w:r>
        <w:t>artisans</w:t>
      </w:r>
      <w:r w:rsidRPr="002C4077">
        <w:t xml:space="preserve"> </w:t>
      </w:r>
      <w:r>
        <w:t>n’avaient</w:t>
      </w:r>
      <w:r w:rsidRPr="002C4077">
        <w:t xml:space="preserve"> </w:t>
      </w:r>
      <w:r>
        <w:t>pas</w:t>
      </w:r>
      <w:r w:rsidRPr="002C4077">
        <w:t xml:space="preserve"> </w:t>
      </w:r>
      <w:r>
        <w:t>toujours</w:t>
      </w:r>
      <w:r w:rsidRPr="002C4077">
        <w:t xml:space="preserve"> </w:t>
      </w:r>
      <w:r>
        <w:t>été</w:t>
      </w:r>
      <w:r w:rsidRPr="002C4077">
        <w:t xml:space="preserve"> </w:t>
      </w:r>
      <w:r>
        <w:t>très</w:t>
      </w:r>
      <w:r w:rsidRPr="002C4077">
        <w:t xml:space="preserve"> </w:t>
      </w:r>
      <w:r>
        <w:t>heureux.</w:t>
      </w:r>
      <w:r w:rsidRPr="002C4077">
        <w:t xml:space="preserve"> </w:t>
      </w:r>
      <w:r>
        <w:t>D’abord,</w:t>
      </w:r>
      <w:r w:rsidRPr="002C4077">
        <w:t xml:space="preserve"> </w:t>
      </w:r>
      <w:r>
        <w:t>la</w:t>
      </w:r>
      <w:r w:rsidRPr="002C4077">
        <w:t xml:space="preserve"> </w:t>
      </w:r>
      <w:r>
        <w:t>situation</w:t>
      </w:r>
      <w:r w:rsidRPr="002C4077">
        <w:t xml:space="preserve"> </w:t>
      </w:r>
      <w:r>
        <w:t>politique</w:t>
      </w:r>
      <w:r w:rsidRPr="002C4077">
        <w:t xml:space="preserve"> </w:t>
      </w:r>
      <w:r>
        <w:t>des</w:t>
      </w:r>
      <w:r w:rsidRPr="002C4077">
        <w:t xml:space="preserve"> </w:t>
      </w:r>
      <w:r>
        <w:t>Juifs</w:t>
      </w:r>
      <w:r w:rsidRPr="002C4077">
        <w:t xml:space="preserve"> </w:t>
      </w:r>
      <w:r>
        <w:t>était</w:t>
      </w:r>
      <w:r w:rsidRPr="002C4077">
        <w:t xml:space="preserve"> </w:t>
      </w:r>
      <w:r>
        <w:t>alors</w:t>
      </w:r>
      <w:r w:rsidRPr="002C4077">
        <w:t xml:space="preserve"> </w:t>
      </w:r>
      <w:r>
        <w:t>très</w:t>
      </w:r>
      <w:r w:rsidRPr="002C4077">
        <w:t xml:space="preserve"> </w:t>
      </w:r>
      <w:r>
        <w:t>incertaine</w:t>
      </w:r>
      <w:r w:rsidR="00B546AF">
        <w:t> :</w:t>
      </w:r>
      <w:r w:rsidRPr="002C4077">
        <w:t xml:space="preserve"> </w:t>
      </w:r>
      <w:r>
        <w:t>on</w:t>
      </w:r>
      <w:r w:rsidRPr="002C4077">
        <w:t xml:space="preserve"> </w:t>
      </w:r>
      <w:r>
        <w:t>ignorait</w:t>
      </w:r>
      <w:r w:rsidRPr="002C4077">
        <w:t xml:space="preserve"> </w:t>
      </w:r>
      <w:r>
        <w:t>si</w:t>
      </w:r>
      <w:r w:rsidRPr="002C4077">
        <w:t xml:space="preserve"> </w:t>
      </w:r>
      <w:r>
        <w:t>ce</w:t>
      </w:r>
      <w:r w:rsidRPr="002C4077">
        <w:t xml:space="preserve"> </w:t>
      </w:r>
      <w:r>
        <w:t>prince</w:t>
      </w:r>
      <w:r w:rsidRPr="002C4077">
        <w:t xml:space="preserve"> </w:t>
      </w:r>
      <w:r>
        <w:t>pourrait</w:t>
      </w:r>
      <w:r w:rsidRPr="002C4077">
        <w:t xml:space="preserve"> </w:t>
      </w:r>
      <w:r>
        <w:t>se</w:t>
      </w:r>
      <w:r w:rsidRPr="002C4077">
        <w:t xml:space="preserve"> </w:t>
      </w:r>
      <w:r>
        <w:t>maintenir,</w:t>
      </w:r>
      <w:r w:rsidRPr="002C4077">
        <w:t xml:space="preserve"> </w:t>
      </w:r>
      <w:r>
        <w:t>en</w:t>
      </w:r>
      <w:r w:rsidRPr="002C4077">
        <w:t xml:space="preserve"> </w:t>
      </w:r>
      <w:r>
        <w:t>face</w:t>
      </w:r>
      <w:r w:rsidRPr="002C4077">
        <w:t xml:space="preserve"> </w:t>
      </w:r>
      <w:r>
        <w:t>des</w:t>
      </w:r>
      <w:r w:rsidRPr="002C4077">
        <w:t xml:space="preserve"> </w:t>
      </w:r>
      <w:r>
        <w:t>Romains,</w:t>
      </w:r>
      <w:r w:rsidRPr="002C4077">
        <w:t xml:space="preserve"> </w:t>
      </w:r>
      <w:r>
        <w:t>sur</w:t>
      </w:r>
      <w:r w:rsidRPr="002C4077">
        <w:t xml:space="preserve"> </w:t>
      </w:r>
      <w:r>
        <w:t>le</w:t>
      </w:r>
      <w:r w:rsidRPr="002C4077">
        <w:t xml:space="preserve"> </w:t>
      </w:r>
      <w:r>
        <w:t>trône</w:t>
      </w:r>
      <w:r w:rsidRPr="002C4077">
        <w:t xml:space="preserve"> </w:t>
      </w:r>
      <w:r>
        <w:t>qu’il</w:t>
      </w:r>
      <w:r w:rsidRPr="002C4077">
        <w:t xml:space="preserve"> </w:t>
      </w:r>
      <w:r>
        <w:t>avait</w:t>
      </w:r>
      <w:r w:rsidRPr="002C4077">
        <w:t xml:space="preserve"> </w:t>
      </w:r>
      <w:r>
        <w:t>usurpé</w:t>
      </w:r>
      <w:r w:rsidRPr="002C4077">
        <w:t xml:space="preserve"> </w:t>
      </w:r>
      <w:r>
        <w:t>avec</w:t>
      </w:r>
      <w:r w:rsidRPr="002C4077">
        <w:t xml:space="preserve"> </w:t>
      </w:r>
      <w:r>
        <w:t>tant</w:t>
      </w:r>
      <w:r w:rsidRPr="002C4077">
        <w:t xml:space="preserve"> </w:t>
      </w:r>
      <w:r>
        <w:t>d’habileté.</w:t>
      </w:r>
      <w:r w:rsidRPr="002C4077">
        <w:t xml:space="preserve"> </w:t>
      </w:r>
      <w:r>
        <w:t>Pour</w:t>
      </w:r>
      <w:r w:rsidRPr="002C4077">
        <w:t xml:space="preserve"> </w:t>
      </w:r>
      <w:r>
        <w:t>y</w:t>
      </w:r>
      <w:r w:rsidRPr="002C4077">
        <w:t xml:space="preserve"> </w:t>
      </w:r>
      <w:r>
        <w:t>réussir,</w:t>
      </w:r>
      <w:r w:rsidRPr="002C4077">
        <w:t xml:space="preserve"> </w:t>
      </w:r>
      <w:r>
        <w:t>il</w:t>
      </w:r>
      <w:r w:rsidRPr="002C4077">
        <w:t xml:space="preserve"> </w:t>
      </w:r>
      <w:r>
        <w:t>envoyait</w:t>
      </w:r>
      <w:r w:rsidRPr="002C4077">
        <w:t xml:space="preserve"> </w:t>
      </w:r>
      <w:r>
        <w:t>à</w:t>
      </w:r>
      <w:r w:rsidRPr="002C4077">
        <w:t xml:space="preserve"> </w:t>
      </w:r>
      <w:r>
        <w:t>Rome</w:t>
      </w:r>
      <w:r w:rsidRPr="002C4077">
        <w:t xml:space="preserve"> </w:t>
      </w:r>
      <w:r>
        <w:t>des</w:t>
      </w:r>
      <w:r w:rsidRPr="002C4077">
        <w:t xml:space="preserve"> </w:t>
      </w:r>
      <w:r>
        <w:t>sommes</w:t>
      </w:r>
      <w:r w:rsidRPr="002C4077">
        <w:t xml:space="preserve"> </w:t>
      </w:r>
      <w:r>
        <w:t>immenses,</w:t>
      </w:r>
      <w:r w:rsidRPr="002C4077">
        <w:t xml:space="preserve"> </w:t>
      </w:r>
      <w:r>
        <w:t>qu’il</w:t>
      </w:r>
      <w:r w:rsidRPr="002C4077">
        <w:t xml:space="preserve"> </w:t>
      </w:r>
      <w:r>
        <w:t>extorquait</w:t>
      </w:r>
      <w:r w:rsidRPr="002C4077">
        <w:t xml:space="preserve"> </w:t>
      </w:r>
      <w:r>
        <w:t>en</w:t>
      </w:r>
      <w:r w:rsidRPr="002C4077">
        <w:t xml:space="preserve"> </w:t>
      </w:r>
      <w:r>
        <w:t>grande</w:t>
      </w:r>
      <w:r w:rsidRPr="002C4077">
        <w:t xml:space="preserve"> </w:t>
      </w:r>
      <w:r>
        <w:t>partie</w:t>
      </w:r>
      <w:r w:rsidRPr="002C4077">
        <w:t xml:space="preserve"> </w:t>
      </w:r>
      <w:r>
        <w:t>de</w:t>
      </w:r>
      <w:r w:rsidRPr="002C4077">
        <w:t xml:space="preserve"> </w:t>
      </w:r>
      <w:r>
        <w:t>ses</w:t>
      </w:r>
      <w:r w:rsidRPr="002C4077">
        <w:t xml:space="preserve"> </w:t>
      </w:r>
      <w:r>
        <w:t>sujets.</w:t>
      </w:r>
      <w:r w:rsidRPr="002C4077">
        <w:t xml:space="preserve"> </w:t>
      </w:r>
      <w:r>
        <w:t>Ensuite,</w:t>
      </w:r>
      <w:r w:rsidRPr="002C4077">
        <w:t xml:space="preserve"> </w:t>
      </w:r>
      <w:r>
        <w:t>Hérode</w:t>
      </w:r>
      <w:r w:rsidRPr="002C4077">
        <w:t xml:space="preserve"> </w:t>
      </w:r>
      <w:r>
        <w:t>aimait</w:t>
      </w:r>
      <w:r w:rsidRPr="002C4077">
        <w:t xml:space="preserve"> </w:t>
      </w:r>
      <w:r>
        <w:t>et</w:t>
      </w:r>
      <w:r w:rsidRPr="002C4077">
        <w:t xml:space="preserve"> </w:t>
      </w:r>
      <w:r>
        <w:t>favorisait</w:t>
      </w:r>
      <w:r w:rsidRPr="002C4077">
        <w:t xml:space="preserve"> </w:t>
      </w:r>
      <w:r>
        <w:t>bien</w:t>
      </w:r>
      <w:r w:rsidRPr="002C4077">
        <w:t xml:space="preserve"> </w:t>
      </w:r>
      <w:r>
        <w:t>plus</w:t>
      </w:r>
      <w:r w:rsidRPr="002C4077">
        <w:t xml:space="preserve"> </w:t>
      </w:r>
      <w:r>
        <w:t>les</w:t>
      </w:r>
      <w:r w:rsidRPr="002C4077">
        <w:t xml:space="preserve"> </w:t>
      </w:r>
      <w:r>
        <w:t>Grecs</w:t>
      </w:r>
      <w:r w:rsidRPr="002C4077">
        <w:t xml:space="preserve"> </w:t>
      </w:r>
      <w:r>
        <w:t>que</w:t>
      </w:r>
      <w:r w:rsidRPr="002C4077">
        <w:t xml:space="preserve"> </w:t>
      </w:r>
      <w:r>
        <w:t>les</w:t>
      </w:r>
      <w:r w:rsidRPr="002C4077">
        <w:t xml:space="preserve"> </w:t>
      </w:r>
      <w:r>
        <w:t>Juifs,</w:t>
      </w:r>
      <w:r w:rsidRPr="002C4077">
        <w:t xml:space="preserve"> </w:t>
      </w:r>
      <w:r>
        <w:t>et</w:t>
      </w:r>
      <w:r w:rsidRPr="002C4077">
        <w:t xml:space="preserve"> </w:t>
      </w:r>
      <w:r>
        <w:t>si,</w:t>
      </w:r>
      <w:r w:rsidRPr="002C4077">
        <w:t xml:space="preserve"> </w:t>
      </w:r>
      <w:r>
        <w:t>en</w:t>
      </w:r>
      <w:r w:rsidRPr="002C4077">
        <w:t xml:space="preserve"> </w:t>
      </w:r>
      <w:r>
        <w:t>de</w:t>
      </w:r>
      <w:r w:rsidRPr="002C4077">
        <w:t xml:space="preserve"> </w:t>
      </w:r>
      <w:r>
        <w:t>rares</w:t>
      </w:r>
      <w:r w:rsidRPr="002C4077">
        <w:t xml:space="preserve"> </w:t>
      </w:r>
      <w:r>
        <w:t>circonstances,</w:t>
      </w:r>
      <w:r w:rsidRPr="002C4077">
        <w:t xml:space="preserve"> </w:t>
      </w:r>
      <w:r>
        <w:t>il</w:t>
      </w:r>
      <w:r w:rsidRPr="002C4077">
        <w:t xml:space="preserve"> </w:t>
      </w:r>
      <w:r>
        <w:t>donna</w:t>
      </w:r>
      <w:r w:rsidRPr="002C4077">
        <w:t xml:space="preserve"> </w:t>
      </w:r>
      <w:r>
        <w:t>à</w:t>
      </w:r>
      <w:r w:rsidRPr="002C4077">
        <w:t xml:space="preserve"> </w:t>
      </w:r>
      <w:r>
        <w:t>ces</w:t>
      </w:r>
      <w:r w:rsidRPr="002C4077">
        <w:t xml:space="preserve"> </w:t>
      </w:r>
      <w:r>
        <w:t>derniers</w:t>
      </w:r>
      <w:r w:rsidRPr="002C4077">
        <w:t xml:space="preserve"> </w:t>
      </w:r>
      <w:r>
        <w:t>quelques</w:t>
      </w:r>
      <w:r w:rsidRPr="002C4077">
        <w:t xml:space="preserve"> </w:t>
      </w:r>
      <w:r>
        <w:t>marques</w:t>
      </w:r>
      <w:r w:rsidRPr="002C4077">
        <w:t xml:space="preserve"> </w:t>
      </w:r>
      <w:r>
        <w:t>d’attachement,</w:t>
      </w:r>
      <w:r w:rsidRPr="002C4077">
        <w:t xml:space="preserve"> </w:t>
      </w:r>
      <w:r>
        <w:t>il</w:t>
      </w:r>
      <w:r w:rsidRPr="002C4077">
        <w:t xml:space="preserve"> </w:t>
      </w:r>
      <w:r>
        <w:t>obéit</w:t>
      </w:r>
      <w:r w:rsidRPr="002C4077">
        <w:t xml:space="preserve"> </w:t>
      </w:r>
      <w:r>
        <w:t>en</w:t>
      </w:r>
      <w:r w:rsidRPr="002C4077">
        <w:t xml:space="preserve"> </w:t>
      </w:r>
      <w:r>
        <w:t>cela</w:t>
      </w:r>
      <w:r w:rsidRPr="002C4077">
        <w:t xml:space="preserve"> </w:t>
      </w:r>
      <w:r>
        <w:t>beaucoup</w:t>
      </w:r>
      <w:r w:rsidRPr="002C4077">
        <w:t xml:space="preserve"> </w:t>
      </w:r>
      <w:r>
        <w:t>plus</w:t>
      </w:r>
      <w:r w:rsidRPr="002C4077">
        <w:t xml:space="preserve"> </w:t>
      </w:r>
      <w:r>
        <w:t>aux</w:t>
      </w:r>
      <w:r w:rsidRPr="002C4077">
        <w:t xml:space="preserve"> </w:t>
      </w:r>
      <w:r>
        <w:t>conseils</w:t>
      </w:r>
      <w:r w:rsidRPr="002C4077">
        <w:t xml:space="preserve"> </w:t>
      </w:r>
      <w:r>
        <w:t>de</w:t>
      </w:r>
      <w:r w:rsidRPr="002C4077">
        <w:t xml:space="preserve"> </w:t>
      </w:r>
      <w:r>
        <w:t>son</w:t>
      </w:r>
      <w:r w:rsidRPr="002C4077">
        <w:t xml:space="preserve"> </w:t>
      </w:r>
      <w:r>
        <w:t>ambition</w:t>
      </w:r>
      <w:r w:rsidRPr="002C4077">
        <w:t xml:space="preserve"> </w:t>
      </w:r>
      <w:r>
        <w:t>qu’aux</w:t>
      </w:r>
      <w:r w:rsidRPr="002C4077">
        <w:t xml:space="preserve"> </w:t>
      </w:r>
      <w:r>
        <w:t>bonnes</w:t>
      </w:r>
      <w:r w:rsidRPr="002C4077">
        <w:t xml:space="preserve"> </w:t>
      </w:r>
      <w:r>
        <w:t>inspirations</w:t>
      </w:r>
      <w:r w:rsidRPr="002C4077">
        <w:t xml:space="preserve"> </w:t>
      </w:r>
      <w:r>
        <w:t>de</w:t>
      </w:r>
      <w:r w:rsidRPr="002C4077">
        <w:t xml:space="preserve"> </w:t>
      </w:r>
      <w:r>
        <w:t>son</w:t>
      </w:r>
      <w:r w:rsidRPr="002C4077">
        <w:t xml:space="preserve"> </w:t>
      </w:r>
      <w:r>
        <w:t>cœur</w:t>
      </w:r>
      <w:r w:rsidR="00B546AF">
        <w:t> ;</w:t>
      </w:r>
      <w:r w:rsidR="00C45B47">
        <w:t xml:space="preserve"> {</w:t>
      </w:r>
      <w:r w:rsidR="001F5257">
        <w:t>258</w:t>
      </w:r>
      <w:bookmarkStart w:id="627" w:name="p258"/>
      <w:bookmarkEnd w:id="627"/>
      <w:r w:rsidR="001F5257">
        <w:t xml:space="preserve">} </w:t>
      </w:r>
      <w:r>
        <w:t>d’ailleurs,</w:t>
      </w:r>
      <w:r w:rsidRPr="002C4077">
        <w:t xml:space="preserve"> </w:t>
      </w:r>
      <w:r>
        <w:t>ses</w:t>
      </w:r>
      <w:r w:rsidRPr="002C4077">
        <w:t xml:space="preserve"> </w:t>
      </w:r>
      <w:r>
        <w:t>nombreuses</w:t>
      </w:r>
      <w:r w:rsidRPr="002C4077">
        <w:t xml:space="preserve"> </w:t>
      </w:r>
      <w:r>
        <w:t>cruautés</w:t>
      </w:r>
      <w:r w:rsidRPr="002C4077">
        <w:t xml:space="preserve"> </w:t>
      </w:r>
      <w:r>
        <w:t>firent</w:t>
      </w:r>
      <w:r w:rsidRPr="002C4077">
        <w:t xml:space="preserve"> </w:t>
      </w:r>
      <w:r>
        <w:t>oublier</w:t>
      </w:r>
      <w:r w:rsidRPr="002C4077">
        <w:t xml:space="preserve"> </w:t>
      </w:r>
      <w:r>
        <w:t>cette</w:t>
      </w:r>
      <w:r w:rsidRPr="002C4077">
        <w:t xml:space="preserve"> </w:t>
      </w:r>
      <w:r>
        <w:t>bonté</w:t>
      </w:r>
      <w:r w:rsidRPr="002C4077">
        <w:t xml:space="preserve"> </w:t>
      </w:r>
      <w:r>
        <w:t>aussi</w:t>
      </w:r>
      <w:r w:rsidRPr="002C4077">
        <w:t xml:space="preserve"> </w:t>
      </w:r>
      <w:r>
        <w:t>rare</w:t>
      </w:r>
      <w:r w:rsidRPr="002C4077">
        <w:t xml:space="preserve"> </w:t>
      </w:r>
      <w:r>
        <w:t>qu’intéressée.</w:t>
      </w:r>
      <w:r w:rsidRPr="002C4077">
        <w:t xml:space="preserve"> </w:t>
      </w:r>
    </w:p>
    <w:p w:rsidR="000A7AAB" w:rsidRDefault="000A7AAB" w:rsidP="000A7AAB">
      <w:r>
        <w:t>Sous</w:t>
      </w:r>
      <w:r w:rsidRPr="002C4077">
        <w:t xml:space="preserve"> </w:t>
      </w:r>
      <w:r>
        <w:t>ce</w:t>
      </w:r>
      <w:r w:rsidRPr="002C4077">
        <w:t xml:space="preserve"> </w:t>
      </w:r>
      <w:r>
        <w:t>règne,</w:t>
      </w:r>
      <w:r w:rsidRPr="002C4077">
        <w:t xml:space="preserve"> </w:t>
      </w:r>
      <w:r>
        <w:t>néanmoins,</w:t>
      </w:r>
      <w:r w:rsidRPr="002C4077">
        <w:t xml:space="preserve"> </w:t>
      </w:r>
      <w:r>
        <w:t>les</w:t>
      </w:r>
      <w:r w:rsidRPr="002C4077">
        <w:t xml:space="preserve"> </w:t>
      </w:r>
      <w:r>
        <w:t>ouvriers</w:t>
      </w:r>
      <w:r w:rsidRPr="002C4077">
        <w:t xml:space="preserve"> </w:t>
      </w:r>
      <w:r>
        <w:t>eurent</w:t>
      </w:r>
      <w:r w:rsidRPr="002C4077">
        <w:t xml:space="preserve"> </w:t>
      </w:r>
      <w:r>
        <w:t>encore</w:t>
      </w:r>
      <w:r w:rsidRPr="002C4077">
        <w:t xml:space="preserve"> </w:t>
      </w:r>
      <w:r>
        <w:t>de</w:t>
      </w:r>
      <w:r w:rsidRPr="002C4077">
        <w:t xml:space="preserve"> </w:t>
      </w:r>
      <w:r>
        <w:t>beaux</w:t>
      </w:r>
      <w:r w:rsidRPr="002C4077">
        <w:t xml:space="preserve"> </w:t>
      </w:r>
      <w:r>
        <w:t>jours,</w:t>
      </w:r>
      <w:r w:rsidRPr="002C4077">
        <w:t xml:space="preserve"> </w:t>
      </w:r>
      <w:r>
        <w:t>au</w:t>
      </w:r>
      <w:r w:rsidRPr="002C4077">
        <w:t xml:space="preserve"> </w:t>
      </w:r>
      <w:r>
        <w:t>moment</w:t>
      </w:r>
      <w:r w:rsidRPr="002C4077">
        <w:t xml:space="preserve"> </w:t>
      </w:r>
      <w:r>
        <w:t>de</w:t>
      </w:r>
      <w:r w:rsidRPr="002C4077">
        <w:t xml:space="preserve"> </w:t>
      </w:r>
      <w:r>
        <w:t>la</w:t>
      </w:r>
      <w:r w:rsidRPr="002C4077">
        <w:t xml:space="preserve"> </w:t>
      </w:r>
      <w:r>
        <w:t>reconstruction</w:t>
      </w:r>
      <w:r w:rsidRPr="002C4077">
        <w:t xml:space="preserve"> </w:t>
      </w:r>
      <w:r>
        <w:t>du</w:t>
      </w:r>
      <w:r w:rsidRPr="002C4077">
        <w:t xml:space="preserve"> </w:t>
      </w:r>
      <w:r>
        <w:t>temple.</w:t>
      </w:r>
      <w:r w:rsidRPr="002C4077">
        <w:t xml:space="preserve"> </w:t>
      </w:r>
    </w:p>
    <w:p w:rsidR="000A7AAB" w:rsidRDefault="000A7AAB" w:rsidP="000A7AAB">
      <w:r>
        <w:t>Avant</w:t>
      </w:r>
      <w:r w:rsidRPr="002C4077">
        <w:t xml:space="preserve"> </w:t>
      </w:r>
      <w:r>
        <w:t>de</w:t>
      </w:r>
      <w:r w:rsidRPr="002C4077">
        <w:t xml:space="preserve"> </w:t>
      </w:r>
      <w:r>
        <w:t>commencer</w:t>
      </w:r>
      <w:r w:rsidRPr="002C4077">
        <w:t xml:space="preserve"> </w:t>
      </w:r>
      <w:r>
        <w:t>à</w:t>
      </w:r>
      <w:r w:rsidRPr="002C4077">
        <w:t xml:space="preserve"> </w:t>
      </w:r>
      <w:r>
        <w:t>bâtir,</w:t>
      </w:r>
      <w:r w:rsidRPr="002C4077">
        <w:t xml:space="preserve"> </w:t>
      </w:r>
      <w:r>
        <w:t>Hérode</w:t>
      </w:r>
      <w:r w:rsidRPr="002C4077">
        <w:t xml:space="preserve"> </w:t>
      </w:r>
      <w:r>
        <w:t>fit,</w:t>
      </w:r>
      <w:r w:rsidRPr="002C4077">
        <w:t xml:space="preserve"> </w:t>
      </w:r>
      <w:r>
        <w:t>à</w:t>
      </w:r>
      <w:r w:rsidRPr="002C4077">
        <w:t xml:space="preserve"> </w:t>
      </w:r>
      <w:r>
        <w:t>grands</w:t>
      </w:r>
      <w:r w:rsidRPr="002C4077">
        <w:t xml:space="preserve"> </w:t>
      </w:r>
      <w:r>
        <w:t>frais,</w:t>
      </w:r>
      <w:r w:rsidRPr="002C4077">
        <w:t xml:space="preserve"> </w:t>
      </w:r>
      <w:r>
        <w:t>des</w:t>
      </w:r>
      <w:r w:rsidRPr="002C4077">
        <w:t xml:space="preserve"> </w:t>
      </w:r>
      <w:r>
        <w:t>préparatifs</w:t>
      </w:r>
      <w:r w:rsidRPr="002C4077">
        <w:t xml:space="preserve"> </w:t>
      </w:r>
      <w:r>
        <w:t>gigantesques,</w:t>
      </w:r>
      <w:r w:rsidRPr="002C4077">
        <w:t xml:space="preserve"> </w:t>
      </w:r>
      <w:r>
        <w:t>qui</w:t>
      </w:r>
      <w:r w:rsidRPr="002C4077">
        <w:t xml:space="preserve"> </w:t>
      </w:r>
      <w:r>
        <w:t>rappelaient</w:t>
      </w:r>
      <w:r w:rsidRPr="002C4077">
        <w:t xml:space="preserve"> </w:t>
      </w:r>
      <w:r>
        <w:t>ceux</w:t>
      </w:r>
      <w:r w:rsidRPr="002C4077">
        <w:t xml:space="preserve"> </w:t>
      </w:r>
      <w:r>
        <w:t>de</w:t>
      </w:r>
      <w:r w:rsidRPr="002C4077">
        <w:t xml:space="preserve"> </w:t>
      </w:r>
      <w:r>
        <w:t>Salomon.</w:t>
      </w:r>
      <w:r w:rsidRPr="002C4077">
        <w:t xml:space="preserve"> </w:t>
      </w:r>
      <w:r>
        <w:t>Mille</w:t>
      </w:r>
      <w:r w:rsidRPr="002C4077">
        <w:t xml:space="preserve"> </w:t>
      </w:r>
      <w:r>
        <w:t>chariots</w:t>
      </w:r>
      <w:r w:rsidRPr="002C4077">
        <w:t xml:space="preserve"> </w:t>
      </w:r>
      <w:r>
        <w:t>furent</w:t>
      </w:r>
      <w:r w:rsidRPr="002C4077">
        <w:t xml:space="preserve"> </w:t>
      </w:r>
      <w:r>
        <w:t>construits</w:t>
      </w:r>
      <w:r w:rsidRPr="002C4077">
        <w:t xml:space="preserve"> </w:t>
      </w:r>
      <w:r>
        <w:t>pour</w:t>
      </w:r>
      <w:r w:rsidRPr="002C4077">
        <w:t xml:space="preserve"> </w:t>
      </w:r>
      <w:r>
        <w:t>amener</w:t>
      </w:r>
      <w:r w:rsidRPr="002C4077">
        <w:t xml:space="preserve"> </w:t>
      </w:r>
      <w:r>
        <w:t>les</w:t>
      </w:r>
      <w:r w:rsidRPr="002C4077">
        <w:t xml:space="preserve"> </w:t>
      </w:r>
      <w:r>
        <w:t>pierres,</w:t>
      </w:r>
      <w:r w:rsidRPr="002C4077">
        <w:t xml:space="preserve"> </w:t>
      </w:r>
      <w:r>
        <w:t>et</w:t>
      </w:r>
      <w:r w:rsidRPr="002C4077">
        <w:t xml:space="preserve"> </w:t>
      </w:r>
      <w:r>
        <w:t>mille</w:t>
      </w:r>
      <w:r w:rsidRPr="002C4077">
        <w:t xml:space="preserve"> </w:t>
      </w:r>
      <w:r w:rsidR="00425C50">
        <w:t>prêtre</w:t>
      </w:r>
      <w:r>
        <w:t>s</w:t>
      </w:r>
      <w:r w:rsidRPr="002C4077">
        <w:t xml:space="preserve"> </w:t>
      </w:r>
      <w:r>
        <w:t>s’exercèrent</w:t>
      </w:r>
      <w:r w:rsidRPr="002C4077">
        <w:t xml:space="preserve"> </w:t>
      </w:r>
      <w:r>
        <w:t>dans</w:t>
      </w:r>
      <w:r w:rsidRPr="002C4077">
        <w:t xml:space="preserve"> </w:t>
      </w:r>
      <w:r>
        <w:t>l’art</w:t>
      </w:r>
      <w:r w:rsidRPr="002C4077">
        <w:t xml:space="preserve"> </w:t>
      </w:r>
      <w:r>
        <w:t>du</w:t>
      </w:r>
      <w:r w:rsidRPr="002C4077">
        <w:t xml:space="preserve"> </w:t>
      </w:r>
      <w:r>
        <w:t>sculpteur</w:t>
      </w:r>
      <w:r w:rsidRPr="002C4077">
        <w:t xml:space="preserve"> </w:t>
      </w:r>
      <w:r>
        <w:t>et</w:t>
      </w:r>
      <w:r w:rsidRPr="002C4077">
        <w:t xml:space="preserve"> </w:t>
      </w:r>
      <w:r>
        <w:t>du</w:t>
      </w:r>
      <w:r w:rsidRPr="002C4077">
        <w:t xml:space="preserve"> </w:t>
      </w:r>
      <w:r>
        <w:t>charpentier.</w:t>
      </w:r>
      <w:r w:rsidRPr="002C4077">
        <w:t xml:space="preserve"> </w:t>
      </w:r>
      <w:r>
        <w:t>On</w:t>
      </w:r>
      <w:r w:rsidRPr="002C4077">
        <w:t xml:space="preserve"> </w:t>
      </w:r>
      <w:r>
        <w:t>se</w:t>
      </w:r>
      <w:r w:rsidRPr="002C4077">
        <w:t xml:space="preserve"> </w:t>
      </w:r>
      <w:r>
        <w:t>mit</w:t>
      </w:r>
      <w:r w:rsidRPr="002C4077">
        <w:t xml:space="preserve"> </w:t>
      </w:r>
      <w:r>
        <w:t>ensuite</w:t>
      </w:r>
      <w:r w:rsidRPr="002C4077">
        <w:t xml:space="preserve"> </w:t>
      </w:r>
      <w:r>
        <w:t>courageusement</w:t>
      </w:r>
      <w:r w:rsidRPr="002C4077">
        <w:t xml:space="preserve"> </w:t>
      </w:r>
      <w:r>
        <w:t>à</w:t>
      </w:r>
      <w:r w:rsidRPr="002C4077">
        <w:t xml:space="preserve"> </w:t>
      </w:r>
      <w:r>
        <w:t>l’œuvre,</w:t>
      </w:r>
      <w:r w:rsidRPr="002C4077">
        <w:t xml:space="preserve"> </w:t>
      </w:r>
      <w:r>
        <w:t>et</w:t>
      </w:r>
      <w:r w:rsidRPr="002C4077">
        <w:t xml:space="preserve"> </w:t>
      </w:r>
      <w:r>
        <w:t>plus</w:t>
      </w:r>
      <w:r w:rsidRPr="002C4077">
        <w:t xml:space="preserve"> </w:t>
      </w:r>
      <w:r>
        <w:t>de</w:t>
      </w:r>
      <w:r w:rsidRPr="002C4077">
        <w:t xml:space="preserve"> </w:t>
      </w:r>
      <w:r>
        <w:t>dix-huit</w:t>
      </w:r>
      <w:r w:rsidRPr="002C4077">
        <w:t xml:space="preserve"> </w:t>
      </w:r>
      <w:r>
        <w:t>mille</w:t>
      </w:r>
      <w:r w:rsidRPr="002C4077">
        <w:t xml:space="preserve"> </w:t>
      </w:r>
      <w:r>
        <w:t>ouvriers</w:t>
      </w:r>
      <w:r w:rsidRPr="002C4077">
        <w:t xml:space="preserve"> </w:t>
      </w:r>
      <w:r>
        <w:t>y</w:t>
      </w:r>
      <w:r w:rsidRPr="002C4077">
        <w:t xml:space="preserve"> </w:t>
      </w:r>
      <w:r>
        <w:t>furent</w:t>
      </w:r>
      <w:r w:rsidRPr="002C4077">
        <w:t xml:space="preserve"> </w:t>
      </w:r>
      <w:r>
        <w:t>employés.</w:t>
      </w:r>
      <w:r w:rsidRPr="002C4077">
        <w:t xml:space="preserve"> </w:t>
      </w:r>
      <w:r>
        <w:t>Ils</w:t>
      </w:r>
      <w:r w:rsidRPr="002C4077">
        <w:t xml:space="preserve"> </w:t>
      </w:r>
      <w:r>
        <w:t>étaient</w:t>
      </w:r>
      <w:r w:rsidRPr="002C4077">
        <w:t xml:space="preserve"> </w:t>
      </w:r>
      <w:r>
        <w:t>payés</w:t>
      </w:r>
      <w:r w:rsidRPr="002C4077">
        <w:t xml:space="preserve"> </w:t>
      </w:r>
      <w:r>
        <w:t>généreusement.</w:t>
      </w:r>
      <w:r w:rsidRPr="002C4077">
        <w:t xml:space="preserve"> </w:t>
      </w:r>
      <w:r>
        <w:t>Les</w:t>
      </w:r>
      <w:r w:rsidRPr="002C4077">
        <w:t xml:space="preserve"> </w:t>
      </w:r>
      <w:r>
        <w:t>comptes</w:t>
      </w:r>
      <w:r w:rsidRPr="002C4077">
        <w:t xml:space="preserve"> </w:t>
      </w:r>
      <w:r>
        <w:t>étaient</w:t>
      </w:r>
      <w:r w:rsidRPr="002C4077">
        <w:t xml:space="preserve"> </w:t>
      </w:r>
      <w:r>
        <w:t>réglés</w:t>
      </w:r>
      <w:r w:rsidRPr="002C4077">
        <w:t xml:space="preserve"> </w:t>
      </w:r>
      <w:r>
        <w:t>non-seulement</w:t>
      </w:r>
      <w:r w:rsidRPr="002C4077">
        <w:t xml:space="preserve"> </w:t>
      </w:r>
      <w:r>
        <w:t>chaque</w:t>
      </w:r>
      <w:r w:rsidRPr="002C4077">
        <w:t xml:space="preserve"> </w:t>
      </w:r>
      <w:r>
        <w:t>semaine,</w:t>
      </w:r>
      <w:r w:rsidRPr="002C4077">
        <w:t xml:space="preserve"> </w:t>
      </w:r>
      <w:r>
        <w:t>mais</w:t>
      </w:r>
      <w:r w:rsidRPr="002C4077">
        <w:t xml:space="preserve"> </w:t>
      </w:r>
      <w:r>
        <w:t>chaque</w:t>
      </w:r>
      <w:r w:rsidRPr="002C4077">
        <w:t xml:space="preserve"> </w:t>
      </w:r>
      <w:r>
        <w:t>jour,</w:t>
      </w:r>
      <w:r w:rsidRPr="002C4077">
        <w:t xml:space="preserve"> </w:t>
      </w:r>
      <w:r>
        <w:t>et</w:t>
      </w:r>
      <w:r w:rsidRPr="002C4077">
        <w:t xml:space="preserve"> </w:t>
      </w:r>
      <w:r w:rsidR="003B53FD">
        <w:t>celui</w:t>
      </w:r>
      <w:r>
        <w:t>-là</w:t>
      </w:r>
      <w:r w:rsidRPr="002C4077">
        <w:t xml:space="preserve"> </w:t>
      </w:r>
      <w:r>
        <w:t>même</w:t>
      </w:r>
      <w:r w:rsidRPr="002C4077">
        <w:t xml:space="preserve"> </w:t>
      </w:r>
      <w:r>
        <w:t>qui</w:t>
      </w:r>
      <w:r w:rsidRPr="002C4077">
        <w:t xml:space="preserve"> </w:t>
      </w:r>
      <w:r>
        <w:t>n’avait</w:t>
      </w:r>
      <w:r w:rsidRPr="002C4077">
        <w:t xml:space="preserve"> </w:t>
      </w:r>
      <w:r>
        <w:t>travaillé</w:t>
      </w:r>
      <w:r w:rsidRPr="002C4077">
        <w:t xml:space="preserve"> </w:t>
      </w:r>
      <w:r>
        <w:t>qu’une</w:t>
      </w:r>
      <w:r w:rsidRPr="002C4077">
        <w:t xml:space="preserve"> </w:t>
      </w:r>
      <w:r>
        <w:t>heure</w:t>
      </w:r>
      <w:r w:rsidRPr="002C4077">
        <w:t xml:space="preserve"> </w:t>
      </w:r>
      <w:r>
        <w:t>recevait</w:t>
      </w:r>
      <w:r w:rsidRPr="002C4077">
        <w:t xml:space="preserve"> </w:t>
      </w:r>
      <w:r>
        <w:t>aussitôt</w:t>
      </w:r>
      <w:r w:rsidRPr="002C4077">
        <w:t xml:space="preserve"> </w:t>
      </w:r>
      <w:r>
        <w:t>son</w:t>
      </w:r>
      <w:r w:rsidRPr="002C4077">
        <w:t xml:space="preserve"> </w:t>
      </w:r>
      <w:r>
        <w:t>salaire.</w:t>
      </w:r>
      <w:r w:rsidRPr="002C4077">
        <w:t xml:space="preserve"> </w:t>
      </w:r>
    </w:p>
    <w:p w:rsidR="000A7AAB" w:rsidRDefault="000A7AAB" w:rsidP="000A7AAB">
      <w:r>
        <w:t>Outre</w:t>
      </w:r>
      <w:r w:rsidRPr="002C4077">
        <w:t xml:space="preserve"> </w:t>
      </w:r>
      <w:r>
        <w:t>les</w:t>
      </w:r>
      <w:r w:rsidRPr="002C4077">
        <w:t xml:space="preserve"> </w:t>
      </w:r>
      <w:r>
        <w:t>architectes,</w:t>
      </w:r>
      <w:r w:rsidRPr="002C4077">
        <w:t xml:space="preserve"> </w:t>
      </w:r>
      <w:r>
        <w:t>les</w:t>
      </w:r>
      <w:r w:rsidRPr="002C4077">
        <w:t xml:space="preserve"> </w:t>
      </w:r>
      <w:r>
        <w:t>tailleurs</w:t>
      </w:r>
      <w:r w:rsidRPr="002C4077">
        <w:t xml:space="preserve"> </w:t>
      </w:r>
      <w:r>
        <w:t>de</w:t>
      </w:r>
      <w:r w:rsidRPr="002C4077">
        <w:t xml:space="preserve"> </w:t>
      </w:r>
      <w:r>
        <w:t>pierre,</w:t>
      </w:r>
      <w:r w:rsidRPr="002C4077">
        <w:t xml:space="preserve"> </w:t>
      </w:r>
      <w:r>
        <w:t>les</w:t>
      </w:r>
      <w:r w:rsidRPr="002C4077">
        <w:t xml:space="preserve"> </w:t>
      </w:r>
      <w:r>
        <w:t>maçons</w:t>
      </w:r>
      <w:r w:rsidRPr="002C4077">
        <w:t xml:space="preserve"> </w:t>
      </w:r>
      <w:r>
        <w:t>et</w:t>
      </w:r>
      <w:r w:rsidRPr="002C4077">
        <w:t xml:space="preserve"> </w:t>
      </w:r>
      <w:r>
        <w:t>les</w:t>
      </w:r>
      <w:r w:rsidRPr="002C4077">
        <w:t xml:space="preserve"> </w:t>
      </w:r>
      <w:r>
        <w:t>charpentiers,</w:t>
      </w:r>
      <w:r w:rsidRPr="002C4077">
        <w:t xml:space="preserve"> </w:t>
      </w:r>
      <w:r>
        <w:t>on</w:t>
      </w:r>
      <w:r w:rsidRPr="002C4077">
        <w:t xml:space="preserve"> </w:t>
      </w:r>
      <w:r>
        <w:t>occupa</w:t>
      </w:r>
      <w:r w:rsidRPr="002C4077">
        <w:t xml:space="preserve"> </w:t>
      </w:r>
      <w:r>
        <w:t>un</w:t>
      </w:r>
      <w:r w:rsidRPr="002C4077">
        <w:t xml:space="preserve"> </w:t>
      </w:r>
      <w:r>
        <w:t>nombre</w:t>
      </w:r>
      <w:r w:rsidRPr="002C4077">
        <w:t xml:space="preserve"> </w:t>
      </w:r>
      <w:r>
        <w:t>considérable</w:t>
      </w:r>
      <w:r w:rsidRPr="002C4077">
        <w:t xml:space="preserve"> </w:t>
      </w:r>
      <w:r>
        <w:t>de</w:t>
      </w:r>
      <w:r w:rsidRPr="002C4077">
        <w:t xml:space="preserve"> </w:t>
      </w:r>
      <w:r>
        <w:t>doreurs</w:t>
      </w:r>
      <w:r w:rsidRPr="002C4077">
        <w:t xml:space="preserve"> </w:t>
      </w:r>
      <w:r>
        <w:t>et</w:t>
      </w:r>
      <w:r w:rsidRPr="002C4077">
        <w:t xml:space="preserve"> </w:t>
      </w:r>
      <w:r>
        <w:t>d’orfèvres,</w:t>
      </w:r>
      <w:r w:rsidRPr="002C4077">
        <w:t xml:space="preserve"> </w:t>
      </w:r>
      <w:r>
        <w:t>de</w:t>
      </w:r>
      <w:r w:rsidRPr="002C4077">
        <w:t xml:space="preserve"> </w:t>
      </w:r>
      <w:r>
        <w:t>sculpteurs,</w:t>
      </w:r>
      <w:r w:rsidRPr="002C4077">
        <w:t xml:space="preserve"> </w:t>
      </w:r>
      <w:r>
        <w:t>de</w:t>
      </w:r>
      <w:r w:rsidRPr="002C4077">
        <w:t xml:space="preserve"> </w:t>
      </w:r>
      <w:r>
        <w:t>brodeurs</w:t>
      </w:r>
      <w:r w:rsidRPr="002C4077">
        <w:t xml:space="preserve"> </w:t>
      </w:r>
      <w:r>
        <w:t>et</w:t>
      </w:r>
      <w:r w:rsidRPr="002C4077">
        <w:t xml:space="preserve"> </w:t>
      </w:r>
      <w:r>
        <w:t>de</w:t>
      </w:r>
      <w:r w:rsidRPr="002C4077">
        <w:t xml:space="preserve"> </w:t>
      </w:r>
      <w:r>
        <w:t>tisserands,</w:t>
      </w:r>
      <w:r w:rsidRPr="002C4077">
        <w:t xml:space="preserve"> </w:t>
      </w:r>
      <w:r>
        <w:t>qui</w:t>
      </w:r>
      <w:r w:rsidRPr="002C4077">
        <w:t xml:space="preserve"> </w:t>
      </w:r>
      <w:r>
        <w:t>furent</w:t>
      </w:r>
      <w:r w:rsidRPr="002C4077">
        <w:t xml:space="preserve"> </w:t>
      </w:r>
      <w:r>
        <w:t>chargés</w:t>
      </w:r>
      <w:r w:rsidRPr="002C4077">
        <w:t xml:space="preserve"> </w:t>
      </w:r>
      <w:r>
        <w:t>d’orner,</w:t>
      </w:r>
      <w:r w:rsidRPr="002C4077">
        <w:t xml:space="preserve"> </w:t>
      </w:r>
      <w:r>
        <w:t>chacun</w:t>
      </w:r>
      <w:r w:rsidRPr="002C4077">
        <w:t xml:space="preserve"> </w:t>
      </w:r>
      <w:r>
        <w:t>selon</w:t>
      </w:r>
      <w:r w:rsidRPr="002C4077">
        <w:t xml:space="preserve"> </w:t>
      </w:r>
      <w:r>
        <w:t>sa</w:t>
      </w:r>
      <w:r w:rsidRPr="002C4077">
        <w:t xml:space="preserve"> </w:t>
      </w:r>
      <w:r>
        <w:t>spécialité,</w:t>
      </w:r>
      <w:r w:rsidRPr="002C4077">
        <w:t xml:space="preserve"> </w:t>
      </w:r>
      <w:r>
        <w:t>les</w:t>
      </w:r>
      <w:r w:rsidRPr="002C4077">
        <w:t xml:space="preserve"> </w:t>
      </w:r>
      <w:r>
        <w:t>différentes</w:t>
      </w:r>
      <w:r w:rsidRPr="002C4077">
        <w:t xml:space="preserve"> </w:t>
      </w:r>
      <w:r>
        <w:t>parties</w:t>
      </w:r>
      <w:r w:rsidRPr="002C4077">
        <w:t xml:space="preserve"> </w:t>
      </w:r>
      <w:r>
        <w:t>de</w:t>
      </w:r>
      <w:r w:rsidRPr="002C4077">
        <w:t xml:space="preserve"> </w:t>
      </w:r>
      <w:r>
        <w:t>ce</w:t>
      </w:r>
      <w:r w:rsidRPr="002C4077">
        <w:t xml:space="preserve"> </w:t>
      </w:r>
      <w:r>
        <w:t>magnifique</w:t>
      </w:r>
      <w:r w:rsidRPr="002C4077">
        <w:t xml:space="preserve"> </w:t>
      </w:r>
      <w:r>
        <w:t>édifice.</w:t>
      </w:r>
      <w:r w:rsidRPr="002C4077">
        <w:t xml:space="preserve"> </w:t>
      </w:r>
      <w:r>
        <w:t>Bien</w:t>
      </w:r>
      <w:r w:rsidRPr="002C4077">
        <w:t xml:space="preserve"> </w:t>
      </w:r>
      <w:r>
        <w:t>plus,</w:t>
      </w:r>
      <w:r w:rsidRPr="002C4077">
        <w:t xml:space="preserve"> </w:t>
      </w:r>
      <w:r>
        <w:t>même</w:t>
      </w:r>
      <w:r w:rsidRPr="002C4077">
        <w:t xml:space="preserve"> </w:t>
      </w:r>
      <w:r>
        <w:t>après</w:t>
      </w:r>
      <w:r w:rsidRPr="002C4077">
        <w:t xml:space="preserve"> </w:t>
      </w:r>
      <w:r>
        <w:t>la</w:t>
      </w:r>
      <w:r w:rsidRPr="002C4077">
        <w:t xml:space="preserve"> </w:t>
      </w:r>
      <w:r>
        <w:t>construction</w:t>
      </w:r>
      <w:r w:rsidRPr="002C4077">
        <w:t xml:space="preserve"> </w:t>
      </w:r>
      <w:r>
        <w:t>du</w:t>
      </w:r>
      <w:r w:rsidRPr="002C4077">
        <w:t xml:space="preserve"> </w:t>
      </w:r>
      <w:r>
        <w:t>temple,</w:t>
      </w:r>
      <w:r w:rsidRPr="002C4077">
        <w:t xml:space="preserve"> </w:t>
      </w:r>
      <w:r>
        <w:t>certains</w:t>
      </w:r>
      <w:r w:rsidRPr="002C4077">
        <w:t xml:space="preserve"> </w:t>
      </w:r>
      <w:r>
        <w:t>métiers</w:t>
      </w:r>
      <w:r w:rsidRPr="002C4077">
        <w:t xml:space="preserve"> </w:t>
      </w:r>
      <w:r>
        <w:t>y</w:t>
      </w:r>
      <w:r w:rsidRPr="002C4077">
        <w:t xml:space="preserve"> </w:t>
      </w:r>
      <w:r>
        <w:t>furent</w:t>
      </w:r>
      <w:r w:rsidRPr="002C4077">
        <w:t xml:space="preserve"> </w:t>
      </w:r>
      <w:r>
        <w:t>constamment</w:t>
      </w:r>
      <w:r w:rsidRPr="002C4077">
        <w:t xml:space="preserve"> </w:t>
      </w:r>
      <w:r>
        <w:t>représentés</w:t>
      </w:r>
      <w:r w:rsidRPr="002C4077">
        <w:t xml:space="preserve"> </w:t>
      </w:r>
      <w:r>
        <w:t>et</w:t>
      </w:r>
      <w:r w:rsidRPr="002C4077">
        <w:t xml:space="preserve"> </w:t>
      </w:r>
      <w:r>
        <w:t>y</w:t>
      </w:r>
      <w:r w:rsidRPr="002C4077">
        <w:t xml:space="preserve"> </w:t>
      </w:r>
      <w:r>
        <w:t>trouvèrent</w:t>
      </w:r>
      <w:r w:rsidRPr="002C4077">
        <w:t xml:space="preserve"> </w:t>
      </w:r>
      <w:r>
        <w:t>une</w:t>
      </w:r>
      <w:r w:rsidRPr="002C4077">
        <w:t xml:space="preserve"> </w:t>
      </w:r>
      <w:r>
        <w:t>occupation</w:t>
      </w:r>
      <w:r w:rsidRPr="002C4077">
        <w:t xml:space="preserve"> </w:t>
      </w:r>
      <w:r>
        <w:t>toujours</w:t>
      </w:r>
      <w:r w:rsidRPr="002C4077">
        <w:t xml:space="preserve"> </w:t>
      </w:r>
      <w:r>
        <w:t>nouvelle.</w:t>
      </w:r>
      <w:r w:rsidRPr="002C4077">
        <w:t xml:space="preserve"> </w:t>
      </w:r>
      <w:r>
        <w:t>Les</w:t>
      </w:r>
      <w:r w:rsidRPr="002C4077">
        <w:t xml:space="preserve"> </w:t>
      </w:r>
      <w:r>
        <w:t>nombreux</w:t>
      </w:r>
      <w:r w:rsidRPr="002C4077">
        <w:t xml:space="preserve"> </w:t>
      </w:r>
      <w:r>
        <w:t>sacrifices</w:t>
      </w:r>
      <w:r w:rsidRPr="002C4077">
        <w:t xml:space="preserve"> </w:t>
      </w:r>
      <w:r>
        <w:t>de</w:t>
      </w:r>
      <w:r w:rsidRPr="002C4077">
        <w:t xml:space="preserve"> </w:t>
      </w:r>
      <w:r>
        <w:t>chaque</w:t>
      </w:r>
      <w:r w:rsidRPr="002C4077">
        <w:t xml:space="preserve"> </w:t>
      </w:r>
      <w:r>
        <w:t>jour</w:t>
      </w:r>
      <w:r w:rsidRPr="002C4077">
        <w:t xml:space="preserve"> </w:t>
      </w:r>
      <w:r>
        <w:t>et</w:t>
      </w:r>
      <w:r w:rsidRPr="002C4077">
        <w:t xml:space="preserve"> </w:t>
      </w:r>
      <w:r>
        <w:t>l’immolation</w:t>
      </w:r>
      <w:r w:rsidRPr="002C4077">
        <w:t xml:space="preserve"> </w:t>
      </w:r>
      <w:r>
        <w:t>presque</w:t>
      </w:r>
      <w:r w:rsidRPr="002C4077">
        <w:t xml:space="preserve"> </w:t>
      </w:r>
      <w:r>
        <w:t>continuelle</w:t>
      </w:r>
      <w:r w:rsidRPr="002C4077">
        <w:t xml:space="preserve"> </w:t>
      </w:r>
      <w:r>
        <w:t>des</w:t>
      </w:r>
      <w:r w:rsidRPr="002C4077">
        <w:t xml:space="preserve"> </w:t>
      </w:r>
      <w:r>
        <w:t>victimes</w:t>
      </w:r>
      <w:r w:rsidRPr="002C4077">
        <w:t xml:space="preserve"> </w:t>
      </w:r>
      <w:r>
        <w:t>employaient</w:t>
      </w:r>
      <w:r w:rsidRPr="002C4077">
        <w:t xml:space="preserve"> </w:t>
      </w:r>
      <w:r>
        <w:t>une</w:t>
      </w:r>
      <w:r w:rsidRPr="002C4077">
        <w:t xml:space="preserve"> </w:t>
      </w:r>
      <w:r>
        <w:t>multitude</w:t>
      </w:r>
      <w:r w:rsidRPr="002C4077">
        <w:t xml:space="preserve"> </w:t>
      </w:r>
      <w:r>
        <w:t>de</w:t>
      </w:r>
      <w:r w:rsidRPr="002C4077">
        <w:t xml:space="preserve"> </w:t>
      </w:r>
      <w:r w:rsidR="00425C50">
        <w:t>prêtre</w:t>
      </w:r>
      <w:r>
        <w:t>s,</w:t>
      </w:r>
      <w:r w:rsidRPr="002C4077">
        <w:t xml:space="preserve"> </w:t>
      </w:r>
      <w:r>
        <w:t>initiés</w:t>
      </w:r>
      <w:r w:rsidRPr="002C4077">
        <w:t xml:space="preserve"> </w:t>
      </w:r>
      <w:r>
        <w:t>aux</w:t>
      </w:r>
      <w:r w:rsidRPr="002C4077">
        <w:t xml:space="preserve"> </w:t>
      </w:r>
      <w:r>
        <w:t>opérations</w:t>
      </w:r>
      <w:r w:rsidRPr="002C4077">
        <w:t xml:space="preserve"> </w:t>
      </w:r>
      <w:r>
        <w:t>les</w:t>
      </w:r>
      <w:r w:rsidRPr="002C4077">
        <w:t xml:space="preserve"> </w:t>
      </w:r>
      <w:r>
        <w:t>plus</w:t>
      </w:r>
      <w:r w:rsidRPr="002C4077">
        <w:t xml:space="preserve"> </w:t>
      </w:r>
      <w:r>
        <w:t>délicates</w:t>
      </w:r>
      <w:r w:rsidRPr="002C4077">
        <w:t xml:space="preserve"> </w:t>
      </w:r>
      <w:r>
        <w:t>de</w:t>
      </w:r>
      <w:r w:rsidRPr="002C4077">
        <w:t xml:space="preserve"> </w:t>
      </w:r>
      <w:r>
        <w:t>la</w:t>
      </w:r>
      <w:r w:rsidRPr="002C4077">
        <w:t xml:space="preserve"> </w:t>
      </w:r>
      <w:r>
        <w:t>boucherie.</w:t>
      </w:r>
      <w:r w:rsidRPr="002C4077">
        <w:t xml:space="preserve"> </w:t>
      </w:r>
      <w:r>
        <w:t>D’autres</w:t>
      </w:r>
      <w:r w:rsidRPr="002C4077">
        <w:t xml:space="preserve"> </w:t>
      </w:r>
      <w:r w:rsidR="00425C50">
        <w:t>prêtre</w:t>
      </w:r>
      <w:r>
        <w:t>s,</w:t>
      </w:r>
      <w:r w:rsidRPr="002C4077">
        <w:t xml:space="preserve"> </w:t>
      </w:r>
      <w:r>
        <w:t>boulangers</w:t>
      </w:r>
      <w:r w:rsidRPr="002C4077">
        <w:t xml:space="preserve"> </w:t>
      </w:r>
      <w:r>
        <w:t>ou</w:t>
      </w:r>
      <w:r w:rsidRPr="002C4077">
        <w:t xml:space="preserve"> </w:t>
      </w:r>
      <w:r>
        <w:t>pâtissiers,</w:t>
      </w:r>
      <w:r w:rsidRPr="002C4077">
        <w:t xml:space="preserve"> </w:t>
      </w:r>
      <w:r>
        <w:t>pétrissaient</w:t>
      </w:r>
      <w:r w:rsidRPr="002C4077">
        <w:t xml:space="preserve"> </w:t>
      </w:r>
      <w:r>
        <w:t>chaque</w:t>
      </w:r>
      <w:r w:rsidRPr="002C4077">
        <w:t xml:space="preserve"> </w:t>
      </w:r>
      <w:r>
        <w:t>matin</w:t>
      </w:r>
      <w:r w:rsidRPr="002C4077">
        <w:t xml:space="preserve"> </w:t>
      </w:r>
      <w:r>
        <w:t>les</w:t>
      </w:r>
      <w:r w:rsidRPr="002C4077">
        <w:t xml:space="preserve"> </w:t>
      </w:r>
      <w:r>
        <w:t>gâteaux</w:t>
      </w:r>
      <w:r w:rsidRPr="002C4077">
        <w:t xml:space="preserve"> </w:t>
      </w:r>
      <w:r>
        <w:t>que</w:t>
      </w:r>
      <w:r w:rsidRPr="002C4077">
        <w:t xml:space="preserve"> </w:t>
      </w:r>
      <w:r>
        <w:t>l’on</w:t>
      </w:r>
      <w:r w:rsidRPr="002C4077">
        <w:t xml:space="preserve"> </w:t>
      </w:r>
      <w:r>
        <w:t>offrait</w:t>
      </w:r>
      <w:r w:rsidRPr="002C4077">
        <w:t xml:space="preserve"> </w:t>
      </w:r>
      <w:r>
        <w:t>en</w:t>
      </w:r>
      <w:r w:rsidRPr="002C4077">
        <w:t xml:space="preserve"> </w:t>
      </w:r>
      <w:r>
        <w:t>sacrifice,</w:t>
      </w:r>
      <w:r w:rsidRPr="002C4077">
        <w:t xml:space="preserve"> </w:t>
      </w:r>
      <w:r>
        <w:t>et,</w:t>
      </w:r>
      <w:r w:rsidRPr="002C4077">
        <w:t xml:space="preserve"> </w:t>
      </w:r>
      <w:r>
        <w:t>au</w:t>
      </w:r>
      <w:r w:rsidRPr="002C4077">
        <w:t xml:space="preserve"> </w:t>
      </w:r>
      <w:r>
        <w:t>temps</w:t>
      </w:r>
      <w:r w:rsidRPr="002C4077">
        <w:t xml:space="preserve"> </w:t>
      </w:r>
      <w:r>
        <w:t>requis,</w:t>
      </w:r>
      <w:r w:rsidRPr="002C4077">
        <w:t xml:space="preserve"> </w:t>
      </w:r>
      <w:r>
        <w:t>les</w:t>
      </w:r>
      <w:r w:rsidRPr="002C4077">
        <w:t xml:space="preserve"> </w:t>
      </w:r>
      <w:r>
        <w:t>pains</w:t>
      </w:r>
      <w:r w:rsidRPr="002C4077">
        <w:t xml:space="preserve"> </w:t>
      </w:r>
      <w:r>
        <w:t>de</w:t>
      </w:r>
      <w:r w:rsidRPr="002C4077">
        <w:t xml:space="preserve"> </w:t>
      </w:r>
      <w:r>
        <w:t>proposition</w:t>
      </w:r>
      <w:r w:rsidR="00B546AF">
        <w:t> ;</w:t>
      </w:r>
      <w:r w:rsidRPr="002C4077">
        <w:t xml:space="preserve"> </w:t>
      </w:r>
      <w:r>
        <w:t>des</w:t>
      </w:r>
      <w:r w:rsidRPr="002C4077">
        <w:t xml:space="preserve"> </w:t>
      </w:r>
      <w:r>
        <w:t>parfumeurs</w:t>
      </w:r>
      <w:r w:rsidRPr="002C4077">
        <w:t xml:space="preserve"> </w:t>
      </w:r>
      <w:r>
        <w:t>composaient</w:t>
      </w:r>
      <w:r w:rsidRPr="002C4077">
        <w:t xml:space="preserve"> </w:t>
      </w:r>
      <w:r>
        <w:t>l’encens</w:t>
      </w:r>
      <w:r w:rsidRPr="002C4077">
        <w:t xml:space="preserve"> </w:t>
      </w:r>
      <w:r>
        <w:t>et</w:t>
      </w:r>
      <w:r w:rsidRPr="002C4077">
        <w:t xml:space="preserve"> </w:t>
      </w:r>
      <w:r>
        <w:t>les</w:t>
      </w:r>
      <w:r w:rsidRPr="002C4077">
        <w:t xml:space="preserve"> </w:t>
      </w:r>
      <w:r>
        <w:t>parfums</w:t>
      </w:r>
      <w:r w:rsidRPr="002C4077">
        <w:t xml:space="preserve"> </w:t>
      </w:r>
      <w:r>
        <w:t>les</w:t>
      </w:r>
      <w:r w:rsidRPr="002C4077">
        <w:t xml:space="preserve"> </w:t>
      </w:r>
      <w:r>
        <w:t>plus</w:t>
      </w:r>
      <w:r w:rsidRPr="002C4077">
        <w:t xml:space="preserve"> </w:t>
      </w:r>
      <w:r>
        <w:t>exquis.</w:t>
      </w:r>
      <w:r w:rsidRPr="002C4077">
        <w:t xml:space="preserve"> </w:t>
      </w:r>
      <w:r>
        <w:t>À</w:t>
      </w:r>
      <w:r w:rsidRPr="002C4077">
        <w:t xml:space="preserve"> </w:t>
      </w:r>
      <w:r>
        <w:t>plusieurs</w:t>
      </w:r>
      <w:r w:rsidRPr="002C4077">
        <w:t xml:space="preserve"> </w:t>
      </w:r>
      <w:r>
        <w:t>reprises,</w:t>
      </w:r>
      <w:r w:rsidRPr="002C4077">
        <w:t xml:space="preserve"> </w:t>
      </w:r>
      <w:r>
        <w:t>on</w:t>
      </w:r>
      <w:r w:rsidRPr="002C4077">
        <w:t xml:space="preserve"> </w:t>
      </w:r>
      <w:r>
        <w:t>fit</w:t>
      </w:r>
      <w:r w:rsidRPr="002C4077">
        <w:t xml:space="preserve"> </w:t>
      </w:r>
      <w:r>
        <w:t>venir</w:t>
      </w:r>
      <w:r w:rsidRPr="002C4077">
        <w:t xml:space="preserve"> </w:t>
      </w:r>
      <w:r>
        <w:t>des</w:t>
      </w:r>
      <w:r w:rsidRPr="002C4077">
        <w:t xml:space="preserve"> </w:t>
      </w:r>
      <w:r>
        <w:t>ouvriers</w:t>
      </w:r>
      <w:r w:rsidRPr="002C4077">
        <w:t xml:space="preserve"> </w:t>
      </w:r>
      <w:r>
        <w:t>d’Alexandrie</w:t>
      </w:r>
      <w:r w:rsidRPr="002C4077">
        <w:t xml:space="preserve"> </w:t>
      </w:r>
      <w:r>
        <w:t>pour</w:t>
      </w:r>
      <w:r w:rsidRPr="002C4077">
        <w:t xml:space="preserve"> </w:t>
      </w:r>
      <w:r>
        <w:t>certains</w:t>
      </w:r>
      <w:r w:rsidRPr="002C4077">
        <w:t xml:space="preserve"> </w:t>
      </w:r>
      <w:r>
        <w:t>travaux</w:t>
      </w:r>
      <w:r w:rsidRPr="002C4077">
        <w:t xml:space="preserve"> </w:t>
      </w:r>
      <w:r>
        <w:t>difficiles</w:t>
      </w:r>
      <w:r w:rsidRPr="002C4077">
        <w:t xml:space="preserve"> </w:t>
      </w:r>
      <w:r>
        <w:t>que</w:t>
      </w:r>
      <w:r w:rsidRPr="002C4077">
        <w:t xml:space="preserve"> </w:t>
      </w:r>
      <w:r>
        <w:t>l’on</w:t>
      </w:r>
      <w:r w:rsidRPr="002C4077">
        <w:t xml:space="preserve"> </w:t>
      </w:r>
      <w:r>
        <w:t>n’osait</w:t>
      </w:r>
      <w:r w:rsidRPr="002C4077">
        <w:t xml:space="preserve"> </w:t>
      </w:r>
      <w:r>
        <w:t>confier</w:t>
      </w:r>
      <w:r w:rsidRPr="002C4077">
        <w:t xml:space="preserve"> </w:t>
      </w:r>
      <w:r>
        <w:t>à</w:t>
      </w:r>
      <w:r w:rsidRPr="002C4077">
        <w:t xml:space="preserve"> </w:t>
      </w:r>
      <w:r>
        <w:t>ceux</w:t>
      </w:r>
      <w:r w:rsidRPr="002C4077">
        <w:t xml:space="preserve"> </w:t>
      </w:r>
      <w:r>
        <w:t>de</w:t>
      </w:r>
      <w:r w:rsidRPr="002C4077">
        <w:t xml:space="preserve"> </w:t>
      </w:r>
      <w:r>
        <w:t>Palestine.</w:t>
      </w:r>
      <w:r w:rsidRPr="002C4077">
        <w:t xml:space="preserve"> </w:t>
      </w:r>
      <w:r>
        <w:t>Ainsi,</w:t>
      </w:r>
      <w:r w:rsidRPr="002C4077">
        <w:t xml:space="preserve"> </w:t>
      </w:r>
      <w:r>
        <w:t>on</w:t>
      </w:r>
      <w:r w:rsidRPr="002C4077">
        <w:t xml:space="preserve"> </w:t>
      </w:r>
      <w:r>
        <w:t>les</w:t>
      </w:r>
      <w:r w:rsidRPr="002C4077">
        <w:t xml:space="preserve"> </w:t>
      </w:r>
      <w:r>
        <w:t>chargea</w:t>
      </w:r>
      <w:r w:rsidRPr="002C4077">
        <w:t xml:space="preserve"> </w:t>
      </w:r>
      <w:r>
        <w:t>de</w:t>
      </w:r>
      <w:r w:rsidRPr="002C4077">
        <w:t xml:space="preserve"> </w:t>
      </w:r>
      <w:r>
        <w:t>réparer</w:t>
      </w:r>
      <w:r w:rsidRPr="002C4077">
        <w:t xml:space="preserve"> </w:t>
      </w:r>
      <w:r>
        <w:t>la</w:t>
      </w:r>
      <w:r w:rsidRPr="002C4077">
        <w:t xml:space="preserve"> </w:t>
      </w:r>
      <w:r>
        <w:t>cymbale</w:t>
      </w:r>
      <w:r w:rsidRPr="002C4077">
        <w:t xml:space="preserve"> </w:t>
      </w:r>
      <w:r>
        <w:t>d’airain,</w:t>
      </w:r>
      <w:r w:rsidRPr="002C4077">
        <w:t xml:space="preserve"> </w:t>
      </w:r>
      <w:r>
        <w:t>et</w:t>
      </w:r>
      <w:r w:rsidRPr="002C4077">
        <w:t xml:space="preserve"> </w:t>
      </w:r>
      <w:r>
        <w:t>le</w:t>
      </w:r>
      <w:r w:rsidRPr="002C4077">
        <w:t xml:space="preserve"> </w:t>
      </w:r>
      <w:r>
        <w:t>mortier</w:t>
      </w:r>
      <w:r w:rsidRPr="002C4077">
        <w:t xml:space="preserve"> </w:t>
      </w:r>
      <w:r>
        <w:t>dans</w:t>
      </w:r>
      <w:r w:rsidRPr="002C4077">
        <w:t xml:space="preserve"> </w:t>
      </w:r>
      <w:r>
        <w:t>lequel</w:t>
      </w:r>
      <w:r w:rsidRPr="002C4077">
        <w:t xml:space="preserve"> </w:t>
      </w:r>
      <w:r>
        <w:t>on</w:t>
      </w:r>
      <w:r w:rsidRPr="002C4077">
        <w:t xml:space="preserve"> </w:t>
      </w:r>
      <w:r>
        <w:t>broyait</w:t>
      </w:r>
      <w:r w:rsidRPr="002C4077">
        <w:t xml:space="preserve"> </w:t>
      </w:r>
      <w:r>
        <w:t>les</w:t>
      </w:r>
      <w:r w:rsidRPr="002C4077">
        <w:t xml:space="preserve"> </w:t>
      </w:r>
      <w:r>
        <w:t>essences</w:t>
      </w:r>
      <w:r w:rsidRPr="002C4077">
        <w:t xml:space="preserve"> </w:t>
      </w:r>
      <w:r>
        <w:t>destinées</w:t>
      </w:r>
      <w:r w:rsidRPr="002C4077">
        <w:t xml:space="preserve"> </w:t>
      </w:r>
      <w:r>
        <w:t>à</w:t>
      </w:r>
      <w:r w:rsidRPr="002C4077">
        <w:t xml:space="preserve"> </w:t>
      </w:r>
      <w:r>
        <w:t>composer</w:t>
      </w:r>
      <w:r w:rsidRPr="002C4077">
        <w:t xml:space="preserve"> </w:t>
      </w:r>
      <w:r>
        <w:t>l’encens</w:t>
      </w:r>
      <w:r w:rsidR="00B546AF">
        <w:t> ;</w:t>
      </w:r>
      <w:r w:rsidR="00C45B47">
        <w:t xml:space="preserve"> {</w:t>
      </w:r>
      <w:r w:rsidR="001F5257">
        <w:t>259</w:t>
      </w:r>
      <w:bookmarkStart w:id="628" w:name="p259"/>
      <w:bookmarkEnd w:id="628"/>
      <w:r w:rsidR="001F5257">
        <w:t xml:space="preserve">} </w:t>
      </w:r>
      <w:r>
        <w:t>mais</w:t>
      </w:r>
      <w:r w:rsidRPr="002C4077">
        <w:t xml:space="preserve"> </w:t>
      </w:r>
      <w:r>
        <w:t>la</w:t>
      </w:r>
      <w:r w:rsidRPr="002C4077">
        <w:t xml:space="preserve"> </w:t>
      </w:r>
      <w:r>
        <w:t>cymbale,</w:t>
      </w:r>
      <w:r w:rsidRPr="002C4077">
        <w:t xml:space="preserve"> </w:t>
      </w:r>
      <w:r>
        <w:t>en</w:t>
      </w:r>
      <w:r w:rsidRPr="002C4077">
        <w:t xml:space="preserve"> </w:t>
      </w:r>
      <w:r>
        <w:t>sortant</w:t>
      </w:r>
      <w:r w:rsidRPr="002C4077">
        <w:t xml:space="preserve"> </w:t>
      </w:r>
      <w:r>
        <w:t>de</w:t>
      </w:r>
      <w:r w:rsidRPr="002C4077">
        <w:t xml:space="preserve"> </w:t>
      </w:r>
      <w:r>
        <w:t>leurs</w:t>
      </w:r>
      <w:r w:rsidRPr="002C4077">
        <w:t xml:space="preserve"> </w:t>
      </w:r>
      <w:r>
        <w:t>mains,</w:t>
      </w:r>
      <w:r w:rsidRPr="002C4077">
        <w:t xml:space="preserve"> </w:t>
      </w:r>
      <w:r>
        <w:t>avait</w:t>
      </w:r>
      <w:r w:rsidRPr="002C4077">
        <w:t xml:space="preserve"> </w:t>
      </w:r>
      <w:r>
        <w:t>perdu</w:t>
      </w:r>
      <w:r w:rsidRPr="002C4077">
        <w:t xml:space="preserve"> </w:t>
      </w:r>
      <w:r>
        <w:t>son</w:t>
      </w:r>
      <w:r w:rsidRPr="002C4077">
        <w:t xml:space="preserve"> </w:t>
      </w:r>
      <w:r>
        <w:t>timbre</w:t>
      </w:r>
      <w:r w:rsidRPr="002C4077">
        <w:t xml:space="preserve"> </w:t>
      </w:r>
      <w:r>
        <w:t>harmonieux,</w:t>
      </w:r>
      <w:r w:rsidRPr="002C4077">
        <w:t xml:space="preserve"> </w:t>
      </w:r>
      <w:r>
        <w:t>l’encens</w:t>
      </w:r>
      <w:r w:rsidRPr="002C4077">
        <w:t xml:space="preserve"> </w:t>
      </w:r>
      <w:r>
        <w:t>sa</w:t>
      </w:r>
      <w:r w:rsidRPr="002C4077">
        <w:t xml:space="preserve"> </w:t>
      </w:r>
      <w:r>
        <w:t>bonne</w:t>
      </w:r>
      <w:r w:rsidRPr="002C4077">
        <w:t xml:space="preserve"> </w:t>
      </w:r>
      <w:r>
        <w:t>odeur</w:t>
      </w:r>
      <w:r w:rsidR="00B91AF7">
        <w:rPr>
          <w:rStyle w:val="Appelnotedebasdep"/>
        </w:rPr>
        <w:footnoteReference w:id="809"/>
      </w:r>
      <w:r>
        <w:t>.</w:t>
      </w:r>
      <w:r w:rsidRPr="002C4077">
        <w:t xml:space="preserve"> </w:t>
      </w:r>
      <w:r>
        <w:t>On</w:t>
      </w:r>
      <w:r w:rsidRPr="002C4077">
        <w:t xml:space="preserve"> </w:t>
      </w:r>
      <w:r>
        <w:t>fut</w:t>
      </w:r>
      <w:r w:rsidRPr="002C4077">
        <w:t xml:space="preserve"> </w:t>
      </w:r>
      <w:r>
        <w:t>donc</w:t>
      </w:r>
      <w:r w:rsidRPr="002C4077">
        <w:t xml:space="preserve"> </w:t>
      </w:r>
      <w:r>
        <w:t>obligé</w:t>
      </w:r>
      <w:r w:rsidRPr="002C4077">
        <w:t xml:space="preserve"> </w:t>
      </w:r>
      <w:r>
        <w:t>de</w:t>
      </w:r>
      <w:r w:rsidRPr="002C4077">
        <w:t xml:space="preserve"> </w:t>
      </w:r>
      <w:r>
        <w:t>refaire</w:t>
      </w:r>
      <w:r w:rsidRPr="002C4077">
        <w:t xml:space="preserve"> </w:t>
      </w:r>
      <w:r>
        <w:t>l’ouvrage,</w:t>
      </w:r>
      <w:r w:rsidRPr="002C4077">
        <w:t xml:space="preserve"> </w:t>
      </w:r>
      <w:r>
        <w:t>et,</w:t>
      </w:r>
      <w:r w:rsidRPr="002C4077">
        <w:t xml:space="preserve"> </w:t>
      </w:r>
      <w:r>
        <w:t>cette</w:t>
      </w:r>
      <w:r w:rsidRPr="002C4077">
        <w:t xml:space="preserve"> </w:t>
      </w:r>
      <w:r>
        <w:t>fois,</w:t>
      </w:r>
      <w:r w:rsidRPr="002C4077">
        <w:t xml:space="preserve"> </w:t>
      </w:r>
      <w:r>
        <w:t>les</w:t>
      </w:r>
      <w:r w:rsidRPr="002C4077">
        <w:t xml:space="preserve"> </w:t>
      </w:r>
      <w:r>
        <w:t>ouvriers</w:t>
      </w:r>
      <w:r w:rsidRPr="002C4077">
        <w:t xml:space="preserve"> </w:t>
      </w:r>
      <w:r>
        <w:t>juifs</w:t>
      </w:r>
      <w:r w:rsidRPr="002C4077">
        <w:t xml:space="preserve"> </w:t>
      </w:r>
      <w:r>
        <w:t>réussirent</w:t>
      </w:r>
      <w:r w:rsidRPr="002C4077">
        <w:t xml:space="preserve"> </w:t>
      </w:r>
      <w:r>
        <w:t>parfaitement.</w:t>
      </w:r>
      <w:r w:rsidRPr="002C4077">
        <w:t xml:space="preserve"> </w:t>
      </w:r>
      <w:r>
        <w:t>Du</w:t>
      </w:r>
      <w:r w:rsidRPr="002C4077">
        <w:t xml:space="preserve"> </w:t>
      </w:r>
      <w:r>
        <w:t>reste,</w:t>
      </w:r>
      <w:r w:rsidRPr="002C4077">
        <w:t xml:space="preserve"> </w:t>
      </w:r>
      <w:r>
        <w:t>ils</w:t>
      </w:r>
      <w:r w:rsidRPr="002C4077">
        <w:t xml:space="preserve"> </w:t>
      </w:r>
      <w:r>
        <w:t>avaient</w:t>
      </w:r>
      <w:r w:rsidRPr="002C4077">
        <w:t xml:space="preserve"> </w:t>
      </w:r>
      <w:r>
        <w:t>déjà</w:t>
      </w:r>
      <w:r w:rsidRPr="002C4077">
        <w:t xml:space="preserve"> </w:t>
      </w:r>
      <w:r>
        <w:t>montré</w:t>
      </w:r>
      <w:r w:rsidRPr="002C4077">
        <w:t xml:space="preserve"> </w:t>
      </w:r>
      <w:r>
        <w:t>leur</w:t>
      </w:r>
      <w:r w:rsidRPr="002C4077">
        <w:t xml:space="preserve"> </w:t>
      </w:r>
      <w:r>
        <w:t>habileté</w:t>
      </w:r>
      <w:r w:rsidRPr="002C4077">
        <w:t xml:space="preserve"> </w:t>
      </w:r>
      <w:r>
        <w:t>en</w:t>
      </w:r>
      <w:r w:rsidRPr="002C4077">
        <w:t xml:space="preserve"> </w:t>
      </w:r>
      <w:r>
        <w:t>construisant</w:t>
      </w:r>
      <w:r w:rsidRPr="002C4077">
        <w:t xml:space="preserve"> </w:t>
      </w:r>
      <w:r>
        <w:t>pour</w:t>
      </w:r>
      <w:r w:rsidRPr="002C4077">
        <w:t xml:space="preserve"> </w:t>
      </w:r>
      <w:r>
        <w:t>le</w:t>
      </w:r>
      <w:r w:rsidRPr="002C4077">
        <w:t xml:space="preserve"> </w:t>
      </w:r>
      <w:r>
        <w:t>temple</w:t>
      </w:r>
      <w:r w:rsidRPr="002C4077">
        <w:t xml:space="preserve"> </w:t>
      </w:r>
      <w:r>
        <w:t>un</w:t>
      </w:r>
      <w:r w:rsidRPr="002C4077">
        <w:t xml:space="preserve"> </w:t>
      </w:r>
      <w:r>
        <w:t>orgue</w:t>
      </w:r>
      <w:r w:rsidRPr="002C4077">
        <w:t xml:space="preserve"> </w:t>
      </w:r>
      <w:r>
        <w:t>à</w:t>
      </w:r>
      <w:r w:rsidRPr="002C4077">
        <w:t xml:space="preserve"> </w:t>
      </w:r>
      <w:r>
        <w:t>vent</w:t>
      </w:r>
      <w:r w:rsidRPr="002C4077">
        <w:t xml:space="preserve"> </w:t>
      </w:r>
      <w:r>
        <w:t>et</w:t>
      </w:r>
      <w:r w:rsidRPr="002C4077">
        <w:t xml:space="preserve"> </w:t>
      </w:r>
      <w:r>
        <w:t>à</w:t>
      </w:r>
      <w:r w:rsidRPr="002C4077">
        <w:t xml:space="preserve"> </w:t>
      </w:r>
      <w:r>
        <w:t>tuyaux</w:t>
      </w:r>
      <w:r w:rsidRPr="002C4077">
        <w:t xml:space="preserve"> </w:t>
      </w:r>
      <w:r>
        <w:t>comme</w:t>
      </w:r>
      <w:r w:rsidRPr="002C4077">
        <w:t xml:space="preserve"> </w:t>
      </w:r>
      <w:r>
        <w:t>les</w:t>
      </w:r>
      <w:r w:rsidRPr="002C4077">
        <w:t xml:space="preserve"> </w:t>
      </w:r>
      <w:r>
        <w:t>nôtres,</w:t>
      </w:r>
      <w:r w:rsidRPr="002C4077">
        <w:t xml:space="preserve"> </w:t>
      </w:r>
      <w:r>
        <w:t>dont</w:t>
      </w:r>
      <w:r w:rsidRPr="002C4077">
        <w:t xml:space="preserve"> </w:t>
      </w:r>
      <w:r>
        <w:t>le</w:t>
      </w:r>
      <w:r w:rsidRPr="002C4077">
        <w:t xml:space="preserve"> </w:t>
      </w:r>
      <w:r>
        <w:t>son</w:t>
      </w:r>
      <w:r w:rsidRPr="002C4077">
        <w:t xml:space="preserve"> </w:t>
      </w:r>
      <w:r>
        <w:t>était</w:t>
      </w:r>
      <w:r w:rsidRPr="002C4077">
        <w:t xml:space="preserve"> </w:t>
      </w:r>
      <w:r>
        <w:t>si</w:t>
      </w:r>
      <w:r w:rsidRPr="002C4077">
        <w:t xml:space="preserve"> </w:t>
      </w:r>
      <w:r>
        <w:t>fort</w:t>
      </w:r>
      <w:r w:rsidRPr="002C4077">
        <w:t xml:space="preserve"> </w:t>
      </w:r>
      <w:r>
        <w:t>qu’on</w:t>
      </w:r>
      <w:r w:rsidRPr="002C4077">
        <w:t xml:space="preserve"> </w:t>
      </w:r>
      <w:r>
        <w:t>pouvait</w:t>
      </w:r>
      <w:r w:rsidRPr="002C4077">
        <w:t xml:space="preserve"> </w:t>
      </w:r>
      <w:r>
        <w:t>l’entendre</w:t>
      </w:r>
      <w:r w:rsidRPr="002C4077">
        <w:t xml:space="preserve"> </w:t>
      </w:r>
      <w:r>
        <w:t>jusqu’à</w:t>
      </w:r>
      <w:bookmarkStart w:id="629" w:name="z_Temple_o2"/>
      <w:bookmarkEnd w:id="629"/>
      <w:r w:rsidRPr="002C4077">
        <w:t xml:space="preserve"> </w:t>
      </w:r>
      <w:r>
        <w:t>Jéricho</w:t>
      </w:r>
      <w:r w:rsidR="00B91AF7">
        <w:rPr>
          <w:rStyle w:val="Appelnotedebasdep"/>
        </w:rPr>
        <w:footnoteReference w:id="810"/>
      </w:r>
      <w:r>
        <w:t>.</w:t>
      </w:r>
      <w:r w:rsidRPr="002C4077">
        <w:t xml:space="preserve"> </w:t>
      </w:r>
    </w:p>
    <w:p w:rsidR="00F042F3" w:rsidRDefault="00F042F3" w:rsidP="000A7AAB"/>
    <w:p w:rsidR="000A7AAB" w:rsidRDefault="000A7AAB" w:rsidP="000A7AAB">
      <w:r>
        <w:t>Maintenant</w:t>
      </w:r>
      <w:bookmarkStart w:id="630" w:name="z_TravailManuel_o12"/>
      <w:bookmarkEnd w:id="630"/>
      <w:r>
        <w:t>,</w:t>
      </w:r>
      <w:r w:rsidRPr="002C4077">
        <w:t xml:space="preserve"> </w:t>
      </w:r>
      <w:r>
        <w:t>pour</w:t>
      </w:r>
      <w:r w:rsidRPr="002C4077">
        <w:t xml:space="preserve"> </w:t>
      </w:r>
      <w:r>
        <w:t>achever</w:t>
      </w:r>
      <w:r w:rsidRPr="002C4077">
        <w:t xml:space="preserve"> </w:t>
      </w:r>
      <w:r>
        <w:t>par</w:t>
      </w:r>
      <w:r w:rsidRPr="002C4077">
        <w:t xml:space="preserve"> </w:t>
      </w:r>
      <w:r>
        <w:t>un</w:t>
      </w:r>
      <w:r w:rsidRPr="002C4077">
        <w:t xml:space="preserve"> </w:t>
      </w:r>
      <w:r>
        <w:t>dernier</w:t>
      </w:r>
      <w:r w:rsidRPr="002C4077">
        <w:t xml:space="preserve"> </w:t>
      </w:r>
      <w:r>
        <w:t>trait</w:t>
      </w:r>
      <w:r w:rsidRPr="002C4077">
        <w:t xml:space="preserve"> </w:t>
      </w:r>
      <w:r>
        <w:t>cette</w:t>
      </w:r>
      <w:r w:rsidRPr="002C4077">
        <w:t xml:space="preserve"> </w:t>
      </w:r>
      <w:r>
        <w:t>esquisse</w:t>
      </w:r>
      <w:r w:rsidRPr="002C4077">
        <w:t xml:space="preserve"> </w:t>
      </w:r>
      <w:r>
        <w:t>du</w:t>
      </w:r>
      <w:r w:rsidRPr="002C4077">
        <w:t xml:space="preserve"> </w:t>
      </w:r>
      <w:r>
        <w:t>travail</w:t>
      </w:r>
      <w:r w:rsidRPr="002C4077">
        <w:t xml:space="preserve"> </w:t>
      </w:r>
      <w:r>
        <w:t>et</w:t>
      </w:r>
      <w:r w:rsidRPr="002C4077">
        <w:t xml:space="preserve"> </w:t>
      </w:r>
      <w:r>
        <w:t>des</w:t>
      </w:r>
      <w:r w:rsidRPr="002C4077">
        <w:t xml:space="preserve"> </w:t>
      </w:r>
      <w:r>
        <w:t>ouvriers</w:t>
      </w:r>
      <w:r w:rsidRPr="002C4077">
        <w:t xml:space="preserve"> </w:t>
      </w:r>
      <w:r>
        <w:t>chez</w:t>
      </w:r>
      <w:r w:rsidRPr="002C4077">
        <w:t xml:space="preserve"> </w:t>
      </w:r>
      <w:r>
        <w:t>les</w:t>
      </w:r>
      <w:r w:rsidRPr="002C4077">
        <w:t xml:space="preserve"> </w:t>
      </w:r>
      <w:r>
        <w:t>Juifs,</w:t>
      </w:r>
      <w:r w:rsidRPr="002C4077">
        <w:t xml:space="preserve"> </w:t>
      </w:r>
      <w:r>
        <w:t>nous</w:t>
      </w:r>
      <w:r w:rsidRPr="002C4077">
        <w:t xml:space="preserve"> </w:t>
      </w:r>
      <w:r>
        <w:t>emprunterons</w:t>
      </w:r>
      <w:r w:rsidRPr="002C4077">
        <w:t xml:space="preserve"> </w:t>
      </w:r>
      <w:r>
        <w:t>à</w:t>
      </w:r>
      <w:r w:rsidRPr="002C4077">
        <w:t xml:space="preserve"> </w:t>
      </w:r>
      <w:r>
        <w:t>M.</w:t>
      </w:r>
      <w:r w:rsidRPr="002C4077">
        <w:t xml:space="preserve"> </w:t>
      </w:r>
      <w:r>
        <w:t>Delitzsch</w:t>
      </w:r>
      <w:r w:rsidRPr="002C4077">
        <w:t xml:space="preserve"> </w:t>
      </w:r>
      <w:r>
        <w:t>quelques</w:t>
      </w:r>
      <w:r w:rsidRPr="002C4077">
        <w:t xml:space="preserve"> </w:t>
      </w:r>
      <w:r>
        <w:t>pages</w:t>
      </w:r>
      <w:r w:rsidRPr="002C4077">
        <w:t xml:space="preserve"> </w:t>
      </w:r>
      <w:r>
        <w:t>de</w:t>
      </w:r>
      <w:r w:rsidRPr="002C4077">
        <w:t xml:space="preserve"> </w:t>
      </w:r>
      <w:r>
        <w:t>son</w:t>
      </w:r>
      <w:r w:rsidRPr="002C4077">
        <w:t xml:space="preserve"> </w:t>
      </w:r>
      <w:r>
        <w:t>quatrième</w:t>
      </w:r>
      <w:r w:rsidRPr="002C4077">
        <w:t xml:space="preserve"> </w:t>
      </w:r>
      <w:r>
        <w:t>discours,</w:t>
      </w:r>
      <w:r w:rsidRPr="002C4077">
        <w:t xml:space="preserve"> </w:t>
      </w:r>
      <w:r>
        <w:t>où</w:t>
      </w:r>
      <w:r w:rsidRPr="002C4077">
        <w:t xml:space="preserve"> </w:t>
      </w:r>
      <w:r>
        <w:t>il</w:t>
      </w:r>
      <w:r w:rsidRPr="002C4077">
        <w:t xml:space="preserve"> </w:t>
      </w:r>
      <w:r>
        <w:t>nous</w:t>
      </w:r>
      <w:r w:rsidRPr="002C4077">
        <w:t xml:space="preserve"> </w:t>
      </w:r>
      <w:r>
        <w:t>décrit,</w:t>
      </w:r>
      <w:r w:rsidRPr="002C4077">
        <w:t xml:space="preserve"> </w:t>
      </w:r>
      <w:r>
        <w:t>sous</w:t>
      </w:r>
      <w:r w:rsidRPr="002C4077">
        <w:t xml:space="preserve"> </w:t>
      </w:r>
      <w:r>
        <w:t>de</w:t>
      </w:r>
      <w:r w:rsidRPr="002C4077">
        <w:t xml:space="preserve"> </w:t>
      </w:r>
      <w:r>
        <w:t>vives</w:t>
      </w:r>
      <w:r w:rsidRPr="002C4077">
        <w:t xml:space="preserve"> </w:t>
      </w:r>
      <w:r>
        <w:t>couleurs,</w:t>
      </w:r>
      <w:r w:rsidRPr="002C4077">
        <w:t xml:space="preserve"> </w:t>
      </w:r>
      <w:r>
        <w:t>un</w:t>
      </w:r>
      <w:r w:rsidRPr="002C4077">
        <w:t xml:space="preserve"> </w:t>
      </w:r>
      <w:r>
        <w:t>jour</w:t>
      </w:r>
      <w:r w:rsidRPr="002C4077">
        <w:t xml:space="preserve"> </w:t>
      </w:r>
      <w:r>
        <w:t>du</w:t>
      </w:r>
      <w:r w:rsidRPr="002C4077">
        <w:t xml:space="preserve"> </w:t>
      </w:r>
      <w:r>
        <w:t>mois</w:t>
      </w:r>
      <w:r w:rsidRPr="002C4077">
        <w:t xml:space="preserve"> </w:t>
      </w:r>
      <w:r>
        <w:t>de</w:t>
      </w:r>
      <w:r w:rsidRPr="002C4077">
        <w:t xml:space="preserve"> </w:t>
      </w:r>
      <w:r>
        <w:t>juin</w:t>
      </w:r>
      <w:r w:rsidRPr="002C4077">
        <w:t xml:space="preserve"> </w:t>
      </w:r>
      <w:r>
        <w:t>à</w:t>
      </w:r>
      <w:r w:rsidRPr="002C4077">
        <w:t xml:space="preserve"> </w:t>
      </w:r>
      <w:r>
        <w:t>Jérusalem</w:t>
      </w:r>
      <w:r w:rsidRPr="002C4077">
        <w:t xml:space="preserve"> </w:t>
      </w:r>
      <w:r>
        <w:t>au</w:t>
      </w:r>
      <w:r w:rsidRPr="002C4077">
        <w:t xml:space="preserve"> </w:t>
      </w:r>
      <w:r>
        <w:t>temps</w:t>
      </w:r>
      <w:r w:rsidRPr="002C4077">
        <w:t xml:space="preserve"> </w:t>
      </w:r>
      <w:r>
        <w:t>de</w:t>
      </w:r>
      <w:r w:rsidRPr="002C4077">
        <w:t xml:space="preserve"> </w:t>
      </w:r>
      <w:r>
        <w:t>la</w:t>
      </w:r>
      <w:r w:rsidRPr="002C4077">
        <w:t xml:space="preserve"> </w:t>
      </w:r>
      <w:r>
        <w:t>domination</w:t>
      </w:r>
      <w:r w:rsidRPr="002C4077">
        <w:t xml:space="preserve"> </w:t>
      </w:r>
      <w:r w:rsidR="00B047B7">
        <w:t>d’Hérode-le-Grand</w:t>
      </w:r>
      <w:r w:rsidR="00B047B7">
        <w:rPr>
          <w:rStyle w:val="Appelnotedebasdep"/>
        </w:rPr>
        <w:footnoteReference w:id="811"/>
      </w:r>
      <w:r>
        <w:t>.</w:t>
      </w:r>
      <w:r w:rsidRPr="002C4077">
        <w:t xml:space="preserve"> </w:t>
      </w:r>
    </w:p>
    <w:p w:rsidR="000A7AAB" w:rsidRDefault="00B546AF" w:rsidP="000A7AAB">
      <w:r>
        <w:t>« </w:t>
      </w:r>
      <w:r w:rsidR="000A7AAB">
        <w:t>Après</w:t>
      </w:r>
      <w:r w:rsidR="000A7AAB" w:rsidRPr="002C4077">
        <w:t xml:space="preserve"> </w:t>
      </w:r>
      <w:r w:rsidR="000A7AAB">
        <w:t>le</w:t>
      </w:r>
      <w:r w:rsidR="000A7AAB" w:rsidRPr="002C4077">
        <w:t xml:space="preserve"> </w:t>
      </w:r>
      <w:r w:rsidR="000A7AAB">
        <w:t>sacrifice</w:t>
      </w:r>
      <w:r w:rsidR="000A7AAB" w:rsidRPr="002C4077">
        <w:t xml:space="preserve"> </w:t>
      </w:r>
      <w:r w:rsidR="000A7AAB">
        <w:t>du</w:t>
      </w:r>
      <w:r w:rsidR="000A7AAB" w:rsidRPr="002C4077">
        <w:t xml:space="preserve"> </w:t>
      </w:r>
      <w:r w:rsidR="000A7AAB">
        <w:t>matin,</w:t>
      </w:r>
      <w:r w:rsidR="000A7AAB" w:rsidRPr="002C4077">
        <w:t xml:space="preserve"> </w:t>
      </w:r>
      <w:r w:rsidR="000A7AAB">
        <w:t>et</w:t>
      </w:r>
      <w:r w:rsidR="000A7AAB" w:rsidRPr="002C4077">
        <w:t xml:space="preserve"> </w:t>
      </w:r>
      <w:r w:rsidR="000A7AAB">
        <w:t>même</w:t>
      </w:r>
      <w:r w:rsidR="000A7AAB" w:rsidRPr="002C4077">
        <w:t xml:space="preserve"> </w:t>
      </w:r>
      <w:r w:rsidR="000A7AAB">
        <w:t>avant</w:t>
      </w:r>
      <w:r w:rsidR="000A7AAB" w:rsidRPr="002C4077">
        <w:t xml:space="preserve"> </w:t>
      </w:r>
      <w:r w:rsidR="000A7AAB">
        <w:t>qu’il</w:t>
      </w:r>
      <w:r w:rsidR="000A7AAB" w:rsidRPr="002C4077">
        <w:t xml:space="preserve"> </w:t>
      </w:r>
      <w:r w:rsidR="000A7AAB">
        <w:t>soit</w:t>
      </w:r>
      <w:r w:rsidR="000A7AAB" w:rsidRPr="002C4077">
        <w:t xml:space="preserve"> </w:t>
      </w:r>
      <w:r w:rsidR="000A7AAB">
        <w:t>terminé</w:t>
      </w:r>
      <w:r w:rsidR="000A7AAB" w:rsidRPr="002C4077">
        <w:t xml:space="preserve"> </w:t>
      </w:r>
      <w:r w:rsidR="000A7AAB">
        <w:t>dans</w:t>
      </w:r>
      <w:r w:rsidR="000A7AAB" w:rsidRPr="002C4077">
        <w:t xml:space="preserve"> </w:t>
      </w:r>
      <w:r w:rsidR="000A7AAB">
        <w:t>le</w:t>
      </w:r>
      <w:r w:rsidR="000A7AAB" w:rsidRPr="002C4077">
        <w:t xml:space="preserve"> </w:t>
      </w:r>
      <w:r w:rsidR="000A7AAB">
        <w:t>temple</w:t>
      </w:r>
      <w:r w:rsidR="000A7AAB" w:rsidRPr="002C4077">
        <w:t xml:space="preserve"> </w:t>
      </w:r>
      <w:r w:rsidR="000A7AAB">
        <w:t>et</w:t>
      </w:r>
      <w:r w:rsidR="000A7AAB" w:rsidRPr="002C4077">
        <w:t xml:space="preserve"> </w:t>
      </w:r>
      <w:r w:rsidR="000A7AAB">
        <w:t>dans</w:t>
      </w:r>
      <w:r w:rsidR="000A7AAB" w:rsidRPr="002C4077">
        <w:t xml:space="preserve"> </w:t>
      </w:r>
      <w:r w:rsidR="000A7AAB">
        <w:t>les</w:t>
      </w:r>
      <w:r w:rsidR="000A7AAB" w:rsidRPr="002C4077">
        <w:t xml:space="preserve"> </w:t>
      </w:r>
      <w:r w:rsidR="000A7AAB">
        <w:t>synagogues,</w:t>
      </w:r>
      <w:r w:rsidR="000A7AAB" w:rsidRPr="002C4077">
        <w:t xml:space="preserve"> </w:t>
      </w:r>
      <w:r w:rsidR="000A7AAB">
        <w:t>on</w:t>
      </w:r>
      <w:r w:rsidR="000A7AAB" w:rsidRPr="002C4077">
        <w:t xml:space="preserve"> </w:t>
      </w:r>
      <w:r w:rsidR="000A7AAB">
        <w:t>voit</w:t>
      </w:r>
      <w:r w:rsidR="000A7AAB" w:rsidRPr="002C4077">
        <w:t xml:space="preserve"> </w:t>
      </w:r>
      <w:r w:rsidR="000A7AAB">
        <w:t>se</w:t>
      </w:r>
      <w:r w:rsidR="000A7AAB" w:rsidRPr="002C4077">
        <w:t xml:space="preserve"> </w:t>
      </w:r>
      <w:r w:rsidR="000A7AAB">
        <w:t>déployer</w:t>
      </w:r>
      <w:r w:rsidR="000A7AAB" w:rsidRPr="002C4077">
        <w:t xml:space="preserve"> </w:t>
      </w:r>
      <w:r w:rsidR="000A7AAB">
        <w:t>sur</w:t>
      </w:r>
      <w:r w:rsidR="000A7AAB" w:rsidRPr="002C4077">
        <w:t xml:space="preserve"> </w:t>
      </w:r>
      <w:r w:rsidR="000A7AAB">
        <w:t>le</w:t>
      </w:r>
      <w:r w:rsidR="000A7AAB" w:rsidRPr="002C4077">
        <w:t xml:space="preserve"> </w:t>
      </w:r>
      <w:r w:rsidR="000A7AAB">
        <w:t>grand</w:t>
      </w:r>
      <w:r w:rsidR="000A7AAB" w:rsidRPr="002C4077">
        <w:t xml:space="preserve"> </w:t>
      </w:r>
      <w:r w:rsidR="000A7AAB">
        <w:t>marché</w:t>
      </w:r>
      <w:bookmarkStart w:id="631" w:name="z_Marche_o1"/>
      <w:bookmarkEnd w:id="631"/>
      <w:r w:rsidR="000A7AAB">
        <w:t>,</w:t>
      </w:r>
      <w:r w:rsidR="000A7AAB" w:rsidRPr="002C4077">
        <w:t xml:space="preserve"> </w:t>
      </w:r>
      <w:r w:rsidR="000A7AAB">
        <w:t>au</w:t>
      </w:r>
      <w:r w:rsidR="000A7AAB" w:rsidRPr="002C4077">
        <w:t xml:space="preserve"> </w:t>
      </w:r>
      <w:r w:rsidR="000A7AAB">
        <w:t>bas</w:t>
      </w:r>
      <w:r w:rsidR="000A7AAB" w:rsidRPr="002C4077">
        <w:t xml:space="preserve"> </w:t>
      </w:r>
      <w:r w:rsidR="000A7AAB">
        <w:t>de</w:t>
      </w:r>
      <w:r w:rsidR="000A7AAB" w:rsidRPr="002C4077">
        <w:t xml:space="preserve"> </w:t>
      </w:r>
      <w:r w:rsidR="000A7AAB">
        <w:t>la</w:t>
      </w:r>
      <w:r w:rsidR="000A7AAB" w:rsidRPr="002C4077">
        <w:t xml:space="preserve"> </w:t>
      </w:r>
      <w:r w:rsidR="000A7AAB">
        <w:t>nouvelle</w:t>
      </w:r>
      <w:r w:rsidR="000A7AAB" w:rsidRPr="002C4077">
        <w:t xml:space="preserve"> </w:t>
      </w:r>
      <w:r w:rsidR="000A7AAB">
        <w:t>ville,</w:t>
      </w:r>
      <w:r w:rsidR="000A7AAB" w:rsidRPr="002C4077">
        <w:t xml:space="preserve"> </w:t>
      </w:r>
      <w:r w:rsidR="000A7AAB">
        <w:t>la</w:t>
      </w:r>
      <w:r w:rsidR="000A7AAB" w:rsidRPr="002C4077">
        <w:t xml:space="preserve"> </w:t>
      </w:r>
      <w:r w:rsidR="000A7AAB">
        <w:t>plus</w:t>
      </w:r>
      <w:r w:rsidR="000A7AAB" w:rsidRPr="002C4077">
        <w:t xml:space="preserve"> </w:t>
      </w:r>
      <w:r w:rsidR="000A7AAB">
        <w:t>vive</w:t>
      </w:r>
      <w:r w:rsidR="000A7AAB" w:rsidRPr="002C4077">
        <w:t xml:space="preserve"> </w:t>
      </w:r>
      <w:r w:rsidR="000A7AAB">
        <w:t>agitation,</w:t>
      </w:r>
      <w:r w:rsidR="000A7AAB" w:rsidRPr="002C4077">
        <w:t xml:space="preserve"> </w:t>
      </w:r>
      <w:r w:rsidR="000A7AAB">
        <w:t>l’activité</w:t>
      </w:r>
      <w:r w:rsidR="000A7AAB" w:rsidRPr="002C4077">
        <w:t xml:space="preserve"> </w:t>
      </w:r>
      <w:r w:rsidR="000A7AAB">
        <w:t>la</w:t>
      </w:r>
      <w:r w:rsidR="000A7AAB" w:rsidRPr="002C4077">
        <w:t xml:space="preserve"> </w:t>
      </w:r>
      <w:r w:rsidR="000A7AAB">
        <w:t>plus</w:t>
      </w:r>
      <w:r w:rsidR="000A7AAB" w:rsidRPr="002C4077">
        <w:t xml:space="preserve"> </w:t>
      </w:r>
      <w:r w:rsidR="000A7AAB">
        <w:t>étrange.</w:t>
      </w:r>
      <w:r w:rsidR="000A7AAB" w:rsidRPr="002C4077">
        <w:t xml:space="preserve"> </w:t>
      </w:r>
      <w:r w:rsidR="000A7AAB">
        <w:t>Mais,</w:t>
      </w:r>
      <w:r w:rsidR="000A7AAB" w:rsidRPr="002C4077">
        <w:t xml:space="preserve"> </w:t>
      </w:r>
      <w:r w:rsidR="000A7AAB">
        <w:t>que</w:t>
      </w:r>
      <w:r w:rsidR="000A7AAB" w:rsidRPr="002C4077">
        <w:t xml:space="preserve"> </w:t>
      </w:r>
      <w:r w:rsidR="000A7AAB">
        <w:t>ce</w:t>
      </w:r>
      <w:r w:rsidR="000A7AAB" w:rsidRPr="002C4077">
        <w:t xml:space="preserve"> </w:t>
      </w:r>
      <w:r w:rsidR="000A7AAB">
        <w:t>nom</w:t>
      </w:r>
      <w:r w:rsidR="000A7AAB" w:rsidRPr="002C4077">
        <w:t xml:space="preserve"> </w:t>
      </w:r>
      <w:r w:rsidR="000A7AAB">
        <w:t>de</w:t>
      </w:r>
      <w:r w:rsidR="000A7AAB" w:rsidRPr="002C4077">
        <w:t xml:space="preserve"> </w:t>
      </w:r>
      <w:r w:rsidR="000A7AAB" w:rsidRPr="000A34B5">
        <w:rPr>
          <w:rStyle w:val="italicus"/>
        </w:rPr>
        <w:t>marché</w:t>
      </w:r>
      <w:r w:rsidR="000A7AAB" w:rsidRPr="002C4077">
        <w:t xml:space="preserve"> </w:t>
      </w:r>
      <w:r w:rsidR="000A7AAB">
        <w:t>n’amène</w:t>
      </w:r>
      <w:r w:rsidR="000A7AAB" w:rsidRPr="002C4077">
        <w:t xml:space="preserve"> </w:t>
      </w:r>
      <w:r w:rsidR="000A7AAB">
        <w:t>pas</w:t>
      </w:r>
      <w:r w:rsidR="000A7AAB" w:rsidRPr="002C4077">
        <w:t xml:space="preserve"> </w:t>
      </w:r>
      <w:r w:rsidR="000A7AAB">
        <w:t>à</w:t>
      </w:r>
      <w:r w:rsidR="000A7AAB" w:rsidRPr="002C4077">
        <w:t xml:space="preserve"> </w:t>
      </w:r>
      <w:r w:rsidR="000A7AAB">
        <w:t>l’esprit</w:t>
      </w:r>
      <w:r w:rsidR="000A7AAB" w:rsidRPr="002C4077">
        <w:t xml:space="preserve"> </w:t>
      </w:r>
      <w:r w:rsidR="000A7AAB">
        <w:t>de</w:t>
      </w:r>
      <w:r w:rsidR="000A7AAB" w:rsidRPr="002C4077">
        <w:t xml:space="preserve"> </w:t>
      </w:r>
      <w:r w:rsidR="000A7AAB">
        <w:t>nos</w:t>
      </w:r>
      <w:r w:rsidR="000A7AAB" w:rsidRPr="002C4077">
        <w:t xml:space="preserve"> </w:t>
      </w:r>
      <w:r w:rsidR="000A7AAB">
        <w:t>lecteurs</w:t>
      </w:r>
      <w:r w:rsidR="000A7AAB" w:rsidRPr="002C4077">
        <w:t xml:space="preserve"> </w:t>
      </w:r>
      <w:r w:rsidR="000A7AAB">
        <w:t>l’image</w:t>
      </w:r>
      <w:r w:rsidR="000A7AAB" w:rsidRPr="002C4077">
        <w:t xml:space="preserve"> </w:t>
      </w:r>
      <w:r w:rsidR="000A7AAB">
        <w:t>d’une</w:t>
      </w:r>
      <w:r w:rsidR="000A7AAB" w:rsidRPr="002C4077">
        <w:t xml:space="preserve"> </w:t>
      </w:r>
      <w:r w:rsidR="000A7AAB">
        <w:t>place</w:t>
      </w:r>
      <w:r w:rsidR="000A7AAB" w:rsidRPr="002C4077">
        <w:t xml:space="preserve"> </w:t>
      </w:r>
      <w:r w:rsidR="000A7AAB">
        <w:t>carrée,</w:t>
      </w:r>
      <w:r w:rsidR="000A7AAB" w:rsidRPr="002C4077">
        <w:t xml:space="preserve"> </w:t>
      </w:r>
      <w:r w:rsidR="000A7AAB">
        <w:t>avec</w:t>
      </w:r>
      <w:r w:rsidR="000A7AAB" w:rsidRPr="002C4077">
        <w:t xml:space="preserve"> </w:t>
      </w:r>
      <w:r w:rsidR="000A7AAB">
        <w:t>un</w:t>
      </w:r>
      <w:r w:rsidR="000A7AAB" w:rsidRPr="002C4077">
        <w:t xml:space="preserve"> </w:t>
      </w:r>
      <w:r w:rsidR="000A7AAB">
        <w:t>hôtel-de-ville</w:t>
      </w:r>
      <w:r w:rsidR="000A7AAB" w:rsidRPr="002C4077">
        <w:t xml:space="preserve"> </w:t>
      </w:r>
      <w:r w:rsidR="000A7AAB">
        <w:t>au</w:t>
      </w:r>
      <w:r w:rsidR="000A7AAB" w:rsidRPr="002C4077">
        <w:t xml:space="preserve"> </w:t>
      </w:r>
      <w:r w:rsidR="000A7AAB">
        <w:t>milieu.</w:t>
      </w:r>
      <w:r w:rsidR="000A7AAB" w:rsidRPr="002C4077">
        <w:t xml:space="preserve"> </w:t>
      </w:r>
      <w:r w:rsidR="000A7AAB">
        <w:t>Non,</w:t>
      </w:r>
      <w:r w:rsidR="000A7AAB" w:rsidRPr="002C4077">
        <w:t xml:space="preserve"> </w:t>
      </w:r>
      <w:r w:rsidR="000A7AAB">
        <w:t>le</w:t>
      </w:r>
      <w:r w:rsidR="000A7AAB" w:rsidRPr="002C4077">
        <w:t xml:space="preserve"> </w:t>
      </w:r>
      <w:r w:rsidR="000A7AAB">
        <w:t>grand</w:t>
      </w:r>
      <w:r w:rsidR="000A7AAB" w:rsidRPr="002C4077">
        <w:t xml:space="preserve"> </w:t>
      </w:r>
      <w:r w:rsidR="000A7AAB">
        <w:t>marché</w:t>
      </w:r>
      <w:r w:rsidR="000A7AAB" w:rsidRPr="002C4077">
        <w:t xml:space="preserve"> </w:t>
      </w:r>
      <w:r w:rsidR="000A7AAB">
        <w:t>de</w:t>
      </w:r>
      <w:r w:rsidR="000A7AAB" w:rsidRPr="002C4077">
        <w:t xml:space="preserve"> </w:t>
      </w:r>
      <w:r w:rsidR="000A7AAB">
        <w:t>Jérusalem</w:t>
      </w:r>
      <w:r w:rsidR="000A7AAB" w:rsidRPr="002C4077">
        <w:t xml:space="preserve"> </w:t>
      </w:r>
      <w:r w:rsidR="000A7AAB">
        <w:t>était</w:t>
      </w:r>
      <w:r w:rsidR="000A7AAB" w:rsidRPr="002C4077">
        <w:t xml:space="preserve"> </w:t>
      </w:r>
      <w:r w:rsidR="000A7AAB">
        <w:t>simplement</w:t>
      </w:r>
      <w:r w:rsidR="000A7AAB" w:rsidRPr="002C4077">
        <w:t xml:space="preserve"> </w:t>
      </w:r>
      <w:r w:rsidR="000A7AAB">
        <w:t>une</w:t>
      </w:r>
      <w:r w:rsidR="000A7AAB" w:rsidRPr="002C4077">
        <w:t xml:space="preserve"> </w:t>
      </w:r>
      <w:r w:rsidR="000A7AAB">
        <w:t>rue</w:t>
      </w:r>
      <w:r w:rsidR="000A7AAB" w:rsidRPr="002C4077">
        <w:t xml:space="preserve"> </w:t>
      </w:r>
      <w:r w:rsidR="000A7AAB">
        <w:t>large</w:t>
      </w:r>
      <w:r w:rsidR="000A7AAB" w:rsidRPr="002C4077">
        <w:t xml:space="preserve"> </w:t>
      </w:r>
      <w:r w:rsidR="000A7AAB">
        <w:t>et</w:t>
      </w:r>
      <w:r w:rsidR="000A7AAB" w:rsidRPr="002C4077">
        <w:t xml:space="preserve"> </w:t>
      </w:r>
      <w:r w:rsidR="000A7AAB">
        <w:t>spacieuse.</w:t>
      </w:r>
      <w:r w:rsidR="000A7AAB" w:rsidRPr="002C4077">
        <w:t xml:space="preserve"> </w:t>
      </w:r>
    </w:p>
    <w:p w:rsidR="000A7AAB" w:rsidRDefault="00B546AF" w:rsidP="000A7AAB">
      <w:r>
        <w:t>« </w:t>
      </w:r>
      <w:r w:rsidR="000A7AAB">
        <w:t>Des</w:t>
      </w:r>
      <w:r w:rsidR="000A7AAB" w:rsidRPr="002C4077">
        <w:t xml:space="preserve"> </w:t>
      </w:r>
      <w:r w:rsidR="000A7AAB">
        <w:t>deux</w:t>
      </w:r>
      <w:r w:rsidR="000A7AAB" w:rsidRPr="002C4077">
        <w:t xml:space="preserve"> </w:t>
      </w:r>
      <w:r w:rsidR="000A7AAB">
        <w:t>côtés</w:t>
      </w:r>
      <w:r w:rsidR="000A7AAB" w:rsidRPr="002C4077">
        <w:t xml:space="preserve"> </w:t>
      </w:r>
      <w:r w:rsidR="000A7AAB">
        <w:t>sont</w:t>
      </w:r>
      <w:r w:rsidR="000A7AAB" w:rsidRPr="002C4077">
        <w:t xml:space="preserve"> </w:t>
      </w:r>
      <w:r w:rsidR="000A7AAB">
        <w:t>rangés</w:t>
      </w:r>
      <w:r w:rsidR="000A7AAB" w:rsidRPr="002C4077">
        <w:t xml:space="preserve"> </w:t>
      </w:r>
      <w:r w:rsidR="000A7AAB">
        <w:t>dès</w:t>
      </w:r>
      <w:r w:rsidR="000A7AAB" w:rsidRPr="002C4077">
        <w:t xml:space="preserve"> </w:t>
      </w:r>
      <w:r w:rsidR="000A7AAB">
        <w:t>boutiques</w:t>
      </w:r>
      <w:r w:rsidR="000A7AAB" w:rsidRPr="002C4077">
        <w:t xml:space="preserve"> </w:t>
      </w:r>
      <w:r w:rsidR="000A7AAB">
        <w:t>et</w:t>
      </w:r>
      <w:r w:rsidR="000A7AAB" w:rsidRPr="002C4077">
        <w:t xml:space="preserve"> </w:t>
      </w:r>
      <w:r w:rsidR="000A7AAB">
        <w:t>des</w:t>
      </w:r>
      <w:r w:rsidR="000A7AAB" w:rsidRPr="002C4077">
        <w:t xml:space="preserve"> </w:t>
      </w:r>
      <w:r w:rsidR="000A7AAB">
        <w:t>tréteaux</w:t>
      </w:r>
      <w:r>
        <w:t> :</w:t>
      </w:r>
      <w:r w:rsidR="000A7AAB" w:rsidRPr="002C4077">
        <w:t xml:space="preserve"> </w:t>
      </w:r>
      <w:r w:rsidR="000A7AAB">
        <w:t>on</w:t>
      </w:r>
      <w:r w:rsidR="000A7AAB" w:rsidRPr="002C4077">
        <w:t xml:space="preserve"> </w:t>
      </w:r>
      <w:r w:rsidR="000A7AAB">
        <w:t>y</w:t>
      </w:r>
      <w:r w:rsidR="000A7AAB" w:rsidRPr="002C4077">
        <w:t xml:space="preserve"> </w:t>
      </w:r>
      <w:r w:rsidR="000A7AAB">
        <w:t>voit</w:t>
      </w:r>
      <w:r w:rsidR="000A7AAB" w:rsidRPr="002C4077">
        <w:t xml:space="preserve"> </w:t>
      </w:r>
      <w:r w:rsidR="000A7AAB">
        <w:t>de</w:t>
      </w:r>
      <w:r w:rsidR="000A7AAB" w:rsidRPr="002C4077">
        <w:t xml:space="preserve"> </w:t>
      </w:r>
      <w:r w:rsidR="000A7AAB">
        <w:t>la</w:t>
      </w:r>
      <w:r w:rsidR="000A7AAB" w:rsidRPr="002C4077">
        <w:t xml:space="preserve"> </w:t>
      </w:r>
      <w:r w:rsidR="000A7AAB">
        <w:t>pâtisserie</w:t>
      </w:r>
      <w:r w:rsidR="000A7AAB" w:rsidRPr="002C4077">
        <w:t xml:space="preserve"> </w:t>
      </w:r>
      <w:r w:rsidR="000A7AAB">
        <w:t>fine,</w:t>
      </w:r>
      <w:r w:rsidR="000A7AAB" w:rsidRPr="002C4077">
        <w:t xml:space="preserve"> </w:t>
      </w:r>
      <w:r w:rsidR="000A7AAB">
        <w:t>faite</w:t>
      </w:r>
      <w:r w:rsidR="000A7AAB" w:rsidRPr="002C4077">
        <w:t xml:space="preserve"> </w:t>
      </w:r>
      <w:r w:rsidR="000A7AAB">
        <w:t>avec</w:t>
      </w:r>
      <w:r w:rsidR="000A7AAB" w:rsidRPr="002C4077">
        <w:t xml:space="preserve"> </w:t>
      </w:r>
      <w:r w:rsidR="000A7AAB">
        <w:t>le</w:t>
      </w:r>
      <w:r w:rsidR="000A7AAB" w:rsidRPr="002C4077">
        <w:t xml:space="preserve"> </w:t>
      </w:r>
      <w:r w:rsidR="000A7AAB">
        <w:t>froment</w:t>
      </w:r>
      <w:r w:rsidR="000A7AAB" w:rsidRPr="002C4077">
        <w:t xml:space="preserve"> </w:t>
      </w:r>
      <w:r w:rsidR="000A7AAB">
        <w:t>d’Éphrem</w:t>
      </w:r>
      <w:r w:rsidR="00B91AF7">
        <w:rPr>
          <w:rStyle w:val="Appelnotedebasdep"/>
        </w:rPr>
        <w:footnoteReference w:id="812"/>
      </w:r>
      <w:r w:rsidR="000A7AAB">
        <w:t>,</w:t>
      </w:r>
      <w:r w:rsidR="000A7AAB" w:rsidRPr="002C4077">
        <w:t xml:space="preserve"> </w:t>
      </w:r>
      <w:r w:rsidR="000A7AAB">
        <w:t>et</w:t>
      </w:r>
      <w:r w:rsidR="000A7AAB" w:rsidRPr="002C4077">
        <w:t xml:space="preserve"> </w:t>
      </w:r>
      <w:r w:rsidR="000A7AAB">
        <w:t>actuellement</w:t>
      </w:r>
      <w:r w:rsidR="000A7AAB" w:rsidRPr="002C4077">
        <w:t xml:space="preserve"> </w:t>
      </w:r>
      <w:r w:rsidR="000A7AAB">
        <w:t>marchandée</w:t>
      </w:r>
      <w:r w:rsidR="000A7AAB" w:rsidRPr="002C4077">
        <w:t xml:space="preserve"> </w:t>
      </w:r>
      <w:r w:rsidR="000A7AAB">
        <w:t>par</w:t>
      </w:r>
      <w:r w:rsidR="000A7AAB" w:rsidRPr="002C4077">
        <w:t xml:space="preserve"> </w:t>
      </w:r>
      <w:r w:rsidR="000A7AAB">
        <w:t>des</w:t>
      </w:r>
      <w:r w:rsidR="000A7AAB" w:rsidRPr="002C4077">
        <w:t xml:space="preserve"> </w:t>
      </w:r>
      <w:r w:rsidR="000A7AAB">
        <w:t>revendeurs</w:t>
      </w:r>
      <w:r w:rsidR="00B91AF7">
        <w:rPr>
          <w:rStyle w:val="Appelnotedebasdep"/>
        </w:rPr>
        <w:footnoteReference w:id="813"/>
      </w:r>
      <w:r w:rsidR="000A7AAB" w:rsidRPr="002C4077">
        <w:t xml:space="preserve"> </w:t>
      </w:r>
      <w:r w:rsidR="000A7AAB">
        <w:t>qui</w:t>
      </w:r>
      <w:r w:rsidR="000A7AAB" w:rsidRPr="002C4077">
        <w:t xml:space="preserve"> </w:t>
      </w:r>
      <w:r w:rsidR="000A7AAB">
        <w:t>se</w:t>
      </w:r>
      <w:r w:rsidR="000A7AAB" w:rsidRPr="002C4077">
        <w:t xml:space="preserve"> </w:t>
      </w:r>
      <w:r w:rsidR="000A7AAB">
        <w:t>proposent</w:t>
      </w:r>
      <w:r w:rsidR="000A7AAB" w:rsidRPr="002C4077">
        <w:t xml:space="preserve"> </w:t>
      </w:r>
      <w:r w:rsidR="000A7AAB">
        <w:t>de</w:t>
      </w:r>
      <w:r w:rsidR="000A7AAB" w:rsidRPr="002C4077">
        <w:t xml:space="preserve"> </w:t>
      </w:r>
      <w:r w:rsidR="000A7AAB">
        <w:t>la</w:t>
      </w:r>
      <w:r w:rsidR="000A7AAB" w:rsidRPr="002C4077">
        <w:t xml:space="preserve"> </w:t>
      </w:r>
      <w:r w:rsidR="000A7AAB">
        <w:t>vendre</w:t>
      </w:r>
      <w:r w:rsidR="000A7AAB" w:rsidRPr="002C4077">
        <w:t xml:space="preserve"> </w:t>
      </w:r>
      <w:r w:rsidR="000A7AAB">
        <w:t>avec</w:t>
      </w:r>
      <w:r w:rsidR="000A7AAB" w:rsidRPr="002C4077">
        <w:t xml:space="preserve"> </w:t>
      </w:r>
      <w:r w:rsidR="000A7AAB">
        <w:t>profit</w:t>
      </w:r>
      <w:r w:rsidR="000A7AAB" w:rsidRPr="002C4077">
        <w:t xml:space="preserve"> </w:t>
      </w:r>
      <w:r w:rsidR="000A7AAB">
        <w:t>dans</w:t>
      </w:r>
      <w:r w:rsidR="000A7AAB" w:rsidRPr="002C4077">
        <w:t xml:space="preserve"> </w:t>
      </w:r>
      <w:r w:rsidR="000A7AAB">
        <w:t>les</w:t>
      </w:r>
      <w:r w:rsidR="000A7AAB" w:rsidRPr="002C4077">
        <w:t xml:space="preserve"> </w:t>
      </w:r>
      <w:r w:rsidR="000A7AAB">
        <w:t>quartiers</w:t>
      </w:r>
      <w:r w:rsidR="000A7AAB" w:rsidRPr="002C4077">
        <w:t xml:space="preserve"> </w:t>
      </w:r>
      <w:r w:rsidR="000A7AAB">
        <w:t>plus</w:t>
      </w:r>
      <w:r w:rsidR="000A7AAB" w:rsidRPr="002C4077">
        <w:t xml:space="preserve"> </w:t>
      </w:r>
      <w:r w:rsidR="000A7AAB">
        <w:t>éloignés</w:t>
      </w:r>
      <w:r w:rsidR="000A7AAB" w:rsidRPr="002C4077">
        <w:t xml:space="preserve"> </w:t>
      </w:r>
      <w:r w:rsidR="000A7AAB">
        <w:t>de</w:t>
      </w:r>
      <w:r w:rsidR="000A7AAB" w:rsidRPr="002C4077">
        <w:t xml:space="preserve"> </w:t>
      </w:r>
      <w:r w:rsidR="000A7AAB">
        <w:t>la</w:t>
      </w:r>
      <w:r w:rsidR="000A7AAB" w:rsidRPr="002C4077">
        <w:t xml:space="preserve"> </w:t>
      </w:r>
      <w:r w:rsidR="000A7AAB">
        <w:t>ville</w:t>
      </w:r>
      <w:r>
        <w:t> ;</w:t>
      </w:r>
      <w:r w:rsidR="00C45B47">
        <w:t xml:space="preserve"> {</w:t>
      </w:r>
      <w:r w:rsidR="001F5257">
        <w:t>260</w:t>
      </w:r>
      <w:bookmarkStart w:id="632" w:name="p260"/>
      <w:bookmarkEnd w:id="632"/>
      <w:r w:rsidR="001F5257">
        <w:t xml:space="preserve">} </w:t>
      </w:r>
      <w:r w:rsidR="000A7AAB">
        <w:t>des</w:t>
      </w:r>
      <w:r w:rsidR="000A7AAB" w:rsidRPr="002C4077">
        <w:t xml:space="preserve"> </w:t>
      </w:r>
      <w:r w:rsidR="000A7AAB">
        <w:t>gâteaux</w:t>
      </w:r>
      <w:r w:rsidR="000A7AAB" w:rsidRPr="002C4077">
        <w:t xml:space="preserve"> </w:t>
      </w:r>
      <w:r w:rsidR="000A7AAB">
        <w:t>de</w:t>
      </w:r>
      <w:r w:rsidR="000A7AAB" w:rsidRPr="002C4077">
        <w:t xml:space="preserve"> </w:t>
      </w:r>
      <w:r w:rsidR="000A7AAB">
        <w:t>figues</w:t>
      </w:r>
      <w:r w:rsidR="000A7AAB" w:rsidRPr="002C4077">
        <w:t xml:space="preserve"> </w:t>
      </w:r>
      <w:r w:rsidR="000A7AAB">
        <w:t>et</w:t>
      </w:r>
      <w:r w:rsidR="000A7AAB" w:rsidRPr="002C4077">
        <w:t xml:space="preserve"> </w:t>
      </w:r>
      <w:r w:rsidR="000A7AAB">
        <w:t>des</w:t>
      </w:r>
      <w:r w:rsidR="000A7AAB" w:rsidRPr="002C4077">
        <w:t xml:space="preserve"> </w:t>
      </w:r>
      <w:r w:rsidR="000A7AAB">
        <w:t>raisins</w:t>
      </w:r>
      <w:r w:rsidR="000A7AAB" w:rsidRPr="002C4077">
        <w:t xml:space="preserve"> </w:t>
      </w:r>
      <w:r w:rsidR="000A7AAB">
        <w:t>secs</w:t>
      </w:r>
      <w:r w:rsidR="000A7AAB" w:rsidRPr="002C4077">
        <w:t xml:space="preserve"> </w:t>
      </w:r>
      <w:r w:rsidR="000A7AAB">
        <w:t>qu’une</w:t>
      </w:r>
      <w:r w:rsidR="000A7AAB" w:rsidRPr="002C4077">
        <w:t xml:space="preserve"> </w:t>
      </w:r>
      <w:r w:rsidR="000A7AAB">
        <w:t>pauvre</w:t>
      </w:r>
      <w:r w:rsidR="000A7AAB" w:rsidRPr="002C4077">
        <w:t xml:space="preserve"> </w:t>
      </w:r>
      <w:r w:rsidR="000A7AAB">
        <w:t>petite</w:t>
      </w:r>
      <w:r w:rsidR="000A7AAB" w:rsidRPr="002C4077">
        <w:t xml:space="preserve"> </w:t>
      </w:r>
      <w:r w:rsidR="000A7AAB">
        <w:t>fille</w:t>
      </w:r>
      <w:r w:rsidR="000A7AAB" w:rsidRPr="002C4077">
        <w:t xml:space="preserve"> </w:t>
      </w:r>
      <w:r w:rsidR="000A7AAB">
        <w:t>considère</w:t>
      </w:r>
      <w:r w:rsidR="000A7AAB" w:rsidRPr="002C4077">
        <w:t xml:space="preserve"> </w:t>
      </w:r>
      <w:r w:rsidR="000A7AAB">
        <w:t>avec</w:t>
      </w:r>
      <w:r w:rsidR="000A7AAB" w:rsidRPr="002C4077">
        <w:t xml:space="preserve"> </w:t>
      </w:r>
      <w:r w:rsidR="000A7AAB">
        <w:t>un</w:t>
      </w:r>
      <w:r w:rsidR="000A7AAB" w:rsidRPr="002C4077">
        <w:t xml:space="preserve"> </w:t>
      </w:r>
      <w:r w:rsidR="000A7AAB">
        <w:t>appétit</w:t>
      </w:r>
      <w:r w:rsidR="000A7AAB" w:rsidRPr="002C4077">
        <w:t xml:space="preserve"> </w:t>
      </w:r>
      <w:r w:rsidR="000A7AAB">
        <w:t>visible</w:t>
      </w:r>
      <w:r w:rsidR="000A7AAB" w:rsidRPr="002C4077">
        <w:t xml:space="preserve"> </w:t>
      </w:r>
      <w:r w:rsidR="000A7AAB">
        <w:t>dans</w:t>
      </w:r>
      <w:r w:rsidR="000A7AAB" w:rsidRPr="002C4077">
        <w:t xml:space="preserve"> </w:t>
      </w:r>
      <w:r w:rsidR="000A7AAB">
        <w:t>ses</w:t>
      </w:r>
      <w:r w:rsidR="000A7AAB" w:rsidRPr="002C4077">
        <w:t xml:space="preserve"> </w:t>
      </w:r>
      <w:r w:rsidR="000A7AAB">
        <w:t>yeux</w:t>
      </w:r>
      <w:r>
        <w:t> ;</w:t>
      </w:r>
      <w:r w:rsidR="000A7AAB" w:rsidRPr="002C4077">
        <w:t xml:space="preserve"> </w:t>
      </w:r>
      <w:r w:rsidR="000A7AAB">
        <w:t>des</w:t>
      </w:r>
      <w:r w:rsidR="000A7AAB" w:rsidRPr="002C4077">
        <w:t xml:space="preserve"> </w:t>
      </w:r>
      <w:r w:rsidR="000A7AAB">
        <w:t>poissons</w:t>
      </w:r>
      <w:r w:rsidR="000A7AAB" w:rsidRPr="002C4077">
        <w:t xml:space="preserve"> </w:t>
      </w:r>
      <w:r w:rsidR="000A7AAB">
        <w:t>de</w:t>
      </w:r>
      <w:r w:rsidR="000A7AAB" w:rsidRPr="002C4077">
        <w:t xml:space="preserve"> </w:t>
      </w:r>
      <w:r w:rsidR="000A7AAB">
        <w:t>toute</w:t>
      </w:r>
      <w:r w:rsidR="000A7AAB" w:rsidRPr="002C4077">
        <w:t xml:space="preserve"> </w:t>
      </w:r>
      <w:r w:rsidR="000A7AAB">
        <w:t>sorte</w:t>
      </w:r>
      <w:r w:rsidR="000A7AAB" w:rsidRPr="002C4077">
        <w:t xml:space="preserve"> </w:t>
      </w:r>
      <w:r w:rsidR="000A7AAB">
        <w:t>venus</w:t>
      </w:r>
      <w:r w:rsidR="000A7AAB" w:rsidRPr="002C4077">
        <w:t xml:space="preserve"> </w:t>
      </w:r>
      <w:r w:rsidR="000A7AAB">
        <w:t>du</w:t>
      </w:r>
      <w:r w:rsidR="000A7AAB" w:rsidRPr="002C4077">
        <w:t xml:space="preserve"> </w:t>
      </w:r>
      <w:r w:rsidR="000A7AAB">
        <w:t>lac</w:t>
      </w:r>
      <w:r w:rsidR="000A7AAB" w:rsidRPr="002C4077">
        <w:t xml:space="preserve"> </w:t>
      </w:r>
      <w:r w:rsidR="000A7AAB">
        <w:t>de</w:t>
      </w:r>
      <w:r w:rsidR="000A7AAB" w:rsidRPr="002C4077">
        <w:t xml:space="preserve"> </w:t>
      </w:r>
      <w:r w:rsidR="000A7AAB">
        <w:t>Tibériade</w:t>
      </w:r>
      <w:r>
        <w:t> :</w:t>
      </w:r>
      <w:r w:rsidR="000A7AAB" w:rsidRPr="002C4077">
        <w:t xml:space="preserve"> </w:t>
      </w:r>
      <w:r w:rsidR="000A7AAB">
        <w:t>comme</w:t>
      </w:r>
      <w:r w:rsidR="000A7AAB" w:rsidRPr="002C4077">
        <w:t xml:space="preserve"> </w:t>
      </w:r>
      <w:r w:rsidR="000A7AAB">
        <w:t>ils</w:t>
      </w:r>
      <w:r w:rsidR="000A7AAB" w:rsidRPr="002C4077">
        <w:t xml:space="preserve"> </w:t>
      </w:r>
      <w:r w:rsidR="000A7AAB">
        <w:t>excitent</w:t>
      </w:r>
      <w:r w:rsidR="000A7AAB" w:rsidRPr="002C4077">
        <w:t xml:space="preserve"> </w:t>
      </w:r>
      <w:r w:rsidR="000A7AAB">
        <w:t>la</w:t>
      </w:r>
      <w:r w:rsidR="000A7AAB" w:rsidRPr="002C4077">
        <w:t xml:space="preserve"> </w:t>
      </w:r>
      <w:r w:rsidR="000A7AAB">
        <w:t>curiosité</w:t>
      </w:r>
      <w:r w:rsidR="000A7AAB" w:rsidRPr="002C4077">
        <w:t xml:space="preserve"> </w:t>
      </w:r>
      <w:r w:rsidR="000A7AAB">
        <w:t>des</w:t>
      </w:r>
      <w:r w:rsidR="000A7AAB" w:rsidRPr="002C4077">
        <w:t xml:space="preserve"> </w:t>
      </w:r>
      <w:r w:rsidR="000A7AAB">
        <w:t>jeunes</w:t>
      </w:r>
      <w:r w:rsidR="000A7AAB" w:rsidRPr="002C4077">
        <w:t xml:space="preserve"> </w:t>
      </w:r>
      <w:r w:rsidR="000A7AAB">
        <w:t>écoliers</w:t>
      </w:r>
      <w:r w:rsidR="000A7AAB" w:rsidRPr="002C4077">
        <w:t xml:space="preserve"> </w:t>
      </w:r>
      <w:r w:rsidR="000A7AAB">
        <w:t>qui</w:t>
      </w:r>
      <w:r w:rsidR="000A7AAB" w:rsidRPr="002C4077">
        <w:t xml:space="preserve"> </w:t>
      </w:r>
      <w:r w:rsidR="000A7AAB">
        <w:t>se</w:t>
      </w:r>
      <w:r w:rsidR="000A7AAB" w:rsidRPr="002C4077">
        <w:t xml:space="preserve"> </w:t>
      </w:r>
      <w:r w:rsidR="000A7AAB">
        <w:t>rendent</w:t>
      </w:r>
      <w:r w:rsidR="000A7AAB" w:rsidRPr="002C4077">
        <w:t xml:space="preserve"> </w:t>
      </w:r>
      <w:r w:rsidR="000A7AAB">
        <w:t>à</w:t>
      </w:r>
      <w:r w:rsidR="000A7AAB" w:rsidRPr="002C4077">
        <w:t xml:space="preserve"> </w:t>
      </w:r>
      <w:r w:rsidR="000A7AAB">
        <w:t>l’école</w:t>
      </w:r>
      <w:r w:rsidR="000A7AAB" w:rsidRPr="002C4077">
        <w:t xml:space="preserve"> </w:t>
      </w:r>
      <w:r w:rsidR="000A7AAB">
        <w:t>renommée</w:t>
      </w:r>
      <w:r w:rsidR="000A7AAB" w:rsidRPr="002C4077">
        <w:t xml:space="preserve"> </w:t>
      </w:r>
      <w:r w:rsidR="000A7AAB">
        <w:t>de</w:t>
      </w:r>
      <w:r w:rsidR="000A7AAB" w:rsidRPr="002C4077">
        <w:t xml:space="preserve"> </w:t>
      </w:r>
      <w:r w:rsidR="000A7AAB">
        <w:t>Siméon</w:t>
      </w:r>
      <w:r w:rsidR="000A7AAB" w:rsidRPr="002C4077">
        <w:t xml:space="preserve"> </w:t>
      </w:r>
      <w:r w:rsidR="000A7AAB">
        <w:t>ben</w:t>
      </w:r>
      <w:r w:rsidR="000A7AAB" w:rsidRPr="002C4077">
        <w:t xml:space="preserve"> </w:t>
      </w:r>
      <w:r w:rsidR="000F4CEC">
        <w:t>Schenath</w:t>
      </w:r>
      <w:r>
        <w:t> !</w:t>
      </w:r>
      <w:r w:rsidR="000A7AAB" w:rsidRPr="002C4077">
        <w:t xml:space="preserve"> </w:t>
      </w:r>
      <w:r w:rsidR="000A7AAB">
        <w:t>On</w:t>
      </w:r>
      <w:r w:rsidR="000A7AAB" w:rsidRPr="002C4077">
        <w:t xml:space="preserve"> </w:t>
      </w:r>
      <w:r w:rsidR="000A7AAB">
        <w:t>y</w:t>
      </w:r>
      <w:r w:rsidR="000A7AAB" w:rsidRPr="002C4077">
        <w:t xml:space="preserve"> </w:t>
      </w:r>
      <w:r w:rsidR="000A7AAB">
        <w:t>voit</w:t>
      </w:r>
      <w:r w:rsidR="000A7AAB" w:rsidRPr="002C4077">
        <w:t xml:space="preserve"> </w:t>
      </w:r>
      <w:r w:rsidR="000A7AAB">
        <w:t>encore</w:t>
      </w:r>
      <w:r w:rsidR="000A7AAB" w:rsidRPr="002C4077">
        <w:t xml:space="preserve"> </w:t>
      </w:r>
      <w:r w:rsidR="000A7AAB">
        <w:t>des</w:t>
      </w:r>
      <w:r w:rsidR="000A7AAB" w:rsidRPr="002C4077">
        <w:t xml:space="preserve"> </w:t>
      </w:r>
      <w:r w:rsidR="000A7AAB">
        <w:t>parures</w:t>
      </w:r>
      <w:r w:rsidR="000A7AAB" w:rsidRPr="002C4077">
        <w:t xml:space="preserve"> </w:t>
      </w:r>
      <w:r w:rsidR="000A7AAB">
        <w:t>et</w:t>
      </w:r>
      <w:r w:rsidR="000A7AAB" w:rsidRPr="002C4077">
        <w:t xml:space="preserve"> </w:t>
      </w:r>
      <w:r w:rsidR="000A7AAB">
        <w:t>des</w:t>
      </w:r>
      <w:r w:rsidR="000A7AAB" w:rsidRPr="002C4077">
        <w:t xml:space="preserve"> </w:t>
      </w:r>
      <w:r w:rsidR="000A7AAB">
        <w:t>ornements</w:t>
      </w:r>
      <w:r w:rsidR="000A7AAB" w:rsidRPr="002C4077">
        <w:t xml:space="preserve"> </w:t>
      </w:r>
      <w:r w:rsidR="000A7AAB">
        <w:t>de</w:t>
      </w:r>
      <w:r w:rsidR="000A7AAB" w:rsidRPr="002C4077">
        <w:t xml:space="preserve"> </w:t>
      </w:r>
      <w:r w:rsidR="000A7AAB">
        <w:t>tout</w:t>
      </w:r>
      <w:r w:rsidR="000A7AAB" w:rsidRPr="002C4077">
        <w:t xml:space="preserve"> </w:t>
      </w:r>
      <w:r w:rsidR="000A7AAB">
        <w:t>genre,</w:t>
      </w:r>
      <w:r w:rsidR="000A7AAB" w:rsidRPr="002C4077">
        <w:t xml:space="preserve"> </w:t>
      </w:r>
      <w:r w:rsidR="000A7AAB">
        <w:t>même</w:t>
      </w:r>
      <w:r w:rsidR="000A7AAB" w:rsidRPr="002C4077">
        <w:t xml:space="preserve"> </w:t>
      </w:r>
      <w:r w:rsidR="000A7AAB">
        <w:t>de</w:t>
      </w:r>
      <w:r w:rsidR="000A7AAB" w:rsidRPr="002C4077">
        <w:t xml:space="preserve"> </w:t>
      </w:r>
      <w:r w:rsidR="000A7AAB">
        <w:t>fausses</w:t>
      </w:r>
      <w:r w:rsidR="000A7AAB" w:rsidRPr="002C4077">
        <w:t xml:space="preserve"> </w:t>
      </w:r>
      <w:r w:rsidR="000A7AAB">
        <w:t>dents</w:t>
      </w:r>
      <w:r w:rsidR="000A7AAB" w:rsidRPr="002C4077">
        <w:t xml:space="preserve"> </w:t>
      </w:r>
      <w:r w:rsidR="000A7AAB">
        <w:t>munies</w:t>
      </w:r>
      <w:r w:rsidR="000A7AAB" w:rsidRPr="002C4077">
        <w:t xml:space="preserve"> </w:t>
      </w:r>
      <w:r w:rsidR="000A7AAB">
        <w:t>de</w:t>
      </w:r>
      <w:r w:rsidR="000A7AAB" w:rsidRPr="002C4077">
        <w:t xml:space="preserve"> </w:t>
      </w:r>
      <w:r w:rsidR="000A7AAB">
        <w:t>fils</w:t>
      </w:r>
      <w:r w:rsidR="000A7AAB" w:rsidRPr="002C4077">
        <w:t xml:space="preserve"> </w:t>
      </w:r>
      <w:r w:rsidR="000A7AAB">
        <w:t>d’or</w:t>
      </w:r>
      <w:r w:rsidR="000A7AAB" w:rsidRPr="002C4077">
        <w:t xml:space="preserve"> </w:t>
      </w:r>
      <w:r w:rsidR="000A7AAB">
        <w:t>ou</w:t>
      </w:r>
      <w:r w:rsidR="000A7AAB" w:rsidRPr="002C4077">
        <w:t xml:space="preserve"> </w:t>
      </w:r>
      <w:r w:rsidR="000A7AAB">
        <w:t>d’argent</w:t>
      </w:r>
      <w:r w:rsidR="000A7AAB" w:rsidRPr="002C4077">
        <w:t xml:space="preserve"> </w:t>
      </w:r>
      <w:r w:rsidR="000A7AAB">
        <w:t>pour</w:t>
      </w:r>
      <w:r w:rsidR="000A7AAB" w:rsidRPr="002C4077">
        <w:t xml:space="preserve"> </w:t>
      </w:r>
      <w:r w:rsidR="000A7AAB">
        <w:t>les</w:t>
      </w:r>
      <w:r w:rsidR="000A7AAB" w:rsidRPr="002C4077">
        <w:t xml:space="preserve"> </w:t>
      </w:r>
      <w:r w:rsidR="000A7AAB">
        <w:t>assujettir</w:t>
      </w:r>
      <w:r w:rsidR="00B91AF7">
        <w:rPr>
          <w:rStyle w:val="Appelnotedebasdep"/>
        </w:rPr>
        <w:footnoteReference w:id="814"/>
      </w:r>
      <w:r w:rsidR="000A7AAB">
        <w:t>.</w:t>
      </w:r>
      <w:r w:rsidR="000A7AAB" w:rsidRPr="002C4077">
        <w:t xml:space="preserve"> </w:t>
      </w:r>
      <w:r w:rsidR="000A7AAB">
        <w:t>Ici,</w:t>
      </w:r>
      <w:r w:rsidR="000A7AAB" w:rsidRPr="002C4077">
        <w:t xml:space="preserve"> </w:t>
      </w:r>
      <w:r w:rsidR="000A7AAB">
        <w:t>un</w:t>
      </w:r>
      <w:r w:rsidR="000A7AAB" w:rsidRPr="002C4077">
        <w:t xml:space="preserve"> </w:t>
      </w:r>
      <w:r w:rsidR="000A7AAB">
        <w:t>marchand</w:t>
      </w:r>
      <w:r w:rsidR="000A7AAB" w:rsidRPr="002C4077">
        <w:t xml:space="preserve"> </w:t>
      </w:r>
      <w:r w:rsidR="000A7AAB">
        <w:t>vante</w:t>
      </w:r>
      <w:r w:rsidR="000A7AAB" w:rsidRPr="002C4077">
        <w:t xml:space="preserve"> </w:t>
      </w:r>
      <w:r w:rsidR="000A7AAB">
        <w:t>son</w:t>
      </w:r>
      <w:r w:rsidR="000A7AAB" w:rsidRPr="002C4077">
        <w:t xml:space="preserve"> </w:t>
      </w:r>
      <w:r w:rsidR="000A7AAB" w:rsidRPr="000A34B5">
        <w:rPr>
          <w:rStyle w:val="italicus"/>
        </w:rPr>
        <w:t>dibs,</w:t>
      </w:r>
      <w:r w:rsidR="000A7AAB" w:rsidRPr="002C4077">
        <w:t xml:space="preserve"> </w:t>
      </w:r>
      <w:r w:rsidR="000A7AAB">
        <w:t>c’est-à-dire</w:t>
      </w:r>
      <w:r w:rsidR="000A7AAB" w:rsidRPr="002C4077">
        <w:t xml:space="preserve"> </w:t>
      </w:r>
      <w:r w:rsidR="000A7AAB">
        <w:t>son</w:t>
      </w:r>
      <w:r w:rsidR="000A7AAB" w:rsidRPr="002C4077">
        <w:t xml:space="preserve"> </w:t>
      </w:r>
      <w:r w:rsidR="000A7AAB">
        <w:t>sirop</w:t>
      </w:r>
      <w:r w:rsidR="000A7AAB" w:rsidRPr="002C4077">
        <w:t xml:space="preserve"> </w:t>
      </w:r>
      <w:r w:rsidR="000A7AAB">
        <w:lastRenderedPageBreak/>
        <w:t>de</w:t>
      </w:r>
      <w:r w:rsidR="000A7AAB" w:rsidRPr="002C4077">
        <w:t xml:space="preserve"> </w:t>
      </w:r>
      <w:r w:rsidR="000A7AAB">
        <w:t>raisin</w:t>
      </w:r>
      <w:r>
        <w:t> ;</w:t>
      </w:r>
      <w:r w:rsidR="000A7AAB" w:rsidRPr="002C4077">
        <w:t xml:space="preserve"> </w:t>
      </w:r>
      <w:r w:rsidR="000A7AAB">
        <w:t>là-bas</w:t>
      </w:r>
      <w:r w:rsidR="000A7AAB" w:rsidRPr="002C4077">
        <w:t xml:space="preserve"> </w:t>
      </w:r>
      <w:r w:rsidR="000A7AAB">
        <w:t>un</w:t>
      </w:r>
      <w:r w:rsidR="000A7AAB" w:rsidRPr="002C4077">
        <w:t xml:space="preserve"> </w:t>
      </w:r>
      <w:r w:rsidR="000A7AAB">
        <w:t>autre</w:t>
      </w:r>
      <w:r w:rsidR="000A7AAB" w:rsidRPr="002C4077">
        <w:t xml:space="preserve"> </w:t>
      </w:r>
      <w:r w:rsidR="000A7AAB">
        <w:t>recommande</w:t>
      </w:r>
      <w:r w:rsidR="000A7AAB" w:rsidRPr="002C4077">
        <w:t xml:space="preserve"> </w:t>
      </w:r>
      <w:r w:rsidR="000A7AAB">
        <w:t>ses</w:t>
      </w:r>
      <w:r w:rsidR="000A7AAB" w:rsidRPr="002C4077">
        <w:t xml:space="preserve"> </w:t>
      </w:r>
      <w:r w:rsidR="000A7AAB">
        <w:t>pois</w:t>
      </w:r>
      <w:r w:rsidR="000A7AAB" w:rsidRPr="002C4077">
        <w:t xml:space="preserve"> </w:t>
      </w:r>
      <w:r w:rsidR="000A7AAB">
        <w:t>égyptiens</w:t>
      </w:r>
      <w:r w:rsidR="000A7AAB" w:rsidRPr="002C4077">
        <w:t xml:space="preserve"> </w:t>
      </w:r>
      <w:r w:rsidR="000A7AAB">
        <w:t>de</w:t>
      </w:r>
      <w:r w:rsidR="000A7AAB" w:rsidRPr="002C4077">
        <w:t xml:space="preserve"> </w:t>
      </w:r>
      <w:r w:rsidR="000A7AAB">
        <w:t>première</w:t>
      </w:r>
      <w:r w:rsidR="000A7AAB" w:rsidRPr="002C4077">
        <w:t xml:space="preserve"> </w:t>
      </w:r>
      <w:r w:rsidR="000A7AAB">
        <w:t>qualité</w:t>
      </w:r>
      <w:r>
        <w:t> ;</w:t>
      </w:r>
      <w:r w:rsidR="000A7AAB" w:rsidRPr="002C4077">
        <w:t xml:space="preserve"> </w:t>
      </w:r>
      <w:r w:rsidR="000A7AAB">
        <w:t>un</w:t>
      </w:r>
      <w:r w:rsidR="000A7AAB" w:rsidRPr="002C4077">
        <w:t xml:space="preserve"> </w:t>
      </w:r>
      <w:r w:rsidR="000A7AAB">
        <w:t>troisième</w:t>
      </w:r>
      <w:r w:rsidR="000A7AAB" w:rsidRPr="002C4077">
        <w:t xml:space="preserve"> </w:t>
      </w:r>
      <w:r w:rsidR="000A7AAB">
        <w:t>vend</w:t>
      </w:r>
      <w:r w:rsidR="000A7AAB" w:rsidRPr="002C4077">
        <w:t xml:space="preserve"> </w:t>
      </w:r>
      <w:r w:rsidR="000A7AAB">
        <w:t>du</w:t>
      </w:r>
      <w:r w:rsidR="000A7AAB" w:rsidRPr="002C4077">
        <w:t xml:space="preserve"> </w:t>
      </w:r>
      <w:r w:rsidR="000A7AAB">
        <w:t>cumin</w:t>
      </w:r>
      <w:r w:rsidR="000A7AAB" w:rsidRPr="002C4077">
        <w:t xml:space="preserve"> </w:t>
      </w:r>
      <w:r w:rsidR="000A7AAB">
        <w:t>et</w:t>
      </w:r>
      <w:r w:rsidR="000A7AAB" w:rsidRPr="002C4077">
        <w:t xml:space="preserve"> </w:t>
      </w:r>
      <w:r w:rsidR="000A7AAB">
        <w:t>occupe</w:t>
      </w:r>
      <w:r w:rsidR="000A7AAB" w:rsidRPr="002C4077">
        <w:t xml:space="preserve"> </w:t>
      </w:r>
      <w:r w:rsidR="000A7AAB">
        <w:t>ses</w:t>
      </w:r>
      <w:r w:rsidR="000A7AAB" w:rsidRPr="002C4077">
        <w:t xml:space="preserve"> </w:t>
      </w:r>
      <w:r w:rsidR="000A7AAB">
        <w:t>loisirs</w:t>
      </w:r>
      <w:r w:rsidR="000A7AAB" w:rsidRPr="002C4077">
        <w:t xml:space="preserve"> </w:t>
      </w:r>
      <w:r w:rsidR="000A7AAB">
        <w:t>à</w:t>
      </w:r>
      <w:r w:rsidR="000A7AAB" w:rsidRPr="002C4077">
        <w:t xml:space="preserve"> </w:t>
      </w:r>
      <w:r w:rsidR="000A7AAB">
        <w:t>moudre</w:t>
      </w:r>
      <w:r w:rsidR="000A7AAB" w:rsidRPr="002C4077">
        <w:t xml:space="preserve"> </w:t>
      </w:r>
      <w:r w:rsidR="000A7AAB">
        <w:t>du</w:t>
      </w:r>
      <w:r w:rsidR="000A7AAB" w:rsidRPr="002C4077">
        <w:t xml:space="preserve"> </w:t>
      </w:r>
      <w:r w:rsidR="000A7AAB">
        <w:t>poivre.</w:t>
      </w:r>
      <w:r w:rsidR="000A7AAB" w:rsidRPr="002C4077">
        <w:t xml:space="preserve"> </w:t>
      </w:r>
      <w:r w:rsidR="000A7AAB">
        <w:t>Partout</w:t>
      </w:r>
      <w:r w:rsidR="000A7AAB" w:rsidRPr="002C4077">
        <w:t xml:space="preserve"> </w:t>
      </w:r>
      <w:r w:rsidR="000A7AAB">
        <w:t>où</w:t>
      </w:r>
      <w:r w:rsidR="000A7AAB" w:rsidRPr="002C4077">
        <w:t xml:space="preserve"> </w:t>
      </w:r>
      <w:r w:rsidR="000A7AAB">
        <w:t>la</w:t>
      </w:r>
      <w:r w:rsidR="000A7AAB" w:rsidRPr="002C4077">
        <w:t xml:space="preserve"> </w:t>
      </w:r>
      <w:r w:rsidR="000A7AAB">
        <w:t>devanture</w:t>
      </w:r>
      <w:r w:rsidR="000A7AAB" w:rsidRPr="002C4077">
        <w:t xml:space="preserve"> </w:t>
      </w:r>
      <w:r w:rsidR="000A7AAB">
        <w:t>des</w:t>
      </w:r>
      <w:r w:rsidR="000A7AAB" w:rsidRPr="002C4077">
        <w:t xml:space="preserve"> </w:t>
      </w:r>
      <w:r w:rsidR="000A7AAB">
        <w:t>maisons</w:t>
      </w:r>
      <w:r w:rsidR="000A7AAB" w:rsidRPr="002C4077">
        <w:t xml:space="preserve"> </w:t>
      </w:r>
      <w:r w:rsidR="00425C50">
        <w:t>est</w:t>
      </w:r>
      <w:r w:rsidR="000A7AAB" w:rsidRPr="002C4077">
        <w:t xml:space="preserve"> </w:t>
      </w:r>
      <w:r w:rsidR="000A7AAB">
        <w:t>libre,</w:t>
      </w:r>
      <w:r w:rsidR="000A7AAB" w:rsidRPr="002C4077">
        <w:t xml:space="preserve"> </w:t>
      </w:r>
      <w:r w:rsidR="000A7AAB">
        <w:t>les</w:t>
      </w:r>
      <w:r w:rsidR="000A7AAB" w:rsidRPr="002C4077">
        <w:t xml:space="preserve"> </w:t>
      </w:r>
      <w:r w:rsidR="000A7AAB">
        <w:t>ouvriers,</w:t>
      </w:r>
      <w:r w:rsidR="000A7AAB" w:rsidRPr="002C4077">
        <w:t xml:space="preserve"> </w:t>
      </w:r>
      <w:r w:rsidR="000A7AAB">
        <w:t>si</w:t>
      </w:r>
      <w:r w:rsidR="000A7AAB" w:rsidRPr="002C4077">
        <w:t xml:space="preserve"> </w:t>
      </w:r>
      <w:r w:rsidR="000A7AAB">
        <w:t>leur</w:t>
      </w:r>
      <w:r w:rsidR="000A7AAB" w:rsidRPr="002C4077">
        <w:t xml:space="preserve"> </w:t>
      </w:r>
      <w:r w:rsidR="000A7AAB">
        <w:t>profession</w:t>
      </w:r>
      <w:r w:rsidR="000A7AAB" w:rsidRPr="002C4077">
        <w:t xml:space="preserve"> </w:t>
      </w:r>
      <w:r w:rsidR="000A7AAB">
        <w:t>le</w:t>
      </w:r>
      <w:r w:rsidR="000A7AAB" w:rsidRPr="002C4077">
        <w:t xml:space="preserve"> </w:t>
      </w:r>
      <w:r w:rsidR="000A7AAB">
        <w:t>leur</w:t>
      </w:r>
      <w:r w:rsidR="000A7AAB" w:rsidRPr="002C4077">
        <w:t xml:space="preserve"> </w:t>
      </w:r>
      <w:r w:rsidR="000A7AAB">
        <w:t>permet,</w:t>
      </w:r>
      <w:r w:rsidR="000A7AAB" w:rsidRPr="002C4077">
        <w:t xml:space="preserve"> </w:t>
      </w:r>
      <w:r w:rsidR="000A7AAB">
        <w:t>ont</w:t>
      </w:r>
      <w:r w:rsidR="000A7AAB" w:rsidRPr="002C4077">
        <w:t xml:space="preserve"> </w:t>
      </w:r>
      <w:r w:rsidR="000A7AAB">
        <w:t>transporté</w:t>
      </w:r>
      <w:r w:rsidR="000A7AAB" w:rsidRPr="002C4077">
        <w:t xml:space="preserve"> </w:t>
      </w:r>
      <w:r w:rsidR="000A7AAB">
        <w:t>leur</w:t>
      </w:r>
      <w:r w:rsidR="000A7AAB" w:rsidRPr="002C4077">
        <w:t xml:space="preserve"> </w:t>
      </w:r>
      <w:r w:rsidR="000A7AAB">
        <w:t>ouvrage</w:t>
      </w:r>
      <w:r w:rsidR="000A7AAB" w:rsidRPr="002C4077">
        <w:t xml:space="preserve"> </w:t>
      </w:r>
      <w:r w:rsidR="000A7AAB">
        <w:t>dans</w:t>
      </w:r>
      <w:r w:rsidR="000A7AAB" w:rsidRPr="002C4077">
        <w:t xml:space="preserve"> </w:t>
      </w:r>
      <w:r w:rsidR="000A7AAB">
        <w:t>la</w:t>
      </w:r>
      <w:r w:rsidR="000A7AAB" w:rsidRPr="002C4077">
        <w:t xml:space="preserve"> </w:t>
      </w:r>
      <w:r w:rsidR="000A7AAB">
        <w:t>rue,</w:t>
      </w:r>
      <w:r w:rsidR="000A7AAB" w:rsidRPr="002C4077">
        <w:t xml:space="preserve"> </w:t>
      </w:r>
      <w:r w:rsidR="000A7AAB">
        <w:t>et</w:t>
      </w:r>
      <w:r w:rsidR="000A7AAB" w:rsidRPr="002C4077">
        <w:t xml:space="preserve"> </w:t>
      </w:r>
      <w:r w:rsidR="000A7AAB">
        <w:t>ils</w:t>
      </w:r>
      <w:r w:rsidR="000A7AAB" w:rsidRPr="002C4077">
        <w:t xml:space="preserve"> </w:t>
      </w:r>
      <w:r w:rsidR="000A7AAB">
        <w:t>travaillent</w:t>
      </w:r>
      <w:r w:rsidR="000A7AAB" w:rsidRPr="002C4077">
        <w:t xml:space="preserve"> </w:t>
      </w:r>
      <w:r w:rsidR="000A7AAB">
        <w:t>avec</w:t>
      </w:r>
      <w:r w:rsidR="000A7AAB" w:rsidRPr="002C4077">
        <w:t xml:space="preserve"> </w:t>
      </w:r>
      <w:r w:rsidR="000A7AAB">
        <w:t>ardeur.</w:t>
      </w:r>
      <w:r w:rsidR="000A7AAB" w:rsidRPr="002C4077">
        <w:t xml:space="preserve"> </w:t>
      </w:r>
      <w:r w:rsidR="000A7AAB">
        <w:t>Ici</w:t>
      </w:r>
      <w:r w:rsidR="000A7AAB" w:rsidRPr="002C4077">
        <w:t xml:space="preserve"> </w:t>
      </w:r>
      <w:r w:rsidR="000A7AAB">
        <w:t>un</w:t>
      </w:r>
      <w:r w:rsidR="000A7AAB" w:rsidRPr="002C4077">
        <w:t xml:space="preserve"> </w:t>
      </w:r>
      <w:r w:rsidR="000A7AAB">
        <w:t>cordonnier</w:t>
      </w:r>
      <w:r w:rsidR="000A7AAB" w:rsidRPr="002C4077">
        <w:t xml:space="preserve"> </w:t>
      </w:r>
      <w:r w:rsidR="000A7AAB">
        <w:t>fixe</w:t>
      </w:r>
      <w:r w:rsidR="000A7AAB" w:rsidRPr="002C4077">
        <w:t xml:space="preserve"> </w:t>
      </w:r>
      <w:r w:rsidR="000A7AAB">
        <w:t>à</w:t>
      </w:r>
      <w:r w:rsidR="000A7AAB" w:rsidRPr="002C4077">
        <w:t xml:space="preserve"> </w:t>
      </w:r>
      <w:r w:rsidR="000A7AAB">
        <w:t>grands</w:t>
      </w:r>
      <w:r w:rsidR="000A7AAB" w:rsidRPr="002C4077">
        <w:t xml:space="preserve"> </w:t>
      </w:r>
      <w:r w:rsidR="000A7AAB">
        <w:t>coups</w:t>
      </w:r>
      <w:r w:rsidR="000A7AAB" w:rsidRPr="002C4077">
        <w:t xml:space="preserve"> </w:t>
      </w:r>
      <w:r w:rsidR="000A7AAB">
        <w:t>de</w:t>
      </w:r>
      <w:r w:rsidR="000A7AAB" w:rsidRPr="002C4077">
        <w:t xml:space="preserve"> </w:t>
      </w:r>
      <w:r w:rsidR="000A7AAB">
        <w:t>marteau</w:t>
      </w:r>
      <w:r w:rsidR="000A7AAB" w:rsidRPr="002C4077">
        <w:t xml:space="preserve"> </w:t>
      </w:r>
      <w:r w:rsidR="000A7AAB">
        <w:t>l’empeigne</w:t>
      </w:r>
      <w:r w:rsidR="000A7AAB" w:rsidRPr="002C4077">
        <w:t xml:space="preserve"> </w:t>
      </w:r>
      <w:r w:rsidR="000A7AAB">
        <w:t>d’une</w:t>
      </w:r>
      <w:r w:rsidR="000A7AAB" w:rsidRPr="002C4077">
        <w:t xml:space="preserve"> </w:t>
      </w:r>
      <w:r w:rsidR="000A7AAB">
        <w:t>sandale</w:t>
      </w:r>
      <w:r>
        <w:t> ;</w:t>
      </w:r>
      <w:r w:rsidR="000A7AAB" w:rsidRPr="002C4077">
        <w:t xml:space="preserve"> </w:t>
      </w:r>
      <w:r w:rsidR="000A7AAB">
        <w:t>là</w:t>
      </w:r>
      <w:r w:rsidR="000A7AAB" w:rsidRPr="002C4077">
        <w:t xml:space="preserve"> </w:t>
      </w:r>
      <w:r w:rsidR="000A7AAB">
        <w:t>un</w:t>
      </w:r>
      <w:r w:rsidR="000A7AAB" w:rsidRPr="002C4077">
        <w:t xml:space="preserve"> </w:t>
      </w:r>
      <w:r w:rsidR="000A7AAB">
        <w:t>tailleur</w:t>
      </w:r>
      <w:r w:rsidR="000A7AAB" w:rsidRPr="002C4077">
        <w:t xml:space="preserve"> </w:t>
      </w:r>
      <w:r w:rsidR="000A7AAB">
        <w:t>coud</w:t>
      </w:r>
      <w:r w:rsidR="000A7AAB" w:rsidRPr="002C4077">
        <w:t xml:space="preserve"> </w:t>
      </w:r>
      <w:r w:rsidR="000A7AAB">
        <w:t>des</w:t>
      </w:r>
      <w:r w:rsidR="000A7AAB" w:rsidRPr="002C4077">
        <w:t xml:space="preserve"> </w:t>
      </w:r>
      <w:r w:rsidR="000A7AAB">
        <w:t>franges</w:t>
      </w:r>
      <w:r w:rsidR="000A7AAB" w:rsidRPr="002C4077">
        <w:t xml:space="preserve"> </w:t>
      </w:r>
      <w:r w:rsidR="000A7AAB">
        <w:t>ravissantes</w:t>
      </w:r>
      <w:r w:rsidR="000A7AAB" w:rsidRPr="002C4077">
        <w:t xml:space="preserve"> </w:t>
      </w:r>
      <w:r w:rsidR="000A7AAB">
        <w:t>à</w:t>
      </w:r>
      <w:r w:rsidR="000A7AAB" w:rsidRPr="002C4077">
        <w:t xml:space="preserve"> </w:t>
      </w:r>
      <w:r w:rsidR="000A7AAB">
        <w:t>un</w:t>
      </w:r>
      <w:r w:rsidR="000A7AAB" w:rsidRPr="002C4077">
        <w:t xml:space="preserve"> </w:t>
      </w:r>
      <w:r w:rsidR="000A7AAB">
        <w:t>riche</w:t>
      </w:r>
      <w:r w:rsidR="000A7AAB" w:rsidRPr="002C4077">
        <w:t xml:space="preserve"> </w:t>
      </w:r>
      <w:r w:rsidR="000A7AAB">
        <w:t>manteau</w:t>
      </w:r>
      <w:r w:rsidR="000A7AAB" w:rsidRPr="002C4077">
        <w:t xml:space="preserve"> </w:t>
      </w:r>
      <w:r w:rsidR="000A7AAB">
        <w:t>de</w:t>
      </w:r>
      <w:r w:rsidR="000A7AAB" w:rsidRPr="002C4077">
        <w:t xml:space="preserve"> </w:t>
      </w:r>
      <w:r w:rsidR="000A7AAB">
        <w:t>prière</w:t>
      </w:r>
      <w:r w:rsidR="00B91AF7">
        <w:rPr>
          <w:rStyle w:val="Appelnotedebasdep"/>
        </w:rPr>
        <w:footnoteReference w:id="815"/>
      </w:r>
      <w:r>
        <w:t> ;</w:t>
      </w:r>
      <w:r w:rsidR="000A7AAB" w:rsidRPr="002C4077">
        <w:t xml:space="preserve"> </w:t>
      </w:r>
      <w:r w:rsidR="000A7AAB">
        <w:t>ailleurs</w:t>
      </w:r>
      <w:r w:rsidR="000A7AAB" w:rsidRPr="002C4077">
        <w:t xml:space="preserve"> </w:t>
      </w:r>
      <w:r w:rsidR="000A7AAB">
        <w:t>un</w:t>
      </w:r>
      <w:r w:rsidR="000A7AAB" w:rsidRPr="002C4077">
        <w:t xml:space="preserve"> </w:t>
      </w:r>
      <w:r w:rsidR="000A7AAB">
        <w:t>armurier</w:t>
      </w:r>
      <w:r w:rsidR="000A7AAB" w:rsidRPr="002C4077">
        <w:t xml:space="preserve"> </w:t>
      </w:r>
      <w:r w:rsidR="000A7AAB">
        <w:t>travaille</w:t>
      </w:r>
      <w:r w:rsidR="000A7AAB" w:rsidRPr="002C4077">
        <w:t xml:space="preserve"> </w:t>
      </w:r>
      <w:r w:rsidR="000A7AAB">
        <w:t>à</w:t>
      </w:r>
      <w:r w:rsidR="000A7AAB" w:rsidRPr="002C4077">
        <w:t xml:space="preserve"> </w:t>
      </w:r>
      <w:r w:rsidR="000A7AAB">
        <w:t>la</w:t>
      </w:r>
      <w:r w:rsidR="000A7AAB" w:rsidRPr="002C4077">
        <w:t xml:space="preserve"> </w:t>
      </w:r>
      <w:r w:rsidR="000A7AAB">
        <w:t>poignée</w:t>
      </w:r>
      <w:r w:rsidR="000A7AAB" w:rsidRPr="002C4077">
        <w:t xml:space="preserve"> </w:t>
      </w:r>
      <w:r w:rsidR="000A7AAB">
        <w:t>d’un</w:t>
      </w:r>
      <w:r w:rsidR="000A7AAB" w:rsidRPr="002C4077">
        <w:t xml:space="preserve"> </w:t>
      </w:r>
      <w:r w:rsidR="000A7AAB">
        <w:t>glaive</w:t>
      </w:r>
      <w:r w:rsidR="000A7AAB" w:rsidRPr="002C4077">
        <w:t xml:space="preserve"> </w:t>
      </w:r>
      <w:r w:rsidR="000A7AAB">
        <w:t>en</w:t>
      </w:r>
      <w:r w:rsidR="000A7AAB" w:rsidRPr="002C4077">
        <w:t xml:space="preserve"> </w:t>
      </w:r>
      <w:r w:rsidR="000A7AAB">
        <w:t>fer</w:t>
      </w:r>
      <w:r w:rsidR="000A7AAB" w:rsidRPr="002C4077">
        <w:t xml:space="preserve"> </w:t>
      </w:r>
      <w:r w:rsidR="000A7AAB">
        <w:t>de</w:t>
      </w:r>
      <w:r w:rsidR="000A7AAB" w:rsidRPr="002C4077">
        <w:t xml:space="preserve"> </w:t>
      </w:r>
      <w:r w:rsidR="000A7AAB">
        <w:t>Syrie.</w:t>
      </w:r>
      <w:r w:rsidR="000A7AAB" w:rsidRPr="002C4077">
        <w:t xml:space="preserve"> </w:t>
      </w:r>
    </w:p>
    <w:p w:rsidR="000A7AAB" w:rsidRDefault="00B546AF" w:rsidP="000A7AAB">
      <w:r>
        <w:t>« </w:t>
      </w:r>
      <w:r w:rsidR="000A7AAB">
        <w:t>Le</w:t>
      </w:r>
      <w:r w:rsidR="000A7AAB" w:rsidRPr="002C4077">
        <w:t xml:space="preserve"> </w:t>
      </w:r>
      <w:r w:rsidR="000A7AAB">
        <w:t>marché</w:t>
      </w:r>
      <w:r w:rsidR="000A7AAB" w:rsidRPr="002C4077">
        <w:t xml:space="preserve"> </w:t>
      </w:r>
      <w:r w:rsidR="000A7AAB">
        <w:t>devient</w:t>
      </w:r>
      <w:r w:rsidR="000A7AAB" w:rsidRPr="002C4077">
        <w:t xml:space="preserve"> </w:t>
      </w:r>
      <w:r w:rsidR="000A7AAB">
        <w:t>de</w:t>
      </w:r>
      <w:r w:rsidR="000A7AAB" w:rsidRPr="002C4077">
        <w:t xml:space="preserve"> </w:t>
      </w:r>
      <w:r w:rsidR="000A7AAB">
        <w:t>plus</w:t>
      </w:r>
      <w:r w:rsidR="000A7AAB" w:rsidRPr="002C4077">
        <w:t xml:space="preserve"> </w:t>
      </w:r>
      <w:r w:rsidR="000A7AAB">
        <w:t>en</w:t>
      </w:r>
      <w:r w:rsidR="000A7AAB" w:rsidRPr="002C4077">
        <w:t xml:space="preserve"> </w:t>
      </w:r>
      <w:r w:rsidR="000A7AAB">
        <w:t>plus</w:t>
      </w:r>
      <w:r w:rsidR="000A7AAB" w:rsidRPr="002C4077">
        <w:t xml:space="preserve"> </w:t>
      </w:r>
      <w:r w:rsidR="000A7AAB">
        <w:t>animé</w:t>
      </w:r>
      <w:r>
        <w:t> :</w:t>
      </w:r>
      <w:r w:rsidR="000A7AAB" w:rsidRPr="002C4077">
        <w:t xml:space="preserve"> </w:t>
      </w:r>
      <w:r w:rsidR="000A7AAB">
        <w:t>de</w:t>
      </w:r>
      <w:r w:rsidR="000A7AAB" w:rsidRPr="002C4077">
        <w:t xml:space="preserve"> </w:t>
      </w:r>
      <w:r w:rsidR="000A7AAB">
        <w:t>toutes</w:t>
      </w:r>
      <w:r w:rsidR="000A7AAB" w:rsidRPr="002C4077">
        <w:t xml:space="preserve"> </w:t>
      </w:r>
      <w:r w:rsidR="000A7AAB">
        <w:t>les</w:t>
      </w:r>
      <w:r w:rsidR="000A7AAB" w:rsidRPr="002C4077">
        <w:t xml:space="preserve"> </w:t>
      </w:r>
      <w:r w:rsidR="000A7AAB">
        <w:t>parties</w:t>
      </w:r>
      <w:r w:rsidR="000A7AAB" w:rsidRPr="002C4077">
        <w:t xml:space="preserve"> </w:t>
      </w:r>
      <w:r w:rsidR="000A7AAB">
        <w:t>de</w:t>
      </w:r>
      <w:r w:rsidR="000A7AAB" w:rsidRPr="002C4077">
        <w:t xml:space="preserve"> </w:t>
      </w:r>
      <w:r w:rsidR="000A7AAB">
        <w:t>la</w:t>
      </w:r>
      <w:r w:rsidR="000A7AAB" w:rsidRPr="002C4077">
        <w:t xml:space="preserve"> </w:t>
      </w:r>
      <w:r w:rsidR="000A7AAB">
        <w:t>ville</w:t>
      </w:r>
      <w:r w:rsidR="000A7AAB" w:rsidRPr="002C4077">
        <w:t xml:space="preserve"> </w:t>
      </w:r>
      <w:r w:rsidR="000A7AAB">
        <w:t>accourent</w:t>
      </w:r>
      <w:r w:rsidR="000A7AAB" w:rsidRPr="002C4077">
        <w:t xml:space="preserve"> </w:t>
      </w:r>
      <w:r w:rsidR="000A7AAB">
        <w:t>vendeurs,</w:t>
      </w:r>
      <w:r w:rsidR="000A7AAB" w:rsidRPr="002C4077">
        <w:t xml:space="preserve"> </w:t>
      </w:r>
      <w:r w:rsidR="000A7AAB">
        <w:t>acheteurs</w:t>
      </w:r>
      <w:r w:rsidR="000A7AAB" w:rsidRPr="002C4077">
        <w:t xml:space="preserve"> </w:t>
      </w:r>
      <w:r w:rsidR="000A7AAB">
        <w:t>ou</w:t>
      </w:r>
      <w:r w:rsidR="000A7AAB" w:rsidRPr="002C4077">
        <w:t xml:space="preserve"> </w:t>
      </w:r>
      <w:r w:rsidR="000A7AAB">
        <w:t>curieux.</w:t>
      </w:r>
      <w:r w:rsidR="000A7AAB" w:rsidRPr="002C4077">
        <w:t xml:space="preserve"> </w:t>
      </w:r>
      <w:r w:rsidR="000A7AAB">
        <w:t>Dans</w:t>
      </w:r>
      <w:r w:rsidR="000A7AAB" w:rsidRPr="002C4077">
        <w:t xml:space="preserve"> </w:t>
      </w:r>
      <w:r w:rsidR="000A7AAB">
        <w:t>un</w:t>
      </w:r>
      <w:r w:rsidR="000A7AAB" w:rsidRPr="002C4077">
        <w:t xml:space="preserve"> </w:t>
      </w:r>
      <w:r w:rsidR="000A7AAB">
        <w:t>coin</w:t>
      </w:r>
      <w:r w:rsidR="000A7AAB" w:rsidRPr="002C4077">
        <w:t xml:space="preserve"> </w:t>
      </w:r>
      <w:r w:rsidR="000A7AAB">
        <w:t>se</w:t>
      </w:r>
      <w:r w:rsidR="000A7AAB" w:rsidRPr="002C4077">
        <w:t xml:space="preserve"> </w:t>
      </w:r>
      <w:r w:rsidR="000A7AAB">
        <w:t>tiennent</w:t>
      </w:r>
      <w:r w:rsidR="000A7AAB" w:rsidRPr="002C4077">
        <w:t xml:space="preserve"> </w:t>
      </w:r>
      <w:r w:rsidR="000A7AAB">
        <w:t>les</w:t>
      </w:r>
      <w:r w:rsidR="000A7AAB" w:rsidRPr="002C4077">
        <w:t xml:space="preserve"> </w:t>
      </w:r>
      <w:r w:rsidR="000A7AAB">
        <w:t>mercenaires.</w:t>
      </w:r>
      <w:r w:rsidR="000A7AAB" w:rsidRPr="002C4077">
        <w:t xml:space="preserve"> </w:t>
      </w:r>
      <w:r w:rsidR="000A7AAB">
        <w:t>L’un</w:t>
      </w:r>
      <w:r w:rsidR="000A7AAB" w:rsidRPr="002C4077">
        <w:t xml:space="preserve"> </w:t>
      </w:r>
      <w:r w:rsidR="000A7AAB">
        <w:t>d’entre</w:t>
      </w:r>
      <w:r w:rsidR="000A7AAB" w:rsidRPr="002C4077">
        <w:t xml:space="preserve"> </w:t>
      </w:r>
      <w:r w:rsidR="000A7AAB">
        <w:t>eux</w:t>
      </w:r>
      <w:r w:rsidR="000A7AAB" w:rsidRPr="002C4077">
        <w:t xml:space="preserve"> </w:t>
      </w:r>
      <w:r w:rsidR="00425C50">
        <w:t>est</w:t>
      </w:r>
      <w:r w:rsidR="000A7AAB" w:rsidRPr="002C4077">
        <w:t xml:space="preserve"> </w:t>
      </w:r>
      <w:r w:rsidR="000A7AAB">
        <w:t>loué</w:t>
      </w:r>
      <w:r w:rsidR="000A7AAB" w:rsidRPr="002C4077">
        <w:t xml:space="preserve"> </w:t>
      </w:r>
      <w:r w:rsidR="000A7AAB">
        <w:t>pour</w:t>
      </w:r>
      <w:r w:rsidR="000A7AAB" w:rsidRPr="002C4077">
        <w:t xml:space="preserve"> </w:t>
      </w:r>
      <w:r w:rsidR="000A7AAB">
        <w:t>arracher</w:t>
      </w:r>
      <w:r w:rsidR="000A7AAB" w:rsidRPr="002C4077">
        <w:t xml:space="preserve"> </w:t>
      </w:r>
      <w:r w:rsidR="000A7AAB">
        <w:t>du</w:t>
      </w:r>
      <w:r w:rsidR="000A7AAB" w:rsidRPr="002C4077">
        <w:t xml:space="preserve"> </w:t>
      </w:r>
      <w:r w:rsidR="000A7AAB">
        <w:t>lin</w:t>
      </w:r>
      <w:r>
        <w:t> ;</w:t>
      </w:r>
      <w:r w:rsidR="000A7AAB" w:rsidRPr="002C4077">
        <w:t xml:space="preserve"> </w:t>
      </w:r>
      <w:r w:rsidR="000A7AAB">
        <w:t>mais</w:t>
      </w:r>
      <w:r w:rsidR="000A7AAB" w:rsidRPr="002C4077">
        <w:t xml:space="preserve"> </w:t>
      </w:r>
      <w:r w:rsidR="000A7AAB">
        <w:t>le</w:t>
      </w:r>
      <w:r w:rsidR="000A7AAB" w:rsidRPr="002C4077">
        <w:t xml:space="preserve"> </w:t>
      </w:r>
      <w:r w:rsidR="000A7AAB">
        <w:t>maître</w:t>
      </w:r>
      <w:r w:rsidR="000A7AAB" w:rsidRPr="002C4077">
        <w:t xml:space="preserve"> </w:t>
      </w:r>
      <w:r w:rsidR="000A7AAB">
        <w:t>lui</w:t>
      </w:r>
      <w:r w:rsidR="000A7AAB" w:rsidRPr="002C4077">
        <w:t xml:space="preserve"> </w:t>
      </w:r>
      <w:r w:rsidR="000A7AAB">
        <w:t>dit</w:t>
      </w:r>
      <w:r>
        <w:t> :</w:t>
      </w:r>
      <w:r w:rsidR="000A7AAB" w:rsidRPr="002C4077">
        <w:t xml:space="preserve"> </w:t>
      </w:r>
      <w:r w:rsidR="000A7AAB">
        <w:t>Du</w:t>
      </w:r>
      <w:r w:rsidR="000A7AAB" w:rsidRPr="002C4077">
        <w:t xml:space="preserve"> </w:t>
      </w:r>
      <w:r w:rsidR="000A7AAB">
        <w:t>pain</w:t>
      </w:r>
      <w:r w:rsidR="000A7AAB" w:rsidRPr="002C4077">
        <w:t xml:space="preserve"> </w:t>
      </w:r>
      <w:r w:rsidR="000A7AAB">
        <w:t>et</w:t>
      </w:r>
      <w:r w:rsidR="000A7AAB" w:rsidRPr="002C4077">
        <w:t xml:space="preserve"> </w:t>
      </w:r>
      <w:r w:rsidR="000A7AAB">
        <w:t>des</w:t>
      </w:r>
      <w:r w:rsidR="000A7AAB" w:rsidRPr="002C4077">
        <w:t xml:space="preserve"> </w:t>
      </w:r>
      <w:r w:rsidR="000A7AAB">
        <w:t>pois,</w:t>
      </w:r>
      <w:r w:rsidR="000A7AAB" w:rsidRPr="002C4077">
        <w:t xml:space="preserve"> </w:t>
      </w:r>
      <w:r w:rsidR="000A7AAB">
        <w:t>voilà</w:t>
      </w:r>
      <w:r w:rsidR="000A7AAB" w:rsidRPr="002C4077">
        <w:t xml:space="preserve"> </w:t>
      </w:r>
      <w:r w:rsidR="000A7AAB">
        <w:t>tout</w:t>
      </w:r>
      <w:r w:rsidR="000A7AAB" w:rsidRPr="002C4077">
        <w:t xml:space="preserve"> </w:t>
      </w:r>
      <w:r w:rsidR="000A7AAB">
        <w:t>ce</w:t>
      </w:r>
      <w:r w:rsidR="000A7AAB" w:rsidRPr="002C4077">
        <w:t xml:space="preserve"> </w:t>
      </w:r>
      <w:r w:rsidR="000A7AAB">
        <w:t>qu’on</w:t>
      </w:r>
      <w:r w:rsidR="000A7AAB" w:rsidRPr="002C4077">
        <w:t xml:space="preserve"> </w:t>
      </w:r>
      <w:r w:rsidR="000A7AAB">
        <w:t>mange</w:t>
      </w:r>
      <w:r w:rsidR="000A7AAB" w:rsidRPr="002C4077">
        <w:t xml:space="preserve"> </w:t>
      </w:r>
      <w:r w:rsidR="000A7AAB">
        <w:t>chez</w:t>
      </w:r>
      <w:r w:rsidR="000A7AAB" w:rsidRPr="002C4077">
        <w:t xml:space="preserve"> </w:t>
      </w:r>
      <w:r w:rsidR="00B047B7">
        <w:t>moi</w:t>
      </w:r>
      <w:r w:rsidR="00B047B7">
        <w:rPr>
          <w:rStyle w:val="Appelnotedebasdep"/>
        </w:rPr>
        <w:footnoteReference w:id="816"/>
      </w:r>
      <w:r w:rsidR="000A7AAB">
        <w:t>.</w:t>
      </w:r>
      <w:r w:rsidR="000A7AAB" w:rsidRPr="002C4077">
        <w:t xml:space="preserve"> </w:t>
      </w:r>
      <w:r w:rsidR="000A7AAB">
        <w:t>Près</w:t>
      </w:r>
      <w:r w:rsidR="000A7AAB" w:rsidRPr="002C4077">
        <w:t xml:space="preserve"> </w:t>
      </w:r>
      <w:r w:rsidR="000A7AAB">
        <w:t>de</w:t>
      </w:r>
      <w:r w:rsidR="000A7AAB" w:rsidRPr="002C4077">
        <w:t xml:space="preserve"> </w:t>
      </w:r>
      <w:r w:rsidR="000A7AAB">
        <w:t>la</w:t>
      </w:r>
      <w:r w:rsidR="000A7AAB" w:rsidRPr="002C4077">
        <w:t xml:space="preserve"> </w:t>
      </w:r>
      <w:r w:rsidR="000A7AAB">
        <w:t>porte</w:t>
      </w:r>
      <w:r w:rsidR="000A7AAB" w:rsidRPr="002C4077">
        <w:t xml:space="preserve"> </w:t>
      </w:r>
      <w:r w:rsidR="000A7AAB">
        <w:t>d</w:t>
      </w:r>
      <w:r w:rsidR="001730C6">
        <w:t>u</w:t>
      </w:r>
      <w:r w:rsidR="000F4CEC" w:rsidRPr="002C4077">
        <w:t xml:space="preserve"> </w:t>
      </w:r>
      <w:r w:rsidR="001730C6">
        <w:t>m</w:t>
      </w:r>
      <w:r w:rsidR="000A7AAB">
        <w:t>arché,</w:t>
      </w:r>
      <w:r w:rsidR="000A7AAB" w:rsidRPr="002C4077">
        <w:t xml:space="preserve"> </w:t>
      </w:r>
      <w:r w:rsidR="000A7AAB">
        <w:t>c’est-à-dire</w:t>
      </w:r>
      <w:r w:rsidR="000A7AAB" w:rsidRPr="002C4077">
        <w:t xml:space="preserve"> </w:t>
      </w:r>
      <w:r w:rsidR="000A7AAB">
        <w:t>tout</w:t>
      </w:r>
      <w:r w:rsidR="000A7AAB" w:rsidRPr="002C4077">
        <w:t xml:space="preserve"> </w:t>
      </w:r>
      <w:r w:rsidR="000A7AAB">
        <w:t>à</w:t>
      </w:r>
      <w:r w:rsidR="000A7AAB" w:rsidRPr="002C4077">
        <w:t xml:space="preserve"> </w:t>
      </w:r>
      <w:r w:rsidR="000A7AAB">
        <w:t>fait</w:t>
      </w:r>
      <w:r w:rsidR="000A7AAB" w:rsidRPr="002C4077">
        <w:t xml:space="preserve"> </w:t>
      </w:r>
      <w:r w:rsidR="000A7AAB">
        <w:t>au</w:t>
      </w:r>
      <w:r w:rsidR="000A7AAB" w:rsidRPr="002C4077">
        <w:t xml:space="preserve"> </w:t>
      </w:r>
      <w:r w:rsidR="000A7AAB">
        <w:t>centre</w:t>
      </w:r>
      <w:r w:rsidR="000A7AAB" w:rsidRPr="002C4077">
        <w:t xml:space="preserve"> </w:t>
      </w:r>
      <w:r w:rsidR="000A7AAB">
        <w:t>de</w:t>
      </w:r>
      <w:r w:rsidR="000A7AAB" w:rsidRPr="002C4077">
        <w:t xml:space="preserve"> </w:t>
      </w:r>
      <w:r w:rsidR="000A7AAB">
        <w:t>la</w:t>
      </w:r>
      <w:r w:rsidR="000A7AAB" w:rsidRPr="002C4077">
        <w:t xml:space="preserve"> </w:t>
      </w:r>
      <w:r w:rsidR="000A7AAB">
        <w:t>ville,</w:t>
      </w:r>
      <w:r w:rsidR="000A7AAB" w:rsidRPr="002C4077">
        <w:t xml:space="preserve"> </w:t>
      </w:r>
      <w:r w:rsidR="000A7AAB">
        <w:t>se</w:t>
      </w:r>
      <w:r w:rsidR="000A7AAB" w:rsidRPr="002C4077">
        <w:t xml:space="preserve"> </w:t>
      </w:r>
      <w:r w:rsidR="000A7AAB">
        <w:t>tient</w:t>
      </w:r>
      <w:r w:rsidR="000A7AAB" w:rsidRPr="002C4077">
        <w:t xml:space="preserve"> </w:t>
      </w:r>
      <w:r w:rsidR="000A7AAB">
        <w:t>aussi</w:t>
      </w:r>
      <w:r w:rsidR="000A7AAB" w:rsidRPr="002C4077">
        <w:t xml:space="preserve"> </w:t>
      </w:r>
      <w:r w:rsidR="000A7AAB">
        <w:t>la</w:t>
      </w:r>
      <w:r w:rsidR="000A7AAB" w:rsidRPr="002C4077">
        <w:t xml:space="preserve"> </w:t>
      </w:r>
      <w:r w:rsidR="000A7AAB">
        <w:t>troupe</w:t>
      </w:r>
      <w:r w:rsidR="000A7AAB" w:rsidRPr="002C4077">
        <w:t xml:space="preserve"> </w:t>
      </w:r>
      <w:r w:rsidR="000A7AAB">
        <w:t>rusée</w:t>
      </w:r>
      <w:r w:rsidR="000A7AAB" w:rsidRPr="002C4077">
        <w:t xml:space="preserve"> </w:t>
      </w:r>
      <w:r w:rsidR="000A7AAB">
        <w:t>des</w:t>
      </w:r>
      <w:r w:rsidR="000A7AAB" w:rsidRPr="002C4077">
        <w:t xml:space="preserve"> </w:t>
      </w:r>
      <w:r w:rsidR="000A7AAB">
        <w:t>muletiers.</w:t>
      </w:r>
      <w:r w:rsidR="000A7AAB" w:rsidRPr="002C4077">
        <w:t xml:space="preserve"> </w:t>
      </w:r>
      <w:r w:rsidR="000A7AAB">
        <w:t>L’un</w:t>
      </w:r>
      <w:r w:rsidR="000A7AAB" w:rsidRPr="002C4077">
        <w:t xml:space="preserve"> </w:t>
      </w:r>
      <w:r w:rsidR="000A7AAB">
        <w:t>d’eux</w:t>
      </w:r>
      <w:r w:rsidR="000A7AAB" w:rsidRPr="002C4077">
        <w:t xml:space="preserve"> </w:t>
      </w:r>
      <w:r w:rsidR="000A7AAB">
        <w:t>vient</w:t>
      </w:r>
      <w:r w:rsidR="000A7AAB" w:rsidRPr="002C4077">
        <w:t xml:space="preserve"> </w:t>
      </w:r>
      <w:r w:rsidR="000A7AAB">
        <w:t>d’avoir</w:t>
      </w:r>
      <w:r w:rsidR="000A7AAB" w:rsidRPr="002C4077">
        <w:t xml:space="preserve"> </w:t>
      </w:r>
      <w:r w:rsidR="000A7AAB">
        <w:t>la</w:t>
      </w:r>
      <w:r w:rsidR="000A7AAB" w:rsidRPr="002C4077">
        <w:t xml:space="preserve"> </w:t>
      </w:r>
      <w:r w:rsidR="000A7AAB">
        <w:t>bonne</w:t>
      </w:r>
      <w:r w:rsidR="000A7AAB" w:rsidRPr="002C4077">
        <w:t xml:space="preserve"> </w:t>
      </w:r>
      <w:r w:rsidR="000A7AAB">
        <w:t>fortune</w:t>
      </w:r>
      <w:r w:rsidR="000A7AAB" w:rsidRPr="002C4077">
        <w:t xml:space="preserve"> </w:t>
      </w:r>
      <w:r w:rsidR="000A7AAB">
        <w:t>d’être</w:t>
      </w:r>
      <w:r w:rsidR="000A7AAB" w:rsidRPr="002C4077">
        <w:t xml:space="preserve"> </w:t>
      </w:r>
      <w:r w:rsidR="000A7AAB">
        <w:t>choisi</w:t>
      </w:r>
      <w:r w:rsidR="000A7AAB" w:rsidRPr="002C4077">
        <w:t xml:space="preserve"> </w:t>
      </w:r>
      <w:r w:rsidR="000A7AAB">
        <w:t>pour</w:t>
      </w:r>
      <w:r w:rsidR="000A7AAB" w:rsidRPr="002C4077">
        <w:t xml:space="preserve"> </w:t>
      </w:r>
      <w:r w:rsidR="000A7AAB">
        <w:t>transporter</w:t>
      </w:r>
      <w:r w:rsidR="000A7AAB" w:rsidRPr="002C4077">
        <w:t xml:space="preserve"> </w:t>
      </w:r>
      <w:r w:rsidR="000A7AAB">
        <w:t>à</w:t>
      </w:r>
      <w:r w:rsidR="000A7AAB" w:rsidRPr="002C4077">
        <w:t xml:space="preserve"> </w:t>
      </w:r>
      <w:r w:rsidR="000A7AAB">
        <w:t>Béthanie</w:t>
      </w:r>
      <w:r w:rsidR="000A7AAB" w:rsidRPr="002C4077">
        <w:t xml:space="preserve"> </w:t>
      </w:r>
      <w:r w:rsidR="000A7AAB">
        <w:t>un</w:t>
      </w:r>
      <w:r w:rsidR="000A7AAB" w:rsidRPr="002C4077">
        <w:t xml:space="preserve"> </w:t>
      </w:r>
      <w:r w:rsidR="000A7AAB">
        <w:t>bois</w:t>
      </w:r>
      <w:r w:rsidR="000A7AAB" w:rsidRPr="002C4077">
        <w:t xml:space="preserve"> </w:t>
      </w:r>
      <w:r w:rsidR="000A7AAB">
        <w:t>de</w:t>
      </w:r>
      <w:r w:rsidR="000A7AAB" w:rsidRPr="002C4077">
        <w:t xml:space="preserve"> </w:t>
      </w:r>
      <w:r w:rsidR="000A7AAB">
        <w:t>lit</w:t>
      </w:r>
      <w:r w:rsidR="000A7AAB" w:rsidRPr="002C4077">
        <w:t xml:space="preserve"> </w:t>
      </w:r>
      <w:r w:rsidR="000A7AAB">
        <w:t>et</w:t>
      </w:r>
      <w:r w:rsidR="000A7AAB" w:rsidRPr="002C4077">
        <w:t xml:space="preserve"> </w:t>
      </w:r>
      <w:r w:rsidR="000A7AAB">
        <w:t>d’autres</w:t>
      </w:r>
      <w:r w:rsidR="000A7AAB" w:rsidRPr="002C4077">
        <w:t xml:space="preserve"> </w:t>
      </w:r>
      <w:r w:rsidR="000A7AAB">
        <w:t>meubles,</w:t>
      </w:r>
      <w:r w:rsidR="000A7AAB" w:rsidRPr="002C4077">
        <w:t xml:space="preserve"> </w:t>
      </w:r>
      <w:r w:rsidR="000A7AAB">
        <w:t>comme</w:t>
      </w:r>
      <w:r w:rsidR="000A7AAB" w:rsidRPr="002C4077">
        <w:t xml:space="preserve"> </w:t>
      </w:r>
      <w:r w:rsidR="000A7AAB">
        <w:t>aussi</w:t>
      </w:r>
      <w:r w:rsidR="000A7AAB" w:rsidRPr="002C4077">
        <w:t xml:space="preserve"> </w:t>
      </w:r>
      <w:r w:rsidR="000A7AAB">
        <w:t>les</w:t>
      </w:r>
      <w:r w:rsidR="000A7AAB" w:rsidRPr="002C4077">
        <w:t xml:space="preserve"> </w:t>
      </w:r>
      <w:r w:rsidR="000A7AAB">
        <w:t>flûtes</w:t>
      </w:r>
      <w:r w:rsidR="000A7AAB" w:rsidRPr="002C4077">
        <w:t xml:space="preserve"> </w:t>
      </w:r>
      <w:r w:rsidR="000A7AAB">
        <w:t>indispensables</w:t>
      </w:r>
      <w:r w:rsidR="000A7AAB" w:rsidRPr="002C4077">
        <w:t xml:space="preserve"> </w:t>
      </w:r>
      <w:r w:rsidR="000A7AAB">
        <w:t>pour</w:t>
      </w:r>
      <w:r w:rsidR="000A7AAB" w:rsidRPr="002C4077">
        <w:t xml:space="preserve"> </w:t>
      </w:r>
      <w:r w:rsidR="000A7AAB">
        <w:t>un</w:t>
      </w:r>
      <w:r w:rsidR="000A7AAB" w:rsidRPr="002C4077">
        <w:t xml:space="preserve"> </w:t>
      </w:r>
      <w:r w:rsidR="000A7AAB">
        <w:t>mariage</w:t>
      </w:r>
      <w:r w:rsidR="000A7AAB" w:rsidRPr="002C4077">
        <w:t xml:space="preserve"> </w:t>
      </w:r>
      <w:r w:rsidR="000A7AAB">
        <w:t>qui</w:t>
      </w:r>
      <w:r w:rsidR="000A7AAB" w:rsidRPr="002C4077">
        <w:t xml:space="preserve"> </w:t>
      </w:r>
      <w:r w:rsidR="000A7AAB">
        <w:t>doit</w:t>
      </w:r>
      <w:r w:rsidR="000A7AAB" w:rsidRPr="002C4077">
        <w:t xml:space="preserve"> </w:t>
      </w:r>
      <w:r w:rsidR="000A7AAB">
        <w:t>s’y</w:t>
      </w:r>
      <w:r w:rsidR="000A7AAB" w:rsidRPr="002C4077">
        <w:t xml:space="preserve"> </w:t>
      </w:r>
      <w:r w:rsidR="000A7AAB">
        <w:t>célébrer</w:t>
      </w:r>
      <w:r w:rsidR="00B91AF7">
        <w:rPr>
          <w:rStyle w:val="Appelnotedebasdep"/>
        </w:rPr>
        <w:footnoteReference w:id="817"/>
      </w:r>
      <w:r w:rsidR="000A7AAB">
        <w:t>.</w:t>
      </w:r>
      <w:r w:rsidR="00C45B47">
        <w:t xml:space="preserve"> {</w:t>
      </w:r>
      <w:r w:rsidR="001F5257">
        <w:t>261</w:t>
      </w:r>
      <w:bookmarkStart w:id="633" w:name="p261"/>
      <w:bookmarkEnd w:id="633"/>
      <w:r w:rsidR="001F5257">
        <w:t xml:space="preserve">} </w:t>
      </w:r>
      <w:r w:rsidR="000A7AAB">
        <w:t>On</w:t>
      </w:r>
      <w:r w:rsidR="000A7AAB" w:rsidRPr="002C4077">
        <w:t xml:space="preserve"> </w:t>
      </w:r>
      <w:r w:rsidR="000A7AAB">
        <w:t>peut</w:t>
      </w:r>
      <w:r w:rsidR="000A7AAB" w:rsidRPr="002C4077">
        <w:t xml:space="preserve"> </w:t>
      </w:r>
      <w:r w:rsidR="000A7AAB">
        <w:t>difficilement</w:t>
      </w:r>
      <w:r w:rsidR="000A7AAB" w:rsidRPr="002C4077">
        <w:t xml:space="preserve"> </w:t>
      </w:r>
      <w:r w:rsidR="000A7AAB">
        <w:t>s’approcher</w:t>
      </w:r>
      <w:r w:rsidR="000A7AAB" w:rsidRPr="002C4077">
        <w:t xml:space="preserve"> </w:t>
      </w:r>
      <w:r w:rsidR="000A7AAB">
        <w:t>de</w:t>
      </w:r>
      <w:r w:rsidR="000A7AAB" w:rsidRPr="002C4077">
        <w:t xml:space="preserve"> </w:t>
      </w:r>
      <w:r w:rsidR="000A7AAB">
        <w:t>ce</w:t>
      </w:r>
      <w:r w:rsidR="000A7AAB" w:rsidRPr="002C4077">
        <w:t xml:space="preserve"> </w:t>
      </w:r>
      <w:r w:rsidR="000A7AAB">
        <w:t>groupe</w:t>
      </w:r>
      <w:r w:rsidR="000A7AAB" w:rsidRPr="002C4077">
        <w:t xml:space="preserve"> </w:t>
      </w:r>
      <w:r w:rsidR="000A7AAB">
        <w:t>sans</w:t>
      </w:r>
      <w:r w:rsidR="000A7AAB" w:rsidRPr="002C4077">
        <w:t xml:space="preserve"> </w:t>
      </w:r>
      <w:r w:rsidR="000A7AAB">
        <w:t>entendre</w:t>
      </w:r>
      <w:r w:rsidR="000A7AAB" w:rsidRPr="002C4077">
        <w:t xml:space="preserve"> </w:t>
      </w:r>
      <w:r w:rsidR="000A7AAB">
        <w:t>quelques</w:t>
      </w:r>
      <w:r w:rsidR="000A7AAB" w:rsidRPr="002C4077">
        <w:t xml:space="preserve"> </w:t>
      </w:r>
      <w:r w:rsidR="000A7AAB">
        <w:t>paroles</w:t>
      </w:r>
      <w:r w:rsidR="000A7AAB" w:rsidRPr="002C4077">
        <w:t xml:space="preserve"> </w:t>
      </w:r>
      <w:r w:rsidR="000A7AAB">
        <w:t>piquantes.</w:t>
      </w:r>
      <w:r w:rsidR="000A7AAB" w:rsidRPr="002C4077">
        <w:t xml:space="preserve"> </w:t>
      </w:r>
      <w:r w:rsidR="000A7AAB">
        <w:t>Un</w:t>
      </w:r>
      <w:r w:rsidR="000A7AAB" w:rsidRPr="002C4077">
        <w:t xml:space="preserve"> </w:t>
      </w:r>
      <w:r w:rsidR="000A7AAB">
        <w:t>homme</w:t>
      </w:r>
      <w:r w:rsidR="000A7AAB" w:rsidRPr="002C4077">
        <w:t xml:space="preserve"> </w:t>
      </w:r>
      <w:r w:rsidR="000A7AAB">
        <w:t>à</w:t>
      </w:r>
      <w:r w:rsidR="000A7AAB" w:rsidRPr="002C4077">
        <w:t xml:space="preserve"> </w:t>
      </w:r>
      <w:r w:rsidR="000A7AAB">
        <w:t>l’air</w:t>
      </w:r>
      <w:r w:rsidR="000A7AAB" w:rsidRPr="002C4077">
        <w:t xml:space="preserve"> </w:t>
      </w:r>
      <w:r w:rsidR="000A7AAB">
        <w:t>sérieux</w:t>
      </w:r>
      <w:r w:rsidR="000A7AAB" w:rsidRPr="002C4077">
        <w:t xml:space="preserve"> </w:t>
      </w:r>
      <w:r w:rsidR="000A7AAB">
        <w:t>et</w:t>
      </w:r>
      <w:r w:rsidR="000A7AAB" w:rsidRPr="002C4077">
        <w:t xml:space="preserve"> </w:t>
      </w:r>
      <w:r w:rsidR="000A7AAB">
        <w:t>souffrant</w:t>
      </w:r>
      <w:r w:rsidR="000A7AAB" w:rsidRPr="002C4077">
        <w:t xml:space="preserve"> </w:t>
      </w:r>
      <w:r w:rsidR="000A7AAB">
        <w:t>vient</w:t>
      </w:r>
      <w:r w:rsidR="000A7AAB" w:rsidRPr="002C4077">
        <w:t xml:space="preserve"> </w:t>
      </w:r>
      <w:r w:rsidR="000A7AAB">
        <w:t>à</w:t>
      </w:r>
      <w:r w:rsidR="000A7AAB" w:rsidRPr="002C4077">
        <w:t xml:space="preserve"> </w:t>
      </w:r>
      <w:r w:rsidR="000A7AAB">
        <w:t>passer</w:t>
      </w:r>
      <w:r>
        <w:t> :</w:t>
      </w:r>
      <w:r w:rsidR="000A7AAB" w:rsidRPr="002C4077">
        <w:t xml:space="preserve"> </w:t>
      </w:r>
      <w:r w:rsidR="000A7AAB">
        <w:t>Vous</w:t>
      </w:r>
      <w:r w:rsidR="000A7AAB" w:rsidRPr="002C4077">
        <w:t xml:space="preserve"> </w:t>
      </w:r>
      <w:r w:rsidR="000A7AAB">
        <w:t>avez</w:t>
      </w:r>
      <w:r w:rsidR="000A7AAB" w:rsidRPr="002C4077">
        <w:t xml:space="preserve"> </w:t>
      </w:r>
      <w:r w:rsidR="000A7AAB">
        <w:t>certainement</w:t>
      </w:r>
      <w:r w:rsidR="000A7AAB" w:rsidRPr="002C4077">
        <w:t xml:space="preserve"> </w:t>
      </w:r>
      <w:r w:rsidR="000A7AAB">
        <w:t>eu</w:t>
      </w:r>
      <w:r w:rsidR="000A7AAB" w:rsidRPr="002C4077">
        <w:t xml:space="preserve"> </w:t>
      </w:r>
      <w:r w:rsidR="000A7AAB">
        <w:t>un</w:t>
      </w:r>
      <w:r w:rsidR="000A7AAB" w:rsidRPr="002C4077">
        <w:t xml:space="preserve"> </w:t>
      </w:r>
      <w:r w:rsidR="000A7AAB">
        <w:t>mauvais</w:t>
      </w:r>
      <w:r w:rsidR="000A7AAB" w:rsidRPr="002C4077">
        <w:t xml:space="preserve"> </w:t>
      </w:r>
      <w:r w:rsidR="000A7AAB">
        <w:t>songe,</w:t>
      </w:r>
      <w:r w:rsidR="000A7AAB" w:rsidRPr="002C4077">
        <w:t xml:space="preserve"> </w:t>
      </w:r>
      <w:r w:rsidR="000A7AAB">
        <w:t>dit</w:t>
      </w:r>
      <w:r w:rsidR="000A7AAB" w:rsidRPr="002C4077">
        <w:t xml:space="preserve"> </w:t>
      </w:r>
      <w:r w:rsidR="000A7AAB">
        <w:t>un</w:t>
      </w:r>
      <w:r w:rsidR="000A7AAB" w:rsidRPr="002C4077">
        <w:t xml:space="preserve"> </w:t>
      </w:r>
      <w:r w:rsidR="000A7AAB">
        <w:t>des</w:t>
      </w:r>
      <w:r w:rsidR="000A7AAB" w:rsidRPr="002C4077">
        <w:t xml:space="preserve"> </w:t>
      </w:r>
      <w:r w:rsidR="000A7AAB">
        <w:t>âniers</w:t>
      </w:r>
      <w:r>
        <w:t> ;</w:t>
      </w:r>
      <w:r w:rsidR="000A7AAB" w:rsidRPr="002C4077">
        <w:t xml:space="preserve"> </w:t>
      </w:r>
      <w:r w:rsidR="000A7AAB">
        <w:t>auprès</w:t>
      </w:r>
      <w:r w:rsidR="000A7AAB" w:rsidRPr="002C4077">
        <w:t xml:space="preserve"> </w:t>
      </w:r>
      <w:r w:rsidR="000A7AAB">
        <w:t>duquel</w:t>
      </w:r>
      <w:r w:rsidR="000A7AAB" w:rsidRPr="002C4077">
        <w:t xml:space="preserve"> </w:t>
      </w:r>
      <w:r w:rsidR="000A7AAB">
        <w:t>de</w:t>
      </w:r>
      <w:r w:rsidR="000A7AAB" w:rsidRPr="002C4077">
        <w:t xml:space="preserve"> </w:t>
      </w:r>
      <w:r w:rsidR="000A7AAB">
        <w:t>nos</w:t>
      </w:r>
      <w:r w:rsidR="000A7AAB" w:rsidRPr="002C4077">
        <w:t xml:space="preserve"> </w:t>
      </w:r>
      <w:r w:rsidR="000A7AAB">
        <w:t>vingt-quatre</w:t>
      </w:r>
      <w:r w:rsidR="000A7AAB" w:rsidRPr="002C4077">
        <w:t xml:space="preserve"> </w:t>
      </w:r>
      <w:r w:rsidR="000A7AAB">
        <w:t>devins</w:t>
      </w:r>
      <w:r w:rsidR="000A7AAB" w:rsidRPr="002C4077">
        <w:t xml:space="preserve"> </w:t>
      </w:r>
      <w:r w:rsidR="000A7AAB">
        <w:t>allez-vous</w:t>
      </w:r>
      <w:r w:rsidR="000A7AAB" w:rsidRPr="002C4077">
        <w:t xml:space="preserve"> </w:t>
      </w:r>
      <w:r w:rsidR="000A7AAB">
        <w:t>en</w:t>
      </w:r>
      <w:r w:rsidR="000A7AAB" w:rsidRPr="002C4077">
        <w:t xml:space="preserve"> </w:t>
      </w:r>
      <w:r w:rsidR="000A7AAB">
        <w:t>chercher</w:t>
      </w:r>
      <w:r w:rsidR="000A7AAB" w:rsidRPr="002C4077">
        <w:t xml:space="preserve"> </w:t>
      </w:r>
      <w:r w:rsidR="000A7AAB">
        <w:t>l’explication</w:t>
      </w:r>
      <w:r w:rsidR="00B91AF7">
        <w:rPr>
          <w:rStyle w:val="Appelnotedebasdep"/>
        </w:rPr>
        <w:footnoteReference w:id="818"/>
      </w:r>
      <w:r>
        <w:t> ?</w:t>
      </w:r>
      <w:r w:rsidR="000A7AAB" w:rsidRPr="002C4077">
        <w:t xml:space="preserve"> </w:t>
      </w:r>
      <w:r w:rsidR="000A7AAB">
        <w:t>Un</w:t>
      </w:r>
      <w:r w:rsidR="000A7AAB" w:rsidRPr="002C4077">
        <w:t xml:space="preserve"> </w:t>
      </w:r>
      <w:r w:rsidR="000A7AAB">
        <w:t>mauvais</w:t>
      </w:r>
      <w:r w:rsidR="000A7AAB" w:rsidRPr="002C4077">
        <w:t xml:space="preserve"> </w:t>
      </w:r>
      <w:r w:rsidR="000A7AAB">
        <w:t>médecin</w:t>
      </w:r>
      <w:r w:rsidR="000A7AAB" w:rsidRPr="002C4077">
        <w:t xml:space="preserve"> </w:t>
      </w:r>
      <w:r w:rsidR="000A7AAB">
        <w:t>arrive</w:t>
      </w:r>
      <w:r w:rsidR="000A7AAB" w:rsidRPr="002C4077">
        <w:t xml:space="preserve"> </w:t>
      </w:r>
      <w:r w:rsidR="000A7AAB">
        <w:t>à</w:t>
      </w:r>
      <w:r w:rsidR="000A7AAB" w:rsidRPr="002C4077">
        <w:t xml:space="preserve"> </w:t>
      </w:r>
      <w:r w:rsidR="000A7AAB">
        <w:t>son</w:t>
      </w:r>
      <w:r w:rsidR="000A7AAB" w:rsidRPr="002C4077">
        <w:t xml:space="preserve"> </w:t>
      </w:r>
      <w:r w:rsidR="000A7AAB">
        <w:t>tour</w:t>
      </w:r>
      <w:r>
        <w:t> :</w:t>
      </w:r>
      <w:r w:rsidR="000A7AAB" w:rsidRPr="002C4077">
        <w:t xml:space="preserve"> </w:t>
      </w:r>
      <w:r w:rsidR="000A7AAB">
        <w:t>Eh</w:t>
      </w:r>
      <w:r>
        <w:t> !</w:t>
      </w:r>
      <w:r w:rsidR="000A7AAB" w:rsidRPr="002C4077">
        <w:t xml:space="preserve"> </w:t>
      </w:r>
      <w:r w:rsidR="000A7AAB">
        <w:t>bonjour,</w:t>
      </w:r>
      <w:r w:rsidR="000A7AAB" w:rsidRPr="002C4077">
        <w:t xml:space="preserve"> </w:t>
      </w:r>
      <w:r w:rsidR="000A7AAB">
        <w:t>lui</w:t>
      </w:r>
      <w:r w:rsidR="000A7AAB" w:rsidRPr="002C4077">
        <w:t xml:space="preserve"> </w:t>
      </w:r>
      <w:r w:rsidR="000A7AAB">
        <w:t>crie-t-on</w:t>
      </w:r>
      <w:r>
        <w:t> ;</w:t>
      </w:r>
      <w:r w:rsidR="000A7AAB" w:rsidRPr="002C4077">
        <w:t xml:space="preserve"> </w:t>
      </w:r>
      <w:r w:rsidR="000A7AAB">
        <w:t>comment</w:t>
      </w:r>
      <w:r w:rsidR="000A7AAB" w:rsidRPr="002C4077">
        <w:t xml:space="preserve"> </w:t>
      </w:r>
      <w:r w:rsidR="000A7AAB">
        <w:t>donc</w:t>
      </w:r>
      <w:r w:rsidR="000A7AAB" w:rsidRPr="002C4077">
        <w:t xml:space="preserve"> </w:t>
      </w:r>
      <w:r w:rsidR="000A7AAB">
        <w:t>vont</w:t>
      </w:r>
      <w:r w:rsidR="000A7AAB" w:rsidRPr="002C4077">
        <w:t xml:space="preserve"> </w:t>
      </w:r>
      <w:r w:rsidR="000A7AAB">
        <w:t>les</w:t>
      </w:r>
      <w:r w:rsidR="000A7AAB" w:rsidRPr="002C4077">
        <w:t xml:space="preserve"> </w:t>
      </w:r>
      <w:r w:rsidR="000A7AAB">
        <w:t>affaires</w:t>
      </w:r>
      <w:r>
        <w:t> ?</w:t>
      </w:r>
      <w:r w:rsidR="000A7AAB" w:rsidRPr="002C4077">
        <w:t xml:space="preserve"> </w:t>
      </w:r>
      <w:r w:rsidR="000A7AAB">
        <w:t>Cent</w:t>
      </w:r>
      <w:r w:rsidR="000A7AAB" w:rsidRPr="002C4077">
        <w:t xml:space="preserve"> </w:t>
      </w:r>
      <w:r w:rsidR="000A7AAB">
        <w:t>saignées</w:t>
      </w:r>
      <w:r w:rsidR="000A7AAB" w:rsidRPr="002C4077">
        <w:t xml:space="preserve"> </w:t>
      </w:r>
      <w:r w:rsidR="000A7AAB">
        <w:t>pour</w:t>
      </w:r>
      <w:r w:rsidR="000A7AAB" w:rsidRPr="002C4077">
        <w:t xml:space="preserve"> </w:t>
      </w:r>
      <w:r w:rsidR="000A7AAB">
        <w:t>deux</w:t>
      </w:r>
      <w:r w:rsidR="000A7AAB" w:rsidRPr="002C4077">
        <w:t xml:space="preserve"> </w:t>
      </w:r>
      <w:r w:rsidR="000A7AAB" w:rsidRPr="000A34B5">
        <w:rPr>
          <w:rStyle w:val="italicus"/>
        </w:rPr>
        <w:t>zuz</w:t>
      </w:r>
      <w:r w:rsidR="000A7AAB">
        <w:t>,</w:t>
      </w:r>
      <w:r w:rsidR="000A7AAB" w:rsidRPr="002C4077">
        <w:t xml:space="preserve"> </w:t>
      </w:r>
      <w:r w:rsidR="000A7AAB">
        <w:t>répond-il</w:t>
      </w:r>
      <w:r w:rsidR="00B91AF7">
        <w:rPr>
          <w:rStyle w:val="Appelnotedebasdep"/>
        </w:rPr>
        <w:footnoteReference w:id="819"/>
      </w:r>
      <w:r w:rsidR="000A7AAB">
        <w:t>.</w:t>
      </w:r>
      <w:r w:rsidR="000A7AAB" w:rsidRPr="002C4077">
        <w:t xml:space="preserve"> </w:t>
      </w:r>
      <w:r w:rsidR="000A7AAB">
        <w:t>Un</w:t>
      </w:r>
      <w:r w:rsidR="000A7AAB" w:rsidRPr="002C4077">
        <w:t xml:space="preserve"> </w:t>
      </w:r>
      <w:r w:rsidR="000A7AAB">
        <w:t>docteur</w:t>
      </w:r>
      <w:r w:rsidR="000A7AAB" w:rsidRPr="002C4077">
        <w:t xml:space="preserve"> </w:t>
      </w:r>
      <w:r w:rsidR="000A7AAB">
        <w:t>gros</w:t>
      </w:r>
      <w:r w:rsidR="000A7AAB" w:rsidRPr="002C4077">
        <w:t xml:space="preserve"> </w:t>
      </w:r>
      <w:r w:rsidR="000A7AAB">
        <w:t>et</w:t>
      </w:r>
      <w:r w:rsidR="000A7AAB" w:rsidRPr="002C4077">
        <w:t xml:space="preserve"> </w:t>
      </w:r>
      <w:r w:rsidR="000A7AAB">
        <w:t>gras,</w:t>
      </w:r>
      <w:r w:rsidR="000A7AAB" w:rsidRPr="002C4077">
        <w:t xml:space="preserve"> </w:t>
      </w:r>
      <w:r w:rsidR="000A7AAB">
        <w:t>au</w:t>
      </w:r>
      <w:r w:rsidR="000A7AAB" w:rsidRPr="002C4077">
        <w:t xml:space="preserve"> </w:t>
      </w:r>
      <w:r w:rsidR="000A7AAB">
        <w:t>teint</w:t>
      </w:r>
      <w:r w:rsidR="000A7AAB" w:rsidRPr="002C4077">
        <w:t xml:space="preserve"> </w:t>
      </w:r>
      <w:r w:rsidR="000A7AAB">
        <w:t>cuivré,</w:t>
      </w:r>
      <w:r w:rsidR="000A7AAB" w:rsidRPr="002C4077">
        <w:t xml:space="preserve"> </w:t>
      </w:r>
      <w:r w:rsidR="000A7AAB">
        <w:t>coudoie</w:t>
      </w:r>
      <w:r w:rsidR="000A7AAB" w:rsidRPr="002C4077">
        <w:t xml:space="preserve"> </w:t>
      </w:r>
      <w:r w:rsidR="000A7AAB">
        <w:t>rudement</w:t>
      </w:r>
      <w:r w:rsidR="000A7AAB" w:rsidRPr="002C4077">
        <w:t xml:space="preserve"> </w:t>
      </w:r>
      <w:r w:rsidR="000A7AAB">
        <w:t>une</w:t>
      </w:r>
      <w:r w:rsidR="000A7AAB" w:rsidRPr="002C4077">
        <w:t xml:space="preserve"> </w:t>
      </w:r>
      <w:r w:rsidR="000A7AAB">
        <w:t>vieille</w:t>
      </w:r>
      <w:r w:rsidR="000A7AAB" w:rsidRPr="002C4077">
        <w:t xml:space="preserve"> </w:t>
      </w:r>
      <w:r w:rsidR="000A7AAB">
        <w:t>femme</w:t>
      </w:r>
      <w:r w:rsidR="000A7AAB" w:rsidRPr="002C4077">
        <w:t xml:space="preserve"> </w:t>
      </w:r>
      <w:r w:rsidR="000A7AAB">
        <w:t>qui</w:t>
      </w:r>
      <w:r w:rsidR="000A7AAB" w:rsidRPr="002C4077">
        <w:t xml:space="preserve"> </w:t>
      </w:r>
      <w:r w:rsidR="000A7AAB">
        <w:t>lui</w:t>
      </w:r>
      <w:r w:rsidR="000A7AAB" w:rsidRPr="002C4077">
        <w:t xml:space="preserve"> </w:t>
      </w:r>
      <w:r w:rsidR="000A7AAB">
        <w:t>barre</w:t>
      </w:r>
      <w:r w:rsidR="000A7AAB" w:rsidRPr="002C4077">
        <w:t xml:space="preserve"> </w:t>
      </w:r>
      <w:r w:rsidR="000A7AAB">
        <w:t>le</w:t>
      </w:r>
      <w:r w:rsidR="000A7AAB" w:rsidRPr="002C4077">
        <w:t xml:space="preserve"> </w:t>
      </w:r>
      <w:r w:rsidR="000A7AAB">
        <w:t>passage</w:t>
      </w:r>
      <w:r>
        <w:t> :</w:t>
      </w:r>
      <w:r w:rsidR="000A7AAB" w:rsidRPr="002C4077">
        <w:t xml:space="preserve"> </w:t>
      </w:r>
      <w:r w:rsidR="000A7AAB">
        <w:t>Vieillard,</w:t>
      </w:r>
      <w:r w:rsidR="000A7AAB" w:rsidRPr="002C4077">
        <w:t xml:space="preserve"> </w:t>
      </w:r>
      <w:r w:rsidR="000A7AAB">
        <w:t>vieillard,</w:t>
      </w:r>
      <w:r w:rsidR="000A7AAB" w:rsidRPr="002C4077">
        <w:t xml:space="preserve"> </w:t>
      </w:r>
      <w:r w:rsidR="000A7AAB">
        <w:t>lui</w:t>
      </w:r>
      <w:r w:rsidR="000A7AAB" w:rsidRPr="002C4077">
        <w:t xml:space="preserve"> </w:t>
      </w:r>
      <w:r w:rsidR="000A7AAB">
        <w:t>dit</w:t>
      </w:r>
      <w:r w:rsidR="000A7AAB" w:rsidRPr="002C4077">
        <w:t xml:space="preserve"> </w:t>
      </w:r>
      <w:r w:rsidR="000A7AAB">
        <w:t>celle-ci</w:t>
      </w:r>
      <w:r w:rsidR="000A7AAB" w:rsidRPr="002C4077">
        <w:t xml:space="preserve"> </w:t>
      </w:r>
      <w:r w:rsidR="000A7AAB">
        <w:t>avec</w:t>
      </w:r>
      <w:r w:rsidR="000A7AAB" w:rsidRPr="002C4077">
        <w:t xml:space="preserve"> </w:t>
      </w:r>
      <w:r w:rsidR="000A7AAB">
        <w:t>ironie,</w:t>
      </w:r>
      <w:r w:rsidR="000A7AAB" w:rsidRPr="002C4077">
        <w:t xml:space="preserve"> </w:t>
      </w:r>
      <w:r w:rsidR="000A7AAB">
        <w:t>que</w:t>
      </w:r>
      <w:r w:rsidR="000A7AAB" w:rsidRPr="002C4077">
        <w:t xml:space="preserve"> </w:t>
      </w:r>
      <w:r w:rsidR="000A7AAB">
        <w:t>vous</w:t>
      </w:r>
      <w:r w:rsidR="000A7AAB" w:rsidRPr="002C4077">
        <w:t xml:space="preserve"> </w:t>
      </w:r>
      <w:r w:rsidR="000A7AAB">
        <w:t>êtes</w:t>
      </w:r>
      <w:r w:rsidR="000A7AAB" w:rsidRPr="002C4077">
        <w:t xml:space="preserve"> </w:t>
      </w:r>
      <w:r w:rsidR="000A7AAB">
        <w:t>rouge</w:t>
      </w:r>
      <w:r>
        <w:t> !</w:t>
      </w:r>
      <w:r w:rsidR="000A7AAB" w:rsidRPr="002C4077">
        <w:t xml:space="preserve"> </w:t>
      </w:r>
      <w:r w:rsidR="000A7AAB">
        <w:t>Vous</w:t>
      </w:r>
      <w:r w:rsidR="000A7AAB" w:rsidRPr="002C4077">
        <w:t xml:space="preserve"> </w:t>
      </w:r>
      <w:r w:rsidR="000A7AAB">
        <w:t>êtes</w:t>
      </w:r>
      <w:r w:rsidR="000A7AAB" w:rsidRPr="002C4077">
        <w:t xml:space="preserve"> </w:t>
      </w:r>
      <w:r w:rsidR="000A7AAB">
        <w:t>ou</w:t>
      </w:r>
      <w:r w:rsidR="000A7AAB" w:rsidRPr="002C4077">
        <w:t xml:space="preserve"> </w:t>
      </w:r>
      <w:r w:rsidR="000A7AAB">
        <w:t>un</w:t>
      </w:r>
      <w:r w:rsidR="000A7AAB" w:rsidRPr="002C4077">
        <w:t xml:space="preserve"> </w:t>
      </w:r>
      <w:r w:rsidR="000A7AAB">
        <w:t>buveur,</w:t>
      </w:r>
      <w:r w:rsidR="000A7AAB" w:rsidRPr="002C4077">
        <w:t xml:space="preserve"> </w:t>
      </w:r>
      <w:r w:rsidR="000A7AAB">
        <w:t>ou</w:t>
      </w:r>
      <w:r w:rsidR="000A7AAB" w:rsidRPr="002C4077">
        <w:t xml:space="preserve"> </w:t>
      </w:r>
      <w:r w:rsidR="000A7AAB">
        <w:t>un</w:t>
      </w:r>
      <w:r w:rsidR="000A7AAB" w:rsidRPr="002C4077">
        <w:t xml:space="preserve"> </w:t>
      </w:r>
      <w:r w:rsidR="000A7AAB">
        <w:t>usurier,</w:t>
      </w:r>
      <w:r w:rsidR="000A7AAB" w:rsidRPr="002C4077">
        <w:t xml:space="preserve"> </w:t>
      </w:r>
      <w:r w:rsidR="000A7AAB">
        <w:t>ou</w:t>
      </w:r>
      <w:r w:rsidR="000A7AAB" w:rsidRPr="002C4077">
        <w:t xml:space="preserve"> </w:t>
      </w:r>
      <w:r w:rsidR="000A7AAB">
        <w:t>un</w:t>
      </w:r>
      <w:r w:rsidR="000A7AAB" w:rsidRPr="002C4077">
        <w:t xml:space="preserve"> </w:t>
      </w:r>
      <w:r w:rsidR="000A7AAB">
        <w:t>éleveur</w:t>
      </w:r>
      <w:r w:rsidR="000A7AAB" w:rsidRPr="002C4077">
        <w:t xml:space="preserve"> </w:t>
      </w:r>
      <w:r w:rsidR="000A7AAB">
        <w:t>de</w:t>
      </w:r>
      <w:r w:rsidR="000A7AAB" w:rsidRPr="002C4077">
        <w:t xml:space="preserve"> </w:t>
      </w:r>
      <w:r w:rsidR="000A7AAB">
        <w:t>pourcea</w:t>
      </w:r>
      <w:r w:rsidR="00F6492C">
        <w:t>ux</w:t>
      </w:r>
      <w:r w:rsidR="00F6492C">
        <w:rPr>
          <w:rStyle w:val="Appelnotedebasdep"/>
        </w:rPr>
        <w:footnoteReference w:id="820"/>
      </w:r>
      <w:r w:rsidR="00F6492C">
        <w:t>.</w:t>
      </w:r>
      <w:r w:rsidR="000A7AAB" w:rsidRPr="002C4077">
        <w:t xml:space="preserve"> </w:t>
      </w:r>
    </w:p>
    <w:p w:rsidR="000A7AAB" w:rsidRDefault="00B546AF" w:rsidP="000A7AAB">
      <w:r>
        <w:t>« </w:t>
      </w:r>
      <w:r w:rsidR="000A7AAB">
        <w:t>Mais,</w:t>
      </w:r>
      <w:r w:rsidR="000A7AAB" w:rsidRPr="002C4077">
        <w:t xml:space="preserve"> </w:t>
      </w:r>
      <w:r w:rsidR="000A7AAB">
        <w:t>après</w:t>
      </w:r>
      <w:r w:rsidR="000A7AAB" w:rsidRPr="002C4077">
        <w:t xml:space="preserve"> </w:t>
      </w:r>
      <w:r w:rsidR="000A7AAB">
        <w:t>avoir</w:t>
      </w:r>
      <w:r w:rsidR="000A7AAB" w:rsidRPr="002C4077">
        <w:t xml:space="preserve"> </w:t>
      </w:r>
      <w:r w:rsidR="000A7AAB">
        <w:t>jeté</w:t>
      </w:r>
      <w:r w:rsidR="000A7AAB" w:rsidRPr="002C4077">
        <w:t xml:space="preserve"> </w:t>
      </w:r>
      <w:r w:rsidR="000A7AAB">
        <w:t>un</w:t>
      </w:r>
      <w:r w:rsidR="000A7AAB" w:rsidRPr="002C4077">
        <w:t xml:space="preserve"> </w:t>
      </w:r>
      <w:r w:rsidR="000A7AAB">
        <w:t>coup</w:t>
      </w:r>
      <w:r w:rsidR="000A7AAB" w:rsidRPr="002C4077">
        <w:t xml:space="preserve"> </w:t>
      </w:r>
      <w:r w:rsidR="000A7AAB">
        <w:t>d’œil</w:t>
      </w:r>
      <w:r w:rsidR="000A7AAB" w:rsidRPr="002C4077">
        <w:t xml:space="preserve"> </w:t>
      </w:r>
      <w:r w:rsidR="000A7AAB">
        <w:t>sur</w:t>
      </w:r>
      <w:r w:rsidR="000A7AAB" w:rsidRPr="002C4077">
        <w:t xml:space="preserve"> </w:t>
      </w:r>
      <w:r w:rsidR="000A7AAB">
        <w:t>le</w:t>
      </w:r>
      <w:r w:rsidR="000A7AAB" w:rsidRPr="002C4077">
        <w:t xml:space="preserve"> </w:t>
      </w:r>
      <w:r w:rsidR="000A7AAB">
        <w:t>grand</w:t>
      </w:r>
      <w:r w:rsidR="000A7AAB" w:rsidRPr="002C4077">
        <w:t xml:space="preserve"> </w:t>
      </w:r>
      <w:r w:rsidR="000A7AAB">
        <w:t>marché,</w:t>
      </w:r>
      <w:r w:rsidR="000A7AAB" w:rsidRPr="002C4077">
        <w:t xml:space="preserve"> </w:t>
      </w:r>
      <w:r w:rsidR="000A7AAB">
        <w:t>allons</w:t>
      </w:r>
      <w:r w:rsidR="000A7AAB" w:rsidRPr="002C4077">
        <w:t xml:space="preserve"> </w:t>
      </w:r>
      <w:r w:rsidR="000A7AAB">
        <w:t>voir</w:t>
      </w:r>
      <w:r w:rsidR="000A7AAB" w:rsidRPr="002C4077">
        <w:t xml:space="preserve"> </w:t>
      </w:r>
      <w:r w:rsidR="000A7AAB">
        <w:t>aussi</w:t>
      </w:r>
      <w:r w:rsidR="000A7AAB" w:rsidRPr="002C4077">
        <w:t xml:space="preserve"> </w:t>
      </w:r>
      <w:r w:rsidR="000A7AAB">
        <w:t>le</w:t>
      </w:r>
      <w:r w:rsidR="000A7AAB" w:rsidRPr="002C4077">
        <w:t xml:space="preserve"> </w:t>
      </w:r>
      <w:r w:rsidR="000A7AAB">
        <w:t>marché</w:t>
      </w:r>
      <w:r w:rsidR="000A7AAB" w:rsidRPr="002C4077">
        <w:t xml:space="preserve"> </w:t>
      </w:r>
      <w:r w:rsidR="000A7AAB">
        <w:t>de</w:t>
      </w:r>
      <w:r w:rsidR="000A7AAB" w:rsidRPr="002C4077">
        <w:t xml:space="preserve"> </w:t>
      </w:r>
      <w:r w:rsidR="000A7AAB">
        <w:t>la</w:t>
      </w:r>
      <w:r w:rsidR="000A7AAB" w:rsidRPr="002C4077">
        <w:t xml:space="preserve"> </w:t>
      </w:r>
      <w:r w:rsidR="000A7AAB">
        <w:t>ville</w:t>
      </w:r>
      <w:r w:rsidR="000A7AAB" w:rsidRPr="002C4077">
        <w:t xml:space="preserve"> </w:t>
      </w:r>
      <w:r w:rsidR="000A7AAB">
        <w:t>supérieure,</w:t>
      </w:r>
      <w:r w:rsidR="000A7AAB" w:rsidRPr="002C4077">
        <w:t xml:space="preserve"> </w:t>
      </w:r>
      <w:r w:rsidR="000A7AAB">
        <w:t>situé</w:t>
      </w:r>
      <w:r w:rsidR="000A7AAB" w:rsidRPr="002C4077">
        <w:t xml:space="preserve"> </w:t>
      </w:r>
      <w:r w:rsidR="000A7AAB">
        <w:t>entre</w:t>
      </w:r>
      <w:r w:rsidR="000A7AAB" w:rsidRPr="002C4077">
        <w:t xml:space="preserve"> </w:t>
      </w:r>
      <w:r w:rsidR="000A7AAB">
        <w:t>l’antique</w:t>
      </w:r>
      <w:r w:rsidR="000A7AAB" w:rsidRPr="002C4077">
        <w:t xml:space="preserve"> </w:t>
      </w:r>
      <w:r w:rsidR="000A7AAB">
        <w:t>résidence</w:t>
      </w:r>
      <w:r w:rsidR="000A7AAB" w:rsidRPr="002C4077">
        <w:t xml:space="preserve"> </w:t>
      </w:r>
      <w:r w:rsidR="000A7AAB">
        <w:t>des</w:t>
      </w:r>
      <w:r w:rsidR="000A7AAB" w:rsidRPr="002C4077">
        <w:t xml:space="preserve"> </w:t>
      </w:r>
      <w:r w:rsidR="000A7AAB">
        <w:t>rois</w:t>
      </w:r>
      <w:r w:rsidR="000A7AAB" w:rsidRPr="002C4077">
        <w:t xml:space="preserve"> </w:t>
      </w:r>
      <w:r w:rsidR="000A7AAB">
        <w:t>asm</w:t>
      </w:r>
      <w:r w:rsidR="001730C6">
        <w:t>on</w:t>
      </w:r>
      <w:r w:rsidR="000A7AAB">
        <w:t>éens</w:t>
      </w:r>
      <w:r w:rsidR="000A7AAB" w:rsidRPr="002C4077">
        <w:t xml:space="preserve"> </w:t>
      </w:r>
      <w:r w:rsidR="000A7AAB">
        <w:t>et</w:t>
      </w:r>
      <w:r w:rsidR="000A7AAB" w:rsidRPr="002C4077">
        <w:t xml:space="preserve"> </w:t>
      </w:r>
      <w:r w:rsidR="000A7AAB">
        <w:t>le</w:t>
      </w:r>
      <w:r w:rsidR="000A7AAB" w:rsidRPr="002C4077">
        <w:t xml:space="preserve"> </w:t>
      </w:r>
      <w:r w:rsidR="000A7AAB">
        <w:t>splendide</w:t>
      </w:r>
      <w:r w:rsidR="000A7AAB" w:rsidRPr="002C4077">
        <w:t xml:space="preserve"> </w:t>
      </w:r>
      <w:r w:rsidR="000A7AAB">
        <w:t>palais</w:t>
      </w:r>
      <w:r w:rsidR="000A7AAB" w:rsidRPr="002C4077">
        <w:t xml:space="preserve"> </w:t>
      </w:r>
      <w:r w:rsidR="000A7AAB">
        <w:t>d’Hérode.</w:t>
      </w:r>
      <w:r w:rsidR="000A7AAB" w:rsidRPr="002C4077">
        <w:t xml:space="preserve"> </w:t>
      </w:r>
      <w:r w:rsidR="000A7AAB">
        <w:t>Ici</w:t>
      </w:r>
      <w:r w:rsidR="000A7AAB" w:rsidRPr="002C4077">
        <w:t xml:space="preserve"> </w:t>
      </w:r>
      <w:r w:rsidR="000A7AAB">
        <w:t>également</w:t>
      </w:r>
      <w:r w:rsidR="000A7AAB" w:rsidRPr="002C4077">
        <w:t xml:space="preserve"> </w:t>
      </w:r>
      <w:r w:rsidR="000A7AAB">
        <w:t>nous</w:t>
      </w:r>
      <w:r w:rsidR="000A7AAB" w:rsidRPr="002C4077">
        <w:t xml:space="preserve"> </w:t>
      </w:r>
      <w:r w:rsidR="000A7AAB">
        <w:t>trouvons</w:t>
      </w:r>
      <w:r w:rsidR="000A7AAB" w:rsidRPr="002C4077">
        <w:t xml:space="preserve"> </w:t>
      </w:r>
      <w:r w:rsidR="000A7AAB">
        <w:t>une</w:t>
      </w:r>
      <w:r w:rsidR="000A7AAB" w:rsidRPr="002C4077">
        <w:t xml:space="preserve"> </w:t>
      </w:r>
      <w:r w:rsidR="000A7AAB">
        <w:t>vie</w:t>
      </w:r>
      <w:r w:rsidR="000A7AAB" w:rsidRPr="002C4077">
        <w:t xml:space="preserve"> </w:t>
      </w:r>
      <w:r w:rsidR="000A7AAB">
        <w:t>et</w:t>
      </w:r>
      <w:r w:rsidR="000A7AAB" w:rsidRPr="002C4077">
        <w:t xml:space="preserve"> </w:t>
      </w:r>
      <w:r w:rsidR="000A7AAB">
        <w:t>une</w:t>
      </w:r>
      <w:r w:rsidR="000A7AAB" w:rsidRPr="002C4077">
        <w:t xml:space="preserve"> </w:t>
      </w:r>
      <w:r w:rsidR="000A7AAB">
        <w:t>bigarrure</w:t>
      </w:r>
      <w:r w:rsidR="000A7AAB" w:rsidRPr="002C4077">
        <w:t xml:space="preserve"> </w:t>
      </w:r>
      <w:r w:rsidR="000A7AAB">
        <w:t>qui</w:t>
      </w:r>
      <w:r w:rsidR="000A7AAB" w:rsidRPr="002C4077">
        <w:t xml:space="preserve"> </w:t>
      </w:r>
      <w:r w:rsidR="000A7AAB">
        <w:t>plaisent</w:t>
      </w:r>
      <w:r w:rsidR="000A7AAB" w:rsidRPr="002C4077">
        <w:t xml:space="preserve"> </w:t>
      </w:r>
      <w:r w:rsidR="000A7AAB">
        <w:t>au</w:t>
      </w:r>
      <w:r w:rsidR="000A7AAB" w:rsidRPr="002C4077">
        <w:t xml:space="preserve"> </w:t>
      </w:r>
      <w:r w:rsidR="000A7AAB">
        <w:t>regard,</w:t>
      </w:r>
      <w:r w:rsidR="000A7AAB" w:rsidRPr="002C4077">
        <w:t xml:space="preserve"> </w:t>
      </w:r>
      <w:r w:rsidR="000A7AAB">
        <w:t>mais</w:t>
      </w:r>
      <w:r w:rsidR="000A7AAB" w:rsidRPr="002C4077">
        <w:t xml:space="preserve"> </w:t>
      </w:r>
      <w:r w:rsidR="000A7AAB">
        <w:t>qui,</w:t>
      </w:r>
      <w:r w:rsidR="000A7AAB" w:rsidRPr="002C4077">
        <w:t xml:space="preserve"> </w:t>
      </w:r>
      <w:r w:rsidR="000A7AAB">
        <w:t>cependant,</w:t>
      </w:r>
      <w:r w:rsidR="000A7AAB" w:rsidRPr="002C4077">
        <w:t xml:space="preserve"> </w:t>
      </w:r>
      <w:r w:rsidR="000A7AAB">
        <w:t>ne</w:t>
      </w:r>
      <w:r w:rsidR="000A7AAB" w:rsidRPr="002C4077">
        <w:t xml:space="preserve"> </w:t>
      </w:r>
      <w:r w:rsidR="000A7AAB">
        <w:t>sont</w:t>
      </w:r>
      <w:r w:rsidR="000A7AAB" w:rsidRPr="002C4077">
        <w:t xml:space="preserve"> </w:t>
      </w:r>
      <w:r w:rsidR="000A7AAB">
        <w:t>pas</w:t>
      </w:r>
      <w:r w:rsidR="000A7AAB" w:rsidRPr="002C4077">
        <w:t xml:space="preserve"> </w:t>
      </w:r>
      <w:r w:rsidR="000A7AAB">
        <w:t>à,</w:t>
      </w:r>
      <w:r w:rsidR="000A7AAB" w:rsidRPr="002C4077">
        <w:t xml:space="preserve"> </w:t>
      </w:r>
      <w:r w:rsidR="000A7AAB">
        <w:t>comparer</w:t>
      </w:r>
      <w:r w:rsidR="000A7AAB" w:rsidRPr="002C4077">
        <w:t xml:space="preserve"> </w:t>
      </w:r>
      <w:r w:rsidR="000A7AAB">
        <w:t>avec</w:t>
      </w:r>
      <w:r w:rsidR="000A7AAB" w:rsidRPr="002C4077">
        <w:t xml:space="preserve"> </w:t>
      </w:r>
      <w:r w:rsidR="000A7AAB">
        <w:t>le</w:t>
      </w:r>
      <w:r w:rsidR="000A7AAB" w:rsidRPr="002C4077">
        <w:t xml:space="preserve"> </w:t>
      </w:r>
      <w:r w:rsidR="000A7AAB">
        <w:t>mouvement</w:t>
      </w:r>
      <w:r w:rsidR="000A7AAB" w:rsidRPr="002C4077">
        <w:t xml:space="preserve"> </w:t>
      </w:r>
      <w:r w:rsidR="000A7AAB">
        <w:t>bruyant</w:t>
      </w:r>
      <w:r w:rsidR="000A7AAB" w:rsidRPr="002C4077">
        <w:t xml:space="preserve"> </w:t>
      </w:r>
      <w:r w:rsidR="000A7AAB">
        <w:t>du</w:t>
      </w:r>
      <w:r w:rsidR="000A7AAB" w:rsidRPr="002C4077">
        <w:t xml:space="preserve"> </w:t>
      </w:r>
      <w:r w:rsidR="000A7AAB">
        <w:t>grand</w:t>
      </w:r>
      <w:r w:rsidR="000A7AAB" w:rsidRPr="002C4077">
        <w:t xml:space="preserve"> </w:t>
      </w:r>
      <w:r w:rsidR="000A7AAB">
        <w:t>marché.</w:t>
      </w:r>
      <w:r w:rsidR="000A7AAB" w:rsidRPr="002C4077">
        <w:t xml:space="preserve"> </w:t>
      </w:r>
      <w:r w:rsidR="000A7AAB">
        <w:t>Tout</w:t>
      </w:r>
      <w:r w:rsidR="000A7AAB" w:rsidRPr="002C4077">
        <w:t xml:space="preserve"> </w:t>
      </w:r>
      <w:r w:rsidR="000A7AAB">
        <w:t>se</w:t>
      </w:r>
      <w:r w:rsidR="000A7AAB" w:rsidRPr="002C4077">
        <w:t xml:space="preserve"> </w:t>
      </w:r>
      <w:r w:rsidR="000A7AAB">
        <w:t>passe</w:t>
      </w:r>
      <w:r w:rsidR="000A7AAB" w:rsidRPr="002C4077">
        <w:t xml:space="preserve"> </w:t>
      </w:r>
      <w:r w:rsidR="000A7AAB">
        <w:t>avec</w:t>
      </w:r>
      <w:r w:rsidR="000A7AAB" w:rsidRPr="002C4077">
        <w:t xml:space="preserve"> </w:t>
      </w:r>
      <w:r w:rsidR="000A7AAB">
        <w:t>plus</w:t>
      </w:r>
      <w:r w:rsidR="000A7AAB" w:rsidRPr="002C4077">
        <w:t xml:space="preserve"> </w:t>
      </w:r>
      <w:r w:rsidR="000A7AAB">
        <w:t>de</w:t>
      </w:r>
      <w:r w:rsidR="000A7AAB" w:rsidRPr="002C4077">
        <w:t xml:space="preserve"> </w:t>
      </w:r>
      <w:r w:rsidR="000A7AAB">
        <w:t>calme</w:t>
      </w:r>
      <w:r>
        <w:t> ;</w:t>
      </w:r>
      <w:r w:rsidR="000A7AAB" w:rsidRPr="002C4077">
        <w:t xml:space="preserve"> </w:t>
      </w:r>
      <w:r w:rsidR="000A7AAB">
        <w:t>il</w:t>
      </w:r>
      <w:r w:rsidR="000A7AAB" w:rsidRPr="002C4077">
        <w:t xml:space="preserve"> </w:t>
      </w:r>
      <w:r w:rsidR="000A7AAB">
        <w:t>règne</w:t>
      </w:r>
      <w:r w:rsidR="000A7AAB" w:rsidRPr="002C4077">
        <w:t xml:space="preserve"> </w:t>
      </w:r>
      <w:r w:rsidR="000A7AAB">
        <w:t>un</w:t>
      </w:r>
      <w:r w:rsidR="000A7AAB" w:rsidRPr="002C4077">
        <w:t xml:space="preserve"> </w:t>
      </w:r>
      <w:r w:rsidR="000A7AAB">
        <w:t>ton</w:t>
      </w:r>
      <w:r w:rsidR="000A7AAB" w:rsidRPr="002C4077">
        <w:t xml:space="preserve"> </w:t>
      </w:r>
      <w:r w:rsidR="000A7AAB">
        <w:t>plus</w:t>
      </w:r>
      <w:r w:rsidR="000A7AAB" w:rsidRPr="002C4077">
        <w:t xml:space="preserve"> </w:t>
      </w:r>
      <w:r w:rsidR="000A7AAB">
        <w:t>distingué,</w:t>
      </w:r>
      <w:r w:rsidR="000A7AAB" w:rsidRPr="002C4077">
        <w:t xml:space="preserve"> </w:t>
      </w:r>
      <w:r w:rsidR="000A7AAB">
        <w:t>car</w:t>
      </w:r>
      <w:r w:rsidR="000A7AAB" w:rsidRPr="002C4077">
        <w:t xml:space="preserve"> </w:t>
      </w:r>
      <w:r w:rsidR="000A7AAB">
        <w:t>ce</w:t>
      </w:r>
      <w:r w:rsidR="000A7AAB" w:rsidRPr="002C4077">
        <w:t xml:space="preserve"> </w:t>
      </w:r>
      <w:r w:rsidR="000A7AAB">
        <w:t>sont</w:t>
      </w:r>
      <w:r w:rsidR="000A7AAB" w:rsidRPr="002C4077">
        <w:t xml:space="preserve"> </w:t>
      </w:r>
      <w:r w:rsidR="000A7AAB">
        <w:t>les</w:t>
      </w:r>
      <w:r w:rsidR="000A7AAB" w:rsidRPr="002C4077">
        <w:t xml:space="preserve"> </w:t>
      </w:r>
      <w:r w:rsidR="000A7AAB">
        <w:t>plus</w:t>
      </w:r>
      <w:r w:rsidR="000A7AAB" w:rsidRPr="002C4077">
        <w:t xml:space="preserve"> </w:t>
      </w:r>
      <w:r w:rsidR="000A7AAB">
        <w:t>brillants</w:t>
      </w:r>
      <w:r w:rsidR="000A7AAB" w:rsidRPr="002C4077">
        <w:t xml:space="preserve"> </w:t>
      </w:r>
      <w:r w:rsidR="000A7AAB">
        <w:t>produits</w:t>
      </w:r>
      <w:r w:rsidR="000A7AAB" w:rsidRPr="002C4077">
        <w:t xml:space="preserve"> </w:t>
      </w:r>
      <w:r w:rsidR="000A7AAB">
        <w:t>des</w:t>
      </w:r>
      <w:r w:rsidR="000A7AAB" w:rsidRPr="002C4077">
        <w:t xml:space="preserve"> </w:t>
      </w:r>
      <w:r w:rsidR="000A7AAB">
        <w:t>différents</w:t>
      </w:r>
      <w:r w:rsidR="000A7AAB" w:rsidRPr="002C4077">
        <w:t xml:space="preserve"> </w:t>
      </w:r>
      <w:r w:rsidR="000A7AAB">
        <w:t>arts</w:t>
      </w:r>
      <w:r w:rsidR="000A7AAB" w:rsidRPr="002C4077">
        <w:t xml:space="preserve"> </w:t>
      </w:r>
      <w:r w:rsidR="000A7AAB">
        <w:t>que</w:t>
      </w:r>
      <w:r w:rsidR="000A7AAB" w:rsidRPr="002C4077">
        <w:t xml:space="preserve"> </w:t>
      </w:r>
      <w:r w:rsidR="000A7AAB">
        <w:t>nous</w:t>
      </w:r>
      <w:r w:rsidR="000A7AAB" w:rsidRPr="002C4077">
        <w:t xml:space="preserve"> </w:t>
      </w:r>
      <w:r w:rsidR="000A7AAB">
        <w:t>voyons</w:t>
      </w:r>
      <w:r w:rsidR="000A7AAB" w:rsidRPr="002C4077">
        <w:t xml:space="preserve"> </w:t>
      </w:r>
      <w:r w:rsidR="000A7AAB">
        <w:t>étalés</w:t>
      </w:r>
      <w:r w:rsidR="000A7AAB" w:rsidRPr="002C4077">
        <w:t xml:space="preserve"> </w:t>
      </w:r>
      <w:r w:rsidR="000A7AAB">
        <w:t>sous</w:t>
      </w:r>
      <w:r w:rsidR="000A7AAB" w:rsidRPr="002C4077">
        <w:t xml:space="preserve"> </w:t>
      </w:r>
      <w:r w:rsidR="000A7AAB">
        <w:t>nos</w:t>
      </w:r>
      <w:r w:rsidR="000A7AAB" w:rsidRPr="002C4077">
        <w:t xml:space="preserve"> </w:t>
      </w:r>
      <w:r w:rsidR="000A7AAB">
        <w:t>yeux.</w:t>
      </w:r>
      <w:r w:rsidR="000A7AAB" w:rsidRPr="002C4077">
        <w:t xml:space="preserve"> </w:t>
      </w:r>
      <w:r w:rsidR="000A7AAB">
        <w:t>Près</w:t>
      </w:r>
      <w:r w:rsidR="000A7AAB" w:rsidRPr="002C4077">
        <w:t xml:space="preserve"> </w:t>
      </w:r>
      <w:r w:rsidR="000A7AAB">
        <w:t>de</w:t>
      </w:r>
      <w:r w:rsidR="000A7AAB" w:rsidRPr="002C4077">
        <w:t xml:space="preserve"> </w:t>
      </w:r>
      <w:r w:rsidR="000A7AAB">
        <w:t>nous,</w:t>
      </w:r>
      <w:r w:rsidR="000A7AAB" w:rsidRPr="002C4077">
        <w:t xml:space="preserve"> </w:t>
      </w:r>
      <w:r w:rsidR="000A7AAB">
        <w:t>voici</w:t>
      </w:r>
      <w:r w:rsidR="000A7AAB" w:rsidRPr="002C4077">
        <w:t xml:space="preserve"> </w:t>
      </w:r>
      <w:r w:rsidR="000A7AAB">
        <w:t>un</w:t>
      </w:r>
      <w:r w:rsidR="000A7AAB" w:rsidRPr="002C4077">
        <w:t xml:space="preserve"> </w:t>
      </w:r>
      <w:r w:rsidR="000A7AAB">
        <w:t>pied</w:t>
      </w:r>
      <w:r w:rsidR="000A7AAB" w:rsidRPr="002C4077">
        <w:t xml:space="preserve"> </w:t>
      </w:r>
      <w:r w:rsidR="000A7AAB">
        <w:t>de</w:t>
      </w:r>
      <w:r w:rsidR="000A7AAB" w:rsidRPr="002C4077">
        <w:t xml:space="preserve"> </w:t>
      </w:r>
      <w:r w:rsidR="000A7AAB">
        <w:t>vigne</w:t>
      </w:r>
      <w:r w:rsidR="000A7AAB" w:rsidRPr="002C4077">
        <w:t xml:space="preserve"> </w:t>
      </w:r>
      <w:r w:rsidR="000A7AAB">
        <w:t>qui</w:t>
      </w:r>
      <w:r w:rsidR="000A7AAB" w:rsidRPr="002C4077">
        <w:t xml:space="preserve"> </w:t>
      </w:r>
      <w:r w:rsidR="000A7AAB">
        <w:t>rivalise</w:t>
      </w:r>
      <w:r w:rsidR="000A7AAB" w:rsidRPr="002C4077">
        <w:t xml:space="preserve"> </w:t>
      </w:r>
      <w:r w:rsidR="000A7AAB">
        <w:t>avec</w:t>
      </w:r>
      <w:r w:rsidR="000A7AAB" w:rsidRPr="002C4077">
        <w:t xml:space="preserve"> </w:t>
      </w:r>
      <w:r w:rsidR="000A7AAB">
        <w:t>l’œuvre</w:t>
      </w:r>
      <w:r w:rsidR="000A7AAB" w:rsidRPr="002C4077">
        <w:t xml:space="preserve"> </w:t>
      </w:r>
      <w:r w:rsidR="000A7AAB">
        <w:t>de</w:t>
      </w:r>
      <w:r w:rsidR="000A7AAB" w:rsidRPr="002C4077">
        <w:t xml:space="preserve"> </w:t>
      </w:r>
      <w:r w:rsidR="000A7AAB">
        <w:t>la</w:t>
      </w:r>
      <w:r w:rsidR="000A7AAB" w:rsidRPr="002C4077">
        <w:t xml:space="preserve"> </w:t>
      </w:r>
      <w:r w:rsidR="000A7AAB">
        <w:t>nature</w:t>
      </w:r>
      <w:r>
        <w:t> :</w:t>
      </w:r>
      <w:r w:rsidR="000A7AAB" w:rsidRPr="002C4077">
        <w:t xml:space="preserve"> </w:t>
      </w:r>
      <w:r w:rsidR="000A7AAB">
        <w:t>c’est</w:t>
      </w:r>
      <w:r w:rsidR="000A7AAB" w:rsidRPr="002C4077">
        <w:t xml:space="preserve"> </w:t>
      </w:r>
      <w:r w:rsidR="000A7AAB">
        <w:t>un</w:t>
      </w:r>
      <w:r w:rsidR="000A7AAB" w:rsidRPr="002C4077">
        <w:t xml:space="preserve"> </w:t>
      </w:r>
      <w:r w:rsidR="000A7AAB">
        <w:t>orfèvre</w:t>
      </w:r>
      <w:r w:rsidR="000A7AAB" w:rsidRPr="002C4077">
        <w:t xml:space="preserve"> </w:t>
      </w:r>
      <w:r w:rsidR="000A7AAB">
        <w:t>qui</w:t>
      </w:r>
      <w:r w:rsidR="000A7AAB" w:rsidRPr="002C4077">
        <w:t xml:space="preserve"> </w:t>
      </w:r>
      <w:r w:rsidR="000A7AAB">
        <w:t>nous</w:t>
      </w:r>
      <w:r w:rsidR="000A7AAB" w:rsidRPr="002C4077">
        <w:t xml:space="preserve"> </w:t>
      </w:r>
      <w:r w:rsidR="000A7AAB">
        <w:t>le</w:t>
      </w:r>
      <w:r w:rsidR="000A7AAB" w:rsidRPr="002C4077">
        <w:t xml:space="preserve"> </w:t>
      </w:r>
      <w:r w:rsidR="000A7AAB">
        <w:t>montre.</w:t>
      </w:r>
      <w:r w:rsidR="000A7AAB" w:rsidRPr="002C4077">
        <w:t xml:space="preserve"> </w:t>
      </w:r>
      <w:r w:rsidR="000A7AAB">
        <w:t>Plus</w:t>
      </w:r>
      <w:r w:rsidR="000A7AAB" w:rsidRPr="002C4077">
        <w:t xml:space="preserve"> </w:t>
      </w:r>
      <w:r w:rsidR="000A7AAB">
        <w:t>loin,</w:t>
      </w:r>
      <w:r w:rsidR="000A7AAB" w:rsidRPr="002C4077">
        <w:t xml:space="preserve"> </w:t>
      </w:r>
      <w:r w:rsidR="000A7AAB">
        <w:t>un</w:t>
      </w:r>
      <w:r w:rsidR="000A7AAB" w:rsidRPr="002C4077">
        <w:t xml:space="preserve"> </w:t>
      </w:r>
      <w:r w:rsidR="000A7AAB">
        <w:t>potier</w:t>
      </w:r>
      <w:r w:rsidR="000A7AAB" w:rsidRPr="002C4077">
        <w:t xml:space="preserve"> </w:t>
      </w:r>
      <w:r w:rsidR="000A7AAB">
        <w:t>nous</w:t>
      </w:r>
      <w:r w:rsidR="000A7AAB" w:rsidRPr="002C4077">
        <w:t xml:space="preserve"> </w:t>
      </w:r>
      <w:r w:rsidR="000A7AAB">
        <w:t>invite</w:t>
      </w:r>
      <w:r w:rsidR="000A7AAB" w:rsidRPr="002C4077">
        <w:t xml:space="preserve"> </w:t>
      </w:r>
      <w:r w:rsidR="000A7AAB">
        <w:t>à</w:t>
      </w:r>
      <w:r w:rsidR="000A7AAB" w:rsidRPr="002C4077">
        <w:t xml:space="preserve"> </w:t>
      </w:r>
      <w:r w:rsidR="000A7AAB">
        <w:t>examiner</w:t>
      </w:r>
      <w:r w:rsidR="000A7AAB" w:rsidRPr="002C4077">
        <w:t xml:space="preserve"> </w:t>
      </w:r>
      <w:r w:rsidR="000A7AAB">
        <w:t>divers</w:t>
      </w:r>
      <w:r w:rsidR="000A7AAB" w:rsidRPr="002C4077">
        <w:t xml:space="preserve"> </w:t>
      </w:r>
      <w:r w:rsidR="000A7AAB">
        <w:t>objets</w:t>
      </w:r>
      <w:r w:rsidR="000A7AAB" w:rsidRPr="002C4077">
        <w:t xml:space="preserve"> </w:t>
      </w:r>
      <w:r w:rsidR="000A7AAB">
        <w:t>d’une</w:t>
      </w:r>
      <w:r w:rsidR="000A7AAB" w:rsidRPr="002C4077">
        <w:t xml:space="preserve"> </w:t>
      </w:r>
      <w:r w:rsidR="000A7AAB">
        <w:t>grâce</w:t>
      </w:r>
      <w:r w:rsidR="000A7AAB" w:rsidRPr="002C4077">
        <w:t xml:space="preserve"> </w:t>
      </w:r>
      <w:r w:rsidR="000A7AAB">
        <w:t>exquise,</w:t>
      </w:r>
      <w:r w:rsidR="000A7AAB" w:rsidRPr="002C4077">
        <w:t xml:space="preserve"> </w:t>
      </w:r>
      <w:r w:rsidR="000A7AAB">
        <w:t>en</w:t>
      </w:r>
      <w:r w:rsidR="000A7AAB" w:rsidRPr="002C4077">
        <w:t xml:space="preserve"> </w:t>
      </w:r>
      <w:r w:rsidR="000A7AAB">
        <w:t>terre</w:t>
      </w:r>
      <w:r w:rsidR="000A7AAB" w:rsidRPr="002C4077">
        <w:t xml:space="preserve"> </w:t>
      </w:r>
      <w:r w:rsidR="000A7AAB">
        <w:t>blanche</w:t>
      </w:r>
      <w:r w:rsidR="000A7AAB" w:rsidRPr="002C4077">
        <w:t xml:space="preserve"> </w:t>
      </w:r>
      <w:r w:rsidR="000A7AAB">
        <w:t>et</w:t>
      </w:r>
      <w:r w:rsidR="000A7AAB" w:rsidRPr="002C4077">
        <w:t xml:space="preserve"> </w:t>
      </w:r>
      <w:r w:rsidR="000A7AAB">
        <w:t>noire.</w:t>
      </w:r>
      <w:r w:rsidR="000A7AAB" w:rsidRPr="002C4077">
        <w:t xml:space="preserve"> </w:t>
      </w:r>
      <w:r w:rsidR="000A7AAB">
        <w:t>Là-bas,</w:t>
      </w:r>
      <w:r w:rsidR="000A7AAB" w:rsidRPr="002C4077">
        <w:t xml:space="preserve"> </w:t>
      </w:r>
      <w:r w:rsidR="000A7AAB">
        <w:t>nous</w:t>
      </w:r>
      <w:r w:rsidR="000A7AAB" w:rsidRPr="002C4077">
        <w:t xml:space="preserve"> </w:t>
      </w:r>
      <w:r w:rsidR="000A7AAB">
        <w:t>pourrons</w:t>
      </w:r>
      <w:r w:rsidR="000A7AAB" w:rsidRPr="002C4077">
        <w:t xml:space="preserve"> </w:t>
      </w:r>
      <w:r w:rsidR="000A7AAB">
        <w:t>acheter</w:t>
      </w:r>
      <w:r w:rsidR="000A7AAB" w:rsidRPr="002C4077">
        <w:t xml:space="preserve"> </w:t>
      </w:r>
      <w:r w:rsidR="000A7AAB">
        <w:t>les</w:t>
      </w:r>
      <w:r w:rsidR="000A7AAB" w:rsidRPr="002C4077">
        <w:t xml:space="preserve"> </w:t>
      </w:r>
      <w:r w:rsidR="000A7AAB">
        <w:t>figues</w:t>
      </w:r>
      <w:r w:rsidR="000A7AAB" w:rsidRPr="002C4077">
        <w:t xml:space="preserve"> </w:t>
      </w:r>
      <w:r w:rsidR="000A7AAB">
        <w:t>les</w:t>
      </w:r>
      <w:r w:rsidR="000A7AAB" w:rsidRPr="002C4077">
        <w:t xml:space="preserve"> </w:t>
      </w:r>
      <w:r w:rsidR="000A7AAB">
        <w:t>plus</w:t>
      </w:r>
      <w:r w:rsidR="000A7AAB" w:rsidRPr="002C4077">
        <w:t xml:space="preserve"> </w:t>
      </w:r>
      <w:r w:rsidR="000A7AAB">
        <w:t>précieuses</w:t>
      </w:r>
      <w:r w:rsidR="000A7AAB" w:rsidRPr="002C4077">
        <w:t xml:space="preserve"> </w:t>
      </w:r>
      <w:r w:rsidR="000A7AAB">
        <w:t>de</w:t>
      </w:r>
      <w:r w:rsidR="000A7AAB" w:rsidRPr="002C4077">
        <w:t xml:space="preserve"> </w:t>
      </w:r>
      <w:r w:rsidR="000A7AAB">
        <w:t>Jérusalem</w:t>
      </w:r>
      <w:r>
        <w:t> :</w:t>
      </w:r>
      <w:r w:rsidR="000A7AAB" w:rsidRPr="002C4077">
        <w:t xml:space="preserve"> </w:t>
      </w:r>
      <w:r w:rsidR="000A7AAB">
        <w:t>elles</w:t>
      </w:r>
      <w:r w:rsidR="000A7AAB" w:rsidRPr="002C4077">
        <w:t xml:space="preserve"> </w:t>
      </w:r>
      <w:r w:rsidR="000A7AAB">
        <w:t>proviennent</w:t>
      </w:r>
      <w:r w:rsidR="000A7AAB" w:rsidRPr="002C4077">
        <w:t xml:space="preserve"> </w:t>
      </w:r>
      <w:r w:rsidR="000A7AAB">
        <w:t>du</w:t>
      </w:r>
      <w:r w:rsidR="000A7AAB" w:rsidRPr="002C4077">
        <w:t xml:space="preserve"> </w:t>
      </w:r>
      <w:r w:rsidR="000A7AAB" w:rsidRPr="000A34B5">
        <w:rPr>
          <w:rStyle w:val="italicus"/>
        </w:rPr>
        <w:t>Jardin</w:t>
      </w:r>
      <w:r w:rsidR="000A7AAB" w:rsidRPr="002C4077">
        <w:t xml:space="preserve"> </w:t>
      </w:r>
      <w:r w:rsidR="000A7AAB" w:rsidRPr="000A34B5">
        <w:rPr>
          <w:rStyle w:val="italicus"/>
        </w:rPr>
        <w:t>aux</w:t>
      </w:r>
      <w:r w:rsidR="000A7AAB" w:rsidRPr="002C4077">
        <w:t xml:space="preserve"> </w:t>
      </w:r>
      <w:r w:rsidR="000A7AAB" w:rsidRPr="000A34B5">
        <w:rPr>
          <w:rStyle w:val="italicus"/>
        </w:rPr>
        <w:t>roses</w:t>
      </w:r>
      <w:r w:rsidR="000A7AAB" w:rsidRPr="002C4077">
        <w:t xml:space="preserve"> </w:t>
      </w:r>
      <w:r w:rsidR="000A7AAB">
        <w:t>fumé</w:t>
      </w:r>
      <w:r w:rsidR="000A7AAB" w:rsidRPr="002C4077">
        <w:t xml:space="preserve"> </w:t>
      </w:r>
      <w:r w:rsidR="000A7AAB">
        <w:t>avec</w:t>
      </w:r>
      <w:r w:rsidR="000A7AAB" w:rsidRPr="002C4077">
        <w:t xml:space="preserve"> </w:t>
      </w:r>
      <w:r w:rsidR="000A7AAB">
        <w:t>le</w:t>
      </w:r>
      <w:r w:rsidR="000A7AAB" w:rsidRPr="002C4077">
        <w:t xml:space="preserve"> </w:t>
      </w:r>
      <w:r w:rsidR="000A7AAB">
        <w:t>sang</w:t>
      </w:r>
      <w:r w:rsidR="000A7AAB" w:rsidRPr="002C4077">
        <w:t xml:space="preserve"> </w:t>
      </w:r>
      <w:r w:rsidR="000A7AAB">
        <w:t>des</w:t>
      </w:r>
      <w:r w:rsidR="000A7AAB" w:rsidRPr="002C4077">
        <w:t xml:space="preserve"> </w:t>
      </w:r>
      <w:r w:rsidR="000A7AAB">
        <w:t>victimes</w:t>
      </w:r>
      <w:r w:rsidR="00B91AF7">
        <w:rPr>
          <w:rStyle w:val="Appelnotedebasdep"/>
        </w:rPr>
        <w:footnoteReference w:id="821"/>
      </w:r>
      <w:r w:rsidR="000A7AAB">
        <w:t>.</w:t>
      </w:r>
      <w:r w:rsidR="00C45B47">
        <w:t xml:space="preserve"> {</w:t>
      </w:r>
      <w:r w:rsidR="001F5257">
        <w:t>262</w:t>
      </w:r>
      <w:bookmarkStart w:id="634" w:name="p262"/>
      <w:bookmarkEnd w:id="634"/>
      <w:r w:rsidR="001F5257">
        <w:t xml:space="preserve">} </w:t>
      </w:r>
      <w:r w:rsidR="000A7AAB">
        <w:t>Ce</w:t>
      </w:r>
      <w:r w:rsidR="000A7AAB" w:rsidRPr="002C4077">
        <w:t xml:space="preserve"> </w:t>
      </w:r>
      <w:r w:rsidR="000A7AAB">
        <w:t>vieillard,</w:t>
      </w:r>
      <w:r w:rsidR="000A7AAB" w:rsidRPr="002C4077">
        <w:t xml:space="preserve"> </w:t>
      </w:r>
      <w:r w:rsidR="000A7AAB">
        <w:t>entièrement</w:t>
      </w:r>
      <w:r w:rsidR="000A7AAB" w:rsidRPr="002C4077">
        <w:t xml:space="preserve"> </w:t>
      </w:r>
      <w:r w:rsidR="000A7AAB">
        <w:t>vêtu</w:t>
      </w:r>
      <w:r w:rsidR="000A7AAB" w:rsidRPr="002C4077">
        <w:t xml:space="preserve"> </w:t>
      </w:r>
      <w:r w:rsidR="000A7AAB">
        <w:t>de</w:t>
      </w:r>
      <w:r w:rsidR="000A7AAB" w:rsidRPr="002C4077">
        <w:t xml:space="preserve"> </w:t>
      </w:r>
      <w:r w:rsidR="000A7AAB">
        <w:t>blanc,</w:t>
      </w:r>
      <w:r w:rsidR="000A7AAB" w:rsidRPr="002C4077">
        <w:t xml:space="preserve"> </w:t>
      </w:r>
      <w:r w:rsidR="000A7AAB">
        <w:t>qui</w:t>
      </w:r>
      <w:r w:rsidR="000A7AAB" w:rsidRPr="002C4077">
        <w:t xml:space="preserve"> </w:t>
      </w:r>
      <w:r w:rsidR="000A7AAB">
        <w:t>porte</w:t>
      </w:r>
      <w:r w:rsidR="000A7AAB" w:rsidRPr="002C4077">
        <w:t xml:space="preserve"> </w:t>
      </w:r>
      <w:r w:rsidR="000A7AAB">
        <w:t>des</w:t>
      </w:r>
      <w:r w:rsidR="000A7AAB" w:rsidRPr="002C4077">
        <w:t xml:space="preserve"> </w:t>
      </w:r>
      <w:r w:rsidR="000A7AAB">
        <w:t>souliers</w:t>
      </w:r>
      <w:r w:rsidR="000A7AAB" w:rsidRPr="002C4077">
        <w:t xml:space="preserve"> </w:t>
      </w:r>
      <w:r w:rsidR="000A7AAB">
        <w:t>si</w:t>
      </w:r>
      <w:r w:rsidR="000A7AAB" w:rsidRPr="002C4077">
        <w:t xml:space="preserve"> </w:t>
      </w:r>
      <w:r w:rsidR="000A7AAB">
        <w:t>usés</w:t>
      </w:r>
      <w:r w:rsidR="000A7AAB" w:rsidRPr="002C4077">
        <w:t xml:space="preserve"> </w:t>
      </w:r>
      <w:r w:rsidR="000A7AAB">
        <w:t>qu’un</w:t>
      </w:r>
      <w:r w:rsidR="000A7AAB" w:rsidRPr="002C4077">
        <w:t xml:space="preserve"> </w:t>
      </w:r>
      <w:r w:rsidR="000A7AAB">
        <w:t>pauvre</w:t>
      </w:r>
      <w:r w:rsidR="000A7AAB" w:rsidRPr="002C4077">
        <w:t xml:space="preserve"> </w:t>
      </w:r>
      <w:r w:rsidR="000A7AAB">
        <w:t>les</w:t>
      </w:r>
      <w:r w:rsidR="000A7AAB" w:rsidRPr="002C4077">
        <w:t xml:space="preserve"> </w:t>
      </w:r>
      <w:r w:rsidR="000A7AAB">
        <w:t>refuserait,</w:t>
      </w:r>
      <w:r w:rsidR="000A7AAB" w:rsidRPr="002C4077">
        <w:t xml:space="preserve"> </w:t>
      </w:r>
      <w:r w:rsidR="000A7AAB">
        <w:t>c’est</w:t>
      </w:r>
      <w:r w:rsidR="000A7AAB" w:rsidRPr="002C4077">
        <w:t xml:space="preserve"> </w:t>
      </w:r>
      <w:r w:rsidR="000A7AAB">
        <w:t>un</w:t>
      </w:r>
      <w:r w:rsidR="000A7AAB" w:rsidRPr="002C4077">
        <w:t xml:space="preserve"> </w:t>
      </w:r>
      <w:r w:rsidR="000A7AAB">
        <w:t>Essénien</w:t>
      </w:r>
      <w:r>
        <w:t> :</w:t>
      </w:r>
      <w:r w:rsidR="000A7AAB" w:rsidRPr="002C4077">
        <w:t xml:space="preserve"> </w:t>
      </w:r>
      <w:r w:rsidR="000A7AAB">
        <w:t>il</w:t>
      </w:r>
      <w:r w:rsidR="000A7AAB" w:rsidRPr="002C4077">
        <w:t xml:space="preserve"> </w:t>
      </w:r>
      <w:r w:rsidR="000A7AAB">
        <w:t>regarde</w:t>
      </w:r>
      <w:r w:rsidR="000A7AAB" w:rsidRPr="002C4077">
        <w:t xml:space="preserve"> </w:t>
      </w:r>
      <w:r w:rsidR="000A7AAB">
        <w:t>autour</w:t>
      </w:r>
      <w:r w:rsidR="000A7AAB" w:rsidRPr="002C4077">
        <w:t xml:space="preserve"> </w:t>
      </w:r>
      <w:r w:rsidR="000A7AAB">
        <w:t>de</w:t>
      </w:r>
      <w:r w:rsidR="000A7AAB" w:rsidRPr="002C4077">
        <w:t xml:space="preserve"> </w:t>
      </w:r>
      <w:r w:rsidR="000A7AAB">
        <w:t>lui</w:t>
      </w:r>
      <w:r w:rsidR="000A7AAB" w:rsidRPr="002C4077">
        <w:t xml:space="preserve"> </w:t>
      </w:r>
      <w:r w:rsidR="000A7AAB">
        <w:t>pour</w:t>
      </w:r>
      <w:r w:rsidR="000A7AAB" w:rsidRPr="002C4077">
        <w:t xml:space="preserve"> </w:t>
      </w:r>
      <w:r w:rsidR="000A7AAB">
        <w:t>voir</w:t>
      </w:r>
      <w:r w:rsidR="000A7AAB" w:rsidRPr="002C4077">
        <w:t xml:space="preserve"> </w:t>
      </w:r>
      <w:r w:rsidR="000A7AAB">
        <w:t>s’il</w:t>
      </w:r>
      <w:r w:rsidR="000A7AAB" w:rsidRPr="002C4077">
        <w:t xml:space="preserve"> </w:t>
      </w:r>
      <w:r w:rsidR="000A7AAB">
        <w:t>ne</w:t>
      </w:r>
      <w:r w:rsidR="000A7AAB" w:rsidRPr="002C4077">
        <w:t xml:space="preserve"> </w:t>
      </w:r>
      <w:r w:rsidR="000A7AAB">
        <w:t>découvrira</w:t>
      </w:r>
      <w:r w:rsidR="000A7AAB" w:rsidRPr="002C4077">
        <w:t xml:space="preserve"> </w:t>
      </w:r>
      <w:r w:rsidR="000A7AAB">
        <w:t>personne</w:t>
      </w:r>
      <w:r w:rsidR="000A7AAB" w:rsidRPr="002C4077">
        <w:t xml:space="preserve"> </w:t>
      </w:r>
      <w:r w:rsidR="000A7AAB">
        <w:t>qui</w:t>
      </w:r>
      <w:r w:rsidR="000A7AAB" w:rsidRPr="002C4077">
        <w:t xml:space="preserve"> </w:t>
      </w:r>
      <w:r w:rsidR="000A7AAB">
        <w:t>puisse</w:t>
      </w:r>
      <w:r w:rsidR="000A7AAB" w:rsidRPr="002C4077">
        <w:t xml:space="preserve"> </w:t>
      </w:r>
      <w:r w:rsidR="000A7AAB">
        <w:t>le</w:t>
      </w:r>
      <w:r w:rsidR="000A7AAB" w:rsidRPr="002C4077">
        <w:t xml:space="preserve"> </w:t>
      </w:r>
      <w:r w:rsidR="000A7AAB">
        <w:t>conduire</w:t>
      </w:r>
      <w:r w:rsidR="000A7AAB" w:rsidRPr="002C4077">
        <w:t xml:space="preserve"> </w:t>
      </w:r>
      <w:r w:rsidR="000A7AAB">
        <w:t>à</w:t>
      </w:r>
      <w:r w:rsidR="000A7AAB" w:rsidRPr="002C4077">
        <w:t xml:space="preserve"> </w:t>
      </w:r>
      <w:r w:rsidR="000A7AAB">
        <w:t>l’habitation</w:t>
      </w:r>
      <w:r w:rsidR="000A7AAB" w:rsidRPr="002C4077">
        <w:t xml:space="preserve"> </w:t>
      </w:r>
      <w:r w:rsidR="000A7AAB">
        <w:t>des</w:t>
      </w:r>
      <w:r w:rsidR="000A7AAB" w:rsidRPr="002C4077">
        <w:t xml:space="preserve"> </w:t>
      </w:r>
      <w:r w:rsidR="000A7AAB">
        <w:t>frères</w:t>
      </w:r>
      <w:r w:rsidR="000A7AAB" w:rsidRPr="002C4077">
        <w:t xml:space="preserve"> </w:t>
      </w:r>
      <w:r w:rsidR="000A7AAB">
        <w:t>de</w:t>
      </w:r>
      <w:r w:rsidR="000A7AAB" w:rsidRPr="002C4077">
        <w:t xml:space="preserve"> </w:t>
      </w:r>
      <w:r w:rsidR="000A7AAB">
        <w:t>son</w:t>
      </w:r>
      <w:r w:rsidR="000A7AAB" w:rsidRPr="002C4077">
        <w:t xml:space="preserve"> </w:t>
      </w:r>
      <w:r w:rsidR="000A7AAB">
        <w:t>ordre,</w:t>
      </w:r>
      <w:r w:rsidR="000A7AAB" w:rsidRPr="002C4077">
        <w:t xml:space="preserve"> </w:t>
      </w:r>
      <w:r w:rsidR="000A7AAB">
        <w:t>ou</w:t>
      </w:r>
      <w:r w:rsidR="000A7AAB" w:rsidRPr="002C4077">
        <w:t xml:space="preserve"> </w:t>
      </w:r>
      <w:r w:rsidR="000A7AAB">
        <w:t>qui</w:t>
      </w:r>
      <w:r w:rsidR="000A7AAB" w:rsidRPr="002C4077">
        <w:t xml:space="preserve"> </w:t>
      </w:r>
      <w:r w:rsidR="000A7AAB">
        <w:t>du</w:t>
      </w:r>
      <w:r w:rsidR="000A7AAB" w:rsidRPr="002C4077">
        <w:t xml:space="preserve"> </w:t>
      </w:r>
      <w:r w:rsidR="000A7AAB">
        <w:t>moins</w:t>
      </w:r>
      <w:r w:rsidR="000A7AAB" w:rsidRPr="002C4077">
        <w:t xml:space="preserve"> </w:t>
      </w:r>
      <w:r w:rsidR="000A7AAB">
        <w:t>lui</w:t>
      </w:r>
      <w:r w:rsidR="000A7AAB" w:rsidRPr="002C4077">
        <w:t xml:space="preserve"> </w:t>
      </w:r>
      <w:r w:rsidR="000A7AAB">
        <w:t>en</w:t>
      </w:r>
      <w:r w:rsidR="000A7AAB" w:rsidRPr="002C4077">
        <w:t xml:space="preserve"> </w:t>
      </w:r>
      <w:r w:rsidR="000A7AAB">
        <w:t>indique</w:t>
      </w:r>
      <w:r w:rsidR="000A7AAB" w:rsidRPr="002C4077">
        <w:t xml:space="preserve"> </w:t>
      </w:r>
      <w:r w:rsidR="000A7AAB">
        <w:t>le</w:t>
      </w:r>
      <w:r w:rsidR="000A7AAB" w:rsidRPr="002C4077">
        <w:t xml:space="preserve"> </w:t>
      </w:r>
      <w:r w:rsidR="000A7AAB">
        <w:t>chemin.</w:t>
      </w:r>
      <w:r w:rsidR="000A7AAB" w:rsidRPr="002C4077">
        <w:t xml:space="preserve"> </w:t>
      </w:r>
    </w:p>
    <w:p w:rsidR="000A7AAB" w:rsidRDefault="00B546AF" w:rsidP="000A7AAB">
      <w:r>
        <w:t>« </w:t>
      </w:r>
      <w:r w:rsidR="000A7AAB">
        <w:t>Maintenant,</w:t>
      </w:r>
      <w:r w:rsidR="000A7AAB" w:rsidRPr="002C4077">
        <w:t xml:space="preserve"> </w:t>
      </w:r>
      <w:r w:rsidR="000A7AAB">
        <w:t>la</w:t>
      </w:r>
      <w:r w:rsidR="000A7AAB" w:rsidRPr="002C4077">
        <w:t xml:space="preserve"> </w:t>
      </w:r>
      <w:r w:rsidR="000A7AAB">
        <w:t>chaleur</w:t>
      </w:r>
      <w:r w:rsidR="000A7AAB" w:rsidRPr="002C4077">
        <w:t xml:space="preserve"> </w:t>
      </w:r>
      <w:r w:rsidR="000A7AAB">
        <w:t>du</w:t>
      </w:r>
      <w:r w:rsidR="000A7AAB" w:rsidRPr="002C4077">
        <w:t xml:space="preserve"> </w:t>
      </w:r>
      <w:r w:rsidR="000A7AAB">
        <w:t>jour</w:t>
      </w:r>
      <w:r w:rsidR="000A7AAB" w:rsidRPr="002C4077">
        <w:t xml:space="preserve"> </w:t>
      </w:r>
      <w:r w:rsidR="000A7AAB">
        <w:t>commence</w:t>
      </w:r>
      <w:r w:rsidR="000A7AAB" w:rsidRPr="002C4077">
        <w:t xml:space="preserve"> </w:t>
      </w:r>
      <w:r w:rsidR="000A7AAB">
        <w:t>à</w:t>
      </w:r>
      <w:r w:rsidR="000A7AAB" w:rsidRPr="002C4077">
        <w:t xml:space="preserve"> </w:t>
      </w:r>
      <w:r w:rsidR="000A7AAB">
        <w:t>se</w:t>
      </w:r>
      <w:r w:rsidR="000A7AAB" w:rsidRPr="002C4077">
        <w:t xml:space="preserve"> </w:t>
      </w:r>
      <w:r w:rsidR="000A7AAB">
        <w:t>faire</w:t>
      </w:r>
      <w:r w:rsidR="000A7AAB" w:rsidRPr="002C4077">
        <w:t xml:space="preserve"> </w:t>
      </w:r>
      <w:r w:rsidR="000A7AAB">
        <w:t>sentir,</w:t>
      </w:r>
      <w:r w:rsidR="000A7AAB" w:rsidRPr="002C4077">
        <w:t xml:space="preserve"> </w:t>
      </w:r>
      <w:r w:rsidR="000A7AAB">
        <w:t>et</w:t>
      </w:r>
      <w:r w:rsidR="000A7AAB" w:rsidRPr="002C4077">
        <w:t xml:space="preserve"> </w:t>
      </w:r>
      <w:r w:rsidR="000A7AAB">
        <w:t>la</w:t>
      </w:r>
      <w:r w:rsidR="000A7AAB" w:rsidRPr="002C4077">
        <w:t xml:space="preserve"> </w:t>
      </w:r>
      <w:r w:rsidR="000A7AAB">
        <w:t>grande</w:t>
      </w:r>
      <w:r w:rsidR="000A7AAB" w:rsidRPr="002C4077">
        <w:t xml:space="preserve"> </w:t>
      </w:r>
      <w:r w:rsidR="000A7AAB">
        <w:t>citerne</w:t>
      </w:r>
      <w:r w:rsidR="000A7AAB" w:rsidRPr="002C4077">
        <w:t xml:space="preserve"> </w:t>
      </w:r>
      <w:r w:rsidR="000A7AAB">
        <w:t>située</w:t>
      </w:r>
      <w:r w:rsidR="000A7AAB" w:rsidRPr="002C4077">
        <w:t xml:space="preserve"> </w:t>
      </w:r>
      <w:r w:rsidR="000A7AAB">
        <w:t>au</w:t>
      </w:r>
      <w:r w:rsidR="000A7AAB" w:rsidRPr="002C4077">
        <w:t xml:space="preserve"> </w:t>
      </w:r>
      <w:r w:rsidR="000A7AAB">
        <w:t>milieu</w:t>
      </w:r>
      <w:r w:rsidR="000A7AAB" w:rsidRPr="002C4077">
        <w:t xml:space="preserve"> </w:t>
      </w:r>
      <w:r w:rsidR="000A7AAB">
        <w:t>du</w:t>
      </w:r>
      <w:r w:rsidR="000A7AAB" w:rsidRPr="002C4077">
        <w:t xml:space="preserve"> </w:t>
      </w:r>
      <w:r w:rsidR="000A7AAB">
        <w:t>marché</w:t>
      </w:r>
      <w:r w:rsidR="000A7AAB" w:rsidRPr="002C4077">
        <w:t xml:space="preserve"> </w:t>
      </w:r>
      <w:r w:rsidR="00425C50">
        <w:t>est</w:t>
      </w:r>
      <w:r w:rsidR="000A7AAB" w:rsidRPr="002C4077">
        <w:t xml:space="preserve"> </w:t>
      </w:r>
      <w:r w:rsidR="000A7AAB">
        <w:t>assiégée</w:t>
      </w:r>
      <w:r w:rsidR="000A7AAB" w:rsidRPr="002C4077">
        <w:t xml:space="preserve"> </w:t>
      </w:r>
      <w:r w:rsidR="000A7AAB">
        <w:t>par</w:t>
      </w:r>
      <w:r w:rsidR="000A7AAB" w:rsidRPr="002C4077">
        <w:t xml:space="preserve"> </w:t>
      </w:r>
      <w:r w:rsidR="000A7AAB">
        <w:t>une</w:t>
      </w:r>
      <w:r w:rsidR="000A7AAB" w:rsidRPr="002C4077">
        <w:t xml:space="preserve"> </w:t>
      </w:r>
      <w:r w:rsidR="000A7AAB">
        <w:t>foule</w:t>
      </w:r>
      <w:r w:rsidR="000A7AAB" w:rsidRPr="002C4077">
        <w:t xml:space="preserve"> </w:t>
      </w:r>
      <w:r w:rsidR="000A7AAB">
        <w:t>de</w:t>
      </w:r>
      <w:r w:rsidR="000A7AAB" w:rsidRPr="002C4077">
        <w:t xml:space="preserve"> </w:t>
      </w:r>
      <w:r w:rsidR="000A7AAB">
        <w:t>gens</w:t>
      </w:r>
      <w:r w:rsidR="000A7AAB" w:rsidRPr="002C4077">
        <w:t xml:space="preserve"> </w:t>
      </w:r>
      <w:r w:rsidR="000A7AAB">
        <w:t>altérés.</w:t>
      </w:r>
      <w:r w:rsidR="000A7AAB" w:rsidRPr="002C4077">
        <w:t xml:space="preserve"> </w:t>
      </w:r>
      <w:r w:rsidR="000A7AAB">
        <w:t>Parfois,</w:t>
      </w:r>
      <w:r w:rsidR="000A7AAB" w:rsidRPr="002C4077">
        <w:t xml:space="preserve"> </w:t>
      </w:r>
      <w:r w:rsidR="000A7AAB">
        <w:t>la</w:t>
      </w:r>
      <w:r w:rsidR="000A7AAB" w:rsidRPr="002C4077">
        <w:t xml:space="preserve"> </w:t>
      </w:r>
      <w:r w:rsidR="000A7AAB">
        <w:t>multitude</w:t>
      </w:r>
      <w:r w:rsidR="000A7AAB" w:rsidRPr="002C4077">
        <w:t xml:space="preserve"> </w:t>
      </w:r>
      <w:r w:rsidR="000A7AAB">
        <w:t>s’écarte</w:t>
      </w:r>
      <w:r w:rsidR="000A7AAB" w:rsidRPr="002C4077">
        <w:t xml:space="preserve"> </w:t>
      </w:r>
      <w:r w:rsidR="000A7AAB">
        <w:t>timidement,</w:t>
      </w:r>
      <w:r w:rsidR="000A7AAB" w:rsidRPr="002C4077">
        <w:t xml:space="preserve"> </w:t>
      </w:r>
      <w:r w:rsidR="000A7AAB">
        <w:t>pour</w:t>
      </w:r>
      <w:r w:rsidR="000A7AAB" w:rsidRPr="002C4077">
        <w:t xml:space="preserve"> </w:t>
      </w:r>
      <w:r w:rsidR="000A7AAB">
        <w:t>faire</w:t>
      </w:r>
      <w:r w:rsidR="000A7AAB" w:rsidRPr="002C4077">
        <w:t xml:space="preserve"> </w:t>
      </w:r>
      <w:r w:rsidR="000A7AAB">
        <w:t>place</w:t>
      </w:r>
      <w:r w:rsidR="000A7AAB" w:rsidRPr="002C4077">
        <w:t xml:space="preserve"> </w:t>
      </w:r>
      <w:r w:rsidR="000A7AAB">
        <w:t>à</w:t>
      </w:r>
      <w:r w:rsidR="000A7AAB" w:rsidRPr="002C4077">
        <w:t xml:space="preserve"> </w:t>
      </w:r>
      <w:r w:rsidR="000A7AAB">
        <w:t>un</w:t>
      </w:r>
      <w:r w:rsidR="000A7AAB" w:rsidRPr="002C4077">
        <w:t xml:space="preserve"> </w:t>
      </w:r>
      <w:r w:rsidR="000A7AAB">
        <w:t>écuyer</w:t>
      </w:r>
      <w:r w:rsidR="000A7AAB" w:rsidRPr="002C4077">
        <w:t xml:space="preserve"> </w:t>
      </w:r>
      <w:r w:rsidR="000A7AAB">
        <w:t>royal</w:t>
      </w:r>
      <w:r>
        <w:t> ;</w:t>
      </w:r>
      <w:r w:rsidR="000A7AAB" w:rsidRPr="002C4077">
        <w:t xml:space="preserve"> </w:t>
      </w:r>
      <w:r w:rsidR="000A7AAB">
        <w:t>les</w:t>
      </w:r>
      <w:r w:rsidR="000A7AAB" w:rsidRPr="002C4077">
        <w:t xml:space="preserve"> </w:t>
      </w:r>
      <w:r w:rsidR="000A7AAB">
        <w:t>acheteurs</w:t>
      </w:r>
      <w:r w:rsidR="000A7AAB" w:rsidRPr="002C4077">
        <w:t xml:space="preserve"> </w:t>
      </w:r>
      <w:r w:rsidR="000A7AAB">
        <w:t>se</w:t>
      </w:r>
      <w:r w:rsidR="000A7AAB" w:rsidRPr="002C4077">
        <w:t xml:space="preserve"> </w:t>
      </w:r>
      <w:r w:rsidR="000A7AAB">
        <w:t>retirent</w:t>
      </w:r>
      <w:r w:rsidR="000A7AAB" w:rsidRPr="002C4077">
        <w:t xml:space="preserve"> </w:t>
      </w:r>
      <w:r w:rsidR="000A7AAB">
        <w:t>pour</w:t>
      </w:r>
      <w:r w:rsidR="000A7AAB" w:rsidRPr="002C4077">
        <w:t xml:space="preserve"> </w:t>
      </w:r>
      <w:r w:rsidR="000A7AAB">
        <w:t>laisser</w:t>
      </w:r>
      <w:r w:rsidR="000A7AAB" w:rsidRPr="002C4077">
        <w:t xml:space="preserve"> </w:t>
      </w:r>
      <w:r w:rsidR="000A7AAB">
        <w:t>le</w:t>
      </w:r>
      <w:r w:rsidR="000A7AAB" w:rsidRPr="002C4077">
        <w:t xml:space="preserve"> </w:t>
      </w:r>
      <w:r w:rsidR="000A7AAB">
        <w:t>choix</w:t>
      </w:r>
      <w:r w:rsidR="000A7AAB" w:rsidRPr="002C4077">
        <w:t xml:space="preserve"> </w:t>
      </w:r>
      <w:r w:rsidR="000A7AAB">
        <w:t>à</w:t>
      </w:r>
      <w:r w:rsidR="000A7AAB" w:rsidRPr="002C4077">
        <w:t xml:space="preserve"> </w:t>
      </w:r>
      <w:r w:rsidR="000A7AAB">
        <w:t>un</w:t>
      </w:r>
      <w:r w:rsidR="000A7AAB" w:rsidRPr="002C4077">
        <w:t xml:space="preserve"> </w:t>
      </w:r>
      <w:r w:rsidR="000A7AAB">
        <w:t>eunuque</w:t>
      </w:r>
      <w:r w:rsidR="000A7AAB" w:rsidRPr="002C4077">
        <w:t xml:space="preserve"> </w:t>
      </w:r>
      <w:r w:rsidR="000A7AAB">
        <w:t>d’Hérode.</w:t>
      </w:r>
      <w:r w:rsidR="000A7AAB" w:rsidRPr="002C4077">
        <w:t xml:space="preserve"> </w:t>
      </w:r>
      <w:r w:rsidR="000A7AAB">
        <w:t>Mais</w:t>
      </w:r>
      <w:r w:rsidR="000A7AAB" w:rsidRPr="002C4077">
        <w:t xml:space="preserve"> </w:t>
      </w:r>
      <w:r w:rsidR="000A7AAB">
        <w:t>un</w:t>
      </w:r>
      <w:r w:rsidR="000A7AAB" w:rsidRPr="002C4077">
        <w:t xml:space="preserve"> </w:t>
      </w:r>
      <w:r w:rsidR="000A7AAB">
        <w:t>jeune</w:t>
      </w:r>
      <w:r w:rsidR="000A7AAB" w:rsidRPr="002C4077">
        <w:t xml:space="preserve"> </w:t>
      </w:r>
      <w:r w:rsidR="000A7AAB">
        <w:t>Galiléen,</w:t>
      </w:r>
      <w:r w:rsidR="000A7AAB" w:rsidRPr="002C4077">
        <w:t xml:space="preserve"> </w:t>
      </w:r>
      <w:r w:rsidR="000A7AAB">
        <w:t>qui</w:t>
      </w:r>
      <w:r w:rsidR="000A7AAB" w:rsidRPr="002C4077">
        <w:t xml:space="preserve"> </w:t>
      </w:r>
      <w:r w:rsidR="000A7AAB">
        <w:t>a</w:t>
      </w:r>
      <w:r w:rsidR="000A7AAB" w:rsidRPr="002C4077">
        <w:t xml:space="preserve"> </w:t>
      </w:r>
      <w:r w:rsidR="000A7AAB">
        <w:t>étendu</w:t>
      </w:r>
      <w:r w:rsidR="000A7AAB" w:rsidRPr="002C4077">
        <w:t xml:space="preserve"> </w:t>
      </w:r>
      <w:r w:rsidR="000A7AAB">
        <w:t>par</w:t>
      </w:r>
      <w:r w:rsidR="000A7AAB" w:rsidRPr="002C4077">
        <w:t xml:space="preserve"> </w:t>
      </w:r>
      <w:r w:rsidR="000A7AAB">
        <w:t>terre</w:t>
      </w:r>
      <w:r w:rsidR="000A7AAB" w:rsidRPr="002C4077">
        <w:t xml:space="preserve"> </w:t>
      </w:r>
      <w:r w:rsidR="000A7AAB">
        <w:t>une</w:t>
      </w:r>
      <w:r w:rsidR="000A7AAB" w:rsidRPr="002C4077">
        <w:t xml:space="preserve"> </w:t>
      </w:r>
      <w:r w:rsidR="000A7AAB">
        <w:t>toile</w:t>
      </w:r>
      <w:r w:rsidR="000A7AAB" w:rsidRPr="002C4077">
        <w:t xml:space="preserve"> </w:t>
      </w:r>
      <w:r w:rsidR="000A7AAB">
        <w:t>carrée</w:t>
      </w:r>
      <w:r w:rsidR="000A7AAB" w:rsidRPr="002C4077">
        <w:t xml:space="preserve"> </w:t>
      </w:r>
      <w:r w:rsidR="000A7AAB">
        <w:t>sur</w:t>
      </w:r>
      <w:r w:rsidR="000A7AAB" w:rsidRPr="002C4077">
        <w:t xml:space="preserve"> </w:t>
      </w:r>
      <w:r w:rsidR="000A7AAB">
        <w:t>laquelle</w:t>
      </w:r>
      <w:r w:rsidR="000A7AAB" w:rsidRPr="002C4077">
        <w:t xml:space="preserve"> </w:t>
      </w:r>
      <w:r w:rsidR="000A7AAB">
        <w:t>il</w:t>
      </w:r>
      <w:r w:rsidR="000A7AAB" w:rsidRPr="002C4077">
        <w:t xml:space="preserve"> </w:t>
      </w:r>
      <w:r w:rsidR="000A7AAB">
        <w:t>a</w:t>
      </w:r>
      <w:r w:rsidR="000A7AAB" w:rsidRPr="002C4077">
        <w:t xml:space="preserve"> </w:t>
      </w:r>
      <w:r w:rsidR="000A7AAB">
        <w:t>déposé</w:t>
      </w:r>
      <w:r w:rsidR="000A7AAB" w:rsidRPr="002C4077">
        <w:t xml:space="preserve"> </w:t>
      </w:r>
      <w:r w:rsidR="000A7AAB">
        <w:t>une</w:t>
      </w:r>
      <w:r w:rsidR="000A7AAB" w:rsidRPr="002C4077">
        <w:t xml:space="preserve"> </w:t>
      </w:r>
      <w:r w:rsidR="000A7AAB">
        <w:t>grande</w:t>
      </w:r>
      <w:r w:rsidR="000A7AAB" w:rsidRPr="002C4077">
        <w:t xml:space="preserve"> </w:t>
      </w:r>
      <w:r w:rsidR="000A7AAB">
        <w:t>amphore</w:t>
      </w:r>
      <w:r w:rsidR="000A7AAB" w:rsidRPr="002C4077">
        <w:t xml:space="preserve"> </w:t>
      </w:r>
      <w:r w:rsidR="000A7AAB">
        <w:t>remplie</w:t>
      </w:r>
      <w:r w:rsidR="000A7AAB" w:rsidRPr="002C4077">
        <w:t xml:space="preserve"> </w:t>
      </w:r>
      <w:r w:rsidR="000A7AAB">
        <w:t>d’huile</w:t>
      </w:r>
      <w:r w:rsidR="000A7AAB" w:rsidRPr="002C4077">
        <w:t xml:space="preserve"> </w:t>
      </w:r>
      <w:r w:rsidR="000A7AAB">
        <w:t>du</w:t>
      </w:r>
      <w:r w:rsidR="000A7AAB" w:rsidRPr="002C4077">
        <w:t xml:space="preserve"> </w:t>
      </w:r>
      <w:r w:rsidR="000A7AAB">
        <w:t>Liban,</w:t>
      </w:r>
      <w:r w:rsidR="000A7AAB" w:rsidRPr="002C4077">
        <w:t xml:space="preserve"> </w:t>
      </w:r>
      <w:r w:rsidR="000A7AAB">
        <w:t>et</w:t>
      </w:r>
      <w:r w:rsidR="000A7AAB" w:rsidRPr="002C4077">
        <w:t xml:space="preserve"> </w:t>
      </w:r>
      <w:r w:rsidR="000A7AAB">
        <w:t>tout</w:t>
      </w:r>
      <w:r w:rsidR="000A7AAB" w:rsidRPr="002C4077">
        <w:t xml:space="preserve"> </w:t>
      </w:r>
      <w:r w:rsidR="000A7AAB">
        <w:t>auprès,</w:t>
      </w:r>
      <w:r w:rsidR="000A7AAB" w:rsidRPr="002C4077">
        <w:t xml:space="preserve"> </w:t>
      </w:r>
      <w:r w:rsidR="000A7AAB">
        <w:t>comme</w:t>
      </w:r>
      <w:r w:rsidR="000A7AAB" w:rsidRPr="002C4077">
        <w:t xml:space="preserve"> </w:t>
      </w:r>
      <w:r w:rsidR="000A7AAB">
        <w:t>un</w:t>
      </w:r>
      <w:r w:rsidR="000A7AAB" w:rsidRPr="002C4077">
        <w:t xml:space="preserve"> </w:t>
      </w:r>
      <w:r w:rsidR="000A7AAB">
        <w:t>appât</w:t>
      </w:r>
      <w:r w:rsidR="000A7AAB" w:rsidRPr="002C4077">
        <w:t xml:space="preserve"> </w:t>
      </w:r>
      <w:r w:rsidR="000A7AAB">
        <w:t>pour</w:t>
      </w:r>
      <w:r w:rsidR="000A7AAB" w:rsidRPr="002C4077">
        <w:t xml:space="preserve"> </w:t>
      </w:r>
      <w:r w:rsidR="000A7AAB">
        <w:t>les</w:t>
      </w:r>
      <w:r w:rsidR="000A7AAB" w:rsidRPr="002C4077">
        <w:t xml:space="preserve"> </w:t>
      </w:r>
      <w:r w:rsidR="000A7AAB">
        <w:t>chalands,</w:t>
      </w:r>
      <w:r w:rsidR="000A7AAB" w:rsidRPr="002C4077">
        <w:t xml:space="preserve"> </w:t>
      </w:r>
      <w:r w:rsidR="000A7AAB">
        <w:t>un</w:t>
      </w:r>
      <w:r w:rsidR="000A7AAB" w:rsidRPr="002C4077">
        <w:t xml:space="preserve"> </w:t>
      </w:r>
      <w:r w:rsidR="000A7AAB">
        <w:t>gigantesque</w:t>
      </w:r>
      <w:r w:rsidR="000A7AAB" w:rsidRPr="002C4077">
        <w:t xml:space="preserve"> </w:t>
      </w:r>
      <w:r w:rsidR="000A7AAB">
        <w:t>melon</w:t>
      </w:r>
      <w:r w:rsidR="000A7AAB" w:rsidRPr="002C4077">
        <w:t xml:space="preserve"> </w:t>
      </w:r>
      <w:r w:rsidR="000A7AAB">
        <w:t>d’eau,</w:t>
      </w:r>
      <w:r w:rsidR="000A7AAB" w:rsidRPr="002C4077">
        <w:t xml:space="preserve"> </w:t>
      </w:r>
      <w:r w:rsidR="000A7AAB">
        <w:t>reste</w:t>
      </w:r>
      <w:r w:rsidR="000A7AAB" w:rsidRPr="002C4077">
        <w:t xml:space="preserve"> </w:t>
      </w:r>
      <w:r w:rsidR="000A7AAB">
        <w:t>immobile</w:t>
      </w:r>
      <w:r w:rsidR="000A7AAB" w:rsidRPr="002C4077">
        <w:t xml:space="preserve"> </w:t>
      </w:r>
      <w:r w:rsidR="000A7AAB">
        <w:t>et</w:t>
      </w:r>
      <w:r w:rsidR="000A7AAB" w:rsidRPr="002C4077">
        <w:t xml:space="preserve"> </w:t>
      </w:r>
      <w:r w:rsidR="000A7AAB">
        <w:t>fixe</w:t>
      </w:r>
      <w:r w:rsidR="000A7AAB" w:rsidRPr="002C4077">
        <w:t xml:space="preserve"> </w:t>
      </w:r>
      <w:r w:rsidR="000A7AAB">
        <w:t>avec</w:t>
      </w:r>
      <w:r w:rsidR="000A7AAB" w:rsidRPr="002C4077">
        <w:t xml:space="preserve"> </w:t>
      </w:r>
      <w:r w:rsidR="000A7AAB">
        <w:t>fierté</w:t>
      </w:r>
      <w:r w:rsidR="000A7AAB" w:rsidRPr="002C4077">
        <w:t xml:space="preserve"> </w:t>
      </w:r>
      <w:r w:rsidR="000A7AAB">
        <w:t>les</w:t>
      </w:r>
      <w:r w:rsidR="000A7AAB" w:rsidRPr="002C4077">
        <w:t xml:space="preserve"> </w:t>
      </w:r>
      <w:r w:rsidR="000A7AAB">
        <w:t>nouveaux</w:t>
      </w:r>
      <w:r w:rsidR="000A7AAB" w:rsidRPr="002C4077">
        <w:t xml:space="preserve"> </w:t>
      </w:r>
      <w:r w:rsidR="000A7AAB">
        <w:t>arrivants</w:t>
      </w:r>
      <w:r w:rsidR="000A7AAB" w:rsidRPr="002C4077">
        <w:t xml:space="preserve"> </w:t>
      </w:r>
      <w:r w:rsidR="000A7AAB">
        <w:t>redoutés</w:t>
      </w:r>
      <w:r w:rsidR="000A7AAB" w:rsidRPr="002C4077">
        <w:t xml:space="preserve"> </w:t>
      </w:r>
      <w:r w:rsidR="000A7AAB">
        <w:t>par</w:t>
      </w:r>
      <w:r w:rsidR="000A7AAB" w:rsidRPr="002C4077">
        <w:t xml:space="preserve"> </w:t>
      </w:r>
      <w:r w:rsidR="000A7AAB">
        <w:t>la</w:t>
      </w:r>
      <w:r w:rsidR="000A7AAB" w:rsidRPr="002C4077">
        <w:t xml:space="preserve"> </w:t>
      </w:r>
      <w:r w:rsidR="000A7AAB">
        <w:t>foule.</w:t>
      </w:r>
      <w:r w:rsidR="000A7AAB" w:rsidRPr="002C4077">
        <w:t xml:space="preserve"> </w:t>
      </w:r>
      <w:r w:rsidR="000A7AAB">
        <w:t>D’où</w:t>
      </w:r>
      <w:r w:rsidR="000A7AAB" w:rsidRPr="002C4077">
        <w:t xml:space="preserve"> </w:t>
      </w:r>
      <w:r w:rsidR="000A7AAB">
        <w:t>êtes-vous</w:t>
      </w:r>
      <w:r w:rsidR="000A7AAB" w:rsidRPr="002C4077">
        <w:t xml:space="preserve"> </w:t>
      </w:r>
      <w:r w:rsidR="000A7AAB">
        <w:t>donc</w:t>
      </w:r>
      <w:r>
        <w:t> ?</w:t>
      </w:r>
      <w:r w:rsidR="000A7AAB" w:rsidRPr="002C4077">
        <w:t xml:space="preserve"> </w:t>
      </w:r>
      <w:r w:rsidR="000A7AAB">
        <w:t>lui</w:t>
      </w:r>
      <w:r w:rsidR="000A7AAB" w:rsidRPr="002C4077">
        <w:t xml:space="preserve"> </w:t>
      </w:r>
      <w:r w:rsidR="000A7AAB">
        <w:t>demande</w:t>
      </w:r>
      <w:r w:rsidR="000A7AAB" w:rsidRPr="002C4077">
        <w:t xml:space="preserve"> </w:t>
      </w:r>
      <w:r w:rsidR="000A7AAB">
        <w:t>un</w:t>
      </w:r>
      <w:r w:rsidR="000A7AAB" w:rsidRPr="002C4077">
        <w:t xml:space="preserve"> </w:t>
      </w:r>
      <w:r w:rsidR="000A7AAB">
        <w:t>petit</w:t>
      </w:r>
      <w:r w:rsidR="000A7AAB" w:rsidRPr="002C4077">
        <w:t xml:space="preserve"> </w:t>
      </w:r>
      <w:r w:rsidR="000A7AAB">
        <w:t>homme</w:t>
      </w:r>
      <w:r w:rsidR="000A7AAB" w:rsidRPr="002C4077">
        <w:t xml:space="preserve"> </w:t>
      </w:r>
      <w:r w:rsidR="000A7AAB">
        <w:t>à</w:t>
      </w:r>
      <w:r w:rsidR="000A7AAB" w:rsidRPr="002C4077">
        <w:t xml:space="preserve"> </w:t>
      </w:r>
      <w:r w:rsidR="000A7AAB">
        <w:t>la</w:t>
      </w:r>
      <w:r w:rsidR="000A7AAB" w:rsidRPr="002C4077">
        <w:t xml:space="preserve"> </w:t>
      </w:r>
      <w:r w:rsidR="000A7AAB">
        <w:t>barbe</w:t>
      </w:r>
      <w:r w:rsidR="000A7AAB" w:rsidRPr="002C4077">
        <w:t xml:space="preserve"> </w:t>
      </w:r>
      <w:r w:rsidR="000F4CEC">
        <w:t>clairsemée</w:t>
      </w:r>
      <w:r w:rsidR="000A7AAB">
        <w:t>,</w:t>
      </w:r>
      <w:r w:rsidR="000A7AAB" w:rsidRPr="002C4077">
        <w:t xml:space="preserve"> </w:t>
      </w:r>
      <w:r w:rsidR="000A7AAB">
        <w:t>auquel</w:t>
      </w:r>
      <w:r w:rsidR="000A7AAB" w:rsidRPr="002C4077">
        <w:t xml:space="preserve"> </w:t>
      </w:r>
      <w:r w:rsidR="000A7AAB">
        <w:t>il</w:t>
      </w:r>
      <w:r w:rsidR="000A7AAB" w:rsidRPr="002C4077">
        <w:t xml:space="preserve"> </w:t>
      </w:r>
      <w:r w:rsidR="000A7AAB">
        <w:t>sert</w:t>
      </w:r>
      <w:r w:rsidR="000A7AAB" w:rsidRPr="002C4077">
        <w:t xml:space="preserve"> </w:t>
      </w:r>
      <w:r w:rsidR="000A7AAB">
        <w:t>de</w:t>
      </w:r>
      <w:r w:rsidR="000A7AAB" w:rsidRPr="002C4077">
        <w:t xml:space="preserve"> </w:t>
      </w:r>
      <w:r w:rsidR="000A7AAB">
        <w:t>son</w:t>
      </w:r>
      <w:r w:rsidR="000A7AAB" w:rsidRPr="002C4077">
        <w:t xml:space="preserve"> </w:t>
      </w:r>
      <w:r w:rsidR="000A7AAB">
        <w:t>huile</w:t>
      </w:r>
      <w:r w:rsidR="000A7AAB" w:rsidRPr="002C4077">
        <w:t xml:space="preserve"> </w:t>
      </w:r>
      <w:r w:rsidR="000A7AAB">
        <w:t>dans</w:t>
      </w:r>
      <w:r w:rsidR="000A7AAB" w:rsidRPr="002C4077">
        <w:t xml:space="preserve"> </w:t>
      </w:r>
      <w:r w:rsidR="000A7AAB">
        <w:t>un</w:t>
      </w:r>
      <w:r w:rsidR="000A7AAB" w:rsidRPr="002C4077">
        <w:t xml:space="preserve"> </w:t>
      </w:r>
      <w:r w:rsidR="000A7AAB">
        <w:t>œuf</w:t>
      </w:r>
      <w:r w:rsidR="000A7AAB" w:rsidRPr="002C4077">
        <w:t xml:space="preserve"> </w:t>
      </w:r>
      <w:r w:rsidR="000A7AAB">
        <w:t>d’argile</w:t>
      </w:r>
      <w:r w:rsidR="000A7AAB" w:rsidRPr="004440EA">
        <w:t xml:space="preserve"> (</w:t>
      </w:r>
      <w:r w:rsidR="000A7AAB">
        <w:t>c’était</w:t>
      </w:r>
      <w:r w:rsidR="000A7AAB" w:rsidRPr="002C4077">
        <w:t xml:space="preserve"> </w:t>
      </w:r>
      <w:r w:rsidR="000A7AAB">
        <w:t>la</w:t>
      </w:r>
      <w:r w:rsidR="000A7AAB" w:rsidRPr="002C4077">
        <w:t xml:space="preserve"> </w:t>
      </w:r>
      <w:r w:rsidR="000A7AAB">
        <w:t>mesure</w:t>
      </w:r>
      <w:r w:rsidR="000A7AAB" w:rsidRPr="002C4077">
        <w:t xml:space="preserve"> </w:t>
      </w:r>
      <w:r w:rsidR="000A7AAB">
        <w:t>des</w:t>
      </w:r>
      <w:r w:rsidR="000A7AAB" w:rsidRPr="002C4077">
        <w:t xml:space="preserve"> </w:t>
      </w:r>
      <w:r w:rsidR="000A7AAB">
        <w:t>liquides</w:t>
      </w:r>
      <w:r w:rsidRPr="002C4077">
        <w:t>)</w:t>
      </w:r>
      <w:r w:rsidR="000A7AAB">
        <w:t>.</w:t>
      </w:r>
      <w:r w:rsidR="000A7AAB" w:rsidRPr="002C4077">
        <w:t xml:space="preserve"> </w:t>
      </w:r>
      <w:r w:rsidR="000A7AAB">
        <w:t>Je</w:t>
      </w:r>
      <w:r w:rsidR="000A7AAB" w:rsidRPr="002C4077">
        <w:t xml:space="preserve"> </w:t>
      </w:r>
      <w:r w:rsidR="000A7AAB">
        <w:t>suis,</w:t>
      </w:r>
      <w:r w:rsidR="000A7AAB" w:rsidRPr="002C4077">
        <w:t xml:space="preserve"> </w:t>
      </w:r>
      <w:r w:rsidR="000F4CEC">
        <w:t>répondit</w:t>
      </w:r>
      <w:r w:rsidR="000A7AAB">
        <w:t>,</w:t>
      </w:r>
      <w:r w:rsidR="000A7AAB" w:rsidRPr="002C4077">
        <w:t xml:space="preserve"> </w:t>
      </w:r>
      <w:r w:rsidR="000A7AAB">
        <w:t>de</w:t>
      </w:r>
      <w:r w:rsidR="000A7AAB" w:rsidRPr="002C4077">
        <w:t xml:space="preserve"> </w:t>
      </w:r>
      <w:r w:rsidR="000A7AAB">
        <w:t>la</w:t>
      </w:r>
      <w:r w:rsidR="000A7AAB" w:rsidRPr="002C4077">
        <w:t xml:space="preserve"> </w:t>
      </w:r>
      <w:r w:rsidR="000A7AAB">
        <w:t>ville</w:t>
      </w:r>
      <w:r w:rsidR="000A7AAB" w:rsidRPr="002C4077">
        <w:t xml:space="preserve"> </w:t>
      </w:r>
      <w:r w:rsidR="000A7AAB">
        <w:t>qui</w:t>
      </w:r>
      <w:r w:rsidR="000A7AAB" w:rsidRPr="002C4077">
        <w:t xml:space="preserve"> </w:t>
      </w:r>
      <w:r w:rsidR="00425C50">
        <w:t>est</w:t>
      </w:r>
      <w:r w:rsidR="000A7AAB" w:rsidRPr="002C4077">
        <w:t xml:space="preserve"> </w:t>
      </w:r>
      <w:r w:rsidR="000A7AAB">
        <w:t>perchée</w:t>
      </w:r>
      <w:r w:rsidR="000A7AAB" w:rsidRPr="002C4077">
        <w:t xml:space="preserve"> </w:t>
      </w:r>
      <w:r w:rsidR="000A7AAB">
        <w:t>sur</w:t>
      </w:r>
      <w:r w:rsidR="000A7AAB" w:rsidRPr="002C4077">
        <w:t xml:space="preserve"> </w:t>
      </w:r>
      <w:r w:rsidR="000A7AAB">
        <w:t>la</w:t>
      </w:r>
      <w:r w:rsidR="000A7AAB" w:rsidRPr="002C4077">
        <w:t xml:space="preserve"> </w:t>
      </w:r>
      <w:r w:rsidR="000A7AAB">
        <w:t>montagne</w:t>
      </w:r>
      <w:r w:rsidR="000A7AAB" w:rsidRPr="002C4077">
        <w:t xml:space="preserve"> </w:t>
      </w:r>
      <w:r w:rsidR="000A7AAB">
        <w:t>comme</w:t>
      </w:r>
      <w:r w:rsidR="000A7AAB" w:rsidRPr="002C4077">
        <w:t xml:space="preserve"> </w:t>
      </w:r>
      <w:r w:rsidR="000A7AAB">
        <w:t>un</w:t>
      </w:r>
      <w:r w:rsidR="000A7AAB" w:rsidRPr="002C4077">
        <w:t xml:space="preserve"> </w:t>
      </w:r>
      <w:r w:rsidR="000A7AAB">
        <w:t>oiseau</w:t>
      </w:r>
      <w:r w:rsidR="000A7AAB" w:rsidRPr="002C4077">
        <w:t xml:space="preserve"> </w:t>
      </w:r>
      <w:r w:rsidR="000A7AAB">
        <w:t>libre.</w:t>
      </w:r>
      <w:r w:rsidR="000A7AAB" w:rsidRPr="002C4077">
        <w:t xml:space="preserve"> </w:t>
      </w:r>
      <w:r w:rsidR="000A7AAB">
        <w:t>Il</w:t>
      </w:r>
      <w:r w:rsidR="000A7AAB" w:rsidRPr="002C4077">
        <w:t xml:space="preserve"> </w:t>
      </w:r>
      <w:r w:rsidR="000A7AAB">
        <w:t>veut</w:t>
      </w:r>
      <w:r w:rsidR="000A7AAB" w:rsidRPr="002C4077">
        <w:t xml:space="preserve"> </w:t>
      </w:r>
      <w:r w:rsidR="000A7AAB">
        <w:t>dire</w:t>
      </w:r>
      <w:r w:rsidR="000A7AAB" w:rsidRPr="002C4077">
        <w:t xml:space="preserve"> </w:t>
      </w:r>
      <w:r w:rsidR="000A7AAB">
        <w:t>Séphoris</w:t>
      </w:r>
      <w:r w:rsidR="00B91AF7">
        <w:rPr>
          <w:rStyle w:val="Appelnotedebasdep"/>
        </w:rPr>
        <w:footnoteReference w:id="822"/>
      </w:r>
      <w:r w:rsidR="000A7AAB">
        <w:t>.</w:t>
      </w:r>
      <w:r w:rsidR="000A7AAB" w:rsidRPr="002C4077">
        <w:t xml:space="preserve"> </w:t>
      </w:r>
      <w:r w:rsidR="000A7AAB">
        <w:t>Vient</w:t>
      </w:r>
      <w:r w:rsidR="000A7AAB" w:rsidRPr="002C4077">
        <w:t xml:space="preserve"> </w:t>
      </w:r>
      <w:r w:rsidR="000A7AAB">
        <w:t>à</w:t>
      </w:r>
      <w:r w:rsidR="000A7AAB" w:rsidRPr="002C4077">
        <w:t xml:space="preserve"> </w:t>
      </w:r>
      <w:r w:rsidR="000A7AAB">
        <w:t>passer</w:t>
      </w:r>
      <w:r w:rsidR="000A7AAB" w:rsidRPr="002C4077">
        <w:t xml:space="preserve"> </w:t>
      </w:r>
      <w:r w:rsidR="000A7AAB">
        <w:t>un</w:t>
      </w:r>
      <w:r w:rsidR="000A7AAB" w:rsidRPr="002C4077">
        <w:t xml:space="preserve"> </w:t>
      </w:r>
      <w:r w:rsidR="000A7AAB">
        <w:t>homme</w:t>
      </w:r>
      <w:r w:rsidR="000A7AAB" w:rsidRPr="002C4077">
        <w:t xml:space="preserve"> </w:t>
      </w:r>
      <w:r w:rsidR="000A7AAB">
        <w:t>qui</w:t>
      </w:r>
      <w:r w:rsidR="000A7AAB" w:rsidRPr="002C4077">
        <w:t xml:space="preserve"> </w:t>
      </w:r>
      <w:r w:rsidR="000A7AAB">
        <w:t>porte</w:t>
      </w:r>
      <w:r w:rsidR="000A7AAB" w:rsidRPr="002C4077">
        <w:t xml:space="preserve"> </w:t>
      </w:r>
      <w:r w:rsidR="000A7AAB">
        <w:t>aux</w:t>
      </w:r>
      <w:r w:rsidR="000A7AAB" w:rsidRPr="002C4077">
        <w:t xml:space="preserve"> </w:t>
      </w:r>
      <w:r w:rsidR="000A7AAB">
        <w:t>oreilles,</w:t>
      </w:r>
      <w:r w:rsidR="000A7AAB" w:rsidRPr="002C4077">
        <w:t xml:space="preserve"> </w:t>
      </w:r>
      <w:r w:rsidR="000A7AAB">
        <w:t>en</w:t>
      </w:r>
      <w:r w:rsidR="000A7AAB" w:rsidRPr="002C4077">
        <w:t xml:space="preserve"> </w:t>
      </w:r>
      <w:r w:rsidR="000A7AAB">
        <w:t>guise</w:t>
      </w:r>
      <w:r w:rsidR="000A7AAB" w:rsidRPr="002C4077">
        <w:t xml:space="preserve"> </w:t>
      </w:r>
      <w:r w:rsidR="000A7AAB">
        <w:t>de</w:t>
      </w:r>
      <w:r w:rsidR="000A7AAB" w:rsidRPr="002C4077">
        <w:t xml:space="preserve"> </w:t>
      </w:r>
      <w:r w:rsidR="000A7AAB">
        <w:t>boucles,</w:t>
      </w:r>
      <w:r w:rsidR="000A7AAB" w:rsidRPr="002C4077">
        <w:t xml:space="preserve"> </w:t>
      </w:r>
      <w:r w:rsidR="000A7AAB">
        <w:t>d’un</w:t>
      </w:r>
      <w:r w:rsidR="000A7AAB" w:rsidRPr="002C4077">
        <w:t xml:space="preserve"> </w:t>
      </w:r>
      <w:r w:rsidR="000A7AAB">
        <w:t>côté</w:t>
      </w:r>
      <w:r w:rsidR="000A7AAB" w:rsidRPr="002C4077">
        <w:t xml:space="preserve"> </w:t>
      </w:r>
      <w:r w:rsidR="000A7AAB">
        <w:t>des</w:t>
      </w:r>
      <w:r w:rsidR="000A7AAB" w:rsidRPr="002C4077">
        <w:t xml:space="preserve"> </w:t>
      </w:r>
      <w:r w:rsidR="000A7AAB">
        <w:t>fils</w:t>
      </w:r>
      <w:r w:rsidR="000A7AAB" w:rsidRPr="002C4077">
        <w:t xml:space="preserve"> </w:t>
      </w:r>
      <w:r w:rsidR="000A7AAB">
        <w:t>rouges</w:t>
      </w:r>
      <w:r w:rsidR="000A7AAB" w:rsidRPr="002C4077">
        <w:t xml:space="preserve"> </w:t>
      </w:r>
      <w:r w:rsidR="000A7AAB">
        <w:t>et</w:t>
      </w:r>
      <w:r w:rsidR="000A7AAB" w:rsidRPr="002C4077">
        <w:t xml:space="preserve"> </w:t>
      </w:r>
      <w:r w:rsidR="000A7AAB">
        <w:t>bleus,</w:t>
      </w:r>
      <w:r w:rsidR="000A7AAB" w:rsidRPr="002C4077">
        <w:t xml:space="preserve"> </w:t>
      </w:r>
      <w:r w:rsidR="000A7AAB">
        <w:t>de</w:t>
      </w:r>
      <w:r w:rsidR="000A7AAB" w:rsidRPr="002C4077">
        <w:t xml:space="preserve"> </w:t>
      </w:r>
      <w:r w:rsidR="000A7AAB">
        <w:t>l’autre</w:t>
      </w:r>
      <w:r w:rsidR="000A7AAB" w:rsidRPr="002C4077">
        <w:t xml:space="preserve"> </w:t>
      </w:r>
      <w:r w:rsidR="000A7AAB">
        <w:t>des</w:t>
      </w:r>
      <w:r w:rsidR="000A7AAB" w:rsidRPr="002C4077">
        <w:t xml:space="preserve"> </w:t>
      </w:r>
      <w:r w:rsidR="000A7AAB">
        <w:t>fils</w:t>
      </w:r>
      <w:r w:rsidR="000A7AAB" w:rsidRPr="002C4077">
        <w:t xml:space="preserve"> </w:t>
      </w:r>
      <w:r w:rsidR="000A7AAB">
        <w:t>jaunes</w:t>
      </w:r>
      <w:r w:rsidR="000A7AAB" w:rsidRPr="002C4077">
        <w:t xml:space="preserve"> </w:t>
      </w:r>
      <w:r w:rsidR="000A7AAB">
        <w:t>et</w:t>
      </w:r>
      <w:r w:rsidR="000A7AAB" w:rsidRPr="002C4077">
        <w:t xml:space="preserve"> </w:t>
      </w:r>
      <w:r w:rsidR="000A7AAB">
        <w:t>verts</w:t>
      </w:r>
      <w:r>
        <w:t> :</w:t>
      </w:r>
      <w:r w:rsidR="000A7AAB" w:rsidRPr="002C4077">
        <w:t xml:space="preserve"> </w:t>
      </w:r>
      <w:r w:rsidR="000A7AAB">
        <w:t>c’est</w:t>
      </w:r>
      <w:r w:rsidR="000A7AAB" w:rsidRPr="002C4077">
        <w:t xml:space="preserve"> </w:t>
      </w:r>
      <w:r w:rsidR="000A7AAB">
        <w:t>un</w:t>
      </w:r>
      <w:r w:rsidR="000A7AAB" w:rsidRPr="002C4077">
        <w:t xml:space="preserve"> </w:t>
      </w:r>
      <w:r w:rsidR="000A7AAB">
        <w:t>teinturier,</w:t>
      </w:r>
      <w:r w:rsidR="000A7AAB" w:rsidRPr="002C4077">
        <w:t xml:space="preserve"> </w:t>
      </w:r>
      <w:r w:rsidR="000A7AAB">
        <w:t>qui</w:t>
      </w:r>
      <w:r w:rsidR="000A7AAB" w:rsidRPr="002C4077">
        <w:t xml:space="preserve"> </w:t>
      </w:r>
      <w:r w:rsidR="000A7AAB">
        <w:t>indique</w:t>
      </w:r>
      <w:r w:rsidR="000A7AAB" w:rsidRPr="002C4077">
        <w:t xml:space="preserve"> </w:t>
      </w:r>
      <w:r w:rsidR="000A7AAB">
        <w:t>de</w:t>
      </w:r>
      <w:r w:rsidR="000A7AAB" w:rsidRPr="002C4077">
        <w:t xml:space="preserve"> </w:t>
      </w:r>
      <w:r w:rsidR="000A7AAB">
        <w:t>cette</w:t>
      </w:r>
      <w:r w:rsidR="000A7AAB" w:rsidRPr="002C4077">
        <w:t xml:space="preserve"> </w:t>
      </w:r>
      <w:r w:rsidR="000A7AAB">
        <w:t>façon</w:t>
      </w:r>
      <w:r w:rsidR="000A7AAB" w:rsidRPr="002C4077">
        <w:t xml:space="preserve"> </w:t>
      </w:r>
      <w:r w:rsidR="000A7AAB">
        <w:t>ce</w:t>
      </w:r>
      <w:r w:rsidR="000A7AAB" w:rsidRPr="002C4077">
        <w:t xml:space="preserve"> </w:t>
      </w:r>
      <w:r w:rsidR="000A7AAB">
        <w:t>qu’il</w:t>
      </w:r>
      <w:r w:rsidR="000A7AAB" w:rsidRPr="002C4077">
        <w:t xml:space="preserve"> </w:t>
      </w:r>
      <w:r w:rsidR="00425C50">
        <w:t>est</w:t>
      </w:r>
      <w:r w:rsidR="000A7AAB" w:rsidRPr="002C4077">
        <w:t xml:space="preserve"> </w:t>
      </w:r>
      <w:r w:rsidR="000A7AAB">
        <w:t>et</w:t>
      </w:r>
      <w:r w:rsidR="000A7AAB" w:rsidRPr="002C4077">
        <w:t xml:space="preserve"> </w:t>
      </w:r>
      <w:r w:rsidR="000A7AAB">
        <w:t>ce</w:t>
      </w:r>
      <w:r w:rsidR="000A7AAB" w:rsidRPr="002C4077">
        <w:t xml:space="preserve"> </w:t>
      </w:r>
      <w:r w:rsidR="000A7AAB">
        <w:t>qu’il</w:t>
      </w:r>
      <w:r w:rsidR="000A7AAB" w:rsidRPr="002C4077">
        <w:t xml:space="preserve"> </w:t>
      </w:r>
      <w:r w:rsidR="000A7AAB">
        <w:t>professe.</w:t>
      </w:r>
      <w:r w:rsidR="000A7AAB" w:rsidRPr="002C4077">
        <w:t xml:space="preserve"> </w:t>
      </w:r>
      <w:r w:rsidR="000A7AAB">
        <w:t>Notre</w:t>
      </w:r>
      <w:r w:rsidR="000A7AAB" w:rsidRPr="002C4077">
        <w:t xml:space="preserve"> </w:t>
      </w:r>
      <w:r w:rsidR="000A7AAB">
        <w:t>jeune</w:t>
      </w:r>
      <w:r w:rsidR="000A7AAB" w:rsidRPr="002C4077">
        <w:t xml:space="preserve"> </w:t>
      </w:r>
      <w:r w:rsidR="000A7AAB">
        <w:t>marchand</w:t>
      </w:r>
      <w:r w:rsidR="000A7AAB" w:rsidRPr="002C4077">
        <w:t xml:space="preserve"> </w:t>
      </w:r>
      <w:r w:rsidR="000A7AAB">
        <w:t>d’huile</w:t>
      </w:r>
      <w:r w:rsidR="000A7AAB" w:rsidRPr="002C4077">
        <w:t xml:space="preserve"> </w:t>
      </w:r>
      <w:r w:rsidR="000A7AAB">
        <w:t>rit</w:t>
      </w:r>
      <w:r w:rsidR="000A7AAB" w:rsidRPr="002C4077">
        <w:t xml:space="preserve"> </w:t>
      </w:r>
      <w:r w:rsidR="000A7AAB">
        <w:t>à</w:t>
      </w:r>
      <w:r w:rsidR="000A7AAB" w:rsidRPr="002C4077">
        <w:t xml:space="preserve"> </w:t>
      </w:r>
      <w:r w:rsidR="000A7AAB">
        <w:t>gorge</w:t>
      </w:r>
      <w:r w:rsidR="000A7AAB" w:rsidRPr="002C4077">
        <w:t xml:space="preserve"> </w:t>
      </w:r>
      <w:r w:rsidR="000A7AAB">
        <w:t>déployée</w:t>
      </w:r>
      <w:r w:rsidR="000A7AAB" w:rsidRPr="002C4077">
        <w:t xml:space="preserve"> </w:t>
      </w:r>
      <w:r w:rsidR="000A7AAB">
        <w:t>de</w:t>
      </w:r>
      <w:r w:rsidR="000A7AAB" w:rsidRPr="002C4077">
        <w:t xml:space="preserve"> </w:t>
      </w:r>
      <w:r w:rsidR="000A7AAB">
        <w:t>cette</w:t>
      </w:r>
      <w:r w:rsidR="000A7AAB" w:rsidRPr="002C4077">
        <w:t xml:space="preserve"> </w:t>
      </w:r>
      <w:r w:rsidR="000A7AAB">
        <w:t>singulière</w:t>
      </w:r>
      <w:r w:rsidR="000A7AAB" w:rsidRPr="002C4077">
        <w:t xml:space="preserve"> </w:t>
      </w:r>
      <w:r w:rsidR="000A7AAB" w:rsidRPr="000A34B5">
        <w:rPr>
          <w:rStyle w:val="italicus"/>
        </w:rPr>
        <w:t>réclame</w:t>
      </w:r>
      <w:bookmarkStart w:id="635" w:name="z_Reclames_o1"/>
      <w:bookmarkEnd w:id="635"/>
      <w:r w:rsidR="00B047B7">
        <w:rPr>
          <w:rStyle w:val="Appelnotedebasdep"/>
          <w:i/>
        </w:rPr>
        <w:footnoteReference w:id="823"/>
      </w:r>
      <w:r w:rsidR="000A7AAB">
        <w:t>,</w:t>
      </w:r>
      <w:r w:rsidR="000A7AAB" w:rsidRPr="002C4077">
        <w:t xml:space="preserve"> </w:t>
      </w:r>
      <w:r w:rsidR="000A7AAB">
        <w:t>et</w:t>
      </w:r>
      <w:r w:rsidR="000A7AAB" w:rsidRPr="002C4077">
        <w:t xml:space="preserve"> </w:t>
      </w:r>
      <w:r w:rsidR="000A7AAB">
        <w:t>il</w:t>
      </w:r>
      <w:r w:rsidR="000A7AAB" w:rsidRPr="002C4077">
        <w:t xml:space="preserve"> </w:t>
      </w:r>
      <w:r w:rsidR="000A7AAB">
        <w:t>crie</w:t>
      </w:r>
      <w:r w:rsidR="000A7AAB" w:rsidRPr="002C4077">
        <w:t xml:space="preserve"> </w:t>
      </w:r>
      <w:r w:rsidR="000A7AAB">
        <w:t>à</w:t>
      </w:r>
      <w:r w:rsidR="000A7AAB" w:rsidRPr="002C4077">
        <w:t xml:space="preserve"> </w:t>
      </w:r>
      <w:r w:rsidR="000A7AAB">
        <w:t>l’inconnu</w:t>
      </w:r>
      <w:r>
        <w:t> :</w:t>
      </w:r>
      <w:r w:rsidR="000A7AAB" w:rsidRPr="002C4077">
        <w:t xml:space="preserve"> </w:t>
      </w:r>
      <w:r w:rsidR="000A7AAB">
        <w:t>Maître</w:t>
      </w:r>
      <w:r w:rsidR="000A7AAB" w:rsidRPr="002C4077">
        <w:t xml:space="preserve"> </w:t>
      </w:r>
      <w:r w:rsidR="000A7AAB">
        <w:t>Tobie,</w:t>
      </w:r>
      <w:r w:rsidR="000A7AAB" w:rsidRPr="002C4077">
        <w:t xml:space="preserve"> </w:t>
      </w:r>
      <w:r w:rsidR="000A7AAB">
        <w:t>pouvez-vous</w:t>
      </w:r>
      <w:r w:rsidR="000A7AAB" w:rsidRPr="002C4077">
        <w:t xml:space="preserve"> </w:t>
      </w:r>
      <w:r w:rsidR="000A7AAB">
        <w:t>aussi</w:t>
      </w:r>
      <w:r w:rsidR="000A7AAB" w:rsidRPr="002C4077">
        <w:t xml:space="preserve"> </w:t>
      </w:r>
      <w:r w:rsidR="000A7AAB">
        <w:t>teindre</w:t>
      </w:r>
      <w:r w:rsidR="000A7AAB" w:rsidRPr="002C4077">
        <w:t xml:space="preserve"> </w:t>
      </w:r>
      <w:r w:rsidR="000A7AAB">
        <w:t>le</w:t>
      </w:r>
      <w:r w:rsidR="000A7AAB" w:rsidRPr="002C4077">
        <w:t xml:space="preserve"> </w:t>
      </w:r>
      <w:r w:rsidR="000A7AAB">
        <w:t>rouge</w:t>
      </w:r>
      <w:r w:rsidR="000A7AAB" w:rsidRPr="004440EA">
        <w:t xml:space="preserve"> (</w:t>
      </w:r>
      <w:r w:rsidR="000A7AAB" w:rsidRPr="000A34B5">
        <w:rPr>
          <w:rStyle w:val="italicus"/>
        </w:rPr>
        <w:t>adôm</w:t>
      </w:r>
      <w:r w:rsidRPr="002C4077">
        <w:t>)</w:t>
      </w:r>
      <w:r w:rsidR="000A7AAB" w:rsidRPr="002C4077">
        <w:t xml:space="preserve"> </w:t>
      </w:r>
      <w:r w:rsidR="000A7AAB">
        <w:t>en</w:t>
      </w:r>
      <w:r w:rsidR="000A7AAB" w:rsidRPr="002C4077">
        <w:t xml:space="preserve"> </w:t>
      </w:r>
      <w:r w:rsidR="000A7AAB">
        <w:t>blanc</w:t>
      </w:r>
      <w:r>
        <w:t> ?</w:t>
      </w:r>
      <w:r w:rsidR="00C45B47">
        <w:t xml:space="preserve"> {</w:t>
      </w:r>
      <w:r w:rsidR="001F5257">
        <w:t>263</w:t>
      </w:r>
      <w:bookmarkStart w:id="636" w:name="p263"/>
      <w:bookmarkEnd w:id="636"/>
      <w:r w:rsidR="001F5257">
        <w:t xml:space="preserve">} </w:t>
      </w:r>
      <w:r w:rsidR="000A7AAB">
        <w:t>C’était</w:t>
      </w:r>
      <w:r w:rsidR="000A7AAB" w:rsidRPr="002C4077">
        <w:t xml:space="preserve"> </w:t>
      </w:r>
      <w:r w:rsidR="000A7AAB">
        <w:t>une</w:t>
      </w:r>
      <w:r w:rsidR="000A7AAB" w:rsidRPr="002C4077">
        <w:t xml:space="preserve"> </w:t>
      </w:r>
      <w:r w:rsidR="000A7AAB">
        <w:t>allusion</w:t>
      </w:r>
      <w:r w:rsidR="000A7AAB" w:rsidRPr="002C4077">
        <w:t xml:space="preserve"> </w:t>
      </w:r>
      <w:r w:rsidR="000A7AAB">
        <w:t>à</w:t>
      </w:r>
      <w:r w:rsidR="000A7AAB" w:rsidRPr="002C4077">
        <w:t xml:space="preserve"> </w:t>
      </w:r>
      <w:r w:rsidR="000A7AAB">
        <w:t>l’Édomite</w:t>
      </w:r>
      <w:r w:rsidR="000A7AAB" w:rsidRPr="002C4077">
        <w:t xml:space="preserve"> </w:t>
      </w:r>
      <w:r w:rsidR="000A7AAB">
        <w:lastRenderedPageBreak/>
        <w:t>Hérode.</w:t>
      </w:r>
      <w:r w:rsidR="000A7AAB" w:rsidRPr="002C4077">
        <w:t xml:space="preserve"> </w:t>
      </w:r>
      <w:r w:rsidR="000A7AAB">
        <w:t>Un</w:t>
      </w:r>
      <w:r w:rsidR="000A7AAB" w:rsidRPr="002C4077">
        <w:t xml:space="preserve"> </w:t>
      </w:r>
      <w:r w:rsidR="000A7AAB">
        <w:t>policeman</w:t>
      </w:r>
      <w:r w:rsidR="000A7AAB" w:rsidRPr="002C4077">
        <w:t xml:space="preserve"> </w:t>
      </w:r>
      <w:r w:rsidR="000A7AAB">
        <w:t>royal</w:t>
      </w:r>
      <w:r w:rsidR="000A7AAB" w:rsidRPr="002C4077">
        <w:t xml:space="preserve"> </w:t>
      </w:r>
      <w:r w:rsidR="000A7AAB">
        <w:t>appelle</w:t>
      </w:r>
      <w:r w:rsidR="000A7AAB" w:rsidRPr="002C4077">
        <w:t xml:space="preserve"> </w:t>
      </w:r>
      <w:r w:rsidR="000A7AAB">
        <w:t>la</w:t>
      </w:r>
      <w:r w:rsidR="000A7AAB" w:rsidRPr="002C4077">
        <w:t xml:space="preserve"> </w:t>
      </w:r>
      <w:r w:rsidR="000A7AAB">
        <w:t>garde</w:t>
      </w:r>
      <w:r w:rsidR="000A7AAB" w:rsidRPr="002C4077">
        <w:t xml:space="preserve"> </w:t>
      </w:r>
      <w:r w:rsidR="000A7AAB">
        <w:t>du</w:t>
      </w:r>
      <w:r w:rsidR="000A7AAB" w:rsidRPr="002C4077">
        <w:t xml:space="preserve"> </w:t>
      </w:r>
      <w:r w:rsidR="000A7AAB">
        <w:t>marché.</w:t>
      </w:r>
      <w:r w:rsidR="000A7AAB" w:rsidRPr="002C4077">
        <w:t xml:space="preserve"> </w:t>
      </w:r>
      <w:r w:rsidR="000A7AAB">
        <w:t>Deux</w:t>
      </w:r>
      <w:r w:rsidR="000A7AAB" w:rsidRPr="002C4077">
        <w:t xml:space="preserve"> </w:t>
      </w:r>
      <w:r w:rsidR="000A7AAB">
        <w:t>hommes</w:t>
      </w:r>
      <w:r w:rsidR="000A7AAB" w:rsidRPr="002C4077">
        <w:t xml:space="preserve"> </w:t>
      </w:r>
      <w:r w:rsidR="000A7AAB">
        <w:t>d’armes</w:t>
      </w:r>
      <w:r w:rsidR="000A7AAB" w:rsidRPr="002C4077">
        <w:t xml:space="preserve"> </w:t>
      </w:r>
      <w:r w:rsidR="000A7AAB">
        <w:t>accourent</w:t>
      </w:r>
      <w:r w:rsidR="000A7AAB" w:rsidRPr="002C4077">
        <w:t xml:space="preserve"> </w:t>
      </w:r>
      <w:r w:rsidR="000A7AAB">
        <w:t>et</w:t>
      </w:r>
      <w:r w:rsidR="000A7AAB" w:rsidRPr="002C4077">
        <w:t xml:space="preserve"> </w:t>
      </w:r>
      <w:r w:rsidR="000A7AAB">
        <w:t>ordonnent</w:t>
      </w:r>
      <w:r w:rsidR="000A7AAB" w:rsidRPr="002C4077">
        <w:t xml:space="preserve"> </w:t>
      </w:r>
      <w:r w:rsidR="000A7AAB">
        <w:t>au</w:t>
      </w:r>
      <w:r w:rsidR="000A7AAB" w:rsidRPr="002C4077">
        <w:t xml:space="preserve"> </w:t>
      </w:r>
      <w:r w:rsidR="000A7AAB">
        <w:t>jeune</w:t>
      </w:r>
      <w:r w:rsidR="000A7AAB" w:rsidRPr="002C4077">
        <w:t xml:space="preserve"> </w:t>
      </w:r>
      <w:r w:rsidR="000A7AAB">
        <w:t>homme</w:t>
      </w:r>
      <w:r w:rsidR="000A7AAB" w:rsidRPr="002C4077">
        <w:t xml:space="preserve"> </w:t>
      </w:r>
      <w:r w:rsidR="000A7AAB">
        <w:t>de</w:t>
      </w:r>
      <w:r w:rsidR="000A7AAB" w:rsidRPr="002C4077">
        <w:t xml:space="preserve"> </w:t>
      </w:r>
      <w:r w:rsidR="000A7AAB">
        <w:t>les</w:t>
      </w:r>
      <w:r w:rsidR="000A7AAB" w:rsidRPr="002C4077">
        <w:t xml:space="preserve"> </w:t>
      </w:r>
      <w:r w:rsidR="000A7AAB">
        <w:t>suivre</w:t>
      </w:r>
      <w:r>
        <w:t> ;</w:t>
      </w:r>
      <w:r w:rsidR="000A7AAB" w:rsidRPr="002C4077">
        <w:t xml:space="preserve"> </w:t>
      </w:r>
      <w:r w:rsidR="000A7AAB">
        <w:t>mais</w:t>
      </w:r>
      <w:r w:rsidR="000A7AAB" w:rsidRPr="002C4077">
        <w:t xml:space="preserve"> </w:t>
      </w:r>
      <w:r w:rsidR="000A7AAB">
        <w:t>il</w:t>
      </w:r>
      <w:r w:rsidR="000A7AAB" w:rsidRPr="002C4077">
        <w:t xml:space="preserve"> </w:t>
      </w:r>
      <w:r w:rsidR="000A7AAB">
        <w:t>résiste</w:t>
      </w:r>
      <w:r w:rsidR="000A7AAB" w:rsidRPr="002C4077">
        <w:t xml:space="preserve"> </w:t>
      </w:r>
      <w:r w:rsidR="000A7AAB">
        <w:t>avec</w:t>
      </w:r>
      <w:r w:rsidR="000A7AAB" w:rsidRPr="002C4077">
        <w:t xml:space="preserve"> </w:t>
      </w:r>
      <w:r w:rsidR="000A7AAB">
        <w:t>tant</w:t>
      </w:r>
      <w:r w:rsidR="000A7AAB" w:rsidRPr="002C4077">
        <w:t xml:space="preserve"> </w:t>
      </w:r>
      <w:r w:rsidR="000A7AAB">
        <w:t>de</w:t>
      </w:r>
      <w:r w:rsidR="000A7AAB" w:rsidRPr="002C4077">
        <w:t xml:space="preserve"> </w:t>
      </w:r>
      <w:r w:rsidR="000A7AAB">
        <w:t>force</w:t>
      </w:r>
      <w:r w:rsidR="000A7AAB" w:rsidRPr="002C4077">
        <w:t xml:space="preserve"> </w:t>
      </w:r>
      <w:r w:rsidR="000A7AAB">
        <w:t>qu’ils</w:t>
      </w:r>
      <w:r w:rsidR="000A7AAB" w:rsidRPr="002C4077">
        <w:t xml:space="preserve"> </w:t>
      </w:r>
      <w:r w:rsidR="000A7AAB">
        <w:t>ne</w:t>
      </w:r>
      <w:r w:rsidR="000A7AAB" w:rsidRPr="002C4077">
        <w:t xml:space="preserve"> </w:t>
      </w:r>
      <w:r w:rsidR="000A7AAB">
        <w:t>peuvent</w:t>
      </w:r>
      <w:r w:rsidR="000A7AAB" w:rsidRPr="002C4077">
        <w:t xml:space="preserve"> </w:t>
      </w:r>
      <w:r w:rsidR="000A7AAB">
        <w:t>réussir</w:t>
      </w:r>
      <w:r w:rsidR="000A7AAB" w:rsidRPr="002C4077">
        <w:t xml:space="preserve"> </w:t>
      </w:r>
      <w:r w:rsidR="000A7AAB">
        <w:t>à</w:t>
      </w:r>
      <w:r w:rsidR="000A7AAB" w:rsidRPr="002C4077">
        <w:t xml:space="preserve"> </w:t>
      </w:r>
      <w:r w:rsidR="000A7AAB">
        <w:t>l’entraîner.</w:t>
      </w:r>
      <w:r w:rsidR="000A7AAB" w:rsidRPr="002C4077">
        <w:t xml:space="preserve"> </w:t>
      </w:r>
      <w:r w:rsidR="000A7AAB">
        <w:t>Il</w:t>
      </w:r>
      <w:r w:rsidR="000A7AAB" w:rsidRPr="002C4077">
        <w:t xml:space="preserve"> </w:t>
      </w:r>
      <w:r w:rsidR="000A7AAB">
        <w:t>se</w:t>
      </w:r>
      <w:r w:rsidR="000A7AAB" w:rsidRPr="002C4077">
        <w:t xml:space="preserve"> </w:t>
      </w:r>
      <w:r w:rsidR="000A7AAB">
        <w:t>forme</w:t>
      </w:r>
      <w:r w:rsidR="000A7AAB" w:rsidRPr="002C4077">
        <w:t xml:space="preserve"> </w:t>
      </w:r>
      <w:r w:rsidR="000A7AAB">
        <w:t>alentour</w:t>
      </w:r>
      <w:r w:rsidR="000A7AAB" w:rsidRPr="002C4077">
        <w:t xml:space="preserve"> </w:t>
      </w:r>
      <w:r w:rsidR="000A7AAB">
        <w:t>un</w:t>
      </w:r>
      <w:r w:rsidR="000A7AAB" w:rsidRPr="002C4077">
        <w:t xml:space="preserve"> </w:t>
      </w:r>
      <w:r w:rsidR="000A7AAB">
        <w:t>cercle</w:t>
      </w:r>
      <w:r w:rsidR="000A7AAB" w:rsidRPr="002C4077">
        <w:t xml:space="preserve"> </w:t>
      </w:r>
      <w:r w:rsidR="000A7AAB">
        <w:t>de</w:t>
      </w:r>
      <w:r w:rsidR="000A7AAB" w:rsidRPr="002C4077">
        <w:t xml:space="preserve"> </w:t>
      </w:r>
      <w:r w:rsidR="000A7AAB">
        <w:t>curieux</w:t>
      </w:r>
      <w:r>
        <w:t> :</w:t>
      </w:r>
      <w:r w:rsidR="000A7AAB" w:rsidRPr="002C4077">
        <w:t xml:space="preserve"> </w:t>
      </w:r>
      <w:r w:rsidR="000A7AAB">
        <w:t>les</w:t>
      </w:r>
      <w:r w:rsidR="000A7AAB" w:rsidRPr="002C4077">
        <w:t xml:space="preserve"> </w:t>
      </w:r>
      <w:r w:rsidR="000A7AAB">
        <w:t>gendarmes</w:t>
      </w:r>
      <w:r w:rsidR="000A7AAB" w:rsidRPr="002C4077">
        <w:t xml:space="preserve"> </w:t>
      </w:r>
      <w:r w:rsidR="000A7AAB">
        <w:t>ont</w:t>
      </w:r>
      <w:r w:rsidR="000A7AAB" w:rsidRPr="002C4077">
        <w:t xml:space="preserve"> </w:t>
      </w:r>
      <w:r w:rsidR="000A7AAB">
        <w:t>peur</w:t>
      </w:r>
      <w:r w:rsidR="000A7AAB" w:rsidRPr="002C4077">
        <w:t xml:space="preserve"> </w:t>
      </w:r>
      <w:r w:rsidR="000A7AAB">
        <w:t>et,</w:t>
      </w:r>
      <w:r w:rsidR="000A7AAB" w:rsidRPr="002C4077">
        <w:t xml:space="preserve"> </w:t>
      </w:r>
      <w:r w:rsidR="000A7AAB">
        <w:t>pour</w:t>
      </w:r>
      <w:r w:rsidR="000A7AAB" w:rsidRPr="002C4077">
        <w:t xml:space="preserve"> </w:t>
      </w:r>
      <w:r w:rsidR="000A7AAB">
        <w:t>en</w:t>
      </w:r>
      <w:r w:rsidR="000A7AAB" w:rsidRPr="002C4077">
        <w:t xml:space="preserve"> </w:t>
      </w:r>
      <w:r w:rsidR="000A7AAB">
        <w:t>finir</w:t>
      </w:r>
      <w:r w:rsidR="000A7AAB" w:rsidRPr="002C4077">
        <w:t xml:space="preserve"> </w:t>
      </w:r>
      <w:r w:rsidR="000A7AAB">
        <w:t>plus</w:t>
      </w:r>
      <w:r w:rsidR="000A7AAB" w:rsidRPr="002C4077">
        <w:t xml:space="preserve"> </w:t>
      </w:r>
      <w:r w:rsidR="000A7AAB">
        <w:t>vite,</w:t>
      </w:r>
      <w:r w:rsidR="000A7AAB" w:rsidRPr="002C4077">
        <w:t xml:space="preserve"> </w:t>
      </w:r>
      <w:r w:rsidR="000A7AAB">
        <w:t>l’un</w:t>
      </w:r>
      <w:r w:rsidR="000A7AAB" w:rsidRPr="002C4077">
        <w:t xml:space="preserve"> </w:t>
      </w:r>
      <w:r w:rsidR="000A7AAB">
        <w:t>d’eux</w:t>
      </w:r>
      <w:r w:rsidR="000A7AAB" w:rsidRPr="002C4077">
        <w:t xml:space="preserve"> </w:t>
      </w:r>
      <w:r w:rsidR="000A7AAB">
        <w:t>plonge</w:t>
      </w:r>
      <w:r w:rsidR="000A7AAB" w:rsidRPr="002C4077">
        <w:t xml:space="preserve"> </w:t>
      </w:r>
      <w:r w:rsidR="000A7AAB">
        <w:t>son</w:t>
      </w:r>
      <w:r w:rsidR="000A7AAB" w:rsidRPr="002C4077">
        <w:t xml:space="preserve"> </w:t>
      </w:r>
      <w:r w:rsidR="000A7AAB">
        <w:t>glaive</w:t>
      </w:r>
      <w:r w:rsidR="000A7AAB" w:rsidRPr="002C4077">
        <w:t xml:space="preserve"> </w:t>
      </w:r>
      <w:r w:rsidR="000A7AAB">
        <w:t>dans</w:t>
      </w:r>
      <w:r w:rsidR="000A7AAB" w:rsidRPr="002C4077">
        <w:t xml:space="preserve"> </w:t>
      </w:r>
      <w:r w:rsidR="000A7AAB">
        <w:t>le</w:t>
      </w:r>
      <w:r w:rsidR="000A7AAB" w:rsidRPr="002C4077">
        <w:t xml:space="preserve"> </w:t>
      </w:r>
      <w:r w:rsidR="000A7AAB">
        <w:t>sein</w:t>
      </w:r>
      <w:r w:rsidR="000A7AAB" w:rsidRPr="002C4077">
        <w:t xml:space="preserve"> </w:t>
      </w:r>
      <w:r w:rsidR="000A7AAB">
        <w:t>du</w:t>
      </w:r>
      <w:r w:rsidR="000A7AAB" w:rsidRPr="002C4077">
        <w:t xml:space="preserve"> </w:t>
      </w:r>
      <w:r w:rsidR="000A7AAB">
        <w:t>G</w:t>
      </w:r>
      <w:r w:rsidR="001730C6">
        <w:t>al</w:t>
      </w:r>
      <w:r w:rsidR="000A7AAB">
        <w:t>iléen.</w:t>
      </w:r>
      <w:r w:rsidR="000A7AAB" w:rsidRPr="002C4077">
        <w:t xml:space="preserve"> </w:t>
      </w:r>
      <w:r w:rsidR="003B53FD">
        <w:t>Celui</w:t>
      </w:r>
      <w:r w:rsidR="000A7AAB">
        <w:t>-ci</w:t>
      </w:r>
      <w:r w:rsidR="000A7AAB" w:rsidRPr="002C4077">
        <w:t xml:space="preserve"> </w:t>
      </w:r>
      <w:r w:rsidR="000A7AAB">
        <w:t>roule</w:t>
      </w:r>
      <w:r w:rsidR="000A7AAB" w:rsidRPr="002C4077">
        <w:t xml:space="preserve"> </w:t>
      </w:r>
      <w:r w:rsidR="000A7AAB">
        <w:t>à</w:t>
      </w:r>
      <w:r w:rsidR="000A7AAB" w:rsidRPr="002C4077">
        <w:t xml:space="preserve"> </w:t>
      </w:r>
      <w:r w:rsidR="000A7AAB">
        <w:t>terre</w:t>
      </w:r>
      <w:r>
        <w:t> ;</w:t>
      </w:r>
      <w:r w:rsidR="000A7AAB" w:rsidRPr="002C4077">
        <w:t xml:space="preserve"> </w:t>
      </w:r>
      <w:r w:rsidR="000A7AAB">
        <w:t>son</w:t>
      </w:r>
      <w:r w:rsidR="000A7AAB" w:rsidRPr="002C4077">
        <w:t xml:space="preserve"> </w:t>
      </w:r>
      <w:r w:rsidR="000A7AAB">
        <w:t>sang</w:t>
      </w:r>
      <w:r w:rsidR="000A7AAB" w:rsidRPr="002C4077">
        <w:t xml:space="preserve"> </w:t>
      </w:r>
      <w:r w:rsidR="000A7AAB">
        <w:t>coule</w:t>
      </w:r>
      <w:r w:rsidR="000A7AAB" w:rsidRPr="002C4077">
        <w:t xml:space="preserve"> </w:t>
      </w:r>
      <w:r w:rsidR="000A7AAB">
        <w:t>et</w:t>
      </w:r>
      <w:r w:rsidR="000A7AAB" w:rsidRPr="002C4077">
        <w:t xml:space="preserve"> </w:t>
      </w:r>
      <w:r w:rsidR="000A7AAB">
        <w:t>se</w:t>
      </w:r>
      <w:r w:rsidR="000A7AAB" w:rsidRPr="002C4077">
        <w:t xml:space="preserve"> </w:t>
      </w:r>
      <w:r w:rsidR="000A7AAB">
        <w:t>mêle</w:t>
      </w:r>
      <w:r w:rsidR="000A7AAB" w:rsidRPr="002C4077">
        <w:t xml:space="preserve"> </w:t>
      </w:r>
      <w:r w:rsidR="000A7AAB">
        <w:t>à</w:t>
      </w:r>
      <w:r w:rsidR="000A7AAB" w:rsidRPr="002C4077">
        <w:t xml:space="preserve"> </w:t>
      </w:r>
      <w:r w:rsidR="000A7AAB">
        <w:t>l’huile</w:t>
      </w:r>
      <w:r w:rsidR="000A7AAB" w:rsidRPr="002C4077">
        <w:t xml:space="preserve"> </w:t>
      </w:r>
      <w:r w:rsidR="000A7AAB">
        <w:t>qui</w:t>
      </w:r>
      <w:r w:rsidR="000A7AAB" w:rsidRPr="002C4077">
        <w:t xml:space="preserve"> </w:t>
      </w:r>
      <w:r w:rsidR="000A7AAB">
        <w:t>s’échappe</w:t>
      </w:r>
      <w:r w:rsidR="000A7AAB" w:rsidRPr="002C4077">
        <w:t xml:space="preserve"> </w:t>
      </w:r>
      <w:r w:rsidR="000A7AAB">
        <w:t>de</w:t>
      </w:r>
      <w:r w:rsidR="000A7AAB" w:rsidRPr="002C4077">
        <w:t xml:space="preserve"> </w:t>
      </w:r>
      <w:r w:rsidR="000A7AAB">
        <w:t>son</w:t>
      </w:r>
      <w:r w:rsidR="000A7AAB" w:rsidRPr="002C4077">
        <w:t xml:space="preserve"> </w:t>
      </w:r>
      <w:r w:rsidR="000A7AAB">
        <w:t>amphore</w:t>
      </w:r>
      <w:r w:rsidR="000A7AAB" w:rsidRPr="002C4077">
        <w:t xml:space="preserve"> </w:t>
      </w:r>
      <w:r w:rsidR="000A7AAB">
        <w:t>renversée.</w:t>
      </w:r>
      <w:r w:rsidR="000A7AAB" w:rsidRPr="002C4077">
        <w:t xml:space="preserve"> </w:t>
      </w:r>
    </w:p>
    <w:p w:rsidR="000A7AAB" w:rsidRDefault="00B546AF" w:rsidP="000A7AAB">
      <w:r>
        <w:t>« </w:t>
      </w:r>
      <w:r w:rsidR="000A7AAB">
        <w:t>Mais</w:t>
      </w:r>
      <w:bookmarkStart w:id="637" w:name="z_Auberge_o1"/>
      <w:bookmarkEnd w:id="637"/>
      <w:r w:rsidR="000A7AAB" w:rsidRPr="002C4077">
        <w:t xml:space="preserve"> </w:t>
      </w:r>
      <w:r w:rsidR="000A7AAB">
        <w:t>le</w:t>
      </w:r>
      <w:r w:rsidR="000A7AAB" w:rsidRPr="002C4077">
        <w:t xml:space="preserve"> </w:t>
      </w:r>
      <w:r w:rsidR="000A7AAB">
        <w:t>soleil</w:t>
      </w:r>
      <w:r w:rsidR="000A7AAB" w:rsidRPr="002C4077">
        <w:t xml:space="preserve"> </w:t>
      </w:r>
      <w:r w:rsidR="000A7AAB">
        <w:t>de</w:t>
      </w:r>
      <w:r w:rsidR="000A7AAB" w:rsidRPr="002C4077">
        <w:t xml:space="preserve"> </w:t>
      </w:r>
      <w:r w:rsidR="000A7AAB">
        <w:t>juin</w:t>
      </w:r>
      <w:r w:rsidR="000A7AAB" w:rsidRPr="002C4077">
        <w:t xml:space="preserve"> </w:t>
      </w:r>
      <w:r w:rsidR="000A7AAB">
        <w:t>devient</w:t>
      </w:r>
      <w:r w:rsidR="000A7AAB" w:rsidRPr="002C4077">
        <w:t xml:space="preserve"> </w:t>
      </w:r>
      <w:r w:rsidR="000A7AAB">
        <w:t>déplus</w:t>
      </w:r>
      <w:r w:rsidR="000A7AAB" w:rsidRPr="002C4077">
        <w:t xml:space="preserve"> </w:t>
      </w:r>
      <w:r w:rsidR="000A7AAB">
        <w:t>en</w:t>
      </w:r>
      <w:r w:rsidR="000A7AAB" w:rsidRPr="002C4077">
        <w:t xml:space="preserve"> </w:t>
      </w:r>
      <w:r w:rsidR="000A7AAB">
        <w:t>plus</w:t>
      </w:r>
      <w:r w:rsidR="000A7AAB" w:rsidRPr="002C4077">
        <w:t xml:space="preserve"> </w:t>
      </w:r>
      <w:r w:rsidR="000A7AAB">
        <w:t>ardent.</w:t>
      </w:r>
      <w:r w:rsidR="000A7AAB" w:rsidRPr="002C4077">
        <w:t xml:space="preserve"> </w:t>
      </w:r>
      <w:r w:rsidR="000A7AAB">
        <w:t>La</w:t>
      </w:r>
      <w:r w:rsidR="000A7AAB" w:rsidRPr="002C4077">
        <w:t xml:space="preserve"> </w:t>
      </w:r>
      <w:r w:rsidR="000A7AAB">
        <w:t>multitude</w:t>
      </w:r>
      <w:r w:rsidR="000A7AAB" w:rsidRPr="002C4077">
        <w:t xml:space="preserve"> </w:t>
      </w:r>
      <w:r w:rsidR="000A7AAB">
        <w:t>se</w:t>
      </w:r>
      <w:r w:rsidR="000A7AAB" w:rsidRPr="002C4077">
        <w:t xml:space="preserve"> </w:t>
      </w:r>
      <w:r w:rsidR="000A7AAB">
        <w:t>disperse</w:t>
      </w:r>
      <w:r w:rsidR="000A7AAB" w:rsidRPr="002C4077">
        <w:t xml:space="preserve"> </w:t>
      </w:r>
      <w:r w:rsidR="000A7AAB">
        <w:t>et</w:t>
      </w:r>
      <w:r w:rsidR="000A7AAB" w:rsidRPr="002C4077">
        <w:t xml:space="preserve"> </w:t>
      </w:r>
      <w:r w:rsidR="000A7AAB">
        <w:t>quitte</w:t>
      </w:r>
      <w:r w:rsidR="000A7AAB" w:rsidRPr="002C4077">
        <w:t xml:space="preserve"> </w:t>
      </w:r>
      <w:r w:rsidR="000A7AAB">
        <w:t>peu</w:t>
      </w:r>
      <w:r w:rsidR="000A7AAB" w:rsidRPr="002C4077">
        <w:t xml:space="preserve"> </w:t>
      </w:r>
      <w:r w:rsidR="000A7AAB">
        <w:t>à</w:t>
      </w:r>
      <w:r w:rsidR="000A7AAB" w:rsidRPr="002C4077">
        <w:t xml:space="preserve"> </w:t>
      </w:r>
      <w:r w:rsidR="000A7AAB">
        <w:t>peu</w:t>
      </w:r>
      <w:r w:rsidR="000A7AAB" w:rsidRPr="002C4077">
        <w:t xml:space="preserve"> </w:t>
      </w:r>
      <w:r w:rsidR="000A7AAB">
        <w:t>les</w:t>
      </w:r>
      <w:r w:rsidR="000A7AAB" w:rsidRPr="002C4077">
        <w:t xml:space="preserve"> </w:t>
      </w:r>
      <w:r w:rsidR="000A7AAB">
        <w:t>deux</w:t>
      </w:r>
      <w:r w:rsidR="000A7AAB" w:rsidRPr="002C4077">
        <w:t xml:space="preserve"> </w:t>
      </w:r>
      <w:r w:rsidR="000A7AAB">
        <w:t>marchés.</w:t>
      </w:r>
      <w:r w:rsidR="000A7AAB" w:rsidRPr="002C4077">
        <w:t xml:space="preserve"> </w:t>
      </w:r>
      <w:r w:rsidR="000A7AAB">
        <w:t>Nous</w:t>
      </w:r>
      <w:r w:rsidR="000A7AAB" w:rsidRPr="002C4077">
        <w:t xml:space="preserve"> </w:t>
      </w:r>
      <w:r w:rsidR="000A7AAB">
        <w:t>aussi,</w:t>
      </w:r>
      <w:r w:rsidR="000A7AAB" w:rsidRPr="002C4077">
        <w:t xml:space="preserve"> </w:t>
      </w:r>
      <w:r w:rsidR="000A7AAB">
        <w:t>nous</w:t>
      </w:r>
      <w:r w:rsidR="000A7AAB" w:rsidRPr="002C4077">
        <w:t xml:space="preserve"> </w:t>
      </w:r>
      <w:r w:rsidR="000A7AAB">
        <w:t>avons</w:t>
      </w:r>
      <w:r w:rsidR="000A7AAB" w:rsidRPr="002C4077">
        <w:t xml:space="preserve"> </w:t>
      </w:r>
      <w:r w:rsidR="000A7AAB">
        <w:t>faim</w:t>
      </w:r>
      <w:r w:rsidR="000A7AAB" w:rsidRPr="002C4077">
        <w:t xml:space="preserve"> </w:t>
      </w:r>
      <w:r w:rsidR="000A7AAB">
        <w:t>et</w:t>
      </w:r>
      <w:r w:rsidR="000A7AAB" w:rsidRPr="002C4077">
        <w:t xml:space="preserve"> </w:t>
      </w:r>
      <w:r w:rsidR="000A7AAB">
        <w:t>soif.</w:t>
      </w:r>
      <w:r w:rsidR="000A7AAB" w:rsidRPr="002C4077">
        <w:t xml:space="preserve"> </w:t>
      </w:r>
      <w:r w:rsidR="000A7AAB">
        <w:t>Que</w:t>
      </w:r>
      <w:r w:rsidR="000A7AAB" w:rsidRPr="002C4077">
        <w:t xml:space="preserve"> </w:t>
      </w:r>
      <w:r w:rsidR="000A7AAB">
        <w:t>boirons-nous</w:t>
      </w:r>
      <w:r>
        <w:t> ?</w:t>
      </w:r>
      <w:r w:rsidR="000A7AAB" w:rsidRPr="002C4077">
        <w:t xml:space="preserve"> </w:t>
      </w:r>
      <w:r w:rsidR="000A7AAB">
        <w:t>De</w:t>
      </w:r>
      <w:r w:rsidR="000A7AAB" w:rsidRPr="002C4077">
        <w:t xml:space="preserve"> </w:t>
      </w:r>
      <w:r w:rsidR="000A7AAB">
        <w:t>la</w:t>
      </w:r>
      <w:r w:rsidR="000A7AAB" w:rsidRPr="002C4077">
        <w:t xml:space="preserve"> </w:t>
      </w:r>
      <w:r w:rsidR="000A7AAB">
        <w:t>bière</w:t>
      </w:r>
      <w:r w:rsidR="000A7AAB" w:rsidRPr="002C4077">
        <w:t xml:space="preserve"> </w:t>
      </w:r>
      <w:r w:rsidR="000A7AAB">
        <w:t>médique</w:t>
      </w:r>
      <w:r w:rsidR="000A7AAB" w:rsidRPr="002C4077">
        <w:t xml:space="preserve"> </w:t>
      </w:r>
      <w:r w:rsidR="000A7AAB">
        <w:t>ou</w:t>
      </w:r>
      <w:r w:rsidR="000A7AAB" w:rsidRPr="002C4077">
        <w:t xml:space="preserve"> </w:t>
      </w:r>
      <w:r w:rsidR="000A7AAB">
        <w:t>de</w:t>
      </w:r>
      <w:r w:rsidR="000A7AAB" w:rsidRPr="002C4077">
        <w:t xml:space="preserve"> </w:t>
      </w:r>
      <w:r w:rsidR="000A7AAB">
        <w:t>la</w:t>
      </w:r>
      <w:r w:rsidR="000A7AAB" w:rsidRPr="002C4077">
        <w:t xml:space="preserve"> </w:t>
      </w:r>
      <w:r w:rsidR="000A7AAB">
        <w:t>bière</w:t>
      </w:r>
      <w:r w:rsidR="000A7AAB" w:rsidRPr="002C4077">
        <w:t xml:space="preserve"> </w:t>
      </w:r>
      <w:r w:rsidR="000A7AAB">
        <w:t>de</w:t>
      </w:r>
      <w:r w:rsidR="000A7AAB" w:rsidRPr="002C4077">
        <w:t xml:space="preserve"> </w:t>
      </w:r>
      <w:r w:rsidR="000A7AAB">
        <w:t>Babylone</w:t>
      </w:r>
      <w:r>
        <w:t> ?</w:t>
      </w:r>
      <w:r w:rsidR="000A7AAB" w:rsidRPr="002C4077">
        <w:t xml:space="preserve"> </w:t>
      </w:r>
      <w:r w:rsidR="000A7AAB">
        <w:t>du</w:t>
      </w:r>
      <w:r w:rsidR="000A7AAB" w:rsidRPr="002C4077">
        <w:t xml:space="preserve"> </w:t>
      </w:r>
      <w:r w:rsidR="000A7AAB" w:rsidRPr="000A34B5">
        <w:rPr>
          <w:rStyle w:val="italicus"/>
        </w:rPr>
        <w:t>zithos</w:t>
      </w:r>
      <w:r w:rsidR="000A7AAB" w:rsidRPr="002C4077">
        <w:t xml:space="preserve"> </w:t>
      </w:r>
      <w:r w:rsidR="000A7AAB">
        <w:t>d’Égypte</w:t>
      </w:r>
      <w:r w:rsidR="000A7AAB" w:rsidRPr="002C4077">
        <w:t xml:space="preserve"> </w:t>
      </w:r>
      <w:r w:rsidR="000A7AAB">
        <w:t>ou</w:t>
      </w:r>
      <w:r w:rsidR="000A7AAB" w:rsidRPr="002C4077">
        <w:t xml:space="preserve"> </w:t>
      </w:r>
      <w:r w:rsidR="000A7AAB">
        <w:t>du</w:t>
      </w:r>
      <w:r w:rsidR="000A7AAB" w:rsidRPr="002C4077">
        <w:t xml:space="preserve"> </w:t>
      </w:r>
      <w:r w:rsidR="000A7AAB">
        <w:t>cidre</w:t>
      </w:r>
      <w:r w:rsidR="000A7AAB" w:rsidRPr="002C4077">
        <w:t xml:space="preserve"> </w:t>
      </w:r>
      <w:r w:rsidR="000A7AAB">
        <w:t>du</w:t>
      </w:r>
      <w:r w:rsidR="000A7AAB" w:rsidRPr="002C4077">
        <w:t xml:space="preserve"> </w:t>
      </w:r>
      <w:r w:rsidR="000A7AAB">
        <w:t>pays</w:t>
      </w:r>
      <w:r w:rsidR="00B91AF7">
        <w:rPr>
          <w:rStyle w:val="Appelnotedebasdep"/>
        </w:rPr>
        <w:footnoteReference w:id="824"/>
      </w:r>
      <w:r>
        <w:t> ?</w:t>
      </w:r>
      <w:r w:rsidR="000A7AAB" w:rsidRPr="002C4077">
        <w:t xml:space="preserve"> </w:t>
      </w:r>
      <w:r w:rsidR="000A7AAB">
        <w:t>Mais</w:t>
      </w:r>
      <w:r w:rsidR="000A7AAB" w:rsidRPr="002C4077">
        <w:t xml:space="preserve"> </w:t>
      </w:r>
      <w:r w:rsidR="000A7AAB">
        <w:t>à</w:t>
      </w:r>
      <w:r w:rsidR="000A7AAB" w:rsidRPr="002C4077">
        <w:t xml:space="preserve"> </w:t>
      </w:r>
      <w:r w:rsidR="000A7AAB">
        <w:t>quoi</w:t>
      </w:r>
      <w:r w:rsidR="000A7AAB" w:rsidRPr="002C4077">
        <w:t xml:space="preserve"> </w:t>
      </w:r>
      <w:r w:rsidR="000A7AAB">
        <w:t>bon</w:t>
      </w:r>
      <w:r w:rsidR="000A7AAB" w:rsidRPr="002C4077">
        <w:t xml:space="preserve"> </w:t>
      </w:r>
      <w:r w:rsidR="000A7AAB">
        <w:t>chercher</w:t>
      </w:r>
      <w:r w:rsidR="000A7AAB" w:rsidRPr="002C4077">
        <w:t xml:space="preserve"> </w:t>
      </w:r>
      <w:r w:rsidR="000A7AAB">
        <w:t>longtemps</w:t>
      </w:r>
      <w:r w:rsidR="000A7AAB" w:rsidRPr="002C4077">
        <w:t xml:space="preserve"> </w:t>
      </w:r>
      <w:r w:rsidR="000A7AAB">
        <w:t>un</w:t>
      </w:r>
      <w:r w:rsidR="000A7AAB" w:rsidRPr="002C4077">
        <w:t xml:space="preserve"> </w:t>
      </w:r>
      <w:r w:rsidR="000A7AAB">
        <w:t>aubergiste</w:t>
      </w:r>
      <w:r w:rsidR="000A7AAB" w:rsidRPr="002C4077">
        <w:t xml:space="preserve"> </w:t>
      </w:r>
      <w:r w:rsidR="000A7AAB">
        <w:t>qui</w:t>
      </w:r>
      <w:r w:rsidR="000A7AAB" w:rsidRPr="002C4077">
        <w:t xml:space="preserve"> </w:t>
      </w:r>
      <w:r w:rsidR="000A7AAB">
        <w:t>vende</w:t>
      </w:r>
      <w:r w:rsidR="000A7AAB" w:rsidRPr="002C4077">
        <w:t xml:space="preserve"> </w:t>
      </w:r>
      <w:r w:rsidR="000A7AAB">
        <w:t>l’une</w:t>
      </w:r>
      <w:r w:rsidR="000A7AAB" w:rsidRPr="002C4077">
        <w:t xml:space="preserve"> </w:t>
      </w:r>
      <w:r w:rsidR="000A7AAB">
        <w:t>ou</w:t>
      </w:r>
      <w:r w:rsidR="000A7AAB" w:rsidRPr="002C4077">
        <w:t xml:space="preserve"> </w:t>
      </w:r>
      <w:r w:rsidR="000A7AAB">
        <w:t>l’autre</w:t>
      </w:r>
      <w:r w:rsidR="000A7AAB" w:rsidRPr="002C4077">
        <w:t xml:space="preserve"> </w:t>
      </w:r>
      <w:r w:rsidR="000A7AAB">
        <w:t>de</w:t>
      </w:r>
      <w:r w:rsidR="000A7AAB" w:rsidRPr="002C4077">
        <w:t xml:space="preserve"> </w:t>
      </w:r>
      <w:r w:rsidR="000A7AAB">
        <w:t>ces</w:t>
      </w:r>
      <w:r w:rsidR="000A7AAB" w:rsidRPr="002C4077">
        <w:t xml:space="preserve"> </w:t>
      </w:r>
      <w:r w:rsidR="000A7AAB">
        <w:t>boissons</w:t>
      </w:r>
      <w:r>
        <w:t> ?</w:t>
      </w:r>
      <w:r w:rsidR="000A7AAB" w:rsidRPr="002C4077">
        <w:t xml:space="preserve"> </w:t>
      </w:r>
      <w:r w:rsidR="000A7AAB">
        <w:t>Dans</w:t>
      </w:r>
      <w:r w:rsidR="000A7AAB" w:rsidRPr="002C4077">
        <w:t xml:space="preserve"> </w:t>
      </w:r>
      <w:r w:rsidR="000A7AAB">
        <w:t>la</w:t>
      </w:r>
      <w:r w:rsidR="000A7AAB" w:rsidRPr="002C4077">
        <w:t xml:space="preserve"> </w:t>
      </w:r>
      <w:r w:rsidR="000A7AAB">
        <w:t>rue</w:t>
      </w:r>
      <w:r w:rsidR="000A7AAB" w:rsidRPr="002C4077">
        <w:t xml:space="preserve"> </w:t>
      </w:r>
      <w:r w:rsidR="000A7AAB">
        <w:t>des</w:t>
      </w:r>
      <w:r w:rsidR="000A7AAB" w:rsidRPr="002C4077">
        <w:t xml:space="preserve"> </w:t>
      </w:r>
      <w:r w:rsidR="000A7AAB">
        <w:t>Cardeurs</w:t>
      </w:r>
      <w:r w:rsidR="000A7AAB" w:rsidRPr="002C4077">
        <w:t xml:space="preserve"> </w:t>
      </w:r>
      <w:r w:rsidR="000A7AAB">
        <w:t>de</w:t>
      </w:r>
      <w:r w:rsidR="000A7AAB" w:rsidRPr="002C4077">
        <w:t xml:space="preserve"> </w:t>
      </w:r>
      <w:r w:rsidR="000A7AAB">
        <w:t>laine,</w:t>
      </w:r>
      <w:r w:rsidR="000A7AAB" w:rsidRPr="002C4077">
        <w:t xml:space="preserve"> </w:t>
      </w:r>
      <w:r w:rsidR="000A7AAB">
        <w:t>nous</w:t>
      </w:r>
      <w:r w:rsidR="000A7AAB" w:rsidRPr="002C4077">
        <w:t xml:space="preserve"> </w:t>
      </w:r>
      <w:r w:rsidR="000A7AAB">
        <w:t>avons</w:t>
      </w:r>
      <w:r w:rsidR="000A7AAB" w:rsidRPr="002C4077">
        <w:t xml:space="preserve"> </w:t>
      </w:r>
      <w:r w:rsidR="000A7AAB">
        <w:t>vu</w:t>
      </w:r>
      <w:r w:rsidR="000A7AAB" w:rsidRPr="002C4077">
        <w:t xml:space="preserve"> </w:t>
      </w:r>
      <w:r w:rsidR="000A7AAB">
        <w:t>devant</w:t>
      </w:r>
      <w:r w:rsidR="000A7AAB" w:rsidRPr="002C4077">
        <w:t xml:space="preserve"> </w:t>
      </w:r>
      <w:r w:rsidR="000A7AAB">
        <w:t>une</w:t>
      </w:r>
      <w:r w:rsidR="000A7AAB" w:rsidRPr="002C4077">
        <w:t xml:space="preserve"> </w:t>
      </w:r>
      <w:r w:rsidR="000A7AAB">
        <w:t>maison</w:t>
      </w:r>
      <w:r w:rsidR="000A7AAB" w:rsidRPr="002C4077">
        <w:t xml:space="preserve"> </w:t>
      </w:r>
      <w:r w:rsidR="000A7AAB">
        <w:t>de</w:t>
      </w:r>
      <w:r w:rsidR="000A7AAB" w:rsidRPr="002C4077">
        <w:t xml:space="preserve"> </w:t>
      </w:r>
      <w:r w:rsidR="000A7AAB">
        <w:t>grandes</w:t>
      </w:r>
      <w:r w:rsidR="000A7AAB" w:rsidRPr="002C4077">
        <w:t xml:space="preserve"> </w:t>
      </w:r>
      <w:r w:rsidR="000A7AAB">
        <w:t>cruches</w:t>
      </w:r>
      <w:r w:rsidR="000A7AAB" w:rsidRPr="002C4077">
        <w:t xml:space="preserve"> </w:t>
      </w:r>
      <w:r w:rsidR="000A7AAB">
        <w:t>exposées</w:t>
      </w:r>
      <w:r w:rsidR="000A7AAB" w:rsidRPr="002C4077">
        <w:t xml:space="preserve"> </w:t>
      </w:r>
      <w:r w:rsidR="000A7AAB">
        <w:t>au</w:t>
      </w:r>
      <w:r w:rsidR="000A7AAB" w:rsidRPr="002C4077">
        <w:t xml:space="preserve"> </w:t>
      </w:r>
      <w:r w:rsidR="000A7AAB">
        <w:t>soleil</w:t>
      </w:r>
      <w:r>
        <w:t> ;</w:t>
      </w:r>
      <w:r w:rsidR="000A7AAB" w:rsidRPr="002C4077">
        <w:t xml:space="preserve"> </w:t>
      </w:r>
      <w:r w:rsidR="000A7AAB">
        <w:t>elles</w:t>
      </w:r>
      <w:r w:rsidR="000A7AAB" w:rsidRPr="002C4077">
        <w:t xml:space="preserve"> </w:t>
      </w:r>
      <w:r w:rsidR="000A7AAB">
        <w:t>contiennent</w:t>
      </w:r>
      <w:r w:rsidR="000A7AAB" w:rsidRPr="002C4077">
        <w:t xml:space="preserve"> </w:t>
      </w:r>
      <w:r w:rsidR="000A7AAB">
        <w:t>du</w:t>
      </w:r>
      <w:r w:rsidR="000A7AAB" w:rsidRPr="002C4077">
        <w:t xml:space="preserve"> </w:t>
      </w:r>
      <w:r w:rsidR="000A7AAB">
        <w:t>vin</w:t>
      </w:r>
      <w:r w:rsidR="000A7AAB" w:rsidRPr="002C4077">
        <w:t xml:space="preserve"> </w:t>
      </w:r>
      <w:r w:rsidR="000A7AAB">
        <w:t>que</w:t>
      </w:r>
      <w:r w:rsidR="000A7AAB" w:rsidRPr="002C4077">
        <w:t xml:space="preserve"> </w:t>
      </w:r>
      <w:r w:rsidR="000A7AAB">
        <w:t>la</w:t>
      </w:r>
      <w:r w:rsidR="000A7AAB" w:rsidRPr="002C4077">
        <w:t xml:space="preserve"> </w:t>
      </w:r>
      <w:r w:rsidR="000A7AAB">
        <w:t>chaleur</w:t>
      </w:r>
      <w:r w:rsidR="000A7AAB" w:rsidRPr="002C4077">
        <w:t xml:space="preserve"> </w:t>
      </w:r>
      <w:r w:rsidR="000A7AAB">
        <w:t>doit</w:t>
      </w:r>
      <w:r w:rsidR="000A7AAB" w:rsidRPr="002C4077">
        <w:t xml:space="preserve"> </w:t>
      </w:r>
      <w:r w:rsidR="000A7AAB">
        <w:t>mettre</w:t>
      </w:r>
      <w:r w:rsidR="000A7AAB" w:rsidRPr="002C4077">
        <w:t xml:space="preserve"> </w:t>
      </w:r>
      <w:r w:rsidR="000A7AAB">
        <w:t>en</w:t>
      </w:r>
      <w:r w:rsidR="000A7AAB" w:rsidRPr="002C4077">
        <w:t xml:space="preserve"> </w:t>
      </w:r>
      <w:r w:rsidR="000A7AAB">
        <w:t>fermentation.</w:t>
      </w:r>
      <w:r w:rsidR="000A7AAB" w:rsidRPr="002C4077">
        <w:t xml:space="preserve"> </w:t>
      </w:r>
      <w:r w:rsidR="000A7AAB">
        <w:t>Nous</w:t>
      </w:r>
      <w:r w:rsidR="000A7AAB" w:rsidRPr="002C4077">
        <w:t xml:space="preserve"> </w:t>
      </w:r>
      <w:r w:rsidR="000A7AAB">
        <w:t>entrons,</w:t>
      </w:r>
      <w:r w:rsidR="000A7AAB" w:rsidRPr="002C4077">
        <w:t xml:space="preserve"> </w:t>
      </w:r>
      <w:r w:rsidR="000A7AAB">
        <w:t>et</w:t>
      </w:r>
      <w:r w:rsidR="000A7AAB" w:rsidRPr="002C4077">
        <w:t xml:space="preserve"> </w:t>
      </w:r>
      <w:r w:rsidR="000A7AAB">
        <w:t>nous</w:t>
      </w:r>
      <w:r w:rsidR="000A7AAB" w:rsidRPr="002C4077">
        <w:t xml:space="preserve"> </w:t>
      </w:r>
      <w:r w:rsidR="000A7AAB">
        <w:t>demandons</w:t>
      </w:r>
      <w:r w:rsidR="000A7AAB" w:rsidRPr="002C4077">
        <w:t xml:space="preserve"> </w:t>
      </w:r>
      <w:r w:rsidR="000A7AAB">
        <w:t>si</w:t>
      </w:r>
      <w:r w:rsidR="000A7AAB" w:rsidRPr="002C4077">
        <w:t xml:space="preserve"> </w:t>
      </w:r>
      <w:r w:rsidR="000A7AAB">
        <w:t>l’on</w:t>
      </w:r>
      <w:r w:rsidR="000A7AAB" w:rsidRPr="002C4077">
        <w:t xml:space="preserve"> </w:t>
      </w:r>
      <w:r w:rsidR="000A7AAB">
        <w:t>peut</w:t>
      </w:r>
      <w:r w:rsidR="000A7AAB" w:rsidRPr="002C4077">
        <w:t xml:space="preserve"> </w:t>
      </w:r>
      <w:r w:rsidR="000A7AAB">
        <w:t>nous</w:t>
      </w:r>
      <w:r w:rsidR="000A7AAB" w:rsidRPr="002C4077">
        <w:t xml:space="preserve"> </w:t>
      </w:r>
      <w:r w:rsidR="000A7AAB">
        <w:t>servir</w:t>
      </w:r>
      <w:r w:rsidR="000A7AAB" w:rsidRPr="002C4077">
        <w:t xml:space="preserve"> </w:t>
      </w:r>
      <w:r w:rsidR="000A7AAB">
        <w:t>quelque</w:t>
      </w:r>
      <w:r w:rsidR="000A7AAB" w:rsidRPr="002C4077">
        <w:t xml:space="preserve"> </w:t>
      </w:r>
      <w:r w:rsidR="000A7AAB">
        <w:t>chose</w:t>
      </w:r>
      <w:r w:rsidR="000A7AAB" w:rsidRPr="002C4077">
        <w:t xml:space="preserve"> </w:t>
      </w:r>
      <w:r w:rsidR="000A7AAB">
        <w:t>à</w:t>
      </w:r>
      <w:r w:rsidR="000A7AAB" w:rsidRPr="002C4077">
        <w:t xml:space="preserve"> </w:t>
      </w:r>
      <w:r w:rsidR="000A7AAB">
        <w:t>manger</w:t>
      </w:r>
      <w:r>
        <w:t> ;</w:t>
      </w:r>
      <w:r w:rsidR="000A7AAB" w:rsidRPr="002C4077">
        <w:t xml:space="preserve"> </w:t>
      </w:r>
      <w:r w:rsidR="000A7AAB">
        <w:t>par</w:t>
      </w:r>
      <w:r w:rsidR="000A7AAB" w:rsidRPr="002C4077">
        <w:t xml:space="preserve"> </w:t>
      </w:r>
      <w:r w:rsidR="000A7AAB">
        <w:t>exemple,</w:t>
      </w:r>
      <w:r w:rsidR="000A7AAB" w:rsidRPr="002C4077">
        <w:t xml:space="preserve"> </w:t>
      </w:r>
      <w:r w:rsidR="000A7AAB">
        <w:t>un</w:t>
      </w:r>
      <w:r w:rsidR="000A7AAB" w:rsidRPr="002C4077">
        <w:t xml:space="preserve"> </w:t>
      </w:r>
      <w:r w:rsidR="000A7AAB">
        <w:t>plat</w:t>
      </w:r>
      <w:r w:rsidR="000A7AAB" w:rsidRPr="002C4077">
        <w:t xml:space="preserve"> </w:t>
      </w:r>
      <w:r w:rsidR="000A7AAB">
        <w:t>de</w:t>
      </w:r>
      <w:r w:rsidR="000A7AAB" w:rsidRPr="002C4077">
        <w:t xml:space="preserve"> </w:t>
      </w:r>
      <w:r w:rsidR="000A7AAB">
        <w:t>sauterelles</w:t>
      </w:r>
      <w:r w:rsidR="000A7AAB" w:rsidRPr="002C4077">
        <w:t xml:space="preserve"> </w:t>
      </w:r>
      <w:r w:rsidR="000A7AAB">
        <w:t>rôties</w:t>
      </w:r>
      <w:r w:rsidR="000A7AAB" w:rsidRPr="002C4077">
        <w:t xml:space="preserve"> </w:t>
      </w:r>
      <w:r w:rsidR="000A7AAB">
        <w:t>dans</w:t>
      </w:r>
      <w:r w:rsidR="000A7AAB" w:rsidRPr="002C4077">
        <w:t xml:space="preserve"> </w:t>
      </w:r>
      <w:r w:rsidR="000A7AAB">
        <w:t>la</w:t>
      </w:r>
      <w:r w:rsidR="000A7AAB" w:rsidRPr="002C4077">
        <w:t xml:space="preserve"> </w:t>
      </w:r>
      <w:r w:rsidR="000A7AAB">
        <w:t>farine</w:t>
      </w:r>
      <w:r w:rsidR="000A7AAB" w:rsidRPr="002C4077">
        <w:t xml:space="preserve"> </w:t>
      </w:r>
      <w:r w:rsidR="000A7AAB">
        <w:t>ou</w:t>
      </w:r>
      <w:r w:rsidR="000A7AAB" w:rsidRPr="002C4077">
        <w:t xml:space="preserve"> </w:t>
      </w:r>
      <w:r w:rsidR="000A7AAB">
        <w:t>dans</w:t>
      </w:r>
      <w:r w:rsidR="000A7AAB" w:rsidRPr="002C4077">
        <w:t xml:space="preserve"> </w:t>
      </w:r>
      <w:r w:rsidR="000A7AAB">
        <w:t>le</w:t>
      </w:r>
      <w:r w:rsidR="000A7AAB" w:rsidRPr="002C4077">
        <w:t xml:space="preserve"> </w:t>
      </w:r>
      <w:r w:rsidR="000A7AAB">
        <w:t>miel,</w:t>
      </w:r>
      <w:r w:rsidR="000A7AAB" w:rsidRPr="002C4077">
        <w:t xml:space="preserve"> </w:t>
      </w:r>
      <w:r w:rsidR="000A7AAB">
        <w:t>ou</w:t>
      </w:r>
      <w:r w:rsidR="000A7AAB" w:rsidRPr="002C4077">
        <w:t xml:space="preserve"> </w:t>
      </w:r>
      <w:r w:rsidR="000A7AAB">
        <w:t>simplement</w:t>
      </w:r>
      <w:r w:rsidR="000A7AAB" w:rsidRPr="002C4077">
        <w:t xml:space="preserve"> </w:t>
      </w:r>
      <w:r w:rsidR="000A7AAB">
        <w:t>salées</w:t>
      </w:r>
      <w:r w:rsidR="00B91AF7">
        <w:rPr>
          <w:rStyle w:val="Appelnotedebasdep"/>
        </w:rPr>
        <w:footnoteReference w:id="825"/>
      </w:r>
      <w:r w:rsidR="000A7AAB">
        <w:t>.</w:t>
      </w:r>
      <w:r w:rsidR="000A7AAB" w:rsidRPr="002C4077">
        <w:t xml:space="preserve"> </w:t>
      </w:r>
      <w:r w:rsidR="000A7AAB">
        <w:t>Mais</w:t>
      </w:r>
      <w:r w:rsidR="000A7AAB" w:rsidRPr="002C4077">
        <w:t xml:space="preserve"> </w:t>
      </w:r>
      <w:r w:rsidR="000A7AAB">
        <w:t>quel</w:t>
      </w:r>
      <w:r w:rsidR="000A7AAB" w:rsidRPr="002C4077">
        <w:t xml:space="preserve"> </w:t>
      </w:r>
      <w:r w:rsidR="000A7AAB">
        <w:t>monde</w:t>
      </w:r>
      <w:r w:rsidR="000A7AAB" w:rsidRPr="002C4077">
        <w:t xml:space="preserve"> </w:t>
      </w:r>
      <w:r w:rsidR="000A7AAB">
        <w:t>et</w:t>
      </w:r>
      <w:r w:rsidR="000A7AAB" w:rsidRPr="002C4077">
        <w:t xml:space="preserve"> </w:t>
      </w:r>
      <w:r w:rsidR="000A7AAB">
        <w:t>quelle</w:t>
      </w:r>
      <w:r w:rsidR="000A7AAB" w:rsidRPr="002C4077">
        <w:t xml:space="preserve"> </w:t>
      </w:r>
      <w:r w:rsidR="000A7AAB">
        <w:t>agitation</w:t>
      </w:r>
      <w:r w:rsidR="000A7AAB" w:rsidRPr="002C4077">
        <w:t xml:space="preserve"> </w:t>
      </w:r>
      <w:r w:rsidR="000A7AAB">
        <w:t>nous</w:t>
      </w:r>
      <w:r w:rsidR="000A7AAB" w:rsidRPr="002C4077">
        <w:t xml:space="preserve"> </w:t>
      </w:r>
      <w:r w:rsidR="000A7AAB">
        <w:t>trouvons</w:t>
      </w:r>
      <w:r w:rsidR="000A7AAB" w:rsidRPr="002C4077">
        <w:t xml:space="preserve"> </w:t>
      </w:r>
      <w:r w:rsidR="000A7AAB">
        <w:t>ici</w:t>
      </w:r>
      <w:r>
        <w:t> !</w:t>
      </w:r>
      <w:r w:rsidR="000A7AAB" w:rsidRPr="002C4077">
        <w:t xml:space="preserve"> </w:t>
      </w:r>
      <w:r w:rsidR="000A7AAB">
        <w:t>Avant</w:t>
      </w:r>
      <w:r w:rsidR="000A7AAB" w:rsidRPr="002C4077">
        <w:t xml:space="preserve"> </w:t>
      </w:r>
      <w:r w:rsidR="000A7AAB">
        <w:t>que</w:t>
      </w:r>
      <w:r w:rsidR="000A7AAB" w:rsidRPr="002C4077">
        <w:t xml:space="preserve"> </w:t>
      </w:r>
      <w:r w:rsidR="000A7AAB">
        <w:t>l’aubergiste</w:t>
      </w:r>
      <w:r w:rsidR="000A7AAB" w:rsidRPr="002C4077">
        <w:t xml:space="preserve"> </w:t>
      </w:r>
      <w:r w:rsidR="000A7AAB">
        <w:t>nous</w:t>
      </w:r>
      <w:r w:rsidR="000A7AAB" w:rsidRPr="002C4077">
        <w:t xml:space="preserve"> </w:t>
      </w:r>
      <w:r w:rsidR="000A7AAB">
        <w:t>ait</w:t>
      </w:r>
      <w:r w:rsidR="000A7AAB" w:rsidRPr="002C4077">
        <w:t xml:space="preserve"> </w:t>
      </w:r>
      <w:r w:rsidR="000A7AAB">
        <w:t>répondu,</w:t>
      </w:r>
      <w:r w:rsidR="000A7AAB" w:rsidRPr="002C4077">
        <w:t xml:space="preserve"> </w:t>
      </w:r>
      <w:r w:rsidR="000A7AAB">
        <w:t>un</w:t>
      </w:r>
      <w:r w:rsidR="000A7AAB" w:rsidRPr="002C4077">
        <w:t xml:space="preserve"> </w:t>
      </w:r>
      <w:r w:rsidR="000A7AAB">
        <w:t>chaudronnier,</w:t>
      </w:r>
      <w:r w:rsidR="000A7AAB" w:rsidRPr="002C4077">
        <w:t xml:space="preserve"> </w:t>
      </w:r>
      <w:r w:rsidR="000A7AAB">
        <w:t>que</w:t>
      </w:r>
      <w:r w:rsidR="000A7AAB" w:rsidRPr="002C4077">
        <w:t xml:space="preserve"> </w:t>
      </w:r>
      <w:r w:rsidR="000A7AAB">
        <w:t>nous</w:t>
      </w:r>
      <w:r w:rsidR="000A7AAB" w:rsidRPr="002C4077">
        <w:t xml:space="preserve"> </w:t>
      </w:r>
      <w:r w:rsidR="000A7AAB">
        <w:t>reconnaissons</w:t>
      </w:r>
      <w:r w:rsidR="000A7AAB" w:rsidRPr="002C4077">
        <w:t xml:space="preserve"> </w:t>
      </w:r>
      <w:r w:rsidR="000A7AAB">
        <w:t>à</w:t>
      </w:r>
      <w:r w:rsidR="000A7AAB" w:rsidRPr="002C4077">
        <w:t xml:space="preserve"> </w:t>
      </w:r>
      <w:r w:rsidR="000A7AAB">
        <w:t>son</w:t>
      </w:r>
      <w:r w:rsidR="000A7AAB" w:rsidRPr="002C4077">
        <w:t xml:space="preserve"> </w:t>
      </w:r>
      <w:r w:rsidR="000A7AAB">
        <w:t>tablier</w:t>
      </w:r>
      <w:r w:rsidR="000A7AAB" w:rsidRPr="002C4077">
        <w:t xml:space="preserve"> </w:t>
      </w:r>
      <w:r w:rsidR="000A7AAB">
        <w:t>de</w:t>
      </w:r>
      <w:r w:rsidR="000A7AAB" w:rsidRPr="002C4077">
        <w:t xml:space="preserve"> </w:t>
      </w:r>
      <w:r w:rsidR="000A7AAB">
        <w:t>peau,</w:t>
      </w:r>
      <w:r w:rsidR="000A7AAB" w:rsidRPr="002C4077">
        <w:t xml:space="preserve"> </w:t>
      </w:r>
      <w:r w:rsidR="000A7AAB">
        <w:t>approche</w:t>
      </w:r>
      <w:r w:rsidR="000A7AAB" w:rsidRPr="002C4077">
        <w:t xml:space="preserve"> </w:t>
      </w:r>
      <w:r w:rsidR="000A7AAB">
        <w:t>son</w:t>
      </w:r>
      <w:r w:rsidR="000A7AAB" w:rsidRPr="002C4077">
        <w:t xml:space="preserve"> </w:t>
      </w:r>
      <w:r w:rsidR="000A7AAB">
        <w:t>verre</w:t>
      </w:r>
      <w:r w:rsidR="000A7AAB" w:rsidRPr="002C4077">
        <w:t xml:space="preserve"> </w:t>
      </w:r>
      <w:r w:rsidR="000A7AAB">
        <w:t>de</w:t>
      </w:r>
      <w:r w:rsidR="000A7AAB" w:rsidRPr="002C4077">
        <w:t xml:space="preserve"> </w:t>
      </w:r>
      <w:r w:rsidR="000A7AAB">
        <w:t>notre</w:t>
      </w:r>
      <w:r w:rsidR="000A7AAB" w:rsidRPr="002C4077">
        <w:t xml:space="preserve"> </w:t>
      </w:r>
      <w:r w:rsidR="000A7AAB">
        <w:t>visage,</w:t>
      </w:r>
      <w:r w:rsidR="000A7AAB" w:rsidRPr="002C4077">
        <w:t xml:space="preserve"> </w:t>
      </w:r>
      <w:r w:rsidR="000A7AAB">
        <w:t>en</w:t>
      </w:r>
      <w:r w:rsidR="000A7AAB" w:rsidRPr="002C4077">
        <w:t xml:space="preserve"> </w:t>
      </w:r>
      <w:r w:rsidR="000A7AAB">
        <w:t>criant</w:t>
      </w:r>
      <w:r>
        <w:t> :</w:t>
      </w:r>
      <w:r w:rsidR="000A7AAB" w:rsidRPr="002C4077">
        <w:t xml:space="preserve"> </w:t>
      </w:r>
      <w:r w:rsidR="000A7AAB">
        <w:t>Insensés</w:t>
      </w:r>
      <w:r>
        <w:t> !</w:t>
      </w:r>
      <w:r w:rsidR="000A7AAB" w:rsidRPr="002C4077">
        <w:t xml:space="preserve"> </w:t>
      </w:r>
      <w:r w:rsidR="000A7AAB">
        <w:t>manger</w:t>
      </w:r>
      <w:r w:rsidR="000A7AAB" w:rsidRPr="002C4077">
        <w:t xml:space="preserve"> </w:t>
      </w:r>
      <w:r w:rsidR="000A7AAB">
        <w:t>sans</w:t>
      </w:r>
      <w:r w:rsidR="000A7AAB" w:rsidRPr="002C4077">
        <w:t xml:space="preserve"> </w:t>
      </w:r>
      <w:r w:rsidR="000A7AAB">
        <w:t>boire,</w:t>
      </w:r>
      <w:r w:rsidR="000A7AAB" w:rsidRPr="002C4077">
        <w:t xml:space="preserve"> </w:t>
      </w:r>
      <w:r w:rsidR="000A7AAB">
        <w:t>c’est</w:t>
      </w:r>
      <w:r w:rsidR="000A7AAB" w:rsidRPr="002C4077">
        <w:t xml:space="preserve"> </w:t>
      </w:r>
      <w:r w:rsidR="000A7AAB">
        <w:t>consommer</w:t>
      </w:r>
      <w:r w:rsidR="000A7AAB" w:rsidRPr="002C4077">
        <w:t xml:space="preserve"> </w:t>
      </w:r>
      <w:r w:rsidR="000A7AAB">
        <w:t>son</w:t>
      </w:r>
      <w:r w:rsidR="000A7AAB" w:rsidRPr="002C4077">
        <w:t xml:space="preserve"> </w:t>
      </w:r>
      <w:r w:rsidR="000A7AAB">
        <w:t>propre</w:t>
      </w:r>
      <w:r w:rsidR="000A7AAB" w:rsidRPr="002C4077">
        <w:t xml:space="preserve"> </w:t>
      </w:r>
      <w:r w:rsidR="000A7AAB">
        <w:t>sang</w:t>
      </w:r>
      <w:r w:rsidR="00846153">
        <w:rPr>
          <w:rStyle w:val="Appelnotedebasdep"/>
        </w:rPr>
        <w:footnoteReference w:id="826"/>
      </w:r>
      <w:r w:rsidR="000A7AAB">
        <w:t>.</w:t>
      </w:r>
      <w:r w:rsidR="00F042F3">
        <w:t xml:space="preserve"> </w:t>
      </w:r>
      <w:r w:rsidR="000A7AAB">
        <w:t>Un</w:t>
      </w:r>
      <w:r w:rsidR="000A7AAB" w:rsidRPr="002C4077">
        <w:t xml:space="preserve"> </w:t>
      </w:r>
      <w:r w:rsidR="000A7AAB">
        <w:t>soldat</w:t>
      </w:r>
      <w:r w:rsidR="000A7AAB" w:rsidRPr="002C4077">
        <w:t xml:space="preserve"> </w:t>
      </w:r>
      <w:r w:rsidR="000A7AAB">
        <w:t>vient</w:t>
      </w:r>
      <w:r w:rsidR="000A7AAB" w:rsidRPr="002C4077">
        <w:t xml:space="preserve"> </w:t>
      </w:r>
      <w:r w:rsidR="000A7AAB">
        <w:t>à</w:t>
      </w:r>
      <w:r w:rsidR="000A7AAB" w:rsidRPr="002C4077">
        <w:t xml:space="preserve"> </w:t>
      </w:r>
      <w:r w:rsidR="000A7AAB">
        <w:t>son</w:t>
      </w:r>
      <w:r w:rsidR="000A7AAB" w:rsidRPr="002C4077">
        <w:t xml:space="preserve"> </w:t>
      </w:r>
      <w:r w:rsidR="000A7AAB">
        <w:t>tour</w:t>
      </w:r>
      <w:r w:rsidR="000A7AAB" w:rsidRPr="002C4077">
        <w:t xml:space="preserve"> </w:t>
      </w:r>
      <w:r w:rsidR="000A7AAB">
        <w:t>et</w:t>
      </w:r>
      <w:r w:rsidR="000A7AAB" w:rsidRPr="002C4077">
        <w:t xml:space="preserve"> </w:t>
      </w:r>
      <w:r w:rsidR="000A7AAB">
        <w:t>dit</w:t>
      </w:r>
      <w:r w:rsidR="000A7AAB" w:rsidRPr="002C4077">
        <w:t xml:space="preserve"> </w:t>
      </w:r>
      <w:r w:rsidR="000A7AAB">
        <w:t>au</w:t>
      </w:r>
      <w:r w:rsidR="000A7AAB" w:rsidRPr="002C4077">
        <w:t xml:space="preserve"> </w:t>
      </w:r>
      <w:r w:rsidR="000A7AAB">
        <w:t>chaudronnier</w:t>
      </w:r>
      <w:r>
        <w:t> :</w:t>
      </w:r>
      <w:r w:rsidR="000A7AAB" w:rsidRPr="002C4077">
        <w:t xml:space="preserve"> </w:t>
      </w:r>
      <w:r w:rsidR="000A7AAB">
        <w:t>Ces</w:t>
      </w:r>
      <w:r w:rsidR="000A7AAB" w:rsidRPr="002C4077">
        <w:t xml:space="preserve"> </w:t>
      </w:r>
      <w:r w:rsidR="000A7AAB">
        <w:t>hommes</w:t>
      </w:r>
      <w:r w:rsidR="000A7AAB" w:rsidRPr="002C4077">
        <w:t xml:space="preserve"> </w:t>
      </w:r>
      <w:r w:rsidR="000A7AAB">
        <w:t>paraissent</w:t>
      </w:r>
      <w:r w:rsidR="000A7AAB" w:rsidRPr="002C4077">
        <w:t xml:space="preserve"> </w:t>
      </w:r>
      <w:r w:rsidR="000A7AAB">
        <w:t>être</w:t>
      </w:r>
      <w:r w:rsidR="000A7AAB" w:rsidRPr="002C4077">
        <w:t xml:space="preserve"> </w:t>
      </w:r>
      <w:r w:rsidR="000A7AAB">
        <w:t>des</w:t>
      </w:r>
      <w:r w:rsidR="000A7AAB" w:rsidRPr="002C4077">
        <w:t xml:space="preserve"> </w:t>
      </w:r>
      <w:r w:rsidR="000A7AAB">
        <w:t>savants</w:t>
      </w:r>
      <w:r>
        <w:t> ;</w:t>
      </w:r>
      <w:r w:rsidR="00C45B47">
        <w:t xml:space="preserve"> {</w:t>
      </w:r>
      <w:r w:rsidR="001F5257">
        <w:t>264</w:t>
      </w:r>
      <w:bookmarkStart w:id="638" w:name="p264"/>
      <w:bookmarkEnd w:id="638"/>
      <w:r w:rsidR="001F5257">
        <w:t xml:space="preserve">} </w:t>
      </w:r>
      <w:r w:rsidR="000A7AAB">
        <w:t>puis</w:t>
      </w:r>
      <w:r w:rsidR="000A7AAB" w:rsidRPr="002C4077">
        <w:t xml:space="preserve"> </w:t>
      </w:r>
      <w:r w:rsidR="000A7AAB">
        <w:t>il</w:t>
      </w:r>
      <w:r w:rsidR="000A7AAB" w:rsidRPr="002C4077">
        <w:t xml:space="preserve"> </w:t>
      </w:r>
      <w:r w:rsidR="000A7AAB">
        <w:t>ajoute</w:t>
      </w:r>
      <w:r w:rsidR="000A7AAB" w:rsidRPr="002C4077">
        <w:t xml:space="preserve"> </w:t>
      </w:r>
      <w:r w:rsidR="000A7AAB">
        <w:t>à</w:t>
      </w:r>
      <w:r w:rsidR="000A7AAB" w:rsidRPr="002C4077">
        <w:t xml:space="preserve"> </w:t>
      </w:r>
      <w:r w:rsidR="000A7AAB">
        <w:t>haute</w:t>
      </w:r>
      <w:r w:rsidR="000A7AAB" w:rsidRPr="002C4077">
        <w:t xml:space="preserve"> </w:t>
      </w:r>
      <w:r w:rsidR="000A7AAB">
        <w:t>voix</w:t>
      </w:r>
      <w:r>
        <w:t> :</w:t>
      </w:r>
      <w:r w:rsidR="00F042F3">
        <w:t xml:space="preserve"> </w:t>
      </w:r>
      <w:r w:rsidR="000A7AAB">
        <w:t>Ce</w:t>
      </w:r>
      <w:r w:rsidR="000A7AAB" w:rsidRPr="002C4077">
        <w:t xml:space="preserve"> </w:t>
      </w:r>
      <w:r w:rsidR="000A7AAB">
        <w:t>verre</w:t>
      </w:r>
      <w:r w:rsidR="000A7AAB" w:rsidRPr="002C4077">
        <w:t xml:space="preserve"> </w:t>
      </w:r>
      <w:r w:rsidR="000A7AAB">
        <w:t>à</w:t>
      </w:r>
      <w:r w:rsidR="000A7AAB" w:rsidRPr="002C4077">
        <w:t xml:space="preserve"> </w:t>
      </w:r>
      <w:r w:rsidR="000A7AAB">
        <w:t>la</w:t>
      </w:r>
      <w:r w:rsidR="000A7AAB" w:rsidRPr="002C4077">
        <w:t xml:space="preserve"> </w:t>
      </w:r>
      <w:r w:rsidR="000A7AAB">
        <w:t>santé</w:t>
      </w:r>
      <w:r w:rsidR="000A7AAB" w:rsidRPr="002C4077">
        <w:t xml:space="preserve"> </w:t>
      </w:r>
      <w:r w:rsidR="000A7AAB">
        <w:t>des</w:t>
      </w:r>
      <w:r w:rsidR="000A7AAB" w:rsidRPr="002C4077">
        <w:t xml:space="preserve"> </w:t>
      </w:r>
      <w:r w:rsidR="000A7AAB">
        <w:t>savants</w:t>
      </w:r>
      <w:r w:rsidR="000A7AAB" w:rsidRPr="002C4077">
        <w:t xml:space="preserve"> </w:t>
      </w:r>
      <w:r w:rsidR="000A7AAB">
        <w:t>et</w:t>
      </w:r>
      <w:r w:rsidR="000A7AAB" w:rsidRPr="002C4077">
        <w:t xml:space="preserve"> </w:t>
      </w:r>
      <w:r w:rsidR="000A7AAB">
        <w:t>de</w:t>
      </w:r>
      <w:r w:rsidR="000A7AAB" w:rsidRPr="002C4077">
        <w:t xml:space="preserve"> </w:t>
      </w:r>
      <w:r w:rsidR="000A7AAB">
        <w:t>leurs</w:t>
      </w:r>
      <w:r w:rsidR="000A7AAB" w:rsidRPr="002C4077">
        <w:t xml:space="preserve"> </w:t>
      </w:r>
      <w:r w:rsidR="000A7AAB">
        <w:t>élèves</w:t>
      </w:r>
      <w:r w:rsidR="00B91AF7">
        <w:rPr>
          <w:rStyle w:val="Appelnotedebasdep"/>
        </w:rPr>
        <w:footnoteReference w:id="827"/>
      </w:r>
      <w:r w:rsidR="000A7AAB">
        <w:t>.</w:t>
      </w:r>
      <w:r w:rsidR="000A7AAB" w:rsidRPr="002C4077">
        <w:t xml:space="preserve"> </w:t>
      </w:r>
      <w:r w:rsidR="000A7AAB">
        <w:t>Deux</w:t>
      </w:r>
      <w:r w:rsidR="000A7AAB" w:rsidRPr="002C4077">
        <w:t xml:space="preserve"> </w:t>
      </w:r>
      <w:r w:rsidR="000A7AAB">
        <w:t>individus</w:t>
      </w:r>
      <w:r w:rsidR="000A7AAB" w:rsidRPr="002C4077">
        <w:t xml:space="preserve"> </w:t>
      </w:r>
      <w:r w:rsidR="000A7AAB">
        <w:t>plus</w:t>
      </w:r>
      <w:r w:rsidR="000A7AAB" w:rsidRPr="002C4077">
        <w:t xml:space="preserve"> </w:t>
      </w:r>
      <w:r w:rsidR="000A7AAB">
        <w:t>paisibles,</w:t>
      </w:r>
      <w:r w:rsidR="000A7AAB" w:rsidRPr="002C4077">
        <w:t xml:space="preserve"> </w:t>
      </w:r>
      <w:r w:rsidR="000A7AAB">
        <w:t>qui</w:t>
      </w:r>
      <w:r w:rsidR="000A7AAB" w:rsidRPr="002C4077">
        <w:t xml:space="preserve"> </w:t>
      </w:r>
      <w:r w:rsidR="000A7AAB">
        <w:t>font</w:t>
      </w:r>
      <w:r w:rsidR="000A7AAB" w:rsidRPr="002C4077">
        <w:t xml:space="preserve"> </w:t>
      </w:r>
      <w:r w:rsidR="000A7AAB">
        <w:t>dans</w:t>
      </w:r>
      <w:r w:rsidR="000A7AAB" w:rsidRPr="002C4077">
        <w:t xml:space="preserve"> </w:t>
      </w:r>
      <w:r w:rsidR="000A7AAB">
        <w:t>un</w:t>
      </w:r>
      <w:r w:rsidR="000A7AAB" w:rsidRPr="002C4077">
        <w:t xml:space="preserve"> </w:t>
      </w:r>
      <w:r w:rsidR="000A7AAB">
        <w:t>coin</w:t>
      </w:r>
      <w:r w:rsidR="000A7AAB" w:rsidRPr="002C4077">
        <w:t xml:space="preserve"> </w:t>
      </w:r>
      <w:r w:rsidR="000A7AAB">
        <w:t>une</w:t>
      </w:r>
      <w:r w:rsidR="000A7AAB" w:rsidRPr="002C4077">
        <w:t xml:space="preserve"> </w:t>
      </w:r>
      <w:r w:rsidR="000A7AAB">
        <w:t>partie</w:t>
      </w:r>
      <w:r w:rsidR="000A7AAB" w:rsidRPr="002C4077">
        <w:t xml:space="preserve"> </w:t>
      </w:r>
      <w:r w:rsidR="000A7AAB">
        <w:t>de</w:t>
      </w:r>
      <w:r w:rsidR="000A7AAB" w:rsidRPr="002C4077">
        <w:t xml:space="preserve"> </w:t>
      </w:r>
      <w:r w:rsidR="000A7AAB" w:rsidRPr="000A34B5">
        <w:rPr>
          <w:rStyle w:val="italicus"/>
        </w:rPr>
        <w:t>nerdschir,</w:t>
      </w:r>
      <w:r w:rsidR="000A7AAB" w:rsidRPr="002C4077">
        <w:t xml:space="preserve"> </w:t>
      </w:r>
      <w:r w:rsidR="000A7AAB">
        <w:t>nous</w:t>
      </w:r>
      <w:r w:rsidR="000A7AAB" w:rsidRPr="002C4077">
        <w:t xml:space="preserve"> </w:t>
      </w:r>
      <w:r w:rsidR="000A7AAB">
        <w:t>dirions</w:t>
      </w:r>
      <w:r w:rsidR="000A7AAB" w:rsidRPr="002C4077">
        <w:t xml:space="preserve"> </w:t>
      </w:r>
      <w:r w:rsidR="000A7AAB">
        <w:t>de</w:t>
      </w:r>
      <w:r w:rsidR="000A7AAB" w:rsidRPr="002C4077">
        <w:t xml:space="preserve"> </w:t>
      </w:r>
      <w:r w:rsidR="000A7AAB">
        <w:t>trictrac,</w:t>
      </w:r>
      <w:r w:rsidR="000A7AAB" w:rsidRPr="002C4077">
        <w:t xml:space="preserve"> </w:t>
      </w:r>
      <w:r w:rsidR="000A7AAB">
        <w:t>nous</w:t>
      </w:r>
      <w:r w:rsidR="000A7AAB" w:rsidRPr="002C4077">
        <w:t xml:space="preserve"> </w:t>
      </w:r>
      <w:r w:rsidR="000A7AAB">
        <w:t>offrent</w:t>
      </w:r>
      <w:r w:rsidR="000A7AAB" w:rsidRPr="002C4077">
        <w:t xml:space="preserve"> </w:t>
      </w:r>
      <w:r w:rsidR="000A7AAB">
        <w:t>une</w:t>
      </w:r>
      <w:r w:rsidR="000A7AAB" w:rsidRPr="002C4077">
        <w:t xml:space="preserve"> </w:t>
      </w:r>
      <w:r w:rsidR="000A7AAB">
        <w:t>place</w:t>
      </w:r>
      <w:r w:rsidR="000A7AAB" w:rsidRPr="002C4077">
        <w:t xml:space="preserve"> </w:t>
      </w:r>
      <w:r w:rsidR="000A7AAB">
        <w:t>à</w:t>
      </w:r>
      <w:r w:rsidR="000A7AAB" w:rsidRPr="002C4077">
        <w:t xml:space="preserve"> </w:t>
      </w:r>
      <w:r w:rsidR="000A7AAB">
        <w:t>côté</w:t>
      </w:r>
      <w:r w:rsidR="000A7AAB" w:rsidRPr="002C4077">
        <w:t xml:space="preserve"> </w:t>
      </w:r>
      <w:r w:rsidR="000A7AAB">
        <w:t>d’eux…</w:t>
      </w:r>
      <w:r w:rsidR="000A7AAB" w:rsidRPr="002C4077">
        <w:t xml:space="preserve"> </w:t>
      </w:r>
      <w:r w:rsidR="000A7AAB">
        <w:t>Quelqu’un</w:t>
      </w:r>
      <w:r w:rsidR="000A7AAB" w:rsidRPr="002C4077">
        <w:t xml:space="preserve"> </w:t>
      </w:r>
      <w:r w:rsidR="000A7AAB">
        <w:t>près</w:t>
      </w:r>
      <w:r w:rsidR="000A7AAB" w:rsidRPr="002C4077">
        <w:t xml:space="preserve"> </w:t>
      </w:r>
      <w:r w:rsidR="000A7AAB">
        <w:t>de</w:t>
      </w:r>
      <w:r w:rsidR="000A7AAB" w:rsidRPr="002C4077">
        <w:t xml:space="preserve"> </w:t>
      </w:r>
      <w:r w:rsidR="000A7AAB">
        <w:t>nous</w:t>
      </w:r>
      <w:r w:rsidR="000A7AAB" w:rsidRPr="002C4077">
        <w:t xml:space="preserve"> </w:t>
      </w:r>
      <w:r w:rsidR="000A7AAB">
        <w:t>éternue</w:t>
      </w:r>
      <w:r>
        <w:t> :</w:t>
      </w:r>
      <w:r w:rsidR="000A7AAB" w:rsidRPr="002C4077">
        <w:t xml:space="preserve"> </w:t>
      </w:r>
      <w:r w:rsidR="000A7AAB" w:rsidRPr="000A34B5">
        <w:rPr>
          <w:rStyle w:val="italicus"/>
        </w:rPr>
        <w:t>Yas,</w:t>
      </w:r>
      <w:r w:rsidR="000A7AAB" w:rsidRPr="002C4077">
        <w:t xml:space="preserve"> </w:t>
      </w:r>
      <w:r w:rsidR="000A7AAB" w:rsidRPr="000A34B5">
        <w:rPr>
          <w:rStyle w:val="italicus"/>
        </w:rPr>
        <w:t>yas,</w:t>
      </w:r>
      <w:r w:rsidR="000A7AAB" w:rsidRPr="002C4077">
        <w:t xml:space="preserve"> </w:t>
      </w:r>
      <w:r w:rsidR="000A7AAB">
        <w:t>lui</w:t>
      </w:r>
      <w:r w:rsidR="000A7AAB" w:rsidRPr="002C4077">
        <w:t xml:space="preserve"> </w:t>
      </w:r>
      <w:r w:rsidR="000A7AAB">
        <w:t>crie-t-on</w:t>
      </w:r>
      <w:r>
        <w:t> ;</w:t>
      </w:r>
      <w:r w:rsidR="000A7AAB" w:rsidRPr="002C4077">
        <w:t xml:space="preserve"> </w:t>
      </w:r>
      <w:r w:rsidR="000A7AAB">
        <w:t>grand</w:t>
      </w:r>
      <w:r w:rsidR="000A7AAB" w:rsidRPr="002C4077">
        <w:t xml:space="preserve"> </w:t>
      </w:r>
      <w:r w:rsidR="000A7AAB">
        <w:t>bien</w:t>
      </w:r>
      <w:r w:rsidR="000A7AAB" w:rsidRPr="002C4077">
        <w:t xml:space="preserve"> </w:t>
      </w:r>
      <w:r w:rsidR="000A7AAB">
        <w:t>vous</w:t>
      </w:r>
      <w:r w:rsidR="000A7AAB" w:rsidRPr="002C4077">
        <w:t xml:space="preserve"> </w:t>
      </w:r>
      <w:r w:rsidR="000A7AAB">
        <w:t>fasse</w:t>
      </w:r>
      <w:r w:rsidR="00B91AF7">
        <w:rPr>
          <w:rStyle w:val="Appelnotedebasdep"/>
        </w:rPr>
        <w:footnoteReference w:id="828"/>
      </w:r>
      <w:r>
        <w:t> !</w:t>
      </w:r>
      <w:r w:rsidR="000A7AAB" w:rsidRPr="002C4077">
        <w:t xml:space="preserve"> </w:t>
      </w:r>
    </w:p>
    <w:p w:rsidR="000A7AAB" w:rsidRDefault="00B546AF" w:rsidP="000A7AAB">
      <w:r>
        <w:t>« </w:t>
      </w:r>
      <w:r w:rsidR="000A7AAB">
        <w:t>Il</w:t>
      </w:r>
      <w:r w:rsidR="000A7AAB" w:rsidRPr="002C4077">
        <w:t xml:space="preserve"> </w:t>
      </w:r>
      <w:r w:rsidR="00425C50">
        <w:t>est</w:t>
      </w:r>
      <w:r w:rsidR="000A7AAB" w:rsidRPr="002C4077">
        <w:t xml:space="preserve"> </w:t>
      </w:r>
      <w:r w:rsidR="000A7AAB">
        <w:t>midi</w:t>
      </w:r>
      <w:r>
        <w:t> ;</w:t>
      </w:r>
      <w:r w:rsidR="000A7AAB" w:rsidRPr="002C4077">
        <w:t xml:space="preserve"> </w:t>
      </w:r>
      <w:r w:rsidR="000A7AAB">
        <w:t>le</w:t>
      </w:r>
      <w:r w:rsidR="000A7AAB" w:rsidRPr="002C4077">
        <w:t xml:space="preserve"> </w:t>
      </w:r>
      <w:r w:rsidR="000A7AAB">
        <w:t>marbre</w:t>
      </w:r>
      <w:r w:rsidR="000A7AAB" w:rsidRPr="002C4077">
        <w:t xml:space="preserve"> </w:t>
      </w:r>
      <w:r w:rsidR="000A7AAB">
        <w:t>blanc</w:t>
      </w:r>
      <w:r w:rsidR="000A7AAB" w:rsidRPr="002C4077">
        <w:t xml:space="preserve"> </w:t>
      </w:r>
      <w:r w:rsidR="000A7AAB">
        <w:t>des</w:t>
      </w:r>
      <w:r w:rsidR="000A7AAB" w:rsidRPr="002C4077">
        <w:t xml:space="preserve"> </w:t>
      </w:r>
      <w:r w:rsidR="000A7AAB">
        <w:t>palais</w:t>
      </w:r>
      <w:r w:rsidR="000A7AAB" w:rsidRPr="002C4077">
        <w:t xml:space="preserve"> </w:t>
      </w:r>
      <w:r w:rsidR="000A7AAB">
        <w:t>reflète</w:t>
      </w:r>
      <w:r w:rsidR="000A7AAB" w:rsidRPr="002C4077">
        <w:t xml:space="preserve"> </w:t>
      </w:r>
      <w:r w:rsidR="000A7AAB">
        <w:t>les</w:t>
      </w:r>
      <w:r w:rsidR="000A7AAB" w:rsidRPr="002C4077">
        <w:t xml:space="preserve"> </w:t>
      </w:r>
      <w:r w:rsidR="000A7AAB">
        <w:t>rayons</w:t>
      </w:r>
      <w:r w:rsidR="000A7AAB" w:rsidRPr="002C4077">
        <w:t xml:space="preserve"> </w:t>
      </w:r>
      <w:r w:rsidR="000A7AAB">
        <w:t>éblouissants</w:t>
      </w:r>
      <w:r w:rsidR="000A7AAB" w:rsidRPr="002C4077">
        <w:t xml:space="preserve"> </w:t>
      </w:r>
      <w:r w:rsidR="000A7AAB">
        <w:t>du</w:t>
      </w:r>
      <w:r w:rsidR="000A7AAB" w:rsidRPr="002C4077">
        <w:t xml:space="preserve"> </w:t>
      </w:r>
      <w:r w:rsidR="000A7AAB">
        <w:t>soleil.</w:t>
      </w:r>
      <w:r w:rsidR="000A7AAB" w:rsidRPr="002C4077">
        <w:t xml:space="preserve"> </w:t>
      </w:r>
      <w:r w:rsidR="000A7AAB">
        <w:t>Les</w:t>
      </w:r>
      <w:r w:rsidR="000A7AAB" w:rsidRPr="002C4077">
        <w:t xml:space="preserve"> </w:t>
      </w:r>
      <w:r w:rsidR="000A7AAB">
        <w:t>rues</w:t>
      </w:r>
      <w:r w:rsidR="000A7AAB" w:rsidRPr="002C4077">
        <w:t xml:space="preserve"> </w:t>
      </w:r>
      <w:r w:rsidR="000A7AAB">
        <w:t>sont</w:t>
      </w:r>
      <w:r w:rsidR="000A7AAB" w:rsidRPr="002C4077">
        <w:t xml:space="preserve"> </w:t>
      </w:r>
      <w:r w:rsidR="000A7AAB">
        <w:t>presque</w:t>
      </w:r>
      <w:r w:rsidR="000A7AAB" w:rsidRPr="002C4077">
        <w:t xml:space="preserve"> </w:t>
      </w:r>
      <w:r w:rsidR="000A7AAB">
        <w:t>désertes,</w:t>
      </w:r>
      <w:r w:rsidR="000A7AAB" w:rsidRPr="002C4077">
        <w:t xml:space="preserve"> </w:t>
      </w:r>
      <w:r w:rsidR="000A7AAB">
        <w:t>et</w:t>
      </w:r>
      <w:r w:rsidR="000A7AAB" w:rsidRPr="002C4077">
        <w:t xml:space="preserve"> </w:t>
      </w:r>
      <w:r w:rsidR="000A7AAB">
        <w:t>le</w:t>
      </w:r>
      <w:r w:rsidR="000A7AAB" w:rsidRPr="002C4077">
        <w:t xml:space="preserve"> </w:t>
      </w:r>
      <w:r w:rsidR="000A7AAB">
        <w:t>silence</w:t>
      </w:r>
      <w:r w:rsidR="000A7AAB" w:rsidRPr="002C4077">
        <w:t xml:space="preserve"> </w:t>
      </w:r>
      <w:r w:rsidR="000A7AAB">
        <w:t>n’est</w:t>
      </w:r>
      <w:r w:rsidR="000A7AAB" w:rsidRPr="002C4077">
        <w:t xml:space="preserve"> </w:t>
      </w:r>
      <w:r w:rsidR="000A7AAB">
        <w:t>interrompu</w:t>
      </w:r>
      <w:r w:rsidR="000A7AAB" w:rsidRPr="002C4077">
        <w:t xml:space="preserve"> </w:t>
      </w:r>
      <w:r w:rsidR="000A7AAB">
        <w:t>que</w:t>
      </w:r>
      <w:r w:rsidR="000A7AAB" w:rsidRPr="002C4077">
        <w:t xml:space="preserve"> </w:t>
      </w:r>
      <w:r w:rsidR="000A7AAB">
        <w:t>par</w:t>
      </w:r>
      <w:r w:rsidR="000A7AAB" w:rsidRPr="002C4077">
        <w:t xml:space="preserve"> </w:t>
      </w:r>
      <w:r w:rsidR="000A7AAB">
        <w:t>la</w:t>
      </w:r>
      <w:r w:rsidR="000A7AAB" w:rsidRPr="002C4077">
        <w:t xml:space="preserve"> </w:t>
      </w:r>
      <w:r w:rsidR="000A7AAB">
        <w:t>voix</w:t>
      </w:r>
      <w:r w:rsidR="000A7AAB" w:rsidRPr="002C4077">
        <w:t xml:space="preserve"> </w:t>
      </w:r>
      <w:r w:rsidR="000A7AAB">
        <w:t>monotone</w:t>
      </w:r>
      <w:r w:rsidR="000A7AAB" w:rsidRPr="002C4077">
        <w:t xml:space="preserve"> </w:t>
      </w:r>
      <w:r w:rsidR="000A7AAB">
        <w:t>d’un</w:t>
      </w:r>
      <w:r w:rsidR="000A7AAB" w:rsidRPr="002C4077">
        <w:t xml:space="preserve"> </w:t>
      </w:r>
      <w:r w:rsidR="000A7AAB">
        <w:t>porteur</w:t>
      </w:r>
      <w:r w:rsidR="000A7AAB" w:rsidRPr="002C4077">
        <w:t xml:space="preserve"> </w:t>
      </w:r>
      <w:r w:rsidR="000A7AAB">
        <w:t>d’eau,</w:t>
      </w:r>
      <w:r w:rsidR="000A7AAB" w:rsidRPr="002C4077">
        <w:t xml:space="preserve"> </w:t>
      </w:r>
      <w:r w:rsidR="000A7AAB">
        <w:t>ou</w:t>
      </w:r>
      <w:r w:rsidR="000A7AAB" w:rsidRPr="002C4077">
        <w:t xml:space="preserve"> </w:t>
      </w:r>
      <w:r w:rsidR="000A7AAB">
        <w:t>d’un</w:t>
      </w:r>
      <w:r w:rsidR="000A7AAB" w:rsidRPr="002C4077">
        <w:t xml:space="preserve"> </w:t>
      </w:r>
      <w:r w:rsidR="000A7AAB">
        <w:t>marchand</w:t>
      </w:r>
      <w:r w:rsidR="000A7AAB" w:rsidRPr="002C4077">
        <w:t xml:space="preserve"> </w:t>
      </w:r>
      <w:r w:rsidR="000A7AAB">
        <w:t>de</w:t>
      </w:r>
      <w:r w:rsidR="000A7AAB" w:rsidRPr="002C4077">
        <w:t xml:space="preserve"> </w:t>
      </w:r>
      <w:r w:rsidR="000A7AAB">
        <w:t>vinaigre</w:t>
      </w:r>
      <w:r w:rsidR="000A7AAB" w:rsidRPr="002C4077">
        <w:t xml:space="preserve"> </w:t>
      </w:r>
      <w:r w:rsidR="000A7AAB">
        <w:t>édomite,</w:t>
      </w:r>
      <w:r w:rsidR="000A7AAB" w:rsidRPr="002C4077">
        <w:t xml:space="preserve"> </w:t>
      </w:r>
      <w:r w:rsidR="000A7AAB">
        <w:t>c’est-à-dire</w:t>
      </w:r>
      <w:r w:rsidR="000A7AAB" w:rsidRPr="002C4077">
        <w:t xml:space="preserve"> </w:t>
      </w:r>
      <w:r w:rsidR="000A7AAB">
        <w:t>de</w:t>
      </w:r>
      <w:r w:rsidR="000A7AAB" w:rsidRPr="002C4077">
        <w:t xml:space="preserve"> </w:t>
      </w:r>
      <w:r w:rsidR="000A7AAB">
        <w:t>vin</w:t>
      </w:r>
      <w:r w:rsidR="000A7AAB" w:rsidRPr="002C4077">
        <w:t xml:space="preserve"> </w:t>
      </w:r>
      <w:r w:rsidR="000A7AAB">
        <w:t>qu’on</w:t>
      </w:r>
      <w:r w:rsidR="000A7AAB" w:rsidRPr="002C4077">
        <w:t xml:space="preserve"> </w:t>
      </w:r>
      <w:r w:rsidR="000A7AAB">
        <w:t>a</w:t>
      </w:r>
      <w:r w:rsidR="000A7AAB" w:rsidRPr="002C4077">
        <w:t xml:space="preserve"> </w:t>
      </w:r>
      <w:r w:rsidR="000A7AAB">
        <w:t>fait</w:t>
      </w:r>
      <w:r w:rsidR="000A7AAB" w:rsidRPr="002C4077">
        <w:t xml:space="preserve"> </w:t>
      </w:r>
      <w:r w:rsidR="000A7AAB">
        <w:t>fermenter</w:t>
      </w:r>
      <w:r w:rsidR="000A7AAB" w:rsidRPr="002C4077">
        <w:t xml:space="preserve"> </w:t>
      </w:r>
      <w:r w:rsidR="000A7AAB">
        <w:t>en</w:t>
      </w:r>
      <w:r w:rsidR="000A7AAB" w:rsidRPr="002C4077">
        <w:t xml:space="preserve"> </w:t>
      </w:r>
      <w:r w:rsidR="000A7AAB">
        <w:t>y</w:t>
      </w:r>
      <w:r w:rsidR="000A7AAB" w:rsidRPr="002C4077">
        <w:t xml:space="preserve"> </w:t>
      </w:r>
      <w:r w:rsidR="000A7AAB">
        <w:t>mettant</w:t>
      </w:r>
      <w:r w:rsidR="000A7AAB" w:rsidRPr="002C4077">
        <w:t xml:space="preserve"> </w:t>
      </w:r>
      <w:r w:rsidR="000A7AAB">
        <w:t>de</w:t>
      </w:r>
      <w:r w:rsidR="000A7AAB" w:rsidRPr="002C4077">
        <w:t xml:space="preserve"> </w:t>
      </w:r>
      <w:r w:rsidR="000A7AAB">
        <w:t>l’orge.</w:t>
      </w:r>
      <w:r w:rsidR="000A7AAB" w:rsidRPr="002C4077">
        <w:t xml:space="preserve"> </w:t>
      </w:r>
      <w:r w:rsidR="000A7AAB">
        <w:t>Les</w:t>
      </w:r>
      <w:r w:rsidR="000A7AAB" w:rsidRPr="002C4077">
        <w:t xml:space="preserve"> </w:t>
      </w:r>
      <w:r w:rsidR="000A7AAB">
        <w:t>ouvriers</w:t>
      </w:r>
      <w:r w:rsidR="000A7AAB" w:rsidRPr="002C4077">
        <w:t xml:space="preserve"> </w:t>
      </w:r>
      <w:r w:rsidR="000A7AAB">
        <w:t>et</w:t>
      </w:r>
      <w:r w:rsidR="000A7AAB" w:rsidRPr="002C4077">
        <w:t xml:space="preserve"> </w:t>
      </w:r>
      <w:r w:rsidR="000A7AAB">
        <w:t>les</w:t>
      </w:r>
      <w:r w:rsidR="000A7AAB" w:rsidRPr="002C4077">
        <w:t xml:space="preserve"> </w:t>
      </w:r>
      <w:r w:rsidR="000A7AAB">
        <w:t>muletiers</w:t>
      </w:r>
      <w:r w:rsidR="000A7AAB" w:rsidRPr="002C4077">
        <w:t xml:space="preserve"> </w:t>
      </w:r>
      <w:r w:rsidR="000A7AAB">
        <w:t>sont</w:t>
      </w:r>
      <w:r w:rsidR="000A7AAB" w:rsidRPr="002C4077">
        <w:t xml:space="preserve"> </w:t>
      </w:r>
      <w:r w:rsidR="000A7AAB">
        <w:t>assis</w:t>
      </w:r>
      <w:r w:rsidR="000A7AAB" w:rsidRPr="002C4077">
        <w:t xml:space="preserve"> </w:t>
      </w:r>
      <w:r w:rsidR="000A7AAB">
        <w:t>à</w:t>
      </w:r>
      <w:r w:rsidR="000A7AAB" w:rsidRPr="002C4077">
        <w:t xml:space="preserve"> </w:t>
      </w:r>
      <w:r w:rsidR="000A7AAB">
        <w:t>l’ombre,</w:t>
      </w:r>
      <w:r w:rsidR="000A7AAB" w:rsidRPr="002C4077">
        <w:t xml:space="preserve"> </w:t>
      </w:r>
      <w:r w:rsidR="000A7AAB">
        <w:t>et</w:t>
      </w:r>
      <w:r w:rsidR="000A7AAB" w:rsidRPr="002C4077">
        <w:t xml:space="preserve"> </w:t>
      </w:r>
      <w:r w:rsidR="000A7AAB">
        <w:t>ils</w:t>
      </w:r>
      <w:r w:rsidR="000A7AAB" w:rsidRPr="002C4077">
        <w:t xml:space="preserve"> </w:t>
      </w:r>
      <w:r w:rsidR="000A7AAB">
        <w:t>trempent</w:t>
      </w:r>
      <w:r w:rsidR="000A7AAB" w:rsidRPr="002C4077">
        <w:t xml:space="preserve"> </w:t>
      </w:r>
      <w:r w:rsidR="000A7AAB">
        <w:t>leur</w:t>
      </w:r>
      <w:r w:rsidR="000A7AAB" w:rsidRPr="002C4077">
        <w:t xml:space="preserve"> </w:t>
      </w:r>
      <w:r w:rsidR="000A7AAB">
        <w:t>pain</w:t>
      </w:r>
      <w:r w:rsidR="000A7AAB" w:rsidRPr="002C4077">
        <w:t xml:space="preserve"> </w:t>
      </w:r>
      <w:r w:rsidR="000A7AAB">
        <w:t>dans</w:t>
      </w:r>
      <w:r w:rsidR="000A7AAB" w:rsidRPr="002C4077">
        <w:t xml:space="preserve"> </w:t>
      </w:r>
      <w:r w:rsidR="000A7AAB">
        <w:t>une</w:t>
      </w:r>
      <w:r w:rsidR="000A7AAB" w:rsidRPr="002C4077">
        <w:t xml:space="preserve"> </w:t>
      </w:r>
      <w:r w:rsidR="000A7AAB">
        <w:t>sorte</w:t>
      </w:r>
      <w:r w:rsidR="000A7AAB" w:rsidRPr="002C4077">
        <w:t xml:space="preserve"> </w:t>
      </w:r>
      <w:r w:rsidR="000A7AAB">
        <w:t>de</w:t>
      </w:r>
      <w:r w:rsidR="000A7AAB" w:rsidRPr="002C4077">
        <w:t xml:space="preserve"> </w:t>
      </w:r>
      <w:r w:rsidR="000A7AAB">
        <w:t>breuvage</w:t>
      </w:r>
      <w:r w:rsidR="000A7AAB" w:rsidRPr="002C4077">
        <w:t xml:space="preserve"> </w:t>
      </w:r>
      <w:r w:rsidR="000A7AAB">
        <w:t>qu’on</w:t>
      </w:r>
      <w:r w:rsidR="000A7AAB" w:rsidRPr="002C4077">
        <w:t xml:space="preserve"> </w:t>
      </w:r>
      <w:r w:rsidR="000A7AAB">
        <w:t>appelle</w:t>
      </w:r>
      <w:r w:rsidR="000A7AAB" w:rsidRPr="002C4077">
        <w:t xml:space="preserve"> </w:t>
      </w:r>
      <w:r w:rsidR="000A7AAB">
        <w:t>le</w:t>
      </w:r>
      <w:r w:rsidR="000A7AAB" w:rsidRPr="002C4077">
        <w:t xml:space="preserve"> </w:t>
      </w:r>
      <w:r w:rsidR="000A7AAB" w:rsidRPr="000A34B5">
        <w:rPr>
          <w:rStyle w:val="italicus"/>
        </w:rPr>
        <w:t>cutach</w:t>
      </w:r>
      <w:r w:rsidR="000A7AAB" w:rsidRPr="002C4077">
        <w:t xml:space="preserve"> </w:t>
      </w:r>
      <w:r w:rsidR="000A7AAB">
        <w:t>babylonien.</w:t>
      </w:r>
      <w:r w:rsidR="000A7AAB" w:rsidRPr="002C4077">
        <w:t xml:space="preserve"> </w:t>
      </w:r>
      <w:r w:rsidR="000A7AAB">
        <w:t>Là</w:t>
      </w:r>
      <w:r w:rsidR="000A7AAB" w:rsidRPr="002C4077">
        <w:t xml:space="preserve"> </w:t>
      </w:r>
      <w:r w:rsidR="000A7AAB">
        <w:t>bas,</w:t>
      </w:r>
      <w:r w:rsidR="000A7AAB" w:rsidRPr="002C4077">
        <w:t xml:space="preserve"> </w:t>
      </w:r>
      <w:r w:rsidR="000A7AAB">
        <w:t>dans</w:t>
      </w:r>
      <w:r w:rsidR="000A7AAB" w:rsidRPr="002C4077">
        <w:t xml:space="preserve"> </w:t>
      </w:r>
      <w:r w:rsidR="000A7AAB">
        <w:t>la</w:t>
      </w:r>
      <w:r w:rsidR="000A7AAB" w:rsidRPr="002C4077">
        <w:t xml:space="preserve"> </w:t>
      </w:r>
      <w:r w:rsidR="000A7AAB">
        <w:t>boutique</w:t>
      </w:r>
      <w:r w:rsidR="000A7AAB" w:rsidRPr="002C4077">
        <w:t xml:space="preserve"> </w:t>
      </w:r>
      <w:r w:rsidR="000A7AAB">
        <w:t>de</w:t>
      </w:r>
      <w:r w:rsidR="000A7AAB" w:rsidRPr="002C4077">
        <w:t xml:space="preserve"> </w:t>
      </w:r>
      <w:r w:rsidR="000A7AAB">
        <w:t>ce</w:t>
      </w:r>
      <w:r w:rsidR="000A7AAB" w:rsidRPr="002C4077">
        <w:t xml:space="preserve"> </w:t>
      </w:r>
      <w:r w:rsidR="000A7AAB">
        <w:t>teinturier,</w:t>
      </w:r>
      <w:r w:rsidR="000A7AAB" w:rsidRPr="002C4077">
        <w:t xml:space="preserve"> </w:t>
      </w:r>
      <w:r w:rsidR="000A7AAB">
        <w:t>les</w:t>
      </w:r>
      <w:r w:rsidR="000A7AAB" w:rsidRPr="002C4077">
        <w:t xml:space="preserve"> </w:t>
      </w:r>
      <w:r w:rsidR="000A7AAB">
        <w:t>choses</w:t>
      </w:r>
      <w:r w:rsidR="000A7AAB" w:rsidRPr="002C4077">
        <w:t xml:space="preserve"> </w:t>
      </w:r>
      <w:r w:rsidR="000A7AAB">
        <w:t>se</w:t>
      </w:r>
      <w:r w:rsidR="000A7AAB" w:rsidRPr="002C4077">
        <w:t xml:space="preserve"> </w:t>
      </w:r>
      <w:r w:rsidR="000A7AAB">
        <w:t>passent</w:t>
      </w:r>
      <w:r w:rsidR="000A7AAB" w:rsidRPr="002C4077">
        <w:t xml:space="preserve"> </w:t>
      </w:r>
      <w:r w:rsidR="000A7AAB">
        <w:t>avec</w:t>
      </w:r>
      <w:r w:rsidR="000A7AAB" w:rsidRPr="002C4077">
        <w:t xml:space="preserve"> </w:t>
      </w:r>
      <w:r w:rsidR="000A7AAB">
        <w:t>plus</w:t>
      </w:r>
      <w:r w:rsidR="000A7AAB" w:rsidRPr="002C4077">
        <w:t xml:space="preserve"> </w:t>
      </w:r>
      <w:r w:rsidR="000A7AAB">
        <w:t>de</w:t>
      </w:r>
      <w:r w:rsidR="000A7AAB" w:rsidRPr="002C4077">
        <w:t xml:space="preserve"> </w:t>
      </w:r>
      <w:r w:rsidR="000A7AAB">
        <w:t>confortable</w:t>
      </w:r>
      <w:r>
        <w:t> :</w:t>
      </w:r>
      <w:r w:rsidR="000A7AAB" w:rsidRPr="002C4077">
        <w:t xml:space="preserve"> </w:t>
      </w:r>
      <w:r w:rsidR="000A7AAB">
        <w:t>les</w:t>
      </w:r>
      <w:r w:rsidR="000A7AAB" w:rsidRPr="002C4077">
        <w:t xml:space="preserve"> </w:t>
      </w:r>
      <w:r w:rsidR="000A7AAB">
        <w:t>apprentis</w:t>
      </w:r>
      <w:r w:rsidR="000A7AAB" w:rsidRPr="002C4077">
        <w:t xml:space="preserve"> </w:t>
      </w:r>
      <w:r w:rsidR="000A7AAB">
        <w:t>mangent</w:t>
      </w:r>
      <w:r w:rsidR="000A7AAB" w:rsidRPr="002C4077">
        <w:t xml:space="preserve"> </w:t>
      </w:r>
      <w:r w:rsidR="000A7AAB">
        <w:t>une</w:t>
      </w:r>
      <w:r w:rsidR="000A7AAB" w:rsidRPr="002C4077">
        <w:t xml:space="preserve"> </w:t>
      </w:r>
      <w:r w:rsidR="000A7AAB">
        <w:t>soupe</w:t>
      </w:r>
      <w:r w:rsidR="000A7AAB" w:rsidRPr="002C4077">
        <w:t xml:space="preserve"> </w:t>
      </w:r>
      <w:r w:rsidR="000A7AAB">
        <w:t>préparée</w:t>
      </w:r>
      <w:r w:rsidR="000A7AAB" w:rsidRPr="002C4077">
        <w:t xml:space="preserve"> </w:t>
      </w:r>
      <w:r w:rsidR="000A7AAB">
        <w:t>avec</w:t>
      </w:r>
      <w:r w:rsidR="000A7AAB" w:rsidRPr="002C4077">
        <w:t xml:space="preserve"> </w:t>
      </w:r>
      <w:r w:rsidR="000A7AAB">
        <w:t>des</w:t>
      </w:r>
      <w:r w:rsidR="000A7AAB" w:rsidRPr="002C4077">
        <w:t xml:space="preserve"> </w:t>
      </w:r>
      <w:r w:rsidR="000A7AAB">
        <w:t>oignons</w:t>
      </w:r>
      <w:r w:rsidR="000A7AAB" w:rsidRPr="002C4077">
        <w:t xml:space="preserve"> </w:t>
      </w:r>
      <w:r w:rsidR="000A7AAB">
        <w:t>hachés</w:t>
      </w:r>
      <w:r w:rsidR="000A7AAB" w:rsidRPr="002C4077">
        <w:t xml:space="preserve"> </w:t>
      </w:r>
      <w:r w:rsidR="000A7AAB">
        <w:t>et</w:t>
      </w:r>
      <w:r w:rsidR="000A7AAB" w:rsidRPr="002C4077">
        <w:t xml:space="preserve"> </w:t>
      </w:r>
      <w:r w:rsidR="000A7AAB">
        <w:t>de</w:t>
      </w:r>
      <w:r w:rsidR="000A7AAB" w:rsidRPr="002C4077">
        <w:t xml:space="preserve"> </w:t>
      </w:r>
      <w:r w:rsidR="000A7AAB">
        <w:t>la</w:t>
      </w:r>
      <w:r w:rsidR="000A7AAB" w:rsidRPr="002C4077">
        <w:t xml:space="preserve"> </w:t>
      </w:r>
      <w:r w:rsidR="000A7AAB">
        <w:t>viande</w:t>
      </w:r>
      <w:r w:rsidR="000A7AAB" w:rsidRPr="002C4077">
        <w:t xml:space="preserve"> </w:t>
      </w:r>
      <w:r w:rsidR="000A7AAB">
        <w:t>rôtie,</w:t>
      </w:r>
      <w:r w:rsidR="000A7AAB" w:rsidRPr="002C4077">
        <w:t xml:space="preserve"> </w:t>
      </w:r>
      <w:r w:rsidR="000A7AAB">
        <w:t>et</w:t>
      </w:r>
      <w:r w:rsidR="000A7AAB" w:rsidRPr="002C4077">
        <w:t xml:space="preserve"> </w:t>
      </w:r>
      <w:r w:rsidR="000A7AAB">
        <w:t>ils</w:t>
      </w:r>
      <w:r w:rsidR="000A7AAB" w:rsidRPr="002C4077">
        <w:t xml:space="preserve"> </w:t>
      </w:r>
      <w:r w:rsidR="000A7AAB">
        <w:t>boivent</w:t>
      </w:r>
      <w:r w:rsidR="000A7AAB" w:rsidRPr="002C4077">
        <w:t xml:space="preserve"> </w:t>
      </w:r>
      <w:r w:rsidR="000A7AAB">
        <w:t>de</w:t>
      </w:r>
      <w:r w:rsidR="000A7AAB" w:rsidRPr="002C4077">
        <w:t xml:space="preserve"> </w:t>
      </w:r>
      <w:r w:rsidR="000A7AAB">
        <w:t>temps</w:t>
      </w:r>
      <w:r w:rsidR="000A7AAB" w:rsidRPr="002C4077">
        <w:t xml:space="preserve"> </w:t>
      </w:r>
      <w:r w:rsidR="000A7AAB">
        <w:t>en</w:t>
      </w:r>
      <w:r w:rsidR="000A7AAB" w:rsidRPr="002C4077">
        <w:t xml:space="preserve"> </w:t>
      </w:r>
      <w:r w:rsidR="000A7AAB">
        <w:t>temps</w:t>
      </w:r>
      <w:r w:rsidR="000A7AAB" w:rsidRPr="002C4077">
        <w:t xml:space="preserve"> </w:t>
      </w:r>
      <w:r w:rsidR="000A7AAB">
        <w:t>du</w:t>
      </w:r>
      <w:r w:rsidR="000A7AAB" w:rsidRPr="002C4077">
        <w:t xml:space="preserve"> </w:t>
      </w:r>
      <w:r w:rsidR="000A7AAB" w:rsidRPr="000A34B5">
        <w:rPr>
          <w:rStyle w:val="italicus"/>
        </w:rPr>
        <w:t>z</w:t>
      </w:r>
      <w:r w:rsidR="001730C6" w:rsidRPr="000A34B5">
        <w:rPr>
          <w:rStyle w:val="italicus"/>
        </w:rPr>
        <w:t>um</w:t>
      </w:r>
      <w:r w:rsidR="000A7AAB" w:rsidRPr="000A34B5">
        <w:rPr>
          <w:rStyle w:val="italicus"/>
        </w:rPr>
        <w:t>an,</w:t>
      </w:r>
      <w:r w:rsidR="000A7AAB" w:rsidRPr="002C4077">
        <w:t xml:space="preserve"> </w:t>
      </w:r>
      <w:r w:rsidR="000A7AAB">
        <w:t>c’est-à-dire</w:t>
      </w:r>
      <w:r w:rsidR="000A7AAB" w:rsidRPr="002C4077">
        <w:t xml:space="preserve"> </w:t>
      </w:r>
      <w:r w:rsidR="000A7AAB">
        <w:t>de</w:t>
      </w:r>
      <w:r w:rsidR="000A7AAB" w:rsidRPr="002C4077">
        <w:t xml:space="preserve"> </w:t>
      </w:r>
      <w:r w:rsidR="000A7AAB">
        <w:t>l’eau</w:t>
      </w:r>
      <w:r w:rsidR="000A7AAB" w:rsidRPr="002C4077">
        <w:t xml:space="preserve"> </w:t>
      </w:r>
      <w:r w:rsidR="000A7AAB">
        <w:t>mélangée</w:t>
      </w:r>
      <w:r w:rsidR="000A7AAB" w:rsidRPr="002C4077">
        <w:t xml:space="preserve"> </w:t>
      </w:r>
      <w:r w:rsidR="000A7AAB">
        <w:t>de</w:t>
      </w:r>
      <w:r w:rsidR="000A7AAB" w:rsidRPr="002C4077">
        <w:t xml:space="preserve"> </w:t>
      </w:r>
      <w:r w:rsidR="00B047B7">
        <w:t>son</w:t>
      </w:r>
      <w:r w:rsidR="00B047B7">
        <w:rPr>
          <w:rStyle w:val="Appelnotedebasdep"/>
        </w:rPr>
        <w:footnoteReference w:id="829"/>
      </w:r>
      <w:r w:rsidR="000A7AAB">
        <w:t>.</w:t>
      </w:r>
      <w:r w:rsidR="000A7AAB" w:rsidRPr="002C4077">
        <w:t xml:space="preserve"> </w:t>
      </w:r>
      <w:r w:rsidR="000A7AAB">
        <w:t>Plus</w:t>
      </w:r>
      <w:r w:rsidR="000A7AAB" w:rsidRPr="002C4077">
        <w:t xml:space="preserve"> </w:t>
      </w:r>
      <w:r w:rsidR="000A7AAB">
        <w:t>loin,</w:t>
      </w:r>
      <w:r w:rsidR="000A7AAB" w:rsidRPr="002C4077">
        <w:t xml:space="preserve"> </w:t>
      </w:r>
      <w:r w:rsidR="000A7AAB">
        <w:t>sur</w:t>
      </w:r>
      <w:r w:rsidR="000A7AAB" w:rsidRPr="002C4077">
        <w:t xml:space="preserve"> </w:t>
      </w:r>
      <w:r w:rsidR="000A7AAB">
        <w:t>la</w:t>
      </w:r>
      <w:r w:rsidR="000A7AAB" w:rsidRPr="002C4077">
        <w:t xml:space="preserve"> </w:t>
      </w:r>
      <w:r w:rsidR="000A7AAB">
        <w:t>table</w:t>
      </w:r>
      <w:r w:rsidR="000A7AAB" w:rsidRPr="002C4077">
        <w:t xml:space="preserve"> </w:t>
      </w:r>
      <w:r w:rsidR="000A7AAB">
        <w:t>de</w:t>
      </w:r>
      <w:r w:rsidR="000A7AAB" w:rsidRPr="002C4077">
        <w:t xml:space="preserve"> </w:t>
      </w:r>
      <w:r w:rsidR="000A7AAB">
        <w:t>l’orfèvre,</w:t>
      </w:r>
      <w:r w:rsidR="000A7AAB" w:rsidRPr="002C4077">
        <w:t xml:space="preserve"> </w:t>
      </w:r>
      <w:r w:rsidR="000A7AAB">
        <w:t>nous</w:t>
      </w:r>
      <w:r w:rsidR="000A7AAB" w:rsidRPr="002C4077">
        <w:t xml:space="preserve"> </w:t>
      </w:r>
      <w:r w:rsidR="000A7AAB">
        <w:t>voyons</w:t>
      </w:r>
      <w:r w:rsidR="000A7AAB" w:rsidRPr="002C4077">
        <w:t xml:space="preserve"> </w:t>
      </w:r>
      <w:r w:rsidR="000A7AAB">
        <w:t>une</w:t>
      </w:r>
      <w:r w:rsidR="000A7AAB" w:rsidRPr="002C4077">
        <w:t xml:space="preserve"> </w:t>
      </w:r>
      <w:r w:rsidR="000A7AAB">
        <w:t>grande</w:t>
      </w:r>
      <w:r w:rsidR="000A7AAB" w:rsidRPr="002C4077">
        <w:t xml:space="preserve"> </w:t>
      </w:r>
      <w:r w:rsidR="000A7AAB">
        <w:t>amphore</w:t>
      </w:r>
      <w:r w:rsidR="000A7AAB" w:rsidRPr="002C4077">
        <w:t xml:space="preserve"> </w:t>
      </w:r>
      <w:r w:rsidR="000A7AAB">
        <w:t>remplie</w:t>
      </w:r>
      <w:r w:rsidR="000A7AAB" w:rsidRPr="002C4077">
        <w:t xml:space="preserve"> </w:t>
      </w:r>
      <w:r w:rsidR="000A7AAB">
        <w:t>de</w:t>
      </w:r>
      <w:r w:rsidR="000A7AAB" w:rsidRPr="002C4077">
        <w:t xml:space="preserve"> </w:t>
      </w:r>
      <w:r w:rsidR="000A7AAB">
        <w:t>vin,</w:t>
      </w:r>
      <w:r w:rsidR="000A7AAB" w:rsidRPr="002C4077">
        <w:t xml:space="preserve"> </w:t>
      </w:r>
      <w:r w:rsidR="000A7AAB">
        <w:t>et</w:t>
      </w:r>
      <w:r w:rsidR="000A7AAB" w:rsidRPr="002C4077">
        <w:t xml:space="preserve"> </w:t>
      </w:r>
      <w:r w:rsidR="000A7AAB">
        <w:t>un</w:t>
      </w:r>
      <w:r w:rsidR="000A7AAB" w:rsidRPr="002C4077">
        <w:t xml:space="preserve"> </w:t>
      </w:r>
      <w:r w:rsidR="000A7AAB">
        <w:t>vase</w:t>
      </w:r>
      <w:r w:rsidR="000A7AAB" w:rsidRPr="002C4077">
        <w:t xml:space="preserve"> </w:t>
      </w:r>
      <w:r w:rsidR="000A7AAB">
        <w:t>dans</w:t>
      </w:r>
      <w:r w:rsidR="000A7AAB" w:rsidRPr="002C4077">
        <w:t xml:space="preserve"> </w:t>
      </w:r>
      <w:r w:rsidR="000A7AAB">
        <w:t>lequel</w:t>
      </w:r>
      <w:r w:rsidR="000A7AAB" w:rsidRPr="002C4077">
        <w:t xml:space="preserve"> </w:t>
      </w:r>
      <w:r w:rsidR="000A7AAB">
        <w:t>on</w:t>
      </w:r>
      <w:r w:rsidR="000A7AAB" w:rsidRPr="002C4077">
        <w:t xml:space="preserve"> </w:t>
      </w:r>
      <w:r w:rsidR="000A7AAB">
        <w:t>a</w:t>
      </w:r>
      <w:r w:rsidR="000A7AAB" w:rsidRPr="002C4077">
        <w:t xml:space="preserve"> </w:t>
      </w:r>
      <w:r w:rsidR="000A7AAB">
        <w:t>placé</w:t>
      </w:r>
      <w:r w:rsidR="000A7AAB" w:rsidRPr="002C4077">
        <w:t xml:space="preserve"> </w:t>
      </w:r>
      <w:r w:rsidR="000A7AAB">
        <w:t>un</w:t>
      </w:r>
      <w:r w:rsidR="000A7AAB" w:rsidRPr="002C4077">
        <w:t xml:space="preserve"> </w:t>
      </w:r>
      <w:r w:rsidR="000A7AAB">
        <w:t>tissu</w:t>
      </w:r>
      <w:r w:rsidR="000A7AAB" w:rsidRPr="002C4077">
        <w:t xml:space="preserve"> </w:t>
      </w:r>
      <w:r w:rsidR="000A7AAB">
        <w:t>des</w:t>
      </w:r>
      <w:r w:rsidR="000A7AAB" w:rsidRPr="002C4077">
        <w:t xml:space="preserve"> </w:t>
      </w:r>
      <w:r w:rsidR="000A7AAB">
        <w:t>plus</w:t>
      </w:r>
      <w:r w:rsidR="000A7AAB" w:rsidRPr="002C4077">
        <w:t xml:space="preserve"> </w:t>
      </w:r>
      <w:r w:rsidR="000A7AAB">
        <w:t>fins</w:t>
      </w:r>
      <w:r w:rsidR="000A7AAB" w:rsidRPr="002C4077">
        <w:t xml:space="preserve"> </w:t>
      </w:r>
      <w:r w:rsidR="000A7AAB">
        <w:t>composé</w:t>
      </w:r>
      <w:r w:rsidR="000A7AAB" w:rsidRPr="002C4077">
        <w:t xml:space="preserve"> </w:t>
      </w:r>
      <w:r w:rsidR="000A7AAB">
        <w:t>avec</w:t>
      </w:r>
      <w:r w:rsidR="000A7AAB" w:rsidRPr="002C4077">
        <w:t xml:space="preserve"> </w:t>
      </w:r>
      <w:r w:rsidR="000A7AAB">
        <w:t>l’écorce</w:t>
      </w:r>
      <w:r w:rsidR="000A7AAB" w:rsidRPr="002C4077">
        <w:t xml:space="preserve"> </w:t>
      </w:r>
      <w:r w:rsidR="000A7AAB">
        <w:t>du</w:t>
      </w:r>
      <w:r w:rsidR="000A7AAB" w:rsidRPr="002C4077">
        <w:t xml:space="preserve"> </w:t>
      </w:r>
      <w:r w:rsidR="000A7AAB">
        <w:t>palmier</w:t>
      </w:r>
      <w:r w:rsidR="000A7AAB" w:rsidRPr="002C4077">
        <w:t xml:space="preserve"> </w:t>
      </w:r>
      <w:r w:rsidR="000A7AAB">
        <w:t>d’Égypte,</w:t>
      </w:r>
      <w:r w:rsidR="000A7AAB" w:rsidRPr="002C4077">
        <w:t xml:space="preserve"> </w:t>
      </w:r>
      <w:r w:rsidR="000A7AAB">
        <w:t>pour</w:t>
      </w:r>
      <w:r w:rsidR="000A7AAB" w:rsidRPr="002C4077">
        <w:t xml:space="preserve"> </w:t>
      </w:r>
      <w:r w:rsidR="000A7AAB">
        <w:t>filtrer</w:t>
      </w:r>
      <w:r w:rsidR="000A7AAB" w:rsidRPr="002C4077">
        <w:t xml:space="preserve"> </w:t>
      </w:r>
      <w:r w:rsidR="000A7AAB">
        <w:t>le</w:t>
      </w:r>
      <w:r w:rsidR="000A7AAB" w:rsidRPr="002C4077">
        <w:t xml:space="preserve"> </w:t>
      </w:r>
      <w:r w:rsidR="000A7AAB">
        <w:t>vin</w:t>
      </w:r>
      <w:r w:rsidR="00B91AF7">
        <w:rPr>
          <w:rStyle w:val="Appelnotedebasdep"/>
        </w:rPr>
        <w:footnoteReference w:id="830"/>
      </w:r>
      <w:r>
        <w:t> ;</w:t>
      </w:r>
      <w:r w:rsidR="000A7AAB" w:rsidRPr="002C4077">
        <w:t xml:space="preserve"> </w:t>
      </w:r>
      <w:r w:rsidR="000A7AAB">
        <w:t>tout</w:t>
      </w:r>
      <w:r w:rsidR="000A7AAB" w:rsidRPr="002C4077">
        <w:t xml:space="preserve"> </w:t>
      </w:r>
      <w:r w:rsidR="000A7AAB">
        <w:t>autour</w:t>
      </w:r>
      <w:r w:rsidR="000A7AAB" w:rsidRPr="002C4077">
        <w:t xml:space="preserve"> </w:t>
      </w:r>
      <w:r w:rsidR="000A7AAB">
        <w:t>sont</w:t>
      </w:r>
      <w:r w:rsidR="000A7AAB" w:rsidRPr="002C4077">
        <w:t xml:space="preserve"> </w:t>
      </w:r>
      <w:r w:rsidR="000A7AAB">
        <w:t>des</w:t>
      </w:r>
      <w:r w:rsidR="000A7AAB" w:rsidRPr="002C4077">
        <w:t xml:space="preserve"> </w:t>
      </w:r>
      <w:r w:rsidR="000A7AAB">
        <w:t>fruits</w:t>
      </w:r>
      <w:r w:rsidR="000A7AAB" w:rsidRPr="002C4077">
        <w:t xml:space="preserve"> </w:t>
      </w:r>
      <w:r w:rsidR="000A7AAB">
        <w:t>succulents</w:t>
      </w:r>
      <w:r w:rsidR="000A7AAB" w:rsidRPr="002C4077">
        <w:t xml:space="preserve"> </w:t>
      </w:r>
      <w:r w:rsidR="000A7AAB">
        <w:t>que</w:t>
      </w:r>
      <w:r w:rsidR="000A7AAB" w:rsidRPr="002C4077">
        <w:t xml:space="preserve"> </w:t>
      </w:r>
      <w:r w:rsidR="000A7AAB">
        <w:t>l’on</w:t>
      </w:r>
      <w:r w:rsidR="000A7AAB" w:rsidRPr="002C4077">
        <w:t xml:space="preserve"> </w:t>
      </w:r>
      <w:r w:rsidR="000A7AAB">
        <w:t>mangera</w:t>
      </w:r>
      <w:r w:rsidR="000A7AAB" w:rsidRPr="002C4077">
        <w:t xml:space="preserve"> </w:t>
      </w:r>
      <w:r w:rsidR="000A7AAB">
        <w:t>au</w:t>
      </w:r>
      <w:r w:rsidR="000A7AAB" w:rsidRPr="002C4077">
        <w:t xml:space="preserve"> </w:t>
      </w:r>
      <w:r w:rsidR="000A7AAB">
        <w:t>dessert</w:t>
      </w:r>
      <w:r w:rsidR="00B91AF7">
        <w:rPr>
          <w:rStyle w:val="Appelnotedebasdep"/>
        </w:rPr>
        <w:footnoteReference w:id="831"/>
      </w:r>
      <w:r w:rsidR="000A7AAB">
        <w:t>.</w:t>
      </w:r>
      <w:r w:rsidR="000A7AAB" w:rsidRPr="002C4077">
        <w:t xml:space="preserve"> </w:t>
      </w:r>
    </w:p>
    <w:p w:rsidR="000A7AAB" w:rsidRDefault="00B546AF" w:rsidP="000A7AAB">
      <w:r>
        <w:t>« </w:t>
      </w:r>
      <w:r w:rsidR="000A7AAB">
        <w:t>Voici</w:t>
      </w:r>
      <w:r w:rsidR="000A7AAB" w:rsidRPr="002C4077">
        <w:t xml:space="preserve"> </w:t>
      </w:r>
      <w:r w:rsidR="000A7AAB">
        <w:t>trois</w:t>
      </w:r>
      <w:r w:rsidR="000A7AAB" w:rsidRPr="002C4077">
        <w:t xml:space="preserve"> </w:t>
      </w:r>
      <w:r w:rsidR="000A7AAB">
        <w:t>heures.</w:t>
      </w:r>
      <w:r w:rsidR="000A7AAB" w:rsidRPr="002C4077">
        <w:t xml:space="preserve"> </w:t>
      </w:r>
      <w:r w:rsidR="000A7AAB">
        <w:t>Une</w:t>
      </w:r>
      <w:r w:rsidR="000A7AAB" w:rsidRPr="002C4077">
        <w:t xml:space="preserve"> </w:t>
      </w:r>
      <w:r w:rsidR="000A7AAB">
        <w:t>multitude</w:t>
      </w:r>
      <w:r w:rsidR="000A7AAB" w:rsidRPr="002C4077">
        <w:t xml:space="preserve"> </w:t>
      </w:r>
      <w:r w:rsidR="000A7AAB">
        <w:t>d’hommes,</w:t>
      </w:r>
      <w:r w:rsidR="000A7AAB" w:rsidRPr="002C4077">
        <w:t xml:space="preserve"> </w:t>
      </w:r>
      <w:r w:rsidR="000A7AAB">
        <w:t>jeunes</w:t>
      </w:r>
      <w:r w:rsidR="000A7AAB" w:rsidRPr="002C4077">
        <w:t xml:space="preserve"> </w:t>
      </w:r>
      <w:r w:rsidR="000A7AAB">
        <w:t>pour</w:t>
      </w:r>
      <w:r w:rsidR="000A7AAB" w:rsidRPr="002C4077">
        <w:t xml:space="preserve"> </w:t>
      </w:r>
      <w:r w:rsidR="000A7AAB">
        <w:t>la</w:t>
      </w:r>
      <w:r w:rsidR="000A7AAB" w:rsidRPr="002C4077">
        <w:t xml:space="preserve"> </w:t>
      </w:r>
      <w:r w:rsidR="000A7AAB">
        <w:t>plupart,</w:t>
      </w:r>
      <w:r w:rsidR="000A7AAB" w:rsidRPr="002C4077">
        <w:t xml:space="preserve"> </w:t>
      </w:r>
      <w:r w:rsidR="000A7AAB">
        <w:t>arrivent</w:t>
      </w:r>
      <w:r w:rsidR="000A7AAB" w:rsidRPr="002C4077">
        <w:t xml:space="preserve"> </w:t>
      </w:r>
      <w:r w:rsidR="000A7AAB">
        <w:t>du</w:t>
      </w:r>
      <w:r w:rsidR="000A7AAB" w:rsidRPr="002C4077">
        <w:t xml:space="preserve"> </w:t>
      </w:r>
      <w:r w:rsidR="000A7AAB">
        <w:t>côté</w:t>
      </w:r>
      <w:r w:rsidR="000A7AAB" w:rsidRPr="002C4077">
        <w:t xml:space="preserve"> </w:t>
      </w:r>
      <w:r w:rsidR="000A7AAB">
        <w:t>de</w:t>
      </w:r>
      <w:r w:rsidR="000A7AAB" w:rsidRPr="002C4077">
        <w:t xml:space="preserve"> </w:t>
      </w:r>
      <w:r w:rsidR="000A7AAB">
        <w:t>la</w:t>
      </w:r>
      <w:r w:rsidR="000A7AAB" w:rsidRPr="002C4077">
        <w:t xml:space="preserve"> </w:t>
      </w:r>
      <w:r w:rsidR="000A7AAB">
        <w:t>porte</w:t>
      </w:r>
      <w:r w:rsidR="000A7AAB" w:rsidRPr="002C4077">
        <w:t xml:space="preserve"> </w:t>
      </w:r>
      <w:r w:rsidR="000A7AAB">
        <w:t>du</w:t>
      </w:r>
      <w:r w:rsidR="000A7AAB" w:rsidRPr="002C4077">
        <w:t xml:space="preserve"> </w:t>
      </w:r>
      <w:r w:rsidR="000A7AAB">
        <w:t>Nord,</w:t>
      </w:r>
      <w:r w:rsidR="000A7AAB" w:rsidRPr="002C4077">
        <w:t xml:space="preserve"> </w:t>
      </w:r>
      <w:r w:rsidR="000A7AAB">
        <w:t>et</w:t>
      </w:r>
      <w:r w:rsidR="000A7AAB" w:rsidRPr="002C4077">
        <w:t xml:space="preserve"> </w:t>
      </w:r>
      <w:r w:rsidR="000A7AAB">
        <w:t>une</w:t>
      </w:r>
      <w:r w:rsidR="000A7AAB" w:rsidRPr="002C4077">
        <w:t xml:space="preserve"> </w:t>
      </w:r>
      <w:r w:rsidR="000A7AAB">
        <w:t>autre</w:t>
      </w:r>
      <w:r w:rsidR="000A7AAB" w:rsidRPr="002C4077">
        <w:t xml:space="preserve"> </w:t>
      </w:r>
      <w:r w:rsidR="000A7AAB">
        <w:t>foule</w:t>
      </w:r>
      <w:r w:rsidR="000A7AAB" w:rsidRPr="002C4077">
        <w:t xml:space="preserve"> </w:t>
      </w:r>
      <w:r w:rsidR="000A7AAB">
        <w:t>se</w:t>
      </w:r>
      <w:r w:rsidR="000A7AAB" w:rsidRPr="002C4077">
        <w:t xml:space="preserve"> </w:t>
      </w:r>
      <w:r w:rsidR="000A7AAB">
        <w:t>précipite</w:t>
      </w:r>
      <w:r w:rsidR="000A7AAB" w:rsidRPr="002C4077">
        <w:t xml:space="preserve"> </w:t>
      </w:r>
      <w:r w:rsidR="000A7AAB">
        <w:t>dans</w:t>
      </w:r>
      <w:r w:rsidR="000A7AAB" w:rsidRPr="002C4077">
        <w:t xml:space="preserve"> </w:t>
      </w:r>
      <w:r w:rsidR="000A7AAB">
        <w:t>cette</w:t>
      </w:r>
      <w:r w:rsidR="000A7AAB" w:rsidRPr="002C4077">
        <w:t xml:space="preserve"> </w:t>
      </w:r>
      <w:r w:rsidR="000A7AAB">
        <w:t>direction.</w:t>
      </w:r>
      <w:r w:rsidR="000A7AAB" w:rsidRPr="002C4077">
        <w:t xml:space="preserve"> </w:t>
      </w:r>
      <w:r w:rsidR="000A7AAB">
        <w:t>Du</w:t>
      </w:r>
      <w:r w:rsidR="000A7AAB" w:rsidRPr="002C4077">
        <w:t xml:space="preserve"> </w:t>
      </w:r>
      <w:r w:rsidR="00425C50">
        <w:t>seuil</w:t>
      </w:r>
      <w:r w:rsidR="000A7AAB" w:rsidRPr="002C4077">
        <w:t xml:space="preserve"> </w:t>
      </w:r>
      <w:r w:rsidR="000A7AAB">
        <w:t>des</w:t>
      </w:r>
      <w:r w:rsidR="000A7AAB" w:rsidRPr="002C4077">
        <w:t xml:space="preserve"> </w:t>
      </w:r>
      <w:r w:rsidR="000A7AAB">
        <w:t>maisons</w:t>
      </w:r>
      <w:r w:rsidR="000A7AAB" w:rsidRPr="002C4077">
        <w:t xml:space="preserve"> </w:t>
      </w:r>
      <w:r w:rsidR="000A7AAB">
        <w:t>on</w:t>
      </w:r>
      <w:r w:rsidR="000A7AAB" w:rsidRPr="002C4077">
        <w:t xml:space="preserve"> </w:t>
      </w:r>
      <w:r w:rsidR="000A7AAB">
        <w:t>demande</w:t>
      </w:r>
      <w:r w:rsidR="000A7AAB" w:rsidRPr="002C4077">
        <w:t xml:space="preserve"> </w:t>
      </w:r>
      <w:r w:rsidR="000A7AAB">
        <w:t>ce</w:t>
      </w:r>
      <w:r w:rsidR="000A7AAB" w:rsidRPr="002C4077">
        <w:t xml:space="preserve"> </w:t>
      </w:r>
      <w:r w:rsidR="000A7AAB">
        <w:t>qu’il</w:t>
      </w:r>
      <w:r w:rsidR="000A7AAB" w:rsidRPr="002C4077">
        <w:t xml:space="preserve"> </w:t>
      </w:r>
      <w:r w:rsidR="000A7AAB">
        <w:t>y</w:t>
      </w:r>
      <w:r w:rsidR="000A7AAB" w:rsidRPr="002C4077">
        <w:t xml:space="preserve"> </w:t>
      </w:r>
      <w:r w:rsidR="000A7AAB">
        <w:t>a.</w:t>
      </w:r>
      <w:r w:rsidR="000A7AAB" w:rsidRPr="002C4077">
        <w:t xml:space="preserve"> </w:t>
      </w:r>
      <w:r w:rsidR="000A7AAB">
        <w:t>C’est</w:t>
      </w:r>
      <w:r w:rsidR="000A7AAB" w:rsidRPr="002C4077">
        <w:t xml:space="preserve"> </w:t>
      </w:r>
      <w:r w:rsidR="000A7AAB">
        <w:t>un</w:t>
      </w:r>
      <w:r w:rsidR="000A7AAB" w:rsidRPr="002C4077">
        <w:t xml:space="preserve"> </w:t>
      </w:r>
      <w:r w:rsidR="000A7AAB">
        <w:t>convoi</w:t>
      </w:r>
      <w:r w:rsidR="000A7AAB" w:rsidRPr="002C4077">
        <w:t xml:space="preserve"> </w:t>
      </w:r>
      <w:r w:rsidR="000A7AAB">
        <w:t>de</w:t>
      </w:r>
      <w:r w:rsidR="000A7AAB" w:rsidRPr="002C4077">
        <w:t xml:space="preserve"> </w:t>
      </w:r>
      <w:r w:rsidR="000A7AAB" w:rsidRPr="000A34B5">
        <w:rPr>
          <w:rStyle w:val="italicus"/>
        </w:rPr>
        <w:t>biccourim</w:t>
      </w:r>
      <w:bookmarkStart w:id="639" w:name="z_Biccourim_o1"/>
      <w:bookmarkEnd w:id="639"/>
      <w:r w:rsidR="000A7AAB" w:rsidRPr="000A34B5">
        <w:rPr>
          <w:rStyle w:val="italicus"/>
        </w:rPr>
        <w:t>,</w:t>
      </w:r>
      <w:r w:rsidR="000A7AAB" w:rsidRPr="002C4077">
        <w:t xml:space="preserve"> </w:t>
      </w:r>
      <w:r w:rsidR="000A7AAB">
        <w:t>répond-on,</w:t>
      </w:r>
      <w:r w:rsidR="000A7AAB" w:rsidRPr="002C4077">
        <w:t xml:space="preserve"> </w:t>
      </w:r>
      <w:r w:rsidR="000A7AAB">
        <w:t>qui</w:t>
      </w:r>
      <w:r w:rsidR="000A7AAB" w:rsidRPr="002C4077">
        <w:t xml:space="preserve"> </w:t>
      </w:r>
      <w:r w:rsidR="000A7AAB">
        <w:t>vient</w:t>
      </w:r>
      <w:r w:rsidR="000A7AAB" w:rsidRPr="002C4077">
        <w:t xml:space="preserve"> </w:t>
      </w:r>
      <w:r w:rsidR="000A7AAB">
        <w:t>de</w:t>
      </w:r>
      <w:r w:rsidR="000A7AAB" w:rsidRPr="002C4077">
        <w:t xml:space="preserve"> </w:t>
      </w:r>
      <w:r w:rsidR="000A7AAB">
        <w:t>s’arrêter</w:t>
      </w:r>
      <w:r w:rsidR="000A7AAB" w:rsidRPr="002C4077">
        <w:t xml:space="preserve"> </w:t>
      </w:r>
      <w:r w:rsidR="000A7AAB">
        <w:t>à</w:t>
      </w:r>
      <w:r w:rsidR="000A7AAB" w:rsidRPr="002C4077">
        <w:t xml:space="preserve"> </w:t>
      </w:r>
      <w:r w:rsidR="000A7AAB">
        <w:t>la</w:t>
      </w:r>
      <w:r w:rsidR="000A7AAB" w:rsidRPr="002C4077">
        <w:t xml:space="preserve"> </w:t>
      </w:r>
      <w:r w:rsidR="000A7AAB">
        <w:t>porte</w:t>
      </w:r>
      <w:r w:rsidR="000A7AAB" w:rsidRPr="002C4077">
        <w:t xml:space="preserve"> </w:t>
      </w:r>
      <w:r w:rsidR="000A7AAB">
        <w:t>du</w:t>
      </w:r>
      <w:r w:rsidR="000A7AAB" w:rsidRPr="002C4077">
        <w:t xml:space="preserve"> </w:t>
      </w:r>
      <w:r w:rsidR="000A7AAB">
        <w:t>Nord.</w:t>
      </w:r>
      <w:r w:rsidR="00C45B47">
        <w:t xml:space="preserve"> {</w:t>
      </w:r>
      <w:r w:rsidR="001F5257">
        <w:t>265</w:t>
      </w:r>
      <w:bookmarkStart w:id="640" w:name="p265"/>
      <w:bookmarkEnd w:id="640"/>
      <w:r w:rsidR="001F5257">
        <w:t xml:space="preserve">} </w:t>
      </w:r>
      <w:r w:rsidR="000A7AAB">
        <w:t>Les</w:t>
      </w:r>
      <w:r w:rsidR="000A7AAB" w:rsidRPr="002C4077">
        <w:t xml:space="preserve"> </w:t>
      </w:r>
      <w:r w:rsidR="000A7AAB" w:rsidRPr="000A34B5">
        <w:rPr>
          <w:rStyle w:val="italicus"/>
        </w:rPr>
        <w:t>biccourim</w:t>
      </w:r>
      <w:r w:rsidR="000A7AAB" w:rsidRPr="002C4077">
        <w:t xml:space="preserve"> </w:t>
      </w:r>
      <w:r w:rsidR="000A7AAB">
        <w:t>étaient</w:t>
      </w:r>
      <w:r w:rsidR="000A7AAB" w:rsidRPr="002C4077">
        <w:t xml:space="preserve"> </w:t>
      </w:r>
      <w:r w:rsidR="000A7AAB">
        <w:t>les</w:t>
      </w:r>
      <w:r w:rsidR="000A7AAB" w:rsidRPr="002C4077">
        <w:t xml:space="preserve"> </w:t>
      </w:r>
      <w:r w:rsidR="000A7AAB">
        <w:t>primeurs</w:t>
      </w:r>
      <w:r w:rsidR="000A7AAB" w:rsidRPr="002C4077">
        <w:t xml:space="preserve"> </w:t>
      </w:r>
      <w:r w:rsidR="000A7AAB">
        <w:t>de</w:t>
      </w:r>
      <w:r w:rsidR="000A7AAB" w:rsidRPr="002C4077">
        <w:t xml:space="preserve"> </w:t>
      </w:r>
      <w:r w:rsidR="000A7AAB">
        <w:t>l’agriculture,</w:t>
      </w:r>
      <w:r w:rsidR="000A7AAB" w:rsidRPr="002C4077">
        <w:t xml:space="preserve"> </w:t>
      </w:r>
      <w:r w:rsidR="000A7AAB">
        <w:t>qui</w:t>
      </w:r>
      <w:r w:rsidR="000A7AAB" w:rsidRPr="002C4077">
        <w:t xml:space="preserve"> </w:t>
      </w:r>
      <w:r w:rsidR="000A7AAB">
        <w:t>devaient</w:t>
      </w:r>
      <w:r w:rsidR="000A7AAB" w:rsidRPr="002C4077">
        <w:t xml:space="preserve"> </w:t>
      </w:r>
      <w:r w:rsidR="000A7AAB">
        <w:t>être</w:t>
      </w:r>
      <w:r w:rsidR="000A7AAB" w:rsidRPr="002C4077">
        <w:t xml:space="preserve"> </w:t>
      </w:r>
      <w:r w:rsidR="000A7AAB">
        <w:t>consacrées</w:t>
      </w:r>
      <w:r w:rsidR="000A7AAB" w:rsidRPr="002C4077">
        <w:t xml:space="preserve"> </w:t>
      </w:r>
      <w:r w:rsidR="000A7AAB">
        <w:t>à</w:t>
      </w:r>
      <w:r w:rsidR="000A7AAB" w:rsidRPr="002C4077">
        <w:t xml:space="preserve"> </w:t>
      </w:r>
      <w:r w:rsidR="000A7AAB">
        <w:t>Dieu</w:t>
      </w:r>
      <w:r w:rsidR="000A7AAB" w:rsidRPr="002C4077">
        <w:t xml:space="preserve"> </w:t>
      </w:r>
      <w:r w:rsidR="000A7AAB">
        <w:t>et</w:t>
      </w:r>
      <w:r w:rsidR="000A7AAB" w:rsidRPr="002C4077">
        <w:t xml:space="preserve"> </w:t>
      </w:r>
      <w:r w:rsidR="000A7AAB">
        <w:t>portées</w:t>
      </w:r>
      <w:r w:rsidR="000A7AAB" w:rsidRPr="002C4077">
        <w:t xml:space="preserve"> </w:t>
      </w:r>
      <w:r w:rsidR="000A7AAB">
        <w:t>au</w:t>
      </w:r>
      <w:r w:rsidR="000A7AAB" w:rsidRPr="002C4077">
        <w:t xml:space="preserve"> </w:t>
      </w:r>
      <w:r w:rsidR="000A7AAB">
        <w:t>temple.</w:t>
      </w:r>
      <w:r w:rsidR="000A7AAB" w:rsidRPr="002C4077">
        <w:t xml:space="preserve"> </w:t>
      </w:r>
      <w:r w:rsidR="000A7AAB">
        <w:t>Le</w:t>
      </w:r>
      <w:r w:rsidR="000A7AAB" w:rsidRPr="002C4077">
        <w:t xml:space="preserve"> </w:t>
      </w:r>
      <w:r w:rsidR="000A7AAB">
        <w:t>pays</w:t>
      </w:r>
      <w:r w:rsidR="000A7AAB" w:rsidRPr="002C4077">
        <w:t xml:space="preserve"> </w:t>
      </w:r>
      <w:r w:rsidR="000A7AAB">
        <w:t>était</w:t>
      </w:r>
      <w:r w:rsidR="000A7AAB" w:rsidRPr="002C4077">
        <w:t xml:space="preserve"> </w:t>
      </w:r>
      <w:r w:rsidR="000A7AAB">
        <w:t>divisé</w:t>
      </w:r>
      <w:r w:rsidR="000A7AAB" w:rsidRPr="002C4077">
        <w:t xml:space="preserve"> </w:t>
      </w:r>
      <w:r w:rsidR="000A7AAB">
        <w:t>en</w:t>
      </w:r>
      <w:r w:rsidR="000A7AAB" w:rsidRPr="002C4077">
        <w:t xml:space="preserve"> </w:t>
      </w:r>
      <w:r w:rsidR="000A7AAB">
        <w:t>vingt-quatre</w:t>
      </w:r>
      <w:r w:rsidR="000A7AAB" w:rsidRPr="002C4077">
        <w:t xml:space="preserve"> </w:t>
      </w:r>
      <w:r w:rsidR="000A7AAB">
        <w:t>parties</w:t>
      </w:r>
      <w:r>
        <w:t> :</w:t>
      </w:r>
      <w:r w:rsidR="000A7AAB" w:rsidRPr="002C4077">
        <w:t xml:space="preserve"> </w:t>
      </w:r>
      <w:r w:rsidR="000A7AAB">
        <w:t>à</w:t>
      </w:r>
      <w:r w:rsidR="000A7AAB" w:rsidRPr="002C4077">
        <w:t xml:space="preserve"> </w:t>
      </w:r>
      <w:r w:rsidR="000A7AAB">
        <w:t>des</w:t>
      </w:r>
      <w:r w:rsidR="000A7AAB" w:rsidRPr="002C4077">
        <w:t xml:space="preserve"> </w:t>
      </w:r>
      <w:r w:rsidR="000A7AAB">
        <w:t>époques</w:t>
      </w:r>
      <w:r w:rsidR="000A7AAB" w:rsidRPr="002C4077">
        <w:t xml:space="preserve"> </w:t>
      </w:r>
      <w:r w:rsidR="000A7AAB">
        <w:t>déterminées,</w:t>
      </w:r>
      <w:r w:rsidR="000A7AAB" w:rsidRPr="002C4077">
        <w:t xml:space="preserve"> </w:t>
      </w:r>
      <w:r w:rsidR="000A7AAB">
        <w:t>ceux</w:t>
      </w:r>
      <w:r w:rsidR="000A7AAB" w:rsidRPr="002C4077">
        <w:t xml:space="preserve"> </w:t>
      </w:r>
      <w:r w:rsidR="000A7AAB">
        <w:t>qui</w:t>
      </w:r>
      <w:r w:rsidR="000A7AAB" w:rsidRPr="002C4077">
        <w:t xml:space="preserve"> </w:t>
      </w:r>
      <w:r w:rsidR="000A7AAB">
        <w:t>devaient</w:t>
      </w:r>
      <w:r w:rsidR="000A7AAB" w:rsidRPr="002C4077">
        <w:t xml:space="preserve"> </w:t>
      </w:r>
      <w:r w:rsidR="000A7AAB">
        <w:t>porter</w:t>
      </w:r>
      <w:r w:rsidR="000A7AAB" w:rsidRPr="002C4077">
        <w:t xml:space="preserve"> </w:t>
      </w:r>
      <w:r w:rsidR="000A7AAB">
        <w:t>les</w:t>
      </w:r>
      <w:r w:rsidR="000A7AAB" w:rsidRPr="002C4077">
        <w:t xml:space="preserve"> </w:t>
      </w:r>
      <w:r w:rsidR="000A7AAB" w:rsidRPr="000A34B5">
        <w:rPr>
          <w:rStyle w:val="italicus"/>
        </w:rPr>
        <w:t>biccourim</w:t>
      </w:r>
      <w:r w:rsidR="000A7AAB" w:rsidRPr="002C4077">
        <w:t xml:space="preserve"> </w:t>
      </w:r>
      <w:r w:rsidR="000A7AAB">
        <w:t>à</w:t>
      </w:r>
      <w:r w:rsidR="000A7AAB" w:rsidRPr="002C4077">
        <w:t xml:space="preserve"> </w:t>
      </w:r>
      <w:r w:rsidR="000A7AAB">
        <w:t>Jérusalem</w:t>
      </w:r>
      <w:r w:rsidR="000A7AAB" w:rsidRPr="002C4077">
        <w:t xml:space="preserve"> </w:t>
      </w:r>
      <w:r w:rsidR="000A7AAB">
        <w:t>se</w:t>
      </w:r>
      <w:r w:rsidR="000A7AAB" w:rsidRPr="002C4077">
        <w:t xml:space="preserve"> </w:t>
      </w:r>
      <w:r w:rsidR="000A7AAB">
        <w:t>rassemblaient</w:t>
      </w:r>
      <w:r w:rsidR="000A7AAB" w:rsidRPr="002C4077">
        <w:t xml:space="preserve"> </w:t>
      </w:r>
      <w:r w:rsidR="000A7AAB">
        <w:t>dans</w:t>
      </w:r>
      <w:r w:rsidR="000A7AAB" w:rsidRPr="002C4077">
        <w:t xml:space="preserve"> </w:t>
      </w:r>
      <w:r w:rsidR="000A7AAB">
        <w:t>la</w:t>
      </w:r>
      <w:r w:rsidR="000A7AAB" w:rsidRPr="002C4077">
        <w:t xml:space="preserve"> </w:t>
      </w:r>
      <w:r w:rsidR="000A7AAB">
        <w:t>ville</w:t>
      </w:r>
      <w:r w:rsidR="000A7AAB" w:rsidRPr="002C4077">
        <w:t xml:space="preserve"> </w:t>
      </w:r>
      <w:r w:rsidR="000A7AAB">
        <w:t>principale</w:t>
      </w:r>
      <w:r w:rsidR="000A7AAB" w:rsidRPr="002C4077">
        <w:t xml:space="preserve"> </w:t>
      </w:r>
      <w:r w:rsidR="000A7AAB">
        <w:t>de</w:t>
      </w:r>
      <w:r w:rsidR="000A7AAB" w:rsidRPr="002C4077">
        <w:t xml:space="preserve"> </w:t>
      </w:r>
      <w:r w:rsidR="000A7AAB">
        <w:t>leur</w:t>
      </w:r>
      <w:r w:rsidR="000A7AAB" w:rsidRPr="002C4077">
        <w:t xml:space="preserve"> </w:t>
      </w:r>
      <w:r w:rsidR="000A7AAB">
        <w:t>circonscription,</w:t>
      </w:r>
      <w:r w:rsidR="000A7AAB" w:rsidRPr="002C4077">
        <w:t xml:space="preserve"> </w:t>
      </w:r>
      <w:r w:rsidR="000A7AAB">
        <w:t>d’où</w:t>
      </w:r>
      <w:r w:rsidR="000A7AAB" w:rsidRPr="002C4077">
        <w:t xml:space="preserve"> </w:t>
      </w:r>
      <w:r w:rsidR="000A7AAB">
        <w:t>ils</w:t>
      </w:r>
      <w:r w:rsidR="000A7AAB" w:rsidRPr="002C4077">
        <w:t xml:space="preserve"> </w:t>
      </w:r>
      <w:r w:rsidR="000A7AAB">
        <w:t>partaient</w:t>
      </w:r>
      <w:r w:rsidR="000A7AAB" w:rsidRPr="002C4077">
        <w:t xml:space="preserve"> </w:t>
      </w:r>
      <w:r w:rsidR="000A7AAB">
        <w:t>pour</w:t>
      </w:r>
      <w:r w:rsidR="000A7AAB" w:rsidRPr="002C4077">
        <w:t xml:space="preserve"> </w:t>
      </w:r>
      <w:r w:rsidR="000A7AAB">
        <w:t>la</w:t>
      </w:r>
      <w:r w:rsidR="000A7AAB" w:rsidRPr="002C4077">
        <w:t xml:space="preserve"> </w:t>
      </w:r>
      <w:r w:rsidR="000A7AAB">
        <w:t>Ville</w:t>
      </w:r>
      <w:r w:rsidR="000A7AAB" w:rsidRPr="002C4077">
        <w:t xml:space="preserve"> </w:t>
      </w:r>
      <w:r w:rsidR="000A7AAB">
        <w:t>sainte.</w:t>
      </w:r>
      <w:r w:rsidR="000A7AAB" w:rsidRPr="002C4077">
        <w:t xml:space="preserve"> </w:t>
      </w:r>
      <w:r w:rsidR="000A7AAB">
        <w:t>C’était</w:t>
      </w:r>
      <w:r w:rsidR="000A7AAB" w:rsidRPr="002C4077">
        <w:t xml:space="preserve"> </w:t>
      </w:r>
      <w:r w:rsidR="000A7AAB">
        <w:t>un</w:t>
      </w:r>
      <w:r w:rsidR="000A7AAB" w:rsidRPr="002C4077">
        <w:t xml:space="preserve"> </w:t>
      </w:r>
      <w:r w:rsidR="000A7AAB">
        <w:t>de</w:t>
      </w:r>
      <w:r w:rsidR="000A7AAB" w:rsidRPr="002C4077">
        <w:t xml:space="preserve"> </w:t>
      </w:r>
      <w:r w:rsidR="000A7AAB">
        <w:t>ces</w:t>
      </w:r>
      <w:r w:rsidR="000A7AAB" w:rsidRPr="002C4077">
        <w:t xml:space="preserve"> </w:t>
      </w:r>
      <w:r w:rsidR="000A7AAB">
        <w:t>convois</w:t>
      </w:r>
      <w:r w:rsidR="000A7AAB" w:rsidRPr="002C4077">
        <w:t xml:space="preserve"> </w:t>
      </w:r>
      <w:r w:rsidR="000A7AAB">
        <w:t>qui</w:t>
      </w:r>
      <w:r w:rsidR="000A7AAB" w:rsidRPr="002C4077">
        <w:t xml:space="preserve"> </w:t>
      </w:r>
      <w:r w:rsidR="000A7AAB">
        <w:t>venait</w:t>
      </w:r>
      <w:r w:rsidR="000A7AAB" w:rsidRPr="002C4077">
        <w:t xml:space="preserve"> </w:t>
      </w:r>
      <w:r w:rsidR="000A7AAB">
        <w:t>de</w:t>
      </w:r>
      <w:r w:rsidR="000A7AAB" w:rsidRPr="002C4077">
        <w:t xml:space="preserve"> </w:t>
      </w:r>
      <w:r w:rsidR="000A7AAB">
        <w:t>s’arrêter</w:t>
      </w:r>
      <w:r w:rsidR="000A7AAB" w:rsidRPr="002C4077">
        <w:t xml:space="preserve"> </w:t>
      </w:r>
      <w:r w:rsidR="000A7AAB">
        <w:t>devant</w:t>
      </w:r>
      <w:r w:rsidR="000A7AAB" w:rsidRPr="002C4077">
        <w:t xml:space="preserve"> </w:t>
      </w:r>
      <w:r w:rsidR="000A7AAB">
        <w:t>la</w:t>
      </w:r>
      <w:r w:rsidR="000A7AAB" w:rsidRPr="002C4077">
        <w:t xml:space="preserve"> </w:t>
      </w:r>
      <w:r w:rsidR="000A7AAB">
        <w:t>porte</w:t>
      </w:r>
      <w:r w:rsidR="000A7AAB" w:rsidRPr="002C4077">
        <w:t xml:space="preserve"> </w:t>
      </w:r>
      <w:r w:rsidR="000A7AAB">
        <w:t>du</w:t>
      </w:r>
      <w:r w:rsidR="000A7AAB" w:rsidRPr="002C4077">
        <w:t xml:space="preserve"> </w:t>
      </w:r>
      <w:r w:rsidR="000A7AAB">
        <w:t>Nord,</w:t>
      </w:r>
      <w:r w:rsidR="000A7AAB" w:rsidRPr="002C4077">
        <w:t xml:space="preserve"> </w:t>
      </w:r>
      <w:r w:rsidR="000A7AAB">
        <w:t>pour</w:t>
      </w:r>
      <w:r w:rsidR="000A7AAB" w:rsidRPr="002C4077">
        <w:t xml:space="preserve"> </w:t>
      </w:r>
      <w:r w:rsidR="000A7AAB">
        <w:t>annoncer</w:t>
      </w:r>
      <w:r w:rsidR="000A7AAB" w:rsidRPr="002C4077">
        <w:t xml:space="preserve"> </w:t>
      </w:r>
      <w:r w:rsidR="000A7AAB">
        <w:t>de</w:t>
      </w:r>
      <w:r w:rsidR="000A7AAB" w:rsidRPr="002C4077">
        <w:t xml:space="preserve"> </w:t>
      </w:r>
      <w:r w:rsidR="000A7AAB">
        <w:t>là</w:t>
      </w:r>
      <w:r w:rsidR="000A7AAB" w:rsidRPr="002C4077">
        <w:t xml:space="preserve"> </w:t>
      </w:r>
      <w:r w:rsidR="000A7AAB">
        <w:t>son</w:t>
      </w:r>
      <w:r w:rsidR="000A7AAB" w:rsidRPr="002C4077">
        <w:t xml:space="preserve"> </w:t>
      </w:r>
      <w:r w:rsidR="000A7AAB">
        <w:t>arrivée,</w:t>
      </w:r>
      <w:r w:rsidR="000A7AAB" w:rsidRPr="002C4077">
        <w:t xml:space="preserve"> </w:t>
      </w:r>
      <w:r w:rsidR="000A7AAB">
        <w:t>et</w:t>
      </w:r>
      <w:r w:rsidR="000A7AAB" w:rsidRPr="002C4077">
        <w:t xml:space="preserve"> </w:t>
      </w:r>
      <w:r w:rsidR="000A7AAB">
        <w:t>aussi</w:t>
      </w:r>
      <w:r w:rsidR="000A7AAB" w:rsidRPr="002C4077">
        <w:t xml:space="preserve"> </w:t>
      </w:r>
      <w:r w:rsidR="000A7AAB">
        <w:t>pour</w:t>
      </w:r>
      <w:r w:rsidR="000A7AAB" w:rsidRPr="002C4077">
        <w:t xml:space="preserve"> </w:t>
      </w:r>
      <w:r w:rsidR="000A7AAB">
        <w:t>préparer</w:t>
      </w:r>
      <w:r w:rsidR="000A7AAB" w:rsidRPr="002C4077">
        <w:t xml:space="preserve"> </w:t>
      </w:r>
      <w:r w:rsidR="000A7AAB">
        <w:t>les</w:t>
      </w:r>
      <w:r w:rsidR="000A7AAB" w:rsidRPr="002C4077">
        <w:t xml:space="preserve"> </w:t>
      </w:r>
      <w:r w:rsidR="000A7AAB">
        <w:t>primeurs,</w:t>
      </w:r>
      <w:r w:rsidR="000A7AAB" w:rsidRPr="002C4077">
        <w:t xml:space="preserve"> </w:t>
      </w:r>
      <w:r w:rsidR="000A7AAB">
        <w:t>c’est-à-dire,</w:t>
      </w:r>
      <w:r w:rsidR="000A7AAB" w:rsidRPr="002C4077">
        <w:t xml:space="preserve"> </w:t>
      </w:r>
      <w:r w:rsidR="000A7AAB">
        <w:t>pour</w:t>
      </w:r>
      <w:r w:rsidR="000A7AAB" w:rsidRPr="002C4077">
        <w:t xml:space="preserve"> </w:t>
      </w:r>
      <w:r w:rsidR="000A7AAB">
        <w:t>mettre</w:t>
      </w:r>
      <w:r w:rsidR="000A7AAB" w:rsidRPr="002C4077">
        <w:t xml:space="preserve"> </w:t>
      </w:r>
      <w:r w:rsidR="000A7AAB">
        <w:t>les</w:t>
      </w:r>
      <w:r w:rsidR="000A7AAB" w:rsidRPr="002C4077">
        <w:t xml:space="preserve"> </w:t>
      </w:r>
      <w:r w:rsidR="000A7AAB">
        <w:t>plus</w:t>
      </w:r>
      <w:r w:rsidR="000A7AAB" w:rsidRPr="002C4077">
        <w:t xml:space="preserve"> </w:t>
      </w:r>
      <w:r w:rsidR="000A7AAB">
        <w:t>beaux</w:t>
      </w:r>
      <w:r w:rsidR="000A7AAB" w:rsidRPr="002C4077">
        <w:t xml:space="preserve"> </w:t>
      </w:r>
      <w:r w:rsidR="000A7AAB">
        <w:t>fruits</w:t>
      </w:r>
      <w:r w:rsidR="000A7AAB" w:rsidRPr="002C4077">
        <w:t xml:space="preserve"> </w:t>
      </w:r>
      <w:r w:rsidR="000A7AAB">
        <w:t>en</w:t>
      </w:r>
      <w:r w:rsidR="000A7AAB" w:rsidRPr="002C4077">
        <w:t xml:space="preserve"> </w:t>
      </w:r>
      <w:r w:rsidR="000A7AAB">
        <w:t>forme</w:t>
      </w:r>
      <w:r w:rsidR="000A7AAB" w:rsidRPr="002C4077">
        <w:t xml:space="preserve"> </w:t>
      </w:r>
      <w:r w:rsidR="000A7AAB">
        <w:t>de</w:t>
      </w:r>
      <w:r w:rsidR="000A7AAB" w:rsidRPr="002C4077">
        <w:t xml:space="preserve"> </w:t>
      </w:r>
      <w:r w:rsidR="000A7AAB">
        <w:t>couronne,</w:t>
      </w:r>
      <w:r w:rsidR="000A7AAB" w:rsidRPr="002C4077">
        <w:t xml:space="preserve"> </w:t>
      </w:r>
      <w:r w:rsidR="000F4CEC">
        <w:t>et</w:t>
      </w:r>
      <w:r w:rsidR="000A7AAB" w:rsidRPr="002C4077">
        <w:t xml:space="preserve"> </w:t>
      </w:r>
      <w:r w:rsidR="000A7AAB">
        <w:t>les</w:t>
      </w:r>
      <w:r w:rsidR="000A7AAB" w:rsidRPr="002C4077">
        <w:t xml:space="preserve"> </w:t>
      </w:r>
      <w:r w:rsidR="000A7AAB">
        <w:t>autres</w:t>
      </w:r>
      <w:r w:rsidR="000A7AAB" w:rsidRPr="002C4077">
        <w:t xml:space="preserve"> </w:t>
      </w:r>
      <w:r w:rsidR="000A7AAB">
        <w:t>autour.</w:t>
      </w:r>
      <w:r w:rsidR="000A7AAB" w:rsidRPr="002C4077">
        <w:t xml:space="preserve"> </w:t>
      </w:r>
      <w:r w:rsidR="000A7AAB">
        <w:t>Déjà</w:t>
      </w:r>
      <w:r w:rsidR="000A7AAB" w:rsidRPr="002C4077">
        <w:t xml:space="preserve"> </w:t>
      </w:r>
      <w:r w:rsidR="000A7AAB">
        <w:t>les</w:t>
      </w:r>
      <w:r w:rsidR="000A7AAB" w:rsidRPr="002C4077">
        <w:t xml:space="preserve"> </w:t>
      </w:r>
      <w:r w:rsidR="000A7AAB">
        <w:t>délégués</w:t>
      </w:r>
      <w:r w:rsidR="000A7AAB" w:rsidRPr="002C4077">
        <w:t xml:space="preserve"> </w:t>
      </w:r>
      <w:r w:rsidR="000A7AAB">
        <w:t>du</w:t>
      </w:r>
      <w:r w:rsidR="000A7AAB" w:rsidRPr="002C4077">
        <w:t xml:space="preserve"> </w:t>
      </w:r>
      <w:r w:rsidR="000A7AAB">
        <w:t>peuple</w:t>
      </w:r>
      <w:r w:rsidR="000A7AAB" w:rsidRPr="002C4077">
        <w:t xml:space="preserve"> </w:t>
      </w:r>
      <w:r w:rsidR="000A7AAB">
        <w:t>viennent</w:t>
      </w:r>
      <w:r w:rsidR="000A7AAB" w:rsidRPr="002C4077">
        <w:t xml:space="preserve"> </w:t>
      </w:r>
      <w:r w:rsidR="000A7AAB">
        <w:t>au</w:t>
      </w:r>
      <w:r w:rsidR="000A7AAB" w:rsidRPr="002C4077">
        <w:t xml:space="preserve"> </w:t>
      </w:r>
      <w:r w:rsidR="000A7AAB">
        <w:t>devant</w:t>
      </w:r>
      <w:r w:rsidR="000A7AAB" w:rsidRPr="002C4077">
        <w:t xml:space="preserve"> </w:t>
      </w:r>
      <w:r w:rsidR="000A7AAB">
        <w:t>d’eux.</w:t>
      </w:r>
      <w:r w:rsidR="000A7AAB" w:rsidRPr="002C4077">
        <w:t xml:space="preserve"> </w:t>
      </w:r>
      <w:r w:rsidR="000A7AAB">
        <w:t>Ce</w:t>
      </w:r>
      <w:r w:rsidR="000A7AAB" w:rsidRPr="002C4077">
        <w:t xml:space="preserve"> </w:t>
      </w:r>
      <w:r w:rsidR="000A7AAB">
        <w:t>sont</w:t>
      </w:r>
      <w:r w:rsidR="000A7AAB" w:rsidRPr="002C4077">
        <w:t xml:space="preserve"> </w:t>
      </w:r>
      <w:r w:rsidR="000A7AAB">
        <w:t>les</w:t>
      </w:r>
      <w:r w:rsidR="000A7AAB" w:rsidRPr="002C4077">
        <w:t xml:space="preserve"> </w:t>
      </w:r>
      <w:r w:rsidR="000A7AAB">
        <w:t>représentants</w:t>
      </w:r>
      <w:r w:rsidR="000A7AAB" w:rsidRPr="002C4077">
        <w:t xml:space="preserve"> </w:t>
      </w:r>
      <w:r w:rsidR="000A7AAB">
        <w:t>des</w:t>
      </w:r>
      <w:r w:rsidR="000A7AAB" w:rsidRPr="002C4077">
        <w:t xml:space="preserve"> </w:t>
      </w:r>
      <w:r w:rsidR="00425C50">
        <w:t>prêtre</w:t>
      </w:r>
      <w:r w:rsidR="000A7AAB">
        <w:t>s</w:t>
      </w:r>
      <w:r w:rsidR="000A7AAB" w:rsidRPr="002C4077">
        <w:t xml:space="preserve"> </w:t>
      </w:r>
      <w:r w:rsidR="000A7AAB">
        <w:t>et</w:t>
      </w:r>
      <w:r w:rsidR="000A7AAB" w:rsidRPr="002C4077">
        <w:t xml:space="preserve"> </w:t>
      </w:r>
      <w:r w:rsidR="000A7AAB">
        <w:t>des</w:t>
      </w:r>
      <w:r w:rsidR="000A7AAB" w:rsidRPr="002C4077">
        <w:t xml:space="preserve"> </w:t>
      </w:r>
      <w:r w:rsidR="000A7AAB">
        <w:t>lévites,</w:t>
      </w:r>
      <w:r w:rsidR="000A7AAB" w:rsidRPr="002C4077">
        <w:t xml:space="preserve"> </w:t>
      </w:r>
      <w:r w:rsidR="000A7AAB">
        <w:t>et</w:t>
      </w:r>
      <w:r w:rsidR="000A7AAB" w:rsidRPr="002C4077">
        <w:t xml:space="preserve"> </w:t>
      </w:r>
      <w:r w:rsidR="000A7AAB">
        <w:t>les</w:t>
      </w:r>
      <w:r w:rsidR="000A7AAB" w:rsidRPr="002C4077">
        <w:t xml:space="preserve"> </w:t>
      </w:r>
      <w:r w:rsidR="000A7AAB">
        <w:t>trésoriers</w:t>
      </w:r>
      <w:r w:rsidR="000A7AAB" w:rsidRPr="002C4077">
        <w:t xml:space="preserve"> </w:t>
      </w:r>
      <w:r w:rsidR="000A7AAB">
        <w:t>du</w:t>
      </w:r>
      <w:r w:rsidR="000A7AAB" w:rsidRPr="002C4077">
        <w:t xml:space="preserve"> </w:t>
      </w:r>
      <w:r w:rsidR="000A7AAB">
        <w:t>sanctuaire.</w:t>
      </w:r>
      <w:r w:rsidR="000A7AAB" w:rsidRPr="002C4077">
        <w:t xml:space="preserve"> </w:t>
      </w:r>
      <w:r w:rsidR="000A7AAB">
        <w:t>On</w:t>
      </w:r>
      <w:r w:rsidR="000A7AAB" w:rsidRPr="002C4077">
        <w:t xml:space="preserve"> </w:t>
      </w:r>
      <w:r w:rsidR="000A7AAB">
        <w:t>entend</w:t>
      </w:r>
      <w:r w:rsidR="000A7AAB" w:rsidRPr="002C4077">
        <w:t xml:space="preserve"> </w:t>
      </w:r>
      <w:r w:rsidR="000A7AAB">
        <w:t>de</w:t>
      </w:r>
      <w:r w:rsidR="000A7AAB" w:rsidRPr="002C4077">
        <w:t xml:space="preserve"> </w:t>
      </w:r>
      <w:r w:rsidR="000A7AAB">
        <w:t>loin</w:t>
      </w:r>
      <w:r w:rsidR="000A7AAB" w:rsidRPr="002C4077">
        <w:t xml:space="preserve"> </w:t>
      </w:r>
      <w:r w:rsidR="000A7AAB">
        <w:t>un</w:t>
      </w:r>
      <w:r w:rsidR="000A7AAB" w:rsidRPr="002C4077">
        <w:t xml:space="preserve"> </w:t>
      </w:r>
      <w:r w:rsidR="000A7AAB">
        <w:t>joyeux</w:t>
      </w:r>
      <w:r w:rsidR="000A7AAB" w:rsidRPr="002C4077">
        <w:t xml:space="preserve"> </w:t>
      </w:r>
      <w:r w:rsidR="000A7AAB">
        <w:t>concert</w:t>
      </w:r>
      <w:r w:rsidR="000A7AAB" w:rsidRPr="002C4077">
        <w:t xml:space="preserve"> </w:t>
      </w:r>
      <w:r w:rsidR="000A7AAB">
        <w:t>de</w:t>
      </w:r>
      <w:r w:rsidR="000A7AAB" w:rsidRPr="002C4077">
        <w:t xml:space="preserve"> </w:t>
      </w:r>
      <w:r w:rsidR="000A7AAB">
        <w:t>flûtes…</w:t>
      </w:r>
      <w:r w:rsidR="000A7AAB" w:rsidRPr="002C4077">
        <w:t xml:space="preserve"> </w:t>
      </w:r>
      <w:r w:rsidR="000A7AAB">
        <w:t>La</w:t>
      </w:r>
      <w:r w:rsidR="000A7AAB" w:rsidRPr="002C4077">
        <w:t xml:space="preserve"> </w:t>
      </w:r>
      <w:r w:rsidR="000A7AAB">
        <w:t>procession</w:t>
      </w:r>
      <w:r w:rsidR="000A7AAB" w:rsidRPr="002C4077">
        <w:t xml:space="preserve"> </w:t>
      </w:r>
      <w:r w:rsidR="00425C50">
        <w:t>est</w:t>
      </w:r>
      <w:r w:rsidR="000A7AAB" w:rsidRPr="002C4077">
        <w:t xml:space="preserve"> </w:t>
      </w:r>
      <w:r w:rsidR="000A7AAB">
        <w:t>en</w:t>
      </w:r>
      <w:r w:rsidR="000A7AAB" w:rsidRPr="002C4077">
        <w:t xml:space="preserve"> </w:t>
      </w:r>
      <w:r w:rsidR="000A7AAB">
        <w:t>marche…</w:t>
      </w:r>
      <w:r w:rsidR="000A7AAB" w:rsidRPr="002C4077">
        <w:t xml:space="preserve"> </w:t>
      </w:r>
      <w:r w:rsidR="000A7AAB">
        <w:t>Ceux</w:t>
      </w:r>
      <w:r w:rsidR="000A7AAB" w:rsidRPr="002C4077">
        <w:t xml:space="preserve"> </w:t>
      </w:r>
      <w:r w:rsidR="000A7AAB">
        <w:t>qui</w:t>
      </w:r>
      <w:r w:rsidR="000A7AAB" w:rsidRPr="002C4077">
        <w:t xml:space="preserve"> </w:t>
      </w:r>
      <w:r w:rsidR="000A7AAB">
        <w:t>viennent</w:t>
      </w:r>
      <w:r w:rsidR="000A7AAB" w:rsidRPr="002C4077">
        <w:t xml:space="preserve"> </w:t>
      </w:r>
      <w:r w:rsidR="000A7AAB">
        <w:t>de</w:t>
      </w:r>
      <w:r w:rsidR="000A7AAB" w:rsidRPr="002C4077">
        <w:t xml:space="preserve"> </w:t>
      </w:r>
      <w:r w:rsidR="000A7AAB">
        <w:t>pays</w:t>
      </w:r>
      <w:r w:rsidR="000A7AAB" w:rsidRPr="002C4077">
        <w:t xml:space="preserve"> </w:t>
      </w:r>
      <w:r w:rsidR="000A7AAB">
        <w:t>rapprochés</w:t>
      </w:r>
      <w:r w:rsidR="000A7AAB" w:rsidRPr="002C4077">
        <w:t xml:space="preserve"> </w:t>
      </w:r>
      <w:r w:rsidR="000A7AAB">
        <w:t>apportent</w:t>
      </w:r>
      <w:r w:rsidR="000A7AAB" w:rsidRPr="002C4077">
        <w:t xml:space="preserve"> </w:t>
      </w:r>
      <w:r w:rsidR="000A7AAB">
        <w:t>dans</w:t>
      </w:r>
      <w:r w:rsidR="000A7AAB" w:rsidRPr="002C4077">
        <w:t xml:space="preserve"> </w:t>
      </w:r>
      <w:r w:rsidR="000A7AAB">
        <w:t>leurs</w:t>
      </w:r>
      <w:r w:rsidR="000A7AAB" w:rsidRPr="002C4077">
        <w:t xml:space="preserve"> </w:t>
      </w:r>
      <w:r w:rsidR="000A7AAB">
        <w:t>corbeilles</w:t>
      </w:r>
      <w:r w:rsidR="000A7AAB" w:rsidRPr="002C4077">
        <w:t xml:space="preserve"> </w:t>
      </w:r>
      <w:r w:rsidR="000A7AAB">
        <w:t>tressées</w:t>
      </w:r>
      <w:r w:rsidR="000A7AAB" w:rsidRPr="002C4077">
        <w:t xml:space="preserve"> </w:t>
      </w:r>
      <w:r w:rsidR="000A7AAB">
        <w:t>d’or,</w:t>
      </w:r>
      <w:r w:rsidR="000A7AAB" w:rsidRPr="002C4077">
        <w:t xml:space="preserve"> </w:t>
      </w:r>
      <w:r w:rsidR="000A7AAB">
        <w:t>d’argent</w:t>
      </w:r>
      <w:r w:rsidR="000A7AAB" w:rsidRPr="002C4077">
        <w:t xml:space="preserve"> </w:t>
      </w:r>
      <w:r w:rsidR="000A7AAB">
        <w:t>et</w:t>
      </w:r>
      <w:r w:rsidR="000A7AAB" w:rsidRPr="002C4077">
        <w:t xml:space="preserve"> </w:t>
      </w:r>
      <w:r w:rsidR="000A7AAB">
        <w:t>de</w:t>
      </w:r>
      <w:r w:rsidR="000A7AAB" w:rsidRPr="002C4077">
        <w:t xml:space="preserve"> </w:t>
      </w:r>
      <w:r w:rsidR="000A7AAB">
        <w:t>branches</w:t>
      </w:r>
      <w:r w:rsidR="000A7AAB" w:rsidRPr="002C4077">
        <w:t xml:space="preserve"> </w:t>
      </w:r>
      <w:r w:rsidR="000A7AAB">
        <w:t>de</w:t>
      </w:r>
      <w:r w:rsidR="000A7AAB" w:rsidRPr="002C4077">
        <w:t xml:space="preserve"> </w:t>
      </w:r>
      <w:r w:rsidR="000A7AAB">
        <w:t>saule,</w:t>
      </w:r>
      <w:r w:rsidR="000A7AAB" w:rsidRPr="002C4077">
        <w:t xml:space="preserve"> </w:t>
      </w:r>
      <w:r w:rsidR="000A7AAB">
        <w:t>des</w:t>
      </w:r>
      <w:r w:rsidR="000A7AAB" w:rsidRPr="002C4077">
        <w:t xml:space="preserve"> </w:t>
      </w:r>
      <w:r w:rsidR="000A7AAB">
        <w:t>figues</w:t>
      </w:r>
      <w:r w:rsidR="000A7AAB" w:rsidRPr="002C4077">
        <w:t xml:space="preserve"> </w:t>
      </w:r>
      <w:r w:rsidR="000A7AAB">
        <w:t>fraîches</w:t>
      </w:r>
      <w:r w:rsidR="000A7AAB" w:rsidRPr="002C4077">
        <w:t xml:space="preserve"> </w:t>
      </w:r>
      <w:r w:rsidR="000A7AAB">
        <w:t>et</w:t>
      </w:r>
      <w:r w:rsidR="000A7AAB" w:rsidRPr="002C4077">
        <w:t xml:space="preserve"> </w:t>
      </w:r>
      <w:r w:rsidR="000A7AAB">
        <w:t>même</w:t>
      </w:r>
      <w:r w:rsidR="000A7AAB" w:rsidRPr="002C4077">
        <w:t xml:space="preserve"> </w:t>
      </w:r>
      <w:r w:rsidR="000A7AAB">
        <w:t>des</w:t>
      </w:r>
      <w:r w:rsidR="000A7AAB" w:rsidRPr="002C4077">
        <w:t xml:space="preserve"> </w:t>
      </w:r>
      <w:r w:rsidR="000A7AAB">
        <w:t>raisins,</w:t>
      </w:r>
      <w:r w:rsidR="000A7AAB" w:rsidRPr="002C4077">
        <w:t xml:space="preserve"> </w:t>
      </w:r>
      <w:r w:rsidR="000A7AAB">
        <w:t>quoique</w:t>
      </w:r>
      <w:r w:rsidR="000A7AAB" w:rsidRPr="002C4077">
        <w:t xml:space="preserve"> </w:t>
      </w:r>
      <w:r w:rsidR="000A7AAB">
        <w:t>ce</w:t>
      </w:r>
      <w:r w:rsidR="000A7AAB" w:rsidRPr="002C4077">
        <w:t xml:space="preserve"> </w:t>
      </w:r>
      <w:r w:rsidR="000A7AAB">
        <w:t>soit</w:t>
      </w:r>
      <w:r w:rsidR="000A7AAB" w:rsidRPr="002C4077">
        <w:t xml:space="preserve"> </w:t>
      </w:r>
      <w:r w:rsidR="000A7AAB">
        <w:t>à</w:t>
      </w:r>
      <w:r w:rsidR="000A7AAB" w:rsidRPr="002C4077">
        <w:t xml:space="preserve"> </w:t>
      </w:r>
      <w:r w:rsidR="000A7AAB">
        <w:t>peine</w:t>
      </w:r>
      <w:r w:rsidR="000A7AAB" w:rsidRPr="002C4077">
        <w:t xml:space="preserve"> </w:t>
      </w:r>
      <w:r w:rsidR="000A7AAB">
        <w:t>la</w:t>
      </w:r>
      <w:r w:rsidR="000A7AAB" w:rsidRPr="002C4077">
        <w:t xml:space="preserve"> </w:t>
      </w:r>
      <w:r w:rsidR="000A7AAB">
        <w:t>fin</w:t>
      </w:r>
      <w:r w:rsidR="000A7AAB" w:rsidRPr="002C4077">
        <w:t xml:space="preserve"> </w:t>
      </w:r>
      <w:r w:rsidR="000A7AAB">
        <w:t>de</w:t>
      </w:r>
      <w:r w:rsidR="000A7AAB" w:rsidRPr="002C4077">
        <w:t xml:space="preserve"> </w:t>
      </w:r>
      <w:r w:rsidR="000A7AAB">
        <w:t>juin.</w:t>
      </w:r>
      <w:r w:rsidR="000A7AAB" w:rsidRPr="002C4077">
        <w:t xml:space="preserve"> </w:t>
      </w:r>
      <w:r w:rsidR="000A7AAB">
        <w:t>Ceux</w:t>
      </w:r>
      <w:r w:rsidR="000A7AAB" w:rsidRPr="002C4077">
        <w:t xml:space="preserve"> </w:t>
      </w:r>
      <w:r w:rsidR="000A7AAB">
        <w:t>qui</w:t>
      </w:r>
      <w:r w:rsidR="000A7AAB" w:rsidRPr="002C4077">
        <w:t xml:space="preserve"> </w:t>
      </w:r>
      <w:r w:rsidR="000A7AAB">
        <w:t>viennent</w:t>
      </w:r>
      <w:r w:rsidR="000A7AAB" w:rsidRPr="002C4077">
        <w:t xml:space="preserve"> </w:t>
      </w:r>
      <w:r w:rsidR="000A7AAB">
        <w:t>de</w:t>
      </w:r>
      <w:r w:rsidR="000A7AAB" w:rsidRPr="002C4077">
        <w:t xml:space="preserve"> </w:t>
      </w:r>
      <w:r w:rsidR="000A7AAB">
        <w:t>loin</w:t>
      </w:r>
      <w:r w:rsidR="000A7AAB" w:rsidRPr="002C4077">
        <w:t xml:space="preserve"> </w:t>
      </w:r>
      <w:r w:rsidR="000A7AAB">
        <w:t>apportent</w:t>
      </w:r>
      <w:r w:rsidR="000A7AAB" w:rsidRPr="002C4077">
        <w:t xml:space="preserve"> </w:t>
      </w:r>
      <w:r w:rsidR="000A7AAB">
        <w:t>des</w:t>
      </w:r>
      <w:r w:rsidR="000A7AAB" w:rsidRPr="002C4077">
        <w:t xml:space="preserve"> </w:t>
      </w:r>
      <w:r w:rsidR="000A7AAB">
        <w:t>figues</w:t>
      </w:r>
      <w:r w:rsidR="000A7AAB" w:rsidRPr="002C4077">
        <w:t xml:space="preserve"> </w:t>
      </w:r>
      <w:r w:rsidR="000A7AAB">
        <w:t>sèches</w:t>
      </w:r>
      <w:r w:rsidR="000A7AAB" w:rsidRPr="002C4077">
        <w:t xml:space="preserve"> </w:t>
      </w:r>
      <w:r w:rsidR="000A7AAB">
        <w:t>et</w:t>
      </w:r>
      <w:r w:rsidR="000A7AAB" w:rsidRPr="002C4077">
        <w:t xml:space="preserve"> </w:t>
      </w:r>
      <w:r w:rsidR="000A7AAB">
        <w:t>d’autres</w:t>
      </w:r>
      <w:r w:rsidR="000A7AAB" w:rsidRPr="002C4077">
        <w:t xml:space="preserve"> </w:t>
      </w:r>
      <w:r w:rsidR="000A7AAB">
        <w:t>fruits.</w:t>
      </w:r>
      <w:r w:rsidR="000A7AAB" w:rsidRPr="002C4077">
        <w:t xml:space="preserve"> </w:t>
      </w:r>
      <w:r w:rsidR="000A7AAB">
        <w:t>Aux</w:t>
      </w:r>
      <w:r w:rsidR="000A7AAB" w:rsidRPr="002C4077">
        <w:t xml:space="preserve"> </w:t>
      </w:r>
      <w:r w:rsidR="000A7AAB">
        <w:t>corbeilles</w:t>
      </w:r>
      <w:r w:rsidR="000A7AAB" w:rsidRPr="002C4077">
        <w:t xml:space="preserve"> </w:t>
      </w:r>
      <w:r w:rsidR="000A7AAB">
        <w:t>sont</w:t>
      </w:r>
      <w:r w:rsidR="000A7AAB" w:rsidRPr="002C4077">
        <w:t xml:space="preserve"> </w:t>
      </w:r>
      <w:r w:rsidR="000A7AAB">
        <w:t>attachées</w:t>
      </w:r>
      <w:r w:rsidR="000A7AAB" w:rsidRPr="002C4077">
        <w:t xml:space="preserve"> </w:t>
      </w:r>
      <w:r w:rsidR="000A7AAB">
        <w:t>des</w:t>
      </w:r>
      <w:r w:rsidR="000A7AAB" w:rsidRPr="002C4077">
        <w:t xml:space="preserve"> </w:t>
      </w:r>
      <w:r w:rsidR="000A7AAB">
        <w:t>colombes</w:t>
      </w:r>
      <w:r w:rsidR="000A7AAB" w:rsidRPr="002C4077">
        <w:t xml:space="preserve"> </w:t>
      </w:r>
      <w:r w:rsidR="000A7AAB">
        <w:t>destinées</w:t>
      </w:r>
      <w:r w:rsidR="000A7AAB" w:rsidRPr="002C4077">
        <w:t xml:space="preserve"> </w:t>
      </w:r>
      <w:r w:rsidR="000A7AAB">
        <w:t>au</w:t>
      </w:r>
      <w:r w:rsidR="000A7AAB" w:rsidRPr="002C4077">
        <w:t xml:space="preserve"> </w:t>
      </w:r>
      <w:r w:rsidR="000A7AAB">
        <w:t>sacrifice.</w:t>
      </w:r>
      <w:r w:rsidR="000A7AAB" w:rsidRPr="002C4077">
        <w:t xml:space="preserve"> </w:t>
      </w:r>
      <w:r w:rsidR="000A7AAB">
        <w:t>Un</w:t>
      </w:r>
      <w:r w:rsidR="000A7AAB" w:rsidRPr="002C4077">
        <w:t xml:space="preserve"> </w:t>
      </w:r>
      <w:r w:rsidR="000A7AAB">
        <w:t>taureau,</w:t>
      </w:r>
      <w:r w:rsidR="000A7AAB" w:rsidRPr="002C4077">
        <w:t xml:space="preserve"> </w:t>
      </w:r>
      <w:r w:rsidR="000A7AAB">
        <w:t>qui</w:t>
      </w:r>
      <w:r w:rsidR="000A7AAB" w:rsidRPr="002C4077">
        <w:t xml:space="preserve"> </w:t>
      </w:r>
      <w:r w:rsidR="000A7AAB">
        <w:t>doit</w:t>
      </w:r>
      <w:r w:rsidR="000A7AAB" w:rsidRPr="002C4077">
        <w:t xml:space="preserve"> </w:t>
      </w:r>
      <w:r w:rsidR="000A7AAB">
        <w:t>être</w:t>
      </w:r>
      <w:r w:rsidR="000A7AAB" w:rsidRPr="002C4077">
        <w:t xml:space="preserve"> </w:t>
      </w:r>
      <w:r w:rsidR="000A7AAB">
        <w:t>la</w:t>
      </w:r>
      <w:r w:rsidR="000A7AAB" w:rsidRPr="002C4077">
        <w:t xml:space="preserve"> </w:t>
      </w:r>
      <w:r w:rsidR="000A7AAB">
        <w:t>victime</w:t>
      </w:r>
      <w:r w:rsidR="000A7AAB" w:rsidRPr="002C4077">
        <w:t xml:space="preserve"> </w:t>
      </w:r>
      <w:r w:rsidR="000A7AAB">
        <w:t>commune</w:t>
      </w:r>
      <w:r w:rsidR="000A7AAB" w:rsidRPr="002C4077">
        <w:t xml:space="preserve"> </w:t>
      </w:r>
      <w:r w:rsidR="000A7AAB">
        <w:t>d’action</w:t>
      </w:r>
      <w:r w:rsidR="000A7AAB" w:rsidRPr="002C4077">
        <w:t xml:space="preserve"> </w:t>
      </w:r>
      <w:r w:rsidR="000A7AAB">
        <w:t>de</w:t>
      </w:r>
      <w:r w:rsidR="000A7AAB" w:rsidRPr="002C4077">
        <w:t xml:space="preserve"> </w:t>
      </w:r>
      <w:r w:rsidR="000A7AAB">
        <w:t>grâces,</w:t>
      </w:r>
      <w:r w:rsidR="000A7AAB" w:rsidRPr="002C4077">
        <w:t xml:space="preserve"> </w:t>
      </w:r>
      <w:r w:rsidR="000A7AAB">
        <w:t>termine</w:t>
      </w:r>
      <w:r w:rsidR="000A7AAB" w:rsidRPr="002C4077">
        <w:t xml:space="preserve"> </w:t>
      </w:r>
      <w:r w:rsidR="000A7AAB">
        <w:t>le</w:t>
      </w:r>
      <w:r w:rsidR="000A7AAB" w:rsidRPr="002C4077">
        <w:t xml:space="preserve"> </w:t>
      </w:r>
      <w:r w:rsidR="000A7AAB">
        <w:t>cortège</w:t>
      </w:r>
      <w:r>
        <w:t> :</w:t>
      </w:r>
      <w:r w:rsidR="000A7AAB" w:rsidRPr="002C4077">
        <w:t xml:space="preserve"> </w:t>
      </w:r>
      <w:r w:rsidR="000A7AAB">
        <w:t>ses</w:t>
      </w:r>
      <w:r w:rsidR="000A7AAB" w:rsidRPr="002C4077">
        <w:t xml:space="preserve"> </w:t>
      </w:r>
      <w:r w:rsidR="000A7AAB">
        <w:t>cornes</w:t>
      </w:r>
      <w:r w:rsidR="000A7AAB" w:rsidRPr="002C4077">
        <w:t xml:space="preserve"> </w:t>
      </w:r>
      <w:r w:rsidR="000A7AAB">
        <w:t>sont</w:t>
      </w:r>
      <w:r w:rsidR="000A7AAB" w:rsidRPr="002C4077">
        <w:t xml:space="preserve"> </w:t>
      </w:r>
      <w:r w:rsidR="000A7AAB">
        <w:t>dorées,</w:t>
      </w:r>
      <w:r w:rsidR="000A7AAB" w:rsidRPr="002C4077">
        <w:t xml:space="preserve"> </w:t>
      </w:r>
      <w:r w:rsidR="000A7AAB">
        <w:t>et</w:t>
      </w:r>
      <w:r w:rsidR="000A7AAB" w:rsidRPr="002C4077">
        <w:t xml:space="preserve"> </w:t>
      </w:r>
      <w:r w:rsidR="000A7AAB">
        <w:t>sur</w:t>
      </w:r>
      <w:r w:rsidR="000A7AAB" w:rsidRPr="002C4077">
        <w:t xml:space="preserve"> </w:t>
      </w:r>
      <w:r w:rsidR="000A7AAB">
        <w:t>sa</w:t>
      </w:r>
      <w:r w:rsidR="000A7AAB" w:rsidRPr="002C4077">
        <w:t xml:space="preserve"> </w:t>
      </w:r>
      <w:r w:rsidR="000A7AAB">
        <w:t>tête</w:t>
      </w:r>
      <w:r w:rsidR="000A7AAB" w:rsidRPr="002C4077">
        <w:t xml:space="preserve"> </w:t>
      </w:r>
      <w:r w:rsidR="000A7AAB">
        <w:t>il</w:t>
      </w:r>
      <w:r w:rsidR="000A7AAB" w:rsidRPr="002C4077">
        <w:t xml:space="preserve"> </w:t>
      </w:r>
      <w:r w:rsidR="000A7AAB">
        <w:t>porte</w:t>
      </w:r>
      <w:r w:rsidR="000A7AAB" w:rsidRPr="002C4077">
        <w:t xml:space="preserve"> </w:t>
      </w:r>
      <w:r w:rsidR="000A7AAB">
        <w:t>une</w:t>
      </w:r>
      <w:r w:rsidR="000A7AAB" w:rsidRPr="002C4077">
        <w:t xml:space="preserve"> </w:t>
      </w:r>
      <w:r w:rsidR="000A7AAB">
        <w:t>couronne</w:t>
      </w:r>
      <w:r w:rsidR="000A7AAB" w:rsidRPr="002C4077">
        <w:t xml:space="preserve"> </w:t>
      </w:r>
      <w:r w:rsidR="000A7AAB">
        <w:t>de</w:t>
      </w:r>
      <w:r w:rsidR="000A7AAB" w:rsidRPr="002C4077">
        <w:t xml:space="preserve"> </w:t>
      </w:r>
      <w:r w:rsidR="000A7AAB">
        <w:t>branches</w:t>
      </w:r>
      <w:r w:rsidR="000A7AAB" w:rsidRPr="002C4077">
        <w:t xml:space="preserve"> </w:t>
      </w:r>
      <w:r w:rsidR="000A7AAB">
        <w:t>d’olivier.</w:t>
      </w:r>
      <w:r w:rsidR="000A7AAB" w:rsidRPr="002C4077">
        <w:t xml:space="preserve"> </w:t>
      </w:r>
      <w:r w:rsidR="000A7AAB">
        <w:t>Partout</w:t>
      </w:r>
      <w:r w:rsidR="000A7AAB" w:rsidRPr="002C4077">
        <w:t xml:space="preserve"> </w:t>
      </w:r>
      <w:r w:rsidR="000A7AAB">
        <w:t>on</w:t>
      </w:r>
      <w:r w:rsidR="000A7AAB" w:rsidRPr="002C4077">
        <w:t xml:space="preserve"> </w:t>
      </w:r>
      <w:r w:rsidR="000A7AAB">
        <w:t>sait</w:t>
      </w:r>
      <w:r w:rsidR="000A7AAB" w:rsidRPr="002C4077">
        <w:t xml:space="preserve"> </w:t>
      </w:r>
      <w:r w:rsidR="000A7AAB">
        <w:t>maintenant</w:t>
      </w:r>
      <w:r w:rsidR="000A7AAB" w:rsidRPr="002C4077">
        <w:t xml:space="preserve"> </w:t>
      </w:r>
      <w:r w:rsidR="000A7AAB">
        <w:t>d’où</w:t>
      </w:r>
      <w:r w:rsidR="000A7AAB" w:rsidRPr="002C4077">
        <w:t xml:space="preserve"> </w:t>
      </w:r>
      <w:r w:rsidR="000A7AAB">
        <w:t>viennent</w:t>
      </w:r>
      <w:r w:rsidR="000A7AAB" w:rsidRPr="002C4077">
        <w:t xml:space="preserve"> </w:t>
      </w:r>
      <w:r w:rsidR="000A7AAB">
        <w:t>les</w:t>
      </w:r>
      <w:r w:rsidR="000A7AAB" w:rsidRPr="002C4077">
        <w:t xml:space="preserve"> </w:t>
      </w:r>
      <w:r w:rsidR="000A7AAB">
        <w:t>étrangers</w:t>
      </w:r>
      <w:r>
        <w:t> ;</w:t>
      </w:r>
      <w:r w:rsidR="000A7AAB" w:rsidRPr="002C4077">
        <w:t xml:space="preserve"> </w:t>
      </w:r>
      <w:r w:rsidR="000A7AAB">
        <w:t>ils</w:t>
      </w:r>
      <w:r w:rsidR="000A7AAB" w:rsidRPr="002C4077">
        <w:t xml:space="preserve"> </w:t>
      </w:r>
      <w:r w:rsidR="000A7AAB">
        <w:t>sont</w:t>
      </w:r>
      <w:r w:rsidR="000A7AAB" w:rsidRPr="002C4077">
        <w:t xml:space="preserve"> </w:t>
      </w:r>
      <w:r w:rsidR="000A7AAB">
        <w:t>de</w:t>
      </w:r>
      <w:r w:rsidR="000A7AAB" w:rsidRPr="002C4077">
        <w:t xml:space="preserve"> </w:t>
      </w:r>
      <w:r w:rsidR="000A7AAB">
        <w:t>Sébaste,</w:t>
      </w:r>
      <w:r w:rsidR="000A7AAB" w:rsidRPr="002C4077">
        <w:t xml:space="preserve"> </w:t>
      </w:r>
      <w:r w:rsidR="000A7AAB">
        <w:t>l’antique</w:t>
      </w:r>
      <w:r w:rsidR="000A7AAB" w:rsidRPr="002C4077">
        <w:t xml:space="preserve"> </w:t>
      </w:r>
      <w:r w:rsidR="000A7AAB">
        <w:lastRenderedPageBreak/>
        <w:t>Samarie.</w:t>
      </w:r>
      <w:r w:rsidR="000A7AAB" w:rsidRPr="002C4077">
        <w:t xml:space="preserve"> </w:t>
      </w:r>
      <w:r w:rsidR="000A7AAB">
        <w:t>Sur</w:t>
      </w:r>
      <w:r w:rsidR="000A7AAB" w:rsidRPr="002C4077">
        <w:t xml:space="preserve"> </w:t>
      </w:r>
      <w:r w:rsidR="000A7AAB">
        <w:t>leur</w:t>
      </w:r>
      <w:r w:rsidR="000A7AAB" w:rsidRPr="002C4077">
        <w:t xml:space="preserve"> </w:t>
      </w:r>
      <w:r w:rsidR="000A7AAB">
        <w:t>passage,</w:t>
      </w:r>
      <w:r w:rsidR="000A7AAB" w:rsidRPr="002C4077">
        <w:t xml:space="preserve"> </w:t>
      </w:r>
      <w:r w:rsidR="000A7AAB">
        <w:t>chacun</w:t>
      </w:r>
      <w:r w:rsidR="000A7AAB" w:rsidRPr="002C4077">
        <w:t xml:space="preserve"> </w:t>
      </w:r>
      <w:r w:rsidR="000A7AAB">
        <w:t>s’incline</w:t>
      </w:r>
      <w:r w:rsidR="000A7AAB" w:rsidRPr="002C4077">
        <w:t xml:space="preserve"> </w:t>
      </w:r>
      <w:r w:rsidR="000A7AAB">
        <w:t>respectueusement</w:t>
      </w:r>
      <w:r w:rsidR="000A7AAB" w:rsidRPr="002C4077">
        <w:t xml:space="preserve"> </w:t>
      </w:r>
      <w:r w:rsidR="000A7AAB">
        <w:t>en</w:t>
      </w:r>
      <w:r w:rsidR="000A7AAB" w:rsidRPr="002C4077">
        <w:t xml:space="preserve"> </w:t>
      </w:r>
      <w:r w:rsidR="000A7AAB">
        <w:t>prononçant</w:t>
      </w:r>
      <w:r w:rsidR="000A7AAB" w:rsidRPr="002C4077">
        <w:t xml:space="preserve"> </w:t>
      </w:r>
      <w:r w:rsidR="000A7AAB">
        <w:t>ces</w:t>
      </w:r>
      <w:r w:rsidR="000A7AAB" w:rsidRPr="002C4077">
        <w:t xml:space="preserve"> </w:t>
      </w:r>
      <w:r w:rsidR="000A7AAB">
        <w:t>mots</w:t>
      </w:r>
      <w:r>
        <w:t> :</w:t>
      </w:r>
      <w:r w:rsidR="000A7AAB" w:rsidRPr="002C4077">
        <w:t xml:space="preserve"> </w:t>
      </w:r>
      <w:r w:rsidR="000A7AAB">
        <w:t>Chers</w:t>
      </w:r>
      <w:r w:rsidR="000A7AAB" w:rsidRPr="002C4077">
        <w:t xml:space="preserve"> </w:t>
      </w:r>
      <w:r w:rsidR="000A7AAB">
        <w:t>frères,</w:t>
      </w:r>
      <w:r w:rsidR="000A7AAB" w:rsidRPr="002C4077">
        <w:t xml:space="preserve"> </w:t>
      </w:r>
      <w:r w:rsidR="000A7AAB">
        <w:t>hommes</w:t>
      </w:r>
      <w:r w:rsidR="000A7AAB" w:rsidRPr="002C4077">
        <w:t xml:space="preserve"> </w:t>
      </w:r>
      <w:r w:rsidR="000A7AAB">
        <w:t>de</w:t>
      </w:r>
      <w:r w:rsidR="000A7AAB" w:rsidRPr="002C4077">
        <w:t xml:space="preserve"> </w:t>
      </w:r>
      <w:r w:rsidR="000A7AAB">
        <w:t>Sébaste,</w:t>
      </w:r>
      <w:r w:rsidR="000A7AAB" w:rsidRPr="002C4077">
        <w:t xml:space="preserve"> </w:t>
      </w:r>
      <w:r w:rsidR="000A7AAB">
        <w:t>soyez</w:t>
      </w:r>
      <w:r w:rsidR="000A7AAB" w:rsidRPr="002C4077">
        <w:t xml:space="preserve"> </w:t>
      </w:r>
      <w:r w:rsidR="000A7AAB">
        <w:t>les</w:t>
      </w:r>
      <w:r w:rsidR="000A7AAB" w:rsidRPr="002C4077">
        <w:t xml:space="preserve"> </w:t>
      </w:r>
      <w:r w:rsidR="000A7AAB">
        <w:t>bienvenus.</w:t>
      </w:r>
      <w:r w:rsidR="000A7AAB" w:rsidRPr="002C4077">
        <w:t xml:space="preserve"> </w:t>
      </w:r>
    </w:p>
    <w:p w:rsidR="000A7AAB" w:rsidRPr="001F5257" w:rsidRDefault="00B546AF" w:rsidP="000A7AAB">
      <w:r>
        <w:t>« </w:t>
      </w:r>
      <w:r w:rsidR="000A7AAB">
        <w:t>Lorsque,</w:t>
      </w:r>
      <w:r w:rsidR="000A7AAB" w:rsidRPr="002C4077">
        <w:t xml:space="preserve"> </w:t>
      </w:r>
      <w:r w:rsidR="000A7AAB">
        <w:t>au</w:t>
      </w:r>
      <w:r w:rsidR="000A7AAB" w:rsidRPr="002C4077">
        <w:t xml:space="preserve"> </w:t>
      </w:r>
      <w:r w:rsidR="000A7AAB">
        <w:t>son</w:t>
      </w:r>
      <w:r w:rsidR="000A7AAB" w:rsidRPr="002C4077">
        <w:t xml:space="preserve"> </w:t>
      </w:r>
      <w:r w:rsidR="000A7AAB">
        <w:t>des</w:t>
      </w:r>
      <w:r w:rsidR="000A7AAB" w:rsidRPr="002C4077">
        <w:t xml:space="preserve"> </w:t>
      </w:r>
      <w:r w:rsidR="000A7AAB">
        <w:t>flûtes,</w:t>
      </w:r>
      <w:r w:rsidR="000A7AAB" w:rsidRPr="002C4077">
        <w:t xml:space="preserve"> </w:t>
      </w:r>
      <w:r w:rsidR="000A7AAB">
        <w:t>ils</w:t>
      </w:r>
      <w:r w:rsidR="000A7AAB" w:rsidRPr="002C4077">
        <w:t xml:space="preserve"> </w:t>
      </w:r>
      <w:r w:rsidR="000A7AAB">
        <w:t>sont</w:t>
      </w:r>
      <w:r w:rsidR="000A7AAB" w:rsidRPr="002C4077">
        <w:t xml:space="preserve"> </w:t>
      </w:r>
      <w:r w:rsidR="000A7AAB">
        <w:t>arrivés</w:t>
      </w:r>
      <w:r w:rsidR="000A7AAB" w:rsidRPr="002C4077">
        <w:t xml:space="preserve"> </w:t>
      </w:r>
      <w:r w:rsidR="000A7AAB">
        <w:t>à</w:t>
      </w:r>
      <w:r w:rsidR="000A7AAB" w:rsidRPr="002C4077">
        <w:t xml:space="preserve"> </w:t>
      </w:r>
      <w:r w:rsidR="000A7AAB">
        <w:t>la</w:t>
      </w:r>
      <w:r w:rsidR="000A7AAB" w:rsidRPr="002C4077">
        <w:t xml:space="preserve"> </w:t>
      </w:r>
      <w:r w:rsidR="000A7AAB">
        <w:t>montagne</w:t>
      </w:r>
      <w:r w:rsidR="000A7AAB" w:rsidRPr="002C4077">
        <w:t xml:space="preserve"> </w:t>
      </w:r>
      <w:r w:rsidR="000A7AAB">
        <w:t>du</w:t>
      </w:r>
      <w:r w:rsidR="000A7AAB" w:rsidRPr="002C4077">
        <w:t xml:space="preserve"> </w:t>
      </w:r>
      <w:r w:rsidR="000A7AAB">
        <w:t>Temple,</w:t>
      </w:r>
      <w:r w:rsidR="000A7AAB" w:rsidRPr="002C4077">
        <w:t xml:space="preserve"> </w:t>
      </w:r>
      <w:r w:rsidR="000A7AAB">
        <w:t>ils</w:t>
      </w:r>
      <w:r w:rsidR="000A7AAB" w:rsidRPr="002C4077">
        <w:t xml:space="preserve"> </w:t>
      </w:r>
      <w:r w:rsidR="000A7AAB">
        <w:t>prennent</w:t>
      </w:r>
      <w:r w:rsidR="000A7AAB" w:rsidRPr="002C4077">
        <w:t xml:space="preserve"> </w:t>
      </w:r>
      <w:r w:rsidR="000A7AAB">
        <w:t>tous</w:t>
      </w:r>
      <w:r w:rsidR="000A7AAB" w:rsidRPr="002C4077">
        <w:t xml:space="preserve"> </w:t>
      </w:r>
      <w:r w:rsidR="000A7AAB">
        <w:t>leurs</w:t>
      </w:r>
      <w:r w:rsidR="000A7AAB" w:rsidRPr="002C4077">
        <w:t xml:space="preserve"> </w:t>
      </w:r>
      <w:r w:rsidR="000A7AAB">
        <w:t>corbeilles</w:t>
      </w:r>
      <w:r w:rsidR="000A7AAB" w:rsidRPr="002C4077">
        <w:t xml:space="preserve"> </w:t>
      </w:r>
      <w:r w:rsidR="000A7AAB">
        <w:t>sur</w:t>
      </w:r>
      <w:r w:rsidR="000A7AAB" w:rsidRPr="002C4077">
        <w:t xml:space="preserve"> </w:t>
      </w:r>
      <w:r w:rsidR="000A7AAB">
        <w:t>l’épaule.</w:t>
      </w:r>
      <w:r w:rsidR="000A7AAB" w:rsidRPr="002C4077">
        <w:t xml:space="preserve"> </w:t>
      </w:r>
      <w:r w:rsidR="000A7AAB">
        <w:t>Quand</w:t>
      </w:r>
      <w:r w:rsidR="000A7AAB" w:rsidRPr="002C4077">
        <w:t xml:space="preserve"> </w:t>
      </w:r>
      <w:r w:rsidR="000A7AAB">
        <w:t>ils</w:t>
      </w:r>
      <w:r w:rsidR="000A7AAB" w:rsidRPr="002C4077">
        <w:t xml:space="preserve"> </w:t>
      </w:r>
      <w:r w:rsidR="000A7AAB">
        <w:t>sont</w:t>
      </w:r>
      <w:r w:rsidR="000A7AAB" w:rsidRPr="002C4077">
        <w:t xml:space="preserve"> </w:t>
      </w:r>
      <w:r w:rsidR="000A7AAB">
        <w:t>dans</w:t>
      </w:r>
      <w:r w:rsidR="000A7AAB" w:rsidRPr="002C4077">
        <w:t xml:space="preserve"> </w:t>
      </w:r>
      <w:r w:rsidR="000A7AAB">
        <w:t>le</w:t>
      </w:r>
      <w:r w:rsidR="000A7AAB" w:rsidRPr="002C4077">
        <w:t xml:space="preserve"> </w:t>
      </w:r>
      <w:r w:rsidR="000A7AAB">
        <w:t>parvis</w:t>
      </w:r>
      <w:r w:rsidR="000A7AAB" w:rsidRPr="002C4077">
        <w:t xml:space="preserve"> </w:t>
      </w:r>
      <w:r w:rsidR="000A7AAB">
        <w:t>des</w:t>
      </w:r>
      <w:r w:rsidR="000A7AAB" w:rsidRPr="002C4077">
        <w:t xml:space="preserve"> </w:t>
      </w:r>
      <w:r w:rsidR="000A7AAB">
        <w:t>hommes,</w:t>
      </w:r>
      <w:r w:rsidR="000A7AAB" w:rsidRPr="002C4077">
        <w:t xml:space="preserve"> </w:t>
      </w:r>
      <w:r w:rsidR="000A7AAB">
        <w:t>les</w:t>
      </w:r>
      <w:r w:rsidR="000A7AAB" w:rsidRPr="002C4077">
        <w:t xml:space="preserve"> </w:t>
      </w:r>
      <w:r w:rsidR="000A7AAB">
        <w:t>lévites</w:t>
      </w:r>
      <w:r w:rsidR="000A7AAB" w:rsidRPr="002C4077">
        <w:t xml:space="preserve"> </w:t>
      </w:r>
      <w:r w:rsidR="000A7AAB">
        <w:t>entonnent</w:t>
      </w:r>
      <w:r w:rsidR="000A7AAB" w:rsidRPr="002C4077">
        <w:t xml:space="preserve"> </w:t>
      </w:r>
      <w:r w:rsidR="000A7AAB">
        <w:t>le</w:t>
      </w:r>
      <w:r w:rsidR="000A7AAB" w:rsidRPr="002C4077">
        <w:t xml:space="preserve"> </w:t>
      </w:r>
      <w:r w:rsidR="000A7AAB">
        <w:t>psaume</w:t>
      </w:r>
      <w:r>
        <w:t> :</w:t>
      </w:r>
      <w:r w:rsidR="000A7AAB" w:rsidRPr="002C4077">
        <w:t xml:space="preserve"> </w:t>
      </w:r>
      <w:r w:rsidR="000A7AAB">
        <w:t>Je</w:t>
      </w:r>
      <w:r w:rsidR="000A7AAB" w:rsidRPr="002C4077">
        <w:t xml:space="preserve"> </w:t>
      </w:r>
      <w:r w:rsidR="000A7AAB">
        <w:t>vous</w:t>
      </w:r>
      <w:r w:rsidR="000A7AAB" w:rsidRPr="002C4077">
        <w:t xml:space="preserve"> </w:t>
      </w:r>
      <w:r w:rsidR="000A7AAB">
        <w:t>loue,</w:t>
      </w:r>
      <w:r w:rsidR="000A7AAB" w:rsidRPr="002C4077">
        <w:t xml:space="preserve"> </w:t>
      </w:r>
      <w:r w:rsidR="000A7AAB">
        <w:t>Seigneur,</w:t>
      </w:r>
      <w:r w:rsidR="000A7AAB" w:rsidRPr="002C4077">
        <w:t xml:space="preserve"> </w:t>
      </w:r>
      <w:r w:rsidR="000A7AAB">
        <w:t>parce</w:t>
      </w:r>
      <w:r w:rsidR="000A7AAB" w:rsidRPr="002C4077">
        <w:t xml:space="preserve"> </w:t>
      </w:r>
      <w:r w:rsidR="000A7AAB">
        <w:t>que</w:t>
      </w:r>
      <w:r w:rsidR="000A7AAB" w:rsidRPr="002C4077">
        <w:t xml:space="preserve"> </w:t>
      </w:r>
      <w:r w:rsidR="000A7AAB">
        <w:t>vous</w:t>
      </w:r>
      <w:r w:rsidR="000A7AAB" w:rsidRPr="002C4077">
        <w:t xml:space="preserve"> </w:t>
      </w:r>
      <w:r w:rsidR="000A7AAB">
        <w:t>m’avez</w:t>
      </w:r>
      <w:r w:rsidR="000A7AAB" w:rsidRPr="002C4077">
        <w:t xml:space="preserve"> </w:t>
      </w:r>
      <w:r w:rsidR="000A7AAB">
        <w:t>exaucé,</w:t>
      </w:r>
      <w:r w:rsidR="000A7AAB" w:rsidRPr="002C4077">
        <w:t xml:space="preserve"> </w:t>
      </w:r>
      <w:r w:rsidR="000A7AAB">
        <w:t>et</w:t>
      </w:r>
      <w:r w:rsidR="000A7AAB" w:rsidRPr="002C4077">
        <w:t xml:space="preserve"> </w:t>
      </w:r>
      <w:r w:rsidR="000A7AAB">
        <w:t>parce</w:t>
      </w:r>
      <w:r w:rsidR="000A7AAB" w:rsidRPr="002C4077">
        <w:t xml:space="preserve"> </w:t>
      </w:r>
      <w:r w:rsidR="000A7AAB">
        <w:t>que</w:t>
      </w:r>
      <w:r w:rsidR="000A7AAB" w:rsidRPr="002C4077">
        <w:t xml:space="preserve"> </w:t>
      </w:r>
      <w:r w:rsidR="000A7AAB">
        <w:t>vous</w:t>
      </w:r>
      <w:r w:rsidR="000A7AAB" w:rsidRPr="002C4077">
        <w:t xml:space="preserve"> </w:t>
      </w:r>
      <w:r w:rsidR="000A7AAB">
        <w:t>n’avez</w:t>
      </w:r>
      <w:r w:rsidR="000A7AAB" w:rsidRPr="002C4077">
        <w:t xml:space="preserve"> </w:t>
      </w:r>
      <w:r w:rsidR="000A7AAB">
        <w:t>pas</w:t>
      </w:r>
      <w:r w:rsidR="000A7AAB" w:rsidRPr="002C4077">
        <w:t xml:space="preserve"> </w:t>
      </w:r>
      <w:r w:rsidR="000A7AAB">
        <w:t>laissé</w:t>
      </w:r>
      <w:r w:rsidR="000A7AAB" w:rsidRPr="002C4077">
        <w:t xml:space="preserve"> </w:t>
      </w:r>
      <w:r w:rsidR="000A7AAB">
        <w:t>mes</w:t>
      </w:r>
      <w:r w:rsidR="000A7AAB" w:rsidRPr="002C4077">
        <w:t xml:space="preserve"> </w:t>
      </w:r>
      <w:r w:rsidR="000A7AAB">
        <w:t>ennemis</w:t>
      </w:r>
      <w:r w:rsidR="000A7AAB" w:rsidRPr="002C4077">
        <w:t xml:space="preserve"> </w:t>
      </w:r>
      <w:r w:rsidR="000A7AAB">
        <w:t>se</w:t>
      </w:r>
      <w:r w:rsidR="000A7AAB" w:rsidRPr="002C4077">
        <w:t xml:space="preserve"> </w:t>
      </w:r>
      <w:r w:rsidR="000A7AAB">
        <w:t>réjouir</w:t>
      </w:r>
      <w:r w:rsidR="000A7AAB" w:rsidRPr="002C4077">
        <w:t xml:space="preserve"> </w:t>
      </w:r>
      <w:r w:rsidR="000A7AAB">
        <w:t>sur</w:t>
      </w:r>
      <w:r w:rsidR="000A7AAB" w:rsidRPr="002C4077">
        <w:t xml:space="preserve"> </w:t>
      </w:r>
      <w:r w:rsidR="000A7AAB">
        <w:t>moi</w:t>
      </w:r>
      <w:r w:rsidR="00B91AF7">
        <w:rPr>
          <w:rStyle w:val="Appelnotedebasdep"/>
        </w:rPr>
        <w:footnoteReference w:id="832"/>
      </w:r>
      <w:r w:rsidR="000A7AAB">
        <w:t>.</w:t>
      </w:r>
      <w:r w:rsidR="00C45B47">
        <w:t xml:space="preserve"> {</w:t>
      </w:r>
      <w:r w:rsidR="001F5257">
        <w:t>266</w:t>
      </w:r>
      <w:bookmarkStart w:id="641" w:name="p266"/>
      <w:bookmarkEnd w:id="641"/>
      <w:r w:rsidR="001F5257">
        <w:t xml:space="preserve">} </w:t>
      </w:r>
      <w:r w:rsidR="000A7AAB">
        <w:t>Les</w:t>
      </w:r>
      <w:r w:rsidR="000A7AAB" w:rsidRPr="002C4077">
        <w:t xml:space="preserve"> </w:t>
      </w:r>
      <w:r w:rsidR="000A7AAB">
        <w:t>colombes</w:t>
      </w:r>
      <w:r w:rsidR="000A7AAB" w:rsidRPr="002C4077">
        <w:t xml:space="preserve"> </w:t>
      </w:r>
      <w:r w:rsidR="000A7AAB">
        <w:t>attachées</w:t>
      </w:r>
      <w:r w:rsidR="000A7AAB" w:rsidRPr="002C4077">
        <w:t xml:space="preserve"> </w:t>
      </w:r>
      <w:r w:rsidR="000A7AAB">
        <w:t>aux</w:t>
      </w:r>
      <w:r w:rsidR="000A7AAB" w:rsidRPr="002C4077">
        <w:t xml:space="preserve"> </w:t>
      </w:r>
      <w:r w:rsidR="000A7AAB">
        <w:t>corbeilles</w:t>
      </w:r>
      <w:r w:rsidR="000A7AAB" w:rsidRPr="002C4077">
        <w:t xml:space="preserve"> </w:t>
      </w:r>
      <w:r w:rsidR="000A7AAB">
        <w:t>sont</w:t>
      </w:r>
      <w:r w:rsidR="000A7AAB" w:rsidRPr="002C4077">
        <w:t xml:space="preserve"> </w:t>
      </w:r>
      <w:r w:rsidR="000A7AAB">
        <w:t>offertes</w:t>
      </w:r>
      <w:r w:rsidR="000A7AAB" w:rsidRPr="002C4077">
        <w:t xml:space="preserve"> </w:t>
      </w:r>
      <w:r w:rsidR="000A7AAB">
        <w:t>en</w:t>
      </w:r>
      <w:r w:rsidR="000A7AAB" w:rsidRPr="002C4077">
        <w:t xml:space="preserve"> </w:t>
      </w:r>
      <w:r w:rsidR="000A7AAB">
        <w:t>holocauste.</w:t>
      </w:r>
      <w:r w:rsidR="000A7AAB" w:rsidRPr="002C4077">
        <w:t xml:space="preserve"> </w:t>
      </w:r>
      <w:r w:rsidR="000A7AAB">
        <w:t>Les</w:t>
      </w:r>
      <w:r w:rsidR="000A7AAB" w:rsidRPr="002C4077">
        <w:t xml:space="preserve"> </w:t>
      </w:r>
      <w:r w:rsidR="000A7AAB">
        <w:t>voyageurs</w:t>
      </w:r>
      <w:r w:rsidR="000A7AAB" w:rsidRPr="002C4077">
        <w:t xml:space="preserve"> </w:t>
      </w:r>
      <w:r w:rsidR="000A7AAB">
        <w:t>donnent</w:t>
      </w:r>
      <w:r w:rsidR="000A7AAB" w:rsidRPr="002C4077">
        <w:t xml:space="preserve"> </w:t>
      </w:r>
      <w:r w:rsidR="000A7AAB">
        <w:t>aux</w:t>
      </w:r>
      <w:r w:rsidR="000A7AAB" w:rsidRPr="002C4077">
        <w:t xml:space="preserve"> </w:t>
      </w:r>
      <w:r w:rsidR="00425C50">
        <w:t>prêtre</w:t>
      </w:r>
      <w:r w:rsidR="000A7AAB">
        <w:t>s</w:t>
      </w:r>
      <w:r w:rsidR="000A7AAB" w:rsidRPr="002C4077">
        <w:t xml:space="preserve"> </w:t>
      </w:r>
      <w:r w:rsidR="000A7AAB">
        <w:t>tout</w:t>
      </w:r>
      <w:r w:rsidR="000A7AAB" w:rsidRPr="002C4077">
        <w:t xml:space="preserve"> </w:t>
      </w:r>
      <w:r w:rsidR="000A7AAB">
        <w:t>ce</w:t>
      </w:r>
      <w:r w:rsidR="000A7AAB" w:rsidRPr="002C4077">
        <w:t xml:space="preserve"> </w:t>
      </w:r>
      <w:r w:rsidR="000A7AAB">
        <w:t>qu’ils</w:t>
      </w:r>
      <w:r w:rsidR="000A7AAB" w:rsidRPr="002C4077">
        <w:t xml:space="preserve"> </w:t>
      </w:r>
      <w:r w:rsidR="000A7AAB">
        <w:t>ont</w:t>
      </w:r>
      <w:r w:rsidR="000A7AAB" w:rsidRPr="002C4077">
        <w:t xml:space="preserve"> </w:t>
      </w:r>
      <w:r w:rsidR="000A7AAB">
        <w:t>apporté</w:t>
      </w:r>
      <w:r w:rsidR="000A7AAB" w:rsidRPr="002C4077">
        <w:t xml:space="preserve"> </w:t>
      </w:r>
      <w:r w:rsidR="000A7AAB">
        <w:t>et</w:t>
      </w:r>
      <w:r w:rsidR="000A7AAB" w:rsidRPr="002C4077">
        <w:t xml:space="preserve"> </w:t>
      </w:r>
      <w:r w:rsidR="000A7AAB">
        <w:t>récitent,</w:t>
      </w:r>
      <w:r w:rsidR="000A7AAB" w:rsidRPr="002C4077">
        <w:t xml:space="preserve"> </w:t>
      </w:r>
      <w:r w:rsidR="000A7AAB">
        <w:t>en</w:t>
      </w:r>
      <w:r w:rsidR="000A7AAB" w:rsidRPr="002C4077">
        <w:t xml:space="preserve"> </w:t>
      </w:r>
      <w:r w:rsidR="000A7AAB">
        <w:t>le</w:t>
      </w:r>
      <w:r w:rsidR="000A7AAB" w:rsidRPr="002C4077">
        <w:t xml:space="preserve"> </w:t>
      </w:r>
      <w:r w:rsidR="000A7AAB">
        <w:t>leur</w:t>
      </w:r>
      <w:r w:rsidR="000A7AAB" w:rsidRPr="002C4077">
        <w:t xml:space="preserve"> </w:t>
      </w:r>
      <w:r w:rsidR="000A7AAB">
        <w:t>présentant,</w:t>
      </w:r>
      <w:r w:rsidR="000A7AAB" w:rsidRPr="002C4077">
        <w:t xml:space="preserve"> </w:t>
      </w:r>
      <w:r w:rsidR="000A7AAB">
        <w:t>la</w:t>
      </w:r>
      <w:r w:rsidR="000A7AAB" w:rsidRPr="002C4077">
        <w:t xml:space="preserve"> </w:t>
      </w:r>
      <w:r w:rsidR="000A7AAB">
        <w:t>confession</w:t>
      </w:r>
      <w:r w:rsidR="000A7AAB" w:rsidRPr="002C4077">
        <w:t xml:space="preserve"> </w:t>
      </w:r>
      <w:r w:rsidR="000A7AAB">
        <w:t>prescrite</w:t>
      </w:r>
      <w:r w:rsidR="000A7AAB" w:rsidRPr="002C4077">
        <w:t xml:space="preserve"> </w:t>
      </w:r>
      <w:r w:rsidR="000A7AAB">
        <w:t>par</w:t>
      </w:r>
      <w:r w:rsidR="000A7AAB" w:rsidRPr="002C4077">
        <w:t xml:space="preserve"> </w:t>
      </w:r>
      <w:r w:rsidR="000A7AAB">
        <w:t>le</w:t>
      </w:r>
      <w:r w:rsidR="000A7AAB" w:rsidRPr="002C4077">
        <w:t xml:space="preserve"> </w:t>
      </w:r>
      <w:r w:rsidR="000A7AAB">
        <w:t>Deutéronome</w:t>
      </w:r>
      <w:r w:rsidR="000A7AAB" w:rsidRPr="002C4077">
        <w:t xml:space="preserve"> </w:t>
      </w:r>
      <w:r w:rsidR="000A7AAB">
        <w:t>pour</w:t>
      </w:r>
      <w:r w:rsidR="000A7AAB" w:rsidRPr="002C4077">
        <w:t xml:space="preserve"> </w:t>
      </w:r>
      <w:r w:rsidR="000A7AAB">
        <w:t>ceux</w:t>
      </w:r>
      <w:r w:rsidR="000A7AAB" w:rsidRPr="002C4077">
        <w:t xml:space="preserve"> </w:t>
      </w:r>
      <w:r w:rsidR="000A7AAB">
        <w:t>qui</w:t>
      </w:r>
      <w:r w:rsidR="000A7AAB" w:rsidRPr="002C4077">
        <w:t xml:space="preserve"> </w:t>
      </w:r>
      <w:r w:rsidR="000A7AAB">
        <w:t>apportent</w:t>
      </w:r>
      <w:r w:rsidR="000A7AAB" w:rsidRPr="002C4077">
        <w:t xml:space="preserve"> </w:t>
      </w:r>
      <w:r w:rsidR="000A7AAB">
        <w:t>les</w:t>
      </w:r>
      <w:r w:rsidR="000A7AAB" w:rsidRPr="002C4077">
        <w:t xml:space="preserve"> </w:t>
      </w:r>
      <w:r w:rsidR="000A7AAB">
        <w:t>prémices</w:t>
      </w:r>
      <w:r w:rsidR="00B91AF7">
        <w:rPr>
          <w:rStyle w:val="Appelnotedebasdep"/>
        </w:rPr>
        <w:footnoteReference w:id="833"/>
      </w:r>
      <w:r w:rsidR="000A7AAB">
        <w:t>.</w:t>
      </w:r>
      <w:r w:rsidR="000A7AAB" w:rsidRPr="002C4077">
        <w:t xml:space="preserve"> </w:t>
      </w:r>
      <w:r w:rsidR="000A7AAB">
        <w:t>À</w:t>
      </w:r>
      <w:r w:rsidR="000A7AAB" w:rsidRPr="002C4077">
        <w:t xml:space="preserve"> </w:t>
      </w:r>
      <w:r w:rsidR="000A7AAB">
        <w:t>leur</w:t>
      </w:r>
      <w:r w:rsidR="000A7AAB" w:rsidRPr="002C4077">
        <w:t xml:space="preserve"> </w:t>
      </w:r>
      <w:r w:rsidR="000A7AAB">
        <w:t>sortie</w:t>
      </w:r>
      <w:r w:rsidR="000A7AAB" w:rsidRPr="002C4077">
        <w:t xml:space="preserve"> </w:t>
      </w:r>
      <w:r w:rsidR="000A7AAB">
        <w:t>du</w:t>
      </w:r>
      <w:r w:rsidR="000A7AAB" w:rsidRPr="002C4077">
        <w:t xml:space="preserve"> </w:t>
      </w:r>
      <w:r w:rsidR="000A7AAB">
        <w:t>temple,</w:t>
      </w:r>
      <w:r w:rsidR="000A7AAB" w:rsidRPr="002C4077">
        <w:t xml:space="preserve"> </w:t>
      </w:r>
      <w:r w:rsidR="000A7AAB">
        <w:t>une</w:t>
      </w:r>
      <w:r w:rsidR="000A7AAB" w:rsidRPr="002C4077">
        <w:t xml:space="preserve"> </w:t>
      </w:r>
      <w:r w:rsidR="000A7AAB">
        <w:t>grande</w:t>
      </w:r>
      <w:r w:rsidR="000A7AAB" w:rsidRPr="002C4077">
        <w:t xml:space="preserve"> </w:t>
      </w:r>
      <w:r w:rsidR="000A7AAB">
        <w:t>quantité</w:t>
      </w:r>
      <w:r w:rsidR="000A7AAB" w:rsidRPr="002C4077">
        <w:t xml:space="preserve"> </w:t>
      </w:r>
      <w:r w:rsidR="000A7AAB">
        <w:t>d’hommes,</w:t>
      </w:r>
      <w:r w:rsidR="000A7AAB" w:rsidRPr="002C4077">
        <w:t xml:space="preserve"> </w:t>
      </w:r>
      <w:r w:rsidR="000A7AAB">
        <w:t>de</w:t>
      </w:r>
      <w:r w:rsidR="000A7AAB" w:rsidRPr="002C4077">
        <w:t xml:space="preserve"> </w:t>
      </w:r>
      <w:r w:rsidR="000A7AAB">
        <w:t>femmes</w:t>
      </w:r>
      <w:r w:rsidR="000A7AAB" w:rsidRPr="002C4077">
        <w:t xml:space="preserve"> </w:t>
      </w:r>
      <w:r w:rsidR="000A7AAB">
        <w:t>et</w:t>
      </w:r>
      <w:r w:rsidR="000A7AAB" w:rsidRPr="002C4077">
        <w:t xml:space="preserve"> </w:t>
      </w:r>
      <w:r w:rsidR="000A7AAB">
        <w:t>d’enfants</w:t>
      </w:r>
      <w:r w:rsidR="000A7AAB" w:rsidRPr="002C4077">
        <w:t xml:space="preserve"> </w:t>
      </w:r>
      <w:r w:rsidR="000A7AAB">
        <w:t>se</w:t>
      </w:r>
      <w:r w:rsidR="000A7AAB" w:rsidRPr="002C4077">
        <w:t xml:space="preserve"> </w:t>
      </w:r>
      <w:r w:rsidR="000A7AAB">
        <w:t>précipitent</w:t>
      </w:r>
      <w:r w:rsidR="000A7AAB" w:rsidRPr="002C4077">
        <w:t xml:space="preserve"> </w:t>
      </w:r>
      <w:r w:rsidR="000A7AAB">
        <w:t>à</w:t>
      </w:r>
      <w:r w:rsidR="000A7AAB" w:rsidRPr="002C4077">
        <w:t xml:space="preserve"> </w:t>
      </w:r>
      <w:r w:rsidR="000A7AAB">
        <w:t>leur</w:t>
      </w:r>
      <w:r w:rsidR="000A7AAB" w:rsidRPr="002C4077">
        <w:t xml:space="preserve"> </w:t>
      </w:r>
      <w:r w:rsidR="000A7AAB">
        <w:t>rencontre</w:t>
      </w:r>
      <w:r>
        <w:t> :</w:t>
      </w:r>
      <w:r w:rsidR="000A7AAB" w:rsidRPr="002C4077">
        <w:t xml:space="preserve"> </w:t>
      </w:r>
      <w:r w:rsidR="000A7AAB">
        <w:t>les</w:t>
      </w:r>
      <w:r w:rsidR="000A7AAB" w:rsidRPr="002C4077">
        <w:t xml:space="preserve"> </w:t>
      </w:r>
      <w:r w:rsidR="000A7AAB">
        <w:t>parents</w:t>
      </w:r>
      <w:r w:rsidR="000A7AAB" w:rsidRPr="002C4077">
        <w:t xml:space="preserve"> </w:t>
      </w:r>
      <w:r w:rsidR="000A7AAB">
        <w:t>et</w:t>
      </w:r>
      <w:r w:rsidR="000A7AAB" w:rsidRPr="002C4077">
        <w:t xml:space="preserve"> </w:t>
      </w:r>
      <w:r w:rsidR="000A7AAB">
        <w:t>les</w:t>
      </w:r>
      <w:r w:rsidR="000A7AAB" w:rsidRPr="002C4077">
        <w:t xml:space="preserve"> </w:t>
      </w:r>
      <w:r w:rsidR="000A7AAB">
        <w:t>amis</w:t>
      </w:r>
      <w:r w:rsidR="000A7AAB" w:rsidRPr="002C4077">
        <w:t xml:space="preserve"> </w:t>
      </w:r>
      <w:r w:rsidR="000A7AAB">
        <w:t>emmènent</w:t>
      </w:r>
      <w:r w:rsidR="000A7AAB" w:rsidRPr="002C4077">
        <w:t xml:space="preserve"> </w:t>
      </w:r>
      <w:r w:rsidR="000A7AAB">
        <w:t>chez</w:t>
      </w:r>
      <w:r w:rsidR="000A7AAB" w:rsidRPr="002C4077">
        <w:t xml:space="preserve"> </w:t>
      </w:r>
      <w:r w:rsidR="000A7AAB">
        <w:t>eux</w:t>
      </w:r>
      <w:r w:rsidR="000A7AAB" w:rsidRPr="002C4077">
        <w:t xml:space="preserve"> </w:t>
      </w:r>
      <w:r w:rsidR="000A7AAB">
        <w:t>ceux</w:t>
      </w:r>
      <w:r w:rsidR="000A7AAB" w:rsidRPr="002C4077">
        <w:t xml:space="preserve"> </w:t>
      </w:r>
      <w:r w:rsidR="000A7AAB">
        <w:t>qui</w:t>
      </w:r>
      <w:r w:rsidR="000A7AAB" w:rsidRPr="002C4077">
        <w:t xml:space="preserve"> </w:t>
      </w:r>
      <w:r w:rsidR="000A7AAB">
        <w:t>leur</w:t>
      </w:r>
      <w:r w:rsidR="000A7AAB" w:rsidRPr="002C4077">
        <w:t xml:space="preserve"> </w:t>
      </w:r>
      <w:r w:rsidR="000A7AAB">
        <w:t>tiennent</w:t>
      </w:r>
      <w:r w:rsidR="000A7AAB" w:rsidRPr="002C4077">
        <w:t xml:space="preserve"> </w:t>
      </w:r>
      <w:r w:rsidR="000A7AAB">
        <w:t>par</w:t>
      </w:r>
      <w:r w:rsidR="000A7AAB" w:rsidRPr="002C4077">
        <w:t xml:space="preserve"> </w:t>
      </w:r>
      <w:r w:rsidR="000A7AAB">
        <w:t>les</w:t>
      </w:r>
      <w:r w:rsidR="000A7AAB" w:rsidRPr="002C4077">
        <w:t xml:space="preserve"> </w:t>
      </w:r>
      <w:r w:rsidR="000A7AAB">
        <w:t>liens</w:t>
      </w:r>
      <w:r w:rsidR="000A7AAB" w:rsidRPr="002C4077">
        <w:t xml:space="preserve"> </w:t>
      </w:r>
      <w:r w:rsidR="000A7AAB">
        <w:t>du</w:t>
      </w:r>
      <w:r w:rsidR="000A7AAB" w:rsidRPr="002C4077">
        <w:t xml:space="preserve"> </w:t>
      </w:r>
      <w:r w:rsidR="000A7AAB">
        <w:t>sang</w:t>
      </w:r>
      <w:r w:rsidR="000A7AAB" w:rsidRPr="002C4077">
        <w:t xml:space="preserve"> </w:t>
      </w:r>
      <w:r w:rsidR="000A7AAB">
        <w:t>et</w:t>
      </w:r>
      <w:r w:rsidR="000A7AAB" w:rsidRPr="002C4077">
        <w:t xml:space="preserve"> </w:t>
      </w:r>
      <w:r w:rsidR="000A7AAB">
        <w:t>de</w:t>
      </w:r>
      <w:r w:rsidR="000A7AAB" w:rsidRPr="002C4077">
        <w:t xml:space="preserve"> </w:t>
      </w:r>
      <w:r w:rsidR="000A7AAB">
        <w:t>l’affection</w:t>
      </w:r>
      <w:r>
        <w:t> ;</w:t>
      </w:r>
      <w:r w:rsidR="000A7AAB" w:rsidRPr="002C4077">
        <w:t xml:space="preserve"> </w:t>
      </w:r>
      <w:r w:rsidR="000A7AAB">
        <w:t>quant</w:t>
      </w:r>
      <w:r w:rsidR="000A7AAB" w:rsidRPr="002C4077">
        <w:t xml:space="preserve"> </w:t>
      </w:r>
      <w:r w:rsidR="000A7AAB">
        <w:t>aux</w:t>
      </w:r>
      <w:r w:rsidR="000A7AAB" w:rsidRPr="002C4077">
        <w:t xml:space="preserve"> </w:t>
      </w:r>
      <w:r w:rsidR="000A7AAB">
        <w:t>autres,</w:t>
      </w:r>
      <w:r w:rsidR="000A7AAB" w:rsidRPr="002C4077">
        <w:t xml:space="preserve"> </w:t>
      </w:r>
      <w:r w:rsidR="000A7AAB">
        <w:t>on</w:t>
      </w:r>
      <w:r w:rsidR="000A7AAB" w:rsidRPr="002C4077">
        <w:t xml:space="preserve"> </w:t>
      </w:r>
      <w:r w:rsidR="000A7AAB">
        <w:t>se</w:t>
      </w:r>
      <w:r w:rsidR="000A7AAB" w:rsidRPr="002C4077">
        <w:t xml:space="preserve"> </w:t>
      </w:r>
      <w:r w:rsidR="000A7AAB">
        <w:t>les</w:t>
      </w:r>
      <w:r w:rsidR="000A7AAB" w:rsidRPr="002C4077">
        <w:t xml:space="preserve"> </w:t>
      </w:r>
      <w:r w:rsidR="000A7AAB">
        <w:t>dispute</w:t>
      </w:r>
      <w:r w:rsidR="000A7AAB" w:rsidRPr="002C4077">
        <w:t xml:space="preserve"> </w:t>
      </w:r>
      <w:r w:rsidR="000A7AAB">
        <w:t>amicalement,</w:t>
      </w:r>
      <w:r w:rsidR="000A7AAB" w:rsidRPr="002C4077">
        <w:t xml:space="preserve"> </w:t>
      </w:r>
      <w:r w:rsidR="000A7AAB">
        <w:t>et</w:t>
      </w:r>
      <w:r w:rsidR="000A7AAB" w:rsidRPr="002C4077">
        <w:t xml:space="preserve"> </w:t>
      </w:r>
      <w:r w:rsidR="000A7AAB">
        <w:t>chacun</w:t>
      </w:r>
      <w:r w:rsidR="000A7AAB" w:rsidRPr="002C4077">
        <w:t xml:space="preserve"> </w:t>
      </w:r>
      <w:r w:rsidR="000A7AAB">
        <w:t>ambitionne</w:t>
      </w:r>
      <w:r w:rsidR="000A7AAB" w:rsidRPr="002C4077">
        <w:t xml:space="preserve"> </w:t>
      </w:r>
      <w:r w:rsidR="000A7AAB">
        <w:t>le</w:t>
      </w:r>
      <w:r w:rsidR="000A7AAB" w:rsidRPr="002C4077">
        <w:t xml:space="preserve"> </w:t>
      </w:r>
      <w:r w:rsidR="000A7AAB">
        <w:t>bonheur</w:t>
      </w:r>
      <w:r w:rsidR="000A7AAB" w:rsidRPr="002C4077">
        <w:t xml:space="preserve"> </w:t>
      </w:r>
      <w:r w:rsidR="000A7AAB">
        <w:t>de</w:t>
      </w:r>
      <w:r w:rsidR="000A7AAB" w:rsidRPr="002C4077">
        <w:t xml:space="preserve"> </w:t>
      </w:r>
      <w:r w:rsidR="000A7AAB">
        <w:t>pouvoir</w:t>
      </w:r>
      <w:bookmarkStart w:id="642" w:name="z_TravailManuel_o13"/>
      <w:bookmarkEnd w:id="642"/>
      <w:r w:rsidR="000A7AAB" w:rsidRPr="002C4077">
        <w:t xml:space="preserve"> </w:t>
      </w:r>
      <w:r w:rsidR="000A7AAB">
        <w:t>leur</w:t>
      </w:r>
      <w:bookmarkStart w:id="643" w:name="z_Biccourim_o2"/>
      <w:bookmarkEnd w:id="643"/>
      <w:r w:rsidR="000A7AAB" w:rsidRPr="002C4077">
        <w:t xml:space="preserve"> </w:t>
      </w:r>
      <w:r w:rsidR="000A7AAB">
        <w:t>offrir</w:t>
      </w:r>
      <w:bookmarkStart w:id="644" w:name="z_Artisans_o2"/>
      <w:bookmarkEnd w:id="644"/>
      <w:r w:rsidR="000A7AAB" w:rsidRPr="002C4077">
        <w:t xml:space="preserve"> </w:t>
      </w:r>
      <w:r w:rsidR="000A7AAB">
        <w:t>l’hospitalité</w:t>
      </w:r>
      <w:r>
        <w:t> »</w:t>
      </w:r>
      <w:r w:rsidR="000A7AAB">
        <w:t>.</w:t>
      </w:r>
      <w:r w:rsidR="00C45B47">
        <w:t xml:space="preserve"> {</w:t>
      </w:r>
      <w:r w:rsidR="001F5257">
        <w:t>267</w:t>
      </w:r>
      <w:bookmarkStart w:id="645" w:name="p267"/>
      <w:bookmarkEnd w:id="645"/>
      <w:r w:rsidR="001F5257">
        <w:t xml:space="preserve">} </w:t>
      </w:r>
    </w:p>
    <w:p w:rsidR="000A7AAB" w:rsidRDefault="000A7AAB" w:rsidP="00D67FA8">
      <w:pPr>
        <w:pStyle w:val="Titre1"/>
      </w:pPr>
      <w:bookmarkStart w:id="646" w:name="_Toc43882021"/>
      <w:r>
        <w:t>IX.</w:t>
      </w:r>
      <w:r w:rsidR="002A6EDB">
        <w:br/>
      </w:r>
      <w:r>
        <w:t>LE</w:t>
      </w:r>
      <w:r w:rsidRPr="002C4077">
        <w:t xml:space="preserve"> </w:t>
      </w:r>
      <w:r>
        <w:t>CATÉCHISME</w:t>
      </w:r>
      <w:r w:rsidRPr="002C4077">
        <w:t xml:space="preserve"> </w:t>
      </w:r>
      <w:r>
        <w:t>ISRAÉLITE.</w:t>
      </w:r>
      <w:bookmarkStart w:id="647" w:name="a09"/>
      <w:bookmarkEnd w:id="646"/>
      <w:bookmarkEnd w:id="647"/>
      <w:r w:rsidRPr="002C4077">
        <w:t xml:space="preserve"> </w:t>
      </w:r>
    </w:p>
    <w:p w:rsidR="000A7AAB" w:rsidRDefault="000A7AAB" w:rsidP="000A7AAB">
      <w:r>
        <w:t>Il</w:t>
      </w:r>
      <w:bookmarkStart w:id="648" w:name="z_CateIsraelite_o1"/>
      <w:bookmarkEnd w:id="648"/>
      <w:r w:rsidRPr="002C4077">
        <w:t xml:space="preserve"> </w:t>
      </w:r>
      <w:r>
        <w:t>n’y</w:t>
      </w:r>
      <w:r w:rsidRPr="002C4077">
        <w:t xml:space="preserve"> </w:t>
      </w:r>
      <w:r>
        <w:t>a</w:t>
      </w:r>
      <w:r w:rsidRPr="002C4077">
        <w:t xml:space="preserve"> </w:t>
      </w:r>
      <w:r>
        <w:t>pas</w:t>
      </w:r>
      <w:r w:rsidRPr="002C4077">
        <w:t xml:space="preserve"> </w:t>
      </w:r>
      <w:r>
        <w:t>bien</w:t>
      </w:r>
      <w:r w:rsidRPr="002C4077">
        <w:t xml:space="preserve"> </w:t>
      </w:r>
      <w:r>
        <w:t>longtemps</w:t>
      </w:r>
      <w:r w:rsidRPr="002C4077">
        <w:t xml:space="preserve"> </w:t>
      </w:r>
      <w:r>
        <w:t>de</w:t>
      </w:r>
      <w:r w:rsidRPr="002C4077">
        <w:t xml:space="preserve"> </w:t>
      </w:r>
      <w:r>
        <w:t>cela,</w:t>
      </w:r>
      <w:r w:rsidRPr="002C4077">
        <w:t xml:space="preserve"> </w:t>
      </w:r>
      <w:r>
        <w:t>en</w:t>
      </w:r>
      <w:r w:rsidRPr="002C4077">
        <w:t xml:space="preserve"> </w:t>
      </w:r>
      <w:r>
        <w:t>plein</w:t>
      </w:r>
      <w:r w:rsidRPr="002C4077">
        <w:t xml:space="preserve"> </w:t>
      </w:r>
      <w:r>
        <w:t>Paris,</w:t>
      </w:r>
      <w:r w:rsidRPr="002C4077">
        <w:t xml:space="preserve"> </w:t>
      </w:r>
      <w:r>
        <w:t>un</w:t>
      </w:r>
      <w:r w:rsidRPr="002C4077">
        <w:t xml:space="preserve"> </w:t>
      </w:r>
      <w:r>
        <w:t>malheureux</w:t>
      </w:r>
      <w:r w:rsidRPr="002C4077">
        <w:t xml:space="preserve"> </w:t>
      </w:r>
      <w:r>
        <w:t>enfant</w:t>
      </w:r>
      <w:r w:rsidRPr="002C4077">
        <w:t xml:space="preserve"> </w:t>
      </w:r>
      <w:r>
        <w:t>catholique</w:t>
      </w:r>
      <w:r w:rsidRPr="002C4077">
        <w:t xml:space="preserve"> </w:t>
      </w:r>
      <w:r>
        <w:t>voulait</w:t>
      </w:r>
      <w:r w:rsidRPr="002C4077">
        <w:t xml:space="preserve"> </w:t>
      </w:r>
      <w:r>
        <w:t>se</w:t>
      </w:r>
      <w:r w:rsidRPr="002C4077">
        <w:t xml:space="preserve"> </w:t>
      </w:r>
      <w:r>
        <w:t>débarrasser</w:t>
      </w:r>
      <w:r w:rsidRPr="002C4077">
        <w:t xml:space="preserve"> </w:t>
      </w:r>
      <w:r>
        <w:t>de</w:t>
      </w:r>
      <w:r w:rsidRPr="002C4077">
        <w:t xml:space="preserve"> </w:t>
      </w:r>
      <w:r>
        <w:t>son</w:t>
      </w:r>
      <w:r w:rsidRPr="002C4077">
        <w:t xml:space="preserve"> </w:t>
      </w:r>
      <w:r>
        <w:t>catéchisme</w:t>
      </w:r>
      <w:r w:rsidRPr="002C4077">
        <w:t xml:space="preserve"> </w:t>
      </w:r>
      <w:r>
        <w:t>en</w:t>
      </w:r>
      <w:r w:rsidRPr="002C4077">
        <w:t xml:space="preserve"> </w:t>
      </w:r>
      <w:r>
        <w:t>le</w:t>
      </w:r>
      <w:r w:rsidRPr="002C4077">
        <w:t xml:space="preserve"> </w:t>
      </w:r>
      <w:r>
        <w:t>jetant</w:t>
      </w:r>
      <w:r w:rsidRPr="002C4077">
        <w:t xml:space="preserve"> </w:t>
      </w:r>
      <w:r>
        <w:t>dans</w:t>
      </w:r>
      <w:r w:rsidRPr="002C4077">
        <w:t xml:space="preserve"> </w:t>
      </w:r>
      <w:r>
        <w:t>un</w:t>
      </w:r>
      <w:r w:rsidRPr="002C4077">
        <w:t xml:space="preserve"> </w:t>
      </w:r>
      <w:r>
        <w:t>fossé.</w:t>
      </w:r>
      <w:r w:rsidRPr="002C4077">
        <w:t xml:space="preserve"> </w:t>
      </w:r>
      <w:r>
        <w:t>La</w:t>
      </w:r>
      <w:r w:rsidRPr="002C4077">
        <w:t xml:space="preserve"> </w:t>
      </w:r>
      <w:r>
        <w:t>Providence</w:t>
      </w:r>
      <w:r w:rsidRPr="002C4077">
        <w:t xml:space="preserve"> </w:t>
      </w:r>
      <w:r>
        <w:t>permit</w:t>
      </w:r>
      <w:r w:rsidRPr="002C4077">
        <w:t xml:space="preserve"> </w:t>
      </w:r>
      <w:r>
        <w:t>qu’un</w:t>
      </w:r>
      <w:r w:rsidRPr="002C4077">
        <w:t xml:space="preserve"> </w:t>
      </w:r>
      <w:r>
        <w:t>autre</w:t>
      </w:r>
      <w:r w:rsidRPr="002C4077">
        <w:t xml:space="preserve"> </w:t>
      </w:r>
      <w:r>
        <w:t>enfant,</w:t>
      </w:r>
      <w:r w:rsidRPr="002C4077">
        <w:t xml:space="preserve"> </w:t>
      </w:r>
      <w:r>
        <w:t>qui</w:t>
      </w:r>
      <w:r w:rsidRPr="002C4077">
        <w:t xml:space="preserve"> </w:t>
      </w:r>
      <w:r>
        <w:t>se</w:t>
      </w:r>
      <w:r w:rsidRPr="002C4077">
        <w:t xml:space="preserve"> </w:t>
      </w:r>
      <w:r>
        <w:t>trouvait</w:t>
      </w:r>
      <w:r w:rsidRPr="002C4077">
        <w:t xml:space="preserve"> </w:t>
      </w:r>
      <w:r>
        <w:t>alors</w:t>
      </w:r>
      <w:r w:rsidRPr="002C4077">
        <w:t xml:space="preserve"> </w:t>
      </w:r>
      <w:r>
        <w:t>avec</w:t>
      </w:r>
      <w:r w:rsidRPr="002C4077">
        <w:t xml:space="preserve"> </w:t>
      </w:r>
      <w:r>
        <w:t>lui,</w:t>
      </w:r>
      <w:r w:rsidRPr="002C4077">
        <w:t xml:space="preserve"> </w:t>
      </w:r>
      <w:r>
        <w:t>l’en</w:t>
      </w:r>
      <w:r w:rsidRPr="002C4077">
        <w:t xml:space="preserve"> </w:t>
      </w:r>
      <w:r>
        <w:t>dissuadât,</w:t>
      </w:r>
      <w:r w:rsidRPr="002C4077">
        <w:t xml:space="preserve"> </w:t>
      </w:r>
      <w:r>
        <w:t>lui</w:t>
      </w:r>
      <w:r w:rsidRPr="002C4077">
        <w:t xml:space="preserve"> </w:t>
      </w:r>
      <w:r>
        <w:t>prît</w:t>
      </w:r>
      <w:r w:rsidRPr="002C4077">
        <w:t xml:space="preserve"> </w:t>
      </w:r>
      <w:r>
        <w:t>son</w:t>
      </w:r>
      <w:r w:rsidRPr="002C4077">
        <w:t xml:space="preserve"> </w:t>
      </w:r>
      <w:r>
        <w:t>livre</w:t>
      </w:r>
      <w:r w:rsidRPr="002C4077">
        <w:t xml:space="preserve"> </w:t>
      </w:r>
      <w:r>
        <w:t>et</w:t>
      </w:r>
      <w:r w:rsidRPr="002C4077">
        <w:t xml:space="preserve"> </w:t>
      </w:r>
      <w:r>
        <w:t>le</w:t>
      </w:r>
      <w:r w:rsidRPr="002C4077">
        <w:t xml:space="preserve"> </w:t>
      </w:r>
      <w:r>
        <w:t>portât</w:t>
      </w:r>
      <w:r w:rsidRPr="002C4077">
        <w:t xml:space="preserve"> </w:t>
      </w:r>
      <w:r>
        <w:t>à</w:t>
      </w:r>
      <w:r w:rsidRPr="002C4077">
        <w:t xml:space="preserve"> </w:t>
      </w:r>
      <w:r>
        <w:t>sa</w:t>
      </w:r>
      <w:r w:rsidRPr="002C4077">
        <w:t xml:space="preserve"> </w:t>
      </w:r>
      <w:r>
        <w:t>mère.</w:t>
      </w:r>
      <w:r w:rsidRPr="002C4077">
        <w:t xml:space="preserve"> </w:t>
      </w:r>
      <w:r>
        <w:t>Ni</w:t>
      </w:r>
      <w:r w:rsidRPr="002C4077">
        <w:t xml:space="preserve"> </w:t>
      </w:r>
      <w:r>
        <w:t>la</w:t>
      </w:r>
      <w:r w:rsidRPr="002C4077">
        <w:t xml:space="preserve"> </w:t>
      </w:r>
      <w:r>
        <w:t>mère</w:t>
      </w:r>
      <w:r w:rsidRPr="002C4077">
        <w:t xml:space="preserve"> </w:t>
      </w:r>
      <w:r>
        <w:t>ni</w:t>
      </w:r>
      <w:r w:rsidRPr="002C4077">
        <w:t xml:space="preserve"> </w:t>
      </w:r>
      <w:r>
        <w:t>son</w:t>
      </w:r>
      <w:r w:rsidRPr="002C4077">
        <w:t xml:space="preserve"> </w:t>
      </w:r>
      <w:r>
        <w:t>fils</w:t>
      </w:r>
      <w:r w:rsidRPr="002C4077">
        <w:t xml:space="preserve"> </w:t>
      </w:r>
      <w:r>
        <w:t>n’étaient</w:t>
      </w:r>
      <w:r w:rsidRPr="002C4077">
        <w:t xml:space="preserve"> </w:t>
      </w:r>
      <w:r>
        <w:t>chrétiens</w:t>
      </w:r>
      <w:r w:rsidR="00B546AF">
        <w:t> ;</w:t>
      </w:r>
      <w:r w:rsidRPr="002C4077">
        <w:t xml:space="preserve"> </w:t>
      </w:r>
      <w:r>
        <w:t>ils</w:t>
      </w:r>
      <w:r w:rsidRPr="002C4077">
        <w:t xml:space="preserve"> </w:t>
      </w:r>
      <w:r>
        <w:t>appartenaient</w:t>
      </w:r>
      <w:r w:rsidRPr="002C4077">
        <w:t xml:space="preserve"> </w:t>
      </w:r>
      <w:r>
        <w:t>au</w:t>
      </w:r>
      <w:r w:rsidRPr="002C4077">
        <w:t xml:space="preserve"> </w:t>
      </w:r>
      <w:r>
        <w:t>judaïsme.</w:t>
      </w:r>
      <w:r w:rsidRPr="002C4077">
        <w:t xml:space="preserve"> </w:t>
      </w:r>
      <w:r>
        <w:t>Ensemble</w:t>
      </w:r>
      <w:r w:rsidRPr="002C4077">
        <w:t xml:space="preserve"> </w:t>
      </w:r>
      <w:r>
        <w:t>néanmoins</w:t>
      </w:r>
      <w:r w:rsidRPr="002C4077">
        <w:t xml:space="preserve"> </w:t>
      </w:r>
      <w:r>
        <w:t>ils</w:t>
      </w:r>
      <w:r w:rsidRPr="002C4077">
        <w:t xml:space="preserve"> </w:t>
      </w:r>
      <w:r>
        <w:t>ouvrent</w:t>
      </w:r>
      <w:r w:rsidRPr="002C4077">
        <w:t xml:space="preserve"> </w:t>
      </w:r>
      <w:r>
        <w:t>le</w:t>
      </w:r>
      <w:r w:rsidRPr="002C4077">
        <w:t xml:space="preserve"> </w:t>
      </w:r>
      <w:r>
        <w:t>catéchisme</w:t>
      </w:r>
      <w:r w:rsidRPr="002C4077">
        <w:t xml:space="preserve"> </w:t>
      </w:r>
      <w:r>
        <w:t>catholique,</w:t>
      </w:r>
      <w:r w:rsidRPr="002C4077">
        <w:t xml:space="preserve"> </w:t>
      </w:r>
      <w:r>
        <w:t>le</w:t>
      </w:r>
      <w:r w:rsidRPr="002C4077">
        <w:t xml:space="preserve"> </w:t>
      </w:r>
      <w:r>
        <w:t>parcourent</w:t>
      </w:r>
      <w:r w:rsidRPr="002C4077">
        <w:t xml:space="preserve"> </w:t>
      </w:r>
      <w:r>
        <w:t>rapidement</w:t>
      </w:r>
      <w:r w:rsidR="00B546AF">
        <w:t> ;</w:t>
      </w:r>
      <w:r w:rsidRPr="002C4077">
        <w:t xml:space="preserve"> </w:t>
      </w:r>
      <w:r>
        <w:t>puis,</w:t>
      </w:r>
      <w:r w:rsidRPr="002C4077">
        <w:t xml:space="preserve"> </w:t>
      </w:r>
      <w:r>
        <w:t>frappés</w:t>
      </w:r>
      <w:r w:rsidRPr="002C4077">
        <w:t xml:space="preserve"> </w:t>
      </w:r>
      <w:r>
        <w:t>des</w:t>
      </w:r>
      <w:r w:rsidRPr="002C4077">
        <w:t xml:space="preserve"> </w:t>
      </w:r>
      <w:r>
        <w:t>merveilles</w:t>
      </w:r>
      <w:r w:rsidRPr="002C4077">
        <w:t xml:space="preserve"> </w:t>
      </w:r>
      <w:r>
        <w:t>qu’ils</w:t>
      </w:r>
      <w:r w:rsidRPr="002C4077">
        <w:t xml:space="preserve"> </w:t>
      </w:r>
      <w:r>
        <w:t>y</w:t>
      </w:r>
      <w:r w:rsidRPr="002C4077">
        <w:t xml:space="preserve"> </w:t>
      </w:r>
      <w:r>
        <w:t>rencontrent,</w:t>
      </w:r>
      <w:r w:rsidRPr="002C4077">
        <w:t xml:space="preserve"> </w:t>
      </w:r>
      <w:r>
        <w:t>ils</w:t>
      </w:r>
      <w:r w:rsidRPr="002C4077">
        <w:t xml:space="preserve"> </w:t>
      </w:r>
      <w:r>
        <w:t>le</w:t>
      </w:r>
      <w:r w:rsidRPr="002C4077">
        <w:t xml:space="preserve"> </w:t>
      </w:r>
      <w:r>
        <w:t>relisent</w:t>
      </w:r>
      <w:r w:rsidRPr="002C4077">
        <w:t xml:space="preserve"> </w:t>
      </w:r>
      <w:r>
        <w:t>avec</w:t>
      </w:r>
      <w:r w:rsidRPr="002C4077">
        <w:t xml:space="preserve"> </w:t>
      </w:r>
      <w:r>
        <w:t>plus</w:t>
      </w:r>
      <w:r w:rsidRPr="002C4077">
        <w:t xml:space="preserve"> </w:t>
      </w:r>
      <w:r>
        <w:t>d’attention.</w:t>
      </w:r>
      <w:r w:rsidRPr="002C4077">
        <w:t xml:space="preserve"> </w:t>
      </w:r>
      <w:r>
        <w:t>Bientôt</w:t>
      </w:r>
      <w:r w:rsidRPr="002C4077">
        <w:t xml:space="preserve"> </w:t>
      </w:r>
      <w:r>
        <w:t>ils</w:t>
      </w:r>
      <w:r w:rsidRPr="002C4077">
        <w:t xml:space="preserve"> </w:t>
      </w:r>
      <w:r>
        <w:t>demandaient</w:t>
      </w:r>
      <w:r w:rsidRPr="002C4077">
        <w:t xml:space="preserve"> </w:t>
      </w:r>
      <w:r>
        <w:t>le</w:t>
      </w:r>
      <w:r w:rsidRPr="002C4077">
        <w:t xml:space="preserve"> </w:t>
      </w:r>
      <w:r>
        <w:t>baptême</w:t>
      </w:r>
      <w:r w:rsidR="00B546AF">
        <w:t> ;</w:t>
      </w:r>
      <w:r w:rsidRPr="002C4077">
        <w:t xml:space="preserve"> </w:t>
      </w:r>
      <w:r>
        <w:t>la</w:t>
      </w:r>
      <w:r w:rsidRPr="002C4077">
        <w:t xml:space="preserve"> </w:t>
      </w:r>
      <w:r>
        <w:t>lecture</w:t>
      </w:r>
      <w:r w:rsidRPr="002C4077">
        <w:t xml:space="preserve"> </w:t>
      </w:r>
      <w:r>
        <w:t>du</w:t>
      </w:r>
      <w:r w:rsidRPr="002C4077">
        <w:t xml:space="preserve"> </w:t>
      </w:r>
      <w:r>
        <w:t>catéchisme</w:t>
      </w:r>
      <w:r w:rsidRPr="002C4077">
        <w:t xml:space="preserve"> </w:t>
      </w:r>
      <w:r>
        <w:t>avait</w:t>
      </w:r>
      <w:r w:rsidRPr="002C4077">
        <w:t xml:space="preserve"> </w:t>
      </w:r>
      <w:r>
        <w:t>opéré,</w:t>
      </w:r>
      <w:r w:rsidRPr="002C4077">
        <w:t xml:space="preserve"> </w:t>
      </w:r>
      <w:r>
        <w:t>la</w:t>
      </w:r>
      <w:r w:rsidRPr="002C4077">
        <w:t xml:space="preserve"> </w:t>
      </w:r>
      <w:r>
        <w:t>grâce</w:t>
      </w:r>
      <w:r w:rsidRPr="002C4077">
        <w:t xml:space="preserve"> </w:t>
      </w:r>
      <w:r>
        <w:t>divine</w:t>
      </w:r>
      <w:r w:rsidRPr="002C4077">
        <w:t xml:space="preserve"> </w:t>
      </w:r>
      <w:r>
        <w:t>aidant,</w:t>
      </w:r>
      <w:r w:rsidRPr="002C4077">
        <w:t xml:space="preserve"> </w:t>
      </w:r>
      <w:r>
        <w:t>cette</w:t>
      </w:r>
      <w:r w:rsidRPr="002C4077">
        <w:t xml:space="preserve"> </w:t>
      </w:r>
      <w:r>
        <w:t>double</w:t>
      </w:r>
      <w:r w:rsidRPr="002C4077">
        <w:t xml:space="preserve"> </w:t>
      </w:r>
      <w:r>
        <w:t>conversion</w:t>
      </w:r>
      <w:r w:rsidR="00B91AF7">
        <w:rPr>
          <w:rStyle w:val="Appelnotedebasdep"/>
        </w:rPr>
        <w:footnoteReference w:id="834"/>
      </w:r>
      <w:r>
        <w:t>.</w:t>
      </w:r>
      <w:r w:rsidRPr="002C4077">
        <w:t xml:space="preserve"> </w:t>
      </w:r>
    </w:p>
    <w:p w:rsidR="000A7AAB" w:rsidRDefault="000A7AAB" w:rsidP="000A7AAB">
      <w:r>
        <w:t>Quand</w:t>
      </w:r>
      <w:r w:rsidRPr="002C4077">
        <w:t xml:space="preserve"> </w:t>
      </w:r>
      <w:r>
        <w:t>ce</w:t>
      </w:r>
      <w:r w:rsidRPr="002C4077">
        <w:t xml:space="preserve"> </w:t>
      </w:r>
      <w:r>
        <w:t>trait</w:t>
      </w:r>
      <w:r w:rsidRPr="002C4077">
        <w:t xml:space="preserve"> </w:t>
      </w:r>
      <w:r>
        <w:t>touchant</w:t>
      </w:r>
      <w:r w:rsidRPr="002C4077">
        <w:t xml:space="preserve"> </w:t>
      </w:r>
      <w:r>
        <w:t>me</w:t>
      </w:r>
      <w:r w:rsidRPr="002C4077">
        <w:t xml:space="preserve"> </w:t>
      </w:r>
      <w:r>
        <w:t>fut</w:t>
      </w:r>
      <w:r w:rsidRPr="002C4077">
        <w:t xml:space="preserve"> </w:t>
      </w:r>
      <w:r>
        <w:t>raconté,</w:t>
      </w:r>
      <w:r w:rsidRPr="002C4077">
        <w:t xml:space="preserve"> </w:t>
      </w:r>
      <w:r>
        <w:t>je</w:t>
      </w:r>
      <w:r w:rsidRPr="002C4077">
        <w:t xml:space="preserve"> </w:t>
      </w:r>
      <w:r>
        <w:t>possédais</w:t>
      </w:r>
      <w:r w:rsidRPr="002C4077">
        <w:t xml:space="preserve"> </w:t>
      </w:r>
      <w:r>
        <w:t>depuis</w:t>
      </w:r>
      <w:r w:rsidRPr="002C4077">
        <w:t xml:space="preserve"> </w:t>
      </w:r>
      <w:r>
        <w:t>quelques</w:t>
      </w:r>
      <w:r w:rsidRPr="002C4077">
        <w:t xml:space="preserve"> </w:t>
      </w:r>
      <w:r>
        <w:t>jours</w:t>
      </w:r>
      <w:r w:rsidRPr="002C4077">
        <w:t xml:space="preserve"> </w:t>
      </w:r>
      <w:r>
        <w:t>un</w:t>
      </w:r>
      <w:r w:rsidRPr="002C4077">
        <w:t xml:space="preserve"> </w:t>
      </w:r>
      <w:r>
        <w:t>exemplaire</w:t>
      </w:r>
      <w:r w:rsidRPr="002C4077">
        <w:t xml:space="preserve"> </w:t>
      </w:r>
      <w:r>
        <w:t>du</w:t>
      </w:r>
      <w:r w:rsidRPr="002C4077">
        <w:t xml:space="preserve"> </w:t>
      </w:r>
      <w:r>
        <w:t>catéchisme</w:t>
      </w:r>
      <w:r w:rsidRPr="002C4077">
        <w:t xml:space="preserve"> </w:t>
      </w:r>
      <w:r>
        <w:t>i</w:t>
      </w:r>
      <w:r w:rsidR="001730C6">
        <w:t>sr</w:t>
      </w:r>
      <w:r>
        <w:t>aélite</w:t>
      </w:r>
      <w:r w:rsidR="00B91AF7">
        <w:rPr>
          <w:rStyle w:val="Appelnotedebasdep"/>
        </w:rPr>
        <w:footnoteReference w:id="835"/>
      </w:r>
      <w:r>
        <w:t>.</w:t>
      </w:r>
      <w:r w:rsidRPr="002C4077">
        <w:t xml:space="preserve"> </w:t>
      </w:r>
      <w:r>
        <w:t>Je</w:t>
      </w:r>
      <w:r w:rsidRPr="002C4077">
        <w:t xml:space="preserve"> </w:t>
      </w:r>
      <w:r>
        <w:t>me</w:t>
      </w:r>
      <w:r w:rsidRPr="002C4077">
        <w:t xml:space="preserve"> </w:t>
      </w:r>
      <w:r>
        <w:t>mis</w:t>
      </w:r>
      <w:r w:rsidRPr="002C4077">
        <w:t xml:space="preserve"> </w:t>
      </w:r>
      <w:r>
        <w:t>à</w:t>
      </w:r>
      <w:r w:rsidRPr="002C4077">
        <w:t xml:space="preserve"> </w:t>
      </w:r>
      <w:r>
        <w:t>le</w:t>
      </w:r>
      <w:r w:rsidRPr="002C4077">
        <w:t xml:space="preserve"> </w:t>
      </w:r>
      <w:r>
        <w:t>parcourir</w:t>
      </w:r>
      <w:r w:rsidRPr="002C4077">
        <w:t xml:space="preserve"> </w:t>
      </w:r>
      <w:r>
        <w:t>de</w:t>
      </w:r>
      <w:r w:rsidRPr="002C4077">
        <w:t xml:space="preserve"> </w:t>
      </w:r>
      <w:r>
        <w:t>nouveau.</w:t>
      </w:r>
      <w:r w:rsidR="00C45B47">
        <w:t xml:space="preserve"> {</w:t>
      </w:r>
      <w:r w:rsidR="001F5257">
        <w:t>268</w:t>
      </w:r>
      <w:bookmarkStart w:id="649" w:name="p268"/>
      <w:bookmarkEnd w:id="649"/>
      <w:r w:rsidR="001F5257">
        <w:t xml:space="preserve">} </w:t>
      </w:r>
      <w:r>
        <w:t>Il</w:t>
      </w:r>
      <w:r w:rsidRPr="002C4077">
        <w:t xml:space="preserve"> </w:t>
      </w:r>
      <w:r>
        <w:t>n’y</w:t>
      </w:r>
      <w:r w:rsidRPr="002C4077">
        <w:t xml:space="preserve"> </w:t>
      </w:r>
      <w:r>
        <w:t>a</w:t>
      </w:r>
      <w:r w:rsidRPr="002C4077">
        <w:t xml:space="preserve"> </w:t>
      </w:r>
      <w:r>
        <w:t>aucun</w:t>
      </w:r>
      <w:r w:rsidRPr="002C4077">
        <w:t xml:space="preserve"> </w:t>
      </w:r>
      <w:r>
        <w:t>danger,</w:t>
      </w:r>
      <w:r w:rsidRPr="002C4077">
        <w:t xml:space="preserve"> </w:t>
      </w:r>
      <w:r>
        <w:t>m’écriai-je</w:t>
      </w:r>
      <w:r w:rsidRPr="002C4077">
        <w:t xml:space="preserve"> </w:t>
      </w:r>
      <w:r>
        <w:t>en</w:t>
      </w:r>
      <w:r w:rsidRPr="002C4077">
        <w:t xml:space="preserve"> </w:t>
      </w:r>
      <w:r>
        <w:t>le</w:t>
      </w:r>
      <w:r w:rsidRPr="002C4077">
        <w:t xml:space="preserve"> </w:t>
      </w:r>
      <w:r>
        <w:t>fermant,</w:t>
      </w:r>
      <w:r w:rsidRPr="002C4077">
        <w:t xml:space="preserve"> </w:t>
      </w:r>
      <w:r>
        <w:t>qu’un</w:t>
      </w:r>
      <w:r w:rsidRPr="002C4077">
        <w:t xml:space="preserve"> </w:t>
      </w:r>
      <w:r>
        <w:t>pareil</w:t>
      </w:r>
      <w:r w:rsidRPr="002C4077">
        <w:t xml:space="preserve"> </w:t>
      </w:r>
      <w:r>
        <w:t>livre</w:t>
      </w:r>
      <w:r w:rsidRPr="002C4077">
        <w:t xml:space="preserve"> </w:t>
      </w:r>
      <w:r>
        <w:t>induise</w:t>
      </w:r>
      <w:r w:rsidRPr="002C4077">
        <w:t xml:space="preserve"> </w:t>
      </w:r>
      <w:r>
        <w:t>en</w:t>
      </w:r>
      <w:r w:rsidRPr="002C4077">
        <w:t xml:space="preserve"> </w:t>
      </w:r>
      <w:r>
        <w:t>tentation</w:t>
      </w:r>
      <w:r w:rsidRPr="002C4077">
        <w:t xml:space="preserve"> </w:t>
      </w:r>
      <w:r>
        <w:t>d’apostasie</w:t>
      </w:r>
      <w:r w:rsidRPr="002C4077">
        <w:t xml:space="preserve"> </w:t>
      </w:r>
      <w:r>
        <w:t>le</w:t>
      </w:r>
      <w:r w:rsidRPr="002C4077">
        <w:t xml:space="preserve"> </w:t>
      </w:r>
      <w:r>
        <w:t>catholique</w:t>
      </w:r>
      <w:r w:rsidRPr="002C4077">
        <w:t xml:space="preserve"> </w:t>
      </w:r>
      <w:r>
        <w:t>même</w:t>
      </w:r>
      <w:r w:rsidRPr="002C4077">
        <w:t xml:space="preserve"> </w:t>
      </w:r>
      <w:r>
        <w:t>le</w:t>
      </w:r>
      <w:r w:rsidRPr="002C4077">
        <w:t xml:space="preserve"> </w:t>
      </w:r>
      <w:r>
        <w:t>moins</w:t>
      </w:r>
      <w:r w:rsidRPr="002C4077">
        <w:t xml:space="preserve"> </w:t>
      </w:r>
      <w:r>
        <w:t>instruit</w:t>
      </w:r>
      <w:r w:rsidR="00B546AF">
        <w:t> !</w:t>
      </w:r>
      <w:r w:rsidRPr="002C4077">
        <w:t xml:space="preserve"> </w:t>
      </w:r>
    </w:p>
    <w:p w:rsidR="000A7AAB" w:rsidRDefault="000A7AAB" w:rsidP="000A7AAB">
      <w:r>
        <w:t>C’est</w:t>
      </w:r>
      <w:r w:rsidRPr="002C4077">
        <w:t xml:space="preserve"> </w:t>
      </w:r>
      <w:r>
        <w:t>un</w:t>
      </w:r>
      <w:r w:rsidRPr="002C4077">
        <w:t xml:space="preserve"> </w:t>
      </w:r>
      <w:r>
        <w:t>tout</w:t>
      </w:r>
      <w:r w:rsidRPr="002C4077">
        <w:t xml:space="preserve"> </w:t>
      </w:r>
      <w:r>
        <w:t>petit</w:t>
      </w:r>
      <w:r w:rsidRPr="002C4077">
        <w:t xml:space="preserve"> </w:t>
      </w:r>
      <w:r>
        <w:t>volume</w:t>
      </w:r>
      <w:r w:rsidRPr="002C4077">
        <w:t xml:space="preserve"> </w:t>
      </w:r>
      <w:r>
        <w:t>de</w:t>
      </w:r>
      <w:r w:rsidRPr="002C4077">
        <w:t xml:space="preserve"> </w:t>
      </w:r>
      <w:r>
        <w:t>format</w:t>
      </w:r>
      <w:r w:rsidRPr="002C4077">
        <w:t xml:space="preserve"> </w:t>
      </w:r>
      <w:r>
        <w:t>in-24,</w:t>
      </w:r>
      <w:r w:rsidRPr="002C4077">
        <w:t xml:space="preserve"> </w:t>
      </w:r>
      <w:r>
        <w:t>qui,</w:t>
      </w:r>
      <w:r w:rsidRPr="002C4077">
        <w:t xml:space="preserve"> </w:t>
      </w:r>
      <w:r>
        <w:t>malgré</w:t>
      </w:r>
      <w:r w:rsidRPr="002C4077">
        <w:t xml:space="preserve"> </w:t>
      </w:r>
      <w:r>
        <w:t>le</w:t>
      </w:r>
      <w:r w:rsidRPr="002C4077">
        <w:t xml:space="preserve"> </w:t>
      </w:r>
      <w:r>
        <w:t>soin</w:t>
      </w:r>
      <w:r w:rsidRPr="002C4077">
        <w:t xml:space="preserve"> </w:t>
      </w:r>
      <w:r>
        <w:t>qu’on</w:t>
      </w:r>
      <w:r w:rsidRPr="002C4077">
        <w:t xml:space="preserve"> </w:t>
      </w:r>
      <w:r>
        <w:t>a</w:t>
      </w:r>
      <w:r w:rsidRPr="002C4077">
        <w:t xml:space="preserve"> </w:t>
      </w:r>
      <w:r>
        <w:t>pris</w:t>
      </w:r>
      <w:r w:rsidRPr="002C4077">
        <w:t xml:space="preserve"> </w:t>
      </w:r>
      <w:r>
        <w:t>de</w:t>
      </w:r>
      <w:r w:rsidRPr="002C4077">
        <w:t xml:space="preserve"> </w:t>
      </w:r>
      <w:r>
        <w:t>faire</w:t>
      </w:r>
      <w:r w:rsidRPr="002C4077">
        <w:t xml:space="preserve"> </w:t>
      </w:r>
      <w:r>
        <w:t>entrer</w:t>
      </w:r>
      <w:r w:rsidRPr="002C4077">
        <w:t xml:space="preserve"> </w:t>
      </w:r>
      <w:r>
        <w:t>dans</w:t>
      </w:r>
      <w:r w:rsidRPr="002C4077">
        <w:t xml:space="preserve"> </w:t>
      </w:r>
      <w:r>
        <w:t>la</w:t>
      </w:r>
      <w:r w:rsidRPr="002C4077">
        <w:t xml:space="preserve"> </w:t>
      </w:r>
      <w:r>
        <w:t>pagination</w:t>
      </w:r>
      <w:r w:rsidRPr="002C4077">
        <w:t xml:space="preserve"> </w:t>
      </w:r>
      <w:r>
        <w:t>le</w:t>
      </w:r>
      <w:r w:rsidRPr="002C4077">
        <w:t xml:space="preserve"> </w:t>
      </w:r>
      <w:r>
        <w:t>faux-titre,</w:t>
      </w:r>
      <w:r w:rsidRPr="002C4077">
        <w:t xml:space="preserve"> </w:t>
      </w:r>
      <w:r>
        <w:t>le</w:t>
      </w:r>
      <w:r w:rsidRPr="002C4077">
        <w:t xml:space="preserve"> </w:t>
      </w:r>
      <w:r>
        <w:t>titre</w:t>
      </w:r>
      <w:r w:rsidRPr="002C4077">
        <w:t xml:space="preserve"> </w:t>
      </w:r>
      <w:r>
        <w:t>et</w:t>
      </w:r>
      <w:r w:rsidRPr="002C4077">
        <w:t xml:space="preserve"> </w:t>
      </w:r>
      <w:r>
        <w:t>la</w:t>
      </w:r>
      <w:r w:rsidRPr="002C4077">
        <w:t xml:space="preserve"> </w:t>
      </w:r>
      <w:r>
        <w:t>Préface,</w:t>
      </w:r>
      <w:r w:rsidRPr="002C4077">
        <w:t xml:space="preserve"> </w:t>
      </w:r>
      <w:r>
        <w:t>malgré</w:t>
      </w:r>
      <w:r w:rsidRPr="002C4077">
        <w:t xml:space="preserve"> </w:t>
      </w:r>
      <w:r>
        <w:t>la</w:t>
      </w:r>
      <w:r w:rsidRPr="002C4077">
        <w:t xml:space="preserve"> </w:t>
      </w:r>
      <w:r>
        <w:t>grosseur</w:t>
      </w:r>
      <w:r w:rsidRPr="002C4077">
        <w:t xml:space="preserve"> </w:t>
      </w:r>
      <w:r>
        <w:t>des</w:t>
      </w:r>
      <w:r w:rsidRPr="002C4077">
        <w:t xml:space="preserve"> </w:t>
      </w:r>
      <w:r>
        <w:t>caractères,</w:t>
      </w:r>
      <w:r w:rsidRPr="002C4077">
        <w:t xml:space="preserve"> </w:t>
      </w:r>
      <w:r>
        <w:t>malgré</w:t>
      </w:r>
      <w:r w:rsidRPr="002C4077">
        <w:t xml:space="preserve"> </w:t>
      </w:r>
      <w:r>
        <w:t>la</w:t>
      </w:r>
      <w:r w:rsidRPr="002C4077">
        <w:t xml:space="preserve"> </w:t>
      </w:r>
      <w:r>
        <w:t>fréquence</w:t>
      </w:r>
      <w:r w:rsidRPr="002C4077">
        <w:t xml:space="preserve"> </w:t>
      </w:r>
      <w:r>
        <w:t>des</w:t>
      </w:r>
      <w:r w:rsidRPr="002C4077">
        <w:t xml:space="preserve"> </w:t>
      </w:r>
      <w:r>
        <w:t>alinéas</w:t>
      </w:r>
      <w:r w:rsidRPr="002C4077">
        <w:t xml:space="preserve"> </w:t>
      </w:r>
      <w:r>
        <w:t>et</w:t>
      </w:r>
      <w:r w:rsidRPr="002C4077">
        <w:t xml:space="preserve"> </w:t>
      </w:r>
      <w:r>
        <w:t>les</w:t>
      </w:r>
      <w:r w:rsidRPr="002C4077">
        <w:t xml:space="preserve"> </w:t>
      </w:r>
      <w:r>
        <w:t>dimensions</w:t>
      </w:r>
      <w:r w:rsidRPr="002C4077">
        <w:t xml:space="preserve"> </w:t>
      </w:r>
      <w:r>
        <w:t>notables</w:t>
      </w:r>
      <w:r w:rsidRPr="002C4077">
        <w:t xml:space="preserve"> </w:t>
      </w:r>
      <w:r>
        <w:t>des</w:t>
      </w:r>
      <w:r w:rsidRPr="002C4077">
        <w:t xml:space="preserve"> </w:t>
      </w:r>
      <w:r>
        <w:t>intervalles</w:t>
      </w:r>
      <w:r w:rsidRPr="002C4077">
        <w:t xml:space="preserve"> </w:t>
      </w:r>
      <w:r>
        <w:t>laissés</w:t>
      </w:r>
      <w:r w:rsidRPr="002C4077">
        <w:t xml:space="preserve"> </w:t>
      </w:r>
      <w:r>
        <w:t>en</w:t>
      </w:r>
      <w:r w:rsidRPr="002C4077">
        <w:t xml:space="preserve"> </w:t>
      </w:r>
      <w:r>
        <w:t>blanc,</w:t>
      </w:r>
      <w:r w:rsidR="000F4CEC" w:rsidRPr="002C4077">
        <w:t xml:space="preserve"> </w:t>
      </w:r>
      <w:r w:rsidR="000F4CEC">
        <w:t>n’atteint</w:t>
      </w:r>
      <w:r w:rsidR="000F4CEC" w:rsidRPr="002C4077">
        <w:t xml:space="preserve"> </w:t>
      </w:r>
      <w:r w:rsidR="000F4CEC">
        <w:t>pas</w:t>
      </w:r>
      <w:r w:rsidR="000F4CEC" w:rsidRPr="002C4077">
        <w:t xml:space="preserve"> </w:t>
      </w:r>
      <w:r w:rsidR="000F4CEC">
        <w:t>sans</w:t>
      </w:r>
      <w:r w:rsidR="000F4CEC" w:rsidRPr="002C4077">
        <w:t xml:space="preserve"> </w:t>
      </w:r>
      <w:r w:rsidR="000F4CEC">
        <w:t>peine</w:t>
      </w:r>
      <w:r w:rsidR="000F4CEC" w:rsidRPr="002C4077">
        <w:t xml:space="preserve"> </w:t>
      </w:r>
      <w:r w:rsidR="000F4CEC">
        <w:t>la</w:t>
      </w:r>
      <w:r w:rsidR="000F4CEC" w:rsidRPr="002C4077">
        <w:t xml:space="preserve"> </w:t>
      </w:r>
      <w:r w:rsidR="000F4CEC">
        <w:t>72e</w:t>
      </w:r>
      <w:r w:rsidRPr="002C4077">
        <w:t xml:space="preserve"> </w:t>
      </w:r>
      <w:r>
        <w:t>page.</w:t>
      </w:r>
      <w:r w:rsidRPr="002C4077">
        <w:t xml:space="preserve"> </w:t>
      </w:r>
      <w:r>
        <w:t>Et</w:t>
      </w:r>
      <w:r w:rsidRPr="002C4077">
        <w:t xml:space="preserve"> </w:t>
      </w:r>
      <w:r>
        <w:t>pourtant,</w:t>
      </w:r>
      <w:r w:rsidRPr="002C4077">
        <w:t xml:space="preserve"> </w:t>
      </w:r>
      <w:r>
        <w:t>l’</w:t>
      </w:r>
      <w:r w:rsidR="000F4CEC">
        <w:t>avant-propos</w:t>
      </w:r>
      <w:r w:rsidRPr="002C4077">
        <w:t xml:space="preserve"> </w:t>
      </w:r>
      <w:r>
        <w:t>de</w:t>
      </w:r>
      <w:r w:rsidRPr="002C4077">
        <w:t xml:space="preserve"> </w:t>
      </w:r>
      <w:r>
        <w:t>M.</w:t>
      </w:r>
      <w:r w:rsidRPr="002C4077">
        <w:t xml:space="preserve"> </w:t>
      </w:r>
      <w:r>
        <w:t>S.</w:t>
      </w:r>
      <w:r w:rsidRPr="002C4077">
        <w:t xml:space="preserve"> </w:t>
      </w:r>
      <w:r>
        <w:t>Cahen</w:t>
      </w:r>
      <w:r w:rsidRPr="002C4077">
        <w:t xml:space="preserve"> </w:t>
      </w:r>
      <w:r>
        <w:t>nous</w:t>
      </w:r>
      <w:r w:rsidRPr="002C4077">
        <w:t xml:space="preserve"> </w:t>
      </w:r>
      <w:r>
        <w:t>assure</w:t>
      </w:r>
      <w:r w:rsidRPr="002C4077">
        <w:t xml:space="preserve"> </w:t>
      </w:r>
      <w:r>
        <w:t>que</w:t>
      </w:r>
      <w:r w:rsidRPr="002C4077">
        <w:t xml:space="preserve"> </w:t>
      </w:r>
      <w:r>
        <w:t>c’est</w:t>
      </w:r>
      <w:r w:rsidRPr="002C4077">
        <w:t xml:space="preserve"> </w:t>
      </w:r>
      <w:r>
        <w:t>là</w:t>
      </w:r>
      <w:r w:rsidRPr="002C4077">
        <w:t xml:space="preserve"> </w:t>
      </w:r>
      <w:r>
        <w:t>une</w:t>
      </w:r>
      <w:r w:rsidRPr="002C4077">
        <w:t xml:space="preserve"> </w:t>
      </w:r>
      <w:r>
        <w:t>édition</w:t>
      </w:r>
      <w:r w:rsidRPr="002C4077">
        <w:t xml:space="preserve"> </w:t>
      </w:r>
      <w:r>
        <w:t>revue,</w:t>
      </w:r>
      <w:r w:rsidRPr="002C4077">
        <w:t xml:space="preserve"> </w:t>
      </w:r>
      <w:r>
        <w:t>corrigée,</w:t>
      </w:r>
      <w:r w:rsidRPr="002C4077">
        <w:t xml:space="preserve"> </w:t>
      </w:r>
      <w:r>
        <w:t>augmentée</w:t>
      </w:r>
      <w:r w:rsidR="00B546AF">
        <w:t> !</w:t>
      </w:r>
      <w:r w:rsidRPr="002C4077">
        <w:t xml:space="preserve"> </w:t>
      </w:r>
      <w:r>
        <w:t>La</w:t>
      </w:r>
      <w:r w:rsidRPr="002C4077">
        <w:t xml:space="preserve"> </w:t>
      </w:r>
      <w:r>
        <w:t>première,</w:t>
      </w:r>
      <w:r w:rsidRPr="002C4077">
        <w:t xml:space="preserve"> </w:t>
      </w:r>
      <w:r>
        <w:t>en</w:t>
      </w:r>
      <w:r w:rsidRPr="002C4077">
        <w:t xml:space="preserve"> </w:t>
      </w:r>
      <w:r>
        <w:t>effet,</w:t>
      </w:r>
      <w:r w:rsidRPr="002C4077">
        <w:t xml:space="preserve"> </w:t>
      </w:r>
      <w:r>
        <w:t>ne</w:t>
      </w:r>
      <w:r w:rsidRPr="002C4077">
        <w:t xml:space="preserve"> </w:t>
      </w:r>
      <w:r>
        <w:t>comptait</w:t>
      </w:r>
      <w:r w:rsidRPr="002C4077">
        <w:t xml:space="preserve"> </w:t>
      </w:r>
      <w:r>
        <w:t>que</w:t>
      </w:r>
      <w:r w:rsidRPr="002C4077">
        <w:t xml:space="preserve"> </w:t>
      </w:r>
      <w:r>
        <w:t>vingt-six</w:t>
      </w:r>
      <w:r w:rsidRPr="002C4077">
        <w:t xml:space="preserve"> </w:t>
      </w:r>
      <w:r>
        <w:t>pages</w:t>
      </w:r>
      <w:r w:rsidRPr="002C4077">
        <w:t xml:space="preserve"> </w:t>
      </w:r>
      <w:r>
        <w:t>de</w:t>
      </w:r>
      <w:r w:rsidRPr="002C4077">
        <w:t xml:space="preserve"> </w:t>
      </w:r>
      <w:r>
        <w:t>texte</w:t>
      </w:r>
      <w:r w:rsidRPr="002C4077">
        <w:t xml:space="preserve"> </w:t>
      </w:r>
      <w:r>
        <w:t>proprement</w:t>
      </w:r>
      <w:r w:rsidRPr="002C4077">
        <w:t xml:space="preserve"> </w:t>
      </w:r>
      <w:r>
        <w:t>dit.</w:t>
      </w:r>
      <w:r w:rsidRPr="002C4077">
        <w:t xml:space="preserve"> </w:t>
      </w:r>
      <w:r>
        <w:t>Cela</w:t>
      </w:r>
      <w:r w:rsidRPr="002C4077">
        <w:t xml:space="preserve"> </w:t>
      </w:r>
      <w:r>
        <w:t>ne</w:t>
      </w:r>
      <w:r w:rsidRPr="002C4077">
        <w:t xml:space="preserve"> </w:t>
      </w:r>
      <w:r>
        <w:t>présage</w:t>
      </w:r>
      <w:r w:rsidRPr="002C4077">
        <w:t xml:space="preserve"> </w:t>
      </w:r>
      <w:r>
        <w:t>pas</w:t>
      </w:r>
      <w:r w:rsidRPr="002C4077">
        <w:t xml:space="preserve"> </w:t>
      </w:r>
      <w:r>
        <w:t>une</w:t>
      </w:r>
      <w:r w:rsidRPr="002C4077">
        <w:t xml:space="preserve"> </w:t>
      </w:r>
      <w:r>
        <w:t>grande</w:t>
      </w:r>
      <w:r w:rsidRPr="002C4077">
        <w:t xml:space="preserve"> </w:t>
      </w:r>
      <w:r>
        <w:t>richesse</w:t>
      </w:r>
      <w:r w:rsidR="00B91AF7">
        <w:rPr>
          <w:rStyle w:val="Appelnotedebasdep"/>
        </w:rPr>
        <w:footnoteReference w:id="836"/>
      </w:r>
      <w:r>
        <w:t>.</w:t>
      </w:r>
      <w:r w:rsidRPr="002C4077">
        <w:t xml:space="preserve"> </w:t>
      </w:r>
    </w:p>
    <w:p w:rsidR="000A7AAB" w:rsidRDefault="000A7AAB" w:rsidP="000A7AAB">
      <w:r>
        <w:t>Mais</w:t>
      </w:r>
      <w:r w:rsidRPr="002C4077">
        <w:t xml:space="preserve"> </w:t>
      </w:r>
      <w:r>
        <w:t>laissons</w:t>
      </w:r>
      <w:r w:rsidRPr="002C4077">
        <w:t xml:space="preserve"> </w:t>
      </w:r>
      <w:r>
        <w:t>les</w:t>
      </w:r>
      <w:r w:rsidRPr="002C4077">
        <w:t xml:space="preserve"> </w:t>
      </w:r>
      <w:r>
        <w:t>apparences,</w:t>
      </w:r>
      <w:r w:rsidRPr="002C4077">
        <w:t xml:space="preserve"> </w:t>
      </w:r>
      <w:r>
        <w:t>qui</w:t>
      </w:r>
      <w:r w:rsidRPr="002C4077">
        <w:t xml:space="preserve"> </w:t>
      </w:r>
      <w:r>
        <w:t>pourraient</w:t>
      </w:r>
      <w:r w:rsidRPr="002C4077">
        <w:t xml:space="preserve"> </w:t>
      </w:r>
      <w:r>
        <w:t>fausser</w:t>
      </w:r>
      <w:r w:rsidRPr="002C4077">
        <w:t xml:space="preserve"> </w:t>
      </w:r>
      <w:r>
        <w:t>notre</w:t>
      </w:r>
      <w:r w:rsidRPr="002C4077">
        <w:t xml:space="preserve"> </w:t>
      </w:r>
      <w:r>
        <w:t>jugement,</w:t>
      </w:r>
      <w:r w:rsidRPr="002C4077">
        <w:t xml:space="preserve"> </w:t>
      </w:r>
      <w:r>
        <w:t>et</w:t>
      </w:r>
      <w:r w:rsidRPr="002C4077">
        <w:t xml:space="preserve"> </w:t>
      </w:r>
      <w:r>
        <w:t>tâchons</w:t>
      </w:r>
      <w:r w:rsidRPr="002C4077">
        <w:t xml:space="preserve"> </w:t>
      </w:r>
      <w:r>
        <w:t>d’apprécier</w:t>
      </w:r>
      <w:r w:rsidRPr="002C4077">
        <w:t xml:space="preserve"> </w:t>
      </w:r>
      <w:r>
        <w:t>en</w:t>
      </w:r>
      <w:r w:rsidRPr="002C4077">
        <w:t xml:space="preserve"> </w:t>
      </w:r>
      <w:r>
        <w:t>toute</w:t>
      </w:r>
      <w:r w:rsidRPr="002C4077">
        <w:t xml:space="preserve"> </w:t>
      </w:r>
      <w:r>
        <w:t>impartialité</w:t>
      </w:r>
      <w:r w:rsidRPr="002C4077">
        <w:t xml:space="preserve"> </w:t>
      </w:r>
      <w:r>
        <w:t>la</w:t>
      </w:r>
      <w:r w:rsidRPr="002C4077">
        <w:t xml:space="preserve"> </w:t>
      </w:r>
      <w:r>
        <w:t>valeur</w:t>
      </w:r>
      <w:r w:rsidRPr="002C4077">
        <w:t xml:space="preserve"> </w:t>
      </w:r>
      <w:r>
        <w:t>intrinsèque</w:t>
      </w:r>
      <w:r w:rsidRPr="002C4077">
        <w:t xml:space="preserve"> </w:t>
      </w:r>
      <w:r>
        <w:t>du</w:t>
      </w:r>
      <w:r w:rsidRPr="002C4077">
        <w:t xml:space="preserve"> </w:t>
      </w:r>
      <w:r>
        <w:t>catéchisme</w:t>
      </w:r>
      <w:r w:rsidRPr="002C4077">
        <w:t xml:space="preserve"> </w:t>
      </w:r>
      <w:r>
        <w:t>israélite.</w:t>
      </w:r>
      <w:r w:rsidRPr="002C4077">
        <w:t xml:space="preserve"> </w:t>
      </w:r>
    </w:p>
    <w:p w:rsidR="007E4381" w:rsidRDefault="007E4381" w:rsidP="000A7AAB"/>
    <w:p w:rsidR="000A7AAB" w:rsidRDefault="000A7AAB" w:rsidP="000A7AAB">
      <w:r>
        <w:t>Il</w:t>
      </w:r>
      <w:r w:rsidRPr="002C4077">
        <w:t xml:space="preserve"> </w:t>
      </w:r>
      <w:r>
        <w:t>se</w:t>
      </w:r>
      <w:r w:rsidRPr="002C4077">
        <w:t xml:space="preserve"> </w:t>
      </w:r>
      <w:r>
        <w:t>compose</w:t>
      </w:r>
      <w:r w:rsidRPr="002C4077">
        <w:t xml:space="preserve"> </w:t>
      </w:r>
      <w:r>
        <w:t>de</w:t>
      </w:r>
      <w:r w:rsidRPr="002C4077">
        <w:t xml:space="preserve"> </w:t>
      </w:r>
      <w:r>
        <w:t>quatre</w:t>
      </w:r>
      <w:r w:rsidRPr="002C4077">
        <w:t xml:space="preserve"> </w:t>
      </w:r>
      <w:r>
        <w:t>parties</w:t>
      </w:r>
      <w:r w:rsidR="00B546AF">
        <w:t> :</w:t>
      </w:r>
      <w:r w:rsidRPr="002C4077">
        <w:t xml:space="preserve"> </w:t>
      </w:r>
      <w:r>
        <w:t>1°</w:t>
      </w:r>
      <w:r w:rsidRPr="002C4077">
        <w:t xml:space="preserve"> </w:t>
      </w:r>
      <w:r>
        <w:t>Leçons</w:t>
      </w:r>
      <w:r w:rsidRPr="002C4077">
        <w:t xml:space="preserve"> </w:t>
      </w:r>
      <w:r>
        <w:t>préliminaires,</w:t>
      </w:r>
      <w:r w:rsidRPr="002C4077">
        <w:t xml:space="preserve"> </w:t>
      </w:r>
      <w:r>
        <w:t>p.</w:t>
      </w:r>
      <w:r w:rsidRPr="002C4077">
        <w:t xml:space="preserve"> </w:t>
      </w:r>
      <w:r>
        <w:t>15-19</w:t>
      </w:r>
      <w:r w:rsidR="00B546AF">
        <w:t> ;</w:t>
      </w:r>
      <w:r w:rsidRPr="002C4077">
        <w:t xml:space="preserve"> </w:t>
      </w:r>
      <w:r>
        <w:t>2°</w:t>
      </w:r>
      <w:r w:rsidRPr="002C4077">
        <w:t xml:space="preserve"> </w:t>
      </w:r>
      <w:r>
        <w:t>Section</w:t>
      </w:r>
      <w:r w:rsidRPr="002C4077">
        <w:t xml:space="preserve"> </w:t>
      </w:r>
      <w:r>
        <w:t>première</w:t>
      </w:r>
      <w:r w:rsidR="00B546AF">
        <w:t> :</w:t>
      </w:r>
      <w:r w:rsidRPr="002C4077">
        <w:t xml:space="preserve"> </w:t>
      </w:r>
      <w:r>
        <w:t>Des</w:t>
      </w:r>
      <w:r w:rsidRPr="002C4077">
        <w:t xml:space="preserve"> </w:t>
      </w:r>
      <w:r>
        <w:t>devoirs</w:t>
      </w:r>
      <w:r w:rsidRPr="002C4077">
        <w:t xml:space="preserve"> </w:t>
      </w:r>
      <w:r>
        <w:t>de</w:t>
      </w:r>
      <w:r w:rsidRPr="002C4077">
        <w:t xml:space="preserve"> </w:t>
      </w:r>
      <w:r>
        <w:t>l’homme</w:t>
      </w:r>
      <w:r w:rsidRPr="002C4077">
        <w:t xml:space="preserve"> </w:t>
      </w:r>
      <w:r>
        <w:t>envers</w:t>
      </w:r>
      <w:r w:rsidRPr="002C4077">
        <w:t xml:space="preserve"> </w:t>
      </w:r>
      <w:r>
        <w:t>Dieu,</w:t>
      </w:r>
      <w:r w:rsidRPr="002C4077">
        <w:t xml:space="preserve"> </w:t>
      </w:r>
      <w:r>
        <w:t>p.</w:t>
      </w:r>
      <w:r w:rsidRPr="002C4077">
        <w:t xml:space="preserve"> </w:t>
      </w:r>
      <w:r>
        <w:t>20-50</w:t>
      </w:r>
      <w:r w:rsidR="00B546AF">
        <w:t> ;</w:t>
      </w:r>
      <w:r w:rsidRPr="002C4077">
        <w:t xml:space="preserve"> </w:t>
      </w:r>
      <w:r>
        <w:t>3°</w:t>
      </w:r>
      <w:r w:rsidRPr="002C4077">
        <w:t xml:space="preserve"> </w:t>
      </w:r>
      <w:r>
        <w:t>Section</w:t>
      </w:r>
      <w:r w:rsidRPr="002C4077">
        <w:t xml:space="preserve"> </w:t>
      </w:r>
      <w:r>
        <w:t>deuxième</w:t>
      </w:r>
      <w:r w:rsidR="00B546AF">
        <w:t> :</w:t>
      </w:r>
      <w:r w:rsidRPr="002C4077">
        <w:t xml:space="preserve"> </w:t>
      </w:r>
      <w:r>
        <w:t>Des</w:t>
      </w:r>
      <w:r w:rsidRPr="002C4077">
        <w:t xml:space="preserve"> </w:t>
      </w:r>
      <w:r>
        <w:t>devoirs</w:t>
      </w:r>
      <w:r w:rsidRPr="002C4077">
        <w:t xml:space="preserve"> </w:t>
      </w:r>
      <w:r>
        <w:t>de</w:t>
      </w:r>
      <w:r w:rsidRPr="002C4077">
        <w:t xml:space="preserve"> </w:t>
      </w:r>
      <w:r>
        <w:t>l’homme</w:t>
      </w:r>
      <w:r w:rsidRPr="002C4077">
        <w:t xml:space="preserve"> </w:t>
      </w:r>
      <w:r>
        <w:t>envers</w:t>
      </w:r>
      <w:r w:rsidRPr="002C4077">
        <w:t xml:space="preserve"> </w:t>
      </w:r>
      <w:r>
        <w:t>son</w:t>
      </w:r>
      <w:r w:rsidRPr="002C4077">
        <w:t xml:space="preserve"> </w:t>
      </w:r>
      <w:r>
        <w:t>prochain,</w:t>
      </w:r>
      <w:r w:rsidRPr="002C4077">
        <w:t xml:space="preserve"> </w:t>
      </w:r>
      <w:r>
        <w:t>p.</w:t>
      </w:r>
      <w:r w:rsidRPr="002C4077">
        <w:t xml:space="preserve"> </w:t>
      </w:r>
      <w:r>
        <w:t>51-58</w:t>
      </w:r>
      <w:r w:rsidR="00B546AF">
        <w:t> ;</w:t>
      </w:r>
      <w:r w:rsidRPr="002C4077">
        <w:t xml:space="preserve"> </w:t>
      </w:r>
      <w:r>
        <w:t>4°</w:t>
      </w:r>
      <w:r w:rsidRPr="002C4077">
        <w:t xml:space="preserve"> </w:t>
      </w:r>
      <w:r>
        <w:t>Section</w:t>
      </w:r>
      <w:r w:rsidRPr="002C4077">
        <w:t xml:space="preserve"> </w:t>
      </w:r>
      <w:r>
        <w:t>troisième</w:t>
      </w:r>
      <w:r w:rsidR="00B546AF">
        <w:t> :</w:t>
      </w:r>
      <w:r w:rsidRPr="002C4077">
        <w:t xml:space="preserve"> </w:t>
      </w:r>
      <w:r>
        <w:t>Des</w:t>
      </w:r>
      <w:r w:rsidRPr="002C4077">
        <w:t xml:space="preserve"> </w:t>
      </w:r>
      <w:r>
        <w:t>devoirs</w:t>
      </w:r>
      <w:r w:rsidRPr="002C4077">
        <w:t xml:space="preserve"> </w:t>
      </w:r>
      <w:r>
        <w:t>de</w:t>
      </w:r>
      <w:r w:rsidRPr="002C4077">
        <w:t xml:space="preserve"> </w:t>
      </w:r>
      <w:r>
        <w:t>l’homme</w:t>
      </w:r>
      <w:r w:rsidRPr="002C4077">
        <w:t xml:space="preserve"> </w:t>
      </w:r>
      <w:r>
        <w:t>envers</w:t>
      </w:r>
      <w:r w:rsidRPr="002C4077">
        <w:t xml:space="preserve"> </w:t>
      </w:r>
      <w:r>
        <w:t>lui-même,</w:t>
      </w:r>
      <w:r w:rsidRPr="002C4077">
        <w:t xml:space="preserve"> </w:t>
      </w:r>
      <w:r>
        <w:t>p.</w:t>
      </w:r>
      <w:r w:rsidRPr="002C4077">
        <w:t xml:space="preserve"> </w:t>
      </w:r>
      <w:r>
        <w:t>59</w:t>
      </w:r>
      <w:r w:rsidRPr="002C4077">
        <w:t xml:space="preserve"> </w:t>
      </w:r>
      <w:r>
        <w:t>et</w:t>
      </w:r>
      <w:r w:rsidRPr="002C4077">
        <w:t xml:space="preserve"> </w:t>
      </w:r>
      <w:r>
        <w:t>suiv.</w:t>
      </w:r>
      <w:r w:rsidRPr="002C4077">
        <w:t xml:space="preserve"> </w:t>
      </w:r>
    </w:p>
    <w:p w:rsidR="000A7AAB" w:rsidRDefault="000A7AAB" w:rsidP="000A7AAB">
      <w:r>
        <w:t>Voici</w:t>
      </w:r>
      <w:bookmarkStart w:id="650" w:name="z_CateIsraelite_o2"/>
      <w:bookmarkEnd w:id="650"/>
      <w:r w:rsidRPr="002C4077">
        <w:t xml:space="preserve"> </w:t>
      </w:r>
      <w:r>
        <w:t>la</w:t>
      </w:r>
      <w:r w:rsidRPr="002C4077">
        <w:t xml:space="preserve"> </w:t>
      </w:r>
      <w:r>
        <w:t>première</w:t>
      </w:r>
      <w:r w:rsidRPr="002C4077">
        <w:t xml:space="preserve"> </w:t>
      </w:r>
      <w:r>
        <w:t>des</w:t>
      </w:r>
      <w:r w:rsidRPr="002C4077">
        <w:t xml:space="preserve"> </w:t>
      </w:r>
      <w:r>
        <w:t>leçons</w:t>
      </w:r>
      <w:r w:rsidRPr="002C4077">
        <w:t xml:space="preserve"> </w:t>
      </w:r>
      <w:r>
        <w:t>préliminaires.</w:t>
      </w:r>
      <w:r w:rsidRPr="002C4077">
        <w:t xml:space="preserve"> </w:t>
      </w:r>
    </w:p>
    <w:p w:rsidR="000A7AAB" w:rsidRDefault="000A7AAB" w:rsidP="007E4381">
      <w:pPr>
        <w:pStyle w:val="locus"/>
      </w:pPr>
      <w:r>
        <w:t>D.</w:t>
      </w:r>
      <w:r w:rsidRPr="002C4077">
        <w:t xml:space="preserve"> </w:t>
      </w:r>
      <w:r>
        <w:t>Qui</w:t>
      </w:r>
      <w:r w:rsidRPr="002C4077">
        <w:t xml:space="preserve"> </w:t>
      </w:r>
      <w:r>
        <w:t>êtes-vous,</w:t>
      </w:r>
      <w:r w:rsidRPr="002C4077">
        <w:t xml:space="preserve"> </w:t>
      </w:r>
      <w:r>
        <w:t>mon</w:t>
      </w:r>
      <w:r w:rsidRPr="002C4077">
        <w:t xml:space="preserve"> </w:t>
      </w:r>
      <w:r>
        <w:t>enfant</w:t>
      </w:r>
      <w:r w:rsidR="00B546AF">
        <w:t> ?</w:t>
      </w:r>
      <w:r w:rsidRPr="002C4077">
        <w:t xml:space="preserve"> </w:t>
      </w:r>
    </w:p>
    <w:p w:rsidR="000A7AAB" w:rsidRDefault="000A7AAB" w:rsidP="007E4381">
      <w:pPr>
        <w:pStyle w:val="locus"/>
      </w:pPr>
      <w:r>
        <w:t>R.</w:t>
      </w:r>
      <w:r w:rsidRPr="002C4077">
        <w:t xml:space="preserve"> </w:t>
      </w:r>
      <w:r>
        <w:t>Je</w:t>
      </w:r>
      <w:r w:rsidRPr="002C4077">
        <w:t xml:space="preserve"> </w:t>
      </w:r>
      <w:r>
        <w:t>suis</w:t>
      </w:r>
      <w:r w:rsidRPr="002C4077">
        <w:t xml:space="preserve"> </w:t>
      </w:r>
      <w:r>
        <w:t>un</w:t>
      </w:r>
      <w:r w:rsidRPr="004440EA">
        <w:t xml:space="preserve"> (</w:t>
      </w:r>
      <w:r>
        <w:t>une</w:t>
      </w:r>
      <w:r w:rsidR="00B546AF" w:rsidRPr="002C4077">
        <w:t>)</w:t>
      </w:r>
      <w:r w:rsidRPr="002C4077">
        <w:t xml:space="preserve"> </w:t>
      </w:r>
      <w:r>
        <w:t>jeune</w:t>
      </w:r>
      <w:r w:rsidRPr="002C4077">
        <w:t xml:space="preserve"> </w:t>
      </w:r>
      <w:r>
        <w:t>Israélite.</w:t>
      </w:r>
      <w:r w:rsidRPr="002C4077">
        <w:t xml:space="preserve"> </w:t>
      </w:r>
    </w:p>
    <w:p w:rsidR="000A7AAB" w:rsidRDefault="000A7AAB" w:rsidP="007E4381">
      <w:pPr>
        <w:pStyle w:val="locus"/>
      </w:pPr>
      <w:r>
        <w:t>D.</w:t>
      </w:r>
      <w:r w:rsidRPr="002C4077">
        <w:t xml:space="preserve"> </w:t>
      </w:r>
      <w:r>
        <w:t>Pourquoi</w:t>
      </w:r>
      <w:r w:rsidRPr="002C4077">
        <w:t xml:space="preserve"> </w:t>
      </w:r>
      <w:r>
        <w:t>venez-vous</w:t>
      </w:r>
      <w:r w:rsidRPr="002C4077">
        <w:t xml:space="preserve"> </w:t>
      </w:r>
      <w:r>
        <w:t>ici</w:t>
      </w:r>
      <w:r w:rsidR="00B546AF">
        <w:t> ?</w:t>
      </w:r>
      <w:r w:rsidRPr="002C4077">
        <w:t xml:space="preserve"> </w:t>
      </w:r>
    </w:p>
    <w:p w:rsidR="000A7AAB" w:rsidRPr="001F5257" w:rsidRDefault="000A7AAB" w:rsidP="007E4381">
      <w:pPr>
        <w:pStyle w:val="locus"/>
      </w:pPr>
      <w:r>
        <w:t>R.</w:t>
      </w:r>
      <w:r w:rsidRPr="002C4077">
        <w:t xml:space="preserve"> </w:t>
      </w:r>
      <w:r>
        <w:t>Je</w:t>
      </w:r>
      <w:r w:rsidRPr="002C4077">
        <w:t xml:space="preserve"> </w:t>
      </w:r>
      <w:r>
        <w:t>viens</w:t>
      </w:r>
      <w:r w:rsidRPr="002C4077">
        <w:t xml:space="preserve"> </w:t>
      </w:r>
      <w:r>
        <w:t>pour</w:t>
      </w:r>
      <w:r w:rsidRPr="002C4077">
        <w:t xml:space="preserve"> </w:t>
      </w:r>
      <w:r>
        <w:t>être</w:t>
      </w:r>
      <w:r w:rsidRPr="002C4077">
        <w:t xml:space="preserve"> </w:t>
      </w:r>
      <w:r>
        <w:t>interrogé</w:t>
      </w:r>
      <w:r w:rsidRPr="002C4077">
        <w:t xml:space="preserve"> </w:t>
      </w:r>
      <w:r>
        <w:t>sur</w:t>
      </w:r>
      <w:r w:rsidRPr="002C4077">
        <w:t xml:space="preserve"> </w:t>
      </w:r>
      <w:r>
        <w:t>les</w:t>
      </w:r>
      <w:r w:rsidRPr="002C4077">
        <w:t xml:space="preserve"> </w:t>
      </w:r>
      <w:r>
        <w:t>principes</w:t>
      </w:r>
      <w:r w:rsidRPr="002C4077">
        <w:t xml:space="preserve"> </w:t>
      </w:r>
      <w:r>
        <w:t>de</w:t>
      </w:r>
      <w:r w:rsidRPr="002C4077">
        <w:t xml:space="preserve"> </w:t>
      </w:r>
      <w:r>
        <w:t>notre</w:t>
      </w:r>
      <w:r w:rsidRPr="002C4077">
        <w:t xml:space="preserve"> </w:t>
      </w:r>
      <w:r>
        <w:t>Religion.</w:t>
      </w:r>
      <w:r w:rsidR="00C45B47">
        <w:t xml:space="preserve"> {</w:t>
      </w:r>
      <w:r w:rsidR="001F5257">
        <w:t>269</w:t>
      </w:r>
      <w:bookmarkStart w:id="651" w:name="p269"/>
      <w:bookmarkEnd w:id="651"/>
      <w:r w:rsidR="001F5257">
        <w:t xml:space="preserve">} </w:t>
      </w:r>
    </w:p>
    <w:p w:rsidR="000A7AAB" w:rsidRDefault="000A7AAB" w:rsidP="007E4381">
      <w:pPr>
        <w:pStyle w:val="locus"/>
      </w:pPr>
      <w:r>
        <w:t>D.</w:t>
      </w:r>
      <w:r w:rsidRPr="002C4077">
        <w:t xml:space="preserve"> </w:t>
      </w:r>
      <w:r>
        <w:t>Qu’entendez-vous</w:t>
      </w:r>
      <w:r w:rsidRPr="002C4077">
        <w:t xml:space="preserve"> </w:t>
      </w:r>
      <w:r>
        <w:t>par</w:t>
      </w:r>
      <w:r w:rsidRPr="002C4077">
        <w:t xml:space="preserve"> </w:t>
      </w:r>
      <w:r>
        <w:t>cette</w:t>
      </w:r>
      <w:r w:rsidRPr="002C4077">
        <w:t xml:space="preserve"> </w:t>
      </w:r>
      <w:r>
        <w:t>expression</w:t>
      </w:r>
      <w:r w:rsidR="00B546AF">
        <w:t> :</w:t>
      </w:r>
      <w:r w:rsidRPr="002C4077">
        <w:t xml:space="preserve"> </w:t>
      </w:r>
      <w:r>
        <w:t>Notre</w:t>
      </w:r>
      <w:r w:rsidRPr="002C4077">
        <w:t xml:space="preserve"> </w:t>
      </w:r>
      <w:r>
        <w:t>Religion</w:t>
      </w:r>
      <w:r w:rsidR="00B546AF">
        <w:t> ?</w:t>
      </w:r>
      <w:r w:rsidRPr="002C4077">
        <w:t xml:space="preserve"> </w:t>
      </w:r>
    </w:p>
    <w:p w:rsidR="000A7AAB" w:rsidRDefault="000A7AAB" w:rsidP="007E4381">
      <w:pPr>
        <w:pStyle w:val="locus"/>
      </w:pPr>
      <w:r>
        <w:lastRenderedPageBreak/>
        <w:t>R.</w:t>
      </w:r>
      <w:r w:rsidRPr="002C4077">
        <w:t xml:space="preserve"> </w:t>
      </w:r>
      <w:r>
        <w:t>J’entends</w:t>
      </w:r>
      <w:r w:rsidRPr="002C4077">
        <w:t xml:space="preserve"> </w:t>
      </w:r>
      <w:r>
        <w:t>par</w:t>
      </w:r>
      <w:r w:rsidRPr="002C4077">
        <w:t xml:space="preserve"> </w:t>
      </w:r>
      <w:r>
        <w:t>notre</w:t>
      </w:r>
      <w:r w:rsidRPr="002C4077">
        <w:t xml:space="preserve"> </w:t>
      </w:r>
      <w:r>
        <w:t>religion</w:t>
      </w:r>
      <w:r w:rsidRPr="002C4077">
        <w:t xml:space="preserve"> </w:t>
      </w:r>
      <w:r>
        <w:t>la</w:t>
      </w:r>
      <w:r w:rsidRPr="002C4077">
        <w:t xml:space="preserve"> </w:t>
      </w:r>
      <w:r>
        <w:t>croyance</w:t>
      </w:r>
      <w:r w:rsidRPr="002C4077">
        <w:t xml:space="preserve"> </w:t>
      </w:r>
      <w:r>
        <w:t>en</w:t>
      </w:r>
      <w:r w:rsidRPr="002C4077">
        <w:t xml:space="preserve"> </w:t>
      </w:r>
      <w:r>
        <w:t>Dieu</w:t>
      </w:r>
      <w:r w:rsidRPr="002C4077">
        <w:t xml:space="preserve"> </w:t>
      </w:r>
      <w:r>
        <w:t>et</w:t>
      </w:r>
      <w:r w:rsidRPr="002C4077">
        <w:t xml:space="preserve"> </w:t>
      </w:r>
      <w:r>
        <w:t>l’obéissance</w:t>
      </w:r>
      <w:r w:rsidRPr="002C4077">
        <w:t xml:space="preserve"> </w:t>
      </w:r>
      <w:r>
        <w:t>à</w:t>
      </w:r>
      <w:r w:rsidRPr="002C4077">
        <w:t xml:space="preserve"> </w:t>
      </w:r>
      <w:r>
        <w:t>la</w:t>
      </w:r>
      <w:r w:rsidRPr="002C4077">
        <w:t xml:space="preserve"> </w:t>
      </w:r>
      <w:r>
        <w:t>loi</w:t>
      </w:r>
      <w:r w:rsidRPr="002C4077">
        <w:t xml:space="preserve"> </w:t>
      </w:r>
      <w:r>
        <w:t>qu’il</w:t>
      </w:r>
      <w:r w:rsidRPr="002C4077">
        <w:t xml:space="preserve"> </w:t>
      </w:r>
      <w:r>
        <w:t>a</w:t>
      </w:r>
      <w:r w:rsidRPr="002C4077">
        <w:t xml:space="preserve"> </w:t>
      </w:r>
      <w:r>
        <w:t>donnée</w:t>
      </w:r>
      <w:r w:rsidRPr="002C4077">
        <w:t xml:space="preserve"> </w:t>
      </w:r>
      <w:r>
        <w:t>aux</w:t>
      </w:r>
      <w:r w:rsidRPr="002C4077">
        <w:t xml:space="preserve"> </w:t>
      </w:r>
      <w:r>
        <w:t>Israélites.</w:t>
      </w:r>
      <w:r w:rsidRPr="002C4077">
        <w:t xml:space="preserve"> </w:t>
      </w:r>
    </w:p>
    <w:p w:rsidR="000A7AAB" w:rsidRDefault="000A7AAB" w:rsidP="007E4381">
      <w:pPr>
        <w:pStyle w:val="locus"/>
      </w:pPr>
      <w:r>
        <w:t>D.</w:t>
      </w:r>
      <w:r w:rsidRPr="002C4077">
        <w:t xml:space="preserve"> </w:t>
      </w:r>
      <w:r>
        <w:t>Que</w:t>
      </w:r>
      <w:r w:rsidRPr="002C4077">
        <w:t xml:space="preserve"> </w:t>
      </w:r>
      <w:r>
        <w:t>désigne</w:t>
      </w:r>
      <w:r w:rsidRPr="002C4077">
        <w:t xml:space="preserve"> </w:t>
      </w:r>
      <w:r>
        <w:t>le</w:t>
      </w:r>
      <w:r w:rsidRPr="002C4077">
        <w:t xml:space="preserve"> </w:t>
      </w:r>
      <w:r>
        <w:t>mot</w:t>
      </w:r>
      <w:r w:rsidRPr="002C4077">
        <w:t xml:space="preserve"> </w:t>
      </w:r>
      <w:r>
        <w:t>Israélite</w:t>
      </w:r>
      <w:r w:rsidR="00B546AF">
        <w:t> ?</w:t>
      </w:r>
      <w:r w:rsidRPr="002C4077">
        <w:t xml:space="preserve"> </w:t>
      </w:r>
    </w:p>
    <w:p w:rsidR="000A7AAB" w:rsidRDefault="000A7AAB" w:rsidP="007E4381">
      <w:pPr>
        <w:pStyle w:val="locus"/>
      </w:pPr>
      <w:r>
        <w:t>R.</w:t>
      </w:r>
      <w:r w:rsidRPr="002C4077">
        <w:t xml:space="preserve"> </w:t>
      </w:r>
      <w:r>
        <w:t>Il</w:t>
      </w:r>
      <w:r w:rsidRPr="002C4077">
        <w:t xml:space="preserve"> </w:t>
      </w:r>
      <w:r>
        <w:t>désigne</w:t>
      </w:r>
      <w:r w:rsidRPr="002C4077">
        <w:t xml:space="preserve"> </w:t>
      </w:r>
      <w:r>
        <w:t>un</w:t>
      </w:r>
      <w:r w:rsidRPr="002C4077">
        <w:t xml:space="preserve"> </w:t>
      </w:r>
      <w:r>
        <w:t>descendant</w:t>
      </w:r>
      <w:r w:rsidRPr="002C4077">
        <w:t xml:space="preserve"> </w:t>
      </w:r>
      <w:r>
        <w:t>des</w:t>
      </w:r>
      <w:r w:rsidRPr="002C4077">
        <w:t xml:space="preserve"> </w:t>
      </w:r>
      <w:r>
        <w:t>patriarches</w:t>
      </w:r>
      <w:r w:rsidRPr="002C4077">
        <w:t xml:space="preserve"> </w:t>
      </w:r>
      <w:r>
        <w:t>Abraham,</w:t>
      </w:r>
      <w:r w:rsidRPr="002C4077">
        <w:t xml:space="preserve"> </w:t>
      </w:r>
      <w:r>
        <w:t>Isaac</w:t>
      </w:r>
      <w:r w:rsidRPr="002C4077">
        <w:t xml:space="preserve"> </w:t>
      </w:r>
      <w:r>
        <w:t>et</w:t>
      </w:r>
      <w:r w:rsidRPr="002C4077">
        <w:t xml:space="preserve"> </w:t>
      </w:r>
      <w:r>
        <w:t>Jacob,</w:t>
      </w:r>
      <w:r w:rsidRPr="002C4077">
        <w:t xml:space="preserve"> </w:t>
      </w:r>
      <w:r>
        <w:t>dont</w:t>
      </w:r>
      <w:r w:rsidRPr="002C4077">
        <w:t xml:space="preserve"> </w:t>
      </w:r>
      <w:r>
        <w:t>le</w:t>
      </w:r>
      <w:r w:rsidRPr="002C4077">
        <w:t xml:space="preserve"> </w:t>
      </w:r>
      <w:r>
        <w:t>dernier</w:t>
      </w:r>
      <w:r w:rsidRPr="002C4077">
        <w:t xml:space="preserve"> </w:t>
      </w:r>
      <w:r>
        <w:t>reçut</w:t>
      </w:r>
      <w:r w:rsidRPr="002C4077">
        <w:t xml:space="preserve"> </w:t>
      </w:r>
      <w:r>
        <w:t>de</w:t>
      </w:r>
      <w:r w:rsidRPr="002C4077">
        <w:t xml:space="preserve"> </w:t>
      </w:r>
      <w:r>
        <w:t>Dieu</w:t>
      </w:r>
      <w:r w:rsidRPr="002C4077">
        <w:t xml:space="preserve"> </w:t>
      </w:r>
      <w:r>
        <w:t>le</w:t>
      </w:r>
      <w:r w:rsidRPr="002C4077">
        <w:t xml:space="preserve"> </w:t>
      </w:r>
      <w:r>
        <w:t>nom</w:t>
      </w:r>
      <w:r w:rsidRPr="002C4077">
        <w:t xml:space="preserve"> </w:t>
      </w:r>
      <w:r>
        <w:t>d’Israël.</w:t>
      </w:r>
      <w:r w:rsidRPr="002C4077">
        <w:t xml:space="preserve"> </w:t>
      </w:r>
    </w:p>
    <w:p w:rsidR="000A7AAB" w:rsidRDefault="000A7AAB" w:rsidP="007E4381">
      <w:pPr>
        <w:pStyle w:val="locus"/>
      </w:pPr>
      <w:r>
        <w:t>D.</w:t>
      </w:r>
      <w:r w:rsidRPr="002C4077">
        <w:t xml:space="preserve"> </w:t>
      </w:r>
      <w:r>
        <w:t>Suffit-il</w:t>
      </w:r>
      <w:r w:rsidRPr="002C4077">
        <w:t xml:space="preserve"> </w:t>
      </w:r>
      <w:r>
        <w:t>d’être</w:t>
      </w:r>
      <w:r w:rsidRPr="002C4077">
        <w:t xml:space="preserve"> </w:t>
      </w:r>
      <w:r>
        <w:t>un</w:t>
      </w:r>
      <w:r w:rsidRPr="002C4077">
        <w:t xml:space="preserve"> </w:t>
      </w:r>
      <w:r>
        <w:t>des</w:t>
      </w:r>
      <w:r w:rsidRPr="002C4077">
        <w:t xml:space="preserve"> </w:t>
      </w:r>
      <w:r>
        <w:t>descendants</w:t>
      </w:r>
      <w:r w:rsidRPr="002C4077">
        <w:t xml:space="preserve"> </w:t>
      </w:r>
      <w:r>
        <w:t>de</w:t>
      </w:r>
      <w:r w:rsidRPr="002C4077">
        <w:t xml:space="preserve"> </w:t>
      </w:r>
      <w:r>
        <w:t>ce</w:t>
      </w:r>
      <w:r w:rsidRPr="002C4077">
        <w:t xml:space="preserve"> </w:t>
      </w:r>
      <w:r>
        <w:t>saint</w:t>
      </w:r>
      <w:r w:rsidRPr="002C4077">
        <w:t xml:space="preserve"> </w:t>
      </w:r>
      <w:r>
        <w:t>homme</w:t>
      </w:r>
      <w:r w:rsidRPr="002C4077">
        <w:t xml:space="preserve"> </w:t>
      </w:r>
      <w:r>
        <w:t>pour</w:t>
      </w:r>
      <w:r w:rsidRPr="002C4077">
        <w:t xml:space="preserve"> </w:t>
      </w:r>
      <w:r>
        <w:t>mériter</w:t>
      </w:r>
      <w:r w:rsidRPr="002C4077">
        <w:t xml:space="preserve"> </w:t>
      </w:r>
      <w:r>
        <w:t>le</w:t>
      </w:r>
      <w:r w:rsidRPr="002C4077">
        <w:t xml:space="preserve"> </w:t>
      </w:r>
      <w:r>
        <w:t>nom</w:t>
      </w:r>
      <w:r w:rsidRPr="002C4077">
        <w:t xml:space="preserve"> </w:t>
      </w:r>
      <w:r>
        <w:t>d’Israélite</w:t>
      </w:r>
      <w:r w:rsidR="00B546AF">
        <w:t> ?</w:t>
      </w:r>
      <w:r w:rsidRPr="002C4077">
        <w:t xml:space="preserve"> </w:t>
      </w:r>
    </w:p>
    <w:p w:rsidR="000A7AAB" w:rsidRDefault="000A7AAB" w:rsidP="007E4381">
      <w:pPr>
        <w:pStyle w:val="locus"/>
      </w:pPr>
      <w:r>
        <w:t>R.</w:t>
      </w:r>
      <w:r w:rsidRPr="002C4077">
        <w:t xml:space="preserve"> </w:t>
      </w:r>
      <w:r>
        <w:t>Non,</w:t>
      </w:r>
      <w:r w:rsidRPr="002C4077">
        <w:t xml:space="preserve"> </w:t>
      </w:r>
      <w:r>
        <w:t>cela</w:t>
      </w:r>
      <w:r w:rsidRPr="002C4077">
        <w:t xml:space="preserve"> </w:t>
      </w:r>
      <w:r>
        <w:t>ne</w:t>
      </w:r>
      <w:r w:rsidRPr="002C4077">
        <w:t xml:space="preserve"> </w:t>
      </w:r>
      <w:r>
        <w:t>suffit</w:t>
      </w:r>
      <w:r w:rsidRPr="002C4077">
        <w:t xml:space="preserve"> </w:t>
      </w:r>
      <w:r>
        <w:t>pas</w:t>
      </w:r>
      <w:r w:rsidR="00B546AF">
        <w:t> ;</w:t>
      </w:r>
      <w:r w:rsidRPr="002C4077">
        <w:t xml:space="preserve"> </w:t>
      </w:r>
      <w:r>
        <w:t>il</w:t>
      </w:r>
      <w:r w:rsidRPr="002C4077">
        <w:t xml:space="preserve"> </w:t>
      </w:r>
      <w:r>
        <w:t>faut</w:t>
      </w:r>
      <w:r w:rsidRPr="002C4077">
        <w:t xml:space="preserve"> </w:t>
      </w:r>
      <w:r>
        <w:t>surtout</w:t>
      </w:r>
      <w:r w:rsidRPr="002C4077">
        <w:t xml:space="preserve"> </w:t>
      </w:r>
      <w:r>
        <w:t>observer</w:t>
      </w:r>
      <w:r w:rsidRPr="002C4077">
        <w:t xml:space="preserve"> </w:t>
      </w:r>
      <w:r>
        <w:t>la</w:t>
      </w:r>
      <w:r w:rsidRPr="002C4077">
        <w:t xml:space="preserve"> </w:t>
      </w:r>
      <w:r>
        <w:t>loi</w:t>
      </w:r>
      <w:r w:rsidRPr="002C4077">
        <w:t xml:space="preserve"> </w:t>
      </w:r>
      <w:r>
        <w:t>que</w:t>
      </w:r>
      <w:r w:rsidRPr="002C4077">
        <w:t xml:space="preserve"> </w:t>
      </w:r>
      <w:r>
        <w:t>Dieu</w:t>
      </w:r>
      <w:r w:rsidRPr="002C4077">
        <w:t xml:space="preserve"> </w:t>
      </w:r>
      <w:r>
        <w:t>nous</w:t>
      </w:r>
      <w:r w:rsidRPr="002C4077">
        <w:t xml:space="preserve"> </w:t>
      </w:r>
      <w:r>
        <w:t>a</w:t>
      </w:r>
      <w:r w:rsidRPr="002C4077">
        <w:t xml:space="preserve"> </w:t>
      </w:r>
      <w:r>
        <w:t>donnée</w:t>
      </w:r>
      <w:r w:rsidRPr="002C4077">
        <w:t xml:space="preserve"> </w:t>
      </w:r>
      <w:r>
        <w:t>et</w:t>
      </w:r>
      <w:r w:rsidRPr="002C4077">
        <w:t xml:space="preserve"> </w:t>
      </w:r>
      <w:r>
        <w:t>remplir</w:t>
      </w:r>
      <w:r w:rsidRPr="002C4077">
        <w:t xml:space="preserve"> </w:t>
      </w:r>
      <w:r>
        <w:t>tous</w:t>
      </w:r>
      <w:r w:rsidRPr="002C4077">
        <w:t xml:space="preserve"> </w:t>
      </w:r>
      <w:r>
        <w:t>les</w:t>
      </w:r>
      <w:r w:rsidRPr="002C4077">
        <w:t xml:space="preserve"> </w:t>
      </w:r>
      <w:r>
        <w:t>devoirs</w:t>
      </w:r>
      <w:r w:rsidRPr="002C4077">
        <w:t xml:space="preserve"> </w:t>
      </w:r>
      <w:r>
        <w:t>que</w:t>
      </w:r>
      <w:r w:rsidRPr="002C4077">
        <w:t xml:space="preserve"> </w:t>
      </w:r>
      <w:r>
        <w:t>cette</w:t>
      </w:r>
      <w:r w:rsidRPr="002C4077">
        <w:t xml:space="preserve"> </w:t>
      </w:r>
      <w:r>
        <w:t>loi</w:t>
      </w:r>
      <w:r w:rsidRPr="002C4077">
        <w:t xml:space="preserve"> </w:t>
      </w:r>
      <w:r>
        <w:t>nous</w:t>
      </w:r>
      <w:r w:rsidRPr="002C4077">
        <w:t xml:space="preserve"> </w:t>
      </w:r>
      <w:r>
        <w:t>impose.</w:t>
      </w:r>
      <w:r w:rsidRPr="002C4077">
        <w:t xml:space="preserve"> </w:t>
      </w:r>
    </w:p>
    <w:p w:rsidR="000A7AAB" w:rsidRDefault="000A7AAB" w:rsidP="007E4381">
      <w:pPr>
        <w:pStyle w:val="locus"/>
      </w:pPr>
      <w:r>
        <w:t>D.</w:t>
      </w:r>
      <w:r w:rsidRPr="002C4077">
        <w:t xml:space="preserve"> </w:t>
      </w:r>
      <w:r>
        <w:t>Quels</w:t>
      </w:r>
      <w:r w:rsidRPr="002C4077">
        <w:t xml:space="preserve"> </w:t>
      </w:r>
      <w:r>
        <w:t>sont</w:t>
      </w:r>
      <w:r w:rsidRPr="002C4077">
        <w:t xml:space="preserve"> </w:t>
      </w:r>
      <w:r>
        <w:t>les</w:t>
      </w:r>
      <w:r w:rsidRPr="002C4077">
        <w:t xml:space="preserve"> </w:t>
      </w:r>
      <w:r>
        <w:t>effets</w:t>
      </w:r>
      <w:r w:rsidRPr="002C4077">
        <w:t xml:space="preserve"> </w:t>
      </w:r>
      <w:r>
        <w:t>que</w:t>
      </w:r>
      <w:r w:rsidRPr="002C4077">
        <w:t xml:space="preserve"> </w:t>
      </w:r>
      <w:r>
        <w:t>la</w:t>
      </w:r>
      <w:r w:rsidRPr="002C4077">
        <w:t xml:space="preserve"> </w:t>
      </w:r>
      <w:r>
        <w:t>religion</w:t>
      </w:r>
      <w:r w:rsidRPr="002C4077">
        <w:t xml:space="preserve"> </w:t>
      </w:r>
      <w:r>
        <w:t>produit</w:t>
      </w:r>
      <w:r w:rsidRPr="002C4077">
        <w:t xml:space="preserve"> </w:t>
      </w:r>
      <w:r>
        <w:t>sur</w:t>
      </w:r>
      <w:r w:rsidRPr="002C4077">
        <w:t xml:space="preserve"> </w:t>
      </w:r>
      <w:r>
        <w:t>l’homme</w:t>
      </w:r>
      <w:r w:rsidR="00B546AF">
        <w:t> ?</w:t>
      </w:r>
      <w:r w:rsidRPr="002C4077">
        <w:t xml:space="preserve"> </w:t>
      </w:r>
    </w:p>
    <w:p w:rsidR="000A7AAB" w:rsidRDefault="000A7AAB" w:rsidP="007E4381">
      <w:pPr>
        <w:pStyle w:val="locus"/>
      </w:pPr>
      <w:r>
        <w:t>R.</w:t>
      </w:r>
      <w:r w:rsidRPr="002C4077">
        <w:t xml:space="preserve"> </w:t>
      </w:r>
      <w:r>
        <w:t>La</w:t>
      </w:r>
      <w:r w:rsidRPr="002C4077">
        <w:t xml:space="preserve"> </w:t>
      </w:r>
      <w:r>
        <w:t>religion</w:t>
      </w:r>
      <w:r w:rsidRPr="002C4077">
        <w:t xml:space="preserve"> </w:t>
      </w:r>
      <w:r>
        <w:t>nous</w:t>
      </w:r>
      <w:r w:rsidRPr="002C4077">
        <w:t xml:space="preserve"> </w:t>
      </w:r>
      <w:r>
        <w:t>rend</w:t>
      </w:r>
      <w:r w:rsidRPr="002C4077">
        <w:t xml:space="preserve"> </w:t>
      </w:r>
      <w:r>
        <w:t>bons</w:t>
      </w:r>
      <w:r w:rsidRPr="002C4077">
        <w:t xml:space="preserve"> </w:t>
      </w:r>
      <w:r>
        <w:t>et</w:t>
      </w:r>
      <w:r w:rsidRPr="002C4077">
        <w:t xml:space="preserve"> </w:t>
      </w:r>
      <w:r>
        <w:t>heureux</w:t>
      </w:r>
      <w:r w:rsidRPr="002C4077">
        <w:t xml:space="preserve"> </w:t>
      </w:r>
      <w:r>
        <w:t>dans</w:t>
      </w:r>
      <w:r w:rsidRPr="002C4077">
        <w:t xml:space="preserve"> </w:t>
      </w:r>
      <w:r>
        <w:t>cette</w:t>
      </w:r>
      <w:r w:rsidRPr="002C4077">
        <w:t xml:space="preserve"> </w:t>
      </w:r>
      <w:r>
        <w:t>vie</w:t>
      </w:r>
      <w:r w:rsidRPr="002C4077">
        <w:t xml:space="preserve"> </w:t>
      </w:r>
      <w:r>
        <w:t>et</w:t>
      </w:r>
      <w:r w:rsidRPr="002C4077">
        <w:t xml:space="preserve"> </w:t>
      </w:r>
      <w:r>
        <w:t>procure</w:t>
      </w:r>
      <w:r w:rsidRPr="002C4077">
        <w:t xml:space="preserve"> </w:t>
      </w:r>
      <w:r>
        <w:t>à</w:t>
      </w:r>
      <w:r w:rsidRPr="002C4077">
        <w:t xml:space="preserve"> </w:t>
      </w:r>
      <w:r>
        <w:t>notre</w:t>
      </w:r>
      <w:r w:rsidRPr="002C4077">
        <w:t xml:space="preserve"> </w:t>
      </w:r>
      <w:r>
        <w:t>âme,</w:t>
      </w:r>
      <w:r w:rsidRPr="002C4077">
        <w:t xml:space="preserve"> </w:t>
      </w:r>
      <w:r>
        <w:t>après</w:t>
      </w:r>
      <w:r w:rsidRPr="002C4077">
        <w:t xml:space="preserve"> </w:t>
      </w:r>
      <w:r>
        <w:t>la</w:t>
      </w:r>
      <w:r w:rsidRPr="002C4077">
        <w:t xml:space="preserve"> </w:t>
      </w:r>
      <w:r>
        <w:t>mort,</w:t>
      </w:r>
      <w:r w:rsidRPr="002C4077">
        <w:t xml:space="preserve"> </w:t>
      </w:r>
      <w:r>
        <w:t>la</w:t>
      </w:r>
      <w:r w:rsidRPr="002C4077">
        <w:t xml:space="preserve"> </w:t>
      </w:r>
      <w:r>
        <w:t>jouissance</w:t>
      </w:r>
      <w:r w:rsidRPr="002C4077">
        <w:t xml:space="preserve"> </w:t>
      </w:r>
      <w:r>
        <w:t>de</w:t>
      </w:r>
      <w:r w:rsidRPr="002C4077">
        <w:t xml:space="preserve"> </w:t>
      </w:r>
      <w:r>
        <w:t>la</w:t>
      </w:r>
      <w:r w:rsidRPr="002C4077">
        <w:t xml:space="preserve"> </w:t>
      </w:r>
      <w:r>
        <w:t>béatitude</w:t>
      </w:r>
      <w:r w:rsidRPr="002C4077">
        <w:t xml:space="preserve"> </w:t>
      </w:r>
      <w:r>
        <w:t>éternelle.</w:t>
      </w:r>
      <w:r w:rsidRPr="002C4077">
        <w:t xml:space="preserve"> </w:t>
      </w:r>
    </w:p>
    <w:p w:rsidR="000A7AAB" w:rsidRDefault="000A7AAB" w:rsidP="007E4381">
      <w:pPr>
        <w:pStyle w:val="locus"/>
      </w:pPr>
      <w:r>
        <w:t>D.</w:t>
      </w:r>
      <w:r w:rsidRPr="002C4077">
        <w:t xml:space="preserve"> </w:t>
      </w:r>
      <w:r>
        <w:t>N’y</w:t>
      </w:r>
      <w:r w:rsidRPr="002C4077">
        <w:t xml:space="preserve"> </w:t>
      </w:r>
      <w:r>
        <w:t>a-t-il</w:t>
      </w:r>
      <w:r w:rsidRPr="002C4077">
        <w:t xml:space="preserve"> </w:t>
      </w:r>
      <w:r>
        <w:t>point</w:t>
      </w:r>
      <w:r w:rsidRPr="002C4077">
        <w:t xml:space="preserve"> </w:t>
      </w:r>
      <w:r>
        <w:t>de</w:t>
      </w:r>
      <w:r w:rsidRPr="002C4077">
        <w:t xml:space="preserve"> </w:t>
      </w:r>
      <w:r>
        <w:t>salut</w:t>
      </w:r>
      <w:r w:rsidRPr="002C4077">
        <w:t xml:space="preserve"> </w:t>
      </w:r>
      <w:r>
        <w:t>pour</w:t>
      </w:r>
      <w:r w:rsidRPr="002C4077">
        <w:t xml:space="preserve"> </w:t>
      </w:r>
      <w:r>
        <w:t>les</w:t>
      </w:r>
      <w:r w:rsidRPr="002C4077">
        <w:t xml:space="preserve"> </w:t>
      </w:r>
      <w:r>
        <w:t>hommes</w:t>
      </w:r>
      <w:r w:rsidRPr="002C4077">
        <w:t xml:space="preserve"> </w:t>
      </w:r>
      <w:r>
        <w:t>qui</w:t>
      </w:r>
      <w:r w:rsidRPr="002C4077">
        <w:t xml:space="preserve"> </w:t>
      </w:r>
      <w:r>
        <w:t>n’appartiennent</w:t>
      </w:r>
      <w:r w:rsidRPr="002C4077">
        <w:t xml:space="preserve"> </w:t>
      </w:r>
      <w:r>
        <w:t>pas</w:t>
      </w:r>
      <w:r w:rsidRPr="002C4077">
        <w:t xml:space="preserve"> </w:t>
      </w:r>
      <w:r>
        <w:t>à</w:t>
      </w:r>
      <w:r w:rsidRPr="002C4077">
        <w:t xml:space="preserve"> </w:t>
      </w:r>
      <w:r>
        <w:t>notre</w:t>
      </w:r>
      <w:r w:rsidRPr="002C4077">
        <w:t xml:space="preserve"> </w:t>
      </w:r>
      <w:r>
        <w:t>religion</w:t>
      </w:r>
      <w:r w:rsidR="00B546AF">
        <w:t> ?</w:t>
      </w:r>
      <w:r w:rsidRPr="002C4077">
        <w:t xml:space="preserve"> </w:t>
      </w:r>
    </w:p>
    <w:p w:rsidR="000A7AAB" w:rsidRDefault="000A7AAB" w:rsidP="007E4381">
      <w:pPr>
        <w:pStyle w:val="locus"/>
      </w:pPr>
      <w:r>
        <w:t>R.</w:t>
      </w:r>
      <w:r w:rsidRPr="002C4077">
        <w:t xml:space="preserve"> </w:t>
      </w:r>
      <w:r>
        <w:t>Oui</w:t>
      </w:r>
      <w:r w:rsidR="00B546AF">
        <w:t> ;</w:t>
      </w:r>
      <w:r w:rsidRPr="002C4077">
        <w:t xml:space="preserve"> </w:t>
      </w:r>
      <w:r>
        <w:t>tous</w:t>
      </w:r>
      <w:r w:rsidRPr="002C4077">
        <w:t xml:space="preserve"> </w:t>
      </w:r>
      <w:r>
        <w:t>les</w:t>
      </w:r>
      <w:r w:rsidRPr="002C4077">
        <w:t xml:space="preserve"> </w:t>
      </w:r>
      <w:r>
        <w:t>hommes</w:t>
      </w:r>
      <w:r w:rsidRPr="002C4077">
        <w:t xml:space="preserve"> </w:t>
      </w:r>
      <w:r>
        <w:t>qui</w:t>
      </w:r>
      <w:r w:rsidRPr="002C4077">
        <w:t xml:space="preserve"> </w:t>
      </w:r>
      <w:r>
        <w:t>reconnaissent</w:t>
      </w:r>
      <w:r w:rsidRPr="002C4077">
        <w:t xml:space="preserve"> </w:t>
      </w:r>
      <w:r>
        <w:t>Dieu</w:t>
      </w:r>
      <w:r w:rsidRPr="002C4077">
        <w:t xml:space="preserve"> </w:t>
      </w:r>
      <w:r>
        <w:t>et</w:t>
      </w:r>
      <w:r w:rsidRPr="002C4077">
        <w:t xml:space="preserve"> </w:t>
      </w:r>
      <w:r>
        <w:t>qui</w:t>
      </w:r>
      <w:r w:rsidRPr="002C4077">
        <w:t xml:space="preserve"> </w:t>
      </w:r>
      <w:r>
        <w:t>pratiquent</w:t>
      </w:r>
      <w:r w:rsidRPr="002C4077">
        <w:t xml:space="preserve"> </w:t>
      </w:r>
      <w:r>
        <w:t>la</w:t>
      </w:r>
      <w:r w:rsidRPr="002C4077">
        <w:t xml:space="preserve"> </w:t>
      </w:r>
      <w:r>
        <w:t>vertu</w:t>
      </w:r>
      <w:r w:rsidRPr="002C4077">
        <w:t xml:space="preserve"> </w:t>
      </w:r>
      <w:r>
        <w:t>sont</w:t>
      </w:r>
      <w:r w:rsidRPr="002C4077">
        <w:t xml:space="preserve"> </w:t>
      </w:r>
      <w:r>
        <w:t>au</w:t>
      </w:r>
      <w:r w:rsidRPr="002C4077">
        <w:t xml:space="preserve"> </w:t>
      </w:r>
      <w:r>
        <w:t>nombre</w:t>
      </w:r>
      <w:r w:rsidRPr="002C4077">
        <w:t xml:space="preserve"> </w:t>
      </w:r>
      <w:r>
        <w:t>des</w:t>
      </w:r>
      <w:r w:rsidRPr="002C4077">
        <w:t xml:space="preserve"> </w:t>
      </w:r>
      <w:r>
        <w:t>bienheureux.</w:t>
      </w:r>
      <w:r w:rsidRPr="002C4077">
        <w:t xml:space="preserve"> </w:t>
      </w:r>
      <w:r>
        <w:t>Ainsi</w:t>
      </w:r>
      <w:r w:rsidRPr="002C4077">
        <w:t xml:space="preserve"> </w:t>
      </w:r>
      <w:r>
        <w:t>nous</w:t>
      </w:r>
      <w:r w:rsidRPr="002C4077">
        <w:t xml:space="preserve"> </w:t>
      </w:r>
      <w:r>
        <w:t>enseignent</w:t>
      </w:r>
      <w:r w:rsidRPr="002C4077">
        <w:t xml:space="preserve"> </w:t>
      </w:r>
      <w:r>
        <w:t>nos</w:t>
      </w:r>
      <w:r w:rsidRPr="002C4077">
        <w:t xml:space="preserve"> </w:t>
      </w:r>
      <w:r>
        <w:t>sages</w:t>
      </w:r>
      <w:r w:rsidR="00B546AF">
        <w:t> :</w:t>
      </w:r>
      <w:r w:rsidRPr="002C4077">
        <w:t xml:space="preserve"> </w:t>
      </w:r>
      <w:r w:rsidR="00B546AF">
        <w:t>« </w:t>
      </w:r>
      <w:r>
        <w:t>Les</w:t>
      </w:r>
      <w:r w:rsidRPr="002C4077">
        <w:t xml:space="preserve"> </w:t>
      </w:r>
      <w:r>
        <w:t>justes</w:t>
      </w:r>
      <w:r w:rsidRPr="002C4077">
        <w:t xml:space="preserve"> </w:t>
      </w:r>
      <w:r>
        <w:t>de</w:t>
      </w:r>
      <w:r w:rsidRPr="002C4077">
        <w:t xml:space="preserve"> </w:t>
      </w:r>
      <w:r>
        <w:t>toutes</w:t>
      </w:r>
      <w:r w:rsidRPr="002C4077">
        <w:t xml:space="preserve"> </w:t>
      </w:r>
      <w:r>
        <w:t>les</w:t>
      </w:r>
      <w:r w:rsidRPr="002C4077">
        <w:t xml:space="preserve"> </w:t>
      </w:r>
      <w:r>
        <w:t>nations</w:t>
      </w:r>
      <w:r w:rsidRPr="002C4077">
        <w:t xml:space="preserve"> </w:t>
      </w:r>
      <w:r>
        <w:t>ont</w:t>
      </w:r>
      <w:r w:rsidRPr="002C4077">
        <w:t xml:space="preserve"> </w:t>
      </w:r>
      <w:r>
        <w:t>part</w:t>
      </w:r>
      <w:r w:rsidRPr="002C4077">
        <w:t xml:space="preserve"> </w:t>
      </w:r>
      <w:r>
        <w:t>au</w:t>
      </w:r>
      <w:r w:rsidRPr="002C4077">
        <w:t xml:space="preserve"> </w:t>
      </w:r>
      <w:r>
        <w:t>salut</w:t>
      </w:r>
      <w:r w:rsidRPr="002C4077">
        <w:t xml:space="preserve"> </w:t>
      </w:r>
      <w:r>
        <w:t>éternel</w:t>
      </w:r>
      <w:r w:rsidR="00B546AF">
        <w:t> »</w:t>
      </w:r>
      <w:r>
        <w:t>.</w:t>
      </w:r>
      <w:r w:rsidRPr="002C4077">
        <w:t xml:space="preserve"> </w:t>
      </w:r>
    </w:p>
    <w:p w:rsidR="000A7AAB" w:rsidRDefault="000A7AAB" w:rsidP="007E4381">
      <w:pPr>
        <w:pStyle w:val="locus"/>
      </w:pPr>
      <w:r>
        <w:t>D.</w:t>
      </w:r>
      <w:r w:rsidRPr="002C4077">
        <w:t xml:space="preserve"> </w:t>
      </w:r>
      <w:r>
        <w:t>Un</w:t>
      </w:r>
      <w:r w:rsidRPr="002C4077">
        <w:t xml:space="preserve"> </w:t>
      </w:r>
      <w:r>
        <w:t>Israélite</w:t>
      </w:r>
      <w:r w:rsidRPr="002C4077">
        <w:t xml:space="preserve"> </w:t>
      </w:r>
      <w:r w:rsidR="00425C50">
        <w:t>est</w:t>
      </w:r>
      <w:r>
        <w:t>-il</w:t>
      </w:r>
      <w:r w:rsidRPr="002C4077">
        <w:t xml:space="preserve"> </w:t>
      </w:r>
      <w:r>
        <w:t>donc</w:t>
      </w:r>
      <w:r w:rsidRPr="002C4077">
        <w:t xml:space="preserve"> </w:t>
      </w:r>
      <w:r>
        <w:t>libre</w:t>
      </w:r>
      <w:r w:rsidRPr="002C4077">
        <w:t xml:space="preserve"> </w:t>
      </w:r>
      <w:r>
        <w:t>de</w:t>
      </w:r>
      <w:r w:rsidRPr="002C4077">
        <w:t xml:space="preserve"> </w:t>
      </w:r>
      <w:r>
        <w:t>négliger</w:t>
      </w:r>
      <w:r w:rsidRPr="002C4077">
        <w:t xml:space="preserve"> </w:t>
      </w:r>
      <w:r>
        <w:t>sa</w:t>
      </w:r>
      <w:r w:rsidRPr="002C4077">
        <w:t xml:space="preserve"> </w:t>
      </w:r>
      <w:r>
        <w:t>religion</w:t>
      </w:r>
      <w:r w:rsidRPr="002C4077">
        <w:t xml:space="preserve"> </w:t>
      </w:r>
      <w:r>
        <w:t>et</w:t>
      </w:r>
      <w:r w:rsidRPr="002C4077">
        <w:t xml:space="preserve"> </w:t>
      </w:r>
      <w:r>
        <w:t>d’en</w:t>
      </w:r>
      <w:r w:rsidRPr="002C4077">
        <w:t xml:space="preserve"> </w:t>
      </w:r>
      <w:r>
        <w:t>choisir</w:t>
      </w:r>
      <w:r w:rsidRPr="002C4077">
        <w:t xml:space="preserve"> </w:t>
      </w:r>
      <w:r>
        <w:t>une</w:t>
      </w:r>
      <w:r w:rsidRPr="002C4077">
        <w:t xml:space="preserve"> </w:t>
      </w:r>
      <w:r>
        <w:t>autre</w:t>
      </w:r>
      <w:r w:rsidR="00B546AF">
        <w:t> ?</w:t>
      </w:r>
      <w:r w:rsidRPr="002C4077">
        <w:t xml:space="preserve"> </w:t>
      </w:r>
    </w:p>
    <w:p w:rsidR="000A7AAB" w:rsidRDefault="000A7AAB" w:rsidP="007E4381">
      <w:pPr>
        <w:pStyle w:val="locus"/>
      </w:pPr>
      <w:r>
        <w:t>R.</w:t>
      </w:r>
      <w:r w:rsidRPr="002C4077">
        <w:t xml:space="preserve"> </w:t>
      </w:r>
      <w:r>
        <w:t>Non</w:t>
      </w:r>
      <w:r w:rsidR="00B546AF">
        <w:t> ;</w:t>
      </w:r>
      <w:r w:rsidRPr="002C4077">
        <w:t xml:space="preserve"> </w:t>
      </w:r>
      <w:r>
        <w:t>le</w:t>
      </w:r>
      <w:r w:rsidRPr="002C4077">
        <w:t xml:space="preserve"> </w:t>
      </w:r>
      <w:r>
        <w:t>devoir</w:t>
      </w:r>
      <w:r w:rsidRPr="002C4077">
        <w:t xml:space="preserve"> </w:t>
      </w:r>
      <w:r>
        <w:t>le</w:t>
      </w:r>
      <w:r w:rsidRPr="002C4077">
        <w:t xml:space="preserve"> </w:t>
      </w:r>
      <w:r>
        <w:t>plus</w:t>
      </w:r>
      <w:r w:rsidRPr="002C4077">
        <w:t xml:space="preserve"> </w:t>
      </w:r>
      <w:r>
        <w:t>sacré</w:t>
      </w:r>
      <w:r w:rsidRPr="002C4077">
        <w:t xml:space="preserve"> </w:t>
      </w:r>
      <w:r>
        <w:t>de</w:t>
      </w:r>
      <w:r w:rsidRPr="002C4077">
        <w:t xml:space="preserve"> </w:t>
      </w:r>
      <w:r>
        <w:t>tout</w:t>
      </w:r>
      <w:r w:rsidRPr="002C4077">
        <w:t xml:space="preserve"> </w:t>
      </w:r>
      <w:r>
        <w:t>Israélite</w:t>
      </w:r>
      <w:r w:rsidRPr="002C4077">
        <w:t xml:space="preserve"> </w:t>
      </w:r>
      <w:r w:rsidR="00425C50">
        <w:t>est</w:t>
      </w:r>
      <w:r w:rsidRPr="002C4077">
        <w:t xml:space="preserve"> </w:t>
      </w:r>
      <w:r>
        <w:t>de</w:t>
      </w:r>
      <w:r w:rsidRPr="002C4077">
        <w:t xml:space="preserve"> </w:t>
      </w:r>
      <w:r>
        <w:t>rester</w:t>
      </w:r>
      <w:r w:rsidRPr="002C4077">
        <w:t xml:space="preserve"> </w:t>
      </w:r>
      <w:r>
        <w:t>fidèle</w:t>
      </w:r>
      <w:r w:rsidRPr="002C4077">
        <w:t xml:space="preserve"> </w:t>
      </w:r>
      <w:r>
        <w:t>à</w:t>
      </w:r>
      <w:r w:rsidRPr="002C4077">
        <w:t xml:space="preserve"> </w:t>
      </w:r>
      <w:r>
        <w:t>la</w:t>
      </w:r>
      <w:r w:rsidRPr="002C4077">
        <w:t xml:space="preserve"> </w:t>
      </w:r>
      <w:r>
        <w:t>loi</w:t>
      </w:r>
      <w:r w:rsidRPr="002C4077">
        <w:t xml:space="preserve"> </w:t>
      </w:r>
      <w:r>
        <w:t>que</w:t>
      </w:r>
      <w:r w:rsidRPr="002C4077">
        <w:t xml:space="preserve"> </w:t>
      </w:r>
      <w:r>
        <w:t>Dieu</w:t>
      </w:r>
      <w:r w:rsidRPr="002C4077">
        <w:t xml:space="preserve"> </w:t>
      </w:r>
      <w:r>
        <w:t>a</w:t>
      </w:r>
      <w:r w:rsidRPr="002C4077">
        <w:t xml:space="preserve"> </w:t>
      </w:r>
      <w:r>
        <w:t>donnée</w:t>
      </w:r>
      <w:r w:rsidRPr="002C4077">
        <w:t xml:space="preserve"> </w:t>
      </w:r>
      <w:r>
        <w:t>à</w:t>
      </w:r>
      <w:r w:rsidRPr="002C4077">
        <w:t xml:space="preserve"> </w:t>
      </w:r>
      <w:r>
        <w:t>nos</w:t>
      </w:r>
      <w:r w:rsidRPr="002C4077">
        <w:t xml:space="preserve"> </w:t>
      </w:r>
      <w:r>
        <w:t>ancêtres,</w:t>
      </w:r>
      <w:r w:rsidRPr="002C4077">
        <w:t xml:space="preserve"> </w:t>
      </w:r>
      <w:r>
        <w:t>pour</w:t>
      </w:r>
      <w:r w:rsidRPr="002C4077">
        <w:t xml:space="preserve"> </w:t>
      </w:r>
      <w:r>
        <w:t>eux</w:t>
      </w:r>
      <w:r w:rsidRPr="002C4077">
        <w:t xml:space="preserve"> </w:t>
      </w:r>
      <w:r>
        <w:t>et</w:t>
      </w:r>
      <w:r w:rsidRPr="002C4077">
        <w:t xml:space="preserve"> </w:t>
      </w:r>
      <w:r>
        <w:t>pour</w:t>
      </w:r>
      <w:r w:rsidRPr="002C4077">
        <w:t xml:space="preserve"> </w:t>
      </w:r>
      <w:r>
        <w:t>leurs</w:t>
      </w:r>
      <w:r w:rsidRPr="002C4077">
        <w:t xml:space="preserve"> </w:t>
      </w:r>
      <w:r>
        <w:t>descendants.</w:t>
      </w:r>
      <w:r w:rsidRPr="002C4077">
        <w:t xml:space="preserve"> </w:t>
      </w:r>
    </w:p>
    <w:p w:rsidR="000A7AAB" w:rsidRDefault="000A7AAB" w:rsidP="000A7AAB">
      <w:r>
        <w:t>Cette</w:t>
      </w:r>
      <w:r w:rsidRPr="002C4077">
        <w:t xml:space="preserve"> </w:t>
      </w:r>
      <w:r>
        <w:t>entrée</w:t>
      </w:r>
      <w:r w:rsidRPr="002C4077">
        <w:t xml:space="preserve"> </w:t>
      </w:r>
      <w:r>
        <w:t>en</w:t>
      </w:r>
      <w:r w:rsidRPr="002C4077">
        <w:t xml:space="preserve"> </w:t>
      </w:r>
      <w:r>
        <w:t>matière</w:t>
      </w:r>
      <w:r w:rsidRPr="002C4077">
        <w:t xml:space="preserve"> </w:t>
      </w:r>
      <w:r>
        <w:t>ne</w:t>
      </w:r>
      <w:r w:rsidRPr="002C4077">
        <w:t xml:space="preserve"> </w:t>
      </w:r>
      <w:r>
        <w:t>manque</w:t>
      </w:r>
      <w:r w:rsidRPr="002C4077">
        <w:t xml:space="preserve"> </w:t>
      </w:r>
      <w:r>
        <w:t>pas</w:t>
      </w:r>
      <w:r w:rsidRPr="002C4077">
        <w:t xml:space="preserve"> </w:t>
      </w:r>
      <w:r>
        <w:t>d’intérêt.</w:t>
      </w:r>
      <w:r w:rsidRPr="002C4077">
        <w:t xml:space="preserve"> </w:t>
      </w:r>
      <w:r>
        <w:t>R</w:t>
      </w:r>
      <w:r w:rsidR="001730C6">
        <w:t>ép</w:t>
      </w:r>
      <w:r>
        <w:t>ond-elle</w:t>
      </w:r>
      <w:r w:rsidRPr="002C4077">
        <w:t xml:space="preserve"> </w:t>
      </w:r>
      <w:r>
        <w:t>bien</w:t>
      </w:r>
      <w:r w:rsidRPr="002C4077">
        <w:t xml:space="preserve"> </w:t>
      </w:r>
      <w:r>
        <w:t>partout</w:t>
      </w:r>
      <w:r w:rsidRPr="002C4077">
        <w:t xml:space="preserve"> </w:t>
      </w:r>
      <w:r>
        <w:t>à</w:t>
      </w:r>
      <w:r w:rsidRPr="002C4077">
        <w:t xml:space="preserve"> </w:t>
      </w:r>
      <w:r>
        <w:t>l’ancien</w:t>
      </w:r>
      <w:r w:rsidRPr="002C4077">
        <w:t xml:space="preserve"> </w:t>
      </w:r>
      <w:r>
        <w:t>esprit</w:t>
      </w:r>
      <w:r w:rsidRPr="002C4077">
        <w:t xml:space="preserve"> </w:t>
      </w:r>
      <w:r>
        <w:t>judaïque</w:t>
      </w:r>
      <w:r w:rsidRPr="002C4077">
        <w:t xml:space="preserve"> </w:t>
      </w:r>
      <w:r>
        <w:t>qui,</w:t>
      </w:r>
      <w:r w:rsidRPr="002C4077">
        <w:t xml:space="preserve"> </w:t>
      </w:r>
      <w:r>
        <w:t>d’un</w:t>
      </w:r>
      <w:r w:rsidRPr="002C4077">
        <w:t xml:space="preserve"> </w:t>
      </w:r>
      <w:r>
        <w:t>côté,</w:t>
      </w:r>
      <w:r w:rsidRPr="002C4077">
        <w:t xml:space="preserve"> </w:t>
      </w:r>
      <w:r>
        <w:t>—</w:t>
      </w:r>
      <w:r w:rsidRPr="002C4077">
        <w:t xml:space="preserve"> </w:t>
      </w:r>
      <w:r>
        <w:t>nous</w:t>
      </w:r>
      <w:r w:rsidRPr="002C4077">
        <w:t xml:space="preserve"> </w:t>
      </w:r>
      <w:r>
        <w:t>en</w:t>
      </w:r>
      <w:r w:rsidRPr="002C4077">
        <w:t xml:space="preserve"> </w:t>
      </w:r>
      <w:r>
        <w:t>avons</w:t>
      </w:r>
      <w:r w:rsidRPr="002C4077">
        <w:t xml:space="preserve"> </w:t>
      </w:r>
      <w:r>
        <w:t>pour</w:t>
      </w:r>
      <w:r w:rsidRPr="002C4077">
        <w:t xml:space="preserve"> </w:t>
      </w:r>
      <w:r>
        <w:t>garant</w:t>
      </w:r>
      <w:r w:rsidRPr="002C4077">
        <w:t xml:space="preserve"> </w:t>
      </w:r>
      <w:r>
        <w:t>le</w:t>
      </w:r>
      <w:r w:rsidRPr="002C4077">
        <w:t xml:space="preserve"> </w:t>
      </w:r>
      <w:r>
        <w:t>langage</w:t>
      </w:r>
      <w:r w:rsidRPr="002C4077">
        <w:t xml:space="preserve"> </w:t>
      </w:r>
      <w:r>
        <w:t>sévère</w:t>
      </w:r>
      <w:r w:rsidRPr="002C4077">
        <w:t xml:space="preserve"> </w:t>
      </w:r>
      <w:r>
        <w:t>de</w:t>
      </w:r>
      <w:r w:rsidRPr="002C4077">
        <w:t xml:space="preserve"> </w:t>
      </w:r>
      <w:r>
        <w:t>saint</w:t>
      </w:r>
      <w:r w:rsidRPr="002C4077">
        <w:t xml:space="preserve"> </w:t>
      </w:r>
      <w:r>
        <w:t>Jean-Baptis</w:t>
      </w:r>
      <w:r w:rsidR="00F6492C">
        <w:t>te</w:t>
      </w:r>
      <w:r w:rsidR="00F6492C">
        <w:rPr>
          <w:rStyle w:val="Appelnotedebasdep"/>
        </w:rPr>
        <w:footnoteReference w:id="837"/>
      </w:r>
      <w:r w:rsidR="00F6492C">
        <w:t>,</w:t>
      </w:r>
      <w:r w:rsidRPr="002C4077">
        <w:t xml:space="preserve"> </w:t>
      </w:r>
      <w:r>
        <w:t>—</w:t>
      </w:r>
      <w:r w:rsidRPr="002C4077">
        <w:t xml:space="preserve"> </w:t>
      </w:r>
      <w:r>
        <w:t>osait</w:t>
      </w:r>
      <w:r w:rsidRPr="002C4077">
        <w:t xml:space="preserve"> </w:t>
      </w:r>
      <w:r>
        <w:t>prétendre</w:t>
      </w:r>
      <w:r w:rsidRPr="002C4077">
        <w:t xml:space="preserve"> </w:t>
      </w:r>
      <w:r>
        <w:t>que</w:t>
      </w:r>
      <w:r w:rsidRPr="002C4077">
        <w:t xml:space="preserve"> </w:t>
      </w:r>
      <w:r>
        <w:t>le</w:t>
      </w:r>
      <w:r w:rsidRPr="002C4077">
        <w:t xml:space="preserve"> </w:t>
      </w:r>
      <w:r>
        <w:t>salut</w:t>
      </w:r>
      <w:r w:rsidRPr="002C4077">
        <w:t xml:space="preserve"> </w:t>
      </w:r>
      <w:r>
        <w:t>était</w:t>
      </w:r>
      <w:r w:rsidRPr="002C4077">
        <w:t xml:space="preserve"> </w:t>
      </w:r>
      <w:r>
        <w:t>assuré</w:t>
      </w:r>
      <w:r w:rsidRPr="002C4077">
        <w:t xml:space="preserve"> </w:t>
      </w:r>
      <w:r>
        <w:t>quand</w:t>
      </w:r>
      <w:r w:rsidRPr="002C4077">
        <w:t xml:space="preserve"> </w:t>
      </w:r>
      <w:r>
        <w:t>même</w:t>
      </w:r>
      <w:r w:rsidRPr="002C4077">
        <w:t xml:space="preserve"> </w:t>
      </w:r>
      <w:r>
        <w:t>à</w:t>
      </w:r>
      <w:r w:rsidRPr="002C4077">
        <w:t xml:space="preserve"> </w:t>
      </w:r>
      <w:r>
        <w:t>quiconque</w:t>
      </w:r>
      <w:r w:rsidRPr="002C4077">
        <w:t xml:space="preserve"> </w:t>
      </w:r>
      <w:r>
        <w:t>était</w:t>
      </w:r>
      <w:r w:rsidRPr="002C4077">
        <w:t xml:space="preserve"> </w:t>
      </w:r>
      <w:r>
        <w:t>issu</w:t>
      </w:r>
      <w:r w:rsidRPr="002C4077">
        <w:t xml:space="preserve"> </w:t>
      </w:r>
      <w:r>
        <w:t>d’Abraham</w:t>
      </w:r>
      <w:r w:rsidRPr="002C4077">
        <w:t xml:space="preserve"> </w:t>
      </w:r>
      <w:r>
        <w:t>selon</w:t>
      </w:r>
      <w:r w:rsidRPr="002C4077">
        <w:t xml:space="preserve"> </w:t>
      </w:r>
      <w:r>
        <w:t>la</w:t>
      </w:r>
      <w:r w:rsidRPr="002C4077">
        <w:t xml:space="preserve"> </w:t>
      </w:r>
      <w:r>
        <w:t>chair,</w:t>
      </w:r>
      <w:r w:rsidRPr="002C4077">
        <w:t xml:space="preserve"> </w:t>
      </w:r>
      <w:r>
        <w:t>et</w:t>
      </w:r>
      <w:r w:rsidRPr="002C4077">
        <w:t xml:space="preserve"> </w:t>
      </w:r>
      <w:r>
        <w:t>de</w:t>
      </w:r>
      <w:r w:rsidRPr="002C4077">
        <w:t xml:space="preserve"> </w:t>
      </w:r>
      <w:r>
        <w:t>l’autre</w:t>
      </w:r>
      <w:r w:rsidRPr="002C4077">
        <w:t xml:space="preserve"> </w:t>
      </w:r>
      <w:r>
        <w:t>côté,</w:t>
      </w:r>
      <w:r w:rsidRPr="002C4077">
        <w:t xml:space="preserve"> </w:t>
      </w:r>
      <w:r>
        <w:t>—</w:t>
      </w:r>
      <w:r w:rsidRPr="002C4077">
        <w:t xml:space="preserve"> </w:t>
      </w:r>
      <w:r>
        <w:t>le</w:t>
      </w:r>
      <w:r w:rsidRPr="002C4077">
        <w:t xml:space="preserve"> </w:t>
      </w:r>
      <w:r>
        <w:t>Talmud</w:t>
      </w:r>
      <w:r w:rsidRPr="002C4077">
        <w:t xml:space="preserve"> </w:t>
      </w:r>
      <w:r w:rsidR="00425C50">
        <w:t>est</w:t>
      </w:r>
      <w:r w:rsidRPr="002C4077">
        <w:t xml:space="preserve"> </w:t>
      </w:r>
      <w:r>
        <w:t>clair</w:t>
      </w:r>
      <w:r w:rsidRPr="002C4077">
        <w:t xml:space="preserve"> </w:t>
      </w:r>
      <w:r>
        <w:t>sur</w:t>
      </w:r>
      <w:r w:rsidRPr="002C4077">
        <w:t xml:space="preserve"> </w:t>
      </w:r>
      <w:r>
        <w:t>ce</w:t>
      </w:r>
      <w:r w:rsidRPr="002C4077">
        <w:t xml:space="preserve"> </w:t>
      </w:r>
      <w:r>
        <w:t>point</w:t>
      </w:r>
      <w:r w:rsidR="00B91AF7">
        <w:rPr>
          <w:rStyle w:val="Appelnotedebasdep"/>
        </w:rPr>
        <w:footnoteReference w:id="838"/>
      </w:r>
      <w:r>
        <w:t>,</w:t>
      </w:r>
      <w:r w:rsidRPr="002C4077">
        <w:t xml:space="preserve"> </w:t>
      </w:r>
      <w:r>
        <w:t>—</w:t>
      </w:r>
      <w:r w:rsidRPr="002C4077">
        <w:t xml:space="preserve"> </w:t>
      </w:r>
      <w:r>
        <w:t>fermait</w:t>
      </w:r>
      <w:r w:rsidRPr="002C4077">
        <w:t xml:space="preserve"> </w:t>
      </w:r>
      <w:r>
        <w:t>impitoyablement</w:t>
      </w:r>
      <w:r w:rsidRPr="002C4077">
        <w:t xml:space="preserve"> </w:t>
      </w:r>
      <w:r>
        <w:t>le</w:t>
      </w:r>
      <w:r w:rsidRPr="002C4077">
        <w:t xml:space="preserve"> </w:t>
      </w:r>
      <w:r>
        <w:t>ciel</w:t>
      </w:r>
      <w:r w:rsidRPr="002C4077">
        <w:t xml:space="preserve"> </w:t>
      </w:r>
      <w:r>
        <w:t>aux</w:t>
      </w:r>
      <w:r w:rsidRPr="002C4077">
        <w:t xml:space="preserve"> </w:t>
      </w:r>
      <w:r w:rsidRPr="000A34B5">
        <w:rPr>
          <w:rStyle w:val="italicus"/>
        </w:rPr>
        <w:t>Goïm,</w:t>
      </w:r>
      <w:r w:rsidRPr="002C4077">
        <w:t xml:space="preserve"> </w:t>
      </w:r>
      <w:r>
        <w:t>ou</w:t>
      </w:r>
      <w:r w:rsidRPr="002C4077">
        <w:t xml:space="preserve"> </w:t>
      </w:r>
      <w:r>
        <w:t>non-Juifs</w:t>
      </w:r>
      <w:r w:rsidR="00B546AF">
        <w:t> ?</w:t>
      </w:r>
      <w:r w:rsidR="00C45B47">
        <w:t xml:space="preserve"> {</w:t>
      </w:r>
      <w:r w:rsidR="001F5257">
        <w:t>270</w:t>
      </w:r>
      <w:bookmarkStart w:id="652" w:name="p270"/>
      <w:bookmarkEnd w:id="652"/>
      <w:r w:rsidR="001F5257">
        <w:t xml:space="preserve">} </w:t>
      </w:r>
      <w:r>
        <w:t>Ce</w:t>
      </w:r>
      <w:r w:rsidRPr="002C4077">
        <w:t xml:space="preserve"> </w:t>
      </w:r>
      <w:r>
        <w:t>n’est</w:t>
      </w:r>
      <w:r w:rsidRPr="002C4077">
        <w:t xml:space="preserve"> </w:t>
      </w:r>
      <w:r>
        <w:t>pas</w:t>
      </w:r>
      <w:r w:rsidRPr="002C4077">
        <w:t xml:space="preserve"> </w:t>
      </w:r>
      <w:r>
        <w:t>notre</w:t>
      </w:r>
      <w:r w:rsidRPr="002C4077">
        <w:t xml:space="preserve"> </w:t>
      </w:r>
      <w:r>
        <w:t>affaire</w:t>
      </w:r>
      <w:r w:rsidRPr="002C4077">
        <w:t xml:space="preserve"> </w:t>
      </w:r>
      <w:r>
        <w:t>de</w:t>
      </w:r>
      <w:r w:rsidRPr="002C4077">
        <w:t xml:space="preserve"> </w:t>
      </w:r>
      <w:r>
        <w:t>le</w:t>
      </w:r>
      <w:r w:rsidRPr="002C4077">
        <w:t xml:space="preserve"> </w:t>
      </w:r>
      <w:bookmarkStart w:id="653" w:name="z_CateIsraelite_o3"/>
      <w:bookmarkEnd w:id="653"/>
      <w:r>
        <w:t>décider.</w:t>
      </w:r>
      <w:r w:rsidRPr="002C4077">
        <w:t xml:space="preserve"> </w:t>
      </w:r>
    </w:p>
    <w:p w:rsidR="000A7AAB" w:rsidRDefault="000A7AAB" w:rsidP="000A7AAB">
      <w:r>
        <w:t>La</w:t>
      </w:r>
      <w:r w:rsidRPr="002C4077">
        <w:t xml:space="preserve"> </w:t>
      </w:r>
      <w:r>
        <w:t>seconde</w:t>
      </w:r>
      <w:r w:rsidRPr="002C4077">
        <w:t xml:space="preserve"> </w:t>
      </w:r>
      <w:r>
        <w:t>leçon</w:t>
      </w:r>
      <w:r w:rsidRPr="002C4077">
        <w:t xml:space="preserve"> </w:t>
      </w:r>
      <w:r>
        <w:t>préliminaire,</w:t>
      </w:r>
      <w:r w:rsidRPr="002C4077">
        <w:t xml:space="preserve"> </w:t>
      </w:r>
      <w:r>
        <w:t>De</w:t>
      </w:r>
      <w:r w:rsidRPr="002C4077">
        <w:t xml:space="preserve"> </w:t>
      </w:r>
      <w:r>
        <w:t>Dieu</w:t>
      </w:r>
      <w:bookmarkStart w:id="654" w:name="z_CateIsraelite_o4"/>
      <w:bookmarkStart w:id="655" w:name="z_Dieu_o1"/>
      <w:bookmarkStart w:id="656" w:name="z_Dogme_o1"/>
      <w:bookmarkEnd w:id="654"/>
      <w:bookmarkEnd w:id="655"/>
      <w:bookmarkEnd w:id="656"/>
      <w:r>
        <w:t>,</w:t>
      </w:r>
      <w:r w:rsidRPr="002C4077">
        <w:t xml:space="preserve"> </w:t>
      </w:r>
      <w:r>
        <w:t>après</w:t>
      </w:r>
      <w:r w:rsidRPr="002C4077">
        <w:t xml:space="preserve"> </w:t>
      </w:r>
      <w:r>
        <w:t>avoir</w:t>
      </w:r>
      <w:r w:rsidRPr="002C4077">
        <w:t xml:space="preserve"> </w:t>
      </w:r>
      <w:r>
        <w:t>mentionné</w:t>
      </w:r>
      <w:r w:rsidRPr="002C4077">
        <w:t xml:space="preserve"> </w:t>
      </w:r>
      <w:r>
        <w:t>rapidement</w:t>
      </w:r>
      <w:r w:rsidRPr="002C4077">
        <w:t xml:space="preserve"> </w:t>
      </w:r>
      <w:r>
        <w:t>les</w:t>
      </w:r>
      <w:r w:rsidRPr="002C4077">
        <w:t xml:space="preserve"> </w:t>
      </w:r>
      <w:r>
        <w:t>attributs</w:t>
      </w:r>
      <w:r w:rsidRPr="002C4077">
        <w:t xml:space="preserve"> </w:t>
      </w:r>
      <w:r>
        <w:t>de</w:t>
      </w:r>
      <w:r w:rsidRPr="002C4077">
        <w:t xml:space="preserve"> </w:t>
      </w:r>
      <w:r>
        <w:t>l’Être</w:t>
      </w:r>
      <w:r w:rsidRPr="002C4077">
        <w:t xml:space="preserve"> </w:t>
      </w:r>
      <w:r>
        <w:t>suprême,</w:t>
      </w:r>
      <w:r w:rsidRPr="002C4077">
        <w:t xml:space="preserve"> </w:t>
      </w:r>
      <w:r>
        <w:t>passe</w:t>
      </w:r>
      <w:r w:rsidRPr="002C4077">
        <w:t xml:space="preserve"> </w:t>
      </w:r>
      <w:r>
        <w:t>aussitôt</w:t>
      </w:r>
      <w:r w:rsidRPr="002C4077">
        <w:t xml:space="preserve"> </w:t>
      </w:r>
      <w:r>
        <w:t>à</w:t>
      </w:r>
      <w:r w:rsidRPr="002C4077">
        <w:t xml:space="preserve"> </w:t>
      </w:r>
      <w:r>
        <w:t>nos</w:t>
      </w:r>
      <w:r w:rsidRPr="002C4077">
        <w:t xml:space="preserve"> </w:t>
      </w:r>
      <w:r>
        <w:t>devoirs</w:t>
      </w:r>
      <w:r w:rsidRPr="002C4077">
        <w:t xml:space="preserve"> </w:t>
      </w:r>
      <w:r>
        <w:t>envers</w:t>
      </w:r>
      <w:r w:rsidRPr="002C4077">
        <w:t xml:space="preserve"> </w:t>
      </w:r>
      <w:r>
        <w:t>lui,</w:t>
      </w:r>
      <w:r w:rsidRPr="002C4077">
        <w:t xml:space="preserve"> </w:t>
      </w:r>
      <w:r>
        <w:t>courant</w:t>
      </w:r>
      <w:r w:rsidRPr="002C4077">
        <w:t xml:space="preserve"> </w:t>
      </w:r>
      <w:r>
        <w:t>ainsi</w:t>
      </w:r>
      <w:r w:rsidRPr="002C4077">
        <w:t xml:space="preserve"> </w:t>
      </w:r>
      <w:r>
        <w:t>du</w:t>
      </w:r>
      <w:r w:rsidRPr="002C4077">
        <w:t xml:space="preserve"> </w:t>
      </w:r>
      <w:r>
        <w:t>dogme</w:t>
      </w:r>
      <w:r w:rsidRPr="002C4077">
        <w:t xml:space="preserve"> </w:t>
      </w:r>
      <w:r>
        <w:t>à</w:t>
      </w:r>
      <w:r w:rsidRPr="002C4077">
        <w:t xml:space="preserve"> </w:t>
      </w:r>
      <w:r>
        <w:t>la</w:t>
      </w:r>
      <w:r w:rsidRPr="002C4077">
        <w:t xml:space="preserve"> </w:t>
      </w:r>
      <w:r>
        <w:t>morale.</w:t>
      </w:r>
      <w:r w:rsidRPr="002C4077">
        <w:t xml:space="preserve"> </w:t>
      </w:r>
      <w:r>
        <w:t>Nous</w:t>
      </w:r>
      <w:r w:rsidRPr="002C4077">
        <w:t xml:space="preserve"> </w:t>
      </w:r>
      <w:r>
        <w:t>en</w:t>
      </w:r>
      <w:r w:rsidRPr="002C4077">
        <w:t xml:space="preserve"> </w:t>
      </w:r>
      <w:r>
        <w:t>avons</w:t>
      </w:r>
      <w:r w:rsidRPr="002C4077">
        <w:t xml:space="preserve"> </w:t>
      </w:r>
      <w:r>
        <w:t>fait</w:t>
      </w:r>
      <w:r w:rsidRPr="002C4077">
        <w:t xml:space="preserve"> </w:t>
      </w:r>
      <w:r>
        <w:t>tristement</w:t>
      </w:r>
      <w:r w:rsidRPr="002C4077">
        <w:t xml:space="preserve"> </w:t>
      </w:r>
      <w:r>
        <w:t>la</w:t>
      </w:r>
      <w:r w:rsidRPr="002C4077">
        <w:t xml:space="preserve"> </w:t>
      </w:r>
      <w:r>
        <w:t>remarque</w:t>
      </w:r>
      <w:r w:rsidRPr="002C4077">
        <w:t xml:space="preserve"> </w:t>
      </w:r>
      <w:r>
        <w:t>d’un</w:t>
      </w:r>
      <w:r w:rsidRPr="002C4077">
        <w:t xml:space="preserve"> </w:t>
      </w:r>
      <w:r>
        <w:t>bout</w:t>
      </w:r>
      <w:r w:rsidRPr="002C4077">
        <w:t xml:space="preserve"> </w:t>
      </w:r>
      <w:r>
        <w:t>à</w:t>
      </w:r>
      <w:r w:rsidRPr="002C4077">
        <w:t xml:space="preserve"> </w:t>
      </w:r>
      <w:r>
        <w:t>l’autre</w:t>
      </w:r>
      <w:r w:rsidRPr="002C4077">
        <w:t xml:space="preserve"> </w:t>
      </w:r>
      <w:r>
        <w:t>du</w:t>
      </w:r>
      <w:r w:rsidRPr="002C4077">
        <w:t xml:space="preserve"> </w:t>
      </w:r>
      <w:r>
        <w:t>catéchisme</w:t>
      </w:r>
      <w:r w:rsidRPr="002C4077">
        <w:t xml:space="preserve"> </w:t>
      </w:r>
      <w:r>
        <w:t>israélite,</w:t>
      </w:r>
      <w:r w:rsidRPr="002C4077">
        <w:t xml:space="preserve"> </w:t>
      </w:r>
      <w:r>
        <w:t>le</w:t>
      </w:r>
      <w:r w:rsidRPr="002C4077">
        <w:t xml:space="preserve"> </w:t>
      </w:r>
      <w:r>
        <w:t>terrain</w:t>
      </w:r>
      <w:r w:rsidRPr="002C4077">
        <w:t xml:space="preserve"> </w:t>
      </w:r>
      <w:r>
        <w:t>dogmatique</w:t>
      </w:r>
      <w:r w:rsidRPr="002C4077">
        <w:t xml:space="preserve"> </w:t>
      </w:r>
      <w:r>
        <w:t>doit</w:t>
      </w:r>
      <w:r w:rsidRPr="002C4077">
        <w:t xml:space="preserve"> </w:t>
      </w:r>
      <w:r>
        <w:t>être</w:t>
      </w:r>
      <w:r w:rsidRPr="002C4077">
        <w:t xml:space="preserve"> </w:t>
      </w:r>
      <w:r>
        <w:t>pour</w:t>
      </w:r>
      <w:r w:rsidRPr="002C4077">
        <w:t xml:space="preserve"> </w:t>
      </w:r>
      <w:r>
        <w:t>les</w:t>
      </w:r>
      <w:r w:rsidRPr="002C4077">
        <w:t xml:space="preserve"> </w:t>
      </w:r>
      <w:r>
        <w:t>Juifs</w:t>
      </w:r>
      <w:r w:rsidRPr="002C4077">
        <w:t xml:space="preserve"> </w:t>
      </w:r>
      <w:r>
        <w:t>un</w:t>
      </w:r>
      <w:r w:rsidRPr="002C4077">
        <w:t xml:space="preserve"> </w:t>
      </w:r>
      <w:r>
        <w:t>terrain</w:t>
      </w:r>
      <w:r w:rsidRPr="002C4077">
        <w:t xml:space="preserve"> </w:t>
      </w:r>
      <w:r>
        <w:t>brûlant,</w:t>
      </w:r>
      <w:r w:rsidRPr="002C4077">
        <w:t xml:space="preserve"> </w:t>
      </w:r>
      <w:r>
        <w:t>sur</w:t>
      </w:r>
      <w:r w:rsidRPr="002C4077">
        <w:t xml:space="preserve"> </w:t>
      </w:r>
      <w:r>
        <w:t>lequel</w:t>
      </w:r>
      <w:r w:rsidRPr="002C4077">
        <w:t xml:space="preserve"> </w:t>
      </w:r>
      <w:r>
        <w:t>ils</w:t>
      </w:r>
      <w:r w:rsidRPr="002C4077">
        <w:t xml:space="preserve"> </w:t>
      </w:r>
      <w:r>
        <w:t>se</w:t>
      </w:r>
      <w:r w:rsidRPr="002C4077">
        <w:t xml:space="preserve"> </w:t>
      </w:r>
      <w:r>
        <w:t>sentent</w:t>
      </w:r>
      <w:r w:rsidRPr="002C4077">
        <w:t xml:space="preserve"> </w:t>
      </w:r>
      <w:r>
        <w:t>mal</w:t>
      </w:r>
      <w:r w:rsidRPr="002C4077">
        <w:t xml:space="preserve"> </w:t>
      </w:r>
      <w:r>
        <w:t>à</w:t>
      </w:r>
      <w:r w:rsidRPr="002C4077">
        <w:t xml:space="preserve"> </w:t>
      </w:r>
      <w:r>
        <w:t>l’aise,</w:t>
      </w:r>
      <w:r w:rsidRPr="002C4077">
        <w:t xml:space="preserve"> </w:t>
      </w:r>
      <w:r>
        <w:t>car</w:t>
      </w:r>
      <w:r w:rsidRPr="002C4077">
        <w:t xml:space="preserve"> </w:t>
      </w:r>
      <w:r>
        <w:t>ils</w:t>
      </w:r>
      <w:r w:rsidRPr="002C4077">
        <w:t xml:space="preserve"> </w:t>
      </w:r>
      <w:r>
        <w:t>se</w:t>
      </w:r>
      <w:r w:rsidRPr="002C4077">
        <w:t xml:space="preserve"> </w:t>
      </w:r>
      <w:r>
        <w:t>risquent</w:t>
      </w:r>
      <w:r w:rsidRPr="002C4077">
        <w:t xml:space="preserve"> </w:t>
      </w:r>
      <w:r>
        <w:t>à</w:t>
      </w:r>
      <w:r w:rsidRPr="002C4077">
        <w:t xml:space="preserve"> </w:t>
      </w:r>
      <w:r>
        <w:t>peine</w:t>
      </w:r>
      <w:r w:rsidRPr="002C4077">
        <w:t xml:space="preserve"> </w:t>
      </w:r>
      <w:r>
        <w:t>à</w:t>
      </w:r>
      <w:r w:rsidRPr="002C4077">
        <w:t xml:space="preserve"> </w:t>
      </w:r>
      <w:r>
        <w:t>le</w:t>
      </w:r>
      <w:r w:rsidRPr="002C4077">
        <w:t xml:space="preserve"> </w:t>
      </w:r>
      <w:r>
        <w:t>fouler.</w:t>
      </w:r>
      <w:r w:rsidRPr="002C4077">
        <w:t xml:space="preserve"> </w:t>
      </w:r>
      <w:r>
        <w:t>Mais</w:t>
      </w:r>
      <w:r w:rsidRPr="002C4077">
        <w:t xml:space="preserve"> </w:t>
      </w:r>
      <w:r>
        <w:t>nous</w:t>
      </w:r>
      <w:r w:rsidRPr="002C4077">
        <w:t xml:space="preserve"> </w:t>
      </w:r>
      <w:r>
        <w:t>serons</w:t>
      </w:r>
      <w:r w:rsidRPr="002C4077">
        <w:t xml:space="preserve"> </w:t>
      </w:r>
      <w:r>
        <w:t>plus</w:t>
      </w:r>
      <w:r w:rsidRPr="002C4077">
        <w:t xml:space="preserve"> </w:t>
      </w:r>
      <w:r>
        <w:t>exact</w:t>
      </w:r>
      <w:r w:rsidRPr="002C4077">
        <w:t xml:space="preserve"> </w:t>
      </w:r>
      <w:r>
        <w:t>en</w:t>
      </w:r>
      <w:r w:rsidRPr="002C4077">
        <w:t xml:space="preserve"> </w:t>
      </w:r>
      <w:r>
        <w:t>disant</w:t>
      </w:r>
      <w:r w:rsidRPr="002C4077">
        <w:t xml:space="preserve"> </w:t>
      </w:r>
      <w:r>
        <w:t>que</w:t>
      </w:r>
      <w:r w:rsidRPr="002C4077">
        <w:t xml:space="preserve"> </w:t>
      </w:r>
      <w:r>
        <w:t>c’est</w:t>
      </w:r>
      <w:r w:rsidRPr="002C4077">
        <w:t xml:space="preserve"> </w:t>
      </w:r>
      <w:r>
        <w:t>pour</w:t>
      </w:r>
      <w:r w:rsidRPr="002C4077">
        <w:t xml:space="preserve"> </w:t>
      </w:r>
      <w:r>
        <w:t>eux</w:t>
      </w:r>
      <w:r w:rsidRPr="002C4077">
        <w:t xml:space="preserve"> </w:t>
      </w:r>
      <w:r>
        <w:t>un</w:t>
      </w:r>
      <w:r w:rsidRPr="002C4077">
        <w:t xml:space="preserve"> </w:t>
      </w:r>
      <w:r>
        <w:t>terrain</w:t>
      </w:r>
      <w:r w:rsidRPr="002C4077">
        <w:t xml:space="preserve"> </w:t>
      </w:r>
      <w:r>
        <w:t>stérile,</w:t>
      </w:r>
      <w:r w:rsidRPr="002C4077">
        <w:t xml:space="preserve"> </w:t>
      </w:r>
      <w:r>
        <w:t>où</w:t>
      </w:r>
      <w:r w:rsidRPr="002C4077">
        <w:t xml:space="preserve"> </w:t>
      </w:r>
      <w:r>
        <w:t>ils</w:t>
      </w:r>
      <w:r w:rsidRPr="002C4077">
        <w:t xml:space="preserve"> </w:t>
      </w:r>
      <w:r>
        <w:t>ne</w:t>
      </w:r>
      <w:r w:rsidRPr="002C4077">
        <w:t xml:space="preserve"> </w:t>
      </w:r>
      <w:r>
        <w:t>peuvent</w:t>
      </w:r>
      <w:r w:rsidRPr="002C4077">
        <w:t xml:space="preserve"> </w:t>
      </w:r>
      <w:r>
        <w:t>recueillir</w:t>
      </w:r>
      <w:r w:rsidRPr="002C4077">
        <w:t xml:space="preserve"> </w:t>
      </w:r>
      <w:r>
        <w:t>qu’un</w:t>
      </w:r>
      <w:r w:rsidRPr="002C4077">
        <w:t xml:space="preserve"> </w:t>
      </w:r>
      <w:r>
        <w:t>très</w:t>
      </w:r>
      <w:r w:rsidRPr="002C4077">
        <w:t xml:space="preserve"> </w:t>
      </w:r>
      <w:r>
        <w:t>petit</w:t>
      </w:r>
      <w:r w:rsidRPr="002C4077">
        <w:t xml:space="preserve"> </w:t>
      </w:r>
      <w:r>
        <w:t>nombre</w:t>
      </w:r>
      <w:r w:rsidRPr="002C4077">
        <w:t xml:space="preserve"> </w:t>
      </w:r>
      <w:r>
        <w:t>d’idées</w:t>
      </w:r>
      <w:r w:rsidRPr="002C4077">
        <w:t xml:space="preserve"> </w:t>
      </w:r>
      <w:r>
        <w:t>générales.</w:t>
      </w:r>
      <w:r w:rsidRPr="002C4077">
        <w:t xml:space="preserve"> </w:t>
      </w:r>
      <w:r>
        <w:t>Heureux</w:t>
      </w:r>
      <w:r w:rsidRPr="002C4077">
        <w:t xml:space="preserve"> </w:t>
      </w:r>
      <w:r>
        <w:t>même</w:t>
      </w:r>
      <w:r w:rsidRPr="002C4077">
        <w:t xml:space="preserve"> </w:t>
      </w:r>
      <w:r>
        <w:t>ceux</w:t>
      </w:r>
      <w:r w:rsidRPr="002C4077">
        <w:t xml:space="preserve"> </w:t>
      </w:r>
      <w:r>
        <w:t>qui</w:t>
      </w:r>
      <w:r w:rsidRPr="002C4077">
        <w:t xml:space="preserve"> </w:t>
      </w:r>
      <w:r>
        <w:t>sont</w:t>
      </w:r>
      <w:r w:rsidRPr="002C4077">
        <w:t xml:space="preserve"> </w:t>
      </w:r>
      <w:r>
        <w:t>capables</w:t>
      </w:r>
      <w:r w:rsidRPr="002C4077">
        <w:t xml:space="preserve"> </w:t>
      </w:r>
      <w:r>
        <w:t>d’en</w:t>
      </w:r>
      <w:r w:rsidRPr="002C4077">
        <w:t xml:space="preserve"> </w:t>
      </w:r>
      <w:r>
        <w:t>recueillir</w:t>
      </w:r>
      <w:r w:rsidRPr="002C4077">
        <w:t xml:space="preserve"> </w:t>
      </w:r>
      <w:r>
        <w:t>plusieurs</w:t>
      </w:r>
      <w:r w:rsidR="00B546AF">
        <w:t> !</w:t>
      </w:r>
      <w:r w:rsidRPr="002C4077">
        <w:t xml:space="preserve"> </w:t>
      </w:r>
      <w:r>
        <w:t>Mais</w:t>
      </w:r>
      <w:r w:rsidRPr="002C4077">
        <w:t xml:space="preserve"> </w:t>
      </w:r>
      <w:r>
        <w:t>n’anticipons</w:t>
      </w:r>
      <w:r w:rsidRPr="002C4077">
        <w:t xml:space="preserve"> </w:t>
      </w:r>
      <w:r>
        <w:t>pas,</w:t>
      </w:r>
      <w:r w:rsidRPr="002C4077">
        <w:t xml:space="preserve"> </w:t>
      </w:r>
      <w:r>
        <w:t>et</w:t>
      </w:r>
      <w:r w:rsidRPr="002C4077">
        <w:t xml:space="preserve"> </w:t>
      </w:r>
      <w:r>
        <w:t>revenons</w:t>
      </w:r>
      <w:r w:rsidRPr="002C4077">
        <w:t xml:space="preserve"> </w:t>
      </w:r>
      <w:r>
        <w:t>à</w:t>
      </w:r>
      <w:r w:rsidRPr="002C4077">
        <w:t xml:space="preserve"> </w:t>
      </w:r>
      <w:r>
        <w:t>la</w:t>
      </w:r>
      <w:r w:rsidRPr="002C4077">
        <w:t xml:space="preserve"> </w:t>
      </w:r>
      <w:r>
        <w:t>leçon</w:t>
      </w:r>
      <w:r w:rsidRPr="002C4077">
        <w:t xml:space="preserve"> </w:t>
      </w:r>
      <w:r>
        <w:t>sur</w:t>
      </w:r>
      <w:r w:rsidRPr="002C4077">
        <w:t xml:space="preserve"> </w:t>
      </w:r>
      <w:r>
        <w:t>Dieu.</w:t>
      </w:r>
      <w:r w:rsidRPr="002C4077">
        <w:t xml:space="preserve"> </w:t>
      </w:r>
    </w:p>
    <w:p w:rsidR="000A7AAB" w:rsidRDefault="000A7AAB" w:rsidP="007E4381">
      <w:pPr>
        <w:pStyle w:val="locus"/>
      </w:pPr>
      <w:r>
        <w:t>D.</w:t>
      </w:r>
      <w:r w:rsidRPr="002C4077">
        <w:t xml:space="preserve"> </w:t>
      </w:r>
      <w:r>
        <w:t>Qu’est-ce</w:t>
      </w:r>
      <w:r w:rsidRPr="002C4077">
        <w:t xml:space="preserve"> </w:t>
      </w:r>
      <w:r>
        <w:t>que</w:t>
      </w:r>
      <w:r w:rsidRPr="002C4077">
        <w:t xml:space="preserve"> </w:t>
      </w:r>
      <w:r>
        <w:t>Dieu</w:t>
      </w:r>
      <w:r w:rsidR="00B546AF">
        <w:t> ?</w:t>
      </w:r>
      <w:r w:rsidRPr="002C4077">
        <w:t xml:space="preserve"> </w:t>
      </w:r>
    </w:p>
    <w:p w:rsidR="000A7AAB" w:rsidRDefault="000A7AAB" w:rsidP="007E4381">
      <w:pPr>
        <w:pStyle w:val="locus"/>
      </w:pPr>
      <w:r>
        <w:t>R.</w:t>
      </w:r>
      <w:r w:rsidRPr="002C4077">
        <w:t xml:space="preserve"> </w:t>
      </w:r>
      <w:r>
        <w:t>Dieu</w:t>
      </w:r>
      <w:r w:rsidRPr="002C4077">
        <w:t xml:space="preserve"> </w:t>
      </w:r>
      <w:r w:rsidR="00425C50">
        <w:t>est</w:t>
      </w:r>
      <w:r w:rsidRPr="002C4077">
        <w:t xml:space="preserve"> </w:t>
      </w:r>
      <w:r>
        <w:t>le</w:t>
      </w:r>
      <w:r w:rsidRPr="002C4077">
        <w:t xml:space="preserve"> </w:t>
      </w:r>
      <w:r>
        <w:t>créateur</w:t>
      </w:r>
      <w:r w:rsidRPr="002C4077">
        <w:t xml:space="preserve"> </w:t>
      </w:r>
      <w:r>
        <w:t>du</w:t>
      </w:r>
      <w:r w:rsidRPr="002C4077">
        <w:t xml:space="preserve"> </w:t>
      </w:r>
      <w:r>
        <w:t>ciel,</w:t>
      </w:r>
      <w:r w:rsidRPr="002C4077">
        <w:t xml:space="preserve"> </w:t>
      </w:r>
      <w:r>
        <w:t>de</w:t>
      </w:r>
      <w:r w:rsidRPr="002C4077">
        <w:t xml:space="preserve"> </w:t>
      </w:r>
      <w:r>
        <w:t>la</w:t>
      </w:r>
      <w:r w:rsidRPr="002C4077">
        <w:t xml:space="preserve"> </w:t>
      </w:r>
      <w:r>
        <w:t>terre</w:t>
      </w:r>
      <w:r w:rsidRPr="002C4077">
        <w:t xml:space="preserve"> </w:t>
      </w:r>
      <w:r>
        <w:t>et</w:t>
      </w:r>
      <w:r w:rsidRPr="002C4077">
        <w:t xml:space="preserve"> </w:t>
      </w:r>
      <w:r>
        <w:t>de</w:t>
      </w:r>
      <w:r w:rsidRPr="002C4077">
        <w:t xml:space="preserve"> </w:t>
      </w:r>
      <w:r>
        <w:t>tout</w:t>
      </w:r>
      <w:r w:rsidRPr="002C4077">
        <w:t xml:space="preserve"> </w:t>
      </w:r>
      <w:r>
        <w:t>ce</w:t>
      </w:r>
      <w:r w:rsidRPr="002C4077">
        <w:t xml:space="preserve"> </w:t>
      </w:r>
      <w:r>
        <w:t>qui</w:t>
      </w:r>
      <w:r w:rsidRPr="002C4077">
        <w:t xml:space="preserve"> </w:t>
      </w:r>
      <w:r>
        <w:t>y</w:t>
      </w:r>
      <w:r w:rsidRPr="002C4077">
        <w:t xml:space="preserve"> </w:t>
      </w:r>
      <w:r w:rsidR="00425C50">
        <w:t>est</w:t>
      </w:r>
      <w:r w:rsidRPr="002C4077">
        <w:t xml:space="preserve"> </w:t>
      </w:r>
      <w:r>
        <w:t>renfermé.</w:t>
      </w:r>
      <w:r w:rsidRPr="002C4077">
        <w:t xml:space="preserve"> </w:t>
      </w:r>
      <w:r>
        <w:t>Dieu</w:t>
      </w:r>
      <w:r w:rsidRPr="002C4077">
        <w:t xml:space="preserve"> </w:t>
      </w:r>
      <w:r w:rsidR="00425C50">
        <w:t>est</w:t>
      </w:r>
      <w:r w:rsidRPr="002C4077">
        <w:t xml:space="preserve"> </w:t>
      </w:r>
      <w:r>
        <w:t>le</w:t>
      </w:r>
      <w:r w:rsidRPr="002C4077">
        <w:t xml:space="preserve"> </w:t>
      </w:r>
      <w:r>
        <w:t>souverain</w:t>
      </w:r>
      <w:r w:rsidRPr="002C4077">
        <w:t xml:space="preserve"> </w:t>
      </w:r>
      <w:r>
        <w:t>maître</w:t>
      </w:r>
      <w:r w:rsidRPr="002C4077">
        <w:t xml:space="preserve"> </w:t>
      </w:r>
      <w:r>
        <w:t>de</w:t>
      </w:r>
      <w:r w:rsidRPr="002C4077">
        <w:t xml:space="preserve"> </w:t>
      </w:r>
      <w:r>
        <w:t>toutes</w:t>
      </w:r>
      <w:r w:rsidRPr="002C4077">
        <w:t xml:space="preserve"> </w:t>
      </w:r>
      <w:r>
        <w:t>choses</w:t>
      </w:r>
      <w:r w:rsidR="00B546AF">
        <w:t> ;</w:t>
      </w:r>
      <w:r w:rsidRPr="002C4077">
        <w:t xml:space="preserve"> </w:t>
      </w:r>
      <w:r>
        <w:t>il</w:t>
      </w:r>
      <w:r w:rsidRPr="002C4077">
        <w:t xml:space="preserve"> </w:t>
      </w:r>
      <w:r>
        <w:t>gouverne</w:t>
      </w:r>
      <w:r w:rsidRPr="002C4077">
        <w:t xml:space="preserve"> </w:t>
      </w:r>
      <w:r>
        <w:t>l’univers</w:t>
      </w:r>
      <w:r w:rsidRPr="002C4077">
        <w:t xml:space="preserve"> </w:t>
      </w:r>
      <w:r>
        <w:t>et</w:t>
      </w:r>
      <w:r w:rsidRPr="002C4077">
        <w:t xml:space="preserve"> </w:t>
      </w:r>
      <w:r>
        <w:t>veille</w:t>
      </w:r>
      <w:r w:rsidRPr="002C4077">
        <w:t xml:space="preserve"> </w:t>
      </w:r>
      <w:r>
        <w:t>à</w:t>
      </w:r>
      <w:r w:rsidRPr="002C4077">
        <w:t xml:space="preserve"> </w:t>
      </w:r>
      <w:r>
        <w:t>la</w:t>
      </w:r>
      <w:r w:rsidRPr="002C4077">
        <w:t xml:space="preserve"> </w:t>
      </w:r>
      <w:r>
        <w:t>conservation</w:t>
      </w:r>
      <w:r w:rsidRPr="002C4077">
        <w:t xml:space="preserve"> </w:t>
      </w:r>
      <w:r>
        <w:t>de</w:t>
      </w:r>
      <w:r w:rsidRPr="002C4077">
        <w:t xml:space="preserve"> </w:t>
      </w:r>
      <w:r>
        <w:t>toutes</w:t>
      </w:r>
      <w:r w:rsidRPr="002C4077">
        <w:t xml:space="preserve"> </w:t>
      </w:r>
      <w:r>
        <w:t>ses</w:t>
      </w:r>
      <w:r w:rsidRPr="002C4077">
        <w:t xml:space="preserve"> </w:t>
      </w:r>
      <w:r>
        <w:t>créatures.</w:t>
      </w:r>
      <w:r w:rsidRPr="002C4077">
        <w:t xml:space="preserve"> </w:t>
      </w:r>
    </w:p>
    <w:p w:rsidR="000A7AAB" w:rsidRDefault="000A7AAB" w:rsidP="007E4381">
      <w:pPr>
        <w:pStyle w:val="locus"/>
      </w:pPr>
      <w:r>
        <w:t>D.</w:t>
      </w:r>
      <w:r w:rsidRPr="002C4077">
        <w:t xml:space="preserve"> </w:t>
      </w:r>
      <w:r>
        <w:t>Y</w:t>
      </w:r>
      <w:r w:rsidRPr="002C4077">
        <w:t xml:space="preserve"> </w:t>
      </w:r>
      <w:r>
        <w:t>a-t-il</w:t>
      </w:r>
      <w:r w:rsidRPr="002C4077">
        <w:t xml:space="preserve"> </w:t>
      </w:r>
      <w:r>
        <w:t>plusieurs</w:t>
      </w:r>
      <w:r w:rsidRPr="002C4077">
        <w:t xml:space="preserve"> </w:t>
      </w:r>
      <w:r>
        <w:t>dieux</w:t>
      </w:r>
      <w:r w:rsidR="00B546AF">
        <w:t> ?</w:t>
      </w:r>
      <w:r w:rsidRPr="002C4077">
        <w:t xml:space="preserve"> </w:t>
      </w:r>
    </w:p>
    <w:p w:rsidR="000A7AAB" w:rsidRDefault="000A7AAB" w:rsidP="007E4381">
      <w:pPr>
        <w:pStyle w:val="locus"/>
      </w:pPr>
      <w:r>
        <w:t>R.</w:t>
      </w:r>
      <w:r w:rsidRPr="002C4077">
        <w:t xml:space="preserve"> </w:t>
      </w:r>
      <w:r>
        <w:t>Il</w:t>
      </w:r>
      <w:r w:rsidRPr="002C4077">
        <w:t xml:space="preserve"> </w:t>
      </w:r>
      <w:r>
        <w:t>n’y</w:t>
      </w:r>
      <w:r w:rsidRPr="002C4077">
        <w:t xml:space="preserve"> </w:t>
      </w:r>
      <w:r>
        <w:t>a</w:t>
      </w:r>
      <w:r w:rsidRPr="002C4077">
        <w:t xml:space="preserve"> </w:t>
      </w:r>
      <w:r>
        <w:t>et</w:t>
      </w:r>
      <w:r w:rsidRPr="002C4077">
        <w:t xml:space="preserve"> </w:t>
      </w:r>
      <w:r>
        <w:t>il</w:t>
      </w:r>
      <w:r w:rsidRPr="002C4077">
        <w:t xml:space="preserve"> </w:t>
      </w:r>
      <w:r>
        <w:t>ne</w:t>
      </w:r>
      <w:r w:rsidRPr="002C4077">
        <w:t xml:space="preserve"> </w:t>
      </w:r>
      <w:r>
        <w:t>peut</w:t>
      </w:r>
      <w:r w:rsidRPr="002C4077">
        <w:t xml:space="preserve"> </w:t>
      </w:r>
      <w:r>
        <w:t>y</w:t>
      </w:r>
      <w:r w:rsidRPr="002C4077">
        <w:t xml:space="preserve"> </w:t>
      </w:r>
      <w:r>
        <w:t>avoir</w:t>
      </w:r>
      <w:r w:rsidRPr="002C4077">
        <w:t xml:space="preserve"> </w:t>
      </w:r>
      <w:r>
        <w:t>qu’un</w:t>
      </w:r>
      <w:r w:rsidRPr="002C4077">
        <w:t xml:space="preserve"> </w:t>
      </w:r>
      <w:r>
        <w:t>seul</w:t>
      </w:r>
      <w:r w:rsidRPr="002C4077">
        <w:t xml:space="preserve"> </w:t>
      </w:r>
      <w:r>
        <w:t>Dieu.</w:t>
      </w:r>
      <w:r w:rsidRPr="002C4077">
        <w:t xml:space="preserve"> </w:t>
      </w:r>
    </w:p>
    <w:p w:rsidR="000A7AAB" w:rsidRDefault="000A7AAB" w:rsidP="007E4381">
      <w:pPr>
        <w:pStyle w:val="locus"/>
      </w:pPr>
      <w:r>
        <w:t>D.</w:t>
      </w:r>
      <w:r w:rsidRPr="002C4077">
        <w:t xml:space="preserve"> </w:t>
      </w:r>
      <w:r>
        <w:t>Quels</w:t>
      </w:r>
      <w:r w:rsidRPr="002C4077">
        <w:t xml:space="preserve"> </w:t>
      </w:r>
      <w:r>
        <w:t>sont</w:t>
      </w:r>
      <w:r w:rsidRPr="002C4077">
        <w:t xml:space="preserve"> </w:t>
      </w:r>
      <w:r>
        <w:t>les</w:t>
      </w:r>
      <w:r w:rsidRPr="002C4077">
        <w:t xml:space="preserve"> </w:t>
      </w:r>
      <w:r>
        <w:t>attributs</w:t>
      </w:r>
      <w:r w:rsidRPr="002C4077">
        <w:t xml:space="preserve"> </w:t>
      </w:r>
      <w:r>
        <w:t>que</w:t>
      </w:r>
      <w:r w:rsidRPr="002C4077">
        <w:t xml:space="preserve"> </w:t>
      </w:r>
      <w:r>
        <w:t>nous</w:t>
      </w:r>
      <w:r w:rsidRPr="002C4077">
        <w:t xml:space="preserve"> </w:t>
      </w:r>
      <w:r>
        <w:t>reconnaissons</w:t>
      </w:r>
      <w:r w:rsidRPr="002C4077">
        <w:t xml:space="preserve"> </w:t>
      </w:r>
      <w:r>
        <w:t>à</w:t>
      </w:r>
      <w:r w:rsidRPr="002C4077">
        <w:t xml:space="preserve"> </w:t>
      </w:r>
      <w:r>
        <w:t>Dieu</w:t>
      </w:r>
      <w:r w:rsidR="00B546AF">
        <w:t> ?</w:t>
      </w:r>
      <w:r w:rsidRPr="002C4077">
        <w:t xml:space="preserve"> </w:t>
      </w:r>
    </w:p>
    <w:p w:rsidR="000A7AAB" w:rsidRDefault="000A7AAB" w:rsidP="007E4381">
      <w:pPr>
        <w:pStyle w:val="locus"/>
      </w:pPr>
      <w:r>
        <w:t>R.</w:t>
      </w:r>
      <w:r w:rsidRPr="002C4077">
        <w:t xml:space="preserve"> </w:t>
      </w:r>
      <w:r>
        <w:t>1°</w:t>
      </w:r>
      <w:r w:rsidRPr="002C4077">
        <w:t xml:space="preserve"> </w:t>
      </w:r>
      <w:r>
        <w:t>Dieu</w:t>
      </w:r>
      <w:r w:rsidRPr="002C4077">
        <w:t xml:space="preserve"> </w:t>
      </w:r>
      <w:r w:rsidR="00425C50">
        <w:t>est</w:t>
      </w:r>
      <w:r>
        <w:t>,</w:t>
      </w:r>
      <w:r w:rsidRPr="002C4077">
        <w:t xml:space="preserve"> </w:t>
      </w:r>
      <w:r>
        <w:t>a</w:t>
      </w:r>
      <w:r w:rsidRPr="002C4077">
        <w:t xml:space="preserve"> </w:t>
      </w:r>
      <w:r>
        <w:t>été</w:t>
      </w:r>
      <w:r w:rsidRPr="002C4077">
        <w:t xml:space="preserve"> </w:t>
      </w:r>
      <w:r>
        <w:t>et</w:t>
      </w:r>
      <w:r w:rsidRPr="002C4077">
        <w:t xml:space="preserve"> </w:t>
      </w:r>
      <w:r>
        <w:t>sera</w:t>
      </w:r>
      <w:r w:rsidRPr="002C4077">
        <w:t xml:space="preserve"> </w:t>
      </w:r>
      <w:r>
        <w:t>toujours</w:t>
      </w:r>
      <w:r w:rsidRPr="002C4077">
        <w:t xml:space="preserve"> </w:t>
      </w:r>
      <w:r>
        <w:t>le</w:t>
      </w:r>
      <w:r w:rsidRPr="002C4077">
        <w:t xml:space="preserve"> </w:t>
      </w:r>
      <w:r>
        <w:t>même</w:t>
      </w:r>
      <w:r w:rsidR="00B546AF">
        <w:t> ;</w:t>
      </w:r>
      <w:r w:rsidRPr="002C4077">
        <w:t xml:space="preserve"> </w:t>
      </w:r>
      <w:r>
        <w:t>c’est</w:t>
      </w:r>
      <w:r w:rsidRPr="002C4077">
        <w:t xml:space="preserve"> </w:t>
      </w:r>
      <w:r>
        <w:t>pourquoi</w:t>
      </w:r>
      <w:r w:rsidRPr="002C4077">
        <w:t xml:space="preserve"> </w:t>
      </w:r>
      <w:r>
        <w:t>on</w:t>
      </w:r>
      <w:r w:rsidRPr="002C4077">
        <w:t xml:space="preserve"> </w:t>
      </w:r>
      <w:r>
        <w:t>l’appelle</w:t>
      </w:r>
      <w:r w:rsidRPr="002C4077">
        <w:t xml:space="preserve"> </w:t>
      </w:r>
      <w:r>
        <w:t>l’Étern</w:t>
      </w:r>
      <w:r w:rsidR="00F6492C">
        <w:t>el</w:t>
      </w:r>
      <w:r w:rsidR="00F6492C">
        <w:rPr>
          <w:rStyle w:val="Appelnotedebasdep"/>
        </w:rPr>
        <w:footnoteReference w:id="839"/>
      </w:r>
      <w:r w:rsidR="00F6492C">
        <w:t>.</w:t>
      </w:r>
      <w:r w:rsidRPr="002C4077">
        <w:t xml:space="preserve"> </w:t>
      </w:r>
    </w:p>
    <w:p w:rsidR="000A7AAB" w:rsidRDefault="000A7AAB" w:rsidP="007E4381">
      <w:pPr>
        <w:pStyle w:val="locus"/>
      </w:pPr>
      <w:r>
        <w:t>2°</w:t>
      </w:r>
      <w:r w:rsidRPr="002C4077">
        <w:t xml:space="preserve"> </w:t>
      </w:r>
      <w:r>
        <w:t>Dieu</w:t>
      </w:r>
      <w:r w:rsidRPr="002C4077">
        <w:t xml:space="preserve"> </w:t>
      </w:r>
      <w:r w:rsidR="00425C50">
        <w:t>est</w:t>
      </w:r>
      <w:r w:rsidRPr="002C4077">
        <w:t xml:space="preserve"> </w:t>
      </w:r>
      <w:r>
        <w:t>tout-puissant</w:t>
      </w:r>
      <w:r w:rsidR="00B546AF">
        <w:t> ;</w:t>
      </w:r>
      <w:r w:rsidRPr="002C4077">
        <w:t xml:space="preserve"> </w:t>
      </w:r>
      <w:r>
        <w:t>tout</w:t>
      </w:r>
      <w:r w:rsidRPr="002C4077">
        <w:t xml:space="preserve"> </w:t>
      </w:r>
      <w:r>
        <w:t>ce</w:t>
      </w:r>
      <w:r w:rsidRPr="002C4077">
        <w:t xml:space="preserve"> </w:t>
      </w:r>
      <w:r>
        <w:t>qu’il</w:t>
      </w:r>
      <w:r w:rsidRPr="002C4077">
        <w:t xml:space="preserve"> </w:t>
      </w:r>
      <w:r>
        <w:t>veut</w:t>
      </w:r>
      <w:r w:rsidRPr="002C4077">
        <w:t xml:space="preserve"> </w:t>
      </w:r>
      <w:r>
        <w:t>s’accomplit.</w:t>
      </w:r>
      <w:r w:rsidRPr="002C4077">
        <w:t xml:space="preserve"> </w:t>
      </w:r>
    </w:p>
    <w:p w:rsidR="000A7AAB" w:rsidRDefault="000A7AAB" w:rsidP="007E4381">
      <w:pPr>
        <w:pStyle w:val="locus"/>
      </w:pPr>
      <w:r>
        <w:t>3°</w:t>
      </w:r>
      <w:r w:rsidRPr="002C4077">
        <w:t xml:space="preserve"> </w:t>
      </w:r>
      <w:r>
        <w:t>Dieu</w:t>
      </w:r>
      <w:r w:rsidRPr="002C4077">
        <w:t xml:space="preserve"> </w:t>
      </w:r>
      <w:r w:rsidR="00425C50">
        <w:t>est</w:t>
      </w:r>
      <w:r w:rsidRPr="002C4077">
        <w:t xml:space="preserve"> </w:t>
      </w:r>
      <w:r>
        <w:t>infiniment</w:t>
      </w:r>
      <w:r w:rsidRPr="002C4077">
        <w:t xml:space="preserve"> </w:t>
      </w:r>
      <w:r>
        <w:t>sage…</w:t>
      </w:r>
      <w:r w:rsidRPr="004440EA">
        <w:t xml:space="preserve"> (</w:t>
      </w:r>
      <w:r w:rsidR="00425C50">
        <w:t>etc</w:t>
      </w:r>
      <w:r>
        <w:t>.</w:t>
      </w:r>
      <w:r w:rsidR="00B546AF" w:rsidRPr="002C4077">
        <w:t>)</w:t>
      </w:r>
      <w:r>
        <w:t>.</w:t>
      </w:r>
      <w:r w:rsidRPr="002C4077">
        <w:t xml:space="preserve"> </w:t>
      </w:r>
    </w:p>
    <w:p w:rsidR="000A7AAB" w:rsidRDefault="000A7AAB" w:rsidP="007E4381">
      <w:pPr>
        <w:pStyle w:val="locus"/>
      </w:pPr>
      <w:r>
        <w:t>D.</w:t>
      </w:r>
      <w:r w:rsidRPr="002C4077">
        <w:t xml:space="preserve"> </w:t>
      </w:r>
      <w:r>
        <w:t>Quel</w:t>
      </w:r>
      <w:r w:rsidRPr="002C4077">
        <w:t xml:space="preserve"> </w:t>
      </w:r>
      <w:r w:rsidR="00425C50">
        <w:t>est</w:t>
      </w:r>
      <w:r w:rsidRPr="002C4077">
        <w:t xml:space="preserve"> </w:t>
      </w:r>
      <w:r>
        <w:t>pour</w:t>
      </w:r>
      <w:r w:rsidRPr="002C4077">
        <w:t xml:space="preserve"> </w:t>
      </w:r>
      <w:r>
        <w:t>nous</w:t>
      </w:r>
      <w:r w:rsidRPr="002C4077">
        <w:t xml:space="preserve"> </w:t>
      </w:r>
      <w:r>
        <w:t>le</w:t>
      </w:r>
      <w:r w:rsidRPr="002C4077">
        <w:t xml:space="preserve"> </w:t>
      </w:r>
      <w:r>
        <w:t>résultat</w:t>
      </w:r>
      <w:r w:rsidRPr="002C4077">
        <w:t xml:space="preserve"> </w:t>
      </w:r>
      <w:r>
        <w:t>de</w:t>
      </w:r>
      <w:r w:rsidRPr="002C4077">
        <w:t xml:space="preserve"> </w:t>
      </w:r>
      <w:r>
        <w:t>la</w:t>
      </w:r>
      <w:r w:rsidRPr="002C4077">
        <w:t xml:space="preserve"> </w:t>
      </w:r>
      <w:r>
        <w:t>croyance</w:t>
      </w:r>
      <w:r w:rsidRPr="002C4077">
        <w:t xml:space="preserve"> </w:t>
      </w:r>
      <w:r>
        <w:t>en</w:t>
      </w:r>
      <w:r w:rsidRPr="002C4077">
        <w:t xml:space="preserve"> </w:t>
      </w:r>
      <w:r>
        <w:t>Dieu</w:t>
      </w:r>
      <w:r w:rsidR="00B546AF">
        <w:t> ?</w:t>
      </w:r>
      <w:r>
        <w:t>…</w:t>
      </w:r>
      <w:r w:rsidRPr="002C4077">
        <w:t xml:space="preserve"> </w:t>
      </w:r>
    </w:p>
    <w:p w:rsidR="000A7AAB" w:rsidRDefault="000A7AAB" w:rsidP="000A7AAB">
      <w:r>
        <w:t>Voilà</w:t>
      </w:r>
      <w:r w:rsidRPr="002C4077">
        <w:t xml:space="preserve"> </w:t>
      </w:r>
      <w:r>
        <w:t>déjà,</w:t>
      </w:r>
      <w:r w:rsidRPr="002C4077">
        <w:t xml:space="preserve"> </w:t>
      </w:r>
      <w:r>
        <w:t>au</w:t>
      </w:r>
      <w:r w:rsidRPr="002C4077">
        <w:t xml:space="preserve"> </w:t>
      </w:r>
      <w:r>
        <w:t>bout</w:t>
      </w:r>
      <w:r w:rsidRPr="002C4077">
        <w:t xml:space="preserve"> </w:t>
      </w:r>
      <w:r>
        <w:t>de</w:t>
      </w:r>
      <w:r w:rsidRPr="002C4077">
        <w:t xml:space="preserve"> </w:t>
      </w:r>
      <w:r>
        <w:t>quelques</w:t>
      </w:r>
      <w:r w:rsidRPr="002C4077">
        <w:t xml:space="preserve"> </w:t>
      </w:r>
      <w:r>
        <w:t>lignes,</w:t>
      </w:r>
      <w:r w:rsidRPr="002C4077">
        <w:t xml:space="preserve"> </w:t>
      </w:r>
      <w:r>
        <w:t>l’irruption</w:t>
      </w:r>
      <w:r w:rsidRPr="002C4077">
        <w:t xml:space="preserve"> </w:t>
      </w:r>
      <w:r>
        <w:t>de</w:t>
      </w:r>
      <w:r w:rsidRPr="002C4077">
        <w:t xml:space="preserve"> </w:t>
      </w:r>
      <w:r>
        <w:t>la</w:t>
      </w:r>
      <w:r w:rsidRPr="002C4077">
        <w:t xml:space="preserve"> </w:t>
      </w:r>
      <w:r>
        <w:t>morale</w:t>
      </w:r>
      <w:r w:rsidRPr="002C4077">
        <w:t xml:space="preserve"> </w:t>
      </w:r>
      <w:r>
        <w:t>dans</w:t>
      </w:r>
      <w:r w:rsidRPr="002C4077">
        <w:t xml:space="preserve"> </w:t>
      </w:r>
      <w:r>
        <w:t>le</w:t>
      </w:r>
      <w:r w:rsidRPr="002C4077">
        <w:t xml:space="preserve"> </w:t>
      </w:r>
      <w:r>
        <w:t>dogme</w:t>
      </w:r>
      <w:r w:rsidR="00B546AF">
        <w:t> !</w:t>
      </w:r>
      <w:r w:rsidRPr="002C4077">
        <w:t xml:space="preserve"> </w:t>
      </w:r>
    </w:p>
    <w:p w:rsidR="000A7AAB" w:rsidRDefault="000A7AAB" w:rsidP="000A7AAB">
      <w:r>
        <w:t>La</w:t>
      </w:r>
      <w:r w:rsidRPr="002C4077">
        <w:t xml:space="preserve"> </w:t>
      </w:r>
      <w:r>
        <w:t>nature</w:t>
      </w:r>
      <w:r w:rsidRPr="002C4077">
        <w:t xml:space="preserve"> </w:t>
      </w:r>
      <w:r>
        <w:t>de</w:t>
      </w:r>
      <w:r w:rsidRPr="002C4077">
        <w:t xml:space="preserve"> </w:t>
      </w:r>
      <w:r>
        <w:t>Dieu</w:t>
      </w:r>
      <w:r w:rsidRPr="002C4077">
        <w:t xml:space="preserve"> </w:t>
      </w:r>
      <w:r>
        <w:t>n’est</w:t>
      </w:r>
      <w:r w:rsidRPr="002C4077">
        <w:t xml:space="preserve"> </w:t>
      </w:r>
      <w:r>
        <w:t>pas</w:t>
      </w:r>
      <w:r w:rsidRPr="002C4077">
        <w:t xml:space="preserve"> </w:t>
      </w:r>
      <w:r>
        <w:t>même</w:t>
      </w:r>
      <w:r w:rsidRPr="002C4077">
        <w:t xml:space="preserve"> </w:t>
      </w:r>
      <w:r>
        <w:t>définie</w:t>
      </w:r>
      <w:r w:rsidRPr="002C4077">
        <w:t xml:space="preserve"> </w:t>
      </w:r>
      <w:r>
        <w:t>dans</w:t>
      </w:r>
      <w:r w:rsidRPr="002C4077">
        <w:t xml:space="preserve"> </w:t>
      </w:r>
      <w:r>
        <w:t>ce</w:t>
      </w:r>
      <w:r w:rsidRPr="002C4077">
        <w:t xml:space="preserve"> </w:t>
      </w:r>
      <w:r>
        <w:t>chapitre</w:t>
      </w:r>
      <w:r w:rsidR="00B546AF">
        <w:t> ;</w:t>
      </w:r>
      <w:r w:rsidRPr="002C4077">
        <w:t xml:space="preserve"> </w:t>
      </w:r>
      <w:r>
        <w:t>et</w:t>
      </w:r>
      <w:r w:rsidRPr="002C4077">
        <w:t xml:space="preserve"> </w:t>
      </w:r>
      <w:r>
        <w:t>pourtant</w:t>
      </w:r>
      <w:r w:rsidRPr="002C4077">
        <w:t xml:space="preserve"> </w:t>
      </w:r>
      <w:r>
        <w:t>c’est</w:t>
      </w:r>
      <w:r w:rsidRPr="002C4077">
        <w:t xml:space="preserve"> </w:t>
      </w:r>
      <w:r>
        <w:t>par</w:t>
      </w:r>
      <w:r w:rsidRPr="002C4077">
        <w:t xml:space="preserve"> </w:t>
      </w:r>
      <w:r>
        <w:t>là</w:t>
      </w:r>
      <w:r w:rsidRPr="002C4077">
        <w:t xml:space="preserve"> </w:t>
      </w:r>
      <w:r>
        <w:t>qu’on</w:t>
      </w:r>
      <w:r w:rsidRPr="002C4077">
        <w:t xml:space="preserve"> </w:t>
      </w:r>
      <w:r>
        <w:t>aurait</w:t>
      </w:r>
      <w:r w:rsidRPr="002C4077">
        <w:t xml:space="preserve"> </w:t>
      </w:r>
      <w:r>
        <w:t>dû</w:t>
      </w:r>
      <w:r w:rsidRPr="002C4077">
        <w:t xml:space="preserve"> </w:t>
      </w:r>
      <w:r>
        <w:t>commencer.</w:t>
      </w:r>
      <w:r w:rsidR="00C45B47">
        <w:t xml:space="preserve"> {</w:t>
      </w:r>
      <w:r w:rsidR="001F5257">
        <w:t>271</w:t>
      </w:r>
      <w:bookmarkStart w:id="657" w:name="p271"/>
      <w:bookmarkEnd w:id="657"/>
      <w:r w:rsidR="001F5257">
        <w:t xml:space="preserve">} </w:t>
      </w:r>
      <w:r>
        <w:t>Pour</w:t>
      </w:r>
      <w:r w:rsidRPr="002C4077">
        <w:t xml:space="preserve"> </w:t>
      </w:r>
      <w:r>
        <w:t>être</w:t>
      </w:r>
      <w:r w:rsidRPr="002C4077">
        <w:t xml:space="preserve"> </w:t>
      </w:r>
      <w:r>
        <w:t>éclairé</w:t>
      </w:r>
      <w:r w:rsidRPr="002C4077">
        <w:t xml:space="preserve"> </w:t>
      </w:r>
      <w:r>
        <w:t>sur</w:t>
      </w:r>
      <w:r w:rsidRPr="002C4077">
        <w:t xml:space="preserve"> </w:t>
      </w:r>
      <w:r>
        <w:t>ce</w:t>
      </w:r>
      <w:r w:rsidRPr="002C4077">
        <w:t xml:space="preserve"> </w:t>
      </w:r>
      <w:r>
        <w:t>point</w:t>
      </w:r>
      <w:r w:rsidRPr="002C4077">
        <w:t xml:space="preserve"> </w:t>
      </w:r>
      <w:r>
        <w:t>important,</w:t>
      </w:r>
      <w:r w:rsidRPr="002C4077">
        <w:t xml:space="preserve"> </w:t>
      </w:r>
      <w:r>
        <w:t>il</w:t>
      </w:r>
      <w:r w:rsidRPr="002C4077">
        <w:t xml:space="preserve"> </w:t>
      </w:r>
      <w:r>
        <w:t>faut</w:t>
      </w:r>
      <w:r w:rsidRPr="002C4077">
        <w:t xml:space="preserve"> </w:t>
      </w:r>
      <w:r>
        <w:t>aller</w:t>
      </w:r>
      <w:r w:rsidRPr="002C4077">
        <w:t xml:space="preserve"> </w:t>
      </w:r>
      <w:r>
        <w:t>jusqu’à</w:t>
      </w:r>
      <w:r w:rsidRPr="002C4077">
        <w:t xml:space="preserve"> </w:t>
      </w:r>
      <w:r>
        <w:t>la</w:t>
      </w:r>
      <w:r w:rsidRPr="002C4077">
        <w:t xml:space="preserve"> </w:t>
      </w:r>
      <w:r w:rsidR="007B3C26">
        <w:t>V</w:t>
      </w:r>
      <w:r w:rsidR="007B3C26" w:rsidRPr="007B3C26">
        <w:rPr>
          <w:vertAlign w:val="superscript"/>
        </w:rPr>
        <w:t>e</w:t>
      </w:r>
      <w:r w:rsidRPr="002C4077">
        <w:t xml:space="preserve"> </w:t>
      </w:r>
      <w:r>
        <w:t>leçon</w:t>
      </w:r>
      <w:r w:rsidRPr="002C4077">
        <w:t xml:space="preserve"> </w:t>
      </w:r>
      <w:r>
        <w:t>de</w:t>
      </w:r>
      <w:r w:rsidRPr="002C4077">
        <w:t xml:space="preserve"> </w:t>
      </w:r>
      <w:r>
        <w:t>la</w:t>
      </w:r>
      <w:r w:rsidRPr="002C4077">
        <w:t xml:space="preserve"> </w:t>
      </w:r>
      <w:r>
        <w:t>section</w:t>
      </w:r>
      <w:r w:rsidRPr="002C4077">
        <w:t xml:space="preserve"> </w:t>
      </w:r>
      <w:r>
        <w:t>première,</w:t>
      </w:r>
      <w:r w:rsidRPr="002C4077">
        <w:t xml:space="preserve"> </w:t>
      </w:r>
      <w:r>
        <w:t>intitulée</w:t>
      </w:r>
      <w:r w:rsidR="00B546AF">
        <w:t> :</w:t>
      </w:r>
      <w:r w:rsidRPr="002C4077">
        <w:t xml:space="preserve"> </w:t>
      </w:r>
      <w:r w:rsidR="00B546AF">
        <w:t>« </w:t>
      </w:r>
      <w:r>
        <w:t>Des</w:t>
      </w:r>
      <w:r w:rsidRPr="002C4077">
        <w:t xml:space="preserve"> </w:t>
      </w:r>
      <w:r>
        <w:t>principes</w:t>
      </w:r>
      <w:r w:rsidRPr="002C4077">
        <w:t xml:space="preserve"> </w:t>
      </w:r>
      <w:r>
        <w:t>fondamentaux</w:t>
      </w:r>
      <w:r w:rsidRPr="002C4077">
        <w:t xml:space="preserve"> </w:t>
      </w:r>
      <w:r>
        <w:t>de</w:t>
      </w:r>
      <w:r w:rsidRPr="002C4077">
        <w:t xml:space="preserve"> </w:t>
      </w:r>
      <w:r>
        <w:t>notre</w:t>
      </w:r>
      <w:r w:rsidRPr="002C4077">
        <w:t xml:space="preserve"> </w:t>
      </w:r>
      <w:r>
        <w:t>croyance</w:t>
      </w:r>
      <w:r w:rsidR="00B546AF">
        <w:t> »</w:t>
      </w:r>
      <w:r>
        <w:t>.</w:t>
      </w:r>
      <w:r w:rsidRPr="002C4077">
        <w:t xml:space="preserve"> </w:t>
      </w:r>
      <w:r>
        <w:t>Nous</w:t>
      </w:r>
      <w:r w:rsidRPr="002C4077">
        <w:t xml:space="preserve"> </w:t>
      </w:r>
      <w:r>
        <w:t>la</w:t>
      </w:r>
      <w:r w:rsidRPr="002C4077">
        <w:t xml:space="preserve"> </w:t>
      </w:r>
      <w:r>
        <w:t>citons</w:t>
      </w:r>
      <w:r w:rsidRPr="002C4077">
        <w:t xml:space="preserve"> </w:t>
      </w:r>
      <w:r>
        <w:t>en</w:t>
      </w:r>
      <w:r w:rsidRPr="002C4077">
        <w:t xml:space="preserve"> </w:t>
      </w:r>
      <w:r>
        <w:t>entier,</w:t>
      </w:r>
      <w:r w:rsidRPr="002C4077">
        <w:t xml:space="preserve"> </w:t>
      </w:r>
      <w:r>
        <w:t>car</w:t>
      </w:r>
      <w:r w:rsidRPr="002C4077">
        <w:t xml:space="preserve"> </w:t>
      </w:r>
      <w:r>
        <w:t>elle</w:t>
      </w:r>
      <w:r w:rsidRPr="002C4077">
        <w:t xml:space="preserve"> </w:t>
      </w:r>
      <w:r>
        <w:t>reproduit</w:t>
      </w:r>
      <w:r w:rsidRPr="002C4077">
        <w:t xml:space="preserve"> </w:t>
      </w:r>
      <w:r w:rsidRPr="000A34B5">
        <w:rPr>
          <w:rStyle w:val="italicus"/>
        </w:rPr>
        <w:t>in</w:t>
      </w:r>
      <w:r w:rsidRPr="002C4077">
        <w:t xml:space="preserve"> </w:t>
      </w:r>
      <w:r w:rsidRPr="000A34B5">
        <w:rPr>
          <w:rStyle w:val="italicus"/>
        </w:rPr>
        <w:t>extenso</w:t>
      </w:r>
      <w:r w:rsidRPr="002C4077">
        <w:t xml:space="preserve"> </w:t>
      </w:r>
      <w:r>
        <w:t>le</w:t>
      </w:r>
      <w:r w:rsidRPr="002C4077">
        <w:t xml:space="preserve"> </w:t>
      </w:r>
      <w:r>
        <w:t>Symbole</w:t>
      </w:r>
      <w:bookmarkStart w:id="658" w:name="z_CateIsraelite_o5"/>
      <w:bookmarkEnd w:id="658"/>
      <w:r w:rsidRPr="002C4077">
        <w:t xml:space="preserve"> </w:t>
      </w:r>
      <w:r>
        <w:t>israélite</w:t>
      </w:r>
      <w:bookmarkStart w:id="659" w:name="z_Symbole_o1"/>
      <w:bookmarkEnd w:id="659"/>
      <w:r w:rsidRPr="002C4077">
        <w:t xml:space="preserve"> </w:t>
      </w:r>
      <w:r>
        <w:t>avec</w:t>
      </w:r>
      <w:r w:rsidRPr="002C4077">
        <w:t xml:space="preserve"> </w:t>
      </w:r>
      <w:r>
        <w:t>ses</w:t>
      </w:r>
      <w:r w:rsidRPr="002C4077">
        <w:t xml:space="preserve"> </w:t>
      </w:r>
      <w:r>
        <w:t>treize</w:t>
      </w:r>
      <w:r w:rsidRPr="002C4077">
        <w:t xml:space="preserve"> </w:t>
      </w:r>
      <w:r>
        <w:t>articles.</w:t>
      </w:r>
      <w:r w:rsidRPr="002C4077">
        <w:t xml:space="preserve"> </w:t>
      </w:r>
    </w:p>
    <w:p w:rsidR="000A7AAB" w:rsidRDefault="000A7AAB" w:rsidP="007E4381">
      <w:pPr>
        <w:pStyle w:val="locus"/>
      </w:pPr>
      <w:r>
        <w:t>D.</w:t>
      </w:r>
      <w:r w:rsidRPr="002C4077">
        <w:t xml:space="preserve"> </w:t>
      </w:r>
      <w:r>
        <w:t>Quels</w:t>
      </w:r>
      <w:r w:rsidRPr="002C4077">
        <w:t xml:space="preserve"> </w:t>
      </w:r>
      <w:r>
        <w:t>sont</w:t>
      </w:r>
      <w:r w:rsidRPr="002C4077">
        <w:t xml:space="preserve"> </w:t>
      </w:r>
      <w:r>
        <w:t>les</w:t>
      </w:r>
      <w:r w:rsidRPr="002C4077">
        <w:t xml:space="preserve"> </w:t>
      </w:r>
      <w:r>
        <w:t>principes</w:t>
      </w:r>
      <w:r w:rsidRPr="002C4077">
        <w:t xml:space="preserve"> </w:t>
      </w:r>
      <w:r>
        <w:t>fondamentaux</w:t>
      </w:r>
      <w:r w:rsidRPr="002C4077">
        <w:t xml:space="preserve"> </w:t>
      </w:r>
      <w:r>
        <w:t>de</w:t>
      </w:r>
      <w:r w:rsidRPr="002C4077">
        <w:t xml:space="preserve"> </w:t>
      </w:r>
      <w:r>
        <w:t>notre</w:t>
      </w:r>
      <w:r w:rsidRPr="002C4077">
        <w:t xml:space="preserve"> </w:t>
      </w:r>
      <w:r>
        <w:t>croyance</w:t>
      </w:r>
      <w:r w:rsidR="00B546AF">
        <w:t> ?</w:t>
      </w:r>
      <w:r w:rsidRPr="002C4077">
        <w:t xml:space="preserve"> </w:t>
      </w:r>
    </w:p>
    <w:p w:rsidR="000A7AAB" w:rsidRDefault="000A7AAB" w:rsidP="007E4381">
      <w:pPr>
        <w:pStyle w:val="locus"/>
      </w:pPr>
      <w:r>
        <w:t>R.</w:t>
      </w:r>
      <w:r w:rsidRPr="002C4077">
        <w:t xml:space="preserve"> </w:t>
      </w:r>
      <w:r>
        <w:t>Ce</w:t>
      </w:r>
      <w:r w:rsidRPr="002C4077">
        <w:t xml:space="preserve"> </w:t>
      </w:r>
      <w:r>
        <w:t>sont</w:t>
      </w:r>
      <w:r w:rsidRPr="002C4077">
        <w:t xml:space="preserve"> </w:t>
      </w:r>
      <w:r>
        <w:t>les</w:t>
      </w:r>
      <w:r w:rsidRPr="002C4077">
        <w:t xml:space="preserve"> </w:t>
      </w:r>
      <w:r>
        <w:t>treize</w:t>
      </w:r>
      <w:r w:rsidRPr="002C4077">
        <w:t xml:space="preserve"> </w:t>
      </w:r>
      <w:r>
        <w:t>articles</w:t>
      </w:r>
      <w:r w:rsidRPr="002C4077">
        <w:t xml:space="preserve"> </w:t>
      </w:r>
      <w:r>
        <w:t>de</w:t>
      </w:r>
      <w:r w:rsidRPr="002C4077">
        <w:t xml:space="preserve"> </w:t>
      </w:r>
      <w:r>
        <w:t>foi.</w:t>
      </w:r>
      <w:r w:rsidRPr="002C4077">
        <w:t xml:space="preserve"> </w:t>
      </w:r>
    </w:p>
    <w:p w:rsidR="000A7AAB" w:rsidRDefault="000A7AAB" w:rsidP="007E4381">
      <w:pPr>
        <w:pStyle w:val="locus"/>
      </w:pPr>
      <w:r>
        <w:t>D.</w:t>
      </w:r>
      <w:r w:rsidRPr="002C4077">
        <w:t xml:space="preserve"> </w:t>
      </w:r>
      <w:r>
        <w:t>Récitez-moi</w:t>
      </w:r>
      <w:r w:rsidRPr="002C4077">
        <w:t xml:space="preserve"> </w:t>
      </w:r>
      <w:r>
        <w:t>ces</w:t>
      </w:r>
      <w:r w:rsidRPr="002C4077">
        <w:t xml:space="preserve"> </w:t>
      </w:r>
      <w:r>
        <w:t>treize</w:t>
      </w:r>
      <w:r w:rsidRPr="002C4077">
        <w:t xml:space="preserve"> </w:t>
      </w:r>
      <w:r>
        <w:t>articles.</w:t>
      </w:r>
      <w:r w:rsidRPr="002C4077">
        <w:t xml:space="preserve"> </w:t>
      </w:r>
    </w:p>
    <w:p w:rsidR="000A7AAB" w:rsidRDefault="000A7AAB" w:rsidP="007E4381">
      <w:pPr>
        <w:pStyle w:val="locus"/>
      </w:pPr>
      <w:r>
        <w:t>R.</w:t>
      </w:r>
      <w:r w:rsidRPr="002C4077">
        <w:t xml:space="preserve"> </w:t>
      </w:r>
      <w:r>
        <w:t>Je</w:t>
      </w:r>
      <w:r w:rsidRPr="002C4077">
        <w:t xml:space="preserve"> </w:t>
      </w:r>
      <w:r>
        <w:t>crois</w:t>
      </w:r>
      <w:r w:rsidR="00B546AF">
        <w:t> :</w:t>
      </w:r>
      <w:r w:rsidRPr="002C4077">
        <w:t xml:space="preserve"> </w:t>
      </w:r>
    </w:p>
    <w:p w:rsidR="000A7AAB" w:rsidRDefault="000A7AAB" w:rsidP="007E4381">
      <w:pPr>
        <w:pStyle w:val="locus"/>
      </w:pPr>
      <w:r>
        <w:t>1°</w:t>
      </w:r>
      <w:r w:rsidRPr="002C4077">
        <w:t xml:space="preserve"> </w:t>
      </w:r>
      <w:r>
        <w:t>Que</w:t>
      </w:r>
      <w:r w:rsidRPr="002C4077">
        <w:t xml:space="preserve"> </w:t>
      </w:r>
      <w:r>
        <w:t>Dieu</w:t>
      </w:r>
      <w:r w:rsidRPr="002C4077">
        <w:t xml:space="preserve"> </w:t>
      </w:r>
      <w:r w:rsidR="00425C50">
        <w:t>est</w:t>
      </w:r>
      <w:r>
        <w:t>,</w:t>
      </w:r>
      <w:r w:rsidRPr="002C4077">
        <w:t xml:space="preserve"> </w:t>
      </w:r>
      <w:r>
        <w:t>qu’il</w:t>
      </w:r>
      <w:r w:rsidRPr="002C4077">
        <w:t xml:space="preserve"> </w:t>
      </w:r>
      <w:r>
        <w:t>a</w:t>
      </w:r>
      <w:r w:rsidRPr="002C4077">
        <w:t xml:space="preserve"> </w:t>
      </w:r>
      <w:r>
        <w:t>été</w:t>
      </w:r>
      <w:r w:rsidRPr="002C4077">
        <w:t xml:space="preserve"> </w:t>
      </w:r>
      <w:r>
        <w:t>et</w:t>
      </w:r>
      <w:r w:rsidRPr="002C4077">
        <w:t xml:space="preserve"> </w:t>
      </w:r>
      <w:r>
        <w:t>qu’il</w:t>
      </w:r>
      <w:r w:rsidRPr="002C4077">
        <w:t xml:space="preserve"> </w:t>
      </w:r>
      <w:r>
        <w:t>sera</w:t>
      </w:r>
      <w:r w:rsidRPr="002C4077">
        <w:t xml:space="preserve"> </w:t>
      </w:r>
      <w:r>
        <w:t>éternellement</w:t>
      </w:r>
      <w:r w:rsidR="00B546AF">
        <w:t> ;</w:t>
      </w:r>
      <w:r w:rsidRPr="002C4077">
        <w:t xml:space="preserve"> </w:t>
      </w:r>
    </w:p>
    <w:p w:rsidR="000A7AAB" w:rsidRDefault="000A7AAB" w:rsidP="007E4381">
      <w:pPr>
        <w:pStyle w:val="locus"/>
      </w:pPr>
      <w:r>
        <w:lastRenderedPageBreak/>
        <w:t>2°</w:t>
      </w:r>
      <w:r w:rsidRPr="002C4077">
        <w:t xml:space="preserve"> </w:t>
      </w:r>
      <w:r>
        <w:t>Qu’il</w:t>
      </w:r>
      <w:r w:rsidRPr="002C4077">
        <w:t xml:space="preserve"> </w:t>
      </w:r>
      <w:r>
        <w:t>n’y</w:t>
      </w:r>
      <w:r w:rsidRPr="002C4077">
        <w:t xml:space="preserve"> </w:t>
      </w:r>
      <w:r>
        <w:t>a</w:t>
      </w:r>
      <w:r w:rsidRPr="002C4077">
        <w:t xml:space="preserve"> </w:t>
      </w:r>
      <w:r>
        <w:t>qu’un</w:t>
      </w:r>
      <w:r w:rsidRPr="002C4077">
        <w:t xml:space="preserve"> </w:t>
      </w:r>
      <w:r>
        <w:t>seul</w:t>
      </w:r>
      <w:r w:rsidRPr="002C4077">
        <w:t xml:space="preserve"> </w:t>
      </w:r>
      <w:r>
        <w:t>Dieu</w:t>
      </w:r>
      <w:r w:rsidR="00B546AF">
        <w:t> ;</w:t>
      </w:r>
      <w:r w:rsidRPr="002C4077">
        <w:t xml:space="preserve"> </w:t>
      </w:r>
    </w:p>
    <w:p w:rsidR="000A7AAB" w:rsidRDefault="000A7AAB" w:rsidP="007E4381">
      <w:pPr>
        <w:pStyle w:val="locus"/>
      </w:pPr>
      <w:r>
        <w:t>3°</w:t>
      </w:r>
      <w:r w:rsidRPr="002C4077">
        <w:t xml:space="preserve"> </w:t>
      </w:r>
      <w:r>
        <w:t>Que</w:t>
      </w:r>
      <w:r w:rsidRPr="002C4077">
        <w:t xml:space="preserve"> </w:t>
      </w:r>
      <w:r>
        <w:t>Dieu</w:t>
      </w:r>
      <w:r w:rsidRPr="002C4077">
        <w:t xml:space="preserve"> </w:t>
      </w:r>
      <w:r>
        <w:t>n’a</w:t>
      </w:r>
      <w:r w:rsidRPr="002C4077">
        <w:t xml:space="preserve"> </w:t>
      </w:r>
      <w:r>
        <w:t>point</w:t>
      </w:r>
      <w:r w:rsidRPr="002C4077">
        <w:t xml:space="preserve"> </w:t>
      </w:r>
      <w:r>
        <w:t>de</w:t>
      </w:r>
      <w:r w:rsidRPr="002C4077">
        <w:t xml:space="preserve"> </w:t>
      </w:r>
      <w:r>
        <w:t>corps</w:t>
      </w:r>
      <w:r w:rsidRPr="002C4077">
        <w:t xml:space="preserve"> </w:t>
      </w:r>
      <w:r>
        <w:t>ni</w:t>
      </w:r>
      <w:r w:rsidRPr="002C4077">
        <w:t xml:space="preserve"> </w:t>
      </w:r>
      <w:r>
        <w:t>rien</w:t>
      </w:r>
      <w:r w:rsidRPr="002C4077">
        <w:t xml:space="preserve"> </w:t>
      </w:r>
      <w:r>
        <w:t>de</w:t>
      </w:r>
      <w:r w:rsidRPr="002C4077">
        <w:t xml:space="preserve"> </w:t>
      </w:r>
      <w:r>
        <w:t>corporel</w:t>
      </w:r>
      <w:r w:rsidR="00B546AF">
        <w:t> ;</w:t>
      </w:r>
      <w:r w:rsidRPr="002C4077">
        <w:t xml:space="preserve"> </w:t>
      </w:r>
    </w:p>
    <w:p w:rsidR="000A7AAB" w:rsidRDefault="000A7AAB" w:rsidP="007E4381">
      <w:pPr>
        <w:pStyle w:val="locus"/>
      </w:pPr>
      <w:r>
        <w:t>4°</w:t>
      </w:r>
      <w:r w:rsidRPr="002C4077">
        <w:t xml:space="preserve"> </w:t>
      </w:r>
      <w:r>
        <w:t>Que</w:t>
      </w:r>
      <w:r w:rsidRPr="002C4077">
        <w:t xml:space="preserve"> </w:t>
      </w:r>
      <w:r>
        <w:t>Dieu</w:t>
      </w:r>
      <w:r w:rsidRPr="002C4077">
        <w:t xml:space="preserve"> </w:t>
      </w:r>
      <w:r>
        <w:t>a</w:t>
      </w:r>
      <w:r w:rsidRPr="002C4077">
        <w:t xml:space="preserve"> </w:t>
      </w:r>
      <w:r>
        <w:t>tout</w:t>
      </w:r>
      <w:r w:rsidRPr="002C4077">
        <w:t xml:space="preserve"> </w:t>
      </w:r>
      <w:r>
        <w:t>créé</w:t>
      </w:r>
      <w:r w:rsidRPr="002C4077">
        <w:t xml:space="preserve"> </w:t>
      </w:r>
      <w:r>
        <w:t>ce</w:t>
      </w:r>
      <w:r w:rsidRPr="002C4077">
        <w:t xml:space="preserve"> </w:t>
      </w:r>
      <w:r>
        <w:t>qui</w:t>
      </w:r>
      <w:r w:rsidRPr="002C4077">
        <w:t xml:space="preserve"> </w:t>
      </w:r>
      <w:r>
        <w:t>existe</w:t>
      </w:r>
      <w:r w:rsidR="00B546AF">
        <w:t> ;</w:t>
      </w:r>
      <w:r w:rsidRPr="002C4077">
        <w:t xml:space="preserve"> </w:t>
      </w:r>
    </w:p>
    <w:p w:rsidR="000A7AAB" w:rsidRDefault="000A7AAB" w:rsidP="007E4381">
      <w:pPr>
        <w:pStyle w:val="locus"/>
      </w:pPr>
      <w:r>
        <w:t>5°</w:t>
      </w:r>
      <w:r w:rsidRPr="002C4077">
        <w:t xml:space="preserve"> </w:t>
      </w:r>
      <w:r>
        <w:t>Que</w:t>
      </w:r>
      <w:r w:rsidRPr="002C4077">
        <w:t xml:space="preserve"> </w:t>
      </w:r>
      <w:r>
        <w:t>c’est</w:t>
      </w:r>
      <w:r w:rsidRPr="002C4077">
        <w:t xml:space="preserve"> </w:t>
      </w:r>
      <w:r>
        <w:t>à</w:t>
      </w:r>
      <w:r w:rsidRPr="002C4077">
        <w:t xml:space="preserve"> </w:t>
      </w:r>
      <w:r>
        <w:t>lui</w:t>
      </w:r>
      <w:r w:rsidRPr="002C4077">
        <w:t xml:space="preserve"> </w:t>
      </w:r>
      <w:r>
        <w:t>seul</w:t>
      </w:r>
      <w:r w:rsidRPr="002C4077">
        <w:t xml:space="preserve"> </w:t>
      </w:r>
      <w:r>
        <w:t>que</w:t>
      </w:r>
      <w:r w:rsidRPr="002C4077">
        <w:t xml:space="preserve"> </w:t>
      </w:r>
      <w:r>
        <w:t>nous</w:t>
      </w:r>
      <w:r w:rsidRPr="002C4077">
        <w:t xml:space="preserve"> </w:t>
      </w:r>
      <w:r>
        <w:t>devons</w:t>
      </w:r>
      <w:r w:rsidRPr="002C4077">
        <w:t xml:space="preserve"> </w:t>
      </w:r>
      <w:r>
        <w:t>adresser</w:t>
      </w:r>
      <w:r w:rsidRPr="002C4077">
        <w:t xml:space="preserve"> </w:t>
      </w:r>
      <w:r>
        <w:t>nos</w:t>
      </w:r>
      <w:r w:rsidRPr="002C4077">
        <w:t xml:space="preserve"> </w:t>
      </w:r>
      <w:r>
        <w:t>prières</w:t>
      </w:r>
      <w:r w:rsidR="00B546AF">
        <w:t> ;</w:t>
      </w:r>
      <w:r w:rsidRPr="002C4077">
        <w:t xml:space="preserve"> </w:t>
      </w:r>
    </w:p>
    <w:p w:rsidR="000A7AAB" w:rsidRDefault="000A7AAB" w:rsidP="007E4381">
      <w:pPr>
        <w:pStyle w:val="locus"/>
      </w:pPr>
      <w:r>
        <w:t>6°</w:t>
      </w:r>
      <w:r w:rsidRPr="002C4077">
        <w:t xml:space="preserve"> </w:t>
      </w:r>
      <w:r>
        <w:t>Que</w:t>
      </w:r>
      <w:r w:rsidRPr="002C4077">
        <w:t xml:space="preserve"> </w:t>
      </w:r>
      <w:r>
        <w:t>nos</w:t>
      </w:r>
      <w:r w:rsidRPr="002C4077">
        <w:t xml:space="preserve"> </w:t>
      </w:r>
      <w:r>
        <w:t>prophètes</w:t>
      </w:r>
      <w:r w:rsidRPr="002C4077">
        <w:t xml:space="preserve"> </w:t>
      </w:r>
      <w:r>
        <w:t>ont</w:t>
      </w:r>
      <w:r w:rsidRPr="002C4077">
        <w:t xml:space="preserve"> </w:t>
      </w:r>
      <w:r>
        <w:t>été</w:t>
      </w:r>
      <w:r w:rsidRPr="002C4077">
        <w:t xml:space="preserve"> </w:t>
      </w:r>
      <w:r>
        <w:t>inspirés</w:t>
      </w:r>
      <w:r w:rsidRPr="002C4077">
        <w:t xml:space="preserve"> </w:t>
      </w:r>
      <w:r>
        <w:t>de</w:t>
      </w:r>
      <w:r w:rsidRPr="002C4077">
        <w:t xml:space="preserve"> </w:t>
      </w:r>
      <w:r>
        <w:t>Dieu</w:t>
      </w:r>
      <w:r w:rsidR="00B546AF">
        <w:t> ;</w:t>
      </w:r>
      <w:r w:rsidRPr="002C4077">
        <w:t xml:space="preserve"> </w:t>
      </w:r>
    </w:p>
    <w:p w:rsidR="000A7AAB" w:rsidRDefault="000A7AAB" w:rsidP="007E4381">
      <w:pPr>
        <w:pStyle w:val="locus"/>
      </w:pPr>
      <w:r>
        <w:t>7°</w:t>
      </w:r>
      <w:r w:rsidRPr="002C4077">
        <w:t xml:space="preserve"> </w:t>
      </w:r>
      <w:r>
        <w:t>Que</w:t>
      </w:r>
      <w:r w:rsidRPr="002C4077">
        <w:t xml:space="preserve"> </w:t>
      </w:r>
      <w:r>
        <w:t>Moïse</w:t>
      </w:r>
      <w:r w:rsidRPr="002C4077">
        <w:t xml:space="preserve"> </w:t>
      </w:r>
      <w:r w:rsidR="00425C50">
        <w:t>est</w:t>
      </w:r>
      <w:r w:rsidRPr="002C4077">
        <w:t xml:space="preserve"> </w:t>
      </w:r>
      <w:r>
        <w:t>le</w:t>
      </w:r>
      <w:r w:rsidRPr="002C4077">
        <w:t xml:space="preserve"> </w:t>
      </w:r>
      <w:r>
        <w:t>plus</w:t>
      </w:r>
      <w:r w:rsidRPr="002C4077">
        <w:t xml:space="preserve"> </w:t>
      </w:r>
      <w:r>
        <w:t>grand</w:t>
      </w:r>
      <w:r w:rsidRPr="002C4077">
        <w:t xml:space="preserve"> </w:t>
      </w:r>
      <w:r>
        <w:t>de</w:t>
      </w:r>
      <w:r w:rsidRPr="002C4077">
        <w:t xml:space="preserve"> </w:t>
      </w:r>
      <w:r>
        <w:t>tous</w:t>
      </w:r>
      <w:r w:rsidRPr="002C4077">
        <w:t xml:space="preserve"> </w:t>
      </w:r>
      <w:r>
        <w:t>les</w:t>
      </w:r>
      <w:r w:rsidRPr="002C4077">
        <w:t xml:space="preserve"> </w:t>
      </w:r>
      <w:r>
        <w:t>prophètes</w:t>
      </w:r>
      <w:r w:rsidR="00B546AF">
        <w:t> ;</w:t>
      </w:r>
      <w:r w:rsidRPr="002C4077">
        <w:t xml:space="preserve"> </w:t>
      </w:r>
    </w:p>
    <w:p w:rsidR="000A7AAB" w:rsidRDefault="000A7AAB" w:rsidP="007E4381">
      <w:pPr>
        <w:pStyle w:val="locus"/>
      </w:pPr>
      <w:r>
        <w:t>8°</w:t>
      </w:r>
      <w:r w:rsidRPr="002C4077">
        <w:t xml:space="preserve"> </w:t>
      </w:r>
      <w:r>
        <w:t>Que</w:t>
      </w:r>
      <w:r w:rsidRPr="002C4077">
        <w:t xml:space="preserve"> </w:t>
      </w:r>
      <w:r>
        <w:t>la</w:t>
      </w:r>
      <w:r w:rsidRPr="002C4077">
        <w:t xml:space="preserve"> </w:t>
      </w:r>
      <w:r>
        <w:t>loi</w:t>
      </w:r>
      <w:r w:rsidRPr="002C4077">
        <w:t xml:space="preserve"> </w:t>
      </w:r>
      <w:r>
        <w:t>tant</w:t>
      </w:r>
      <w:r w:rsidRPr="002C4077">
        <w:t xml:space="preserve"> </w:t>
      </w:r>
      <w:r>
        <w:t>écrite</w:t>
      </w:r>
      <w:r w:rsidRPr="002C4077">
        <w:t xml:space="preserve"> </w:t>
      </w:r>
      <w:r>
        <w:t>qu’orale,</w:t>
      </w:r>
      <w:r w:rsidRPr="002C4077">
        <w:t xml:space="preserve"> </w:t>
      </w:r>
      <w:r>
        <w:t>que</w:t>
      </w:r>
      <w:r w:rsidRPr="002C4077">
        <w:t xml:space="preserve"> </w:t>
      </w:r>
      <w:r>
        <w:t>nous</w:t>
      </w:r>
      <w:r w:rsidRPr="002C4077">
        <w:t xml:space="preserve"> </w:t>
      </w:r>
      <w:r>
        <w:t>suivons,</w:t>
      </w:r>
      <w:r w:rsidRPr="002C4077">
        <w:t xml:space="preserve"> </w:t>
      </w:r>
      <w:r w:rsidR="00425C50">
        <w:t>est</w:t>
      </w:r>
      <w:r w:rsidRPr="002C4077">
        <w:t xml:space="preserve"> </w:t>
      </w:r>
      <w:r>
        <w:t>celle</w:t>
      </w:r>
      <w:r w:rsidRPr="002C4077">
        <w:t xml:space="preserve"> </w:t>
      </w:r>
      <w:r>
        <w:t>que</w:t>
      </w:r>
      <w:r w:rsidRPr="002C4077">
        <w:t xml:space="preserve"> </w:t>
      </w:r>
      <w:r>
        <w:t>Dieu</w:t>
      </w:r>
      <w:r w:rsidRPr="002C4077">
        <w:t xml:space="preserve"> </w:t>
      </w:r>
      <w:r>
        <w:t>a</w:t>
      </w:r>
      <w:r w:rsidRPr="002C4077">
        <w:t xml:space="preserve"> </w:t>
      </w:r>
      <w:r>
        <w:t>donnée</w:t>
      </w:r>
      <w:r w:rsidRPr="002C4077">
        <w:t xml:space="preserve"> </w:t>
      </w:r>
      <w:r>
        <w:t>à</w:t>
      </w:r>
      <w:r w:rsidRPr="002C4077">
        <w:t xml:space="preserve"> </w:t>
      </w:r>
      <w:r>
        <w:t>Moïse</w:t>
      </w:r>
      <w:r w:rsidR="00B546AF">
        <w:t> ;</w:t>
      </w:r>
      <w:r w:rsidRPr="002C4077">
        <w:t xml:space="preserve"> </w:t>
      </w:r>
    </w:p>
    <w:p w:rsidR="000A7AAB" w:rsidRDefault="000A7AAB" w:rsidP="007E4381">
      <w:pPr>
        <w:pStyle w:val="locus"/>
      </w:pPr>
      <w:r>
        <w:t>9°</w:t>
      </w:r>
      <w:r w:rsidRPr="002C4077">
        <w:t xml:space="preserve"> </w:t>
      </w:r>
      <w:r>
        <w:t>Que</w:t>
      </w:r>
      <w:r w:rsidRPr="002C4077">
        <w:t xml:space="preserve"> </w:t>
      </w:r>
      <w:r>
        <w:t>Dieu</w:t>
      </w:r>
      <w:r w:rsidRPr="002C4077">
        <w:t xml:space="preserve"> </w:t>
      </w:r>
      <w:r>
        <w:t>ne</w:t>
      </w:r>
      <w:r w:rsidRPr="002C4077">
        <w:t xml:space="preserve"> </w:t>
      </w:r>
      <w:r>
        <w:t>la</w:t>
      </w:r>
      <w:r w:rsidRPr="002C4077">
        <w:t xml:space="preserve"> </w:t>
      </w:r>
      <w:r>
        <w:t>changera</w:t>
      </w:r>
      <w:r w:rsidRPr="002C4077">
        <w:t xml:space="preserve"> </w:t>
      </w:r>
      <w:r>
        <w:t>jamais</w:t>
      </w:r>
      <w:r w:rsidR="00B546AF">
        <w:t> ;</w:t>
      </w:r>
      <w:r w:rsidRPr="002C4077">
        <w:t xml:space="preserve"> </w:t>
      </w:r>
    </w:p>
    <w:p w:rsidR="000A7AAB" w:rsidRDefault="000A7AAB" w:rsidP="007E4381">
      <w:pPr>
        <w:pStyle w:val="locus"/>
      </w:pPr>
      <w:r>
        <w:t>10°</w:t>
      </w:r>
      <w:r w:rsidRPr="002C4077">
        <w:t xml:space="preserve"> </w:t>
      </w:r>
      <w:r>
        <w:t>Que</w:t>
      </w:r>
      <w:r w:rsidRPr="002C4077">
        <w:t xml:space="preserve"> </w:t>
      </w:r>
      <w:r>
        <w:t>Dieu</w:t>
      </w:r>
      <w:r w:rsidRPr="002C4077">
        <w:t xml:space="preserve"> </w:t>
      </w:r>
      <w:r>
        <w:t>connaît</w:t>
      </w:r>
      <w:r w:rsidRPr="002C4077">
        <w:t xml:space="preserve"> </w:t>
      </w:r>
      <w:r>
        <w:t>toutes</w:t>
      </w:r>
      <w:r w:rsidRPr="002C4077">
        <w:t xml:space="preserve"> </w:t>
      </w:r>
      <w:r>
        <w:t>les</w:t>
      </w:r>
      <w:r w:rsidRPr="002C4077">
        <w:t xml:space="preserve"> </w:t>
      </w:r>
      <w:r>
        <w:t>pensées</w:t>
      </w:r>
      <w:r w:rsidRPr="002C4077">
        <w:t xml:space="preserve"> </w:t>
      </w:r>
      <w:r>
        <w:t>des</w:t>
      </w:r>
      <w:r w:rsidRPr="002C4077">
        <w:t xml:space="preserve"> </w:t>
      </w:r>
      <w:r>
        <w:t>hommes</w:t>
      </w:r>
      <w:r w:rsidR="00B546AF">
        <w:t> ;</w:t>
      </w:r>
      <w:r w:rsidRPr="002C4077">
        <w:t xml:space="preserve"> </w:t>
      </w:r>
    </w:p>
    <w:p w:rsidR="000A7AAB" w:rsidRDefault="000A7AAB" w:rsidP="007E4381">
      <w:pPr>
        <w:pStyle w:val="locus"/>
      </w:pPr>
      <w:r>
        <w:t>11°</w:t>
      </w:r>
      <w:r w:rsidRPr="002C4077">
        <w:t xml:space="preserve"> </w:t>
      </w:r>
      <w:r>
        <w:t>Que</w:t>
      </w:r>
      <w:r w:rsidRPr="002C4077">
        <w:t xml:space="preserve"> </w:t>
      </w:r>
      <w:r>
        <w:t>Dieu</w:t>
      </w:r>
      <w:r w:rsidRPr="002C4077">
        <w:t xml:space="preserve"> </w:t>
      </w:r>
      <w:r>
        <w:t>récompense</w:t>
      </w:r>
      <w:r w:rsidRPr="002C4077">
        <w:t xml:space="preserve"> </w:t>
      </w:r>
      <w:r>
        <w:t>les</w:t>
      </w:r>
      <w:r w:rsidRPr="002C4077">
        <w:t xml:space="preserve"> </w:t>
      </w:r>
      <w:r>
        <w:t>bons</w:t>
      </w:r>
      <w:r w:rsidRPr="002C4077">
        <w:t xml:space="preserve"> </w:t>
      </w:r>
      <w:r>
        <w:t>et</w:t>
      </w:r>
      <w:r w:rsidRPr="002C4077">
        <w:t xml:space="preserve"> </w:t>
      </w:r>
      <w:r>
        <w:t>punit</w:t>
      </w:r>
      <w:r w:rsidRPr="002C4077">
        <w:t xml:space="preserve"> </w:t>
      </w:r>
      <w:r>
        <w:t>les</w:t>
      </w:r>
      <w:r w:rsidRPr="002C4077">
        <w:t xml:space="preserve"> </w:t>
      </w:r>
      <w:r>
        <w:t>méchants</w:t>
      </w:r>
      <w:r w:rsidR="00B546AF">
        <w:t> ;</w:t>
      </w:r>
      <w:r w:rsidRPr="002C4077">
        <w:t xml:space="preserve"> </w:t>
      </w:r>
    </w:p>
    <w:p w:rsidR="000A7AAB" w:rsidRDefault="000A7AAB" w:rsidP="007E4381">
      <w:pPr>
        <w:pStyle w:val="locus"/>
      </w:pPr>
      <w:r>
        <w:t>12°</w:t>
      </w:r>
      <w:r w:rsidRPr="002C4077">
        <w:t xml:space="preserve"> </w:t>
      </w:r>
      <w:r>
        <w:t>Que</w:t>
      </w:r>
      <w:r w:rsidRPr="002C4077">
        <w:t xml:space="preserve"> </w:t>
      </w:r>
      <w:r>
        <w:t>Dieu,</w:t>
      </w:r>
      <w:r w:rsidRPr="002C4077">
        <w:t xml:space="preserve"> </w:t>
      </w:r>
      <w:r>
        <w:t>à</w:t>
      </w:r>
      <w:r w:rsidRPr="002C4077">
        <w:t xml:space="preserve"> </w:t>
      </w:r>
      <w:r>
        <w:t>l’époque</w:t>
      </w:r>
      <w:r w:rsidRPr="002C4077">
        <w:t xml:space="preserve"> </w:t>
      </w:r>
      <w:r>
        <w:t>qu’il</w:t>
      </w:r>
      <w:r w:rsidRPr="002C4077">
        <w:t xml:space="preserve"> </w:t>
      </w:r>
      <w:r>
        <w:t>lui</w:t>
      </w:r>
      <w:r w:rsidRPr="002C4077">
        <w:t xml:space="preserve"> </w:t>
      </w:r>
      <w:r>
        <w:t>a</w:t>
      </w:r>
      <w:r w:rsidRPr="002C4077">
        <w:t xml:space="preserve"> </w:t>
      </w:r>
      <w:r>
        <w:t>plu</w:t>
      </w:r>
      <w:r w:rsidRPr="002C4077">
        <w:t xml:space="preserve"> </w:t>
      </w:r>
      <w:r>
        <w:t>de</w:t>
      </w:r>
      <w:r w:rsidRPr="002C4077">
        <w:t xml:space="preserve"> </w:t>
      </w:r>
      <w:r>
        <w:t>fixer,</w:t>
      </w:r>
      <w:r w:rsidRPr="002C4077">
        <w:t xml:space="preserve"> </w:t>
      </w:r>
      <w:r>
        <w:t>et</w:t>
      </w:r>
      <w:r w:rsidRPr="002C4077">
        <w:t xml:space="preserve"> </w:t>
      </w:r>
      <w:r>
        <w:t>que</w:t>
      </w:r>
      <w:r w:rsidRPr="002C4077">
        <w:t xml:space="preserve"> </w:t>
      </w:r>
      <w:r>
        <w:t>lui</w:t>
      </w:r>
      <w:r w:rsidRPr="002C4077">
        <w:t xml:space="preserve"> </w:t>
      </w:r>
      <w:r>
        <w:t>seul</w:t>
      </w:r>
      <w:r w:rsidRPr="002C4077">
        <w:t xml:space="preserve"> </w:t>
      </w:r>
      <w:r>
        <w:t>connaît,</w:t>
      </w:r>
      <w:r w:rsidRPr="002C4077">
        <w:t xml:space="preserve"> </w:t>
      </w:r>
      <w:r>
        <w:t>nous</w:t>
      </w:r>
      <w:r w:rsidRPr="002C4077">
        <w:t xml:space="preserve"> </w:t>
      </w:r>
      <w:r>
        <w:t>enverra</w:t>
      </w:r>
      <w:r w:rsidRPr="002C4077">
        <w:t xml:space="preserve"> </w:t>
      </w:r>
      <w:r>
        <w:t>le</w:t>
      </w:r>
      <w:r w:rsidRPr="002C4077">
        <w:t xml:space="preserve"> </w:t>
      </w:r>
      <w:r>
        <w:t>Messie</w:t>
      </w:r>
      <w:bookmarkStart w:id="660" w:name="z_MessieCatechisme_o1"/>
      <w:bookmarkEnd w:id="660"/>
      <w:r>
        <w:t>,</w:t>
      </w:r>
      <w:r w:rsidRPr="002C4077">
        <w:t xml:space="preserve"> </w:t>
      </w:r>
      <w:r>
        <w:t>annoncé</w:t>
      </w:r>
      <w:r w:rsidRPr="002C4077">
        <w:t xml:space="preserve"> </w:t>
      </w:r>
      <w:r>
        <w:t>par</w:t>
      </w:r>
      <w:r w:rsidRPr="002C4077">
        <w:t xml:space="preserve"> </w:t>
      </w:r>
      <w:r>
        <w:t>les</w:t>
      </w:r>
      <w:r w:rsidRPr="002C4077">
        <w:t xml:space="preserve"> </w:t>
      </w:r>
      <w:r>
        <w:t>prophètes,</w:t>
      </w:r>
      <w:r w:rsidRPr="002C4077">
        <w:t xml:space="preserve"> </w:t>
      </w:r>
      <w:r>
        <w:t>et</w:t>
      </w:r>
      <w:r w:rsidRPr="002C4077">
        <w:t xml:space="preserve"> </w:t>
      </w:r>
      <w:r>
        <w:t>qui,</w:t>
      </w:r>
      <w:r w:rsidRPr="002C4077">
        <w:t xml:space="preserve"> </w:t>
      </w:r>
      <w:r>
        <w:t>assisté</w:t>
      </w:r>
      <w:r w:rsidRPr="002C4077">
        <w:t xml:space="preserve"> </w:t>
      </w:r>
      <w:r>
        <w:t>de</w:t>
      </w:r>
      <w:r w:rsidRPr="002C4077">
        <w:t xml:space="preserve"> </w:t>
      </w:r>
      <w:r>
        <w:t>la</w:t>
      </w:r>
      <w:r w:rsidRPr="002C4077">
        <w:t xml:space="preserve"> </w:t>
      </w:r>
      <w:r>
        <w:t>puissance</w:t>
      </w:r>
      <w:r w:rsidRPr="002C4077">
        <w:t xml:space="preserve"> </w:t>
      </w:r>
      <w:r>
        <w:t>divine,</w:t>
      </w:r>
      <w:r w:rsidRPr="002C4077">
        <w:t xml:space="preserve"> </w:t>
      </w:r>
      <w:r>
        <w:t>fera</w:t>
      </w:r>
      <w:r w:rsidRPr="002C4077">
        <w:t xml:space="preserve"> </w:t>
      </w:r>
      <w:r>
        <w:t>triompher</w:t>
      </w:r>
      <w:r w:rsidRPr="002C4077">
        <w:t xml:space="preserve"> </w:t>
      </w:r>
      <w:r>
        <w:t>la</w:t>
      </w:r>
      <w:r w:rsidRPr="002C4077">
        <w:t xml:space="preserve"> </w:t>
      </w:r>
      <w:r>
        <w:t>croyance</w:t>
      </w:r>
      <w:r w:rsidRPr="002C4077">
        <w:t xml:space="preserve"> </w:t>
      </w:r>
      <w:r>
        <w:t>à</w:t>
      </w:r>
      <w:r w:rsidRPr="002C4077">
        <w:t xml:space="preserve"> </w:t>
      </w:r>
      <w:r>
        <w:t>l’unité</w:t>
      </w:r>
      <w:r w:rsidRPr="002C4077">
        <w:t xml:space="preserve"> </w:t>
      </w:r>
      <w:r>
        <w:t>de</w:t>
      </w:r>
      <w:r w:rsidRPr="002C4077">
        <w:t xml:space="preserve"> </w:t>
      </w:r>
      <w:r>
        <w:t>Dieu,</w:t>
      </w:r>
      <w:r w:rsidRPr="002C4077">
        <w:t xml:space="preserve"> </w:t>
      </w:r>
      <w:r>
        <w:t>et</w:t>
      </w:r>
      <w:r w:rsidRPr="002C4077">
        <w:t xml:space="preserve"> </w:t>
      </w:r>
      <w:r>
        <w:t>fera</w:t>
      </w:r>
      <w:r w:rsidRPr="002C4077">
        <w:t xml:space="preserve"> </w:t>
      </w:r>
      <w:r>
        <w:t>disparaître</w:t>
      </w:r>
      <w:r w:rsidRPr="002C4077">
        <w:t xml:space="preserve"> </w:t>
      </w:r>
      <w:r>
        <w:t>de</w:t>
      </w:r>
      <w:r w:rsidRPr="002C4077">
        <w:t xml:space="preserve"> </w:t>
      </w:r>
      <w:r>
        <w:t>la</w:t>
      </w:r>
      <w:r w:rsidRPr="002C4077">
        <w:t xml:space="preserve"> </w:t>
      </w:r>
      <w:r>
        <w:t>terre</w:t>
      </w:r>
      <w:r w:rsidRPr="002C4077">
        <w:t xml:space="preserve"> </w:t>
      </w:r>
      <w:r>
        <w:t>la</w:t>
      </w:r>
      <w:r w:rsidRPr="002C4077">
        <w:t xml:space="preserve"> </w:t>
      </w:r>
      <w:r>
        <w:t>guerre,</w:t>
      </w:r>
      <w:r w:rsidRPr="002C4077">
        <w:t xml:space="preserve"> </w:t>
      </w:r>
      <w:r>
        <w:t>les</w:t>
      </w:r>
      <w:r w:rsidRPr="002C4077">
        <w:t xml:space="preserve"> </w:t>
      </w:r>
      <w:r>
        <w:t>vices</w:t>
      </w:r>
      <w:r w:rsidRPr="002C4077">
        <w:t xml:space="preserve"> </w:t>
      </w:r>
      <w:r>
        <w:t>et</w:t>
      </w:r>
      <w:r w:rsidRPr="002C4077">
        <w:t xml:space="preserve"> </w:t>
      </w:r>
      <w:r>
        <w:t>toutes</w:t>
      </w:r>
      <w:r w:rsidRPr="002C4077">
        <w:t xml:space="preserve"> </w:t>
      </w:r>
      <w:r>
        <w:t>les</w:t>
      </w:r>
      <w:r w:rsidRPr="002C4077">
        <w:t xml:space="preserve"> </w:t>
      </w:r>
      <w:r>
        <w:t>plaies</w:t>
      </w:r>
      <w:r w:rsidRPr="002C4077">
        <w:t xml:space="preserve"> </w:t>
      </w:r>
      <w:r>
        <w:t>humaines</w:t>
      </w:r>
      <w:r w:rsidR="00B546AF">
        <w:t> ;</w:t>
      </w:r>
      <w:r w:rsidRPr="002C4077">
        <w:t xml:space="preserve"> </w:t>
      </w:r>
    </w:p>
    <w:p w:rsidR="000A7AAB" w:rsidRDefault="000A7AAB" w:rsidP="007E4381">
      <w:pPr>
        <w:pStyle w:val="locus"/>
      </w:pPr>
      <w:r>
        <w:t>13°</w:t>
      </w:r>
      <w:r w:rsidRPr="002C4077">
        <w:t xml:space="preserve"> </w:t>
      </w:r>
      <w:r>
        <w:t>Que</w:t>
      </w:r>
      <w:r w:rsidRPr="002C4077">
        <w:t xml:space="preserve"> </w:t>
      </w:r>
      <w:r>
        <w:t>l’âme</w:t>
      </w:r>
      <w:r w:rsidRPr="002C4077">
        <w:t xml:space="preserve"> </w:t>
      </w:r>
      <w:r w:rsidR="00425C50">
        <w:t>est</w:t>
      </w:r>
      <w:r w:rsidRPr="002C4077">
        <w:t xml:space="preserve"> </w:t>
      </w:r>
      <w:r>
        <w:t>immortelle,</w:t>
      </w:r>
      <w:r w:rsidRPr="002C4077">
        <w:t xml:space="preserve"> </w:t>
      </w:r>
      <w:r>
        <w:t>et</w:t>
      </w:r>
      <w:r w:rsidRPr="002C4077">
        <w:t xml:space="preserve"> </w:t>
      </w:r>
      <w:r>
        <w:t>qu’un</w:t>
      </w:r>
      <w:r w:rsidRPr="002C4077">
        <w:t xml:space="preserve"> </w:t>
      </w:r>
      <w:r>
        <w:t>jour</w:t>
      </w:r>
      <w:r w:rsidRPr="002C4077">
        <w:t xml:space="preserve"> </w:t>
      </w:r>
      <w:r>
        <w:t>viendra</w:t>
      </w:r>
      <w:r w:rsidRPr="002C4077">
        <w:t xml:space="preserve"> </w:t>
      </w:r>
      <w:r>
        <w:t>où</w:t>
      </w:r>
      <w:r w:rsidRPr="002C4077">
        <w:t xml:space="preserve"> </w:t>
      </w:r>
      <w:r>
        <w:t>Dieu</w:t>
      </w:r>
      <w:r w:rsidRPr="002C4077">
        <w:t xml:space="preserve"> </w:t>
      </w:r>
      <w:r>
        <w:t>rappellera</w:t>
      </w:r>
      <w:r w:rsidRPr="002C4077">
        <w:t xml:space="preserve"> </w:t>
      </w:r>
      <w:r>
        <w:t>les</w:t>
      </w:r>
      <w:r w:rsidRPr="002C4077">
        <w:t xml:space="preserve"> </w:t>
      </w:r>
      <w:r>
        <w:t>morts</w:t>
      </w:r>
      <w:r w:rsidRPr="002C4077">
        <w:t xml:space="preserve"> </w:t>
      </w:r>
      <w:r>
        <w:t>à</w:t>
      </w:r>
      <w:r w:rsidRPr="002C4077">
        <w:t xml:space="preserve"> </w:t>
      </w:r>
      <w:r>
        <w:t>la</w:t>
      </w:r>
      <w:r w:rsidRPr="002C4077">
        <w:t xml:space="preserve"> </w:t>
      </w:r>
      <w:r>
        <w:t>vie.</w:t>
      </w:r>
      <w:r w:rsidRPr="002C4077">
        <w:t xml:space="preserve"> </w:t>
      </w:r>
    </w:p>
    <w:p w:rsidR="000A7AAB" w:rsidRDefault="000A7AAB" w:rsidP="000A7AAB">
      <w:r>
        <w:t>Dans</w:t>
      </w:r>
      <w:r w:rsidRPr="002C4077">
        <w:t xml:space="preserve"> </w:t>
      </w:r>
      <w:r>
        <w:t>ce</w:t>
      </w:r>
      <w:r w:rsidRPr="002C4077">
        <w:t xml:space="preserve"> </w:t>
      </w:r>
      <w:r>
        <w:t>Symbole,</w:t>
      </w:r>
      <w:r w:rsidRPr="002C4077">
        <w:t xml:space="preserve"> </w:t>
      </w:r>
      <w:r>
        <w:t>le</w:t>
      </w:r>
      <w:r w:rsidRPr="002C4077">
        <w:t xml:space="preserve"> </w:t>
      </w:r>
      <w:r>
        <w:t>lecteur</w:t>
      </w:r>
      <w:r w:rsidRPr="002C4077">
        <w:t xml:space="preserve"> </w:t>
      </w:r>
      <w:r>
        <w:t>aura</w:t>
      </w:r>
      <w:r w:rsidR="007E4381" w:rsidRPr="002C4077">
        <w:t xml:space="preserve"> </w:t>
      </w:r>
      <w:r w:rsidR="007E4381">
        <w:t>surtout</w:t>
      </w:r>
      <w:r w:rsidR="007E4381" w:rsidRPr="002C4077">
        <w:t xml:space="preserve"> </w:t>
      </w:r>
      <w:r w:rsidR="007E4381">
        <w:t>remarqué</w:t>
      </w:r>
      <w:r w:rsidR="007E4381" w:rsidRPr="002C4077">
        <w:t xml:space="preserve"> </w:t>
      </w:r>
      <w:r w:rsidR="007E4381">
        <w:t>les</w:t>
      </w:r>
      <w:r w:rsidR="007E4381" w:rsidRPr="002C4077">
        <w:t xml:space="preserve"> </w:t>
      </w:r>
      <w:r w:rsidR="007E4381">
        <w:t>articles</w:t>
      </w:r>
      <w:r w:rsidR="007E4381" w:rsidRPr="002C4077">
        <w:t xml:space="preserve"> </w:t>
      </w:r>
      <w:r w:rsidR="007E4381">
        <w:t>5</w:t>
      </w:r>
      <w:r>
        <w:t>,</w:t>
      </w:r>
      <w:r w:rsidRPr="002C4077">
        <w:t xml:space="preserve"> </w:t>
      </w:r>
      <w:r>
        <w:t>7</w:t>
      </w:r>
      <w:r w:rsidRPr="002C4077">
        <w:t xml:space="preserve"> </w:t>
      </w:r>
      <w:r>
        <w:t>et</w:t>
      </w:r>
      <w:r w:rsidRPr="002C4077">
        <w:t xml:space="preserve"> </w:t>
      </w:r>
      <w:r>
        <w:t>9,</w:t>
      </w:r>
      <w:r w:rsidRPr="002C4077">
        <w:t xml:space="preserve"> </w:t>
      </w:r>
      <w:r>
        <w:t>dirigés</w:t>
      </w:r>
      <w:r w:rsidRPr="002C4077">
        <w:t xml:space="preserve"> </w:t>
      </w:r>
      <w:r>
        <w:t>contre</w:t>
      </w:r>
      <w:r w:rsidRPr="002C4077">
        <w:t xml:space="preserve"> </w:t>
      </w:r>
      <w:r>
        <w:t>la</w:t>
      </w:r>
      <w:r w:rsidRPr="002C4077">
        <w:t xml:space="preserve"> </w:t>
      </w:r>
      <w:r>
        <w:t>foi</w:t>
      </w:r>
      <w:r w:rsidRPr="002C4077">
        <w:t xml:space="preserve"> </w:t>
      </w:r>
      <w:r>
        <w:t>chrétienne</w:t>
      </w:r>
      <w:r w:rsidR="00B546AF">
        <w:t> ;</w:t>
      </w:r>
      <w:r w:rsidRPr="002C4077">
        <w:t xml:space="preserve"> </w:t>
      </w:r>
      <w:r>
        <w:t>mais</w:t>
      </w:r>
      <w:r w:rsidRPr="002C4077">
        <w:t xml:space="preserve"> </w:t>
      </w:r>
      <w:r>
        <w:t>il</w:t>
      </w:r>
      <w:r w:rsidRPr="002C4077">
        <w:t xml:space="preserve"> </w:t>
      </w:r>
      <w:r>
        <w:t>aura</w:t>
      </w:r>
      <w:r w:rsidRPr="002C4077">
        <w:t xml:space="preserve"> </w:t>
      </w:r>
      <w:r>
        <w:t>parcouru</w:t>
      </w:r>
      <w:r w:rsidRPr="002C4077">
        <w:t xml:space="preserve"> </w:t>
      </w:r>
      <w:r>
        <w:t>avec</w:t>
      </w:r>
      <w:r w:rsidRPr="002C4077">
        <w:t xml:space="preserve"> </w:t>
      </w:r>
      <w:r>
        <w:t>une</w:t>
      </w:r>
      <w:r w:rsidRPr="002C4077">
        <w:t xml:space="preserve"> </w:t>
      </w:r>
      <w:r>
        <w:t>attention</w:t>
      </w:r>
      <w:r w:rsidRPr="002C4077">
        <w:t xml:space="preserve"> </w:t>
      </w:r>
      <w:r>
        <w:t>plus</w:t>
      </w:r>
      <w:r w:rsidRPr="002C4077">
        <w:t xml:space="preserve"> </w:t>
      </w:r>
      <w:r>
        <w:t>vive</w:t>
      </w:r>
      <w:r w:rsidRPr="002C4077">
        <w:t xml:space="preserve"> </w:t>
      </w:r>
      <w:r>
        <w:t>encore</w:t>
      </w:r>
      <w:r w:rsidRPr="002C4077">
        <w:t xml:space="preserve"> </w:t>
      </w:r>
      <w:r>
        <w:t>l’art.</w:t>
      </w:r>
      <w:r w:rsidRPr="002C4077">
        <w:t xml:space="preserve"> </w:t>
      </w:r>
      <w:r>
        <w:t>12,</w:t>
      </w:r>
      <w:r w:rsidRPr="002C4077">
        <w:t xml:space="preserve"> </w:t>
      </w:r>
      <w:r>
        <w:t>relatif</w:t>
      </w:r>
      <w:r w:rsidRPr="002C4077">
        <w:t xml:space="preserve"> </w:t>
      </w:r>
      <w:r>
        <w:t>au</w:t>
      </w:r>
      <w:r w:rsidRPr="002C4077">
        <w:t xml:space="preserve"> </w:t>
      </w:r>
      <w:r>
        <w:t>Messie</w:t>
      </w:r>
      <w:r w:rsidRPr="002C4077">
        <w:t xml:space="preserve"> </w:t>
      </w:r>
      <w:r>
        <w:t>et</w:t>
      </w:r>
      <w:r w:rsidRPr="002C4077">
        <w:t xml:space="preserve"> </w:t>
      </w:r>
      <w:r>
        <w:t>à</w:t>
      </w:r>
      <w:r w:rsidRPr="002C4077">
        <w:t xml:space="preserve"> </w:t>
      </w:r>
      <w:r>
        <w:t>son</w:t>
      </w:r>
      <w:r w:rsidRPr="002C4077">
        <w:t xml:space="preserve"> </w:t>
      </w:r>
      <w:r>
        <w:t>règne</w:t>
      </w:r>
      <w:r w:rsidRPr="002C4077">
        <w:t xml:space="preserve"> </w:t>
      </w:r>
      <w:r>
        <w:t>glorieux.</w:t>
      </w:r>
      <w:r w:rsidRPr="002C4077">
        <w:t xml:space="preserve"> </w:t>
      </w:r>
    </w:p>
    <w:p w:rsidR="000A7AAB" w:rsidRPr="001F5257" w:rsidRDefault="000A7AAB" w:rsidP="000A7AAB">
      <w:r>
        <w:t>Le</w:t>
      </w:r>
      <w:r w:rsidRPr="002C4077">
        <w:t xml:space="preserve"> </w:t>
      </w:r>
      <w:r>
        <w:t>Messie</w:t>
      </w:r>
      <w:r w:rsidR="00B546AF">
        <w:t> !</w:t>
      </w:r>
      <w:r w:rsidRPr="002C4077">
        <w:t xml:space="preserve"> </w:t>
      </w:r>
      <w:r>
        <w:t>Enfin</w:t>
      </w:r>
      <w:r w:rsidRPr="002C4077">
        <w:t xml:space="preserve"> </w:t>
      </w:r>
      <w:r>
        <w:t>nous</w:t>
      </w:r>
      <w:r w:rsidRPr="002C4077">
        <w:t xml:space="preserve"> </w:t>
      </w:r>
      <w:r>
        <w:t>trouvons,</w:t>
      </w:r>
      <w:r w:rsidRPr="002C4077">
        <w:t xml:space="preserve"> </w:t>
      </w:r>
      <w:r>
        <w:t>au</w:t>
      </w:r>
      <w:r w:rsidRPr="002C4077">
        <w:t xml:space="preserve"> </w:t>
      </w:r>
      <w:r>
        <w:t>bas</w:t>
      </w:r>
      <w:r w:rsidRPr="002C4077">
        <w:t xml:space="preserve"> </w:t>
      </w:r>
      <w:r>
        <w:t>de</w:t>
      </w:r>
      <w:r w:rsidRPr="002C4077">
        <w:t xml:space="preserve"> </w:t>
      </w:r>
      <w:r>
        <w:t>la</w:t>
      </w:r>
      <w:r w:rsidRPr="002C4077">
        <w:t xml:space="preserve"> </w:t>
      </w:r>
      <w:r>
        <w:t>30</w:t>
      </w:r>
      <w:r w:rsidR="00F042F3">
        <w:t>e</w:t>
      </w:r>
      <w:r w:rsidRPr="002C4077">
        <w:t xml:space="preserve"> </w:t>
      </w:r>
      <w:r>
        <w:t>page</w:t>
      </w:r>
      <w:r w:rsidRPr="002C4077">
        <w:t xml:space="preserve"> </w:t>
      </w:r>
      <w:r>
        <w:t>du</w:t>
      </w:r>
      <w:r w:rsidRPr="002C4077">
        <w:t xml:space="preserve"> </w:t>
      </w:r>
      <w:r>
        <w:t>catéchisme</w:t>
      </w:r>
      <w:r w:rsidRPr="002C4077">
        <w:t xml:space="preserve"> </w:t>
      </w:r>
      <w:r>
        <w:t>juif,</w:t>
      </w:r>
      <w:r w:rsidRPr="002C4077">
        <w:t xml:space="preserve"> </w:t>
      </w:r>
      <w:r>
        <w:t>ce</w:t>
      </w:r>
      <w:r w:rsidRPr="002C4077">
        <w:t xml:space="preserve"> </w:t>
      </w:r>
      <w:r>
        <w:t>nom</w:t>
      </w:r>
      <w:r w:rsidRPr="002C4077">
        <w:t xml:space="preserve"> </w:t>
      </w:r>
      <w:r>
        <w:t>si</w:t>
      </w:r>
      <w:r w:rsidRPr="002C4077">
        <w:t xml:space="preserve"> </w:t>
      </w:r>
      <w:r>
        <w:t>cher</w:t>
      </w:r>
      <w:r w:rsidRPr="002C4077">
        <w:t xml:space="preserve"> </w:t>
      </w:r>
      <w:r>
        <w:t>à</w:t>
      </w:r>
      <w:r w:rsidRPr="002C4077">
        <w:t xml:space="preserve"> </w:t>
      </w:r>
      <w:r>
        <w:t>l’Israël</w:t>
      </w:r>
      <w:r w:rsidRPr="002C4077">
        <w:t xml:space="preserve"> </w:t>
      </w:r>
      <w:r>
        <w:t>des</w:t>
      </w:r>
      <w:r w:rsidRPr="002C4077">
        <w:t xml:space="preserve"> </w:t>
      </w:r>
      <w:r>
        <w:t>anciens</w:t>
      </w:r>
      <w:r w:rsidRPr="002C4077">
        <w:t xml:space="preserve"> </w:t>
      </w:r>
      <w:r>
        <w:t>jours.</w:t>
      </w:r>
      <w:r w:rsidR="00C45B47">
        <w:t xml:space="preserve"> {</w:t>
      </w:r>
      <w:r w:rsidR="001F5257">
        <w:t>272</w:t>
      </w:r>
      <w:bookmarkStart w:id="661" w:name="p272"/>
      <w:bookmarkEnd w:id="661"/>
      <w:r w:rsidR="001F5257">
        <w:t xml:space="preserve">} </w:t>
      </w:r>
    </w:p>
    <w:p w:rsidR="000A7AAB" w:rsidRDefault="000A7AAB" w:rsidP="000A7AAB">
      <w:r>
        <w:t>Sans</w:t>
      </w:r>
      <w:bookmarkStart w:id="662" w:name="z_CateIsraelite_o6"/>
      <w:bookmarkEnd w:id="662"/>
      <w:r w:rsidRPr="002C4077">
        <w:t xml:space="preserve"> </w:t>
      </w:r>
      <w:r>
        <w:t>doute,</w:t>
      </w:r>
      <w:r w:rsidRPr="002C4077">
        <w:t xml:space="preserve"> </w:t>
      </w:r>
      <w:r>
        <w:t>à</w:t>
      </w:r>
      <w:r w:rsidRPr="002C4077">
        <w:t xml:space="preserve"> </w:t>
      </w:r>
      <w:r>
        <w:t>partir</w:t>
      </w:r>
      <w:r w:rsidRPr="002C4077">
        <w:t xml:space="preserve"> </w:t>
      </w:r>
      <w:r>
        <w:t>de</w:t>
      </w:r>
      <w:r w:rsidRPr="002C4077">
        <w:t xml:space="preserve"> </w:t>
      </w:r>
      <w:r>
        <w:t>cet</w:t>
      </w:r>
      <w:r w:rsidRPr="002C4077">
        <w:t xml:space="preserve"> </w:t>
      </w:r>
      <w:r>
        <w:t>endroit,</w:t>
      </w:r>
      <w:r w:rsidRPr="002C4077">
        <w:t xml:space="preserve"> </w:t>
      </w:r>
      <w:r>
        <w:t>nous</w:t>
      </w:r>
      <w:r w:rsidRPr="002C4077">
        <w:t xml:space="preserve"> </w:t>
      </w:r>
      <w:r>
        <w:t>le</w:t>
      </w:r>
      <w:r w:rsidRPr="002C4077">
        <w:t xml:space="preserve"> </w:t>
      </w:r>
      <w:r>
        <w:t>rencontrerons</w:t>
      </w:r>
      <w:r w:rsidRPr="002C4077">
        <w:t xml:space="preserve"> </w:t>
      </w:r>
      <w:r>
        <w:t>souvent</w:t>
      </w:r>
      <w:r w:rsidRPr="002C4077">
        <w:t xml:space="preserve"> </w:t>
      </w:r>
      <w:r>
        <w:t>dans</w:t>
      </w:r>
      <w:r w:rsidRPr="002C4077">
        <w:t xml:space="preserve"> </w:t>
      </w:r>
      <w:r>
        <w:t>le</w:t>
      </w:r>
      <w:r w:rsidRPr="002C4077">
        <w:t xml:space="preserve"> </w:t>
      </w:r>
      <w:r w:rsidRPr="000A34B5">
        <w:rPr>
          <w:rStyle w:val="italicus"/>
        </w:rPr>
        <w:t>Précis</w:t>
      </w:r>
      <w:r w:rsidRPr="002C4077">
        <w:t xml:space="preserve"> </w:t>
      </w:r>
      <w:r w:rsidRPr="000A34B5">
        <w:rPr>
          <w:rStyle w:val="italicus"/>
        </w:rPr>
        <w:t>élémentaire</w:t>
      </w:r>
      <w:r w:rsidRPr="002C4077">
        <w:t xml:space="preserve"> </w:t>
      </w:r>
      <w:r w:rsidRPr="000A34B5">
        <w:rPr>
          <w:rStyle w:val="italicus"/>
        </w:rPr>
        <w:t>d’instruction</w:t>
      </w:r>
      <w:r w:rsidRPr="002C4077">
        <w:t xml:space="preserve"> </w:t>
      </w:r>
      <w:r w:rsidRPr="000A34B5">
        <w:rPr>
          <w:rStyle w:val="italicus"/>
        </w:rPr>
        <w:t>morale</w:t>
      </w:r>
      <w:r w:rsidRPr="002C4077">
        <w:t xml:space="preserve"> </w:t>
      </w:r>
      <w:r w:rsidRPr="000A34B5">
        <w:rPr>
          <w:rStyle w:val="italicus"/>
        </w:rPr>
        <w:t>et</w:t>
      </w:r>
      <w:r w:rsidRPr="002C4077">
        <w:t xml:space="preserve"> </w:t>
      </w:r>
      <w:r w:rsidRPr="000A34B5">
        <w:rPr>
          <w:rStyle w:val="italicus"/>
        </w:rPr>
        <w:t>religieuse</w:t>
      </w:r>
      <w:r w:rsidRPr="002C4077">
        <w:t xml:space="preserve"> </w:t>
      </w:r>
      <w:r>
        <w:t>destiné</w:t>
      </w:r>
      <w:r w:rsidRPr="002C4077">
        <w:t xml:space="preserve"> </w:t>
      </w:r>
      <w:r>
        <w:t>aux</w:t>
      </w:r>
      <w:r w:rsidRPr="002C4077">
        <w:t xml:space="preserve"> </w:t>
      </w:r>
      <w:r>
        <w:t>jeunes</w:t>
      </w:r>
      <w:r w:rsidRPr="002C4077">
        <w:t xml:space="preserve"> </w:t>
      </w:r>
      <w:r>
        <w:t>Israélites</w:t>
      </w:r>
      <w:r w:rsidRPr="002C4077">
        <w:t xml:space="preserve"> </w:t>
      </w:r>
      <w:r>
        <w:t>français,</w:t>
      </w:r>
      <w:r w:rsidRPr="002C4077">
        <w:t xml:space="preserve"> </w:t>
      </w:r>
      <w:r>
        <w:t>qui</w:t>
      </w:r>
      <w:r w:rsidRPr="002C4077">
        <w:t xml:space="preserve"> </w:t>
      </w:r>
      <w:r>
        <w:t>lui</w:t>
      </w:r>
      <w:r w:rsidRPr="002C4077">
        <w:t xml:space="preserve"> </w:t>
      </w:r>
      <w:r>
        <w:t>consacrera</w:t>
      </w:r>
      <w:r w:rsidRPr="002C4077">
        <w:t xml:space="preserve"> </w:t>
      </w:r>
      <w:r>
        <w:t>de</w:t>
      </w:r>
      <w:r w:rsidRPr="002C4077">
        <w:t xml:space="preserve"> </w:t>
      </w:r>
      <w:r>
        <w:t>nombreuses</w:t>
      </w:r>
      <w:r w:rsidRPr="002C4077">
        <w:t xml:space="preserve"> </w:t>
      </w:r>
      <w:r>
        <w:t>et</w:t>
      </w:r>
      <w:r w:rsidRPr="002C4077">
        <w:t xml:space="preserve"> </w:t>
      </w:r>
      <w:r>
        <w:t>riches</w:t>
      </w:r>
      <w:r w:rsidRPr="002C4077">
        <w:t xml:space="preserve"> </w:t>
      </w:r>
      <w:r>
        <w:t>leçons,</w:t>
      </w:r>
      <w:r w:rsidRPr="002C4077">
        <w:t xml:space="preserve"> </w:t>
      </w:r>
      <w:r>
        <w:t>qui</w:t>
      </w:r>
      <w:r w:rsidRPr="002C4077">
        <w:t xml:space="preserve"> </w:t>
      </w:r>
      <w:r>
        <w:t>en</w:t>
      </w:r>
      <w:r w:rsidRPr="002C4077">
        <w:t xml:space="preserve"> </w:t>
      </w:r>
      <w:r>
        <w:t>fera</w:t>
      </w:r>
      <w:r w:rsidRPr="002C4077">
        <w:t xml:space="preserve"> </w:t>
      </w:r>
      <w:r>
        <w:t>désormais</w:t>
      </w:r>
      <w:r w:rsidRPr="002C4077">
        <w:t xml:space="preserve"> </w:t>
      </w:r>
      <w:r>
        <w:t>son</w:t>
      </w:r>
      <w:r w:rsidRPr="002C4077">
        <w:t xml:space="preserve"> </w:t>
      </w:r>
      <w:r>
        <w:t>idée-mère</w:t>
      </w:r>
      <w:r w:rsidRPr="002C4077">
        <w:t xml:space="preserve"> </w:t>
      </w:r>
      <w:r>
        <w:t>et</w:t>
      </w:r>
      <w:r w:rsidRPr="002C4077">
        <w:t xml:space="preserve"> </w:t>
      </w:r>
      <w:r>
        <w:t>centrale</w:t>
      </w:r>
      <w:r w:rsidR="00B546AF">
        <w:t> !</w:t>
      </w:r>
      <w:r w:rsidRPr="002C4077">
        <w:t xml:space="preserve"> </w:t>
      </w:r>
      <w:r>
        <w:t>Après</w:t>
      </w:r>
      <w:r w:rsidRPr="002C4077">
        <w:t xml:space="preserve"> </w:t>
      </w:r>
      <w:r>
        <w:t>Dieu</w:t>
      </w:r>
      <w:r w:rsidRPr="002C4077">
        <w:t xml:space="preserve"> </w:t>
      </w:r>
      <w:r>
        <w:t>et</w:t>
      </w:r>
      <w:r w:rsidRPr="002C4077">
        <w:t xml:space="preserve"> </w:t>
      </w:r>
      <w:r>
        <w:t>avec</w:t>
      </w:r>
      <w:r w:rsidRPr="002C4077">
        <w:t xml:space="preserve"> </w:t>
      </w:r>
      <w:r>
        <w:t>les</w:t>
      </w:r>
      <w:r w:rsidRPr="002C4077">
        <w:t xml:space="preserve"> </w:t>
      </w:r>
      <w:r>
        <w:t>Livres</w:t>
      </w:r>
      <w:r w:rsidRPr="002C4077">
        <w:t xml:space="preserve"> </w:t>
      </w:r>
      <w:r>
        <w:t>saints,</w:t>
      </w:r>
      <w:r w:rsidRPr="002C4077">
        <w:t xml:space="preserve"> </w:t>
      </w:r>
      <w:r>
        <w:t>le</w:t>
      </w:r>
      <w:r w:rsidRPr="002C4077">
        <w:t xml:space="preserve"> </w:t>
      </w:r>
      <w:r>
        <w:t>Messie</w:t>
      </w:r>
      <w:bookmarkStart w:id="663" w:name="z_MessieCentre_o2"/>
      <w:bookmarkEnd w:id="663"/>
      <w:r w:rsidRPr="002C4077">
        <w:t xml:space="preserve"> </w:t>
      </w:r>
      <w:r>
        <w:t>n’est-il</w:t>
      </w:r>
      <w:r w:rsidRPr="002C4077">
        <w:t xml:space="preserve"> </w:t>
      </w:r>
      <w:r>
        <w:t>pas</w:t>
      </w:r>
      <w:r w:rsidRPr="002C4077">
        <w:t xml:space="preserve"> </w:t>
      </w:r>
      <w:r>
        <w:t>tout</w:t>
      </w:r>
      <w:r w:rsidRPr="002C4077">
        <w:t xml:space="preserve"> </w:t>
      </w:r>
      <w:r>
        <w:t>pour</w:t>
      </w:r>
      <w:r w:rsidRPr="002C4077">
        <w:t xml:space="preserve"> </w:t>
      </w:r>
      <w:r>
        <w:t>un</w:t>
      </w:r>
      <w:r w:rsidRPr="002C4077">
        <w:t xml:space="preserve"> </w:t>
      </w:r>
      <w:r>
        <w:t>Israélite</w:t>
      </w:r>
      <w:r w:rsidRPr="002C4077">
        <w:t xml:space="preserve"> </w:t>
      </w:r>
      <w:r>
        <w:t>croyant</w:t>
      </w:r>
      <w:r w:rsidR="00B546AF">
        <w:t> ?</w:t>
      </w:r>
      <w:r w:rsidRPr="002C4077">
        <w:t xml:space="preserve"> </w:t>
      </w:r>
      <w:r>
        <w:t>J’ouvre</w:t>
      </w:r>
      <w:r w:rsidRPr="002C4077">
        <w:t xml:space="preserve"> </w:t>
      </w:r>
      <w:r>
        <w:t>ma</w:t>
      </w:r>
      <w:r w:rsidRPr="002C4077">
        <w:t xml:space="preserve"> </w:t>
      </w:r>
      <w:r>
        <w:t>Bible</w:t>
      </w:r>
      <w:r w:rsidRPr="002C4077">
        <w:t xml:space="preserve"> </w:t>
      </w:r>
      <w:r>
        <w:t>hébraïque,</w:t>
      </w:r>
      <w:r w:rsidRPr="002C4077">
        <w:t xml:space="preserve"> </w:t>
      </w:r>
      <w:r>
        <w:t>recueil</w:t>
      </w:r>
      <w:r w:rsidRPr="002C4077">
        <w:t xml:space="preserve"> </w:t>
      </w:r>
      <w:r>
        <w:t>incomparable</w:t>
      </w:r>
      <w:r w:rsidRPr="002C4077">
        <w:t xml:space="preserve"> </w:t>
      </w:r>
      <w:r>
        <w:t>d’une</w:t>
      </w:r>
      <w:r w:rsidRPr="002C4077">
        <w:t xml:space="preserve"> </w:t>
      </w:r>
      <w:r>
        <w:t>partie</w:t>
      </w:r>
      <w:r w:rsidRPr="002C4077">
        <w:t xml:space="preserve"> </w:t>
      </w:r>
      <w:r>
        <w:t>des</w:t>
      </w:r>
      <w:r w:rsidRPr="002C4077">
        <w:t xml:space="preserve"> </w:t>
      </w:r>
      <w:r>
        <w:t>révélations</w:t>
      </w:r>
      <w:r w:rsidRPr="002C4077">
        <w:t xml:space="preserve"> </w:t>
      </w:r>
      <w:r>
        <w:t>divines</w:t>
      </w:r>
      <w:r w:rsidR="00B546AF">
        <w:t> ;</w:t>
      </w:r>
      <w:r w:rsidRPr="002C4077">
        <w:t xml:space="preserve"> </w:t>
      </w:r>
      <w:r>
        <w:t>j’en</w:t>
      </w:r>
      <w:r w:rsidRPr="002C4077">
        <w:t xml:space="preserve"> </w:t>
      </w:r>
      <w:r>
        <w:t>étudie</w:t>
      </w:r>
      <w:r w:rsidRPr="002C4077">
        <w:t xml:space="preserve"> </w:t>
      </w:r>
      <w:r>
        <w:t>avec</w:t>
      </w:r>
      <w:r w:rsidRPr="002C4077">
        <w:t xml:space="preserve"> </w:t>
      </w:r>
      <w:r>
        <w:t>émotion</w:t>
      </w:r>
      <w:r w:rsidRPr="002C4077">
        <w:t xml:space="preserve"> </w:t>
      </w:r>
      <w:r>
        <w:t>et</w:t>
      </w:r>
      <w:r w:rsidRPr="002C4077">
        <w:t xml:space="preserve"> </w:t>
      </w:r>
      <w:r>
        <w:t>respect</w:t>
      </w:r>
      <w:r w:rsidRPr="002C4077">
        <w:t xml:space="preserve"> </w:t>
      </w:r>
      <w:r>
        <w:t>les</w:t>
      </w:r>
      <w:r w:rsidRPr="002C4077">
        <w:t xml:space="preserve"> </w:t>
      </w:r>
      <w:r>
        <w:t>pages</w:t>
      </w:r>
      <w:r w:rsidRPr="002C4077">
        <w:t xml:space="preserve"> </w:t>
      </w:r>
      <w:r>
        <w:t>inspirées.</w:t>
      </w:r>
      <w:r w:rsidRPr="002C4077">
        <w:t xml:space="preserve"> </w:t>
      </w:r>
      <w:r>
        <w:t>Que</w:t>
      </w:r>
      <w:r w:rsidRPr="002C4077">
        <w:t xml:space="preserve"> </w:t>
      </w:r>
      <w:r>
        <w:t>vois-je</w:t>
      </w:r>
      <w:r w:rsidRPr="002C4077">
        <w:t xml:space="preserve"> </w:t>
      </w:r>
      <w:r>
        <w:t>à</w:t>
      </w:r>
      <w:r w:rsidRPr="002C4077">
        <w:t xml:space="preserve"> </w:t>
      </w:r>
      <w:r>
        <w:t>chaque</w:t>
      </w:r>
      <w:r w:rsidRPr="002C4077">
        <w:t xml:space="preserve"> </w:t>
      </w:r>
      <w:r>
        <w:t>instant,</w:t>
      </w:r>
      <w:r w:rsidRPr="002C4077">
        <w:t xml:space="preserve"> </w:t>
      </w:r>
      <w:r>
        <w:t>de</w:t>
      </w:r>
      <w:r w:rsidRPr="002C4077">
        <w:t xml:space="preserve"> </w:t>
      </w:r>
      <w:r>
        <w:t>la</w:t>
      </w:r>
      <w:r w:rsidRPr="002C4077">
        <w:t xml:space="preserve"> </w:t>
      </w:r>
      <w:r>
        <w:t>première</w:t>
      </w:r>
      <w:r w:rsidRPr="002C4077">
        <w:t xml:space="preserve"> </w:t>
      </w:r>
      <w:r>
        <w:t>à</w:t>
      </w:r>
      <w:r w:rsidRPr="002C4077">
        <w:t xml:space="preserve"> </w:t>
      </w:r>
      <w:r>
        <w:t>la</w:t>
      </w:r>
      <w:r w:rsidRPr="002C4077">
        <w:t xml:space="preserve"> </w:t>
      </w:r>
      <w:r>
        <w:t>dernière</w:t>
      </w:r>
      <w:r w:rsidRPr="002C4077">
        <w:t xml:space="preserve"> </w:t>
      </w:r>
      <w:r>
        <w:t>ligne,</w:t>
      </w:r>
      <w:r w:rsidRPr="002C4077">
        <w:t xml:space="preserve"> </w:t>
      </w:r>
      <w:r>
        <w:t>de</w:t>
      </w:r>
      <w:r w:rsidRPr="002C4077">
        <w:t xml:space="preserve"> </w:t>
      </w:r>
      <w:r>
        <w:t>la</w:t>
      </w:r>
      <w:r w:rsidRPr="002C4077">
        <w:t xml:space="preserve"> </w:t>
      </w:r>
      <w:r>
        <w:t>Genèse</w:t>
      </w:r>
      <w:r w:rsidRPr="002C4077">
        <w:t xml:space="preserve"> </w:t>
      </w:r>
      <w:r>
        <w:t>à</w:t>
      </w:r>
      <w:r w:rsidRPr="002C4077">
        <w:t xml:space="preserve"> </w:t>
      </w:r>
      <w:r>
        <w:t>la</w:t>
      </w:r>
      <w:r w:rsidRPr="002C4077">
        <w:t xml:space="preserve"> </w:t>
      </w:r>
      <w:r>
        <w:t>prophétie</w:t>
      </w:r>
      <w:r w:rsidRPr="002C4077">
        <w:t xml:space="preserve"> </w:t>
      </w:r>
      <w:r>
        <w:t>de</w:t>
      </w:r>
      <w:r w:rsidRPr="002C4077">
        <w:t xml:space="preserve"> </w:t>
      </w:r>
      <w:r>
        <w:t>Malachie</w:t>
      </w:r>
      <w:r w:rsidR="00B546AF">
        <w:t> ?</w:t>
      </w:r>
      <w:r w:rsidRPr="002C4077">
        <w:t xml:space="preserve"> </w:t>
      </w:r>
      <w:r>
        <w:t>Le</w:t>
      </w:r>
      <w:r w:rsidRPr="002C4077">
        <w:t xml:space="preserve"> </w:t>
      </w:r>
      <w:r>
        <w:t>doux</w:t>
      </w:r>
      <w:r w:rsidRPr="002C4077">
        <w:t xml:space="preserve"> </w:t>
      </w:r>
      <w:r>
        <w:t>et</w:t>
      </w:r>
      <w:r w:rsidRPr="002C4077">
        <w:t xml:space="preserve"> </w:t>
      </w:r>
      <w:r>
        <w:t>glorieux</w:t>
      </w:r>
      <w:r w:rsidRPr="002C4077">
        <w:t xml:space="preserve"> </w:t>
      </w:r>
      <w:r>
        <w:t>visage</w:t>
      </w:r>
      <w:r w:rsidRPr="002C4077">
        <w:t xml:space="preserve"> </w:t>
      </w:r>
      <w:r>
        <w:t>du</w:t>
      </w:r>
      <w:r w:rsidRPr="002C4077">
        <w:t xml:space="preserve"> </w:t>
      </w:r>
      <w:r w:rsidR="00425C50">
        <w:t>Christ</w:t>
      </w:r>
      <w:r>
        <w:t>.</w:t>
      </w:r>
      <w:r w:rsidRPr="002C4077">
        <w:t xml:space="preserve"> </w:t>
      </w:r>
      <w:r>
        <w:t>Oui,</w:t>
      </w:r>
      <w:r w:rsidRPr="002C4077">
        <w:t xml:space="preserve"> </w:t>
      </w:r>
      <w:r>
        <w:t>tout</w:t>
      </w:r>
      <w:r w:rsidRPr="002C4077">
        <w:t xml:space="preserve"> </w:t>
      </w:r>
      <w:r>
        <w:t>dans</w:t>
      </w:r>
      <w:r w:rsidRPr="002C4077">
        <w:t xml:space="preserve"> </w:t>
      </w:r>
      <w:r>
        <w:t>la</w:t>
      </w:r>
      <w:r w:rsidRPr="002C4077">
        <w:t xml:space="preserve"> </w:t>
      </w:r>
      <w:r>
        <w:t>Bible</w:t>
      </w:r>
      <w:r w:rsidRPr="002C4077">
        <w:t xml:space="preserve"> </w:t>
      </w:r>
      <w:r>
        <w:t>hébraïque</w:t>
      </w:r>
      <w:r w:rsidRPr="002C4077">
        <w:t xml:space="preserve"> </w:t>
      </w:r>
      <w:r>
        <w:t>a</w:t>
      </w:r>
      <w:r w:rsidRPr="002C4077">
        <w:t xml:space="preserve"> </w:t>
      </w:r>
      <w:r>
        <w:t>pour</w:t>
      </w:r>
      <w:r w:rsidRPr="002C4077">
        <w:t xml:space="preserve"> </w:t>
      </w:r>
      <w:r>
        <w:t>but</w:t>
      </w:r>
      <w:r w:rsidRPr="002C4077">
        <w:t xml:space="preserve"> </w:t>
      </w:r>
      <w:r>
        <w:t>de</w:t>
      </w:r>
      <w:r w:rsidRPr="002C4077">
        <w:t xml:space="preserve"> </w:t>
      </w:r>
      <w:r>
        <w:t>retracer</w:t>
      </w:r>
      <w:r w:rsidRPr="002C4077">
        <w:t xml:space="preserve"> </w:t>
      </w:r>
      <w:r>
        <w:t>quelques</w:t>
      </w:r>
      <w:r w:rsidRPr="002C4077">
        <w:t xml:space="preserve"> </w:t>
      </w:r>
      <w:r>
        <w:t>linéaments</w:t>
      </w:r>
      <w:r w:rsidRPr="002C4077">
        <w:t xml:space="preserve"> </w:t>
      </w:r>
      <w:r>
        <w:t>de</w:t>
      </w:r>
      <w:r w:rsidRPr="002C4077">
        <w:t xml:space="preserve"> </w:t>
      </w:r>
      <w:r>
        <w:t>cette</w:t>
      </w:r>
      <w:r w:rsidRPr="002C4077">
        <w:t xml:space="preserve"> </w:t>
      </w:r>
      <w:r>
        <w:t>sublime</w:t>
      </w:r>
      <w:r w:rsidRPr="002C4077">
        <w:t xml:space="preserve"> </w:t>
      </w:r>
      <w:r>
        <w:t>image,</w:t>
      </w:r>
      <w:r w:rsidRPr="002C4077">
        <w:t xml:space="preserve"> </w:t>
      </w:r>
      <w:r>
        <w:t>ou</w:t>
      </w:r>
      <w:r w:rsidRPr="002C4077">
        <w:t xml:space="preserve"> </w:t>
      </w:r>
      <w:r>
        <w:t>de</w:t>
      </w:r>
      <w:r w:rsidRPr="002C4077">
        <w:t xml:space="preserve"> </w:t>
      </w:r>
      <w:r>
        <w:t>lui</w:t>
      </w:r>
      <w:r w:rsidRPr="002C4077">
        <w:t xml:space="preserve"> </w:t>
      </w:r>
      <w:r>
        <w:t>servir</w:t>
      </w:r>
      <w:r w:rsidRPr="002C4077">
        <w:t xml:space="preserve"> </w:t>
      </w:r>
      <w:r>
        <w:t>de</w:t>
      </w:r>
      <w:r w:rsidRPr="002C4077">
        <w:t xml:space="preserve"> </w:t>
      </w:r>
      <w:r>
        <w:t>cadre.</w:t>
      </w:r>
      <w:r w:rsidRPr="002C4077">
        <w:t xml:space="preserve"> </w:t>
      </w:r>
      <w:r>
        <w:t>Le</w:t>
      </w:r>
      <w:r w:rsidRPr="002C4077">
        <w:t xml:space="preserve"> </w:t>
      </w:r>
      <w:r>
        <w:t>Messie</w:t>
      </w:r>
      <w:r w:rsidRPr="002C4077">
        <w:t xml:space="preserve"> </w:t>
      </w:r>
      <w:r w:rsidR="00425C50">
        <w:t>est</w:t>
      </w:r>
      <w:r w:rsidRPr="002C4077">
        <w:t xml:space="preserve"> </w:t>
      </w:r>
      <w:r>
        <w:t>le</w:t>
      </w:r>
      <w:r w:rsidRPr="002C4077">
        <w:t xml:space="preserve"> </w:t>
      </w:r>
      <w:r>
        <w:t>centre,</w:t>
      </w:r>
      <w:r w:rsidRPr="002C4077">
        <w:t xml:space="preserve"> </w:t>
      </w:r>
      <w:r>
        <w:t>le</w:t>
      </w:r>
      <w:r w:rsidRPr="002C4077">
        <w:t xml:space="preserve"> </w:t>
      </w:r>
      <w:r>
        <w:t>cœur</w:t>
      </w:r>
      <w:r w:rsidRPr="002C4077">
        <w:t xml:space="preserve"> </w:t>
      </w:r>
      <w:r>
        <w:t>de</w:t>
      </w:r>
      <w:r w:rsidRPr="002C4077">
        <w:t xml:space="preserve"> </w:t>
      </w:r>
      <w:r>
        <w:t>l’Ancien</w:t>
      </w:r>
      <w:r w:rsidRPr="002C4077">
        <w:t xml:space="preserve"> </w:t>
      </w:r>
      <w:r>
        <w:t>Testament.</w:t>
      </w:r>
      <w:r w:rsidRPr="002C4077">
        <w:t xml:space="preserve"> </w:t>
      </w:r>
      <w:r>
        <w:t>L’Ancien</w:t>
      </w:r>
      <w:r w:rsidRPr="002C4077">
        <w:t xml:space="preserve"> </w:t>
      </w:r>
      <w:r>
        <w:t>Testament</w:t>
      </w:r>
      <w:r w:rsidRPr="002C4077">
        <w:t xml:space="preserve"> </w:t>
      </w:r>
      <w:r w:rsidR="00425C50">
        <w:t>est</w:t>
      </w:r>
      <w:r w:rsidRPr="002C4077">
        <w:t xml:space="preserve"> </w:t>
      </w:r>
      <w:r>
        <w:t>le</w:t>
      </w:r>
      <w:r w:rsidRPr="002C4077">
        <w:t xml:space="preserve"> </w:t>
      </w:r>
      <w:r>
        <w:t>livre</w:t>
      </w:r>
      <w:r w:rsidRPr="002C4077">
        <w:t xml:space="preserve"> </w:t>
      </w:r>
      <w:r>
        <w:t>du</w:t>
      </w:r>
      <w:r w:rsidRPr="002C4077">
        <w:t xml:space="preserve"> </w:t>
      </w:r>
      <w:r>
        <w:t>Messie,</w:t>
      </w:r>
      <w:r w:rsidRPr="002C4077">
        <w:t xml:space="preserve"> </w:t>
      </w:r>
      <w:r>
        <w:t>de</w:t>
      </w:r>
      <w:r w:rsidRPr="002C4077">
        <w:t xml:space="preserve"> </w:t>
      </w:r>
      <w:r>
        <w:t>même</w:t>
      </w:r>
      <w:r w:rsidRPr="002C4077">
        <w:t xml:space="preserve"> </w:t>
      </w:r>
      <w:r>
        <w:t>qu’Israël</w:t>
      </w:r>
      <w:r w:rsidRPr="002C4077">
        <w:t xml:space="preserve"> </w:t>
      </w:r>
      <w:r>
        <w:t>était</w:t>
      </w:r>
      <w:r w:rsidRPr="002C4077">
        <w:t xml:space="preserve"> </w:t>
      </w:r>
      <w:r>
        <w:t>son</w:t>
      </w:r>
      <w:r w:rsidRPr="002C4077">
        <w:t xml:space="preserve"> </w:t>
      </w:r>
      <w:r>
        <w:t>peuple.</w:t>
      </w:r>
      <w:r w:rsidRPr="002C4077">
        <w:t xml:space="preserve"> </w:t>
      </w:r>
      <w:r>
        <w:t>Donc,</w:t>
      </w:r>
      <w:r w:rsidRPr="002C4077">
        <w:t xml:space="preserve"> </w:t>
      </w:r>
      <w:r>
        <w:t>—</w:t>
      </w:r>
      <w:r w:rsidRPr="002C4077">
        <w:t xml:space="preserve"> </w:t>
      </w:r>
      <w:r>
        <w:t>nous</w:t>
      </w:r>
      <w:r w:rsidRPr="002C4077">
        <w:t xml:space="preserve"> </w:t>
      </w:r>
      <w:r>
        <w:t>sommes</w:t>
      </w:r>
      <w:r w:rsidRPr="002C4077">
        <w:t xml:space="preserve"> </w:t>
      </w:r>
      <w:r>
        <w:t>bien</w:t>
      </w:r>
      <w:r w:rsidRPr="002C4077">
        <w:t xml:space="preserve"> </w:t>
      </w:r>
      <w:r>
        <w:t>en</w:t>
      </w:r>
      <w:r w:rsidRPr="002C4077">
        <w:t xml:space="preserve"> </w:t>
      </w:r>
      <w:r>
        <w:t>droit</w:t>
      </w:r>
      <w:r w:rsidRPr="002C4077">
        <w:t xml:space="preserve"> </w:t>
      </w:r>
      <w:r>
        <w:t>de</w:t>
      </w:r>
      <w:r w:rsidRPr="002C4077">
        <w:t xml:space="preserve"> </w:t>
      </w:r>
      <w:r>
        <w:t>le</w:t>
      </w:r>
      <w:r w:rsidRPr="002C4077">
        <w:t xml:space="preserve"> </w:t>
      </w:r>
      <w:r>
        <w:t>conclure</w:t>
      </w:r>
      <w:r w:rsidRPr="002C4077">
        <w:t xml:space="preserve"> </w:t>
      </w:r>
      <w:r>
        <w:t>après</w:t>
      </w:r>
      <w:r w:rsidRPr="002C4077">
        <w:t xml:space="preserve"> </w:t>
      </w:r>
      <w:r>
        <w:t>ces</w:t>
      </w:r>
      <w:r w:rsidRPr="002C4077">
        <w:t xml:space="preserve"> </w:t>
      </w:r>
      <w:r>
        <w:t>prémisses</w:t>
      </w:r>
      <w:r w:rsidRPr="002C4077">
        <w:t xml:space="preserve"> </w:t>
      </w:r>
      <w:r>
        <w:t>qu’aucun</w:t>
      </w:r>
      <w:r w:rsidRPr="002C4077">
        <w:t xml:space="preserve"> </w:t>
      </w:r>
      <w:r>
        <w:t>Juif,</w:t>
      </w:r>
      <w:r w:rsidRPr="002C4077">
        <w:t xml:space="preserve"> </w:t>
      </w:r>
      <w:r>
        <w:t>orthodoxe</w:t>
      </w:r>
      <w:r w:rsidRPr="002C4077">
        <w:t xml:space="preserve"> </w:t>
      </w:r>
      <w:r>
        <w:t>ou</w:t>
      </w:r>
      <w:r w:rsidRPr="002C4077">
        <w:t xml:space="preserve"> </w:t>
      </w:r>
      <w:r>
        <w:t>libéral,</w:t>
      </w:r>
      <w:r w:rsidRPr="002C4077">
        <w:t xml:space="preserve"> </w:t>
      </w:r>
      <w:r>
        <w:t>peu</w:t>
      </w:r>
      <w:r w:rsidRPr="002C4077">
        <w:t xml:space="preserve"> </w:t>
      </w:r>
      <w:r>
        <w:t>importe,</w:t>
      </w:r>
      <w:r w:rsidRPr="002C4077">
        <w:t xml:space="preserve"> </w:t>
      </w:r>
      <w:r>
        <w:t>ne</w:t>
      </w:r>
      <w:r w:rsidRPr="002C4077">
        <w:t xml:space="preserve"> </w:t>
      </w:r>
      <w:r>
        <w:t>songerait</w:t>
      </w:r>
      <w:r w:rsidRPr="002C4077">
        <w:t xml:space="preserve"> </w:t>
      </w:r>
      <w:r>
        <w:t>à</w:t>
      </w:r>
      <w:r w:rsidRPr="002C4077">
        <w:t xml:space="preserve"> </w:t>
      </w:r>
      <w:r>
        <w:t>contester,</w:t>
      </w:r>
      <w:r w:rsidRPr="002C4077">
        <w:t xml:space="preserve"> </w:t>
      </w:r>
      <w:r>
        <w:t>—</w:t>
      </w:r>
      <w:r w:rsidRPr="002C4077">
        <w:t xml:space="preserve"> </w:t>
      </w:r>
      <w:r>
        <w:t>donc</w:t>
      </w:r>
      <w:r w:rsidRPr="002C4077">
        <w:t xml:space="preserve"> </w:t>
      </w:r>
      <w:r>
        <w:t>à</w:t>
      </w:r>
      <w:r w:rsidRPr="002C4077">
        <w:t xml:space="preserve"> </w:t>
      </w:r>
      <w:r>
        <w:t>son</w:t>
      </w:r>
      <w:r w:rsidRPr="002C4077">
        <w:t xml:space="preserve"> </w:t>
      </w:r>
      <w:r>
        <w:t>tour</w:t>
      </w:r>
      <w:r w:rsidRPr="002C4077">
        <w:t xml:space="preserve"> </w:t>
      </w:r>
      <w:r>
        <w:t>le</w:t>
      </w:r>
      <w:r w:rsidRPr="002C4077">
        <w:t xml:space="preserve"> </w:t>
      </w:r>
      <w:r>
        <w:t>catéchisme</w:t>
      </w:r>
      <w:r w:rsidRPr="002C4077">
        <w:t xml:space="preserve"> </w:t>
      </w:r>
      <w:r>
        <w:t>israélite</w:t>
      </w:r>
      <w:r w:rsidRPr="002C4077">
        <w:t xml:space="preserve"> </w:t>
      </w:r>
      <w:r>
        <w:t>sera</w:t>
      </w:r>
      <w:r w:rsidRPr="002C4077">
        <w:t xml:space="preserve"> </w:t>
      </w:r>
      <w:r>
        <w:t>plein</w:t>
      </w:r>
      <w:r w:rsidRPr="002C4077">
        <w:t xml:space="preserve"> </w:t>
      </w:r>
      <w:r>
        <w:t>du</w:t>
      </w:r>
      <w:r w:rsidRPr="002C4077">
        <w:t xml:space="preserve"> </w:t>
      </w:r>
      <w:r>
        <w:t>Messie.</w:t>
      </w:r>
      <w:r w:rsidRPr="002C4077">
        <w:t xml:space="preserve"> </w:t>
      </w:r>
      <w:r>
        <w:t>Il</w:t>
      </w:r>
      <w:r w:rsidRPr="002C4077">
        <w:t xml:space="preserve"> </w:t>
      </w:r>
      <w:r>
        <w:t>discutera</w:t>
      </w:r>
      <w:r w:rsidRPr="002C4077">
        <w:t xml:space="preserve"> </w:t>
      </w:r>
      <w:r>
        <w:t>sa</w:t>
      </w:r>
      <w:r w:rsidRPr="002C4077">
        <w:t xml:space="preserve"> </w:t>
      </w:r>
      <w:r>
        <w:t>nature,</w:t>
      </w:r>
      <w:r w:rsidRPr="002C4077">
        <w:t xml:space="preserve"> </w:t>
      </w:r>
      <w:r>
        <w:t>ses</w:t>
      </w:r>
      <w:r w:rsidRPr="002C4077">
        <w:t xml:space="preserve"> </w:t>
      </w:r>
      <w:r>
        <w:t>attributs,</w:t>
      </w:r>
      <w:r w:rsidRPr="002C4077">
        <w:t xml:space="preserve"> </w:t>
      </w:r>
      <w:r>
        <w:t>le</w:t>
      </w:r>
      <w:r w:rsidRPr="002C4077">
        <w:t xml:space="preserve"> </w:t>
      </w:r>
      <w:r>
        <w:t>temps</w:t>
      </w:r>
      <w:r w:rsidRPr="002C4077">
        <w:t xml:space="preserve"> </w:t>
      </w:r>
      <w:r>
        <w:t>de</w:t>
      </w:r>
      <w:r w:rsidRPr="002C4077">
        <w:t xml:space="preserve"> </w:t>
      </w:r>
      <w:r>
        <w:t>sa</w:t>
      </w:r>
      <w:r w:rsidRPr="002C4077">
        <w:t xml:space="preserve"> </w:t>
      </w:r>
      <w:r>
        <w:t>venue.</w:t>
      </w:r>
      <w:r w:rsidRPr="002C4077">
        <w:t xml:space="preserve"> </w:t>
      </w:r>
      <w:r>
        <w:t>Il</w:t>
      </w:r>
      <w:r w:rsidRPr="002C4077">
        <w:t xml:space="preserve"> </w:t>
      </w:r>
      <w:r>
        <w:t>dirigera</w:t>
      </w:r>
      <w:r w:rsidRPr="002C4077">
        <w:t xml:space="preserve"> </w:t>
      </w:r>
      <w:r>
        <w:t>les</w:t>
      </w:r>
      <w:r w:rsidRPr="002C4077">
        <w:t xml:space="preserve"> </w:t>
      </w:r>
      <w:r>
        <w:t>regards</w:t>
      </w:r>
      <w:r w:rsidRPr="002C4077">
        <w:t xml:space="preserve"> </w:t>
      </w:r>
      <w:r>
        <w:t>et</w:t>
      </w:r>
      <w:r w:rsidRPr="002C4077">
        <w:t xml:space="preserve"> </w:t>
      </w:r>
      <w:r>
        <w:t>les</w:t>
      </w:r>
      <w:r w:rsidRPr="002C4077">
        <w:t xml:space="preserve"> </w:t>
      </w:r>
      <w:r>
        <w:t>cœurs</w:t>
      </w:r>
      <w:r w:rsidRPr="002C4077">
        <w:t xml:space="preserve"> </w:t>
      </w:r>
      <w:r>
        <w:t>des</w:t>
      </w:r>
      <w:r w:rsidRPr="002C4077">
        <w:t xml:space="preserve"> </w:t>
      </w:r>
      <w:r>
        <w:t>petits</w:t>
      </w:r>
      <w:r w:rsidRPr="002C4077">
        <w:t xml:space="preserve"> </w:t>
      </w:r>
      <w:r>
        <w:t>enfants</w:t>
      </w:r>
      <w:r w:rsidRPr="002C4077">
        <w:t xml:space="preserve"> </w:t>
      </w:r>
      <w:r>
        <w:t>juifs</w:t>
      </w:r>
      <w:r w:rsidRPr="002C4077">
        <w:t xml:space="preserve"> </w:t>
      </w:r>
      <w:r>
        <w:t>vers</w:t>
      </w:r>
      <w:r w:rsidRPr="002C4077">
        <w:t xml:space="preserve"> </w:t>
      </w:r>
      <w:r>
        <w:t>le</w:t>
      </w:r>
      <w:r w:rsidRPr="002C4077">
        <w:t xml:space="preserve"> </w:t>
      </w:r>
      <w:r>
        <w:t>Messie,</w:t>
      </w:r>
      <w:r w:rsidRPr="002C4077">
        <w:t xml:space="preserve"> </w:t>
      </w:r>
      <w:r>
        <w:t>comme</w:t>
      </w:r>
      <w:r w:rsidRPr="002C4077">
        <w:t xml:space="preserve"> </w:t>
      </w:r>
      <w:r>
        <w:t>la</w:t>
      </w:r>
      <w:r w:rsidRPr="002C4077">
        <w:t xml:space="preserve"> </w:t>
      </w:r>
      <w:r>
        <w:t>Bible</w:t>
      </w:r>
      <w:r w:rsidRPr="002C4077">
        <w:t xml:space="preserve"> </w:t>
      </w:r>
      <w:r>
        <w:t>dirigeait</w:t>
      </w:r>
      <w:r w:rsidRPr="002C4077">
        <w:t xml:space="preserve"> </w:t>
      </w:r>
      <w:r>
        <w:t>vers</w:t>
      </w:r>
      <w:r w:rsidRPr="002C4077">
        <w:t xml:space="preserve"> </w:t>
      </w:r>
      <w:r>
        <w:t>le</w:t>
      </w:r>
      <w:r w:rsidRPr="002C4077">
        <w:t xml:space="preserve"> </w:t>
      </w:r>
      <w:r>
        <w:t>Messie</w:t>
      </w:r>
      <w:r w:rsidRPr="002C4077">
        <w:t xml:space="preserve"> </w:t>
      </w:r>
      <w:r>
        <w:t>les</w:t>
      </w:r>
      <w:r w:rsidRPr="002C4077">
        <w:t xml:space="preserve"> </w:t>
      </w:r>
      <w:r>
        <w:t>regards</w:t>
      </w:r>
      <w:r w:rsidRPr="002C4077">
        <w:t xml:space="preserve"> </w:t>
      </w:r>
      <w:r>
        <w:t>et</w:t>
      </w:r>
      <w:r w:rsidRPr="002C4077">
        <w:t xml:space="preserve"> </w:t>
      </w:r>
      <w:r>
        <w:t>les</w:t>
      </w:r>
      <w:r w:rsidRPr="002C4077">
        <w:t xml:space="preserve"> </w:t>
      </w:r>
      <w:r>
        <w:t>cœurs</w:t>
      </w:r>
      <w:r w:rsidRPr="002C4077">
        <w:t xml:space="preserve"> </w:t>
      </w:r>
      <w:r>
        <w:t>de</w:t>
      </w:r>
      <w:r w:rsidRPr="002C4077">
        <w:t xml:space="preserve"> </w:t>
      </w:r>
      <w:r>
        <w:t>leurs</w:t>
      </w:r>
      <w:r w:rsidRPr="002C4077">
        <w:t xml:space="preserve"> </w:t>
      </w:r>
      <w:r>
        <w:t>aïeux.</w:t>
      </w:r>
      <w:r w:rsidRPr="002C4077">
        <w:t xml:space="preserve"> </w:t>
      </w:r>
    </w:p>
    <w:p w:rsidR="000A7AAB" w:rsidRDefault="000A7AAB" w:rsidP="000A7AAB">
      <w:r>
        <w:t>Hélas</w:t>
      </w:r>
      <w:r w:rsidR="00B546AF">
        <w:t> !</w:t>
      </w:r>
      <w:r w:rsidRPr="002C4077">
        <w:t xml:space="preserve"> </w:t>
      </w:r>
      <w:r>
        <w:t>le</w:t>
      </w:r>
      <w:r w:rsidRPr="002C4077">
        <w:t xml:space="preserve"> </w:t>
      </w:r>
      <w:r>
        <w:t>croira-t-on</w:t>
      </w:r>
      <w:r w:rsidR="00B546AF">
        <w:t> ?</w:t>
      </w:r>
      <w:r w:rsidRPr="002C4077">
        <w:t xml:space="preserve"> </w:t>
      </w:r>
      <w:r>
        <w:t>J’ai</w:t>
      </w:r>
      <w:r w:rsidRPr="002C4077">
        <w:t xml:space="preserve"> </w:t>
      </w:r>
      <w:r>
        <w:t>tourné</w:t>
      </w:r>
      <w:r w:rsidRPr="002C4077">
        <w:t xml:space="preserve"> </w:t>
      </w:r>
      <w:r>
        <w:t>et</w:t>
      </w:r>
      <w:r w:rsidRPr="002C4077">
        <w:t xml:space="preserve"> </w:t>
      </w:r>
      <w:r>
        <w:t>retourné</w:t>
      </w:r>
      <w:r w:rsidRPr="002C4077">
        <w:t xml:space="preserve"> </w:t>
      </w:r>
      <w:r>
        <w:t>les</w:t>
      </w:r>
      <w:r w:rsidRPr="002C4077">
        <w:t xml:space="preserve"> </w:t>
      </w:r>
      <w:r>
        <w:t>pages,</w:t>
      </w:r>
      <w:r w:rsidRPr="002C4077">
        <w:t xml:space="preserve"> </w:t>
      </w:r>
      <w:r>
        <w:t>et</w:t>
      </w:r>
      <w:r w:rsidRPr="002C4077">
        <w:t xml:space="preserve"> </w:t>
      </w:r>
      <w:r>
        <w:t>nulle</w:t>
      </w:r>
      <w:r w:rsidRPr="002C4077">
        <w:t xml:space="preserve"> </w:t>
      </w:r>
      <w:r>
        <w:t>part</w:t>
      </w:r>
      <w:r w:rsidRPr="002C4077">
        <w:t xml:space="preserve"> </w:t>
      </w:r>
      <w:r>
        <w:t>ailleurs</w:t>
      </w:r>
      <w:r w:rsidRPr="002C4077">
        <w:t xml:space="preserve"> </w:t>
      </w:r>
      <w:r>
        <w:t>le</w:t>
      </w:r>
      <w:r w:rsidRPr="002C4077">
        <w:t xml:space="preserve"> </w:t>
      </w:r>
      <w:r>
        <w:t>nom</w:t>
      </w:r>
      <w:r w:rsidRPr="002C4077">
        <w:t xml:space="preserve"> </w:t>
      </w:r>
      <w:r>
        <w:t>du</w:t>
      </w:r>
      <w:r w:rsidRPr="002C4077">
        <w:t xml:space="preserve"> </w:t>
      </w:r>
      <w:r>
        <w:t>Messie</w:t>
      </w:r>
      <w:r w:rsidRPr="002C4077">
        <w:t xml:space="preserve"> </w:t>
      </w:r>
      <w:r>
        <w:t>ne</w:t>
      </w:r>
      <w:r w:rsidRPr="002C4077">
        <w:t xml:space="preserve"> </w:t>
      </w:r>
      <w:r>
        <w:t>m’est</w:t>
      </w:r>
      <w:r w:rsidRPr="002C4077">
        <w:t xml:space="preserve"> </w:t>
      </w:r>
      <w:r>
        <w:t>apparu.</w:t>
      </w:r>
      <w:r w:rsidRPr="002C4077">
        <w:t xml:space="preserve"> </w:t>
      </w:r>
      <w:r>
        <w:t>Le</w:t>
      </w:r>
      <w:r w:rsidRPr="002C4077">
        <w:t xml:space="preserve"> </w:t>
      </w:r>
      <w:r w:rsidRPr="000A34B5">
        <w:rPr>
          <w:rStyle w:val="italicus"/>
        </w:rPr>
        <w:t>Précis</w:t>
      </w:r>
      <w:r w:rsidRPr="002C4077">
        <w:t xml:space="preserve"> </w:t>
      </w:r>
      <w:r w:rsidRPr="000A34B5">
        <w:rPr>
          <w:rStyle w:val="italicus"/>
        </w:rPr>
        <w:t>élémentaire</w:t>
      </w:r>
      <w:r w:rsidRPr="002C4077">
        <w:t xml:space="preserve"> </w:t>
      </w:r>
      <w:r>
        <w:t>se</w:t>
      </w:r>
      <w:r w:rsidRPr="002C4077">
        <w:t xml:space="preserve"> </w:t>
      </w:r>
      <w:r>
        <w:t>contente</w:t>
      </w:r>
      <w:r w:rsidRPr="002C4077">
        <w:t xml:space="preserve"> </w:t>
      </w:r>
      <w:r>
        <w:t>de</w:t>
      </w:r>
      <w:r w:rsidRPr="002C4077">
        <w:t xml:space="preserve"> </w:t>
      </w:r>
      <w:r>
        <w:t>le</w:t>
      </w:r>
      <w:r w:rsidRPr="002C4077">
        <w:t xml:space="preserve"> </w:t>
      </w:r>
      <w:r>
        <w:t>mentionner</w:t>
      </w:r>
      <w:r w:rsidRPr="002C4077">
        <w:t xml:space="preserve"> </w:t>
      </w:r>
      <w:r>
        <w:t>une</w:t>
      </w:r>
      <w:r w:rsidRPr="002C4077">
        <w:t xml:space="preserve"> </w:t>
      </w:r>
      <w:r>
        <w:t>fois.</w:t>
      </w:r>
      <w:r w:rsidRPr="002C4077">
        <w:t xml:space="preserve"> </w:t>
      </w:r>
      <w:r>
        <w:t>Tout</w:t>
      </w:r>
      <w:r w:rsidRPr="002C4077">
        <w:t xml:space="preserve"> </w:t>
      </w:r>
      <w:r w:rsidR="00425C50">
        <w:t>est</w:t>
      </w:r>
      <w:r w:rsidRPr="002C4077">
        <w:t xml:space="preserve"> </w:t>
      </w:r>
      <w:r>
        <w:t>dit</w:t>
      </w:r>
      <w:r w:rsidRPr="002C4077">
        <w:t xml:space="preserve"> </w:t>
      </w:r>
      <w:r>
        <w:t>sur</w:t>
      </w:r>
      <w:r w:rsidRPr="002C4077">
        <w:t xml:space="preserve"> </w:t>
      </w:r>
      <w:r>
        <w:t>le</w:t>
      </w:r>
      <w:r w:rsidRPr="002C4077">
        <w:t xml:space="preserve"> </w:t>
      </w:r>
      <w:r>
        <w:t>Messie</w:t>
      </w:r>
      <w:r w:rsidRPr="002C4077">
        <w:t xml:space="preserve"> </w:t>
      </w:r>
      <w:r>
        <w:t>dans</w:t>
      </w:r>
      <w:r w:rsidRPr="002C4077">
        <w:t xml:space="preserve"> </w:t>
      </w:r>
      <w:r>
        <w:t>le</w:t>
      </w:r>
      <w:r w:rsidRPr="002C4077">
        <w:t xml:space="preserve"> </w:t>
      </w:r>
      <w:r>
        <w:t>catéchisme</w:t>
      </w:r>
      <w:r w:rsidRPr="002C4077">
        <w:t xml:space="preserve"> </w:t>
      </w:r>
      <w:r>
        <w:t>israélite,</w:t>
      </w:r>
      <w:r w:rsidRPr="002C4077">
        <w:t xml:space="preserve"> </w:t>
      </w:r>
      <w:r>
        <w:t>quand</w:t>
      </w:r>
      <w:r w:rsidRPr="002C4077">
        <w:t xml:space="preserve"> </w:t>
      </w:r>
      <w:r>
        <w:t>on</w:t>
      </w:r>
      <w:r w:rsidRPr="002C4077">
        <w:t xml:space="preserve"> </w:t>
      </w:r>
      <w:r>
        <w:t>a</w:t>
      </w:r>
      <w:r w:rsidRPr="002C4077">
        <w:t xml:space="preserve"> </w:t>
      </w:r>
      <w:r>
        <w:t>réédité</w:t>
      </w:r>
      <w:r w:rsidRPr="002C4077">
        <w:t xml:space="preserve"> </w:t>
      </w:r>
      <w:r>
        <w:t>froidement</w:t>
      </w:r>
      <w:r w:rsidRPr="002C4077">
        <w:t xml:space="preserve"> </w:t>
      </w:r>
      <w:r>
        <w:t>le</w:t>
      </w:r>
      <w:r w:rsidRPr="002C4077">
        <w:t xml:space="preserve"> </w:t>
      </w:r>
      <w:r>
        <w:t>douzième</w:t>
      </w:r>
      <w:r w:rsidRPr="002C4077">
        <w:t xml:space="preserve"> </w:t>
      </w:r>
      <w:r>
        <w:t>article</w:t>
      </w:r>
      <w:r w:rsidRPr="002C4077">
        <w:t xml:space="preserve"> </w:t>
      </w:r>
      <w:r>
        <w:t>du</w:t>
      </w:r>
      <w:r w:rsidRPr="002C4077">
        <w:t xml:space="preserve"> </w:t>
      </w:r>
      <w:r>
        <w:t>Symbole</w:t>
      </w:r>
      <w:r w:rsidR="00B546AF">
        <w:t> !</w:t>
      </w:r>
      <w:r w:rsidRPr="002C4077">
        <w:t xml:space="preserve"> </w:t>
      </w:r>
    </w:p>
    <w:p w:rsidR="000A7AAB" w:rsidRDefault="000A7AAB" w:rsidP="000A7AAB">
      <w:r>
        <w:t>C’est</w:t>
      </w:r>
      <w:r w:rsidRPr="002C4077">
        <w:t xml:space="preserve"> </w:t>
      </w:r>
      <w:r>
        <w:t>bien</w:t>
      </w:r>
      <w:r w:rsidRPr="002C4077">
        <w:t xml:space="preserve"> </w:t>
      </w:r>
      <w:r>
        <w:t>triste</w:t>
      </w:r>
      <w:r w:rsidR="00B546AF">
        <w:t> ;</w:t>
      </w:r>
      <w:r w:rsidRPr="002C4077">
        <w:t xml:space="preserve"> </w:t>
      </w:r>
      <w:r>
        <w:t>mais,</w:t>
      </w:r>
      <w:r w:rsidRPr="002C4077">
        <w:t xml:space="preserve"> </w:t>
      </w:r>
      <w:r>
        <w:t>c’est</w:t>
      </w:r>
      <w:r w:rsidRPr="002C4077">
        <w:t xml:space="preserve"> </w:t>
      </w:r>
      <w:r>
        <w:t>en</w:t>
      </w:r>
      <w:r w:rsidRPr="002C4077">
        <w:t xml:space="preserve"> </w:t>
      </w:r>
      <w:r>
        <w:t>même</w:t>
      </w:r>
      <w:r w:rsidRPr="002C4077">
        <w:t xml:space="preserve"> </w:t>
      </w:r>
      <w:r>
        <w:t>temps</w:t>
      </w:r>
      <w:r w:rsidRPr="002C4077">
        <w:t xml:space="preserve"> </w:t>
      </w:r>
      <w:r>
        <w:t>bien</w:t>
      </w:r>
      <w:r w:rsidRPr="002C4077">
        <w:t xml:space="preserve"> </w:t>
      </w:r>
      <w:r>
        <w:t>significatif.</w:t>
      </w:r>
      <w:r w:rsidRPr="002C4077">
        <w:t xml:space="preserve"> </w:t>
      </w:r>
    </w:p>
    <w:p w:rsidR="000A7AAB" w:rsidRDefault="000A7AAB" w:rsidP="000A7AAB">
      <w:r>
        <w:t>Pour</w:t>
      </w:r>
      <w:r w:rsidRPr="002C4077">
        <w:t xml:space="preserve"> </w:t>
      </w:r>
      <w:r>
        <w:t>la</w:t>
      </w:r>
      <w:r w:rsidRPr="002C4077">
        <w:t xml:space="preserve"> </w:t>
      </w:r>
      <w:r>
        <w:t>plupart</w:t>
      </w:r>
      <w:r w:rsidRPr="002C4077">
        <w:t xml:space="preserve"> </w:t>
      </w:r>
      <w:r>
        <w:t>des</w:t>
      </w:r>
      <w:r w:rsidRPr="002C4077">
        <w:t xml:space="preserve"> </w:t>
      </w:r>
      <w:r>
        <w:t>Juifs,</w:t>
      </w:r>
      <w:r w:rsidRPr="002C4077">
        <w:t xml:space="preserve"> </w:t>
      </w:r>
      <w:r>
        <w:t>en</w:t>
      </w:r>
      <w:r w:rsidRPr="002C4077">
        <w:t xml:space="preserve"> </w:t>
      </w:r>
      <w:r>
        <w:t>effet,</w:t>
      </w:r>
      <w:r w:rsidRPr="002C4077">
        <w:t xml:space="preserve"> </w:t>
      </w:r>
      <w:r>
        <w:t>le</w:t>
      </w:r>
      <w:r w:rsidRPr="002C4077">
        <w:t xml:space="preserve"> </w:t>
      </w:r>
      <w:r>
        <w:t>mot</w:t>
      </w:r>
      <w:r w:rsidRPr="002C4077">
        <w:t xml:space="preserve"> </w:t>
      </w:r>
      <w:r>
        <w:t>Messie</w:t>
      </w:r>
      <w:r w:rsidRPr="002C4077">
        <w:t xml:space="preserve"> </w:t>
      </w:r>
      <w:r>
        <w:t>n’est</w:t>
      </w:r>
      <w:r w:rsidRPr="002C4077">
        <w:t xml:space="preserve"> </w:t>
      </w:r>
      <w:r>
        <w:t>plus</w:t>
      </w:r>
      <w:r w:rsidRPr="002C4077">
        <w:t xml:space="preserve"> </w:t>
      </w:r>
      <w:r>
        <w:t>qu’une</w:t>
      </w:r>
      <w:r w:rsidRPr="002C4077">
        <w:t xml:space="preserve"> </w:t>
      </w:r>
      <w:r>
        <w:t>expression</w:t>
      </w:r>
      <w:r w:rsidRPr="002C4077">
        <w:t xml:space="preserve"> </w:t>
      </w:r>
      <w:r>
        <w:t>vague,</w:t>
      </w:r>
      <w:r w:rsidRPr="002C4077">
        <w:t xml:space="preserve"> </w:t>
      </w:r>
      <w:r>
        <w:t>qui</w:t>
      </w:r>
      <w:r w:rsidRPr="002C4077">
        <w:t xml:space="preserve"> </w:t>
      </w:r>
      <w:r>
        <w:t>ne</w:t>
      </w:r>
      <w:r w:rsidRPr="002C4077">
        <w:t xml:space="preserve"> </w:t>
      </w:r>
      <w:r>
        <w:t>dit</w:t>
      </w:r>
      <w:r w:rsidRPr="002C4077">
        <w:t xml:space="preserve"> </w:t>
      </w:r>
      <w:r>
        <w:t>rien</w:t>
      </w:r>
      <w:r w:rsidRPr="002C4077">
        <w:t xml:space="preserve"> </w:t>
      </w:r>
      <w:r>
        <w:t>au</w:t>
      </w:r>
      <w:r w:rsidRPr="002C4077">
        <w:t xml:space="preserve"> </w:t>
      </w:r>
      <w:r>
        <w:t>cœur,</w:t>
      </w:r>
      <w:r w:rsidRPr="002C4077">
        <w:t xml:space="preserve"> </w:t>
      </w:r>
      <w:r>
        <w:t>presque</w:t>
      </w:r>
      <w:r w:rsidRPr="002C4077">
        <w:t xml:space="preserve"> </w:t>
      </w:r>
      <w:r>
        <w:t>rien</w:t>
      </w:r>
      <w:r w:rsidRPr="002C4077">
        <w:t xml:space="preserve"> </w:t>
      </w:r>
      <w:r>
        <w:t>à</w:t>
      </w:r>
      <w:r w:rsidRPr="002C4077">
        <w:t xml:space="preserve"> </w:t>
      </w:r>
      <w:r>
        <w:t>l’intelligence.</w:t>
      </w:r>
      <w:r w:rsidR="00C45B47">
        <w:t xml:space="preserve"> {</w:t>
      </w:r>
      <w:r w:rsidR="001F5257">
        <w:t>273</w:t>
      </w:r>
      <w:bookmarkStart w:id="664" w:name="p273"/>
      <w:bookmarkEnd w:id="664"/>
      <w:r w:rsidR="001F5257">
        <w:t xml:space="preserve">} </w:t>
      </w:r>
      <w:r>
        <w:t>Où</w:t>
      </w:r>
      <w:r w:rsidRPr="002C4077">
        <w:t xml:space="preserve"> </w:t>
      </w:r>
      <w:r>
        <w:t>sont</w:t>
      </w:r>
      <w:r w:rsidRPr="002C4077">
        <w:t xml:space="preserve"> </w:t>
      </w:r>
      <w:r>
        <w:t>les</w:t>
      </w:r>
      <w:r w:rsidRPr="002C4077">
        <w:t xml:space="preserve"> </w:t>
      </w:r>
      <w:r>
        <w:t>brûlantes</w:t>
      </w:r>
      <w:r w:rsidRPr="002C4077">
        <w:t xml:space="preserve"> </w:t>
      </w:r>
      <w:r>
        <w:t>aspirations</w:t>
      </w:r>
      <w:r w:rsidRPr="002C4077">
        <w:t xml:space="preserve"> </w:t>
      </w:r>
      <w:r>
        <w:t>des</w:t>
      </w:r>
      <w:r w:rsidRPr="002C4077">
        <w:t xml:space="preserve"> </w:t>
      </w:r>
      <w:r>
        <w:t>contemporains</w:t>
      </w:r>
      <w:r w:rsidRPr="002C4077">
        <w:t xml:space="preserve"> </w:t>
      </w:r>
      <w:r>
        <w:t>de</w:t>
      </w:r>
      <w:r w:rsidRPr="002C4077">
        <w:t xml:space="preserve"> </w:t>
      </w:r>
      <w:r>
        <w:t>N.</w:t>
      </w:r>
      <w:r w:rsidRPr="002C4077">
        <w:t xml:space="preserve"> </w:t>
      </w:r>
      <w:r>
        <w:t>S.</w:t>
      </w:r>
      <w:r w:rsidRPr="002C4077">
        <w:t xml:space="preserve"> </w:t>
      </w:r>
      <w:r w:rsidR="00425C50">
        <w:t>Jésus</w:t>
      </w:r>
      <w:r>
        <w:t>-</w:t>
      </w:r>
      <w:r w:rsidR="00425C50">
        <w:t>Christ</w:t>
      </w:r>
      <w:r w:rsidR="00B546AF">
        <w:t> ?</w:t>
      </w:r>
      <w:r w:rsidRPr="002C4077">
        <w:t xml:space="preserve"> </w:t>
      </w:r>
      <w:r>
        <w:t>Qu’est</w:t>
      </w:r>
      <w:r w:rsidRPr="002C4077">
        <w:t xml:space="preserve"> </w:t>
      </w:r>
      <w:r>
        <w:t>devenue</w:t>
      </w:r>
      <w:r w:rsidRPr="002C4077">
        <w:t xml:space="preserve"> </w:t>
      </w:r>
      <w:r>
        <w:t>la</w:t>
      </w:r>
      <w:r w:rsidRPr="002C4077">
        <w:t xml:space="preserve"> </w:t>
      </w:r>
      <w:r>
        <w:t>douloureuse</w:t>
      </w:r>
      <w:r w:rsidRPr="002C4077">
        <w:t xml:space="preserve"> </w:t>
      </w:r>
      <w:r>
        <w:t>attente</w:t>
      </w:r>
      <w:r w:rsidRPr="002C4077">
        <w:t xml:space="preserve"> </w:t>
      </w:r>
      <w:r>
        <w:t>des</w:t>
      </w:r>
      <w:r w:rsidRPr="002C4077">
        <w:t xml:space="preserve"> </w:t>
      </w:r>
      <w:r>
        <w:t>anciens</w:t>
      </w:r>
      <w:r w:rsidRPr="002C4077">
        <w:t xml:space="preserve"> </w:t>
      </w:r>
      <w:r>
        <w:t>rabbins</w:t>
      </w:r>
      <w:r w:rsidR="00B546AF">
        <w:t> ?</w:t>
      </w:r>
      <w:r w:rsidRPr="002C4077">
        <w:t xml:space="preserve"> </w:t>
      </w:r>
      <w:r>
        <w:t>Aujourd’hui,</w:t>
      </w:r>
      <w:r w:rsidRPr="002C4077">
        <w:t xml:space="preserve"> </w:t>
      </w:r>
      <w:r>
        <w:t>l’on</w:t>
      </w:r>
      <w:r w:rsidRPr="002C4077">
        <w:t xml:space="preserve"> </w:t>
      </w:r>
      <w:r>
        <w:t>a</w:t>
      </w:r>
      <w:r w:rsidRPr="002C4077">
        <w:t xml:space="preserve"> </w:t>
      </w:r>
      <w:r>
        <w:t>cessé</w:t>
      </w:r>
      <w:r w:rsidRPr="002C4077">
        <w:t xml:space="preserve"> </w:t>
      </w:r>
      <w:r>
        <w:t>de</w:t>
      </w:r>
      <w:r w:rsidRPr="002C4077">
        <w:t xml:space="preserve"> </w:t>
      </w:r>
      <w:r>
        <w:t>supputer</w:t>
      </w:r>
      <w:r w:rsidRPr="002C4077">
        <w:t xml:space="preserve"> </w:t>
      </w:r>
      <w:r>
        <w:t>les</w:t>
      </w:r>
      <w:r w:rsidRPr="002C4077">
        <w:t xml:space="preserve"> </w:t>
      </w:r>
      <w:r>
        <w:t>années</w:t>
      </w:r>
      <w:r w:rsidRPr="002C4077">
        <w:t xml:space="preserve"> </w:t>
      </w:r>
      <w:r>
        <w:t>et</w:t>
      </w:r>
      <w:r w:rsidRPr="002C4077">
        <w:t xml:space="preserve"> </w:t>
      </w:r>
      <w:r>
        <w:t>l’on</w:t>
      </w:r>
      <w:r w:rsidRPr="002C4077">
        <w:t xml:space="preserve"> </w:t>
      </w:r>
      <w:r>
        <w:t>s’est</w:t>
      </w:r>
      <w:r w:rsidRPr="002C4077">
        <w:t xml:space="preserve"> </w:t>
      </w:r>
      <w:r>
        <w:t>résigné</w:t>
      </w:r>
      <w:r w:rsidRPr="002C4077">
        <w:t xml:space="preserve"> </w:t>
      </w:r>
      <w:r>
        <w:t>à</w:t>
      </w:r>
      <w:r w:rsidRPr="002C4077">
        <w:t xml:space="preserve"> </w:t>
      </w:r>
      <w:r>
        <w:t>ne</w:t>
      </w:r>
      <w:r w:rsidRPr="002C4077">
        <w:t xml:space="preserve"> </w:t>
      </w:r>
      <w:r>
        <w:t>plus</w:t>
      </w:r>
      <w:r w:rsidRPr="002C4077">
        <w:t xml:space="preserve"> </w:t>
      </w:r>
      <w:r>
        <w:t>attend</w:t>
      </w:r>
      <w:r w:rsidR="00F6492C">
        <w:t>re</w:t>
      </w:r>
      <w:r w:rsidR="00F6492C">
        <w:rPr>
          <w:rStyle w:val="Appelnotedebasdep"/>
        </w:rPr>
        <w:footnoteReference w:id="840"/>
      </w:r>
      <w:r w:rsidR="00F6492C">
        <w:t>.</w:t>
      </w:r>
      <w:r w:rsidRPr="002C4077">
        <w:t xml:space="preserve"> </w:t>
      </w:r>
      <w:r>
        <w:t>Qu’</w:t>
      </w:r>
      <w:r w:rsidR="000F4CEC">
        <w:t>attendrait</w:t>
      </w:r>
      <w:r>
        <w:t>-on,</w:t>
      </w:r>
      <w:r w:rsidRPr="002C4077">
        <w:t xml:space="preserve"> </w:t>
      </w:r>
      <w:r>
        <w:t>puisque</w:t>
      </w:r>
      <w:r w:rsidRPr="002C4077">
        <w:t xml:space="preserve"> </w:t>
      </w:r>
      <w:r>
        <w:t>le</w:t>
      </w:r>
      <w:r w:rsidRPr="002C4077">
        <w:t xml:space="preserve"> </w:t>
      </w:r>
      <w:r>
        <w:t>vrai</w:t>
      </w:r>
      <w:r w:rsidRPr="002C4077">
        <w:t xml:space="preserve"> </w:t>
      </w:r>
      <w:r>
        <w:t>Messie</w:t>
      </w:r>
      <w:r w:rsidRPr="002C4077">
        <w:t xml:space="preserve"> </w:t>
      </w:r>
      <w:r w:rsidR="00425C50">
        <w:t>est</w:t>
      </w:r>
      <w:r w:rsidRPr="002C4077">
        <w:t xml:space="preserve"> </w:t>
      </w:r>
      <w:r>
        <w:t>venu</w:t>
      </w:r>
      <w:r w:rsidR="00B546AF">
        <w:t> ?</w:t>
      </w:r>
      <w:r w:rsidRPr="002C4077">
        <w:t xml:space="preserve"> </w:t>
      </w:r>
      <w:r>
        <w:t>C’est</w:t>
      </w:r>
      <w:r w:rsidRPr="002C4077">
        <w:t xml:space="preserve"> </w:t>
      </w:r>
      <w:r>
        <w:t>pour</w:t>
      </w:r>
      <w:r w:rsidRPr="002C4077">
        <w:t xml:space="preserve"> </w:t>
      </w:r>
      <w:r>
        <w:t>cela</w:t>
      </w:r>
      <w:r w:rsidRPr="002C4077">
        <w:t xml:space="preserve"> </w:t>
      </w:r>
      <w:r>
        <w:t>que</w:t>
      </w:r>
      <w:r w:rsidRPr="002C4077">
        <w:t xml:space="preserve"> </w:t>
      </w:r>
      <w:r>
        <w:t>l’idée</w:t>
      </w:r>
      <w:r w:rsidRPr="002C4077">
        <w:t xml:space="preserve"> </w:t>
      </w:r>
      <w:r>
        <w:t>du</w:t>
      </w:r>
      <w:r w:rsidRPr="002C4077">
        <w:t xml:space="preserve"> </w:t>
      </w:r>
      <w:r w:rsidR="00425C50">
        <w:t>Christ</w:t>
      </w:r>
      <w:r w:rsidRPr="002C4077">
        <w:t xml:space="preserve"> </w:t>
      </w:r>
      <w:r>
        <w:t>n’est</w:t>
      </w:r>
      <w:r w:rsidRPr="002C4077">
        <w:t xml:space="preserve"> </w:t>
      </w:r>
      <w:r>
        <w:t>qu’une</w:t>
      </w:r>
      <w:r w:rsidRPr="002C4077">
        <w:t xml:space="preserve"> </w:t>
      </w:r>
      <w:r>
        <w:t>idée</w:t>
      </w:r>
      <w:r w:rsidRPr="002C4077">
        <w:t xml:space="preserve"> </w:t>
      </w:r>
      <w:r>
        <w:t>de</w:t>
      </w:r>
      <w:r w:rsidRPr="002C4077">
        <w:t xml:space="preserve"> </w:t>
      </w:r>
      <w:r>
        <w:t>troisième</w:t>
      </w:r>
      <w:r w:rsidRPr="002C4077">
        <w:t xml:space="preserve"> </w:t>
      </w:r>
      <w:r>
        <w:t>ou</w:t>
      </w:r>
      <w:r w:rsidRPr="002C4077">
        <w:t xml:space="preserve"> </w:t>
      </w:r>
      <w:r>
        <w:t>de</w:t>
      </w:r>
      <w:r w:rsidRPr="002C4077">
        <w:t xml:space="preserve"> </w:t>
      </w:r>
      <w:r>
        <w:t>quatrième</w:t>
      </w:r>
      <w:r w:rsidRPr="002C4077">
        <w:t xml:space="preserve"> </w:t>
      </w:r>
      <w:r>
        <w:t>ordre</w:t>
      </w:r>
      <w:r w:rsidRPr="002C4077">
        <w:t xml:space="preserve"> </w:t>
      </w:r>
      <w:r>
        <w:t>dans</w:t>
      </w:r>
      <w:r w:rsidRPr="002C4077">
        <w:t xml:space="preserve"> </w:t>
      </w:r>
      <w:r>
        <w:t>le</w:t>
      </w:r>
      <w:r w:rsidRPr="002C4077">
        <w:t xml:space="preserve"> </w:t>
      </w:r>
      <w:r>
        <w:t>catéchisme</w:t>
      </w:r>
      <w:r w:rsidRPr="002C4077">
        <w:t xml:space="preserve"> </w:t>
      </w:r>
      <w:r>
        <w:t>des</w:t>
      </w:r>
      <w:r w:rsidRPr="002C4077">
        <w:t xml:space="preserve"> </w:t>
      </w:r>
      <w:r>
        <w:t>Juifs.</w:t>
      </w:r>
      <w:r w:rsidRPr="002C4077">
        <w:t xml:space="preserve"> </w:t>
      </w:r>
    </w:p>
    <w:p w:rsidR="007E4381" w:rsidRDefault="007E4381" w:rsidP="000A7AAB"/>
    <w:p w:rsidR="000A7AAB" w:rsidRDefault="000A7AAB" w:rsidP="000A7AAB">
      <w:r>
        <w:t>Les</w:t>
      </w:r>
      <w:r w:rsidRPr="002C4077">
        <w:t xml:space="preserve"> </w:t>
      </w:r>
      <w:r>
        <w:t>quatre</w:t>
      </w:r>
      <w:r w:rsidRPr="002C4077">
        <w:t xml:space="preserve"> </w:t>
      </w:r>
      <w:r>
        <w:t>premiers</w:t>
      </w:r>
      <w:r w:rsidRPr="002C4077">
        <w:t xml:space="preserve"> </w:t>
      </w:r>
      <w:r>
        <w:t>chapitrés</w:t>
      </w:r>
      <w:r w:rsidRPr="002C4077">
        <w:t xml:space="preserve"> </w:t>
      </w:r>
      <w:r>
        <w:t>de</w:t>
      </w:r>
      <w:r w:rsidRPr="002C4077">
        <w:t xml:space="preserve"> </w:t>
      </w:r>
      <w:r>
        <w:t>la</w:t>
      </w:r>
      <w:r w:rsidRPr="002C4077">
        <w:t xml:space="preserve"> </w:t>
      </w:r>
      <w:r>
        <w:t>section</w:t>
      </w:r>
      <w:r w:rsidRPr="002C4077">
        <w:t xml:space="preserve"> </w:t>
      </w:r>
      <w:r w:rsidR="007B3C26">
        <w:t>I</w:t>
      </w:r>
      <w:r w:rsidR="007B3C26" w:rsidRPr="007B3C26">
        <w:rPr>
          <w:vertAlign w:val="superscript"/>
        </w:rPr>
        <w:t>er</w:t>
      </w:r>
      <w:r w:rsidRPr="002C4077">
        <w:t xml:space="preserve"> </w:t>
      </w:r>
      <w:r>
        <w:t>traitent</w:t>
      </w:r>
      <w:r w:rsidRPr="002C4077">
        <w:t xml:space="preserve"> </w:t>
      </w:r>
      <w:r>
        <w:t>de</w:t>
      </w:r>
      <w:r w:rsidRPr="002C4077">
        <w:t xml:space="preserve"> </w:t>
      </w:r>
      <w:r>
        <w:t>la</w:t>
      </w:r>
      <w:r w:rsidRPr="002C4077">
        <w:t xml:space="preserve"> </w:t>
      </w:r>
      <w:r>
        <w:t>Loi</w:t>
      </w:r>
      <w:r w:rsidRPr="002C4077">
        <w:t xml:space="preserve"> </w:t>
      </w:r>
      <w:r>
        <w:t>de</w:t>
      </w:r>
      <w:r w:rsidRPr="002C4077">
        <w:t xml:space="preserve"> </w:t>
      </w:r>
      <w:r>
        <w:t>Dieu,</w:t>
      </w:r>
      <w:r w:rsidRPr="002C4077">
        <w:t xml:space="preserve"> </w:t>
      </w:r>
      <w:r>
        <w:t>du</w:t>
      </w:r>
      <w:r w:rsidRPr="002C4077">
        <w:t xml:space="preserve"> </w:t>
      </w:r>
      <w:r>
        <w:t>Décalogue,</w:t>
      </w:r>
      <w:r w:rsidRPr="002C4077">
        <w:t xml:space="preserve"> </w:t>
      </w:r>
      <w:r>
        <w:t>de</w:t>
      </w:r>
      <w:r w:rsidRPr="002C4077">
        <w:t xml:space="preserve"> </w:t>
      </w:r>
      <w:r>
        <w:t>la</w:t>
      </w:r>
      <w:r w:rsidRPr="002C4077">
        <w:t xml:space="preserve"> </w:t>
      </w:r>
      <w:r>
        <w:t>Loi</w:t>
      </w:r>
      <w:r w:rsidRPr="002C4077">
        <w:t xml:space="preserve"> </w:t>
      </w:r>
      <w:r>
        <w:t>orale</w:t>
      </w:r>
      <w:r w:rsidRPr="002C4077">
        <w:t xml:space="preserve"> </w:t>
      </w:r>
      <w:r>
        <w:t>qui</w:t>
      </w:r>
      <w:r w:rsidRPr="002C4077">
        <w:t xml:space="preserve"> </w:t>
      </w:r>
      <w:r>
        <w:t>complète</w:t>
      </w:r>
      <w:r w:rsidRPr="002C4077">
        <w:t xml:space="preserve"> </w:t>
      </w:r>
      <w:r>
        <w:t>la</w:t>
      </w:r>
      <w:r w:rsidRPr="002C4077">
        <w:t xml:space="preserve"> </w:t>
      </w:r>
      <w:r>
        <w:t>Loi</w:t>
      </w:r>
      <w:r w:rsidRPr="002C4077">
        <w:t xml:space="preserve"> </w:t>
      </w:r>
      <w:r>
        <w:t>écrite,</w:t>
      </w:r>
      <w:r w:rsidRPr="002C4077">
        <w:t xml:space="preserve"> </w:t>
      </w:r>
      <w:r>
        <w:t>enfin</w:t>
      </w:r>
      <w:r w:rsidRPr="002C4077">
        <w:t xml:space="preserve"> </w:t>
      </w:r>
      <w:r>
        <w:t>de</w:t>
      </w:r>
      <w:r w:rsidRPr="002C4077">
        <w:t xml:space="preserve"> </w:t>
      </w:r>
      <w:r>
        <w:t>l’Écriture</w:t>
      </w:r>
      <w:r w:rsidRPr="002C4077">
        <w:t xml:space="preserve"> </w:t>
      </w:r>
      <w:r>
        <w:t>sainte.</w:t>
      </w:r>
      <w:r w:rsidRPr="002C4077">
        <w:t xml:space="preserve"> </w:t>
      </w:r>
      <w:r>
        <w:t>Ce</w:t>
      </w:r>
      <w:r w:rsidRPr="002C4077">
        <w:t xml:space="preserve"> </w:t>
      </w:r>
      <w:r>
        <w:t>sont</w:t>
      </w:r>
      <w:r w:rsidRPr="002C4077">
        <w:t xml:space="preserve"> </w:t>
      </w:r>
      <w:r>
        <w:t>là</w:t>
      </w:r>
      <w:r w:rsidRPr="002C4077">
        <w:t xml:space="preserve"> </w:t>
      </w:r>
      <w:r>
        <w:t>encore</w:t>
      </w:r>
      <w:r w:rsidRPr="002C4077">
        <w:t xml:space="preserve"> </w:t>
      </w:r>
      <w:r>
        <w:t>des</w:t>
      </w:r>
      <w:r w:rsidRPr="002C4077">
        <w:t xml:space="preserve"> </w:t>
      </w:r>
      <w:r>
        <w:t>leçons</w:t>
      </w:r>
      <w:r w:rsidRPr="002C4077">
        <w:t xml:space="preserve"> </w:t>
      </w:r>
      <w:r>
        <w:t>bien</w:t>
      </w:r>
      <w:r w:rsidRPr="002C4077">
        <w:t xml:space="preserve"> </w:t>
      </w:r>
      <w:r>
        <w:t>maigres,</w:t>
      </w:r>
      <w:r w:rsidRPr="002C4077">
        <w:t xml:space="preserve"> </w:t>
      </w:r>
      <w:r>
        <w:t>qui</w:t>
      </w:r>
      <w:r w:rsidRPr="002C4077">
        <w:t xml:space="preserve"> </w:t>
      </w:r>
      <w:r>
        <w:t>consistent</w:t>
      </w:r>
      <w:r w:rsidRPr="002C4077">
        <w:t xml:space="preserve"> </w:t>
      </w:r>
      <w:r>
        <w:t>presque</w:t>
      </w:r>
      <w:r w:rsidRPr="002C4077">
        <w:t xml:space="preserve"> </w:t>
      </w:r>
      <w:r>
        <w:t>toujours</w:t>
      </w:r>
      <w:r w:rsidRPr="002C4077">
        <w:t xml:space="preserve"> </w:t>
      </w:r>
      <w:r>
        <w:t>en</w:t>
      </w:r>
      <w:r w:rsidRPr="002C4077">
        <w:t xml:space="preserve"> </w:t>
      </w:r>
      <w:r>
        <w:t>de</w:t>
      </w:r>
      <w:r w:rsidRPr="002C4077">
        <w:t xml:space="preserve"> </w:t>
      </w:r>
      <w:r>
        <w:t>simples</w:t>
      </w:r>
      <w:r w:rsidRPr="002C4077">
        <w:t xml:space="preserve"> </w:t>
      </w:r>
      <w:r>
        <w:t>énumérations</w:t>
      </w:r>
      <w:r w:rsidR="00B546AF">
        <w:t> ;</w:t>
      </w:r>
      <w:r w:rsidRPr="002C4077">
        <w:t xml:space="preserve"> </w:t>
      </w:r>
      <w:r>
        <w:t>mais,</w:t>
      </w:r>
      <w:r w:rsidRPr="002C4077">
        <w:t xml:space="preserve"> </w:t>
      </w:r>
      <w:r>
        <w:t>quoique</w:t>
      </w:r>
      <w:r w:rsidRPr="002C4077">
        <w:t xml:space="preserve"> </w:t>
      </w:r>
      <w:r>
        <w:t>leur</w:t>
      </w:r>
      <w:r w:rsidRPr="002C4077">
        <w:t xml:space="preserve"> </w:t>
      </w:r>
      <w:r>
        <w:t>ton</w:t>
      </w:r>
      <w:r w:rsidRPr="002C4077">
        <w:t xml:space="preserve"> </w:t>
      </w:r>
      <w:r>
        <w:t>dominant</w:t>
      </w:r>
      <w:r w:rsidRPr="002C4077">
        <w:t xml:space="preserve"> </w:t>
      </w:r>
      <w:r>
        <w:t>soit</w:t>
      </w:r>
      <w:r w:rsidRPr="002C4077">
        <w:t xml:space="preserve"> </w:t>
      </w:r>
      <w:r w:rsidR="003B53FD">
        <w:t>celui</w:t>
      </w:r>
      <w:r w:rsidRPr="002C4077">
        <w:t xml:space="preserve"> </w:t>
      </w:r>
      <w:r>
        <w:t>de</w:t>
      </w:r>
      <w:r w:rsidRPr="002C4077">
        <w:t xml:space="preserve"> </w:t>
      </w:r>
      <w:r>
        <w:t>la</w:t>
      </w:r>
      <w:r w:rsidRPr="002C4077">
        <w:t xml:space="preserve"> </w:t>
      </w:r>
      <w:r>
        <w:t>morale,</w:t>
      </w:r>
      <w:r w:rsidRPr="002C4077">
        <w:t xml:space="preserve"> </w:t>
      </w:r>
      <w:r>
        <w:t>du</w:t>
      </w:r>
      <w:r w:rsidRPr="002C4077">
        <w:t xml:space="preserve"> </w:t>
      </w:r>
      <w:r>
        <w:t>moins</w:t>
      </w:r>
      <w:r w:rsidRPr="002C4077">
        <w:t xml:space="preserve"> </w:t>
      </w:r>
      <w:r>
        <w:t>énoncent-elles</w:t>
      </w:r>
      <w:r w:rsidRPr="002C4077">
        <w:t xml:space="preserve"> </w:t>
      </w:r>
      <w:r>
        <w:t>un</w:t>
      </w:r>
      <w:r w:rsidRPr="002C4077">
        <w:t xml:space="preserve"> </w:t>
      </w:r>
      <w:r>
        <w:t>autre</w:t>
      </w:r>
      <w:r w:rsidRPr="002C4077">
        <w:t xml:space="preserve"> </w:t>
      </w:r>
      <w:r>
        <w:t>dogme</w:t>
      </w:r>
      <w:r w:rsidRPr="002C4077">
        <w:t xml:space="preserve"> </w:t>
      </w:r>
      <w:r>
        <w:t>de</w:t>
      </w:r>
      <w:r w:rsidRPr="002C4077">
        <w:t xml:space="preserve"> </w:t>
      </w:r>
      <w:r>
        <w:t>la</w:t>
      </w:r>
      <w:r w:rsidRPr="002C4077">
        <w:t xml:space="preserve"> </w:t>
      </w:r>
      <w:r>
        <w:t>théologie</w:t>
      </w:r>
      <w:r w:rsidRPr="002C4077">
        <w:t xml:space="preserve"> </w:t>
      </w:r>
      <w:r>
        <w:t>judaïque</w:t>
      </w:r>
      <w:r w:rsidRPr="002C4077">
        <w:t xml:space="preserve"> </w:t>
      </w:r>
      <w:r>
        <w:t>contemporaine,</w:t>
      </w:r>
      <w:r w:rsidRPr="002C4077">
        <w:t xml:space="preserve"> </w:t>
      </w:r>
      <w:r>
        <w:t>l’inspiration</w:t>
      </w:r>
      <w:r w:rsidRPr="002C4077">
        <w:t xml:space="preserve"> </w:t>
      </w:r>
      <w:r>
        <w:t>de</w:t>
      </w:r>
      <w:r w:rsidRPr="002C4077">
        <w:t xml:space="preserve"> </w:t>
      </w:r>
      <w:r>
        <w:t>l’Écriture</w:t>
      </w:r>
      <w:r w:rsidRPr="002C4077">
        <w:t xml:space="preserve"> </w:t>
      </w:r>
      <w:r>
        <w:t>sainte,</w:t>
      </w:r>
      <w:r w:rsidRPr="002C4077">
        <w:t xml:space="preserve"> </w:t>
      </w:r>
      <w:r>
        <w:t>dogme</w:t>
      </w:r>
      <w:r w:rsidRPr="002C4077">
        <w:t xml:space="preserve"> </w:t>
      </w:r>
      <w:r>
        <w:t>répété</w:t>
      </w:r>
      <w:r w:rsidRPr="002C4077">
        <w:t xml:space="preserve"> </w:t>
      </w:r>
      <w:r>
        <w:t>d’ailleurs</w:t>
      </w:r>
      <w:r w:rsidRPr="002C4077">
        <w:t xml:space="preserve"> </w:t>
      </w:r>
      <w:r>
        <w:t>aux</w:t>
      </w:r>
      <w:r w:rsidRPr="002C4077">
        <w:t xml:space="preserve"> </w:t>
      </w:r>
      <w:r>
        <w:t>articles</w:t>
      </w:r>
      <w:r w:rsidRPr="002C4077">
        <w:t xml:space="preserve"> </w:t>
      </w:r>
      <w:r>
        <w:t>6</w:t>
      </w:r>
      <w:r w:rsidRPr="002C4077">
        <w:t xml:space="preserve"> </w:t>
      </w:r>
      <w:r>
        <w:t>et</w:t>
      </w:r>
      <w:r w:rsidRPr="002C4077">
        <w:t xml:space="preserve"> </w:t>
      </w:r>
      <w:r>
        <w:t>8</w:t>
      </w:r>
      <w:r w:rsidRPr="002C4077">
        <w:t xml:space="preserve"> </w:t>
      </w:r>
      <w:r>
        <w:t>du</w:t>
      </w:r>
      <w:r w:rsidRPr="002C4077">
        <w:t xml:space="preserve"> </w:t>
      </w:r>
      <w:r>
        <w:t>Symbole</w:t>
      </w:r>
      <w:r w:rsidRPr="002C4077">
        <w:t xml:space="preserve"> </w:t>
      </w:r>
      <w:r>
        <w:t>israélite.</w:t>
      </w:r>
      <w:r w:rsidRPr="002C4077">
        <w:t xml:space="preserve"> </w:t>
      </w:r>
    </w:p>
    <w:p w:rsidR="007E4381" w:rsidRDefault="007E4381" w:rsidP="000A7AAB"/>
    <w:p w:rsidR="000A7AAB" w:rsidRDefault="000A7AAB" w:rsidP="000A7AAB">
      <w:r>
        <w:t>La</w:t>
      </w:r>
      <w:bookmarkStart w:id="665" w:name="z_CateIsraelite_o7"/>
      <w:bookmarkEnd w:id="665"/>
      <w:r w:rsidRPr="002C4077">
        <w:t xml:space="preserve"> </w:t>
      </w:r>
      <w:r>
        <w:t>sixième</w:t>
      </w:r>
      <w:r w:rsidRPr="002C4077">
        <w:t xml:space="preserve"> </w:t>
      </w:r>
      <w:r>
        <w:t>leçon</w:t>
      </w:r>
      <w:r w:rsidRPr="002C4077">
        <w:t xml:space="preserve"> </w:t>
      </w:r>
      <w:r>
        <w:t>a</w:t>
      </w:r>
      <w:r w:rsidRPr="002C4077">
        <w:t xml:space="preserve"> </w:t>
      </w:r>
      <w:r>
        <w:t>pour</w:t>
      </w:r>
      <w:r w:rsidRPr="002C4077">
        <w:t xml:space="preserve"> </w:t>
      </w:r>
      <w:r>
        <w:t>titre</w:t>
      </w:r>
      <w:r w:rsidR="00B546AF">
        <w:t> :</w:t>
      </w:r>
      <w:r w:rsidRPr="002C4077">
        <w:t xml:space="preserve"> </w:t>
      </w:r>
      <w:r w:rsidR="00B546AF">
        <w:t>« </w:t>
      </w:r>
      <w:r>
        <w:t>Des</w:t>
      </w:r>
      <w:r w:rsidRPr="002C4077">
        <w:t xml:space="preserve"> </w:t>
      </w:r>
      <w:r>
        <w:t>préceptes</w:t>
      </w:r>
      <w:r w:rsidRPr="002C4077">
        <w:t xml:space="preserve"> </w:t>
      </w:r>
      <w:r>
        <w:t>qui</w:t>
      </w:r>
      <w:r w:rsidRPr="002C4077">
        <w:t xml:space="preserve"> </w:t>
      </w:r>
      <w:r>
        <w:t>nous</w:t>
      </w:r>
      <w:r w:rsidRPr="002C4077">
        <w:t xml:space="preserve"> </w:t>
      </w:r>
      <w:r>
        <w:t>rappellent</w:t>
      </w:r>
      <w:r w:rsidRPr="002C4077">
        <w:t xml:space="preserve"> </w:t>
      </w:r>
      <w:r>
        <w:t>journellement</w:t>
      </w:r>
      <w:r w:rsidRPr="002C4077">
        <w:t xml:space="preserve"> </w:t>
      </w:r>
      <w:r>
        <w:t>l’obligation</w:t>
      </w:r>
      <w:r w:rsidRPr="002C4077">
        <w:t xml:space="preserve"> </w:t>
      </w:r>
      <w:r>
        <w:t>d’obéir</w:t>
      </w:r>
      <w:r w:rsidRPr="002C4077">
        <w:t xml:space="preserve"> </w:t>
      </w:r>
      <w:r>
        <w:t>à</w:t>
      </w:r>
      <w:r w:rsidRPr="002C4077">
        <w:t xml:space="preserve"> </w:t>
      </w:r>
      <w:r>
        <w:t>la</w:t>
      </w:r>
      <w:r w:rsidRPr="002C4077">
        <w:t xml:space="preserve"> </w:t>
      </w:r>
      <w:r>
        <w:t>loi</w:t>
      </w:r>
      <w:r w:rsidRPr="002C4077">
        <w:t xml:space="preserve"> </w:t>
      </w:r>
      <w:r>
        <w:t>de</w:t>
      </w:r>
      <w:r w:rsidRPr="002C4077">
        <w:t xml:space="preserve"> </w:t>
      </w:r>
      <w:r>
        <w:t>Dieu.</w:t>
      </w:r>
      <w:r w:rsidR="00B546AF">
        <w:t> »</w:t>
      </w:r>
      <w:r w:rsidRPr="002C4077">
        <w:t xml:space="preserve"> </w:t>
      </w:r>
      <w:r>
        <w:t>Son</w:t>
      </w:r>
      <w:r w:rsidRPr="002C4077">
        <w:t xml:space="preserve"> </w:t>
      </w:r>
      <w:r>
        <w:t>caractère</w:t>
      </w:r>
      <w:r w:rsidRPr="002C4077">
        <w:t xml:space="preserve"> </w:t>
      </w:r>
      <w:r>
        <w:t>spécifiquement</w:t>
      </w:r>
      <w:r w:rsidRPr="002C4077">
        <w:t xml:space="preserve"> </w:t>
      </w:r>
      <w:r>
        <w:t>juif</w:t>
      </w:r>
      <w:r w:rsidRPr="002C4077">
        <w:t xml:space="preserve"> </w:t>
      </w:r>
      <w:r>
        <w:t>la</w:t>
      </w:r>
      <w:r w:rsidRPr="002C4077">
        <w:t xml:space="preserve"> </w:t>
      </w:r>
      <w:r>
        <w:t>rend</w:t>
      </w:r>
      <w:r w:rsidRPr="002C4077">
        <w:t xml:space="preserve"> </w:t>
      </w:r>
      <w:r>
        <w:t>assez</w:t>
      </w:r>
      <w:r w:rsidRPr="002C4077">
        <w:t xml:space="preserve"> </w:t>
      </w:r>
      <w:r>
        <w:t>intéressante.</w:t>
      </w:r>
      <w:r w:rsidRPr="002C4077">
        <w:t xml:space="preserve"> </w:t>
      </w:r>
    </w:p>
    <w:p w:rsidR="000A7AAB" w:rsidRDefault="000A7AAB" w:rsidP="007E4381">
      <w:pPr>
        <w:pStyle w:val="locus"/>
      </w:pPr>
      <w:r>
        <w:lastRenderedPageBreak/>
        <w:t>D.</w:t>
      </w:r>
      <w:r w:rsidRPr="002C4077">
        <w:t xml:space="preserve"> </w:t>
      </w:r>
      <w:r>
        <w:t>Quelles</w:t>
      </w:r>
      <w:r w:rsidRPr="002C4077">
        <w:t xml:space="preserve"> </w:t>
      </w:r>
      <w:r>
        <w:t>sont</w:t>
      </w:r>
      <w:r w:rsidRPr="002C4077">
        <w:t xml:space="preserve"> </w:t>
      </w:r>
      <w:r>
        <w:t>les</w:t>
      </w:r>
      <w:r w:rsidRPr="002C4077">
        <w:t xml:space="preserve"> </w:t>
      </w:r>
      <w:r>
        <w:t>pratiques</w:t>
      </w:r>
      <w:r w:rsidRPr="002C4077">
        <w:t xml:space="preserve"> </w:t>
      </w:r>
      <w:r>
        <w:t>dont</w:t>
      </w:r>
      <w:r w:rsidRPr="002C4077">
        <w:t xml:space="preserve"> </w:t>
      </w:r>
      <w:r>
        <w:t>le</w:t>
      </w:r>
      <w:r w:rsidRPr="002C4077">
        <w:t xml:space="preserve"> </w:t>
      </w:r>
      <w:r>
        <w:t>but</w:t>
      </w:r>
      <w:r w:rsidRPr="002C4077">
        <w:t xml:space="preserve"> </w:t>
      </w:r>
      <w:r w:rsidR="00425C50">
        <w:t>est</w:t>
      </w:r>
      <w:r w:rsidRPr="002C4077">
        <w:t xml:space="preserve"> </w:t>
      </w:r>
      <w:r>
        <w:t>de</w:t>
      </w:r>
      <w:r w:rsidRPr="002C4077">
        <w:t xml:space="preserve"> </w:t>
      </w:r>
      <w:r>
        <w:t>nous</w:t>
      </w:r>
      <w:r w:rsidRPr="002C4077">
        <w:t xml:space="preserve"> </w:t>
      </w:r>
      <w:r>
        <w:t>rappeler</w:t>
      </w:r>
      <w:r w:rsidRPr="002C4077">
        <w:t xml:space="preserve"> </w:t>
      </w:r>
      <w:r>
        <w:t>journellement</w:t>
      </w:r>
      <w:r w:rsidRPr="002C4077">
        <w:t xml:space="preserve"> </w:t>
      </w:r>
      <w:r>
        <w:t>le</w:t>
      </w:r>
      <w:r w:rsidRPr="002C4077">
        <w:t xml:space="preserve"> </w:t>
      </w:r>
      <w:r>
        <w:t>devoir</w:t>
      </w:r>
      <w:r w:rsidRPr="002C4077">
        <w:t xml:space="preserve"> </w:t>
      </w:r>
      <w:r>
        <w:t>de</w:t>
      </w:r>
      <w:r w:rsidRPr="002C4077">
        <w:t xml:space="preserve"> </w:t>
      </w:r>
      <w:r>
        <w:t>reconnaître,</w:t>
      </w:r>
      <w:r w:rsidRPr="002C4077">
        <w:t xml:space="preserve"> </w:t>
      </w:r>
      <w:r>
        <w:t>d’aimer</w:t>
      </w:r>
      <w:r w:rsidRPr="002C4077">
        <w:t xml:space="preserve"> </w:t>
      </w:r>
      <w:r>
        <w:t>Dieu</w:t>
      </w:r>
      <w:r w:rsidRPr="002C4077">
        <w:t xml:space="preserve"> </w:t>
      </w:r>
      <w:r>
        <w:t>et</w:t>
      </w:r>
      <w:r w:rsidRPr="002C4077">
        <w:t xml:space="preserve"> </w:t>
      </w:r>
      <w:r>
        <w:t>d’obéir</w:t>
      </w:r>
      <w:r w:rsidRPr="002C4077">
        <w:t xml:space="preserve"> </w:t>
      </w:r>
      <w:r>
        <w:t>à</w:t>
      </w:r>
      <w:r w:rsidRPr="002C4077">
        <w:t xml:space="preserve"> </w:t>
      </w:r>
      <w:r>
        <w:t>ses</w:t>
      </w:r>
      <w:r w:rsidRPr="002C4077">
        <w:t xml:space="preserve"> </w:t>
      </w:r>
      <w:r>
        <w:t>commandements</w:t>
      </w:r>
      <w:r w:rsidR="00B546AF">
        <w:t> ?</w:t>
      </w:r>
      <w:r w:rsidRPr="002C4077">
        <w:t xml:space="preserve"> </w:t>
      </w:r>
    </w:p>
    <w:p w:rsidR="000A7AAB" w:rsidRPr="001F5257" w:rsidRDefault="000A7AAB" w:rsidP="007E4381">
      <w:pPr>
        <w:pStyle w:val="locus"/>
      </w:pPr>
      <w:r>
        <w:t>R.</w:t>
      </w:r>
      <w:r w:rsidRPr="002C4077">
        <w:t xml:space="preserve"> </w:t>
      </w:r>
      <w:r>
        <w:t>Ces</w:t>
      </w:r>
      <w:r w:rsidRPr="002C4077">
        <w:t xml:space="preserve"> </w:t>
      </w:r>
      <w:r>
        <w:t>pratiques</w:t>
      </w:r>
      <w:r w:rsidRPr="002C4077">
        <w:t xml:space="preserve"> </w:t>
      </w:r>
      <w:r>
        <w:t>sont</w:t>
      </w:r>
      <w:r w:rsidR="00B546AF">
        <w:t> :</w:t>
      </w:r>
      <w:r w:rsidRPr="002C4077">
        <w:t xml:space="preserve"> </w:t>
      </w:r>
      <w:r>
        <w:t>les</w:t>
      </w:r>
      <w:r w:rsidRPr="002C4077">
        <w:t xml:space="preserve"> </w:t>
      </w:r>
      <w:r w:rsidRPr="000A34B5">
        <w:rPr>
          <w:rStyle w:val="italicus"/>
        </w:rPr>
        <w:t>Théphilin,</w:t>
      </w:r>
      <w:r w:rsidRPr="002C4077">
        <w:t xml:space="preserve"> </w:t>
      </w:r>
      <w:r>
        <w:t>les</w:t>
      </w:r>
      <w:r w:rsidRPr="002C4077">
        <w:t xml:space="preserve"> </w:t>
      </w:r>
      <w:r w:rsidRPr="000A34B5">
        <w:rPr>
          <w:rStyle w:val="italicus"/>
        </w:rPr>
        <w:t>Tsitsith,</w:t>
      </w:r>
      <w:r w:rsidRPr="002C4077">
        <w:t xml:space="preserve"> </w:t>
      </w:r>
      <w:r>
        <w:t>la</w:t>
      </w:r>
      <w:r w:rsidRPr="002C4077">
        <w:t xml:space="preserve"> </w:t>
      </w:r>
      <w:r w:rsidRPr="000A34B5">
        <w:rPr>
          <w:rStyle w:val="italicus"/>
        </w:rPr>
        <w:t>Mesousah,</w:t>
      </w:r>
      <w:r w:rsidRPr="002C4077">
        <w:t xml:space="preserve"> </w:t>
      </w:r>
      <w:r>
        <w:t>la</w:t>
      </w:r>
      <w:r w:rsidRPr="002C4077">
        <w:t xml:space="preserve"> </w:t>
      </w:r>
      <w:r>
        <w:t>récitation</w:t>
      </w:r>
      <w:r w:rsidRPr="002C4077">
        <w:t xml:space="preserve"> </w:t>
      </w:r>
      <w:r>
        <w:t>du</w:t>
      </w:r>
      <w:r w:rsidRPr="002C4077">
        <w:t xml:space="preserve"> </w:t>
      </w:r>
      <w:r w:rsidRPr="000A34B5">
        <w:rPr>
          <w:rStyle w:val="italicus"/>
        </w:rPr>
        <w:t>Schemang</w:t>
      </w:r>
      <w:r w:rsidRPr="002C4077">
        <w:t xml:space="preserve"> </w:t>
      </w:r>
      <w:r>
        <w:t>et</w:t>
      </w:r>
      <w:r w:rsidRPr="002C4077">
        <w:t xml:space="preserve"> </w:t>
      </w:r>
      <w:r>
        <w:t>la</w:t>
      </w:r>
      <w:r w:rsidRPr="002C4077">
        <w:t xml:space="preserve"> </w:t>
      </w:r>
      <w:r>
        <w:t>prière.</w:t>
      </w:r>
      <w:r w:rsidR="00C45B47">
        <w:t xml:space="preserve"> {</w:t>
      </w:r>
      <w:r w:rsidR="001F5257">
        <w:t>274</w:t>
      </w:r>
      <w:bookmarkStart w:id="666" w:name="p274"/>
      <w:bookmarkEnd w:id="666"/>
      <w:r w:rsidR="001F5257">
        <w:t xml:space="preserve">} </w:t>
      </w:r>
    </w:p>
    <w:p w:rsidR="000A7AAB" w:rsidRDefault="000A7AAB" w:rsidP="007E4381">
      <w:pPr>
        <w:pStyle w:val="locus"/>
      </w:pPr>
      <w:r>
        <w:t>D.</w:t>
      </w:r>
      <w:r w:rsidRPr="002C4077">
        <w:t xml:space="preserve"> </w:t>
      </w:r>
      <w:r>
        <w:t>Qu’est-ce</w:t>
      </w:r>
      <w:r w:rsidRPr="002C4077">
        <w:t xml:space="preserve"> </w:t>
      </w:r>
      <w:r>
        <w:t>que</w:t>
      </w:r>
      <w:r w:rsidRPr="002C4077">
        <w:t xml:space="preserve"> </w:t>
      </w:r>
      <w:r>
        <w:t>les</w:t>
      </w:r>
      <w:r w:rsidRPr="002C4077">
        <w:t xml:space="preserve"> </w:t>
      </w:r>
      <w:r w:rsidRPr="000A34B5">
        <w:rPr>
          <w:rStyle w:val="italicus"/>
        </w:rPr>
        <w:t>Théphilin</w:t>
      </w:r>
      <w:bookmarkStart w:id="667" w:name="z_Thephilin_o1"/>
      <w:bookmarkEnd w:id="667"/>
      <w:r w:rsidR="00B546AF">
        <w:rPr>
          <w:rStyle w:val="italicus"/>
        </w:rPr>
        <w:t> </w:t>
      </w:r>
      <w:r w:rsidR="00B546AF" w:rsidRPr="000A34B5">
        <w:rPr>
          <w:rStyle w:val="italicus"/>
        </w:rPr>
        <w:t>?</w:t>
      </w:r>
      <w:r w:rsidRPr="002C4077">
        <w:t xml:space="preserve"> </w:t>
      </w:r>
    </w:p>
    <w:p w:rsidR="000A7AAB" w:rsidRDefault="000A7AAB" w:rsidP="007E4381">
      <w:pPr>
        <w:pStyle w:val="locus"/>
      </w:pPr>
      <w:r>
        <w:t>R.</w:t>
      </w:r>
      <w:r w:rsidRPr="002C4077">
        <w:t xml:space="preserve"> </w:t>
      </w:r>
      <w:r>
        <w:t>Les</w:t>
      </w:r>
      <w:r w:rsidRPr="002C4077">
        <w:t xml:space="preserve"> </w:t>
      </w:r>
      <w:r w:rsidRPr="000A34B5">
        <w:rPr>
          <w:rStyle w:val="italicus"/>
        </w:rPr>
        <w:t>Théphilin</w:t>
      </w:r>
      <w:r w:rsidRPr="002C4077">
        <w:t xml:space="preserve"> </w:t>
      </w:r>
      <w:r>
        <w:t>ou</w:t>
      </w:r>
      <w:r w:rsidRPr="002C4077">
        <w:t xml:space="preserve"> </w:t>
      </w:r>
      <w:r w:rsidR="000F4CEC">
        <w:t>Philactères</w:t>
      </w:r>
      <w:r w:rsidR="000F4CEC" w:rsidRPr="002C4077">
        <w:t xml:space="preserve"> </w:t>
      </w:r>
      <w:r>
        <w:t>sont</w:t>
      </w:r>
      <w:r w:rsidRPr="002C4077">
        <w:t xml:space="preserve"> </w:t>
      </w:r>
      <w:r>
        <w:t>des</w:t>
      </w:r>
      <w:r w:rsidRPr="002C4077">
        <w:t xml:space="preserve"> </w:t>
      </w:r>
      <w:r>
        <w:t>bandeaux</w:t>
      </w:r>
      <w:r w:rsidRPr="002C4077">
        <w:t xml:space="preserve"> </w:t>
      </w:r>
      <w:r>
        <w:t>qu’on</w:t>
      </w:r>
      <w:r w:rsidRPr="002C4077">
        <w:t xml:space="preserve"> </w:t>
      </w:r>
      <w:r>
        <w:t>applique</w:t>
      </w:r>
      <w:r w:rsidRPr="002C4077">
        <w:t xml:space="preserve"> </w:t>
      </w:r>
      <w:r>
        <w:t>pendant</w:t>
      </w:r>
      <w:r w:rsidRPr="002C4077">
        <w:t xml:space="preserve"> </w:t>
      </w:r>
      <w:r>
        <w:t>la</w:t>
      </w:r>
      <w:r w:rsidRPr="002C4077">
        <w:t xml:space="preserve"> </w:t>
      </w:r>
      <w:r>
        <w:t>prière</w:t>
      </w:r>
      <w:r w:rsidRPr="002C4077">
        <w:t xml:space="preserve"> </w:t>
      </w:r>
      <w:r>
        <w:t>du</w:t>
      </w:r>
      <w:r w:rsidRPr="002C4077">
        <w:t xml:space="preserve"> </w:t>
      </w:r>
      <w:r>
        <w:t>matin</w:t>
      </w:r>
      <w:r w:rsidRPr="002C4077">
        <w:t xml:space="preserve"> </w:t>
      </w:r>
      <w:r>
        <w:t>au</w:t>
      </w:r>
      <w:r w:rsidRPr="002C4077">
        <w:t xml:space="preserve"> </w:t>
      </w:r>
      <w:r>
        <w:t>bras</w:t>
      </w:r>
      <w:r w:rsidRPr="002C4077">
        <w:t xml:space="preserve"> </w:t>
      </w:r>
      <w:r>
        <w:t>gauche</w:t>
      </w:r>
      <w:r w:rsidRPr="002C4077">
        <w:t xml:space="preserve"> </w:t>
      </w:r>
      <w:r>
        <w:t>et</w:t>
      </w:r>
      <w:r w:rsidRPr="002C4077">
        <w:t xml:space="preserve"> </w:t>
      </w:r>
      <w:r>
        <w:t>sur</w:t>
      </w:r>
      <w:r w:rsidRPr="002C4077">
        <w:t xml:space="preserve"> </w:t>
      </w:r>
      <w:r>
        <w:t>le</w:t>
      </w:r>
      <w:r w:rsidRPr="002C4077">
        <w:t xml:space="preserve"> </w:t>
      </w:r>
      <w:r>
        <w:t>fro</w:t>
      </w:r>
      <w:r w:rsidR="00F6492C">
        <w:t>nt</w:t>
      </w:r>
      <w:r w:rsidR="00F6492C">
        <w:rPr>
          <w:rStyle w:val="Appelnotedebasdep"/>
        </w:rPr>
        <w:footnoteReference w:id="841"/>
      </w:r>
      <w:r w:rsidR="00F6492C">
        <w:t>,</w:t>
      </w:r>
      <w:r w:rsidRPr="002C4077">
        <w:t xml:space="preserve"> </w:t>
      </w:r>
      <w:r>
        <w:t>et</w:t>
      </w:r>
      <w:r w:rsidRPr="002C4077">
        <w:t xml:space="preserve"> </w:t>
      </w:r>
      <w:r>
        <w:t>qui</w:t>
      </w:r>
      <w:r w:rsidRPr="002C4077">
        <w:t xml:space="preserve"> </w:t>
      </w:r>
      <w:r>
        <w:t>renferment</w:t>
      </w:r>
      <w:r w:rsidRPr="002C4077">
        <w:t xml:space="preserve"> </w:t>
      </w:r>
      <w:r>
        <w:t>quatre</w:t>
      </w:r>
      <w:r w:rsidRPr="002C4077">
        <w:t xml:space="preserve"> </w:t>
      </w:r>
      <w:r>
        <w:t>chapitres</w:t>
      </w:r>
      <w:r w:rsidRPr="002C4077">
        <w:t xml:space="preserve"> </w:t>
      </w:r>
      <w:r>
        <w:t>du</w:t>
      </w:r>
      <w:r w:rsidRPr="002C4077">
        <w:t xml:space="preserve"> </w:t>
      </w:r>
      <w:r>
        <w:t>Pentateuque</w:t>
      </w:r>
      <w:r w:rsidRPr="002C4077">
        <w:t xml:space="preserve"> </w:t>
      </w:r>
      <w:r>
        <w:t>nous</w:t>
      </w:r>
      <w:r w:rsidRPr="002C4077">
        <w:t xml:space="preserve"> </w:t>
      </w:r>
      <w:r>
        <w:t>recommandant</w:t>
      </w:r>
      <w:r w:rsidRPr="002C4077">
        <w:t xml:space="preserve"> </w:t>
      </w:r>
      <w:r>
        <w:t>la</w:t>
      </w:r>
      <w:r w:rsidRPr="002C4077">
        <w:t xml:space="preserve"> </w:t>
      </w:r>
      <w:r>
        <w:t>connaissance</w:t>
      </w:r>
      <w:r w:rsidRPr="002C4077">
        <w:t xml:space="preserve"> </w:t>
      </w:r>
      <w:r>
        <w:t>de</w:t>
      </w:r>
      <w:r w:rsidRPr="002C4077">
        <w:t xml:space="preserve"> </w:t>
      </w:r>
      <w:r>
        <w:t>la</w:t>
      </w:r>
      <w:r w:rsidRPr="002C4077">
        <w:t xml:space="preserve"> </w:t>
      </w:r>
      <w:r>
        <w:t>loi</w:t>
      </w:r>
      <w:r w:rsidRPr="002C4077">
        <w:t xml:space="preserve"> </w:t>
      </w:r>
      <w:r>
        <w:t>de</w:t>
      </w:r>
      <w:r w:rsidRPr="002C4077">
        <w:t xml:space="preserve"> </w:t>
      </w:r>
      <w:r>
        <w:t>Dieu</w:t>
      </w:r>
      <w:r w:rsidRPr="002C4077">
        <w:t xml:space="preserve"> </w:t>
      </w:r>
      <w:r>
        <w:t>et</w:t>
      </w:r>
      <w:r w:rsidRPr="002C4077">
        <w:t xml:space="preserve"> </w:t>
      </w:r>
      <w:r>
        <w:t>le</w:t>
      </w:r>
      <w:r w:rsidRPr="002C4077">
        <w:t xml:space="preserve"> </w:t>
      </w:r>
      <w:r>
        <w:t>souvenir</w:t>
      </w:r>
      <w:r w:rsidRPr="002C4077">
        <w:t xml:space="preserve"> </w:t>
      </w:r>
      <w:r>
        <w:t>de</w:t>
      </w:r>
      <w:r w:rsidRPr="002C4077">
        <w:t xml:space="preserve"> </w:t>
      </w:r>
      <w:r>
        <w:t>ses</w:t>
      </w:r>
      <w:r w:rsidRPr="002C4077">
        <w:t xml:space="preserve"> </w:t>
      </w:r>
      <w:r>
        <w:t>bienfaits.</w:t>
      </w:r>
      <w:r w:rsidRPr="002C4077">
        <w:t xml:space="preserve"> </w:t>
      </w:r>
    </w:p>
    <w:p w:rsidR="000A7AAB" w:rsidRDefault="000A7AAB" w:rsidP="007E4381">
      <w:pPr>
        <w:pStyle w:val="locus"/>
      </w:pPr>
      <w:r>
        <w:t>D.</w:t>
      </w:r>
      <w:r w:rsidRPr="002C4077">
        <w:t xml:space="preserve"> </w:t>
      </w:r>
      <w:r>
        <w:t>Qu’est-ce</w:t>
      </w:r>
      <w:r w:rsidRPr="002C4077">
        <w:t xml:space="preserve"> </w:t>
      </w:r>
      <w:r>
        <w:t>que</w:t>
      </w:r>
      <w:r w:rsidRPr="002C4077">
        <w:t xml:space="preserve"> </w:t>
      </w:r>
      <w:r>
        <w:t>les</w:t>
      </w:r>
      <w:r w:rsidRPr="002C4077">
        <w:t xml:space="preserve"> </w:t>
      </w:r>
      <w:r w:rsidRPr="000A34B5">
        <w:rPr>
          <w:rStyle w:val="italicus"/>
        </w:rPr>
        <w:t>Tsitsith</w:t>
      </w:r>
      <w:bookmarkStart w:id="668" w:name="z_Tsitsith_o1"/>
      <w:bookmarkEnd w:id="668"/>
      <w:r w:rsidR="00B546AF">
        <w:rPr>
          <w:rStyle w:val="italicus"/>
        </w:rPr>
        <w:t> </w:t>
      </w:r>
      <w:r w:rsidR="00B546AF" w:rsidRPr="000A34B5">
        <w:rPr>
          <w:rStyle w:val="italicus"/>
        </w:rPr>
        <w:t>?</w:t>
      </w:r>
      <w:r w:rsidRPr="002C4077">
        <w:t xml:space="preserve"> </w:t>
      </w:r>
    </w:p>
    <w:p w:rsidR="000A7AAB" w:rsidRDefault="000A7AAB" w:rsidP="007E4381">
      <w:pPr>
        <w:pStyle w:val="locus"/>
      </w:pPr>
      <w:r>
        <w:t>R.</w:t>
      </w:r>
      <w:r w:rsidRPr="002C4077">
        <w:t xml:space="preserve"> </w:t>
      </w:r>
      <w:r>
        <w:t>Ce</w:t>
      </w:r>
      <w:r w:rsidRPr="002C4077">
        <w:t xml:space="preserve"> </w:t>
      </w:r>
      <w:r>
        <w:t>sont</w:t>
      </w:r>
      <w:r w:rsidRPr="002C4077">
        <w:t xml:space="preserve"> </w:t>
      </w:r>
      <w:r>
        <w:t>des</w:t>
      </w:r>
      <w:r w:rsidRPr="002C4077">
        <w:t xml:space="preserve"> </w:t>
      </w:r>
      <w:r>
        <w:t>franges</w:t>
      </w:r>
      <w:r w:rsidR="00B91AF7">
        <w:rPr>
          <w:rStyle w:val="Appelnotedebasdep"/>
        </w:rPr>
        <w:footnoteReference w:id="842"/>
      </w:r>
      <w:r w:rsidRPr="002C4077">
        <w:t xml:space="preserve"> </w:t>
      </w:r>
      <w:r>
        <w:t>que</w:t>
      </w:r>
      <w:r w:rsidRPr="002C4077">
        <w:t xml:space="preserve"> </w:t>
      </w:r>
      <w:r>
        <w:t>la</w:t>
      </w:r>
      <w:r w:rsidRPr="002C4077">
        <w:t xml:space="preserve"> </w:t>
      </w:r>
      <w:r>
        <w:t>loi</w:t>
      </w:r>
      <w:r w:rsidRPr="002C4077">
        <w:t xml:space="preserve"> </w:t>
      </w:r>
      <w:r>
        <w:t>de</w:t>
      </w:r>
      <w:r w:rsidRPr="002C4077">
        <w:t xml:space="preserve"> </w:t>
      </w:r>
      <w:r>
        <w:t>Dieu</w:t>
      </w:r>
      <w:r w:rsidRPr="002C4077">
        <w:t xml:space="preserve"> </w:t>
      </w:r>
      <w:r>
        <w:t>nous</w:t>
      </w:r>
      <w:r w:rsidRPr="002C4077">
        <w:t xml:space="preserve"> </w:t>
      </w:r>
      <w:r>
        <w:t>prescrit</w:t>
      </w:r>
      <w:r w:rsidRPr="002C4077">
        <w:t xml:space="preserve"> </w:t>
      </w:r>
      <w:r>
        <w:t>de</w:t>
      </w:r>
      <w:r w:rsidRPr="002C4077">
        <w:t xml:space="preserve"> </w:t>
      </w:r>
      <w:r>
        <w:t>porter</w:t>
      </w:r>
      <w:r w:rsidRPr="002C4077">
        <w:t xml:space="preserve"> </w:t>
      </w:r>
      <w:r>
        <w:t>comme</w:t>
      </w:r>
      <w:r w:rsidRPr="002C4077">
        <w:t xml:space="preserve"> </w:t>
      </w:r>
      <w:r>
        <w:t>un</w:t>
      </w:r>
      <w:r w:rsidRPr="002C4077">
        <w:t xml:space="preserve"> </w:t>
      </w:r>
      <w:r>
        <w:t>signe</w:t>
      </w:r>
      <w:r w:rsidRPr="002C4077">
        <w:t xml:space="preserve"> </w:t>
      </w:r>
      <w:r>
        <w:t>destiné</w:t>
      </w:r>
      <w:r w:rsidRPr="002C4077">
        <w:t xml:space="preserve"> </w:t>
      </w:r>
      <w:r>
        <w:t>à</w:t>
      </w:r>
      <w:r w:rsidRPr="002C4077">
        <w:t xml:space="preserve"> </w:t>
      </w:r>
      <w:r>
        <w:t>nous</w:t>
      </w:r>
      <w:r w:rsidRPr="002C4077">
        <w:t xml:space="preserve"> </w:t>
      </w:r>
      <w:r>
        <w:t>rappeler</w:t>
      </w:r>
      <w:r w:rsidRPr="002C4077">
        <w:t xml:space="preserve"> </w:t>
      </w:r>
      <w:r>
        <w:t>l’observation</w:t>
      </w:r>
      <w:r w:rsidRPr="002C4077">
        <w:t xml:space="preserve"> </w:t>
      </w:r>
      <w:r>
        <w:t>de</w:t>
      </w:r>
      <w:r w:rsidRPr="002C4077">
        <w:t xml:space="preserve"> </w:t>
      </w:r>
      <w:r>
        <w:t>tous</w:t>
      </w:r>
      <w:r w:rsidRPr="002C4077">
        <w:t xml:space="preserve"> </w:t>
      </w:r>
      <w:r>
        <w:t>les</w:t>
      </w:r>
      <w:r w:rsidRPr="002C4077">
        <w:t xml:space="preserve"> </w:t>
      </w:r>
      <w:r>
        <w:t>préceptes</w:t>
      </w:r>
      <w:r w:rsidRPr="002C4077">
        <w:t xml:space="preserve"> </w:t>
      </w:r>
      <w:r>
        <w:t>divins.</w:t>
      </w:r>
      <w:r w:rsidRPr="002C4077">
        <w:t xml:space="preserve"> </w:t>
      </w:r>
    </w:p>
    <w:p w:rsidR="000A7AAB" w:rsidRDefault="000A7AAB" w:rsidP="007E4381">
      <w:pPr>
        <w:pStyle w:val="locus"/>
      </w:pPr>
      <w:r>
        <w:t>D.</w:t>
      </w:r>
      <w:r w:rsidRPr="002C4077">
        <w:t xml:space="preserve"> </w:t>
      </w:r>
      <w:r>
        <w:t>Qu’est-ce</w:t>
      </w:r>
      <w:r w:rsidRPr="002C4077">
        <w:t xml:space="preserve"> </w:t>
      </w:r>
      <w:r>
        <w:t>que</w:t>
      </w:r>
      <w:r w:rsidRPr="002C4077">
        <w:t xml:space="preserve"> </w:t>
      </w:r>
      <w:r>
        <w:t>la</w:t>
      </w:r>
      <w:r w:rsidRPr="002C4077">
        <w:t xml:space="preserve"> </w:t>
      </w:r>
      <w:r w:rsidRPr="000A34B5">
        <w:rPr>
          <w:rStyle w:val="italicus"/>
        </w:rPr>
        <w:t>Mesousah</w:t>
      </w:r>
      <w:bookmarkStart w:id="669" w:name="z_Mesousah_o1"/>
      <w:bookmarkEnd w:id="669"/>
      <w:r w:rsidR="00B546AF">
        <w:rPr>
          <w:rStyle w:val="italicus"/>
        </w:rPr>
        <w:t> </w:t>
      </w:r>
      <w:r w:rsidR="00B546AF" w:rsidRPr="000A34B5">
        <w:rPr>
          <w:rStyle w:val="italicus"/>
        </w:rPr>
        <w:t>?</w:t>
      </w:r>
      <w:r w:rsidRPr="002C4077">
        <w:t xml:space="preserve"> </w:t>
      </w:r>
    </w:p>
    <w:p w:rsidR="000A7AAB" w:rsidRDefault="000A7AAB" w:rsidP="007E4381">
      <w:pPr>
        <w:pStyle w:val="locus"/>
      </w:pPr>
      <w:r>
        <w:t>R.</w:t>
      </w:r>
      <w:r w:rsidRPr="002C4077">
        <w:t xml:space="preserve"> </w:t>
      </w:r>
      <w:r>
        <w:t>C’est</w:t>
      </w:r>
      <w:r w:rsidRPr="002C4077">
        <w:t xml:space="preserve"> </w:t>
      </w:r>
      <w:r>
        <w:t>un</w:t>
      </w:r>
      <w:r w:rsidRPr="002C4077">
        <w:t xml:space="preserve"> </w:t>
      </w:r>
      <w:r>
        <w:t>écrit</w:t>
      </w:r>
      <w:r w:rsidRPr="002C4077">
        <w:t xml:space="preserve"> </w:t>
      </w:r>
      <w:r>
        <w:t>qui</w:t>
      </w:r>
      <w:r w:rsidRPr="002C4077">
        <w:t xml:space="preserve"> </w:t>
      </w:r>
      <w:r>
        <w:t>contient</w:t>
      </w:r>
      <w:r w:rsidRPr="002C4077">
        <w:t xml:space="preserve"> </w:t>
      </w:r>
      <w:r>
        <w:t>deux</w:t>
      </w:r>
      <w:r w:rsidRPr="002C4077">
        <w:t xml:space="preserve"> </w:t>
      </w:r>
      <w:r>
        <w:t>chapitres</w:t>
      </w:r>
      <w:r w:rsidRPr="002C4077">
        <w:t xml:space="preserve"> </w:t>
      </w:r>
      <w:r>
        <w:t>du</w:t>
      </w:r>
      <w:r w:rsidRPr="002C4077">
        <w:t xml:space="preserve"> </w:t>
      </w:r>
      <w:r>
        <w:t>Pentateuque,</w:t>
      </w:r>
      <w:r w:rsidRPr="002C4077">
        <w:t xml:space="preserve"> </w:t>
      </w:r>
      <w:r>
        <w:t>relatifs</w:t>
      </w:r>
      <w:r w:rsidRPr="002C4077">
        <w:t xml:space="preserve"> </w:t>
      </w:r>
      <w:r>
        <w:t>aux</w:t>
      </w:r>
      <w:r w:rsidRPr="002C4077">
        <w:t xml:space="preserve"> </w:t>
      </w:r>
      <w:r>
        <w:t>mêmes</w:t>
      </w:r>
      <w:r w:rsidRPr="002C4077">
        <w:t xml:space="preserve"> </w:t>
      </w:r>
      <w:r>
        <w:t>devoirs</w:t>
      </w:r>
      <w:r w:rsidRPr="002C4077">
        <w:t xml:space="preserve"> </w:t>
      </w:r>
      <w:r>
        <w:t>que</w:t>
      </w:r>
      <w:r w:rsidRPr="002C4077">
        <w:t xml:space="preserve"> </w:t>
      </w:r>
      <w:r>
        <w:t>rappellent</w:t>
      </w:r>
      <w:r w:rsidRPr="002C4077">
        <w:t xml:space="preserve"> </w:t>
      </w:r>
      <w:r>
        <w:t>les</w:t>
      </w:r>
      <w:r w:rsidRPr="002C4077">
        <w:t xml:space="preserve"> </w:t>
      </w:r>
      <w:r w:rsidRPr="000A34B5">
        <w:rPr>
          <w:rStyle w:val="italicus"/>
        </w:rPr>
        <w:t>Théphilin</w:t>
      </w:r>
      <w:r w:rsidRPr="002C4077">
        <w:t xml:space="preserve"> </w:t>
      </w:r>
      <w:r>
        <w:t>et</w:t>
      </w:r>
      <w:r w:rsidRPr="002C4077">
        <w:t xml:space="preserve"> </w:t>
      </w:r>
      <w:r>
        <w:t>les</w:t>
      </w:r>
      <w:r w:rsidRPr="002C4077">
        <w:t xml:space="preserve"> </w:t>
      </w:r>
      <w:r w:rsidRPr="000A34B5">
        <w:rPr>
          <w:rStyle w:val="italicus"/>
        </w:rPr>
        <w:t>Tsitsith</w:t>
      </w:r>
      <w:r w:rsidR="001F5257">
        <w:rPr>
          <w:rStyle w:val="italicus"/>
        </w:rPr>
        <w:t>.</w:t>
      </w:r>
      <w:r w:rsidRPr="002C4077">
        <w:t xml:space="preserve"> </w:t>
      </w:r>
      <w:r>
        <w:t>Nous</w:t>
      </w:r>
      <w:r w:rsidRPr="002C4077">
        <w:t xml:space="preserve"> </w:t>
      </w:r>
      <w:r>
        <w:t>devons</w:t>
      </w:r>
      <w:r w:rsidRPr="002C4077">
        <w:t xml:space="preserve"> </w:t>
      </w:r>
      <w:r>
        <w:t>l’appliquer</w:t>
      </w:r>
      <w:r w:rsidRPr="002C4077">
        <w:t xml:space="preserve"> </w:t>
      </w:r>
      <w:r>
        <w:t>aux</w:t>
      </w:r>
      <w:r w:rsidRPr="002C4077">
        <w:t xml:space="preserve"> </w:t>
      </w:r>
      <w:r>
        <w:t>portes</w:t>
      </w:r>
      <w:r w:rsidRPr="002C4077">
        <w:t xml:space="preserve"> </w:t>
      </w:r>
      <w:r>
        <w:t>de</w:t>
      </w:r>
      <w:r w:rsidRPr="002C4077">
        <w:t xml:space="preserve"> </w:t>
      </w:r>
      <w:r>
        <w:t>nos</w:t>
      </w:r>
      <w:r w:rsidRPr="002C4077">
        <w:t xml:space="preserve"> </w:t>
      </w:r>
      <w:r>
        <w:t>maison</w:t>
      </w:r>
      <w:r w:rsidR="004377BC">
        <w:t>s</w:t>
      </w:r>
      <w:r w:rsidR="004377BC">
        <w:rPr>
          <w:rStyle w:val="Appelnotedebasdep"/>
        </w:rPr>
        <w:footnoteReference w:id="843"/>
      </w:r>
      <w:r>
        <w:t>.</w:t>
      </w:r>
      <w:r w:rsidRPr="002C4077">
        <w:t xml:space="preserve"> </w:t>
      </w:r>
    </w:p>
    <w:p w:rsidR="000A7AAB" w:rsidRDefault="000A7AAB" w:rsidP="007E4381">
      <w:pPr>
        <w:pStyle w:val="locus"/>
      </w:pPr>
      <w:r>
        <w:t>D.</w:t>
      </w:r>
      <w:r w:rsidRPr="002C4077">
        <w:t xml:space="preserve"> </w:t>
      </w:r>
      <w:r>
        <w:t>Qu’est-ce</w:t>
      </w:r>
      <w:r w:rsidRPr="002C4077">
        <w:t xml:space="preserve"> </w:t>
      </w:r>
      <w:r>
        <w:t>que</w:t>
      </w:r>
      <w:r w:rsidRPr="002C4077">
        <w:t xml:space="preserve"> </w:t>
      </w:r>
      <w:r>
        <w:t>le</w:t>
      </w:r>
      <w:r w:rsidRPr="002C4077">
        <w:t xml:space="preserve"> </w:t>
      </w:r>
      <w:r w:rsidRPr="000A34B5">
        <w:rPr>
          <w:rStyle w:val="italicus"/>
        </w:rPr>
        <w:t>Schemang</w:t>
      </w:r>
      <w:bookmarkStart w:id="670" w:name="z_Schemang_o1"/>
      <w:bookmarkEnd w:id="670"/>
      <w:r w:rsidR="00B546AF">
        <w:rPr>
          <w:rStyle w:val="italicus"/>
        </w:rPr>
        <w:t> </w:t>
      </w:r>
      <w:r w:rsidR="00B546AF" w:rsidRPr="000A34B5">
        <w:rPr>
          <w:rStyle w:val="italicus"/>
        </w:rPr>
        <w:t>?</w:t>
      </w:r>
      <w:r w:rsidRPr="004440EA">
        <w:t xml:space="preserve"> (</w:t>
      </w:r>
      <w:r>
        <w:t>V</w:t>
      </w:r>
      <w:r w:rsidR="007B3C26">
        <w:t>II</w:t>
      </w:r>
      <w:r w:rsidR="007B3C26" w:rsidRPr="007B3C26">
        <w:rPr>
          <w:vertAlign w:val="superscript"/>
        </w:rPr>
        <w:t>e</w:t>
      </w:r>
      <w:r w:rsidRPr="002C4077">
        <w:t xml:space="preserve"> </w:t>
      </w:r>
      <w:r>
        <w:t>leçon.</w:t>
      </w:r>
      <w:r w:rsidR="00B546AF" w:rsidRPr="002C4077">
        <w:t>)</w:t>
      </w:r>
      <w:r w:rsidRPr="002C4077">
        <w:t xml:space="preserve"> </w:t>
      </w:r>
    </w:p>
    <w:p w:rsidR="000A7AAB" w:rsidRDefault="000A7AAB" w:rsidP="007E4381">
      <w:pPr>
        <w:pStyle w:val="locus"/>
      </w:pPr>
      <w:r>
        <w:t>R.</w:t>
      </w:r>
      <w:r w:rsidRPr="002C4077">
        <w:t xml:space="preserve"> </w:t>
      </w:r>
      <w:r>
        <w:t>Ce</w:t>
      </w:r>
      <w:r w:rsidRPr="002C4077">
        <w:t xml:space="preserve"> </w:t>
      </w:r>
      <w:r>
        <w:t>sont</w:t>
      </w:r>
      <w:r w:rsidRPr="002C4077">
        <w:t xml:space="preserve"> </w:t>
      </w:r>
      <w:r>
        <w:t>trois</w:t>
      </w:r>
      <w:r w:rsidRPr="002C4077">
        <w:t xml:space="preserve"> </w:t>
      </w:r>
      <w:r>
        <w:t>chapitres</w:t>
      </w:r>
      <w:r w:rsidRPr="002C4077">
        <w:t xml:space="preserve"> </w:t>
      </w:r>
      <w:r>
        <w:t>du</w:t>
      </w:r>
      <w:r w:rsidRPr="002C4077">
        <w:t xml:space="preserve"> </w:t>
      </w:r>
      <w:r>
        <w:t>Pentateuque</w:t>
      </w:r>
      <w:r w:rsidRPr="002C4077">
        <w:t xml:space="preserve"> </w:t>
      </w:r>
      <w:r>
        <w:t>que</w:t>
      </w:r>
      <w:r w:rsidRPr="002C4077">
        <w:t xml:space="preserve"> </w:t>
      </w:r>
      <w:r>
        <w:t>nous</w:t>
      </w:r>
      <w:r w:rsidRPr="002C4077">
        <w:t xml:space="preserve"> </w:t>
      </w:r>
      <w:r>
        <w:t>sommes</w:t>
      </w:r>
      <w:r w:rsidRPr="002C4077">
        <w:t xml:space="preserve"> </w:t>
      </w:r>
      <w:r>
        <w:t>tenus</w:t>
      </w:r>
      <w:r w:rsidRPr="002C4077">
        <w:t xml:space="preserve"> </w:t>
      </w:r>
      <w:r>
        <w:t>de</w:t>
      </w:r>
      <w:r w:rsidRPr="002C4077">
        <w:t xml:space="preserve"> </w:t>
      </w:r>
      <w:r>
        <w:t>réciter</w:t>
      </w:r>
      <w:r w:rsidRPr="002C4077">
        <w:t xml:space="preserve"> </w:t>
      </w:r>
      <w:r>
        <w:t>le</w:t>
      </w:r>
      <w:r w:rsidRPr="002C4077">
        <w:t xml:space="preserve"> </w:t>
      </w:r>
      <w:r>
        <w:t>matin</w:t>
      </w:r>
      <w:r w:rsidRPr="002C4077">
        <w:t xml:space="preserve"> </w:t>
      </w:r>
      <w:r>
        <w:t>et</w:t>
      </w:r>
      <w:r w:rsidRPr="002C4077">
        <w:t xml:space="preserve"> </w:t>
      </w:r>
      <w:r>
        <w:t>le</w:t>
      </w:r>
      <w:r w:rsidRPr="002C4077">
        <w:t xml:space="preserve"> </w:t>
      </w:r>
      <w:r>
        <w:t>soir,</w:t>
      </w:r>
      <w:r w:rsidRPr="002C4077">
        <w:t xml:space="preserve"> </w:t>
      </w:r>
      <w:r>
        <w:t>et</w:t>
      </w:r>
      <w:r w:rsidRPr="002C4077">
        <w:t xml:space="preserve"> </w:t>
      </w:r>
      <w:r>
        <w:t>dont</w:t>
      </w:r>
      <w:r w:rsidRPr="002C4077">
        <w:t xml:space="preserve"> </w:t>
      </w:r>
      <w:r>
        <w:t>le</w:t>
      </w:r>
      <w:r w:rsidRPr="002C4077">
        <w:t xml:space="preserve"> </w:t>
      </w:r>
      <w:r>
        <w:t>premier</w:t>
      </w:r>
      <w:r w:rsidRPr="002C4077">
        <w:t xml:space="preserve"> </w:t>
      </w:r>
      <w:r>
        <w:t>commence</w:t>
      </w:r>
      <w:r w:rsidRPr="002C4077">
        <w:t xml:space="preserve"> </w:t>
      </w:r>
      <w:r>
        <w:t>par</w:t>
      </w:r>
      <w:r w:rsidRPr="002C4077">
        <w:t xml:space="preserve"> </w:t>
      </w:r>
      <w:r w:rsidRPr="000A34B5">
        <w:rPr>
          <w:rStyle w:val="italicus"/>
        </w:rPr>
        <w:t>Schemang</w:t>
      </w:r>
      <w:r w:rsidRPr="002C4077">
        <w:t xml:space="preserve"> </w:t>
      </w:r>
      <w:r w:rsidRPr="000A34B5">
        <w:rPr>
          <w:rStyle w:val="italicus"/>
        </w:rPr>
        <w:t>Israël.</w:t>
      </w:r>
      <w:r w:rsidRPr="002C4077">
        <w:t xml:space="preserve"> </w:t>
      </w:r>
    </w:p>
    <w:p w:rsidR="000A7AAB" w:rsidRDefault="000A7AAB" w:rsidP="007E4381">
      <w:pPr>
        <w:pStyle w:val="locus"/>
      </w:pPr>
      <w:r>
        <w:t>D.</w:t>
      </w:r>
      <w:r w:rsidRPr="002C4077">
        <w:t xml:space="preserve"> </w:t>
      </w:r>
      <w:r>
        <w:t>Récitez-moi</w:t>
      </w:r>
      <w:r w:rsidRPr="002C4077">
        <w:t xml:space="preserve"> </w:t>
      </w:r>
      <w:r>
        <w:t>le</w:t>
      </w:r>
      <w:r w:rsidRPr="002C4077">
        <w:t xml:space="preserve"> </w:t>
      </w:r>
      <w:r>
        <w:t>premier</w:t>
      </w:r>
      <w:r w:rsidRPr="002C4077">
        <w:t xml:space="preserve"> </w:t>
      </w:r>
      <w:r>
        <w:t>chapitre.</w:t>
      </w:r>
      <w:r w:rsidRPr="002C4077">
        <w:t xml:space="preserve"> </w:t>
      </w:r>
    </w:p>
    <w:p w:rsidR="000A7AAB" w:rsidRDefault="000A7AAB" w:rsidP="007E4381">
      <w:pPr>
        <w:pStyle w:val="locus"/>
      </w:pPr>
      <w:r>
        <w:t>R.</w:t>
      </w:r>
      <w:r w:rsidRPr="002C4077">
        <w:t xml:space="preserve"> </w:t>
      </w:r>
      <w:r>
        <w:t>Écoute,</w:t>
      </w:r>
      <w:r w:rsidRPr="002C4077">
        <w:t xml:space="preserve"> </w:t>
      </w:r>
      <w:r>
        <w:t>Israël,</w:t>
      </w:r>
      <w:r w:rsidRPr="002C4077">
        <w:t xml:space="preserve"> </w:t>
      </w:r>
      <w:r>
        <w:t>l’Éternel</w:t>
      </w:r>
      <w:r w:rsidRPr="002C4077">
        <w:t xml:space="preserve"> </w:t>
      </w:r>
      <w:r w:rsidR="00425C50">
        <w:t>est</w:t>
      </w:r>
      <w:r w:rsidRPr="002C4077">
        <w:t xml:space="preserve"> </w:t>
      </w:r>
      <w:r>
        <w:t>notre</w:t>
      </w:r>
      <w:r w:rsidRPr="002C4077">
        <w:t xml:space="preserve"> </w:t>
      </w:r>
      <w:r>
        <w:t>Dieu,</w:t>
      </w:r>
      <w:r w:rsidRPr="002C4077">
        <w:t xml:space="preserve"> </w:t>
      </w:r>
      <w:r>
        <w:t>l’Éternel</w:t>
      </w:r>
      <w:r w:rsidRPr="002C4077">
        <w:t xml:space="preserve"> </w:t>
      </w:r>
      <w:r w:rsidR="00425C50">
        <w:t>est</w:t>
      </w:r>
      <w:r w:rsidRPr="002C4077">
        <w:t xml:space="preserve"> </w:t>
      </w:r>
      <w:r>
        <w:t>un.</w:t>
      </w:r>
      <w:r w:rsidRPr="002C4077">
        <w:t xml:space="preserve"> </w:t>
      </w:r>
      <w:r>
        <w:t>Béni</w:t>
      </w:r>
      <w:r w:rsidRPr="002C4077">
        <w:t xml:space="preserve"> </w:t>
      </w:r>
      <w:r>
        <w:t>soit</w:t>
      </w:r>
      <w:r w:rsidRPr="002C4077">
        <w:t xml:space="preserve"> </w:t>
      </w:r>
      <w:r>
        <w:t>à</w:t>
      </w:r>
      <w:r w:rsidRPr="002C4077">
        <w:t xml:space="preserve"> </w:t>
      </w:r>
      <w:r>
        <w:t>jamais</w:t>
      </w:r>
      <w:r w:rsidRPr="002C4077">
        <w:t xml:space="preserve"> </w:t>
      </w:r>
      <w:r>
        <w:t>le</w:t>
      </w:r>
      <w:r w:rsidRPr="002C4077">
        <w:t xml:space="preserve"> </w:t>
      </w:r>
      <w:r>
        <w:t>nom</w:t>
      </w:r>
      <w:r w:rsidRPr="002C4077">
        <w:t xml:space="preserve"> </w:t>
      </w:r>
      <w:r>
        <w:t>de</w:t>
      </w:r>
      <w:r w:rsidRPr="002C4077">
        <w:t xml:space="preserve"> </w:t>
      </w:r>
      <w:r>
        <w:t>son</w:t>
      </w:r>
      <w:r w:rsidRPr="002C4077">
        <w:t xml:space="preserve"> </w:t>
      </w:r>
      <w:r>
        <w:t>règne</w:t>
      </w:r>
      <w:r w:rsidRPr="002C4077">
        <w:t xml:space="preserve"> </w:t>
      </w:r>
      <w:r>
        <w:t>glorieux,</w:t>
      </w:r>
      <w:r w:rsidRPr="002C4077">
        <w:t xml:space="preserve"> </w:t>
      </w:r>
      <w:r w:rsidR="00425C50">
        <w:t>etc</w:t>
      </w:r>
      <w:r>
        <w:t>…</w:t>
      </w:r>
      <w:r w:rsidRPr="002C4077">
        <w:t xml:space="preserve"> </w:t>
      </w:r>
    </w:p>
    <w:p w:rsidR="000A7AAB" w:rsidRDefault="000A7AAB" w:rsidP="000A7AAB">
      <w:r>
        <w:t>Suivent</w:t>
      </w:r>
      <w:r w:rsidRPr="002C4077">
        <w:t xml:space="preserve"> </w:t>
      </w:r>
      <w:r>
        <w:t>quelques</w:t>
      </w:r>
      <w:r w:rsidRPr="002C4077">
        <w:t xml:space="preserve"> </w:t>
      </w:r>
      <w:r>
        <w:t>explications</w:t>
      </w:r>
      <w:r w:rsidRPr="002C4077">
        <w:t xml:space="preserve"> </w:t>
      </w:r>
      <w:r>
        <w:t>qui</w:t>
      </w:r>
      <w:r w:rsidRPr="002C4077">
        <w:t xml:space="preserve"> </w:t>
      </w:r>
      <w:r>
        <w:t>concernent</w:t>
      </w:r>
      <w:r w:rsidRPr="002C4077">
        <w:t xml:space="preserve"> </w:t>
      </w:r>
      <w:r>
        <w:t>la</w:t>
      </w:r>
      <w:r w:rsidRPr="002C4077">
        <w:t xml:space="preserve"> </w:t>
      </w:r>
      <w:r>
        <w:t>prière,</w:t>
      </w:r>
      <w:r w:rsidRPr="002C4077">
        <w:t xml:space="preserve"> </w:t>
      </w:r>
      <w:r>
        <w:t>sa</w:t>
      </w:r>
      <w:r w:rsidRPr="002C4077">
        <w:t xml:space="preserve"> </w:t>
      </w:r>
      <w:r>
        <w:t>nécessité,</w:t>
      </w:r>
      <w:r w:rsidRPr="002C4077">
        <w:t xml:space="preserve"> </w:t>
      </w:r>
      <w:r>
        <w:t>son</w:t>
      </w:r>
      <w:r w:rsidRPr="002C4077">
        <w:t xml:space="preserve"> </w:t>
      </w:r>
      <w:r>
        <w:t>objet.</w:t>
      </w:r>
      <w:r w:rsidRPr="002C4077">
        <w:t xml:space="preserve"> </w:t>
      </w:r>
      <w:r>
        <w:t>Les</w:t>
      </w:r>
      <w:r w:rsidRPr="002C4077">
        <w:t xml:space="preserve"> </w:t>
      </w:r>
      <w:r>
        <w:t>leçons</w:t>
      </w:r>
      <w:r w:rsidRPr="002C4077">
        <w:t xml:space="preserve"> </w:t>
      </w:r>
      <w:r>
        <w:t>VIII-X</w:t>
      </w:r>
      <w:r w:rsidRPr="002C4077">
        <w:t xml:space="preserve"> </w:t>
      </w:r>
      <w:r>
        <w:t>traitent</w:t>
      </w:r>
      <w:r w:rsidRPr="002C4077">
        <w:t xml:space="preserve"> </w:t>
      </w:r>
      <w:r>
        <w:t>des</w:t>
      </w:r>
      <w:r w:rsidRPr="002C4077">
        <w:t xml:space="preserve"> </w:t>
      </w:r>
      <w:r>
        <w:t>fêtes</w:t>
      </w:r>
      <w:r w:rsidRPr="002C4077">
        <w:t xml:space="preserve"> </w:t>
      </w:r>
      <w:r>
        <w:t>et</w:t>
      </w:r>
      <w:r w:rsidRPr="002C4077">
        <w:t xml:space="preserve"> </w:t>
      </w:r>
      <w:r>
        <w:t>des</w:t>
      </w:r>
      <w:r w:rsidRPr="002C4077">
        <w:t xml:space="preserve"> </w:t>
      </w:r>
      <w:r>
        <w:t>jeûnes</w:t>
      </w:r>
      <w:r w:rsidRPr="002C4077">
        <w:t xml:space="preserve"> </w:t>
      </w:r>
      <w:r>
        <w:t>israélites</w:t>
      </w:r>
      <w:r w:rsidR="00B546AF">
        <w:t> ;</w:t>
      </w:r>
      <w:r w:rsidRPr="002C4077">
        <w:t xml:space="preserve"> </w:t>
      </w:r>
      <w:r>
        <w:t>la</w:t>
      </w:r>
      <w:r w:rsidRPr="002C4077">
        <w:t xml:space="preserve"> </w:t>
      </w:r>
      <w:r w:rsidR="007B3C26">
        <w:t>XI</w:t>
      </w:r>
      <w:r w:rsidR="007B3C26" w:rsidRPr="007B3C26">
        <w:rPr>
          <w:vertAlign w:val="superscript"/>
        </w:rPr>
        <w:t>e</w:t>
      </w:r>
      <w:r>
        <w:t>,</w:t>
      </w:r>
      <w:r w:rsidRPr="002C4077">
        <w:t xml:space="preserve"> </w:t>
      </w:r>
      <w:r>
        <w:t>du</w:t>
      </w:r>
      <w:r w:rsidRPr="002C4077">
        <w:t xml:space="preserve"> </w:t>
      </w:r>
      <w:r>
        <w:t>péché</w:t>
      </w:r>
      <w:r w:rsidRPr="002C4077">
        <w:t xml:space="preserve"> </w:t>
      </w:r>
      <w:r>
        <w:t>et</w:t>
      </w:r>
      <w:r w:rsidRPr="002C4077">
        <w:t xml:space="preserve"> </w:t>
      </w:r>
      <w:r>
        <w:t>de</w:t>
      </w:r>
      <w:r w:rsidRPr="002C4077">
        <w:t xml:space="preserve"> </w:t>
      </w:r>
      <w:r>
        <w:t>la</w:t>
      </w:r>
      <w:r w:rsidRPr="002C4077">
        <w:t xml:space="preserve"> </w:t>
      </w:r>
      <w:r>
        <w:t>pénitence.</w:t>
      </w:r>
      <w:r w:rsidRPr="002C4077">
        <w:t xml:space="preserve"> </w:t>
      </w:r>
    </w:p>
    <w:p w:rsidR="000A7AAB" w:rsidRDefault="000A7AAB" w:rsidP="000A7AAB">
      <w:r>
        <w:t>Telle</w:t>
      </w:r>
      <w:r w:rsidRPr="002C4077">
        <w:t xml:space="preserve"> </w:t>
      </w:r>
      <w:r w:rsidR="00425C50">
        <w:t>est</w:t>
      </w:r>
      <w:r w:rsidRPr="002C4077">
        <w:t xml:space="preserve"> </w:t>
      </w:r>
      <w:r>
        <w:t>la</w:t>
      </w:r>
      <w:r w:rsidRPr="002C4077">
        <w:t xml:space="preserve"> </w:t>
      </w:r>
      <w:r>
        <w:t>première</w:t>
      </w:r>
      <w:r w:rsidRPr="002C4077">
        <w:t xml:space="preserve"> </w:t>
      </w:r>
      <w:r>
        <w:t>section,</w:t>
      </w:r>
      <w:r w:rsidRPr="002C4077">
        <w:t xml:space="preserve"> </w:t>
      </w:r>
      <w:r>
        <w:t>consacrée</w:t>
      </w:r>
      <w:r w:rsidRPr="002C4077">
        <w:t xml:space="preserve"> </w:t>
      </w:r>
      <w:r>
        <w:t>aux</w:t>
      </w:r>
      <w:r w:rsidRPr="002C4077">
        <w:t xml:space="preserve"> </w:t>
      </w:r>
      <w:r>
        <w:t>devoirs</w:t>
      </w:r>
      <w:r w:rsidRPr="002C4077">
        <w:t xml:space="preserve"> </w:t>
      </w:r>
      <w:r>
        <w:t>de</w:t>
      </w:r>
      <w:r w:rsidRPr="002C4077">
        <w:t xml:space="preserve"> </w:t>
      </w:r>
      <w:r>
        <w:t>l’homme</w:t>
      </w:r>
      <w:r w:rsidRPr="002C4077">
        <w:t xml:space="preserve"> </w:t>
      </w:r>
      <w:r>
        <w:t>envers</w:t>
      </w:r>
      <w:r w:rsidRPr="002C4077">
        <w:t xml:space="preserve"> </w:t>
      </w:r>
      <w:r>
        <w:t>Dieu.</w:t>
      </w:r>
      <w:r w:rsidRPr="002C4077">
        <w:t xml:space="preserve"> </w:t>
      </w:r>
    </w:p>
    <w:p w:rsidR="000A7AAB" w:rsidRDefault="000A7AAB" w:rsidP="000A7AAB">
      <w:r>
        <w:t>Il</w:t>
      </w:r>
      <w:r w:rsidRPr="002C4077">
        <w:t xml:space="preserve"> </w:t>
      </w:r>
      <w:r>
        <w:t>nous</w:t>
      </w:r>
      <w:r w:rsidRPr="002C4077">
        <w:t xml:space="preserve"> </w:t>
      </w:r>
      <w:r>
        <w:t>semble</w:t>
      </w:r>
      <w:r w:rsidRPr="002C4077">
        <w:t xml:space="preserve"> </w:t>
      </w:r>
      <w:r>
        <w:t>que</w:t>
      </w:r>
      <w:r w:rsidRPr="002C4077">
        <w:t xml:space="preserve"> </w:t>
      </w:r>
      <w:r>
        <w:t>nous</w:t>
      </w:r>
      <w:r w:rsidRPr="002C4077">
        <w:t xml:space="preserve"> </w:t>
      </w:r>
      <w:r>
        <w:t>entendons</w:t>
      </w:r>
      <w:r w:rsidRPr="002C4077">
        <w:t xml:space="preserve"> </w:t>
      </w:r>
      <w:r>
        <w:t>même</w:t>
      </w:r>
      <w:r w:rsidRPr="002C4077">
        <w:t xml:space="preserve"> </w:t>
      </w:r>
      <w:r>
        <w:t>les</w:t>
      </w:r>
      <w:r w:rsidRPr="002C4077">
        <w:t xml:space="preserve"> </w:t>
      </w:r>
      <w:r>
        <w:t>moins</w:t>
      </w:r>
      <w:r w:rsidRPr="002C4077">
        <w:t xml:space="preserve"> </w:t>
      </w:r>
      <w:r>
        <w:t>théologiens</w:t>
      </w:r>
      <w:r w:rsidRPr="002C4077">
        <w:t xml:space="preserve"> </w:t>
      </w:r>
      <w:r>
        <w:t>de</w:t>
      </w:r>
      <w:r w:rsidRPr="002C4077">
        <w:t xml:space="preserve"> </w:t>
      </w:r>
      <w:r>
        <w:t>nos</w:t>
      </w:r>
      <w:r w:rsidRPr="002C4077">
        <w:t xml:space="preserve"> </w:t>
      </w:r>
      <w:r>
        <w:t>lecteurs</w:t>
      </w:r>
      <w:r w:rsidRPr="002C4077">
        <w:t xml:space="preserve"> </w:t>
      </w:r>
      <w:r>
        <w:t>s’écrier</w:t>
      </w:r>
      <w:r w:rsidRPr="002C4077">
        <w:t xml:space="preserve"> </w:t>
      </w:r>
      <w:r>
        <w:t>avec</w:t>
      </w:r>
      <w:r w:rsidRPr="002C4077">
        <w:t xml:space="preserve"> </w:t>
      </w:r>
      <w:r>
        <w:t>tristesse</w:t>
      </w:r>
      <w:r w:rsidR="00B546AF">
        <w:t> :</w:t>
      </w:r>
      <w:r w:rsidRPr="002C4077">
        <w:t xml:space="preserve"> </w:t>
      </w:r>
      <w:r>
        <w:t>Que</w:t>
      </w:r>
      <w:r w:rsidRPr="002C4077">
        <w:t xml:space="preserve"> </w:t>
      </w:r>
      <w:r>
        <w:t>c’est</w:t>
      </w:r>
      <w:r w:rsidRPr="002C4077">
        <w:t xml:space="preserve"> </w:t>
      </w:r>
      <w:r>
        <w:t>pauvre</w:t>
      </w:r>
      <w:r w:rsidR="00B546AF">
        <w:t> !</w:t>
      </w:r>
      <w:r w:rsidRPr="002C4077">
        <w:t xml:space="preserve"> </w:t>
      </w:r>
      <w:r>
        <w:t>et</w:t>
      </w:r>
      <w:r w:rsidRPr="002C4077">
        <w:t xml:space="preserve"> </w:t>
      </w:r>
      <w:r>
        <w:t>nous</w:t>
      </w:r>
      <w:r w:rsidRPr="002C4077">
        <w:t xml:space="preserve"> </w:t>
      </w:r>
      <w:r>
        <w:t>répétons</w:t>
      </w:r>
      <w:r w:rsidRPr="002C4077">
        <w:t xml:space="preserve"> </w:t>
      </w:r>
      <w:r>
        <w:t>après</w:t>
      </w:r>
      <w:r w:rsidRPr="002C4077">
        <w:t xml:space="preserve"> </w:t>
      </w:r>
      <w:r>
        <w:t>eux</w:t>
      </w:r>
      <w:r w:rsidR="00B546AF">
        <w:t> :</w:t>
      </w:r>
      <w:r w:rsidRPr="002C4077">
        <w:t xml:space="preserve"> </w:t>
      </w:r>
      <w:r>
        <w:t>Que</w:t>
      </w:r>
      <w:r w:rsidRPr="002C4077">
        <w:t xml:space="preserve"> </w:t>
      </w:r>
      <w:r>
        <w:t>c’est</w:t>
      </w:r>
      <w:r w:rsidRPr="002C4077">
        <w:t xml:space="preserve"> </w:t>
      </w:r>
      <w:r>
        <w:t>pauvre</w:t>
      </w:r>
      <w:r w:rsidR="00B546AF">
        <w:t> !</w:t>
      </w:r>
      <w:r w:rsidRPr="002C4077">
        <w:t xml:space="preserve"> </w:t>
      </w:r>
      <w:r>
        <w:t>Nous</w:t>
      </w:r>
      <w:r w:rsidRPr="002C4077">
        <w:t xml:space="preserve"> </w:t>
      </w:r>
      <w:r>
        <w:t>avons</w:t>
      </w:r>
      <w:r w:rsidRPr="002C4077">
        <w:t xml:space="preserve"> </w:t>
      </w:r>
      <w:r>
        <w:t>eu</w:t>
      </w:r>
      <w:r w:rsidRPr="002C4077">
        <w:t xml:space="preserve"> </w:t>
      </w:r>
      <w:r>
        <w:t>entre</w:t>
      </w:r>
      <w:r w:rsidRPr="002C4077">
        <w:t xml:space="preserve"> </w:t>
      </w:r>
      <w:r>
        <w:t>les</w:t>
      </w:r>
      <w:r w:rsidRPr="002C4077">
        <w:t xml:space="preserve"> </w:t>
      </w:r>
      <w:r>
        <w:t>mains</w:t>
      </w:r>
      <w:r w:rsidRPr="002C4077">
        <w:t xml:space="preserve"> </w:t>
      </w:r>
      <w:r>
        <w:t>des</w:t>
      </w:r>
      <w:r w:rsidRPr="002C4077">
        <w:t xml:space="preserve"> </w:t>
      </w:r>
      <w:r>
        <w:t>catéchismes</w:t>
      </w:r>
      <w:r w:rsidRPr="002C4077">
        <w:t xml:space="preserve"> </w:t>
      </w:r>
      <w:r>
        <w:t>protestants</w:t>
      </w:r>
      <w:bookmarkStart w:id="671" w:name="z_CateProtestant_o1"/>
      <w:bookmarkEnd w:id="671"/>
      <w:r>
        <w:t>.</w:t>
      </w:r>
      <w:r w:rsidRPr="002C4077">
        <w:t xml:space="preserve"> </w:t>
      </w:r>
      <w:r>
        <w:t>Il</w:t>
      </w:r>
      <w:r w:rsidRPr="002C4077">
        <w:t xml:space="preserve"> </w:t>
      </w:r>
      <w:r>
        <w:t>y</w:t>
      </w:r>
      <w:r w:rsidRPr="002C4077">
        <w:t xml:space="preserve"> </w:t>
      </w:r>
      <w:r>
        <w:t>manquait</w:t>
      </w:r>
      <w:r w:rsidRPr="002C4077">
        <w:t xml:space="preserve"> </w:t>
      </w:r>
      <w:r>
        <w:t>assurément</w:t>
      </w:r>
      <w:r w:rsidRPr="002C4077">
        <w:t xml:space="preserve"> </w:t>
      </w:r>
      <w:r>
        <w:t>bien</w:t>
      </w:r>
      <w:r w:rsidRPr="002C4077">
        <w:t xml:space="preserve"> </w:t>
      </w:r>
      <w:r>
        <w:t>des</w:t>
      </w:r>
      <w:r w:rsidRPr="002C4077">
        <w:t xml:space="preserve"> </w:t>
      </w:r>
      <w:r>
        <w:t>choses.</w:t>
      </w:r>
      <w:r w:rsidR="00C45B47">
        <w:t xml:space="preserve"> {</w:t>
      </w:r>
      <w:r w:rsidR="001F5257">
        <w:t>275</w:t>
      </w:r>
      <w:bookmarkStart w:id="672" w:name="p275"/>
      <w:bookmarkEnd w:id="672"/>
      <w:r w:rsidR="001F5257">
        <w:t xml:space="preserve">} </w:t>
      </w:r>
      <w:r>
        <w:t>La</w:t>
      </w:r>
      <w:r w:rsidRPr="002C4077">
        <w:t xml:space="preserve"> </w:t>
      </w:r>
      <w:r>
        <w:t>révélation</w:t>
      </w:r>
      <w:r w:rsidRPr="002C4077">
        <w:t xml:space="preserve"> </w:t>
      </w:r>
      <w:r>
        <w:t>chrétienne</w:t>
      </w:r>
      <w:r w:rsidRPr="002C4077">
        <w:t xml:space="preserve"> </w:t>
      </w:r>
      <w:r>
        <w:t>y</w:t>
      </w:r>
      <w:r w:rsidRPr="002C4077">
        <w:t xml:space="preserve"> </w:t>
      </w:r>
      <w:r>
        <w:t>était</w:t>
      </w:r>
      <w:r w:rsidRPr="002C4077">
        <w:t xml:space="preserve"> </w:t>
      </w:r>
      <w:r>
        <w:t>très</w:t>
      </w:r>
      <w:r w:rsidRPr="002C4077">
        <w:t xml:space="preserve"> </w:t>
      </w:r>
      <w:r>
        <w:t>incomplète</w:t>
      </w:r>
      <w:r w:rsidR="00B546AF">
        <w:t> ;</w:t>
      </w:r>
      <w:r w:rsidRPr="002C4077">
        <w:t xml:space="preserve"> </w:t>
      </w:r>
      <w:r>
        <w:t>et</w:t>
      </w:r>
      <w:r w:rsidRPr="002C4077">
        <w:t xml:space="preserve"> </w:t>
      </w:r>
      <w:r>
        <w:t>pourtant,</w:t>
      </w:r>
      <w:r w:rsidRPr="002C4077">
        <w:t xml:space="preserve"> </w:t>
      </w:r>
      <w:r>
        <w:t>malgré</w:t>
      </w:r>
      <w:r w:rsidRPr="002C4077">
        <w:t xml:space="preserve"> </w:t>
      </w:r>
      <w:r>
        <w:t>les</w:t>
      </w:r>
      <w:r w:rsidRPr="002C4077">
        <w:t xml:space="preserve"> </w:t>
      </w:r>
      <w:r>
        <w:t>mutilations</w:t>
      </w:r>
      <w:r w:rsidRPr="002C4077">
        <w:t xml:space="preserve"> </w:t>
      </w:r>
      <w:r>
        <w:t>douloureuses</w:t>
      </w:r>
      <w:r w:rsidRPr="002C4077">
        <w:t xml:space="preserve"> </w:t>
      </w:r>
      <w:r>
        <w:t>qu’elle</w:t>
      </w:r>
      <w:r w:rsidRPr="002C4077">
        <w:t xml:space="preserve"> </w:t>
      </w:r>
      <w:r>
        <w:t>avait</w:t>
      </w:r>
      <w:r w:rsidRPr="002C4077">
        <w:t xml:space="preserve"> </w:t>
      </w:r>
      <w:r>
        <w:t>subies,</w:t>
      </w:r>
      <w:r w:rsidRPr="002C4077">
        <w:t xml:space="preserve"> </w:t>
      </w:r>
      <w:r>
        <w:t>il</w:t>
      </w:r>
      <w:r w:rsidRPr="002C4077">
        <w:t xml:space="preserve"> </w:t>
      </w:r>
      <w:r>
        <w:t>lui</w:t>
      </w:r>
      <w:r w:rsidRPr="002C4077">
        <w:t xml:space="preserve"> </w:t>
      </w:r>
      <w:r>
        <w:t>restait</w:t>
      </w:r>
      <w:r w:rsidRPr="002C4077">
        <w:t xml:space="preserve"> </w:t>
      </w:r>
      <w:r>
        <w:t>encore</w:t>
      </w:r>
      <w:r w:rsidRPr="002C4077">
        <w:t xml:space="preserve"> </w:t>
      </w:r>
      <w:r>
        <w:t>de</w:t>
      </w:r>
      <w:r w:rsidRPr="002C4077">
        <w:t xml:space="preserve"> </w:t>
      </w:r>
      <w:r>
        <w:t>vives</w:t>
      </w:r>
      <w:r w:rsidRPr="002C4077">
        <w:t xml:space="preserve"> </w:t>
      </w:r>
      <w:r>
        <w:t>splendeurs,</w:t>
      </w:r>
      <w:r w:rsidRPr="002C4077">
        <w:t xml:space="preserve"> </w:t>
      </w:r>
      <w:r>
        <w:t>car</w:t>
      </w:r>
      <w:r w:rsidRPr="002C4077">
        <w:t xml:space="preserve"> </w:t>
      </w:r>
      <w:r>
        <w:t>la</w:t>
      </w:r>
      <w:r w:rsidRPr="002C4077">
        <w:t xml:space="preserve"> </w:t>
      </w:r>
      <w:r>
        <w:t>divine</w:t>
      </w:r>
      <w:r w:rsidRPr="002C4077">
        <w:t xml:space="preserve"> </w:t>
      </w:r>
      <w:r>
        <w:t>figure</w:t>
      </w:r>
      <w:r w:rsidRPr="002C4077">
        <w:t xml:space="preserve"> </w:t>
      </w:r>
      <w:r>
        <w:t>de</w:t>
      </w:r>
      <w:r w:rsidRPr="002C4077">
        <w:t xml:space="preserve"> </w:t>
      </w:r>
      <w:r>
        <w:t>N.</w:t>
      </w:r>
      <w:r w:rsidRPr="002C4077">
        <w:t xml:space="preserve"> </w:t>
      </w:r>
      <w:r>
        <w:t>S.</w:t>
      </w:r>
      <w:r w:rsidRPr="002C4077">
        <w:t xml:space="preserve"> </w:t>
      </w:r>
      <w:r w:rsidR="00425C50">
        <w:t>Jésus</w:t>
      </w:r>
      <w:r>
        <w:t>-</w:t>
      </w:r>
      <w:r w:rsidR="00425C50">
        <w:t>Christ</w:t>
      </w:r>
      <w:r>
        <w:t>,</w:t>
      </w:r>
      <w:r w:rsidRPr="002C4077">
        <w:t xml:space="preserve"> </w:t>
      </w:r>
      <w:r w:rsidR="00F042F3">
        <w:t>même</w:t>
      </w:r>
      <w:r w:rsidRPr="002C4077">
        <w:t xml:space="preserve"> </w:t>
      </w:r>
      <w:r>
        <w:t>à</w:t>
      </w:r>
      <w:r w:rsidRPr="002C4077">
        <w:t xml:space="preserve"> </w:t>
      </w:r>
      <w:r>
        <w:t>demi</w:t>
      </w:r>
      <w:r w:rsidRPr="002C4077">
        <w:t xml:space="preserve"> </w:t>
      </w:r>
      <w:r>
        <w:t>voilée,</w:t>
      </w:r>
      <w:r w:rsidRPr="002C4077">
        <w:t xml:space="preserve"> </w:t>
      </w:r>
      <w:r>
        <w:t>illuminait</w:t>
      </w:r>
      <w:r w:rsidRPr="002C4077">
        <w:t xml:space="preserve"> </w:t>
      </w:r>
      <w:r>
        <w:t>tout</w:t>
      </w:r>
      <w:r w:rsidRPr="002C4077">
        <w:t xml:space="preserve"> </w:t>
      </w:r>
      <w:r>
        <w:t>de</w:t>
      </w:r>
      <w:r w:rsidRPr="002C4077">
        <w:t xml:space="preserve"> </w:t>
      </w:r>
      <w:r>
        <w:t>ses</w:t>
      </w:r>
      <w:r w:rsidRPr="002C4077">
        <w:t xml:space="preserve"> </w:t>
      </w:r>
      <w:r>
        <w:t>rayonnements</w:t>
      </w:r>
      <w:r w:rsidRPr="002C4077">
        <w:t xml:space="preserve"> </w:t>
      </w:r>
      <w:r>
        <w:t>célestes.</w:t>
      </w:r>
      <w:r w:rsidRPr="002C4077">
        <w:t xml:space="preserve"> </w:t>
      </w:r>
      <w:r>
        <w:t>Mais</w:t>
      </w:r>
      <w:r w:rsidRPr="002C4077">
        <w:t xml:space="preserve"> </w:t>
      </w:r>
      <w:r>
        <w:t>quel</w:t>
      </w:r>
      <w:r w:rsidRPr="002C4077">
        <w:t xml:space="preserve"> </w:t>
      </w:r>
      <w:r>
        <w:t>vide</w:t>
      </w:r>
      <w:bookmarkStart w:id="673" w:name="z_Judaisme_o1"/>
      <w:bookmarkEnd w:id="673"/>
      <w:r w:rsidRPr="002C4077">
        <w:t xml:space="preserve"> </w:t>
      </w:r>
      <w:r>
        <w:t>dans</w:t>
      </w:r>
      <w:r w:rsidRPr="002C4077">
        <w:t xml:space="preserve"> </w:t>
      </w:r>
      <w:r>
        <w:t>ce</w:t>
      </w:r>
      <w:r w:rsidRPr="002C4077">
        <w:t xml:space="preserve"> </w:t>
      </w:r>
      <w:r w:rsidRPr="000A34B5">
        <w:rPr>
          <w:rStyle w:val="italicus"/>
        </w:rPr>
        <w:t>Précis</w:t>
      </w:r>
      <w:r w:rsidRPr="002C4077">
        <w:t xml:space="preserve"> </w:t>
      </w:r>
      <w:r w:rsidRPr="000A34B5">
        <w:rPr>
          <w:rStyle w:val="italicus"/>
        </w:rPr>
        <w:t>élémentaire</w:t>
      </w:r>
      <w:r w:rsidRPr="002C4077">
        <w:t xml:space="preserve"> </w:t>
      </w:r>
      <w:r>
        <w:t>de</w:t>
      </w:r>
      <w:r w:rsidRPr="002C4077">
        <w:t xml:space="preserve"> </w:t>
      </w:r>
      <w:r>
        <w:t>la</w:t>
      </w:r>
      <w:r w:rsidRPr="002C4077">
        <w:t xml:space="preserve"> </w:t>
      </w:r>
      <w:r>
        <w:t>religion</w:t>
      </w:r>
      <w:r w:rsidRPr="002C4077">
        <w:t xml:space="preserve"> </w:t>
      </w:r>
      <w:r>
        <w:t>israélite</w:t>
      </w:r>
      <w:r w:rsidR="00B546AF">
        <w:t> !</w:t>
      </w:r>
      <w:r w:rsidRPr="002C4077">
        <w:t xml:space="preserve"> </w:t>
      </w:r>
      <w:r>
        <w:t>C’est</w:t>
      </w:r>
      <w:r w:rsidRPr="002C4077">
        <w:t xml:space="preserve"> </w:t>
      </w:r>
      <w:r>
        <w:t>à</w:t>
      </w:r>
      <w:r w:rsidRPr="002C4077">
        <w:t xml:space="preserve"> </w:t>
      </w:r>
      <w:r>
        <w:t>peine</w:t>
      </w:r>
      <w:r w:rsidRPr="002C4077">
        <w:t xml:space="preserve"> </w:t>
      </w:r>
      <w:r>
        <w:t>s’il</w:t>
      </w:r>
      <w:r w:rsidRPr="002C4077">
        <w:t xml:space="preserve"> </w:t>
      </w:r>
      <w:r>
        <w:t>peut</w:t>
      </w:r>
      <w:r w:rsidRPr="002C4077">
        <w:t xml:space="preserve"> </w:t>
      </w:r>
      <w:r>
        <w:t>formuler</w:t>
      </w:r>
      <w:r w:rsidRPr="002C4077">
        <w:t xml:space="preserve"> </w:t>
      </w:r>
      <w:r>
        <w:t>un</w:t>
      </w:r>
      <w:r w:rsidRPr="002C4077">
        <w:t xml:space="preserve"> </w:t>
      </w:r>
      <w:r>
        <w:t>petit</w:t>
      </w:r>
      <w:r w:rsidRPr="002C4077">
        <w:t xml:space="preserve"> </w:t>
      </w:r>
      <w:r>
        <w:t>nombre</w:t>
      </w:r>
      <w:r w:rsidRPr="002C4077">
        <w:t xml:space="preserve"> </w:t>
      </w:r>
      <w:r>
        <w:t>de</w:t>
      </w:r>
      <w:r w:rsidRPr="002C4077">
        <w:t xml:space="preserve"> </w:t>
      </w:r>
      <w:r>
        <w:t>propositions</w:t>
      </w:r>
      <w:r w:rsidRPr="002C4077">
        <w:t xml:space="preserve"> </w:t>
      </w:r>
      <w:r>
        <w:t>dogmatiques,</w:t>
      </w:r>
      <w:r w:rsidRPr="002C4077">
        <w:t xml:space="preserve"> </w:t>
      </w:r>
      <w:r>
        <w:t>qu’il</w:t>
      </w:r>
      <w:r w:rsidRPr="002C4077">
        <w:t xml:space="preserve"> </w:t>
      </w:r>
      <w:r>
        <w:t>ne</w:t>
      </w:r>
      <w:r w:rsidRPr="002C4077">
        <w:t xml:space="preserve"> </w:t>
      </w:r>
      <w:r>
        <w:t>sait</w:t>
      </w:r>
      <w:r w:rsidRPr="002C4077">
        <w:t xml:space="preserve"> </w:t>
      </w:r>
      <w:r>
        <w:t>pas</w:t>
      </w:r>
      <w:r w:rsidRPr="002C4077">
        <w:t xml:space="preserve"> </w:t>
      </w:r>
      <w:r>
        <w:t>ou</w:t>
      </w:r>
      <w:r w:rsidRPr="002C4077">
        <w:t xml:space="preserve"> </w:t>
      </w:r>
      <w:r>
        <w:t>ne</w:t>
      </w:r>
      <w:r w:rsidRPr="002C4077">
        <w:t xml:space="preserve"> </w:t>
      </w:r>
      <w:r>
        <w:t>veut</w:t>
      </w:r>
      <w:r w:rsidRPr="002C4077">
        <w:t xml:space="preserve"> </w:t>
      </w:r>
      <w:r>
        <w:t>pas</w:t>
      </w:r>
      <w:r w:rsidRPr="002C4077">
        <w:t xml:space="preserve"> </w:t>
      </w:r>
      <w:r>
        <w:t>développer.</w:t>
      </w:r>
      <w:r w:rsidRPr="002C4077">
        <w:t xml:space="preserve"> </w:t>
      </w:r>
    </w:p>
    <w:p w:rsidR="000A7AAB" w:rsidRPr="000F4CEC" w:rsidRDefault="000A7AAB" w:rsidP="000A7AAB">
      <w:r>
        <w:t>Mais</w:t>
      </w:r>
      <w:r w:rsidRPr="002C4077">
        <w:t xml:space="preserve"> </w:t>
      </w:r>
      <w:r>
        <w:t>ne</w:t>
      </w:r>
      <w:r w:rsidRPr="002C4077">
        <w:t xml:space="preserve"> </w:t>
      </w:r>
      <w:r>
        <w:t>nous</w:t>
      </w:r>
      <w:r w:rsidRPr="002C4077">
        <w:t xml:space="preserve"> </w:t>
      </w:r>
      <w:r>
        <w:t>étonnons</w:t>
      </w:r>
      <w:r w:rsidRPr="002C4077">
        <w:t xml:space="preserve"> </w:t>
      </w:r>
      <w:r>
        <w:t>point</w:t>
      </w:r>
      <w:r w:rsidRPr="002C4077">
        <w:t xml:space="preserve"> </w:t>
      </w:r>
      <w:r>
        <w:t>outre</w:t>
      </w:r>
      <w:r w:rsidRPr="002C4077">
        <w:t xml:space="preserve"> </w:t>
      </w:r>
      <w:r>
        <w:t>mesure</w:t>
      </w:r>
      <w:r w:rsidRPr="002C4077">
        <w:t xml:space="preserve"> </w:t>
      </w:r>
      <w:r>
        <w:t>de</w:t>
      </w:r>
      <w:r w:rsidRPr="002C4077">
        <w:t xml:space="preserve"> </w:t>
      </w:r>
      <w:r>
        <w:t>la</w:t>
      </w:r>
      <w:r w:rsidRPr="002C4077">
        <w:t xml:space="preserve"> </w:t>
      </w:r>
      <w:r>
        <w:t>pénurie</w:t>
      </w:r>
      <w:r w:rsidRPr="002C4077">
        <w:t xml:space="preserve"> </w:t>
      </w:r>
      <w:r>
        <w:t>du</w:t>
      </w:r>
      <w:r w:rsidRPr="002C4077">
        <w:t xml:space="preserve"> </w:t>
      </w:r>
      <w:r>
        <w:t>catéchisme</w:t>
      </w:r>
      <w:r w:rsidRPr="002C4077">
        <w:t xml:space="preserve"> </w:t>
      </w:r>
      <w:r>
        <w:t>juif</w:t>
      </w:r>
      <w:r w:rsidRPr="002C4077">
        <w:t xml:space="preserve"> </w:t>
      </w:r>
      <w:r>
        <w:t>sous</w:t>
      </w:r>
      <w:r w:rsidRPr="002C4077">
        <w:t xml:space="preserve"> </w:t>
      </w:r>
      <w:r>
        <w:t>le</w:t>
      </w:r>
      <w:r w:rsidRPr="002C4077">
        <w:t xml:space="preserve"> </w:t>
      </w:r>
      <w:r>
        <w:t>rapport</w:t>
      </w:r>
      <w:r w:rsidRPr="002C4077">
        <w:t xml:space="preserve"> </w:t>
      </w:r>
      <w:r>
        <w:t>du</w:t>
      </w:r>
      <w:r w:rsidRPr="002C4077">
        <w:t xml:space="preserve"> </w:t>
      </w:r>
      <w:r>
        <w:t>dogme,</w:t>
      </w:r>
      <w:r w:rsidRPr="002C4077">
        <w:t xml:space="preserve"> </w:t>
      </w:r>
      <w:r>
        <w:t>attendu</w:t>
      </w:r>
      <w:r w:rsidRPr="002C4077">
        <w:t xml:space="preserve"> </w:t>
      </w:r>
      <w:r>
        <w:t>que</w:t>
      </w:r>
      <w:r w:rsidRPr="002C4077">
        <w:t xml:space="preserve"> </w:t>
      </w:r>
      <w:r>
        <w:t>les</w:t>
      </w:r>
      <w:r w:rsidRPr="002C4077">
        <w:t xml:space="preserve"> </w:t>
      </w:r>
      <w:r>
        <w:t>fils</w:t>
      </w:r>
      <w:r w:rsidRPr="002C4077">
        <w:t xml:space="preserve"> </w:t>
      </w:r>
      <w:r>
        <w:t>du</w:t>
      </w:r>
      <w:r w:rsidRPr="002C4077">
        <w:t xml:space="preserve"> </w:t>
      </w:r>
      <w:r w:rsidR="00B546AF">
        <w:t>« </w:t>
      </w:r>
      <w:r>
        <w:t>Père</w:t>
      </w:r>
      <w:r w:rsidRPr="002C4077">
        <w:t xml:space="preserve"> </w:t>
      </w:r>
      <w:r>
        <w:t>des</w:t>
      </w:r>
      <w:r w:rsidRPr="002C4077">
        <w:t xml:space="preserve"> </w:t>
      </w:r>
      <w:r>
        <w:t>croyants</w:t>
      </w:r>
      <w:r w:rsidR="00B546AF">
        <w:t> »</w:t>
      </w:r>
      <w:r w:rsidRPr="002C4077">
        <w:t xml:space="preserve"> </w:t>
      </w:r>
      <w:r>
        <w:t>se</w:t>
      </w:r>
      <w:r w:rsidRPr="002C4077">
        <w:t xml:space="preserve"> </w:t>
      </w:r>
      <w:r>
        <w:t>vantent</w:t>
      </w:r>
      <w:r w:rsidRPr="002C4077">
        <w:t xml:space="preserve"> </w:t>
      </w:r>
      <w:r>
        <w:t>aujourd’hui</w:t>
      </w:r>
      <w:r w:rsidRPr="002C4077">
        <w:t xml:space="preserve"> </w:t>
      </w:r>
      <w:r>
        <w:t>de</w:t>
      </w:r>
      <w:r w:rsidRPr="002C4077">
        <w:t xml:space="preserve"> </w:t>
      </w:r>
      <w:r>
        <w:t>n’avoir</w:t>
      </w:r>
      <w:r w:rsidRPr="002C4077">
        <w:t xml:space="preserve"> </w:t>
      </w:r>
      <w:r>
        <w:t>presque</w:t>
      </w:r>
      <w:r w:rsidRPr="002C4077">
        <w:t xml:space="preserve"> </w:t>
      </w:r>
      <w:r>
        <w:t>plus</w:t>
      </w:r>
      <w:r w:rsidRPr="002C4077">
        <w:t xml:space="preserve"> </w:t>
      </w:r>
      <w:r>
        <w:t>rien</w:t>
      </w:r>
      <w:r w:rsidRPr="002C4077">
        <w:t xml:space="preserve"> </w:t>
      </w:r>
      <w:r>
        <w:t>à</w:t>
      </w:r>
      <w:r w:rsidRPr="002C4077">
        <w:t xml:space="preserve"> </w:t>
      </w:r>
      <w:r>
        <w:t>croire.</w:t>
      </w:r>
      <w:r w:rsidRPr="002C4077">
        <w:t xml:space="preserve"> </w:t>
      </w:r>
      <w:r>
        <w:t>La</w:t>
      </w:r>
      <w:r w:rsidRPr="002C4077">
        <w:t xml:space="preserve"> </w:t>
      </w:r>
      <w:r w:rsidRPr="000A34B5">
        <w:rPr>
          <w:rStyle w:val="italicus"/>
        </w:rPr>
        <w:t>Gazette</w:t>
      </w:r>
      <w:r w:rsidRPr="002C4077">
        <w:t xml:space="preserve"> </w:t>
      </w:r>
      <w:r w:rsidRPr="000A34B5">
        <w:rPr>
          <w:rStyle w:val="italicus"/>
        </w:rPr>
        <w:t>générale</w:t>
      </w:r>
      <w:r w:rsidRPr="002C4077">
        <w:t xml:space="preserve"> </w:t>
      </w:r>
      <w:r w:rsidRPr="000A34B5">
        <w:rPr>
          <w:rStyle w:val="italicus"/>
        </w:rPr>
        <w:t>du</w:t>
      </w:r>
      <w:r w:rsidRPr="002C4077">
        <w:t xml:space="preserve"> </w:t>
      </w:r>
      <w:r w:rsidRPr="000A34B5">
        <w:rPr>
          <w:rStyle w:val="italicus"/>
        </w:rPr>
        <w:t>Judaïs</w:t>
      </w:r>
      <w:r w:rsidR="00F6492C" w:rsidRPr="000A34B5">
        <w:rPr>
          <w:rStyle w:val="italicus"/>
        </w:rPr>
        <w:t>me</w:t>
      </w:r>
      <w:r w:rsidR="00F6492C">
        <w:rPr>
          <w:rStyle w:val="Appelnotedebasdep"/>
          <w:i/>
        </w:rPr>
        <w:footnoteReference w:id="844"/>
      </w:r>
      <w:r w:rsidR="00F6492C" w:rsidRPr="000A34B5">
        <w:rPr>
          <w:rStyle w:val="italicus"/>
        </w:rPr>
        <w:t>,</w:t>
      </w:r>
      <w:r w:rsidRPr="002C4077">
        <w:t xml:space="preserve"> </w:t>
      </w:r>
      <w:r>
        <w:t>qui</w:t>
      </w:r>
      <w:r w:rsidRPr="002C4077">
        <w:t xml:space="preserve"> </w:t>
      </w:r>
      <w:r>
        <w:t>dirige</w:t>
      </w:r>
      <w:r w:rsidRPr="002C4077">
        <w:t xml:space="preserve"> </w:t>
      </w:r>
      <w:r>
        <w:t>actuellement</w:t>
      </w:r>
      <w:r w:rsidRPr="002C4077">
        <w:t xml:space="preserve"> </w:t>
      </w:r>
      <w:r>
        <w:t>l’opinion</w:t>
      </w:r>
      <w:r w:rsidRPr="002C4077">
        <w:t xml:space="preserve"> </w:t>
      </w:r>
      <w:r>
        <w:t>dans</w:t>
      </w:r>
      <w:r w:rsidRPr="002C4077">
        <w:t xml:space="preserve"> </w:t>
      </w:r>
      <w:r>
        <w:t>Israël,</w:t>
      </w:r>
      <w:r w:rsidRPr="002C4077">
        <w:t xml:space="preserve"> </w:t>
      </w:r>
      <w:r>
        <w:t>n’affirmait-elle</w:t>
      </w:r>
      <w:r w:rsidRPr="002C4077">
        <w:t xml:space="preserve"> </w:t>
      </w:r>
      <w:r>
        <w:t>pas</w:t>
      </w:r>
      <w:r w:rsidRPr="002C4077">
        <w:t xml:space="preserve"> </w:t>
      </w:r>
      <w:r>
        <w:t>naguère</w:t>
      </w:r>
      <w:r w:rsidRPr="002C4077">
        <w:t xml:space="preserve"> </w:t>
      </w:r>
      <w:r>
        <w:t>avec</w:t>
      </w:r>
      <w:r w:rsidRPr="002C4077">
        <w:t xml:space="preserve"> </w:t>
      </w:r>
      <w:r>
        <w:t>fierté</w:t>
      </w:r>
      <w:r w:rsidRPr="002C4077">
        <w:t xml:space="preserve"> </w:t>
      </w:r>
      <w:r>
        <w:t>que,</w:t>
      </w:r>
      <w:r w:rsidRPr="002C4077">
        <w:t xml:space="preserve"> </w:t>
      </w:r>
      <w:r>
        <w:t>d’après</w:t>
      </w:r>
      <w:r w:rsidRPr="002C4077">
        <w:t xml:space="preserve"> </w:t>
      </w:r>
      <w:r>
        <w:t>le</w:t>
      </w:r>
      <w:r w:rsidRPr="002C4077">
        <w:t xml:space="preserve"> </w:t>
      </w:r>
      <w:r>
        <w:t>Talmud,</w:t>
      </w:r>
      <w:r w:rsidRPr="002C4077">
        <w:t xml:space="preserve"> </w:t>
      </w:r>
      <w:r>
        <w:t>il</w:t>
      </w:r>
      <w:r w:rsidRPr="002C4077">
        <w:t xml:space="preserve"> </w:t>
      </w:r>
      <w:r>
        <w:t>suffit</w:t>
      </w:r>
      <w:r w:rsidRPr="002C4077">
        <w:t xml:space="preserve"> </w:t>
      </w:r>
      <w:r>
        <w:t>d’admettre</w:t>
      </w:r>
      <w:r w:rsidRPr="002C4077">
        <w:t xml:space="preserve"> </w:t>
      </w:r>
      <w:r>
        <w:t>un</w:t>
      </w:r>
      <w:r w:rsidRPr="002C4077">
        <w:t xml:space="preserve"> </w:t>
      </w:r>
      <w:r>
        <w:t>seul</w:t>
      </w:r>
      <w:r w:rsidRPr="002C4077">
        <w:t xml:space="preserve"> </w:t>
      </w:r>
      <w:r>
        <w:t>dogme,</w:t>
      </w:r>
      <w:r w:rsidRPr="002C4077">
        <w:t xml:space="preserve"> </w:t>
      </w:r>
      <w:r>
        <w:t>l’unité</w:t>
      </w:r>
      <w:r w:rsidRPr="002C4077">
        <w:t xml:space="preserve"> </w:t>
      </w:r>
      <w:r>
        <w:t>de</w:t>
      </w:r>
      <w:r w:rsidRPr="002C4077">
        <w:t xml:space="preserve"> </w:t>
      </w:r>
      <w:r>
        <w:t>Dieu,</w:t>
      </w:r>
      <w:r w:rsidRPr="002C4077">
        <w:t xml:space="preserve"> </w:t>
      </w:r>
      <w:r>
        <w:t>pour</w:t>
      </w:r>
      <w:r w:rsidRPr="002C4077">
        <w:t xml:space="preserve"> </w:t>
      </w:r>
      <w:r>
        <w:t>demeurer</w:t>
      </w:r>
      <w:r w:rsidRPr="002C4077">
        <w:t xml:space="preserve"> </w:t>
      </w:r>
      <w:r>
        <w:t>un</w:t>
      </w:r>
      <w:r w:rsidRPr="002C4077">
        <w:t xml:space="preserve"> </w:t>
      </w:r>
      <w:r>
        <w:t>Juif</w:t>
      </w:r>
      <w:r w:rsidRPr="002C4077">
        <w:t xml:space="preserve"> </w:t>
      </w:r>
      <w:r>
        <w:t>fidèle</w:t>
      </w:r>
      <w:r w:rsidR="00B91AF7">
        <w:rPr>
          <w:rStyle w:val="Appelnotedebasdep"/>
        </w:rPr>
        <w:footnoteReference w:id="845"/>
      </w:r>
      <w:r w:rsidR="00B546AF">
        <w:t> ?</w:t>
      </w:r>
      <w:r w:rsidRPr="002C4077">
        <w:t xml:space="preserve"> </w:t>
      </w:r>
      <w:r>
        <w:t>Plus</w:t>
      </w:r>
      <w:r w:rsidRPr="002C4077">
        <w:t xml:space="preserve"> </w:t>
      </w:r>
      <w:r>
        <w:t>récemment</w:t>
      </w:r>
      <w:r w:rsidRPr="002C4077">
        <w:t xml:space="preserve"> </w:t>
      </w:r>
      <w:r>
        <w:t>encore,</w:t>
      </w:r>
      <w:r w:rsidRPr="002C4077">
        <w:t xml:space="preserve"> </w:t>
      </w:r>
      <w:r>
        <w:t>dans</w:t>
      </w:r>
      <w:r w:rsidRPr="002C4077">
        <w:t xml:space="preserve"> </w:t>
      </w:r>
      <w:r>
        <w:t>une</w:t>
      </w:r>
      <w:r w:rsidRPr="002C4077">
        <w:t xml:space="preserve"> </w:t>
      </w:r>
      <w:r>
        <w:t>assemblée</w:t>
      </w:r>
      <w:r w:rsidRPr="002C4077">
        <w:t xml:space="preserve"> </w:t>
      </w:r>
      <w:r>
        <w:t>de</w:t>
      </w:r>
      <w:r w:rsidRPr="002C4077">
        <w:t xml:space="preserve"> </w:t>
      </w:r>
      <w:r>
        <w:t>rabbins</w:t>
      </w:r>
      <w:r w:rsidRPr="002C4077">
        <w:t xml:space="preserve"> </w:t>
      </w:r>
      <w:r>
        <w:t>de</w:t>
      </w:r>
      <w:r w:rsidRPr="002C4077">
        <w:t xml:space="preserve"> </w:t>
      </w:r>
      <w:r>
        <w:t>la</w:t>
      </w:r>
      <w:r w:rsidRPr="002C4077">
        <w:t xml:space="preserve"> </w:t>
      </w:r>
      <w:r>
        <w:t>Prusse</w:t>
      </w:r>
      <w:r w:rsidRPr="002C4077">
        <w:t xml:space="preserve"> </w:t>
      </w:r>
      <w:r>
        <w:t>orientale</w:t>
      </w:r>
      <w:r w:rsidRPr="002C4077">
        <w:t xml:space="preserve"> </w:t>
      </w:r>
      <w:r>
        <w:t>et</w:t>
      </w:r>
      <w:r w:rsidRPr="002C4077">
        <w:t xml:space="preserve"> </w:t>
      </w:r>
      <w:r>
        <w:t>occidentale,</w:t>
      </w:r>
      <w:r w:rsidRPr="002C4077">
        <w:t xml:space="preserve"> </w:t>
      </w:r>
      <w:r>
        <w:t>l’un</w:t>
      </w:r>
      <w:r w:rsidRPr="002C4077">
        <w:t xml:space="preserve"> </w:t>
      </w:r>
      <w:r>
        <w:t>des</w:t>
      </w:r>
      <w:r w:rsidRPr="002C4077">
        <w:t xml:space="preserve"> </w:t>
      </w:r>
      <w:r>
        <w:t>membres</w:t>
      </w:r>
      <w:r w:rsidRPr="002C4077">
        <w:t xml:space="preserve"> </w:t>
      </w:r>
      <w:r>
        <w:t>présents,</w:t>
      </w:r>
      <w:r w:rsidRPr="002C4077">
        <w:t xml:space="preserve"> </w:t>
      </w:r>
      <w:r>
        <w:t>M.</w:t>
      </w:r>
      <w:r w:rsidRPr="002C4077">
        <w:t xml:space="preserve"> </w:t>
      </w:r>
      <w:r>
        <w:t>le</w:t>
      </w:r>
      <w:r w:rsidRPr="002C4077">
        <w:t xml:space="preserve"> </w:t>
      </w:r>
      <w:r>
        <w:t>D</w:t>
      </w:r>
      <w:r>
        <w:rPr>
          <w:vertAlign w:val="superscript"/>
        </w:rPr>
        <w:t>r</w:t>
      </w:r>
      <w:r w:rsidR="000F4CEC" w:rsidRPr="002C4077">
        <w:t xml:space="preserve"> </w:t>
      </w:r>
      <w:r w:rsidR="000F4CEC">
        <w:t>Rü</w:t>
      </w:r>
      <w:r>
        <w:t>lf,</w:t>
      </w:r>
      <w:r w:rsidRPr="002C4077">
        <w:t xml:space="preserve"> </w:t>
      </w:r>
      <w:r>
        <w:t>ne</w:t>
      </w:r>
      <w:r w:rsidRPr="002C4077">
        <w:t xml:space="preserve"> </w:t>
      </w:r>
      <w:r>
        <w:t>commençait-il</w:t>
      </w:r>
      <w:r w:rsidRPr="002C4077">
        <w:t xml:space="preserve"> </w:t>
      </w:r>
      <w:r>
        <w:t>pas</w:t>
      </w:r>
      <w:r w:rsidRPr="002C4077">
        <w:t xml:space="preserve"> </w:t>
      </w:r>
      <w:r>
        <w:t>un</w:t>
      </w:r>
      <w:r w:rsidRPr="002C4077">
        <w:t xml:space="preserve"> </w:t>
      </w:r>
      <w:r>
        <w:t>rapport</w:t>
      </w:r>
      <w:r w:rsidRPr="002C4077">
        <w:t xml:space="preserve"> </w:t>
      </w:r>
      <w:r>
        <w:t>théologique</w:t>
      </w:r>
      <w:r w:rsidRPr="002C4077">
        <w:t xml:space="preserve"> </w:t>
      </w:r>
      <w:r>
        <w:t>par</w:t>
      </w:r>
      <w:r w:rsidRPr="002C4077">
        <w:t xml:space="preserve"> </w:t>
      </w:r>
      <w:r>
        <w:t>ces</w:t>
      </w:r>
      <w:r w:rsidRPr="002C4077">
        <w:t xml:space="preserve"> </w:t>
      </w:r>
      <w:r>
        <w:t>mots</w:t>
      </w:r>
      <w:r w:rsidRPr="002C4077">
        <w:t xml:space="preserve"> </w:t>
      </w:r>
      <w:r>
        <w:t>significatifs</w:t>
      </w:r>
      <w:r w:rsidR="00B546AF">
        <w:t> :</w:t>
      </w:r>
      <w:r w:rsidRPr="002C4077">
        <w:t xml:space="preserve"> </w:t>
      </w:r>
      <w:r w:rsidR="00B546AF">
        <w:t>« </w:t>
      </w:r>
      <w:r>
        <w:t>Le</w:t>
      </w:r>
      <w:r w:rsidRPr="002C4077">
        <w:t xml:space="preserve"> </w:t>
      </w:r>
      <w:r>
        <w:t>Judaïsme</w:t>
      </w:r>
      <w:r w:rsidRPr="002C4077">
        <w:t xml:space="preserve"> </w:t>
      </w:r>
      <w:r>
        <w:t>n’a</w:t>
      </w:r>
      <w:r w:rsidRPr="002C4077">
        <w:t xml:space="preserve"> </w:t>
      </w:r>
      <w:r>
        <w:t>point</w:t>
      </w:r>
      <w:r w:rsidRPr="002C4077">
        <w:t xml:space="preserve"> </w:t>
      </w:r>
      <w:r>
        <w:t>de</w:t>
      </w:r>
      <w:r w:rsidRPr="002C4077">
        <w:t xml:space="preserve"> </w:t>
      </w:r>
      <w:r w:rsidRPr="000A34B5">
        <w:rPr>
          <w:rStyle w:val="italicus"/>
        </w:rPr>
        <w:t>dogmatique</w:t>
      </w:r>
      <w:r w:rsidR="000F4CEC">
        <w:rPr>
          <w:rStyle w:val="Appelnotedebasdep"/>
          <w:i/>
        </w:rPr>
        <w:footnoteReference w:id="846"/>
      </w:r>
      <w:r w:rsidR="00B546AF" w:rsidRPr="000F4CEC">
        <w:t> ! »</w:t>
      </w:r>
      <w:r w:rsidRPr="002C4077">
        <w:t xml:space="preserve"> </w:t>
      </w:r>
    </w:p>
    <w:p w:rsidR="000A7AAB" w:rsidRDefault="000A7AAB" w:rsidP="000A7AAB">
      <w:r>
        <w:t>En</w:t>
      </w:r>
      <w:r w:rsidRPr="002C4077">
        <w:t xml:space="preserve"> </w:t>
      </w:r>
      <w:r>
        <w:t>effet,</w:t>
      </w:r>
      <w:r w:rsidRPr="002C4077">
        <w:t xml:space="preserve"> </w:t>
      </w:r>
      <w:r>
        <w:t>j’ai</w:t>
      </w:r>
      <w:r w:rsidRPr="002C4077">
        <w:t xml:space="preserve"> </w:t>
      </w:r>
      <w:r>
        <w:t>sous</w:t>
      </w:r>
      <w:r w:rsidRPr="002C4077">
        <w:t xml:space="preserve"> </w:t>
      </w:r>
      <w:r>
        <w:t>les</w:t>
      </w:r>
      <w:r w:rsidRPr="002C4077">
        <w:t xml:space="preserve"> </w:t>
      </w:r>
      <w:r>
        <w:t>yeux</w:t>
      </w:r>
      <w:r w:rsidRPr="002C4077">
        <w:t xml:space="preserve"> </w:t>
      </w:r>
      <w:r>
        <w:t>les</w:t>
      </w:r>
      <w:r w:rsidRPr="002C4077">
        <w:t xml:space="preserve"> </w:t>
      </w:r>
      <w:r w:rsidRPr="000A34B5">
        <w:rPr>
          <w:rStyle w:val="italicus"/>
        </w:rPr>
        <w:t>Le</w:t>
      </w:r>
      <w:r w:rsidR="003B53FD" w:rsidRPr="000A34B5">
        <w:rPr>
          <w:rStyle w:val="italicus"/>
        </w:rPr>
        <w:t>zi</w:t>
      </w:r>
      <w:r w:rsidR="003B53FD">
        <w:rPr>
          <w:rStyle w:val="italicus"/>
        </w:rPr>
        <w:t>o</w:t>
      </w:r>
      <w:r w:rsidR="003B53FD" w:rsidRPr="000A34B5">
        <w:rPr>
          <w:rStyle w:val="italicus"/>
        </w:rPr>
        <w:t>ni</w:t>
      </w:r>
      <w:r w:rsidRPr="002C4077">
        <w:t xml:space="preserve"> </w:t>
      </w:r>
      <w:r w:rsidRPr="000A34B5">
        <w:rPr>
          <w:rStyle w:val="italicus"/>
        </w:rPr>
        <w:t>di</w:t>
      </w:r>
      <w:r w:rsidRPr="002C4077">
        <w:t xml:space="preserve"> </w:t>
      </w:r>
      <w:r w:rsidRPr="000A34B5">
        <w:rPr>
          <w:rStyle w:val="italicus"/>
        </w:rPr>
        <w:t>Teol</w:t>
      </w:r>
      <w:r w:rsidR="000F4CEC">
        <w:rPr>
          <w:rStyle w:val="italicus"/>
        </w:rPr>
        <w:t>o</w:t>
      </w:r>
      <w:r w:rsidR="003B53FD" w:rsidRPr="000A34B5">
        <w:rPr>
          <w:rStyle w:val="italicus"/>
        </w:rPr>
        <w:t>gia</w:t>
      </w:r>
      <w:r w:rsidRPr="002C4077">
        <w:t xml:space="preserve"> </w:t>
      </w:r>
      <w:r w:rsidR="00846153" w:rsidRPr="000A34B5">
        <w:rPr>
          <w:rStyle w:val="italicus"/>
        </w:rPr>
        <w:t>dogmática</w:t>
      </w:r>
      <w:r w:rsidRPr="002C4077">
        <w:t xml:space="preserve"> </w:t>
      </w:r>
      <w:r w:rsidRPr="000A34B5">
        <w:rPr>
          <w:rStyle w:val="italicus"/>
        </w:rPr>
        <w:t>israël</w:t>
      </w:r>
      <w:r w:rsidR="00846153">
        <w:rPr>
          <w:rStyle w:val="italicus"/>
        </w:rPr>
        <w:t>í</w:t>
      </w:r>
      <w:r w:rsidRPr="000A34B5">
        <w:rPr>
          <w:rStyle w:val="italicus"/>
        </w:rPr>
        <w:t>ti</w:t>
      </w:r>
      <w:r w:rsidR="00F6492C" w:rsidRPr="000A34B5">
        <w:rPr>
          <w:rStyle w:val="italicus"/>
        </w:rPr>
        <w:t>ca</w:t>
      </w:r>
      <w:r w:rsidR="00F6492C">
        <w:rPr>
          <w:rStyle w:val="Appelnotedebasdep"/>
          <w:i/>
        </w:rPr>
        <w:footnoteReference w:id="847"/>
      </w:r>
      <w:r w:rsidR="00F6492C" w:rsidRPr="000A34B5">
        <w:rPr>
          <w:rStyle w:val="italicus"/>
        </w:rPr>
        <w:t>,</w:t>
      </w:r>
      <w:r w:rsidRPr="002C4077">
        <w:t xml:space="preserve"> </w:t>
      </w:r>
      <w:r>
        <w:t>ouvrage</w:t>
      </w:r>
      <w:r w:rsidRPr="002C4077">
        <w:t xml:space="preserve"> </w:t>
      </w:r>
      <w:r>
        <w:t>composé</w:t>
      </w:r>
      <w:r w:rsidRPr="002C4077">
        <w:t xml:space="preserve"> </w:t>
      </w:r>
      <w:r>
        <w:t>par</w:t>
      </w:r>
      <w:r w:rsidRPr="002C4077">
        <w:t xml:space="preserve"> </w:t>
      </w:r>
      <w:r>
        <w:t>le</w:t>
      </w:r>
      <w:r w:rsidRPr="002C4077">
        <w:t xml:space="preserve"> </w:t>
      </w:r>
      <w:r>
        <w:t>célèbre</w:t>
      </w:r>
      <w:r w:rsidRPr="002C4077">
        <w:t xml:space="preserve"> </w:t>
      </w:r>
      <w:r>
        <w:t>S.</w:t>
      </w:r>
      <w:r w:rsidRPr="002C4077">
        <w:t xml:space="preserve"> </w:t>
      </w:r>
      <w:r>
        <w:t>D.</w:t>
      </w:r>
      <w:r w:rsidRPr="002C4077">
        <w:t xml:space="preserve"> </w:t>
      </w:r>
      <w:r>
        <w:t>L</w:t>
      </w:r>
      <w:r w:rsidR="000F4CEC">
        <w:t>uzza</w:t>
      </w:r>
      <w:r w:rsidR="003B53FD">
        <w:t>to</w:t>
      </w:r>
      <w:r>
        <w:t>,</w:t>
      </w:r>
      <w:r w:rsidRPr="002C4077">
        <w:t xml:space="preserve"> </w:t>
      </w:r>
      <w:r>
        <w:t>professeur</w:t>
      </w:r>
      <w:r w:rsidRPr="002C4077">
        <w:t xml:space="preserve"> </w:t>
      </w:r>
      <w:r>
        <w:t>à</w:t>
      </w:r>
      <w:r w:rsidRPr="002C4077">
        <w:t xml:space="preserve"> </w:t>
      </w:r>
      <w:r>
        <w:t>l’Institut</w:t>
      </w:r>
      <w:r w:rsidRPr="002C4077">
        <w:t xml:space="preserve"> </w:t>
      </w:r>
      <w:r>
        <w:t>rabbinique</w:t>
      </w:r>
      <w:r w:rsidRPr="002C4077">
        <w:t xml:space="preserve"> </w:t>
      </w:r>
      <w:r>
        <w:t>de</w:t>
      </w:r>
      <w:r w:rsidRPr="002C4077">
        <w:t xml:space="preserve"> </w:t>
      </w:r>
      <w:r>
        <w:t>P</w:t>
      </w:r>
      <w:r w:rsidR="001730C6">
        <w:t>ad</w:t>
      </w:r>
      <w:r>
        <w:t>oue</w:t>
      </w:r>
      <w:r w:rsidR="00B546AF">
        <w:t> :</w:t>
      </w:r>
      <w:r w:rsidRPr="002C4077">
        <w:t xml:space="preserve"> </w:t>
      </w:r>
      <w:r>
        <w:t>je</w:t>
      </w:r>
      <w:r w:rsidRPr="002C4077">
        <w:t xml:space="preserve"> </w:t>
      </w:r>
      <w:r>
        <w:t>n’agis</w:t>
      </w:r>
      <w:r w:rsidRPr="002C4077">
        <w:t xml:space="preserve"> </w:t>
      </w:r>
      <w:r>
        <w:t>pas</w:t>
      </w:r>
      <w:r w:rsidRPr="002C4077">
        <w:t xml:space="preserve"> </w:t>
      </w:r>
      <w:r>
        <w:t>en</w:t>
      </w:r>
      <w:r w:rsidRPr="002C4077">
        <w:t xml:space="preserve"> </w:t>
      </w:r>
      <w:r>
        <w:t>traître,</w:t>
      </w:r>
      <w:r w:rsidRPr="002C4077">
        <w:t xml:space="preserve"> </w:t>
      </w:r>
      <w:r>
        <w:t>car</w:t>
      </w:r>
      <w:r w:rsidRPr="002C4077">
        <w:t xml:space="preserve"> </w:t>
      </w:r>
      <w:r>
        <w:t>c’est</w:t>
      </w:r>
      <w:r w:rsidRPr="002C4077">
        <w:t xml:space="preserve"> </w:t>
      </w:r>
      <w:r>
        <w:t>le</w:t>
      </w:r>
      <w:r w:rsidRPr="002C4077">
        <w:t xml:space="preserve"> </w:t>
      </w:r>
      <w:r w:rsidRPr="000A34B5">
        <w:rPr>
          <w:rStyle w:val="italicus"/>
        </w:rPr>
        <w:t>Manuel</w:t>
      </w:r>
      <w:r w:rsidRPr="002C4077">
        <w:t xml:space="preserve"> </w:t>
      </w:r>
      <w:r>
        <w:t>que</w:t>
      </w:r>
      <w:r w:rsidRPr="002C4077">
        <w:t xml:space="preserve"> </w:t>
      </w:r>
      <w:r>
        <w:t>les</w:t>
      </w:r>
      <w:r w:rsidRPr="002C4077">
        <w:t xml:space="preserve"> </w:t>
      </w:r>
      <w:r>
        <w:t>Juifs</w:t>
      </w:r>
      <w:r w:rsidRPr="002C4077">
        <w:t xml:space="preserve"> </w:t>
      </w:r>
      <w:r>
        <w:t>recommandent</w:t>
      </w:r>
      <w:r w:rsidRPr="002C4077">
        <w:t xml:space="preserve"> </w:t>
      </w:r>
      <w:r>
        <w:t>entre</w:t>
      </w:r>
      <w:r w:rsidRPr="002C4077">
        <w:t xml:space="preserve"> </w:t>
      </w:r>
      <w:r>
        <w:t>tous</w:t>
      </w:r>
      <w:r w:rsidRPr="002C4077">
        <w:t xml:space="preserve"> </w:t>
      </w:r>
      <w:r>
        <w:t>les</w:t>
      </w:r>
      <w:r w:rsidRPr="002C4077">
        <w:t xml:space="preserve"> </w:t>
      </w:r>
      <w:r>
        <w:t>autres</w:t>
      </w:r>
      <w:r w:rsidRPr="002C4077">
        <w:t xml:space="preserve"> </w:t>
      </w:r>
      <w:r>
        <w:t>à</w:t>
      </w:r>
      <w:r w:rsidRPr="002C4077">
        <w:t xml:space="preserve"> </w:t>
      </w:r>
      <w:r>
        <w:t>ceux</w:t>
      </w:r>
      <w:r w:rsidRPr="002C4077">
        <w:t xml:space="preserve"> </w:t>
      </w:r>
      <w:r>
        <w:t>qui</w:t>
      </w:r>
      <w:r w:rsidRPr="002C4077">
        <w:t xml:space="preserve"> </w:t>
      </w:r>
      <w:r>
        <w:t>veulent</w:t>
      </w:r>
      <w:r w:rsidRPr="002C4077">
        <w:t xml:space="preserve"> </w:t>
      </w:r>
      <w:r>
        <w:t>étudier</w:t>
      </w:r>
      <w:r w:rsidRPr="002C4077">
        <w:t xml:space="preserve"> </w:t>
      </w:r>
      <w:r>
        <w:t>leur</w:t>
      </w:r>
      <w:r w:rsidRPr="002C4077">
        <w:t xml:space="preserve"> </w:t>
      </w:r>
      <w:r>
        <w:t>dogme.</w:t>
      </w:r>
      <w:r w:rsidRPr="002C4077">
        <w:t xml:space="preserve"> </w:t>
      </w:r>
      <w:r>
        <w:t>Cette</w:t>
      </w:r>
      <w:r w:rsidRPr="002C4077">
        <w:t xml:space="preserve"> </w:t>
      </w:r>
      <w:r>
        <w:t>œuvre</w:t>
      </w:r>
      <w:r w:rsidRPr="002C4077">
        <w:t xml:space="preserve"> </w:t>
      </w:r>
      <w:r>
        <w:t>scientifique</w:t>
      </w:r>
      <w:r w:rsidRPr="002C4077">
        <w:t xml:space="preserve"> </w:t>
      </w:r>
      <w:r w:rsidR="00425C50">
        <w:t>est</w:t>
      </w:r>
      <w:r w:rsidRPr="002C4077">
        <w:t xml:space="preserve"> </w:t>
      </w:r>
      <w:r>
        <w:t>une</w:t>
      </w:r>
      <w:r w:rsidRPr="002C4077">
        <w:t xml:space="preserve"> </w:t>
      </w:r>
      <w:r>
        <w:t>brochure</w:t>
      </w:r>
      <w:r w:rsidRPr="002C4077">
        <w:t xml:space="preserve"> </w:t>
      </w:r>
      <w:r>
        <w:t>de</w:t>
      </w:r>
      <w:r w:rsidRPr="002C4077">
        <w:t xml:space="preserve"> </w:t>
      </w:r>
      <w:r>
        <w:t>61</w:t>
      </w:r>
      <w:r w:rsidRPr="002C4077">
        <w:t xml:space="preserve"> </w:t>
      </w:r>
      <w:r>
        <w:t>pages</w:t>
      </w:r>
      <w:r w:rsidRPr="002C4077">
        <w:t xml:space="preserve"> </w:t>
      </w:r>
      <w:r>
        <w:t>in-8°</w:t>
      </w:r>
      <w:r w:rsidR="00B546AF">
        <w:t> !</w:t>
      </w:r>
      <w:r w:rsidR="00C45B47">
        <w:t xml:space="preserve"> {</w:t>
      </w:r>
      <w:r w:rsidR="001F5257">
        <w:t>276</w:t>
      </w:r>
      <w:bookmarkStart w:id="674" w:name="p276"/>
      <w:bookmarkEnd w:id="674"/>
      <w:r w:rsidR="001F5257">
        <w:t xml:space="preserve">} </w:t>
      </w:r>
      <w:r>
        <w:t>Encore</w:t>
      </w:r>
      <w:r w:rsidRPr="002C4077">
        <w:t xml:space="preserve"> </w:t>
      </w:r>
      <w:r>
        <w:t>dois-je</w:t>
      </w:r>
      <w:r w:rsidRPr="002C4077">
        <w:t xml:space="preserve"> </w:t>
      </w:r>
      <w:r>
        <w:t>dire</w:t>
      </w:r>
      <w:r w:rsidRPr="002C4077">
        <w:t xml:space="preserve"> </w:t>
      </w:r>
      <w:r>
        <w:t>qu’à</w:t>
      </w:r>
      <w:r w:rsidRPr="002C4077">
        <w:t xml:space="preserve"> </w:t>
      </w:r>
      <w:r>
        <w:t>la</w:t>
      </w:r>
      <w:r w:rsidRPr="002C4077">
        <w:t xml:space="preserve"> </w:t>
      </w:r>
      <w:r>
        <w:t>page</w:t>
      </w:r>
      <w:r w:rsidRPr="002C4077">
        <w:t xml:space="preserve"> </w:t>
      </w:r>
      <w:r>
        <w:t>30</w:t>
      </w:r>
      <w:r w:rsidRPr="002C4077">
        <w:t xml:space="preserve"> </w:t>
      </w:r>
      <w:r>
        <w:t>commence</w:t>
      </w:r>
      <w:r w:rsidRPr="002C4077">
        <w:t xml:space="preserve"> </w:t>
      </w:r>
      <w:r>
        <w:t>un</w:t>
      </w:r>
      <w:r w:rsidRPr="002C4077">
        <w:t xml:space="preserve"> </w:t>
      </w:r>
      <w:r w:rsidRPr="000A34B5">
        <w:rPr>
          <w:rStyle w:val="italicus"/>
        </w:rPr>
        <w:t>Appendice</w:t>
      </w:r>
      <w:r w:rsidRPr="002C4077">
        <w:t xml:space="preserve"> </w:t>
      </w:r>
      <w:r>
        <w:t>bibliographique</w:t>
      </w:r>
      <w:r w:rsidR="00B91AF7">
        <w:rPr>
          <w:rStyle w:val="Appelnotedebasdep"/>
        </w:rPr>
        <w:footnoteReference w:id="848"/>
      </w:r>
      <w:r w:rsidRPr="002C4077">
        <w:t xml:space="preserve"> </w:t>
      </w:r>
      <w:r>
        <w:t>qui</w:t>
      </w:r>
      <w:r w:rsidRPr="002C4077">
        <w:t xml:space="preserve"> </w:t>
      </w:r>
      <w:r>
        <w:t>ne</w:t>
      </w:r>
      <w:r w:rsidRPr="002C4077">
        <w:t xml:space="preserve"> </w:t>
      </w:r>
      <w:r>
        <w:t>s’achève</w:t>
      </w:r>
      <w:r w:rsidRPr="002C4077">
        <w:t xml:space="preserve"> </w:t>
      </w:r>
      <w:r>
        <w:t>qu’avec</w:t>
      </w:r>
      <w:r w:rsidRPr="002C4077">
        <w:t xml:space="preserve"> </w:t>
      </w:r>
      <w:r>
        <w:t>le</w:t>
      </w:r>
      <w:r w:rsidRPr="002C4077">
        <w:t xml:space="preserve"> </w:t>
      </w:r>
      <w:r>
        <w:t>volume.</w:t>
      </w:r>
      <w:r w:rsidRPr="002C4077">
        <w:t xml:space="preserve"> </w:t>
      </w:r>
      <w:r>
        <w:t>Dans</w:t>
      </w:r>
      <w:r w:rsidRPr="002C4077">
        <w:t xml:space="preserve"> </w:t>
      </w:r>
      <w:r>
        <w:t>ce</w:t>
      </w:r>
      <w:r w:rsidRPr="002C4077">
        <w:t xml:space="preserve"> </w:t>
      </w:r>
      <w:r>
        <w:t>manuel</w:t>
      </w:r>
      <w:r w:rsidRPr="002C4077">
        <w:t xml:space="preserve"> </w:t>
      </w:r>
      <w:r>
        <w:t>du</w:t>
      </w:r>
      <w:r w:rsidRPr="002C4077">
        <w:t xml:space="preserve"> </w:t>
      </w:r>
      <w:r>
        <w:t>dogme</w:t>
      </w:r>
      <w:r w:rsidRPr="002C4077">
        <w:t xml:space="preserve"> </w:t>
      </w:r>
      <w:r>
        <w:t>israélite,</w:t>
      </w:r>
      <w:r w:rsidRPr="002C4077">
        <w:t xml:space="preserve"> </w:t>
      </w:r>
      <w:r>
        <w:t>j’ai</w:t>
      </w:r>
      <w:r w:rsidRPr="002C4077">
        <w:t xml:space="preserve"> </w:t>
      </w:r>
      <w:r>
        <w:t>cherché</w:t>
      </w:r>
      <w:r w:rsidRPr="002C4077">
        <w:t xml:space="preserve"> </w:t>
      </w:r>
      <w:r>
        <w:t>tout</w:t>
      </w:r>
      <w:r w:rsidRPr="002C4077">
        <w:t xml:space="preserve"> </w:t>
      </w:r>
      <w:r>
        <w:t>à</w:t>
      </w:r>
      <w:r w:rsidRPr="002C4077">
        <w:t xml:space="preserve"> </w:t>
      </w:r>
      <w:r>
        <w:t>fait</w:t>
      </w:r>
      <w:r w:rsidRPr="002C4077">
        <w:t xml:space="preserve"> </w:t>
      </w:r>
      <w:r>
        <w:t>en</w:t>
      </w:r>
      <w:r w:rsidRPr="002C4077">
        <w:t xml:space="preserve"> </w:t>
      </w:r>
      <w:r>
        <w:t>vain</w:t>
      </w:r>
      <w:r w:rsidRPr="002C4077">
        <w:t xml:space="preserve"> </w:t>
      </w:r>
      <w:r>
        <w:t>le</w:t>
      </w:r>
      <w:r w:rsidRPr="002C4077">
        <w:t xml:space="preserve"> </w:t>
      </w:r>
      <w:r>
        <w:t>nom</w:t>
      </w:r>
      <w:r w:rsidRPr="002C4077">
        <w:t xml:space="preserve"> </w:t>
      </w:r>
      <w:r>
        <w:t>du</w:t>
      </w:r>
      <w:bookmarkStart w:id="675" w:name="z_Dogme_o2"/>
      <w:bookmarkEnd w:id="675"/>
      <w:r w:rsidRPr="002C4077">
        <w:t xml:space="preserve"> </w:t>
      </w:r>
      <w:r>
        <w:t>Messie</w:t>
      </w:r>
      <w:r w:rsidR="00B546AF">
        <w:t> !</w:t>
      </w:r>
      <w:r w:rsidRPr="002C4077">
        <w:t xml:space="preserve"> </w:t>
      </w:r>
    </w:p>
    <w:p w:rsidR="007E4381" w:rsidRDefault="007E4381" w:rsidP="000A7AAB"/>
    <w:p w:rsidR="000A7AAB" w:rsidRDefault="000A7AAB" w:rsidP="000A7AAB">
      <w:r>
        <w:lastRenderedPageBreak/>
        <w:t>La</w:t>
      </w:r>
      <w:bookmarkStart w:id="676" w:name="z_CateIsraelite_o8"/>
      <w:bookmarkEnd w:id="676"/>
      <w:r w:rsidRPr="002C4077">
        <w:t xml:space="preserve"> </w:t>
      </w:r>
      <w:r>
        <w:t>morale</w:t>
      </w:r>
      <w:r w:rsidRPr="002C4077">
        <w:t xml:space="preserve"> </w:t>
      </w:r>
      <w:r>
        <w:t>du</w:t>
      </w:r>
      <w:r w:rsidRPr="002C4077">
        <w:t xml:space="preserve"> </w:t>
      </w:r>
      <w:r>
        <w:t>catéchisme</w:t>
      </w:r>
      <w:r w:rsidRPr="002C4077">
        <w:t xml:space="preserve"> </w:t>
      </w:r>
      <w:r>
        <w:t>juif</w:t>
      </w:r>
      <w:r w:rsidRPr="002C4077">
        <w:t xml:space="preserve"> </w:t>
      </w:r>
      <w:r>
        <w:t>compensera-t-elle</w:t>
      </w:r>
      <w:r w:rsidRPr="002C4077">
        <w:t xml:space="preserve"> </w:t>
      </w:r>
      <w:r>
        <w:t>du</w:t>
      </w:r>
      <w:r w:rsidRPr="002C4077">
        <w:t xml:space="preserve"> </w:t>
      </w:r>
      <w:r>
        <w:t>moins,</w:t>
      </w:r>
      <w:r w:rsidRPr="002C4077">
        <w:t xml:space="preserve"> </w:t>
      </w:r>
      <w:r>
        <w:t>par</w:t>
      </w:r>
      <w:r w:rsidRPr="002C4077">
        <w:t xml:space="preserve"> </w:t>
      </w:r>
      <w:r>
        <w:t>son</w:t>
      </w:r>
      <w:r w:rsidRPr="002C4077">
        <w:t xml:space="preserve"> </w:t>
      </w:r>
      <w:r>
        <w:t>élévation,</w:t>
      </w:r>
      <w:r w:rsidRPr="002C4077">
        <w:t xml:space="preserve"> </w:t>
      </w:r>
      <w:r>
        <w:t>par</w:t>
      </w:r>
      <w:r w:rsidRPr="002C4077">
        <w:t xml:space="preserve"> </w:t>
      </w:r>
      <w:r>
        <w:t>ses</w:t>
      </w:r>
      <w:r w:rsidRPr="002C4077">
        <w:t xml:space="preserve"> </w:t>
      </w:r>
      <w:r>
        <w:t>beautés,</w:t>
      </w:r>
      <w:r w:rsidRPr="002C4077">
        <w:t xml:space="preserve"> </w:t>
      </w:r>
      <w:r>
        <w:t>le</w:t>
      </w:r>
      <w:r w:rsidRPr="002C4077">
        <w:t xml:space="preserve"> </w:t>
      </w:r>
      <w:r>
        <w:t>notable</w:t>
      </w:r>
      <w:r w:rsidRPr="002C4077">
        <w:t xml:space="preserve"> </w:t>
      </w:r>
      <w:r>
        <w:t>défaut</w:t>
      </w:r>
      <w:r w:rsidRPr="002C4077">
        <w:t xml:space="preserve"> </w:t>
      </w:r>
      <w:r>
        <w:t>que</w:t>
      </w:r>
      <w:r w:rsidRPr="002C4077">
        <w:t xml:space="preserve"> </w:t>
      </w:r>
      <w:r>
        <w:t>nous</w:t>
      </w:r>
      <w:r w:rsidRPr="002C4077">
        <w:t xml:space="preserve"> </w:t>
      </w:r>
      <w:r>
        <w:t>venons</w:t>
      </w:r>
      <w:r w:rsidRPr="002C4077">
        <w:t xml:space="preserve"> </w:t>
      </w:r>
      <w:r>
        <w:t>de</w:t>
      </w:r>
      <w:r w:rsidRPr="002C4077">
        <w:t xml:space="preserve"> </w:t>
      </w:r>
      <w:r>
        <w:t>signaler</w:t>
      </w:r>
      <w:r w:rsidR="00B546AF">
        <w:t> ?</w:t>
      </w:r>
      <w:r w:rsidRPr="002C4077">
        <w:t xml:space="preserve"> </w:t>
      </w:r>
    </w:p>
    <w:p w:rsidR="000A7AAB" w:rsidRDefault="000A7AAB" w:rsidP="000A7AAB">
      <w:r>
        <w:t>C’est</w:t>
      </w:r>
      <w:r w:rsidRPr="002C4077">
        <w:t xml:space="preserve"> </w:t>
      </w:r>
      <w:r>
        <w:t>comme</w:t>
      </w:r>
      <w:r w:rsidRPr="002C4077">
        <w:t xml:space="preserve"> </w:t>
      </w:r>
      <w:r>
        <w:t>un</w:t>
      </w:r>
      <w:r w:rsidRPr="002C4077">
        <w:t xml:space="preserve"> </w:t>
      </w:r>
      <w:r>
        <w:t>mot</w:t>
      </w:r>
      <w:r w:rsidRPr="002C4077">
        <w:t xml:space="preserve"> </w:t>
      </w:r>
      <w:r>
        <w:t>d’ordre</w:t>
      </w:r>
      <w:r w:rsidRPr="002C4077">
        <w:t xml:space="preserve"> </w:t>
      </w:r>
      <w:r>
        <w:t>aujourd’hui</w:t>
      </w:r>
      <w:r w:rsidRPr="002C4077">
        <w:t xml:space="preserve"> </w:t>
      </w:r>
      <w:r>
        <w:t>parmi</w:t>
      </w:r>
      <w:r w:rsidRPr="002C4077">
        <w:t xml:space="preserve"> </w:t>
      </w:r>
      <w:r>
        <w:t>les</w:t>
      </w:r>
      <w:r w:rsidRPr="002C4077">
        <w:t xml:space="preserve"> </w:t>
      </w:r>
      <w:r>
        <w:t>Israélites</w:t>
      </w:r>
      <w:r w:rsidR="00B546AF">
        <w:t> :</w:t>
      </w:r>
      <w:r w:rsidRPr="002C4077">
        <w:t xml:space="preserve"> </w:t>
      </w:r>
      <w:r>
        <w:t>à</w:t>
      </w:r>
      <w:r w:rsidRPr="002C4077">
        <w:t xml:space="preserve"> </w:t>
      </w:r>
      <w:r>
        <w:t>chaque</w:t>
      </w:r>
      <w:r w:rsidRPr="002C4077">
        <w:t xml:space="preserve"> </w:t>
      </w:r>
      <w:r>
        <w:t>instant,</w:t>
      </w:r>
      <w:r w:rsidRPr="002C4077">
        <w:t xml:space="preserve"> </w:t>
      </w:r>
      <w:r>
        <w:t>dans</w:t>
      </w:r>
      <w:r w:rsidRPr="002C4077">
        <w:t xml:space="preserve"> </w:t>
      </w:r>
      <w:r>
        <w:t>de</w:t>
      </w:r>
      <w:r w:rsidRPr="002C4077">
        <w:t xml:space="preserve"> </w:t>
      </w:r>
      <w:r>
        <w:t>volumineux</w:t>
      </w:r>
      <w:r w:rsidRPr="002C4077">
        <w:t xml:space="preserve"> </w:t>
      </w:r>
      <w:r>
        <w:t>ouvrages,</w:t>
      </w:r>
      <w:r w:rsidRPr="002C4077">
        <w:t xml:space="preserve"> </w:t>
      </w:r>
      <w:r>
        <w:t>en</w:t>
      </w:r>
      <w:r w:rsidRPr="002C4077">
        <w:t xml:space="preserve"> </w:t>
      </w:r>
      <w:r>
        <w:t>de</w:t>
      </w:r>
      <w:r w:rsidRPr="002C4077">
        <w:t xml:space="preserve"> </w:t>
      </w:r>
      <w:r>
        <w:t>petites</w:t>
      </w:r>
      <w:r w:rsidRPr="002C4077">
        <w:t xml:space="preserve"> </w:t>
      </w:r>
      <w:r>
        <w:t>brochures,</w:t>
      </w:r>
      <w:r w:rsidRPr="002C4077">
        <w:t xml:space="preserve"> </w:t>
      </w:r>
      <w:r>
        <w:t>dans</w:t>
      </w:r>
      <w:r w:rsidRPr="002C4077">
        <w:t xml:space="preserve"> </w:t>
      </w:r>
      <w:r>
        <w:t>les</w:t>
      </w:r>
      <w:r w:rsidRPr="002C4077">
        <w:t xml:space="preserve"> </w:t>
      </w:r>
      <w:r>
        <w:t>revues,</w:t>
      </w:r>
      <w:r w:rsidRPr="002C4077">
        <w:t xml:space="preserve"> </w:t>
      </w:r>
      <w:r>
        <w:t>dans</w:t>
      </w:r>
      <w:r w:rsidRPr="002C4077">
        <w:t xml:space="preserve"> </w:t>
      </w:r>
      <w:r>
        <w:t>les</w:t>
      </w:r>
      <w:r w:rsidRPr="002C4077">
        <w:t xml:space="preserve"> </w:t>
      </w:r>
      <w:r>
        <w:t>journaux,</w:t>
      </w:r>
      <w:r w:rsidRPr="002C4077">
        <w:t xml:space="preserve"> </w:t>
      </w:r>
      <w:r>
        <w:t>sous</w:t>
      </w:r>
      <w:r w:rsidRPr="002C4077">
        <w:t xml:space="preserve"> </w:t>
      </w:r>
      <w:r>
        <w:t>n’importe</w:t>
      </w:r>
      <w:r w:rsidRPr="002C4077">
        <w:t xml:space="preserve"> </w:t>
      </w:r>
      <w:r>
        <w:t>quel</w:t>
      </w:r>
      <w:r w:rsidRPr="002C4077">
        <w:t xml:space="preserve"> </w:t>
      </w:r>
      <w:r>
        <w:t>prétexte,</w:t>
      </w:r>
      <w:r w:rsidRPr="002C4077">
        <w:t xml:space="preserve"> </w:t>
      </w:r>
      <w:r>
        <w:t>leurs</w:t>
      </w:r>
      <w:r w:rsidRPr="002C4077">
        <w:t xml:space="preserve"> </w:t>
      </w:r>
      <w:r>
        <w:t>écrivains</w:t>
      </w:r>
      <w:r w:rsidRPr="002C4077">
        <w:t xml:space="preserve"> </w:t>
      </w:r>
      <w:r>
        <w:t>se</w:t>
      </w:r>
      <w:r w:rsidRPr="002C4077">
        <w:t xml:space="preserve"> </w:t>
      </w:r>
      <w:r>
        <w:t>complaisent</w:t>
      </w:r>
      <w:r w:rsidRPr="002C4077">
        <w:t xml:space="preserve"> </w:t>
      </w:r>
      <w:r>
        <w:t>à</w:t>
      </w:r>
      <w:r w:rsidRPr="002C4077">
        <w:t xml:space="preserve"> </w:t>
      </w:r>
      <w:r>
        <w:t>rappeler</w:t>
      </w:r>
      <w:r w:rsidRPr="002C4077">
        <w:t xml:space="preserve"> </w:t>
      </w:r>
      <w:r>
        <w:t>au</w:t>
      </w:r>
      <w:r w:rsidRPr="002C4077">
        <w:t xml:space="preserve"> </w:t>
      </w:r>
      <w:r>
        <w:t>monde</w:t>
      </w:r>
      <w:r w:rsidRPr="002C4077">
        <w:t xml:space="preserve"> </w:t>
      </w:r>
      <w:r>
        <w:t>que</w:t>
      </w:r>
      <w:r w:rsidRPr="002C4077">
        <w:t xml:space="preserve"> </w:t>
      </w:r>
      <w:r>
        <w:t>la</w:t>
      </w:r>
      <w:r w:rsidRPr="002C4077">
        <w:t xml:space="preserve"> </w:t>
      </w:r>
      <w:r>
        <w:t>morale</w:t>
      </w:r>
      <w:r w:rsidRPr="002C4077">
        <w:t xml:space="preserve"> </w:t>
      </w:r>
      <w:r>
        <w:t>juive</w:t>
      </w:r>
      <w:r w:rsidRPr="002C4077">
        <w:t xml:space="preserve"> </w:t>
      </w:r>
      <w:r w:rsidR="00425C50">
        <w:t>est</w:t>
      </w:r>
      <w:r w:rsidRPr="002C4077">
        <w:t xml:space="preserve"> </w:t>
      </w:r>
      <w:r>
        <w:t>pour</w:t>
      </w:r>
      <w:r w:rsidRPr="002C4077">
        <w:t xml:space="preserve"> </w:t>
      </w:r>
      <w:r>
        <w:t>le</w:t>
      </w:r>
      <w:r w:rsidRPr="002C4077">
        <w:t xml:space="preserve"> </w:t>
      </w:r>
      <w:r>
        <w:t>moins</w:t>
      </w:r>
      <w:r w:rsidRPr="002C4077">
        <w:t xml:space="preserve"> </w:t>
      </w:r>
      <w:r>
        <w:t>l’égale</w:t>
      </w:r>
      <w:r w:rsidRPr="002C4077">
        <w:t xml:space="preserve"> </w:t>
      </w:r>
      <w:r>
        <w:t>de</w:t>
      </w:r>
      <w:r w:rsidRPr="002C4077">
        <w:t xml:space="preserve"> </w:t>
      </w:r>
      <w:r>
        <w:t>la</w:t>
      </w:r>
      <w:r w:rsidRPr="002C4077">
        <w:t xml:space="preserve"> </w:t>
      </w:r>
      <w:r>
        <w:t>morale</w:t>
      </w:r>
      <w:r w:rsidRPr="002C4077">
        <w:t xml:space="preserve"> </w:t>
      </w:r>
      <w:r>
        <w:t>chrétienne,</w:t>
      </w:r>
      <w:r w:rsidRPr="002C4077">
        <w:t xml:space="preserve"> </w:t>
      </w:r>
      <w:r>
        <w:t>que</w:t>
      </w:r>
      <w:r w:rsidRPr="002C4077">
        <w:t xml:space="preserve"> </w:t>
      </w:r>
      <w:r>
        <w:t>celle-ci</w:t>
      </w:r>
      <w:r w:rsidRPr="002C4077">
        <w:t xml:space="preserve"> </w:t>
      </w:r>
      <w:r>
        <w:t>n’est</w:t>
      </w:r>
      <w:r w:rsidRPr="002C4077">
        <w:t xml:space="preserve"> </w:t>
      </w:r>
      <w:r>
        <w:t>après</w:t>
      </w:r>
      <w:r w:rsidRPr="002C4077">
        <w:t xml:space="preserve"> </w:t>
      </w:r>
      <w:r>
        <w:t>tout</w:t>
      </w:r>
      <w:r w:rsidRPr="002C4077">
        <w:t xml:space="preserve"> </w:t>
      </w:r>
      <w:r>
        <w:t>qu’un</w:t>
      </w:r>
      <w:r w:rsidRPr="002C4077">
        <w:t xml:space="preserve"> </w:t>
      </w:r>
      <w:r>
        <w:t>emprunt</w:t>
      </w:r>
      <w:r w:rsidRPr="002C4077">
        <w:t xml:space="preserve"> </w:t>
      </w:r>
      <w:r>
        <w:t>fait</w:t>
      </w:r>
      <w:r w:rsidRPr="002C4077">
        <w:t xml:space="preserve"> </w:t>
      </w:r>
      <w:r>
        <w:t>à</w:t>
      </w:r>
      <w:r w:rsidRPr="002C4077">
        <w:t xml:space="preserve"> </w:t>
      </w:r>
      <w:r>
        <w:t>celle-là,</w:t>
      </w:r>
      <w:r w:rsidRPr="002C4077">
        <w:t xml:space="preserve"> </w:t>
      </w:r>
      <w:r w:rsidR="00425C50">
        <w:t>etc</w:t>
      </w:r>
      <w:r>
        <w:t>.,</w:t>
      </w:r>
      <w:r w:rsidRPr="002C4077">
        <w:t xml:space="preserve"> </w:t>
      </w:r>
      <w:r w:rsidR="00425C50">
        <w:t>etc</w:t>
      </w:r>
      <w:r>
        <w:t>.</w:t>
      </w:r>
      <w:r w:rsidRPr="002C4077">
        <w:t xml:space="preserve"> </w:t>
      </w:r>
      <w:r>
        <w:t>Nous</w:t>
      </w:r>
      <w:r w:rsidRPr="002C4077">
        <w:t xml:space="preserve"> </w:t>
      </w:r>
      <w:r>
        <w:t>pourrions</w:t>
      </w:r>
      <w:r w:rsidRPr="002C4077">
        <w:t xml:space="preserve"> </w:t>
      </w:r>
      <w:r>
        <w:t>bien</w:t>
      </w:r>
      <w:r w:rsidRPr="002C4077">
        <w:t xml:space="preserve"> </w:t>
      </w:r>
      <w:r>
        <w:t>un</w:t>
      </w:r>
      <w:r w:rsidRPr="002C4077">
        <w:t xml:space="preserve"> </w:t>
      </w:r>
      <w:r>
        <w:t>jour</w:t>
      </w:r>
      <w:r w:rsidRPr="002C4077">
        <w:t xml:space="preserve"> </w:t>
      </w:r>
      <w:r>
        <w:t>examiner</w:t>
      </w:r>
      <w:r w:rsidRPr="002C4077">
        <w:t xml:space="preserve"> </w:t>
      </w:r>
      <w:r>
        <w:t>directement</w:t>
      </w:r>
      <w:r w:rsidRPr="002C4077">
        <w:t xml:space="preserve"> </w:t>
      </w:r>
      <w:r>
        <w:t>cette</w:t>
      </w:r>
      <w:r w:rsidRPr="002C4077">
        <w:t xml:space="preserve"> </w:t>
      </w:r>
      <w:r>
        <w:t>question</w:t>
      </w:r>
      <w:r w:rsidR="00B546AF">
        <w:t> ;</w:t>
      </w:r>
      <w:r w:rsidRPr="002C4077">
        <w:t xml:space="preserve"> </w:t>
      </w:r>
      <w:r>
        <w:t>mais</w:t>
      </w:r>
      <w:r w:rsidRPr="002C4077">
        <w:t xml:space="preserve"> </w:t>
      </w:r>
      <w:r>
        <w:t>qu’il</w:t>
      </w:r>
      <w:r w:rsidRPr="002C4077">
        <w:t xml:space="preserve"> </w:t>
      </w:r>
      <w:r>
        <w:t>suffise</w:t>
      </w:r>
      <w:r w:rsidRPr="002C4077">
        <w:t xml:space="preserve"> </w:t>
      </w:r>
      <w:r>
        <w:t>aujourd’hui</w:t>
      </w:r>
      <w:r w:rsidRPr="002C4077">
        <w:t xml:space="preserve"> </w:t>
      </w:r>
      <w:r>
        <w:t>de</w:t>
      </w:r>
      <w:r w:rsidRPr="002C4077">
        <w:t xml:space="preserve"> </w:t>
      </w:r>
      <w:r>
        <w:t>juger</w:t>
      </w:r>
      <w:r w:rsidRPr="002C4077">
        <w:t xml:space="preserve"> </w:t>
      </w:r>
      <w:r>
        <w:t>la</w:t>
      </w:r>
      <w:r w:rsidRPr="002C4077">
        <w:t xml:space="preserve"> </w:t>
      </w:r>
      <w:r>
        <w:t>morale</w:t>
      </w:r>
      <w:r w:rsidRPr="002C4077">
        <w:t xml:space="preserve"> </w:t>
      </w:r>
      <w:r>
        <w:t>du</w:t>
      </w:r>
      <w:r w:rsidRPr="002C4077">
        <w:t xml:space="preserve"> </w:t>
      </w:r>
      <w:r w:rsidRPr="000A34B5">
        <w:rPr>
          <w:rStyle w:val="italicus"/>
        </w:rPr>
        <w:t>Précis</w:t>
      </w:r>
      <w:r w:rsidRPr="002C4077">
        <w:t xml:space="preserve"> </w:t>
      </w:r>
      <w:r w:rsidRPr="000A34B5">
        <w:rPr>
          <w:rStyle w:val="italicus"/>
        </w:rPr>
        <w:t>élémentaire</w:t>
      </w:r>
      <w:r w:rsidRPr="002C4077">
        <w:t xml:space="preserve"> </w:t>
      </w:r>
      <w:r>
        <w:t>que</w:t>
      </w:r>
      <w:r w:rsidRPr="002C4077">
        <w:t xml:space="preserve"> </w:t>
      </w:r>
      <w:r>
        <w:t>nous</w:t>
      </w:r>
      <w:r w:rsidRPr="002C4077">
        <w:t xml:space="preserve"> </w:t>
      </w:r>
      <w:r>
        <w:t>nous</w:t>
      </w:r>
      <w:r w:rsidRPr="002C4077">
        <w:t xml:space="preserve"> </w:t>
      </w:r>
      <w:r>
        <w:t>sommes</w:t>
      </w:r>
      <w:r w:rsidRPr="002C4077">
        <w:t xml:space="preserve"> </w:t>
      </w:r>
      <w:r>
        <w:t>proposé</w:t>
      </w:r>
      <w:r w:rsidRPr="002C4077">
        <w:t xml:space="preserve"> </w:t>
      </w:r>
      <w:r>
        <w:t>de</w:t>
      </w:r>
      <w:r w:rsidRPr="002C4077">
        <w:t xml:space="preserve"> </w:t>
      </w:r>
      <w:r>
        <w:t>faire</w:t>
      </w:r>
      <w:r w:rsidRPr="002C4077">
        <w:t xml:space="preserve"> </w:t>
      </w:r>
      <w:r>
        <w:t>connaître</w:t>
      </w:r>
      <w:r w:rsidRPr="002C4077">
        <w:t xml:space="preserve"> </w:t>
      </w:r>
      <w:r>
        <w:t>au</w:t>
      </w:r>
      <w:r w:rsidRPr="002C4077">
        <w:t xml:space="preserve"> </w:t>
      </w:r>
      <w:r>
        <w:t>public</w:t>
      </w:r>
      <w:r w:rsidRPr="002C4077">
        <w:t xml:space="preserve"> </w:t>
      </w:r>
      <w:r>
        <w:t>chrétien.</w:t>
      </w:r>
      <w:r w:rsidRPr="002C4077">
        <w:t xml:space="preserve"> </w:t>
      </w:r>
    </w:p>
    <w:p w:rsidR="000A7AAB" w:rsidRDefault="000A7AAB" w:rsidP="000A7AAB">
      <w:r>
        <w:t>Cette</w:t>
      </w:r>
      <w:r w:rsidRPr="002C4077">
        <w:t xml:space="preserve"> </w:t>
      </w:r>
      <w:r>
        <w:t>morale</w:t>
      </w:r>
      <w:r w:rsidRPr="002C4077">
        <w:t xml:space="preserve"> </w:t>
      </w:r>
      <w:r>
        <w:t>a</w:t>
      </w:r>
      <w:r w:rsidRPr="002C4077">
        <w:t xml:space="preserve"> </w:t>
      </w:r>
      <w:r>
        <w:t>certes</w:t>
      </w:r>
      <w:r w:rsidRPr="002C4077">
        <w:t xml:space="preserve"> </w:t>
      </w:r>
      <w:r>
        <w:t>d’admirables</w:t>
      </w:r>
      <w:r w:rsidRPr="002C4077">
        <w:t xml:space="preserve"> </w:t>
      </w:r>
      <w:r>
        <w:t>côtés</w:t>
      </w:r>
      <w:r w:rsidR="00B546AF">
        <w:t> ;</w:t>
      </w:r>
      <w:r w:rsidRPr="002C4077">
        <w:t xml:space="preserve"> </w:t>
      </w:r>
      <w:r>
        <w:t>car</w:t>
      </w:r>
      <w:r w:rsidRPr="002C4077">
        <w:t xml:space="preserve"> </w:t>
      </w:r>
      <w:r>
        <w:t>souvent</w:t>
      </w:r>
      <w:r w:rsidRPr="002C4077">
        <w:t xml:space="preserve"> </w:t>
      </w:r>
      <w:r>
        <w:t>le</w:t>
      </w:r>
      <w:r w:rsidRPr="002C4077">
        <w:t xml:space="preserve"> </w:t>
      </w:r>
      <w:r>
        <w:t>catéchisme</w:t>
      </w:r>
      <w:r w:rsidRPr="002C4077">
        <w:t xml:space="preserve"> </w:t>
      </w:r>
      <w:r>
        <w:t>israélite</w:t>
      </w:r>
      <w:r w:rsidRPr="002C4077">
        <w:t xml:space="preserve"> </w:t>
      </w:r>
      <w:r>
        <w:t>ne</w:t>
      </w:r>
      <w:r w:rsidRPr="002C4077">
        <w:t xml:space="preserve"> </w:t>
      </w:r>
      <w:r>
        <w:t>fait</w:t>
      </w:r>
      <w:r w:rsidRPr="002C4077">
        <w:t xml:space="preserve"> </w:t>
      </w:r>
      <w:r>
        <w:t>que</w:t>
      </w:r>
      <w:r w:rsidRPr="002C4077">
        <w:t xml:space="preserve"> </w:t>
      </w:r>
      <w:r>
        <w:t>résumer</w:t>
      </w:r>
      <w:r w:rsidRPr="002C4077">
        <w:t xml:space="preserve"> </w:t>
      </w:r>
      <w:r>
        <w:t>les</w:t>
      </w:r>
      <w:r w:rsidRPr="002C4077">
        <w:t xml:space="preserve"> </w:t>
      </w:r>
      <w:r>
        <w:t>instructions</w:t>
      </w:r>
      <w:r w:rsidRPr="002C4077">
        <w:t xml:space="preserve"> </w:t>
      </w:r>
      <w:r>
        <w:t>données</w:t>
      </w:r>
      <w:r w:rsidRPr="002C4077">
        <w:t xml:space="preserve"> </w:t>
      </w:r>
      <w:r>
        <w:t>aux</w:t>
      </w:r>
      <w:r w:rsidRPr="002C4077">
        <w:t xml:space="preserve"> </w:t>
      </w:r>
      <w:r>
        <w:t>Juifs</w:t>
      </w:r>
      <w:r w:rsidRPr="002C4077">
        <w:t xml:space="preserve"> </w:t>
      </w:r>
      <w:r>
        <w:t>par</w:t>
      </w:r>
      <w:r w:rsidRPr="002C4077">
        <w:t xml:space="preserve"> </w:t>
      </w:r>
      <w:r>
        <w:t>le</w:t>
      </w:r>
      <w:r w:rsidRPr="002C4077">
        <w:t xml:space="preserve"> </w:t>
      </w:r>
      <w:r>
        <w:t>Seigneur</w:t>
      </w:r>
      <w:r w:rsidRPr="002C4077">
        <w:t xml:space="preserve"> </w:t>
      </w:r>
      <w:r>
        <w:t>lui-même.</w:t>
      </w:r>
      <w:r w:rsidRPr="002C4077">
        <w:t xml:space="preserve"> </w:t>
      </w:r>
      <w:r>
        <w:t>Par</w:t>
      </w:r>
      <w:r w:rsidRPr="002C4077">
        <w:t xml:space="preserve"> </w:t>
      </w:r>
      <w:r>
        <w:t>exemple,</w:t>
      </w:r>
      <w:r w:rsidRPr="002C4077">
        <w:t xml:space="preserve"> </w:t>
      </w:r>
      <w:r>
        <w:t>dans</w:t>
      </w:r>
      <w:r w:rsidRPr="002C4077">
        <w:t xml:space="preserve"> </w:t>
      </w:r>
      <w:r>
        <w:t>la</w:t>
      </w:r>
      <w:r w:rsidRPr="002C4077">
        <w:t xml:space="preserve"> </w:t>
      </w:r>
      <w:r>
        <w:t>section</w:t>
      </w:r>
      <w:r w:rsidRPr="002C4077">
        <w:t xml:space="preserve"> </w:t>
      </w:r>
      <w:r>
        <w:t>première,</w:t>
      </w:r>
      <w:r w:rsidRPr="002C4077">
        <w:t xml:space="preserve"> </w:t>
      </w:r>
      <w:r>
        <w:t>les</w:t>
      </w:r>
      <w:r w:rsidRPr="002C4077">
        <w:t xml:space="preserve"> </w:t>
      </w:r>
      <w:r>
        <w:t>leçons</w:t>
      </w:r>
      <w:r w:rsidRPr="002C4077">
        <w:t xml:space="preserve"> </w:t>
      </w:r>
      <w:r>
        <w:t>qui</w:t>
      </w:r>
      <w:r w:rsidRPr="002C4077">
        <w:t xml:space="preserve"> </w:t>
      </w:r>
      <w:r>
        <w:t>traitent</w:t>
      </w:r>
      <w:r w:rsidRPr="002C4077">
        <w:t xml:space="preserve"> </w:t>
      </w:r>
      <w:r>
        <w:t>de</w:t>
      </w:r>
      <w:r w:rsidRPr="002C4077">
        <w:t xml:space="preserve"> </w:t>
      </w:r>
      <w:r>
        <w:t>la</w:t>
      </w:r>
      <w:r w:rsidRPr="002C4077">
        <w:t xml:space="preserve"> </w:t>
      </w:r>
      <w:r>
        <w:t>prière,</w:t>
      </w:r>
      <w:r w:rsidRPr="002C4077">
        <w:t xml:space="preserve"> </w:t>
      </w:r>
      <w:r>
        <w:t>du</w:t>
      </w:r>
      <w:r w:rsidRPr="002C4077">
        <w:t xml:space="preserve"> </w:t>
      </w:r>
      <w:r>
        <w:t>péché,</w:t>
      </w:r>
      <w:r w:rsidRPr="002C4077">
        <w:t xml:space="preserve"> </w:t>
      </w:r>
      <w:r>
        <w:t>de</w:t>
      </w:r>
      <w:r w:rsidRPr="002C4077">
        <w:t xml:space="preserve"> </w:t>
      </w:r>
      <w:r>
        <w:t>la</w:t>
      </w:r>
      <w:r w:rsidRPr="002C4077">
        <w:t xml:space="preserve"> </w:t>
      </w:r>
      <w:r>
        <w:t>pénitence</w:t>
      </w:r>
      <w:bookmarkStart w:id="677" w:name="z_Penitence_o1"/>
      <w:bookmarkEnd w:id="677"/>
      <w:r>
        <w:t>,</w:t>
      </w:r>
      <w:r w:rsidRPr="002C4077">
        <w:t xml:space="preserve"> </w:t>
      </w:r>
      <w:r>
        <w:t>sont</w:t>
      </w:r>
      <w:r w:rsidRPr="002C4077">
        <w:t xml:space="preserve"> </w:t>
      </w:r>
      <w:r>
        <w:t>en</w:t>
      </w:r>
      <w:r w:rsidRPr="002C4077">
        <w:t xml:space="preserve"> </w:t>
      </w:r>
      <w:r>
        <w:t>général</w:t>
      </w:r>
      <w:r w:rsidRPr="002C4077">
        <w:t xml:space="preserve"> </w:t>
      </w:r>
      <w:r>
        <w:t>assez</w:t>
      </w:r>
      <w:r w:rsidRPr="002C4077">
        <w:t xml:space="preserve"> </w:t>
      </w:r>
      <w:r>
        <w:t>bien</w:t>
      </w:r>
      <w:r w:rsidRPr="002C4077">
        <w:t xml:space="preserve"> </w:t>
      </w:r>
      <w:r>
        <w:t>réussies</w:t>
      </w:r>
      <w:r w:rsidR="00B91AF7">
        <w:rPr>
          <w:rStyle w:val="Appelnotedebasdep"/>
        </w:rPr>
        <w:footnoteReference w:id="849"/>
      </w:r>
      <w:r w:rsidR="00B546AF">
        <w:t> ;</w:t>
      </w:r>
      <w:r w:rsidR="00C45B47">
        <w:t xml:space="preserve"> {</w:t>
      </w:r>
      <w:r w:rsidR="001F5257">
        <w:t>277</w:t>
      </w:r>
      <w:bookmarkStart w:id="678" w:name="p277"/>
      <w:bookmarkEnd w:id="678"/>
      <w:r w:rsidR="001F5257">
        <w:t xml:space="preserve">} </w:t>
      </w:r>
      <w:r>
        <w:t>de</w:t>
      </w:r>
      <w:r w:rsidRPr="002C4077">
        <w:t xml:space="preserve"> </w:t>
      </w:r>
      <w:r>
        <w:t>même,</w:t>
      </w:r>
      <w:r w:rsidRPr="002C4077">
        <w:t xml:space="preserve"> </w:t>
      </w:r>
      <w:r>
        <w:t>dans</w:t>
      </w:r>
      <w:r w:rsidRPr="002C4077">
        <w:t xml:space="preserve"> </w:t>
      </w:r>
      <w:r>
        <w:t>la</w:t>
      </w:r>
      <w:r w:rsidRPr="002C4077">
        <w:t xml:space="preserve"> </w:t>
      </w:r>
      <w:r>
        <w:t>deuxième</w:t>
      </w:r>
      <w:r w:rsidRPr="002C4077">
        <w:t xml:space="preserve"> </w:t>
      </w:r>
      <w:r>
        <w:t>section,</w:t>
      </w:r>
      <w:r w:rsidRPr="002C4077">
        <w:t xml:space="preserve"> </w:t>
      </w:r>
      <w:r>
        <w:t>les</w:t>
      </w:r>
      <w:r w:rsidRPr="002C4077">
        <w:t xml:space="preserve"> </w:t>
      </w:r>
      <w:r>
        <w:t>chapitres</w:t>
      </w:r>
      <w:r w:rsidRPr="002C4077">
        <w:t xml:space="preserve"> </w:t>
      </w:r>
      <w:r>
        <w:t>I</w:t>
      </w:r>
      <w:r w:rsidRPr="004440EA">
        <w:t xml:space="preserve"> (</w:t>
      </w:r>
      <w:r>
        <w:t>Des</w:t>
      </w:r>
      <w:r w:rsidRPr="002C4077">
        <w:t xml:space="preserve"> </w:t>
      </w:r>
      <w:r>
        <w:t>devoirs</w:t>
      </w:r>
      <w:r w:rsidRPr="002C4077">
        <w:t xml:space="preserve"> </w:t>
      </w:r>
      <w:r>
        <w:t>de</w:t>
      </w:r>
      <w:r w:rsidRPr="002C4077">
        <w:t xml:space="preserve"> </w:t>
      </w:r>
      <w:r>
        <w:t>l’homme</w:t>
      </w:r>
      <w:r w:rsidRPr="002C4077">
        <w:t xml:space="preserve"> </w:t>
      </w:r>
      <w:r>
        <w:t>envers</w:t>
      </w:r>
      <w:r w:rsidRPr="002C4077">
        <w:t xml:space="preserve"> </w:t>
      </w:r>
      <w:r>
        <w:t>son</w:t>
      </w:r>
      <w:r w:rsidRPr="002C4077">
        <w:t xml:space="preserve"> </w:t>
      </w:r>
      <w:r>
        <w:t>prochain</w:t>
      </w:r>
      <w:r w:rsidR="00B546AF" w:rsidRPr="002C4077">
        <w:t>)</w:t>
      </w:r>
      <w:r w:rsidRPr="00950016">
        <w:t>,</w:t>
      </w:r>
      <w:r w:rsidRPr="002C4077">
        <w:t xml:space="preserve"> </w:t>
      </w:r>
      <w:r>
        <w:t>et</w:t>
      </w:r>
      <w:r w:rsidRPr="002C4077">
        <w:t xml:space="preserve"> </w:t>
      </w:r>
      <w:r>
        <w:t>II</w:t>
      </w:r>
      <w:r w:rsidRPr="004440EA">
        <w:t xml:space="preserve"> (</w:t>
      </w:r>
      <w:r>
        <w:t>Du</w:t>
      </w:r>
      <w:r w:rsidRPr="002C4077">
        <w:t xml:space="preserve"> </w:t>
      </w:r>
      <w:r>
        <w:t>respect</w:t>
      </w:r>
      <w:r w:rsidRPr="002C4077">
        <w:t xml:space="preserve"> </w:t>
      </w:r>
      <w:r>
        <w:t>envers</w:t>
      </w:r>
      <w:r w:rsidRPr="002C4077">
        <w:t xml:space="preserve"> </w:t>
      </w:r>
      <w:r>
        <w:t>nos</w:t>
      </w:r>
      <w:r w:rsidRPr="002C4077">
        <w:t xml:space="preserve"> </w:t>
      </w:r>
      <w:r>
        <w:t>parents</w:t>
      </w:r>
      <w:r w:rsidRPr="002C4077">
        <w:t xml:space="preserve"> </w:t>
      </w:r>
      <w:r>
        <w:t>et</w:t>
      </w:r>
      <w:r w:rsidRPr="002C4077">
        <w:t xml:space="preserve"> </w:t>
      </w:r>
      <w:r>
        <w:t>nos</w:t>
      </w:r>
      <w:r w:rsidRPr="002C4077">
        <w:t xml:space="preserve"> </w:t>
      </w:r>
      <w:r>
        <w:t>supérieurs</w:t>
      </w:r>
      <w:r w:rsidRPr="002C4077">
        <w:t xml:space="preserve"> </w:t>
      </w:r>
      <w:r>
        <w:t>et</w:t>
      </w:r>
      <w:r w:rsidRPr="002C4077">
        <w:t xml:space="preserve"> </w:t>
      </w:r>
      <w:r>
        <w:t>des</w:t>
      </w:r>
      <w:r w:rsidRPr="002C4077">
        <w:t xml:space="preserve"> </w:t>
      </w:r>
      <w:r>
        <w:t>égards</w:t>
      </w:r>
      <w:r w:rsidRPr="002C4077">
        <w:t xml:space="preserve"> </w:t>
      </w:r>
      <w:r>
        <w:t>envers</w:t>
      </w:r>
      <w:r w:rsidRPr="002C4077">
        <w:t xml:space="preserve"> </w:t>
      </w:r>
      <w:r>
        <w:t>nos</w:t>
      </w:r>
      <w:r w:rsidRPr="002C4077">
        <w:t xml:space="preserve"> </w:t>
      </w:r>
      <w:r>
        <w:t>égaux</w:t>
      </w:r>
      <w:r w:rsidRPr="002C4077">
        <w:t xml:space="preserve"> </w:t>
      </w:r>
      <w:r>
        <w:t>et</w:t>
      </w:r>
      <w:r w:rsidRPr="002C4077">
        <w:t xml:space="preserve"> </w:t>
      </w:r>
      <w:r>
        <w:t>nos</w:t>
      </w:r>
      <w:r w:rsidRPr="002C4077">
        <w:t xml:space="preserve"> </w:t>
      </w:r>
      <w:r>
        <w:t>inférieurs</w:t>
      </w:r>
      <w:r w:rsidR="00B546AF" w:rsidRPr="002C4077">
        <w:t>)</w:t>
      </w:r>
      <w:r>
        <w:t>.</w:t>
      </w:r>
      <w:r w:rsidRPr="002C4077">
        <w:t xml:space="preserve"> </w:t>
      </w:r>
    </w:p>
    <w:p w:rsidR="000A7AAB" w:rsidRDefault="000A7AAB" w:rsidP="000A7AAB">
      <w:r>
        <w:t>On</w:t>
      </w:r>
      <w:r w:rsidRPr="002C4077">
        <w:t xml:space="preserve"> </w:t>
      </w:r>
      <w:r>
        <w:t>ne</w:t>
      </w:r>
      <w:r w:rsidRPr="002C4077">
        <w:t xml:space="preserve"> </w:t>
      </w:r>
      <w:r>
        <w:t>saurait</w:t>
      </w:r>
      <w:r w:rsidRPr="002C4077">
        <w:t xml:space="preserve"> </w:t>
      </w:r>
      <w:r>
        <w:t>nier,</w:t>
      </w:r>
      <w:r w:rsidRPr="002C4077">
        <w:t xml:space="preserve"> </w:t>
      </w:r>
      <w:r>
        <w:t>d’ailleurs,</w:t>
      </w:r>
      <w:r w:rsidRPr="002C4077">
        <w:t xml:space="preserve"> </w:t>
      </w:r>
      <w:r>
        <w:t>tout</w:t>
      </w:r>
      <w:r w:rsidRPr="002C4077">
        <w:t xml:space="preserve"> </w:t>
      </w:r>
      <w:r>
        <w:t>au</w:t>
      </w:r>
      <w:r w:rsidRPr="002C4077">
        <w:t xml:space="preserve"> </w:t>
      </w:r>
      <w:r>
        <w:t>rebours</w:t>
      </w:r>
      <w:r w:rsidRPr="002C4077">
        <w:t xml:space="preserve"> </w:t>
      </w:r>
      <w:r>
        <w:t>de</w:t>
      </w:r>
      <w:r w:rsidRPr="002C4077">
        <w:t xml:space="preserve"> </w:t>
      </w:r>
      <w:r>
        <w:t>ce</w:t>
      </w:r>
      <w:r w:rsidRPr="002C4077">
        <w:t xml:space="preserve"> </w:t>
      </w:r>
      <w:r>
        <w:t>que</w:t>
      </w:r>
      <w:r w:rsidRPr="002C4077">
        <w:t xml:space="preserve"> </w:t>
      </w:r>
      <w:r>
        <w:t>prétendent</w:t>
      </w:r>
      <w:r w:rsidRPr="002C4077">
        <w:t xml:space="preserve"> </w:t>
      </w:r>
      <w:r>
        <w:t>les</w:t>
      </w:r>
      <w:r w:rsidRPr="002C4077">
        <w:t xml:space="preserve"> </w:t>
      </w:r>
      <w:r>
        <w:t>Juifs,</w:t>
      </w:r>
      <w:r w:rsidRPr="002C4077">
        <w:t xml:space="preserve"> </w:t>
      </w:r>
      <w:r>
        <w:t>que</w:t>
      </w:r>
      <w:r w:rsidRPr="002C4077">
        <w:t xml:space="preserve"> </w:t>
      </w:r>
      <w:r>
        <w:t>les</w:t>
      </w:r>
      <w:r w:rsidRPr="002C4077">
        <w:t xml:space="preserve"> </w:t>
      </w:r>
      <w:r>
        <w:t>préceptes</w:t>
      </w:r>
      <w:r w:rsidRPr="002C4077">
        <w:t xml:space="preserve"> </w:t>
      </w:r>
      <w:r>
        <w:t>évangél</w:t>
      </w:r>
      <w:r w:rsidR="001730C6">
        <w:t>iq</w:t>
      </w:r>
      <w:r>
        <w:t>ues,</w:t>
      </w:r>
      <w:r w:rsidRPr="002C4077">
        <w:t xml:space="preserve"> </w:t>
      </w:r>
      <w:r>
        <w:t>grâce</w:t>
      </w:r>
      <w:r w:rsidRPr="002C4077">
        <w:t xml:space="preserve"> </w:t>
      </w:r>
      <w:r>
        <w:t>auxquels</w:t>
      </w:r>
      <w:r w:rsidRPr="002C4077">
        <w:t xml:space="preserve"> </w:t>
      </w:r>
      <w:r>
        <w:t>a</w:t>
      </w:r>
      <w:r w:rsidRPr="002C4077">
        <w:t xml:space="preserve"> </w:t>
      </w:r>
      <w:r>
        <w:t>été</w:t>
      </w:r>
      <w:r w:rsidRPr="002C4077">
        <w:t xml:space="preserve"> </w:t>
      </w:r>
      <w:r>
        <w:t>transformé</w:t>
      </w:r>
      <w:r w:rsidRPr="002C4077">
        <w:t xml:space="preserve"> </w:t>
      </w:r>
      <w:r>
        <w:t>le</w:t>
      </w:r>
      <w:r w:rsidRPr="002C4077">
        <w:t xml:space="preserve"> </w:t>
      </w:r>
      <w:r>
        <w:t>monde,</w:t>
      </w:r>
      <w:r w:rsidRPr="002C4077">
        <w:t xml:space="preserve"> </w:t>
      </w:r>
      <w:r>
        <w:t>n’aient</w:t>
      </w:r>
      <w:r w:rsidRPr="002C4077">
        <w:t xml:space="preserve"> </w:t>
      </w:r>
      <w:r>
        <w:t>amélioré</w:t>
      </w:r>
      <w:r w:rsidRPr="002C4077">
        <w:t xml:space="preserve"> </w:t>
      </w:r>
      <w:r>
        <w:t>sur</w:t>
      </w:r>
      <w:r w:rsidRPr="002C4077">
        <w:t xml:space="preserve"> </w:t>
      </w:r>
      <w:r>
        <w:t>plus</w:t>
      </w:r>
      <w:r w:rsidRPr="002C4077">
        <w:t xml:space="preserve"> </w:t>
      </w:r>
      <w:r>
        <w:t>d’un</w:t>
      </w:r>
      <w:r w:rsidRPr="002C4077">
        <w:t xml:space="preserve"> </w:t>
      </w:r>
      <w:r>
        <w:t>point</w:t>
      </w:r>
      <w:r w:rsidRPr="002C4077">
        <w:t xml:space="preserve"> </w:t>
      </w:r>
      <w:r>
        <w:t>les</w:t>
      </w:r>
      <w:r w:rsidRPr="002C4077">
        <w:t xml:space="preserve"> </w:t>
      </w:r>
      <w:r>
        <w:t>mœurs</w:t>
      </w:r>
      <w:r w:rsidRPr="002C4077">
        <w:t xml:space="preserve"> </w:t>
      </w:r>
      <w:r>
        <w:t>d’Israël</w:t>
      </w:r>
      <w:r w:rsidRPr="002C4077">
        <w:t xml:space="preserve"> </w:t>
      </w:r>
      <w:r>
        <w:t>lui-même,</w:t>
      </w:r>
      <w:r w:rsidRPr="002C4077">
        <w:t xml:space="preserve"> </w:t>
      </w:r>
      <w:r>
        <w:t>quoique</w:t>
      </w:r>
      <w:r w:rsidRPr="002C4077">
        <w:t xml:space="preserve"> </w:t>
      </w:r>
      <w:r>
        <w:t>peut-être</w:t>
      </w:r>
      <w:r w:rsidRPr="002C4077">
        <w:t xml:space="preserve"> </w:t>
      </w:r>
      <w:r>
        <w:t>à</w:t>
      </w:r>
      <w:r w:rsidRPr="002C4077">
        <w:t xml:space="preserve"> </w:t>
      </w:r>
      <w:r>
        <w:t>son</w:t>
      </w:r>
      <w:r w:rsidRPr="002C4077">
        <w:t xml:space="preserve"> </w:t>
      </w:r>
      <w:r>
        <w:t>insu.</w:t>
      </w:r>
      <w:r w:rsidRPr="002C4077">
        <w:t xml:space="preserve"> </w:t>
      </w:r>
      <w:r>
        <w:t>C’est</w:t>
      </w:r>
      <w:r w:rsidRPr="002C4077">
        <w:t xml:space="preserve"> </w:t>
      </w:r>
      <w:r>
        <w:t>le</w:t>
      </w:r>
      <w:r w:rsidRPr="002C4077">
        <w:t xml:space="preserve"> </w:t>
      </w:r>
      <w:r>
        <w:t>cas</w:t>
      </w:r>
      <w:r w:rsidRPr="002C4077">
        <w:t xml:space="preserve"> </w:t>
      </w:r>
      <w:r>
        <w:t>assurément</w:t>
      </w:r>
      <w:r w:rsidRPr="002C4077">
        <w:t xml:space="preserve"> </w:t>
      </w:r>
      <w:r>
        <w:t>pour</w:t>
      </w:r>
      <w:r w:rsidRPr="002C4077">
        <w:t xml:space="preserve"> </w:t>
      </w:r>
      <w:r>
        <w:t>ce</w:t>
      </w:r>
      <w:r w:rsidRPr="002C4077">
        <w:t xml:space="preserve"> </w:t>
      </w:r>
      <w:r>
        <w:t>qui</w:t>
      </w:r>
      <w:r w:rsidRPr="002C4077">
        <w:t xml:space="preserve"> </w:t>
      </w:r>
      <w:r>
        <w:t>regarde</w:t>
      </w:r>
      <w:r w:rsidRPr="002C4077">
        <w:t xml:space="preserve"> </w:t>
      </w:r>
      <w:r>
        <w:t>la</w:t>
      </w:r>
      <w:r w:rsidRPr="002C4077">
        <w:t xml:space="preserve"> </w:t>
      </w:r>
      <w:r>
        <w:t>charité</w:t>
      </w:r>
      <w:r w:rsidRPr="002C4077">
        <w:t xml:space="preserve"> </w:t>
      </w:r>
      <w:r>
        <w:t>fraternelle,</w:t>
      </w:r>
      <w:r w:rsidRPr="002C4077">
        <w:t xml:space="preserve"> </w:t>
      </w:r>
      <w:r>
        <w:t>qui</w:t>
      </w:r>
      <w:r w:rsidRPr="002C4077">
        <w:t xml:space="preserve"> </w:t>
      </w:r>
      <w:r w:rsidR="00425C50">
        <w:t>est</w:t>
      </w:r>
      <w:r w:rsidRPr="002C4077">
        <w:t xml:space="preserve"> </w:t>
      </w:r>
      <w:r>
        <w:t>enseignée</w:t>
      </w:r>
      <w:r w:rsidRPr="002C4077">
        <w:t xml:space="preserve"> </w:t>
      </w:r>
      <w:r>
        <w:t>de</w:t>
      </w:r>
      <w:r w:rsidRPr="002C4077">
        <w:t xml:space="preserve"> </w:t>
      </w:r>
      <w:r>
        <w:t>la</w:t>
      </w:r>
      <w:r w:rsidRPr="002C4077">
        <w:t xml:space="preserve"> </w:t>
      </w:r>
      <w:r>
        <w:t>façon</w:t>
      </w:r>
      <w:r w:rsidRPr="002C4077">
        <w:t xml:space="preserve"> </w:t>
      </w:r>
      <w:r>
        <w:t>la</w:t>
      </w:r>
      <w:r w:rsidRPr="002C4077">
        <w:t xml:space="preserve"> </w:t>
      </w:r>
      <w:r>
        <w:t>plus</w:t>
      </w:r>
      <w:r w:rsidRPr="002C4077">
        <w:t xml:space="preserve"> </w:t>
      </w:r>
      <w:r>
        <w:t>large</w:t>
      </w:r>
      <w:r w:rsidRPr="002C4077">
        <w:t xml:space="preserve"> </w:t>
      </w:r>
      <w:r>
        <w:t>en</w:t>
      </w:r>
      <w:r w:rsidRPr="002C4077">
        <w:t xml:space="preserve"> </w:t>
      </w:r>
      <w:r>
        <w:t>divers</w:t>
      </w:r>
      <w:r w:rsidRPr="002C4077">
        <w:t xml:space="preserve"> </w:t>
      </w:r>
      <w:r>
        <w:t>endroits</w:t>
      </w:r>
      <w:r w:rsidRPr="002C4077">
        <w:t xml:space="preserve"> </w:t>
      </w:r>
      <w:r>
        <w:t>du</w:t>
      </w:r>
      <w:r w:rsidRPr="002C4077">
        <w:t xml:space="preserve"> </w:t>
      </w:r>
      <w:r w:rsidRPr="000A34B5">
        <w:rPr>
          <w:rStyle w:val="italicus"/>
        </w:rPr>
        <w:t>Précis</w:t>
      </w:r>
      <w:r w:rsidRPr="002C4077">
        <w:t xml:space="preserve"> </w:t>
      </w:r>
      <w:r w:rsidRPr="000A34B5">
        <w:rPr>
          <w:rStyle w:val="italicus"/>
        </w:rPr>
        <w:t>élémentaire.</w:t>
      </w:r>
      <w:r w:rsidRPr="002C4077">
        <w:t xml:space="preserve"> </w:t>
      </w:r>
      <w:r>
        <w:t>Mais</w:t>
      </w:r>
      <w:r w:rsidRPr="002C4077">
        <w:t xml:space="preserve"> </w:t>
      </w:r>
      <w:r>
        <w:t>il</w:t>
      </w:r>
      <w:r w:rsidRPr="002C4077">
        <w:t xml:space="preserve"> </w:t>
      </w:r>
      <w:r>
        <w:t>s’en</w:t>
      </w:r>
      <w:r w:rsidRPr="002C4077">
        <w:t xml:space="preserve"> </w:t>
      </w:r>
      <w:r>
        <w:t>faut</w:t>
      </w:r>
      <w:r w:rsidRPr="002C4077">
        <w:t xml:space="preserve"> </w:t>
      </w:r>
      <w:r>
        <w:t>que</w:t>
      </w:r>
      <w:r w:rsidRPr="002C4077">
        <w:t xml:space="preserve"> </w:t>
      </w:r>
      <w:r>
        <w:t>tout</w:t>
      </w:r>
      <w:r w:rsidRPr="002C4077">
        <w:t xml:space="preserve"> </w:t>
      </w:r>
      <w:r>
        <w:t>soit</w:t>
      </w:r>
      <w:r w:rsidRPr="002C4077">
        <w:t xml:space="preserve"> </w:t>
      </w:r>
      <w:r>
        <w:t>à</w:t>
      </w:r>
      <w:r w:rsidRPr="002C4077">
        <w:t xml:space="preserve"> </w:t>
      </w:r>
      <w:r>
        <w:t>cette</w:t>
      </w:r>
      <w:r w:rsidRPr="002C4077">
        <w:t xml:space="preserve"> </w:t>
      </w:r>
      <w:r>
        <w:t>hauteur.</w:t>
      </w:r>
      <w:r w:rsidRPr="002C4077">
        <w:t xml:space="preserve"> </w:t>
      </w:r>
      <w:r>
        <w:t>Combien</w:t>
      </w:r>
      <w:r w:rsidRPr="002C4077">
        <w:t xml:space="preserve"> </w:t>
      </w:r>
      <w:r>
        <w:t>de</w:t>
      </w:r>
      <w:r w:rsidRPr="002C4077">
        <w:t xml:space="preserve"> </w:t>
      </w:r>
      <w:r>
        <w:t>traits</w:t>
      </w:r>
      <w:r w:rsidRPr="002C4077">
        <w:t xml:space="preserve"> </w:t>
      </w:r>
      <w:r>
        <w:t>mesquins,</w:t>
      </w:r>
      <w:r w:rsidRPr="002C4077">
        <w:t xml:space="preserve"> </w:t>
      </w:r>
      <w:r>
        <w:t>terre</w:t>
      </w:r>
      <w:r w:rsidRPr="002C4077">
        <w:t xml:space="preserve"> </w:t>
      </w:r>
      <w:r>
        <w:t>à</w:t>
      </w:r>
      <w:r w:rsidRPr="002C4077">
        <w:t xml:space="preserve"> </w:t>
      </w:r>
      <w:r>
        <w:t>terre,</w:t>
      </w:r>
      <w:r w:rsidRPr="002C4077">
        <w:t xml:space="preserve"> </w:t>
      </w:r>
      <w:r>
        <w:t>qui</w:t>
      </w:r>
      <w:r w:rsidRPr="002C4077">
        <w:t xml:space="preserve"> </w:t>
      </w:r>
      <w:r>
        <w:t>défigurent</w:t>
      </w:r>
      <w:r w:rsidRPr="002C4077">
        <w:t xml:space="preserve"> </w:t>
      </w:r>
      <w:r>
        <w:t>les</w:t>
      </w:r>
      <w:r w:rsidRPr="002C4077">
        <w:t xml:space="preserve"> </w:t>
      </w:r>
      <w:r>
        <w:t>meilleures</w:t>
      </w:r>
      <w:r w:rsidRPr="002C4077">
        <w:t xml:space="preserve"> </w:t>
      </w:r>
      <w:r>
        <w:t>pages</w:t>
      </w:r>
      <w:r w:rsidR="00B546AF">
        <w:t> !</w:t>
      </w:r>
      <w:r w:rsidRPr="002C4077">
        <w:t xml:space="preserve"> </w:t>
      </w:r>
      <w:r>
        <w:t>Combien</w:t>
      </w:r>
      <w:r w:rsidRPr="002C4077">
        <w:t xml:space="preserve"> </w:t>
      </w:r>
      <w:r>
        <w:t>de</w:t>
      </w:r>
      <w:r w:rsidRPr="002C4077">
        <w:t xml:space="preserve"> </w:t>
      </w:r>
      <w:r>
        <w:t>pages</w:t>
      </w:r>
      <w:r w:rsidRPr="002C4077">
        <w:t xml:space="preserve"> </w:t>
      </w:r>
      <w:r>
        <w:t>entières</w:t>
      </w:r>
      <w:r w:rsidRPr="002C4077">
        <w:t xml:space="preserve"> </w:t>
      </w:r>
      <w:r>
        <w:t>qui</w:t>
      </w:r>
      <w:r w:rsidRPr="002C4077">
        <w:t xml:space="preserve"> </w:t>
      </w:r>
      <w:r>
        <w:t>ne</w:t>
      </w:r>
      <w:r w:rsidRPr="002C4077">
        <w:t xml:space="preserve"> </w:t>
      </w:r>
      <w:r>
        <w:t>respirent</w:t>
      </w:r>
      <w:r w:rsidRPr="002C4077">
        <w:t xml:space="preserve"> </w:t>
      </w:r>
      <w:r>
        <w:t>qu’un</w:t>
      </w:r>
      <w:r w:rsidRPr="002C4077">
        <w:t xml:space="preserve"> </w:t>
      </w:r>
      <w:r>
        <w:t>esprit</w:t>
      </w:r>
      <w:r w:rsidRPr="002C4077">
        <w:t xml:space="preserve"> </w:t>
      </w:r>
      <w:r>
        <w:t>d’égoïsme,</w:t>
      </w:r>
      <w:r w:rsidRPr="002C4077">
        <w:t xml:space="preserve"> </w:t>
      </w:r>
      <w:r>
        <w:t>et</w:t>
      </w:r>
      <w:r w:rsidRPr="002C4077">
        <w:t xml:space="preserve"> </w:t>
      </w:r>
      <w:r>
        <w:t>qui</w:t>
      </w:r>
      <w:r w:rsidRPr="002C4077">
        <w:t xml:space="preserve"> </w:t>
      </w:r>
      <w:r>
        <w:t>seraient</w:t>
      </w:r>
      <w:r w:rsidRPr="002C4077">
        <w:t xml:space="preserve"> </w:t>
      </w:r>
      <w:r>
        <w:t>beaucoup</w:t>
      </w:r>
      <w:r w:rsidRPr="002C4077">
        <w:t xml:space="preserve"> </w:t>
      </w:r>
      <w:r>
        <w:t>mieux</w:t>
      </w:r>
      <w:r w:rsidRPr="002C4077">
        <w:t xml:space="preserve"> </w:t>
      </w:r>
      <w:r>
        <w:t>à</w:t>
      </w:r>
      <w:r w:rsidRPr="002C4077">
        <w:t xml:space="preserve"> </w:t>
      </w:r>
      <w:r>
        <w:t>leur</w:t>
      </w:r>
      <w:r w:rsidRPr="002C4077">
        <w:t xml:space="preserve"> </w:t>
      </w:r>
      <w:r>
        <w:t>place</w:t>
      </w:r>
      <w:r w:rsidRPr="002C4077">
        <w:t xml:space="preserve"> </w:t>
      </w:r>
      <w:r>
        <w:t>dans</w:t>
      </w:r>
      <w:r w:rsidRPr="002C4077">
        <w:t xml:space="preserve"> </w:t>
      </w:r>
      <w:r>
        <w:t>un</w:t>
      </w:r>
      <w:r w:rsidRPr="002C4077">
        <w:t xml:space="preserve"> </w:t>
      </w:r>
      <w:r>
        <w:t>catéchisme</w:t>
      </w:r>
      <w:r w:rsidRPr="002C4077">
        <w:t xml:space="preserve"> </w:t>
      </w:r>
      <w:r>
        <w:t>de</w:t>
      </w:r>
      <w:r w:rsidRPr="002C4077">
        <w:t xml:space="preserve"> </w:t>
      </w:r>
      <w:r>
        <w:t>religion</w:t>
      </w:r>
      <w:r w:rsidRPr="002C4077">
        <w:t xml:space="preserve"> </w:t>
      </w:r>
      <w:r>
        <w:t>naturelle</w:t>
      </w:r>
      <w:bookmarkStart w:id="679" w:name="z_Morale_o1"/>
      <w:bookmarkEnd w:id="679"/>
      <w:r w:rsidR="00B546AF">
        <w:t> !</w:t>
      </w:r>
      <w:r w:rsidRPr="002C4077">
        <w:t xml:space="preserve"> </w:t>
      </w:r>
    </w:p>
    <w:p w:rsidR="000A7AAB" w:rsidRDefault="000A7AAB" w:rsidP="000A7AAB">
      <w:r>
        <w:t>Les</w:t>
      </w:r>
      <w:r w:rsidRPr="002C4077">
        <w:t xml:space="preserve"> </w:t>
      </w:r>
      <w:r>
        <w:t>exemples</w:t>
      </w:r>
      <w:r w:rsidRPr="002C4077">
        <w:t xml:space="preserve"> </w:t>
      </w:r>
      <w:r>
        <w:t>abondent</w:t>
      </w:r>
      <w:r w:rsidR="00B546AF">
        <w:t> :</w:t>
      </w:r>
      <w:r w:rsidRPr="002C4077">
        <w:t xml:space="preserve"> </w:t>
      </w:r>
      <w:r>
        <w:t>nous</w:t>
      </w:r>
      <w:r w:rsidRPr="002C4077">
        <w:t xml:space="preserve"> </w:t>
      </w:r>
      <w:r>
        <w:t>n’avons</w:t>
      </w:r>
      <w:r w:rsidRPr="002C4077">
        <w:t xml:space="preserve"> </w:t>
      </w:r>
      <w:r>
        <w:t>que</w:t>
      </w:r>
      <w:r w:rsidRPr="002C4077">
        <w:t xml:space="preserve"> </w:t>
      </w:r>
      <w:r>
        <w:t>l’embarras</w:t>
      </w:r>
      <w:r w:rsidRPr="002C4077">
        <w:t xml:space="preserve"> </w:t>
      </w:r>
      <w:r>
        <w:t>du</w:t>
      </w:r>
      <w:r w:rsidRPr="002C4077">
        <w:t xml:space="preserve"> </w:t>
      </w:r>
      <w:r>
        <w:t>choix.</w:t>
      </w:r>
      <w:r w:rsidRPr="002C4077">
        <w:t xml:space="preserve"> </w:t>
      </w:r>
    </w:p>
    <w:p w:rsidR="00942C4D" w:rsidRDefault="00942C4D" w:rsidP="007E4381">
      <w:pPr>
        <w:pStyle w:val="locus"/>
        <w:rPr>
          <w:rStyle w:val="italicus"/>
          <w:i w:val="0"/>
        </w:rPr>
      </w:pPr>
      <w:r w:rsidRPr="00B233D4">
        <w:rPr>
          <w:rStyle w:val="italicus"/>
          <w:i w:val="0"/>
        </w:rPr>
        <w:t>R.</w:t>
      </w:r>
      <w:r w:rsidRPr="002C4077">
        <w:t xml:space="preserve"> </w:t>
      </w:r>
      <w:r w:rsidRPr="00B233D4">
        <w:rPr>
          <w:rStyle w:val="italicus"/>
          <w:i w:val="0"/>
        </w:rPr>
        <w:t>Une</w:t>
      </w:r>
      <w:r w:rsidRPr="002C4077">
        <w:t xml:space="preserve"> </w:t>
      </w:r>
      <w:r w:rsidRPr="00B233D4">
        <w:rPr>
          <w:rStyle w:val="italicus"/>
          <w:i w:val="0"/>
        </w:rPr>
        <w:t>pénitence</w:t>
      </w:r>
      <w:r w:rsidRPr="002C4077">
        <w:t xml:space="preserve"> </w:t>
      </w:r>
      <w:r w:rsidRPr="00B233D4">
        <w:rPr>
          <w:rStyle w:val="italicus"/>
          <w:i w:val="0"/>
        </w:rPr>
        <w:t>sincère</w:t>
      </w:r>
      <w:r w:rsidRPr="002C4077">
        <w:t xml:space="preserve"> </w:t>
      </w:r>
      <w:r w:rsidRPr="00B233D4">
        <w:rPr>
          <w:rStyle w:val="italicus"/>
          <w:i w:val="0"/>
        </w:rPr>
        <w:t>a</w:t>
      </w:r>
      <w:r w:rsidRPr="002C4077">
        <w:t xml:space="preserve"> </w:t>
      </w:r>
      <w:r w:rsidRPr="00B233D4">
        <w:rPr>
          <w:rStyle w:val="italicus"/>
          <w:i w:val="0"/>
        </w:rPr>
        <w:t>pour</w:t>
      </w:r>
      <w:r w:rsidRPr="002C4077">
        <w:t xml:space="preserve"> </w:t>
      </w:r>
      <w:r w:rsidRPr="00B233D4">
        <w:rPr>
          <w:rStyle w:val="italicus"/>
          <w:i w:val="0"/>
        </w:rPr>
        <w:t>effet</w:t>
      </w:r>
      <w:r w:rsidRPr="002C4077">
        <w:t xml:space="preserve"> </w:t>
      </w:r>
      <w:r w:rsidRPr="00B233D4">
        <w:rPr>
          <w:rStyle w:val="italicus"/>
          <w:i w:val="0"/>
        </w:rPr>
        <w:t>d</w:t>
      </w:r>
      <w:r>
        <w:rPr>
          <w:rStyle w:val="italicus"/>
          <w:i w:val="0"/>
        </w:rPr>
        <w:t>’</w:t>
      </w:r>
      <w:r w:rsidRPr="00B233D4">
        <w:rPr>
          <w:rStyle w:val="italicus"/>
          <w:i w:val="0"/>
        </w:rPr>
        <w:t>opérer</w:t>
      </w:r>
      <w:r w:rsidRPr="002C4077">
        <w:t xml:space="preserve"> </w:t>
      </w:r>
      <w:r w:rsidRPr="00B233D4">
        <w:rPr>
          <w:rStyle w:val="italicus"/>
          <w:i w:val="0"/>
        </w:rPr>
        <w:t>la</w:t>
      </w:r>
      <w:r w:rsidRPr="002C4077">
        <w:t xml:space="preserve"> </w:t>
      </w:r>
      <w:r w:rsidRPr="00B233D4">
        <w:rPr>
          <w:rStyle w:val="italicus"/>
          <w:i w:val="0"/>
        </w:rPr>
        <w:t>réconciliation</w:t>
      </w:r>
      <w:r w:rsidRPr="002C4077">
        <w:t xml:space="preserve"> </w:t>
      </w:r>
      <w:r w:rsidRPr="00B233D4">
        <w:rPr>
          <w:rStyle w:val="italicus"/>
          <w:i w:val="0"/>
        </w:rPr>
        <w:t>du</w:t>
      </w:r>
      <w:r w:rsidRPr="002C4077">
        <w:t xml:space="preserve"> </w:t>
      </w:r>
      <w:r w:rsidRPr="00B233D4">
        <w:rPr>
          <w:rStyle w:val="italicus"/>
          <w:i w:val="0"/>
        </w:rPr>
        <w:t>pécheur</w:t>
      </w:r>
      <w:r w:rsidRPr="002C4077">
        <w:t xml:space="preserve"> </w:t>
      </w:r>
      <w:r w:rsidRPr="00B233D4">
        <w:rPr>
          <w:rStyle w:val="italicus"/>
          <w:i w:val="0"/>
        </w:rPr>
        <w:t>avec</w:t>
      </w:r>
      <w:r w:rsidRPr="002C4077">
        <w:t xml:space="preserve"> </w:t>
      </w:r>
      <w:r w:rsidRPr="00B233D4">
        <w:rPr>
          <w:rStyle w:val="italicus"/>
          <w:i w:val="0"/>
        </w:rPr>
        <w:t>Dieu</w:t>
      </w:r>
      <w:r w:rsidRPr="002C4077">
        <w:t xml:space="preserve"> </w:t>
      </w:r>
      <w:r w:rsidRPr="00B233D4">
        <w:rPr>
          <w:rStyle w:val="italicus"/>
          <w:i w:val="0"/>
        </w:rPr>
        <w:t>et</w:t>
      </w:r>
      <w:r w:rsidRPr="002C4077">
        <w:t xml:space="preserve"> </w:t>
      </w:r>
      <w:r w:rsidRPr="00B233D4">
        <w:rPr>
          <w:rStyle w:val="italicus"/>
          <w:i w:val="0"/>
        </w:rPr>
        <w:t>son</w:t>
      </w:r>
      <w:r w:rsidRPr="002C4077">
        <w:t xml:space="preserve"> </w:t>
      </w:r>
      <w:r w:rsidRPr="00B233D4">
        <w:rPr>
          <w:rStyle w:val="italicus"/>
          <w:i w:val="0"/>
        </w:rPr>
        <w:t>éloignement</w:t>
      </w:r>
      <w:r w:rsidRPr="002C4077">
        <w:t xml:space="preserve"> </w:t>
      </w:r>
      <w:r w:rsidRPr="00B233D4">
        <w:rPr>
          <w:rStyle w:val="italicus"/>
          <w:i w:val="0"/>
        </w:rPr>
        <w:t>du</w:t>
      </w:r>
      <w:r w:rsidRPr="002C4077">
        <w:t xml:space="preserve"> </w:t>
      </w:r>
      <w:r w:rsidRPr="00B233D4">
        <w:rPr>
          <w:rStyle w:val="italicus"/>
          <w:i w:val="0"/>
        </w:rPr>
        <w:t>mal.</w:t>
      </w:r>
      <w:r w:rsidRPr="002C4077">
        <w:t xml:space="preserve"> </w:t>
      </w:r>
    </w:p>
    <w:p w:rsidR="00942C4D" w:rsidRDefault="00942C4D" w:rsidP="007E4381">
      <w:pPr>
        <w:pStyle w:val="locus"/>
        <w:rPr>
          <w:rStyle w:val="italicus"/>
          <w:i w:val="0"/>
        </w:rPr>
      </w:pPr>
      <w:r w:rsidRPr="00B233D4">
        <w:rPr>
          <w:rStyle w:val="italicus"/>
          <w:i w:val="0"/>
        </w:rPr>
        <w:t>D.</w:t>
      </w:r>
      <w:r w:rsidRPr="002C4077">
        <w:t xml:space="preserve"> </w:t>
      </w:r>
      <w:r w:rsidRPr="00B233D4">
        <w:rPr>
          <w:rStyle w:val="italicus"/>
          <w:i w:val="0"/>
        </w:rPr>
        <w:t>Est-il</w:t>
      </w:r>
      <w:r w:rsidRPr="002C4077">
        <w:t xml:space="preserve"> </w:t>
      </w:r>
      <w:r w:rsidRPr="00B233D4">
        <w:rPr>
          <w:rStyle w:val="italicus"/>
          <w:i w:val="0"/>
        </w:rPr>
        <w:t>permis</w:t>
      </w:r>
      <w:r w:rsidRPr="002C4077">
        <w:t xml:space="preserve"> </w:t>
      </w:r>
      <w:r w:rsidRPr="00B233D4">
        <w:rPr>
          <w:rStyle w:val="italicus"/>
          <w:i w:val="0"/>
        </w:rPr>
        <w:t>au</w:t>
      </w:r>
      <w:r w:rsidRPr="002C4077">
        <w:t xml:space="preserve"> </w:t>
      </w:r>
      <w:r w:rsidRPr="00B233D4">
        <w:rPr>
          <w:rStyle w:val="italicus"/>
          <w:i w:val="0"/>
        </w:rPr>
        <w:t>pécheur</w:t>
      </w:r>
      <w:r w:rsidRPr="002C4077">
        <w:t xml:space="preserve"> </w:t>
      </w:r>
      <w:r w:rsidRPr="00B233D4">
        <w:rPr>
          <w:rStyle w:val="italicus"/>
          <w:i w:val="0"/>
        </w:rPr>
        <w:t>de</w:t>
      </w:r>
      <w:r w:rsidRPr="002C4077">
        <w:t xml:space="preserve"> </w:t>
      </w:r>
      <w:r w:rsidRPr="00B233D4">
        <w:rPr>
          <w:rStyle w:val="italicus"/>
          <w:i w:val="0"/>
        </w:rPr>
        <w:t>différer</w:t>
      </w:r>
      <w:r w:rsidRPr="002C4077">
        <w:t xml:space="preserve"> </w:t>
      </w:r>
      <w:r w:rsidRPr="00B233D4">
        <w:rPr>
          <w:rStyle w:val="italicus"/>
          <w:i w:val="0"/>
        </w:rPr>
        <w:t>la</w:t>
      </w:r>
      <w:r w:rsidRPr="002C4077">
        <w:t xml:space="preserve"> </w:t>
      </w:r>
      <w:r w:rsidRPr="00B233D4">
        <w:rPr>
          <w:rStyle w:val="italicus"/>
          <w:i w:val="0"/>
        </w:rPr>
        <w:t>pénitence</w:t>
      </w:r>
      <w:r>
        <w:rPr>
          <w:rStyle w:val="italicus"/>
          <w:i w:val="0"/>
        </w:rPr>
        <w:t> </w:t>
      </w:r>
      <w:r w:rsidRPr="00B233D4">
        <w:rPr>
          <w:rStyle w:val="italicus"/>
          <w:i w:val="0"/>
        </w:rPr>
        <w:t>?</w:t>
      </w:r>
      <w:r w:rsidRPr="002C4077">
        <w:t xml:space="preserve"> </w:t>
      </w:r>
    </w:p>
    <w:p w:rsidR="00942C4D" w:rsidRDefault="00942C4D" w:rsidP="007E4381">
      <w:pPr>
        <w:pStyle w:val="locus"/>
        <w:rPr>
          <w:rStyle w:val="italicus"/>
          <w:i w:val="0"/>
        </w:rPr>
      </w:pPr>
      <w:r w:rsidRPr="00B233D4">
        <w:rPr>
          <w:rStyle w:val="italicus"/>
          <w:i w:val="0"/>
        </w:rPr>
        <w:t>R.</w:t>
      </w:r>
      <w:r w:rsidRPr="002C4077">
        <w:t xml:space="preserve"> </w:t>
      </w:r>
      <w:r w:rsidRPr="00B233D4">
        <w:rPr>
          <w:rStyle w:val="italicus"/>
          <w:i w:val="0"/>
        </w:rPr>
        <w:t>Non,</w:t>
      </w:r>
      <w:r w:rsidRPr="002C4077">
        <w:t xml:space="preserve"> </w:t>
      </w:r>
      <w:r w:rsidRPr="00B233D4">
        <w:rPr>
          <w:rStyle w:val="italicus"/>
          <w:i w:val="0"/>
        </w:rPr>
        <w:t>cela</w:t>
      </w:r>
      <w:r w:rsidRPr="002C4077">
        <w:t xml:space="preserve"> </w:t>
      </w:r>
      <w:r w:rsidRPr="00B233D4">
        <w:rPr>
          <w:rStyle w:val="italicus"/>
          <w:i w:val="0"/>
        </w:rPr>
        <w:t>n</w:t>
      </w:r>
      <w:r>
        <w:rPr>
          <w:rStyle w:val="italicus"/>
          <w:i w:val="0"/>
        </w:rPr>
        <w:t>’</w:t>
      </w:r>
      <w:r w:rsidRPr="00B233D4">
        <w:rPr>
          <w:rStyle w:val="italicus"/>
          <w:i w:val="0"/>
        </w:rPr>
        <w:t>est</w:t>
      </w:r>
      <w:r w:rsidRPr="002C4077">
        <w:t xml:space="preserve"> </w:t>
      </w:r>
      <w:r w:rsidRPr="00B233D4">
        <w:rPr>
          <w:rStyle w:val="italicus"/>
          <w:i w:val="0"/>
        </w:rPr>
        <w:t>pas</w:t>
      </w:r>
      <w:r w:rsidRPr="002C4077">
        <w:t xml:space="preserve"> </w:t>
      </w:r>
      <w:r w:rsidRPr="00B233D4">
        <w:rPr>
          <w:rStyle w:val="italicus"/>
          <w:i w:val="0"/>
        </w:rPr>
        <w:t>permis,</w:t>
      </w:r>
      <w:r w:rsidRPr="002C4077">
        <w:t xml:space="preserve"> </w:t>
      </w:r>
      <w:r w:rsidRPr="00B233D4">
        <w:rPr>
          <w:rStyle w:val="italicus"/>
          <w:i w:val="0"/>
        </w:rPr>
        <w:t>parce</w:t>
      </w:r>
      <w:r w:rsidRPr="002C4077">
        <w:t xml:space="preserve"> </w:t>
      </w:r>
      <w:r w:rsidRPr="00B233D4">
        <w:rPr>
          <w:rStyle w:val="italicus"/>
          <w:i w:val="0"/>
        </w:rPr>
        <w:t>que,</w:t>
      </w:r>
      <w:r w:rsidRPr="002C4077">
        <w:t xml:space="preserve"> </w:t>
      </w:r>
      <w:r w:rsidRPr="00B233D4">
        <w:rPr>
          <w:rStyle w:val="italicus"/>
          <w:i w:val="0"/>
        </w:rPr>
        <w:t>rien</w:t>
      </w:r>
      <w:r w:rsidRPr="002C4077">
        <w:t xml:space="preserve"> </w:t>
      </w:r>
      <w:r w:rsidRPr="00B233D4">
        <w:rPr>
          <w:rStyle w:val="italicus"/>
          <w:i w:val="0"/>
        </w:rPr>
        <w:t>n</w:t>
      </w:r>
      <w:r>
        <w:rPr>
          <w:rStyle w:val="italicus"/>
          <w:i w:val="0"/>
        </w:rPr>
        <w:t>’</w:t>
      </w:r>
      <w:r w:rsidRPr="00B233D4">
        <w:rPr>
          <w:rStyle w:val="italicus"/>
          <w:i w:val="0"/>
        </w:rPr>
        <w:t>étant</w:t>
      </w:r>
      <w:r w:rsidRPr="002C4077">
        <w:t xml:space="preserve"> </w:t>
      </w:r>
      <w:r w:rsidRPr="00B233D4">
        <w:rPr>
          <w:rStyle w:val="italicus"/>
          <w:i w:val="0"/>
        </w:rPr>
        <w:t>moins</w:t>
      </w:r>
      <w:r w:rsidRPr="002C4077">
        <w:t xml:space="preserve"> </w:t>
      </w:r>
      <w:r w:rsidRPr="00B233D4">
        <w:rPr>
          <w:rStyle w:val="italicus"/>
          <w:i w:val="0"/>
        </w:rPr>
        <w:t>assuré</w:t>
      </w:r>
      <w:r w:rsidRPr="002C4077">
        <w:t xml:space="preserve"> </w:t>
      </w:r>
      <w:r w:rsidRPr="00B233D4">
        <w:rPr>
          <w:rStyle w:val="italicus"/>
          <w:i w:val="0"/>
        </w:rPr>
        <w:t>que</w:t>
      </w:r>
      <w:r w:rsidRPr="002C4077">
        <w:t xml:space="preserve"> </w:t>
      </w:r>
      <w:r w:rsidRPr="00B233D4">
        <w:rPr>
          <w:rStyle w:val="italicus"/>
          <w:i w:val="0"/>
        </w:rPr>
        <w:t>la</w:t>
      </w:r>
      <w:r w:rsidRPr="002C4077">
        <w:t xml:space="preserve"> </w:t>
      </w:r>
      <w:r w:rsidRPr="00B233D4">
        <w:rPr>
          <w:rStyle w:val="italicus"/>
          <w:i w:val="0"/>
        </w:rPr>
        <w:t>durée</w:t>
      </w:r>
      <w:r w:rsidRPr="002C4077">
        <w:t xml:space="preserve"> </w:t>
      </w:r>
      <w:r w:rsidRPr="00B233D4">
        <w:rPr>
          <w:rStyle w:val="italicus"/>
          <w:i w:val="0"/>
        </w:rPr>
        <w:t>de</w:t>
      </w:r>
      <w:r w:rsidRPr="002C4077">
        <w:t xml:space="preserve"> </w:t>
      </w:r>
      <w:r w:rsidRPr="00B233D4">
        <w:rPr>
          <w:rStyle w:val="italicus"/>
          <w:i w:val="0"/>
        </w:rPr>
        <w:t>la</w:t>
      </w:r>
      <w:r w:rsidRPr="002C4077">
        <w:t xml:space="preserve"> </w:t>
      </w:r>
      <w:r w:rsidRPr="00B233D4">
        <w:rPr>
          <w:rStyle w:val="italicus"/>
          <w:i w:val="0"/>
        </w:rPr>
        <w:t>vie</w:t>
      </w:r>
      <w:r>
        <w:rPr>
          <w:rStyle w:val="italicus"/>
          <w:i w:val="0"/>
        </w:rPr>
        <w:t>,</w:t>
      </w:r>
      <w:r w:rsidRPr="002C4077">
        <w:t xml:space="preserve"> </w:t>
      </w:r>
      <w:r w:rsidRPr="00B233D4">
        <w:rPr>
          <w:rStyle w:val="italicus"/>
          <w:i w:val="0"/>
        </w:rPr>
        <w:t>le</w:t>
      </w:r>
      <w:r w:rsidRPr="002C4077">
        <w:t xml:space="preserve"> </w:t>
      </w:r>
      <w:r w:rsidRPr="00B233D4">
        <w:rPr>
          <w:rStyle w:val="italicus"/>
          <w:i w:val="0"/>
        </w:rPr>
        <w:t>pécheur</w:t>
      </w:r>
      <w:r w:rsidRPr="002C4077">
        <w:t xml:space="preserve"> </w:t>
      </w:r>
      <w:r w:rsidRPr="00B233D4">
        <w:rPr>
          <w:rStyle w:val="italicus"/>
          <w:i w:val="0"/>
        </w:rPr>
        <w:t>pourrait</w:t>
      </w:r>
      <w:r w:rsidRPr="002C4077">
        <w:t xml:space="preserve"> </w:t>
      </w:r>
      <w:r w:rsidRPr="00B233D4">
        <w:rPr>
          <w:rStyle w:val="italicus"/>
          <w:i w:val="0"/>
        </w:rPr>
        <w:t>être</w:t>
      </w:r>
      <w:r w:rsidRPr="002C4077">
        <w:t xml:space="preserve"> </w:t>
      </w:r>
      <w:r w:rsidRPr="00B233D4">
        <w:rPr>
          <w:rStyle w:val="italicus"/>
          <w:i w:val="0"/>
        </w:rPr>
        <w:t>surpris</w:t>
      </w:r>
      <w:r w:rsidRPr="002C4077">
        <w:t xml:space="preserve"> </w:t>
      </w:r>
      <w:r w:rsidRPr="00B233D4">
        <w:rPr>
          <w:rStyle w:val="italicus"/>
          <w:i w:val="0"/>
        </w:rPr>
        <w:t>par</w:t>
      </w:r>
      <w:r w:rsidRPr="002C4077">
        <w:t xml:space="preserve"> </w:t>
      </w:r>
      <w:r w:rsidRPr="00B233D4">
        <w:rPr>
          <w:rStyle w:val="italicus"/>
          <w:i w:val="0"/>
        </w:rPr>
        <w:t>la</w:t>
      </w:r>
      <w:r w:rsidRPr="002C4077">
        <w:t xml:space="preserve"> </w:t>
      </w:r>
      <w:r w:rsidRPr="00B233D4">
        <w:rPr>
          <w:rStyle w:val="italicus"/>
          <w:i w:val="0"/>
        </w:rPr>
        <w:t>mort</w:t>
      </w:r>
      <w:r w:rsidRPr="002C4077">
        <w:t xml:space="preserve"> </w:t>
      </w:r>
      <w:r w:rsidRPr="00B233D4">
        <w:rPr>
          <w:rStyle w:val="italicus"/>
          <w:i w:val="0"/>
        </w:rPr>
        <w:t>avant</w:t>
      </w:r>
      <w:r w:rsidRPr="002C4077">
        <w:t xml:space="preserve"> </w:t>
      </w:r>
      <w:r w:rsidRPr="00B233D4">
        <w:rPr>
          <w:rStyle w:val="italicus"/>
          <w:i w:val="0"/>
        </w:rPr>
        <w:t>de</w:t>
      </w:r>
      <w:r w:rsidRPr="002C4077">
        <w:t xml:space="preserve"> </w:t>
      </w:r>
      <w:r w:rsidRPr="00B233D4">
        <w:rPr>
          <w:rStyle w:val="italicus"/>
          <w:i w:val="0"/>
        </w:rPr>
        <w:t>s</w:t>
      </w:r>
      <w:r>
        <w:rPr>
          <w:rStyle w:val="italicus"/>
          <w:i w:val="0"/>
        </w:rPr>
        <w:t>’</w:t>
      </w:r>
      <w:r w:rsidRPr="00B233D4">
        <w:rPr>
          <w:rStyle w:val="italicus"/>
          <w:i w:val="0"/>
        </w:rPr>
        <w:t>être</w:t>
      </w:r>
      <w:r w:rsidRPr="002C4077">
        <w:t xml:space="preserve"> </w:t>
      </w:r>
      <w:r w:rsidRPr="00B233D4">
        <w:rPr>
          <w:rStyle w:val="italicus"/>
          <w:i w:val="0"/>
        </w:rPr>
        <w:t>réconcilié</w:t>
      </w:r>
      <w:r w:rsidRPr="002C4077">
        <w:t xml:space="preserve"> </w:t>
      </w:r>
      <w:r w:rsidRPr="00B233D4">
        <w:rPr>
          <w:rStyle w:val="italicus"/>
          <w:i w:val="0"/>
        </w:rPr>
        <w:t>avec</w:t>
      </w:r>
      <w:r w:rsidRPr="002C4077">
        <w:t xml:space="preserve"> </w:t>
      </w:r>
      <w:r w:rsidRPr="00B233D4">
        <w:rPr>
          <w:rStyle w:val="italicus"/>
          <w:i w:val="0"/>
        </w:rPr>
        <w:t>Dieu.</w:t>
      </w:r>
      <w:r w:rsidRPr="004440EA">
        <w:t xml:space="preserve"> (</w:t>
      </w:r>
      <w:r w:rsidRPr="00B233D4">
        <w:rPr>
          <w:rStyle w:val="italicus"/>
          <w:i w:val="0"/>
        </w:rPr>
        <w:t>Pages</w:t>
      </w:r>
      <w:r w:rsidRPr="002C4077">
        <w:t xml:space="preserve"> </w:t>
      </w:r>
      <w:r w:rsidRPr="00B233D4">
        <w:rPr>
          <w:rStyle w:val="italicus"/>
          <w:i w:val="0"/>
        </w:rPr>
        <w:t>48-50.</w:t>
      </w:r>
      <w:r w:rsidRPr="002C4077">
        <w:t xml:space="preserve">) </w:t>
      </w:r>
    </w:p>
    <w:p w:rsidR="00942C4D" w:rsidRDefault="00942C4D" w:rsidP="007E4381">
      <w:pPr>
        <w:pStyle w:val="locus"/>
        <w:rPr>
          <w:rStyle w:val="italicus"/>
          <w:i w:val="0"/>
        </w:rPr>
      </w:pPr>
      <w:r w:rsidRPr="00B233D4">
        <w:rPr>
          <w:rStyle w:val="italicus"/>
          <w:i w:val="0"/>
        </w:rPr>
        <w:t>D.</w:t>
      </w:r>
      <w:r w:rsidRPr="002C4077">
        <w:t xml:space="preserve"> </w:t>
      </w:r>
      <w:r w:rsidRPr="00B233D4">
        <w:rPr>
          <w:rStyle w:val="italicus"/>
          <w:i w:val="0"/>
        </w:rPr>
        <w:t>Comment</w:t>
      </w:r>
      <w:r w:rsidRPr="002C4077">
        <w:t xml:space="preserve"> </w:t>
      </w:r>
      <w:r w:rsidRPr="00B233D4">
        <w:rPr>
          <w:rStyle w:val="italicus"/>
          <w:i w:val="0"/>
        </w:rPr>
        <w:t>devons-nous</w:t>
      </w:r>
      <w:r w:rsidRPr="002C4077">
        <w:t xml:space="preserve"> </w:t>
      </w:r>
      <w:r w:rsidRPr="00B233D4">
        <w:rPr>
          <w:rStyle w:val="italicus"/>
          <w:i w:val="0"/>
        </w:rPr>
        <w:t>nous</w:t>
      </w:r>
      <w:r w:rsidRPr="002C4077">
        <w:t xml:space="preserve"> </w:t>
      </w:r>
      <w:r w:rsidRPr="00B233D4">
        <w:rPr>
          <w:rStyle w:val="italicus"/>
          <w:i w:val="0"/>
        </w:rPr>
        <w:t>préparer</w:t>
      </w:r>
      <w:r w:rsidRPr="002C4077">
        <w:t xml:space="preserve"> </w:t>
      </w:r>
      <w:r w:rsidRPr="00B233D4">
        <w:rPr>
          <w:rStyle w:val="italicus"/>
          <w:i w:val="0"/>
        </w:rPr>
        <w:t>pour</w:t>
      </w:r>
      <w:r w:rsidRPr="002C4077">
        <w:t xml:space="preserve"> </w:t>
      </w:r>
      <w:r w:rsidRPr="00B233D4">
        <w:rPr>
          <w:rStyle w:val="italicus"/>
          <w:i w:val="0"/>
        </w:rPr>
        <w:t>adresser</w:t>
      </w:r>
      <w:r w:rsidRPr="002C4077">
        <w:t xml:space="preserve"> </w:t>
      </w:r>
      <w:r w:rsidRPr="00B233D4">
        <w:rPr>
          <w:rStyle w:val="italicus"/>
          <w:i w:val="0"/>
        </w:rPr>
        <w:t>notre</w:t>
      </w:r>
      <w:r w:rsidRPr="002C4077">
        <w:t xml:space="preserve"> </w:t>
      </w:r>
      <w:r w:rsidRPr="00B233D4">
        <w:rPr>
          <w:rStyle w:val="italicus"/>
          <w:i w:val="0"/>
        </w:rPr>
        <w:t>prière</w:t>
      </w:r>
      <w:bookmarkStart w:id="680" w:name="z_Priere_o1"/>
      <w:bookmarkEnd w:id="680"/>
      <w:r w:rsidRPr="002C4077">
        <w:t xml:space="preserve"> </w:t>
      </w:r>
      <w:r w:rsidRPr="00B233D4">
        <w:rPr>
          <w:rStyle w:val="italicus"/>
          <w:i w:val="0"/>
        </w:rPr>
        <w:t>à</w:t>
      </w:r>
      <w:r w:rsidRPr="002C4077">
        <w:t xml:space="preserve"> </w:t>
      </w:r>
      <w:r w:rsidRPr="00B233D4">
        <w:rPr>
          <w:rStyle w:val="italicus"/>
          <w:i w:val="0"/>
        </w:rPr>
        <w:t>l</w:t>
      </w:r>
      <w:r>
        <w:rPr>
          <w:rStyle w:val="italicus"/>
          <w:i w:val="0"/>
        </w:rPr>
        <w:t>’</w:t>
      </w:r>
      <w:r w:rsidRPr="00B233D4">
        <w:rPr>
          <w:rStyle w:val="italicus"/>
          <w:i w:val="0"/>
        </w:rPr>
        <w:t>Éternel</w:t>
      </w:r>
      <w:r>
        <w:rPr>
          <w:rStyle w:val="italicus"/>
          <w:i w:val="0"/>
        </w:rPr>
        <w:t> </w:t>
      </w:r>
      <w:r w:rsidRPr="00B233D4">
        <w:rPr>
          <w:rStyle w:val="italicus"/>
          <w:i w:val="0"/>
        </w:rPr>
        <w:t>?</w:t>
      </w:r>
      <w:r w:rsidRPr="002C4077">
        <w:t xml:space="preserve"> </w:t>
      </w:r>
    </w:p>
    <w:p w:rsidR="00942C4D" w:rsidRDefault="00942C4D" w:rsidP="007E4381">
      <w:pPr>
        <w:pStyle w:val="locus"/>
        <w:rPr>
          <w:rStyle w:val="italicus"/>
          <w:i w:val="0"/>
        </w:rPr>
      </w:pPr>
      <w:r w:rsidRPr="00B233D4">
        <w:rPr>
          <w:rStyle w:val="italicus"/>
          <w:i w:val="0"/>
        </w:rPr>
        <w:t>R.</w:t>
      </w:r>
      <w:r w:rsidRPr="002C4077">
        <w:t xml:space="preserve"> </w:t>
      </w:r>
      <w:r w:rsidRPr="00B233D4">
        <w:rPr>
          <w:rStyle w:val="italicus"/>
          <w:i w:val="0"/>
        </w:rPr>
        <w:t>En</w:t>
      </w:r>
      <w:r w:rsidRPr="002C4077">
        <w:t xml:space="preserve"> </w:t>
      </w:r>
      <w:r w:rsidRPr="00B233D4">
        <w:rPr>
          <w:rStyle w:val="italicus"/>
          <w:i w:val="0"/>
        </w:rPr>
        <w:t>abandonnant</w:t>
      </w:r>
      <w:r w:rsidRPr="002C4077">
        <w:t xml:space="preserve"> </w:t>
      </w:r>
      <w:r w:rsidRPr="00B233D4">
        <w:rPr>
          <w:rStyle w:val="italicus"/>
          <w:i w:val="0"/>
        </w:rPr>
        <w:t>toute</w:t>
      </w:r>
      <w:r w:rsidRPr="002C4077">
        <w:t xml:space="preserve"> </w:t>
      </w:r>
      <w:r w:rsidRPr="00B233D4">
        <w:rPr>
          <w:rStyle w:val="italicus"/>
          <w:i w:val="0"/>
        </w:rPr>
        <w:t>pensée</w:t>
      </w:r>
      <w:r w:rsidRPr="002C4077">
        <w:t xml:space="preserve"> </w:t>
      </w:r>
      <w:r w:rsidRPr="00B233D4">
        <w:rPr>
          <w:rStyle w:val="italicus"/>
          <w:i w:val="0"/>
        </w:rPr>
        <w:t>mondaine</w:t>
      </w:r>
      <w:r w:rsidRPr="002C4077">
        <w:t xml:space="preserve"> </w:t>
      </w:r>
      <w:r w:rsidRPr="00B233D4">
        <w:rPr>
          <w:rStyle w:val="italicus"/>
          <w:i w:val="0"/>
        </w:rPr>
        <w:t>et</w:t>
      </w:r>
      <w:r w:rsidRPr="002C4077">
        <w:t xml:space="preserve"> </w:t>
      </w:r>
      <w:r w:rsidRPr="00B233D4">
        <w:rPr>
          <w:rStyle w:val="italicus"/>
          <w:i w:val="0"/>
        </w:rPr>
        <w:t>en</w:t>
      </w:r>
      <w:r w:rsidRPr="002C4077">
        <w:t xml:space="preserve"> </w:t>
      </w:r>
      <w:r w:rsidRPr="00B233D4">
        <w:rPr>
          <w:rStyle w:val="italicus"/>
          <w:i w:val="0"/>
        </w:rPr>
        <w:t>élevant</w:t>
      </w:r>
      <w:r w:rsidRPr="002C4077">
        <w:t xml:space="preserve"> </w:t>
      </w:r>
      <w:r w:rsidRPr="00B233D4">
        <w:rPr>
          <w:rStyle w:val="italicus"/>
          <w:i w:val="0"/>
        </w:rPr>
        <w:t>notre</w:t>
      </w:r>
      <w:r w:rsidRPr="002C4077">
        <w:t xml:space="preserve"> </w:t>
      </w:r>
      <w:r w:rsidRPr="00B233D4">
        <w:rPr>
          <w:rStyle w:val="italicus"/>
          <w:i w:val="0"/>
        </w:rPr>
        <w:t>âme</w:t>
      </w:r>
      <w:r w:rsidRPr="002C4077">
        <w:t xml:space="preserve"> </w:t>
      </w:r>
      <w:r w:rsidRPr="00B233D4">
        <w:rPr>
          <w:rStyle w:val="italicus"/>
          <w:i w:val="0"/>
        </w:rPr>
        <w:t>vers</w:t>
      </w:r>
      <w:r w:rsidRPr="002C4077">
        <w:t xml:space="preserve"> </w:t>
      </w:r>
      <w:r w:rsidRPr="00B233D4">
        <w:rPr>
          <w:rStyle w:val="italicus"/>
          <w:i w:val="0"/>
        </w:rPr>
        <w:t>Dieu.</w:t>
      </w:r>
      <w:r w:rsidRPr="002C4077">
        <w:t xml:space="preserve"> </w:t>
      </w:r>
    </w:p>
    <w:p w:rsidR="00942C4D" w:rsidRDefault="00942C4D" w:rsidP="007E4381">
      <w:pPr>
        <w:pStyle w:val="locus"/>
        <w:rPr>
          <w:rStyle w:val="italicus"/>
          <w:i w:val="0"/>
        </w:rPr>
      </w:pPr>
      <w:r w:rsidRPr="00B233D4">
        <w:rPr>
          <w:rStyle w:val="italicus"/>
          <w:i w:val="0"/>
        </w:rPr>
        <w:t>D.</w:t>
      </w:r>
      <w:r w:rsidRPr="002C4077">
        <w:t xml:space="preserve"> </w:t>
      </w:r>
      <w:r w:rsidRPr="00B233D4">
        <w:rPr>
          <w:rStyle w:val="italicus"/>
          <w:i w:val="0"/>
        </w:rPr>
        <w:t>Quel</w:t>
      </w:r>
      <w:r w:rsidRPr="002C4077">
        <w:t xml:space="preserve"> </w:t>
      </w:r>
      <w:r w:rsidRPr="00B233D4">
        <w:rPr>
          <w:rStyle w:val="italicus"/>
          <w:i w:val="0"/>
        </w:rPr>
        <w:t>est</w:t>
      </w:r>
      <w:r w:rsidRPr="002C4077">
        <w:t xml:space="preserve"> </w:t>
      </w:r>
      <w:r w:rsidRPr="00B233D4">
        <w:rPr>
          <w:rStyle w:val="italicus"/>
          <w:i w:val="0"/>
        </w:rPr>
        <w:t>l</w:t>
      </w:r>
      <w:r>
        <w:rPr>
          <w:rStyle w:val="italicus"/>
          <w:i w:val="0"/>
        </w:rPr>
        <w:t>’</w:t>
      </w:r>
      <w:r w:rsidRPr="00B233D4">
        <w:rPr>
          <w:rStyle w:val="italicus"/>
          <w:i w:val="0"/>
        </w:rPr>
        <w:t>objet</w:t>
      </w:r>
      <w:r w:rsidRPr="002C4077">
        <w:t xml:space="preserve"> </w:t>
      </w:r>
      <w:r w:rsidRPr="00B233D4">
        <w:rPr>
          <w:rStyle w:val="italicus"/>
          <w:i w:val="0"/>
        </w:rPr>
        <w:t>de</w:t>
      </w:r>
      <w:r w:rsidRPr="002C4077">
        <w:t xml:space="preserve"> </w:t>
      </w:r>
      <w:r w:rsidRPr="00B233D4">
        <w:rPr>
          <w:rStyle w:val="italicus"/>
          <w:i w:val="0"/>
        </w:rPr>
        <w:t>la</w:t>
      </w:r>
      <w:r w:rsidRPr="002C4077">
        <w:t xml:space="preserve"> </w:t>
      </w:r>
      <w:r w:rsidRPr="00B233D4">
        <w:rPr>
          <w:rStyle w:val="italicus"/>
          <w:i w:val="0"/>
        </w:rPr>
        <w:t>prière</w:t>
      </w:r>
      <w:r>
        <w:rPr>
          <w:rStyle w:val="italicus"/>
          <w:i w:val="0"/>
        </w:rPr>
        <w:t> </w:t>
      </w:r>
      <w:r w:rsidRPr="00B233D4">
        <w:rPr>
          <w:rStyle w:val="italicus"/>
          <w:i w:val="0"/>
        </w:rPr>
        <w:t>?</w:t>
      </w:r>
      <w:r w:rsidRPr="002C4077">
        <w:t xml:space="preserve"> </w:t>
      </w:r>
    </w:p>
    <w:p w:rsidR="00942C4D" w:rsidRDefault="00942C4D" w:rsidP="007E4381">
      <w:pPr>
        <w:pStyle w:val="locus"/>
        <w:rPr>
          <w:rStyle w:val="italicus"/>
          <w:i w:val="0"/>
        </w:rPr>
      </w:pPr>
      <w:r w:rsidRPr="00B233D4">
        <w:rPr>
          <w:rStyle w:val="italicus"/>
          <w:i w:val="0"/>
        </w:rPr>
        <w:t>R.</w:t>
      </w:r>
      <w:r w:rsidRPr="002C4077">
        <w:t xml:space="preserve"> </w:t>
      </w:r>
      <w:r w:rsidRPr="00B233D4">
        <w:rPr>
          <w:rStyle w:val="italicus"/>
          <w:i w:val="0"/>
        </w:rPr>
        <w:t>La</w:t>
      </w:r>
      <w:r w:rsidRPr="002C4077">
        <w:t xml:space="preserve"> </w:t>
      </w:r>
      <w:r w:rsidRPr="00B233D4">
        <w:rPr>
          <w:rStyle w:val="italicus"/>
          <w:i w:val="0"/>
        </w:rPr>
        <w:t>prière</w:t>
      </w:r>
      <w:r w:rsidRPr="002C4077">
        <w:t xml:space="preserve"> </w:t>
      </w:r>
      <w:r w:rsidRPr="00B233D4">
        <w:rPr>
          <w:rStyle w:val="italicus"/>
          <w:i w:val="0"/>
        </w:rPr>
        <w:t>a</w:t>
      </w:r>
      <w:r w:rsidRPr="002C4077">
        <w:t xml:space="preserve"> </w:t>
      </w:r>
      <w:r w:rsidRPr="00B233D4">
        <w:rPr>
          <w:rStyle w:val="italicus"/>
          <w:i w:val="0"/>
        </w:rPr>
        <w:t>pour</w:t>
      </w:r>
      <w:r w:rsidRPr="002C4077">
        <w:t xml:space="preserve"> </w:t>
      </w:r>
      <w:r w:rsidRPr="00B233D4">
        <w:rPr>
          <w:rStyle w:val="italicus"/>
          <w:i w:val="0"/>
        </w:rPr>
        <w:t>objet</w:t>
      </w:r>
      <w:r>
        <w:rPr>
          <w:rStyle w:val="italicus"/>
          <w:i w:val="0"/>
        </w:rPr>
        <w:t> </w:t>
      </w:r>
      <w:r w:rsidRPr="00B233D4">
        <w:rPr>
          <w:rStyle w:val="italicus"/>
          <w:i w:val="0"/>
        </w:rPr>
        <w:t>:</w:t>
      </w:r>
      <w:r w:rsidRPr="002C4077">
        <w:t xml:space="preserve"> </w:t>
      </w:r>
      <w:r w:rsidRPr="00B233D4">
        <w:rPr>
          <w:rStyle w:val="italicus"/>
          <w:i w:val="0"/>
        </w:rPr>
        <w:t>1°</w:t>
      </w:r>
      <w:r w:rsidRPr="002C4077">
        <w:t xml:space="preserve"> </w:t>
      </w:r>
      <w:r w:rsidRPr="00B233D4">
        <w:rPr>
          <w:rStyle w:val="italicus"/>
          <w:i w:val="0"/>
        </w:rPr>
        <w:t>de</w:t>
      </w:r>
      <w:r w:rsidRPr="002C4077">
        <w:t xml:space="preserve"> </w:t>
      </w:r>
      <w:r w:rsidRPr="00B233D4">
        <w:rPr>
          <w:rStyle w:val="italicus"/>
          <w:i w:val="0"/>
        </w:rPr>
        <w:t>célébrer</w:t>
      </w:r>
      <w:r w:rsidRPr="002C4077">
        <w:t xml:space="preserve"> </w:t>
      </w:r>
      <w:r w:rsidRPr="00B233D4">
        <w:rPr>
          <w:rStyle w:val="italicus"/>
          <w:i w:val="0"/>
        </w:rPr>
        <w:t>les</w:t>
      </w:r>
      <w:r w:rsidRPr="002C4077">
        <w:t xml:space="preserve"> </w:t>
      </w:r>
      <w:r w:rsidRPr="00B233D4">
        <w:rPr>
          <w:rStyle w:val="italicus"/>
          <w:i w:val="0"/>
        </w:rPr>
        <w:t>louanges</w:t>
      </w:r>
      <w:r w:rsidRPr="002C4077">
        <w:t xml:space="preserve"> </w:t>
      </w:r>
      <w:r w:rsidRPr="00B233D4">
        <w:rPr>
          <w:rStyle w:val="italicus"/>
          <w:i w:val="0"/>
        </w:rPr>
        <w:t>de</w:t>
      </w:r>
      <w:r w:rsidRPr="002C4077">
        <w:t xml:space="preserve"> </w:t>
      </w:r>
      <w:r w:rsidRPr="00B233D4">
        <w:rPr>
          <w:rStyle w:val="italicus"/>
          <w:i w:val="0"/>
        </w:rPr>
        <w:t>Dieu</w:t>
      </w:r>
      <w:r>
        <w:rPr>
          <w:rStyle w:val="italicus"/>
          <w:i w:val="0"/>
        </w:rPr>
        <w:t> </w:t>
      </w:r>
      <w:r w:rsidRPr="00B233D4">
        <w:rPr>
          <w:rStyle w:val="italicus"/>
          <w:i w:val="0"/>
        </w:rPr>
        <w:t>;</w:t>
      </w:r>
      <w:r w:rsidRPr="002C4077">
        <w:t xml:space="preserve"> </w:t>
      </w:r>
      <w:r w:rsidRPr="00B233D4">
        <w:rPr>
          <w:rStyle w:val="italicus"/>
          <w:i w:val="0"/>
        </w:rPr>
        <w:t>2°</w:t>
      </w:r>
      <w:r w:rsidRPr="002C4077">
        <w:t xml:space="preserve"> </w:t>
      </w:r>
      <w:r w:rsidRPr="00B233D4">
        <w:rPr>
          <w:rStyle w:val="italicus"/>
          <w:i w:val="0"/>
        </w:rPr>
        <w:t>d</w:t>
      </w:r>
      <w:r>
        <w:rPr>
          <w:rStyle w:val="italicus"/>
          <w:i w:val="0"/>
        </w:rPr>
        <w:t>’</w:t>
      </w:r>
      <w:r w:rsidRPr="00B233D4">
        <w:rPr>
          <w:rStyle w:val="italicus"/>
          <w:i w:val="0"/>
        </w:rPr>
        <w:t>invoquer</w:t>
      </w:r>
      <w:r w:rsidRPr="002C4077">
        <w:t xml:space="preserve"> </w:t>
      </w:r>
      <w:r w:rsidRPr="00B233D4">
        <w:rPr>
          <w:rStyle w:val="italicus"/>
          <w:i w:val="0"/>
        </w:rPr>
        <w:t>son</w:t>
      </w:r>
      <w:r w:rsidRPr="002C4077">
        <w:t xml:space="preserve"> </w:t>
      </w:r>
      <w:r w:rsidRPr="00B233D4">
        <w:rPr>
          <w:rStyle w:val="italicus"/>
          <w:i w:val="0"/>
        </w:rPr>
        <w:t>assistance</w:t>
      </w:r>
      <w:r w:rsidRPr="002C4077">
        <w:t xml:space="preserve"> </w:t>
      </w:r>
      <w:r w:rsidRPr="00B233D4">
        <w:rPr>
          <w:rStyle w:val="italicus"/>
          <w:i w:val="0"/>
        </w:rPr>
        <w:t>pour</w:t>
      </w:r>
      <w:r w:rsidRPr="002C4077">
        <w:t xml:space="preserve"> </w:t>
      </w:r>
      <w:r w:rsidRPr="00B233D4">
        <w:rPr>
          <w:rStyle w:val="italicus"/>
          <w:i w:val="0"/>
        </w:rPr>
        <w:t>nous</w:t>
      </w:r>
      <w:r w:rsidRPr="002C4077">
        <w:t xml:space="preserve"> </w:t>
      </w:r>
      <w:r w:rsidRPr="00B233D4">
        <w:rPr>
          <w:rStyle w:val="italicus"/>
          <w:i w:val="0"/>
        </w:rPr>
        <w:t>et</w:t>
      </w:r>
      <w:r w:rsidRPr="002C4077">
        <w:t xml:space="preserve"> </w:t>
      </w:r>
      <w:r w:rsidRPr="00B233D4">
        <w:rPr>
          <w:rStyle w:val="italicus"/>
          <w:i w:val="0"/>
        </w:rPr>
        <w:t>pour</w:t>
      </w:r>
      <w:r w:rsidRPr="002C4077">
        <w:t xml:space="preserve"> </w:t>
      </w:r>
      <w:r w:rsidRPr="00B233D4">
        <w:rPr>
          <w:rStyle w:val="italicus"/>
          <w:i w:val="0"/>
        </w:rPr>
        <w:t>le</w:t>
      </w:r>
      <w:r w:rsidRPr="002C4077">
        <w:t xml:space="preserve"> </w:t>
      </w:r>
      <w:r w:rsidRPr="00B233D4">
        <w:rPr>
          <w:rStyle w:val="italicus"/>
          <w:i w:val="0"/>
        </w:rPr>
        <w:t>bonheur</w:t>
      </w:r>
      <w:r w:rsidRPr="002C4077">
        <w:t xml:space="preserve"> </w:t>
      </w:r>
      <w:r w:rsidRPr="00B233D4">
        <w:rPr>
          <w:rStyle w:val="italicus"/>
          <w:i w:val="0"/>
        </w:rPr>
        <w:t>du</w:t>
      </w:r>
      <w:r w:rsidRPr="002C4077">
        <w:t xml:space="preserve"> </w:t>
      </w:r>
      <w:r w:rsidRPr="00B233D4">
        <w:rPr>
          <w:rStyle w:val="italicus"/>
          <w:i w:val="0"/>
        </w:rPr>
        <w:t>monde</w:t>
      </w:r>
      <w:r w:rsidRPr="002C4077">
        <w:t xml:space="preserve"> </w:t>
      </w:r>
      <w:r w:rsidRPr="00B233D4">
        <w:rPr>
          <w:rStyle w:val="italicus"/>
          <w:i w:val="0"/>
        </w:rPr>
        <w:t>en</w:t>
      </w:r>
      <w:r w:rsidRPr="002C4077">
        <w:t xml:space="preserve"> </w:t>
      </w:r>
      <w:r w:rsidRPr="00B233D4">
        <w:rPr>
          <w:rStyle w:val="italicus"/>
          <w:i w:val="0"/>
        </w:rPr>
        <w:t>général</w:t>
      </w:r>
      <w:r>
        <w:rPr>
          <w:rStyle w:val="italicus"/>
          <w:i w:val="0"/>
        </w:rPr>
        <w:t> </w:t>
      </w:r>
      <w:r w:rsidRPr="00B233D4">
        <w:rPr>
          <w:rStyle w:val="italicus"/>
          <w:i w:val="0"/>
        </w:rPr>
        <w:t>;</w:t>
      </w:r>
      <w:r w:rsidRPr="002C4077">
        <w:t xml:space="preserve"> </w:t>
      </w:r>
      <w:r w:rsidRPr="00B233D4">
        <w:rPr>
          <w:rStyle w:val="italicus"/>
          <w:i w:val="0"/>
        </w:rPr>
        <w:t>3°</w:t>
      </w:r>
      <w:r w:rsidRPr="002C4077">
        <w:t xml:space="preserve"> </w:t>
      </w:r>
      <w:r w:rsidRPr="00B233D4">
        <w:rPr>
          <w:rStyle w:val="italicus"/>
          <w:i w:val="0"/>
        </w:rPr>
        <w:t>de</w:t>
      </w:r>
      <w:r w:rsidRPr="002C4077">
        <w:t xml:space="preserve"> </w:t>
      </w:r>
      <w:r w:rsidRPr="00B233D4">
        <w:rPr>
          <w:rStyle w:val="italicus"/>
          <w:i w:val="0"/>
        </w:rPr>
        <w:t>le</w:t>
      </w:r>
      <w:r w:rsidRPr="002C4077">
        <w:t xml:space="preserve"> </w:t>
      </w:r>
      <w:r w:rsidRPr="00B233D4">
        <w:rPr>
          <w:rStyle w:val="italicus"/>
          <w:i w:val="0"/>
        </w:rPr>
        <w:t>remercier</w:t>
      </w:r>
      <w:r w:rsidRPr="002C4077">
        <w:t xml:space="preserve"> </w:t>
      </w:r>
      <w:r w:rsidRPr="00B233D4">
        <w:rPr>
          <w:rStyle w:val="italicus"/>
          <w:i w:val="0"/>
        </w:rPr>
        <w:t>des</w:t>
      </w:r>
      <w:r w:rsidRPr="002C4077">
        <w:t xml:space="preserve"> </w:t>
      </w:r>
      <w:r w:rsidRPr="00B233D4">
        <w:rPr>
          <w:rStyle w:val="italicus"/>
          <w:i w:val="0"/>
        </w:rPr>
        <w:t>biens</w:t>
      </w:r>
      <w:r w:rsidRPr="002C4077">
        <w:t xml:space="preserve"> </w:t>
      </w:r>
      <w:r w:rsidRPr="00B233D4">
        <w:rPr>
          <w:rStyle w:val="italicus"/>
          <w:i w:val="0"/>
        </w:rPr>
        <w:t>qu</w:t>
      </w:r>
      <w:r>
        <w:rPr>
          <w:rStyle w:val="italicus"/>
          <w:i w:val="0"/>
        </w:rPr>
        <w:t>’</w:t>
      </w:r>
      <w:r w:rsidRPr="00B233D4">
        <w:rPr>
          <w:rStyle w:val="italicus"/>
          <w:i w:val="0"/>
        </w:rPr>
        <w:t>il</w:t>
      </w:r>
      <w:r w:rsidRPr="002C4077">
        <w:t xml:space="preserve"> </w:t>
      </w:r>
      <w:r w:rsidRPr="00B233D4">
        <w:rPr>
          <w:rStyle w:val="italicus"/>
          <w:i w:val="0"/>
        </w:rPr>
        <w:t>nous</w:t>
      </w:r>
      <w:r w:rsidRPr="002C4077">
        <w:t xml:space="preserve"> </w:t>
      </w:r>
      <w:r w:rsidRPr="00B233D4">
        <w:rPr>
          <w:rStyle w:val="italicus"/>
          <w:i w:val="0"/>
        </w:rPr>
        <w:t>dispense</w:t>
      </w:r>
      <w:r>
        <w:rPr>
          <w:rStyle w:val="italicus"/>
          <w:i w:val="0"/>
        </w:rPr>
        <w:t> </w:t>
      </w:r>
      <w:r w:rsidRPr="00B233D4">
        <w:rPr>
          <w:rStyle w:val="italicus"/>
          <w:i w:val="0"/>
        </w:rPr>
        <w:t>;</w:t>
      </w:r>
      <w:r w:rsidRPr="002C4077">
        <w:t xml:space="preserve"> </w:t>
      </w:r>
      <w:r w:rsidRPr="00B233D4">
        <w:rPr>
          <w:rStyle w:val="italicus"/>
          <w:i w:val="0"/>
        </w:rPr>
        <w:t>4°</w:t>
      </w:r>
      <w:r w:rsidRPr="002C4077">
        <w:t xml:space="preserve"> </w:t>
      </w:r>
      <w:r w:rsidRPr="00B233D4">
        <w:rPr>
          <w:rStyle w:val="italicus"/>
          <w:i w:val="0"/>
        </w:rPr>
        <w:t>de</w:t>
      </w:r>
      <w:r w:rsidRPr="002C4077">
        <w:t xml:space="preserve"> </w:t>
      </w:r>
      <w:r w:rsidRPr="00B233D4">
        <w:rPr>
          <w:rStyle w:val="italicus"/>
          <w:i w:val="0"/>
        </w:rPr>
        <w:t>lui</w:t>
      </w:r>
      <w:r w:rsidRPr="002C4077">
        <w:t xml:space="preserve"> </w:t>
      </w:r>
      <w:r w:rsidRPr="00B233D4">
        <w:rPr>
          <w:rStyle w:val="italicus"/>
          <w:i w:val="0"/>
        </w:rPr>
        <w:t>demander</w:t>
      </w:r>
      <w:r w:rsidRPr="002C4077">
        <w:t xml:space="preserve"> </w:t>
      </w:r>
      <w:r w:rsidRPr="00B233D4">
        <w:rPr>
          <w:rStyle w:val="italicus"/>
          <w:i w:val="0"/>
        </w:rPr>
        <w:t>pardon</w:t>
      </w:r>
      <w:r w:rsidRPr="002C4077">
        <w:t xml:space="preserve"> </w:t>
      </w:r>
      <w:r w:rsidRPr="00B233D4">
        <w:rPr>
          <w:rStyle w:val="italicus"/>
          <w:i w:val="0"/>
        </w:rPr>
        <w:t>des</w:t>
      </w:r>
      <w:r w:rsidRPr="002C4077">
        <w:t xml:space="preserve"> </w:t>
      </w:r>
      <w:r w:rsidRPr="00B233D4">
        <w:rPr>
          <w:rStyle w:val="italicus"/>
          <w:i w:val="0"/>
        </w:rPr>
        <w:t>fautes</w:t>
      </w:r>
      <w:r w:rsidRPr="002C4077">
        <w:t xml:space="preserve"> </w:t>
      </w:r>
      <w:r w:rsidRPr="00B233D4">
        <w:rPr>
          <w:rStyle w:val="italicus"/>
          <w:i w:val="0"/>
        </w:rPr>
        <w:t>que</w:t>
      </w:r>
      <w:r w:rsidRPr="002C4077">
        <w:t xml:space="preserve"> </w:t>
      </w:r>
      <w:r w:rsidRPr="00B233D4">
        <w:rPr>
          <w:rStyle w:val="italicus"/>
          <w:i w:val="0"/>
        </w:rPr>
        <w:t>nous</w:t>
      </w:r>
      <w:r w:rsidRPr="002C4077">
        <w:t xml:space="preserve"> </w:t>
      </w:r>
      <w:r w:rsidRPr="00B233D4">
        <w:rPr>
          <w:rStyle w:val="italicus"/>
          <w:i w:val="0"/>
        </w:rPr>
        <w:t>avons</w:t>
      </w:r>
      <w:r w:rsidRPr="002C4077">
        <w:t xml:space="preserve"> </w:t>
      </w:r>
      <w:r w:rsidRPr="00B233D4">
        <w:rPr>
          <w:rStyle w:val="italicus"/>
          <w:i w:val="0"/>
        </w:rPr>
        <w:t>commises.</w:t>
      </w:r>
      <w:r w:rsidRPr="002C4077">
        <w:t xml:space="preserve"> </w:t>
      </w:r>
    </w:p>
    <w:p w:rsidR="00942C4D" w:rsidRDefault="00942C4D" w:rsidP="007E4381">
      <w:pPr>
        <w:pStyle w:val="locus"/>
        <w:rPr>
          <w:rStyle w:val="italicus"/>
          <w:i w:val="0"/>
        </w:rPr>
      </w:pPr>
      <w:r w:rsidRPr="00B233D4">
        <w:rPr>
          <w:rStyle w:val="italicus"/>
          <w:i w:val="0"/>
        </w:rPr>
        <w:t>D.</w:t>
      </w:r>
      <w:r w:rsidRPr="002C4077">
        <w:t xml:space="preserve"> </w:t>
      </w:r>
      <w:r w:rsidRPr="00B233D4">
        <w:rPr>
          <w:rStyle w:val="italicus"/>
          <w:i w:val="0"/>
        </w:rPr>
        <w:t>Quand</w:t>
      </w:r>
      <w:r w:rsidRPr="002C4077">
        <w:t xml:space="preserve"> </w:t>
      </w:r>
      <w:r w:rsidRPr="00B233D4">
        <w:rPr>
          <w:rStyle w:val="italicus"/>
          <w:i w:val="0"/>
        </w:rPr>
        <w:t>est-ce</w:t>
      </w:r>
      <w:r w:rsidRPr="002C4077">
        <w:t xml:space="preserve"> </w:t>
      </w:r>
      <w:r w:rsidRPr="00B233D4">
        <w:rPr>
          <w:rStyle w:val="italicus"/>
          <w:i w:val="0"/>
        </w:rPr>
        <w:t>que</w:t>
      </w:r>
      <w:r w:rsidRPr="002C4077">
        <w:t xml:space="preserve"> </w:t>
      </w:r>
      <w:r w:rsidRPr="00B233D4">
        <w:rPr>
          <w:rStyle w:val="italicus"/>
          <w:i w:val="0"/>
        </w:rPr>
        <w:t>notre</w:t>
      </w:r>
      <w:r w:rsidRPr="002C4077">
        <w:t xml:space="preserve"> </w:t>
      </w:r>
      <w:r w:rsidRPr="00B233D4">
        <w:rPr>
          <w:rStyle w:val="italicus"/>
          <w:i w:val="0"/>
        </w:rPr>
        <w:t>prière</w:t>
      </w:r>
      <w:r w:rsidRPr="002C4077">
        <w:t xml:space="preserve"> </w:t>
      </w:r>
      <w:r w:rsidRPr="00B233D4">
        <w:rPr>
          <w:rStyle w:val="italicus"/>
          <w:i w:val="0"/>
        </w:rPr>
        <w:t>est</w:t>
      </w:r>
      <w:r w:rsidRPr="002C4077">
        <w:t xml:space="preserve"> </w:t>
      </w:r>
      <w:r w:rsidRPr="00B233D4">
        <w:rPr>
          <w:rStyle w:val="italicus"/>
          <w:i w:val="0"/>
        </w:rPr>
        <w:t>agréable</w:t>
      </w:r>
      <w:r w:rsidRPr="002C4077">
        <w:t xml:space="preserve"> </w:t>
      </w:r>
      <w:r w:rsidRPr="00B233D4">
        <w:rPr>
          <w:rStyle w:val="italicus"/>
          <w:i w:val="0"/>
        </w:rPr>
        <w:t>à</w:t>
      </w:r>
      <w:r w:rsidRPr="002C4077">
        <w:t xml:space="preserve"> </w:t>
      </w:r>
      <w:r w:rsidRPr="00B233D4">
        <w:rPr>
          <w:rStyle w:val="italicus"/>
          <w:i w:val="0"/>
        </w:rPr>
        <w:t>Dieu</w:t>
      </w:r>
      <w:r>
        <w:rPr>
          <w:rStyle w:val="italicus"/>
          <w:i w:val="0"/>
        </w:rPr>
        <w:t> </w:t>
      </w:r>
      <w:r w:rsidRPr="00B233D4">
        <w:rPr>
          <w:rStyle w:val="italicus"/>
          <w:i w:val="0"/>
        </w:rPr>
        <w:t>?</w:t>
      </w:r>
      <w:r w:rsidRPr="002C4077">
        <w:t xml:space="preserve"> </w:t>
      </w:r>
    </w:p>
    <w:p w:rsidR="00942C4D" w:rsidRPr="005E2129" w:rsidRDefault="00942C4D" w:rsidP="007E4381">
      <w:pPr>
        <w:pStyle w:val="locus"/>
      </w:pPr>
      <w:r w:rsidRPr="00B233D4">
        <w:rPr>
          <w:rStyle w:val="italicus"/>
          <w:i w:val="0"/>
        </w:rPr>
        <w:t>R.</w:t>
      </w:r>
      <w:r w:rsidRPr="002C4077">
        <w:t xml:space="preserve"> </w:t>
      </w:r>
      <w:r w:rsidRPr="00B233D4">
        <w:rPr>
          <w:rStyle w:val="italicus"/>
          <w:i w:val="0"/>
        </w:rPr>
        <w:t>Dieu</w:t>
      </w:r>
      <w:r w:rsidRPr="002C4077">
        <w:t xml:space="preserve"> </w:t>
      </w:r>
      <w:r w:rsidRPr="00B233D4">
        <w:rPr>
          <w:rStyle w:val="italicus"/>
          <w:i w:val="0"/>
        </w:rPr>
        <w:t>exauce</w:t>
      </w:r>
      <w:r w:rsidRPr="002C4077">
        <w:t xml:space="preserve"> </w:t>
      </w:r>
      <w:r w:rsidRPr="00B233D4">
        <w:rPr>
          <w:rStyle w:val="italicus"/>
          <w:i w:val="0"/>
        </w:rPr>
        <w:t>nos</w:t>
      </w:r>
      <w:r w:rsidRPr="002C4077">
        <w:t xml:space="preserve"> </w:t>
      </w:r>
      <w:r w:rsidRPr="00B233D4">
        <w:rPr>
          <w:rStyle w:val="italicus"/>
          <w:i w:val="0"/>
        </w:rPr>
        <w:t>prières</w:t>
      </w:r>
      <w:r w:rsidRPr="002C4077">
        <w:t xml:space="preserve"> </w:t>
      </w:r>
      <w:r w:rsidRPr="00B233D4">
        <w:rPr>
          <w:rStyle w:val="italicus"/>
          <w:i w:val="0"/>
        </w:rPr>
        <w:t>lorsqu</w:t>
      </w:r>
      <w:r>
        <w:rPr>
          <w:rStyle w:val="italicus"/>
          <w:i w:val="0"/>
        </w:rPr>
        <w:t>’</w:t>
      </w:r>
      <w:r w:rsidRPr="00B233D4">
        <w:rPr>
          <w:rStyle w:val="italicus"/>
          <w:i w:val="0"/>
        </w:rPr>
        <w:t>elles</w:t>
      </w:r>
      <w:r w:rsidRPr="002C4077">
        <w:t xml:space="preserve"> </w:t>
      </w:r>
      <w:r w:rsidRPr="00B233D4">
        <w:rPr>
          <w:rStyle w:val="italicus"/>
          <w:i w:val="0"/>
        </w:rPr>
        <w:t>partent</w:t>
      </w:r>
      <w:r w:rsidRPr="002C4077">
        <w:t xml:space="preserve"> </w:t>
      </w:r>
      <w:r w:rsidRPr="00B233D4">
        <w:rPr>
          <w:rStyle w:val="italicus"/>
          <w:i w:val="0"/>
        </w:rPr>
        <w:t>de</w:t>
      </w:r>
      <w:r w:rsidRPr="002C4077">
        <w:t xml:space="preserve"> </w:t>
      </w:r>
      <w:r w:rsidRPr="00B233D4">
        <w:rPr>
          <w:rStyle w:val="italicus"/>
          <w:i w:val="0"/>
        </w:rPr>
        <w:t>notre</w:t>
      </w:r>
      <w:r w:rsidRPr="002C4077">
        <w:t xml:space="preserve"> </w:t>
      </w:r>
      <w:r w:rsidRPr="00B233D4">
        <w:rPr>
          <w:rStyle w:val="italicus"/>
          <w:i w:val="0"/>
        </w:rPr>
        <w:t>cœur.</w:t>
      </w:r>
      <w:r w:rsidRPr="004440EA">
        <w:t xml:space="preserve"> (</w:t>
      </w:r>
      <w:r w:rsidRPr="00B233D4">
        <w:rPr>
          <w:rStyle w:val="italicus"/>
          <w:i w:val="0"/>
        </w:rPr>
        <w:t>Pages</w:t>
      </w:r>
      <w:r w:rsidRPr="002C4077">
        <w:t xml:space="preserve"> </w:t>
      </w:r>
      <w:r w:rsidRPr="00B233D4">
        <w:rPr>
          <w:rStyle w:val="italicus"/>
          <w:i w:val="0"/>
        </w:rPr>
        <w:t>34-36.</w:t>
      </w:r>
      <w:r w:rsidRPr="002C4077">
        <w:t>)</w:t>
      </w:r>
      <w:r w:rsidR="00C45B47">
        <w:t xml:space="preserve"> {</w:t>
      </w:r>
      <w:r w:rsidR="005E2129">
        <w:t>278</w:t>
      </w:r>
      <w:bookmarkStart w:id="681" w:name="p278"/>
      <w:bookmarkEnd w:id="681"/>
      <w:r w:rsidR="005E2129">
        <w:t xml:space="preserve">} </w:t>
      </w:r>
    </w:p>
    <w:p w:rsidR="000A7AAB" w:rsidRDefault="000A7AAB" w:rsidP="007E4381">
      <w:pPr>
        <w:pStyle w:val="locus"/>
      </w:pPr>
      <w:r>
        <w:t>D.</w:t>
      </w:r>
      <w:r w:rsidRPr="002C4077">
        <w:t xml:space="preserve"> </w:t>
      </w:r>
      <w:r>
        <w:t>Qu’est-ce</w:t>
      </w:r>
      <w:r w:rsidRPr="002C4077">
        <w:t xml:space="preserve"> </w:t>
      </w:r>
      <w:r>
        <w:t>qui</w:t>
      </w:r>
      <w:r w:rsidRPr="002C4077">
        <w:t xml:space="preserve"> </w:t>
      </w:r>
      <w:r>
        <w:t>nous</w:t>
      </w:r>
      <w:r w:rsidRPr="002C4077">
        <w:t xml:space="preserve"> </w:t>
      </w:r>
      <w:r w:rsidR="00425C50">
        <w:t>est</w:t>
      </w:r>
      <w:r w:rsidRPr="002C4077">
        <w:t xml:space="preserve"> </w:t>
      </w:r>
      <w:r>
        <w:t>encore</w:t>
      </w:r>
      <w:r w:rsidRPr="002C4077">
        <w:t xml:space="preserve"> </w:t>
      </w:r>
      <w:r>
        <w:t>nécessaire</w:t>
      </w:r>
      <w:r w:rsidRPr="002C4077">
        <w:t xml:space="preserve"> </w:t>
      </w:r>
      <w:r>
        <w:t>pour</w:t>
      </w:r>
      <w:r w:rsidRPr="002C4077">
        <w:t xml:space="preserve"> </w:t>
      </w:r>
      <w:r>
        <w:t>pouvoir</w:t>
      </w:r>
      <w:r w:rsidRPr="002C4077">
        <w:t xml:space="preserve"> </w:t>
      </w:r>
      <w:r>
        <w:t>faire</w:t>
      </w:r>
      <w:r w:rsidRPr="002C4077">
        <w:t xml:space="preserve"> </w:t>
      </w:r>
      <w:r>
        <w:t>nos</w:t>
      </w:r>
      <w:r w:rsidRPr="002C4077">
        <w:t xml:space="preserve"> </w:t>
      </w:r>
      <w:r>
        <w:t>prières</w:t>
      </w:r>
      <w:r w:rsidR="00B546AF">
        <w:t> ?</w:t>
      </w:r>
      <w:r w:rsidRPr="002C4077">
        <w:t xml:space="preserve"> </w:t>
      </w:r>
    </w:p>
    <w:p w:rsidR="000A7AAB" w:rsidRDefault="000A7AAB" w:rsidP="00942C4D">
      <w:pPr>
        <w:pStyle w:val="locus"/>
      </w:pPr>
      <w:r>
        <w:lastRenderedPageBreak/>
        <w:t>R.</w:t>
      </w:r>
      <w:r w:rsidRPr="002C4077">
        <w:t xml:space="preserve"> </w:t>
      </w:r>
      <w:r>
        <w:t>La</w:t>
      </w:r>
      <w:r w:rsidRPr="002C4077">
        <w:t xml:space="preserve"> </w:t>
      </w:r>
      <w:r>
        <w:t>propreté</w:t>
      </w:r>
      <w:r w:rsidRPr="002C4077">
        <w:t xml:space="preserve"> </w:t>
      </w:r>
      <w:r>
        <w:t>du</w:t>
      </w:r>
      <w:r w:rsidRPr="002C4077">
        <w:t xml:space="preserve"> </w:t>
      </w:r>
      <w:r>
        <w:t>corps</w:t>
      </w:r>
      <w:r w:rsidRPr="002C4077">
        <w:t xml:space="preserve"> </w:t>
      </w:r>
      <w:r w:rsidR="00425C50">
        <w:t>est</w:t>
      </w:r>
      <w:r w:rsidRPr="002C4077">
        <w:t xml:space="preserve"> </w:t>
      </w:r>
      <w:r>
        <w:t>également</w:t>
      </w:r>
      <w:r w:rsidRPr="002C4077">
        <w:t xml:space="preserve"> </w:t>
      </w:r>
      <w:r>
        <w:t>nécessaire</w:t>
      </w:r>
      <w:r w:rsidRPr="002C4077">
        <w:t xml:space="preserve"> </w:t>
      </w:r>
      <w:r>
        <w:t>pour</w:t>
      </w:r>
      <w:r w:rsidRPr="002C4077">
        <w:t xml:space="preserve"> </w:t>
      </w:r>
      <w:r>
        <w:t>pouvoir</w:t>
      </w:r>
      <w:r w:rsidRPr="002C4077">
        <w:t xml:space="preserve"> </w:t>
      </w:r>
      <w:r>
        <w:t>faire</w:t>
      </w:r>
      <w:r w:rsidRPr="002C4077">
        <w:t xml:space="preserve"> </w:t>
      </w:r>
      <w:r>
        <w:t>nos</w:t>
      </w:r>
      <w:r w:rsidRPr="002C4077">
        <w:t xml:space="preserve"> </w:t>
      </w:r>
      <w:r>
        <w:t>prières</w:t>
      </w:r>
      <w:r w:rsidR="00B546AF">
        <w:t> ;</w:t>
      </w:r>
      <w:r w:rsidRPr="002C4077">
        <w:t xml:space="preserve"> </w:t>
      </w:r>
      <w:r>
        <w:t>c’est</w:t>
      </w:r>
      <w:r w:rsidRPr="002C4077">
        <w:t xml:space="preserve"> </w:t>
      </w:r>
      <w:r>
        <w:t>pourquoi</w:t>
      </w:r>
      <w:r w:rsidRPr="002C4077">
        <w:t xml:space="preserve"> </w:t>
      </w:r>
      <w:r>
        <w:t>nous</w:t>
      </w:r>
      <w:r w:rsidRPr="002C4077">
        <w:t xml:space="preserve"> </w:t>
      </w:r>
      <w:r>
        <w:t>devons</w:t>
      </w:r>
      <w:r w:rsidRPr="002C4077">
        <w:t xml:space="preserve"> </w:t>
      </w:r>
      <w:r>
        <w:t>nous</w:t>
      </w:r>
      <w:r w:rsidRPr="002C4077">
        <w:t xml:space="preserve"> </w:t>
      </w:r>
      <w:r>
        <w:t>laver</w:t>
      </w:r>
      <w:r w:rsidRPr="002C4077">
        <w:t xml:space="preserve"> </w:t>
      </w:r>
      <w:r>
        <w:t>les</w:t>
      </w:r>
      <w:r w:rsidRPr="002C4077">
        <w:t xml:space="preserve"> </w:t>
      </w:r>
      <w:r>
        <w:t>mains</w:t>
      </w:r>
      <w:r w:rsidRPr="002C4077">
        <w:t xml:space="preserve"> </w:t>
      </w:r>
      <w:r>
        <w:t>et</w:t>
      </w:r>
      <w:r w:rsidRPr="002C4077">
        <w:t xml:space="preserve"> </w:t>
      </w:r>
      <w:r>
        <w:t>le</w:t>
      </w:r>
      <w:r w:rsidRPr="002C4077">
        <w:t xml:space="preserve"> </w:t>
      </w:r>
      <w:r>
        <w:t>visage</w:t>
      </w:r>
      <w:r w:rsidRPr="002C4077">
        <w:t xml:space="preserve"> </w:t>
      </w:r>
      <w:r>
        <w:t>tous</w:t>
      </w:r>
      <w:r w:rsidRPr="002C4077">
        <w:t xml:space="preserve"> </w:t>
      </w:r>
      <w:r>
        <w:t>les</w:t>
      </w:r>
      <w:r w:rsidRPr="002C4077">
        <w:t xml:space="preserve"> </w:t>
      </w:r>
      <w:r>
        <w:t>matins,</w:t>
      </w:r>
      <w:r w:rsidRPr="002C4077">
        <w:t xml:space="preserve"> </w:t>
      </w:r>
      <w:r>
        <w:t>et</w:t>
      </w:r>
      <w:r w:rsidRPr="002C4077">
        <w:t xml:space="preserve"> </w:t>
      </w:r>
      <w:r>
        <w:t>nous</w:t>
      </w:r>
      <w:r w:rsidRPr="002C4077">
        <w:t xml:space="preserve"> </w:t>
      </w:r>
      <w:r>
        <w:t>laver</w:t>
      </w:r>
      <w:r w:rsidRPr="002C4077">
        <w:t xml:space="preserve"> </w:t>
      </w:r>
      <w:r>
        <w:t>également</w:t>
      </w:r>
      <w:r w:rsidRPr="002C4077">
        <w:t xml:space="preserve"> </w:t>
      </w:r>
      <w:r>
        <w:t>les</w:t>
      </w:r>
      <w:r w:rsidRPr="002C4077">
        <w:t xml:space="preserve"> </w:t>
      </w:r>
      <w:r>
        <w:t>mains</w:t>
      </w:r>
      <w:r w:rsidRPr="002C4077">
        <w:t xml:space="preserve"> </w:t>
      </w:r>
      <w:r>
        <w:t>pour</w:t>
      </w:r>
      <w:r w:rsidRPr="002C4077">
        <w:t xml:space="preserve"> </w:t>
      </w:r>
      <w:r>
        <w:t>réciter</w:t>
      </w:r>
      <w:r w:rsidRPr="002C4077">
        <w:t xml:space="preserve"> </w:t>
      </w:r>
      <w:r>
        <w:t>la</w:t>
      </w:r>
      <w:r w:rsidRPr="002C4077">
        <w:t xml:space="preserve"> </w:t>
      </w:r>
      <w:r>
        <w:t>bénédiction</w:t>
      </w:r>
      <w:r w:rsidRPr="002C4077">
        <w:t xml:space="preserve"> </w:t>
      </w:r>
      <w:r>
        <w:t>qui</w:t>
      </w:r>
      <w:r w:rsidRPr="002C4077">
        <w:t xml:space="preserve"> </w:t>
      </w:r>
      <w:r>
        <w:t>se</w:t>
      </w:r>
      <w:r w:rsidRPr="002C4077">
        <w:t xml:space="preserve"> </w:t>
      </w:r>
      <w:r>
        <w:t>dit</w:t>
      </w:r>
      <w:r w:rsidRPr="002C4077">
        <w:t xml:space="preserve"> </w:t>
      </w:r>
      <w:r>
        <w:t>avant</w:t>
      </w:r>
      <w:r w:rsidRPr="002C4077">
        <w:t xml:space="preserve"> </w:t>
      </w:r>
      <w:r>
        <w:t>le</w:t>
      </w:r>
      <w:r w:rsidRPr="002C4077">
        <w:t xml:space="preserve"> </w:t>
      </w:r>
      <w:r>
        <w:t>repas</w:t>
      </w:r>
      <w:r w:rsidR="00B91AF7">
        <w:rPr>
          <w:rStyle w:val="Appelnotedebasdep"/>
        </w:rPr>
        <w:footnoteReference w:id="850"/>
      </w:r>
      <w:r>
        <w:t>.</w:t>
      </w:r>
      <w:r w:rsidRPr="002C4077">
        <w:t xml:space="preserve"> </w:t>
      </w:r>
    </w:p>
    <w:p w:rsidR="000A7AAB" w:rsidRDefault="000A7AAB" w:rsidP="000A7AAB">
      <w:r>
        <w:t>Voilà</w:t>
      </w:r>
      <w:r w:rsidRPr="002C4077">
        <w:t xml:space="preserve"> </w:t>
      </w:r>
      <w:r>
        <w:t>bien</w:t>
      </w:r>
      <w:r w:rsidRPr="002C4077">
        <w:t xml:space="preserve"> </w:t>
      </w:r>
      <w:r>
        <w:t>les</w:t>
      </w:r>
      <w:r w:rsidRPr="002C4077">
        <w:t xml:space="preserve"> </w:t>
      </w:r>
      <w:r>
        <w:t>descendants</w:t>
      </w:r>
      <w:r w:rsidRPr="002C4077">
        <w:t xml:space="preserve"> </w:t>
      </w:r>
      <w:r>
        <w:t>de</w:t>
      </w:r>
      <w:r w:rsidRPr="002C4077">
        <w:t xml:space="preserve"> </w:t>
      </w:r>
      <w:r>
        <w:t>ces</w:t>
      </w:r>
      <w:r w:rsidRPr="002C4077">
        <w:t xml:space="preserve"> </w:t>
      </w:r>
      <w:r>
        <w:t>Pharisiens</w:t>
      </w:r>
      <w:r w:rsidRPr="002C4077">
        <w:t xml:space="preserve"> </w:t>
      </w:r>
      <w:r>
        <w:t>qui</w:t>
      </w:r>
      <w:r w:rsidRPr="002C4077">
        <w:t xml:space="preserve"> </w:t>
      </w:r>
      <w:r>
        <w:t>reprochaient</w:t>
      </w:r>
      <w:r w:rsidRPr="002C4077">
        <w:t xml:space="preserve"> </w:t>
      </w:r>
      <w:r>
        <w:t>aux</w:t>
      </w:r>
      <w:r w:rsidRPr="002C4077">
        <w:t xml:space="preserve"> </w:t>
      </w:r>
      <w:r>
        <w:t>disciples</w:t>
      </w:r>
      <w:r w:rsidRPr="002C4077">
        <w:t xml:space="preserve"> </w:t>
      </w:r>
      <w:r>
        <w:t>du</w:t>
      </w:r>
      <w:r w:rsidRPr="002C4077">
        <w:t xml:space="preserve"> </w:t>
      </w:r>
      <w:r>
        <w:t>Sauveur,</w:t>
      </w:r>
      <w:r w:rsidRPr="002C4077">
        <w:t xml:space="preserve"> </w:t>
      </w:r>
      <w:r>
        <w:t>comme</w:t>
      </w:r>
      <w:r w:rsidRPr="002C4077">
        <w:t xml:space="preserve"> </w:t>
      </w:r>
      <w:r>
        <w:t>un</w:t>
      </w:r>
      <w:r w:rsidRPr="002C4077">
        <w:t xml:space="preserve"> </w:t>
      </w:r>
      <w:r>
        <w:t>crime</w:t>
      </w:r>
      <w:r w:rsidRPr="002C4077">
        <w:t xml:space="preserve"> </w:t>
      </w:r>
      <w:r>
        <w:t>énorme,</w:t>
      </w:r>
      <w:r w:rsidRPr="002C4077">
        <w:t xml:space="preserve"> </w:t>
      </w:r>
      <w:r>
        <w:t>de</w:t>
      </w:r>
      <w:r w:rsidRPr="002C4077">
        <w:t xml:space="preserve"> </w:t>
      </w:r>
      <w:r>
        <w:t>ne</w:t>
      </w:r>
      <w:r w:rsidRPr="002C4077">
        <w:t xml:space="preserve"> </w:t>
      </w:r>
      <w:r>
        <w:t>point</w:t>
      </w:r>
      <w:r w:rsidRPr="002C4077">
        <w:t xml:space="preserve"> </w:t>
      </w:r>
      <w:r>
        <w:t>pratiquer</w:t>
      </w:r>
      <w:r w:rsidRPr="002C4077">
        <w:t xml:space="preserve"> </w:t>
      </w:r>
      <w:r>
        <w:t>avant</w:t>
      </w:r>
      <w:r w:rsidRPr="002C4077">
        <w:t xml:space="preserve"> </w:t>
      </w:r>
      <w:r>
        <w:t>leur</w:t>
      </w:r>
      <w:r w:rsidRPr="002C4077">
        <w:t xml:space="preserve"> </w:t>
      </w:r>
      <w:r>
        <w:t>repas</w:t>
      </w:r>
      <w:r w:rsidRPr="002C4077">
        <w:t xml:space="preserve"> </w:t>
      </w:r>
      <w:r>
        <w:t>les</w:t>
      </w:r>
      <w:r w:rsidRPr="002C4077">
        <w:t xml:space="preserve"> </w:t>
      </w:r>
      <w:r>
        <w:t>ablutions</w:t>
      </w:r>
      <w:r w:rsidRPr="002C4077">
        <w:t xml:space="preserve"> </w:t>
      </w:r>
      <w:r>
        <w:t>traditionnelles</w:t>
      </w:r>
      <w:r w:rsidR="00B91AF7">
        <w:rPr>
          <w:rStyle w:val="Appelnotedebasdep"/>
        </w:rPr>
        <w:footnoteReference w:id="851"/>
      </w:r>
      <w:r>
        <w:t>.</w:t>
      </w:r>
      <w:r w:rsidRPr="002C4077">
        <w:t xml:space="preserve"> </w:t>
      </w:r>
    </w:p>
    <w:p w:rsidR="00942C4D" w:rsidRDefault="00942C4D" w:rsidP="000A7AAB"/>
    <w:p w:rsidR="000A7AAB" w:rsidRDefault="000A7AAB" w:rsidP="00942C4D">
      <w:pPr>
        <w:pStyle w:val="centrum"/>
      </w:pPr>
      <w:r>
        <w:t>DES</w:t>
      </w:r>
      <w:r w:rsidRPr="002C4077">
        <w:t xml:space="preserve"> </w:t>
      </w:r>
      <w:r>
        <w:t>DEVOIRS</w:t>
      </w:r>
      <w:r w:rsidRPr="002C4077">
        <w:t xml:space="preserve"> </w:t>
      </w:r>
      <w:r>
        <w:t>ENVERS</w:t>
      </w:r>
      <w:r w:rsidRPr="002C4077">
        <w:t xml:space="preserve"> </w:t>
      </w:r>
      <w:r>
        <w:t>LA</w:t>
      </w:r>
      <w:r w:rsidRPr="002C4077">
        <w:t xml:space="preserve"> </w:t>
      </w:r>
      <w:r>
        <w:t>PATRIE.</w:t>
      </w:r>
      <w:r w:rsidRPr="002C4077">
        <w:t xml:space="preserve"> </w:t>
      </w:r>
    </w:p>
    <w:p w:rsidR="000A7AAB" w:rsidRDefault="000A7AAB" w:rsidP="00942C4D">
      <w:pPr>
        <w:pStyle w:val="locus"/>
      </w:pPr>
      <w:r>
        <w:t>D.</w:t>
      </w:r>
      <w:r w:rsidRPr="002C4077">
        <w:t xml:space="preserve"> </w:t>
      </w:r>
      <w:r>
        <w:t>Qu’entendez-vous</w:t>
      </w:r>
      <w:r w:rsidRPr="002C4077">
        <w:t xml:space="preserve"> </w:t>
      </w:r>
      <w:r>
        <w:t>par</w:t>
      </w:r>
      <w:r w:rsidRPr="002C4077">
        <w:t xml:space="preserve"> </w:t>
      </w:r>
      <w:r>
        <w:t>le</w:t>
      </w:r>
      <w:r w:rsidRPr="002C4077">
        <w:t xml:space="preserve"> </w:t>
      </w:r>
      <w:r>
        <w:t>mot</w:t>
      </w:r>
      <w:r w:rsidRPr="002C4077">
        <w:t xml:space="preserve"> </w:t>
      </w:r>
      <w:r>
        <w:t>Patrie</w:t>
      </w:r>
      <w:r w:rsidR="00B546AF">
        <w:t> ?</w:t>
      </w:r>
      <w:r w:rsidRPr="002C4077">
        <w:t xml:space="preserve"> </w:t>
      </w:r>
    </w:p>
    <w:p w:rsidR="000A7AAB" w:rsidRDefault="000A7AAB" w:rsidP="00942C4D">
      <w:pPr>
        <w:pStyle w:val="locus"/>
      </w:pPr>
      <w:r>
        <w:t>R.</w:t>
      </w:r>
      <w:r w:rsidRPr="002C4077">
        <w:t xml:space="preserve"> </w:t>
      </w:r>
      <w:r>
        <w:t>J’entends</w:t>
      </w:r>
      <w:r w:rsidRPr="002C4077">
        <w:t xml:space="preserve"> </w:t>
      </w:r>
      <w:r>
        <w:t>par</w:t>
      </w:r>
      <w:r w:rsidRPr="002C4077">
        <w:t xml:space="preserve"> </w:t>
      </w:r>
      <w:r>
        <w:t>là</w:t>
      </w:r>
      <w:r w:rsidRPr="002C4077">
        <w:t xml:space="preserve"> </w:t>
      </w:r>
      <w:r>
        <w:t>le</w:t>
      </w:r>
      <w:r w:rsidRPr="002C4077">
        <w:t xml:space="preserve"> </w:t>
      </w:r>
      <w:r>
        <w:t>pays</w:t>
      </w:r>
      <w:r w:rsidRPr="002C4077">
        <w:t xml:space="preserve"> </w:t>
      </w:r>
      <w:r>
        <w:t>où</w:t>
      </w:r>
      <w:r w:rsidRPr="002C4077">
        <w:t xml:space="preserve"> </w:t>
      </w:r>
      <w:r>
        <w:t>l’homme</w:t>
      </w:r>
      <w:r w:rsidRPr="002C4077">
        <w:t xml:space="preserve"> </w:t>
      </w:r>
      <w:r w:rsidR="00425C50">
        <w:t>est</w:t>
      </w:r>
      <w:r w:rsidRPr="002C4077">
        <w:t xml:space="preserve"> </w:t>
      </w:r>
      <w:r>
        <w:t>né</w:t>
      </w:r>
      <w:r w:rsidRPr="002C4077">
        <w:t xml:space="preserve"> </w:t>
      </w:r>
      <w:r>
        <w:t>et</w:t>
      </w:r>
      <w:r w:rsidRPr="002C4077">
        <w:t xml:space="preserve"> </w:t>
      </w:r>
      <w:r>
        <w:t>élevé,</w:t>
      </w:r>
      <w:r w:rsidRPr="002C4077">
        <w:t xml:space="preserve"> </w:t>
      </w:r>
      <w:r>
        <w:t>ou</w:t>
      </w:r>
      <w:r w:rsidRPr="002C4077">
        <w:t xml:space="preserve"> </w:t>
      </w:r>
      <w:r>
        <w:t>dans</w:t>
      </w:r>
      <w:r w:rsidRPr="002C4077">
        <w:t xml:space="preserve"> </w:t>
      </w:r>
      <w:r>
        <w:t>lequel</w:t>
      </w:r>
      <w:r w:rsidRPr="002C4077">
        <w:t xml:space="preserve"> </w:t>
      </w:r>
      <w:r>
        <w:t>il.</w:t>
      </w:r>
      <w:r w:rsidRPr="002C4077">
        <w:t xml:space="preserve"> </w:t>
      </w:r>
      <w:r>
        <w:t>vit</w:t>
      </w:r>
      <w:r w:rsidRPr="002C4077">
        <w:t xml:space="preserve"> </w:t>
      </w:r>
      <w:r>
        <w:t>sous</w:t>
      </w:r>
      <w:r w:rsidRPr="002C4077">
        <w:t xml:space="preserve"> </w:t>
      </w:r>
      <w:r>
        <w:t>la</w:t>
      </w:r>
      <w:r w:rsidRPr="002C4077">
        <w:t xml:space="preserve"> </w:t>
      </w:r>
      <w:r>
        <w:t>garantie</w:t>
      </w:r>
      <w:r w:rsidRPr="002C4077">
        <w:t xml:space="preserve"> </w:t>
      </w:r>
      <w:r>
        <w:t>des</w:t>
      </w:r>
      <w:r w:rsidRPr="002C4077">
        <w:t xml:space="preserve"> </w:t>
      </w:r>
      <w:r>
        <w:t>lois</w:t>
      </w:r>
      <w:r w:rsidRPr="002C4077">
        <w:t xml:space="preserve"> </w:t>
      </w:r>
      <w:r>
        <w:t>qui</w:t>
      </w:r>
      <w:r w:rsidRPr="002C4077">
        <w:t xml:space="preserve"> </w:t>
      </w:r>
      <w:r>
        <w:t>assurent</w:t>
      </w:r>
      <w:r w:rsidRPr="002C4077">
        <w:t xml:space="preserve"> </w:t>
      </w:r>
      <w:r>
        <w:t>à</w:t>
      </w:r>
      <w:r w:rsidRPr="002C4077">
        <w:t xml:space="preserve"> </w:t>
      </w:r>
      <w:r>
        <w:t>tous</w:t>
      </w:r>
      <w:r w:rsidRPr="002C4077">
        <w:t xml:space="preserve"> </w:t>
      </w:r>
      <w:r>
        <w:t>les</w:t>
      </w:r>
      <w:r w:rsidRPr="002C4077">
        <w:t xml:space="preserve"> </w:t>
      </w:r>
      <w:r>
        <w:t>habitants</w:t>
      </w:r>
      <w:r w:rsidRPr="002C4077">
        <w:t xml:space="preserve"> </w:t>
      </w:r>
      <w:r>
        <w:t>la</w:t>
      </w:r>
      <w:r w:rsidRPr="002C4077">
        <w:t xml:space="preserve"> </w:t>
      </w:r>
      <w:r>
        <w:t>possession</w:t>
      </w:r>
      <w:r w:rsidRPr="002C4077">
        <w:t xml:space="preserve"> </w:t>
      </w:r>
      <w:r>
        <w:t>paisible</w:t>
      </w:r>
      <w:r w:rsidRPr="002C4077">
        <w:t xml:space="preserve"> </w:t>
      </w:r>
      <w:r>
        <w:t>de</w:t>
      </w:r>
      <w:r w:rsidRPr="002C4077">
        <w:t xml:space="preserve"> </w:t>
      </w:r>
      <w:r>
        <w:t>leurs</w:t>
      </w:r>
      <w:r w:rsidRPr="002C4077">
        <w:t xml:space="preserve"> </w:t>
      </w:r>
      <w:r>
        <w:t>propriétés,</w:t>
      </w:r>
      <w:r w:rsidRPr="002C4077">
        <w:t xml:space="preserve"> </w:t>
      </w:r>
      <w:r>
        <w:t>l’exercice</w:t>
      </w:r>
      <w:r w:rsidRPr="002C4077">
        <w:t xml:space="preserve"> </w:t>
      </w:r>
      <w:r>
        <w:t>de</w:t>
      </w:r>
      <w:r w:rsidRPr="002C4077">
        <w:t xml:space="preserve"> </w:t>
      </w:r>
      <w:r>
        <w:t>leurs</w:t>
      </w:r>
      <w:r w:rsidRPr="002C4077">
        <w:t xml:space="preserve"> </w:t>
      </w:r>
      <w:r>
        <w:t>droits</w:t>
      </w:r>
      <w:r w:rsidRPr="002C4077">
        <w:t xml:space="preserve"> </w:t>
      </w:r>
      <w:r>
        <w:t>et</w:t>
      </w:r>
      <w:r w:rsidRPr="002C4077">
        <w:t xml:space="preserve"> </w:t>
      </w:r>
      <w:r>
        <w:t>la</w:t>
      </w:r>
      <w:r w:rsidRPr="002C4077">
        <w:t xml:space="preserve"> </w:t>
      </w:r>
      <w:r>
        <w:t>jouissance</w:t>
      </w:r>
      <w:r w:rsidRPr="002C4077">
        <w:t xml:space="preserve"> </w:t>
      </w:r>
      <w:r>
        <w:t>du</w:t>
      </w:r>
      <w:r w:rsidRPr="002C4077">
        <w:t xml:space="preserve"> </w:t>
      </w:r>
      <w:r>
        <w:t>fruit</w:t>
      </w:r>
      <w:r w:rsidRPr="002C4077">
        <w:t xml:space="preserve"> </w:t>
      </w:r>
      <w:r>
        <w:t>de</w:t>
      </w:r>
      <w:r w:rsidRPr="002C4077">
        <w:t xml:space="preserve"> </w:t>
      </w:r>
      <w:r>
        <w:t>leur</w:t>
      </w:r>
      <w:r w:rsidRPr="002C4077">
        <w:t xml:space="preserve"> </w:t>
      </w:r>
      <w:r>
        <w:t>travail.</w:t>
      </w:r>
      <w:r w:rsidRPr="002C4077">
        <w:t xml:space="preserve"> </w:t>
      </w:r>
    </w:p>
    <w:p w:rsidR="000A7AAB" w:rsidRDefault="000A7AAB" w:rsidP="00942C4D">
      <w:pPr>
        <w:pStyle w:val="locus"/>
      </w:pPr>
      <w:r>
        <w:t>D.</w:t>
      </w:r>
      <w:r w:rsidRPr="002C4077">
        <w:t xml:space="preserve"> </w:t>
      </w:r>
      <w:r>
        <w:t>Quelle</w:t>
      </w:r>
      <w:r w:rsidRPr="002C4077">
        <w:t xml:space="preserve"> </w:t>
      </w:r>
      <w:r w:rsidR="00425C50">
        <w:t>est</w:t>
      </w:r>
      <w:r w:rsidRPr="002C4077">
        <w:t xml:space="preserve"> </w:t>
      </w:r>
      <w:r>
        <w:t>notre</w:t>
      </w:r>
      <w:r w:rsidRPr="002C4077">
        <w:t xml:space="preserve"> </w:t>
      </w:r>
      <w:r>
        <w:t>patrie</w:t>
      </w:r>
      <w:r w:rsidR="00B546AF">
        <w:t> ?</w:t>
      </w:r>
      <w:r w:rsidRPr="002C4077">
        <w:t xml:space="preserve"> </w:t>
      </w:r>
    </w:p>
    <w:p w:rsidR="000A7AAB" w:rsidRDefault="000A7AAB" w:rsidP="00942C4D">
      <w:pPr>
        <w:pStyle w:val="locus"/>
      </w:pPr>
      <w:r>
        <w:t>R.</w:t>
      </w:r>
      <w:r w:rsidRPr="002C4077">
        <w:t xml:space="preserve"> </w:t>
      </w:r>
      <w:r>
        <w:t>La</w:t>
      </w:r>
      <w:r w:rsidRPr="002C4077">
        <w:t xml:space="preserve"> </w:t>
      </w:r>
      <w:r>
        <w:t>France.</w:t>
      </w:r>
      <w:r w:rsidRPr="002C4077">
        <w:t xml:space="preserve"> </w:t>
      </w:r>
    </w:p>
    <w:p w:rsidR="000A7AAB" w:rsidRDefault="000A7AAB" w:rsidP="00942C4D">
      <w:pPr>
        <w:pStyle w:val="locus"/>
      </w:pPr>
      <w:r>
        <w:t>D.</w:t>
      </w:r>
      <w:r w:rsidRPr="002C4077">
        <w:t xml:space="preserve"> </w:t>
      </w:r>
      <w:r>
        <w:t>Quels</w:t>
      </w:r>
      <w:r w:rsidRPr="002C4077">
        <w:t xml:space="preserve"> </w:t>
      </w:r>
      <w:r>
        <w:t>sont</w:t>
      </w:r>
      <w:r w:rsidRPr="002C4077">
        <w:t xml:space="preserve"> </w:t>
      </w:r>
      <w:r>
        <w:t>nos</w:t>
      </w:r>
      <w:r w:rsidRPr="002C4077">
        <w:t xml:space="preserve"> </w:t>
      </w:r>
      <w:r>
        <w:t>devoirs</w:t>
      </w:r>
      <w:r w:rsidRPr="002C4077">
        <w:t xml:space="preserve"> </w:t>
      </w:r>
      <w:r>
        <w:t>envers</w:t>
      </w:r>
      <w:r w:rsidRPr="002C4077">
        <w:t xml:space="preserve"> </w:t>
      </w:r>
      <w:r>
        <w:t>la</w:t>
      </w:r>
      <w:r w:rsidRPr="002C4077">
        <w:t xml:space="preserve"> </w:t>
      </w:r>
      <w:r>
        <w:t>France</w:t>
      </w:r>
      <w:r w:rsidR="00B546AF">
        <w:t> ?</w:t>
      </w:r>
      <w:r w:rsidRPr="002C4077">
        <w:t xml:space="preserve"> </w:t>
      </w:r>
    </w:p>
    <w:p w:rsidR="000A7AAB" w:rsidRDefault="000A7AAB" w:rsidP="00942C4D">
      <w:pPr>
        <w:pStyle w:val="locus"/>
      </w:pPr>
      <w:r>
        <w:t>R.</w:t>
      </w:r>
      <w:r w:rsidRPr="002C4077">
        <w:t xml:space="preserve"> </w:t>
      </w:r>
      <w:r>
        <w:t>Il</w:t>
      </w:r>
      <w:r w:rsidRPr="002C4077">
        <w:t xml:space="preserve"> </w:t>
      </w:r>
      <w:r w:rsidR="00425C50">
        <w:t>est</w:t>
      </w:r>
      <w:r w:rsidRPr="002C4077">
        <w:t xml:space="preserve"> </w:t>
      </w:r>
      <w:r>
        <w:t>de</w:t>
      </w:r>
      <w:r w:rsidRPr="002C4077">
        <w:t xml:space="preserve"> </w:t>
      </w:r>
      <w:r>
        <w:t>notre</w:t>
      </w:r>
      <w:r w:rsidRPr="002C4077">
        <w:t xml:space="preserve"> </w:t>
      </w:r>
      <w:r>
        <w:t>devoir</w:t>
      </w:r>
      <w:r w:rsidRPr="002C4077">
        <w:t xml:space="preserve"> </w:t>
      </w:r>
      <w:r>
        <w:t>d’obéir</w:t>
      </w:r>
      <w:r w:rsidRPr="002C4077">
        <w:t xml:space="preserve"> </w:t>
      </w:r>
      <w:r>
        <w:t>aux</w:t>
      </w:r>
      <w:r w:rsidRPr="002C4077">
        <w:t xml:space="preserve"> </w:t>
      </w:r>
      <w:r>
        <w:t>lois</w:t>
      </w:r>
      <w:r w:rsidRPr="002C4077">
        <w:t xml:space="preserve"> </w:t>
      </w:r>
      <w:r>
        <w:t>de</w:t>
      </w:r>
      <w:r w:rsidRPr="002C4077">
        <w:t xml:space="preserve"> </w:t>
      </w:r>
      <w:r>
        <w:t>l’État,</w:t>
      </w:r>
      <w:r w:rsidRPr="002C4077">
        <w:t xml:space="preserve"> </w:t>
      </w:r>
      <w:r>
        <w:t>d’être</w:t>
      </w:r>
      <w:r w:rsidRPr="002C4077">
        <w:t xml:space="preserve"> </w:t>
      </w:r>
      <w:r>
        <w:t>fidèles</w:t>
      </w:r>
      <w:r w:rsidRPr="002C4077">
        <w:t xml:space="preserve"> </w:t>
      </w:r>
      <w:r>
        <w:t>au</w:t>
      </w:r>
      <w:r w:rsidRPr="002C4077">
        <w:t xml:space="preserve"> </w:t>
      </w:r>
      <w:r>
        <w:t>chef</w:t>
      </w:r>
      <w:r w:rsidRPr="002C4077">
        <w:t xml:space="preserve"> </w:t>
      </w:r>
      <w:r>
        <w:t>de</w:t>
      </w:r>
      <w:r w:rsidRPr="002C4077">
        <w:t xml:space="preserve"> </w:t>
      </w:r>
      <w:r>
        <w:t>l’État,</w:t>
      </w:r>
      <w:r w:rsidRPr="002C4077">
        <w:t xml:space="preserve"> </w:t>
      </w:r>
      <w:r>
        <w:t>de</w:t>
      </w:r>
      <w:r w:rsidRPr="002C4077">
        <w:t xml:space="preserve"> </w:t>
      </w:r>
      <w:r>
        <w:t>préférer</w:t>
      </w:r>
      <w:r w:rsidRPr="002C4077">
        <w:t xml:space="preserve"> </w:t>
      </w:r>
      <w:r>
        <w:t>les</w:t>
      </w:r>
      <w:r w:rsidRPr="002C4077">
        <w:t xml:space="preserve"> </w:t>
      </w:r>
      <w:r>
        <w:t>intérêts</w:t>
      </w:r>
      <w:r w:rsidRPr="002C4077">
        <w:t xml:space="preserve"> </w:t>
      </w:r>
      <w:r>
        <w:t>de</w:t>
      </w:r>
      <w:r w:rsidRPr="002C4077">
        <w:t xml:space="preserve"> </w:t>
      </w:r>
      <w:r>
        <w:t>la</w:t>
      </w:r>
      <w:r w:rsidRPr="002C4077">
        <w:t xml:space="preserve"> </w:t>
      </w:r>
      <w:r>
        <w:t>patrie</w:t>
      </w:r>
      <w:r w:rsidRPr="002C4077">
        <w:t xml:space="preserve"> </w:t>
      </w:r>
      <w:r>
        <w:t>à</w:t>
      </w:r>
      <w:r w:rsidRPr="002C4077">
        <w:t xml:space="preserve"> </w:t>
      </w:r>
      <w:r>
        <w:t>nos</w:t>
      </w:r>
      <w:r w:rsidRPr="002C4077">
        <w:t xml:space="preserve"> </w:t>
      </w:r>
      <w:r>
        <w:t>intérêts</w:t>
      </w:r>
      <w:r w:rsidRPr="002C4077">
        <w:t xml:space="preserve"> </w:t>
      </w:r>
      <w:r>
        <w:t>personnels,</w:t>
      </w:r>
      <w:r w:rsidRPr="002C4077">
        <w:t xml:space="preserve"> </w:t>
      </w:r>
      <w:r>
        <w:t>et</w:t>
      </w:r>
      <w:r w:rsidRPr="002C4077">
        <w:t xml:space="preserve"> </w:t>
      </w:r>
      <w:r>
        <w:t>de</w:t>
      </w:r>
      <w:r w:rsidRPr="002C4077">
        <w:t xml:space="preserve"> </w:t>
      </w:r>
      <w:r>
        <w:t>contribuer</w:t>
      </w:r>
      <w:r w:rsidRPr="002C4077">
        <w:t xml:space="preserve"> </w:t>
      </w:r>
      <w:r>
        <w:t>par</w:t>
      </w:r>
      <w:r w:rsidRPr="002C4077">
        <w:t xml:space="preserve"> </w:t>
      </w:r>
      <w:r>
        <w:t>tous</w:t>
      </w:r>
      <w:r w:rsidRPr="002C4077">
        <w:t xml:space="preserve"> </w:t>
      </w:r>
      <w:r>
        <w:t>les</w:t>
      </w:r>
      <w:r w:rsidRPr="002C4077">
        <w:t xml:space="preserve"> </w:t>
      </w:r>
      <w:r>
        <w:t>moyens</w:t>
      </w:r>
      <w:r w:rsidRPr="002C4077">
        <w:t xml:space="preserve"> </w:t>
      </w:r>
      <w:r>
        <w:t>à</w:t>
      </w:r>
      <w:r w:rsidRPr="002C4077">
        <w:t xml:space="preserve"> </w:t>
      </w:r>
      <w:r>
        <w:t>la</w:t>
      </w:r>
      <w:r w:rsidRPr="002C4077">
        <w:t xml:space="preserve"> </w:t>
      </w:r>
      <w:r>
        <w:t>paix</w:t>
      </w:r>
      <w:r w:rsidRPr="002C4077">
        <w:t xml:space="preserve"> </w:t>
      </w:r>
      <w:r>
        <w:t>et</w:t>
      </w:r>
      <w:r w:rsidRPr="002C4077">
        <w:t xml:space="preserve"> </w:t>
      </w:r>
      <w:r>
        <w:t>à</w:t>
      </w:r>
      <w:r w:rsidRPr="002C4077">
        <w:t xml:space="preserve"> </w:t>
      </w:r>
      <w:r>
        <w:t>la</w:t>
      </w:r>
      <w:r w:rsidRPr="002C4077">
        <w:t xml:space="preserve"> </w:t>
      </w:r>
      <w:r>
        <w:t>prospérité</w:t>
      </w:r>
      <w:r w:rsidRPr="002C4077">
        <w:t xml:space="preserve"> </w:t>
      </w:r>
      <w:r>
        <w:t>de</w:t>
      </w:r>
      <w:r w:rsidRPr="002C4077">
        <w:t xml:space="preserve"> </w:t>
      </w:r>
      <w:r>
        <w:t>la</w:t>
      </w:r>
      <w:r w:rsidRPr="002C4077">
        <w:t xml:space="preserve"> </w:t>
      </w:r>
      <w:r>
        <w:t>patrie.</w:t>
      </w:r>
      <w:r w:rsidRPr="002C4077">
        <w:t xml:space="preserve"> </w:t>
      </w:r>
    </w:p>
    <w:p w:rsidR="000A7AAB" w:rsidRDefault="000A7AAB" w:rsidP="00942C4D">
      <w:pPr>
        <w:pStyle w:val="locus"/>
      </w:pPr>
      <w:r>
        <w:t>D.</w:t>
      </w:r>
      <w:r w:rsidRPr="002C4077">
        <w:t xml:space="preserve"> </w:t>
      </w:r>
      <w:r>
        <w:t>Un</w:t>
      </w:r>
      <w:r w:rsidRPr="002C4077">
        <w:t xml:space="preserve"> </w:t>
      </w:r>
      <w:r>
        <w:t>Israélite</w:t>
      </w:r>
      <w:r w:rsidRPr="002C4077">
        <w:t xml:space="preserve"> </w:t>
      </w:r>
      <w:r>
        <w:t>appelé</w:t>
      </w:r>
      <w:r w:rsidRPr="002C4077">
        <w:t xml:space="preserve"> </w:t>
      </w:r>
      <w:r>
        <w:t>au</w:t>
      </w:r>
      <w:r w:rsidRPr="002C4077">
        <w:t xml:space="preserve"> </w:t>
      </w:r>
      <w:r>
        <w:t>service</w:t>
      </w:r>
      <w:r w:rsidRPr="002C4077">
        <w:t xml:space="preserve"> </w:t>
      </w:r>
      <w:r>
        <w:t>militaire</w:t>
      </w:r>
      <w:r w:rsidRPr="002C4077">
        <w:t xml:space="preserve"> </w:t>
      </w:r>
      <w:r w:rsidR="00425C50">
        <w:t>est</w:t>
      </w:r>
      <w:r>
        <w:t>-il</w:t>
      </w:r>
      <w:r w:rsidRPr="002C4077">
        <w:t xml:space="preserve"> </w:t>
      </w:r>
      <w:r>
        <w:t>tenu</w:t>
      </w:r>
      <w:r w:rsidRPr="002C4077">
        <w:t xml:space="preserve"> </w:t>
      </w:r>
      <w:r>
        <w:t>de</w:t>
      </w:r>
      <w:r w:rsidRPr="002C4077">
        <w:t xml:space="preserve"> </w:t>
      </w:r>
      <w:r>
        <w:t>se</w:t>
      </w:r>
      <w:r w:rsidRPr="002C4077">
        <w:t xml:space="preserve"> </w:t>
      </w:r>
      <w:r>
        <w:t>conformer</w:t>
      </w:r>
      <w:r w:rsidRPr="002C4077">
        <w:t xml:space="preserve"> </w:t>
      </w:r>
      <w:r>
        <w:t>à</w:t>
      </w:r>
      <w:r w:rsidRPr="002C4077">
        <w:t xml:space="preserve"> </w:t>
      </w:r>
      <w:r>
        <w:t>toutes</w:t>
      </w:r>
      <w:r w:rsidRPr="002C4077">
        <w:t xml:space="preserve"> </w:t>
      </w:r>
      <w:r>
        <w:t>les</w:t>
      </w:r>
      <w:r w:rsidRPr="002C4077">
        <w:t xml:space="preserve"> </w:t>
      </w:r>
      <w:r>
        <w:t>prescriptions</w:t>
      </w:r>
      <w:r w:rsidRPr="002C4077">
        <w:t xml:space="preserve"> </w:t>
      </w:r>
      <w:r>
        <w:t>religieuse</w:t>
      </w:r>
      <w:r w:rsidR="004377BC">
        <w:t>s</w:t>
      </w:r>
      <w:r w:rsidR="004377BC">
        <w:rPr>
          <w:rStyle w:val="Appelnotedebasdep"/>
        </w:rPr>
        <w:footnoteReference w:id="852"/>
      </w:r>
      <w:r w:rsidR="00B546AF">
        <w:t> ?</w:t>
      </w:r>
      <w:r w:rsidRPr="002C4077">
        <w:t xml:space="preserve"> </w:t>
      </w:r>
    </w:p>
    <w:p w:rsidR="000A7AAB" w:rsidRPr="005E2129" w:rsidRDefault="000A7AAB" w:rsidP="00942C4D">
      <w:pPr>
        <w:pStyle w:val="locus"/>
      </w:pPr>
      <w:r>
        <w:t>R.</w:t>
      </w:r>
      <w:r w:rsidRPr="002C4077">
        <w:t xml:space="preserve"> </w:t>
      </w:r>
      <w:r>
        <w:t>Non</w:t>
      </w:r>
      <w:r w:rsidR="00B546AF">
        <w:t> ;</w:t>
      </w:r>
      <w:r w:rsidRPr="002C4077">
        <w:t xml:space="preserve"> </w:t>
      </w:r>
      <w:r>
        <w:t>tout</w:t>
      </w:r>
      <w:r w:rsidRPr="002C4077">
        <w:t xml:space="preserve"> </w:t>
      </w:r>
      <w:r>
        <w:t>Israélite</w:t>
      </w:r>
      <w:r w:rsidRPr="002C4077">
        <w:t xml:space="preserve"> </w:t>
      </w:r>
      <w:r>
        <w:t>appelé</w:t>
      </w:r>
      <w:r w:rsidRPr="002C4077">
        <w:t xml:space="preserve"> </w:t>
      </w:r>
      <w:r>
        <w:t>au</w:t>
      </w:r>
      <w:r w:rsidRPr="002C4077">
        <w:t xml:space="preserve"> </w:t>
      </w:r>
      <w:r>
        <w:t>service</w:t>
      </w:r>
      <w:r w:rsidRPr="002C4077">
        <w:t xml:space="preserve"> </w:t>
      </w:r>
      <w:r>
        <w:t>militaire</w:t>
      </w:r>
      <w:r w:rsidRPr="002C4077">
        <w:t xml:space="preserve"> </w:t>
      </w:r>
      <w:r w:rsidR="00425C50">
        <w:t>est</w:t>
      </w:r>
      <w:r w:rsidRPr="002C4077">
        <w:t xml:space="preserve"> </w:t>
      </w:r>
      <w:r>
        <w:t>dispensé</w:t>
      </w:r>
      <w:r w:rsidRPr="002C4077">
        <w:t xml:space="preserve"> </w:t>
      </w:r>
      <w:r>
        <w:t>des</w:t>
      </w:r>
      <w:r w:rsidRPr="002C4077">
        <w:t xml:space="preserve"> </w:t>
      </w:r>
      <w:r>
        <w:t>devoirs</w:t>
      </w:r>
      <w:r w:rsidRPr="002C4077">
        <w:t xml:space="preserve"> </w:t>
      </w:r>
      <w:r>
        <w:t>religieux</w:t>
      </w:r>
      <w:r w:rsidRPr="002C4077">
        <w:t xml:space="preserve"> </w:t>
      </w:r>
      <w:r>
        <w:t>dont</w:t>
      </w:r>
      <w:r w:rsidRPr="002C4077">
        <w:t xml:space="preserve"> </w:t>
      </w:r>
      <w:r>
        <w:t>l’observation</w:t>
      </w:r>
      <w:r w:rsidRPr="002C4077">
        <w:t xml:space="preserve"> </w:t>
      </w:r>
      <w:r>
        <w:t>ne</w:t>
      </w:r>
      <w:r w:rsidRPr="002C4077">
        <w:t xml:space="preserve"> </w:t>
      </w:r>
      <w:r>
        <w:t>pourrait</w:t>
      </w:r>
      <w:r w:rsidRPr="002C4077">
        <w:t xml:space="preserve"> </w:t>
      </w:r>
      <w:r>
        <w:t>se</w:t>
      </w:r>
      <w:r w:rsidRPr="002C4077">
        <w:t xml:space="preserve"> </w:t>
      </w:r>
      <w:r>
        <w:t>concilier</w:t>
      </w:r>
      <w:r w:rsidRPr="002C4077">
        <w:t xml:space="preserve"> </w:t>
      </w:r>
      <w:r>
        <w:t>avec</w:t>
      </w:r>
      <w:r w:rsidRPr="002C4077">
        <w:t xml:space="preserve"> </w:t>
      </w:r>
      <w:r>
        <w:t>le</w:t>
      </w:r>
      <w:r w:rsidRPr="002C4077">
        <w:t xml:space="preserve"> </w:t>
      </w:r>
      <w:r>
        <w:t>service</w:t>
      </w:r>
      <w:r w:rsidRPr="002C4077">
        <w:t xml:space="preserve"> </w:t>
      </w:r>
      <w:r>
        <w:t>militaire.</w:t>
      </w:r>
      <w:r w:rsidR="00C45B47">
        <w:t xml:space="preserve"> {</w:t>
      </w:r>
      <w:r w:rsidR="005E2129">
        <w:t>279</w:t>
      </w:r>
      <w:bookmarkStart w:id="682" w:name="p279"/>
      <w:bookmarkEnd w:id="682"/>
      <w:r w:rsidR="005E2129">
        <w:t xml:space="preserve">} </w:t>
      </w:r>
    </w:p>
    <w:p w:rsidR="000A7AAB" w:rsidRDefault="000A7AAB" w:rsidP="000A7AAB">
      <w:r>
        <w:t>Ce</w:t>
      </w:r>
      <w:r w:rsidRPr="002C4077">
        <w:t xml:space="preserve"> </w:t>
      </w:r>
      <w:r>
        <w:t>chapitre</w:t>
      </w:r>
      <w:r w:rsidRPr="002C4077">
        <w:t xml:space="preserve"> </w:t>
      </w:r>
      <w:r>
        <w:t>contient</w:t>
      </w:r>
      <w:r w:rsidRPr="002C4077">
        <w:t xml:space="preserve"> </w:t>
      </w:r>
      <w:r>
        <w:t>certainement</w:t>
      </w:r>
      <w:r w:rsidRPr="002C4077">
        <w:t xml:space="preserve"> </w:t>
      </w:r>
      <w:r>
        <w:t>quelques</w:t>
      </w:r>
      <w:r w:rsidRPr="002C4077">
        <w:t xml:space="preserve"> </w:t>
      </w:r>
      <w:r>
        <w:t>bonnes</w:t>
      </w:r>
      <w:r w:rsidRPr="002C4077">
        <w:t xml:space="preserve"> </w:t>
      </w:r>
      <w:r>
        <w:t>pensées</w:t>
      </w:r>
      <w:r w:rsidR="00B546AF">
        <w:t> ;</w:t>
      </w:r>
      <w:r w:rsidRPr="002C4077">
        <w:t xml:space="preserve"> </w:t>
      </w:r>
      <w:r>
        <w:t>mais</w:t>
      </w:r>
      <w:r w:rsidRPr="002C4077">
        <w:t xml:space="preserve"> </w:t>
      </w:r>
      <w:r>
        <w:t>comme</w:t>
      </w:r>
      <w:r w:rsidRPr="002C4077">
        <w:t xml:space="preserve"> </w:t>
      </w:r>
      <w:r>
        <w:t>tout</w:t>
      </w:r>
      <w:r w:rsidRPr="002C4077">
        <w:t xml:space="preserve"> </w:t>
      </w:r>
      <w:r>
        <w:t>cela</w:t>
      </w:r>
      <w:r w:rsidRPr="002C4077">
        <w:t xml:space="preserve"> </w:t>
      </w:r>
      <w:r>
        <w:t>aurait</w:t>
      </w:r>
      <w:r w:rsidRPr="002C4077">
        <w:t xml:space="preserve"> </w:t>
      </w:r>
      <w:r>
        <w:t>besoin</w:t>
      </w:r>
      <w:r w:rsidRPr="002C4077">
        <w:t xml:space="preserve"> </w:t>
      </w:r>
      <w:r>
        <w:t>d’être</w:t>
      </w:r>
      <w:r w:rsidRPr="002C4077">
        <w:t xml:space="preserve"> </w:t>
      </w:r>
      <w:r>
        <w:t>relevé</w:t>
      </w:r>
      <w:r w:rsidRPr="002C4077">
        <w:t xml:space="preserve"> </w:t>
      </w:r>
      <w:r>
        <w:t>par</w:t>
      </w:r>
      <w:r w:rsidRPr="002C4077">
        <w:t xml:space="preserve"> </w:t>
      </w:r>
      <w:r>
        <w:t>les</w:t>
      </w:r>
      <w:r w:rsidRPr="002C4077">
        <w:t xml:space="preserve"> </w:t>
      </w:r>
      <w:r>
        <w:t>idées</w:t>
      </w:r>
      <w:r w:rsidRPr="002C4077">
        <w:t xml:space="preserve"> </w:t>
      </w:r>
      <w:r>
        <w:t>de</w:t>
      </w:r>
      <w:r w:rsidRPr="002C4077">
        <w:t xml:space="preserve"> </w:t>
      </w:r>
      <w:r>
        <w:t>la</w:t>
      </w:r>
      <w:r w:rsidRPr="002C4077">
        <w:t xml:space="preserve"> </w:t>
      </w:r>
      <w:r>
        <w:t>foi,</w:t>
      </w:r>
      <w:r w:rsidRPr="002C4077">
        <w:t xml:space="preserve"> </w:t>
      </w:r>
      <w:r>
        <w:t>du</w:t>
      </w:r>
      <w:r w:rsidRPr="002C4077">
        <w:t xml:space="preserve"> </w:t>
      </w:r>
      <w:r>
        <w:t>surnaturel</w:t>
      </w:r>
      <w:r w:rsidR="00B546AF">
        <w:t> !</w:t>
      </w:r>
      <w:r w:rsidRPr="002C4077">
        <w:t xml:space="preserve"> </w:t>
      </w:r>
      <w:r>
        <w:t>Est-ce</w:t>
      </w:r>
      <w:r w:rsidRPr="002C4077">
        <w:t xml:space="preserve"> </w:t>
      </w:r>
      <w:r>
        <w:t>par</w:t>
      </w:r>
      <w:r w:rsidRPr="002C4077">
        <w:t xml:space="preserve"> </w:t>
      </w:r>
      <w:r>
        <w:t>crainte</w:t>
      </w:r>
      <w:r w:rsidRPr="002C4077">
        <w:t xml:space="preserve"> </w:t>
      </w:r>
      <w:r>
        <w:t>qu’il</w:t>
      </w:r>
      <w:r w:rsidRPr="002C4077">
        <w:t xml:space="preserve"> </w:t>
      </w:r>
      <w:r>
        <w:t>faut</w:t>
      </w:r>
      <w:r w:rsidRPr="002C4077">
        <w:t xml:space="preserve"> </w:t>
      </w:r>
      <w:r>
        <w:t>obéir</w:t>
      </w:r>
      <w:r w:rsidRPr="002C4077">
        <w:t xml:space="preserve"> </w:t>
      </w:r>
      <w:r>
        <w:t>aux</w:t>
      </w:r>
      <w:r w:rsidRPr="002C4077">
        <w:t xml:space="preserve"> </w:t>
      </w:r>
      <w:r>
        <w:t>autorités</w:t>
      </w:r>
      <w:r w:rsidRPr="002C4077">
        <w:t xml:space="preserve"> </w:t>
      </w:r>
      <w:r>
        <w:t>civiles,</w:t>
      </w:r>
      <w:r w:rsidRPr="002C4077">
        <w:t xml:space="preserve"> </w:t>
      </w:r>
      <w:r>
        <w:t>ou</w:t>
      </w:r>
      <w:r w:rsidRPr="002C4077">
        <w:t xml:space="preserve"> </w:t>
      </w:r>
      <w:r>
        <w:t>bien</w:t>
      </w:r>
      <w:r w:rsidRPr="002C4077">
        <w:t xml:space="preserve"> </w:t>
      </w:r>
      <w:r>
        <w:t>parce</w:t>
      </w:r>
      <w:r w:rsidRPr="002C4077">
        <w:t xml:space="preserve"> </w:t>
      </w:r>
      <w:r>
        <w:t>que</w:t>
      </w:r>
      <w:r w:rsidRPr="002C4077">
        <w:t xml:space="preserve"> </w:t>
      </w:r>
      <w:r w:rsidR="00B546AF">
        <w:t>« </w:t>
      </w:r>
      <w:r>
        <w:t>tout</w:t>
      </w:r>
      <w:r w:rsidRPr="002C4077">
        <w:t xml:space="preserve"> </w:t>
      </w:r>
      <w:r>
        <w:t>pouvoir</w:t>
      </w:r>
      <w:r w:rsidRPr="002C4077">
        <w:t xml:space="preserve"> </w:t>
      </w:r>
      <w:r>
        <w:t>vient</w:t>
      </w:r>
      <w:r w:rsidRPr="002C4077">
        <w:t xml:space="preserve"> </w:t>
      </w:r>
      <w:r>
        <w:t>de</w:t>
      </w:r>
      <w:r w:rsidRPr="002C4077">
        <w:t xml:space="preserve"> </w:t>
      </w:r>
      <w:r>
        <w:t>Dieu</w:t>
      </w:r>
      <w:r w:rsidR="00B91AF7">
        <w:rPr>
          <w:rStyle w:val="Appelnotedebasdep"/>
        </w:rPr>
        <w:footnoteReference w:id="853"/>
      </w:r>
      <w:r w:rsidR="00B546AF">
        <w:t> ? »</w:t>
      </w:r>
      <w:r w:rsidRPr="002C4077">
        <w:t xml:space="preserve"> </w:t>
      </w:r>
    </w:p>
    <w:p w:rsidR="000A7AAB" w:rsidRDefault="000A7AAB" w:rsidP="000A7AAB">
      <w:r>
        <w:t>Le</w:t>
      </w:r>
      <w:r w:rsidRPr="002C4077">
        <w:t xml:space="preserve"> </w:t>
      </w:r>
      <w:r>
        <w:t>naturalisme</w:t>
      </w:r>
      <w:r w:rsidRPr="002C4077">
        <w:t xml:space="preserve"> </w:t>
      </w:r>
      <w:r>
        <w:t>abonde</w:t>
      </w:r>
      <w:r w:rsidRPr="002C4077">
        <w:t xml:space="preserve"> </w:t>
      </w:r>
      <w:r>
        <w:t>tellement</w:t>
      </w:r>
      <w:r w:rsidRPr="002C4077">
        <w:t xml:space="preserve"> </w:t>
      </w:r>
      <w:r>
        <w:t>dans</w:t>
      </w:r>
      <w:r w:rsidRPr="002C4077">
        <w:t xml:space="preserve"> </w:t>
      </w:r>
      <w:r>
        <w:t>la</w:t>
      </w:r>
      <w:r w:rsidRPr="002C4077">
        <w:t xml:space="preserve"> </w:t>
      </w:r>
      <w:r>
        <w:t>section</w:t>
      </w:r>
      <w:r w:rsidRPr="002C4077">
        <w:t xml:space="preserve"> </w:t>
      </w:r>
      <w:r>
        <w:t>troisième,</w:t>
      </w:r>
      <w:r w:rsidRPr="002C4077">
        <w:t xml:space="preserve"> </w:t>
      </w:r>
      <w:r w:rsidR="00B546AF">
        <w:t>« </w:t>
      </w:r>
      <w:r>
        <w:t>Des</w:t>
      </w:r>
      <w:r w:rsidRPr="002C4077">
        <w:t xml:space="preserve"> </w:t>
      </w:r>
      <w:r>
        <w:t>devoirs</w:t>
      </w:r>
      <w:r w:rsidRPr="002C4077">
        <w:t xml:space="preserve"> </w:t>
      </w:r>
      <w:r>
        <w:t>de</w:t>
      </w:r>
      <w:r w:rsidRPr="002C4077">
        <w:t xml:space="preserve"> </w:t>
      </w:r>
      <w:r>
        <w:t>l’homme</w:t>
      </w:r>
      <w:r w:rsidRPr="002C4077">
        <w:t xml:space="preserve"> </w:t>
      </w:r>
      <w:r>
        <w:t>envers</w:t>
      </w:r>
      <w:r w:rsidRPr="002C4077">
        <w:t xml:space="preserve"> </w:t>
      </w:r>
      <w:r>
        <w:t>lui-même,</w:t>
      </w:r>
      <w:r w:rsidR="00B546AF">
        <w:t> »</w:t>
      </w:r>
      <w:r w:rsidRPr="002C4077">
        <w:t xml:space="preserve"> </w:t>
      </w:r>
      <w:r>
        <w:t>qu’on</w:t>
      </w:r>
      <w:r w:rsidRPr="002C4077">
        <w:t xml:space="preserve"> </w:t>
      </w:r>
      <w:r>
        <w:t>serait</w:t>
      </w:r>
      <w:r w:rsidRPr="002C4077">
        <w:t xml:space="preserve"> </w:t>
      </w:r>
      <w:r>
        <w:t>presque</w:t>
      </w:r>
      <w:r w:rsidRPr="002C4077">
        <w:t xml:space="preserve"> </w:t>
      </w:r>
      <w:r>
        <w:t>en</w:t>
      </w:r>
      <w:r w:rsidRPr="002C4077">
        <w:t xml:space="preserve"> </w:t>
      </w:r>
      <w:r>
        <w:t>droit</w:t>
      </w:r>
      <w:r w:rsidRPr="002C4077">
        <w:t xml:space="preserve"> </w:t>
      </w:r>
      <w:r>
        <w:t>de</w:t>
      </w:r>
      <w:r w:rsidRPr="002C4077">
        <w:t xml:space="preserve"> </w:t>
      </w:r>
      <w:r>
        <w:t>dire</w:t>
      </w:r>
      <w:r w:rsidRPr="002C4077">
        <w:t xml:space="preserve"> </w:t>
      </w:r>
      <w:r>
        <w:t>qu’il</w:t>
      </w:r>
      <w:r w:rsidRPr="002C4077">
        <w:t xml:space="preserve"> </w:t>
      </w:r>
      <w:r>
        <w:t>la</w:t>
      </w:r>
      <w:r w:rsidRPr="002C4077">
        <w:t xml:space="preserve"> </w:t>
      </w:r>
      <w:r>
        <w:t>domine</w:t>
      </w:r>
      <w:r w:rsidRPr="002C4077">
        <w:t xml:space="preserve"> </w:t>
      </w:r>
      <w:r>
        <w:t>toute</w:t>
      </w:r>
      <w:r w:rsidRPr="002C4077">
        <w:t xml:space="preserve"> </w:t>
      </w:r>
      <w:r>
        <w:t>entière.</w:t>
      </w:r>
      <w:r w:rsidRPr="002C4077">
        <w:t xml:space="preserve"> </w:t>
      </w:r>
      <w:r>
        <w:t>C’est</w:t>
      </w:r>
      <w:r w:rsidRPr="002C4077">
        <w:t xml:space="preserve"> </w:t>
      </w:r>
      <w:r>
        <w:t>surtout</w:t>
      </w:r>
      <w:r w:rsidRPr="002C4077">
        <w:t xml:space="preserve"> </w:t>
      </w:r>
      <w:r>
        <w:t>pour</w:t>
      </w:r>
      <w:r w:rsidRPr="002C4077">
        <w:t xml:space="preserve"> </w:t>
      </w:r>
      <w:r>
        <w:t>elle-même,</w:t>
      </w:r>
      <w:r w:rsidRPr="002C4077">
        <w:t xml:space="preserve"> </w:t>
      </w:r>
      <w:r>
        <w:t>ou</w:t>
      </w:r>
      <w:r w:rsidRPr="002C4077">
        <w:t xml:space="preserve"> </w:t>
      </w:r>
      <w:r>
        <w:t>pour</w:t>
      </w:r>
      <w:r w:rsidRPr="002C4077">
        <w:t xml:space="preserve"> </w:t>
      </w:r>
      <w:r>
        <w:t>ses</w:t>
      </w:r>
      <w:r w:rsidRPr="002C4077">
        <w:t xml:space="preserve"> </w:t>
      </w:r>
      <w:r>
        <w:t>avantages</w:t>
      </w:r>
      <w:r w:rsidRPr="002C4077">
        <w:t xml:space="preserve"> </w:t>
      </w:r>
      <w:r>
        <w:t>temporels,</w:t>
      </w:r>
      <w:r w:rsidRPr="002C4077">
        <w:t xml:space="preserve"> </w:t>
      </w:r>
      <w:r>
        <w:t>que</w:t>
      </w:r>
      <w:r w:rsidRPr="002C4077">
        <w:t xml:space="preserve"> </w:t>
      </w:r>
      <w:r>
        <w:t>la</w:t>
      </w:r>
      <w:r w:rsidRPr="002C4077">
        <w:t xml:space="preserve"> </w:t>
      </w:r>
      <w:r>
        <w:t>vertu</w:t>
      </w:r>
      <w:r w:rsidRPr="002C4077">
        <w:t xml:space="preserve"> </w:t>
      </w:r>
      <w:r w:rsidR="00425C50">
        <w:t>est</w:t>
      </w:r>
      <w:r w:rsidRPr="002C4077">
        <w:t xml:space="preserve"> </w:t>
      </w:r>
      <w:r>
        <w:t>habituellement</w:t>
      </w:r>
      <w:r w:rsidRPr="002C4077">
        <w:t xml:space="preserve"> </w:t>
      </w:r>
      <w:r>
        <w:t>recommandée.</w:t>
      </w:r>
      <w:r w:rsidRPr="002C4077">
        <w:t xml:space="preserve"> </w:t>
      </w:r>
    </w:p>
    <w:p w:rsidR="000A7AAB" w:rsidRDefault="000A7AAB" w:rsidP="00942C4D">
      <w:pPr>
        <w:pStyle w:val="locus"/>
      </w:pPr>
      <w:r>
        <w:t>D.</w:t>
      </w:r>
      <w:r w:rsidRPr="002C4077">
        <w:t xml:space="preserve"> </w:t>
      </w:r>
      <w:r>
        <w:t>Qu’est-ce</w:t>
      </w:r>
      <w:r w:rsidRPr="002C4077">
        <w:t xml:space="preserve"> </w:t>
      </w:r>
      <w:r>
        <w:t>que</w:t>
      </w:r>
      <w:r w:rsidRPr="002C4077">
        <w:t xml:space="preserve"> </w:t>
      </w:r>
      <w:r>
        <w:t>l’homme</w:t>
      </w:r>
      <w:r w:rsidRPr="002C4077">
        <w:t xml:space="preserve"> </w:t>
      </w:r>
      <w:r>
        <w:t>se</w:t>
      </w:r>
      <w:r w:rsidRPr="002C4077">
        <w:t xml:space="preserve"> </w:t>
      </w:r>
      <w:r>
        <w:t>doit</w:t>
      </w:r>
      <w:r w:rsidRPr="002C4077">
        <w:t xml:space="preserve"> </w:t>
      </w:r>
      <w:r>
        <w:t>à</w:t>
      </w:r>
      <w:r w:rsidRPr="002C4077">
        <w:t xml:space="preserve"> </w:t>
      </w:r>
      <w:r>
        <w:t>lui-même</w:t>
      </w:r>
      <w:r w:rsidR="00B546AF">
        <w:t> ?</w:t>
      </w:r>
      <w:r w:rsidRPr="002C4077">
        <w:t xml:space="preserve"> </w:t>
      </w:r>
    </w:p>
    <w:p w:rsidR="000A7AAB" w:rsidRDefault="000A7AAB" w:rsidP="00942C4D">
      <w:pPr>
        <w:pStyle w:val="locus"/>
      </w:pPr>
      <w:r>
        <w:t>R.</w:t>
      </w:r>
      <w:r w:rsidRPr="002C4077">
        <w:t xml:space="preserve"> </w:t>
      </w:r>
      <w:r>
        <w:t>Il</w:t>
      </w:r>
      <w:r w:rsidRPr="002C4077">
        <w:t xml:space="preserve"> </w:t>
      </w:r>
      <w:r>
        <w:t>doit</w:t>
      </w:r>
      <w:r w:rsidRPr="002C4077">
        <w:t xml:space="preserve"> </w:t>
      </w:r>
      <w:r>
        <w:t>veiller</w:t>
      </w:r>
      <w:r w:rsidRPr="002C4077">
        <w:t xml:space="preserve"> </w:t>
      </w:r>
      <w:r>
        <w:t>à</w:t>
      </w:r>
      <w:r w:rsidRPr="002C4077">
        <w:t xml:space="preserve"> </w:t>
      </w:r>
      <w:r>
        <w:t>la</w:t>
      </w:r>
      <w:r w:rsidRPr="002C4077">
        <w:t xml:space="preserve"> </w:t>
      </w:r>
      <w:r>
        <w:t>conservation</w:t>
      </w:r>
      <w:r w:rsidRPr="002C4077">
        <w:t xml:space="preserve"> </w:t>
      </w:r>
      <w:r>
        <w:t>de</w:t>
      </w:r>
      <w:r w:rsidRPr="002C4077">
        <w:t xml:space="preserve"> </w:t>
      </w:r>
      <w:r>
        <w:t>sa</w:t>
      </w:r>
      <w:r w:rsidRPr="002C4077">
        <w:t xml:space="preserve"> </w:t>
      </w:r>
      <w:r>
        <w:t>vie</w:t>
      </w:r>
      <w:r w:rsidRPr="002C4077">
        <w:t xml:space="preserve"> </w:t>
      </w:r>
      <w:r>
        <w:t>et</w:t>
      </w:r>
      <w:r w:rsidRPr="002C4077">
        <w:t xml:space="preserve"> </w:t>
      </w:r>
      <w:r>
        <w:t>de</w:t>
      </w:r>
      <w:r w:rsidRPr="002C4077">
        <w:t xml:space="preserve"> </w:t>
      </w:r>
      <w:r>
        <w:t>son</w:t>
      </w:r>
      <w:r w:rsidRPr="002C4077">
        <w:t xml:space="preserve"> </w:t>
      </w:r>
      <w:r>
        <w:t>honneur</w:t>
      </w:r>
      <w:r w:rsidR="00B546AF">
        <w:t> ;</w:t>
      </w:r>
      <w:r w:rsidRPr="002C4077">
        <w:t xml:space="preserve"> </w:t>
      </w:r>
      <w:r>
        <w:t>il</w:t>
      </w:r>
      <w:r w:rsidRPr="002C4077">
        <w:t xml:space="preserve"> </w:t>
      </w:r>
      <w:r>
        <w:t>doit</w:t>
      </w:r>
      <w:r w:rsidRPr="002C4077">
        <w:t xml:space="preserve"> </w:t>
      </w:r>
      <w:r>
        <w:t>s’instruire</w:t>
      </w:r>
      <w:r w:rsidRPr="002C4077">
        <w:t xml:space="preserve"> </w:t>
      </w:r>
      <w:r>
        <w:t>dans</w:t>
      </w:r>
      <w:r w:rsidRPr="002C4077">
        <w:t xml:space="preserve"> </w:t>
      </w:r>
      <w:r>
        <w:t>ses</w:t>
      </w:r>
      <w:r w:rsidRPr="002C4077">
        <w:t xml:space="preserve"> </w:t>
      </w:r>
      <w:r>
        <w:t>devoirs</w:t>
      </w:r>
      <w:r w:rsidRPr="002C4077">
        <w:t xml:space="preserve"> </w:t>
      </w:r>
      <w:r>
        <w:t>religieux</w:t>
      </w:r>
      <w:r w:rsidRPr="002C4077">
        <w:t xml:space="preserve"> </w:t>
      </w:r>
      <w:r>
        <w:t>et</w:t>
      </w:r>
      <w:r w:rsidRPr="002C4077">
        <w:t xml:space="preserve"> </w:t>
      </w:r>
      <w:r>
        <w:t>moraux,</w:t>
      </w:r>
      <w:r w:rsidRPr="002C4077">
        <w:t xml:space="preserve"> </w:t>
      </w:r>
      <w:r>
        <w:t>méditer</w:t>
      </w:r>
      <w:r w:rsidRPr="002C4077">
        <w:t xml:space="preserve"> </w:t>
      </w:r>
      <w:r>
        <w:t>et</w:t>
      </w:r>
      <w:r w:rsidRPr="002C4077">
        <w:t xml:space="preserve"> </w:t>
      </w:r>
      <w:r>
        <w:t>étudier</w:t>
      </w:r>
      <w:r w:rsidRPr="002C4077">
        <w:t xml:space="preserve"> </w:t>
      </w:r>
      <w:r>
        <w:t>la</w:t>
      </w:r>
      <w:r w:rsidRPr="002C4077">
        <w:t xml:space="preserve"> </w:t>
      </w:r>
      <w:r>
        <w:t>loi</w:t>
      </w:r>
      <w:r w:rsidRPr="002C4077">
        <w:t xml:space="preserve"> </w:t>
      </w:r>
      <w:r>
        <w:t>divine,</w:t>
      </w:r>
      <w:r w:rsidRPr="002C4077">
        <w:t xml:space="preserve"> </w:t>
      </w:r>
      <w:r>
        <w:t>et</w:t>
      </w:r>
      <w:r w:rsidRPr="002C4077">
        <w:t xml:space="preserve"> </w:t>
      </w:r>
      <w:r>
        <w:t>choisir</w:t>
      </w:r>
      <w:r w:rsidRPr="002C4077">
        <w:t xml:space="preserve"> </w:t>
      </w:r>
      <w:r>
        <w:t>une</w:t>
      </w:r>
      <w:r w:rsidRPr="002C4077">
        <w:t xml:space="preserve"> </w:t>
      </w:r>
      <w:r>
        <w:t>profession</w:t>
      </w:r>
      <w:r w:rsidRPr="002C4077">
        <w:t xml:space="preserve"> </w:t>
      </w:r>
      <w:r>
        <w:t>afin</w:t>
      </w:r>
      <w:r w:rsidRPr="002C4077">
        <w:t xml:space="preserve"> </w:t>
      </w:r>
      <w:r>
        <w:t>de</w:t>
      </w:r>
      <w:r w:rsidRPr="002C4077">
        <w:t xml:space="preserve"> </w:t>
      </w:r>
      <w:r>
        <w:t>s’assurer</w:t>
      </w:r>
      <w:r w:rsidRPr="002C4077">
        <w:t xml:space="preserve"> </w:t>
      </w:r>
      <w:r>
        <w:t>un</w:t>
      </w:r>
      <w:r w:rsidRPr="002C4077">
        <w:t xml:space="preserve"> </w:t>
      </w:r>
      <w:r>
        <w:t>moyen</w:t>
      </w:r>
      <w:r w:rsidRPr="002C4077">
        <w:t xml:space="preserve"> </w:t>
      </w:r>
      <w:r>
        <w:t>d’existence</w:t>
      </w:r>
      <w:r w:rsidRPr="002C4077">
        <w:t xml:space="preserve"> </w:t>
      </w:r>
      <w:r>
        <w:t>honorable.</w:t>
      </w:r>
      <w:r w:rsidRPr="002C4077">
        <w:t xml:space="preserve"> </w:t>
      </w:r>
    </w:p>
    <w:p w:rsidR="00942C4D" w:rsidRDefault="00942C4D" w:rsidP="00942C4D">
      <w:pPr>
        <w:pStyle w:val="locus"/>
      </w:pPr>
      <w:r>
        <w:t>……………………………………………………..</w:t>
      </w:r>
    </w:p>
    <w:p w:rsidR="000A7AAB" w:rsidRDefault="000A7AAB" w:rsidP="00942C4D">
      <w:pPr>
        <w:pStyle w:val="locus"/>
      </w:pPr>
      <w:r>
        <w:t>D.</w:t>
      </w:r>
      <w:r w:rsidRPr="002C4077">
        <w:t xml:space="preserve"> </w:t>
      </w:r>
      <w:r>
        <w:t>Quels</w:t>
      </w:r>
      <w:r w:rsidRPr="002C4077">
        <w:t xml:space="preserve"> </w:t>
      </w:r>
      <w:r>
        <w:t>sont</w:t>
      </w:r>
      <w:r w:rsidRPr="002C4077">
        <w:t xml:space="preserve"> </w:t>
      </w:r>
      <w:r>
        <w:t>les</w:t>
      </w:r>
      <w:r w:rsidRPr="002C4077">
        <w:t xml:space="preserve"> </w:t>
      </w:r>
      <w:r>
        <w:t>vices</w:t>
      </w:r>
      <w:r w:rsidRPr="002C4077">
        <w:t xml:space="preserve"> </w:t>
      </w:r>
      <w:r>
        <w:t>et</w:t>
      </w:r>
      <w:r w:rsidRPr="002C4077">
        <w:t xml:space="preserve"> </w:t>
      </w:r>
      <w:r>
        <w:t>les</w:t>
      </w:r>
      <w:r w:rsidRPr="002C4077">
        <w:t xml:space="preserve"> </w:t>
      </w:r>
      <w:r>
        <w:t>défauts</w:t>
      </w:r>
      <w:r w:rsidRPr="002C4077">
        <w:t xml:space="preserve"> </w:t>
      </w:r>
      <w:r>
        <w:t>les</w:t>
      </w:r>
      <w:r w:rsidRPr="002C4077">
        <w:t xml:space="preserve"> </w:t>
      </w:r>
      <w:r>
        <w:t>plus</w:t>
      </w:r>
      <w:r w:rsidRPr="002C4077">
        <w:t xml:space="preserve"> </w:t>
      </w:r>
      <w:r>
        <w:t>pernicieux</w:t>
      </w:r>
      <w:r w:rsidR="00B546AF">
        <w:t> ?</w:t>
      </w:r>
      <w:r w:rsidRPr="002C4077">
        <w:t xml:space="preserve"> </w:t>
      </w:r>
    </w:p>
    <w:p w:rsidR="000A7AAB" w:rsidRDefault="000A7AAB" w:rsidP="00942C4D">
      <w:pPr>
        <w:pStyle w:val="locus"/>
      </w:pPr>
      <w:r>
        <w:t>R.</w:t>
      </w:r>
      <w:r w:rsidRPr="002C4077">
        <w:t xml:space="preserve"> </w:t>
      </w:r>
      <w:r>
        <w:t>C’est</w:t>
      </w:r>
      <w:r w:rsidRPr="002C4077">
        <w:t xml:space="preserve"> </w:t>
      </w:r>
      <w:r>
        <w:t>la</w:t>
      </w:r>
      <w:r w:rsidRPr="002C4077">
        <w:t xml:space="preserve"> </w:t>
      </w:r>
      <w:r>
        <w:t>malpropreté,</w:t>
      </w:r>
      <w:r w:rsidRPr="002C4077">
        <w:t xml:space="preserve"> </w:t>
      </w:r>
      <w:r>
        <w:t>la</w:t>
      </w:r>
      <w:r w:rsidRPr="002C4077">
        <w:t xml:space="preserve"> </w:t>
      </w:r>
      <w:r>
        <w:t>gourmandise,</w:t>
      </w:r>
      <w:r w:rsidRPr="002C4077">
        <w:t xml:space="preserve"> </w:t>
      </w:r>
      <w:r>
        <w:t>la</w:t>
      </w:r>
      <w:r w:rsidRPr="002C4077">
        <w:t xml:space="preserve"> </w:t>
      </w:r>
      <w:r>
        <w:t>paresse,…</w:t>
      </w:r>
      <w:r w:rsidRPr="002C4077">
        <w:t xml:space="preserve"> </w:t>
      </w:r>
      <w:r>
        <w:t>l’avarice</w:t>
      </w:r>
      <w:r w:rsidRPr="002C4077">
        <w:t xml:space="preserve"> </w:t>
      </w:r>
      <w:r>
        <w:t>et</w:t>
      </w:r>
      <w:r w:rsidRPr="002C4077">
        <w:t xml:space="preserve"> </w:t>
      </w:r>
      <w:r>
        <w:t>la</w:t>
      </w:r>
      <w:r w:rsidRPr="002C4077">
        <w:t xml:space="preserve"> </w:t>
      </w:r>
      <w:r>
        <w:t>prodigalité.</w:t>
      </w:r>
      <w:r w:rsidRPr="002C4077">
        <w:t xml:space="preserve"> </w:t>
      </w:r>
    </w:p>
    <w:p w:rsidR="000A7AAB" w:rsidRDefault="000A7AAB" w:rsidP="00942C4D">
      <w:pPr>
        <w:pStyle w:val="locus"/>
      </w:pPr>
      <w:r>
        <w:t>D.</w:t>
      </w:r>
      <w:r w:rsidRPr="002C4077">
        <w:t xml:space="preserve"> </w:t>
      </w:r>
      <w:r>
        <w:t>Quelles</w:t>
      </w:r>
      <w:r w:rsidRPr="002C4077">
        <w:t xml:space="preserve"> </w:t>
      </w:r>
      <w:r>
        <w:t>sont</w:t>
      </w:r>
      <w:r w:rsidRPr="002C4077">
        <w:t xml:space="preserve"> </w:t>
      </w:r>
      <w:r>
        <w:t>les</w:t>
      </w:r>
      <w:r w:rsidRPr="002C4077">
        <w:t xml:space="preserve"> </w:t>
      </w:r>
      <w:r>
        <w:t>vertus</w:t>
      </w:r>
      <w:r w:rsidRPr="002C4077">
        <w:t xml:space="preserve"> </w:t>
      </w:r>
      <w:r>
        <w:t>ou</w:t>
      </w:r>
      <w:r w:rsidRPr="002C4077">
        <w:t xml:space="preserve"> </w:t>
      </w:r>
      <w:r>
        <w:t>qualités</w:t>
      </w:r>
      <w:r w:rsidRPr="002C4077">
        <w:t xml:space="preserve"> </w:t>
      </w:r>
      <w:r>
        <w:t>opposées</w:t>
      </w:r>
      <w:r w:rsidRPr="002C4077">
        <w:t xml:space="preserve"> </w:t>
      </w:r>
      <w:r>
        <w:t>à</w:t>
      </w:r>
      <w:r w:rsidRPr="002C4077">
        <w:t xml:space="preserve"> </w:t>
      </w:r>
      <w:r>
        <w:t>ces</w:t>
      </w:r>
      <w:r w:rsidRPr="002C4077">
        <w:t xml:space="preserve"> </w:t>
      </w:r>
      <w:r>
        <w:t>vices</w:t>
      </w:r>
      <w:r w:rsidR="00B546AF">
        <w:t> ?</w:t>
      </w:r>
      <w:r w:rsidRPr="002C4077">
        <w:t xml:space="preserve"> </w:t>
      </w:r>
    </w:p>
    <w:p w:rsidR="000A7AAB" w:rsidRDefault="000A7AAB" w:rsidP="00942C4D">
      <w:pPr>
        <w:pStyle w:val="locus"/>
      </w:pPr>
      <w:r>
        <w:t>R.</w:t>
      </w:r>
      <w:r w:rsidRPr="002C4077">
        <w:t xml:space="preserve"> </w:t>
      </w:r>
      <w:r>
        <w:t>C’est</w:t>
      </w:r>
      <w:r w:rsidRPr="002C4077">
        <w:t xml:space="preserve"> </w:t>
      </w:r>
      <w:r>
        <w:t>la</w:t>
      </w:r>
      <w:r w:rsidRPr="002C4077">
        <w:t xml:space="preserve"> </w:t>
      </w:r>
      <w:r>
        <w:t>propreté,</w:t>
      </w:r>
      <w:r w:rsidRPr="002C4077">
        <w:t xml:space="preserve"> </w:t>
      </w:r>
      <w:r>
        <w:t>la</w:t>
      </w:r>
      <w:r w:rsidRPr="002C4077">
        <w:t xml:space="preserve"> </w:t>
      </w:r>
      <w:r>
        <w:t>sobriété,</w:t>
      </w:r>
      <w:r w:rsidRPr="002C4077">
        <w:t xml:space="preserve"> </w:t>
      </w:r>
      <w:r>
        <w:t>l’activité,…</w:t>
      </w:r>
      <w:r w:rsidRPr="002C4077">
        <w:t xml:space="preserve"> </w:t>
      </w:r>
      <w:r>
        <w:t>l’économie</w:t>
      </w:r>
      <w:r w:rsidR="00B91AF7">
        <w:rPr>
          <w:rStyle w:val="Appelnotedebasdep"/>
        </w:rPr>
        <w:footnoteReference w:id="854"/>
      </w:r>
      <w:r>
        <w:t>.</w:t>
      </w:r>
      <w:r w:rsidRPr="002C4077">
        <w:t xml:space="preserve"> </w:t>
      </w:r>
    </w:p>
    <w:p w:rsidR="000A7AAB" w:rsidRDefault="000A7AAB" w:rsidP="00942C4D">
      <w:r>
        <w:t>Propreté,</w:t>
      </w:r>
      <w:r w:rsidRPr="002C4077">
        <w:t xml:space="preserve"> </w:t>
      </w:r>
      <w:r>
        <w:t>malpropreté</w:t>
      </w:r>
      <w:r w:rsidR="00B546AF">
        <w:t> :</w:t>
      </w:r>
      <w:r w:rsidRPr="002C4077">
        <w:t xml:space="preserve"> </w:t>
      </w:r>
      <w:r>
        <w:t>pendant</w:t>
      </w:r>
      <w:r w:rsidRPr="002C4077">
        <w:t xml:space="preserve"> </w:t>
      </w:r>
      <w:r>
        <w:t>quelques</w:t>
      </w:r>
      <w:r w:rsidRPr="002C4077">
        <w:t xml:space="preserve"> </w:t>
      </w:r>
      <w:r>
        <w:t>instants</w:t>
      </w:r>
      <w:r w:rsidRPr="002C4077">
        <w:t xml:space="preserve"> </w:t>
      </w:r>
      <w:r>
        <w:t>j’ai</w:t>
      </w:r>
      <w:r w:rsidRPr="002C4077">
        <w:t xml:space="preserve"> </w:t>
      </w:r>
      <w:r>
        <w:t>cru</w:t>
      </w:r>
      <w:r w:rsidRPr="002C4077">
        <w:t xml:space="preserve"> </w:t>
      </w:r>
      <w:r>
        <w:t>à</w:t>
      </w:r>
      <w:r w:rsidRPr="002C4077">
        <w:t xml:space="preserve"> </w:t>
      </w:r>
      <w:r>
        <w:t>un</w:t>
      </w:r>
      <w:r w:rsidRPr="002C4077">
        <w:t xml:space="preserve"> </w:t>
      </w:r>
      <w:r>
        <w:t>euphémisme.</w:t>
      </w:r>
      <w:r w:rsidRPr="002C4077">
        <w:t xml:space="preserve"> </w:t>
      </w:r>
      <w:r>
        <w:t>Mais</w:t>
      </w:r>
      <w:r w:rsidRPr="002C4077">
        <w:t xml:space="preserve"> </w:t>
      </w:r>
      <w:r>
        <w:t>non,</w:t>
      </w:r>
      <w:r w:rsidRPr="002C4077">
        <w:t xml:space="preserve"> </w:t>
      </w:r>
      <w:r>
        <w:t>ce</w:t>
      </w:r>
      <w:r w:rsidRPr="002C4077">
        <w:t xml:space="preserve"> </w:t>
      </w:r>
      <w:r>
        <w:t>n’est</w:t>
      </w:r>
      <w:r w:rsidRPr="002C4077">
        <w:t xml:space="preserve"> </w:t>
      </w:r>
      <w:r>
        <w:t>pas</w:t>
      </w:r>
      <w:r w:rsidRPr="002C4077">
        <w:t xml:space="preserve"> </w:t>
      </w:r>
      <w:r>
        <w:t>au</w:t>
      </w:r>
      <w:r w:rsidRPr="002C4077">
        <w:t xml:space="preserve"> </w:t>
      </w:r>
      <w:r>
        <w:t>figuré</w:t>
      </w:r>
      <w:r w:rsidRPr="002C4077">
        <w:t xml:space="preserve"> </w:t>
      </w:r>
      <w:r>
        <w:t>qu’il</w:t>
      </w:r>
      <w:r w:rsidRPr="002C4077">
        <w:t xml:space="preserve"> </w:t>
      </w:r>
      <w:r>
        <w:t>faut</w:t>
      </w:r>
      <w:r w:rsidRPr="002C4077">
        <w:t xml:space="preserve"> </w:t>
      </w:r>
      <w:r>
        <w:t>entendre</w:t>
      </w:r>
      <w:r w:rsidRPr="002C4077">
        <w:t xml:space="preserve"> </w:t>
      </w:r>
      <w:r>
        <w:t>ces</w:t>
      </w:r>
      <w:r w:rsidRPr="002C4077">
        <w:t xml:space="preserve"> </w:t>
      </w:r>
      <w:r>
        <w:t>paroles.</w:t>
      </w:r>
      <w:r w:rsidRPr="002C4077">
        <w:t xml:space="preserve"> </w:t>
      </w:r>
      <w:r>
        <w:t>En</w:t>
      </w:r>
      <w:r w:rsidRPr="002C4077">
        <w:t xml:space="preserve"> </w:t>
      </w:r>
      <w:r>
        <w:t>effet</w:t>
      </w:r>
      <w:r w:rsidR="00B546AF">
        <w:t> :</w:t>
      </w:r>
      <w:r w:rsidRPr="002C4077">
        <w:t xml:space="preserve"> </w:t>
      </w:r>
    </w:p>
    <w:p w:rsidR="000A7AAB" w:rsidRDefault="000A7AAB" w:rsidP="00942C4D">
      <w:pPr>
        <w:pStyle w:val="locus"/>
      </w:pPr>
      <w:r>
        <w:t>D.</w:t>
      </w:r>
      <w:r w:rsidRPr="002C4077">
        <w:t xml:space="preserve"> </w:t>
      </w:r>
      <w:r>
        <w:t>Quels</w:t>
      </w:r>
      <w:r w:rsidRPr="002C4077">
        <w:t xml:space="preserve"> </w:t>
      </w:r>
      <w:r>
        <w:t>sont</w:t>
      </w:r>
      <w:r w:rsidRPr="002C4077">
        <w:t xml:space="preserve"> </w:t>
      </w:r>
      <w:r>
        <w:t>les</w:t>
      </w:r>
      <w:r w:rsidRPr="002C4077">
        <w:t xml:space="preserve"> </w:t>
      </w:r>
      <w:r>
        <w:t>inconvénients</w:t>
      </w:r>
      <w:r w:rsidRPr="002C4077">
        <w:t xml:space="preserve"> </w:t>
      </w:r>
      <w:r>
        <w:t>de</w:t>
      </w:r>
      <w:r w:rsidRPr="002C4077">
        <w:t xml:space="preserve"> </w:t>
      </w:r>
      <w:r>
        <w:t>la</w:t>
      </w:r>
      <w:r w:rsidRPr="002C4077">
        <w:t xml:space="preserve"> </w:t>
      </w:r>
      <w:r>
        <w:t>malpropreté</w:t>
      </w:r>
      <w:r w:rsidR="00B546AF">
        <w:t> ?</w:t>
      </w:r>
      <w:r w:rsidRPr="002C4077">
        <w:t xml:space="preserve"> </w:t>
      </w:r>
    </w:p>
    <w:p w:rsidR="000A7AAB" w:rsidRDefault="000A7AAB" w:rsidP="00942C4D">
      <w:pPr>
        <w:pStyle w:val="locus"/>
      </w:pPr>
      <w:r>
        <w:t>R.</w:t>
      </w:r>
      <w:r w:rsidRPr="002C4077">
        <w:t xml:space="preserve"> </w:t>
      </w:r>
      <w:r>
        <w:t>La</w:t>
      </w:r>
      <w:r w:rsidRPr="002C4077">
        <w:t xml:space="preserve"> </w:t>
      </w:r>
      <w:r>
        <w:t>malpropreté,</w:t>
      </w:r>
      <w:r w:rsidRPr="002C4077">
        <w:t xml:space="preserve"> </w:t>
      </w:r>
      <w:r>
        <w:t>outre</w:t>
      </w:r>
      <w:r w:rsidRPr="002C4077">
        <w:t xml:space="preserve"> </w:t>
      </w:r>
      <w:r>
        <w:t>qu’elle</w:t>
      </w:r>
      <w:r w:rsidRPr="002C4077">
        <w:t xml:space="preserve"> </w:t>
      </w:r>
      <w:r>
        <w:t>donne</w:t>
      </w:r>
      <w:r w:rsidRPr="002C4077">
        <w:t xml:space="preserve"> </w:t>
      </w:r>
      <w:r>
        <w:t>à</w:t>
      </w:r>
      <w:r w:rsidRPr="002C4077">
        <w:t xml:space="preserve"> </w:t>
      </w:r>
      <w:r>
        <w:t>l’homme</w:t>
      </w:r>
      <w:r w:rsidRPr="002C4077">
        <w:t xml:space="preserve"> </w:t>
      </w:r>
      <w:r>
        <w:t>un</w:t>
      </w:r>
      <w:r w:rsidRPr="002C4077">
        <w:t xml:space="preserve"> </w:t>
      </w:r>
      <w:r>
        <w:t>aspect</w:t>
      </w:r>
      <w:r w:rsidRPr="002C4077">
        <w:t xml:space="preserve"> </w:t>
      </w:r>
      <w:r>
        <w:t>repoussant,</w:t>
      </w:r>
      <w:r w:rsidRPr="002C4077">
        <w:t xml:space="preserve"> </w:t>
      </w:r>
      <w:r>
        <w:t>a</w:t>
      </w:r>
      <w:r w:rsidRPr="002C4077">
        <w:t xml:space="preserve"> </w:t>
      </w:r>
      <w:r>
        <w:t>le</w:t>
      </w:r>
      <w:r w:rsidRPr="002C4077">
        <w:t xml:space="preserve"> </w:t>
      </w:r>
      <w:r>
        <w:t>grave</w:t>
      </w:r>
      <w:r w:rsidRPr="002C4077">
        <w:t xml:space="preserve"> </w:t>
      </w:r>
      <w:r>
        <w:t>inconvénient</w:t>
      </w:r>
      <w:r w:rsidRPr="002C4077">
        <w:t xml:space="preserve"> </w:t>
      </w:r>
      <w:r>
        <w:t>de</w:t>
      </w:r>
      <w:r w:rsidRPr="002C4077">
        <w:t xml:space="preserve"> </w:t>
      </w:r>
      <w:r>
        <w:t>produire</w:t>
      </w:r>
      <w:r w:rsidRPr="002C4077">
        <w:t xml:space="preserve"> </w:t>
      </w:r>
      <w:r>
        <w:t>toutes</w:t>
      </w:r>
      <w:r w:rsidRPr="002C4077">
        <w:t xml:space="preserve"> </w:t>
      </w:r>
      <w:r>
        <w:t>sortes</w:t>
      </w:r>
      <w:r w:rsidRPr="002C4077">
        <w:t xml:space="preserve"> </w:t>
      </w:r>
      <w:r>
        <w:t>de</w:t>
      </w:r>
      <w:r w:rsidRPr="002C4077">
        <w:t xml:space="preserve"> </w:t>
      </w:r>
      <w:r>
        <w:t>maladies,</w:t>
      </w:r>
      <w:r w:rsidRPr="002C4077">
        <w:t xml:space="preserve"> </w:t>
      </w:r>
      <w:r>
        <w:t>et</w:t>
      </w:r>
      <w:r w:rsidRPr="002C4077">
        <w:t xml:space="preserve"> </w:t>
      </w:r>
      <w:r>
        <w:t>de</w:t>
      </w:r>
      <w:r w:rsidRPr="002C4077">
        <w:t xml:space="preserve"> </w:t>
      </w:r>
      <w:r>
        <w:t>retarder</w:t>
      </w:r>
      <w:r w:rsidRPr="002C4077">
        <w:t xml:space="preserve"> </w:t>
      </w:r>
      <w:r>
        <w:t>la</w:t>
      </w:r>
      <w:r w:rsidRPr="002C4077">
        <w:t xml:space="preserve"> </w:t>
      </w:r>
      <w:r>
        <w:t>guérison</w:t>
      </w:r>
      <w:r w:rsidRPr="002C4077">
        <w:t xml:space="preserve"> </w:t>
      </w:r>
      <w:r>
        <w:t>de</w:t>
      </w:r>
      <w:r w:rsidRPr="002C4077">
        <w:t xml:space="preserve"> </w:t>
      </w:r>
      <w:r>
        <w:t>celles</w:t>
      </w:r>
      <w:r w:rsidRPr="002C4077">
        <w:t xml:space="preserve"> </w:t>
      </w:r>
      <w:r>
        <w:t>dont</w:t>
      </w:r>
      <w:r w:rsidRPr="002C4077">
        <w:t xml:space="preserve"> </w:t>
      </w:r>
      <w:r>
        <w:t>on</w:t>
      </w:r>
      <w:r w:rsidRPr="002C4077">
        <w:t xml:space="preserve"> </w:t>
      </w:r>
      <w:r w:rsidR="00425C50">
        <w:t>est</w:t>
      </w:r>
      <w:r w:rsidRPr="002C4077">
        <w:t xml:space="preserve"> </w:t>
      </w:r>
      <w:r>
        <w:t>attaqué.</w:t>
      </w:r>
      <w:r w:rsidRPr="002C4077">
        <w:t xml:space="preserve"> </w:t>
      </w:r>
    </w:p>
    <w:p w:rsidR="000A7AAB" w:rsidRDefault="000A7AAB" w:rsidP="00942C4D">
      <w:pPr>
        <w:pStyle w:val="locus"/>
      </w:pPr>
      <w:r>
        <w:t>D.</w:t>
      </w:r>
      <w:r w:rsidRPr="002C4077">
        <w:t xml:space="preserve"> </w:t>
      </w:r>
      <w:r>
        <w:t>Quel</w:t>
      </w:r>
      <w:r w:rsidRPr="002C4077">
        <w:t xml:space="preserve"> </w:t>
      </w:r>
      <w:r w:rsidR="00425C50">
        <w:t>est</w:t>
      </w:r>
      <w:r w:rsidRPr="002C4077">
        <w:t xml:space="preserve"> </w:t>
      </w:r>
      <w:r>
        <w:t>l’avantage</w:t>
      </w:r>
      <w:r w:rsidRPr="002C4077">
        <w:t xml:space="preserve"> </w:t>
      </w:r>
      <w:r>
        <w:t>de</w:t>
      </w:r>
      <w:r w:rsidRPr="002C4077">
        <w:t xml:space="preserve"> </w:t>
      </w:r>
      <w:r>
        <w:t>la</w:t>
      </w:r>
      <w:r w:rsidRPr="002C4077">
        <w:t xml:space="preserve"> </w:t>
      </w:r>
      <w:r>
        <w:t>propreté</w:t>
      </w:r>
      <w:r w:rsidR="00B546AF">
        <w:t> ?</w:t>
      </w:r>
      <w:r w:rsidRPr="002C4077">
        <w:t xml:space="preserve"> </w:t>
      </w:r>
    </w:p>
    <w:p w:rsidR="000A7AAB" w:rsidRPr="005E2129" w:rsidRDefault="000A7AAB" w:rsidP="00942C4D">
      <w:pPr>
        <w:pStyle w:val="locus"/>
      </w:pPr>
      <w:r>
        <w:t>R.</w:t>
      </w:r>
      <w:r w:rsidRPr="002C4077">
        <w:t xml:space="preserve"> </w:t>
      </w:r>
      <w:r>
        <w:t>La</w:t>
      </w:r>
      <w:r w:rsidRPr="002C4077">
        <w:t xml:space="preserve"> </w:t>
      </w:r>
      <w:r>
        <w:t>propreté</w:t>
      </w:r>
      <w:r w:rsidRPr="002C4077">
        <w:t xml:space="preserve"> </w:t>
      </w:r>
      <w:r>
        <w:t>contribue</w:t>
      </w:r>
      <w:r w:rsidRPr="002C4077">
        <w:t xml:space="preserve"> </w:t>
      </w:r>
      <w:r>
        <w:t>beaucoup</w:t>
      </w:r>
      <w:r w:rsidRPr="002C4077">
        <w:t xml:space="preserve"> </w:t>
      </w:r>
      <w:r>
        <w:t>à</w:t>
      </w:r>
      <w:r w:rsidRPr="002C4077">
        <w:t xml:space="preserve"> </w:t>
      </w:r>
      <w:r>
        <w:t>la</w:t>
      </w:r>
      <w:r w:rsidRPr="002C4077">
        <w:t xml:space="preserve"> </w:t>
      </w:r>
      <w:r>
        <w:t>conservation</w:t>
      </w:r>
      <w:r w:rsidRPr="002C4077">
        <w:t xml:space="preserve"> </w:t>
      </w:r>
      <w:r>
        <w:t>de</w:t>
      </w:r>
      <w:r w:rsidRPr="002C4077">
        <w:t xml:space="preserve"> </w:t>
      </w:r>
      <w:r>
        <w:t>la</w:t>
      </w:r>
      <w:r w:rsidRPr="002C4077">
        <w:t xml:space="preserve"> </w:t>
      </w:r>
      <w:r>
        <w:t>santé</w:t>
      </w:r>
      <w:r w:rsidRPr="002C4077">
        <w:t xml:space="preserve"> </w:t>
      </w:r>
      <w:r>
        <w:t>et</w:t>
      </w:r>
      <w:r w:rsidRPr="002C4077">
        <w:t xml:space="preserve"> </w:t>
      </w:r>
      <w:r>
        <w:t>au</w:t>
      </w:r>
      <w:r w:rsidRPr="002C4077">
        <w:t xml:space="preserve"> </w:t>
      </w:r>
      <w:r>
        <w:t>développement</w:t>
      </w:r>
      <w:r w:rsidRPr="002C4077">
        <w:t xml:space="preserve"> </w:t>
      </w:r>
      <w:r>
        <w:t>du</w:t>
      </w:r>
      <w:r w:rsidRPr="002C4077">
        <w:t xml:space="preserve"> </w:t>
      </w:r>
      <w:r>
        <w:t>corps</w:t>
      </w:r>
      <w:r w:rsidRPr="002C4077">
        <w:t xml:space="preserve"> </w:t>
      </w:r>
      <w:r>
        <w:t>et</w:t>
      </w:r>
      <w:r w:rsidRPr="002C4077">
        <w:t xml:space="preserve"> </w:t>
      </w:r>
      <w:r>
        <w:t>de</w:t>
      </w:r>
      <w:r w:rsidRPr="002C4077">
        <w:t xml:space="preserve"> </w:t>
      </w:r>
      <w:r>
        <w:t>l’esprit</w:t>
      </w:r>
      <w:r w:rsidR="00846153">
        <w:rPr>
          <w:rStyle w:val="Appelnotedebasdep"/>
        </w:rPr>
        <w:footnoteReference w:id="855"/>
      </w:r>
      <w:r>
        <w:t>.</w:t>
      </w:r>
      <w:r w:rsidR="00C45B47">
        <w:t xml:space="preserve"> {</w:t>
      </w:r>
      <w:r w:rsidR="005E2129">
        <w:t>280</w:t>
      </w:r>
      <w:bookmarkStart w:id="683" w:name="p280"/>
      <w:bookmarkEnd w:id="683"/>
      <w:r w:rsidR="005E2129">
        <w:t xml:space="preserve">} </w:t>
      </w:r>
    </w:p>
    <w:p w:rsidR="000A7AAB" w:rsidRDefault="000A7AAB" w:rsidP="000A7AAB">
      <w:r>
        <w:t>Qu’on</w:t>
      </w:r>
      <w:r w:rsidRPr="002C4077">
        <w:t xml:space="preserve"> </w:t>
      </w:r>
      <w:r>
        <w:t>nous</w:t>
      </w:r>
      <w:r w:rsidRPr="002C4077">
        <w:t xml:space="preserve"> </w:t>
      </w:r>
      <w:r>
        <w:t>permette</w:t>
      </w:r>
      <w:r w:rsidRPr="002C4077">
        <w:t xml:space="preserve"> </w:t>
      </w:r>
      <w:r>
        <w:t>encore</w:t>
      </w:r>
      <w:r w:rsidRPr="002C4077">
        <w:t xml:space="preserve"> </w:t>
      </w:r>
      <w:r>
        <w:t>quelques</w:t>
      </w:r>
      <w:r w:rsidRPr="002C4077">
        <w:t xml:space="preserve"> </w:t>
      </w:r>
      <w:r>
        <w:t>citations.</w:t>
      </w:r>
      <w:r w:rsidRPr="002C4077">
        <w:t xml:space="preserve"> </w:t>
      </w:r>
      <w:r>
        <w:t>Nous</w:t>
      </w:r>
      <w:r w:rsidRPr="002C4077">
        <w:t xml:space="preserve"> </w:t>
      </w:r>
      <w:r>
        <w:t>montrerons</w:t>
      </w:r>
      <w:r w:rsidRPr="002C4077">
        <w:t xml:space="preserve"> </w:t>
      </w:r>
      <w:r>
        <w:t>ainsi</w:t>
      </w:r>
      <w:r w:rsidRPr="002C4077">
        <w:t xml:space="preserve"> </w:t>
      </w:r>
      <w:r>
        <w:t>que</w:t>
      </w:r>
      <w:r w:rsidRPr="002C4077">
        <w:t xml:space="preserve"> </w:t>
      </w:r>
      <w:r>
        <w:t>nous</w:t>
      </w:r>
      <w:r w:rsidRPr="002C4077">
        <w:t xml:space="preserve"> </w:t>
      </w:r>
      <w:r>
        <w:t>n’avons</w:t>
      </w:r>
      <w:r w:rsidRPr="002C4077">
        <w:t xml:space="preserve"> </w:t>
      </w:r>
      <w:r>
        <w:t>pas</w:t>
      </w:r>
      <w:r w:rsidRPr="002C4077">
        <w:t xml:space="preserve"> </w:t>
      </w:r>
      <w:r>
        <w:t>accusé</w:t>
      </w:r>
      <w:r w:rsidRPr="002C4077">
        <w:t xml:space="preserve"> </w:t>
      </w:r>
      <w:r>
        <w:t>à</w:t>
      </w:r>
      <w:r w:rsidRPr="002C4077">
        <w:t xml:space="preserve"> </w:t>
      </w:r>
      <w:r>
        <w:t>faux</w:t>
      </w:r>
      <w:r w:rsidRPr="002C4077">
        <w:t xml:space="preserve"> </w:t>
      </w:r>
      <w:r>
        <w:t>la</w:t>
      </w:r>
      <w:r w:rsidRPr="002C4077">
        <w:t xml:space="preserve"> </w:t>
      </w:r>
      <w:r>
        <w:t>morale</w:t>
      </w:r>
      <w:r w:rsidRPr="002C4077">
        <w:t xml:space="preserve"> </w:t>
      </w:r>
      <w:r>
        <w:t>du</w:t>
      </w:r>
      <w:r w:rsidRPr="002C4077">
        <w:t xml:space="preserve"> </w:t>
      </w:r>
      <w:r>
        <w:t>catéchisme</w:t>
      </w:r>
      <w:r w:rsidRPr="002C4077">
        <w:t xml:space="preserve"> </w:t>
      </w:r>
      <w:r>
        <w:t>israélite.</w:t>
      </w:r>
      <w:r w:rsidRPr="002C4077">
        <w:t xml:space="preserve"> </w:t>
      </w:r>
    </w:p>
    <w:p w:rsidR="000A7AAB" w:rsidRDefault="000A7AAB" w:rsidP="00942C4D">
      <w:pPr>
        <w:pStyle w:val="locus"/>
      </w:pPr>
      <w:r>
        <w:lastRenderedPageBreak/>
        <w:t>D.</w:t>
      </w:r>
      <w:r w:rsidRPr="002C4077">
        <w:t xml:space="preserve"> </w:t>
      </w:r>
      <w:r>
        <w:t>Quelles</w:t>
      </w:r>
      <w:r w:rsidRPr="002C4077">
        <w:t xml:space="preserve"> </w:t>
      </w:r>
      <w:r>
        <w:t>sont</w:t>
      </w:r>
      <w:r w:rsidRPr="002C4077">
        <w:t xml:space="preserve"> </w:t>
      </w:r>
      <w:r>
        <w:t>les</w:t>
      </w:r>
      <w:r w:rsidRPr="002C4077">
        <w:t xml:space="preserve"> </w:t>
      </w:r>
      <w:r>
        <w:t>suites</w:t>
      </w:r>
      <w:r w:rsidRPr="002C4077">
        <w:t xml:space="preserve"> </w:t>
      </w:r>
      <w:r>
        <w:t>de</w:t>
      </w:r>
      <w:r w:rsidRPr="002C4077">
        <w:t xml:space="preserve"> </w:t>
      </w:r>
      <w:r>
        <w:t>la</w:t>
      </w:r>
      <w:r w:rsidRPr="002C4077">
        <w:t xml:space="preserve"> </w:t>
      </w:r>
      <w:r>
        <w:t>gourmandise</w:t>
      </w:r>
      <w:r w:rsidR="00B546AF">
        <w:t> ?</w:t>
      </w:r>
      <w:r w:rsidRPr="002C4077">
        <w:t xml:space="preserve"> </w:t>
      </w:r>
    </w:p>
    <w:p w:rsidR="000A7AAB" w:rsidRDefault="000A7AAB" w:rsidP="00942C4D">
      <w:pPr>
        <w:pStyle w:val="locus"/>
      </w:pPr>
      <w:r>
        <w:t>R.</w:t>
      </w:r>
      <w:r w:rsidRPr="002C4077">
        <w:t xml:space="preserve"> </w:t>
      </w:r>
      <w:r>
        <w:t>Elle</w:t>
      </w:r>
      <w:r w:rsidRPr="002C4077">
        <w:t xml:space="preserve"> </w:t>
      </w:r>
      <w:r>
        <w:t>produit</w:t>
      </w:r>
      <w:r w:rsidRPr="002C4077">
        <w:t xml:space="preserve"> </w:t>
      </w:r>
      <w:r>
        <w:t>des</w:t>
      </w:r>
      <w:r w:rsidRPr="002C4077">
        <w:t xml:space="preserve"> </w:t>
      </w:r>
      <w:r>
        <w:t>maladies</w:t>
      </w:r>
      <w:r w:rsidRPr="002C4077">
        <w:t xml:space="preserve"> </w:t>
      </w:r>
      <w:r>
        <w:t>et</w:t>
      </w:r>
      <w:r w:rsidRPr="002C4077">
        <w:t xml:space="preserve"> </w:t>
      </w:r>
      <w:r>
        <w:t>des</w:t>
      </w:r>
      <w:r w:rsidRPr="002C4077">
        <w:t xml:space="preserve"> </w:t>
      </w:r>
      <w:r>
        <w:t>souffrances</w:t>
      </w:r>
      <w:r w:rsidR="00B546AF">
        <w:t> ;</w:t>
      </w:r>
      <w:r w:rsidRPr="002C4077">
        <w:t xml:space="preserve"> </w:t>
      </w:r>
      <w:r>
        <w:t>elle</w:t>
      </w:r>
      <w:r w:rsidRPr="002C4077">
        <w:t xml:space="preserve"> </w:t>
      </w:r>
      <w:r>
        <w:t>fait</w:t>
      </w:r>
      <w:r w:rsidRPr="002C4077">
        <w:t xml:space="preserve"> </w:t>
      </w:r>
      <w:r>
        <w:t>perdre</w:t>
      </w:r>
      <w:r w:rsidRPr="002C4077">
        <w:t xml:space="preserve"> </w:t>
      </w:r>
      <w:r>
        <w:t>le</w:t>
      </w:r>
      <w:r w:rsidRPr="002C4077">
        <w:t xml:space="preserve"> </w:t>
      </w:r>
      <w:r>
        <w:t>goût</w:t>
      </w:r>
      <w:r w:rsidRPr="002C4077">
        <w:t xml:space="preserve"> </w:t>
      </w:r>
      <w:r>
        <w:t>de</w:t>
      </w:r>
      <w:r w:rsidRPr="002C4077">
        <w:t xml:space="preserve"> </w:t>
      </w:r>
      <w:r>
        <w:t>l’étude</w:t>
      </w:r>
      <w:r w:rsidRPr="002C4077">
        <w:t xml:space="preserve"> </w:t>
      </w:r>
      <w:r>
        <w:t>et</w:t>
      </w:r>
      <w:r w:rsidRPr="002C4077">
        <w:t xml:space="preserve"> </w:t>
      </w:r>
      <w:r>
        <w:t>du</w:t>
      </w:r>
      <w:r w:rsidRPr="002C4077">
        <w:t xml:space="preserve"> </w:t>
      </w:r>
      <w:r>
        <w:t>travail,</w:t>
      </w:r>
      <w:r w:rsidRPr="002C4077">
        <w:t xml:space="preserve"> </w:t>
      </w:r>
      <w:r>
        <w:t>et</w:t>
      </w:r>
      <w:r w:rsidRPr="002C4077">
        <w:t xml:space="preserve"> </w:t>
      </w:r>
      <w:r>
        <w:t>conduit</w:t>
      </w:r>
      <w:r w:rsidRPr="002C4077">
        <w:t xml:space="preserve"> </w:t>
      </w:r>
      <w:r>
        <w:t>l’homme</w:t>
      </w:r>
      <w:r w:rsidRPr="002C4077">
        <w:t xml:space="preserve"> </w:t>
      </w:r>
      <w:r>
        <w:t>à</w:t>
      </w:r>
      <w:r w:rsidRPr="002C4077">
        <w:t xml:space="preserve"> </w:t>
      </w:r>
      <w:r>
        <w:t>la</w:t>
      </w:r>
      <w:r w:rsidRPr="002C4077">
        <w:t xml:space="preserve"> </w:t>
      </w:r>
      <w:r>
        <w:t>pauvreté</w:t>
      </w:r>
      <w:r w:rsidRPr="002C4077">
        <w:t xml:space="preserve"> </w:t>
      </w:r>
      <w:r>
        <w:t>et</w:t>
      </w:r>
      <w:r w:rsidRPr="002C4077">
        <w:t xml:space="preserve"> </w:t>
      </w:r>
      <w:r>
        <w:t>à</w:t>
      </w:r>
      <w:r w:rsidRPr="002C4077">
        <w:t xml:space="preserve"> </w:t>
      </w:r>
      <w:r>
        <w:t>la</w:t>
      </w:r>
      <w:r w:rsidRPr="002C4077">
        <w:t xml:space="preserve"> </w:t>
      </w:r>
      <w:r>
        <w:t>misère.</w:t>
      </w:r>
      <w:r w:rsidRPr="002C4077">
        <w:t xml:space="preserve"> </w:t>
      </w:r>
    </w:p>
    <w:p w:rsidR="000A7AAB" w:rsidRDefault="000A7AAB" w:rsidP="00942C4D">
      <w:pPr>
        <w:pStyle w:val="locus"/>
      </w:pPr>
      <w:r>
        <w:t>D.</w:t>
      </w:r>
      <w:r w:rsidRPr="002C4077">
        <w:t xml:space="preserve"> </w:t>
      </w:r>
      <w:r>
        <w:t>Quels</w:t>
      </w:r>
      <w:r w:rsidRPr="002C4077">
        <w:t xml:space="preserve"> </w:t>
      </w:r>
      <w:r>
        <w:t>sont</w:t>
      </w:r>
      <w:r w:rsidRPr="002C4077">
        <w:t xml:space="preserve"> </w:t>
      </w:r>
      <w:r>
        <w:t>les</w:t>
      </w:r>
      <w:r w:rsidRPr="002C4077">
        <w:t xml:space="preserve"> </w:t>
      </w:r>
      <w:r>
        <w:t>avantages</w:t>
      </w:r>
      <w:r w:rsidRPr="002C4077">
        <w:t xml:space="preserve"> </w:t>
      </w:r>
      <w:r>
        <w:t>de</w:t>
      </w:r>
      <w:r w:rsidRPr="002C4077">
        <w:t xml:space="preserve"> </w:t>
      </w:r>
      <w:r>
        <w:t>la</w:t>
      </w:r>
      <w:r w:rsidRPr="002C4077">
        <w:t xml:space="preserve"> </w:t>
      </w:r>
      <w:r>
        <w:t>sobriété</w:t>
      </w:r>
      <w:r w:rsidR="00B546AF">
        <w:t> ?</w:t>
      </w:r>
      <w:r w:rsidRPr="002C4077">
        <w:t xml:space="preserve"> </w:t>
      </w:r>
    </w:p>
    <w:p w:rsidR="000A7AAB" w:rsidRDefault="000A7AAB" w:rsidP="00942C4D">
      <w:pPr>
        <w:pStyle w:val="locus"/>
      </w:pPr>
      <w:r>
        <w:t>R.</w:t>
      </w:r>
      <w:r w:rsidRPr="002C4077">
        <w:t xml:space="preserve"> </w:t>
      </w:r>
      <w:r>
        <w:t>L’homme</w:t>
      </w:r>
      <w:r w:rsidRPr="002C4077">
        <w:t xml:space="preserve"> </w:t>
      </w:r>
      <w:r>
        <w:t>sobre</w:t>
      </w:r>
      <w:r w:rsidRPr="002C4077">
        <w:t xml:space="preserve"> </w:t>
      </w:r>
      <w:r>
        <w:t>ruine</w:t>
      </w:r>
      <w:r w:rsidRPr="002C4077">
        <w:t xml:space="preserve"> </w:t>
      </w:r>
      <w:r>
        <w:t>rarement</w:t>
      </w:r>
      <w:r w:rsidRPr="002C4077">
        <w:t xml:space="preserve"> </w:t>
      </w:r>
      <w:r>
        <w:t>sa</w:t>
      </w:r>
      <w:r w:rsidRPr="002C4077">
        <w:t xml:space="preserve"> </w:t>
      </w:r>
      <w:r>
        <w:t>santé</w:t>
      </w:r>
      <w:r w:rsidR="00B546AF">
        <w:t> ;</w:t>
      </w:r>
      <w:r w:rsidRPr="002C4077">
        <w:t xml:space="preserve"> </w:t>
      </w:r>
      <w:r>
        <w:t>s’il</w:t>
      </w:r>
      <w:r w:rsidRPr="002C4077">
        <w:t xml:space="preserve"> </w:t>
      </w:r>
      <w:r>
        <w:t>tombe</w:t>
      </w:r>
      <w:r w:rsidRPr="002C4077">
        <w:t xml:space="preserve"> </w:t>
      </w:r>
      <w:r>
        <w:t>malade,</w:t>
      </w:r>
      <w:r w:rsidRPr="002C4077">
        <w:t xml:space="preserve"> </w:t>
      </w:r>
      <w:r>
        <w:t>sa</w:t>
      </w:r>
      <w:r w:rsidRPr="002C4077">
        <w:t xml:space="preserve"> </w:t>
      </w:r>
      <w:r>
        <w:t>guérison</w:t>
      </w:r>
      <w:r w:rsidRPr="002C4077">
        <w:t xml:space="preserve"> </w:t>
      </w:r>
      <w:r w:rsidR="00425C50">
        <w:t>est</w:t>
      </w:r>
      <w:r w:rsidRPr="002C4077">
        <w:t xml:space="preserve"> </w:t>
      </w:r>
      <w:r>
        <w:t>plus</w:t>
      </w:r>
      <w:r w:rsidRPr="002C4077">
        <w:t xml:space="preserve"> </w:t>
      </w:r>
      <w:r>
        <w:t>facile</w:t>
      </w:r>
      <w:r w:rsidR="00B546AF">
        <w:t> ;</w:t>
      </w:r>
      <w:r w:rsidRPr="002C4077">
        <w:t xml:space="preserve"> </w:t>
      </w:r>
      <w:r>
        <w:t>ses</w:t>
      </w:r>
      <w:r w:rsidRPr="002C4077">
        <w:t xml:space="preserve"> </w:t>
      </w:r>
      <w:r>
        <w:t>forces</w:t>
      </w:r>
      <w:r w:rsidRPr="002C4077">
        <w:t xml:space="preserve"> </w:t>
      </w:r>
      <w:r>
        <w:t>se</w:t>
      </w:r>
      <w:r w:rsidRPr="002C4077">
        <w:t xml:space="preserve"> </w:t>
      </w:r>
      <w:r>
        <w:t>conservent</w:t>
      </w:r>
      <w:r w:rsidRPr="002C4077">
        <w:t xml:space="preserve"> </w:t>
      </w:r>
      <w:r>
        <w:t>longtemps</w:t>
      </w:r>
      <w:r w:rsidRPr="002C4077">
        <w:t xml:space="preserve"> </w:t>
      </w:r>
      <w:r>
        <w:t>et</w:t>
      </w:r>
      <w:r w:rsidRPr="002C4077">
        <w:t xml:space="preserve"> </w:t>
      </w:r>
      <w:r>
        <w:t>sa</w:t>
      </w:r>
      <w:r w:rsidRPr="002C4077">
        <w:t xml:space="preserve"> </w:t>
      </w:r>
      <w:r>
        <w:t>personne</w:t>
      </w:r>
      <w:r w:rsidRPr="002C4077">
        <w:t xml:space="preserve"> </w:t>
      </w:r>
      <w:r w:rsidR="00425C50">
        <w:t>est</w:t>
      </w:r>
      <w:r w:rsidRPr="002C4077">
        <w:t xml:space="preserve"> </w:t>
      </w:r>
      <w:r>
        <w:t>à.</w:t>
      </w:r>
      <w:r w:rsidRPr="002C4077">
        <w:t xml:space="preserve"> </w:t>
      </w:r>
      <w:r>
        <w:t>l’abri</w:t>
      </w:r>
      <w:r w:rsidRPr="002C4077">
        <w:t xml:space="preserve"> </w:t>
      </w:r>
      <w:r>
        <w:t>de</w:t>
      </w:r>
      <w:r w:rsidRPr="002C4077">
        <w:t xml:space="preserve"> </w:t>
      </w:r>
      <w:r>
        <w:t>beaucoup</w:t>
      </w:r>
      <w:r w:rsidRPr="002C4077">
        <w:t xml:space="preserve"> </w:t>
      </w:r>
      <w:r>
        <w:t>d’infirmités</w:t>
      </w:r>
      <w:r w:rsidR="00B91AF7">
        <w:rPr>
          <w:rStyle w:val="Appelnotedebasdep"/>
        </w:rPr>
        <w:footnoteReference w:id="856"/>
      </w:r>
      <w:r>
        <w:t>.</w:t>
      </w:r>
      <w:r w:rsidRPr="002C4077">
        <w:t xml:space="preserve"> </w:t>
      </w:r>
    </w:p>
    <w:p w:rsidR="00846153" w:rsidRDefault="00846153" w:rsidP="00942C4D">
      <w:pPr>
        <w:pStyle w:val="locus"/>
      </w:pPr>
      <w:r>
        <w:t>…………………………………………</w:t>
      </w:r>
    </w:p>
    <w:p w:rsidR="000A7AAB" w:rsidRDefault="000A7AAB" w:rsidP="00942C4D">
      <w:pPr>
        <w:pStyle w:val="locus"/>
      </w:pPr>
      <w:r>
        <w:t>D.</w:t>
      </w:r>
      <w:r w:rsidRPr="002C4077">
        <w:t xml:space="preserve"> </w:t>
      </w:r>
      <w:r>
        <w:t>Quels</w:t>
      </w:r>
      <w:r w:rsidRPr="002C4077">
        <w:t xml:space="preserve"> </w:t>
      </w:r>
      <w:r>
        <w:t>sont</w:t>
      </w:r>
      <w:r w:rsidRPr="002C4077">
        <w:t xml:space="preserve"> </w:t>
      </w:r>
      <w:r>
        <w:t>les</w:t>
      </w:r>
      <w:r w:rsidRPr="002C4077">
        <w:t xml:space="preserve"> </w:t>
      </w:r>
      <w:r>
        <w:t>avantages</w:t>
      </w:r>
      <w:r w:rsidRPr="002C4077">
        <w:t xml:space="preserve"> </w:t>
      </w:r>
      <w:r>
        <w:t>de</w:t>
      </w:r>
      <w:r w:rsidRPr="002C4077">
        <w:t xml:space="preserve"> </w:t>
      </w:r>
      <w:r>
        <w:t>l’homme</w:t>
      </w:r>
      <w:r w:rsidRPr="002C4077">
        <w:t xml:space="preserve"> </w:t>
      </w:r>
      <w:r>
        <w:t>actif</w:t>
      </w:r>
      <w:r w:rsidR="00B546AF">
        <w:t> ?</w:t>
      </w:r>
      <w:r w:rsidRPr="002C4077">
        <w:t xml:space="preserve"> </w:t>
      </w:r>
    </w:p>
    <w:p w:rsidR="000A7AAB" w:rsidRDefault="000A7AAB" w:rsidP="00942C4D">
      <w:pPr>
        <w:pStyle w:val="locus"/>
      </w:pPr>
      <w:r>
        <w:t>R.</w:t>
      </w:r>
      <w:r w:rsidRPr="002C4077">
        <w:t xml:space="preserve"> </w:t>
      </w:r>
      <w:r>
        <w:t>L’homme</w:t>
      </w:r>
      <w:r w:rsidRPr="002C4077">
        <w:t xml:space="preserve"> </w:t>
      </w:r>
      <w:r>
        <w:t>actif</w:t>
      </w:r>
      <w:r w:rsidRPr="002C4077">
        <w:t xml:space="preserve"> </w:t>
      </w:r>
      <w:r>
        <w:t>se</w:t>
      </w:r>
      <w:r w:rsidRPr="002C4077">
        <w:t xml:space="preserve"> </w:t>
      </w:r>
      <w:r>
        <w:t>prépare</w:t>
      </w:r>
      <w:r w:rsidRPr="002C4077">
        <w:t xml:space="preserve"> </w:t>
      </w:r>
      <w:r>
        <w:t>une</w:t>
      </w:r>
      <w:r w:rsidRPr="002C4077">
        <w:t xml:space="preserve"> </w:t>
      </w:r>
      <w:r>
        <w:t>existence</w:t>
      </w:r>
      <w:r w:rsidRPr="002C4077">
        <w:t xml:space="preserve"> </w:t>
      </w:r>
      <w:r>
        <w:t>heu</w:t>
      </w:r>
      <w:r w:rsidR="00846153">
        <w:t>reuse,</w:t>
      </w:r>
      <w:r w:rsidR="00846153" w:rsidRPr="002C4077">
        <w:t xml:space="preserve"> </w:t>
      </w:r>
      <w:r w:rsidR="00846153">
        <w:t>une</w:t>
      </w:r>
      <w:r w:rsidR="00846153" w:rsidRPr="002C4077">
        <w:t xml:space="preserve"> </w:t>
      </w:r>
      <w:r w:rsidR="00846153">
        <w:t>position</w:t>
      </w:r>
      <w:r w:rsidR="00846153" w:rsidRPr="002C4077">
        <w:t xml:space="preserve"> </w:t>
      </w:r>
      <w:r w:rsidR="00846153">
        <w:t>honorable,…</w:t>
      </w:r>
      <w:r w:rsidRPr="002C4077">
        <w:t xml:space="preserve"> </w:t>
      </w:r>
      <w:r w:rsidR="00425C50">
        <w:t>etc</w:t>
      </w:r>
      <w:r>
        <w:t>.</w:t>
      </w:r>
      <w:r w:rsidR="00B91AF7">
        <w:rPr>
          <w:rStyle w:val="Appelnotedebasdep"/>
        </w:rPr>
        <w:footnoteReference w:id="857"/>
      </w:r>
      <w:r>
        <w:t>.</w:t>
      </w:r>
      <w:r w:rsidRPr="002C4077">
        <w:t xml:space="preserve"> </w:t>
      </w:r>
    </w:p>
    <w:p w:rsidR="000A7AAB" w:rsidRDefault="000A7AAB" w:rsidP="00942C4D">
      <w:pPr>
        <w:pStyle w:val="locus"/>
      </w:pPr>
      <w:r>
        <w:t>D.</w:t>
      </w:r>
      <w:r w:rsidRPr="002C4077">
        <w:t xml:space="preserve"> </w:t>
      </w:r>
      <w:r>
        <w:t>Quelle</w:t>
      </w:r>
      <w:r w:rsidRPr="002C4077">
        <w:t xml:space="preserve"> </w:t>
      </w:r>
      <w:r w:rsidR="00425C50">
        <w:t>est</w:t>
      </w:r>
      <w:r w:rsidRPr="002C4077">
        <w:t xml:space="preserve"> </w:t>
      </w:r>
      <w:r>
        <w:t>la</w:t>
      </w:r>
      <w:r w:rsidRPr="002C4077">
        <w:t xml:space="preserve"> </w:t>
      </w:r>
      <w:r>
        <w:t>vertu</w:t>
      </w:r>
      <w:r w:rsidRPr="002C4077">
        <w:t xml:space="preserve"> </w:t>
      </w:r>
      <w:r>
        <w:t>également</w:t>
      </w:r>
      <w:r w:rsidRPr="002C4077">
        <w:t xml:space="preserve"> </w:t>
      </w:r>
      <w:r>
        <w:t>éloignée</w:t>
      </w:r>
      <w:r w:rsidRPr="002C4077">
        <w:t xml:space="preserve"> </w:t>
      </w:r>
      <w:r>
        <w:t>de</w:t>
      </w:r>
      <w:r w:rsidRPr="002C4077">
        <w:t xml:space="preserve"> </w:t>
      </w:r>
      <w:r>
        <w:t>l’avarice</w:t>
      </w:r>
      <w:r w:rsidRPr="002C4077">
        <w:t xml:space="preserve"> </w:t>
      </w:r>
      <w:r>
        <w:t>et</w:t>
      </w:r>
      <w:r w:rsidRPr="002C4077">
        <w:t xml:space="preserve"> </w:t>
      </w:r>
      <w:r>
        <w:t>de</w:t>
      </w:r>
      <w:r w:rsidRPr="002C4077">
        <w:t xml:space="preserve"> </w:t>
      </w:r>
      <w:r>
        <w:t>la</w:t>
      </w:r>
      <w:r w:rsidRPr="002C4077">
        <w:t xml:space="preserve"> </w:t>
      </w:r>
      <w:r>
        <w:t>prodigalité</w:t>
      </w:r>
      <w:r w:rsidR="00B546AF">
        <w:t> ?</w:t>
      </w:r>
      <w:r w:rsidRPr="002C4077">
        <w:t xml:space="preserve"> </w:t>
      </w:r>
    </w:p>
    <w:p w:rsidR="000A7AAB" w:rsidRDefault="000A7AAB" w:rsidP="00942C4D">
      <w:pPr>
        <w:pStyle w:val="locus"/>
      </w:pPr>
      <w:r>
        <w:t>R.</w:t>
      </w:r>
      <w:r w:rsidRPr="002C4077">
        <w:t xml:space="preserve"> </w:t>
      </w:r>
      <w:r>
        <w:t>C’est</w:t>
      </w:r>
      <w:r w:rsidRPr="002C4077">
        <w:t xml:space="preserve"> </w:t>
      </w:r>
      <w:r>
        <w:t>l’économie.</w:t>
      </w:r>
      <w:r w:rsidRPr="002C4077">
        <w:t xml:space="preserve"> </w:t>
      </w:r>
      <w:r>
        <w:t>L’homme</w:t>
      </w:r>
      <w:r w:rsidRPr="002C4077">
        <w:t xml:space="preserve"> </w:t>
      </w:r>
      <w:r>
        <w:t>qui</w:t>
      </w:r>
      <w:r w:rsidRPr="002C4077">
        <w:t xml:space="preserve"> </w:t>
      </w:r>
      <w:r>
        <w:t>possède</w:t>
      </w:r>
      <w:r w:rsidRPr="002C4077">
        <w:t xml:space="preserve"> </w:t>
      </w:r>
      <w:r>
        <w:t>cette</w:t>
      </w:r>
      <w:r w:rsidRPr="002C4077">
        <w:t xml:space="preserve"> </w:t>
      </w:r>
      <w:r>
        <w:t>vertu</w:t>
      </w:r>
      <w:r w:rsidRPr="002C4077">
        <w:t xml:space="preserve"> </w:t>
      </w:r>
      <w:r>
        <w:t>règle</w:t>
      </w:r>
      <w:r w:rsidRPr="002C4077">
        <w:t xml:space="preserve"> </w:t>
      </w:r>
      <w:r>
        <w:t>sa</w:t>
      </w:r>
      <w:r w:rsidRPr="002C4077">
        <w:t xml:space="preserve"> </w:t>
      </w:r>
      <w:r>
        <w:t>dépense</w:t>
      </w:r>
      <w:r w:rsidRPr="002C4077">
        <w:t xml:space="preserve"> </w:t>
      </w:r>
      <w:r>
        <w:t>sur</w:t>
      </w:r>
      <w:r w:rsidRPr="002C4077">
        <w:t xml:space="preserve"> </w:t>
      </w:r>
      <w:r>
        <w:t>ses</w:t>
      </w:r>
      <w:r w:rsidRPr="002C4077">
        <w:t xml:space="preserve"> </w:t>
      </w:r>
      <w:r>
        <w:t>revenus,</w:t>
      </w:r>
      <w:r w:rsidRPr="002C4077">
        <w:t xml:space="preserve"> </w:t>
      </w:r>
      <w:r>
        <w:t>de</w:t>
      </w:r>
      <w:r w:rsidRPr="002C4077">
        <w:t xml:space="preserve"> </w:t>
      </w:r>
      <w:r>
        <w:t>manière</w:t>
      </w:r>
      <w:r w:rsidRPr="002C4077">
        <w:t xml:space="preserve"> </w:t>
      </w:r>
      <w:r>
        <w:t>à</w:t>
      </w:r>
      <w:r w:rsidRPr="002C4077">
        <w:t xml:space="preserve"> </w:t>
      </w:r>
      <w:r>
        <w:t>mettre</w:t>
      </w:r>
      <w:r w:rsidRPr="002C4077">
        <w:t xml:space="preserve"> </w:t>
      </w:r>
      <w:r>
        <w:t>en</w:t>
      </w:r>
      <w:r w:rsidRPr="002C4077">
        <w:t xml:space="preserve"> </w:t>
      </w:r>
      <w:r>
        <w:t>réserve</w:t>
      </w:r>
      <w:r w:rsidRPr="002C4077">
        <w:t xml:space="preserve"> </w:t>
      </w:r>
      <w:r>
        <w:t>une</w:t>
      </w:r>
      <w:r w:rsidRPr="002C4077">
        <w:t xml:space="preserve"> </w:t>
      </w:r>
      <w:r>
        <w:t>partie</w:t>
      </w:r>
      <w:r w:rsidRPr="002C4077">
        <w:t xml:space="preserve"> </w:t>
      </w:r>
      <w:r>
        <w:t>de</w:t>
      </w:r>
      <w:r w:rsidRPr="002C4077">
        <w:t xml:space="preserve"> </w:t>
      </w:r>
      <w:r>
        <w:t>ce</w:t>
      </w:r>
      <w:r w:rsidRPr="002C4077">
        <w:t xml:space="preserve"> </w:t>
      </w:r>
      <w:r>
        <w:t>qu’il</w:t>
      </w:r>
      <w:r w:rsidRPr="002C4077">
        <w:t xml:space="preserve"> </w:t>
      </w:r>
      <w:r>
        <w:t>gagne,</w:t>
      </w:r>
      <w:r w:rsidRPr="002C4077">
        <w:t xml:space="preserve"> </w:t>
      </w:r>
      <w:r>
        <w:t>pour</w:t>
      </w:r>
      <w:r w:rsidRPr="002C4077">
        <w:t xml:space="preserve"> </w:t>
      </w:r>
      <w:r>
        <w:t>l’employer</w:t>
      </w:r>
      <w:r w:rsidRPr="002C4077">
        <w:t xml:space="preserve"> </w:t>
      </w:r>
      <w:r>
        <w:t>au</w:t>
      </w:r>
      <w:r w:rsidRPr="002C4077">
        <w:t xml:space="preserve"> </w:t>
      </w:r>
      <w:r>
        <w:t>profit</w:t>
      </w:r>
      <w:r w:rsidRPr="002C4077">
        <w:t xml:space="preserve"> </w:t>
      </w:r>
      <w:r>
        <w:t>de</w:t>
      </w:r>
      <w:r w:rsidRPr="002C4077">
        <w:t xml:space="preserve"> </w:t>
      </w:r>
      <w:r>
        <w:t>sa</w:t>
      </w:r>
      <w:r w:rsidRPr="002C4077">
        <w:t xml:space="preserve"> </w:t>
      </w:r>
      <w:r>
        <w:t>famille,</w:t>
      </w:r>
      <w:r w:rsidRPr="002C4077">
        <w:t xml:space="preserve"> </w:t>
      </w:r>
      <w:r>
        <w:t>de</w:t>
      </w:r>
      <w:r w:rsidRPr="002C4077">
        <w:t xml:space="preserve"> </w:t>
      </w:r>
      <w:r>
        <w:t>ses</w:t>
      </w:r>
      <w:r w:rsidRPr="002C4077">
        <w:t xml:space="preserve"> </w:t>
      </w:r>
      <w:r>
        <w:t>amis</w:t>
      </w:r>
      <w:r w:rsidRPr="002C4077">
        <w:t xml:space="preserve"> </w:t>
      </w:r>
      <w:r>
        <w:t>et</w:t>
      </w:r>
      <w:r w:rsidRPr="002C4077">
        <w:t xml:space="preserve"> </w:t>
      </w:r>
      <w:r>
        <w:t>des</w:t>
      </w:r>
      <w:r w:rsidRPr="002C4077">
        <w:t xml:space="preserve"> </w:t>
      </w:r>
      <w:r>
        <w:t>malheureux,</w:t>
      </w:r>
      <w:r w:rsidRPr="002C4077">
        <w:t xml:space="preserve"> </w:t>
      </w:r>
      <w:r>
        <w:t>et</w:t>
      </w:r>
      <w:r w:rsidRPr="002C4077">
        <w:t xml:space="preserve"> </w:t>
      </w:r>
      <w:r>
        <w:t>pour</w:t>
      </w:r>
      <w:r w:rsidRPr="002C4077">
        <w:t xml:space="preserve"> </w:t>
      </w:r>
      <w:r>
        <w:t>s’en</w:t>
      </w:r>
      <w:r w:rsidRPr="002C4077">
        <w:t xml:space="preserve"> </w:t>
      </w:r>
      <w:r>
        <w:t>servir</w:t>
      </w:r>
      <w:r w:rsidRPr="002C4077">
        <w:t xml:space="preserve"> </w:t>
      </w:r>
      <w:r>
        <w:t>en</w:t>
      </w:r>
      <w:r w:rsidRPr="002C4077">
        <w:t xml:space="preserve"> </w:t>
      </w:r>
      <w:r>
        <w:t>cas</w:t>
      </w:r>
      <w:r w:rsidRPr="002C4077">
        <w:t xml:space="preserve"> </w:t>
      </w:r>
      <w:r>
        <w:t>de</w:t>
      </w:r>
      <w:r w:rsidRPr="002C4077">
        <w:t xml:space="preserve"> </w:t>
      </w:r>
      <w:r>
        <w:t>maladie</w:t>
      </w:r>
      <w:r w:rsidRPr="002C4077">
        <w:t xml:space="preserve"> </w:t>
      </w:r>
      <w:r>
        <w:t>ou</w:t>
      </w:r>
      <w:r w:rsidRPr="002C4077">
        <w:t xml:space="preserve"> </w:t>
      </w:r>
      <w:r>
        <w:t>de</w:t>
      </w:r>
      <w:r w:rsidRPr="002C4077">
        <w:t xml:space="preserve"> </w:t>
      </w:r>
      <w:r>
        <w:t>vieillesse,</w:t>
      </w:r>
      <w:r w:rsidRPr="002C4077">
        <w:t xml:space="preserve"> </w:t>
      </w:r>
      <w:r>
        <w:t>lorsque</w:t>
      </w:r>
      <w:r w:rsidRPr="002C4077">
        <w:t xml:space="preserve"> </w:t>
      </w:r>
      <w:r>
        <w:t>le</w:t>
      </w:r>
      <w:r w:rsidRPr="002C4077">
        <w:t xml:space="preserve"> </w:t>
      </w:r>
      <w:r>
        <w:t>travail</w:t>
      </w:r>
      <w:r w:rsidRPr="002C4077">
        <w:t xml:space="preserve"> </w:t>
      </w:r>
      <w:r>
        <w:t>lui</w:t>
      </w:r>
      <w:r w:rsidRPr="002C4077">
        <w:t xml:space="preserve"> </w:t>
      </w:r>
      <w:r w:rsidR="00425C50">
        <w:t>est</w:t>
      </w:r>
      <w:r w:rsidRPr="002C4077">
        <w:t xml:space="preserve"> </w:t>
      </w:r>
      <w:r>
        <w:t>impossible</w:t>
      </w:r>
      <w:r w:rsidR="00B047B7">
        <w:rPr>
          <w:rStyle w:val="Appelnotedebasdep"/>
        </w:rPr>
        <w:footnoteReference w:id="858"/>
      </w:r>
      <w:r>
        <w:t>.</w:t>
      </w:r>
      <w:r w:rsidRPr="002C4077">
        <w:t xml:space="preserve"> </w:t>
      </w:r>
    </w:p>
    <w:p w:rsidR="000A7AAB" w:rsidRDefault="000A7AAB" w:rsidP="000A7AAB">
      <w:r>
        <w:t>On</w:t>
      </w:r>
      <w:r w:rsidRPr="002C4077">
        <w:t xml:space="preserve"> </w:t>
      </w:r>
      <w:r>
        <w:t>le</w:t>
      </w:r>
      <w:r w:rsidRPr="002C4077">
        <w:t xml:space="preserve"> </w:t>
      </w:r>
      <w:r>
        <w:t>voit,</w:t>
      </w:r>
      <w:r w:rsidRPr="002C4077">
        <w:t xml:space="preserve"> </w:t>
      </w:r>
      <w:r>
        <w:t>c’est</w:t>
      </w:r>
      <w:r w:rsidRPr="002C4077">
        <w:t xml:space="preserve"> </w:t>
      </w:r>
      <w:r>
        <w:t>d’un</w:t>
      </w:r>
      <w:r w:rsidRPr="002C4077">
        <w:t xml:space="preserve"> </w:t>
      </w:r>
      <w:r>
        <w:t>bout</w:t>
      </w:r>
      <w:r w:rsidRPr="002C4077">
        <w:t xml:space="preserve"> </w:t>
      </w:r>
      <w:r>
        <w:t>à</w:t>
      </w:r>
      <w:r w:rsidRPr="002C4077">
        <w:t xml:space="preserve"> </w:t>
      </w:r>
      <w:r>
        <w:t>l’autre</w:t>
      </w:r>
      <w:r w:rsidRPr="002C4077">
        <w:t xml:space="preserve"> </w:t>
      </w:r>
      <w:r>
        <w:t>le</w:t>
      </w:r>
      <w:r w:rsidRPr="002C4077">
        <w:t xml:space="preserve"> </w:t>
      </w:r>
      <w:r>
        <w:t>même</w:t>
      </w:r>
      <w:r w:rsidRPr="002C4077">
        <w:t xml:space="preserve"> </w:t>
      </w:r>
      <w:r>
        <w:t>idéal</w:t>
      </w:r>
      <w:r w:rsidRPr="002C4077">
        <w:t xml:space="preserve"> </w:t>
      </w:r>
      <w:r>
        <w:t>étroit</w:t>
      </w:r>
      <w:r w:rsidRPr="002C4077">
        <w:t xml:space="preserve"> </w:t>
      </w:r>
      <w:r>
        <w:t>et</w:t>
      </w:r>
      <w:r w:rsidRPr="002C4077">
        <w:t xml:space="preserve"> </w:t>
      </w:r>
      <w:r>
        <w:t>borné.</w:t>
      </w:r>
      <w:r w:rsidRPr="002C4077">
        <w:t xml:space="preserve"> </w:t>
      </w:r>
      <w:r>
        <w:t>Mes</w:t>
      </w:r>
      <w:r w:rsidRPr="002C4077">
        <w:t xml:space="preserve"> </w:t>
      </w:r>
      <w:r>
        <w:t>enfants,</w:t>
      </w:r>
      <w:r w:rsidRPr="002C4077">
        <w:t xml:space="preserve"> </w:t>
      </w:r>
      <w:r>
        <w:t>soyez</w:t>
      </w:r>
      <w:r w:rsidRPr="002C4077">
        <w:t xml:space="preserve"> </w:t>
      </w:r>
      <w:r>
        <w:t>vertueux</w:t>
      </w:r>
      <w:r w:rsidR="00B546AF">
        <w:t> !</w:t>
      </w:r>
      <w:r w:rsidRPr="002C4077">
        <w:t xml:space="preserve"> </w:t>
      </w:r>
      <w:r>
        <w:t>Vous</w:t>
      </w:r>
      <w:r w:rsidRPr="002C4077">
        <w:t xml:space="preserve"> </w:t>
      </w:r>
      <w:r>
        <w:t>arriverez</w:t>
      </w:r>
      <w:r w:rsidRPr="002C4077">
        <w:t xml:space="preserve"> </w:t>
      </w:r>
      <w:r>
        <w:t>ainsi</w:t>
      </w:r>
      <w:r w:rsidRPr="002C4077">
        <w:t xml:space="preserve"> </w:t>
      </w:r>
      <w:r>
        <w:t>plus</w:t>
      </w:r>
      <w:r w:rsidRPr="002C4077">
        <w:t xml:space="preserve"> </w:t>
      </w:r>
      <w:r>
        <w:t>promptement</w:t>
      </w:r>
      <w:r w:rsidRPr="002C4077">
        <w:t xml:space="preserve"> </w:t>
      </w:r>
      <w:r>
        <w:t>â</w:t>
      </w:r>
      <w:r w:rsidRPr="002C4077">
        <w:t xml:space="preserve"> </w:t>
      </w:r>
      <w:r>
        <w:t>la</w:t>
      </w:r>
      <w:r w:rsidRPr="002C4077">
        <w:t xml:space="preserve"> </w:t>
      </w:r>
      <w:r>
        <w:t>fortune,</w:t>
      </w:r>
      <w:r w:rsidRPr="002C4077">
        <w:t xml:space="preserve"> </w:t>
      </w:r>
      <w:r>
        <w:t>au</w:t>
      </w:r>
      <w:r w:rsidRPr="002C4077">
        <w:t xml:space="preserve"> </w:t>
      </w:r>
      <w:r>
        <w:t>bien-être,</w:t>
      </w:r>
      <w:r w:rsidRPr="002C4077">
        <w:t xml:space="preserve"> </w:t>
      </w:r>
      <w:r>
        <w:t>et</w:t>
      </w:r>
      <w:r w:rsidRPr="002C4077">
        <w:t xml:space="preserve"> </w:t>
      </w:r>
      <w:r>
        <w:t>vous</w:t>
      </w:r>
      <w:r w:rsidRPr="002C4077">
        <w:t xml:space="preserve"> </w:t>
      </w:r>
      <w:r>
        <w:t>conserverez</w:t>
      </w:r>
      <w:r w:rsidRPr="002C4077">
        <w:t xml:space="preserve"> </w:t>
      </w:r>
      <w:r>
        <w:t>votre</w:t>
      </w:r>
      <w:r w:rsidRPr="002C4077">
        <w:t xml:space="preserve"> </w:t>
      </w:r>
      <w:r>
        <w:t>santé.</w:t>
      </w:r>
      <w:r w:rsidRPr="002C4077">
        <w:t xml:space="preserve"> </w:t>
      </w:r>
    </w:p>
    <w:p w:rsidR="000A7AAB" w:rsidRDefault="000A7AAB" w:rsidP="000A7AAB">
      <w:r>
        <w:t>Nous</w:t>
      </w:r>
      <w:r w:rsidRPr="002C4077">
        <w:t xml:space="preserve"> </w:t>
      </w:r>
      <w:r>
        <w:t>sommes</w:t>
      </w:r>
      <w:r w:rsidRPr="002C4077">
        <w:t xml:space="preserve"> </w:t>
      </w:r>
      <w:r>
        <w:t>donc</w:t>
      </w:r>
      <w:r w:rsidRPr="002C4077">
        <w:t xml:space="preserve"> </w:t>
      </w:r>
      <w:r>
        <w:t>bien</w:t>
      </w:r>
      <w:r w:rsidRPr="002C4077">
        <w:t xml:space="preserve"> </w:t>
      </w:r>
      <w:r>
        <w:t>en</w:t>
      </w:r>
      <w:r w:rsidRPr="002C4077">
        <w:t xml:space="preserve"> </w:t>
      </w:r>
      <w:r>
        <w:t>droit</w:t>
      </w:r>
      <w:r w:rsidRPr="002C4077">
        <w:t xml:space="preserve"> </w:t>
      </w:r>
      <w:r>
        <w:t>de</w:t>
      </w:r>
      <w:r w:rsidRPr="002C4077">
        <w:t xml:space="preserve"> </w:t>
      </w:r>
      <w:r>
        <w:t>le</w:t>
      </w:r>
      <w:r w:rsidRPr="002C4077">
        <w:t xml:space="preserve"> </w:t>
      </w:r>
      <w:r>
        <w:t>conclure,</w:t>
      </w:r>
      <w:r w:rsidRPr="002C4077">
        <w:t xml:space="preserve"> </w:t>
      </w:r>
      <w:r>
        <w:t>et</w:t>
      </w:r>
      <w:r w:rsidRPr="002C4077">
        <w:t xml:space="preserve"> </w:t>
      </w:r>
      <w:r>
        <w:t>la</w:t>
      </w:r>
      <w:r w:rsidRPr="002C4077">
        <w:t xml:space="preserve"> </w:t>
      </w:r>
      <w:r>
        <w:t>seule</w:t>
      </w:r>
      <w:r w:rsidRPr="002C4077">
        <w:t xml:space="preserve"> </w:t>
      </w:r>
      <w:r>
        <w:t>inspection</w:t>
      </w:r>
      <w:r w:rsidRPr="002C4077">
        <w:t xml:space="preserve"> </w:t>
      </w:r>
      <w:r>
        <w:t>du</w:t>
      </w:r>
      <w:r w:rsidRPr="002C4077">
        <w:t xml:space="preserve"> </w:t>
      </w:r>
      <w:r w:rsidRPr="000A34B5">
        <w:rPr>
          <w:rStyle w:val="italicus"/>
        </w:rPr>
        <w:t>Précis</w:t>
      </w:r>
      <w:r w:rsidRPr="002C4077">
        <w:t xml:space="preserve"> </w:t>
      </w:r>
      <w:r w:rsidRPr="000A34B5">
        <w:rPr>
          <w:rStyle w:val="italicus"/>
        </w:rPr>
        <w:t>élémentaire</w:t>
      </w:r>
      <w:r w:rsidRPr="002C4077">
        <w:t xml:space="preserve"> </w:t>
      </w:r>
      <w:r w:rsidRPr="000A34B5">
        <w:rPr>
          <w:rStyle w:val="italicus"/>
        </w:rPr>
        <w:t>d’instruction</w:t>
      </w:r>
      <w:r w:rsidRPr="002C4077">
        <w:t xml:space="preserve"> </w:t>
      </w:r>
      <w:r w:rsidRPr="000A34B5">
        <w:rPr>
          <w:rStyle w:val="italicus"/>
        </w:rPr>
        <w:t>religieuse</w:t>
      </w:r>
      <w:r w:rsidRPr="002C4077">
        <w:t xml:space="preserve"> </w:t>
      </w:r>
      <w:r w:rsidRPr="000A34B5">
        <w:rPr>
          <w:rStyle w:val="italicus"/>
        </w:rPr>
        <w:t>et</w:t>
      </w:r>
      <w:r w:rsidRPr="002C4077">
        <w:t xml:space="preserve"> </w:t>
      </w:r>
      <w:r w:rsidRPr="000A34B5">
        <w:rPr>
          <w:rStyle w:val="italicus"/>
        </w:rPr>
        <w:t>morale</w:t>
      </w:r>
      <w:r w:rsidRPr="002C4077">
        <w:t xml:space="preserve"> </w:t>
      </w:r>
      <w:r w:rsidRPr="000A34B5">
        <w:rPr>
          <w:rStyle w:val="italicus"/>
        </w:rPr>
        <w:t>pour</w:t>
      </w:r>
      <w:r w:rsidRPr="002C4077">
        <w:t xml:space="preserve"> </w:t>
      </w:r>
      <w:r w:rsidRPr="000A34B5">
        <w:rPr>
          <w:rStyle w:val="italicus"/>
        </w:rPr>
        <w:t>les</w:t>
      </w:r>
      <w:r w:rsidRPr="002C4077">
        <w:t xml:space="preserve"> </w:t>
      </w:r>
      <w:r w:rsidRPr="000A34B5">
        <w:rPr>
          <w:rStyle w:val="italicus"/>
        </w:rPr>
        <w:t>jeunes</w:t>
      </w:r>
      <w:r w:rsidRPr="002C4077">
        <w:t xml:space="preserve"> </w:t>
      </w:r>
      <w:r w:rsidRPr="000A34B5">
        <w:rPr>
          <w:rStyle w:val="italicus"/>
        </w:rPr>
        <w:t>Français</w:t>
      </w:r>
      <w:r w:rsidRPr="002C4077">
        <w:t xml:space="preserve"> </w:t>
      </w:r>
      <w:r w:rsidRPr="000A34B5">
        <w:rPr>
          <w:rStyle w:val="italicus"/>
        </w:rPr>
        <w:t>israélites</w:t>
      </w:r>
      <w:r w:rsidRPr="002C4077">
        <w:t xml:space="preserve"> </w:t>
      </w:r>
      <w:r>
        <w:t>le</w:t>
      </w:r>
      <w:r w:rsidRPr="002C4077">
        <w:t xml:space="preserve"> </w:t>
      </w:r>
      <w:r>
        <w:t>démontre</w:t>
      </w:r>
      <w:r w:rsidRPr="002C4077">
        <w:t xml:space="preserve"> </w:t>
      </w:r>
      <w:r>
        <w:t>d’une</w:t>
      </w:r>
      <w:r w:rsidRPr="002C4077">
        <w:t xml:space="preserve"> </w:t>
      </w:r>
      <w:r>
        <w:t>manière</w:t>
      </w:r>
      <w:r w:rsidRPr="002C4077">
        <w:t xml:space="preserve"> </w:t>
      </w:r>
      <w:r>
        <w:t>flagrante</w:t>
      </w:r>
      <w:r w:rsidR="00B546AF">
        <w:t> :</w:t>
      </w:r>
      <w:r w:rsidRPr="002C4077">
        <w:t xml:space="preserve"> </w:t>
      </w:r>
      <w:r>
        <w:t>le</w:t>
      </w:r>
      <w:r w:rsidRPr="002C4077">
        <w:t xml:space="preserve"> </w:t>
      </w:r>
      <w:r>
        <w:t>judaïsme</w:t>
      </w:r>
      <w:r w:rsidRPr="002C4077">
        <w:t xml:space="preserve"> </w:t>
      </w:r>
      <w:r w:rsidR="00425C50">
        <w:t>est</w:t>
      </w:r>
      <w:r w:rsidRPr="002C4077">
        <w:t xml:space="preserve"> </w:t>
      </w:r>
      <w:r>
        <w:t>usé</w:t>
      </w:r>
      <w:bookmarkStart w:id="684" w:name="z_Judaisme_o2"/>
      <w:bookmarkEnd w:id="684"/>
      <w:r>
        <w:t>,</w:t>
      </w:r>
      <w:r w:rsidRPr="002C4077">
        <w:t xml:space="preserve"> </w:t>
      </w:r>
      <w:r>
        <w:t>perdu</w:t>
      </w:r>
      <w:r w:rsidRPr="002C4077">
        <w:t xml:space="preserve"> </w:t>
      </w:r>
      <w:r>
        <w:t>sans</w:t>
      </w:r>
      <w:bookmarkStart w:id="685" w:name="z_CateIsraelite_o9"/>
      <w:bookmarkEnd w:id="685"/>
      <w:r w:rsidRPr="002C4077">
        <w:t xml:space="preserve"> </w:t>
      </w:r>
      <w:r>
        <w:t>ressource.</w:t>
      </w:r>
      <w:r w:rsidRPr="002C4077">
        <w:t xml:space="preserve"> </w:t>
      </w:r>
      <w:r>
        <w:t>Il</w:t>
      </w:r>
      <w:r w:rsidRPr="002C4077">
        <w:t xml:space="preserve"> </w:t>
      </w:r>
      <w:r>
        <w:t>n’a</w:t>
      </w:r>
      <w:r w:rsidRPr="002C4077">
        <w:t xml:space="preserve"> </w:t>
      </w:r>
      <w:r>
        <w:t>plus</w:t>
      </w:r>
      <w:r w:rsidRPr="002C4077">
        <w:t xml:space="preserve"> </w:t>
      </w:r>
      <w:r>
        <w:t>de</w:t>
      </w:r>
      <w:r w:rsidRPr="002C4077">
        <w:t xml:space="preserve"> </w:t>
      </w:r>
      <w:r>
        <w:t>but</w:t>
      </w:r>
      <w:r w:rsidRPr="002C4077">
        <w:t xml:space="preserve"> </w:t>
      </w:r>
      <w:r>
        <w:t>déterminé,</w:t>
      </w:r>
      <w:r w:rsidRPr="002C4077">
        <w:t xml:space="preserve"> </w:t>
      </w:r>
      <w:r>
        <w:t>puisqu’il</w:t>
      </w:r>
      <w:r w:rsidRPr="002C4077">
        <w:t xml:space="preserve"> </w:t>
      </w:r>
      <w:r>
        <w:t>abandonne</w:t>
      </w:r>
      <w:r w:rsidRPr="002C4077">
        <w:t xml:space="preserve"> </w:t>
      </w:r>
      <w:r>
        <w:t>peu</w:t>
      </w:r>
      <w:r w:rsidRPr="002C4077">
        <w:t xml:space="preserve"> </w:t>
      </w:r>
      <w:r>
        <w:t>à</w:t>
      </w:r>
      <w:r w:rsidRPr="002C4077">
        <w:t xml:space="preserve"> </w:t>
      </w:r>
      <w:r>
        <w:t>peu</w:t>
      </w:r>
      <w:r w:rsidRPr="002C4077">
        <w:t xml:space="preserve"> </w:t>
      </w:r>
      <w:r>
        <w:t>l’idée</w:t>
      </w:r>
      <w:r w:rsidRPr="002C4077">
        <w:t xml:space="preserve"> </w:t>
      </w:r>
      <w:r>
        <w:t>du</w:t>
      </w:r>
      <w:r w:rsidRPr="002C4077">
        <w:t xml:space="preserve"> </w:t>
      </w:r>
      <w:r>
        <w:t>Messie.</w:t>
      </w:r>
      <w:r w:rsidR="00C45B47">
        <w:t xml:space="preserve"> {</w:t>
      </w:r>
      <w:r w:rsidR="005E2129">
        <w:t>281</w:t>
      </w:r>
      <w:bookmarkStart w:id="686" w:name="p281"/>
      <w:bookmarkEnd w:id="686"/>
      <w:r w:rsidR="005E2129">
        <w:t xml:space="preserve">} </w:t>
      </w:r>
      <w:r>
        <w:t>Ses</w:t>
      </w:r>
      <w:r w:rsidRPr="002C4077">
        <w:t xml:space="preserve"> </w:t>
      </w:r>
      <w:r>
        <w:t>adeptes</w:t>
      </w:r>
      <w:r w:rsidRPr="002C4077">
        <w:t xml:space="preserve"> </w:t>
      </w:r>
      <w:r>
        <w:t>les</w:t>
      </w:r>
      <w:r w:rsidRPr="002C4077">
        <w:t xml:space="preserve"> </w:t>
      </w:r>
      <w:r>
        <w:t>plus</w:t>
      </w:r>
      <w:r w:rsidRPr="002C4077">
        <w:t xml:space="preserve"> </w:t>
      </w:r>
      <w:r>
        <w:t>influents</w:t>
      </w:r>
      <w:r w:rsidRPr="002C4077">
        <w:t xml:space="preserve"> </w:t>
      </w:r>
      <w:r>
        <w:t>aiment</w:t>
      </w:r>
      <w:r w:rsidRPr="002C4077">
        <w:t xml:space="preserve"> </w:t>
      </w:r>
      <w:r>
        <w:t>à</w:t>
      </w:r>
      <w:r w:rsidRPr="002C4077">
        <w:t xml:space="preserve"> </w:t>
      </w:r>
      <w:r>
        <w:t>répéter,</w:t>
      </w:r>
      <w:r w:rsidRPr="002C4077">
        <w:t xml:space="preserve"> </w:t>
      </w:r>
      <w:r>
        <w:t>il</w:t>
      </w:r>
      <w:r w:rsidRPr="002C4077">
        <w:t xml:space="preserve"> </w:t>
      </w:r>
      <w:r w:rsidR="00425C50">
        <w:t>est</w:t>
      </w:r>
      <w:r w:rsidRPr="002C4077">
        <w:t xml:space="preserve"> </w:t>
      </w:r>
      <w:r>
        <w:t>vrai,</w:t>
      </w:r>
      <w:r w:rsidRPr="002C4077">
        <w:t xml:space="preserve"> </w:t>
      </w:r>
      <w:r>
        <w:t>qu’Israël</w:t>
      </w:r>
      <w:r w:rsidRPr="002C4077">
        <w:t xml:space="preserve"> </w:t>
      </w:r>
      <w:r>
        <w:t>a</w:t>
      </w:r>
      <w:r w:rsidRPr="002C4077">
        <w:t xml:space="preserve"> </w:t>
      </w:r>
      <w:r>
        <w:t>pour</w:t>
      </w:r>
      <w:r w:rsidRPr="002C4077">
        <w:t xml:space="preserve"> </w:t>
      </w:r>
      <w:r>
        <w:t>mission</w:t>
      </w:r>
      <w:r w:rsidRPr="002C4077">
        <w:t xml:space="preserve"> </w:t>
      </w:r>
      <w:r>
        <w:t>providentielle</w:t>
      </w:r>
      <w:r w:rsidRPr="002C4077">
        <w:t xml:space="preserve"> </w:t>
      </w:r>
      <w:r>
        <w:t>de</w:t>
      </w:r>
      <w:r w:rsidRPr="002C4077">
        <w:t xml:space="preserve"> </w:t>
      </w:r>
      <w:r>
        <w:t>conserver</w:t>
      </w:r>
      <w:r w:rsidRPr="002C4077">
        <w:t xml:space="preserve"> </w:t>
      </w:r>
      <w:r>
        <w:t>intact</w:t>
      </w:r>
      <w:r w:rsidRPr="002C4077">
        <w:t xml:space="preserve"> </w:t>
      </w:r>
      <w:r>
        <w:t>et</w:t>
      </w:r>
      <w:r w:rsidRPr="002C4077">
        <w:t xml:space="preserve"> </w:t>
      </w:r>
      <w:r>
        <w:t>pur</w:t>
      </w:r>
      <w:r w:rsidRPr="002C4077">
        <w:t xml:space="preserve"> </w:t>
      </w:r>
      <w:r>
        <w:t>le</w:t>
      </w:r>
      <w:r w:rsidRPr="002C4077">
        <w:t xml:space="preserve"> </w:t>
      </w:r>
      <w:r>
        <w:t>dogme</w:t>
      </w:r>
      <w:r w:rsidRPr="002C4077">
        <w:t xml:space="preserve"> </w:t>
      </w:r>
      <w:r>
        <w:t>de</w:t>
      </w:r>
      <w:r w:rsidRPr="002C4077">
        <w:t xml:space="preserve"> </w:t>
      </w:r>
      <w:r>
        <w:t>l’unité</w:t>
      </w:r>
      <w:r w:rsidRPr="002C4077">
        <w:t xml:space="preserve"> </w:t>
      </w:r>
      <w:r>
        <w:t>de</w:t>
      </w:r>
      <w:r w:rsidRPr="002C4077">
        <w:t xml:space="preserve"> </w:t>
      </w:r>
      <w:r>
        <w:t>Dieu,</w:t>
      </w:r>
      <w:r w:rsidRPr="002C4077">
        <w:t xml:space="preserve"> </w:t>
      </w:r>
      <w:r>
        <w:t>dogme</w:t>
      </w:r>
      <w:r w:rsidRPr="002C4077">
        <w:t xml:space="preserve"> </w:t>
      </w:r>
      <w:r>
        <w:t>qui</w:t>
      </w:r>
      <w:r w:rsidRPr="002C4077">
        <w:t xml:space="preserve"> </w:t>
      </w:r>
      <w:r>
        <w:t>résumera</w:t>
      </w:r>
      <w:r w:rsidRPr="002C4077">
        <w:t xml:space="preserve"> </w:t>
      </w:r>
      <w:r>
        <w:t>dans</w:t>
      </w:r>
      <w:r w:rsidRPr="002C4077">
        <w:t xml:space="preserve"> </w:t>
      </w:r>
      <w:r>
        <w:t>un</w:t>
      </w:r>
      <w:r w:rsidRPr="002C4077">
        <w:t xml:space="preserve"> </w:t>
      </w:r>
      <w:r>
        <w:t>avenir</w:t>
      </w:r>
      <w:r w:rsidRPr="002C4077">
        <w:t xml:space="preserve"> </w:t>
      </w:r>
      <w:r>
        <w:t>plus</w:t>
      </w:r>
      <w:r w:rsidRPr="002C4077">
        <w:t xml:space="preserve"> </w:t>
      </w:r>
      <w:r>
        <w:t>ou</w:t>
      </w:r>
      <w:r w:rsidRPr="002C4077">
        <w:t xml:space="preserve"> </w:t>
      </w:r>
      <w:r>
        <w:t>moins</w:t>
      </w:r>
      <w:r w:rsidRPr="002C4077">
        <w:t xml:space="preserve"> </w:t>
      </w:r>
      <w:r>
        <w:t>rapproché,</w:t>
      </w:r>
      <w:r w:rsidRPr="002C4077">
        <w:t xml:space="preserve"> </w:t>
      </w:r>
      <w:r>
        <w:t>disent-ils,</w:t>
      </w:r>
      <w:r w:rsidRPr="002C4077">
        <w:t xml:space="preserve"> </w:t>
      </w:r>
      <w:r>
        <w:t>la</w:t>
      </w:r>
      <w:r w:rsidRPr="002C4077">
        <w:t xml:space="preserve"> </w:t>
      </w:r>
      <w:r>
        <w:t>religion</w:t>
      </w:r>
      <w:r w:rsidRPr="002C4077">
        <w:t xml:space="preserve"> </w:t>
      </w:r>
      <w:r>
        <w:t>de</w:t>
      </w:r>
      <w:r w:rsidRPr="002C4077">
        <w:t xml:space="preserve"> </w:t>
      </w:r>
      <w:r>
        <w:t>tous</w:t>
      </w:r>
      <w:r w:rsidRPr="002C4077">
        <w:t xml:space="preserve"> </w:t>
      </w:r>
      <w:r>
        <w:t>les</w:t>
      </w:r>
      <w:r w:rsidRPr="002C4077">
        <w:t xml:space="preserve"> </w:t>
      </w:r>
      <w:r>
        <w:t>peuples</w:t>
      </w:r>
      <w:r w:rsidR="00B91AF7">
        <w:rPr>
          <w:rStyle w:val="Appelnotedebasdep"/>
        </w:rPr>
        <w:footnoteReference w:id="859"/>
      </w:r>
      <w:r>
        <w:t>.</w:t>
      </w:r>
      <w:r w:rsidRPr="002C4077">
        <w:t xml:space="preserve"> </w:t>
      </w:r>
      <w:r>
        <w:t>En</w:t>
      </w:r>
      <w:r w:rsidRPr="002C4077">
        <w:t xml:space="preserve"> </w:t>
      </w:r>
      <w:r>
        <w:t>tenant</w:t>
      </w:r>
      <w:r w:rsidRPr="002C4077">
        <w:t xml:space="preserve"> </w:t>
      </w:r>
      <w:r>
        <w:t>un</w:t>
      </w:r>
      <w:r w:rsidRPr="002C4077">
        <w:t xml:space="preserve"> </w:t>
      </w:r>
      <w:r>
        <w:t>pareil</w:t>
      </w:r>
      <w:r w:rsidRPr="002C4077">
        <w:t xml:space="preserve"> </w:t>
      </w:r>
      <w:r>
        <w:t>langage,</w:t>
      </w:r>
      <w:r w:rsidRPr="002C4077">
        <w:t xml:space="preserve"> </w:t>
      </w:r>
      <w:r>
        <w:t>ils</w:t>
      </w:r>
      <w:r w:rsidRPr="002C4077">
        <w:t xml:space="preserve"> </w:t>
      </w:r>
      <w:r>
        <w:t>nous</w:t>
      </w:r>
      <w:r w:rsidRPr="002C4077">
        <w:t xml:space="preserve"> </w:t>
      </w:r>
      <w:r>
        <w:t>montrent</w:t>
      </w:r>
      <w:r w:rsidRPr="002C4077">
        <w:t xml:space="preserve"> </w:t>
      </w:r>
      <w:r>
        <w:t>qu’ils</w:t>
      </w:r>
      <w:r w:rsidRPr="002C4077">
        <w:t xml:space="preserve"> </w:t>
      </w:r>
      <w:r>
        <w:t>ont</w:t>
      </w:r>
      <w:r w:rsidRPr="002C4077">
        <w:t xml:space="preserve"> </w:t>
      </w:r>
      <w:r>
        <w:t>cessé</w:t>
      </w:r>
      <w:r w:rsidRPr="002C4077">
        <w:t xml:space="preserve"> </w:t>
      </w:r>
      <w:r>
        <w:t>d’être</w:t>
      </w:r>
      <w:r w:rsidRPr="002C4077">
        <w:t xml:space="preserve"> </w:t>
      </w:r>
      <w:r>
        <w:t>des</w:t>
      </w:r>
      <w:r w:rsidRPr="002C4077">
        <w:t xml:space="preserve"> </w:t>
      </w:r>
      <w:r>
        <w:t>Juifs,</w:t>
      </w:r>
      <w:r w:rsidRPr="002C4077">
        <w:t xml:space="preserve"> </w:t>
      </w:r>
      <w:r>
        <w:t>et</w:t>
      </w:r>
      <w:r w:rsidRPr="002C4077">
        <w:t xml:space="preserve"> </w:t>
      </w:r>
      <w:r>
        <w:t>qu’ils</w:t>
      </w:r>
      <w:r w:rsidRPr="002C4077">
        <w:t xml:space="preserve"> </w:t>
      </w:r>
      <w:r>
        <w:t>ne</w:t>
      </w:r>
      <w:r w:rsidRPr="002C4077">
        <w:t xml:space="preserve"> </w:t>
      </w:r>
      <w:r>
        <w:t>sont</w:t>
      </w:r>
      <w:r w:rsidRPr="002C4077">
        <w:t xml:space="preserve"> </w:t>
      </w:r>
      <w:r>
        <w:t>que</w:t>
      </w:r>
      <w:r w:rsidRPr="002C4077">
        <w:t xml:space="preserve"> </w:t>
      </w:r>
      <w:r>
        <w:t>de</w:t>
      </w:r>
      <w:r w:rsidRPr="002C4077">
        <w:t xml:space="preserve"> </w:t>
      </w:r>
      <w:r>
        <w:t>simples</w:t>
      </w:r>
      <w:r w:rsidRPr="002C4077">
        <w:t xml:space="preserve"> </w:t>
      </w:r>
      <w:r>
        <w:t>déistes.</w:t>
      </w:r>
      <w:r w:rsidRPr="002C4077">
        <w:t xml:space="preserve"> </w:t>
      </w:r>
    </w:p>
    <w:p w:rsidR="000A7AAB" w:rsidRDefault="000A7AAB" w:rsidP="000A7AAB">
      <w:r>
        <w:t>Que</w:t>
      </w:r>
      <w:r w:rsidRPr="002C4077">
        <w:t xml:space="preserve"> </w:t>
      </w:r>
      <w:r>
        <w:t>S.</w:t>
      </w:r>
      <w:r w:rsidRPr="002C4077">
        <w:t xml:space="preserve"> </w:t>
      </w:r>
      <w:r>
        <w:t>Paul</w:t>
      </w:r>
      <w:r w:rsidRPr="002C4077">
        <w:t xml:space="preserve"> </w:t>
      </w:r>
      <w:r>
        <w:t>avait</w:t>
      </w:r>
      <w:r w:rsidRPr="002C4077">
        <w:t xml:space="preserve"> </w:t>
      </w:r>
      <w:r>
        <w:t>raison</w:t>
      </w:r>
      <w:r w:rsidRPr="002C4077">
        <w:t xml:space="preserve"> </w:t>
      </w:r>
      <w:r>
        <w:t>d’écrire</w:t>
      </w:r>
      <w:r w:rsidRPr="002C4077">
        <w:t xml:space="preserve"> </w:t>
      </w:r>
      <w:r>
        <w:t>qu’ils</w:t>
      </w:r>
      <w:r w:rsidRPr="002C4077">
        <w:t xml:space="preserve"> </w:t>
      </w:r>
      <w:r>
        <w:t>se</w:t>
      </w:r>
      <w:r w:rsidRPr="002C4077">
        <w:t xml:space="preserve"> </w:t>
      </w:r>
      <w:r>
        <w:t>mettent</w:t>
      </w:r>
      <w:r w:rsidRPr="002C4077">
        <w:t xml:space="preserve"> </w:t>
      </w:r>
      <w:r>
        <w:t>un</w:t>
      </w:r>
      <w:r w:rsidRPr="002C4077">
        <w:t xml:space="preserve"> </w:t>
      </w:r>
      <w:r>
        <w:t>voile</w:t>
      </w:r>
      <w:r w:rsidRPr="002C4077">
        <w:t xml:space="preserve"> </w:t>
      </w:r>
      <w:r>
        <w:t>sur</w:t>
      </w:r>
      <w:r w:rsidRPr="002C4077">
        <w:t xml:space="preserve"> </w:t>
      </w:r>
      <w:r>
        <w:t>les</w:t>
      </w:r>
      <w:r w:rsidRPr="002C4077">
        <w:t xml:space="preserve"> </w:t>
      </w:r>
      <w:r>
        <w:t>yeux</w:t>
      </w:r>
      <w:r w:rsidRPr="002C4077">
        <w:t xml:space="preserve"> </w:t>
      </w:r>
      <w:r>
        <w:t>quand</w:t>
      </w:r>
      <w:r w:rsidRPr="002C4077">
        <w:t xml:space="preserve"> </w:t>
      </w:r>
      <w:r>
        <w:t>ils</w:t>
      </w:r>
      <w:r w:rsidRPr="002C4077">
        <w:t xml:space="preserve"> </w:t>
      </w:r>
      <w:r>
        <w:t>lisent</w:t>
      </w:r>
      <w:r w:rsidRPr="002C4077">
        <w:t xml:space="preserve"> </w:t>
      </w:r>
      <w:r>
        <w:t>la</w:t>
      </w:r>
      <w:r w:rsidRPr="002C4077">
        <w:t xml:space="preserve"> </w:t>
      </w:r>
      <w:r>
        <w:t>Bible</w:t>
      </w:r>
      <w:r w:rsidR="00B91AF7">
        <w:rPr>
          <w:rStyle w:val="Appelnotedebasdep"/>
        </w:rPr>
        <w:footnoteReference w:id="860"/>
      </w:r>
      <w:r w:rsidR="00B546AF">
        <w:t> !</w:t>
      </w:r>
      <w:r w:rsidRPr="002C4077">
        <w:t xml:space="preserve"> </w:t>
      </w:r>
    </w:p>
    <w:p w:rsidR="00942C4D" w:rsidRDefault="00942C4D" w:rsidP="000A7AAB"/>
    <w:p w:rsidR="000A7AAB" w:rsidRPr="005E2129" w:rsidRDefault="000A7AAB" w:rsidP="000A7AAB">
      <w:r>
        <w:t>Un</w:t>
      </w:r>
      <w:bookmarkStart w:id="687" w:name="z_CateIsraelite_o10"/>
      <w:bookmarkEnd w:id="687"/>
      <w:r w:rsidRPr="002C4077">
        <w:t xml:space="preserve"> </w:t>
      </w:r>
      <w:r>
        <w:t>jour,</w:t>
      </w:r>
      <w:r w:rsidRPr="002C4077">
        <w:t xml:space="preserve"> </w:t>
      </w:r>
      <w:r>
        <w:t>dans</w:t>
      </w:r>
      <w:r w:rsidRPr="002C4077">
        <w:t xml:space="preserve"> </w:t>
      </w:r>
      <w:r>
        <w:t>la</w:t>
      </w:r>
      <w:r w:rsidRPr="002C4077">
        <w:t xml:space="preserve"> </w:t>
      </w:r>
      <w:r>
        <w:t>lointaine</w:t>
      </w:r>
      <w:r w:rsidRPr="002C4077">
        <w:t xml:space="preserve"> </w:t>
      </w:r>
      <w:r>
        <w:t>Pologne</w:t>
      </w:r>
      <w:r w:rsidRPr="002C4077">
        <w:t xml:space="preserve"> </w:t>
      </w:r>
      <w:r>
        <w:t>où</w:t>
      </w:r>
      <w:r w:rsidRPr="002C4077">
        <w:t xml:space="preserve"> </w:t>
      </w:r>
      <w:r>
        <w:t>il</w:t>
      </w:r>
      <w:r w:rsidRPr="002C4077">
        <w:t xml:space="preserve"> </w:t>
      </w:r>
      <w:r>
        <w:t>y</w:t>
      </w:r>
      <w:r w:rsidRPr="002C4077">
        <w:t xml:space="preserve"> </w:t>
      </w:r>
      <w:r>
        <w:t>a</w:t>
      </w:r>
      <w:r w:rsidRPr="002C4077">
        <w:t xml:space="preserve"> </w:t>
      </w:r>
      <w:r>
        <w:t>tant</w:t>
      </w:r>
      <w:r w:rsidRPr="002C4077">
        <w:t xml:space="preserve"> </w:t>
      </w:r>
      <w:r>
        <w:t>de</w:t>
      </w:r>
      <w:r w:rsidRPr="002C4077">
        <w:t xml:space="preserve"> </w:t>
      </w:r>
      <w:r>
        <w:t>communautés</w:t>
      </w:r>
      <w:r w:rsidRPr="002C4077">
        <w:t xml:space="preserve"> </w:t>
      </w:r>
      <w:r>
        <w:t>juives,</w:t>
      </w:r>
      <w:r w:rsidRPr="002C4077">
        <w:t xml:space="preserve"> </w:t>
      </w:r>
      <w:r>
        <w:t>un</w:t>
      </w:r>
      <w:r w:rsidRPr="002C4077">
        <w:t xml:space="preserve"> </w:t>
      </w:r>
      <w:r>
        <w:t>missionnaire</w:t>
      </w:r>
      <w:r w:rsidRPr="002C4077">
        <w:t xml:space="preserve"> </w:t>
      </w:r>
      <w:r>
        <w:t>voyageait</w:t>
      </w:r>
      <w:r w:rsidRPr="002C4077">
        <w:t xml:space="preserve"> </w:t>
      </w:r>
      <w:r>
        <w:t>avec</w:t>
      </w:r>
      <w:r w:rsidRPr="002C4077">
        <w:t xml:space="preserve"> </w:t>
      </w:r>
      <w:r>
        <w:t>plusieurs</w:t>
      </w:r>
      <w:r w:rsidRPr="002C4077">
        <w:t xml:space="preserve"> </w:t>
      </w:r>
      <w:r>
        <w:t>Israélites.</w:t>
      </w:r>
      <w:r w:rsidRPr="002C4077">
        <w:t xml:space="preserve"> </w:t>
      </w:r>
      <w:r>
        <w:t>Prenant</w:t>
      </w:r>
      <w:r w:rsidRPr="002C4077">
        <w:t xml:space="preserve"> </w:t>
      </w:r>
      <w:r>
        <w:t>un</w:t>
      </w:r>
      <w:r w:rsidRPr="002C4077">
        <w:t xml:space="preserve"> </w:t>
      </w:r>
      <w:r>
        <w:t>Ancien</w:t>
      </w:r>
      <w:r w:rsidRPr="002C4077">
        <w:t xml:space="preserve"> </w:t>
      </w:r>
      <w:r>
        <w:t>Testament</w:t>
      </w:r>
      <w:r w:rsidRPr="002C4077">
        <w:t xml:space="preserve"> </w:t>
      </w:r>
      <w:r>
        <w:t>hébreu,</w:t>
      </w:r>
      <w:r w:rsidRPr="002C4077">
        <w:t xml:space="preserve"> </w:t>
      </w:r>
      <w:r>
        <w:t>dont</w:t>
      </w:r>
      <w:r w:rsidRPr="002C4077">
        <w:t xml:space="preserve"> </w:t>
      </w:r>
      <w:r>
        <w:t>l’un</w:t>
      </w:r>
      <w:r w:rsidRPr="002C4077">
        <w:t xml:space="preserve"> </w:t>
      </w:r>
      <w:r>
        <w:t>d’eux</w:t>
      </w:r>
      <w:r w:rsidRPr="002C4077">
        <w:t xml:space="preserve"> </w:t>
      </w:r>
      <w:r>
        <w:t>venait</w:t>
      </w:r>
      <w:r w:rsidRPr="002C4077">
        <w:t xml:space="preserve"> </w:t>
      </w:r>
      <w:r>
        <w:t>de</w:t>
      </w:r>
      <w:r w:rsidRPr="002C4077">
        <w:t xml:space="preserve"> </w:t>
      </w:r>
      <w:r>
        <w:t>lire</w:t>
      </w:r>
      <w:r w:rsidRPr="002C4077">
        <w:t xml:space="preserve"> </w:t>
      </w:r>
      <w:r>
        <w:t>quelques</w:t>
      </w:r>
      <w:r w:rsidRPr="002C4077">
        <w:t xml:space="preserve"> </w:t>
      </w:r>
      <w:r>
        <w:t>pages,</w:t>
      </w:r>
      <w:r w:rsidRPr="002C4077">
        <w:t xml:space="preserve"> </w:t>
      </w:r>
      <w:r>
        <w:t>il</w:t>
      </w:r>
      <w:r w:rsidRPr="002C4077">
        <w:t xml:space="preserve"> </w:t>
      </w:r>
      <w:r>
        <w:t>se</w:t>
      </w:r>
      <w:r w:rsidRPr="002C4077">
        <w:t xml:space="preserve"> </w:t>
      </w:r>
      <w:r>
        <w:t>met</w:t>
      </w:r>
      <w:r w:rsidRPr="002C4077">
        <w:t xml:space="preserve"> </w:t>
      </w:r>
      <w:r>
        <w:t>à</w:t>
      </w:r>
      <w:r w:rsidRPr="002C4077">
        <w:t xml:space="preserve"> </w:t>
      </w:r>
      <w:r>
        <w:t>le</w:t>
      </w:r>
      <w:r w:rsidRPr="002C4077">
        <w:t xml:space="preserve"> </w:t>
      </w:r>
      <w:r>
        <w:t>parcourir</w:t>
      </w:r>
      <w:r w:rsidRPr="002C4077">
        <w:t xml:space="preserve"> </w:t>
      </w:r>
      <w:r>
        <w:t>en</w:t>
      </w:r>
      <w:r w:rsidRPr="002C4077">
        <w:t xml:space="preserve"> </w:t>
      </w:r>
      <w:r>
        <w:t>tous</w:t>
      </w:r>
      <w:r w:rsidRPr="002C4077">
        <w:t xml:space="preserve"> </w:t>
      </w:r>
      <w:r>
        <w:t>sens,</w:t>
      </w:r>
      <w:r w:rsidRPr="002C4077">
        <w:t xml:space="preserve"> </w:t>
      </w:r>
      <w:r>
        <w:t>en</w:t>
      </w:r>
      <w:r w:rsidRPr="002C4077">
        <w:t xml:space="preserve"> </w:t>
      </w:r>
      <w:r>
        <w:t>examine</w:t>
      </w:r>
      <w:r w:rsidRPr="002C4077">
        <w:t xml:space="preserve"> </w:t>
      </w:r>
      <w:r>
        <w:t>surtout</w:t>
      </w:r>
      <w:r w:rsidRPr="002C4077">
        <w:t xml:space="preserve"> </w:t>
      </w:r>
      <w:r>
        <w:t>très</w:t>
      </w:r>
      <w:r w:rsidRPr="002C4077">
        <w:t xml:space="preserve"> </w:t>
      </w:r>
      <w:r>
        <w:t>attentivement</w:t>
      </w:r>
      <w:r w:rsidRPr="002C4077">
        <w:t xml:space="preserve"> </w:t>
      </w:r>
      <w:r>
        <w:t>la</w:t>
      </w:r>
      <w:r w:rsidRPr="002C4077">
        <w:t xml:space="preserve"> </w:t>
      </w:r>
      <w:r>
        <w:t>fin.</w:t>
      </w:r>
      <w:r w:rsidRPr="002C4077">
        <w:t xml:space="preserve"> </w:t>
      </w:r>
      <w:r>
        <w:t>Puis,</w:t>
      </w:r>
      <w:r w:rsidRPr="002C4077">
        <w:t xml:space="preserve"> </w:t>
      </w:r>
      <w:r>
        <w:t>le</w:t>
      </w:r>
      <w:r w:rsidRPr="002C4077">
        <w:t xml:space="preserve"> </w:t>
      </w:r>
      <w:r>
        <w:t>rendant</w:t>
      </w:r>
      <w:r w:rsidRPr="002C4077">
        <w:t xml:space="preserve"> </w:t>
      </w:r>
      <w:r>
        <w:t>à</w:t>
      </w:r>
      <w:r w:rsidRPr="002C4077">
        <w:t xml:space="preserve"> </w:t>
      </w:r>
      <w:r>
        <w:t>son</w:t>
      </w:r>
      <w:r w:rsidRPr="002C4077">
        <w:t xml:space="preserve"> </w:t>
      </w:r>
      <w:r>
        <w:t>propriétaire</w:t>
      </w:r>
      <w:r w:rsidR="00B546AF">
        <w:t> :</w:t>
      </w:r>
      <w:r w:rsidRPr="002C4077">
        <w:t xml:space="preserve"> </w:t>
      </w:r>
      <w:r w:rsidR="00B546AF">
        <w:t>« </w:t>
      </w:r>
      <w:r>
        <w:t>Votre</w:t>
      </w:r>
      <w:r w:rsidRPr="002C4077">
        <w:t xml:space="preserve"> </w:t>
      </w:r>
      <w:r>
        <w:t>Bible</w:t>
      </w:r>
      <w:r w:rsidRPr="002C4077">
        <w:t xml:space="preserve"> </w:t>
      </w:r>
      <w:r w:rsidR="00425C50">
        <w:t>est</w:t>
      </w:r>
      <w:r w:rsidRPr="002C4077">
        <w:t xml:space="preserve"> </w:t>
      </w:r>
      <w:r>
        <w:t>incomplète,</w:t>
      </w:r>
      <w:r w:rsidR="00B546AF">
        <w:t> »</w:t>
      </w:r>
      <w:r w:rsidRPr="002C4077">
        <w:t xml:space="preserve"> </w:t>
      </w:r>
      <w:r>
        <w:t>s’écria-t-il</w:t>
      </w:r>
      <w:r w:rsidRPr="002C4077">
        <w:t xml:space="preserve"> </w:t>
      </w:r>
      <w:r>
        <w:t>tout</w:t>
      </w:r>
      <w:r w:rsidRPr="002C4077">
        <w:t xml:space="preserve"> </w:t>
      </w:r>
      <w:r>
        <w:t>à</w:t>
      </w:r>
      <w:r w:rsidRPr="002C4077">
        <w:t xml:space="preserve"> </w:t>
      </w:r>
      <w:r>
        <w:t>coup.</w:t>
      </w:r>
      <w:r w:rsidRPr="002C4077">
        <w:t xml:space="preserve"> </w:t>
      </w:r>
      <w:r w:rsidR="00B546AF">
        <w:t>« </w:t>
      </w:r>
      <w:r>
        <w:t>Comment</w:t>
      </w:r>
      <w:r w:rsidR="00B546AF">
        <w:t> !</w:t>
      </w:r>
      <w:r w:rsidRPr="002C4077">
        <w:t xml:space="preserve"> </w:t>
      </w:r>
      <w:r>
        <w:t>répondit</w:t>
      </w:r>
      <w:r w:rsidRPr="002C4077">
        <w:t xml:space="preserve"> </w:t>
      </w:r>
      <w:r>
        <w:t>l’autre</w:t>
      </w:r>
      <w:r w:rsidRPr="002C4077">
        <w:t xml:space="preserve"> </w:t>
      </w:r>
      <w:r>
        <w:t>avec</w:t>
      </w:r>
      <w:r w:rsidRPr="002C4077">
        <w:t xml:space="preserve"> </w:t>
      </w:r>
      <w:r>
        <w:t>vivacité,</w:t>
      </w:r>
      <w:r w:rsidRPr="002C4077">
        <w:t xml:space="preserve"> </w:t>
      </w:r>
      <w:r>
        <w:t>ma</w:t>
      </w:r>
      <w:r w:rsidRPr="002C4077">
        <w:t xml:space="preserve"> </w:t>
      </w:r>
      <w:r>
        <w:t>Bible</w:t>
      </w:r>
      <w:r w:rsidRPr="002C4077">
        <w:t xml:space="preserve"> </w:t>
      </w:r>
      <w:r>
        <w:t>incomplète</w:t>
      </w:r>
      <w:r w:rsidR="00B546AF">
        <w:t> !</w:t>
      </w:r>
      <w:r w:rsidRPr="002C4077">
        <w:t xml:space="preserve"> </w:t>
      </w:r>
      <w:r>
        <w:t>Mais</w:t>
      </w:r>
      <w:r w:rsidRPr="002C4077">
        <w:t xml:space="preserve"> </w:t>
      </w:r>
      <w:r>
        <w:t>voici</w:t>
      </w:r>
      <w:r w:rsidRPr="002C4077">
        <w:t xml:space="preserve"> </w:t>
      </w:r>
      <w:r>
        <w:t>le</w:t>
      </w:r>
      <w:r w:rsidRPr="002C4077">
        <w:t xml:space="preserve"> </w:t>
      </w:r>
      <w:r w:rsidRPr="000A34B5">
        <w:rPr>
          <w:rStyle w:val="italicus"/>
        </w:rPr>
        <w:t>Choumesch</w:t>
      </w:r>
      <w:r w:rsidRPr="004440EA">
        <w:t xml:space="preserve"> (</w:t>
      </w:r>
      <w:r>
        <w:t>le</w:t>
      </w:r>
      <w:r w:rsidRPr="002C4077">
        <w:t xml:space="preserve"> </w:t>
      </w:r>
      <w:r>
        <w:t>Pent</w:t>
      </w:r>
      <w:r w:rsidR="001730C6">
        <w:t>at</w:t>
      </w:r>
      <w:r>
        <w:t>euque</w:t>
      </w:r>
      <w:r w:rsidR="00B546AF" w:rsidRPr="002C4077">
        <w:t>)</w:t>
      </w:r>
      <w:r w:rsidR="00B546AF" w:rsidRPr="00950016">
        <w:t> ;</w:t>
      </w:r>
      <w:r w:rsidRPr="002C4077">
        <w:t xml:space="preserve"> </w:t>
      </w:r>
      <w:r>
        <w:t>voici</w:t>
      </w:r>
      <w:r w:rsidRPr="002C4077">
        <w:t xml:space="preserve"> </w:t>
      </w:r>
      <w:r>
        <w:t>les</w:t>
      </w:r>
      <w:r w:rsidRPr="002C4077">
        <w:t xml:space="preserve"> </w:t>
      </w:r>
      <w:r w:rsidRPr="000A34B5">
        <w:rPr>
          <w:rStyle w:val="italicus"/>
        </w:rPr>
        <w:t>Nebiims</w:t>
      </w:r>
      <w:r w:rsidRPr="004440EA">
        <w:t xml:space="preserve"> (</w:t>
      </w:r>
      <w:r>
        <w:t>les</w:t>
      </w:r>
      <w:r w:rsidRPr="002C4077">
        <w:t xml:space="preserve"> </w:t>
      </w:r>
      <w:r>
        <w:t>livres</w:t>
      </w:r>
      <w:r w:rsidRPr="002C4077">
        <w:t xml:space="preserve"> </w:t>
      </w:r>
      <w:r>
        <w:t>prophétiques</w:t>
      </w:r>
      <w:r w:rsidR="00B546AF" w:rsidRPr="002C4077">
        <w:t>)</w:t>
      </w:r>
      <w:r w:rsidRPr="002C4077">
        <w:t xml:space="preserve"> </w:t>
      </w:r>
      <w:r>
        <w:t>dont</w:t>
      </w:r>
      <w:r w:rsidRPr="002C4077">
        <w:t xml:space="preserve"> </w:t>
      </w:r>
      <w:r>
        <w:t>il</w:t>
      </w:r>
      <w:r w:rsidRPr="002C4077">
        <w:t xml:space="preserve"> </w:t>
      </w:r>
      <w:r>
        <w:t>ne</w:t>
      </w:r>
      <w:r w:rsidRPr="002C4077">
        <w:t xml:space="preserve"> </w:t>
      </w:r>
      <w:r>
        <w:t>manque</w:t>
      </w:r>
      <w:r w:rsidRPr="002C4077">
        <w:t xml:space="preserve"> </w:t>
      </w:r>
      <w:r>
        <w:t>pas</w:t>
      </w:r>
      <w:r w:rsidRPr="002C4077">
        <w:t xml:space="preserve"> </w:t>
      </w:r>
      <w:r>
        <w:t>une</w:t>
      </w:r>
      <w:r w:rsidRPr="002C4077">
        <w:t xml:space="preserve"> </w:t>
      </w:r>
      <w:r>
        <w:t>seule</w:t>
      </w:r>
      <w:r w:rsidRPr="002C4077">
        <w:t xml:space="preserve"> </w:t>
      </w:r>
      <w:r>
        <w:t>ligne</w:t>
      </w:r>
      <w:r w:rsidR="00B546AF">
        <w:t> ;</w:t>
      </w:r>
      <w:r w:rsidRPr="002C4077">
        <w:t xml:space="preserve"> </w:t>
      </w:r>
      <w:r>
        <w:t>voici</w:t>
      </w:r>
      <w:r w:rsidRPr="002C4077">
        <w:t xml:space="preserve"> </w:t>
      </w:r>
      <w:r>
        <w:t>de</w:t>
      </w:r>
      <w:r w:rsidRPr="002C4077">
        <w:t xml:space="preserve"> </w:t>
      </w:r>
      <w:r>
        <w:t>même</w:t>
      </w:r>
      <w:r w:rsidRPr="002C4077">
        <w:t xml:space="preserve"> </w:t>
      </w:r>
      <w:r>
        <w:t>chacun</w:t>
      </w:r>
      <w:r w:rsidRPr="002C4077">
        <w:t xml:space="preserve"> </w:t>
      </w:r>
      <w:r>
        <w:t>des</w:t>
      </w:r>
      <w:r w:rsidRPr="002C4077">
        <w:t xml:space="preserve"> </w:t>
      </w:r>
      <w:r w:rsidRPr="000A34B5">
        <w:rPr>
          <w:rStyle w:val="italicus"/>
        </w:rPr>
        <w:t>Kethoubim</w:t>
      </w:r>
      <w:r w:rsidRPr="004440EA">
        <w:t xml:space="preserve"> (</w:t>
      </w:r>
      <w:r>
        <w:t>les</w:t>
      </w:r>
      <w:r w:rsidRPr="002C4077">
        <w:t xml:space="preserve"> </w:t>
      </w:r>
      <w:r>
        <w:t>Hagiographes,</w:t>
      </w:r>
      <w:r w:rsidRPr="002C4077">
        <w:t xml:space="preserve"> </w:t>
      </w:r>
      <w:r>
        <w:t>ou</w:t>
      </w:r>
      <w:r w:rsidRPr="002C4077">
        <w:t xml:space="preserve"> </w:t>
      </w:r>
      <w:r>
        <w:t>livres</w:t>
      </w:r>
      <w:r w:rsidRPr="002C4077">
        <w:t xml:space="preserve"> </w:t>
      </w:r>
      <w:r>
        <w:t>sapie</w:t>
      </w:r>
      <w:r w:rsidR="001730C6">
        <w:t>nt</w:t>
      </w:r>
      <w:r>
        <w:t>iaux</w:t>
      </w:r>
      <w:r w:rsidR="00B546AF" w:rsidRPr="002C4077">
        <w:t>)</w:t>
      </w:r>
      <w:r>
        <w:t>.</w:t>
      </w:r>
      <w:r w:rsidRPr="002C4077">
        <w:t xml:space="preserve"> </w:t>
      </w:r>
      <w:r>
        <w:t>Tout</w:t>
      </w:r>
      <w:r w:rsidRPr="002C4077">
        <w:t xml:space="preserve"> </w:t>
      </w:r>
      <w:r>
        <w:t>y</w:t>
      </w:r>
      <w:r w:rsidRPr="002C4077">
        <w:t xml:space="preserve"> </w:t>
      </w:r>
      <w:r w:rsidR="00425C50">
        <w:t>est</w:t>
      </w:r>
      <w:r>
        <w:t>,</w:t>
      </w:r>
      <w:r w:rsidRPr="002C4077">
        <w:t xml:space="preserve"> </w:t>
      </w:r>
      <w:r>
        <w:t>vous</w:t>
      </w:r>
      <w:r w:rsidRPr="002C4077">
        <w:t xml:space="preserve"> </w:t>
      </w:r>
      <w:r>
        <w:t>le</w:t>
      </w:r>
      <w:r w:rsidRPr="002C4077">
        <w:t xml:space="preserve"> </w:t>
      </w:r>
      <w:r>
        <w:t>voyez</w:t>
      </w:r>
      <w:r w:rsidR="00B546AF">
        <w:t> »</w:t>
      </w:r>
      <w:r>
        <w:t>.</w:t>
      </w:r>
      <w:r w:rsidRPr="002C4077">
        <w:t xml:space="preserve"> </w:t>
      </w:r>
      <w:r w:rsidR="00B546AF">
        <w:t>« </w:t>
      </w:r>
      <w:r>
        <w:t>Non</w:t>
      </w:r>
      <w:r w:rsidR="00B546AF">
        <w:t> !</w:t>
      </w:r>
      <w:r w:rsidRPr="002C4077">
        <w:t xml:space="preserve"> </w:t>
      </w:r>
      <w:r>
        <w:t>je</w:t>
      </w:r>
      <w:r w:rsidRPr="002C4077">
        <w:t xml:space="preserve"> </w:t>
      </w:r>
      <w:r>
        <w:t>vous</w:t>
      </w:r>
      <w:r w:rsidRPr="002C4077">
        <w:t xml:space="preserve"> </w:t>
      </w:r>
      <w:r>
        <w:t>répète</w:t>
      </w:r>
      <w:r w:rsidRPr="002C4077">
        <w:t xml:space="preserve"> </w:t>
      </w:r>
      <w:r>
        <w:t>que</w:t>
      </w:r>
      <w:r w:rsidRPr="002C4077">
        <w:t xml:space="preserve"> </w:t>
      </w:r>
      <w:r>
        <w:t>votre</w:t>
      </w:r>
      <w:r w:rsidRPr="002C4077">
        <w:t xml:space="preserve"> </w:t>
      </w:r>
      <w:r>
        <w:t>Bible</w:t>
      </w:r>
      <w:r w:rsidRPr="002C4077">
        <w:t xml:space="preserve"> </w:t>
      </w:r>
      <w:r w:rsidR="00425C50">
        <w:t>est</w:t>
      </w:r>
      <w:r w:rsidRPr="002C4077">
        <w:t xml:space="preserve"> </w:t>
      </w:r>
      <w:r>
        <w:t>incomplète.</w:t>
      </w:r>
      <w:r w:rsidRPr="002C4077">
        <w:t xml:space="preserve"> </w:t>
      </w:r>
      <w:r>
        <w:t>Regardez</w:t>
      </w:r>
      <w:r w:rsidRPr="002C4077">
        <w:t xml:space="preserve"> </w:t>
      </w:r>
      <w:r>
        <w:t>vous-même</w:t>
      </w:r>
      <w:r w:rsidR="00B546AF">
        <w:t> !</w:t>
      </w:r>
      <w:r w:rsidRPr="002C4077">
        <w:t xml:space="preserve"> </w:t>
      </w:r>
      <w:r>
        <w:t>N’y</w:t>
      </w:r>
      <w:r w:rsidRPr="002C4077">
        <w:t xml:space="preserve"> </w:t>
      </w:r>
      <w:r>
        <w:t>a-t-il</w:t>
      </w:r>
      <w:r w:rsidRPr="002C4077">
        <w:t xml:space="preserve"> </w:t>
      </w:r>
      <w:r>
        <w:t>pas</w:t>
      </w:r>
      <w:r w:rsidRPr="002C4077">
        <w:t xml:space="preserve"> </w:t>
      </w:r>
      <w:r>
        <w:t>ici</w:t>
      </w:r>
      <w:r w:rsidRPr="002C4077">
        <w:t xml:space="preserve"> </w:t>
      </w:r>
      <w:r>
        <w:t>tel</w:t>
      </w:r>
      <w:r w:rsidRPr="002C4077">
        <w:t xml:space="preserve"> </w:t>
      </w:r>
      <w:r>
        <w:t>oracle</w:t>
      </w:r>
      <w:r w:rsidRPr="002C4077">
        <w:t xml:space="preserve"> </w:t>
      </w:r>
      <w:r>
        <w:t>prophétique,</w:t>
      </w:r>
      <w:r w:rsidRPr="002C4077">
        <w:t xml:space="preserve"> </w:t>
      </w:r>
      <w:r>
        <w:t>là</w:t>
      </w:r>
      <w:r w:rsidRPr="002C4077">
        <w:t xml:space="preserve"> </w:t>
      </w:r>
      <w:r>
        <w:t>telle</w:t>
      </w:r>
      <w:r w:rsidRPr="002C4077">
        <w:t xml:space="preserve"> </w:t>
      </w:r>
      <w:r>
        <w:t>autre</w:t>
      </w:r>
      <w:r w:rsidRPr="002C4077">
        <w:t xml:space="preserve"> </w:t>
      </w:r>
      <w:r>
        <w:t>prédiction</w:t>
      </w:r>
      <w:r w:rsidR="00B546AF">
        <w:t> ?</w:t>
      </w:r>
      <w:r w:rsidRPr="002C4077">
        <w:t xml:space="preserve"> </w:t>
      </w:r>
      <w:r>
        <w:t>Or,</w:t>
      </w:r>
      <w:r w:rsidRPr="002C4077">
        <w:t xml:space="preserve"> </w:t>
      </w:r>
      <w:r>
        <w:t>d’après</w:t>
      </w:r>
      <w:r w:rsidRPr="002C4077">
        <w:t xml:space="preserve"> </w:t>
      </w:r>
      <w:r>
        <w:t>ces</w:t>
      </w:r>
      <w:r w:rsidRPr="002C4077">
        <w:t xml:space="preserve"> </w:t>
      </w:r>
      <w:r>
        <w:t>prophéties</w:t>
      </w:r>
      <w:r w:rsidRPr="002C4077">
        <w:t xml:space="preserve"> </w:t>
      </w:r>
      <w:r>
        <w:t>divines,</w:t>
      </w:r>
      <w:r w:rsidRPr="002C4077">
        <w:t xml:space="preserve"> </w:t>
      </w:r>
      <w:r>
        <w:t>un</w:t>
      </w:r>
      <w:r w:rsidRPr="002C4077">
        <w:t xml:space="preserve"> </w:t>
      </w:r>
      <w:r>
        <w:t>Messie</w:t>
      </w:r>
      <w:r w:rsidRPr="002C4077">
        <w:t xml:space="preserve"> </w:t>
      </w:r>
      <w:r>
        <w:t>a</w:t>
      </w:r>
      <w:r w:rsidRPr="002C4077">
        <w:t xml:space="preserve"> </w:t>
      </w:r>
      <w:r>
        <w:t>dû</w:t>
      </w:r>
      <w:r w:rsidRPr="002C4077">
        <w:t xml:space="preserve"> </w:t>
      </w:r>
      <w:r>
        <w:t>venir</w:t>
      </w:r>
      <w:r w:rsidR="00B546AF">
        <w:t> :</w:t>
      </w:r>
      <w:r w:rsidRPr="002C4077">
        <w:t xml:space="preserve"> </w:t>
      </w:r>
      <w:r>
        <w:t>où</w:t>
      </w:r>
      <w:r w:rsidRPr="002C4077">
        <w:t xml:space="preserve"> </w:t>
      </w:r>
      <w:r w:rsidR="00425C50">
        <w:t>est</w:t>
      </w:r>
      <w:r w:rsidRPr="002C4077">
        <w:t xml:space="preserve"> </w:t>
      </w:r>
      <w:r>
        <w:t>leur</w:t>
      </w:r>
      <w:r w:rsidRPr="002C4077">
        <w:t xml:space="preserve"> </w:t>
      </w:r>
      <w:r>
        <w:t>accomplissement</w:t>
      </w:r>
      <w:r w:rsidR="00B546AF">
        <w:t> ?</w:t>
      </w:r>
      <w:r w:rsidRPr="002C4077">
        <w:t xml:space="preserve"> </w:t>
      </w:r>
      <w:r>
        <w:t>Je</w:t>
      </w:r>
      <w:r w:rsidRPr="002C4077">
        <w:t xml:space="preserve"> </w:t>
      </w:r>
      <w:r>
        <w:t>ne</w:t>
      </w:r>
      <w:r w:rsidRPr="002C4077">
        <w:t xml:space="preserve"> </w:t>
      </w:r>
      <w:r>
        <w:t>vois,</w:t>
      </w:r>
      <w:r w:rsidRPr="002C4077">
        <w:t xml:space="preserve"> </w:t>
      </w:r>
      <w:r>
        <w:t>à</w:t>
      </w:r>
      <w:r w:rsidRPr="002C4077">
        <w:t xml:space="preserve"> </w:t>
      </w:r>
      <w:r>
        <w:t>la</w:t>
      </w:r>
      <w:r w:rsidRPr="002C4077">
        <w:t xml:space="preserve"> </w:t>
      </w:r>
      <w:r>
        <w:t>fin</w:t>
      </w:r>
      <w:r w:rsidRPr="002C4077">
        <w:t xml:space="preserve"> </w:t>
      </w:r>
      <w:r>
        <w:t>de</w:t>
      </w:r>
      <w:r w:rsidRPr="002C4077">
        <w:t xml:space="preserve"> </w:t>
      </w:r>
      <w:r>
        <w:t>votre</w:t>
      </w:r>
      <w:r w:rsidRPr="002C4077">
        <w:t xml:space="preserve"> </w:t>
      </w:r>
      <w:r>
        <w:t>livre,</w:t>
      </w:r>
      <w:r w:rsidRPr="002C4077">
        <w:t xml:space="preserve"> </w:t>
      </w:r>
      <w:r>
        <w:t>que</w:t>
      </w:r>
      <w:r w:rsidRPr="002C4077">
        <w:t xml:space="preserve"> </w:t>
      </w:r>
      <w:r>
        <w:t>des</w:t>
      </w:r>
      <w:r w:rsidRPr="002C4077">
        <w:t xml:space="preserve"> </w:t>
      </w:r>
      <w:r>
        <w:t>pages</w:t>
      </w:r>
      <w:r w:rsidRPr="002C4077">
        <w:t xml:space="preserve"> </w:t>
      </w:r>
      <w:r>
        <w:t>blanches</w:t>
      </w:r>
      <w:r w:rsidR="00B546AF">
        <w:t> »</w:t>
      </w:r>
      <w:r>
        <w:t>.</w:t>
      </w:r>
      <w:r w:rsidR="00C45B47">
        <w:t xml:space="preserve"> {</w:t>
      </w:r>
      <w:r w:rsidR="005E2129">
        <w:t>282</w:t>
      </w:r>
      <w:bookmarkStart w:id="688" w:name="p282"/>
      <w:bookmarkEnd w:id="688"/>
      <w:r w:rsidR="005E2129">
        <w:t xml:space="preserve">} </w:t>
      </w:r>
    </w:p>
    <w:p w:rsidR="000A7AAB" w:rsidRDefault="000A7AAB" w:rsidP="000A7AAB">
      <w:r>
        <w:t>Les</w:t>
      </w:r>
      <w:r w:rsidRPr="002C4077">
        <w:t xml:space="preserve"> </w:t>
      </w:r>
      <w:r>
        <w:t>compagnons</w:t>
      </w:r>
      <w:r w:rsidRPr="002C4077">
        <w:t xml:space="preserve"> </w:t>
      </w:r>
      <w:r>
        <w:t>de</w:t>
      </w:r>
      <w:r w:rsidRPr="002C4077">
        <w:t xml:space="preserve"> </w:t>
      </w:r>
      <w:r>
        <w:t>voyage</w:t>
      </w:r>
      <w:r w:rsidRPr="002C4077">
        <w:t xml:space="preserve"> </w:t>
      </w:r>
      <w:r>
        <w:t>du</w:t>
      </w:r>
      <w:r w:rsidRPr="002C4077">
        <w:t xml:space="preserve"> </w:t>
      </w:r>
      <w:r>
        <w:t>missionnaire</w:t>
      </w:r>
      <w:r w:rsidRPr="002C4077">
        <w:t xml:space="preserve"> </w:t>
      </w:r>
      <w:r>
        <w:t>ne</w:t>
      </w:r>
      <w:r w:rsidRPr="002C4077">
        <w:t xml:space="preserve"> </w:t>
      </w:r>
      <w:r>
        <w:t>surent</w:t>
      </w:r>
      <w:r w:rsidRPr="002C4077">
        <w:t xml:space="preserve"> </w:t>
      </w:r>
      <w:r>
        <w:t>que</w:t>
      </w:r>
      <w:r w:rsidRPr="002C4077">
        <w:t xml:space="preserve"> </w:t>
      </w:r>
      <w:r>
        <w:t>répondre,</w:t>
      </w:r>
      <w:r w:rsidRPr="002C4077">
        <w:t xml:space="preserve"> </w:t>
      </w:r>
      <w:r>
        <w:t>et</w:t>
      </w:r>
      <w:r w:rsidRPr="002C4077">
        <w:t xml:space="preserve"> </w:t>
      </w:r>
      <w:r>
        <w:t>parurent</w:t>
      </w:r>
      <w:r w:rsidRPr="002C4077">
        <w:t xml:space="preserve"> </w:t>
      </w:r>
      <w:r>
        <w:t>vivement</w:t>
      </w:r>
      <w:r w:rsidRPr="002C4077">
        <w:t xml:space="preserve"> </w:t>
      </w:r>
      <w:r>
        <w:t>impressionnés</w:t>
      </w:r>
      <w:r w:rsidR="00B91AF7">
        <w:rPr>
          <w:rStyle w:val="Appelnotedebasdep"/>
        </w:rPr>
        <w:footnoteReference w:id="861"/>
      </w:r>
      <w:r>
        <w:t>.</w:t>
      </w:r>
      <w:r w:rsidRPr="002C4077">
        <w:t xml:space="preserve"> </w:t>
      </w:r>
    </w:p>
    <w:p w:rsidR="000A7AAB" w:rsidRPr="005E2129" w:rsidRDefault="000A7AAB" w:rsidP="000A7AAB">
      <w:r>
        <w:t>Si</w:t>
      </w:r>
      <w:r w:rsidRPr="002C4077">
        <w:t xml:space="preserve"> </w:t>
      </w:r>
      <w:r>
        <w:t>la</w:t>
      </w:r>
      <w:r w:rsidRPr="002C4077">
        <w:t xml:space="preserve"> </w:t>
      </w:r>
      <w:r>
        <w:t>Bible</w:t>
      </w:r>
      <w:r w:rsidRPr="002C4077">
        <w:t xml:space="preserve"> </w:t>
      </w:r>
      <w:r>
        <w:t>des</w:t>
      </w:r>
      <w:r w:rsidRPr="002C4077">
        <w:t xml:space="preserve"> </w:t>
      </w:r>
      <w:r>
        <w:t>Juifs</w:t>
      </w:r>
      <w:r w:rsidRPr="002C4077">
        <w:t xml:space="preserve"> </w:t>
      </w:r>
      <w:r w:rsidR="00425C50">
        <w:t>est</w:t>
      </w:r>
      <w:r w:rsidRPr="002C4077">
        <w:t xml:space="preserve"> </w:t>
      </w:r>
      <w:r>
        <w:t>incomplète,</w:t>
      </w:r>
      <w:r w:rsidRPr="002C4077">
        <w:t xml:space="preserve"> </w:t>
      </w:r>
      <w:r>
        <w:t>que</w:t>
      </w:r>
      <w:r w:rsidRPr="002C4077">
        <w:t xml:space="preserve"> </w:t>
      </w:r>
      <w:r>
        <w:t>dire</w:t>
      </w:r>
      <w:r w:rsidRPr="002C4077">
        <w:t xml:space="preserve"> </w:t>
      </w:r>
      <w:r>
        <w:t>de</w:t>
      </w:r>
      <w:r w:rsidRPr="002C4077">
        <w:t xml:space="preserve"> </w:t>
      </w:r>
      <w:r>
        <w:t>leur</w:t>
      </w:r>
      <w:bookmarkStart w:id="689" w:name="z_CateIsraelite_o11"/>
      <w:bookmarkEnd w:id="689"/>
      <w:r w:rsidRPr="002C4077">
        <w:t xml:space="preserve"> </w:t>
      </w:r>
      <w:r>
        <w:t>catéchisme</w:t>
      </w:r>
      <w:r w:rsidR="00B546AF">
        <w:t> ?</w:t>
      </w:r>
      <w:r w:rsidR="00C45B47">
        <w:t xml:space="preserve"> {</w:t>
      </w:r>
      <w:r w:rsidR="005E2129">
        <w:t>283</w:t>
      </w:r>
      <w:bookmarkStart w:id="690" w:name="p283"/>
      <w:bookmarkEnd w:id="690"/>
      <w:r w:rsidR="005E2129">
        <w:t xml:space="preserve">} </w:t>
      </w:r>
    </w:p>
    <w:p w:rsidR="000A7AAB" w:rsidRDefault="000A7AAB" w:rsidP="00D67FA8">
      <w:pPr>
        <w:pStyle w:val="Titre1"/>
      </w:pPr>
      <w:bookmarkStart w:id="691" w:name="_Toc43882022"/>
      <w:r>
        <w:t>X.</w:t>
      </w:r>
      <w:r w:rsidR="002A6EDB">
        <w:br/>
      </w:r>
      <w:r>
        <w:t>VISITE</w:t>
      </w:r>
      <w:r w:rsidRPr="002C4077">
        <w:t xml:space="preserve"> </w:t>
      </w:r>
      <w:r>
        <w:t>À</w:t>
      </w:r>
      <w:r w:rsidRPr="002C4077">
        <w:t xml:space="preserve"> </w:t>
      </w:r>
      <w:r>
        <w:t>UN</w:t>
      </w:r>
      <w:r w:rsidRPr="002C4077">
        <w:t xml:space="preserve"> </w:t>
      </w:r>
      <w:r>
        <w:t>CIMETIÈRE</w:t>
      </w:r>
      <w:r w:rsidRPr="002C4077">
        <w:t xml:space="preserve"> </w:t>
      </w:r>
      <w:r>
        <w:t>JUIF.</w:t>
      </w:r>
      <w:bookmarkStart w:id="692" w:name="a10"/>
      <w:bookmarkEnd w:id="691"/>
      <w:bookmarkEnd w:id="692"/>
      <w:r w:rsidRPr="002C4077">
        <w:t xml:space="preserve"> </w:t>
      </w:r>
    </w:p>
    <w:p w:rsidR="000A7AAB" w:rsidRDefault="000A7AAB" w:rsidP="000A7AAB">
      <w:r>
        <w:t>Je</w:t>
      </w:r>
      <w:bookmarkStart w:id="693" w:name="z_CimetieresJuifs_o1"/>
      <w:bookmarkEnd w:id="693"/>
      <w:r w:rsidRPr="002C4077">
        <w:t xml:space="preserve"> </w:t>
      </w:r>
      <w:r>
        <w:t>ne</w:t>
      </w:r>
      <w:r w:rsidRPr="002C4077">
        <w:t xml:space="preserve"> </w:t>
      </w:r>
      <w:r>
        <w:t>sais</w:t>
      </w:r>
      <w:r w:rsidRPr="002C4077">
        <w:t xml:space="preserve"> </w:t>
      </w:r>
      <w:r>
        <w:t>quel</w:t>
      </w:r>
      <w:r w:rsidRPr="002C4077">
        <w:t xml:space="preserve"> </w:t>
      </w:r>
      <w:r>
        <w:t>samedi</w:t>
      </w:r>
      <w:r w:rsidRPr="002C4077">
        <w:t xml:space="preserve"> </w:t>
      </w:r>
      <w:r>
        <w:t>de</w:t>
      </w:r>
      <w:r w:rsidRPr="002C4077">
        <w:t xml:space="preserve"> </w:t>
      </w:r>
      <w:r>
        <w:t>septembre</w:t>
      </w:r>
      <w:r w:rsidRPr="002C4077">
        <w:t xml:space="preserve"> </w:t>
      </w:r>
      <w:r>
        <w:t>188..,</w:t>
      </w:r>
      <w:r w:rsidRPr="002C4077">
        <w:t xml:space="preserve"> </w:t>
      </w:r>
      <w:r>
        <w:t>il</w:t>
      </w:r>
      <w:r w:rsidRPr="002C4077">
        <w:t xml:space="preserve"> </w:t>
      </w:r>
      <w:r>
        <w:t>y</w:t>
      </w:r>
      <w:r w:rsidRPr="002C4077">
        <w:t xml:space="preserve"> </w:t>
      </w:r>
      <w:r>
        <w:t>eut</w:t>
      </w:r>
      <w:r w:rsidRPr="002C4077">
        <w:t xml:space="preserve"> </w:t>
      </w:r>
      <w:r>
        <w:t>grand</w:t>
      </w:r>
      <w:r w:rsidRPr="002C4077">
        <w:t xml:space="preserve"> </w:t>
      </w:r>
      <w:r>
        <w:t>émoi</w:t>
      </w:r>
      <w:r w:rsidRPr="002C4077">
        <w:t xml:space="preserve"> </w:t>
      </w:r>
      <w:r>
        <w:t>chez</w:t>
      </w:r>
      <w:r w:rsidRPr="002C4077">
        <w:t xml:space="preserve"> </w:t>
      </w:r>
      <w:r>
        <w:t>le</w:t>
      </w:r>
      <w:r w:rsidRPr="002C4077">
        <w:t xml:space="preserve"> </w:t>
      </w:r>
      <w:r>
        <w:t>concierge</w:t>
      </w:r>
      <w:r w:rsidRPr="002C4077">
        <w:t xml:space="preserve"> </w:t>
      </w:r>
      <w:r>
        <w:t>du</w:t>
      </w:r>
      <w:r w:rsidRPr="002C4077">
        <w:t xml:space="preserve"> </w:t>
      </w:r>
      <w:r>
        <w:t>cimetière</w:t>
      </w:r>
      <w:r w:rsidRPr="002C4077">
        <w:t xml:space="preserve"> </w:t>
      </w:r>
      <w:r>
        <w:t>israélite</w:t>
      </w:r>
      <w:r w:rsidRPr="002C4077">
        <w:t xml:space="preserve"> </w:t>
      </w:r>
      <w:r>
        <w:t>de</w:t>
      </w:r>
      <w:r w:rsidRPr="002C4077">
        <w:t xml:space="preserve"> </w:t>
      </w:r>
      <w:r>
        <w:t>la</w:t>
      </w:r>
      <w:r w:rsidRPr="002C4077">
        <w:t xml:space="preserve"> </w:t>
      </w:r>
      <w:r>
        <w:t>ville</w:t>
      </w:r>
      <w:r w:rsidRPr="002C4077">
        <w:t xml:space="preserve"> </w:t>
      </w:r>
      <w:r>
        <w:t>de</w:t>
      </w:r>
      <w:r w:rsidRPr="002C4077">
        <w:t xml:space="preserve"> </w:t>
      </w:r>
      <w:r>
        <w:t>N.</w:t>
      </w:r>
      <w:r w:rsidRPr="002C4077">
        <w:t xml:space="preserve"> </w:t>
      </w:r>
    </w:p>
    <w:p w:rsidR="000A7AAB" w:rsidRDefault="000A7AAB" w:rsidP="000A7AAB">
      <w:r>
        <w:t>Deux</w:t>
      </w:r>
      <w:r w:rsidRPr="002C4077">
        <w:t xml:space="preserve"> </w:t>
      </w:r>
      <w:r>
        <w:t>ecclésiastiques,</w:t>
      </w:r>
      <w:r w:rsidRPr="002C4077">
        <w:t xml:space="preserve"> </w:t>
      </w:r>
      <w:r>
        <w:t>en</w:t>
      </w:r>
      <w:r w:rsidRPr="002C4077">
        <w:t xml:space="preserve"> </w:t>
      </w:r>
      <w:r>
        <w:t>plein</w:t>
      </w:r>
      <w:r w:rsidRPr="002C4077">
        <w:t xml:space="preserve"> </w:t>
      </w:r>
      <w:r>
        <w:t>costume,</w:t>
      </w:r>
      <w:r w:rsidRPr="002C4077">
        <w:t xml:space="preserve"> </w:t>
      </w:r>
      <w:r>
        <w:t>venaient</w:t>
      </w:r>
      <w:r w:rsidRPr="002C4077">
        <w:t xml:space="preserve"> </w:t>
      </w:r>
      <w:r>
        <w:t>de</w:t>
      </w:r>
      <w:r w:rsidRPr="002C4077">
        <w:t xml:space="preserve"> </w:t>
      </w:r>
      <w:r>
        <w:t>franchir</w:t>
      </w:r>
      <w:r w:rsidRPr="002C4077">
        <w:t xml:space="preserve"> </w:t>
      </w:r>
      <w:r>
        <w:t>la</w:t>
      </w:r>
      <w:r w:rsidRPr="002C4077">
        <w:t xml:space="preserve"> </w:t>
      </w:r>
      <w:r>
        <w:t>grille</w:t>
      </w:r>
      <w:r w:rsidRPr="002C4077">
        <w:t xml:space="preserve"> </w:t>
      </w:r>
      <w:r>
        <w:t>qui</w:t>
      </w:r>
      <w:r w:rsidRPr="002C4077">
        <w:t xml:space="preserve"> </w:t>
      </w:r>
      <w:r>
        <w:t>ferme</w:t>
      </w:r>
      <w:r w:rsidRPr="002C4077">
        <w:t xml:space="preserve"> </w:t>
      </w:r>
      <w:r>
        <w:t>le</w:t>
      </w:r>
      <w:r w:rsidRPr="002C4077">
        <w:t xml:space="preserve"> </w:t>
      </w:r>
      <w:r>
        <w:t>champ</w:t>
      </w:r>
      <w:r w:rsidRPr="002C4077">
        <w:t xml:space="preserve"> </w:t>
      </w:r>
      <w:r>
        <w:t>des</w:t>
      </w:r>
      <w:r w:rsidRPr="002C4077">
        <w:t xml:space="preserve"> </w:t>
      </w:r>
      <w:r>
        <w:t>morts,</w:t>
      </w:r>
      <w:r w:rsidRPr="002C4077">
        <w:t xml:space="preserve"> </w:t>
      </w:r>
      <w:r>
        <w:t>et</w:t>
      </w:r>
      <w:r w:rsidRPr="002C4077">
        <w:t xml:space="preserve"> </w:t>
      </w:r>
      <w:r>
        <w:t>s’avançaient</w:t>
      </w:r>
      <w:r w:rsidRPr="002C4077">
        <w:t xml:space="preserve"> </w:t>
      </w:r>
      <w:r w:rsidR="000F4CEC">
        <w:t>résolument</w:t>
      </w:r>
      <w:r w:rsidRPr="002C4077">
        <w:t xml:space="preserve"> </w:t>
      </w:r>
      <w:r>
        <w:t>du</w:t>
      </w:r>
      <w:r w:rsidRPr="002C4077">
        <w:t xml:space="preserve"> </w:t>
      </w:r>
      <w:r>
        <w:t>côté</w:t>
      </w:r>
      <w:r w:rsidRPr="002C4077">
        <w:t xml:space="preserve"> </w:t>
      </w:r>
      <w:r>
        <w:t>des</w:t>
      </w:r>
      <w:r w:rsidRPr="002C4077">
        <w:t xml:space="preserve"> </w:t>
      </w:r>
      <w:r>
        <w:t>tombes,</w:t>
      </w:r>
      <w:r w:rsidRPr="002C4077">
        <w:t xml:space="preserve"> </w:t>
      </w:r>
      <w:r>
        <w:t>dont</w:t>
      </w:r>
      <w:r w:rsidRPr="002C4077">
        <w:t xml:space="preserve"> </w:t>
      </w:r>
      <w:r>
        <w:t>ils</w:t>
      </w:r>
      <w:r w:rsidRPr="002C4077">
        <w:t xml:space="preserve"> </w:t>
      </w:r>
      <w:r>
        <w:t>désiraient</w:t>
      </w:r>
      <w:r w:rsidRPr="002C4077">
        <w:t xml:space="preserve"> </w:t>
      </w:r>
      <w:r>
        <w:t>étudier</w:t>
      </w:r>
      <w:r w:rsidRPr="002C4077">
        <w:t xml:space="preserve"> </w:t>
      </w:r>
      <w:r>
        <w:t>les</w:t>
      </w:r>
      <w:r w:rsidRPr="002C4077">
        <w:t xml:space="preserve"> </w:t>
      </w:r>
      <w:r>
        <w:t>inscriptions.</w:t>
      </w:r>
      <w:r w:rsidRPr="002C4077">
        <w:t xml:space="preserve"> </w:t>
      </w:r>
      <w:r>
        <w:t>On</w:t>
      </w:r>
      <w:r w:rsidRPr="002C4077">
        <w:t xml:space="preserve"> </w:t>
      </w:r>
      <w:r>
        <w:t>leur</w:t>
      </w:r>
      <w:r w:rsidRPr="002C4077">
        <w:t xml:space="preserve"> </w:t>
      </w:r>
      <w:r>
        <w:t>avait</w:t>
      </w:r>
      <w:r w:rsidRPr="002C4077">
        <w:t xml:space="preserve"> </w:t>
      </w:r>
      <w:r>
        <w:t>dit,</w:t>
      </w:r>
      <w:r w:rsidRPr="002C4077">
        <w:t xml:space="preserve"> </w:t>
      </w:r>
      <w:r>
        <w:t>et</w:t>
      </w:r>
      <w:r w:rsidRPr="002C4077">
        <w:t xml:space="preserve"> </w:t>
      </w:r>
      <w:r>
        <w:t>c’était</w:t>
      </w:r>
      <w:r w:rsidRPr="002C4077">
        <w:t xml:space="preserve"> </w:t>
      </w:r>
      <w:r>
        <w:t>vrai,</w:t>
      </w:r>
      <w:r w:rsidRPr="002C4077">
        <w:t xml:space="preserve"> </w:t>
      </w:r>
      <w:r>
        <w:t>que</w:t>
      </w:r>
      <w:r w:rsidRPr="002C4077">
        <w:t xml:space="preserve"> </w:t>
      </w:r>
      <w:r>
        <w:t>l’entrée</w:t>
      </w:r>
      <w:r w:rsidRPr="002C4077">
        <w:t xml:space="preserve"> </w:t>
      </w:r>
      <w:r>
        <w:t>du</w:t>
      </w:r>
      <w:r w:rsidRPr="002C4077">
        <w:t xml:space="preserve"> </w:t>
      </w:r>
      <w:r>
        <w:t>cimetière</w:t>
      </w:r>
      <w:r w:rsidRPr="002C4077">
        <w:t xml:space="preserve"> </w:t>
      </w:r>
      <w:r>
        <w:t>juif</w:t>
      </w:r>
      <w:r w:rsidRPr="002C4077">
        <w:t xml:space="preserve"> </w:t>
      </w:r>
      <w:r>
        <w:t>était</w:t>
      </w:r>
      <w:r w:rsidRPr="002C4077">
        <w:t xml:space="preserve"> </w:t>
      </w:r>
      <w:r>
        <w:t>parfaitement</w:t>
      </w:r>
      <w:r w:rsidRPr="002C4077">
        <w:t xml:space="preserve"> </w:t>
      </w:r>
      <w:r>
        <w:t>libre</w:t>
      </w:r>
      <w:r w:rsidRPr="002C4077">
        <w:t xml:space="preserve"> </w:t>
      </w:r>
      <w:r>
        <w:t>pour</w:t>
      </w:r>
      <w:r w:rsidRPr="002C4077">
        <w:t xml:space="preserve"> </w:t>
      </w:r>
      <w:r>
        <w:t>toute</w:t>
      </w:r>
      <w:r w:rsidRPr="002C4077">
        <w:t xml:space="preserve"> </w:t>
      </w:r>
      <w:r>
        <w:t>sorte</w:t>
      </w:r>
      <w:r w:rsidRPr="002C4077">
        <w:t xml:space="preserve"> </w:t>
      </w:r>
      <w:r>
        <w:t>de</w:t>
      </w:r>
      <w:r w:rsidRPr="002C4077">
        <w:t xml:space="preserve"> </w:t>
      </w:r>
      <w:r>
        <w:t>personnes</w:t>
      </w:r>
      <w:r w:rsidR="00B546AF">
        <w:t> ;</w:t>
      </w:r>
      <w:r w:rsidRPr="002C4077">
        <w:t xml:space="preserve"> </w:t>
      </w:r>
      <w:r>
        <w:t>seulement,</w:t>
      </w:r>
      <w:r w:rsidRPr="002C4077">
        <w:t xml:space="preserve"> </w:t>
      </w:r>
      <w:r>
        <w:lastRenderedPageBreak/>
        <w:t>ils</w:t>
      </w:r>
      <w:r w:rsidRPr="002C4077">
        <w:t xml:space="preserve"> </w:t>
      </w:r>
      <w:r>
        <w:t>avaient</w:t>
      </w:r>
      <w:r w:rsidRPr="002C4077">
        <w:t xml:space="preserve"> </w:t>
      </w:r>
      <w:r>
        <w:t>été</w:t>
      </w:r>
      <w:r w:rsidRPr="002C4077">
        <w:t xml:space="preserve"> </w:t>
      </w:r>
      <w:r>
        <w:t>malheureux</w:t>
      </w:r>
      <w:r w:rsidRPr="002C4077">
        <w:t xml:space="preserve"> </w:t>
      </w:r>
      <w:r>
        <w:t>dans</w:t>
      </w:r>
      <w:r w:rsidRPr="002C4077">
        <w:t xml:space="preserve"> </w:t>
      </w:r>
      <w:r>
        <w:t>le</w:t>
      </w:r>
      <w:r w:rsidRPr="002C4077">
        <w:t xml:space="preserve"> </w:t>
      </w:r>
      <w:r>
        <w:t>choix</w:t>
      </w:r>
      <w:r w:rsidRPr="002C4077">
        <w:t xml:space="preserve"> </w:t>
      </w:r>
      <w:r>
        <w:t>de</w:t>
      </w:r>
      <w:r w:rsidRPr="002C4077">
        <w:t xml:space="preserve"> </w:t>
      </w:r>
      <w:r>
        <w:t>leur</w:t>
      </w:r>
      <w:r w:rsidRPr="002C4077">
        <w:t xml:space="preserve"> </w:t>
      </w:r>
      <w:r>
        <w:t>jour,</w:t>
      </w:r>
      <w:r w:rsidRPr="002C4077">
        <w:t xml:space="preserve"> </w:t>
      </w:r>
      <w:r>
        <w:t>car</w:t>
      </w:r>
      <w:r w:rsidRPr="002C4077">
        <w:t xml:space="preserve"> </w:t>
      </w:r>
      <w:r>
        <w:t>c’était</w:t>
      </w:r>
      <w:r w:rsidRPr="002C4077">
        <w:t xml:space="preserve"> </w:t>
      </w:r>
      <w:r>
        <w:t>tout</w:t>
      </w:r>
      <w:r w:rsidRPr="002C4077">
        <w:t xml:space="preserve"> </w:t>
      </w:r>
      <w:r>
        <w:t>à</w:t>
      </w:r>
      <w:r w:rsidRPr="002C4077">
        <w:t xml:space="preserve"> </w:t>
      </w:r>
      <w:r>
        <w:t>la</w:t>
      </w:r>
      <w:r w:rsidRPr="002C4077">
        <w:t xml:space="preserve"> </w:t>
      </w:r>
      <w:r>
        <w:t>fois</w:t>
      </w:r>
      <w:r w:rsidRPr="002C4077">
        <w:t xml:space="preserve"> </w:t>
      </w:r>
      <w:r>
        <w:t>le</w:t>
      </w:r>
      <w:r w:rsidRPr="002C4077">
        <w:t xml:space="preserve"> </w:t>
      </w:r>
      <w:r>
        <w:t>sabbat</w:t>
      </w:r>
      <w:r w:rsidRPr="002C4077">
        <w:t xml:space="preserve"> </w:t>
      </w:r>
      <w:r>
        <w:t>et</w:t>
      </w:r>
      <w:r w:rsidRPr="002C4077">
        <w:t xml:space="preserve"> </w:t>
      </w:r>
      <w:r>
        <w:t>le</w:t>
      </w:r>
      <w:r w:rsidRPr="002C4077">
        <w:t xml:space="preserve"> </w:t>
      </w:r>
      <w:r>
        <w:t>commencement</w:t>
      </w:r>
      <w:r w:rsidRPr="002C4077">
        <w:t xml:space="preserve"> </w:t>
      </w:r>
      <w:r>
        <w:t>de</w:t>
      </w:r>
      <w:r w:rsidRPr="002C4077">
        <w:t xml:space="preserve"> </w:t>
      </w:r>
      <w:r>
        <w:t>l’année</w:t>
      </w:r>
      <w:r w:rsidRPr="002C4077">
        <w:t xml:space="preserve"> </w:t>
      </w:r>
      <w:r>
        <w:t>civile</w:t>
      </w:r>
      <w:r w:rsidRPr="002C4077">
        <w:t xml:space="preserve"> </w:t>
      </w:r>
      <w:r>
        <w:t>des</w:t>
      </w:r>
      <w:r w:rsidRPr="002C4077">
        <w:t xml:space="preserve"> </w:t>
      </w:r>
      <w:r>
        <w:t>Juifs</w:t>
      </w:r>
      <w:r w:rsidRPr="004440EA">
        <w:t xml:space="preserve"> (</w:t>
      </w:r>
      <w:r w:rsidR="001A54EA">
        <w:t>1</w:t>
      </w:r>
      <w:r w:rsidR="001A54EA" w:rsidRPr="001A54EA">
        <w:rPr>
          <w:vertAlign w:val="superscript"/>
        </w:rPr>
        <w:t>er</w:t>
      </w:r>
      <w:r w:rsidR="001A54EA">
        <w:t xml:space="preserve"> </w:t>
      </w:r>
      <w:r w:rsidRPr="000A34B5">
        <w:rPr>
          <w:rStyle w:val="italicus"/>
        </w:rPr>
        <w:t>tischri</w:t>
      </w:r>
      <w:r w:rsidR="00B546AF" w:rsidRPr="002C4077">
        <w:t>)</w:t>
      </w:r>
      <w:r w:rsidRPr="000A34B5">
        <w:rPr>
          <w:rStyle w:val="italicus"/>
        </w:rPr>
        <w:t>.</w:t>
      </w:r>
      <w:r w:rsidRPr="002C4077">
        <w:t xml:space="preserve"> </w:t>
      </w:r>
    </w:p>
    <w:p w:rsidR="000A7AAB" w:rsidRPr="005E2129" w:rsidRDefault="000A7AAB" w:rsidP="000A7AAB">
      <w:r>
        <w:t>Il</w:t>
      </w:r>
      <w:r w:rsidRPr="002C4077">
        <w:t xml:space="preserve"> </w:t>
      </w:r>
      <w:r>
        <w:t>y</w:t>
      </w:r>
      <w:r w:rsidRPr="002C4077">
        <w:t xml:space="preserve"> </w:t>
      </w:r>
      <w:r>
        <w:t>eut,</w:t>
      </w:r>
      <w:r w:rsidRPr="002C4077">
        <w:t xml:space="preserve"> </w:t>
      </w:r>
      <w:r>
        <w:t>entre</w:t>
      </w:r>
      <w:r w:rsidRPr="002C4077">
        <w:t xml:space="preserve"> </w:t>
      </w:r>
      <w:r>
        <w:t>le</w:t>
      </w:r>
      <w:r w:rsidRPr="002C4077">
        <w:t xml:space="preserve"> </w:t>
      </w:r>
      <w:r>
        <w:t>concierge,</w:t>
      </w:r>
      <w:r w:rsidRPr="002C4077">
        <w:t xml:space="preserve"> </w:t>
      </w:r>
      <w:r>
        <w:t>sa</w:t>
      </w:r>
      <w:r w:rsidRPr="002C4077">
        <w:t xml:space="preserve"> </w:t>
      </w:r>
      <w:r>
        <w:t>femme</w:t>
      </w:r>
      <w:r w:rsidRPr="002C4077">
        <w:t xml:space="preserve"> </w:t>
      </w:r>
      <w:r>
        <w:t>et</w:t>
      </w:r>
      <w:r w:rsidRPr="002C4077">
        <w:t xml:space="preserve"> </w:t>
      </w:r>
      <w:r>
        <w:t>une</w:t>
      </w:r>
      <w:r w:rsidRPr="002C4077">
        <w:t xml:space="preserve"> </w:t>
      </w:r>
      <w:r>
        <w:t>amie</w:t>
      </w:r>
      <w:r w:rsidRPr="002C4077">
        <w:t xml:space="preserve"> </w:t>
      </w:r>
      <w:r>
        <w:t>qui</w:t>
      </w:r>
      <w:r w:rsidRPr="002C4077">
        <w:t xml:space="preserve"> </w:t>
      </w:r>
      <w:r>
        <w:t>les</w:t>
      </w:r>
      <w:r w:rsidRPr="002C4077">
        <w:t xml:space="preserve"> </w:t>
      </w:r>
      <w:r>
        <w:t>visitait</w:t>
      </w:r>
      <w:r w:rsidRPr="002C4077">
        <w:t xml:space="preserve"> </w:t>
      </w:r>
      <w:r>
        <w:t>alors,</w:t>
      </w:r>
      <w:r w:rsidRPr="002C4077">
        <w:t xml:space="preserve"> </w:t>
      </w:r>
      <w:r>
        <w:t>une</w:t>
      </w:r>
      <w:r w:rsidRPr="002C4077">
        <w:t xml:space="preserve"> </w:t>
      </w:r>
      <w:r>
        <w:t>consultation</w:t>
      </w:r>
      <w:r w:rsidRPr="002C4077">
        <w:t xml:space="preserve"> </w:t>
      </w:r>
      <w:r>
        <w:t>rapide,</w:t>
      </w:r>
      <w:r w:rsidRPr="002C4077">
        <w:t xml:space="preserve"> </w:t>
      </w:r>
      <w:r>
        <w:t>dont</w:t>
      </w:r>
      <w:r w:rsidRPr="002C4077">
        <w:t xml:space="preserve"> </w:t>
      </w:r>
      <w:r>
        <w:t>les</w:t>
      </w:r>
      <w:r w:rsidRPr="002C4077">
        <w:t xml:space="preserve"> </w:t>
      </w:r>
      <w:r>
        <w:t>échos</w:t>
      </w:r>
      <w:r w:rsidRPr="002C4077">
        <w:t xml:space="preserve"> </w:t>
      </w:r>
      <w:r>
        <w:t>parvinrent</w:t>
      </w:r>
      <w:r w:rsidRPr="002C4077">
        <w:t xml:space="preserve"> </w:t>
      </w:r>
      <w:r>
        <w:t>jusqu’aux</w:t>
      </w:r>
      <w:r w:rsidRPr="002C4077">
        <w:t xml:space="preserve"> </w:t>
      </w:r>
      <w:r>
        <w:t>deux</w:t>
      </w:r>
      <w:r w:rsidRPr="002C4077">
        <w:t xml:space="preserve"> </w:t>
      </w:r>
      <w:r>
        <w:t>hébraïsants.</w:t>
      </w:r>
      <w:r w:rsidRPr="002C4077">
        <w:t xml:space="preserve"> </w:t>
      </w:r>
      <w:r>
        <w:t>Ceux-ci</w:t>
      </w:r>
      <w:r w:rsidRPr="002C4077">
        <w:t xml:space="preserve"> </w:t>
      </w:r>
      <w:r>
        <w:t>avaient</w:t>
      </w:r>
      <w:r w:rsidRPr="002C4077">
        <w:t xml:space="preserve"> </w:t>
      </w:r>
      <w:r>
        <w:t>bien</w:t>
      </w:r>
      <w:r w:rsidRPr="002C4077">
        <w:t xml:space="preserve"> </w:t>
      </w:r>
      <w:r>
        <w:t>raison</w:t>
      </w:r>
      <w:r w:rsidRPr="002C4077">
        <w:t xml:space="preserve"> </w:t>
      </w:r>
      <w:r>
        <w:t>de</w:t>
      </w:r>
      <w:r w:rsidRPr="002C4077">
        <w:t xml:space="preserve"> </w:t>
      </w:r>
      <w:r>
        <w:t>craindre</w:t>
      </w:r>
      <w:r w:rsidRPr="002C4077">
        <w:t xml:space="preserve"> </w:t>
      </w:r>
      <w:r>
        <w:t>qu’on</w:t>
      </w:r>
      <w:r w:rsidRPr="002C4077">
        <w:t xml:space="preserve"> </w:t>
      </w:r>
      <w:r>
        <w:t>ne</w:t>
      </w:r>
      <w:r w:rsidRPr="002C4077">
        <w:t xml:space="preserve"> </w:t>
      </w:r>
      <w:r>
        <w:t>leur</w:t>
      </w:r>
      <w:r w:rsidRPr="002C4077">
        <w:t xml:space="preserve"> </w:t>
      </w:r>
      <w:r>
        <w:t>signifiât</w:t>
      </w:r>
      <w:r w:rsidRPr="002C4077">
        <w:t xml:space="preserve"> </w:t>
      </w:r>
      <w:r>
        <w:t>un</w:t>
      </w:r>
      <w:r w:rsidRPr="002C4077">
        <w:t xml:space="preserve"> </w:t>
      </w:r>
      <w:r>
        <w:t>congé</w:t>
      </w:r>
      <w:r w:rsidRPr="002C4077">
        <w:t xml:space="preserve"> </w:t>
      </w:r>
      <w:r>
        <w:t>peu</w:t>
      </w:r>
      <w:r w:rsidRPr="002C4077">
        <w:t xml:space="preserve"> </w:t>
      </w:r>
      <w:r>
        <w:t>honorable,</w:t>
      </w:r>
      <w:r w:rsidRPr="002C4077">
        <w:t xml:space="preserve"> </w:t>
      </w:r>
      <w:r>
        <w:t>quand</w:t>
      </w:r>
      <w:r w:rsidRPr="002C4077">
        <w:t xml:space="preserve"> </w:t>
      </w:r>
      <w:r>
        <w:t>l’amie,</w:t>
      </w:r>
      <w:r w:rsidRPr="002C4077">
        <w:t xml:space="preserve"> </w:t>
      </w:r>
      <w:r>
        <w:t>une</w:t>
      </w:r>
      <w:r w:rsidRPr="002C4077">
        <w:t xml:space="preserve"> </w:t>
      </w:r>
      <w:r w:rsidRPr="000A34B5">
        <w:rPr>
          <w:rStyle w:val="italicus"/>
        </w:rPr>
        <w:t>libérale</w:t>
      </w:r>
      <w:bookmarkStart w:id="694" w:name="z_JuifsUsure_o2"/>
      <w:bookmarkEnd w:id="694"/>
      <w:r w:rsidRPr="000A34B5">
        <w:rPr>
          <w:rStyle w:val="italicus"/>
        </w:rPr>
        <w:t>,</w:t>
      </w:r>
      <w:r w:rsidRPr="002C4077">
        <w:t xml:space="preserve"> </w:t>
      </w:r>
      <w:r>
        <w:t>sans</w:t>
      </w:r>
      <w:r w:rsidRPr="002C4077">
        <w:t xml:space="preserve"> </w:t>
      </w:r>
      <w:r>
        <w:t>doute</w:t>
      </w:r>
      <w:r w:rsidR="00B91AF7">
        <w:rPr>
          <w:rStyle w:val="Appelnotedebasdep"/>
        </w:rPr>
        <w:footnoteReference w:id="862"/>
      </w:r>
      <w:r>
        <w:t>,</w:t>
      </w:r>
      <w:r w:rsidRPr="002C4077">
        <w:t xml:space="preserve"> </w:t>
      </w:r>
      <w:r>
        <w:t>dit</w:t>
      </w:r>
      <w:r w:rsidRPr="002C4077">
        <w:t xml:space="preserve"> </w:t>
      </w:r>
      <w:r>
        <w:t>à</w:t>
      </w:r>
      <w:r w:rsidRPr="002C4077">
        <w:t xml:space="preserve"> </w:t>
      </w:r>
      <w:r>
        <w:t>ses</w:t>
      </w:r>
      <w:r w:rsidRPr="002C4077">
        <w:t xml:space="preserve"> </w:t>
      </w:r>
      <w:r>
        <w:t>hôtes</w:t>
      </w:r>
      <w:r w:rsidRPr="002C4077">
        <w:t xml:space="preserve"> </w:t>
      </w:r>
      <w:r>
        <w:t>que</w:t>
      </w:r>
      <w:r w:rsidRPr="002C4077">
        <w:t xml:space="preserve"> </w:t>
      </w:r>
      <w:r>
        <w:t>le</w:t>
      </w:r>
      <w:r w:rsidRPr="002C4077">
        <w:t xml:space="preserve"> </w:t>
      </w:r>
      <w:r>
        <w:t>fait</w:t>
      </w:r>
      <w:r w:rsidRPr="002C4077">
        <w:t xml:space="preserve"> </w:t>
      </w:r>
      <w:r>
        <w:t>étant</w:t>
      </w:r>
      <w:r w:rsidRPr="002C4077">
        <w:t xml:space="preserve"> </w:t>
      </w:r>
      <w:r>
        <w:t>désormais</w:t>
      </w:r>
      <w:r w:rsidRPr="002C4077">
        <w:t xml:space="preserve"> </w:t>
      </w:r>
      <w:r>
        <w:t>accompli,</w:t>
      </w:r>
      <w:r w:rsidRPr="002C4077">
        <w:t xml:space="preserve"> </w:t>
      </w:r>
      <w:r>
        <w:t>et</w:t>
      </w:r>
      <w:r w:rsidRPr="002C4077">
        <w:t xml:space="preserve"> </w:t>
      </w:r>
      <w:r>
        <w:t>les</w:t>
      </w:r>
      <w:r w:rsidRPr="002C4077">
        <w:t xml:space="preserve"> </w:t>
      </w:r>
      <w:r>
        <w:t>intrus,</w:t>
      </w:r>
      <w:r w:rsidRPr="002C4077">
        <w:t xml:space="preserve"> </w:t>
      </w:r>
      <w:r>
        <w:t>munis</w:t>
      </w:r>
      <w:r w:rsidRPr="002C4077">
        <w:t xml:space="preserve"> </w:t>
      </w:r>
      <w:r>
        <w:t>de</w:t>
      </w:r>
      <w:r w:rsidRPr="002C4077">
        <w:t xml:space="preserve"> </w:t>
      </w:r>
      <w:r>
        <w:t>crayons</w:t>
      </w:r>
      <w:r w:rsidRPr="002C4077">
        <w:t xml:space="preserve"> </w:t>
      </w:r>
      <w:r>
        <w:t>et</w:t>
      </w:r>
      <w:r w:rsidRPr="002C4077">
        <w:t xml:space="preserve"> </w:t>
      </w:r>
      <w:r>
        <w:t>de</w:t>
      </w:r>
      <w:r w:rsidRPr="002C4077">
        <w:t xml:space="preserve"> </w:t>
      </w:r>
      <w:r>
        <w:t>carnets,</w:t>
      </w:r>
      <w:r w:rsidRPr="002C4077">
        <w:t xml:space="preserve"> </w:t>
      </w:r>
      <w:r>
        <w:t>déjà</w:t>
      </w:r>
      <w:r w:rsidRPr="002C4077">
        <w:t xml:space="preserve"> </w:t>
      </w:r>
      <w:r>
        <w:t>en</w:t>
      </w:r>
      <w:r w:rsidRPr="002C4077">
        <w:t xml:space="preserve"> </w:t>
      </w:r>
      <w:r>
        <w:t>train</w:t>
      </w:r>
      <w:r w:rsidRPr="002C4077">
        <w:t xml:space="preserve"> </w:t>
      </w:r>
      <w:r>
        <w:t>de</w:t>
      </w:r>
      <w:r w:rsidRPr="002C4077">
        <w:t xml:space="preserve"> </w:t>
      </w:r>
      <w:r>
        <w:t>noter</w:t>
      </w:r>
      <w:r w:rsidRPr="002C4077">
        <w:t xml:space="preserve"> </w:t>
      </w:r>
      <w:r>
        <w:t>les</w:t>
      </w:r>
      <w:r w:rsidRPr="002C4077">
        <w:t xml:space="preserve"> </w:t>
      </w:r>
      <w:r>
        <w:t>inscriptions,</w:t>
      </w:r>
      <w:r w:rsidRPr="002C4077">
        <w:t xml:space="preserve"> </w:t>
      </w:r>
      <w:r>
        <w:t>le</w:t>
      </w:r>
      <w:r w:rsidRPr="002C4077">
        <w:t xml:space="preserve"> </w:t>
      </w:r>
      <w:r>
        <w:t>mieux</w:t>
      </w:r>
      <w:r w:rsidRPr="002C4077">
        <w:t xml:space="preserve"> </w:t>
      </w:r>
      <w:r>
        <w:t>serait</w:t>
      </w:r>
      <w:r w:rsidRPr="002C4077">
        <w:t xml:space="preserve"> </w:t>
      </w:r>
      <w:r>
        <w:t>de</w:t>
      </w:r>
      <w:r w:rsidRPr="002C4077">
        <w:t xml:space="preserve"> </w:t>
      </w:r>
      <w:r>
        <w:t>les</w:t>
      </w:r>
      <w:r w:rsidRPr="002C4077">
        <w:t xml:space="preserve"> </w:t>
      </w:r>
      <w:r>
        <w:t>laisser</w:t>
      </w:r>
      <w:r w:rsidRPr="002C4077">
        <w:t xml:space="preserve"> </w:t>
      </w:r>
      <w:r>
        <w:t>en</w:t>
      </w:r>
      <w:r w:rsidRPr="002C4077">
        <w:t xml:space="preserve"> </w:t>
      </w:r>
      <w:r>
        <w:t>repos</w:t>
      </w:r>
      <w:r w:rsidRPr="002C4077">
        <w:t xml:space="preserve"> </w:t>
      </w:r>
      <w:r>
        <w:t>pour</w:t>
      </w:r>
      <w:r w:rsidRPr="002C4077">
        <w:t xml:space="preserve"> </w:t>
      </w:r>
      <w:r>
        <w:t>cette</w:t>
      </w:r>
      <w:r w:rsidRPr="002C4077">
        <w:t xml:space="preserve"> </w:t>
      </w:r>
      <w:r>
        <w:t>fois,</w:t>
      </w:r>
      <w:r w:rsidRPr="002C4077">
        <w:t xml:space="preserve"> </w:t>
      </w:r>
      <w:r>
        <w:t>quitte</w:t>
      </w:r>
      <w:r w:rsidRPr="002C4077">
        <w:t xml:space="preserve"> </w:t>
      </w:r>
      <w:r>
        <w:t>à</w:t>
      </w:r>
      <w:r w:rsidRPr="002C4077">
        <w:t xml:space="preserve"> </w:t>
      </w:r>
      <w:r>
        <w:t>leur</w:t>
      </w:r>
      <w:r w:rsidRPr="002C4077">
        <w:t xml:space="preserve"> </w:t>
      </w:r>
      <w:r>
        <w:t>donner,</w:t>
      </w:r>
      <w:r w:rsidRPr="002C4077">
        <w:t xml:space="preserve"> </w:t>
      </w:r>
      <w:r>
        <w:t>au</w:t>
      </w:r>
      <w:r w:rsidRPr="002C4077">
        <w:t xml:space="preserve"> </w:t>
      </w:r>
      <w:r>
        <w:t>moment</w:t>
      </w:r>
      <w:r w:rsidRPr="002C4077">
        <w:t xml:space="preserve"> </w:t>
      </w:r>
      <w:r>
        <w:t>de</w:t>
      </w:r>
      <w:r w:rsidRPr="002C4077">
        <w:t xml:space="preserve"> </w:t>
      </w:r>
      <w:r>
        <w:t>leur</w:t>
      </w:r>
      <w:r w:rsidRPr="002C4077">
        <w:t xml:space="preserve"> </w:t>
      </w:r>
      <w:r>
        <w:t>départ,</w:t>
      </w:r>
      <w:r w:rsidRPr="002C4077">
        <w:t xml:space="preserve"> </w:t>
      </w:r>
      <w:r>
        <w:t>un</w:t>
      </w:r>
      <w:r w:rsidRPr="002C4077">
        <w:t xml:space="preserve"> </w:t>
      </w:r>
      <w:r>
        <w:t>avertissement</w:t>
      </w:r>
      <w:r w:rsidRPr="002C4077">
        <w:t xml:space="preserve"> </w:t>
      </w:r>
      <w:r w:rsidRPr="000A34B5">
        <w:rPr>
          <w:rStyle w:val="italicus"/>
        </w:rPr>
        <w:t>de</w:t>
      </w:r>
      <w:r w:rsidRPr="002C4077">
        <w:t xml:space="preserve"> </w:t>
      </w:r>
      <w:r w:rsidR="000F4CEC" w:rsidRPr="000A34B5">
        <w:rPr>
          <w:rStyle w:val="italicus"/>
        </w:rPr>
        <w:t>futúro</w:t>
      </w:r>
      <w:r w:rsidRPr="000A34B5">
        <w:rPr>
          <w:rStyle w:val="italicus"/>
        </w:rPr>
        <w:t>.</w:t>
      </w:r>
      <w:r w:rsidR="00C45B47">
        <w:t xml:space="preserve"> {</w:t>
      </w:r>
      <w:r w:rsidR="005E2129">
        <w:t>284</w:t>
      </w:r>
      <w:bookmarkStart w:id="695" w:name="p284"/>
      <w:bookmarkEnd w:id="695"/>
      <w:r w:rsidR="005E2129">
        <w:t xml:space="preserve">} </w:t>
      </w:r>
    </w:p>
    <w:p w:rsidR="000A7AAB" w:rsidRPr="005E2129" w:rsidRDefault="000A7AAB" w:rsidP="000A7AAB">
      <w:r>
        <w:t>Le</w:t>
      </w:r>
      <w:r w:rsidRPr="002C4077">
        <w:t xml:space="preserve"> </w:t>
      </w:r>
      <w:r>
        <w:t>bruit</w:t>
      </w:r>
      <w:r w:rsidRPr="002C4077">
        <w:t xml:space="preserve"> </w:t>
      </w:r>
      <w:r>
        <w:t>des</w:t>
      </w:r>
      <w:r w:rsidRPr="002C4077">
        <w:t xml:space="preserve"> </w:t>
      </w:r>
      <w:r>
        <w:t>voix</w:t>
      </w:r>
      <w:r w:rsidRPr="002C4077">
        <w:t xml:space="preserve"> </w:t>
      </w:r>
      <w:r>
        <w:t>s’était</w:t>
      </w:r>
      <w:r w:rsidRPr="002C4077">
        <w:t xml:space="preserve"> </w:t>
      </w:r>
      <w:r>
        <w:t>calmé,</w:t>
      </w:r>
      <w:r w:rsidRPr="002C4077">
        <w:t xml:space="preserve"> </w:t>
      </w:r>
      <w:r>
        <w:t>et</w:t>
      </w:r>
      <w:r w:rsidRPr="002C4077">
        <w:t xml:space="preserve"> </w:t>
      </w:r>
      <w:r>
        <w:t>nos</w:t>
      </w:r>
      <w:r w:rsidRPr="002C4077">
        <w:t xml:space="preserve"> </w:t>
      </w:r>
      <w:r>
        <w:t>travailleurs</w:t>
      </w:r>
      <w:r w:rsidRPr="002C4077">
        <w:t xml:space="preserve"> </w:t>
      </w:r>
      <w:r>
        <w:t>accomplissaient</w:t>
      </w:r>
      <w:r w:rsidRPr="002C4077">
        <w:t xml:space="preserve"> </w:t>
      </w:r>
      <w:r>
        <w:t>avec</w:t>
      </w:r>
      <w:r w:rsidRPr="002C4077">
        <w:t xml:space="preserve"> </w:t>
      </w:r>
      <w:r>
        <w:t>ardeur</w:t>
      </w:r>
      <w:r w:rsidRPr="002C4077">
        <w:t xml:space="preserve"> </w:t>
      </w:r>
      <w:r>
        <w:t>leur</w:t>
      </w:r>
      <w:r w:rsidRPr="002C4077">
        <w:t xml:space="preserve"> </w:t>
      </w:r>
      <w:r>
        <w:t>tâche</w:t>
      </w:r>
      <w:r w:rsidRPr="002C4077">
        <w:t xml:space="preserve"> </w:t>
      </w:r>
      <w:r>
        <w:t>intéressante,</w:t>
      </w:r>
      <w:r w:rsidRPr="002C4077">
        <w:t xml:space="preserve"> </w:t>
      </w:r>
      <w:r>
        <w:t>quand</w:t>
      </w:r>
      <w:r w:rsidRPr="002C4077">
        <w:t xml:space="preserve"> </w:t>
      </w:r>
      <w:r>
        <w:t>ils</w:t>
      </w:r>
      <w:r w:rsidRPr="002C4077">
        <w:t xml:space="preserve"> </w:t>
      </w:r>
      <w:r>
        <w:t>aperçurent</w:t>
      </w:r>
      <w:r w:rsidRPr="002C4077">
        <w:t xml:space="preserve"> </w:t>
      </w:r>
      <w:r>
        <w:t>auprès</w:t>
      </w:r>
      <w:r w:rsidRPr="002C4077">
        <w:t xml:space="preserve"> </w:t>
      </w:r>
      <w:r>
        <w:t>d’eux,</w:t>
      </w:r>
      <w:r w:rsidRPr="002C4077">
        <w:t xml:space="preserve"> </w:t>
      </w:r>
      <w:r>
        <w:t>à</w:t>
      </w:r>
      <w:r w:rsidRPr="002C4077">
        <w:t xml:space="preserve"> </w:t>
      </w:r>
      <w:r>
        <w:t>demi</w:t>
      </w:r>
      <w:r w:rsidRPr="002C4077">
        <w:t xml:space="preserve"> </w:t>
      </w:r>
      <w:r>
        <w:t>cachée</w:t>
      </w:r>
      <w:r w:rsidRPr="002C4077">
        <w:t xml:space="preserve"> </w:t>
      </w:r>
      <w:r>
        <w:t>derrière</w:t>
      </w:r>
      <w:r w:rsidRPr="002C4077">
        <w:t xml:space="preserve"> </w:t>
      </w:r>
      <w:r>
        <w:t>un</w:t>
      </w:r>
      <w:r w:rsidRPr="002C4077">
        <w:t xml:space="preserve"> </w:t>
      </w:r>
      <w:r>
        <w:t>noir</w:t>
      </w:r>
      <w:r w:rsidRPr="002C4077">
        <w:t xml:space="preserve"> </w:t>
      </w:r>
      <w:r>
        <w:t>cyprès,</w:t>
      </w:r>
      <w:r w:rsidRPr="002C4077">
        <w:t xml:space="preserve"> </w:t>
      </w:r>
      <w:r>
        <w:t>une</w:t>
      </w:r>
      <w:r w:rsidRPr="002C4077">
        <w:t xml:space="preserve"> </w:t>
      </w:r>
      <w:r>
        <w:t>fillette</w:t>
      </w:r>
      <w:r w:rsidRPr="002C4077">
        <w:t xml:space="preserve"> </w:t>
      </w:r>
      <w:r>
        <w:t>de</w:t>
      </w:r>
      <w:r w:rsidRPr="002C4077">
        <w:t xml:space="preserve"> </w:t>
      </w:r>
      <w:r>
        <w:t>huit</w:t>
      </w:r>
      <w:r w:rsidRPr="002C4077">
        <w:t xml:space="preserve"> </w:t>
      </w:r>
      <w:r>
        <w:t>à</w:t>
      </w:r>
      <w:r w:rsidRPr="002C4077">
        <w:t xml:space="preserve"> </w:t>
      </w:r>
      <w:r>
        <w:t>dix</w:t>
      </w:r>
      <w:r w:rsidRPr="002C4077">
        <w:t xml:space="preserve"> </w:t>
      </w:r>
      <w:r>
        <w:t>ans,</w:t>
      </w:r>
      <w:r w:rsidRPr="002C4077">
        <w:t xml:space="preserve"> </w:t>
      </w:r>
      <w:r>
        <w:t>au</w:t>
      </w:r>
      <w:r w:rsidRPr="002C4077">
        <w:t xml:space="preserve"> </w:t>
      </w:r>
      <w:r>
        <w:t>profil</w:t>
      </w:r>
      <w:r w:rsidRPr="002C4077">
        <w:t xml:space="preserve"> </w:t>
      </w:r>
      <w:r>
        <w:t>oriental,</w:t>
      </w:r>
      <w:r w:rsidRPr="002C4077">
        <w:t xml:space="preserve"> </w:t>
      </w:r>
      <w:r>
        <w:t>qui</w:t>
      </w:r>
      <w:r w:rsidRPr="002C4077">
        <w:t xml:space="preserve"> </w:t>
      </w:r>
      <w:r>
        <w:t>les</w:t>
      </w:r>
      <w:r w:rsidRPr="002C4077">
        <w:t xml:space="preserve"> </w:t>
      </w:r>
      <w:r>
        <w:t>observait</w:t>
      </w:r>
      <w:r w:rsidRPr="002C4077">
        <w:t xml:space="preserve"> </w:t>
      </w:r>
      <w:r>
        <w:t>attentivement.</w:t>
      </w:r>
      <w:r w:rsidRPr="002C4077">
        <w:t xml:space="preserve"> </w:t>
      </w:r>
      <w:r>
        <w:t>Était-ce</w:t>
      </w:r>
      <w:r w:rsidRPr="002C4077">
        <w:t xml:space="preserve"> </w:t>
      </w:r>
      <w:r>
        <w:t>de</w:t>
      </w:r>
      <w:r w:rsidRPr="002C4077">
        <w:t xml:space="preserve"> </w:t>
      </w:r>
      <w:r>
        <w:t>l’espionnage</w:t>
      </w:r>
      <w:r w:rsidR="00B546AF">
        <w:t> ?</w:t>
      </w:r>
      <w:r w:rsidRPr="002C4077">
        <w:t xml:space="preserve"> </w:t>
      </w:r>
      <w:r>
        <w:t>N’était-ce</w:t>
      </w:r>
      <w:r w:rsidRPr="002C4077">
        <w:t xml:space="preserve"> </w:t>
      </w:r>
      <w:r>
        <w:t>que</w:t>
      </w:r>
      <w:r w:rsidRPr="002C4077">
        <w:t xml:space="preserve"> </w:t>
      </w:r>
      <w:r>
        <w:t>curiosité</w:t>
      </w:r>
      <w:r w:rsidR="00B546AF">
        <w:t> ?</w:t>
      </w:r>
      <w:r w:rsidRPr="002C4077">
        <w:t xml:space="preserve"> </w:t>
      </w:r>
      <w:r>
        <w:t>J’imaginais,</w:t>
      </w:r>
      <w:r w:rsidRPr="002C4077">
        <w:t xml:space="preserve"> </w:t>
      </w:r>
      <w:r>
        <w:t>pour</w:t>
      </w:r>
      <w:r w:rsidRPr="002C4077">
        <w:t xml:space="preserve"> </w:t>
      </w:r>
      <w:r>
        <w:t>ma</w:t>
      </w:r>
      <w:r w:rsidRPr="002C4077">
        <w:t xml:space="preserve"> </w:t>
      </w:r>
      <w:r>
        <w:t>part,</w:t>
      </w:r>
      <w:r w:rsidRPr="002C4077">
        <w:t xml:space="preserve"> </w:t>
      </w:r>
      <w:r>
        <w:t>que</w:t>
      </w:r>
      <w:r w:rsidRPr="002C4077">
        <w:t xml:space="preserve"> </w:t>
      </w:r>
      <w:r>
        <w:t>cette</w:t>
      </w:r>
      <w:r w:rsidRPr="002C4077">
        <w:t xml:space="preserve"> </w:t>
      </w:r>
      <w:r>
        <w:t>petite</w:t>
      </w:r>
      <w:r w:rsidRPr="002C4077">
        <w:t xml:space="preserve"> </w:t>
      </w:r>
      <w:r>
        <w:t>sentinelle</w:t>
      </w:r>
      <w:r w:rsidRPr="002C4077">
        <w:t xml:space="preserve"> </w:t>
      </w:r>
      <w:r>
        <w:t>était</w:t>
      </w:r>
      <w:r w:rsidRPr="002C4077">
        <w:t xml:space="preserve"> </w:t>
      </w:r>
      <w:r>
        <w:t>là</w:t>
      </w:r>
      <w:r w:rsidRPr="002C4077">
        <w:t xml:space="preserve"> </w:t>
      </w:r>
      <w:r>
        <w:t>par</w:t>
      </w:r>
      <w:r w:rsidRPr="002C4077">
        <w:t xml:space="preserve"> </w:t>
      </w:r>
      <w:r>
        <w:t>ordre,</w:t>
      </w:r>
      <w:r w:rsidRPr="002C4077">
        <w:t xml:space="preserve"> </w:t>
      </w:r>
      <w:r>
        <w:t>afin</w:t>
      </w:r>
      <w:r w:rsidRPr="002C4077">
        <w:t xml:space="preserve"> </w:t>
      </w:r>
      <w:r>
        <w:t>d’examiner</w:t>
      </w:r>
      <w:r w:rsidRPr="002C4077">
        <w:t xml:space="preserve"> </w:t>
      </w:r>
      <w:r>
        <w:t>notre</w:t>
      </w:r>
      <w:r w:rsidRPr="002C4077">
        <w:t xml:space="preserve"> </w:t>
      </w:r>
      <w:r>
        <w:t>conduite.</w:t>
      </w:r>
      <w:r w:rsidRPr="002C4077">
        <w:t xml:space="preserve"> </w:t>
      </w:r>
      <w:r>
        <w:t>Mais</w:t>
      </w:r>
      <w:r w:rsidRPr="002C4077">
        <w:t xml:space="preserve"> </w:t>
      </w:r>
      <w:r>
        <w:t>point</w:t>
      </w:r>
      <w:r w:rsidRPr="002C4077">
        <w:t xml:space="preserve"> </w:t>
      </w:r>
      <w:r>
        <w:t>du</w:t>
      </w:r>
      <w:r w:rsidRPr="002C4077">
        <w:t xml:space="preserve"> </w:t>
      </w:r>
      <w:r>
        <w:t>tout</w:t>
      </w:r>
      <w:r w:rsidR="00B546AF">
        <w:t> ;</w:t>
      </w:r>
      <w:r w:rsidRPr="002C4077">
        <w:t xml:space="preserve"> </w:t>
      </w:r>
      <w:r>
        <w:t>à</w:t>
      </w:r>
      <w:r w:rsidRPr="002C4077">
        <w:t xml:space="preserve"> </w:t>
      </w:r>
      <w:r>
        <w:t>l’instant</w:t>
      </w:r>
      <w:r w:rsidRPr="002C4077">
        <w:t xml:space="preserve"> </w:t>
      </w:r>
      <w:r>
        <w:t>même</w:t>
      </w:r>
      <w:r w:rsidRPr="002C4077">
        <w:t xml:space="preserve"> </w:t>
      </w:r>
      <w:r>
        <w:t>où</w:t>
      </w:r>
      <w:r w:rsidRPr="002C4077">
        <w:t xml:space="preserve"> </w:t>
      </w:r>
      <w:r>
        <w:t>je</w:t>
      </w:r>
      <w:r w:rsidRPr="002C4077">
        <w:t xml:space="preserve"> </w:t>
      </w:r>
      <w:r>
        <w:t>formulais</w:t>
      </w:r>
      <w:r w:rsidRPr="002C4077">
        <w:t xml:space="preserve"> </w:t>
      </w:r>
      <w:r>
        <w:t>ce</w:t>
      </w:r>
      <w:r w:rsidRPr="002C4077">
        <w:t xml:space="preserve"> </w:t>
      </w:r>
      <w:r>
        <w:t>jugement,</w:t>
      </w:r>
      <w:r w:rsidRPr="002C4077">
        <w:t xml:space="preserve"> </w:t>
      </w:r>
      <w:r>
        <w:t>—</w:t>
      </w:r>
      <w:r w:rsidRPr="002C4077">
        <w:t xml:space="preserve"> </w:t>
      </w:r>
      <w:r>
        <w:t>du</w:t>
      </w:r>
      <w:r w:rsidRPr="002C4077">
        <w:t xml:space="preserve"> </w:t>
      </w:r>
      <w:r>
        <w:t>reste,</w:t>
      </w:r>
      <w:r w:rsidRPr="002C4077">
        <w:t xml:space="preserve"> </w:t>
      </w:r>
      <w:r>
        <w:t>sans</w:t>
      </w:r>
      <w:r w:rsidRPr="002C4077">
        <w:t xml:space="preserve"> </w:t>
      </w:r>
      <w:r>
        <w:t>m’en</w:t>
      </w:r>
      <w:r w:rsidRPr="002C4077">
        <w:t xml:space="preserve"> </w:t>
      </w:r>
      <w:r>
        <w:t>inquiéter</w:t>
      </w:r>
      <w:r w:rsidRPr="002C4077">
        <w:t xml:space="preserve"> </w:t>
      </w:r>
      <w:r>
        <w:t>le</w:t>
      </w:r>
      <w:r w:rsidRPr="002C4077">
        <w:t xml:space="preserve"> </w:t>
      </w:r>
      <w:r>
        <w:t>moins</w:t>
      </w:r>
      <w:r w:rsidRPr="002C4077">
        <w:t xml:space="preserve"> </w:t>
      </w:r>
      <w:r>
        <w:t>du</w:t>
      </w:r>
      <w:r w:rsidRPr="002C4077">
        <w:t xml:space="preserve"> </w:t>
      </w:r>
      <w:r>
        <w:t>monde,</w:t>
      </w:r>
      <w:r w:rsidRPr="002C4077">
        <w:t xml:space="preserve"> </w:t>
      </w:r>
      <w:r>
        <w:t>—</w:t>
      </w:r>
      <w:r w:rsidRPr="002C4077">
        <w:t xml:space="preserve"> </w:t>
      </w:r>
      <w:r>
        <w:t>une</w:t>
      </w:r>
      <w:r w:rsidRPr="002C4077">
        <w:t xml:space="preserve"> </w:t>
      </w:r>
      <w:r>
        <w:t>stridente</w:t>
      </w:r>
      <w:r w:rsidRPr="002C4077">
        <w:t xml:space="preserve"> </w:t>
      </w:r>
      <w:r>
        <w:t>voix</w:t>
      </w:r>
      <w:r w:rsidRPr="002C4077">
        <w:t xml:space="preserve"> </w:t>
      </w:r>
      <w:r>
        <w:t>de</w:t>
      </w:r>
      <w:r w:rsidRPr="002C4077">
        <w:t xml:space="preserve"> </w:t>
      </w:r>
      <w:r>
        <w:t>femme</w:t>
      </w:r>
      <w:r w:rsidRPr="002C4077">
        <w:t xml:space="preserve"> </w:t>
      </w:r>
      <w:r>
        <w:t>prononça,</w:t>
      </w:r>
      <w:r w:rsidRPr="002C4077">
        <w:t xml:space="preserve"> </w:t>
      </w:r>
      <w:r>
        <w:t>d’un</w:t>
      </w:r>
      <w:r w:rsidRPr="002C4077">
        <w:t xml:space="preserve"> </w:t>
      </w:r>
      <w:r>
        <w:t>ton</w:t>
      </w:r>
      <w:r w:rsidRPr="002C4077">
        <w:t xml:space="preserve"> </w:t>
      </w:r>
      <w:r>
        <w:t>où</w:t>
      </w:r>
      <w:r w:rsidRPr="002C4077">
        <w:t xml:space="preserve"> </w:t>
      </w:r>
      <w:r>
        <w:t>je</w:t>
      </w:r>
      <w:r w:rsidRPr="002C4077">
        <w:t xml:space="preserve"> </w:t>
      </w:r>
      <w:r>
        <w:t>crus</w:t>
      </w:r>
      <w:r w:rsidRPr="002C4077">
        <w:t xml:space="preserve"> </w:t>
      </w:r>
      <w:r>
        <w:t>pouvoir</w:t>
      </w:r>
      <w:r w:rsidRPr="002C4077">
        <w:t xml:space="preserve"> </w:t>
      </w:r>
      <w:r>
        <w:t>distinguer</w:t>
      </w:r>
      <w:r w:rsidRPr="002C4077">
        <w:t xml:space="preserve"> </w:t>
      </w:r>
      <w:r>
        <w:t>un</w:t>
      </w:r>
      <w:r w:rsidRPr="002C4077">
        <w:t xml:space="preserve"> </w:t>
      </w:r>
      <w:r>
        <w:t>mélange</w:t>
      </w:r>
      <w:r w:rsidRPr="002C4077">
        <w:t xml:space="preserve"> </w:t>
      </w:r>
      <w:r>
        <w:t>de</w:t>
      </w:r>
      <w:r w:rsidRPr="002C4077">
        <w:t xml:space="preserve"> </w:t>
      </w:r>
      <w:r>
        <w:t>crainte</w:t>
      </w:r>
      <w:r w:rsidRPr="002C4077">
        <w:t xml:space="preserve"> </w:t>
      </w:r>
      <w:r>
        <w:t>et</w:t>
      </w:r>
      <w:r w:rsidRPr="002C4077">
        <w:t xml:space="preserve"> </w:t>
      </w:r>
      <w:r>
        <w:t>de</w:t>
      </w:r>
      <w:r w:rsidRPr="002C4077">
        <w:t xml:space="preserve"> </w:t>
      </w:r>
      <w:r>
        <w:t>colère,</w:t>
      </w:r>
      <w:r w:rsidRPr="002C4077">
        <w:t xml:space="preserve"> </w:t>
      </w:r>
      <w:r>
        <w:t>ce</w:t>
      </w:r>
      <w:r w:rsidRPr="002C4077">
        <w:t xml:space="preserve"> </w:t>
      </w:r>
      <w:r>
        <w:t>simple</w:t>
      </w:r>
      <w:r w:rsidRPr="002C4077">
        <w:t xml:space="preserve"> </w:t>
      </w:r>
      <w:r>
        <w:t>nom</w:t>
      </w:r>
      <w:r w:rsidR="00B546AF">
        <w:t> :</w:t>
      </w:r>
      <w:r w:rsidRPr="002C4077">
        <w:t xml:space="preserve"> </w:t>
      </w:r>
      <w:r>
        <w:t>Rosa</w:t>
      </w:r>
      <w:r w:rsidR="00B546AF">
        <w:t> !</w:t>
      </w:r>
      <w:r w:rsidRPr="002C4077">
        <w:t xml:space="preserve"> </w:t>
      </w:r>
      <w:r>
        <w:t>Et</w:t>
      </w:r>
      <w:r w:rsidRPr="002C4077">
        <w:t xml:space="preserve"> </w:t>
      </w:r>
      <w:r>
        <w:t>aussitôt</w:t>
      </w:r>
      <w:r w:rsidRPr="002C4077">
        <w:t xml:space="preserve"> </w:t>
      </w:r>
      <w:r>
        <w:t>notre</w:t>
      </w:r>
      <w:r w:rsidRPr="002C4077">
        <w:t xml:space="preserve"> </w:t>
      </w:r>
      <w:r>
        <w:t>petite</w:t>
      </w:r>
      <w:r w:rsidRPr="002C4077">
        <w:t xml:space="preserve"> </w:t>
      </w:r>
      <w:r>
        <w:t>curieuse,</w:t>
      </w:r>
      <w:r w:rsidRPr="002C4077">
        <w:t xml:space="preserve"> </w:t>
      </w:r>
      <w:r>
        <w:t>car</w:t>
      </w:r>
      <w:r w:rsidRPr="002C4077">
        <w:t xml:space="preserve"> </w:t>
      </w:r>
      <w:r>
        <w:t>il</w:t>
      </w:r>
      <w:r w:rsidRPr="002C4077">
        <w:t xml:space="preserve"> </w:t>
      </w:r>
      <w:r>
        <w:t>devenait</w:t>
      </w:r>
      <w:r w:rsidRPr="002C4077">
        <w:t xml:space="preserve"> </w:t>
      </w:r>
      <w:r>
        <w:t>dès</w:t>
      </w:r>
      <w:r w:rsidRPr="002C4077">
        <w:t xml:space="preserve"> </w:t>
      </w:r>
      <w:r>
        <w:t>lors</w:t>
      </w:r>
      <w:r w:rsidRPr="002C4077">
        <w:t xml:space="preserve"> </w:t>
      </w:r>
      <w:r>
        <w:t>évident</w:t>
      </w:r>
      <w:r w:rsidRPr="002C4077">
        <w:t xml:space="preserve"> </w:t>
      </w:r>
      <w:r>
        <w:t>que</w:t>
      </w:r>
      <w:r w:rsidRPr="002C4077">
        <w:t xml:space="preserve"> </w:t>
      </w:r>
      <w:r>
        <w:t>c’était</w:t>
      </w:r>
      <w:r w:rsidRPr="002C4077">
        <w:t xml:space="preserve"> </w:t>
      </w:r>
      <w:r>
        <w:t>seulement</w:t>
      </w:r>
      <w:r w:rsidRPr="002C4077">
        <w:t xml:space="preserve"> </w:t>
      </w:r>
      <w:r>
        <w:t>une</w:t>
      </w:r>
      <w:r w:rsidRPr="002C4077">
        <w:t xml:space="preserve"> </w:t>
      </w:r>
      <w:r>
        <w:t>curieuse,</w:t>
      </w:r>
      <w:r w:rsidRPr="002C4077">
        <w:t xml:space="preserve"> </w:t>
      </w:r>
      <w:r>
        <w:t>de</w:t>
      </w:r>
      <w:r w:rsidRPr="002C4077">
        <w:t xml:space="preserve"> </w:t>
      </w:r>
      <w:r>
        <w:t>rentrer</w:t>
      </w:r>
      <w:r w:rsidRPr="002C4077">
        <w:t xml:space="preserve"> </w:t>
      </w:r>
      <w:r>
        <w:t>en</w:t>
      </w:r>
      <w:r w:rsidRPr="002C4077">
        <w:t xml:space="preserve"> </w:t>
      </w:r>
      <w:r>
        <w:t>courant</w:t>
      </w:r>
      <w:r w:rsidRPr="002C4077">
        <w:t xml:space="preserve"> </w:t>
      </w:r>
      <w:r>
        <w:t>auprès</w:t>
      </w:r>
      <w:r w:rsidRPr="002C4077">
        <w:t xml:space="preserve"> </w:t>
      </w:r>
      <w:r>
        <w:t>de</w:t>
      </w:r>
      <w:r w:rsidRPr="002C4077">
        <w:t xml:space="preserve"> </w:t>
      </w:r>
      <w:r>
        <w:t>sa</w:t>
      </w:r>
      <w:r w:rsidRPr="002C4077">
        <w:t xml:space="preserve"> </w:t>
      </w:r>
      <w:r>
        <w:t>mère.</w:t>
      </w:r>
      <w:r w:rsidRPr="002C4077">
        <w:t xml:space="preserve"> </w:t>
      </w:r>
      <w:r>
        <w:t>Un</w:t>
      </w:r>
      <w:r w:rsidRPr="002C4077">
        <w:t xml:space="preserve"> </w:t>
      </w:r>
      <w:r>
        <w:t>quart</w:t>
      </w:r>
      <w:r w:rsidRPr="002C4077">
        <w:t xml:space="preserve"> </w:t>
      </w:r>
      <w:r>
        <w:t>d’heure</w:t>
      </w:r>
      <w:r w:rsidRPr="002C4077">
        <w:t xml:space="preserve"> </w:t>
      </w:r>
      <w:r>
        <w:t>plus</w:t>
      </w:r>
      <w:r w:rsidRPr="002C4077">
        <w:t xml:space="preserve"> </w:t>
      </w:r>
      <w:r>
        <w:t>tard</w:t>
      </w:r>
      <w:r w:rsidRPr="002C4077">
        <w:t xml:space="preserve"> </w:t>
      </w:r>
      <w:r>
        <w:t>et</w:t>
      </w:r>
      <w:r w:rsidRPr="002C4077">
        <w:t xml:space="preserve"> </w:t>
      </w:r>
      <w:r>
        <w:t>à</w:t>
      </w:r>
      <w:r w:rsidRPr="002C4077">
        <w:t xml:space="preserve"> </w:t>
      </w:r>
      <w:r>
        <w:t>diverses</w:t>
      </w:r>
      <w:r w:rsidRPr="002C4077">
        <w:t xml:space="preserve"> </w:t>
      </w:r>
      <w:r>
        <w:t>reprises</w:t>
      </w:r>
      <w:r w:rsidRPr="002C4077">
        <w:t xml:space="preserve"> </w:t>
      </w:r>
      <w:r>
        <w:t>tant</w:t>
      </w:r>
      <w:r w:rsidRPr="002C4077">
        <w:t xml:space="preserve"> </w:t>
      </w:r>
      <w:r>
        <w:t>que</w:t>
      </w:r>
      <w:r w:rsidRPr="002C4077">
        <w:t xml:space="preserve"> </w:t>
      </w:r>
      <w:r>
        <w:t>dura</w:t>
      </w:r>
      <w:r w:rsidRPr="002C4077">
        <w:t xml:space="preserve"> </w:t>
      </w:r>
      <w:r>
        <w:t>notre</w:t>
      </w:r>
      <w:r w:rsidRPr="002C4077">
        <w:t xml:space="preserve"> </w:t>
      </w:r>
      <w:r>
        <w:t>séjour</w:t>
      </w:r>
      <w:r w:rsidRPr="002C4077">
        <w:t xml:space="preserve"> </w:t>
      </w:r>
      <w:r>
        <w:t>au</w:t>
      </w:r>
      <w:r w:rsidRPr="002C4077">
        <w:t xml:space="preserve"> </w:t>
      </w:r>
      <w:r>
        <w:t>cimetière,</w:t>
      </w:r>
      <w:r w:rsidRPr="002C4077">
        <w:t xml:space="preserve"> </w:t>
      </w:r>
      <w:r>
        <w:t>le</w:t>
      </w:r>
      <w:r w:rsidRPr="002C4077">
        <w:t xml:space="preserve"> </w:t>
      </w:r>
      <w:r>
        <w:t>gardien</w:t>
      </w:r>
      <w:r w:rsidRPr="002C4077">
        <w:t xml:space="preserve"> </w:t>
      </w:r>
      <w:r>
        <w:t>en</w:t>
      </w:r>
      <w:r w:rsidRPr="002C4077">
        <w:t xml:space="preserve"> </w:t>
      </w:r>
      <w:r>
        <w:t>personne</w:t>
      </w:r>
      <w:r w:rsidRPr="002C4077">
        <w:t xml:space="preserve"> </w:t>
      </w:r>
      <w:r>
        <w:t>daigna</w:t>
      </w:r>
      <w:r w:rsidRPr="002C4077">
        <w:t xml:space="preserve"> </w:t>
      </w:r>
      <w:r>
        <w:t>nous</w:t>
      </w:r>
      <w:r w:rsidRPr="002C4077">
        <w:t xml:space="preserve"> </w:t>
      </w:r>
      <w:r>
        <w:t>honorer</w:t>
      </w:r>
      <w:r w:rsidRPr="002C4077">
        <w:t xml:space="preserve"> </w:t>
      </w:r>
      <w:r>
        <w:t>de</w:t>
      </w:r>
      <w:r w:rsidRPr="002C4077">
        <w:t xml:space="preserve"> </w:t>
      </w:r>
      <w:r>
        <w:t>sa</w:t>
      </w:r>
      <w:r w:rsidRPr="002C4077">
        <w:t xml:space="preserve"> </w:t>
      </w:r>
      <w:r>
        <w:t>présence.</w:t>
      </w:r>
      <w:r w:rsidRPr="002C4077">
        <w:t xml:space="preserve"> </w:t>
      </w:r>
      <w:r>
        <w:t>Sans</w:t>
      </w:r>
      <w:r w:rsidRPr="002C4077">
        <w:t xml:space="preserve"> </w:t>
      </w:r>
      <w:r>
        <w:t>mot</w:t>
      </w:r>
      <w:r w:rsidRPr="002C4077">
        <w:t xml:space="preserve"> </w:t>
      </w:r>
      <w:r>
        <w:t>dire,</w:t>
      </w:r>
      <w:r w:rsidRPr="002C4077">
        <w:t xml:space="preserve"> </w:t>
      </w:r>
      <w:r>
        <w:t>il</w:t>
      </w:r>
      <w:r w:rsidRPr="002C4077">
        <w:t xml:space="preserve"> </w:t>
      </w:r>
      <w:r>
        <w:t>passait</w:t>
      </w:r>
      <w:r w:rsidRPr="002C4077">
        <w:t xml:space="preserve"> </w:t>
      </w:r>
      <w:r>
        <w:t>et</w:t>
      </w:r>
      <w:r w:rsidRPr="002C4077">
        <w:t xml:space="preserve"> </w:t>
      </w:r>
      <w:r>
        <w:t>repassait</w:t>
      </w:r>
      <w:r w:rsidRPr="002C4077">
        <w:t xml:space="preserve"> </w:t>
      </w:r>
      <w:r>
        <w:t>auprès</w:t>
      </w:r>
      <w:r w:rsidRPr="002C4077">
        <w:t xml:space="preserve"> </w:t>
      </w:r>
      <w:r>
        <w:t>de</w:t>
      </w:r>
      <w:r w:rsidRPr="002C4077">
        <w:t xml:space="preserve"> </w:t>
      </w:r>
      <w:r>
        <w:t>nous,</w:t>
      </w:r>
      <w:r w:rsidRPr="002C4077">
        <w:t xml:space="preserve"> </w:t>
      </w:r>
      <w:r>
        <w:t>jetant</w:t>
      </w:r>
      <w:r w:rsidRPr="002C4077">
        <w:t xml:space="preserve"> </w:t>
      </w:r>
      <w:r>
        <w:t>sur</w:t>
      </w:r>
      <w:r w:rsidRPr="002C4077">
        <w:t xml:space="preserve"> </w:t>
      </w:r>
      <w:r>
        <w:t>nos</w:t>
      </w:r>
      <w:r w:rsidRPr="002C4077">
        <w:t xml:space="preserve"> </w:t>
      </w:r>
      <w:r>
        <w:t>mains</w:t>
      </w:r>
      <w:r w:rsidRPr="002C4077">
        <w:t xml:space="preserve"> </w:t>
      </w:r>
      <w:r>
        <w:t>des</w:t>
      </w:r>
      <w:r w:rsidRPr="002C4077">
        <w:t xml:space="preserve"> </w:t>
      </w:r>
      <w:r>
        <w:t>regards</w:t>
      </w:r>
      <w:r w:rsidRPr="002C4077">
        <w:t xml:space="preserve"> </w:t>
      </w:r>
      <w:r>
        <w:t>furtifs.</w:t>
      </w:r>
      <w:r w:rsidRPr="002C4077">
        <w:t xml:space="preserve"> </w:t>
      </w:r>
      <w:r>
        <w:t>Pour</w:t>
      </w:r>
      <w:r w:rsidRPr="002C4077">
        <w:t xml:space="preserve"> </w:t>
      </w:r>
      <w:r>
        <w:t>le</w:t>
      </w:r>
      <w:r w:rsidRPr="002C4077">
        <w:t xml:space="preserve"> </w:t>
      </w:r>
      <w:r>
        <w:t>coup,</w:t>
      </w:r>
      <w:r w:rsidRPr="002C4077">
        <w:t xml:space="preserve"> </w:t>
      </w:r>
      <w:r>
        <w:t>c’était</w:t>
      </w:r>
      <w:r w:rsidRPr="002C4077">
        <w:t xml:space="preserve"> </w:t>
      </w:r>
      <w:r>
        <w:t>une</w:t>
      </w:r>
      <w:r w:rsidRPr="002C4077">
        <w:t xml:space="preserve"> </w:t>
      </w:r>
      <w:r>
        <w:t>véritable</w:t>
      </w:r>
      <w:r w:rsidRPr="002C4077">
        <w:t xml:space="preserve"> </w:t>
      </w:r>
      <w:r>
        <w:t>surveillance</w:t>
      </w:r>
      <w:r w:rsidR="00B546AF">
        <w:t> !</w:t>
      </w:r>
      <w:r w:rsidRPr="002C4077">
        <w:t xml:space="preserve"> </w:t>
      </w:r>
      <w:r>
        <w:t>Toutefois,</w:t>
      </w:r>
      <w:r w:rsidRPr="002C4077">
        <w:t xml:space="preserve"> </w:t>
      </w:r>
      <w:r>
        <w:t>quand</w:t>
      </w:r>
      <w:r w:rsidRPr="002C4077">
        <w:t xml:space="preserve"> </w:t>
      </w:r>
      <w:r>
        <w:t>il</w:t>
      </w:r>
      <w:r w:rsidRPr="002C4077">
        <w:t xml:space="preserve"> </w:t>
      </w:r>
      <w:r>
        <w:t>eut</w:t>
      </w:r>
      <w:r w:rsidRPr="002C4077">
        <w:t xml:space="preserve"> </w:t>
      </w:r>
      <w:r>
        <w:t>vu</w:t>
      </w:r>
      <w:r w:rsidRPr="002C4077">
        <w:t xml:space="preserve"> </w:t>
      </w:r>
      <w:r>
        <w:t>que</w:t>
      </w:r>
      <w:r w:rsidRPr="002C4077">
        <w:t xml:space="preserve"> </w:t>
      </w:r>
      <w:r>
        <w:t>nous</w:t>
      </w:r>
      <w:r w:rsidRPr="002C4077">
        <w:t xml:space="preserve"> </w:t>
      </w:r>
      <w:r>
        <w:t>n’étions</w:t>
      </w:r>
      <w:r w:rsidRPr="002C4077">
        <w:t xml:space="preserve"> </w:t>
      </w:r>
      <w:r>
        <w:t>nullement</w:t>
      </w:r>
      <w:r w:rsidRPr="002C4077">
        <w:t xml:space="preserve"> </w:t>
      </w:r>
      <w:r>
        <w:t>des</w:t>
      </w:r>
      <w:r w:rsidRPr="002C4077">
        <w:t xml:space="preserve"> </w:t>
      </w:r>
      <w:r>
        <w:t>profanateurs,</w:t>
      </w:r>
      <w:r w:rsidRPr="002C4077">
        <w:t xml:space="preserve"> </w:t>
      </w:r>
      <w:r>
        <w:t>mais</w:t>
      </w:r>
      <w:r w:rsidRPr="002C4077">
        <w:t xml:space="preserve"> </w:t>
      </w:r>
      <w:r>
        <w:t>des</w:t>
      </w:r>
      <w:r w:rsidRPr="002C4077">
        <w:t xml:space="preserve"> </w:t>
      </w:r>
      <w:r>
        <w:t>hommes</w:t>
      </w:r>
      <w:r w:rsidRPr="002C4077">
        <w:t xml:space="preserve"> </w:t>
      </w:r>
      <w:r>
        <w:t>d’étude,</w:t>
      </w:r>
      <w:r w:rsidRPr="002C4077">
        <w:t xml:space="preserve"> </w:t>
      </w:r>
      <w:r>
        <w:t>et</w:t>
      </w:r>
      <w:r w:rsidRPr="002C4077">
        <w:t xml:space="preserve"> </w:t>
      </w:r>
      <w:r>
        <w:t>que</w:t>
      </w:r>
      <w:r w:rsidRPr="002C4077">
        <w:t xml:space="preserve"> </w:t>
      </w:r>
      <w:r>
        <w:t>nous</w:t>
      </w:r>
      <w:r w:rsidRPr="002C4077">
        <w:t xml:space="preserve"> </w:t>
      </w:r>
      <w:r>
        <w:t>prenions</w:t>
      </w:r>
      <w:r w:rsidRPr="002C4077">
        <w:t xml:space="preserve"> </w:t>
      </w:r>
      <w:r>
        <w:t>un</w:t>
      </w:r>
      <w:r w:rsidRPr="002C4077">
        <w:t xml:space="preserve"> </w:t>
      </w:r>
      <w:r>
        <w:t>vif</w:t>
      </w:r>
      <w:r w:rsidRPr="002C4077">
        <w:t xml:space="preserve"> </w:t>
      </w:r>
      <w:r>
        <w:t>intérêt</w:t>
      </w:r>
      <w:r w:rsidRPr="002C4077">
        <w:t xml:space="preserve"> </w:t>
      </w:r>
      <w:r>
        <w:t>à</w:t>
      </w:r>
      <w:r w:rsidRPr="002C4077">
        <w:t xml:space="preserve"> </w:t>
      </w:r>
      <w:r>
        <w:t>son</w:t>
      </w:r>
      <w:r w:rsidRPr="002C4077">
        <w:t xml:space="preserve"> </w:t>
      </w:r>
      <w:r>
        <w:t>mélancolique</w:t>
      </w:r>
      <w:r w:rsidRPr="002C4077">
        <w:t xml:space="preserve"> </w:t>
      </w:r>
      <w:r>
        <w:t>domaine,</w:t>
      </w:r>
      <w:r w:rsidRPr="002C4077">
        <w:t xml:space="preserve"> </w:t>
      </w:r>
      <w:r>
        <w:t>il</w:t>
      </w:r>
      <w:r w:rsidRPr="002C4077">
        <w:t xml:space="preserve"> </w:t>
      </w:r>
      <w:r>
        <w:t>cessa</w:t>
      </w:r>
      <w:r w:rsidRPr="002C4077">
        <w:t xml:space="preserve"> </w:t>
      </w:r>
      <w:r>
        <w:t>de</w:t>
      </w:r>
      <w:r w:rsidRPr="002C4077">
        <w:t xml:space="preserve"> </w:t>
      </w:r>
      <w:r>
        <w:t>nous</w:t>
      </w:r>
      <w:r w:rsidRPr="002C4077">
        <w:t xml:space="preserve"> </w:t>
      </w:r>
      <w:r>
        <w:t>observer,</w:t>
      </w:r>
      <w:r w:rsidRPr="002C4077">
        <w:t xml:space="preserve"> </w:t>
      </w:r>
      <w:r>
        <w:t>s’empara</w:t>
      </w:r>
      <w:r w:rsidRPr="002C4077">
        <w:t xml:space="preserve"> </w:t>
      </w:r>
      <w:r>
        <w:t>bravement</w:t>
      </w:r>
      <w:r w:rsidRPr="002C4077">
        <w:t xml:space="preserve"> </w:t>
      </w:r>
      <w:r>
        <w:t>de</w:t>
      </w:r>
      <w:r w:rsidRPr="002C4077">
        <w:t xml:space="preserve"> </w:t>
      </w:r>
      <w:r>
        <w:t>deux</w:t>
      </w:r>
      <w:r w:rsidRPr="002C4077">
        <w:t xml:space="preserve"> </w:t>
      </w:r>
      <w:r>
        <w:t>arrosoirs,</w:t>
      </w:r>
      <w:r w:rsidRPr="002C4077">
        <w:t xml:space="preserve"> </w:t>
      </w:r>
      <w:r>
        <w:t>et</w:t>
      </w:r>
      <w:r w:rsidRPr="002C4077">
        <w:t xml:space="preserve"> </w:t>
      </w:r>
      <w:r>
        <w:t>se</w:t>
      </w:r>
      <w:r w:rsidRPr="002C4077">
        <w:t xml:space="preserve"> </w:t>
      </w:r>
      <w:r>
        <w:t>mit</w:t>
      </w:r>
      <w:r w:rsidRPr="002C4077">
        <w:t xml:space="preserve"> </w:t>
      </w:r>
      <w:r>
        <w:t>à</w:t>
      </w:r>
      <w:r w:rsidRPr="002C4077">
        <w:t xml:space="preserve"> </w:t>
      </w:r>
      <w:r>
        <w:t>rafraîchir</w:t>
      </w:r>
      <w:r w:rsidRPr="002C4077">
        <w:t xml:space="preserve"> </w:t>
      </w:r>
      <w:r>
        <w:t>quelques</w:t>
      </w:r>
      <w:r w:rsidRPr="002C4077">
        <w:t xml:space="preserve"> </w:t>
      </w:r>
      <w:r>
        <w:t>fleurs</w:t>
      </w:r>
      <w:r w:rsidRPr="002C4077">
        <w:t xml:space="preserve"> </w:t>
      </w:r>
      <w:r>
        <w:t>plantées</w:t>
      </w:r>
      <w:r w:rsidRPr="002C4077">
        <w:t xml:space="preserve"> </w:t>
      </w:r>
      <w:r>
        <w:t>auprès</w:t>
      </w:r>
      <w:r w:rsidRPr="002C4077">
        <w:t xml:space="preserve"> </w:t>
      </w:r>
      <w:r>
        <w:t>des</w:t>
      </w:r>
      <w:r w:rsidRPr="002C4077">
        <w:t xml:space="preserve"> </w:t>
      </w:r>
      <w:r>
        <w:t>tombes</w:t>
      </w:r>
      <w:r w:rsidRPr="002C4077">
        <w:t xml:space="preserve"> </w:t>
      </w:r>
      <w:r>
        <w:t>les</w:t>
      </w:r>
      <w:r w:rsidRPr="002C4077">
        <w:t xml:space="preserve"> </w:t>
      </w:r>
      <w:r>
        <w:t>plus</w:t>
      </w:r>
      <w:r w:rsidRPr="002C4077">
        <w:t xml:space="preserve"> </w:t>
      </w:r>
      <w:r>
        <w:t>récentes.</w:t>
      </w:r>
      <w:r w:rsidR="00C45B47">
        <w:t xml:space="preserve"> {</w:t>
      </w:r>
      <w:r w:rsidR="005E2129">
        <w:t>285</w:t>
      </w:r>
      <w:bookmarkStart w:id="696" w:name="p285"/>
      <w:bookmarkEnd w:id="696"/>
      <w:r w:rsidR="005E2129">
        <w:t xml:space="preserve">} </w:t>
      </w:r>
    </w:p>
    <w:p w:rsidR="000A7AAB" w:rsidRDefault="000A7AAB" w:rsidP="000A7AAB">
      <w:r>
        <w:t>Ce</w:t>
      </w:r>
      <w:r w:rsidRPr="002C4077">
        <w:t xml:space="preserve"> </w:t>
      </w:r>
      <w:r>
        <w:t>fut</w:t>
      </w:r>
      <w:r w:rsidRPr="002C4077">
        <w:t xml:space="preserve"> </w:t>
      </w:r>
      <w:r>
        <w:t>notre</w:t>
      </w:r>
      <w:r w:rsidRPr="002C4077">
        <w:t xml:space="preserve"> </w:t>
      </w:r>
      <w:r>
        <w:t>tour</w:t>
      </w:r>
      <w:r w:rsidRPr="002C4077">
        <w:t xml:space="preserve"> </w:t>
      </w:r>
      <w:r>
        <w:t>d’être</w:t>
      </w:r>
      <w:r w:rsidRPr="002C4077">
        <w:t xml:space="preserve"> </w:t>
      </w:r>
      <w:r>
        <w:t>surpris.</w:t>
      </w:r>
      <w:r w:rsidRPr="002C4077">
        <w:t xml:space="preserve"> </w:t>
      </w:r>
      <w:r>
        <w:t>Comment</w:t>
      </w:r>
      <w:r w:rsidR="00B546AF">
        <w:t> !</w:t>
      </w:r>
      <w:r w:rsidRPr="002C4077">
        <w:t xml:space="preserve"> </w:t>
      </w:r>
      <w:r>
        <w:t>Arroser</w:t>
      </w:r>
      <w:r w:rsidRPr="002C4077">
        <w:t xml:space="preserve"> </w:t>
      </w:r>
      <w:r>
        <w:t>en</w:t>
      </w:r>
      <w:r w:rsidRPr="002C4077">
        <w:t xml:space="preserve"> </w:t>
      </w:r>
      <w:r>
        <w:t>un</w:t>
      </w:r>
      <w:r w:rsidRPr="002C4077">
        <w:t xml:space="preserve"> </w:t>
      </w:r>
      <w:r>
        <w:t>jour</w:t>
      </w:r>
      <w:r w:rsidRPr="002C4077">
        <w:t xml:space="preserve"> </w:t>
      </w:r>
      <w:r>
        <w:t>de</w:t>
      </w:r>
      <w:r w:rsidRPr="002C4077">
        <w:t xml:space="preserve"> </w:t>
      </w:r>
      <w:r>
        <w:t>sabbat</w:t>
      </w:r>
      <w:r w:rsidRPr="002C4077">
        <w:t xml:space="preserve"> </w:t>
      </w:r>
      <w:r>
        <w:t>et</w:t>
      </w:r>
      <w:r w:rsidRPr="002C4077">
        <w:t xml:space="preserve"> </w:t>
      </w:r>
      <w:r>
        <w:t>de</w:t>
      </w:r>
      <w:r w:rsidRPr="002C4077">
        <w:t xml:space="preserve"> </w:t>
      </w:r>
      <w:r w:rsidR="000F4CEC" w:rsidRPr="000A34B5">
        <w:rPr>
          <w:rStyle w:val="italicus"/>
        </w:rPr>
        <w:t>rôsch</w:t>
      </w:r>
      <w:r w:rsidRPr="002C4077">
        <w:t xml:space="preserve"> </w:t>
      </w:r>
      <w:r w:rsidRPr="000A34B5">
        <w:rPr>
          <w:rStyle w:val="italicus"/>
        </w:rPr>
        <w:t>haschonnah</w:t>
      </w:r>
      <w:r w:rsidR="000F4CEC">
        <w:rPr>
          <w:rStyle w:val="Appelnotedebasdep"/>
          <w:i/>
        </w:rPr>
        <w:footnoteReference w:id="863"/>
      </w:r>
      <w:r w:rsidR="00B546AF">
        <w:rPr>
          <w:rStyle w:val="italicus"/>
        </w:rPr>
        <w:t> </w:t>
      </w:r>
      <w:r w:rsidR="00B546AF" w:rsidRPr="000A34B5">
        <w:rPr>
          <w:rStyle w:val="italicus"/>
        </w:rPr>
        <w:t>!</w:t>
      </w:r>
      <w:r w:rsidRPr="002C4077">
        <w:t xml:space="preserve"> </w:t>
      </w:r>
      <w:r>
        <w:t>Fort</w:t>
      </w:r>
      <w:r w:rsidRPr="002C4077">
        <w:t xml:space="preserve"> </w:t>
      </w:r>
      <w:r>
        <w:t>à</w:t>
      </w:r>
      <w:r w:rsidRPr="002C4077">
        <w:t xml:space="preserve"> </w:t>
      </w:r>
      <w:r>
        <w:t>propos,</w:t>
      </w:r>
      <w:r w:rsidRPr="002C4077">
        <w:t xml:space="preserve"> </w:t>
      </w:r>
      <w:r>
        <w:t>le</w:t>
      </w:r>
      <w:r w:rsidRPr="002C4077">
        <w:t xml:space="preserve"> </w:t>
      </w:r>
      <w:r>
        <w:t>proverbe</w:t>
      </w:r>
      <w:r w:rsidRPr="002C4077">
        <w:t xml:space="preserve"> </w:t>
      </w:r>
      <w:r>
        <w:t>talmudique</w:t>
      </w:r>
      <w:r w:rsidRPr="002C4077">
        <w:t xml:space="preserve"> </w:t>
      </w:r>
      <w:r w:rsidR="00B546AF">
        <w:t>« </w:t>
      </w:r>
      <w:r>
        <w:t>Pire</w:t>
      </w:r>
      <w:r w:rsidRPr="002C4077">
        <w:t xml:space="preserve"> </w:t>
      </w:r>
      <w:r>
        <w:t>qu’un</w:t>
      </w:r>
      <w:r w:rsidRPr="002C4077">
        <w:t xml:space="preserve"> </w:t>
      </w:r>
      <w:r>
        <w:t>fossoyeur</w:t>
      </w:r>
      <w:r w:rsidR="00B546AF">
        <w:t> »</w:t>
      </w:r>
      <w:r w:rsidRPr="002C4077">
        <w:t xml:space="preserve"> </w:t>
      </w:r>
      <w:r>
        <w:t>me</w:t>
      </w:r>
      <w:r w:rsidRPr="002C4077">
        <w:t xml:space="preserve"> </w:t>
      </w:r>
      <w:r>
        <w:t>revint</w:t>
      </w:r>
      <w:r w:rsidRPr="002C4077">
        <w:t xml:space="preserve"> </w:t>
      </w:r>
      <w:r>
        <w:t>à</w:t>
      </w:r>
      <w:r w:rsidRPr="002C4077">
        <w:t xml:space="preserve"> </w:t>
      </w:r>
      <w:r>
        <w:t>l’esprit</w:t>
      </w:r>
      <w:r w:rsidR="00B546AF">
        <w:t> ;</w:t>
      </w:r>
      <w:r w:rsidRPr="002C4077">
        <w:t xml:space="preserve"> </w:t>
      </w:r>
      <w:r>
        <w:t>ce</w:t>
      </w:r>
      <w:r w:rsidRPr="002C4077">
        <w:t xml:space="preserve"> </w:t>
      </w:r>
      <w:r>
        <w:t>qui</w:t>
      </w:r>
      <w:r w:rsidRPr="002C4077">
        <w:t xml:space="preserve"> </w:t>
      </w:r>
      <w:r>
        <w:t>mit</w:t>
      </w:r>
      <w:r w:rsidRPr="002C4077">
        <w:t xml:space="preserve"> </w:t>
      </w:r>
      <w:r>
        <w:t>fin</w:t>
      </w:r>
      <w:r w:rsidRPr="002C4077">
        <w:t xml:space="preserve"> </w:t>
      </w:r>
      <w:r>
        <w:t>à</w:t>
      </w:r>
      <w:r w:rsidRPr="002C4077">
        <w:t xml:space="preserve"> </w:t>
      </w:r>
      <w:r>
        <w:t>mon</w:t>
      </w:r>
      <w:r w:rsidRPr="002C4077">
        <w:t xml:space="preserve"> </w:t>
      </w:r>
      <w:r>
        <w:t>étonnement.</w:t>
      </w:r>
      <w:r w:rsidRPr="002C4077">
        <w:t xml:space="preserve"> </w:t>
      </w:r>
      <w:r>
        <w:t>Pire</w:t>
      </w:r>
      <w:r w:rsidRPr="002C4077">
        <w:t xml:space="preserve"> </w:t>
      </w:r>
      <w:r>
        <w:t>qu’un</w:t>
      </w:r>
      <w:r w:rsidRPr="002C4077">
        <w:t xml:space="preserve"> </w:t>
      </w:r>
      <w:r>
        <w:t>fossoyeur</w:t>
      </w:r>
      <w:r w:rsidR="00B546AF">
        <w:t> !</w:t>
      </w:r>
      <w:r w:rsidRPr="002C4077">
        <w:t xml:space="preserve"> </w:t>
      </w:r>
      <w:r>
        <w:t>Le</w:t>
      </w:r>
      <w:r w:rsidRPr="002C4077">
        <w:t xml:space="preserve"> </w:t>
      </w:r>
      <w:r>
        <w:t>nôtre,</w:t>
      </w:r>
      <w:r w:rsidRPr="002C4077">
        <w:t xml:space="preserve"> </w:t>
      </w:r>
      <w:r>
        <w:t>avec</w:t>
      </w:r>
      <w:r w:rsidRPr="002C4077">
        <w:t xml:space="preserve"> </w:t>
      </w:r>
      <w:r>
        <w:t>son</w:t>
      </w:r>
      <w:r w:rsidRPr="002C4077">
        <w:t xml:space="preserve"> </w:t>
      </w:r>
      <w:r>
        <w:t>nez</w:t>
      </w:r>
      <w:r w:rsidRPr="002C4077">
        <w:t xml:space="preserve"> </w:t>
      </w:r>
      <w:r>
        <w:t>crochu,</w:t>
      </w:r>
      <w:r w:rsidRPr="002C4077">
        <w:t xml:space="preserve"> </w:t>
      </w:r>
      <w:r>
        <w:t>ses</w:t>
      </w:r>
      <w:r w:rsidRPr="002C4077">
        <w:t xml:space="preserve"> </w:t>
      </w:r>
      <w:r>
        <w:t>yeux</w:t>
      </w:r>
      <w:r w:rsidRPr="002C4077">
        <w:t xml:space="preserve"> </w:t>
      </w:r>
      <w:r>
        <w:t>gris,</w:t>
      </w:r>
      <w:r w:rsidRPr="002C4077">
        <w:t xml:space="preserve"> </w:t>
      </w:r>
      <w:r>
        <w:t>sa</w:t>
      </w:r>
      <w:r w:rsidRPr="002C4077">
        <w:t xml:space="preserve"> </w:t>
      </w:r>
      <w:r>
        <w:t>barbe</w:t>
      </w:r>
      <w:r w:rsidRPr="002C4077">
        <w:t xml:space="preserve"> </w:t>
      </w:r>
      <w:r>
        <w:t>mal</w:t>
      </w:r>
      <w:r w:rsidRPr="002C4077">
        <w:t xml:space="preserve"> </w:t>
      </w:r>
      <w:r>
        <w:t>soignée,</w:t>
      </w:r>
      <w:r w:rsidRPr="002C4077">
        <w:t xml:space="preserve"> </w:t>
      </w:r>
      <w:r>
        <w:t>m’eût</w:t>
      </w:r>
      <w:r w:rsidRPr="002C4077">
        <w:t xml:space="preserve"> </w:t>
      </w:r>
      <w:r>
        <w:t>réellement</w:t>
      </w:r>
      <w:r w:rsidRPr="002C4077">
        <w:t xml:space="preserve"> </w:t>
      </w:r>
      <w:r>
        <w:t>effrayé</w:t>
      </w:r>
      <w:r w:rsidRPr="002C4077">
        <w:t xml:space="preserve"> </w:t>
      </w:r>
      <w:r>
        <w:t>si</w:t>
      </w:r>
      <w:r w:rsidRPr="002C4077">
        <w:t xml:space="preserve"> </w:t>
      </w:r>
      <w:r>
        <w:t>je</w:t>
      </w:r>
      <w:r w:rsidRPr="002C4077">
        <w:t xml:space="preserve"> </w:t>
      </w:r>
      <w:r>
        <w:t>l’eusse</w:t>
      </w:r>
      <w:r w:rsidRPr="002C4077">
        <w:t xml:space="preserve"> </w:t>
      </w:r>
      <w:r>
        <w:t>rencontré</w:t>
      </w:r>
      <w:r w:rsidRPr="002C4077">
        <w:t xml:space="preserve"> </w:t>
      </w:r>
      <w:r>
        <w:t>le</w:t>
      </w:r>
      <w:r w:rsidRPr="002C4077">
        <w:t xml:space="preserve"> </w:t>
      </w:r>
      <w:r>
        <w:t>soir</w:t>
      </w:r>
      <w:r w:rsidRPr="002C4077">
        <w:t xml:space="preserve"> </w:t>
      </w:r>
      <w:r>
        <w:t>aux</w:t>
      </w:r>
      <w:r w:rsidRPr="002C4077">
        <w:t xml:space="preserve"> </w:t>
      </w:r>
      <w:r>
        <w:t>environs</w:t>
      </w:r>
      <w:r w:rsidRPr="002C4077">
        <w:t xml:space="preserve"> </w:t>
      </w:r>
      <w:r>
        <w:t>du</w:t>
      </w:r>
      <w:r w:rsidRPr="002C4077">
        <w:t xml:space="preserve"> </w:t>
      </w:r>
      <w:r>
        <w:t>cimetière,</w:t>
      </w:r>
      <w:r w:rsidRPr="002C4077">
        <w:t xml:space="preserve"> </w:t>
      </w:r>
      <w:r>
        <w:t>quoique</w:t>
      </w:r>
      <w:r w:rsidRPr="002C4077">
        <w:t xml:space="preserve"> </w:t>
      </w:r>
      <w:r>
        <w:t>ce</w:t>
      </w:r>
      <w:r w:rsidRPr="002C4077">
        <w:t xml:space="preserve"> </w:t>
      </w:r>
      <w:r>
        <w:t>fût</w:t>
      </w:r>
      <w:r w:rsidRPr="002C4077">
        <w:t xml:space="preserve"> </w:t>
      </w:r>
      <w:r>
        <w:t>au</w:t>
      </w:r>
      <w:r w:rsidRPr="002C4077">
        <w:t xml:space="preserve"> </w:t>
      </w:r>
      <w:r>
        <w:t>demeurant</w:t>
      </w:r>
      <w:r w:rsidRPr="002C4077">
        <w:t xml:space="preserve"> </w:t>
      </w:r>
      <w:r>
        <w:t>l’homme</w:t>
      </w:r>
      <w:r w:rsidRPr="002C4077">
        <w:t xml:space="preserve"> </w:t>
      </w:r>
      <w:r>
        <w:t>le</w:t>
      </w:r>
      <w:r w:rsidRPr="002C4077">
        <w:t xml:space="preserve"> </w:t>
      </w:r>
      <w:r>
        <w:t>plus</w:t>
      </w:r>
      <w:r w:rsidRPr="002C4077">
        <w:t xml:space="preserve"> </w:t>
      </w:r>
      <w:r>
        <w:t>pacifique.</w:t>
      </w:r>
      <w:r w:rsidRPr="002C4077">
        <w:t xml:space="preserve"> </w:t>
      </w:r>
    </w:p>
    <w:p w:rsidR="00F042F3" w:rsidRDefault="00F042F3" w:rsidP="000A7AAB"/>
    <w:p w:rsidR="000A7AAB" w:rsidRDefault="000A7AAB" w:rsidP="000A7AAB">
      <w:r>
        <w:t>Très</w:t>
      </w:r>
      <w:r w:rsidRPr="002C4077">
        <w:t xml:space="preserve"> </w:t>
      </w:r>
      <w:r>
        <w:t>peu</w:t>
      </w:r>
      <w:r w:rsidRPr="002C4077">
        <w:t xml:space="preserve"> </w:t>
      </w:r>
      <w:r>
        <w:t>de</w:t>
      </w:r>
      <w:r w:rsidRPr="002C4077">
        <w:t xml:space="preserve"> </w:t>
      </w:r>
      <w:r>
        <w:t>nos</w:t>
      </w:r>
      <w:r w:rsidRPr="002C4077">
        <w:t xml:space="preserve"> </w:t>
      </w:r>
      <w:r>
        <w:t>lecteurs,</w:t>
      </w:r>
      <w:r w:rsidRPr="002C4077">
        <w:t xml:space="preserve"> </w:t>
      </w:r>
      <w:r>
        <w:t>apparemment,</w:t>
      </w:r>
      <w:r w:rsidRPr="002C4077">
        <w:t xml:space="preserve"> </w:t>
      </w:r>
      <w:r>
        <w:t>ont</w:t>
      </w:r>
      <w:r w:rsidRPr="002C4077">
        <w:t xml:space="preserve"> </w:t>
      </w:r>
      <w:r>
        <w:t>eu</w:t>
      </w:r>
      <w:r w:rsidRPr="002C4077">
        <w:t xml:space="preserve"> </w:t>
      </w:r>
      <w:r>
        <w:t>l’occasion</w:t>
      </w:r>
      <w:r w:rsidRPr="002C4077">
        <w:t xml:space="preserve"> </w:t>
      </w:r>
      <w:r>
        <w:t>de</w:t>
      </w:r>
      <w:r w:rsidRPr="002C4077">
        <w:t xml:space="preserve"> </w:t>
      </w:r>
      <w:r>
        <w:t>pénétrer</w:t>
      </w:r>
      <w:r w:rsidRPr="002C4077">
        <w:t xml:space="preserve"> </w:t>
      </w:r>
      <w:r>
        <w:t>dans</w:t>
      </w:r>
      <w:r w:rsidRPr="002C4077">
        <w:t xml:space="preserve"> </w:t>
      </w:r>
      <w:r>
        <w:t>un</w:t>
      </w:r>
      <w:r w:rsidRPr="002C4077">
        <w:t xml:space="preserve"> </w:t>
      </w:r>
      <w:r>
        <w:t>cimetière</w:t>
      </w:r>
      <w:r w:rsidRPr="002C4077">
        <w:t xml:space="preserve"> </w:t>
      </w:r>
      <w:r>
        <w:t>israélite.</w:t>
      </w:r>
      <w:r w:rsidRPr="002C4077">
        <w:t xml:space="preserve"> </w:t>
      </w:r>
      <w:r>
        <w:t>À</w:t>
      </w:r>
      <w:r w:rsidRPr="002C4077">
        <w:t xml:space="preserve"> </w:t>
      </w:r>
      <w:r>
        <w:t>un</w:t>
      </w:r>
      <w:r w:rsidRPr="002C4077">
        <w:t xml:space="preserve"> </w:t>
      </w:r>
      <w:r>
        <w:t>plus</w:t>
      </w:r>
      <w:r w:rsidRPr="002C4077">
        <w:t xml:space="preserve"> </w:t>
      </w:r>
      <w:r>
        <w:t>petit</w:t>
      </w:r>
      <w:r w:rsidRPr="002C4077">
        <w:t xml:space="preserve"> </w:t>
      </w:r>
      <w:r>
        <w:t>nombre</w:t>
      </w:r>
      <w:r w:rsidRPr="002C4077">
        <w:t xml:space="preserve"> </w:t>
      </w:r>
      <w:r>
        <w:t>encore</w:t>
      </w:r>
      <w:r w:rsidRPr="002C4077">
        <w:t xml:space="preserve"> </w:t>
      </w:r>
      <w:r>
        <w:t>il</w:t>
      </w:r>
      <w:r w:rsidRPr="002C4077">
        <w:t xml:space="preserve"> </w:t>
      </w:r>
      <w:r>
        <w:t>a</w:t>
      </w:r>
      <w:r w:rsidRPr="002C4077">
        <w:t xml:space="preserve"> </w:t>
      </w:r>
      <w:r>
        <w:t>été</w:t>
      </w:r>
      <w:r w:rsidRPr="002C4077">
        <w:t xml:space="preserve"> </w:t>
      </w:r>
      <w:r>
        <w:t>donné</w:t>
      </w:r>
      <w:r w:rsidRPr="002C4077">
        <w:t xml:space="preserve"> </w:t>
      </w:r>
      <w:r>
        <w:t>de</w:t>
      </w:r>
      <w:r w:rsidRPr="002C4077">
        <w:t xml:space="preserve"> </w:t>
      </w:r>
      <w:r>
        <w:t>comprendre</w:t>
      </w:r>
      <w:r w:rsidRPr="002C4077">
        <w:t xml:space="preserve"> </w:t>
      </w:r>
      <w:r>
        <w:t>les</w:t>
      </w:r>
      <w:r w:rsidRPr="002C4077">
        <w:t xml:space="preserve"> </w:t>
      </w:r>
      <w:r>
        <w:t>inscriptions</w:t>
      </w:r>
      <w:r w:rsidRPr="002C4077">
        <w:t xml:space="preserve"> </w:t>
      </w:r>
      <w:r>
        <w:t>hébraïques</w:t>
      </w:r>
      <w:r w:rsidRPr="002C4077">
        <w:t xml:space="preserve"> </w:t>
      </w:r>
      <w:r>
        <w:t>gravées</w:t>
      </w:r>
      <w:r w:rsidRPr="002C4077">
        <w:t xml:space="preserve"> </w:t>
      </w:r>
      <w:r>
        <w:t>sur</w:t>
      </w:r>
      <w:r w:rsidRPr="002C4077">
        <w:t xml:space="preserve"> </w:t>
      </w:r>
      <w:r>
        <w:t>les</w:t>
      </w:r>
      <w:r w:rsidRPr="002C4077">
        <w:t xml:space="preserve"> </w:t>
      </w:r>
      <w:r>
        <w:t>pierres</w:t>
      </w:r>
      <w:r w:rsidRPr="002C4077">
        <w:t xml:space="preserve"> </w:t>
      </w:r>
      <w:r>
        <w:t>sépulcrales,</w:t>
      </w:r>
      <w:r w:rsidRPr="002C4077">
        <w:t xml:space="preserve"> </w:t>
      </w:r>
      <w:r>
        <w:t>de</w:t>
      </w:r>
      <w:r w:rsidRPr="002C4077">
        <w:t xml:space="preserve"> </w:t>
      </w:r>
      <w:r>
        <w:t>connaître</w:t>
      </w:r>
      <w:r w:rsidRPr="002C4077">
        <w:t xml:space="preserve"> </w:t>
      </w:r>
      <w:r>
        <w:t>les</w:t>
      </w:r>
      <w:r w:rsidRPr="002C4077">
        <w:t xml:space="preserve"> </w:t>
      </w:r>
      <w:r>
        <w:t>usages</w:t>
      </w:r>
      <w:r w:rsidRPr="002C4077">
        <w:t xml:space="preserve"> </w:t>
      </w:r>
      <w:r>
        <w:t>spéciaux</w:t>
      </w:r>
      <w:r w:rsidRPr="002C4077">
        <w:t xml:space="preserve"> </w:t>
      </w:r>
      <w:r>
        <w:t>qui</w:t>
      </w:r>
      <w:r w:rsidRPr="002C4077">
        <w:t xml:space="preserve"> </w:t>
      </w:r>
      <w:r>
        <w:t>se</w:t>
      </w:r>
      <w:r w:rsidRPr="002C4077">
        <w:t xml:space="preserve"> </w:t>
      </w:r>
      <w:r>
        <w:t>rattachent</w:t>
      </w:r>
      <w:r w:rsidRPr="002C4077">
        <w:t xml:space="preserve"> </w:t>
      </w:r>
      <w:r>
        <w:t>au</w:t>
      </w:r>
      <w:r w:rsidRPr="002C4077">
        <w:t xml:space="preserve"> </w:t>
      </w:r>
      <w:r>
        <w:t>champ</w:t>
      </w:r>
      <w:r w:rsidRPr="002C4077">
        <w:t xml:space="preserve"> </w:t>
      </w:r>
      <w:r>
        <w:t>des</w:t>
      </w:r>
      <w:r w:rsidRPr="002C4077">
        <w:t xml:space="preserve"> </w:t>
      </w:r>
      <w:r>
        <w:t>morts</w:t>
      </w:r>
      <w:r w:rsidRPr="002C4077">
        <w:t xml:space="preserve"> </w:t>
      </w:r>
      <w:r>
        <w:t>dans</w:t>
      </w:r>
      <w:r w:rsidRPr="002C4077">
        <w:t xml:space="preserve"> </w:t>
      </w:r>
      <w:r>
        <w:t>le</w:t>
      </w:r>
      <w:r w:rsidRPr="002C4077">
        <w:t xml:space="preserve"> </w:t>
      </w:r>
      <w:r>
        <w:t>culte</w:t>
      </w:r>
      <w:r w:rsidRPr="002C4077">
        <w:t xml:space="preserve"> </w:t>
      </w:r>
      <w:r>
        <w:t>juif.</w:t>
      </w:r>
      <w:r w:rsidRPr="002C4077">
        <w:t xml:space="preserve"> </w:t>
      </w:r>
      <w:r>
        <w:t>Nous</w:t>
      </w:r>
      <w:r w:rsidRPr="002C4077">
        <w:t xml:space="preserve"> </w:t>
      </w:r>
      <w:r>
        <w:t>espérons</w:t>
      </w:r>
      <w:r w:rsidRPr="002C4077">
        <w:t xml:space="preserve"> </w:t>
      </w:r>
      <w:r>
        <w:t>donc</w:t>
      </w:r>
      <w:r w:rsidRPr="002C4077">
        <w:t xml:space="preserve"> </w:t>
      </w:r>
      <w:r>
        <w:t>ne</w:t>
      </w:r>
      <w:r w:rsidRPr="002C4077">
        <w:t xml:space="preserve"> </w:t>
      </w:r>
      <w:r>
        <w:t>nous</w:t>
      </w:r>
      <w:r w:rsidRPr="002C4077">
        <w:t xml:space="preserve"> </w:t>
      </w:r>
      <w:r>
        <w:t>être</w:t>
      </w:r>
      <w:r w:rsidRPr="002C4077">
        <w:t xml:space="preserve"> </w:t>
      </w:r>
      <w:r>
        <w:t>pas</w:t>
      </w:r>
      <w:r w:rsidRPr="002C4077">
        <w:t xml:space="preserve"> </w:t>
      </w:r>
      <w:r>
        <w:t>trompé</w:t>
      </w:r>
      <w:r w:rsidRPr="002C4077">
        <w:t xml:space="preserve"> </w:t>
      </w:r>
      <w:r>
        <w:t>en</w:t>
      </w:r>
      <w:r w:rsidRPr="002C4077">
        <w:t xml:space="preserve"> </w:t>
      </w:r>
      <w:r>
        <w:t>supposant</w:t>
      </w:r>
      <w:r w:rsidRPr="002C4077">
        <w:t xml:space="preserve"> </w:t>
      </w:r>
      <w:r>
        <w:t>qu’on</w:t>
      </w:r>
      <w:r w:rsidRPr="002C4077">
        <w:t xml:space="preserve"> </w:t>
      </w:r>
      <w:r>
        <w:t>ne</w:t>
      </w:r>
      <w:r w:rsidRPr="002C4077">
        <w:t xml:space="preserve"> </w:t>
      </w:r>
      <w:r>
        <w:t>lirait</w:t>
      </w:r>
      <w:r w:rsidRPr="002C4077">
        <w:t xml:space="preserve"> </w:t>
      </w:r>
      <w:r>
        <w:t>point</w:t>
      </w:r>
      <w:r w:rsidRPr="002C4077">
        <w:t xml:space="preserve"> </w:t>
      </w:r>
      <w:r>
        <w:t>sans</w:t>
      </w:r>
      <w:r w:rsidRPr="002C4077">
        <w:t xml:space="preserve"> </w:t>
      </w:r>
      <w:r>
        <w:t>quelque</w:t>
      </w:r>
      <w:r w:rsidRPr="002C4077">
        <w:t xml:space="preserve"> </w:t>
      </w:r>
      <w:r>
        <w:t>attrait</w:t>
      </w:r>
      <w:r w:rsidRPr="002C4077">
        <w:t xml:space="preserve"> </w:t>
      </w:r>
      <w:r>
        <w:t>les</w:t>
      </w:r>
      <w:r w:rsidRPr="002C4077">
        <w:t xml:space="preserve"> </w:t>
      </w:r>
      <w:r>
        <w:t>renseignements</w:t>
      </w:r>
      <w:r w:rsidRPr="002C4077">
        <w:t xml:space="preserve"> </w:t>
      </w:r>
      <w:r>
        <w:t>que</w:t>
      </w:r>
      <w:r w:rsidRPr="002C4077">
        <w:t xml:space="preserve"> </w:t>
      </w:r>
      <w:r>
        <w:t>nous</w:t>
      </w:r>
      <w:r w:rsidRPr="002C4077">
        <w:t xml:space="preserve"> </w:t>
      </w:r>
      <w:r>
        <w:t>avons</w:t>
      </w:r>
      <w:r w:rsidRPr="002C4077">
        <w:t xml:space="preserve"> </w:t>
      </w:r>
      <w:r>
        <w:t>puisés,</w:t>
      </w:r>
      <w:r w:rsidRPr="002C4077">
        <w:t xml:space="preserve"> </w:t>
      </w:r>
      <w:r>
        <w:t>soit</w:t>
      </w:r>
      <w:r w:rsidRPr="002C4077">
        <w:t xml:space="preserve"> </w:t>
      </w:r>
      <w:r>
        <w:t>dans</w:t>
      </w:r>
      <w:r w:rsidRPr="002C4077">
        <w:t xml:space="preserve"> </w:t>
      </w:r>
      <w:r>
        <w:t>la</w:t>
      </w:r>
      <w:r w:rsidRPr="002C4077">
        <w:t xml:space="preserve"> </w:t>
      </w:r>
      <w:r>
        <w:t>visite</w:t>
      </w:r>
      <w:r w:rsidRPr="002C4077">
        <w:t xml:space="preserve"> </w:t>
      </w:r>
      <w:r>
        <w:t>mentionnée</w:t>
      </w:r>
      <w:r w:rsidRPr="002C4077">
        <w:t xml:space="preserve"> </w:t>
      </w:r>
      <w:r>
        <w:t>au</w:t>
      </w:r>
      <w:r w:rsidRPr="002C4077">
        <w:t xml:space="preserve"> </w:t>
      </w:r>
      <w:r>
        <w:t>début</w:t>
      </w:r>
      <w:r w:rsidRPr="002C4077">
        <w:t xml:space="preserve"> </w:t>
      </w:r>
      <w:r>
        <w:t>de</w:t>
      </w:r>
      <w:r w:rsidRPr="002C4077">
        <w:t xml:space="preserve"> </w:t>
      </w:r>
      <w:r>
        <w:t>ce</w:t>
      </w:r>
      <w:r w:rsidRPr="002C4077">
        <w:t xml:space="preserve"> </w:t>
      </w:r>
      <w:r>
        <w:t>récit</w:t>
      </w:r>
      <w:r w:rsidRPr="002C4077">
        <w:t xml:space="preserve"> </w:t>
      </w:r>
      <w:r>
        <w:t>et</w:t>
      </w:r>
      <w:r w:rsidRPr="002C4077">
        <w:t xml:space="preserve"> </w:t>
      </w:r>
      <w:r>
        <w:t>dans</w:t>
      </w:r>
      <w:r w:rsidRPr="002C4077">
        <w:t xml:space="preserve"> </w:t>
      </w:r>
      <w:r>
        <w:t>celles</w:t>
      </w:r>
      <w:r w:rsidRPr="002C4077">
        <w:t xml:space="preserve"> </w:t>
      </w:r>
      <w:r>
        <w:t>qui</w:t>
      </w:r>
      <w:r w:rsidRPr="002C4077">
        <w:t xml:space="preserve"> </w:t>
      </w:r>
      <w:r>
        <w:t>la</w:t>
      </w:r>
      <w:r w:rsidRPr="002C4077">
        <w:t xml:space="preserve"> </w:t>
      </w:r>
      <w:r>
        <w:t>suivirent,</w:t>
      </w:r>
      <w:r w:rsidRPr="002C4077">
        <w:t xml:space="preserve"> </w:t>
      </w:r>
      <w:r>
        <w:t>soit</w:t>
      </w:r>
      <w:r w:rsidRPr="002C4077">
        <w:t xml:space="preserve"> </w:t>
      </w:r>
      <w:r>
        <w:t>dans</w:t>
      </w:r>
      <w:r w:rsidRPr="002C4077">
        <w:t xml:space="preserve"> </w:t>
      </w:r>
      <w:r>
        <w:t>les</w:t>
      </w:r>
      <w:r w:rsidRPr="002C4077">
        <w:t xml:space="preserve"> </w:t>
      </w:r>
      <w:r>
        <w:t>ouvrages</w:t>
      </w:r>
      <w:r w:rsidRPr="002C4077">
        <w:t xml:space="preserve"> </w:t>
      </w:r>
      <w:r>
        <w:t>israélites</w:t>
      </w:r>
      <w:r w:rsidRPr="002C4077">
        <w:t xml:space="preserve"> </w:t>
      </w:r>
      <w:r>
        <w:t>où</w:t>
      </w:r>
      <w:r w:rsidRPr="002C4077">
        <w:t xml:space="preserve"> </w:t>
      </w:r>
      <w:r>
        <w:t>sont</w:t>
      </w:r>
      <w:r w:rsidRPr="002C4077">
        <w:t xml:space="preserve"> </w:t>
      </w:r>
      <w:r>
        <w:t>traitées</w:t>
      </w:r>
      <w:r w:rsidRPr="002C4077">
        <w:t xml:space="preserve"> </w:t>
      </w:r>
      <w:r>
        <w:t>ces</w:t>
      </w:r>
      <w:r w:rsidRPr="002C4077">
        <w:t xml:space="preserve"> </w:t>
      </w:r>
      <w:r>
        <w:t>sortes</w:t>
      </w:r>
      <w:r w:rsidRPr="002C4077">
        <w:t xml:space="preserve"> </w:t>
      </w:r>
      <w:r>
        <w:t>de</w:t>
      </w:r>
      <w:r w:rsidRPr="002C4077">
        <w:t xml:space="preserve"> </w:t>
      </w:r>
      <w:r>
        <w:t>questions.</w:t>
      </w:r>
      <w:r w:rsidRPr="002C4077">
        <w:t xml:space="preserve"> </w:t>
      </w:r>
    </w:p>
    <w:p w:rsidR="00F042F3" w:rsidRDefault="00F042F3" w:rsidP="000A7AAB"/>
    <w:p w:rsidR="000A7AAB" w:rsidRDefault="000A7AAB" w:rsidP="000A7AAB">
      <w:r>
        <w:t>Deux</w:t>
      </w:r>
      <w:bookmarkStart w:id="697" w:name="z_BethHachaim_o1"/>
      <w:bookmarkEnd w:id="697"/>
      <w:r w:rsidRPr="002C4077">
        <w:t xml:space="preserve"> </w:t>
      </w:r>
      <w:r>
        <w:t>fois</w:t>
      </w:r>
      <w:bookmarkStart w:id="698" w:name="z_CimetieresJuifs_o2"/>
      <w:bookmarkEnd w:id="698"/>
      <w:r w:rsidRPr="002C4077">
        <w:t xml:space="preserve"> </w:t>
      </w:r>
      <w:r>
        <w:t>déjà,</w:t>
      </w:r>
      <w:r w:rsidRPr="002C4077">
        <w:t xml:space="preserve"> </w:t>
      </w:r>
      <w:r>
        <w:t>dans</w:t>
      </w:r>
      <w:r w:rsidRPr="002C4077">
        <w:t xml:space="preserve"> </w:t>
      </w:r>
      <w:r>
        <w:t>les</w:t>
      </w:r>
      <w:r w:rsidRPr="002C4077">
        <w:t xml:space="preserve"> </w:t>
      </w:r>
      <w:r>
        <w:t>lignes</w:t>
      </w:r>
      <w:r w:rsidRPr="002C4077">
        <w:t xml:space="preserve"> </w:t>
      </w:r>
      <w:r>
        <w:t>qui</w:t>
      </w:r>
      <w:r w:rsidRPr="002C4077">
        <w:t xml:space="preserve"> </w:t>
      </w:r>
      <w:r>
        <w:t>précèdent,</w:t>
      </w:r>
      <w:r w:rsidRPr="002C4077">
        <w:t xml:space="preserve"> </w:t>
      </w:r>
      <w:r>
        <w:t>nous</w:t>
      </w:r>
      <w:r w:rsidRPr="002C4077">
        <w:t xml:space="preserve"> </w:t>
      </w:r>
      <w:r>
        <w:t>avons</w:t>
      </w:r>
      <w:r w:rsidRPr="002C4077">
        <w:t xml:space="preserve"> </w:t>
      </w:r>
      <w:r>
        <w:t>employé</w:t>
      </w:r>
      <w:r w:rsidRPr="002C4077">
        <w:t xml:space="preserve"> </w:t>
      </w:r>
      <w:r>
        <w:t>le</w:t>
      </w:r>
      <w:r w:rsidRPr="002C4077">
        <w:t xml:space="preserve"> </w:t>
      </w:r>
      <w:r>
        <w:t>nom</w:t>
      </w:r>
      <w:r w:rsidRPr="002C4077">
        <w:t xml:space="preserve"> </w:t>
      </w:r>
      <w:r>
        <w:t>de</w:t>
      </w:r>
      <w:r w:rsidRPr="002C4077">
        <w:t xml:space="preserve"> </w:t>
      </w:r>
      <w:r w:rsidR="00B546AF">
        <w:t>« </w:t>
      </w:r>
      <w:r>
        <w:t>champ</w:t>
      </w:r>
      <w:r w:rsidRPr="002C4077">
        <w:t xml:space="preserve"> </w:t>
      </w:r>
      <w:r>
        <w:t>des</w:t>
      </w:r>
      <w:r w:rsidRPr="002C4077">
        <w:t xml:space="preserve"> </w:t>
      </w:r>
      <w:r>
        <w:t>morts</w:t>
      </w:r>
      <w:r w:rsidR="00B546AF">
        <w:t> » ;</w:t>
      </w:r>
      <w:r w:rsidRPr="002C4077">
        <w:t xml:space="preserve"> </w:t>
      </w:r>
      <w:r>
        <w:t>n’était-ce</w:t>
      </w:r>
      <w:r w:rsidRPr="002C4077">
        <w:t xml:space="preserve"> </w:t>
      </w:r>
      <w:r>
        <w:t>pas</w:t>
      </w:r>
      <w:r w:rsidRPr="002C4077">
        <w:t xml:space="preserve"> </w:t>
      </w:r>
      <w:r>
        <w:t>un</w:t>
      </w:r>
      <w:r w:rsidRPr="002C4077">
        <w:t xml:space="preserve"> </w:t>
      </w:r>
      <w:r>
        <w:t>contre-sens</w:t>
      </w:r>
      <w:r w:rsidR="00B546AF">
        <w:t> ?</w:t>
      </w:r>
      <w:r w:rsidRPr="002C4077">
        <w:t xml:space="preserve"> </w:t>
      </w:r>
      <w:r>
        <w:t>Les</w:t>
      </w:r>
      <w:r w:rsidRPr="002C4077">
        <w:t xml:space="preserve"> </w:t>
      </w:r>
      <w:r>
        <w:t>Juifs,</w:t>
      </w:r>
      <w:r w:rsidRPr="002C4077">
        <w:t xml:space="preserve"> </w:t>
      </w:r>
      <w:r>
        <w:t>en</w:t>
      </w:r>
      <w:r w:rsidRPr="002C4077">
        <w:t xml:space="preserve"> </w:t>
      </w:r>
      <w:r>
        <w:t>effet,</w:t>
      </w:r>
      <w:r w:rsidRPr="002C4077">
        <w:t xml:space="preserve"> </w:t>
      </w:r>
      <w:r>
        <w:t>donnent</w:t>
      </w:r>
      <w:r w:rsidRPr="002C4077">
        <w:t xml:space="preserve"> </w:t>
      </w:r>
      <w:r>
        <w:t>à</w:t>
      </w:r>
      <w:r w:rsidRPr="002C4077">
        <w:t xml:space="preserve"> </w:t>
      </w:r>
      <w:r>
        <w:t>leurs</w:t>
      </w:r>
      <w:r w:rsidRPr="002C4077">
        <w:t xml:space="preserve"> </w:t>
      </w:r>
      <w:r>
        <w:t>cimetières</w:t>
      </w:r>
      <w:r w:rsidRPr="002C4077">
        <w:t xml:space="preserve"> </w:t>
      </w:r>
      <w:r>
        <w:t>la</w:t>
      </w:r>
      <w:r w:rsidRPr="002C4077">
        <w:t xml:space="preserve"> </w:t>
      </w:r>
      <w:r>
        <w:t>dénomination</w:t>
      </w:r>
      <w:r w:rsidRPr="002C4077">
        <w:t xml:space="preserve"> </w:t>
      </w:r>
      <w:r>
        <w:t>de</w:t>
      </w:r>
      <w:r w:rsidRPr="002C4077">
        <w:t xml:space="preserve"> </w:t>
      </w:r>
      <w:r w:rsidRPr="000A34B5">
        <w:rPr>
          <w:rStyle w:val="italicus"/>
        </w:rPr>
        <w:t>Beth-hachaïm,</w:t>
      </w:r>
      <w:r w:rsidRPr="002C4077">
        <w:t xml:space="preserve"> </w:t>
      </w:r>
      <w:r>
        <w:t>ou</w:t>
      </w:r>
      <w:r w:rsidRPr="002C4077">
        <w:t xml:space="preserve"> </w:t>
      </w:r>
      <w:r>
        <w:t>Maison</w:t>
      </w:r>
      <w:r w:rsidRPr="002C4077">
        <w:t xml:space="preserve"> </w:t>
      </w:r>
      <w:r>
        <w:t>des</w:t>
      </w:r>
      <w:r w:rsidRPr="002C4077">
        <w:t xml:space="preserve"> </w:t>
      </w:r>
      <w:r>
        <w:t>vivants,</w:t>
      </w:r>
      <w:r w:rsidRPr="002C4077">
        <w:t xml:space="preserve"> </w:t>
      </w:r>
      <w:r w:rsidR="00B546AF">
        <w:t>« </w:t>
      </w:r>
      <w:r>
        <w:t>tenant</w:t>
      </w:r>
      <w:r w:rsidRPr="002C4077">
        <w:t xml:space="preserve"> </w:t>
      </w:r>
      <w:r>
        <w:t>les</w:t>
      </w:r>
      <w:r w:rsidRPr="002C4077">
        <w:t xml:space="preserve"> </w:t>
      </w:r>
      <w:r>
        <w:t>morts</w:t>
      </w:r>
      <w:r w:rsidRPr="002C4077">
        <w:t xml:space="preserve"> </w:t>
      </w:r>
      <w:r>
        <w:t>pour</w:t>
      </w:r>
      <w:r w:rsidRPr="002C4077">
        <w:t xml:space="preserve"> </w:t>
      </w:r>
      <w:r>
        <w:t>vivants</w:t>
      </w:r>
      <w:r w:rsidRPr="002C4077">
        <w:t xml:space="preserve"> </w:t>
      </w:r>
      <w:r>
        <w:t>à</w:t>
      </w:r>
      <w:r w:rsidRPr="002C4077">
        <w:t xml:space="preserve"> </w:t>
      </w:r>
      <w:r>
        <w:t>cause</w:t>
      </w:r>
      <w:r w:rsidRPr="002C4077">
        <w:t xml:space="preserve"> </w:t>
      </w:r>
      <w:r>
        <w:t>de</w:t>
      </w:r>
      <w:r w:rsidRPr="002C4077">
        <w:t xml:space="preserve"> </w:t>
      </w:r>
      <w:r>
        <w:t>leurs</w:t>
      </w:r>
      <w:r w:rsidRPr="002C4077">
        <w:t xml:space="preserve"> </w:t>
      </w:r>
      <w:r>
        <w:t>âmes</w:t>
      </w:r>
      <w:r w:rsidR="00B546AF">
        <w:t> »</w:t>
      </w:r>
      <w:r>
        <w:t>,</w:t>
      </w:r>
      <w:r w:rsidRPr="002C4077">
        <w:t xml:space="preserve"> </w:t>
      </w:r>
      <w:r>
        <w:t>comme</w:t>
      </w:r>
      <w:r w:rsidRPr="002C4077">
        <w:t xml:space="preserve"> </w:t>
      </w:r>
      <w:r>
        <w:t>s’exprime</w:t>
      </w:r>
      <w:r w:rsidRPr="002C4077">
        <w:t xml:space="preserve"> </w:t>
      </w:r>
      <w:r>
        <w:t>Léon</w:t>
      </w:r>
      <w:r w:rsidRPr="002C4077">
        <w:t xml:space="preserve"> </w:t>
      </w:r>
      <w:r>
        <w:t>de</w:t>
      </w:r>
      <w:r w:rsidRPr="002C4077">
        <w:t xml:space="preserve"> </w:t>
      </w:r>
      <w:r>
        <w:t>M</w:t>
      </w:r>
      <w:r w:rsidR="001730C6">
        <w:t>od</w:t>
      </w:r>
      <w:r>
        <w:t>ène</w:t>
      </w:r>
      <w:r w:rsidRPr="002C4077">
        <w:t xml:space="preserve"> </w:t>
      </w:r>
      <w:r>
        <w:t>dans</w:t>
      </w:r>
      <w:r w:rsidRPr="002C4077">
        <w:t xml:space="preserve"> </w:t>
      </w:r>
      <w:r>
        <w:t>son</w:t>
      </w:r>
      <w:r w:rsidRPr="002C4077">
        <w:t xml:space="preserve"> </w:t>
      </w:r>
      <w:r>
        <w:t>curieux</w:t>
      </w:r>
      <w:r w:rsidRPr="002C4077">
        <w:t xml:space="preserve"> </w:t>
      </w:r>
      <w:r>
        <w:t>ouvrage</w:t>
      </w:r>
      <w:r w:rsidRPr="002C4077">
        <w:t xml:space="preserve"> </w:t>
      </w:r>
      <w:r>
        <w:t>sur</w:t>
      </w:r>
      <w:r w:rsidRPr="002C4077">
        <w:t xml:space="preserve"> </w:t>
      </w:r>
      <w:r>
        <w:t>les</w:t>
      </w:r>
      <w:r w:rsidRPr="002C4077">
        <w:t xml:space="preserve"> </w:t>
      </w:r>
      <w:r>
        <w:t>cérémonies</w:t>
      </w:r>
      <w:r w:rsidRPr="002C4077">
        <w:t xml:space="preserve"> </w:t>
      </w:r>
      <w:r>
        <w:t>et</w:t>
      </w:r>
      <w:r w:rsidRPr="002C4077">
        <w:t xml:space="preserve"> </w:t>
      </w:r>
      <w:r>
        <w:t>les</w:t>
      </w:r>
      <w:r w:rsidRPr="002C4077">
        <w:t xml:space="preserve"> </w:t>
      </w:r>
      <w:r>
        <w:t>coutumes</w:t>
      </w:r>
      <w:r w:rsidRPr="002C4077">
        <w:t xml:space="preserve"> </w:t>
      </w:r>
      <w:r>
        <w:t>de</w:t>
      </w:r>
      <w:r w:rsidRPr="002C4077">
        <w:t xml:space="preserve"> </w:t>
      </w:r>
      <w:r>
        <w:t>ses</w:t>
      </w:r>
      <w:r w:rsidRPr="002C4077">
        <w:t xml:space="preserve"> </w:t>
      </w:r>
      <w:r>
        <w:t>coreligionnaires</w:t>
      </w:r>
      <w:r w:rsidR="00B91AF7">
        <w:rPr>
          <w:rStyle w:val="Appelnotedebasdep"/>
        </w:rPr>
        <w:footnoteReference w:id="864"/>
      </w:r>
      <w:r>
        <w:t>.</w:t>
      </w:r>
      <w:r w:rsidR="00C45B47">
        <w:t xml:space="preserve"> {</w:t>
      </w:r>
      <w:r w:rsidR="005E2129">
        <w:t>286</w:t>
      </w:r>
      <w:bookmarkStart w:id="699" w:name="p286"/>
      <w:bookmarkEnd w:id="699"/>
      <w:r w:rsidR="005E2129">
        <w:t xml:space="preserve">} </w:t>
      </w:r>
      <w:r>
        <w:t>Beau</w:t>
      </w:r>
      <w:r w:rsidRPr="002C4077">
        <w:t xml:space="preserve"> </w:t>
      </w:r>
      <w:r>
        <w:t>titre,</w:t>
      </w:r>
      <w:r w:rsidRPr="002C4077">
        <w:t xml:space="preserve"> </w:t>
      </w:r>
      <w:r>
        <w:t>assurément,</w:t>
      </w:r>
      <w:r w:rsidRPr="002C4077">
        <w:t xml:space="preserve"> </w:t>
      </w:r>
      <w:r>
        <w:t>qui</w:t>
      </w:r>
      <w:r w:rsidRPr="002C4077">
        <w:t xml:space="preserve"> </w:t>
      </w:r>
      <w:r>
        <w:t>contient</w:t>
      </w:r>
      <w:r w:rsidRPr="002C4077">
        <w:t xml:space="preserve"> </w:t>
      </w:r>
      <w:r>
        <w:t>un</w:t>
      </w:r>
      <w:r w:rsidRPr="002C4077">
        <w:t xml:space="preserve"> </w:t>
      </w:r>
      <w:r>
        <w:t>acte</w:t>
      </w:r>
      <w:r w:rsidRPr="002C4077">
        <w:t xml:space="preserve"> </w:t>
      </w:r>
      <w:r>
        <w:t>de</w:t>
      </w:r>
      <w:r w:rsidRPr="002C4077">
        <w:t xml:space="preserve"> </w:t>
      </w:r>
      <w:r>
        <w:t>foi</w:t>
      </w:r>
      <w:r w:rsidRPr="002C4077">
        <w:t xml:space="preserve"> </w:t>
      </w:r>
      <w:r>
        <w:t>très</w:t>
      </w:r>
      <w:r w:rsidRPr="002C4077">
        <w:t xml:space="preserve"> </w:t>
      </w:r>
      <w:r>
        <w:t>explicite</w:t>
      </w:r>
      <w:r w:rsidRPr="002C4077">
        <w:t xml:space="preserve"> </w:t>
      </w:r>
      <w:r>
        <w:t>à</w:t>
      </w:r>
      <w:r w:rsidRPr="002C4077">
        <w:t xml:space="preserve"> </w:t>
      </w:r>
      <w:r>
        <w:t>la</w:t>
      </w:r>
      <w:r w:rsidRPr="002C4077">
        <w:t xml:space="preserve"> </w:t>
      </w:r>
      <w:r>
        <w:t>survivance</w:t>
      </w:r>
      <w:r w:rsidRPr="002C4077">
        <w:t xml:space="preserve"> </w:t>
      </w:r>
      <w:r>
        <w:t>des</w:t>
      </w:r>
      <w:r w:rsidRPr="002C4077">
        <w:t xml:space="preserve"> </w:t>
      </w:r>
      <w:r>
        <w:t>âmes</w:t>
      </w:r>
      <w:r w:rsidRPr="002C4077">
        <w:t xml:space="preserve"> </w:t>
      </w:r>
      <w:r>
        <w:t>et</w:t>
      </w:r>
      <w:r w:rsidRPr="002C4077">
        <w:t xml:space="preserve"> </w:t>
      </w:r>
      <w:r>
        <w:t>à</w:t>
      </w:r>
      <w:r w:rsidRPr="002C4077">
        <w:t xml:space="preserve"> </w:t>
      </w:r>
      <w:r>
        <w:t>la</w:t>
      </w:r>
      <w:r w:rsidRPr="002C4077">
        <w:t xml:space="preserve"> </w:t>
      </w:r>
      <w:r>
        <w:t>résurrection</w:t>
      </w:r>
      <w:r w:rsidRPr="002C4077">
        <w:t xml:space="preserve"> </w:t>
      </w:r>
      <w:r>
        <w:t>des</w:t>
      </w:r>
      <w:r w:rsidRPr="002C4077">
        <w:t xml:space="preserve"> </w:t>
      </w:r>
      <w:r>
        <w:t>corps.</w:t>
      </w:r>
      <w:r w:rsidRPr="002C4077">
        <w:t xml:space="preserve"> </w:t>
      </w:r>
      <w:r>
        <w:t>Du</w:t>
      </w:r>
      <w:r w:rsidRPr="002C4077">
        <w:t xml:space="preserve"> </w:t>
      </w:r>
      <w:r>
        <w:t>reste,</w:t>
      </w:r>
      <w:r w:rsidRPr="002C4077">
        <w:t xml:space="preserve"> </w:t>
      </w:r>
      <w:r>
        <w:t>telle</w:t>
      </w:r>
      <w:r w:rsidRPr="002C4077">
        <w:t xml:space="preserve"> </w:t>
      </w:r>
      <w:r w:rsidR="00425C50">
        <w:t>est</w:t>
      </w:r>
      <w:r w:rsidRPr="002C4077">
        <w:t xml:space="preserve"> </w:t>
      </w:r>
      <w:r>
        <w:t>aussi</w:t>
      </w:r>
      <w:r w:rsidRPr="002C4077">
        <w:t xml:space="preserve"> </w:t>
      </w:r>
      <w:r>
        <w:t>la</w:t>
      </w:r>
      <w:r w:rsidRPr="002C4077">
        <w:t xml:space="preserve"> </w:t>
      </w:r>
      <w:r>
        <w:t>portée</w:t>
      </w:r>
      <w:r w:rsidRPr="002C4077">
        <w:t xml:space="preserve"> </w:t>
      </w:r>
      <w:r>
        <w:t>de</w:t>
      </w:r>
      <w:r w:rsidRPr="002C4077">
        <w:t xml:space="preserve"> </w:t>
      </w:r>
      <w:r>
        <w:t>l’expression</w:t>
      </w:r>
      <w:r w:rsidRPr="002C4077">
        <w:t xml:space="preserve"> </w:t>
      </w:r>
      <w:r>
        <w:t>toute</w:t>
      </w:r>
      <w:r w:rsidRPr="002C4077">
        <w:t xml:space="preserve"> </w:t>
      </w:r>
      <w:r>
        <w:t>chrétienne</w:t>
      </w:r>
      <w:r w:rsidRPr="002C4077">
        <w:t xml:space="preserve"> </w:t>
      </w:r>
      <w:r>
        <w:t>de</w:t>
      </w:r>
      <w:r w:rsidRPr="002C4077">
        <w:t xml:space="preserve"> </w:t>
      </w:r>
      <w:r w:rsidR="00B546AF">
        <w:t>« </w:t>
      </w:r>
      <w:r>
        <w:t>cimetière</w:t>
      </w:r>
      <w:r w:rsidR="00B546AF">
        <w:t> »</w:t>
      </w:r>
      <w:r>
        <w:t>,</w:t>
      </w:r>
      <w:r w:rsidRPr="002C4077">
        <w:t xml:space="preserve"> </w:t>
      </w:r>
      <w:r>
        <w:t>qui</w:t>
      </w:r>
      <w:r w:rsidRPr="002C4077">
        <w:t xml:space="preserve"> </w:t>
      </w:r>
      <w:r>
        <w:t>remonte</w:t>
      </w:r>
      <w:r w:rsidRPr="002C4077">
        <w:t xml:space="preserve"> </w:t>
      </w:r>
      <w:r>
        <w:t>aux</w:t>
      </w:r>
      <w:r w:rsidRPr="002C4077">
        <w:t xml:space="preserve"> </w:t>
      </w:r>
      <w:r>
        <w:t>premiers</w:t>
      </w:r>
      <w:r w:rsidRPr="002C4077">
        <w:t xml:space="preserve"> </w:t>
      </w:r>
      <w:r>
        <w:t>jours</w:t>
      </w:r>
      <w:r w:rsidRPr="002C4077">
        <w:t xml:space="preserve"> </w:t>
      </w:r>
      <w:r>
        <w:t>de</w:t>
      </w:r>
      <w:r w:rsidRPr="002C4077">
        <w:t xml:space="preserve"> </w:t>
      </w:r>
      <w:r>
        <w:t>l’Église</w:t>
      </w:r>
      <w:r w:rsidR="00B91AF7">
        <w:rPr>
          <w:rStyle w:val="Appelnotedebasdep"/>
        </w:rPr>
        <w:footnoteReference w:id="865"/>
      </w:r>
      <w:r>
        <w:t>.</w:t>
      </w:r>
      <w:r w:rsidRPr="002C4077">
        <w:t xml:space="preserve"> </w:t>
      </w:r>
      <w:r>
        <w:t>Le</w:t>
      </w:r>
      <w:r w:rsidRPr="002C4077">
        <w:t xml:space="preserve"> </w:t>
      </w:r>
      <w:r>
        <w:t>substantif</w:t>
      </w:r>
      <w:r w:rsidRPr="002C4077">
        <w:t xml:space="preserve"> </w:t>
      </w:r>
      <w:r>
        <w:t>grec</w:t>
      </w:r>
      <w:r w:rsidRPr="002C4077">
        <w:t xml:space="preserve"> </w:t>
      </w:r>
      <w:r w:rsidR="000F4CEC" w:rsidRPr="00561A4F">
        <w:t>κοιμητήριον</w:t>
      </w:r>
      <w:r>
        <w:t>,</w:t>
      </w:r>
      <w:r w:rsidRPr="002C4077">
        <w:t xml:space="preserve"> </w:t>
      </w:r>
      <w:r>
        <w:t>dont</w:t>
      </w:r>
      <w:r w:rsidRPr="002C4077">
        <w:t xml:space="preserve"> </w:t>
      </w:r>
      <w:r>
        <w:t>elle</w:t>
      </w:r>
      <w:r w:rsidRPr="002C4077">
        <w:t xml:space="preserve"> </w:t>
      </w:r>
      <w:r>
        <w:t>dérive</w:t>
      </w:r>
      <w:r w:rsidRPr="002C4077">
        <w:t xml:space="preserve"> </w:t>
      </w:r>
      <w:r>
        <w:t>en</w:t>
      </w:r>
      <w:r w:rsidRPr="002C4077">
        <w:t xml:space="preserve"> </w:t>
      </w:r>
      <w:r>
        <w:t>droite</w:t>
      </w:r>
      <w:r w:rsidRPr="002C4077">
        <w:t xml:space="preserve"> </w:t>
      </w:r>
      <w:r>
        <w:t>ligne,</w:t>
      </w:r>
      <w:r w:rsidRPr="002C4077">
        <w:t xml:space="preserve"> </w:t>
      </w:r>
      <w:r>
        <w:t>représente</w:t>
      </w:r>
      <w:r w:rsidRPr="002C4077">
        <w:t xml:space="preserve"> </w:t>
      </w:r>
      <w:r>
        <w:t>un</w:t>
      </w:r>
      <w:r w:rsidRPr="002C4077">
        <w:t xml:space="preserve"> </w:t>
      </w:r>
      <w:r w:rsidR="00B546AF">
        <w:t>« </w:t>
      </w:r>
      <w:r>
        <w:t>dortoir</w:t>
      </w:r>
      <w:r w:rsidR="00B546AF">
        <w:t> »</w:t>
      </w:r>
      <w:r>
        <w:t>.</w:t>
      </w:r>
      <w:r w:rsidRPr="002C4077">
        <w:t xml:space="preserve"> </w:t>
      </w:r>
      <w:r>
        <w:t>Quel</w:t>
      </w:r>
      <w:r w:rsidRPr="002C4077">
        <w:t xml:space="preserve"> </w:t>
      </w:r>
      <w:r>
        <w:t>gracieux</w:t>
      </w:r>
      <w:r w:rsidRPr="002C4077">
        <w:t xml:space="preserve"> </w:t>
      </w:r>
      <w:r>
        <w:t>et</w:t>
      </w:r>
      <w:r w:rsidRPr="002C4077">
        <w:t xml:space="preserve"> </w:t>
      </w:r>
      <w:r>
        <w:t>touchant</w:t>
      </w:r>
      <w:r w:rsidRPr="002C4077">
        <w:t xml:space="preserve"> </w:t>
      </w:r>
      <w:r>
        <w:t>euphémisme</w:t>
      </w:r>
      <w:r w:rsidR="00B546AF">
        <w:t> !</w:t>
      </w:r>
      <w:r w:rsidRPr="002C4077">
        <w:t xml:space="preserve"> </w:t>
      </w:r>
      <w:r>
        <w:t>Nos</w:t>
      </w:r>
      <w:r w:rsidRPr="002C4077">
        <w:t xml:space="preserve"> </w:t>
      </w:r>
      <w:r>
        <w:t>défunts</w:t>
      </w:r>
      <w:r w:rsidRPr="002C4077">
        <w:t xml:space="preserve"> </w:t>
      </w:r>
      <w:r>
        <w:t>bien-aimés</w:t>
      </w:r>
      <w:r w:rsidRPr="002C4077">
        <w:t xml:space="preserve"> </w:t>
      </w:r>
      <w:r>
        <w:t>sommeillent</w:t>
      </w:r>
      <w:r w:rsidRPr="002C4077">
        <w:t xml:space="preserve"> </w:t>
      </w:r>
      <w:r>
        <w:t>doucement</w:t>
      </w:r>
      <w:r w:rsidR="00B546AF">
        <w:t> ;</w:t>
      </w:r>
      <w:r w:rsidRPr="002C4077">
        <w:t xml:space="preserve"> </w:t>
      </w:r>
      <w:r>
        <w:t>ils</w:t>
      </w:r>
      <w:r w:rsidRPr="002C4077">
        <w:t xml:space="preserve"> </w:t>
      </w:r>
      <w:r>
        <w:t>ne</w:t>
      </w:r>
      <w:r w:rsidRPr="002C4077">
        <w:t xml:space="preserve"> </w:t>
      </w:r>
      <w:r>
        <w:t>sont</w:t>
      </w:r>
      <w:r w:rsidRPr="002C4077">
        <w:t xml:space="preserve"> </w:t>
      </w:r>
      <w:r>
        <w:t>pas</w:t>
      </w:r>
      <w:r w:rsidRPr="002C4077">
        <w:t xml:space="preserve"> </w:t>
      </w:r>
      <w:r>
        <w:t>morts</w:t>
      </w:r>
      <w:r w:rsidRPr="002C4077">
        <w:t xml:space="preserve"> </w:t>
      </w:r>
      <w:r>
        <w:t>d’une</w:t>
      </w:r>
      <w:r w:rsidRPr="002C4077">
        <w:t xml:space="preserve"> </w:t>
      </w:r>
      <w:r>
        <w:t>façon</w:t>
      </w:r>
      <w:r w:rsidRPr="002C4077">
        <w:t xml:space="preserve"> </w:t>
      </w:r>
      <w:r>
        <w:t>complète,</w:t>
      </w:r>
      <w:r w:rsidRPr="002C4077">
        <w:t xml:space="preserve"> </w:t>
      </w:r>
      <w:r>
        <w:t>car</w:t>
      </w:r>
      <w:r w:rsidRPr="002C4077">
        <w:t xml:space="preserve"> </w:t>
      </w:r>
      <w:r w:rsidRPr="000A34B5">
        <w:rPr>
          <w:rStyle w:val="italicus"/>
        </w:rPr>
        <w:t>vita</w:t>
      </w:r>
      <w:r w:rsidRPr="002C4077">
        <w:t xml:space="preserve"> </w:t>
      </w:r>
      <w:r w:rsidR="003B53FD" w:rsidRPr="000A34B5">
        <w:rPr>
          <w:rStyle w:val="italicus"/>
        </w:rPr>
        <w:t>mut</w:t>
      </w:r>
      <w:r w:rsidR="003B53FD">
        <w:rPr>
          <w:rStyle w:val="italicus"/>
        </w:rPr>
        <w:t>á</w:t>
      </w:r>
      <w:r w:rsidR="003B53FD" w:rsidRPr="000A34B5">
        <w:rPr>
          <w:rStyle w:val="italicus"/>
        </w:rPr>
        <w:t>tur</w:t>
      </w:r>
      <w:r w:rsidRPr="000A34B5">
        <w:rPr>
          <w:rStyle w:val="italicus"/>
        </w:rPr>
        <w:t>,</w:t>
      </w:r>
      <w:r w:rsidRPr="002C4077">
        <w:t xml:space="preserve"> </w:t>
      </w:r>
      <w:r w:rsidRPr="000A34B5">
        <w:rPr>
          <w:rStyle w:val="italicus"/>
        </w:rPr>
        <w:t>non</w:t>
      </w:r>
      <w:r w:rsidRPr="002C4077">
        <w:t xml:space="preserve"> </w:t>
      </w:r>
      <w:r w:rsidRPr="000A34B5">
        <w:rPr>
          <w:rStyle w:val="italicus"/>
        </w:rPr>
        <w:t>t</w:t>
      </w:r>
      <w:r w:rsidR="003B53FD">
        <w:rPr>
          <w:rStyle w:val="italicus"/>
        </w:rPr>
        <w:t>ó</w:t>
      </w:r>
      <w:r w:rsidR="003B53FD" w:rsidRPr="000A34B5">
        <w:rPr>
          <w:rStyle w:val="italicus"/>
        </w:rPr>
        <w:t>llitur</w:t>
      </w:r>
      <w:r w:rsidRPr="000A34B5">
        <w:rPr>
          <w:rStyle w:val="italicus"/>
        </w:rPr>
        <w:t>.</w:t>
      </w:r>
      <w:r w:rsidRPr="002C4077">
        <w:t xml:space="preserve"> </w:t>
      </w:r>
      <w:r>
        <w:t>Les</w:t>
      </w:r>
      <w:r w:rsidRPr="002C4077">
        <w:t xml:space="preserve"> </w:t>
      </w:r>
      <w:r>
        <w:t>païens,</w:t>
      </w:r>
      <w:r w:rsidRPr="002C4077">
        <w:t xml:space="preserve"> </w:t>
      </w:r>
      <w:r>
        <w:t>au</w:t>
      </w:r>
      <w:r w:rsidRPr="002C4077">
        <w:t xml:space="preserve"> </w:t>
      </w:r>
      <w:r>
        <w:t>contraire,</w:t>
      </w:r>
      <w:r w:rsidRPr="002C4077">
        <w:t xml:space="preserve"> </w:t>
      </w:r>
      <w:r>
        <w:t>ces</w:t>
      </w:r>
      <w:r w:rsidRPr="002C4077">
        <w:t xml:space="preserve"> </w:t>
      </w:r>
      <w:r>
        <w:t>pauvres</w:t>
      </w:r>
      <w:r w:rsidRPr="002C4077">
        <w:t xml:space="preserve"> </w:t>
      </w:r>
      <w:r w:rsidR="000F4CEC">
        <w:t>païens</w:t>
      </w:r>
      <w:r w:rsidRPr="002C4077">
        <w:t xml:space="preserve"> </w:t>
      </w:r>
      <w:r>
        <w:t>sans</w:t>
      </w:r>
      <w:r w:rsidRPr="002C4077">
        <w:t xml:space="preserve"> </w:t>
      </w:r>
      <w:r>
        <w:t>espérance,</w:t>
      </w:r>
      <w:r w:rsidRPr="002C4077">
        <w:t xml:space="preserve"> </w:t>
      </w:r>
      <w:r>
        <w:t>ainsi</w:t>
      </w:r>
      <w:r w:rsidRPr="002C4077">
        <w:t xml:space="preserve"> </w:t>
      </w:r>
      <w:r>
        <w:t>que</w:t>
      </w:r>
      <w:r w:rsidRPr="002C4077">
        <w:t xml:space="preserve"> </w:t>
      </w:r>
      <w:r>
        <w:t>les</w:t>
      </w:r>
      <w:r w:rsidRPr="002C4077">
        <w:t xml:space="preserve"> </w:t>
      </w:r>
      <w:r>
        <w:t>appe</w:t>
      </w:r>
      <w:r w:rsidR="000F4CEC">
        <w:t>lait</w:t>
      </w:r>
      <w:r w:rsidR="000F4CEC" w:rsidRPr="002C4077">
        <w:t xml:space="preserve"> </w:t>
      </w:r>
      <w:r w:rsidR="000F4CEC">
        <w:t>S.</w:t>
      </w:r>
      <w:r w:rsidR="000F4CEC" w:rsidRPr="002C4077">
        <w:t xml:space="preserve"> </w:t>
      </w:r>
      <w:r w:rsidR="000F4CEC">
        <w:t>Paul</w:t>
      </w:r>
      <w:r w:rsidR="000F4CEC">
        <w:rPr>
          <w:rStyle w:val="Appelnotedebasdep"/>
        </w:rPr>
        <w:footnoteReference w:id="866"/>
      </w:r>
      <w:r>
        <w:t>,</w:t>
      </w:r>
      <w:r w:rsidRPr="002C4077">
        <w:t xml:space="preserve"> </w:t>
      </w:r>
      <w:r>
        <w:t>dédiaient</w:t>
      </w:r>
      <w:r w:rsidRPr="002C4077">
        <w:t xml:space="preserve"> </w:t>
      </w:r>
      <w:r>
        <w:t>tristement</w:t>
      </w:r>
      <w:r w:rsidRPr="002C4077">
        <w:t xml:space="preserve"> </w:t>
      </w:r>
      <w:r>
        <w:t>leurs</w:t>
      </w:r>
      <w:r w:rsidRPr="002C4077">
        <w:t xml:space="preserve"> </w:t>
      </w:r>
      <w:r>
        <w:t>tombeaux</w:t>
      </w:r>
      <w:r w:rsidRPr="002C4077">
        <w:t xml:space="preserve"> </w:t>
      </w:r>
      <w:r>
        <w:t>au</w:t>
      </w:r>
      <w:r w:rsidRPr="002C4077">
        <w:t xml:space="preserve"> </w:t>
      </w:r>
      <w:r w:rsidR="00B546AF">
        <w:t>« </w:t>
      </w:r>
      <w:r>
        <w:t>sommeil</w:t>
      </w:r>
      <w:r w:rsidRPr="002C4077">
        <w:t xml:space="preserve"> </w:t>
      </w:r>
      <w:r>
        <w:t>éternel</w:t>
      </w:r>
      <w:r w:rsidR="00B546AF">
        <w:t> »</w:t>
      </w:r>
      <w:r>
        <w:t>,</w:t>
      </w:r>
      <w:r w:rsidRPr="002C4077">
        <w:t xml:space="preserve"> </w:t>
      </w:r>
      <w:r>
        <w:t>au</w:t>
      </w:r>
      <w:r w:rsidRPr="002C4077">
        <w:t xml:space="preserve"> </w:t>
      </w:r>
      <w:r w:rsidR="00B546AF">
        <w:t>« </w:t>
      </w:r>
      <w:r>
        <w:t>sûr</w:t>
      </w:r>
      <w:r w:rsidRPr="002C4077">
        <w:t xml:space="preserve"> </w:t>
      </w:r>
      <w:bookmarkStart w:id="700" w:name="z_CimetieresJuifs_o3"/>
      <w:bookmarkEnd w:id="700"/>
      <w:r>
        <w:t>repos</w:t>
      </w:r>
      <w:r w:rsidR="00B546AF">
        <w:t> »</w:t>
      </w:r>
      <w:r>
        <w:t>.</w:t>
      </w:r>
      <w:r w:rsidRPr="002C4077">
        <w:t xml:space="preserve"> </w:t>
      </w:r>
    </w:p>
    <w:p w:rsidR="000A7AAB" w:rsidRDefault="000A7AAB" w:rsidP="000A7AAB">
      <w:r>
        <w:lastRenderedPageBreak/>
        <w:t>Qui</w:t>
      </w:r>
      <w:r w:rsidRPr="002C4077">
        <w:t xml:space="preserve"> </w:t>
      </w:r>
      <w:r>
        <w:t>n’a</w:t>
      </w:r>
      <w:r w:rsidRPr="002C4077">
        <w:t xml:space="preserve"> </w:t>
      </w:r>
      <w:r>
        <w:t>songé,</w:t>
      </w:r>
      <w:r w:rsidRPr="002C4077">
        <w:t xml:space="preserve"> </w:t>
      </w:r>
      <w:r>
        <w:t>de</w:t>
      </w:r>
      <w:r w:rsidRPr="002C4077">
        <w:t xml:space="preserve"> </w:t>
      </w:r>
      <w:r>
        <w:t>son</w:t>
      </w:r>
      <w:r w:rsidRPr="002C4077">
        <w:t xml:space="preserve"> </w:t>
      </w:r>
      <w:r>
        <w:t>vivant,</w:t>
      </w:r>
      <w:r w:rsidRPr="002C4077">
        <w:t xml:space="preserve"> </w:t>
      </w:r>
      <w:r>
        <w:t>au</w:t>
      </w:r>
      <w:r w:rsidRPr="002C4077">
        <w:t xml:space="preserve"> </w:t>
      </w:r>
      <w:r>
        <w:t>lieu</w:t>
      </w:r>
      <w:r w:rsidRPr="002C4077">
        <w:t xml:space="preserve"> </w:t>
      </w:r>
      <w:r>
        <w:t>où</w:t>
      </w:r>
      <w:r w:rsidRPr="002C4077">
        <w:t xml:space="preserve"> </w:t>
      </w:r>
      <w:r>
        <w:t>il</w:t>
      </w:r>
      <w:r w:rsidRPr="002C4077">
        <w:t xml:space="preserve"> </w:t>
      </w:r>
      <w:r>
        <w:t>aimerait</w:t>
      </w:r>
      <w:r w:rsidRPr="002C4077">
        <w:t xml:space="preserve"> </w:t>
      </w:r>
      <w:r>
        <w:t>à</w:t>
      </w:r>
      <w:r w:rsidRPr="002C4077">
        <w:t xml:space="preserve"> </w:t>
      </w:r>
      <w:r>
        <w:t>être</w:t>
      </w:r>
      <w:r w:rsidRPr="002C4077">
        <w:t xml:space="preserve"> </w:t>
      </w:r>
      <w:r>
        <w:t>enseveli</w:t>
      </w:r>
      <w:r w:rsidRPr="002C4077">
        <w:t xml:space="preserve"> </w:t>
      </w:r>
      <w:r>
        <w:t>après</w:t>
      </w:r>
      <w:r w:rsidRPr="002C4077">
        <w:t xml:space="preserve"> </w:t>
      </w:r>
      <w:r>
        <w:t>sa</w:t>
      </w:r>
      <w:r w:rsidRPr="002C4077">
        <w:t xml:space="preserve"> </w:t>
      </w:r>
      <w:r>
        <w:t>mort</w:t>
      </w:r>
      <w:r w:rsidR="00B546AF">
        <w:t> ?</w:t>
      </w:r>
      <w:r w:rsidRPr="002C4077">
        <w:t xml:space="preserve"> </w:t>
      </w:r>
      <w:r>
        <w:t>Dans</w:t>
      </w:r>
      <w:r w:rsidRPr="002C4077">
        <w:t xml:space="preserve"> </w:t>
      </w:r>
      <w:r>
        <w:t>la</w:t>
      </w:r>
      <w:r w:rsidRPr="002C4077">
        <w:t xml:space="preserve"> </w:t>
      </w:r>
      <w:r>
        <w:t>patrie</w:t>
      </w:r>
      <w:r w:rsidRPr="002C4077">
        <w:t xml:space="preserve"> </w:t>
      </w:r>
      <w:r>
        <w:t>d’abord,</w:t>
      </w:r>
      <w:r w:rsidRPr="002C4077">
        <w:t xml:space="preserve"> </w:t>
      </w:r>
      <w:r>
        <w:t>et</w:t>
      </w:r>
      <w:r w:rsidRPr="002C4077">
        <w:t xml:space="preserve"> </w:t>
      </w:r>
      <w:r>
        <w:t>sinon</w:t>
      </w:r>
      <w:r w:rsidRPr="002C4077">
        <w:t xml:space="preserve"> </w:t>
      </w:r>
      <w:r>
        <w:t>auprès</w:t>
      </w:r>
      <w:r w:rsidRPr="002C4077">
        <w:t xml:space="preserve"> </w:t>
      </w:r>
      <w:r>
        <w:t>du</w:t>
      </w:r>
      <w:r w:rsidRPr="002C4077">
        <w:t xml:space="preserve"> </w:t>
      </w:r>
      <w:r>
        <w:t>clocher</w:t>
      </w:r>
      <w:r w:rsidRPr="002C4077">
        <w:t xml:space="preserve"> </w:t>
      </w:r>
      <w:r>
        <w:t>natal,</w:t>
      </w:r>
      <w:r w:rsidRPr="002C4077">
        <w:t xml:space="preserve"> </w:t>
      </w:r>
      <w:r>
        <w:t>du</w:t>
      </w:r>
      <w:r w:rsidRPr="002C4077">
        <w:t xml:space="preserve"> </w:t>
      </w:r>
      <w:r>
        <w:t>moins</w:t>
      </w:r>
      <w:r w:rsidRPr="002C4077">
        <w:t xml:space="preserve"> </w:t>
      </w:r>
      <w:r>
        <w:t>à</w:t>
      </w:r>
      <w:r w:rsidRPr="002C4077">
        <w:t xml:space="preserve"> </w:t>
      </w:r>
      <w:r>
        <w:t>côté</w:t>
      </w:r>
      <w:r w:rsidRPr="002C4077">
        <w:t xml:space="preserve"> </w:t>
      </w:r>
      <w:r>
        <w:t>de</w:t>
      </w:r>
      <w:r w:rsidRPr="002C4077">
        <w:t xml:space="preserve"> </w:t>
      </w:r>
      <w:r>
        <w:t>quelque</w:t>
      </w:r>
      <w:r w:rsidRPr="002C4077">
        <w:t xml:space="preserve"> </w:t>
      </w:r>
      <w:r>
        <w:t>résidence</w:t>
      </w:r>
      <w:r w:rsidRPr="002C4077">
        <w:t xml:space="preserve"> </w:t>
      </w:r>
      <w:r>
        <w:t>d’adoption,</w:t>
      </w:r>
      <w:r w:rsidRPr="002C4077">
        <w:t xml:space="preserve"> </w:t>
      </w:r>
      <w:r>
        <w:t>où</w:t>
      </w:r>
      <w:r w:rsidRPr="002C4077">
        <w:t xml:space="preserve"> </w:t>
      </w:r>
      <w:r>
        <w:t>l’on</w:t>
      </w:r>
      <w:r w:rsidRPr="002C4077">
        <w:t xml:space="preserve"> </w:t>
      </w:r>
      <w:r>
        <w:t>aura</w:t>
      </w:r>
      <w:r w:rsidRPr="002C4077">
        <w:t xml:space="preserve"> </w:t>
      </w:r>
      <w:r>
        <w:t>coulé</w:t>
      </w:r>
      <w:r w:rsidRPr="002C4077">
        <w:t xml:space="preserve"> </w:t>
      </w:r>
      <w:r>
        <w:t>de</w:t>
      </w:r>
      <w:r w:rsidRPr="002C4077">
        <w:t xml:space="preserve"> </w:t>
      </w:r>
      <w:r>
        <w:t>longs</w:t>
      </w:r>
      <w:r w:rsidRPr="002C4077">
        <w:t xml:space="preserve"> </w:t>
      </w:r>
      <w:r>
        <w:t>et</w:t>
      </w:r>
      <w:r w:rsidRPr="002C4077">
        <w:t xml:space="preserve"> </w:t>
      </w:r>
      <w:r>
        <w:t>d’heureux</w:t>
      </w:r>
      <w:r w:rsidRPr="002C4077">
        <w:t xml:space="preserve"> </w:t>
      </w:r>
      <w:r>
        <w:t>jours.</w:t>
      </w:r>
      <w:r w:rsidRPr="002C4077">
        <w:t xml:space="preserve"> </w:t>
      </w:r>
      <w:r>
        <w:t>Ce</w:t>
      </w:r>
      <w:r w:rsidRPr="002C4077">
        <w:t xml:space="preserve"> </w:t>
      </w:r>
      <w:r>
        <w:t>sentiment</w:t>
      </w:r>
      <w:r w:rsidRPr="002C4077">
        <w:t xml:space="preserve"> </w:t>
      </w:r>
      <w:r w:rsidR="00425C50">
        <w:t>est</w:t>
      </w:r>
      <w:r w:rsidRPr="002C4077">
        <w:t xml:space="preserve"> </w:t>
      </w:r>
      <w:r>
        <w:t>exprimé</w:t>
      </w:r>
      <w:r w:rsidRPr="002C4077">
        <w:t xml:space="preserve"> </w:t>
      </w:r>
      <w:r>
        <w:t>d’une</w:t>
      </w:r>
      <w:r w:rsidRPr="002C4077">
        <w:t xml:space="preserve"> </w:t>
      </w:r>
      <w:r>
        <w:t>manière</w:t>
      </w:r>
      <w:r w:rsidRPr="002C4077">
        <w:t xml:space="preserve"> </w:t>
      </w:r>
      <w:r>
        <w:t>délicate</w:t>
      </w:r>
      <w:r w:rsidRPr="002C4077">
        <w:t xml:space="preserve"> </w:t>
      </w:r>
      <w:r>
        <w:t>dans</w:t>
      </w:r>
      <w:r w:rsidRPr="002C4077">
        <w:t xml:space="preserve"> </w:t>
      </w:r>
      <w:r>
        <w:t>l’épitaphe</w:t>
      </w:r>
      <w:r w:rsidRPr="002C4077">
        <w:t xml:space="preserve"> </w:t>
      </w:r>
      <w:r>
        <w:t>du</w:t>
      </w:r>
      <w:r w:rsidRPr="002C4077">
        <w:t xml:space="preserve"> </w:t>
      </w:r>
      <w:r>
        <w:t>poète</w:t>
      </w:r>
      <w:r w:rsidRPr="002C4077">
        <w:t xml:space="preserve"> </w:t>
      </w:r>
      <w:r>
        <w:t>Léonide</w:t>
      </w:r>
      <w:r w:rsidRPr="002C4077">
        <w:t xml:space="preserve"> </w:t>
      </w:r>
      <w:r>
        <w:t>de</w:t>
      </w:r>
      <w:r w:rsidRPr="002C4077">
        <w:t xml:space="preserve"> </w:t>
      </w:r>
      <w:r>
        <w:t>Tarente</w:t>
      </w:r>
      <w:r w:rsidR="00B546AF">
        <w:t> :</w:t>
      </w:r>
      <w:r w:rsidRPr="002C4077">
        <w:t xml:space="preserve"> </w:t>
      </w:r>
      <w:r w:rsidR="00B546AF">
        <w:t>« </w:t>
      </w:r>
      <w:r>
        <w:t>Je</w:t>
      </w:r>
      <w:r w:rsidRPr="002C4077">
        <w:t xml:space="preserve"> </w:t>
      </w:r>
      <w:r>
        <w:t>repose</w:t>
      </w:r>
      <w:r w:rsidRPr="002C4077">
        <w:t xml:space="preserve"> </w:t>
      </w:r>
      <w:r>
        <w:t>bien</w:t>
      </w:r>
      <w:r w:rsidRPr="002C4077">
        <w:t xml:space="preserve"> </w:t>
      </w:r>
      <w:r>
        <w:t>loin</w:t>
      </w:r>
      <w:r w:rsidRPr="002C4077">
        <w:t xml:space="preserve"> </w:t>
      </w:r>
      <w:r>
        <w:t>de</w:t>
      </w:r>
      <w:r w:rsidRPr="002C4077">
        <w:t xml:space="preserve"> </w:t>
      </w:r>
      <w:r>
        <w:t>l’Italie</w:t>
      </w:r>
      <w:r w:rsidRPr="002C4077">
        <w:t xml:space="preserve"> </w:t>
      </w:r>
      <w:r>
        <w:t>et</w:t>
      </w:r>
      <w:r w:rsidRPr="002C4077">
        <w:t xml:space="preserve"> </w:t>
      </w:r>
      <w:r>
        <w:t>de</w:t>
      </w:r>
      <w:r w:rsidRPr="002C4077">
        <w:t xml:space="preserve"> </w:t>
      </w:r>
      <w:r>
        <w:t>la</w:t>
      </w:r>
      <w:r w:rsidRPr="002C4077">
        <w:t xml:space="preserve"> </w:t>
      </w:r>
      <w:r>
        <w:t>terre</w:t>
      </w:r>
      <w:r w:rsidRPr="002C4077">
        <w:t xml:space="preserve"> </w:t>
      </w:r>
      <w:r>
        <w:t>maternelle</w:t>
      </w:r>
      <w:r w:rsidRPr="002C4077">
        <w:t xml:space="preserve"> </w:t>
      </w:r>
      <w:r>
        <w:t>de</w:t>
      </w:r>
      <w:r w:rsidRPr="002C4077">
        <w:t xml:space="preserve"> </w:t>
      </w:r>
      <w:r>
        <w:t>Tarente,</w:t>
      </w:r>
      <w:r w:rsidRPr="002C4077">
        <w:t xml:space="preserve"> </w:t>
      </w:r>
      <w:r>
        <w:t>ce</w:t>
      </w:r>
      <w:r w:rsidRPr="002C4077">
        <w:t xml:space="preserve"> </w:t>
      </w:r>
      <w:r>
        <w:t>qui</w:t>
      </w:r>
      <w:r w:rsidRPr="002C4077">
        <w:t xml:space="preserve"> </w:t>
      </w:r>
      <w:r>
        <w:t>m’est</w:t>
      </w:r>
      <w:r w:rsidRPr="002C4077">
        <w:t xml:space="preserve"> </w:t>
      </w:r>
      <w:r>
        <w:t>plus</w:t>
      </w:r>
      <w:r w:rsidRPr="002C4077">
        <w:t xml:space="preserve"> </w:t>
      </w:r>
      <w:r>
        <w:t>amer</w:t>
      </w:r>
      <w:r w:rsidRPr="002C4077">
        <w:t xml:space="preserve"> </w:t>
      </w:r>
      <w:r>
        <w:t>que</w:t>
      </w:r>
      <w:r w:rsidRPr="002C4077">
        <w:t xml:space="preserve"> </w:t>
      </w:r>
      <w:r>
        <w:t>la</w:t>
      </w:r>
      <w:r w:rsidRPr="002C4077">
        <w:t xml:space="preserve"> </w:t>
      </w:r>
      <w:r>
        <w:t>mort</w:t>
      </w:r>
      <w:r w:rsidRPr="002C4077">
        <w:t xml:space="preserve"> </w:t>
      </w:r>
      <w:r>
        <w:t>même</w:t>
      </w:r>
      <w:r w:rsidR="00B546AF">
        <w:t> »</w:t>
      </w:r>
      <w:r>
        <w:t>.</w:t>
      </w:r>
      <w:r w:rsidRPr="002C4077">
        <w:t xml:space="preserve"> </w:t>
      </w:r>
    </w:p>
    <w:p w:rsidR="000A7AAB" w:rsidRDefault="000A7AAB" w:rsidP="000A7AAB">
      <w:r>
        <w:t>Mais</w:t>
      </w:r>
      <w:r w:rsidRPr="002C4077">
        <w:t xml:space="preserve"> </w:t>
      </w:r>
      <w:r>
        <w:t>l’idée</w:t>
      </w:r>
      <w:r w:rsidRPr="002C4077">
        <w:t xml:space="preserve"> </w:t>
      </w:r>
      <w:r>
        <w:t>religieuse,</w:t>
      </w:r>
      <w:r w:rsidRPr="002C4077">
        <w:t xml:space="preserve"> </w:t>
      </w:r>
      <w:r>
        <w:t>qui</w:t>
      </w:r>
      <w:r w:rsidRPr="002C4077">
        <w:t xml:space="preserve"> </w:t>
      </w:r>
      <w:r>
        <w:t>s’est</w:t>
      </w:r>
      <w:r w:rsidRPr="002C4077">
        <w:t xml:space="preserve"> </w:t>
      </w:r>
      <w:r>
        <w:t>emparée</w:t>
      </w:r>
      <w:r w:rsidRPr="002C4077">
        <w:t xml:space="preserve"> </w:t>
      </w:r>
      <w:r>
        <w:t>de</w:t>
      </w:r>
      <w:r w:rsidRPr="002C4077">
        <w:t xml:space="preserve"> </w:t>
      </w:r>
      <w:r>
        <w:t>cet</w:t>
      </w:r>
      <w:r w:rsidRPr="002C4077">
        <w:t xml:space="preserve"> </w:t>
      </w:r>
      <w:r>
        <w:t>instinct</w:t>
      </w:r>
      <w:r w:rsidRPr="002C4077">
        <w:t xml:space="preserve"> </w:t>
      </w:r>
      <w:r>
        <w:t>naturel</w:t>
      </w:r>
      <w:r w:rsidRPr="002C4077">
        <w:t xml:space="preserve"> </w:t>
      </w:r>
      <w:r>
        <w:t>pour</w:t>
      </w:r>
      <w:r w:rsidRPr="002C4077">
        <w:t xml:space="preserve"> </w:t>
      </w:r>
      <w:r>
        <w:t>le</w:t>
      </w:r>
      <w:r w:rsidRPr="002C4077">
        <w:t xml:space="preserve"> </w:t>
      </w:r>
      <w:r>
        <w:t>rehausser</w:t>
      </w:r>
      <w:r w:rsidRPr="002C4077">
        <w:t xml:space="preserve"> </w:t>
      </w:r>
      <w:r>
        <w:t>et</w:t>
      </w:r>
      <w:r w:rsidRPr="002C4077">
        <w:t xml:space="preserve"> </w:t>
      </w:r>
      <w:r>
        <w:t>le</w:t>
      </w:r>
      <w:r w:rsidRPr="002C4077">
        <w:t xml:space="preserve"> </w:t>
      </w:r>
      <w:r>
        <w:t>perfectionner,</w:t>
      </w:r>
      <w:r w:rsidRPr="002C4077">
        <w:t xml:space="preserve"> </w:t>
      </w:r>
      <w:r>
        <w:t>nous</w:t>
      </w:r>
      <w:r w:rsidRPr="002C4077">
        <w:t xml:space="preserve"> </w:t>
      </w:r>
      <w:r>
        <w:t>fait</w:t>
      </w:r>
      <w:r w:rsidRPr="002C4077">
        <w:t xml:space="preserve"> </w:t>
      </w:r>
      <w:r>
        <w:t>désirer</w:t>
      </w:r>
      <w:r w:rsidRPr="002C4077">
        <w:t xml:space="preserve"> </w:t>
      </w:r>
      <w:r>
        <w:t>quelque</w:t>
      </w:r>
      <w:r w:rsidRPr="002C4077">
        <w:t xml:space="preserve"> </w:t>
      </w:r>
      <w:r>
        <w:t>chose</w:t>
      </w:r>
      <w:r w:rsidRPr="002C4077">
        <w:t xml:space="preserve"> </w:t>
      </w:r>
      <w:r>
        <w:t>de</w:t>
      </w:r>
      <w:r w:rsidRPr="002C4077">
        <w:t xml:space="preserve"> </w:t>
      </w:r>
      <w:r>
        <w:t>plus</w:t>
      </w:r>
      <w:r w:rsidRPr="002C4077">
        <w:t xml:space="preserve"> </w:t>
      </w:r>
      <w:r>
        <w:t>quand</w:t>
      </w:r>
      <w:r w:rsidRPr="002C4077">
        <w:t xml:space="preserve"> </w:t>
      </w:r>
      <w:r>
        <w:t>nous</w:t>
      </w:r>
      <w:r w:rsidRPr="002C4077">
        <w:t xml:space="preserve"> </w:t>
      </w:r>
      <w:r>
        <w:t>pensons</w:t>
      </w:r>
      <w:r w:rsidRPr="002C4077">
        <w:t xml:space="preserve"> </w:t>
      </w:r>
      <w:r>
        <w:t>à</w:t>
      </w:r>
      <w:r w:rsidRPr="002C4077">
        <w:t xml:space="preserve"> </w:t>
      </w:r>
      <w:r>
        <w:t>notre</w:t>
      </w:r>
      <w:r w:rsidRPr="002C4077">
        <w:t xml:space="preserve"> </w:t>
      </w:r>
      <w:r>
        <w:t>sépulture.</w:t>
      </w:r>
      <w:r w:rsidRPr="002C4077">
        <w:t xml:space="preserve"> </w:t>
      </w:r>
      <w:r>
        <w:t>Quel</w:t>
      </w:r>
      <w:r w:rsidRPr="002C4077">
        <w:t xml:space="preserve"> </w:t>
      </w:r>
      <w:r w:rsidR="00425C50">
        <w:t>est</w:t>
      </w:r>
      <w:r w:rsidRPr="002C4077">
        <w:t xml:space="preserve"> </w:t>
      </w:r>
      <w:r>
        <w:t>le</w:t>
      </w:r>
      <w:r w:rsidRPr="002C4077">
        <w:t xml:space="preserve"> </w:t>
      </w:r>
      <w:r>
        <w:t>chrétien</w:t>
      </w:r>
      <w:r w:rsidRPr="002C4077">
        <w:t xml:space="preserve"> </w:t>
      </w:r>
      <w:r>
        <w:t>qui</w:t>
      </w:r>
      <w:r w:rsidRPr="002C4077">
        <w:t xml:space="preserve"> </w:t>
      </w:r>
      <w:r>
        <w:t>ne</w:t>
      </w:r>
      <w:r w:rsidRPr="002C4077">
        <w:t xml:space="preserve"> </w:t>
      </w:r>
      <w:r>
        <w:t>souhaite</w:t>
      </w:r>
      <w:r w:rsidRPr="002C4077">
        <w:t xml:space="preserve"> </w:t>
      </w:r>
      <w:r>
        <w:t>pour</w:t>
      </w:r>
      <w:r w:rsidRPr="002C4077">
        <w:t xml:space="preserve"> </w:t>
      </w:r>
      <w:r>
        <w:t>sa</w:t>
      </w:r>
      <w:r w:rsidRPr="002C4077">
        <w:t xml:space="preserve"> </w:t>
      </w:r>
      <w:r>
        <w:t>dépouille</w:t>
      </w:r>
      <w:r w:rsidRPr="002C4077">
        <w:t xml:space="preserve"> </w:t>
      </w:r>
      <w:r>
        <w:t>mortelle</w:t>
      </w:r>
      <w:r w:rsidRPr="002C4077">
        <w:t xml:space="preserve"> </w:t>
      </w:r>
      <w:r>
        <w:t>le</w:t>
      </w:r>
      <w:r w:rsidRPr="002C4077">
        <w:t xml:space="preserve"> </w:t>
      </w:r>
      <w:r>
        <w:t>repos</w:t>
      </w:r>
      <w:r w:rsidRPr="002C4077">
        <w:t xml:space="preserve"> </w:t>
      </w:r>
      <w:r>
        <w:t>à</w:t>
      </w:r>
      <w:r w:rsidRPr="002C4077">
        <w:t xml:space="preserve"> </w:t>
      </w:r>
      <w:r>
        <w:t>l’ombre</w:t>
      </w:r>
      <w:r w:rsidRPr="002C4077">
        <w:t xml:space="preserve"> </w:t>
      </w:r>
      <w:r>
        <w:t>de</w:t>
      </w:r>
      <w:r w:rsidRPr="002C4077">
        <w:t xml:space="preserve"> </w:t>
      </w:r>
      <w:r>
        <w:t>la</w:t>
      </w:r>
      <w:r w:rsidRPr="002C4077">
        <w:t xml:space="preserve"> </w:t>
      </w:r>
      <w:r>
        <w:t>croix,</w:t>
      </w:r>
      <w:r w:rsidRPr="002C4077">
        <w:t xml:space="preserve"> </w:t>
      </w:r>
      <w:r>
        <w:t>dans</w:t>
      </w:r>
      <w:r w:rsidRPr="002C4077">
        <w:t xml:space="preserve"> </w:t>
      </w:r>
      <w:r>
        <w:t>une</w:t>
      </w:r>
      <w:r w:rsidRPr="002C4077">
        <w:t xml:space="preserve"> </w:t>
      </w:r>
      <w:r>
        <w:t>terre</w:t>
      </w:r>
      <w:r w:rsidRPr="002C4077">
        <w:t xml:space="preserve"> </w:t>
      </w:r>
      <w:r>
        <w:t>consacrée</w:t>
      </w:r>
      <w:r w:rsidRPr="002C4077">
        <w:t xml:space="preserve"> </w:t>
      </w:r>
      <w:r>
        <w:t>par</w:t>
      </w:r>
      <w:r w:rsidRPr="002C4077">
        <w:t xml:space="preserve"> </w:t>
      </w:r>
      <w:r>
        <w:t>les</w:t>
      </w:r>
      <w:r w:rsidRPr="002C4077">
        <w:t xml:space="preserve"> </w:t>
      </w:r>
      <w:r>
        <w:t>prières</w:t>
      </w:r>
      <w:r w:rsidRPr="002C4077">
        <w:t xml:space="preserve"> </w:t>
      </w:r>
      <w:r>
        <w:t>de</w:t>
      </w:r>
      <w:r w:rsidRPr="002C4077">
        <w:t xml:space="preserve"> </w:t>
      </w:r>
      <w:r>
        <w:t>l’Église,</w:t>
      </w:r>
      <w:r w:rsidRPr="002C4077">
        <w:t xml:space="preserve"> </w:t>
      </w:r>
      <w:r>
        <w:t>auprès</w:t>
      </w:r>
      <w:r w:rsidRPr="002C4077">
        <w:t xml:space="preserve"> </w:t>
      </w:r>
      <w:r>
        <w:t>des</w:t>
      </w:r>
      <w:r w:rsidRPr="002C4077">
        <w:t xml:space="preserve"> </w:t>
      </w:r>
      <w:r>
        <w:t>cendres</w:t>
      </w:r>
      <w:r w:rsidRPr="002C4077">
        <w:t xml:space="preserve"> </w:t>
      </w:r>
      <w:r>
        <w:t>de</w:t>
      </w:r>
      <w:r w:rsidRPr="002C4077">
        <w:t xml:space="preserve"> </w:t>
      </w:r>
      <w:r>
        <w:t>ceux</w:t>
      </w:r>
      <w:r w:rsidRPr="002C4077">
        <w:t xml:space="preserve"> </w:t>
      </w:r>
      <w:r>
        <w:t>qui</w:t>
      </w:r>
      <w:r w:rsidRPr="002C4077">
        <w:t xml:space="preserve"> </w:t>
      </w:r>
      <w:r>
        <w:t>partageaient</w:t>
      </w:r>
      <w:r w:rsidRPr="002C4077">
        <w:t xml:space="preserve"> </w:t>
      </w:r>
      <w:r>
        <w:t>sa</w:t>
      </w:r>
      <w:r w:rsidRPr="002C4077">
        <w:t xml:space="preserve"> </w:t>
      </w:r>
      <w:r>
        <w:t>foi</w:t>
      </w:r>
      <w:r w:rsidRPr="002C4077">
        <w:t xml:space="preserve"> </w:t>
      </w:r>
      <w:r>
        <w:t>et</w:t>
      </w:r>
      <w:r w:rsidRPr="002C4077">
        <w:t xml:space="preserve"> </w:t>
      </w:r>
      <w:r>
        <w:t>ses</w:t>
      </w:r>
      <w:r w:rsidRPr="002C4077">
        <w:t xml:space="preserve"> </w:t>
      </w:r>
      <w:r>
        <w:t>espérances</w:t>
      </w:r>
      <w:r w:rsidR="00B546AF">
        <w:t> ?</w:t>
      </w:r>
      <w:r w:rsidR="00C45B47">
        <w:t xml:space="preserve"> {</w:t>
      </w:r>
      <w:r w:rsidR="005E2129">
        <w:t>287</w:t>
      </w:r>
      <w:bookmarkStart w:id="701" w:name="p287"/>
      <w:bookmarkEnd w:id="701"/>
      <w:r w:rsidR="005E2129">
        <w:t xml:space="preserve">} </w:t>
      </w:r>
      <w:r>
        <w:t>C’est</w:t>
      </w:r>
      <w:r w:rsidRPr="002C4077">
        <w:t xml:space="preserve"> </w:t>
      </w:r>
      <w:r>
        <w:t>un</w:t>
      </w:r>
      <w:r w:rsidRPr="002C4077">
        <w:t xml:space="preserve"> </w:t>
      </w:r>
      <w:r>
        <w:t>principe</w:t>
      </w:r>
      <w:r w:rsidRPr="002C4077">
        <w:t xml:space="preserve"> </w:t>
      </w:r>
      <w:r>
        <w:t>surnaturel</w:t>
      </w:r>
      <w:r w:rsidRPr="002C4077">
        <w:t xml:space="preserve"> </w:t>
      </w:r>
      <w:r>
        <w:t>du</w:t>
      </w:r>
      <w:r w:rsidRPr="002C4077">
        <w:t xml:space="preserve"> </w:t>
      </w:r>
      <w:r>
        <w:t>même</w:t>
      </w:r>
      <w:r w:rsidRPr="002C4077">
        <w:t xml:space="preserve"> </w:t>
      </w:r>
      <w:r>
        <w:t>genre</w:t>
      </w:r>
      <w:r w:rsidRPr="002C4077">
        <w:t xml:space="preserve"> </w:t>
      </w:r>
      <w:r>
        <w:t>qui</w:t>
      </w:r>
      <w:r w:rsidRPr="002C4077">
        <w:t xml:space="preserve"> </w:t>
      </w:r>
      <w:r>
        <w:t>inspirait</w:t>
      </w:r>
      <w:r w:rsidRPr="002C4077">
        <w:t xml:space="preserve"> </w:t>
      </w:r>
      <w:r>
        <w:t>à</w:t>
      </w:r>
      <w:r w:rsidRPr="002C4077">
        <w:t xml:space="preserve"> </w:t>
      </w:r>
      <w:r>
        <w:t>Jacob</w:t>
      </w:r>
      <w:r w:rsidRPr="002C4077">
        <w:t xml:space="preserve"> </w:t>
      </w:r>
      <w:r>
        <w:t>cette</w:t>
      </w:r>
      <w:r w:rsidRPr="002C4077">
        <w:t xml:space="preserve"> </w:t>
      </w:r>
      <w:r>
        <w:t>recommandation</w:t>
      </w:r>
      <w:r w:rsidRPr="002C4077">
        <w:t xml:space="preserve"> </w:t>
      </w:r>
      <w:r>
        <w:t>pressante,</w:t>
      </w:r>
      <w:r w:rsidRPr="002C4077">
        <w:t xml:space="preserve"> </w:t>
      </w:r>
      <w:r>
        <w:t>que</w:t>
      </w:r>
      <w:r w:rsidRPr="002C4077">
        <w:t xml:space="preserve"> </w:t>
      </w:r>
      <w:r>
        <w:t>la</w:t>
      </w:r>
      <w:r w:rsidRPr="002C4077">
        <w:t xml:space="preserve"> </w:t>
      </w:r>
      <w:r>
        <w:t>Bible</w:t>
      </w:r>
      <w:r w:rsidRPr="002C4077">
        <w:t xml:space="preserve"> </w:t>
      </w:r>
      <w:r>
        <w:t>signale</w:t>
      </w:r>
      <w:r w:rsidRPr="002C4077">
        <w:t xml:space="preserve"> </w:t>
      </w:r>
      <w:r>
        <w:t>comme</w:t>
      </w:r>
      <w:r w:rsidRPr="002C4077">
        <w:t xml:space="preserve"> </w:t>
      </w:r>
      <w:r>
        <w:t>sa</w:t>
      </w:r>
      <w:r w:rsidRPr="002C4077">
        <w:t xml:space="preserve"> </w:t>
      </w:r>
      <w:r>
        <w:t>dernière</w:t>
      </w:r>
      <w:r w:rsidRPr="002C4077">
        <w:t xml:space="preserve"> </w:t>
      </w:r>
      <w:r>
        <w:t>parole</w:t>
      </w:r>
      <w:r w:rsidR="00B546AF">
        <w:t> :</w:t>
      </w:r>
      <w:r w:rsidRPr="002C4077">
        <w:t xml:space="preserve"> </w:t>
      </w:r>
      <w:r w:rsidR="00B546AF">
        <w:t>« </w:t>
      </w:r>
      <w:r>
        <w:t>Je</w:t>
      </w:r>
      <w:r w:rsidRPr="002C4077">
        <w:t xml:space="preserve"> </w:t>
      </w:r>
      <w:r>
        <w:t>vais</w:t>
      </w:r>
      <w:r w:rsidRPr="002C4077">
        <w:t xml:space="preserve"> </w:t>
      </w:r>
      <w:r>
        <w:t>être</w:t>
      </w:r>
      <w:r w:rsidRPr="002C4077">
        <w:t xml:space="preserve"> </w:t>
      </w:r>
      <w:r>
        <w:t>réuni</w:t>
      </w:r>
      <w:r w:rsidRPr="002C4077">
        <w:t xml:space="preserve"> </w:t>
      </w:r>
      <w:r>
        <w:t>à</w:t>
      </w:r>
      <w:r w:rsidRPr="002C4077">
        <w:t xml:space="preserve"> </w:t>
      </w:r>
      <w:r>
        <w:t>mon</w:t>
      </w:r>
      <w:r w:rsidRPr="002C4077">
        <w:t xml:space="preserve"> </w:t>
      </w:r>
      <w:r>
        <w:t>peuple.</w:t>
      </w:r>
      <w:r w:rsidRPr="002C4077">
        <w:t xml:space="preserve"> </w:t>
      </w:r>
      <w:r>
        <w:t>Ensevelissez-moi</w:t>
      </w:r>
      <w:r w:rsidRPr="002C4077">
        <w:t xml:space="preserve"> </w:t>
      </w:r>
      <w:r>
        <w:t>avec</w:t>
      </w:r>
      <w:r w:rsidRPr="002C4077">
        <w:t xml:space="preserve"> </w:t>
      </w:r>
      <w:r>
        <w:t>mes</w:t>
      </w:r>
      <w:r w:rsidRPr="002C4077">
        <w:t xml:space="preserve"> </w:t>
      </w:r>
      <w:r>
        <w:t>pères,</w:t>
      </w:r>
      <w:r w:rsidRPr="002C4077">
        <w:t xml:space="preserve"> </w:t>
      </w:r>
      <w:r>
        <w:t>dans</w:t>
      </w:r>
      <w:r w:rsidRPr="002C4077">
        <w:t xml:space="preserve"> </w:t>
      </w:r>
      <w:r>
        <w:t>la</w:t>
      </w:r>
      <w:r w:rsidRPr="002C4077">
        <w:t xml:space="preserve"> </w:t>
      </w:r>
      <w:r>
        <w:t>double</w:t>
      </w:r>
      <w:r w:rsidRPr="002C4077">
        <w:t xml:space="preserve"> </w:t>
      </w:r>
      <w:r>
        <w:t>caverne</w:t>
      </w:r>
      <w:r w:rsidRPr="002C4077">
        <w:t xml:space="preserve"> </w:t>
      </w:r>
      <w:r>
        <w:t>qui</w:t>
      </w:r>
      <w:r w:rsidRPr="002C4077">
        <w:t xml:space="preserve"> </w:t>
      </w:r>
      <w:r w:rsidR="00425C50">
        <w:t>est</w:t>
      </w:r>
      <w:r w:rsidRPr="002C4077">
        <w:t xml:space="preserve"> </w:t>
      </w:r>
      <w:r>
        <w:t>située</w:t>
      </w:r>
      <w:r w:rsidRPr="002C4077">
        <w:t xml:space="preserve"> </w:t>
      </w:r>
      <w:r>
        <w:t>au</w:t>
      </w:r>
      <w:r w:rsidRPr="002C4077">
        <w:t xml:space="preserve"> </w:t>
      </w:r>
      <w:r>
        <w:t>champ</w:t>
      </w:r>
      <w:r w:rsidRPr="002C4077">
        <w:t xml:space="preserve"> </w:t>
      </w:r>
      <w:r>
        <w:t>de</w:t>
      </w:r>
      <w:r w:rsidRPr="002C4077">
        <w:t xml:space="preserve"> </w:t>
      </w:r>
      <w:r>
        <w:t>l’Héthéen</w:t>
      </w:r>
      <w:r w:rsidRPr="002C4077">
        <w:t xml:space="preserve"> </w:t>
      </w:r>
      <w:r>
        <w:t>Ephron,</w:t>
      </w:r>
      <w:r w:rsidRPr="002C4077">
        <w:t xml:space="preserve"> </w:t>
      </w:r>
      <w:r>
        <w:t>en</w:t>
      </w:r>
      <w:r w:rsidRPr="002C4077">
        <w:t xml:space="preserve"> </w:t>
      </w:r>
      <w:r>
        <w:t>face</w:t>
      </w:r>
      <w:r w:rsidRPr="002C4077">
        <w:t xml:space="preserve"> </w:t>
      </w:r>
      <w:r>
        <w:t>de</w:t>
      </w:r>
      <w:r w:rsidRPr="002C4077">
        <w:t xml:space="preserve"> </w:t>
      </w:r>
      <w:r>
        <w:t>Ma</w:t>
      </w:r>
      <w:r w:rsidR="001730C6">
        <w:t>mb</w:t>
      </w:r>
      <w:r>
        <w:t>ré,</w:t>
      </w:r>
      <w:r w:rsidRPr="002C4077">
        <w:t xml:space="preserve"> </w:t>
      </w:r>
      <w:r>
        <w:t>sur</w:t>
      </w:r>
      <w:r w:rsidRPr="002C4077">
        <w:t xml:space="preserve"> </w:t>
      </w:r>
      <w:r>
        <w:t>la</w:t>
      </w:r>
      <w:r w:rsidRPr="002C4077">
        <w:t xml:space="preserve"> </w:t>
      </w:r>
      <w:r>
        <w:t>terre</w:t>
      </w:r>
      <w:r w:rsidRPr="002C4077">
        <w:t xml:space="preserve"> </w:t>
      </w:r>
      <w:r>
        <w:t>de</w:t>
      </w:r>
      <w:r w:rsidRPr="002C4077">
        <w:t xml:space="preserve"> </w:t>
      </w:r>
      <w:r>
        <w:t>Chanaan,</w:t>
      </w:r>
      <w:r w:rsidRPr="002C4077">
        <w:t xml:space="preserve"> </w:t>
      </w:r>
      <w:r>
        <w:t>et</w:t>
      </w:r>
      <w:r w:rsidRPr="002C4077">
        <w:t xml:space="preserve"> </w:t>
      </w:r>
      <w:r>
        <w:t>qui</w:t>
      </w:r>
      <w:r w:rsidRPr="002C4077">
        <w:t xml:space="preserve"> </w:t>
      </w:r>
      <w:r>
        <w:t>a</w:t>
      </w:r>
      <w:r w:rsidRPr="002C4077">
        <w:t xml:space="preserve"> </w:t>
      </w:r>
      <w:r>
        <w:t>été</w:t>
      </w:r>
      <w:r w:rsidRPr="002C4077">
        <w:t xml:space="preserve"> </w:t>
      </w:r>
      <w:r>
        <w:t>acquise</w:t>
      </w:r>
      <w:r w:rsidRPr="002C4077">
        <w:t xml:space="preserve"> </w:t>
      </w:r>
      <w:r>
        <w:t>d’</w:t>
      </w:r>
      <w:r w:rsidR="001730C6">
        <w:t>Ep</w:t>
      </w:r>
      <w:r>
        <w:t>hron</w:t>
      </w:r>
      <w:r w:rsidRPr="002C4077">
        <w:t xml:space="preserve"> </w:t>
      </w:r>
      <w:r>
        <w:t>l’Héthéen</w:t>
      </w:r>
      <w:r w:rsidRPr="002C4077">
        <w:t xml:space="preserve"> </w:t>
      </w:r>
      <w:r>
        <w:t>par</w:t>
      </w:r>
      <w:r w:rsidRPr="002C4077">
        <w:t xml:space="preserve"> </w:t>
      </w:r>
      <w:r>
        <w:t>Abraham</w:t>
      </w:r>
      <w:r w:rsidRPr="002C4077">
        <w:t xml:space="preserve"> </w:t>
      </w:r>
      <w:r>
        <w:t>avec</w:t>
      </w:r>
      <w:r w:rsidRPr="002C4077">
        <w:t xml:space="preserve"> </w:t>
      </w:r>
      <w:r>
        <w:t>le</w:t>
      </w:r>
      <w:r w:rsidRPr="002C4077">
        <w:t xml:space="preserve"> </w:t>
      </w:r>
      <w:r>
        <w:t>champ,</w:t>
      </w:r>
      <w:r w:rsidRPr="002C4077">
        <w:t xml:space="preserve"> </w:t>
      </w:r>
      <w:r>
        <w:t>pour</w:t>
      </w:r>
      <w:r w:rsidRPr="002C4077">
        <w:t xml:space="preserve"> </w:t>
      </w:r>
      <w:r>
        <w:t>en</w:t>
      </w:r>
      <w:r w:rsidRPr="002C4077">
        <w:t xml:space="preserve"> </w:t>
      </w:r>
      <w:r>
        <w:t>faire</w:t>
      </w:r>
      <w:r w:rsidRPr="002C4077">
        <w:t xml:space="preserve"> </w:t>
      </w:r>
      <w:r>
        <w:t>une</w:t>
      </w:r>
      <w:r w:rsidRPr="002C4077">
        <w:t xml:space="preserve"> </w:t>
      </w:r>
      <w:r>
        <w:t>sépulture</w:t>
      </w:r>
      <w:r w:rsidRPr="002C4077">
        <w:t xml:space="preserve"> </w:t>
      </w:r>
      <w:r>
        <w:t>qui</w:t>
      </w:r>
      <w:r w:rsidRPr="002C4077">
        <w:t xml:space="preserve"> </w:t>
      </w:r>
      <w:r>
        <w:t>fût</w:t>
      </w:r>
      <w:r w:rsidRPr="002C4077">
        <w:t xml:space="preserve"> </w:t>
      </w:r>
      <w:r>
        <w:t>à</w:t>
      </w:r>
      <w:r w:rsidRPr="002C4077">
        <w:t xml:space="preserve"> </w:t>
      </w:r>
      <w:r>
        <w:t>lui</w:t>
      </w:r>
      <w:r w:rsidR="00B91AF7">
        <w:rPr>
          <w:rStyle w:val="Appelnotedebasdep"/>
        </w:rPr>
        <w:footnoteReference w:id="867"/>
      </w:r>
      <w:r w:rsidR="00B546AF">
        <w:t> »</w:t>
      </w:r>
      <w:r>
        <w:t>.</w:t>
      </w:r>
      <w:r w:rsidRPr="002C4077">
        <w:t xml:space="preserve"> </w:t>
      </w:r>
      <w:r>
        <w:t>Joseph,</w:t>
      </w:r>
      <w:r w:rsidRPr="002C4077">
        <w:t xml:space="preserve"> </w:t>
      </w:r>
      <w:r>
        <w:t>sur</w:t>
      </w:r>
      <w:r w:rsidRPr="002C4077">
        <w:t xml:space="preserve"> </w:t>
      </w:r>
      <w:r>
        <w:t>le</w:t>
      </w:r>
      <w:r w:rsidRPr="002C4077">
        <w:t xml:space="preserve"> </w:t>
      </w:r>
      <w:r>
        <w:t>point</w:t>
      </w:r>
      <w:r w:rsidRPr="002C4077">
        <w:t xml:space="preserve"> </w:t>
      </w:r>
      <w:r>
        <w:t>d’expirer,</w:t>
      </w:r>
      <w:r w:rsidRPr="002C4077">
        <w:t xml:space="preserve"> </w:t>
      </w:r>
      <w:r>
        <w:t>priait</w:t>
      </w:r>
      <w:r w:rsidRPr="002C4077">
        <w:t xml:space="preserve"> </w:t>
      </w:r>
      <w:r>
        <w:t>aussi</w:t>
      </w:r>
      <w:r w:rsidRPr="002C4077">
        <w:t xml:space="preserve"> </w:t>
      </w:r>
      <w:r>
        <w:t>très</w:t>
      </w:r>
      <w:r w:rsidRPr="002C4077">
        <w:t xml:space="preserve"> </w:t>
      </w:r>
      <w:r>
        <w:t>instamment</w:t>
      </w:r>
      <w:r w:rsidRPr="002C4077">
        <w:t xml:space="preserve"> </w:t>
      </w:r>
      <w:r>
        <w:t>ses</w:t>
      </w:r>
      <w:r w:rsidRPr="002C4077">
        <w:t xml:space="preserve"> </w:t>
      </w:r>
      <w:r>
        <w:t>frères,</w:t>
      </w:r>
      <w:r w:rsidRPr="002C4077">
        <w:t xml:space="preserve"> </w:t>
      </w:r>
      <w:r>
        <w:t>en</w:t>
      </w:r>
      <w:r w:rsidRPr="002C4077">
        <w:t xml:space="preserve"> </w:t>
      </w:r>
      <w:r>
        <w:t>prophétisant</w:t>
      </w:r>
      <w:r w:rsidRPr="002C4077">
        <w:t xml:space="preserve"> </w:t>
      </w:r>
      <w:r>
        <w:t>qu’un</w:t>
      </w:r>
      <w:r w:rsidRPr="002C4077">
        <w:t xml:space="preserve"> </w:t>
      </w:r>
      <w:r>
        <w:t>jour</w:t>
      </w:r>
      <w:r w:rsidRPr="002C4077">
        <w:t xml:space="preserve"> </w:t>
      </w:r>
      <w:r>
        <w:t>leur</w:t>
      </w:r>
      <w:r w:rsidRPr="002C4077">
        <w:t xml:space="preserve"> </w:t>
      </w:r>
      <w:r>
        <w:t>postérité</w:t>
      </w:r>
      <w:r w:rsidRPr="002C4077">
        <w:t xml:space="preserve"> </w:t>
      </w:r>
      <w:r>
        <w:t>posséderait</w:t>
      </w:r>
      <w:r w:rsidRPr="002C4077">
        <w:t xml:space="preserve"> </w:t>
      </w:r>
      <w:r>
        <w:t>la</w:t>
      </w:r>
      <w:r w:rsidRPr="002C4077">
        <w:t xml:space="preserve"> </w:t>
      </w:r>
      <w:r>
        <w:t>terre</w:t>
      </w:r>
      <w:r w:rsidRPr="002C4077">
        <w:t xml:space="preserve"> </w:t>
      </w:r>
      <w:r>
        <w:t>de</w:t>
      </w:r>
      <w:r w:rsidRPr="002C4077">
        <w:t xml:space="preserve"> </w:t>
      </w:r>
      <w:r>
        <w:t>Chanaan,</w:t>
      </w:r>
      <w:r w:rsidRPr="002C4077">
        <w:t xml:space="preserve"> </w:t>
      </w:r>
      <w:r>
        <w:t>de</w:t>
      </w:r>
      <w:r w:rsidRPr="002C4077">
        <w:t xml:space="preserve"> </w:t>
      </w:r>
      <w:r>
        <w:t>ne</w:t>
      </w:r>
      <w:r w:rsidRPr="002C4077">
        <w:t xml:space="preserve"> </w:t>
      </w:r>
      <w:r>
        <w:t>pas</w:t>
      </w:r>
      <w:r w:rsidRPr="002C4077">
        <w:t xml:space="preserve"> </w:t>
      </w:r>
      <w:r>
        <w:t>laisser</w:t>
      </w:r>
      <w:r w:rsidRPr="002C4077">
        <w:t xml:space="preserve"> </w:t>
      </w:r>
      <w:r>
        <w:t>ses</w:t>
      </w:r>
      <w:r w:rsidRPr="002C4077">
        <w:t xml:space="preserve"> </w:t>
      </w:r>
      <w:r>
        <w:t>ossements</w:t>
      </w:r>
      <w:r w:rsidRPr="002C4077">
        <w:t xml:space="preserve"> </w:t>
      </w:r>
      <w:r>
        <w:t>en</w:t>
      </w:r>
      <w:r w:rsidRPr="002C4077">
        <w:t xml:space="preserve"> </w:t>
      </w:r>
      <w:r>
        <w:t>Égypte,</w:t>
      </w:r>
      <w:r w:rsidRPr="002C4077">
        <w:t xml:space="preserve"> </w:t>
      </w:r>
      <w:r>
        <w:t>mais</w:t>
      </w:r>
      <w:r w:rsidRPr="002C4077">
        <w:t xml:space="preserve"> </w:t>
      </w:r>
      <w:r>
        <w:t>de</w:t>
      </w:r>
      <w:r w:rsidRPr="002C4077">
        <w:t xml:space="preserve"> </w:t>
      </w:r>
      <w:r>
        <w:t>les</w:t>
      </w:r>
      <w:r w:rsidRPr="002C4077">
        <w:t xml:space="preserve"> </w:t>
      </w:r>
      <w:r>
        <w:t>emporter</w:t>
      </w:r>
      <w:r w:rsidRPr="002C4077">
        <w:t xml:space="preserve"> </w:t>
      </w:r>
      <w:r>
        <w:t>dans</w:t>
      </w:r>
      <w:r w:rsidRPr="002C4077">
        <w:t xml:space="preserve"> </w:t>
      </w:r>
      <w:r>
        <w:t>la</w:t>
      </w:r>
      <w:r w:rsidRPr="002C4077">
        <w:t xml:space="preserve"> </w:t>
      </w:r>
      <w:r>
        <w:t>terre</w:t>
      </w:r>
      <w:r w:rsidRPr="002C4077">
        <w:t xml:space="preserve"> </w:t>
      </w:r>
      <w:r>
        <w:t>sacrée</w:t>
      </w:r>
      <w:r w:rsidRPr="002C4077">
        <w:t xml:space="preserve"> </w:t>
      </w:r>
      <w:r>
        <w:t>de</w:t>
      </w:r>
      <w:r w:rsidRPr="002C4077">
        <w:t xml:space="preserve"> </w:t>
      </w:r>
      <w:r>
        <w:t>la</w:t>
      </w:r>
      <w:r w:rsidRPr="002C4077">
        <w:t xml:space="preserve"> </w:t>
      </w:r>
      <w:r>
        <w:t>promesse</w:t>
      </w:r>
      <w:r w:rsidR="00B91AF7">
        <w:rPr>
          <w:rStyle w:val="Appelnotedebasdep"/>
        </w:rPr>
        <w:footnoteReference w:id="868"/>
      </w:r>
      <w:r>
        <w:t>.</w:t>
      </w:r>
      <w:r w:rsidRPr="002C4077">
        <w:t xml:space="preserve"> </w:t>
      </w:r>
    </w:p>
    <w:p w:rsidR="000A7AAB" w:rsidRPr="005E2129" w:rsidRDefault="000A7AAB" w:rsidP="000A7AAB">
      <w:r>
        <w:t>Nous</w:t>
      </w:r>
      <w:r w:rsidRPr="002C4077">
        <w:t xml:space="preserve"> </w:t>
      </w:r>
      <w:r>
        <w:t>ne</w:t>
      </w:r>
      <w:r w:rsidRPr="002C4077">
        <w:t xml:space="preserve"> </w:t>
      </w:r>
      <w:r>
        <w:t>saurions</w:t>
      </w:r>
      <w:r w:rsidRPr="002C4077">
        <w:t xml:space="preserve"> </w:t>
      </w:r>
      <w:r>
        <w:t>donc,</w:t>
      </w:r>
      <w:r w:rsidRPr="002C4077">
        <w:t xml:space="preserve"> </w:t>
      </w:r>
      <w:r>
        <w:t>sans</w:t>
      </w:r>
      <w:r w:rsidRPr="002C4077">
        <w:t xml:space="preserve"> </w:t>
      </w:r>
      <w:r>
        <w:t>injustice,</w:t>
      </w:r>
      <w:r w:rsidRPr="002C4077">
        <w:t xml:space="preserve"> </w:t>
      </w:r>
      <w:r>
        <w:t>faire</w:t>
      </w:r>
      <w:r w:rsidRPr="002C4077">
        <w:t xml:space="preserve"> </w:t>
      </w:r>
      <w:r>
        <w:t>un</w:t>
      </w:r>
      <w:r w:rsidRPr="002C4077">
        <w:t xml:space="preserve"> </w:t>
      </w:r>
      <w:r>
        <w:t>crime</w:t>
      </w:r>
      <w:r w:rsidRPr="002C4077">
        <w:t xml:space="preserve"> </w:t>
      </w:r>
      <w:r>
        <w:t>aux</w:t>
      </w:r>
      <w:r w:rsidRPr="002C4077">
        <w:t xml:space="preserve"> </w:t>
      </w:r>
      <w:r>
        <w:t>descendants</w:t>
      </w:r>
      <w:r w:rsidRPr="002C4077">
        <w:t xml:space="preserve"> </w:t>
      </w:r>
      <w:r>
        <w:t>de</w:t>
      </w:r>
      <w:r w:rsidRPr="002C4077">
        <w:t xml:space="preserve"> </w:t>
      </w:r>
      <w:r>
        <w:t>ces</w:t>
      </w:r>
      <w:r w:rsidRPr="002C4077">
        <w:t xml:space="preserve"> </w:t>
      </w:r>
      <w:r>
        <w:t>saints</w:t>
      </w:r>
      <w:r w:rsidRPr="002C4077">
        <w:t xml:space="preserve"> </w:t>
      </w:r>
      <w:r>
        <w:t>patriarches</w:t>
      </w:r>
      <w:r w:rsidRPr="002C4077">
        <w:t xml:space="preserve"> </w:t>
      </w:r>
      <w:r>
        <w:t>d’aimer</w:t>
      </w:r>
      <w:r w:rsidRPr="002C4077">
        <w:t xml:space="preserve"> </w:t>
      </w:r>
      <w:r>
        <w:t>à</w:t>
      </w:r>
      <w:r w:rsidRPr="002C4077">
        <w:t xml:space="preserve"> </w:t>
      </w:r>
      <w:r>
        <w:t>être</w:t>
      </w:r>
      <w:r w:rsidRPr="002C4077">
        <w:t xml:space="preserve"> </w:t>
      </w:r>
      <w:r>
        <w:t>enterrés</w:t>
      </w:r>
      <w:r w:rsidRPr="002C4077">
        <w:t xml:space="preserve"> </w:t>
      </w:r>
      <w:r>
        <w:t>auprès</w:t>
      </w:r>
      <w:r w:rsidRPr="002C4077">
        <w:t xml:space="preserve"> </w:t>
      </w:r>
      <w:r>
        <w:t>des</w:t>
      </w:r>
      <w:r w:rsidRPr="002C4077">
        <w:t xml:space="preserve"> </w:t>
      </w:r>
      <w:r>
        <w:t>leurs,</w:t>
      </w:r>
      <w:r w:rsidRPr="002C4077">
        <w:t xml:space="preserve"> </w:t>
      </w:r>
      <w:r>
        <w:t>sur</w:t>
      </w:r>
      <w:r w:rsidRPr="002C4077">
        <w:t xml:space="preserve"> </w:t>
      </w:r>
      <w:r>
        <w:t>un</w:t>
      </w:r>
      <w:r w:rsidRPr="002C4077">
        <w:t xml:space="preserve"> </w:t>
      </w:r>
      <w:r>
        <w:t>terrain</w:t>
      </w:r>
      <w:r w:rsidRPr="002C4077">
        <w:t xml:space="preserve"> </w:t>
      </w:r>
      <w:r>
        <w:t>qui</w:t>
      </w:r>
      <w:r w:rsidRPr="002C4077">
        <w:t xml:space="preserve"> </w:t>
      </w:r>
      <w:r>
        <w:t>leur</w:t>
      </w:r>
      <w:r w:rsidRPr="002C4077">
        <w:t xml:space="preserve"> </w:t>
      </w:r>
      <w:r>
        <w:t>appartienne</w:t>
      </w:r>
      <w:r w:rsidRPr="002C4077">
        <w:t xml:space="preserve"> </w:t>
      </w:r>
      <w:r>
        <w:t>en</w:t>
      </w:r>
      <w:r w:rsidRPr="002C4077">
        <w:t xml:space="preserve"> </w:t>
      </w:r>
      <w:r>
        <w:t>propre.</w:t>
      </w:r>
      <w:r w:rsidRPr="002C4077">
        <w:t xml:space="preserve"> </w:t>
      </w:r>
      <w:r>
        <w:t>L’esprit</w:t>
      </w:r>
      <w:r w:rsidRPr="002C4077">
        <w:t xml:space="preserve"> </w:t>
      </w:r>
      <w:r>
        <w:t>de</w:t>
      </w:r>
      <w:r w:rsidRPr="002C4077">
        <w:t xml:space="preserve"> </w:t>
      </w:r>
      <w:r>
        <w:t>caste,</w:t>
      </w:r>
      <w:r w:rsidRPr="002C4077">
        <w:t xml:space="preserve"> </w:t>
      </w:r>
      <w:r>
        <w:t>qui</w:t>
      </w:r>
      <w:r w:rsidRPr="002C4077">
        <w:t xml:space="preserve"> </w:t>
      </w:r>
      <w:r>
        <w:t>les</w:t>
      </w:r>
      <w:r w:rsidRPr="002C4077">
        <w:t xml:space="preserve"> </w:t>
      </w:r>
      <w:r>
        <w:t>tient</w:t>
      </w:r>
      <w:r w:rsidRPr="002C4077">
        <w:t xml:space="preserve"> </w:t>
      </w:r>
      <w:r>
        <w:t>si</w:t>
      </w:r>
      <w:r w:rsidRPr="002C4077">
        <w:t xml:space="preserve"> </w:t>
      </w:r>
      <w:r>
        <w:t>étroitement</w:t>
      </w:r>
      <w:r w:rsidRPr="002C4077">
        <w:t xml:space="preserve"> </w:t>
      </w:r>
      <w:r>
        <w:t>unis</w:t>
      </w:r>
      <w:r w:rsidRPr="002C4077">
        <w:t xml:space="preserve"> </w:t>
      </w:r>
      <w:r>
        <w:t>depuis</w:t>
      </w:r>
      <w:r w:rsidRPr="002C4077">
        <w:t xml:space="preserve"> </w:t>
      </w:r>
      <w:r>
        <w:t>des</w:t>
      </w:r>
      <w:r w:rsidRPr="002C4077">
        <w:t xml:space="preserve"> </w:t>
      </w:r>
      <w:r>
        <w:t>siècles</w:t>
      </w:r>
      <w:r w:rsidRPr="002C4077">
        <w:t xml:space="preserve"> </w:t>
      </w:r>
      <w:r>
        <w:t>en</w:t>
      </w:r>
      <w:r w:rsidRPr="002C4077">
        <w:t xml:space="preserve"> </w:t>
      </w:r>
      <w:r>
        <w:t>dépit</w:t>
      </w:r>
      <w:r w:rsidRPr="002C4077">
        <w:t xml:space="preserve"> </w:t>
      </w:r>
      <w:r>
        <w:t>de</w:t>
      </w:r>
      <w:r w:rsidRPr="002C4077">
        <w:t xml:space="preserve"> </w:t>
      </w:r>
      <w:r>
        <w:t>leur</w:t>
      </w:r>
      <w:r w:rsidRPr="002C4077">
        <w:t xml:space="preserve"> </w:t>
      </w:r>
      <w:r>
        <w:t>dispersion</w:t>
      </w:r>
      <w:r w:rsidRPr="002C4077">
        <w:t xml:space="preserve"> </w:t>
      </w:r>
      <w:r>
        <w:t>à</w:t>
      </w:r>
      <w:r w:rsidRPr="002C4077">
        <w:t xml:space="preserve"> </w:t>
      </w:r>
      <w:r>
        <w:t>travers</w:t>
      </w:r>
      <w:r w:rsidRPr="002C4077">
        <w:t xml:space="preserve"> </w:t>
      </w:r>
      <w:r>
        <w:t>toutes</w:t>
      </w:r>
      <w:r w:rsidRPr="002C4077">
        <w:t xml:space="preserve"> </w:t>
      </w:r>
      <w:r>
        <w:t>les</w:t>
      </w:r>
      <w:r w:rsidRPr="002C4077">
        <w:t xml:space="preserve"> </w:t>
      </w:r>
      <w:r>
        <w:t>contrées</w:t>
      </w:r>
      <w:r w:rsidRPr="002C4077">
        <w:t xml:space="preserve"> </w:t>
      </w:r>
      <w:r>
        <w:t>et</w:t>
      </w:r>
      <w:r w:rsidRPr="002C4077">
        <w:t xml:space="preserve"> </w:t>
      </w:r>
      <w:r>
        <w:t>toutes</w:t>
      </w:r>
      <w:r w:rsidRPr="002C4077">
        <w:t xml:space="preserve"> </w:t>
      </w:r>
      <w:r>
        <w:t>les</w:t>
      </w:r>
      <w:r w:rsidRPr="002C4077">
        <w:t xml:space="preserve"> </w:t>
      </w:r>
      <w:r>
        <w:t>races</w:t>
      </w:r>
      <w:r w:rsidRPr="002C4077">
        <w:t xml:space="preserve"> </w:t>
      </w:r>
      <w:r>
        <w:t>du</w:t>
      </w:r>
      <w:r w:rsidRPr="002C4077">
        <w:t xml:space="preserve"> </w:t>
      </w:r>
      <w:r>
        <w:t>globe,</w:t>
      </w:r>
      <w:r w:rsidRPr="002C4077">
        <w:t xml:space="preserve"> </w:t>
      </w:r>
      <w:r>
        <w:t>les</w:t>
      </w:r>
      <w:r w:rsidRPr="002C4077">
        <w:t xml:space="preserve"> </w:t>
      </w:r>
      <w:r>
        <w:t>agglomère</w:t>
      </w:r>
      <w:r w:rsidRPr="002C4077">
        <w:t xml:space="preserve"> </w:t>
      </w:r>
      <w:r>
        <w:t>jusqu’après</w:t>
      </w:r>
      <w:r w:rsidRPr="002C4077">
        <w:t xml:space="preserve"> </w:t>
      </w:r>
      <w:r>
        <w:t>le</w:t>
      </w:r>
      <w:r w:rsidRPr="002C4077">
        <w:t xml:space="preserve"> </w:t>
      </w:r>
      <w:r>
        <w:t>trépas.</w:t>
      </w:r>
      <w:r w:rsidRPr="002C4077">
        <w:t xml:space="preserve"> </w:t>
      </w:r>
      <w:r>
        <w:t>Les</w:t>
      </w:r>
      <w:r w:rsidRPr="002C4077">
        <w:t xml:space="preserve"> </w:t>
      </w:r>
      <w:r>
        <w:t>cimetières</w:t>
      </w:r>
      <w:r w:rsidRPr="002C4077">
        <w:t xml:space="preserve"> </w:t>
      </w:r>
      <w:r>
        <w:t>communs</w:t>
      </w:r>
      <w:bookmarkStart w:id="702" w:name="z_CimetieresJuifs_o4"/>
      <w:bookmarkEnd w:id="702"/>
      <w:r>
        <w:t>,</w:t>
      </w:r>
      <w:r w:rsidRPr="002C4077">
        <w:t xml:space="preserve"> </w:t>
      </w:r>
      <w:r>
        <w:t>où</w:t>
      </w:r>
      <w:r w:rsidRPr="002C4077">
        <w:t xml:space="preserve"> </w:t>
      </w:r>
      <w:r>
        <w:t>ils</w:t>
      </w:r>
      <w:r w:rsidRPr="002C4077">
        <w:t xml:space="preserve"> </w:t>
      </w:r>
      <w:r>
        <w:t>seraient</w:t>
      </w:r>
      <w:r w:rsidRPr="002C4077">
        <w:t xml:space="preserve"> </w:t>
      </w:r>
      <w:r>
        <w:t>associés</w:t>
      </w:r>
      <w:r w:rsidRPr="002C4077">
        <w:t xml:space="preserve"> </w:t>
      </w:r>
      <w:r>
        <w:t>aux</w:t>
      </w:r>
      <w:r w:rsidRPr="002C4077">
        <w:t xml:space="preserve"> </w:t>
      </w:r>
      <w:r w:rsidRPr="000A34B5">
        <w:rPr>
          <w:rStyle w:val="italicus"/>
        </w:rPr>
        <w:t>goïm</w:t>
      </w:r>
      <w:bookmarkStart w:id="703" w:name="z_Goim_o1"/>
      <w:bookmarkEnd w:id="703"/>
      <w:r w:rsidRPr="000A34B5">
        <w:rPr>
          <w:rStyle w:val="italicus"/>
        </w:rPr>
        <w:t>,</w:t>
      </w:r>
      <w:r w:rsidRPr="002C4077">
        <w:t xml:space="preserve"> </w:t>
      </w:r>
      <w:r>
        <w:t>c’est-à-dire</w:t>
      </w:r>
      <w:r w:rsidRPr="002C4077">
        <w:t xml:space="preserve"> </w:t>
      </w:r>
      <w:r>
        <w:t>aux</w:t>
      </w:r>
      <w:r w:rsidRPr="002C4077">
        <w:t xml:space="preserve"> </w:t>
      </w:r>
      <w:r>
        <w:t>non-juif</w:t>
      </w:r>
      <w:r w:rsidR="004377BC">
        <w:t>s</w:t>
      </w:r>
      <w:r w:rsidR="004377BC">
        <w:rPr>
          <w:rStyle w:val="Appelnotedebasdep"/>
        </w:rPr>
        <w:footnoteReference w:id="869"/>
      </w:r>
      <w:r>
        <w:t>,</w:t>
      </w:r>
      <w:r w:rsidRPr="002C4077">
        <w:t xml:space="preserve"> </w:t>
      </w:r>
      <w:r>
        <w:t>leur</w:t>
      </w:r>
      <w:r w:rsidRPr="002C4077">
        <w:t xml:space="preserve"> </w:t>
      </w:r>
      <w:r>
        <w:t>ont</w:t>
      </w:r>
      <w:r w:rsidRPr="002C4077">
        <w:t xml:space="preserve"> </w:t>
      </w:r>
      <w:r>
        <w:t>toujours</w:t>
      </w:r>
      <w:r w:rsidRPr="002C4077">
        <w:t xml:space="preserve"> </w:t>
      </w:r>
      <w:r>
        <w:t>inspiré</w:t>
      </w:r>
      <w:r w:rsidRPr="002C4077">
        <w:t xml:space="preserve"> </w:t>
      </w:r>
      <w:r>
        <w:t>la</w:t>
      </w:r>
      <w:r w:rsidRPr="002C4077">
        <w:t xml:space="preserve"> </w:t>
      </w:r>
      <w:r>
        <w:t>plus</w:t>
      </w:r>
      <w:r w:rsidRPr="002C4077">
        <w:t xml:space="preserve"> </w:t>
      </w:r>
      <w:r>
        <w:t>vive</w:t>
      </w:r>
      <w:r w:rsidRPr="002C4077">
        <w:t xml:space="preserve"> </w:t>
      </w:r>
      <w:r>
        <w:t>répugnance</w:t>
      </w:r>
      <w:r w:rsidR="00B546AF">
        <w:t> :</w:t>
      </w:r>
      <w:r w:rsidRPr="002C4077">
        <w:t xml:space="preserve"> </w:t>
      </w:r>
      <w:r>
        <w:t>c’est</w:t>
      </w:r>
      <w:r w:rsidRPr="002C4077">
        <w:t xml:space="preserve"> </w:t>
      </w:r>
      <w:r>
        <w:t>pourquoi</w:t>
      </w:r>
      <w:r w:rsidRPr="002C4077">
        <w:t xml:space="preserve"> </w:t>
      </w:r>
      <w:r>
        <w:t>l’un</w:t>
      </w:r>
      <w:r w:rsidRPr="002C4077">
        <w:t xml:space="preserve"> </w:t>
      </w:r>
      <w:r>
        <w:t>des</w:t>
      </w:r>
      <w:r w:rsidRPr="002C4077">
        <w:t xml:space="preserve"> </w:t>
      </w:r>
      <w:r>
        <w:t>premiers</w:t>
      </w:r>
      <w:r w:rsidRPr="002C4077">
        <w:t xml:space="preserve"> </w:t>
      </w:r>
      <w:r>
        <w:t>actes</w:t>
      </w:r>
      <w:r w:rsidRPr="002C4077">
        <w:t xml:space="preserve"> </w:t>
      </w:r>
      <w:r>
        <w:t>d’une</w:t>
      </w:r>
      <w:r w:rsidRPr="002C4077">
        <w:t xml:space="preserve"> </w:t>
      </w:r>
      <w:r w:rsidRPr="000A34B5">
        <w:rPr>
          <w:rStyle w:val="italicus"/>
        </w:rPr>
        <w:t>kéhilah</w:t>
      </w:r>
      <w:r w:rsidRPr="004440EA">
        <w:t xml:space="preserve"> (</w:t>
      </w:r>
      <w:r>
        <w:t>ou</w:t>
      </w:r>
      <w:r w:rsidRPr="002C4077">
        <w:t xml:space="preserve"> </w:t>
      </w:r>
      <w:r>
        <w:t>communauté</w:t>
      </w:r>
      <w:r w:rsidRPr="002C4077">
        <w:t xml:space="preserve"> </w:t>
      </w:r>
      <w:r>
        <w:t>israélite</w:t>
      </w:r>
      <w:r w:rsidR="00B546AF" w:rsidRPr="002C4077">
        <w:t>)</w:t>
      </w:r>
      <w:r w:rsidRPr="002C4077">
        <w:t xml:space="preserve"> </w:t>
      </w:r>
      <w:r>
        <w:t>consiste</w:t>
      </w:r>
      <w:r w:rsidRPr="002C4077">
        <w:t xml:space="preserve"> </w:t>
      </w:r>
      <w:r>
        <w:t>d’ordinaire</w:t>
      </w:r>
      <w:r w:rsidRPr="002C4077">
        <w:t xml:space="preserve"> </w:t>
      </w:r>
      <w:r>
        <w:t>dans</w:t>
      </w:r>
      <w:r w:rsidRPr="002C4077">
        <w:t xml:space="preserve"> </w:t>
      </w:r>
      <w:r>
        <w:t>l’acquisition</w:t>
      </w:r>
      <w:r w:rsidRPr="002C4077">
        <w:t xml:space="preserve"> </w:t>
      </w:r>
      <w:r>
        <w:t>d’un</w:t>
      </w:r>
      <w:r w:rsidRPr="002C4077">
        <w:t xml:space="preserve"> </w:t>
      </w:r>
      <w:r>
        <w:t>cimetière</w:t>
      </w:r>
      <w:r w:rsidRPr="002C4077">
        <w:t xml:space="preserve"> </w:t>
      </w:r>
      <w:r>
        <w:t>privé.</w:t>
      </w:r>
      <w:r w:rsidRPr="002C4077">
        <w:t xml:space="preserve"> </w:t>
      </w:r>
      <w:r>
        <w:t>On</w:t>
      </w:r>
      <w:r w:rsidRPr="002C4077">
        <w:t xml:space="preserve"> </w:t>
      </w:r>
      <w:r>
        <w:t>ne</w:t>
      </w:r>
      <w:r w:rsidRPr="002C4077">
        <w:t xml:space="preserve"> </w:t>
      </w:r>
      <w:r>
        <w:t>recule</w:t>
      </w:r>
      <w:r w:rsidRPr="002C4077">
        <w:t xml:space="preserve"> </w:t>
      </w:r>
      <w:r>
        <w:t>pour</w:t>
      </w:r>
      <w:r w:rsidRPr="002C4077">
        <w:t xml:space="preserve"> </w:t>
      </w:r>
      <w:r>
        <w:t>cela</w:t>
      </w:r>
      <w:r w:rsidRPr="002C4077">
        <w:t xml:space="preserve"> </w:t>
      </w:r>
      <w:r>
        <w:t>devant</w:t>
      </w:r>
      <w:r w:rsidRPr="002C4077">
        <w:t xml:space="preserve"> </w:t>
      </w:r>
      <w:r>
        <w:t>aucun</w:t>
      </w:r>
      <w:r w:rsidRPr="002C4077">
        <w:t xml:space="preserve"> </w:t>
      </w:r>
      <w:r>
        <w:t>sacrifice.</w:t>
      </w:r>
      <w:r w:rsidR="00C45B47">
        <w:t xml:space="preserve"> {</w:t>
      </w:r>
      <w:r w:rsidR="005E2129">
        <w:t>288</w:t>
      </w:r>
      <w:bookmarkStart w:id="704" w:name="p288"/>
      <w:bookmarkEnd w:id="704"/>
      <w:r w:rsidR="005E2129">
        <w:t xml:space="preserve">} </w:t>
      </w:r>
    </w:p>
    <w:p w:rsidR="000A7AAB" w:rsidRDefault="000A7AAB" w:rsidP="000A7AAB">
      <w:r>
        <w:t>Les</w:t>
      </w:r>
      <w:r w:rsidRPr="002C4077">
        <w:t xml:space="preserve"> </w:t>
      </w:r>
      <w:r>
        <w:t>plus</w:t>
      </w:r>
      <w:r w:rsidRPr="002C4077">
        <w:t xml:space="preserve"> </w:t>
      </w:r>
      <w:r>
        <w:t>pauvres,</w:t>
      </w:r>
      <w:r w:rsidRPr="002C4077">
        <w:t xml:space="preserve"> </w:t>
      </w:r>
      <w:r>
        <w:t>les</w:t>
      </w:r>
      <w:r w:rsidRPr="002C4077">
        <w:t xml:space="preserve"> </w:t>
      </w:r>
      <w:r>
        <w:t>plus</w:t>
      </w:r>
      <w:r w:rsidRPr="002C4077">
        <w:t xml:space="preserve"> </w:t>
      </w:r>
      <w:r>
        <w:t>avares,</w:t>
      </w:r>
      <w:r w:rsidRPr="002C4077">
        <w:t xml:space="preserve"> </w:t>
      </w:r>
      <w:r>
        <w:t>tiennent</w:t>
      </w:r>
      <w:r w:rsidRPr="002C4077">
        <w:t xml:space="preserve"> </w:t>
      </w:r>
      <w:r>
        <w:t>à</w:t>
      </w:r>
      <w:r w:rsidRPr="002C4077">
        <w:t xml:space="preserve"> </w:t>
      </w:r>
      <w:r>
        <w:t>se</w:t>
      </w:r>
      <w:r w:rsidRPr="002C4077">
        <w:t xml:space="preserve"> </w:t>
      </w:r>
      <w:r>
        <w:t>montrer</w:t>
      </w:r>
      <w:r w:rsidRPr="002C4077">
        <w:t xml:space="preserve"> </w:t>
      </w:r>
      <w:r>
        <w:t>généreux,</w:t>
      </w:r>
      <w:r w:rsidRPr="002C4077">
        <w:t xml:space="preserve"> </w:t>
      </w:r>
      <w:r>
        <w:t>afin</w:t>
      </w:r>
      <w:r w:rsidRPr="002C4077">
        <w:t xml:space="preserve"> </w:t>
      </w:r>
      <w:r>
        <w:t>d’avoir</w:t>
      </w:r>
      <w:r w:rsidRPr="002C4077">
        <w:t xml:space="preserve"> </w:t>
      </w:r>
      <w:r>
        <w:t>un</w:t>
      </w:r>
      <w:r w:rsidRPr="002C4077">
        <w:t xml:space="preserve"> </w:t>
      </w:r>
      <w:r w:rsidRPr="000A34B5">
        <w:rPr>
          <w:rStyle w:val="italicus"/>
        </w:rPr>
        <w:t>Beth-hachaïm</w:t>
      </w:r>
      <w:r w:rsidRPr="002C4077">
        <w:t xml:space="preserve"> </w:t>
      </w:r>
      <w:r>
        <w:t>bien</w:t>
      </w:r>
      <w:r w:rsidRPr="002C4077">
        <w:t xml:space="preserve"> </w:t>
      </w:r>
      <w:r>
        <w:t>conditionné.</w:t>
      </w:r>
      <w:r w:rsidRPr="002C4077">
        <w:t xml:space="preserve"> </w:t>
      </w:r>
      <w:r>
        <w:t>On</w:t>
      </w:r>
      <w:r w:rsidRPr="002C4077">
        <w:t xml:space="preserve"> </w:t>
      </w:r>
      <w:r>
        <w:t>l’a</w:t>
      </w:r>
      <w:r w:rsidRPr="002C4077">
        <w:t xml:space="preserve"> </w:t>
      </w:r>
      <w:r>
        <w:t>vu</w:t>
      </w:r>
      <w:r w:rsidRPr="002C4077">
        <w:t xml:space="preserve"> </w:t>
      </w:r>
      <w:r>
        <w:t>récemment</w:t>
      </w:r>
      <w:r w:rsidRPr="002C4077">
        <w:t xml:space="preserve"> </w:t>
      </w:r>
      <w:r>
        <w:t>dans</w:t>
      </w:r>
      <w:r w:rsidRPr="002C4077">
        <w:t xml:space="preserve"> </w:t>
      </w:r>
      <w:r>
        <w:t>la</w:t>
      </w:r>
      <w:r w:rsidRPr="002C4077">
        <w:t xml:space="preserve"> </w:t>
      </w:r>
      <w:r>
        <w:t>capitale</w:t>
      </w:r>
      <w:r w:rsidRPr="002C4077">
        <w:t xml:space="preserve"> </w:t>
      </w:r>
      <w:r>
        <w:t>de</w:t>
      </w:r>
      <w:r w:rsidRPr="002C4077">
        <w:t xml:space="preserve"> </w:t>
      </w:r>
      <w:r>
        <w:t>l’Autriche,</w:t>
      </w:r>
      <w:r w:rsidRPr="002C4077">
        <w:t xml:space="preserve"> </w:t>
      </w:r>
      <w:r>
        <w:t>quand,</w:t>
      </w:r>
      <w:r w:rsidRPr="002C4077">
        <w:t xml:space="preserve"> </w:t>
      </w:r>
      <w:r>
        <w:t>pour</w:t>
      </w:r>
      <w:r w:rsidRPr="002C4077">
        <w:t xml:space="preserve"> </w:t>
      </w:r>
      <w:r>
        <w:t>éviter</w:t>
      </w:r>
      <w:r w:rsidRPr="002C4077">
        <w:t xml:space="preserve"> </w:t>
      </w:r>
      <w:r>
        <w:t>d’être</w:t>
      </w:r>
      <w:r w:rsidRPr="002C4077">
        <w:t xml:space="preserve"> </w:t>
      </w:r>
      <w:r>
        <w:t>enterrés</w:t>
      </w:r>
      <w:r w:rsidRPr="002C4077">
        <w:t xml:space="preserve"> </w:t>
      </w:r>
      <w:r>
        <w:t>avec</w:t>
      </w:r>
      <w:r w:rsidRPr="002C4077">
        <w:t xml:space="preserve"> </w:t>
      </w:r>
      <w:r>
        <w:t>les</w:t>
      </w:r>
      <w:r w:rsidRPr="002C4077">
        <w:t xml:space="preserve"> </w:t>
      </w:r>
      <w:r>
        <w:t>catholiques,</w:t>
      </w:r>
      <w:r w:rsidRPr="002C4077">
        <w:t xml:space="preserve"> </w:t>
      </w:r>
      <w:r>
        <w:t>les</w:t>
      </w:r>
      <w:r w:rsidRPr="002C4077">
        <w:t xml:space="preserve"> </w:t>
      </w:r>
      <w:r>
        <w:t>protestants</w:t>
      </w:r>
      <w:r w:rsidRPr="002C4077">
        <w:t xml:space="preserve"> </w:t>
      </w:r>
      <w:r>
        <w:t>et</w:t>
      </w:r>
      <w:r w:rsidRPr="002C4077">
        <w:t xml:space="preserve"> </w:t>
      </w:r>
      <w:r>
        <w:t>les</w:t>
      </w:r>
      <w:r w:rsidRPr="002C4077">
        <w:t xml:space="preserve"> </w:t>
      </w:r>
      <w:r>
        <w:t>Grecs,</w:t>
      </w:r>
      <w:r w:rsidRPr="002C4077">
        <w:t xml:space="preserve"> </w:t>
      </w:r>
      <w:r>
        <w:t>dans</w:t>
      </w:r>
      <w:r w:rsidRPr="002C4077">
        <w:t xml:space="preserve"> </w:t>
      </w:r>
      <w:r>
        <w:t>le</w:t>
      </w:r>
      <w:r w:rsidRPr="002C4077">
        <w:t xml:space="preserve"> </w:t>
      </w:r>
      <w:r>
        <w:t>magnifique</w:t>
      </w:r>
      <w:r w:rsidR="00B546AF">
        <w:t> </w:t>
      </w:r>
      <w:r w:rsidR="00B546AF">
        <w:rPr>
          <w:vertAlign w:val="superscript"/>
        </w:rPr>
        <w:t>:</w:t>
      </w:r>
      <w:r w:rsidRPr="002C4077">
        <w:t xml:space="preserve"> </w:t>
      </w:r>
      <w:r>
        <w:t>cimetière</w:t>
      </w:r>
      <w:r w:rsidRPr="002C4077">
        <w:t xml:space="preserve"> </w:t>
      </w:r>
      <w:r>
        <w:t>central</w:t>
      </w:r>
      <w:r w:rsidRPr="002C4077">
        <w:t xml:space="preserve"> </w:t>
      </w:r>
      <w:r>
        <w:t>mis</w:t>
      </w:r>
      <w:r w:rsidRPr="002C4077">
        <w:t xml:space="preserve"> </w:t>
      </w:r>
      <w:r>
        <w:t>à</w:t>
      </w:r>
      <w:r w:rsidRPr="002C4077">
        <w:t xml:space="preserve"> </w:t>
      </w:r>
      <w:r>
        <w:t>la</w:t>
      </w:r>
      <w:r w:rsidRPr="002C4077">
        <w:t xml:space="preserve"> </w:t>
      </w:r>
      <w:r>
        <w:t>disposition</w:t>
      </w:r>
      <w:r w:rsidRPr="002C4077">
        <w:t xml:space="preserve"> </w:t>
      </w:r>
      <w:r>
        <w:t>du</w:t>
      </w:r>
      <w:r w:rsidRPr="002C4077">
        <w:t xml:space="preserve"> </w:t>
      </w:r>
      <w:r>
        <w:t>public,</w:t>
      </w:r>
      <w:r w:rsidRPr="002C4077">
        <w:t xml:space="preserve"> </w:t>
      </w:r>
      <w:r>
        <w:t>sans</w:t>
      </w:r>
      <w:r w:rsidRPr="002C4077">
        <w:t xml:space="preserve"> </w:t>
      </w:r>
      <w:r>
        <w:t>distinction</w:t>
      </w:r>
      <w:r w:rsidRPr="002C4077">
        <w:t xml:space="preserve"> </w:t>
      </w:r>
      <w:r>
        <w:t>de</w:t>
      </w:r>
      <w:r w:rsidRPr="002C4077">
        <w:t xml:space="preserve"> </w:t>
      </w:r>
      <w:r>
        <w:t>cultes,</w:t>
      </w:r>
      <w:r w:rsidRPr="002C4077">
        <w:t xml:space="preserve"> </w:t>
      </w:r>
      <w:r>
        <w:t>par</w:t>
      </w:r>
      <w:r w:rsidRPr="002C4077">
        <w:t xml:space="preserve"> </w:t>
      </w:r>
      <w:r>
        <w:t>la</w:t>
      </w:r>
      <w:r w:rsidRPr="002C4077">
        <w:t xml:space="preserve"> </w:t>
      </w:r>
      <w:r>
        <w:t>municipalité</w:t>
      </w:r>
      <w:r w:rsidRPr="002C4077">
        <w:t xml:space="preserve"> </w:t>
      </w:r>
      <w:r>
        <w:t>viennoise,</w:t>
      </w:r>
      <w:r w:rsidRPr="002C4077">
        <w:t xml:space="preserve"> </w:t>
      </w:r>
      <w:r>
        <w:t>les</w:t>
      </w:r>
      <w:r w:rsidRPr="002C4077">
        <w:t xml:space="preserve"> </w:t>
      </w:r>
      <w:r>
        <w:t>Israélites</w:t>
      </w:r>
      <w:r w:rsidRPr="002C4077">
        <w:t xml:space="preserve"> </w:t>
      </w:r>
      <w:r>
        <w:t>ont</w:t>
      </w:r>
      <w:r w:rsidRPr="002C4077">
        <w:t xml:space="preserve"> </w:t>
      </w:r>
      <w:r>
        <w:t>spontanément</w:t>
      </w:r>
      <w:r w:rsidRPr="002C4077">
        <w:t xml:space="preserve"> </w:t>
      </w:r>
      <w:r>
        <w:t>offert</w:t>
      </w:r>
      <w:r w:rsidRPr="002C4077">
        <w:t xml:space="preserve"> </w:t>
      </w:r>
      <w:r>
        <w:t>la</w:t>
      </w:r>
      <w:r w:rsidRPr="002C4077">
        <w:t xml:space="preserve"> </w:t>
      </w:r>
      <w:r>
        <w:t>somme</w:t>
      </w:r>
      <w:r w:rsidRPr="002C4077">
        <w:t xml:space="preserve"> </w:t>
      </w:r>
      <w:r>
        <w:t>de</w:t>
      </w:r>
      <w:r w:rsidRPr="002C4077">
        <w:t xml:space="preserve"> </w:t>
      </w:r>
      <w:r>
        <w:t>60,000</w:t>
      </w:r>
      <w:r w:rsidRPr="002C4077">
        <w:t xml:space="preserve"> </w:t>
      </w:r>
      <w:r>
        <w:t>florins,</w:t>
      </w:r>
      <w:r w:rsidRPr="002C4077">
        <w:t xml:space="preserve"> </w:t>
      </w:r>
      <w:r>
        <w:t>à</w:t>
      </w:r>
      <w:r w:rsidRPr="002C4077">
        <w:t xml:space="preserve"> </w:t>
      </w:r>
      <w:r>
        <w:t>condition</w:t>
      </w:r>
      <w:r w:rsidRPr="002C4077">
        <w:t xml:space="preserve"> </w:t>
      </w:r>
      <w:r>
        <w:t>qu’on</w:t>
      </w:r>
      <w:r w:rsidRPr="002C4077">
        <w:t xml:space="preserve"> </w:t>
      </w:r>
      <w:r>
        <w:t>leur</w:t>
      </w:r>
      <w:r w:rsidRPr="002C4077">
        <w:t xml:space="preserve"> </w:t>
      </w:r>
      <w:r>
        <w:t>adjugerait</w:t>
      </w:r>
      <w:r w:rsidRPr="002C4077">
        <w:t xml:space="preserve"> </w:t>
      </w:r>
      <w:r>
        <w:t>un</w:t>
      </w:r>
      <w:r w:rsidRPr="002C4077">
        <w:t xml:space="preserve"> </w:t>
      </w:r>
      <w:r>
        <w:t>terrain</w:t>
      </w:r>
      <w:r w:rsidRPr="002C4077">
        <w:t xml:space="preserve"> </w:t>
      </w:r>
      <w:r>
        <w:t>spécial</w:t>
      </w:r>
      <w:r w:rsidRPr="002C4077">
        <w:t xml:space="preserve"> </w:t>
      </w:r>
      <w:r>
        <w:t>qu’ils</w:t>
      </w:r>
      <w:r w:rsidRPr="002C4077">
        <w:t xml:space="preserve"> </w:t>
      </w:r>
      <w:r>
        <w:t>se</w:t>
      </w:r>
      <w:r w:rsidRPr="002C4077">
        <w:t xml:space="preserve"> </w:t>
      </w:r>
      <w:r>
        <w:t>sont</w:t>
      </w:r>
      <w:r w:rsidRPr="002C4077">
        <w:t xml:space="preserve"> </w:t>
      </w:r>
      <w:r>
        <w:t>hâtés</w:t>
      </w:r>
      <w:r w:rsidRPr="002C4077">
        <w:t xml:space="preserve"> </w:t>
      </w:r>
      <w:r>
        <w:t>de</w:t>
      </w:r>
      <w:r w:rsidRPr="002C4077">
        <w:t xml:space="preserve"> </w:t>
      </w:r>
      <w:r>
        <w:t>clore.</w:t>
      </w:r>
      <w:r w:rsidRPr="002C4077">
        <w:t xml:space="preserve"> </w:t>
      </w:r>
    </w:p>
    <w:p w:rsidR="000A7AAB" w:rsidRDefault="000A7AAB" w:rsidP="000A7AAB">
      <w:r>
        <w:t>Lorsqu’une</w:t>
      </w:r>
      <w:r w:rsidRPr="002C4077">
        <w:t xml:space="preserve"> </w:t>
      </w:r>
      <w:r>
        <w:t>colonie</w:t>
      </w:r>
      <w:r w:rsidRPr="002C4077">
        <w:t xml:space="preserve"> </w:t>
      </w:r>
      <w:r>
        <w:t>juive</w:t>
      </w:r>
      <w:r w:rsidRPr="002C4077">
        <w:t xml:space="preserve"> </w:t>
      </w:r>
      <w:r w:rsidR="00425C50">
        <w:t>est</w:t>
      </w:r>
      <w:r w:rsidRPr="002C4077">
        <w:t xml:space="preserve"> </w:t>
      </w:r>
      <w:r>
        <w:t>trop</w:t>
      </w:r>
      <w:r w:rsidRPr="002C4077">
        <w:t xml:space="preserve"> </w:t>
      </w:r>
      <w:r>
        <w:t>peu</w:t>
      </w:r>
      <w:r w:rsidRPr="002C4077">
        <w:t xml:space="preserve"> </w:t>
      </w:r>
      <w:r>
        <w:t>nombreuse</w:t>
      </w:r>
      <w:r w:rsidRPr="002C4077">
        <w:t xml:space="preserve"> </w:t>
      </w:r>
      <w:r>
        <w:t>pour</w:t>
      </w:r>
      <w:r w:rsidRPr="002C4077">
        <w:t xml:space="preserve"> </w:t>
      </w:r>
      <w:r>
        <w:t>avoir</w:t>
      </w:r>
      <w:r w:rsidRPr="002C4077">
        <w:t xml:space="preserve"> </w:t>
      </w:r>
      <w:r>
        <w:t>son</w:t>
      </w:r>
      <w:r w:rsidRPr="002C4077">
        <w:t xml:space="preserve"> </w:t>
      </w:r>
      <w:r>
        <w:t>cimetière</w:t>
      </w:r>
      <w:r w:rsidRPr="002C4077">
        <w:t xml:space="preserve"> </w:t>
      </w:r>
      <w:r>
        <w:t>particulier,</w:t>
      </w:r>
      <w:r w:rsidRPr="002C4077">
        <w:t xml:space="preserve"> </w:t>
      </w:r>
      <w:r>
        <w:t>elle</w:t>
      </w:r>
      <w:r w:rsidRPr="002C4077">
        <w:t xml:space="preserve"> </w:t>
      </w:r>
      <w:r>
        <w:t>s’entend,</w:t>
      </w:r>
      <w:r w:rsidRPr="002C4077">
        <w:t xml:space="preserve"> </w:t>
      </w:r>
      <w:r>
        <w:t>ainsi</w:t>
      </w:r>
      <w:r w:rsidRPr="002C4077">
        <w:t xml:space="preserve"> </w:t>
      </w:r>
      <w:r>
        <w:t>qu’il</w:t>
      </w:r>
      <w:r w:rsidRPr="002C4077">
        <w:t xml:space="preserve"> </w:t>
      </w:r>
      <w:r>
        <w:t>arrive</w:t>
      </w:r>
      <w:r w:rsidRPr="002C4077">
        <w:t xml:space="preserve"> </w:t>
      </w:r>
      <w:r>
        <w:t>fréquemment</w:t>
      </w:r>
      <w:r w:rsidRPr="002C4077">
        <w:t xml:space="preserve"> </w:t>
      </w:r>
      <w:r>
        <w:t>en</w:t>
      </w:r>
      <w:r w:rsidRPr="002C4077">
        <w:t xml:space="preserve"> </w:t>
      </w:r>
      <w:r>
        <w:t>Alsace,</w:t>
      </w:r>
      <w:r w:rsidRPr="002C4077">
        <w:t xml:space="preserve"> </w:t>
      </w:r>
      <w:r>
        <w:t>avec</w:t>
      </w:r>
      <w:r w:rsidRPr="002C4077">
        <w:t xml:space="preserve"> </w:t>
      </w:r>
      <w:r>
        <w:t>les</w:t>
      </w:r>
      <w:r w:rsidRPr="002C4077">
        <w:t xml:space="preserve"> </w:t>
      </w:r>
      <w:r>
        <w:t>communautés</w:t>
      </w:r>
      <w:r w:rsidRPr="002C4077">
        <w:t xml:space="preserve"> </w:t>
      </w:r>
      <w:r>
        <w:t>voisines.</w:t>
      </w:r>
      <w:r w:rsidRPr="002C4077">
        <w:t xml:space="preserve"> </w:t>
      </w:r>
      <w:r>
        <w:t>Chaque</w:t>
      </w:r>
      <w:r w:rsidRPr="002C4077">
        <w:t xml:space="preserve"> </w:t>
      </w:r>
      <w:r w:rsidRPr="000A34B5">
        <w:rPr>
          <w:rStyle w:val="italicus"/>
        </w:rPr>
        <w:t>kéhilah</w:t>
      </w:r>
      <w:r w:rsidRPr="002C4077">
        <w:t xml:space="preserve"> </w:t>
      </w:r>
      <w:r>
        <w:t>apporte</w:t>
      </w:r>
      <w:r w:rsidRPr="002C4077">
        <w:t xml:space="preserve"> </w:t>
      </w:r>
      <w:r>
        <w:t>sa</w:t>
      </w:r>
      <w:r w:rsidRPr="002C4077">
        <w:t xml:space="preserve"> </w:t>
      </w:r>
      <w:r>
        <w:t>quote-part,</w:t>
      </w:r>
      <w:r w:rsidRPr="002C4077">
        <w:t xml:space="preserve"> </w:t>
      </w:r>
      <w:r>
        <w:t>et</w:t>
      </w:r>
      <w:r w:rsidRPr="002C4077">
        <w:t xml:space="preserve"> </w:t>
      </w:r>
      <w:r>
        <w:t>l’on</w:t>
      </w:r>
      <w:r w:rsidRPr="002C4077">
        <w:t xml:space="preserve"> </w:t>
      </w:r>
      <w:r>
        <w:t>achète</w:t>
      </w:r>
      <w:r w:rsidRPr="002C4077">
        <w:t xml:space="preserve"> </w:t>
      </w:r>
      <w:r>
        <w:t>ainsi</w:t>
      </w:r>
      <w:r w:rsidRPr="002C4077">
        <w:t xml:space="preserve"> </w:t>
      </w:r>
      <w:r>
        <w:t>à</w:t>
      </w:r>
      <w:r w:rsidRPr="002C4077">
        <w:t xml:space="preserve"> </w:t>
      </w:r>
      <w:r>
        <w:t>frais</w:t>
      </w:r>
      <w:r w:rsidRPr="002C4077">
        <w:t xml:space="preserve"> </w:t>
      </w:r>
      <w:r>
        <w:t>communs</w:t>
      </w:r>
      <w:r w:rsidRPr="002C4077">
        <w:t xml:space="preserve"> </w:t>
      </w:r>
      <w:r>
        <w:t>un</w:t>
      </w:r>
      <w:r w:rsidRPr="002C4077">
        <w:t xml:space="preserve"> </w:t>
      </w:r>
      <w:r>
        <w:t>lieu</w:t>
      </w:r>
      <w:r w:rsidRPr="002C4077">
        <w:t xml:space="preserve"> </w:t>
      </w:r>
      <w:r>
        <w:t>de</w:t>
      </w:r>
      <w:r w:rsidRPr="002C4077">
        <w:t xml:space="preserve"> </w:t>
      </w:r>
      <w:r>
        <w:t>sépulture</w:t>
      </w:r>
      <w:r w:rsidRPr="002C4077">
        <w:t xml:space="preserve"> </w:t>
      </w:r>
      <w:r>
        <w:t>situé</w:t>
      </w:r>
      <w:r w:rsidRPr="002C4077">
        <w:t xml:space="preserve"> </w:t>
      </w:r>
      <w:r>
        <w:t>à</w:t>
      </w:r>
      <w:r w:rsidRPr="002C4077">
        <w:t xml:space="preserve"> </w:t>
      </w:r>
      <w:r>
        <w:t>la</w:t>
      </w:r>
      <w:r w:rsidRPr="002C4077">
        <w:t xml:space="preserve"> </w:t>
      </w:r>
      <w:r>
        <w:t>portée</w:t>
      </w:r>
      <w:r w:rsidRPr="002C4077">
        <w:t xml:space="preserve"> </w:t>
      </w:r>
      <w:r>
        <w:t>de</w:t>
      </w:r>
      <w:r w:rsidRPr="002C4077">
        <w:t xml:space="preserve"> </w:t>
      </w:r>
      <w:r>
        <w:t>tous.</w:t>
      </w:r>
      <w:r w:rsidRPr="002C4077">
        <w:t xml:space="preserve"> </w:t>
      </w:r>
      <w:r>
        <w:t>Que</w:t>
      </w:r>
      <w:r w:rsidRPr="002C4077">
        <w:t xml:space="preserve"> </w:t>
      </w:r>
      <w:r>
        <w:t>si,</w:t>
      </w:r>
      <w:r w:rsidRPr="002C4077">
        <w:t xml:space="preserve"> </w:t>
      </w:r>
      <w:r>
        <w:t>parfois,</w:t>
      </w:r>
      <w:r w:rsidRPr="002C4077">
        <w:t xml:space="preserve"> </w:t>
      </w:r>
      <w:r>
        <w:t>une</w:t>
      </w:r>
      <w:r w:rsidRPr="002C4077">
        <w:t xml:space="preserve"> </w:t>
      </w:r>
      <w:r>
        <w:t>communauté</w:t>
      </w:r>
      <w:r w:rsidRPr="002C4077">
        <w:t xml:space="preserve"> </w:t>
      </w:r>
      <w:r>
        <w:t>isolée</w:t>
      </w:r>
      <w:r w:rsidRPr="002C4077">
        <w:t xml:space="preserve"> </w:t>
      </w:r>
      <w:r>
        <w:t>se</w:t>
      </w:r>
      <w:r w:rsidRPr="002C4077">
        <w:t xml:space="preserve"> </w:t>
      </w:r>
      <w:r>
        <w:t>trouve</w:t>
      </w:r>
      <w:r w:rsidRPr="002C4077">
        <w:t xml:space="preserve"> </w:t>
      </w:r>
      <w:r>
        <w:t>dans</w:t>
      </w:r>
      <w:r w:rsidRPr="002C4077">
        <w:t xml:space="preserve"> </w:t>
      </w:r>
      <w:r>
        <w:t>l’impossibilité</w:t>
      </w:r>
      <w:r w:rsidRPr="002C4077">
        <w:t xml:space="preserve"> </w:t>
      </w:r>
      <w:r>
        <w:t>de</w:t>
      </w:r>
      <w:r w:rsidRPr="002C4077">
        <w:t xml:space="preserve"> </w:t>
      </w:r>
      <w:r>
        <w:t>faire</w:t>
      </w:r>
      <w:r w:rsidRPr="002C4077">
        <w:t xml:space="preserve"> </w:t>
      </w:r>
      <w:r>
        <w:t>face</w:t>
      </w:r>
      <w:r w:rsidRPr="002C4077">
        <w:t xml:space="preserve"> </w:t>
      </w:r>
      <w:r>
        <w:t>aux</w:t>
      </w:r>
      <w:r w:rsidRPr="002C4077">
        <w:t xml:space="preserve"> </w:t>
      </w:r>
      <w:r>
        <w:t>frais</w:t>
      </w:r>
      <w:r w:rsidRPr="002C4077">
        <w:t xml:space="preserve"> </w:t>
      </w:r>
      <w:r>
        <w:t>d’installation,</w:t>
      </w:r>
      <w:r w:rsidRPr="002C4077">
        <w:t xml:space="preserve"> </w:t>
      </w:r>
      <w:r>
        <w:t>elle</w:t>
      </w:r>
      <w:r w:rsidRPr="002C4077">
        <w:t xml:space="preserve"> </w:t>
      </w:r>
      <w:r>
        <w:t>fait</w:t>
      </w:r>
      <w:r w:rsidRPr="002C4077">
        <w:t xml:space="preserve"> </w:t>
      </w:r>
      <w:r>
        <w:t>appel,</w:t>
      </w:r>
      <w:r w:rsidRPr="002C4077">
        <w:t xml:space="preserve"> </w:t>
      </w:r>
      <w:r>
        <w:t>par</w:t>
      </w:r>
      <w:r w:rsidRPr="002C4077">
        <w:t xml:space="preserve"> </w:t>
      </w:r>
      <w:r>
        <w:t>l’intermédiaire</w:t>
      </w:r>
      <w:r w:rsidRPr="002C4077">
        <w:t xml:space="preserve"> </w:t>
      </w:r>
      <w:r>
        <w:t>des</w:t>
      </w:r>
      <w:r w:rsidRPr="002C4077">
        <w:t xml:space="preserve"> </w:t>
      </w:r>
      <w:r>
        <w:t>journaux</w:t>
      </w:r>
      <w:r w:rsidRPr="002C4077">
        <w:t xml:space="preserve"> </w:t>
      </w:r>
      <w:r>
        <w:t>juifs,</w:t>
      </w:r>
      <w:r w:rsidRPr="002C4077">
        <w:t xml:space="preserve"> </w:t>
      </w:r>
      <w:r>
        <w:t>ou</w:t>
      </w:r>
      <w:r w:rsidRPr="002C4077">
        <w:t xml:space="preserve"> </w:t>
      </w:r>
      <w:r>
        <w:t>par</w:t>
      </w:r>
      <w:r w:rsidRPr="002C4077">
        <w:t xml:space="preserve"> </w:t>
      </w:r>
      <w:r>
        <w:t>l’envoi</w:t>
      </w:r>
      <w:r w:rsidRPr="002C4077">
        <w:t xml:space="preserve"> </w:t>
      </w:r>
      <w:r>
        <w:t>de</w:t>
      </w:r>
      <w:r w:rsidRPr="002C4077">
        <w:t xml:space="preserve"> </w:t>
      </w:r>
      <w:r>
        <w:t>quêteurs</w:t>
      </w:r>
      <w:r w:rsidRPr="002C4077">
        <w:t xml:space="preserve"> </w:t>
      </w:r>
      <w:r>
        <w:t>spéciaux,</w:t>
      </w:r>
      <w:r w:rsidRPr="002C4077">
        <w:t xml:space="preserve"> </w:t>
      </w:r>
      <w:r>
        <w:t>à</w:t>
      </w:r>
      <w:r w:rsidRPr="002C4077">
        <w:t xml:space="preserve"> </w:t>
      </w:r>
      <w:r>
        <w:t>la</w:t>
      </w:r>
      <w:r w:rsidRPr="002C4077">
        <w:t xml:space="preserve"> </w:t>
      </w:r>
      <w:r>
        <w:t>charité</w:t>
      </w:r>
      <w:r w:rsidRPr="002C4077">
        <w:t xml:space="preserve"> </w:t>
      </w:r>
      <w:r>
        <w:t>du</w:t>
      </w:r>
      <w:r w:rsidRPr="002C4077">
        <w:t xml:space="preserve"> </w:t>
      </w:r>
      <w:r>
        <w:t>monde</w:t>
      </w:r>
      <w:r w:rsidRPr="002C4077">
        <w:t xml:space="preserve"> </w:t>
      </w:r>
      <w:r>
        <w:t>israélite,</w:t>
      </w:r>
      <w:r w:rsidRPr="002C4077">
        <w:t xml:space="preserve"> </w:t>
      </w:r>
      <w:r>
        <w:t>et</w:t>
      </w:r>
      <w:r w:rsidRPr="002C4077">
        <w:t xml:space="preserve"> </w:t>
      </w:r>
      <w:r>
        <w:t>jamais</w:t>
      </w:r>
      <w:r w:rsidRPr="002C4077">
        <w:t xml:space="preserve"> </w:t>
      </w:r>
      <w:r>
        <w:t>une</w:t>
      </w:r>
      <w:r w:rsidRPr="002C4077">
        <w:t xml:space="preserve"> </w:t>
      </w:r>
      <w:r>
        <w:t>requête</w:t>
      </w:r>
      <w:r w:rsidRPr="002C4077">
        <w:t xml:space="preserve"> </w:t>
      </w:r>
      <w:r>
        <w:t>de</w:t>
      </w:r>
      <w:r w:rsidRPr="002C4077">
        <w:t xml:space="preserve"> </w:t>
      </w:r>
      <w:r>
        <w:t>ce</w:t>
      </w:r>
      <w:r w:rsidRPr="002C4077">
        <w:t xml:space="preserve"> </w:t>
      </w:r>
      <w:r>
        <w:t>genre</w:t>
      </w:r>
      <w:r w:rsidRPr="002C4077">
        <w:t xml:space="preserve"> </w:t>
      </w:r>
      <w:r>
        <w:t>n’est</w:t>
      </w:r>
      <w:r w:rsidRPr="002C4077">
        <w:t xml:space="preserve"> </w:t>
      </w:r>
      <w:r>
        <w:t>adressée</w:t>
      </w:r>
      <w:r w:rsidRPr="002C4077">
        <w:t xml:space="preserve"> </w:t>
      </w:r>
      <w:r>
        <w:t>en</w:t>
      </w:r>
      <w:r w:rsidRPr="002C4077">
        <w:t xml:space="preserve"> </w:t>
      </w:r>
      <w:r>
        <w:t>vain</w:t>
      </w:r>
      <w:r w:rsidR="00B91AF7">
        <w:rPr>
          <w:rStyle w:val="Appelnotedebasdep"/>
        </w:rPr>
        <w:footnoteReference w:id="870"/>
      </w:r>
      <w:r>
        <w:t>.</w:t>
      </w:r>
      <w:r w:rsidRPr="002C4077">
        <w:t xml:space="preserve"> </w:t>
      </w:r>
    </w:p>
    <w:p w:rsidR="000A7AAB" w:rsidRPr="005E2129" w:rsidRDefault="000A7AAB" w:rsidP="000A7AAB">
      <w:r>
        <w:t>Il</w:t>
      </w:r>
      <w:r w:rsidRPr="002C4077">
        <w:t xml:space="preserve"> </w:t>
      </w:r>
      <w:r>
        <w:t>arrive</w:t>
      </w:r>
      <w:r w:rsidRPr="002C4077">
        <w:t xml:space="preserve"> </w:t>
      </w:r>
      <w:r>
        <w:t>parfois</w:t>
      </w:r>
      <w:r w:rsidRPr="002C4077">
        <w:t xml:space="preserve"> </w:t>
      </w:r>
      <w:r>
        <w:t>que,</w:t>
      </w:r>
      <w:r w:rsidRPr="002C4077">
        <w:t xml:space="preserve"> </w:t>
      </w:r>
      <w:r>
        <w:t>surpris</w:t>
      </w:r>
      <w:r w:rsidRPr="002C4077">
        <w:t xml:space="preserve"> </w:t>
      </w:r>
      <w:r>
        <w:t>par</w:t>
      </w:r>
      <w:r w:rsidRPr="002C4077">
        <w:t xml:space="preserve"> </w:t>
      </w:r>
      <w:r>
        <w:t>la</w:t>
      </w:r>
      <w:r w:rsidRPr="002C4077">
        <w:t xml:space="preserve"> </w:t>
      </w:r>
      <w:r>
        <w:t>maladie</w:t>
      </w:r>
      <w:r w:rsidRPr="002C4077">
        <w:t xml:space="preserve"> </w:t>
      </w:r>
      <w:r>
        <w:t>en</w:t>
      </w:r>
      <w:r w:rsidRPr="002C4077">
        <w:t xml:space="preserve"> </w:t>
      </w:r>
      <w:r>
        <w:t>des</w:t>
      </w:r>
      <w:r w:rsidRPr="002C4077">
        <w:t xml:space="preserve"> </w:t>
      </w:r>
      <w:r>
        <w:t>lieux</w:t>
      </w:r>
      <w:r w:rsidRPr="002C4077">
        <w:t xml:space="preserve"> </w:t>
      </w:r>
      <w:r>
        <w:t>où</w:t>
      </w:r>
      <w:r w:rsidRPr="002C4077">
        <w:t xml:space="preserve"> </w:t>
      </w:r>
      <w:r>
        <w:t>il</w:t>
      </w:r>
      <w:r w:rsidRPr="002C4077">
        <w:t xml:space="preserve"> </w:t>
      </w:r>
      <w:r>
        <w:t>n’existe</w:t>
      </w:r>
      <w:r w:rsidRPr="002C4077">
        <w:t xml:space="preserve"> </w:t>
      </w:r>
      <w:r>
        <w:t>aucune</w:t>
      </w:r>
      <w:r w:rsidRPr="002C4077">
        <w:t xml:space="preserve"> </w:t>
      </w:r>
      <w:r>
        <w:t>de</w:t>
      </w:r>
      <w:r w:rsidRPr="002C4077">
        <w:t xml:space="preserve"> </w:t>
      </w:r>
      <w:r>
        <w:t>leurs</w:t>
      </w:r>
      <w:r w:rsidRPr="002C4077">
        <w:t xml:space="preserve"> </w:t>
      </w:r>
      <w:r>
        <w:t>communautés,</w:t>
      </w:r>
      <w:r w:rsidRPr="002C4077">
        <w:t xml:space="preserve"> </w:t>
      </w:r>
      <w:r>
        <w:t>les</w:t>
      </w:r>
      <w:r w:rsidRPr="002C4077">
        <w:t xml:space="preserve"> </w:t>
      </w:r>
      <w:r>
        <w:t>Juifs</w:t>
      </w:r>
      <w:r w:rsidRPr="002C4077">
        <w:t xml:space="preserve"> </w:t>
      </w:r>
      <w:r>
        <w:t>donnent</w:t>
      </w:r>
      <w:r w:rsidRPr="002C4077">
        <w:t xml:space="preserve"> </w:t>
      </w:r>
      <w:r>
        <w:t>des</w:t>
      </w:r>
      <w:r w:rsidRPr="002C4077">
        <w:t xml:space="preserve"> </w:t>
      </w:r>
      <w:r>
        <w:t>ordres</w:t>
      </w:r>
      <w:r w:rsidRPr="002C4077">
        <w:t xml:space="preserve"> </w:t>
      </w:r>
      <w:r>
        <w:t>pour</w:t>
      </w:r>
      <w:r w:rsidRPr="002C4077">
        <w:t xml:space="preserve"> </w:t>
      </w:r>
      <w:r>
        <w:t>qu’en</w:t>
      </w:r>
      <w:r w:rsidRPr="002C4077">
        <w:t xml:space="preserve"> </w:t>
      </w:r>
      <w:r>
        <w:t>cas</w:t>
      </w:r>
      <w:r w:rsidRPr="002C4077">
        <w:t xml:space="preserve"> </w:t>
      </w:r>
      <w:r>
        <w:t>de</w:t>
      </w:r>
      <w:r w:rsidRPr="002C4077">
        <w:t xml:space="preserve"> </w:t>
      </w:r>
      <w:r>
        <w:t>mort</w:t>
      </w:r>
      <w:r w:rsidRPr="002C4077">
        <w:t xml:space="preserve"> </w:t>
      </w:r>
      <w:r>
        <w:t>on</w:t>
      </w:r>
      <w:r w:rsidRPr="002C4077">
        <w:t xml:space="preserve"> </w:t>
      </w:r>
      <w:r>
        <w:t>transporte</w:t>
      </w:r>
      <w:r w:rsidRPr="002C4077">
        <w:t xml:space="preserve"> </w:t>
      </w:r>
      <w:r>
        <w:t>leurs</w:t>
      </w:r>
      <w:r w:rsidRPr="002C4077">
        <w:t xml:space="preserve"> </w:t>
      </w:r>
      <w:r>
        <w:t>restes</w:t>
      </w:r>
      <w:r w:rsidRPr="002C4077">
        <w:t xml:space="preserve"> </w:t>
      </w:r>
      <w:r>
        <w:t>dans</w:t>
      </w:r>
      <w:r w:rsidRPr="002C4077">
        <w:t xml:space="preserve"> </w:t>
      </w:r>
      <w:r>
        <w:t>le</w:t>
      </w:r>
      <w:r w:rsidRPr="002C4077">
        <w:t xml:space="preserve"> </w:t>
      </w:r>
      <w:r w:rsidRPr="000A34B5">
        <w:rPr>
          <w:rStyle w:val="italicus"/>
        </w:rPr>
        <w:t>Beth-hachaïm</w:t>
      </w:r>
      <w:r w:rsidRPr="002C4077">
        <w:t xml:space="preserve"> </w:t>
      </w:r>
      <w:r>
        <w:t>le</w:t>
      </w:r>
      <w:r w:rsidRPr="002C4077">
        <w:t xml:space="preserve"> </w:t>
      </w:r>
      <w:r>
        <w:t>plus</w:t>
      </w:r>
      <w:r w:rsidRPr="002C4077">
        <w:t xml:space="preserve"> </w:t>
      </w:r>
      <w:r>
        <w:t>rapproché.</w:t>
      </w:r>
      <w:r w:rsidRPr="002C4077">
        <w:t xml:space="preserve"> </w:t>
      </w:r>
      <w:r>
        <w:t>On</w:t>
      </w:r>
      <w:r w:rsidRPr="002C4077">
        <w:t xml:space="preserve"> </w:t>
      </w:r>
      <w:r>
        <w:t>rencontre</w:t>
      </w:r>
      <w:r w:rsidRPr="002C4077">
        <w:t xml:space="preserve"> </w:t>
      </w:r>
      <w:r>
        <w:t>souvent</w:t>
      </w:r>
      <w:r w:rsidRPr="002C4077">
        <w:t xml:space="preserve"> </w:t>
      </w:r>
      <w:r>
        <w:t>en</w:t>
      </w:r>
      <w:r w:rsidRPr="002C4077">
        <w:t xml:space="preserve"> </w:t>
      </w:r>
      <w:r>
        <w:t>Amérique,</w:t>
      </w:r>
      <w:r w:rsidRPr="002C4077">
        <w:t xml:space="preserve"> </w:t>
      </w:r>
      <w:r>
        <w:t>conformément</w:t>
      </w:r>
      <w:r w:rsidRPr="002C4077">
        <w:t xml:space="preserve"> </w:t>
      </w:r>
      <w:r>
        <w:t>au</w:t>
      </w:r>
      <w:r w:rsidRPr="002C4077">
        <w:t xml:space="preserve"> </w:t>
      </w:r>
      <w:r>
        <w:t>même</w:t>
      </w:r>
      <w:r w:rsidRPr="002C4077">
        <w:t xml:space="preserve"> </w:t>
      </w:r>
      <w:r>
        <w:t>principe,</w:t>
      </w:r>
      <w:r w:rsidRPr="002C4077">
        <w:t xml:space="preserve"> </w:t>
      </w:r>
      <w:r>
        <w:t>des</w:t>
      </w:r>
      <w:r w:rsidRPr="002C4077">
        <w:t xml:space="preserve"> </w:t>
      </w:r>
      <w:r>
        <w:t>familles</w:t>
      </w:r>
      <w:r w:rsidRPr="002C4077">
        <w:t xml:space="preserve"> </w:t>
      </w:r>
      <w:r>
        <w:t>qui</w:t>
      </w:r>
      <w:r w:rsidRPr="002C4077">
        <w:t xml:space="preserve"> </w:t>
      </w:r>
      <w:r>
        <w:t>portent</w:t>
      </w:r>
      <w:r w:rsidRPr="002C4077">
        <w:t xml:space="preserve"> </w:t>
      </w:r>
      <w:r>
        <w:t>leurs</w:t>
      </w:r>
      <w:r w:rsidRPr="002C4077">
        <w:t xml:space="preserve"> </w:t>
      </w:r>
      <w:r>
        <w:t>morts</w:t>
      </w:r>
      <w:r w:rsidRPr="002C4077">
        <w:t xml:space="preserve"> </w:t>
      </w:r>
      <w:r>
        <w:t>à</w:t>
      </w:r>
      <w:r w:rsidRPr="002C4077">
        <w:t xml:space="preserve"> </w:t>
      </w:r>
      <w:r>
        <w:t>une</w:t>
      </w:r>
      <w:r w:rsidRPr="002C4077">
        <w:t xml:space="preserve"> </w:t>
      </w:r>
      <w:r>
        <w:t>demi-journée</w:t>
      </w:r>
      <w:r w:rsidRPr="002C4077">
        <w:t xml:space="preserve"> </w:t>
      </w:r>
      <w:r>
        <w:t>de</w:t>
      </w:r>
      <w:r w:rsidRPr="002C4077">
        <w:t xml:space="preserve"> </w:t>
      </w:r>
      <w:r>
        <w:t>chemin.</w:t>
      </w:r>
      <w:r w:rsidRPr="002C4077">
        <w:t xml:space="preserve"> </w:t>
      </w:r>
      <w:r>
        <w:t>Bien</w:t>
      </w:r>
      <w:r w:rsidRPr="002C4077">
        <w:t xml:space="preserve"> </w:t>
      </w:r>
      <w:r>
        <w:t>plus,</w:t>
      </w:r>
      <w:r w:rsidRPr="002C4077">
        <w:t xml:space="preserve"> </w:t>
      </w:r>
      <w:r>
        <w:t>on</w:t>
      </w:r>
      <w:r w:rsidRPr="002C4077">
        <w:t xml:space="preserve"> </w:t>
      </w:r>
      <w:r>
        <w:t>pourrait</w:t>
      </w:r>
      <w:r w:rsidRPr="002C4077">
        <w:t xml:space="preserve"> </w:t>
      </w:r>
      <w:r>
        <w:t>citer</w:t>
      </w:r>
      <w:r w:rsidRPr="002C4077">
        <w:t xml:space="preserve"> </w:t>
      </w:r>
      <w:r>
        <w:t>des</w:t>
      </w:r>
      <w:r w:rsidRPr="002C4077">
        <w:t xml:space="preserve"> </w:t>
      </w:r>
      <w:r>
        <w:t>cas</w:t>
      </w:r>
      <w:r w:rsidRPr="002C4077">
        <w:t xml:space="preserve"> </w:t>
      </w:r>
      <w:r>
        <w:t>où</w:t>
      </w:r>
      <w:r w:rsidRPr="002C4077">
        <w:t xml:space="preserve"> </w:t>
      </w:r>
      <w:r>
        <w:t>l’on</w:t>
      </w:r>
      <w:r w:rsidRPr="002C4077">
        <w:t xml:space="preserve"> </w:t>
      </w:r>
      <w:r>
        <w:t>a</w:t>
      </w:r>
      <w:r w:rsidRPr="002C4077">
        <w:t xml:space="preserve"> </w:t>
      </w:r>
      <w:r>
        <w:t>ainsi</w:t>
      </w:r>
      <w:r w:rsidRPr="002C4077">
        <w:t xml:space="preserve"> </w:t>
      </w:r>
      <w:r>
        <w:t>franchi</w:t>
      </w:r>
      <w:r w:rsidRPr="002C4077">
        <w:t xml:space="preserve"> </w:t>
      </w:r>
      <w:r>
        <w:t>des</w:t>
      </w:r>
      <w:r w:rsidRPr="002C4077">
        <w:t xml:space="preserve"> </w:t>
      </w:r>
      <w:r>
        <w:t>centaines</w:t>
      </w:r>
      <w:r w:rsidRPr="002C4077">
        <w:t xml:space="preserve"> </w:t>
      </w:r>
      <w:r>
        <w:t>de</w:t>
      </w:r>
      <w:r w:rsidRPr="002C4077">
        <w:t xml:space="preserve"> </w:t>
      </w:r>
      <w:r>
        <w:t>lieues,</w:t>
      </w:r>
      <w:r w:rsidRPr="002C4077">
        <w:t xml:space="preserve"> </w:t>
      </w:r>
      <w:r>
        <w:t>sans</w:t>
      </w:r>
      <w:r w:rsidRPr="002C4077">
        <w:t xml:space="preserve"> </w:t>
      </w:r>
      <w:r>
        <w:t>avoir</w:t>
      </w:r>
      <w:r w:rsidRPr="002C4077">
        <w:t xml:space="preserve"> </w:t>
      </w:r>
      <w:r>
        <w:t>égard</w:t>
      </w:r>
      <w:r w:rsidRPr="002C4077">
        <w:t xml:space="preserve"> </w:t>
      </w:r>
      <w:r>
        <w:t>à</w:t>
      </w:r>
      <w:r w:rsidRPr="002C4077">
        <w:t xml:space="preserve"> </w:t>
      </w:r>
      <w:r>
        <w:t>l’énormité</w:t>
      </w:r>
      <w:r w:rsidRPr="002C4077">
        <w:t xml:space="preserve"> </w:t>
      </w:r>
      <w:r>
        <w:t>de</w:t>
      </w:r>
      <w:r w:rsidRPr="002C4077">
        <w:t xml:space="preserve"> </w:t>
      </w:r>
      <w:r>
        <w:t>la</w:t>
      </w:r>
      <w:r w:rsidRPr="002C4077">
        <w:t xml:space="preserve"> </w:t>
      </w:r>
      <w:r>
        <w:t>dépense,</w:t>
      </w:r>
      <w:r w:rsidRPr="002C4077">
        <w:t xml:space="preserve"> </w:t>
      </w:r>
      <w:r>
        <w:t>pour</w:t>
      </w:r>
      <w:r w:rsidRPr="002C4077">
        <w:t xml:space="preserve"> </w:t>
      </w:r>
      <w:r>
        <w:t>enterrer</w:t>
      </w:r>
      <w:r w:rsidRPr="002C4077">
        <w:t xml:space="preserve"> </w:t>
      </w:r>
      <w:r>
        <w:t>un</w:t>
      </w:r>
      <w:r w:rsidRPr="002C4077">
        <w:t xml:space="preserve"> </w:t>
      </w:r>
      <w:r>
        <w:t>Juif</w:t>
      </w:r>
      <w:r w:rsidRPr="002C4077">
        <w:t xml:space="preserve"> </w:t>
      </w:r>
      <w:r>
        <w:t>à</w:t>
      </w:r>
      <w:r w:rsidRPr="002C4077">
        <w:t xml:space="preserve"> </w:t>
      </w:r>
      <w:r>
        <w:t>côté</w:t>
      </w:r>
      <w:r w:rsidRPr="002C4077">
        <w:t xml:space="preserve"> </w:t>
      </w:r>
      <w:r>
        <w:t>de</w:t>
      </w:r>
      <w:r w:rsidRPr="002C4077">
        <w:t xml:space="preserve"> </w:t>
      </w:r>
      <w:r>
        <w:t>ses</w:t>
      </w:r>
      <w:r w:rsidRPr="002C4077">
        <w:t xml:space="preserve"> </w:t>
      </w:r>
      <w:r>
        <w:t>coreligionnaires</w:t>
      </w:r>
      <w:r w:rsidR="00B91AF7">
        <w:rPr>
          <w:rStyle w:val="Appelnotedebasdep"/>
        </w:rPr>
        <w:footnoteReference w:id="871"/>
      </w:r>
      <w:r>
        <w:t>.</w:t>
      </w:r>
      <w:r w:rsidR="00C45B47">
        <w:t xml:space="preserve"> {</w:t>
      </w:r>
      <w:r w:rsidR="005E2129">
        <w:t>289</w:t>
      </w:r>
      <w:bookmarkStart w:id="705" w:name="p289"/>
      <w:bookmarkEnd w:id="705"/>
      <w:r w:rsidR="005E2129">
        <w:t xml:space="preserve">} </w:t>
      </w:r>
    </w:p>
    <w:p w:rsidR="000A7AAB" w:rsidRDefault="000A7AAB" w:rsidP="000A7AAB">
      <w:r>
        <w:t>Les</w:t>
      </w:r>
      <w:r w:rsidRPr="002C4077">
        <w:t xml:space="preserve"> </w:t>
      </w:r>
      <w:r>
        <w:t>Juifs</w:t>
      </w:r>
      <w:r w:rsidRPr="002C4077">
        <w:t xml:space="preserve"> </w:t>
      </w:r>
      <w:r>
        <w:t>tiennent</w:t>
      </w:r>
      <w:r w:rsidRPr="002C4077">
        <w:t xml:space="preserve"> </w:t>
      </w:r>
      <w:r>
        <w:t>à</w:t>
      </w:r>
      <w:r w:rsidRPr="002C4077">
        <w:t xml:space="preserve"> </w:t>
      </w:r>
      <w:r>
        <w:t>leurs</w:t>
      </w:r>
      <w:r w:rsidRPr="002C4077">
        <w:t xml:space="preserve"> </w:t>
      </w:r>
      <w:r>
        <w:t>cimetières</w:t>
      </w:r>
      <w:r w:rsidRPr="002C4077">
        <w:t xml:space="preserve"> </w:t>
      </w:r>
      <w:r>
        <w:t>particuliers</w:t>
      </w:r>
      <w:r w:rsidRPr="002C4077">
        <w:t xml:space="preserve"> </w:t>
      </w:r>
      <w:r>
        <w:t>comme</w:t>
      </w:r>
      <w:r w:rsidRPr="002C4077">
        <w:t xml:space="preserve"> </w:t>
      </w:r>
      <w:r>
        <w:t>à</w:t>
      </w:r>
      <w:r w:rsidRPr="002C4077">
        <w:t xml:space="preserve"> </w:t>
      </w:r>
      <w:r>
        <w:t>la</w:t>
      </w:r>
      <w:r w:rsidRPr="002C4077">
        <w:t xml:space="preserve"> </w:t>
      </w:r>
      <w:r>
        <w:t>prunelle</w:t>
      </w:r>
      <w:r w:rsidRPr="002C4077">
        <w:t xml:space="preserve"> </w:t>
      </w:r>
      <w:r>
        <w:t>de</w:t>
      </w:r>
      <w:r w:rsidRPr="002C4077">
        <w:t xml:space="preserve"> </w:t>
      </w:r>
      <w:r>
        <w:t>leurs</w:t>
      </w:r>
      <w:r w:rsidRPr="002C4077">
        <w:t xml:space="preserve"> </w:t>
      </w:r>
      <w:r>
        <w:t>yeux</w:t>
      </w:r>
      <w:r w:rsidR="00B546AF">
        <w:t> ;</w:t>
      </w:r>
      <w:r w:rsidRPr="002C4077">
        <w:t xml:space="preserve"> </w:t>
      </w:r>
      <w:r>
        <w:t>ils</w:t>
      </w:r>
      <w:r w:rsidRPr="002C4077">
        <w:t xml:space="preserve"> </w:t>
      </w:r>
      <w:r>
        <w:t>sont</w:t>
      </w:r>
      <w:r w:rsidRPr="002C4077">
        <w:t xml:space="preserve"> </w:t>
      </w:r>
      <w:r>
        <w:t>même,</w:t>
      </w:r>
      <w:r w:rsidRPr="002C4077">
        <w:t xml:space="preserve"> </w:t>
      </w:r>
      <w:r>
        <w:t>sur</w:t>
      </w:r>
      <w:r w:rsidRPr="002C4077">
        <w:t xml:space="preserve"> </w:t>
      </w:r>
      <w:r>
        <w:t>ce</w:t>
      </w:r>
      <w:r w:rsidRPr="002C4077">
        <w:t xml:space="preserve"> </w:t>
      </w:r>
      <w:r>
        <w:t>point,</w:t>
      </w:r>
      <w:r w:rsidRPr="002C4077">
        <w:t xml:space="preserve"> </w:t>
      </w:r>
      <w:r>
        <w:t>d’une</w:t>
      </w:r>
      <w:r w:rsidRPr="002C4077">
        <w:t xml:space="preserve"> </w:t>
      </w:r>
      <w:r>
        <w:t>étrange</w:t>
      </w:r>
      <w:r w:rsidRPr="002C4077">
        <w:t xml:space="preserve"> </w:t>
      </w:r>
      <w:r>
        <w:t>susceptibilité,</w:t>
      </w:r>
      <w:r w:rsidRPr="002C4077">
        <w:t xml:space="preserve"> </w:t>
      </w:r>
      <w:r>
        <w:t>comme</w:t>
      </w:r>
      <w:r w:rsidRPr="002C4077">
        <w:t xml:space="preserve"> </w:t>
      </w:r>
      <w:r>
        <w:t>on</w:t>
      </w:r>
      <w:r w:rsidRPr="002C4077">
        <w:t xml:space="preserve"> </w:t>
      </w:r>
      <w:r>
        <w:t>le</w:t>
      </w:r>
      <w:r w:rsidRPr="002C4077">
        <w:t xml:space="preserve"> </w:t>
      </w:r>
      <w:r>
        <w:t>voit</w:t>
      </w:r>
      <w:r w:rsidRPr="002C4077">
        <w:t xml:space="preserve"> </w:t>
      </w:r>
      <w:r>
        <w:t>en</w:t>
      </w:r>
      <w:r w:rsidRPr="002C4077">
        <w:t xml:space="preserve"> </w:t>
      </w:r>
      <w:r>
        <w:t>parcourant</w:t>
      </w:r>
      <w:r w:rsidRPr="002C4077">
        <w:t xml:space="preserve"> </w:t>
      </w:r>
      <w:r>
        <w:t>leurs</w:t>
      </w:r>
      <w:r w:rsidRPr="002C4077">
        <w:t xml:space="preserve"> </w:t>
      </w:r>
      <w:r>
        <w:t>recueils</w:t>
      </w:r>
      <w:r w:rsidRPr="002C4077">
        <w:t xml:space="preserve"> </w:t>
      </w:r>
      <w:r>
        <w:t>périodiques.</w:t>
      </w:r>
      <w:r w:rsidRPr="002C4077">
        <w:t xml:space="preserve"> </w:t>
      </w:r>
      <w:r>
        <w:t>Malheur</w:t>
      </w:r>
      <w:r w:rsidRPr="002C4077">
        <w:t xml:space="preserve"> </w:t>
      </w:r>
      <w:r>
        <w:t>aux</w:t>
      </w:r>
      <w:r w:rsidRPr="002C4077">
        <w:t xml:space="preserve"> </w:t>
      </w:r>
      <w:r>
        <w:t>propriétaires</w:t>
      </w:r>
      <w:r w:rsidRPr="002C4077">
        <w:t xml:space="preserve"> </w:t>
      </w:r>
      <w:r>
        <w:t>voisins,</w:t>
      </w:r>
      <w:r w:rsidRPr="002C4077">
        <w:t xml:space="preserve"> </w:t>
      </w:r>
      <w:r>
        <w:t>s’ils</w:t>
      </w:r>
      <w:r w:rsidRPr="002C4077">
        <w:t xml:space="preserve"> </w:t>
      </w:r>
      <w:r>
        <w:t>ne</w:t>
      </w:r>
      <w:r w:rsidRPr="002C4077">
        <w:t xml:space="preserve"> </w:t>
      </w:r>
      <w:r>
        <w:t>sont</w:t>
      </w:r>
      <w:r w:rsidRPr="002C4077">
        <w:t xml:space="preserve"> </w:t>
      </w:r>
      <w:r>
        <w:t>d’une</w:t>
      </w:r>
      <w:r w:rsidRPr="002C4077">
        <w:t xml:space="preserve"> </w:t>
      </w:r>
      <w:r>
        <w:t>vigilance</w:t>
      </w:r>
      <w:r w:rsidRPr="002C4077">
        <w:t xml:space="preserve"> </w:t>
      </w:r>
      <w:r>
        <w:t>extrême</w:t>
      </w:r>
      <w:r w:rsidR="00B546AF">
        <w:t> !</w:t>
      </w:r>
      <w:r w:rsidRPr="002C4077">
        <w:t xml:space="preserve"> </w:t>
      </w:r>
      <w:r>
        <w:t>Le</w:t>
      </w:r>
      <w:r w:rsidRPr="002C4077">
        <w:t xml:space="preserve"> </w:t>
      </w:r>
      <w:r>
        <w:t>plus</w:t>
      </w:r>
      <w:r w:rsidRPr="002C4077">
        <w:t xml:space="preserve"> </w:t>
      </w:r>
      <w:r>
        <w:t>léger</w:t>
      </w:r>
      <w:r w:rsidRPr="002C4077">
        <w:t xml:space="preserve"> </w:t>
      </w:r>
      <w:r>
        <w:t>oubli</w:t>
      </w:r>
      <w:r w:rsidRPr="002C4077">
        <w:t xml:space="preserve"> </w:t>
      </w:r>
      <w:r>
        <w:t>leur</w:t>
      </w:r>
      <w:r w:rsidRPr="002C4077">
        <w:t xml:space="preserve"> </w:t>
      </w:r>
      <w:r>
        <w:t>vaudra</w:t>
      </w:r>
      <w:r w:rsidRPr="002C4077">
        <w:t xml:space="preserve"> </w:t>
      </w:r>
      <w:r>
        <w:t>d’être</w:t>
      </w:r>
      <w:r w:rsidRPr="002C4077">
        <w:t xml:space="preserve"> </w:t>
      </w:r>
      <w:r>
        <w:t>bientôt</w:t>
      </w:r>
      <w:r w:rsidRPr="002C4077">
        <w:t xml:space="preserve"> </w:t>
      </w:r>
      <w:r>
        <w:t>dénoncés</w:t>
      </w:r>
      <w:r w:rsidRPr="002C4077">
        <w:t xml:space="preserve"> </w:t>
      </w:r>
      <w:r>
        <w:t>publiquement</w:t>
      </w:r>
      <w:r w:rsidRPr="002C4077">
        <w:t xml:space="preserve"> </w:t>
      </w:r>
      <w:r>
        <w:t>comme</w:t>
      </w:r>
      <w:r w:rsidRPr="002C4077">
        <w:t xml:space="preserve"> </w:t>
      </w:r>
      <w:r>
        <w:t>des</w:t>
      </w:r>
      <w:r w:rsidRPr="002C4077">
        <w:t xml:space="preserve"> </w:t>
      </w:r>
      <w:r w:rsidR="00B546AF">
        <w:t>« </w:t>
      </w:r>
      <w:r>
        <w:t>persécuteurs</w:t>
      </w:r>
      <w:r w:rsidRPr="002C4077">
        <w:t xml:space="preserve"> </w:t>
      </w:r>
      <w:r>
        <w:t>d’outre-tombe,</w:t>
      </w:r>
      <w:r w:rsidRPr="002C4077">
        <w:t xml:space="preserve"> </w:t>
      </w:r>
      <w:r>
        <w:t>des</w:t>
      </w:r>
      <w:r w:rsidRPr="002C4077">
        <w:t xml:space="preserve"> </w:t>
      </w:r>
      <w:r>
        <w:t>violateurs</w:t>
      </w:r>
      <w:r w:rsidRPr="002C4077">
        <w:t xml:space="preserve"> </w:t>
      </w:r>
      <w:r>
        <w:t>de</w:t>
      </w:r>
      <w:r w:rsidRPr="002C4077">
        <w:t xml:space="preserve"> </w:t>
      </w:r>
      <w:r>
        <w:t>sépulture</w:t>
      </w:r>
      <w:r w:rsidR="00B91AF7">
        <w:rPr>
          <w:rStyle w:val="Appelnotedebasdep"/>
        </w:rPr>
        <w:footnoteReference w:id="872"/>
      </w:r>
      <w:r w:rsidR="00B546AF">
        <w:t> »</w:t>
      </w:r>
      <w:r>
        <w:t>.</w:t>
      </w:r>
      <w:r w:rsidRPr="002C4077">
        <w:t xml:space="preserve"> </w:t>
      </w:r>
    </w:p>
    <w:p w:rsidR="000A7AAB" w:rsidRDefault="000A7AAB" w:rsidP="000A7AAB">
      <w:r>
        <w:lastRenderedPageBreak/>
        <w:t>Le</w:t>
      </w:r>
      <w:r w:rsidRPr="002C4077">
        <w:t xml:space="preserve"> </w:t>
      </w:r>
      <w:r>
        <w:t>Talmud</w:t>
      </w:r>
      <w:r w:rsidRPr="002C4077">
        <w:t xml:space="preserve"> </w:t>
      </w:r>
      <w:r>
        <w:t>recommande</w:t>
      </w:r>
      <w:r w:rsidRPr="002C4077">
        <w:t xml:space="preserve"> </w:t>
      </w:r>
      <w:r>
        <w:t>très</w:t>
      </w:r>
      <w:r w:rsidRPr="002C4077">
        <w:t xml:space="preserve"> </w:t>
      </w:r>
      <w:r>
        <w:t>expressément</w:t>
      </w:r>
      <w:r w:rsidRPr="002C4077">
        <w:t xml:space="preserve"> </w:t>
      </w:r>
      <w:r>
        <w:t>aux</w:t>
      </w:r>
      <w:r w:rsidRPr="002C4077">
        <w:t xml:space="preserve"> </w:t>
      </w:r>
      <w:r>
        <w:t>Israélites,</w:t>
      </w:r>
      <w:r w:rsidRPr="002C4077">
        <w:t xml:space="preserve"> </w:t>
      </w:r>
      <w:r>
        <w:t>quand</w:t>
      </w:r>
      <w:r w:rsidRPr="002C4077">
        <w:t xml:space="preserve"> </w:t>
      </w:r>
      <w:r>
        <w:t>ils</w:t>
      </w:r>
      <w:r w:rsidRPr="002C4077">
        <w:t xml:space="preserve"> </w:t>
      </w:r>
      <w:r>
        <w:t>ont</w:t>
      </w:r>
      <w:r w:rsidRPr="002C4077">
        <w:t xml:space="preserve"> </w:t>
      </w:r>
      <w:r>
        <w:t>la</w:t>
      </w:r>
      <w:r w:rsidRPr="002C4077">
        <w:t xml:space="preserve"> </w:t>
      </w:r>
      <w:r>
        <w:t>pensée</w:t>
      </w:r>
      <w:r w:rsidRPr="002C4077">
        <w:t xml:space="preserve"> </w:t>
      </w:r>
      <w:r>
        <w:t>d’établir</w:t>
      </w:r>
      <w:r w:rsidRPr="002C4077">
        <w:t xml:space="preserve"> </w:t>
      </w:r>
      <w:r>
        <w:t>un</w:t>
      </w:r>
      <w:r w:rsidRPr="002C4077">
        <w:t xml:space="preserve"> </w:t>
      </w:r>
      <w:r>
        <w:t>nouveau</w:t>
      </w:r>
      <w:bookmarkStart w:id="706" w:name="z_CimetieresJuifs_o5"/>
      <w:bookmarkEnd w:id="706"/>
      <w:r w:rsidRPr="002C4077">
        <w:t xml:space="preserve"> </w:t>
      </w:r>
      <w:r>
        <w:t>cimetière,</w:t>
      </w:r>
      <w:r w:rsidRPr="002C4077">
        <w:t xml:space="preserve"> </w:t>
      </w:r>
      <w:r>
        <w:t>de</w:t>
      </w:r>
      <w:r w:rsidRPr="002C4077">
        <w:t xml:space="preserve"> </w:t>
      </w:r>
      <w:r>
        <w:t>choisir</w:t>
      </w:r>
      <w:r w:rsidRPr="002C4077">
        <w:t xml:space="preserve"> </w:t>
      </w:r>
      <w:r>
        <w:t>autant</w:t>
      </w:r>
      <w:r w:rsidRPr="002C4077">
        <w:t xml:space="preserve"> </w:t>
      </w:r>
      <w:r>
        <w:t>que</w:t>
      </w:r>
      <w:r w:rsidRPr="002C4077">
        <w:t xml:space="preserve"> </w:t>
      </w:r>
      <w:r>
        <w:t>possible</w:t>
      </w:r>
      <w:r w:rsidRPr="002C4077">
        <w:t xml:space="preserve"> </w:t>
      </w:r>
      <w:r>
        <w:t>un</w:t>
      </w:r>
      <w:r w:rsidRPr="002C4077">
        <w:t xml:space="preserve"> </w:t>
      </w:r>
      <w:r>
        <w:t>local</w:t>
      </w:r>
      <w:r w:rsidRPr="002C4077">
        <w:t xml:space="preserve"> </w:t>
      </w:r>
      <w:r>
        <w:t>sec,</w:t>
      </w:r>
      <w:r w:rsidRPr="002C4077">
        <w:t xml:space="preserve"> </w:t>
      </w:r>
      <w:r>
        <w:t>pierreux,</w:t>
      </w:r>
      <w:r w:rsidRPr="002C4077">
        <w:t xml:space="preserve"> </w:t>
      </w:r>
      <w:r>
        <w:t>rocheux</w:t>
      </w:r>
      <w:r w:rsidRPr="002C4077">
        <w:t xml:space="preserve"> </w:t>
      </w:r>
      <w:r>
        <w:t>même,</w:t>
      </w:r>
      <w:r w:rsidRPr="002C4077">
        <w:t xml:space="preserve"> </w:t>
      </w:r>
      <w:r>
        <w:t>où</w:t>
      </w:r>
      <w:r w:rsidRPr="002C4077">
        <w:t xml:space="preserve"> </w:t>
      </w:r>
      <w:r>
        <w:t>l’assimilation</w:t>
      </w:r>
      <w:r w:rsidRPr="002C4077">
        <w:t xml:space="preserve"> </w:t>
      </w:r>
      <w:r>
        <w:t>des</w:t>
      </w:r>
      <w:r w:rsidRPr="002C4077">
        <w:t xml:space="preserve"> </w:t>
      </w:r>
      <w:r>
        <w:t>corps</w:t>
      </w:r>
      <w:r w:rsidRPr="002C4077">
        <w:t xml:space="preserve"> </w:t>
      </w:r>
      <w:r>
        <w:t>à</w:t>
      </w:r>
      <w:r w:rsidRPr="002C4077">
        <w:t xml:space="preserve"> </w:t>
      </w:r>
      <w:r>
        <w:t>la</w:t>
      </w:r>
      <w:r w:rsidRPr="002C4077">
        <w:t xml:space="preserve"> </w:t>
      </w:r>
      <w:r>
        <w:t>terre</w:t>
      </w:r>
      <w:r w:rsidRPr="002C4077">
        <w:t xml:space="preserve"> </w:t>
      </w:r>
      <w:r>
        <w:t>soit</w:t>
      </w:r>
      <w:r w:rsidRPr="002C4077">
        <w:t xml:space="preserve"> </w:t>
      </w:r>
      <w:r>
        <w:t>opérée</w:t>
      </w:r>
      <w:r w:rsidRPr="002C4077">
        <w:t xml:space="preserve"> </w:t>
      </w:r>
      <w:r>
        <w:t>dans</w:t>
      </w:r>
      <w:r w:rsidRPr="002C4077">
        <w:t xml:space="preserve"> </w:t>
      </w:r>
      <w:r>
        <w:t>les</w:t>
      </w:r>
      <w:r w:rsidRPr="002C4077">
        <w:t xml:space="preserve"> </w:t>
      </w:r>
      <w:r>
        <w:t>meilleures</w:t>
      </w:r>
      <w:r w:rsidRPr="002C4077">
        <w:t xml:space="preserve"> </w:t>
      </w:r>
      <w:r>
        <w:t>conditions.</w:t>
      </w:r>
      <w:r w:rsidRPr="002C4077">
        <w:t xml:space="preserve"> </w:t>
      </w:r>
    </w:p>
    <w:p w:rsidR="000A7AAB" w:rsidRDefault="000A7AAB" w:rsidP="000A7AAB">
      <w:r>
        <w:t>Dans</w:t>
      </w:r>
      <w:r w:rsidRPr="002C4077">
        <w:t xml:space="preserve"> </w:t>
      </w:r>
      <w:r>
        <w:t>la</w:t>
      </w:r>
      <w:r w:rsidRPr="002C4077">
        <w:t xml:space="preserve"> </w:t>
      </w:r>
      <w:r>
        <w:t>religion</w:t>
      </w:r>
      <w:r w:rsidRPr="002C4077">
        <w:t xml:space="preserve"> </w:t>
      </w:r>
      <w:r>
        <w:t>juive</w:t>
      </w:r>
      <w:r w:rsidRPr="002C4077">
        <w:t xml:space="preserve"> </w:t>
      </w:r>
      <w:r>
        <w:t>comme</w:t>
      </w:r>
      <w:r w:rsidRPr="002C4077">
        <w:t xml:space="preserve"> </w:t>
      </w:r>
      <w:r>
        <w:t>dans</w:t>
      </w:r>
      <w:r w:rsidRPr="002C4077">
        <w:t xml:space="preserve"> </w:t>
      </w:r>
      <w:r>
        <w:t>la</w:t>
      </w:r>
      <w:r w:rsidRPr="002C4077">
        <w:t xml:space="preserve"> </w:t>
      </w:r>
      <w:r>
        <w:t>plupart</w:t>
      </w:r>
      <w:r w:rsidRPr="002C4077">
        <w:t xml:space="preserve"> </w:t>
      </w:r>
      <w:r>
        <w:t>des</w:t>
      </w:r>
      <w:r w:rsidRPr="002C4077">
        <w:t xml:space="preserve"> </w:t>
      </w:r>
      <w:r>
        <w:t>autres</w:t>
      </w:r>
      <w:r w:rsidRPr="002C4077">
        <w:t xml:space="preserve"> </w:t>
      </w:r>
      <w:r>
        <w:t>cultes,</w:t>
      </w:r>
      <w:r w:rsidRPr="002C4077">
        <w:t xml:space="preserve"> </w:t>
      </w:r>
      <w:r>
        <w:t>l’ouverture</w:t>
      </w:r>
      <w:r w:rsidRPr="002C4077">
        <w:t xml:space="preserve"> </w:t>
      </w:r>
      <w:r>
        <w:t>d’un</w:t>
      </w:r>
      <w:r w:rsidRPr="002C4077">
        <w:t xml:space="preserve"> </w:t>
      </w:r>
      <w:r>
        <w:t>cimetière</w:t>
      </w:r>
      <w:r w:rsidRPr="002C4077">
        <w:t xml:space="preserve"> </w:t>
      </w:r>
      <w:r w:rsidR="00425C50">
        <w:t>est</w:t>
      </w:r>
      <w:r w:rsidRPr="002C4077">
        <w:t xml:space="preserve"> </w:t>
      </w:r>
      <w:r>
        <w:t>toujours</w:t>
      </w:r>
      <w:r w:rsidRPr="002C4077">
        <w:t xml:space="preserve"> </w:t>
      </w:r>
      <w:r>
        <w:t>précédée</w:t>
      </w:r>
      <w:r w:rsidRPr="002C4077">
        <w:t xml:space="preserve"> </w:t>
      </w:r>
      <w:r>
        <w:t>d’une</w:t>
      </w:r>
      <w:r w:rsidRPr="002C4077">
        <w:t xml:space="preserve"> </w:t>
      </w:r>
      <w:r>
        <w:t>inauguration</w:t>
      </w:r>
      <w:r w:rsidRPr="002C4077">
        <w:t xml:space="preserve"> </w:t>
      </w:r>
      <w:r>
        <w:t>solennelle.</w:t>
      </w:r>
      <w:r w:rsidRPr="002C4077">
        <w:t xml:space="preserve"> </w:t>
      </w:r>
      <w:r>
        <w:t>Ce</w:t>
      </w:r>
      <w:r w:rsidRPr="002C4077">
        <w:t xml:space="preserve"> </w:t>
      </w:r>
      <w:r>
        <w:t>sont</w:t>
      </w:r>
      <w:r w:rsidRPr="002C4077">
        <w:t xml:space="preserve"> </w:t>
      </w:r>
      <w:r>
        <w:t>parfois</w:t>
      </w:r>
      <w:r w:rsidRPr="002C4077">
        <w:t xml:space="preserve"> </w:t>
      </w:r>
      <w:r>
        <w:t>les</w:t>
      </w:r>
      <w:bookmarkStart w:id="707" w:name="z_PretresJuifs_o1"/>
      <w:bookmarkEnd w:id="707"/>
      <w:r w:rsidRPr="002C4077">
        <w:t xml:space="preserve"> </w:t>
      </w:r>
      <w:r w:rsidRPr="000A34B5">
        <w:rPr>
          <w:rStyle w:val="italicus"/>
        </w:rPr>
        <w:t>cohanim</w:t>
      </w:r>
      <w:bookmarkStart w:id="708" w:name="z_Cohanim_o1"/>
      <w:bookmarkEnd w:id="708"/>
      <w:r w:rsidR="00B91AF7">
        <w:rPr>
          <w:rStyle w:val="Appelnotedebasdep"/>
          <w:i/>
        </w:rPr>
        <w:footnoteReference w:id="873"/>
      </w:r>
      <w:r>
        <w:t>,</w:t>
      </w:r>
      <w:r w:rsidRPr="002C4077">
        <w:t xml:space="preserve"> </w:t>
      </w:r>
      <w:r>
        <w:t>c’est-à-dire</w:t>
      </w:r>
      <w:r w:rsidRPr="002C4077">
        <w:t xml:space="preserve"> </w:t>
      </w:r>
      <w:r>
        <w:t>les</w:t>
      </w:r>
      <w:r w:rsidRPr="002C4077">
        <w:t xml:space="preserve"> </w:t>
      </w:r>
      <w:r>
        <w:t>descendants</w:t>
      </w:r>
      <w:r w:rsidRPr="002C4077">
        <w:t xml:space="preserve"> </w:t>
      </w:r>
      <w:r>
        <w:t>d’Aaron,</w:t>
      </w:r>
      <w:r w:rsidRPr="002C4077">
        <w:t xml:space="preserve"> </w:t>
      </w:r>
      <w:r>
        <w:t>lorsqu’il</w:t>
      </w:r>
      <w:r w:rsidRPr="002C4077">
        <w:t xml:space="preserve"> </w:t>
      </w:r>
      <w:r>
        <w:t>y</w:t>
      </w:r>
      <w:r w:rsidRPr="002C4077">
        <w:t xml:space="preserve"> </w:t>
      </w:r>
      <w:r>
        <w:t>en</w:t>
      </w:r>
      <w:r w:rsidRPr="002C4077">
        <w:t xml:space="preserve"> </w:t>
      </w:r>
      <w:r>
        <w:t>a</w:t>
      </w:r>
      <w:r w:rsidRPr="002C4077">
        <w:t xml:space="preserve"> </w:t>
      </w:r>
      <w:r>
        <w:t>dans</w:t>
      </w:r>
      <w:r w:rsidRPr="002C4077">
        <w:t xml:space="preserve"> </w:t>
      </w:r>
      <w:r>
        <w:t>le</w:t>
      </w:r>
      <w:r w:rsidRPr="002C4077">
        <w:t xml:space="preserve"> </w:t>
      </w:r>
      <w:r>
        <w:t>pays,</w:t>
      </w:r>
      <w:r w:rsidRPr="002C4077">
        <w:t xml:space="preserve"> </w:t>
      </w:r>
      <w:r>
        <w:t>qui</w:t>
      </w:r>
      <w:r w:rsidRPr="002C4077">
        <w:t xml:space="preserve"> </w:t>
      </w:r>
      <w:r>
        <w:t>creusent</w:t>
      </w:r>
      <w:r w:rsidRPr="002C4077">
        <w:t xml:space="preserve"> </w:t>
      </w:r>
      <w:r>
        <w:t>ensemble</w:t>
      </w:r>
      <w:r w:rsidRPr="002C4077">
        <w:t xml:space="preserve"> </w:t>
      </w:r>
      <w:r>
        <w:t>la</w:t>
      </w:r>
      <w:r w:rsidRPr="002C4077">
        <w:t xml:space="preserve"> </w:t>
      </w:r>
      <w:r>
        <w:t>première</w:t>
      </w:r>
      <w:r w:rsidRPr="002C4077">
        <w:t xml:space="preserve"> </w:t>
      </w:r>
      <w:r>
        <w:t>fosse.</w:t>
      </w:r>
      <w:r w:rsidRPr="002C4077">
        <w:t xml:space="preserve"> </w:t>
      </w:r>
    </w:p>
    <w:p w:rsidR="007B6C57" w:rsidRDefault="007B6C57" w:rsidP="000A7AAB"/>
    <w:p w:rsidR="000A7AAB" w:rsidRDefault="000A7AAB" w:rsidP="000A7AAB">
      <w:r>
        <w:t>Les</w:t>
      </w:r>
      <w:r w:rsidRPr="002C4077">
        <w:t xml:space="preserve"> </w:t>
      </w:r>
      <w:r>
        <w:t>tombeaux</w:t>
      </w:r>
      <w:bookmarkStart w:id="709" w:name="z_TombeauxJuifs_o1"/>
      <w:bookmarkEnd w:id="709"/>
      <w:r w:rsidRPr="002C4077">
        <w:t xml:space="preserve"> </w:t>
      </w:r>
      <w:r>
        <w:t>des</w:t>
      </w:r>
      <w:r w:rsidRPr="002C4077">
        <w:t xml:space="preserve"> </w:t>
      </w:r>
      <w:r>
        <w:t>Juifs</w:t>
      </w:r>
      <w:r w:rsidRPr="002C4077">
        <w:t xml:space="preserve"> </w:t>
      </w:r>
      <w:r>
        <w:t>étaient</w:t>
      </w:r>
      <w:r w:rsidRPr="002C4077">
        <w:t xml:space="preserve"> </w:t>
      </w:r>
      <w:r>
        <w:t>autrefois</w:t>
      </w:r>
      <w:r w:rsidRPr="002C4077">
        <w:t xml:space="preserve"> </w:t>
      </w:r>
      <w:r>
        <w:t>d’une</w:t>
      </w:r>
      <w:r w:rsidRPr="002C4077">
        <w:t xml:space="preserve"> </w:t>
      </w:r>
      <w:r>
        <w:t>beauté</w:t>
      </w:r>
      <w:r w:rsidRPr="002C4077">
        <w:t xml:space="preserve"> </w:t>
      </w:r>
      <w:r>
        <w:t>proverbiale,</w:t>
      </w:r>
      <w:r w:rsidRPr="002C4077">
        <w:t xml:space="preserve"> </w:t>
      </w:r>
      <w:r>
        <w:t>comme</w:t>
      </w:r>
      <w:r w:rsidRPr="002C4077">
        <w:t xml:space="preserve"> </w:t>
      </w:r>
      <w:r>
        <w:t>le</w:t>
      </w:r>
      <w:r w:rsidRPr="002C4077">
        <w:t xml:space="preserve"> </w:t>
      </w:r>
      <w:r>
        <w:t>prouve</w:t>
      </w:r>
      <w:r w:rsidRPr="002C4077">
        <w:t xml:space="preserve"> </w:t>
      </w:r>
      <w:r>
        <w:t>cette</w:t>
      </w:r>
      <w:r w:rsidRPr="002C4077">
        <w:t xml:space="preserve"> </w:t>
      </w:r>
      <w:r>
        <w:t>légendaire</w:t>
      </w:r>
      <w:r w:rsidRPr="002C4077">
        <w:t xml:space="preserve"> </w:t>
      </w:r>
      <w:r>
        <w:t>anecdote</w:t>
      </w:r>
      <w:r w:rsidRPr="002C4077">
        <w:t xml:space="preserve"> </w:t>
      </w:r>
      <w:r>
        <w:t>que</w:t>
      </w:r>
      <w:r w:rsidRPr="002C4077">
        <w:t xml:space="preserve"> </w:t>
      </w:r>
      <w:r>
        <w:t>nous</w:t>
      </w:r>
      <w:r w:rsidRPr="002C4077">
        <w:t xml:space="preserve"> </w:t>
      </w:r>
      <w:r>
        <w:t>lisons</w:t>
      </w:r>
      <w:r w:rsidRPr="002C4077">
        <w:t xml:space="preserve"> </w:t>
      </w:r>
      <w:r>
        <w:t>dans</w:t>
      </w:r>
      <w:r w:rsidRPr="002C4077">
        <w:t xml:space="preserve"> </w:t>
      </w:r>
      <w:r>
        <w:t>les</w:t>
      </w:r>
      <w:r w:rsidRPr="002C4077">
        <w:t xml:space="preserve"> </w:t>
      </w:r>
      <w:r>
        <w:t>livres</w:t>
      </w:r>
      <w:r w:rsidRPr="002C4077">
        <w:t xml:space="preserve"> </w:t>
      </w:r>
      <w:r>
        <w:t>talmudiques.</w:t>
      </w:r>
      <w:r w:rsidRPr="002C4077">
        <w:t xml:space="preserve"> </w:t>
      </w:r>
    </w:p>
    <w:p w:rsidR="000A7AAB" w:rsidRDefault="000A7AAB" w:rsidP="000A7AAB">
      <w:r>
        <w:t>Nabuchodonosor</w:t>
      </w:r>
      <w:bookmarkStart w:id="710" w:name="z_Nabuchodonosor_o1"/>
      <w:bookmarkEnd w:id="710"/>
      <w:r w:rsidRPr="002C4077">
        <w:t xml:space="preserve"> </w:t>
      </w:r>
      <w:r>
        <w:t>était</w:t>
      </w:r>
      <w:r w:rsidRPr="002C4077">
        <w:t xml:space="preserve"> </w:t>
      </w:r>
      <w:r>
        <w:t>sur</w:t>
      </w:r>
      <w:r w:rsidRPr="002C4077">
        <w:t xml:space="preserve"> </w:t>
      </w:r>
      <w:r>
        <w:t>le</w:t>
      </w:r>
      <w:r w:rsidRPr="002C4077">
        <w:t xml:space="preserve"> </w:t>
      </w:r>
      <w:r>
        <w:t>point</w:t>
      </w:r>
      <w:r w:rsidRPr="002C4077">
        <w:t xml:space="preserve"> </w:t>
      </w:r>
      <w:r>
        <w:t>d’envahir</w:t>
      </w:r>
      <w:r w:rsidRPr="002C4077">
        <w:t xml:space="preserve"> </w:t>
      </w:r>
      <w:r>
        <w:t>le</w:t>
      </w:r>
      <w:r w:rsidRPr="002C4077">
        <w:t xml:space="preserve"> </w:t>
      </w:r>
      <w:r>
        <w:t>territoire</w:t>
      </w:r>
      <w:r w:rsidRPr="002C4077">
        <w:t xml:space="preserve"> </w:t>
      </w:r>
      <w:r>
        <w:t>palestinien,</w:t>
      </w:r>
      <w:r w:rsidRPr="002C4077">
        <w:t xml:space="preserve"> </w:t>
      </w:r>
      <w:r>
        <w:t>mais</w:t>
      </w:r>
      <w:r w:rsidRPr="002C4077">
        <w:t xml:space="preserve"> </w:t>
      </w:r>
      <w:r>
        <w:t>il</w:t>
      </w:r>
      <w:r w:rsidRPr="002C4077">
        <w:t xml:space="preserve"> </w:t>
      </w:r>
      <w:r>
        <w:t>hésitait</w:t>
      </w:r>
      <w:r w:rsidRPr="002C4077">
        <w:t xml:space="preserve"> </w:t>
      </w:r>
      <w:r>
        <w:t>encore</w:t>
      </w:r>
      <w:r w:rsidRPr="002C4077">
        <w:t xml:space="preserve"> </w:t>
      </w:r>
      <w:r>
        <w:t>à</w:t>
      </w:r>
      <w:r w:rsidRPr="002C4077">
        <w:t xml:space="preserve"> </w:t>
      </w:r>
      <w:r>
        <w:t>ouvrir</w:t>
      </w:r>
      <w:r w:rsidRPr="002C4077">
        <w:t xml:space="preserve"> </w:t>
      </w:r>
      <w:r>
        <w:t>les</w:t>
      </w:r>
      <w:r w:rsidRPr="002C4077">
        <w:t xml:space="preserve"> </w:t>
      </w:r>
      <w:r>
        <w:t>hostilités</w:t>
      </w:r>
      <w:r w:rsidRPr="002C4077">
        <w:t xml:space="preserve"> </w:t>
      </w:r>
      <w:r>
        <w:t>contre</w:t>
      </w:r>
      <w:r w:rsidRPr="002C4077">
        <w:t xml:space="preserve"> </w:t>
      </w:r>
      <w:r>
        <w:t>une</w:t>
      </w:r>
      <w:r w:rsidRPr="002C4077">
        <w:t xml:space="preserve"> </w:t>
      </w:r>
      <w:r>
        <w:t>nation</w:t>
      </w:r>
      <w:r w:rsidRPr="002C4077">
        <w:t xml:space="preserve"> </w:t>
      </w:r>
      <w:r>
        <w:t>qui</w:t>
      </w:r>
      <w:r w:rsidRPr="002C4077">
        <w:t xml:space="preserve"> </w:t>
      </w:r>
      <w:r>
        <w:t>était</w:t>
      </w:r>
      <w:r w:rsidRPr="002C4077">
        <w:t xml:space="preserve"> </w:t>
      </w:r>
      <w:r>
        <w:t>puissante</w:t>
      </w:r>
      <w:r w:rsidRPr="002C4077">
        <w:t xml:space="preserve"> </w:t>
      </w:r>
      <w:r>
        <w:t>malgré</w:t>
      </w:r>
      <w:r w:rsidRPr="002C4077">
        <w:t xml:space="preserve"> </w:t>
      </w:r>
      <w:r>
        <w:t>le</w:t>
      </w:r>
      <w:r w:rsidRPr="002C4077">
        <w:t xml:space="preserve"> </w:t>
      </w:r>
      <w:r>
        <w:t>peu</w:t>
      </w:r>
      <w:r w:rsidRPr="002C4077">
        <w:t xml:space="preserve"> </w:t>
      </w:r>
      <w:r>
        <w:t>d’étendue</w:t>
      </w:r>
      <w:r w:rsidRPr="002C4077">
        <w:t xml:space="preserve"> </w:t>
      </w:r>
      <w:r>
        <w:t>de</w:t>
      </w:r>
      <w:r w:rsidRPr="002C4077">
        <w:t xml:space="preserve"> </w:t>
      </w:r>
      <w:r>
        <w:t>son</w:t>
      </w:r>
      <w:r w:rsidRPr="002C4077">
        <w:t xml:space="preserve"> </w:t>
      </w:r>
      <w:r>
        <w:t>domaine.</w:t>
      </w:r>
      <w:r w:rsidR="00C45B47">
        <w:t xml:space="preserve"> {</w:t>
      </w:r>
      <w:r w:rsidR="005E2129">
        <w:t>290</w:t>
      </w:r>
      <w:bookmarkStart w:id="711" w:name="p290"/>
      <w:bookmarkEnd w:id="711"/>
      <w:r w:rsidR="005E2129">
        <w:t xml:space="preserve">} </w:t>
      </w:r>
      <w:r>
        <w:t>Les</w:t>
      </w:r>
      <w:r w:rsidRPr="002C4077">
        <w:t xml:space="preserve"> </w:t>
      </w:r>
      <w:r>
        <w:t>peuples</w:t>
      </w:r>
      <w:r w:rsidRPr="002C4077">
        <w:t xml:space="preserve"> </w:t>
      </w:r>
      <w:r>
        <w:t>voisins,</w:t>
      </w:r>
      <w:r w:rsidRPr="002C4077">
        <w:t xml:space="preserve"> </w:t>
      </w:r>
      <w:r>
        <w:t>jaloux</w:t>
      </w:r>
      <w:r w:rsidRPr="002C4077">
        <w:t xml:space="preserve"> </w:t>
      </w:r>
      <w:r>
        <w:t>d’Israël</w:t>
      </w:r>
      <w:r w:rsidRPr="002C4077">
        <w:t xml:space="preserve"> </w:t>
      </w:r>
      <w:r>
        <w:t>et</w:t>
      </w:r>
      <w:r w:rsidRPr="002C4077">
        <w:t xml:space="preserve"> </w:t>
      </w:r>
      <w:r>
        <w:t>de</w:t>
      </w:r>
      <w:r w:rsidRPr="002C4077">
        <w:t xml:space="preserve"> </w:t>
      </w:r>
      <w:r>
        <w:t>sa</w:t>
      </w:r>
      <w:r w:rsidRPr="002C4077">
        <w:t xml:space="preserve"> </w:t>
      </w:r>
      <w:r>
        <w:t>prépondérance,</w:t>
      </w:r>
      <w:r w:rsidRPr="002C4077">
        <w:t xml:space="preserve"> </w:t>
      </w:r>
      <w:r>
        <w:t>auraient</w:t>
      </w:r>
      <w:r w:rsidRPr="002C4077">
        <w:t xml:space="preserve"> </w:t>
      </w:r>
      <w:r>
        <w:t>cependant</w:t>
      </w:r>
      <w:r w:rsidRPr="002C4077">
        <w:t xml:space="preserve"> </w:t>
      </w:r>
      <w:r>
        <w:t>bien</w:t>
      </w:r>
      <w:r w:rsidRPr="002C4077">
        <w:t xml:space="preserve"> </w:t>
      </w:r>
      <w:r>
        <w:t>désiré</w:t>
      </w:r>
      <w:r w:rsidRPr="002C4077">
        <w:t xml:space="preserve"> </w:t>
      </w:r>
      <w:r>
        <w:t>que</w:t>
      </w:r>
      <w:r w:rsidRPr="002C4077">
        <w:t xml:space="preserve"> </w:t>
      </w:r>
      <w:r>
        <w:t>les</w:t>
      </w:r>
      <w:r w:rsidRPr="002C4077">
        <w:t xml:space="preserve"> </w:t>
      </w:r>
      <w:r>
        <w:t>Chaldéens</w:t>
      </w:r>
      <w:r w:rsidRPr="002C4077">
        <w:t xml:space="preserve"> </w:t>
      </w:r>
      <w:r>
        <w:t>vinssent</w:t>
      </w:r>
      <w:r w:rsidRPr="002C4077">
        <w:t xml:space="preserve"> </w:t>
      </w:r>
      <w:r>
        <w:t>l’anéantir.</w:t>
      </w:r>
      <w:r w:rsidRPr="002C4077">
        <w:t xml:space="preserve"> </w:t>
      </w:r>
      <w:r>
        <w:t>Ils</w:t>
      </w:r>
      <w:r w:rsidRPr="002C4077">
        <w:t xml:space="preserve"> </w:t>
      </w:r>
      <w:r>
        <w:t>envoyèrent</w:t>
      </w:r>
      <w:r w:rsidRPr="002C4077">
        <w:t xml:space="preserve"> </w:t>
      </w:r>
      <w:r>
        <w:t>donc</w:t>
      </w:r>
      <w:r w:rsidRPr="002C4077">
        <w:t xml:space="preserve"> </w:t>
      </w:r>
      <w:r>
        <w:t>des</w:t>
      </w:r>
      <w:r w:rsidRPr="002C4077">
        <w:t xml:space="preserve"> </w:t>
      </w:r>
      <w:r>
        <w:t>messagers</w:t>
      </w:r>
      <w:r w:rsidRPr="002C4077">
        <w:t xml:space="preserve"> </w:t>
      </w:r>
      <w:r>
        <w:t>à</w:t>
      </w:r>
      <w:r w:rsidRPr="002C4077">
        <w:t xml:space="preserve"> </w:t>
      </w:r>
      <w:r>
        <w:t>Nabuchodonosor</w:t>
      </w:r>
      <w:r w:rsidRPr="002C4077">
        <w:t xml:space="preserve"> </w:t>
      </w:r>
      <w:r>
        <w:t>pour</w:t>
      </w:r>
      <w:r w:rsidRPr="002C4077">
        <w:t xml:space="preserve"> </w:t>
      </w:r>
      <w:r>
        <w:t>le</w:t>
      </w:r>
      <w:r w:rsidRPr="002C4077">
        <w:t xml:space="preserve"> </w:t>
      </w:r>
      <w:r>
        <w:t>déterminer,</w:t>
      </w:r>
      <w:r w:rsidRPr="002C4077">
        <w:t xml:space="preserve"> </w:t>
      </w:r>
      <w:r>
        <w:t>ils</w:t>
      </w:r>
      <w:r w:rsidRPr="002C4077">
        <w:t xml:space="preserve"> </w:t>
      </w:r>
      <w:r>
        <w:t>l’espéraient</w:t>
      </w:r>
      <w:r w:rsidRPr="002C4077">
        <w:t xml:space="preserve"> </w:t>
      </w:r>
      <w:r>
        <w:t>du</w:t>
      </w:r>
      <w:r w:rsidRPr="002C4077">
        <w:t xml:space="preserve"> </w:t>
      </w:r>
      <w:r>
        <w:t>moins,</w:t>
      </w:r>
      <w:r w:rsidRPr="002C4077">
        <w:t xml:space="preserve"> </w:t>
      </w:r>
      <w:r>
        <w:t>à</w:t>
      </w:r>
      <w:r w:rsidRPr="002C4077">
        <w:t xml:space="preserve"> </w:t>
      </w:r>
      <w:r>
        <w:t>attaquer</w:t>
      </w:r>
      <w:r w:rsidRPr="002C4077">
        <w:t xml:space="preserve"> </w:t>
      </w:r>
      <w:r>
        <w:t>vivement</w:t>
      </w:r>
      <w:r w:rsidRPr="002C4077">
        <w:t xml:space="preserve"> </w:t>
      </w:r>
      <w:r>
        <w:t>les</w:t>
      </w:r>
      <w:r w:rsidRPr="002C4077">
        <w:t xml:space="preserve"> </w:t>
      </w:r>
      <w:r>
        <w:t>Juifs.</w:t>
      </w:r>
      <w:r w:rsidRPr="002C4077">
        <w:t xml:space="preserve"> </w:t>
      </w:r>
      <w:r>
        <w:t>Et</w:t>
      </w:r>
      <w:r w:rsidRPr="002C4077">
        <w:t xml:space="preserve"> </w:t>
      </w:r>
      <w:r>
        <w:t>quel</w:t>
      </w:r>
      <w:r w:rsidRPr="002C4077">
        <w:t xml:space="preserve"> </w:t>
      </w:r>
      <w:r>
        <w:t>argument</w:t>
      </w:r>
      <w:r w:rsidRPr="002C4077">
        <w:t xml:space="preserve"> </w:t>
      </w:r>
      <w:r>
        <w:t>décisif</w:t>
      </w:r>
      <w:r w:rsidRPr="002C4077">
        <w:t xml:space="preserve"> </w:t>
      </w:r>
      <w:r>
        <w:t>proposèrent-ils</w:t>
      </w:r>
      <w:r w:rsidRPr="002C4077">
        <w:t xml:space="preserve"> </w:t>
      </w:r>
      <w:r>
        <w:t>au</w:t>
      </w:r>
      <w:r w:rsidRPr="002C4077">
        <w:t xml:space="preserve"> </w:t>
      </w:r>
      <w:r>
        <w:t>fameux</w:t>
      </w:r>
      <w:r w:rsidRPr="002C4077">
        <w:t xml:space="preserve"> </w:t>
      </w:r>
      <w:r>
        <w:t>monarque,</w:t>
      </w:r>
      <w:r w:rsidRPr="002C4077">
        <w:t xml:space="preserve"> </w:t>
      </w:r>
      <w:r>
        <w:t>pour</w:t>
      </w:r>
      <w:r w:rsidRPr="002C4077">
        <w:t xml:space="preserve"> </w:t>
      </w:r>
      <w:r>
        <w:t>mettre</w:t>
      </w:r>
      <w:r w:rsidRPr="002C4077">
        <w:t xml:space="preserve"> </w:t>
      </w:r>
      <w:r>
        <w:t>fin</w:t>
      </w:r>
      <w:r w:rsidRPr="002C4077">
        <w:t xml:space="preserve"> </w:t>
      </w:r>
      <w:r>
        <w:t>à</w:t>
      </w:r>
      <w:r w:rsidRPr="002C4077">
        <w:t xml:space="preserve"> </w:t>
      </w:r>
      <w:r>
        <w:t>son</w:t>
      </w:r>
      <w:r w:rsidRPr="002C4077">
        <w:t xml:space="preserve"> </w:t>
      </w:r>
      <w:r>
        <w:t>hésitation</w:t>
      </w:r>
      <w:r w:rsidR="00B546AF">
        <w:t> ?</w:t>
      </w:r>
      <w:r w:rsidRPr="002C4077">
        <w:t xml:space="preserve"> </w:t>
      </w:r>
      <w:r w:rsidR="00B546AF">
        <w:t>« </w:t>
      </w:r>
      <w:r>
        <w:t>Les</w:t>
      </w:r>
      <w:r w:rsidRPr="002C4077">
        <w:t xml:space="preserve"> </w:t>
      </w:r>
      <w:r>
        <w:t>Juifs,</w:t>
      </w:r>
      <w:r w:rsidRPr="002C4077">
        <w:t xml:space="preserve"> </w:t>
      </w:r>
      <w:r>
        <w:t>—</w:t>
      </w:r>
      <w:r w:rsidRPr="002C4077">
        <w:t xml:space="preserve"> </w:t>
      </w:r>
      <w:r>
        <w:t>tel</w:t>
      </w:r>
      <w:r w:rsidRPr="002C4077">
        <w:t xml:space="preserve"> </w:t>
      </w:r>
      <w:r>
        <w:t>fut</w:t>
      </w:r>
      <w:r w:rsidRPr="002C4077">
        <w:t xml:space="preserve"> </w:t>
      </w:r>
      <w:r>
        <w:t>le</w:t>
      </w:r>
      <w:r w:rsidRPr="002C4077">
        <w:t xml:space="preserve"> </w:t>
      </w:r>
      <w:r>
        <w:t>discours</w:t>
      </w:r>
      <w:r w:rsidRPr="002C4077">
        <w:t xml:space="preserve"> </w:t>
      </w:r>
      <w:r>
        <w:t>des</w:t>
      </w:r>
      <w:r w:rsidRPr="002C4077">
        <w:t xml:space="preserve"> </w:t>
      </w:r>
      <w:r>
        <w:t>ambassadeurs,</w:t>
      </w:r>
      <w:r w:rsidRPr="002C4077">
        <w:t xml:space="preserve"> </w:t>
      </w:r>
      <w:r>
        <w:t>—</w:t>
      </w:r>
      <w:r w:rsidRPr="002C4077">
        <w:t xml:space="preserve"> </w:t>
      </w:r>
      <w:r>
        <w:t>ont</w:t>
      </w:r>
      <w:r w:rsidRPr="002C4077">
        <w:t xml:space="preserve"> </w:t>
      </w:r>
      <w:r>
        <w:t>des</w:t>
      </w:r>
      <w:r w:rsidRPr="002C4077">
        <w:t xml:space="preserve"> </w:t>
      </w:r>
      <w:r>
        <w:t>sépulcres</w:t>
      </w:r>
      <w:r w:rsidRPr="002C4077">
        <w:t xml:space="preserve"> </w:t>
      </w:r>
      <w:r>
        <w:t>plus</w:t>
      </w:r>
      <w:r w:rsidRPr="002C4077">
        <w:t xml:space="preserve"> </w:t>
      </w:r>
      <w:r>
        <w:t>splendides</w:t>
      </w:r>
      <w:r w:rsidRPr="002C4077">
        <w:t xml:space="preserve"> </w:t>
      </w:r>
      <w:r>
        <w:t>que</w:t>
      </w:r>
      <w:r w:rsidRPr="002C4077">
        <w:t xml:space="preserve"> </w:t>
      </w:r>
      <w:r>
        <w:t>tes</w:t>
      </w:r>
      <w:r w:rsidRPr="002C4077">
        <w:t xml:space="preserve"> </w:t>
      </w:r>
      <w:r>
        <w:t>palais</w:t>
      </w:r>
      <w:r w:rsidR="00B546AF">
        <w:t> ! »</w:t>
      </w:r>
      <w:r w:rsidRPr="002C4077">
        <w:t xml:space="preserve"> </w:t>
      </w:r>
      <w:r>
        <w:t>Là-dessus,</w:t>
      </w:r>
      <w:r w:rsidRPr="002C4077">
        <w:t xml:space="preserve"> </w:t>
      </w:r>
      <w:r>
        <w:t>la</w:t>
      </w:r>
      <w:r w:rsidRPr="002C4077">
        <w:t xml:space="preserve"> </w:t>
      </w:r>
      <w:r>
        <w:t>guerre</w:t>
      </w:r>
      <w:r w:rsidRPr="002C4077">
        <w:t xml:space="preserve"> </w:t>
      </w:r>
      <w:r>
        <w:t>fut</w:t>
      </w:r>
      <w:r w:rsidRPr="002C4077">
        <w:t xml:space="preserve"> </w:t>
      </w:r>
      <w:r>
        <w:t>déclarée</w:t>
      </w:r>
      <w:r w:rsidR="00B91AF7">
        <w:rPr>
          <w:rStyle w:val="Appelnotedebasdep"/>
        </w:rPr>
        <w:footnoteReference w:id="874"/>
      </w:r>
      <w:r>
        <w:t>.</w:t>
      </w:r>
      <w:r w:rsidRPr="002C4077">
        <w:t xml:space="preserve"> </w:t>
      </w:r>
    </w:p>
    <w:p w:rsidR="000A7AAB" w:rsidRPr="005E2129" w:rsidRDefault="000A7AAB" w:rsidP="000A7AAB">
      <w:r>
        <w:t>Simples</w:t>
      </w:r>
      <w:bookmarkStart w:id="712" w:name="z_CimetieresJuifs_o6"/>
      <w:bookmarkEnd w:id="712"/>
      <w:r w:rsidRPr="002C4077">
        <w:t xml:space="preserve"> </w:t>
      </w:r>
      <w:r>
        <w:t>à</w:t>
      </w:r>
      <w:r w:rsidRPr="002C4077">
        <w:t xml:space="preserve"> </w:t>
      </w:r>
      <w:r>
        <w:t>l’origine,</w:t>
      </w:r>
      <w:r w:rsidRPr="002C4077">
        <w:t xml:space="preserve"> </w:t>
      </w:r>
      <w:r>
        <w:t>et</w:t>
      </w:r>
      <w:r w:rsidRPr="002C4077">
        <w:t xml:space="preserve"> </w:t>
      </w:r>
      <w:r>
        <w:t>consistant</w:t>
      </w:r>
      <w:r w:rsidRPr="002C4077">
        <w:t xml:space="preserve"> </w:t>
      </w:r>
      <w:r>
        <w:t>soit</w:t>
      </w:r>
      <w:r w:rsidRPr="002C4077">
        <w:t xml:space="preserve"> </w:t>
      </w:r>
      <w:r>
        <w:t>en</w:t>
      </w:r>
      <w:r w:rsidRPr="002C4077">
        <w:t xml:space="preserve"> </w:t>
      </w:r>
      <w:r>
        <w:t>un</w:t>
      </w:r>
      <w:r w:rsidRPr="002C4077">
        <w:t xml:space="preserve"> </w:t>
      </w:r>
      <w:r>
        <w:t>grossier</w:t>
      </w:r>
      <w:r w:rsidRPr="002C4077">
        <w:t xml:space="preserve"> </w:t>
      </w:r>
      <w:r>
        <w:t>tas</w:t>
      </w:r>
      <w:r w:rsidRPr="002C4077">
        <w:t xml:space="preserve"> </w:t>
      </w:r>
      <w:r>
        <w:t>de</w:t>
      </w:r>
      <w:r w:rsidRPr="002C4077">
        <w:t xml:space="preserve"> </w:t>
      </w:r>
      <w:r>
        <w:t>pierres</w:t>
      </w:r>
      <w:r w:rsidRPr="002C4077">
        <w:t xml:space="preserve"> </w:t>
      </w:r>
      <w:r>
        <w:t>amoncelées</w:t>
      </w:r>
      <w:r w:rsidRPr="002C4077">
        <w:t xml:space="preserve"> </w:t>
      </w:r>
      <w:r>
        <w:t>sur</w:t>
      </w:r>
      <w:r w:rsidRPr="002C4077">
        <w:t xml:space="preserve"> </w:t>
      </w:r>
      <w:r>
        <w:t>la</w:t>
      </w:r>
      <w:r w:rsidRPr="002C4077">
        <w:t xml:space="preserve"> </w:t>
      </w:r>
      <w:r>
        <w:t>fosse,</w:t>
      </w:r>
      <w:r w:rsidRPr="002C4077">
        <w:t xml:space="preserve"> </w:t>
      </w:r>
      <w:r>
        <w:t>soit</w:t>
      </w:r>
      <w:r w:rsidRPr="002C4077">
        <w:t xml:space="preserve"> </w:t>
      </w:r>
      <w:r>
        <w:t>en</w:t>
      </w:r>
      <w:r w:rsidRPr="002C4077">
        <w:t xml:space="preserve"> </w:t>
      </w:r>
      <w:r>
        <w:t>une</w:t>
      </w:r>
      <w:r w:rsidRPr="002C4077">
        <w:t xml:space="preserve"> </w:t>
      </w:r>
      <w:r w:rsidRPr="000A34B5">
        <w:rPr>
          <w:rStyle w:val="italicus"/>
        </w:rPr>
        <w:t>ma</w:t>
      </w:r>
      <w:r w:rsidR="001730C6" w:rsidRPr="000A34B5">
        <w:rPr>
          <w:rStyle w:val="italicus"/>
        </w:rPr>
        <w:t>ts</w:t>
      </w:r>
      <w:r w:rsidRPr="000A34B5">
        <w:rPr>
          <w:rStyle w:val="italicus"/>
        </w:rPr>
        <w:t>ébah</w:t>
      </w:r>
      <w:r w:rsidR="00B91AF7">
        <w:rPr>
          <w:rStyle w:val="Appelnotedebasdep"/>
          <w:i/>
        </w:rPr>
        <w:footnoteReference w:id="875"/>
      </w:r>
      <w:r w:rsidRPr="004440EA">
        <w:t xml:space="preserve"> (</w:t>
      </w:r>
      <w:r>
        <w:t>c’est-à-dire</w:t>
      </w:r>
      <w:r w:rsidRPr="002C4077">
        <w:t xml:space="preserve"> </w:t>
      </w:r>
      <w:r>
        <w:t>un</w:t>
      </w:r>
      <w:r w:rsidRPr="002C4077">
        <w:t xml:space="preserve"> </w:t>
      </w:r>
      <w:r>
        <w:t>cippe</w:t>
      </w:r>
      <w:r w:rsidR="00B546AF" w:rsidRPr="002C4077">
        <w:t>)</w:t>
      </w:r>
      <w:r w:rsidRPr="002C4077">
        <w:t xml:space="preserve"> </w:t>
      </w:r>
      <w:r>
        <w:t>élevée</w:t>
      </w:r>
      <w:r w:rsidRPr="002C4077">
        <w:t xml:space="preserve"> </w:t>
      </w:r>
      <w:r>
        <w:t>sans</w:t>
      </w:r>
      <w:r w:rsidRPr="002C4077">
        <w:t xml:space="preserve"> </w:t>
      </w:r>
      <w:r>
        <w:t>art,</w:t>
      </w:r>
      <w:r w:rsidRPr="002C4077">
        <w:t xml:space="preserve"> </w:t>
      </w:r>
      <w:r>
        <w:t>les</w:t>
      </w:r>
      <w:r w:rsidRPr="002C4077">
        <w:t xml:space="preserve"> </w:t>
      </w:r>
      <w:r>
        <w:t>tombeaux</w:t>
      </w:r>
      <w:r w:rsidRPr="002C4077">
        <w:t xml:space="preserve"> </w:t>
      </w:r>
      <w:r>
        <w:t>juifs</w:t>
      </w:r>
      <w:r w:rsidRPr="002C4077">
        <w:t xml:space="preserve"> </w:t>
      </w:r>
      <w:r>
        <w:t>devinrent,</w:t>
      </w:r>
      <w:r w:rsidRPr="002C4077">
        <w:t xml:space="preserve"> </w:t>
      </w:r>
      <w:r>
        <w:t>par</w:t>
      </w:r>
      <w:r w:rsidRPr="002C4077">
        <w:t xml:space="preserve"> </w:t>
      </w:r>
      <w:r>
        <w:t>la</w:t>
      </w:r>
      <w:r w:rsidRPr="002C4077">
        <w:t xml:space="preserve"> </w:t>
      </w:r>
      <w:r>
        <w:t>suite,</w:t>
      </w:r>
      <w:r w:rsidRPr="002C4077">
        <w:t xml:space="preserve"> </w:t>
      </w:r>
      <w:r>
        <w:t>du</w:t>
      </w:r>
      <w:r w:rsidRPr="002C4077">
        <w:t xml:space="preserve"> </w:t>
      </w:r>
      <w:r>
        <w:t>moins</w:t>
      </w:r>
      <w:r w:rsidRPr="002C4077">
        <w:t xml:space="preserve"> </w:t>
      </w:r>
      <w:r>
        <w:t>pour</w:t>
      </w:r>
      <w:r w:rsidRPr="002C4077">
        <w:t xml:space="preserve"> </w:t>
      </w:r>
      <w:r>
        <w:t>les</w:t>
      </w:r>
      <w:r w:rsidRPr="002C4077">
        <w:t xml:space="preserve"> </w:t>
      </w:r>
      <w:r>
        <w:t>personnages</w:t>
      </w:r>
      <w:r w:rsidRPr="002C4077">
        <w:t xml:space="preserve"> </w:t>
      </w:r>
      <w:r>
        <w:t>riches</w:t>
      </w:r>
      <w:r w:rsidRPr="002C4077">
        <w:t xml:space="preserve"> </w:t>
      </w:r>
      <w:r>
        <w:t>et</w:t>
      </w:r>
      <w:r w:rsidRPr="002C4077">
        <w:t xml:space="preserve"> </w:t>
      </w:r>
      <w:r>
        <w:t>distingués,</w:t>
      </w:r>
      <w:r w:rsidRPr="002C4077">
        <w:t xml:space="preserve"> </w:t>
      </w:r>
      <w:r>
        <w:t>de</w:t>
      </w:r>
      <w:r w:rsidRPr="002C4077">
        <w:t xml:space="preserve"> </w:t>
      </w:r>
      <w:r>
        <w:t>vrais</w:t>
      </w:r>
      <w:r w:rsidRPr="002C4077">
        <w:t xml:space="preserve"> </w:t>
      </w:r>
      <w:r>
        <w:t>monuments</w:t>
      </w:r>
      <w:r w:rsidRPr="002C4077">
        <w:t xml:space="preserve"> </w:t>
      </w:r>
      <w:r>
        <w:t>artistiques,</w:t>
      </w:r>
      <w:r w:rsidRPr="002C4077">
        <w:t xml:space="preserve"> </w:t>
      </w:r>
      <w:r>
        <w:t>capables</w:t>
      </w:r>
      <w:r w:rsidRPr="002C4077">
        <w:t xml:space="preserve"> </w:t>
      </w:r>
      <w:r>
        <w:t>d’exciter</w:t>
      </w:r>
      <w:r w:rsidRPr="002C4077">
        <w:t xml:space="preserve"> </w:t>
      </w:r>
      <w:r>
        <w:t>l’admiration</w:t>
      </w:r>
      <w:r w:rsidRPr="002C4077">
        <w:t xml:space="preserve"> </w:t>
      </w:r>
      <w:r>
        <w:t>même</w:t>
      </w:r>
      <w:r w:rsidRPr="002C4077">
        <w:t xml:space="preserve"> </w:t>
      </w:r>
      <w:r>
        <w:t>d’un</w:t>
      </w:r>
      <w:r w:rsidRPr="002C4077">
        <w:t xml:space="preserve"> </w:t>
      </w:r>
      <w:r>
        <w:t>roi</w:t>
      </w:r>
      <w:r w:rsidRPr="002C4077">
        <w:t xml:space="preserve"> </w:t>
      </w:r>
      <w:r>
        <w:t>babylonien.</w:t>
      </w:r>
      <w:r w:rsidRPr="002C4077">
        <w:t xml:space="preserve"> </w:t>
      </w:r>
      <w:r>
        <w:t>La</w:t>
      </w:r>
      <w:r w:rsidRPr="002C4077">
        <w:t xml:space="preserve"> </w:t>
      </w:r>
      <w:r>
        <w:t>Bible</w:t>
      </w:r>
      <w:r w:rsidRPr="002C4077">
        <w:t xml:space="preserve"> </w:t>
      </w:r>
      <w:r>
        <w:t>mentionne</w:t>
      </w:r>
      <w:r w:rsidRPr="002C4077">
        <w:t xml:space="preserve"> </w:t>
      </w:r>
      <w:r>
        <w:t>plusieurs</w:t>
      </w:r>
      <w:r w:rsidRPr="002C4077">
        <w:t xml:space="preserve"> </w:t>
      </w:r>
      <w:r>
        <w:t>de</w:t>
      </w:r>
      <w:r w:rsidRPr="002C4077">
        <w:t xml:space="preserve"> </w:t>
      </w:r>
      <w:r>
        <w:t>ces</w:t>
      </w:r>
      <w:r w:rsidRPr="002C4077">
        <w:t xml:space="preserve"> </w:t>
      </w:r>
      <w:r>
        <w:t>tombes</w:t>
      </w:r>
      <w:r w:rsidRPr="002C4077">
        <w:t xml:space="preserve"> </w:t>
      </w:r>
      <w:r>
        <w:t>magnifiques,</w:t>
      </w:r>
      <w:r w:rsidRPr="002C4077">
        <w:t xml:space="preserve"> </w:t>
      </w:r>
      <w:r>
        <w:t>par</w:t>
      </w:r>
      <w:r w:rsidRPr="002C4077">
        <w:t xml:space="preserve"> </w:t>
      </w:r>
      <w:r>
        <w:t>exemple</w:t>
      </w:r>
      <w:r w:rsidRPr="002C4077">
        <w:t xml:space="preserve"> </w:t>
      </w:r>
      <w:r>
        <w:t>au</w:t>
      </w:r>
      <w:r w:rsidRPr="002C4077">
        <w:t xml:space="preserve"> </w:t>
      </w:r>
      <w:r>
        <w:t>second</w:t>
      </w:r>
      <w:r w:rsidRPr="002C4077">
        <w:t xml:space="preserve"> </w:t>
      </w:r>
      <w:r>
        <w:t>livre</w:t>
      </w:r>
      <w:r w:rsidRPr="002C4077">
        <w:t xml:space="preserve"> </w:t>
      </w:r>
      <w:r>
        <w:t>des</w:t>
      </w:r>
      <w:r w:rsidRPr="002C4077">
        <w:t xml:space="preserve"> </w:t>
      </w:r>
      <w:r>
        <w:t>Rois</w:t>
      </w:r>
      <w:r w:rsidRPr="004440EA">
        <w:t xml:space="preserve"> (</w:t>
      </w:r>
      <w:r>
        <w:rPr>
          <w:smallCaps/>
        </w:rPr>
        <w:t>XVIII</w:t>
      </w:r>
      <w:r>
        <w:t>,</w:t>
      </w:r>
      <w:r w:rsidRPr="002C4077">
        <w:t xml:space="preserve"> </w:t>
      </w:r>
      <w:r>
        <w:t>18</w:t>
      </w:r>
      <w:r w:rsidR="00B546AF" w:rsidRPr="002C4077">
        <w:t>)</w:t>
      </w:r>
      <w:r w:rsidRPr="00950016">
        <w:t>,</w:t>
      </w:r>
      <w:r w:rsidRPr="002C4077">
        <w:t xml:space="preserve"> </w:t>
      </w:r>
      <w:r>
        <w:t>au</w:t>
      </w:r>
      <w:r w:rsidRPr="002C4077">
        <w:t xml:space="preserve"> </w:t>
      </w:r>
      <w:r>
        <w:t>livre</w:t>
      </w:r>
      <w:r w:rsidRPr="002C4077">
        <w:t xml:space="preserve"> </w:t>
      </w:r>
      <w:r>
        <w:t>de</w:t>
      </w:r>
      <w:r w:rsidRPr="002C4077">
        <w:t xml:space="preserve"> </w:t>
      </w:r>
      <w:r>
        <w:t>Job</w:t>
      </w:r>
      <w:r w:rsidRPr="004440EA">
        <w:t xml:space="preserve"> (</w:t>
      </w:r>
      <w:r>
        <w:t>m,</w:t>
      </w:r>
      <w:r w:rsidRPr="002C4077">
        <w:t xml:space="preserve"> </w:t>
      </w:r>
      <w:r>
        <w:t>14</w:t>
      </w:r>
      <w:r w:rsidR="00B546AF" w:rsidRPr="002C4077">
        <w:t>)</w:t>
      </w:r>
      <w:r w:rsidRPr="00950016">
        <w:t>,</w:t>
      </w:r>
      <w:r w:rsidRPr="002C4077">
        <w:t xml:space="preserve"> </w:t>
      </w:r>
      <w:r>
        <w:t>dans</w:t>
      </w:r>
      <w:r w:rsidRPr="002C4077">
        <w:t xml:space="preserve"> </w:t>
      </w:r>
      <w:r>
        <w:t>la</w:t>
      </w:r>
      <w:r w:rsidRPr="002C4077">
        <w:t xml:space="preserve"> </w:t>
      </w:r>
      <w:r>
        <w:t>prophétie</w:t>
      </w:r>
      <w:r w:rsidRPr="002C4077">
        <w:t xml:space="preserve"> </w:t>
      </w:r>
      <w:r>
        <w:t>d’Isaïe</w:t>
      </w:r>
      <w:r w:rsidRPr="004440EA">
        <w:t xml:space="preserve"> (</w:t>
      </w:r>
      <w:r>
        <w:t>XXII,</w:t>
      </w:r>
      <w:r w:rsidRPr="002C4077">
        <w:t xml:space="preserve"> </w:t>
      </w:r>
      <w:r>
        <w:t>16</w:t>
      </w:r>
      <w:r w:rsidR="00B546AF" w:rsidRPr="002C4077">
        <w:t>)</w:t>
      </w:r>
      <w:r w:rsidRPr="00950016">
        <w:t>,</w:t>
      </w:r>
      <w:r w:rsidRPr="002C4077">
        <w:t xml:space="preserve"> </w:t>
      </w:r>
      <w:r>
        <w:t>au</w:t>
      </w:r>
      <w:r w:rsidRPr="002C4077">
        <w:t xml:space="preserve"> </w:t>
      </w:r>
      <w:r>
        <w:t>premier</w:t>
      </w:r>
      <w:r w:rsidRPr="002C4077">
        <w:t xml:space="preserve"> </w:t>
      </w:r>
      <w:r>
        <w:t>livre</w:t>
      </w:r>
      <w:r w:rsidRPr="002C4077">
        <w:t xml:space="preserve"> </w:t>
      </w:r>
      <w:r>
        <w:t>des</w:t>
      </w:r>
      <w:r w:rsidRPr="002C4077">
        <w:t xml:space="preserve"> </w:t>
      </w:r>
      <w:r>
        <w:t>Machabées</w:t>
      </w:r>
      <w:r w:rsidRPr="004440EA">
        <w:t xml:space="preserve"> (</w:t>
      </w:r>
      <w:r>
        <w:rPr>
          <w:smallCaps/>
        </w:rPr>
        <w:t>XIII</w:t>
      </w:r>
      <w:r>
        <w:t>,</w:t>
      </w:r>
      <w:r w:rsidRPr="002C4077">
        <w:t xml:space="preserve"> </w:t>
      </w:r>
      <w:r>
        <w:t>27-30</w:t>
      </w:r>
      <w:r w:rsidR="00B546AF" w:rsidRPr="002C4077">
        <w:t>)</w:t>
      </w:r>
      <w:r>
        <w:t>.</w:t>
      </w:r>
      <w:r w:rsidRPr="002C4077">
        <w:t xml:space="preserve"> </w:t>
      </w:r>
      <w:r w:rsidR="00B546AF">
        <w:t>« </w:t>
      </w:r>
      <w:r>
        <w:t>Simon,</w:t>
      </w:r>
      <w:r w:rsidRPr="002C4077">
        <w:t xml:space="preserve"> </w:t>
      </w:r>
      <w:r>
        <w:t>lisons-nous</w:t>
      </w:r>
      <w:r w:rsidRPr="002C4077">
        <w:t xml:space="preserve"> </w:t>
      </w:r>
      <w:r>
        <w:t>dans</w:t>
      </w:r>
      <w:r w:rsidRPr="002C4077">
        <w:t xml:space="preserve"> </w:t>
      </w:r>
      <w:r>
        <w:t>ce</w:t>
      </w:r>
      <w:r w:rsidRPr="002C4077">
        <w:t xml:space="preserve"> </w:t>
      </w:r>
      <w:r>
        <w:t>dernier</w:t>
      </w:r>
      <w:r w:rsidRPr="002C4077">
        <w:t xml:space="preserve"> </w:t>
      </w:r>
      <w:r>
        <w:t>passage,</w:t>
      </w:r>
      <w:r w:rsidRPr="002C4077">
        <w:t xml:space="preserve"> </w:t>
      </w:r>
      <w:r>
        <w:t>éleva</w:t>
      </w:r>
      <w:r w:rsidRPr="002C4077">
        <w:t xml:space="preserve"> </w:t>
      </w:r>
      <w:r>
        <w:t>sur</w:t>
      </w:r>
      <w:r w:rsidRPr="002C4077">
        <w:t xml:space="preserve"> </w:t>
      </w:r>
      <w:r>
        <w:t>la</w:t>
      </w:r>
      <w:r w:rsidRPr="002C4077">
        <w:t xml:space="preserve"> </w:t>
      </w:r>
      <w:r>
        <w:t>sépulture</w:t>
      </w:r>
      <w:r w:rsidRPr="002C4077">
        <w:t xml:space="preserve"> </w:t>
      </w:r>
      <w:r>
        <w:t>de</w:t>
      </w:r>
      <w:r w:rsidRPr="002C4077">
        <w:t xml:space="preserve"> </w:t>
      </w:r>
      <w:r>
        <w:t>son</w:t>
      </w:r>
      <w:r w:rsidRPr="002C4077">
        <w:t xml:space="preserve"> </w:t>
      </w:r>
      <w:r>
        <w:t>père</w:t>
      </w:r>
      <w:r w:rsidRPr="002C4077">
        <w:t xml:space="preserve"> </w:t>
      </w:r>
      <w:r>
        <w:t>et</w:t>
      </w:r>
      <w:r w:rsidRPr="002C4077">
        <w:t xml:space="preserve"> </w:t>
      </w:r>
      <w:r>
        <w:t>de</w:t>
      </w:r>
      <w:r w:rsidRPr="002C4077">
        <w:t xml:space="preserve"> </w:t>
      </w:r>
      <w:r>
        <w:t>ses</w:t>
      </w:r>
      <w:r w:rsidRPr="002C4077">
        <w:t xml:space="preserve"> </w:t>
      </w:r>
      <w:r>
        <w:t>frères</w:t>
      </w:r>
      <w:r w:rsidRPr="002C4077">
        <w:t xml:space="preserve"> </w:t>
      </w:r>
      <w:r>
        <w:t>un</w:t>
      </w:r>
      <w:r w:rsidRPr="002C4077">
        <w:t xml:space="preserve"> </w:t>
      </w:r>
      <w:r>
        <w:t>édifice</w:t>
      </w:r>
      <w:r w:rsidRPr="002C4077">
        <w:t xml:space="preserve"> </w:t>
      </w:r>
      <w:r>
        <w:t>qu’on</w:t>
      </w:r>
      <w:r w:rsidRPr="002C4077">
        <w:t xml:space="preserve"> </w:t>
      </w:r>
      <w:r>
        <w:t>apercevait</w:t>
      </w:r>
      <w:r w:rsidRPr="002C4077">
        <w:t xml:space="preserve"> </w:t>
      </w:r>
      <w:r>
        <w:t>au</w:t>
      </w:r>
      <w:r w:rsidRPr="002C4077">
        <w:t xml:space="preserve"> </w:t>
      </w:r>
      <w:r>
        <w:t>loin</w:t>
      </w:r>
      <w:r w:rsidRPr="002C4077">
        <w:t xml:space="preserve"> </w:t>
      </w:r>
      <w:r>
        <w:t>et</w:t>
      </w:r>
      <w:r w:rsidRPr="002C4077">
        <w:t xml:space="preserve"> </w:t>
      </w:r>
      <w:r>
        <w:t>dont</w:t>
      </w:r>
      <w:r w:rsidRPr="002C4077">
        <w:t xml:space="preserve"> </w:t>
      </w:r>
      <w:r>
        <w:t>les</w:t>
      </w:r>
      <w:r w:rsidRPr="002C4077">
        <w:t xml:space="preserve"> </w:t>
      </w:r>
      <w:r>
        <w:t>pierres</w:t>
      </w:r>
      <w:r w:rsidRPr="002C4077">
        <w:t xml:space="preserve"> </w:t>
      </w:r>
      <w:r>
        <w:t>étaient</w:t>
      </w:r>
      <w:r w:rsidRPr="002C4077">
        <w:t xml:space="preserve"> </w:t>
      </w:r>
      <w:r>
        <w:t>polies</w:t>
      </w:r>
      <w:r w:rsidRPr="002C4077">
        <w:t xml:space="preserve"> </w:t>
      </w:r>
      <w:r>
        <w:t>par</w:t>
      </w:r>
      <w:r w:rsidRPr="002C4077">
        <w:t xml:space="preserve"> </w:t>
      </w:r>
      <w:r>
        <w:t>devant</w:t>
      </w:r>
      <w:r w:rsidRPr="002C4077">
        <w:t xml:space="preserve"> </w:t>
      </w:r>
      <w:r>
        <w:t>et</w:t>
      </w:r>
      <w:r w:rsidRPr="002C4077">
        <w:t xml:space="preserve"> </w:t>
      </w:r>
      <w:r>
        <w:t>par</w:t>
      </w:r>
      <w:r w:rsidRPr="002C4077">
        <w:t xml:space="preserve"> </w:t>
      </w:r>
      <w:r>
        <w:t>derrière.</w:t>
      </w:r>
      <w:r w:rsidRPr="002C4077">
        <w:t xml:space="preserve"> </w:t>
      </w:r>
      <w:r>
        <w:t>Et</w:t>
      </w:r>
      <w:r w:rsidRPr="002C4077">
        <w:t xml:space="preserve"> </w:t>
      </w:r>
      <w:r>
        <w:t>il</w:t>
      </w:r>
      <w:r w:rsidRPr="002C4077">
        <w:t xml:space="preserve"> </w:t>
      </w:r>
      <w:r>
        <w:t>plaça</w:t>
      </w:r>
      <w:r w:rsidRPr="002C4077">
        <w:t xml:space="preserve"> </w:t>
      </w:r>
      <w:r>
        <w:t>sept</w:t>
      </w:r>
      <w:r w:rsidRPr="002C4077">
        <w:t xml:space="preserve"> </w:t>
      </w:r>
      <w:r>
        <w:t>pyramides</w:t>
      </w:r>
      <w:r w:rsidRPr="002C4077">
        <w:t xml:space="preserve"> </w:t>
      </w:r>
      <w:r>
        <w:t>l’une</w:t>
      </w:r>
      <w:r w:rsidRPr="002C4077">
        <w:t xml:space="preserve"> </w:t>
      </w:r>
      <w:r>
        <w:t>en</w:t>
      </w:r>
      <w:r w:rsidRPr="002C4077">
        <w:t xml:space="preserve"> </w:t>
      </w:r>
      <w:r>
        <w:t>face</w:t>
      </w:r>
      <w:r w:rsidRPr="002C4077">
        <w:t xml:space="preserve"> </w:t>
      </w:r>
      <w:r>
        <w:t>de</w:t>
      </w:r>
      <w:r w:rsidRPr="002C4077">
        <w:t xml:space="preserve"> </w:t>
      </w:r>
      <w:r>
        <w:t>l’autre,</w:t>
      </w:r>
      <w:r w:rsidRPr="002C4077">
        <w:t xml:space="preserve"> </w:t>
      </w:r>
      <w:r>
        <w:t>pour</w:t>
      </w:r>
      <w:r w:rsidRPr="002C4077">
        <w:t xml:space="preserve"> </w:t>
      </w:r>
      <w:r>
        <w:t>son</w:t>
      </w:r>
      <w:r w:rsidRPr="002C4077">
        <w:t xml:space="preserve"> </w:t>
      </w:r>
      <w:r>
        <w:t>père</w:t>
      </w:r>
      <w:r w:rsidRPr="002C4077">
        <w:t xml:space="preserve"> </w:t>
      </w:r>
      <w:r>
        <w:t>et</w:t>
      </w:r>
      <w:r w:rsidRPr="002C4077">
        <w:t xml:space="preserve"> </w:t>
      </w:r>
      <w:r>
        <w:t>sa</w:t>
      </w:r>
      <w:r w:rsidRPr="002C4077">
        <w:t xml:space="preserve"> </w:t>
      </w:r>
      <w:r>
        <w:t>mère</w:t>
      </w:r>
      <w:r w:rsidRPr="002C4077">
        <w:t xml:space="preserve"> </w:t>
      </w:r>
      <w:r>
        <w:t>et</w:t>
      </w:r>
      <w:r w:rsidRPr="002C4077">
        <w:t xml:space="preserve"> </w:t>
      </w:r>
      <w:r>
        <w:t>ses</w:t>
      </w:r>
      <w:r w:rsidRPr="002C4077">
        <w:t xml:space="preserve"> </w:t>
      </w:r>
      <w:r>
        <w:t>quatre</w:t>
      </w:r>
      <w:r w:rsidRPr="002C4077">
        <w:t xml:space="preserve"> </w:t>
      </w:r>
      <w:r>
        <w:t>frère</w:t>
      </w:r>
      <w:r w:rsidR="004377BC">
        <w:t>s</w:t>
      </w:r>
      <w:r w:rsidR="004377BC">
        <w:rPr>
          <w:rStyle w:val="Appelnotedebasdep"/>
        </w:rPr>
        <w:footnoteReference w:id="876"/>
      </w:r>
      <w:r>
        <w:t>.</w:t>
      </w:r>
      <w:r w:rsidRPr="002C4077">
        <w:t xml:space="preserve"> </w:t>
      </w:r>
      <w:r>
        <w:t>Et</w:t>
      </w:r>
      <w:r w:rsidRPr="002C4077">
        <w:t xml:space="preserve"> </w:t>
      </w:r>
      <w:r>
        <w:t>tout</w:t>
      </w:r>
      <w:r w:rsidRPr="002C4077">
        <w:t xml:space="preserve"> </w:t>
      </w:r>
      <w:r>
        <w:t>autour</w:t>
      </w:r>
      <w:r w:rsidRPr="002C4077">
        <w:t xml:space="preserve"> </w:t>
      </w:r>
      <w:r>
        <w:t>il</w:t>
      </w:r>
      <w:r w:rsidRPr="002C4077">
        <w:t xml:space="preserve"> </w:t>
      </w:r>
      <w:r>
        <w:t>fit</w:t>
      </w:r>
      <w:r w:rsidRPr="002C4077">
        <w:t xml:space="preserve"> </w:t>
      </w:r>
      <w:r>
        <w:t>élever</w:t>
      </w:r>
      <w:r w:rsidRPr="002C4077">
        <w:t xml:space="preserve"> </w:t>
      </w:r>
      <w:r>
        <w:t>de</w:t>
      </w:r>
      <w:r w:rsidRPr="002C4077">
        <w:t xml:space="preserve"> </w:t>
      </w:r>
      <w:r>
        <w:t>grandes</w:t>
      </w:r>
      <w:r w:rsidRPr="002C4077">
        <w:t xml:space="preserve"> </w:t>
      </w:r>
      <w:r>
        <w:t>colonnes,</w:t>
      </w:r>
      <w:r w:rsidRPr="002C4077">
        <w:t xml:space="preserve"> </w:t>
      </w:r>
      <w:r>
        <w:t>et,</w:t>
      </w:r>
      <w:r w:rsidRPr="002C4077">
        <w:t xml:space="preserve"> </w:t>
      </w:r>
      <w:r>
        <w:t>sur</w:t>
      </w:r>
      <w:r w:rsidRPr="002C4077">
        <w:t xml:space="preserve"> </w:t>
      </w:r>
      <w:r>
        <w:t>les</w:t>
      </w:r>
      <w:r w:rsidRPr="002C4077">
        <w:t xml:space="preserve"> </w:t>
      </w:r>
      <w:r>
        <w:t>colonnes,</w:t>
      </w:r>
      <w:r w:rsidRPr="002C4077">
        <w:t xml:space="preserve"> </w:t>
      </w:r>
      <w:r>
        <w:t>des</w:t>
      </w:r>
      <w:r w:rsidRPr="002C4077">
        <w:t xml:space="preserve"> </w:t>
      </w:r>
      <w:r>
        <w:t>armes,</w:t>
      </w:r>
      <w:r w:rsidRPr="002C4077">
        <w:t xml:space="preserve"> </w:t>
      </w:r>
      <w:r>
        <w:t>comme</w:t>
      </w:r>
      <w:r w:rsidRPr="002C4077">
        <w:t xml:space="preserve"> </w:t>
      </w:r>
      <w:r>
        <w:t>un</w:t>
      </w:r>
      <w:r w:rsidRPr="002C4077">
        <w:t xml:space="preserve"> </w:t>
      </w:r>
      <w:r>
        <w:t>monument</w:t>
      </w:r>
      <w:r w:rsidRPr="002C4077">
        <w:t xml:space="preserve"> </w:t>
      </w:r>
      <w:r>
        <w:t>éternel,</w:t>
      </w:r>
      <w:r w:rsidRPr="002C4077">
        <w:t xml:space="preserve"> </w:t>
      </w:r>
      <w:r>
        <w:t>et,</w:t>
      </w:r>
      <w:r w:rsidRPr="002C4077">
        <w:t xml:space="preserve"> </w:t>
      </w:r>
      <w:r>
        <w:t>auprès</w:t>
      </w:r>
      <w:r w:rsidRPr="002C4077">
        <w:t xml:space="preserve"> </w:t>
      </w:r>
      <w:r>
        <w:t>des</w:t>
      </w:r>
      <w:r w:rsidRPr="002C4077">
        <w:t xml:space="preserve"> </w:t>
      </w:r>
      <w:r>
        <w:t>armes,</w:t>
      </w:r>
      <w:r w:rsidRPr="002C4077">
        <w:t xml:space="preserve"> </w:t>
      </w:r>
      <w:r>
        <w:t>des</w:t>
      </w:r>
      <w:r w:rsidRPr="002C4077">
        <w:t xml:space="preserve"> </w:t>
      </w:r>
      <w:r>
        <w:t>navires</w:t>
      </w:r>
      <w:r w:rsidRPr="002C4077">
        <w:t xml:space="preserve"> </w:t>
      </w:r>
      <w:r>
        <w:t>sculptés,</w:t>
      </w:r>
      <w:r w:rsidRPr="002C4077">
        <w:t xml:space="preserve"> </w:t>
      </w:r>
      <w:r>
        <w:t>pour</w:t>
      </w:r>
      <w:r w:rsidRPr="002C4077">
        <w:t xml:space="preserve"> </w:t>
      </w:r>
      <w:r>
        <w:t>être</w:t>
      </w:r>
      <w:r w:rsidRPr="002C4077">
        <w:t xml:space="preserve"> </w:t>
      </w:r>
      <w:r>
        <w:t>vus</w:t>
      </w:r>
      <w:r w:rsidRPr="002C4077">
        <w:t xml:space="preserve"> </w:t>
      </w:r>
      <w:r>
        <w:t>par</w:t>
      </w:r>
      <w:r w:rsidRPr="002C4077">
        <w:t xml:space="preserve"> </w:t>
      </w:r>
      <w:r>
        <w:t>tous</w:t>
      </w:r>
      <w:r w:rsidRPr="002C4077">
        <w:t xml:space="preserve"> </w:t>
      </w:r>
      <w:r>
        <w:t>ceux</w:t>
      </w:r>
      <w:r w:rsidRPr="002C4077">
        <w:t xml:space="preserve"> </w:t>
      </w:r>
      <w:r>
        <w:t>qui</w:t>
      </w:r>
      <w:r w:rsidRPr="002C4077">
        <w:t xml:space="preserve"> </w:t>
      </w:r>
      <w:r>
        <w:t>naviguaient</w:t>
      </w:r>
      <w:r w:rsidRPr="002C4077">
        <w:t xml:space="preserve"> </w:t>
      </w:r>
      <w:r>
        <w:t>sur</w:t>
      </w:r>
      <w:r w:rsidRPr="002C4077">
        <w:t xml:space="preserve"> </w:t>
      </w:r>
      <w:r>
        <w:t>la</w:t>
      </w:r>
      <w:r w:rsidRPr="002C4077">
        <w:t xml:space="preserve"> </w:t>
      </w:r>
      <w:r>
        <w:t>mer</w:t>
      </w:r>
      <w:r w:rsidR="00B546AF">
        <w:t> »</w:t>
      </w:r>
      <w:r>
        <w:t>.</w:t>
      </w:r>
      <w:r w:rsidR="00C45B47">
        <w:t xml:space="preserve"> {</w:t>
      </w:r>
      <w:r w:rsidR="005E2129">
        <w:t>291</w:t>
      </w:r>
      <w:bookmarkStart w:id="713" w:name="p291"/>
      <w:bookmarkEnd w:id="713"/>
      <w:r w:rsidR="005E2129">
        <w:t xml:space="preserve">} </w:t>
      </w:r>
    </w:p>
    <w:p w:rsidR="000A7AAB" w:rsidRDefault="000A7AAB" w:rsidP="000A7AAB">
      <w:r>
        <w:t>Ceux</w:t>
      </w:r>
      <w:r w:rsidRPr="002C4077">
        <w:t xml:space="preserve"> </w:t>
      </w:r>
      <w:r>
        <w:t>d’entre</w:t>
      </w:r>
      <w:r w:rsidRPr="002C4077">
        <w:t xml:space="preserve"> </w:t>
      </w:r>
      <w:r>
        <w:t>nos</w:t>
      </w:r>
      <w:r w:rsidRPr="002C4077">
        <w:t xml:space="preserve"> </w:t>
      </w:r>
      <w:r>
        <w:t>lecteurs</w:t>
      </w:r>
      <w:r w:rsidRPr="002C4077">
        <w:t xml:space="preserve"> </w:t>
      </w:r>
      <w:r>
        <w:t>qui</w:t>
      </w:r>
      <w:r w:rsidRPr="002C4077">
        <w:t xml:space="preserve"> </w:t>
      </w:r>
      <w:r>
        <w:t>ont</w:t>
      </w:r>
      <w:r w:rsidRPr="002C4077">
        <w:t xml:space="preserve"> </w:t>
      </w:r>
      <w:r>
        <w:t>contemplé</w:t>
      </w:r>
      <w:r w:rsidRPr="002C4077">
        <w:t xml:space="preserve"> </w:t>
      </w:r>
      <w:r>
        <w:t>aux</w:t>
      </w:r>
      <w:r w:rsidRPr="002C4077">
        <w:t xml:space="preserve"> </w:t>
      </w:r>
      <w:r>
        <w:t>environs</w:t>
      </w:r>
      <w:r w:rsidRPr="002C4077">
        <w:t xml:space="preserve"> </w:t>
      </w:r>
      <w:r>
        <w:t>de</w:t>
      </w:r>
      <w:r w:rsidRPr="002C4077">
        <w:t xml:space="preserve"> </w:t>
      </w:r>
      <w:r>
        <w:t>Jérusalem,</w:t>
      </w:r>
      <w:r w:rsidRPr="002C4077">
        <w:t xml:space="preserve"> </w:t>
      </w:r>
      <w:r>
        <w:t>ou</w:t>
      </w:r>
      <w:r w:rsidRPr="002C4077">
        <w:t xml:space="preserve"> </w:t>
      </w:r>
      <w:r>
        <w:t>en</w:t>
      </w:r>
      <w:r w:rsidRPr="002C4077">
        <w:t xml:space="preserve"> </w:t>
      </w:r>
      <w:r>
        <w:t>d’autres</w:t>
      </w:r>
      <w:r w:rsidRPr="002C4077">
        <w:t xml:space="preserve"> </w:t>
      </w:r>
      <w:r>
        <w:t>lieux</w:t>
      </w:r>
      <w:r w:rsidRPr="002C4077">
        <w:t xml:space="preserve"> </w:t>
      </w:r>
      <w:r>
        <w:t>de</w:t>
      </w:r>
      <w:r w:rsidRPr="002C4077">
        <w:t xml:space="preserve"> </w:t>
      </w:r>
      <w:r>
        <w:t>la</w:t>
      </w:r>
      <w:r w:rsidRPr="002C4077">
        <w:t xml:space="preserve"> </w:t>
      </w:r>
      <w:r>
        <w:t>Palestine,</w:t>
      </w:r>
      <w:r w:rsidRPr="002C4077">
        <w:t xml:space="preserve"> </w:t>
      </w:r>
      <w:r>
        <w:t>les</w:t>
      </w:r>
      <w:r w:rsidRPr="002C4077">
        <w:t xml:space="preserve"> </w:t>
      </w:r>
      <w:r>
        <w:t>antiques</w:t>
      </w:r>
      <w:r w:rsidRPr="002C4077">
        <w:t xml:space="preserve"> </w:t>
      </w:r>
      <w:r>
        <w:t>tombeaux</w:t>
      </w:r>
      <w:r w:rsidRPr="002C4077">
        <w:t xml:space="preserve"> </w:t>
      </w:r>
      <w:r>
        <w:t>dits</w:t>
      </w:r>
      <w:r w:rsidRPr="002C4077">
        <w:t xml:space="preserve"> </w:t>
      </w:r>
      <w:r>
        <w:t>des</w:t>
      </w:r>
      <w:r w:rsidRPr="002C4077">
        <w:t xml:space="preserve"> </w:t>
      </w:r>
      <w:r>
        <w:t>Rois,</w:t>
      </w:r>
      <w:r w:rsidRPr="002C4077">
        <w:t xml:space="preserve"> </w:t>
      </w:r>
      <w:r>
        <w:t>des</w:t>
      </w:r>
      <w:r w:rsidRPr="002C4077">
        <w:t xml:space="preserve"> </w:t>
      </w:r>
      <w:r>
        <w:t>Prophètes,</w:t>
      </w:r>
      <w:r w:rsidRPr="002C4077">
        <w:t xml:space="preserve"> </w:t>
      </w:r>
      <w:r>
        <w:t>des</w:t>
      </w:r>
      <w:r w:rsidRPr="002C4077">
        <w:t xml:space="preserve"> </w:t>
      </w:r>
      <w:r>
        <w:t>Juges,</w:t>
      </w:r>
      <w:r w:rsidRPr="002C4077">
        <w:t xml:space="preserve"> </w:t>
      </w:r>
      <w:r>
        <w:t>d’Absalon,</w:t>
      </w:r>
      <w:r w:rsidRPr="002C4077">
        <w:t xml:space="preserve"> </w:t>
      </w:r>
      <w:r>
        <w:t>de</w:t>
      </w:r>
      <w:r w:rsidRPr="002C4077">
        <w:t xml:space="preserve"> </w:t>
      </w:r>
      <w:r>
        <w:t>saint</w:t>
      </w:r>
      <w:r w:rsidRPr="002C4077">
        <w:t xml:space="preserve"> </w:t>
      </w:r>
      <w:r>
        <w:t>Jacques,</w:t>
      </w:r>
      <w:r w:rsidRPr="002C4077">
        <w:t xml:space="preserve"> </w:t>
      </w:r>
      <w:r w:rsidR="00425C50">
        <w:t>etc</w:t>
      </w:r>
      <w:r>
        <w:t>.,</w:t>
      </w:r>
      <w:r w:rsidRPr="002C4077">
        <w:t xml:space="preserve"> </w:t>
      </w:r>
      <w:r>
        <w:t>taillés</w:t>
      </w:r>
      <w:r w:rsidRPr="002C4077">
        <w:t xml:space="preserve"> </w:t>
      </w:r>
      <w:r>
        <w:t>dans</w:t>
      </w:r>
      <w:r w:rsidRPr="002C4077">
        <w:t xml:space="preserve"> </w:t>
      </w:r>
      <w:r>
        <w:t>le</w:t>
      </w:r>
      <w:r w:rsidRPr="002C4077">
        <w:t xml:space="preserve"> </w:t>
      </w:r>
      <w:r>
        <w:t>roc</w:t>
      </w:r>
      <w:r w:rsidRPr="002C4077">
        <w:t xml:space="preserve"> </w:t>
      </w:r>
      <w:r>
        <w:t>et</w:t>
      </w:r>
      <w:r w:rsidRPr="002C4077">
        <w:t xml:space="preserve"> </w:t>
      </w:r>
      <w:r>
        <w:t>d’une</w:t>
      </w:r>
      <w:r w:rsidRPr="002C4077">
        <w:t xml:space="preserve"> </w:t>
      </w:r>
      <w:r>
        <w:t>magnificence</w:t>
      </w:r>
      <w:r w:rsidRPr="002C4077">
        <w:t xml:space="preserve"> </w:t>
      </w:r>
      <w:r>
        <w:t>vraiment</w:t>
      </w:r>
      <w:r w:rsidRPr="002C4077">
        <w:t xml:space="preserve"> </w:t>
      </w:r>
      <w:r>
        <w:t>princière</w:t>
      </w:r>
      <w:r w:rsidR="00B91AF7">
        <w:rPr>
          <w:rStyle w:val="Appelnotedebasdep"/>
        </w:rPr>
        <w:footnoteReference w:id="877"/>
      </w:r>
      <w:r>
        <w:t>,</w:t>
      </w:r>
      <w:r w:rsidRPr="002C4077">
        <w:t xml:space="preserve"> </w:t>
      </w:r>
      <w:r>
        <w:t>ont</w:t>
      </w:r>
      <w:r w:rsidRPr="002C4077">
        <w:t xml:space="preserve"> </w:t>
      </w:r>
      <w:r>
        <w:t>pu</w:t>
      </w:r>
      <w:r w:rsidRPr="002C4077">
        <w:t xml:space="preserve"> </w:t>
      </w:r>
      <w:r>
        <w:t>comprendre</w:t>
      </w:r>
      <w:r w:rsidRPr="002C4077">
        <w:t xml:space="preserve"> </w:t>
      </w:r>
      <w:r>
        <w:t>ce</w:t>
      </w:r>
      <w:r w:rsidRPr="002C4077">
        <w:t xml:space="preserve"> </w:t>
      </w:r>
      <w:r>
        <w:t>qu’étaient</w:t>
      </w:r>
      <w:r w:rsidRPr="002C4077">
        <w:t xml:space="preserve"> </w:t>
      </w:r>
      <w:r>
        <w:t>autrefois</w:t>
      </w:r>
      <w:r w:rsidRPr="002C4077">
        <w:t xml:space="preserve"> </w:t>
      </w:r>
      <w:r>
        <w:t>les</w:t>
      </w:r>
      <w:r w:rsidRPr="002C4077">
        <w:t xml:space="preserve"> </w:t>
      </w:r>
      <w:r>
        <w:t>sépultures</w:t>
      </w:r>
      <w:r w:rsidRPr="002C4077">
        <w:t xml:space="preserve"> </w:t>
      </w:r>
      <w:r>
        <w:t>des</w:t>
      </w:r>
      <w:r w:rsidRPr="002C4077">
        <w:t xml:space="preserve"> </w:t>
      </w:r>
      <w:r>
        <w:t>grands</w:t>
      </w:r>
      <w:r w:rsidRPr="002C4077">
        <w:t xml:space="preserve"> </w:t>
      </w:r>
      <w:r>
        <w:t>en</w:t>
      </w:r>
      <w:r w:rsidRPr="002C4077">
        <w:t xml:space="preserve"> </w:t>
      </w:r>
      <w:r>
        <w:t>Israël.</w:t>
      </w:r>
      <w:r w:rsidRPr="002C4077">
        <w:t xml:space="preserve"> </w:t>
      </w:r>
      <w:r>
        <w:t>Mais,</w:t>
      </w:r>
      <w:r w:rsidRPr="002C4077">
        <w:t xml:space="preserve"> </w:t>
      </w:r>
      <w:r>
        <w:t>dans</w:t>
      </w:r>
      <w:r w:rsidRPr="002C4077">
        <w:t xml:space="preserve"> </w:t>
      </w:r>
      <w:r>
        <w:t>les</w:t>
      </w:r>
      <w:r w:rsidRPr="002C4077">
        <w:t xml:space="preserve"> </w:t>
      </w:r>
      <w:r>
        <w:t>cimetières</w:t>
      </w:r>
      <w:r w:rsidRPr="002C4077">
        <w:t xml:space="preserve"> </w:t>
      </w:r>
      <w:r>
        <w:t>juifs</w:t>
      </w:r>
      <w:r w:rsidRPr="002C4077">
        <w:t xml:space="preserve"> </w:t>
      </w:r>
      <w:r>
        <w:t>modernes,</w:t>
      </w:r>
      <w:r w:rsidRPr="002C4077">
        <w:t xml:space="preserve"> </w:t>
      </w:r>
      <w:r>
        <w:t>du</w:t>
      </w:r>
      <w:r w:rsidRPr="002C4077">
        <w:t xml:space="preserve"> </w:t>
      </w:r>
      <w:r>
        <w:t>moins</w:t>
      </w:r>
      <w:r w:rsidRPr="002C4077">
        <w:t xml:space="preserve"> </w:t>
      </w:r>
      <w:r>
        <w:t>dans</w:t>
      </w:r>
      <w:r w:rsidRPr="002C4077">
        <w:t xml:space="preserve"> </w:t>
      </w:r>
      <w:r>
        <w:t>ceux</w:t>
      </w:r>
      <w:r w:rsidRPr="002C4077">
        <w:t xml:space="preserve"> </w:t>
      </w:r>
      <w:r>
        <w:t>qu’il</w:t>
      </w:r>
      <w:r w:rsidRPr="002C4077">
        <w:t xml:space="preserve"> </w:t>
      </w:r>
      <w:r>
        <w:t>nous</w:t>
      </w:r>
      <w:r w:rsidRPr="002C4077">
        <w:t xml:space="preserve"> </w:t>
      </w:r>
      <w:r>
        <w:t>a</w:t>
      </w:r>
      <w:r w:rsidRPr="002C4077">
        <w:t xml:space="preserve"> </w:t>
      </w:r>
      <w:r>
        <w:t>été</w:t>
      </w:r>
      <w:r w:rsidRPr="002C4077">
        <w:t xml:space="preserve"> </w:t>
      </w:r>
      <w:r>
        <w:t>donné</w:t>
      </w:r>
      <w:r w:rsidRPr="002C4077">
        <w:t xml:space="preserve"> </w:t>
      </w:r>
      <w:r>
        <w:t>de</w:t>
      </w:r>
      <w:r w:rsidRPr="002C4077">
        <w:t xml:space="preserve"> </w:t>
      </w:r>
      <w:r>
        <w:t>visiter,</w:t>
      </w:r>
      <w:r w:rsidRPr="002C4077">
        <w:t xml:space="preserve"> </w:t>
      </w:r>
      <w:r>
        <w:t>on</w:t>
      </w:r>
      <w:r w:rsidRPr="002C4077">
        <w:t xml:space="preserve"> </w:t>
      </w:r>
      <w:r>
        <w:t>aurait</w:t>
      </w:r>
      <w:r w:rsidRPr="002C4077">
        <w:t xml:space="preserve"> </w:t>
      </w:r>
      <w:r>
        <w:t>de</w:t>
      </w:r>
      <w:r w:rsidRPr="002C4077">
        <w:t xml:space="preserve"> </w:t>
      </w:r>
      <w:r>
        <w:t>la</w:t>
      </w:r>
      <w:r w:rsidRPr="002C4077">
        <w:t xml:space="preserve"> </w:t>
      </w:r>
      <w:r>
        <w:t>peine</w:t>
      </w:r>
      <w:r w:rsidRPr="002C4077">
        <w:t xml:space="preserve"> </w:t>
      </w:r>
      <w:r>
        <w:t>à</w:t>
      </w:r>
      <w:r w:rsidRPr="002C4077">
        <w:t xml:space="preserve"> </w:t>
      </w:r>
      <w:r>
        <w:t>trouver</w:t>
      </w:r>
      <w:r w:rsidRPr="002C4077">
        <w:t xml:space="preserve"> </w:t>
      </w:r>
      <w:r>
        <w:t>quelque</w:t>
      </w:r>
      <w:r w:rsidRPr="002C4077">
        <w:t xml:space="preserve"> </w:t>
      </w:r>
      <w:r>
        <w:t>chose</w:t>
      </w:r>
      <w:r w:rsidRPr="002C4077">
        <w:t xml:space="preserve"> </w:t>
      </w:r>
      <w:r>
        <w:t>qui</w:t>
      </w:r>
      <w:r w:rsidRPr="002C4077">
        <w:t xml:space="preserve"> </w:t>
      </w:r>
      <w:r>
        <w:t>pût</w:t>
      </w:r>
      <w:r w:rsidRPr="002C4077">
        <w:t xml:space="preserve"> </w:t>
      </w:r>
      <w:r>
        <w:t>exciter</w:t>
      </w:r>
      <w:r w:rsidRPr="002C4077">
        <w:t xml:space="preserve"> </w:t>
      </w:r>
      <w:r>
        <w:t>la</w:t>
      </w:r>
      <w:r w:rsidRPr="002C4077">
        <w:t xml:space="preserve"> </w:t>
      </w:r>
      <w:r>
        <w:t>convoitise</w:t>
      </w:r>
      <w:r w:rsidRPr="002C4077">
        <w:t xml:space="preserve"> </w:t>
      </w:r>
      <w:r>
        <w:t>d’un</w:t>
      </w:r>
      <w:r w:rsidRPr="002C4077">
        <w:t xml:space="preserve"> </w:t>
      </w:r>
      <w:r>
        <w:t>Nabuchodonosor.</w:t>
      </w:r>
      <w:r w:rsidRPr="002C4077">
        <w:t xml:space="preserve"> </w:t>
      </w:r>
      <w:r>
        <w:t>À</w:t>
      </w:r>
      <w:r w:rsidRPr="002C4077">
        <w:t xml:space="preserve"> </w:t>
      </w:r>
      <w:r>
        <w:t>part</w:t>
      </w:r>
      <w:r w:rsidRPr="002C4077">
        <w:t xml:space="preserve"> </w:t>
      </w:r>
      <w:r>
        <w:t>un</w:t>
      </w:r>
      <w:r w:rsidRPr="002C4077">
        <w:t xml:space="preserve"> </w:t>
      </w:r>
      <w:r>
        <w:t>petit</w:t>
      </w:r>
      <w:r w:rsidRPr="002C4077">
        <w:t xml:space="preserve"> </w:t>
      </w:r>
      <w:r>
        <w:t>nombre</w:t>
      </w:r>
      <w:r w:rsidRPr="002C4077">
        <w:t xml:space="preserve"> </w:t>
      </w:r>
      <w:r>
        <w:t>de</w:t>
      </w:r>
      <w:r w:rsidRPr="002C4077">
        <w:t xml:space="preserve"> </w:t>
      </w:r>
      <w:r>
        <w:t>pauvres,</w:t>
      </w:r>
      <w:r w:rsidRPr="002C4077">
        <w:t xml:space="preserve"> </w:t>
      </w:r>
      <w:r>
        <w:t>qui</w:t>
      </w:r>
      <w:r w:rsidRPr="002C4077">
        <w:t xml:space="preserve"> </w:t>
      </w:r>
      <w:r>
        <w:t>n’ont,</w:t>
      </w:r>
      <w:r w:rsidRPr="002C4077">
        <w:t xml:space="preserve"> </w:t>
      </w:r>
      <w:r>
        <w:t>pour</w:t>
      </w:r>
      <w:r w:rsidRPr="002C4077">
        <w:t xml:space="preserve"> </w:t>
      </w:r>
      <w:r>
        <w:t>marquer</w:t>
      </w:r>
      <w:r w:rsidRPr="002C4077">
        <w:t xml:space="preserve"> </w:t>
      </w:r>
      <w:r>
        <w:t>le</w:t>
      </w:r>
      <w:r w:rsidRPr="002C4077">
        <w:t xml:space="preserve"> </w:t>
      </w:r>
      <w:r>
        <w:t>lieu</w:t>
      </w:r>
      <w:r w:rsidRPr="002C4077">
        <w:t xml:space="preserve"> </w:t>
      </w:r>
      <w:r>
        <w:t>de</w:t>
      </w:r>
      <w:r w:rsidRPr="002C4077">
        <w:t xml:space="preserve"> </w:t>
      </w:r>
      <w:r>
        <w:t>leur</w:t>
      </w:r>
      <w:r w:rsidRPr="002C4077">
        <w:t xml:space="preserve"> </w:t>
      </w:r>
      <w:r>
        <w:t>repos,</w:t>
      </w:r>
      <w:r w:rsidRPr="002C4077">
        <w:t xml:space="preserve"> </w:t>
      </w:r>
      <w:r>
        <w:t>qu’un</w:t>
      </w:r>
      <w:r w:rsidRPr="002C4077">
        <w:t xml:space="preserve"> </w:t>
      </w:r>
      <w:r>
        <w:t>humble</w:t>
      </w:r>
      <w:r w:rsidRPr="002C4077">
        <w:t xml:space="preserve"> </w:t>
      </w:r>
      <w:r>
        <w:t>piquet</w:t>
      </w:r>
      <w:r w:rsidRPr="002C4077">
        <w:t xml:space="preserve"> </w:t>
      </w:r>
      <w:r>
        <w:t>de</w:t>
      </w:r>
      <w:r w:rsidRPr="002C4077">
        <w:t xml:space="preserve"> </w:t>
      </w:r>
      <w:r>
        <w:t>bois</w:t>
      </w:r>
      <w:r w:rsidRPr="002C4077">
        <w:t xml:space="preserve"> </w:t>
      </w:r>
      <w:r>
        <w:t>au</w:t>
      </w:r>
      <w:r w:rsidRPr="002C4077">
        <w:t xml:space="preserve"> </w:t>
      </w:r>
      <w:r>
        <w:t>sommet</w:t>
      </w:r>
      <w:r w:rsidRPr="002C4077">
        <w:t xml:space="preserve"> </w:t>
      </w:r>
      <w:r>
        <w:t>duquel</w:t>
      </w:r>
      <w:r w:rsidRPr="002C4077">
        <w:t xml:space="preserve"> </w:t>
      </w:r>
      <w:r>
        <w:t>un</w:t>
      </w:r>
      <w:r w:rsidRPr="002C4077">
        <w:t xml:space="preserve"> </w:t>
      </w:r>
      <w:r>
        <w:t>numéro</w:t>
      </w:r>
      <w:r w:rsidRPr="002C4077">
        <w:t xml:space="preserve"> </w:t>
      </w:r>
      <w:r>
        <w:t>d’ordre</w:t>
      </w:r>
      <w:r w:rsidRPr="002C4077">
        <w:t xml:space="preserve"> </w:t>
      </w:r>
      <w:r>
        <w:t>se</w:t>
      </w:r>
      <w:r w:rsidRPr="002C4077">
        <w:t xml:space="preserve"> </w:t>
      </w:r>
      <w:r>
        <w:t>détache</w:t>
      </w:r>
      <w:r w:rsidRPr="002C4077">
        <w:t xml:space="preserve"> </w:t>
      </w:r>
      <w:r>
        <w:t>en</w:t>
      </w:r>
      <w:r w:rsidRPr="002C4077">
        <w:t xml:space="preserve"> </w:t>
      </w:r>
      <w:r>
        <w:t>blanc</w:t>
      </w:r>
      <w:r w:rsidRPr="002C4077">
        <w:t xml:space="preserve"> </w:t>
      </w:r>
      <w:r>
        <w:t>sur</w:t>
      </w:r>
      <w:r w:rsidRPr="002C4077">
        <w:t xml:space="preserve"> </w:t>
      </w:r>
      <w:r>
        <w:t>un</w:t>
      </w:r>
      <w:r w:rsidRPr="002C4077">
        <w:t xml:space="preserve"> </w:t>
      </w:r>
      <w:r>
        <w:t>fond</w:t>
      </w:r>
      <w:r w:rsidRPr="002C4077">
        <w:t xml:space="preserve"> </w:t>
      </w:r>
      <w:r>
        <w:t>noir,</w:t>
      </w:r>
      <w:r w:rsidRPr="002C4077">
        <w:t xml:space="preserve"> </w:t>
      </w:r>
      <w:r>
        <w:t>tous</w:t>
      </w:r>
      <w:r w:rsidRPr="002C4077">
        <w:t xml:space="preserve"> </w:t>
      </w:r>
      <w:r>
        <w:t>les</w:t>
      </w:r>
      <w:r w:rsidRPr="002C4077">
        <w:t xml:space="preserve"> </w:t>
      </w:r>
      <w:r>
        <w:t>défunts,</w:t>
      </w:r>
      <w:r w:rsidRPr="002C4077">
        <w:t xml:space="preserve"> </w:t>
      </w:r>
      <w:r>
        <w:t>il</w:t>
      </w:r>
      <w:r w:rsidRPr="002C4077">
        <w:t xml:space="preserve"> </w:t>
      </w:r>
      <w:r w:rsidR="00425C50">
        <w:t>est</w:t>
      </w:r>
      <w:r w:rsidRPr="002C4077">
        <w:t xml:space="preserve"> </w:t>
      </w:r>
      <w:r>
        <w:t>vrai,</w:t>
      </w:r>
      <w:r w:rsidRPr="002C4077">
        <w:t xml:space="preserve"> </w:t>
      </w:r>
      <w:r>
        <w:t>ont</w:t>
      </w:r>
      <w:r w:rsidRPr="002C4077">
        <w:t xml:space="preserve"> </w:t>
      </w:r>
      <w:r>
        <w:t>une</w:t>
      </w:r>
      <w:r w:rsidRPr="002C4077">
        <w:t xml:space="preserve"> </w:t>
      </w:r>
      <w:r>
        <w:t>pierre</w:t>
      </w:r>
      <w:r w:rsidRPr="002C4077">
        <w:t xml:space="preserve"> </w:t>
      </w:r>
      <w:r>
        <w:t>tombale.</w:t>
      </w:r>
      <w:r w:rsidRPr="002C4077">
        <w:t xml:space="preserve"> </w:t>
      </w:r>
      <w:r>
        <w:t>Toutefois,</w:t>
      </w:r>
      <w:r w:rsidRPr="002C4077">
        <w:t xml:space="preserve"> </w:t>
      </w:r>
      <w:r>
        <w:t>ces</w:t>
      </w:r>
      <w:r w:rsidRPr="002C4077">
        <w:t xml:space="preserve"> </w:t>
      </w:r>
      <w:r>
        <w:t>monuments</w:t>
      </w:r>
      <w:r w:rsidRPr="002C4077">
        <w:t xml:space="preserve"> </w:t>
      </w:r>
      <w:r>
        <w:t>funèbres</w:t>
      </w:r>
      <w:r w:rsidRPr="002C4077">
        <w:t xml:space="preserve"> </w:t>
      </w:r>
      <w:r>
        <w:t>sont</w:t>
      </w:r>
      <w:r w:rsidRPr="002C4077">
        <w:t xml:space="preserve"> </w:t>
      </w:r>
      <w:r>
        <w:t>d’une</w:t>
      </w:r>
      <w:r w:rsidRPr="002C4077">
        <w:t xml:space="preserve"> </w:t>
      </w:r>
      <w:r>
        <w:t>extrême</w:t>
      </w:r>
      <w:r w:rsidRPr="002C4077">
        <w:t xml:space="preserve"> </w:t>
      </w:r>
      <w:r>
        <w:t>simplicité.</w:t>
      </w:r>
      <w:r w:rsidRPr="002C4077">
        <w:t xml:space="preserve"> </w:t>
      </w:r>
      <w:r>
        <w:t>Ils</w:t>
      </w:r>
      <w:r w:rsidRPr="002C4077">
        <w:t xml:space="preserve"> </w:t>
      </w:r>
      <w:r>
        <w:t>consistent</w:t>
      </w:r>
      <w:r w:rsidRPr="002C4077">
        <w:t xml:space="preserve"> </w:t>
      </w:r>
      <w:r>
        <w:t>le</w:t>
      </w:r>
      <w:r w:rsidRPr="002C4077">
        <w:t xml:space="preserve"> </w:t>
      </w:r>
      <w:r>
        <w:t>plus</w:t>
      </w:r>
      <w:r w:rsidRPr="002C4077">
        <w:t xml:space="preserve"> </w:t>
      </w:r>
      <w:r>
        <w:t>souvent</w:t>
      </w:r>
      <w:r w:rsidRPr="002C4077">
        <w:t xml:space="preserve"> </w:t>
      </w:r>
      <w:r>
        <w:t>en</w:t>
      </w:r>
      <w:r w:rsidRPr="002C4077">
        <w:t xml:space="preserve"> </w:t>
      </w:r>
      <w:r>
        <w:t>une</w:t>
      </w:r>
      <w:r w:rsidRPr="002C4077">
        <w:t xml:space="preserve"> </w:t>
      </w:r>
      <w:r>
        <w:t>plaque</w:t>
      </w:r>
      <w:r w:rsidRPr="002C4077">
        <w:t xml:space="preserve"> </w:t>
      </w:r>
      <w:r>
        <w:t>de</w:t>
      </w:r>
      <w:r w:rsidRPr="002C4077">
        <w:t xml:space="preserve"> </w:t>
      </w:r>
      <w:r>
        <w:t>grès</w:t>
      </w:r>
      <w:r w:rsidRPr="002C4077">
        <w:t xml:space="preserve"> </w:t>
      </w:r>
      <w:r>
        <w:t>ou</w:t>
      </w:r>
      <w:r w:rsidRPr="002C4077">
        <w:t xml:space="preserve"> </w:t>
      </w:r>
      <w:r>
        <w:t>de</w:t>
      </w:r>
      <w:r w:rsidRPr="002C4077">
        <w:t xml:space="preserve"> </w:t>
      </w:r>
      <w:r>
        <w:t>marbre,</w:t>
      </w:r>
      <w:r w:rsidRPr="002C4077">
        <w:t xml:space="preserve"> </w:t>
      </w:r>
      <w:r>
        <w:t>arrondie</w:t>
      </w:r>
      <w:r w:rsidRPr="002C4077">
        <w:t xml:space="preserve"> </w:t>
      </w:r>
      <w:r>
        <w:t>au</w:t>
      </w:r>
      <w:r w:rsidRPr="002C4077">
        <w:t xml:space="preserve"> </w:t>
      </w:r>
      <w:r>
        <w:t>sommet</w:t>
      </w:r>
      <w:r w:rsidRPr="002C4077">
        <w:t xml:space="preserve"> </w:t>
      </w:r>
      <w:r>
        <w:t>et</w:t>
      </w:r>
      <w:r w:rsidRPr="002C4077">
        <w:t xml:space="preserve"> </w:t>
      </w:r>
      <w:r>
        <w:t>plantée</w:t>
      </w:r>
      <w:r w:rsidRPr="002C4077">
        <w:t xml:space="preserve"> </w:t>
      </w:r>
      <w:r>
        <w:t>sur</w:t>
      </w:r>
      <w:r w:rsidRPr="002C4077">
        <w:t xml:space="preserve"> </w:t>
      </w:r>
      <w:r>
        <w:t>la</w:t>
      </w:r>
      <w:r w:rsidRPr="002C4077">
        <w:t xml:space="preserve"> </w:t>
      </w:r>
      <w:r>
        <w:t>tombe.</w:t>
      </w:r>
      <w:r w:rsidRPr="002C4077">
        <w:t xml:space="preserve"> </w:t>
      </w:r>
      <w:r>
        <w:t>D’autres</w:t>
      </w:r>
      <w:r w:rsidRPr="002C4077">
        <w:t xml:space="preserve"> </w:t>
      </w:r>
      <w:r>
        <w:t>fois,</w:t>
      </w:r>
      <w:r w:rsidRPr="002C4077">
        <w:t xml:space="preserve"> </w:t>
      </w:r>
      <w:r>
        <w:t>mais</w:t>
      </w:r>
      <w:r w:rsidRPr="002C4077">
        <w:t xml:space="preserve"> </w:t>
      </w:r>
      <w:r>
        <w:t>plus</w:t>
      </w:r>
      <w:r w:rsidRPr="002C4077">
        <w:t xml:space="preserve"> </w:t>
      </w:r>
      <w:r>
        <w:t>rarement,</w:t>
      </w:r>
      <w:r w:rsidRPr="002C4077">
        <w:t xml:space="preserve"> </w:t>
      </w:r>
      <w:r>
        <w:t>les</w:t>
      </w:r>
      <w:r w:rsidRPr="002C4077">
        <w:t xml:space="preserve"> </w:t>
      </w:r>
      <w:r>
        <w:t>pierres</w:t>
      </w:r>
      <w:r w:rsidRPr="002C4077">
        <w:t xml:space="preserve"> </w:t>
      </w:r>
      <w:r>
        <w:t>sont</w:t>
      </w:r>
      <w:r w:rsidRPr="002C4077">
        <w:t xml:space="preserve"> </w:t>
      </w:r>
      <w:r>
        <w:t>massives</w:t>
      </w:r>
      <w:r w:rsidRPr="002C4077">
        <w:t xml:space="preserve"> </w:t>
      </w:r>
      <w:r>
        <w:t>et</w:t>
      </w:r>
      <w:r w:rsidRPr="002C4077">
        <w:t xml:space="preserve"> </w:t>
      </w:r>
      <w:r>
        <w:t>couchées</w:t>
      </w:r>
      <w:r w:rsidRPr="002C4077">
        <w:t xml:space="preserve"> </w:t>
      </w:r>
      <w:r>
        <w:t>à</w:t>
      </w:r>
      <w:r w:rsidRPr="002C4077">
        <w:t xml:space="preserve"> </w:t>
      </w:r>
      <w:r>
        <w:t>terre</w:t>
      </w:r>
      <w:r w:rsidR="00B546AF">
        <w:t> ;</w:t>
      </w:r>
      <w:r w:rsidRPr="002C4077">
        <w:t xml:space="preserve"> </w:t>
      </w:r>
      <w:r>
        <w:t>elles</w:t>
      </w:r>
      <w:r w:rsidRPr="002C4077">
        <w:t xml:space="preserve"> </w:t>
      </w:r>
      <w:r>
        <w:t>affectent</w:t>
      </w:r>
      <w:r w:rsidRPr="002C4077">
        <w:t xml:space="preserve"> </w:t>
      </w:r>
      <w:r>
        <w:t>alors</w:t>
      </w:r>
      <w:r w:rsidRPr="002C4077">
        <w:t xml:space="preserve"> </w:t>
      </w:r>
      <w:r>
        <w:t>la</w:t>
      </w:r>
      <w:r w:rsidRPr="002C4077">
        <w:t xml:space="preserve"> </w:t>
      </w:r>
      <w:r>
        <w:t>forme</w:t>
      </w:r>
      <w:r w:rsidRPr="002C4077">
        <w:t xml:space="preserve"> </w:t>
      </w:r>
      <w:r>
        <w:t>d’un</w:t>
      </w:r>
      <w:r w:rsidRPr="002C4077">
        <w:t xml:space="preserve"> </w:t>
      </w:r>
      <w:r>
        <w:t>prisme,</w:t>
      </w:r>
      <w:r w:rsidRPr="002C4077">
        <w:t xml:space="preserve"> </w:t>
      </w:r>
      <w:r>
        <w:t>dont</w:t>
      </w:r>
      <w:r w:rsidRPr="002C4077">
        <w:t xml:space="preserve"> </w:t>
      </w:r>
      <w:r>
        <w:t>les</w:t>
      </w:r>
      <w:r w:rsidRPr="002C4077">
        <w:t xml:space="preserve"> </w:t>
      </w:r>
      <w:r>
        <w:t>faces</w:t>
      </w:r>
      <w:r w:rsidRPr="002C4077">
        <w:t xml:space="preserve"> </w:t>
      </w:r>
      <w:r>
        <w:t>supérieures</w:t>
      </w:r>
      <w:r w:rsidRPr="002C4077">
        <w:t xml:space="preserve"> </w:t>
      </w:r>
      <w:r>
        <w:t>sont</w:t>
      </w:r>
      <w:r w:rsidRPr="002C4077">
        <w:t xml:space="preserve"> </w:t>
      </w:r>
      <w:r>
        <w:t>couvertes</w:t>
      </w:r>
      <w:r w:rsidRPr="002C4077">
        <w:t xml:space="preserve"> </w:t>
      </w:r>
      <w:r>
        <w:t>d’inscriptions.</w:t>
      </w:r>
      <w:r w:rsidRPr="002C4077">
        <w:t xml:space="preserve"> </w:t>
      </w:r>
      <w:r>
        <w:t>Nous</w:t>
      </w:r>
      <w:r w:rsidRPr="002C4077">
        <w:t xml:space="preserve"> </w:t>
      </w:r>
      <w:r>
        <w:t>avons</w:t>
      </w:r>
      <w:r w:rsidRPr="002C4077">
        <w:t xml:space="preserve"> </w:t>
      </w:r>
      <w:r>
        <w:t>aussi</w:t>
      </w:r>
      <w:r w:rsidRPr="002C4077">
        <w:t xml:space="preserve"> </w:t>
      </w:r>
      <w:r>
        <w:t>remarqué</w:t>
      </w:r>
      <w:r w:rsidRPr="002C4077">
        <w:t xml:space="preserve"> </w:t>
      </w:r>
      <w:r>
        <w:t>quelques</w:t>
      </w:r>
      <w:r w:rsidRPr="002C4077">
        <w:t xml:space="preserve"> </w:t>
      </w:r>
      <w:r>
        <w:t>colonnes</w:t>
      </w:r>
      <w:r w:rsidRPr="002C4077">
        <w:t xml:space="preserve"> </w:t>
      </w:r>
      <w:r>
        <w:t>brisées.</w:t>
      </w:r>
      <w:r w:rsidRPr="002C4077">
        <w:t xml:space="preserve"> </w:t>
      </w:r>
    </w:p>
    <w:p w:rsidR="000A7AAB" w:rsidRPr="005E2129" w:rsidRDefault="000A7AAB" w:rsidP="000A7AAB">
      <w:r>
        <w:t>Les</w:t>
      </w:r>
      <w:r w:rsidRPr="002C4077">
        <w:t xml:space="preserve"> </w:t>
      </w:r>
      <w:r>
        <w:t>sculptures</w:t>
      </w:r>
      <w:r w:rsidRPr="002C4077">
        <w:t xml:space="preserve"> </w:t>
      </w:r>
      <w:r>
        <w:t>sont</w:t>
      </w:r>
      <w:r w:rsidRPr="002C4077">
        <w:t xml:space="preserve"> </w:t>
      </w:r>
      <w:r>
        <w:t>rares</w:t>
      </w:r>
      <w:r w:rsidRPr="002C4077">
        <w:t xml:space="preserve"> </w:t>
      </w:r>
      <w:r>
        <w:t>sur</w:t>
      </w:r>
      <w:r w:rsidRPr="002C4077">
        <w:t xml:space="preserve"> </w:t>
      </w:r>
      <w:r>
        <w:t>les</w:t>
      </w:r>
      <w:r w:rsidRPr="002C4077">
        <w:t xml:space="preserve"> </w:t>
      </w:r>
      <w:r>
        <w:t>tombes,</w:t>
      </w:r>
      <w:r w:rsidRPr="002C4077">
        <w:t xml:space="preserve"> </w:t>
      </w:r>
      <w:r>
        <w:t>et</w:t>
      </w:r>
      <w:r w:rsidRPr="002C4077">
        <w:t xml:space="preserve"> </w:t>
      </w:r>
      <w:r>
        <w:t>d’ailleurs</w:t>
      </w:r>
      <w:r w:rsidRPr="002C4077">
        <w:t xml:space="preserve"> </w:t>
      </w:r>
      <w:r>
        <w:t>peu</w:t>
      </w:r>
      <w:r w:rsidRPr="002C4077">
        <w:t xml:space="preserve"> </w:t>
      </w:r>
      <w:r>
        <w:t>caractéristiques.</w:t>
      </w:r>
      <w:r w:rsidRPr="002C4077">
        <w:t xml:space="preserve"> </w:t>
      </w:r>
      <w:r>
        <w:t>Une</w:t>
      </w:r>
      <w:r w:rsidRPr="002C4077">
        <w:t xml:space="preserve"> </w:t>
      </w:r>
      <w:r>
        <w:t>main</w:t>
      </w:r>
      <w:r w:rsidRPr="002C4077">
        <w:t xml:space="preserve"> </w:t>
      </w:r>
      <w:r>
        <w:t>tenant</w:t>
      </w:r>
      <w:r w:rsidRPr="002C4077">
        <w:t xml:space="preserve"> </w:t>
      </w:r>
      <w:r>
        <w:t>une</w:t>
      </w:r>
      <w:r w:rsidRPr="002C4077">
        <w:t xml:space="preserve"> </w:t>
      </w:r>
      <w:r>
        <w:t>aiguière</w:t>
      </w:r>
      <w:r w:rsidRPr="002C4077">
        <w:t xml:space="preserve"> </w:t>
      </w:r>
      <w:r>
        <w:t>et</w:t>
      </w:r>
      <w:r w:rsidRPr="002C4077">
        <w:t xml:space="preserve"> </w:t>
      </w:r>
      <w:r>
        <w:t>versant</w:t>
      </w:r>
      <w:r w:rsidRPr="002C4077">
        <w:t xml:space="preserve"> </w:t>
      </w:r>
      <w:r>
        <w:t>de</w:t>
      </w:r>
      <w:r w:rsidRPr="002C4077">
        <w:t xml:space="preserve"> </w:t>
      </w:r>
      <w:r>
        <w:t>l’eau</w:t>
      </w:r>
      <w:r w:rsidRPr="002C4077">
        <w:t xml:space="preserve"> </w:t>
      </w:r>
      <w:r>
        <w:t>dans</w:t>
      </w:r>
      <w:r w:rsidRPr="002C4077">
        <w:t xml:space="preserve"> </w:t>
      </w:r>
      <w:r>
        <w:t>une</w:t>
      </w:r>
      <w:r w:rsidRPr="002C4077">
        <w:t xml:space="preserve"> </w:t>
      </w:r>
      <w:r>
        <w:t>coupe</w:t>
      </w:r>
      <w:r w:rsidR="00B91AF7">
        <w:rPr>
          <w:rStyle w:val="Appelnotedebasdep"/>
        </w:rPr>
        <w:footnoteReference w:id="878"/>
      </w:r>
      <w:r>
        <w:t>,</w:t>
      </w:r>
      <w:r w:rsidRPr="002C4077">
        <w:t xml:space="preserve"> </w:t>
      </w:r>
      <w:r>
        <w:t>quelques</w:t>
      </w:r>
      <w:r w:rsidRPr="002C4077">
        <w:t xml:space="preserve"> </w:t>
      </w:r>
      <w:r>
        <w:t>fleurs,</w:t>
      </w:r>
      <w:r w:rsidRPr="002C4077">
        <w:t xml:space="preserve"> </w:t>
      </w:r>
      <w:r>
        <w:t>deux</w:t>
      </w:r>
      <w:r w:rsidRPr="002C4077">
        <w:t xml:space="preserve"> </w:t>
      </w:r>
      <w:r>
        <w:t>mains</w:t>
      </w:r>
      <w:r w:rsidRPr="002C4077">
        <w:t xml:space="preserve"> </w:t>
      </w:r>
      <w:r>
        <w:t>entrelacée</w:t>
      </w:r>
      <w:r w:rsidR="004377BC">
        <w:t>s</w:t>
      </w:r>
      <w:r w:rsidR="004377BC">
        <w:rPr>
          <w:rStyle w:val="Appelnotedebasdep"/>
        </w:rPr>
        <w:footnoteReference w:id="879"/>
      </w:r>
      <w:r w:rsidR="00B546AF">
        <w:t> :</w:t>
      </w:r>
      <w:r w:rsidRPr="002C4077">
        <w:t xml:space="preserve"> </w:t>
      </w:r>
      <w:r>
        <w:t>c’est</w:t>
      </w:r>
      <w:r w:rsidRPr="002C4077">
        <w:t xml:space="preserve"> </w:t>
      </w:r>
      <w:r>
        <w:t>à</w:t>
      </w:r>
      <w:r w:rsidRPr="002C4077">
        <w:t xml:space="preserve"> </w:t>
      </w:r>
      <w:r>
        <w:t>peu</w:t>
      </w:r>
      <w:r w:rsidRPr="002C4077">
        <w:t xml:space="preserve"> </w:t>
      </w:r>
      <w:r>
        <w:t>près</w:t>
      </w:r>
      <w:r w:rsidRPr="002C4077">
        <w:t xml:space="preserve"> </w:t>
      </w:r>
      <w:r>
        <w:t>tout</w:t>
      </w:r>
      <w:r w:rsidRPr="002C4077">
        <w:t xml:space="preserve"> </w:t>
      </w:r>
      <w:r>
        <w:t>ce</w:t>
      </w:r>
      <w:r w:rsidRPr="002C4077">
        <w:t xml:space="preserve"> </w:t>
      </w:r>
      <w:r>
        <w:t>qui</w:t>
      </w:r>
      <w:r w:rsidRPr="002C4077">
        <w:t xml:space="preserve"> </w:t>
      </w:r>
      <w:r>
        <w:lastRenderedPageBreak/>
        <w:t>m’a</w:t>
      </w:r>
      <w:r w:rsidRPr="002C4077">
        <w:t xml:space="preserve"> </w:t>
      </w:r>
      <w:r>
        <w:t>frappé-en</w:t>
      </w:r>
      <w:r w:rsidRPr="002C4077">
        <w:t xml:space="preserve"> </w:t>
      </w:r>
      <w:r>
        <w:t>ce</w:t>
      </w:r>
      <w:r w:rsidRPr="002C4077">
        <w:t xml:space="preserve"> </w:t>
      </w:r>
      <w:r>
        <w:t>genre.</w:t>
      </w:r>
      <w:r w:rsidRPr="002C4077">
        <w:t xml:space="preserve"> </w:t>
      </w:r>
      <w:r>
        <w:t>Quelques</w:t>
      </w:r>
      <w:r w:rsidRPr="002C4077">
        <w:t xml:space="preserve"> </w:t>
      </w:r>
      <w:r>
        <w:t>monuments</w:t>
      </w:r>
      <w:r w:rsidRPr="002C4077">
        <w:t xml:space="preserve"> </w:t>
      </w:r>
      <w:r>
        <w:t>sont</w:t>
      </w:r>
      <w:r w:rsidRPr="002C4077">
        <w:t xml:space="preserve"> </w:t>
      </w:r>
      <w:r>
        <w:t>surmontés</w:t>
      </w:r>
      <w:r w:rsidRPr="002C4077">
        <w:t xml:space="preserve"> </w:t>
      </w:r>
      <w:r>
        <w:t>d’une</w:t>
      </w:r>
      <w:r w:rsidRPr="002C4077">
        <w:t xml:space="preserve"> </w:t>
      </w:r>
      <w:r>
        <w:t>urne</w:t>
      </w:r>
      <w:r w:rsidRPr="002C4077">
        <w:t xml:space="preserve"> </w:t>
      </w:r>
      <w:r>
        <w:t>funéraire.</w:t>
      </w:r>
      <w:r w:rsidRPr="002C4077">
        <w:t xml:space="preserve"> </w:t>
      </w:r>
      <w:r>
        <w:t>On</w:t>
      </w:r>
      <w:r w:rsidRPr="002C4077">
        <w:t xml:space="preserve"> </w:t>
      </w:r>
      <w:r>
        <w:t>voyait</w:t>
      </w:r>
      <w:r w:rsidRPr="002C4077">
        <w:t xml:space="preserve"> </w:t>
      </w:r>
      <w:r>
        <w:t>autrefois</w:t>
      </w:r>
      <w:r w:rsidRPr="002C4077">
        <w:t xml:space="preserve"> </w:t>
      </w:r>
      <w:r>
        <w:t>un</w:t>
      </w:r>
      <w:r w:rsidRPr="002C4077">
        <w:t xml:space="preserve"> </w:t>
      </w:r>
      <w:r>
        <w:t>livre</w:t>
      </w:r>
      <w:r w:rsidRPr="002C4077">
        <w:t xml:space="preserve"> </w:t>
      </w:r>
      <w:r>
        <w:t>gravé</w:t>
      </w:r>
      <w:r w:rsidRPr="002C4077">
        <w:t xml:space="preserve"> </w:t>
      </w:r>
      <w:r>
        <w:t>sur</w:t>
      </w:r>
      <w:r w:rsidRPr="002C4077">
        <w:t xml:space="preserve"> </w:t>
      </w:r>
      <w:r>
        <w:t>la</w:t>
      </w:r>
      <w:r w:rsidRPr="002C4077">
        <w:t xml:space="preserve"> </w:t>
      </w:r>
      <w:r>
        <w:t>tombe</w:t>
      </w:r>
      <w:r w:rsidRPr="002C4077">
        <w:t xml:space="preserve"> </w:t>
      </w:r>
      <w:r>
        <w:t>des</w:t>
      </w:r>
      <w:r w:rsidRPr="002C4077">
        <w:t xml:space="preserve"> </w:t>
      </w:r>
      <w:r>
        <w:t>rabbins</w:t>
      </w:r>
      <w:r w:rsidR="00B546AF">
        <w:t> :</w:t>
      </w:r>
      <w:r w:rsidRPr="002C4077">
        <w:t xml:space="preserve"> </w:t>
      </w:r>
      <w:r>
        <w:t>n’en</w:t>
      </w:r>
      <w:r w:rsidRPr="002C4077">
        <w:t xml:space="preserve"> </w:t>
      </w:r>
      <w:r>
        <w:t>ayant</w:t>
      </w:r>
      <w:r w:rsidRPr="002C4077">
        <w:t xml:space="preserve"> </w:t>
      </w:r>
      <w:r>
        <w:t>pas</w:t>
      </w:r>
      <w:r w:rsidRPr="002C4077">
        <w:t xml:space="preserve"> </w:t>
      </w:r>
      <w:r>
        <w:t>rencontré,</w:t>
      </w:r>
      <w:r w:rsidRPr="002C4077">
        <w:t xml:space="preserve"> </w:t>
      </w:r>
      <w:r>
        <w:t>j’ignore</w:t>
      </w:r>
      <w:r w:rsidRPr="002C4077">
        <w:t xml:space="preserve"> </w:t>
      </w:r>
      <w:r>
        <w:t>si</w:t>
      </w:r>
      <w:r w:rsidRPr="002C4077">
        <w:t xml:space="preserve"> </w:t>
      </w:r>
      <w:r>
        <w:t>cet</w:t>
      </w:r>
      <w:r w:rsidRPr="002C4077">
        <w:t xml:space="preserve"> </w:t>
      </w:r>
      <w:r>
        <w:t>usage</w:t>
      </w:r>
      <w:r w:rsidRPr="002C4077">
        <w:t xml:space="preserve"> </w:t>
      </w:r>
      <w:r>
        <w:t>s’est</w:t>
      </w:r>
      <w:r w:rsidRPr="002C4077">
        <w:t xml:space="preserve"> </w:t>
      </w:r>
      <w:r>
        <w:t>conservé</w:t>
      </w:r>
      <w:r w:rsidRPr="002C4077">
        <w:t xml:space="preserve"> </w:t>
      </w:r>
      <w:r>
        <w:t>jusqu’à</w:t>
      </w:r>
      <w:r w:rsidRPr="002C4077">
        <w:t xml:space="preserve"> </w:t>
      </w:r>
      <w:r>
        <w:t>notre</w:t>
      </w:r>
      <w:r w:rsidRPr="002C4077">
        <w:t xml:space="preserve"> </w:t>
      </w:r>
      <w:r>
        <w:t>époque.</w:t>
      </w:r>
      <w:r w:rsidR="00C45B47">
        <w:t xml:space="preserve"> {</w:t>
      </w:r>
      <w:r w:rsidR="005E2129">
        <w:t>292</w:t>
      </w:r>
      <w:bookmarkStart w:id="714" w:name="p292"/>
      <w:bookmarkEnd w:id="714"/>
      <w:r w:rsidR="005E2129">
        <w:t xml:space="preserve">} </w:t>
      </w:r>
    </w:p>
    <w:p w:rsidR="000A7AAB" w:rsidRDefault="000A7AAB" w:rsidP="000A7AAB">
      <w:r>
        <w:t>Notre</w:t>
      </w:r>
      <w:r w:rsidRPr="002C4077">
        <w:t xml:space="preserve"> </w:t>
      </w:r>
      <w:r>
        <w:t>Seigneur</w:t>
      </w:r>
      <w:r w:rsidRPr="002C4077">
        <w:t xml:space="preserve"> </w:t>
      </w:r>
      <w:r w:rsidR="00425C50">
        <w:t>Jésus</w:t>
      </w:r>
      <w:r>
        <w:t>-</w:t>
      </w:r>
      <w:r w:rsidR="00425C50">
        <w:t>Christ</w:t>
      </w:r>
      <w:r>
        <w:t>,</w:t>
      </w:r>
      <w:r w:rsidRPr="002C4077">
        <w:t xml:space="preserve"> </w:t>
      </w:r>
      <w:r>
        <w:t>dans</w:t>
      </w:r>
      <w:r w:rsidRPr="002C4077">
        <w:t xml:space="preserve"> </w:t>
      </w:r>
      <w:r>
        <w:t>un</w:t>
      </w:r>
      <w:r w:rsidRPr="002C4077">
        <w:t xml:space="preserve"> </w:t>
      </w:r>
      <w:r>
        <w:t>de</w:t>
      </w:r>
      <w:r w:rsidRPr="002C4077">
        <w:t xml:space="preserve"> </w:t>
      </w:r>
      <w:r>
        <w:t>ces</w:t>
      </w:r>
      <w:r w:rsidRPr="002C4077">
        <w:t xml:space="preserve"> </w:t>
      </w:r>
      <w:r>
        <w:t>réquisitoires</w:t>
      </w:r>
      <w:r w:rsidRPr="002C4077">
        <w:t xml:space="preserve"> </w:t>
      </w:r>
      <w:r>
        <w:t>terribles</w:t>
      </w:r>
      <w:r w:rsidRPr="002C4077">
        <w:t xml:space="preserve"> </w:t>
      </w:r>
      <w:r>
        <w:t>qu’il</w:t>
      </w:r>
      <w:r w:rsidRPr="002C4077">
        <w:t xml:space="preserve"> </w:t>
      </w:r>
      <w:r>
        <w:t>lançait</w:t>
      </w:r>
      <w:r w:rsidRPr="002C4077">
        <w:t xml:space="preserve"> </w:t>
      </w:r>
      <w:r>
        <w:t>d’une</w:t>
      </w:r>
      <w:r w:rsidRPr="002C4077">
        <w:t xml:space="preserve"> </w:t>
      </w:r>
      <w:r>
        <w:t>manière</w:t>
      </w:r>
      <w:r w:rsidRPr="002C4077">
        <w:t xml:space="preserve"> </w:t>
      </w:r>
      <w:r>
        <w:t>si</w:t>
      </w:r>
      <w:r w:rsidRPr="002C4077">
        <w:t xml:space="preserve"> </w:t>
      </w:r>
      <w:r>
        <w:t>légitime</w:t>
      </w:r>
      <w:r w:rsidRPr="002C4077">
        <w:t xml:space="preserve"> </w:t>
      </w:r>
      <w:r>
        <w:t>contre</w:t>
      </w:r>
      <w:r w:rsidRPr="002C4077">
        <w:t xml:space="preserve"> </w:t>
      </w:r>
      <w:r>
        <w:t>l’hypocrisie</w:t>
      </w:r>
      <w:r w:rsidRPr="002C4077">
        <w:t xml:space="preserve"> </w:t>
      </w:r>
      <w:r>
        <w:t>pharisaïque,</w:t>
      </w:r>
      <w:r w:rsidRPr="002C4077">
        <w:t xml:space="preserve"> </w:t>
      </w:r>
      <w:r>
        <w:t>fait</w:t>
      </w:r>
      <w:r w:rsidRPr="002C4077">
        <w:t xml:space="preserve"> </w:t>
      </w:r>
      <w:r>
        <w:t>allusion</w:t>
      </w:r>
      <w:r w:rsidRPr="002C4077">
        <w:t xml:space="preserve"> </w:t>
      </w:r>
      <w:r>
        <w:t>à</w:t>
      </w:r>
      <w:r w:rsidRPr="002C4077">
        <w:t xml:space="preserve"> </w:t>
      </w:r>
      <w:r>
        <w:t>la</w:t>
      </w:r>
      <w:r w:rsidRPr="002C4077">
        <w:t xml:space="preserve"> </w:t>
      </w:r>
      <w:r>
        <w:t>coutume</w:t>
      </w:r>
      <w:r w:rsidRPr="002C4077">
        <w:t xml:space="preserve"> </w:t>
      </w:r>
      <w:r>
        <w:t>qui</w:t>
      </w:r>
      <w:r w:rsidRPr="002C4077">
        <w:t xml:space="preserve"> </w:t>
      </w:r>
      <w:r>
        <w:t>régnait</w:t>
      </w:r>
      <w:r w:rsidRPr="002C4077">
        <w:t xml:space="preserve"> </w:t>
      </w:r>
      <w:r>
        <w:t>alors</w:t>
      </w:r>
      <w:r w:rsidRPr="002C4077">
        <w:t xml:space="preserve"> </w:t>
      </w:r>
      <w:r>
        <w:t>en</w:t>
      </w:r>
      <w:r w:rsidRPr="002C4077">
        <w:t xml:space="preserve"> </w:t>
      </w:r>
      <w:r>
        <w:t>Palestine</w:t>
      </w:r>
      <w:r w:rsidRPr="002C4077">
        <w:t xml:space="preserve"> </w:t>
      </w:r>
      <w:r>
        <w:t>de</w:t>
      </w:r>
      <w:r w:rsidRPr="002C4077">
        <w:t xml:space="preserve"> </w:t>
      </w:r>
      <w:r>
        <w:t>laver</w:t>
      </w:r>
      <w:r w:rsidRPr="002C4077">
        <w:t xml:space="preserve"> </w:t>
      </w:r>
      <w:r>
        <w:t>souvent</w:t>
      </w:r>
      <w:r w:rsidRPr="002C4077">
        <w:t xml:space="preserve"> </w:t>
      </w:r>
      <w:r>
        <w:t>les</w:t>
      </w:r>
      <w:r w:rsidRPr="002C4077">
        <w:t xml:space="preserve"> </w:t>
      </w:r>
      <w:r>
        <w:t>sépulcres</w:t>
      </w:r>
      <w:r w:rsidRPr="002C4077">
        <w:t xml:space="preserve"> </w:t>
      </w:r>
      <w:r>
        <w:t>au</w:t>
      </w:r>
      <w:r w:rsidRPr="002C4077">
        <w:t xml:space="preserve"> </w:t>
      </w:r>
      <w:r>
        <w:t>lait</w:t>
      </w:r>
      <w:r w:rsidRPr="002C4077">
        <w:t xml:space="preserve"> </w:t>
      </w:r>
      <w:r>
        <w:t>de</w:t>
      </w:r>
      <w:r w:rsidRPr="002C4077">
        <w:t xml:space="preserve"> </w:t>
      </w:r>
      <w:r>
        <w:t>chaux</w:t>
      </w:r>
      <w:r w:rsidR="00B91AF7">
        <w:rPr>
          <w:rStyle w:val="Appelnotedebasdep"/>
        </w:rPr>
        <w:footnoteReference w:id="880"/>
      </w:r>
      <w:r>
        <w:t>.</w:t>
      </w:r>
      <w:r w:rsidRPr="002C4077">
        <w:t xml:space="preserve"> </w:t>
      </w:r>
      <w:r w:rsidR="00B546AF">
        <w:t>« </w:t>
      </w:r>
      <w:r>
        <w:t>Chaque</w:t>
      </w:r>
      <w:r w:rsidRPr="002C4077">
        <w:t xml:space="preserve"> </w:t>
      </w:r>
      <w:r>
        <w:t>année,</w:t>
      </w:r>
      <w:r w:rsidRPr="002C4077">
        <w:t xml:space="preserve"> </w:t>
      </w:r>
      <w:r>
        <w:t>vers</w:t>
      </w:r>
      <w:r w:rsidRPr="002C4077">
        <w:t xml:space="preserve"> </w:t>
      </w:r>
      <w:r>
        <w:t>le</w:t>
      </w:r>
      <w:r w:rsidRPr="002C4077">
        <w:t xml:space="preserve"> </w:t>
      </w:r>
      <w:r>
        <w:t>13</w:t>
      </w:r>
      <w:r w:rsidRPr="002C4077">
        <w:t xml:space="preserve"> </w:t>
      </w:r>
      <w:r w:rsidRPr="000A34B5">
        <w:rPr>
          <w:rStyle w:val="italicus"/>
        </w:rPr>
        <w:t>adar</w:t>
      </w:r>
      <w:r w:rsidR="00B91AF7">
        <w:rPr>
          <w:rStyle w:val="Appelnotedebasdep"/>
          <w:i/>
        </w:rPr>
        <w:footnoteReference w:id="881"/>
      </w:r>
      <w:r>
        <w:t>,</w:t>
      </w:r>
      <w:r w:rsidRPr="002C4077">
        <w:t xml:space="preserve"> </w:t>
      </w:r>
      <w:r>
        <w:t>quelques</w:t>
      </w:r>
      <w:r w:rsidRPr="002C4077">
        <w:t xml:space="preserve"> </w:t>
      </w:r>
      <w:r>
        <w:t>semaines</w:t>
      </w:r>
      <w:r w:rsidRPr="002C4077">
        <w:t xml:space="preserve"> </w:t>
      </w:r>
      <w:r>
        <w:t>avant</w:t>
      </w:r>
      <w:r w:rsidRPr="002C4077">
        <w:t xml:space="preserve"> </w:t>
      </w:r>
      <w:r>
        <w:t>la</w:t>
      </w:r>
      <w:r w:rsidRPr="002C4077">
        <w:t xml:space="preserve"> </w:t>
      </w:r>
      <w:r>
        <w:t>Pâque,</w:t>
      </w:r>
      <w:r w:rsidRPr="002C4077">
        <w:t xml:space="preserve"> </w:t>
      </w:r>
      <w:r>
        <w:t>tous</w:t>
      </w:r>
      <w:r w:rsidRPr="002C4077">
        <w:t xml:space="preserve"> </w:t>
      </w:r>
      <w:r>
        <w:t>les</w:t>
      </w:r>
      <w:r w:rsidRPr="002C4077">
        <w:t xml:space="preserve"> </w:t>
      </w:r>
      <w:r>
        <w:t>tombeaux</w:t>
      </w:r>
      <w:r w:rsidRPr="002C4077">
        <w:t xml:space="preserve"> </w:t>
      </w:r>
      <w:r>
        <w:t>étaient</w:t>
      </w:r>
      <w:r w:rsidRPr="002C4077">
        <w:t xml:space="preserve"> </w:t>
      </w:r>
      <w:r>
        <w:t>blanchis</w:t>
      </w:r>
      <w:r w:rsidRPr="002C4077">
        <w:t xml:space="preserve"> </w:t>
      </w:r>
      <w:r>
        <w:t>au</w:t>
      </w:r>
      <w:r w:rsidRPr="002C4077">
        <w:t xml:space="preserve"> </w:t>
      </w:r>
      <w:r>
        <w:t>badigeon,</w:t>
      </w:r>
      <w:r w:rsidRPr="002C4077">
        <w:t xml:space="preserve"> </w:t>
      </w:r>
      <w:r>
        <w:t>soit</w:t>
      </w:r>
      <w:r w:rsidRPr="002C4077">
        <w:t xml:space="preserve"> </w:t>
      </w:r>
      <w:r>
        <w:t>par</w:t>
      </w:r>
      <w:r w:rsidRPr="002C4077">
        <w:t xml:space="preserve"> </w:t>
      </w:r>
      <w:r>
        <w:t>honneur</w:t>
      </w:r>
      <w:r w:rsidRPr="002C4077">
        <w:t xml:space="preserve"> </w:t>
      </w:r>
      <w:r>
        <w:t>pour</w:t>
      </w:r>
      <w:r w:rsidRPr="002C4077">
        <w:t xml:space="preserve"> </w:t>
      </w:r>
      <w:r>
        <w:t>les</w:t>
      </w:r>
      <w:r w:rsidRPr="002C4077">
        <w:t xml:space="preserve"> </w:t>
      </w:r>
      <w:r>
        <w:t>morts,</w:t>
      </w:r>
      <w:r w:rsidRPr="002C4077">
        <w:t xml:space="preserve"> </w:t>
      </w:r>
      <w:r>
        <w:t>soit</w:t>
      </w:r>
      <w:r w:rsidRPr="002C4077">
        <w:t xml:space="preserve"> </w:t>
      </w:r>
      <w:r>
        <w:t>surtout</w:t>
      </w:r>
      <w:r w:rsidRPr="002C4077">
        <w:t xml:space="preserve"> </w:t>
      </w:r>
      <w:r>
        <w:t>afin</w:t>
      </w:r>
      <w:r w:rsidRPr="002C4077">
        <w:t xml:space="preserve"> </w:t>
      </w:r>
      <w:r>
        <w:t>que</w:t>
      </w:r>
      <w:r w:rsidRPr="002C4077">
        <w:t xml:space="preserve"> </w:t>
      </w:r>
      <w:r>
        <w:t>les</w:t>
      </w:r>
      <w:r w:rsidRPr="002C4077">
        <w:t xml:space="preserve"> </w:t>
      </w:r>
      <w:r>
        <w:t>sépulcres</w:t>
      </w:r>
      <w:r w:rsidRPr="002C4077">
        <w:t xml:space="preserve"> </w:t>
      </w:r>
      <w:r>
        <w:t>devinssent</w:t>
      </w:r>
      <w:r w:rsidRPr="002C4077">
        <w:t xml:space="preserve"> </w:t>
      </w:r>
      <w:r>
        <w:t>bien</w:t>
      </w:r>
      <w:r w:rsidRPr="002C4077">
        <w:t xml:space="preserve"> </w:t>
      </w:r>
      <w:r>
        <w:t>visibles,</w:t>
      </w:r>
      <w:r w:rsidRPr="002C4077">
        <w:t xml:space="preserve"> </w:t>
      </w:r>
      <w:r>
        <w:t>de</w:t>
      </w:r>
      <w:r w:rsidRPr="002C4077">
        <w:t xml:space="preserve"> </w:t>
      </w:r>
      <w:r>
        <w:t>sorte</w:t>
      </w:r>
      <w:r w:rsidRPr="002C4077">
        <w:t xml:space="preserve"> </w:t>
      </w:r>
      <w:r>
        <w:t>que</w:t>
      </w:r>
      <w:r w:rsidRPr="002C4077">
        <w:t xml:space="preserve"> </w:t>
      </w:r>
      <w:r>
        <w:t>personne</w:t>
      </w:r>
      <w:r w:rsidRPr="002C4077">
        <w:t xml:space="preserve"> </w:t>
      </w:r>
      <w:r>
        <w:t>ne</w:t>
      </w:r>
      <w:r w:rsidRPr="002C4077">
        <w:t xml:space="preserve"> </w:t>
      </w:r>
      <w:r>
        <w:t>les</w:t>
      </w:r>
      <w:r w:rsidRPr="002C4077">
        <w:t xml:space="preserve"> </w:t>
      </w:r>
      <w:r>
        <w:t>touchât,</w:t>
      </w:r>
      <w:r w:rsidRPr="002C4077">
        <w:t xml:space="preserve"> </w:t>
      </w:r>
      <w:r>
        <w:t>ce</w:t>
      </w:r>
      <w:r w:rsidRPr="002C4077">
        <w:t xml:space="preserve"> </w:t>
      </w:r>
      <w:r>
        <w:t>qui</w:t>
      </w:r>
      <w:r w:rsidRPr="002C4077">
        <w:t xml:space="preserve"> </w:t>
      </w:r>
      <w:r>
        <w:t>eût</w:t>
      </w:r>
      <w:r w:rsidRPr="002C4077">
        <w:t xml:space="preserve"> </w:t>
      </w:r>
      <w:r>
        <w:t>suffi</w:t>
      </w:r>
      <w:r w:rsidRPr="002C4077">
        <w:t xml:space="preserve"> </w:t>
      </w:r>
      <w:r>
        <w:t>pour</w:t>
      </w:r>
      <w:r w:rsidRPr="002C4077">
        <w:t xml:space="preserve"> </w:t>
      </w:r>
      <w:r>
        <w:t>faire</w:t>
      </w:r>
      <w:r w:rsidRPr="002C4077">
        <w:t xml:space="preserve"> </w:t>
      </w:r>
      <w:r>
        <w:t>contracter</w:t>
      </w:r>
      <w:r w:rsidRPr="002C4077">
        <w:t xml:space="preserve"> </w:t>
      </w:r>
      <w:r>
        <w:t>une</w:t>
      </w:r>
      <w:r w:rsidRPr="002C4077">
        <w:t xml:space="preserve"> </w:t>
      </w:r>
      <w:r>
        <w:t>souillure</w:t>
      </w:r>
      <w:r w:rsidRPr="002C4077">
        <w:t xml:space="preserve"> </w:t>
      </w:r>
      <w:r>
        <w:t>légale.</w:t>
      </w:r>
      <w:r w:rsidRPr="002C4077">
        <w:t xml:space="preserve"> </w:t>
      </w:r>
      <w:r>
        <w:t>Comparez</w:t>
      </w:r>
      <w:r w:rsidRPr="002C4077">
        <w:t xml:space="preserve"> </w:t>
      </w:r>
      <w:r>
        <w:t>Nomb.</w:t>
      </w:r>
      <w:r w:rsidRPr="002C4077">
        <w:t xml:space="preserve"> </w:t>
      </w:r>
      <w:r>
        <w:t>XIX,</w:t>
      </w:r>
      <w:r w:rsidRPr="002C4077">
        <w:t xml:space="preserve"> </w:t>
      </w:r>
      <w:r>
        <w:t>16</w:t>
      </w:r>
      <w:r w:rsidR="00B91AF7">
        <w:rPr>
          <w:rStyle w:val="Appelnotedebasdep"/>
        </w:rPr>
        <w:footnoteReference w:id="882"/>
      </w:r>
      <w:r w:rsidR="00B546AF">
        <w:t> »</w:t>
      </w:r>
      <w:r>
        <w:t>.</w:t>
      </w:r>
      <w:r w:rsidRPr="002C4077">
        <w:t xml:space="preserve"> </w:t>
      </w:r>
      <w:r>
        <w:t>Plusieurs</w:t>
      </w:r>
      <w:r w:rsidRPr="002C4077">
        <w:t xml:space="preserve"> </w:t>
      </w:r>
      <w:r>
        <w:t>des</w:t>
      </w:r>
      <w:r w:rsidRPr="002C4077">
        <w:t xml:space="preserve"> </w:t>
      </w:r>
      <w:r>
        <w:t>tombes</w:t>
      </w:r>
      <w:r w:rsidRPr="002C4077">
        <w:t xml:space="preserve"> </w:t>
      </w:r>
      <w:r>
        <w:t>que</w:t>
      </w:r>
      <w:r w:rsidRPr="002C4077">
        <w:t xml:space="preserve"> </w:t>
      </w:r>
      <w:r>
        <w:t>nous</w:t>
      </w:r>
      <w:r w:rsidRPr="002C4077">
        <w:t xml:space="preserve"> </w:t>
      </w:r>
      <w:r>
        <w:t>avons</w:t>
      </w:r>
      <w:r w:rsidRPr="002C4077">
        <w:t xml:space="preserve"> </w:t>
      </w:r>
      <w:r>
        <w:t>examinées</w:t>
      </w:r>
      <w:r w:rsidRPr="002C4077">
        <w:t xml:space="preserve"> </w:t>
      </w:r>
      <w:r>
        <w:t>auraient</w:t>
      </w:r>
      <w:r w:rsidRPr="002C4077">
        <w:t xml:space="preserve"> </w:t>
      </w:r>
      <w:r>
        <w:t>eu</w:t>
      </w:r>
      <w:r w:rsidRPr="002C4077">
        <w:t xml:space="preserve"> </w:t>
      </w:r>
      <w:r>
        <w:t>grand</w:t>
      </w:r>
      <w:r w:rsidRPr="002C4077">
        <w:t xml:space="preserve"> </w:t>
      </w:r>
      <w:r>
        <w:t>besoin</w:t>
      </w:r>
      <w:r w:rsidRPr="002C4077">
        <w:t xml:space="preserve"> </w:t>
      </w:r>
      <w:r>
        <w:t>d’un</w:t>
      </w:r>
      <w:r w:rsidRPr="002C4077">
        <w:t xml:space="preserve"> </w:t>
      </w:r>
      <w:r>
        <w:t>pareil</w:t>
      </w:r>
      <w:r w:rsidRPr="002C4077">
        <w:t xml:space="preserve"> </w:t>
      </w:r>
      <w:r>
        <w:t>blanchissage,</w:t>
      </w:r>
      <w:r w:rsidRPr="002C4077">
        <w:t xml:space="preserve"> </w:t>
      </w:r>
      <w:r>
        <w:t>car</w:t>
      </w:r>
      <w:r w:rsidRPr="002C4077">
        <w:t xml:space="preserve"> </w:t>
      </w:r>
      <w:r>
        <w:t>elles</w:t>
      </w:r>
      <w:r w:rsidRPr="002C4077">
        <w:t xml:space="preserve"> </w:t>
      </w:r>
      <w:r>
        <w:t>étaient</w:t>
      </w:r>
      <w:r w:rsidRPr="002C4077">
        <w:t xml:space="preserve"> </w:t>
      </w:r>
      <w:r>
        <w:t>devenues</w:t>
      </w:r>
      <w:r w:rsidRPr="002C4077">
        <w:t xml:space="preserve"> </w:t>
      </w:r>
      <w:r>
        <w:t>bien</w:t>
      </w:r>
      <w:r w:rsidRPr="002C4077">
        <w:t xml:space="preserve"> </w:t>
      </w:r>
      <w:r>
        <w:t>sombres</w:t>
      </w:r>
      <w:r w:rsidRPr="002C4077">
        <w:t xml:space="preserve"> </w:t>
      </w:r>
      <w:r>
        <w:t>et</w:t>
      </w:r>
      <w:r w:rsidRPr="002C4077">
        <w:t xml:space="preserve"> </w:t>
      </w:r>
      <w:r>
        <w:t>bien</w:t>
      </w:r>
      <w:bookmarkStart w:id="715" w:name="z_CimetieresJuifs_o7"/>
      <w:bookmarkEnd w:id="715"/>
      <w:r w:rsidRPr="002C4077">
        <w:t xml:space="preserve"> </w:t>
      </w:r>
      <w:r>
        <w:t>noires.</w:t>
      </w:r>
      <w:r w:rsidRPr="002C4077">
        <w:t xml:space="preserve"> </w:t>
      </w:r>
    </w:p>
    <w:p w:rsidR="000A7AAB" w:rsidRDefault="000A7AAB" w:rsidP="000A7AAB">
      <w:r>
        <w:t>Du</w:t>
      </w:r>
      <w:r w:rsidRPr="002C4077">
        <w:t xml:space="preserve"> </w:t>
      </w:r>
      <w:r>
        <w:t>reste,</w:t>
      </w:r>
      <w:r w:rsidRPr="002C4077">
        <w:t xml:space="preserve"> </w:t>
      </w:r>
      <w:r>
        <w:t>à</w:t>
      </w:r>
      <w:r w:rsidRPr="002C4077">
        <w:t xml:space="preserve"> </w:t>
      </w:r>
      <w:r>
        <w:t>part</w:t>
      </w:r>
      <w:r w:rsidRPr="002C4077">
        <w:t xml:space="preserve"> </w:t>
      </w:r>
      <w:r>
        <w:t>quelques</w:t>
      </w:r>
      <w:r w:rsidRPr="002C4077">
        <w:t xml:space="preserve"> </w:t>
      </w:r>
      <w:r>
        <w:t>arbustes</w:t>
      </w:r>
      <w:r w:rsidRPr="002C4077">
        <w:t xml:space="preserve"> </w:t>
      </w:r>
      <w:r>
        <w:t>et</w:t>
      </w:r>
      <w:r w:rsidRPr="002C4077">
        <w:t xml:space="preserve"> </w:t>
      </w:r>
      <w:r>
        <w:t>quelques</w:t>
      </w:r>
      <w:r w:rsidRPr="002C4077">
        <w:t xml:space="preserve"> </w:t>
      </w:r>
      <w:r>
        <w:t>fleurs,</w:t>
      </w:r>
      <w:r w:rsidRPr="002C4077">
        <w:t xml:space="preserve"> </w:t>
      </w:r>
      <w:r>
        <w:t>aucun</w:t>
      </w:r>
      <w:r w:rsidRPr="002C4077">
        <w:t xml:space="preserve"> </w:t>
      </w:r>
      <w:r>
        <w:t>de</w:t>
      </w:r>
      <w:r w:rsidRPr="002C4077">
        <w:t xml:space="preserve"> </w:t>
      </w:r>
      <w:r>
        <w:t>ces</w:t>
      </w:r>
      <w:r w:rsidRPr="002C4077">
        <w:t xml:space="preserve"> </w:t>
      </w:r>
      <w:r>
        <w:t>signes</w:t>
      </w:r>
      <w:r w:rsidRPr="002C4077">
        <w:t xml:space="preserve"> </w:t>
      </w:r>
      <w:r>
        <w:t>d’affection</w:t>
      </w:r>
      <w:r w:rsidRPr="002C4077">
        <w:t xml:space="preserve"> </w:t>
      </w:r>
      <w:r>
        <w:t>dont</w:t>
      </w:r>
      <w:r w:rsidRPr="002C4077">
        <w:t xml:space="preserve"> </w:t>
      </w:r>
      <w:r>
        <w:t>nous</w:t>
      </w:r>
      <w:r w:rsidRPr="002C4077">
        <w:t xml:space="preserve"> </w:t>
      </w:r>
      <w:r>
        <w:t>aimons</w:t>
      </w:r>
      <w:r w:rsidRPr="002C4077">
        <w:t xml:space="preserve"> </w:t>
      </w:r>
      <w:r>
        <w:t>à</w:t>
      </w:r>
      <w:r w:rsidRPr="002C4077">
        <w:t xml:space="preserve"> </w:t>
      </w:r>
      <w:r>
        <w:t>orner</w:t>
      </w:r>
      <w:r w:rsidRPr="002C4077">
        <w:t xml:space="preserve"> </w:t>
      </w:r>
      <w:r>
        <w:t>les</w:t>
      </w:r>
      <w:r w:rsidRPr="002C4077">
        <w:t xml:space="preserve"> </w:t>
      </w:r>
      <w:r>
        <w:t>tombeaux</w:t>
      </w:r>
      <w:r w:rsidRPr="002C4077">
        <w:t xml:space="preserve"> </w:t>
      </w:r>
      <w:r>
        <w:t>de</w:t>
      </w:r>
      <w:r w:rsidRPr="002C4077">
        <w:t xml:space="preserve"> </w:t>
      </w:r>
      <w:r>
        <w:t>nos</w:t>
      </w:r>
      <w:r w:rsidRPr="002C4077">
        <w:t xml:space="preserve"> </w:t>
      </w:r>
      <w:r>
        <w:t>amis</w:t>
      </w:r>
      <w:r w:rsidRPr="002C4077">
        <w:t xml:space="preserve"> </w:t>
      </w:r>
      <w:r>
        <w:t>et</w:t>
      </w:r>
      <w:r w:rsidRPr="002C4077">
        <w:t xml:space="preserve"> </w:t>
      </w:r>
      <w:r>
        <w:t>de</w:t>
      </w:r>
      <w:r w:rsidRPr="002C4077">
        <w:t xml:space="preserve"> </w:t>
      </w:r>
      <w:r>
        <w:t>nos</w:t>
      </w:r>
      <w:r w:rsidRPr="002C4077">
        <w:t xml:space="preserve"> </w:t>
      </w:r>
      <w:r>
        <w:t>proches</w:t>
      </w:r>
      <w:r w:rsidR="00B546AF">
        <w:t> :</w:t>
      </w:r>
      <w:r w:rsidRPr="002C4077">
        <w:t xml:space="preserve"> </w:t>
      </w:r>
      <w:r>
        <w:t>ce</w:t>
      </w:r>
      <w:r w:rsidRPr="002C4077">
        <w:t xml:space="preserve"> </w:t>
      </w:r>
      <w:r>
        <w:t>qui</w:t>
      </w:r>
      <w:r w:rsidRPr="002C4077">
        <w:t xml:space="preserve"> </w:t>
      </w:r>
      <w:r>
        <w:t>donne</w:t>
      </w:r>
      <w:r w:rsidRPr="002C4077">
        <w:t xml:space="preserve"> </w:t>
      </w:r>
      <w:r>
        <w:t>à</w:t>
      </w:r>
      <w:r w:rsidRPr="002C4077">
        <w:t xml:space="preserve"> </w:t>
      </w:r>
      <w:r>
        <w:t>un</w:t>
      </w:r>
      <w:r w:rsidRPr="002C4077">
        <w:t xml:space="preserve"> </w:t>
      </w:r>
      <w:r>
        <w:t>cimetière</w:t>
      </w:r>
      <w:r w:rsidRPr="002C4077">
        <w:t xml:space="preserve"> </w:t>
      </w:r>
      <w:r>
        <w:t>juif</w:t>
      </w:r>
      <w:r w:rsidRPr="002C4077">
        <w:t xml:space="preserve"> </w:t>
      </w:r>
      <w:r>
        <w:t>un</w:t>
      </w:r>
      <w:r w:rsidRPr="002C4077">
        <w:t xml:space="preserve"> </w:t>
      </w:r>
      <w:r>
        <w:t>cachet</w:t>
      </w:r>
      <w:r w:rsidRPr="002C4077">
        <w:t xml:space="preserve"> </w:t>
      </w:r>
      <w:r>
        <w:t>particulier</w:t>
      </w:r>
      <w:r w:rsidRPr="002C4077">
        <w:t xml:space="preserve"> </w:t>
      </w:r>
      <w:r>
        <w:t>de</w:t>
      </w:r>
      <w:r w:rsidRPr="002C4077">
        <w:t xml:space="preserve"> </w:t>
      </w:r>
      <w:r>
        <w:t>tristesse</w:t>
      </w:r>
      <w:r w:rsidRPr="002C4077">
        <w:t xml:space="preserve"> </w:t>
      </w:r>
      <w:r>
        <w:t>et</w:t>
      </w:r>
      <w:r w:rsidRPr="002C4077">
        <w:t xml:space="preserve"> </w:t>
      </w:r>
      <w:r>
        <w:t>d’abandon.</w:t>
      </w:r>
      <w:r w:rsidRPr="002C4077">
        <w:t xml:space="preserve"> </w:t>
      </w:r>
      <w:r>
        <w:t>Mon</w:t>
      </w:r>
      <w:r w:rsidRPr="002C4077">
        <w:t xml:space="preserve"> </w:t>
      </w:r>
      <w:r>
        <w:t>attention</w:t>
      </w:r>
      <w:r w:rsidRPr="002C4077">
        <w:t xml:space="preserve"> </w:t>
      </w:r>
      <w:r>
        <w:t>fut</w:t>
      </w:r>
      <w:r w:rsidRPr="002C4077">
        <w:t xml:space="preserve"> </w:t>
      </w:r>
      <w:r>
        <w:t>cependant</w:t>
      </w:r>
      <w:r w:rsidRPr="002C4077">
        <w:t xml:space="preserve"> </w:t>
      </w:r>
      <w:r>
        <w:t>attirée</w:t>
      </w:r>
      <w:r w:rsidRPr="002C4077">
        <w:t xml:space="preserve"> </w:t>
      </w:r>
      <w:r>
        <w:t>par</w:t>
      </w:r>
      <w:r w:rsidRPr="002C4077">
        <w:t xml:space="preserve"> </w:t>
      </w:r>
      <w:r>
        <w:t>de</w:t>
      </w:r>
      <w:r w:rsidRPr="002C4077">
        <w:t xml:space="preserve"> </w:t>
      </w:r>
      <w:r>
        <w:t>petits</w:t>
      </w:r>
      <w:r w:rsidRPr="002C4077">
        <w:t xml:space="preserve"> </w:t>
      </w:r>
      <w:r>
        <w:t>cailloux</w:t>
      </w:r>
      <w:r w:rsidRPr="002C4077">
        <w:t xml:space="preserve"> </w:t>
      </w:r>
      <w:r>
        <w:t>placés</w:t>
      </w:r>
      <w:r w:rsidRPr="002C4077">
        <w:t xml:space="preserve"> </w:t>
      </w:r>
      <w:r>
        <w:t>sur</w:t>
      </w:r>
      <w:r w:rsidRPr="002C4077">
        <w:t xml:space="preserve"> </w:t>
      </w:r>
      <w:r>
        <w:t>les</w:t>
      </w:r>
      <w:r w:rsidRPr="002C4077">
        <w:t xml:space="preserve"> </w:t>
      </w:r>
      <w:r>
        <w:t>saillies</w:t>
      </w:r>
      <w:r w:rsidRPr="002C4077">
        <w:t xml:space="preserve"> </w:t>
      </w:r>
      <w:r>
        <w:t>de</w:t>
      </w:r>
      <w:r w:rsidRPr="002C4077">
        <w:t xml:space="preserve"> </w:t>
      </w:r>
      <w:r>
        <w:t>certaines</w:t>
      </w:r>
      <w:r w:rsidRPr="002C4077">
        <w:t xml:space="preserve"> </w:t>
      </w:r>
      <w:r>
        <w:t>pierres</w:t>
      </w:r>
      <w:r w:rsidRPr="002C4077">
        <w:t xml:space="preserve"> </w:t>
      </w:r>
      <w:r>
        <w:t>tombales,</w:t>
      </w:r>
      <w:r w:rsidRPr="002C4077">
        <w:t xml:space="preserve"> </w:t>
      </w:r>
      <w:r>
        <w:t>spécialement</w:t>
      </w:r>
      <w:r w:rsidRPr="002C4077">
        <w:t xml:space="preserve"> </w:t>
      </w:r>
      <w:r>
        <w:t>de</w:t>
      </w:r>
      <w:r w:rsidRPr="002C4077">
        <w:t xml:space="preserve"> </w:t>
      </w:r>
      <w:r>
        <w:t>celles</w:t>
      </w:r>
      <w:r w:rsidRPr="002C4077">
        <w:t xml:space="preserve"> </w:t>
      </w:r>
      <w:r>
        <w:t>qui</w:t>
      </w:r>
      <w:r w:rsidRPr="002C4077">
        <w:t xml:space="preserve"> </w:t>
      </w:r>
      <w:r>
        <w:t>portaient</w:t>
      </w:r>
      <w:r w:rsidRPr="002C4077">
        <w:t xml:space="preserve"> </w:t>
      </w:r>
      <w:r>
        <w:t>les</w:t>
      </w:r>
      <w:r w:rsidRPr="002C4077">
        <w:t xml:space="preserve"> </w:t>
      </w:r>
      <w:r>
        <w:t>dates</w:t>
      </w:r>
      <w:r w:rsidRPr="002C4077">
        <w:t xml:space="preserve"> </w:t>
      </w:r>
      <w:r>
        <w:t>les</w:t>
      </w:r>
      <w:r w:rsidRPr="002C4077">
        <w:t xml:space="preserve"> </w:t>
      </w:r>
      <w:r>
        <w:t>plus</w:t>
      </w:r>
      <w:r w:rsidRPr="002C4077">
        <w:t xml:space="preserve"> </w:t>
      </w:r>
      <w:r>
        <w:t>récentes.</w:t>
      </w:r>
      <w:r w:rsidRPr="002C4077">
        <w:t xml:space="preserve"> </w:t>
      </w:r>
      <w:r>
        <w:t>Comme</w:t>
      </w:r>
      <w:r w:rsidRPr="002C4077">
        <w:t xml:space="preserve"> </w:t>
      </w:r>
      <w:r>
        <w:t>ils</w:t>
      </w:r>
      <w:r w:rsidRPr="002C4077">
        <w:t xml:space="preserve"> </w:t>
      </w:r>
      <w:r>
        <w:t>n’étaient</w:t>
      </w:r>
      <w:r w:rsidRPr="002C4077">
        <w:t xml:space="preserve"> </w:t>
      </w:r>
      <w:r>
        <w:t>point</w:t>
      </w:r>
      <w:r w:rsidRPr="002C4077">
        <w:t xml:space="preserve"> </w:t>
      </w:r>
      <w:r>
        <w:t>partout</w:t>
      </w:r>
      <w:r w:rsidRPr="002C4077">
        <w:t xml:space="preserve"> </w:t>
      </w:r>
      <w:r>
        <w:t>en</w:t>
      </w:r>
      <w:r w:rsidRPr="002C4077">
        <w:t xml:space="preserve"> </w:t>
      </w:r>
      <w:r>
        <w:t>nombre</w:t>
      </w:r>
      <w:r w:rsidRPr="002C4077">
        <w:t xml:space="preserve"> </w:t>
      </w:r>
      <w:r>
        <w:t>égal,</w:t>
      </w:r>
      <w:r w:rsidRPr="002C4077">
        <w:t xml:space="preserve"> </w:t>
      </w:r>
      <w:r>
        <w:t>et</w:t>
      </w:r>
      <w:r w:rsidRPr="002C4077">
        <w:t xml:space="preserve"> </w:t>
      </w:r>
      <w:r>
        <w:t>que</w:t>
      </w:r>
      <w:r w:rsidRPr="002C4077">
        <w:t xml:space="preserve"> </w:t>
      </w:r>
      <w:r>
        <w:t>les</w:t>
      </w:r>
      <w:r w:rsidRPr="002C4077">
        <w:t xml:space="preserve"> </w:t>
      </w:r>
      <w:r>
        <w:t>sépultures</w:t>
      </w:r>
      <w:r w:rsidRPr="002C4077">
        <w:t xml:space="preserve"> </w:t>
      </w:r>
      <w:r>
        <w:t>déjà</w:t>
      </w:r>
      <w:r w:rsidRPr="002C4077">
        <w:t xml:space="preserve"> </w:t>
      </w:r>
      <w:r>
        <w:t>anciennes</w:t>
      </w:r>
      <w:r w:rsidRPr="002C4077">
        <w:t xml:space="preserve"> </w:t>
      </w:r>
      <w:r>
        <w:t>en</w:t>
      </w:r>
      <w:r w:rsidRPr="002C4077">
        <w:t xml:space="preserve"> </w:t>
      </w:r>
      <w:r>
        <w:t>étaient</w:t>
      </w:r>
      <w:r w:rsidRPr="002C4077">
        <w:t xml:space="preserve"> </w:t>
      </w:r>
      <w:r>
        <w:t>dépourvues,</w:t>
      </w:r>
      <w:r w:rsidRPr="002C4077">
        <w:t xml:space="preserve"> </w:t>
      </w:r>
      <w:r>
        <w:t>je</w:t>
      </w:r>
      <w:r w:rsidRPr="002C4077">
        <w:t xml:space="preserve"> </w:t>
      </w:r>
      <w:r>
        <w:t>devinai</w:t>
      </w:r>
      <w:r w:rsidRPr="002C4077">
        <w:t xml:space="preserve"> </w:t>
      </w:r>
      <w:r>
        <w:t>qu’ils</w:t>
      </w:r>
      <w:r w:rsidRPr="002C4077">
        <w:t xml:space="preserve"> </w:t>
      </w:r>
      <w:r>
        <w:t>devaient</w:t>
      </w:r>
      <w:r w:rsidRPr="002C4077">
        <w:t xml:space="preserve"> </w:t>
      </w:r>
      <w:r>
        <w:t>avoir</w:t>
      </w:r>
      <w:r w:rsidRPr="002C4077">
        <w:t xml:space="preserve"> </w:t>
      </w:r>
      <w:r>
        <w:t>une</w:t>
      </w:r>
      <w:r w:rsidRPr="002C4077">
        <w:t xml:space="preserve"> </w:t>
      </w:r>
      <w:r>
        <w:t>signification</w:t>
      </w:r>
      <w:r w:rsidRPr="002C4077">
        <w:t xml:space="preserve"> </w:t>
      </w:r>
      <w:r>
        <w:t>particulière</w:t>
      </w:r>
      <w:r w:rsidR="00B546AF">
        <w:t> ;</w:t>
      </w:r>
      <w:r w:rsidRPr="002C4077">
        <w:t xml:space="preserve"> </w:t>
      </w:r>
      <w:r>
        <w:t>mais</w:t>
      </w:r>
      <w:r w:rsidRPr="002C4077">
        <w:t xml:space="preserve"> </w:t>
      </w:r>
      <w:r>
        <w:t>il</w:t>
      </w:r>
      <w:r w:rsidRPr="002C4077">
        <w:t xml:space="preserve"> </w:t>
      </w:r>
      <w:r>
        <w:t>me</w:t>
      </w:r>
      <w:r w:rsidRPr="002C4077">
        <w:t xml:space="preserve"> </w:t>
      </w:r>
      <w:r>
        <w:t>fut</w:t>
      </w:r>
      <w:r w:rsidRPr="002C4077">
        <w:t xml:space="preserve"> </w:t>
      </w:r>
      <w:r>
        <w:t>impossible</w:t>
      </w:r>
      <w:r w:rsidRPr="002C4077">
        <w:t xml:space="preserve"> </w:t>
      </w:r>
      <w:r>
        <w:t>de</w:t>
      </w:r>
      <w:r w:rsidRPr="002C4077">
        <w:t xml:space="preserve"> </w:t>
      </w:r>
      <w:r>
        <w:t>découvrir</w:t>
      </w:r>
      <w:r w:rsidRPr="002C4077">
        <w:t xml:space="preserve"> </w:t>
      </w:r>
      <w:r>
        <w:t>seul</w:t>
      </w:r>
      <w:r w:rsidRPr="002C4077">
        <w:t xml:space="preserve"> </w:t>
      </w:r>
      <w:r>
        <w:t>la</w:t>
      </w:r>
      <w:r w:rsidRPr="002C4077">
        <w:t xml:space="preserve"> </w:t>
      </w:r>
      <w:r>
        <w:t>chose</w:t>
      </w:r>
      <w:r w:rsidRPr="002C4077">
        <w:t xml:space="preserve"> </w:t>
      </w:r>
      <w:r>
        <w:t>signifiée.</w:t>
      </w:r>
      <w:r w:rsidRPr="002C4077">
        <w:t xml:space="preserve"> </w:t>
      </w:r>
      <w:r>
        <w:t>Le</w:t>
      </w:r>
      <w:r w:rsidRPr="002C4077">
        <w:t xml:space="preserve"> </w:t>
      </w:r>
      <w:r>
        <w:t>vieux</w:t>
      </w:r>
      <w:r w:rsidRPr="002C4077">
        <w:t xml:space="preserve"> </w:t>
      </w:r>
      <w:r>
        <w:t>fossoyeur</w:t>
      </w:r>
      <w:r w:rsidRPr="002C4077">
        <w:t xml:space="preserve"> </w:t>
      </w:r>
      <w:r>
        <w:t>vint</w:t>
      </w:r>
      <w:r w:rsidRPr="002C4077">
        <w:t xml:space="preserve"> </w:t>
      </w:r>
      <w:r>
        <w:t>à</w:t>
      </w:r>
      <w:r w:rsidRPr="002C4077">
        <w:t xml:space="preserve"> </w:t>
      </w:r>
      <w:r>
        <w:t>passer</w:t>
      </w:r>
      <w:r w:rsidR="00B546AF">
        <w:t> :</w:t>
      </w:r>
      <w:r w:rsidRPr="002C4077">
        <w:t xml:space="preserve"> </w:t>
      </w:r>
      <w:r>
        <w:t>je</w:t>
      </w:r>
      <w:r w:rsidRPr="002C4077">
        <w:t xml:space="preserve"> </w:t>
      </w:r>
      <w:r>
        <w:t>lui</w:t>
      </w:r>
      <w:r w:rsidRPr="002C4077">
        <w:t xml:space="preserve"> </w:t>
      </w:r>
      <w:r>
        <w:t>demandai</w:t>
      </w:r>
      <w:r w:rsidRPr="002C4077">
        <w:t xml:space="preserve"> </w:t>
      </w:r>
      <w:r>
        <w:t>compte</w:t>
      </w:r>
      <w:r w:rsidRPr="002C4077">
        <w:t xml:space="preserve"> </w:t>
      </w:r>
      <w:r>
        <w:t>de</w:t>
      </w:r>
      <w:r w:rsidRPr="002C4077">
        <w:t xml:space="preserve"> </w:t>
      </w:r>
      <w:r>
        <w:t>ce</w:t>
      </w:r>
      <w:r w:rsidRPr="002C4077">
        <w:t xml:space="preserve"> </w:t>
      </w:r>
      <w:r>
        <w:t>singulier</w:t>
      </w:r>
      <w:r w:rsidRPr="002C4077">
        <w:t xml:space="preserve"> </w:t>
      </w:r>
      <w:r>
        <w:t>emblème.</w:t>
      </w:r>
      <w:r w:rsidR="00C45B47">
        <w:t xml:space="preserve"> {</w:t>
      </w:r>
      <w:r w:rsidR="005E2129">
        <w:t>293</w:t>
      </w:r>
      <w:bookmarkStart w:id="716" w:name="p293"/>
      <w:bookmarkEnd w:id="716"/>
      <w:r w:rsidR="005E2129">
        <w:t xml:space="preserve">} </w:t>
      </w:r>
      <w:r w:rsidR="00B546AF">
        <w:t>« </w:t>
      </w:r>
      <w:r>
        <w:t>Monsieur,</w:t>
      </w:r>
      <w:r w:rsidRPr="002C4077">
        <w:t xml:space="preserve"> </w:t>
      </w:r>
      <w:r>
        <w:t>me</w:t>
      </w:r>
      <w:r w:rsidRPr="002C4077">
        <w:t xml:space="preserve"> </w:t>
      </w:r>
      <w:r>
        <w:t>répondit-il</w:t>
      </w:r>
      <w:r w:rsidRPr="002C4077">
        <w:t xml:space="preserve"> </w:t>
      </w:r>
      <w:r>
        <w:t>froidement,</w:t>
      </w:r>
      <w:r w:rsidRPr="002C4077">
        <w:t xml:space="preserve"> </w:t>
      </w:r>
      <w:r>
        <w:t>dans</w:t>
      </w:r>
      <w:r w:rsidRPr="002C4077">
        <w:t xml:space="preserve"> </w:t>
      </w:r>
      <w:r>
        <w:t>votre</w:t>
      </w:r>
      <w:r w:rsidRPr="002C4077">
        <w:t xml:space="preserve"> </w:t>
      </w:r>
      <w:r>
        <w:t>religion,</w:t>
      </w:r>
      <w:r w:rsidRPr="002C4077">
        <w:t xml:space="preserve"> </w:t>
      </w:r>
      <w:r>
        <w:t>quand</w:t>
      </w:r>
      <w:r w:rsidRPr="002C4077">
        <w:t xml:space="preserve"> </w:t>
      </w:r>
      <w:r>
        <w:t>on</w:t>
      </w:r>
      <w:r w:rsidRPr="002C4077">
        <w:t xml:space="preserve"> </w:t>
      </w:r>
      <w:r>
        <w:t>va</w:t>
      </w:r>
      <w:r w:rsidRPr="002C4077">
        <w:t xml:space="preserve"> </w:t>
      </w:r>
      <w:r>
        <w:t>au</w:t>
      </w:r>
      <w:r w:rsidRPr="002C4077">
        <w:t xml:space="preserve"> </w:t>
      </w:r>
      <w:r>
        <w:t>cimetière,</w:t>
      </w:r>
      <w:r w:rsidRPr="002C4077">
        <w:t xml:space="preserve"> </w:t>
      </w:r>
      <w:r>
        <w:t>on</w:t>
      </w:r>
      <w:r w:rsidRPr="002C4077">
        <w:t xml:space="preserve"> </w:t>
      </w:r>
      <w:r>
        <w:t>porte</w:t>
      </w:r>
      <w:r w:rsidRPr="002C4077">
        <w:t xml:space="preserve"> </w:t>
      </w:r>
      <w:r>
        <w:t>des</w:t>
      </w:r>
      <w:r w:rsidRPr="002C4077">
        <w:t xml:space="preserve"> </w:t>
      </w:r>
      <w:r>
        <w:t>couronnes</w:t>
      </w:r>
      <w:r w:rsidRPr="002C4077">
        <w:t xml:space="preserve"> </w:t>
      </w:r>
      <w:r>
        <w:t>et</w:t>
      </w:r>
      <w:r w:rsidRPr="002C4077">
        <w:t xml:space="preserve"> </w:t>
      </w:r>
      <w:r>
        <w:t>des</w:t>
      </w:r>
      <w:r w:rsidRPr="002C4077">
        <w:t xml:space="preserve"> </w:t>
      </w:r>
      <w:r>
        <w:t>fleurs</w:t>
      </w:r>
      <w:r w:rsidRPr="002C4077">
        <w:t xml:space="preserve"> </w:t>
      </w:r>
      <w:r>
        <w:t>pour</w:t>
      </w:r>
      <w:r w:rsidRPr="002C4077">
        <w:t xml:space="preserve"> </w:t>
      </w:r>
      <w:r>
        <w:t>les</w:t>
      </w:r>
      <w:r w:rsidRPr="002C4077">
        <w:t xml:space="preserve"> </w:t>
      </w:r>
      <w:r>
        <w:t>morts.</w:t>
      </w:r>
      <w:r w:rsidRPr="002C4077">
        <w:t xml:space="preserve"> </w:t>
      </w:r>
      <w:r>
        <w:t>Chez</w:t>
      </w:r>
      <w:r w:rsidRPr="002C4077">
        <w:t xml:space="preserve"> </w:t>
      </w:r>
      <w:r>
        <w:t>nous,</w:t>
      </w:r>
      <w:r w:rsidRPr="002C4077">
        <w:t xml:space="preserve"> </w:t>
      </w:r>
      <w:r>
        <w:t>on</w:t>
      </w:r>
      <w:r w:rsidRPr="002C4077">
        <w:t xml:space="preserve"> </w:t>
      </w:r>
      <w:r>
        <w:t>se</w:t>
      </w:r>
      <w:r w:rsidRPr="002C4077">
        <w:t xml:space="preserve"> </w:t>
      </w:r>
      <w:r>
        <w:t>contente</w:t>
      </w:r>
      <w:r w:rsidRPr="002C4077">
        <w:t xml:space="preserve"> </w:t>
      </w:r>
      <w:r>
        <w:t>de</w:t>
      </w:r>
      <w:r w:rsidRPr="002C4077">
        <w:t xml:space="preserve"> </w:t>
      </w:r>
      <w:r>
        <w:t>déposer</w:t>
      </w:r>
      <w:r w:rsidRPr="002C4077">
        <w:t xml:space="preserve"> </w:t>
      </w:r>
      <w:r>
        <w:t>sur</w:t>
      </w:r>
      <w:r w:rsidRPr="002C4077">
        <w:t xml:space="preserve"> </w:t>
      </w:r>
      <w:r>
        <w:t>les</w:t>
      </w:r>
      <w:r w:rsidRPr="002C4077">
        <w:t xml:space="preserve"> </w:t>
      </w:r>
      <w:r>
        <w:t>tombes</w:t>
      </w:r>
      <w:r w:rsidRPr="002C4077">
        <w:t xml:space="preserve"> </w:t>
      </w:r>
      <w:r>
        <w:t>auprès</w:t>
      </w:r>
      <w:r w:rsidRPr="002C4077">
        <w:t xml:space="preserve"> </w:t>
      </w:r>
      <w:r>
        <w:t>desquelles</w:t>
      </w:r>
      <w:r w:rsidRPr="002C4077">
        <w:t xml:space="preserve"> </w:t>
      </w:r>
      <w:r>
        <w:t>on</w:t>
      </w:r>
      <w:r w:rsidRPr="002C4077">
        <w:t xml:space="preserve"> </w:t>
      </w:r>
      <w:r>
        <w:t>vient</w:t>
      </w:r>
      <w:r w:rsidRPr="002C4077">
        <w:t xml:space="preserve"> </w:t>
      </w:r>
      <w:r>
        <w:t>prier</w:t>
      </w:r>
      <w:r w:rsidRPr="002C4077">
        <w:t xml:space="preserve"> </w:t>
      </w:r>
      <w:r>
        <w:t>une</w:t>
      </w:r>
      <w:r w:rsidRPr="002C4077">
        <w:t xml:space="preserve"> </w:t>
      </w:r>
      <w:r>
        <w:t>de</w:t>
      </w:r>
      <w:r w:rsidRPr="002C4077">
        <w:t xml:space="preserve"> </w:t>
      </w:r>
      <w:r>
        <w:t>ces</w:t>
      </w:r>
      <w:r w:rsidRPr="002C4077">
        <w:t xml:space="preserve"> </w:t>
      </w:r>
      <w:r>
        <w:t>petites</w:t>
      </w:r>
      <w:r w:rsidRPr="002C4077">
        <w:t xml:space="preserve"> </w:t>
      </w:r>
      <w:r>
        <w:t>pierres,</w:t>
      </w:r>
      <w:r w:rsidRPr="002C4077">
        <w:t xml:space="preserve"> </w:t>
      </w:r>
      <w:r>
        <w:t>qui</w:t>
      </w:r>
      <w:r w:rsidRPr="002C4077">
        <w:t xml:space="preserve"> </w:t>
      </w:r>
      <w:r>
        <w:t>marquent</w:t>
      </w:r>
      <w:r w:rsidRPr="002C4077">
        <w:t xml:space="preserve"> </w:t>
      </w:r>
      <w:r>
        <w:t>le</w:t>
      </w:r>
      <w:r w:rsidRPr="002C4077">
        <w:t xml:space="preserve"> </w:t>
      </w:r>
      <w:r>
        <w:t>nombre</w:t>
      </w:r>
      <w:r w:rsidRPr="002C4077">
        <w:t xml:space="preserve"> </w:t>
      </w:r>
      <w:r>
        <w:t>des</w:t>
      </w:r>
      <w:bookmarkStart w:id="717" w:name="z_TombeauxJuifs_o2"/>
      <w:bookmarkEnd w:id="717"/>
      <w:r w:rsidRPr="002C4077">
        <w:t xml:space="preserve"> </w:t>
      </w:r>
      <w:r>
        <w:t>visites</w:t>
      </w:r>
      <w:r w:rsidR="00B546AF">
        <w:t> »</w:t>
      </w:r>
      <w:r>
        <w:t>.</w:t>
      </w:r>
      <w:r w:rsidRPr="002C4077">
        <w:t xml:space="preserve"> </w:t>
      </w:r>
    </w:p>
    <w:p w:rsidR="005539D9" w:rsidRDefault="005539D9" w:rsidP="000A7AAB"/>
    <w:p w:rsidR="000A7AAB" w:rsidRDefault="00B546AF" w:rsidP="000A7AAB">
      <w:r>
        <w:t>« </w:t>
      </w:r>
      <w:r w:rsidR="000A7AAB">
        <w:t>Sur</w:t>
      </w:r>
      <w:bookmarkStart w:id="718" w:name="z_CimetieresJuifs_o8"/>
      <w:bookmarkEnd w:id="718"/>
      <w:r w:rsidR="000A7AAB" w:rsidRPr="002C4077">
        <w:t xml:space="preserve"> </w:t>
      </w:r>
      <w:r w:rsidR="000A7AAB">
        <w:t>la</w:t>
      </w:r>
      <w:bookmarkStart w:id="719" w:name="z_Epitaphes_o1"/>
      <w:bookmarkEnd w:id="719"/>
      <w:r w:rsidR="000A7AAB" w:rsidRPr="002C4077">
        <w:t xml:space="preserve"> </w:t>
      </w:r>
      <w:r w:rsidR="000A7AAB">
        <w:t>tombe,</w:t>
      </w:r>
      <w:r w:rsidR="000A7AAB" w:rsidRPr="002C4077">
        <w:t xml:space="preserve"> </w:t>
      </w:r>
      <w:r w:rsidR="000A7AAB">
        <w:t>dit</w:t>
      </w:r>
      <w:r w:rsidR="000A7AAB" w:rsidRPr="002C4077">
        <w:t xml:space="preserve"> </w:t>
      </w:r>
      <w:r w:rsidR="000A7AAB">
        <w:t>Léon</w:t>
      </w:r>
      <w:r w:rsidR="000A7AAB" w:rsidRPr="002C4077">
        <w:t xml:space="preserve"> </w:t>
      </w:r>
      <w:r w:rsidR="000A7AAB">
        <w:t>de</w:t>
      </w:r>
      <w:r w:rsidR="000A7AAB" w:rsidRPr="002C4077">
        <w:t xml:space="preserve"> </w:t>
      </w:r>
      <w:r w:rsidR="000A7AAB">
        <w:t>Modène</w:t>
      </w:r>
      <w:r w:rsidR="00B91AF7">
        <w:rPr>
          <w:rStyle w:val="Appelnotedebasdep"/>
        </w:rPr>
        <w:footnoteReference w:id="883"/>
      </w:r>
      <w:r w:rsidR="000A7AAB">
        <w:t>,</w:t>
      </w:r>
      <w:r w:rsidR="000A7AAB" w:rsidRPr="002C4077">
        <w:t xml:space="preserve"> </w:t>
      </w:r>
      <w:r w:rsidR="000A7AAB">
        <w:t>on</w:t>
      </w:r>
      <w:r w:rsidR="000A7AAB" w:rsidRPr="002C4077">
        <w:t xml:space="preserve"> </w:t>
      </w:r>
      <w:r w:rsidR="000A7AAB">
        <w:t>grave</w:t>
      </w:r>
      <w:r w:rsidR="000A7AAB" w:rsidRPr="002C4077">
        <w:t xml:space="preserve"> </w:t>
      </w:r>
      <w:r w:rsidR="000A7AAB">
        <w:t>le</w:t>
      </w:r>
      <w:r w:rsidR="000A7AAB" w:rsidRPr="002C4077">
        <w:t xml:space="preserve"> </w:t>
      </w:r>
      <w:r w:rsidR="000A7AAB">
        <w:t>nom</w:t>
      </w:r>
      <w:r w:rsidR="000A7AAB" w:rsidRPr="002C4077">
        <w:t xml:space="preserve"> </w:t>
      </w:r>
      <w:r w:rsidR="000A7AAB">
        <w:t>du</w:t>
      </w:r>
      <w:r w:rsidR="000A7AAB" w:rsidRPr="002C4077">
        <w:t xml:space="preserve"> </w:t>
      </w:r>
      <w:r w:rsidR="000A7AAB">
        <w:t>mort</w:t>
      </w:r>
      <w:r w:rsidR="000A7AAB" w:rsidRPr="002C4077">
        <w:t xml:space="preserve"> </w:t>
      </w:r>
      <w:r w:rsidR="000A7AAB">
        <w:t>et</w:t>
      </w:r>
      <w:r w:rsidR="000A7AAB" w:rsidRPr="002C4077">
        <w:t xml:space="preserve"> </w:t>
      </w:r>
      <w:r w:rsidR="000A7AAB">
        <w:t>quelque</w:t>
      </w:r>
      <w:r w:rsidR="000A7AAB" w:rsidRPr="002C4077">
        <w:t xml:space="preserve"> </w:t>
      </w:r>
      <w:r w:rsidR="000A7AAB">
        <w:t>chose</w:t>
      </w:r>
      <w:r w:rsidR="000A7AAB" w:rsidRPr="002C4077">
        <w:t xml:space="preserve"> </w:t>
      </w:r>
      <w:r w:rsidR="000A7AAB">
        <w:t>à</w:t>
      </w:r>
      <w:r w:rsidR="000A7AAB" w:rsidRPr="002C4077">
        <w:t xml:space="preserve"> </w:t>
      </w:r>
      <w:r w:rsidR="000A7AAB">
        <w:t>sa</w:t>
      </w:r>
      <w:r w:rsidR="000A7AAB" w:rsidRPr="002C4077">
        <w:t xml:space="preserve"> </w:t>
      </w:r>
      <w:r w:rsidR="000A7AAB">
        <w:t>louange,</w:t>
      </w:r>
      <w:r w:rsidR="000A7AAB" w:rsidRPr="002C4077">
        <w:t xml:space="preserve"> </w:t>
      </w:r>
      <w:r w:rsidR="000A7AAB">
        <w:t>soit</w:t>
      </w:r>
      <w:r w:rsidR="000A7AAB" w:rsidRPr="002C4077">
        <w:t xml:space="preserve"> </w:t>
      </w:r>
      <w:r w:rsidR="000A7AAB">
        <w:t>en</w:t>
      </w:r>
      <w:r w:rsidR="000A7AAB" w:rsidRPr="002C4077">
        <w:t xml:space="preserve"> </w:t>
      </w:r>
      <w:r w:rsidR="000A7AAB">
        <w:t>vers</w:t>
      </w:r>
      <w:r w:rsidR="000A7AAB" w:rsidRPr="002C4077">
        <w:t xml:space="preserve"> </w:t>
      </w:r>
      <w:r w:rsidR="000A7AAB">
        <w:t>ou</w:t>
      </w:r>
      <w:r w:rsidR="000A7AAB" w:rsidRPr="002C4077">
        <w:t xml:space="preserve"> </w:t>
      </w:r>
      <w:r w:rsidR="000A7AAB">
        <w:t>en</w:t>
      </w:r>
      <w:r w:rsidR="000A7AAB" w:rsidRPr="002C4077">
        <w:t xml:space="preserve"> </w:t>
      </w:r>
      <w:r w:rsidR="000A7AAB">
        <w:t>prose,</w:t>
      </w:r>
      <w:r w:rsidR="000A7AAB" w:rsidRPr="002C4077">
        <w:t xml:space="preserve"> </w:t>
      </w:r>
      <w:r w:rsidR="000A7AAB">
        <w:t>marquant</w:t>
      </w:r>
      <w:r w:rsidR="000A7AAB" w:rsidRPr="002C4077">
        <w:t xml:space="preserve"> </w:t>
      </w:r>
      <w:r w:rsidR="000A7AAB">
        <w:t>le</w:t>
      </w:r>
      <w:r w:rsidR="000A7AAB" w:rsidRPr="002C4077">
        <w:t xml:space="preserve"> </w:t>
      </w:r>
      <w:r w:rsidR="000A7AAB">
        <w:t>jour,</w:t>
      </w:r>
      <w:r w:rsidR="000A7AAB" w:rsidRPr="002C4077">
        <w:t xml:space="preserve"> </w:t>
      </w:r>
      <w:r w:rsidR="000A7AAB">
        <w:t>le</w:t>
      </w:r>
      <w:r w:rsidR="000A7AAB" w:rsidRPr="002C4077">
        <w:t xml:space="preserve"> </w:t>
      </w:r>
      <w:r w:rsidR="000A7AAB">
        <w:t>mois,</w:t>
      </w:r>
      <w:r w:rsidR="000A7AAB" w:rsidRPr="002C4077">
        <w:t xml:space="preserve"> </w:t>
      </w:r>
      <w:r w:rsidR="000A7AAB">
        <w:t>et</w:t>
      </w:r>
      <w:r w:rsidR="000A7AAB" w:rsidRPr="002C4077">
        <w:t xml:space="preserve"> </w:t>
      </w:r>
      <w:r w:rsidR="000A7AAB">
        <w:t>l’année</w:t>
      </w:r>
      <w:r w:rsidR="000A7AAB" w:rsidRPr="002C4077">
        <w:t xml:space="preserve"> </w:t>
      </w:r>
      <w:r w:rsidR="000A7AAB">
        <w:t>de</w:t>
      </w:r>
      <w:r w:rsidR="000A7AAB" w:rsidRPr="002C4077">
        <w:t xml:space="preserve"> </w:t>
      </w:r>
      <w:r w:rsidR="000A7AAB">
        <w:t>sa</w:t>
      </w:r>
      <w:r w:rsidR="000A7AAB" w:rsidRPr="002C4077">
        <w:t xml:space="preserve"> </w:t>
      </w:r>
      <w:r w:rsidR="000A7AAB">
        <w:t>mort</w:t>
      </w:r>
      <w:r>
        <w:t> »</w:t>
      </w:r>
      <w:r w:rsidR="000A7AAB">
        <w:t>.</w:t>
      </w:r>
      <w:r w:rsidR="000A7AAB" w:rsidRPr="002C4077">
        <w:t xml:space="preserve"> </w:t>
      </w:r>
      <w:r w:rsidR="000A7AAB">
        <w:t>Conformément</w:t>
      </w:r>
      <w:r w:rsidR="000A7AAB" w:rsidRPr="002C4077">
        <w:t xml:space="preserve"> </w:t>
      </w:r>
      <w:r w:rsidR="000A7AAB">
        <w:t>à</w:t>
      </w:r>
      <w:r w:rsidR="000A7AAB" w:rsidRPr="002C4077">
        <w:t xml:space="preserve"> </w:t>
      </w:r>
      <w:r w:rsidR="000A7AAB">
        <w:t>cet</w:t>
      </w:r>
      <w:r w:rsidR="000A7AAB" w:rsidRPr="002C4077">
        <w:t xml:space="preserve"> </w:t>
      </w:r>
      <w:r w:rsidR="000A7AAB">
        <w:t>usage,</w:t>
      </w:r>
      <w:r w:rsidR="000A7AAB" w:rsidRPr="002C4077">
        <w:t xml:space="preserve"> </w:t>
      </w:r>
      <w:r w:rsidR="000A7AAB">
        <w:t>les</w:t>
      </w:r>
      <w:r w:rsidR="000A7AAB" w:rsidRPr="002C4077">
        <w:t xml:space="preserve"> </w:t>
      </w:r>
      <w:r w:rsidR="000A7AAB">
        <w:t>tombeaux</w:t>
      </w:r>
      <w:r w:rsidR="000A7AAB" w:rsidRPr="002C4077">
        <w:t xml:space="preserve"> </w:t>
      </w:r>
      <w:r w:rsidR="000A7AAB">
        <w:t>des</w:t>
      </w:r>
      <w:r w:rsidR="000A7AAB" w:rsidRPr="002C4077">
        <w:t xml:space="preserve"> </w:t>
      </w:r>
      <w:r w:rsidR="000A7AAB">
        <w:t>Israélites</w:t>
      </w:r>
      <w:r w:rsidR="000A7AAB" w:rsidRPr="002C4077">
        <w:t xml:space="preserve"> </w:t>
      </w:r>
      <w:r w:rsidR="000A7AAB">
        <w:t>de</w:t>
      </w:r>
      <w:r w:rsidR="000A7AAB" w:rsidRPr="002C4077">
        <w:t xml:space="preserve"> </w:t>
      </w:r>
      <w:r w:rsidR="000A7AAB">
        <w:t>France</w:t>
      </w:r>
      <w:r w:rsidR="000A7AAB" w:rsidRPr="002C4077">
        <w:t xml:space="preserve"> </w:t>
      </w:r>
      <w:r w:rsidR="000A7AAB">
        <w:t>sont</w:t>
      </w:r>
      <w:r w:rsidR="000A7AAB" w:rsidRPr="002C4077">
        <w:t xml:space="preserve"> </w:t>
      </w:r>
      <w:r w:rsidR="000A7AAB">
        <w:t>d’ordinaire</w:t>
      </w:r>
      <w:r w:rsidR="000A7AAB" w:rsidRPr="002C4077">
        <w:t xml:space="preserve"> </w:t>
      </w:r>
      <w:r w:rsidR="000A7AAB">
        <w:t>munis</w:t>
      </w:r>
      <w:r w:rsidR="000A7AAB" w:rsidRPr="002C4077">
        <w:t xml:space="preserve"> </w:t>
      </w:r>
      <w:r w:rsidR="000A7AAB">
        <w:t>d’une</w:t>
      </w:r>
      <w:r w:rsidR="000A7AAB" w:rsidRPr="002C4077">
        <w:t xml:space="preserve"> </w:t>
      </w:r>
      <w:r w:rsidR="000A7AAB">
        <w:t>épitaphe,</w:t>
      </w:r>
      <w:r w:rsidR="000A7AAB" w:rsidRPr="002C4077">
        <w:t xml:space="preserve"> </w:t>
      </w:r>
      <w:r w:rsidR="000A7AAB">
        <w:t>qui</w:t>
      </w:r>
      <w:r w:rsidR="000A7AAB" w:rsidRPr="002C4077">
        <w:t xml:space="preserve"> </w:t>
      </w:r>
      <w:r w:rsidR="00425C50">
        <w:t>est</w:t>
      </w:r>
      <w:r w:rsidR="000A7AAB" w:rsidRPr="002C4077">
        <w:t xml:space="preserve"> </w:t>
      </w:r>
      <w:r w:rsidR="000A7AAB">
        <w:t>presque</w:t>
      </w:r>
      <w:r w:rsidR="000A7AAB" w:rsidRPr="002C4077">
        <w:t xml:space="preserve"> </w:t>
      </w:r>
      <w:r w:rsidR="000A7AAB">
        <w:t>toujours</w:t>
      </w:r>
      <w:r w:rsidR="000A7AAB" w:rsidRPr="002C4077">
        <w:t xml:space="preserve"> </w:t>
      </w:r>
      <w:r w:rsidR="000A7AAB">
        <w:t>en</w:t>
      </w:r>
      <w:r w:rsidR="000A7AAB" w:rsidRPr="002C4077">
        <w:t xml:space="preserve"> </w:t>
      </w:r>
      <w:r w:rsidR="000A7AAB">
        <w:t>hébreu,</w:t>
      </w:r>
      <w:r w:rsidR="000A7AAB" w:rsidRPr="002C4077">
        <w:t xml:space="preserve"> </w:t>
      </w:r>
      <w:r w:rsidR="000A7AAB">
        <w:t>quelquefois</w:t>
      </w:r>
      <w:r w:rsidR="000A7AAB" w:rsidRPr="002C4077">
        <w:t xml:space="preserve"> </w:t>
      </w:r>
      <w:r w:rsidR="000A7AAB">
        <w:t>en</w:t>
      </w:r>
      <w:r w:rsidR="000A7AAB" w:rsidRPr="002C4077">
        <w:t xml:space="preserve"> </w:t>
      </w:r>
      <w:r w:rsidR="000A7AAB">
        <w:t>hébreu</w:t>
      </w:r>
      <w:r w:rsidR="000A7AAB" w:rsidRPr="002C4077">
        <w:t xml:space="preserve"> </w:t>
      </w:r>
      <w:r w:rsidR="000A7AAB">
        <w:t>et</w:t>
      </w:r>
      <w:r w:rsidR="000A7AAB" w:rsidRPr="002C4077">
        <w:t xml:space="preserve"> </w:t>
      </w:r>
      <w:r w:rsidR="000A7AAB">
        <w:t>en</w:t>
      </w:r>
      <w:r w:rsidR="000A7AAB" w:rsidRPr="002C4077">
        <w:t xml:space="preserve"> </w:t>
      </w:r>
      <w:r w:rsidR="000A7AAB">
        <w:t>français,</w:t>
      </w:r>
      <w:r w:rsidR="000A7AAB" w:rsidRPr="002C4077">
        <w:t xml:space="preserve"> </w:t>
      </w:r>
      <w:r w:rsidR="000A7AAB">
        <w:t>enfin,</w:t>
      </w:r>
      <w:r w:rsidR="000A7AAB" w:rsidRPr="002C4077">
        <w:t xml:space="preserve"> </w:t>
      </w:r>
      <w:r w:rsidR="000A7AAB">
        <w:t>—</w:t>
      </w:r>
      <w:r w:rsidR="000A7AAB" w:rsidRPr="002C4077">
        <w:t xml:space="preserve"> </w:t>
      </w:r>
      <w:r w:rsidR="000A7AAB">
        <w:t>mais</w:t>
      </w:r>
      <w:r w:rsidR="000A7AAB" w:rsidRPr="002C4077">
        <w:t xml:space="preserve"> </w:t>
      </w:r>
      <w:r w:rsidR="000A7AAB">
        <w:t>le</w:t>
      </w:r>
      <w:r w:rsidR="000A7AAB" w:rsidRPr="002C4077">
        <w:t xml:space="preserve"> </w:t>
      </w:r>
      <w:r w:rsidR="000A7AAB">
        <w:t>cas</w:t>
      </w:r>
      <w:r w:rsidR="000A7AAB" w:rsidRPr="002C4077">
        <w:t xml:space="preserve"> </w:t>
      </w:r>
      <w:r w:rsidR="00425C50">
        <w:t>est</w:t>
      </w:r>
      <w:r w:rsidR="000A7AAB" w:rsidRPr="002C4077">
        <w:t xml:space="preserve"> </w:t>
      </w:r>
      <w:r w:rsidR="000A7AAB">
        <w:t>plus</w:t>
      </w:r>
      <w:r w:rsidR="000A7AAB" w:rsidRPr="002C4077">
        <w:t xml:space="preserve"> </w:t>
      </w:r>
      <w:r w:rsidR="000A7AAB">
        <w:t>rare,</w:t>
      </w:r>
      <w:r w:rsidR="000A7AAB" w:rsidRPr="002C4077">
        <w:t xml:space="preserve"> </w:t>
      </w:r>
      <w:r w:rsidR="000A7AAB">
        <w:t>—</w:t>
      </w:r>
      <w:r w:rsidR="000A7AAB" w:rsidRPr="002C4077">
        <w:t xml:space="preserve"> </w:t>
      </w:r>
      <w:r w:rsidR="000A7AAB">
        <w:t>en</w:t>
      </w:r>
      <w:r w:rsidR="000A7AAB" w:rsidRPr="002C4077">
        <w:t xml:space="preserve"> </w:t>
      </w:r>
      <w:r w:rsidR="000A7AAB">
        <w:t>français</w:t>
      </w:r>
      <w:r w:rsidR="000A7AAB" w:rsidRPr="002C4077">
        <w:t xml:space="preserve"> </w:t>
      </w:r>
      <w:r w:rsidR="000A7AAB">
        <w:t>seulement.</w:t>
      </w:r>
      <w:r w:rsidR="000A7AAB" w:rsidRPr="002C4077">
        <w:t xml:space="preserve"> </w:t>
      </w:r>
    </w:p>
    <w:p w:rsidR="000A7AAB" w:rsidRDefault="000A7AAB" w:rsidP="000A7AAB">
      <w:r>
        <w:t>Les</w:t>
      </w:r>
      <w:r w:rsidRPr="002C4077">
        <w:t xml:space="preserve"> </w:t>
      </w:r>
      <w:r>
        <w:t>inscriptions</w:t>
      </w:r>
      <w:r w:rsidRPr="002C4077">
        <w:t xml:space="preserve"> </w:t>
      </w:r>
      <w:r>
        <w:t>composées</w:t>
      </w:r>
      <w:r w:rsidRPr="002C4077">
        <w:t xml:space="preserve"> </w:t>
      </w:r>
      <w:r>
        <w:t>dans</w:t>
      </w:r>
      <w:r w:rsidRPr="002C4077">
        <w:t xml:space="preserve"> </w:t>
      </w:r>
      <w:r>
        <w:t>notre</w:t>
      </w:r>
      <w:r w:rsidRPr="002C4077">
        <w:t xml:space="preserve"> </w:t>
      </w:r>
      <w:r>
        <w:t>langue</w:t>
      </w:r>
      <w:r w:rsidRPr="002C4077">
        <w:t xml:space="preserve"> </w:t>
      </w:r>
      <w:r>
        <w:t>sont</w:t>
      </w:r>
      <w:r w:rsidRPr="002C4077">
        <w:t xml:space="preserve"> </w:t>
      </w:r>
      <w:r>
        <w:t>en</w:t>
      </w:r>
      <w:r w:rsidRPr="002C4077">
        <w:t xml:space="preserve"> </w:t>
      </w:r>
      <w:r>
        <w:t>général</w:t>
      </w:r>
      <w:r w:rsidRPr="002C4077">
        <w:t xml:space="preserve"> </w:t>
      </w:r>
      <w:r>
        <w:t>très</w:t>
      </w:r>
      <w:r w:rsidRPr="002C4077">
        <w:t xml:space="preserve"> </w:t>
      </w:r>
      <w:r>
        <w:t>courtes</w:t>
      </w:r>
      <w:r w:rsidRPr="002C4077">
        <w:t xml:space="preserve"> </w:t>
      </w:r>
      <w:r>
        <w:t>et</w:t>
      </w:r>
      <w:r w:rsidRPr="002C4077">
        <w:t xml:space="preserve"> </w:t>
      </w:r>
      <w:r>
        <w:t>très</w:t>
      </w:r>
      <w:r w:rsidRPr="002C4077">
        <w:t xml:space="preserve"> </w:t>
      </w:r>
      <w:r>
        <w:t>simples</w:t>
      </w:r>
      <w:r w:rsidR="00B546AF">
        <w:t> :</w:t>
      </w:r>
      <w:r w:rsidRPr="002C4077">
        <w:t xml:space="preserve"> </w:t>
      </w:r>
      <w:r>
        <w:t>elles</w:t>
      </w:r>
      <w:r w:rsidRPr="002C4077">
        <w:t xml:space="preserve"> </w:t>
      </w:r>
      <w:r>
        <w:t>se</w:t>
      </w:r>
      <w:r w:rsidRPr="002C4077">
        <w:t xml:space="preserve"> </w:t>
      </w:r>
      <w:r>
        <w:t>bornent</w:t>
      </w:r>
      <w:r w:rsidRPr="002C4077">
        <w:t xml:space="preserve"> </w:t>
      </w:r>
      <w:r>
        <w:t>à</w:t>
      </w:r>
      <w:r w:rsidRPr="002C4077">
        <w:t xml:space="preserve"> </w:t>
      </w:r>
      <w:r>
        <w:t>mentionner</w:t>
      </w:r>
      <w:r w:rsidRPr="002C4077">
        <w:t xml:space="preserve"> </w:t>
      </w:r>
      <w:r>
        <w:t>rapidement</w:t>
      </w:r>
      <w:r w:rsidRPr="002C4077">
        <w:t xml:space="preserve"> </w:t>
      </w:r>
      <w:r>
        <w:t>le</w:t>
      </w:r>
      <w:r w:rsidRPr="002C4077">
        <w:t xml:space="preserve"> </w:t>
      </w:r>
      <w:r>
        <w:t>nom,</w:t>
      </w:r>
      <w:r w:rsidRPr="002C4077">
        <w:t xml:space="preserve"> </w:t>
      </w:r>
      <w:r>
        <w:t>le</w:t>
      </w:r>
      <w:r w:rsidRPr="002C4077">
        <w:t xml:space="preserve"> </w:t>
      </w:r>
      <w:r>
        <w:t>prénom,</w:t>
      </w:r>
      <w:r w:rsidRPr="002C4077">
        <w:t xml:space="preserve"> </w:t>
      </w:r>
      <w:r>
        <w:t>l’âge,</w:t>
      </w:r>
      <w:r w:rsidRPr="002C4077">
        <w:t xml:space="preserve"> </w:t>
      </w:r>
      <w:r>
        <w:t>les</w:t>
      </w:r>
      <w:r w:rsidRPr="002C4077">
        <w:t xml:space="preserve"> </w:t>
      </w:r>
      <w:r>
        <w:t>dates</w:t>
      </w:r>
      <w:r w:rsidRPr="002C4077">
        <w:t xml:space="preserve"> </w:t>
      </w:r>
      <w:r>
        <w:t>de</w:t>
      </w:r>
      <w:r w:rsidRPr="002C4077">
        <w:t xml:space="preserve"> </w:t>
      </w:r>
      <w:r>
        <w:t>la</w:t>
      </w:r>
      <w:r w:rsidRPr="002C4077">
        <w:t xml:space="preserve"> </w:t>
      </w:r>
      <w:r>
        <w:t>naissance</w:t>
      </w:r>
      <w:r w:rsidRPr="002C4077">
        <w:t xml:space="preserve"> </w:t>
      </w:r>
      <w:r>
        <w:t>et</w:t>
      </w:r>
      <w:r w:rsidRPr="002C4077">
        <w:t xml:space="preserve"> </w:t>
      </w:r>
      <w:r>
        <w:t>de</w:t>
      </w:r>
      <w:r w:rsidRPr="002C4077">
        <w:t xml:space="preserve"> </w:t>
      </w:r>
      <w:r>
        <w:t>la</w:t>
      </w:r>
      <w:r w:rsidRPr="002C4077">
        <w:t xml:space="preserve"> </w:t>
      </w:r>
      <w:r>
        <w:t>mort.</w:t>
      </w:r>
      <w:r w:rsidRPr="002C4077">
        <w:t xml:space="preserve"> </w:t>
      </w:r>
      <w:r>
        <w:t>Elles</w:t>
      </w:r>
      <w:r w:rsidRPr="002C4077">
        <w:t xml:space="preserve"> </w:t>
      </w:r>
      <w:r>
        <w:t>n’ont</w:t>
      </w:r>
      <w:r w:rsidRPr="002C4077">
        <w:t xml:space="preserve"> </w:t>
      </w:r>
      <w:r>
        <w:t>rien</w:t>
      </w:r>
      <w:r w:rsidRPr="002C4077">
        <w:t xml:space="preserve"> </w:t>
      </w:r>
      <w:r>
        <w:t>de</w:t>
      </w:r>
      <w:r w:rsidRPr="002C4077">
        <w:t xml:space="preserve"> </w:t>
      </w:r>
      <w:r>
        <w:t>bien</w:t>
      </w:r>
      <w:r w:rsidRPr="002C4077">
        <w:t xml:space="preserve"> </w:t>
      </w:r>
      <w:r>
        <w:t>caractéristique.</w:t>
      </w:r>
      <w:r w:rsidRPr="002C4077">
        <w:t xml:space="preserve"> </w:t>
      </w:r>
    </w:p>
    <w:p w:rsidR="00EF54D3" w:rsidRDefault="000A7AAB" w:rsidP="000D4F31">
      <w:pPr>
        <w:pStyle w:val="LcCentrum"/>
      </w:pPr>
      <w:r>
        <w:t>Ici</w:t>
      </w:r>
      <w:r w:rsidRPr="002C4077">
        <w:t xml:space="preserve"> </w:t>
      </w:r>
      <w:r>
        <w:rPr>
          <w:smallCaps/>
        </w:rPr>
        <w:t>repose</w:t>
      </w:r>
      <w:r w:rsidRPr="002C4077">
        <w:t xml:space="preserve"> </w:t>
      </w:r>
      <w:r>
        <w:rPr>
          <w:smallCaps/>
        </w:rPr>
        <w:t>Léon</w:t>
      </w:r>
      <w:r w:rsidRPr="002C4077">
        <w:t xml:space="preserve"> </w:t>
      </w:r>
      <w:r>
        <w:t>L.,</w:t>
      </w:r>
      <w:r w:rsidRPr="002C4077">
        <w:t xml:space="preserve"> </w:t>
      </w:r>
    </w:p>
    <w:p w:rsidR="000A7AAB" w:rsidRDefault="000A7AAB" w:rsidP="000D4F31">
      <w:pPr>
        <w:pStyle w:val="LcCentrum"/>
      </w:pPr>
      <w:r>
        <w:t>Né</w:t>
      </w:r>
      <w:r w:rsidRPr="002C4077">
        <w:t xml:space="preserve"> </w:t>
      </w:r>
      <w:r>
        <w:t>le</w:t>
      </w:r>
      <w:r w:rsidRPr="002C4077">
        <w:t xml:space="preserve"> </w:t>
      </w:r>
      <w:r>
        <w:t>6</w:t>
      </w:r>
      <w:r w:rsidRPr="002C4077">
        <w:t xml:space="preserve"> </w:t>
      </w:r>
      <w:r>
        <w:t>mars</w:t>
      </w:r>
      <w:r w:rsidRPr="002C4077">
        <w:t xml:space="preserve"> </w:t>
      </w:r>
      <w:r>
        <w:t>1866,</w:t>
      </w:r>
      <w:r w:rsidRPr="002C4077">
        <w:t xml:space="preserve"> </w:t>
      </w:r>
    </w:p>
    <w:p w:rsidR="00BF1EE0" w:rsidRDefault="000A7AAB" w:rsidP="000D4F31">
      <w:pPr>
        <w:pStyle w:val="LcCentrum"/>
      </w:pPr>
      <w:r>
        <w:t>Décédé</w:t>
      </w:r>
      <w:r w:rsidRPr="002C4077">
        <w:t xml:space="preserve"> </w:t>
      </w:r>
      <w:r>
        <w:t>le</w:t>
      </w:r>
      <w:r w:rsidRPr="002C4077">
        <w:t xml:space="preserve"> </w:t>
      </w:r>
      <w:r>
        <w:t>4</w:t>
      </w:r>
      <w:r w:rsidRPr="002C4077">
        <w:t xml:space="preserve"> </w:t>
      </w:r>
      <w:r>
        <w:t>mai</w:t>
      </w:r>
      <w:r w:rsidRPr="002C4077">
        <w:t xml:space="preserve"> </w:t>
      </w:r>
      <w:r>
        <w:t>1872.</w:t>
      </w:r>
      <w:r w:rsidRPr="002C4077">
        <w:t xml:space="preserve"> </w:t>
      </w:r>
    </w:p>
    <w:p w:rsidR="00033BCE" w:rsidRDefault="00033BCE" w:rsidP="000D4F31">
      <w:pPr>
        <w:pStyle w:val="LcCentrum"/>
      </w:pPr>
      <w:r>
        <w:t>⁂</w:t>
      </w:r>
    </w:p>
    <w:p w:rsidR="00EF54D3" w:rsidRDefault="000A7AAB" w:rsidP="000D4F31">
      <w:pPr>
        <w:pStyle w:val="LcCentrum"/>
      </w:pPr>
      <w:r>
        <w:t>Ici</w:t>
      </w:r>
      <w:r w:rsidRPr="002C4077">
        <w:t xml:space="preserve"> </w:t>
      </w:r>
      <w:r>
        <w:rPr>
          <w:smallCaps/>
        </w:rPr>
        <w:t>repose</w:t>
      </w:r>
      <w:r w:rsidRPr="002C4077">
        <w:t xml:space="preserve"> </w:t>
      </w:r>
      <w:r>
        <w:rPr>
          <w:smallCaps/>
        </w:rPr>
        <w:t>Rosalie</w:t>
      </w:r>
      <w:r w:rsidRPr="002C4077">
        <w:t xml:space="preserve"> </w:t>
      </w:r>
      <w:r>
        <w:t>R.,</w:t>
      </w:r>
      <w:r w:rsidRPr="002C4077">
        <w:t xml:space="preserve"> </w:t>
      </w:r>
      <w:r>
        <w:rPr>
          <w:smallCaps/>
        </w:rPr>
        <w:t>née</w:t>
      </w:r>
      <w:r w:rsidRPr="002C4077">
        <w:t xml:space="preserve"> </w:t>
      </w:r>
      <w:r>
        <w:t>H.,</w:t>
      </w:r>
      <w:r w:rsidRPr="002C4077">
        <w:t xml:space="preserve"> </w:t>
      </w:r>
    </w:p>
    <w:p w:rsidR="00EF54D3" w:rsidRDefault="000A7AAB" w:rsidP="000D4F31">
      <w:pPr>
        <w:pStyle w:val="LcCentrum"/>
      </w:pPr>
      <w:r>
        <w:t>Décédée</w:t>
      </w:r>
      <w:r w:rsidRPr="002C4077">
        <w:t xml:space="preserve"> </w:t>
      </w:r>
      <w:r>
        <w:t>à</w:t>
      </w:r>
      <w:r w:rsidRPr="002C4077">
        <w:t xml:space="preserve"> </w:t>
      </w:r>
      <w:r>
        <w:t>N.,</w:t>
      </w:r>
      <w:r w:rsidRPr="002C4077">
        <w:t xml:space="preserve"> </w:t>
      </w:r>
      <w:r>
        <w:t>le</w:t>
      </w:r>
      <w:r w:rsidRPr="002C4077">
        <w:t xml:space="preserve"> </w:t>
      </w:r>
      <w:r>
        <w:t>27</w:t>
      </w:r>
      <w:r w:rsidRPr="002C4077">
        <w:t xml:space="preserve"> </w:t>
      </w:r>
      <w:r>
        <w:t>oct.</w:t>
      </w:r>
      <w:r w:rsidRPr="002C4077">
        <w:t xml:space="preserve"> </w:t>
      </w:r>
      <w:r>
        <w:t>1872,</w:t>
      </w:r>
      <w:r w:rsidRPr="002C4077">
        <w:t xml:space="preserve"> </w:t>
      </w:r>
    </w:p>
    <w:p w:rsidR="000A7AAB" w:rsidRDefault="000A7AAB" w:rsidP="000D4F31">
      <w:pPr>
        <w:pStyle w:val="LcCentrum"/>
      </w:pPr>
      <w:r>
        <w:t>À</w:t>
      </w:r>
      <w:r w:rsidRPr="002C4077">
        <w:t xml:space="preserve"> </w:t>
      </w:r>
      <w:r>
        <w:t>l’âge</w:t>
      </w:r>
      <w:r w:rsidRPr="002C4077">
        <w:t xml:space="preserve"> </w:t>
      </w:r>
      <w:r>
        <w:t>de</w:t>
      </w:r>
      <w:r w:rsidRPr="002C4077">
        <w:t xml:space="preserve"> </w:t>
      </w:r>
      <w:r>
        <w:t>64</w:t>
      </w:r>
      <w:r w:rsidRPr="002C4077">
        <w:t xml:space="preserve"> </w:t>
      </w:r>
      <w:r>
        <w:t>ans,</w:t>
      </w:r>
      <w:r w:rsidRPr="002C4077">
        <w:t xml:space="preserve"> </w:t>
      </w:r>
    </w:p>
    <w:p w:rsidR="00033BCE" w:rsidRDefault="000A7AAB" w:rsidP="000D4F31">
      <w:pPr>
        <w:pStyle w:val="LcCentrum"/>
      </w:pPr>
      <w:r>
        <w:t>Regrettée</w:t>
      </w:r>
      <w:r w:rsidRPr="002C4077">
        <w:t xml:space="preserve"> </w:t>
      </w:r>
      <w:r>
        <w:t>de</w:t>
      </w:r>
      <w:r w:rsidRPr="002C4077">
        <w:t xml:space="preserve"> </w:t>
      </w:r>
      <w:r>
        <w:t>sa</w:t>
      </w:r>
      <w:r w:rsidRPr="002C4077">
        <w:t xml:space="preserve"> </w:t>
      </w:r>
      <w:r>
        <w:t>famille.</w:t>
      </w:r>
      <w:r w:rsidRPr="002C4077">
        <w:t xml:space="preserve"> </w:t>
      </w:r>
    </w:p>
    <w:p w:rsidR="000A7AAB" w:rsidRDefault="00033BCE" w:rsidP="000D4F31">
      <w:pPr>
        <w:pStyle w:val="LcCentrum"/>
      </w:pPr>
      <w:r>
        <w:t>⁂</w:t>
      </w:r>
    </w:p>
    <w:p w:rsidR="000A7AAB" w:rsidRPr="00EF54D3" w:rsidRDefault="000A7AAB" w:rsidP="000D4F31">
      <w:pPr>
        <w:pStyle w:val="LcCentrum"/>
        <w:rPr>
          <w:rStyle w:val="pm"/>
        </w:rPr>
      </w:pPr>
      <w:r w:rsidRPr="00EF54D3">
        <w:rPr>
          <w:rStyle w:val="pm"/>
        </w:rPr>
        <w:t>Ici</w:t>
      </w:r>
      <w:r w:rsidRPr="002C4077">
        <w:t xml:space="preserve"> </w:t>
      </w:r>
      <w:r w:rsidRPr="00EF54D3">
        <w:rPr>
          <w:rStyle w:val="pm"/>
        </w:rPr>
        <w:t>repose</w:t>
      </w:r>
      <w:r w:rsidRPr="002C4077">
        <w:t xml:space="preserve"> </w:t>
      </w:r>
      <w:r w:rsidRPr="00EF54D3">
        <w:rPr>
          <w:rStyle w:val="pm"/>
        </w:rPr>
        <w:t>Daniel</w:t>
      </w:r>
      <w:r w:rsidRPr="002C4077">
        <w:t xml:space="preserve"> </w:t>
      </w:r>
      <w:r w:rsidRPr="00EF54D3">
        <w:rPr>
          <w:rStyle w:val="pm"/>
        </w:rPr>
        <w:t>N.,</w:t>
      </w:r>
      <w:r w:rsidRPr="002C4077">
        <w:t xml:space="preserve"> </w:t>
      </w:r>
    </w:p>
    <w:p w:rsidR="00EF54D3" w:rsidRDefault="000A7AAB" w:rsidP="000D4F31">
      <w:pPr>
        <w:pStyle w:val="LcCentrum"/>
      </w:pPr>
      <w:r>
        <w:t>Époux</w:t>
      </w:r>
      <w:r w:rsidRPr="002C4077">
        <w:t xml:space="preserve"> </w:t>
      </w:r>
      <w:r>
        <w:t>et</w:t>
      </w:r>
      <w:r w:rsidRPr="002C4077">
        <w:t xml:space="preserve"> </w:t>
      </w:r>
      <w:r>
        <w:t>père</w:t>
      </w:r>
      <w:r w:rsidRPr="002C4077">
        <w:t xml:space="preserve"> </w:t>
      </w:r>
      <w:r>
        <w:t>chéri,</w:t>
      </w:r>
      <w:r w:rsidRPr="002C4077">
        <w:t xml:space="preserve"> </w:t>
      </w:r>
    </w:p>
    <w:p w:rsidR="000A7AAB" w:rsidRPr="005E2129" w:rsidRDefault="000F4CEC" w:rsidP="000D4F31">
      <w:pPr>
        <w:pStyle w:val="LcCentrum"/>
      </w:pPr>
      <w:r>
        <w:t>Décédé</w:t>
      </w:r>
      <w:r w:rsidR="000A7AAB" w:rsidRPr="002C4077">
        <w:t xml:space="preserve"> </w:t>
      </w:r>
      <w:r w:rsidR="000A7AAB">
        <w:t>le</w:t>
      </w:r>
      <w:r w:rsidR="000A7AAB" w:rsidRPr="002C4077">
        <w:t xml:space="preserve"> </w:t>
      </w:r>
      <w:r w:rsidR="00EF54D3">
        <w:t>11</w:t>
      </w:r>
      <w:r w:rsidR="00EF54D3" w:rsidRPr="002C4077">
        <w:t xml:space="preserve"> </w:t>
      </w:r>
      <w:r w:rsidR="00EF54D3">
        <w:t>juin</w:t>
      </w:r>
      <w:r w:rsidR="00EF54D3" w:rsidRPr="002C4077">
        <w:t xml:space="preserve"> </w:t>
      </w:r>
      <w:r w:rsidR="00EF54D3">
        <w:t>1833,</w:t>
      </w:r>
      <w:r w:rsidR="00EF54D3" w:rsidRPr="002C4077">
        <w:t xml:space="preserve"> </w:t>
      </w:r>
      <w:r w:rsidR="00EF54D3">
        <w:t>à</w:t>
      </w:r>
      <w:r w:rsidR="00EF54D3" w:rsidRPr="002C4077">
        <w:t xml:space="preserve"> </w:t>
      </w:r>
      <w:r w:rsidR="00EF54D3">
        <w:t>5</w:t>
      </w:r>
      <w:r w:rsidR="000A7AAB">
        <w:t>7</w:t>
      </w:r>
      <w:r w:rsidR="000A7AAB" w:rsidRPr="002C4077">
        <w:t xml:space="preserve"> </w:t>
      </w:r>
      <w:r w:rsidR="000A7AAB">
        <w:t>ans.</w:t>
      </w:r>
      <w:r w:rsidR="00C45B47">
        <w:t xml:space="preserve"> {</w:t>
      </w:r>
      <w:r w:rsidR="005E2129">
        <w:t>294</w:t>
      </w:r>
      <w:bookmarkStart w:id="720" w:name="p294"/>
      <w:bookmarkEnd w:id="720"/>
      <w:r w:rsidR="005E2129">
        <w:t xml:space="preserve">} </w:t>
      </w:r>
    </w:p>
    <w:p w:rsidR="000A7AAB" w:rsidRDefault="000A7AAB" w:rsidP="00EF54D3">
      <w:r>
        <w:t>De</w:t>
      </w:r>
      <w:r w:rsidRPr="002C4077">
        <w:t xml:space="preserve"> </w:t>
      </w:r>
      <w:r>
        <w:t>temps</w:t>
      </w:r>
      <w:r w:rsidRPr="002C4077">
        <w:t xml:space="preserve"> </w:t>
      </w:r>
      <w:r>
        <w:t>à</w:t>
      </w:r>
      <w:r w:rsidRPr="002C4077">
        <w:t xml:space="preserve"> </w:t>
      </w:r>
      <w:r>
        <w:t>autre,</w:t>
      </w:r>
      <w:r w:rsidRPr="002C4077">
        <w:t xml:space="preserve"> </w:t>
      </w:r>
      <w:r>
        <w:t>quelques</w:t>
      </w:r>
      <w:r w:rsidRPr="002C4077">
        <w:t xml:space="preserve"> </w:t>
      </w:r>
      <w:r>
        <w:t>vers</w:t>
      </w:r>
      <w:r w:rsidRPr="002C4077">
        <w:t xml:space="preserve"> </w:t>
      </w:r>
      <w:r>
        <w:t>accompagnent</w:t>
      </w:r>
      <w:r w:rsidRPr="002C4077">
        <w:t xml:space="preserve"> </w:t>
      </w:r>
      <w:r>
        <w:t>l’</w:t>
      </w:r>
      <w:r w:rsidR="001730C6">
        <w:t>ép</w:t>
      </w:r>
      <w:r>
        <w:t>itaphe.</w:t>
      </w:r>
      <w:r w:rsidRPr="002C4077">
        <w:t xml:space="preserve"> </w:t>
      </w:r>
    </w:p>
    <w:p w:rsidR="00EF54D3" w:rsidRPr="00EF54D3" w:rsidRDefault="000A7AAB" w:rsidP="000D4F31">
      <w:pPr>
        <w:pStyle w:val="LcCentrum"/>
        <w:rPr>
          <w:rStyle w:val="pm"/>
        </w:rPr>
      </w:pPr>
      <w:r w:rsidRPr="00EF54D3">
        <w:rPr>
          <w:rStyle w:val="pm"/>
        </w:rPr>
        <w:t>Ici</w:t>
      </w:r>
      <w:r w:rsidRPr="002C4077">
        <w:t xml:space="preserve"> </w:t>
      </w:r>
      <w:r w:rsidRPr="00EF54D3">
        <w:rPr>
          <w:rStyle w:val="pm"/>
        </w:rPr>
        <w:t>repose</w:t>
      </w:r>
      <w:r w:rsidRPr="002C4077">
        <w:t xml:space="preserve"> </w:t>
      </w:r>
      <w:r w:rsidRPr="00EF54D3">
        <w:rPr>
          <w:rStyle w:val="pm"/>
        </w:rPr>
        <w:t>Isaac-Jules</w:t>
      </w:r>
      <w:r w:rsidRPr="002C4077">
        <w:t xml:space="preserve"> </w:t>
      </w:r>
      <w:r w:rsidRPr="00EF54D3">
        <w:rPr>
          <w:rStyle w:val="pm"/>
        </w:rPr>
        <w:t>W.,</w:t>
      </w:r>
      <w:r w:rsidRPr="002C4077">
        <w:t xml:space="preserve"> </w:t>
      </w:r>
    </w:p>
    <w:p w:rsidR="00EF54D3" w:rsidRDefault="00EF54D3" w:rsidP="000D4F31">
      <w:pPr>
        <w:pStyle w:val="LcCentrum"/>
      </w:pPr>
      <w:r>
        <w:t>Décédé</w:t>
      </w:r>
      <w:r w:rsidRPr="002C4077">
        <w:t xml:space="preserve"> </w:t>
      </w:r>
      <w:r>
        <w:t>le</w:t>
      </w:r>
      <w:r w:rsidRPr="002C4077">
        <w:t xml:space="preserve"> </w:t>
      </w:r>
      <w:r>
        <w:t>16</w:t>
      </w:r>
      <w:r w:rsidRPr="002C4077">
        <w:t xml:space="preserve"> </w:t>
      </w:r>
      <w:r>
        <w:t>septembre</w:t>
      </w:r>
      <w:r w:rsidRPr="002C4077">
        <w:t xml:space="preserve"> </w:t>
      </w:r>
      <w:r>
        <w:t>5624</w:t>
      </w:r>
      <w:r>
        <w:rPr>
          <w:rStyle w:val="Appelnotedebasdep"/>
        </w:rPr>
        <w:footnoteReference w:id="884"/>
      </w:r>
      <w:r w:rsidR="000A7AAB">
        <w:t>,</w:t>
      </w:r>
      <w:r w:rsidR="000A7AAB" w:rsidRPr="002C4077">
        <w:t xml:space="preserve"> </w:t>
      </w:r>
    </w:p>
    <w:p w:rsidR="000A7AAB" w:rsidRDefault="000A7AAB" w:rsidP="000D4F31">
      <w:pPr>
        <w:pStyle w:val="LcCentrum"/>
      </w:pPr>
      <w:r>
        <w:t>À</w:t>
      </w:r>
      <w:r w:rsidRPr="002C4077">
        <w:t xml:space="preserve"> </w:t>
      </w:r>
      <w:r>
        <w:t>l’âge</w:t>
      </w:r>
      <w:r w:rsidRPr="002C4077">
        <w:t xml:space="preserve"> </w:t>
      </w:r>
      <w:r>
        <w:t>de</w:t>
      </w:r>
      <w:r w:rsidRPr="002C4077">
        <w:t xml:space="preserve"> </w:t>
      </w:r>
      <w:r>
        <w:t>3</w:t>
      </w:r>
      <w:r w:rsidRPr="002C4077">
        <w:t xml:space="preserve"> </w:t>
      </w:r>
      <w:r>
        <w:t>ans</w:t>
      </w:r>
      <w:r w:rsidRPr="002C4077">
        <w:t xml:space="preserve"> </w:t>
      </w:r>
      <w:r>
        <w:t>et</w:t>
      </w:r>
      <w:r w:rsidRPr="002C4077">
        <w:t xml:space="preserve"> </w:t>
      </w:r>
      <w:r>
        <w:t>8</w:t>
      </w:r>
      <w:r w:rsidRPr="002C4077">
        <w:t xml:space="preserve"> </w:t>
      </w:r>
      <w:r>
        <w:t>mois.</w:t>
      </w:r>
      <w:r w:rsidRPr="002C4077">
        <w:t xml:space="preserve"> </w:t>
      </w:r>
    </w:p>
    <w:p w:rsidR="00EF54D3" w:rsidRDefault="00EF54D3" w:rsidP="000D4F31">
      <w:pPr>
        <w:pStyle w:val="LcCentrum"/>
      </w:pPr>
      <w:r>
        <w:t>—</w:t>
      </w:r>
    </w:p>
    <w:p w:rsidR="00EF54D3" w:rsidRPr="00EF54D3" w:rsidRDefault="000A7AAB" w:rsidP="000D4F31">
      <w:pPr>
        <w:pStyle w:val="LcCentrum"/>
        <w:rPr>
          <w:rStyle w:val="italicus"/>
        </w:rPr>
      </w:pPr>
      <w:r w:rsidRPr="00EF54D3">
        <w:rPr>
          <w:rStyle w:val="italicus"/>
        </w:rPr>
        <w:t>Enfant</w:t>
      </w:r>
      <w:r w:rsidRPr="002C4077">
        <w:t xml:space="preserve"> </w:t>
      </w:r>
      <w:r w:rsidRPr="00EF54D3">
        <w:rPr>
          <w:rStyle w:val="italicus"/>
        </w:rPr>
        <w:t>chéri,</w:t>
      </w:r>
      <w:r w:rsidRPr="002C4077">
        <w:t xml:space="preserve"> </w:t>
      </w:r>
      <w:r w:rsidRPr="00EF54D3">
        <w:rPr>
          <w:rStyle w:val="italicus"/>
        </w:rPr>
        <w:t>ta</w:t>
      </w:r>
      <w:r w:rsidRPr="002C4077">
        <w:t xml:space="preserve"> </w:t>
      </w:r>
      <w:r w:rsidRPr="00EF54D3">
        <w:rPr>
          <w:rStyle w:val="italicus"/>
        </w:rPr>
        <w:t>douce</w:t>
      </w:r>
      <w:r w:rsidRPr="002C4077">
        <w:t xml:space="preserve"> </w:t>
      </w:r>
      <w:r w:rsidRPr="00EF54D3">
        <w:rPr>
          <w:rStyle w:val="italicus"/>
        </w:rPr>
        <w:t>image</w:t>
      </w:r>
      <w:r w:rsidRPr="002C4077">
        <w:t xml:space="preserve"> </w:t>
      </w:r>
    </w:p>
    <w:p w:rsidR="000A7AAB" w:rsidRPr="00EF54D3" w:rsidRDefault="000A7AAB" w:rsidP="000D4F31">
      <w:pPr>
        <w:pStyle w:val="LcCentrum"/>
        <w:rPr>
          <w:rStyle w:val="italicus"/>
        </w:rPr>
      </w:pPr>
      <w:r w:rsidRPr="00EF54D3">
        <w:rPr>
          <w:rStyle w:val="italicus"/>
        </w:rPr>
        <w:t>Restera</w:t>
      </w:r>
      <w:r w:rsidRPr="002C4077">
        <w:t xml:space="preserve"> </w:t>
      </w:r>
      <w:r w:rsidRPr="00EF54D3">
        <w:rPr>
          <w:rStyle w:val="italicus"/>
        </w:rPr>
        <w:t>gravée</w:t>
      </w:r>
      <w:r w:rsidRPr="002C4077">
        <w:t xml:space="preserve"> </w:t>
      </w:r>
      <w:r w:rsidRPr="00EF54D3">
        <w:rPr>
          <w:rStyle w:val="italicus"/>
        </w:rPr>
        <w:t>dans</w:t>
      </w:r>
      <w:r w:rsidRPr="002C4077">
        <w:t xml:space="preserve"> </w:t>
      </w:r>
      <w:r w:rsidRPr="00EF54D3">
        <w:rPr>
          <w:rStyle w:val="italicus"/>
        </w:rPr>
        <w:t>nos</w:t>
      </w:r>
      <w:r w:rsidRPr="002C4077">
        <w:t xml:space="preserve"> </w:t>
      </w:r>
      <w:r w:rsidRPr="00EF54D3">
        <w:rPr>
          <w:rStyle w:val="italicus"/>
        </w:rPr>
        <w:t>cœurs.</w:t>
      </w:r>
      <w:r w:rsidRPr="002C4077">
        <w:t xml:space="preserve"> </w:t>
      </w:r>
    </w:p>
    <w:p w:rsidR="000A7AAB" w:rsidRDefault="000A7AAB" w:rsidP="00EF54D3">
      <w:r>
        <w:lastRenderedPageBreak/>
        <w:t>Et</w:t>
      </w:r>
      <w:r w:rsidRPr="002C4077">
        <w:t xml:space="preserve"> </w:t>
      </w:r>
      <w:r>
        <w:t>sur</w:t>
      </w:r>
      <w:r w:rsidRPr="002C4077">
        <w:t xml:space="preserve"> </w:t>
      </w:r>
      <w:r>
        <w:t>une</w:t>
      </w:r>
      <w:r w:rsidRPr="002C4077">
        <w:t xml:space="preserve"> </w:t>
      </w:r>
      <w:r>
        <w:t>autre</w:t>
      </w:r>
      <w:r w:rsidRPr="002C4077">
        <w:t xml:space="preserve"> </w:t>
      </w:r>
      <w:r>
        <w:t>tombe</w:t>
      </w:r>
      <w:r w:rsidR="00B546AF">
        <w:t> :</w:t>
      </w:r>
      <w:r w:rsidRPr="002C4077">
        <w:t xml:space="preserve"> </w:t>
      </w:r>
    </w:p>
    <w:p w:rsidR="00EF54D3" w:rsidRPr="00EF54D3" w:rsidRDefault="000A7AAB" w:rsidP="000D4F31">
      <w:pPr>
        <w:pStyle w:val="LcCentrum"/>
        <w:rPr>
          <w:rStyle w:val="pm"/>
        </w:rPr>
      </w:pPr>
      <w:r w:rsidRPr="00EF54D3">
        <w:rPr>
          <w:rStyle w:val="pm"/>
        </w:rPr>
        <w:t>Ci-gît</w:t>
      </w:r>
      <w:r w:rsidRPr="002C4077">
        <w:t xml:space="preserve"> </w:t>
      </w:r>
      <w:r w:rsidRPr="00EF54D3">
        <w:rPr>
          <w:rStyle w:val="pm"/>
        </w:rPr>
        <w:t>Rosa</w:t>
      </w:r>
      <w:r w:rsidRPr="002C4077">
        <w:t xml:space="preserve"> </w:t>
      </w:r>
      <w:r w:rsidRPr="00EF54D3">
        <w:rPr>
          <w:rStyle w:val="pm"/>
        </w:rPr>
        <w:t>M.,</w:t>
      </w:r>
      <w:r w:rsidRPr="002C4077">
        <w:t xml:space="preserve"> </w:t>
      </w:r>
    </w:p>
    <w:p w:rsidR="00EF54D3" w:rsidRDefault="000A7AAB" w:rsidP="000D4F31">
      <w:pPr>
        <w:pStyle w:val="LcCentrum"/>
      </w:pPr>
      <w:r>
        <w:t>Décédée</w:t>
      </w:r>
      <w:r w:rsidRPr="002C4077">
        <w:t xml:space="preserve"> </w:t>
      </w:r>
      <w:r>
        <w:t>l</w:t>
      </w:r>
      <w:r w:rsidR="00425C50">
        <w:t>e</w:t>
      </w:r>
      <w:r w:rsidR="00425C50" w:rsidRPr="002C4077">
        <w:t xml:space="preserve"> </w:t>
      </w:r>
      <w:r w:rsidR="00EF54D3">
        <w:t>11</w:t>
      </w:r>
      <w:r w:rsidR="00425C50" w:rsidRPr="002C4077">
        <w:t xml:space="preserve"> </w:t>
      </w:r>
      <w:r w:rsidR="00425C50">
        <w:t>m</w:t>
      </w:r>
      <w:r>
        <w:t>ai</w:t>
      </w:r>
      <w:r w:rsidRPr="002C4077">
        <w:t xml:space="preserve"> </w:t>
      </w:r>
      <w:r>
        <w:t>1867,</w:t>
      </w:r>
      <w:r w:rsidRPr="002C4077">
        <w:t xml:space="preserve"> </w:t>
      </w:r>
    </w:p>
    <w:p w:rsidR="000A7AAB" w:rsidRDefault="000A7AAB" w:rsidP="000D4F31">
      <w:pPr>
        <w:pStyle w:val="LcCentrum"/>
      </w:pPr>
      <w:r>
        <w:t>À</w:t>
      </w:r>
      <w:r w:rsidRPr="002C4077">
        <w:t xml:space="preserve"> </w:t>
      </w:r>
      <w:r>
        <w:t>l’âge</w:t>
      </w:r>
      <w:r w:rsidRPr="002C4077">
        <w:t xml:space="preserve"> </w:t>
      </w:r>
      <w:r>
        <w:t>de</w:t>
      </w:r>
      <w:r w:rsidRPr="002C4077">
        <w:t xml:space="preserve"> </w:t>
      </w:r>
      <w:r>
        <w:t>2</w:t>
      </w:r>
      <w:r w:rsidRPr="002C4077">
        <w:t xml:space="preserve"> </w:t>
      </w:r>
      <w:r>
        <w:t>ans</w:t>
      </w:r>
      <w:r w:rsidRPr="002C4077">
        <w:t xml:space="preserve"> </w:t>
      </w:r>
      <w:r>
        <w:t>8</w:t>
      </w:r>
      <w:r w:rsidRPr="002C4077">
        <w:t xml:space="preserve"> </w:t>
      </w:r>
      <w:r>
        <w:t>jours.</w:t>
      </w:r>
      <w:r w:rsidRPr="002C4077">
        <w:t xml:space="preserve"> </w:t>
      </w:r>
    </w:p>
    <w:p w:rsidR="00EF54D3" w:rsidRDefault="00EF54D3" w:rsidP="00EF54D3">
      <w:pPr>
        <w:pStyle w:val="LcCentrum"/>
      </w:pPr>
      <w:r>
        <w:t>—</w:t>
      </w:r>
    </w:p>
    <w:p w:rsidR="00EF54D3" w:rsidRPr="00EF54D3" w:rsidRDefault="000A7AAB" w:rsidP="000D4F31">
      <w:pPr>
        <w:pStyle w:val="LcCentrum"/>
        <w:rPr>
          <w:rStyle w:val="italicus"/>
        </w:rPr>
      </w:pPr>
      <w:r w:rsidRPr="00EF54D3">
        <w:rPr>
          <w:rStyle w:val="italicus"/>
        </w:rPr>
        <w:t>Et</w:t>
      </w:r>
      <w:r w:rsidRPr="002C4077">
        <w:t xml:space="preserve"> </w:t>
      </w:r>
      <w:r w:rsidRPr="00EF54D3">
        <w:rPr>
          <w:rStyle w:val="italicus"/>
        </w:rPr>
        <w:t>Rose,</w:t>
      </w:r>
      <w:r w:rsidRPr="002C4077">
        <w:t xml:space="preserve"> </w:t>
      </w:r>
      <w:r w:rsidRPr="00EF54D3">
        <w:rPr>
          <w:rStyle w:val="italicus"/>
        </w:rPr>
        <w:t>elle</w:t>
      </w:r>
      <w:r w:rsidRPr="002C4077">
        <w:t xml:space="preserve"> </w:t>
      </w:r>
      <w:r w:rsidRPr="00EF54D3">
        <w:rPr>
          <w:rStyle w:val="italicus"/>
        </w:rPr>
        <w:t>a</w:t>
      </w:r>
      <w:r w:rsidRPr="002C4077">
        <w:t xml:space="preserve"> </w:t>
      </w:r>
      <w:r w:rsidRPr="00EF54D3">
        <w:rPr>
          <w:rStyle w:val="italicus"/>
        </w:rPr>
        <w:t>vécu</w:t>
      </w:r>
      <w:r w:rsidRPr="002C4077">
        <w:t xml:space="preserve"> </w:t>
      </w:r>
      <w:r w:rsidRPr="00EF54D3">
        <w:rPr>
          <w:rStyle w:val="italicus"/>
        </w:rPr>
        <w:t>ce</w:t>
      </w:r>
      <w:r w:rsidRPr="002C4077">
        <w:t xml:space="preserve"> </w:t>
      </w:r>
      <w:r w:rsidRPr="00EF54D3">
        <w:rPr>
          <w:rStyle w:val="italicus"/>
        </w:rPr>
        <w:t>que</w:t>
      </w:r>
      <w:r w:rsidRPr="002C4077">
        <w:t xml:space="preserve"> </w:t>
      </w:r>
      <w:r w:rsidRPr="00EF54D3">
        <w:rPr>
          <w:rStyle w:val="italicus"/>
        </w:rPr>
        <w:t>vivent</w:t>
      </w:r>
      <w:r w:rsidRPr="002C4077">
        <w:t xml:space="preserve"> </w:t>
      </w:r>
      <w:r w:rsidRPr="00EF54D3">
        <w:rPr>
          <w:rStyle w:val="italicus"/>
        </w:rPr>
        <w:t>les</w:t>
      </w:r>
      <w:r w:rsidRPr="002C4077">
        <w:t xml:space="preserve"> </w:t>
      </w:r>
      <w:r w:rsidRPr="00EF54D3">
        <w:rPr>
          <w:rStyle w:val="italicus"/>
        </w:rPr>
        <w:t>roses,</w:t>
      </w:r>
      <w:r w:rsidRPr="002C4077">
        <w:t xml:space="preserve"> </w:t>
      </w:r>
    </w:p>
    <w:p w:rsidR="000A7AAB" w:rsidRPr="00EF54D3" w:rsidRDefault="000A7AAB" w:rsidP="000D4F31">
      <w:pPr>
        <w:pStyle w:val="LcCentrum"/>
        <w:rPr>
          <w:rStyle w:val="italicus"/>
        </w:rPr>
      </w:pPr>
      <w:r w:rsidRPr="00EF54D3">
        <w:rPr>
          <w:rStyle w:val="italicus"/>
        </w:rPr>
        <w:t>L’espace</w:t>
      </w:r>
      <w:r w:rsidRPr="002C4077">
        <w:t xml:space="preserve"> </w:t>
      </w:r>
      <w:r w:rsidRPr="00EF54D3">
        <w:rPr>
          <w:rStyle w:val="italicus"/>
        </w:rPr>
        <w:t>d’un</w:t>
      </w:r>
      <w:r w:rsidRPr="002C4077">
        <w:t xml:space="preserve"> </w:t>
      </w:r>
      <w:r w:rsidRPr="00EF54D3">
        <w:rPr>
          <w:rStyle w:val="italicus"/>
        </w:rPr>
        <w:t>matin.</w:t>
      </w:r>
      <w:r w:rsidRPr="002C4077">
        <w:t xml:space="preserve"> </w:t>
      </w:r>
    </w:p>
    <w:p w:rsidR="000A7AAB" w:rsidRDefault="000A7AAB" w:rsidP="000A7AAB">
      <w:r>
        <w:t>Quand</w:t>
      </w:r>
      <w:r w:rsidRPr="002C4077">
        <w:t xml:space="preserve"> </w:t>
      </w:r>
      <w:r>
        <w:t>les</w:t>
      </w:r>
      <w:r w:rsidRPr="002C4077">
        <w:t xml:space="preserve"> </w:t>
      </w:r>
      <w:r>
        <w:t>inscriptions</w:t>
      </w:r>
      <w:r w:rsidRPr="002C4077">
        <w:t xml:space="preserve"> </w:t>
      </w:r>
      <w:r>
        <w:t>sont</w:t>
      </w:r>
      <w:r w:rsidRPr="002C4077">
        <w:t xml:space="preserve"> </w:t>
      </w:r>
      <w:r>
        <w:t>bilingues,</w:t>
      </w:r>
      <w:r w:rsidRPr="002C4077">
        <w:t xml:space="preserve"> </w:t>
      </w:r>
      <w:r>
        <w:t>c’est-à-dire</w:t>
      </w:r>
      <w:r w:rsidRPr="002C4077">
        <w:t xml:space="preserve"> </w:t>
      </w:r>
      <w:r>
        <w:t>en</w:t>
      </w:r>
      <w:r w:rsidRPr="002C4077">
        <w:t xml:space="preserve"> </w:t>
      </w:r>
      <w:r>
        <w:t>hébreu</w:t>
      </w:r>
      <w:r w:rsidRPr="002C4077">
        <w:t xml:space="preserve"> </w:t>
      </w:r>
      <w:r>
        <w:t>d’abord,</w:t>
      </w:r>
      <w:r w:rsidRPr="002C4077">
        <w:t xml:space="preserve"> </w:t>
      </w:r>
      <w:r>
        <w:t>puis</w:t>
      </w:r>
      <w:r w:rsidRPr="002C4077">
        <w:t xml:space="preserve"> </w:t>
      </w:r>
      <w:r>
        <w:t>en</w:t>
      </w:r>
      <w:r w:rsidRPr="002C4077">
        <w:t xml:space="preserve"> </w:t>
      </w:r>
      <w:r>
        <w:t>français,</w:t>
      </w:r>
      <w:r w:rsidRPr="002C4077">
        <w:t xml:space="preserve"> </w:t>
      </w:r>
      <w:r>
        <w:t>la</w:t>
      </w:r>
      <w:r w:rsidRPr="002C4077">
        <w:t xml:space="preserve"> </w:t>
      </w:r>
      <w:r>
        <w:t>seconde</w:t>
      </w:r>
      <w:r w:rsidRPr="002C4077">
        <w:t xml:space="preserve"> </w:t>
      </w:r>
      <w:r>
        <w:t>n’est</w:t>
      </w:r>
      <w:r w:rsidRPr="002C4077">
        <w:t xml:space="preserve"> </w:t>
      </w:r>
      <w:r>
        <w:t>habituellement</w:t>
      </w:r>
      <w:r w:rsidRPr="002C4077">
        <w:t xml:space="preserve"> </w:t>
      </w:r>
      <w:r>
        <w:t>qu’un</w:t>
      </w:r>
      <w:r w:rsidRPr="002C4077">
        <w:t xml:space="preserve"> </w:t>
      </w:r>
      <w:r>
        <w:t>petit</w:t>
      </w:r>
      <w:r w:rsidRPr="002C4077">
        <w:t xml:space="preserve"> </w:t>
      </w:r>
      <w:r>
        <w:t>résumé</w:t>
      </w:r>
      <w:r w:rsidRPr="002C4077">
        <w:t xml:space="preserve"> </w:t>
      </w:r>
      <w:r>
        <w:t>de</w:t>
      </w:r>
      <w:r w:rsidRPr="002C4077">
        <w:t xml:space="preserve"> </w:t>
      </w:r>
      <w:r>
        <w:t>la</w:t>
      </w:r>
      <w:r w:rsidRPr="002C4077">
        <w:t xml:space="preserve"> </w:t>
      </w:r>
      <w:r>
        <w:t>première,</w:t>
      </w:r>
      <w:r w:rsidRPr="002C4077">
        <w:t xml:space="preserve"> </w:t>
      </w:r>
      <w:r>
        <w:t>qu’elle</w:t>
      </w:r>
      <w:r w:rsidRPr="002C4077">
        <w:t xml:space="preserve"> </w:t>
      </w:r>
      <w:r w:rsidR="00425C50">
        <w:t>est</w:t>
      </w:r>
      <w:r w:rsidRPr="002C4077">
        <w:t xml:space="preserve"> </w:t>
      </w:r>
      <w:r>
        <w:t>loin</w:t>
      </w:r>
      <w:r w:rsidRPr="002C4077">
        <w:t xml:space="preserve"> </w:t>
      </w:r>
      <w:r>
        <w:t>de</w:t>
      </w:r>
      <w:r w:rsidRPr="002C4077">
        <w:t xml:space="preserve"> </w:t>
      </w:r>
      <w:r>
        <w:t>traduire</w:t>
      </w:r>
      <w:r w:rsidRPr="002C4077">
        <w:t xml:space="preserve"> </w:t>
      </w:r>
      <w:r>
        <w:t>d’une</w:t>
      </w:r>
      <w:r w:rsidRPr="002C4077">
        <w:t xml:space="preserve"> </w:t>
      </w:r>
      <w:r>
        <w:t>manière</w:t>
      </w:r>
      <w:r w:rsidRPr="002C4077">
        <w:t xml:space="preserve"> </w:t>
      </w:r>
      <w:r>
        <w:t>littérale</w:t>
      </w:r>
      <w:r w:rsidRPr="002C4077">
        <w:t xml:space="preserve"> </w:t>
      </w:r>
      <w:r>
        <w:t>et</w:t>
      </w:r>
      <w:r w:rsidRPr="002C4077">
        <w:t xml:space="preserve"> </w:t>
      </w:r>
      <w:r>
        <w:t>complète.</w:t>
      </w:r>
      <w:r w:rsidRPr="002C4077">
        <w:t xml:space="preserve"> </w:t>
      </w:r>
      <w:r>
        <w:t>Par</w:t>
      </w:r>
      <w:r w:rsidRPr="002C4077">
        <w:t xml:space="preserve"> </w:t>
      </w:r>
      <w:r>
        <w:t>exemple</w:t>
      </w:r>
      <w:r w:rsidR="00B546AF">
        <w:t> :</w:t>
      </w:r>
      <w:r w:rsidRPr="002C4077">
        <w:t xml:space="preserve"> </w:t>
      </w:r>
    </w:p>
    <w:p w:rsidR="005539D9" w:rsidRDefault="000A7AAB" w:rsidP="005539D9">
      <w:pPr>
        <w:pStyle w:val="locus"/>
      </w:pPr>
      <w:r w:rsidRPr="002C4077">
        <w:t>(</w:t>
      </w:r>
      <w:r>
        <w:t>En</w:t>
      </w:r>
      <w:r w:rsidRPr="002C4077">
        <w:t xml:space="preserve"> </w:t>
      </w:r>
      <w:r>
        <w:t>hébreu.</w:t>
      </w:r>
      <w:r w:rsidR="00B546AF" w:rsidRPr="002C4077">
        <w:t>)</w:t>
      </w:r>
      <w:r w:rsidRPr="002C4077">
        <w:t xml:space="preserve"> </w:t>
      </w:r>
    </w:p>
    <w:p w:rsidR="000A7AAB" w:rsidRDefault="000A7AAB" w:rsidP="000D4F31">
      <w:pPr>
        <w:pStyle w:val="LcCentrum"/>
      </w:pPr>
      <w:r>
        <w:t>Sous</w:t>
      </w:r>
      <w:r w:rsidRPr="002C4077">
        <w:t xml:space="preserve"> </w:t>
      </w:r>
      <w:r>
        <w:t>ces</w:t>
      </w:r>
      <w:r w:rsidRPr="002C4077">
        <w:t xml:space="preserve"> </w:t>
      </w:r>
      <w:r>
        <w:t>mottes</w:t>
      </w:r>
      <w:r w:rsidRPr="002C4077">
        <w:t xml:space="preserve"> </w:t>
      </w:r>
      <w:r>
        <w:t>de</w:t>
      </w:r>
      <w:r w:rsidRPr="002C4077">
        <w:t xml:space="preserve"> </w:t>
      </w:r>
      <w:r>
        <w:t>terre</w:t>
      </w:r>
      <w:r w:rsidRPr="002C4077">
        <w:t xml:space="preserve"> </w:t>
      </w:r>
    </w:p>
    <w:p w:rsidR="00EF54D3" w:rsidRDefault="000A7AAB" w:rsidP="000D4F31">
      <w:pPr>
        <w:pStyle w:val="LcCentrum"/>
      </w:pPr>
      <w:r>
        <w:t>Repose</w:t>
      </w:r>
      <w:r w:rsidRPr="002C4077">
        <w:t xml:space="preserve"> </w:t>
      </w:r>
      <w:r>
        <w:t>l’homme</w:t>
      </w:r>
      <w:r w:rsidRPr="002C4077">
        <w:t xml:space="preserve"> </w:t>
      </w:r>
      <w:r>
        <w:t>excellent,</w:t>
      </w:r>
      <w:r w:rsidRPr="002C4077">
        <w:t xml:space="preserve"> </w:t>
      </w:r>
      <w:r>
        <w:t>qui</w:t>
      </w:r>
      <w:r w:rsidRPr="002C4077">
        <w:t xml:space="preserve"> </w:t>
      </w:r>
      <w:r>
        <w:t>a</w:t>
      </w:r>
      <w:r w:rsidRPr="002C4077">
        <w:t xml:space="preserve"> </w:t>
      </w:r>
      <w:r>
        <w:t>fait</w:t>
      </w:r>
      <w:r w:rsidRPr="002C4077">
        <w:t xml:space="preserve"> </w:t>
      </w:r>
      <w:r>
        <w:t>le</w:t>
      </w:r>
      <w:r w:rsidRPr="002C4077">
        <w:t xml:space="preserve"> </w:t>
      </w:r>
      <w:r>
        <w:t>bien,</w:t>
      </w:r>
      <w:r w:rsidRPr="002C4077">
        <w:t xml:space="preserve"> </w:t>
      </w:r>
    </w:p>
    <w:p w:rsidR="00EF54D3" w:rsidRPr="00EF54D3" w:rsidRDefault="000A7AAB" w:rsidP="000D4F31">
      <w:pPr>
        <w:pStyle w:val="LcCentrum"/>
        <w:rPr>
          <w:rStyle w:val="pm"/>
        </w:rPr>
      </w:pPr>
      <w:r w:rsidRPr="00EF54D3">
        <w:rPr>
          <w:rStyle w:val="pm"/>
        </w:rPr>
        <w:t>Moïse,</w:t>
      </w:r>
      <w:r w:rsidRPr="002C4077">
        <w:t xml:space="preserve"> </w:t>
      </w:r>
      <w:r w:rsidRPr="00EF54D3">
        <w:rPr>
          <w:rStyle w:val="pm"/>
        </w:rPr>
        <w:t>fils</w:t>
      </w:r>
      <w:r w:rsidRPr="002C4077">
        <w:t xml:space="preserve"> </w:t>
      </w:r>
      <w:r w:rsidRPr="00EF54D3">
        <w:rPr>
          <w:rStyle w:val="pm"/>
        </w:rPr>
        <w:t>de</w:t>
      </w:r>
      <w:r w:rsidRPr="002C4077">
        <w:t xml:space="preserve"> </w:t>
      </w:r>
      <w:r w:rsidRPr="00EF54D3">
        <w:rPr>
          <w:rStyle w:val="pm"/>
        </w:rPr>
        <w:t>David</w:t>
      </w:r>
      <w:r w:rsidRPr="002C4077">
        <w:t xml:space="preserve"> </w:t>
      </w:r>
      <w:r w:rsidRPr="00EF54D3">
        <w:rPr>
          <w:rStyle w:val="pm"/>
        </w:rPr>
        <w:t>L.</w:t>
      </w:r>
    </w:p>
    <w:p w:rsidR="00EF54D3" w:rsidRDefault="000A7AAB" w:rsidP="000D4F31">
      <w:pPr>
        <w:pStyle w:val="LcCentrum"/>
      </w:pPr>
      <w:r>
        <w:t>Il</w:t>
      </w:r>
      <w:r w:rsidRPr="002C4077">
        <w:t xml:space="preserve"> </w:t>
      </w:r>
      <w:r>
        <w:t>a</w:t>
      </w:r>
      <w:r w:rsidRPr="002C4077">
        <w:t xml:space="preserve"> </w:t>
      </w:r>
      <w:r>
        <w:t>été</w:t>
      </w:r>
      <w:r w:rsidRPr="002C4077">
        <w:t xml:space="preserve"> </w:t>
      </w:r>
      <w:r>
        <w:t>retranché</w:t>
      </w:r>
      <w:r w:rsidR="00B91AF7">
        <w:rPr>
          <w:rStyle w:val="Appelnotedebasdep"/>
        </w:rPr>
        <w:footnoteReference w:id="885"/>
      </w:r>
      <w:r w:rsidRPr="002C4077">
        <w:t xml:space="preserve"> </w:t>
      </w:r>
      <w:r>
        <w:t>le</w:t>
      </w:r>
      <w:r w:rsidRPr="002C4077">
        <w:t xml:space="preserve"> </w:t>
      </w:r>
      <w:r>
        <w:t>9</w:t>
      </w:r>
      <w:r w:rsidRPr="002C4077">
        <w:t xml:space="preserve"> </w:t>
      </w:r>
      <w:r>
        <w:t>tischri</w:t>
      </w:r>
      <w:r w:rsidRPr="002C4077">
        <w:t xml:space="preserve"> </w:t>
      </w:r>
    </w:p>
    <w:p w:rsidR="000A7AAB" w:rsidRDefault="00EF54D3" w:rsidP="000D4F31">
      <w:pPr>
        <w:pStyle w:val="LcCentrum"/>
      </w:pPr>
      <w:r>
        <w:t>De</w:t>
      </w:r>
      <w:r w:rsidRPr="002C4077">
        <w:t xml:space="preserve"> </w:t>
      </w:r>
      <w:r>
        <w:t>l’année</w:t>
      </w:r>
      <w:r w:rsidRPr="002C4077">
        <w:t xml:space="preserve"> </w:t>
      </w:r>
      <w:r>
        <w:t>5</w:t>
      </w:r>
      <w:r w:rsidR="000A7AAB">
        <w:t>639.</w:t>
      </w:r>
      <w:r w:rsidR="000A7AAB" w:rsidRPr="002C4077">
        <w:t xml:space="preserve"> </w:t>
      </w:r>
    </w:p>
    <w:p w:rsidR="00EF54D3" w:rsidRDefault="00EF54D3" w:rsidP="00EF54D3">
      <w:pPr>
        <w:pStyle w:val="LcCentrum"/>
      </w:pPr>
      <w:r>
        <w:t>—</w:t>
      </w:r>
    </w:p>
    <w:p w:rsidR="005539D9" w:rsidRDefault="000A7AAB" w:rsidP="005539D9">
      <w:pPr>
        <w:pStyle w:val="locus"/>
      </w:pPr>
      <w:r w:rsidRPr="002C4077">
        <w:t>(</w:t>
      </w:r>
      <w:r>
        <w:t>En</w:t>
      </w:r>
      <w:r w:rsidRPr="002C4077">
        <w:t xml:space="preserve"> </w:t>
      </w:r>
      <w:r>
        <w:t>français.</w:t>
      </w:r>
      <w:r w:rsidR="00B546AF" w:rsidRPr="002C4077">
        <w:t>)</w:t>
      </w:r>
      <w:r w:rsidRPr="002C4077">
        <w:t xml:space="preserve"> </w:t>
      </w:r>
    </w:p>
    <w:p w:rsidR="000A7AAB" w:rsidRPr="00EF54D3" w:rsidRDefault="000A7AAB" w:rsidP="000D4F31">
      <w:pPr>
        <w:pStyle w:val="LcCentrum"/>
        <w:rPr>
          <w:rStyle w:val="pm"/>
        </w:rPr>
      </w:pPr>
      <w:r w:rsidRPr="00EF54D3">
        <w:rPr>
          <w:rStyle w:val="pm"/>
        </w:rPr>
        <w:t>Ci-gît</w:t>
      </w:r>
      <w:r w:rsidRPr="002C4077">
        <w:t xml:space="preserve"> </w:t>
      </w:r>
      <w:r w:rsidRPr="00EF54D3">
        <w:rPr>
          <w:rStyle w:val="pm"/>
        </w:rPr>
        <w:t>Henri</w:t>
      </w:r>
      <w:r w:rsidRPr="002C4077">
        <w:t xml:space="preserve"> </w:t>
      </w:r>
      <w:r w:rsidRPr="00EF54D3">
        <w:rPr>
          <w:rStyle w:val="pm"/>
        </w:rPr>
        <w:t>L.,</w:t>
      </w:r>
      <w:r w:rsidRPr="002C4077">
        <w:t xml:space="preserve"> </w:t>
      </w:r>
    </w:p>
    <w:p w:rsidR="00EF54D3" w:rsidRPr="00EF54D3" w:rsidRDefault="000A7AAB" w:rsidP="000D4F31">
      <w:pPr>
        <w:pStyle w:val="LcCentrum"/>
        <w:rPr>
          <w:rStyle w:val="pm"/>
        </w:rPr>
      </w:pPr>
      <w:r w:rsidRPr="00EF54D3">
        <w:rPr>
          <w:rStyle w:val="pm"/>
        </w:rPr>
        <w:t>Fils</w:t>
      </w:r>
      <w:r w:rsidRPr="002C4077">
        <w:t xml:space="preserve"> </w:t>
      </w:r>
      <w:r w:rsidRPr="00EF54D3">
        <w:rPr>
          <w:rStyle w:val="pm"/>
        </w:rPr>
        <w:t>de</w:t>
      </w:r>
      <w:r w:rsidRPr="002C4077">
        <w:t xml:space="preserve"> </w:t>
      </w:r>
      <w:r w:rsidRPr="00EF54D3">
        <w:rPr>
          <w:rStyle w:val="pm"/>
        </w:rPr>
        <w:t>Frédéric</w:t>
      </w:r>
      <w:r w:rsidRPr="002C4077">
        <w:t xml:space="preserve"> </w:t>
      </w:r>
      <w:r w:rsidRPr="00EF54D3">
        <w:rPr>
          <w:rStyle w:val="pm"/>
        </w:rPr>
        <w:t>L.,</w:t>
      </w:r>
      <w:r w:rsidRPr="002C4077">
        <w:t xml:space="preserve"> </w:t>
      </w:r>
    </w:p>
    <w:p w:rsidR="00EF54D3" w:rsidRDefault="000A7AAB" w:rsidP="000D4F31">
      <w:pPr>
        <w:pStyle w:val="LcCentrum"/>
      </w:pPr>
      <w:r>
        <w:t>Né</w:t>
      </w:r>
      <w:r w:rsidRPr="002C4077">
        <w:t xml:space="preserve"> </w:t>
      </w:r>
      <w:r>
        <w:t>le</w:t>
      </w:r>
      <w:r w:rsidRPr="002C4077">
        <w:t xml:space="preserve"> </w:t>
      </w:r>
      <w:r>
        <w:t>25</w:t>
      </w:r>
      <w:r w:rsidRPr="002C4077">
        <w:t xml:space="preserve"> </w:t>
      </w:r>
      <w:r>
        <w:t>juin</w:t>
      </w:r>
      <w:r w:rsidRPr="002C4077">
        <w:t xml:space="preserve"> </w:t>
      </w:r>
      <w:r>
        <w:t>1843,</w:t>
      </w:r>
      <w:r w:rsidRPr="002C4077">
        <w:t xml:space="preserve"> </w:t>
      </w:r>
    </w:p>
    <w:p w:rsidR="000A7AAB" w:rsidRPr="005E2129" w:rsidRDefault="000A7AAB" w:rsidP="000D4F31">
      <w:pPr>
        <w:pStyle w:val="LcCentrum"/>
      </w:pPr>
      <w:r>
        <w:t>Décédé</w:t>
      </w:r>
      <w:r w:rsidRPr="002C4077">
        <w:t xml:space="preserve"> </w:t>
      </w:r>
      <w:r>
        <w:t>en</w:t>
      </w:r>
      <w:r w:rsidRPr="002C4077">
        <w:t xml:space="preserve"> </w:t>
      </w:r>
      <w:r>
        <w:t>octobre</w:t>
      </w:r>
      <w:r w:rsidRPr="002C4077">
        <w:t xml:space="preserve"> </w:t>
      </w:r>
      <w:r>
        <w:t>1879.</w:t>
      </w:r>
      <w:r w:rsidR="00C45B47">
        <w:t xml:space="preserve"> {</w:t>
      </w:r>
      <w:r w:rsidR="005E2129">
        <w:t>295</w:t>
      </w:r>
      <w:bookmarkStart w:id="721" w:name="p295"/>
      <w:bookmarkEnd w:id="721"/>
      <w:r w:rsidR="005E2129">
        <w:t xml:space="preserve">} </w:t>
      </w:r>
    </w:p>
    <w:p w:rsidR="000A7AAB" w:rsidRDefault="000A7AAB" w:rsidP="000A7AAB">
      <w:r>
        <w:t>Le</w:t>
      </w:r>
      <w:r w:rsidRPr="002C4077">
        <w:t xml:space="preserve"> </w:t>
      </w:r>
      <w:r>
        <w:t>lecteur</w:t>
      </w:r>
      <w:r w:rsidRPr="002C4077">
        <w:t xml:space="preserve"> </w:t>
      </w:r>
      <w:r>
        <w:t>aura</w:t>
      </w:r>
      <w:r w:rsidRPr="002C4077">
        <w:t xml:space="preserve"> </w:t>
      </w:r>
      <w:r>
        <w:t>sans</w:t>
      </w:r>
      <w:r w:rsidRPr="002C4077">
        <w:t xml:space="preserve"> </w:t>
      </w:r>
      <w:r>
        <w:t>doute</w:t>
      </w:r>
      <w:r w:rsidRPr="002C4077">
        <w:t xml:space="preserve"> </w:t>
      </w:r>
      <w:r>
        <w:t>remarqué</w:t>
      </w:r>
      <w:r w:rsidRPr="002C4077">
        <w:t xml:space="preserve"> </w:t>
      </w:r>
      <w:r>
        <w:t>la</w:t>
      </w:r>
      <w:r w:rsidRPr="002C4077">
        <w:t xml:space="preserve"> </w:t>
      </w:r>
      <w:r>
        <w:t>différence</w:t>
      </w:r>
      <w:r w:rsidRPr="002C4077">
        <w:t xml:space="preserve"> </w:t>
      </w:r>
      <w:r>
        <w:t>des</w:t>
      </w:r>
      <w:r w:rsidRPr="002C4077">
        <w:t xml:space="preserve"> </w:t>
      </w:r>
      <w:r>
        <w:t>prénoms</w:t>
      </w:r>
      <w:r w:rsidRPr="002C4077">
        <w:t xml:space="preserve"> </w:t>
      </w:r>
      <w:r>
        <w:t>dans</w:t>
      </w:r>
      <w:r w:rsidRPr="002C4077">
        <w:t xml:space="preserve"> </w:t>
      </w:r>
      <w:r>
        <w:t>les</w:t>
      </w:r>
      <w:r w:rsidRPr="002C4077">
        <w:t xml:space="preserve"> </w:t>
      </w:r>
      <w:r>
        <w:t>deux</w:t>
      </w:r>
      <w:r w:rsidRPr="002C4077">
        <w:t xml:space="preserve"> </w:t>
      </w:r>
      <w:r>
        <w:t>inscriptions.</w:t>
      </w:r>
      <w:r w:rsidRPr="002C4077">
        <w:t xml:space="preserve"> </w:t>
      </w:r>
      <w:r>
        <w:t>D’une</w:t>
      </w:r>
      <w:r w:rsidRPr="002C4077">
        <w:t xml:space="preserve"> </w:t>
      </w:r>
      <w:r>
        <w:t>part</w:t>
      </w:r>
      <w:r w:rsidRPr="002C4077">
        <w:t xml:space="preserve"> </w:t>
      </w:r>
      <w:r>
        <w:t>le</w:t>
      </w:r>
      <w:r w:rsidRPr="002C4077">
        <w:t xml:space="preserve"> </w:t>
      </w:r>
      <w:r>
        <w:t>défunt</w:t>
      </w:r>
      <w:r w:rsidRPr="002C4077">
        <w:t xml:space="preserve"> </w:t>
      </w:r>
      <w:r w:rsidR="00425C50">
        <w:t>est</w:t>
      </w:r>
      <w:r w:rsidRPr="002C4077">
        <w:t xml:space="preserve"> </w:t>
      </w:r>
      <w:r>
        <w:t>appelé</w:t>
      </w:r>
      <w:r w:rsidRPr="002C4077">
        <w:t xml:space="preserve"> </w:t>
      </w:r>
      <w:r>
        <w:t>Moïse,</w:t>
      </w:r>
      <w:r w:rsidRPr="002C4077">
        <w:t xml:space="preserve"> </w:t>
      </w:r>
      <w:r>
        <w:t>et</w:t>
      </w:r>
      <w:r w:rsidRPr="002C4077">
        <w:t xml:space="preserve"> </w:t>
      </w:r>
      <w:r>
        <w:t>son</w:t>
      </w:r>
      <w:r w:rsidRPr="002C4077">
        <w:t xml:space="preserve"> </w:t>
      </w:r>
      <w:r>
        <w:t>père</w:t>
      </w:r>
      <w:r w:rsidRPr="002C4077">
        <w:t xml:space="preserve"> </w:t>
      </w:r>
      <w:r>
        <w:t>David</w:t>
      </w:r>
      <w:r w:rsidR="00B546AF">
        <w:t> ;</w:t>
      </w:r>
      <w:r w:rsidRPr="002C4077">
        <w:t xml:space="preserve"> </w:t>
      </w:r>
      <w:r>
        <w:t>de</w:t>
      </w:r>
      <w:r w:rsidRPr="002C4077">
        <w:t xml:space="preserve"> </w:t>
      </w:r>
      <w:r>
        <w:t>l’autre,</w:t>
      </w:r>
      <w:r w:rsidRPr="002C4077">
        <w:t xml:space="preserve"> </w:t>
      </w:r>
      <w:r w:rsidR="003B53FD">
        <w:t>celui</w:t>
      </w:r>
      <w:r>
        <w:t>-ci</w:t>
      </w:r>
      <w:r w:rsidRPr="002C4077">
        <w:t xml:space="preserve"> </w:t>
      </w:r>
      <w:r w:rsidR="00425C50">
        <w:t>est</w:t>
      </w:r>
      <w:r w:rsidRPr="002C4077">
        <w:t xml:space="preserve"> </w:t>
      </w:r>
      <w:r>
        <w:t>nommé</w:t>
      </w:r>
      <w:r w:rsidRPr="002C4077">
        <w:t xml:space="preserve"> </w:t>
      </w:r>
      <w:r>
        <w:t>Frédéric</w:t>
      </w:r>
      <w:r w:rsidRPr="002C4077">
        <w:t xml:space="preserve"> </w:t>
      </w:r>
      <w:r>
        <w:t>et</w:t>
      </w:r>
      <w:r w:rsidRPr="002C4077">
        <w:t xml:space="preserve"> </w:t>
      </w:r>
      <w:r w:rsidR="003B53FD">
        <w:t>celui</w:t>
      </w:r>
      <w:r>
        <w:t>-là</w:t>
      </w:r>
      <w:r w:rsidRPr="002C4077">
        <w:t xml:space="preserve"> </w:t>
      </w:r>
      <w:r>
        <w:t>Henri.</w:t>
      </w:r>
      <w:r w:rsidRPr="002C4077">
        <w:t xml:space="preserve"> </w:t>
      </w:r>
      <w:r>
        <w:t>Les</w:t>
      </w:r>
      <w:r w:rsidRPr="002C4077">
        <w:t xml:space="preserve"> </w:t>
      </w:r>
      <w:r>
        <w:t>cas</w:t>
      </w:r>
      <w:r w:rsidRPr="002C4077">
        <w:t xml:space="preserve"> </w:t>
      </w:r>
      <w:r>
        <w:t>de</w:t>
      </w:r>
      <w:r w:rsidRPr="002C4077">
        <w:t xml:space="preserve"> </w:t>
      </w:r>
      <w:r>
        <w:t>ce</w:t>
      </w:r>
      <w:r w:rsidRPr="002C4077">
        <w:t xml:space="preserve"> </w:t>
      </w:r>
      <w:r>
        <w:t>genre</w:t>
      </w:r>
      <w:r w:rsidRPr="002C4077">
        <w:t xml:space="preserve"> </w:t>
      </w:r>
      <w:r>
        <w:t>ne</w:t>
      </w:r>
      <w:r w:rsidRPr="002C4077">
        <w:t xml:space="preserve"> </w:t>
      </w:r>
      <w:r>
        <w:t>sont</w:t>
      </w:r>
      <w:r w:rsidRPr="002C4077">
        <w:t xml:space="preserve"> </w:t>
      </w:r>
      <w:r>
        <w:t>pas</w:t>
      </w:r>
      <w:r w:rsidRPr="002C4077">
        <w:t xml:space="preserve"> </w:t>
      </w:r>
      <w:r>
        <w:t>rares,</w:t>
      </w:r>
      <w:r w:rsidRPr="002C4077">
        <w:t xml:space="preserve"> </w:t>
      </w:r>
      <w:r>
        <w:t>du</w:t>
      </w:r>
      <w:r w:rsidRPr="002C4077">
        <w:t xml:space="preserve"> </w:t>
      </w:r>
      <w:r>
        <w:t>moins</w:t>
      </w:r>
      <w:r w:rsidRPr="002C4077">
        <w:t xml:space="preserve"> </w:t>
      </w:r>
      <w:r>
        <w:t>chez</w:t>
      </w:r>
      <w:r w:rsidRPr="002C4077">
        <w:t xml:space="preserve"> </w:t>
      </w:r>
      <w:r>
        <w:t>les</w:t>
      </w:r>
      <w:r w:rsidRPr="002C4077">
        <w:t xml:space="preserve"> </w:t>
      </w:r>
      <w:r>
        <w:t>Juifs</w:t>
      </w:r>
      <w:r w:rsidRPr="002C4077">
        <w:t xml:space="preserve"> </w:t>
      </w:r>
      <w:r>
        <w:t>de</w:t>
      </w:r>
      <w:r w:rsidRPr="002C4077">
        <w:t xml:space="preserve"> </w:t>
      </w:r>
      <w:r>
        <w:t>nos</w:t>
      </w:r>
      <w:r w:rsidRPr="002C4077">
        <w:t xml:space="preserve"> </w:t>
      </w:r>
      <w:r>
        <w:t>contrées.</w:t>
      </w:r>
      <w:r w:rsidRPr="002C4077">
        <w:t xml:space="preserve"> </w:t>
      </w:r>
      <w:r>
        <w:t>Ils</w:t>
      </w:r>
      <w:r w:rsidRPr="002C4077">
        <w:t xml:space="preserve"> </w:t>
      </w:r>
      <w:r>
        <w:t>ont</w:t>
      </w:r>
      <w:r w:rsidRPr="002C4077">
        <w:t xml:space="preserve"> </w:t>
      </w:r>
      <w:r>
        <w:t>fréquemment</w:t>
      </w:r>
      <w:r w:rsidRPr="002C4077">
        <w:t xml:space="preserve"> </w:t>
      </w:r>
      <w:r>
        <w:t>deux</w:t>
      </w:r>
      <w:r w:rsidRPr="002C4077">
        <w:t xml:space="preserve"> </w:t>
      </w:r>
      <w:r>
        <w:t>prénoms</w:t>
      </w:r>
      <w:r w:rsidRPr="002C4077">
        <w:t xml:space="preserve"> </w:t>
      </w:r>
      <w:r>
        <w:t>distincts,</w:t>
      </w:r>
      <w:r w:rsidRPr="002C4077">
        <w:t xml:space="preserve"> </w:t>
      </w:r>
      <w:r>
        <w:t>l’un</w:t>
      </w:r>
      <w:r w:rsidRPr="002C4077">
        <w:t xml:space="preserve"> </w:t>
      </w:r>
      <w:r>
        <w:t>tiré</w:t>
      </w:r>
      <w:r w:rsidRPr="002C4077">
        <w:t xml:space="preserve"> </w:t>
      </w:r>
      <w:r>
        <w:t>de</w:t>
      </w:r>
      <w:r w:rsidRPr="002C4077">
        <w:t xml:space="preserve"> </w:t>
      </w:r>
      <w:r>
        <w:t>la</w:t>
      </w:r>
      <w:r w:rsidRPr="002C4077">
        <w:t xml:space="preserve"> </w:t>
      </w:r>
      <w:r>
        <w:t>Bible</w:t>
      </w:r>
      <w:r w:rsidRPr="002C4077">
        <w:t xml:space="preserve"> </w:t>
      </w:r>
      <w:r>
        <w:t>hébraïque,</w:t>
      </w:r>
      <w:r w:rsidRPr="002C4077">
        <w:t xml:space="preserve"> </w:t>
      </w:r>
      <w:r>
        <w:t>l’autre</w:t>
      </w:r>
      <w:r w:rsidRPr="002C4077">
        <w:t xml:space="preserve"> </w:t>
      </w:r>
      <w:r>
        <w:t>emprunté</w:t>
      </w:r>
      <w:r w:rsidRPr="002C4077">
        <w:t xml:space="preserve"> </w:t>
      </w:r>
      <w:r>
        <w:t>au</w:t>
      </w:r>
      <w:r w:rsidRPr="002C4077">
        <w:t xml:space="preserve"> </w:t>
      </w:r>
      <w:r>
        <w:t>christianisme.</w:t>
      </w:r>
      <w:r w:rsidRPr="002C4077">
        <w:t xml:space="preserve"> </w:t>
      </w:r>
      <w:r>
        <w:t>Le</w:t>
      </w:r>
      <w:r w:rsidRPr="002C4077">
        <w:t xml:space="preserve"> </w:t>
      </w:r>
      <w:r>
        <w:t>premier</w:t>
      </w:r>
      <w:r w:rsidRPr="002C4077">
        <w:t xml:space="preserve"> </w:t>
      </w:r>
      <w:r>
        <w:t>n’est</w:t>
      </w:r>
      <w:r w:rsidRPr="002C4077">
        <w:t xml:space="preserve"> </w:t>
      </w:r>
      <w:r>
        <w:t>guère</w:t>
      </w:r>
      <w:r w:rsidRPr="002C4077">
        <w:t xml:space="preserve"> </w:t>
      </w:r>
      <w:r>
        <w:t>employé</w:t>
      </w:r>
      <w:r w:rsidRPr="002C4077">
        <w:t xml:space="preserve"> </w:t>
      </w:r>
      <w:r>
        <w:t>que</w:t>
      </w:r>
      <w:r w:rsidRPr="002C4077">
        <w:t xml:space="preserve"> </w:t>
      </w:r>
      <w:r>
        <w:t>dans</w:t>
      </w:r>
      <w:r w:rsidRPr="002C4077">
        <w:t xml:space="preserve"> </w:t>
      </w:r>
      <w:r>
        <w:t>les</w:t>
      </w:r>
      <w:r w:rsidRPr="002C4077">
        <w:t xml:space="preserve"> </w:t>
      </w:r>
      <w:r>
        <w:t>circonstances</w:t>
      </w:r>
      <w:r w:rsidRPr="002C4077">
        <w:t xml:space="preserve"> </w:t>
      </w:r>
      <w:r>
        <w:t>religieuses</w:t>
      </w:r>
      <w:r w:rsidR="00B546AF">
        <w:t> ;</w:t>
      </w:r>
      <w:r w:rsidRPr="002C4077">
        <w:t xml:space="preserve"> </w:t>
      </w:r>
      <w:r>
        <w:t>le</w:t>
      </w:r>
      <w:r w:rsidRPr="002C4077">
        <w:t xml:space="preserve"> </w:t>
      </w:r>
      <w:r>
        <w:t>second</w:t>
      </w:r>
      <w:r w:rsidRPr="002C4077">
        <w:t xml:space="preserve"> </w:t>
      </w:r>
      <w:r>
        <w:t>sert</w:t>
      </w:r>
      <w:r w:rsidRPr="002C4077">
        <w:t xml:space="preserve"> </w:t>
      </w:r>
      <w:r>
        <w:t>au</w:t>
      </w:r>
      <w:r w:rsidRPr="002C4077">
        <w:t xml:space="preserve"> </w:t>
      </w:r>
      <w:r>
        <w:t>contraire</w:t>
      </w:r>
      <w:r w:rsidRPr="002C4077">
        <w:t xml:space="preserve"> </w:t>
      </w:r>
      <w:r>
        <w:t>pour</w:t>
      </w:r>
      <w:r w:rsidRPr="002C4077">
        <w:t xml:space="preserve"> </w:t>
      </w:r>
      <w:r>
        <w:t>l’usage</w:t>
      </w:r>
      <w:r w:rsidRPr="002C4077">
        <w:t xml:space="preserve"> </w:t>
      </w:r>
      <w:r>
        <w:t>commun</w:t>
      </w:r>
      <w:r w:rsidRPr="002C4077">
        <w:t xml:space="preserve"> </w:t>
      </w:r>
      <w:r>
        <w:t>de</w:t>
      </w:r>
      <w:r w:rsidRPr="002C4077">
        <w:t xml:space="preserve"> </w:t>
      </w:r>
      <w:r>
        <w:t>la</w:t>
      </w:r>
      <w:r w:rsidRPr="002C4077">
        <w:t xml:space="preserve"> </w:t>
      </w:r>
      <w:r>
        <w:t>vie,</w:t>
      </w:r>
      <w:r w:rsidRPr="002C4077">
        <w:t xml:space="preserve"> </w:t>
      </w:r>
      <w:r>
        <w:t>et</w:t>
      </w:r>
      <w:r w:rsidRPr="002C4077">
        <w:t xml:space="preserve"> </w:t>
      </w:r>
      <w:r>
        <w:t>a</w:t>
      </w:r>
      <w:r w:rsidRPr="002C4077">
        <w:t xml:space="preserve"> </w:t>
      </w:r>
      <w:r>
        <w:t>évidemment</w:t>
      </w:r>
      <w:r w:rsidRPr="002C4077">
        <w:t xml:space="preserve"> </w:t>
      </w:r>
      <w:r>
        <w:t>pour</w:t>
      </w:r>
      <w:r w:rsidRPr="002C4077">
        <w:t xml:space="preserve"> </w:t>
      </w:r>
      <w:r>
        <w:t>but</w:t>
      </w:r>
      <w:r w:rsidRPr="002C4077">
        <w:t xml:space="preserve"> </w:t>
      </w:r>
      <w:r>
        <w:t>de</w:t>
      </w:r>
      <w:r w:rsidRPr="002C4077">
        <w:t xml:space="preserve"> </w:t>
      </w:r>
      <w:r>
        <w:t>dissimuler</w:t>
      </w:r>
      <w:r w:rsidRPr="002C4077">
        <w:t xml:space="preserve"> </w:t>
      </w:r>
      <w:r>
        <w:t>une</w:t>
      </w:r>
      <w:r w:rsidRPr="002C4077">
        <w:t xml:space="preserve"> </w:t>
      </w:r>
      <w:r>
        <w:t>origine</w:t>
      </w:r>
      <w:r w:rsidRPr="002C4077">
        <w:t xml:space="preserve"> </w:t>
      </w:r>
      <w:r>
        <w:t>dont</w:t>
      </w:r>
      <w:r w:rsidRPr="002C4077">
        <w:t xml:space="preserve"> </w:t>
      </w:r>
      <w:r>
        <w:t>on</w:t>
      </w:r>
      <w:r w:rsidRPr="002C4077">
        <w:t xml:space="preserve"> </w:t>
      </w:r>
      <w:r>
        <w:t>n’est</w:t>
      </w:r>
      <w:r w:rsidRPr="002C4077">
        <w:t xml:space="preserve"> </w:t>
      </w:r>
      <w:r>
        <w:t>pas</w:t>
      </w:r>
      <w:r w:rsidRPr="002C4077">
        <w:t xml:space="preserve"> </w:t>
      </w:r>
      <w:r>
        <w:t>toujours</w:t>
      </w:r>
      <w:r w:rsidRPr="002C4077">
        <w:t xml:space="preserve"> </w:t>
      </w:r>
      <w:r>
        <w:t>très</w:t>
      </w:r>
      <w:r w:rsidRPr="002C4077">
        <w:t xml:space="preserve"> </w:t>
      </w:r>
      <w:r>
        <w:t>fier</w:t>
      </w:r>
      <w:r w:rsidRPr="002C4077">
        <w:t xml:space="preserve"> </w:t>
      </w:r>
      <w:r>
        <w:t>par</w:t>
      </w:r>
      <w:r w:rsidRPr="002C4077">
        <w:t xml:space="preserve"> </w:t>
      </w:r>
      <w:r>
        <w:t>ces</w:t>
      </w:r>
      <w:r w:rsidRPr="002C4077">
        <w:t xml:space="preserve"> </w:t>
      </w:r>
      <w:r>
        <w:t>temps</w:t>
      </w:r>
      <w:r w:rsidRPr="002C4077">
        <w:t xml:space="preserve"> </w:t>
      </w:r>
      <w:r>
        <w:t>de</w:t>
      </w:r>
      <w:r w:rsidRPr="002C4077">
        <w:t xml:space="preserve"> </w:t>
      </w:r>
      <w:r>
        <w:t>scepticisme</w:t>
      </w:r>
      <w:r w:rsidRPr="002C4077">
        <w:t xml:space="preserve"> </w:t>
      </w:r>
      <w:r>
        <w:t>et</w:t>
      </w:r>
      <w:r w:rsidRPr="002C4077">
        <w:t xml:space="preserve"> </w:t>
      </w:r>
      <w:r>
        <w:t>de</w:t>
      </w:r>
      <w:r w:rsidRPr="002C4077">
        <w:t xml:space="preserve"> </w:t>
      </w:r>
      <w:r>
        <w:t>rationalisme.</w:t>
      </w:r>
      <w:r w:rsidRPr="002C4077">
        <w:t xml:space="preserve"> </w:t>
      </w:r>
      <w:r>
        <w:t>Il</w:t>
      </w:r>
      <w:r w:rsidRPr="002C4077">
        <w:t xml:space="preserve"> </w:t>
      </w:r>
      <w:r>
        <w:t>faut</w:t>
      </w:r>
      <w:r w:rsidRPr="002C4077">
        <w:t xml:space="preserve"> </w:t>
      </w:r>
      <w:r>
        <w:t>être</w:t>
      </w:r>
      <w:r w:rsidRPr="002C4077">
        <w:t xml:space="preserve"> </w:t>
      </w:r>
      <w:r>
        <w:t>un</w:t>
      </w:r>
      <w:r w:rsidRPr="002C4077">
        <w:t xml:space="preserve"> </w:t>
      </w:r>
      <w:r>
        <w:t>bon</w:t>
      </w:r>
      <w:r w:rsidRPr="002C4077">
        <w:t xml:space="preserve"> </w:t>
      </w:r>
      <w:r>
        <w:t>paysan</w:t>
      </w:r>
      <w:r w:rsidRPr="002C4077">
        <w:t xml:space="preserve"> </w:t>
      </w:r>
      <w:r>
        <w:t>israélite</w:t>
      </w:r>
      <w:r w:rsidRPr="002C4077">
        <w:t xml:space="preserve"> </w:t>
      </w:r>
      <w:r>
        <w:t>de</w:t>
      </w:r>
      <w:r w:rsidRPr="002C4077">
        <w:t xml:space="preserve"> </w:t>
      </w:r>
      <w:r>
        <w:t>la</w:t>
      </w:r>
      <w:r w:rsidRPr="002C4077">
        <w:t xml:space="preserve"> </w:t>
      </w:r>
      <w:r>
        <w:t>Bohême,</w:t>
      </w:r>
      <w:r w:rsidRPr="002C4077">
        <w:t xml:space="preserve"> </w:t>
      </w:r>
      <w:r>
        <w:t>de</w:t>
      </w:r>
      <w:r w:rsidRPr="002C4077">
        <w:t xml:space="preserve"> </w:t>
      </w:r>
      <w:r>
        <w:t>l’Alsace,</w:t>
      </w:r>
      <w:r w:rsidRPr="002C4077">
        <w:t xml:space="preserve"> </w:t>
      </w:r>
      <w:r>
        <w:t>ou</w:t>
      </w:r>
      <w:r w:rsidRPr="002C4077">
        <w:t xml:space="preserve"> </w:t>
      </w:r>
      <w:r>
        <w:t>de</w:t>
      </w:r>
      <w:r w:rsidRPr="002C4077">
        <w:t xml:space="preserve"> </w:t>
      </w:r>
      <w:r>
        <w:t>la</w:t>
      </w:r>
      <w:r w:rsidRPr="002C4077">
        <w:t xml:space="preserve"> </w:t>
      </w:r>
      <w:r>
        <w:t>Pologne,</w:t>
      </w:r>
      <w:r w:rsidRPr="002C4077">
        <w:t xml:space="preserve"> </w:t>
      </w:r>
      <w:r>
        <w:t>pour</w:t>
      </w:r>
      <w:r w:rsidRPr="002C4077">
        <w:t xml:space="preserve"> </w:t>
      </w:r>
      <w:r>
        <w:t>s’appeler</w:t>
      </w:r>
      <w:r w:rsidRPr="002C4077">
        <w:t xml:space="preserve"> </w:t>
      </w:r>
      <w:r>
        <w:t>Aaron,</w:t>
      </w:r>
      <w:r w:rsidRPr="002C4077">
        <w:t xml:space="preserve"> </w:t>
      </w:r>
      <w:r>
        <w:t>Abraham,</w:t>
      </w:r>
      <w:r w:rsidRPr="002C4077">
        <w:t xml:space="preserve"> </w:t>
      </w:r>
      <w:r>
        <w:t>Nathan</w:t>
      </w:r>
      <w:r w:rsidR="00B546AF">
        <w:t> :</w:t>
      </w:r>
      <w:r w:rsidRPr="002C4077">
        <w:t xml:space="preserve"> </w:t>
      </w:r>
      <w:r>
        <w:t>les</w:t>
      </w:r>
      <w:r w:rsidRPr="002C4077">
        <w:t xml:space="preserve"> </w:t>
      </w:r>
      <w:r>
        <w:t>citadins</w:t>
      </w:r>
      <w:r w:rsidRPr="002C4077">
        <w:t xml:space="preserve"> </w:t>
      </w:r>
      <w:r>
        <w:t>se</w:t>
      </w:r>
      <w:r w:rsidRPr="002C4077">
        <w:t xml:space="preserve"> </w:t>
      </w:r>
      <w:r>
        <w:t>font</w:t>
      </w:r>
      <w:r w:rsidRPr="002C4077">
        <w:t xml:space="preserve"> </w:t>
      </w:r>
      <w:r>
        <w:t>nommer</w:t>
      </w:r>
      <w:r w:rsidRPr="002C4077">
        <w:t xml:space="preserve"> </w:t>
      </w:r>
      <w:r>
        <w:t>Albert,</w:t>
      </w:r>
      <w:r w:rsidRPr="002C4077">
        <w:t xml:space="preserve"> </w:t>
      </w:r>
      <w:r>
        <w:t>Jules,</w:t>
      </w:r>
      <w:r w:rsidRPr="002C4077">
        <w:t xml:space="preserve"> </w:t>
      </w:r>
      <w:r>
        <w:t>Henri.</w:t>
      </w:r>
      <w:r w:rsidRPr="002C4077">
        <w:t xml:space="preserve"> </w:t>
      </w:r>
      <w:r>
        <w:t>De</w:t>
      </w:r>
      <w:r w:rsidRPr="002C4077">
        <w:t xml:space="preserve"> </w:t>
      </w:r>
      <w:r>
        <w:t>même,</w:t>
      </w:r>
      <w:r w:rsidRPr="002C4077">
        <w:t xml:space="preserve"> </w:t>
      </w:r>
      <w:r>
        <w:t>ou</w:t>
      </w:r>
      <w:r w:rsidRPr="002C4077">
        <w:t xml:space="preserve"> </w:t>
      </w:r>
      <w:r>
        <w:t>plutôt</w:t>
      </w:r>
      <w:r w:rsidRPr="002C4077">
        <w:t xml:space="preserve"> </w:t>
      </w:r>
      <w:r w:rsidRPr="000A34B5">
        <w:rPr>
          <w:rStyle w:val="italicus"/>
        </w:rPr>
        <w:t>a</w:t>
      </w:r>
      <w:r w:rsidRPr="002C4077">
        <w:t xml:space="preserve"> </w:t>
      </w:r>
      <w:r w:rsidRPr="000A34B5">
        <w:rPr>
          <w:rStyle w:val="italicus"/>
        </w:rPr>
        <w:t>fort</w:t>
      </w:r>
      <w:r w:rsidR="003B53FD" w:rsidRPr="000A34B5">
        <w:rPr>
          <w:rStyle w:val="italicus"/>
        </w:rPr>
        <w:t>i</w:t>
      </w:r>
      <w:r w:rsidR="003B53FD">
        <w:rPr>
          <w:rStyle w:val="italicus"/>
        </w:rPr>
        <w:t>ó</w:t>
      </w:r>
      <w:r w:rsidR="003B53FD" w:rsidRPr="000A34B5">
        <w:rPr>
          <w:rStyle w:val="italicus"/>
        </w:rPr>
        <w:t>ri</w:t>
      </w:r>
      <w:r w:rsidRPr="000A34B5">
        <w:rPr>
          <w:rStyle w:val="italicus"/>
        </w:rPr>
        <w:t>,</w:t>
      </w:r>
      <w:r w:rsidRPr="002C4077">
        <w:t xml:space="preserve"> </w:t>
      </w:r>
      <w:r>
        <w:t>pour</w:t>
      </w:r>
      <w:r w:rsidRPr="002C4077">
        <w:t xml:space="preserve"> </w:t>
      </w:r>
      <w:r>
        <w:t>les</w:t>
      </w:r>
      <w:r w:rsidRPr="002C4077">
        <w:t xml:space="preserve"> </w:t>
      </w:r>
      <w:r>
        <w:t>femmes.</w:t>
      </w:r>
      <w:r w:rsidRPr="002C4077">
        <w:t xml:space="preserve"> </w:t>
      </w:r>
    </w:p>
    <w:p w:rsidR="000A7AAB" w:rsidRDefault="000A7AAB" w:rsidP="000A7AAB">
      <w:r>
        <w:t>Les</w:t>
      </w:r>
      <w:r w:rsidRPr="002C4077">
        <w:t xml:space="preserve"> </w:t>
      </w:r>
      <w:r>
        <w:t>épitaphes</w:t>
      </w:r>
      <w:r w:rsidRPr="002C4077">
        <w:t xml:space="preserve"> </w:t>
      </w:r>
      <w:r>
        <w:t>purement</w:t>
      </w:r>
      <w:r w:rsidRPr="002C4077">
        <w:t xml:space="preserve"> </w:t>
      </w:r>
      <w:r>
        <w:t>hébraïques</w:t>
      </w:r>
      <w:r w:rsidRPr="002C4077">
        <w:t xml:space="preserve"> </w:t>
      </w:r>
      <w:r>
        <w:t>sont</w:t>
      </w:r>
      <w:r w:rsidRPr="002C4077">
        <w:t xml:space="preserve"> </w:t>
      </w:r>
      <w:r>
        <w:t>de</w:t>
      </w:r>
      <w:r w:rsidRPr="002C4077">
        <w:t xml:space="preserve"> </w:t>
      </w:r>
      <w:r>
        <w:t>beaucoup</w:t>
      </w:r>
      <w:r w:rsidRPr="002C4077">
        <w:t xml:space="preserve"> </w:t>
      </w:r>
      <w:r>
        <w:t>les</w:t>
      </w:r>
      <w:r w:rsidRPr="002C4077">
        <w:t xml:space="preserve"> </w:t>
      </w:r>
      <w:r>
        <w:t>plus</w:t>
      </w:r>
      <w:r w:rsidRPr="002C4077">
        <w:t xml:space="preserve"> </w:t>
      </w:r>
      <w:r>
        <w:t>intéressantes,</w:t>
      </w:r>
      <w:r w:rsidRPr="002C4077">
        <w:t xml:space="preserve"> </w:t>
      </w:r>
      <w:r>
        <w:t>parce</w:t>
      </w:r>
      <w:r w:rsidRPr="002C4077">
        <w:t xml:space="preserve"> </w:t>
      </w:r>
      <w:r>
        <w:t>qu’elles</w:t>
      </w:r>
      <w:r w:rsidRPr="002C4077">
        <w:t xml:space="preserve"> </w:t>
      </w:r>
      <w:r>
        <w:t>revêtent</w:t>
      </w:r>
      <w:r w:rsidRPr="002C4077">
        <w:t xml:space="preserve"> </w:t>
      </w:r>
      <w:r>
        <w:t>la</w:t>
      </w:r>
      <w:r w:rsidRPr="002C4077">
        <w:t xml:space="preserve"> </w:t>
      </w:r>
      <w:r>
        <w:t>vraie</w:t>
      </w:r>
      <w:r w:rsidRPr="002C4077">
        <w:t xml:space="preserve"> </w:t>
      </w:r>
      <w:r>
        <w:t>couleur</w:t>
      </w:r>
      <w:r w:rsidRPr="002C4077">
        <w:t xml:space="preserve"> </w:t>
      </w:r>
      <w:r>
        <w:t>juive,</w:t>
      </w:r>
      <w:r w:rsidRPr="002C4077">
        <w:t xml:space="preserve"> </w:t>
      </w:r>
      <w:r>
        <w:t>entourées</w:t>
      </w:r>
      <w:r w:rsidRPr="002C4077">
        <w:t xml:space="preserve"> </w:t>
      </w:r>
      <w:r>
        <w:t>qu’elles</w:t>
      </w:r>
      <w:r w:rsidRPr="002C4077">
        <w:t xml:space="preserve"> </w:t>
      </w:r>
      <w:r>
        <w:t>sont</w:t>
      </w:r>
      <w:r w:rsidRPr="002C4077">
        <w:t xml:space="preserve"> </w:t>
      </w:r>
      <w:r>
        <w:t>de</w:t>
      </w:r>
      <w:r w:rsidRPr="002C4077">
        <w:t xml:space="preserve"> </w:t>
      </w:r>
      <w:r>
        <w:t>formules</w:t>
      </w:r>
      <w:r w:rsidRPr="002C4077">
        <w:t xml:space="preserve"> </w:t>
      </w:r>
      <w:r>
        <w:t>traditionnelles</w:t>
      </w:r>
      <w:r w:rsidRPr="002C4077">
        <w:t xml:space="preserve"> </w:t>
      </w:r>
      <w:r>
        <w:t>très</w:t>
      </w:r>
      <w:r w:rsidRPr="002C4077">
        <w:t xml:space="preserve"> </w:t>
      </w:r>
      <w:r>
        <w:t>curieuses</w:t>
      </w:r>
      <w:r w:rsidRPr="002C4077">
        <w:t xml:space="preserve"> </w:t>
      </w:r>
      <w:r>
        <w:t>pour</w:t>
      </w:r>
      <w:r w:rsidRPr="002C4077">
        <w:t xml:space="preserve"> </w:t>
      </w:r>
      <w:r>
        <w:t>un</w:t>
      </w:r>
      <w:r w:rsidRPr="002C4077">
        <w:t xml:space="preserve"> </w:t>
      </w:r>
      <w:r w:rsidRPr="000A34B5">
        <w:rPr>
          <w:rStyle w:val="italicus"/>
        </w:rPr>
        <w:t>g</w:t>
      </w:r>
      <w:r w:rsidR="00F6492C" w:rsidRPr="000A34B5">
        <w:rPr>
          <w:rStyle w:val="italicus"/>
        </w:rPr>
        <w:t>oï</w:t>
      </w:r>
      <w:r w:rsidR="00F6492C">
        <w:rPr>
          <w:rStyle w:val="Appelnotedebasdep"/>
          <w:i/>
        </w:rPr>
        <w:footnoteReference w:id="886"/>
      </w:r>
      <w:r w:rsidR="00F6492C" w:rsidRPr="000A34B5">
        <w:rPr>
          <w:rStyle w:val="italicus"/>
        </w:rPr>
        <w:t>.</w:t>
      </w:r>
      <w:r w:rsidRPr="002C4077">
        <w:t xml:space="preserve"> </w:t>
      </w:r>
      <w:r>
        <w:t>En</w:t>
      </w:r>
      <w:r w:rsidRPr="002C4077">
        <w:t xml:space="preserve"> </w:t>
      </w:r>
      <w:r>
        <w:t>voici</w:t>
      </w:r>
      <w:r w:rsidRPr="002C4077">
        <w:t xml:space="preserve"> </w:t>
      </w:r>
      <w:r>
        <w:t>donc</w:t>
      </w:r>
      <w:r w:rsidRPr="002C4077">
        <w:t xml:space="preserve"> </w:t>
      </w:r>
      <w:r>
        <w:t>un</w:t>
      </w:r>
      <w:r w:rsidRPr="002C4077">
        <w:t xml:space="preserve"> </w:t>
      </w:r>
      <w:r>
        <w:t>certain</w:t>
      </w:r>
      <w:r w:rsidRPr="002C4077">
        <w:t xml:space="preserve"> </w:t>
      </w:r>
      <w:r>
        <w:t>nombre,</w:t>
      </w:r>
      <w:r w:rsidRPr="002C4077">
        <w:t xml:space="preserve"> </w:t>
      </w:r>
      <w:r>
        <w:t>traduites</w:t>
      </w:r>
      <w:r w:rsidRPr="002C4077">
        <w:t xml:space="preserve"> </w:t>
      </w:r>
      <w:r>
        <w:t>aussi</w:t>
      </w:r>
      <w:r w:rsidRPr="002C4077">
        <w:t xml:space="preserve"> </w:t>
      </w:r>
      <w:r>
        <w:t>littéralement</w:t>
      </w:r>
      <w:r w:rsidRPr="002C4077">
        <w:t xml:space="preserve"> </w:t>
      </w:r>
      <w:r>
        <w:t>que</w:t>
      </w:r>
      <w:r w:rsidRPr="002C4077">
        <w:t xml:space="preserve"> </w:t>
      </w:r>
      <w:r>
        <w:t>possible,</w:t>
      </w:r>
      <w:r w:rsidRPr="002C4077">
        <w:t xml:space="preserve"> </w:t>
      </w:r>
      <w:r>
        <w:t>et</w:t>
      </w:r>
      <w:r w:rsidRPr="002C4077">
        <w:t xml:space="preserve"> </w:t>
      </w:r>
      <w:r>
        <w:t>accompagnées</w:t>
      </w:r>
      <w:r w:rsidRPr="002C4077">
        <w:t xml:space="preserve"> </w:t>
      </w:r>
      <w:r>
        <w:t>de</w:t>
      </w:r>
      <w:r w:rsidRPr="002C4077">
        <w:t xml:space="preserve"> </w:t>
      </w:r>
      <w:r>
        <w:t>quelques</w:t>
      </w:r>
      <w:r w:rsidRPr="002C4077">
        <w:t xml:space="preserve"> </w:t>
      </w:r>
      <w:r>
        <w:t>notes</w:t>
      </w:r>
      <w:r w:rsidRPr="002C4077">
        <w:t xml:space="preserve"> </w:t>
      </w:r>
      <w:r>
        <w:t>explicatives.</w:t>
      </w:r>
      <w:r w:rsidRPr="002C4077">
        <w:t xml:space="preserve"> </w:t>
      </w:r>
    </w:p>
    <w:p w:rsidR="00EF54D3" w:rsidRDefault="000A7AAB" w:rsidP="000D4F31">
      <w:pPr>
        <w:pStyle w:val="LcCentrum"/>
      </w:pPr>
      <w:r>
        <w:t>Ici</w:t>
      </w:r>
      <w:r w:rsidRPr="002C4077">
        <w:t xml:space="preserve"> </w:t>
      </w:r>
      <w:r>
        <w:t>repose</w:t>
      </w:r>
      <w:r w:rsidRPr="002C4077">
        <w:t xml:space="preserve"> </w:t>
      </w:r>
    </w:p>
    <w:p w:rsidR="000A7AAB" w:rsidRPr="00EF54D3" w:rsidRDefault="000A7AAB" w:rsidP="000D4F31">
      <w:pPr>
        <w:pStyle w:val="LcCentrum"/>
        <w:rPr>
          <w:rStyle w:val="pm"/>
        </w:rPr>
      </w:pPr>
      <w:r w:rsidRPr="00EF54D3">
        <w:rPr>
          <w:rStyle w:val="pm"/>
        </w:rPr>
        <w:t>Dame</w:t>
      </w:r>
      <w:r w:rsidRPr="002C4077">
        <w:t xml:space="preserve"> </w:t>
      </w:r>
      <w:r w:rsidRPr="00EF54D3">
        <w:rPr>
          <w:rStyle w:val="pm"/>
        </w:rPr>
        <w:t>Rebecca,</w:t>
      </w:r>
      <w:r w:rsidRPr="002C4077">
        <w:t xml:space="preserve"> </w:t>
      </w:r>
      <w:r w:rsidRPr="00EF54D3">
        <w:rPr>
          <w:rStyle w:val="pm"/>
        </w:rPr>
        <w:t>fille</w:t>
      </w:r>
      <w:r w:rsidRPr="002C4077">
        <w:t xml:space="preserve"> </w:t>
      </w:r>
      <w:r w:rsidRPr="00EF54D3">
        <w:rPr>
          <w:rStyle w:val="pm"/>
        </w:rPr>
        <w:t>d’Isaïe.</w:t>
      </w:r>
      <w:r w:rsidRPr="002C4077">
        <w:t xml:space="preserve"> </w:t>
      </w:r>
    </w:p>
    <w:p w:rsidR="000A7AAB" w:rsidRDefault="000A7AAB" w:rsidP="000D4F31">
      <w:pPr>
        <w:pStyle w:val="LcCentrum"/>
      </w:pPr>
      <w:r>
        <w:t>Elle</w:t>
      </w:r>
      <w:r w:rsidRPr="002C4077">
        <w:t xml:space="preserve"> </w:t>
      </w:r>
      <w:r>
        <w:t>a</w:t>
      </w:r>
      <w:r w:rsidRPr="002C4077">
        <w:t xml:space="preserve"> </w:t>
      </w:r>
      <w:r>
        <w:t>été</w:t>
      </w:r>
      <w:r w:rsidRPr="002C4077">
        <w:t xml:space="preserve"> </w:t>
      </w:r>
      <w:r>
        <w:t>retranchée</w:t>
      </w:r>
      <w:r w:rsidRPr="002C4077">
        <w:t xml:space="preserve"> </w:t>
      </w:r>
      <w:r>
        <w:t>le</w:t>
      </w:r>
      <w:r w:rsidRPr="002C4077">
        <w:t xml:space="preserve"> </w:t>
      </w:r>
      <w:r>
        <w:t>28</w:t>
      </w:r>
      <w:r w:rsidRPr="002C4077">
        <w:t xml:space="preserve"> </w:t>
      </w:r>
      <w:r>
        <w:t>ab</w:t>
      </w:r>
      <w:r w:rsidRPr="002C4077">
        <w:t xml:space="preserve"> </w:t>
      </w:r>
      <w:r>
        <w:t>5633.</w:t>
      </w:r>
      <w:r w:rsidRPr="002C4077">
        <w:t xml:space="preserve"> </w:t>
      </w:r>
    </w:p>
    <w:p w:rsidR="000A7AAB" w:rsidRPr="00EF54D3" w:rsidRDefault="000A7AAB" w:rsidP="000D4F31">
      <w:pPr>
        <w:pStyle w:val="LcCentrum"/>
        <w:rPr>
          <w:rStyle w:val="italicus"/>
        </w:rPr>
      </w:pPr>
      <w:r w:rsidRPr="00EF54D3">
        <w:rPr>
          <w:rStyle w:val="italicus"/>
        </w:rPr>
        <w:t>Que</w:t>
      </w:r>
      <w:r w:rsidRPr="002C4077">
        <w:t xml:space="preserve"> </w:t>
      </w:r>
      <w:r w:rsidRPr="00EF54D3">
        <w:rPr>
          <w:rStyle w:val="italicus"/>
        </w:rPr>
        <w:t>son</w:t>
      </w:r>
      <w:r w:rsidRPr="002C4077">
        <w:t xml:space="preserve"> </w:t>
      </w:r>
      <w:r w:rsidRPr="00EF54D3">
        <w:rPr>
          <w:rStyle w:val="italicus"/>
        </w:rPr>
        <w:t>âme</w:t>
      </w:r>
      <w:r w:rsidRPr="002C4077">
        <w:t xml:space="preserve"> </w:t>
      </w:r>
      <w:r w:rsidRPr="00EF54D3">
        <w:rPr>
          <w:rStyle w:val="italicus"/>
        </w:rPr>
        <w:t>soit</w:t>
      </w:r>
      <w:r w:rsidRPr="002C4077">
        <w:t xml:space="preserve"> </w:t>
      </w:r>
      <w:r w:rsidRPr="00EF54D3">
        <w:rPr>
          <w:rStyle w:val="italicus"/>
        </w:rPr>
        <w:t>liée</w:t>
      </w:r>
      <w:r w:rsidRPr="002C4077">
        <w:t xml:space="preserve"> </w:t>
      </w:r>
      <w:r w:rsidRPr="00EF54D3">
        <w:rPr>
          <w:rStyle w:val="italicus"/>
        </w:rPr>
        <w:t>dans</w:t>
      </w:r>
      <w:r w:rsidRPr="002C4077">
        <w:t xml:space="preserve"> </w:t>
      </w:r>
      <w:r w:rsidRPr="00EF54D3">
        <w:rPr>
          <w:rStyle w:val="italicus"/>
        </w:rPr>
        <w:t>le</w:t>
      </w:r>
      <w:r w:rsidRPr="002C4077">
        <w:t xml:space="preserve"> </w:t>
      </w:r>
      <w:r w:rsidRPr="00EF54D3">
        <w:rPr>
          <w:rStyle w:val="italicus"/>
        </w:rPr>
        <w:t>faisceau</w:t>
      </w:r>
      <w:r w:rsidRPr="002C4077">
        <w:t xml:space="preserve"> </w:t>
      </w:r>
      <w:r w:rsidRPr="00EF54D3">
        <w:rPr>
          <w:rStyle w:val="italicus"/>
        </w:rPr>
        <w:t>des</w:t>
      </w:r>
      <w:r w:rsidRPr="002C4077">
        <w:t xml:space="preserve"> </w:t>
      </w:r>
      <w:r w:rsidRPr="00EF54D3">
        <w:rPr>
          <w:rStyle w:val="italicus"/>
        </w:rPr>
        <w:t>vivants</w:t>
      </w:r>
      <w:r w:rsidR="00B546AF" w:rsidRPr="00EF54D3">
        <w:rPr>
          <w:rStyle w:val="italicus"/>
        </w:rPr>
        <w:t> !</w:t>
      </w:r>
      <w:r w:rsidRPr="002C4077">
        <w:t xml:space="preserve"> </w:t>
      </w:r>
    </w:p>
    <w:p w:rsidR="000A7AAB" w:rsidRDefault="000A7AAB" w:rsidP="000A7AAB">
      <w:r w:rsidRPr="000A34B5">
        <w:rPr>
          <w:rStyle w:val="italicus"/>
        </w:rPr>
        <w:t>Ici</w:t>
      </w:r>
      <w:r w:rsidRPr="002C4077">
        <w:t xml:space="preserve"> </w:t>
      </w:r>
      <w:r w:rsidRPr="000A34B5">
        <w:rPr>
          <w:rStyle w:val="italicus"/>
        </w:rPr>
        <w:t>repose.</w:t>
      </w:r>
      <w:r w:rsidRPr="002C4077">
        <w:t xml:space="preserve"> </w:t>
      </w:r>
      <w:r>
        <w:t>Ces</w:t>
      </w:r>
      <w:r w:rsidRPr="002C4077">
        <w:t xml:space="preserve"> </w:t>
      </w:r>
      <w:r>
        <w:t>mots</w:t>
      </w:r>
      <w:r w:rsidRPr="002C4077">
        <w:t xml:space="preserve"> </w:t>
      </w:r>
      <w:r>
        <w:t>ne</w:t>
      </w:r>
      <w:r w:rsidRPr="002C4077">
        <w:t xml:space="preserve"> </w:t>
      </w:r>
      <w:r>
        <w:t>sont</w:t>
      </w:r>
      <w:r w:rsidRPr="002C4077">
        <w:t xml:space="preserve"> </w:t>
      </w:r>
      <w:r>
        <w:t>jamais</w:t>
      </w:r>
      <w:r w:rsidRPr="002C4077">
        <w:t xml:space="preserve"> </w:t>
      </w:r>
      <w:r>
        <w:t>intégralement</w:t>
      </w:r>
      <w:r w:rsidRPr="002C4077">
        <w:t xml:space="preserve"> </w:t>
      </w:r>
      <w:r>
        <w:t>écrits</w:t>
      </w:r>
      <w:r w:rsidRPr="002C4077">
        <w:t xml:space="preserve"> </w:t>
      </w:r>
      <w:r>
        <w:t>sur</w:t>
      </w:r>
      <w:r w:rsidRPr="002C4077">
        <w:t xml:space="preserve"> </w:t>
      </w:r>
      <w:r>
        <w:t>les</w:t>
      </w:r>
      <w:r w:rsidRPr="002C4077">
        <w:t xml:space="preserve"> </w:t>
      </w:r>
      <w:r>
        <w:t>tombes.</w:t>
      </w:r>
      <w:r w:rsidRPr="002C4077">
        <w:t xml:space="preserve"> </w:t>
      </w:r>
      <w:r>
        <w:t>On</w:t>
      </w:r>
      <w:r w:rsidRPr="002C4077">
        <w:t xml:space="preserve"> </w:t>
      </w:r>
      <w:r>
        <w:t>se</w:t>
      </w:r>
      <w:r w:rsidRPr="002C4077">
        <w:t xml:space="preserve"> </w:t>
      </w:r>
      <w:r>
        <w:t>contente</w:t>
      </w:r>
      <w:r w:rsidRPr="002C4077">
        <w:t xml:space="preserve"> </w:t>
      </w:r>
      <w:r>
        <w:t>d’en</w:t>
      </w:r>
      <w:r w:rsidRPr="002C4077">
        <w:t xml:space="preserve"> </w:t>
      </w:r>
      <w:r>
        <w:t>graver</w:t>
      </w:r>
      <w:r w:rsidRPr="002C4077">
        <w:t xml:space="preserve"> </w:t>
      </w:r>
      <w:r>
        <w:t>les</w:t>
      </w:r>
      <w:r w:rsidRPr="002C4077">
        <w:t xml:space="preserve"> </w:t>
      </w:r>
      <w:r>
        <w:t>initiales</w:t>
      </w:r>
      <w:r w:rsidRPr="004440EA">
        <w:t xml:space="preserve"> (</w:t>
      </w:r>
      <w:r w:rsidRPr="000A34B5">
        <w:rPr>
          <w:rStyle w:val="italicus"/>
        </w:rPr>
        <w:t>p</w:t>
      </w:r>
      <w:r w:rsidR="00F6492C" w:rsidRPr="000A34B5">
        <w:rPr>
          <w:rStyle w:val="italicus"/>
        </w:rPr>
        <w:t>hé</w:t>
      </w:r>
      <w:r w:rsidR="00F6492C">
        <w:rPr>
          <w:rStyle w:val="Appelnotedebasdep"/>
          <w:i/>
        </w:rPr>
        <w:footnoteReference w:id="887"/>
      </w:r>
      <w:r w:rsidR="00F6492C" w:rsidRPr="000A34B5">
        <w:rPr>
          <w:rStyle w:val="italicus"/>
        </w:rPr>
        <w:t>,</w:t>
      </w:r>
      <w:r w:rsidRPr="002C4077">
        <w:t xml:space="preserve"> </w:t>
      </w:r>
      <w:r>
        <w:t>c’est-à-dire</w:t>
      </w:r>
      <w:r w:rsidRPr="002C4077">
        <w:t xml:space="preserve"> </w:t>
      </w:r>
      <w:r w:rsidRPr="000A34B5">
        <w:rPr>
          <w:rStyle w:val="italicus"/>
        </w:rPr>
        <w:t>f,</w:t>
      </w:r>
      <w:r w:rsidRPr="002C4077">
        <w:t xml:space="preserve"> </w:t>
      </w:r>
      <w:r>
        <w:t>et</w:t>
      </w:r>
      <w:r w:rsidR="000C09E0" w:rsidRPr="002C4077">
        <w:t xml:space="preserve"> </w:t>
      </w:r>
      <w:r w:rsidR="000C09E0">
        <w:rPr>
          <w:rStyle w:val="italicus"/>
        </w:rPr>
        <w:t>teth</w:t>
      </w:r>
      <w:r w:rsidR="000C09E0">
        <w:rPr>
          <w:rStyle w:val="Appelnotedebasdep"/>
          <w:i/>
        </w:rPr>
        <w:footnoteReference w:id="888"/>
      </w:r>
      <w:r w:rsidRPr="000A34B5">
        <w:rPr>
          <w:rStyle w:val="italicus"/>
        </w:rPr>
        <w:t>,</w:t>
      </w:r>
      <w:r w:rsidRPr="002C4077">
        <w:t xml:space="preserve"> </w:t>
      </w:r>
      <w:r>
        <w:t>ou</w:t>
      </w:r>
      <w:r w:rsidRPr="002C4077">
        <w:t xml:space="preserve"> </w:t>
      </w:r>
      <w:r w:rsidRPr="000A34B5">
        <w:rPr>
          <w:rStyle w:val="italicus"/>
        </w:rPr>
        <w:t>t</w:t>
      </w:r>
      <w:r w:rsidR="00B546AF" w:rsidRPr="002C4077">
        <w:t>)</w:t>
      </w:r>
      <w:r w:rsidRPr="002C4077">
        <w:t xml:space="preserve"> </w:t>
      </w:r>
      <w:r>
        <w:t>au</w:t>
      </w:r>
      <w:r w:rsidRPr="002C4077">
        <w:t xml:space="preserve"> </w:t>
      </w:r>
      <w:r>
        <w:t>sommet</w:t>
      </w:r>
      <w:r w:rsidRPr="002C4077">
        <w:t xml:space="preserve"> </w:t>
      </w:r>
      <w:r>
        <w:t>de</w:t>
      </w:r>
      <w:r w:rsidRPr="002C4077">
        <w:t xml:space="preserve"> </w:t>
      </w:r>
      <w:r>
        <w:t>l’épitaphe.</w:t>
      </w:r>
      <w:r w:rsidR="00EC0C08">
        <w:t xml:space="preserve"> {</w:t>
      </w:r>
      <w:r w:rsidR="005E2129">
        <w:t>296</w:t>
      </w:r>
      <w:bookmarkStart w:id="722" w:name="p296"/>
      <w:bookmarkEnd w:id="722"/>
      <w:r w:rsidR="005E2129">
        <w:t xml:space="preserve">} </w:t>
      </w:r>
      <w:r>
        <w:t>—</w:t>
      </w:r>
      <w:r w:rsidRPr="002C4077">
        <w:t xml:space="preserve"> </w:t>
      </w:r>
      <w:r w:rsidRPr="000A34B5">
        <w:rPr>
          <w:rStyle w:val="italicus"/>
        </w:rPr>
        <w:t>Elle</w:t>
      </w:r>
      <w:r w:rsidRPr="002C4077">
        <w:t xml:space="preserve"> </w:t>
      </w:r>
      <w:r w:rsidRPr="000A34B5">
        <w:rPr>
          <w:rStyle w:val="italicus"/>
        </w:rPr>
        <w:t>a</w:t>
      </w:r>
      <w:r w:rsidRPr="002C4077">
        <w:t xml:space="preserve"> </w:t>
      </w:r>
      <w:r w:rsidRPr="000A34B5">
        <w:rPr>
          <w:rStyle w:val="italicus"/>
        </w:rPr>
        <w:t>été</w:t>
      </w:r>
      <w:r w:rsidRPr="002C4077">
        <w:t xml:space="preserve"> </w:t>
      </w:r>
      <w:r w:rsidRPr="000A34B5">
        <w:rPr>
          <w:rStyle w:val="italicus"/>
        </w:rPr>
        <w:t>retranchée.</w:t>
      </w:r>
      <w:r w:rsidRPr="002C4077">
        <w:t xml:space="preserve"> </w:t>
      </w:r>
      <w:r>
        <w:t>Belle</w:t>
      </w:r>
      <w:r w:rsidRPr="002C4077">
        <w:t xml:space="preserve"> </w:t>
      </w:r>
      <w:r>
        <w:t>et</w:t>
      </w:r>
      <w:r w:rsidRPr="002C4077">
        <w:t xml:space="preserve"> </w:t>
      </w:r>
      <w:r>
        <w:t>expressive</w:t>
      </w:r>
      <w:r w:rsidRPr="002C4077">
        <w:t xml:space="preserve"> </w:t>
      </w:r>
      <w:r>
        <w:t>figure,</w:t>
      </w:r>
      <w:r w:rsidRPr="002C4077">
        <w:t xml:space="preserve"> </w:t>
      </w:r>
      <w:r>
        <w:t>qui</w:t>
      </w:r>
      <w:r w:rsidRPr="002C4077">
        <w:t xml:space="preserve"> </w:t>
      </w:r>
      <w:r>
        <w:t>revient</w:t>
      </w:r>
      <w:r w:rsidRPr="002C4077">
        <w:t xml:space="preserve"> </w:t>
      </w:r>
      <w:r>
        <w:t>sur</w:t>
      </w:r>
      <w:r w:rsidRPr="002C4077">
        <w:t xml:space="preserve"> </w:t>
      </w:r>
      <w:r>
        <w:t>toutes</w:t>
      </w:r>
      <w:r w:rsidRPr="002C4077">
        <w:t xml:space="preserve"> </w:t>
      </w:r>
      <w:r>
        <w:t>les</w:t>
      </w:r>
      <w:r w:rsidRPr="002C4077">
        <w:t xml:space="preserve"> </w:t>
      </w:r>
      <w:r>
        <w:t>tombes.</w:t>
      </w:r>
      <w:r w:rsidRPr="002C4077">
        <w:t xml:space="preserve"> </w:t>
      </w:r>
      <w:r>
        <w:t>C’est</w:t>
      </w:r>
      <w:r w:rsidRPr="002C4077">
        <w:t xml:space="preserve"> </w:t>
      </w:r>
      <w:r>
        <w:t>une</w:t>
      </w:r>
      <w:r w:rsidRPr="002C4077">
        <w:t xml:space="preserve"> </w:t>
      </w:r>
      <w:r>
        <w:t>idée</w:t>
      </w:r>
      <w:r w:rsidRPr="002C4077">
        <w:t xml:space="preserve"> </w:t>
      </w:r>
      <w:r>
        <w:t>toute</w:t>
      </w:r>
      <w:r w:rsidRPr="002C4077">
        <w:t xml:space="preserve"> </w:t>
      </w:r>
      <w:r>
        <w:t>biblique,</w:t>
      </w:r>
      <w:r w:rsidRPr="002C4077">
        <w:t xml:space="preserve"> </w:t>
      </w:r>
      <w:r>
        <w:t>puisque</w:t>
      </w:r>
      <w:r w:rsidRPr="002C4077">
        <w:t xml:space="preserve"> </w:t>
      </w:r>
      <w:r>
        <w:t>les</w:t>
      </w:r>
      <w:r w:rsidRPr="002C4077">
        <w:t xml:space="preserve"> </w:t>
      </w:r>
      <w:r>
        <w:t>saints</w:t>
      </w:r>
      <w:r w:rsidRPr="002C4077">
        <w:t xml:space="preserve"> </w:t>
      </w:r>
      <w:r>
        <w:t>Livres</w:t>
      </w:r>
      <w:r w:rsidRPr="002C4077">
        <w:t xml:space="preserve"> </w:t>
      </w:r>
      <w:r>
        <w:t>comparent</w:t>
      </w:r>
      <w:r w:rsidRPr="002C4077">
        <w:t xml:space="preserve"> </w:t>
      </w:r>
      <w:r>
        <w:t>si</w:t>
      </w:r>
      <w:r w:rsidRPr="002C4077">
        <w:t xml:space="preserve"> </w:t>
      </w:r>
      <w:r>
        <w:t>fréquemment</w:t>
      </w:r>
      <w:r w:rsidRPr="002C4077">
        <w:t xml:space="preserve"> </w:t>
      </w:r>
      <w:r>
        <w:t>la</w:t>
      </w:r>
      <w:r w:rsidRPr="002C4077">
        <w:t xml:space="preserve"> </w:t>
      </w:r>
      <w:r>
        <w:t>vie</w:t>
      </w:r>
      <w:r w:rsidRPr="002C4077">
        <w:t xml:space="preserve"> </w:t>
      </w:r>
      <w:r>
        <w:t>humaine</w:t>
      </w:r>
      <w:r w:rsidRPr="002C4077">
        <w:t xml:space="preserve"> </w:t>
      </w:r>
      <w:r>
        <w:t>à</w:t>
      </w:r>
      <w:r w:rsidRPr="002C4077">
        <w:t xml:space="preserve"> </w:t>
      </w:r>
      <w:r>
        <w:t>une</w:t>
      </w:r>
      <w:r w:rsidRPr="002C4077">
        <w:t xml:space="preserve"> </w:t>
      </w:r>
      <w:r>
        <w:t>fleur</w:t>
      </w:r>
      <w:r w:rsidRPr="002C4077">
        <w:t xml:space="preserve"> </w:t>
      </w:r>
      <w:r>
        <w:t>tranchée</w:t>
      </w:r>
      <w:r w:rsidRPr="002C4077">
        <w:t xml:space="preserve"> </w:t>
      </w:r>
      <w:r>
        <w:t>sans</w:t>
      </w:r>
      <w:r w:rsidRPr="002C4077">
        <w:t xml:space="preserve"> </w:t>
      </w:r>
      <w:r>
        <w:t>pitié</w:t>
      </w:r>
      <w:r w:rsidRPr="002C4077">
        <w:t xml:space="preserve"> </w:t>
      </w:r>
      <w:r>
        <w:t>par</w:t>
      </w:r>
      <w:r w:rsidRPr="002C4077">
        <w:t xml:space="preserve"> </w:t>
      </w:r>
      <w:r>
        <w:t>la</w:t>
      </w:r>
      <w:r w:rsidRPr="002C4077">
        <w:t xml:space="preserve"> </w:t>
      </w:r>
      <w:r>
        <w:t>faux</w:t>
      </w:r>
      <w:r w:rsidRPr="002C4077">
        <w:t xml:space="preserve"> </w:t>
      </w:r>
      <w:r>
        <w:t>de</w:t>
      </w:r>
      <w:r w:rsidRPr="002C4077">
        <w:t xml:space="preserve"> </w:t>
      </w:r>
      <w:r>
        <w:t>la</w:t>
      </w:r>
      <w:r w:rsidRPr="002C4077">
        <w:t xml:space="preserve"> </w:t>
      </w:r>
      <w:r>
        <w:t>mort.</w:t>
      </w:r>
      <w:r w:rsidRPr="002C4077">
        <w:t xml:space="preserve"> </w:t>
      </w:r>
      <w:r>
        <w:t>—</w:t>
      </w:r>
      <w:r w:rsidRPr="002C4077">
        <w:t xml:space="preserve"> </w:t>
      </w:r>
      <w:r w:rsidRPr="000A34B5">
        <w:rPr>
          <w:rStyle w:val="italicus"/>
        </w:rPr>
        <w:t>Le</w:t>
      </w:r>
      <w:r w:rsidRPr="002C4077">
        <w:t xml:space="preserve"> </w:t>
      </w:r>
      <w:r>
        <w:t>28</w:t>
      </w:r>
      <w:r w:rsidRPr="002C4077">
        <w:t xml:space="preserve"> </w:t>
      </w:r>
      <w:r w:rsidRPr="000A34B5">
        <w:rPr>
          <w:rStyle w:val="italicus"/>
        </w:rPr>
        <w:t>ab.</w:t>
      </w:r>
      <w:r w:rsidRPr="002C4077">
        <w:t xml:space="preserve"> </w:t>
      </w:r>
      <w:r>
        <w:t>Ce</w:t>
      </w:r>
      <w:r w:rsidRPr="002C4077">
        <w:t xml:space="preserve"> </w:t>
      </w:r>
      <w:r>
        <w:t>mois</w:t>
      </w:r>
      <w:r w:rsidRPr="002C4077">
        <w:t xml:space="preserve"> </w:t>
      </w:r>
      <w:r w:rsidR="00425C50">
        <w:t>est</w:t>
      </w:r>
      <w:r w:rsidRPr="002C4077">
        <w:t xml:space="preserve"> </w:t>
      </w:r>
      <w:r>
        <w:t>le</w:t>
      </w:r>
      <w:r w:rsidRPr="002C4077">
        <w:t xml:space="preserve"> </w:t>
      </w:r>
      <w:r>
        <w:t>onzième</w:t>
      </w:r>
      <w:r w:rsidRPr="002C4077">
        <w:t xml:space="preserve"> </w:t>
      </w:r>
      <w:r>
        <w:t>de</w:t>
      </w:r>
      <w:r w:rsidRPr="002C4077">
        <w:t xml:space="preserve"> </w:t>
      </w:r>
      <w:r>
        <w:t>l’année</w:t>
      </w:r>
      <w:r w:rsidRPr="002C4077">
        <w:t xml:space="preserve"> </w:t>
      </w:r>
      <w:r>
        <w:t>civile</w:t>
      </w:r>
      <w:r w:rsidRPr="002C4077">
        <w:t xml:space="preserve"> </w:t>
      </w:r>
      <w:r>
        <w:t>des</w:t>
      </w:r>
      <w:r w:rsidRPr="002C4077">
        <w:t xml:space="preserve"> </w:t>
      </w:r>
      <w:r>
        <w:t>Juifs</w:t>
      </w:r>
      <w:r w:rsidR="00B546AF">
        <w:t> ;</w:t>
      </w:r>
      <w:r w:rsidRPr="002C4077">
        <w:t xml:space="preserve"> </w:t>
      </w:r>
      <w:r>
        <w:t>il</w:t>
      </w:r>
      <w:r w:rsidRPr="002C4077">
        <w:t xml:space="preserve"> </w:t>
      </w:r>
      <w:r>
        <w:t>correspond</w:t>
      </w:r>
      <w:r w:rsidRPr="002C4077">
        <w:t xml:space="preserve"> </w:t>
      </w:r>
      <w:r>
        <w:t>à</w:t>
      </w:r>
      <w:r w:rsidRPr="002C4077">
        <w:t xml:space="preserve"> </w:t>
      </w:r>
      <w:r>
        <w:t>la</w:t>
      </w:r>
      <w:r w:rsidRPr="002C4077">
        <w:t xml:space="preserve"> </w:t>
      </w:r>
      <w:r>
        <w:t>seconde</w:t>
      </w:r>
      <w:r w:rsidRPr="002C4077">
        <w:t xml:space="preserve"> </w:t>
      </w:r>
      <w:r>
        <w:t>moitié</w:t>
      </w:r>
      <w:r w:rsidRPr="002C4077">
        <w:t xml:space="preserve"> </w:t>
      </w:r>
      <w:r>
        <w:t>de</w:t>
      </w:r>
      <w:r w:rsidRPr="002C4077">
        <w:t xml:space="preserve"> </w:t>
      </w:r>
      <w:r>
        <w:t>juillet</w:t>
      </w:r>
      <w:r w:rsidRPr="002C4077">
        <w:t xml:space="preserve"> </w:t>
      </w:r>
      <w:r>
        <w:t>et</w:t>
      </w:r>
      <w:r w:rsidRPr="002C4077">
        <w:t xml:space="preserve"> </w:t>
      </w:r>
      <w:r>
        <w:t>à</w:t>
      </w:r>
      <w:r w:rsidRPr="002C4077">
        <w:t xml:space="preserve"> </w:t>
      </w:r>
      <w:r>
        <w:t>la</w:t>
      </w:r>
      <w:r w:rsidRPr="002C4077">
        <w:t xml:space="preserve"> </w:t>
      </w:r>
      <w:r>
        <w:t>première</w:t>
      </w:r>
      <w:r w:rsidRPr="002C4077">
        <w:t xml:space="preserve"> </w:t>
      </w:r>
      <w:r>
        <w:t>moitié</w:t>
      </w:r>
      <w:r w:rsidRPr="002C4077">
        <w:t xml:space="preserve"> </w:t>
      </w:r>
      <w:r>
        <w:t>d’août.</w:t>
      </w:r>
      <w:r w:rsidRPr="002C4077">
        <w:t xml:space="preserve"> </w:t>
      </w:r>
      <w:r>
        <w:t>—</w:t>
      </w:r>
      <w:r w:rsidRPr="002C4077">
        <w:t xml:space="preserve"> </w:t>
      </w:r>
      <w:r>
        <w:t>5633.</w:t>
      </w:r>
      <w:r w:rsidRPr="002C4077">
        <w:t xml:space="preserve"> </w:t>
      </w:r>
      <w:r>
        <w:t>C’est-à-dire,</w:t>
      </w:r>
      <w:r w:rsidRPr="002C4077">
        <w:t xml:space="preserve"> </w:t>
      </w:r>
      <w:r>
        <w:t>l’an</w:t>
      </w:r>
      <w:r w:rsidRPr="002C4077">
        <w:t xml:space="preserve"> </w:t>
      </w:r>
      <w:r>
        <w:t>5633</w:t>
      </w:r>
      <w:r w:rsidRPr="002C4077">
        <w:t xml:space="preserve"> </w:t>
      </w:r>
      <w:r>
        <w:t>à</w:t>
      </w:r>
      <w:r w:rsidRPr="002C4077">
        <w:t xml:space="preserve"> </w:t>
      </w:r>
      <w:r>
        <w:t>partir</w:t>
      </w:r>
      <w:r w:rsidRPr="002C4077">
        <w:t xml:space="preserve"> </w:t>
      </w:r>
      <w:r>
        <w:t>de</w:t>
      </w:r>
      <w:r w:rsidRPr="002C4077">
        <w:t xml:space="preserve"> </w:t>
      </w:r>
      <w:r>
        <w:t>la</w:t>
      </w:r>
      <w:r w:rsidRPr="002C4077">
        <w:t xml:space="preserve"> </w:t>
      </w:r>
      <w:r>
        <w:t>création</w:t>
      </w:r>
      <w:r w:rsidRPr="002C4077">
        <w:t xml:space="preserve"> </w:t>
      </w:r>
      <w:r>
        <w:t>du</w:t>
      </w:r>
      <w:r w:rsidRPr="002C4077">
        <w:t xml:space="preserve"> </w:t>
      </w:r>
      <w:r>
        <w:t>monde,</w:t>
      </w:r>
      <w:r w:rsidRPr="002C4077">
        <w:t xml:space="preserve"> </w:t>
      </w:r>
      <w:r>
        <w:t>d’après</w:t>
      </w:r>
      <w:r w:rsidRPr="002C4077">
        <w:t xml:space="preserve"> </w:t>
      </w:r>
      <w:r>
        <w:t>les</w:t>
      </w:r>
      <w:r w:rsidRPr="002C4077">
        <w:t xml:space="preserve"> </w:t>
      </w:r>
      <w:r>
        <w:t>calculs</w:t>
      </w:r>
      <w:r w:rsidRPr="002C4077">
        <w:t xml:space="preserve"> </w:t>
      </w:r>
      <w:r>
        <w:t>admis</w:t>
      </w:r>
      <w:r w:rsidRPr="002C4077">
        <w:t xml:space="preserve"> </w:t>
      </w:r>
      <w:r>
        <w:t>par</w:t>
      </w:r>
      <w:r w:rsidRPr="002C4077">
        <w:t xml:space="preserve"> </w:t>
      </w:r>
      <w:r>
        <w:t>les</w:t>
      </w:r>
      <w:r w:rsidRPr="002C4077">
        <w:t xml:space="preserve"> </w:t>
      </w:r>
      <w:r>
        <w:t>Juifs.</w:t>
      </w:r>
      <w:r w:rsidRPr="002C4077">
        <w:t xml:space="preserve"> </w:t>
      </w:r>
      <w:r>
        <w:t>Tel</w:t>
      </w:r>
      <w:r w:rsidRPr="002C4077">
        <w:t xml:space="preserve"> </w:t>
      </w:r>
      <w:r w:rsidR="00425C50">
        <w:t>est</w:t>
      </w:r>
      <w:r w:rsidRPr="002C4077">
        <w:t xml:space="preserve"> </w:t>
      </w:r>
      <w:r>
        <w:t>toujours,</w:t>
      </w:r>
      <w:r w:rsidRPr="002C4077">
        <w:t xml:space="preserve"> </w:t>
      </w:r>
      <w:r>
        <w:t>en</w:t>
      </w:r>
      <w:r w:rsidRPr="002C4077">
        <w:t xml:space="preserve"> </w:t>
      </w:r>
      <w:r>
        <w:t>effet,</w:t>
      </w:r>
      <w:r w:rsidRPr="002C4077">
        <w:t xml:space="preserve"> </w:t>
      </w:r>
      <w:r>
        <w:t>leur</w:t>
      </w:r>
      <w:r w:rsidRPr="002C4077">
        <w:t xml:space="preserve"> </w:t>
      </w:r>
      <w:r>
        <w:t>point</w:t>
      </w:r>
      <w:r w:rsidRPr="002C4077">
        <w:t xml:space="preserve"> </w:t>
      </w:r>
      <w:r>
        <w:t>de</w:t>
      </w:r>
      <w:r w:rsidRPr="002C4077">
        <w:t xml:space="preserve"> </w:t>
      </w:r>
      <w:r>
        <w:t>départ</w:t>
      </w:r>
      <w:r w:rsidRPr="002C4077">
        <w:t xml:space="preserve"> </w:t>
      </w:r>
      <w:r>
        <w:t>pour</w:t>
      </w:r>
      <w:r w:rsidRPr="002C4077">
        <w:t xml:space="preserve"> </w:t>
      </w:r>
      <w:r>
        <w:t>la</w:t>
      </w:r>
      <w:r w:rsidRPr="002C4077">
        <w:t xml:space="preserve"> </w:t>
      </w:r>
      <w:r>
        <w:t>numération</w:t>
      </w:r>
      <w:r w:rsidRPr="002C4077">
        <w:t xml:space="preserve"> </w:t>
      </w:r>
      <w:r>
        <w:t>des</w:t>
      </w:r>
      <w:r w:rsidRPr="002C4077">
        <w:t xml:space="preserve"> </w:t>
      </w:r>
      <w:r>
        <w:t>années.</w:t>
      </w:r>
      <w:r w:rsidRPr="002C4077">
        <w:t xml:space="preserve"> </w:t>
      </w:r>
      <w:r>
        <w:t>Le</w:t>
      </w:r>
      <w:r w:rsidRPr="002C4077">
        <w:t xml:space="preserve"> </w:t>
      </w:r>
      <w:r>
        <w:t>24</w:t>
      </w:r>
      <w:r w:rsidRPr="002C4077">
        <w:t xml:space="preserve"> </w:t>
      </w:r>
      <w:r>
        <w:lastRenderedPageBreak/>
        <w:t>septembre</w:t>
      </w:r>
      <w:r w:rsidRPr="002C4077">
        <w:t xml:space="preserve"> </w:t>
      </w:r>
      <w:r>
        <w:t>1881</w:t>
      </w:r>
      <w:r w:rsidRPr="002C4077">
        <w:t xml:space="preserve"> </w:t>
      </w:r>
      <w:r>
        <w:t>commençait</w:t>
      </w:r>
      <w:r w:rsidRPr="002C4077">
        <w:t xml:space="preserve"> </w:t>
      </w:r>
      <w:r>
        <w:t>l’an</w:t>
      </w:r>
      <w:r w:rsidRPr="002C4077">
        <w:t xml:space="preserve"> </w:t>
      </w:r>
      <w:r>
        <w:t>5642,</w:t>
      </w:r>
      <w:r w:rsidRPr="002C4077">
        <w:t xml:space="preserve"> </w:t>
      </w:r>
      <w:r>
        <w:t>qui</w:t>
      </w:r>
      <w:r w:rsidRPr="002C4077">
        <w:t xml:space="preserve"> </w:t>
      </w:r>
      <w:r>
        <w:t>dura</w:t>
      </w:r>
      <w:r w:rsidRPr="002C4077">
        <w:t xml:space="preserve"> </w:t>
      </w:r>
      <w:r>
        <w:t>jusqu’au</w:t>
      </w:r>
      <w:r w:rsidRPr="002C4077">
        <w:t xml:space="preserve"> </w:t>
      </w:r>
      <w:r>
        <w:t>13</w:t>
      </w:r>
      <w:r w:rsidRPr="002C4077">
        <w:t xml:space="preserve"> </w:t>
      </w:r>
      <w:r>
        <w:t>septembre</w:t>
      </w:r>
      <w:r w:rsidRPr="002C4077">
        <w:t xml:space="preserve"> </w:t>
      </w:r>
      <w:r>
        <w:t>1882.</w:t>
      </w:r>
      <w:r w:rsidRPr="002C4077">
        <w:t xml:space="preserve"> </w:t>
      </w:r>
      <w:r>
        <w:t>—</w:t>
      </w:r>
      <w:r w:rsidRPr="002C4077">
        <w:t xml:space="preserve"> </w:t>
      </w:r>
      <w:r w:rsidRPr="000A34B5">
        <w:rPr>
          <w:rStyle w:val="italicus"/>
        </w:rPr>
        <w:t>Que</w:t>
      </w:r>
      <w:r w:rsidRPr="002C4077">
        <w:t xml:space="preserve"> </w:t>
      </w:r>
      <w:r w:rsidRPr="000A34B5">
        <w:rPr>
          <w:rStyle w:val="italicus"/>
        </w:rPr>
        <w:t>son</w:t>
      </w:r>
      <w:r w:rsidRPr="002C4077">
        <w:t xml:space="preserve"> </w:t>
      </w:r>
      <w:r w:rsidRPr="000A34B5">
        <w:rPr>
          <w:rStyle w:val="italicus"/>
        </w:rPr>
        <w:t>âme</w:t>
      </w:r>
      <w:r w:rsidRPr="002C4077">
        <w:t xml:space="preserve"> </w:t>
      </w:r>
      <w:r w:rsidRPr="000A34B5">
        <w:rPr>
          <w:rStyle w:val="italicus"/>
        </w:rPr>
        <w:t>soit</w:t>
      </w:r>
      <w:r w:rsidRPr="002C4077">
        <w:t xml:space="preserve"> </w:t>
      </w:r>
      <w:r w:rsidRPr="000A34B5">
        <w:rPr>
          <w:rStyle w:val="italicus"/>
        </w:rPr>
        <w:t>liée</w:t>
      </w:r>
      <w:r w:rsidRPr="002C4077">
        <w:t xml:space="preserve"> </w:t>
      </w:r>
      <w:r w:rsidRPr="000A34B5">
        <w:rPr>
          <w:rStyle w:val="italicus"/>
        </w:rPr>
        <w:t>dans</w:t>
      </w:r>
      <w:r w:rsidRPr="002C4077">
        <w:t xml:space="preserve"> </w:t>
      </w:r>
      <w:r w:rsidRPr="000A34B5">
        <w:rPr>
          <w:rStyle w:val="italicus"/>
        </w:rPr>
        <w:t>le</w:t>
      </w:r>
      <w:r w:rsidRPr="002C4077">
        <w:t xml:space="preserve"> </w:t>
      </w:r>
      <w:r w:rsidRPr="000A34B5">
        <w:rPr>
          <w:rStyle w:val="italicus"/>
        </w:rPr>
        <w:t>faisceau</w:t>
      </w:r>
      <w:r w:rsidRPr="002C4077">
        <w:t xml:space="preserve"> </w:t>
      </w:r>
      <w:r w:rsidRPr="000A34B5">
        <w:rPr>
          <w:rStyle w:val="italicus"/>
        </w:rPr>
        <w:t>des</w:t>
      </w:r>
      <w:r w:rsidRPr="002C4077">
        <w:t xml:space="preserve"> </w:t>
      </w:r>
      <w:r w:rsidRPr="000A34B5">
        <w:rPr>
          <w:rStyle w:val="italicus"/>
        </w:rPr>
        <w:t>vivants</w:t>
      </w:r>
      <w:r w:rsidR="00B546AF">
        <w:rPr>
          <w:rStyle w:val="italicus"/>
        </w:rPr>
        <w:t> </w:t>
      </w:r>
      <w:r w:rsidR="00B546AF" w:rsidRPr="000A34B5">
        <w:rPr>
          <w:rStyle w:val="italicus"/>
        </w:rPr>
        <w:t>!</w:t>
      </w:r>
      <w:r w:rsidRPr="002C4077">
        <w:t xml:space="preserve"> </w:t>
      </w:r>
      <w:r>
        <w:t>Ce</w:t>
      </w:r>
      <w:r w:rsidRPr="002C4077">
        <w:t xml:space="preserve"> </w:t>
      </w:r>
      <w:r>
        <w:t>souhait,</w:t>
      </w:r>
      <w:r w:rsidRPr="002C4077">
        <w:t xml:space="preserve"> </w:t>
      </w:r>
      <w:r>
        <w:t>étrange</w:t>
      </w:r>
      <w:r w:rsidRPr="002C4077">
        <w:t xml:space="preserve"> </w:t>
      </w:r>
      <w:r>
        <w:t>en</w:t>
      </w:r>
      <w:r w:rsidRPr="002C4077">
        <w:t xml:space="preserve"> </w:t>
      </w:r>
      <w:r>
        <w:t>apparence,</w:t>
      </w:r>
      <w:r w:rsidRPr="002C4077">
        <w:t xml:space="preserve"> </w:t>
      </w:r>
      <w:r>
        <w:t>sert</w:t>
      </w:r>
      <w:r w:rsidRPr="002C4077">
        <w:t xml:space="preserve"> </w:t>
      </w:r>
      <w:r>
        <w:t>de</w:t>
      </w:r>
      <w:r w:rsidRPr="002C4077">
        <w:t xml:space="preserve"> </w:t>
      </w:r>
      <w:r>
        <w:t>conclusion</w:t>
      </w:r>
      <w:r w:rsidRPr="002C4077">
        <w:t xml:space="preserve"> </w:t>
      </w:r>
      <w:r>
        <w:t>invariable</w:t>
      </w:r>
      <w:r w:rsidRPr="002C4077">
        <w:t xml:space="preserve"> </w:t>
      </w:r>
      <w:r>
        <w:t>aux</w:t>
      </w:r>
      <w:r w:rsidRPr="002C4077">
        <w:t xml:space="preserve"> </w:t>
      </w:r>
      <w:r>
        <w:t>épitaphes</w:t>
      </w:r>
      <w:r w:rsidRPr="002C4077">
        <w:t xml:space="preserve"> </w:t>
      </w:r>
      <w:r>
        <w:t>juives.</w:t>
      </w:r>
      <w:r w:rsidRPr="002C4077">
        <w:t xml:space="preserve"> </w:t>
      </w:r>
      <w:r>
        <w:t>Mais</w:t>
      </w:r>
      <w:r w:rsidRPr="002C4077">
        <w:t xml:space="preserve"> </w:t>
      </w:r>
      <w:r>
        <w:t>il</w:t>
      </w:r>
      <w:r w:rsidRPr="002C4077">
        <w:t xml:space="preserve"> </w:t>
      </w:r>
      <w:r>
        <w:t>n’est</w:t>
      </w:r>
      <w:r w:rsidRPr="002C4077">
        <w:t xml:space="preserve"> </w:t>
      </w:r>
      <w:r>
        <w:t>jamais</w:t>
      </w:r>
      <w:r w:rsidRPr="002C4077">
        <w:t xml:space="preserve"> </w:t>
      </w:r>
      <w:r>
        <w:t>écrit</w:t>
      </w:r>
      <w:r w:rsidRPr="002C4077">
        <w:t xml:space="preserve"> </w:t>
      </w:r>
      <w:r>
        <w:t>en</w:t>
      </w:r>
      <w:r w:rsidRPr="002C4077">
        <w:t xml:space="preserve"> </w:t>
      </w:r>
      <w:r>
        <w:t>entier</w:t>
      </w:r>
      <w:r w:rsidR="00B546AF">
        <w:t> :</w:t>
      </w:r>
      <w:r w:rsidRPr="002C4077">
        <w:t xml:space="preserve"> </w:t>
      </w:r>
      <w:r>
        <w:t>les</w:t>
      </w:r>
      <w:r w:rsidRPr="002C4077">
        <w:t xml:space="preserve"> </w:t>
      </w:r>
      <w:r>
        <w:t>cinq</w:t>
      </w:r>
      <w:r w:rsidRPr="002C4077">
        <w:t xml:space="preserve"> </w:t>
      </w:r>
      <w:r>
        <w:t>initiales</w:t>
      </w:r>
      <w:r w:rsidRPr="002C4077">
        <w:t xml:space="preserve"> </w:t>
      </w:r>
      <w:r w:rsidRPr="000A34B5">
        <w:rPr>
          <w:rStyle w:val="italicus"/>
        </w:rPr>
        <w:t>thav</w:t>
      </w:r>
      <w:r w:rsidRPr="004440EA">
        <w:t xml:space="preserve"> (</w:t>
      </w:r>
      <w:r>
        <w:t>th</w:t>
      </w:r>
      <w:r w:rsidR="00B546AF" w:rsidRPr="002C4077">
        <w:t>)</w:t>
      </w:r>
      <w:r w:rsidRPr="00950016">
        <w:t>,</w:t>
      </w:r>
      <w:r w:rsidRPr="002C4077">
        <w:t xml:space="preserve"> </w:t>
      </w:r>
      <w:r w:rsidRPr="000A34B5">
        <w:rPr>
          <w:rStyle w:val="italicus"/>
        </w:rPr>
        <w:t>noun</w:t>
      </w:r>
      <w:r w:rsidRPr="004440EA">
        <w:t xml:space="preserve"> (</w:t>
      </w:r>
      <w:r>
        <w:t>n</w:t>
      </w:r>
      <w:r w:rsidR="00B546AF" w:rsidRPr="002C4077">
        <w:t>)</w:t>
      </w:r>
      <w:r w:rsidRPr="00950016">
        <w:t>,</w:t>
      </w:r>
      <w:r w:rsidRPr="002C4077">
        <w:t xml:space="preserve"> </w:t>
      </w:r>
      <w:r w:rsidRPr="000A34B5">
        <w:rPr>
          <w:rStyle w:val="italicus"/>
        </w:rPr>
        <w:t>tsadé</w:t>
      </w:r>
      <w:r w:rsidRPr="004440EA">
        <w:t xml:space="preserve"> (</w:t>
      </w:r>
      <w:r>
        <w:t>ts</w:t>
      </w:r>
      <w:r w:rsidR="00B546AF" w:rsidRPr="002C4077">
        <w:t>)</w:t>
      </w:r>
      <w:r w:rsidRPr="00950016">
        <w:t>,</w:t>
      </w:r>
      <w:r w:rsidRPr="002C4077">
        <w:t xml:space="preserve"> </w:t>
      </w:r>
      <w:r w:rsidRPr="000A34B5">
        <w:rPr>
          <w:rStyle w:val="italicus"/>
        </w:rPr>
        <w:t>beth</w:t>
      </w:r>
      <w:r w:rsidRPr="004440EA">
        <w:t xml:space="preserve"> (</w:t>
      </w:r>
      <w:r>
        <w:t>b</w:t>
      </w:r>
      <w:r w:rsidR="00B546AF" w:rsidRPr="002C4077">
        <w:t>)</w:t>
      </w:r>
      <w:r w:rsidRPr="00950016">
        <w:t>,</w:t>
      </w:r>
      <w:r w:rsidRPr="002C4077">
        <w:t xml:space="preserve"> </w:t>
      </w:r>
      <w:r w:rsidRPr="000A34B5">
        <w:rPr>
          <w:rStyle w:val="italicus"/>
        </w:rPr>
        <w:t>hé</w:t>
      </w:r>
      <w:r w:rsidRPr="004440EA">
        <w:t xml:space="preserve"> (</w:t>
      </w:r>
      <w:r>
        <w:t>h</w:t>
      </w:r>
      <w:r w:rsidR="00B546AF" w:rsidRPr="002C4077">
        <w:t>)</w:t>
      </w:r>
      <w:r w:rsidR="00B91AF7">
        <w:rPr>
          <w:rStyle w:val="Appelnotedebasdep"/>
        </w:rPr>
        <w:footnoteReference w:id="889"/>
      </w:r>
      <w:r w:rsidRPr="002C4077">
        <w:t xml:space="preserve"> </w:t>
      </w:r>
      <w:r>
        <w:t>sont</w:t>
      </w:r>
      <w:r w:rsidRPr="002C4077">
        <w:t xml:space="preserve"> </w:t>
      </w:r>
      <w:r>
        <w:t>chargées</w:t>
      </w:r>
      <w:r w:rsidRPr="002C4077">
        <w:t xml:space="preserve"> </w:t>
      </w:r>
      <w:r>
        <w:t>de</w:t>
      </w:r>
      <w:r w:rsidRPr="002C4077">
        <w:t xml:space="preserve"> </w:t>
      </w:r>
      <w:r>
        <w:t>le</w:t>
      </w:r>
      <w:r w:rsidRPr="002C4077">
        <w:t xml:space="preserve"> </w:t>
      </w:r>
      <w:r>
        <w:t>représenter.</w:t>
      </w:r>
      <w:r w:rsidRPr="002C4077">
        <w:t xml:space="preserve"> </w:t>
      </w:r>
      <w:r>
        <w:t>La</w:t>
      </w:r>
      <w:r w:rsidRPr="002C4077">
        <w:t xml:space="preserve"> </w:t>
      </w:r>
      <w:r>
        <w:t>phrase</w:t>
      </w:r>
      <w:r w:rsidRPr="002C4077">
        <w:t xml:space="preserve"> </w:t>
      </w:r>
      <w:r>
        <w:t>entière</w:t>
      </w:r>
      <w:r w:rsidRPr="002C4077">
        <w:t xml:space="preserve"> </w:t>
      </w:r>
      <w:r w:rsidR="00425C50">
        <w:t>est</w:t>
      </w:r>
      <w:r w:rsidRPr="002C4077">
        <w:t xml:space="preserve"> </w:t>
      </w:r>
      <w:r>
        <w:t>extraite</w:t>
      </w:r>
      <w:r w:rsidRPr="002C4077">
        <w:t xml:space="preserve"> </w:t>
      </w:r>
      <w:r>
        <w:t>du</w:t>
      </w:r>
      <w:r w:rsidRPr="002C4077">
        <w:t xml:space="preserve"> </w:t>
      </w:r>
      <w:r>
        <w:t>premier</w:t>
      </w:r>
      <w:r w:rsidRPr="002C4077">
        <w:t xml:space="preserve"> </w:t>
      </w:r>
      <w:r>
        <w:t>livre</w:t>
      </w:r>
      <w:r w:rsidRPr="002C4077">
        <w:t xml:space="preserve"> </w:t>
      </w:r>
      <w:r>
        <w:t>des</w:t>
      </w:r>
      <w:r w:rsidRPr="002C4077">
        <w:t xml:space="preserve"> </w:t>
      </w:r>
      <w:r>
        <w:t>Rois</w:t>
      </w:r>
      <w:r w:rsidR="00B91AF7">
        <w:rPr>
          <w:rStyle w:val="Appelnotedebasdep"/>
        </w:rPr>
        <w:footnoteReference w:id="890"/>
      </w:r>
      <w:r>
        <w:t>.</w:t>
      </w:r>
      <w:r w:rsidRPr="002C4077">
        <w:t xml:space="preserve"> </w:t>
      </w:r>
      <w:r>
        <w:t>Le</w:t>
      </w:r>
      <w:r w:rsidRPr="002C4077">
        <w:t xml:space="preserve"> </w:t>
      </w:r>
      <w:r>
        <w:t>riche</w:t>
      </w:r>
      <w:r w:rsidRPr="002C4077">
        <w:t xml:space="preserve"> </w:t>
      </w:r>
      <w:r>
        <w:t>Nabal</w:t>
      </w:r>
      <w:r w:rsidRPr="002C4077">
        <w:t xml:space="preserve"> </w:t>
      </w:r>
      <w:r>
        <w:t>avait</w:t>
      </w:r>
      <w:r w:rsidRPr="002C4077">
        <w:t xml:space="preserve"> </w:t>
      </w:r>
      <w:r>
        <w:t>gravement</w:t>
      </w:r>
      <w:r w:rsidRPr="002C4077">
        <w:t xml:space="preserve"> </w:t>
      </w:r>
      <w:r>
        <w:t>offensé</w:t>
      </w:r>
      <w:r w:rsidRPr="002C4077">
        <w:t xml:space="preserve"> </w:t>
      </w:r>
      <w:r>
        <w:t>David,</w:t>
      </w:r>
      <w:r w:rsidRPr="002C4077">
        <w:t xml:space="preserve"> </w:t>
      </w:r>
      <w:r>
        <w:t>et</w:t>
      </w:r>
      <w:r w:rsidRPr="002C4077">
        <w:t xml:space="preserve"> </w:t>
      </w:r>
      <w:r w:rsidR="003B53FD">
        <w:t>celui</w:t>
      </w:r>
      <w:r>
        <w:t>-ci</w:t>
      </w:r>
      <w:r w:rsidRPr="002C4077">
        <w:t xml:space="preserve"> </w:t>
      </w:r>
      <w:r>
        <w:t>s’avançait</w:t>
      </w:r>
      <w:r w:rsidRPr="002C4077">
        <w:t xml:space="preserve"> </w:t>
      </w:r>
      <w:r>
        <w:t>avec</w:t>
      </w:r>
      <w:r w:rsidRPr="002C4077">
        <w:t xml:space="preserve"> </w:t>
      </w:r>
      <w:r>
        <w:t>une</w:t>
      </w:r>
      <w:r w:rsidRPr="002C4077">
        <w:t xml:space="preserve"> </w:t>
      </w:r>
      <w:r>
        <w:t>troupe</w:t>
      </w:r>
      <w:r w:rsidRPr="002C4077">
        <w:t xml:space="preserve"> </w:t>
      </w:r>
      <w:r>
        <w:t>considérable,</w:t>
      </w:r>
      <w:r w:rsidRPr="002C4077">
        <w:t xml:space="preserve"> </w:t>
      </w:r>
      <w:r>
        <w:t>pour</w:t>
      </w:r>
      <w:r w:rsidRPr="002C4077">
        <w:t xml:space="preserve"> </w:t>
      </w:r>
      <w:r>
        <w:t>tirer</w:t>
      </w:r>
      <w:r w:rsidRPr="002C4077">
        <w:t xml:space="preserve"> </w:t>
      </w:r>
      <w:r>
        <w:t>de</w:t>
      </w:r>
      <w:r w:rsidRPr="002C4077">
        <w:t xml:space="preserve"> </w:t>
      </w:r>
      <w:r>
        <w:t>son</w:t>
      </w:r>
      <w:r w:rsidRPr="002C4077">
        <w:t xml:space="preserve"> </w:t>
      </w:r>
      <w:r>
        <w:t>ennemi</w:t>
      </w:r>
      <w:r w:rsidRPr="002C4077">
        <w:t xml:space="preserve"> </w:t>
      </w:r>
      <w:r>
        <w:t>une</w:t>
      </w:r>
      <w:r w:rsidRPr="002C4077">
        <w:t xml:space="preserve"> </w:t>
      </w:r>
      <w:r>
        <w:t>vengeance</w:t>
      </w:r>
      <w:r w:rsidRPr="002C4077">
        <w:t xml:space="preserve"> </w:t>
      </w:r>
      <w:r>
        <w:t>éclatante,</w:t>
      </w:r>
      <w:r w:rsidRPr="002C4077">
        <w:t xml:space="preserve"> </w:t>
      </w:r>
      <w:r>
        <w:t>quand</w:t>
      </w:r>
      <w:r w:rsidRPr="002C4077">
        <w:t xml:space="preserve"> </w:t>
      </w:r>
      <w:r>
        <w:t>il</w:t>
      </w:r>
      <w:r w:rsidRPr="002C4077">
        <w:t xml:space="preserve"> </w:t>
      </w:r>
      <w:r>
        <w:t>vit</w:t>
      </w:r>
      <w:r w:rsidRPr="002C4077">
        <w:t xml:space="preserve"> </w:t>
      </w:r>
      <w:r>
        <w:t>venir</w:t>
      </w:r>
      <w:r w:rsidRPr="002C4077">
        <w:t xml:space="preserve"> </w:t>
      </w:r>
      <w:r>
        <w:t>à</w:t>
      </w:r>
      <w:r w:rsidRPr="002C4077">
        <w:t xml:space="preserve"> </w:t>
      </w:r>
      <w:r>
        <w:t>sa</w:t>
      </w:r>
      <w:r w:rsidRPr="002C4077">
        <w:t xml:space="preserve"> </w:t>
      </w:r>
      <w:r>
        <w:t>rencontre,</w:t>
      </w:r>
      <w:r w:rsidRPr="002C4077">
        <w:t xml:space="preserve"> </w:t>
      </w:r>
      <w:r>
        <w:t>accompagnée</w:t>
      </w:r>
      <w:r w:rsidRPr="002C4077">
        <w:t xml:space="preserve"> </w:t>
      </w:r>
      <w:r>
        <w:t>de</w:t>
      </w:r>
      <w:r w:rsidRPr="002C4077">
        <w:t xml:space="preserve"> </w:t>
      </w:r>
      <w:r>
        <w:t>présents</w:t>
      </w:r>
      <w:r w:rsidRPr="002C4077">
        <w:t xml:space="preserve"> </w:t>
      </w:r>
      <w:r>
        <w:t>dignes</w:t>
      </w:r>
      <w:r w:rsidRPr="002C4077">
        <w:t xml:space="preserve"> </w:t>
      </w:r>
      <w:r>
        <w:t>de</w:t>
      </w:r>
      <w:r w:rsidRPr="002C4077">
        <w:t xml:space="preserve"> </w:t>
      </w:r>
      <w:r>
        <w:t>lui,</w:t>
      </w:r>
      <w:r w:rsidRPr="002C4077">
        <w:t xml:space="preserve"> </w:t>
      </w:r>
      <w:r>
        <w:t>Abigaïl,</w:t>
      </w:r>
      <w:r w:rsidRPr="002C4077">
        <w:t xml:space="preserve"> </w:t>
      </w:r>
      <w:r>
        <w:t>la</w:t>
      </w:r>
      <w:r w:rsidRPr="002C4077">
        <w:t xml:space="preserve"> </w:t>
      </w:r>
      <w:r>
        <w:t>femme</w:t>
      </w:r>
      <w:r w:rsidRPr="002C4077">
        <w:t xml:space="preserve"> </w:t>
      </w:r>
      <w:r>
        <w:t>non</w:t>
      </w:r>
      <w:r w:rsidRPr="002C4077">
        <w:t xml:space="preserve"> </w:t>
      </w:r>
      <w:r>
        <w:t>moins</w:t>
      </w:r>
      <w:r w:rsidRPr="002C4077">
        <w:t xml:space="preserve"> </w:t>
      </w:r>
      <w:r>
        <w:t>prudente</w:t>
      </w:r>
      <w:r w:rsidRPr="002C4077">
        <w:t xml:space="preserve"> </w:t>
      </w:r>
      <w:r>
        <w:t>que</w:t>
      </w:r>
      <w:r w:rsidRPr="002C4077">
        <w:t xml:space="preserve"> </w:t>
      </w:r>
      <w:r>
        <w:t>belle</w:t>
      </w:r>
      <w:r w:rsidRPr="002C4077">
        <w:t xml:space="preserve"> </w:t>
      </w:r>
      <w:r>
        <w:t>de</w:t>
      </w:r>
      <w:r w:rsidRPr="002C4077">
        <w:t xml:space="preserve"> </w:t>
      </w:r>
      <w:r>
        <w:t>l’insulteur</w:t>
      </w:r>
      <w:r w:rsidRPr="002C4077">
        <w:t xml:space="preserve"> </w:t>
      </w:r>
      <w:r>
        <w:t>insensé.</w:t>
      </w:r>
      <w:r w:rsidRPr="002C4077">
        <w:t xml:space="preserve"> </w:t>
      </w:r>
      <w:r>
        <w:t>Elle</w:t>
      </w:r>
      <w:r w:rsidRPr="002C4077">
        <w:t xml:space="preserve"> </w:t>
      </w:r>
      <w:r>
        <w:t>sut</w:t>
      </w:r>
      <w:r w:rsidRPr="002C4077">
        <w:t xml:space="preserve"> </w:t>
      </w:r>
      <w:r>
        <w:t>calmer</w:t>
      </w:r>
      <w:r w:rsidRPr="002C4077">
        <w:t xml:space="preserve"> </w:t>
      </w:r>
      <w:r>
        <w:t>la</w:t>
      </w:r>
      <w:r w:rsidRPr="002C4077">
        <w:t xml:space="preserve"> </w:t>
      </w:r>
      <w:r>
        <w:t>colère</w:t>
      </w:r>
      <w:r w:rsidRPr="002C4077">
        <w:t xml:space="preserve"> </w:t>
      </w:r>
      <w:r>
        <w:t>du</w:t>
      </w:r>
      <w:r w:rsidRPr="002C4077">
        <w:t xml:space="preserve"> </w:t>
      </w:r>
      <w:r>
        <w:t>jeune</w:t>
      </w:r>
      <w:r w:rsidRPr="002C4077">
        <w:t xml:space="preserve"> </w:t>
      </w:r>
      <w:r>
        <w:t>roi</w:t>
      </w:r>
      <w:r w:rsidRPr="002C4077">
        <w:t xml:space="preserve"> </w:t>
      </w:r>
      <w:r>
        <w:t>par</w:t>
      </w:r>
      <w:r w:rsidRPr="002C4077">
        <w:t xml:space="preserve"> </w:t>
      </w:r>
      <w:r>
        <w:t>d’habiles</w:t>
      </w:r>
      <w:r w:rsidRPr="002C4077">
        <w:t xml:space="preserve"> </w:t>
      </w:r>
      <w:r>
        <w:t>et</w:t>
      </w:r>
      <w:r w:rsidRPr="002C4077">
        <w:t xml:space="preserve"> </w:t>
      </w:r>
      <w:r>
        <w:t>d’élogieuses</w:t>
      </w:r>
      <w:r w:rsidRPr="002C4077">
        <w:t xml:space="preserve"> </w:t>
      </w:r>
      <w:r>
        <w:t>paroles.</w:t>
      </w:r>
      <w:r w:rsidRPr="002C4077">
        <w:t xml:space="preserve"> </w:t>
      </w:r>
      <w:r w:rsidR="00B546AF">
        <w:t>« </w:t>
      </w:r>
      <w:r>
        <w:t>S’il</w:t>
      </w:r>
      <w:r w:rsidRPr="002C4077">
        <w:t xml:space="preserve"> </w:t>
      </w:r>
      <w:r>
        <w:t>s’élevait</w:t>
      </w:r>
      <w:r w:rsidRPr="002C4077">
        <w:t xml:space="preserve"> </w:t>
      </w:r>
      <w:r>
        <w:t>un</w:t>
      </w:r>
      <w:r w:rsidRPr="002C4077">
        <w:t xml:space="preserve"> </w:t>
      </w:r>
      <w:r>
        <w:t>jour</w:t>
      </w:r>
      <w:r w:rsidRPr="002C4077">
        <w:t xml:space="preserve"> </w:t>
      </w:r>
      <w:r>
        <w:t>contre</w:t>
      </w:r>
      <w:r w:rsidRPr="002C4077">
        <w:t xml:space="preserve"> </w:t>
      </w:r>
      <w:r>
        <w:t>vous,</w:t>
      </w:r>
      <w:r w:rsidRPr="002C4077">
        <w:t xml:space="preserve"> </w:t>
      </w:r>
      <w:r>
        <w:t>—</w:t>
      </w:r>
      <w:r w:rsidRPr="002C4077">
        <w:t xml:space="preserve"> </w:t>
      </w:r>
      <w:r>
        <w:t>telle</w:t>
      </w:r>
      <w:r w:rsidRPr="002C4077">
        <w:t xml:space="preserve"> </w:t>
      </w:r>
      <w:r>
        <w:t>fut</w:t>
      </w:r>
      <w:r w:rsidRPr="002C4077">
        <w:t xml:space="preserve"> </w:t>
      </w:r>
      <w:r>
        <w:t>la</w:t>
      </w:r>
      <w:r w:rsidRPr="002C4077">
        <w:t xml:space="preserve"> </w:t>
      </w:r>
      <w:r>
        <w:t>péroraison</w:t>
      </w:r>
      <w:r w:rsidRPr="002C4077">
        <w:t xml:space="preserve"> </w:t>
      </w:r>
      <w:r>
        <w:t>de</w:t>
      </w:r>
      <w:r w:rsidRPr="002C4077">
        <w:t xml:space="preserve"> </w:t>
      </w:r>
      <w:r>
        <w:t>son</w:t>
      </w:r>
      <w:r w:rsidRPr="002C4077">
        <w:t xml:space="preserve"> </w:t>
      </w:r>
      <w:r>
        <w:t>petit</w:t>
      </w:r>
      <w:r w:rsidRPr="002C4077">
        <w:t xml:space="preserve"> </w:t>
      </w:r>
      <w:r>
        <w:t>discours,</w:t>
      </w:r>
      <w:r w:rsidRPr="002C4077">
        <w:t xml:space="preserve"> </w:t>
      </w:r>
      <w:r>
        <w:t>—</w:t>
      </w:r>
      <w:r w:rsidRPr="002C4077">
        <w:t xml:space="preserve"> </w:t>
      </w:r>
      <w:r>
        <w:t>quelqu’un</w:t>
      </w:r>
      <w:r w:rsidRPr="002C4077">
        <w:t xml:space="preserve"> </w:t>
      </w:r>
      <w:r>
        <w:t>qui</w:t>
      </w:r>
      <w:r w:rsidRPr="002C4077">
        <w:t xml:space="preserve"> </w:t>
      </w:r>
      <w:r>
        <w:t>vous</w:t>
      </w:r>
      <w:r w:rsidRPr="002C4077">
        <w:t xml:space="preserve"> </w:t>
      </w:r>
      <w:r>
        <w:t>persécutât</w:t>
      </w:r>
      <w:r w:rsidRPr="002C4077">
        <w:t xml:space="preserve"> </w:t>
      </w:r>
      <w:r>
        <w:t>et</w:t>
      </w:r>
      <w:r w:rsidRPr="002C4077">
        <w:t xml:space="preserve"> </w:t>
      </w:r>
      <w:r>
        <w:t>cherchât</w:t>
      </w:r>
      <w:r w:rsidRPr="002C4077">
        <w:t xml:space="preserve"> </w:t>
      </w:r>
      <w:r>
        <w:t>à</w:t>
      </w:r>
      <w:r w:rsidRPr="002C4077">
        <w:t xml:space="preserve"> </w:t>
      </w:r>
      <w:r>
        <w:t>vous</w:t>
      </w:r>
      <w:r w:rsidRPr="002C4077">
        <w:t xml:space="preserve"> </w:t>
      </w:r>
      <w:r>
        <w:t>ôter</w:t>
      </w:r>
      <w:r w:rsidRPr="002C4077">
        <w:t xml:space="preserve"> </w:t>
      </w:r>
      <w:r>
        <w:t>la</w:t>
      </w:r>
      <w:r w:rsidRPr="002C4077">
        <w:t xml:space="preserve"> </w:t>
      </w:r>
      <w:r>
        <w:t>vie,</w:t>
      </w:r>
      <w:r w:rsidRPr="002C4077">
        <w:t xml:space="preserve"> </w:t>
      </w:r>
      <w:r>
        <w:t>que</w:t>
      </w:r>
      <w:r w:rsidRPr="002C4077">
        <w:t xml:space="preserve"> </w:t>
      </w:r>
      <w:r>
        <w:t>votre</w:t>
      </w:r>
      <w:r w:rsidRPr="002C4077">
        <w:t xml:space="preserve"> </w:t>
      </w:r>
      <w:r>
        <w:t>âme,</w:t>
      </w:r>
      <w:r w:rsidRPr="002C4077">
        <w:t xml:space="preserve"> </w:t>
      </w:r>
      <w:r>
        <w:t>par</w:t>
      </w:r>
      <w:r w:rsidRPr="002C4077">
        <w:t xml:space="preserve"> </w:t>
      </w:r>
      <w:r>
        <w:t>un</w:t>
      </w:r>
      <w:r w:rsidRPr="002C4077">
        <w:t xml:space="preserve"> </w:t>
      </w:r>
      <w:r>
        <w:t>effet</w:t>
      </w:r>
      <w:r w:rsidRPr="002C4077">
        <w:t xml:space="preserve"> </w:t>
      </w:r>
      <w:r>
        <w:t>de</w:t>
      </w:r>
      <w:r w:rsidRPr="002C4077">
        <w:t xml:space="preserve"> </w:t>
      </w:r>
      <w:r>
        <w:t>la</w:t>
      </w:r>
      <w:r w:rsidRPr="002C4077">
        <w:t xml:space="preserve"> </w:t>
      </w:r>
      <w:r>
        <w:t>miséricorde</w:t>
      </w:r>
      <w:r w:rsidRPr="002C4077">
        <w:t xml:space="preserve"> </w:t>
      </w:r>
      <w:r>
        <w:t>de</w:t>
      </w:r>
      <w:r w:rsidRPr="002C4077">
        <w:t xml:space="preserve"> </w:t>
      </w:r>
      <w:r>
        <w:t>Jéhovah,</w:t>
      </w:r>
      <w:r w:rsidRPr="002C4077">
        <w:t xml:space="preserve"> </w:t>
      </w:r>
      <w:r>
        <w:t>votre</w:t>
      </w:r>
      <w:r w:rsidRPr="002C4077">
        <w:t xml:space="preserve"> </w:t>
      </w:r>
      <w:r>
        <w:t>Dieu,</w:t>
      </w:r>
      <w:r w:rsidRPr="002C4077">
        <w:t xml:space="preserve"> </w:t>
      </w:r>
      <w:r>
        <w:t>reste</w:t>
      </w:r>
      <w:r w:rsidRPr="002C4077">
        <w:t xml:space="preserve"> </w:t>
      </w:r>
      <w:r>
        <w:t>liée</w:t>
      </w:r>
      <w:r w:rsidRPr="002C4077">
        <w:t xml:space="preserve"> </w:t>
      </w:r>
      <w:r>
        <w:t>dans</w:t>
      </w:r>
      <w:r w:rsidRPr="002C4077">
        <w:t xml:space="preserve"> </w:t>
      </w:r>
      <w:r>
        <w:t>le</w:t>
      </w:r>
      <w:r w:rsidRPr="002C4077">
        <w:t xml:space="preserve"> </w:t>
      </w:r>
      <w:r>
        <w:t>faisceau</w:t>
      </w:r>
      <w:r w:rsidRPr="002C4077">
        <w:t xml:space="preserve"> </w:t>
      </w:r>
      <w:r>
        <w:t>des</w:t>
      </w:r>
      <w:r w:rsidRPr="002C4077">
        <w:t xml:space="preserve"> </w:t>
      </w:r>
      <w:r>
        <w:t>vivants</w:t>
      </w:r>
      <w:r w:rsidR="00B546AF">
        <w:t> ! »</w:t>
      </w:r>
      <w:r w:rsidRPr="002C4077">
        <w:t xml:space="preserve"> </w:t>
      </w:r>
      <w:r>
        <w:t>Sur</w:t>
      </w:r>
      <w:r w:rsidRPr="002C4077">
        <w:t xml:space="preserve"> </w:t>
      </w:r>
      <w:r>
        <w:t>les</w:t>
      </w:r>
      <w:r w:rsidRPr="002C4077">
        <w:t xml:space="preserve"> </w:t>
      </w:r>
      <w:r>
        <w:t>épitaphes</w:t>
      </w:r>
      <w:r w:rsidRPr="002C4077">
        <w:t xml:space="preserve"> </w:t>
      </w:r>
      <w:r>
        <w:t>juives,</w:t>
      </w:r>
      <w:r w:rsidRPr="002C4077">
        <w:t xml:space="preserve"> </w:t>
      </w:r>
      <w:r>
        <w:t>il</w:t>
      </w:r>
      <w:r w:rsidRPr="002C4077">
        <w:t xml:space="preserve"> </w:t>
      </w:r>
      <w:r>
        <w:t>faut</w:t>
      </w:r>
      <w:r w:rsidRPr="002C4077">
        <w:t xml:space="preserve"> </w:t>
      </w:r>
      <w:r>
        <w:t>entendre</w:t>
      </w:r>
      <w:r w:rsidRPr="002C4077">
        <w:t xml:space="preserve"> </w:t>
      </w:r>
      <w:r>
        <w:t>par</w:t>
      </w:r>
      <w:r w:rsidRPr="002C4077">
        <w:t xml:space="preserve"> </w:t>
      </w:r>
      <w:r w:rsidR="00B546AF">
        <w:t>« </w:t>
      </w:r>
      <w:r>
        <w:t>le</w:t>
      </w:r>
      <w:r w:rsidRPr="002C4077">
        <w:t xml:space="preserve"> </w:t>
      </w:r>
      <w:r>
        <w:t>faisceau</w:t>
      </w:r>
      <w:r w:rsidRPr="002C4077">
        <w:t xml:space="preserve"> </w:t>
      </w:r>
      <w:r>
        <w:t>des</w:t>
      </w:r>
      <w:r w:rsidRPr="002C4077">
        <w:t xml:space="preserve"> </w:t>
      </w:r>
      <w:r>
        <w:t>vivants</w:t>
      </w:r>
      <w:r w:rsidR="00B546AF">
        <w:t> »</w:t>
      </w:r>
      <w:r w:rsidRPr="002C4077">
        <w:t xml:space="preserve"> </w:t>
      </w:r>
      <w:r>
        <w:t>le</w:t>
      </w:r>
      <w:r w:rsidRPr="002C4077">
        <w:t xml:space="preserve"> </w:t>
      </w:r>
      <w:r>
        <w:t>séjour</w:t>
      </w:r>
      <w:r w:rsidRPr="002C4077">
        <w:t xml:space="preserve"> </w:t>
      </w:r>
      <w:r>
        <w:t>du</w:t>
      </w:r>
      <w:r w:rsidRPr="002C4077">
        <w:t xml:space="preserve"> </w:t>
      </w:r>
      <w:r>
        <w:t>Ciel,</w:t>
      </w:r>
      <w:r w:rsidRPr="002C4077">
        <w:t xml:space="preserve"> </w:t>
      </w:r>
      <w:r>
        <w:t>où</w:t>
      </w:r>
      <w:r w:rsidRPr="002C4077">
        <w:t xml:space="preserve"> </w:t>
      </w:r>
      <w:r>
        <w:t>sont</w:t>
      </w:r>
      <w:r w:rsidRPr="002C4077">
        <w:t xml:space="preserve"> </w:t>
      </w:r>
      <w:r>
        <w:t>réunis</w:t>
      </w:r>
      <w:r w:rsidRPr="002C4077">
        <w:t xml:space="preserve"> </w:t>
      </w:r>
      <w:r>
        <w:t>comme</w:t>
      </w:r>
      <w:r w:rsidRPr="002C4077">
        <w:t xml:space="preserve"> </w:t>
      </w:r>
      <w:r>
        <w:t>un</w:t>
      </w:r>
      <w:r w:rsidRPr="002C4077">
        <w:t xml:space="preserve"> </w:t>
      </w:r>
      <w:r>
        <w:t>faisceau</w:t>
      </w:r>
      <w:r w:rsidRPr="002C4077">
        <w:t xml:space="preserve"> </w:t>
      </w:r>
      <w:r>
        <w:t>glorieux</w:t>
      </w:r>
      <w:r w:rsidRPr="002C4077">
        <w:t xml:space="preserve"> </w:t>
      </w:r>
      <w:r>
        <w:t>tous</w:t>
      </w:r>
      <w:r w:rsidRPr="002C4077">
        <w:t xml:space="preserve"> </w:t>
      </w:r>
      <w:r>
        <w:t>ceux</w:t>
      </w:r>
      <w:r w:rsidRPr="002C4077">
        <w:t xml:space="preserve"> </w:t>
      </w:r>
      <w:r>
        <w:t>qui</w:t>
      </w:r>
      <w:r w:rsidRPr="002C4077">
        <w:t xml:space="preserve"> </w:t>
      </w:r>
      <w:r>
        <w:t>jouissent</w:t>
      </w:r>
      <w:r w:rsidRPr="002C4077">
        <w:t xml:space="preserve"> </w:t>
      </w:r>
      <w:r w:rsidR="00B800F8">
        <w:t xml:space="preserve">de </w:t>
      </w:r>
      <w:r>
        <w:t>la</w:t>
      </w:r>
      <w:r w:rsidRPr="002C4077">
        <w:t xml:space="preserve"> </w:t>
      </w:r>
      <w:r>
        <w:t>vie</w:t>
      </w:r>
      <w:r w:rsidRPr="002C4077">
        <w:t xml:space="preserve"> </w:t>
      </w:r>
      <w:r>
        <w:t>éternelle.</w:t>
      </w:r>
      <w:r w:rsidR="00C45B47">
        <w:t xml:space="preserve"> {</w:t>
      </w:r>
      <w:r w:rsidR="005E2129">
        <w:t>297</w:t>
      </w:r>
      <w:bookmarkStart w:id="723" w:name="p297"/>
      <w:bookmarkEnd w:id="723"/>
      <w:r w:rsidR="005E2129">
        <w:t xml:space="preserve">} </w:t>
      </w:r>
      <w:r>
        <w:t>Indépendamment</w:t>
      </w:r>
      <w:r w:rsidRPr="002C4077">
        <w:t xml:space="preserve"> </w:t>
      </w:r>
      <w:r>
        <w:t>de</w:t>
      </w:r>
      <w:r w:rsidRPr="002C4077">
        <w:t xml:space="preserve"> </w:t>
      </w:r>
      <w:r>
        <w:t>l’allusion</w:t>
      </w:r>
      <w:r w:rsidRPr="002C4077">
        <w:t xml:space="preserve"> </w:t>
      </w:r>
      <w:r>
        <w:t>biblique,</w:t>
      </w:r>
      <w:r w:rsidRPr="002C4077">
        <w:t xml:space="preserve"> </w:t>
      </w:r>
      <w:r>
        <w:t>cette</w:t>
      </w:r>
      <w:r w:rsidRPr="002C4077">
        <w:t xml:space="preserve"> </w:t>
      </w:r>
      <w:r>
        <w:t>formule</w:t>
      </w:r>
      <w:r w:rsidRPr="002C4077">
        <w:t xml:space="preserve"> </w:t>
      </w:r>
      <w:r>
        <w:t>ne</w:t>
      </w:r>
      <w:r w:rsidRPr="002C4077">
        <w:t xml:space="preserve"> </w:t>
      </w:r>
      <w:r>
        <w:t>manque</w:t>
      </w:r>
      <w:r w:rsidRPr="002C4077">
        <w:t xml:space="preserve"> </w:t>
      </w:r>
      <w:r>
        <w:t>donc</w:t>
      </w:r>
      <w:r w:rsidRPr="002C4077">
        <w:t xml:space="preserve"> </w:t>
      </w:r>
      <w:r>
        <w:t>pas</w:t>
      </w:r>
      <w:r w:rsidRPr="002C4077">
        <w:t xml:space="preserve"> </w:t>
      </w:r>
      <w:r>
        <w:t>de</w:t>
      </w:r>
      <w:r w:rsidRPr="002C4077">
        <w:t xml:space="preserve"> </w:t>
      </w:r>
      <w:r>
        <w:t>beauté.</w:t>
      </w:r>
      <w:r w:rsidRPr="002C4077">
        <w:t xml:space="preserve"> </w:t>
      </w:r>
    </w:p>
    <w:p w:rsidR="000A7AAB" w:rsidRDefault="000A7AAB" w:rsidP="000D4F31">
      <w:pPr>
        <w:pStyle w:val="LcCentrum"/>
      </w:pPr>
      <w:r>
        <w:t>Ci-gît</w:t>
      </w:r>
      <w:r w:rsidRPr="002C4077">
        <w:t xml:space="preserve"> </w:t>
      </w:r>
      <w:r>
        <w:t>Séphora</w:t>
      </w:r>
      <w:r w:rsidRPr="002C4077">
        <w:t xml:space="preserve"> </w:t>
      </w:r>
      <w:r>
        <w:t>M.</w:t>
      </w:r>
      <w:r w:rsidRPr="002C4077">
        <w:t xml:space="preserve"> </w:t>
      </w:r>
    </w:p>
    <w:p w:rsidR="000A7AAB" w:rsidRDefault="000A7AAB" w:rsidP="000D4F31">
      <w:pPr>
        <w:pStyle w:val="LcCentrum"/>
      </w:pPr>
      <w:r>
        <w:rPr>
          <w:smallCaps/>
        </w:rPr>
        <w:t>Femme</w:t>
      </w:r>
      <w:r w:rsidRPr="002C4077">
        <w:t xml:space="preserve"> </w:t>
      </w:r>
      <w:r>
        <w:rPr>
          <w:smallCaps/>
        </w:rPr>
        <w:t>de</w:t>
      </w:r>
      <w:r w:rsidRPr="002C4077">
        <w:t xml:space="preserve"> </w:t>
      </w:r>
      <w:r>
        <w:rPr>
          <w:smallCaps/>
        </w:rPr>
        <w:t>Mardochaï</w:t>
      </w:r>
      <w:r w:rsidRPr="002C4077">
        <w:t xml:space="preserve"> </w:t>
      </w:r>
      <w:r>
        <w:rPr>
          <w:smallCaps/>
        </w:rPr>
        <w:t>le</w:t>
      </w:r>
      <w:r w:rsidRPr="002C4077">
        <w:t xml:space="preserve"> </w:t>
      </w:r>
      <w:r>
        <w:rPr>
          <w:smallCaps/>
        </w:rPr>
        <w:t>Lévite.</w:t>
      </w:r>
      <w:r w:rsidRPr="002C4077">
        <w:t xml:space="preserve"> </w:t>
      </w:r>
    </w:p>
    <w:p w:rsidR="000A7AAB" w:rsidRDefault="000A7AAB" w:rsidP="000D4F31">
      <w:pPr>
        <w:pStyle w:val="LcCentrum"/>
      </w:pPr>
      <w:r>
        <w:t>Elle</w:t>
      </w:r>
      <w:r w:rsidRPr="002C4077">
        <w:t xml:space="preserve"> </w:t>
      </w:r>
      <w:r>
        <w:t>a</w:t>
      </w:r>
      <w:r w:rsidRPr="002C4077">
        <w:t xml:space="preserve"> </w:t>
      </w:r>
      <w:r>
        <w:t>été</w:t>
      </w:r>
      <w:r w:rsidRPr="002C4077">
        <w:t xml:space="preserve"> </w:t>
      </w:r>
      <w:r>
        <w:t>retranchée</w:t>
      </w:r>
      <w:r w:rsidRPr="002C4077">
        <w:t xml:space="preserve"> </w:t>
      </w:r>
      <w:r>
        <w:t>le</w:t>
      </w:r>
      <w:r w:rsidRPr="002C4077">
        <w:t xml:space="preserve"> </w:t>
      </w:r>
      <w:r>
        <w:t>10</w:t>
      </w:r>
      <w:r w:rsidRPr="002C4077">
        <w:t xml:space="preserve"> </w:t>
      </w:r>
      <w:r>
        <w:t>du</w:t>
      </w:r>
      <w:r w:rsidRPr="002C4077">
        <w:t xml:space="preserve"> </w:t>
      </w:r>
      <w:r>
        <w:t>mois</w:t>
      </w:r>
      <w:r w:rsidRPr="002C4077">
        <w:t xml:space="preserve"> </w:t>
      </w:r>
      <w:r>
        <w:t>d’iyard</w:t>
      </w:r>
      <w:r w:rsidRPr="002C4077">
        <w:t xml:space="preserve"> </w:t>
      </w:r>
      <w:r>
        <w:t>5630.</w:t>
      </w:r>
      <w:r w:rsidRPr="002C4077">
        <w:t xml:space="preserve"> </w:t>
      </w:r>
    </w:p>
    <w:p w:rsidR="000A7AAB" w:rsidRDefault="000A7AAB" w:rsidP="000A7AAB">
      <w:r w:rsidRPr="000C09E0">
        <w:t>Le</w:t>
      </w:r>
      <w:r w:rsidRPr="002C4077">
        <w:t xml:space="preserve"> </w:t>
      </w:r>
      <w:r w:rsidRPr="000C09E0">
        <w:t>mois</w:t>
      </w:r>
      <w:r w:rsidRPr="002C4077">
        <w:t xml:space="preserve"> </w:t>
      </w:r>
      <w:r w:rsidRPr="000C09E0">
        <w:t>d’</w:t>
      </w:r>
      <w:r w:rsidRPr="000A34B5">
        <w:rPr>
          <w:rStyle w:val="italicus"/>
        </w:rPr>
        <w:t>iyard</w:t>
      </w:r>
      <w:r w:rsidRPr="002C4077">
        <w:t xml:space="preserve"> </w:t>
      </w:r>
      <w:r w:rsidR="00425C50">
        <w:t>est</w:t>
      </w:r>
      <w:r w:rsidRPr="002C4077">
        <w:t xml:space="preserve"> </w:t>
      </w:r>
      <w:r>
        <w:t>le</w:t>
      </w:r>
      <w:r w:rsidRPr="002C4077">
        <w:t xml:space="preserve"> </w:t>
      </w:r>
      <w:r>
        <w:t>huitième</w:t>
      </w:r>
      <w:r w:rsidRPr="002C4077">
        <w:t xml:space="preserve"> </w:t>
      </w:r>
      <w:r>
        <w:t>de</w:t>
      </w:r>
      <w:r w:rsidRPr="002C4077">
        <w:t xml:space="preserve"> </w:t>
      </w:r>
      <w:r>
        <w:t>l’année</w:t>
      </w:r>
      <w:r w:rsidRPr="002C4077">
        <w:t xml:space="preserve"> </w:t>
      </w:r>
      <w:r>
        <w:t>juive</w:t>
      </w:r>
      <w:r w:rsidR="00B546AF">
        <w:t> :</w:t>
      </w:r>
      <w:r w:rsidRPr="002C4077">
        <w:t xml:space="preserve"> </w:t>
      </w:r>
      <w:r>
        <w:t>il</w:t>
      </w:r>
      <w:r w:rsidRPr="002C4077">
        <w:t xml:space="preserve"> </w:t>
      </w:r>
      <w:r>
        <w:t>correspond</w:t>
      </w:r>
      <w:r w:rsidRPr="002C4077">
        <w:t xml:space="preserve"> </w:t>
      </w:r>
      <w:r>
        <w:t>à</w:t>
      </w:r>
      <w:r w:rsidRPr="002C4077">
        <w:t xml:space="preserve"> </w:t>
      </w:r>
      <w:r>
        <w:t>la</w:t>
      </w:r>
      <w:r w:rsidRPr="002C4077">
        <w:t xml:space="preserve"> </w:t>
      </w:r>
      <w:r>
        <w:t>fin</w:t>
      </w:r>
      <w:r w:rsidRPr="002C4077">
        <w:t xml:space="preserve"> </w:t>
      </w:r>
      <w:r>
        <w:t>d’avril</w:t>
      </w:r>
      <w:r w:rsidRPr="002C4077">
        <w:t xml:space="preserve"> </w:t>
      </w:r>
      <w:r>
        <w:t>et</w:t>
      </w:r>
      <w:r w:rsidRPr="002C4077">
        <w:t xml:space="preserve"> </w:t>
      </w:r>
      <w:r>
        <w:t>au</w:t>
      </w:r>
      <w:r w:rsidRPr="002C4077">
        <w:t xml:space="preserve"> </w:t>
      </w:r>
      <w:r>
        <w:t>commencement</w:t>
      </w:r>
      <w:r w:rsidRPr="002C4077">
        <w:t xml:space="preserve"> </w:t>
      </w:r>
      <w:r>
        <w:t>de</w:t>
      </w:r>
      <w:r w:rsidRPr="002C4077">
        <w:t xml:space="preserve"> </w:t>
      </w:r>
      <w:r>
        <w:t>mai.</w:t>
      </w:r>
      <w:r w:rsidRPr="002C4077">
        <w:t xml:space="preserve"> </w:t>
      </w:r>
      <w:r w:rsidRPr="000A34B5">
        <w:rPr>
          <w:rStyle w:val="italicus"/>
        </w:rPr>
        <w:t>—</w:t>
      </w:r>
      <w:r w:rsidRPr="002C4077">
        <w:t xml:space="preserve"> </w:t>
      </w:r>
      <w:r w:rsidRPr="000A34B5">
        <w:rPr>
          <w:rStyle w:val="italicus"/>
        </w:rPr>
        <w:t>Le</w:t>
      </w:r>
      <w:r w:rsidRPr="002C4077">
        <w:t xml:space="preserve"> </w:t>
      </w:r>
      <w:r w:rsidRPr="000A34B5">
        <w:rPr>
          <w:rStyle w:val="italicus"/>
        </w:rPr>
        <w:t>Lévite.</w:t>
      </w:r>
      <w:bookmarkStart w:id="724" w:name="z_Levites_o1"/>
      <w:bookmarkEnd w:id="724"/>
      <w:r w:rsidRPr="002C4077">
        <w:t xml:space="preserve"> </w:t>
      </w:r>
      <w:r>
        <w:t>Nous</w:t>
      </w:r>
      <w:r w:rsidRPr="002C4077">
        <w:t xml:space="preserve"> </w:t>
      </w:r>
      <w:r>
        <w:t>avons</w:t>
      </w:r>
      <w:r w:rsidRPr="002C4077">
        <w:t xml:space="preserve"> </w:t>
      </w:r>
      <w:r>
        <w:t>parlé</w:t>
      </w:r>
      <w:r w:rsidRPr="002C4077">
        <w:t xml:space="preserve"> </w:t>
      </w:r>
      <w:r>
        <w:t>plus</w:t>
      </w:r>
      <w:r w:rsidRPr="002C4077">
        <w:t xml:space="preserve"> </w:t>
      </w:r>
      <w:r>
        <w:t>haut</w:t>
      </w:r>
      <w:r w:rsidRPr="002C4077">
        <w:t xml:space="preserve"> </w:t>
      </w:r>
      <w:r>
        <w:t>des</w:t>
      </w:r>
      <w:r w:rsidRPr="002C4077">
        <w:t xml:space="preserve"> </w:t>
      </w:r>
      <w:r w:rsidRPr="000A34B5">
        <w:rPr>
          <w:rStyle w:val="italicus"/>
        </w:rPr>
        <w:t>cohanim,</w:t>
      </w:r>
      <w:r w:rsidRPr="002C4077">
        <w:t xml:space="preserve"> </w:t>
      </w:r>
      <w:r>
        <w:t>ou</w:t>
      </w:r>
      <w:r w:rsidRPr="002C4077">
        <w:t xml:space="preserve"> </w:t>
      </w:r>
      <w:r>
        <w:t>descendants</w:t>
      </w:r>
      <w:r w:rsidRPr="002C4077">
        <w:t xml:space="preserve"> </w:t>
      </w:r>
      <w:r>
        <w:t>des</w:t>
      </w:r>
      <w:r w:rsidRPr="002C4077">
        <w:t xml:space="preserve"> </w:t>
      </w:r>
      <w:r>
        <w:t>anciens</w:t>
      </w:r>
      <w:r w:rsidRPr="002C4077">
        <w:t xml:space="preserve"> </w:t>
      </w:r>
      <w:r w:rsidR="00425C50">
        <w:t>prêtre</w:t>
      </w:r>
      <w:r>
        <w:t>s</w:t>
      </w:r>
      <w:r w:rsidRPr="002C4077">
        <w:t xml:space="preserve"> </w:t>
      </w:r>
      <w:r>
        <w:t>juifs.</w:t>
      </w:r>
      <w:r w:rsidRPr="002C4077">
        <w:t xml:space="preserve"> </w:t>
      </w:r>
      <w:r>
        <w:t>Les</w:t>
      </w:r>
      <w:r w:rsidRPr="002C4077">
        <w:t xml:space="preserve"> </w:t>
      </w:r>
      <w:r>
        <w:t>Israélites</w:t>
      </w:r>
      <w:r w:rsidRPr="002C4077">
        <w:t xml:space="preserve"> </w:t>
      </w:r>
      <w:r>
        <w:t>plus</w:t>
      </w:r>
      <w:r w:rsidRPr="002C4077">
        <w:t xml:space="preserve"> </w:t>
      </w:r>
      <w:r>
        <w:t>nombreux</w:t>
      </w:r>
      <w:r w:rsidRPr="002C4077">
        <w:t xml:space="preserve"> </w:t>
      </w:r>
      <w:r>
        <w:t>encore</w:t>
      </w:r>
      <w:r w:rsidRPr="002C4077">
        <w:t xml:space="preserve"> </w:t>
      </w:r>
      <w:r>
        <w:t>qui</w:t>
      </w:r>
      <w:r w:rsidRPr="002C4077">
        <w:t xml:space="preserve"> </w:t>
      </w:r>
      <w:r>
        <w:t>portent</w:t>
      </w:r>
      <w:r w:rsidRPr="002C4077">
        <w:t xml:space="preserve"> </w:t>
      </w:r>
      <w:r>
        <w:t>les</w:t>
      </w:r>
      <w:r w:rsidRPr="002C4077">
        <w:t xml:space="preserve"> </w:t>
      </w:r>
      <w:r>
        <w:t>noms</w:t>
      </w:r>
      <w:r w:rsidRPr="002C4077">
        <w:t xml:space="preserve"> </w:t>
      </w:r>
      <w:r>
        <w:t>de</w:t>
      </w:r>
      <w:r w:rsidRPr="002C4077">
        <w:t xml:space="preserve"> </w:t>
      </w:r>
      <w:r>
        <w:t>Lévy,</w:t>
      </w:r>
      <w:r w:rsidRPr="002C4077">
        <w:t xml:space="preserve"> </w:t>
      </w:r>
      <w:r>
        <w:t>de</w:t>
      </w:r>
      <w:r w:rsidRPr="002C4077">
        <w:t xml:space="preserve"> </w:t>
      </w:r>
      <w:r>
        <w:t>Lœw,</w:t>
      </w:r>
      <w:r w:rsidRPr="002C4077">
        <w:t xml:space="preserve"> </w:t>
      </w:r>
      <w:r>
        <w:t>de</w:t>
      </w:r>
      <w:r w:rsidRPr="002C4077">
        <w:t xml:space="preserve"> </w:t>
      </w:r>
      <w:r>
        <w:t>Lœb,</w:t>
      </w:r>
      <w:r w:rsidRPr="002C4077">
        <w:t xml:space="preserve"> </w:t>
      </w:r>
      <w:r>
        <w:t>d’Halévy,</w:t>
      </w:r>
      <w:r w:rsidRPr="002C4077">
        <w:t xml:space="preserve"> </w:t>
      </w:r>
      <w:r w:rsidR="00425C50">
        <w:t>etc</w:t>
      </w:r>
      <w:r>
        <w:t>.,</w:t>
      </w:r>
      <w:r w:rsidRPr="002C4077">
        <w:t xml:space="preserve"> </w:t>
      </w:r>
      <w:r>
        <w:t>—</w:t>
      </w:r>
      <w:r w:rsidRPr="002C4077">
        <w:t xml:space="preserve"> </w:t>
      </w:r>
      <w:r>
        <w:t>noms</w:t>
      </w:r>
      <w:r w:rsidRPr="002C4077">
        <w:t xml:space="preserve"> </w:t>
      </w:r>
      <w:r>
        <w:t>identiques</w:t>
      </w:r>
      <w:r w:rsidRPr="002C4077">
        <w:t xml:space="preserve"> </w:t>
      </w:r>
      <w:r>
        <w:t>sous</w:t>
      </w:r>
      <w:r w:rsidRPr="002C4077">
        <w:t xml:space="preserve"> </w:t>
      </w:r>
      <w:r>
        <w:t>leurs</w:t>
      </w:r>
      <w:r w:rsidRPr="002C4077">
        <w:t xml:space="preserve"> </w:t>
      </w:r>
      <w:r>
        <w:t>formes</w:t>
      </w:r>
      <w:r w:rsidRPr="002C4077">
        <w:t xml:space="preserve"> </w:t>
      </w:r>
      <w:r>
        <w:t>variées,</w:t>
      </w:r>
      <w:r w:rsidRPr="002C4077">
        <w:t xml:space="preserve"> </w:t>
      </w:r>
      <w:r>
        <w:t>—</w:t>
      </w:r>
      <w:r w:rsidRPr="002C4077">
        <w:t xml:space="preserve"> </w:t>
      </w:r>
      <w:r>
        <w:t>descendent</w:t>
      </w:r>
      <w:r w:rsidRPr="002C4077">
        <w:t xml:space="preserve"> </w:t>
      </w:r>
      <w:r>
        <w:t>pareillement</w:t>
      </w:r>
      <w:r w:rsidRPr="002C4077">
        <w:t xml:space="preserve"> </w:t>
      </w:r>
      <w:r>
        <w:t>des</w:t>
      </w:r>
      <w:r w:rsidRPr="002C4077">
        <w:t xml:space="preserve"> </w:t>
      </w:r>
      <w:r>
        <w:t>anciens</w:t>
      </w:r>
      <w:r w:rsidRPr="002C4077">
        <w:t xml:space="preserve"> </w:t>
      </w:r>
      <w:r>
        <w:t>Lévites.</w:t>
      </w:r>
      <w:r w:rsidRPr="002C4077">
        <w:t xml:space="preserve"> </w:t>
      </w:r>
      <w:r>
        <w:t>Mention</w:t>
      </w:r>
      <w:r w:rsidRPr="002C4077">
        <w:t xml:space="preserve"> </w:t>
      </w:r>
      <w:r w:rsidR="00425C50">
        <w:t>est</w:t>
      </w:r>
      <w:r w:rsidRPr="002C4077">
        <w:t xml:space="preserve"> </w:t>
      </w:r>
      <w:r>
        <w:t>faite</w:t>
      </w:r>
      <w:r w:rsidRPr="002C4077">
        <w:t xml:space="preserve"> </w:t>
      </w:r>
      <w:r>
        <w:t>de</w:t>
      </w:r>
      <w:r w:rsidRPr="002C4077">
        <w:t xml:space="preserve"> </w:t>
      </w:r>
      <w:r>
        <w:t>cette</w:t>
      </w:r>
      <w:r w:rsidRPr="002C4077">
        <w:t xml:space="preserve"> </w:t>
      </w:r>
      <w:r>
        <w:t>dignité</w:t>
      </w:r>
      <w:r w:rsidRPr="002C4077">
        <w:t xml:space="preserve"> </w:t>
      </w:r>
      <w:r>
        <w:t>sur</w:t>
      </w:r>
      <w:r w:rsidRPr="002C4077">
        <w:t xml:space="preserve"> </w:t>
      </w:r>
      <w:r>
        <w:t>leurs</w:t>
      </w:r>
      <w:r w:rsidRPr="002C4077">
        <w:t xml:space="preserve"> </w:t>
      </w:r>
      <w:r>
        <w:t>tombes.</w:t>
      </w:r>
      <w:r w:rsidRPr="002C4077">
        <w:t xml:space="preserve"> </w:t>
      </w:r>
    </w:p>
    <w:p w:rsidR="00EF54D3" w:rsidRDefault="000A7AAB" w:rsidP="000D4F31">
      <w:pPr>
        <w:pStyle w:val="LcCentrum"/>
      </w:pPr>
      <w:r>
        <w:t>Ci-gît</w:t>
      </w:r>
      <w:r w:rsidRPr="002C4077">
        <w:t xml:space="preserve"> </w:t>
      </w:r>
      <w:r>
        <w:t>la</w:t>
      </w:r>
      <w:r w:rsidRPr="002C4077">
        <w:t xml:space="preserve"> </w:t>
      </w:r>
      <w:r>
        <w:t>femme</w:t>
      </w:r>
      <w:r w:rsidRPr="002C4077">
        <w:t xml:space="preserve"> </w:t>
      </w:r>
      <w:r>
        <w:t>forte</w:t>
      </w:r>
      <w:r w:rsidRPr="002C4077">
        <w:t xml:space="preserve"> </w:t>
      </w:r>
    </w:p>
    <w:p w:rsidR="00EF54D3" w:rsidRPr="00EF54D3" w:rsidRDefault="000A7AAB" w:rsidP="000D4F31">
      <w:pPr>
        <w:pStyle w:val="LcCentrum"/>
        <w:rPr>
          <w:rStyle w:val="pm"/>
        </w:rPr>
      </w:pPr>
      <w:r w:rsidRPr="00EF54D3">
        <w:rPr>
          <w:rStyle w:val="pm"/>
        </w:rPr>
        <w:t>Dame</w:t>
      </w:r>
      <w:r w:rsidRPr="002C4077">
        <w:t xml:space="preserve"> </w:t>
      </w:r>
      <w:r w:rsidRPr="00EF54D3">
        <w:rPr>
          <w:rStyle w:val="pm"/>
        </w:rPr>
        <w:t>Rachel,</w:t>
      </w:r>
      <w:r w:rsidRPr="002C4077">
        <w:t xml:space="preserve"> </w:t>
      </w:r>
      <w:r w:rsidRPr="00EF54D3">
        <w:rPr>
          <w:rStyle w:val="pm"/>
        </w:rPr>
        <w:t>fille</w:t>
      </w:r>
      <w:r w:rsidRPr="002C4077">
        <w:t xml:space="preserve"> </w:t>
      </w:r>
      <w:r w:rsidRPr="00EF54D3">
        <w:rPr>
          <w:rStyle w:val="pm"/>
        </w:rPr>
        <w:t>de</w:t>
      </w:r>
      <w:r w:rsidRPr="002C4077">
        <w:t xml:space="preserve"> </w:t>
      </w:r>
      <w:r w:rsidRPr="00EF54D3">
        <w:rPr>
          <w:rStyle w:val="pm"/>
        </w:rPr>
        <w:t>Jochanan,</w:t>
      </w:r>
      <w:r w:rsidRPr="002C4077">
        <w:t xml:space="preserve"> </w:t>
      </w:r>
    </w:p>
    <w:p w:rsidR="000A7AAB" w:rsidRPr="00EF54D3" w:rsidRDefault="000A7AAB" w:rsidP="000D4F31">
      <w:pPr>
        <w:pStyle w:val="LcCentrum"/>
        <w:rPr>
          <w:rStyle w:val="pm"/>
        </w:rPr>
      </w:pPr>
      <w:r w:rsidRPr="00EF54D3">
        <w:rPr>
          <w:rStyle w:val="pm"/>
        </w:rPr>
        <w:t>Femme</w:t>
      </w:r>
      <w:r w:rsidRPr="002C4077">
        <w:t xml:space="preserve"> </w:t>
      </w:r>
      <w:r w:rsidRPr="00EF54D3">
        <w:rPr>
          <w:rStyle w:val="pm"/>
        </w:rPr>
        <w:t>de</w:t>
      </w:r>
      <w:r w:rsidRPr="002C4077">
        <w:t xml:space="preserve"> </w:t>
      </w:r>
      <w:r w:rsidRPr="00EF54D3">
        <w:rPr>
          <w:rStyle w:val="pm"/>
        </w:rPr>
        <w:t>Simon.</w:t>
      </w:r>
      <w:r w:rsidRPr="002C4077">
        <w:t xml:space="preserve"> </w:t>
      </w:r>
    </w:p>
    <w:p w:rsidR="000A7AAB" w:rsidRDefault="000A7AAB" w:rsidP="000D4F31">
      <w:pPr>
        <w:pStyle w:val="LcCentrum"/>
      </w:pPr>
      <w:r>
        <w:t>Elle</w:t>
      </w:r>
      <w:r w:rsidRPr="002C4077">
        <w:t xml:space="preserve"> </w:t>
      </w:r>
      <w:r>
        <w:t>a</w:t>
      </w:r>
      <w:r w:rsidRPr="002C4077">
        <w:t xml:space="preserve"> </w:t>
      </w:r>
      <w:r>
        <w:t>été</w:t>
      </w:r>
      <w:r w:rsidRPr="002C4077">
        <w:t xml:space="preserve"> </w:t>
      </w:r>
      <w:r>
        <w:t>retranchée</w:t>
      </w:r>
      <w:r w:rsidRPr="002C4077">
        <w:t xml:space="preserve"> </w:t>
      </w:r>
      <w:r>
        <w:t>le</w:t>
      </w:r>
      <w:r w:rsidRPr="002C4077">
        <w:t xml:space="preserve"> </w:t>
      </w:r>
      <w:r>
        <w:t>10</w:t>
      </w:r>
      <w:r w:rsidRPr="002C4077">
        <w:t xml:space="preserve"> </w:t>
      </w:r>
      <w:r>
        <w:t>cislev</w:t>
      </w:r>
      <w:r w:rsidRPr="002C4077">
        <w:t xml:space="preserve"> </w:t>
      </w:r>
      <w:r>
        <w:t>5634.</w:t>
      </w:r>
      <w:r w:rsidRPr="002C4077">
        <w:t xml:space="preserve"> </w:t>
      </w:r>
    </w:p>
    <w:p w:rsidR="000A7AAB" w:rsidRPr="005E2129" w:rsidRDefault="000A7AAB" w:rsidP="000A7AAB">
      <w:r w:rsidRPr="000A34B5">
        <w:rPr>
          <w:rStyle w:val="italicus"/>
        </w:rPr>
        <w:t>La</w:t>
      </w:r>
      <w:r w:rsidRPr="002C4077">
        <w:t xml:space="preserve"> </w:t>
      </w:r>
      <w:r w:rsidRPr="000A34B5">
        <w:rPr>
          <w:rStyle w:val="italicus"/>
        </w:rPr>
        <w:t>femme</w:t>
      </w:r>
      <w:r w:rsidRPr="002C4077">
        <w:t xml:space="preserve"> </w:t>
      </w:r>
      <w:r w:rsidRPr="000A34B5">
        <w:rPr>
          <w:rStyle w:val="italicus"/>
        </w:rPr>
        <w:t>forte.</w:t>
      </w:r>
      <w:r w:rsidRPr="002C4077">
        <w:t xml:space="preserve"> </w:t>
      </w:r>
      <w:r>
        <w:t>C’est</w:t>
      </w:r>
      <w:r w:rsidRPr="002C4077">
        <w:t xml:space="preserve"> </w:t>
      </w:r>
      <w:r>
        <w:t>là</w:t>
      </w:r>
      <w:r w:rsidRPr="002C4077">
        <w:t xml:space="preserve"> </w:t>
      </w:r>
      <w:r>
        <w:t>une</w:t>
      </w:r>
      <w:r w:rsidRPr="002C4077">
        <w:t xml:space="preserve"> </w:t>
      </w:r>
      <w:r>
        <w:t>noble</w:t>
      </w:r>
      <w:r w:rsidRPr="002C4077">
        <w:t xml:space="preserve"> </w:t>
      </w:r>
      <w:r>
        <w:t>qualification,</w:t>
      </w:r>
      <w:r w:rsidRPr="002C4077">
        <w:t xml:space="preserve"> </w:t>
      </w:r>
      <w:r>
        <w:t>empruntée</w:t>
      </w:r>
      <w:r w:rsidRPr="002C4077">
        <w:t xml:space="preserve"> </w:t>
      </w:r>
      <w:r>
        <w:t>au</w:t>
      </w:r>
      <w:r w:rsidRPr="002C4077">
        <w:t xml:space="preserve"> </w:t>
      </w:r>
      <w:r>
        <w:t>livre</w:t>
      </w:r>
      <w:r w:rsidRPr="002C4077">
        <w:t xml:space="preserve"> </w:t>
      </w:r>
      <w:r>
        <w:t>des</w:t>
      </w:r>
      <w:r w:rsidRPr="002C4077">
        <w:t xml:space="preserve"> </w:t>
      </w:r>
      <w:r>
        <w:t>Proverbes</w:t>
      </w:r>
      <w:r w:rsidR="00B91AF7">
        <w:rPr>
          <w:rStyle w:val="Appelnotedebasdep"/>
        </w:rPr>
        <w:footnoteReference w:id="891"/>
      </w:r>
      <w:r w:rsidRPr="002C4077">
        <w:t xml:space="preserve"> </w:t>
      </w:r>
      <w:r>
        <w:t>qui</w:t>
      </w:r>
      <w:r w:rsidRPr="002C4077">
        <w:t xml:space="preserve"> </w:t>
      </w:r>
      <w:r>
        <w:t>en</w:t>
      </w:r>
      <w:r w:rsidRPr="002C4077">
        <w:t xml:space="preserve"> </w:t>
      </w:r>
      <w:r>
        <w:t>donne</w:t>
      </w:r>
      <w:r w:rsidRPr="002C4077">
        <w:t xml:space="preserve"> </w:t>
      </w:r>
      <w:r>
        <w:t>un</w:t>
      </w:r>
      <w:r w:rsidRPr="002C4077">
        <w:t xml:space="preserve"> </w:t>
      </w:r>
      <w:r>
        <w:t>magnifique</w:t>
      </w:r>
      <w:r w:rsidRPr="002C4077">
        <w:t xml:space="preserve"> </w:t>
      </w:r>
      <w:r>
        <w:t>commentaire.</w:t>
      </w:r>
      <w:r w:rsidRPr="002C4077">
        <w:t xml:space="preserve"> </w:t>
      </w:r>
      <w:r>
        <w:t>Mais,</w:t>
      </w:r>
      <w:r w:rsidRPr="002C4077">
        <w:t xml:space="preserve"> </w:t>
      </w:r>
      <w:r>
        <w:t>en</w:t>
      </w:r>
      <w:r w:rsidRPr="002C4077">
        <w:t xml:space="preserve"> </w:t>
      </w:r>
      <w:r>
        <w:t>vertu</w:t>
      </w:r>
      <w:r w:rsidRPr="002C4077">
        <w:t xml:space="preserve"> </w:t>
      </w:r>
      <w:r>
        <w:t>du</w:t>
      </w:r>
      <w:r w:rsidRPr="002C4077">
        <w:t xml:space="preserve"> </w:t>
      </w:r>
      <w:r>
        <w:t>principe</w:t>
      </w:r>
      <w:r w:rsidRPr="002C4077">
        <w:t xml:space="preserve"> </w:t>
      </w:r>
      <w:r w:rsidR="000C09E0" w:rsidRPr="000A34B5">
        <w:rPr>
          <w:rStyle w:val="italicus"/>
        </w:rPr>
        <w:t>Assuéta</w:t>
      </w:r>
      <w:r w:rsidRPr="002C4077">
        <w:t xml:space="preserve"> </w:t>
      </w:r>
      <w:r w:rsidR="000C09E0" w:rsidRPr="000A34B5">
        <w:rPr>
          <w:rStyle w:val="italicus"/>
        </w:rPr>
        <w:t>viléscunt</w:t>
      </w:r>
      <w:r w:rsidRPr="000A34B5">
        <w:rPr>
          <w:rStyle w:val="italicus"/>
        </w:rPr>
        <w:t>,</w:t>
      </w:r>
      <w:r w:rsidRPr="002C4077">
        <w:t xml:space="preserve"> </w:t>
      </w:r>
      <w:r>
        <w:t>elle</w:t>
      </w:r>
      <w:r w:rsidRPr="002C4077">
        <w:t xml:space="preserve"> </w:t>
      </w:r>
      <w:r>
        <w:t>a</w:t>
      </w:r>
      <w:r w:rsidRPr="002C4077">
        <w:t xml:space="preserve"> </w:t>
      </w:r>
      <w:r>
        <w:t>perdu</w:t>
      </w:r>
      <w:r w:rsidRPr="002C4077">
        <w:t xml:space="preserve"> </w:t>
      </w:r>
      <w:r>
        <w:t>chez</w:t>
      </w:r>
      <w:r w:rsidRPr="002C4077">
        <w:t xml:space="preserve"> </w:t>
      </w:r>
      <w:r>
        <w:t>les</w:t>
      </w:r>
      <w:r w:rsidRPr="002C4077">
        <w:t xml:space="preserve"> </w:t>
      </w:r>
      <w:r>
        <w:t>Juifs</w:t>
      </w:r>
      <w:r w:rsidRPr="002C4077">
        <w:t xml:space="preserve"> </w:t>
      </w:r>
      <w:r>
        <w:t>une</w:t>
      </w:r>
      <w:r w:rsidRPr="002C4077">
        <w:t xml:space="preserve"> </w:t>
      </w:r>
      <w:r>
        <w:t>grande</w:t>
      </w:r>
      <w:r w:rsidRPr="002C4077">
        <w:t xml:space="preserve"> </w:t>
      </w:r>
      <w:r>
        <w:t>partie</w:t>
      </w:r>
      <w:r w:rsidRPr="002C4077">
        <w:t xml:space="preserve"> </w:t>
      </w:r>
      <w:r>
        <w:t>de</w:t>
      </w:r>
      <w:r w:rsidRPr="002C4077">
        <w:t xml:space="preserve"> </w:t>
      </w:r>
      <w:r>
        <w:t>sa</w:t>
      </w:r>
      <w:r w:rsidRPr="002C4077">
        <w:t xml:space="preserve"> </w:t>
      </w:r>
      <w:r>
        <w:t>valeur</w:t>
      </w:r>
      <w:r w:rsidRPr="002C4077">
        <w:t xml:space="preserve"> </w:t>
      </w:r>
      <w:r>
        <w:t>antique,</w:t>
      </w:r>
      <w:r w:rsidRPr="002C4077">
        <w:t xml:space="preserve"> </w:t>
      </w:r>
      <w:r>
        <w:t>attendu</w:t>
      </w:r>
      <w:r w:rsidRPr="002C4077">
        <w:t xml:space="preserve"> </w:t>
      </w:r>
      <w:r>
        <w:t>qu’elle</w:t>
      </w:r>
      <w:r w:rsidRPr="002C4077">
        <w:t xml:space="preserve"> </w:t>
      </w:r>
      <w:r w:rsidR="00425C50">
        <w:t>est</w:t>
      </w:r>
      <w:r w:rsidRPr="002C4077">
        <w:t xml:space="preserve"> </w:t>
      </w:r>
      <w:r>
        <w:t>appliquée</w:t>
      </w:r>
      <w:r w:rsidRPr="002C4077">
        <w:t xml:space="preserve"> </w:t>
      </w:r>
      <w:r>
        <w:t>aujourd’hui</w:t>
      </w:r>
      <w:r w:rsidRPr="002C4077">
        <w:t xml:space="preserve"> </w:t>
      </w:r>
      <w:r>
        <w:t>à</w:t>
      </w:r>
      <w:r w:rsidRPr="002C4077">
        <w:t xml:space="preserve"> </w:t>
      </w:r>
      <w:r>
        <w:t>presque</w:t>
      </w:r>
      <w:r w:rsidRPr="002C4077">
        <w:t xml:space="preserve"> </w:t>
      </w:r>
      <w:r>
        <w:t>toutes</w:t>
      </w:r>
      <w:r w:rsidRPr="002C4077">
        <w:t xml:space="preserve"> </w:t>
      </w:r>
      <w:r>
        <w:t>les</w:t>
      </w:r>
      <w:r w:rsidRPr="002C4077">
        <w:t xml:space="preserve"> </w:t>
      </w:r>
      <w:r>
        <w:t>femmes</w:t>
      </w:r>
      <w:r w:rsidRPr="002C4077">
        <w:t xml:space="preserve"> </w:t>
      </w:r>
      <w:r>
        <w:t>d’Israël,</w:t>
      </w:r>
      <w:r w:rsidRPr="002C4077">
        <w:t xml:space="preserve"> </w:t>
      </w:r>
      <w:r>
        <w:t>et</w:t>
      </w:r>
      <w:r w:rsidRPr="002C4077">
        <w:t xml:space="preserve"> </w:t>
      </w:r>
      <w:r>
        <w:t>gravée</w:t>
      </w:r>
      <w:r w:rsidRPr="002C4077">
        <w:t xml:space="preserve"> </w:t>
      </w:r>
      <w:r>
        <w:t>sans</w:t>
      </w:r>
      <w:r w:rsidRPr="002C4077">
        <w:t xml:space="preserve"> </w:t>
      </w:r>
      <w:r>
        <w:t>plus</w:t>
      </w:r>
      <w:r w:rsidRPr="002C4077">
        <w:t xml:space="preserve"> </w:t>
      </w:r>
      <w:r>
        <w:t>de</w:t>
      </w:r>
      <w:r w:rsidRPr="002C4077">
        <w:t xml:space="preserve"> </w:t>
      </w:r>
      <w:r>
        <w:t>façon</w:t>
      </w:r>
      <w:r w:rsidRPr="002C4077">
        <w:t xml:space="preserve"> </w:t>
      </w:r>
      <w:r>
        <w:t>sur</w:t>
      </w:r>
      <w:r w:rsidRPr="002C4077">
        <w:t xml:space="preserve"> </w:t>
      </w:r>
      <w:r>
        <w:t>leurs</w:t>
      </w:r>
      <w:r w:rsidRPr="002C4077">
        <w:t xml:space="preserve"> </w:t>
      </w:r>
      <w:r>
        <w:t>tombeaux.</w:t>
      </w:r>
      <w:r w:rsidRPr="002C4077">
        <w:t xml:space="preserve"> </w:t>
      </w:r>
      <w:r>
        <w:t>—</w:t>
      </w:r>
      <w:r w:rsidRPr="002C4077">
        <w:t xml:space="preserve"> </w:t>
      </w:r>
      <w:r>
        <w:t>Le</w:t>
      </w:r>
      <w:r w:rsidRPr="002C4077">
        <w:t xml:space="preserve"> </w:t>
      </w:r>
      <w:r>
        <w:t>mois</w:t>
      </w:r>
      <w:r w:rsidRPr="002C4077">
        <w:t xml:space="preserve"> </w:t>
      </w:r>
      <w:r>
        <w:t>de</w:t>
      </w:r>
      <w:r w:rsidRPr="002C4077">
        <w:t xml:space="preserve"> </w:t>
      </w:r>
      <w:r w:rsidRPr="000A34B5">
        <w:rPr>
          <w:rStyle w:val="italicus"/>
        </w:rPr>
        <w:t>cislev</w:t>
      </w:r>
      <w:r w:rsidRPr="002C4077">
        <w:t xml:space="preserve"> </w:t>
      </w:r>
      <w:r w:rsidR="00425C50">
        <w:t>est</w:t>
      </w:r>
      <w:r w:rsidRPr="002C4077">
        <w:t xml:space="preserve"> </w:t>
      </w:r>
      <w:r>
        <w:t>le</w:t>
      </w:r>
      <w:r w:rsidRPr="002C4077">
        <w:t xml:space="preserve"> </w:t>
      </w:r>
      <w:r>
        <w:t>troisième</w:t>
      </w:r>
      <w:r w:rsidRPr="002C4077">
        <w:t xml:space="preserve"> </w:t>
      </w:r>
      <w:r>
        <w:t>de</w:t>
      </w:r>
      <w:r w:rsidRPr="002C4077">
        <w:t xml:space="preserve"> </w:t>
      </w:r>
      <w:r>
        <w:t>l’année</w:t>
      </w:r>
      <w:r w:rsidRPr="002C4077">
        <w:t xml:space="preserve"> </w:t>
      </w:r>
      <w:r>
        <w:t>juive</w:t>
      </w:r>
      <w:r w:rsidRPr="004440EA">
        <w:t xml:space="preserve"> (</w:t>
      </w:r>
      <w:r>
        <w:t>novembre-décembre</w:t>
      </w:r>
      <w:r w:rsidR="00B546AF" w:rsidRPr="002C4077">
        <w:t>)</w:t>
      </w:r>
      <w:r>
        <w:t>.</w:t>
      </w:r>
      <w:r w:rsidR="00C45B47">
        <w:t xml:space="preserve"> {</w:t>
      </w:r>
      <w:r w:rsidR="005E2129">
        <w:t>298</w:t>
      </w:r>
      <w:bookmarkStart w:id="725" w:name="p298"/>
      <w:bookmarkEnd w:id="725"/>
      <w:r w:rsidR="005E2129">
        <w:t xml:space="preserve">} </w:t>
      </w:r>
    </w:p>
    <w:p w:rsidR="00EF54D3" w:rsidRDefault="000A7AAB" w:rsidP="000D4F31">
      <w:pPr>
        <w:pStyle w:val="LcCentrum"/>
      </w:pPr>
      <w:r>
        <w:t>Ci-gît</w:t>
      </w:r>
      <w:r w:rsidRPr="002C4077">
        <w:t xml:space="preserve"> </w:t>
      </w:r>
      <w:r>
        <w:t>la</w:t>
      </w:r>
      <w:r w:rsidRPr="002C4077">
        <w:t xml:space="preserve"> </w:t>
      </w:r>
      <w:r>
        <w:t>femme</w:t>
      </w:r>
      <w:r w:rsidRPr="002C4077">
        <w:t xml:space="preserve"> </w:t>
      </w:r>
      <w:r>
        <w:t>forte</w:t>
      </w:r>
      <w:r w:rsidRPr="002C4077">
        <w:t xml:space="preserve"> </w:t>
      </w:r>
    </w:p>
    <w:p w:rsidR="00EF54D3" w:rsidRPr="00EF54D3" w:rsidRDefault="000A7AAB" w:rsidP="000D4F31">
      <w:pPr>
        <w:pStyle w:val="LcCentrum"/>
        <w:rPr>
          <w:rStyle w:val="pm"/>
        </w:rPr>
      </w:pPr>
      <w:r w:rsidRPr="00EF54D3">
        <w:rPr>
          <w:rStyle w:val="pm"/>
        </w:rPr>
        <w:t>Dame</w:t>
      </w:r>
      <w:r w:rsidRPr="002C4077">
        <w:t xml:space="preserve"> </w:t>
      </w:r>
      <w:r w:rsidRPr="00EF54D3">
        <w:rPr>
          <w:rStyle w:val="pm"/>
        </w:rPr>
        <w:t>Phénenna,</w:t>
      </w:r>
      <w:r w:rsidRPr="002C4077">
        <w:t xml:space="preserve"> </w:t>
      </w:r>
      <w:r w:rsidRPr="00EF54D3">
        <w:rPr>
          <w:rStyle w:val="pm"/>
        </w:rPr>
        <w:t>fille</w:t>
      </w:r>
      <w:r w:rsidRPr="002C4077">
        <w:t xml:space="preserve"> </w:t>
      </w:r>
      <w:r w:rsidRPr="00EF54D3">
        <w:rPr>
          <w:rStyle w:val="pm"/>
        </w:rPr>
        <w:t>de</w:t>
      </w:r>
      <w:r w:rsidRPr="002C4077">
        <w:t xml:space="preserve"> </w:t>
      </w:r>
      <w:r w:rsidRPr="00EF54D3">
        <w:rPr>
          <w:rStyle w:val="pm"/>
        </w:rPr>
        <w:t>Rebb</w:t>
      </w:r>
      <w:r w:rsidRPr="002C4077">
        <w:t xml:space="preserve"> </w:t>
      </w:r>
      <w:r w:rsidRPr="00EF54D3">
        <w:rPr>
          <w:rStyle w:val="pm"/>
        </w:rPr>
        <w:t>Urie</w:t>
      </w:r>
      <w:r w:rsidRPr="002C4077">
        <w:t xml:space="preserve"> </w:t>
      </w:r>
      <w:r w:rsidRPr="00EF54D3">
        <w:rPr>
          <w:rStyle w:val="pm"/>
        </w:rPr>
        <w:t>Cohen,</w:t>
      </w:r>
      <w:r w:rsidRPr="002C4077">
        <w:t xml:space="preserve"> </w:t>
      </w:r>
    </w:p>
    <w:p w:rsidR="000A7AAB" w:rsidRPr="00EF54D3" w:rsidRDefault="000A7AAB" w:rsidP="000D4F31">
      <w:pPr>
        <w:pStyle w:val="LcCentrum"/>
        <w:rPr>
          <w:rStyle w:val="pm"/>
        </w:rPr>
      </w:pPr>
      <w:r w:rsidRPr="00EF54D3">
        <w:rPr>
          <w:rStyle w:val="pm"/>
        </w:rPr>
        <w:t>Femme</w:t>
      </w:r>
      <w:r w:rsidRPr="002C4077">
        <w:t xml:space="preserve"> </w:t>
      </w:r>
      <w:r w:rsidRPr="00EF54D3">
        <w:rPr>
          <w:rStyle w:val="pm"/>
        </w:rPr>
        <w:t>de</w:t>
      </w:r>
      <w:r w:rsidRPr="002C4077">
        <w:t xml:space="preserve"> </w:t>
      </w:r>
      <w:r w:rsidRPr="00EF54D3">
        <w:rPr>
          <w:rStyle w:val="pm"/>
        </w:rPr>
        <w:t>Rebb</w:t>
      </w:r>
      <w:r w:rsidRPr="002C4077">
        <w:t xml:space="preserve"> </w:t>
      </w:r>
      <w:r w:rsidRPr="00EF54D3">
        <w:rPr>
          <w:rStyle w:val="pm"/>
        </w:rPr>
        <w:t>Schaoul</w:t>
      </w:r>
      <w:r w:rsidRPr="002C4077">
        <w:t xml:space="preserve"> </w:t>
      </w:r>
      <w:r w:rsidRPr="00EF54D3">
        <w:rPr>
          <w:rStyle w:val="pm"/>
        </w:rPr>
        <w:t>Cohen.</w:t>
      </w:r>
      <w:r w:rsidRPr="002C4077">
        <w:t xml:space="preserve"> </w:t>
      </w:r>
    </w:p>
    <w:p w:rsidR="000A7AAB" w:rsidRDefault="000A7AAB" w:rsidP="000D4F31">
      <w:pPr>
        <w:pStyle w:val="LcCentrum"/>
      </w:pPr>
      <w:r>
        <w:t>Elle</w:t>
      </w:r>
      <w:r w:rsidRPr="002C4077">
        <w:t xml:space="preserve"> </w:t>
      </w:r>
      <w:r>
        <w:t>a</w:t>
      </w:r>
      <w:r w:rsidRPr="002C4077">
        <w:t xml:space="preserve"> </w:t>
      </w:r>
      <w:r>
        <w:t>été</w:t>
      </w:r>
      <w:r w:rsidRPr="002C4077">
        <w:t xml:space="preserve"> </w:t>
      </w:r>
      <w:r>
        <w:t>retranchée</w:t>
      </w:r>
      <w:r w:rsidRPr="002C4077">
        <w:t xml:space="preserve"> </w:t>
      </w:r>
      <w:r>
        <w:t>le</w:t>
      </w:r>
      <w:r w:rsidRPr="002C4077">
        <w:t xml:space="preserve"> </w:t>
      </w:r>
      <w:r>
        <w:t>20</w:t>
      </w:r>
      <w:r w:rsidRPr="002C4077">
        <w:t xml:space="preserve"> </w:t>
      </w:r>
      <w:r>
        <w:t>adar</w:t>
      </w:r>
      <w:r w:rsidRPr="002C4077">
        <w:t xml:space="preserve"> </w:t>
      </w:r>
      <w:r>
        <w:t>5622.</w:t>
      </w:r>
      <w:r w:rsidRPr="002C4077">
        <w:t xml:space="preserve"> </w:t>
      </w:r>
    </w:p>
    <w:p w:rsidR="000A7AAB" w:rsidRDefault="000A7AAB" w:rsidP="000A7AAB">
      <w:r w:rsidRPr="000A34B5">
        <w:rPr>
          <w:rStyle w:val="italicus"/>
        </w:rPr>
        <w:t>Rebb</w:t>
      </w:r>
      <w:bookmarkStart w:id="726" w:name="z_Rebb_o1"/>
      <w:bookmarkEnd w:id="726"/>
      <w:r w:rsidRPr="002C4077">
        <w:t xml:space="preserve"> </w:t>
      </w:r>
      <w:r w:rsidR="00425C50">
        <w:t>est</w:t>
      </w:r>
      <w:r w:rsidRPr="002C4077">
        <w:t xml:space="preserve"> </w:t>
      </w:r>
      <w:r>
        <w:t>un</w:t>
      </w:r>
      <w:r w:rsidRPr="002C4077">
        <w:t xml:space="preserve"> </w:t>
      </w:r>
      <w:r>
        <w:t>diminutif</w:t>
      </w:r>
      <w:r w:rsidRPr="002C4077">
        <w:t xml:space="preserve"> </w:t>
      </w:r>
      <w:r>
        <w:t>de</w:t>
      </w:r>
      <w:r w:rsidRPr="002C4077">
        <w:t xml:space="preserve"> </w:t>
      </w:r>
      <w:r w:rsidR="00B546AF">
        <w:t>« </w:t>
      </w:r>
      <w:r>
        <w:t>Rabbi,</w:t>
      </w:r>
      <w:r w:rsidR="00B546AF">
        <w:t> »</w:t>
      </w:r>
      <w:r w:rsidRPr="002C4077">
        <w:t xml:space="preserve"> </w:t>
      </w:r>
      <w:r>
        <w:t>qui</w:t>
      </w:r>
      <w:r w:rsidRPr="002C4077">
        <w:t xml:space="preserve"> </w:t>
      </w:r>
      <w:r>
        <w:t>signifie</w:t>
      </w:r>
      <w:r w:rsidRPr="002C4077">
        <w:t xml:space="preserve"> </w:t>
      </w:r>
      <w:r>
        <w:t>maître</w:t>
      </w:r>
      <w:r w:rsidR="00B91AF7">
        <w:rPr>
          <w:rStyle w:val="Appelnotedebasdep"/>
        </w:rPr>
        <w:footnoteReference w:id="892"/>
      </w:r>
      <w:r>
        <w:t>.</w:t>
      </w:r>
      <w:r w:rsidRPr="002C4077">
        <w:t xml:space="preserve"> </w:t>
      </w:r>
      <w:r>
        <w:t>C’est</w:t>
      </w:r>
      <w:r w:rsidRPr="002C4077">
        <w:t xml:space="preserve"> </w:t>
      </w:r>
      <w:r>
        <w:t>un</w:t>
      </w:r>
      <w:r w:rsidRPr="002C4077">
        <w:t xml:space="preserve"> </w:t>
      </w:r>
      <w:r>
        <w:t>titre</w:t>
      </w:r>
      <w:r w:rsidRPr="002C4077">
        <w:t xml:space="preserve"> </w:t>
      </w:r>
      <w:r>
        <w:t>honorifique</w:t>
      </w:r>
      <w:r w:rsidRPr="002C4077">
        <w:t xml:space="preserve"> </w:t>
      </w:r>
      <w:r>
        <w:t>que</w:t>
      </w:r>
      <w:r w:rsidRPr="002C4077">
        <w:t xml:space="preserve"> </w:t>
      </w:r>
      <w:r>
        <w:t>les</w:t>
      </w:r>
      <w:r w:rsidRPr="002C4077">
        <w:t xml:space="preserve"> </w:t>
      </w:r>
      <w:r>
        <w:t>Israélites</w:t>
      </w:r>
      <w:r w:rsidRPr="002C4077">
        <w:t xml:space="preserve"> </w:t>
      </w:r>
      <w:r>
        <w:t>donnent</w:t>
      </w:r>
      <w:r w:rsidRPr="002C4077">
        <w:t xml:space="preserve"> </w:t>
      </w:r>
      <w:r>
        <w:t>à</w:t>
      </w:r>
      <w:r w:rsidRPr="002C4077">
        <w:t xml:space="preserve"> </w:t>
      </w:r>
      <w:r>
        <w:t>ceux</w:t>
      </w:r>
      <w:r w:rsidRPr="002C4077">
        <w:t xml:space="preserve"> </w:t>
      </w:r>
      <w:r>
        <w:t>de</w:t>
      </w:r>
      <w:r w:rsidRPr="002C4077">
        <w:t xml:space="preserve"> </w:t>
      </w:r>
      <w:r>
        <w:t>leurs</w:t>
      </w:r>
      <w:r w:rsidRPr="002C4077">
        <w:t xml:space="preserve"> </w:t>
      </w:r>
      <w:r>
        <w:t>coreligionnaires</w:t>
      </w:r>
      <w:r w:rsidRPr="002C4077">
        <w:t xml:space="preserve"> </w:t>
      </w:r>
      <w:r>
        <w:t>qui</w:t>
      </w:r>
      <w:r w:rsidRPr="002C4077">
        <w:t xml:space="preserve"> </w:t>
      </w:r>
      <w:r>
        <w:t>font</w:t>
      </w:r>
      <w:r w:rsidRPr="002C4077">
        <w:t xml:space="preserve"> </w:t>
      </w:r>
      <w:r>
        <w:t>preuve</w:t>
      </w:r>
      <w:r w:rsidRPr="002C4077">
        <w:t xml:space="preserve"> </w:t>
      </w:r>
      <w:r>
        <w:t>d’une</w:t>
      </w:r>
      <w:r w:rsidRPr="002C4077">
        <w:t xml:space="preserve"> </w:t>
      </w:r>
      <w:r>
        <w:t>certaine</w:t>
      </w:r>
      <w:r w:rsidRPr="002C4077">
        <w:t xml:space="preserve"> </w:t>
      </w:r>
      <w:r>
        <w:t>connaissance</w:t>
      </w:r>
      <w:r w:rsidRPr="002C4077">
        <w:t xml:space="preserve"> </w:t>
      </w:r>
      <w:r>
        <w:t>du</w:t>
      </w:r>
      <w:r w:rsidRPr="002C4077">
        <w:t xml:space="preserve"> </w:t>
      </w:r>
      <w:r>
        <w:t>Talmud</w:t>
      </w:r>
      <w:r w:rsidR="00B91AF7">
        <w:rPr>
          <w:rStyle w:val="Appelnotedebasdep"/>
        </w:rPr>
        <w:footnoteReference w:id="893"/>
      </w:r>
      <w:r>
        <w:t>.</w:t>
      </w:r>
      <w:r w:rsidRPr="002C4077">
        <w:t xml:space="preserve"> </w:t>
      </w:r>
      <w:r>
        <w:t>—</w:t>
      </w:r>
      <w:r w:rsidRPr="002C4077">
        <w:t xml:space="preserve"> </w:t>
      </w:r>
      <w:r w:rsidRPr="000A34B5">
        <w:rPr>
          <w:rStyle w:val="italicus"/>
        </w:rPr>
        <w:t>Adar</w:t>
      </w:r>
      <w:r w:rsidR="00B546AF">
        <w:rPr>
          <w:rStyle w:val="italicus"/>
        </w:rPr>
        <w:t> </w:t>
      </w:r>
      <w:r w:rsidR="00B546AF" w:rsidRPr="000A34B5">
        <w:rPr>
          <w:rStyle w:val="italicus"/>
        </w:rPr>
        <w:t>:</w:t>
      </w:r>
      <w:r w:rsidRPr="002C4077">
        <w:t xml:space="preserve"> </w:t>
      </w:r>
      <w:r>
        <w:t>le</w:t>
      </w:r>
      <w:r w:rsidRPr="002C4077">
        <w:t xml:space="preserve"> </w:t>
      </w:r>
      <w:r>
        <w:t>sixième</w:t>
      </w:r>
      <w:r w:rsidRPr="002C4077">
        <w:t xml:space="preserve"> </w:t>
      </w:r>
      <w:r>
        <w:t>mois</w:t>
      </w:r>
      <w:r w:rsidRPr="002C4077">
        <w:t xml:space="preserve"> </w:t>
      </w:r>
      <w:r>
        <w:t>de</w:t>
      </w:r>
      <w:r w:rsidRPr="002C4077">
        <w:t xml:space="preserve"> </w:t>
      </w:r>
      <w:r>
        <w:t>l’année</w:t>
      </w:r>
      <w:r w:rsidRPr="002C4077">
        <w:t xml:space="preserve"> </w:t>
      </w:r>
      <w:r>
        <w:t>juive</w:t>
      </w:r>
      <w:r w:rsidRPr="004440EA">
        <w:t xml:space="preserve"> (</w:t>
      </w:r>
      <w:r>
        <w:t>février-mars</w:t>
      </w:r>
      <w:r w:rsidR="00B546AF" w:rsidRPr="002C4077">
        <w:t>)</w:t>
      </w:r>
      <w:r>
        <w:t>.</w:t>
      </w:r>
      <w:r w:rsidRPr="002C4077">
        <w:t xml:space="preserve"> </w:t>
      </w:r>
    </w:p>
    <w:p w:rsidR="00EF54D3" w:rsidRPr="00795E7D" w:rsidRDefault="000A7AAB" w:rsidP="00795E7D">
      <w:pPr>
        <w:pStyle w:val="LcCentrum"/>
        <w:rPr>
          <w:rStyle w:val="pm"/>
        </w:rPr>
      </w:pPr>
      <w:r w:rsidRPr="00795E7D">
        <w:rPr>
          <w:rStyle w:val="pm"/>
        </w:rPr>
        <w:t>Ci-gît</w:t>
      </w:r>
      <w:r w:rsidRPr="002C4077">
        <w:t xml:space="preserve"> </w:t>
      </w:r>
      <w:r w:rsidRPr="00795E7D">
        <w:rPr>
          <w:rStyle w:val="pm"/>
        </w:rPr>
        <w:t>Nathan,</w:t>
      </w:r>
      <w:r w:rsidRPr="002C4077">
        <w:t xml:space="preserve"> </w:t>
      </w:r>
      <w:r w:rsidRPr="00795E7D">
        <w:rPr>
          <w:rStyle w:val="pm"/>
        </w:rPr>
        <w:t>fils</w:t>
      </w:r>
      <w:r w:rsidRPr="002C4077">
        <w:t xml:space="preserve"> </w:t>
      </w:r>
      <w:r w:rsidRPr="00795E7D">
        <w:rPr>
          <w:rStyle w:val="pm"/>
        </w:rPr>
        <w:t>d’Eléazar,</w:t>
      </w:r>
      <w:r w:rsidRPr="002C4077">
        <w:t xml:space="preserve"> </w:t>
      </w:r>
    </w:p>
    <w:p w:rsidR="00EF54D3" w:rsidRDefault="000A7AAB" w:rsidP="00795E7D">
      <w:pPr>
        <w:pStyle w:val="LcCentrum"/>
      </w:pPr>
      <w:r>
        <w:t>À</w:t>
      </w:r>
      <w:r w:rsidRPr="002C4077">
        <w:t xml:space="preserve"> </w:t>
      </w:r>
      <w:r>
        <w:t>la</w:t>
      </w:r>
      <w:r w:rsidRPr="002C4077">
        <w:t xml:space="preserve"> </w:t>
      </w:r>
      <w:r>
        <w:t>douleur</w:t>
      </w:r>
      <w:r w:rsidRPr="002C4077">
        <w:t xml:space="preserve"> </w:t>
      </w:r>
      <w:r>
        <w:t>de</w:t>
      </w:r>
      <w:r w:rsidRPr="002C4077">
        <w:t xml:space="preserve"> </w:t>
      </w:r>
      <w:r>
        <w:t>sa</w:t>
      </w:r>
      <w:r w:rsidRPr="002C4077">
        <w:t xml:space="preserve"> </w:t>
      </w:r>
      <w:r>
        <w:t>femme,</w:t>
      </w:r>
      <w:r w:rsidRPr="002C4077">
        <w:t xml:space="preserve"> </w:t>
      </w:r>
    </w:p>
    <w:p w:rsidR="000A7AAB" w:rsidRDefault="000A7AAB" w:rsidP="00795E7D">
      <w:pPr>
        <w:pStyle w:val="LcCentrum"/>
      </w:pPr>
      <w:r>
        <w:t>De</w:t>
      </w:r>
      <w:r w:rsidRPr="002C4077">
        <w:t xml:space="preserve"> </w:t>
      </w:r>
      <w:r>
        <w:t>son</w:t>
      </w:r>
      <w:r w:rsidRPr="002C4077">
        <w:t xml:space="preserve"> </w:t>
      </w:r>
      <w:r>
        <w:t>fils</w:t>
      </w:r>
      <w:r w:rsidRPr="002C4077">
        <w:t xml:space="preserve"> </w:t>
      </w:r>
      <w:r>
        <w:t>et</w:t>
      </w:r>
      <w:r w:rsidRPr="002C4077">
        <w:t xml:space="preserve"> </w:t>
      </w:r>
      <w:r>
        <w:t>de</w:t>
      </w:r>
      <w:r w:rsidRPr="002C4077">
        <w:t xml:space="preserve"> </w:t>
      </w:r>
      <w:r>
        <w:t>ses</w:t>
      </w:r>
      <w:r w:rsidRPr="002C4077">
        <w:t xml:space="preserve"> </w:t>
      </w:r>
      <w:r>
        <w:t>amis.</w:t>
      </w:r>
      <w:r w:rsidRPr="002C4077">
        <w:t xml:space="preserve"> </w:t>
      </w:r>
    </w:p>
    <w:p w:rsidR="000A7AAB" w:rsidRDefault="000A7AAB" w:rsidP="00795E7D">
      <w:pPr>
        <w:pStyle w:val="LcCentrum"/>
      </w:pPr>
      <w:r>
        <w:t>Il</w:t>
      </w:r>
      <w:r w:rsidRPr="002C4077">
        <w:t xml:space="preserve"> </w:t>
      </w:r>
      <w:r>
        <w:t>a</w:t>
      </w:r>
      <w:r w:rsidRPr="002C4077">
        <w:t xml:space="preserve"> </w:t>
      </w:r>
      <w:r>
        <w:t>été</w:t>
      </w:r>
      <w:r w:rsidRPr="002C4077">
        <w:t xml:space="preserve"> </w:t>
      </w:r>
      <w:r>
        <w:t>retranché</w:t>
      </w:r>
      <w:r w:rsidRPr="002C4077">
        <w:t xml:space="preserve"> </w:t>
      </w:r>
      <w:r>
        <w:t>avec</w:t>
      </w:r>
      <w:r w:rsidRPr="002C4077">
        <w:t xml:space="preserve"> </w:t>
      </w:r>
      <w:r>
        <w:t>un</w:t>
      </w:r>
      <w:r w:rsidRPr="002C4077">
        <w:t xml:space="preserve"> </w:t>
      </w:r>
      <w:r>
        <w:t>nom</w:t>
      </w:r>
      <w:r w:rsidRPr="002C4077">
        <w:t xml:space="preserve"> </w:t>
      </w:r>
      <w:r>
        <w:t>honorable,</w:t>
      </w:r>
      <w:r w:rsidRPr="002C4077">
        <w:t xml:space="preserve"> </w:t>
      </w:r>
      <w:r w:rsidR="00425C50">
        <w:t>etc</w:t>
      </w:r>
      <w:r>
        <w:t>.</w:t>
      </w:r>
      <w:r w:rsidRPr="002C4077">
        <w:t xml:space="preserve"> </w:t>
      </w:r>
    </w:p>
    <w:p w:rsidR="00EF54D3" w:rsidRDefault="00EF54D3" w:rsidP="00795E7D">
      <w:pPr>
        <w:pStyle w:val="LcCentrum"/>
      </w:pPr>
      <w:r>
        <w:t>⁂</w:t>
      </w:r>
    </w:p>
    <w:p w:rsidR="00EF54D3" w:rsidRPr="00795E7D" w:rsidRDefault="000A7AAB" w:rsidP="00795E7D">
      <w:pPr>
        <w:pStyle w:val="LcCentrum"/>
      </w:pPr>
      <w:r w:rsidRPr="00795E7D">
        <w:t>Ici</w:t>
      </w:r>
      <w:r w:rsidRPr="002C4077">
        <w:t xml:space="preserve"> </w:t>
      </w:r>
      <w:r w:rsidRPr="00795E7D">
        <w:t>repose</w:t>
      </w:r>
      <w:r w:rsidRPr="002C4077">
        <w:t xml:space="preserve"> </w:t>
      </w:r>
      <w:r w:rsidRPr="00795E7D">
        <w:t>la</w:t>
      </w:r>
      <w:r w:rsidRPr="002C4077">
        <w:t xml:space="preserve"> </w:t>
      </w:r>
      <w:r w:rsidRPr="00795E7D">
        <w:t>femme</w:t>
      </w:r>
      <w:r w:rsidRPr="002C4077">
        <w:t xml:space="preserve"> </w:t>
      </w:r>
      <w:r w:rsidRPr="00795E7D">
        <w:t>forte</w:t>
      </w:r>
      <w:r w:rsidRPr="002C4077">
        <w:t xml:space="preserve"> </w:t>
      </w:r>
    </w:p>
    <w:p w:rsidR="00EF54D3" w:rsidRPr="00795E7D" w:rsidRDefault="000A7AAB" w:rsidP="00795E7D">
      <w:pPr>
        <w:pStyle w:val="LcCentrum"/>
        <w:rPr>
          <w:rStyle w:val="pm"/>
        </w:rPr>
      </w:pPr>
      <w:r w:rsidRPr="00795E7D">
        <w:rPr>
          <w:rStyle w:val="pm"/>
        </w:rPr>
        <w:t>Dame</w:t>
      </w:r>
      <w:r w:rsidRPr="002C4077">
        <w:t xml:space="preserve"> </w:t>
      </w:r>
      <w:r w:rsidRPr="00795E7D">
        <w:rPr>
          <w:rStyle w:val="pm"/>
        </w:rPr>
        <w:t>Esther,</w:t>
      </w:r>
      <w:r w:rsidRPr="002C4077">
        <w:t xml:space="preserve"> </w:t>
      </w:r>
      <w:r w:rsidRPr="00795E7D">
        <w:rPr>
          <w:rStyle w:val="pm"/>
        </w:rPr>
        <w:t>fille</w:t>
      </w:r>
      <w:r w:rsidRPr="002C4077">
        <w:t xml:space="preserve"> </w:t>
      </w:r>
      <w:r w:rsidRPr="00795E7D">
        <w:rPr>
          <w:rStyle w:val="pm"/>
        </w:rPr>
        <w:t>de</w:t>
      </w:r>
      <w:r w:rsidRPr="002C4077">
        <w:t xml:space="preserve"> </w:t>
      </w:r>
      <w:r w:rsidRPr="00795E7D">
        <w:rPr>
          <w:rStyle w:val="pm"/>
        </w:rPr>
        <w:t>Jacob</w:t>
      </w:r>
      <w:r w:rsidRPr="002C4077">
        <w:t xml:space="preserve"> </w:t>
      </w:r>
      <w:r w:rsidRPr="00795E7D">
        <w:rPr>
          <w:rStyle w:val="pm"/>
        </w:rPr>
        <w:t>L.</w:t>
      </w:r>
      <w:r w:rsidRPr="002C4077">
        <w:t xml:space="preserve"> </w:t>
      </w:r>
    </w:p>
    <w:p w:rsidR="00EF54D3" w:rsidRPr="00795E7D" w:rsidRDefault="000A7AAB" w:rsidP="00795E7D">
      <w:pPr>
        <w:pStyle w:val="LcCentrum"/>
        <w:rPr>
          <w:rStyle w:val="italicus"/>
        </w:rPr>
      </w:pPr>
      <w:r w:rsidRPr="00795E7D">
        <w:rPr>
          <w:rStyle w:val="italicus"/>
        </w:rPr>
        <w:t>Tous</w:t>
      </w:r>
      <w:r w:rsidRPr="002C4077">
        <w:t xml:space="preserve"> </w:t>
      </w:r>
      <w:r w:rsidRPr="00795E7D">
        <w:rPr>
          <w:rStyle w:val="italicus"/>
        </w:rPr>
        <w:t>les</w:t>
      </w:r>
      <w:r w:rsidRPr="002C4077">
        <w:t xml:space="preserve"> </w:t>
      </w:r>
      <w:r w:rsidRPr="00795E7D">
        <w:rPr>
          <w:rStyle w:val="italicus"/>
        </w:rPr>
        <w:t>jours</w:t>
      </w:r>
      <w:r w:rsidRPr="002C4077">
        <w:t xml:space="preserve"> </w:t>
      </w:r>
      <w:r w:rsidRPr="00795E7D">
        <w:rPr>
          <w:rStyle w:val="italicus"/>
        </w:rPr>
        <w:t>elle</w:t>
      </w:r>
      <w:r w:rsidRPr="002C4077">
        <w:t xml:space="preserve"> </w:t>
      </w:r>
      <w:r w:rsidRPr="00795E7D">
        <w:rPr>
          <w:rStyle w:val="italicus"/>
        </w:rPr>
        <w:t>exerçait</w:t>
      </w:r>
      <w:r w:rsidRPr="002C4077">
        <w:t xml:space="preserve"> </w:t>
      </w:r>
      <w:r w:rsidRPr="00795E7D">
        <w:rPr>
          <w:rStyle w:val="italicus"/>
        </w:rPr>
        <w:t>la</w:t>
      </w:r>
      <w:r w:rsidRPr="002C4077">
        <w:t xml:space="preserve"> </w:t>
      </w:r>
      <w:r w:rsidRPr="00795E7D">
        <w:rPr>
          <w:rStyle w:val="italicus"/>
        </w:rPr>
        <w:t>miséricorde,</w:t>
      </w:r>
      <w:r w:rsidRPr="002C4077">
        <w:t xml:space="preserve"> </w:t>
      </w:r>
    </w:p>
    <w:p w:rsidR="00EF54D3" w:rsidRPr="00795E7D" w:rsidRDefault="000A7AAB" w:rsidP="00795E7D">
      <w:pPr>
        <w:pStyle w:val="LcCentrum"/>
        <w:rPr>
          <w:rStyle w:val="italicus"/>
        </w:rPr>
      </w:pPr>
      <w:r w:rsidRPr="00795E7D">
        <w:rPr>
          <w:rStyle w:val="italicus"/>
        </w:rPr>
        <w:t>Elle</w:t>
      </w:r>
      <w:r w:rsidRPr="002C4077">
        <w:t xml:space="preserve"> </w:t>
      </w:r>
      <w:r w:rsidRPr="00795E7D">
        <w:rPr>
          <w:rStyle w:val="italicus"/>
        </w:rPr>
        <w:t>remplissait</w:t>
      </w:r>
      <w:r w:rsidRPr="002C4077">
        <w:t xml:space="preserve"> </w:t>
      </w:r>
      <w:r w:rsidRPr="00795E7D">
        <w:rPr>
          <w:rStyle w:val="italicus"/>
        </w:rPr>
        <w:t>la</w:t>
      </w:r>
      <w:r w:rsidRPr="002C4077">
        <w:t xml:space="preserve"> </w:t>
      </w:r>
      <w:r w:rsidRPr="00795E7D">
        <w:rPr>
          <w:rStyle w:val="italicus"/>
        </w:rPr>
        <w:t>main</w:t>
      </w:r>
      <w:r w:rsidRPr="002C4077">
        <w:t xml:space="preserve"> </w:t>
      </w:r>
      <w:r w:rsidRPr="00795E7D">
        <w:rPr>
          <w:rStyle w:val="italicus"/>
        </w:rPr>
        <w:t>du</w:t>
      </w:r>
      <w:r w:rsidRPr="002C4077">
        <w:t xml:space="preserve"> </w:t>
      </w:r>
      <w:r w:rsidRPr="00795E7D">
        <w:rPr>
          <w:rStyle w:val="italicus"/>
        </w:rPr>
        <w:t>pauvre</w:t>
      </w:r>
      <w:r w:rsidRPr="002C4077">
        <w:t xml:space="preserve"> </w:t>
      </w:r>
      <w:r w:rsidRPr="00795E7D">
        <w:rPr>
          <w:rStyle w:val="italicus"/>
        </w:rPr>
        <w:t>et</w:t>
      </w:r>
      <w:r w:rsidRPr="002C4077">
        <w:t xml:space="preserve"> </w:t>
      </w:r>
      <w:r w:rsidRPr="00795E7D">
        <w:rPr>
          <w:rStyle w:val="italicus"/>
        </w:rPr>
        <w:t>de</w:t>
      </w:r>
      <w:r w:rsidRPr="002C4077">
        <w:t xml:space="preserve"> </w:t>
      </w:r>
      <w:r w:rsidRPr="00795E7D">
        <w:rPr>
          <w:rStyle w:val="italicus"/>
        </w:rPr>
        <w:t>l’indigent.</w:t>
      </w:r>
      <w:r w:rsidRPr="002C4077">
        <w:t xml:space="preserve"> </w:t>
      </w:r>
    </w:p>
    <w:p w:rsidR="00EF54D3" w:rsidRPr="00795E7D" w:rsidRDefault="000A7AAB" w:rsidP="00795E7D">
      <w:pPr>
        <w:pStyle w:val="LcCentrum"/>
      </w:pPr>
      <w:r w:rsidRPr="00795E7D">
        <w:lastRenderedPageBreak/>
        <w:t>À</w:t>
      </w:r>
      <w:r w:rsidRPr="002C4077">
        <w:t xml:space="preserve"> </w:t>
      </w:r>
      <w:r w:rsidRPr="00795E7D">
        <w:t>la</w:t>
      </w:r>
      <w:r w:rsidRPr="002C4077">
        <w:t xml:space="preserve"> </w:t>
      </w:r>
      <w:r w:rsidRPr="00795E7D">
        <w:t>douleur</w:t>
      </w:r>
      <w:r w:rsidRPr="002C4077">
        <w:t xml:space="preserve"> </w:t>
      </w:r>
      <w:r w:rsidRPr="00795E7D">
        <w:t>de</w:t>
      </w:r>
      <w:r w:rsidRPr="002C4077">
        <w:t xml:space="preserve"> </w:t>
      </w:r>
      <w:r w:rsidRPr="00795E7D">
        <w:t>son</w:t>
      </w:r>
      <w:r w:rsidRPr="002C4077">
        <w:t xml:space="preserve"> </w:t>
      </w:r>
      <w:r w:rsidRPr="00795E7D">
        <w:t>mari,</w:t>
      </w:r>
      <w:r w:rsidRPr="002C4077">
        <w:t xml:space="preserve"> </w:t>
      </w:r>
      <w:r w:rsidRPr="00795E7D">
        <w:t>de</w:t>
      </w:r>
      <w:r w:rsidRPr="002C4077">
        <w:t xml:space="preserve"> </w:t>
      </w:r>
      <w:r w:rsidRPr="00795E7D">
        <w:t>ses</w:t>
      </w:r>
      <w:r w:rsidRPr="002C4077">
        <w:t xml:space="preserve"> </w:t>
      </w:r>
      <w:r w:rsidRPr="00795E7D">
        <w:t>fils,</w:t>
      </w:r>
      <w:r w:rsidRPr="002C4077">
        <w:t xml:space="preserve"> </w:t>
      </w:r>
    </w:p>
    <w:p w:rsidR="000A7AAB" w:rsidRPr="00795E7D" w:rsidRDefault="000A7AAB" w:rsidP="00795E7D">
      <w:pPr>
        <w:pStyle w:val="LcCentrum"/>
      </w:pPr>
      <w:r w:rsidRPr="00795E7D">
        <w:t>De</w:t>
      </w:r>
      <w:r w:rsidRPr="002C4077">
        <w:t xml:space="preserve"> </w:t>
      </w:r>
      <w:r w:rsidRPr="00795E7D">
        <w:t>ses</w:t>
      </w:r>
      <w:r w:rsidRPr="002C4077">
        <w:t xml:space="preserve"> </w:t>
      </w:r>
      <w:r w:rsidRPr="00795E7D">
        <w:t>frères</w:t>
      </w:r>
      <w:r w:rsidRPr="002C4077">
        <w:t xml:space="preserve"> </w:t>
      </w:r>
      <w:r w:rsidRPr="00795E7D">
        <w:t>et</w:t>
      </w:r>
      <w:r w:rsidRPr="002C4077">
        <w:t xml:space="preserve"> </w:t>
      </w:r>
      <w:r w:rsidRPr="00795E7D">
        <w:t>de</w:t>
      </w:r>
      <w:r w:rsidRPr="002C4077">
        <w:t xml:space="preserve"> </w:t>
      </w:r>
      <w:r w:rsidRPr="00795E7D">
        <w:t>ses</w:t>
      </w:r>
      <w:r w:rsidRPr="002C4077">
        <w:t xml:space="preserve"> </w:t>
      </w:r>
      <w:r w:rsidRPr="00795E7D">
        <w:t>sœurs.</w:t>
      </w:r>
      <w:r w:rsidRPr="002C4077">
        <w:t xml:space="preserve"> </w:t>
      </w:r>
    </w:p>
    <w:p w:rsidR="00EF54D3" w:rsidRDefault="00EF54D3" w:rsidP="00795E7D">
      <w:pPr>
        <w:pStyle w:val="LcCentrum"/>
      </w:pPr>
      <w:r>
        <w:t>⁂</w:t>
      </w:r>
    </w:p>
    <w:p w:rsidR="00EF54D3" w:rsidRDefault="000A7AAB" w:rsidP="00795E7D">
      <w:pPr>
        <w:pStyle w:val="LcCentrum"/>
      </w:pPr>
      <w:r>
        <w:t>Ici</w:t>
      </w:r>
      <w:r w:rsidRPr="002C4077">
        <w:t xml:space="preserve"> </w:t>
      </w:r>
      <w:r>
        <w:t>a</w:t>
      </w:r>
      <w:r w:rsidRPr="002C4077">
        <w:t xml:space="preserve"> </w:t>
      </w:r>
      <w:r>
        <w:t>été</w:t>
      </w:r>
      <w:r w:rsidRPr="002C4077">
        <w:t xml:space="preserve"> </w:t>
      </w:r>
      <w:r>
        <w:t>enterré</w:t>
      </w:r>
      <w:r w:rsidRPr="002C4077">
        <w:t xml:space="preserve"> </w:t>
      </w:r>
    </w:p>
    <w:p w:rsidR="00EF54D3" w:rsidRPr="00795E7D" w:rsidRDefault="000A7AAB" w:rsidP="00795E7D">
      <w:pPr>
        <w:pStyle w:val="LcCentrum"/>
        <w:rPr>
          <w:rStyle w:val="pm"/>
        </w:rPr>
      </w:pPr>
      <w:r w:rsidRPr="00795E7D">
        <w:rPr>
          <w:rStyle w:val="pm"/>
        </w:rPr>
        <w:t>L’homme</w:t>
      </w:r>
      <w:r w:rsidRPr="002C4077">
        <w:t xml:space="preserve"> </w:t>
      </w:r>
      <w:r w:rsidRPr="00795E7D">
        <w:rPr>
          <w:rStyle w:val="pm"/>
        </w:rPr>
        <w:t>excellent,</w:t>
      </w:r>
      <w:r w:rsidRPr="002C4077">
        <w:t xml:space="preserve"> </w:t>
      </w:r>
      <w:r w:rsidRPr="00795E7D">
        <w:rPr>
          <w:rStyle w:val="pm"/>
        </w:rPr>
        <w:t>Samuel.</w:t>
      </w:r>
      <w:r w:rsidRPr="002C4077">
        <w:t xml:space="preserve"> </w:t>
      </w:r>
    </w:p>
    <w:p w:rsidR="00EF54D3" w:rsidRDefault="000A7AAB" w:rsidP="00795E7D">
      <w:pPr>
        <w:pStyle w:val="LcCentrum"/>
      </w:pPr>
      <w:r>
        <w:t>Il</w:t>
      </w:r>
      <w:r w:rsidRPr="002C4077">
        <w:t xml:space="preserve"> </w:t>
      </w:r>
      <w:r>
        <w:t>a</w:t>
      </w:r>
      <w:r w:rsidRPr="002C4077">
        <w:t xml:space="preserve"> </w:t>
      </w:r>
      <w:r>
        <w:t>été</w:t>
      </w:r>
      <w:r w:rsidRPr="002C4077">
        <w:t xml:space="preserve"> </w:t>
      </w:r>
      <w:r>
        <w:t>enseveli</w:t>
      </w:r>
      <w:r w:rsidRPr="002C4077">
        <w:t xml:space="preserve"> </w:t>
      </w:r>
      <w:r>
        <w:t>avec</w:t>
      </w:r>
      <w:r w:rsidRPr="002C4077">
        <w:t xml:space="preserve"> </w:t>
      </w:r>
      <w:r>
        <w:t>un</w:t>
      </w:r>
      <w:r w:rsidRPr="002C4077">
        <w:t xml:space="preserve"> </w:t>
      </w:r>
      <w:r>
        <w:t>nom</w:t>
      </w:r>
      <w:r w:rsidRPr="002C4077">
        <w:t xml:space="preserve"> </w:t>
      </w:r>
      <w:r>
        <w:t>honorable</w:t>
      </w:r>
      <w:r w:rsidRPr="002C4077">
        <w:t xml:space="preserve"> </w:t>
      </w:r>
    </w:p>
    <w:p w:rsidR="00795E7D" w:rsidRDefault="000A7AAB" w:rsidP="00795E7D">
      <w:pPr>
        <w:pStyle w:val="LcCentrum"/>
      </w:pPr>
      <w:r>
        <w:t>Et</w:t>
      </w:r>
      <w:r w:rsidRPr="002C4077">
        <w:t xml:space="preserve"> </w:t>
      </w:r>
      <w:r>
        <w:t>une</w:t>
      </w:r>
      <w:r w:rsidRPr="002C4077">
        <w:t xml:space="preserve"> </w:t>
      </w:r>
      <w:r>
        <w:t>grande</w:t>
      </w:r>
      <w:r w:rsidRPr="002C4077">
        <w:t xml:space="preserve"> </w:t>
      </w:r>
      <w:r>
        <w:t>gloire,</w:t>
      </w:r>
      <w:r w:rsidRPr="002C4077">
        <w:t xml:space="preserve"> </w:t>
      </w:r>
    </w:p>
    <w:p w:rsidR="000A7AAB" w:rsidRPr="005E2129" w:rsidRDefault="000A7AAB" w:rsidP="00795E7D">
      <w:pPr>
        <w:pStyle w:val="LcCentrum"/>
      </w:pPr>
      <w:r>
        <w:t>Le</w:t>
      </w:r>
      <w:r w:rsidRPr="002C4077">
        <w:t xml:space="preserve"> </w:t>
      </w:r>
      <w:r>
        <w:t>24</w:t>
      </w:r>
      <w:r w:rsidRPr="002C4077">
        <w:t xml:space="preserve"> </w:t>
      </w:r>
      <w:r>
        <w:t>sivan</w:t>
      </w:r>
      <w:r w:rsidRPr="004440EA">
        <w:t xml:space="preserve"> (</w:t>
      </w:r>
      <w:r>
        <w:t>10</w:t>
      </w:r>
      <w:r w:rsidRPr="002C4077">
        <w:t xml:space="preserve"> </w:t>
      </w:r>
      <w:r>
        <w:t>juin</w:t>
      </w:r>
      <w:r w:rsidR="00B546AF" w:rsidRPr="002C4077">
        <w:t>)</w:t>
      </w:r>
      <w:r w:rsidRPr="002C4077">
        <w:t xml:space="preserve"> </w:t>
      </w:r>
      <w:r>
        <w:t>5633.</w:t>
      </w:r>
      <w:r w:rsidR="00C45B47">
        <w:t xml:space="preserve"> {</w:t>
      </w:r>
      <w:r w:rsidR="005E2129">
        <w:t>299</w:t>
      </w:r>
      <w:bookmarkStart w:id="727" w:name="p299"/>
      <w:bookmarkEnd w:id="727"/>
      <w:r w:rsidR="005E2129">
        <w:t xml:space="preserve">} </w:t>
      </w:r>
    </w:p>
    <w:p w:rsidR="00795E7D" w:rsidRDefault="00795E7D" w:rsidP="00795E7D">
      <w:pPr>
        <w:pStyle w:val="LcCentrum"/>
      </w:pPr>
      <w:r>
        <w:t>⁂</w:t>
      </w:r>
    </w:p>
    <w:p w:rsidR="000A7AAB" w:rsidRPr="00795E7D" w:rsidRDefault="000A7AAB" w:rsidP="00795E7D">
      <w:pPr>
        <w:pStyle w:val="LcCentrum"/>
        <w:rPr>
          <w:rStyle w:val="pm"/>
        </w:rPr>
      </w:pPr>
      <w:r w:rsidRPr="00795E7D">
        <w:rPr>
          <w:rStyle w:val="pm"/>
        </w:rPr>
        <w:t>Ici</w:t>
      </w:r>
      <w:r w:rsidR="000C09E0" w:rsidRPr="002C4077">
        <w:t xml:space="preserve"> </w:t>
      </w:r>
      <w:r w:rsidR="000C09E0" w:rsidRPr="00795E7D">
        <w:rPr>
          <w:rStyle w:val="pm"/>
        </w:rPr>
        <w:t>repose</w:t>
      </w:r>
      <w:r w:rsidR="000C09E0" w:rsidRPr="002C4077">
        <w:t xml:space="preserve"> </w:t>
      </w:r>
      <w:r w:rsidR="000C09E0" w:rsidRPr="00795E7D">
        <w:rPr>
          <w:rStyle w:val="pm"/>
        </w:rPr>
        <w:t>É</w:t>
      </w:r>
      <w:r w:rsidRPr="00795E7D">
        <w:rPr>
          <w:rStyle w:val="pm"/>
        </w:rPr>
        <w:t>liakim,</w:t>
      </w:r>
      <w:r w:rsidRPr="002C4077">
        <w:t xml:space="preserve"> </w:t>
      </w:r>
      <w:r w:rsidRPr="00795E7D">
        <w:rPr>
          <w:rStyle w:val="pm"/>
        </w:rPr>
        <w:t>fils</w:t>
      </w:r>
      <w:r w:rsidRPr="002C4077">
        <w:t xml:space="preserve"> </w:t>
      </w:r>
      <w:r w:rsidRPr="00795E7D">
        <w:rPr>
          <w:rStyle w:val="pm"/>
        </w:rPr>
        <w:t>de</w:t>
      </w:r>
      <w:r w:rsidRPr="002C4077">
        <w:t xml:space="preserve"> </w:t>
      </w:r>
      <w:r w:rsidRPr="00795E7D">
        <w:rPr>
          <w:rStyle w:val="pm"/>
        </w:rPr>
        <w:t>Joseph,</w:t>
      </w:r>
      <w:r w:rsidRPr="002C4077">
        <w:t xml:space="preserve"> </w:t>
      </w:r>
    </w:p>
    <w:p w:rsidR="00795E7D" w:rsidRPr="00795E7D" w:rsidRDefault="000A7AAB" w:rsidP="00795E7D">
      <w:pPr>
        <w:pStyle w:val="LcCentrum"/>
        <w:rPr>
          <w:rStyle w:val="italicus"/>
        </w:rPr>
      </w:pPr>
      <w:r w:rsidRPr="00795E7D">
        <w:rPr>
          <w:rStyle w:val="italicus"/>
        </w:rPr>
        <w:t>Homme</w:t>
      </w:r>
      <w:r w:rsidRPr="002C4077">
        <w:t xml:space="preserve"> </w:t>
      </w:r>
      <w:r w:rsidRPr="00795E7D">
        <w:rPr>
          <w:rStyle w:val="italicus"/>
        </w:rPr>
        <w:t>intègre</w:t>
      </w:r>
      <w:r w:rsidRPr="002C4077">
        <w:t xml:space="preserve"> </w:t>
      </w:r>
      <w:r w:rsidRPr="00795E7D">
        <w:rPr>
          <w:rStyle w:val="italicus"/>
        </w:rPr>
        <w:t>et</w:t>
      </w:r>
      <w:r w:rsidRPr="002C4077">
        <w:t xml:space="preserve"> </w:t>
      </w:r>
      <w:r w:rsidRPr="00795E7D">
        <w:rPr>
          <w:rStyle w:val="italicus"/>
        </w:rPr>
        <w:t>droit</w:t>
      </w:r>
      <w:r w:rsidRPr="002C4077">
        <w:t xml:space="preserve"> </w:t>
      </w:r>
    </w:p>
    <w:p w:rsidR="00795E7D" w:rsidRPr="00795E7D" w:rsidRDefault="000A7AAB" w:rsidP="00795E7D">
      <w:pPr>
        <w:pStyle w:val="LcCentrum"/>
        <w:rPr>
          <w:rStyle w:val="italicus"/>
        </w:rPr>
      </w:pPr>
      <w:r w:rsidRPr="00795E7D">
        <w:rPr>
          <w:rStyle w:val="italicus"/>
        </w:rPr>
        <w:t>Qui</w:t>
      </w:r>
      <w:r w:rsidRPr="002C4077">
        <w:t xml:space="preserve"> </w:t>
      </w:r>
      <w:r w:rsidRPr="00795E7D">
        <w:rPr>
          <w:rStyle w:val="italicus"/>
        </w:rPr>
        <w:t>a</w:t>
      </w:r>
      <w:r w:rsidRPr="002C4077">
        <w:t xml:space="preserve"> </w:t>
      </w:r>
      <w:r w:rsidRPr="00795E7D">
        <w:rPr>
          <w:rStyle w:val="italicus"/>
        </w:rPr>
        <w:t>pratiqué</w:t>
      </w:r>
      <w:r w:rsidRPr="002C4077">
        <w:t xml:space="preserve"> </w:t>
      </w:r>
      <w:r w:rsidRPr="00795E7D">
        <w:rPr>
          <w:rStyle w:val="italicus"/>
        </w:rPr>
        <w:t>la</w:t>
      </w:r>
      <w:r w:rsidRPr="002C4077">
        <w:t xml:space="preserve"> </w:t>
      </w:r>
      <w:r w:rsidRPr="00795E7D">
        <w:rPr>
          <w:rStyle w:val="italicus"/>
        </w:rPr>
        <w:t>justice</w:t>
      </w:r>
      <w:r w:rsidRPr="002C4077">
        <w:t xml:space="preserve"> </w:t>
      </w:r>
      <w:r w:rsidRPr="00795E7D">
        <w:rPr>
          <w:rStyle w:val="italicus"/>
        </w:rPr>
        <w:t>et</w:t>
      </w:r>
      <w:r w:rsidRPr="002C4077">
        <w:t xml:space="preserve"> </w:t>
      </w:r>
      <w:r w:rsidRPr="00795E7D">
        <w:rPr>
          <w:rStyle w:val="italicus"/>
        </w:rPr>
        <w:t>la</w:t>
      </w:r>
      <w:r w:rsidRPr="002C4077">
        <w:t xml:space="preserve"> </w:t>
      </w:r>
      <w:r w:rsidRPr="00795E7D">
        <w:rPr>
          <w:rStyle w:val="italicus"/>
        </w:rPr>
        <w:t>vérité</w:t>
      </w:r>
      <w:r w:rsidRPr="002C4077">
        <w:t xml:space="preserve"> </w:t>
      </w:r>
    </w:p>
    <w:p w:rsidR="000A7AAB" w:rsidRPr="00795E7D" w:rsidRDefault="000A7AAB" w:rsidP="00795E7D">
      <w:pPr>
        <w:pStyle w:val="LcCentrum"/>
        <w:rPr>
          <w:rStyle w:val="italicus"/>
        </w:rPr>
      </w:pPr>
      <w:r w:rsidRPr="00795E7D">
        <w:rPr>
          <w:rStyle w:val="italicus"/>
        </w:rPr>
        <w:t>Tous</w:t>
      </w:r>
      <w:r w:rsidRPr="002C4077">
        <w:t xml:space="preserve"> </w:t>
      </w:r>
      <w:r w:rsidRPr="00795E7D">
        <w:rPr>
          <w:rStyle w:val="italicus"/>
        </w:rPr>
        <w:t>les</w:t>
      </w:r>
      <w:r w:rsidRPr="002C4077">
        <w:t xml:space="preserve"> </w:t>
      </w:r>
      <w:r w:rsidRPr="00795E7D">
        <w:rPr>
          <w:rStyle w:val="italicus"/>
        </w:rPr>
        <w:t>jours</w:t>
      </w:r>
      <w:r w:rsidRPr="002C4077">
        <w:t xml:space="preserve"> </w:t>
      </w:r>
      <w:r w:rsidRPr="00795E7D">
        <w:rPr>
          <w:rStyle w:val="italicus"/>
        </w:rPr>
        <w:t>de</w:t>
      </w:r>
      <w:r w:rsidRPr="002C4077">
        <w:t xml:space="preserve"> </w:t>
      </w:r>
      <w:r w:rsidRPr="00795E7D">
        <w:rPr>
          <w:rStyle w:val="italicus"/>
        </w:rPr>
        <w:t>sa</w:t>
      </w:r>
      <w:r w:rsidRPr="002C4077">
        <w:t xml:space="preserve"> </w:t>
      </w:r>
      <w:r w:rsidRPr="00795E7D">
        <w:rPr>
          <w:rStyle w:val="italicus"/>
        </w:rPr>
        <w:t>vie.</w:t>
      </w:r>
      <w:r w:rsidRPr="002C4077">
        <w:t xml:space="preserve"> </w:t>
      </w:r>
    </w:p>
    <w:p w:rsidR="000A7AAB" w:rsidRPr="00795E7D" w:rsidRDefault="000A7AAB" w:rsidP="00795E7D">
      <w:pPr>
        <w:pStyle w:val="LcCentrum"/>
        <w:rPr>
          <w:rStyle w:val="italicus"/>
        </w:rPr>
      </w:pPr>
      <w:r w:rsidRPr="00795E7D">
        <w:rPr>
          <w:rStyle w:val="italicus"/>
        </w:rPr>
        <w:t>Il</w:t>
      </w:r>
      <w:r w:rsidRPr="002C4077">
        <w:t xml:space="preserve"> </w:t>
      </w:r>
      <w:r w:rsidRPr="00795E7D">
        <w:rPr>
          <w:rStyle w:val="italicus"/>
        </w:rPr>
        <w:t>s’en</w:t>
      </w:r>
      <w:r w:rsidRPr="002C4077">
        <w:t xml:space="preserve"> </w:t>
      </w:r>
      <w:r w:rsidR="00425C50" w:rsidRPr="00795E7D">
        <w:rPr>
          <w:rStyle w:val="italicus"/>
        </w:rPr>
        <w:t>est</w:t>
      </w:r>
      <w:r w:rsidRPr="002C4077">
        <w:t xml:space="preserve"> </w:t>
      </w:r>
      <w:r w:rsidRPr="00795E7D">
        <w:rPr>
          <w:rStyle w:val="italicus"/>
        </w:rPr>
        <w:t>allé</w:t>
      </w:r>
      <w:r w:rsidRPr="002C4077">
        <w:t xml:space="preserve"> </w:t>
      </w:r>
      <w:r w:rsidRPr="00795E7D">
        <w:rPr>
          <w:rStyle w:val="italicus"/>
        </w:rPr>
        <w:t>à</w:t>
      </w:r>
      <w:r w:rsidRPr="002C4077">
        <w:t xml:space="preserve"> </w:t>
      </w:r>
      <w:r w:rsidRPr="00795E7D">
        <w:rPr>
          <w:rStyle w:val="italicus"/>
        </w:rPr>
        <w:t>la</w:t>
      </w:r>
      <w:r w:rsidRPr="002C4077">
        <w:t xml:space="preserve"> </w:t>
      </w:r>
      <w:r w:rsidRPr="00795E7D">
        <w:rPr>
          <w:rStyle w:val="italicus"/>
        </w:rPr>
        <w:t>demeure</w:t>
      </w:r>
      <w:r w:rsidRPr="002C4077">
        <w:t xml:space="preserve"> </w:t>
      </w:r>
      <w:r w:rsidRPr="00795E7D">
        <w:rPr>
          <w:rStyle w:val="italicus"/>
        </w:rPr>
        <w:t>de</w:t>
      </w:r>
      <w:r w:rsidRPr="002C4077">
        <w:t xml:space="preserve"> </w:t>
      </w:r>
      <w:r w:rsidRPr="00795E7D">
        <w:rPr>
          <w:rStyle w:val="italicus"/>
        </w:rPr>
        <w:t>son</w:t>
      </w:r>
      <w:r w:rsidRPr="002C4077">
        <w:t xml:space="preserve"> </w:t>
      </w:r>
      <w:r w:rsidRPr="00795E7D">
        <w:rPr>
          <w:rStyle w:val="italicus"/>
        </w:rPr>
        <w:t>éternité.</w:t>
      </w:r>
      <w:r w:rsidRPr="002C4077">
        <w:t xml:space="preserve"> </w:t>
      </w:r>
    </w:p>
    <w:p w:rsidR="000A7AAB" w:rsidRDefault="000A7AAB" w:rsidP="000A7AAB">
      <w:r>
        <w:t>On</w:t>
      </w:r>
      <w:r w:rsidRPr="002C4077">
        <w:t xml:space="preserve"> </w:t>
      </w:r>
      <w:r>
        <w:t>le</w:t>
      </w:r>
      <w:r w:rsidRPr="002C4077">
        <w:t xml:space="preserve"> </w:t>
      </w:r>
      <w:r>
        <w:t>voit,</w:t>
      </w:r>
      <w:r w:rsidRPr="002C4077">
        <w:t xml:space="preserve"> </w:t>
      </w:r>
      <w:r>
        <w:t>les</w:t>
      </w:r>
      <w:r w:rsidRPr="002C4077">
        <w:t xml:space="preserve"> </w:t>
      </w:r>
      <w:r>
        <w:t>inscriptions</w:t>
      </w:r>
      <w:r w:rsidRPr="002C4077">
        <w:t xml:space="preserve"> </w:t>
      </w:r>
      <w:r>
        <w:t>deviennent</w:t>
      </w:r>
      <w:r w:rsidRPr="002C4077">
        <w:t xml:space="preserve"> </w:t>
      </w:r>
      <w:r>
        <w:t>de</w:t>
      </w:r>
      <w:r w:rsidRPr="002C4077">
        <w:t xml:space="preserve"> </w:t>
      </w:r>
      <w:r>
        <w:t>plus</w:t>
      </w:r>
      <w:r w:rsidRPr="002C4077">
        <w:t xml:space="preserve"> </w:t>
      </w:r>
      <w:r>
        <w:t>en</w:t>
      </w:r>
      <w:r w:rsidRPr="002C4077">
        <w:t xml:space="preserve"> </w:t>
      </w:r>
      <w:r>
        <w:t>plus</w:t>
      </w:r>
      <w:r w:rsidRPr="002C4077">
        <w:t xml:space="preserve"> </w:t>
      </w:r>
      <w:r>
        <w:t>louangeuses,</w:t>
      </w:r>
      <w:r w:rsidRPr="002C4077">
        <w:t xml:space="preserve"> </w:t>
      </w:r>
      <w:r>
        <w:t>et</w:t>
      </w:r>
      <w:r w:rsidRPr="002C4077">
        <w:t xml:space="preserve"> </w:t>
      </w:r>
      <w:r>
        <w:t>de</w:t>
      </w:r>
      <w:r w:rsidRPr="002C4077">
        <w:t xml:space="preserve"> </w:t>
      </w:r>
      <w:r>
        <w:t>plus</w:t>
      </w:r>
      <w:r w:rsidRPr="002C4077">
        <w:t xml:space="preserve"> </w:t>
      </w:r>
      <w:r>
        <w:t>en</w:t>
      </w:r>
      <w:r w:rsidRPr="002C4077">
        <w:t xml:space="preserve"> </w:t>
      </w:r>
      <w:r>
        <w:t>plus</w:t>
      </w:r>
      <w:r w:rsidRPr="002C4077">
        <w:t xml:space="preserve"> </w:t>
      </w:r>
      <w:r>
        <w:t>désolées.</w:t>
      </w:r>
      <w:r w:rsidRPr="002C4077">
        <w:t xml:space="preserve"> </w:t>
      </w:r>
      <w:r>
        <w:t>Nous</w:t>
      </w:r>
      <w:r w:rsidRPr="002C4077">
        <w:t xml:space="preserve"> </w:t>
      </w:r>
      <w:r>
        <w:t>allons</w:t>
      </w:r>
      <w:r w:rsidRPr="002C4077">
        <w:t xml:space="preserve"> </w:t>
      </w:r>
      <w:r>
        <w:t>nous</w:t>
      </w:r>
      <w:r w:rsidRPr="002C4077">
        <w:t xml:space="preserve"> </w:t>
      </w:r>
      <w:r>
        <w:t>trouver</w:t>
      </w:r>
      <w:r w:rsidRPr="002C4077">
        <w:t xml:space="preserve"> </w:t>
      </w:r>
      <w:r>
        <w:t>bientôt</w:t>
      </w:r>
      <w:r w:rsidRPr="002C4077">
        <w:t xml:space="preserve"> </w:t>
      </w:r>
      <w:r>
        <w:t>en</w:t>
      </w:r>
      <w:r w:rsidRPr="002C4077">
        <w:t xml:space="preserve"> </w:t>
      </w:r>
      <w:r>
        <w:t>plein</w:t>
      </w:r>
      <w:r w:rsidRPr="002C4077">
        <w:t xml:space="preserve"> </w:t>
      </w:r>
      <w:r>
        <w:t>style</w:t>
      </w:r>
      <w:r w:rsidRPr="002C4077">
        <w:t xml:space="preserve"> </w:t>
      </w:r>
      <w:r>
        <w:t>oriental.</w:t>
      </w:r>
      <w:r w:rsidRPr="002C4077">
        <w:t xml:space="preserve"> </w:t>
      </w:r>
      <w:r>
        <w:t>Le</w:t>
      </w:r>
      <w:r w:rsidRPr="002C4077">
        <w:t xml:space="preserve"> </w:t>
      </w:r>
      <w:r>
        <w:t>goût</w:t>
      </w:r>
      <w:r w:rsidRPr="002C4077">
        <w:t xml:space="preserve"> </w:t>
      </w:r>
      <w:r>
        <w:t>ne</w:t>
      </w:r>
      <w:r w:rsidRPr="002C4077">
        <w:t xml:space="preserve"> </w:t>
      </w:r>
      <w:r>
        <w:t>sera</w:t>
      </w:r>
      <w:r w:rsidRPr="002C4077">
        <w:t xml:space="preserve"> </w:t>
      </w:r>
      <w:r>
        <w:t>pas</w:t>
      </w:r>
      <w:r w:rsidRPr="002C4077">
        <w:t xml:space="preserve"> </w:t>
      </w:r>
      <w:r>
        <w:t>toujours</w:t>
      </w:r>
      <w:r w:rsidRPr="002C4077">
        <w:t xml:space="preserve"> </w:t>
      </w:r>
      <w:r>
        <w:t>parfait</w:t>
      </w:r>
      <w:r w:rsidR="00B546AF">
        <w:t> ;</w:t>
      </w:r>
      <w:r w:rsidRPr="002C4077">
        <w:t xml:space="preserve"> </w:t>
      </w:r>
      <w:r>
        <w:t>car,</w:t>
      </w:r>
      <w:r w:rsidRPr="002C4077">
        <w:t xml:space="preserve"> </w:t>
      </w:r>
      <w:r>
        <w:t>les</w:t>
      </w:r>
      <w:r w:rsidRPr="002C4077">
        <w:t xml:space="preserve"> </w:t>
      </w:r>
      <w:r w:rsidRPr="000A34B5">
        <w:rPr>
          <w:rStyle w:val="italicus"/>
        </w:rPr>
        <w:t>Rebb</w:t>
      </w:r>
      <w:r w:rsidRPr="002C4077">
        <w:t xml:space="preserve"> </w:t>
      </w:r>
      <w:r>
        <w:t>qui</w:t>
      </w:r>
      <w:r w:rsidRPr="002C4077">
        <w:t xml:space="preserve"> </w:t>
      </w:r>
      <w:r>
        <w:t>composent</w:t>
      </w:r>
      <w:r w:rsidRPr="002C4077">
        <w:t xml:space="preserve"> </w:t>
      </w:r>
      <w:r>
        <w:t>d’ordinaire</w:t>
      </w:r>
      <w:r w:rsidRPr="002C4077">
        <w:t xml:space="preserve"> </w:t>
      </w:r>
      <w:r>
        <w:t>les</w:t>
      </w:r>
      <w:r w:rsidRPr="002C4077">
        <w:t xml:space="preserve"> </w:t>
      </w:r>
      <w:r>
        <w:t>épitaphes,</w:t>
      </w:r>
      <w:r w:rsidRPr="002C4077">
        <w:t xml:space="preserve"> </w:t>
      </w:r>
      <w:r>
        <w:t>moyennant</w:t>
      </w:r>
      <w:r w:rsidRPr="002C4077">
        <w:t xml:space="preserve"> </w:t>
      </w:r>
      <w:r>
        <w:t>une</w:t>
      </w:r>
      <w:r w:rsidRPr="002C4077">
        <w:t xml:space="preserve"> </w:t>
      </w:r>
      <w:r>
        <w:t>très</w:t>
      </w:r>
      <w:r w:rsidRPr="002C4077">
        <w:t xml:space="preserve"> </w:t>
      </w:r>
      <w:r>
        <w:t>modeste</w:t>
      </w:r>
      <w:r w:rsidRPr="002C4077">
        <w:t xml:space="preserve"> </w:t>
      </w:r>
      <w:r>
        <w:t>redevance,</w:t>
      </w:r>
      <w:r w:rsidRPr="002C4077">
        <w:t xml:space="preserve"> </w:t>
      </w:r>
      <w:r>
        <w:t>ne</w:t>
      </w:r>
      <w:r w:rsidRPr="002C4077">
        <w:t xml:space="preserve"> </w:t>
      </w:r>
      <w:r>
        <w:t>sont</w:t>
      </w:r>
      <w:r w:rsidRPr="002C4077">
        <w:t xml:space="preserve"> </w:t>
      </w:r>
      <w:r>
        <w:t>pas</w:t>
      </w:r>
      <w:r w:rsidRPr="002C4077">
        <w:t xml:space="preserve"> </w:t>
      </w:r>
      <w:r>
        <w:t>des</w:t>
      </w:r>
      <w:r w:rsidRPr="002C4077">
        <w:t xml:space="preserve"> </w:t>
      </w:r>
      <w:r>
        <w:t>lettrés</w:t>
      </w:r>
      <w:r w:rsidRPr="002C4077">
        <w:t xml:space="preserve"> </w:t>
      </w:r>
      <w:r>
        <w:t>de</w:t>
      </w:r>
      <w:r w:rsidRPr="002C4077">
        <w:t xml:space="preserve"> </w:t>
      </w:r>
      <w:r>
        <w:t>première</w:t>
      </w:r>
      <w:r w:rsidRPr="002C4077">
        <w:t xml:space="preserve"> </w:t>
      </w:r>
      <w:r>
        <w:t>force.</w:t>
      </w:r>
      <w:r w:rsidRPr="002C4077">
        <w:t xml:space="preserve"> </w:t>
      </w:r>
      <w:r>
        <w:t>Du</w:t>
      </w:r>
      <w:r w:rsidRPr="002C4077">
        <w:t xml:space="preserve"> </w:t>
      </w:r>
      <w:r>
        <w:t>moins,</w:t>
      </w:r>
      <w:r w:rsidRPr="002C4077">
        <w:t xml:space="preserve"> </w:t>
      </w:r>
      <w:r>
        <w:t>l’intention</w:t>
      </w:r>
      <w:r w:rsidRPr="002C4077">
        <w:t xml:space="preserve"> </w:t>
      </w:r>
      <w:r>
        <w:t>sera</w:t>
      </w:r>
      <w:r w:rsidRPr="002C4077">
        <w:t xml:space="preserve"> </w:t>
      </w:r>
      <w:r>
        <w:t>bonne,</w:t>
      </w:r>
      <w:r w:rsidRPr="002C4077">
        <w:t xml:space="preserve"> </w:t>
      </w:r>
      <w:r>
        <w:t>et</w:t>
      </w:r>
      <w:r w:rsidRPr="002C4077">
        <w:t xml:space="preserve"> </w:t>
      </w:r>
      <w:r>
        <w:t>l’intérêt</w:t>
      </w:r>
      <w:r w:rsidRPr="002C4077">
        <w:t xml:space="preserve"> </w:t>
      </w:r>
      <w:r>
        <w:t>d’autant</w:t>
      </w:r>
      <w:r w:rsidRPr="002C4077">
        <w:t xml:space="preserve"> </w:t>
      </w:r>
      <w:r>
        <w:t>plus</w:t>
      </w:r>
      <w:r w:rsidRPr="002C4077">
        <w:t xml:space="preserve"> </w:t>
      </w:r>
      <w:r>
        <w:t>vif</w:t>
      </w:r>
      <w:r w:rsidRPr="002C4077">
        <w:t xml:space="preserve"> </w:t>
      </w:r>
      <w:r>
        <w:t>pour</w:t>
      </w:r>
      <w:r w:rsidRPr="002C4077">
        <w:t xml:space="preserve"> </w:t>
      </w:r>
      <w:r>
        <w:t>nous.</w:t>
      </w:r>
      <w:r w:rsidRPr="002C4077">
        <w:t xml:space="preserve"> </w:t>
      </w:r>
    </w:p>
    <w:p w:rsidR="00795E7D" w:rsidRPr="00795E7D" w:rsidRDefault="00EF54D3" w:rsidP="00EF54D3">
      <w:pPr>
        <w:pStyle w:val="LcCentrum"/>
        <w:rPr>
          <w:rStyle w:val="pm"/>
        </w:rPr>
      </w:pPr>
      <w:r w:rsidRPr="00795E7D">
        <w:rPr>
          <w:rStyle w:val="pm"/>
        </w:rPr>
        <w:t>Ci-gît</w:t>
      </w:r>
      <w:r w:rsidRPr="002C4077">
        <w:t xml:space="preserve"> </w:t>
      </w:r>
      <w:r w:rsidRPr="00795E7D">
        <w:rPr>
          <w:rStyle w:val="pm"/>
        </w:rPr>
        <w:t>Miriam,</w:t>
      </w:r>
      <w:r w:rsidRPr="002C4077">
        <w:t xml:space="preserve"> </w:t>
      </w:r>
    </w:p>
    <w:p w:rsidR="00EF54D3" w:rsidRPr="00795E7D" w:rsidRDefault="00EF54D3" w:rsidP="00EF54D3">
      <w:pPr>
        <w:pStyle w:val="LcCentrum"/>
        <w:rPr>
          <w:rStyle w:val="pm"/>
        </w:rPr>
      </w:pPr>
      <w:r w:rsidRPr="00795E7D">
        <w:rPr>
          <w:rStyle w:val="pm"/>
        </w:rPr>
        <w:t>Fille</w:t>
      </w:r>
      <w:r w:rsidRPr="002C4077">
        <w:t xml:space="preserve"> </w:t>
      </w:r>
      <w:r w:rsidRPr="00795E7D">
        <w:rPr>
          <w:rStyle w:val="pm"/>
        </w:rPr>
        <w:t>de</w:t>
      </w:r>
      <w:r w:rsidRPr="002C4077">
        <w:t xml:space="preserve"> </w:t>
      </w:r>
      <w:r w:rsidRPr="00795E7D">
        <w:rPr>
          <w:rStyle w:val="pm"/>
        </w:rPr>
        <w:t>Mosché,</w:t>
      </w:r>
      <w:r w:rsidRPr="002C4077">
        <w:t xml:space="preserve"> </w:t>
      </w:r>
      <w:r w:rsidRPr="00795E7D">
        <w:rPr>
          <w:rStyle w:val="pm"/>
        </w:rPr>
        <w:t>femme</w:t>
      </w:r>
      <w:r w:rsidRPr="002C4077">
        <w:t xml:space="preserve"> </w:t>
      </w:r>
      <w:r w:rsidRPr="00795E7D">
        <w:rPr>
          <w:rStyle w:val="pm"/>
        </w:rPr>
        <w:t>d’Hélie.</w:t>
      </w:r>
      <w:r w:rsidRPr="002C4077">
        <w:t xml:space="preserve"> </w:t>
      </w:r>
    </w:p>
    <w:p w:rsidR="00EF54D3" w:rsidRPr="00795E7D" w:rsidRDefault="00EF54D3" w:rsidP="00EF54D3">
      <w:pPr>
        <w:pStyle w:val="LcCentrum"/>
        <w:rPr>
          <w:rStyle w:val="italicus"/>
        </w:rPr>
      </w:pPr>
      <w:r w:rsidRPr="00795E7D">
        <w:rPr>
          <w:rStyle w:val="italicus"/>
        </w:rPr>
        <w:t>Elle</w:t>
      </w:r>
      <w:r w:rsidRPr="002C4077">
        <w:t xml:space="preserve"> </w:t>
      </w:r>
      <w:r w:rsidRPr="00795E7D">
        <w:rPr>
          <w:rStyle w:val="italicus"/>
        </w:rPr>
        <w:t>a</w:t>
      </w:r>
      <w:r w:rsidRPr="002C4077">
        <w:t xml:space="preserve"> </w:t>
      </w:r>
      <w:r w:rsidRPr="00795E7D">
        <w:rPr>
          <w:rStyle w:val="italicus"/>
        </w:rPr>
        <w:t>été</w:t>
      </w:r>
      <w:r w:rsidRPr="002C4077">
        <w:t xml:space="preserve"> </w:t>
      </w:r>
      <w:r w:rsidRPr="00795E7D">
        <w:rPr>
          <w:rStyle w:val="italicus"/>
        </w:rPr>
        <w:t>une</w:t>
      </w:r>
      <w:r w:rsidRPr="002C4077">
        <w:t xml:space="preserve"> </w:t>
      </w:r>
      <w:r w:rsidRPr="00795E7D">
        <w:rPr>
          <w:rStyle w:val="italicus"/>
        </w:rPr>
        <w:t>couronne</w:t>
      </w:r>
      <w:r w:rsidRPr="002C4077">
        <w:t xml:space="preserve"> </w:t>
      </w:r>
      <w:r w:rsidRPr="00795E7D">
        <w:rPr>
          <w:rStyle w:val="italicus"/>
        </w:rPr>
        <w:t>de</w:t>
      </w:r>
      <w:r w:rsidRPr="002C4077">
        <w:t xml:space="preserve"> </w:t>
      </w:r>
      <w:r w:rsidRPr="00795E7D">
        <w:rPr>
          <w:rStyle w:val="italicus"/>
        </w:rPr>
        <w:t>gloire</w:t>
      </w:r>
      <w:r w:rsidRPr="002C4077">
        <w:t xml:space="preserve"> </w:t>
      </w:r>
      <w:r w:rsidRPr="00795E7D">
        <w:rPr>
          <w:rStyle w:val="italicus"/>
        </w:rPr>
        <w:t>pour</w:t>
      </w:r>
      <w:r w:rsidRPr="002C4077">
        <w:t xml:space="preserve"> </w:t>
      </w:r>
      <w:r w:rsidRPr="00795E7D">
        <w:rPr>
          <w:rStyle w:val="italicus"/>
        </w:rPr>
        <w:t>son</w:t>
      </w:r>
      <w:r w:rsidRPr="002C4077">
        <w:t xml:space="preserve"> </w:t>
      </w:r>
      <w:r w:rsidRPr="00795E7D">
        <w:rPr>
          <w:rStyle w:val="italicus"/>
        </w:rPr>
        <w:t>mari.</w:t>
      </w:r>
      <w:r w:rsidRPr="002C4077">
        <w:t xml:space="preserve"> </w:t>
      </w:r>
    </w:p>
    <w:p w:rsidR="00795E7D" w:rsidRDefault="00795E7D" w:rsidP="00795E7D">
      <w:pPr>
        <w:pStyle w:val="LcCentrum"/>
      </w:pPr>
      <w:r>
        <w:t>⁂</w:t>
      </w:r>
    </w:p>
    <w:p w:rsidR="00795E7D" w:rsidRPr="00795E7D" w:rsidRDefault="00EF54D3" w:rsidP="00EF54D3">
      <w:pPr>
        <w:pStyle w:val="LcCentrum"/>
      </w:pPr>
      <w:r w:rsidRPr="00795E7D">
        <w:t>Ici</w:t>
      </w:r>
      <w:r w:rsidRPr="002C4077">
        <w:t xml:space="preserve"> </w:t>
      </w:r>
      <w:r w:rsidRPr="00795E7D">
        <w:t>repose</w:t>
      </w:r>
      <w:r w:rsidRPr="002C4077">
        <w:t xml:space="preserve"> </w:t>
      </w:r>
    </w:p>
    <w:p w:rsidR="00795E7D" w:rsidRPr="00795E7D" w:rsidRDefault="00EF54D3" w:rsidP="00EF54D3">
      <w:pPr>
        <w:pStyle w:val="LcCentrum"/>
      </w:pPr>
      <w:r w:rsidRPr="00795E7D">
        <w:t>L’espérance</w:t>
      </w:r>
      <w:r w:rsidRPr="002C4077">
        <w:t xml:space="preserve"> </w:t>
      </w:r>
      <w:r w:rsidRPr="00795E7D">
        <w:t>d’un</w:t>
      </w:r>
      <w:r w:rsidRPr="002C4077">
        <w:t xml:space="preserve"> </w:t>
      </w:r>
      <w:r w:rsidRPr="00795E7D">
        <w:t>père</w:t>
      </w:r>
      <w:r w:rsidRPr="002C4077">
        <w:t xml:space="preserve"> </w:t>
      </w:r>
      <w:r w:rsidRPr="00795E7D">
        <w:t>et</w:t>
      </w:r>
      <w:r w:rsidRPr="002C4077">
        <w:t xml:space="preserve"> </w:t>
      </w:r>
      <w:r w:rsidRPr="00795E7D">
        <w:t>d’une</w:t>
      </w:r>
      <w:r w:rsidRPr="002C4077">
        <w:t xml:space="preserve"> </w:t>
      </w:r>
      <w:r w:rsidRPr="00795E7D">
        <w:t>mère.</w:t>
      </w:r>
      <w:r w:rsidRPr="002C4077">
        <w:t xml:space="preserve"> </w:t>
      </w:r>
    </w:p>
    <w:p w:rsidR="00795E7D" w:rsidRPr="00795E7D" w:rsidRDefault="00EF54D3" w:rsidP="00EF54D3">
      <w:pPr>
        <w:pStyle w:val="LcCentrum"/>
        <w:rPr>
          <w:rStyle w:val="italicus"/>
        </w:rPr>
      </w:pPr>
      <w:r w:rsidRPr="00795E7D">
        <w:rPr>
          <w:rStyle w:val="italicus"/>
        </w:rPr>
        <w:t>Elle</w:t>
      </w:r>
      <w:r w:rsidRPr="002C4077">
        <w:t xml:space="preserve"> </w:t>
      </w:r>
      <w:r w:rsidRPr="00795E7D">
        <w:rPr>
          <w:rStyle w:val="italicus"/>
        </w:rPr>
        <w:t>est</w:t>
      </w:r>
      <w:r w:rsidRPr="002C4077">
        <w:t xml:space="preserve"> </w:t>
      </w:r>
      <w:r w:rsidRPr="00795E7D">
        <w:rPr>
          <w:rStyle w:val="italicus"/>
        </w:rPr>
        <w:t>morte</w:t>
      </w:r>
      <w:r w:rsidRPr="002C4077">
        <w:t xml:space="preserve"> </w:t>
      </w:r>
      <w:r w:rsidRPr="00795E7D">
        <w:rPr>
          <w:rStyle w:val="italicus"/>
        </w:rPr>
        <w:t>soudain ;</w:t>
      </w:r>
      <w:r w:rsidRPr="002C4077">
        <w:t xml:space="preserve"> </w:t>
      </w:r>
    </w:p>
    <w:p w:rsidR="00795E7D" w:rsidRPr="00795E7D" w:rsidRDefault="00EF54D3" w:rsidP="00EF54D3">
      <w:pPr>
        <w:pStyle w:val="LcCentrum"/>
        <w:rPr>
          <w:rStyle w:val="italicus"/>
        </w:rPr>
      </w:pPr>
      <w:r w:rsidRPr="00795E7D">
        <w:rPr>
          <w:rStyle w:val="italicus"/>
        </w:rPr>
        <w:t>Elle</w:t>
      </w:r>
      <w:r w:rsidRPr="002C4077">
        <w:t xml:space="preserve"> </w:t>
      </w:r>
      <w:r w:rsidRPr="00795E7D">
        <w:rPr>
          <w:rStyle w:val="italicus"/>
        </w:rPr>
        <w:t>est</w:t>
      </w:r>
      <w:r w:rsidRPr="002C4077">
        <w:t xml:space="preserve"> </w:t>
      </w:r>
      <w:r w:rsidRPr="00795E7D">
        <w:rPr>
          <w:rStyle w:val="italicus"/>
        </w:rPr>
        <w:t>descendue</w:t>
      </w:r>
      <w:r w:rsidRPr="002C4077">
        <w:t xml:space="preserve"> </w:t>
      </w:r>
      <w:r w:rsidRPr="00795E7D">
        <w:rPr>
          <w:rStyle w:val="italicus"/>
        </w:rPr>
        <w:t>au</w:t>
      </w:r>
      <w:r w:rsidRPr="002C4077">
        <w:t xml:space="preserve"> </w:t>
      </w:r>
      <w:r w:rsidRPr="00795E7D">
        <w:rPr>
          <w:rStyle w:val="italicus"/>
        </w:rPr>
        <w:t>scheôl</w:t>
      </w:r>
      <w:r w:rsidRPr="002C4077">
        <w:t xml:space="preserve"> </w:t>
      </w:r>
    </w:p>
    <w:p w:rsidR="00795E7D" w:rsidRPr="00795E7D" w:rsidRDefault="00EF54D3" w:rsidP="00EF54D3">
      <w:pPr>
        <w:pStyle w:val="LcCentrum"/>
        <w:rPr>
          <w:rStyle w:val="italicus"/>
        </w:rPr>
      </w:pPr>
      <w:r w:rsidRPr="00795E7D">
        <w:rPr>
          <w:rStyle w:val="italicus"/>
        </w:rPr>
        <w:t>Au</w:t>
      </w:r>
      <w:r w:rsidRPr="002C4077">
        <w:t xml:space="preserve"> </w:t>
      </w:r>
      <w:r w:rsidRPr="00795E7D">
        <w:rPr>
          <w:rStyle w:val="italicus"/>
        </w:rPr>
        <w:t>milieu</w:t>
      </w:r>
      <w:r w:rsidRPr="002C4077">
        <w:t xml:space="preserve"> </w:t>
      </w:r>
      <w:r w:rsidRPr="00795E7D">
        <w:rPr>
          <w:rStyle w:val="italicus"/>
        </w:rPr>
        <w:t>de</w:t>
      </w:r>
      <w:r w:rsidRPr="002C4077">
        <w:t xml:space="preserve"> </w:t>
      </w:r>
      <w:r w:rsidRPr="00795E7D">
        <w:rPr>
          <w:rStyle w:val="italicus"/>
        </w:rPr>
        <w:t>ses</w:t>
      </w:r>
      <w:r w:rsidRPr="002C4077">
        <w:t xml:space="preserve"> </w:t>
      </w:r>
      <w:r w:rsidRPr="00795E7D">
        <w:rPr>
          <w:rStyle w:val="italicus"/>
        </w:rPr>
        <w:t>jours.</w:t>
      </w:r>
      <w:r w:rsidRPr="002C4077">
        <w:t xml:space="preserve"> </w:t>
      </w:r>
    </w:p>
    <w:p w:rsidR="00795E7D" w:rsidRPr="00795E7D" w:rsidRDefault="00EF54D3" w:rsidP="00EF54D3">
      <w:pPr>
        <w:pStyle w:val="LcCentrum"/>
        <w:rPr>
          <w:rStyle w:val="italicus"/>
        </w:rPr>
      </w:pPr>
      <w:r w:rsidRPr="00795E7D">
        <w:rPr>
          <w:rStyle w:val="italicus"/>
        </w:rPr>
        <w:t>Elle</w:t>
      </w:r>
      <w:r w:rsidRPr="002C4077">
        <w:t xml:space="preserve"> </w:t>
      </w:r>
      <w:r w:rsidRPr="00795E7D">
        <w:rPr>
          <w:rStyle w:val="italicus"/>
        </w:rPr>
        <w:t>a</w:t>
      </w:r>
      <w:r w:rsidRPr="002C4077">
        <w:t xml:space="preserve"> </w:t>
      </w:r>
      <w:r w:rsidRPr="00795E7D">
        <w:rPr>
          <w:rStyle w:val="italicus"/>
        </w:rPr>
        <w:t>quitté</w:t>
      </w:r>
      <w:r w:rsidRPr="002C4077">
        <w:t xml:space="preserve"> </w:t>
      </w:r>
      <w:r w:rsidRPr="00795E7D">
        <w:rPr>
          <w:rStyle w:val="italicus"/>
        </w:rPr>
        <w:t>ses</w:t>
      </w:r>
      <w:r w:rsidRPr="002C4077">
        <w:t xml:space="preserve"> </w:t>
      </w:r>
      <w:r w:rsidRPr="00795E7D">
        <w:rPr>
          <w:rStyle w:val="italicus"/>
        </w:rPr>
        <w:t>amis</w:t>
      </w:r>
      <w:r w:rsidRPr="002C4077">
        <w:t xml:space="preserve"> </w:t>
      </w:r>
    </w:p>
    <w:p w:rsidR="00795E7D" w:rsidRPr="00795E7D" w:rsidRDefault="00EF54D3" w:rsidP="00EF54D3">
      <w:pPr>
        <w:pStyle w:val="LcCentrum"/>
        <w:rPr>
          <w:rStyle w:val="italicus"/>
        </w:rPr>
      </w:pPr>
      <w:r w:rsidRPr="00795E7D">
        <w:rPr>
          <w:rStyle w:val="italicus"/>
        </w:rPr>
        <w:t>Pour</w:t>
      </w:r>
      <w:r w:rsidRPr="002C4077">
        <w:t xml:space="preserve"> </w:t>
      </w:r>
      <w:r w:rsidRPr="00795E7D">
        <w:rPr>
          <w:rStyle w:val="italicus"/>
        </w:rPr>
        <w:t>recevoir</w:t>
      </w:r>
      <w:r w:rsidRPr="002C4077">
        <w:t xml:space="preserve"> </w:t>
      </w:r>
      <w:r w:rsidRPr="00795E7D">
        <w:rPr>
          <w:rStyle w:val="italicus"/>
        </w:rPr>
        <w:t>dans</w:t>
      </w:r>
      <w:r w:rsidRPr="002C4077">
        <w:t xml:space="preserve"> </w:t>
      </w:r>
      <w:r w:rsidRPr="00795E7D">
        <w:rPr>
          <w:rStyle w:val="italicus"/>
        </w:rPr>
        <w:t>le</w:t>
      </w:r>
      <w:r w:rsidRPr="002C4077">
        <w:t xml:space="preserve"> </w:t>
      </w:r>
      <w:r w:rsidRPr="00795E7D">
        <w:rPr>
          <w:rStyle w:val="italicus"/>
        </w:rPr>
        <w:t>Ciel</w:t>
      </w:r>
      <w:r w:rsidRPr="002C4077">
        <w:t xml:space="preserve"> </w:t>
      </w:r>
      <w:r w:rsidRPr="00795E7D">
        <w:rPr>
          <w:rStyle w:val="italicus"/>
        </w:rPr>
        <w:t>la</w:t>
      </w:r>
      <w:r w:rsidRPr="002C4077">
        <w:t xml:space="preserve"> </w:t>
      </w:r>
      <w:r w:rsidRPr="00795E7D">
        <w:rPr>
          <w:rStyle w:val="italicus"/>
        </w:rPr>
        <w:t>récompense</w:t>
      </w:r>
      <w:r w:rsidRPr="002C4077">
        <w:t xml:space="preserve"> </w:t>
      </w:r>
      <w:r w:rsidRPr="00795E7D">
        <w:rPr>
          <w:rStyle w:val="italicus"/>
        </w:rPr>
        <w:t>de</w:t>
      </w:r>
      <w:r w:rsidRPr="002C4077">
        <w:t xml:space="preserve"> </w:t>
      </w:r>
      <w:r w:rsidRPr="00795E7D">
        <w:rPr>
          <w:rStyle w:val="italicus"/>
        </w:rPr>
        <w:t>ses</w:t>
      </w:r>
      <w:r w:rsidRPr="002C4077">
        <w:t xml:space="preserve"> </w:t>
      </w:r>
      <w:r w:rsidRPr="00795E7D">
        <w:rPr>
          <w:rStyle w:val="italicus"/>
        </w:rPr>
        <w:t>œuvres.</w:t>
      </w:r>
      <w:r w:rsidRPr="002C4077">
        <w:t xml:space="preserve"> </w:t>
      </w:r>
    </w:p>
    <w:p w:rsidR="00795E7D" w:rsidRPr="00795E7D" w:rsidRDefault="00EF54D3" w:rsidP="00EF54D3">
      <w:pPr>
        <w:pStyle w:val="LcCentrum"/>
        <w:rPr>
          <w:rStyle w:val="italicus"/>
        </w:rPr>
      </w:pPr>
      <w:r w:rsidRPr="00795E7D">
        <w:rPr>
          <w:rStyle w:val="italicus"/>
        </w:rPr>
        <w:t>Un</w:t>
      </w:r>
      <w:r w:rsidRPr="002C4077">
        <w:t xml:space="preserve"> </w:t>
      </w:r>
      <w:r w:rsidRPr="00795E7D">
        <w:rPr>
          <w:rStyle w:val="italicus"/>
        </w:rPr>
        <w:t>frère</w:t>
      </w:r>
      <w:r w:rsidRPr="002C4077">
        <w:t xml:space="preserve"> </w:t>
      </w:r>
      <w:r w:rsidRPr="00795E7D">
        <w:rPr>
          <w:rStyle w:val="italicus"/>
        </w:rPr>
        <w:t>et</w:t>
      </w:r>
      <w:r w:rsidRPr="002C4077">
        <w:t xml:space="preserve"> </w:t>
      </w:r>
      <w:r w:rsidRPr="00795E7D">
        <w:rPr>
          <w:rStyle w:val="italicus"/>
        </w:rPr>
        <w:t>des</w:t>
      </w:r>
      <w:r w:rsidRPr="002C4077">
        <w:t xml:space="preserve"> </w:t>
      </w:r>
      <w:r w:rsidRPr="00795E7D">
        <w:rPr>
          <w:rStyle w:val="italicus"/>
        </w:rPr>
        <w:t>sœurs</w:t>
      </w:r>
      <w:r w:rsidRPr="002C4077">
        <w:t xml:space="preserve"> </w:t>
      </w:r>
      <w:r w:rsidRPr="00795E7D">
        <w:rPr>
          <w:rStyle w:val="italicus"/>
        </w:rPr>
        <w:t>et</w:t>
      </w:r>
      <w:r w:rsidRPr="002C4077">
        <w:t xml:space="preserve"> </w:t>
      </w:r>
      <w:r w:rsidRPr="00795E7D">
        <w:rPr>
          <w:rStyle w:val="italicus"/>
        </w:rPr>
        <w:t>des</w:t>
      </w:r>
      <w:r w:rsidRPr="002C4077">
        <w:t xml:space="preserve"> </w:t>
      </w:r>
      <w:r w:rsidRPr="00795E7D">
        <w:rPr>
          <w:rStyle w:val="italicus"/>
        </w:rPr>
        <w:t>proches</w:t>
      </w:r>
      <w:r w:rsidRPr="002C4077">
        <w:t xml:space="preserve"> </w:t>
      </w:r>
    </w:p>
    <w:p w:rsidR="00795E7D" w:rsidRDefault="00EF54D3" w:rsidP="00EF54D3">
      <w:pPr>
        <w:pStyle w:val="LcCentrum"/>
        <w:rPr>
          <w:rStyle w:val="italicus"/>
        </w:rPr>
      </w:pPr>
      <w:r w:rsidRPr="00795E7D">
        <w:rPr>
          <w:rStyle w:val="italicus"/>
        </w:rPr>
        <w:t>Gémissent</w:t>
      </w:r>
      <w:r w:rsidRPr="002C4077">
        <w:t xml:space="preserve"> </w:t>
      </w:r>
      <w:r w:rsidRPr="00795E7D">
        <w:rPr>
          <w:rStyle w:val="italicus"/>
        </w:rPr>
        <w:t>sur</w:t>
      </w:r>
      <w:r w:rsidRPr="002C4077">
        <w:t xml:space="preserve"> </w:t>
      </w:r>
      <w:r w:rsidRPr="00795E7D">
        <w:rPr>
          <w:rStyle w:val="italicus"/>
        </w:rPr>
        <w:t>elle</w:t>
      </w:r>
      <w:r w:rsidRPr="002C4077">
        <w:t xml:space="preserve"> </w:t>
      </w:r>
    </w:p>
    <w:p w:rsidR="00795E7D" w:rsidRPr="00795E7D" w:rsidRDefault="00EF54D3" w:rsidP="00EF54D3">
      <w:pPr>
        <w:pStyle w:val="LcCentrum"/>
        <w:rPr>
          <w:rStyle w:val="italicus"/>
        </w:rPr>
      </w:pPr>
      <w:r w:rsidRPr="00795E7D">
        <w:rPr>
          <w:rStyle w:val="italicus"/>
        </w:rPr>
        <w:t>Et</w:t>
      </w:r>
      <w:r w:rsidRPr="002C4077">
        <w:t xml:space="preserve"> </w:t>
      </w:r>
      <w:r w:rsidRPr="00795E7D">
        <w:rPr>
          <w:rStyle w:val="italicus"/>
        </w:rPr>
        <w:t>pleurent</w:t>
      </w:r>
      <w:r w:rsidRPr="002C4077">
        <w:t xml:space="preserve"> </w:t>
      </w:r>
      <w:r w:rsidRPr="00795E7D">
        <w:rPr>
          <w:rStyle w:val="italicus"/>
        </w:rPr>
        <w:t>amèrement.</w:t>
      </w:r>
      <w:r w:rsidRPr="002C4077">
        <w:t xml:space="preserve"> </w:t>
      </w:r>
    </w:p>
    <w:p w:rsidR="00EF54D3" w:rsidRPr="005E2129" w:rsidRDefault="00EF54D3" w:rsidP="00EF54D3">
      <w:pPr>
        <w:pStyle w:val="LcCentrum"/>
      </w:pPr>
      <w:r w:rsidRPr="00795E7D">
        <w:rPr>
          <w:rStyle w:val="pm"/>
        </w:rPr>
        <w:t>Lia</w:t>
      </w:r>
      <w:r w:rsidRPr="002C4077">
        <w:t xml:space="preserve"> </w:t>
      </w:r>
      <w:r w:rsidRPr="00795E7D">
        <w:rPr>
          <w:rStyle w:val="pm"/>
        </w:rPr>
        <w:t>H.,</w:t>
      </w:r>
      <w:r w:rsidRPr="002C4077">
        <w:t xml:space="preserve"> </w:t>
      </w:r>
      <w:r w:rsidRPr="00795E7D">
        <w:rPr>
          <w:rStyle w:val="pm"/>
        </w:rPr>
        <w:t>Femme</w:t>
      </w:r>
      <w:r w:rsidRPr="002C4077">
        <w:t xml:space="preserve"> </w:t>
      </w:r>
      <w:r w:rsidRPr="00795E7D">
        <w:rPr>
          <w:rStyle w:val="pm"/>
        </w:rPr>
        <w:t>d’Aaron.</w:t>
      </w:r>
      <w:r w:rsidR="00C45B47">
        <w:t xml:space="preserve"> {</w:t>
      </w:r>
      <w:r w:rsidR="005E2129">
        <w:t>300</w:t>
      </w:r>
      <w:bookmarkStart w:id="728" w:name="p300"/>
      <w:bookmarkEnd w:id="728"/>
      <w:r w:rsidR="005E2129">
        <w:t xml:space="preserve">} </w:t>
      </w:r>
    </w:p>
    <w:p w:rsidR="00EF54D3" w:rsidRDefault="00EF54D3" w:rsidP="00795E7D">
      <w:r w:rsidRPr="000A34B5">
        <w:rPr>
          <w:rStyle w:val="italicus"/>
        </w:rPr>
        <w:t>Scheôl</w:t>
      </w:r>
      <w:r w:rsidRPr="002C4077">
        <w:t xml:space="preserve"> </w:t>
      </w:r>
      <w:r>
        <w:t>est,</w:t>
      </w:r>
      <w:r w:rsidRPr="002C4077">
        <w:t xml:space="preserve"> </w:t>
      </w:r>
      <w:r>
        <w:t>dans</w:t>
      </w:r>
      <w:r w:rsidRPr="002C4077">
        <w:t xml:space="preserve"> </w:t>
      </w:r>
      <w:r>
        <w:t>la</w:t>
      </w:r>
      <w:r w:rsidRPr="002C4077">
        <w:t xml:space="preserve"> </w:t>
      </w:r>
      <w:r>
        <w:t>langue</w:t>
      </w:r>
      <w:r w:rsidRPr="002C4077">
        <w:t xml:space="preserve"> </w:t>
      </w:r>
      <w:r>
        <w:t>hébraïque,</w:t>
      </w:r>
      <w:r w:rsidRPr="002C4077">
        <w:t xml:space="preserve"> </w:t>
      </w:r>
      <w:r>
        <w:t>la</w:t>
      </w:r>
      <w:r w:rsidRPr="002C4077">
        <w:t xml:space="preserve"> </w:t>
      </w:r>
      <w:r>
        <w:t>dénomination</w:t>
      </w:r>
      <w:r w:rsidRPr="002C4077">
        <w:t xml:space="preserve"> </w:t>
      </w:r>
      <w:r>
        <w:t>du</w:t>
      </w:r>
      <w:r w:rsidRPr="002C4077">
        <w:t xml:space="preserve"> </w:t>
      </w:r>
      <w:r>
        <w:t>séjour</w:t>
      </w:r>
      <w:r w:rsidRPr="002C4077">
        <w:t xml:space="preserve"> </w:t>
      </w:r>
      <w:r>
        <w:t>des</w:t>
      </w:r>
      <w:r w:rsidRPr="002C4077">
        <w:t xml:space="preserve"> </w:t>
      </w:r>
      <w:r>
        <w:t>morts.</w:t>
      </w:r>
      <w:r w:rsidRPr="002C4077">
        <w:t xml:space="preserve"> </w:t>
      </w:r>
    </w:p>
    <w:p w:rsidR="00795E7D" w:rsidRPr="00795E7D" w:rsidRDefault="00EF54D3" w:rsidP="00EF54D3">
      <w:pPr>
        <w:pStyle w:val="LcCentrum"/>
        <w:rPr>
          <w:rStyle w:val="pm"/>
        </w:rPr>
      </w:pPr>
      <w:r w:rsidRPr="00795E7D">
        <w:rPr>
          <w:rStyle w:val="pm"/>
        </w:rPr>
        <w:t>Ci-gît</w:t>
      </w:r>
      <w:r w:rsidRPr="002C4077">
        <w:t xml:space="preserve"> </w:t>
      </w:r>
      <w:r w:rsidRPr="00795E7D">
        <w:rPr>
          <w:rStyle w:val="pm"/>
        </w:rPr>
        <w:t>Raphaël,</w:t>
      </w:r>
      <w:r w:rsidRPr="002C4077">
        <w:t xml:space="preserve"> </w:t>
      </w:r>
      <w:r w:rsidRPr="00795E7D">
        <w:rPr>
          <w:rStyle w:val="pm"/>
        </w:rPr>
        <w:t>fils</w:t>
      </w:r>
      <w:r w:rsidRPr="002C4077">
        <w:t xml:space="preserve"> </w:t>
      </w:r>
      <w:r w:rsidRPr="00795E7D">
        <w:rPr>
          <w:rStyle w:val="pm"/>
        </w:rPr>
        <w:t>de</w:t>
      </w:r>
      <w:r w:rsidRPr="002C4077">
        <w:t xml:space="preserve"> </w:t>
      </w:r>
      <w:r w:rsidRPr="00795E7D">
        <w:rPr>
          <w:rStyle w:val="pm"/>
        </w:rPr>
        <w:t>Josaphat.</w:t>
      </w:r>
      <w:r w:rsidRPr="002C4077">
        <w:t xml:space="preserve"> </w:t>
      </w:r>
    </w:p>
    <w:p w:rsidR="00795E7D" w:rsidRPr="00795E7D" w:rsidRDefault="00EF54D3" w:rsidP="00EF54D3">
      <w:pPr>
        <w:pStyle w:val="LcCentrum"/>
        <w:rPr>
          <w:rStyle w:val="italicus"/>
        </w:rPr>
      </w:pPr>
      <w:r w:rsidRPr="00795E7D">
        <w:rPr>
          <w:rStyle w:val="italicus"/>
        </w:rPr>
        <w:t>Il</w:t>
      </w:r>
      <w:r w:rsidRPr="002C4077">
        <w:t xml:space="preserve"> </w:t>
      </w:r>
      <w:r w:rsidRPr="00795E7D">
        <w:rPr>
          <w:rStyle w:val="italicus"/>
        </w:rPr>
        <w:t>a</w:t>
      </w:r>
      <w:r w:rsidRPr="002C4077">
        <w:t xml:space="preserve"> </w:t>
      </w:r>
      <w:r w:rsidRPr="00795E7D">
        <w:rPr>
          <w:rStyle w:val="italicus"/>
        </w:rPr>
        <w:t>marché</w:t>
      </w:r>
      <w:r w:rsidRPr="002C4077">
        <w:t xml:space="preserve"> </w:t>
      </w:r>
      <w:r w:rsidRPr="00795E7D">
        <w:rPr>
          <w:rStyle w:val="italicus"/>
        </w:rPr>
        <w:t>dans</w:t>
      </w:r>
      <w:r w:rsidRPr="002C4077">
        <w:t xml:space="preserve"> </w:t>
      </w:r>
      <w:r w:rsidRPr="00795E7D">
        <w:rPr>
          <w:rStyle w:val="italicus"/>
        </w:rPr>
        <w:t>les</w:t>
      </w:r>
      <w:r w:rsidRPr="002C4077">
        <w:t xml:space="preserve"> </w:t>
      </w:r>
      <w:r w:rsidRPr="00795E7D">
        <w:rPr>
          <w:rStyle w:val="italicus"/>
        </w:rPr>
        <w:t>voies</w:t>
      </w:r>
      <w:r w:rsidRPr="002C4077">
        <w:t xml:space="preserve"> </w:t>
      </w:r>
      <w:r w:rsidRPr="00795E7D">
        <w:rPr>
          <w:rStyle w:val="italicus"/>
        </w:rPr>
        <w:t>de</w:t>
      </w:r>
      <w:r w:rsidRPr="002C4077">
        <w:t xml:space="preserve"> </w:t>
      </w:r>
      <w:r w:rsidRPr="00795E7D">
        <w:rPr>
          <w:rStyle w:val="italicus"/>
        </w:rPr>
        <w:t>la</w:t>
      </w:r>
      <w:r w:rsidRPr="002C4077">
        <w:t xml:space="preserve"> </w:t>
      </w:r>
      <w:r w:rsidRPr="00795E7D">
        <w:rPr>
          <w:rStyle w:val="italicus"/>
        </w:rPr>
        <w:t>droiture ;</w:t>
      </w:r>
      <w:r w:rsidRPr="002C4077">
        <w:t xml:space="preserve"> </w:t>
      </w:r>
    </w:p>
    <w:p w:rsidR="00795E7D" w:rsidRPr="00795E7D" w:rsidRDefault="00EF54D3" w:rsidP="00EF54D3">
      <w:pPr>
        <w:pStyle w:val="LcCentrum"/>
        <w:rPr>
          <w:rStyle w:val="italicus"/>
        </w:rPr>
      </w:pPr>
      <w:r w:rsidRPr="00795E7D">
        <w:rPr>
          <w:rStyle w:val="italicus"/>
        </w:rPr>
        <w:t>Il</w:t>
      </w:r>
      <w:r w:rsidRPr="002C4077">
        <w:t xml:space="preserve"> </w:t>
      </w:r>
      <w:r w:rsidRPr="00795E7D">
        <w:rPr>
          <w:rStyle w:val="italicus"/>
        </w:rPr>
        <w:t>a</w:t>
      </w:r>
      <w:r w:rsidRPr="002C4077">
        <w:t xml:space="preserve"> </w:t>
      </w:r>
      <w:r w:rsidRPr="00795E7D">
        <w:rPr>
          <w:rStyle w:val="italicus"/>
        </w:rPr>
        <w:t>pratiqué</w:t>
      </w:r>
      <w:r w:rsidRPr="002C4077">
        <w:t xml:space="preserve"> </w:t>
      </w:r>
      <w:r w:rsidRPr="00795E7D">
        <w:rPr>
          <w:rStyle w:val="italicus"/>
        </w:rPr>
        <w:t>la</w:t>
      </w:r>
      <w:r w:rsidRPr="002C4077">
        <w:t xml:space="preserve"> </w:t>
      </w:r>
      <w:r w:rsidRPr="00795E7D">
        <w:rPr>
          <w:rStyle w:val="italicus"/>
        </w:rPr>
        <w:t>miséricorde</w:t>
      </w:r>
      <w:r w:rsidRPr="002C4077">
        <w:t xml:space="preserve"> </w:t>
      </w:r>
      <w:r w:rsidRPr="00795E7D">
        <w:rPr>
          <w:rStyle w:val="italicus"/>
        </w:rPr>
        <w:t>envers</w:t>
      </w:r>
      <w:r w:rsidRPr="002C4077">
        <w:t xml:space="preserve"> </w:t>
      </w:r>
      <w:r w:rsidRPr="00795E7D">
        <w:rPr>
          <w:rStyle w:val="italicus"/>
        </w:rPr>
        <w:t>tous</w:t>
      </w:r>
      <w:r w:rsidRPr="002C4077">
        <w:t xml:space="preserve"> </w:t>
      </w:r>
      <w:r w:rsidRPr="00795E7D">
        <w:rPr>
          <w:rStyle w:val="italicus"/>
        </w:rPr>
        <w:t>les</w:t>
      </w:r>
      <w:r w:rsidRPr="002C4077">
        <w:t xml:space="preserve"> </w:t>
      </w:r>
      <w:r w:rsidRPr="00795E7D">
        <w:rPr>
          <w:rStyle w:val="italicus"/>
        </w:rPr>
        <w:t>hommes.</w:t>
      </w:r>
      <w:r w:rsidRPr="002C4077">
        <w:t xml:space="preserve"> </w:t>
      </w:r>
    </w:p>
    <w:p w:rsidR="00795E7D" w:rsidRPr="00795E7D" w:rsidRDefault="00EF54D3" w:rsidP="00EF54D3">
      <w:pPr>
        <w:pStyle w:val="LcCentrum"/>
      </w:pPr>
      <w:r w:rsidRPr="00795E7D">
        <w:t>Il</w:t>
      </w:r>
      <w:r w:rsidRPr="002C4077">
        <w:t xml:space="preserve"> </w:t>
      </w:r>
      <w:r w:rsidRPr="00795E7D">
        <w:t>a</w:t>
      </w:r>
      <w:r w:rsidRPr="002C4077">
        <w:t xml:space="preserve"> </w:t>
      </w:r>
      <w:r w:rsidRPr="00795E7D">
        <w:t>été</w:t>
      </w:r>
      <w:r w:rsidRPr="002C4077">
        <w:t xml:space="preserve"> </w:t>
      </w:r>
      <w:r w:rsidRPr="00795E7D">
        <w:t>enterré</w:t>
      </w:r>
      <w:r w:rsidRPr="002C4077">
        <w:t xml:space="preserve"> </w:t>
      </w:r>
      <w:r w:rsidRPr="00795E7D">
        <w:t>au</w:t>
      </w:r>
      <w:r w:rsidRPr="002C4077">
        <w:t xml:space="preserve"> </w:t>
      </w:r>
      <w:r w:rsidRPr="00795E7D">
        <w:t>désespoir</w:t>
      </w:r>
      <w:r w:rsidRPr="002C4077">
        <w:t xml:space="preserve"> </w:t>
      </w:r>
      <w:r w:rsidRPr="00795E7D">
        <w:t>de</w:t>
      </w:r>
      <w:r w:rsidRPr="002C4077">
        <w:t xml:space="preserve"> </w:t>
      </w:r>
      <w:r w:rsidRPr="00795E7D">
        <w:t>sa</w:t>
      </w:r>
      <w:r w:rsidRPr="002C4077">
        <w:t xml:space="preserve"> </w:t>
      </w:r>
      <w:r w:rsidRPr="00795E7D">
        <w:t>mère</w:t>
      </w:r>
      <w:r w:rsidRPr="002C4077">
        <w:t xml:space="preserve"> </w:t>
      </w:r>
      <w:r w:rsidRPr="00795E7D">
        <w:t>désolée,</w:t>
      </w:r>
      <w:r w:rsidRPr="002C4077">
        <w:t xml:space="preserve"> </w:t>
      </w:r>
    </w:p>
    <w:p w:rsidR="00EF54D3" w:rsidRDefault="00EF54D3" w:rsidP="00EF54D3">
      <w:pPr>
        <w:pStyle w:val="LcCentrum"/>
      </w:pPr>
      <w:r w:rsidRPr="00795E7D">
        <w:t>Le</w:t>
      </w:r>
      <w:r w:rsidRPr="002C4077">
        <w:t xml:space="preserve"> </w:t>
      </w:r>
      <w:r w:rsidRPr="00795E7D">
        <w:t>soir</w:t>
      </w:r>
      <w:r w:rsidRPr="002C4077">
        <w:t xml:space="preserve"> </w:t>
      </w:r>
      <w:r w:rsidRPr="00795E7D">
        <w:t>des</w:t>
      </w:r>
      <w:r w:rsidRPr="002C4077">
        <w:t xml:space="preserve"> </w:t>
      </w:r>
      <w:r w:rsidRPr="00795E7D">
        <w:t>Cabanes</w:t>
      </w:r>
      <w:r w:rsidRPr="002C4077">
        <w:t xml:space="preserve"> </w:t>
      </w:r>
      <w:r w:rsidRPr="00795E7D">
        <w:t>5641</w:t>
      </w:r>
      <w:r w:rsidRPr="000A34B5">
        <w:rPr>
          <w:rStyle w:val="italicus"/>
        </w:rPr>
        <w:t>.</w:t>
      </w:r>
      <w:r w:rsidRPr="002C4077">
        <w:t xml:space="preserve"> </w:t>
      </w:r>
    </w:p>
    <w:p w:rsidR="000A7AAB" w:rsidRDefault="000A7AAB" w:rsidP="000A7AAB">
      <w:r>
        <w:t>La</w:t>
      </w:r>
      <w:r w:rsidRPr="002C4077">
        <w:t xml:space="preserve"> </w:t>
      </w:r>
      <w:r>
        <w:t>fête</w:t>
      </w:r>
      <w:r w:rsidRPr="002C4077">
        <w:t xml:space="preserve"> </w:t>
      </w:r>
      <w:r>
        <w:t>des</w:t>
      </w:r>
      <w:r w:rsidRPr="002C4077">
        <w:t xml:space="preserve"> </w:t>
      </w:r>
      <w:r w:rsidRPr="000A34B5">
        <w:rPr>
          <w:rStyle w:val="italicus"/>
        </w:rPr>
        <w:t>Cabanes,</w:t>
      </w:r>
      <w:r w:rsidRPr="002C4077">
        <w:t xml:space="preserve"> </w:t>
      </w:r>
      <w:r>
        <w:t>ou</w:t>
      </w:r>
      <w:r w:rsidRPr="002C4077">
        <w:t xml:space="preserve"> </w:t>
      </w:r>
      <w:r>
        <w:t>des</w:t>
      </w:r>
      <w:r w:rsidRPr="002C4077">
        <w:t xml:space="preserve"> </w:t>
      </w:r>
      <w:r>
        <w:t>Tabernacles,</w:t>
      </w:r>
      <w:r w:rsidRPr="002C4077">
        <w:t xml:space="preserve"> </w:t>
      </w:r>
      <w:r w:rsidR="00425C50">
        <w:t>est</w:t>
      </w:r>
      <w:r w:rsidRPr="002C4077">
        <w:t xml:space="preserve"> </w:t>
      </w:r>
      <w:r>
        <w:t>célébrée</w:t>
      </w:r>
      <w:r w:rsidRPr="002C4077">
        <w:t xml:space="preserve"> </w:t>
      </w:r>
      <w:r>
        <w:t>par</w:t>
      </w:r>
      <w:r w:rsidRPr="002C4077">
        <w:t xml:space="preserve"> </w:t>
      </w:r>
      <w:r>
        <w:t>les</w:t>
      </w:r>
      <w:r w:rsidRPr="002C4077">
        <w:t xml:space="preserve"> </w:t>
      </w:r>
      <w:r>
        <w:t>Juifs</w:t>
      </w:r>
      <w:r w:rsidRPr="002C4077">
        <w:t xml:space="preserve"> </w:t>
      </w:r>
      <w:r>
        <w:t>dans</w:t>
      </w:r>
      <w:r w:rsidRPr="002C4077">
        <w:t xml:space="preserve"> </w:t>
      </w:r>
      <w:r>
        <w:t>les</w:t>
      </w:r>
      <w:r w:rsidRPr="002C4077">
        <w:t xml:space="preserve"> </w:t>
      </w:r>
      <w:r>
        <w:t>premiers</w:t>
      </w:r>
      <w:r w:rsidRPr="002C4077">
        <w:t xml:space="preserve"> </w:t>
      </w:r>
      <w:r>
        <w:t>jours</w:t>
      </w:r>
      <w:r w:rsidRPr="002C4077">
        <w:t xml:space="preserve"> </w:t>
      </w:r>
      <w:r>
        <w:t>d’octobre</w:t>
      </w:r>
      <w:r w:rsidR="00795E7D">
        <w:rPr>
          <w:rStyle w:val="Appelnotedebasdep"/>
        </w:rPr>
        <w:footnoteReference w:id="894"/>
      </w:r>
      <w:r w:rsidR="00795E7D">
        <w:t>.</w:t>
      </w:r>
      <w:r w:rsidRPr="002C4077">
        <w:t xml:space="preserve"> </w:t>
      </w:r>
    </w:p>
    <w:p w:rsidR="000A7AAB" w:rsidRDefault="000A7AAB" w:rsidP="000D4F31">
      <w:pPr>
        <w:pStyle w:val="LcCentrum"/>
      </w:pPr>
      <w:r>
        <w:t>Ici</w:t>
      </w:r>
      <w:r w:rsidRPr="002C4077">
        <w:t xml:space="preserve"> </w:t>
      </w:r>
      <w:r>
        <w:t>a</w:t>
      </w:r>
      <w:r w:rsidRPr="002C4077">
        <w:t xml:space="preserve"> </w:t>
      </w:r>
      <w:r>
        <w:t>été</w:t>
      </w:r>
      <w:r w:rsidRPr="002C4077">
        <w:t xml:space="preserve"> </w:t>
      </w:r>
      <w:r>
        <w:t>enterrée</w:t>
      </w:r>
      <w:r w:rsidRPr="002C4077">
        <w:t xml:space="preserve"> </w:t>
      </w:r>
    </w:p>
    <w:p w:rsidR="000A7AAB" w:rsidRDefault="000A7AAB" w:rsidP="000D4F31">
      <w:pPr>
        <w:pStyle w:val="LcCentrum"/>
      </w:pPr>
      <w:r>
        <w:rPr>
          <w:smallCaps/>
        </w:rPr>
        <w:t>Débora,</w:t>
      </w:r>
      <w:r w:rsidRPr="002C4077">
        <w:t xml:space="preserve"> </w:t>
      </w:r>
      <w:r>
        <w:rPr>
          <w:smallCaps/>
        </w:rPr>
        <w:t>fille</w:t>
      </w:r>
      <w:r w:rsidRPr="002C4077">
        <w:t xml:space="preserve"> </w:t>
      </w:r>
      <w:r>
        <w:rPr>
          <w:smallCaps/>
        </w:rPr>
        <w:t>de</w:t>
      </w:r>
      <w:r w:rsidRPr="002C4077">
        <w:t xml:space="preserve"> </w:t>
      </w:r>
      <w:r>
        <w:rPr>
          <w:smallCaps/>
        </w:rPr>
        <w:t>Rebb</w:t>
      </w:r>
      <w:r w:rsidRPr="002C4077">
        <w:t xml:space="preserve"> </w:t>
      </w:r>
      <w:r>
        <w:rPr>
          <w:smallCaps/>
        </w:rPr>
        <w:t>Schemouel.</w:t>
      </w:r>
      <w:r w:rsidRPr="002C4077">
        <w:t xml:space="preserve"> </w:t>
      </w:r>
    </w:p>
    <w:p w:rsidR="00FF1715" w:rsidRPr="00795E7D" w:rsidRDefault="000A7AAB" w:rsidP="000D4F31">
      <w:pPr>
        <w:pStyle w:val="LcCentrum"/>
        <w:rPr>
          <w:rStyle w:val="italicus"/>
        </w:rPr>
      </w:pPr>
      <w:r w:rsidRPr="00795E7D">
        <w:rPr>
          <w:rStyle w:val="italicus"/>
        </w:rPr>
        <w:t>Mort</w:t>
      </w:r>
      <w:r w:rsidRPr="002C4077">
        <w:t xml:space="preserve"> </w:t>
      </w:r>
      <w:r w:rsidRPr="00795E7D">
        <w:rPr>
          <w:rStyle w:val="italicus"/>
        </w:rPr>
        <w:t>que</w:t>
      </w:r>
      <w:r w:rsidRPr="002C4077">
        <w:t xml:space="preserve"> </w:t>
      </w:r>
      <w:r w:rsidRPr="00795E7D">
        <w:rPr>
          <w:rStyle w:val="italicus"/>
        </w:rPr>
        <w:t>tu</w:t>
      </w:r>
      <w:r w:rsidRPr="002C4077">
        <w:t xml:space="preserve"> </w:t>
      </w:r>
      <w:r w:rsidRPr="00795E7D">
        <w:rPr>
          <w:rStyle w:val="italicus"/>
        </w:rPr>
        <w:t>es</w:t>
      </w:r>
      <w:r w:rsidRPr="002C4077">
        <w:t xml:space="preserve"> </w:t>
      </w:r>
      <w:r w:rsidRPr="00795E7D">
        <w:rPr>
          <w:rStyle w:val="italicus"/>
        </w:rPr>
        <w:t>amère</w:t>
      </w:r>
      <w:r w:rsidR="00B546AF" w:rsidRPr="00795E7D">
        <w:rPr>
          <w:rStyle w:val="italicus"/>
        </w:rPr>
        <w:t> !</w:t>
      </w:r>
      <w:r w:rsidRPr="002C4077">
        <w:t xml:space="preserve"> </w:t>
      </w:r>
    </w:p>
    <w:p w:rsidR="00FF1715" w:rsidRPr="00795E7D" w:rsidRDefault="000A7AAB" w:rsidP="000D4F31">
      <w:pPr>
        <w:pStyle w:val="LcCentrum"/>
        <w:rPr>
          <w:rStyle w:val="italicus"/>
        </w:rPr>
      </w:pPr>
      <w:r w:rsidRPr="00795E7D">
        <w:rPr>
          <w:rStyle w:val="italicus"/>
        </w:rPr>
        <w:t>Elle</w:t>
      </w:r>
      <w:r w:rsidRPr="002C4077">
        <w:t xml:space="preserve"> </w:t>
      </w:r>
      <w:r w:rsidRPr="00795E7D">
        <w:rPr>
          <w:rStyle w:val="italicus"/>
        </w:rPr>
        <w:t>était</w:t>
      </w:r>
      <w:r w:rsidRPr="002C4077">
        <w:t xml:space="preserve"> </w:t>
      </w:r>
      <w:r w:rsidRPr="00795E7D">
        <w:rPr>
          <w:rStyle w:val="italicus"/>
        </w:rPr>
        <w:t>la</w:t>
      </w:r>
      <w:r w:rsidRPr="002C4077">
        <w:t xml:space="preserve"> </w:t>
      </w:r>
      <w:r w:rsidRPr="00795E7D">
        <w:rPr>
          <w:rStyle w:val="italicus"/>
        </w:rPr>
        <w:t>couronne</w:t>
      </w:r>
      <w:r w:rsidRPr="002C4077">
        <w:t xml:space="preserve"> </w:t>
      </w:r>
      <w:r w:rsidRPr="00795E7D">
        <w:rPr>
          <w:rStyle w:val="italicus"/>
        </w:rPr>
        <w:t>de</w:t>
      </w:r>
      <w:r w:rsidRPr="002C4077">
        <w:t xml:space="preserve"> </w:t>
      </w:r>
      <w:r w:rsidRPr="00795E7D">
        <w:rPr>
          <w:rStyle w:val="italicus"/>
        </w:rPr>
        <w:t>son</w:t>
      </w:r>
      <w:r w:rsidRPr="002C4077">
        <w:t xml:space="preserve"> </w:t>
      </w:r>
      <w:r w:rsidRPr="00795E7D">
        <w:rPr>
          <w:rStyle w:val="italicus"/>
        </w:rPr>
        <w:t>mari.</w:t>
      </w:r>
      <w:r w:rsidRPr="002C4077">
        <w:t xml:space="preserve"> </w:t>
      </w:r>
    </w:p>
    <w:p w:rsidR="00795E7D" w:rsidRPr="00795E7D" w:rsidRDefault="000A7AAB" w:rsidP="000D4F31">
      <w:pPr>
        <w:pStyle w:val="LcCentrum"/>
        <w:rPr>
          <w:rStyle w:val="italicus"/>
        </w:rPr>
      </w:pPr>
      <w:r w:rsidRPr="00795E7D">
        <w:rPr>
          <w:rStyle w:val="italicus"/>
        </w:rPr>
        <w:t>Elle</w:t>
      </w:r>
      <w:r w:rsidRPr="002C4077">
        <w:t xml:space="preserve"> </w:t>
      </w:r>
      <w:r w:rsidRPr="00795E7D">
        <w:rPr>
          <w:rStyle w:val="italicus"/>
        </w:rPr>
        <w:t>s’en</w:t>
      </w:r>
      <w:r w:rsidRPr="002C4077">
        <w:t xml:space="preserve"> </w:t>
      </w:r>
      <w:r w:rsidR="00425C50" w:rsidRPr="00795E7D">
        <w:rPr>
          <w:rStyle w:val="italicus"/>
        </w:rPr>
        <w:t>est</w:t>
      </w:r>
      <w:r w:rsidRPr="002C4077">
        <w:t xml:space="preserve"> </w:t>
      </w:r>
      <w:r w:rsidRPr="00795E7D">
        <w:rPr>
          <w:rStyle w:val="italicus"/>
        </w:rPr>
        <w:t>allée,</w:t>
      </w:r>
      <w:r w:rsidRPr="002C4077">
        <w:t xml:space="preserve"> </w:t>
      </w:r>
      <w:r w:rsidRPr="00795E7D">
        <w:rPr>
          <w:rStyle w:val="italicus"/>
        </w:rPr>
        <w:t>à</w:t>
      </w:r>
      <w:r w:rsidRPr="002C4077">
        <w:t xml:space="preserve"> </w:t>
      </w:r>
      <w:r w:rsidRPr="00795E7D">
        <w:rPr>
          <w:rStyle w:val="italicus"/>
        </w:rPr>
        <w:t>la</w:t>
      </w:r>
      <w:r w:rsidRPr="002C4077">
        <w:t xml:space="preserve"> </w:t>
      </w:r>
      <w:r w:rsidRPr="00795E7D">
        <w:rPr>
          <w:rStyle w:val="italicus"/>
        </w:rPr>
        <w:t>désolation</w:t>
      </w:r>
      <w:r w:rsidRPr="002C4077">
        <w:t xml:space="preserve"> </w:t>
      </w:r>
    </w:p>
    <w:p w:rsidR="00FF1715" w:rsidRPr="00795E7D" w:rsidRDefault="000A7AAB" w:rsidP="000D4F31">
      <w:pPr>
        <w:pStyle w:val="LcCentrum"/>
        <w:rPr>
          <w:rStyle w:val="italicus"/>
        </w:rPr>
      </w:pPr>
      <w:r w:rsidRPr="00795E7D">
        <w:rPr>
          <w:rStyle w:val="italicus"/>
        </w:rPr>
        <w:t>De</w:t>
      </w:r>
      <w:r w:rsidRPr="002C4077">
        <w:t xml:space="preserve"> </w:t>
      </w:r>
      <w:r w:rsidRPr="00795E7D">
        <w:rPr>
          <w:rStyle w:val="italicus"/>
        </w:rPr>
        <w:t>son</w:t>
      </w:r>
      <w:r w:rsidRPr="002C4077">
        <w:t xml:space="preserve"> </w:t>
      </w:r>
      <w:r w:rsidRPr="00795E7D">
        <w:rPr>
          <w:rStyle w:val="italicus"/>
        </w:rPr>
        <w:t>père</w:t>
      </w:r>
      <w:r w:rsidRPr="002C4077">
        <w:t xml:space="preserve"> </w:t>
      </w:r>
      <w:r w:rsidRPr="00795E7D">
        <w:rPr>
          <w:rStyle w:val="italicus"/>
        </w:rPr>
        <w:t>et</w:t>
      </w:r>
      <w:r w:rsidRPr="002C4077">
        <w:t xml:space="preserve"> </w:t>
      </w:r>
      <w:r w:rsidRPr="00795E7D">
        <w:rPr>
          <w:rStyle w:val="italicus"/>
        </w:rPr>
        <w:t>de</w:t>
      </w:r>
      <w:r w:rsidRPr="002C4077">
        <w:t xml:space="preserve"> </w:t>
      </w:r>
      <w:r w:rsidRPr="00795E7D">
        <w:rPr>
          <w:rStyle w:val="italicus"/>
        </w:rPr>
        <w:t>ses</w:t>
      </w:r>
      <w:r w:rsidRPr="002C4077">
        <w:t xml:space="preserve"> </w:t>
      </w:r>
      <w:r w:rsidRPr="00795E7D">
        <w:rPr>
          <w:rStyle w:val="italicus"/>
        </w:rPr>
        <w:t>fils.</w:t>
      </w:r>
      <w:r w:rsidRPr="002C4077">
        <w:t xml:space="preserve"> </w:t>
      </w:r>
    </w:p>
    <w:p w:rsidR="00FF1715" w:rsidRPr="00795E7D" w:rsidRDefault="000A7AAB" w:rsidP="000D4F31">
      <w:pPr>
        <w:pStyle w:val="LcCentrum"/>
        <w:rPr>
          <w:rStyle w:val="italicus"/>
        </w:rPr>
      </w:pPr>
      <w:r w:rsidRPr="00795E7D">
        <w:rPr>
          <w:rStyle w:val="italicus"/>
        </w:rPr>
        <w:t>Le</w:t>
      </w:r>
      <w:r w:rsidRPr="002C4077">
        <w:t xml:space="preserve"> </w:t>
      </w:r>
      <w:r w:rsidRPr="00795E7D">
        <w:rPr>
          <w:rStyle w:val="italicus"/>
        </w:rPr>
        <w:t>pauvre</w:t>
      </w:r>
      <w:r w:rsidRPr="002C4077">
        <w:t xml:space="preserve"> </w:t>
      </w:r>
      <w:r w:rsidRPr="00795E7D">
        <w:rPr>
          <w:rStyle w:val="italicus"/>
        </w:rPr>
        <w:t>qui</w:t>
      </w:r>
      <w:r w:rsidRPr="002C4077">
        <w:t xml:space="preserve"> </w:t>
      </w:r>
      <w:r w:rsidRPr="00795E7D">
        <w:rPr>
          <w:rStyle w:val="italicus"/>
        </w:rPr>
        <w:t>la</w:t>
      </w:r>
      <w:r w:rsidRPr="002C4077">
        <w:t xml:space="preserve"> </w:t>
      </w:r>
      <w:r w:rsidRPr="00795E7D">
        <w:rPr>
          <w:rStyle w:val="italicus"/>
        </w:rPr>
        <w:t>louait</w:t>
      </w:r>
      <w:r w:rsidRPr="002C4077">
        <w:t xml:space="preserve"> </w:t>
      </w:r>
      <w:r w:rsidRPr="00795E7D">
        <w:rPr>
          <w:rStyle w:val="italicus"/>
        </w:rPr>
        <w:t>aux</w:t>
      </w:r>
      <w:r w:rsidRPr="002C4077">
        <w:t xml:space="preserve"> </w:t>
      </w:r>
      <w:r w:rsidRPr="00795E7D">
        <w:rPr>
          <w:rStyle w:val="italicus"/>
        </w:rPr>
        <w:t>portes</w:t>
      </w:r>
      <w:r w:rsidRPr="002C4077">
        <w:t xml:space="preserve"> </w:t>
      </w:r>
      <w:r w:rsidRPr="00795E7D">
        <w:rPr>
          <w:rStyle w:val="italicus"/>
        </w:rPr>
        <w:t>s’écrie</w:t>
      </w:r>
      <w:r w:rsidR="00B546AF" w:rsidRPr="00795E7D">
        <w:rPr>
          <w:rStyle w:val="italicus"/>
        </w:rPr>
        <w:t> :</w:t>
      </w:r>
      <w:r w:rsidRPr="002C4077">
        <w:t xml:space="preserve"> </w:t>
      </w:r>
    </w:p>
    <w:p w:rsidR="00795E7D" w:rsidRPr="00795E7D" w:rsidRDefault="000A7AAB" w:rsidP="000D4F31">
      <w:pPr>
        <w:pStyle w:val="LcCentrum"/>
        <w:rPr>
          <w:rStyle w:val="italicus"/>
        </w:rPr>
      </w:pPr>
      <w:r w:rsidRPr="00795E7D">
        <w:rPr>
          <w:rStyle w:val="italicus"/>
        </w:rPr>
        <w:t>Elle</w:t>
      </w:r>
      <w:r w:rsidRPr="002C4077">
        <w:t xml:space="preserve"> </w:t>
      </w:r>
      <w:r w:rsidRPr="00795E7D">
        <w:rPr>
          <w:rStyle w:val="italicus"/>
        </w:rPr>
        <w:t>n’est</w:t>
      </w:r>
      <w:r w:rsidRPr="002C4077">
        <w:t xml:space="preserve"> </w:t>
      </w:r>
      <w:r w:rsidRPr="00795E7D">
        <w:rPr>
          <w:rStyle w:val="italicus"/>
        </w:rPr>
        <w:t>plus,</w:t>
      </w:r>
      <w:r w:rsidRPr="002C4077">
        <w:t xml:space="preserve"> </w:t>
      </w:r>
      <w:r w:rsidRPr="00795E7D">
        <w:rPr>
          <w:rStyle w:val="italicus"/>
        </w:rPr>
        <w:t>la</w:t>
      </w:r>
      <w:r w:rsidRPr="002C4077">
        <w:t xml:space="preserve"> </w:t>
      </w:r>
      <w:r w:rsidRPr="00795E7D">
        <w:rPr>
          <w:rStyle w:val="italicus"/>
        </w:rPr>
        <w:t>mère</w:t>
      </w:r>
      <w:r w:rsidRPr="002C4077">
        <w:t xml:space="preserve"> </w:t>
      </w:r>
      <w:r w:rsidRPr="00795E7D">
        <w:rPr>
          <w:rStyle w:val="italicus"/>
        </w:rPr>
        <w:t>des</w:t>
      </w:r>
      <w:r w:rsidRPr="002C4077">
        <w:t xml:space="preserve"> </w:t>
      </w:r>
      <w:r w:rsidRPr="00795E7D">
        <w:rPr>
          <w:rStyle w:val="italicus"/>
        </w:rPr>
        <w:t>indigents.</w:t>
      </w:r>
      <w:r w:rsidRPr="002C4077">
        <w:t xml:space="preserve"> </w:t>
      </w:r>
    </w:p>
    <w:p w:rsidR="00FF1715" w:rsidRPr="00795E7D" w:rsidRDefault="000A7AAB" w:rsidP="000D4F31">
      <w:pPr>
        <w:pStyle w:val="LcCentrum"/>
        <w:rPr>
          <w:rStyle w:val="italicus"/>
        </w:rPr>
      </w:pPr>
      <w:r w:rsidRPr="00795E7D">
        <w:rPr>
          <w:rStyle w:val="italicus"/>
        </w:rPr>
        <w:t>Elle</w:t>
      </w:r>
      <w:r w:rsidRPr="002C4077">
        <w:t xml:space="preserve"> </w:t>
      </w:r>
      <w:r w:rsidRPr="00795E7D">
        <w:rPr>
          <w:rStyle w:val="italicus"/>
        </w:rPr>
        <w:t>a</w:t>
      </w:r>
      <w:r w:rsidRPr="002C4077">
        <w:t xml:space="preserve"> </w:t>
      </w:r>
      <w:r w:rsidRPr="00795E7D">
        <w:rPr>
          <w:rStyle w:val="italicus"/>
        </w:rPr>
        <w:t>disparu</w:t>
      </w:r>
      <w:r w:rsidRPr="002C4077">
        <w:t xml:space="preserve"> </w:t>
      </w:r>
      <w:r w:rsidRPr="00795E7D">
        <w:rPr>
          <w:rStyle w:val="italicus"/>
        </w:rPr>
        <w:t>au</w:t>
      </w:r>
      <w:r w:rsidRPr="002C4077">
        <w:t xml:space="preserve"> </w:t>
      </w:r>
      <w:r w:rsidRPr="00795E7D">
        <w:rPr>
          <w:rStyle w:val="italicus"/>
        </w:rPr>
        <w:t>milieu</w:t>
      </w:r>
      <w:r w:rsidRPr="002C4077">
        <w:t xml:space="preserve"> </w:t>
      </w:r>
      <w:r w:rsidRPr="00795E7D">
        <w:rPr>
          <w:rStyle w:val="italicus"/>
        </w:rPr>
        <w:t>de</w:t>
      </w:r>
      <w:r w:rsidRPr="002C4077">
        <w:t xml:space="preserve"> </w:t>
      </w:r>
      <w:r w:rsidRPr="00795E7D">
        <w:rPr>
          <w:rStyle w:val="italicus"/>
        </w:rPr>
        <w:t>ses</w:t>
      </w:r>
      <w:r w:rsidRPr="002C4077">
        <w:t xml:space="preserve"> </w:t>
      </w:r>
      <w:r w:rsidRPr="00795E7D">
        <w:rPr>
          <w:rStyle w:val="italicus"/>
        </w:rPr>
        <w:t>jours.</w:t>
      </w:r>
      <w:r w:rsidRPr="002C4077">
        <w:t xml:space="preserve"> </w:t>
      </w:r>
    </w:p>
    <w:p w:rsidR="00FF1715" w:rsidRPr="00795E7D" w:rsidRDefault="000A7AAB" w:rsidP="000D4F31">
      <w:pPr>
        <w:pStyle w:val="LcCentrum"/>
        <w:rPr>
          <w:rStyle w:val="italicus"/>
        </w:rPr>
      </w:pPr>
      <w:r w:rsidRPr="00795E7D">
        <w:rPr>
          <w:rStyle w:val="italicus"/>
        </w:rPr>
        <w:t>Mais</w:t>
      </w:r>
      <w:r w:rsidRPr="002C4077">
        <w:t xml:space="preserve"> </w:t>
      </w:r>
      <w:r w:rsidRPr="00795E7D">
        <w:rPr>
          <w:rStyle w:val="italicus"/>
        </w:rPr>
        <w:t>elle</w:t>
      </w:r>
      <w:r w:rsidRPr="002C4077">
        <w:t xml:space="preserve"> </w:t>
      </w:r>
      <w:r w:rsidRPr="00795E7D">
        <w:rPr>
          <w:rStyle w:val="italicus"/>
        </w:rPr>
        <w:t>s’est</w:t>
      </w:r>
      <w:r w:rsidRPr="002C4077">
        <w:t xml:space="preserve"> </w:t>
      </w:r>
      <w:r w:rsidRPr="00795E7D">
        <w:rPr>
          <w:rStyle w:val="italicus"/>
        </w:rPr>
        <w:t>envolée</w:t>
      </w:r>
      <w:r w:rsidRPr="002C4077">
        <w:t xml:space="preserve"> </w:t>
      </w:r>
      <w:r w:rsidRPr="00795E7D">
        <w:rPr>
          <w:rStyle w:val="italicus"/>
        </w:rPr>
        <w:t>vers</w:t>
      </w:r>
      <w:r w:rsidRPr="002C4077">
        <w:t xml:space="preserve"> </w:t>
      </w:r>
      <w:r w:rsidRPr="00795E7D">
        <w:rPr>
          <w:rStyle w:val="italicus"/>
        </w:rPr>
        <w:t>la</w:t>
      </w:r>
      <w:r w:rsidRPr="002C4077">
        <w:t xml:space="preserve"> </w:t>
      </w:r>
      <w:r w:rsidRPr="00795E7D">
        <w:rPr>
          <w:rStyle w:val="italicus"/>
        </w:rPr>
        <w:t>source</w:t>
      </w:r>
      <w:r w:rsidRPr="002C4077">
        <w:t xml:space="preserve"> </w:t>
      </w:r>
    </w:p>
    <w:p w:rsidR="000A7AAB" w:rsidRPr="00795E7D" w:rsidRDefault="000A7AAB" w:rsidP="000D4F31">
      <w:pPr>
        <w:pStyle w:val="LcCentrum"/>
        <w:rPr>
          <w:rStyle w:val="italicus"/>
        </w:rPr>
      </w:pPr>
      <w:r w:rsidRPr="00795E7D">
        <w:rPr>
          <w:rStyle w:val="italicus"/>
        </w:rPr>
        <w:lastRenderedPageBreak/>
        <w:t>De</w:t>
      </w:r>
      <w:r w:rsidRPr="002C4077">
        <w:t xml:space="preserve"> </w:t>
      </w:r>
      <w:r w:rsidRPr="00795E7D">
        <w:rPr>
          <w:rStyle w:val="italicus"/>
        </w:rPr>
        <w:t>la</w:t>
      </w:r>
      <w:r w:rsidRPr="002C4077">
        <w:t xml:space="preserve"> </w:t>
      </w:r>
      <w:r w:rsidRPr="00795E7D">
        <w:rPr>
          <w:rStyle w:val="italicus"/>
        </w:rPr>
        <w:t>vie</w:t>
      </w:r>
      <w:r w:rsidRPr="002C4077">
        <w:t xml:space="preserve"> </w:t>
      </w:r>
      <w:r w:rsidRPr="00795E7D">
        <w:rPr>
          <w:rStyle w:val="italicus"/>
        </w:rPr>
        <w:t>et</w:t>
      </w:r>
      <w:r w:rsidRPr="002C4077">
        <w:t xml:space="preserve"> </w:t>
      </w:r>
      <w:r w:rsidRPr="00795E7D">
        <w:rPr>
          <w:rStyle w:val="italicus"/>
        </w:rPr>
        <w:t>des</w:t>
      </w:r>
      <w:r w:rsidRPr="002C4077">
        <w:t xml:space="preserve"> </w:t>
      </w:r>
      <w:r w:rsidRPr="00795E7D">
        <w:rPr>
          <w:rStyle w:val="italicus"/>
        </w:rPr>
        <w:t>délices.</w:t>
      </w:r>
      <w:r w:rsidRPr="002C4077">
        <w:t xml:space="preserve"> </w:t>
      </w:r>
    </w:p>
    <w:p w:rsidR="000A7AAB" w:rsidRDefault="000A7AAB" w:rsidP="000A7AAB">
      <w:r>
        <w:t>Tout</w:t>
      </w:r>
      <w:r w:rsidRPr="002C4077">
        <w:t xml:space="preserve"> </w:t>
      </w:r>
      <w:r>
        <w:t>ce</w:t>
      </w:r>
      <w:r w:rsidRPr="002C4077">
        <w:t xml:space="preserve"> </w:t>
      </w:r>
      <w:r>
        <w:t>morceau</w:t>
      </w:r>
      <w:r w:rsidRPr="002C4077">
        <w:t xml:space="preserve"> </w:t>
      </w:r>
      <w:r w:rsidR="00425C50">
        <w:t>est</w:t>
      </w:r>
      <w:r w:rsidRPr="002C4077">
        <w:t xml:space="preserve"> </w:t>
      </w:r>
      <w:r>
        <w:t>en</w:t>
      </w:r>
      <w:r w:rsidRPr="002C4077">
        <w:t xml:space="preserve"> </w:t>
      </w:r>
      <w:r>
        <w:t>vers</w:t>
      </w:r>
      <w:r w:rsidRPr="002C4077">
        <w:t xml:space="preserve"> </w:t>
      </w:r>
      <w:r>
        <w:t>dans</w:t>
      </w:r>
      <w:r w:rsidRPr="002C4077">
        <w:t xml:space="preserve"> </w:t>
      </w:r>
      <w:r>
        <w:t>l’hébreu.</w:t>
      </w:r>
      <w:r w:rsidRPr="002C4077">
        <w:t xml:space="preserve"> </w:t>
      </w:r>
      <w:r>
        <w:t>Voici</w:t>
      </w:r>
      <w:r w:rsidRPr="002C4077">
        <w:t xml:space="preserve"> </w:t>
      </w:r>
      <w:r>
        <w:t>quelques</w:t>
      </w:r>
      <w:r w:rsidRPr="002C4077">
        <w:t xml:space="preserve"> </w:t>
      </w:r>
      <w:r>
        <w:t>échantillons</w:t>
      </w:r>
      <w:r w:rsidRPr="002C4077">
        <w:t xml:space="preserve"> </w:t>
      </w:r>
      <w:r>
        <w:t>des</w:t>
      </w:r>
      <w:r w:rsidRPr="002C4077">
        <w:t xml:space="preserve"> </w:t>
      </w:r>
      <w:r>
        <w:t>rimes</w:t>
      </w:r>
      <w:r w:rsidR="00B546AF">
        <w:t> :</w:t>
      </w:r>
      <w:r w:rsidRPr="002C4077">
        <w:t xml:space="preserve"> </w:t>
      </w:r>
      <w:r w:rsidRPr="000A34B5">
        <w:rPr>
          <w:rStyle w:val="italicus"/>
        </w:rPr>
        <w:t>bahelah,</w:t>
      </w:r>
      <w:r w:rsidRPr="002C4077">
        <w:t xml:space="preserve"> </w:t>
      </w:r>
      <w:r w:rsidRPr="000A34B5">
        <w:rPr>
          <w:rStyle w:val="italicus"/>
        </w:rPr>
        <w:t>yehallelah</w:t>
      </w:r>
      <w:r w:rsidR="00B546AF">
        <w:rPr>
          <w:rStyle w:val="italicus"/>
        </w:rPr>
        <w:t> </w:t>
      </w:r>
      <w:r w:rsidR="00B546AF" w:rsidRPr="000A34B5">
        <w:rPr>
          <w:rStyle w:val="italicus"/>
        </w:rPr>
        <w:t>;</w:t>
      </w:r>
      <w:r w:rsidRPr="002C4077">
        <w:t xml:space="preserve"> </w:t>
      </w:r>
      <w:r w:rsidRPr="000A34B5">
        <w:rPr>
          <w:rStyle w:val="italicus"/>
        </w:rPr>
        <w:t>bânim,</w:t>
      </w:r>
      <w:r w:rsidRPr="002C4077">
        <w:t xml:space="preserve"> </w:t>
      </w:r>
      <w:r w:rsidRPr="000A34B5">
        <w:rPr>
          <w:rStyle w:val="italicus"/>
        </w:rPr>
        <w:t>ébiônim.</w:t>
      </w:r>
      <w:r w:rsidRPr="002C4077">
        <w:t xml:space="preserve"> </w:t>
      </w:r>
    </w:p>
    <w:p w:rsidR="000A7AAB" w:rsidRDefault="000A7AAB" w:rsidP="000A7AAB">
      <w:r>
        <w:t>Une</w:t>
      </w:r>
      <w:r w:rsidRPr="002C4077">
        <w:t xml:space="preserve"> </w:t>
      </w:r>
      <w:r>
        <w:t>autre</w:t>
      </w:r>
      <w:r w:rsidRPr="002C4077">
        <w:t xml:space="preserve"> </w:t>
      </w:r>
      <w:r>
        <w:t>épitaphe</w:t>
      </w:r>
      <w:r w:rsidRPr="002C4077">
        <w:t xml:space="preserve"> </w:t>
      </w:r>
      <w:r>
        <w:t>commence</w:t>
      </w:r>
      <w:r w:rsidRPr="002C4077">
        <w:t xml:space="preserve"> </w:t>
      </w:r>
      <w:r w:rsidRPr="000A34B5">
        <w:rPr>
          <w:rStyle w:val="italicus"/>
        </w:rPr>
        <w:t>ex</w:t>
      </w:r>
      <w:r w:rsidRPr="002C4077">
        <w:t xml:space="preserve"> </w:t>
      </w:r>
      <w:r w:rsidRPr="000A34B5">
        <w:rPr>
          <w:rStyle w:val="italicus"/>
        </w:rPr>
        <w:t>abrupto</w:t>
      </w:r>
      <w:r w:rsidRPr="002C4077">
        <w:t xml:space="preserve"> </w:t>
      </w:r>
      <w:r>
        <w:t>et</w:t>
      </w:r>
      <w:r w:rsidRPr="002C4077">
        <w:t xml:space="preserve"> </w:t>
      </w:r>
      <w:r>
        <w:t>s’adresse</w:t>
      </w:r>
      <w:r w:rsidRPr="002C4077">
        <w:t xml:space="preserve"> </w:t>
      </w:r>
      <w:r>
        <w:t>au</w:t>
      </w:r>
      <w:r w:rsidRPr="002C4077">
        <w:t xml:space="preserve"> </w:t>
      </w:r>
      <w:r>
        <w:t>passant</w:t>
      </w:r>
      <w:r w:rsidR="00B546AF">
        <w:t> :</w:t>
      </w:r>
      <w:r w:rsidRPr="002C4077">
        <w:t xml:space="preserve"> </w:t>
      </w:r>
    </w:p>
    <w:p w:rsidR="00FF1715" w:rsidRDefault="000A7AAB" w:rsidP="000D4F31">
      <w:pPr>
        <w:pStyle w:val="LcCentrum"/>
      </w:pPr>
      <w:r>
        <w:t>Arrête-toi</w:t>
      </w:r>
      <w:r w:rsidRPr="002C4077">
        <w:t xml:space="preserve"> </w:t>
      </w:r>
      <w:r>
        <w:t>ici,</w:t>
      </w:r>
      <w:r w:rsidRPr="002C4077">
        <w:t xml:space="preserve"> </w:t>
      </w:r>
      <w:r>
        <w:t>pleure</w:t>
      </w:r>
      <w:r w:rsidRPr="002C4077">
        <w:t xml:space="preserve"> </w:t>
      </w:r>
      <w:r>
        <w:t>et</w:t>
      </w:r>
      <w:r w:rsidRPr="002C4077">
        <w:t xml:space="preserve"> </w:t>
      </w:r>
      <w:r>
        <w:t>gémis.</w:t>
      </w:r>
      <w:r w:rsidRPr="002C4077">
        <w:t xml:space="preserve"> </w:t>
      </w:r>
    </w:p>
    <w:p w:rsidR="000A7AAB" w:rsidRDefault="000A7AAB" w:rsidP="00FF1715">
      <w:r>
        <w:t>Puis</w:t>
      </w:r>
      <w:r w:rsidRPr="002C4077">
        <w:t xml:space="preserve"> </w:t>
      </w:r>
      <w:r>
        <w:t>elle</w:t>
      </w:r>
      <w:r w:rsidRPr="002C4077">
        <w:t xml:space="preserve"> </w:t>
      </w:r>
      <w:r>
        <w:t>continue</w:t>
      </w:r>
      <w:r w:rsidRPr="002C4077">
        <w:t xml:space="preserve"> </w:t>
      </w:r>
      <w:r>
        <w:t>dans</w:t>
      </w:r>
      <w:r w:rsidRPr="002C4077">
        <w:t xml:space="preserve"> </w:t>
      </w:r>
      <w:r>
        <w:t>le</w:t>
      </w:r>
      <w:r w:rsidRPr="002C4077">
        <w:t xml:space="preserve"> </w:t>
      </w:r>
      <w:r>
        <w:t>style</w:t>
      </w:r>
      <w:r w:rsidRPr="002C4077">
        <w:t xml:space="preserve"> </w:t>
      </w:r>
      <w:r>
        <w:t>habituel</w:t>
      </w:r>
      <w:r w:rsidR="00B546AF">
        <w:t> :</w:t>
      </w:r>
      <w:r w:rsidRPr="002C4077">
        <w:t xml:space="preserve"> </w:t>
      </w:r>
    </w:p>
    <w:p w:rsidR="00FF1715" w:rsidRPr="00795E7D" w:rsidRDefault="000A7AAB" w:rsidP="000D4F31">
      <w:pPr>
        <w:pStyle w:val="LcCentrum"/>
        <w:rPr>
          <w:rStyle w:val="italicus"/>
        </w:rPr>
      </w:pPr>
      <w:r w:rsidRPr="00795E7D">
        <w:rPr>
          <w:rStyle w:val="italicus"/>
        </w:rPr>
        <w:t>À</w:t>
      </w:r>
      <w:r w:rsidRPr="002C4077">
        <w:t xml:space="preserve"> </w:t>
      </w:r>
      <w:r w:rsidRPr="00795E7D">
        <w:rPr>
          <w:rStyle w:val="italicus"/>
        </w:rPr>
        <w:t>la</w:t>
      </w:r>
      <w:r w:rsidRPr="002C4077">
        <w:t xml:space="preserve"> </w:t>
      </w:r>
      <w:r w:rsidRPr="00795E7D">
        <w:rPr>
          <w:rStyle w:val="italicus"/>
        </w:rPr>
        <w:t>désolation</w:t>
      </w:r>
      <w:r w:rsidRPr="002C4077">
        <w:t xml:space="preserve"> </w:t>
      </w:r>
      <w:r w:rsidRPr="00795E7D">
        <w:rPr>
          <w:rStyle w:val="italicus"/>
        </w:rPr>
        <w:t>de</w:t>
      </w:r>
      <w:r w:rsidRPr="002C4077">
        <w:t xml:space="preserve"> </w:t>
      </w:r>
      <w:r w:rsidRPr="00795E7D">
        <w:rPr>
          <w:rStyle w:val="italicus"/>
        </w:rPr>
        <w:t>tous</w:t>
      </w:r>
      <w:r w:rsidRPr="002C4077">
        <w:t xml:space="preserve"> </w:t>
      </w:r>
      <w:r w:rsidRPr="00795E7D">
        <w:rPr>
          <w:rStyle w:val="italicus"/>
        </w:rPr>
        <w:t>ses</w:t>
      </w:r>
      <w:r w:rsidRPr="002C4077">
        <w:t xml:space="preserve"> </w:t>
      </w:r>
      <w:r w:rsidRPr="00795E7D">
        <w:rPr>
          <w:rStyle w:val="italicus"/>
        </w:rPr>
        <w:t>amis,</w:t>
      </w:r>
      <w:r w:rsidRPr="002C4077">
        <w:t xml:space="preserve"> </w:t>
      </w:r>
    </w:p>
    <w:p w:rsidR="00FF1715" w:rsidRPr="00795E7D" w:rsidRDefault="000A7AAB" w:rsidP="000D4F31">
      <w:pPr>
        <w:pStyle w:val="LcCentrum"/>
        <w:rPr>
          <w:rStyle w:val="italicus"/>
        </w:rPr>
      </w:pPr>
      <w:r w:rsidRPr="00795E7D">
        <w:rPr>
          <w:rStyle w:val="italicus"/>
        </w:rPr>
        <w:t>Un</w:t>
      </w:r>
      <w:r w:rsidRPr="002C4077">
        <w:t xml:space="preserve"> </w:t>
      </w:r>
      <w:r w:rsidRPr="00795E7D">
        <w:rPr>
          <w:rStyle w:val="italicus"/>
        </w:rPr>
        <w:t>jeune</w:t>
      </w:r>
      <w:r w:rsidRPr="002C4077">
        <w:t xml:space="preserve"> </w:t>
      </w:r>
      <w:r w:rsidRPr="00795E7D">
        <w:rPr>
          <w:rStyle w:val="italicus"/>
        </w:rPr>
        <w:t>homme</w:t>
      </w:r>
      <w:r w:rsidRPr="002C4077">
        <w:t xml:space="preserve"> </w:t>
      </w:r>
      <w:r w:rsidRPr="00795E7D">
        <w:rPr>
          <w:rStyle w:val="italicus"/>
        </w:rPr>
        <w:t>pacifique</w:t>
      </w:r>
      <w:r w:rsidRPr="002C4077">
        <w:t xml:space="preserve"> </w:t>
      </w:r>
      <w:r w:rsidRPr="00795E7D">
        <w:rPr>
          <w:rStyle w:val="italicus"/>
        </w:rPr>
        <w:t>et</w:t>
      </w:r>
      <w:r w:rsidRPr="002C4077">
        <w:t xml:space="preserve"> </w:t>
      </w:r>
      <w:r w:rsidRPr="00795E7D">
        <w:rPr>
          <w:rStyle w:val="italicus"/>
        </w:rPr>
        <w:t>droit,</w:t>
      </w:r>
      <w:r w:rsidRPr="002C4077">
        <w:t xml:space="preserve"> </w:t>
      </w:r>
    </w:p>
    <w:p w:rsidR="000A7AAB" w:rsidRPr="00795E7D" w:rsidRDefault="000A7AAB" w:rsidP="000D4F31">
      <w:pPr>
        <w:pStyle w:val="LcCentrum"/>
        <w:rPr>
          <w:rStyle w:val="italicus"/>
        </w:rPr>
      </w:pPr>
      <w:r w:rsidRPr="00795E7D">
        <w:rPr>
          <w:rStyle w:val="italicus"/>
        </w:rPr>
        <w:t>Agé</w:t>
      </w:r>
      <w:r w:rsidRPr="002C4077">
        <w:t xml:space="preserve"> </w:t>
      </w:r>
      <w:r w:rsidRPr="00795E7D">
        <w:rPr>
          <w:rStyle w:val="italicus"/>
        </w:rPr>
        <w:t>de</w:t>
      </w:r>
      <w:r w:rsidRPr="002C4077">
        <w:t xml:space="preserve"> </w:t>
      </w:r>
      <w:r w:rsidRPr="00795E7D">
        <w:rPr>
          <w:rStyle w:val="italicus"/>
        </w:rPr>
        <w:t>17</w:t>
      </w:r>
      <w:r w:rsidRPr="002C4077">
        <w:t xml:space="preserve"> </w:t>
      </w:r>
      <w:r w:rsidRPr="00795E7D">
        <w:rPr>
          <w:rStyle w:val="italicus"/>
        </w:rPr>
        <w:t>ans,</w:t>
      </w:r>
      <w:r w:rsidRPr="002C4077">
        <w:t xml:space="preserve"> </w:t>
      </w:r>
    </w:p>
    <w:p w:rsidR="000A7AAB" w:rsidRPr="00795E7D" w:rsidRDefault="000A7AAB" w:rsidP="000D4F31">
      <w:pPr>
        <w:pStyle w:val="LcCentrum"/>
        <w:rPr>
          <w:rStyle w:val="italicus"/>
        </w:rPr>
      </w:pPr>
      <w:r w:rsidRPr="00795E7D">
        <w:rPr>
          <w:rStyle w:val="italicus"/>
        </w:rPr>
        <w:t>Est</w:t>
      </w:r>
      <w:r w:rsidRPr="002C4077">
        <w:t xml:space="preserve"> </w:t>
      </w:r>
      <w:r w:rsidRPr="00795E7D">
        <w:rPr>
          <w:rStyle w:val="italicus"/>
        </w:rPr>
        <w:t>descendu</w:t>
      </w:r>
      <w:r w:rsidRPr="002C4077">
        <w:t xml:space="preserve"> </w:t>
      </w:r>
      <w:r w:rsidRPr="00795E7D">
        <w:rPr>
          <w:rStyle w:val="italicus"/>
        </w:rPr>
        <w:t>dans</w:t>
      </w:r>
      <w:r w:rsidRPr="002C4077">
        <w:t xml:space="preserve"> </w:t>
      </w:r>
      <w:r w:rsidRPr="00795E7D">
        <w:rPr>
          <w:rStyle w:val="italicus"/>
        </w:rPr>
        <w:t>la</w:t>
      </w:r>
      <w:r w:rsidRPr="002C4077">
        <w:t xml:space="preserve"> </w:t>
      </w:r>
      <w:r w:rsidRPr="00795E7D">
        <w:rPr>
          <w:rStyle w:val="italicus"/>
        </w:rPr>
        <w:t>vallée</w:t>
      </w:r>
      <w:r w:rsidRPr="002C4077">
        <w:t xml:space="preserve"> </w:t>
      </w:r>
      <w:r w:rsidRPr="00795E7D">
        <w:rPr>
          <w:rStyle w:val="italicus"/>
        </w:rPr>
        <w:t>des</w:t>
      </w:r>
      <w:r w:rsidRPr="002C4077">
        <w:t xml:space="preserve"> </w:t>
      </w:r>
      <w:r w:rsidRPr="00795E7D">
        <w:rPr>
          <w:rStyle w:val="italicus"/>
        </w:rPr>
        <w:t>morts.</w:t>
      </w:r>
      <w:r w:rsidRPr="002C4077">
        <w:t xml:space="preserve"> </w:t>
      </w:r>
    </w:p>
    <w:p w:rsidR="000A7AAB" w:rsidRPr="00795E7D" w:rsidRDefault="000A7AAB" w:rsidP="000D4F31">
      <w:pPr>
        <w:pStyle w:val="LcCentrum"/>
        <w:rPr>
          <w:rStyle w:val="italicus"/>
        </w:rPr>
      </w:pPr>
      <w:r w:rsidRPr="00795E7D">
        <w:rPr>
          <w:rStyle w:val="italicus"/>
        </w:rPr>
        <w:t>Son</w:t>
      </w:r>
      <w:r w:rsidRPr="002C4077">
        <w:t xml:space="preserve"> </w:t>
      </w:r>
      <w:r w:rsidRPr="00795E7D">
        <w:rPr>
          <w:rStyle w:val="italicus"/>
        </w:rPr>
        <w:t>père</w:t>
      </w:r>
      <w:r w:rsidRPr="002C4077">
        <w:t xml:space="preserve"> </w:t>
      </w:r>
      <w:r w:rsidRPr="00795E7D">
        <w:rPr>
          <w:rStyle w:val="italicus"/>
        </w:rPr>
        <w:t>et</w:t>
      </w:r>
      <w:r w:rsidRPr="002C4077">
        <w:t xml:space="preserve"> </w:t>
      </w:r>
      <w:r w:rsidRPr="00795E7D">
        <w:rPr>
          <w:rStyle w:val="italicus"/>
        </w:rPr>
        <w:t>sa</w:t>
      </w:r>
      <w:r w:rsidRPr="002C4077">
        <w:t xml:space="preserve"> </w:t>
      </w:r>
      <w:r w:rsidRPr="00795E7D">
        <w:rPr>
          <w:rStyle w:val="italicus"/>
        </w:rPr>
        <w:t>mère</w:t>
      </w:r>
      <w:r w:rsidRPr="002C4077">
        <w:t xml:space="preserve"> </w:t>
      </w:r>
      <w:r w:rsidRPr="00795E7D">
        <w:rPr>
          <w:rStyle w:val="italicus"/>
        </w:rPr>
        <w:t>pleurent.</w:t>
      </w:r>
      <w:r w:rsidRPr="002C4077">
        <w:t xml:space="preserve"> </w:t>
      </w:r>
    </w:p>
    <w:p w:rsidR="000A7AAB" w:rsidRPr="00795E7D" w:rsidRDefault="000A7AAB" w:rsidP="000D4F31">
      <w:pPr>
        <w:pStyle w:val="LcCentrum"/>
        <w:rPr>
          <w:rStyle w:val="italicus"/>
        </w:rPr>
      </w:pPr>
      <w:r w:rsidRPr="00795E7D">
        <w:rPr>
          <w:rStyle w:val="italicus"/>
        </w:rPr>
        <w:t>Gémissements,</w:t>
      </w:r>
      <w:r w:rsidRPr="002C4077">
        <w:t xml:space="preserve"> </w:t>
      </w:r>
      <w:r w:rsidRPr="00795E7D">
        <w:rPr>
          <w:rStyle w:val="italicus"/>
        </w:rPr>
        <w:t>larmes,</w:t>
      </w:r>
      <w:r w:rsidRPr="002C4077">
        <w:t xml:space="preserve"> </w:t>
      </w:r>
      <w:r w:rsidRPr="00795E7D">
        <w:rPr>
          <w:rStyle w:val="italicus"/>
        </w:rPr>
        <w:t>amertumes</w:t>
      </w:r>
      <w:r w:rsidR="00B546AF" w:rsidRPr="00795E7D">
        <w:rPr>
          <w:rStyle w:val="italicus"/>
        </w:rPr>
        <w:t> !</w:t>
      </w:r>
      <w:r w:rsidRPr="002C4077">
        <w:t xml:space="preserve"> </w:t>
      </w:r>
    </w:p>
    <w:p w:rsidR="000A7AAB" w:rsidRPr="005E2129" w:rsidRDefault="00FF1715" w:rsidP="00FF1715">
      <w:pPr>
        <w:pStyle w:val="LcCentrum"/>
      </w:pPr>
      <w:r>
        <w:rPr>
          <w:smallCaps/>
        </w:rPr>
        <w:t>Schelomoh,</w:t>
      </w:r>
      <w:r w:rsidRPr="002C4077">
        <w:t xml:space="preserve"> </w:t>
      </w:r>
      <w:r>
        <w:rPr>
          <w:smallCaps/>
        </w:rPr>
        <w:t>fils</w:t>
      </w:r>
      <w:r w:rsidRPr="002C4077">
        <w:t xml:space="preserve"> </w:t>
      </w:r>
      <w:r>
        <w:rPr>
          <w:smallCaps/>
        </w:rPr>
        <w:t>d’I</w:t>
      </w:r>
      <w:r w:rsidR="000A7AAB">
        <w:rPr>
          <w:smallCaps/>
        </w:rPr>
        <w:t>sraël.</w:t>
      </w:r>
      <w:r w:rsidR="00C45B47">
        <w:t xml:space="preserve"> {</w:t>
      </w:r>
      <w:r w:rsidR="005E2129">
        <w:t>301</w:t>
      </w:r>
      <w:bookmarkStart w:id="729" w:name="p301"/>
      <w:bookmarkEnd w:id="729"/>
      <w:r w:rsidR="005E2129">
        <w:t xml:space="preserve">} </w:t>
      </w:r>
    </w:p>
    <w:p w:rsidR="000A7AAB" w:rsidRDefault="000A7AAB" w:rsidP="000A7AAB">
      <w:r>
        <w:t>Pour</w:t>
      </w:r>
      <w:r w:rsidRPr="002C4077">
        <w:t xml:space="preserve"> </w:t>
      </w:r>
      <w:r>
        <w:t>recueillir</w:t>
      </w:r>
      <w:r w:rsidRPr="002C4077">
        <w:t xml:space="preserve"> </w:t>
      </w:r>
      <w:r>
        <w:t>ces</w:t>
      </w:r>
      <w:r w:rsidRPr="002C4077">
        <w:t xml:space="preserve"> </w:t>
      </w:r>
      <w:r>
        <w:t>épitaphes,</w:t>
      </w:r>
      <w:r w:rsidRPr="002C4077">
        <w:t xml:space="preserve"> </w:t>
      </w:r>
      <w:r>
        <w:t>parfois</w:t>
      </w:r>
      <w:r w:rsidRPr="002C4077">
        <w:t xml:space="preserve"> </w:t>
      </w:r>
      <w:r>
        <w:t>difficiles</w:t>
      </w:r>
      <w:r w:rsidRPr="002C4077">
        <w:t xml:space="preserve"> </w:t>
      </w:r>
      <w:r>
        <w:t>à</w:t>
      </w:r>
      <w:r w:rsidRPr="002C4077">
        <w:t xml:space="preserve"> </w:t>
      </w:r>
      <w:r>
        <w:t>déchiffrer</w:t>
      </w:r>
      <w:r w:rsidRPr="002C4077">
        <w:t xml:space="preserve"> </w:t>
      </w:r>
      <w:r>
        <w:t>sous</w:t>
      </w:r>
      <w:r w:rsidRPr="002C4077">
        <w:t xml:space="preserve"> </w:t>
      </w:r>
      <w:r>
        <w:t>la</w:t>
      </w:r>
      <w:r w:rsidRPr="002C4077">
        <w:t xml:space="preserve"> </w:t>
      </w:r>
      <w:r>
        <w:t>couche</w:t>
      </w:r>
      <w:r w:rsidRPr="002C4077">
        <w:t xml:space="preserve"> </w:t>
      </w:r>
      <w:r>
        <w:t>noirâtre</w:t>
      </w:r>
      <w:r w:rsidRPr="002C4077">
        <w:t xml:space="preserve"> </w:t>
      </w:r>
      <w:r>
        <w:t>que</w:t>
      </w:r>
      <w:r w:rsidRPr="002C4077">
        <w:t xml:space="preserve"> </w:t>
      </w:r>
      <w:r>
        <w:t>l’action</w:t>
      </w:r>
      <w:r w:rsidRPr="002C4077">
        <w:t xml:space="preserve"> </w:t>
      </w:r>
      <w:r>
        <w:t>concentrée</w:t>
      </w:r>
      <w:r w:rsidRPr="002C4077">
        <w:t xml:space="preserve"> </w:t>
      </w:r>
      <w:r>
        <w:t>du</w:t>
      </w:r>
      <w:r w:rsidRPr="002C4077">
        <w:t xml:space="preserve"> </w:t>
      </w:r>
      <w:r>
        <w:t>soleil</w:t>
      </w:r>
      <w:r w:rsidRPr="002C4077">
        <w:t xml:space="preserve"> </w:t>
      </w:r>
      <w:r>
        <w:t>et</w:t>
      </w:r>
      <w:r w:rsidRPr="002C4077">
        <w:t xml:space="preserve"> </w:t>
      </w:r>
      <w:r>
        <w:t>de</w:t>
      </w:r>
      <w:r w:rsidRPr="002C4077">
        <w:t xml:space="preserve"> </w:t>
      </w:r>
      <w:r>
        <w:t>l’humidité</w:t>
      </w:r>
      <w:r w:rsidRPr="002C4077">
        <w:t xml:space="preserve"> </w:t>
      </w:r>
      <w:r>
        <w:t>y</w:t>
      </w:r>
      <w:r w:rsidRPr="002C4077">
        <w:t xml:space="preserve"> </w:t>
      </w:r>
      <w:r>
        <w:t>avait</w:t>
      </w:r>
      <w:r w:rsidRPr="002C4077">
        <w:t xml:space="preserve"> </w:t>
      </w:r>
      <w:r>
        <w:t>à</w:t>
      </w:r>
      <w:r w:rsidRPr="002C4077">
        <w:t xml:space="preserve"> </w:t>
      </w:r>
      <w:r>
        <w:t>la</w:t>
      </w:r>
      <w:r w:rsidRPr="002C4077">
        <w:t xml:space="preserve"> </w:t>
      </w:r>
      <w:r>
        <w:t>longue</w:t>
      </w:r>
      <w:r w:rsidRPr="002C4077">
        <w:t xml:space="preserve"> </w:t>
      </w:r>
      <w:r>
        <w:t>déposée,</w:t>
      </w:r>
      <w:r w:rsidRPr="002C4077">
        <w:t xml:space="preserve"> </w:t>
      </w:r>
      <w:r>
        <w:t>j’étais</w:t>
      </w:r>
      <w:r w:rsidRPr="002C4077">
        <w:t xml:space="preserve"> </w:t>
      </w:r>
      <w:r>
        <w:t>souvent</w:t>
      </w:r>
      <w:r w:rsidRPr="002C4077">
        <w:t xml:space="preserve"> </w:t>
      </w:r>
      <w:r>
        <w:t>obligé</w:t>
      </w:r>
      <w:r w:rsidRPr="002C4077">
        <w:t xml:space="preserve"> </w:t>
      </w:r>
      <w:r>
        <w:t>de</w:t>
      </w:r>
      <w:r w:rsidRPr="002C4077">
        <w:t xml:space="preserve"> </w:t>
      </w:r>
      <w:r>
        <w:t>me</w:t>
      </w:r>
      <w:r w:rsidRPr="002C4077">
        <w:t xml:space="preserve"> </w:t>
      </w:r>
      <w:r>
        <w:t>tenir</w:t>
      </w:r>
      <w:r w:rsidRPr="002C4077">
        <w:t xml:space="preserve"> </w:t>
      </w:r>
      <w:r>
        <w:t>très</w:t>
      </w:r>
      <w:r w:rsidRPr="002C4077">
        <w:t xml:space="preserve"> </w:t>
      </w:r>
      <w:r>
        <w:t>près</w:t>
      </w:r>
      <w:r w:rsidRPr="002C4077">
        <w:t xml:space="preserve"> </w:t>
      </w:r>
      <w:r>
        <w:t>des</w:t>
      </w:r>
      <w:r w:rsidRPr="002C4077">
        <w:t xml:space="preserve"> </w:t>
      </w:r>
      <w:r>
        <w:t>petits</w:t>
      </w:r>
      <w:r w:rsidRPr="002C4077">
        <w:t xml:space="preserve"> </w:t>
      </w:r>
      <w:r>
        <w:t>tertres</w:t>
      </w:r>
      <w:r w:rsidRPr="002C4077">
        <w:t xml:space="preserve"> </w:t>
      </w:r>
      <w:r>
        <w:t>gazonnés,</w:t>
      </w:r>
      <w:r w:rsidRPr="002C4077">
        <w:t xml:space="preserve"> </w:t>
      </w:r>
      <w:r>
        <w:t>placés</w:t>
      </w:r>
      <w:r w:rsidRPr="002C4077">
        <w:t xml:space="preserve"> </w:t>
      </w:r>
      <w:r>
        <w:t>en</w:t>
      </w:r>
      <w:r w:rsidRPr="002C4077">
        <w:t xml:space="preserve"> </w:t>
      </w:r>
      <w:r>
        <w:t>avant</w:t>
      </w:r>
      <w:r w:rsidRPr="002C4077">
        <w:t xml:space="preserve"> </w:t>
      </w:r>
      <w:r>
        <w:t>des</w:t>
      </w:r>
      <w:r w:rsidRPr="002C4077">
        <w:t xml:space="preserve"> </w:t>
      </w:r>
      <w:r>
        <w:t>pierres</w:t>
      </w:r>
      <w:r w:rsidRPr="002C4077">
        <w:t xml:space="preserve"> </w:t>
      </w:r>
      <w:r>
        <w:t>funéraires</w:t>
      </w:r>
      <w:r w:rsidR="00B546AF">
        <w:t> ;</w:t>
      </w:r>
      <w:r w:rsidRPr="002C4077">
        <w:t xml:space="preserve"> </w:t>
      </w:r>
      <w:r>
        <w:t>mais</w:t>
      </w:r>
      <w:r w:rsidRPr="002C4077">
        <w:t xml:space="preserve"> </w:t>
      </w:r>
      <w:r>
        <w:t>j’évitais</w:t>
      </w:r>
      <w:r w:rsidRPr="002C4077">
        <w:t xml:space="preserve"> </w:t>
      </w:r>
      <w:r>
        <w:t>de</w:t>
      </w:r>
      <w:r w:rsidRPr="002C4077">
        <w:t xml:space="preserve"> </w:t>
      </w:r>
      <w:r>
        <w:t>mon</w:t>
      </w:r>
      <w:r w:rsidRPr="002C4077">
        <w:t xml:space="preserve"> </w:t>
      </w:r>
      <w:r>
        <w:t>mieux</w:t>
      </w:r>
      <w:r w:rsidRPr="002C4077">
        <w:t xml:space="preserve"> </w:t>
      </w:r>
      <w:r>
        <w:t>de</w:t>
      </w:r>
      <w:r w:rsidRPr="002C4077">
        <w:t xml:space="preserve"> </w:t>
      </w:r>
      <w:r>
        <w:t>les</w:t>
      </w:r>
      <w:r w:rsidRPr="002C4077">
        <w:t xml:space="preserve"> </w:t>
      </w:r>
      <w:r>
        <w:t>fouler</w:t>
      </w:r>
      <w:r w:rsidRPr="002C4077">
        <w:t xml:space="preserve"> </w:t>
      </w:r>
      <w:r>
        <w:t>aux</w:t>
      </w:r>
      <w:r w:rsidRPr="002C4077">
        <w:t xml:space="preserve"> </w:t>
      </w:r>
      <w:r>
        <w:t>pieds,</w:t>
      </w:r>
      <w:r w:rsidRPr="002C4077">
        <w:t xml:space="preserve"> </w:t>
      </w:r>
      <w:r>
        <w:t>soit</w:t>
      </w:r>
      <w:r w:rsidRPr="002C4077">
        <w:t xml:space="preserve"> </w:t>
      </w:r>
      <w:r>
        <w:t>parce</w:t>
      </w:r>
      <w:r w:rsidRPr="002C4077">
        <w:t xml:space="preserve"> </w:t>
      </w:r>
      <w:r>
        <w:t>que</w:t>
      </w:r>
      <w:r w:rsidRPr="002C4077">
        <w:t xml:space="preserve"> </w:t>
      </w:r>
      <w:r>
        <w:t>c’eût</w:t>
      </w:r>
      <w:r w:rsidRPr="002C4077">
        <w:t xml:space="preserve"> </w:t>
      </w:r>
      <w:r>
        <w:t>été,</w:t>
      </w:r>
      <w:r w:rsidRPr="002C4077">
        <w:t xml:space="preserve"> </w:t>
      </w:r>
      <w:r>
        <w:t>comme</w:t>
      </w:r>
      <w:r w:rsidRPr="002C4077">
        <w:t xml:space="preserve"> </w:t>
      </w:r>
      <w:r>
        <w:t>le</w:t>
      </w:r>
      <w:r w:rsidRPr="002C4077">
        <w:t xml:space="preserve"> </w:t>
      </w:r>
      <w:r>
        <w:t>dit</w:t>
      </w:r>
      <w:r w:rsidRPr="002C4077">
        <w:t xml:space="preserve"> </w:t>
      </w:r>
      <w:r>
        <w:t>fort</w:t>
      </w:r>
      <w:r w:rsidRPr="002C4077">
        <w:t xml:space="preserve"> </w:t>
      </w:r>
      <w:r>
        <w:t>justement</w:t>
      </w:r>
      <w:r w:rsidRPr="002C4077">
        <w:t xml:space="preserve"> </w:t>
      </w:r>
      <w:r>
        <w:t>le</w:t>
      </w:r>
      <w:r w:rsidRPr="002C4077">
        <w:t xml:space="preserve"> </w:t>
      </w:r>
      <w:r>
        <w:t>Talmud,</w:t>
      </w:r>
      <w:r w:rsidRPr="002C4077">
        <w:t xml:space="preserve"> </w:t>
      </w:r>
      <w:r>
        <w:t>manquer</w:t>
      </w:r>
      <w:r w:rsidRPr="002C4077">
        <w:t xml:space="preserve"> </w:t>
      </w:r>
      <w:r>
        <w:t>à</w:t>
      </w:r>
      <w:r w:rsidRPr="002C4077">
        <w:t xml:space="preserve"> </w:t>
      </w:r>
      <w:r>
        <w:t>la</w:t>
      </w:r>
      <w:r w:rsidRPr="002C4077">
        <w:t xml:space="preserve"> </w:t>
      </w:r>
      <w:r>
        <w:t>piété</w:t>
      </w:r>
      <w:r w:rsidRPr="002C4077">
        <w:t xml:space="preserve"> </w:t>
      </w:r>
      <w:r>
        <w:t>dont</w:t>
      </w:r>
      <w:r w:rsidRPr="002C4077">
        <w:t xml:space="preserve"> </w:t>
      </w:r>
      <w:r>
        <w:t>les</w:t>
      </w:r>
      <w:r w:rsidRPr="002C4077">
        <w:t xml:space="preserve"> </w:t>
      </w:r>
      <w:r>
        <w:t>vivants</w:t>
      </w:r>
      <w:r w:rsidRPr="002C4077">
        <w:t xml:space="preserve"> </w:t>
      </w:r>
      <w:r>
        <w:t>sont</w:t>
      </w:r>
      <w:r w:rsidRPr="002C4077">
        <w:t xml:space="preserve"> </w:t>
      </w:r>
      <w:r>
        <w:t>redevables</w:t>
      </w:r>
      <w:r w:rsidRPr="002C4077">
        <w:t xml:space="preserve"> </w:t>
      </w:r>
      <w:r>
        <w:t>envers</w:t>
      </w:r>
      <w:r w:rsidRPr="002C4077">
        <w:t xml:space="preserve"> </w:t>
      </w:r>
      <w:r>
        <w:t>les</w:t>
      </w:r>
      <w:r w:rsidRPr="002C4077">
        <w:t xml:space="preserve"> </w:t>
      </w:r>
      <w:r>
        <w:t>morts,</w:t>
      </w:r>
      <w:r w:rsidRPr="002C4077">
        <w:t xml:space="preserve"> </w:t>
      </w:r>
      <w:r>
        <w:t>soit</w:t>
      </w:r>
      <w:r w:rsidRPr="002C4077">
        <w:t xml:space="preserve"> </w:t>
      </w:r>
      <w:r>
        <w:t>pour</w:t>
      </w:r>
      <w:r w:rsidRPr="002C4077">
        <w:t xml:space="preserve"> </w:t>
      </w:r>
      <w:r>
        <w:t>ne</w:t>
      </w:r>
      <w:r w:rsidRPr="002C4077">
        <w:t xml:space="preserve"> </w:t>
      </w:r>
      <w:r>
        <w:t>pas</w:t>
      </w:r>
      <w:r w:rsidRPr="002C4077">
        <w:t xml:space="preserve"> </w:t>
      </w:r>
      <w:r>
        <w:t>m’exposer</w:t>
      </w:r>
      <w:r w:rsidRPr="002C4077">
        <w:t xml:space="preserve"> </w:t>
      </w:r>
      <w:r>
        <w:t>aux</w:t>
      </w:r>
      <w:r w:rsidRPr="002C4077">
        <w:t xml:space="preserve"> </w:t>
      </w:r>
      <w:r>
        <w:t>représailles</w:t>
      </w:r>
      <w:r w:rsidRPr="002C4077">
        <w:t xml:space="preserve"> </w:t>
      </w:r>
      <w:r>
        <w:t>qu’un</w:t>
      </w:r>
      <w:r w:rsidRPr="002C4077">
        <w:t xml:space="preserve"> </w:t>
      </w:r>
      <w:r>
        <w:t>pareil</w:t>
      </w:r>
      <w:r w:rsidRPr="002C4077">
        <w:t xml:space="preserve"> </w:t>
      </w:r>
      <w:r>
        <w:t>acte</w:t>
      </w:r>
      <w:r w:rsidRPr="002C4077">
        <w:t xml:space="preserve"> </w:t>
      </w:r>
      <w:r>
        <w:t>aurait</w:t>
      </w:r>
      <w:r w:rsidRPr="002C4077">
        <w:t xml:space="preserve"> </w:t>
      </w:r>
      <w:r>
        <w:t>pu</w:t>
      </w:r>
      <w:r w:rsidRPr="002C4077">
        <w:t xml:space="preserve"> </w:t>
      </w:r>
      <w:r>
        <w:t>m’attirer</w:t>
      </w:r>
      <w:r w:rsidRPr="002C4077">
        <w:t xml:space="preserve"> </w:t>
      </w:r>
      <w:r>
        <w:t>d’outre-tombe.</w:t>
      </w:r>
      <w:r w:rsidRPr="002C4077">
        <w:t xml:space="preserve"> </w:t>
      </w:r>
      <w:r w:rsidR="00B546AF">
        <w:t>« </w:t>
      </w:r>
      <w:r>
        <w:t>Sais-tu</w:t>
      </w:r>
      <w:r w:rsidRPr="002C4077">
        <w:t xml:space="preserve"> </w:t>
      </w:r>
      <w:r>
        <w:t>à</w:t>
      </w:r>
      <w:r w:rsidRPr="002C4077">
        <w:t xml:space="preserve"> </w:t>
      </w:r>
      <w:r>
        <w:t>quoi</w:t>
      </w:r>
      <w:r w:rsidRPr="002C4077">
        <w:t xml:space="preserve"> </w:t>
      </w:r>
      <w:r>
        <w:t>pensent</w:t>
      </w:r>
      <w:r w:rsidRPr="002C4077">
        <w:t xml:space="preserve"> </w:t>
      </w:r>
      <w:r>
        <w:t>les</w:t>
      </w:r>
      <w:r w:rsidRPr="002C4077">
        <w:t xml:space="preserve"> </w:t>
      </w:r>
      <w:r>
        <w:t>morts,</w:t>
      </w:r>
      <w:r w:rsidRPr="002C4077">
        <w:t xml:space="preserve"> </w:t>
      </w:r>
      <w:r>
        <w:t>quand</w:t>
      </w:r>
      <w:r w:rsidRPr="002C4077">
        <w:t xml:space="preserve"> </w:t>
      </w:r>
      <w:r>
        <w:t>on</w:t>
      </w:r>
      <w:r w:rsidRPr="002C4077">
        <w:t xml:space="preserve"> </w:t>
      </w:r>
      <w:r>
        <w:t>fait</w:t>
      </w:r>
      <w:r w:rsidRPr="002C4077">
        <w:t xml:space="preserve"> </w:t>
      </w:r>
      <w:r>
        <w:t>cela</w:t>
      </w:r>
      <w:r w:rsidR="00B546AF">
        <w:t> ?</w:t>
      </w:r>
      <w:r w:rsidRPr="002C4077">
        <w:t xml:space="preserve"> </w:t>
      </w:r>
      <w:r>
        <w:t>Ceux</w:t>
      </w:r>
      <w:r w:rsidRPr="002C4077">
        <w:t xml:space="preserve"> </w:t>
      </w:r>
      <w:r>
        <w:t>qui</w:t>
      </w:r>
      <w:r w:rsidRPr="002C4077">
        <w:t xml:space="preserve"> </w:t>
      </w:r>
      <w:r>
        <w:t>nous</w:t>
      </w:r>
      <w:r w:rsidRPr="002C4077">
        <w:t xml:space="preserve"> </w:t>
      </w:r>
      <w:r>
        <w:t>outragent</w:t>
      </w:r>
      <w:r w:rsidRPr="002C4077">
        <w:t xml:space="preserve"> </w:t>
      </w:r>
      <w:r>
        <w:t>aujourd’hui,</w:t>
      </w:r>
      <w:r w:rsidRPr="002C4077">
        <w:t xml:space="preserve"> </w:t>
      </w:r>
      <w:r>
        <w:t>disent-ils,</w:t>
      </w:r>
      <w:r w:rsidRPr="002C4077">
        <w:t xml:space="preserve"> </w:t>
      </w:r>
      <w:r>
        <w:t>reposeront</w:t>
      </w:r>
      <w:r w:rsidRPr="002C4077">
        <w:t xml:space="preserve"> </w:t>
      </w:r>
      <w:r>
        <w:t>dès</w:t>
      </w:r>
      <w:r w:rsidRPr="002C4077">
        <w:t xml:space="preserve"> </w:t>
      </w:r>
      <w:r>
        <w:t>demain</w:t>
      </w:r>
      <w:r w:rsidRPr="002C4077">
        <w:t xml:space="preserve"> </w:t>
      </w:r>
      <w:r>
        <w:t>ici</w:t>
      </w:r>
      <w:r w:rsidRPr="002C4077">
        <w:t xml:space="preserve"> </w:t>
      </w:r>
      <w:r>
        <w:t>même</w:t>
      </w:r>
      <w:r w:rsidRPr="002C4077">
        <w:t xml:space="preserve"> </w:t>
      </w:r>
      <w:r>
        <w:t>auprès</w:t>
      </w:r>
      <w:bookmarkStart w:id="730" w:name="z_CimetieresJuifs_o9"/>
      <w:bookmarkEnd w:id="730"/>
      <w:r w:rsidRPr="002C4077">
        <w:t xml:space="preserve"> </w:t>
      </w:r>
      <w:r>
        <w:t>de</w:t>
      </w:r>
      <w:r w:rsidRPr="002C4077">
        <w:t xml:space="preserve"> </w:t>
      </w:r>
      <w:r>
        <w:t>nous</w:t>
      </w:r>
      <w:r w:rsidR="00B91AF7">
        <w:rPr>
          <w:rStyle w:val="Appelnotedebasdep"/>
        </w:rPr>
        <w:footnoteReference w:id="895"/>
      </w:r>
      <w:r w:rsidR="00B546AF">
        <w:t> »</w:t>
      </w:r>
      <w:r>
        <w:t>.</w:t>
      </w:r>
      <w:r w:rsidRPr="002C4077">
        <w:t xml:space="preserve"> </w:t>
      </w:r>
    </w:p>
    <w:p w:rsidR="000A7AAB" w:rsidRDefault="000A7AAB" w:rsidP="000A7AAB">
      <w:r>
        <w:t>Je</w:t>
      </w:r>
      <w:r w:rsidRPr="002C4077">
        <w:t xml:space="preserve"> </w:t>
      </w:r>
      <w:r>
        <w:t>ne</w:t>
      </w:r>
      <w:r w:rsidRPr="002C4077">
        <w:t xml:space="preserve"> </w:t>
      </w:r>
      <w:r>
        <w:t>courais</w:t>
      </w:r>
      <w:r w:rsidRPr="002C4077">
        <w:t xml:space="preserve"> </w:t>
      </w:r>
      <w:r>
        <w:t>pas</w:t>
      </w:r>
      <w:r w:rsidRPr="002C4077">
        <w:t xml:space="preserve"> </w:t>
      </w:r>
      <w:r>
        <w:t>grand</w:t>
      </w:r>
      <w:r w:rsidRPr="002C4077">
        <w:t xml:space="preserve"> </w:t>
      </w:r>
      <w:r>
        <w:t>risque,</w:t>
      </w:r>
      <w:r w:rsidRPr="002C4077">
        <w:t xml:space="preserve"> </w:t>
      </w:r>
      <w:r>
        <w:t>il</w:t>
      </w:r>
      <w:r w:rsidRPr="002C4077">
        <w:t xml:space="preserve"> </w:t>
      </w:r>
      <w:r w:rsidR="00425C50">
        <w:t>est</w:t>
      </w:r>
      <w:r w:rsidRPr="002C4077">
        <w:t xml:space="preserve"> </w:t>
      </w:r>
      <w:r>
        <w:t>vrai,</w:t>
      </w:r>
      <w:r w:rsidRPr="002C4077">
        <w:t xml:space="preserve"> </w:t>
      </w:r>
      <w:r>
        <w:t>de</w:t>
      </w:r>
      <w:r w:rsidRPr="002C4077">
        <w:t xml:space="preserve"> </w:t>
      </w:r>
      <w:r>
        <w:t>reposer</w:t>
      </w:r>
      <w:r w:rsidRPr="002C4077">
        <w:t xml:space="preserve"> </w:t>
      </w:r>
      <w:r>
        <w:t>auprès</w:t>
      </w:r>
      <w:r w:rsidRPr="002C4077">
        <w:t xml:space="preserve"> </w:t>
      </w:r>
      <w:r>
        <w:t>des</w:t>
      </w:r>
      <w:r w:rsidRPr="002C4077">
        <w:t xml:space="preserve"> </w:t>
      </w:r>
      <w:r>
        <w:t>morts</w:t>
      </w:r>
      <w:r w:rsidRPr="002C4077">
        <w:t xml:space="preserve"> </w:t>
      </w:r>
      <w:r>
        <w:t>du</w:t>
      </w:r>
      <w:r w:rsidRPr="002C4077">
        <w:t xml:space="preserve"> </w:t>
      </w:r>
      <w:r>
        <w:t>cimetière</w:t>
      </w:r>
      <w:r w:rsidRPr="002C4077">
        <w:t xml:space="preserve"> </w:t>
      </w:r>
      <w:r>
        <w:t>israélite</w:t>
      </w:r>
      <w:r w:rsidR="00B546AF">
        <w:t> ;</w:t>
      </w:r>
      <w:r w:rsidRPr="002C4077">
        <w:t xml:space="preserve"> </w:t>
      </w:r>
      <w:r>
        <w:t>car,</w:t>
      </w:r>
      <w:r w:rsidRPr="002C4077">
        <w:t xml:space="preserve"> </w:t>
      </w:r>
      <w:r>
        <w:t>si</w:t>
      </w:r>
      <w:r w:rsidRPr="002C4077">
        <w:t xml:space="preserve"> </w:t>
      </w:r>
      <w:r>
        <w:t>les</w:t>
      </w:r>
      <w:r w:rsidRPr="002C4077">
        <w:t xml:space="preserve"> </w:t>
      </w:r>
      <w:r>
        <w:t>Juifs</w:t>
      </w:r>
      <w:r w:rsidRPr="002C4077">
        <w:t xml:space="preserve"> </w:t>
      </w:r>
      <w:r>
        <w:t>ont</w:t>
      </w:r>
      <w:r w:rsidRPr="002C4077">
        <w:t xml:space="preserve"> </w:t>
      </w:r>
      <w:r>
        <w:t>eu</w:t>
      </w:r>
      <w:r w:rsidRPr="002C4077">
        <w:t xml:space="preserve"> </w:t>
      </w:r>
      <w:r>
        <w:t>au</w:t>
      </w:r>
      <w:r w:rsidRPr="002C4077">
        <w:t xml:space="preserve"> </w:t>
      </w:r>
      <w:r>
        <w:t>temps</w:t>
      </w:r>
      <w:r w:rsidRPr="002C4077">
        <w:t xml:space="preserve"> </w:t>
      </w:r>
      <w:r>
        <w:t>jadis,</w:t>
      </w:r>
      <w:r w:rsidRPr="002C4077">
        <w:t xml:space="preserve"> </w:t>
      </w:r>
      <w:r>
        <w:t>comme</w:t>
      </w:r>
      <w:r w:rsidRPr="002C4077">
        <w:t xml:space="preserve"> </w:t>
      </w:r>
      <w:r>
        <w:t>ils</w:t>
      </w:r>
      <w:r w:rsidRPr="002C4077">
        <w:t xml:space="preserve"> </w:t>
      </w:r>
      <w:r>
        <w:t>s’en</w:t>
      </w:r>
      <w:r w:rsidRPr="002C4077">
        <w:t xml:space="preserve"> </w:t>
      </w:r>
      <w:r>
        <w:t>vantent,</w:t>
      </w:r>
      <w:r w:rsidRPr="002C4077">
        <w:t xml:space="preserve"> </w:t>
      </w:r>
      <w:r>
        <w:t>assez</w:t>
      </w:r>
      <w:r w:rsidRPr="002C4077">
        <w:t xml:space="preserve"> </w:t>
      </w:r>
      <w:r>
        <w:t>de</w:t>
      </w:r>
      <w:r w:rsidRPr="002C4077">
        <w:t xml:space="preserve"> </w:t>
      </w:r>
      <w:r>
        <w:t>tolérance</w:t>
      </w:r>
      <w:r w:rsidRPr="002C4077">
        <w:t xml:space="preserve"> </w:t>
      </w:r>
      <w:r>
        <w:t>pour</w:t>
      </w:r>
      <w:r w:rsidRPr="002C4077">
        <w:t xml:space="preserve"> </w:t>
      </w:r>
      <w:r>
        <w:t>enterrer</w:t>
      </w:r>
      <w:r w:rsidRPr="002C4077">
        <w:t xml:space="preserve"> </w:t>
      </w:r>
      <w:r>
        <w:t>des</w:t>
      </w:r>
      <w:r w:rsidRPr="002C4077">
        <w:t xml:space="preserve"> </w:t>
      </w:r>
      <w:r w:rsidRPr="000A34B5">
        <w:rPr>
          <w:rStyle w:val="italicus"/>
        </w:rPr>
        <w:t>goïm</w:t>
      </w:r>
      <w:r w:rsidRPr="002C4077">
        <w:t xml:space="preserve"> </w:t>
      </w:r>
      <w:r>
        <w:t>à</w:t>
      </w:r>
      <w:r w:rsidRPr="002C4077">
        <w:t xml:space="preserve"> </w:t>
      </w:r>
      <w:r>
        <w:t>côté</w:t>
      </w:r>
      <w:r w:rsidRPr="002C4077">
        <w:t xml:space="preserve"> </w:t>
      </w:r>
      <w:r>
        <w:t>de</w:t>
      </w:r>
      <w:r w:rsidRPr="002C4077">
        <w:t xml:space="preserve"> </w:t>
      </w:r>
      <w:r>
        <w:t>leurs</w:t>
      </w:r>
      <w:r w:rsidRPr="002C4077">
        <w:t xml:space="preserve"> </w:t>
      </w:r>
      <w:r>
        <w:t>propres</w:t>
      </w:r>
      <w:r w:rsidRPr="002C4077">
        <w:t xml:space="preserve"> </w:t>
      </w:r>
      <w:r>
        <w:t>défunts</w:t>
      </w:r>
      <w:r w:rsidR="00B91AF7">
        <w:rPr>
          <w:rStyle w:val="Appelnotedebasdep"/>
        </w:rPr>
        <w:footnoteReference w:id="896"/>
      </w:r>
      <w:r>
        <w:t>,</w:t>
      </w:r>
      <w:r w:rsidRPr="002C4077">
        <w:t xml:space="preserve"> </w:t>
      </w:r>
      <w:r>
        <w:t>il</w:t>
      </w:r>
      <w:r w:rsidRPr="002C4077">
        <w:t xml:space="preserve"> </w:t>
      </w:r>
      <w:r w:rsidR="00425C50">
        <w:t>est</w:t>
      </w:r>
      <w:r w:rsidRPr="002C4077">
        <w:t xml:space="preserve"> </w:t>
      </w:r>
      <w:r>
        <w:t>peu</w:t>
      </w:r>
      <w:r w:rsidRPr="002C4077">
        <w:t xml:space="preserve"> </w:t>
      </w:r>
      <w:r>
        <w:t>probable,</w:t>
      </w:r>
      <w:r w:rsidRPr="002C4077">
        <w:t xml:space="preserve"> </w:t>
      </w:r>
      <w:r>
        <w:t>et</w:t>
      </w:r>
      <w:r w:rsidRPr="002C4077">
        <w:t xml:space="preserve"> </w:t>
      </w:r>
      <w:r>
        <w:t>vraiment</w:t>
      </w:r>
      <w:r w:rsidRPr="002C4077">
        <w:t xml:space="preserve"> </w:t>
      </w:r>
      <w:r>
        <w:t>j’en</w:t>
      </w:r>
      <w:r w:rsidRPr="002C4077">
        <w:t xml:space="preserve"> </w:t>
      </w:r>
      <w:r>
        <w:t>avais</w:t>
      </w:r>
      <w:r w:rsidRPr="002C4077">
        <w:t xml:space="preserve"> </w:t>
      </w:r>
      <w:r>
        <w:t>peu</w:t>
      </w:r>
      <w:r w:rsidRPr="002C4077">
        <w:t xml:space="preserve"> </w:t>
      </w:r>
      <w:r>
        <w:t>d’envie,</w:t>
      </w:r>
      <w:r w:rsidRPr="002C4077">
        <w:t xml:space="preserve"> </w:t>
      </w:r>
      <w:r>
        <w:t>qu’ils</w:t>
      </w:r>
      <w:r w:rsidRPr="002C4077">
        <w:t xml:space="preserve"> </w:t>
      </w:r>
      <w:r>
        <w:t>m’eussent</w:t>
      </w:r>
      <w:r w:rsidRPr="002C4077">
        <w:t xml:space="preserve"> </w:t>
      </w:r>
      <w:r>
        <w:t>de</w:t>
      </w:r>
      <w:r w:rsidRPr="002C4077">
        <w:t xml:space="preserve"> </w:t>
      </w:r>
      <w:r>
        <w:t>nos</w:t>
      </w:r>
      <w:r w:rsidRPr="002C4077">
        <w:t xml:space="preserve"> </w:t>
      </w:r>
      <w:r>
        <w:t>jours</w:t>
      </w:r>
      <w:r w:rsidRPr="002C4077">
        <w:t xml:space="preserve"> </w:t>
      </w:r>
      <w:r>
        <w:t>creusé</w:t>
      </w:r>
      <w:r w:rsidRPr="002C4077">
        <w:t xml:space="preserve"> </w:t>
      </w:r>
      <w:r>
        <w:t>une</w:t>
      </w:r>
      <w:r w:rsidRPr="002C4077">
        <w:t xml:space="preserve"> </w:t>
      </w:r>
      <w:r>
        <w:t>fosse</w:t>
      </w:r>
      <w:r w:rsidRPr="002C4077">
        <w:t xml:space="preserve"> </w:t>
      </w:r>
      <w:r>
        <w:t>dans</w:t>
      </w:r>
      <w:r w:rsidRPr="002C4077">
        <w:t xml:space="preserve"> </w:t>
      </w:r>
      <w:r>
        <w:t>leur</w:t>
      </w:r>
      <w:r w:rsidRPr="002C4077">
        <w:t xml:space="preserve"> </w:t>
      </w:r>
      <w:r w:rsidRPr="000A34B5">
        <w:rPr>
          <w:rStyle w:val="italicus"/>
        </w:rPr>
        <w:t>Beth-hachaïm.</w:t>
      </w:r>
      <w:r w:rsidRPr="002C4077">
        <w:t xml:space="preserve"> </w:t>
      </w:r>
    </w:p>
    <w:p w:rsidR="000A7AAB" w:rsidRDefault="000A7AAB" w:rsidP="000A7AAB">
      <w:r>
        <w:t>Deux</w:t>
      </w:r>
      <w:r w:rsidRPr="002C4077">
        <w:t xml:space="preserve"> </w:t>
      </w:r>
      <w:r>
        <w:t>ou</w:t>
      </w:r>
      <w:r w:rsidRPr="002C4077">
        <w:t xml:space="preserve"> </w:t>
      </w:r>
      <w:r>
        <w:t>trois</w:t>
      </w:r>
      <w:r w:rsidRPr="002C4077">
        <w:t xml:space="preserve"> </w:t>
      </w:r>
      <w:r>
        <w:t>tombes</w:t>
      </w:r>
      <w:r w:rsidRPr="002C4077">
        <w:t xml:space="preserve"> </w:t>
      </w:r>
      <w:r>
        <w:t>isolées,</w:t>
      </w:r>
      <w:r w:rsidRPr="002C4077">
        <w:t xml:space="preserve"> </w:t>
      </w:r>
      <w:r>
        <w:t>qui</w:t>
      </w:r>
      <w:r w:rsidRPr="002C4077">
        <w:t xml:space="preserve"> </w:t>
      </w:r>
      <w:r>
        <w:t>semblaient</w:t>
      </w:r>
      <w:r w:rsidRPr="002C4077">
        <w:t xml:space="preserve"> </w:t>
      </w:r>
      <w:r>
        <w:t>reléguées</w:t>
      </w:r>
      <w:r w:rsidRPr="002C4077">
        <w:t xml:space="preserve"> </w:t>
      </w:r>
      <w:r>
        <w:t>à</w:t>
      </w:r>
      <w:r w:rsidRPr="002C4077">
        <w:t xml:space="preserve"> </w:t>
      </w:r>
      <w:r>
        <w:t>dessein</w:t>
      </w:r>
      <w:r w:rsidRPr="002C4077">
        <w:t xml:space="preserve"> </w:t>
      </w:r>
      <w:r>
        <w:t>au</w:t>
      </w:r>
      <w:r w:rsidRPr="002C4077">
        <w:t xml:space="preserve"> </w:t>
      </w:r>
      <w:r>
        <w:t>fond</w:t>
      </w:r>
      <w:r w:rsidRPr="002C4077">
        <w:t xml:space="preserve"> </w:t>
      </w:r>
      <w:r>
        <w:t>du</w:t>
      </w:r>
      <w:r w:rsidRPr="002C4077">
        <w:t xml:space="preserve"> </w:t>
      </w:r>
      <w:r>
        <w:t>cimetière,</w:t>
      </w:r>
      <w:r w:rsidRPr="002C4077">
        <w:t xml:space="preserve"> </w:t>
      </w:r>
      <w:r>
        <w:t>attirèrent</w:t>
      </w:r>
      <w:r w:rsidRPr="002C4077">
        <w:t xml:space="preserve"> </w:t>
      </w:r>
      <w:r>
        <w:t>mon</w:t>
      </w:r>
      <w:r w:rsidRPr="002C4077">
        <w:t xml:space="preserve"> </w:t>
      </w:r>
      <w:r>
        <w:t>attention.</w:t>
      </w:r>
      <w:r w:rsidRPr="002C4077">
        <w:t xml:space="preserve"> </w:t>
      </w:r>
      <w:r>
        <w:t>Je</w:t>
      </w:r>
      <w:r w:rsidRPr="002C4077">
        <w:t xml:space="preserve"> </w:t>
      </w:r>
      <w:r>
        <w:t>savais,</w:t>
      </w:r>
      <w:r w:rsidRPr="002C4077">
        <w:t xml:space="preserve"> </w:t>
      </w:r>
      <w:r>
        <w:t>toujours</w:t>
      </w:r>
      <w:r w:rsidRPr="002C4077">
        <w:t xml:space="preserve"> </w:t>
      </w:r>
      <w:r>
        <w:t>d’après</w:t>
      </w:r>
      <w:r w:rsidRPr="002C4077">
        <w:t xml:space="preserve"> </w:t>
      </w:r>
      <w:r>
        <w:t>le</w:t>
      </w:r>
      <w:r w:rsidRPr="002C4077">
        <w:t xml:space="preserve"> </w:t>
      </w:r>
      <w:r>
        <w:t>Talmud,</w:t>
      </w:r>
      <w:r w:rsidRPr="002C4077">
        <w:t xml:space="preserve"> </w:t>
      </w:r>
      <w:r>
        <w:t>où</w:t>
      </w:r>
      <w:r w:rsidRPr="002C4077">
        <w:t xml:space="preserve"> </w:t>
      </w:r>
      <w:r>
        <w:t>l’on</w:t>
      </w:r>
      <w:r w:rsidRPr="002C4077">
        <w:t xml:space="preserve"> </w:t>
      </w:r>
      <w:r>
        <w:t>trouve</w:t>
      </w:r>
      <w:r w:rsidRPr="002C4077">
        <w:t xml:space="preserve"> </w:t>
      </w:r>
      <w:r>
        <w:t>toutes</w:t>
      </w:r>
      <w:r w:rsidRPr="002C4077">
        <w:t xml:space="preserve"> </w:t>
      </w:r>
      <w:r>
        <w:t>sortes</w:t>
      </w:r>
      <w:r w:rsidRPr="002C4077">
        <w:t xml:space="preserve"> </w:t>
      </w:r>
      <w:r>
        <w:t>de</w:t>
      </w:r>
      <w:r w:rsidRPr="002C4077">
        <w:t xml:space="preserve"> </w:t>
      </w:r>
      <w:r>
        <w:t>choses</w:t>
      </w:r>
      <w:r w:rsidRPr="002C4077">
        <w:t xml:space="preserve"> </w:t>
      </w:r>
      <w:r>
        <w:t>sur</w:t>
      </w:r>
      <w:r w:rsidRPr="002C4077">
        <w:t xml:space="preserve"> </w:t>
      </w:r>
      <w:r>
        <w:t>toutes</w:t>
      </w:r>
      <w:r w:rsidRPr="002C4077">
        <w:t xml:space="preserve"> </w:t>
      </w:r>
      <w:r>
        <w:t>sortes</w:t>
      </w:r>
      <w:r w:rsidRPr="002C4077">
        <w:t xml:space="preserve"> </w:t>
      </w:r>
      <w:r>
        <w:t>de</w:t>
      </w:r>
      <w:r w:rsidRPr="002C4077">
        <w:t xml:space="preserve"> </w:t>
      </w:r>
      <w:r>
        <w:t>sujets,</w:t>
      </w:r>
      <w:r w:rsidRPr="002C4077">
        <w:t xml:space="preserve"> </w:t>
      </w:r>
      <w:r>
        <w:t>qu’autrefois</w:t>
      </w:r>
      <w:r w:rsidRPr="002C4077">
        <w:t xml:space="preserve"> </w:t>
      </w:r>
      <w:r>
        <w:t>les</w:t>
      </w:r>
      <w:r w:rsidRPr="002C4077">
        <w:t xml:space="preserve"> </w:t>
      </w:r>
      <w:r>
        <w:t>Juifs</w:t>
      </w:r>
      <w:r w:rsidRPr="002C4077">
        <w:t xml:space="preserve"> </w:t>
      </w:r>
      <w:r>
        <w:t>enterraient</w:t>
      </w:r>
      <w:r w:rsidRPr="002C4077">
        <w:t xml:space="preserve"> </w:t>
      </w:r>
      <w:r>
        <w:t>dans</w:t>
      </w:r>
      <w:r w:rsidRPr="002C4077">
        <w:t xml:space="preserve"> </w:t>
      </w:r>
      <w:r>
        <w:t>des</w:t>
      </w:r>
      <w:r w:rsidRPr="002C4077">
        <w:t xml:space="preserve"> </w:t>
      </w:r>
      <w:r>
        <w:t>coins</w:t>
      </w:r>
      <w:r w:rsidRPr="002C4077">
        <w:t xml:space="preserve"> </w:t>
      </w:r>
      <w:r>
        <w:t>écartés</w:t>
      </w:r>
      <w:r w:rsidRPr="002C4077">
        <w:t xml:space="preserve"> </w:t>
      </w:r>
      <w:r>
        <w:t>les</w:t>
      </w:r>
      <w:r w:rsidRPr="002C4077">
        <w:t xml:space="preserve"> </w:t>
      </w:r>
      <w:r>
        <w:t>pécheurs</w:t>
      </w:r>
      <w:r w:rsidRPr="002C4077">
        <w:t xml:space="preserve"> </w:t>
      </w:r>
      <w:r>
        <w:t>scandaleux,</w:t>
      </w:r>
      <w:r w:rsidRPr="002C4077">
        <w:t xml:space="preserve"> </w:t>
      </w:r>
      <w:r>
        <w:t>les</w:t>
      </w:r>
      <w:r w:rsidRPr="002C4077">
        <w:t xml:space="preserve"> </w:t>
      </w:r>
      <w:r>
        <w:t>suicidés,</w:t>
      </w:r>
      <w:r w:rsidRPr="002C4077">
        <w:t xml:space="preserve"> </w:t>
      </w:r>
      <w:r>
        <w:t>les</w:t>
      </w:r>
      <w:r w:rsidRPr="002C4077">
        <w:t xml:space="preserve"> </w:t>
      </w:r>
      <w:r>
        <w:t>suppliciés.</w:t>
      </w:r>
      <w:r w:rsidR="00C45B47">
        <w:t xml:space="preserve"> {</w:t>
      </w:r>
      <w:r w:rsidR="005E2129">
        <w:t>302</w:t>
      </w:r>
      <w:bookmarkStart w:id="731" w:name="p302"/>
      <w:bookmarkEnd w:id="731"/>
      <w:r w:rsidR="005E2129">
        <w:t xml:space="preserve">} </w:t>
      </w:r>
      <w:r>
        <w:t>Mais</w:t>
      </w:r>
      <w:r w:rsidRPr="002C4077">
        <w:t xml:space="preserve"> </w:t>
      </w:r>
      <w:r>
        <w:t>je</w:t>
      </w:r>
      <w:r w:rsidRPr="002C4077">
        <w:t xml:space="preserve"> </w:t>
      </w:r>
      <w:r>
        <w:t>fus</w:t>
      </w:r>
      <w:r w:rsidRPr="002C4077">
        <w:t xml:space="preserve"> </w:t>
      </w:r>
      <w:r>
        <w:t>déçu</w:t>
      </w:r>
      <w:r w:rsidRPr="002C4077">
        <w:t xml:space="preserve"> </w:t>
      </w:r>
      <w:r>
        <w:t>dans</w:t>
      </w:r>
      <w:r w:rsidRPr="002C4077">
        <w:t xml:space="preserve"> </w:t>
      </w:r>
      <w:r>
        <w:t>mon</w:t>
      </w:r>
      <w:r w:rsidRPr="002C4077">
        <w:t xml:space="preserve"> </w:t>
      </w:r>
      <w:r>
        <w:t>attente,</w:t>
      </w:r>
      <w:r w:rsidRPr="002C4077">
        <w:t xml:space="preserve"> </w:t>
      </w:r>
      <w:r>
        <w:t>ou</w:t>
      </w:r>
      <w:r w:rsidRPr="002C4077">
        <w:t xml:space="preserve"> </w:t>
      </w:r>
      <w:r>
        <w:t>du</w:t>
      </w:r>
      <w:r w:rsidRPr="002C4077">
        <w:t xml:space="preserve"> </w:t>
      </w:r>
      <w:r>
        <w:t>moins</w:t>
      </w:r>
      <w:r w:rsidRPr="002C4077">
        <w:t xml:space="preserve"> </w:t>
      </w:r>
      <w:r>
        <w:t>les</w:t>
      </w:r>
      <w:r w:rsidRPr="002C4077">
        <w:t xml:space="preserve"> </w:t>
      </w:r>
      <w:r>
        <w:t>épitaphes</w:t>
      </w:r>
      <w:r w:rsidRPr="002C4077">
        <w:t xml:space="preserve"> </w:t>
      </w:r>
      <w:r>
        <w:t>n’indiquaient</w:t>
      </w:r>
      <w:r w:rsidRPr="002C4077">
        <w:t xml:space="preserve"> </w:t>
      </w:r>
      <w:r>
        <w:t>rien</w:t>
      </w:r>
      <w:r w:rsidRPr="002C4077">
        <w:t xml:space="preserve"> </w:t>
      </w:r>
      <w:r>
        <w:t>de</w:t>
      </w:r>
      <w:r w:rsidRPr="002C4077">
        <w:t xml:space="preserve"> </w:t>
      </w:r>
      <w:r>
        <w:t>particulier.</w:t>
      </w:r>
      <w:r w:rsidRPr="002C4077">
        <w:t xml:space="preserve"> </w:t>
      </w:r>
      <w:r>
        <w:t>Actuellement,</w:t>
      </w:r>
      <w:r w:rsidRPr="002C4077">
        <w:t xml:space="preserve"> </w:t>
      </w:r>
      <w:r>
        <w:t>d’ailleurs,</w:t>
      </w:r>
      <w:r w:rsidRPr="002C4077">
        <w:t xml:space="preserve"> </w:t>
      </w:r>
      <w:r>
        <w:t>les</w:t>
      </w:r>
      <w:r w:rsidRPr="002C4077">
        <w:t xml:space="preserve"> </w:t>
      </w:r>
      <w:r>
        <w:t>Israélites</w:t>
      </w:r>
      <w:r w:rsidRPr="002C4077">
        <w:t xml:space="preserve"> </w:t>
      </w:r>
      <w:r>
        <w:t>font</w:t>
      </w:r>
      <w:r w:rsidRPr="002C4077">
        <w:t xml:space="preserve"> </w:t>
      </w:r>
      <w:r>
        <w:t>profession</w:t>
      </w:r>
      <w:r w:rsidRPr="002C4077">
        <w:t xml:space="preserve"> </w:t>
      </w:r>
      <w:r>
        <w:t>de</w:t>
      </w:r>
      <w:r w:rsidRPr="002C4077">
        <w:t xml:space="preserve"> </w:t>
      </w:r>
      <w:r>
        <w:t>se</w:t>
      </w:r>
      <w:r w:rsidRPr="002C4077">
        <w:t xml:space="preserve"> </w:t>
      </w:r>
      <w:r>
        <w:t>conformer</w:t>
      </w:r>
      <w:r w:rsidRPr="002C4077">
        <w:t xml:space="preserve"> </w:t>
      </w:r>
      <w:r>
        <w:t>au</w:t>
      </w:r>
      <w:r w:rsidRPr="002C4077">
        <w:t xml:space="preserve"> </w:t>
      </w:r>
      <w:r>
        <w:t>principe</w:t>
      </w:r>
      <w:r w:rsidR="00B546AF">
        <w:t> :</w:t>
      </w:r>
      <w:r w:rsidRPr="002C4077">
        <w:t xml:space="preserve"> </w:t>
      </w:r>
      <w:r w:rsidRPr="000A34B5">
        <w:rPr>
          <w:rStyle w:val="italicus"/>
        </w:rPr>
        <w:t>Nil</w:t>
      </w:r>
      <w:r w:rsidRPr="002C4077">
        <w:t xml:space="preserve"> </w:t>
      </w:r>
      <w:r w:rsidRPr="000A34B5">
        <w:rPr>
          <w:rStyle w:val="italicus"/>
        </w:rPr>
        <w:t>de</w:t>
      </w:r>
      <w:r w:rsidRPr="002C4077">
        <w:t xml:space="preserve"> </w:t>
      </w:r>
      <w:r w:rsidRPr="000A34B5">
        <w:rPr>
          <w:rStyle w:val="italicus"/>
        </w:rPr>
        <w:t>m</w:t>
      </w:r>
      <w:r w:rsidR="003B53FD">
        <w:rPr>
          <w:rStyle w:val="italicus"/>
        </w:rPr>
        <w:t>ó</w:t>
      </w:r>
      <w:r w:rsidR="003B53FD" w:rsidRPr="000A34B5">
        <w:rPr>
          <w:rStyle w:val="italicus"/>
        </w:rPr>
        <w:t>rtuis</w:t>
      </w:r>
      <w:r w:rsidRPr="002C4077">
        <w:t xml:space="preserve"> </w:t>
      </w:r>
      <w:r w:rsidRPr="000A34B5">
        <w:rPr>
          <w:rStyle w:val="italicus"/>
        </w:rPr>
        <w:t>nisi</w:t>
      </w:r>
      <w:r w:rsidRPr="002C4077">
        <w:t xml:space="preserve"> </w:t>
      </w:r>
      <w:r w:rsidRPr="000A34B5">
        <w:rPr>
          <w:rStyle w:val="italicus"/>
        </w:rPr>
        <w:t>be</w:t>
      </w:r>
      <w:r w:rsidR="00F6492C" w:rsidRPr="000A34B5">
        <w:rPr>
          <w:rStyle w:val="italicus"/>
        </w:rPr>
        <w:t>ne</w:t>
      </w:r>
      <w:r w:rsidR="00F6492C">
        <w:rPr>
          <w:rStyle w:val="Appelnotedebasdep"/>
          <w:i/>
        </w:rPr>
        <w:footnoteReference w:id="897"/>
      </w:r>
      <w:r w:rsidR="00F6492C" w:rsidRPr="000A34B5">
        <w:rPr>
          <w:rStyle w:val="italicus"/>
        </w:rPr>
        <w:t>.</w:t>
      </w:r>
      <w:r w:rsidRPr="002C4077">
        <w:t xml:space="preserve"> </w:t>
      </w:r>
    </w:p>
    <w:p w:rsidR="005539D9" w:rsidRDefault="005539D9" w:rsidP="000A7AAB"/>
    <w:p w:rsidR="000A7AAB" w:rsidRDefault="000A7AAB" w:rsidP="000A7AAB">
      <w:r>
        <w:t>La</w:t>
      </w:r>
      <w:bookmarkStart w:id="732" w:name="z_CimetieresJuifs_o10"/>
      <w:bookmarkEnd w:id="732"/>
      <w:r w:rsidRPr="002C4077">
        <w:t xml:space="preserve"> </w:t>
      </w:r>
      <w:r>
        <w:t>coutume</w:t>
      </w:r>
      <w:bookmarkStart w:id="733" w:name="z_KeberAboth_o1"/>
      <w:bookmarkEnd w:id="733"/>
      <w:r w:rsidRPr="002C4077">
        <w:t xml:space="preserve"> </w:t>
      </w:r>
      <w:r>
        <w:t>d’aller</w:t>
      </w:r>
      <w:r w:rsidRPr="002C4077">
        <w:t xml:space="preserve"> </w:t>
      </w:r>
      <w:r>
        <w:t>visiter</w:t>
      </w:r>
      <w:r w:rsidRPr="002C4077">
        <w:t xml:space="preserve"> </w:t>
      </w:r>
      <w:r>
        <w:t>les</w:t>
      </w:r>
      <w:r w:rsidRPr="002C4077">
        <w:t xml:space="preserve"> </w:t>
      </w:r>
      <w:r>
        <w:t>tombeaux</w:t>
      </w:r>
      <w:r w:rsidRPr="002C4077">
        <w:t xml:space="preserve"> </w:t>
      </w:r>
      <w:r>
        <w:t>des</w:t>
      </w:r>
      <w:r w:rsidRPr="002C4077">
        <w:t xml:space="preserve"> </w:t>
      </w:r>
      <w:r>
        <w:t>personnes</w:t>
      </w:r>
      <w:r w:rsidRPr="002C4077">
        <w:t xml:space="preserve"> </w:t>
      </w:r>
      <w:r>
        <w:t>auxquelles</w:t>
      </w:r>
      <w:r w:rsidRPr="002C4077">
        <w:t xml:space="preserve"> </w:t>
      </w:r>
      <w:r>
        <w:t>on</w:t>
      </w:r>
      <w:r w:rsidRPr="002C4077">
        <w:t xml:space="preserve"> </w:t>
      </w:r>
      <w:r>
        <w:t>a</w:t>
      </w:r>
      <w:r w:rsidRPr="002C4077">
        <w:t xml:space="preserve"> </w:t>
      </w:r>
      <w:r>
        <w:t>été</w:t>
      </w:r>
      <w:r w:rsidRPr="002C4077">
        <w:t xml:space="preserve"> </w:t>
      </w:r>
      <w:r>
        <w:t>uni</w:t>
      </w:r>
      <w:r w:rsidRPr="002C4077">
        <w:t xml:space="preserve"> </w:t>
      </w:r>
      <w:r>
        <w:t>par</w:t>
      </w:r>
      <w:r w:rsidRPr="002C4077">
        <w:t xml:space="preserve"> </w:t>
      </w:r>
      <w:r>
        <w:t>les</w:t>
      </w:r>
      <w:r w:rsidRPr="002C4077">
        <w:t xml:space="preserve"> </w:t>
      </w:r>
      <w:r>
        <w:t>liens</w:t>
      </w:r>
      <w:r w:rsidRPr="002C4077">
        <w:t xml:space="preserve"> </w:t>
      </w:r>
      <w:r>
        <w:t>du</w:t>
      </w:r>
      <w:r w:rsidRPr="002C4077">
        <w:t xml:space="preserve"> </w:t>
      </w:r>
      <w:r>
        <w:t>sang</w:t>
      </w:r>
      <w:r w:rsidRPr="002C4077">
        <w:t xml:space="preserve"> </w:t>
      </w:r>
      <w:r>
        <w:t>ou</w:t>
      </w:r>
      <w:r w:rsidRPr="002C4077">
        <w:t xml:space="preserve"> </w:t>
      </w:r>
      <w:r>
        <w:t>de</w:t>
      </w:r>
      <w:r w:rsidRPr="002C4077">
        <w:t xml:space="preserve"> </w:t>
      </w:r>
      <w:r>
        <w:t>l’amitié</w:t>
      </w:r>
      <w:r w:rsidRPr="002C4077">
        <w:t xml:space="preserve"> </w:t>
      </w:r>
      <w:r w:rsidR="00425C50">
        <w:t>est</w:t>
      </w:r>
      <w:r w:rsidRPr="002C4077">
        <w:t xml:space="preserve"> </w:t>
      </w:r>
      <w:r>
        <w:t>si</w:t>
      </w:r>
      <w:r w:rsidRPr="002C4077">
        <w:t xml:space="preserve"> </w:t>
      </w:r>
      <w:r>
        <w:t>naturelle,</w:t>
      </w:r>
      <w:r w:rsidRPr="002C4077">
        <w:t xml:space="preserve"> </w:t>
      </w:r>
      <w:r>
        <w:t>qu’on</w:t>
      </w:r>
      <w:r w:rsidRPr="002C4077">
        <w:t xml:space="preserve"> </w:t>
      </w:r>
      <w:r>
        <w:t>la</w:t>
      </w:r>
      <w:r w:rsidRPr="002C4077">
        <w:t xml:space="preserve"> </w:t>
      </w:r>
      <w:r>
        <w:t>rencontre</w:t>
      </w:r>
      <w:r w:rsidRPr="002C4077">
        <w:t xml:space="preserve"> </w:t>
      </w:r>
      <w:r>
        <w:t>à</w:t>
      </w:r>
      <w:r w:rsidRPr="002C4077">
        <w:t xml:space="preserve"> </w:t>
      </w:r>
      <w:r>
        <w:t>peu</w:t>
      </w:r>
      <w:r w:rsidRPr="002C4077">
        <w:t xml:space="preserve"> </w:t>
      </w:r>
      <w:r>
        <w:t>près</w:t>
      </w:r>
      <w:r w:rsidRPr="002C4077">
        <w:t xml:space="preserve"> </w:t>
      </w:r>
      <w:r>
        <w:t>chez</w:t>
      </w:r>
      <w:r w:rsidRPr="002C4077">
        <w:t xml:space="preserve"> </w:t>
      </w:r>
      <w:r>
        <w:t>tous</w:t>
      </w:r>
      <w:r w:rsidRPr="002C4077">
        <w:t xml:space="preserve"> </w:t>
      </w:r>
      <w:r>
        <w:t>les</w:t>
      </w:r>
      <w:r w:rsidRPr="002C4077">
        <w:t xml:space="preserve"> </w:t>
      </w:r>
      <w:r>
        <w:t>peuples</w:t>
      </w:r>
      <w:r w:rsidRPr="002C4077">
        <w:t xml:space="preserve"> </w:t>
      </w:r>
      <w:r>
        <w:t>et</w:t>
      </w:r>
      <w:r w:rsidRPr="002C4077">
        <w:t xml:space="preserve"> </w:t>
      </w:r>
      <w:r>
        <w:t>à</w:t>
      </w:r>
      <w:r w:rsidRPr="002C4077">
        <w:t xml:space="preserve"> </w:t>
      </w:r>
      <w:r>
        <w:t>toutes</w:t>
      </w:r>
      <w:r w:rsidRPr="002C4077">
        <w:t xml:space="preserve"> </w:t>
      </w:r>
      <w:r>
        <w:t>les</w:t>
      </w:r>
      <w:r w:rsidRPr="002C4077">
        <w:t xml:space="preserve"> </w:t>
      </w:r>
      <w:r>
        <w:t>époques.</w:t>
      </w:r>
      <w:r w:rsidRPr="002C4077">
        <w:t xml:space="preserve"> </w:t>
      </w:r>
      <w:r>
        <w:t>Nous</w:t>
      </w:r>
      <w:r w:rsidRPr="002C4077">
        <w:t xml:space="preserve"> </w:t>
      </w:r>
      <w:r>
        <w:t>savons</w:t>
      </w:r>
      <w:r w:rsidRPr="002C4077">
        <w:t xml:space="preserve"> </w:t>
      </w:r>
      <w:r>
        <w:t>d’une</w:t>
      </w:r>
      <w:r w:rsidRPr="002C4077">
        <w:t xml:space="preserve"> </w:t>
      </w:r>
      <w:r>
        <w:t>manière</w:t>
      </w:r>
      <w:r w:rsidRPr="002C4077">
        <w:t xml:space="preserve"> </w:t>
      </w:r>
      <w:r>
        <w:t>certaine</w:t>
      </w:r>
      <w:r w:rsidRPr="002C4077">
        <w:t xml:space="preserve"> </w:t>
      </w:r>
      <w:r>
        <w:t>par</w:t>
      </w:r>
      <w:r w:rsidRPr="002C4077">
        <w:t xml:space="preserve"> </w:t>
      </w:r>
      <w:r>
        <w:t>les</w:t>
      </w:r>
      <w:r w:rsidRPr="002C4077">
        <w:t xml:space="preserve"> </w:t>
      </w:r>
      <w:r>
        <w:t>saints</w:t>
      </w:r>
      <w:r w:rsidRPr="002C4077">
        <w:t xml:space="preserve"> </w:t>
      </w:r>
      <w:r>
        <w:t>Évangiles</w:t>
      </w:r>
      <w:r w:rsidRPr="002C4077">
        <w:t xml:space="preserve"> </w:t>
      </w:r>
      <w:r w:rsidR="00B91AF7">
        <w:rPr>
          <w:rStyle w:val="Appelnotedebasdep"/>
        </w:rPr>
        <w:footnoteReference w:id="898"/>
      </w:r>
      <w:r w:rsidRPr="002C4077">
        <w:t xml:space="preserve"> </w:t>
      </w:r>
      <w:r>
        <w:t>qu’elle</w:t>
      </w:r>
      <w:r w:rsidRPr="002C4077">
        <w:t xml:space="preserve"> </w:t>
      </w:r>
      <w:r>
        <w:t>existait</w:t>
      </w:r>
      <w:r w:rsidRPr="002C4077">
        <w:t xml:space="preserve"> </w:t>
      </w:r>
      <w:r>
        <w:t>en</w:t>
      </w:r>
      <w:r w:rsidRPr="002C4077">
        <w:t xml:space="preserve"> </w:t>
      </w:r>
      <w:r>
        <w:t>Palestine</w:t>
      </w:r>
      <w:r w:rsidRPr="002C4077">
        <w:t xml:space="preserve"> </w:t>
      </w:r>
      <w:r>
        <w:t>au</w:t>
      </w:r>
      <w:r w:rsidRPr="002C4077">
        <w:t xml:space="preserve"> </w:t>
      </w:r>
      <w:r>
        <w:t>temps</w:t>
      </w:r>
      <w:r w:rsidRPr="002C4077">
        <w:t xml:space="preserve"> </w:t>
      </w:r>
      <w:r>
        <w:t>de</w:t>
      </w:r>
      <w:r w:rsidRPr="002C4077">
        <w:t xml:space="preserve"> </w:t>
      </w:r>
      <w:r>
        <w:t>Notre</w:t>
      </w:r>
      <w:r w:rsidRPr="002C4077">
        <w:t xml:space="preserve"> </w:t>
      </w:r>
      <w:r>
        <w:t>Seigneur</w:t>
      </w:r>
      <w:r w:rsidRPr="002C4077">
        <w:t xml:space="preserve"> </w:t>
      </w:r>
      <w:r w:rsidR="00425C50">
        <w:t>Jésus</w:t>
      </w:r>
      <w:r>
        <w:t>-</w:t>
      </w:r>
      <w:r w:rsidR="00425C50">
        <w:t>Christ</w:t>
      </w:r>
      <w:r>
        <w:t>.</w:t>
      </w:r>
      <w:r w:rsidRPr="002C4077">
        <w:t xml:space="preserve"> </w:t>
      </w:r>
      <w:r>
        <w:t>Le</w:t>
      </w:r>
      <w:r w:rsidRPr="002C4077">
        <w:t xml:space="preserve"> </w:t>
      </w:r>
      <w:r>
        <w:t>Talmud</w:t>
      </w:r>
      <w:r w:rsidRPr="002C4077">
        <w:t xml:space="preserve"> </w:t>
      </w:r>
      <w:r>
        <w:t>nous</w:t>
      </w:r>
      <w:r w:rsidRPr="002C4077">
        <w:t xml:space="preserve"> </w:t>
      </w:r>
      <w:r>
        <w:t>apprend</w:t>
      </w:r>
      <w:r w:rsidRPr="002C4077">
        <w:t xml:space="preserve"> </w:t>
      </w:r>
      <w:r>
        <w:t>en</w:t>
      </w:r>
      <w:r w:rsidRPr="002C4077">
        <w:t xml:space="preserve"> </w:t>
      </w:r>
      <w:r>
        <w:t>outre</w:t>
      </w:r>
      <w:r w:rsidRPr="002C4077">
        <w:t xml:space="preserve"> </w:t>
      </w:r>
      <w:r>
        <w:t>que,</w:t>
      </w:r>
      <w:r w:rsidRPr="002C4077">
        <w:t xml:space="preserve"> </w:t>
      </w:r>
      <w:r>
        <w:t>souvent,</w:t>
      </w:r>
      <w:r w:rsidRPr="002C4077">
        <w:t xml:space="preserve"> </w:t>
      </w:r>
      <w:r>
        <w:t>les</w:t>
      </w:r>
      <w:r w:rsidRPr="002C4077">
        <w:t xml:space="preserve"> </w:t>
      </w:r>
      <w:r>
        <w:t>sépultures</w:t>
      </w:r>
      <w:r w:rsidRPr="002C4077">
        <w:t xml:space="preserve"> </w:t>
      </w:r>
      <w:r>
        <w:t>des</w:t>
      </w:r>
      <w:r w:rsidRPr="002C4077">
        <w:t xml:space="preserve"> </w:t>
      </w:r>
      <w:r>
        <w:t>hommes</w:t>
      </w:r>
      <w:r w:rsidRPr="002C4077">
        <w:t xml:space="preserve"> </w:t>
      </w:r>
      <w:r>
        <w:t>réputés</w:t>
      </w:r>
      <w:r w:rsidRPr="002C4077">
        <w:t xml:space="preserve"> </w:t>
      </w:r>
      <w:r>
        <w:t>saints</w:t>
      </w:r>
      <w:r w:rsidRPr="002C4077">
        <w:t xml:space="preserve"> </w:t>
      </w:r>
      <w:r>
        <w:t>dans</w:t>
      </w:r>
      <w:r w:rsidRPr="002C4077">
        <w:t xml:space="preserve"> </w:t>
      </w:r>
      <w:r>
        <w:t>le</w:t>
      </w:r>
      <w:r w:rsidRPr="002C4077">
        <w:t xml:space="preserve"> </w:t>
      </w:r>
      <w:r>
        <w:t>monde</w:t>
      </w:r>
      <w:r w:rsidRPr="002C4077">
        <w:t xml:space="preserve"> </w:t>
      </w:r>
      <w:r>
        <w:t>israélite</w:t>
      </w:r>
      <w:r w:rsidRPr="002C4077">
        <w:t xml:space="preserve"> </w:t>
      </w:r>
      <w:r>
        <w:t>attiraient</w:t>
      </w:r>
      <w:r w:rsidRPr="002C4077">
        <w:t xml:space="preserve"> </w:t>
      </w:r>
      <w:r>
        <w:t>de</w:t>
      </w:r>
      <w:r w:rsidRPr="002C4077">
        <w:t xml:space="preserve"> </w:t>
      </w:r>
      <w:r>
        <w:t>grands</w:t>
      </w:r>
      <w:r w:rsidRPr="002C4077">
        <w:t xml:space="preserve"> </w:t>
      </w:r>
      <w:r>
        <w:t>concours</w:t>
      </w:r>
      <w:r w:rsidRPr="002C4077">
        <w:t xml:space="preserve"> </w:t>
      </w:r>
      <w:r>
        <w:t>de</w:t>
      </w:r>
      <w:r w:rsidRPr="002C4077">
        <w:t xml:space="preserve"> </w:t>
      </w:r>
      <w:r>
        <w:t>peuple,</w:t>
      </w:r>
      <w:r w:rsidRPr="002C4077">
        <w:t xml:space="preserve"> </w:t>
      </w:r>
      <w:r>
        <w:t>et</w:t>
      </w:r>
      <w:r w:rsidRPr="002C4077">
        <w:t xml:space="preserve"> </w:t>
      </w:r>
      <w:r>
        <w:t>servaient</w:t>
      </w:r>
      <w:r w:rsidRPr="002C4077">
        <w:t xml:space="preserve"> </w:t>
      </w:r>
      <w:r>
        <w:t>de</w:t>
      </w:r>
      <w:r w:rsidRPr="002C4077">
        <w:t xml:space="preserve"> </w:t>
      </w:r>
      <w:r>
        <w:t>théâtre</w:t>
      </w:r>
      <w:r w:rsidRPr="002C4077">
        <w:t xml:space="preserve"> </w:t>
      </w:r>
      <w:r>
        <w:t>à</w:t>
      </w:r>
      <w:r w:rsidRPr="002C4077">
        <w:t xml:space="preserve"> </w:t>
      </w:r>
      <w:r>
        <w:t>des</w:t>
      </w:r>
      <w:r w:rsidRPr="002C4077">
        <w:t xml:space="preserve"> </w:t>
      </w:r>
      <w:r>
        <w:t>assemblées</w:t>
      </w:r>
      <w:r w:rsidRPr="002C4077">
        <w:t xml:space="preserve"> </w:t>
      </w:r>
      <w:r>
        <w:t>religieuses.</w:t>
      </w:r>
      <w:r w:rsidRPr="002C4077">
        <w:t xml:space="preserve"> </w:t>
      </w:r>
      <w:r>
        <w:t>Toutefois,</w:t>
      </w:r>
      <w:r w:rsidRPr="002C4077">
        <w:t xml:space="preserve"> </w:t>
      </w:r>
      <w:r>
        <w:t>quand</w:t>
      </w:r>
      <w:r w:rsidRPr="002C4077">
        <w:t xml:space="preserve"> </w:t>
      </w:r>
      <w:r>
        <w:t>le</w:t>
      </w:r>
      <w:r w:rsidRPr="002C4077">
        <w:t xml:space="preserve"> </w:t>
      </w:r>
      <w:r>
        <w:t>pharisaïsme</w:t>
      </w:r>
      <w:bookmarkStart w:id="734" w:name="z_Pharisiens_o2"/>
      <w:bookmarkEnd w:id="734"/>
      <w:r w:rsidRPr="002C4077">
        <w:t xml:space="preserve"> </w:t>
      </w:r>
      <w:r>
        <w:t>se</w:t>
      </w:r>
      <w:r w:rsidRPr="002C4077">
        <w:t xml:space="preserve"> </w:t>
      </w:r>
      <w:r>
        <w:t>mit</w:t>
      </w:r>
      <w:r w:rsidRPr="002C4077">
        <w:t xml:space="preserve"> </w:t>
      </w:r>
      <w:r>
        <w:t>à</w:t>
      </w:r>
      <w:r w:rsidRPr="002C4077">
        <w:t xml:space="preserve"> </w:t>
      </w:r>
      <w:r>
        <w:t>enserrer</w:t>
      </w:r>
      <w:r w:rsidRPr="002C4077">
        <w:t xml:space="preserve"> </w:t>
      </w:r>
      <w:r>
        <w:t>de</w:t>
      </w:r>
      <w:r w:rsidRPr="002C4077">
        <w:t xml:space="preserve"> </w:t>
      </w:r>
      <w:r>
        <w:t>toutes</w:t>
      </w:r>
      <w:r w:rsidRPr="002C4077">
        <w:t xml:space="preserve"> </w:t>
      </w:r>
      <w:r>
        <w:t>parts</w:t>
      </w:r>
      <w:r w:rsidRPr="002C4077">
        <w:t xml:space="preserve"> </w:t>
      </w:r>
      <w:r>
        <w:t>la</w:t>
      </w:r>
      <w:r w:rsidRPr="002C4077">
        <w:t xml:space="preserve"> </w:t>
      </w:r>
      <w:r>
        <w:t>vie</w:t>
      </w:r>
      <w:r w:rsidRPr="002C4077">
        <w:t xml:space="preserve"> </w:t>
      </w:r>
      <w:r>
        <w:t>juive,</w:t>
      </w:r>
      <w:r w:rsidRPr="002C4077">
        <w:t xml:space="preserve"> </w:t>
      </w:r>
      <w:r>
        <w:t>au</w:t>
      </w:r>
      <w:r w:rsidRPr="002C4077">
        <w:t xml:space="preserve"> </w:t>
      </w:r>
      <w:r>
        <w:t>moyen</w:t>
      </w:r>
      <w:r w:rsidRPr="002C4077">
        <w:t xml:space="preserve"> </w:t>
      </w:r>
      <w:r>
        <w:t>de</w:t>
      </w:r>
      <w:r w:rsidRPr="002C4077">
        <w:t xml:space="preserve"> </w:t>
      </w:r>
      <w:r>
        <w:t>ses</w:t>
      </w:r>
      <w:r w:rsidRPr="002C4077">
        <w:t xml:space="preserve"> </w:t>
      </w:r>
      <w:r>
        <w:t>mille</w:t>
      </w:r>
      <w:r w:rsidRPr="002C4077">
        <w:t xml:space="preserve"> </w:t>
      </w:r>
      <w:r>
        <w:t>prescriptions</w:t>
      </w:r>
      <w:r w:rsidRPr="002C4077">
        <w:t xml:space="preserve"> </w:t>
      </w:r>
      <w:r>
        <w:t>semblables</w:t>
      </w:r>
      <w:r w:rsidRPr="002C4077">
        <w:t xml:space="preserve"> </w:t>
      </w:r>
      <w:r>
        <w:t>à</w:t>
      </w:r>
      <w:r w:rsidRPr="002C4077">
        <w:t xml:space="preserve"> </w:t>
      </w:r>
      <w:r>
        <w:t>un</w:t>
      </w:r>
      <w:r w:rsidRPr="002C4077">
        <w:t xml:space="preserve"> </w:t>
      </w:r>
      <w:r>
        <w:t>réseau</w:t>
      </w:r>
      <w:r w:rsidRPr="002C4077">
        <w:t xml:space="preserve"> </w:t>
      </w:r>
      <w:r>
        <w:t>aux</w:t>
      </w:r>
      <w:r w:rsidRPr="002C4077">
        <w:t xml:space="preserve"> </w:t>
      </w:r>
      <w:r>
        <w:t>mailles</w:t>
      </w:r>
      <w:r w:rsidRPr="002C4077">
        <w:t xml:space="preserve"> </w:t>
      </w:r>
      <w:r>
        <w:t>étroite</w:t>
      </w:r>
      <w:r w:rsidR="004377BC">
        <w:t>s</w:t>
      </w:r>
      <w:r w:rsidR="004377BC">
        <w:rPr>
          <w:rStyle w:val="Appelnotedebasdep"/>
        </w:rPr>
        <w:footnoteReference w:id="899"/>
      </w:r>
      <w:r>
        <w:t>,</w:t>
      </w:r>
      <w:r w:rsidRPr="002C4077">
        <w:t xml:space="preserve"> </w:t>
      </w:r>
      <w:r>
        <w:t>le</w:t>
      </w:r>
      <w:r w:rsidR="00B41F89" w:rsidRPr="002C4077">
        <w:t xml:space="preserve"> </w:t>
      </w:r>
      <w:r w:rsidR="00B41F89">
        <w:rPr>
          <w:rStyle w:val="italicus"/>
        </w:rPr>
        <w:t>Kéber</w:t>
      </w:r>
      <w:r w:rsidR="00B41F89" w:rsidRPr="002C4077">
        <w:t xml:space="preserve"> </w:t>
      </w:r>
      <w:r w:rsidR="00B41F89">
        <w:rPr>
          <w:rStyle w:val="italicus"/>
        </w:rPr>
        <w:t>abô</w:t>
      </w:r>
      <w:r w:rsidR="00F6492C" w:rsidRPr="000A34B5">
        <w:rPr>
          <w:rStyle w:val="italicus"/>
        </w:rPr>
        <w:t>t</w:t>
      </w:r>
      <w:r w:rsidR="00B41F89">
        <w:rPr>
          <w:rStyle w:val="italicus"/>
        </w:rPr>
        <w:t>h</w:t>
      </w:r>
      <w:r w:rsidR="00F6492C">
        <w:rPr>
          <w:rStyle w:val="Appelnotedebasdep"/>
          <w:i/>
        </w:rPr>
        <w:footnoteReference w:id="900"/>
      </w:r>
      <w:r w:rsidR="00F6492C" w:rsidRPr="000A34B5">
        <w:rPr>
          <w:rStyle w:val="italicus"/>
        </w:rPr>
        <w:t>,</w:t>
      </w:r>
      <w:r w:rsidRPr="002C4077">
        <w:t xml:space="preserve"> </w:t>
      </w:r>
      <w:r>
        <w:t>—</w:t>
      </w:r>
      <w:r w:rsidRPr="002C4077">
        <w:t xml:space="preserve"> </w:t>
      </w:r>
      <w:r>
        <w:t>telle</w:t>
      </w:r>
      <w:r w:rsidRPr="002C4077">
        <w:t xml:space="preserve"> </w:t>
      </w:r>
      <w:r w:rsidR="00425C50">
        <w:t>est</w:t>
      </w:r>
      <w:r w:rsidRPr="002C4077">
        <w:t xml:space="preserve"> </w:t>
      </w:r>
      <w:r>
        <w:t>la</w:t>
      </w:r>
      <w:r w:rsidRPr="002C4077">
        <w:t xml:space="preserve"> </w:t>
      </w:r>
      <w:r>
        <w:t>dénomination</w:t>
      </w:r>
      <w:r w:rsidRPr="002C4077">
        <w:t xml:space="preserve"> </w:t>
      </w:r>
      <w:r>
        <w:t>technique</w:t>
      </w:r>
      <w:r w:rsidRPr="002C4077">
        <w:t xml:space="preserve"> </w:t>
      </w:r>
      <w:r>
        <w:t>des</w:t>
      </w:r>
      <w:r w:rsidRPr="002C4077">
        <w:t xml:space="preserve"> </w:t>
      </w:r>
      <w:r>
        <w:t>visites</w:t>
      </w:r>
      <w:r w:rsidRPr="002C4077">
        <w:t xml:space="preserve"> </w:t>
      </w:r>
      <w:r>
        <w:t>faites</w:t>
      </w:r>
      <w:r w:rsidRPr="002C4077">
        <w:t xml:space="preserve"> </w:t>
      </w:r>
      <w:r>
        <w:t>aux</w:t>
      </w:r>
      <w:r w:rsidRPr="002C4077">
        <w:t xml:space="preserve"> </w:t>
      </w:r>
      <w:r>
        <w:t>tombeaux,</w:t>
      </w:r>
      <w:r w:rsidRPr="002C4077">
        <w:t xml:space="preserve"> </w:t>
      </w:r>
      <w:r>
        <w:t>—</w:t>
      </w:r>
      <w:r w:rsidRPr="002C4077">
        <w:t xml:space="preserve"> </w:t>
      </w:r>
      <w:r>
        <w:t>n’échappa</w:t>
      </w:r>
      <w:r w:rsidRPr="002C4077">
        <w:t xml:space="preserve"> </w:t>
      </w:r>
      <w:r>
        <w:t>pas</w:t>
      </w:r>
      <w:r w:rsidRPr="002C4077">
        <w:t xml:space="preserve"> </w:t>
      </w:r>
      <w:r>
        <w:t>plus</w:t>
      </w:r>
      <w:r w:rsidRPr="002C4077">
        <w:t xml:space="preserve"> </w:t>
      </w:r>
      <w:r>
        <w:t>que</w:t>
      </w:r>
      <w:r w:rsidRPr="002C4077">
        <w:t xml:space="preserve"> </w:t>
      </w:r>
      <w:r>
        <w:t>le</w:t>
      </w:r>
      <w:r w:rsidRPr="002C4077">
        <w:t xml:space="preserve"> </w:t>
      </w:r>
      <w:r>
        <w:t>reste</w:t>
      </w:r>
      <w:r w:rsidRPr="002C4077">
        <w:t xml:space="preserve"> </w:t>
      </w:r>
      <w:r>
        <w:t>à</w:t>
      </w:r>
      <w:r w:rsidRPr="002C4077">
        <w:t xml:space="preserve"> </w:t>
      </w:r>
      <w:r>
        <w:t>cette</w:t>
      </w:r>
      <w:r w:rsidRPr="002C4077">
        <w:t xml:space="preserve"> </w:t>
      </w:r>
      <w:r>
        <w:t>démangeaison</w:t>
      </w:r>
      <w:r w:rsidRPr="002C4077">
        <w:t xml:space="preserve"> </w:t>
      </w:r>
      <w:r>
        <w:t>de</w:t>
      </w:r>
      <w:r w:rsidRPr="002C4077">
        <w:t xml:space="preserve"> </w:t>
      </w:r>
      <w:r>
        <w:t>légiférer</w:t>
      </w:r>
      <w:r w:rsidRPr="002C4077">
        <w:t xml:space="preserve"> </w:t>
      </w:r>
      <w:r>
        <w:t>en</w:t>
      </w:r>
      <w:r w:rsidRPr="002C4077">
        <w:t xml:space="preserve"> </w:t>
      </w:r>
      <w:r>
        <w:t>tout.</w:t>
      </w:r>
      <w:r w:rsidRPr="002C4077">
        <w:t xml:space="preserve"> </w:t>
      </w:r>
    </w:p>
    <w:p w:rsidR="000A7AAB" w:rsidRDefault="000A7AAB" w:rsidP="000A7AAB">
      <w:r>
        <w:t>Il</w:t>
      </w:r>
      <w:r w:rsidRPr="002C4077">
        <w:t xml:space="preserve"> </w:t>
      </w:r>
      <w:r>
        <w:t>y</w:t>
      </w:r>
      <w:r w:rsidRPr="002C4077">
        <w:t xml:space="preserve"> </w:t>
      </w:r>
      <w:r>
        <w:t>eut</w:t>
      </w:r>
      <w:r w:rsidRPr="002C4077">
        <w:t xml:space="preserve"> </w:t>
      </w:r>
      <w:r>
        <w:t>alors</w:t>
      </w:r>
      <w:r w:rsidRPr="002C4077">
        <w:t xml:space="preserve"> </w:t>
      </w:r>
      <w:r>
        <w:t>les</w:t>
      </w:r>
      <w:r w:rsidRPr="002C4077">
        <w:t xml:space="preserve"> </w:t>
      </w:r>
      <w:r>
        <w:t>jours</w:t>
      </w:r>
      <w:r w:rsidRPr="002C4077">
        <w:t xml:space="preserve"> </w:t>
      </w:r>
      <w:r w:rsidRPr="000A34B5">
        <w:rPr>
          <w:rStyle w:val="italicus"/>
        </w:rPr>
        <w:t>prescrits,</w:t>
      </w:r>
      <w:r w:rsidRPr="002C4077">
        <w:t xml:space="preserve"> </w:t>
      </w:r>
      <w:r>
        <w:t>les</w:t>
      </w:r>
      <w:r w:rsidRPr="002C4077">
        <w:t xml:space="preserve"> </w:t>
      </w:r>
      <w:r>
        <w:t>jours</w:t>
      </w:r>
      <w:r w:rsidRPr="002C4077">
        <w:t xml:space="preserve"> </w:t>
      </w:r>
      <w:r>
        <w:t>simplement</w:t>
      </w:r>
      <w:r w:rsidRPr="002C4077">
        <w:t xml:space="preserve"> </w:t>
      </w:r>
      <w:r w:rsidRPr="000A34B5">
        <w:rPr>
          <w:rStyle w:val="italicus"/>
        </w:rPr>
        <w:t>recommandés,</w:t>
      </w:r>
      <w:r w:rsidRPr="002C4077">
        <w:t xml:space="preserve"> </w:t>
      </w:r>
      <w:r>
        <w:t>les</w:t>
      </w:r>
      <w:r w:rsidRPr="002C4077">
        <w:t xml:space="preserve"> </w:t>
      </w:r>
      <w:r>
        <w:t>jours</w:t>
      </w:r>
      <w:r w:rsidRPr="002C4077">
        <w:t xml:space="preserve"> </w:t>
      </w:r>
      <w:r>
        <w:t>tout</w:t>
      </w:r>
      <w:r w:rsidRPr="002C4077">
        <w:t xml:space="preserve"> </w:t>
      </w:r>
      <w:r>
        <w:t>à</w:t>
      </w:r>
      <w:r w:rsidRPr="002C4077">
        <w:t xml:space="preserve"> </w:t>
      </w:r>
      <w:r>
        <w:t>fait</w:t>
      </w:r>
      <w:r w:rsidRPr="002C4077">
        <w:t xml:space="preserve"> </w:t>
      </w:r>
      <w:r w:rsidRPr="000A34B5">
        <w:rPr>
          <w:rStyle w:val="italicus"/>
        </w:rPr>
        <w:t>interdits.</w:t>
      </w:r>
      <w:r w:rsidRPr="002C4077">
        <w:t xml:space="preserve"> </w:t>
      </w:r>
    </w:p>
    <w:p w:rsidR="000A7AAB" w:rsidRDefault="000A7AAB" w:rsidP="000A7AAB">
      <w:r>
        <w:t>Les</w:t>
      </w:r>
      <w:r w:rsidRPr="002C4077">
        <w:t xml:space="preserve"> </w:t>
      </w:r>
      <w:r>
        <w:t>jours</w:t>
      </w:r>
      <w:r w:rsidRPr="002C4077">
        <w:t xml:space="preserve"> </w:t>
      </w:r>
      <w:r>
        <w:t>prescrits.</w:t>
      </w:r>
      <w:r w:rsidRPr="002C4077">
        <w:t xml:space="preserve"> </w:t>
      </w:r>
      <w:r>
        <w:t>Pendant</w:t>
      </w:r>
      <w:r w:rsidRPr="002C4077">
        <w:t xml:space="preserve"> </w:t>
      </w:r>
      <w:r>
        <w:t>une</w:t>
      </w:r>
      <w:r w:rsidRPr="002C4077">
        <w:t xml:space="preserve"> </w:t>
      </w:r>
      <w:r>
        <w:t>année</w:t>
      </w:r>
      <w:r w:rsidRPr="002C4077">
        <w:t xml:space="preserve"> </w:t>
      </w:r>
      <w:r>
        <w:t>entière</w:t>
      </w:r>
      <w:r w:rsidRPr="002C4077">
        <w:t xml:space="preserve"> </w:t>
      </w:r>
      <w:r>
        <w:t>on</w:t>
      </w:r>
      <w:r w:rsidRPr="002C4077">
        <w:t xml:space="preserve"> </w:t>
      </w:r>
      <w:r>
        <w:t>devait,</w:t>
      </w:r>
      <w:r w:rsidRPr="002C4077">
        <w:t xml:space="preserve"> </w:t>
      </w:r>
      <w:r>
        <w:t>comme</w:t>
      </w:r>
      <w:r w:rsidRPr="002C4077">
        <w:t xml:space="preserve"> </w:t>
      </w:r>
      <w:r>
        <w:t>cela</w:t>
      </w:r>
      <w:r w:rsidRPr="002C4077">
        <w:t xml:space="preserve"> </w:t>
      </w:r>
      <w:r>
        <w:t>se</w:t>
      </w:r>
      <w:r w:rsidRPr="002C4077">
        <w:t xml:space="preserve"> </w:t>
      </w:r>
      <w:r>
        <w:t>pratique</w:t>
      </w:r>
      <w:r w:rsidRPr="002C4077">
        <w:t xml:space="preserve"> </w:t>
      </w:r>
      <w:r>
        <w:t>encore</w:t>
      </w:r>
      <w:r w:rsidRPr="002C4077">
        <w:t xml:space="preserve"> </w:t>
      </w:r>
      <w:r>
        <w:t>en</w:t>
      </w:r>
      <w:r w:rsidRPr="002C4077">
        <w:t xml:space="preserve"> </w:t>
      </w:r>
      <w:r>
        <w:t>diverses</w:t>
      </w:r>
      <w:r w:rsidRPr="002C4077">
        <w:t xml:space="preserve"> </w:t>
      </w:r>
      <w:r>
        <w:t>contrées</w:t>
      </w:r>
      <w:r w:rsidR="00B91AF7">
        <w:rPr>
          <w:rStyle w:val="Appelnotedebasdep"/>
        </w:rPr>
        <w:footnoteReference w:id="901"/>
      </w:r>
      <w:r>
        <w:t>,</w:t>
      </w:r>
      <w:r w:rsidRPr="002C4077">
        <w:t xml:space="preserve"> </w:t>
      </w:r>
      <w:r>
        <w:t>se</w:t>
      </w:r>
      <w:r w:rsidRPr="002C4077">
        <w:t xml:space="preserve"> </w:t>
      </w:r>
      <w:r>
        <w:t>rendre</w:t>
      </w:r>
      <w:r w:rsidRPr="002C4077">
        <w:t xml:space="preserve"> </w:t>
      </w:r>
      <w:r>
        <w:t>une</w:t>
      </w:r>
      <w:r w:rsidRPr="002C4077">
        <w:t xml:space="preserve"> </w:t>
      </w:r>
      <w:r>
        <w:t>fois</w:t>
      </w:r>
      <w:r w:rsidRPr="002C4077">
        <w:t xml:space="preserve"> </w:t>
      </w:r>
      <w:r>
        <w:t>par</w:t>
      </w:r>
      <w:r w:rsidRPr="002C4077">
        <w:t xml:space="preserve"> </w:t>
      </w:r>
      <w:r>
        <w:t>semaine</w:t>
      </w:r>
      <w:r w:rsidRPr="002C4077">
        <w:t xml:space="preserve"> </w:t>
      </w:r>
      <w:r>
        <w:t>sur</w:t>
      </w:r>
      <w:r w:rsidRPr="002C4077">
        <w:t xml:space="preserve"> </w:t>
      </w:r>
      <w:r>
        <w:t>la</w:t>
      </w:r>
      <w:r w:rsidRPr="002C4077">
        <w:t xml:space="preserve"> </w:t>
      </w:r>
      <w:r>
        <w:t>tombe</w:t>
      </w:r>
      <w:r w:rsidRPr="002C4077">
        <w:t xml:space="preserve"> </w:t>
      </w:r>
      <w:r>
        <w:t>des</w:t>
      </w:r>
      <w:r w:rsidRPr="002C4077">
        <w:t xml:space="preserve"> </w:t>
      </w:r>
      <w:r>
        <w:t>parents</w:t>
      </w:r>
      <w:r w:rsidRPr="002C4077">
        <w:t xml:space="preserve"> </w:t>
      </w:r>
      <w:r>
        <w:t>qu’on</w:t>
      </w:r>
      <w:r w:rsidRPr="002C4077">
        <w:t xml:space="preserve"> </w:t>
      </w:r>
      <w:r>
        <w:t>avait</w:t>
      </w:r>
      <w:r w:rsidRPr="002C4077">
        <w:t xml:space="preserve"> </w:t>
      </w:r>
      <w:r>
        <w:t>eu</w:t>
      </w:r>
      <w:r w:rsidRPr="002C4077">
        <w:t xml:space="preserve"> </w:t>
      </w:r>
      <w:r>
        <w:t>le</w:t>
      </w:r>
      <w:r w:rsidRPr="002C4077">
        <w:t xml:space="preserve"> </w:t>
      </w:r>
      <w:r>
        <w:t>malheur</w:t>
      </w:r>
      <w:r w:rsidRPr="002C4077">
        <w:t xml:space="preserve"> </w:t>
      </w:r>
      <w:r>
        <w:t>de</w:t>
      </w:r>
      <w:r w:rsidRPr="002C4077">
        <w:t xml:space="preserve"> </w:t>
      </w:r>
      <w:r>
        <w:t>perdre.</w:t>
      </w:r>
      <w:r w:rsidRPr="002C4077">
        <w:t xml:space="preserve"> </w:t>
      </w:r>
    </w:p>
    <w:p w:rsidR="000A7AAB" w:rsidRDefault="000A7AAB" w:rsidP="000A7AAB">
      <w:r>
        <w:lastRenderedPageBreak/>
        <w:t>Les</w:t>
      </w:r>
      <w:r w:rsidRPr="002C4077">
        <w:t xml:space="preserve"> </w:t>
      </w:r>
      <w:r>
        <w:t>jours</w:t>
      </w:r>
      <w:r w:rsidRPr="002C4077">
        <w:t xml:space="preserve"> </w:t>
      </w:r>
      <w:r>
        <w:t>recommandés</w:t>
      </w:r>
      <w:r w:rsidRPr="002C4077">
        <w:t xml:space="preserve"> </w:t>
      </w:r>
      <w:r>
        <w:t>étaient</w:t>
      </w:r>
      <w:r w:rsidR="00B546AF">
        <w:t> :</w:t>
      </w:r>
      <w:r w:rsidRPr="002C4077">
        <w:t xml:space="preserve"> </w:t>
      </w:r>
      <w:r>
        <w:t>1°</w:t>
      </w:r>
      <w:r w:rsidRPr="002C4077">
        <w:t xml:space="preserve"> </w:t>
      </w:r>
      <w:r>
        <w:t>la</w:t>
      </w:r>
      <w:r w:rsidRPr="002C4077">
        <w:t xml:space="preserve"> </w:t>
      </w:r>
      <w:r>
        <w:t>vigile</w:t>
      </w:r>
      <w:r w:rsidRPr="002C4077">
        <w:t xml:space="preserve"> </w:t>
      </w:r>
      <w:r>
        <w:t>du</w:t>
      </w:r>
      <w:r w:rsidRPr="002C4077">
        <w:t xml:space="preserve"> </w:t>
      </w:r>
      <w:r w:rsidRPr="000A34B5">
        <w:rPr>
          <w:rStyle w:val="italicus"/>
        </w:rPr>
        <w:t>Rôsc</w:t>
      </w:r>
      <w:r w:rsidR="001730C6" w:rsidRPr="000A34B5">
        <w:rPr>
          <w:rStyle w:val="italicus"/>
        </w:rPr>
        <w:t>h</w:t>
      </w:r>
      <w:r w:rsidR="004131B2">
        <w:rPr>
          <w:rStyle w:val="italicus"/>
        </w:rPr>
        <w:t>-</w:t>
      </w:r>
      <w:r w:rsidR="001730C6" w:rsidRPr="000A34B5">
        <w:rPr>
          <w:rStyle w:val="italicus"/>
        </w:rPr>
        <w:t>h</w:t>
      </w:r>
      <w:r w:rsidR="004131B2">
        <w:rPr>
          <w:rStyle w:val="italicus"/>
        </w:rPr>
        <w:t>aschonnah</w:t>
      </w:r>
      <w:r w:rsidR="004131B2">
        <w:rPr>
          <w:rStyle w:val="Appelnotedebasdep"/>
          <w:i/>
        </w:rPr>
        <w:footnoteReference w:id="902"/>
      </w:r>
      <w:r w:rsidRPr="000A34B5">
        <w:rPr>
          <w:rStyle w:val="italicus"/>
        </w:rPr>
        <w:t>,</w:t>
      </w:r>
      <w:r w:rsidR="00C45B47">
        <w:t xml:space="preserve"> {</w:t>
      </w:r>
      <w:r w:rsidR="005E2129">
        <w:t>303</w:t>
      </w:r>
      <w:bookmarkStart w:id="735" w:name="p303"/>
      <w:bookmarkEnd w:id="735"/>
      <w:r w:rsidR="005E2129">
        <w:t xml:space="preserve">} </w:t>
      </w:r>
      <w:r>
        <w:t>2°</w:t>
      </w:r>
      <w:r w:rsidRPr="002C4077">
        <w:t xml:space="preserve"> </w:t>
      </w:r>
      <w:r>
        <w:t>celle</w:t>
      </w:r>
      <w:r w:rsidRPr="002C4077">
        <w:t xml:space="preserve"> </w:t>
      </w:r>
      <w:r>
        <w:t>du</w:t>
      </w:r>
      <w:r w:rsidR="004131B2" w:rsidRPr="002C4077">
        <w:t xml:space="preserve"> </w:t>
      </w:r>
      <w:r w:rsidR="004131B2">
        <w:rPr>
          <w:rStyle w:val="italicus"/>
        </w:rPr>
        <w:t>Yô</w:t>
      </w:r>
      <w:r w:rsidRPr="000A34B5">
        <w:rPr>
          <w:rStyle w:val="italicus"/>
        </w:rPr>
        <w:t>m</w:t>
      </w:r>
      <w:r w:rsidRPr="002C4077">
        <w:t xml:space="preserve"> </w:t>
      </w:r>
      <w:r w:rsidR="004131B2" w:rsidRPr="000A34B5">
        <w:rPr>
          <w:rStyle w:val="italicus"/>
        </w:rPr>
        <w:t>Kippour</w:t>
      </w:r>
      <w:r w:rsidRPr="004440EA">
        <w:t xml:space="preserve"> (</w:t>
      </w:r>
      <w:r>
        <w:t>fête</w:t>
      </w:r>
      <w:r w:rsidRPr="002C4077">
        <w:t xml:space="preserve"> </w:t>
      </w:r>
      <w:r>
        <w:t>de</w:t>
      </w:r>
      <w:r w:rsidRPr="002C4077">
        <w:t xml:space="preserve"> </w:t>
      </w:r>
      <w:r>
        <w:t>l’Expiation</w:t>
      </w:r>
      <w:r w:rsidRPr="002C4077">
        <w:t xml:space="preserve"> </w:t>
      </w:r>
      <w:r>
        <w:t>ou</w:t>
      </w:r>
      <w:r w:rsidRPr="002C4077">
        <w:t xml:space="preserve"> </w:t>
      </w:r>
      <w:r>
        <w:t>du</w:t>
      </w:r>
      <w:r w:rsidRPr="002C4077">
        <w:t xml:space="preserve"> </w:t>
      </w:r>
      <w:r>
        <w:t>Grand-Pardon,</w:t>
      </w:r>
      <w:r w:rsidRPr="002C4077">
        <w:t xml:space="preserve"> </w:t>
      </w:r>
      <w:r>
        <w:t>qui</w:t>
      </w:r>
      <w:r w:rsidRPr="002C4077">
        <w:t xml:space="preserve"> </w:t>
      </w:r>
      <w:r>
        <w:t>tombe</w:t>
      </w:r>
      <w:r w:rsidRPr="002C4077">
        <w:t xml:space="preserve"> </w:t>
      </w:r>
      <w:r>
        <w:t>d’ordinaire</w:t>
      </w:r>
      <w:r w:rsidRPr="002C4077">
        <w:t xml:space="preserve"> </w:t>
      </w:r>
      <w:r>
        <w:t>au</w:t>
      </w:r>
      <w:r w:rsidRPr="002C4077">
        <w:t xml:space="preserve"> </w:t>
      </w:r>
      <w:r>
        <w:t>commencement</w:t>
      </w:r>
      <w:r w:rsidRPr="002C4077">
        <w:t xml:space="preserve"> </w:t>
      </w:r>
      <w:r>
        <w:t>d’octobre</w:t>
      </w:r>
      <w:r w:rsidR="00B546AF" w:rsidRPr="002C4077">
        <w:t>)</w:t>
      </w:r>
      <w:r w:rsidR="00B546AF" w:rsidRPr="00950016">
        <w:t> ;</w:t>
      </w:r>
      <w:r w:rsidRPr="002C4077">
        <w:t xml:space="preserve"> </w:t>
      </w:r>
      <w:r>
        <w:t>3°</w:t>
      </w:r>
      <w:r w:rsidRPr="002C4077">
        <w:t xml:space="preserve"> </w:t>
      </w:r>
      <w:r>
        <w:t>le</w:t>
      </w:r>
      <w:r w:rsidRPr="002C4077">
        <w:t xml:space="preserve"> </w:t>
      </w:r>
      <w:r w:rsidRPr="003B1136">
        <w:t>mois</w:t>
      </w:r>
      <w:r w:rsidRPr="002C4077">
        <w:t xml:space="preserve"> </w:t>
      </w:r>
      <w:r w:rsidRPr="003B1136">
        <w:t>entier</w:t>
      </w:r>
      <w:r w:rsidRPr="002C4077">
        <w:t xml:space="preserve"> </w:t>
      </w:r>
      <w:r w:rsidRPr="003B1136">
        <w:t>d’</w:t>
      </w:r>
      <w:r w:rsidR="003B1136">
        <w:rPr>
          <w:rStyle w:val="italicus"/>
        </w:rPr>
        <w:t>É</w:t>
      </w:r>
      <w:r w:rsidRPr="000A34B5">
        <w:rPr>
          <w:rStyle w:val="italicus"/>
        </w:rPr>
        <w:t>loul</w:t>
      </w:r>
      <w:r w:rsidRPr="004440EA">
        <w:t xml:space="preserve"> (</w:t>
      </w:r>
      <w:r>
        <w:t>seconde</w:t>
      </w:r>
      <w:r w:rsidRPr="002C4077">
        <w:t xml:space="preserve"> </w:t>
      </w:r>
      <w:r>
        <w:t>moitié</w:t>
      </w:r>
      <w:r w:rsidRPr="002C4077">
        <w:t xml:space="preserve"> </w:t>
      </w:r>
      <w:r>
        <w:t>d’août</w:t>
      </w:r>
      <w:r w:rsidRPr="002C4077">
        <w:t xml:space="preserve"> </w:t>
      </w:r>
      <w:r>
        <w:t>et</w:t>
      </w:r>
      <w:r w:rsidRPr="002C4077">
        <w:t xml:space="preserve"> </w:t>
      </w:r>
      <w:r>
        <w:t>première</w:t>
      </w:r>
      <w:r w:rsidRPr="002C4077">
        <w:t xml:space="preserve"> </w:t>
      </w:r>
      <w:r>
        <w:t>moitié</w:t>
      </w:r>
      <w:r w:rsidRPr="002C4077">
        <w:t xml:space="preserve"> </w:t>
      </w:r>
      <w:r>
        <w:t>de</w:t>
      </w:r>
      <w:r w:rsidRPr="002C4077">
        <w:t xml:space="preserve"> </w:t>
      </w:r>
      <w:r>
        <w:t>septembre</w:t>
      </w:r>
      <w:r w:rsidR="00B546AF" w:rsidRPr="002C4077">
        <w:t>)</w:t>
      </w:r>
      <w:r>
        <w:t>.</w:t>
      </w:r>
      <w:r w:rsidRPr="002C4077">
        <w:t xml:space="preserve"> </w:t>
      </w:r>
    </w:p>
    <w:p w:rsidR="000A7AAB" w:rsidRDefault="000A7AAB" w:rsidP="000A7AAB">
      <w:r>
        <w:t>Le</w:t>
      </w:r>
      <w:r w:rsidRPr="002C4077">
        <w:t xml:space="preserve"> </w:t>
      </w:r>
      <w:r w:rsidRPr="000A34B5">
        <w:rPr>
          <w:rStyle w:val="italicus"/>
        </w:rPr>
        <w:t>Kéber</w:t>
      </w:r>
      <w:r w:rsidRPr="002C4077">
        <w:t xml:space="preserve"> </w:t>
      </w:r>
      <w:r w:rsidRPr="000A34B5">
        <w:rPr>
          <w:rStyle w:val="italicus"/>
        </w:rPr>
        <w:t>abôth</w:t>
      </w:r>
      <w:r w:rsidRPr="002C4077">
        <w:t xml:space="preserve"> </w:t>
      </w:r>
      <w:r w:rsidR="00425C50">
        <w:t>est</w:t>
      </w:r>
      <w:r w:rsidRPr="002C4077">
        <w:t xml:space="preserve"> </w:t>
      </w:r>
      <w:r>
        <w:t>au</w:t>
      </w:r>
      <w:r w:rsidRPr="002C4077">
        <w:t xml:space="preserve"> </w:t>
      </w:r>
      <w:r>
        <w:t>contraire</w:t>
      </w:r>
      <w:r w:rsidRPr="002C4077">
        <w:t xml:space="preserve"> </w:t>
      </w:r>
      <w:r>
        <w:t>interdit</w:t>
      </w:r>
      <w:r w:rsidRPr="002C4077">
        <w:t xml:space="preserve"> </w:t>
      </w:r>
      <w:r>
        <w:t>les</w:t>
      </w:r>
      <w:r w:rsidRPr="002C4077">
        <w:t xml:space="preserve"> </w:t>
      </w:r>
      <w:r>
        <w:t>jours</w:t>
      </w:r>
      <w:r w:rsidRPr="002C4077">
        <w:t xml:space="preserve"> </w:t>
      </w:r>
      <w:r>
        <w:t>de</w:t>
      </w:r>
      <w:r w:rsidRPr="002C4077">
        <w:t xml:space="preserve"> </w:t>
      </w:r>
      <w:r>
        <w:t>Sabbat</w:t>
      </w:r>
      <w:r w:rsidRPr="002C4077">
        <w:t xml:space="preserve"> </w:t>
      </w:r>
      <w:r>
        <w:t>et</w:t>
      </w:r>
      <w:r w:rsidRPr="002C4077">
        <w:t xml:space="preserve"> </w:t>
      </w:r>
      <w:r>
        <w:t>de</w:t>
      </w:r>
      <w:r w:rsidRPr="002C4077">
        <w:t xml:space="preserve"> </w:t>
      </w:r>
      <w:r>
        <w:t>nouvelle</w:t>
      </w:r>
      <w:r w:rsidRPr="002C4077">
        <w:t xml:space="preserve"> </w:t>
      </w:r>
      <w:r>
        <w:t>lune,</w:t>
      </w:r>
      <w:r w:rsidRPr="002C4077">
        <w:t xml:space="preserve"> </w:t>
      </w:r>
      <w:r>
        <w:t>la</w:t>
      </w:r>
      <w:r w:rsidRPr="002C4077">
        <w:t xml:space="preserve"> </w:t>
      </w:r>
      <w:r>
        <w:t>veille</w:t>
      </w:r>
      <w:r w:rsidRPr="002C4077">
        <w:t xml:space="preserve"> </w:t>
      </w:r>
      <w:r>
        <w:t>de</w:t>
      </w:r>
      <w:r w:rsidRPr="002C4077">
        <w:t xml:space="preserve"> </w:t>
      </w:r>
      <w:r>
        <w:t>toutes</w:t>
      </w:r>
      <w:r w:rsidRPr="002C4077">
        <w:t xml:space="preserve"> </w:t>
      </w:r>
      <w:r>
        <w:t>les</w:t>
      </w:r>
      <w:r w:rsidRPr="002C4077">
        <w:t xml:space="preserve"> </w:t>
      </w:r>
      <w:r>
        <w:t>fêtes</w:t>
      </w:r>
      <w:r w:rsidRPr="002C4077">
        <w:t xml:space="preserve"> </w:t>
      </w:r>
      <w:r>
        <w:t>hormis</w:t>
      </w:r>
      <w:r w:rsidRPr="002C4077">
        <w:t xml:space="preserve"> </w:t>
      </w:r>
      <w:r>
        <w:t>les</w:t>
      </w:r>
      <w:r w:rsidRPr="002C4077">
        <w:t xml:space="preserve"> </w:t>
      </w:r>
      <w:r>
        <w:t>deux</w:t>
      </w:r>
      <w:r w:rsidRPr="002C4077">
        <w:t xml:space="preserve"> </w:t>
      </w:r>
      <w:r>
        <w:t>qui</w:t>
      </w:r>
      <w:r w:rsidRPr="002C4077">
        <w:t xml:space="preserve"> </w:t>
      </w:r>
      <w:r>
        <w:t>viennent</w:t>
      </w:r>
      <w:r w:rsidRPr="002C4077">
        <w:t xml:space="preserve"> </w:t>
      </w:r>
      <w:r>
        <w:t>d’être</w:t>
      </w:r>
      <w:r w:rsidRPr="002C4077">
        <w:t xml:space="preserve"> </w:t>
      </w:r>
      <w:r>
        <w:t>exceptées,</w:t>
      </w:r>
      <w:r w:rsidRPr="002C4077">
        <w:t xml:space="preserve"> </w:t>
      </w:r>
      <w:r>
        <w:t>tous</w:t>
      </w:r>
      <w:r w:rsidRPr="002C4077">
        <w:t xml:space="preserve"> </w:t>
      </w:r>
      <w:r>
        <w:t>les</w:t>
      </w:r>
      <w:r w:rsidRPr="002C4077">
        <w:t xml:space="preserve"> </w:t>
      </w:r>
      <w:r>
        <w:t>jours</w:t>
      </w:r>
      <w:r w:rsidRPr="002C4077">
        <w:t xml:space="preserve"> </w:t>
      </w:r>
      <w:r>
        <w:t>de</w:t>
      </w:r>
      <w:r w:rsidRPr="002C4077">
        <w:t xml:space="preserve"> </w:t>
      </w:r>
      <w:r>
        <w:t>fête</w:t>
      </w:r>
      <w:r w:rsidRPr="002C4077">
        <w:t xml:space="preserve"> </w:t>
      </w:r>
      <w:r>
        <w:t>et</w:t>
      </w:r>
      <w:r w:rsidRPr="002C4077">
        <w:t xml:space="preserve"> </w:t>
      </w:r>
      <w:r>
        <w:t>de</w:t>
      </w:r>
      <w:r w:rsidRPr="002C4077">
        <w:t xml:space="preserve"> </w:t>
      </w:r>
      <w:r>
        <w:t>demi-fête</w:t>
      </w:r>
      <w:r w:rsidR="00B91AF7">
        <w:rPr>
          <w:rStyle w:val="Appelnotedebasdep"/>
        </w:rPr>
        <w:footnoteReference w:id="903"/>
      </w:r>
      <w:r>
        <w:t>,</w:t>
      </w:r>
      <w:r w:rsidRPr="002C4077">
        <w:t xml:space="preserve"> </w:t>
      </w:r>
      <w:r>
        <w:t>enfin</w:t>
      </w:r>
      <w:r w:rsidRPr="002C4077">
        <w:t xml:space="preserve"> </w:t>
      </w:r>
      <w:r>
        <w:t>pendant</w:t>
      </w:r>
      <w:r w:rsidRPr="002C4077">
        <w:t xml:space="preserve"> </w:t>
      </w:r>
      <w:r>
        <w:t>la</w:t>
      </w:r>
      <w:r w:rsidRPr="002C4077">
        <w:t xml:space="preserve"> </w:t>
      </w:r>
      <w:r>
        <w:t>durée</w:t>
      </w:r>
      <w:r w:rsidRPr="002C4077">
        <w:t xml:space="preserve"> </w:t>
      </w:r>
      <w:r>
        <w:t>entière</w:t>
      </w:r>
      <w:r w:rsidRPr="002C4077">
        <w:t xml:space="preserve"> </w:t>
      </w:r>
      <w:r>
        <w:t>du</w:t>
      </w:r>
      <w:r w:rsidRPr="002C4077">
        <w:t xml:space="preserve"> </w:t>
      </w:r>
      <w:r>
        <w:t>mois</w:t>
      </w:r>
      <w:r w:rsidRPr="002C4077">
        <w:t xml:space="preserve"> </w:t>
      </w:r>
      <w:r>
        <w:t>de</w:t>
      </w:r>
      <w:r w:rsidRPr="002C4077">
        <w:t xml:space="preserve"> </w:t>
      </w:r>
      <w:r w:rsidRPr="000A34B5">
        <w:rPr>
          <w:rStyle w:val="italicus"/>
        </w:rPr>
        <w:t>Nisan,</w:t>
      </w:r>
      <w:r w:rsidRPr="002C4077">
        <w:t xml:space="preserve"> </w:t>
      </w:r>
      <w:r>
        <w:t>qui</w:t>
      </w:r>
      <w:r w:rsidRPr="002C4077">
        <w:t xml:space="preserve"> </w:t>
      </w:r>
      <w:r w:rsidR="00425C50">
        <w:t>est</w:t>
      </w:r>
      <w:r w:rsidRPr="002C4077">
        <w:t xml:space="preserve"> </w:t>
      </w:r>
      <w:r>
        <w:t>le</w:t>
      </w:r>
      <w:r w:rsidRPr="002C4077">
        <w:t xml:space="preserve"> </w:t>
      </w:r>
      <w:r>
        <w:t>premier</w:t>
      </w:r>
      <w:r w:rsidRPr="002C4077">
        <w:t xml:space="preserve"> </w:t>
      </w:r>
      <w:r>
        <w:t>de</w:t>
      </w:r>
      <w:r w:rsidRPr="002C4077">
        <w:t xml:space="preserve"> </w:t>
      </w:r>
      <w:r>
        <w:t>l’année</w:t>
      </w:r>
      <w:r w:rsidRPr="002C4077">
        <w:t xml:space="preserve"> </w:t>
      </w:r>
      <w:r>
        <w:t>religieuse</w:t>
      </w:r>
      <w:r w:rsidRPr="002C4077">
        <w:t xml:space="preserve"> </w:t>
      </w:r>
      <w:r>
        <w:t>des</w:t>
      </w:r>
      <w:r w:rsidRPr="002C4077">
        <w:t xml:space="preserve"> </w:t>
      </w:r>
      <w:r>
        <w:t>Juifs.</w:t>
      </w:r>
      <w:r w:rsidRPr="002C4077">
        <w:t xml:space="preserve"> </w:t>
      </w:r>
      <w:r>
        <w:t>À</w:t>
      </w:r>
      <w:r w:rsidRPr="002C4077">
        <w:t xml:space="preserve"> </w:t>
      </w:r>
      <w:r>
        <w:t>ces</w:t>
      </w:r>
      <w:r w:rsidRPr="002C4077">
        <w:t xml:space="preserve"> </w:t>
      </w:r>
      <w:r>
        <w:t>différentes</w:t>
      </w:r>
      <w:r w:rsidRPr="002C4077">
        <w:t xml:space="preserve"> </w:t>
      </w:r>
      <w:r>
        <w:t>époques,</w:t>
      </w:r>
      <w:r w:rsidRPr="002C4077">
        <w:t xml:space="preserve"> </w:t>
      </w:r>
      <w:r>
        <w:t>les</w:t>
      </w:r>
      <w:r w:rsidRPr="002C4077">
        <w:t xml:space="preserve"> </w:t>
      </w:r>
      <w:r>
        <w:t>Israélites</w:t>
      </w:r>
      <w:r w:rsidRPr="002C4077">
        <w:t xml:space="preserve"> </w:t>
      </w:r>
      <w:r>
        <w:t>attribuent</w:t>
      </w:r>
      <w:r w:rsidRPr="002C4077">
        <w:t xml:space="preserve"> </w:t>
      </w:r>
      <w:r>
        <w:t>depuis</w:t>
      </w:r>
      <w:r w:rsidRPr="002C4077">
        <w:t xml:space="preserve"> </w:t>
      </w:r>
      <w:r>
        <w:t>des</w:t>
      </w:r>
      <w:r w:rsidRPr="002C4077">
        <w:t xml:space="preserve"> </w:t>
      </w:r>
      <w:r>
        <w:t>siècles</w:t>
      </w:r>
      <w:r w:rsidRPr="002C4077">
        <w:t xml:space="preserve"> </w:t>
      </w:r>
      <w:r>
        <w:t>je</w:t>
      </w:r>
      <w:r w:rsidRPr="002C4077">
        <w:t xml:space="preserve"> </w:t>
      </w:r>
      <w:r>
        <w:t>ne</w:t>
      </w:r>
      <w:r w:rsidRPr="002C4077">
        <w:t xml:space="preserve"> </w:t>
      </w:r>
      <w:r>
        <w:t>sais</w:t>
      </w:r>
      <w:r w:rsidRPr="002C4077">
        <w:t xml:space="preserve"> </w:t>
      </w:r>
      <w:r>
        <w:t>quel</w:t>
      </w:r>
      <w:r w:rsidRPr="002C4077">
        <w:t xml:space="preserve"> </w:t>
      </w:r>
      <w:r>
        <w:t>caractère</w:t>
      </w:r>
      <w:r w:rsidRPr="002C4077">
        <w:t xml:space="preserve"> </w:t>
      </w:r>
      <w:r>
        <w:t>spécial,</w:t>
      </w:r>
      <w:r w:rsidRPr="002C4077">
        <w:t xml:space="preserve"> </w:t>
      </w:r>
      <w:r>
        <w:t>qui</w:t>
      </w:r>
      <w:r w:rsidRPr="002C4077">
        <w:t xml:space="preserve"> </w:t>
      </w:r>
      <w:r>
        <w:t>fait</w:t>
      </w:r>
      <w:r w:rsidRPr="002C4077">
        <w:t xml:space="preserve"> </w:t>
      </w:r>
      <w:r>
        <w:t>qu’elles</w:t>
      </w:r>
      <w:r w:rsidRPr="002C4077">
        <w:t xml:space="preserve"> </w:t>
      </w:r>
      <w:r>
        <w:t>sont</w:t>
      </w:r>
      <w:r w:rsidRPr="002C4077">
        <w:t xml:space="preserve"> </w:t>
      </w:r>
      <w:r>
        <w:t>impropres</w:t>
      </w:r>
      <w:r w:rsidRPr="002C4077">
        <w:t xml:space="preserve"> </w:t>
      </w:r>
      <w:r>
        <w:t>à</w:t>
      </w:r>
      <w:r w:rsidRPr="002C4077">
        <w:t xml:space="preserve"> </w:t>
      </w:r>
      <w:r>
        <w:t>la</w:t>
      </w:r>
      <w:r w:rsidRPr="002C4077">
        <w:t xml:space="preserve"> </w:t>
      </w:r>
      <w:r>
        <w:t>visite</w:t>
      </w:r>
      <w:r w:rsidRPr="002C4077">
        <w:t xml:space="preserve"> </w:t>
      </w:r>
      <w:r>
        <w:t>d’un</w:t>
      </w:r>
      <w:r w:rsidRPr="002C4077">
        <w:t xml:space="preserve"> </w:t>
      </w:r>
      <w:r>
        <w:t>cimetière,</w:t>
      </w:r>
      <w:r w:rsidRPr="002C4077">
        <w:t xml:space="preserve"> </w:t>
      </w:r>
      <w:r>
        <w:t>bien</w:t>
      </w:r>
      <w:r w:rsidRPr="002C4077">
        <w:t xml:space="preserve"> </w:t>
      </w:r>
      <w:r>
        <w:t>plus,</w:t>
      </w:r>
      <w:r w:rsidRPr="002C4077">
        <w:t xml:space="preserve"> </w:t>
      </w:r>
      <w:r>
        <w:t>qui</w:t>
      </w:r>
      <w:r w:rsidRPr="002C4077">
        <w:t xml:space="preserve"> </w:t>
      </w:r>
      <w:r>
        <w:t>rend,</w:t>
      </w:r>
      <w:r w:rsidRPr="002C4077">
        <w:t xml:space="preserve"> </w:t>
      </w:r>
      <w:r>
        <w:t>d’après</w:t>
      </w:r>
      <w:r w:rsidRPr="002C4077">
        <w:t xml:space="preserve"> </w:t>
      </w:r>
      <w:r>
        <w:t>eux,</w:t>
      </w:r>
      <w:r w:rsidRPr="002C4077">
        <w:t xml:space="preserve"> </w:t>
      </w:r>
      <w:r>
        <w:t>la</w:t>
      </w:r>
      <w:r w:rsidRPr="002C4077">
        <w:t xml:space="preserve"> </w:t>
      </w:r>
      <w:r>
        <w:t>simple</w:t>
      </w:r>
      <w:r w:rsidRPr="002C4077">
        <w:t xml:space="preserve"> </w:t>
      </w:r>
      <w:r>
        <w:t>entrée</w:t>
      </w:r>
      <w:r w:rsidRPr="002C4077">
        <w:t xml:space="preserve"> </w:t>
      </w:r>
      <w:r>
        <w:t>dans</w:t>
      </w:r>
      <w:r w:rsidRPr="002C4077">
        <w:t xml:space="preserve"> </w:t>
      </w:r>
      <w:r>
        <w:t>un</w:t>
      </w:r>
      <w:r w:rsidRPr="002C4077">
        <w:t xml:space="preserve"> </w:t>
      </w:r>
      <w:r>
        <w:t>cimetière</w:t>
      </w:r>
      <w:r w:rsidRPr="002C4077">
        <w:t xml:space="preserve"> </w:t>
      </w:r>
      <w:r>
        <w:t>pleine</w:t>
      </w:r>
      <w:r w:rsidRPr="002C4077">
        <w:t xml:space="preserve"> </w:t>
      </w:r>
      <w:r>
        <w:t>de</w:t>
      </w:r>
      <w:r w:rsidRPr="002C4077">
        <w:t xml:space="preserve"> </w:t>
      </w:r>
      <w:r>
        <w:t>dangers.</w:t>
      </w:r>
      <w:r w:rsidRPr="002C4077">
        <w:t xml:space="preserve"> </w:t>
      </w:r>
    </w:p>
    <w:p w:rsidR="000A7AAB" w:rsidRDefault="000A7AAB" w:rsidP="000A7AAB">
      <w:r>
        <w:t>Les</w:t>
      </w:r>
      <w:r w:rsidRPr="002C4077">
        <w:t xml:space="preserve"> </w:t>
      </w:r>
      <w:r>
        <w:t>Juifs</w:t>
      </w:r>
      <w:r w:rsidRPr="002C4077">
        <w:t xml:space="preserve"> </w:t>
      </w:r>
      <w:r>
        <w:t>ne</w:t>
      </w:r>
      <w:r w:rsidRPr="002C4077">
        <w:t xml:space="preserve"> </w:t>
      </w:r>
      <w:r>
        <w:t>viennent</w:t>
      </w:r>
      <w:r w:rsidRPr="002C4077">
        <w:t xml:space="preserve"> </w:t>
      </w:r>
      <w:r>
        <w:t>pas</w:t>
      </w:r>
      <w:r w:rsidRPr="002C4077">
        <w:t xml:space="preserve"> </w:t>
      </w:r>
      <w:r>
        <w:t>seulement</w:t>
      </w:r>
      <w:r w:rsidRPr="002C4077">
        <w:t xml:space="preserve"> </w:t>
      </w:r>
      <w:r>
        <w:t>au</w:t>
      </w:r>
      <w:r w:rsidRPr="002C4077">
        <w:t xml:space="preserve"> </w:t>
      </w:r>
      <w:r w:rsidRPr="000A34B5">
        <w:rPr>
          <w:rStyle w:val="italicus"/>
        </w:rPr>
        <w:t>Beth-hachaïm</w:t>
      </w:r>
      <w:r w:rsidRPr="002C4077">
        <w:t xml:space="preserve"> </w:t>
      </w:r>
      <w:r>
        <w:t>pour</w:t>
      </w:r>
      <w:r w:rsidRPr="002C4077">
        <w:t xml:space="preserve"> </w:t>
      </w:r>
      <w:r>
        <w:t>y</w:t>
      </w:r>
      <w:r w:rsidRPr="002C4077">
        <w:t xml:space="preserve"> </w:t>
      </w:r>
      <w:r>
        <w:t>pleurer</w:t>
      </w:r>
      <w:r w:rsidR="00B546AF">
        <w:t> ;</w:t>
      </w:r>
      <w:r w:rsidRPr="002C4077">
        <w:t xml:space="preserve"> </w:t>
      </w:r>
      <w:r>
        <w:t>ils</w:t>
      </w:r>
      <w:r w:rsidRPr="002C4077">
        <w:t xml:space="preserve"> </w:t>
      </w:r>
      <w:r>
        <w:t>y</w:t>
      </w:r>
      <w:r w:rsidRPr="002C4077">
        <w:t xml:space="preserve"> </w:t>
      </w:r>
      <w:r>
        <w:t>viennent</w:t>
      </w:r>
      <w:r w:rsidRPr="002C4077">
        <w:t xml:space="preserve"> </w:t>
      </w:r>
      <w:r>
        <w:t>aussi</w:t>
      </w:r>
      <w:r w:rsidRPr="002C4077">
        <w:t xml:space="preserve"> </w:t>
      </w:r>
      <w:r>
        <w:t>dans</w:t>
      </w:r>
      <w:r w:rsidRPr="002C4077">
        <w:t xml:space="preserve"> </w:t>
      </w:r>
      <w:r>
        <w:t>l’intention</w:t>
      </w:r>
      <w:r w:rsidRPr="002C4077">
        <w:t xml:space="preserve"> </w:t>
      </w:r>
      <w:r>
        <w:t>de</w:t>
      </w:r>
      <w:r w:rsidRPr="002C4077">
        <w:t xml:space="preserve"> </w:t>
      </w:r>
      <w:r>
        <w:t>prier</w:t>
      </w:r>
      <w:r w:rsidRPr="002C4077">
        <w:t xml:space="preserve"> </w:t>
      </w:r>
      <w:r>
        <w:t>pour</w:t>
      </w:r>
      <w:r w:rsidRPr="002C4077">
        <w:t xml:space="preserve"> </w:t>
      </w:r>
      <w:r>
        <w:t>leurs</w:t>
      </w:r>
      <w:r w:rsidRPr="002C4077">
        <w:t xml:space="preserve"> </w:t>
      </w:r>
      <w:r>
        <w:t>morts,</w:t>
      </w:r>
      <w:r w:rsidRPr="002C4077">
        <w:t xml:space="preserve"> </w:t>
      </w:r>
      <w:r>
        <w:t>car</w:t>
      </w:r>
      <w:r w:rsidRPr="002C4077">
        <w:t xml:space="preserve"> </w:t>
      </w:r>
      <w:r>
        <w:t>ils</w:t>
      </w:r>
      <w:r w:rsidRPr="002C4077">
        <w:t xml:space="preserve"> </w:t>
      </w:r>
      <w:r>
        <w:t>ont,</w:t>
      </w:r>
      <w:r w:rsidRPr="002C4077">
        <w:t xml:space="preserve"> </w:t>
      </w:r>
      <w:r>
        <w:t>de</w:t>
      </w:r>
      <w:r w:rsidRPr="002C4077">
        <w:t xml:space="preserve"> </w:t>
      </w:r>
      <w:r>
        <w:t>même</w:t>
      </w:r>
      <w:r w:rsidRPr="002C4077">
        <w:t xml:space="preserve"> </w:t>
      </w:r>
      <w:r>
        <w:t>que</w:t>
      </w:r>
      <w:r w:rsidRPr="002C4077">
        <w:t xml:space="preserve"> </w:t>
      </w:r>
      <w:r>
        <w:t>les</w:t>
      </w:r>
      <w:r w:rsidRPr="002C4077">
        <w:t xml:space="preserve"> </w:t>
      </w:r>
      <w:r>
        <w:t>catholiques,</w:t>
      </w:r>
      <w:r w:rsidRPr="002C4077">
        <w:t xml:space="preserve"> </w:t>
      </w:r>
      <w:r>
        <w:t>la</w:t>
      </w:r>
      <w:r w:rsidRPr="002C4077">
        <w:t xml:space="preserve"> </w:t>
      </w:r>
      <w:r>
        <w:t>confiance</w:t>
      </w:r>
      <w:r w:rsidRPr="002C4077">
        <w:t xml:space="preserve"> </w:t>
      </w:r>
      <w:r>
        <w:t>qu’ils</w:t>
      </w:r>
      <w:r w:rsidRPr="002C4077">
        <w:t xml:space="preserve"> </w:t>
      </w:r>
      <w:r>
        <w:t>peuvent</w:t>
      </w:r>
      <w:r w:rsidRPr="002C4077">
        <w:t xml:space="preserve"> </w:t>
      </w:r>
      <w:r>
        <w:t>soulager</w:t>
      </w:r>
      <w:r w:rsidRPr="002C4077">
        <w:t xml:space="preserve"> </w:t>
      </w:r>
      <w:r>
        <w:t>les</w:t>
      </w:r>
      <w:r w:rsidRPr="002C4077">
        <w:t xml:space="preserve"> </w:t>
      </w:r>
      <w:r>
        <w:t>trépassés</w:t>
      </w:r>
      <w:r w:rsidRPr="002C4077">
        <w:t xml:space="preserve"> </w:t>
      </w:r>
      <w:r>
        <w:t>au</w:t>
      </w:r>
      <w:r w:rsidRPr="002C4077">
        <w:t xml:space="preserve"> </w:t>
      </w:r>
      <w:r>
        <w:t>moyen</w:t>
      </w:r>
      <w:r w:rsidRPr="002C4077">
        <w:t xml:space="preserve"> </w:t>
      </w:r>
      <w:r>
        <w:t>de</w:t>
      </w:r>
      <w:r w:rsidRPr="002C4077">
        <w:t xml:space="preserve"> </w:t>
      </w:r>
      <w:r>
        <w:t>ferventes</w:t>
      </w:r>
      <w:r w:rsidRPr="002C4077">
        <w:t xml:space="preserve"> </w:t>
      </w:r>
      <w:r>
        <w:t>supplications</w:t>
      </w:r>
      <w:r w:rsidRPr="002C4077">
        <w:t xml:space="preserve"> </w:t>
      </w:r>
      <w:r>
        <w:t>adressées</w:t>
      </w:r>
      <w:r w:rsidRPr="002C4077">
        <w:t xml:space="preserve"> </w:t>
      </w:r>
      <w:r>
        <w:t>à</w:t>
      </w:r>
      <w:r w:rsidRPr="002C4077">
        <w:t xml:space="preserve"> </w:t>
      </w:r>
      <w:r>
        <w:t>Dieu</w:t>
      </w:r>
      <w:r w:rsidRPr="002C4077">
        <w:t xml:space="preserve"> </w:t>
      </w:r>
      <w:r>
        <w:t>en</w:t>
      </w:r>
      <w:r w:rsidRPr="002C4077">
        <w:t xml:space="preserve"> </w:t>
      </w:r>
      <w:r>
        <w:t>ce</w:t>
      </w:r>
      <w:r w:rsidRPr="002C4077">
        <w:t xml:space="preserve"> </w:t>
      </w:r>
      <w:r>
        <w:t>sen</w:t>
      </w:r>
      <w:r w:rsidR="004377BC">
        <w:t>s</w:t>
      </w:r>
      <w:r w:rsidR="004377BC">
        <w:rPr>
          <w:rStyle w:val="Appelnotedebasdep"/>
        </w:rPr>
        <w:footnoteReference w:id="904"/>
      </w:r>
      <w:r>
        <w:t>.</w:t>
      </w:r>
      <w:r w:rsidRPr="002C4077">
        <w:t xml:space="preserve"> </w:t>
      </w:r>
    </w:p>
    <w:p w:rsidR="000A7AAB" w:rsidRDefault="000A7AAB" w:rsidP="000A7AAB">
      <w:r>
        <w:t>En</w:t>
      </w:r>
      <w:r w:rsidRPr="002C4077">
        <w:t xml:space="preserve"> </w:t>
      </w:r>
      <w:r>
        <w:t>entrant</w:t>
      </w:r>
      <w:r w:rsidRPr="002C4077">
        <w:t xml:space="preserve"> </w:t>
      </w:r>
      <w:r>
        <w:t>au</w:t>
      </w:r>
      <w:r w:rsidRPr="002C4077">
        <w:t xml:space="preserve"> </w:t>
      </w:r>
      <w:r>
        <w:t>cimetière,</w:t>
      </w:r>
      <w:r w:rsidRPr="002C4077">
        <w:t xml:space="preserve"> </w:t>
      </w:r>
      <w:r>
        <w:t>s’ils</w:t>
      </w:r>
      <w:r w:rsidRPr="002C4077">
        <w:t xml:space="preserve"> </w:t>
      </w:r>
      <w:r>
        <w:t>n’y</w:t>
      </w:r>
      <w:r w:rsidRPr="002C4077">
        <w:t xml:space="preserve"> </w:t>
      </w:r>
      <w:r>
        <w:t>sont</w:t>
      </w:r>
      <w:r w:rsidRPr="002C4077">
        <w:t xml:space="preserve"> </w:t>
      </w:r>
      <w:r>
        <w:t>pas</w:t>
      </w:r>
      <w:r w:rsidRPr="002C4077">
        <w:t xml:space="preserve"> </w:t>
      </w:r>
      <w:r>
        <w:t>venus</w:t>
      </w:r>
      <w:r w:rsidRPr="002C4077">
        <w:t xml:space="preserve"> </w:t>
      </w:r>
      <w:r>
        <w:t>depuis</w:t>
      </w:r>
      <w:r w:rsidRPr="002C4077">
        <w:t xml:space="preserve"> </w:t>
      </w:r>
      <w:r>
        <w:t>au</w:t>
      </w:r>
      <w:r w:rsidRPr="002C4077">
        <w:t xml:space="preserve"> </w:t>
      </w:r>
      <w:r>
        <w:t>moins</w:t>
      </w:r>
      <w:r w:rsidRPr="002C4077">
        <w:t xml:space="preserve"> </w:t>
      </w:r>
      <w:r>
        <w:t>trente</w:t>
      </w:r>
      <w:r w:rsidRPr="002C4077">
        <w:t xml:space="preserve"> </w:t>
      </w:r>
      <w:r>
        <w:t>jours,</w:t>
      </w:r>
      <w:r w:rsidRPr="002C4077">
        <w:t xml:space="preserve"> </w:t>
      </w:r>
      <w:r>
        <w:t>ils</w:t>
      </w:r>
      <w:r w:rsidRPr="002C4077">
        <w:t xml:space="preserve"> </w:t>
      </w:r>
      <w:r>
        <w:t>récitent</w:t>
      </w:r>
      <w:r w:rsidRPr="002C4077">
        <w:t xml:space="preserve"> </w:t>
      </w:r>
      <w:r>
        <w:t>l’invocation</w:t>
      </w:r>
      <w:r w:rsidRPr="002C4077">
        <w:t xml:space="preserve"> </w:t>
      </w:r>
      <w:r>
        <w:t>suivante</w:t>
      </w:r>
      <w:r w:rsidR="00B546AF">
        <w:t> :</w:t>
      </w:r>
      <w:r w:rsidRPr="002C4077">
        <w:t xml:space="preserve"> </w:t>
      </w:r>
      <w:r w:rsidR="00B546AF">
        <w:t>« </w:t>
      </w:r>
      <w:r>
        <w:t>Béni</w:t>
      </w:r>
      <w:r w:rsidRPr="002C4077">
        <w:t xml:space="preserve"> </w:t>
      </w:r>
      <w:r>
        <w:t>soit</w:t>
      </w:r>
      <w:r w:rsidRPr="002C4077">
        <w:t xml:space="preserve"> </w:t>
      </w:r>
      <w:r>
        <w:t>l’Éternel,</w:t>
      </w:r>
      <w:r w:rsidRPr="002C4077">
        <w:t xml:space="preserve"> </w:t>
      </w:r>
      <w:r>
        <w:t>notre</w:t>
      </w:r>
      <w:r w:rsidRPr="002C4077">
        <w:t xml:space="preserve"> </w:t>
      </w:r>
      <w:r>
        <w:t>Dieu,</w:t>
      </w:r>
      <w:r w:rsidRPr="002C4077">
        <w:t xml:space="preserve"> </w:t>
      </w:r>
      <w:r>
        <w:t>le</w:t>
      </w:r>
      <w:r w:rsidRPr="002C4077">
        <w:t xml:space="preserve"> </w:t>
      </w:r>
      <w:r>
        <w:t>Roi</w:t>
      </w:r>
      <w:r w:rsidRPr="002C4077">
        <w:t xml:space="preserve"> </w:t>
      </w:r>
      <w:r>
        <w:t>du</w:t>
      </w:r>
      <w:r w:rsidRPr="002C4077">
        <w:t xml:space="preserve"> </w:t>
      </w:r>
      <w:r>
        <w:t>monde,</w:t>
      </w:r>
      <w:r w:rsidRPr="002C4077">
        <w:t xml:space="preserve"> </w:t>
      </w:r>
      <w:r>
        <w:t>qui</w:t>
      </w:r>
      <w:r w:rsidRPr="002C4077">
        <w:t xml:space="preserve"> </w:t>
      </w:r>
      <w:r>
        <w:t>vous</w:t>
      </w:r>
      <w:r w:rsidR="00B91AF7">
        <w:rPr>
          <w:rStyle w:val="Appelnotedebasdep"/>
        </w:rPr>
        <w:footnoteReference w:id="905"/>
      </w:r>
      <w:r w:rsidRPr="002C4077">
        <w:t xml:space="preserve"> </w:t>
      </w:r>
      <w:r>
        <w:t>a</w:t>
      </w:r>
      <w:r w:rsidRPr="002C4077">
        <w:t xml:space="preserve"> </w:t>
      </w:r>
      <w:r>
        <w:t>créés</w:t>
      </w:r>
      <w:r w:rsidRPr="002C4077">
        <w:t xml:space="preserve"> </w:t>
      </w:r>
      <w:r>
        <w:t>avec</w:t>
      </w:r>
      <w:r w:rsidRPr="002C4077">
        <w:t xml:space="preserve"> </w:t>
      </w:r>
      <w:r>
        <w:t>justice,</w:t>
      </w:r>
      <w:r w:rsidRPr="002C4077">
        <w:t xml:space="preserve"> </w:t>
      </w:r>
      <w:r>
        <w:t>qui</w:t>
      </w:r>
      <w:r w:rsidRPr="002C4077">
        <w:t xml:space="preserve"> </w:t>
      </w:r>
      <w:r>
        <w:t>vous</w:t>
      </w:r>
      <w:r w:rsidRPr="002C4077">
        <w:t xml:space="preserve"> </w:t>
      </w:r>
      <w:r>
        <w:t>a</w:t>
      </w:r>
      <w:r w:rsidRPr="002C4077">
        <w:t xml:space="preserve"> </w:t>
      </w:r>
      <w:r>
        <w:t>nourris</w:t>
      </w:r>
      <w:r w:rsidRPr="002C4077">
        <w:t xml:space="preserve"> </w:t>
      </w:r>
      <w:r>
        <w:t>et</w:t>
      </w:r>
      <w:r w:rsidRPr="002C4077">
        <w:t xml:space="preserve"> </w:t>
      </w:r>
      <w:r>
        <w:t>conservés</w:t>
      </w:r>
      <w:r w:rsidRPr="002C4077">
        <w:t xml:space="preserve"> </w:t>
      </w:r>
      <w:r>
        <w:t>avec</w:t>
      </w:r>
      <w:r w:rsidRPr="002C4077">
        <w:t xml:space="preserve"> </w:t>
      </w:r>
      <w:r>
        <w:t>justice,</w:t>
      </w:r>
      <w:r w:rsidRPr="002C4077">
        <w:t xml:space="preserve"> </w:t>
      </w:r>
      <w:r>
        <w:t>qui</w:t>
      </w:r>
      <w:r w:rsidRPr="002C4077">
        <w:t xml:space="preserve"> </w:t>
      </w:r>
      <w:r>
        <w:t>vous</w:t>
      </w:r>
      <w:r w:rsidRPr="002C4077">
        <w:t xml:space="preserve"> </w:t>
      </w:r>
      <w:r>
        <w:t>a</w:t>
      </w:r>
      <w:r w:rsidRPr="002C4077">
        <w:t xml:space="preserve"> </w:t>
      </w:r>
      <w:r>
        <w:t>fait</w:t>
      </w:r>
      <w:r w:rsidRPr="002C4077">
        <w:t xml:space="preserve"> </w:t>
      </w:r>
      <w:r>
        <w:t>mourir</w:t>
      </w:r>
      <w:r w:rsidRPr="002C4077">
        <w:t xml:space="preserve"> </w:t>
      </w:r>
      <w:r>
        <w:t>avec</w:t>
      </w:r>
      <w:r w:rsidRPr="002C4077">
        <w:t xml:space="preserve"> </w:t>
      </w:r>
      <w:r>
        <w:t>justice,</w:t>
      </w:r>
      <w:r w:rsidRPr="002C4077">
        <w:t xml:space="preserve"> </w:t>
      </w:r>
      <w:r>
        <w:t>qui</w:t>
      </w:r>
      <w:r w:rsidRPr="002C4077">
        <w:t xml:space="preserve"> </w:t>
      </w:r>
      <w:r>
        <w:t>connaît</w:t>
      </w:r>
      <w:r w:rsidRPr="002C4077">
        <w:t xml:space="preserve"> </w:t>
      </w:r>
      <w:r>
        <w:t>votre</w:t>
      </w:r>
      <w:r w:rsidRPr="002C4077">
        <w:t xml:space="preserve"> </w:t>
      </w:r>
      <w:r>
        <w:t>nombre</w:t>
      </w:r>
      <w:r w:rsidRPr="002C4077">
        <w:t xml:space="preserve"> </w:t>
      </w:r>
      <w:r>
        <w:t>à</w:t>
      </w:r>
      <w:r w:rsidRPr="002C4077">
        <w:t xml:space="preserve"> </w:t>
      </w:r>
      <w:r>
        <w:t>tous</w:t>
      </w:r>
      <w:r w:rsidRPr="002C4077">
        <w:t xml:space="preserve"> </w:t>
      </w:r>
      <w:r>
        <w:t>avec</w:t>
      </w:r>
      <w:r w:rsidRPr="002C4077">
        <w:t xml:space="preserve"> </w:t>
      </w:r>
      <w:r>
        <w:t>justice,</w:t>
      </w:r>
      <w:r w:rsidRPr="002C4077">
        <w:t xml:space="preserve"> </w:t>
      </w:r>
      <w:r>
        <w:t>qui</w:t>
      </w:r>
      <w:r w:rsidRPr="002C4077">
        <w:t xml:space="preserve"> </w:t>
      </w:r>
      <w:r>
        <w:t>vous</w:t>
      </w:r>
      <w:r w:rsidRPr="002C4077">
        <w:t xml:space="preserve"> </w:t>
      </w:r>
      <w:r>
        <w:t>ressuscitera</w:t>
      </w:r>
      <w:r w:rsidRPr="002C4077">
        <w:t xml:space="preserve"> </w:t>
      </w:r>
      <w:r>
        <w:t>un</w:t>
      </w:r>
      <w:r w:rsidRPr="002C4077">
        <w:t xml:space="preserve"> </w:t>
      </w:r>
      <w:r>
        <w:t>jour</w:t>
      </w:r>
      <w:r w:rsidRPr="002C4077">
        <w:t xml:space="preserve"> </w:t>
      </w:r>
      <w:r>
        <w:t>avec</w:t>
      </w:r>
      <w:r w:rsidRPr="002C4077">
        <w:t xml:space="preserve"> </w:t>
      </w:r>
      <w:r>
        <w:t>justice.</w:t>
      </w:r>
      <w:r w:rsidR="00C45B47">
        <w:t xml:space="preserve"> {</w:t>
      </w:r>
      <w:r w:rsidR="005E2129">
        <w:t>304</w:t>
      </w:r>
      <w:bookmarkStart w:id="736" w:name="p304"/>
      <w:bookmarkEnd w:id="736"/>
      <w:r w:rsidR="005E2129">
        <w:t xml:space="preserve">} </w:t>
      </w:r>
      <w:r>
        <w:t>Sois</w:t>
      </w:r>
      <w:r w:rsidR="00B546AF">
        <w:t> :</w:t>
      </w:r>
      <w:r w:rsidRPr="002C4077">
        <w:t xml:space="preserve"> </w:t>
      </w:r>
      <w:r>
        <w:t>béni,</w:t>
      </w:r>
      <w:r w:rsidRPr="002C4077">
        <w:t xml:space="preserve"> </w:t>
      </w:r>
      <w:r>
        <w:t>ô</w:t>
      </w:r>
      <w:r w:rsidRPr="002C4077">
        <w:t xml:space="preserve"> </w:t>
      </w:r>
      <w:r>
        <w:t>Seigneur,</w:t>
      </w:r>
      <w:r w:rsidRPr="002C4077">
        <w:t xml:space="preserve"> </w:t>
      </w:r>
      <w:r>
        <w:t>toi</w:t>
      </w:r>
      <w:r w:rsidRPr="002C4077">
        <w:t xml:space="preserve"> </w:t>
      </w:r>
      <w:r>
        <w:t>qui</w:t>
      </w:r>
      <w:r w:rsidRPr="002C4077">
        <w:t xml:space="preserve"> </w:t>
      </w:r>
      <w:r>
        <w:t>ressuscites</w:t>
      </w:r>
      <w:r w:rsidRPr="002C4077">
        <w:t xml:space="preserve"> </w:t>
      </w:r>
      <w:r>
        <w:t>les</w:t>
      </w:r>
      <w:r w:rsidRPr="002C4077">
        <w:t xml:space="preserve"> </w:t>
      </w:r>
      <w:r>
        <w:t>morts</w:t>
      </w:r>
      <w:r w:rsidR="00B546AF">
        <w:t> »</w:t>
      </w:r>
      <w:r>
        <w:t>.</w:t>
      </w:r>
      <w:r w:rsidRPr="002C4077">
        <w:t xml:space="preserve"> </w:t>
      </w:r>
    </w:p>
    <w:p w:rsidR="000A7AAB" w:rsidRDefault="000A7AAB" w:rsidP="000A7AAB">
      <w:r>
        <w:t>Après</w:t>
      </w:r>
      <w:r w:rsidRPr="002C4077">
        <w:t xml:space="preserve"> </w:t>
      </w:r>
      <w:r>
        <w:t>cette</w:t>
      </w:r>
      <w:r w:rsidRPr="002C4077">
        <w:t xml:space="preserve"> </w:t>
      </w:r>
      <w:r w:rsidRPr="000A34B5">
        <w:rPr>
          <w:rStyle w:val="italicus"/>
        </w:rPr>
        <w:t>Berâchah</w:t>
      </w:r>
      <w:r w:rsidRPr="004440EA">
        <w:t xml:space="preserve"> (</w:t>
      </w:r>
      <w:r>
        <w:t>bénédiction</w:t>
      </w:r>
      <w:r w:rsidR="00B546AF" w:rsidRPr="002C4077">
        <w:t>)</w:t>
      </w:r>
      <w:r w:rsidRPr="002C4077">
        <w:t xml:space="preserve"> </w:t>
      </w:r>
      <w:r>
        <w:t>pleine</w:t>
      </w:r>
      <w:r w:rsidRPr="002C4077">
        <w:t xml:space="preserve"> </w:t>
      </w:r>
      <w:r>
        <w:t>de</w:t>
      </w:r>
      <w:r w:rsidRPr="002C4077">
        <w:t xml:space="preserve"> </w:t>
      </w:r>
      <w:r>
        <w:t>foi,</w:t>
      </w:r>
      <w:r w:rsidRPr="002C4077">
        <w:t xml:space="preserve"> </w:t>
      </w:r>
      <w:r>
        <w:t>on</w:t>
      </w:r>
      <w:r w:rsidRPr="002C4077">
        <w:t xml:space="preserve"> </w:t>
      </w:r>
      <w:r>
        <w:t>ajoute</w:t>
      </w:r>
      <w:r w:rsidR="00B546AF">
        <w:t> :</w:t>
      </w:r>
      <w:r w:rsidRPr="002C4077">
        <w:t xml:space="preserve"> </w:t>
      </w:r>
      <w:r w:rsidR="00B546AF">
        <w:t>« </w:t>
      </w:r>
      <w:r>
        <w:t>Tu</w:t>
      </w:r>
      <w:r w:rsidRPr="002C4077">
        <w:t xml:space="preserve"> </w:t>
      </w:r>
      <w:r>
        <w:t>es</w:t>
      </w:r>
      <w:r w:rsidRPr="002C4077">
        <w:t xml:space="preserve"> </w:t>
      </w:r>
      <w:r>
        <w:t>puissant</w:t>
      </w:r>
      <w:r w:rsidRPr="002C4077">
        <w:t xml:space="preserve"> </w:t>
      </w:r>
      <w:r>
        <w:t>à</w:t>
      </w:r>
      <w:r w:rsidRPr="002C4077">
        <w:t xml:space="preserve"> </w:t>
      </w:r>
      <w:r>
        <w:t>jamais,</w:t>
      </w:r>
      <w:r w:rsidRPr="002C4077">
        <w:t xml:space="preserve"> </w:t>
      </w:r>
      <w:r>
        <w:t>Seigneur</w:t>
      </w:r>
      <w:r w:rsidR="00B546AF">
        <w:t> !</w:t>
      </w:r>
      <w:r w:rsidRPr="002C4077">
        <w:t xml:space="preserve"> </w:t>
      </w:r>
      <w:r>
        <w:t>Tu</w:t>
      </w:r>
      <w:r w:rsidRPr="002C4077">
        <w:t xml:space="preserve"> </w:t>
      </w:r>
      <w:r>
        <w:t>ressuscites</w:t>
      </w:r>
      <w:r w:rsidRPr="002C4077">
        <w:t xml:space="preserve"> </w:t>
      </w:r>
      <w:r>
        <w:t>les</w:t>
      </w:r>
      <w:r w:rsidRPr="002C4077">
        <w:t xml:space="preserve"> </w:t>
      </w:r>
      <w:r>
        <w:t>morts,</w:t>
      </w:r>
      <w:r w:rsidRPr="002C4077">
        <w:t xml:space="preserve"> </w:t>
      </w:r>
      <w:r>
        <w:t>ô</w:t>
      </w:r>
      <w:r w:rsidRPr="002C4077">
        <w:t xml:space="preserve"> </w:t>
      </w:r>
      <w:r>
        <w:t>toi</w:t>
      </w:r>
      <w:r w:rsidRPr="002C4077">
        <w:t xml:space="preserve"> </w:t>
      </w:r>
      <w:r>
        <w:t>qui</w:t>
      </w:r>
      <w:r w:rsidRPr="002C4077">
        <w:t xml:space="preserve"> </w:t>
      </w:r>
      <w:r>
        <w:t>es</w:t>
      </w:r>
      <w:r w:rsidRPr="002C4077">
        <w:t xml:space="preserve"> </w:t>
      </w:r>
      <w:r>
        <w:t>grand</w:t>
      </w:r>
      <w:r w:rsidRPr="002C4077">
        <w:t xml:space="preserve"> </w:t>
      </w:r>
      <w:r>
        <w:t>pour</w:t>
      </w:r>
      <w:r w:rsidRPr="002C4077">
        <w:t xml:space="preserve"> </w:t>
      </w:r>
      <w:r>
        <w:t>sauver.</w:t>
      </w:r>
      <w:r w:rsidRPr="002C4077">
        <w:t xml:space="preserve"> </w:t>
      </w:r>
      <w:r>
        <w:t>Ta</w:t>
      </w:r>
      <w:r w:rsidRPr="002C4077">
        <w:t xml:space="preserve"> </w:t>
      </w:r>
      <w:r>
        <w:t>grâce</w:t>
      </w:r>
      <w:r w:rsidRPr="002C4077">
        <w:t xml:space="preserve"> </w:t>
      </w:r>
      <w:r>
        <w:t>nourrit</w:t>
      </w:r>
      <w:r w:rsidRPr="002C4077">
        <w:t xml:space="preserve"> </w:t>
      </w:r>
      <w:r>
        <w:t>les</w:t>
      </w:r>
      <w:r w:rsidRPr="002C4077">
        <w:t xml:space="preserve"> </w:t>
      </w:r>
      <w:r>
        <w:t>vivants,</w:t>
      </w:r>
      <w:r w:rsidRPr="002C4077">
        <w:t xml:space="preserve"> </w:t>
      </w:r>
      <w:r>
        <w:t>tes</w:t>
      </w:r>
      <w:r w:rsidRPr="002C4077">
        <w:t xml:space="preserve"> </w:t>
      </w:r>
      <w:r>
        <w:t>miséricordes</w:t>
      </w:r>
      <w:r w:rsidRPr="002C4077">
        <w:t xml:space="preserve"> </w:t>
      </w:r>
      <w:r>
        <w:t>sans</w:t>
      </w:r>
      <w:r w:rsidRPr="002C4077">
        <w:t xml:space="preserve"> </w:t>
      </w:r>
      <w:r>
        <w:t>nombre</w:t>
      </w:r>
      <w:r w:rsidR="00B546AF">
        <w:t> :</w:t>
      </w:r>
      <w:r w:rsidRPr="002C4077">
        <w:t xml:space="preserve"> </w:t>
      </w:r>
      <w:r>
        <w:t>font</w:t>
      </w:r>
      <w:r w:rsidRPr="002C4077">
        <w:t xml:space="preserve"> </w:t>
      </w:r>
      <w:r>
        <w:t>revivre</w:t>
      </w:r>
      <w:r w:rsidRPr="002C4077">
        <w:t xml:space="preserve"> </w:t>
      </w:r>
      <w:r>
        <w:t>les</w:t>
      </w:r>
      <w:r w:rsidRPr="002C4077">
        <w:t xml:space="preserve"> </w:t>
      </w:r>
      <w:r>
        <w:t>morts</w:t>
      </w:r>
      <w:r w:rsidR="00B546AF">
        <w:t> ;</w:t>
      </w:r>
      <w:r w:rsidRPr="002C4077">
        <w:t xml:space="preserve"> </w:t>
      </w:r>
      <w:r>
        <w:t>tu</w:t>
      </w:r>
      <w:r w:rsidRPr="002C4077">
        <w:t xml:space="preserve"> </w:t>
      </w:r>
      <w:r>
        <w:t>es</w:t>
      </w:r>
      <w:r w:rsidRPr="002C4077">
        <w:t xml:space="preserve"> </w:t>
      </w:r>
      <w:r>
        <w:t>l’</w:t>
      </w:r>
      <w:r w:rsidR="003B53FD">
        <w:t>appui</w:t>
      </w:r>
      <w:r w:rsidRPr="002C4077">
        <w:t xml:space="preserve"> </w:t>
      </w:r>
      <w:r>
        <w:t>de</w:t>
      </w:r>
      <w:r w:rsidRPr="002C4077">
        <w:t xml:space="preserve"> </w:t>
      </w:r>
      <w:r>
        <w:t>ceux</w:t>
      </w:r>
      <w:r w:rsidRPr="002C4077">
        <w:t xml:space="preserve"> </w:t>
      </w:r>
      <w:r>
        <w:t>qui</w:t>
      </w:r>
      <w:r w:rsidRPr="002C4077">
        <w:t xml:space="preserve"> </w:t>
      </w:r>
      <w:r>
        <w:t>to</w:t>
      </w:r>
      <w:r w:rsidR="00795E7D">
        <w:t>m</w:t>
      </w:r>
      <w:r>
        <w:t>bent,</w:t>
      </w:r>
      <w:r w:rsidRPr="002C4077">
        <w:t xml:space="preserve"> </w:t>
      </w:r>
      <w:r>
        <w:t>la</w:t>
      </w:r>
      <w:r w:rsidRPr="002C4077">
        <w:t xml:space="preserve"> </w:t>
      </w:r>
      <w:r>
        <w:t>santé</w:t>
      </w:r>
      <w:r w:rsidRPr="002C4077">
        <w:t xml:space="preserve"> </w:t>
      </w:r>
      <w:r>
        <w:t>des</w:t>
      </w:r>
      <w:r w:rsidRPr="002C4077">
        <w:t xml:space="preserve"> </w:t>
      </w:r>
      <w:r>
        <w:t>malades,</w:t>
      </w:r>
      <w:r w:rsidRPr="002C4077">
        <w:t xml:space="preserve"> </w:t>
      </w:r>
      <w:r>
        <w:t>le</w:t>
      </w:r>
      <w:r w:rsidRPr="002C4077">
        <w:t xml:space="preserve"> </w:t>
      </w:r>
      <w:r>
        <w:t>libérateur</w:t>
      </w:r>
      <w:r w:rsidRPr="002C4077">
        <w:t xml:space="preserve"> </w:t>
      </w:r>
      <w:r>
        <w:t>de</w:t>
      </w:r>
      <w:r w:rsidRPr="002C4077">
        <w:t xml:space="preserve"> </w:t>
      </w:r>
      <w:r>
        <w:t>ceux</w:t>
      </w:r>
      <w:r w:rsidRPr="002C4077">
        <w:t xml:space="preserve"> </w:t>
      </w:r>
      <w:r>
        <w:t>qui</w:t>
      </w:r>
      <w:r w:rsidRPr="002C4077">
        <w:t xml:space="preserve"> </w:t>
      </w:r>
      <w:r>
        <w:t>sont</w:t>
      </w:r>
      <w:r w:rsidRPr="002C4077">
        <w:t xml:space="preserve"> </w:t>
      </w:r>
      <w:r>
        <w:t>enchaînés.</w:t>
      </w:r>
      <w:r w:rsidRPr="002C4077">
        <w:t xml:space="preserve"> </w:t>
      </w:r>
      <w:r>
        <w:t>Tu</w:t>
      </w:r>
      <w:r w:rsidRPr="002C4077">
        <w:t xml:space="preserve"> </w:t>
      </w:r>
      <w:r>
        <w:t>tiens</w:t>
      </w:r>
      <w:r w:rsidRPr="002C4077">
        <w:t xml:space="preserve"> </w:t>
      </w:r>
      <w:r>
        <w:t>fidèlement</w:t>
      </w:r>
      <w:r w:rsidRPr="002C4077">
        <w:t xml:space="preserve"> </w:t>
      </w:r>
      <w:r>
        <w:t>ta</w:t>
      </w:r>
      <w:r w:rsidRPr="002C4077">
        <w:t xml:space="preserve"> </w:t>
      </w:r>
      <w:r>
        <w:t>promesse</w:t>
      </w:r>
      <w:r w:rsidRPr="002C4077">
        <w:t xml:space="preserve"> </w:t>
      </w:r>
      <w:r>
        <w:t>envers</w:t>
      </w:r>
      <w:r w:rsidRPr="002C4077">
        <w:t xml:space="preserve"> </w:t>
      </w:r>
      <w:r>
        <w:t>ceux</w:t>
      </w:r>
      <w:r w:rsidRPr="002C4077">
        <w:t xml:space="preserve"> </w:t>
      </w:r>
      <w:r>
        <w:t>qui</w:t>
      </w:r>
      <w:r w:rsidRPr="002C4077">
        <w:t xml:space="preserve"> </w:t>
      </w:r>
      <w:r>
        <w:t>dorment</w:t>
      </w:r>
      <w:r w:rsidRPr="002C4077">
        <w:t xml:space="preserve"> </w:t>
      </w:r>
      <w:r>
        <w:t>dans</w:t>
      </w:r>
      <w:r w:rsidRPr="002C4077">
        <w:t xml:space="preserve"> </w:t>
      </w:r>
      <w:r>
        <w:t>la</w:t>
      </w:r>
      <w:r w:rsidRPr="002C4077">
        <w:t xml:space="preserve"> </w:t>
      </w:r>
      <w:r>
        <w:t>poussière.</w:t>
      </w:r>
      <w:r w:rsidRPr="002C4077">
        <w:t xml:space="preserve"> </w:t>
      </w:r>
      <w:r>
        <w:t>Qui</w:t>
      </w:r>
      <w:r w:rsidRPr="002C4077">
        <w:t xml:space="preserve"> </w:t>
      </w:r>
      <w:r w:rsidR="00425C50">
        <w:t>est</w:t>
      </w:r>
      <w:r w:rsidRPr="002C4077">
        <w:t xml:space="preserve"> </w:t>
      </w:r>
      <w:r>
        <w:t>comme</w:t>
      </w:r>
      <w:r w:rsidRPr="002C4077">
        <w:t xml:space="preserve"> </w:t>
      </w:r>
      <w:r>
        <w:t>toi,</w:t>
      </w:r>
      <w:r w:rsidRPr="002C4077">
        <w:t xml:space="preserve"> </w:t>
      </w:r>
      <w:r>
        <w:t>ô</w:t>
      </w:r>
      <w:r w:rsidRPr="002C4077">
        <w:t xml:space="preserve"> </w:t>
      </w:r>
      <w:r>
        <w:t>Seigneur</w:t>
      </w:r>
      <w:r w:rsidRPr="002C4077">
        <w:t xml:space="preserve"> </w:t>
      </w:r>
      <w:r>
        <w:t>des</w:t>
      </w:r>
      <w:r w:rsidRPr="002C4077">
        <w:t xml:space="preserve"> </w:t>
      </w:r>
      <w:r>
        <w:t>vertus</w:t>
      </w:r>
      <w:r w:rsidR="00B546AF">
        <w:t> ?</w:t>
      </w:r>
      <w:r w:rsidRPr="002C4077">
        <w:t xml:space="preserve"> </w:t>
      </w:r>
      <w:r>
        <w:t>Qui</w:t>
      </w:r>
      <w:r w:rsidRPr="002C4077">
        <w:t xml:space="preserve"> </w:t>
      </w:r>
      <w:r>
        <w:t>te</w:t>
      </w:r>
      <w:r w:rsidRPr="002C4077">
        <w:t xml:space="preserve"> </w:t>
      </w:r>
      <w:r>
        <w:t>ressemble,</w:t>
      </w:r>
      <w:r w:rsidRPr="002C4077">
        <w:t xml:space="preserve"> </w:t>
      </w:r>
      <w:r>
        <w:t>ô</w:t>
      </w:r>
      <w:r w:rsidRPr="002C4077">
        <w:t xml:space="preserve"> </w:t>
      </w:r>
      <w:r>
        <w:t>Dieu</w:t>
      </w:r>
      <w:r w:rsidRPr="002C4077">
        <w:t xml:space="preserve"> </w:t>
      </w:r>
      <w:r>
        <w:t>qui</w:t>
      </w:r>
      <w:r w:rsidRPr="002C4077">
        <w:t xml:space="preserve"> </w:t>
      </w:r>
      <w:r>
        <w:t>fais</w:t>
      </w:r>
      <w:r w:rsidRPr="002C4077">
        <w:t xml:space="preserve"> </w:t>
      </w:r>
      <w:r>
        <w:t>mourir</w:t>
      </w:r>
      <w:r w:rsidRPr="002C4077">
        <w:t xml:space="preserve"> </w:t>
      </w:r>
      <w:r>
        <w:t>et</w:t>
      </w:r>
      <w:r w:rsidRPr="002C4077">
        <w:t xml:space="preserve"> </w:t>
      </w:r>
      <w:r>
        <w:t>qui</w:t>
      </w:r>
      <w:r w:rsidRPr="002C4077">
        <w:t xml:space="preserve"> </w:t>
      </w:r>
      <w:r>
        <w:t>vivifies,</w:t>
      </w:r>
      <w:r w:rsidRPr="002C4077">
        <w:t xml:space="preserve"> </w:t>
      </w:r>
      <w:r>
        <w:t>et</w:t>
      </w:r>
      <w:r w:rsidRPr="002C4077">
        <w:t xml:space="preserve"> </w:t>
      </w:r>
      <w:r>
        <w:t>qui</w:t>
      </w:r>
      <w:r w:rsidRPr="002C4077">
        <w:t xml:space="preserve"> </w:t>
      </w:r>
      <w:r>
        <w:t>fais</w:t>
      </w:r>
      <w:r w:rsidRPr="002C4077">
        <w:t xml:space="preserve"> </w:t>
      </w:r>
      <w:r>
        <w:t>germer</w:t>
      </w:r>
      <w:r w:rsidRPr="002C4077">
        <w:t xml:space="preserve"> </w:t>
      </w:r>
      <w:r>
        <w:t>le</w:t>
      </w:r>
      <w:r w:rsidRPr="002C4077">
        <w:t xml:space="preserve"> </w:t>
      </w:r>
      <w:r>
        <w:t>salut</w:t>
      </w:r>
      <w:r w:rsidR="00B546AF">
        <w:t> ?</w:t>
      </w:r>
      <w:r w:rsidRPr="002C4077">
        <w:t xml:space="preserve"> </w:t>
      </w:r>
      <w:r>
        <w:t>Tu</w:t>
      </w:r>
      <w:r w:rsidRPr="002C4077">
        <w:t xml:space="preserve"> </w:t>
      </w:r>
      <w:r>
        <w:t>es</w:t>
      </w:r>
      <w:r w:rsidRPr="002C4077">
        <w:t xml:space="preserve"> </w:t>
      </w:r>
      <w:r>
        <w:t>fidèle</w:t>
      </w:r>
      <w:r w:rsidRPr="002C4077">
        <w:t xml:space="preserve"> </w:t>
      </w:r>
      <w:r>
        <w:t>pour</w:t>
      </w:r>
      <w:r w:rsidRPr="002C4077">
        <w:t xml:space="preserve"> </w:t>
      </w:r>
      <w:r>
        <w:t>ressusciter</w:t>
      </w:r>
      <w:r w:rsidRPr="002C4077">
        <w:t xml:space="preserve"> </w:t>
      </w:r>
      <w:r>
        <w:t>les</w:t>
      </w:r>
      <w:r w:rsidRPr="002C4077">
        <w:t xml:space="preserve"> </w:t>
      </w:r>
      <w:r>
        <w:t>morts</w:t>
      </w:r>
      <w:r w:rsidR="00B91AF7">
        <w:rPr>
          <w:rStyle w:val="Appelnotedebasdep"/>
        </w:rPr>
        <w:footnoteReference w:id="906"/>
      </w:r>
      <w:r w:rsidR="00B546AF">
        <w:t> »</w:t>
      </w:r>
      <w:r>
        <w:t>.</w:t>
      </w:r>
      <w:r w:rsidRPr="002C4077">
        <w:t xml:space="preserve"> </w:t>
      </w:r>
    </w:p>
    <w:p w:rsidR="000A7AAB" w:rsidRDefault="000A7AAB" w:rsidP="000A7AAB">
      <w:r>
        <w:t>On</w:t>
      </w:r>
      <w:r w:rsidRPr="002C4077">
        <w:t xml:space="preserve"> </w:t>
      </w:r>
      <w:r>
        <w:t>récite</w:t>
      </w:r>
      <w:r w:rsidRPr="002C4077">
        <w:t xml:space="preserve"> </w:t>
      </w:r>
      <w:r>
        <w:t>ensuite</w:t>
      </w:r>
      <w:r w:rsidRPr="002C4077">
        <w:t xml:space="preserve"> </w:t>
      </w:r>
      <w:r>
        <w:t>cette</w:t>
      </w:r>
      <w:r w:rsidRPr="002C4077">
        <w:t xml:space="preserve"> </w:t>
      </w:r>
      <w:r>
        <w:t>belle</w:t>
      </w:r>
      <w:r w:rsidRPr="002C4077">
        <w:t xml:space="preserve"> </w:t>
      </w:r>
      <w:r>
        <w:t>prière</w:t>
      </w:r>
      <w:r w:rsidRPr="002C4077">
        <w:t xml:space="preserve"> </w:t>
      </w:r>
      <w:r>
        <w:t>sur</w:t>
      </w:r>
      <w:r w:rsidRPr="002C4077">
        <w:t xml:space="preserve"> </w:t>
      </w:r>
      <w:r>
        <w:t>la</w:t>
      </w:r>
      <w:r w:rsidRPr="002C4077">
        <w:t xml:space="preserve"> </w:t>
      </w:r>
      <w:r>
        <w:t>tombe</w:t>
      </w:r>
      <w:r w:rsidRPr="002C4077">
        <w:t xml:space="preserve"> </w:t>
      </w:r>
      <w:r>
        <w:t>que</w:t>
      </w:r>
      <w:r w:rsidRPr="002C4077">
        <w:t xml:space="preserve"> </w:t>
      </w:r>
      <w:r>
        <w:t>l’on</w:t>
      </w:r>
      <w:r w:rsidRPr="002C4077">
        <w:t xml:space="preserve"> </w:t>
      </w:r>
      <w:r>
        <w:t>vient</w:t>
      </w:r>
      <w:r w:rsidRPr="002C4077">
        <w:t xml:space="preserve"> </w:t>
      </w:r>
      <w:r>
        <w:t>visiter</w:t>
      </w:r>
      <w:r w:rsidR="00B546AF">
        <w:t> :</w:t>
      </w:r>
      <w:r w:rsidRPr="002C4077">
        <w:t xml:space="preserve"> </w:t>
      </w:r>
      <w:r w:rsidR="00B546AF">
        <w:t>« </w:t>
      </w:r>
      <w:r>
        <w:t>Que</w:t>
      </w:r>
      <w:r w:rsidRPr="002C4077">
        <w:t xml:space="preserve"> </w:t>
      </w:r>
      <w:r>
        <w:t>la</w:t>
      </w:r>
      <w:r w:rsidRPr="002C4077">
        <w:t xml:space="preserve"> </w:t>
      </w:r>
      <w:r>
        <w:t>paix</w:t>
      </w:r>
      <w:r w:rsidRPr="002C4077">
        <w:t xml:space="preserve"> </w:t>
      </w:r>
      <w:r>
        <w:t>soit</w:t>
      </w:r>
      <w:r w:rsidRPr="002C4077">
        <w:t xml:space="preserve"> </w:t>
      </w:r>
      <w:r>
        <w:t>avec</w:t>
      </w:r>
      <w:r w:rsidRPr="002C4077">
        <w:t xml:space="preserve"> </w:t>
      </w:r>
      <w:r>
        <w:t>toi</w:t>
      </w:r>
      <w:r w:rsidR="00B546AF">
        <w:t> !</w:t>
      </w:r>
      <w:r w:rsidRPr="002C4077">
        <w:t xml:space="preserve"> </w:t>
      </w:r>
      <w:r>
        <w:t>Que</w:t>
      </w:r>
      <w:r w:rsidRPr="002C4077">
        <w:t xml:space="preserve"> </w:t>
      </w:r>
      <w:r>
        <w:t>Dieu</w:t>
      </w:r>
      <w:r w:rsidRPr="002C4077">
        <w:t xml:space="preserve"> </w:t>
      </w:r>
      <w:r>
        <w:t>se</w:t>
      </w:r>
      <w:r w:rsidRPr="002C4077">
        <w:t xml:space="preserve"> </w:t>
      </w:r>
      <w:r>
        <w:t>souvienne</w:t>
      </w:r>
      <w:r w:rsidRPr="002C4077">
        <w:t xml:space="preserve"> </w:t>
      </w:r>
      <w:r>
        <w:t>de</w:t>
      </w:r>
      <w:r w:rsidRPr="002C4077">
        <w:t xml:space="preserve"> </w:t>
      </w:r>
      <w:r>
        <w:t>ton</w:t>
      </w:r>
      <w:r w:rsidRPr="002C4077">
        <w:t xml:space="preserve"> </w:t>
      </w:r>
      <w:r>
        <w:t>âme</w:t>
      </w:r>
      <w:r w:rsidRPr="002C4077">
        <w:t xml:space="preserve"> </w:t>
      </w:r>
      <w:r>
        <w:t>pour</w:t>
      </w:r>
      <w:r w:rsidRPr="002C4077">
        <w:t xml:space="preserve"> </w:t>
      </w:r>
      <w:r>
        <w:t>ton</w:t>
      </w:r>
      <w:r w:rsidRPr="002C4077">
        <w:t xml:space="preserve"> </w:t>
      </w:r>
      <w:r>
        <w:t>bien,</w:t>
      </w:r>
      <w:r w:rsidRPr="002C4077">
        <w:t xml:space="preserve"> </w:t>
      </w:r>
      <w:r>
        <w:t>de</w:t>
      </w:r>
      <w:r w:rsidRPr="002C4077">
        <w:t xml:space="preserve"> </w:t>
      </w:r>
      <w:r>
        <w:t>sorte</w:t>
      </w:r>
      <w:r w:rsidRPr="002C4077">
        <w:t xml:space="preserve"> </w:t>
      </w:r>
      <w:r>
        <w:t>que</w:t>
      </w:r>
      <w:r w:rsidRPr="002C4077">
        <w:t xml:space="preserve"> </w:t>
      </w:r>
      <w:r>
        <w:t>tu</w:t>
      </w:r>
      <w:r w:rsidRPr="002C4077">
        <w:t xml:space="preserve"> </w:t>
      </w:r>
      <w:r>
        <w:t>dormes</w:t>
      </w:r>
      <w:r w:rsidRPr="002C4077">
        <w:t xml:space="preserve"> </w:t>
      </w:r>
      <w:r>
        <w:t>un</w:t>
      </w:r>
      <w:r w:rsidRPr="002C4077">
        <w:t xml:space="preserve"> </w:t>
      </w:r>
      <w:r>
        <w:t>doux</w:t>
      </w:r>
      <w:r w:rsidRPr="002C4077">
        <w:t xml:space="preserve"> </w:t>
      </w:r>
      <w:r>
        <w:t>sommeil,</w:t>
      </w:r>
      <w:r w:rsidRPr="002C4077">
        <w:t xml:space="preserve"> </w:t>
      </w:r>
      <w:r>
        <w:t>que</w:t>
      </w:r>
      <w:r w:rsidRPr="002C4077">
        <w:t xml:space="preserve"> </w:t>
      </w:r>
      <w:r>
        <w:t>tu</w:t>
      </w:r>
      <w:r w:rsidRPr="002C4077">
        <w:t xml:space="preserve"> </w:t>
      </w:r>
      <w:r>
        <w:t>jouisses</w:t>
      </w:r>
      <w:r w:rsidRPr="002C4077">
        <w:t xml:space="preserve"> </w:t>
      </w:r>
      <w:r>
        <w:t>d’un</w:t>
      </w:r>
      <w:r w:rsidRPr="002C4077">
        <w:t xml:space="preserve"> </w:t>
      </w:r>
      <w:r>
        <w:t>parfait</w:t>
      </w:r>
      <w:r w:rsidRPr="002C4077">
        <w:t xml:space="preserve"> </w:t>
      </w:r>
      <w:r>
        <w:t>repos</w:t>
      </w:r>
      <w:r w:rsidRPr="002C4077">
        <w:t xml:space="preserve"> </w:t>
      </w:r>
      <w:r>
        <w:t>dans</w:t>
      </w:r>
      <w:r w:rsidRPr="002C4077">
        <w:t xml:space="preserve"> </w:t>
      </w:r>
      <w:r>
        <w:t>ta</w:t>
      </w:r>
      <w:r w:rsidRPr="002C4077">
        <w:t xml:space="preserve"> </w:t>
      </w:r>
      <w:r>
        <w:t>tombe</w:t>
      </w:r>
      <w:r w:rsidR="00B546AF">
        <w:t> !</w:t>
      </w:r>
      <w:r w:rsidRPr="002C4077">
        <w:t xml:space="preserve"> </w:t>
      </w:r>
      <w:r>
        <w:t>Que</w:t>
      </w:r>
      <w:r w:rsidRPr="002C4077">
        <w:t xml:space="preserve"> </w:t>
      </w:r>
      <w:r>
        <w:t>ta</w:t>
      </w:r>
      <w:r w:rsidRPr="002C4077">
        <w:t xml:space="preserve"> </w:t>
      </w:r>
      <w:r>
        <w:t>piété</w:t>
      </w:r>
      <w:r w:rsidRPr="002C4077">
        <w:t xml:space="preserve"> </w:t>
      </w:r>
      <w:r>
        <w:t>soit</w:t>
      </w:r>
      <w:r w:rsidRPr="002C4077">
        <w:t xml:space="preserve"> </w:t>
      </w:r>
      <w:r>
        <w:t>une</w:t>
      </w:r>
      <w:r w:rsidRPr="002C4077">
        <w:t xml:space="preserve"> </w:t>
      </w:r>
      <w:r>
        <w:t>protection</w:t>
      </w:r>
      <w:r w:rsidRPr="002C4077">
        <w:t xml:space="preserve"> </w:t>
      </w:r>
      <w:r>
        <w:t>pour</w:t>
      </w:r>
      <w:r w:rsidRPr="002C4077">
        <w:t xml:space="preserve"> </w:t>
      </w:r>
      <w:r>
        <w:t>moi</w:t>
      </w:r>
      <w:r w:rsidRPr="002C4077">
        <w:t xml:space="preserve"> </w:t>
      </w:r>
      <w:r>
        <w:t>au</w:t>
      </w:r>
      <w:r w:rsidRPr="002C4077">
        <w:t xml:space="preserve"> </w:t>
      </w:r>
      <w:r>
        <w:t>jour</w:t>
      </w:r>
      <w:r w:rsidRPr="002C4077">
        <w:t xml:space="preserve"> </w:t>
      </w:r>
      <w:r>
        <w:t>de</w:t>
      </w:r>
      <w:r w:rsidRPr="002C4077">
        <w:t xml:space="preserve"> </w:t>
      </w:r>
      <w:r>
        <w:t>l’angoisse</w:t>
      </w:r>
      <w:r w:rsidR="00B546AF">
        <w:t> !</w:t>
      </w:r>
      <w:r w:rsidRPr="002C4077">
        <w:t xml:space="preserve"> </w:t>
      </w:r>
      <w:r>
        <w:t>Que</w:t>
      </w:r>
      <w:r w:rsidRPr="002C4077">
        <w:t xml:space="preserve"> </w:t>
      </w:r>
      <w:r>
        <w:t>ton</w:t>
      </w:r>
      <w:r w:rsidRPr="002C4077">
        <w:t xml:space="preserve"> </w:t>
      </w:r>
      <w:r>
        <w:t>âme</w:t>
      </w:r>
      <w:r w:rsidRPr="002C4077">
        <w:t xml:space="preserve"> </w:t>
      </w:r>
      <w:r>
        <w:t>soit</w:t>
      </w:r>
      <w:r w:rsidRPr="002C4077">
        <w:t xml:space="preserve"> </w:t>
      </w:r>
      <w:r>
        <w:t>liée</w:t>
      </w:r>
      <w:r w:rsidRPr="002C4077">
        <w:t xml:space="preserve"> </w:t>
      </w:r>
      <w:r>
        <w:t>dans</w:t>
      </w:r>
      <w:r w:rsidRPr="002C4077">
        <w:t xml:space="preserve"> </w:t>
      </w:r>
      <w:r>
        <w:t>le</w:t>
      </w:r>
      <w:r w:rsidRPr="002C4077">
        <w:t xml:space="preserve"> </w:t>
      </w:r>
      <w:r>
        <w:t>faisceau</w:t>
      </w:r>
      <w:r w:rsidRPr="002C4077">
        <w:t xml:space="preserve"> </w:t>
      </w:r>
      <w:r>
        <w:t>des</w:t>
      </w:r>
      <w:r w:rsidRPr="002C4077">
        <w:t xml:space="preserve"> </w:t>
      </w:r>
      <w:r>
        <w:t>vivants,</w:t>
      </w:r>
      <w:r w:rsidRPr="002C4077">
        <w:t xml:space="preserve"> </w:t>
      </w:r>
      <w:r>
        <w:t>avec</w:t>
      </w:r>
      <w:r w:rsidRPr="002C4077">
        <w:t xml:space="preserve"> </w:t>
      </w:r>
      <w:r>
        <w:t>les</w:t>
      </w:r>
      <w:r w:rsidRPr="002C4077">
        <w:t xml:space="preserve"> </w:t>
      </w:r>
      <w:r>
        <w:t>justes</w:t>
      </w:r>
      <w:r w:rsidRPr="002C4077">
        <w:t xml:space="preserve"> </w:t>
      </w:r>
      <w:r>
        <w:t>qui</w:t>
      </w:r>
      <w:r w:rsidRPr="002C4077">
        <w:t xml:space="preserve"> </w:t>
      </w:r>
      <w:r>
        <w:t>sont</w:t>
      </w:r>
      <w:r w:rsidRPr="002C4077">
        <w:t xml:space="preserve"> </w:t>
      </w:r>
      <w:r>
        <w:t>dans</w:t>
      </w:r>
      <w:r w:rsidRPr="002C4077">
        <w:t xml:space="preserve"> </w:t>
      </w:r>
      <w:r>
        <w:t>le</w:t>
      </w:r>
      <w:r w:rsidRPr="002C4077">
        <w:t xml:space="preserve"> </w:t>
      </w:r>
      <w:r>
        <w:t>jardin</w:t>
      </w:r>
      <w:r w:rsidRPr="002C4077">
        <w:t xml:space="preserve"> </w:t>
      </w:r>
      <w:r>
        <w:t>de</w:t>
      </w:r>
      <w:r w:rsidRPr="002C4077">
        <w:t xml:space="preserve"> </w:t>
      </w:r>
      <w:r>
        <w:t>délices</w:t>
      </w:r>
      <w:r w:rsidR="00B546AF">
        <w:t> !</w:t>
      </w:r>
      <w:r w:rsidRPr="002C4077">
        <w:t xml:space="preserve"> </w:t>
      </w:r>
      <w:bookmarkStart w:id="737" w:name="z_CimetieresJuifs_o11"/>
      <w:bookmarkEnd w:id="737"/>
      <w:r>
        <w:t>Amen</w:t>
      </w:r>
      <w:r w:rsidR="00B91AF7">
        <w:rPr>
          <w:rStyle w:val="Appelnotedebasdep"/>
        </w:rPr>
        <w:footnoteReference w:id="907"/>
      </w:r>
      <w:r w:rsidR="00B546AF">
        <w:t> »</w:t>
      </w:r>
      <w:r>
        <w:t>.</w:t>
      </w:r>
      <w:r w:rsidRPr="002C4077">
        <w:t xml:space="preserve"> </w:t>
      </w:r>
    </w:p>
    <w:p w:rsidR="000A7AAB" w:rsidRPr="005E2129" w:rsidRDefault="000A7AAB" w:rsidP="000A7AAB">
      <w:r>
        <w:t>Chacun</w:t>
      </w:r>
      <w:r w:rsidRPr="002C4077">
        <w:t xml:space="preserve"> </w:t>
      </w:r>
      <w:r w:rsidR="00425C50">
        <w:t>est</w:t>
      </w:r>
      <w:r w:rsidRPr="002C4077">
        <w:t xml:space="preserve"> </w:t>
      </w:r>
      <w:r>
        <w:t>laissé,</w:t>
      </w:r>
      <w:r w:rsidRPr="002C4077">
        <w:t xml:space="preserve"> </w:t>
      </w:r>
      <w:r>
        <w:t>après</w:t>
      </w:r>
      <w:r w:rsidRPr="002C4077">
        <w:t xml:space="preserve"> </w:t>
      </w:r>
      <w:r>
        <w:t>cela,</w:t>
      </w:r>
      <w:r w:rsidRPr="002C4077">
        <w:t xml:space="preserve"> </w:t>
      </w:r>
      <w:r>
        <w:t>à</w:t>
      </w:r>
      <w:r w:rsidRPr="002C4077">
        <w:t xml:space="preserve"> </w:t>
      </w:r>
      <w:r>
        <w:t>sa</w:t>
      </w:r>
      <w:r w:rsidRPr="002C4077">
        <w:t xml:space="preserve"> </w:t>
      </w:r>
      <w:r>
        <w:t>dévotion</w:t>
      </w:r>
      <w:r w:rsidRPr="002C4077">
        <w:t xml:space="preserve"> </w:t>
      </w:r>
      <w:r>
        <w:t>particulière.</w:t>
      </w:r>
      <w:r w:rsidRPr="002C4077">
        <w:t xml:space="preserve"> </w:t>
      </w:r>
      <w:r>
        <w:t>Du</w:t>
      </w:r>
      <w:r w:rsidRPr="002C4077">
        <w:t xml:space="preserve"> </w:t>
      </w:r>
      <w:r>
        <w:t>reste,</w:t>
      </w:r>
      <w:r w:rsidRPr="002C4077">
        <w:t xml:space="preserve"> </w:t>
      </w:r>
      <w:r>
        <w:t>les</w:t>
      </w:r>
      <w:r w:rsidRPr="002C4077">
        <w:t xml:space="preserve"> </w:t>
      </w:r>
      <w:r>
        <w:t>livres</w:t>
      </w:r>
      <w:r w:rsidRPr="002C4077">
        <w:t xml:space="preserve"> </w:t>
      </w:r>
      <w:r>
        <w:t>de</w:t>
      </w:r>
      <w:r w:rsidRPr="002C4077">
        <w:t xml:space="preserve"> </w:t>
      </w:r>
      <w:r>
        <w:t>prières</w:t>
      </w:r>
      <w:r w:rsidRPr="002C4077">
        <w:t xml:space="preserve"> </w:t>
      </w:r>
      <w:r>
        <w:t>à</w:t>
      </w:r>
      <w:r w:rsidRPr="002C4077">
        <w:t xml:space="preserve"> </w:t>
      </w:r>
      <w:r>
        <w:t>l’usage</w:t>
      </w:r>
      <w:r w:rsidRPr="002C4077">
        <w:t xml:space="preserve"> </w:t>
      </w:r>
      <w:r>
        <w:t>des</w:t>
      </w:r>
      <w:r w:rsidRPr="002C4077">
        <w:t xml:space="preserve"> </w:t>
      </w:r>
      <w:r>
        <w:t>Israélites</w:t>
      </w:r>
      <w:r w:rsidRPr="002C4077">
        <w:t xml:space="preserve"> </w:t>
      </w:r>
      <w:r>
        <w:t>abondent</w:t>
      </w:r>
      <w:r w:rsidRPr="002C4077">
        <w:t xml:space="preserve"> </w:t>
      </w:r>
      <w:r>
        <w:t>en</w:t>
      </w:r>
      <w:r w:rsidRPr="002C4077">
        <w:t xml:space="preserve"> </w:t>
      </w:r>
      <w:r>
        <w:t>invocations</w:t>
      </w:r>
      <w:r w:rsidRPr="002C4077">
        <w:t xml:space="preserve"> </w:t>
      </w:r>
      <w:r>
        <w:t>mortuaires,</w:t>
      </w:r>
      <w:r w:rsidRPr="002C4077">
        <w:t xml:space="preserve"> </w:t>
      </w:r>
      <w:r>
        <w:t>qui</w:t>
      </w:r>
      <w:r w:rsidRPr="002C4077">
        <w:t xml:space="preserve"> </w:t>
      </w:r>
      <w:r>
        <w:t>s’adaptent</w:t>
      </w:r>
      <w:r w:rsidRPr="002C4077">
        <w:t xml:space="preserve"> </w:t>
      </w:r>
      <w:r>
        <w:t>aux</w:t>
      </w:r>
      <w:r w:rsidRPr="002C4077">
        <w:t xml:space="preserve"> </w:t>
      </w:r>
      <w:r>
        <w:t>diverses</w:t>
      </w:r>
      <w:r w:rsidRPr="002C4077">
        <w:t xml:space="preserve"> </w:t>
      </w:r>
      <w:r>
        <w:t>circonstances</w:t>
      </w:r>
      <w:r w:rsidRPr="002C4077">
        <w:t xml:space="preserve"> </w:t>
      </w:r>
      <w:r>
        <w:t>dans</w:t>
      </w:r>
      <w:r w:rsidRPr="002C4077">
        <w:t xml:space="preserve"> </w:t>
      </w:r>
      <w:r>
        <w:t>lesquelles</w:t>
      </w:r>
      <w:r w:rsidRPr="002C4077">
        <w:t xml:space="preserve"> </w:t>
      </w:r>
      <w:r>
        <w:t>peut</w:t>
      </w:r>
      <w:r w:rsidRPr="002C4077">
        <w:t xml:space="preserve"> </w:t>
      </w:r>
      <w:r>
        <w:t>se</w:t>
      </w:r>
      <w:r w:rsidRPr="002C4077">
        <w:t xml:space="preserve"> </w:t>
      </w:r>
      <w:r>
        <w:t>trouver</w:t>
      </w:r>
      <w:r w:rsidRPr="002C4077">
        <w:t xml:space="preserve"> </w:t>
      </w:r>
      <w:r>
        <w:t>le</w:t>
      </w:r>
      <w:r w:rsidRPr="002C4077">
        <w:t xml:space="preserve"> </w:t>
      </w:r>
      <w:r>
        <w:t>pieux</w:t>
      </w:r>
      <w:r w:rsidRPr="002C4077">
        <w:t xml:space="preserve"> </w:t>
      </w:r>
      <w:r>
        <w:t>visiteur</w:t>
      </w:r>
      <w:r w:rsidR="00B546AF">
        <w:t> :</w:t>
      </w:r>
      <w:r w:rsidRPr="002C4077">
        <w:t xml:space="preserve"> </w:t>
      </w:r>
      <w:r>
        <w:t>prière</w:t>
      </w:r>
      <w:r w:rsidRPr="002C4077">
        <w:t xml:space="preserve"> </w:t>
      </w:r>
      <w:r>
        <w:t>pour</w:t>
      </w:r>
      <w:r w:rsidRPr="002C4077">
        <w:t xml:space="preserve"> </w:t>
      </w:r>
      <w:r>
        <w:t>l’âme</w:t>
      </w:r>
      <w:r w:rsidRPr="002C4077">
        <w:t xml:space="preserve"> </w:t>
      </w:r>
      <w:r>
        <w:t>d’un</w:t>
      </w:r>
      <w:r w:rsidRPr="002C4077">
        <w:t xml:space="preserve"> </w:t>
      </w:r>
      <w:r>
        <w:t>père</w:t>
      </w:r>
      <w:r w:rsidRPr="002C4077">
        <w:t xml:space="preserve"> </w:t>
      </w:r>
      <w:r>
        <w:t>défunt,</w:t>
      </w:r>
      <w:r w:rsidRPr="002C4077">
        <w:t xml:space="preserve"> </w:t>
      </w:r>
      <w:r>
        <w:t>pour</w:t>
      </w:r>
      <w:r w:rsidRPr="002C4077">
        <w:t xml:space="preserve"> </w:t>
      </w:r>
      <w:r>
        <w:t>l’âme</w:t>
      </w:r>
      <w:r w:rsidRPr="002C4077">
        <w:t xml:space="preserve"> </w:t>
      </w:r>
      <w:r>
        <w:t>d’une</w:t>
      </w:r>
      <w:r w:rsidRPr="002C4077">
        <w:t xml:space="preserve"> </w:t>
      </w:r>
      <w:r>
        <w:t>mère</w:t>
      </w:r>
      <w:r w:rsidRPr="002C4077">
        <w:t xml:space="preserve"> </w:t>
      </w:r>
      <w:r>
        <w:t>défunte,</w:t>
      </w:r>
      <w:r w:rsidRPr="002C4077">
        <w:t xml:space="preserve"> </w:t>
      </w:r>
      <w:r>
        <w:t>pour</w:t>
      </w:r>
      <w:r w:rsidRPr="002C4077">
        <w:t xml:space="preserve"> </w:t>
      </w:r>
      <w:r>
        <w:t>des</w:t>
      </w:r>
      <w:r w:rsidRPr="002C4077">
        <w:t xml:space="preserve"> </w:t>
      </w:r>
      <w:r>
        <w:t>frères</w:t>
      </w:r>
      <w:r w:rsidRPr="002C4077">
        <w:t xml:space="preserve"> </w:t>
      </w:r>
      <w:r>
        <w:t>et</w:t>
      </w:r>
      <w:r w:rsidRPr="002C4077">
        <w:t xml:space="preserve"> </w:t>
      </w:r>
      <w:r>
        <w:t>des</w:t>
      </w:r>
      <w:r w:rsidRPr="002C4077">
        <w:t xml:space="preserve"> </w:t>
      </w:r>
      <w:r>
        <w:t>sœurs,</w:t>
      </w:r>
      <w:r w:rsidRPr="002C4077">
        <w:t xml:space="preserve"> </w:t>
      </w:r>
      <w:r w:rsidR="00425C50">
        <w:t>etc</w:t>
      </w:r>
      <w:r>
        <w:t>.</w:t>
      </w:r>
      <w:r w:rsidR="00B546AF">
        <w:t> ;</w:t>
      </w:r>
      <w:r w:rsidRPr="002C4077">
        <w:t xml:space="preserve"> </w:t>
      </w:r>
      <w:r>
        <w:t>prière</w:t>
      </w:r>
      <w:r w:rsidRPr="002C4077">
        <w:t xml:space="preserve"> </w:t>
      </w:r>
      <w:r>
        <w:t>d’un</w:t>
      </w:r>
      <w:r w:rsidRPr="002C4077">
        <w:t xml:space="preserve"> </w:t>
      </w:r>
      <w:r>
        <w:t>enfant</w:t>
      </w:r>
      <w:r w:rsidRPr="002C4077">
        <w:t xml:space="preserve"> </w:t>
      </w:r>
      <w:r>
        <w:t>pour</w:t>
      </w:r>
      <w:r w:rsidRPr="002C4077">
        <w:t xml:space="preserve"> </w:t>
      </w:r>
      <w:r>
        <w:t>des</w:t>
      </w:r>
      <w:r w:rsidRPr="002C4077">
        <w:t xml:space="preserve"> </w:t>
      </w:r>
      <w:r>
        <w:t>parents</w:t>
      </w:r>
      <w:r w:rsidRPr="002C4077">
        <w:t xml:space="preserve"> </w:t>
      </w:r>
      <w:r>
        <w:t>défunts</w:t>
      </w:r>
      <w:r w:rsidR="00B546AF">
        <w:t> ;</w:t>
      </w:r>
      <w:r w:rsidRPr="002C4077">
        <w:t xml:space="preserve"> </w:t>
      </w:r>
      <w:r>
        <w:t>prière</w:t>
      </w:r>
      <w:r w:rsidRPr="002C4077">
        <w:t xml:space="preserve"> </w:t>
      </w:r>
      <w:r>
        <w:t>d’une</w:t>
      </w:r>
      <w:r w:rsidRPr="002C4077">
        <w:t xml:space="preserve"> </w:t>
      </w:r>
      <w:r>
        <w:t>mère</w:t>
      </w:r>
      <w:r w:rsidRPr="002C4077">
        <w:t xml:space="preserve"> </w:t>
      </w:r>
      <w:r>
        <w:t>pour</w:t>
      </w:r>
      <w:r w:rsidRPr="002C4077">
        <w:t xml:space="preserve"> </w:t>
      </w:r>
      <w:r>
        <w:t>ses</w:t>
      </w:r>
      <w:r w:rsidRPr="002C4077">
        <w:t xml:space="preserve"> </w:t>
      </w:r>
      <w:r>
        <w:t>enfants</w:t>
      </w:r>
      <w:bookmarkStart w:id="738" w:name="z_KeberAboth_o2"/>
      <w:bookmarkEnd w:id="738"/>
      <w:r w:rsidR="00B546AF">
        <w:t> ;</w:t>
      </w:r>
      <w:r w:rsidRPr="002C4077">
        <w:t xml:space="preserve"> </w:t>
      </w:r>
      <w:r w:rsidR="00425C50">
        <w:t>etc</w:t>
      </w:r>
      <w:r>
        <w:t>.</w:t>
      </w:r>
      <w:r w:rsidR="00C45B47">
        <w:t xml:space="preserve"> {</w:t>
      </w:r>
      <w:r w:rsidR="005E2129">
        <w:t>305</w:t>
      </w:r>
      <w:bookmarkStart w:id="739" w:name="p305"/>
      <w:bookmarkEnd w:id="739"/>
      <w:r w:rsidR="005E2129">
        <w:t xml:space="preserve">} </w:t>
      </w:r>
    </w:p>
    <w:p w:rsidR="000A7AAB" w:rsidRDefault="000A7AAB" w:rsidP="000A7AAB">
      <w:r>
        <w:t>La</w:t>
      </w:r>
      <w:bookmarkStart w:id="740" w:name="z_CimetieresJuifs_o12"/>
      <w:bookmarkEnd w:id="740"/>
      <w:r w:rsidRPr="002C4077">
        <w:t xml:space="preserve"> </w:t>
      </w:r>
      <w:r>
        <w:t>dévotion</w:t>
      </w:r>
      <w:bookmarkStart w:id="741" w:name="z_Superstitions_o1"/>
      <w:bookmarkEnd w:id="741"/>
      <w:r w:rsidRPr="002C4077">
        <w:t xml:space="preserve"> </w:t>
      </w:r>
      <w:r>
        <w:t>des</w:t>
      </w:r>
      <w:r w:rsidRPr="002C4077">
        <w:t xml:space="preserve"> </w:t>
      </w:r>
      <w:r>
        <w:t>Juifs</w:t>
      </w:r>
      <w:r w:rsidRPr="002C4077">
        <w:t xml:space="preserve"> </w:t>
      </w:r>
      <w:r>
        <w:t>pour</w:t>
      </w:r>
      <w:r w:rsidRPr="002C4077">
        <w:t xml:space="preserve"> </w:t>
      </w:r>
      <w:r>
        <w:t>les</w:t>
      </w:r>
      <w:r w:rsidRPr="002C4077">
        <w:t xml:space="preserve"> </w:t>
      </w:r>
      <w:r>
        <w:t>cimetières</w:t>
      </w:r>
      <w:r w:rsidRPr="002C4077">
        <w:t xml:space="preserve"> </w:t>
      </w:r>
      <w:r>
        <w:t>et</w:t>
      </w:r>
      <w:r w:rsidRPr="002C4077">
        <w:t xml:space="preserve"> </w:t>
      </w:r>
      <w:r>
        <w:t>les</w:t>
      </w:r>
      <w:r w:rsidRPr="002C4077">
        <w:t xml:space="preserve"> </w:t>
      </w:r>
      <w:r>
        <w:t>tombeaux</w:t>
      </w:r>
      <w:r w:rsidRPr="002C4077">
        <w:t xml:space="preserve"> </w:t>
      </w:r>
      <w:r>
        <w:t>n’a</w:t>
      </w:r>
      <w:r w:rsidRPr="002C4077">
        <w:t xml:space="preserve"> </w:t>
      </w:r>
      <w:r>
        <w:t>pas</w:t>
      </w:r>
      <w:r w:rsidRPr="002C4077">
        <w:t xml:space="preserve"> </w:t>
      </w:r>
      <w:r>
        <w:t>toujours</w:t>
      </w:r>
      <w:r w:rsidRPr="002C4077">
        <w:t xml:space="preserve"> </w:t>
      </w:r>
      <w:r>
        <w:t>été</w:t>
      </w:r>
      <w:r w:rsidRPr="002C4077">
        <w:t xml:space="preserve"> </w:t>
      </w:r>
      <w:r>
        <w:t>exempte</w:t>
      </w:r>
      <w:r w:rsidRPr="002C4077">
        <w:t xml:space="preserve"> </w:t>
      </w:r>
      <w:r>
        <w:t>de</w:t>
      </w:r>
      <w:r w:rsidRPr="002C4077">
        <w:t xml:space="preserve"> </w:t>
      </w:r>
      <w:r>
        <w:t>superstition.</w:t>
      </w:r>
      <w:r w:rsidRPr="002C4077">
        <w:t xml:space="preserve"> </w:t>
      </w:r>
      <w:r>
        <w:t>Cela</w:t>
      </w:r>
      <w:r w:rsidRPr="002C4077">
        <w:t xml:space="preserve"> </w:t>
      </w:r>
      <w:r>
        <w:t>ressort</w:t>
      </w:r>
      <w:r w:rsidRPr="002C4077">
        <w:t xml:space="preserve"> </w:t>
      </w:r>
      <w:r>
        <w:t>déjà</w:t>
      </w:r>
      <w:r w:rsidRPr="002C4077">
        <w:t xml:space="preserve"> </w:t>
      </w:r>
      <w:r>
        <w:t>de</w:t>
      </w:r>
      <w:r w:rsidRPr="002C4077">
        <w:t xml:space="preserve"> </w:t>
      </w:r>
      <w:r>
        <w:t>plusieurs</w:t>
      </w:r>
      <w:r w:rsidRPr="002C4077">
        <w:t xml:space="preserve"> </w:t>
      </w:r>
      <w:r>
        <w:t>des</w:t>
      </w:r>
      <w:r w:rsidRPr="002C4077">
        <w:t xml:space="preserve"> </w:t>
      </w:r>
      <w:r>
        <w:t>traits</w:t>
      </w:r>
      <w:r w:rsidRPr="002C4077">
        <w:t xml:space="preserve"> </w:t>
      </w:r>
      <w:r>
        <w:t>signalés</w:t>
      </w:r>
      <w:r w:rsidRPr="002C4077">
        <w:t xml:space="preserve"> </w:t>
      </w:r>
      <w:r>
        <w:t>antérieurement</w:t>
      </w:r>
      <w:r w:rsidR="00B546AF">
        <w:t> ;</w:t>
      </w:r>
      <w:r w:rsidRPr="002C4077">
        <w:t xml:space="preserve"> </w:t>
      </w:r>
      <w:r>
        <w:t>mais</w:t>
      </w:r>
      <w:r w:rsidRPr="002C4077">
        <w:t xml:space="preserve"> </w:t>
      </w:r>
      <w:r>
        <w:t>il</w:t>
      </w:r>
      <w:r w:rsidRPr="002C4077">
        <w:t xml:space="preserve"> </w:t>
      </w:r>
      <w:r w:rsidR="00425C50">
        <w:t>est</w:t>
      </w:r>
      <w:r w:rsidRPr="002C4077">
        <w:t xml:space="preserve"> </w:t>
      </w:r>
      <w:r>
        <w:t>aisé</w:t>
      </w:r>
      <w:r w:rsidRPr="002C4077">
        <w:t xml:space="preserve"> </w:t>
      </w:r>
      <w:r>
        <w:t>de</w:t>
      </w:r>
      <w:r w:rsidRPr="002C4077">
        <w:t xml:space="preserve"> </w:t>
      </w:r>
      <w:r>
        <w:t>le</w:t>
      </w:r>
      <w:r w:rsidRPr="002C4077">
        <w:t xml:space="preserve"> </w:t>
      </w:r>
      <w:r>
        <w:t>démontrer</w:t>
      </w:r>
      <w:r w:rsidRPr="002C4077">
        <w:t xml:space="preserve"> </w:t>
      </w:r>
      <w:r>
        <w:t>d’une</w:t>
      </w:r>
      <w:r w:rsidRPr="002C4077">
        <w:t xml:space="preserve"> </w:t>
      </w:r>
      <w:r>
        <w:t>manière</w:t>
      </w:r>
      <w:r w:rsidRPr="002C4077">
        <w:t xml:space="preserve"> </w:t>
      </w:r>
      <w:r>
        <w:t>encore</w:t>
      </w:r>
      <w:r w:rsidRPr="002C4077">
        <w:t xml:space="preserve"> </w:t>
      </w:r>
      <w:r>
        <w:t>plus</w:t>
      </w:r>
      <w:r w:rsidRPr="002C4077">
        <w:t xml:space="preserve"> </w:t>
      </w:r>
      <w:r>
        <w:t>catégorique</w:t>
      </w:r>
      <w:r w:rsidRPr="002C4077">
        <w:t xml:space="preserve"> </w:t>
      </w:r>
      <w:r>
        <w:t>par</w:t>
      </w:r>
      <w:r w:rsidRPr="002C4077">
        <w:t xml:space="preserve"> </w:t>
      </w:r>
      <w:r>
        <w:t>les</w:t>
      </w:r>
      <w:r w:rsidRPr="002C4077">
        <w:t xml:space="preserve"> </w:t>
      </w:r>
      <w:r>
        <w:t>écrits</w:t>
      </w:r>
      <w:r w:rsidRPr="002C4077">
        <w:t xml:space="preserve"> </w:t>
      </w:r>
      <w:r>
        <w:t>des</w:t>
      </w:r>
      <w:r w:rsidRPr="002C4077">
        <w:t xml:space="preserve"> </w:t>
      </w:r>
      <w:r>
        <w:t>vieux</w:t>
      </w:r>
      <w:r w:rsidRPr="002C4077">
        <w:t xml:space="preserve"> </w:t>
      </w:r>
      <w:r>
        <w:t>rabbins.</w:t>
      </w:r>
      <w:r w:rsidRPr="002C4077">
        <w:t xml:space="preserve"> </w:t>
      </w:r>
    </w:p>
    <w:p w:rsidR="000A7AAB" w:rsidRDefault="000A7AAB" w:rsidP="000A7AAB">
      <w:r>
        <w:t>Nous</w:t>
      </w:r>
      <w:r w:rsidRPr="002C4077">
        <w:t xml:space="preserve"> </w:t>
      </w:r>
      <w:r>
        <w:t>lisons</w:t>
      </w:r>
      <w:r w:rsidRPr="002C4077">
        <w:t xml:space="preserve"> </w:t>
      </w:r>
      <w:r>
        <w:t>dans</w:t>
      </w:r>
      <w:r w:rsidRPr="002C4077">
        <w:t xml:space="preserve"> </w:t>
      </w:r>
      <w:r>
        <w:t>le</w:t>
      </w:r>
      <w:r w:rsidRPr="002C4077">
        <w:t xml:space="preserve"> </w:t>
      </w:r>
      <w:r>
        <w:t>Talmud,</w:t>
      </w:r>
      <w:r w:rsidRPr="002C4077">
        <w:t xml:space="preserve"> </w:t>
      </w:r>
      <w:r>
        <w:t>traité</w:t>
      </w:r>
      <w:r w:rsidRPr="002C4077">
        <w:t xml:space="preserve"> </w:t>
      </w:r>
      <w:r w:rsidRPr="000A34B5">
        <w:rPr>
          <w:rStyle w:val="italicus"/>
        </w:rPr>
        <w:t>Berachôth,</w:t>
      </w:r>
      <w:r w:rsidRPr="002C4077">
        <w:t xml:space="preserve"> </w:t>
      </w:r>
      <w:r>
        <w:t>chap.</w:t>
      </w:r>
      <w:r w:rsidRPr="002C4077">
        <w:t xml:space="preserve"> </w:t>
      </w:r>
      <w:r>
        <w:rPr>
          <w:smallCaps/>
        </w:rPr>
        <w:t>III</w:t>
      </w:r>
      <w:r>
        <w:t>,</w:t>
      </w:r>
      <w:r w:rsidRPr="002C4077">
        <w:t xml:space="preserve"> </w:t>
      </w:r>
      <w:r>
        <w:t>que</w:t>
      </w:r>
      <w:r w:rsidRPr="002C4077">
        <w:t xml:space="preserve"> </w:t>
      </w:r>
      <w:r>
        <w:t>les</w:t>
      </w:r>
      <w:r w:rsidRPr="002C4077">
        <w:t xml:space="preserve"> </w:t>
      </w:r>
      <w:r>
        <w:t>morts</w:t>
      </w:r>
      <w:r w:rsidRPr="002C4077">
        <w:t xml:space="preserve"> </w:t>
      </w:r>
      <w:r>
        <w:t>n’ignorent</w:t>
      </w:r>
      <w:r w:rsidRPr="002C4077">
        <w:t xml:space="preserve"> </w:t>
      </w:r>
      <w:r>
        <w:t>rien</w:t>
      </w:r>
      <w:r w:rsidRPr="002C4077">
        <w:t xml:space="preserve"> </w:t>
      </w:r>
      <w:r>
        <w:t>de</w:t>
      </w:r>
      <w:r w:rsidRPr="002C4077">
        <w:t xml:space="preserve"> </w:t>
      </w:r>
      <w:r>
        <w:t>ce</w:t>
      </w:r>
      <w:r w:rsidRPr="002C4077">
        <w:t xml:space="preserve"> </w:t>
      </w:r>
      <w:r>
        <w:t>qui</w:t>
      </w:r>
      <w:r w:rsidRPr="002C4077">
        <w:t xml:space="preserve"> </w:t>
      </w:r>
      <w:r>
        <w:t>se</w:t>
      </w:r>
      <w:r w:rsidRPr="002C4077">
        <w:t xml:space="preserve"> </w:t>
      </w:r>
      <w:r>
        <w:t>passe</w:t>
      </w:r>
      <w:r w:rsidRPr="002C4077">
        <w:t xml:space="preserve"> </w:t>
      </w:r>
      <w:r>
        <w:t>ici-bas,</w:t>
      </w:r>
      <w:r w:rsidRPr="002C4077">
        <w:t xml:space="preserve"> </w:t>
      </w:r>
      <w:r>
        <w:t>et</w:t>
      </w:r>
      <w:r w:rsidRPr="002C4077">
        <w:t xml:space="preserve"> </w:t>
      </w:r>
      <w:r>
        <w:t>que</w:t>
      </w:r>
      <w:r w:rsidRPr="002C4077">
        <w:t xml:space="preserve"> </w:t>
      </w:r>
      <w:r>
        <w:t>c’est</w:t>
      </w:r>
      <w:r w:rsidRPr="002C4077">
        <w:t xml:space="preserve"> </w:t>
      </w:r>
      <w:r>
        <w:t>précisément</w:t>
      </w:r>
      <w:r w:rsidRPr="002C4077">
        <w:t xml:space="preserve"> </w:t>
      </w:r>
      <w:r>
        <w:t>pour</w:t>
      </w:r>
      <w:r w:rsidRPr="002C4077">
        <w:t xml:space="preserve"> </w:t>
      </w:r>
      <w:r>
        <w:t>ce</w:t>
      </w:r>
      <w:r w:rsidRPr="002C4077">
        <w:t xml:space="preserve"> </w:t>
      </w:r>
      <w:r>
        <w:t>motif</w:t>
      </w:r>
      <w:r w:rsidRPr="002C4077">
        <w:t xml:space="preserve"> </w:t>
      </w:r>
      <w:r>
        <w:t>qu’on</w:t>
      </w:r>
      <w:r w:rsidRPr="002C4077">
        <w:t xml:space="preserve"> </w:t>
      </w:r>
      <w:r>
        <w:t>doit</w:t>
      </w:r>
      <w:r w:rsidRPr="002C4077">
        <w:t xml:space="preserve"> </w:t>
      </w:r>
      <w:r>
        <w:t>les</w:t>
      </w:r>
      <w:r w:rsidRPr="002C4077">
        <w:t xml:space="preserve"> </w:t>
      </w:r>
      <w:r>
        <w:t>honorer</w:t>
      </w:r>
      <w:r w:rsidRPr="002C4077">
        <w:t xml:space="preserve"> </w:t>
      </w:r>
      <w:r>
        <w:t>beaucoup.</w:t>
      </w:r>
      <w:r w:rsidRPr="002C4077">
        <w:t xml:space="preserve"> </w:t>
      </w:r>
      <w:r>
        <w:t>L’âme</w:t>
      </w:r>
      <w:r w:rsidRPr="002C4077">
        <w:t xml:space="preserve"> </w:t>
      </w:r>
      <w:r>
        <w:t>des</w:t>
      </w:r>
      <w:r w:rsidRPr="002C4077">
        <w:t xml:space="preserve"> </w:t>
      </w:r>
      <w:r>
        <w:t>trépassés</w:t>
      </w:r>
      <w:r w:rsidRPr="002C4077">
        <w:t xml:space="preserve"> </w:t>
      </w:r>
      <w:r>
        <w:t>demeurerait</w:t>
      </w:r>
      <w:r w:rsidRPr="002C4077">
        <w:t xml:space="preserve"> </w:t>
      </w:r>
      <w:r>
        <w:t>même</w:t>
      </w:r>
      <w:r w:rsidRPr="002C4077">
        <w:t xml:space="preserve"> </w:t>
      </w:r>
      <w:r>
        <w:t>un</w:t>
      </w:r>
      <w:r w:rsidRPr="002C4077">
        <w:t xml:space="preserve"> </w:t>
      </w:r>
      <w:r>
        <w:t>certain</w:t>
      </w:r>
      <w:r w:rsidRPr="002C4077">
        <w:t xml:space="preserve"> </w:t>
      </w:r>
      <w:r>
        <w:t>temps</w:t>
      </w:r>
      <w:r w:rsidRPr="002C4077">
        <w:t xml:space="preserve"> </w:t>
      </w:r>
      <w:r>
        <w:t>sur</w:t>
      </w:r>
      <w:r w:rsidRPr="002C4077">
        <w:t xml:space="preserve"> </w:t>
      </w:r>
      <w:r>
        <w:t>la</w:t>
      </w:r>
      <w:r w:rsidRPr="002C4077">
        <w:t xml:space="preserve"> </w:t>
      </w:r>
      <w:r>
        <w:t>terre,</w:t>
      </w:r>
      <w:r w:rsidRPr="002C4077">
        <w:t xml:space="preserve"> </w:t>
      </w:r>
      <w:r>
        <w:t>rôdant</w:t>
      </w:r>
      <w:r w:rsidRPr="002C4077">
        <w:t xml:space="preserve"> </w:t>
      </w:r>
      <w:r>
        <w:t>autour</w:t>
      </w:r>
      <w:r w:rsidRPr="002C4077">
        <w:t xml:space="preserve"> </w:t>
      </w:r>
      <w:r>
        <w:t>du</w:t>
      </w:r>
      <w:r w:rsidRPr="002C4077">
        <w:t xml:space="preserve"> </w:t>
      </w:r>
      <w:r>
        <w:t>tombeau.</w:t>
      </w:r>
      <w:r w:rsidRPr="002C4077">
        <w:t xml:space="preserve"> </w:t>
      </w:r>
      <w:r>
        <w:t>Elle</w:t>
      </w:r>
      <w:r w:rsidRPr="002C4077">
        <w:t xml:space="preserve"> </w:t>
      </w:r>
      <w:r>
        <w:t>agirait</w:t>
      </w:r>
      <w:r w:rsidRPr="002C4077">
        <w:t xml:space="preserve"> </w:t>
      </w:r>
      <w:r>
        <w:t>surtout</w:t>
      </w:r>
      <w:r w:rsidRPr="002C4077">
        <w:t xml:space="preserve"> </w:t>
      </w:r>
      <w:r>
        <w:t>ainsi</w:t>
      </w:r>
      <w:r w:rsidRPr="002C4077">
        <w:t xml:space="preserve"> </w:t>
      </w:r>
      <w:r>
        <w:t>pendant</w:t>
      </w:r>
      <w:r w:rsidRPr="002C4077">
        <w:t xml:space="preserve"> </w:t>
      </w:r>
      <w:r>
        <w:t>les</w:t>
      </w:r>
      <w:r w:rsidRPr="002C4077">
        <w:t xml:space="preserve"> </w:t>
      </w:r>
      <w:r>
        <w:t>trois</w:t>
      </w:r>
      <w:r w:rsidRPr="002C4077">
        <w:t xml:space="preserve"> </w:t>
      </w:r>
      <w:r>
        <w:t>premiers</w:t>
      </w:r>
      <w:r w:rsidRPr="002C4077">
        <w:t xml:space="preserve"> </w:t>
      </w:r>
      <w:r>
        <w:t>jours</w:t>
      </w:r>
      <w:r w:rsidRPr="002C4077">
        <w:t xml:space="preserve"> </w:t>
      </w:r>
      <w:r>
        <w:t>qui</w:t>
      </w:r>
      <w:r w:rsidRPr="002C4077">
        <w:t xml:space="preserve"> </w:t>
      </w:r>
      <w:r>
        <w:t>suivent</w:t>
      </w:r>
      <w:r w:rsidRPr="002C4077">
        <w:t xml:space="preserve"> </w:t>
      </w:r>
      <w:r>
        <w:t>la</w:t>
      </w:r>
      <w:r w:rsidRPr="002C4077">
        <w:t xml:space="preserve"> </w:t>
      </w:r>
      <w:r>
        <w:t>mort,</w:t>
      </w:r>
      <w:r w:rsidRPr="002C4077">
        <w:t xml:space="preserve"> </w:t>
      </w:r>
      <w:r>
        <w:t>les</w:t>
      </w:r>
      <w:r w:rsidRPr="002C4077">
        <w:t xml:space="preserve"> </w:t>
      </w:r>
      <w:r>
        <w:t>liens</w:t>
      </w:r>
      <w:r w:rsidRPr="002C4077">
        <w:t xml:space="preserve"> </w:t>
      </w:r>
      <w:r>
        <w:t>qui</w:t>
      </w:r>
      <w:r w:rsidRPr="002C4077">
        <w:t xml:space="preserve"> </w:t>
      </w:r>
      <w:r>
        <w:t>l’attachent</w:t>
      </w:r>
      <w:r w:rsidRPr="002C4077">
        <w:t xml:space="preserve"> </w:t>
      </w:r>
      <w:r>
        <w:t>au</w:t>
      </w:r>
      <w:r w:rsidRPr="002C4077">
        <w:t xml:space="preserve"> </w:t>
      </w:r>
      <w:r>
        <w:t>corps</w:t>
      </w:r>
      <w:r w:rsidRPr="002C4077">
        <w:t xml:space="preserve"> </w:t>
      </w:r>
      <w:r>
        <w:t>mettant,</w:t>
      </w:r>
      <w:r w:rsidRPr="002C4077">
        <w:t xml:space="preserve"> </w:t>
      </w:r>
      <w:r>
        <w:t>nous</w:t>
      </w:r>
      <w:r w:rsidRPr="002C4077">
        <w:t xml:space="preserve"> </w:t>
      </w:r>
      <w:r>
        <w:t>dit-on,</w:t>
      </w:r>
      <w:r w:rsidRPr="002C4077">
        <w:t xml:space="preserve"> </w:t>
      </w:r>
      <w:r>
        <w:t>un</w:t>
      </w:r>
      <w:r w:rsidRPr="002C4077">
        <w:t xml:space="preserve"> </w:t>
      </w:r>
      <w:r>
        <w:t>certain</w:t>
      </w:r>
      <w:r w:rsidRPr="002C4077">
        <w:t xml:space="preserve"> </w:t>
      </w:r>
      <w:r>
        <w:t>temps</w:t>
      </w:r>
      <w:r w:rsidRPr="002C4077">
        <w:t xml:space="preserve"> </w:t>
      </w:r>
      <w:r>
        <w:t>à</w:t>
      </w:r>
      <w:r w:rsidRPr="002C4077">
        <w:t xml:space="preserve"> </w:t>
      </w:r>
      <w:r>
        <w:t>se</w:t>
      </w:r>
      <w:r w:rsidRPr="002C4077">
        <w:t xml:space="preserve"> </w:t>
      </w:r>
      <w:r>
        <w:t>dissoudre</w:t>
      </w:r>
      <w:r w:rsidRPr="002C4077">
        <w:t xml:space="preserve"> </w:t>
      </w:r>
      <w:r>
        <w:t>complètement.</w:t>
      </w:r>
      <w:r w:rsidRPr="002C4077">
        <w:t xml:space="preserve"> </w:t>
      </w:r>
      <w:r>
        <w:t>Quelques</w:t>
      </w:r>
      <w:r w:rsidRPr="002C4077">
        <w:t xml:space="preserve"> </w:t>
      </w:r>
      <w:r>
        <w:t>docteurs</w:t>
      </w:r>
      <w:r w:rsidRPr="002C4077">
        <w:t xml:space="preserve"> </w:t>
      </w:r>
      <w:r>
        <w:t>juifs,</w:t>
      </w:r>
      <w:r w:rsidRPr="002C4077">
        <w:t xml:space="preserve"> </w:t>
      </w:r>
      <w:r>
        <w:t>notamment</w:t>
      </w:r>
      <w:r w:rsidRPr="002C4077">
        <w:t xml:space="preserve"> </w:t>
      </w:r>
      <w:r>
        <w:t>l’auteur</w:t>
      </w:r>
      <w:r w:rsidRPr="002C4077">
        <w:t xml:space="preserve"> </w:t>
      </w:r>
      <w:r>
        <w:t>du</w:t>
      </w:r>
      <w:r w:rsidRPr="002C4077">
        <w:t xml:space="preserve"> </w:t>
      </w:r>
      <w:r>
        <w:t>livre</w:t>
      </w:r>
      <w:r w:rsidRPr="002C4077">
        <w:t xml:space="preserve"> </w:t>
      </w:r>
      <w:r>
        <w:t>intitulé</w:t>
      </w:r>
      <w:r w:rsidR="00B546AF">
        <w:t> :</w:t>
      </w:r>
      <w:r w:rsidR="003B1136" w:rsidRPr="002C4077">
        <w:t xml:space="preserve"> </w:t>
      </w:r>
      <w:r w:rsidR="003B1136">
        <w:rPr>
          <w:rStyle w:val="italicus"/>
        </w:rPr>
        <w:t>Schébet</w:t>
      </w:r>
      <w:r w:rsidR="003B1136" w:rsidRPr="002C4077">
        <w:t xml:space="preserve"> </w:t>
      </w:r>
      <w:r w:rsidR="003B1136">
        <w:rPr>
          <w:rStyle w:val="italicus"/>
        </w:rPr>
        <w:t>Y</w:t>
      </w:r>
      <w:r w:rsidRPr="000A34B5">
        <w:rPr>
          <w:rStyle w:val="italicus"/>
        </w:rPr>
        <w:t>oudah</w:t>
      </w:r>
      <w:r w:rsidRPr="004440EA">
        <w:t xml:space="preserve"> (</w:t>
      </w:r>
      <w:r>
        <w:t>Tribu</w:t>
      </w:r>
      <w:r w:rsidRPr="002C4077">
        <w:t xml:space="preserve"> </w:t>
      </w:r>
      <w:r>
        <w:t>de</w:t>
      </w:r>
      <w:r w:rsidRPr="002C4077">
        <w:t xml:space="preserve"> </w:t>
      </w:r>
      <w:r>
        <w:t>Juda</w:t>
      </w:r>
      <w:r w:rsidR="00B546AF" w:rsidRPr="002C4077">
        <w:t>)</w:t>
      </w:r>
      <w:r w:rsidRPr="00950016">
        <w:t>,</w:t>
      </w:r>
      <w:r w:rsidRPr="002C4077">
        <w:t xml:space="preserve"> </w:t>
      </w:r>
      <w:r>
        <w:t>ont</w:t>
      </w:r>
      <w:r w:rsidRPr="002C4077">
        <w:t xml:space="preserve"> </w:t>
      </w:r>
      <w:r>
        <w:t>même</w:t>
      </w:r>
      <w:r w:rsidRPr="002C4077">
        <w:t xml:space="preserve"> </w:t>
      </w:r>
      <w:r>
        <w:t>enseigné</w:t>
      </w:r>
      <w:r w:rsidRPr="002C4077">
        <w:t xml:space="preserve"> </w:t>
      </w:r>
      <w:r>
        <w:t>que</w:t>
      </w:r>
      <w:r w:rsidRPr="002C4077">
        <w:t xml:space="preserve"> </w:t>
      </w:r>
      <w:r>
        <w:t>les</w:t>
      </w:r>
      <w:r w:rsidRPr="002C4077">
        <w:t xml:space="preserve"> </w:t>
      </w:r>
      <w:r>
        <w:t>relations</w:t>
      </w:r>
      <w:r w:rsidRPr="002C4077">
        <w:t xml:space="preserve"> </w:t>
      </w:r>
      <w:r>
        <w:t>posthumes</w:t>
      </w:r>
      <w:r w:rsidRPr="002C4077">
        <w:t xml:space="preserve"> </w:t>
      </w:r>
      <w:r>
        <w:t>des</w:t>
      </w:r>
      <w:r w:rsidRPr="002C4077">
        <w:t xml:space="preserve"> </w:t>
      </w:r>
      <w:r>
        <w:t>deux</w:t>
      </w:r>
      <w:r w:rsidRPr="002C4077">
        <w:t xml:space="preserve"> </w:t>
      </w:r>
      <w:r>
        <w:t>éléments</w:t>
      </w:r>
      <w:r w:rsidRPr="002C4077">
        <w:t xml:space="preserve"> </w:t>
      </w:r>
      <w:r>
        <w:t>qui</w:t>
      </w:r>
      <w:r w:rsidRPr="002C4077">
        <w:t xml:space="preserve"> </w:t>
      </w:r>
      <w:r>
        <w:t>composent</w:t>
      </w:r>
      <w:r w:rsidRPr="002C4077">
        <w:t xml:space="preserve"> </w:t>
      </w:r>
      <w:r>
        <w:t>notre</w:t>
      </w:r>
      <w:r w:rsidRPr="002C4077">
        <w:t xml:space="preserve"> </w:t>
      </w:r>
      <w:r>
        <w:t>être</w:t>
      </w:r>
      <w:r w:rsidRPr="002C4077">
        <w:t xml:space="preserve"> </w:t>
      </w:r>
      <w:r>
        <w:t>persévèrent</w:t>
      </w:r>
      <w:r w:rsidRPr="002C4077">
        <w:t xml:space="preserve"> </w:t>
      </w:r>
      <w:r>
        <w:t>jusqu’à</w:t>
      </w:r>
      <w:r w:rsidRPr="002C4077">
        <w:t xml:space="preserve"> </w:t>
      </w:r>
      <w:r>
        <w:t>ce</w:t>
      </w:r>
      <w:r w:rsidRPr="002C4077">
        <w:t xml:space="preserve"> </w:t>
      </w:r>
      <w:r>
        <w:t>que</w:t>
      </w:r>
      <w:r w:rsidRPr="002C4077">
        <w:t xml:space="preserve"> </w:t>
      </w:r>
      <w:r>
        <w:t>le</w:t>
      </w:r>
      <w:r w:rsidRPr="002C4077">
        <w:t xml:space="preserve"> </w:t>
      </w:r>
      <w:r>
        <w:t>corps</w:t>
      </w:r>
      <w:r w:rsidRPr="002C4077">
        <w:t xml:space="preserve"> </w:t>
      </w:r>
      <w:r>
        <w:t>ait</w:t>
      </w:r>
      <w:r w:rsidRPr="002C4077">
        <w:t xml:space="preserve"> </w:t>
      </w:r>
      <w:r>
        <w:t>été</w:t>
      </w:r>
      <w:r w:rsidRPr="002C4077">
        <w:t xml:space="preserve"> </w:t>
      </w:r>
      <w:r>
        <w:t>réduit</w:t>
      </w:r>
      <w:r w:rsidRPr="002C4077">
        <w:t xml:space="preserve"> </w:t>
      </w:r>
      <w:r>
        <w:t>en</w:t>
      </w:r>
      <w:r w:rsidRPr="002C4077">
        <w:t xml:space="preserve"> </w:t>
      </w:r>
      <w:r>
        <w:t>poussière</w:t>
      </w:r>
      <w:r w:rsidR="00B91AF7">
        <w:rPr>
          <w:rStyle w:val="Appelnotedebasdep"/>
        </w:rPr>
        <w:footnoteReference w:id="908"/>
      </w:r>
      <w:r>
        <w:t>.</w:t>
      </w:r>
      <w:r w:rsidRPr="002C4077">
        <w:t xml:space="preserve"> </w:t>
      </w:r>
      <w:r>
        <w:t>Suivant</w:t>
      </w:r>
      <w:r w:rsidRPr="002C4077">
        <w:t xml:space="preserve"> </w:t>
      </w:r>
      <w:r>
        <w:t>eux,</w:t>
      </w:r>
      <w:r w:rsidRPr="002C4077">
        <w:t xml:space="preserve"> </w:t>
      </w:r>
      <w:r>
        <w:t>la</w:t>
      </w:r>
      <w:r w:rsidRPr="002C4077">
        <w:t xml:space="preserve"> </w:t>
      </w:r>
      <w:r>
        <w:t>Bible</w:t>
      </w:r>
      <w:r w:rsidRPr="002C4077">
        <w:t xml:space="preserve"> </w:t>
      </w:r>
      <w:r>
        <w:t>favoriserait</w:t>
      </w:r>
      <w:r w:rsidRPr="002C4077">
        <w:t xml:space="preserve"> </w:t>
      </w:r>
      <w:r>
        <w:t>ce</w:t>
      </w:r>
      <w:r w:rsidRPr="002C4077">
        <w:t xml:space="preserve"> </w:t>
      </w:r>
      <w:r>
        <w:t>sentiment</w:t>
      </w:r>
      <w:r w:rsidRPr="002C4077">
        <w:t xml:space="preserve"> </w:t>
      </w:r>
      <w:r>
        <w:t>1</w:t>
      </w:r>
      <w:r w:rsidRPr="002C4077">
        <w:t xml:space="preserve"> </w:t>
      </w:r>
      <w:r>
        <w:t>Ne</w:t>
      </w:r>
      <w:r w:rsidRPr="002C4077">
        <w:t xml:space="preserve"> </w:t>
      </w:r>
      <w:r>
        <w:t>lisons-nous</w:t>
      </w:r>
      <w:r w:rsidRPr="002C4077">
        <w:t xml:space="preserve"> </w:t>
      </w:r>
      <w:r>
        <w:t>pas</w:t>
      </w:r>
      <w:r w:rsidRPr="002C4077">
        <w:t xml:space="preserve"> </w:t>
      </w:r>
      <w:r>
        <w:t>en</w:t>
      </w:r>
      <w:r w:rsidRPr="002C4077">
        <w:t xml:space="preserve"> </w:t>
      </w:r>
      <w:r>
        <w:t>propres</w:t>
      </w:r>
      <w:r w:rsidRPr="002C4077">
        <w:t xml:space="preserve"> </w:t>
      </w:r>
      <w:r>
        <w:t>termes</w:t>
      </w:r>
      <w:r w:rsidRPr="002C4077">
        <w:t xml:space="preserve"> </w:t>
      </w:r>
      <w:r>
        <w:t>au</w:t>
      </w:r>
      <w:r w:rsidRPr="002C4077">
        <w:t xml:space="preserve"> </w:t>
      </w:r>
      <w:r>
        <w:t>livre</w:t>
      </w:r>
      <w:r w:rsidRPr="002C4077">
        <w:t xml:space="preserve"> </w:t>
      </w:r>
      <w:r>
        <w:t>de</w:t>
      </w:r>
      <w:r w:rsidRPr="002C4077">
        <w:t xml:space="preserve"> </w:t>
      </w:r>
      <w:r>
        <w:t>l’Ecclésiaste,</w:t>
      </w:r>
      <w:r w:rsidRPr="002C4077">
        <w:t xml:space="preserve"> </w:t>
      </w:r>
      <w:r>
        <w:rPr>
          <w:smallCaps/>
        </w:rPr>
        <w:t>XII</w:t>
      </w:r>
      <w:r>
        <w:t>,</w:t>
      </w:r>
      <w:r w:rsidRPr="002C4077">
        <w:t xml:space="preserve"> </w:t>
      </w:r>
      <w:r>
        <w:t>7</w:t>
      </w:r>
      <w:r w:rsidR="00B546AF">
        <w:t> :</w:t>
      </w:r>
      <w:r w:rsidRPr="002C4077">
        <w:t xml:space="preserve"> </w:t>
      </w:r>
      <w:r w:rsidR="00B546AF">
        <w:t>« </w:t>
      </w:r>
      <w:r>
        <w:t>Que</w:t>
      </w:r>
      <w:r w:rsidRPr="002C4077">
        <w:t xml:space="preserve"> </w:t>
      </w:r>
      <w:r>
        <w:t>la</w:t>
      </w:r>
      <w:r w:rsidRPr="002C4077">
        <w:t xml:space="preserve"> </w:t>
      </w:r>
      <w:r>
        <w:t>poussière</w:t>
      </w:r>
      <w:r w:rsidRPr="002C4077">
        <w:t xml:space="preserve"> </w:t>
      </w:r>
      <w:r>
        <w:t>retourne</w:t>
      </w:r>
      <w:r w:rsidRPr="002C4077">
        <w:t xml:space="preserve"> </w:t>
      </w:r>
      <w:r>
        <w:t>dans</w:t>
      </w:r>
      <w:r w:rsidRPr="002C4077">
        <w:t xml:space="preserve"> </w:t>
      </w:r>
      <w:r>
        <w:t>la</w:t>
      </w:r>
      <w:r w:rsidRPr="002C4077">
        <w:t xml:space="preserve"> </w:t>
      </w:r>
      <w:r>
        <w:t>terre</w:t>
      </w:r>
      <w:r w:rsidRPr="002C4077">
        <w:t xml:space="preserve"> </w:t>
      </w:r>
      <w:r>
        <w:t>d’où</w:t>
      </w:r>
      <w:r w:rsidRPr="002C4077">
        <w:t xml:space="preserve"> </w:t>
      </w:r>
      <w:r>
        <w:t>elle</w:t>
      </w:r>
      <w:r w:rsidRPr="002C4077">
        <w:t xml:space="preserve"> </w:t>
      </w:r>
      <w:r>
        <w:t>provient,</w:t>
      </w:r>
      <w:r w:rsidRPr="002C4077">
        <w:t xml:space="preserve"> </w:t>
      </w:r>
      <w:r>
        <w:t>et</w:t>
      </w:r>
      <w:r w:rsidRPr="002C4077">
        <w:t xml:space="preserve"> </w:t>
      </w:r>
      <w:r>
        <w:t>que</w:t>
      </w:r>
      <w:r w:rsidRPr="002C4077">
        <w:t xml:space="preserve"> </w:t>
      </w:r>
      <w:r>
        <w:t>l’esprit</w:t>
      </w:r>
      <w:r w:rsidRPr="002C4077">
        <w:t xml:space="preserve"> </w:t>
      </w:r>
      <w:r>
        <w:t>revienne</w:t>
      </w:r>
      <w:r w:rsidRPr="002C4077">
        <w:t xml:space="preserve"> </w:t>
      </w:r>
      <w:r>
        <w:t>à</w:t>
      </w:r>
      <w:r w:rsidRPr="002C4077">
        <w:t xml:space="preserve"> </w:t>
      </w:r>
      <w:r>
        <w:t>Dieu</w:t>
      </w:r>
      <w:r w:rsidRPr="002C4077">
        <w:t xml:space="preserve"> </w:t>
      </w:r>
      <w:r>
        <w:t>qui</w:t>
      </w:r>
      <w:r w:rsidRPr="002C4077">
        <w:t xml:space="preserve"> </w:t>
      </w:r>
      <w:r>
        <w:t>l’a</w:t>
      </w:r>
      <w:r w:rsidRPr="002C4077">
        <w:t xml:space="preserve"> </w:t>
      </w:r>
      <w:r>
        <w:t>créé</w:t>
      </w:r>
      <w:r w:rsidR="00B546AF">
        <w:t> ? »</w:t>
      </w:r>
      <w:r w:rsidRPr="002C4077">
        <w:t xml:space="preserve"> </w:t>
      </w:r>
      <w:r>
        <w:t>Pourquoi</w:t>
      </w:r>
      <w:r w:rsidRPr="002C4077">
        <w:t xml:space="preserve"> </w:t>
      </w:r>
      <w:r>
        <w:t>Salomon</w:t>
      </w:r>
      <w:r w:rsidRPr="002C4077">
        <w:t xml:space="preserve"> </w:t>
      </w:r>
      <w:r>
        <w:t>a-t-il</w:t>
      </w:r>
      <w:r w:rsidRPr="002C4077">
        <w:t xml:space="preserve"> </w:t>
      </w:r>
      <w:r>
        <w:t>mentionné</w:t>
      </w:r>
      <w:r w:rsidRPr="002C4077">
        <w:t xml:space="preserve"> </w:t>
      </w:r>
      <w:r>
        <w:t>le</w:t>
      </w:r>
      <w:r w:rsidRPr="002C4077">
        <w:t xml:space="preserve"> </w:t>
      </w:r>
      <w:r>
        <w:t>corps</w:t>
      </w:r>
      <w:r w:rsidRPr="002C4077">
        <w:t xml:space="preserve"> </w:t>
      </w:r>
      <w:r>
        <w:t>en</w:t>
      </w:r>
      <w:r w:rsidRPr="002C4077">
        <w:t xml:space="preserve"> </w:t>
      </w:r>
      <w:r>
        <w:t>premier</w:t>
      </w:r>
      <w:r w:rsidRPr="002C4077">
        <w:t xml:space="preserve"> </w:t>
      </w:r>
      <w:r>
        <w:t>lieu,</w:t>
      </w:r>
      <w:r w:rsidRPr="002C4077">
        <w:t xml:space="preserve"> </w:t>
      </w:r>
      <w:r>
        <w:t>sinon</w:t>
      </w:r>
      <w:r w:rsidRPr="002C4077">
        <w:t xml:space="preserve"> </w:t>
      </w:r>
      <w:r>
        <w:t>pour</w:t>
      </w:r>
      <w:r w:rsidRPr="002C4077">
        <w:t xml:space="preserve"> </w:t>
      </w:r>
      <w:r>
        <w:t>indiquer</w:t>
      </w:r>
      <w:r w:rsidRPr="002C4077">
        <w:t xml:space="preserve"> </w:t>
      </w:r>
      <w:r>
        <w:t>qu’il</w:t>
      </w:r>
      <w:r w:rsidRPr="002C4077">
        <w:t xml:space="preserve"> </w:t>
      </w:r>
      <w:r>
        <w:t>doit</w:t>
      </w:r>
      <w:r w:rsidRPr="002C4077">
        <w:t xml:space="preserve"> </w:t>
      </w:r>
      <w:r>
        <w:t>être</w:t>
      </w:r>
      <w:r w:rsidRPr="002C4077">
        <w:t xml:space="preserve"> </w:t>
      </w:r>
      <w:r>
        <w:t>pulvérisé</w:t>
      </w:r>
      <w:r w:rsidRPr="002C4077">
        <w:t xml:space="preserve"> </w:t>
      </w:r>
      <w:r>
        <w:t>avant</w:t>
      </w:r>
      <w:r w:rsidRPr="002C4077">
        <w:t xml:space="preserve"> </w:t>
      </w:r>
      <w:r>
        <w:t>que</w:t>
      </w:r>
      <w:r w:rsidRPr="002C4077">
        <w:t xml:space="preserve"> </w:t>
      </w:r>
      <w:r>
        <w:t>l’âme</w:t>
      </w:r>
      <w:r w:rsidRPr="002C4077">
        <w:t xml:space="preserve"> </w:t>
      </w:r>
      <w:r>
        <w:t>s’en</w:t>
      </w:r>
      <w:r w:rsidRPr="002C4077">
        <w:t xml:space="preserve"> </w:t>
      </w:r>
      <w:r>
        <w:lastRenderedPageBreak/>
        <w:t>aille</w:t>
      </w:r>
      <w:r w:rsidRPr="002C4077">
        <w:t xml:space="preserve"> </w:t>
      </w:r>
      <w:r>
        <w:t>à</w:t>
      </w:r>
      <w:r w:rsidRPr="002C4077">
        <w:t xml:space="preserve"> </w:t>
      </w:r>
      <w:r>
        <w:t>son</w:t>
      </w:r>
      <w:r w:rsidRPr="002C4077">
        <w:t xml:space="preserve"> </w:t>
      </w:r>
      <w:r>
        <w:t>Créateur</w:t>
      </w:r>
      <w:r w:rsidR="00B546AF">
        <w:t> ?</w:t>
      </w:r>
      <w:r w:rsidRPr="002C4077">
        <w:t xml:space="preserve"> </w:t>
      </w:r>
      <w:r>
        <w:t>Autrement</w:t>
      </w:r>
      <w:r w:rsidRPr="002C4077">
        <w:t xml:space="preserve"> </w:t>
      </w:r>
      <w:r>
        <w:t>il</w:t>
      </w:r>
      <w:r w:rsidRPr="002C4077">
        <w:t xml:space="preserve"> </w:t>
      </w:r>
      <w:r>
        <w:t>eût</w:t>
      </w:r>
      <w:r w:rsidRPr="002C4077">
        <w:t xml:space="preserve"> </w:t>
      </w:r>
      <w:r>
        <w:t>écrit,</w:t>
      </w:r>
      <w:r w:rsidRPr="002C4077">
        <w:t xml:space="preserve"> </w:t>
      </w:r>
      <w:r>
        <w:t>en</w:t>
      </w:r>
      <w:r w:rsidRPr="002C4077">
        <w:t xml:space="preserve"> </w:t>
      </w:r>
      <w:r>
        <w:t>renversant</w:t>
      </w:r>
      <w:r w:rsidRPr="002C4077">
        <w:t xml:space="preserve"> </w:t>
      </w:r>
      <w:r>
        <w:t>l’ordre</w:t>
      </w:r>
      <w:r w:rsidRPr="002C4077">
        <w:t xml:space="preserve"> </w:t>
      </w:r>
      <w:r>
        <w:t>actuel</w:t>
      </w:r>
      <w:r w:rsidR="00B546AF">
        <w:t> :</w:t>
      </w:r>
      <w:r w:rsidRPr="002C4077">
        <w:t xml:space="preserve"> </w:t>
      </w:r>
      <w:r>
        <w:t>Que</w:t>
      </w:r>
      <w:r w:rsidRPr="002C4077">
        <w:t xml:space="preserve"> </w:t>
      </w:r>
      <w:r>
        <w:t>l’esprit</w:t>
      </w:r>
      <w:r w:rsidRPr="002C4077">
        <w:t xml:space="preserve"> </w:t>
      </w:r>
      <w:r>
        <w:t>retourne</w:t>
      </w:r>
      <w:r w:rsidRPr="002C4077">
        <w:t xml:space="preserve"> </w:t>
      </w:r>
      <w:r>
        <w:t>à</w:t>
      </w:r>
      <w:r w:rsidRPr="002C4077">
        <w:t xml:space="preserve"> </w:t>
      </w:r>
      <w:r>
        <w:t>Dieu</w:t>
      </w:r>
      <w:r w:rsidRPr="002C4077">
        <w:t xml:space="preserve"> </w:t>
      </w:r>
      <w:r>
        <w:t>et</w:t>
      </w:r>
      <w:r w:rsidRPr="002C4077">
        <w:t xml:space="preserve"> </w:t>
      </w:r>
      <w:r>
        <w:t>le</w:t>
      </w:r>
      <w:r w:rsidRPr="002C4077">
        <w:t xml:space="preserve"> </w:t>
      </w:r>
      <w:r>
        <w:t>corps</w:t>
      </w:r>
      <w:r w:rsidRPr="002C4077">
        <w:t xml:space="preserve"> </w:t>
      </w:r>
      <w:r>
        <w:t>à</w:t>
      </w:r>
      <w:r w:rsidRPr="002C4077">
        <w:t xml:space="preserve"> </w:t>
      </w:r>
      <w:r>
        <w:t>la</w:t>
      </w:r>
      <w:r w:rsidRPr="002C4077">
        <w:t xml:space="preserve"> </w:t>
      </w:r>
      <w:r>
        <w:t>terre</w:t>
      </w:r>
      <w:r w:rsidR="00B546AF">
        <w:t> !</w:t>
      </w:r>
      <w:r w:rsidRPr="002C4077">
        <w:t xml:space="preserve"> </w:t>
      </w:r>
      <w:r>
        <w:t>—</w:t>
      </w:r>
      <w:r w:rsidRPr="002C4077">
        <w:t xml:space="preserve"> </w:t>
      </w:r>
      <w:r>
        <w:t>Voilà</w:t>
      </w:r>
      <w:r w:rsidRPr="002C4077">
        <w:t xml:space="preserve"> </w:t>
      </w:r>
      <w:r>
        <w:t>certes</w:t>
      </w:r>
      <w:r w:rsidRPr="002C4077">
        <w:t xml:space="preserve"> </w:t>
      </w:r>
      <w:r>
        <w:t>un</w:t>
      </w:r>
      <w:r w:rsidRPr="002C4077">
        <w:t xml:space="preserve"> </w:t>
      </w:r>
      <w:r>
        <w:t>argument</w:t>
      </w:r>
      <w:r w:rsidRPr="002C4077">
        <w:t xml:space="preserve"> </w:t>
      </w:r>
      <w:r>
        <w:t>très</w:t>
      </w:r>
      <w:r w:rsidRPr="002C4077">
        <w:t xml:space="preserve"> </w:t>
      </w:r>
      <w:r>
        <w:t>concluant.</w:t>
      </w:r>
      <w:r w:rsidRPr="002C4077">
        <w:t xml:space="preserve"> </w:t>
      </w:r>
    </w:p>
    <w:p w:rsidR="000A7AAB" w:rsidRPr="005E2129" w:rsidRDefault="000A7AAB" w:rsidP="000A7AAB">
      <w:r>
        <w:t>Il</w:t>
      </w:r>
      <w:r w:rsidRPr="002C4077">
        <w:t xml:space="preserve"> </w:t>
      </w:r>
      <w:r>
        <w:t>nous</w:t>
      </w:r>
      <w:r w:rsidRPr="002C4077">
        <w:t xml:space="preserve"> </w:t>
      </w:r>
      <w:r>
        <w:t>faut</w:t>
      </w:r>
      <w:r w:rsidRPr="002C4077">
        <w:t xml:space="preserve"> </w:t>
      </w:r>
      <w:r>
        <w:t>dire</w:t>
      </w:r>
      <w:r w:rsidRPr="002C4077">
        <w:t xml:space="preserve"> </w:t>
      </w:r>
      <w:r>
        <w:t>un</w:t>
      </w:r>
      <w:r w:rsidRPr="002C4077">
        <w:t xml:space="preserve"> </w:t>
      </w:r>
      <w:r>
        <w:t>mot</w:t>
      </w:r>
      <w:r w:rsidRPr="002C4077">
        <w:t xml:space="preserve"> </w:t>
      </w:r>
      <w:r>
        <w:t>du</w:t>
      </w:r>
      <w:r w:rsidRPr="002C4077">
        <w:t xml:space="preserve"> </w:t>
      </w:r>
      <w:r w:rsidRPr="000A34B5">
        <w:rPr>
          <w:rStyle w:val="italicus"/>
        </w:rPr>
        <w:t>Chibbout</w:t>
      </w:r>
      <w:r w:rsidRPr="002C4077">
        <w:t xml:space="preserve"> </w:t>
      </w:r>
      <w:r w:rsidRPr="000A34B5">
        <w:rPr>
          <w:rStyle w:val="italicus"/>
        </w:rPr>
        <w:t>hakkéver</w:t>
      </w:r>
      <w:bookmarkStart w:id="742" w:name="z_ChibboutHakkever_o1"/>
      <w:bookmarkEnd w:id="742"/>
      <w:r w:rsidRPr="000A34B5">
        <w:rPr>
          <w:rStyle w:val="italicus"/>
        </w:rPr>
        <w:t>,</w:t>
      </w:r>
      <w:r w:rsidRPr="002C4077">
        <w:t xml:space="preserve"> </w:t>
      </w:r>
      <w:r>
        <w:t>qui</w:t>
      </w:r>
      <w:r w:rsidRPr="002C4077">
        <w:t xml:space="preserve"> </w:t>
      </w:r>
      <w:r>
        <w:t>a</w:t>
      </w:r>
      <w:r w:rsidRPr="002C4077">
        <w:t xml:space="preserve"> </w:t>
      </w:r>
      <w:r>
        <w:t>causé,</w:t>
      </w:r>
      <w:r w:rsidRPr="002C4077">
        <w:t xml:space="preserve"> </w:t>
      </w:r>
      <w:r>
        <w:t>longtemps</w:t>
      </w:r>
      <w:r w:rsidRPr="002C4077">
        <w:t xml:space="preserve"> </w:t>
      </w:r>
      <w:r>
        <w:t>avant</w:t>
      </w:r>
      <w:r w:rsidRPr="002C4077">
        <w:t xml:space="preserve"> </w:t>
      </w:r>
      <w:r>
        <w:t>la</w:t>
      </w:r>
      <w:r w:rsidRPr="002C4077">
        <w:t xml:space="preserve"> </w:t>
      </w:r>
      <w:r>
        <w:t>mort,</w:t>
      </w:r>
      <w:r w:rsidRPr="002C4077">
        <w:t xml:space="preserve"> </w:t>
      </w:r>
      <w:r>
        <w:t>de</w:t>
      </w:r>
      <w:r w:rsidRPr="002C4077">
        <w:t xml:space="preserve"> </w:t>
      </w:r>
      <w:r>
        <w:t>terribles</w:t>
      </w:r>
      <w:r w:rsidRPr="002C4077">
        <w:t xml:space="preserve"> </w:t>
      </w:r>
      <w:r>
        <w:t>angoisses</w:t>
      </w:r>
      <w:r w:rsidRPr="002C4077">
        <w:t xml:space="preserve"> </w:t>
      </w:r>
      <w:r>
        <w:t>à</w:t>
      </w:r>
      <w:r w:rsidRPr="002C4077">
        <w:t xml:space="preserve"> </w:t>
      </w:r>
      <w:r>
        <w:t>plus</w:t>
      </w:r>
      <w:r w:rsidRPr="002C4077">
        <w:t xml:space="preserve"> </w:t>
      </w:r>
      <w:r>
        <w:t>d’un</w:t>
      </w:r>
      <w:r w:rsidRPr="002C4077">
        <w:t xml:space="preserve"> </w:t>
      </w:r>
      <w:r>
        <w:t>Israélite</w:t>
      </w:r>
      <w:r w:rsidRPr="002C4077">
        <w:t xml:space="preserve"> </w:t>
      </w:r>
      <w:r>
        <w:t>crédule.</w:t>
      </w:r>
      <w:r w:rsidR="00C45B47">
        <w:t xml:space="preserve"> {</w:t>
      </w:r>
      <w:r w:rsidR="005E2129">
        <w:t>306</w:t>
      </w:r>
      <w:bookmarkStart w:id="743" w:name="p306"/>
      <w:bookmarkEnd w:id="743"/>
      <w:r w:rsidR="005E2129">
        <w:t xml:space="preserve">} </w:t>
      </w:r>
    </w:p>
    <w:p w:rsidR="000A7AAB" w:rsidRDefault="000A7AAB" w:rsidP="000A7AAB">
      <w:r>
        <w:t>Voici</w:t>
      </w:r>
      <w:r w:rsidRPr="002C4077">
        <w:t xml:space="preserve"> </w:t>
      </w:r>
      <w:r>
        <w:t>en</w:t>
      </w:r>
      <w:r w:rsidRPr="002C4077">
        <w:t xml:space="preserve"> </w:t>
      </w:r>
      <w:r>
        <w:t>quoi</w:t>
      </w:r>
      <w:r w:rsidRPr="002C4077">
        <w:t xml:space="preserve"> </w:t>
      </w:r>
      <w:r>
        <w:t>consiste</w:t>
      </w:r>
      <w:r w:rsidRPr="002C4077">
        <w:t xml:space="preserve"> </w:t>
      </w:r>
      <w:r>
        <w:t>cet</w:t>
      </w:r>
      <w:r w:rsidRPr="002C4077">
        <w:t xml:space="preserve"> </w:t>
      </w:r>
      <w:r>
        <w:t>affreux</w:t>
      </w:r>
      <w:r w:rsidRPr="002C4077">
        <w:t xml:space="preserve"> </w:t>
      </w:r>
      <w:r>
        <w:t>supplice</w:t>
      </w:r>
      <w:r w:rsidRPr="002C4077">
        <w:t xml:space="preserve"> </w:t>
      </w:r>
      <w:r>
        <w:t>d’</w:t>
      </w:r>
      <w:r w:rsidR="003B1136">
        <w:t>outre-tombe</w:t>
      </w:r>
      <w:r>
        <w:t>,</w:t>
      </w:r>
      <w:r w:rsidRPr="002C4077">
        <w:t xml:space="preserve"> </w:t>
      </w:r>
      <w:r>
        <w:t>d’après</w:t>
      </w:r>
      <w:r w:rsidRPr="002C4077">
        <w:t xml:space="preserve"> </w:t>
      </w:r>
      <w:r>
        <w:t>le</w:t>
      </w:r>
      <w:r w:rsidRPr="002C4077">
        <w:t xml:space="preserve"> </w:t>
      </w:r>
      <w:r>
        <w:t>célèbre</w:t>
      </w:r>
      <w:r w:rsidRPr="002C4077">
        <w:t xml:space="preserve"> </w:t>
      </w:r>
      <w:r>
        <w:t>grammairien</w:t>
      </w:r>
      <w:r w:rsidRPr="002C4077">
        <w:t xml:space="preserve"> </w:t>
      </w:r>
      <w:r>
        <w:t>juif</w:t>
      </w:r>
      <w:r w:rsidRPr="002C4077">
        <w:t xml:space="preserve"> </w:t>
      </w:r>
      <w:r w:rsidR="003B53FD">
        <w:t>Elías</w:t>
      </w:r>
      <w:r>
        <w:t>.</w:t>
      </w:r>
      <w:r w:rsidRPr="002C4077">
        <w:t xml:space="preserve"> </w:t>
      </w:r>
      <w:r w:rsidR="00B546AF">
        <w:t>« </w:t>
      </w:r>
      <w:r>
        <w:t>Lorsqu’un</w:t>
      </w:r>
      <w:r w:rsidRPr="002C4077">
        <w:t xml:space="preserve"> </w:t>
      </w:r>
      <w:r>
        <w:t>Juif</w:t>
      </w:r>
      <w:r w:rsidRPr="002C4077">
        <w:t xml:space="preserve"> </w:t>
      </w:r>
      <w:r>
        <w:t>a</w:t>
      </w:r>
      <w:r w:rsidRPr="002C4077">
        <w:t xml:space="preserve"> </w:t>
      </w:r>
      <w:r>
        <w:t>quitté</w:t>
      </w:r>
      <w:r w:rsidRPr="002C4077">
        <w:t xml:space="preserve"> </w:t>
      </w:r>
      <w:r>
        <w:t>ce</w:t>
      </w:r>
      <w:r w:rsidRPr="002C4077">
        <w:t xml:space="preserve"> </w:t>
      </w:r>
      <w:r>
        <w:t>monde,</w:t>
      </w:r>
      <w:r w:rsidRPr="002C4077">
        <w:t xml:space="preserve"> </w:t>
      </w:r>
      <w:r>
        <w:t>l’ange</w:t>
      </w:r>
      <w:r w:rsidRPr="002C4077">
        <w:t xml:space="preserve"> </w:t>
      </w:r>
      <w:r>
        <w:t>de</w:t>
      </w:r>
      <w:r w:rsidRPr="002C4077">
        <w:t xml:space="preserve"> </w:t>
      </w:r>
      <w:r>
        <w:t>la</w:t>
      </w:r>
      <w:r w:rsidRPr="002C4077">
        <w:t xml:space="preserve"> </w:t>
      </w:r>
      <w:r>
        <w:t>mort</w:t>
      </w:r>
      <w:r w:rsidRPr="002C4077">
        <w:t xml:space="preserve"> </w:t>
      </w:r>
      <w:r>
        <w:t>vient</w:t>
      </w:r>
      <w:r w:rsidRPr="002C4077">
        <w:t xml:space="preserve"> </w:t>
      </w:r>
      <w:r>
        <w:t>s’asseoir</w:t>
      </w:r>
      <w:r w:rsidRPr="002C4077">
        <w:t xml:space="preserve"> </w:t>
      </w:r>
      <w:r>
        <w:t>sur</w:t>
      </w:r>
      <w:r w:rsidRPr="002C4077">
        <w:t xml:space="preserve"> </w:t>
      </w:r>
      <w:r>
        <w:t>son</w:t>
      </w:r>
      <w:r w:rsidRPr="002C4077">
        <w:t xml:space="preserve"> </w:t>
      </w:r>
      <w:r>
        <w:t>tombeau.</w:t>
      </w:r>
      <w:r w:rsidRPr="002C4077">
        <w:t xml:space="preserve"> </w:t>
      </w:r>
      <w:r>
        <w:t>Alors</w:t>
      </w:r>
      <w:r w:rsidRPr="002C4077">
        <w:t xml:space="preserve"> </w:t>
      </w:r>
      <w:r>
        <w:t>l’âme</w:t>
      </w:r>
      <w:r w:rsidRPr="002C4077">
        <w:t xml:space="preserve"> </w:t>
      </w:r>
      <w:r>
        <w:t>du</w:t>
      </w:r>
      <w:r w:rsidRPr="002C4077">
        <w:t xml:space="preserve"> </w:t>
      </w:r>
      <w:r>
        <w:t>défunt</w:t>
      </w:r>
      <w:r w:rsidRPr="002C4077">
        <w:t xml:space="preserve"> </w:t>
      </w:r>
      <w:r>
        <w:t>entre</w:t>
      </w:r>
      <w:r w:rsidRPr="002C4077">
        <w:t xml:space="preserve"> </w:t>
      </w:r>
      <w:r>
        <w:t>de</w:t>
      </w:r>
      <w:r w:rsidRPr="002C4077">
        <w:t xml:space="preserve"> </w:t>
      </w:r>
      <w:r>
        <w:t>nouveau</w:t>
      </w:r>
      <w:r w:rsidRPr="002C4077">
        <w:t xml:space="preserve"> </w:t>
      </w:r>
      <w:r>
        <w:t>dans</w:t>
      </w:r>
      <w:r w:rsidRPr="002C4077">
        <w:t xml:space="preserve"> </w:t>
      </w:r>
      <w:r>
        <w:t>son</w:t>
      </w:r>
      <w:r w:rsidRPr="002C4077">
        <w:t xml:space="preserve"> </w:t>
      </w:r>
      <w:r>
        <w:t>corps</w:t>
      </w:r>
      <w:r w:rsidRPr="002C4077">
        <w:t xml:space="preserve"> </w:t>
      </w:r>
      <w:r>
        <w:t>et</w:t>
      </w:r>
      <w:r w:rsidRPr="002C4077">
        <w:t xml:space="preserve"> </w:t>
      </w:r>
      <w:r>
        <w:t>le</w:t>
      </w:r>
      <w:r w:rsidRPr="002C4077">
        <w:t xml:space="preserve"> </w:t>
      </w:r>
      <w:r>
        <w:t>dresse</w:t>
      </w:r>
      <w:r w:rsidRPr="002C4077">
        <w:t xml:space="preserve"> </w:t>
      </w:r>
      <w:r>
        <w:t>debout.</w:t>
      </w:r>
      <w:r w:rsidRPr="002C4077">
        <w:t xml:space="preserve"> </w:t>
      </w:r>
      <w:r>
        <w:t>Aussitôt</w:t>
      </w:r>
      <w:r w:rsidRPr="002C4077">
        <w:t xml:space="preserve"> </w:t>
      </w:r>
      <w:r>
        <w:t>l’ange</w:t>
      </w:r>
      <w:r w:rsidRPr="002C4077">
        <w:t xml:space="preserve"> </w:t>
      </w:r>
      <w:r>
        <w:t>prend</w:t>
      </w:r>
      <w:r w:rsidRPr="002C4077">
        <w:t xml:space="preserve"> </w:t>
      </w:r>
      <w:r>
        <w:t>une</w:t>
      </w:r>
      <w:r w:rsidRPr="002C4077">
        <w:t xml:space="preserve"> </w:t>
      </w:r>
      <w:r>
        <w:t>chaîne</w:t>
      </w:r>
      <w:r w:rsidRPr="002C4077">
        <w:t xml:space="preserve"> </w:t>
      </w:r>
      <w:r>
        <w:t>qui</w:t>
      </w:r>
      <w:r w:rsidRPr="002C4077">
        <w:t xml:space="preserve"> </w:t>
      </w:r>
      <w:r w:rsidR="00425C50">
        <w:t>est</w:t>
      </w:r>
      <w:r w:rsidRPr="002C4077">
        <w:t xml:space="preserve"> </w:t>
      </w:r>
      <w:r>
        <w:t>en</w:t>
      </w:r>
      <w:r w:rsidRPr="002C4077">
        <w:t xml:space="preserve"> </w:t>
      </w:r>
      <w:r>
        <w:t>partie</w:t>
      </w:r>
      <w:r w:rsidRPr="002C4077">
        <w:t xml:space="preserve"> </w:t>
      </w:r>
      <w:r>
        <w:t>de</w:t>
      </w:r>
      <w:r w:rsidRPr="002C4077">
        <w:t xml:space="preserve"> </w:t>
      </w:r>
      <w:r>
        <w:t>fer,</w:t>
      </w:r>
      <w:r w:rsidRPr="002C4077">
        <w:t xml:space="preserve"> </w:t>
      </w:r>
      <w:r>
        <w:t>en</w:t>
      </w:r>
      <w:r w:rsidRPr="002C4077">
        <w:t xml:space="preserve"> </w:t>
      </w:r>
      <w:r>
        <w:t>partie</w:t>
      </w:r>
      <w:r w:rsidRPr="002C4077">
        <w:t xml:space="preserve"> </w:t>
      </w:r>
      <w:r>
        <w:t>de</w:t>
      </w:r>
      <w:r w:rsidRPr="002C4077">
        <w:t xml:space="preserve"> </w:t>
      </w:r>
      <w:r>
        <w:t>feu,</w:t>
      </w:r>
      <w:r w:rsidRPr="002C4077">
        <w:t xml:space="preserve"> </w:t>
      </w:r>
      <w:r>
        <w:t>et</w:t>
      </w:r>
      <w:r w:rsidRPr="002C4077">
        <w:t xml:space="preserve"> </w:t>
      </w:r>
      <w:r>
        <w:t>il</w:t>
      </w:r>
      <w:r w:rsidRPr="002C4077">
        <w:t xml:space="preserve"> </w:t>
      </w:r>
      <w:r>
        <w:t>en</w:t>
      </w:r>
      <w:r w:rsidRPr="002C4077">
        <w:t xml:space="preserve"> </w:t>
      </w:r>
      <w:r>
        <w:t>assène</w:t>
      </w:r>
      <w:r w:rsidRPr="002C4077">
        <w:t xml:space="preserve"> </w:t>
      </w:r>
      <w:r>
        <w:t>deux</w:t>
      </w:r>
      <w:r w:rsidRPr="002C4077">
        <w:t xml:space="preserve"> </w:t>
      </w:r>
      <w:r>
        <w:t>coups</w:t>
      </w:r>
      <w:r w:rsidRPr="002C4077">
        <w:t xml:space="preserve"> </w:t>
      </w:r>
      <w:r>
        <w:t>sur</w:t>
      </w:r>
      <w:r w:rsidRPr="002C4077">
        <w:t xml:space="preserve"> </w:t>
      </w:r>
      <w:r>
        <w:t>le</w:t>
      </w:r>
      <w:r w:rsidRPr="002C4077">
        <w:t xml:space="preserve"> </w:t>
      </w:r>
      <w:r>
        <w:t>mort.</w:t>
      </w:r>
      <w:r w:rsidRPr="002C4077">
        <w:t xml:space="preserve"> </w:t>
      </w:r>
      <w:r>
        <w:t>Au</w:t>
      </w:r>
      <w:r w:rsidRPr="002C4077">
        <w:t xml:space="preserve"> </w:t>
      </w:r>
      <w:r>
        <w:t>premier</w:t>
      </w:r>
      <w:r w:rsidRPr="002C4077">
        <w:t xml:space="preserve"> </w:t>
      </w:r>
      <w:r>
        <w:t>coup</w:t>
      </w:r>
      <w:r w:rsidRPr="002C4077">
        <w:t xml:space="preserve"> </w:t>
      </w:r>
      <w:r>
        <w:t>ses</w:t>
      </w:r>
      <w:r w:rsidRPr="002C4077">
        <w:t xml:space="preserve"> </w:t>
      </w:r>
      <w:r>
        <w:t>membres</w:t>
      </w:r>
      <w:r w:rsidRPr="002C4077">
        <w:t xml:space="preserve"> </w:t>
      </w:r>
      <w:r>
        <w:t>se</w:t>
      </w:r>
      <w:r w:rsidRPr="002C4077">
        <w:t xml:space="preserve"> </w:t>
      </w:r>
      <w:r>
        <w:t>dissolvent,</w:t>
      </w:r>
      <w:r w:rsidRPr="002C4077">
        <w:t xml:space="preserve"> </w:t>
      </w:r>
      <w:r>
        <w:t>au</w:t>
      </w:r>
      <w:r w:rsidRPr="002C4077">
        <w:t xml:space="preserve"> </w:t>
      </w:r>
      <w:r>
        <w:t>second</w:t>
      </w:r>
      <w:r w:rsidRPr="002C4077">
        <w:t xml:space="preserve"> </w:t>
      </w:r>
      <w:r>
        <w:t>tous</w:t>
      </w:r>
      <w:r w:rsidRPr="002C4077">
        <w:t xml:space="preserve"> </w:t>
      </w:r>
      <w:r>
        <w:t>ses</w:t>
      </w:r>
      <w:r w:rsidRPr="002C4077">
        <w:t xml:space="preserve"> </w:t>
      </w:r>
      <w:r>
        <w:t>os</w:t>
      </w:r>
      <w:r w:rsidRPr="002C4077">
        <w:t xml:space="preserve"> </w:t>
      </w:r>
      <w:r>
        <w:t>se</w:t>
      </w:r>
      <w:r w:rsidRPr="002C4077">
        <w:t xml:space="preserve"> </w:t>
      </w:r>
      <w:r>
        <w:t>dissipent</w:t>
      </w:r>
      <w:r w:rsidR="00B546AF">
        <w:t> ;</w:t>
      </w:r>
      <w:r w:rsidRPr="002C4077">
        <w:t xml:space="preserve"> </w:t>
      </w:r>
      <w:r>
        <w:t>l’ange</w:t>
      </w:r>
      <w:r w:rsidRPr="002C4077">
        <w:t xml:space="preserve"> </w:t>
      </w:r>
      <w:r>
        <w:t>ajoute</w:t>
      </w:r>
      <w:r w:rsidRPr="002C4077">
        <w:t xml:space="preserve"> </w:t>
      </w:r>
      <w:r>
        <w:t>un</w:t>
      </w:r>
      <w:r w:rsidRPr="002C4077">
        <w:t xml:space="preserve"> </w:t>
      </w:r>
      <w:r>
        <w:t>troisième</w:t>
      </w:r>
      <w:r w:rsidRPr="002C4077">
        <w:t xml:space="preserve"> </w:t>
      </w:r>
      <w:r>
        <w:t>coup,</w:t>
      </w:r>
      <w:r w:rsidRPr="002C4077">
        <w:t xml:space="preserve"> </w:t>
      </w:r>
      <w:r>
        <w:t>qui</w:t>
      </w:r>
      <w:r w:rsidRPr="002C4077">
        <w:t xml:space="preserve"> </w:t>
      </w:r>
      <w:r>
        <w:t>réduit</w:t>
      </w:r>
      <w:r w:rsidRPr="002C4077">
        <w:t xml:space="preserve"> </w:t>
      </w:r>
      <w:r>
        <w:t>le</w:t>
      </w:r>
      <w:r w:rsidRPr="002C4077">
        <w:t xml:space="preserve"> </w:t>
      </w:r>
      <w:r>
        <w:t>mort</w:t>
      </w:r>
      <w:r w:rsidRPr="002C4077">
        <w:t xml:space="preserve"> </w:t>
      </w:r>
      <w:r>
        <w:t>en</w:t>
      </w:r>
      <w:r w:rsidRPr="002C4077">
        <w:t xml:space="preserve"> </w:t>
      </w:r>
      <w:r>
        <w:t>cendres</w:t>
      </w:r>
      <w:r w:rsidRPr="002C4077">
        <w:t xml:space="preserve"> </w:t>
      </w:r>
      <w:r>
        <w:t>et</w:t>
      </w:r>
      <w:r w:rsidRPr="002C4077">
        <w:t xml:space="preserve"> </w:t>
      </w:r>
      <w:r>
        <w:t>en</w:t>
      </w:r>
      <w:r w:rsidRPr="002C4077">
        <w:t xml:space="preserve"> </w:t>
      </w:r>
      <w:r>
        <w:t>poussière.</w:t>
      </w:r>
      <w:r w:rsidRPr="002C4077">
        <w:t xml:space="preserve"> </w:t>
      </w:r>
      <w:r>
        <w:t>Mais</w:t>
      </w:r>
      <w:r w:rsidRPr="002C4077">
        <w:t xml:space="preserve"> </w:t>
      </w:r>
      <w:r>
        <w:t>les</w:t>
      </w:r>
      <w:r w:rsidRPr="002C4077">
        <w:t xml:space="preserve"> </w:t>
      </w:r>
      <w:r>
        <w:t>bons</w:t>
      </w:r>
      <w:r w:rsidRPr="002C4077">
        <w:t xml:space="preserve"> </w:t>
      </w:r>
      <w:r>
        <w:t>anges</w:t>
      </w:r>
      <w:r w:rsidRPr="002C4077">
        <w:t xml:space="preserve"> </w:t>
      </w:r>
      <w:r>
        <w:t>viennent</w:t>
      </w:r>
      <w:r w:rsidRPr="002C4077">
        <w:t xml:space="preserve"> </w:t>
      </w:r>
      <w:r>
        <w:t>ensuite</w:t>
      </w:r>
      <w:r w:rsidR="00B546AF">
        <w:t> ;</w:t>
      </w:r>
      <w:r w:rsidRPr="002C4077">
        <w:t xml:space="preserve"> </w:t>
      </w:r>
      <w:r>
        <w:t>ils</w:t>
      </w:r>
      <w:r w:rsidRPr="002C4077">
        <w:t xml:space="preserve"> </w:t>
      </w:r>
      <w:r>
        <w:t>rassemblent</w:t>
      </w:r>
      <w:r w:rsidRPr="002C4077">
        <w:t xml:space="preserve"> </w:t>
      </w:r>
      <w:r>
        <w:t>les</w:t>
      </w:r>
      <w:r w:rsidRPr="002C4077">
        <w:t xml:space="preserve"> </w:t>
      </w:r>
      <w:r>
        <w:t>ossements</w:t>
      </w:r>
      <w:r w:rsidRPr="002C4077">
        <w:t xml:space="preserve"> </w:t>
      </w:r>
      <w:r>
        <w:t>et</w:t>
      </w:r>
      <w:r w:rsidRPr="002C4077">
        <w:t xml:space="preserve"> </w:t>
      </w:r>
      <w:r>
        <w:t>les</w:t>
      </w:r>
      <w:r w:rsidRPr="002C4077">
        <w:t xml:space="preserve"> </w:t>
      </w:r>
      <w:r>
        <w:t>replacent</w:t>
      </w:r>
      <w:r w:rsidRPr="002C4077">
        <w:t xml:space="preserve"> </w:t>
      </w:r>
      <w:r>
        <w:t>dans</w:t>
      </w:r>
      <w:r w:rsidRPr="002C4077">
        <w:t xml:space="preserve"> </w:t>
      </w:r>
      <w:r>
        <w:t>le</w:t>
      </w:r>
      <w:r w:rsidRPr="002C4077">
        <w:t xml:space="preserve"> </w:t>
      </w:r>
      <w:r>
        <w:t>sépulcre</w:t>
      </w:r>
      <w:r w:rsidR="00B91AF7">
        <w:rPr>
          <w:rStyle w:val="Appelnotedebasdep"/>
        </w:rPr>
        <w:footnoteReference w:id="909"/>
      </w:r>
      <w:r w:rsidR="00B546AF">
        <w:t> »</w:t>
      </w:r>
      <w:r>
        <w:t>.</w:t>
      </w:r>
      <w:r w:rsidRPr="002C4077">
        <w:t xml:space="preserve"> </w:t>
      </w:r>
    </w:p>
    <w:p w:rsidR="000A7AAB" w:rsidRDefault="000A7AAB" w:rsidP="000A7AAB">
      <w:r>
        <w:t>Est-il</w:t>
      </w:r>
      <w:r w:rsidRPr="002C4077">
        <w:t xml:space="preserve"> </w:t>
      </w:r>
      <w:r>
        <w:t>étonnant</w:t>
      </w:r>
      <w:r w:rsidRPr="002C4077">
        <w:t xml:space="preserve"> </w:t>
      </w:r>
      <w:r>
        <w:t>que</w:t>
      </w:r>
      <w:r w:rsidRPr="002C4077">
        <w:t xml:space="preserve"> </w:t>
      </w:r>
      <w:r>
        <w:t>les</w:t>
      </w:r>
      <w:r w:rsidRPr="002C4077">
        <w:t xml:space="preserve"> </w:t>
      </w:r>
      <w:r>
        <w:t>Juifs</w:t>
      </w:r>
      <w:r w:rsidRPr="002C4077">
        <w:t xml:space="preserve"> </w:t>
      </w:r>
      <w:r>
        <w:t>aient</w:t>
      </w:r>
      <w:r w:rsidRPr="002C4077">
        <w:t xml:space="preserve"> </w:t>
      </w:r>
      <w:r>
        <w:t>une</w:t>
      </w:r>
      <w:r w:rsidRPr="002C4077">
        <w:t xml:space="preserve"> </w:t>
      </w:r>
      <w:r>
        <w:t>prière</w:t>
      </w:r>
      <w:r w:rsidRPr="002C4077">
        <w:t xml:space="preserve"> </w:t>
      </w:r>
      <w:r>
        <w:t>spéciale</w:t>
      </w:r>
      <w:r w:rsidRPr="002C4077">
        <w:t xml:space="preserve"> </w:t>
      </w:r>
      <w:r>
        <w:t>au</w:t>
      </w:r>
      <w:r w:rsidRPr="002C4077">
        <w:t xml:space="preserve"> </w:t>
      </w:r>
      <w:r>
        <w:t>jour</w:t>
      </w:r>
      <w:r w:rsidRPr="002C4077">
        <w:t xml:space="preserve"> </w:t>
      </w:r>
      <w:r>
        <w:t>du</w:t>
      </w:r>
      <w:r w:rsidRPr="002C4077">
        <w:t xml:space="preserve"> </w:t>
      </w:r>
      <w:r w:rsidRPr="000A34B5">
        <w:rPr>
          <w:rStyle w:val="italicus"/>
        </w:rPr>
        <w:t>Yôm</w:t>
      </w:r>
      <w:r w:rsidRPr="002C4077">
        <w:t xml:space="preserve"> </w:t>
      </w:r>
      <w:r w:rsidRPr="000A34B5">
        <w:rPr>
          <w:rStyle w:val="italicus"/>
        </w:rPr>
        <w:t>Kippour</w:t>
      </w:r>
      <w:r w:rsidRPr="004440EA">
        <w:t xml:space="preserve"> (</w:t>
      </w:r>
      <w:r>
        <w:t>Grand-Pardon</w:t>
      </w:r>
      <w:r w:rsidR="00B546AF" w:rsidRPr="002C4077">
        <w:t>)</w:t>
      </w:r>
      <w:r w:rsidRPr="002C4077">
        <w:t xml:space="preserve"> </w:t>
      </w:r>
      <w:r>
        <w:t>pour</w:t>
      </w:r>
      <w:r w:rsidRPr="002C4077">
        <w:t xml:space="preserve"> </w:t>
      </w:r>
      <w:r>
        <w:t>conjurer</w:t>
      </w:r>
      <w:r w:rsidRPr="002C4077">
        <w:t xml:space="preserve"> </w:t>
      </w:r>
      <w:r>
        <w:t>le</w:t>
      </w:r>
      <w:r w:rsidRPr="002C4077">
        <w:t xml:space="preserve"> </w:t>
      </w:r>
      <w:r>
        <w:t>Seigneur</w:t>
      </w:r>
      <w:r w:rsidRPr="002C4077">
        <w:t xml:space="preserve"> </w:t>
      </w:r>
      <w:r>
        <w:t>de</w:t>
      </w:r>
      <w:r w:rsidRPr="002C4077">
        <w:t xml:space="preserve"> </w:t>
      </w:r>
      <w:r>
        <w:t>les</w:t>
      </w:r>
      <w:r w:rsidRPr="002C4077">
        <w:t xml:space="preserve"> </w:t>
      </w:r>
      <w:r>
        <w:t>préserver</w:t>
      </w:r>
      <w:r w:rsidRPr="002C4077">
        <w:t xml:space="preserve"> </w:t>
      </w:r>
      <w:r>
        <w:t>du</w:t>
      </w:r>
      <w:r w:rsidRPr="002C4077">
        <w:t xml:space="preserve"> </w:t>
      </w:r>
      <w:r w:rsidRPr="000A34B5">
        <w:rPr>
          <w:rStyle w:val="italicus"/>
        </w:rPr>
        <w:t>Chibbout</w:t>
      </w:r>
      <w:r w:rsidRPr="002C4077">
        <w:t xml:space="preserve"> </w:t>
      </w:r>
      <w:r w:rsidRPr="000A34B5">
        <w:rPr>
          <w:rStyle w:val="italicus"/>
        </w:rPr>
        <w:t>hakkéver</w:t>
      </w:r>
      <w:r w:rsidR="00B546AF">
        <w:rPr>
          <w:rStyle w:val="italicus"/>
        </w:rPr>
        <w:t> </w:t>
      </w:r>
      <w:r w:rsidR="00B546AF" w:rsidRPr="000A34B5">
        <w:rPr>
          <w:rStyle w:val="italicus"/>
        </w:rPr>
        <w:t>?</w:t>
      </w:r>
      <w:r w:rsidRPr="002C4077">
        <w:t xml:space="preserve"> </w:t>
      </w:r>
      <w:r>
        <w:t>D’ailleurs,</w:t>
      </w:r>
      <w:r w:rsidRPr="002C4077">
        <w:t xml:space="preserve"> </w:t>
      </w:r>
      <w:r>
        <w:t>de</w:t>
      </w:r>
      <w:r w:rsidRPr="002C4077">
        <w:t xml:space="preserve"> </w:t>
      </w:r>
      <w:r>
        <w:t>généreuses</w:t>
      </w:r>
      <w:r w:rsidRPr="002C4077">
        <w:t xml:space="preserve"> </w:t>
      </w:r>
      <w:r>
        <w:t>aumônes,</w:t>
      </w:r>
      <w:r w:rsidRPr="002C4077">
        <w:t xml:space="preserve"> </w:t>
      </w:r>
      <w:r>
        <w:t>l’hospitalité</w:t>
      </w:r>
      <w:r w:rsidRPr="002C4077">
        <w:t xml:space="preserve"> </w:t>
      </w:r>
      <w:r>
        <w:t>habituellement</w:t>
      </w:r>
      <w:r w:rsidRPr="002C4077">
        <w:t xml:space="preserve"> </w:t>
      </w:r>
      <w:r>
        <w:t>pratiquée,</w:t>
      </w:r>
      <w:r w:rsidRPr="002C4077">
        <w:t xml:space="preserve"> </w:t>
      </w:r>
      <w:r>
        <w:t>l’obéissance,</w:t>
      </w:r>
      <w:r w:rsidRPr="002C4077">
        <w:t xml:space="preserve"> </w:t>
      </w:r>
      <w:r>
        <w:t>la</w:t>
      </w:r>
      <w:r w:rsidRPr="002C4077">
        <w:t xml:space="preserve"> </w:t>
      </w:r>
      <w:r>
        <w:t>chasteté,</w:t>
      </w:r>
      <w:r w:rsidRPr="002C4077">
        <w:t xml:space="preserve"> </w:t>
      </w:r>
      <w:r>
        <w:t>les</w:t>
      </w:r>
      <w:r w:rsidRPr="002C4077">
        <w:t xml:space="preserve"> </w:t>
      </w:r>
      <w:r>
        <w:t>prières</w:t>
      </w:r>
      <w:r w:rsidRPr="002C4077">
        <w:t xml:space="preserve"> </w:t>
      </w:r>
      <w:r>
        <w:t>récitées</w:t>
      </w:r>
      <w:r w:rsidRPr="002C4077">
        <w:t xml:space="preserve"> </w:t>
      </w:r>
      <w:r>
        <w:t>avec</w:t>
      </w:r>
      <w:r w:rsidRPr="002C4077">
        <w:t xml:space="preserve"> </w:t>
      </w:r>
      <w:r>
        <w:t>ferveur,</w:t>
      </w:r>
      <w:r w:rsidRPr="002C4077">
        <w:t xml:space="preserve"> </w:t>
      </w:r>
      <w:r>
        <w:t>peuvent</w:t>
      </w:r>
      <w:r w:rsidRPr="002C4077">
        <w:t xml:space="preserve"> </w:t>
      </w:r>
      <w:r>
        <w:t>exempter</w:t>
      </w:r>
      <w:r w:rsidRPr="002C4077">
        <w:t xml:space="preserve"> </w:t>
      </w:r>
      <w:r>
        <w:t>de</w:t>
      </w:r>
      <w:r w:rsidRPr="002C4077">
        <w:t xml:space="preserve"> </w:t>
      </w:r>
      <w:r>
        <w:t>ce</w:t>
      </w:r>
      <w:r w:rsidRPr="002C4077">
        <w:t xml:space="preserve"> </w:t>
      </w:r>
      <w:r>
        <w:t>supplice</w:t>
      </w:r>
      <w:r w:rsidRPr="002C4077">
        <w:t xml:space="preserve"> </w:t>
      </w:r>
      <w:r>
        <w:t>étrange.</w:t>
      </w:r>
      <w:r w:rsidRPr="002C4077">
        <w:t xml:space="preserve"> </w:t>
      </w:r>
      <w:r>
        <w:t>Mais</w:t>
      </w:r>
      <w:r w:rsidRPr="002C4077">
        <w:t xml:space="preserve"> </w:t>
      </w:r>
      <w:r>
        <w:t>le</w:t>
      </w:r>
      <w:r w:rsidRPr="002C4077">
        <w:t xml:space="preserve"> </w:t>
      </w:r>
      <w:r>
        <w:t>meilleur</w:t>
      </w:r>
      <w:r w:rsidRPr="002C4077">
        <w:t xml:space="preserve"> </w:t>
      </w:r>
      <w:r>
        <w:t>préservatif</w:t>
      </w:r>
      <w:r w:rsidRPr="002C4077">
        <w:t xml:space="preserve"> </w:t>
      </w:r>
      <w:r>
        <w:t>serait</w:t>
      </w:r>
      <w:r w:rsidRPr="002C4077">
        <w:t xml:space="preserve"> </w:t>
      </w:r>
      <w:r>
        <w:t>de</w:t>
      </w:r>
      <w:r w:rsidRPr="002C4077">
        <w:t xml:space="preserve"> </w:t>
      </w:r>
      <w:r>
        <w:t>mourir</w:t>
      </w:r>
      <w:r w:rsidRPr="002C4077">
        <w:t xml:space="preserve"> </w:t>
      </w:r>
      <w:r>
        <w:t>en</w:t>
      </w:r>
      <w:r w:rsidRPr="002C4077">
        <w:t xml:space="preserve"> </w:t>
      </w:r>
      <w:r>
        <w:t>Terre-Sainte,</w:t>
      </w:r>
      <w:r w:rsidRPr="002C4077">
        <w:t xml:space="preserve"> </w:t>
      </w:r>
      <w:r>
        <w:t>où</w:t>
      </w:r>
      <w:r w:rsidRPr="002C4077">
        <w:t xml:space="preserve"> </w:t>
      </w:r>
      <w:r>
        <w:t>les</w:t>
      </w:r>
      <w:r w:rsidRPr="002C4077">
        <w:t xml:space="preserve"> </w:t>
      </w:r>
      <w:r>
        <w:t>mauvais</w:t>
      </w:r>
      <w:r w:rsidRPr="002C4077">
        <w:t xml:space="preserve"> </w:t>
      </w:r>
      <w:r>
        <w:t>anges</w:t>
      </w:r>
      <w:r w:rsidRPr="002C4077">
        <w:t xml:space="preserve"> </w:t>
      </w:r>
      <w:r>
        <w:t>perdent</w:t>
      </w:r>
      <w:r w:rsidRPr="002C4077">
        <w:t xml:space="preserve"> </w:t>
      </w:r>
      <w:r>
        <w:t>toute</w:t>
      </w:r>
      <w:r w:rsidRPr="002C4077">
        <w:t xml:space="preserve"> </w:t>
      </w:r>
      <w:r>
        <w:t>leur</w:t>
      </w:r>
      <w:r w:rsidRPr="002C4077">
        <w:t xml:space="preserve"> </w:t>
      </w:r>
      <w:r>
        <w:t>puissance.</w:t>
      </w:r>
      <w:r w:rsidRPr="002C4077">
        <w:t xml:space="preserve"> </w:t>
      </w:r>
      <w:r>
        <w:t>Pour</w:t>
      </w:r>
      <w:r w:rsidRPr="002C4077">
        <w:t xml:space="preserve"> </w:t>
      </w:r>
      <w:r>
        <w:t>ce</w:t>
      </w:r>
      <w:r w:rsidRPr="002C4077">
        <w:t xml:space="preserve"> </w:t>
      </w:r>
      <w:r>
        <w:t>motif,</w:t>
      </w:r>
      <w:r w:rsidRPr="002C4077">
        <w:t xml:space="preserve"> </w:t>
      </w:r>
      <w:r>
        <w:t>et</w:t>
      </w:r>
      <w:r w:rsidRPr="002C4077">
        <w:t xml:space="preserve"> </w:t>
      </w:r>
      <w:r>
        <w:t>aussi</w:t>
      </w:r>
      <w:r w:rsidRPr="002C4077">
        <w:t xml:space="preserve"> </w:t>
      </w:r>
      <w:r>
        <w:t>parce</w:t>
      </w:r>
      <w:r w:rsidRPr="002C4077">
        <w:t xml:space="preserve"> </w:t>
      </w:r>
      <w:r>
        <w:t>que,</w:t>
      </w:r>
      <w:r w:rsidRPr="002C4077">
        <w:t xml:space="preserve"> </w:t>
      </w:r>
      <w:r>
        <w:t>d’après</w:t>
      </w:r>
      <w:r w:rsidRPr="002C4077">
        <w:t xml:space="preserve"> </w:t>
      </w:r>
      <w:r>
        <w:t>l’enseignement</w:t>
      </w:r>
      <w:r w:rsidRPr="002C4077">
        <w:t xml:space="preserve"> </w:t>
      </w:r>
      <w:r>
        <w:t>des</w:t>
      </w:r>
      <w:r w:rsidRPr="002C4077">
        <w:t xml:space="preserve"> </w:t>
      </w:r>
      <w:r>
        <w:t>rabbins,</w:t>
      </w:r>
      <w:r w:rsidRPr="002C4077">
        <w:t xml:space="preserve"> </w:t>
      </w:r>
      <w:r>
        <w:t>les</w:t>
      </w:r>
      <w:r w:rsidRPr="002C4077">
        <w:t xml:space="preserve"> </w:t>
      </w:r>
      <w:r>
        <w:t>Juifs</w:t>
      </w:r>
      <w:r w:rsidRPr="002C4077">
        <w:t xml:space="preserve"> </w:t>
      </w:r>
      <w:r>
        <w:t>enterrés</w:t>
      </w:r>
      <w:r w:rsidRPr="002C4077">
        <w:t xml:space="preserve"> </w:t>
      </w:r>
      <w:r>
        <w:t>en</w:t>
      </w:r>
      <w:r w:rsidRPr="002C4077">
        <w:t xml:space="preserve"> </w:t>
      </w:r>
      <w:r>
        <w:t>Palestine</w:t>
      </w:r>
      <w:r w:rsidRPr="002C4077">
        <w:t xml:space="preserve"> </w:t>
      </w:r>
      <w:r>
        <w:t>seront</w:t>
      </w:r>
      <w:r w:rsidRPr="002C4077">
        <w:t xml:space="preserve"> </w:t>
      </w:r>
      <w:r>
        <w:t>les</w:t>
      </w:r>
      <w:r w:rsidRPr="002C4077">
        <w:t xml:space="preserve"> </w:t>
      </w:r>
      <w:r>
        <w:t>premiers</w:t>
      </w:r>
      <w:r w:rsidRPr="002C4077">
        <w:t xml:space="preserve"> </w:t>
      </w:r>
      <w:r>
        <w:t>à</w:t>
      </w:r>
      <w:r w:rsidRPr="002C4077">
        <w:t xml:space="preserve"> </w:t>
      </w:r>
      <w:r>
        <w:t>ressusciter</w:t>
      </w:r>
      <w:r w:rsidRPr="002C4077">
        <w:t xml:space="preserve"> </w:t>
      </w:r>
      <w:r>
        <w:t>quand</w:t>
      </w:r>
      <w:r w:rsidRPr="002C4077">
        <w:t xml:space="preserve"> </w:t>
      </w:r>
      <w:r>
        <w:t>le</w:t>
      </w:r>
      <w:r w:rsidRPr="002C4077">
        <w:t xml:space="preserve"> </w:t>
      </w:r>
      <w:r>
        <w:t>Messie</w:t>
      </w:r>
      <w:r w:rsidRPr="002C4077">
        <w:t xml:space="preserve"> </w:t>
      </w:r>
      <w:r>
        <w:t>fera</w:t>
      </w:r>
      <w:r w:rsidRPr="002C4077">
        <w:t xml:space="preserve"> </w:t>
      </w:r>
      <w:r>
        <w:t>son</w:t>
      </w:r>
      <w:r w:rsidRPr="002C4077">
        <w:t xml:space="preserve"> </w:t>
      </w:r>
      <w:r>
        <w:t>apparition,</w:t>
      </w:r>
      <w:r w:rsidRPr="002C4077">
        <w:t xml:space="preserve"> </w:t>
      </w:r>
      <w:r>
        <w:t>les</w:t>
      </w:r>
      <w:r w:rsidRPr="002C4077">
        <w:t xml:space="preserve"> </w:t>
      </w:r>
      <w:r>
        <w:t>alentours</w:t>
      </w:r>
      <w:r w:rsidRPr="002C4077">
        <w:t xml:space="preserve"> </w:t>
      </w:r>
      <w:r>
        <w:t>de</w:t>
      </w:r>
      <w:r w:rsidRPr="002C4077">
        <w:t xml:space="preserve"> </w:t>
      </w:r>
      <w:r>
        <w:t>Jérusalem</w:t>
      </w:r>
      <w:r w:rsidRPr="002C4077">
        <w:t xml:space="preserve"> </w:t>
      </w:r>
      <w:r>
        <w:t>sont</w:t>
      </w:r>
      <w:r w:rsidRPr="002C4077">
        <w:t xml:space="preserve"> </w:t>
      </w:r>
      <w:r>
        <w:t>en</w:t>
      </w:r>
      <w:r w:rsidRPr="002C4077">
        <w:t xml:space="preserve"> </w:t>
      </w:r>
      <w:r>
        <w:t>plusieurs</w:t>
      </w:r>
      <w:r w:rsidRPr="002C4077">
        <w:t xml:space="preserve"> </w:t>
      </w:r>
      <w:r>
        <w:t>endroits</w:t>
      </w:r>
      <w:r w:rsidRPr="002C4077">
        <w:t xml:space="preserve"> </w:t>
      </w:r>
      <w:r>
        <w:t>littéralement</w:t>
      </w:r>
      <w:r w:rsidRPr="002C4077">
        <w:t xml:space="preserve"> </w:t>
      </w:r>
      <w:r>
        <w:t>jonchés</w:t>
      </w:r>
      <w:r w:rsidRPr="002C4077">
        <w:t xml:space="preserve"> </w:t>
      </w:r>
      <w:r>
        <w:t>de</w:t>
      </w:r>
      <w:r w:rsidRPr="002C4077">
        <w:t xml:space="preserve"> </w:t>
      </w:r>
      <w:r>
        <w:t>tombes</w:t>
      </w:r>
      <w:r w:rsidRPr="002C4077">
        <w:t xml:space="preserve"> </w:t>
      </w:r>
      <w:r>
        <w:t>israélites</w:t>
      </w:r>
      <w:r w:rsidR="00B91AF7">
        <w:rPr>
          <w:rStyle w:val="Appelnotedebasdep"/>
        </w:rPr>
        <w:footnoteReference w:id="910"/>
      </w:r>
      <w:r>
        <w:t>.</w:t>
      </w:r>
      <w:r w:rsidRPr="002C4077">
        <w:t xml:space="preserve"> </w:t>
      </w:r>
      <w:r>
        <w:t>Beaucoup</w:t>
      </w:r>
      <w:r w:rsidRPr="002C4077">
        <w:t xml:space="preserve"> </w:t>
      </w:r>
      <w:r>
        <w:t>de</w:t>
      </w:r>
      <w:r w:rsidRPr="002C4077">
        <w:t xml:space="preserve"> </w:t>
      </w:r>
      <w:r>
        <w:t>fils</w:t>
      </w:r>
      <w:r w:rsidRPr="002C4077">
        <w:t xml:space="preserve"> </w:t>
      </w:r>
      <w:r>
        <w:t>de</w:t>
      </w:r>
      <w:r w:rsidRPr="002C4077">
        <w:t xml:space="preserve"> </w:t>
      </w:r>
      <w:r>
        <w:t>Jacob</w:t>
      </w:r>
      <w:r w:rsidRPr="002C4077">
        <w:t xml:space="preserve"> </w:t>
      </w:r>
      <w:r>
        <w:t>vont</w:t>
      </w:r>
      <w:r w:rsidRPr="002C4077">
        <w:t xml:space="preserve"> </w:t>
      </w:r>
      <w:r>
        <w:t>mourir</w:t>
      </w:r>
      <w:r w:rsidRPr="002C4077">
        <w:t xml:space="preserve"> </w:t>
      </w:r>
      <w:r>
        <w:t>là-bas,</w:t>
      </w:r>
      <w:r w:rsidRPr="002C4077">
        <w:t xml:space="preserve"> </w:t>
      </w:r>
      <w:r>
        <w:t>tout</w:t>
      </w:r>
      <w:r w:rsidRPr="002C4077">
        <w:t xml:space="preserve"> </w:t>
      </w:r>
      <w:r>
        <w:t>exprès</w:t>
      </w:r>
      <w:r w:rsidRPr="002C4077">
        <w:t xml:space="preserve"> </w:t>
      </w:r>
      <w:r>
        <w:t>afin</w:t>
      </w:r>
      <w:r w:rsidRPr="002C4077">
        <w:t xml:space="preserve"> </w:t>
      </w:r>
      <w:r>
        <w:t>d’être</w:t>
      </w:r>
      <w:r w:rsidRPr="002C4077">
        <w:t xml:space="preserve"> </w:t>
      </w:r>
      <w:r>
        <w:t>ensevelis</w:t>
      </w:r>
      <w:r w:rsidRPr="002C4077">
        <w:t xml:space="preserve"> </w:t>
      </w:r>
      <w:r>
        <w:t>sur</w:t>
      </w:r>
      <w:r w:rsidRPr="002C4077">
        <w:t xml:space="preserve"> </w:t>
      </w:r>
      <w:r>
        <w:t>le</w:t>
      </w:r>
      <w:r w:rsidRPr="002C4077">
        <w:t xml:space="preserve"> </w:t>
      </w:r>
      <w:r>
        <w:t>sol</w:t>
      </w:r>
      <w:r w:rsidRPr="002C4077">
        <w:t xml:space="preserve"> </w:t>
      </w:r>
      <w:r>
        <w:t>consacré.</w:t>
      </w:r>
      <w:r w:rsidRPr="002C4077">
        <w:t xml:space="preserve"> </w:t>
      </w:r>
    </w:p>
    <w:p w:rsidR="000A7AAB" w:rsidRPr="005E2129" w:rsidRDefault="000A7AAB" w:rsidP="000A7AAB">
      <w:r>
        <w:t>Autrefois,</w:t>
      </w:r>
      <w:r w:rsidRPr="002C4077">
        <w:t xml:space="preserve"> </w:t>
      </w:r>
      <w:r>
        <w:t>les</w:t>
      </w:r>
      <w:r w:rsidRPr="002C4077">
        <w:t xml:space="preserve"> </w:t>
      </w:r>
      <w:r>
        <w:t>Juifs</w:t>
      </w:r>
      <w:r w:rsidRPr="002C4077">
        <w:t xml:space="preserve"> </w:t>
      </w:r>
      <w:r>
        <w:t>espagnols</w:t>
      </w:r>
      <w:r w:rsidRPr="002C4077">
        <w:t xml:space="preserve"> </w:t>
      </w:r>
      <w:r>
        <w:t>aimaient</w:t>
      </w:r>
      <w:r w:rsidRPr="002C4077">
        <w:t xml:space="preserve"> </w:t>
      </w:r>
      <w:r>
        <w:t>à</w:t>
      </w:r>
      <w:r w:rsidRPr="002C4077">
        <w:t xml:space="preserve"> </w:t>
      </w:r>
      <w:r>
        <w:t>venir</w:t>
      </w:r>
      <w:r w:rsidRPr="002C4077">
        <w:t xml:space="preserve"> </w:t>
      </w:r>
      <w:r>
        <w:t>s’asseoir,</w:t>
      </w:r>
      <w:r w:rsidRPr="002C4077">
        <w:t xml:space="preserve"> </w:t>
      </w:r>
      <w:r>
        <w:t>ou</w:t>
      </w:r>
      <w:r w:rsidRPr="002C4077">
        <w:t xml:space="preserve"> </w:t>
      </w:r>
      <w:r>
        <w:t>même</w:t>
      </w:r>
      <w:r w:rsidRPr="002C4077">
        <w:t xml:space="preserve"> </w:t>
      </w:r>
      <w:r>
        <w:t>à</w:t>
      </w:r>
      <w:r w:rsidRPr="002C4077">
        <w:t xml:space="preserve"> </w:t>
      </w:r>
      <w:r>
        <w:t>danser</w:t>
      </w:r>
      <w:r w:rsidRPr="002C4077">
        <w:t xml:space="preserve"> </w:t>
      </w:r>
      <w:r>
        <w:t>sur</w:t>
      </w:r>
      <w:r w:rsidRPr="002C4077">
        <w:t xml:space="preserve"> </w:t>
      </w:r>
      <w:r>
        <w:t>les</w:t>
      </w:r>
      <w:r w:rsidRPr="002C4077">
        <w:t xml:space="preserve"> </w:t>
      </w:r>
      <w:r>
        <w:t>tombes</w:t>
      </w:r>
      <w:r w:rsidRPr="002C4077">
        <w:t xml:space="preserve"> </w:t>
      </w:r>
      <w:r>
        <w:t>de</w:t>
      </w:r>
      <w:r w:rsidRPr="002C4077">
        <w:t xml:space="preserve"> </w:t>
      </w:r>
      <w:r>
        <w:t>leurs</w:t>
      </w:r>
      <w:r w:rsidRPr="002C4077">
        <w:t xml:space="preserve"> </w:t>
      </w:r>
      <w:r>
        <w:t>morts,</w:t>
      </w:r>
      <w:r w:rsidRPr="002C4077">
        <w:t xml:space="preserve"> </w:t>
      </w:r>
      <w:r>
        <w:t>espérant</w:t>
      </w:r>
      <w:r w:rsidRPr="002C4077">
        <w:t xml:space="preserve"> </w:t>
      </w:r>
      <w:r>
        <w:t>obtenir</w:t>
      </w:r>
      <w:r w:rsidRPr="002C4077">
        <w:t xml:space="preserve"> </w:t>
      </w:r>
      <w:r>
        <w:t>ainsi</w:t>
      </w:r>
      <w:r w:rsidRPr="002C4077">
        <w:t xml:space="preserve"> </w:t>
      </w:r>
      <w:r>
        <w:t>toutes</w:t>
      </w:r>
      <w:r w:rsidRPr="002C4077">
        <w:t xml:space="preserve"> </w:t>
      </w:r>
      <w:r>
        <w:t>sortes</w:t>
      </w:r>
      <w:r w:rsidRPr="002C4077">
        <w:t xml:space="preserve"> </w:t>
      </w:r>
      <w:r>
        <w:t>de</w:t>
      </w:r>
      <w:r w:rsidRPr="002C4077">
        <w:t xml:space="preserve"> </w:t>
      </w:r>
      <w:r>
        <w:t>faveurs</w:t>
      </w:r>
      <w:r w:rsidRPr="002C4077">
        <w:t xml:space="preserve"> </w:t>
      </w:r>
      <w:r>
        <w:t>naturelles</w:t>
      </w:r>
      <w:r w:rsidRPr="002C4077">
        <w:t xml:space="preserve"> </w:t>
      </w:r>
      <w:r>
        <w:t>et</w:t>
      </w:r>
      <w:bookmarkStart w:id="744" w:name="z_CimetieresJuifs_o13"/>
      <w:bookmarkEnd w:id="744"/>
      <w:r w:rsidRPr="002C4077">
        <w:t xml:space="preserve"> </w:t>
      </w:r>
      <w:r>
        <w:t>surnaturelles.</w:t>
      </w:r>
      <w:r w:rsidR="00C45B47">
        <w:t xml:space="preserve"> {</w:t>
      </w:r>
      <w:r w:rsidR="005E2129">
        <w:t>307</w:t>
      </w:r>
      <w:bookmarkStart w:id="745" w:name="p307"/>
      <w:bookmarkEnd w:id="745"/>
      <w:r w:rsidR="005E2129">
        <w:t xml:space="preserve">} </w:t>
      </w:r>
    </w:p>
    <w:p w:rsidR="005539D9" w:rsidRDefault="005539D9" w:rsidP="000A7AAB"/>
    <w:p w:rsidR="000A7AAB" w:rsidRDefault="000A7AAB" w:rsidP="000A7AAB">
      <w:r>
        <w:t>Est-ce</w:t>
      </w:r>
      <w:bookmarkStart w:id="746" w:name="z_CimetieresJuifs_o14"/>
      <w:bookmarkStart w:id="747" w:name="z_Cremation_o1"/>
      <w:bookmarkEnd w:id="746"/>
      <w:bookmarkEnd w:id="747"/>
      <w:r w:rsidRPr="002C4077">
        <w:t xml:space="preserve"> </w:t>
      </w:r>
      <w:r>
        <w:t>pareillement</w:t>
      </w:r>
      <w:bookmarkStart w:id="748" w:name="z_Exhumations_o1"/>
      <w:bookmarkEnd w:id="748"/>
      <w:r w:rsidRPr="002C4077">
        <w:t xml:space="preserve"> </w:t>
      </w:r>
      <w:r>
        <w:t>un</w:t>
      </w:r>
      <w:r w:rsidRPr="002C4077">
        <w:t xml:space="preserve"> </w:t>
      </w:r>
      <w:r>
        <w:t>sentiment</w:t>
      </w:r>
      <w:r w:rsidRPr="002C4077">
        <w:t xml:space="preserve"> </w:t>
      </w:r>
      <w:r>
        <w:t>superstitieux</w:t>
      </w:r>
      <w:r w:rsidRPr="002C4077">
        <w:t xml:space="preserve"> </w:t>
      </w:r>
      <w:r>
        <w:t>qui</w:t>
      </w:r>
      <w:r w:rsidRPr="002C4077">
        <w:t xml:space="preserve"> </w:t>
      </w:r>
      <w:r>
        <w:t>inspire</w:t>
      </w:r>
      <w:r w:rsidRPr="002C4077">
        <w:t xml:space="preserve"> </w:t>
      </w:r>
      <w:r>
        <w:t>aux</w:t>
      </w:r>
      <w:r w:rsidRPr="002C4077">
        <w:t xml:space="preserve"> </w:t>
      </w:r>
      <w:r>
        <w:t>Juifs</w:t>
      </w:r>
      <w:r w:rsidRPr="002C4077">
        <w:t xml:space="preserve"> </w:t>
      </w:r>
      <w:r>
        <w:t>une</w:t>
      </w:r>
      <w:r w:rsidRPr="002C4077">
        <w:t xml:space="preserve"> </w:t>
      </w:r>
      <w:r>
        <w:t>si</w:t>
      </w:r>
      <w:r w:rsidRPr="002C4077">
        <w:t xml:space="preserve"> </w:t>
      </w:r>
      <w:r>
        <w:t>vive</w:t>
      </w:r>
      <w:r w:rsidRPr="002C4077">
        <w:t xml:space="preserve"> </w:t>
      </w:r>
      <w:r>
        <w:t>horreur</w:t>
      </w:r>
      <w:r w:rsidRPr="002C4077">
        <w:t xml:space="preserve"> </w:t>
      </w:r>
      <w:r>
        <w:t>pour</w:t>
      </w:r>
      <w:r w:rsidRPr="002C4077">
        <w:t xml:space="preserve"> </w:t>
      </w:r>
      <w:r>
        <w:t>les</w:t>
      </w:r>
      <w:r w:rsidRPr="002C4077">
        <w:t xml:space="preserve"> </w:t>
      </w:r>
      <w:r>
        <w:t>exhumations</w:t>
      </w:r>
      <w:r w:rsidR="00B546AF">
        <w:t> ?</w:t>
      </w:r>
      <w:r w:rsidRPr="002C4077">
        <w:t xml:space="preserve"> </w:t>
      </w:r>
      <w:r>
        <w:t>On</w:t>
      </w:r>
      <w:r w:rsidRPr="002C4077">
        <w:t xml:space="preserve"> </w:t>
      </w:r>
      <w:r>
        <w:t>le</w:t>
      </w:r>
      <w:r w:rsidRPr="002C4077">
        <w:t xml:space="preserve"> </w:t>
      </w:r>
      <w:r>
        <w:t>croirait,</w:t>
      </w:r>
      <w:r w:rsidRPr="002C4077">
        <w:t xml:space="preserve"> </w:t>
      </w:r>
      <w:r>
        <w:t>au</w:t>
      </w:r>
      <w:r w:rsidRPr="002C4077">
        <w:t xml:space="preserve"> </w:t>
      </w:r>
      <w:r>
        <w:t>moins</w:t>
      </w:r>
      <w:r w:rsidRPr="002C4077">
        <w:t xml:space="preserve"> </w:t>
      </w:r>
      <w:r>
        <w:t>dans</w:t>
      </w:r>
      <w:r w:rsidRPr="002C4077">
        <w:t xml:space="preserve"> </w:t>
      </w:r>
      <w:r>
        <w:t>certains</w:t>
      </w:r>
      <w:r w:rsidRPr="002C4077">
        <w:t xml:space="preserve"> </w:t>
      </w:r>
      <w:r>
        <w:t>cas.</w:t>
      </w:r>
      <w:r w:rsidRPr="002C4077">
        <w:t xml:space="preserve"> </w:t>
      </w:r>
      <w:r>
        <w:t>Il</w:t>
      </w:r>
      <w:r w:rsidRPr="002C4077">
        <w:t xml:space="preserve"> </w:t>
      </w:r>
      <w:r w:rsidR="00425C50">
        <w:t>est</w:t>
      </w:r>
      <w:r w:rsidRPr="002C4077">
        <w:t xml:space="preserve"> </w:t>
      </w:r>
      <w:r>
        <w:t>probable</w:t>
      </w:r>
      <w:r w:rsidRPr="002C4077">
        <w:t xml:space="preserve"> </w:t>
      </w:r>
      <w:r>
        <w:t>cependant</w:t>
      </w:r>
      <w:r w:rsidRPr="002C4077">
        <w:t xml:space="preserve"> </w:t>
      </w:r>
      <w:r>
        <w:t>que</w:t>
      </w:r>
      <w:r w:rsidRPr="002C4077">
        <w:t xml:space="preserve"> </w:t>
      </w:r>
      <w:r>
        <w:t>ce</w:t>
      </w:r>
      <w:r w:rsidRPr="002C4077">
        <w:t xml:space="preserve"> </w:t>
      </w:r>
      <w:r>
        <w:t>mouvement</w:t>
      </w:r>
      <w:r w:rsidRPr="002C4077">
        <w:t xml:space="preserve"> </w:t>
      </w:r>
      <w:r>
        <w:t>de</w:t>
      </w:r>
      <w:r w:rsidRPr="002C4077">
        <w:t xml:space="preserve"> </w:t>
      </w:r>
      <w:r>
        <w:t>répulsion</w:t>
      </w:r>
      <w:r w:rsidRPr="002C4077">
        <w:t xml:space="preserve"> </w:t>
      </w:r>
      <w:r>
        <w:t>provient</w:t>
      </w:r>
      <w:r w:rsidRPr="002C4077">
        <w:t xml:space="preserve"> </w:t>
      </w:r>
      <w:r>
        <w:t>le</w:t>
      </w:r>
      <w:r w:rsidRPr="002C4077">
        <w:t xml:space="preserve"> </w:t>
      </w:r>
      <w:r>
        <w:t>plus</w:t>
      </w:r>
      <w:r w:rsidRPr="002C4077">
        <w:t xml:space="preserve"> </w:t>
      </w:r>
      <w:r>
        <w:t>souvent</w:t>
      </w:r>
      <w:r w:rsidRPr="002C4077">
        <w:t xml:space="preserve"> </w:t>
      </w:r>
      <w:r>
        <w:t>d’un</w:t>
      </w:r>
      <w:r w:rsidRPr="002C4077">
        <w:t xml:space="preserve"> </w:t>
      </w:r>
      <w:r>
        <w:t>vrai</w:t>
      </w:r>
      <w:r w:rsidRPr="002C4077">
        <w:t xml:space="preserve"> </w:t>
      </w:r>
      <w:r>
        <w:t>respect</w:t>
      </w:r>
      <w:r w:rsidRPr="002C4077">
        <w:t xml:space="preserve"> </w:t>
      </w:r>
      <w:r>
        <w:t>à</w:t>
      </w:r>
      <w:r w:rsidRPr="002C4077">
        <w:t xml:space="preserve"> </w:t>
      </w:r>
      <w:r>
        <w:t>l’égard</w:t>
      </w:r>
      <w:r w:rsidRPr="002C4077">
        <w:t xml:space="preserve"> </w:t>
      </w:r>
      <w:r>
        <w:t>des</w:t>
      </w:r>
      <w:r w:rsidRPr="002C4077">
        <w:t xml:space="preserve"> </w:t>
      </w:r>
      <w:r>
        <w:t>morts.</w:t>
      </w:r>
      <w:r w:rsidRPr="002C4077">
        <w:t xml:space="preserve"> </w:t>
      </w:r>
      <w:r>
        <w:t>Quoi</w:t>
      </w:r>
      <w:r w:rsidRPr="002C4077">
        <w:t xml:space="preserve"> </w:t>
      </w:r>
      <w:r>
        <w:t>qu’il</w:t>
      </w:r>
      <w:r w:rsidRPr="002C4077">
        <w:t xml:space="preserve"> </w:t>
      </w:r>
      <w:r>
        <w:t>en</w:t>
      </w:r>
      <w:r w:rsidRPr="002C4077">
        <w:t xml:space="preserve"> </w:t>
      </w:r>
      <w:r>
        <w:t>soit,</w:t>
      </w:r>
      <w:r w:rsidRPr="002C4077">
        <w:t xml:space="preserve"> </w:t>
      </w:r>
      <w:r>
        <w:t>ces</w:t>
      </w:r>
      <w:r w:rsidRPr="002C4077">
        <w:t xml:space="preserve"> </w:t>
      </w:r>
      <w:r>
        <w:t>douloureuses</w:t>
      </w:r>
      <w:r w:rsidRPr="002C4077">
        <w:t xml:space="preserve"> </w:t>
      </w:r>
      <w:r>
        <w:t>cérémonies</w:t>
      </w:r>
      <w:r w:rsidRPr="002C4077">
        <w:t xml:space="preserve"> </w:t>
      </w:r>
      <w:r>
        <w:t>ne</w:t>
      </w:r>
      <w:r w:rsidRPr="002C4077">
        <w:t xml:space="preserve"> </w:t>
      </w:r>
      <w:r>
        <w:t>sont</w:t>
      </w:r>
      <w:r w:rsidRPr="002C4077">
        <w:t xml:space="preserve"> </w:t>
      </w:r>
      <w:r>
        <w:t>guère</w:t>
      </w:r>
      <w:r w:rsidRPr="002C4077">
        <w:t xml:space="preserve"> </w:t>
      </w:r>
      <w:r>
        <w:t>autorisées</w:t>
      </w:r>
      <w:r w:rsidRPr="002C4077">
        <w:t xml:space="preserve"> </w:t>
      </w:r>
      <w:r>
        <w:t>chez</w:t>
      </w:r>
      <w:r w:rsidRPr="002C4077">
        <w:t xml:space="preserve"> </w:t>
      </w:r>
      <w:r>
        <w:t>eux</w:t>
      </w:r>
      <w:r w:rsidRPr="002C4077">
        <w:t xml:space="preserve"> </w:t>
      </w:r>
      <w:r>
        <w:t>que</w:t>
      </w:r>
      <w:r w:rsidRPr="002C4077">
        <w:t xml:space="preserve"> </w:t>
      </w:r>
      <w:r>
        <w:t>lorsqu’il</w:t>
      </w:r>
      <w:r w:rsidRPr="002C4077">
        <w:t xml:space="preserve"> </w:t>
      </w:r>
      <w:r>
        <w:t>s’agit</w:t>
      </w:r>
      <w:r w:rsidRPr="002C4077">
        <w:t xml:space="preserve"> </w:t>
      </w:r>
      <w:r>
        <w:t>de</w:t>
      </w:r>
      <w:r w:rsidRPr="002C4077">
        <w:t xml:space="preserve"> </w:t>
      </w:r>
      <w:r>
        <w:t>transporter</w:t>
      </w:r>
      <w:r w:rsidRPr="002C4077">
        <w:t xml:space="preserve"> </w:t>
      </w:r>
      <w:r>
        <w:t>après</w:t>
      </w:r>
      <w:r w:rsidRPr="002C4077">
        <w:t xml:space="preserve"> </w:t>
      </w:r>
      <w:r>
        <w:t>coup</w:t>
      </w:r>
      <w:r w:rsidRPr="002C4077">
        <w:t xml:space="preserve"> </w:t>
      </w:r>
      <w:r>
        <w:t>un</w:t>
      </w:r>
      <w:r w:rsidRPr="002C4077">
        <w:t xml:space="preserve"> </w:t>
      </w:r>
      <w:r>
        <w:t>défunt</w:t>
      </w:r>
      <w:r w:rsidRPr="002C4077">
        <w:t xml:space="preserve"> </w:t>
      </w:r>
      <w:r>
        <w:t>dans</w:t>
      </w:r>
      <w:r w:rsidRPr="002C4077">
        <w:t xml:space="preserve"> </w:t>
      </w:r>
      <w:r>
        <w:t>le</w:t>
      </w:r>
      <w:r w:rsidRPr="002C4077">
        <w:t xml:space="preserve"> </w:t>
      </w:r>
      <w:r>
        <w:t>tombeau</w:t>
      </w:r>
      <w:r w:rsidRPr="002C4077">
        <w:t xml:space="preserve"> </w:t>
      </w:r>
      <w:r>
        <w:t>de</w:t>
      </w:r>
      <w:r w:rsidRPr="002C4077">
        <w:t xml:space="preserve"> </w:t>
      </w:r>
      <w:r>
        <w:t>sa</w:t>
      </w:r>
      <w:r w:rsidRPr="002C4077">
        <w:t xml:space="preserve"> </w:t>
      </w:r>
      <w:r>
        <w:t>famille.</w:t>
      </w:r>
      <w:r w:rsidRPr="002C4077">
        <w:t xml:space="preserve"> </w:t>
      </w:r>
      <w:r w:rsidR="00B546AF">
        <w:t>« </w:t>
      </w:r>
      <w:r>
        <w:t>Il</w:t>
      </w:r>
      <w:r w:rsidRPr="002C4077">
        <w:t xml:space="preserve"> </w:t>
      </w:r>
      <w:r w:rsidR="00425C50">
        <w:t>est</w:t>
      </w:r>
      <w:r w:rsidRPr="002C4077">
        <w:t xml:space="preserve"> </w:t>
      </w:r>
      <w:r>
        <w:t>agréable</w:t>
      </w:r>
      <w:r w:rsidRPr="002C4077">
        <w:t xml:space="preserve"> </w:t>
      </w:r>
      <w:r>
        <w:t>à</w:t>
      </w:r>
      <w:r w:rsidRPr="002C4077">
        <w:t xml:space="preserve"> </w:t>
      </w:r>
      <w:r>
        <w:t>l’homme</w:t>
      </w:r>
      <w:r w:rsidR="00B546AF">
        <w:t> »</w:t>
      </w:r>
      <w:r>
        <w:t>,</w:t>
      </w:r>
      <w:r w:rsidRPr="002C4077">
        <w:t xml:space="preserve"> </w:t>
      </w:r>
      <w:r>
        <w:t>dit</w:t>
      </w:r>
      <w:r w:rsidRPr="002C4077">
        <w:t xml:space="preserve"> </w:t>
      </w:r>
      <w:r>
        <w:t>le</w:t>
      </w:r>
      <w:r w:rsidRPr="002C4077">
        <w:t xml:space="preserve"> </w:t>
      </w:r>
      <w:r>
        <w:t>Talmud,</w:t>
      </w:r>
      <w:r w:rsidRPr="002C4077">
        <w:t xml:space="preserve"> </w:t>
      </w:r>
      <w:r>
        <w:t>de</w:t>
      </w:r>
      <w:r w:rsidRPr="002C4077">
        <w:t xml:space="preserve"> </w:t>
      </w:r>
      <w:r>
        <w:t>reposer</w:t>
      </w:r>
      <w:r w:rsidRPr="002C4077">
        <w:t xml:space="preserve"> </w:t>
      </w:r>
      <w:r>
        <w:t>auprès</w:t>
      </w:r>
      <w:r w:rsidRPr="002C4077">
        <w:t xml:space="preserve"> </w:t>
      </w:r>
      <w:r>
        <w:t>de</w:t>
      </w:r>
      <w:r w:rsidRPr="002C4077">
        <w:t xml:space="preserve"> </w:t>
      </w:r>
      <w:r>
        <w:t>ses</w:t>
      </w:r>
      <w:r w:rsidRPr="002C4077">
        <w:t xml:space="preserve"> </w:t>
      </w:r>
      <w:r>
        <w:t>pères.</w:t>
      </w:r>
      <w:r w:rsidRPr="002C4077">
        <w:t xml:space="preserve"> </w:t>
      </w:r>
      <w:r>
        <w:t>En</w:t>
      </w:r>
      <w:r w:rsidRPr="002C4077">
        <w:t xml:space="preserve"> </w:t>
      </w:r>
      <w:r>
        <w:t>vertu</w:t>
      </w:r>
      <w:r w:rsidRPr="002C4077">
        <w:t xml:space="preserve"> </w:t>
      </w:r>
      <w:r>
        <w:t>de</w:t>
      </w:r>
      <w:r w:rsidRPr="002C4077">
        <w:t xml:space="preserve"> </w:t>
      </w:r>
      <w:r>
        <w:t>ce</w:t>
      </w:r>
      <w:r w:rsidRPr="002C4077">
        <w:t xml:space="preserve"> </w:t>
      </w:r>
      <w:r>
        <w:t>principe,</w:t>
      </w:r>
      <w:r w:rsidRPr="002C4077">
        <w:t xml:space="preserve"> </w:t>
      </w:r>
      <w:r>
        <w:t>dans</w:t>
      </w:r>
      <w:r w:rsidRPr="002C4077">
        <w:t xml:space="preserve"> </w:t>
      </w:r>
      <w:r>
        <w:t>les</w:t>
      </w:r>
      <w:r w:rsidRPr="002C4077">
        <w:t xml:space="preserve"> </w:t>
      </w:r>
      <w:r>
        <w:t>cimetières</w:t>
      </w:r>
      <w:r w:rsidRPr="002C4077">
        <w:t xml:space="preserve"> </w:t>
      </w:r>
      <w:r>
        <w:t>exclusivement</w:t>
      </w:r>
      <w:r w:rsidRPr="002C4077">
        <w:t xml:space="preserve"> </w:t>
      </w:r>
      <w:r>
        <w:t>juifs</w:t>
      </w:r>
      <w:r w:rsidRPr="002C4077">
        <w:t xml:space="preserve"> </w:t>
      </w:r>
      <w:r>
        <w:t>on</w:t>
      </w:r>
      <w:r w:rsidRPr="002C4077">
        <w:t xml:space="preserve"> </w:t>
      </w:r>
      <w:r>
        <w:t>n’enterre</w:t>
      </w:r>
      <w:r w:rsidRPr="002C4077">
        <w:t xml:space="preserve"> </w:t>
      </w:r>
      <w:r>
        <w:t>jamais</w:t>
      </w:r>
      <w:r w:rsidRPr="002C4077">
        <w:t xml:space="preserve"> </w:t>
      </w:r>
      <w:r>
        <w:t>plusieurs</w:t>
      </w:r>
      <w:r w:rsidRPr="002C4077">
        <w:t xml:space="preserve"> </w:t>
      </w:r>
      <w:r>
        <w:t>fois</w:t>
      </w:r>
      <w:r w:rsidRPr="002C4077">
        <w:t xml:space="preserve"> </w:t>
      </w:r>
      <w:r>
        <w:t>à</w:t>
      </w:r>
      <w:r w:rsidRPr="002C4077">
        <w:t xml:space="preserve"> </w:t>
      </w:r>
      <w:r>
        <w:t>la</w:t>
      </w:r>
      <w:r w:rsidRPr="002C4077">
        <w:t xml:space="preserve"> </w:t>
      </w:r>
      <w:r>
        <w:t>même</w:t>
      </w:r>
      <w:r w:rsidRPr="002C4077">
        <w:t xml:space="preserve"> </w:t>
      </w:r>
      <w:r>
        <w:t>place.</w:t>
      </w:r>
      <w:r w:rsidRPr="002C4077">
        <w:t xml:space="preserve"> </w:t>
      </w:r>
      <w:r>
        <w:t>Les</w:t>
      </w:r>
      <w:r w:rsidRPr="002C4077">
        <w:t xml:space="preserve"> </w:t>
      </w:r>
      <w:r>
        <w:t>morts</w:t>
      </w:r>
      <w:r w:rsidRPr="002C4077">
        <w:t xml:space="preserve"> </w:t>
      </w:r>
      <w:r>
        <w:t>d’Israël</w:t>
      </w:r>
      <w:r w:rsidRPr="002C4077">
        <w:t xml:space="preserve"> </w:t>
      </w:r>
      <w:r>
        <w:t>sont</w:t>
      </w:r>
      <w:r w:rsidRPr="002C4077">
        <w:t xml:space="preserve"> </w:t>
      </w:r>
      <w:r>
        <w:t>donc</w:t>
      </w:r>
      <w:r w:rsidRPr="002C4077">
        <w:t xml:space="preserve"> </w:t>
      </w:r>
      <w:r>
        <w:t>sûrs,</w:t>
      </w:r>
      <w:r w:rsidRPr="002C4077">
        <w:t xml:space="preserve"> </w:t>
      </w:r>
      <w:r>
        <w:t>d’ordinaire,</w:t>
      </w:r>
      <w:r w:rsidRPr="002C4077">
        <w:t xml:space="preserve"> </w:t>
      </w:r>
      <w:r>
        <w:t>de</w:t>
      </w:r>
      <w:r w:rsidRPr="002C4077">
        <w:t xml:space="preserve"> </w:t>
      </w:r>
      <w:r>
        <w:t>reposer</w:t>
      </w:r>
      <w:r w:rsidRPr="002C4077">
        <w:t xml:space="preserve"> </w:t>
      </w:r>
      <w:r>
        <w:t>en</w:t>
      </w:r>
      <w:r w:rsidRPr="002C4077">
        <w:t xml:space="preserve"> </w:t>
      </w:r>
      <w:r>
        <w:t>paix</w:t>
      </w:r>
      <w:r w:rsidRPr="002C4077">
        <w:t xml:space="preserve"> </w:t>
      </w:r>
      <w:r>
        <w:t>jusqu’au</w:t>
      </w:r>
      <w:r w:rsidRPr="002C4077">
        <w:t xml:space="preserve"> </w:t>
      </w:r>
      <w:r>
        <w:t>jour</w:t>
      </w:r>
      <w:r w:rsidRPr="002C4077">
        <w:t xml:space="preserve"> </w:t>
      </w:r>
      <w:r>
        <w:t>du</w:t>
      </w:r>
      <w:r w:rsidRPr="002C4077">
        <w:t xml:space="preserve"> </w:t>
      </w:r>
      <w:r>
        <w:t>jugement</w:t>
      </w:r>
      <w:r w:rsidRPr="002C4077">
        <w:t xml:space="preserve"> </w:t>
      </w:r>
      <w:r>
        <w:t>général.</w:t>
      </w:r>
      <w:r w:rsidRPr="002C4077">
        <w:t xml:space="preserve"> </w:t>
      </w:r>
    </w:p>
    <w:p w:rsidR="000A7AAB" w:rsidRDefault="000A7AAB" w:rsidP="000A7AAB">
      <w:r>
        <w:t>Dans</w:t>
      </w:r>
      <w:r w:rsidRPr="002C4077">
        <w:t xml:space="preserve"> </w:t>
      </w:r>
      <w:r>
        <w:t>la</w:t>
      </w:r>
      <w:r w:rsidRPr="002C4077">
        <w:t xml:space="preserve"> </w:t>
      </w:r>
      <w:r>
        <w:t>religion</w:t>
      </w:r>
      <w:r w:rsidRPr="002C4077">
        <w:t xml:space="preserve"> </w:t>
      </w:r>
      <w:r>
        <w:t>juive,</w:t>
      </w:r>
      <w:r w:rsidRPr="002C4077">
        <w:t xml:space="preserve"> </w:t>
      </w:r>
      <w:r>
        <w:t>la</w:t>
      </w:r>
      <w:r w:rsidRPr="002C4077">
        <w:t xml:space="preserve"> </w:t>
      </w:r>
      <w:r>
        <w:t>violation</w:t>
      </w:r>
      <w:r w:rsidRPr="002C4077">
        <w:t xml:space="preserve"> </w:t>
      </w:r>
      <w:r>
        <w:t>des</w:t>
      </w:r>
      <w:r w:rsidRPr="002C4077">
        <w:t xml:space="preserve"> </w:t>
      </w:r>
      <w:r>
        <w:t>sépulcres</w:t>
      </w:r>
      <w:r w:rsidRPr="002C4077">
        <w:t xml:space="preserve"> </w:t>
      </w:r>
      <w:r>
        <w:t>a</w:t>
      </w:r>
      <w:r w:rsidRPr="002C4077">
        <w:t xml:space="preserve"> </w:t>
      </w:r>
      <w:r>
        <w:t>toujours</w:t>
      </w:r>
      <w:r w:rsidRPr="002C4077">
        <w:t xml:space="preserve"> </w:t>
      </w:r>
      <w:r>
        <w:t>été</w:t>
      </w:r>
      <w:r w:rsidRPr="002C4077">
        <w:t xml:space="preserve"> </w:t>
      </w:r>
      <w:r>
        <w:t>envisagée</w:t>
      </w:r>
      <w:r w:rsidRPr="002C4077">
        <w:t xml:space="preserve"> </w:t>
      </w:r>
      <w:r>
        <w:t>comme</w:t>
      </w:r>
      <w:r w:rsidRPr="002C4077">
        <w:t xml:space="preserve"> </w:t>
      </w:r>
      <w:r>
        <w:t>l’impiété</w:t>
      </w:r>
      <w:r w:rsidRPr="002C4077">
        <w:t xml:space="preserve"> </w:t>
      </w:r>
      <w:r>
        <w:t>la</w:t>
      </w:r>
      <w:r w:rsidRPr="002C4077">
        <w:t xml:space="preserve"> </w:t>
      </w:r>
      <w:r>
        <w:t>plus</w:t>
      </w:r>
      <w:r w:rsidRPr="002C4077">
        <w:t xml:space="preserve"> </w:t>
      </w:r>
      <w:r>
        <w:t>affreuse,</w:t>
      </w:r>
      <w:r w:rsidRPr="002C4077">
        <w:t xml:space="preserve"> </w:t>
      </w:r>
      <w:r>
        <w:t>comme</w:t>
      </w:r>
      <w:r w:rsidRPr="002C4077">
        <w:t xml:space="preserve"> </w:t>
      </w:r>
      <w:r>
        <w:t>une</w:t>
      </w:r>
      <w:r w:rsidRPr="002C4077">
        <w:t xml:space="preserve"> </w:t>
      </w:r>
      <w:r>
        <w:t>barbarie</w:t>
      </w:r>
      <w:r w:rsidRPr="002C4077">
        <w:t xml:space="preserve"> </w:t>
      </w:r>
      <w:r>
        <w:t>sans</w:t>
      </w:r>
      <w:r w:rsidRPr="002C4077">
        <w:t xml:space="preserve"> </w:t>
      </w:r>
      <w:r>
        <w:t>nom,</w:t>
      </w:r>
      <w:r w:rsidRPr="002C4077">
        <w:t xml:space="preserve"> </w:t>
      </w:r>
      <w:r>
        <w:t>à</w:t>
      </w:r>
      <w:r w:rsidRPr="002C4077">
        <w:t xml:space="preserve"> </w:t>
      </w:r>
      <w:r>
        <w:t>tel</w:t>
      </w:r>
      <w:r w:rsidRPr="002C4077">
        <w:t xml:space="preserve"> </w:t>
      </w:r>
      <w:r>
        <w:t>point</w:t>
      </w:r>
      <w:r w:rsidRPr="002C4077">
        <w:t xml:space="preserve"> </w:t>
      </w:r>
      <w:r>
        <w:t>que</w:t>
      </w:r>
      <w:r w:rsidRPr="002C4077">
        <w:t xml:space="preserve"> </w:t>
      </w:r>
      <w:r>
        <w:t>Rabbi</w:t>
      </w:r>
      <w:r w:rsidRPr="002C4077">
        <w:t xml:space="preserve"> </w:t>
      </w:r>
      <w:r>
        <w:t>Siméon</w:t>
      </w:r>
      <w:r w:rsidRPr="002C4077">
        <w:t xml:space="preserve"> </w:t>
      </w:r>
      <w:r>
        <w:t>ben</w:t>
      </w:r>
      <w:r w:rsidRPr="002C4077">
        <w:t xml:space="preserve"> </w:t>
      </w:r>
      <w:r>
        <w:t>Iochaï</w:t>
      </w:r>
      <w:r w:rsidRPr="002C4077">
        <w:t xml:space="preserve"> </w:t>
      </w:r>
      <w:r>
        <w:t>s’écriait,</w:t>
      </w:r>
      <w:r w:rsidRPr="002C4077">
        <w:t xml:space="preserve"> </w:t>
      </w:r>
      <w:r>
        <w:t>en</w:t>
      </w:r>
      <w:r w:rsidRPr="002C4077">
        <w:t xml:space="preserve"> </w:t>
      </w:r>
      <w:r>
        <w:t>apprenant</w:t>
      </w:r>
      <w:r w:rsidRPr="002C4077">
        <w:t xml:space="preserve"> </w:t>
      </w:r>
      <w:r>
        <w:t>qu’on</w:t>
      </w:r>
      <w:r w:rsidRPr="002C4077">
        <w:t xml:space="preserve"> </w:t>
      </w:r>
      <w:r>
        <w:t>avait</w:t>
      </w:r>
      <w:r w:rsidRPr="002C4077">
        <w:t xml:space="preserve"> </w:t>
      </w:r>
      <w:r>
        <w:t>profané</w:t>
      </w:r>
      <w:r w:rsidRPr="002C4077">
        <w:t xml:space="preserve"> </w:t>
      </w:r>
      <w:r>
        <w:t>le</w:t>
      </w:r>
      <w:r w:rsidRPr="002C4077">
        <w:t xml:space="preserve"> </w:t>
      </w:r>
      <w:r>
        <w:t>tombeau</w:t>
      </w:r>
      <w:r w:rsidRPr="002C4077">
        <w:t xml:space="preserve"> </w:t>
      </w:r>
      <w:r>
        <w:t>de</w:t>
      </w:r>
      <w:r w:rsidRPr="002C4077">
        <w:t xml:space="preserve"> </w:t>
      </w:r>
      <w:r>
        <w:t>quelques-uns</w:t>
      </w:r>
      <w:r w:rsidRPr="002C4077">
        <w:t xml:space="preserve"> </w:t>
      </w:r>
      <w:r>
        <w:t>de</w:t>
      </w:r>
      <w:r w:rsidRPr="002C4077">
        <w:t xml:space="preserve"> </w:t>
      </w:r>
      <w:r>
        <w:t>ses</w:t>
      </w:r>
      <w:r w:rsidRPr="002C4077">
        <w:t xml:space="preserve"> </w:t>
      </w:r>
      <w:r>
        <w:t>coreligionnaires</w:t>
      </w:r>
      <w:r w:rsidR="00B546AF">
        <w:t> :</w:t>
      </w:r>
      <w:r w:rsidRPr="002C4077">
        <w:t xml:space="preserve"> </w:t>
      </w:r>
      <w:r w:rsidR="00B546AF">
        <w:t>« </w:t>
      </w:r>
      <w:r>
        <w:t>Sachez</w:t>
      </w:r>
      <w:r w:rsidRPr="002C4077">
        <w:t xml:space="preserve"> </w:t>
      </w:r>
      <w:r>
        <w:t>que</w:t>
      </w:r>
      <w:r w:rsidRPr="002C4077">
        <w:t xml:space="preserve"> </w:t>
      </w:r>
      <w:r>
        <w:t>les</w:t>
      </w:r>
      <w:r w:rsidRPr="002C4077">
        <w:t xml:space="preserve"> </w:t>
      </w:r>
      <w:r>
        <w:t>souffrances</w:t>
      </w:r>
      <w:r w:rsidRPr="002C4077">
        <w:t xml:space="preserve"> </w:t>
      </w:r>
      <w:r>
        <w:t>ont</w:t>
      </w:r>
      <w:r w:rsidRPr="002C4077">
        <w:t xml:space="preserve"> </w:t>
      </w:r>
      <w:r>
        <w:t>atteint</w:t>
      </w:r>
      <w:r w:rsidRPr="002C4077">
        <w:t xml:space="preserve"> </w:t>
      </w:r>
      <w:r>
        <w:t>leur</w:t>
      </w:r>
      <w:r w:rsidRPr="002C4077">
        <w:t xml:space="preserve"> </w:t>
      </w:r>
      <w:r>
        <w:t>dernier</w:t>
      </w:r>
      <w:r w:rsidRPr="002C4077">
        <w:t xml:space="preserve"> </w:t>
      </w:r>
      <w:r>
        <w:t>degré</w:t>
      </w:r>
      <w:r w:rsidRPr="002C4077">
        <w:t xml:space="preserve"> </w:t>
      </w:r>
      <w:r>
        <w:t>d’intensité,</w:t>
      </w:r>
      <w:r w:rsidRPr="002C4077">
        <w:t xml:space="preserve"> </w:t>
      </w:r>
      <w:r>
        <w:t>et</w:t>
      </w:r>
      <w:r w:rsidRPr="002C4077">
        <w:t xml:space="preserve"> </w:t>
      </w:r>
      <w:r>
        <w:t>attendez</w:t>
      </w:r>
      <w:r w:rsidRPr="002C4077">
        <w:t xml:space="preserve"> </w:t>
      </w:r>
      <w:r>
        <w:t>l’avènement</w:t>
      </w:r>
      <w:r w:rsidRPr="002C4077">
        <w:t xml:space="preserve"> </w:t>
      </w:r>
      <w:r>
        <w:t>prochain</w:t>
      </w:r>
      <w:r w:rsidRPr="002C4077">
        <w:t xml:space="preserve"> </w:t>
      </w:r>
      <w:r>
        <w:t>des</w:t>
      </w:r>
      <w:r w:rsidRPr="002C4077">
        <w:t xml:space="preserve"> </w:t>
      </w:r>
      <w:r>
        <w:t>jours</w:t>
      </w:r>
      <w:r w:rsidRPr="002C4077">
        <w:t xml:space="preserve"> </w:t>
      </w:r>
      <w:r>
        <w:t>du</w:t>
      </w:r>
      <w:r w:rsidRPr="002C4077">
        <w:t xml:space="preserve"> </w:t>
      </w:r>
      <w:r>
        <w:t>Messie</w:t>
      </w:r>
      <w:r w:rsidR="00B546AF">
        <w:t> »</w:t>
      </w:r>
      <w:r>
        <w:t>.</w:t>
      </w:r>
      <w:r w:rsidRPr="002C4077">
        <w:t xml:space="preserve"> </w:t>
      </w:r>
      <w:r>
        <w:t>Chacun</w:t>
      </w:r>
      <w:r w:rsidRPr="002C4077">
        <w:t xml:space="preserve"> </w:t>
      </w:r>
      <w:r>
        <w:t>sait</w:t>
      </w:r>
      <w:r w:rsidRPr="002C4077">
        <w:t xml:space="preserve"> </w:t>
      </w:r>
      <w:r>
        <w:t>que,</w:t>
      </w:r>
      <w:r w:rsidRPr="002C4077">
        <w:t xml:space="preserve"> </w:t>
      </w:r>
      <w:r>
        <w:t>d’après</w:t>
      </w:r>
      <w:r w:rsidRPr="002C4077">
        <w:t xml:space="preserve"> </w:t>
      </w:r>
      <w:r>
        <w:t>les</w:t>
      </w:r>
      <w:r w:rsidRPr="002C4077">
        <w:t xml:space="preserve"> </w:t>
      </w:r>
      <w:r>
        <w:t>idées</w:t>
      </w:r>
      <w:r w:rsidRPr="002C4077">
        <w:t xml:space="preserve"> </w:t>
      </w:r>
      <w:r>
        <w:t>juives,</w:t>
      </w:r>
      <w:r w:rsidRPr="002C4077">
        <w:t xml:space="preserve"> </w:t>
      </w:r>
      <w:r>
        <w:t>l’avènement</w:t>
      </w:r>
      <w:r w:rsidRPr="002C4077">
        <w:t xml:space="preserve"> </w:t>
      </w:r>
      <w:r>
        <w:t>du</w:t>
      </w:r>
      <w:r w:rsidRPr="002C4077">
        <w:t xml:space="preserve"> </w:t>
      </w:r>
      <w:r>
        <w:t>Messie</w:t>
      </w:r>
      <w:r w:rsidRPr="002C4077">
        <w:t xml:space="preserve"> </w:t>
      </w:r>
      <w:r>
        <w:t>doit</w:t>
      </w:r>
      <w:r w:rsidRPr="002C4077">
        <w:t xml:space="preserve"> </w:t>
      </w:r>
      <w:r>
        <w:t>être</w:t>
      </w:r>
      <w:r w:rsidRPr="002C4077">
        <w:t xml:space="preserve"> </w:t>
      </w:r>
      <w:r>
        <w:t>précédé</w:t>
      </w:r>
      <w:r w:rsidRPr="002C4077">
        <w:t xml:space="preserve"> </w:t>
      </w:r>
      <w:r>
        <w:t>de</w:t>
      </w:r>
      <w:r w:rsidRPr="002C4077">
        <w:t xml:space="preserve"> </w:t>
      </w:r>
      <w:r>
        <w:t>tristesses</w:t>
      </w:r>
      <w:r w:rsidRPr="002C4077">
        <w:t xml:space="preserve"> </w:t>
      </w:r>
      <w:r>
        <w:t>poignantes</w:t>
      </w:r>
      <w:r w:rsidRPr="002C4077">
        <w:t xml:space="preserve"> </w:t>
      </w:r>
      <w:r>
        <w:t>et</w:t>
      </w:r>
      <w:r w:rsidRPr="002C4077">
        <w:t xml:space="preserve"> </w:t>
      </w:r>
      <w:r>
        <w:t>d’atroces</w:t>
      </w:r>
      <w:r w:rsidRPr="002C4077">
        <w:t xml:space="preserve"> </w:t>
      </w:r>
      <w:r>
        <w:t>douleurs.</w:t>
      </w:r>
      <w:r w:rsidRPr="002C4077">
        <w:t xml:space="preserve"> </w:t>
      </w:r>
    </w:p>
    <w:p w:rsidR="005539D9" w:rsidRDefault="005539D9" w:rsidP="000A7AAB"/>
    <w:p w:rsidR="000A7AAB" w:rsidRPr="005E2129" w:rsidRDefault="000A7AAB" w:rsidP="000A7AAB">
      <w:r>
        <w:t>Il</w:t>
      </w:r>
      <w:r w:rsidRPr="002C4077">
        <w:t xml:space="preserve"> </w:t>
      </w:r>
      <w:r w:rsidR="00425C50">
        <w:t>est</w:t>
      </w:r>
      <w:r w:rsidRPr="002C4077">
        <w:t xml:space="preserve"> </w:t>
      </w:r>
      <w:r>
        <w:t>remarquable</w:t>
      </w:r>
      <w:r w:rsidRPr="002C4077">
        <w:t xml:space="preserve"> </w:t>
      </w:r>
      <w:r>
        <w:t>que</w:t>
      </w:r>
      <w:r w:rsidRPr="002C4077">
        <w:t xml:space="preserve"> </w:t>
      </w:r>
      <w:r>
        <w:t>les</w:t>
      </w:r>
      <w:r w:rsidRPr="002C4077">
        <w:t xml:space="preserve"> </w:t>
      </w:r>
      <w:r>
        <w:t>Israélites</w:t>
      </w:r>
      <w:r w:rsidRPr="002C4077">
        <w:t xml:space="preserve"> </w:t>
      </w:r>
      <w:r>
        <w:t>aient</w:t>
      </w:r>
      <w:r w:rsidRPr="002C4077">
        <w:t xml:space="preserve"> </w:t>
      </w:r>
      <w:r>
        <w:t>toujours</w:t>
      </w:r>
      <w:r w:rsidRPr="002C4077">
        <w:t xml:space="preserve"> </w:t>
      </w:r>
      <w:r>
        <w:t>enterré</w:t>
      </w:r>
      <w:r w:rsidRPr="002C4077">
        <w:t xml:space="preserve"> </w:t>
      </w:r>
      <w:r>
        <w:t>leurs</w:t>
      </w:r>
      <w:r w:rsidRPr="002C4077">
        <w:t xml:space="preserve"> </w:t>
      </w:r>
      <w:r>
        <w:t>morts,</w:t>
      </w:r>
      <w:r w:rsidRPr="002C4077">
        <w:t xml:space="preserve"> </w:t>
      </w:r>
      <w:r>
        <w:t>sans</w:t>
      </w:r>
      <w:r w:rsidRPr="002C4077">
        <w:t xml:space="preserve"> </w:t>
      </w:r>
      <w:r>
        <w:t>se</w:t>
      </w:r>
      <w:r w:rsidRPr="002C4077">
        <w:t xml:space="preserve"> </w:t>
      </w:r>
      <w:r>
        <w:t>laisser</w:t>
      </w:r>
      <w:r w:rsidRPr="002C4077">
        <w:t xml:space="preserve"> </w:t>
      </w:r>
      <w:r>
        <w:t>influencer</w:t>
      </w:r>
      <w:r w:rsidRPr="002C4077">
        <w:t xml:space="preserve"> </w:t>
      </w:r>
      <w:r>
        <w:t>par</w:t>
      </w:r>
      <w:r w:rsidRPr="002C4077">
        <w:t xml:space="preserve"> </w:t>
      </w:r>
      <w:r>
        <w:t>les</w:t>
      </w:r>
      <w:r w:rsidRPr="002C4077">
        <w:t xml:space="preserve"> </w:t>
      </w:r>
      <w:r>
        <w:t>coutumes</w:t>
      </w:r>
      <w:r w:rsidRPr="002C4077">
        <w:t xml:space="preserve"> </w:t>
      </w:r>
      <w:r>
        <w:t>contraires</w:t>
      </w:r>
      <w:r w:rsidRPr="002C4077">
        <w:t xml:space="preserve"> </w:t>
      </w:r>
      <w:r>
        <w:t>des</w:t>
      </w:r>
      <w:r w:rsidRPr="002C4077">
        <w:t xml:space="preserve"> </w:t>
      </w:r>
      <w:r>
        <w:t>peuples</w:t>
      </w:r>
      <w:r w:rsidRPr="002C4077">
        <w:t xml:space="preserve"> </w:t>
      </w:r>
      <w:r>
        <w:t>parmi</w:t>
      </w:r>
      <w:r w:rsidRPr="002C4077">
        <w:t xml:space="preserve"> </w:t>
      </w:r>
      <w:r>
        <w:t>lesquels</w:t>
      </w:r>
      <w:r w:rsidRPr="002C4077">
        <w:t xml:space="preserve"> </w:t>
      </w:r>
      <w:r>
        <w:t>ils</w:t>
      </w:r>
      <w:r w:rsidRPr="002C4077">
        <w:t xml:space="preserve"> </w:t>
      </w:r>
      <w:r>
        <w:t>vivaient.</w:t>
      </w:r>
      <w:r w:rsidR="00C45B47">
        <w:t xml:space="preserve"> {</w:t>
      </w:r>
      <w:r w:rsidR="005E2129">
        <w:t>308</w:t>
      </w:r>
      <w:bookmarkStart w:id="749" w:name="p308"/>
      <w:bookmarkEnd w:id="749"/>
      <w:r w:rsidR="005E2129">
        <w:t xml:space="preserve">} </w:t>
      </w:r>
    </w:p>
    <w:p w:rsidR="000A7AAB" w:rsidRDefault="00B546AF" w:rsidP="000A7AAB">
      <w:r>
        <w:t>« </w:t>
      </w:r>
      <w:r w:rsidR="000A7AAB">
        <w:t>Tu</w:t>
      </w:r>
      <w:bookmarkStart w:id="750" w:name="z_CimetieresJuifs_o15"/>
      <w:bookmarkEnd w:id="750"/>
      <w:r w:rsidR="000A7AAB" w:rsidRPr="002C4077">
        <w:t xml:space="preserve"> </w:t>
      </w:r>
      <w:r w:rsidR="000A7AAB">
        <w:t>es</w:t>
      </w:r>
      <w:r w:rsidR="000A7AAB" w:rsidRPr="002C4077">
        <w:t xml:space="preserve"> </w:t>
      </w:r>
      <w:r w:rsidR="000A7AAB">
        <w:t>poussière</w:t>
      </w:r>
      <w:r w:rsidR="000A7AAB" w:rsidRPr="002C4077">
        <w:t xml:space="preserve"> </w:t>
      </w:r>
      <w:r w:rsidR="000A7AAB">
        <w:t>et</w:t>
      </w:r>
      <w:r w:rsidR="000A7AAB" w:rsidRPr="002C4077">
        <w:t xml:space="preserve"> </w:t>
      </w:r>
      <w:r w:rsidR="000A7AAB">
        <w:t>tu</w:t>
      </w:r>
      <w:r w:rsidR="000A7AAB" w:rsidRPr="002C4077">
        <w:t xml:space="preserve"> </w:t>
      </w:r>
      <w:r w:rsidR="000A7AAB">
        <w:t>retourneras</w:t>
      </w:r>
      <w:r w:rsidR="000A7AAB" w:rsidRPr="002C4077">
        <w:t xml:space="preserve"> </w:t>
      </w:r>
      <w:r w:rsidR="000A7AAB">
        <w:t>en</w:t>
      </w:r>
      <w:r w:rsidR="000A7AAB" w:rsidRPr="002C4077">
        <w:t xml:space="preserve"> </w:t>
      </w:r>
      <w:r w:rsidR="000A7AAB">
        <w:t>poussière</w:t>
      </w:r>
      <w:r w:rsidR="00B91AF7">
        <w:rPr>
          <w:rStyle w:val="Appelnotedebasdep"/>
        </w:rPr>
        <w:footnoteReference w:id="911"/>
      </w:r>
      <w:r>
        <w:t> » :</w:t>
      </w:r>
      <w:r w:rsidR="000A7AAB" w:rsidRPr="002C4077">
        <w:t xml:space="preserve"> </w:t>
      </w:r>
      <w:r w:rsidR="000A7AAB">
        <w:t>dans</w:t>
      </w:r>
      <w:r w:rsidR="000A7AAB" w:rsidRPr="002C4077">
        <w:t xml:space="preserve"> </w:t>
      </w:r>
      <w:r w:rsidR="000A7AAB">
        <w:t>cette</w:t>
      </w:r>
      <w:r w:rsidR="000A7AAB" w:rsidRPr="002C4077">
        <w:t xml:space="preserve"> </w:t>
      </w:r>
      <w:r w:rsidR="000A7AAB">
        <w:t>divine</w:t>
      </w:r>
      <w:r w:rsidR="000A7AAB" w:rsidRPr="002C4077">
        <w:t xml:space="preserve"> </w:t>
      </w:r>
      <w:r w:rsidR="000A7AAB">
        <w:t>sentence,</w:t>
      </w:r>
      <w:r w:rsidR="000A7AAB" w:rsidRPr="002C4077">
        <w:t xml:space="preserve"> </w:t>
      </w:r>
      <w:r w:rsidR="000A7AAB">
        <w:t>ils</w:t>
      </w:r>
      <w:r w:rsidR="000A7AAB" w:rsidRPr="002C4077">
        <w:t xml:space="preserve"> </w:t>
      </w:r>
      <w:r w:rsidR="000A7AAB">
        <w:t>ont</w:t>
      </w:r>
      <w:r w:rsidR="000A7AAB" w:rsidRPr="002C4077">
        <w:t xml:space="preserve"> </w:t>
      </w:r>
      <w:r w:rsidR="000A7AAB">
        <w:t>toujours</w:t>
      </w:r>
      <w:r w:rsidR="000A7AAB" w:rsidRPr="002C4077">
        <w:t xml:space="preserve"> </w:t>
      </w:r>
      <w:r w:rsidR="000A7AAB">
        <w:t>cru</w:t>
      </w:r>
      <w:r w:rsidR="000A7AAB" w:rsidRPr="002C4077">
        <w:t xml:space="preserve"> </w:t>
      </w:r>
      <w:r w:rsidR="000A7AAB">
        <w:t>voir</w:t>
      </w:r>
      <w:r w:rsidR="000A7AAB" w:rsidRPr="002C4077">
        <w:t xml:space="preserve"> </w:t>
      </w:r>
      <w:r w:rsidR="000A7AAB">
        <w:t>sinon</w:t>
      </w:r>
      <w:r w:rsidR="000A7AAB" w:rsidRPr="002C4077">
        <w:t xml:space="preserve"> </w:t>
      </w:r>
      <w:r w:rsidR="000A7AAB">
        <w:t>un</w:t>
      </w:r>
      <w:r w:rsidR="000A7AAB" w:rsidRPr="002C4077">
        <w:t xml:space="preserve"> </w:t>
      </w:r>
      <w:r w:rsidR="000A7AAB">
        <w:t>ordre</w:t>
      </w:r>
      <w:r w:rsidR="000A7AAB" w:rsidRPr="002C4077">
        <w:t xml:space="preserve"> </w:t>
      </w:r>
      <w:r w:rsidR="000A7AAB">
        <w:t>formel</w:t>
      </w:r>
      <w:r w:rsidR="000A7AAB" w:rsidRPr="002C4077">
        <w:t xml:space="preserve"> </w:t>
      </w:r>
      <w:r w:rsidR="000A7AAB">
        <w:t>du</w:t>
      </w:r>
      <w:r w:rsidR="000A7AAB" w:rsidRPr="002C4077">
        <w:t xml:space="preserve"> </w:t>
      </w:r>
      <w:r w:rsidR="000A7AAB">
        <w:t>Créateur</w:t>
      </w:r>
      <w:r w:rsidR="000A7AAB" w:rsidRPr="002C4077">
        <w:t xml:space="preserve"> </w:t>
      </w:r>
      <w:r w:rsidR="000A7AAB">
        <w:t>proscrivant</w:t>
      </w:r>
      <w:r w:rsidR="000A7AAB" w:rsidRPr="002C4077">
        <w:t xml:space="preserve"> </w:t>
      </w:r>
      <w:r w:rsidR="000A7AAB">
        <w:t>tout</w:t>
      </w:r>
      <w:r w:rsidR="000A7AAB" w:rsidRPr="002C4077">
        <w:t xml:space="preserve"> </w:t>
      </w:r>
      <w:r w:rsidR="000A7AAB">
        <w:t>autre</w:t>
      </w:r>
      <w:r w:rsidR="000A7AAB" w:rsidRPr="002C4077">
        <w:t xml:space="preserve"> </w:t>
      </w:r>
      <w:r w:rsidR="000A7AAB">
        <w:t>mode</w:t>
      </w:r>
      <w:r w:rsidR="000A7AAB" w:rsidRPr="002C4077">
        <w:t xml:space="preserve"> </w:t>
      </w:r>
      <w:r w:rsidR="000A7AAB">
        <w:t>de</w:t>
      </w:r>
      <w:r w:rsidR="000A7AAB" w:rsidRPr="002C4077">
        <w:t xml:space="preserve"> </w:t>
      </w:r>
      <w:r w:rsidR="000A7AAB">
        <w:t>sépulture,</w:t>
      </w:r>
      <w:r w:rsidR="000A7AAB" w:rsidRPr="002C4077">
        <w:t xml:space="preserve"> </w:t>
      </w:r>
      <w:r w:rsidR="000A7AAB">
        <w:t>du</w:t>
      </w:r>
      <w:r w:rsidR="000A7AAB" w:rsidRPr="002C4077">
        <w:t xml:space="preserve"> </w:t>
      </w:r>
      <w:r w:rsidR="000A7AAB">
        <w:t>moins</w:t>
      </w:r>
      <w:r w:rsidR="000A7AAB" w:rsidRPr="002C4077">
        <w:t xml:space="preserve"> </w:t>
      </w:r>
      <w:r w:rsidR="000A7AAB">
        <w:t>une</w:t>
      </w:r>
      <w:r w:rsidR="000A7AAB" w:rsidRPr="002C4077">
        <w:t xml:space="preserve"> </w:t>
      </w:r>
      <w:r w:rsidR="000A7AAB">
        <w:t>insinuation</w:t>
      </w:r>
      <w:r w:rsidR="000A7AAB" w:rsidRPr="002C4077">
        <w:t xml:space="preserve"> </w:t>
      </w:r>
      <w:r w:rsidR="000A7AAB">
        <w:t>très</w:t>
      </w:r>
      <w:r w:rsidR="000A7AAB" w:rsidRPr="002C4077">
        <w:t xml:space="preserve"> </w:t>
      </w:r>
      <w:r w:rsidR="000A7AAB">
        <w:t>nette,</w:t>
      </w:r>
      <w:r w:rsidR="000A7AAB" w:rsidRPr="002C4077">
        <w:t xml:space="preserve"> </w:t>
      </w:r>
      <w:r w:rsidR="000A7AAB">
        <w:t>à</w:t>
      </w:r>
      <w:r w:rsidR="000A7AAB" w:rsidRPr="002C4077">
        <w:t xml:space="preserve"> </w:t>
      </w:r>
      <w:r w:rsidR="000A7AAB">
        <w:t>laquelle</w:t>
      </w:r>
      <w:r w:rsidR="000A7AAB" w:rsidRPr="002C4077">
        <w:t xml:space="preserve"> </w:t>
      </w:r>
      <w:r w:rsidR="000A7AAB">
        <w:t>ils</w:t>
      </w:r>
      <w:r w:rsidR="000A7AAB" w:rsidRPr="002C4077">
        <w:t xml:space="preserve"> </w:t>
      </w:r>
      <w:r w:rsidR="000A7AAB">
        <w:t>n’ont</w:t>
      </w:r>
      <w:r w:rsidR="000A7AAB" w:rsidRPr="002C4077">
        <w:t xml:space="preserve"> </w:t>
      </w:r>
      <w:r w:rsidR="000A7AAB">
        <w:t>jamais</w:t>
      </w:r>
      <w:r w:rsidR="000A7AAB" w:rsidRPr="002C4077">
        <w:t xml:space="preserve"> </w:t>
      </w:r>
      <w:r w:rsidR="000A7AAB">
        <w:t>hésité</w:t>
      </w:r>
      <w:r w:rsidR="000A7AAB" w:rsidRPr="002C4077">
        <w:t xml:space="preserve"> </w:t>
      </w:r>
      <w:r w:rsidR="000A7AAB">
        <w:t>à</w:t>
      </w:r>
      <w:r w:rsidR="000A7AAB" w:rsidRPr="002C4077">
        <w:t xml:space="preserve"> </w:t>
      </w:r>
      <w:r w:rsidR="000A7AAB">
        <w:t>se</w:t>
      </w:r>
      <w:r w:rsidR="000A7AAB" w:rsidRPr="002C4077">
        <w:t xml:space="preserve"> </w:t>
      </w:r>
      <w:r w:rsidR="000A7AAB">
        <w:t>conformer.</w:t>
      </w:r>
      <w:r w:rsidR="000A7AAB" w:rsidRPr="002C4077">
        <w:t xml:space="preserve"> </w:t>
      </w:r>
      <w:r w:rsidR="000A7AAB">
        <w:t>Le</w:t>
      </w:r>
      <w:r w:rsidR="000A7AAB" w:rsidRPr="002C4077">
        <w:t xml:space="preserve"> </w:t>
      </w:r>
      <w:r w:rsidR="000A7AAB">
        <w:t>corps</w:t>
      </w:r>
      <w:r w:rsidR="000A7AAB" w:rsidRPr="002C4077">
        <w:t xml:space="preserve"> </w:t>
      </w:r>
      <w:r w:rsidR="000A7AAB">
        <w:t>humain</w:t>
      </w:r>
      <w:r w:rsidR="000A7AAB" w:rsidRPr="002C4077">
        <w:t xml:space="preserve"> </w:t>
      </w:r>
      <w:r w:rsidR="000A7AAB">
        <w:t>ayant</w:t>
      </w:r>
      <w:r w:rsidR="000A7AAB" w:rsidRPr="002C4077">
        <w:t xml:space="preserve"> </w:t>
      </w:r>
      <w:r w:rsidR="000A7AAB">
        <w:t>été</w:t>
      </w:r>
      <w:r w:rsidR="000A7AAB" w:rsidRPr="002C4077">
        <w:t xml:space="preserve"> </w:t>
      </w:r>
      <w:r w:rsidR="000A7AAB">
        <w:t>tiré</w:t>
      </w:r>
      <w:r w:rsidR="000A7AAB" w:rsidRPr="002C4077">
        <w:t xml:space="preserve"> </w:t>
      </w:r>
      <w:r w:rsidR="000A7AAB">
        <w:t>de</w:t>
      </w:r>
      <w:r w:rsidR="000A7AAB" w:rsidRPr="002C4077">
        <w:t xml:space="preserve"> </w:t>
      </w:r>
      <w:r w:rsidR="000A7AAB">
        <w:t>la</w:t>
      </w:r>
      <w:r w:rsidR="000A7AAB" w:rsidRPr="002C4077">
        <w:t xml:space="preserve"> </w:t>
      </w:r>
      <w:r w:rsidR="000A7AAB">
        <w:t>terre</w:t>
      </w:r>
      <w:r w:rsidR="000A7AAB" w:rsidRPr="002C4077">
        <w:t xml:space="preserve"> </w:t>
      </w:r>
      <w:r w:rsidR="000A7AAB">
        <w:t>par</w:t>
      </w:r>
      <w:r w:rsidR="000A7AAB" w:rsidRPr="002C4077">
        <w:t xml:space="preserve"> </w:t>
      </w:r>
      <w:r w:rsidR="000A7AAB">
        <w:t>le</w:t>
      </w:r>
      <w:r w:rsidR="000A7AAB" w:rsidRPr="002C4077">
        <w:t xml:space="preserve"> </w:t>
      </w:r>
      <w:r w:rsidR="000A7AAB">
        <w:t>souverain</w:t>
      </w:r>
      <w:r w:rsidR="000A7AAB" w:rsidRPr="002C4077">
        <w:t xml:space="preserve"> </w:t>
      </w:r>
      <w:r w:rsidR="000A7AAB">
        <w:t>Seigneur,</w:t>
      </w:r>
      <w:r w:rsidR="000A7AAB" w:rsidRPr="002C4077">
        <w:t xml:space="preserve"> </w:t>
      </w:r>
      <w:r w:rsidR="000A7AAB">
        <w:t>n’est-il</w:t>
      </w:r>
      <w:r w:rsidR="000A7AAB" w:rsidRPr="002C4077">
        <w:t xml:space="preserve"> </w:t>
      </w:r>
      <w:r w:rsidR="000A7AAB">
        <w:t>pas</w:t>
      </w:r>
      <w:r w:rsidR="000A7AAB" w:rsidRPr="002C4077">
        <w:t xml:space="preserve"> </w:t>
      </w:r>
      <w:r w:rsidR="000A7AAB">
        <w:t>juste,</w:t>
      </w:r>
      <w:r w:rsidR="000A7AAB" w:rsidRPr="002C4077">
        <w:t xml:space="preserve"> </w:t>
      </w:r>
      <w:r w:rsidR="000A7AAB">
        <w:t>disent</w:t>
      </w:r>
      <w:r w:rsidR="000A7AAB" w:rsidRPr="002C4077">
        <w:t xml:space="preserve"> </w:t>
      </w:r>
      <w:r w:rsidR="000A7AAB">
        <w:t>encore</w:t>
      </w:r>
      <w:r w:rsidR="000A7AAB" w:rsidRPr="002C4077">
        <w:t xml:space="preserve"> </w:t>
      </w:r>
      <w:r w:rsidR="000A7AAB">
        <w:t>les</w:t>
      </w:r>
      <w:r w:rsidR="000A7AAB" w:rsidRPr="002C4077">
        <w:t xml:space="preserve"> </w:t>
      </w:r>
      <w:r w:rsidR="000A7AAB">
        <w:t>rabbins,</w:t>
      </w:r>
      <w:r w:rsidR="000A7AAB" w:rsidRPr="002C4077">
        <w:t xml:space="preserve"> </w:t>
      </w:r>
      <w:r w:rsidR="000A7AAB">
        <w:t>de</w:t>
      </w:r>
      <w:r w:rsidR="000A7AAB" w:rsidRPr="002C4077">
        <w:t xml:space="preserve"> </w:t>
      </w:r>
      <w:r w:rsidR="000A7AAB">
        <w:t>le</w:t>
      </w:r>
      <w:r w:rsidR="000A7AAB" w:rsidRPr="002C4077">
        <w:t xml:space="preserve"> </w:t>
      </w:r>
      <w:r w:rsidR="000A7AAB">
        <w:t>rendre</w:t>
      </w:r>
      <w:r w:rsidR="000A7AAB" w:rsidRPr="002C4077">
        <w:t xml:space="preserve"> </w:t>
      </w:r>
      <w:r w:rsidR="000A7AAB">
        <w:t>à</w:t>
      </w:r>
      <w:r w:rsidR="000A7AAB" w:rsidRPr="002C4077">
        <w:t xml:space="preserve"> </w:t>
      </w:r>
      <w:r w:rsidR="000A7AAB">
        <w:t>la</w:t>
      </w:r>
      <w:r w:rsidR="000A7AAB" w:rsidRPr="002C4077">
        <w:t xml:space="preserve"> </w:t>
      </w:r>
      <w:r w:rsidR="000A7AAB">
        <w:t>terre</w:t>
      </w:r>
      <w:r w:rsidR="000A7AAB" w:rsidRPr="002C4077">
        <w:t xml:space="preserve"> </w:t>
      </w:r>
      <w:r w:rsidR="000A7AAB">
        <w:t>après</w:t>
      </w:r>
      <w:r w:rsidR="000A7AAB" w:rsidRPr="002C4077">
        <w:t xml:space="preserve"> </w:t>
      </w:r>
      <w:r w:rsidR="000A7AAB">
        <w:t>le</w:t>
      </w:r>
      <w:r w:rsidR="000A7AAB" w:rsidRPr="002C4077">
        <w:t xml:space="preserve"> </w:t>
      </w:r>
      <w:r w:rsidR="000A7AAB">
        <w:t>trépas</w:t>
      </w:r>
      <w:r>
        <w:t> ?</w:t>
      </w:r>
      <w:r w:rsidR="000A7AAB" w:rsidRPr="002C4077">
        <w:t xml:space="preserve"> </w:t>
      </w:r>
      <w:r w:rsidR="000A7AAB">
        <w:t>Ils</w:t>
      </w:r>
      <w:r w:rsidR="000A7AAB" w:rsidRPr="002C4077">
        <w:t xml:space="preserve"> </w:t>
      </w:r>
      <w:r w:rsidR="000A7AAB">
        <w:t>ajoutent,</w:t>
      </w:r>
      <w:r w:rsidR="000A7AAB" w:rsidRPr="002C4077">
        <w:t xml:space="preserve"> </w:t>
      </w:r>
      <w:r w:rsidR="000A7AAB">
        <w:t>et</w:t>
      </w:r>
      <w:r w:rsidR="000A7AAB" w:rsidRPr="002C4077">
        <w:t xml:space="preserve"> </w:t>
      </w:r>
      <w:r w:rsidR="000A7AAB">
        <w:t>à</w:t>
      </w:r>
      <w:r w:rsidR="000A7AAB" w:rsidRPr="002C4077">
        <w:t xml:space="preserve"> </w:t>
      </w:r>
      <w:r w:rsidR="000A7AAB">
        <w:t>bon</w:t>
      </w:r>
      <w:r w:rsidR="000A7AAB" w:rsidRPr="002C4077">
        <w:t xml:space="preserve"> </w:t>
      </w:r>
      <w:r w:rsidR="000A7AAB">
        <w:t>droit,</w:t>
      </w:r>
      <w:r w:rsidR="000A7AAB" w:rsidRPr="002C4077">
        <w:t xml:space="preserve"> </w:t>
      </w:r>
      <w:r w:rsidR="000A7AAB">
        <w:t>que</w:t>
      </w:r>
      <w:r w:rsidR="000A7AAB" w:rsidRPr="002C4077">
        <w:t xml:space="preserve"> </w:t>
      </w:r>
      <w:r w:rsidR="000A7AAB">
        <w:t>telle</w:t>
      </w:r>
      <w:r w:rsidR="000A7AAB" w:rsidRPr="002C4077">
        <w:t xml:space="preserve"> </w:t>
      </w:r>
      <w:r w:rsidR="00425C50">
        <w:t>est</w:t>
      </w:r>
      <w:r w:rsidR="000A7AAB" w:rsidRPr="002C4077">
        <w:t xml:space="preserve"> </w:t>
      </w:r>
      <w:r w:rsidR="000A7AAB">
        <w:t>bien</w:t>
      </w:r>
      <w:r w:rsidR="000A7AAB" w:rsidRPr="002C4077">
        <w:t xml:space="preserve"> </w:t>
      </w:r>
      <w:r w:rsidR="000A7AAB">
        <w:t>la</w:t>
      </w:r>
      <w:r w:rsidR="000A7AAB" w:rsidRPr="002C4077">
        <w:t xml:space="preserve"> </w:t>
      </w:r>
      <w:r w:rsidR="000A7AAB">
        <w:t>manière</w:t>
      </w:r>
      <w:r w:rsidR="000A7AAB" w:rsidRPr="002C4077">
        <w:t xml:space="preserve"> </w:t>
      </w:r>
      <w:r w:rsidR="000A7AAB">
        <w:t>la</w:t>
      </w:r>
      <w:r w:rsidR="000A7AAB" w:rsidRPr="002C4077">
        <w:t xml:space="preserve"> </w:t>
      </w:r>
      <w:r w:rsidR="000A7AAB">
        <w:t>plus</w:t>
      </w:r>
      <w:r w:rsidR="000A7AAB" w:rsidRPr="002C4077">
        <w:t xml:space="preserve"> </w:t>
      </w:r>
      <w:r w:rsidR="000A7AAB">
        <w:t>délicate</w:t>
      </w:r>
      <w:r w:rsidR="000A7AAB" w:rsidRPr="002C4077">
        <w:t xml:space="preserve"> </w:t>
      </w:r>
      <w:r w:rsidR="000A7AAB">
        <w:t>de</w:t>
      </w:r>
      <w:r w:rsidR="000A7AAB" w:rsidRPr="002C4077">
        <w:t xml:space="preserve"> </w:t>
      </w:r>
      <w:r w:rsidR="000A7AAB">
        <w:t>traiter</w:t>
      </w:r>
      <w:r w:rsidR="000A7AAB" w:rsidRPr="002C4077">
        <w:t xml:space="preserve"> </w:t>
      </w:r>
      <w:r w:rsidR="000A7AAB">
        <w:t>les</w:t>
      </w:r>
      <w:r w:rsidR="000A7AAB" w:rsidRPr="002C4077">
        <w:t xml:space="preserve"> </w:t>
      </w:r>
      <w:r w:rsidR="000A7AAB">
        <w:t>restes</w:t>
      </w:r>
      <w:r w:rsidR="000A7AAB" w:rsidRPr="002C4077">
        <w:t xml:space="preserve"> </w:t>
      </w:r>
      <w:r w:rsidR="000A7AAB">
        <w:t>de</w:t>
      </w:r>
      <w:r w:rsidR="000A7AAB" w:rsidRPr="002C4077">
        <w:t xml:space="preserve"> </w:t>
      </w:r>
      <w:r w:rsidR="000A7AAB">
        <w:t>ceux</w:t>
      </w:r>
      <w:r w:rsidR="000A7AAB" w:rsidRPr="002C4077">
        <w:t xml:space="preserve"> </w:t>
      </w:r>
      <w:r w:rsidR="000A7AAB">
        <w:t>que</w:t>
      </w:r>
      <w:r w:rsidR="000A7AAB" w:rsidRPr="002C4077">
        <w:t xml:space="preserve"> </w:t>
      </w:r>
      <w:r w:rsidR="000A7AAB">
        <w:t>nous</w:t>
      </w:r>
      <w:r w:rsidR="000A7AAB" w:rsidRPr="002C4077">
        <w:t xml:space="preserve"> </w:t>
      </w:r>
      <w:r w:rsidR="000A7AAB">
        <w:t>avons</w:t>
      </w:r>
      <w:r w:rsidR="000A7AAB" w:rsidRPr="002C4077">
        <w:t xml:space="preserve"> </w:t>
      </w:r>
      <w:r w:rsidR="000A7AAB">
        <w:t>honorés</w:t>
      </w:r>
      <w:r w:rsidR="000A7AAB" w:rsidRPr="002C4077">
        <w:t xml:space="preserve"> </w:t>
      </w:r>
      <w:r w:rsidR="000A7AAB">
        <w:t>ou</w:t>
      </w:r>
      <w:r w:rsidR="000A7AAB" w:rsidRPr="002C4077">
        <w:t xml:space="preserve"> </w:t>
      </w:r>
      <w:r w:rsidR="000A7AAB">
        <w:t>aimés</w:t>
      </w:r>
      <w:r w:rsidR="000A7AAB" w:rsidRPr="002C4077">
        <w:t xml:space="preserve"> </w:t>
      </w:r>
      <w:r w:rsidR="000A7AAB">
        <w:t>pendant</w:t>
      </w:r>
      <w:r w:rsidR="000A7AAB" w:rsidRPr="002C4077">
        <w:t xml:space="preserve"> </w:t>
      </w:r>
      <w:r w:rsidR="000A7AAB">
        <w:t>leur</w:t>
      </w:r>
      <w:r w:rsidR="000A7AAB" w:rsidRPr="002C4077">
        <w:t xml:space="preserve"> </w:t>
      </w:r>
      <w:r w:rsidR="000A7AAB">
        <w:t>vie,</w:t>
      </w:r>
      <w:r w:rsidR="000A7AAB" w:rsidRPr="002C4077">
        <w:t xml:space="preserve"> </w:t>
      </w:r>
      <w:r w:rsidR="000A7AAB">
        <w:t>car</w:t>
      </w:r>
      <w:r w:rsidR="000A7AAB" w:rsidRPr="002C4077">
        <w:t xml:space="preserve"> </w:t>
      </w:r>
      <w:r w:rsidR="000A7AAB">
        <w:t>c’est</w:t>
      </w:r>
      <w:r w:rsidR="000A7AAB" w:rsidRPr="002C4077">
        <w:t xml:space="preserve"> </w:t>
      </w:r>
      <w:r w:rsidR="000A7AAB">
        <w:t>laisser</w:t>
      </w:r>
      <w:r w:rsidR="000A7AAB" w:rsidRPr="002C4077">
        <w:t xml:space="preserve"> </w:t>
      </w:r>
      <w:r w:rsidR="000A7AAB">
        <w:t>à</w:t>
      </w:r>
      <w:r w:rsidR="000A7AAB" w:rsidRPr="002C4077">
        <w:t xml:space="preserve"> </w:t>
      </w:r>
      <w:r w:rsidR="000A7AAB">
        <w:t>la</w:t>
      </w:r>
      <w:r w:rsidR="000A7AAB" w:rsidRPr="002C4077">
        <w:t xml:space="preserve"> </w:t>
      </w:r>
      <w:r w:rsidR="000A7AAB">
        <w:t>nature</w:t>
      </w:r>
      <w:r w:rsidR="000A7AAB" w:rsidRPr="002C4077">
        <w:t xml:space="preserve"> </w:t>
      </w:r>
      <w:r w:rsidR="000A7AAB">
        <w:t>le</w:t>
      </w:r>
      <w:r w:rsidR="000A7AAB" w:rsidRPr="002C4077">
        <w:t xml:space="preserve"> </w:t>
      </w:r>
      <w:r w:rsidR="000A7AAB">
        <w:t>soin</w:t>
      </w:r>
      <w:r w:rsidR="000A7AAB" w:rsidRPr="002C4077">
        <w:t xml:space="preserve"> </w:t>
      </w:r>
      <w:r w:rsidR="000A7AAB">
        <w:t>de</w:t>
      </w:r>
      <w:r w:rsidR="000A7AAB" w:rsidRPr="002C4077">
        <w:t xml:space="preserve"> </w:t>
      </w:r>
      <w:r w:rsidR="000A7AAB">
        <w:t>consumer</w:t>
      </w:r>
      <w:r w:rsidR="000A7AAB" w:rsidRPr="002C4077">
        <w:t xml:space="preserve"> </w:t>
      </w:r>
      <w:r w:rsidR="000A7AAB">
        <w:t>lentement</w:t>
      </w:r>
      <w:r w:rsidR="000A7AAB" w:rsidRPr="002C4077">
        <w:t xml:space="preserve"> </w:t>
      </w:r>
      <w:r w:rsidR="000A7AAB">
        <w:t>les</w:t>
      </w:r>
      <w:r w:rsidR="000A7AAB" w:rsidRPr="002C4077">
        <w:t xml:space="preserve"> </w:t>
      </w:r>
      <w:r w:rsidR="000A7AAB">
        <w:t>corps,</w:t>
      </w:r>
      <w:r w:rsidR="000A7AAB" w:rsidRPr="002C4077">
        <w:t xml:space="preserve"> </w:t>
      </w:r>
      <w:r w:rsidR="000A7AAB">
        <w:t>loin</w:t>
      </w:r>
      <w:r w:rsidR="000A7AAB" w:rsidRPr="002C4077">
        <w:t xml:space="preserve"> </w:t>
      </w:r>
      <w:r w:rsidR="000A7AAB">
        <w:t>de</w:t>
      </w:r>
      <w:r w:rsidR="000A7AAB" w:rsidRPr="002C4077">
        <w:t xml:space="preserve"> </w:t>
      </w:r>
      <w:r w:rsidR="000A7AAB">
        <w:t>tout</w:t>
      </w:r>
      <w:r w:rsidR="000A7AAB" w:rsidRPr="002C4077">
        <w:t xml:space="preserve"> </w:t>
      </w:r>
      <w:r w:rsidR="000A7AAB">
        <w:t>regard.</w:t>
      </w:r>
      <w:r w:rsidR="000A7AAB" w:rsidRPr="002C4077">
        <w:t xml:space="preserve"> </w:t>
      </w:r>
      <w:r w:rsidR="000A7AAB">
        <w:t>Toute</w:t>
      </w:r>
      <w:r w:rsidR="000A7AAB" w:rsidRPr="002C4077">
        <w:t xml:space="preserve"> </w:t>
      </w:r>
      <w:r w:rsidR="000A7AAB">
        <w:t>autre</w:t>
      </w:r>
      <w:r w:rsidR="000A7AAB" w:rsidRPr="002C4077">
        <w:t xml:space="preserve"> </w:t>
      </w:r>
      <w:r w:rsidR="000A7AAB">
        <w:t>méthode</w:t>
      </w:r>
      <w:r w:rsidR="000A7AAB" w:rsidRPr="002C4077">
        <w:t xml:space="preserve"> </w:t>
      </w:r>
      <w:r w:rsidR="00425C50">
        <w:t>est</w:t>
      </w:r>
      <w:r w:rsidR="000A7AAB" w:rsidRPr="002C4077">
        <w:t xml:space="preserve"> </w:t>
      </w:r>
      <w:r w:rsidR="000A7AAB">
        <w:t>plus</w:t>
      </w:r>
      <w:r w:rsidR="000A7AAB" w:rsidRPr="002C4077">
        <w:t xml:space="preserve"> </w:t>
      </w:r>
      <w:r w:rsidR="000A7AAB">
        <w:t>ou</w:t>
      </w:r>
      <w:r w:rsidR="000A7AAB" w:rsidRPr="002C4077">
        <w:t xml:space="preserve"> </w:t>
      </w:r>
      <w:r w:rsidR="000A7AAB">
        <w:t>moins</w:t>
      </w:r>
      <w:r w:rsidR="000A7AAB" w:rsidRPr="002C4077">
        <w:t xml:space="preserve"> </w:t>
      </w:r>
      <w:r w:rsidR="000A7AAB">
        <w:t>brutale,</w:t>
      </w:r>
      <w:r w:rsidR="000A7AAB" w:rsidRPr="002C4077">
        <w:t xml:space="preserve"> </w:t>
      </w:r>
      <w:r w:rsidR="000A7AAB">
        <w:t>par</w:t>
      </w:r>
      <w:r w:rsidR="000A7AAB" w:rsidRPr="002C4077">
        <w:t xml:space="preserve"> </w:t>
      </w:r>
      <w:r w:rsidR="000A7AAB">
        <w:t>conséquent</w:t>
      </w:r>
      <w:r w:rsidR="000A7AAB" w:rsidRPr="002C4077">
        <w:t xml:space="preserve"> </w:t>
      </w:r>
      <w:r w:rsidR="000A7AAB">
        <w:t>odieuse.</w:t>
      </w:r>
      <w:r w:rsidR="000A7AAB" w:rsidRPr="002C4077">
        <w:t xml:space="preserve"> </w:t>
      </w:r>
      <w:r w:rsidR="000A7AAB">
        <w:t>Le</w:t>
      </w:r>
      <w:r w:rsidR="000A7AAB" w:rsidRPr="002C4077">
        <w:t xml:space="preserve"> </w:t>
      </w:r>
      <w:r w:rsidR="000A7AAB">
        <w:t>Ta</w:t>
      </w:r>
      <w:r w:rsidR="001730C6">
        <w:t>lm</w:t>
      </w:r>
      <w:r w:rsidR="000A7AAB">
        <w:t>ud</w:t>
      </w:r>
      <w:r w:rsidR="00B91AF7">
        <w:rPr>
          <w:rStyle w:val="Appelnotedebasdep"/>
        </w:rPr>
        <w:footnoteReference w:id="912"/>
      </w:r>
      <w:r w:rsidR="000A7AAB" w:rsidRPr="002C4077">
        <w:t xml:space="preserve"> </w:t>
      </w:r>
      <w:r w:rsidR="000A7AAB">
        <w:t>va</w:t>
      </w:r>
      <w:r w:rsidR="000A7AAB" w:rsidRPr="002C4077">
        <w:t xml:space="preserve"> </w:t>
      </w:r>
      <w:r w:rsidR="000A7AAB">
        <w:t>jusqu’à</w:t>
      </w:r>
      <w:r w:rsidR="000A7AAB" w:rsidRPr="002C4077">
        <w:t xml:space="preserve"> </w:t>
      </w:r>
      <w:r w:rsidR="000A7AAB">
        <w:t>traiter</w:t>
      </w:r>
      <w:r w:rsidR="000A7AAB" w:rsidRPr="002C4077">
        <w:t xml:space="preserve"> </w:t>
      </w:r>
      <w:r w:rsidR="000A7AAB">
        <w:t>ouvertement</w:t>
      </w:r>
      <w:r w:rsidR="000A7AAB" w:rsidRPr="002C4077">
        <w:t xml:space="preserve"> </w:t>
      </w:r>
      <w:r w:rsidR="000A7AAB">
        <w:t>d’idolâtrie</w:t>
      </w:r>
      <w:r w:rsidR="000A7AAB" w:rsidRPr="002C4077">
        <w:t xml:space="preserve"> </w:t>
      </w:r>
      <w:r w:rsidR="000A7AAB">
        <w:t>la</w:t>
      </w:r>
      <w:r w:rsidR="000A7AAB" w:rsidRPr="002C4077">
        <w:t xml:space="preserve"> </w:t>
      </w:r>
      <w:r w:rsidR="000A7AAB">
        <w:t>coutume,</w:t>
      </w:r>
      <w:r w:rsidR="000A7AAB" w:rsidRPr="002C4077">
        <w:t xml:space="preserve"> </w:t>
      </w:r>
      <w:r w:rsidR="000A7AAB">
        <w:t>en</w:t>
      </w:r>
      <w:r w:rsidR="000A7AAB" w:rsidRPr="002C4077">
        <w:t xml:space="preserve"> </w:t>
      </w:r>
      <w:r w:rsidR="000A7AAB">
        <w:t>vigueur</w:t>
      </w:r>
      <w:r w:rsidR="000A7AAB" w:rsidRPr="002C4077">
        <w:t xml:space="preserve"> </w:t>
      </w:r>
      <w:r w:rsidR="000A7AAB">
        <w:t>chez</w:t>
      </w:r>
      <w:r w:rsidR="000A7AAB" w:rsidRPr="002C4077">
        <w:t xml:space="preserve"> </w:t>
      </w:r>
      <w:r w:rsidR="000A7AAB">
        <w:t>divers</w:t>
      </w:r>
      <w:r w:rsidR="000A7AAB" w:rsidRPr="002C4077">
        <w:t xml:space="preserve"> </w:t>
      </w:r>
      <w:r w:rsidR="000A7AAB">
        <w:t>peuples</w:t>
      </w:r>
      <w:r w:rsidR="000A7AAB" w:rsidRPr="002C4077">
        <w:t xml:space="preserve"> </w:t>
      </w:r>
      <w:r w:rsidR="000A7AAB">
        <w:t>anciens,</w:t>
      </w:r>
      <w:r w:rsidR="000A7AAB" w:rsidRPr="002C4077">
        <w:t xml:space="preserve"> </w:t>
      </w:r>
      <w:r w:rsidR="000A7AAB">
        <w:t>de</w:t>
      </w:r>
      <w:r w:rsidR="000A7AAB" w:rsidRPr="002C4077">
        <w:t xml:space="preserve"> </w:t>
      </w:r>
      <w:r w:rsidR="000A7AAB">
        <w:t>brûler</w:t>
      </w:r>
      <w:r w:rsidR="000A7AAB" w:rsidRPr="002C4077">
        <w:t xml:space="preserve"> </w:t>
      </w:r>
      <w:r w:rsidR="000A7AAB">
        <w:t>les</w:t>
      </w:r>
      <w:r w:rsidR="000A7AAB" w:rsidRPr="002C4077">
        <w:t xml:space="preserve"> </w:t>
      </w:r>
      <w:r w:rsidR="000A7AAB">
        <w:t>cadavres.</w:t>
      </w:r>
      <w:r w:rsidR="000A7AAB" w:rsidRPr="002C4077">
        <w:t xml:space="preserve"> </w:t>
      </w:r>
      <w:r w:rsidR="000A7AAB">
        <w:t>Il</w:t>
      </w:r>
      <w:r w:rsidR="000A7AAB" w:rsidRPr="002C4077">
        <w:t xml:space="preserve"> </w:t>
      </w:r>
      <w:r w:rsidR="000A7AAB">
        <w:t>prescrit</w:t>
      </w:r>
      <w:r w:rsidR="000A7AAB" w:rsidRPr="002C4077">
        <w:t xml:space="preserve"> </w:t>
      </w:r>
      <w:r w:rsidR="000A7AAB">
        <w:t>que,</w:t>
      </w:r>
      <w:r w:rsidR="000A7AAB" w:rsidRPr="002C4077">
        <w:t xml:space="preserve"> </w:t>
      </w:r>
      <w:r w:rsidR="000A7AAB">
        <w:t>si</w:t>
      </w:r>
      <w:r w:rsidR="000A7AAB" w:rsidRPr="002C4077">
        <w:t xml:space="preserve"> </w:t>
      </w:r>
      <w:r w:rsidR="000A7AAB">
        <w:t>un</w:t>
      </w:r>
      <w:r w:rsidR="000A7AAB" w:rsidRPr="002C4077">
        <w:t xml:space="preserve"> </w:t>
      </w:r>
      <w:r w:rsidR="000A7AAB">
        <w:t>Juif</w:t>
      </w:r>
      <w:r w:rsidR="000A7AAB" w:rsidRPr="002C4077">
        <w:t xml:space="preserve"> </w:t>
      </w:r>
      <w:r w:rsidR="000A7AAB">
        <w:t>recommandait</w:t>
      </w:r>
      <w:r w:rsidR="000A7AAB" w:rsidRPr="002C4077">
        <w:t xml:space="preserve"> </w:t>
      </w:r>
      <w:r w:rsidR="000A7AAB">
        <w:t>aux</w:t>
      </w:r>
      <w:r w:rsidR="000A7AAB" w:rsidRPr="002C4077">
        <w:t xml:space="preserve"> </w:t>
      </w:r>
      <w:r w:rsidR="000A7AAB">
        <w:t>siens</w:t>
      </w:r>
      <w:r w:rsidR="000A7AAB" w:rsidRPr="002C4077">
        <w:t xml:space="preserve"> </w:t>
      </w:r>
      <w:r w:rsidR="000A7AAB">
        <w:t>par</w:t>
      </w:r>
      <w:r w:rsidR="000A7AAB" w:rsidRPr="002C4077">
        <w:t xml:space="preserve"> </w:t>
      </w:r>
      <w:r w:rsidR="000A7AAB">
        <w:t>testament</w:t>
      </w:r>
      <w:r w:rsidR="000A7AAB" w:rsidRPr="002C4077">
        <w:t xml:space="preserve"> </w:t>
      </w:r>
      <w:r w:rsidR="000A7AAB">
        <w:t>de</w:t>
      </w:r>
      <w:r w:rsidR="000A7AAB" w:rsidRPr="002C4077">
        <w:t xml:space="preserve"> </w:t>
      </w:r>
      <w:r w:rsidR="000A7AAB">
        <w:t>livrer</w:t>
      </w:r>
      <w:r w:rsidR="000A7AAB" w:rsidRPr="002C4077">
        <w:t xml:space="preserve"> </w:t>
      </w:r>
      <w:r w:rsidR="000A7AAB">
        <w:t>son</w:t>
      </w:r>
      <w:r w:rsidR="000A7AAB" w:rsidRPr="002C4077">
        <w:t xml:space="preserve"> </w:t>
      </w:r>
      <w:r w:rsidR="000A7AAB">
        <w:t>corps</w:t>
      </w:r>
      <w:r w:rsidR="000A7AAB" w:rsidRPr="002C4077">
        <w:t xml:space="preserve"> </w:t>
      </w:r>
      <w:r w:rsidR="000A7AAB">
        <w:t>au</w:t>
      </w:r>
      <w:r w:rsidR="000A7AAB" w:rsidRPr="002C4077">
        <w:t xml:space="preserve"> </w:t>
      </w:r>
      <w:r w:rsidR="000A7AAB">
        <w:t>feu</w:t>
      </w:r>
      <w:r w:rsidR="000A7AAB" w:rsidRPr="002C4077">
        <w:t xml:space="preserve"> </w:t>
      </w:r>
      <w:r w:rsidR="000A7AAB">
        <w:t>après</w:t>
      </w:r>
      <w:r w:rsidR="000A7AAB" w:rsidRPr="002C4077">
        <w:t xml:space="preserve"> </w:t>
      </w:r>
      <w:r w:rsidR="000A7AAB">
        <w:t>sa</w:t>
      </w:r>
      <w:r w:rsidR="000A7AAB" w:rsidRPr="002C4077">
        <w:t xml:space="preserve"> </w:t>
      </w:r>
      <w:r w:rsidR="000A7AAB">
        <w:t>mort,</w:t>
      </w:r>
      <w:r w:rsidR="000A7AAB" w:rsidRPr="002C4077">
        <w:t xml:space="preserve"> </w:t>
      </w:r>
      <w:r w:rsidR="000A7AAB">
        <w:t>on</w:t>
      </w:r>
      <w:r w:rsidR="000A7AAB" w:rsidRPr="002C4077">
        <w:t xml:space="preserve"> </w:t>
      </w:r>
      <w:r w:rsidR="000A7AAB">
        <w:t>devrait</w:t>
      </w:r>
      <w:r w:rsidR="000A7AAB" w:rsidRPr="002C4077">
        <w:t xml:space="preserve"> </w:t>
      </w:r>
      <w:r w:rsidR="000A7AAB">
        <w:t>regarder</w:t>
      </w:r>
      <w:r w:rsidR="000A7AAB" w:rsidRPr="002C4077">
        <w:t xml:space="preserve"> </w:t>
      </w:r>
      <w:r w:rsidR="000A7AAB">
        <w:t>cette</w:t>
      </w:r>
      <w:r w:rsidR="000A7AAB" w:rsidRPr="002C4077">
        <w:t xml:space="preserve"> </w:t>
      </w:r>
      <w:r w:rsidR="000A7AAB">
        <w:t>clause</w:t>
      </w:r>
      <w:r w:rsidR="000A7AAB" w:rsidRPr="002C4077">
        <w:t xml:space="preserve"> </w:t>
      </w:r>
      <w:r w:rsidR="000A7AAB">
        <w:t>comme</w:t>
      </w:r>
      <w:r w:rsidR="000A7AAB" w:rsidRPr="002C4077">
        <w:t xml:space="preserve"> </w:t>
      </w:r>
      <w:r w:rsidR="000A7AAB">
        <w:t>nulle</w:t>
      </w:r>
      <w:r w:rsidR="000A7AAB" w:rsidRPr="002C4077">
        <w:t xml:space="preserve"> </w:t>
      </w:r>
      <w:r w:rsidR="000A7AAB">
        <w:t>et</w:t>
      </w:r>
      <w:r w:rsidR="000A7AAB" w:rsidRPr="002C4077">
        <w:t xml:space="preserve"> </w:t>
      </w:r>
      <w:r w:rsidR="000A7AAB">
        <w:t>de</w:t>
      </w:r>
      <w:r w:rsidR="000A7AAB" w:rsidRPr="002C4077">
        <w:t xml:space="preserve"> </w:t>
      </w:r>
      <w:r w:rsidR="000A7AAB">
        <w:t>nulle</w:t>
      </w:r>
      <w:r w:rsidR="000A7AAB" w:rsidRPr="002C4077">
        <w:t xml:space="preserve"> </w:t>
      </w:r>
      <w:r w:rsidR="000A7AAB">
        <w:t>valeur.</w:t>
      </w:r>
      <w:r w:rsidR="000A7AAB" w:rsidRPr="002C4077">
        <w:t xml:space="preserve"> </w:t>
      </w:r>
      <w:r w:rsidR="000A7AAB">
        <w:t>Suivant</w:t>
      </w:r>
      <w:r w:rsidR="000A7AAB" w:rsidRPr="002C4077">
        <w:t xml:space="preserve"> </w:t>
      </w:r>
      <w:r w:rsidR="000A7AAB">
        <w:t>les</w:t>
      </w:r>
      <w:r w:rsidR="000A7AAB" w:rsidRPr="002C4077">
        <w:t xml:space="preserve"> </w:t>
      </w:r>
      <w:r w:rsidR="000A7AAB">
        <w:t>livres</w:t>
      </w:r>
      <w:r w:rsidR="000A7AAB" w:rsidRPr="002C4077">
        <w:t xml:space="preserve"> </w:t>
      </w:r>
      <w:r w:rsidR="000A7AAB">
        <w:t>rabbiniques,</w:t>
      </w:r>
      <w:r w:rsidR="000A7AAB" w:rsidRPr="002C4077">
        <w:t xml:space="preserve"> </w:t>
      </w:r>
      <w:r w:rsidR="000A7AAB">
        <w:lastRenderedPageBreak/>
        <w:t>la</w:t>
      </w:r>
      <w:r w:rsidR="000A7AAB" w:rsidRPr="002C4077">
        <w:t xml:space="preserve"> </w:t>
      </w:r>
      <w:r w:rsidR="000A7AAB">
        <w:t>terre</w:t>
      </w:r>
      <w:r w:rsidR="000A7AAB" w:rsidRPr="002C4077">
        <w:t xml:space="preserve"> </w:t>
      </w:r>
      <w:r w:rsidR="000A7AAB">
        <w:t>aurait</w:t>
      </w:r>
      <w:r w:rsidR="000A7AAB" w:rsidRPr="002C4077">
        <w:t xml:space="preserve"> </w:t>
      </w:r>
      <w:r w:rsidR="000A7AAB">
        <w:t>même</w:t>
      </w:r>
      <w:r w:rsidR="000A7AAB" w:rsidRPr="002C4077">
        <w:t xml:space="preserve"> </w:t>
      </w:r>
      <w:r w:rsidR="000A7AAB">
        <w:t>la</w:t>
      </w:r>
      <w:r w:rsidR="000A7AAB" w:rsidRPr="002C4077">
        <w:t xml:space="preserve"> </w:t>
      </w:r>
      <w:r w:rsidR="000A7AAB">
        <w:t>vertu</w:t>
      </w:r>
      <w:r w:rsidR="000A7AAB" w:rsidRPr="002C4077">
        <w:t xml:space="preserve"> </w:t>
      </w:r>
      <w:r w:rsidR="000A7AAB">
        <w:t>de</w:t>
      </w:r>
      <w:r w:rsidR="000A7AAB" w:rsidRPr="002C4077">
        <w:t xml:space="preserve"> </w:t>
      </w:r>
      <w:r w:rsidR="000A7AAB">
        <w:t>purifier</w:t>
      </w:r>
      <w:r w:rsidR="000A7AAB" w:rsidRPr="002C4077">
        <w:t xml:space="preserve"> </w:t>
      </w:r>
      <w:r w:rsidR="000A7AAB">
        <w:t>le</w:t>
      </w:r>
      <w:r w:rsidR="000A7AAB" w:rsidRPr="002C4077">
        <w:t xml:space="preserve"> </w:t>
      </w:r>
      <w:r w:rsidR="000A7AAB">
        <w:t>corps</w:t>
      </w:r>
      <w:r w:rsidR="000A7AAB" w:rsidRPr="002C4077">
        <w:t xml:space="preserve"> </w:t>
      </w:r>
      <w:r w:rsidR="000A7AAB">
        <w:t>humain</w:t>
      </w:r>
      <w:r w:rsidR="000A7AAB" w:rsidRPr="002C4077">
        <w:t xml:space="preserve"> </w:t>
      </w:r>
      <w:r w:rsidR="000A7AAB">
        <w:t>de</w:t>
      </w:r>
      <w:r w:rsidR="000A7AAB" w:rsidRPr="002C4077">
        <w:t xml:space="preserve"> </w:t>
      </w:r>
      <w:r w:rsidR="000A7AAB">
        <w:t>ses</w:t>
      </w:r>
      <w:r w:rsidR="000A7AAB" w:rsidRPr="002C4077">
        <w:t xml:space="preserve"> </w:t>
      </w:r>
      <w:r w:rsidR="000A7AAB">
        <w:t>souillures</w:t>
      </w:r>
      <w:r w:rsidR="000A7AAB" w:rsidRPr="002C4077">
        <w:t xml:space="preserve"> </w:t>
      </w:r>
      <w:r w:rsidR="000A7AAB">
        <w:t>morales</w:t>
      </w:r>
      <w:r w:rsidR="000A7AAB" w:rsidRPr="002C4077">
        <w:t xml:space="preserve"> </w:t>
      </w:r>
      <w:r w:rsidR="000A7AAB">
        <w:t>et</w:t>
      </w:r>
      <w:r w:rsidR="000A7AAB" w:rsidRPr="002C4077">
        <w:t xml:space="preserve"> </w:t>
      </w:r>
      <w:r w:rsidR="000A7AAB">
        <w:t>de</w:t>
      </w:r>
      <w:r w:rsidR="000A7AAB" w:rsidRPr="002C4077">
        <w:t xml:space="preserve"> </w:t>
      </w:r>
      <w:r w:rsidR="000A7AAB">
        <w:t>le</w:t>
      </w:r>
      <w:r w:rsidR="000A7AAB" w:rsidRPr="002C4077">
        <w:t xml:space="preserve"> </w:t>
      </w:r>
      <w:r w:rsidR="000A7AAB">
        <w:t>préparer</w:t>
      </w:r>
      <w:r w:rsidR="000A7AAB" w:rsidRPr="002C4077">
        <w:t xml:space="preserve"> </w:t>
      </w:r>
      <w:r w:rsidR="000A7AAB">
        <w:t>à</w:t>
      </w:r>
      <w:r w:rsidR="000A7AAB" w:rsidRPr="002C4077">
        <w:t xml:space="preserve"> </w:t>
      </w:r>
      <w:r w:rsidR="000A7AAB">
        <w:t>la</w:t>
      </w:r>
      <w:r w:rsidR="000A7AAB" w:rsidRPr="002C4077">
        <w:t xml:space="preserve"> </w:t>
      </w:r>
      <w:r w:rsidR="000A7AAB">
        <w:t>gloire</w:t>
      </w:r>
      <w:r w:rsidR="000A7AAB" w:rsidRPr="002C4077">
        <w:t xml:space="preserve"> </w:t>
      </w:r>
      <w:r w:rsidR="000A7AAB">
        <w:t>de</w:t>
      </w:r>
      <w:r w:rsidR="000A7AAB" w:rsidRPr="002C4077">
        <w:t xml:space="preserve"> </w:t>
      </w:r>
      <w:r w:rsidR="000A7AAB">
        <w:t>la</w:t>
      </w:r>
      <w:r w:rsidR="000A7AAB" w:rsidRPr="002C4077">
        <w:t xml:space="preserve"> </w:t>
      </w:r>
      <w:r w:rsidR="000A7AAB">
        <w:t>résurrection.</w:t>
      </w:r>
      <w:r w:rsidR="000A7AAB" w:rsidRPr="002C4077">
        <w:t xml:space="preserve"> </w:t>
      </w:r>
    </w:p>
    <w:p w:rsidR="000A7AAB" w:rsidRDefault="000A7AAB" w:rsidP="000A7AAB">
      <w:r>
        <w:t>Tels</w:t>
      </w:r>
      <w:r w:rsidRPr="002C4077">
        <w:t xml:space="preserve"> </w:t>
      </w:r>
      <w:r>
        <w:t>sont</w:t>
      </w:r>
      <w:r w:rsidRPr="002C4077">
        <w:t xml:space="preserve"> </w:t>
      </w:r>
      <w:r>
        <w:t>les</w:t>
      </w:r>
      <w:r w:rsidRPr="002C4077">
        <w:t xml:space="preserve"> </w:t>
      </w:r>
      <w:r>
        <w:t>principes</w:t>
      </w:r>
      <w:r w:rsidRPr="002C4077">
        <w:t xml:space="preserve"> </w:t>
      </w:r>
      <w:r>
        <w:t>qui</w:t>
      </w:r>
      <w:r w:rsidRPr="002C4077">
        <w:t xml:space="preserve"> </w:t>
      </w:r>
      <w:r>
        <w:t>ont</w:t>
      </w:r>
      <w:r w:rsidRPr="002C4077">
        <w:t xml:space="preserve"> </w:t>
      </w:r>
      <w:r>
        <w:t>toujours</w:t>
      </w:r>
      <w:r w:rsidRPr="002C4077">
        <w:t xml:space="preserve"> </w:t>
      </w:r>
      <w:r>
        <w:t>éloigné</w:t>
      </w:r>
      <w:r w:rsidRPr="002C4077">
        <w:t xml:space="preserve"> </w:t>
      </w:r>
      <w:r>
        <w:t>les</w:t>
      </w:r>
      <w:r w:rsidRPr="002C4077">
        <w:t xml:space="preserve"> </w:t>
      </w:r>
      <w:r>
        <w:t>Israélites,</w:t>
      </w:r>
      <w:r w:rsidRPr="002C4077">
        <w:t xml:space="preserve"> </w:t>
      </w:r>
      <w:r>
        <w:t>aux</w:t>
      </w:r>
      <w:r w:rsidRPr="002C4077">
        <w:t xml:space="preserve"> </w:t>
      </w:r>
      <w:r>
        <w:t>différentes</w:t>
      </w:r>
      <w:r w:rsidRPr="002C4077">
        <w:t xml:space="preserve"> </w:t>
      </w:r>
      <w:r>
        <w:t>époques</w:t>
      </w:r>
      <w:r w:rsidRPr="002C4077">
        <w:t xml:space="preserve"> </w:t>
      </w:r>
      <w:r>
        <w:t>de</w:t>
      </w:r>
      <w:r w:rsidRPr="002C4077">
        <w:t xml:space="preserve"> </w:t>
      </w:r>
      <w:r>
        <w:t>leur</w:t>
      </w:r>
      <w:r w:rsidRPr="002C4077">
        <w:t xml:space="preserve"> </w:t>
      </w:r>
      <w:r>
        <w:t>histoire,</w:t>
      </w:r>
      <w:r w:rsidRPr="002C4077">
        <w:t xml:space="preserve"> </w:t>
      </w:r>
      <w:r>
        <w:t>de</w:t>
      </w:r>
      <w:r w:rsidRPr="002C4077">
        <w:t xml:space="preserve"> </w:t>
      </w:r>
      <w:r>
        <w:t>l’incinération</w:t>
      </w:r>
      <w:r w:rsidRPr="002C4077">
        <w:t xml:space="preserve"> </w:t>
      </w:r>
      <w:r>
        <w:t>des</w:t>
      </w:r>
      <w:r w:rsidRPr="002C4077">
        <w:t xml:space="preserve"> </w:t>
      </w:r>
      <w:r>
        <w:t>morts.</w:t>
      </w:r>
      <w:r w:rsidRPr="002C4077">
        <w:t xml:space="preserve"> </w:t>
      </w:r>
      <w:r>
        <w:t>Déjà</w:t>
      </w:r>
      <w:r w:rsidRPr="002C4077">
        <w:t xml:space="preserve"> </w:t>
      </w:r>
      <w:r>
        <w:t>Tacite</w:t>
      </w:r>
      <w:r w:rsidRPr="002C4077">
        <w:t xml:space="preserve"> </w:t>
      </w:r>
      <w:r>
        <w:t>signalait</w:t>
      </w:r>
      <w:r w:rsidRPr="002C4077">
        <w:t xml:space="preserve"> </w:t>
      </w:r>
      <w:r>
        <w:t>comme</w:t>
      </w:r>
      <w:r w:rsidRPr="002C4077">
        <w:t xml:space="preserve"> </w:t>
      </w:r>
      <w:r>
        <w:t>un</w:t>
      </w:r>
      <w:r w:rsidRPr="002C4077">
        <w:t xml:space="preserve"> </w:t>
      </w:r>
      <w:r>
        <w:t>fait</w:t>
      </w:r>
      <w:r w:rsidRPr="002C4077">
        <w:t xml:space="preserve"> </w:t>
      </w:r>
      <w:r>
        <w:t>extraordinaire</w:t>
      </w:r>
      <w:r w:rsidRPr="002C4077">
        <w:t xml:space="preserve"> </w:t>
      </w:r>
      <w:r>
        <w:t>leur</w:t>
      </w:r>
      <w:r w:rsidRPr="002C4077">
        <w:t xml:space="preserve"> </w:t>
      </w:r>
      <w:r>
        <w:t>ténacité</w:t>
      </w:r>
      <w:r w:rsidRPr="002C4077">
        <w:t xml:space="preserve"> </w:t>
      </w:r>
      <w:r>
        <w:t>à</w:t>
      </w:r>
      <w:r w:rsidRPr="002C4077">
        <w:t xml:space="preserve"> </w:t>
      </w:r>
      <w:r>
        <w:t>enterrer</w:t>
      </w:r>
      <w:r w:rsidRPr="002C4077">
        <w:t xml:space="preserve"> </w:t>
      </w:r>
      <w:r>
        <w:t>les</w:t>
      </w:r>
      <w:r w:rsidRPr="002C4077">
        <w:t xml:space="preserve"> </w:t>
      </w:r>
      <w:r>
        <w:t>corps</w:t>
      </w:r>
      <w:r w:rsidRPr="002C4077">
        <w:t xml:space="preserve"> </w:t>
      </w:r>
      <w:r>
        <w:t>plutôt</w:t>
      </w:r>
      <w:r w:rsidRPr="002C4077">
        <w:t xml:space="preserve"> </w:t>
      </w:r>
      <w:r>
        <w:t>qu’à</w:t>
      </w:r>
      <w:r w:rsidRPr="002C4077">
        <w:t xml:space="preserve"> </w:t>
      </w:r>
      <w:r>
        <w:t>les</w:t>
      </w:r>
      <w:r w:rsidRPr="002C4077">
        <w:t xml:space="preserve"> </w:t>
      </w:r>
      <w:r>
        <w:t>brûler’</w:t>
      </w:r>
      <w:r w:rsidR="00B91AF7">
        <w:rPr>
          <w:rStyle w:val="Appelnotedebasdep"/>
        </w:rPr>
        <w:footnoteReference w:id="913"/>
      </w:r>
      <w:r>
        <w:t>.</w:t>
      </w:r>
      <w:r w:rsidRPr="002C4077">
        <w:t xml:space="preserve"> </w:t>
      </w:r>
      <w:r>
        <w:t>Il</w:t>
      </w:r>
      <w:r w:rsidRPr="002C4077">
        <w:t xml:space="preserve"> </w:t>
      </w:r>
      <w:r w:rsidR="00425C50">
        <w:t>est</w:t>
      </w:r>
      <w:r w:rsidRPr="002C4077">
        <w:t xml:space="preserve"> </w:t>
      </w:r>
      <w:r>
        <w:t>vrai</w:t>
      </w:r>
      <w:r w:rsidRPr="002C4077">
        <w:t xml:space="preserve"> </w:t>
      </w:r>
      <w:r>
        <w:t>qu’en</w:t>
      </w:r>
      <w:r w:rsidRPr="002C4077">
        <w:t xml:space="preserve"> </w:t>
      </w:r>
      <w:r>
        <w:t>plusieurs</w:t>
      </w:r>
      <w:r w:rsidRPr="002C4077">
        <w:t xml:space="preserve"> </w:t>
      </w:r>
      <w:r>
        <w:t>endroit</w:t>
      </w:r>
      <w:r w:rsidR="004377BC">
        <w:t>s</w:t>
      </w:r>
      <w:r w:rsidR="004377BC">
        <w:rPr>
          <w:rStyle w:val="Appelnotedebasdep"/>
        </w:rPr>
        <w:footnoteReference w:id="914"/>
      </w:r>
      <w:r w:rsidRPr="002C4077">
        <w:t xml:space="preserve"> </w:t>
      </w:r>
      <w:r>
        <w:t>la</w:t>
      </w:r>
      <w:r w:rsidRPr="002C4077">
        <w:t xml:space="preserve"> </w:t>
      </w:r>
      <w:r>
        <w:t>Bible</w:t>
      </w:r>
      <w:r w:rsidRPr="002C4077">
        <w:t xml:space="preserve"> </w:t>
      </w:r>
      <w:r>
        <w:t>mentionne</w:t>
      </w:r>
      <w:r w:rsidRPr="002C4077">
        <w:t xml:space="preserve"> </w:t>
      </w:r>
      <w:r>
        <w:t>des</w:t>
      </w:r>
      <w:r w:rsidRPr="002C4077">
        <w:t xml:space="preserve"> </w:t>
      </w:r>
      <w:r>
        <w:t>cas</w:t>
      </w:r>
      <w:r w:rsidRPr="002C4077">
        <w:t xml:space="preserve"> </w:t>
      </w:r>
      <w:r>
        <w:t>directement</w:t>
      </w:r>
      <w:r w:rsidRPr="002C4077">
        <w:t xml:space="preserve"> </w:t>
      </w:r>
      <w:r>
        <w:t>opposés</w:t>
      </w:r>
      <w:r w:rsidRPr="002C4077">
        <w:t xml:space="preserve"> </w:t>
      </w:r>
      <w:r>
        <w:t>à</w:t>
      </w:r>
      <w:r w:rsidRPr="002C4077">
        <w:t xml:space="preserve"> </w:t>
      </w:r>
      <w:r>
        <w:t>la</w:t>
      </w:r>
      <w:r w:rsidRPr="002C4077">
        <w:t xml:space="preserve"> </w:t>
      </w:r>
      <w:r>
        <w:t>pratique</w:t>
      </w:r>
      <w:r w:rsidRPr="002C4077">
        <w:t xml:space="preserve"> </w:t>
      </w:r>
      <w:r>
        <w:t>dont</w:t>
      </w:r>
      <w:r w:rsidRPr="002C4077">
        <w:t xml:space="preserve"> </w:t>
      </w:r>
      <w:r>
        <w:t>nous</w:t>
      </w:r>
      <w:r w:rsidRPr="002C4077">
        <w:t xml:space="preserve"> </w:t>
      </w:r>
      <w:r>
        <w:t>venons</w:t>
      </w:r>
      <w:r w:rsidRPr="002C4077">
        <w:t xml:space="preserve"> </w:t>
      </w:r>
      <w:r>
        <w:t>de</w:t>
      </w:r>
      <w:r w:rsidRPr="002C4077">
        <w:t xml:space="preserve"> </w:t>
      </w:r>
      <w:r>
        <w:t>parler,</w:t>
      </w:r>
      <w:r w:rsidRPr="002C4077">
        <w:t xml:space="preserve"> </w:t>
      </w:r>
      <w:r>
        <w:t>et</w:t>
      </w:r>
      <w:r w:rsidRPr="002C4077">
        <w:t xml:space="preserve"> </w:t>
      </w:r>
      <w:r>
        <w:t>certains</w:t>
      </w:r>
      <w:r w:rsidRPr="002C4077">
        <w:t xml:space="preserve"> </w:t>
      </w:r>
      <w:r>
        <w:t>exégètes</w:t>
      </w:r>
      <w:r w:rsidRPr="002C4077">
        <w:t xml:space="preserve"> </w:t>
      </w:r>
      <w:r>
        <w:t>modernes</w:t>
      </w:r>
      <w:r w:rsidR="00B91AF7">
        <w:rPr>
          <w:rStyle w:val="Appelnotedebasdep"/>
        </w:rPr>
        <w:footnoteReference w:id="915"/>
      </w:r>
      <w:r w:rsidRPr="002C4077">
        <w:t xml:space="preserve"> </w:t>
      </w:r>
      <w:r>
        <w:t>sont</w:t>
      </w:r>
      <w:r w:rsidRPr="002C4077">
        <w:t xml:space="preserve"> </w:t>
      </w:r>
      <w:r>
        <w:t>partis</w:t>
      </w:r>
      <w:r w:rsidRPr="002C4077">
        <w:t xml:space="preserve"> </w:t>
      </w:r>
      <w:r>
        <w:t>de</w:t>
      </w:r>
      <w:r w:rsidRPr="002C4077">
        <w:t xml:space="preserve"> </w:t>
      </w:r>
      <w:r>
        <w:t>là</w:t>
      </w:r>
      <w:r w:rsidRPr="002C4077">
        <w:t xml:space="preserve"> </w:t>
      </w:r>
      <w:r>
        <w:t>pour</w:t>
      </w:r>
      <w:r w:rsidRPr="002C4077">
        <w:t xml:space="preserve"> </w:t>
      </w:r>
      <w:r>
        <w:t>affirmer</w:t>
      </w:r>
      <w:r w:rsidRPr="002C4077">
        <w:t xml:space="preserve"> </w:t>
      </w:r>
      <w:r>
        <w:t>que</w:t>
      </w:r>
      <w:r w:rsidRPr="002C4077">
        <w:t xml:space="preserve"> </w:t>
      </w:r>
      <w:r>
        <w:t>la</w:t>
      </w:r>
      <w:r w:rsidRPr="002C4077">
        <w:t xml:space="preserve"> </w:t>
      </w:r>
      <w:r>
        <w:t>crémation</w:t>
      </w:r>
      <w:r w:rsidRPr="002C4077">
        <w:t xml:space="preserve"> </w:t>
      </w:r>
      <w:r>
        <w:t>fut</w:t>
      </w:r>
      <w:r w:rsidRPr="002C4077">
        <w:t xml:space="preserve"> </w:t>
      </w:r>
      <w:r>
        <w:t>pendant</w:t>
      </w:r>
      <w:r w:rsidRPr="002C4077">
        <w:t xml:space="preserve"> </w:t>
      </w:r>
      <w:r>
        <w:t>quelque</w:t>
      </w:r>
      <w:r w:rsidRPr="002C4077">
        <w:t xml:space="preserve"> </w:t>
      </w:r>
      <w:r>
        <w:t>temps</w:t>
      </w:r>
      <w:r w:rsidRPr="002C4077">
        <w:t xml:space="preserve"> </w:t>
      </w:r>
      <w:r>
        <w:t>de</w:t>
      </w:r>
      <w:r w:rsidRPr="002C4077">
        <w:t xml:space="preserve"> </w:t>
      </w:r>
      <w:r>
        <w:t>mode</w:t>
      </w:r>
      <w:r w:rsidRPr="002C4077">
        <w:t xml:space="preserve"> </w:t>
      </w:r>
      <w:r>
        <w:t>chez</w:t>
      </w:r>
      <w:r w:rsidRPr="002C4077">
        <w:t xml:space="preserve"> </w:t>
      </w:r>
      <w:r>
        <w:t>les</w:t>
      </w:r>
      <w:r w:rsidRPr="002C4077">
        <w:t xml:space="preserve"> </w:t>
      </w:r>
      <w:r>
        <w:t>Hébreux</w:t>
      </w:r>
      <w:r w:rsidR="00B546AF">
        <w:t> ;</w:t>
      </w:r>
      <w:r w:rsidR="00C45B47">
        <w:t xml:space="preserve"> {</w:t>
      </w:r>
      <w:r w:rsidR="005E2129">
        <w:t>309</w:t>
      </w:r>
      <w:bookmarkStart w:id="751" w:name="p309"/>
      <w:bookmarkEnd w:id="751"/>
      <w:r w:rsidR="005E2129">
        <w:t xml:space="preserve">} </w:t>
      </w:r>
      <w:r>
        <w:t>mais</w:t>
      </w:r>
      <w:r w:rsidRPr="002C4077">
        <w:t xml:space="preserve"> </w:t>
      </w:r>
      <w:r>
        <w:t>leur</w:t>
      </w:r>
      <w:r w:rsidRPr="002C4077">
        <w:t xml:space="preserve"> </w:t>
      </w:r>
      <w:r>
        <w:t>déduction</w:t>
      </w:r>
      <w:r w:rsidRPr="002C4077">
        <w:t xml:space="preserve"> </w:t>
      </w:r>
      <w:r w:rsidR="00425C50">
        <w:t>est</w:t>
      </w:r>
      <w:r w:rsidRPr="002C4077">
        <w:t xml:space="preserve"> </w:t>
      </w:r>
      <w:r>
        <w:t>complètement</w:t>
      </w:r>
      <w:r w:rsidRPr="002C4077">
        <w:t xml:space="preserve"> </w:t>
      </w:r>
      <w:r>
        <w:t>fausse.</w:t>
      </w:r>
      <w:r w:rsidRPr="002C4077">
        <w:t xml:space="preserve"> </w:t>
      </w:r>
      <w:r>
        <w:t>Des</w:t>
      </w:r>
      <w:r w:rsidRPr="002C4077">
        <w:t xml:space="preserve"> </w:t>
      </w:r>
      <w:r>
        <w:t>passages</w:t>
      </w:r>
      <w:r w:rsidRPr="002C4077">
        <w:t xml:space="preserve"> </w:t>
      </w:r>
      <w:r>
        <w:t>indiqués,</w:t>
      </w:r>
      <w:r w:rsidRPr="002C4077">
        <w:t xml:space="preserve"> </w:t>
      </w:r>
      <w:r>
        <w:t>il</w:t>
      </w:r>
      <w:r w:rsidRPr="002C4077">
        <w:t xml:space="preserve"> </w:t>
      </w:r>
      <w:r>
        <w:t>résulte</w:t>
      </w:r>
      <w:r w:rsidRPr="002C4077">
        <w:t xml:space="preserve"> </w:t>
      </w:r>
      <w:r>
        <w:t>seulement</w:t>
      </w:r>
      <w:r w:rsidRPr="002C4077">
        <w:t xml:space="preserve"> </w:t>
      </w:r>
      <w:r>
        <w:t>que</w:t>
      </w:r>
      <w:r w:rsidRPr="002C4077">
        <w:t xml:space="preserve"> </w:t>
      </w:r>
      <w:r>
        <w:t>les</w:t>
      </w:r>
      <w:r w:rsidRPr="002C4077">
        <w:t xml:space="preserve"> </w:t>
      </w:r>
      <w:r>
        <w:t>anciens</w:t>
      </w:r>
      <w:r w:rsidRPr="002C4077">
        <w:t xml:space="preserve"> </w:t>
      </w:r>
      <w:r>
        <w:t>Juifs</w:t>
      </w:r>
      <w:r w:rsidRPr="002C4077">
        <w:t xml:space="preserve"> </w:t>
      </w:r>
      <w:r>
        <w:t>brûlèrent</w:t>
      </w:r>
      <w:r w:rsidRPr="002C4077">
        <w:t xml:space="preserve"> </w:t>
      </w:r>
      <w:r>
        <w:t>parfois</w:t>
      </w:r>
      <w:r w:rsidRPr="002C4077">
        <w:t xml:space="preserve"> </w:t>
      </w:r>
      <w:r>
        <w:t>les</w:t>
      </w:r>
      <w:r w:rsidRPr="002C4077">
        <w:t xml:space="preserve"> </w:t>
      </w:r>
      <w:r>
        <w:t>cadavres</w:t>
      </w:r>
      <w:r w:rsidRPr="002C4077">
        <w:t xml:space="preserve"> </w:t>
      </w:r>
      <w:r>
        <w:t>de</w:t>
      </w:r>
      <w:r w:rsidRPr="002C4077">
        <w:t xml:space="preserve"> </w:t>
      </w:r>
      <w:r>
        <w:t>leurs</w:t>
      </w:r>
      <w:r w:rsidRPr="002C4077">
        <w:t xml:space="preserve"> </w:t>
      </w:r>
      <w:r>
        <w:t>morts</w:t>
      </w:r>
      <w:r w:rsidRPr="002C4077">
        <w:t xml:space="preserve"> </w:t>
      </w:r>
      <w:r>
        <w:t>en</w:t>
      </w:r>
      <w:r w:rsidRPr="002C4077">
        <w:t xml:space="preserve"> </w:t>
      </w:r>
      <w:r>
        <w:t>des</w:t>
      </w:r>
      <w:r w:rsidRPr="002C4077">
        <w:t xml:space="preserve"> </w:t>
      </w:r>
      <w:r>
        <w:t>circonstances</w:t>
      </w:r>
      <w:r w:rsidRPr="002C4077">
        <w:t xml:space="preserve"> </w:t>
      </w:r>
      <w:r>
        <w:t>exceptionnelles</w:t>
      </w:r>
      <w:r w:rsidR="00B546AF">
        <w:t> :</w:t>
      </w:r>
      <w:r w:rsidRPr="002C4077">
        <w:t xml:space="preserve"> </w:t>
      </w:r>
      <w:r>
        <w:t>soit</w:t>
      </w:r>
      <w:r w:rsidRPr="002C4077">
        <w:t xml:space="preserve"> </w:t>
      </w:r>
      <w:r>
        <w:t>qu’ils</w:t>
      </w:r>
      <w:r w:rsidRPr="002C4077">
        <w:t xml:space="preserve"> </w:t>
      </w:r>
      <w:r>
        <w:t>voulussent</w:t>
      </w:r>
      <w:r w:rsidRPr="002C4077">
        <w:t xml:space="preserve"> </w:t>
      </w:r>
      <w:r>
        <w:t>les</w:t>
      </w:r>
      <w:r w:rsidRPr="002C4077">
        <w:t xml:space="preserve"> </w:t>
      </w:r>
      <w:r>
        <w:t>soustraire</w:t>
      </w:r>
      <w:r w:rsidRPr="002C4077">
        <w:t xml:space="preserve"> </w:t>
      </w:r>
      <w:r>
        <w:t>aux</w:t>
      </w:r>
      <w:r w:rsidRPr="002C4077">
        <w:t xml:space="preserve"> </w:t>
      </w:r>
      <w:r>
        <w:t>mutilations</w:t>
      </w:r>
      <w:r w:rsidRPr="002C4077">
        <w:t xml:space="preserve"> </w:t>
      </w:r>
      <w:r>
        <w:t>et</w:t>
      </w:r>
      <w:r w:rsidRPr="002C4077">
        <w:t xml:space="preserve"> </w:t>
      </w:r>
      <w:r>
        <w:t>autres</w:t>
      </w:r>
      <w:r w:rsidRPr="002C4077">
        <w:t xml:space="preserve"> </w:t>
      </w:r>
      <w:r>
        <w:t>profanations</w:t>
      </w:r>
      <w:r w:rsidRPr="002C4077">
        <w:t xml:space="preserve"> </w:t>
      </w:r>
      <w:r>
        <w:t>des</w:t>
      </w:r>
      <w:r w:rsidRPr="002C4077">
        <w:t xml:space="preserve"> </w:t>
      </w:r>
      <w:r>
        <w:t>ennemis,</w:t>
      </w:r>
      <w:r w:rsidRPr="002C4077">
        <w:t xml:space="preserve"> </w:t>
      </w:r>
      <w:r>
        <w:t>soit</w:t>
      </w:r>
      <w:r w:rsidRPr="002C4077">
        <w:t xml:space="preserve"> </w:t>
      </w:r>
      <w:r>
        <w:t>qu’ils</w:t>
      </w:r>
      <w:r w:rsidRPr="002C4077">
        <w:t xml:space="preserve"> </w:t>
      </w:r>
      <w:r>
        <w:t>craignissent</w:t>
      </w:r>
      <w:r w:rsidRPr="002C4077">
        <w:t xml:space="preserve"> </w:t>
      </w:r>
      <w:r>
        <w:t>de</w:t>
      </w:r>
      <w:r w:rsidRPr="002C4077">
        <w:t xml:space="preserve"> </w:t>
      </w:r>
      <w:r>
        <w:t>voir</w:t>
      </w:r>
      <w:r w:rsidRPr="002C4077">
        <w:t xml:space="preserve"> </w:t>
      </w:r>
      <w:r>
        <w:t>éclater</w:t>
      </w:r>
      <w:r w:rsidRPr="002C4077">
        <w:t xml:space="preserve"> </w:t>
      </w:r>
      <w:r>
        <w:t>la</w:t>
      </w:r>
      <w:r w:rsidRPr="002C4077">
        <w:t xml:space="preserve"> </w:t>
      </w:r>
      <w:r>
        <w:t>peste</w:t>
      </w:r>
      <w:r w:rsidRPr="002C4077">
        <w:t xml:space="preserve"> </w:t>
      </w:r>
      <w:r>
        <w:t>si</w:t>
      </w:r>
      <w:r w:rsidRPr="002C4077">
        <w:t xml:space="preserve"> </w:t>
      </w:r>
      <w:r>
        <w:t>on</w:t>
      </w:r>
      <w:r w:rsidRPr="002C4077">
        <w:t xml:space="preserve"> </w:t>
      </w:r>
      <w:r>
        <w:t>ne</w:t>
      </w:r>
      <w:r w:rsidRPr="002C4077">
        <w:t xml:space="preserve"> </w:t>
      </w:r>
      <w:r>
        <w:t>les</w:t>
      </w:r>
      <w:r w:rsidRPr="002C4077">
        <w:t xml:space="preserve"> </w:t>
      </w:r>
      <w:r>
        <w:t>faisait</w:t>
      </w:r>
      <w:r w:rsidRPr="002C4077">
        <w:t xml:space="preserve"> </w:t>
      </w:r>
      <w:r>
        <w:t>promptement</w:t>
      </w:r>
      <w:r w:rsidRPr="002C4077">
        <w:t xml:space="preserve"> </w:t>
      </w:r>
      <w:r>
        <w:t>disparaître,</w:t>
      </w:r>
      <w:r w:rsidRPr="002C4077">
        <w:t xml:space="preserve"> </w:t>
      </w:r>
      <w:r>
        <w:t>soit</w:t>
      </w:r>
      <w:r w:rsidRPr="002C4077">
        <w:t xml:space="preserve"> </w:t>
      </w:r>
      <w:r>
        <w:t>qu’ils</w:t>
      </w:r>
      <w:r w:rsidRPr="002C4077">
        <w:t xml:space="preserve"> </w:t>
      </w:r>
      <w:r>
        <w:t>se</w:t>
      </w:r>
      <w:r w:rsidRPr="002C4077">
        <w:t xml:space="preserve"> </w:t>
      </w:r>
      <w:r>
        <w:t>proposassent</w:t>
      </w:r>
      <w:r w:rsidRPr="002C4077">
        <w:t xml:space="preserve"> </w:t>
      </w:r>
      <w:r>
        <w:t>en</w:t>
      </w:r>
      <w:r w:rsidRPr="002C4077">
        <w:t xml:space="preserve"> </w:t>
      </w:r>
      <w:r>
        <w:t>cela</w:t>
      </w:r>
      <w:r w:rsidRPr="002C4077">
        <w:t xml:space="preserve"> </w:t>
      </w:r>
      <w:r>
        <w:t>un</w:t>
      </w:r>
      <w:r w:rsidRPr="002C4077">
        <w:t xml:space="preserve"> </w:t>
      </w:r>
      <w:r>
        <w:t>châtiment</w:t>
      </w:r>
      <w:r w:rsidRPr="002C4077">
        <w:t xml:space="preserve"> </w:t>
      </w:r>
      <w:r>
        <w:t>exemplaire.</w:t>
      </w:r>
      <w:r w:rsidRPr="002C4077">
        <w:t xml:space="preserve"> </w:t>
      </w:r>
      <w:r>
        <w:t>Aussi</w:t>
      </w:r>
      <w:r w:rsidRPr="002C4077">
        <w:t xml:space="preserve"> </w:t>
      </w:r>
      <w:r>
        <w:t>quand,</w:t>
      </w:r>
      <w:r w:rsidRPr="002C4077">
        <w:t xml:space="preserve"> </w:t>
      </w:r>
      <w:r>
        <w:t>naguère,</w:t>
      </w:r>
      <w:r w:rsidRPr="002C4077">
        <w:t xml:space="preserve"> </w:t>
      </w:r>
      <w:r>
        <w:t>la</w:t>
      </w:r>
      <w:r w:rsidRPr="002C4077">
        <w:t xml:space="preserve"> </w:t>
      </w:r>
      <w:r>
        <w:t>question</w:t>
      </w:r>
      <w:r w:rsidRPr="002C4077">
        <w:t xml:space="preserve"> </w:t>
      </w:r>
      <w:r>
        <w:t>de</w:t>
      </w:r>
      <w:r w:rsidRPr="002C4077">
        <w:t xml:space="preserve"> </w:t>
      </w:r>
      <w:r>
        <w:t>la</w:t>
      </w:r>
      <w:r w:rsidRPr="002C4077">
        <w:t xml:space="preserve"> </w:t>
      </w:r>
      <w:r>
        <w:t>crémation</w:t>
      </w:r>
      <w:r w:rsidRPr="002C4077">
        <w:t xml:space="preserve"> </w:t>
      </w:r>
      <w:r>
        <w:t>des</w:t>
      </w:r>
      <w:r w:rsidRPr="002C4077">
        <w:t xml:space="preserve"> </w:t>
      </w:r>
      <w:r>
        <w:t>morts</w:t>
      </w:r>
      <w:r w:rsidRPr="002C4077">
        <w:t xml:space="preserve"> </w:t>
      </w:r>
      <w:r>
        <w:t>fut</w:t>
      </w:r>
      <w:r w:rsidRPr="002C4077">
        <w:t xml:space="preserve"> </w:t>
      </w:r>
      <w:r>
        <w:t>agitée</w:t>
      </w:r>
      <w:r w:rsidRPr="002C4077">
        <w:t xml:space="preserve"> </w:t>
      </w:r>
      <w:r>
        <w:t>sur</w:t>
      </w:r>
      <w:r w:rsidRPr="002C4077">
        <w:t xml:space="preserve"> </w:t>
      </w:r>
      <w:r>
        <w:t>certains</w:t>
      </w:r>
      <w:r w:rsidRPr="002C4077">
        <w:t xml:space="preserve"> </w:t>
      </w:r>
      <w:r>
        <w:t>points</w:t>
      </w:r>
      <w:r w:rsidRPr="002C4077">
        <w:t xml:space="preserve"> </w:t>
      </w:r>
      <w:r>
        <w:t>de</w:t>
      </w:r>
      <w:r w:rsidRPr="002C4077">
        <w:t xml:space="preserve"> </w:t>
      </w:r>
      <w:r>
        <w:t>l’Europe,</w:t>
      </w:r>
      <w:r w:rsidRPr="002C4077">
        <w:t xml:space="preserve"> </w:t>
      </w:r>
      <w:r>
        <w:t>quelques</w:t>
      </w:r>
      <w:r w:rsidRPr="002C4077">
        <w:t xml:space="preserve"> </w:t>
      </w:r>
      <w:r>
        <w:t>Juifs</w:t>
      </w:r>
      <w:r w:rsidRPr="002C4077">
        <w:t xml:space="preserve"> </w:t>
      </w:r>
      <w:r>
        <w:t>isolés</w:t>
      </w:r>
      <w:r w:rsidRPr="002C4077">
        <w:t xml:space="preserve"> </w:t>
      </w:r>
      <w:r>
        <w:t>ayant</w:t>
      </w:r>
      <w:r w:rsidRPr="002C4077">
        <w:t xml:space="preserve"> </w:t>
      </w:r>
      <w:r>
        <w:t>pris</w:t>
      </w:r>
      <w:r w:rsidRPr="002C4077">
        <w:t xml:space="preserve"> </w:t>
      </w:r>
      <w:r>
        <w:t>part</w:t>
      </w:r>
      <w:r w:rsidRPr="002C4077">
        <w:t xml:space="preserve"> </w:t>
      </w:r>
      <w:r>
        <w:t>à</w:t>
      </w:r>
      <w:r w:rsidRPr="002C4077">
        <w:t xml:space="preserve"> </w:t>
      </w:r>
      <w:r>
        <w:t>ce</w:t>
      </w:r>
      <w:r w:rsidRPr="002C4077">
        <w:t xml:space="preserve"> </w:t>
      </w:r>
      <w:r>
        <w:t>mouvement</w:t>
      </w:r>
      <w:r w:rsidRPr="002C4077">
        <w:t xml:space="preserve"> </w:t>
      </w:r>
      <w:r>
        <w:t>et</w:t>
      </w:r>
      <w:r w:rsidRPr="002C4077">
        <w:t xml:space="preserve"> </w:t>
      </w:r>
      <w:r>
        <w:t>demandé</w:t>
      </w:r>
      <w:r w:rsidRPr="002C4077">
        <w:t xml:space="preserve"> </w:t>
      </w:r>
      <w:r>
        <w:t>que,</w:t>
      </w:r>
      <w:r w:rsidRPr="002C4077">
        <w:t xml:space="preserve"> </w:t>
      </w:r>
      <w:r>
        <w:t>dans</w:t>
      </w:r>
      <w:r w:rsidRPr="002C4077">
        <w:t xml:space="preserve"> </w:t>
      </w:r>
      <w:r>
        <w:t>les</w:t>
      </w:r>
      <w:r w:rsidRPr="002C4077">
        <w:t xml:space="preserve"> </w:t>
      </w:r>
      <w:r>
        <w:t>cimetières</w:t>
      </w:r>
      <w:r w:rsidRPr="002C4077">
        <w:t xml:space="preserve"> </w:t>
      </w:r>
      <w:r>
        <w:t>israélites,</w:t>
      </w:r>
      <w:r w:rsidRPr="002C4077">
        <w:t xml:space="preserve"> </w:t>
      </w:r>
      <w:r>
        <w:t>une</w:t>
      </w:r>
      <w:r w:rsidRPr="002C4077">
        <w:t xml:space="preserve"> </w:t>
      </w:r>
      <w:r>
        <w:t>place</w:t>
      </w:r>
      <w:r w:rsidRPr="002C4077">
        <w:t xml:space="preserve"> </w:t>
      </w:r>
      <w:r>
        <w:t>spéciale</w:t>
      </w:r>
      <w:r w:rsidRPr="002C4077">
        <w:t xml:space="preserve"> </w:t>
      </w:r>
      <w:r>
        <w:t>fût</w:t>
      </w:r>
      <w:r w:rsidRPr="002C4077">
        <w:t xml:space="preserve"> </w:t>
      </w:r>
      <w:r>
        <w:t>réservée</w:t>
      </w:r>
      <w:r w:rsidRPr="002C4077">
        <w:t xml:space="preserve"> </w:t>
      </w:r>
      <w:r>
        <w:t>à</w:t>
      </w:r>
      <w:r w:rsidRPr="002C4077">
        <w:t xml:space="preserve"> </w:t>
      </w:r>
      <w:r>
        <w:t>ce</w:t>
      </w:r>
      <w:r w:rsidRPr="002C4077">
        <w:t xml:space="preserve"> </w:t>
      </w:r>
      <w:r>
        <w:t>genre</w:t>
      </w:r>
      <w:r w:rsidRPr="002C4077">
        <w:t xml:space="preserve"> </w:t>
      </w:r>
      <w:r>
        <w:t>de</w:t>
      </w:r>
      <w:r w:rsidRPr="002C4077">
        <w:t xml:space="preserve"> </w:t>
      </w:r>
      <w:r>
        <w:t>sépulture,</w:t>
      </w:r>
      <w:r w:rsidRPr="002C4077">
        <w:t xml:space="preserve"> </w:t>
      </w:r>
      <w:r>
        <w:t>les</w:t>
      </w:r>
      <w:r w:rsidRPr="002C4077">
        <w:t xml:space="preserve"> </w:t>
      </w:r>
      <w:r>
        <w:t>organes</w:t>
      </w:r>
      <w:r w:rsidRPr="002C4077">
        <w:t xml:space="preserve"> </w:t>
      </w:r>
      <w:r>
        <w:t>les</w:t>
      </w:r>
      <w:r w:rsidRPr="002C4077">
        <w:t xml:space="preserve"> </w:t>
      </w:r>
      <w:r>
        <w:t>plus</w:t>
      </w:r>
      <w:r w:rsidRPr="002C4077">
        <w:t xml:space="preserve"> </w:t>
      </w:r>
      <w:r>
        <w:t>autorisés</w:t>
      </w:r>
      <w:r w:rsidRPr="002C4077">
        <w:t xml:space="preserve"> </w:t>
      </w:r>
      <w:r>
        <w:t>du</w:t>
      </w:r>
      <w:r w:rsidRPr="002C4077">
        <w:t xml:space="preserve"> </w:t>
      </w:r>
      <w:r>
        <w:t>judaïsme</w:t>
      </w:r>
      <w:r w:rsidRPr="002C4077">
        <w:t xml:space="preserve"> </w:t>
      </w:r>
      <w:r>
        <w:t>contemporain</w:t>
      </w:r>
      <w:r w:rsidRPr="002C4077">
        <w:t xml:space="preserve"> </w:t>
      </w:r>
      <w:r>
        <w:t>protestèrent-ils</w:t>
      </w:r>
      <w:r w:rsidRPr="002C4077">
        <w:t xml:space="preserve"> </w:t>
      </w:r>
      <w:r>
        <w:t>avec</w:t>
      </w:r>
      <w:bookmarkStart w:id="752" w:name="z_CimetieresJuifs_o16"/>
      <w:bookmarkStart w:id="753" w:name="z_Cremation_o2"/>
      <w:bookmarkEnd w:id="752"/>
      <w:bookmarkEnd w:id="753"/>
      <w:r w:rsidRPr="002C4077">
        <w:t xml:space="preserve"> </w:t>
      </w:r>
      <w:r>
        <w:t>indignation</w:t>
      </w:r>
      <w:r w:rsidR="00B91AF7">
        <w:rPr>
          <w:rStyle w:val="Appelnotedebasdep"/>
        </w:rPr>
        <w:footnoteReference w:id="916"/>
      </w:r>
      <w:r>
        <w:t>.</w:t>
      </w:r>
      <w:r w:rsidRPr="002C4077">
        <w:t xml:space="preserve"> </w:t>
      </w:r>
    </w:p>
    <w:p w:rsidR="005539D9" w:rsidRDefault="005539D9" w:rsidP="000A7AAB"/>
    <w:p w:rsidR="000A7AAB" w:rsidRDefault="000A7AAB" w:rsidP="000A7AAB">
      <w:r>
        <w:t>Mais</w:t>
      </w:r>
      <w:r w:rsidRPr="002C4077">
        <w:t xml:space="preserve"> </w:t>
      </w:r>
      <w:r>
        <w:t>nous</w:t>
      </w:r>
      <w:r w:rsidRPr="002C4077">
        <w:t xml:space="preserve"> </w:t>
      </w:r>
      <w:r>
        <w:t>voici</w:t>
      </w:r>
      <w:r w:rsidRPr="002C4077">
        <w:t xml:space="preserve"> </w:t>
      </w:r>
      <w:r>
        <w:t>bien</w:t>
      </w:r>
      <w:r w:rsidRPr="002C4077">
        <w:t xml:space="preserve"> </w:t>
      </w:r>
      <w:r>
        <w:t>loin</w:t>
      </w:r>
      <w:r w:rsidRPr="002C4077">
        <w:t xml:space="preserve"> </w:t>
      </w:r>
      <w:r>
        <w:t>du</w:t>
      </w:r>
      <w:r w:rsidRPr="002C4077">
        <w:t xml:space="preserve"> </w:t>
      </w:r>
      <w:r>
        <w:t>cimetière</w:t>
      </w:r>
      <w:r w:rsidRPr="002C4077">
        <w:t xml:space="preserve"> </w:t>
      </w:r>
      <w:r>
        <w:t>de</w:t>
      </w:r>
      <w:r w:rsidRPr="002C4077">
        <w:t xml:space="preserve"> </w:t>
      </w:r>
      <w:r>
        <w:t>la</w:t>
      </w:r>
      <w:r w:rsidRPr="002C4077">
        <w:t xml:space="preserve"> </w:t>
      </w:r>
      <w:r>
        <w:t>ville</w:t>
      </w:r>
      <w:r w:rsidRPr="002C4077">
        <w:t xml:space="preserve"> </w:t>
      </w:r>
      <w:r>
        <w:t>de</w:t>
      </w:r>
      <w:r w:rsidRPr="002C4077">
        <w:t xml:space="preserve"> </w:t>
      </w:r>
      <w:r>
        <w:t>N.</w:t>
      </w:r>
      <w:r w:rsidR="00B546AF">
        <w:t> !</w:t>
      </w:r>
      <w:r w:rsidRPr="002C4077">
        <w:t xml:space="preserve"> </w:t>
      </w:r>
      <w:r>
        <w:t>Rentrons-y</w:t>
      </w:r>
      <w:r w:rsidRPr="002C4077">
        <w:t xml:space="preserve"> </w:t>
      </w:r>
      <w:r>
        <w:t>un</w:t>
      </w:r>
      <w:r w:rsidRPr="002C4077">
        <w:t xml:space="preserve"> </w:t>
      </w:r>
      <w:r>
        <w:t>instant</w:t>
      </w:r>
      <w:r w:rsidRPr="002C4077">
        <w:t xml:space="preserve"> </w:t>
      </w:r>
      <w:r>
        <w:t>pour</w:t>
      </w:r>
      <w:r w:rsidRPr="002C4077">
        <w:t xml:space="preserve"> </w:t>
      </w:r>
      <w:r>
        <w:t>en</w:t>
      </w:r>
      <w:r w:rsidRPr="002C4077">
        <w:t xml:space="preserve"> </w:t>
      </w:r>
      <w:r>
        <w:t>prendre</w:t>
      </w:r>
      <w:r w:rsidRPr="002C4077">
        <w:t xml:space="preserve"> </w:t>
      </w:r>
      <w:r>
        <w:t>congé.</w:t>
      </w:r>
      <w:r w:rsidRPr="002C4077">
        <w:t xml:space="preserve"> </w:t>
      </w:r>
    </w:p>
    <w:p w:rsidR="000A7AAB" w:rsidRDefault="000A7AAB" w:rsidP="000A7AAB">
      <w:r>
        <w:t>Lorsque</w:t>
      </w:r>
      <w:r w:rsidRPr="002C4077">
        <w:t xml:space="preserve"> </w:t>
      </w:r>
      <w:r>
        <w:t>j’eus</w:t>
      </w:r>
      <w:r w:rsidRPr="002C4077">
        <w:t xml:space="preserve"> </w:t>
      </w:r>
      <w:r>
        <w:t>couvert</w:t>
      </w:r>
      <w:r w:rsidRPr="002C4077">
        <w:t xml:space="preserve"> </w:t>
      </w:r>
      <w:r>
        <w:t>de</w:t>
      </w:r>
      <w:r w:rsidRPr="002C4077">
        <w:t xml:space="preserve"> </w:t>
      </w:r>
      <w:r>
        <w:t>notes</w:t>
      </w:r>
      <w:r w:rsidRPr="002C4077">
        <w:t xml:space="preserve"> </w:t>
      </w:r>
      <w:r>
        <w:t>plusieurs</w:t>
      </w:r>
      <w:r w:rsidRPr="002C4077">
        <w:t xml:space="preserve"> </w:t>
      </w:r>
      <w:r>
        <w:t>pages</w:t>
      </w:r>
      <w:r w:rsidRPr="002C4077">
        <w:t xml:space="preserve"> </w:t>
      </w:r>
      <w:r>
        <w:t>de</w:t>
      </w:r>
      <w:r w:rsidRPr="002C4077">
        <w:t xml:space="preserve"> </w:t>
      </w:r>
      <w:r>
        <w:t>mon</w:t>
      </w:r>
      <w:r w:rsidRPr="002C4077">
        <w:t xml:space="preserve"> </w:t>
      </w:r>
      <w:r>
        <w:t>carnet,</w:t>
      </w:r>
      <w:r w:rsidRPr="002C4077">
        <w:t xml:space="preserve"> </w:t>
      </w:r>
      <w:r>
        <w:t>je</w:t>
      </w:r>
      <w:r w:rsidRPr="002C4077">
        <w:t xml:space="preserve"> </w:t>
      </w:r>
      <w:r>
        <w:t>voulus</w:t>
      </w:r>
      <w:r w:rsidRPr="002C4077">
        <w:t xml:space="preserve"> </w:t>
      </w:r>
      <w:r>
        <w:t>terminer</w:t>
      </w:r>
      <w:r w:rsidRPr="002C4077">
        <w:t xml:space="preserve"> </w:t>
      </w:r>
      <w:r>
        <w:t>la</w:t>
      </w:r>
      <w:r w:rsidRPr="002C4077">
        <w:t xml:space="preserve"> </w:t>
      </w:r>
      <w:r>
        <w:t>séance</w:t>
      </w:r>
      <w:r w:rsidRPr="002C4077">
        <w:t xml:space="preserve"> </w:t>
      </w:r>
      <w:r>
        <w:t>pour</w:t>
      </w:r>
      <w:r w:rsidRPr="002C4077">
        <w:t xml:space="preserve"> </w:t>
      </w:r>
      <w:r>
        <w:t>cette</w:t>
      </w:r>
      <w:r w:rsidRPr="002C4077">
        <w:t xml:space="preserve"> </w:t>
      </w:r>
      <w:r>
        <w:t>fois.</w:t>
      </w:r>
      <w:r w:rsidRPr="002C4077">
        <w:t xml:space="preserve"> </w:t>
      </w:r>
      <w:r>
        <w:t>Nous</w:t>
      </w:r>
      <w:r w:rsidRPr="002C4077">
        <w:t xml:space="preserve"> </w:t>
      </w:r>
      <w:r>
        <w:t>nous</w:t>
      </w:r>
      <w:r w:rsidRPr="002C4077">
        <w:t xml:space="preserve"> </w:t>
      </w:r>
      <w:r>
        <w:t>dirigeâmes</w:t>
      </w:r>
      <w:r w:rsidRPr="002C4077">
        <w:t xml:space="preserve"> </w:t>
      </w:r>
      <w:r>
        <w:t>donc,</w:t>
      </w:r>
      <w:r w:rsidRPr="002C4077">
        <w:t xml:space="preserve"> </w:t>
      </w:r>
      <w:r>
        <w:t>mon</w:t>
      </w:r>
      <w:r w:rsidRPr="002C4077">
        <w:t xml:space="preserve"> </w:t>
      </w:r>
      <w:r>
        <w:t>compagnon</w:t>
      </w:r>
      <w:r w:rsidRPr="002C4077">
        <w:t xml:space="preserve"> </w:t>
      </w:r>
      <w:r>
        <w:t>et</w:t>
      </w:r>
      <w:r w:rsidRPr="002C4077">
        <w:t xml:space="preserve"> </w:t>
      </w:r>
      <w:r>
        <w:t>moi,</w:t>
      </w:r>
      <w:r w:rsidRPr="002C4077">
        <w:t xml:space="preserve"> </w:t>
      </w:r>
      <w:r>
        <w:t>du</w:t>
      </w:r>
      <w:r w:rsidRPr="002C4077">
        <w:t xml:space="preserve"> </w:t>
      </w:r>
      <w:r>
        <w:t>côté</w:t>
      </w:r>
      <w:r w:rsidRPr="002C4077">
        <w:t xml:space="preserve"> </w:t>
      </w:r>
      <w:r>
        <w:t>de</w:t>
      </w:r>
      <w:r w:rsidRPr="002C4077">
        <w:t xml:space="preserve"> </w:t>
      </w:r>
      <w:r>
        <w:t>la</w:t>
      </w:r>
      <w:r w:rsidRPr="002C4077">
        <w:t xml:space="preserve"> </w:t>
      </w:r>
      <w:r>
        <w:t>grille</w:t>
      </w:r>
      <w:r w:rsidRPr="002C4077">
        <w:t xml:space="preserve"> </w:t>
      </w:r>
      <w:r>
        <w:t>qui</w:t>
      </w:r>
      <w:r w:rsidRPr="002C4077">
        <w:t xml:space="preserve"> </w:t>
      </w:r>
      <w:r>
        <w:t>donne</w:t>
      </w:r>
      <w:r w:rsidRPr="002C4077">
        <w:t xml:space="preserve"> </w:t>
      </w:r>
      <w:r>
        <w:t>sur</w:t>
      </w:r>
      <w:r w:rsidRPr="002C4077">
        <w:t xml:space="preserve"> </w:t>
      </w:r>
      <w:r>
        <w:t>la</w:t>
      </w:r>
      <w:r w:rsidRPr="002C4077">
        <w:t xml:space="preserve"> </w:t>
      </w:r>
      <w:r>
        <w:t>rue.</w:t>
      </w:r>
      <w:r w:rsidRPr="002C4077">
        <w:t xml:space="preserve"> </w:t>
      </w:r>
      <w:r>
        <w:t>Ce</w:t>
      </w:r>
      <w:r w:rsidRPr="002C4077">
        <w:t xml:space="preserve"> </w:t>
      </w:r>
      <w:r>
        <w:t>moment</w:t>
      </w:r>
      <w:r w:rsidRPr="002C4077">
        <w:t xml:space="preserve"> </w:t>
      </w:r>
      <w:r>
        <w:t>avait</w:t>
      </w:r>
      <w:r w:rsidRPr="002C4077">
        <w:t xml:space="preserve"> </w:t>
      </w:r>
      <w:r>
        <w:t>été</w:t>
      </w:r>
      <w:r w:rsidRPr="002C4077">
        <w:t xml:space="preserve"> </w:t>
      </w:r>
      <w:r>
        <w:t>attendu</w:t>
      </w:r>
      <w:r w:rsidRPr="002C4077">
        <w:t xml:space="preserve"> </w:t>
      </w:r>
      <w:r>
        <w:t>par</w:t>
      </w:r>
      <w:r w:rsidRPr="002C4077">
        <w:t xml:space="preserve"> </w:t>
      </w:r>
      <w:r>
        <w:t>la</w:t>
      </w:r>
      <w:r w:rsidRPr="002C4077">
        <w:t xml:space="preserve"> </w:t>
      </w:r>
      <w:r>
        <w:t>concierge,</w:t>
      </w:r>
      <w:r w:rsidRPr="002C4077">
        <w:t xml:space="preserve"> </w:t>
      </w:r>
      <w:r>
        <w:t>car,</w:t>
      </w:r>
      <w:r w:rsidRPr="002C4077">
        <w:t xml:space="preserve"> </w:t>
      </w:r>
      <w:r>
        <w:t>à</w:t>
      </w:r>
      <w:r w:rsidRPr="002C4077">
        <w:t xml:space="preserve"> </w:t>
      </w:r>
      <w:r>
        <w:t>peine</w:t>
      </w:r>
      <w:r w:rsidRPr="002C4077">
        <w:t xml:space="preserve"> </w:t>
      </w:r>
      <w:r>
        <w:t>passions-nous</w:t>
      </w:r>
      <w:r w:rsidRPr="002C4077">
        <w:t xml:space="preserve"> </w:t>
      </w:r>
      <w:r>
        <w:t>devant</w:t>
      </w:r>
      <w:r w:rsidRPr="002C4077">
        <w:t xml:space="preserve"> </w:t>
      </w:r>
      <w:r>
        <w:t>sa</w:t>
      </w:r>
      <w:r w:rsidRPr="002C4077">
        <w:t xml:space="preserve"> </w:t>
      </w:r>
      <w:r>
        <w:t>porte,</w:t>
      </w:r>
      <w:r w:rsidRPr="002C4077">
        <w:t xml:space="preserve"> </w:t>
      </w:r>
      <w:r>
        <w:t>qu’elle</w:t>
      </w:r>
      <w:r w:rsidRPr="002C4077">
        <w:t xml:space="preserve"> </w:t>
      </w:r>
      <w:r>
        <w:t>vint</w:t>
      </w:r>
      <w:r w:rsidRPr="002C4077">
        <w:t xml:space="preserve"> </w:t>
      </w:r>
      <w:r>
        <w:t>à</w:t>
      </w:r>
      <w:r w:rsidRPr="002C4077">
        <w:t xml:space="preserve"> </w:t>
      </w:r>
      <w:r>
        <w:t>nous</w:t>
      </w:r>
      <w:r w:rsidRPr="002C4077">
        <w:t xml:space="preserve"> </w:t>
      </w:r>
      <w:r>
        <w:t>et</w:t>
      </w:r>
      <w:r w:rsidRPr="002C4077">
        <w:t xml:space="preserve"> </w:t>
      </w:r>
      <w:r>
        <w:t>nous</w:t>
      </w:r>
      <w:r w:rsidRPr="002C4077">
        <w:t xml:space="preserve"> </w:t>
      </w:r>
      <w:r>
        <w:t>dit</w:t>
      </w:r>
      <w:r w:rsidRPr="002C4077">
        <w:t xml:space="preserve"> </w:t>
      </w:r>
      <w:r>
        <w:t>de</w:t>
      </w:r>
      <w:r w:rsidRPr="002C4077">
        <w:t xml:space="preserve"> </w:t>
      </w:r>
      <w:r>
        <w:t>la</w:t>
      </w:r>
      <w:r w:rsidRPr="002C4077">
        <w:t xml:space="preserve"> </w:t>
      </w:r>
      <w:r>
        <w:t>façon</w:t>
      </w:r>
      <w:r w:rsidRPr="002C4077">
        <w:t xml:space="preserve"> </w:t>
      </w:r>
      <w:r>
        <w:t>la</w:t>
      </w:r>
      <w:r w:rsidRPr="002C4077">
        <w:t xml:space="preserve"> </w:t>
      </w:r>
      <w:r>
        <w:t>plus</w:t>
      </w:r>
      <w:r w:rsidRPr="002C4077">
        <w:t xml:space="preserve"> </w:t>
      </w:r>
      <w:r>
        <w:t>polie</w:t>
      </w:r>
      <w:r w:rsidR="00B546AF">
        <w:t> :</w:t>
      </w:r>
      <w:r w:rsidRPr="002C4077">
        <w:t xml:space="preserve"> </w:t>
      </w:r>
      <w:r w:rsidR="00B546AF">
        <w:t>« </w:t>
      </w:r>
      <w:r>
        <w:t>Ces</w:t>
      </w:r>
      <w:r w:rsidRPr="002C4077">
        <w:t xml:space="preserve"> </w:t>
      </w:r>
      <w:r>
        <w:t>messieurs</w:t>
      </w:r>
      <w:r w:rsidRPr="002C4077">
        <w:t xml:space="preserve"> </w:t>
      </w:r>
      <w:r>
        <w:t>pourront</w:t>
      </w:r>
      <w:r w:rsidRPr="002C4077">
        <w:t xml:space="preserve"> </w:t>
      </w:r>
      <w:r>
        <w:t>visiter</w:t>
      </w:r>
      <w:r w:rsidRPr="002C4077">
        <w:t xml:space="preserve"> </w:t>
      </w:r>
      <w:r>
        <w:t>le</w:t>
      </w:r>
      <w:r w:rsidRPr="002C4077">
        <w:t xml:space="preserve"> </w:t>
      </w:r>
      <w:r>
        <w:t>cimetière</w:t>
      </w:r>
      <w:r w:rsidRPr="002C4077">
        <w:t xml:space="preserve"> </w:t>
      </w:r>
      <w:r>
        <w:t>aussi</w:t>
      </w:r>
      <w:r w:rsidRPr="002C4077">
        <w:t xml:space="preserve"> </w:t>
      </w:r>
      <w:r>
        <w:t>souvent</w:t>
      </w:r>
      <w:r w:rsidRPr="002C4077">
        <w:t xml:space="preserve"> </w:t>
      </w:r>
      <w:r>
        <w:t>qu’il</w:t>
      </w:r>
      <w:r w:rsidRPr="002C4077">
        <w:t xml:space="preserve"> </w:t>
      </w:r>
      <w:r>
        <w:t>leur</w:t>
      </w:r>
      <w:r w:rsidRPr="002C4077">
        <w:t xml:space="preserve"> </w:t>
      </w:r>
      <w:r>
        <w:t>plaira</w:t>
      </w:r>
      <w:r w:rsidR="00B546AF">
        <w:t> ;</w:t>
      </w:r>
      <w:r w:rsidRPr="002C4077">
        <w:t xml:space="preserve"> </w:t>
      </w:r>
      <w:r>
        <w:t>mais,</w:t>
      </w:r>
      <w:r w:rsidRPr="002C4077">
        <w:t xml:space="preserve"> </w:t>
      </w:r>
      <w:r>
        <w:t>s’ils</w:t>
      </w:r>
      <w:r w:rsidRPr="002C4077">
        <w:t xml:space="preserve"> </w:t>
      </w:r>
      <w:r>
        <w:t>le</w:t>
      </w:r>
      <w:r w:rsidRPr="002C4077">
        <w:t xml:space="preserve"> </w:t>
      </w:r>
      <w:r>
        <w:t>veulent</w:t>
      </w:r>
      <w:r w:rsidRPr="002C4077">
        <w:t xml:space="preserve"> </w:t>
      </w:r>
      <w:r>
        <w:t>bien,</w:t>
      </w:r>
      <w:r w:rsidRPr="002C4077">
        <w:t xml:space="preserve"> </w:t>
      </w:r>
      <w:r>
        <w:t>pas</w:t>
      </w:r>
      <w:r w:rsidRPr="002C4077">
        <w:t xml:space="preserve"> </w:t>
      </w:r>
      <w:r>
        <w:t>le</w:t>
      </w:r>
      <w:r w:rsidRPr="002C4077">
        <w:t xml:space="preserve"> </w:t>
      </w:r>
      <w:r>
        <w:t>samedi</w:t>
      </w:r>
      <w:r w:rsidR="00B546AF">
        <w:t> ! »</w:t>
      </w:r>
      <w:r w:rsidRPr="002C4077">
        <w:t xml:space="preserve"> </w:t>
      </w:r>
    </w:p>
    <w:p w:rsidR="000A7AAB" w:rsidRPr="005E2129" w:rsidRDefault="000A7AAB" w:rsidP="000A7AAB">
      <w:r>
        <w:t>Je</w:t>
      </w:r>
      <w:r w:rsidRPr="002C4077">
        <w:t xml:space="preserve"> </w:t>
      </w:r>
      <w:r>
        <w:t>répondis</w:t>
      </w:r>
      <w:r w:rsidRPr="002C4077">
        <w:t xml:space="preserve"> </w:t>
      </w:r>
      <w:r>
        <w:t>que</w:t>
      </w:r>
      <w:r w:rsidRPr="002C4077">
        <w:t xml:space="preserve"> </w:t>
      </w:r>
      <w:r>
        <w:t>nous</w:t>
      </w:r>
      <w:r w:rsidRPr="002C4077">
        <w:t xml:space="preserve"> </w:t>
      </w:r>
      <w:r>
        <w:t>nous</w:t>
      </w:r>
      <w:r w:rsidRPr="002C4077">
        <w:t xml:space="preserve"> </w:t>
      </w:r>
      <w:r>
        <w:t>proposions</w:t>
      </w:r>
      <w:r w:rsidRPr="002C4077">
        <w:t xml:space="preserve"> </w:t>
      </w:r>
      <w:r>
        <w:t>en</w:t>
      </w:r>
      <w:r w:rsidRPr="002C4077">
        <w:t xml:space="preserve"> </w:t>
      </w:r>
      <w:r>
        <w:t>effet</w:t>
      </w:r>
      <w:r w:rsidRPr="002C4077">
        <w:t xml:space="preserve"> </w:t>
      </w:r>
      <w:r>
        <w:t>de</w:t>
      </w:r>
      <w:r w:rsidRPr="002C4077">
        <w:t xml:space="preserve"> </w:t>
      </w:r>
      <w:r>
        <w:t>revenir</w:t>
      </w:r>
      <w:r w:rsidRPr="002C4077">
        <w:t xml:space="preserve"> </w:t>
      </w:r>
      <w:r>
        <w:t>prochainement,</w:t>
      </w:r>
      <w:r w:rsidRPr="002C4077">
        <w:t xml:space="preserve"> </w:t>
      </w:r>
      <w:r>
        <w:t>et</w:t>
      </w:r>
      <w:r w:rsidRPr="002C4077">
        <w:t xml:space="preserve"> </w:t>
      </w:r>
      <w:r>
        <w:t>qu’il</w:t>
      </w:r>
      <w:r w:rsidRPr="002C4077">
        <w:t xml:space="preserve"> </w:t>
      </w:r>
      <w:r>
        <w:t>nous</w:t>
      </w:r>
      <w:r w:rsidRPr="002C4077">
        <w:t xml:space="preserve"> </w:t>
      </w:r>
      <w:r>
        <w:t>serait</w:t>
      </w:r>
      <w:r w:rsidRPr="002C4077">
        <w:t xml:space="preserve"> </w:t>
      </w:r>
      <w:r>
        <w:t>aisé</w:t>
      </w:r>
      <w:r w:rsidRPr="002C4077">
        <w:t xml:space="preserve"> </w:t>
      </w:r>
      <w:r>
        <w:t>de</w:t>
      </w:r>
      <w:r w:rsidRPr="002C4077">
        <w:t xml:space="preserve"> </w:t>
      </w:r>
      <w:r>
        <w:t>choisir</w:t>
      </w:r>
      <w:r w:rsidRPr="002C4077">
        <w:t xml:space="preserve"> </w:t>
      </w:r>
      <w:r>
        <w:t>un</w:t>
      </w:r>
      <w:r w:rsidRPr="002C4077">
        <w:t xml:space="preserve"> </w:t>
      </w:r>
      <w:r>
        <w:t>autre</w:t>
      </w:r>
      <w:r w:rsidRPr="002C4077">
        <w:t xml:space="preserve"> </w:t>
      </w:r>
      <w:r>
        <w:t>jour</w:t>
      </w:r>
      <w:r w:rsidRPr="002C4077">
        <w:t xml:space="preserve"> </w:t>
      </w:r>
      <w:r>
        <w:t>que</w:t>
      </w:r>
      <w:r w:rsidRPr="002C4077">
        <w:t xml:space="preserve"> </w:t>
      </w:r>
      <w:r>
        <w:t>le</w:t>
      </w:r>
      <w:r w:rsidRPr="002C4077">
        <w:t xml:space="preserve"> </w:t>
      </w:r>
      <w:r>
        <w:t>samedi.</w:t>
      </w:r>
      <w:r w:rsidR="00C45B47">
        <w:t xml:space="preserve"> {</w:t>
      </w:r>
      <w:r w:rsidR="005E2129">
        <w:t>310</w:t>
      </w:r>
      <w:bookmarkStart w:id="754" w:name="p310"/>
      <w:bookmarkEnd w:id="754"/>
      <w:r w:rsidR="005E2129">
        <w:t xml:space="preserve">} </w:t>
      </w:r>
      <w:r>
        <w:t>J’avais</w:t>
      </w:r>
      <w:r w:rsidRPr="002C4077">
        <w:t xml:space="preserve"> </w:t>
      </w:r>
      <w:r>
        <w:t>encore</w:t>
      </w:r>
      <w:r w:rsidRPr="002C4077">
        <w:t xml:space="preserve"> </w:t>
      </w:r>
      <w:r>
        <w:t>mon</w:t>
      </w:r>
      <w:r w:rsidRPr="002C4077">
        <w:t xml:space="preserve"> </w:t>
      </w:r>
      <w:r>
        <w:t>portefeuille</w:t>
      </w:r>
      <w:r w:rsidRPr="002C4077">
        <w:t xml:space="preserve"> </w:t>
      </w:r>
      <w:r>
        <w:t>à</w:t>
      </w:r>
      <w:r w:rsidRPr="002C4077">
        <w:t xml:space="preserve"> </w:t>
      </w:r>
      <w:r>
        <w:t>la</w:t>
      </w:r>
      <w:r w:rsidRPr="002C4077">
        <w:t xml:space="preserve"> </w:t>
      </w:r>
      <w:r>
        <w:t>main</w:t>
      </w:r>
      <w:r w:rsidR="00B546AF">
        <w:t> ;</w:t>
      </w:r>
      <w:r w:rsidRPr="002C4077">
        <w:t xml:space="preserve"> </w:t>
      </w:r>
      <w:r>
        <w:t>quelques</w:t>
      </w:r>
      <w:r w:rsidRPr="002C4077">
        <w:t xml:space="preserve"> </w:t>
      </w:r>
      <w:r>
        <w:t>pages</w:t>
      </w:r>
      <w:r w:rsidRPr="002C4077">
        <w:t xml:space="preserve"> </w:t>
      </w:r>
      <w:r>
        <w:t>chamarrées</w:t>
      </w:r>
      <w:r w:rsidRPr="002C4077">
        <w:t xml:space="preserve"> </w:t>
      </w:r>
      <w:r>
        <w:t>d’hébreu</w:t>
      </w:r>
      <w:r w:rsidRPr="002C4077">
        <w:t xml:space="preserve"> </w:t>
      </w:r>
      <w:r>
        <w:t>s’en</w:t>
      </w:r>
      <w:r w:rsidRPr="002C4077">
        <w:t xml:space="preserve"> </w:t>
      </w:r>
      <w:r>
        <w:t>échappèrent</w:t>
      </w:r>
      <w:r w:rsidR="00B546AF">
        <w:t> :</w:t>
      </w:r>
      <w:r w:rsidRPr="002C4077">
        <w:t xml:space="preserve"> </w:t>
      </w:r>
      <w:r>
        <w:t>c’étaient</w:t>
      </w:r>
      <w:r w:rsidRPr="002C4077">
        <w:t xml:space="preserve"> </w:t>
      </w:r>
      <w:r>
        <w:t>la</w:t>
      </w:r>
      <w:r w:rsidRPr="002C4077">
        <w:t xml:space="preserve"> </w:t>
      </w:r>
      <w:r>
        <w:t>plupart</w:t>
      </w:r>
      <w:r w:rsidRPr="002C4077">
        <w:t xml:space="preserve"> </w:t>
      </w:r>
      <w:r>
        <w:t>des</w:t>
      </w:r>
      <w:r w:rsidRPr="002C4077">
        <w:t xml:space="preserve"> </w:t>
      </w:r>
      <w:r>
        <w:t>inscriptions</w:t>
      </w:r>
      <w:r w:rsidRPr="002C4077">
        <w:t xml:space="preserve"> </w:t>
      </w:r>
      <w:r>
        <w:t>que</w:t>
      </w:r>
      <w:r w:rsidRPr="002C4077">
        <w:t xml:space="preserve"> </w:t>
      </w:r>
      <w:r>
        <w:t>je</w:t>
      </w:r>
      <w:r w:rsidRPr="002C4077">
        <w:t xml:space="preserve"> </w:t>
      </w:r>
      <w:r>
        <w:t>venais</w:t>
      </w:r>
      <w:r w:rsidRPr="002C4077">
        <w:t xml:space="preserve"> </w:t>
      </w:r>
      <w:r>
        <w:t>de</w:t>
      </w:r>
      <w:r w:rsidRPr="002C4077">
        <w:t xml:space="preserve"> </w:t>
      </w:r>
      <w:r>
        <w:t>recueillir.</w:t>
      </w:r>
      <w:r w:rsidRPr="002C4077">
        <w:t xml:space="preserve"> </w:t>
      </w:r>
      <w:r w:rsidR="00B546AF">
        <w:t>« </w:t>
      </w:r>
      <w:r>
        <w:t>Ces</w:t>
      </w:r>
      <w:r w:rsidRPr="002C4077">
        <w:t xml:space="preserve"> </w:t>
      </w:r>
      <w:r>
        <w:t>messieurs</w:t>
      </w:r>
      <w:r w:rsidRPr="002C4077">
        <w:t xml:space="preserve"> </w:t>
      </w:r>
      <w:r>
        <w:t>savent</w:t>
      </w:r>
      <w:r w:rsidRPr="002C4077">
        <w:t xml:space="preserve"> </w:t>
      </w:r>
      <w:r>
        <w:t>donc</w:t>
      </w:r>
      <w:r w:rsidRPr="002C4077">
        <w:t xml:space="preserve"> </w:t>
      </w:r>
      <w:r>
        <w:t>l’hébreu</w:t>
      </w:r>
      <w:r w:rsidR="00B546AF">
        <w:t> ? »</w:t>
      </w:r>
      <w:r w:rsidRPr="002C4077">
        <w:t xml:space="preserve"> </w:t>
      </w:r>
      <w:r>
        <w:t>s’écria</w:t>
      </w:r>
      <w:r w:rsidRPr="002C4077">
        <w:t xml:space="preserve"> </w:t>
      </w:r>
      <w:r>
        <w:t>notre</w:t>
      </w:r>
      <w:r w:rsidRPr="002C4077">
        <w:t xml:space="preserve"> </w:t>
      </w:r>
      <w:r>
        <w:t>interlocutrice,</w:t>
      </w:r>
      <w:r w:rsidRPr="002C4077">
        <w:t xml:space="preserve"> </w:t>
      </w:r>
      <w:r>
        <w:t>visiblement</w:t>
      </w:r>
      <w:r w:rsidRPr="002C4077">
        <w:t xml:space="preserve"> </w:t>
      </w:r>
      <w:r>
        <w:t>soulagée</w:t>
      </w:r>
      <w:r w:rsidRPr="002C4077">
        <w:t xml:space="preserve"> </w:t>
      </w:r>
      <w:r>
        <w:t>en</w:t>
      </w:r>
      <w:r w:rsidRPr="002C4077">
        <w:t xml:space="preserve"> </w:t>
      </w:r>
      <w:r>
        <w:t>voyant</w:t>
      </w:r>
      <w:r w:rsidRPr="002C4077">
        <w:t xml:space="preserve"> </w:t>
      </w:r>
      <w:r>
        <w:t>que</w:t>
      </w:r>
      <w:r w:rsidRPr="002C4077">
        <w:t xml:space="preserve"> </w:t>
      </w:r>
      <w:r>
        <w:t>nous</w:t>
      </w:r>
      <w:r w:rsidRPr="002C4077">
        <w:t xml:space="preserve"> </w:t>
      </w:r>
      <w:r>
        <w:t>nous</w:t>
      </w:r>
      <w:r w:rsidRPr="002C4077">
        <w:t xml:space="preserve"> </w:t>
      </w:r>
      <w:r>
        <w:t>rattachions</w:t>
      </w:r>
      <w:r w:rsidRPr="002C4077">
        <w:t xml:space="preserve"> </w:t>
      </w:r>
      <w:r>
        <w:t>au</w:t>
      </w:r>
      <w:r w:rsidRPr="002C4077">
        <w:t xml:space="preserve"> </w:t>
      </w:r>
      <w:r>
        <w:t>judaïsme</w:t>
      </w:r>
      <w:r w:rsidRPr="002C4077">
        <w:t xml:space="preserve"> </w:t>
      </w:r>
      <w:r>
        <w:t>par</w:t>
      </w:r>
      <w:r w:rsidRPr="002C4077">
        <w:t xml:space="preserve"> </w:t>
      </w:r>
      <w:r>
        <w:t>quelque</w:t>
      </w:r>
      <w:r w:rsidRPr="002C4077">
        <w:t xml:space="preserve"> </w:t>
      </w:r>
      <w:r>
        <w:t>endroit.</w:t>
      </w:r>
      <w:r w:rsidRPr="002C4077">
        <w:t xml:space="preserve"> </w:t>
      </w:r>
      <w:r>
        <w:t>Sur</w:t>
      </w:r>
      <w:r w:rsidRPr="002C4077">
        <w:t xml:space="preserve"> </w:t>
      </w:r>
      <w:r>
        <w:t>ma</w:t>
      </w:r>
      <w:r w:rsidRPr="002C4077">
        <w:t xml:space="preserve"> </w:t>
      </w:r>
      <w:r>
        <w:t>réponse</w:t>
      </w:r>
      <w:r w:rsidRPr="002C4077">
        <w:t xml:space="preserve"> </w:t>
      </w:r>
      <w:r>
        <w:t>affirmative,</w:t>
      </w:r>
      <w:r w:rsidRPr="002C4077">
        <w:t xml:space="preserve"> </w:t>
      </w:r>
      <w:r>
        <w:t>elle</w:t>
      </w:r>
      <w:r w:rsidRPr="002C4077">
        <w:t xml:space="preserve"> </w:t>
      </w:r>
      <w:r>
        <w:t>reprit</w:t>
      </w:r>
      <w:r w:rsidRPr="002C4077">
        <w:t xml:space="preserve"> </w:t>
      </w:r>
      <w:r>
        <w:t>avec</w:t>
      </w:r>
      <w:r w:rsidRPr="002C4077">
        <w:t xml:space="preserve"> </w:t>
      </w:r>
      <w:r>
        <w:t>un</w:t>
      </w:r>
      <w:r w:rsidRPr="002C4077">
        <w:t xml:space="preserve"> </w:t>
      </w:r>
      <w:r>
        <w:t>redoublement</w:t>
      </w:r>
      <w:r w:rsidRPr="002C4077">
        <w:t xml:space="preserve"> </w:t>
      </w:r>
      <w:r>
        <w:t>de</w:t>
      </w:r>
      <w:r w:rsidRPr="002C4077">
        <w:t xml:space="preserve"> </w:t>
      </w:r>
      <w:r>
        <w:t>politesse</w:t>
      </w:r>
      <w:r w:rsidR="00B546AF">
        <w:t> :</w:t>
      </w:r>
      <w:r w:rsidRPr="002C4077">
        <w:t xml:space="preserve"> </w:t>
      </w:r>
      <w:r w:rsidR="00B546AF">
        <w:t>« </w:t>
      </w:r>
      <w:r>
        <w:t>C’est</w:t>
      </w:r>
      <w:r w:rsidRPr="002C4077">
        <w:t xml:space="preserve"> </w:t>
      </w:r>
      <w:r>
        <w:t>avec</w:t>
      </w:r>
      <w:r w:rsidRPr="002C4077">
        <w:t xml:space="preserve"> </w:t>
      </w:r>
      <w:r>
        <w:t>joie</w:t>
      </w:r>
      <w:r w:rsidRPr="002C4077">
        <w:t xml:space="preserve"> </w:t>
      </w:r>
      <w:r>
        <w:t>que</w:t>
      </w:r>
      <w:r w:rsidRPr="002C4077">
        <w:t xml:space="preserve"> </w:t>
      </w:r>
      <w:r>
        <w:t>je</w:t>
      </w:r>
      <w:r w:rsidRPr="002C4077">
        <w:t xml:space="preserve"> </w:t>
      </w:r>
      <w:r>
        <w:t>vous</w:t>
      </w:r>
      <w:r w:rsidRPr="002C4077">
        <w:t xml:space="preserve"> </w:t>
      </w:r>
      <w:r>
        <w:t>verrai</w:t>
      </w:r>
      <w:r w:rsidRPr="002C4077">
        <w:t xml:space="preserve"> </w:t>
      </w:r>
      <w:r>
        <w:t>venir</w:t>
      </w:r>
      <w:r w:rsidRPr="002C4077">
        <w:t xml:space="preserve"> </w:t>
      </w:r>
      <w:r>
        <w:t>une</w:t>
      </w:r>
      <w:r w:rsidRPr="002C4077">
        <w:t xml:space="preserve"> </w:t>
      </w:r>
      <w:r>
        <w:t>autre</w:t>
      </w:r>
      <w:r w:rsidRPr="002C4077">
        <w:t xml:space="preserve"> </w:t>
      </w:r>
      <w:r>
        <w:t>fois</w:t>
      </w:r>
      <w:r w:rsidRPr="002C4077">
        <w:t xml:space="preserve"> </w:t>
      </w:r>
      <w:r>
        <w:t>au</w:t>
      </w:r>
      <w:r w:rsidRPr="002C4077">
        <w:t xml:space="preserve"> </w:t>
      </w:r>
      <w:r>
        <w:t>cimetière</w:t>
      </w:r>
      <w:r w:rsidR="00B546AF">
        <w:t> ;</w:t>
      </w:r>
      <w:r w:rsidRPr="002C4077">
        <w:t xml:space="preserve"> </w:t>
      </w:r>
      <w:r>
        <w:t>mais,</w:t>
      </w:r>
      <w:r w:rsidRPr="002C4077">
        <w:t xml:space="preserve"> </w:t>
      </w:r>
      <w:r>
        <w:t>s’il</w:t>
      </w:r>
      <w:r w:rsidRPr="002C4077">
        <w:t xml:space="preserve"> </w:t>
      </w:r>
      <w:r>
        <w:t>vous</w:t>
      </w:r>
      <w:r w:rsidRPr="002C4077">
        <w:t xml:space="preserve"> </w:t>
      </w:r>
      <w:r>
        <w:t>plaît,</w:t>
      </w:r>
      <w:r w:rsidRPr="002C4077">
        <w:t xml:space="preserve"> </w:t>
      </w:r>
      <w:r>
        <w:t>messieurs,</w:t>
      </w:r>
      <w:r w:rsidRPr="002C4077">
        <w:t xml:space="preserve"> </w:t>
      </w:r>
      <w:r>
        <w:t>pas</w:t>
      </w:r>
      <w:r w:rsidRPr="002C4077">
        <w:t xml:space="preserve"> </w:t>
      </w:r>
      <w:r>
        <w:t>le</w:t>
      </w:r>
      <w:r w:rsidRPr="002C4077">
        <w:t xml:space="preserve"> </w:t>
      </w:r>
      <w:r>
        <w:t>samedi</w:t>
      </w:r>
      <w:r w:rsidR="00B546AF">
        <w:t> ! »</w:t>
      </w:r>
      <w:r w:rsidRPr="002C4077">
        <w:t xml:space="preserve"> </w:t>
      </w:r>
      <w:r>
        <w:t>Nous</w:t>
      </w:r>
      <w:r w:rsidRPr="002C4077">
        <w:t xml:space="preserve"> </w:t>
      </w:r>
      <w:r>
        <w:t>revînmes</w:t>
      </w:r>
      <w:r w:rsidRPr="002C4077">
        <w:t xml:space="preserve"> </w:t>
      </w:r>
      <w:r>
        <w:t>plus</w:t>
      </w:r>
      <w:r w:rsidRPr="002C4077">
        <w:t xml:space="preserve"> </w:t>
      </w:r>
      <w:r>
        <w:t>tard,</w:t>
      </w:r>
      <w:r w:rsidRPr="002C4077">
        <w:t xml:space="preserve"> </w:t>
      </w:r>
      <w:r>
        <w:t>mais</w:t>
      </w:r>
      <w:r w:rsidRPr="002C4077">
        <w:t xml:space="preserve"> </w:t>
      </w:r>
      <w:r>
        <w:t>pas</w:t>
      </w:r>
      <w:r w:rsidRPr="002C4077">
        <w:t xml:space="preserve"> </w:t>
      </w:r>
      <w:r>
        <w:t>le</w:t>
      </w:r>
      <w:r w:rsidRPr="002C4077">
        <w:t xml:space="preserve"> </w:t>
      </w:r>
      <w:r>
        <w:t>samedi.</w:t>
      </w:r>
      <w:r w:rsidR="00C45B47">
        <w:t xml:space="preserve"> {</w:t>
      </w:r>
      <w:r w:rsidR="005E2129">
        <w:t>311</w:t>
      </w:r>
      <w:bookmarkStart w:id="755" w:name="p311"/>
      <w:bookmarkEnd w:id="755"/>
      <w:r w:rsidR="005E2129">
        <w:t xml:space="preserve">} </w:t>
      </w:r>
    </w:p>
    <w:p w:rsidR="000A7AAB" w:rsidRDefault="000A7AAB" w:rsidP="00D67FA8">
      <w:pPr>
        <w:pStyle w:val="Titre1"/>
      </w:pPr>
      <w:bookmarkStart w:id="756" w:name="_Toc43882023"/>
      <w:r>
        <w:t>XI.</w:t>
      </w:r>
      <w:r w:rsidR="002A6EDB">
        <w:br/>
      </w:r>
      <w:r>
        <w:t>JUDAS</w:t>
      </w:r>
      <w:r w:rsidRPr="002C4077">
        <w:t xml:space="preserve"> </w:t>
      </w:r>
      <w:r>
        <w:t>ASSISTAIT-IL</w:t>
      </w:r>
      <w:r w:rsidRPr="002C4077">
        <w:t xml:space="preserve"> </w:t>
      </w:r>
      <w:r>
        <w:t>À</w:t>
      </w:r>
      <w:r w:rsidRPr="002C4077">
        <w:t xml:space="preserve"> </w:t>
      </w:r>
      <w:r>
        <w:t>L’INSTITUTION</w:t>
      </w:r>
      <w:r w:rsidRPr="002C4077">
        <w:t xml:space="preserve"> </w:t>
      </w:r>
      <w:r>
        <w:t>DE</w:t>
      </w:r>
      <w:r w:rsidRPr="002C4077">
        <w:t xml:space="preserve"> </w:t>
      </w:r>
      <w:r>
        <w:t>LA</w:t>
      </w:r>
      <w:r w:rsidRPr="002C4077">
        <w:t xml:space="preserve"> </w:t>
      </w:r>
      <w:r>
        <w:t>SAINTE</w:t>
      </w:r>
      <w:r w:rsidRPr="002C4077">
        <w:t xml:space="preserve"> </w:t>
      </w:r>
      <w:r>
        <w:t>EUCHARISTIE</w:t>
      </w:r>
      <w:r w:rsidR="00B546AF">
        <w:t> ?</w:t>
      </w:r>
      <w:bookmarkStart w:id="757" w:name="a11"/>
      <w:bookmarkEnd w:id="756"/>
      <w:bookmarkEnd w:id="757"/>
      <w:r w:rsidRPr="002C4077">
        <w:t xml:space="preserve"> </w:t>
      </w:r>
    </w:p>
    <w:p w:rsidR="000A7AAB" w:rsidRDefault="000A7AAB" w:rsidP="000A7AAB">
      <w:r>
        <w:t>La</w:t>
      </w:r>
      <w:bookmarkStart w:id="758" w:name="z_Eucharistie_o1"/>
      <w:bookmarkEnd w:id="758"/>
      <w:r w:rsidRPr="002C4077">
        <w:t xml:space="preserve"> </w:t>
      </w:r>
      <w:r>
        <w:t>plupart</w:t>
      </w:r>
      <w:bookmarkStart w:id="759" w:name="z_JudasEtEucharistie_o1"/>
      <w:bookmarkEnd w:id="759"/>
      <w:r w:rsidRPr="002C4077">
        <w:t xml:space="preserve"> </w:t>
      </w:r>
      <w:r>
        <w:t>des</w:t>
      </w:r>
      <w:r w:rsidRPr="002C4077">
        <w:t xml:space="preserve"> </w:t>
      </w:r>
      <w:r>
        <w:t>Pères</w:t>
      </w:r>
      <w:r w:rsidRPr="002C4077">
        <w:t xml:space="preserve"> </w:t>
      </w:r>
      <w:r>
        <w:t>ont</w:t>
      </w:r>
      <w:r w:rsidRPr="002C4077">
        <w:t xml:space="preserve"> </w:t>
      </w:r>
      <w:r>
        <w:t>admis</w:t>
      </w:r>
      <w:r w:rsidRPr="002C4077">
        <w:t xml:space="preserve"> </w:t>
      </w:r>
      <w:r>
        <w:t>que</w:t>
      </w:r>
      <w:r w:rsidRPr="002C4077">
        <w:t xml:space="preserve"> </w:t>
      </w:r>
      <w:r>
        <w:t>Judas</w:t>
      </w:r>
      <w:r w:rsidRPr="002C4077">
        <w:t xml:space="preserve"> </w:t>
      </w:r>
      <w:r>
        <w:t>était</w:t>
      </w:r>
      <w:r w:rsidRPr="002C4077">
        <w:t xml:space="preserve"> </w:t>
      </w:r>
      <w:r>
        <w:t>encore</w:t>
      </w:r>
      <w:r w:rsidRPr="002C4077">
        <w:t xml:space="preserve"> </w:t>
      </w:r>
      <w:r>
        <w:t>dans</w:t>
      </w:r>
      <w:r w:rsidRPr="002C4077">
        <w:t xml:space="preserve"> </w:t>
      </w:r>
      <w:r>
        <w:t>le</w:t>
      </w:r>
      <w:r w:rsidRPr="002C4077">
        <w:t xml:space="preserve"> </w:t>
      </w:r>
      <w:r>
        <w:t>cénacle</w:t>
      </w:r>
      <w:r w:rsidRPr="002C4077">
        <w:t xml:space="preserve"> </w:t>
      </w:r>
      <w:r>
        <w:t>avec</w:t>
      </w:r>
      <w:r w:rsidRPr="002C4077">
        <w:t xml:space="preserve"> </w:t>
      </w:r>
      <w:r>
        <w:t>les</w:t>
      </w:r>
      <w:r w:rsidRPr="002C4077">
        <w:t xml:space="preserve"> </w:t>
      </w:r>
      <w:r>
        <w:t>autres</w:t>
      </w:r>
      <w:r w:rsidRPr="002C4077">
        <w:t xml:space="preserve"> </w:t>
      </w:r>
      <w:r>
        <w:t>apôtres,</w:t>
      </w:r>
      <w:r w:rsidRPr="002C4077">
        <w:t xml:space="preserve"> </w:t>
      </w:r>
      <w:r>
        <w:t>lorsque</w:t>
      </w:r>
      <w:r w:rsidRPr="002C4077">
        <w:t xml:space="preserve"> </w:t>
      </w:r>
      <w:r w:rsidR="00425C50">
        <w:t>Jésus</w:t>
      </w:r>
      <w:r w:rsidRPr="002C4077">
        <w:t xml:space="preserve"> </w:t>
      </w:r>
      <w:r>
        <w:t>i</w:t>
      </w:r>
      <w:r w:rsidR="003B53FD">
        <w:t>nstitua</w:t>
      </w:r>
      <w:r w:rsidRPr="002C4077">
        <w:t xml:space="preserve"> </w:t>
      </w:r>
      <w:r>
        <w:t>la</w:t>
      </w:r>
      <w:r w:rsidRPr="002C4077">
        <w:t xml:space="preserve"> </w:t>
      </w:r>
      <w:r>
        <w:t>sainte</w:t>
      </w:r>
      <w:r w:rsidRPr="002C4077">
        <w:t xml:space="preserve"> </w:t>
      </w:r>
      <w:r>
        <w:t>Eucharistie</w:t>
      </w:r>
      <w:r w:rsidR="00B91AF7">
        <w:rPr>
          <w:rStyle w:val="Appelnotedebasdep"/>
        </w:rPr>
        <w:footnoteReference w:id="917"/>
      </w:r>
      <w:r>
        <w:t>.</w:t>
      </w:r>
      <w:r w:rsidRPr="002C4077">
        <w:t xml:space="preserve"> </w:t>
      </w:r>
      <w:r>
        <w:t>D’après</w:t>
      </w:r>
      <w:r w:rsidRPr="002C4077">
        <w:t xml:space="preserve"> </w:t>
      </w:r>
      <w:r>
        <w:t>ce</w:t>
      </w:r>
      <w:r w:rsidRPr="002C4077">
        <w:t xml:space="preserve"> </w:t>
      </w:r>
      <w:r>
        <w:t>sentiment</w:t>
      </w:r>
      <w:r w:rsidRPr="002C4077">
        <w:t xml:space="preserve"> </w:t>
      </w:r>
      <w:r>
        <w:t>il</w:t>
      </w:r>
      <w:r w:rsidRPr="002C4077">
        <w:t xml:space="preserve"> </w:t>
      </w:r>
      <w:r>
        <w:t>aurait</w:t>
      </w:r>
      <w:r w:rsidRPr="002C4077">
        <w:t xml:space="preserve"> </w:t>
      </w:r>
      <w:r>
        <w:t>donc</w:t>
      </w:r>
      <w:r w:rsidRPr="002C4077">
        <w:t xml:space="preserve"> </w:t>
      </w:r>
      <w:r>
        <w:t>reçu,</w:t>
      </w:r>
      <w:r w:rsidRPr="002C4077">
        <w:t xml:space="preserve"> </w:t>
      </w:r>
      <w:r>
        <w:t>lui</w:t>
      </w:r>
      <w:r w:rsidRPr="002C4077">
        <w:t xml:space="preserve"> </w:t>
      </w:r>
      <w:r>
        <w:t>aussi,</w:t>
      </w:r>
      <w:r w:rsidRPr="002C4077">
        <w:t xml:space="preserve"> </w:t>
      </w:r>
      <w:r>
        <w:t>des</w:t>
      </w:r>
      <w:r w:rsidRPr="002C4077">
        <w:t xml:space="preserve"> </w:t>
      </w:r>
      <w:r>
        <w:t>mains</w:t>
      </w:r>
      <w:r w:rsidRPr="002C4077">
        <w:t xml:space="preserve"> </w:t>
      </w:r>
      <w:r>
        <w:t>du</w:t>
      </w:r>
      <w:r w:rsidRPr="002C4077">
        <w:t xml:space="preserve"> </w:t>
      </w:r>
      <w:r>
        <w:t>Sauveur,</w:t>
      </w:r>
      <w:r w:rsidRPr="002C4077">
        <w:t xml:space="preserve"> </w:t>
      </w:r>
      <w:r>
        <w:t>le</w:t>
      </w:r>
      <w:r w:rsidRPr="002C4077">
        <w:t xml:space="preserve"> </w:t>
      </w:r>
      <w:r>
        <w:t>pain</w:t>
      </w:r>
      <w:r w:rsidRPr="002C4077">
        <w:t xml:space="preserve"> </w:t>
      </w:r>
      <w:r>
        <w:t>et</w:t>
      </w:r>
      <w:r w:rsidRPr="002C4077">
        <w:t xml:space="preserve"> </w:t>
      </w:r>
      <w:r>
        <w:t>le</w:t>
      </w:r>
      <w:r w:rsidRPr="002C4077">
        <w:t xml:space="preserve"> </w:t>
      </w:r>
      <w:r>
        <w:t>vin</w:t>
      </w:r>
      <w:r w:rsidRPr="002C4077">
        <w:t xml:space="preserve"> </w:t>
      </w:r>
      <w:r>
        <w:t>consacrés.</w:t>
      </w:r>
      <w:r w:rsidRPr="002C4077">
        <w:t xml:space="preserve"> </w:t>
      </w:r>
      <w:r>
        <w:t>Par</w:t>
      </w:r>
      <w:r w:rsidRPr="002C4077">
        <w:t xml:space="preserve"> </w:t>
      </w:r>
      <w:r>
        <w:t>conséquent,</w:t>
      </w:r>
      <w:r w:rsidRPr="002C4077">
        <w:t xml:space="preserve"> </w:t>
      </w:r>
      <w:r>
        <w:t>sa</w:t>
      </w:r>
      <w:r w:rsidRPr="002C4077">
        <w:t xml:space="preserve"> </w:t>
      </w:r>
      <w:r>
        <w:t>communion</w:t>
      </w:r>
      <w:r w:rsidRPr="002C4077">
        <w:t xml:space="preserve"> </w:t>
      </w:r>
      <w:r>
        <w:t>aurait</w:t>
      </w:r>
      <w:r w:rsidRPr="002C4077">
        <w:t xml:space="preserve"> </w:t>
      </w:r>
      <w:r>
        <w:t>été</w:t>
      </w:r>
      <w:r w:rsidRPr="002C4077">
        <w:t xml:space="preserve"> </w:t>
      </w:r>
      <w:r>
        <w:t>sacrilège,</w:t>
      </w:r>
      <w:r w:rsidRPr="002C4077">
        <w:t xml:space="preserve"> </w:t>
      </w:r>
      <w:r>
        <w:t>et</w:t>
      </w:r>
      <w:r w:rsidRPr="002C4077">
        <w:t xml:space="preserve"> </w:t>
      </w:r>
      <w:r>
        <w:t>il</w:t>
      </w:r>
      <w:r w:rsidRPr="002C4077">
        <w:t xml:space="preserve"> </w:t>
      </w:r>
      <w:r>
        <w:t>aurait</w:t>
      </w:r>
      <w:r w:rsidRPr="002C4077">
        <w:t xml:space="preserve"> </w:t>
      </w:r>
      <w:r>
        <w:t>ainsi</w:t>
      </w:r>
      <w:r w:rsidRPr="002C4077">
        <w:t xml:space="preserve"> </w:t>
      </w:r>
      <w:r>
        <w:t>doublement</w:t>
      </w:r>
      <w:r w:rsidRPr="002C4077">
        <w:t xml:space="preserve"> </w:t>
      </w:r>
      <w:r>
        <w:t>trahi</w:t>
      </w:r>
      <w:r w:rsidRPr="002C4077">
        <w:t xml:space="preserve"> </w:t>
      </w:r>
      <w:r>
        <w:t>son</w:t>
      </w:r>
      <w:r w:rsidRPr="002C4077">
        <w:t xml:space="preserve"> </w:t>
      </w:r>
      <w:r>
        <w:t>Maître</w:t>
      </w:r>
      <w:r w:rsidR="00B546AF">
        <w:t> :</w:t>
      </w:r>
      <w:r w:rsidRPr="002C4077">
        <w:t xml:space="preserve"> </w:t>
      </w:r>
      <w:r>
        <w:t>en</w:t>
      </w:r>
      <w:r w:rsidRPr="002C4077">
        <w:t xml:space="preserve"> </w:t>
      </w:r>
      <w:r>
        <w:t>le</w:t>
      </w:r>
      <w:r w:rsidRPr="002C4077">
        <w:t xml:space="preserve"> </w:t>
      </w:r>
      <w:r>
        <w:t>livrant</w:t>
      </w:r>
      <w:r w:rsidRPr="002C4077">
        <w:t xml:space="preserve"> </w:t>
      </w:r>
      <w:r>
        <w:t>à</w:t>
      </w:r>
      <w:r w:rsidRPr="002C4077">
        <w:t xml:space="preserve"> </w:t>
      </w:r>
      <w:r>
        <w:t>Satan</w:t>
      </w:r>
      <w:r w:rsidRPr="002C4077">
        <w:t xml:space="preserve"> </w:t>
      </w:r>
      <w:r>
        <w:t>dans</w:t>
      </w:r>
      <w:r w:rsidRPr="002C4077">
        <w:t xml:space="preserve"> </w:t>
      </w:r>
      <w:r>
        <w:t>son</w:t>
      </w:r>
      <w:r w:rsidRPr="002C4077">
        <w:t xml:space="preserve"> </w:t>
      </w:r>
      <w:r>
        <w:t>cœur,</w:t>
      </w:r>
      <w:r w:rsidRPr="002C4077">
        <w:t xml:space="preserve"> </w:t>
      </w:r>
      <w:r>
        <w:t>puis</w:t>
      </w:r>
      <w:r w:rsidRPr="002C4077">
        <w:t xml:space="preserve"> </w:t>
      </w:r>
      <w:r>
        <w:t>aux</w:t>
      </w:r>
      <w:r w:rsidRPr="002C4077">
        <w:t xml:space="preserve"> </w:t>
      </w:r>
      <w:r>
        <w:t>Juifs</w:t>
      </w:r>
      <w:r w:rsidRPr="002C4077">
        <w:t xml:space="preserve"> </w:t>
      </w:r>
      <w:r>
        <w:t>dans</w:t>
      </w:r>
      <w:r w:rsidRPr="002C4077">
        <w:t xml:space="preserve"> </w:t>
      </w:r>
      <w:r>
        <w:t>le</w:t>
      </w:r>
      <w:r w:rsidRPr="002C4077">
        <w:t xml:space="preserve"> </w:t>
      </w:r>
      <w:r>
        <w:t>jardin</w:t>
      </w:r>
      <w:r w:rsidRPr="002C4077">
        <w:t xml:space="preserve"> </w:t>
      </w:r>
      <w:r>
        <w:t>de</w:t>
      </w:r>
      <w:r w:rsidRPr="002C4077">
        <w:t xml:space="preserve"> </w:t>
      </w:r>
      <w:r>
        <w:t>Gethsémani.</w:t>
      </w:r>
      <w:r w:rsidRPr="002C4077">
        <w:t xml:space="preserve"> </w:t>
      </w:r>
    </w:p>
    <w:p w:rsidR="000A7AAB" w:rsidRPr="005E2129" w:rsidRDefault="000A7AAB" w:rsidP="000A7AAB">
      <w:r>
        <w:t>Les</w:t>
      </w:r>
      <w:r w:rsidRPr="002C4077">
        <w:t xml:space="preserve"> </w:t>
      </w:r>
      <w:r>
        <w:t>théologiens</w:t>
      </w:r>
      <w:r w:rsidRPr="002C4077">
        <w:t xml:space="preserve"> </w:t>
      </w:r>
      <w:r>
        <w:t>et</w:t>
      </w:r>
      <w:r w:rsidRPr="002C4077">
        <w:t xml:space="preserve"> </w:t>
      </w:r>
      <w:r>
        <w:t>les</w:t>
      </w:r>
      <w:r w:rsidRPr="002C4077">
        <w:t xml:space="preserve"> </w:t>
      </w:r>
      <w:r>
        <w:t>exégètes</w:t>
      </w:r>
      <w:r w:rsidRPr="002C4077">
        <w:t xml:space="preserve"> </w:t>
      </w:r>
      <w:r>
        <w:t>venus</w:t>
      </w:r>
      <w:r w:rsidRPr="002C4077">
        <w:t xml:space="preserve"> </w:t>
      </w:r>
      <w:r>
        <w:t>plus</w:t>
      </w:r>
      <w:r w:rsidRPr="002C4077">
        <w:t xml:space="preserve"> </w:t>
      </w:r>
      <w:r>
        <w:t>tard</w:t>
      </w:r>
      <w:r w:rsidRPr="002C4077">
        <w:t xml:space="preserve"> </w:t>
      </w:r>
      <w:r>
        <w:t>ont</w:t>
      </w:r>
      <w:r w:rsidRPr="002C4077">
        <w:t xml:space="preserve"> </w:t>
      </w:r>
      <w:r>
        <w:t>communément</w:t>
      </w:r>
      <w:r w:rsidRPr="002C4077">
        <w:t xml:space="preserve"> </w:t>
      </w:r>
      <w:r>
        <w:t>suivi</w:t>
      </w:r>
      <w:r w:rsidRPr="002C4077">
        <w:t xml:space="preserve"> </w:t>
      </w:r>
      <w:r>
        <w:t>sur</w:t>
      </w:r>
      <w:r w:rsidRPr="002C4077">
        <w:t xml:space="preserve"> </w:t>
      </w:r>
      <w:r>
        <w:t>ce</w:t>
      </w:r>
      <w:r w:rsidRPr="002C4077">
        <w:t xml:space="preserve"> </w:t>
      </w:r>
      <w:r>
        <w:t>point</w:t>
      </w:r>
      <w:r w:rsidRPr="002C4077">
        <w:t xml:space="preserve"> </w:t>
      </w:r>
      <w:r>
        <w:t>la</w:t>
      </w:r>
      <w:r w:rsidRPr="002C4077">
        <w:t xml:space="preserve"> </w:t>
      </w:r>
      <w:r>
        <w:t>doctrine</w:t>
      </w:r>
      <w:r w:rsidRPr="002C4077">
        <w:t xml:space="preserve"> </w:t>
      </w:r>
      <w:r>
        <w:t>des</w:t>
      </w:r>
      <w:r w:rsidRPr="002C4077">
        <w:t xml:space="preserve"> </w:t>
      </w:r>
      <w:r>
        <w:t>Pères.</w:t>
      </w:r>
      <w:r w:rsidRPr="002C4077">
        <w:t xml:space="preserve"> </w:t>
      </w:r>
      <w:r>
        <w:t>Mais,</w:t>
      </w:r>
      <w:r w:rsidRPr="002C4077">
        <w:t xml:space="preserve"> </w:t>
      </w:r>
      <w:r>
        <w:t>de</w:t>
      </w:r>
      <w:r w:rsidRPr="002C4077">
        <w:t xml:space="preserve"> </w:t>
      </w:r>
      <w:r>
        <w:t>nos</w:t>
      </w:r>
      <w:r w:rsidRPr="002C4077">
        <w:t xml:space="preserve"> </w:t>
      </w:r>
      <w:r>
        <w:t>jours,</w:t>
      </w:r>
      <w:r w:rsidRPr="002C4077">
        <w:t xml:space="preserve"> </w:t>
      </w:r>
      <w:r>
        <w:t>l’opinion</w:t>
      </w:r>
      <w:r w:rsidRPr="002C4077">
        <w:t xml:space="preserve"> </w:t>
      </w:r>
      <w:r>
        <w:t>contraire</w:t>
      </w:r>
      <w:r w:rsidRPr="002C4077">
        <w:t xml:space="preserve"> </w:t>
      </w:r>
      <w:r>
        <w:t>a</w:t>
      </w:r>
      <w:r w:rsidRPr="002C4077">
        <w:t xml:space="preserve"> </w:t>
      </w:r>
      <w:r>
        <w:t>prévalu</w:t>
      </w:r>
      <w:r w:rsidRPr="002C4077">
        <w:t xml:space="preserve"> </w:t>
      </w:r>
      <w:r>
        <w:t>et</w:t>
      </w:r>
      <w:r w:rsidRPr="002C4077">
        <w:t xml:space="preserve"> </w:t>
      </w:r>
      <w:r>
        <w:t>les</w:t>
      </w:r>
      <w:r w:rsidRPr="002C4077">
        <w:t xml:space="preserve"> </w:t>
      </w:r>
      <w:r>
        <w:t>commentateurs</w:t>
      </w:r>
      <w:r w:rsidRPr="002C4077">
        <w:t xml:space="preserve"> </w:t>
      </w:r>
      <w:r>
        <w:t>l’ont</w:t>
      </w:r>
      <w:r w:rsidRPr="002C4077">
        <w:t xml:space="preserve"> </w:t>
      </w:r>
      <w:r>
        <w:t>presque</w:t>
      </w:r>
      <w:r w:rsidRPr="002C4077">
        <w:t xml:space="preserve"> </w:t>
      </w:r>
      <w:r>
        <w:t>généralement</w:t>
      </w:r>
      <w:r w:rsidRPr="002C4077">
        <w:t xml:space="preserve"> </w:t>
      </w:r>
      <w:r>
        <w:t>adoptée</w:t>
      </w:r>
      <w:r w:rsidRPr="002C4077">
        <w:t xml:space="preserve"> </w:t>
      </w:r>
      <w:r>
        <w:t>comme</w:t>
      </w:r>
      <w:r w:rsidRPr="002C4077">
        <w:t xml:space="preserve"> </w:t>
      </w:r>
      <w:r>
        <w:t>plus</w:t>
      </w:r>
      <w:r w:rsidRPr="002C4077">
        <w:t xml:space="preserve"> </w:t>
      </w:r>
      <w:r>
        <w:t>rationnelle,</w:t>
      </w:r>
      <w:r w:rsidRPr="002C4077">
        <w:t xml:space="preserve"> </w:t>
      </w:r>
      <w:r>
        <w:t>plus</w:t>
      </w:r>
      <w:r w:rsidRPr="002C4077">
        <w:t xml:space="preserve"> </w:t>
      </w:r>
      <w:r>
        <w:t>conforme</w:t>
      </w:r>
      <w:r w:rsidRPr="002C4077">
        <w:t xml:space="preserve"> </w:t>
      </w:r>
      <w:r>
        <w:t>au</w:t>
      </w:r>
      <w:r w:rsidRPr="002C4077">
        <w:t xml:space="preserve"> </w:t>
      </w:r>
      <w:r>
        <w:t>texte</w:t>
      </w:r>
      <w:r w:rsidRPr="002C4077">
        <w:t xml:space="preserve"> </w:t>
      </w:r>
      <w:r>
        <w:t>et</w:t>
      </w:r>
      <w:r w:rsidRPr="002C4077">
        <w:t xml:space="preserve"> </w:t>
      </w:r>
      <w:r>
        <w:t>à</w:t>
      </w:r>
      <w:r w:rsidRPr="002C4077">
        <w:t xml:space="preserve"> </w:t>
      </w:r>
      <w:r>
        <w:t>sa</w:t>
      </w:r>
      <w:r w:rsidRPr="002C4077">
        <w:t xml:space="preserve"> </w:t>
      </w:r>
      <w:r>
        <w:t>véritable</w:t>
      </w:r>
      <w:r w:rsidRPr="002C4077">
        <w:t xml:space="preserve"> </w:t>
      </w:r>
      <w:r>
        <w:t>interprétation</w:t>
      </w:r>
      <w:r w:rsidR="00B91AF7">
        <w:rPr>
          <w:rStyle w:val="Appelnotedebasdep"/>
        </w:rPr>
        <w:footnoteReference w:id="918"/>
      </w:r>
      <w:r>
        <w:t>.</w:t>
      </w:r>
      <w:r w:rsidR="00C45B47">
        <w:t xml:space="preserve"> {</w:t>
      </w:r>
      <w:r w:rsidR="005E2129">
        <w:t>312</w:t>
      </w:r>
      <w:bookmarkStart w:id="760" w:name="p312"/>
      <w:bookmarkEnd w:id="760"/>
      <w:r w:rsidR="005E2129">
        <w:t xml:space="preserve">} </w:t>
      </w:r>
    </w:p>
    <w:p w:rsidR="000A7AAB" w:rsidRDefault="000A7AAB" w:rsidP="000A7AAB">
      <w:r>
        <w:lastRenderedPageBreak/>
        <w:t>Essayons</w:t>
      </w:r>
      <w:bookmarkStart w:id="761" w:name="z_EvangilesJudas_o1"/>
      <w:bookmarkEnd w:id="761"/>
      <w:r w:rsidRPr="002C4077">
        <w:t xml:space="preserve"> </w:t>
      </w:r>
      <w:r>
        <w:t>de</w:t>
      </w:r>
      <w:r w:rsidRPr="002C4077">
        <w:t xml:space="preserve"> </w:t>
      </w:r>
      <w:r>
        <w:t>prouver</w:t>
      </w:r>
      <w:r w:rsidRPr="002C4077">
        <w:t xml:space="preserve"> </w:t>
      </w:r>
      <w:r>
        <w:t>que</w:t>
      </w:r>
      <w:r w:rsidRPr="002C4077">
        <w:t xml:space="preserve"> </w:t>
      </w:r>
      <w:r>
        <w:t>Judas</w:t>
      </w:r>
      <w:r w:rsidRPr="002C4077">
        <w:t xml:space="preserve"> </w:t>
      </w:r>
      <w:r>
        <w:t>était</w:t>
      </w:r>
      <w:r w:rsidRPr="002C4077">
        <w:t xml:space="preserve"> </w:t>
      </w:r>
      <w:r>
        <w:t>déjà</w:t>
      </w:r>
      <w:r w:rsidRPr="002C4077">
        <w:t xml:space="preserve"> </w:t>
      </w:r>
      <w:r>
        <w:t>sorti</w:t>
      </w:r>
      <w:r w:rsidRPr="002C4077">
        <w:t xml:space="preserve"> </w:t>
      </w:r>
      <w:r>
        <w:t>pour</w:t>
      </w:r>
      <w:r w:rsidRPr="002C4077">
        <w:t xml:space="preserve"> </w:t>
      </w:r>
      <w:r>
        <w:t>accomplir</w:t>
      </w:r>
      <w:r w:rsidRPr="002C4077">
        <w:t xml:space="preserve"> </w:t>
      </w:r>
      <w:r>
        <w:t>sa</w:t>
      </w:r>
      <w:r w:rsidRPr="002C4077">
        <w:t xml:space="preserve"> </w:t>
      </w:r>
      <w:r>
        <w:t>trahison,</w:t>
      </w:r>
      <w:r w:rsidRPr="002C4077">
        <w:t xml:space="preserve"> </w:t>
      </w:r>
      <w:r>
        <w:t>quand</w:t>
      </w:r>
      <w:r w:rsidRPr="002C4077">
        <w:t xml:space="preserve"> </w:t>
      </w:r>
      <w:r>
        <w:t>Notre</w:t>
      </w:r>
      <w:r w:rsidRPr="002C4077">
        <w:t xml:space="preserve"> </w:t>
      </w:r>
      <w:r>
        <w:t>Seigneur</w:t>
      </w:r>
      <w:r w:rsidRPr="002C4077">
        <w:t xml:space="preserve"> </w:t>
      </w:r>
      <w:r>
        <w:t>dis</w:t>
      </w:r>
      <w:r w:rsidR="003B53FD">
        <w:t>tribua</w:t>
      </w:r>
      <w:r w:rsidRPr="002C4077">
        <w:t xml:space="preserve"> </w:t>
      </w:r>
      <w:r>
        <w:t>aux</w:t>
      </w:r>
      <w:r w:rsidRPr="002C4077">
        <w:t xml:space="preserve"> </w:t>
      </w:r>
      <w:r>
        <w:t>apôtres</w:t>
      </w:r>
      <w:r w:rsidRPr="002C4077">
        <w:t xml:space="preserve"> </w:t>
      </w:r>
      <w:r>
        <w:t>son</w:t>
      </w:r>
      <w:r w:rsidRPr="002C4077">
        <w:t xml:space="preserve"> </w:t>
      </w:r>
      <w:r>
        <w:t>corps</w:t>
      </w:r>
      <w:r w:rsidRPr="002C4077">
        <w:t xml:space="preserve"> </w:t>
      </w:r>
      <w:r>
        <w:t>et</w:t>
      </w:r>
      <w:r w:rsidRPr="002C4077">
        <w:t xml:space="preserve"> </w:t>
      </w:r>
      <w:r>
        <w:t>son</w:t>
      </w:r>
      <w:r w:rsidRPr="002C4077">
        <w:t xml:space="preserve"> </w:t>
      </w:r>
      <w:r>
        <w:t>sang</w:t>
      </w:r>
      <w:r w:rsidRPr="002C4077">
        <w:t xml:space="preserve"> </w:t>
      </w:r>
      <w:r>
        <w:t>sous</w:t>
      </w:r>
      <w:r w:rsidRPr="002C4077">
        <w:t xml:space="preserve"> </w:t>
      </w:r>
      <w:r>
        <w:t>les</w:t>
      </w:r>
      <w:r w:rsidRPr="002C4077">
        <w:t xml:space="preserve"> </w:t>
      </w:r>
      <w:r>
        <w:t>espèces</w:t>
      </w:r>
      <w:r w:rsidRPr="002C4077">
        <w:t xml:space="preserve"> </w:t>
      </w:r>
      <w:r>
        <w:t>sacrées,</w:t>
      </w:r>
      <w:r w:rsidRPr="002C4077">
        <w:t xml:space="preserve"> </w:t>
      </w:r>
      <w:r>
        <w:t>et</w:t>
      </w:r>
      <w:r w:rsidRPr="002C4077">
        <w:t xml:space="preserve"> </w:t>
      </w:r>
      <w:r>
        <w:t>quand</w:t>
      </w:r>
      <w:r w:rsidRPr="002C4077">
        <w:t xml:space="preserve"> </w:t>
      </w:r>
      <w:r>
        <w:t>il</w:t>
      </w:r>
      <w:r w:rsidRPr="002C4077">
        <w:t xml:space="preserve"> </w:t>
      </w:r>
      <w:r>
        <w:t>les</w:t>
      </w:r>
      <w:r w:rsidRPr="002C4077">
        <w:t xml:space="preserve"> </w:t>
      </w:r>
      <w:r>
        <w:t>i</w:t>
      </w:r>
      <w:r w:rsidR="003B53FD">
        <w:t>nstitua</w:t>
      </w:r>
      <w:r w:rsidRPr="002C4077">
        <w:t xml:space="preserve"> </w:t>
      </w:r>
      <w:r w:rsidR="00425C50">
        <w:t>prêtre</w:t>
      </w:r>
      <w:r>
        <w:t>s</w:t>
      </w:r>
      <w:r w:rsidRPr="002C4077">
        <w:t xml:space="preserve"> </w:t>
      </w:r>
      <w:r>
        <w:t>de</w:t>
      </w:r>
      <w:r w:rsidRPr="002C4077">
        <w:t xml:space="preserve"> </w:t>
      </w:r>
      <w:r>
        <w:t>la</w:t>
      </w:r>
      <w:r w:rsidRPr="002C4077">
        <w:t xml:space="preserve"> </w:t>
      </w:r>
      <w:r>
        <w:t>nouvelle</w:t>
      </w:r>
      <w:r w:rsidRPr="002C4077">
        <w:t xml:space="preserve"> </w:t>
      </w:r>
      <w:r>
        <w:t>Alliance</w:t>
      </w:r>
      <w:r w:rsidRPr="002C4077">
        <w:t xml:space="preserve"> </w:t>
      </w:r>
      <w:r>
        <w:t>par</w:t>
      </w:r>
      <w:r w:rsidRPr="002C4077">
        <w:t xml:space="preserve"> </w:t>
      </w:r>
      <w:r>
        <w:t>ces</w:t>
      </w:r>
      <w:r w:rsidRPr="002C4077">
        <w:t xml:space="preserve"> </w:t>
      </w:r>
      <w:r>
        <w:t>paroles</w:t>
      </w:r>
      <w:r w:rsidRPr="002C4077">
        <w:t xml:space="preserve"> </w:t>
      </w:r>
      <w:r>
        <w:t>mémorables</w:t>
      </w:r>
      <w:r w:rsidR="00B546AF">
        <w:t> :</w:t>
      </w:r>
      <w:r w:rsidRPr="002C4077">
        <w:t xml:space="preserve"> </w:t>
      </w:r>
      <w:r w:rsidR="00B546AF">
        <w:t>« </w:t>
      </w:r>
      <w:r>
        <w:t>Faites</w:t>
      </w:r>
      <w:r w:rsidRPr="002C4077">
        <w:t xml:space="preserve"> </w:t>
      </w:r>
      <w:r>
        <w:t>ceci</w:t>
      </w:r>
      <w:r w:rsidRPr="002C4077">
        <w:t xml:space="preserve"> </w:t>
      </w:r>
      <w:r>
        <w:t>en</w:t>
      </w:r>
      <w:r w:rsidRPr="002C4077">
        <w:t xml:space="preserve"> </w:t>
      </w:r>
      <w:r>
        <w:t>mémoire</w:t>
      </w:r>
      <w:r w:rsidRPr="002C4077">
        <w:t xml:space="preserve"> </w:t>
      </w:r>
      <w:r>
        <w:t>de</w:t>
      </w:r>
      <w:r w:rsidRPr="002C4077">
        <w:t xml:space="preserve"> </w:t>
      </w:r>
      <w:r>
        <w:t>moi</w:t>
      </w:r>
      <w:r w:rsidR="00B546AF">
        <w:t> »</w:t>
      </w:r>
      <w:r>
        <w:t>.</w:t>
      </w:r>
      <w:r w:rsidRPr="002C4077">
        <w:t xml:space="preserve"> </w:t>
      </w:r>
    </w:p>
    <w:p w:rsidR="005539D9" w:rsidRDefault="005539D9" w:rsidP="000A7AAB"/>
    <w:p w:rsidR="000A7AAB" w:rsidRDefault="000A7AAB" w:rsidP="000A7AAB">
      <w:r>
        <w:t>On</w:t>
      </w:r>
      <w:r w:rsidRPr="002C4077">
        <w:t xml:space="preserve"> </w:t>
      </w:r>
      <w:r>
        <w:t>le</w:t>
      </w:r>
      <w:r w:rsidRPr="002C4077">
        <w:t xml:space="preserve"> </w:t>
      </w:r>
      <w:r>
        <w:t>comprend,</w:t>
      </w:r>
      <w:r w:rsidRPr="002C4077">
        <w:t xml:space="preserve"> </w:t>
      </w:r>
      <w:r>
        <w:t>il</w:t>
      </w:r>
      <w:r w:rsidRPr="002C4077">
        <w:t xml:space="preserve"> </w:t>
      </w:r>
      <w:r>
        <w:t>faut</w:t>
      </w:r>
      <w:r w:rsidRPr="002C4077">
        <w:t xml:space="preserve"> </w:t>
      </w:r>
      <w:r>
        <w:t>que</w:t>
      </w:r>
      <w:r w:rsidRPr="002C4077">
        <w:t xml:space="preserve"> </w:t>
      </w:r>
      <w:r>
        <w:t>le</w:t>
      </w:r>
      <w:r w:rsidRPr="002C4077">
        <w:t xml:space="preserve"> </w:t>
      </w:r>
      <w:r>
        <w:t>texte</w:t>
      </w:r>
      <w:r w:rsidRPr="002C4077">
        <w:t xml:space="preserve"> </w:t>
      </w:r>
      <w:r>
        <w:t>évangélique</w:t>
      </w:r>
      <w:r w:rsidRPr="002C4077">
        <w:t xml:space="preserve"> </w:t>
      </w:r>
      <w:r>
        <w:t>présente</w:t>
      </w:r>
      <w:r w:rsidRPr="002C4077">
        <w:t xml:space="preserve"> </w:t>
      </w:r>
      <w:r>
        <w:t>une</w:t>
      </w:r>
      <w:r w:rsidRPr="002C4077">
        <w:t xml:space="preserve"> </w:t>
      </w:r>
      <w:r>
        <w:t>certaine</w:t>
      </w:r>
      <w:r w:rsidRPr="002C4077">
        <w:t xml:space="preserve"> </w:t>
      </w:r>
      <w:r>
        <w:t>obscurité</w:t>
      </w:r>
      <w:r w:rsidRPr="002C4077">
        <w:t xml:space="preserve"> </w:t>
      </w:r>
      <w:r>
        <w:t>sur</w:t>
      </w:r>
      <w:r w:rsidRPr="002C4077">
        <w:t xml:space="preserve"> </w:t>
      </w:r>
      <w:r>
        <w:t>cette</w:t>
      </w:r>
      <w:r w:rsidRPr="002C4077">
        <w:t xml:space="preserve"> </w:t>
      </w:r>
      <w:r>
        <w:t>question,</w:t>
      </w:r>
      <w:r w:rsidRPr="002C4077">
        <w:t xml:space="preserve"> </w:t>
      </w:r>
      <w:r>
        <w:t>puisqu’il</w:t>
      </w:r>
      <w:r w:rsidRPr="002C4077">
        <w:t xml:space="preserve"> </w:t>
      </w:r>
      <w:r>
        <w:t>a</w:t>
      </w:r>
      <w:r w:rsidRPr="002C4077">
        <w:t xml:space="preserve"> </w:t>
      </w:r>
      <w:r>
        <w:t>donné</w:t>
      </w:r>
      <w:r w:rsidRPr="002C4077">
        <w:t xml:space="preserve"> </w:t>
      </w:r>
      <w:r>
        <w:t>lieu</w:t>
      </w:r>
      <w:r w:rsidRPr="002C4077">
        <w:t xml:space="preserve"> </w:t>
      </w:r>
      <w:r>
        <w:t>à</w:t>
      </w:r>
      <w:r w:rsidRPr="002C4077">
        <w:t xml:space="preserve"> </w:t>
      </w:r>
      <w:r>
        <w:t>une</w:t>
      </w:r>
      <w:r w:rsidRPr="002C4077">
        <w:t xml:space="preserve"> </w:t>
      </w:r>
      <w:r>
        <w:t>telle</w:t>
      </w:r>
      <w:r w:rsidRPr="002C4077">
        <w:t xml:space="preserve"> </w:t>
      </w:r>
      <w:r>
        <w:t>dissidence.</w:t>
      </w:r>
      <w:r w:rsidRPr="002C4077">
        <w:t xml:space="preserve"> </w:t>
      </w:r>
      <w:r>
        <w:t>Toutefois,</w:t>
      </w:r>
      <w:r w:rsidRPr="002C4077">
        <w:t xml:space="preserve"> </w:t>
      </w:r>
      <w:r>
        <w:t>un</w:t>
      </w:r>
      <w:r w:rsidRPr="002C4077">
        <w:t xml:space="preserve"> </w:t>
      </w:r>
      <w:r>
        <w:t>examen</w:t>
      </w:r>
      <w:r w:rsidRPr="002C4077">
        <w:t xml:space="preserve"> </w:t>
      </w:r>
      <w:r>
        <w:t>sérieux</w:t>
      </w:r>
      <w:r w:rsidRPr="002C4077">
        <w:t xml:space="preserve"> </w:t>
      </w:r>
      <w:r>
        <w:t>nous</w:t>
      </w:r>
      <w:r w:rsidRPr="002C4077">
        <w:t xml:space="preserve"> </w:t>
      </w:r>
      <w:r>
        <w:t>montrera</w:t>
      </w:r>
      <w:r w:rsidRPr="002C4077">
        <w:t xml:space="preserve"> </w:t>
      </w:r>
      <w:r>
        <w:t>qu’il</w:t>
      </w:r>
      <w:r w:rsidRPr="002C4077">
        <w:t xml:space="preserve"> </w:t>
      </w:r>
      <w:r>
        <w:t>semble</w:t>
      </w:r>
      <w:r w:rsidRPr="002C4077">
        <w:t xml:space="preserve"> </w:t>
      </w:r>
      <w:r>
        <w:t>parler</w:t>
      </w:r>
      <w:r w:rsidRPr="002C4077">
        <w:t xml:space="preserve"> </w:t>
      </w:r>
      <w:r>
        <w:t>assez</w:t>
      </w:r>
      <w:r w:rsidRPr="002C4077">
        <w:t xml:space="preserve"> </w:t>
      </w:r>
      <w:r>
        <w:t>clairement</w:t>
      </w:r>
      <w:r w:rsidRPr="002C4077">
        <w:t xml:space="preserve"> </w:t>
      </w:r>
      <w:r>
        <w:t>en</w:t>
      </w:r>
      <w:r w:rsidRPr="002C4077">
        <w:t xml:space="preserve"> </w:t>
      </w:r>
      <w:r>
        <w:t>faveur</w:t>
      </w:r>
      <w:r w:rsidRPr="002C4077">
        <w:t xml:space="preserve"> </w:t>
      </w:r>
      <w:r>
        <w:t>de</w:t>
      </w:r>
      <w:r w:rsidRPr="002C4077">
        <w:t xml:space="preserve"> </w:t>
      </w:r>
      <w:r>
        <w:t>notre</w:t>
      </w:r>
      <w:r w:rsidRPr="002C4077">
        <w:t xml:space="preserve"> </w:t>
      </w:r>
      <w:r>
        <w:t>thèse.</w:t>
      </w:r>
      <w:r w:rsidRPr="002C4077">
        <w:t xml:space="preserve"> </w:t>
      </w:r>
    </w:p>
    <w:p w:rsidR="000A7AAB" w:rsidRDefault="000A7AAB" w:rsidP="000A7AAB">
      <w:r>
        <w:t>Résumons</w:t>
      </w:r>
      <w:bookmarkStart w:id="762" w:name="z_JudasEtEucharistie_o2"/>
      <w:bookmarkEnd w:id="762"/>
      <w:r w:rsidRPr="002C4077">
        <w:t xml:space="preserve"> </w:t>
      </w:r>
      <w:r>
        <w:t>brièvement</w:t>
      </w:r>
      <w:r w:rsidRPr="002C4077">
        <w:t xml:space="preserve"> </w:t>
      </w:r>
      <w:r>
        <w:t>l’exposé</w:t>
      </w:r>
      <w:r w:rsidRPr="002C4077">
        <w:t xml:space="preserve"> </w:t>
      </w:r>
      <w:r>
        <w:t>des</w:t>
      </w:r>
      <w:r w:rsidRPr="002C4077">
        <w:t xml:space="preserve"> </w:t>
      </w:r>
      <w:r>
        <w:t>faits</w:t>
      </w:r>
      <w:r w:rsidRPr="002C4077">
        <w:t xml:space="preserve"> </w:t>
      </w:r>
      <w:r>
        <w:t>d’après</w:t>
      </w:r>
      <w:r w:rsidRPr="002C4077">
        <w:t xml:space="preserve"> </w:t>
      </w:r>
      <w:r>
        <w:t>les</w:t>
      </w:r>
      <w:r w:rsidRPr="002C4077">
        <w:t xml:space="preserve"> </w:t>
      </w:r>
      <w:r>
        <w:t>quatre</w:t>
      </w:r>
      <w:r w:rsidRPr="002C4077">
        <w:t xml:space="preserve"> </w:t>
      </w:r>
      <w:r>
        <w:t>évangélistes.</w:t>
      </w:r>
      <w:r w:rsidRPr="002C4077">
        <w:t xml:space="preserve"> </w:t>
      </w:r>
    </w:p>
    <w:p w:rsidR="000A7AAB" w:rsidRPr="005E2129" w:rsidRDefault="000A7AAB" w:rsidP="000A7AAB">
      <w:r>
        <w:t>Saint</w:t>
      </w:r>
      <w:r w:rsidRPr="002C4077">
        <w:t xml:space="preserve"> </w:t>
      </w:r>
      <w:r w:rsidR="00425C50">
        <w:t>Matth</w:t>
      </w:r>
      <w:r>
        <w:t>ieu</w:t>
      </w:r>
      <w:bookmarkStart w:id="763" w:name="z_MatthieuSaint_o3"/>
      <w:bookmarkEnd w:id="763"/>
      <w:r w:rsidRPr="002C4077">
        <w:t xml:space="preserve"> </w:t>
      </w:r>
      <w:r>
        <w:t>et</w:t>
      </w:r>
      <w:r w:rsidRPr="002C4077">
        <w:t xml:space="preserve"> </w:t>
      </w:r>
      <w:r>
        <w:t>saint</w:t>
      </w:r>
      <w:r w:rsidRPr="002C4077">
        <w:t xml:space="preserve"> </w:t>
      </w:r>
      <w:r>
        <w:t>Marc</w:t>
      </w:r>
      <w:bookmarkStart w:id="764" w:name="z_MarcSaint_o2"/>
      <w:bookmarkEnd w:id="764"/>
      <w:r w:rsidRPr="002C4077">
        <w:t xml:space="preserve"> </w:t>
      </w:r>
      <w:r>
        <w:t>sont</w:t>
      </w:r>
      <w:r w:rsidRPr="002C4077">
        <w:t xml:space="preserve"> </w:t>
      </w:r>
      <w:r>
        <w:t>identiques</w:t>
      </w:r>
      <w:r w:rsidRPr="002C4077">
        <w:t xml:space="preserve"> </w:t>
      </w:r>
      <w:r>
        <w:t>pour</w:t>
      </w:r>
      <w:r w:rsidRPr="002C4077">
        <w:t xml:space="preserve"> </w:t>
      </w:r>
      <w:r>
        <w:t>le</w:t>
      </w:r>
      <w:r w:rsidRPr="002C4077">
        <w:t xml:space="preserve"> </w:t>
      </w:r>
      <w:r>
        <w:t>fond.</w:t>
      </w:r>
      <w:r w:rsidRPr="002C4077">
        <w:t xml:space="preserve"> </w:t>
      </w:r>
      <w:r>
        <w:t>D’après</w:t>
      </w:r>
      <w:r w:rsidRPr="002C4077">
        <w:t xml:space="preserve"> </w:t>
      </w:r>
      <w:r>
        <w:t>leur</w:t>
      </w:r>
      <w:r w:rsidRPr="002C4077">
        <w:t xml:space="preserve"> </w:t>
      </w:r>
      <w:r>
        <w:t>récit,</w:t>
      </w:r>
      <w:r w:rsidRPr="002C4077">
        <w:t xml:space="preserve"> </w:t>
      </w:r>
      <w:r>
        <w:t>le</w:t>
      </w:r>
      <w:r w:rsidRPr="002C4077">
        <w:t xml:space="preserve"> </w:t>
      </w:r>
      <w:r>
        <w:t>soir</w:t>
      </w:r>
      <w:r w:rsidRPr="002C4077">
        <w:t xml:space="preserve"> </w:t>
      </w:r>
      <w:r>
        <w:t>étant</w:t>
      </w:r>
      <w:r w:rsidRPr="002C4077">
        <w:t xml:space="preserve"> </w:t>
      </w:r>
      <w:r>
        <w:t>venu,</w:t>
      </w:r>
      <w:r w:rsidRPr="002C4077">
        <w:t xml:space="preserve"> </w:t>
      </w:r>
      <w:r w:rsidR="00425C50">
        <w:t>Jésus</w:t>
      </w:r>
      <w:r w:rsidRPr="002C4077">
        <w:t xml:space="preserve"> </w:t>
      </w:r>
      <w:r>
        <w:t>se</w:t>
      </w:r>
      <w:r w:rsidRPr="002C4077">
        <w:t xml:space="preserve"> </w:t>
      </w:r>
      <w:r>
        <w:t>met</w:t>
      </w:r>
      <w:r w:rsidRPr="002C4077">
        <w:t xml:space="preserve"> </w:t>
      </w:r>
      <w:r>
        <w:t>à</w:t>
      </w:r>
      <w:r w:rsidRPr="002C4077">
        <w:t xml:space="preserve"> </w:t>
      </w:r>
      <w:r>
        <w:t>table</w:t>
      </w:r>
      <w:r w:rsidRPr="002C4077">
        <w:t xml:space="preserve"> </w:t>
      </w:r>
      <w:r>
        <w:t>avec</w:t>
      </w:r>
      <w:r w:rsidRPr="002C4077">
        <w:t xml:space="preserve"> </w:t>
      </w:r>
      <w:r>
        <w:t>les</w:t>
      </w:r>
      <w:r w:rsidRPr="002C4077">
        <w:t xml:space="preserve"> </w:t>
      </w:r>
      <w:r>
        <w:t>Douze,</w:t>
      </w:r>
      <w:r w:rsidRPr="002C4077">
        <w:t xml:space="preserve"> </w:t>
      </w:r>
      <w:r>
        <w:t>et,</w:t>
      </w:r>
      <w:r w:rsidRPr="002C4077">
        <w:t xml:space="preserve"> </w:t>
      </w:r>
      <w:r>
        <w:t>—</w:t>
      </w:r>
      <w:r w:rsidRPr="002C4077">
        <w:t xml:space="preserve"> </w:t>
      </w:r>
      <w:r>
        <w:t>sur</w:t>
      </w:r>
      <w:r w:rsidRPr="002C4077">
        <w:t xml:space="preserve"> </w:t>
      </w:r>
      <w:r>
        <w:t>la</w:t>
      </w:r>
      <w:r w:rsidRPr="002C4077">
        <w:t xml:space="preserve"> </w:t>
      </w:r>
      <w:r>
        <w:t>fin</w:t>
      </w:r>
      <w:r w:rsidRPr="002C4077">
        <w:t xml:space="preserve"> </w:t>
      </w:r>
      <w:r>
        <w:t>du</w:t>
      </w:r>
      <w:r w:rsidRPr="002C4077">
        <w:t xml:space="preserve"> </w:t>
      </w:r>
      <w:r>
        <w:t>repas</w:t>
      </w:r>
      <w:r w:rsidRPr="002C4077">
        <w:t xml:space="preserve"> </w:t>
      </w:r>
      <w:r>
        <w:t>légal</w:t>
      </w:r>
      <w:r w:rsidRPr="002C4077">
        <w:t xml:space="preserve"> </w:t>
      </w:r>
      <w:r>
        <w:t>qui</w:t>
      </w:r>
      <w:r w:rsidRPr="002C4077">
        <w:t xml:space="preserve"> </w:t>
      </w:r>
      <w:r>
        <w:t>précéda</w:t>
      </w:r>
      <w:r w:rsidRPr="002C4077">
        <w:t xml:space="preserve"> </w:t>
      </w:r>
      <w:r>
        <w:t>la</w:t>
      </w:r>
      <w:r w:rsidRPr="002C4077">
        <w:t xml:space="preserve"> </w:t>
      </w:r>
      <w:r>
        <w:t>cène</w:t>
      </w:r>
      <w:r w:rsidRPr="002C4077">
        <w:t xml:space="preserve"> </w:t>
      </w:r>
      <w:r>
        <w:t>eucharistique,</w:t>
      </w:r>
      <w:r w:rsidRPr="002C4077">
        <w:t xml:space="preserve"> </w:t>
      </w:r>
      <w:r>
        <w:t>—</w:t>
      </w:r>
      <w:r w:rsidRPr="002C4077">
        <w:t xml:space="preserve"> </w:t>
      </w:r>
      <w:r>
        <w:t>il</w:t>
      </w:r>
      <w:r w:rsidRPr="002C4077">
        <w:t xml:space="preserve"> </w:t>
      </w:r>
      <w:r>
        <w:t>prédit</w:t>
      </w:r>
      <w:r w:rsidRPr="002C4077">
        <w:t xml:space="preserve"> </w:t>
      </w:r>
      <w:r>
        <w:t>à</w:t>
      </w:r>
      <w:r w:rsidRPr="002C4077">
        <w:t xml:space="preserve"> </w:t>
      </w:r>
      <w:r>
        <w:t>ses</w:t>
      </w:r>
      <w:r w:rsidRPr="002C4077">
        <w:t xml:space="preserve"> </w:t>
      </w:r>
      <w:r>
        <w:t>disciples</w:t>
      </w:r>
      <w:r w:rsidRPr="002C4077">
        <w:t xml:space="preserve"> </w:t>
      </w:r>
      <w:r>
        <w:t>attristés</w:t>
      </w:r>
      <w:r w:rsidRPr="002C4077">
        <w:t xml:space="preserve"> </w:t>
      </w:r>
      <w:r>
        <w:t>que</w:t>
      </w:r>
      <w:r w:rsidRPr="002C4077">
        <w:t xml:space="preserve"> </w:t>
      </w:r>
      <w:r>
        <w:t>l’un</w:t>
      </w:r>
      <w:r w:rsidRPr="002C4077">
        <w:t xml:space="preserve"> </w:t>
      </w:r>
      <w:r>
        <w:t>d’eux</w:t>
      </w:r>
      <w:r w:rsidRPr="002C4077">
        <w:t xml:space="preserve"> </w:t>
      </w:r>
      <w:r>
        <w:t>le</w:t>
      </w:r>
      <w:r w:rsidRPr="002C4077">
        <w:t xml:space="preserve"> </w:t>
      </w:r>
      <w:r>
        <w:t>trahira.</w:t>
      </w:r>
      <w:r w:rsidRPr="002C4077">
        <w:t xml:space="preserve"> </w:t>
      </w:r>
      <w:r>
        <w:t>Judas</w:t>
      </w:r>
      <w:r w:rsidRPr="002C4077">
        <w:t xml:space="preserve"> </w:t>
      </w:r>
      <w:r>
        <w:t>lui</w:t>
      </w:r>
      <w:r w:rsidRPr="002C4077">
        <w:t xml:space="preserve"> </w:t>
      </w:r>
      <w:r>
        <w:t>demande</w:t>
      </w:r>
      <w:r w:rsidRPr="002C4077">
        <w:t xml:space="preserve"> </w:t>
      </w:r>
      <w:r>
        <w:t>comme</w:t>
      </w:r>
      <w:r w:rsidRPr="002C4077">
        <w:t xml:space="preserve"> </w:t>
      </w:r>
      <w:r>
        <w:t>les</w:t>
      </w:r>
      <w:r w:rsidRPr="002C4077">
        <w:t xml:space="preserve"> </w:t>
      </w:r>
      <w:r>
        <w:t>autres</w:t>
      </w:r>
      <w:r w:rsidR="00B546AF">
        <w:t> :</w:t>
      </w:r>
      <w:r w:rsidRPr="002C4077">
        <w:t xml:space="preserve"> </w:t>
      </w:r>
      <w:r w:rsidR="00B546AF">
        <w:t>« </w:t>
      </w:r>
      <w:r>
        <w:t>Est-ce</w:t>
      </w:r>
      <w:r w:rsidRPr="002C4077">
        <w:t xml:space="preserve"> </w:t>
      </w:r>
      <w:r>
        <w:t>moi,</w:t>
      </w:r>
      <w:r w:rsidRPr="002C4077">
        <w:t xml:space="preserve"> </w:t>
      </w:r>
      <w:r>
        <w:t>Seigneur</w:t>
      </w:r>
      <w:r w:rsidR="00B546AF">
        <w:t> ? »</w:t>
      </w:r>
      <w:r w:rsidRPr="002C4077">
        <w:t xml:space="preserve"> </w:t>
      </w:r>
      <w:r>
        <w:t>et</w:t>
      </w:r>
      <w:r w:rsidRPr="002C4077">
        <w:t xml:space="preserve"> </w:t>
      </w:r>
      <w:r>
        <w:t>reçoit</w:t>
      </w:r>
      <w:r w:rsidRPr="002C4077">
        <w:t xml:space="preserve"> </w:t>
      </w:r>
      <w:r>
        <w:t>une</w:t>
      </w:r>
      <w:r w:rsidRPr="002C4077">
        <w:t xml:space="preserve"> </w:t>
      </w:r>
      <w:r>
        <w:t>réponse</w:t>
      </w:r>
      <w:r w:rsidRPr="002C4077">
        <w:t xml:space="preserve"> </w:t>
      </w:r>
      <w:r>
        <w:t>affirmative.</w:t>
      </w:r>
      <w:r w:rsidRPr="002C4077">
        <w:t xml:space="preserve"> </w:t>
      </w:r>
      <w:r>
        <w:t>Le</w:t>
      </w:r>
      <w:r w:rsidRPr="002C4077">
        <w:t xml:space="preserve"> </w:t>
      </w:r>
      <w:r>
        <w:t>divin</w:t>
      </w:r>
      <w:r w:rsidRPr="002C4077">
        <w:t xml:space="preserve"> </w:t>
      </w:r>
      <w:r>
        <w:t>Maître</w:t>
      </w:r>
      <w:r w:rsidRPr="002C4077">
        <w:t xml:space="preserve"> </w:t>
      </w:r>
      <w:r>
        <w:t>consacre</w:t>
      </w:r>
      <w:r w:rsidRPr="002C4077">
        <w:t xml:space="preserve"> </w:t>
      </w:r>
      <w:r>
        <w:t>ensuite</w:t>
      </w:r>
      <w:r w:rsidRPr="002C4077">
        <w:t xml:space="preserve"> </w:t>
      </w:r>
      <w:r>
        <w:t>le</w:t>
      </w:r>
      <w:r w:rsidRPr="002C4077">
        <w:t xml:space="preserve"> </w:t>
      </w:r>
      <w:r>
        <w:t>pain</w:t>
      </w:r>
      <w:r w:rsidRPr="002C4077">
        <w:t xml:space="preserve"> </w:t>
      </w:r>
      <w:r>
        <w:t>et</w:t>
      </w:r>
      <w:r w:rsidRPr="002C4077">
        <w:t xml:space="preserve"> </w:t>
      </w:r>
      <w:r>
        <w:t>le</w:t>
      </w:r>
      <w:r w:rsidRPr="002C4077">
        <w:t xml:space="preserve"> </w:t>
      </w:r>
      <w:r>
        <w:t>vin,</w:t>
      </w:r>
      <w:r w:rsidRPr="002C4077">
        <w:t xml:space="preserve"> </w:t>
      </w:r>
      <w:r>
        <w:t>communie</w:t>
      </w:r>
      <w:r w:rsidRPr="002C4077">
        <w:t xml:space="preserve"> </w:t>
      </w:r>
      <w:r>
        <w:t>les</w:t>
      </w:r>
      <w:r w:rsidRPr="002C4077">
        <w:t xml:space="preserve"> </w:t>
      </w:r>
      <w:r>
        <w:t>assistants,</w:t>
      </w:r>
      <w:r w:rsidRPr="002C4077">
        <w:t xml:space="preserve"> </w:t>
      </w:r>
      <w:r>
        <w:t>et,</w:t>
      </w:r>
      <w:r w:rsidRPr="002C4077">
        <w:t xml:space="preserve"> </w:t>
      </w:r>
      <w:r>
        <w:t>après</w:t>
      </w:r>
      <w:r w:rsidRPr="002C4077">
        <w:t xml:space="preserve"> </w:t>
      </w:r>
      <w:r>
        <w:t>l’action</w:t>
      </w:r>
      <w:r w:rsidRPr="002C4077">
        <w:t xml:space="preserve"> </w:t>
      </w:r>
      <w:r>
        <w:t>de</w:t>
      </w:r>
      <w:r w:rsidRPr="002C4077">
        <w:t xml:space="preserve"> </w:t>
      </w:r>
      <w:r>
        <w:t>grâces,</w:t>
      </w:r>
      <w:r w:rsidRPr="002C4077">
        <w:t xml:space="preserve"> </w:t>
      </w:r>
      <w:r>
        <w:t>se</w:t>
      </w:r>
      <w:r w:rsidRPr="002C4077">
        <w:t xml:space="preserve"> </w:t>
      </w:r>
      <w:r>
        <w:t>dirige</w:t>
      </w:r>
      <w:r w:rsidRPr="002C4077">
        <w:t xml:space="preserve"> </w:t>
      </w:r>
      <w:r>
        <w:t>avec</w:t>
      </w:r>
      <w:r w:rsidRPr="002C4077">
        <w:t xml:space="preserve"> </w:t>
      </w:r>
      <w:r>
        <w:t>eux</w:t>
      </w:r>
      <w:r w:rsidRPr="002C4077">
        <w:t xml:space="preserve"> </w:t>
      </w:r>
      <w:r>
        <w:t>vers</w:t>
      </w:r>
      <w:r w:rsidRPr="002C4077">
        <w:t xml:space="preserve"> </w:t>
      </w:r>
      <w:r>
        <w:t>le</w:t>
      </w:r>
      <w:r w:rsidRPr="002C4077">
        <w:t xml:space="preserve"> </w:t>
      </w:r>
      <w:r>
        <w:t>mont</w:t>
      </w:r>
      <w:r w:rsidRPr="002C4077">
        <w:t xml:space="preserve"> </w:t>
      </w:r>
      <w:r>
        <w:t>des</w:t>
      </w:r>
      <w:r w:rsidRPr="002C4077">
        <w:t xml:space="preserve"> </w:t>
      </w:r>
      <w:r>
        <w:t>Oliviers</w:t>
      </w:r>
      <w:r w:rsidR="00B91AF7">
        <w:rPr>
          <w:rStyle w:val="Appelnotedebasdep"/>
        </w:rPr>
        <w:footnoteReference w:id="919"/>
      </w:r>
      <w:r>
        <w:t>.</w:t>
      </w:r>
      <w:r w:rsidR="00C45B47">
        <w:t xml:space="preserve"> {</w:t>
      </w:r>
      <w:r w:rsidR="005E2129">
        <w:t>313</w:t>
      </w:r>
      <w:bookmarkStart w:id="765" w:name="p313"/>
      <w:bookmarkEnd w:id="765"/>
      <w:r w:rsidR="005E2129">
        <w:t xml:space="preserve">} </w:t>
      </w:r>
    </w:p>
    <w:p w:rsidR="000A7AAB" w:rsidRDefault="000A7AAB" w:rsidP="000A7AAB">
      <w:r>
        <w:t>Saint</w:t>
      </w:r>
      <w:r w:rsidRPr="002C4077">
        <w:t xml:space="preserve"> </w:t>
      </w:r>
      <w:r>
        <w:t>Luc</w:t>
      </w:r>
      <w:bookmarkStart w:id="766" w:name="z_LucEucharistie_o1"/>
      <w:bookmarkEnd w:id="766"/>
      <w:r w:rsidRPr="002C4077">
        <w:t xml:space="preserve"> </w:t>
      </w:r>
      <w:r>
        <w:t>coordonne</w:t>
      </w:r>
      <w:r w:rsidRPr="002C4077">
        <w:t xml:space="preserve"> </w:t>
      </w:r>
      <w:r>
        <w:t>les</w:t>
      </w:r>
      <w:r w:rsidRPr="002C4077">
        <w:t xml:space="preserve"> </w:t>
      </w:r>
      <w:r>
        <w:t>faits</w:t>
      </w:r>
      <w:r w:rsidRPr="002C4077">
        <w:t xml:space="preserve"> </w:t>
      </w:r>
      <w:r>
        <w:t>d’une</w:t>
      </w:r>
      <w:r w:rsidRPr="002C4077">
        <w:t xml:space="preserve"> </w:t>
      </w:r>
      <w:r>
        <w:t>autre</w:t>
      </w:r>
      <w:r w:rsidRPr="002C4077">
        <w:t xml:space="preserve"> </w:t>
      </w:r>
      <w:r>
        <w:t>manière.</w:t>
      </w:r>
      <w:r w:rsidRPr="002C4077">
        <w:t xml:space="preserve"> </w:t>
      </w:r>
      <w:r w:rsidR="00425C50">
        <w:t>Jésus</w:t>
      </w:r>
      <w:r w:rsidRPr="002C4077">
        <w:t xml:space="preserve"> </w:t>
      </w:r>
      <w:r>
        <w:t>institue</w:t>
      </w:r>
      <w:r w:rsidRPr="002C4077">
        <w:t xml:space="preserve"> </w:t>
      </w:r>
      <w:r>
        <w:t>l’Eucharistie</w:t>
      </w:r>
      <w:r w:rsidRPr="002C4077">
        <w:t xml:space="preserve"> </w:t>
      </w:r>
      <w:r>
        <w:t>et</w:t>
      </w:r>
      <w:r w:rsidRPr="002C4077">
        <w:t xml:space="preserve"> </w:t>
      </w:r>
      <w:r>
        <w:t>la</w:t>
      </w:r>
      <w:r w:rsidRPr="002C4077">
        <w:t xml:space="preserve"> </w:t>
      </w:r>
      <w:r>
        <w:t>distribue</w:t>
      </w:r>
      <w:r w:rsidRPr="002C4077">
        <w:t xml:space="preserve"> </w:t>
      </w:r>
      <w:r>
        <w:t>aux</w:t>
      </w:r>
      <w:r w:rsidRPr="002C4077">
        <w:t xml:space="preserve"> </w:t>
      </w:r>
      <w:r>
        <w:t>convives</w:t>
      </w:r>
      <w:r w:rsidR="00B546AF">
        <w:t> ;</w:t>
      </w:r>
      <w:r w:rsidRPr="002C4077">
        <w:t xml:space="preserve"> </w:t>
      </w:r>
      <w:r>
        <w:t>puis,</w:t>
      </w:r>
      <w:r w:rsidRPr="002C4077">
        <w:t xml:space="preserve"> </w:t>
      </w:r>
      <w:r>
        <w:t>seulement</w:t>
      </w:r>
      <w:r w:rsidRPr="002C4077">
        <w:t xml:space="preserve"> </w:t>
      </w:r>
      <w:r>
        <w:t>alors,</w:t>
      </w:r>
      <w:r w:rsidRPr="002C4077">
        <w:t xml:space="preserve"> </w:t>
      </w:r>
      <w:r>
        <w:t>il</w:t>
      </w:r>
      <w:r w:rsidRPr="002C4077">
        <w:t xml:space="preserve"> </w:t>
      </w:r>
      <w:r>
        <w:t>parle</w:t>
      </w:r>
      <w:r w:rsidRPr="002C4077">
        <w:t xml:space="preserve"> </w:t>
      </w:r>
      <w:r>
        <w:t>du</w:t>
      </w:r>
      <w:r w:rsidRPr="002C4077">
        <w:t xml:space="preserve"> </w:t>
      </w:r>
      <w:r>
        <w:t>traître</w:t>
      </w:r>
      <w:r w:rsidRPr="002C4077">
        <w:t xml:space="preserve"> </w:t>
      </w:r>
      <w:r>
        <w:t>qui</w:t>
      </w:r>
      <w:r w:rsidRPr="002C4077">
        <w:t xml:space="preserve"> </w:t>
      </w:r>
      <w:r>
        <w:t>doit</w:t>
      </w:r>
      <w:r w:rsidRPr="002C4077">
        <w:t xml:space="preserve"> </w:t>
      </w:r>
      <w:r>
        <w:t>bientôt</w:t>
      </w:r>
      <w:r w:rsidRPr="002C4077">
        <w:t xml:space="preserve"> </w:t>
      </w:r>
      <w:r>
        <w:t>le</w:t>
      </w:r>
      <w:r w:rsidRPr="002C4077">
        <w:t xml:space="preserve"> </w:t>
      </w:r>
      <w:r>
        <w:t>livrer</w:t>
      </w:r>
      <w:r w:rsidRPr="002C4077">
        <w:t xml:space="preserve"> </w:t>
      </w:r>
      <w:r>
        <w:t>à</w:t>
      </w:r>
      <w:r w:rsidRPr="002C4077">
        <w:t xml:space="preserve"> </w:t>
      </w:r>
      <w:r>
        <w:t>ses</w:t>
      </w:r>
      <w:r w:rsidRPr="002C4077">
        <w:t xml:space="preserve"> </w:t>
      </w:r>
      <w:r>
        <w:t>ennemis.</w:t>
      </w:r>
      <w:r w:rsidRPr="002C4077">
        <w:t xml:space="preserve"> </w:t>
      </w:r>
      <w:r>
        <w:t>L’évangéliste</w:t>
      </w:r>
      <w:r w:rsidRPr="002C4077">
        <w:t xml:space="preserve"> </w:t>
      </w:r>
      <w:r>
        <w:t>rapporte</w:t>
      </w:r>
      <w:r w:rsidRPr="002C4077">
        <w:t xml:space="preserve"> </w:t>
      </w:r>
      <w:r>
        <w:t>ensuite</w:t>
      </w:r>
      <w:r w:rsidRPr="002C4077">
        <w:t xml:space="preserve"> </w:t>
      </w:r>
      <w:r>
        <w:t>longuement</w:t>
      </w:r>
      <w:r w:rsidRPr="002C4077">
        <w:t xml:space="preserve"> </w:t>
      </w:r>
      <w:r>
        <w:t>la</w:t>
      </w:r>
      <w:r w:rsidRPr="002C4077">
        <w:t xml:space="preserve"> </w:t>
      </w:r>
      <w:r>
        <w:t>discussion</w:t>
      </w:r>
      <w:r w:rsidRPr="002C4077">
        <w:t xml:space="preserve"> </w:t>
      </w:r>
      <w:r>
        <w:t>qui</w:t>
      </w:r>
      <w:r w:rsidRPr="002C4077">
        <w:t xml:space="preserve"> </w:t>
      </w:r>
      <w:r>
        <w:t>s’éleva</w:t>
      </w:r>
      <w:r w:rsidRPr="002C4077">
        <w:t xml:space="preserve"> </w:t>
      </w:r>
      <w:r>
        <w:t>entre</w:t>
      </w:r>
      <w:r w:rsidRPr="002C4077">
        <w:t xml:space="preserve"> </w:t>
      </w:r>
      <w:r>
        <w:t>les</w:t>
      </w:r>
      <w:r w:rsidRPr="002C4077">
        <w:t xml:space="preserve"> </w:t>
      </w:r>
      <w:r>
        <w:t>apôtres</w:t>
      </w:r>
      <w:r w:rsidRPr="002C4077">
        <w:t xml:space="preserve"> </w:t>
      </w:r>
      <w:r>
        <w:t>pour</w:t>
      </w:r>
      <w:r w:rsidRPr="002C4077">
        <w:t xml:space="preserve"> </w:t>
      </w:r>
      <w:r>
        <w:t>savoir</w:t>
      </w:r>
      <w:r w:rsidRPr="002C4077">
        <w:t xml:space="preserve"> </w:t>
      </w:r>
      <w:r>
        <w:t>lequel</w:t>
      </w:r>
      <w:r w:rsidRPr="002C4077">
        <w:t xml:space="preserve"> </w:t>
      </w:r>
      <w:r>
        <w:t>d’entre</w:t>
      </w:r>
      <w:r w:rsidRPr="002C4077">
        <w:t xml:space="preserve"> </w:t>
      </w:r>
      <w:r>
        <w:t>eux</w:t>
      </w:r>
      <w:r w:rsidRPr="002C4077">
        <w:t xml:space="preserve"> </w:t>
      </w:r>
      <w:r>
        <w:t>était</w:t>
      </w:r>
      <w:r w:rsidRPr="002C4077">
        <w:t xml:space="preserve"> </w:t>
      </w:r>
      <w:r>
        <w:t>le</w:t>
      </w:r>
      <w:r w:rsidRPr="002C4077">
        <w:t xml:space="preserve"> </w:t>
      </w:r>
      <w:r>
        <w:t>plus</w:t>
      </w:r>
      <w:r w:rsidRPr="002C4077">
        <w:t xml:space="preserve"> </w:t>
      </w:r>
      <w:r>
        <w:t>grand,</w:t>
      </w:r>
      <w:r w:rsidRPr="002C4077">
        <w:t xml:space="preserve"> </w:t>
      </w:r>
      <w:r>
        <w:t>et</w:t>
      </w:r>
      <w:r w:rsidRPr="002C4077">
        <w:t xml:space="preserve"> </w:t>
      </w:r>
      <w:r>
        <w:t>les</w:t>
      </w:r>
      <w:r w:rsidRPr="002C4077">
        <w:t xml:space="preserve"> </w:t>
      </w:r>
      <w:r>
        <w:t>paroles</w:t>
      </w:r>
      <w:r w:rsidRPr="002C4077">
        <w:t xml:space="preserve"> </w:t>
      </w:r>
      <w:r>
        <w:t>du</w:t>
      </w:r>
      <w:r w:rsidRPr="002C4077">
        <w:t xml:space="preserve"> </w:t>
      </w:r>
      <w:r>
        <w:t>Sauveur</w:t>
      </w:r>
      <w:r w:rsidRPr="002C4077">
        <w:t xml:space="preserve"> </w:t>
      </w:r>
      <w:r>
        <w:t>à</w:t>
      </w:r>
      <w:r w:rsidRPr="002C4077">
        <w:t xml:space="preserve"> </w:t>
      </w:r>
      <w:r>
        <w:t>cette</w:t>
      </w:r>
      <w:r w:rsidRPr="002C4077">
        <w:t xml:space="preserve"> </w:t>
      </w:r>
      <w:r>
        <w:t>occasion</w:t>
      </w:r>
      <w:r w:rsidR="00B91AF7">
        <w:rPr>
          <w:rStyle w:val="Appelnotedebasdep"/>
        </w:rPr>
        <w:footnoteReference w:id="920"/>
      </w:r>
      <w:r>
        <w:t>.</w:t>
      </w:r>
      <w:r w:rsidRPr="002C4077">
        <w:t xml:space="preserve"> </w:t>
      </w:r>
    </w:p>
    <w:p w:rsidR="000A7AAB" w:rsidRDefault="000A7AAB" w:rsidP="000A7AAB">
      <w:r>
        <w:t>Chacun</w:t>
      </w:r>
      <w:r w:rsidRPr="002C4077">
        <w:t xml:space="preserve"> </w:t>
      </w:r>
      <w:r>
        <w:t>le</w:t>
      </w:r>
      <w:r w:rsidRPr="002C4077">
        <w:t xml:space="preserve"> </w:t>
      </w:r>
      <w:r>
        <w:t>sait,</w:t>
      </w:r>
      <w:r w:rsidRPr="002C4077">
        <w:t xml:space="preserve"> </w:t>
      </w:r>
      <w:r>
        <w:t>l’apôtre</w:t>
      </w:r>
      <w:r w:rsidRPr="002C4077">
        <w:t xml:space="preserve"> </w:t>
      </w:r>
      <w:r>
        <w:t>bien-aimé</w:t>
      </w:r>
      <w:r w:rsidRPr="002C4077">
        <w:t xml:space="preserve"> </w:t>
      </w:r>
      <w:r>
        <w:t>a</w:t>
      </w:r>
      <w:r w:rsidRPr="002C4077">
        <w:t xml:space="preserve"> </w:t>
      </w:r>
      <w:r>
        <w:t>passé</w:t>
      </w:r>
      <w:r w:rsidRPr="002C4077">
        <w:t xml:space="preserve"> </w:t>
      </w:r>
      <w:r>
        <w:t>sous</w:t>
      </w:r>
      <w:r w:rsidRPr="002C4077">
        <w:t xml:space="preserve"> </w:t>
      </w:r>
      <w:r>
        <w:t>silence</w:t>
      </w:r>
      <w:r w:rsidRPr="002C4077">
        <w:t xml:space="preserve"> </w:t>
      </w:r>
      <w:r>
        <w:t>l’institution</w:t>
      </w:r>
      <w:r w:rsidRPr="002C4077">
        <w:t xml:space="preserve"> </w:t>
      </w:r>
      <w:r>
        <w:t>de</w:t>
      </w:r>
      <w:r w:rsidRPr="002C4077">
        <w:t xml:space="preserve"> </w:t>
      </w:r>
      <w:r>
        <w:t>la</w:t>
      </w:r>
      <w:r w:rsidRPr="002C4077">
        <w:t xml:space="preserve"> </w:t>
      </w:r>
      <w:r>
        <w:t>sainte</w:t>
      </w:r>
      <w:r w:rsidRPr="002C4077">
        <w:t xml:space="preserve"> </w:t>
      </w:r>
      <w:r>
        <w:t>Eucharistie.</w:t>
      </w:r>
      <w:r w:rsidRPr="002C4077">
        <w:t xml:space="preserve"> </w:t>
      </w:r>
      <w:r>
        <w:t>Selon</w:t>
      </w:r>
      <w:r w:rsidRPr="002C4077">
        <w:t xml:space="preserve"> </w:t>
      </w:r>
      <w:r>
        <w:t>sa</w:t>
      </w:r>
      <w:r w:rsidRPr="002C4077">
        <w:t xml:space="preserve"> </w:t>
      </w:r>
      <w:r>
        <w:t>narration,</w:t>
      </w:r>
      <w:r w:rsidRPr="002C4077">
        <w:t xml:space="preserve"> </w:t>
      </w:r>
      <w:r>
        <w:t>après</w:t>
      </w:r>
      <w:r w:rsidRPr="002C4077">
        <w:t xml:space="preserve"> </w:t>
      </w:r>
      <w:r>
        <w:t>avoir</w:t>
      </w:r>
      <w:r w:rsidRPr="002C4077">
        <w:t xml:space="preserve"> </w:t>
      </w:r>
      <w:r>
        <w:t>lavé</w:t>
      </w:r>
      <w:r w:rsidRPr="002C4077">
        <w:t xml:space="preserve"> </w:t>
      </w:r>
      <w:r>
        <w:t>les</w:t>
      </w:r>
      <w:r w:rsidRPr="002C4077">
        <w:t xml:space="preserve"> </w:t>
      </w:r>
      <w:r>
        <w:t>pieds</w:t>
      </w:r>
      <w:r w:rsidRPr="002C4077">
        <w:t xml:space="preserve"> </w:t>
      </w:r>
      <w:r>
        <w:t>de</w:t>
      </w:r>
      <w:r w:rsidRPr="002C4077">
        <w:t xml:space="preserve"> </w:t>
      </w:r>
      <w:r>
        <w:t>ses</w:t>
      </w:r>
      <w:r w:rsidRPr="002C4077">
        <w:t xml:space="preserve"> </w:t>
      </w:r>
      <w:r>
        <w:t>disciples,</w:t>
      </w:r>
      <w:r w:rsidRPr="002C4077">
        <w:t xml:space="preserve"> </w:t>
      </w:r>
      <w:r w:rsidR="00425C50">
        <w:t>Jésus</w:t>
      </w:r>
      <w:r w:rsidRPr="002C4077">
        <w:t xml:space="preserve"> </w:t>
      </w:r>
      <w:r>
        <w:t>se</w:t>
      </w:r>
      <w:r w:rsidRPr="002C4077">
        <w:t xml:space="preserve"> </w:t>
      </w:r>
      <w:r>
        <w:t>trouble</w:t>
      </w:r>
      <w:r w:rsidRPr="002C4077">
        <w:t xml:space="preserve"> </w:t>
      </w:r>
      <w:r>
        <w:t>et</w:t>
      </w:r>
      <w:r w:rsidRPr="002C4077">
        <w:t xml:space="preserve"> </w:t>
      </w:r>
      <w:r>
        <w:t>annonce</w:t>
      </w:r>
      <w:r w:rsidRPr="002C4077">
        <w:t xml:space="preserve"> </w:t>
      </w:r>
      <w:r>
        <w:t>la</w:t>
      </w:r>
      <w:r w:rsidRPr="002C4077">
        <w:t xml:space="preserve"> </w:t>
      </w:r>
      <w:r>
        <w:t>trahison</w:t>
      </w:r>
      <w:r w:rsidRPr="002C4077">
        <w:t xml:space="preserve"> </w:t>
      </w:r>
      <w:r>
        <w:t>prochaine.</w:t>
      </w:r>
      <w:r w:rsidRPr="002C4077">
        <w:t xml:space="preserve"> </w:t>
      </w:r>
      <w:r>
        <w:t>Saint</w:t>
      </w:r>
      <w:r w:rsidRPr="002C4077">
        <w:t xml:space="preserve"> </w:t>
      </w:r>
      <w:r>
        <w:t>Jean</w:t>
      </w:r>
      <w:r w:rsidRPr="002C4077">
        <w:t xml:space="preserve"> </w:t>
      </w:r>
      <w:r>
        <w:t>se</w:t>
      </w:r>
      <w:r w:rsidRPr="002C4077">
        <w:t xml:space="preserve"> </w:t>
      </w:r>
      <w:r>
        <w:t>penche</w:t>
      </w:r>
      <w:r w:rsidRPr="002C4077">
        <w:t xml:space="preserve"> </w:t>
      </w:r>
      <w:r>
        <w:t>sur</w:t>
      </w:r>
      <w:r w:rsidRPr="002C4077">
        <w:t xml:space="preserve"> </w:t>
      </w:r>
      <w:r>
        <w:t>la</w:t>
      </w:r>
      <w:r w:rsidRPr="002C4077">
        <w:t xml:space="preserve"> </w:t>
      </w:r>
      <w:r>
        <w:t>poitrine</w:t>
      </w:r>
      <w:r w:rsidRPr="002C4077">
        <w:t xml:space="preserve"> </w:t>
      </w:r>
      <w:r>
        <w:t>du</w:t>
      </w:r>
      <w:r w:rsidRPr="002C4077">
        <w:t xml:space="preserve"> </w:t>
      </w:r>
      <w:r>
        <w:t>Sauveur</w:t>
      </w:r>
      <w:r w:rsidRPr="002C4077">
        <w:t xml:space="preserve"> </w:t>
      </w:r>
      <w:r>
        <w:t>et</w:t>
      </w:r>
      <w:r w:rsidRPr="002C4077">
        <w:t xml:space="preserve"> </w:t>
      </w:r>
      <w:r>
        <w:t>le</w:t>
      </w:r>
      <w:r w:rsidRPr="002C4077">
        <w:t xml:space="preserve"> </w:t>
      </w:r>
      <w:r>
        <w:t>prie</w:t>
      </w:r>
      <w:r w:rsidRPr="002C4077">
        <w:t xml:space="preserve"> </w:t>
      </w:r>
      <w:r>
        <w:t>de</w:t>
      </w:r>
      <w:r w:rsidRPr="002C4077">
        <w:t xml:space="preserve"> </w:t>
      </w:r>
      <w:r>
        <w:t>lui</w:t>
      </w:r>
      <w:r w:rsidRPr="002C4077">
        <w:t xml:space="preserve"> </w:t>
      </w:r>
      <w:r>
        <w:t>faire</w:t>
      </w:r>
      <w:r w:rsidRPr="002C4077">
        <w:t xml:space="preserve"> </w:t>
      </w:r>
      <w:r>
        <w:t>connaître</w:t>
      </w:r>
      <w:r w:rsidRPr="002C4077">
        <w:t xml:space="preserve"> </w:t>
      </w:r>
      <w:r>
        <w:t>le</w:t>
      </w:r>
      <w:r w:rsidRPr="002C4077">
        <w:t xml:space="preserve"> </w:t>
      </w:r>
      <w:r>
        <w:t>traître.</w:t>
      </w:r>
      <w:r w:rsidRPr="002C4077">
        <w:t xml:space="preserve"> </w:t>
      </w:r>
      <w:r>
        <w:t>Alors</w:t>
      </w:r>
      <w:r w:rsidRPr="002C4077">
        <w:t xml:space="preserve"> </w:t>
      </w:r>
      <w:r>
        <w:t>Notre</w:t>
      </w:r>
      <w:r w:rsidRPr="002C4077">
        <w:t xml:space="preserve"> </w:t>
      </w:r>
      <w:r>
        <w:t>Seigneur</w:t>
      </w:r>
      <w:r w:rsidRPr="002C4077">
        <w:t xml:space="preserve"> </w:t>
      </w:r>
      <w:r>
        <w:t>le</w:t>
      </w:r>
      <w:r w:rsidRPr="002C4077">
        <w:t xml:space="preserve"> </w:t>
      </w:r>
      <w:r>
        <w:t>lui</w:t>
      </w:r>
      <w:r w:rsidRPr="002C4077">
        <w:t xml:space="preserve"> </w:t>
      </w:r>
      <w:r>
        <w:t>indique</w:t>
      </w:r>
      <w:r w:rsidRPr="002C4077">
        <w:t xml:space="preserve"> </w:t>
      </w:r>
      <w:r>
        <w:t>en</w:t>
      </w:r>
      <w:r w:rsidRPr="002C4077">
        <w:t xml:space="preserve"> </w:t>
      </w:r>
      <w:r>
        <w:t>donnant</w:t>
      </w:r>
      <w:r w:rsidRPr="002C4077">
        <w:t xml:space="preserve"> </w:t>
      </w:r>
      <w:r>
        <w:t>un</w:t>
      </w:r>
      <w:r w:rsidRPr="002C4077">
        <w:t xml:space="preserve"> </w:t>
      </w:r>
      <w:r>
        <w:t>morceau</w:t>
      </w:r>
      <w:r w:rsidRPr="002C4077">
        <w:t xml:space="preserve"> </w:t>
      </w:r>
      <w:r>
        <w:t>trempé</w:t>
      </w:r>
      <w:r w:rsidRPr="002C4077">
        <w:t xml:space="preserve"> </w:t>
      </w:r>
      <w:r>
        <w:t>à</w:t>
      </w:r>
      <w:r w:rsidRPr="002C4077">
        <w:t xml:space="preserve"> </w:t>
      </w:r>
      <w:r>
        <w:t>Judas,</w:t>
      </w:r>
      <w:r w:rsidRPr="002C4077">
        <w:t xml:space="preserve"> </w:t>
      </w:r>
      <w:r>
        <w:t>auquel</w:t>
      </w:r>
      <w:r w:rsidRPr="002C4077">
        <w:t xml:space="preserve"> </w:t>
      </w:r>
      <w:r>
        <w:t>il</w:t>
      </w:r>
      <w:r w:rsidRPr="002C4077">
        <w:t xml:space="preserve"> </w:t>
      </w:r>
      <w:r>
        <w:t>dit</w:t>
      </w:r>
      <w:r w:rsidRPr="002C4077">
        <w:t xml:space="preserve"> </w:t>
      </w:r>
      <w:r>
        <w:t>en</w:t>
      </w:r>
      <w:r w:rsidRPr="002C4077">
        <w:t xml:space="preserve"> </w:t>
      </w:r>
      <w:r>
        <w:t>même</w:t>
      </w:r>
      <w:r w:rsidRPr="002C4077">
        <w:t xml:space="preserve"> </w:t>
      </w:r>
      <w:r>
        <w:t>temps</w:t>
      </w:r>
      <w:r w:rsidR="00B546AF">
        <w:t> :</w:t>
      </w:r>
      <w:r w:rsidRPr="002C4077">
        <w:t xml:space="preserve"> </w:t>
      </w:r>
      <w:r w:rsidR="00B546AF">
        <w:t>« </w:t>
      </w:r>
      <w:r>
        <w:t>Ce</w:t>
      </w:r>
      <w:r w:rsidRPr="002C4077">
        <w:t xml:space="preserve"> </w:t>
      </w:r>
      <w:r>
        <w:t>que</w:t>
      </w:r>
      <w:r w:rsidRPr="002C4077">
        <w:t xml:space="preserve"> </w:t>
      </w:r>
      <w:r>
        <w:t>tu</w:t>
      </w:r>
      <w:r w:rsidRPr="002C4077">
        <w:t xml:space="preserve"> </w:t>
      </w:r>
      <w:r>
        <w:t>fais,</w:t>
      </w:r>
      <w:r w:rsidRPr="002C4077">
        <w:t xml:space="preserve"> </w:t>
      </w:r>
      <w:r>
        <w:t>fais-le</w:t>
      </w:r>
      <w:r w:rsidRPr="002C4077">
        <w:t xml:space="preserve"> </w:t>
      </w:r>
      <w:r>
        <w:t>plus</w:t>
      </w:r>
      <w:r w:rsidRPr="002C4077">
        <w:t xml:space="preserve"> </w:t>
      </w:r>
      <w:r>
        <w:t>vite.</w:t>
      </w:r>
      <w:r w:rsidR="00B546AF">
        <w:t> »</w:t>
      </w:r>
      <w:r w:rsidRPr="002C4077">
        <w:t xml:space="preserve"> </w:t>
      </w:r>
      <w:r>
        <w:t>Le</w:t>
      </w:r>
      <w:r w:rsidRPr="002C4077">
        <w:t xml:space="preserve"> </w:t>
      </w:r>
      <w:r>
        <w:t>misérable</w:t>
      </w:r>
      <w:r w:rsidRPr="002C4077">
        <w:t xml:space="preserve"> </w:t>
      </w:r>
      <w:r>
        <w:t>sort</w:t>
      </w:r>
      <w:r w:rsidRPr="002C4077">
        <w:t xml:space="preserve"> </w:t>
      </w:r>
      <w:r>
        <w:t>immédiatement</w:t>
      </w:r>
      <w:r w:rsidRPr="002C4077">
        <w:t xml:space="preserve"> </w:t>
      </w:r>
      <w:r>
        <w:t>pour</w:t>
      </w:r>
      <w:r w:rsidRPr="002C4077">
        <w:t xml:space="preserve"> </w:t>
      </w:r>
      <w:r>
        <w:t>consommer</w:t>
      </w:r>
      <w:r w:rsidRPr="002C4077">
        <w:t xml:space="preserve"> </w:t>
      </w:r>
      <w:r>
        <w:t>son</w:t>
      </w:r>
      <w:r w:rsidRPr="002C4077">
        <w:t xml:space="preserve"> </w:t>
      </w:r>
      <w:r>
        <w:t>crime</w:t>
      </w:r>
      <w:r w:rsidR="00B91AF7">
        <w:rPr>
          <w:rStyle w:val="Appelnotedebasdep"/>
        </w:rPr>
        <w:footnoteReference w:id="921"/>
      </w:r>
      <w:r>
        <w:t>.</w:t>
      </w:r>
      <w:r w:rsidRPr="002C4077">
        <w:t xml:space="preserve"> </w:t>
      </w:r>
    </w:p>
    <w:p w:rsidR="000A7AAB" w:rsidRDefault="000A7AAB" w:rsidP="000A7AAB">
      <w:r>
        <w:t>Quelle</w:t>
      </w:r>
      <w:r w:rsidRPr="002C4077">
        <w:t xml:space="preserve"> </w:t>
      </w:r>
      <w:r>
        <w:t>sera</w:t>
      </w:r>
      <w:r w:rsidRPr="002C4077">
        <w:t xml:space="preserve"> </w:t>
      </w:r>
      <w:r>
        <w:t>maintenant</w:t>
      </w:r>
      <w:r w:rsidRPr="002C4077">
        <w:t xml:space="preserve"> </w:t>
      </w:r>
      <w:r>
        <w:t>la</w:t>
      </w:r>
      <w:r w:rsidRPr="002C4077">
        <w:t xml:space="preserve"> </w:t>
      </w:r>
      <w:r>
        <w:t>meilleure</w:t>
      </w:r>
      <w:r w:rsidRPr="002C4077">
        <w:t xml:space="preserve"> </w:t>
      </w:r>
      <w:r>
        <w:t>manière</w:t>
      </w:r>
      <w:r w:rsidRPr="002C4077">
        <w:t xml:space="preserve"> </w:t>
      </w:r>
      <w:r>
        <w:t>de</w:t>
      </w:r>
      <w:r w:rsidRPr="002C4077">
        <w:t xml:space="preserve"> </w:t>
      </w:r>
      <w:r>
        <w:t>concilier</w:t>
      </w:r>
      <w:r w:rsidRPr="002C4077">
        <w:t xml:space="preserve"> </w:t>
      </w:r>
      <w:r>
        <w:t>ces</w:t>
      </w:r>
      <w:r w:rsidRPr="002C4077">
        <w:t xml:space="preserve"> </w:t>
      </w:r>
      <w:r>
        <w:t>différents</w:t>
      </w:r>
      <w:r w:rsidRPr="002C4077">
        <w:t xml:space="preserve"> </w:t>
      </w:r>
      <w:r>
        <w:t>récits</w:t>
      </w:r>
      <w:r w:rsidR="00B546AF">
        <w:t> ?</w:t>
      </w:r>
      <w:r w:rsidRPr="002C4077">
        <w:t xml:space="preserve"> </w:t>
      </w:r>
    </w:p>
    <w:p w:rsidR="000A7AAB" w:rsidRPr="005E2129" w:rsidRDefault="000A7AAB" w:rsidP="000A7AAB">
      <w:r>
        <w:t>Comme</w:t>
      </w:r>
      <w:r w:rsidRPr="002C4077">
        <w:t xml:space="preserve"> </w:t>
      </w:r>
      <w:r>
        <w:t>on</w:t>
      </w:r>
      <w:r w:rsidRPr="002C4077">
        <w:t xml:space="preserve"> </w:t>
      </w:r>
      <w:r>
        <w:t>a</w:t>
      </w:r>
      <w:r w:rsidRPr="002C4077">
        <w:t xml:space="preserve"> </w:t>
      </w:r>
      <w:r>
        <w:t>dû</w:t>
      </w:r>
      <w:r w:rsidRPr="002C4077">
        <w:t xml:space="preserve"> </w:t>
      </w:r>
      <w:r>
        <w:t>le</w:t>
      </w:r>
      <w:r w:rsidRPr="002C4077">
        <w:t xml:space="preserve"> </w:t>
      </w:r>
      <w:r>
        <w:t>voir</w:t>
      </w:r>
      <w:r w:rsidRPr="002C4077">
        <w:t xml:space="preserve"> </w:t>
      </w:r>
      <w:r>
        <w:t>en</w:t>
      </w:r>
      <w:r w:rsidRPr="002C4077">
        <w:t xml:space="preserve"> </w:t>
      </w:r>
      <w:r>
        <w:t>lisant</w:t>
      </w:r>
      <w:r w:rsidRPr="002C4077">
        <w:t xml:space="preserve"> </w:t>
      </w:r>
      <w:r>
        <w:t>l’abrégé</w:t>
      </w:r>
      <w:r w:rsidRPr="002C4077">
        <w:t xml:space="preserve"> </w:t>
      </w:r>
      <w:r>
        <w:t>qui</w:t>
      </w:r>
      <w:r w:rsidRPr="002C4077">
        <w:t xml:space="preserve"> </w:t>
      </w:r>
      <w:r>
        <w:t>précède,</w:t>
      </w:r>
      <w:r w:rsidRPr="002C4077">
        <w:t xml:space="preserve"> </w:t>
      </w:r>
      <w:r>
        <w:t>la</w:t>
      </w:r>
      <w:r w:rsidRPr="002C4077">
        <w:t xml:space="preserve"> </w:t>
      </w:r>
      <w:r>
        <w:t>principale</w:t>
      </w:r>
      <w:r w:rsidRPr="002C4077">
        <w:t xml:space="preserve"> </w:t>
      </w:r>
      <w:r>
        <w:t>difficulté</w:t>
      </w:r>
      <w:r w:rsidRPr="002C4077">
        <w:t xml:space="preserve"> </w:t>
      </w:r>
      <w:r>
        <w:t>nous</w:t>
      </w:r>
      <w:r w:rsidRPr="002C4077">
        <w:t xml:space="preserve"> </w:t>
      </w:r>
      <w:r>
        <w:t>vient</w:t>
      </w:r>
      <w:r w:rsidRPr="002C4077">
        <w:t xml:space="preserve"> </w:t>
      </w:r>
      <w:r>
        <w:t>du</w:t>
      </w:r>
      <w:r w:rsidRPr="002C4077">
        <w:t xml:space="preserve"> </w:t>
      </w:r>
      <w:r>
        <w:t>texte</w:t>
      </w:r>
      <w:r w:rsidRPr="002C4077">
        <w:t xml:space="preserve"> </w:t>
      </w:r>
      <w:r>
        <w:t>de</w:t>
      </w:r>
      <w:r w:rsidRPr="002C4077">
        <w:t xml:space="preserve"> </w:t>
      </w:r>
      <w:r>
        <w:t>S.</w:t>
      </w:r>
      <w:r w:rsidRPr="002C4077">
        <w:t xml:space="preserve"> </w:t>
      </w:r>
      <w:r>
        <w:t>Luc,</w:t>
      </w:r>
      <w:r w:rsidRPr="002C4077">
        <w:t xml:space="preserve"> </w:t>
      </w:r>
      <w:r>
        <w:t>qui</w:t>
      </w:r>
      <w:r w:rsidRPr="002C4077">
        <w:t xml:space="preserve"> </w:t>
      </w:r>
      <w:r>
        <w:t>semble</w:t>
      </w:r>
      <w:r w:rsidRPr="002C4077">
        <w:t xml:space="preserve"> </w:t>
      </w:r>
      <w:r>
        <w:t>contredire</w:t>
      </w:r>
      <w:r w:rsidRPr="002C4077">
        <w:t xml:space="preserve"> </w:t>
      </w:r>
      <w:r>
        <w:t>S.</w:t>
      </w:r>
      <w:r w:rsidRPr="002C4077">
        <w:t xml:space="preserve"> </w:t>
      </w:r>
      <w:r w:rsidR="00425C50">
        <w:t>Matth</w:t>
      </w:r>
      <w:r>
        <w:t>ieu</w:t>
      </w:r>
      <w:r w:rsidRPr="002C4077">
        <w:t xml:space="preserve"> </w:t>
      </w:r>
      <w:r>
        <w:t>et</w:t>
      </w:r>
      <w:r w:rsidRPr="002C4077">
        <w:t xml:space="preserve"> </w:t>
      </w:r>
      <w:r>
        <w:t>S.</w:t>
      </w:r>
      <w:r w:rsidRPr="002C4077">
        <w:t xml:space="preserve"> </w:t>
      </w:r>
      <w:r>
        <w:t>Marc.</w:t>
      </w:r>
      <w:r w:rsidRPr="002C4077">
        <w:t xml:space="preserve"> </w:t>
      </w:r>
      <w:r>
        <w:t>En</w:t>
      </w:r>
      <w:r w:rsidRPr="002C4077">
        <w:t xml:space="preserve"> </w:t>
      </w:r>
      <w:r>
        <w:t>effet,</w:t>
      </w:r>
      <w:r w:rsidRPr="002C4077">
        <w:t xml:space="preserve"> </w:t>
      </w:r>
      <w:r>
        <w:t>suivant</w:t>
      </w:r>
      <w:r w:rsidRPr="002C4077">
        <w:t xml:space="preserve"> </w:t>
      </w:r>
      <w:r>
        <w:t>les</w:t>
      </w:r>
      <w:r w:rsidRPr="002C4077">
        <w:t xml:space="preserve"> </w:t>
      </w:r>
      <w:r>
        <w:t>deux</w:t>
      </w:r>
      <w:r w:rsidRPr="002C4077">
        <w:t xml:space="preserve"> </w:t>
      </w:r>
      <w:r>
        <w:t>premiers</w:t>
      </w:r>
      <w:r w:rsidRPr="002C4077">
        <w:t xml:space="preserve"> </w:t>
      </w:r>
      <w:r>
        <w:t>synoptiques,</w:t>
      </w:r>
      <w:r w:rsidRPr="002C4077">
        <w:t xml:space="preserve"> </w:t>
      </w:r>
      <w:r>
        <w:t>les</w:t>
      </w:r>
      <w:r w:rsidRPr="002C4077">
        <w:t xml:space="preserve"> </w:t>
      </w:r>
      <w:r>
        <w:t>paroles</w:t>
      </w:r>
      <w:r w:rsidRPr="002C4077">
        <w:t xml:space="preserve"> </w:t>
      </w:r>
      <w:r>
        <w:t>relatives</w:t>
      </w:r>
      <w:r w:rsidRPr="002C4077">
        <w:t xml:space="preserve"> </w:t>
      </w:r>
      <w:r>
        <w:t>à</w:t>
      </w:r>
      <w:r w:rsidRPr="002C4077">
        <w:t xml:space="preserve"> </w:t>
      </w:r>
      <w:r>
        <w:t>la</w:t>
      </w:r>
      <w:r w:rsidRPr="002C4077">
        <w:t xml:space="preserve"> </w:t>
      </w:r>
      <w:r>
        <w:t>trahison</w:t>
      </w:r>
      <w:r w:rsidRPr="002C4077">
        <w:t xml:space="preserve"> </w:t>
      </w:r>
      <w:r>
        <w:t>du</w:t>
      </w:r>
      <w:r w:rsidRPr="002C4077">
        <w:t xml:space="preserve"> </w:t>
      </w:r>
      <w:r>
        <w:t>divin</w:t>
      </w:r>
      <w:r w:rsidRPr="002C4077">
        <w:t xml:space="preserve"> </w:t>
      </w:r>
      <w:r>
        <w:t>Maître</w:t>
      </w:r>
      <w:r w:rsidRPr="002C4077">
        <w:t xml:space="preserve"> </w:t>
      </w:r>
      <w:r>
        <w:t>ont</w:t>
      </w:r>
      <w:r w:rsidRPr="002C4077">
        <w:t xml:space="preserve"> </w:t>
      </w:r>
      <w:r>
        <w:t>précédé</w:t>
      </w:r>
      <w:r w:rsidRPr="002C4077">
        <w:t xml:space="preserve"> </w:t>
      </w:r>
      <w:r>
        <w:t>l’institution</w:t>
      </w:r>
      <w:r w:rsidRPr="002C4077">
        <w:t xml:space="preserve"> </w:t>
      </w:r>
      <w:r>
        <w:t>de</w:t>
      </w:r>
      <w:r w:rsidRPr="002C4077">
        <w:t xml:space="preserve"> </w:t>
      </w:r>
      <w:r>
        <w:t>la</w:t>
      </w:r>
      <w:r w:rsidRPr="002C4077">
        <w:t xml:space="preserve"> </w:t>
      </w:r>
      <w:r>
        <w:t>sainte</w:t>
      </w:r>
      <w:r w:rsidRPr="002C4077">
        <w:t xml:space="preserve"> </w:t>
      </w:r>
      <w:r>
        <w:t>Eucharistie</w:t>
      </w:r>
      <w:r w:rsidR="00B546AF">
        <w:t> ;</w:t>
      </w:r>
      <w:r w:rsidRPr="002C4077">
        <w:t xml:space="preserve"> </w:t>
      </w:r>
      <w:r>
        <w:t>d’après</w:t>
      </w:r>
      <w:r w:rsidRPr="002C4077">
        <w:t xml:space="preserve"> </w:t>
      </w:r>
      <w:r>
        <w:t>S.</w:t>
      </w:r>
      <w:r w:rsidRPr="002C4077">
        <w:t xml:space="preserve"> </w:t>
      </w:r>
      <w:r>
        <w:t>Luc,</w:t>
      </w:r>
      <w:r w:rsidRPr="002C4077">
        <w:t xml:space="preserve"> </w:t>
      </w:r>
      <w:r>
        <w:t>c’est</w:t>
      </w:r>
      <w:r w:rsidRPr="002C4077">
        <w:t xml:space="preserve"> </w:t>
      </w:r>
      <w:r>
        <w:t>le</w:t>
      </w:r>
      <w:r w:rsidRPr="002C4077">
        <w:t xml:space="preserve"> </w:t>
      </w:r>
      <w:r>
        <w:t>contraire</w:t>
      </w:r>
      <w:r w:rsidRPr="002C4077">
        <w:t xml:space="preserve"> </w:t>
      </w:r>
      <w:r>
        <w:t>qui</w:t>
      </w:r>
      <w:r w:rsidRPr="002C4077">
        <w:t xml:space="preserve"> </w:t>
      </w:r>
      <w:r>
        <w:t>eut</w:t>
      </w:r>
      <w:r w:rsidRPr="002C4077">
        <w:t xml:space="preserve"> </w:t>
      </w:r>
      <w:r>
        <w:t>lieu.</w:t>
      </w:r>
      <w:r w:rsidRPr="002C4077">
        <w:t xml:space="preserve"> </w:t>
      </w:r>
      <w:r>
        <w:t>Or,</w:t>
      </w:r>
      <w:r w:rsidRPr="002C4077">
        <w:t xml:space="preserve"> </w:t>
      </w:r>
      <w:r>
        <w:t>si</w:t>
      </w:r>
      <w:r w:rsidRPr="002C4077">
        <w:t xml:space="preserve"> </w:t>
      </w:r>
      <w:r>
        <w:t>les</w:t>
      </w:r>
      <w:r w:rsidRPr="002C4077">
        <w:t xml:space="preserve"> </w:t>
      </w:r>
      <w:r>
        <w:t>faits</w:t>
      </w:r>
      <w:r w:rsidRPr="002C4077">
        <w:t xml:space="preserve"> </w:t>
      </w:r>
      <w:r>
        <w:t>se</w:t>
      </w:r>
      <w:r w:rsidRPr="002C4077">
        <w:t xml:space="preserve"> </w:t>
      </w:r>
      <w:r>
        <w:t>sont</w:t>
      </w:r>
      <w:r w:rsidRPr="002C4077">
        <w:t xml:space="preserve"> </w:t>
      </w:r>
      <w:r>
        <w:t>réellement</w:t>
      </w:r>
      <w:r w:rsidRPr="002C4077">
        <w:t xml:space="preserve"> </w:t>
      </w:r>
      <w:r>
        <w:t>suivis</w:t>
      </w:r>
      <w:r w:rsidRPr="002C4077">
        <w:t xml:space="preserve"> </w:t>
      </w:r>
      <w:r>
        <w:t>dans</w:t>
      </w:r>
      <w:r w:rsidRPr="002C4077">
        <w:t xml:space="preserve"> </w:t>
      </w:r>
      <w:r>
        <w:t>l’ordre</w:t>
      </w:r>
      <w:r w:rsidRPr="002C4077">
        <w:t xml:space="preserve"> </w:t>
      </w:r>
      <w:r>
        <w:t>établi</w:t>
      </w:r>
      <w:r w:rsidRPr="002C4077">
        <w:t xml:space="preserve"> </w:t>
      </w:r>
      <w:r>
        <w:t>par</w:t>
      </w:r>
      <w:r w:rsidRPr="002C4077">
        <w:t xml:space="preserve"> </w:t>
      </w:r>
      <w:r>
        <w:t>le</w:t>
      </w:r>
      <w:r w:rsidRPr="002C4077">
        <w:t xml:space="preserve"> </w:t>
      </w:r>
      <w:r>
        <w:t>troisième</w:t>
      </w:r>
      <w:r w:rsidRPr="002C4077">
        <w:t xml:space="preserve"> </w:t>
      </w:r>
      <w:r>
        <w:t>éva</w:t>
      </w:r>
      <w:r w:rsidR="001730C6">
        <w:t>ng</w:t>
      </w:r>
      <w:r>
        <w:t>éliste,</w:t>
      </w:r>
      <w:r w:rsidRPr="002C4077">
        <w:t xml:space="preserve"> </w:t>
      </w:r>
      <w:r>
        <w:t>nos</w:t>
      </w:r>
      <w:r w:rsidRPr="002C4077">
        <w:t xml:space="preserve"> </w:t>
      </w:r>
      <w:r>
        <w:t>adversaires</w:t>
      </w:r>
      <w:r w:rsidRPr="002C4077">
        <w:t xml:space="preserve"> </w:t>
      </w:r>
      <w:r>
        <w:t>ont</w:t>
      </w:r>
      <w:r w:rsidRPr="002C4077">
        <w:t xml:space="preserve"> </w:t>
      </w:r>
      <w:r>
        <w:t>gagné</w:t>
      </w:r>
      <w:r w:rsidRPr="002C4077">
        <w:t xml:space="preserve"> </w:t>
      </w:r>
      <w:r>
        <w:t>leur</w:t>
      </w:r>
      <w:r w:rsidRPr="002C4077">
        <w:t xml:space="preserve"> </w:t>
      </w:r>
      <w:r>
        <w:t>cause,</w:t>
      </w:r>
      <w:r w:rsidRPr="002C4077">
        <w:t xml:space="preserve"> </w:t>
      </w:r>
      <w:r>
        <w:t>et</w:t>
      </w:r>
      <w:r w:rsidRPr="002C4077">
        <w:t xml:space="preserve"> </w:t>
      </w:r>
      <w:r>
        <w:t>il</w:t>
      </w:r>
      <w:r w:rsidRPr="002C4077">
        <w:t xml:space="preserve"> </w:t>
      </w:r>
      <w:r>
        <w:t>nous</w:t>
      </w:r>
      <w:r w:rsidRPr="002C4077">
        <w:t xml:space="preserve"> </w:t>
      </w:r>
      <w:r>
        <w:t>faudra</w:t>
      </w:r>
      <w:r w:rsidRPr="002C4077">
        <w:t xml:space="preserve"> </w:t>
      </w:r>
      <w:r>
        <w:t>bien</w:t>
      </w:r>
      <w:r w:rsidRPr="002C4077">
        <w:t xml:space="preserve"> </w:t>
      </w:r>
      <w:r>
        <w:t>reconnaître</w:t>
      </w:r>
      <w:r w:rsidRPr="002C4077">
        <w:t xml:space="preserve"> </w:t>
      </w:r>
      <w:r>
        <w:t>que</w:t>
      </w:r>
      <w:r w:rsidRPr="002C4077">
        <w:t xml:space="preserve"> </w:t>
      </w:r>
      <w:r>
        <w:t>le</w:t>
      </w:r>
      <w:r w:rsidRPr="002C4077">
        <w:t xml:space="preserve"> </w:t>
      </w:r>
      <w:r>
        <w:t>traître</w:t>
      </w:r>
      <w:r w:rsidRPr="002C4077">
        <w:t xml:space="preserve"> </w:t>
      </w:r>
      <w:r>
        <w:t>comm</w:t>
      </w:r>
      <w:r w:rsidR="003B53FD">
        <w:t>únia</w:t>
      </w:r>
      <w:r w:rsidRPr="002C4077">
        <w:t xml:space="preserve"> </w:t>
      </w:r>
      <w:r>
        <w:t>avec</w:t>
      </w:r>
      <w:r w:rsidRPr="002C4077">
        <w:t xml:space="preserve"> </w:t>
      </w:r>
      <w:r>
        <w:t>les</w:t>
      </w:r>
      <w:r w:rsidRPr="002C4077">
        <w:t xml:space="preserve"> </w:t>
      </w:r>
      <w:r>
        <w:t>autres</w:t>
      </w:r>
      <w:r w:rsidRPr="002C4077">
        <w:t xml:space="preserve"> </w:t>
      </w:r>
      <w:r>
        <w:t>apôtres,</w:t>
      </w:r>
      <w:r w:rsidRPr="002C4077">
        <w:t xml:space="preserve"> </w:t>
      </w:r>
      <w:r>
        <w:t>puisqu’il</w:t>
      </w:r>
      <w:r w:rsidRPr="002C4077">
        <w:t xml:space="preserve"> </w:t>
      </w:r>
      <w:r>
        <w:t>n’avait</w:t>
      </w:r>
      <w:r w:rsidRPr="002C4077">
        <w:t xml:space="preserve"> </w:t>
      </w:r>
      <w:r>
        <w:t>pas</w:t>
      </w:r>
      <w:r w:rsidRPr="002C4077">
        <w:t xml:space="preserve"> </w:t>
      </w:r>
      <w:r>
        <w:t>encore,</w:t>
      </w:r>
      <w:r w:rsidRPr="002C4077">
        <w:t xml:space="preserve"> </w:t>
      </w:r>
      <w:r>
        <w:t>dans</w:t>
      </w:r>
      <w:r w:rsidRPr="002C4077">
        <w:t xml:space="preserve"> </w:t>
      </w:r>
      <w:r>
        <w:t>l’hypothèse,</w:t>
      </w:r>
      <w:r w:rsidRPr="002C4077">
        <w:t xml:space="preserve"> </w:t>
      </w:r>
      <w:r>
        <w:t>quitté</w:t>
      </w:r>
      <w:r w:rsidRPr="002C4077">
        <w:t xml:space="preserve"> </w:t>
      </w:r>
      <w:r>
        <w:t>le</w:t>
      </w:r>
      <w:r w:rsidRPr="002C4077">
        <w:t xml:space="preserve"> </w:t>
      </w:r>
      <w:r>
        <w:t>cénacle</w:t>
      </w:r>
      <w:r w:rsidRPr="002C4077">
        <w:t xml:space="preserve"> </w:t>
      </w:r>
      <w:r>
        <w:t>au</w:t>
      </w:r>
      <w:r w:rsidRPr="002C4077">
        <w:t xml:space="preserve"> </w:t>
      </w:r>
      <w:r>
        <w:t>moment</w:t>
      </w:r>
      <w:r w:rsidRPr="002C4077">
        <w:t xml:space="preserve"> </w:t>
      </w:r>
      <w:r>
        <w:t>où</w:t>
      </w:r>
      <w:r w:rsidRPr="002C4077">
        <w:t xml:space="preserve"> </w:t>
      </w:r>
      <w:r>
        <w:t>Notre</w:t>
      </w:r>
      <w:r w:rsidRPr="002C4077">
        <w:t xml:space="preserve"> </w:t>
      </w:r>
      <w:r>
        <w:t>Seigneur</w:t>
      </w:r>
      <w:r w:rsidRPr="002C4077">
        <w:t xml:space="preserve"> </w:t>
      </w:r>
      <w:r>
        <w:t>parla</w:t>
      </w:r>
      <w:r w:rsidRPr="002C4077">
        <w:t xml:space="preserve"> </w:t>
      </w:r>
      <w:r>
        <w:t>de</w:t>
      </w:r>
      <w:r w:rsidRPr="002C4077">
        <w:t xml:space="preserve"> </w:t>
      </w:r>
      <w:r w:rsidR="003B53FD">
        <w:t>celui</w:t>
      </w:r>
      <w:r w:rsidRPr="002C4077">
        <w:t xml:space="preserve"> </w:t>
      </w:r>
      <w:r>
        <w:t>qui</w:t>
      </w:r>
      <w:r w:rsidRPr="002C4077">
        <w:t xml:space="preserve"> </w:t>
      </w:r>
      <w:r>
        <w:t>devait</w:t>
      </w:r>
      <w:r w:rsidRPr="002C4077">
        <w:t xml:space="preserve"> </w:t>
      </w:r>
      <w:r>
        <w:t>le</w:t>
      </w:r>
      <w:r w:rsidRPr="002C4077">
        <w:t xml:space="preserve"> </w:t>
      </w:r>
      <w:r>
        <w:t>trahir,</w:t>
      </w:r>
      <w:r w:rsidRPr="002C4077">
        <w:t xml:space="preserve"> </w:t>
      </w:r>
      <w:r>
        <w:t>et</w:t>
      </w:r>
      <w:r w:rsidRPr="002C4077">
        <w:t xml:space="preserve"> </w:t>
      </w:r>
      <w:r>
        <w:t>que</w:t>
      </w:r>
      <w:r w:rsidRPr="002C4077">
        <w:t xml:space="preserve"> </w:t>
      </w:r>
      <w:r>
        <w:t>Judas</w:t>
      </w:r>
      <w:r w:rsidRPr="002C4077">
        <w:t xml:space="preserve"> </w:t>
      </w:r>
      <w:r>
        <w:t>lui</w:t>
      </w:r>
      <w:r w:rsidRPr="002C4077">
        <w:t xml:space="preserve"> </w:t>
      </w:r>
      <w:r>
        <w:t>demanda</w:t>
      </w:r>
      <w:r w:rsidRPr="002C4077">
        <w:t xml:space="preserve"> </w:t>
      </w:r>
      <w:r>
        <w:t>comme</w:t>
      </w:r>
      <w:r w:rsidRPr="002C4077">
        <w:t xml:space="preserve"> </w:t>
      </w:r>
      <w:r>
        <w:t>les</w:t>
      </w:r>
      <w:r w:rsidRPr="002C4077">
        <w:t xml:space="preserve"> </w:t>
      </w:r>
      <w:r>
        <w:t>autres</w:t>
      </w:r>
      <w:r w:rsidR="00B546AF">
        <w:t> :</w:t>
      </w:r>
      <w:r w:rsidRPr="002C4077">
        <w:t xml:space="preserve"> </w:t>
      </w:r>
      <w:r>
        <w:t>Est-ce</w:t>
      </w:r>
      <w:r w:rsidRPr="002C4077">
        <w:t xml:space="preserve"> </w:t>
      </w:r>
      <w:r>
        <w:t>moi,</w:t>
      </w:r>
      <w:r w:rsidRPr="002C4077">
        <w:t xml:space="preserve"> </w:t>
      </w:r>
      <w:r>
        <w:t>Seigneur,</w:t>
      </w:r>
      <w:r w:rsidRPr="002C4077">
        <w:t xml:space="preserve"> </w:t>
      </w:r>
      <w:r>
        <w:t>qui</w:t>
      </w:r>
      <w:r w:rsidRPr="002C4077">
        <w:t xml:space="preserve"> </w:t>
      </w:r>
      <w:r>
        <w:t>vous</w:t>
      </w:r>
      <w:r w:rsidRPr="002C4077">
        <w:t xml:space="preserve"> </w:t>
      </w:r>
      <w:r>
        <w:t>livrerai</w:t>
      </w:r>
      <w:r w:rsidR="00B546AF">
        <w:t> ?</w:t>
      </w:r>
      <w:r w:rsidR="00C45B47">
        <w:t xml:space="preserve"> {</w:t>
      </w:r>
      <w:r w:rsidR="005E2129">
        <w:t>314</w:t>
      </w:r>
      <w:bookmarkStart w:id="767" w:name="p314"/>
      <w:bookmarkEnd w:id="767"/>
      <w:r w:rsidR="005E2129">
        <w:t xml:space="preserve">} </w:t>
      </w:r>
    </w:p>
    <w:p w:rsidR="000A7AAB" w:rsidRDefault="000A7AAB" w:rsidP="000A7AAB">
      <w:r>
        <w:t>Heureusement,</w:t>
      </w:r>
      <w:r w:rsidRPr="002C4077">
        <w:t xml:space="preserve"> </w:t>
      </w:r>
      <w:r>
        <w:t>plusieurs</w:t>
      </w:r>
      <w:r w:rsidRPr="002C4077">
        <w:t xml:space="preserve"> </w:t>
      </w:r>
      <w:r>
        <w:t>circonstances</w:t>
      </w:r>
      <w:r w:rsidRPr="002C4077">
        <w:t xml:space="preserve"> </w:t>
      </w:r>
      <w:r>
        <w:t>nous</w:t>
      </w:r>
      <w:r w:rsidRPr="002C4077">
        <w:t xml:space="preserve"> </w:t>
      </w:r>
      <w:r>
        <w:t>démontrent</w:t>
      </w:r>
      <w:r w:rsidRPr="002C4077">
        <w:t xml:space="preserve"> </w:t>
      </w:r>
      <w:r>
        <w:t>que</w:t>
      </w:r>
      <w:r w:rsidRPr="002C4077">
        <w:t xml:space="preserve"> </w:t>
      </w:r>
      <w:r>
        <w:t>S.</w:t>
      </w:r>
      <w:r w:rsidRPr="002C4077">
        <w:t xml:space="preserve"> </w:t>
      </w:r>
      <w:r>
        <w:t>Luc</w:t>
      </w:r>
      <w:r w:rsidRPr="002C4077">
        <w:t xml:space="preserve"> </w:t>
      </w:r>
      <w:r>
        <w:t>a</w:t>
      </w:r>
      <w:r w:rsidRPr="002C4077">
        <w:t xml:space="preserve"> </w:t>
      </w:r>
      <w:r>
        <w:t>groupé</w:t>
      </w:r>
      <w:r w:rsidRPr="002C4077">
        <w:t xml:space="preserve"> </w:t>
      </w:r>
      <w:r>
        <w:t>les</w:t>
      </w:r>
      <w:r w:rsidRPr="002C4077">
        <w:t xml:space="preserve"> </w:t>
      </w:r>
      <w:r>
        <w:t>événements</w:t>
      </w:r>
      <w:r w:rsidRPr="002C4077">
        <w:t xml:space="preserve"> </w:t>
      </w:r>
      <w:r>
        <w:t>d’après</w:t>
      </w:r>
      <w:r w:rsidRPr="002C4077">
        <w:t xml:space="preserve"> </w:t>
      </w:r>
      <w:r>
        <w:t>un</w:t>
      </w:r>
      <w:r w:rsidRPr="002C4077">
        <w:t xml:space="preserve"> </w:t>
      </w:r>
      <w:r>
        <w:t>ordre</w:t>
      </w:r>
      <w:r w:rsidRPr="002C4077">
        <w:t xml:space="preserve"> </w:t>
      </w:r>
      <w:r>
        <w:t>plutôt</w:t>
      </w:r>
      <w:r w:rsidRPr="002C4077">
        <w:t xml:space="preserve"> </w:t>
      </w:r>
      <w:r>
        <w:t>logique</w:t>
      </w:r>
      <w:r w:rsidRPr="002C4077">
        <w:t xml:space="preserve"> </w:t>
      </w:r>
      <w:r>
        <w:t>et</w:t>
      </w:r>
      <w:r w:rsidRPr="002C4077">
        <w:t xml:space="preserve"> </w:t>
      </w:r>
      <w:r>
        <w:t>subjectif</w:t>
      </w:r>
      <w:r w:rsidRPr="002C4077">
        <w:t xml:space="preserve"> </w:t>
      </w:r>
      <w:r>
        <w:t>que</w:t>
      </w:r>
      <w:r w:rsidRPr="002C4077">
        <w:t xml:space="preserve"> </w:t>
      </w:r>
      <w:r>
        <w:t>réel.</w:t>
      </w:r>
      <w:r w:rsidRPr="002C4077">
        <w:t xml:space="preserve"> </w:t>
      </w:r>
    </w:p>
    <w:p w:rsidR="000A7AAB" w:rsidRDefault="000A7AAB" w:rsidP="000A7AAB">
      <w:r>
        <w:t>Qu’on</w:t>
      </w:r>
      <w:r w:rsidRPr="002C4077">
        <w:t xml:space="preserve"> </w:t>
      </w:r>
      <w:r>
        <w:t>lise</w:t>
      </w:r>
      <w:r w:rsidRPr="002C4077">
        <w:t xml:space="preserve"> </w:t>
      </w:r>
      <w:r>
        <w:t>avec</w:t>
      </w:r>
      <w:r w:rsidRPr="002C4077">
        <w:t xml:space="preserve"> </w:t>
      </w:r>
      <w:r>
        <w:t>attention</w:t>
      </w:r>
      <w:r w:rsidRPr="002C4077">
        <w:t xml:space="preserve"> </w:t>
      </w:r>
      <w:r>
        <w:t>toute</w:t>
      </w:r>
      <w:r w:rsidRPr="002C4077">
        <w:t xml:space="preserve"> </w:t>
      </w:r>
      <w:r>
        <w:t>cette</w:t>
      </w:r>
      <w:r w:rsidRPr="002C4077">
        <w:t xml:space="preserve"> </w:t>
      </w:r>
      <w:r>
        <w:t>partie</w:t>
      </w:r>
      <w:r w:rsidRPr="002C4077">
        <w:t xml:space="preserve"> </w:t>
      </w:r>
      <w:r>
        <w:t>de</w:t>
      </w:r>
      <w:r w:rsidRPr="002C4077">
        <w:t xml:space="preserve"> </w:t>
      </w:r>
      <w:r>
        <w:t>son</w:t>
      </w:r>
      <w:r w:rsidRPr="002C4077">
        <w:t xml:space="preserve"> </w:t>
      </w:r>
      <w:r>
        <w:t>récit</w:t>
      </w:r>
      <w:r w:rsidR="00B91AF7">
        <w:rPr>
          <w:rStyle w:val="Appelnotedebasdep"/>
        </w:rPr>
        <w:footnoteReference w:id="922"/>
      </w:r>
      <w:r>
        <w:t>.</w:t>
      </w:r>
      <w:r w:rsidRPr="002C4077">
        <w:t xml:space="preserve"> </w:t>
      </w:r>
      <w:r>
        <w:t>On</w:t>
      </w:r>
      <w:r w:rsidRPr="002C4077">
        <w:t xml:space="preserve"> </w:t>
      </w:r>
      <w:r>
        <w:t>verra</w:t>
      </w:r>
      <w:r w:rsidRPr="002C4077">
        <w:t xml:space="preserve"> </w:t>
      </w:r>
      <w:r>
        <w:t>qu’il</w:t>
      </w:r>
      <w:r w:rsidRPr="002C4077">
        <w:t xml:space="preserve"> </w:t>
      </w:r>
      <w:r>
        <w:t>procède</w:t>
      </w:r>
      <w:r w:rsidRPr="002C4077">
        <w:t xml:space="preserve"> </w:t>
      </w:r>
      <w:r w:rsidR="00B546AF">
        <w:t>« </w:t>
      </w:r>
      <w:r>
        <w:t>par</w:t>
      </w:r>
      <w:r w:rsidRPr="002C4077">
        <w:t xml:space="preserve"> </w:t>
      </w:r>
      <w:r>
        <w:t>fragments</w:t>
      </w:r>
      <w:r w:rsidR="00B546AF">
        <w:t> »</w:t>
      </w:r>
      <w:r>
        <w:t>,</w:t>
      </w:r>
      <w:r w:rsidRPr="002C4077">
        <w:t xml:space="preserve"> </w:t>
      </w:r>
      <w:r>
        <w:t>ou</w:t>
      </w:r>
      <w:r w:rsidRPr="002C4077">
        <w:t xml:space="preserve"> </w:t>
      </w:r>
      <w:r>
        <w:t>d’une</w:t>
      </w:r>
      <w:r w:rsidRPr="002C4077">
        <w:t xml:space="preserve"> </w:t>
      </w:r>
      <w:r>
        <w:t>manière</w:t>
      </w:r>
      <w:r w:rsidRPr="002C4077">
        <w:t xml:space="preserve"> </w:t>
      </w:r>
      <w:r>
        <w:t>décousue,</w:t>
      </w:r>
      <w:r w:rsidRPr="002C4077">
        <w:t xml:space="preserve"> </w:t>
      </w:r>
      <w:r>
        <w:t>comme</w:t>
      </w:r>
      <w:r w:rsidRPr="002C4077">
        <w:t xml:space="preserve"> </w:t>
      </w:r>
      <w:r>
        <w:t>on</w:t>
      </w:r>
      <w:r w:rsidRPr="002C4077">
        <w:t xml:space="preserve"> </w:t>
      </w:r>
      <w:r>
        <w:t>l’a</w:t>
      </w:r>
      <w:r w:rsidRPr="002C4077">
        <w:t xml:space="preserve"> </w:t>
      </w:r>
      <w:r>
        <w:t>dit</w:t>
      </w:r>
      <w:r w:rsidRPr="002C4077">
        <w:t xml:space="preserve"> </w:t>
      </w:r>
      <w:r>
        <w:t>avec</w:t>
      </w:r>
      <w:r w:rsidRPr="002C4077">
        <w:t xml:space="preserve"> </w:t>
      </w:r>
      <w:r>
        <w:t>beaucoup</w:t>
      </w:r>
      <w:r w:rsidRPr="002C4077">
        <w:t xml:space="preserve"> </w:t>
      </w:r>
      <w:r>
        <w:t>de</w:t>
      </w:r>
      <w:r w:rsidRPr="002C4077">
        <w:t xml:space="preserve"> </w:t>
      </w:r>
      <w:r>
        <w:t>justesse</w:t>
      </w:r>
      <w:r w:rsidR="00B546AF">
        <w:t> ;</w:t>
      </w:r>
      <w:r w:rsidRPr="002C4077">
        <w:t xml:space="preserve"> </w:t>
      </w:r>
      <w:r>
        <w:t>que</w:t>
      </w:r>
      <w:r w:rsidRPr="002C4077">
        <w:t xml:space="preserve"> </w:t>
      </w:r>
      <w:r>
        <w:t>les</w:t>
      </w:r>
      <w:r w:rsidRPr="002C4077">
        <w:t xml:space="preserve"> </w:t>
      </w:r>
      <w:r>
        <w:t>différentes</w:t>
      </w:r>
      <w:r w:rsidRPr="002C4077">
        <w:t xml:space="preserve"> </w:t>
      </w:r>
      <w:r>
        <w:t>scènes</w:t>
      </w:r>
      <w:r w:rsidRPr="002C4077">
        <w:t xml:space="preserve"> </w:t>
      </w:r>
      <w:r>
        <w:t>qu’il</w:t>
      </w:r>
      <w:r w:rsidRPr="002C4077">
        <w:t xml:space="preserve"> </w:t>
      </w:r>
      <w:r>
        <w:t>raconte</w:t>
      </w:r>
      <w:r w:rsidRPr="002C4077">
        <w:t xml:space="preserve"> </w:t>
      </w:r>
      <w:r>
        <w:t>sont</w:t>
      </w:r>
      <w:r w:rsidRPr="002C4077">
        <w:t xml:space="preserve"> </w:t>
      </w:r>
      <w:r>
        <w:t>placées</w:t>
      </w:r>
      <w:r w:rsidRPr="002C4077">
        <w:t xml:space="preserve"> </w:t>
      </w:r>
      <w:r>
        <w:t>les</w:t>
      </w:r>
      <w:r w:rsidRPr="002C4077">
        <w:t xml:space="preserve"> </w:t>
      </w:r>
      <w:r>
        <w:t>unes</w:t>
      </w:r>
      <w:r w:rsidRPr="002C4077">
        <w:t xml:space="preserve"> </w:t>
      </w:r>
      <w:r>
        <w:t>à</w:t>
      </w:r>
      <w:r w:rsidRPr="002C4077">
        <w:t xml:space="preserve"> </w:t>
      </w:r>
      <w:r>
        <w:t>la</w:t>
      </w:r>
      <w:r w:rsidRPr="002C4077">
        <w:t xml:space="preserve"> </w:t>
      </w:r>
      <w:r>
        <w:t>suite</w:t>
      </w:r>
      <w:r w:rsidRPr="002C4077">
        <w:t xml:space="preserve"> </w:t>
      </w:r>
      <w:r>
        <w:t>des</w:t>
      </w:r>
      <w:r w:rsidRPr="002C4077">
        <w:t xml:space="preserve"> </w:t>
      </w:r>
      <w:r>
        <w:t>autres</w:t>
      </w:r>
      <w:r w:rsidRPr="002C4077">
        <w:t xml:space="preserve"> </w:t>
      </w:r>
      <w:r>
        <w:t>presque</w:t>
      </w:r>
      <w:r w:rsidRPr="002C4077">
        <w:t xml:space="preserve"> </w:t>
      </w:r>
      <w:r>
        <w:t>sans</w:t>
      </w:r>
      <w:r w:rsidRPr="002C4077">
        <w:t xml:space="preserve"> </w:t>
      </w:r>
      <w:r>
        <w:t>transition,</w:t>
      </w:r>
      <w:r w:rsidRPr="002C4077">
        <w:t xml:space="preserve"> </w:t>
      </w:r>
      <w:r>
        <w:t>d’une</w:t>
      </w:r>
      <w:r w:rsidRPr="002C4077">
        <w:t xml:space="preserve"> </w:t>
      </w:r>
      <w:r>
        <w:t>manière</w:t>
      </w:r>
      <w:r w:rsidRPr="002C4077">
        <w:t xml:space="preserve"> </w:t>
      </w:r>
      <w:r>
        <w:t>tout</w:t>
      </w:r>
      <w:r w:rsidRPr="002C4077">
        <w:t xml:space="preserve"> </w:t>
      </w:r>
      <w:r>
        <w:t>à</w:t>
      </w:r>
      <w:r w:rsidRPr="002C4077">
        <w:t xml:space="preserve"> </w:t>
      </w:r>
      <w:r>
        <w:t>fait</w:t>
      </w:r>
      <w:r w:rsidRPr="002C4077">
        <w:t xml:space="preserve"> </w:t>
      </w:r>
      <w:r>
        <w:t>indépendante</w:t>
      </w:r>
      <w:r w:rsidR="00B91AF7">
        <w:rPr>
          <w:rStyle w:val="Appelnotedebasdep"/>
        </w:rPr>
        <w:footnoteReference w:id="923"/>
      </w:r>
      <w:r>
        <w:t>.</w:t>
      </w:r>
      <w:r w:rsidRPr="002C4077">
        <w:t xml:space="preserve"> </w:t>
      </w:r>
    </w:p>
    <w:p w:rsidR="000A7AAB" w:rsidRDefault="000A7AAB" w:rsidP="000A7AAB">
      <w:r>
        <w:t>Au</w:t>
      </w:r>
      <w:r w:rsidRPr="002C4077">
        <w:t xml:space="preserve"> </w:t>
      </w:r>
      <w:r>
        <w:t>verset</w:t>
      </w:r>
      <w:r w:rsidRPr="002C4077">
        <w:t xml:space="preserve"> </w:t>
      </w:r>
      <w:r>
        <w:t>24,</w:t>
      </w:r>
      <w:r w:rsidRPr="002C4077">
        <w:t xml:space="preserve"> </w:t>
      </w:r>
      <w:r>
        <w:t>il</w:t>
      </w:r>
      <w:r w:rsidRPr="002C4077">
        <w:t xml:space="preserve"> </w:t>
      </w:r>
      <w:r>
        <w:t>nous</w:t>
      </w:r>
      <w:r w:rsidRPr="002C4077">
        <w:t xml:space="preserve"> </w:t>
      </w:r>
      <w:r>
        <w:t>dit</w:t>
      </w:r>
      <w:r w:rsidRPr="002C4077">
        <w:t xml:space="preserve"> </w:t>
      </w:r>
      <w:r w:rsidRPr="000A34B5">
        <w:rPr>
          <w:rStyle w:val="italicus"/>
        </w:rPr>
        <w:t>ex</w:t>
      </w:r>
      <w:r w:rsidRPr="002C4077">
        <w:t xml:space="preserve"> </w:t>
      </w:r>
      <w:r w:rsidRPr="000A34B5">
        <w:rPr>
          <w:rStyle w:val="italicus"/>
        </w:rPr>
        <w:t>abrupto</w:t>
      </w:r>
      <w:r w:rsidRPr="002C4077">
        <w:t xml:space="preserve"> </w:t>
      </w:r>
      <w:r>
        <w:t>qu’une</w:t>
      </w:r>
      <w:r w:rsidRPr="002C4077">
        <w:t xml:space="preserve"> </w:t>
      </w:r>
      <w:r>
        <w:t>vive</w:t>
      </w:r>
      <w:r w:rsidRPr="002C4077">
        <w:t xml:space="preserve"> </w:t>
      </w:r>
      <w:r>
        <w:t>discussion</w:t>
      </w:r>
      <w:r w:rsidRPr="002C4077">
        <w:t xml:space="preserve"> </w:t>
      </w:r>
      <w:r>
        <w:t>s’engagea</w:t>
      </w:r>
      <w:r w:rsidRPr="002C4077">
        <w:t xml:space="preserve"> </w:t>
      </w:r>
      <w:r>
        <w:t>entre</w:t>
      </w:r>
      <w:r w:rsidRPr="002C4077">
        <w:t xml:space="preserve"> </w:t>
      </w:r>
      <w:r>
        <w:t>les</w:t>
      </w:r>
      <w:r w:rsidRPr="002C4077">
        <w:t xml:space="preserve"> </w:t>
      </w:r>
      <w:r>
        <w:t>apôtres</w:t>
      </w:r>
      <w:r w:rsidRPr="002C4077">
        <w:t xml:space="preserve"> </w:t>
      </w:r>
      <w:r>
        <w:t>au</w:t>
      </w:r>
      <w:r w:rsidRPr="002C4077">
        <w:t xml:space="preserve"> </w:t>
      </w:r>
      <w:r>
        <w:t>sujet</w:t>
      </w:r>
      <w:r w:rsidRPr="002C4077">
        <w:t xml:space="preserve"> </w:t>
      </w:r>
      <w:r>
        <w:t>de</w:t>
      </w:r>
      <w:r w:rsidRPr="002C4077">
        <w:t xml:space="preserve"> </w:t>
      </w:r>
      <w:r>
        <w:t>leur</w:t>
      </w:r>
      <w:r w:rsidRPr="002C4077">
        <w:t xml:space="preserve"> </w:t>
      </w:r>
      <w:r>
        <w:t>dignité</w:t>
      </w:r>
      <w:r w:rsidRPr="002C4077">
        <w:t xml:space="preserve"> </w:t>
      </w:r>
      <w:r>
        <w:t>personnelle.</w:t>
      </w:r>
      <w:r w:rsidRPr="002C4077">
        <w:t xml:space="preserve"> </w:t>
      </w:r>
      <w:r>
        <w:t>Cet</w:t>
      </w:r>
      <w:r w:rsidRPr="002C4077">
        <w:t xml:space="preserve"> </w:t>
      </w:r>
      <w:r>
        <w:t>épisode,</w:t>
      </w:r>
      <w:r w:rsidRPr="002C4077">
        <w:t xml:space="preserve"> </w:t>
      </w:r>
      <w:r>
        <w:t>à</w:t>
      </w:r>
      <w:r w:rsidRPr="002C4077">
        <w:t xml:space="preserve"> </w:t>
      </w:r>
      <w:r>
        <w:t>en</w:t>
      </w:r>
      <w:r w:rsidRPr="002C4077">
        <w:t xml:space="preserve"> </w:t>
      </w:r>
      <w:r>
        <w:t>juger</w:t>
      </w:r>
      <w:r w:rsidRPr="002C4077">
        <w:t xml:space="preserve"> </w:t>
      </w:r>
      <w:r>
        <w:t>par</w:t>
      </w:r>
      <w:r w:rsidRPr="002C4077">
        <w:t xml:space="preserve"> </w:t>
      </w:r>
      <w:r>
        <w:t>la</w:t>
      </w:r>
      <w:r w:rsidRPr="002C4077">
        <w:t xml:space="preserve"> </w:t>
      </w:r>
      <w:r>
        <w:t>place</w:t>
      </w:r>
      <w:r w:rsidRPr="002C4077">
        <w:t xml:space="preserve"> </w:t>
      </w:r>
      <w:r>
        <w:t>qu’il</w:t>
      </w:r>
      <w:r w:rsidRPr="002C4077">
        <w:t xml:space="preserve"> </w:t>
      </w:r>
      <w:r>
        <w:t>lui</w:t>
      </w:r>
      <w:r w:rsidRPr="002C4077">
        <w:t xml:space="preserve"> </w:t>
      </w:r>
      <w:r>
        <w:t>assigne,</w:t>
      </w:r>
      <w:r w:rsidRPr="002C4077">
        <w:t xml:space="preserve"> </w:t>
      </w:r>
      <w:r>
        <w:t>aurait</w:t>
      </w:r>
      <w:r w:rsidRPr="002C4077">
        <w:t xml:space="preserve"> </w:t>
      </w:r>
      <w:r>
        <w:t>eu</w:t>
      </w:r>
      <w:r w:rsidRPr="002C4077">
        <w:t xml:space="preserve"> </w:t>
      </w:r>
      <w:r>
        <w:t>lieu</w:t>
      </w:r>
      <w:r w:rsidRPr="002C4077">
        <w:t xml:space="preserve"> </w:t>
      </w:r>
      <w:r>
        <w:t>après</w:t>
      </w:r>
      <w:r w:rsidRPr="002C4077">
        <w:t xml:space="preserve"> </w:t>
      </w:r>
      <w:r>
        <w:t>le</w:t>
      </w:r>
      <w:r w:rsidRPr="002C4077">
        <w:t xml:space="preserve"> </w:t>
      </w:r>
      <w:r>
        <w:t>souper</w:t>
      </w:r>
      <w:r w:rsidRPr="002C4077">
        <w:t xml:space="preserve"> </w:t>
      </w:r>
      <w:r>
        <w:t>légal,</w:t>
      </w:r>
      <w:r w:rsidRPr="002C4077">
        <w:t xml:space="preserve"> </w:t>
      </w:r>
      <w:r>
        <w:t>et</w:t>
      </w:r>
      <w:r w:rsidRPr="002C4077">
        <w:t xml:space="preserve"> </w:t>
      </w:r>
      <w:r w:rsidR="00F042F3">
        <w:t>même</w:t>
      </w:r>
      <w:r w:rsidRPr="002C4077">
        <w:t xml:space="preserve"> </w:t>
      </w:r>
      <w:r>
        <w:t>après</w:t>
      </w:r>
      <w:r w:rsidRPr="002C4077">
        <w:t xml:space="preserve"> </w:t>
      </w:r>
      <w:r>
        <w:t>le</w:t>
      </w:r>
      <w:r w:rsidRPr="002C4077">
        <w:t xml:space="preserve"> </w:t>
      </w:r>
      <w:r>
        <w:t>repas</w:t>
      </w:r>
      <w:r w:rsidRPr="002C4077">
        <w:t xml:space="preserve"> </w:t>
      </w:r>
      <w:r>
        <w:t>eucharistique</w:t>
      </w:r>
      <w:r w:rsidR="00B546AF">
        <w:t> ;</w:t>
      </w:r>
      <w:r w:rsidRPr="002C4077">
        <w:t xml:space="preserve"> </w:t>
      </w:r>
      <w:r>
        <w:t>or,</w:t>
      </w:r>
      <w:r w:rsidRPr="002C4077">
        <w:t xml:space="preserve"> </w:t>
      </w:r>
      <w:r>
        <w:t>en</w:t>
      </w:r>
      <w:r w:rsidRPr="002C4077">
        <w:t xml:space="preserve"> </w:t>
      </w:r>
      <w:r>
        <w:t>vérité</w:t>
      </w:r>
      <w:r w:rsidRPr="002C4077">
        <w:t xml:space="preserve"> </w:t>
      </w:r>
      <w:r>
        <w:t>la</w:t>
      </w:r>
      <w:r w:rsidRPr="002C4077">
        <w:t xml:space="preserve"> </w:t>
      </w:r>
      <w:r>
        <w:t>dispute</w:t>
      </w:r>
      <w:r w:rsidRPr="002C4077">
        <w:t xml:space="preserve"> </w:t>
      </w:r>
      <w:r>
        <w:t>avait</w:t>
      </w:r>
      <w:r w:rsidRPr="002C4077">
        <w:t xml:space="preserve"> </w:t>
      </w:r>
      <w:r>
        <w:t>éclaté</w:t>
      </w:r>
      <w:r w:rsidRPr="002C4077">
        <w:t xml:space="preserve"> </w:t>
      </w:r>
      <w:r>
        <w:t>beaucoup</w:t>
      </w:r>
      <w:r w:rsidRPr="002C4077">
        <w:t xml:space="preserve"> </w:t>
      </w:r>
      <w:r>
        <w:t>plus</w:t>
      </w:r>
      <w:r w:rsidRPr="002C4077">
        <w:t xml:space="preserve"> </w:t>
      </w:r>
      <w:r>
        <w:t>tôt,</w:t>
      </w:r>
      <w:r w:rsidRPr="002C4077">
        <w:t xml:space="preserve"> </w:t>
      </w:r>
      <w:r>
        <w:t>occasionnée</w:t>
      </w:r>
      <w:r w:rsidRPr="002C4077">
        <w:t xml:space="preserve"> </w:t>
      </w:r>
      <w:r>
        <w:t>soit</w:t>
      </w:r>
      <w:r w:rsidRPr="002C4077">
        <w:t xml:space="preserve"> </w:t>
      </w:r>
      <w:r>
        <w:t>par</w:t>
      </w:r>
      <w:r w:rsidRPr="002C4077">
        <w:t xml:space="preserve"> </w:t>
      </w:r>
      <w:r>
        <w:t>l’ordre</w:t>
      </w:r>
      <w:r w:rsidRPr="002C4077">
        <w:t xml:space="preserve"> </w:t>
      </w:r>
      <w:r>
        <w:t>que</w:t>
      </w:r>
      <w:r w:rsidRPr="002C4077">
        <w:t xml:space="preserve"> </w:t>
      </w:r>
      <w:r>
        <w:t>Notre</w:t>
      </w:r>
      <w:r w:rsidRPr="002C4077">
        <w:t xml:space="preserve"> </w:t>
      </w:r>
      <w:r>
        <w:t>Seigneur</w:t>
      </w:r>
      <w:r w:rsidRPr="002C4077">
        <w:t xml:space="preserve"> </w:t>
      </w:r>
      <w:r w:rsidR="00425C50">
        <w:t>Jésus</w:t>
      </w:r>
      <w:r>
        <w:t>-</w:t>
      </w:r>
      <w:r w:rsidR="00425C50">
        <w:t>Christ</w:t>
      </w:r>
      <w:r w:rsidRPr="002C4077">
        <w:t xml:space="preserve"> </w:t>
      </w:r>
      <w:r>
        <w:t>avait</w:t>
      </w:r>
      <w:r w:rsidRPr="002C4077">
        <w:t xml:space="preserve"> </w:t>
      </w:r>
      <w:r>
        <w:t>suivi</w:t>
      </w:r>
      <w:r w:rsidRPr="002C4077">
        <w:t xml:space="preserve"> </w:t>
      </w:r>
      <w:r>
        <w:t>dans</w:t>
      </w:r>
      <w:r w:rsidRPr="002C4077">
        <w:t xml:space="preserve"> </w:t>
      </w:r>
      <w:r>
        <w:t>la</w:t>
      </w:r>
      <w:r w:rsidRPr="002C4077">
        <w:t xml:space="preserve"> </w:t>
      </w:r>
      <w:r>
        <w:t>cérémonie</w:t>
      </w:r>
      <w:r w:rsidRPr="002C4077">
        <w:t xml:space="preserve"> </w:t>
      </w:r>
      <w:r>
        <w:t>du</w:t>
      </w:r>
      <w:r w:rsidRPr="002C4077">
        <w:t xml:space="preserve"> </w:t>
      </w:r>
      <w:r>
        <w:t>lavement</w:t>
      </w:r>
      <w:r w:rsidRPr="002C4077">
        <w:t xml:space="preserve"> </w:t>
      </w:r>
      <w:r>
        <w:t>des</w:t>
      </w:r>
      <w:r w:rsidRPr="002C4077">
        <w:t xml:space="preserve"> </w:t>
      </w:r>
      <w:r>
        <w:t>pieds</w:t>
      </w:r>
      <w:r w:rsidR="004D315A">
        <w:rPr>
          <w:rStyle w:val="Appelnotedebasdep"/>
        </w:rPr>
        <w:footnoteReference w:id="924"/>
      </w:r>
      <w:r>
        <w:t>,</w:t>
      </w:r>
      <w:r w:rsidRPr="002C4077">
        <w:t xml:space="preserve"> </w:t>
      </w:r>
      <w:r>
        <w:t>soit</w:t>
      </w:r>
      <w:r w:rsidRPr="002C4077">
        <w:t xml:space="preserve"> </w:t>
      </w:r>
      <w:r>
        <w:t>par</w:t>
      </w:r>
      <w:r w:rsidRPr="002C4077">
        <w:t xml:space="preserve"> </w:t>
      </w:r>
      <w:r>
        <w:t>la</w:t>
      </w:r>
      <w:r w:rsidRPr="002C4077">
        <w:t xml:space="preserve"> </w:t>
      </w:r>
      <w:r>
        <w:t>place</w:t>
      </w:r>
      <w:r w:rsidRPr="002C4077">
        <w:t xml:space="preserve"> </w:t>
      </w:r>
      <w:r>
        <w:t>attribuée</w:t>
      </w:r>
      <w:r w:rsidRPr="002C4077">
        <w:t xml:space="preserve"> </w:t>
      </w:r>
      <w:r>
        <w:t>à</w:t>
      </w:r>
      <w:r w:rsidRPr="002C4077">
        <w:t xml:space="preserve"> </w:t>
      </w:r>
      <w:r>
        <w:t>chacun</w:t>
      </w:r>
      <w:r w:rsidRPr="002C4077">
        <w:t xml:space="preserve"> </w:t>
      </w:r>
      <w:r>
        <w:t>des</w:t>
      </w:r>
      <w:r w:rsidRPr="002C4077">
        <w:t xml:space="preserve"> </w:t>
      </w:r>
      <w:r>
        <w:t>apôtres</w:t>
      </w:r>
      <w:r w:rsidRPr="002C4077">
        <w:t xml:space="preserve"> </w:t>
      </w:r>
      <w:r>
        <w:t>au</w:t>
      </w:r>
      <w:r w:rsidRPr="002C4077">
        <w:t xml:space="preserve"> </w:t>
      </w:r>
      <w:r>
        <w:t>commencement</w:t>
      </w:r>
      <w:r w:rsidRPr="002C4077">
        <w:t xml:space="preserve"> </w:t>
      </w:r>
      <w:r>
        <w:t>du</w:t>
      </w:r>
      <w:r w:rsidRPr="002C4077">
        <w:t xml:space="preserve"> </w:t>
      </w:r>
      <w:r>
        <w:t>repas</w:t>
      </w:r>
      <w:r w:rsidR="00B91AF7">
        <w:rPr>
          <w:rStyle w:val="Appelnotedebasdep"/>
        </w:rPr>
        <w:footnoteReference w:id="925"/>
      </w:r>
      <w:r>
        <w:t>.</w:t>
      </w:r>
      <w:r w:rsidRPr="002C4077">
        <w:t xml:space="preserve"> </w:t>
      </w:r>
    </w:p>
    <w:p w:rsidR="000A7AAB" w:rsidRDefault="000A7AAB" w:rsidP="000A7AAB">
      <w:r>
        <w:lastRenderedPageBreak/>
        <w:t>Plus</w:t>
      </w:r>
      <w:r w:rsidRPr="002C4077">
        <w:t xml:space="preserve"> </w:t>
      </w:r>
      <w:r>
        <w:t>haut</w:t>
      </w:r>
      <w:r w:rsidRPr="004440EA">
        <w:t xml:space="preserve"> (</w:t>
      </w:r>
      <w:r>
        <w:t>versets</w:t>
      </w:r>
      <w:r w:rsidRPr="002C4077">
        <w:t xml:space="preserve"> </w:t>
      </w:r>
      <w:r>
        <w:t>15-20</w:t>
      </w:r>
      <w:r w:rsidR="00B546AF" w:rsidRPr="002C4077">
        <w:t>)</w:t>
      </w:r>
      <w:r w:rsidRPr="00950016">
        <w:t>,</w:t>
      </w:r>
      <w:r w:rsidRPr="002C4077">
        <w:t xml:space="preserve"> </w:t>
      </w:r>
      <w:r>
        <w:t>le</w:t>
      </w:r>
      <w:r w:rsidRPr="002C4077">
        <w:t xml:space="preserve"> </w:t>
      </w:r>
      <w:r>
        <w:t>récit</w:t>
      </w:r>
      <w:r w:rsidRPr="002C4077">
        <w:t xml:space="preserve"> </w:t>
      </w:r>
      <w:r>
        <w:t>de</w:t>
      </w:r>
      <w:r w:rsidRPr="002C4077">
        <w:t xml:space="preserve"> </w:t>
      </w:r>
      <w:r>
        <w:t>saint</w:t>
      </w:r>
      <w:r w:rsidRPr="002C4077">
        <w:t xml:space="preserve"> </w:t>
      </w:r>
      <w:r>
        <w:t>Luc</w:t>
      </w:r>
      <w:r w:rsidRPr="002C4077">
        <w:t xml:space="preserve"> </w:t>
      </w:r>
      <w:r>
        <w:t>présente</w:t>
      </w:r>
      <w:r w:rsidRPr="002C4077">
        <w:t xml:space="preserve"> </w:t>
      </w:r>
      <w:r>
        <w:t>au</w:t>
      </w:r>
      <w:r w:rsidRPr="002C4077">
        <w:t xml:space="preserve"> </w:t>
      </w:r>
      <w:r>
        <w:t>point</w:t>
      </w:r>
      <w:r w:rsidRPr="002C4077">
        <w:t xml:space="preserve"> </w:t>
      </w:r>
      <w:r>
        <w:t>de</w:t>
      </w:r>
      <w:r w:rsidRPr="002C4077">
        <w:t xml:space="preserve"> </w:t>
      </w:r>
      <w:r>
        <w:t>vue</w:t>
      </w:r>
      <w:r w:rsidRPr="002C4077">
        <w:t xml:space="preserve"> </w:t>
      </w:r>
      <w:r>
        <w:t>chronologique</w:t>
      </w:r>
      <w:r w:rsidRPr="002C4077">
        <w:t xml:space="preserve"> </w:t>
      </w:r>
      <w:r>
        <w:t>un</w:t>
      </w:r>
      <w:r w:rsidRPr="002C4077">
        <w:t xml:space="preserve"> </w:t>
      </w:r>
      <w:r>
        <w:t>agencement</w:t>
      </w:r>
      <w:r w:rsidRPr="002C4077">
        <w:t xml:space="preserve"> </w:t>
      </w:r>
      <w:r>
        <w:t>plus</w:t>
      </w:r>
      <w:r w:rsidRPr="002C4077">
        <w:t xml:space="preserve"> </w:t>
      </w:r>
      <w:r>
        <w:t>défectueux</w:t>
      </w:r>
      <w:r w:rsidRPr="002C4077">
        <w:t xml:space="preserve"> </w:t>
      </w:r>
      <w:r>
        <w:t>encore,</w:t>
      </w:r>
      <w:r w:rsidRPr="002C4077">
        <w:t xml:space="preserve"> </w:t>
      </w:r>
      <w:r>
        <w:t>qui</w:t>
      </w:r>
      <w:r w:rsidRPr="002C4077">
        <w:t xml:space="preserve"> </w:t>
      </w:r>
      <w:r w:rsidR="00425C50">
        <w:t>est</w:t>
      </w:r>
      <w:r w:rsidRPr="002C4077">
        <w:t xml:space="preserve"> </w:t>
      </w:r>
      <w:r>
        <w:t>toujours</w:t>
      </w:r>
      <w:r w:rsidRPr="002C4077">
        <w:t xml:space="preserve"> </w:t>
      </w:r>
      <w:r>
        <w:t>une</w:t>
      </w:r>
      <w:r w:rsidRPr="002C4077">
        <w:t xml:space="preserve"> </w:t>
      </w:r>
      <w:r>
        <w:t>véritable</w:t>
      </w:r>
      <w:r w:rsidRPr="002C4077">
        <w:t xml:space="preserve"> </w:t>
      </w:r>
      <w:r w:rsidRPr="000A34B5">
        <w:rPr>
          <w:rStyle w:val="italicus"/>
        </w:rPr>
        <w:t>crux</w:t>
      </w:r>
      <w:r w:rsidRPr="002C4077">
        <w:t xml:space="preserve"> </w:t>
      </w:r>
      <w:r w:rsidR="003B53FD" w:rsidRPr="000A34B5">
        <w:rPr>
          <w:rStyle w:val="italicus"/>
        </w:rPr>
        <w:t>int</w:t>
      </w:r>
      <w:r w:rsidR="003B53FD">
        <w:rPr>
          <w:rStyle w:val="italicus"/>
        </w:rPr>
        <w:t>é</w:t>
      </w:r>
      <w:r w:rsidR="003B53FD" w:rsidRPr="000A34B5">
        <w:rPr>
          <w:rStyle w:val="italicus"/>
        </w:rPr>
        <w:t>rpr</w:t>
      </w:r>
      <w:r w:rsidR="003B53FD">
        <w:rPr>
          <w:rStyle w:val="italicus"/>
        </w:rPr>
        <w:t>e</w:t>
      </w:r>
      <w:r w:rsidR="003B53FD" w:rsidRPr="000A34B5">
        <w:rPr>
          <w:rStyle w:val="italicus"/>
        </w:rPr>
        <w:t>tum</w:t>
      </w:r>
      <w:r w:rsidRPr="000A34B5">
        <w:rPr>
          <w:rStyle w:val="italicus"/>
        </w:rPr>
        <w:t>.</w:t>
      </w:r>
      <w:r w:rsidRPr="002C4077">
        <w:t xml:space="preserve"> </w:t>
      </w:r>
      <w:r>
        <w:t>Nous</w:t>
      </w:r>
      <w:r w:rsidRPr="002C4077">
        <w:t xml:space="preserve"> </w:t>
      </w:r>
      <w:r>
        <w:t>voulons</w:t>
      </w:r>
      <w:r w:rsidRPr="002C4077">
        <w:t xml:space="preserve"> </w:t>
      </w:r>
      <w:r>
        <w:t>parler</w:t>
      </w:r>
      <w:r w:rsidRPr="002C4077">
        <w:t xml:space="preserve"> </w:t>
      </w:r>
      <w:r>
        <w:t>de</w:t>
      </w:r>
      <w:r w:rsidRPr="002C4077">
        <w:t xml:space="preserve"> </w:t>
      </w:r>
      <w:r>
        <w:t>sa</w:t>
      </w:r>
      <w:r w:rsidRPr="002C4077">
        <w:t xml:space="preserve"> </w:t>
      </w:r>
      <w:r>
        <w:t>double</w:t>
      </w:r>
      <w:r w:rsidRPr="002C4077">
        <w:t xml:space="preserve"> </w:t>
      </w:r>
      <w:r>
        <w:t>mention</w:t>
      </w:r>
      <w:r w:rsidRPr="002C4077">
        <w:t xml:space="preserve"> </w:t>
      </w:r>
      <w:r>
        <w:t>du</w:t>
      </w:r>
      <w:r w:rsidRPr="002C4077">
        <w:t xml:space="preserve"> </w:t>
      </w:r>
      <w:r>
        <w:t>calice</w:t>
      </w:r>
      <w:r w:rsidRPr="002C4077">
        <w:t xml:space="preserve"> </w:t>
      </w:r>
      <w:r>
        <w:t>eucharistique.</w:t>
      </w:r>
      <w:r w:rsidR="00C45B47">
        <w:t xml:space="preserve"> {</w:t>
      </w:r>
      <w:r w:rsidR="005E2129">
        <w:t>315</w:t>
      </w:r>
      <w:bookmarkStart w:id="768" w:name="p315"/>
      <w:bookmarkEnd w:id="768"/>
      <w:r w:rsidR="005E2129">
        <w:t xml:space="preserve">} </w:t>
      </w:r>
      <w:r>
        <w:t>Après</w:t>
      </w:r>
      <w:r w:rsidRPr="002C4077">
        <w:t xml:space="preserve"> </w:t>
      </w:r>
      <w:r>
        <w:t>avoir</w:t>
      </w:r>
      <w:r w:rsidRPr="002C4077">
        <w:t xml:space="preserve"> </w:t>
      </w:r>
      <w:r>
        <w:t>cité</w:t>
      </w:r>
      <w:r w:rsidRPr="002C4077">
        <w:t xml:space="preserve"> </w:t>
      </w:r>
      <w:r>
        <w:t>cette</w:t>
      </w:r>
      <w:r w:rsidRPr="002C4077">
        <w:t xml:space="preserve"> </w:t>
      </w:r>
      <w:r>
        <w:t>phrase</w:t>
      </w:r>
      <w:r w:rsidRPr="002C4077">
        <w:t xml:space="preserve"> </w:t>
      </w:r>
      <w:r>
        <w:t>de</w:t>
      </w:r>
      <w:r w:rsidRPr="002C4077">
        <w:t xml:space="preserve"> </w:t>
      </w:r>
      <w:r>
        <w:t>Notre</w:t>
      </w:r>
      <w:r w:rsidRPr="002C4077">
        <w:t xml:space="preserve"> </w:t>
      </w:r>
      <w:r>
        <w:t>Seigneur</w:t>
      </w:r>
      <w:r w:rsidR="00B546AF">
        <w:t> :</w:t>
      </w:r>
      <w:r w:rsidRPr="002C4077">
        <w:t xml:space="preserve"> </w:t>
      </w:r>
      <w:r w:rsidR="00B546AF">
        <w:t>« </w:t>
      </w:r>
      <w:r>
        <w:t>Je</w:t>
      </w:r>
      <w:r w:rsidRPr="002C4077">
        <w:t xml:space="preserve"> </w:t>
      </w:r>
      <w:r>
        <w:t>ne</w:t>
      </w:r>
      <w:r w:rsidRPr="002C4077">
        <w:t xml:space="preserve"> </w:t>
      </w:r>
      <w:r>
        <w:t>mangerai</w:t>
      </w:r>
      <w:r w:rsidRPr="002C4077">
        <w:t xml:space="preserve"> </w:t>
      </w:r>
      <w:r>
        <w:t>plus</w:t>
      </w:r>
      <w:r w:rsidRPr="002C4077">
        <w:t xml:space="preserve"> </w:t>
      </w:r>
      <w:r>
        <w:t>la</w:t>
      </w:r>
      <w:r w:rsidRPr="002C4077">
        <w:t xml:space="preserve"> </w:t>
      </w:r>
      <w:r w:rsidR="003B1136">
        <w:t>Pâque</w:t>
      </w:r>
      <w:r w:rsidRPr="002C4077">
        <w:t xml:space="preserve"> </w:t>
      </w:r>
      <w:r>
        <w:t>jusqu’à</w:t>
      </w:r>
      <w:r w:rsidRPr="002C4077">
        <w:t xml:space="preserve"> </w:t>
      </w:r>
      <w:r>
        <w:t>ce</w:t>
      </w:r>
      <w:r w:rsidRPr="002C4077">
        <w:t xml:space="preserve"> </w:t>
      </w:r>
      <w:r>
        <w:t>qu’elle</w:t>
      </w:r>
      <w:r w:rsidRPr="002C4077">
        <w:t xml:space="preserve"> </w:t>
      </w:r>
      <w:r>
        <w:t>soit</w:t>
      </w:r>
      <w:r w:rsidRPr="002C4077">
        <w:t xml:space="preserve"> </w:t>
      </w:r>
      <w:r>
        <w:t>accomplie</w:t>
      </w:r>
      <w:r w:rsidRPr="002C4077">
        <w:t xml:space="preserve"> </w:t>
      </w:r>
      <w:r>
        <w:t>dans</w:t>
      </w:r>
      <w:r w:rsidRPr="002C4077">
        <w:t xml:space="preserve"> </w:t>
      </w:r>
      <w:r>
        <w:t>le</w:t>
      </w:r>
      <w:r w:rsidRPr="002C4077">
        <w:t xml:space="preserve"> </w:t>
      </w:r>
      <w:r>
        <w:t>royaume</w:t>
      </w:r>
      <w:r w:rsidRPr="002C4077">
        <w:t xml:space="preserve"> </w:t>
      </w:r>
      <w:r>
        <w:t>de</w:t>
      </w:r>
      <w:r w:rsidRPr="002C4077">
        <w:t xml:space="preserve"> </w:t>
      </w:r>
      <w:r>
        <w:t>Dieu</w:t>
      </w:r>
      <w:r w:rsidR="00B546AF">
        <w:t> »</w:t>
      </w:r>
      <w:r>
        <w:t>,</w:t>
      </w:r>
      <w:r w:rsidRPr="002C4077">
        <w:t xml:space="preserve"> </w:t>
      </w:r>
      <w:r>
        <w:t>il</w:t>
      </w:r>
      <w:r w:rsidRPr="002C4077">
        <w:t xml:space="preserve"> </w:t>
      </w:r>
      <w:r>
        <w:t>se</w:t>
      </w:r>
      <w:r w:rsidRPr="002C4077">
        <w:t xml:space="preserve"> </w:t>
      </w:r>
      <w:r>
        <w:t>souvient</w:t>
      </w:r>
      <w:r w:rsidRPr="002C4077">
        <w:t xml:space="preserve"> </w:t>
      </w:r>
      <w:r>
        <w:t>des</w:t>
      </w:r>
      <w:r w:rsidRPr="002C4077">
        <w:t xml:space="preserve"> </w:t>
      </w:r>
      <w:r>
        <w:t>autres</w:t>
      </w:r>
      <w:r w:rsidRPr="002C4077">
        <w:t xml:space="preserve"> </w:t>
      </w:r>
      <w:r>
        <w:t>paroles</w:t>
      </w:r>
      <w:r w:rsidRPr="002C4077">
        <w:t xml:space="preserve"> </w:t>
      </w:r>
      <w:r>
        <w:t>semblables</w:t>
      </w:r>
      <w:r w:rsidRPr="002C4077">
        <w:t xml:space="preserve"> </w:t>
      </w:r>
      <w:r>
        <w:t>prononcées</w:t>
      </w:r>
      <w:r w:rsidRPr="002C4077">
        <w:t xml:space="preserve"> </w:t>
      </w:r>
      <w:r>
        <w:t>par</w:t>
      </w:r>
      <w:r w:rsidRPr="002C4077">
        <w:t xml:space="preserve"> </w:t>
      </w:r>
      <w:r w:rsidR="00425C50">
        <w:t>Jésus</w:t>
      </w:r>
      <w:r w:rsidRPr="002C4077">
        <w:t xml:space="preserve"> </w:t>
      </w:r>
      <w:r>
        <w:t>au</w:t>
      </w:r>
      <w:r w:rsidRPr="002C4077">
        <w:t xml:space="preserve"> </w:t>
      </w:r>
      <w:r>
        <w:t>moment</w:t>
      </w:r>
      <w:r w:rsidRPr="002C4077">
        <w:t xml:space="preserve"> </w:t>
      </w:r>
      <w:r>
        <w:t>où</w:t>
      </w:r>
      <w:r w:rsidRPr="002C4077">
        <w:t xml:space="preserve"> </w:t>
      </w:r>
      <w:r>
        <w:t>il</w:t>
      </w:r>
      <w:r w:rsidRPr="002C4077">
        <w:t xml:space="preserve"> </w:t>
      </w:r>
      <w:r>
        <w:t>avait</w:t>
      </w:r>
      <w:r w:rsidRPr="002C4077">
        <w:t xml:space="preserve"> </w:t>
      </w:r>
      <w:r>
        <w:t>distribué</w:t>
      </w:r>
      <w:r w:rsidRPr="002C4077">
        <w:t xml:space="preserve"> </w:t>
      </w:r>
      <w:r>
        <w:t>le</w:t>
      </w:r>
      <w:r w:rsidRPr="002C4077">
        <w:t xml:space="preserve"> </w:t>
      </w:r>
      <w:r>
        <w:t>vin</w:t>
      </w:r>
      <w:r w:rsidRPr="002C4077">
        <w:t xml:space="preserve"> </w:t>
      </w:r>
      <w:r>
        <w:t>consacré</w:t>
      </w:r>
      <w:r w:rsidR="00B546AF">
        <w:t> :</w:t>
      </w:r>
      <w:r w:rsidRPr="002C4077">
        <w:t xml:space="preserve"> </w:t>
      </w:r>
      <w:r>
        <w:t>il</w:t>
      </w:r>
      <w:r w:rsidRPr="002C4077">
        <w:t xml:space="preserve"> </w:t>
      </w:r>
      <w:r>
        <w:t>se</w:t>
      </w:r>
      <w:r w:rsidRPr="002C4077">
        <w:t xml:space="preserve"> </w:t>
      </w:r>
      <w:r>
        <w:t>hâte</w:t>
      </w:r>
      <w:r w:rsidRPr="002C4077">
        <w:t xml:space="preserve"> </w:t>
      </w:r>
      <w:r>
        <w:t>alors</w:t>
      </w:r>
      <w:r w:rsidRPr="002C4077">
        <w:t xml:space="preserve"> </w:t>
      </w:r>
      <w:r>
        <w:t>de</w:t>
      </w:r>
      <w:r w:rsidRPr="002C4077">
        <w:t xml:space="preserve"> </w:t>
      </w:r>
      <w:r>
        <w:t>les</w:t>
      </w:r>
      <w:r w:rsidRPr="002C4077">
        <w:t xml:space="preserve"> </w:t>
      </w:r>
      <w:r>
        <w:t>unir</w:t>
      </w:r>
      <w:r w:rsidRPr="002C4077">
        <w:t xml:space="preserve"> </w:t>
      </w:r>
      <w:r>
        <w:t>aux</w:t>
      </w:r>
      <w:r w:rsidRPr="002C4077">
        <w:t xml:space="preserve"> </w:t>
      </w:r>
      <w:r>
        <w:t>premières</w:t>
      </w:r>
      <w:r w:rsidR="00B546AF">
        <w:t> ;</w:t>
      </w:r>
      <w:r w:rsidRPr="002C4077">
        <w:t xml:space="preserve"> </w:t>
      </w:r>
      <w:r>
        <w:t>puis,</w:t>
      </w:r>
      <w:r w:rsidRPr="002C4077">
        <w:t xml:space="preserve"> </w:t>
      </w:r>
      <w:r>
        <w:t>sans</w:t>
      </w:r>
      <w:r w:rsidRPr="002C4077">
        <w:t xml:space="preserve"> </w:t>
      </w:r>
      <w:r>
        <w:t>autre</w:t>
      </w:r>
      <w:r w:rsidRPr="002C4077">
        <w:t xml:space="preserve"> </w:t>
      </w:r>
      <w:r>
        <w:t>liaison</w:t>
      </w:r>
      <w:r w:rsidRPr="002C4077">
        <w:t xml:space="preserve"> </w:t>
      </w:r>
      <w:r>
        <w:t>que</w:t>
      </w:r>
      <w:r w:rsidRPr="002C4077">
        <w:t xml:space="preserve"> </w:t>
      </w:r>
      <w:r>
        <w:t>la</w:t>
      </w:r>
      <w:r w:rsidRPr="002C4077">
        <w:t xml:space="preserve"> </w:t>
      </w:r>
      <w:r>
        <w:t>particule</w:t>
      </w:r>
      <w:r w:rsidRPr="002C4077">
        <w:t xml:space="preserve"> </w:t>
      </w:r>
      <w:r w:rsidR="003B1136">
        <w:t>καί</w:t>
      </w:r>
      <w:r w:rsidRPr="004440EA">
        <w:t xml:space="preserve"> (</w:t>
      </w:r>
      <w:r w:rsidRPr="000A34B5">
        <w:rPr>
          <w:rStyle w:val="italicus"/>
        </w:rPr>
        <w:t>et</w:t>
      </w:r>
      <w:r w:rsidR="00B546AF" w:rsidRPr="002C4077">
        <w:t>)</w:t>
      </w:r>
      <w:r w:rsidRPr="00950016">
        <w:t>,</w:t>
      </w:r>
      <w:r w:rsidRPr="002C4077">
        <w:t xml:space="preserve"> </w:t>
      </w:r>
      <w:r>
        <w:t>et</w:t>
      </w:r>
      <w:r w:rsidRPr="002C4077">
        <w:t xml:space="preserve"> </w:t>
      </w:r>
      <w:r>
        <w:t>sans</w:t>
      </w:r>
      <w:r w:rsidRPr="002C4077">
        <w:t xml:space="preserve"> </w:t>
      </w:r>
      <w:r>
        <w:t>tenir</w:t>
      </w:r>
      <w:r w:rsidRPr="002C4077">
        <w:t xml:space="preserve"> </w:t>
      </w:r>
      <w:r>
        <w:t>compte</w:t>
      </w:r>
      <w:r w:rsidRPr="002C4077">
        <w:t xml:space="preserve"> </w:t>
      </w:r>
      <w:r>
        <w:t>du</w:t>
      </w:r>
      <w:r w:rsidRPr="002C4077">
        <w:t xml:space="preserve"> </w:t>
      </w:r>
      <w:r>
        <w:t>fragment</w:t>
      </w:r>
      <w:r w:rsidRPr="002C4077">
        <w:t xml:space="preserve"> </w:t>
      </w:r>
      <w:r>
        <w:t>qu’il</w:t>
      </w:r>
      <w:r w:rsidRPr="002C4077">
        <w:t xml:space="preserve"> </w:t>
      </w:r>
      <w:r>
        <w:t>vient</w:t>
      </w:r>
      <w:r w:rsidRPr="002C4077">
        <w:t xml:space="preserve"> </w:t>
      </w:r>
      <w:r>
        <w:t>de</w:t>
      </w:r>
      <w:r w:rsidRPr="002C4077">
        <w:t xml:space="preserve"> </w:t>
      </w:r>
      <w:r>
        <w:t>communiquer,</w:t>
      </w:r>
      <w:r w:rsidRPr="002C4077">
        <w:t xml:space="preserve"> </w:t>
      </w:r>
      <w:r>
        <w:t>il</w:t>
      </w:r>
      <w:r w:rsidRPr="002C4077">
        <w:t xml:space="preserve"> </w:t>
      </w:r>
      <w:r>
        <w:t>raconte</w:t>
      </w:r>
      <w:r w:rsidRPr="002C4077">
        <w:t xml:space="preserve"> </w:t>
      </w:r>
      <w:r>
        <w:t>l’institution</w:t>
      </w:r>
      <w:r w:rsidRPr="002C4077">
        <w:t xml:space="preserve"> </w:t>
      </w:r>
      <w:r>
        <w:t>de</w:t>
      </w:r>
      <w:r w:rsidRPr="002C4077">
        <w:t xml:space="preserve"> </w:t>
      </w:r>
      <w:r>
        <w:t>la</w:t>
      </w:r>
      <w:r w:rsidRPr="002C4077">
        <w:t xml:space="preserve"> </w:t>
      </w:r>
      <w:r>
        <w:t>sainte</w:t>
      </w:r>
      <w:r w:rsidRPr="002C4077">
        <w:t xml:space="preserve"> </w:t>
      </w:r>
      <w:r>
        <w:t>Eucharistie,</w:t>
      </w:r>
      <w:r w:rsidRPr="002C4077">
        <w:t xml:space="preserve"> </w:t>
      </w:r>
      <w:r>
        <w:t>en</w:t>
      </w:r>
      <w:r w:rsidRPr="002C4077">
        <w:t xml:space="preserve"> </w:t>
      </w:r>
      <w:r>
        <w:t>suivant</w:t>
      </w:r>
      <w:r w:rsidRPr="002C4077">
        <w:t xml:space="preserve"> </w:t>
      </w:r>
      <w:r>
        <w:t>l’exposition</w:t>
      </w:r>
      <w:r w:rsidRPr="002C4077">
        <w:t xml:space="preserve"> </w:t>
      </w:r>
      <w:r>
        <w:t>de</w:t>
      </w:r>
      <w:r w:rsidRPr="002C4077">
        <w:t xml:space="preserve"> </w:t>
      </w:r>
      <w:r>
        <w:t>saint</w:t>
      </w:r>
      <w:r w:rsidRPr="002C4077">
        <w:t xml:space="preserve"> </w:t>
      </w:r>
      <w:r>
        <w:t>Paul</w:t>
      </w:r>
      <w:r w:rsidRPr="002C4077">
        <w:t xml:space="preserve"> </w:t>
      </w:r>
      <w:r>
        <w:t>dans</w:t>
      </w:r>
      <w:r w:rsidRPr="002C4077">
        <w:t xml:space="preserve"> </w:t>
      </w:r>
      <w:r>
        <w:t>sa</w:t>
      </w:r>
      <w:r w:rsidRPr="002C4077">
        <w:t xml:space="preserve"> </w:t>
      </w:r>
      <w:r>
        <w:t>première</w:t>
      </w:r>
      <w:r w:rsidRPr="002C4077">
        <w:t xml:space="preserve"> </w:t>
      </w:r>
      <w:r>
        <w:t>épître</w:t>
      </w:r>
      <w:r w:rsidRPr="002C4077">
        <w:t xml:space="preserve"> </w:t>
      </w:r>
      <w:r>
        <w:t>aux</w:t>
      </w:r>
      <w:r w:rsidRPr="002C4077">
        <w:t xml:space="preserve"> </w:t>
      </w:r>
      <w:r w:rsidR="00B047B7">
        <w:t>Corinthien</w:t>
      </w:r>
      <w:r w:rsidR="00B047B7">
        <w:rPr>
          <w:rStyle w:val="Appelnotedebasdep"/>
        </w:rPr>
        <w:footnoteReference w:id="926"/>
      </w:r>
      <w:r w:rsidR="00B047B7">
        <w:t>.</w:t>
      </w:r>
      <w:r w:rsidRPr="002C4077">
        <w:t xml:space="preserve"> </w:t>
      </w:r>
      <w:r>
        <w:t>Naturellement,</w:t>
      </w:r>
      <w:r w:rsidRPr="002C4077">
        <w:t xml:space="preserve"> </w:t>
      </w:r>
      <w:r>
        <w:t>il</w:t>
      </w:r>
      <w:r w:rsidRPr="002C4077">
        <w:t xml:space="preserve"> </w:t>
      </w:r>
      <w:r>
        <w:t>mentionne</w:t>
      </w:r>
      <w:r w:rsidRPr="002C4077">
        <w:t xml:space="preserve"> </w:t>
      </w:r>
      <w:r>
        <w:t>alors</w:t>
      </w:r>
      <w:r w:rsidRPr="002C4077">
        <w:t xml:space="preserve"> </w:t>
      </w:r>
      <w:r>
        <w:t>une</w:t>
      </w:r>
      <w:r w:rsidRPr="002C4077">
        <w:t xml:space="preserve"> </w:t>
      </w:r>
      <w:r>
        <w:t>seconde</w:t>
      </w:r>
      <w:r w:rsidRPr="002C4077">
        <w:t xml:space="preserve"> </w:t>
      </w:r>
      <w:r>
        <w:t>fois</w:t>
      </w:r>
      <w:r w:rsidRPr="002C4077">
        <w:t xml:space="preserve"> </w:t>
      </w:r>
      <w:r>
        <w:t>la</w:t>
      </w:r>
      <w:r w:rsidRPr="002C4077">
        <w:t xml:space="preserve"> </w:t>
      </w:r>
      <w:r>
        <w:t>coupe</w:t>
      </w:r>
      <w:r w:rsidRPr="002C4077">
        <w:t xml:space="preserve"> </w:t>
      </w:r>
      <w:r>
        <w:t>consacrée</w:t>
      </w:r>
      <w:r w:rsidR="00B91AF7">
        <w:rPr>
          <w:rStyle w:val="Appelnotedebasdep"/>
        </w:rPr>
        <w:footnoteReference w:id="927"/>
      </w:r>
      <w:r>
        <w:t>.</w:t>
      </w:r>
      <w:r w:rsidRPr="002C4077">
        <w:t xml:space="preserve"> </w:t>
      </w:r>
    </w:p>
    <w:p w:rsidR="000A7AAB" w:rsidRDefault="000A7AAB" w:rsidP="000A7AAB">
      <w:r>
        <w:t>Il</w:t>
      </w:r>
      <w:r w:rsidRPr="002C4077">
        <w:t xml:space="preserve"> </w:t>
      </w:r>
      <w:r>
        <w:t>en</w:t>
      </w:r>
      <w:r w:rsidRPr="002C4077">
        <w:t xml:space="preserve"> </w:t>
      </w:r>
      <w:r w:rsidR="00425C50">
        <w:t>est</w:t>
      </w:r>
      <w:r w:rsidRPr="002C4077">
        <w:t xml:space="preserve"> </w:t>
      </w:r>
      <w:r>
        <w:t>de</w:t>
      </w:r>
      <w:r w:rsidRPr="002C4077">
        <w:t xml:space="preserve"> </w:t>
      </w:r>
      <w:r>
        <w:t>même</w:t>
      </w:r>
      <w:r w:rsidRPr="002C4077">
        <w:t xml:space="preserve"> </w:t>
      </w:r>
      <w:r>
        <w:t>du</w:t>
      </w:r>
      <w:r w:rsidRPr="002C4077">
        <w:t xml:space="preserve"> </w:t>
      </w:r>
      <w:r>
        <w:t>passage</w:t>
      </w:r>
      <w:r w:rsidRPr="002C4077">
        <w:t xml:space="preserve"> </w:t>
      </w:r>
      <w:r>
        <w:t>qui</w:t>
      </w:r>
      <w:r w:rsidRPr="002C4077">
        <w:t xml:space="preserve"> </w:t>
      </w:r>
      <w:r>
        <w:t>nous</w:t>
      </w:r>
      <w:r w:rsidRPr="002C4077">
        <w:t xml:space="preserve"> </w:t>
      </w:r>
      <w:r>
        <w:t>occupe</w:t>
      </w:r>
      <w:r w:rsidRPr="004440EA">
        <w:t xml:space="preserve"> (</w:t>
      </w:r>
      <w:r>
        <w:t>versets</w:t>
      </w:r>
      <w:r w:rsidRPr="002C4077">
        <w:t xml:space="preserve"> </w:t>
      </w:r>
      <w:r>
        <w:t>21-23</w:t>
      </w:r>
      <w:r w:rsidR="00B546AF" w:rsidRPr="002C4077">
        <w:t>)</w:t>
      </w:r>
      <w:r>
        <w:t>.</w:t>
      </w:r>
      <w:r w:rsidRPr="002C4077">
        <w:t xml:space="preserve"> </w:t>
      </w:r>
      <w:r>
        <w:t>L’évangéliste</w:t>
      </w:r>
      <w:r w:rsidRPr="002C4077">
        <w:t xml:space="preserve"> </w:t>
      </w:r>
      <w:r>
        <w:t>semble,</w:t>
      </w:r>
      <w:r w:rsidRPr="002C4077">
        <w:t xml:space="preserve"> </w:t>
      </w:r>
      <w:r>
        <w:t>en</w:t>
      </w:r>
      <w:r w:rsidRPr="002C4077">
        <w:t xml:space="preserve"> </w:t>
      </w:r>
      <w:r>
        <w:t>effet,</w:t>
      </w:r>
      <w:r w:rsidRPr="002C4077">
        <w:t xml:space="preserve"> </w:t>
      </w:r>
      <w:r>
        <w:t>indiquer</w:t>
      </w:r>
      <w:r w:rsidRPr="002C4077">
        <w:t xml:space="preserve"> </w:t>
      </w:r>
      <w:r>
        <w:t>lui-même,</w:t>
      </w:r>
      <w:r w:rsidRPr="002C4077">
        <w:t xml:space="preserve"> </w:t>
      </w:r>
      <w:r>
        <w:t>par</w:t>
      </w:r>
      <w:r w:rsidRPr="002C4077">
        <w:t xml:space="preserve"> </w:t>
      </w:r>
      <w:r>
        <w:t>la</w:t>
      </w:r>
      <w:r w:rsidRPr="002C4077">
        <w:t xml:space="preserve"> </w:t>
      </w:r>
      <w:r>
        <w:t>manière</w:t>
      </w:r>
      <w:r w:rsidRPr="002C4077">
        <w:t xml:space="preserve"> </w:t>
      </w:r>
      <w:r>
        <w:t>dont</w:t>
      </w:r>
      <w:r w:rsidRPr="002C4077">
        <w:t xml:space="preserve"> </w:t>
      </w:r>
      <w:r>
        <w:t>il</w:t>
      </w:r>
      <w:r w:rsidRPr="002C4077">
        <w:t xml:space="preserve"> </w:t>
      </w:r>
      <w:r>
        <w:t>le</w:t>
      </w:r>
      <w:r w:rsidRPr="002C4077">
        <w:t xml:space="preserve"> </w:t>
      </w:r>
      <w:r>
        <w:t>rattache</w:t>
      </w:r>
      <w:r w:rsidRPr="002C4077">
        <w:t xml:space="preserve"> </w:t>
      </w:r>
      <w:r>
        <w:t>aux</w:t>
      </w:r>
      <w:r w:rsidRPr="002C4077">
        <w:t xml:space="preserve"> </w:t>
      </w:r>
      <w:r>
        <w:t>détails</w:t>
      </w:r>
      <w:r w:rsidRPr="002C4077">
        <w:t xml:space="preserve"> </w:t>
      </w:r>
      <w:r>
        <w:t>précédents,</w:t>
      </w:r>
      <w:r w:rsidRPr="002C4077">
        <w:t xml:space="preserve"> </w:t>
      </w:r>
      <w:r>
        <w:t>qu’il</w:t>
      </w:r>
      <w:r w:rsidRPr="002C4077">
        <w:t xml:space="preserve"> </w:t>
      </w:r>
      <w:r>
        <w:t>ne</w:t>
      </w:r>
      <w:r w:rsidRPr="002C4077">
        <w:t xml:space="preserve"> </w:t>
      </w:r>
      <w:r>
        <w:t>prétendait</w:t>
      </w:r>
      <w:r w:rsidRPr="002C4077">
        <w:t xml:space="preserve"> </w:t>
      </w:r>
      <w:r>
        <w:t>pas</w:t>
      </w:r>
      <w:r w:rsidRPr="002C4077">
        <w:t xml:space="preserve"> </w:t>
      </w:r>
      <w:r>
        <w:t>lui</w:t>
      </w:r>
      <w:r w:rsidRPr="002C4077">
        <w:t xml:space="preserve"> </w:t>
      </w:r>
      <w:r>
        <w:t>assigner</w:t>
      </w:r>
      <w:r w:rsidRPr="002C4077">
        <w:t xml:space="preserve"> </w:t>
      </w:r>
      <w:r>
        <w:t>rigoureusement</w:t>
      </w:r>
      <w:r w:rsidRPr="002C4077">
        <w:t xml:space="preserve"> </w:t>
      </w:r>
      <w:r>
        <w:t>sa</w:t>
      </w:r>
      <w:r w:rsidRPr="002C4077">
        <w:t xml:space="preserve"> </w:t>
      </w:r>
      <w:r>
        <w:t>place</w:t>
      </w:r>
      <w:r w:rsidRPr="002C4077">
        <w:t xml:space="preserve"> </w:t>
      </w:r>
      <w:r>
        <w:t>historique,</w:t>
      </w:r>
      <w:r w:rsidRPr="002C4077">
        <w:t xml:space="preserve"> </w:t>
      </w:r>
      <w:r>
        <w:t>et</w:t>
      </w:r>
      <w:r w:rsidRPr="002C4077">
        <w:t xml:space="preserve"> </w:t>
      </w:r>
      <w:r>
        <w:t>que</w:t>
      </w:r>
      <w:r w:rsidRPr="002C4077">
        <w:t xml:space="preserve"> </w:t>
      </w:r>
      <w:r>
        <w:t>son</w:t>
      </w:r>
      <w:r w:rsidRPr="002C4077">
        <w:t xml:space="preserve"> </w:t>
      </w:r>
      <w:r>
        <w:t>intention</w:t>
      </w:r>
      <w:r w:rsidRPr="002C4077">
        <w:t xml:space="preserve"> </w:t>
      </w:r>
      <w:r>
        <w:t>était</w:t>
      </w:r>
      <w:r w:rsidRPr="002C4077">
        <w:t xml:space="preserve"> </w:t>
      </w:r>
      <w:r>
        <w:t>avant</w:t>
      </w:r>
      <w:r w:rsidRPr="002C4077">
        <w:t xml:space="preserve"> </w:t>
      </w:r>
      <w:r>
        <w:t>tout</w:t>
      </w:r>
      <w:r w:rsidRPr="002C4077">
        <w:t xml:space="preserve"> </w:t>
      </w:r>
      <w:r>
        <w:t>d’exposer</w:t>
      </w:r>
      <w:r w:rsidRPr="002C4077">
        <w:t xml:space="preserve"> </w:t>
      </w:r>
      <w:r>
        <w:t>l’ensemble</w:t>
      </w:r>
      <w:r w:rsidRPr="002C4077">
        <w:t xml:space="preserve"> </w:t>
      </w:r>
      <w:r>
        <w:t>des</w:t>
      </w:r>
      <w:r w:rsidRPr="002C4077">
        <w:t xml:space="preserve"> </w:t>
      </w:r>
      <w:r>
        <w:t>faits,</w:t>
      </w:r>
      <w:r w:rsidRPr="002C4077">
        <w:t xml:space="preserve"> </w:t>
      </w:r>
      <w:r>
        <w:t>non</w:t>
      </w:r>
      <w:r w:rsidRPr="002C4077">
        <w:t xml:space="preserve"> </w:t>
      </w:r>
      <w:r>
        <w:t>pas</w:t>
      </w:r>
      <w:r w:rsidRPr="002C4077">
        <w:t xml:space="preserve"> </w:t>
      </w:r>
      <w:r>
        <w:t>de</w:t>
      </w:r>
      <w:r w:rsidRPr="002C4077">
        <w:t xml:space="preserve"> </w:t>
      </w:r>
      <w:r>
        <w:t>les</w:t>
      </w:r>
      <w:r w:rsidRPr="002C4077">
        <w:t xml:space="preserve"> </w:t>
      </w:r>
      <w:r>
        <w:t>aligner</w:t>
      </w:r>
      <w:r w:rsidRPr="002C4077">
        <w:t xml:space="preserve"> </w:t>
      </w:r>
      <w:r>
        <w:t>suivant</w:t>
      </w:r>
      <w:r w:rsidRPr="002C4077">
        <w:t xml:space="preserve"> </w:t>
      </w:r>
      <w:r>
        <w:t>l’ordre</w:t>
      </w:r>
      <w:r w:rsidRPr="002C4077">
        <w:t xml:space="preserve"> </w:t>
      </w:r>
      <w:r>
        <w:t>dans</w:t>
      </w:r>
      <w:r w:rsidRPr="002C4077">
        <w:t xml:space="preserve"> </w:t>
      </w:r>
      <w:r>
        <w:t>lequel</w:t>
      </w:r>
      <w:r w:rsidRPr="002C4077">
        <w:t xml:space="preserve"> </w:t>
      </w:r>
      <w:r>
        <w:t>ils</w:t>
      </w:r>
      <w:r w:rsidRPr="002C4077">
        <w:t xml:space="preserve"> </w:t>
      </w:r>
      <w:r>
        <w:t>avaient</w:t>
      </w:r>
      <w:r w:rsidRPr="002C4077">
        <w:t xml:space="preserve"> </w:t>
      </w:r>
      <w:r>
        <w:t>eu</w:t>
      </w:r>
      <w:r w:rsidRPr="002C4077">
        <w:t xml:space="preserve"> </w:t>
      </w:r>
      <w:r>
        <w:t>lieu.</w:t>
      </w:r>
      <w:r w:rsidRPr="002C4077">
        <w:t xml:space="preserve"> </w:t>
      </w:r>
      <w:r>
        <w:t>La</w:t>
      </w:r>
      <w:r w:rsidRPr="002C4077">
        <w:t xml:space="preserve"> </w:t>
      </w:r>
      <w:r>
        <w:t>particule</w:t>
      </w:r>
      <w:r w:rsidRPr="002C4077">
        <w:t xml:space="preserve"> </w:t>
      </w:r>
      <w:r w:rsidR="003B1136" w:rsidRPr="003B1136">
        <w:t>πλ</w:t>
      </w:r>
      <w:r w:rsidR="003B1136">
        <w:t>ή</w:t>
      </w:r>
      <w:r w:rsidR="003B1136" w:rsidRPr="003B1136">
        <w:t>ν</w:t>
      </w:r>
      <w:r w:rsidRPr="004440EA">
        <w:t xml:space="preserve"> (</w:t>
      </w:r>
      <w:r>
        <w:t>Vulgate</w:t>
      </w:r>
      <w:r w:rsidR="00B546AF">
        <w:t> :</w:t>
      </w:r>
      <w:r w:rsidRPr="002C4077">
        <w:t xml:space="preserve"> </w:t>
      </w:r>
      <w:r w:rsidRPr="000A34B5">
        <w:rPr>
          <w:rStyle w:val="italicus"/>
        </w:rPr>
        <w:t>v</w:t>
      </w:r>
      <w:r w:rsidR="003B53FD">
        <w:rPr>
          <w:rStyle w:val="italicus"/>
        </w:rPr>
        <w:t>erúmtamen</w:t>
      </w:r>
      <w:r w:rsidR="00B546AF" w:rsidRPr="002C4077">
        <w:t>)</w:t>
      </w:r>
      <w:r w:rsidRPr="00950016">
        <w:t>,</w:t>
      </w:r>
      <w:r w:rsidRPr="002C4077">
        <w:t xml:space="preserve"> </w:t>
      </w:r>
      <w:r>
        <w:t>qu’il</w:t>
      </w:r>
      <w:r w:rsidRPr="002C4077">
        <w:t xml:space="preserve"> </w:t>
      </w:r>
      <w:r>
        <w:t>emploie</w:t>
      </w:r>
      <w:r w:rsidRPr="002C4077">
        <w:t xml:space="preserve"> </w:t>
      </w:r>
      <w:r>
        <w:t>pour</w:t>
      </w:r>
      <w:r w:rsidRPr="002C4077">
        <w:t xml:space="preserve"> </w:t>
      </w:r>
      <w:r>
        <w:t>unir</w:t>
      </w:r>
      <w:r w:rsidRPr="002C4077">
        <w:t xml:space="preserve"> </w:t>
      </w:r>
      <w:r>
        <w:t>l’institution</w:t>
      </w:r>
      <w:r w:rsidRPr="002C4077">
        <w:t xml:space="preserve"> </w:t>
      </w:r>
      <w:r>
        <w:t>de</w:t>
      </w:r>
      <w:r w:rsidRPr="002C4077">
        <w:t xml:space="preserve"> </w:t>
      </w:r>
      <w:r>
        <w:t>la</w:t>
      </w:r>
      <w:r w:rsidRPr="002C4077">
        <w:t xml:space="preserve"> </w:t>
      </w:r>
      <w:r>
        <w:t>sainte</w:t>
      </w:r>
      <w:r w:rsidRPr="002C4077">
        <w:t xml:space="preserve"> </w:t>
      </w:r>
      <w:r>
        <w:t>Eucharistie</w:t>
      </w:r>
      <w:r w:rsidRPr="002C4077">
        <w:t xml:space="preserve"> </w:t>
      </w:r>
      <w:r>
        <w:t>à</w:t>
      </w:r>
      <w:r w:rsidRPr="002C4077">
        <w:t xml:space="preserve"> </w:t>
      </w:r>
      <w:r>
        <w:t>ce</w:t>
      </w:r>
      <w:r w:rsidRPr="002C4077">
        <w:t xml:space="preserve"> </w:t>
      </w:r>
      <w:r>
        <w:t>qu’il</w:t>
      </w:r>
      <w:r w:rsidRPr="002C4077">
        <w:t xml:space="preserve"> </w:t>
      </w:r>
      <w:r>
        <w:t>doit</w:t>
      </w:r>
      <w:r w:rsidRPr="002C4077">
        <w:t xml:space="preserve"> </w:t>
      </w:r>
      <w:r>
        <w:t>raconter</w:t>
      </w:r>
      <w:r w:rsidRPr="002C4077">
        <w:t xml:space="preserve"> </w:t>
      </w:r>
      <w:r>
        <w:t>au</w:t>
      </w:r>
      <w:r w:rsidRPr="002C4077">
        <w:t xml:space="preserve"> </w:t>
      </w:r>
      <w:r>
        <w:t>sujet</w:t>
      </w:r>
      <w:r w:rsidRPr="002C4077">
        <w:t xml:space="preserve"> </w:t>
      </w:r>
      <w:r>
        <w:t>du</w:t>
      </w:r>
      <w:r w:rsidRPr="002C4077">
        <w:t xml:space="preserve"> </w:t>
      </w:r>
      <w:r>
        <w:t>traître,</w:t>
      </w:r>
      <w:r w:rsidRPr="002C4077">
        <w:t xml:space="preserve"> </w:t>
      </w:r>
      <w:r>
        <w:t>n’est</w:t>
      </w:r>
      <w:r w:rsidRPr="002C4077">
        <w:t xml:space="preserve"> </w:t>
      </w:r>
      <w:r>
        <w:t>pas</w:t>
      </w:r>
      <w:r w:rsidRPr="002C4077">
        <w:t xml:space="preserve"> </w:t>
      </w:r>
      <w:r>
        <w:t>une</w:t>
      </w:r>
      <w:r w:rsidRPr="002C4077">
        <w:t xml:space="preserve"> </w:t>
      </w:r>
      <w:r>
        <w:t>transition</w:t>
      </w:r>
      <w:r w:rsidR="00B546AF">
        <w:t> ;</w:t>
      </w:r>
      <w:r w:rsidRPr="002C4077">
        <w:t xml:space="preserve"> </w:t>
      </w:r>
      <w:r>
        <w:t>elle</w:t>
      </w:r>
      <w:r w:rsidRPr="002C4077">
        <w:t xml:space="preserve"> </w:t>
      </w:r>
      <w:r>
        <w:t>montre,</w:t>
      </w:r>
      <w:r w:rsidRPr="002C4077">
        <w:t xml:space="preserve"> </w:t>
      </w:r>
      <w:r>
        <w:t>au</w:t>
      </w:r>
      <w:r w:rsidRPr="002C4077">
        <w:t xml:space="preserve"> </w:t>
      </w:r>
      <w:r>
        <w:t>contraire,</w:t>
      </w:r>
      <w:r w:rsidRPr="002C4077">
        <w:t xml:space="preserve"> </w:t>
      </w:r>
      <w:r>
        <w:t>que</w:t>
      </w:r>
      <w:r w:rsidRPr="002C4077">
        <w:t xml:space="preserve"> </w:t>
      </w:r>
      <w:r>
        <w:t>la</w:t>
      </w:r>
      <w:r w:rsidRPr="002C4077">
        <w:t xml:space="preserve"> </w:t>
      </w:r>
      <w:r>
        <w:t>phrase</w:t>
      </w:r>
      <w:r w:rsidRPr="002C4077">
        <w:t xml:space="preserve"> </w:t>
      </w:r>
      <w:r>
        <w:t>introduite</w:t>
      </w:r>
      <w:r w:rsidRPr="002C4077">
        <w:t xml:space="preserve"> </w:t>
      </w:r>
      <w:r>
        <w:t>par</w:t>
      </w:r>
      <w:r w:rsidRPr="002C4077">
        <w:t xml:space="preserve"> </w:t>
      </w:r>
      <w:r>
        <w:t>elle</w:t>
      </w:r>
      <w:r w:rsidRPr="002C4077">
        <w:t xml:space="preserve"> </w:t>
      </w:r>
      <w:r>
        <w:t>a</w:t>
      </w:r>
      <w:r w:rsidRPr="002C4077">
        <w:t xml:space="preserve"> </w:t>
      </w:r>
      <w:r>
        <w:t>été</w:t>
      </w:r>
      <w:r w:rsidRPr="002C4077">
        <w:t xml:space="preserve"> </w:t>
      </w:r>
      <w:r>
        <w:t>détachée</w:t>
      </w:r>
      <w:r w:rsidRPr="002C4077">
        <w:t xml:space="preserve"> </w:t>
      </w:r>
      <w:r>
        <w:t>d’un</w:t>
      </w:r>
      <w:r w:rsidRPr="002C4077">
        <w:t xml:space="preserve"> </w:t>
      </w:r>
      <w:r>
        <w:t>discours</w:t>
      </w:r>
      <w:r w:rsidRPr="002C4077">
        <w:t xml:space="preserve"> </w:t>
      </w:r>
      <w:r>
        <w:t>plus</w:t>
      </w:r>
      <w:r w:rsidRPr="002C4077">
        <w:t xml:space="preserve"> </w:t>
      </w:r>
      <w:r>
        <w:t>considérable</w:t>
      </w:r>
      <w:r w:rsidRPr="002C4077">
        <w:t xml:space="preserve"> </w:t>
      </w:r>
      <w:r>
        <w:t>qui</w:t>
      </w:r>
      <w:r w:rsidRPr="002C4077">
        <w:t xml:space="preserve"> </w:t>
      </w:r>
      <w:r>
        <w:t>aura</w:t>
      </w:r>
      <w:r w:rsidRPr="002C4077">
        <w:t xml:space="preserve"> </w:t>
      </w:r>
      <w:r>
        <w:t>été</w:t>
      </w:r>
      <w:r w:rsidRPr="002C4077">
        <w:t xml:space="preserve"> </w:t>
      </w:r>
      <w:r>
        <w:t>prononcé</w:t>
      </w:r>
      <w:r w:rsidRPr="002C4077">
        <w:t xml:space="preserve"> </w:t>
      </w:r>
      <w:r>
        <w:t>par</w:t>
      </w:r>
      <w:r w:rsidRPr="002C4077">
        <w:t xml:space="preserve"> </w:t>
      </w:r>
      <w:r>
        <w:t>Notre</w:t>
      </w:r>
      <w:r w:rsidRPr="002C4077">
        <w:t xml:space="preserve"> </w:t>
      </w:r>
      <w:r>
        <w:t>Seigneur</w:t>
      </w:r>
      <w:r w:rsidRPr="002C4077">
        <w:t xml:space="preserve"> </w:t>
      </w:r>
      <w:r>
        <w:t>avant</w:t>
      </w:r>
      <w:r w:rsidRPr="002C4077">
        <w:t xml:space="preserve"> </w:t>
      </w:r>
      <w:r>
        <w:t>la</w:t>
      </w:r>
      <w:r w:rsidRPr="002C4077">
        <w:t xml:space="preserve"> </w:t>
      </w:r>
      <w:r>
        <w:t>cène</w:t>
      </w:r>
      <w:r w:rsidRPr="002C4077">
        <w:t xml:space="preserve"> </w:t>
      </w:r>
      <w:r w:rsidR="00B047B7">
        <w:t>eucharistique</w:t>
      </w:r>
      <w:r w:rsidR="00B047B7">
        <w:rPr>
          <w:rStyle w:val="Appelnotedebasdep"/>
        </w:rPr>
        <w:footnoteReference w:id="928"/>
      </w:r>
      <w:r>
        <w:t>.</w:t>
      </w:r>
      <w:r w:rsidRPr="002C4077">
        <w:t xml:space="preserve"> </w:t>
      </w:r>
      <w:r>
        <w:t>Sans</w:t>
      </w:r>
      <w:r w:rsidRPr="002C4077">
        <w:t xml:space="preserve"> </w:t>
      </w:r>
      <w:r>
        <w:t>aucun</w:t>
      </w:r>
      <w:r w:rsidRPr="002C4077">
        <w:t xml:space="preserve"> </w:t>
      </w:r>
      <w:r>
        <w:t>doute</w:t>
      </w:r>
      <w:r w:rsidRPr="002C4077">
        <w:t xml:space="preserve"> </w:t>
      </w:r>
      <w:r>
        <w:t>les</w:t>
      </w:r>
      <w:r w:rsidRPr="002C4077">
        <w:t xml:space="preserve"> </w:t>
      </w:r>
      <w:r>
        <w:t>apôtres,</w:t>
      </w:r>
      <w:r w:rsidRPr="002C4077">
        <w:t xml:space="preserve"> </w:t>
      </w:r>
      <w:r>
        <w:t>après</w:t>
      </w:r>
      <w:r w:rsidRPr="002C4077">
        <w:t xml:space="preserve"> </w:t>
      </w:r>
      <w:r>
        <w:t>leur</w:t>
      </w:r>
      <w:r w:rsidRPr="002C4077">
        <w:t xml:space="preserve"> </w:t>
      </w:r>
      <w:r>
        <w:t>communion,</w:t>
      </w:r>
      <w:r w:rsidRPr="002C4077">
        <w:t xml:space="preserve"> </w:t>
      </w:r>
      <w:r>
        <w:t>s’abandonnèrent</w:t>
      </w:r>
      <w:r w:rsidRPr="002C4077">
        <w:t xml:space="preserve"> </w:t>
      </w:r>
      <w:r>
        <w:t>aux</w:t>
      </w:r>
      <w:r w:rsidRPr="002C4077">
        <w:t xml:space="preserve"> </w:t>
      </w:r>
      <w:r>
        <w:t>doux</w:t>
      </w:r>
      <w:r w:rsidRPr="002C4077">
        <w:t xml:space="preserve"> </w:t>
      </w:r>
      <w:r>
        <w:t>transports</w:t>
      </w:r>
      <w:r w:rsidRPr="002C4077">
        <w:t xml:space="preserve"> </w:t>
      </w:r>
      <w:r>
        <w:t>de</w:t>
      </w:r>
      <w:r w:rsidRPr="002C4077">
        <w:t xml:space="preserve"> </w:t>
      </w:r>
      <w:r>
        <w:t>la</w:t>
      </w:r>
      <w:r w:rsidRPr="002C4077">
        <w:t xml:space="preserve"> </w:t>
      </w:r>
      <w:r>
        <w:t>reconnaissance</w:t>
      </w:r>
      <w:r w:rsidRPr="002C4077">
        <w:t xml:space="preserve"> </w:t>
      </w:r>
      <w:r>
        <w:t>et</w:t>
      </w:r>
      <w:r w:rsidRPr="002C4077">
        <w:t xml:space="preserve"> </w:t>
      </w:r>
      <w:r>
        <w:t>de</w:t>
      </w:r>
      <w:r w:rsidRPr="002C4077">
        <w:t xml:space="preserve"> </w:t>
      </w:r>
      <w:r>
        <w:t>l’amour,</w:t>
      </w:r>
      <w:r w:rsidRPr="002C4077">
        <w:t xml:space="preserve"> </w:t>
      </w:r>
      <w:r>
        <w:t>et</w:t>
      </w:r>
      <w:r w:rsidRPr="002C4077">
        <w:t xml:space="preserve"> </w:t>
      </w:r>
      <w:r>
        <w:t>le</w:t>
      </w:r>
      <w:r w:rsidRPr="002C4077">
        <w:t xml:space="preserve"> </w:t>
      </w:r>
      <w:r>
        <w:t>Sauveur</w:t>
      </w:r>
      <w:r w:rsidRPr="002C4077">
        <w:t xml:space="preserve"> </w:t>
      </w:r>
      <w:r>
        <w:t>ne</w:t>
      </w:r>
      <w:r w:rsidRPr="002C4077">
        <w:t xml:space="preserve"> </w:t>
      </w:r>
      <w:r>
        <w:t>voulut</w:t>
      </w:r>
      <w:r w:rsidRPr="002C4077">
        <w:t xml:space="preserve"> </w:t>
      </w:r>
      <w:r>
        <w:t>point</w:t>
      </w:r>
      <w:r w:rsidRPr="002C4077">
        <w:t xml:space="preserve"> </w:t>
      </w:r>
      <w:r>
        <w:t>troubler</w:t>
      </w:r>
      <w:r w:rsidRPr="002C4077">
        <w:t xml:space="preserve"> </w:t>
      </w:r>
      <w:r>
        <w:t>leur</w:t>
      </w:r>
      <w:r w:rsidRPr="002C4077">
        <w:t xml:space="preserve"> </w:t>
      </w:r>
      <w:r>
        <w:t>action</w:t>
      </w:r>
      <w:r w:rsidRPr="002C4077">
        <w:t xml:space="preserve"> </w:t>
      </w:r>
      <w:r>
        <w:t>de</w:t>
      </w:r>
      <w:r w:rsidRPr="002C4077">
        <w:t xml:space="preserve"> </w:t>
      </w:r>
      <w:r>
        <w:t>grâces</w:t>
      </w:r>
      <w:r w:rsidRPr="002C4077">
        <w:t xml:space="preserve"> </w:t>
      </w:r>
      <w:r>
        <w:t>en</w:t>
      </w:r>
      <w:r w:rsidRPr="002C4077">
        <w:t xml:space="preserve"> </w:t>
      </w:r>
      <w:r>
        <w:t>leur</w:t>
      </w:r>
      <w:r w:rsidRPr="002C4077">
        <w:t xml:space="preserve"> </w:t>
      </w:r>
      <w:r>
        <w:t>parlant</w:t>
      </w:r>
      <w:r w:rsidRPr="002C4077">
        <w:t xml:space="preserve"> </w:t>
      </w:r>
      <w:r>
        <w:t>d’un</w:t>
      </w:r>
      <w:r w:rsidRPr="002C4077">
        <w:t xml:space="preserve"> </w:t>
      </w:r>
      <w:r>
        <w:t>sujet</w:t>
      </w:r>
      <w:r w:rsidRPr="002C4077">
        <w:t xml:space="preserve"> </w:t>
      </w:r>
      <w:r>
        <w:t>pénible</w:t>
      </w:r>
      <w:r w:rsidRPr="002C4077">
        <w:t xml:space="preserve"> </w:t>
      </w:r>
      <w:r>
        <w:t>et</w:t>
      </w:r>
      <w:r w:rsidRPr="002C4077">
        <w:t xml:space="preserve"> </w:t>
      </w:r>
      <w:r>
        <w:t>si</w:t>
      </w:r>
      <w:r w:rsidRPr="002C4077">
        <w:t xml:space="preserve"> </w:t>
      </w:r>
      <w:r>
        <w:t>capable</w:t>
      </w:r>
      <w:r w:rsidRPr="002C4077">
        <w:t xml:space="preserve"> </w:t>
      </w:r>
      <w:r>
        <w:t>de</w:t>
      </w:r>
      <w:r w:rsidRPr="002C4077">
        <w:t xml:space="preserve"> </w:t>
      </w:r>
      <w:r>
        <w:t>les</w:t>
      </w:r>
      <w:bookmarkStart w:id="769" w:name="z_LucEucharistie_o2"/>
      <w:bookmarkEnd w:id="769"/>
      <w:r w:rsidRPr="002C4077">
        <w:t xml:space="preserve"> </w:t>
      </w:r>
      <w:r>
        <w:t>distraire.</w:t>
      </w:r>
      <w:r w:rsidR="00C45B47">
        <w:t xml:space="preserve"> {</w:t>
      </w:r>
      <w:r w:rsidR="005E2129">
        <w:t>316</w:t>
      </w:r>
      <w:bookmarkStart w:id="770" w:name="p316"/>
      <w:bookmarkEnd w:id="770"/>
      <w:r w:rsidR="005E2129">
        <w:t xml:space="preserve">} </w:t>
      </w:r>
      <w:r>
        <w:t>Mais,</w:t>
      </w:r>
      <w:r w:rsidRPr="002C4077">
        <w:t xml:space="preserve"> </w:t>
      </w:r>
      <w:r>
        <w:t>pour</w:t>
      </w:r>
      <w:r w:rsidRPr="002C4077">
        <w:t xml:space="preserve"> </w:t>
      </w:r>
      <w:r>
        <w:t>favoriser</w:t>
      </w:r>
      <w:r w:rsidRPr="002C4077">
        <w:t xml:space="preserve"> </w:t>
      </w:r>
      <w:r>
        <w:t>lui-même</w:t>
      </w:r>
      <w:r w:rsidRPr="002C4077">
        <w:t xml:space="preserve"> </w:t>
      </w:r>
      <w:r>
        <w:t>leurs</w:t>
      </w:r>
      <w:r w:rsidRPr="002C4077">
        <w:t xml:space="preserve"> </w:t>
      </w:r>
      <w:r>
        <w:t>bons</w:t>
      </w:r>
      <w:r w:rsidRPr="002C4077">
        <w:t xml:space="preserve"> </w:t>
      </w:r>
      <w:r>
        <w:t>sentiments,</w:t>
      </w:r>
      <w:r w:rsidRPr="002C4077">
        <w:t xml:space="preserve"> </w:t>
      </w:r>
      <w:r>
        <w:t>il</w:t>
      </w:r>
      <w:r w:rsidRPr="002C4077">
        <w:t xml:space="preserve"> </w:t>
      </w:r>
      <w:r>
        <w:t>commença</w:t>
      </w:r>
      <w:r w:rsidRPr="002C4077">
        <w:t xml:space="preserve"> </w:t>
      </w:r>
      <w:r>
        <w:t>le</w:t>
      </w:r>
      <w:r w:rsidRPr="002C4077">
        <w:t xml:space="preserve"> </w:t>
      </w:r>
      <w:r>
        <w:t>discours</w:t>
      </w:r>
      <w:r w:rsidRPr="002C4077">
        <w:t xml:space="preserve"> </w:t>
      </w:r>
      <w:r>
        <w:t>admirable</w:t>
      </w:r>
      <w:r w:rsidRPr="002C4077">
        <w:t xml:space="preserve"> </w:t>
      </w:r>
      <w:r>
        <w:t>qui</w:t>
      </w:r>
      <w:r w:rsidRPr="002C4077">
        <w:t xml:space="preserve"> </w:t>
      </w:r>
      <w:r>
        <w:t>nous</w:t>
      </w:r>
      <w:r w:rsidRPr="002C4077">
        <w:t xml:space="preserve"> </w:t>
      </w:r>
      <w:r>
        <w:t>a</w:t>
      </w:r>
      <w:r w:rsidRPr="002C4077">
        <w:t xml:space="preserve"> </w:t>
      </w:r>
      <w:r>
        <w:t>été</w:t>
      </w:r>
      <w:r w:rsidRPr="002C4077">
        <w:t xml:space="preserve"> </w:t>
      </w:r>
      <w:r>
        <w:t>conservé</w:t>
      </w:r>
      <w:r w:rsidRPr="002C4077">
        <w:t xml:space="preserve"> </w:t>
      </w:r>
      <w:r>
        <w:t>par</w:t>
      </w:r>
      <w:r w:rsidRPr="002C4077">
        <w:t xml:space="preserve"> </w:t>
      </w:r>
      <w:r>
        <w:t>S.</w:t>
      </w:r>
      <w:r w:rsidRPr="002C4077">
        <w:t xml:space="preserve"> </w:t>
      </w:r>
      <w:r>
        <w:t>Jean</w:t>
      </w:r>
      <w:r w:rsidRPr="002C4077">
        <w:t xml:space="preserve"> </w:t>
      </w:r>
      <w:r>
        <w:t>et</w:t>
      </w:r>
      <w:r w:rsidRPr="002C4077">
        <w:t xml:space="preserve"> </w:t>
      </w:r>
      <w:r>
        <w:t>qui</w:t>
      </w:r>
      <w:r w:rsidRPr="002C4077">
        <w:t xml:space="preserve"> </w:t>
      </w:r>
      <w:r>
        <w:t>débute</w:t>
      </w:r>
      <w:r w:rsidRPr="002C4077">
        <w:t xml:space="preserve"> </w:t>
      </w:r>
      <w:r>
        <w:t>par</w:t>
      </w:r>
      <w:r w:rsidRPr="002C4077">
        <w:t xml:space="preserve"> </w:t>
      </w:r>
      <w:r>
        <w:t>ces</w:t>
      </w:r>
      <w:r w:rsidRPr="002C4077">
        <w:t xml:space="preserve"> </w:t>
      </w:r>
      <w:r>
        <w:t>mots</w:t>
      </w:r>
      <w:r w:rsidR="00B546AF">
        <w:t> :</w:t>
      </w:r>
      <w:r w:rsidRPr="002C4077">
        <w:t xml:space="preserve"> </w:t>
      </w:r>
      <w:r w:rsidR="00B546AF">
        <w:t>« </w:t>
      </w:r>
      <w:r>
        <w:t>Maintenant,</w:t>
      </w:r>
      <w:r w:rsidRPr="002C4077">
        <w:t xml:space="preserve"> </w:t>
      </w:r>
      <w:r>
        <w:t>le</w:t>
      </w:r>
      <w:r w:rsidRPr="002C4077">
        <w:t xml:space="preserve"> </w:t>
      </w:r>
      <w:r>
        <w:t>Fils</w:t>
      </w:r>
      <w:r w:rsidRPr="002C4077">
        <w:t xml:space="preserve"> </w:t>
      </w:r>
      <w:r>
        <w:t>de</w:t>
      </w:r>
      <w:r w:rsidRPr="002C4077">
        <w:t xml:space="preserve"> </w:t>
      </w:r>
      <w:r>
        <w:t>l’homme</w:t>
      </w:r>
      <w:r w:rsidRPr="002C4077">
        <w:t xml:space="preserve"> </w:t>
      </w:r>
      <w:r>
        <w:t>a</w:t>
      </w:r>
      <w:r w:rsidRPr="002C4077">
        <w:t xml:space="preserve"> </w:t>
      </w:r>
      <w:r>
        <w:t>été</w:t>
      </w:r>
      <w:r w:rsidRPr="002C4077">
        <w:t xml:space="preserve"> </w:t>
      </w:r>
      <w:r>
        <w:t>glorifié</w:t>
      </w:r>
      <w:r w:rsidR="00B91AF7">
        <w:rPr>
          <w:rStyle w:val="Appelnotedebasdep"/>
        </w:rPr>
        <w:footnoteReference w:id="929"/>
      </w:r>
      <w:r w:rsidR="00B546AF">
        <w:t> »</w:t>
      </w:r>
      <w:r>
        <w:t>.</w:t>
      </w:r>
      <w:r w:rsidRPr="002C4077">
        <w:t xml:space="preserve"> </w:t>
      </w:r>
    </w:p>
    <w:p w:rsidR="000A7AAB" w:rsidRDefault="000A7AAB" w:rsidP="000A7AAB">
      <w:r>
        <w:t>Par</w:t>
      </w:r>
      <w:r w:rsidRPr="002C4077">
        <w:t xml:space="preserve"> </w:t>
      </w:r>
      <w:r>
        <w:t>cette</w:t>
      </w:r>
      <w:r w:rsidRPr="002C4077">
        <w:t xml:space="preserve"> </w:t>
      </w:r>
      <w:r>
        <w:t>discussion,</w:t>
      </w:r>
      <w:r w:rsidRPr="002C4077">
        <w:t xml:space="preserve"> </w:t>
      </w:r>
      <w:r>
        <w:t>que</w:t>
      </w:r>
      <w:r w:rsidRPr="002C4077">
        <w:t xml:space="preserve"> </w:t>
      </w:r>
      <w:r>
        <w:t>le</w:t>
      </w:r>
      <w:r w:rsidRPr="002C4077">
        <w:t xml:space="preserve"> </w:t>
      </w:r>
      <w:r>
        <w:t>lecteur</w:t>
      </w:r>
      <w:r w:rsidRPr="002C4077">
        <w:t xml:space="preserve"> </w:t>
      </w:r>
      <w:r>
        <w:t>aura</w:t>
      </w:r>
      <w:r w:rsidRPr="002C4077">
        <w:t xml:space="preserve"> </w:t>
      </w:r>
      <w:r>
        <w:t>nécessairement</w:t>
      </w:r>
      <w:r w:rsidRPr="002C4077">
        <w:t xml:space="preserve"> </w:t>
      </w:r>
      <w:r>
        <w:t>trouvée</w:t>
      </w:r>
      <w:r w:rsidRPr="002C4077">
        <w:t xml:space="preserve"> </w:t>
      </w:r>
      <w:r>
        <w:t>un</w:t>
      </w:r>
      <w:r w:rsidRPr="002C4077">
        <w:t xml:space="preserve"> </w:t>
      </w:r>
      <w:r>
        <w:t>peu</w:t>
      </w:r>
      <w:r w:rsidRPr="002C4077">
        <w:t xml:space="preserve"> </w:t>
      </w:r>
      <w:r>
        <w:t>aride,</w:t>
      </w:r>
      <w:r w:rsidRPr="002C4077">
        <w:t xml:space="preserve"> </w:t>
      </w:r>
      <w:r>
        <w:t>nous</w:t>
      </w:r>
      <w:r w:rsidRPr="002C4077">
        <w:t xml:space="preserve"> </w:t>
      </w:r>
      <w:r>
        <w:t>croyons</w:t>
      </w:r>
      <w:r w:rsidRPr="002C4077">
        <w:t xml:space="preserve"> </w:t>
      </w:r>
      <w:r>
        <w:t>avoir</w:t>
      </w:r>
      <w:r w:rsidRPr="002C4077">
        <w:t xml:space="preserve"> </w:t>
      </w:r>
      <w:r>
        <w:t>démontré</w:t>
      </w:r>
      <w:r w:rsidRPr="002C4077">
        <w:t xml:space="preserve"> </w:t>
      </w:r>
      <w:r>
        <w:t>que</w:t>
      </w:r>
      <w:r w:rsidRPr="002C4077">
        <w:t xml:space="preserve"> </w:t>
      </w:r>
      <w:r>
        <w:t>le</w:t>
      </w:r>
      <w:r w:rsidRPr="002C4077">
        <w:t xml:space="preserve"> </w:t>
      </w:r>
      <w:r>
        <w:t>texte</w:t>
      </w:r>
      <w:r w:rsidRPr="002C4077">
        <w:t xml:space="preserve"> </w:t>
      </w:r>
      <w:r>
        <w:t>de</w:t>
      </w:r>
      <w:r w:rsidRPr="002C4077">
        <w:t xml:space="preserve"> </w:t>
      </w:r>
      <w:r>
        <w:t>S.</w:t>
      </w:r>
      <w:r w:rsidRPr="002C4077">
        <w:t xml:space="preserve"> </w:t>
      </w:r>
      <w:r>
        <w:t>Luc</w:t>
      </w:r>
      <w:r w:rsidRPr="002C4077">
        <w:t xml:space="preserve"> </w:t>
      </w:r>
      <w:r>
        <w:t>n’est</w:t>
      </w:r>
      <w:r w:rsidRPr="002C4077">
        <w:t xml:space="preserve"> </w:t>
      </w:r>
      <w:r>
        <w:t>pas</w:t>
      </w:r>
      <w:r w:rsidRPr="002C4077">
        <w:t xml:space="preserve"> </w:t>
      </w:r>
      <w:r>
        <w:t>réellement</w:t>
      </w:r>
      <w:r w:rsidRPr="002C4077">
        <w:t xml:space="preserve"> </w:t>
      </w:r>
      <w:r>
        <w:t>contraire</w:t>
      </w:r>
      <w:r w:rsidRPr="002C4077">
        <w:t xml:space="preserve"> </w:t>
      </w:r>
      <w:r>
        <w:t>à</w:t>
      </w:r>
      <w:r w:rsidRPr="002C4077">
        <w:t xml:space="preserve"> </w:t>
      </w:r>
      <w:r>
        <w:t>l’opinion</w:t>
      </w:r>
      <w:r w:rsidRPr="002C4077">
        <w:t xml:space="preserve"> </w:t>
      </w:r>
      <w:r>
        <w:t>que</w:t>
      </w:r>
      <w:r w:rsidRPr="002C4077">
        <w:t xml:space="preserve"> </w:t>
      </w:r>
      <w:r>
        <w:t>nous</w:t>
      </w:r>
      <w:r w:rsidRPr="002C4077">
        <w:t xml:space="preserve"> </w:t>
      </w:r>
      <w:r>
        <w:t>cherchons</w:t>
      </w:r>
      <w:r w:rsidRPr="002C4077">
        <w:t xml:space="preserve"> </w:t>
      </w:r>
      <w:r>
        <w:t>à</w:t>
      </w:r>
      <w:r w:rsidRPr="002C4077">
        <w:t xml:space="preserve"> </w:t>
      </w:r>
      <w:r>
        <w:t>établir,</w:t>
      </w:r>
      <w:r w:rsidRPr="002C4077">
        <w:t xml:space="preserve"> </w:t>
      </w:r>
      <w:r>
        <w:t>et</w:t>
      </w:r>
      <w:r w:rsidRPr="002C4077">
        <w:t xml:space="preserve"> </w:t>
      </w:r>
      <w:r>
        <w:t>qu’il</w:t>
      </w:r>
      <w:r w:rsidRPr="002C4077">
        <w:t xml:space="preserve"> </w:t>
      </w:r>
      <w:r w:rsidR="00425C50">
        <w:t>est</w:t>
      </w:r>
      <w:r w:rsidRPr="002C4077">
        <w:t xml:space="preserve"> </w:t>
      </w:r>
      <w:r>
        <w:t>loin</w:t>
      </w:r>
      <w:r w:rsidRPr="002C4077">
        <w:t xml:space="preserve"> </w:t>
      </w:r>
      <w:r>
        <w:t>de</w:t>
      </w:r>
      <w:r w:rsidRPr="002C4077">
        <w:t xml:space="preserve"> </w:t>
      </w:r>
      <w:r>
        <w:t>fournir</w:t>
      </w:r>
      <w:r w:rsidRPr="002C4077">
        <w:t xml:space="preserve"> </w:t>
      </w:r>
      <w:r>
        <w:t>une</w:t>
      </w:r>
      <w:r w:rsidRPr="002C4077">
        <w:t xml:space="preserve"> </w:t>
      </w:r>
      <w:r>
        <w:t>preuve</w:t>
      </w:r>
      <w:r w:rsidRPr="002C4077">
        <w:t xml:space="preserve"> </w:t>
      </w:r>
      <w:r>
        <w:t>solide</w:t>
      </w:r>
      <w:r w:rsidRPr="002C4077">
        <w:t xml:space="preserve"> </w:t>
      </w:r>
      <w:r>
        <w:t>à</w:t>
      </w:r>
      <w:r w:rsidRPr="002C4077">
        <w:t xml:space="preserve"> </w:t>
      </w:r>
      <w:r>
        <w:t>la</w:t>
      </w:r>
      <w:r w:rsidRPr="002C4077">
        <w:t xml:space="preserve"> </w:t>
      </w:r>
      <w:r>
        <w:t>thèse</w:t>
      </w:r>
      <w:r w:rsidRPr="002C4077">
        <w:t xml:space="preserve"> </w:t>
      </w:r>
      <w:r>
        <w:t>opposée.</w:t>
      </w:r>
      <w:r w:rsidRPr="002C4077">
        <w:t xml:space="preserve"> </w:t>
      </w:r>
    </w:p>
    <w:p w:rsidR="000A7AAB" w:rsidRDefault="000A7AAB" w:rsidP="000A7AAB">
      <w:r>
        <w:t>Nous</w:t>
      </w:r>
      <w:r w:rsidRPr="002C4077">
        <w:t xml:space="preserve"> </w:t>
      </w:r>
      <w:r>
        <w:t>allons</w:t>
      </w:r>
      <w:r w:rsidRPr="002C4077">
        <w:t xml:space="preserve"> </w:t>
      </w:r>
      <w:r>
        <w:t>maintenant</w:t>
      </w:r>
      <w:r w:rsidRPr="002C4077">
        <w:t xml:space="preserve"> </w:t>
      </w:r>
      <w:r>
        <w:t>relier</w:t>
      </w:r>
      <w:r w:rsidRPr="002C4077">
        <w:t xml:space="preserve"> </w:t>
      </w:r>
      <w:r>
        <w:t>la</w:t>
      </w:r>
      <w:r w:rsidRPr="002C4077">
        <w:t xml:space="preserve"> </w:t>
      </w:r>
      <w:r>
        <w:t>narration</w:t>
      </w:r>
      <w:r w:rsidRPr="002C4077">
        <w:t xml:space="preserve"> </w:t>
      </w:r>
      <w:r>
        <w:t>de</w:t>
      </w:r>
      <w:r w:rsidRPr="002C4077">
        <w:t xml:space="preserve"> </w:t>
      </w:r>
      <w:r>
        <w:t>l’apôtre</w:t>
      </w:r>
      <w:r w:rsidRPr="002C4077">
        <w:t xml:space="preserve"> </w:t>
      </w:r>
      <w:r>
        <w:t>bien-aimé</w:t>
      </w:r>
      <w:r w:rsidRPr="002C4077">
        <w:t xml:space="preserve"> </w:t>
      </w:r>
      <w:r>
        <w:t>à</w:t>
      </w:r>
      <w:r w:rsidRPr="002C4077">
        <w:t xml:space="preserve"> </w:t>
      </w:r>
      <w:r>
        <w:t>celles</w:t>
      </w:r>
      <w:r w:rsidRPr="002C4077">
        <w:t xml:space="preserve"> </w:t>
      </w:r>
      <w:r>
        <w:t>de</w:t>
      </w:r>
      <w:r w:rsidRPr="002C4077">
        <w:t xml:space="preserve"> </w:t>
      </w:r>
      <w:r>
        <w:t>S.</w:t>
      </w:r>
      <w:r w:rsidRPr="002C4077">
        <w:t xml:space="preserve"> </w:t>
      </w:r>
      <w:r w:rsidR="00425C50">
        <w:t>Matth</w:t>
      </w:r>
      <w:r>
        <w:t>ieu</w:t>
      </w:r>
      <w:r w:rsidRPr="002C4077">
        <w:t xml:space="preserve"> </w:t>
      </w:r>
      <w:r>
        <w:t>et</w:t>
      </w:r>
      <w:r w:rsidRPr="002C4077">
        <w:t xml:space="preserve"> </w:t>
      </w:r>
      <w:r>
        <w:t>de</w:t>
      </w:r>
      <w:r w:rsidRPr="002C4077">
        <w:t xml:space="preserve"> </w:t>
      </w:r>
      <w:r>
        <w:t>S.</w:t>
      </w:r>
      <w:r w:rsidRPr="002C4077">
        <w:t xml:space="preserve"> </w:t>
      </w:r>
      <w:r>
        <w:t>Marc.</w:t>
      </w:r>
      <w:r w:rsidRPr="002C4077">
        <w:t xml:space="preserve"> </w:t>
      </w:r>
    </w:p>
    <w:p w:rsidR="000A7AAB" w:rsidRDefault="000A7AAB" w:rsidP="000A7AAB">
      <w:r>
        <w:t>On</w:t>
      </w:r>
      <w:r w:rsidRPr="002C4077">
        <w:t xml:space="preserve"> </w:t>
      </w:r>
      <w:r>
        <w:t>se</w:t>
      </w:r>
      <w:r w:rsidRPr="002C4077">
        <w:t xml:space="preserve"> </w:t>
      </w:r>
      <w:r>
        <w:t>souvient</w:t>
      </w:r>
      <w:r w:rsidRPr="002C4077">
        <w:t xml:space="preserve"> </w:t>
      </w:r>
      <w:r>
        <w:t>qu’immédiatement</w:t>
      </w:r>
      <w:r w:rsidRPr="002C4077">
        <w:t xml:space="preserve"> </w:t>
      </w:r>
      <w:r>
        <w:t>après</w:t>
      </w:r>
      <w:r w:rsidRPr="002C4077">
        <w:t xml:space="preserve"> </w:t>
      </w:r>
      <w:r>
        <w:t>la</w:t>
      </w:r>
      <w:r w:rsidRPr="002C4077">
        <w:t xml:space="preserve"> </w:t>
      </w:r>
      <w:r>
        <w:t>scène</w:t>
      </w:r>
      <w:r w:rsidRPr="002C4077">
        <w:t xml:space="preserve"> </w:t>
      </w:r>
      <w:r>
        <w:t>touchante</w:t>
      </w:r>
      <w:r w:rsidRPr="002C4077">
        <w:t xml:space="preserve"> </w:t>
      </w:r>
      <w:r>
        <w:t>du</w:t>
      </w:r>
      <w:r w:rsidRPr="002C4077">
        <w:t xml:space="preserve"> </w:t>
      </w:r>
      <w:r>
        <w:t>lavement</w:t>
      </w:r>
      <w:r w:rsidRPr="002C4077">
        <w:t xml:space="preserve"> </w:t>
      </w:r>
      <w:r>
        <w:t>des</w:t>
      </w:r>
      <w:r w:rsidRPr="002C4077">
        <w:t xml:space="preserve"> </w:t>
      </w:r>
      <w:r>
        <w:t>pieds</w:t>
      </w:r>
      <w:r w:rsidRPr="002C4077">
        <w:t xml:space="preserve"> </w:t>
      </w:r>
      <w:r>
        <w:t>et</w:t>
      </w:r>
      <w:r w:rsidRPr="002C4077">
        <w:t xml:space="preserve"> </w:t>
      </w:r>
      <w:r>
        <w:t>les</w:t>
      </w:r>
      <w:r w:rsidRPr="002C4077">
        <w:t xml:space="preserve"> </w:t>
      </w:r>
      <w:r>
        <w:t>recommandations</w:t>
      </w:r>
      <w:r w:rsidRPr="002C4077">
        <w:t xml:space="preserve"> </w:t>
      </w:r>
      <w:r>
        <w:t>qui</w:t>
      </w:r>
      <w:r w:rsidRPr="002C4077">
        <w:t xml:space="preserve"> </w:t>
      </w:r>
      <w:r>
        <w:t>la</w:t>
      </w:r>
      <w:r w:rsidRPr="002C4077">
        <w:t xml:space="preserve"> </w:t>
      </w:r>
      <w:r>
        <w:t>suivent,</w:t>
      </w:r>
      <w:r w:rsidRPr="002C4077">
        <w:t xml:space="preserve"> </w:t>
      </w:r>
      <w:r>
        <w:t>S.</w:t>
      </w:r>
      <w:r w:rsidRPr="002C4077">
        <w:t xml:space="preserve"> </w:t>
      </w:r>
      <w:r>
        <w:t>Jean</w:t>
      </w:r>
      <w:bookmarkStart w:id="771" w:name="z_JeanSaint_o1"/>
      <w:bookmarkEnd w:id="771"/>
      <w:r w:rsidRPr="002C4077">
        <w:t xml:space="preserve"> </w:t>
      </w:r>
      <w:r>
        <w:t>parle</w:t>
      </w:r>
      <w:r w:rsidRPr="002C4077">
        <w:t xml:space="preserve"> </w:t>
      </w:r>
      <w:r>
        <w:t>de</w:t>
      </w:r>
      <w:r w:rsidRPr="002C4077">
        <w:t xml:space="preserve"> </w:t>
      </w:r>
      <w:r>
        <w:t>l’attendrissement</w:t>
      </w:r>
      <w:r w:rsidRPr="002C4077">
        <w:t xml:space="preserve"> </w:t>
      </w:r>
      <w:r>
        <w:t>subit</w:t>
      </w:r>
      <w:r w:rsidRPr="002C4077">
        <w:t xml:space="preserve"> </w:t>
      </w:r>
      <w:r>
        <w:t>de</w:t>
      </w:r>
      <w:r w:rsidRPr="002C4077">
        <w:t xml:space="preserve"> </w:t>
      </w:r>
      <w:r>
        <w:t>Notre</w:t>
      </w:r>
      <w:r w:rsidRPr="002C4077">
        <w:t xml:space="preserve"> </w:t>
      </w:r>
      <w:r>
        <w:t>Seigneur,</w:t>
      </w:r>
      <w:r w:rsidRPr="002C4077">
        <w:t xml:space="preserve"> </w:t>
      </w:r>
      <w:r>
        <w:t>de</w:t>
      </w:r>
      <w:r w:rsidRPr="002C4077">
        <w:t xml:space="preserve"> </w:t>
      </w:r>
      <w:r>
        <w:t>sa</w:t>
      </w:r>
      <w:r w:rsidRPr="002C4077">
        <w:t xml:space="preserve"> </w:t>
      </w:r>
      <w:r>
        <w:t>prophétie</w:t>
      </w:r>
      <w:r w:rsidRPr="002C4077">
        <w:t xml:space="preserve"> </w:t>
      </w:r>
      <w:r>
        <w:t>relative</w:t>
      </w:r>
      <w:r w:rsidRPr="002C4077">
        <w:t xml:space="preserve"> </w:t>
      </w:r>
      <w:r>
        <w:t>au</w:t>
      </w:r>
      <w:r w:rsidRPr="002C4077">
        <w:t xml:space="preserve"> </w:t>
      </w:r>
      <w:r>
        <w:t>traître,</w:t>
      </w:r>
      <w:r w:rsidRPr="002C4077">
        <w:t xml:space="preserve"> </w:t>
      </w:r>
      <w:r>
        <w:t>du</w:t>
      </w:r>
      <w:r w:rsidRPr="002C4077">
        <w:t xml:space="preserve"> </w:t>
      </w:r>
      <w:r>
        <w:t>morceau</w:t>
      </w:r>
      <w:r w:rsidRPr="002C4077">
        <w:t xml:space="preserve"> </w:t>
      </w:r>
      <w:r>
        <w:t>trempé</w:t>
      </w:r>
      <w:r w:rsidRPr="002C4077">
        <w:t xml:space="preserve"> </w:t>
      </w:r>
      <w:r>
        <w:t>et</w:t>
      </w:r>
      <w:r w:rsidRPr="002C4077">
        <w:t xml:space="preserve"> </w:t>
      </w:r>
      <w:r>
        <w:t>du</w:t>
      </w:r>
      <w:r w:rsidRPr="002C4077">
        <w:t xml:space="preserve"> </w:t>
      </w:r>
      <w:r>
        <w:t>départ</w:t>
      </w:r>
      <w:r w:rsidRPr="002C4077">
        <w:t xml:space="preserve"> </w:t>
      </w:r>
      <w:r>
        <w:t>de</w:t>
      </w:r>
      <w:r w:rsidRPr="002C4077">
        <w:t xml:space="preserve"> </w:t>
      </w:r>
      <w:r>
        <w:t>Judas</w:t>
      </w:r>
      <w:r w:rsidR="00B91AF7">
        <w:rPr>
          <w:rStyle w:val="Appelnotedebasdep"/>
        </w:rPr>
        <w:footnoteReference w:id="930"/>
      </w:r>
      <w:r>
        <w:t>.</w:t>
      </w:r>
      <w:r w:rsidRPr="002C4077">
        <w:t xml:space="preserve"> </w:t>
      </w:r>
      <w:r>
        <w:t>Il</w:t>
      </w:r>
      <w:r w:rsidRPr="002C4077">
        <w:t xml:space="preserve"> </w:t>
      </w:r>
      <w:r>
        <w:t>n’y</w:t>
      </w:r>
      <w:r w:rsidRPr="002C4077">
        <w:t xml:space="preserve"> </w:t>
      </w:r>
      <w:r>
        <w:t>a</w:t>
      </w:r>
      <w:r w:rsidRPr="002C4077">
        <w:t xml:space="preserve"> </w:t>
      </w:r>
      <w:r>
        <w:t>rien,</w:t>
      </w:r>
      <w:r w:rsidRPr="002C4077">
        <w:t xml:space="preserve"> </w:t>
      </w:r>
      <w:r>
        <w:t>dans</w:t>
      </w:r>
      <w:r w:rsidRPr="002C4077">
        <w:t xml:space="preserve"> </w:t>
      </w:r>
      <w:r>
        <w:t>son</w:t>
      </w:r>
      <w:r w:rsidRPr="002C4077">
        <w:t xml:space="preserve"> </w:t>
      </w:r>
      <w:r>
        <w:t>récit,</w:t>
      </w:r>
      <w:r w:rsidRPr="002C4077">
        <w:t xml:space="preserve"> </w:t>
      </w:r>
      <w:r>
        <w:t>qui</w:t>
      </w:r>
      <w:r w:rsidRPr="002C4077">
        <w:t xml:space="preserve"> </w:t>
      </w:r>
      <w:r>
        <w:t>indique</w:t>
      </w:r>
      <w:r w:rsidRPr="002C4077">
        <w:t xml:space="preserve"> </w:t>
      </w:r>
      <w:r>
        <w:t>d’une</w:t>
      </w:r>
      <w:r w:rsidRPr="002C4077">
        <w:t xml:space="preserve"> </w:t>
      </w:r>
      <w:r>
        <w:t>manière</w:t>
      </w:r>
      <w:r w:rsidRPr="002C4077">
        <w:t xml:space="preserve"> </w:t>
      </w:r>
      <w:r>
        <w:t>expresse</w:t>
      </w:r>
      <w:r w:rsidRPr="002C4077">
        <w:t xml:space="preserve"> </w:t>
      </w:r>
      <w:r>
        <w:t>si</w:t>
      </w:r>
      <w:r w:rsidRPr="002C4077">
        <w:t xml:space="preserve"> </w:t>
      </w:r>
      <w:r>
        <w:t>cette</w:t>
      </w:r>
      <w:r w:rsidRPr="002C4077">
        <w:t xml:space="preserve"> </w:t>
      </w:r>
      <w:r>
        <w:t>série</w:t>
      </w:r>
      <w:r w:rsidRPr="002C4077">
        <w:t xml:space="preserve"> </w:t>
      </w:r>
      <w:r>
        <w:t>de</w:t>
      </w:r>
      <w:r w:rsidRPr="002C4077">
        <w:t xml:space="preserve"> </w:t>
      </w:r>
      <w:r>
        <w:t>faits</w:t>
      </w:r>
      <w:r w:rsidRPr="002C4077">
        <w:t xml:space="preserve"> </w:t>
      </w:r>
      <w:r>
        <w:t>eut</w:t>
      </w:r>
      <w:r w:rsidRPr="002C4077">
        <w:t xml:space="preserve"> </w:t>
      </w:r>
      <w:r>
        <w:t>lieu</w:t>
      </w:r>
      <w:r w:rsidRPr="002C4077">
        <w:t xml:space="preserve"> </w:t>
      </w:r>
      <w:r>
        <w:t>avant</w:t>
      </w:r>
      <w:r w:rsidRPr="002C4077">
        <w:t xml:space="preserve"> </w:t>
      </w:r>
      <w:r>
        <w:t>ou</w:t>
      </w:r>
      <w:r w:rsidRPr="002C4077">
        <w:t xml:space="preserve"> </w:t>
      </w:r>
      <w:r>
        <w:t>après</w:t>
      </w:r>
      <w:r w:rsidRPr="002C4077">
        <w:t xml:space="preserve"> </w:t>
      </w:r>
      <w:r>
        <w:t>la</w:t>
      </w:r>
      <w:r w:rsidRPr="002C4077">
        <w:t xml:space="preserve"> </w:t>
      </w:r>
      <w:r>
        <w:t>communion</w:t>
      </w:r>
      <w:r w:rsidRPr="002C4077">
        <w:t xml:space="preserve"> </w:t>
      </w:r>
      <w:r>
        <w:t>des</w:t>
      </w:r>
      <w:r w:rsidRPr="002C4077">
        <w:t xml:space="preserve"> </w:t>
      </w:r>
      <w:r>
        <w:t>apôtres.</w:t>
      </w:r>
      <w:r w:rsidRPr="002C4077">
        <w:t xml:space="preserve"> </w:t>
      </w:r>
      <w:r>
        <w:t>Nous</w:t>
      </w:r>
      <w:r w:rsidRPr="002C4077">
        <w:t xml:space="preserve"> </w:t>
      </w:r>
      <w:r>
        <w:t>croyons</w:t>
      </w:r>
      <w:r w:rsidRPr="002C4077">
        <w:t xml:space="preserve"> </w:t>
      </w:r>
      <w:r>
        <w:t>cependant</w:t>
      </w:r>
      <w:r w:rsidRPr="002C4077">
        <w:t xml:space="preserve"> </w:t>
      </w:r>
      <w:r>
        <w:t>y</w:t>
      </w:r>
      <w:r w:rsidRPr="002C4077">
        <w:t xml:space="preserve"> </w:t>
      </w:r>
      <w:r>
        <w:t>découvrir</w:t>
      </w:r>
      <w:r w:rsidRPr="002C4077">
        <w:t xml:space="preserve"> </w:t>
      </w:r>
      <w:r>
        <w:t>un</w:t>
      </w:r>
      <w:r w:rsidRPr="002C4077">
        <w:t xml:space="preserve"> </w:t>
      </w:r>
      <w:r>
        <w:t>détail</w:t>
      </w:r>
      <w:r w:rsidRPr="002C4077">
        <w:t xml:space="preserve"> </w:t>
      </w:r>
      <w:r>
        <w:t>capable</w:t>
      </w:r>
      <w:r w:rsidRPr="002C4077">
        <w:t xml:space="preserve"> </w:t>
      </w:r>
      <w:r>
        <w:t>de</w:t>
      </w:r>
      <w:r w:rsidRPr="002C4077">
        <w:t xml:space="preserve"> </w:t>
      </w:r>
      <w:r>
        <w:t>démontrer</w:t>
      </w:r>
      <w:r w:rsidRPr="002C4077">
        <w:t xml:space="preserve"> </w:t>
      </w:r>
      <w:r>
        <w:t>que</w:t>
      </w:r>
      <w:r w:rsidRPr="002C4077">
        <w:t xml:space="preserve"> </w:t>
      </w:r>
      <w:r>
        <w:t>le</w:t>
      </w:r>
      <w:r w:rsidRPr="002C4077">
        <w:t xml:space="preserve"> </w:t>
      </w:r>
      <w:r>
        <w:t>tout</w:t>
      </w:r>
      <w:r w:rsidRPr="002C4077">
        <w:t xml:space="preserve"> </w:t>
      </w:r>
      <w:r>
        <w:t>s’est</w:t>
      </w:r>
      <w:r w:rsidRPr="002C4077">
        <w:t xml:space="preserve"> </w:t>
      </w:r>
      <w:r>
        <w:t>passé</w:t>
      </w:r>
      <w:r w:rsidRPr="002C4077">
        <w:t xml:space="preserve"> </w:t>
      </w:r>
      <w:r>
        <w:t>entre</w:t>
      </w:r>
      <w:r w:rsidRPr="002C4077">
        <w:t xml:space="preserve"> </w:t>
      </w:r>
      <w:r>
        <w:t>les</w:t>
      </w:r>
      <w:r w:rsidRPr="002C4077">
        <w:t xml:space="preserve"> </w:t>
      </w:r>
      <w:r>
        <w:t>deux</w:t>
      </w:r>
      <w:r w:rsidRPr="002C4077">
        <w:t xml:space="preserve"> </w:t>
      </w:r>
      <w:r>
        <w:t>repas,</w:t>
      </w:r>
      <w:r w:rsidRPr="002C4077">
        <w:t xml:space="preserve"> </w:t>
      </w:r>
      <w:r>
        <w:t>le</w:t>
      </w:r>
      <w:r w:rsidRPr="002C4077">
        <w:t xml:space="preserve"> </w:t>
      </w:r>
      <w:r>
        <w:t>souper</w:t>
      </w:r>
      <w:r w:rsidRPr="002C4077">
        <w:t xml:space="preserve"> </w:t>
      </w:r>
      <w:r>
        <w:t>légal</w:t>
      </w:r>
      <w:r w:rsidRPr="002C4077">
        <w:t xml:space="preserve"> </w:t>
      </w:r>
      <w:r>
        <w:t>et</w:t>
      </w:r>
      <w:r w:rsidRPr="002C4077">
        <w:t xml:space="preserve"> </w:t>
      </w:r>
      <w:r>
        <w:t>le</w:t>
      </w:r>
      <w:r w:rsidRPr="002C4077">
        <w:t xml:space="preserve"> </w:t>
      </w:r>
      <w:r>
        <w:t>banquet</w:t>
      </w:r>
      <w:r w:rsidRPr="002C4077">
        <w:t xml:space="preserve"> </w:t>
      </w:r>
      <w:r>
        <w:t>sacré</w:t>
      </w:r>
      <w:r w:rsidR="00B546AF">
        <w:t> ;</w:t>
      </w:r>
      <w:r w:rsidRPr="002C4077">
        <w:t xml:space="preserve"> </w:t>
      </w:r>
      <w:r>
        <w:t>par</w:t>
      </w:r>
      <w:r w:rsidRPr="002C4077">
        <w:t xml:space="preserve"> </w:t>
      </w:r>
      <w:r>
        <w:t>conséquent,</w:t>
      </w:r>
      <w:r w:rsidRPr="002C4077">
        <w:t xml:space="preserve"> </w:t>
      </w:r>
      <w:r>
        <w:t>avant</w:t>
      </w:r>
      <w:r w:rsidRPr="002C4077">
        <w:t xml:space="preserve"> </w:t>
      </w:r>
      <w:r>
        <w:t>l’institution</w:t>
      </w:r>
      <w:r w:rsidRPr="002C4077">
        <w:t xml:space="preserve"> </w:t>
      </w:r>
      <w:r>
        <w:t>de</w:t>
      </w:r>
      <w:r w:rsidRPr="002C4077">
        <w:t xml:space="preserve"> </w:t>
      </w:r>
      <w:r>
        <w:t>la</w:t>
      </w:r>
      <w:r w:rsidRPr="002C4077">
        <w:t xml:space="preserve"> </w:t>
      </w:r>
      <w:r>
        <w:t>sainte</w:t>
      </w:r>
      <w:r w:rsidRPr="002C4077">
        <w:t xml:space="preserve"> </w:t>
      </w:r>
      <w:r>
        <w:t>Eucharistie</w:t>
      </w:r>
      <w:r w:rsidR="00B546AF">
        <w:t> :</w:t>
      </w:r>
      <w:r w:rsidRPr="002C4077">
        <w:t xml:space="preserve"> </w:t>
      </w:r>
      <w:r>
        <w:t>ce</w:t>
      </w:r>
      <w:r w:rsidRPr="002C4077">
        <w:t xml:space="preserve"> </w:t>
      </w:r>
      <w:r>
        <w:t>qui</w:t>
      </w:r>
      <w:r w:rsidRPr="002C4077">
        <w:t xml:space="preserve"> </w:t>
      </w:r>
      <w:r>
        <w:t>nous</w:t>
      </w:r>
      <w:r w:rsidRPr="002C4077">
        <w:t xml:space="preserve"> </w:t>
      </w:r>
      <w:r>
        <w:t>donnerait</w:t>
      </w:r>
      <w:r w:rsidRPr="002C4077">
        <w:t xml:space="preserve"> </w:t>
      </w:r>
      <w:r>
        <w:t>évidemment</w:t>
      </w:r>
      <w:r w:rsidRPr="002C4077">
        <w:t xml:space="preserve"> </w:t>
      </w:r>
      <w:r>
        <w:t>gain</w:t>
      </w:r>
      <w:r w:rsidRPr="002C4077">
        <w:t xml:space="preserve"> </w:t>
      </w:r>
      <w:r>
        <w:t>de</w:t>
      </w:r>
      <w:r w:rsidRPr="002C4077">
        <w:t xml:space="preserve"> </w:t>
      </w:r>
      <w:r>
        <w:t>cause.</w:t>
      </w:r>
      <w:r w:rsidRPr="002C4077">
        <w:t xml:space="preserve"> </w:t>
      </w:r>
    </w:p>
    <w:p w:rsidR="000A7AAB" w:rsidRPr="005E2129" w:rsidRDefault="000A7AAB" w:rsidP="000A7AAB">
      <w:r>
        <w:t>Il</w:t>
      </w:r>
      <w:r w:rsidRPr="002C4077">
        <w:t xml:space="preserve"> </w:t>
      </w:r>
      <w:r>
        <w:t>s’agit</w:t>
      </w:r>
      <w:r w:rsidRPr="002C4077">
        <w:t xml:space="preserve"> </w:t>
      </w:r>
      <w:r>
        <w:t>du</w:t>
      </w:r>
      <w:r w:rsidRPr="002C4077">
        <w:t xml:space="preserve"> </w:t>
      </w:r>
      <w:r w:rsidR="00FC1239" w:rsidRPr="00FC1239">
        <w:t>ψωμίον</w:t>
      </w:r>
      <w:r w:rsidR="00FC1239" w:rsidRPr="004440EA">
        <w:t xml:space="preserve"> </w:t>
      </w:r>
      <w:r w:rsidRPr="004440EA">
        <w:t>(</w:t>
      </w:r>
      <w:r>
        <w:t>Vulgate</w:t>
      </w:r>
      <w:r w:rsidR="00B546AF">
        <w:t> :</w:t>
      </w:r>
      <w:r w:rsidRPr="002C4077">
        <w:t xml:space="preserve"> </w:t>
      </w:r>
      <w:r w:rsidR="0014099C" w:rsidRPr="000A34B5">
        <w:rPr>
          <w:rStyle w:val="italicus"/>
        </w:rPr>
        <w:t>buccélla</w:t>
      </w:r>
      <w:r w:rsidR="00B546AF" w:rsidRPr="002C4077">
        <w:t>)</w:t>
      </w:r>
      <w:r w:rsidRPr="002C4077">
        <w:t xml:space="preserve"> </w:t>
      </w:r>
      <w:r>
        <w:t>que</w:t>
      </w:r>
      <w:r w:rsidRPr="002C4077">
        <w:t xml:space="preserve"> </w:t>
      </w:r>
      <w:r w:rsidR="00425C50">
        <w:t>Jésus</w:t>
      </w:r>
      <w:r w:rsidRPr="002C4077">
        <w:t xml:space="preserve"> </w:t>
      </w:r>
      <w:r>
        <w:t>donna</w:t>
      </w:r>
      <w:r w:rsidRPr="002C4077">
        <w:t xml:space="preserve"> </w:t>
      </w:r>
      <w:r>
        <w:t>au</w:t>
      </w:r>
      <w:r w:rsidRPr="002C4077">
        <w:t xml:space="preserve"> </w:t>
      </w:r>
      <w:r>
        <w:t>traître</w:t>
      </w:r>
      <w:r w:rsidRPr="002C4077">
        <w:t xml:space="preserve"> </w:t>
      </w:r>
      <w:r>
        <w:t>pour</w:t>
      </w:r>
      <w:r w:rsidRPr="002C4077">
        <w:t xml:space="preserve"> </w:t>
      </w:r>
      <w:r>
        <w:t>le</w:t>
      </w:r>
      <w:r w:rsidRPr="002C4077">
        <w:t xml:space="preserve"> </w:t>
      </w:r>
      <w:r>
        <w:t>congédier.</w:t>
      </w:r>
      <w:r w:rsidR="00C45B47">
        <w:t xml:space="preserve"> {</w:t>
      </w:r>
      <w:r w:rsidR="005E2129">
        <w:t>317</w:t>
      </w:r>
      <w:bookmarkStart w:id="772" w:name="p317"/>
      <w:bookmarkEnd w:id="772"/>
      <w:r w:rsidR="005E2129">
        <w:t xml:space="preserve">} </w:t>
      </w:r>
    </w:p>
    <w:p w:rsidR="000A7AAB" w:rsidRDefault="000A7AAB" w:rsidP="000A7AAB">
      <w:r>
        <w:t>Nous</w:t>
      </w:r>
      <w:r w:rsidRPr="002C4077">
        <w:t xml:space="preserve"> </w:t>
      </w:r>
      <w:r>
        <w:t>le</w:t>
      </w:r>
      <w:r w:rsidRPr="002C4077">
        <w:t xml:space="preserve"> </w:t>
      </w:r>
      <w:r>
        <w:t>savons,</w:t>
      </w:r>
      <w:r w:rsidRPr="002C4077">
        <w:t xml:space="preserve"> </w:t>
      </w:r>
      <w:r>
        <w:t>plusieurs</w:t>
      </w:r>
      <w:r w:rsidRPr="002C4077">
        <w:t xml:space="preserve"> </w:t>
      </w:r>
      <w:r>
        <w:t>exégètes,</w:t>
      </w:r>
      <w:r w:rsidRPr="002C4077">
        <w:t xml:space="preserve"> </w:t>
      </w:r>
      <w:r>
        <w:t>comme</w:t>
      </w:r>
      <w:r w:rsidRPr="002C4077">
        <w:t xml:space="preserve"> </w:t>
      </w:r>
      <w:r>
        <w:t>saint</w:t>
      </w:r>
      <w:r w:rsidRPr="002C4077">
        <w:t xml:space="preserve"> </w:t>
      </w:r>
      <w:r>
        <w:t>Cyrille</w:t>
      </w:r>
      <w:r w:rsidRPr="002C4077">
        <w:t xml:space="preserve"> </w:t>
      </w:r>
      <w:r w:rsidR="00B047B7">
        <w:t>d’Alexandrie</w:t>
      </w:r>
      <w:r w:rsidR="00B047B7">
        <w:rPr>
          <w:rStyle w:val="Appelnotedebasdep"/>
        </w:rPr>
        <w:footnoteReference w:id="931"/>
      </w:r>
      <w:r>
        <w:t>,</w:t>
      </w:r>
      <w:r w:rsidRPr="002C4077">
        <w:t xml:space="preserve"> </w:t>
      </w:r>
      <w:r>
        <w:t>et</w:t>
      </w:r>
      <w:r w:rsidRPr="002C4077">
        <w:t xml:space="preserve"> </w:t>
      </w:r>
      <w:r>
        <w:t>de</w:t>
      </w:r>
      <w:r w:rsidRPr="002C4077">
        <w:t xml:space="preserve"> </w:t>
      </w:r>
      <w:r>
        <w:t>nos</w:t>
      </w:r>
      <w:r w:rsidRPr="002C4077">
        <w:t xml:space="preserve"> </w:t>
      </w:r>
      <w:r>
        <w:t>jours</w:t>
      </w:r>
      <w:r w:rsidRPr="002C4077">
        <w:t xml:space="preserve"> </w:t>
      </w:r>
      <w:r>
        <w:t>Tholu</w:t>
      </w:r>
      <w:r w:rsidR="00F6492C">
        <w:t>ck</w:t>
      </w:r>
      <w:r w:rsidR="00F6492C">
        <w:rPr>
          <w:rStyle w:val="Appelnotedebasdep"/>
        </w:rPr>
        <w:footnoteReference w:id="932"/>
      </w:r>
      <w:r w:rsidR="00F6492C">
        <w:t>,</w:t>
      </w:r>
      <w:r w:rsidRPr="002C4077">
        <w:t xml:space="preserve"> </w:t>
      </w:r>
      <w:r>
        <w:t>ont</w:t>
      </w:r>
      <w:r w:rsidRPr="002C4077">
        <w:t xml:space="preserve"> </w:t>
      </w:r>
      <w:r>
        <w:t>cru</w:t>
      </w:r>
      <w:r w:rsidRPr="002C4077">
        <w:t xml:space="preserve"> </w:t>
      </w:r>
      <w:r>
        <w:t>que</w:t>
      </w:r>
      <w:r w:rsidRPr="002C4077">
        <w:t xml:space="preserve"> </w:t>
      </w:r>
      <w:r>
        <w:t>ce</w:t>
      </w:r>
      <w:r w:rsidRPr="002C4077">
        <w:t xml:space="preserve"> </w:t>
      </w:r>
      <w:r>
        <w:t>morceau</w:t>
      </w:r>
      <w:r w:rsidRPr="002C4077">
        <w:t xml:space="preserve"> </w:t>
      </w:r>
      <w:r>
        <w:t>trempé</w:t>
      </w:r>
      <w:r w:rsidRPr="002C4077">
        <w:t xml:space="preserve"> </w:t>
      </w:r>
      <w:r>
        <w:t>n’était</w:t>
      </w:r>
      <w:r w:rsidRPr="002C4077">
        <w:t xml:space="preserve"> </w:t>
      </w:r>
      <w:r>
        <w:t>autre</w:t>
      </w:r>
      <w:r w:rsidRPr="002C4077">
        <w:t xml:space="preserve"> </w:t>
      </w:r>
      <w:r>
        <w:t>chose</w:t>
      </w:r>
      <w:r w:rsidRPr="002C4077">
        <w:t xml:space="preserve"> </w:t>
      </w:r>
      <w:r>
        <w:t>que</w:t>
      </w:r>
      <w:r w:rsidRPr="002C4077">
        <w:t xml:space="preserve"> </w:t>
      </w:r>
      <w:r>
        <w:t>la</w:t>
      </w:r>
      <w:r w:rsidRPr="002C4077">
        <w:t xml:space="preserve"> </w:t>
      </w:r>
      <w:r>
        <w:t>sainte</w:t>
      </w:r>
      <w:r w:rsidRPr="002C4077">
        <w:t xml:space="preserve"> </w:t>
      </w:r>
      <w:r>
        <w:t>Eucharistie</w:t>
      </w:r>
      <w:r w:rsidR="00B546AF">
        <w:t> ;</w:t>
      </w:r>
      <w:r w:rsidRPr="002C4077">
        <w:t xml:space="preserve"> </w:t>
      </w:r>
      <w:r>
        <w:t>mais</w:t>
      </w:r>
      <w:r w:rsidRPr="002C4077">
        <w:t xml:space="preserve"> </w:t>
      </w:r>
      <w:r>
        <w:t>on</w:t>
      </w:r>
      <w:r w:rsidRPr="002C4077">
        <w:t xml:space="preserve"> </w:t>
      </w:r>
      <w:r>
        <w:t>a</w:t>
      </w:r>
      <w:r w:rsidRPr="002C4077">
        <w:t xml:space="preserve"> </w:t>
      </w:r>
      <w:r>
        <w:t>généralement</w:t>
      </w:r>
      <w:r w:rsidRPr="002C4077">
        <w:t xml:space="preserve"> </w:t>
      </w:r>
      <w:r>
        <w:t>renoncé</w:t>
      </w:r>
      <w:r w:rsidRPr="002C4077">
        <w:t xml:space="preserve"> </w:t>
      </w:r>
      <w:r>
        <w:t>à</w:t>
      </w:r>
      <w:r w:rsidRPr="002C4077">
        <w:t xml:space="preserve"> </w:t>
      </w:r>
      <w:r>
        <w:t>cette</w:t>
      </w:r>
      <w:r w:rsidRPr="002C4077">
        <w:t xml:space="preserve"> </w:t>
      </w:r>
      <w:r>
        <w:t>explication,</w:t>
      </w:r>
      <w:r w:rsidRPr="002C4077">
        <w:t xml:space="preserve"> </w:t>
      </w:r>
      <w:r>
        <w:t>qui</w:t>
      </w:r>
      <w:r w:rsidRPr="002C4077">
        <w:t xml:space="preserve"> </w:t>
      </w:r>
      <w:r w:rsidR="00425C50">
        <w:t>est</w:t>
      </w:r>
      <w:r w:rsidRPr="002C4077">
        <w:t xml:space="preserve"> </w:t>
      </w:r>
      <w:r>
        <w:t>dénuée</w:t>
      </w:r>
      <w:r w:rsidRPr="002C4077">
        <w:t xml:space="preserve"> </w:t>
      </w:r>
      <w:r>
        <w:t>de</w:t>
      </w:r>
      <w:r w:rsidRPr="002C4077">
        <w:t xml:space="preserve"> </w:t>
      </w:r>
      <w:r>
        <w:t>fondement</w:t>
      </w:r>
      <w:r w:rsidR="00B91AF7">
        <w:rPr>
          <w:rStyle w:val="Appelnotedebasdep"/>
        </w:rPr>
        <w:footnoteReference w:id="933"/>
      </w:r>
      <w:r>
        <w:t>.</w:t>
      </w:r>
      <w:r w:rsidRPr="002C4077">
        <w:t xml:space="preserve"> </w:t>
      </w:r>
      <w:r>
        <w:t>Le</w:t>
      </w:r>
      <w:r w:rsidRPr="002C4077">
        <w:t xml:space="preserve"> </w:t>
      </w:r>
      <w:r w:rsidR="00FC1239" w:rsidRPr="00FC1239">
        <w:t>ψωμίον</w:t>
      </w:r>
      <w:r w:rsidR="00FC1239" w:rsidRPr="002C4077">
        <w:t xml:space="preserve"> </w:t>
      </w:r>
      <w:r>
        <w:t>a</w:t>
      </w:r>
      <w:r w:rsidRPr="002C4077">
        <w:t xml:space="preserve"> </w:t>
      </w:r>
      <w:r>
        <w:t>dû</w:t>
      </w:r>
      <w:r w:rsidRPr="002C4077">
        <w:t xml:space="preserve"> </w:t>
      </w:r>
      <w:r>
        <w:t>être</w:t>
      </w:r>
      <w:r w:rsidRPr="002C4077">
        <w:t xml:space="preserve"> </w:t>
      </w:r>
      <w:r>
        <w:t>le</w:t>
      </w:r>
      <w:r w:rsidRPr="002C4077">
        <w:t xml:space="preserve"> </w:t>
      </w:r>
      <w:r>
        <w:t>morceau</w:t>
      </w:r>
      <w:r w:rsidRPr="002C4077">
        <w:t xml:space="preserve"> </w:t>
      </w:r>
      <w:r>
        <w:t>d’agneau</w:t>
      </w:r>
      <w:r w:rsidRPr="002C4077">
        <w:t xml:space="preserve"> </w:t>
      </w:r>
      <w:r>
        <w:t>pascal</w:t>
      </w:r>
      <w:r w:rsidRPr="002C4077">
        <w:t xml:space="preserve"> </w:t>
      </w:r>
      <w:r>
        <w:t>que,</w:t>
      </w:r>
      <w:r w:rsidRPr="002C4077">
        <w:t xml:space="preserve"> </w:t>
      </w:r>
      <w:r>
        <w:t>d’après</w:t>
      </w:r>
      <w:r w:rsidRPr="002C4077">
        <w:t xml:space="preserve"> </w:t>
      </w:r>
      <w:r>
        <w:t>Ma</w:t>
      </w:r>
      <w:r w:rsidR="001730C6">
        <w:t>im</w:t>
      </w:r>
      <w:r>
        <w:t>onide</w:t>
      </w:r>
      <w:r w:rsidR="00B91AF7">
        <w:rPr>
          <w:rStyle w:val="Appelnotedebasdep"/>
        </w:rPr>
        <w:footnoteReference w:id="934"/>
      </w:r>
      <w:r>
        <w:t>,</w:t>
      </w:r>
      <w:r w:rsidRPr="002C4077">
        <w:t xml:space="preserve"> </w:t>
      </w:r>
      <w:r>
        <w:t>le</w:t>
      </w:r>
      <w:r w:rsidRPr="002C4077">
        <w:t xml:space="preserve"> </w:t>
      </w:r>
      <w:r>
        <w:t>père</w:t>
      </w:r>
      <w:r w:rsidRPr="002C4077">
        <w:t xml:space="preserve"> </w:t>
      </w:r>
      <w:r>
        <w:t>de</w:t>
      </w:r>
      <w:r w:rsidRPr="002C4077">
        <w:t xml:space="preserve"> </w:t>
      </w:r>
      <w:r>
        <w:t>famille</w:t>
      </w:r>
      <w:r w:rsidRPr="002C4077">
        <w:t xml:space="preserve"> </w:t>
      </w:r>
      <w:r>
        <w:t>présentait</w:t>
      </w:r>
      <w:r w:rsidRPr="002C4077">
        <w:t xml:space="preserve"> </w:t>
      </w:r>
      <w:r>
        <w:t>quelquefois</w:t>
      </w:r>
      <w:r w:rsidRPr="002C4077">
        <w:t xml:space="preserve"> </w:t>
      </w:r>
      <w:r>
        <w:t>à</w:t>
      </w:r>
      <w:r w:rsidRPr="002C4077">
        <w:t xml:space="preserve"> </w:t>
      </w:r>
      <w:r>
        <w:t>un</w:t>
      </w:r>
      <w:r w:rsidRPr="002C4077">
        <w:t xml:space="preserve"> </w:t>
      </w:r>
      <w:r>
        <w:t>ou</w:t>
      </w:r>
      <w:r w:rsidRPr="002C4077">
        <w:t xml:space="preserve"> </w:t>
      </w:r>
      <w:r>
        <w:t>plusieurs</w:t>
      </w:r>
      <w:r w:rsidRPr="002C4077">
        <w:t xml:space="preserve"> </w:t>
      </w:r>
      <w:r>
        <w:t>convives</w:t>
      </w:r>
      <w:r w:rsidRPr="002C4077">
        <w:t xml:space="preserve"> </w:t>
      </w:r>
      <w:r>
        <w:t>vers</w:t>
      </w:r>
      <w:r w:rsidRPr="002C4077">
        <w:t xml:space="preserve"> </w:t>
      </w:r>
      <w:r>
        <w:t>la</w:t>
      </w:r>
      <w:r w:rsidRPr="002C4077">
        <w:t xml:space="preserve"> </w:t>
      </w:r>
      <w:r>
        <w:t>fin</w:t>
      </w:r>
      <w:r w:rsidRPr="002C4077">
        <w:t xml:space="preserve"> </w:t>
      </w:r>
      <w:r>
        <w:t>du</w:t>
      </w:r>
      <w:r w:rsidRPr="002C4077">
        <w:t xml:space="preserve"> </w:t>
      </w:r>
      <w:r>
        <w:t>repas</w:t>
      </w:r>
      <w:r w:rsidRPr="002C4077">
        <w:t xml:space="preserve"> </w:t>
      </w:r>
      <w:r>
        <w:t>liturgique.</w:t>
      </w:r>
      <w:r w:rsidRPr="002C4077">
        <w:t xml:space="preserve"> </w:t>
      </w:r>
      <w:r>
        <w:t>Mais,</w:t>
      </w:r>
      <w:r w:rsidRPr="002C4077">
        <w:t xml:space="preserve"> </w:t>
      </w:r>
      <w:r>
        <w:t>s’il</w:t>
      </w:r>
      <w:r w:rsidRPr="002C4077">
        <w:t xml:space="preserve"> </w:t>
      </w:r>
      <w:r>
        <w:t>en</w:t>
      </w:r>
      <w:r w:rsidRPr="002C4077">
        <w:t xml:space="preserve"> </w:t>
      </w:r>
      <w:r w:rsidR="00425C50">
        <w:t>est</w:t>
      </w:r>
      <w:r w:rsidRPr="002C4077">
        <w:t xml:space="preserve"> </w:t>
      </w:r>
      <w:r>
        <w:t>ainsi,</w:t>
      </w:r>
      <w:r w:rsidRPr="002C4077">
        <w:t xml:space="preserve"> </w:t>
      </w:r>
      <w:r>
        <w:t>comme</w:t>
      </w:r>
      <w:r w:rsidRPr="002C4077">
        <w:t xml:space="preserve"> </w:t>
      </w:r>
      <w:r>
        <w:t>la</w:t>
      </w:r>
      <w:r w:rsidRPr="002C4077">
        <w:t xml:space="preserve"> </w:t>
      </w:r>
      <w:r>
        <w:t>cène</w:t>
      </w:r>
      <w:r w:rsidRPr="002C4077">
        <w:t xml:space="preserve"> </w:t>
      </w:r>
      <w:r>
        <w:t>légale</w:t>
      </w:r>
      <w:r w:rsidRPr="002C4077">
        <w:t xml:space="preserve"> </w:t>
      </w:r>
      <w:r>
        <w:t>et</w:t>
      </w:r>
      <w:r w:rsidRPr="002C4077">
        <w:t xml:space="preserve"> </w:t>
      </w:r>
      <w:r>
        <w:t>la</w:t>
      </w:r>
      <w:r w:rsidRPr="002C4077">
        <w:t xml:space="preserve"> </w:t>
      </w:r>
      <w:r>
        <w:t>cène</w:t>
      </w:r>
      <w:r w:rsidRPr="002C4077">
        <w:t xml:space="preserve"> </w:t>
      </w:r>
      <w:r>
        <w:t>eucharistique</w:t>
      </w:r>
      <w:r w:rsidRPr="002C4077">
        <w:t xml:space="preserve"> </w:t>
      </w:r>
      <w:r>
        <w:t>ont</w:t>
      </w:r>
      <w:r w:rsidRPr="002C4077">
        <w:t xml:space="preserve"> </w:t>
      </w:r>
      <w:r>
        <w:t>été</w:t>
      </w:r>
      <w:r w:rsidRPr="002C4077">
        <w:t xml:space="preserve"> </w:t>
      </w:r>
      <w:r>
        <w:t>moralement</w:t>
      </w:r>
      <w:r w:rsidRPr="002C4077">
        <w:t xml:space="preserve"> </w:t>
      </w:r>
      <w:r>
        <w:t>séparées</w:t>
      </w:r>
      <w:r w:rsidRPr="002C4077">
        <w:t xml:space="preserve"> </w:t>
      </w:r>
      <w:r>
        <w:t>et</w:t>
      </w:r>
      <w:r w:rsidRPr="002C4077">
        <w:t xml:space="preserve"> </w:t>
      </w:r>
      <w:r>
        <w:t>distinctes,</w:t>
      </w:r>
      <w:r w:rsidRPr="002C4077">
        <w:t xml:space="preserve"> </w:t>
      </w:r>
      <w:r>
        <w:t>de</w:t>
      </w:r>
      <w:r w:rsidRPr="002C4077">
        <w:t xml:space="preserve"> </w:t>
      </w:r>
      <w:r>
        <w:t>telle</w:t>
      </w:r>
      <w:r w:rsidRPr="002C4077">
        <w:t xml:space="preserve"> </w:t>
      </w:r>
      <w:r>
        <w:t>sorte</w:t>
      </w:r>
      <w:r w:rsidRPr="002C4077">
        <w:t xml:space="preserve"> </w:t>
      </w:r>
      <w:r>
        <w:t>que</w:t>
      </w:r>
      <w:r w:rsidRPr="002C4077">
        <w:t xml:space="preserve"> </w:t>
      </w:r>
      <w:r>
        <w:t>la</w:t>
      </w:r>
      <w:r w:rsidRPr="002C4077">
        <w:t xml:space="preserve"> </w:t>
      </w:r>
      <w:r>
        <w:t>première</w:t>
      </w:r>
      <w:r w:rsidRPr="002C4077">
        <w:t xml:space="preserve"> </w:t>
      </w:r>
      <w:r>
        <w:t>était</w:t>
      </w:r>
      <w:r w:rsidRPr="002C4077">
        <w:t xml:space="preserve"> </w:t>
      </w:r>
      <w:r>
        <w:t>terminée</w:t>
      </w:r>
      <w:r w:rsidRPr="002C4077">
        <w:t xml:space="preserve"> </w:t>
      </w:r>
      <w:r>
        <w:t>pour</w:t>
      </w:r>
      <w:r w:rsidRPr="002C4077">
        <w:t xml:space="preserve"> </w:t>
      </w:r>
      <w:r>
        <w:t>ses</w:t>
      </w:r>
      <w:r w:rsidRPr="002C4077">
        <w:t xml:space="preserve"> </w:t>
      </w:r>
      <w:r>
        <w:t>parties</w:t>
      </w:r>
      <w:r w:rsidRPr="002C4077">
        <w:t xml:space="preserve"> </w:t>
      </w:r>
      <w:r>
        <w:t>essentielles</w:t>
      </w:r>
      <w:r w:rsidRPr="002C4077">
        <w:t xml:space="preserve"> </w:t>
      </w:r>
      <w:r>
        <w:t>quand</w:t>
      </w:r>
      <w:r w:rsidRPr="002C4077">
        <w:t xml:space="preserve"> </w:t>
      </w:r>
      <w:r>
        <w:t>la</w:t>
      </w:r>
      <w:r w:rsidRPr="002C4077">
        <w:t xml:space="preserve"> </w:t>
      </w:r>
      <w:r>
        <w:t>seconde</w:t>
      </w:r>
      <w:r w:rsidRPr="002C4077">
        <w:t xml:space="preserve"> </w:t>
      </w:r>
      <w:r w:rsidR="00B047B7">
        <w:t>commença</w:t>
      </w:r>
      <w:r w:rsidR="00B047B7">
        <w:rPr>
          <w:rStyle w:val="Appelnotedebasdep"/>
        </w:rPr>
        <w:footnoteReference w:id="935"/>
      </w:r>
      <w:r>
        <w:t>,</w:t>
      </w:r>
      <w:r w:rsidRPr="002C4077">
        <w:t xml:space="preserve"> </w:t>
      </w:r>
      <w:r>
        <w:t>nous</w:t>
      </w:r>
      <w:r w:rsidRPr="002C4077">
        <w:t xml:space="preserve"> </w:t>
      </w:r>
      <w:r>
        <w:t>sommes</w:t>
      </w:r>
      <w:r w:rsidRPr="002C4077">
        <w:t xml:space="preserve"> </w:t>
      </w:r>
      <w:r>
        <w:t>en</w:t>
      </w:r>
      <w:r w:rsidRPr="002C4077">
        <w:t xml:space="preserve"> </w:t>
      </w:r>
      <w:r>
        <w:t>droit</w:t>
      </w:r>
      <w:r w:rsidRPr="002C4077">
        <w:t xml:space="preserve"> </w:t>
      </w:r>
      <w:r>
        <w:t>de</w:t>
      </w:r>
      <w:r w:rsidRPr="002C4077">
        <w:t xml:space="preserve"> </w:t>
      </w:r>
      <w:r>
        <w:t>conclure</w:t>
      </w:r>
      <w:r w:rsidRPr="002C4077">
        <w:t xml:space="preserve"> </w:t>
      </w:r>
      <w:r>
        <w:t>que</w:t>
      </w:r>
      <w:r w:rsidRPr="002C4077">
        <w:t xml:space="preserve"> </w:t>
      </w:r>
      <w:r>
        <w:t>Judas</w:t>
      </w:r>
      <w:r w:rsidRPr="002C4077">
        <w:t xml:space="preserve"> </w:t>
      </w:r>
      <w:r>
        <w:t>a</w:t>
      </w:r>
      <w:r w:rsidRPr="002C4077">
        <w:t xml:space="preserve"> </w:t>
      </w:r>
      <w:r>
        <w:t>reçu</w:t>
      </w:r>
      <w:r w:rsidRPr="002C4077">
        <w:t xml:space="preserve"> </w:t>
      </w:r>
      <w:r>
        <w:t>ce</w:t>
      </w:r>
      <w:r w:rsidRPr="002C4077">
        <w:t xml:space="preserve"> </w:t>
      </w:r>
      <w:r w:rsidR="0014099C" w:rsidRPr="00FC1239">
        <w:t>ψωμίον</w:t>
      </w:r>
      <w:r w:rsidRPr="002C4077">
        <w:t xml:space="preserve"> </w:t>
      </w:r>
      <w:r>
        <w:t>et</w:t>
      </w:r>
      <w:r w:rsidRPr="002C4077">
        <w:t xml:space="preserve"> </w:t>
      </w:r>
      <w:r>
        <w:t>quitté</w:t>
      </w:r>
      <w:r w:rsidRPr="002C4077">
        <w:t xml:space="preserve"> </w:t>
      </w:r>
      <w:r>
        <w:t>la</w:t>
      </w:r>
      <w:r w:rsidRPr="002C4077">
        <w:t xml:space="preserve"> </w:t>
      </w:r>
      <w:r>
        <w:t>salle</w:t>
      </w:r>
      <w:r w:rsidRPr="002C4077">
        <w:t xml:space="preserve"> </w:t>
      </w:r>
      <w:r>
        <w:t>du</w:t>
      </w:r>
      <w:r w:rsidRPr="002C4077">
        <w:t xml:space="preserve"> </w:t>
      </w:r>
      <w:r>
        <w:t>festin</w:t>
      </w:r>
      <w:r w:rsidRPr="002C4077">
        <w:t xml:space="preserve"> </w:t>
      </w:r>
      <w:r>
        <w:t>avant</w:t>
      </w:r>
      <w:r w:rsidRPr="002C4077">
        <w:t xml:space="preserve"> </w:t>
      </w:r>
      <w:r>
        <w:t>l’institution</w:t>
      </w:r>
      <w:r w:rsidRPr="002C4077">
        <w:t xml:space="preserve"> </w:t>
      </w:r>
      <w:r>
        <w:t>de</w:t>
      </w:r>
      <w:r w:rsidRPr="002C4077">
        <w:t xml:space="preserve"> </w:t>
      </w:r>
      <w:r>
        <w:t>la</w:t>
      </w:r>
      <w:r w:rsidRPr="002C4077">
        <w:t xml:space="preserve"> </w:t>
      </w:r>
      <w:r>
        <w:t>sainte</w:t>
      </w:r>
      <w:r w:rsidRPr="002C4077">
        <w:t xml:space="preserve"> </w:t>
      </w:r>
      <w:r>
        <w:t>Eucharistie.</w:t>
      </w:r>
      <w:r w:rsidRPr="002C4077">
        <w:t xml:space="preserve"> </w:t>
      </w:r>
    </w:p>
    <w:p w:rsidR="000A7AAB" w:rsidRDefault="000A7AAB" w:rsidP="000A7AAB">
      <w:r>
        <w:lastRenderedPageBreak/>
        <w:t>Et</w:t>
      </w:r>
      <w:r w:rsidRPr="002C4077">
        <w:t xml:space="preserve"> </w:t>
      </w:r>
      <w:r>
        <w:t>surtout,</w:t>
      </w:r>
      <w:r w:rsidRPr="002C4077">
        <w:t xml:space="preserve"> </w:t>
      </w:r>
      <w:r>
        <w:t>il</w:t>
      </w:r>
      <w:r w:rsidRPr="002C4077">
        <w:t xml:space="preserve"> </w:t>
      </w:r>
      <w:r>
        <w:t>règne</w:t>
      </w:r>
      <w:r w:rsidRPr="002C4077">
        <w:t xml:space="preserve"> </w:t>
      </w:r>
      <w:r>
        <w:t>une</w:t>
      </w:r>
      <w:r w:rsidRPr="002C4077">
        <w:t xml:space="preserve"> </w:t>
      </w:r>
      <w:r>
        <w:t>suite</w:t>
      </w:r>
      <w:r w:rsidRPr="002C4077">
        <w:t xml:space="preserve"> </w:t>
      </w:r>
      <w:r>
        <w:t>parfaite</w:t>
      </w:r>
      <w:r w:rsidRPr="002C4077">
        <w:t xml:space="preserve"> </w:t>
      </w:r>
      <w:r>
        <w:t>dans</w:t>
      </w:r>
      <w:r w:rsidRPr="002C4077">
        <w:t xml:space="preserve"> </w:t>
      </w:r>
      <w:r>
        <w:t>cette</w:t>
      </w:r>
      <w:r w:rsidRPr="002C4077">
        <w:t xml:space="preserve"> </w:t>
      </w:r>
      <w:r>
        <w:t>partie</w:t>
      </w:r>
      <w:r w:rsidRPr="002C4077">
        <w:t xml:space="preserve"> </w:t>
      </w:r>
      <w:r>
        <w:t>du</w:t>
      </w:r>
      <w:r w:rsidRPr="002C4077">
        <w:t xml:space="preserve"> </w:t>
      </w:r>
      <w:r>
        <w:t>récit</w:t>
      </w:r>
      <w:r w:rsidRPr="002C4077">
        <w:t xml:space="preserve"> </w:t>
      </w:r>
      <w:r>
        <w:t>de</w:t>
      </w:r>
      <w:r w:rsidRPr="002C4077">
        <w:t xml:space="preserve"> </w:t>
      </w:r>
      <w:r>
        <w:t>saint</w:t>
      </w:r>
      <w:r w:rsidRPr="002C4077">
        <w:t xml:space="preserve"> </w:t>
      </w:r>
      <w:r>
        <w:t>Jean.</w:t>
      </w:r>
      <w:r w:rsidRPr="002C4077">
        <w:t xml:space="preserve"> </w:t>
      </w:r>
      <w:r>
        <w:t>L’épisode</w:t>
      </w:r>
      <w:r w:rsidRPr="002C4077">
        <w:t xml:space="preserve"> </w:t>
      </w:r>
      <w:r>
        <w:t>qui</w:t>
      </w:r>
      <w:r w:rsidRPr="002C4077">
        <w:t xml:space="preserve"> </w:t>
      </w:r>
      <w:r>
        <w:t>se</w:t>
      </w:r>
      <w:r w:rsidRPr="002C4077">
        <w:t xml:space="preserve"> </w:t>
      </w:r>
      <w:r>
        <w:t>rapporte</w:t>
      </w:r>
      <w:r w:rsidRPr="002C4077">
        <w:t xml:space="preserve"> </w:t>
      </w:r>
      <w:r>
        <w:t>à</w:t>
      </w:r>
      <w:r w:rsidRPr="002C4077">
        <w:t xml:space="preserve"> </w:t>
      </w:r>
      <w:r>
        <w:t>la</w:t>
      </w:r>
      <w:r w:rsidRPr="002C4077">
        <w:t xml:space="preserve"> </w:t>
      </w:r>
      <w:r>
        <w:t>trahison</w:t>
      </w:r>
      <w:r w:rsidRPr="002C4077">
        <w:t xml:space="preserve"> </w:t>
      </w:r>
      <w:r>
        <w:t>de</w:t>
      </w:r>
      <w:r w:rsidRPr="002C4077">
        <w:t xml:space="preserve"> </w:t>
      </w:r>
      <w:r>
        <w:t>Judas</w:t>
      </w:r>
      <w:r w:rsidRPr="002C4077">
        <w:t xml:space="preserve"> </w:t>
      </w:r>
      <w:r w:rsidR="00425C50">
        <w:t>est</w:t>
      </w:r>
      <w:r w:rsidRPr="002C4077">
        <w:t xml:space="preserve"> </w:t>
      </w:r>
      <w:r>
        <w:t>lié</w:t>
      </w:r>
      <w:r w:rsidRPr="002C4077">
        <w:t xml:space="preserve"> </w:t>
      </w:r>
      <w:r>
        <w:t>d’une</w:t>
      </w:r>
      <w:r w:rsidRPr="002C4077">
        <w:t xml:space="preserve"> </w:t>
      </w:r>
      <w:r>
        <w:t>manière</w:t>
      </w:r>
      <w:r w:rsidRPr="002C4077">
        <w:t xml:space="preserve"> </w:t>
      </w:r>
      <w:r>
        <w:t>très</w:t>
      </w:r>
      <w:r w:rsidRPr="002C4077">
        <w:t xml:space="preserve"> </w:t>
      </w:r>
      <w:r>
        <w:t>intime</w:t>
      </w:r>
      <w:r w:rsidRPr="002C4077">
        <w:t xml:space="preserve"> </w:t>
      </w:r>
      <w:r>
        <w:t>au</w:t>
      </w:r>
      <w:r w:rsidRPr="002C4077">
        <w:t xml:space="preserve"> </w:t>
      </w:r>
      <w:r>
        <w:t>lavement</w:t>
      </w:r>
      <w:r w:rsidRPr="002C4077">
        <w:t xml:space="preserve"> </w:t>
      </w:r>
      <w:r>
        <w:t>des</w:t>
      </w:r>
      <w:r w:rsidRPr="002C4077">
        <w:t xml:space="preserve"> </w:t>
      </w:r>
      <w:r>
        <w:t>pieds,</w:t>
      </w:r>
      <w:r w:rsidRPr="002C4077">
        <w:t xml:space="preserve"> </w:t>
      </w:r>
      <w:r>
        <w:t>et</w:t>
      </w:r>
      <w:r w:rsidRPr="002C4077">
        <w:t xml:space="preserve"> </w:t>
      </w:r>
      <w:r>
        <w:t>il</w:t>
      </w:r>
      <w:r w:rsidRPr="002C4077">
        <w:t xml:space="preserve"> </w:t>
      </w:r>
      <w:r w:rsidR="00425C50">
        <w:t>est</w:t>
      </w:r>
      <w:r w:rsidRPr="002C4077">
        <w:t xml:space="preserve"> </w:t>
      </w:r>
      <w:r>
        <w:t>impossible,</w:t>
      </w:r>
      <w:r w:rsidRPr="002C4077">
        <w:t xml:space="preserve"> </w:t>
      </w:r>
      <w:r>
        <w:t>à</w:t>
      </w:r>
      <w:r w:rsidRPr="002C4077">
        <w:t xml:space="preserve"> </w:t>
      </w:r>
      <w:r>
        <w:t>moins</w:t>
      </w:r>
      <w:r w:rsidRPr="002C4077">
        <w:t xml:space="preserve"> </w:t>
      </w:r>
      <w:r>
        <w:t>de</w:t>
      </w:r>
      <w:r w:rsidRPr="002C4077">
        <w:t xml:space="preserve"> </w:t>
      </w:r>
      <w:r>
        <w:t>faire</w:t>
      </w:r>
      <w:r w:rsidRPr="002C4077">
        <w:t xml:space="preserve"> </w:t>
      </w:r>
      <w:r>
        <w:t>violence</w:t>
      </w:r>
      <w:r w:rsidRPr="002C4077">
        <w:t xml:space="preserve"> </w:t>
      </w:r>
      <w:r>
        <w:t>au</w:t>
      </w:r>
      <w:r w:rsidRPr="002C4077">
        <w:t xml:space="preserve"> </w:t>
      </w:r>
      <w:r>
        <w:t>texte,</w:t>
      </w:r>
      <w:r w:rsidRPr="002C4077">
        <w:t xml:space="preserve"> </w:t>
      </w:r>
      <w:r>
        <w:t>d’insérer</w:t>
      </w:r>
      <w:r w:rsidRPr="002C4077">
        <w:t xml:space="preserve"> </w:t>
      </w:r>
      <w:r>
        <w:t>la</w:t>
      </w:r>
      <w:r w:rsidRPr="002C4077">
        <w:t xml:space="preserve"> </w:t>
      </w:r>
      <w:r>
        <w:t>consécration</w:t>
      </w:r>
      <w:r w:rsidRPr="002C4077">
        <w:t xml:space="preserve"> </w:t>
      </w:r>
      <w:r>
        <w:t>de</w:t>
      </w:r>
      <w:r w:rsidRPr="002C4077">
        <w:t xml:space="preserve"> </w:t>
      </w:r>
      <w:r>
        <w:t>l’Eucharistie</w:t>
      </w:r>
      <w:r w:rsidRPr="002C4077">
        <w:t xml:space="preserve"> </w:t>
      </w:r>
      <w:r>
        <w:t>entre</w:t>
      </w:r>
      <w:r w:rsidRPr="002C4077">
        <w:t xml:space="preserve"> </w:t>
      </w:r>
      <w:r>
        <w:t>ces</w:t>
      </w:r>
      <w:r w:rsidRPr="002C4077">
        <w:t xml:space="preserve"> </w:t>
      </w:r>
      <w:r>
        <w:t>deux</w:t>
      </w:r>
      <w:r w:rsidRPr="002C4077">
        <w:t xml:space="preserve"> </w:t>
      </w:r>
      <w:r>
        <w:t>scènes,</w:t>
      </w:r>
      <w:r w:rsidRPr="002C4077">
        <w:t xml:space="preserve"> </w:t>
      </w:r>
      <w:r>
        <w:t>tandis</w:t>
      </w:r>
      <w:r w:rsidRPr="002C4077">
        <w:t xml:space="preserve"> </w:t>
      </w:r>
      <w:r>
        <w:t>qu’on</w:t>
      </w:r>
      <w:r w:rsidRPr="002C4077">
        <w:t xml:space="preserve"> </w:t>
      </w:r>
      <w:r>
        <w:t>peut</w:t>
      </w:r>
      <w:r w:rsidRPr="002C4077">
        <w:t xml:space="preserve"> </w:t>
      </w:r>
      <w:r>
        <w:t>fort</w:t>
      </w:r>
      <w:r w:rsidRPr="002C4077">
        <w:t xml:space="preserve"> </w:t>
      </w:r>
      <w:r>
        <w:t>bien</w:t>
      </w:r>
      <w:r w:rsidRPr="002C4077">
        <w:t xml:space="preserve"> </w:t>
      </w:r>
      <w:r>
        <w:t>la</w:t>
      </w:r>
      <w:r w:rsidRPr="002C4077">
        <w:t xml:space="preserve"> </w:t>
      </w:r>
      <w:r>
        <w:t>placer</w:t>
      </w:r>
      <w:r w:rsidRPr="002C4077">
        <w:t xml:space="preserve"> </w:t>
      </w:r>
      <w:r>
        <w:t>entre</w:t>
      </w:r>
      <w:r w:rsidRPr="002C4077">
        <w:t xml:space="preserve"> </w:t>
      </w:r>
      <w:r>
        <w:t>les</w:t>
      </w:r>
      <w:r w:rsidRPr="002C4077">
        <w:t xml:space="preserve"> </w:t>
      </w:r>
      <w:r>
        <w:t>versets</w:t>
      </w:r>
      <w:r w:rsidRPr="002C4077">
        <w:t xml:space="preserve"> </w:t>
      </w:r>
      <w:r>
        <w:t>32</w:t>
      </w:r>
      <w:r w:rsidRPr="002C4077">
        <w:t xml:space="preserve"> </w:t>
      </w:r>
      <w:r>
        <w:t>et</w:t>
      </w:r>
      <w:bookmarkStart w:id="773" w:name="z_JudasEtEucharistie_o3"/>
      <w:bookmarkEnd w:id="773"/>
      <w:r w:rsidRPr="002C4077">
        <w:t xml:space="preserve"> </w:t>
      </w:r>
      <w:r>
        <w:t>33.</w:t>
      </w:r>
      <w:r w:rsidRPr="002C4077">
        <w:t xml:space="preserve"> </w:t>
      </w:r>
    </w:p>
    <w:p w:rsidR="005539D9" w:rsidRDefault="005539D9" w:rsidP="000A7AAB"/>
    <w:p w:rsidR="000A7AAB" w:rsidRDefault="000A7AAB" w:rsidP="000A7AAB">
      <w:r>
        <w:t>Après</w:t>
      </w:r>
      <w:r w:rsidRPr="002C4077">
        <w:t xml:space="preserve"> </w:t>
      </w:r>
      <w:r>
        <w:t>ces</w:t>
      </w:r>
      <w:r w:rsidRPr="002C4077">
        <w:t xml:space="preserve"> </w:t>
      </w:r>
      <w:r>
        <w:t>recherches</w:t>
      </w:r>
      <w:r w:rsidRPr="002C4077">
        <w:t xml:space="preserve"> </w:t>
      </w:r>
      <w:r>
        <w:t>et</w:t>
      </w:r>
      <w:r w:rsidRPr="002C4077">
        <w:t xml:space="preserve"> </w:t>
      </w:r>
      <w:r>
        <w:t>ce</w:t>
      </w:r>
      <w:r w:rsidRPr="002C4077">
        <w:t xml:space="preserve"> </w:t>
      </w:r>
      <w:r>
        <w:t>dernier</w:t>
      </w:r>
      <w:r w:rsidRPr="002C4077">
        <w:t xml:space="preserve"> </w:t>
      </w:r>
      <w:r>
        <w:t>résultat,</w:t>
      </w:r>
      <w:r w:rsidRPr="002C4077">
        <w:t xml:space="preserve"> </w:t>
      </w:r>
      <w:r>
        <w:t>nous</w:t>
      </w:r>
      <w:r w:rsidRPr="002C4077">
        <w:t xml:space="preserve"> </w:t>
      </w:r>
      <w:r>
        <w:t>croyons</w:t>
      </w:r>
      <w:r w:rsidRPr="002C4077">
        <w:t xml:space="preserve"> </w:t>
      </w:r>
      <w:r>
        <w:t>pouvoir</w:t>
      </w:r>
      <w:r w:rsidRPr="002C4077">
        <w:t xml:space="preserve"> </w:t>
      </w:r>
      <w:r>
        <w:t>résumer</w:t>
      </w:r>
      <w:r w:rsidRPr="002C4077">
        <w:t xml:space="preserve"> </w:t>
      </w:r>
      <w:r>
        <w:t>et</w:t>
      </w:r>
      <w:r w:rsidRPr="002C4077">
        <w:t xml:space="preserve"> </w:t>
      </w:r>
      <w:r>
        <w:t>coordonner</w:t>
      </w:r>
      <w:r w:rsidRPr="002C4077">
        <w:t xml:space="preserve"> </w:t>
      </w:r>
      <w:r>
        <w:t>comme</w:t>
      </w:r>
      <w:r w:rsidRPr="002C4077">
        <w:t xml:space="preserve"> </w:t>
      </w:r>
      <w:r>
        <w:t>il</w:t>
      </w:r>
      <w:r w:rsidRPr="002C4077">
        <w:t xml:space="preserve"> </w:t>
      </w:r>
      <w:r>
        <w:t>suit</w:t>
      </w:r>
      <w:r w:rsidRPr="002C4077">
        <w:t xml:space="preserve"> </w:t>
      </w:r>
      <w:r>
        <w:t>le</w:t>
      </w:r>
      <w:r w:rsidRPr="002C4077">
        <w:t xml:space="preserve"> </w:t>
      </w:r>
      <w:r>
        <w:t>récit</w:t>
      </w:r>
      <w:r w:rsidRPr="002C4077">
        <w:t xml:space="preserve"> </w:t>
      </w:r>
      <w:r>
        <w:t>des</w:t>
      </w:r>
      <w:r w:rsidRPr="002C4077">
        <w:t xml:space="preserve"> </w:t>
      </w:r>
      <w:r>
        <w:t>évangélistes</w:t>
      </w:r>
      <w:r w:rsidRPr="002C4077">
        <w:t xml:space="preserve"> </w:t>
      </w:r>
      <w:r>
        <w:t>relativement</w:t>
      </w:r>
      <w:r w:rsidRPr="002C4077">
        <w:t xml:space="preserve"> </w:t>
      </w:r>
      <w:r>
        <w:t>aux</w:t>
      </w:r>
      <w:r w:rsidRPr="002C4077">
        <w:t xml:space="preserve"> </w:t>
      </w:r>
      <w:r>
        <w:t>faits</w:t>
      </w:r>
      <w:r w:rsidRPr="002C4077">
        <w:t xml:space="preserve"> </w:t>
      </w:r>
      <w:r>
        <w:t>extérieurs</w:t>
      </w:r>
      <w:r w:rsidRPr="002C4077">
        <w:t xml:space="preserve"> </w:t>
      </w:r>
      <w:r>
        <w:t>qui</w:t>
      </w:r>
      <w:r w:rsidRPr="002C4077">
        <w:t xml:space="preserve"> </w:t>
      </w:r>
      <w:r>
        <w:t>nous</w:t>
      </w:r>
      <w:r w:rsidRPr="002C4077">
        <w:t xml:space="preserve"> </w:t>
      </w:r>
      <w:r>
        <w:t>occupent.</w:t>
      </w:r>
      <w:r w:rsidRPr="002C4077">
        <w:t xml:space="preserve"> </w:t>
      </w:r>
      <w:r w:rsidR="00425C50">
        <w:t>Jésus</w:t>
      </w:r>
      <w:r w:rsidRPr="002C4077">
        <w:t xml:space="preserve"> </w:t>
      </w:r>
      <w:r>
        <w:t>et</w:t>
      </w:r>
      <w:r w:rsidRPr="002C4077">
        <w:t xml:space="preserve"> </w:t>
      </w:r>
      <w:r>
        <w:t>les</w:t>
      </w:r>
      <w:r w:rsidRPr="002C4077">
        <w:t xml:space="preserve"> </w:t>
      </w:r>
      <w:r>
        <w:t>apôtres</w:t>
      </w:r>
      <w:r w:rsidRPr="002C4077">
        <w:t xml:space="preserve"> </w:t>
      </w:r>
      <w:r>
        <w:t>mangent</w:t>
      </w:r>
      <w:r w:rsidRPr="002C4077">
        <w:t xml:space="preserve"> </w:t>
      </w:r>
      <w:r>
        <w:t>l’agneau</w:t>
      </w:r>
      <w:r w:rsidRPr="002C4077">
        <w:t xml:space="preserve"> </w:t>
      </w:r>
      <w:r>
        <w:t>pascal</w:t>
      </w:r>
      <w:r w:rsidRPr="002C4077">
        <w:t xml:space="preserve"> </w:t>
      </w:r>
      <w:r>
        <w:t>suivant</w:t>
      </w:r>
      <w:r w:rsidRPr="002C4077">
        <w:t xml:space="preserve"> </w:t>
      </w:r>
      <w:r>
        <w:t>les</w:t>
      </w:r>
      <w:r w:rsidRPr="002C4077">
        <w:t xml:space="preserve"> </w:t>
      </w:r>
      <w:r>
        <w:t>rites</w:t>
      </w:r>
      <w:r w:rsidRPr="002C4077">
        <w:t xml:space="preserve"> </w:t>
      </w:r>
      <w:r>
        <w:t>ordinaires</w:t>
      </w:r>
      <w:r w:rsidRPr="002C4077">
        <w:t xml:space="preserve"> </w:t>
      </w:r>
      <w:r>
        <w:t>des</w:t>
      </w:r>
      <w:r w:rsidRPr="002C4077">
        <w:t xml:space="preserve"> </w:t>
      </w:r>
      <w:r>
        <w:t>Juifs</w:t>
      </w:r>
      <w:r w:rsidR="00B546AF">
        <w:t> ;</w:t>
      </w:r>
      <w:r w:rsidR="00C45B47">
        <w:t xml:space="preserve"> {</w:t>
      </w:r>
      <w:r w:rsidR="005E2129">
        <w:t>318</w:t>
      </w:r>
      <w:bookmarkStart w:id="774" w:name="p318"/>
      <w:bookmarkEnd w:id="774"/>
      <w:r w:rsidR="005E2129">
        <w:t xml:space="preserve">} </w:t>
      </w:r>
      <w:r>
        <w:t>puis,</w:t>
      </w:r>
      <w:r w:rsidRPr="002C4077">
        <w:t xml:space="preserve"> </w:t>
      </w:r>
      <w:r>
        <w:t>après</w:t>
      </w:r>
      <w:r w:rsidRPr="002C4077">
        <w:t xml:space="preserve"> </w:t>
      </w:r>
      <w:r>
        <w:t>avoir</w:t>
      </w:r>
      <w:r w:rsidRPr="002C4077">
        <w:t xml:space="preserve"> </w:t>
      </w:r>
      <w:r>
        <w:t>récité</w:t>
      </w:r>
      <w:r w:rsidRPr="002C4077">
        <w:t xml:space="preserve"> </w:t>
      </w:r>
      <w:r>
        <w:t>la</w:t>
      </w:r>
      <w:r w:rsidRPr="002C4077">
        <w:t xml:space="preserve"> </w:t>
      </w:r>
      <w:r>
        <w:t>prière</w:t>
      </w:r>
      <w:r w:rsidRPr="002C4077">
        <w:t xml:space="preserve"> </w:t>
      </w:r>
      <w:r>
        <w:t>d’action</w:t>
      </w:r>
      <w:r w:rsidRPr="002C4077">
        <w:t xml:space="preserve"> </w:t>
      </w:r>
      <w:r>
        <w:t>de</w:t>
      </w:r>
      <w:r w:rsidRPr="002C4077">
        <w:t xml:space="preserve"> </w:t>
      </w:r>
      <w:r>
        <w:t>grâces</w:t>
      </w:r>
      <w:r w:rsidRPr="002C4077">
        <w:t xml:space="preserve"> </w:t>
      </w:r>
      <w:r>
        <w:t>connue</w:t>
      </w:r>
      <w:r w:rsidRPr="002C4077">
        <w:t xml:space="preserve"> </w:t>
      </w:r>
      <w:r>
        <w:t>sous</w:t>
      </w:r>
      <w:r w:rsidRPr="002C4077">
        <w:t xml:space="preserve"> </w:t>
      </w:r>
      <w:r>
        <w:t>le</w:t>
      </w:r>
      <w:r w:rsidRPr="002C4077">
        <w:t xml:space="preserve"> </w:t>
      </w:r>
      <w:r>
        <w:t>nom</w:t>
      </w:r>
      <w:r w:rsidRPr="002C4077">
        <w:t xml:space="preserve"> </w:t>
      </w:r>
      <w:r>
        <w:t>d’Hallel</w:t>
      </w:r>
      <w:r w:rsidR="00B91AF7">
        <w:rPr>
          <w:rStyle w:val="Appelnotedebasdep"/>
        </w:rPr>
        <w:footnoteReference w:id="936"/>
      </w:r>
      <w:r>
        <w:t>,</w:t>
      </w:r>
      <w:r w:rsidRPr="002C4077">
        <w:t xml:space="preserve"> </w:t>
      </w:r>
      <w:r>
        <w:t>le</w:t>
      </w:r>
      <w:r w:rsidRPr="002C4077">
        <w:t xml:space="preserve"> </w:t>
      </w:r>
      <w:r>
        <w:t>Sauveur</w:t>
      </w:r>
      <w:r w:rsidRPr="002C4077">
        <w:t xml:space="preserve"> </w:t>
      </w:r>
      <w:r>
        <w:t>lave</w:t>
      </w:r>
      <w:r w:rsidRPr="002C4077">
        <w:t xml:space="preserve"> </w:t>
      </w:r>
      <w:r>
        <w:t>les</w:t>
      </w:r>
      <w:r w:rsidRPr="002C4077">
        <w:t xml:space="preserve"> </w:t>
      </w:r>
      <w:r>
        <w:t>pieds</w:t>
      </w:r>
      <w:r w:rsidRPr="002C4077">
        <w:t xml:space="preserve"> </w:t>
      </w:r>
      <w:r>
        <w:t>de</w:t>
      </w:r>
      <w:r w:rsidRPr="002C4077">
        <w:t xml:space="preserve"> </w:t>
      </w:r>
      <w:r>
        <w:t>ses</w:t>
      </w:r>
      <w:r w:rsidRPr="002C4077">
        <w:t xml:space="preserve"> </w:t>
      </w:r>
      <w:r>
        <w:t>disciples,</w:t>
      </w:r>
      <w:r w:rsidRPr="002C4077">
        <w:t xml:space="preserve"> </w:t>
      </w:r>
      <w:r>
        <w:t>il</w:t>
      </w:r>
      <w:r w:rsidRPr="002C4077">
        <w:t xml:space="preserve"> </w:t>
      </w:r>
      <w:r>
        <w:t>parle</w:t>
      </w:r>
      <w:r w:rsidRPr="002C4077">
        <w:t xml:space="preserve"> </w:t>
      </w:r>
      <w:r>
        <w:t>ensuite</w:t>
      </w:r>
      <w:r w:rsidRPr="002C4077">
        <w:t xml:space="preserve"> </w:t>
      </w:r>
      <w:r>
        <w:t>du</w:t>
      </w:r>
      <w:r w:rsidRPr="002C4077">
        <w:t xml:space="preserve"> </w:t>
      </w:r>
      <w:r>
        <w:t>traître</w:t>
      </w:r>
      <w:r w:rsidRPr="002C4077">
        <w:t xml:space="preserve"> </w:t>
      </w:r>
      <w:r>
        <w:t>à</w:t>
      </w:r>
      <w:r w:rsidRPr="002C4077">
        <w:t xml:space="preserve"> </w:t>
      </w:r>
      <w:r>
        <w:t>la</w:t>
      </w:r>
      <w:r w:rsidRPr="002C4077">
        <w:t xml:space="preserve"> </w:t>
      </w:r>
      <w:r>
        <w:t>manière</w:t>
      </w:r>
      <w:r w:rsidRPr="002C4077">
        <w:t xml:space="preserve"> </w:t>
      </w:r>
      <w:r>
        <w:t>racontée</w:t>
      </w:r>
      <w:r w:rsidRPr="002C4077">
        <w:t xml:space="preserve"> </w:t>
      </w:r>
      <w:r>
        <w:t>par</w:t>
      </w:r>
      <w:r w:rsidRPr="002C4077">
        <w:t xml:space="preserve"> </w:t>
      </w:r>
      <w:r>
        <w:t>S.</w:t>
      </w:r>
      <w:r w:rsidRPr="002C4077">
        <w:t xml:space="preserve"> </w:t>
      </w:r>
      <w:r w:rsidR="00425C50">
        <w:t>Matth</w:t>
      </w:r>
      <w:r>
        <w:t>ieu</w:t>
      </w:r>
      <w:r w:rsidRPr="002C4077">
        <w:t xml:space="preserve"> </w:t>
      </w:r>
      <w:r>
        <w:t>et</w:t>
      </w:r>
      <w:r w:rsidRPr="002C4077">
        <w:t xml:space="preserve"> </w:t>
      </w:r>
      <w:r>
        <w:t>par</w:t>
      </w:r>
      <w:r w:rsidRPr="002C4077">
        <w:t xml:space="preserve"> </w:t>
      </w:r>
      <w:r>
        <w:t>S.</w:t>
      </w:r>
      <w:r w:rsidRPr="002C4077">
        <w:t xml:space="preserve"> </w:t>
      </w:r>
      <w:r>
        <w:t>Marc.</w:t>
      </w:r>
      <w:r w:rsidRPr="002C4077">
        <w:t xml:space="preserve"> </w:t>
      </w:r>
      <w:r>
        <w:t>Saint</w:t>
      </w:r>
      <w:r w:rsidRPr="002C4077">
        <w:t xml:space="preserve"> </w:t>
      </w:r>
      <w:r>
        <w:t>Pierre,</w:t>
      </w:r>
      <w:r w:rsidRPr="002C4077">
        <w:t xml:space="preserve"> </w:t>
      </w:r>
      <w:r>
        <w:t>désireux</w:t>
      </w:r>
      <w:r w:rsidRPr="002C4077">
        <w:t xml:space="preserve"> </w:t>
      </w:r>
      <w:r>
        <w:t>de</w:t>
      </w:r>
      <w:r w:rsidRPr="002C4077">
        <w:t xml:space="preserve"> </w:t>
      </w:r>
      <w:r>
        <w:t>connaître</w:t>
      </w:r>
      <w:r w:rsidRPr="002C4077">
        <w:t xml:space="preserve"> </w:t>
      </w:r>
      <w:r>
        <w:t>ce</w:t>
      </w:r>
      <w:r w:rsidRPr="002C4077">
        <w:t xml:space="preserve"> </w:t>
      </w:r>
      <w:r>
        <w:t>misérable,</w:t>
      </w:r>
      <w:r w:rsidRPr="002C4077">
        <w:t xml:space="preserve"> </w:t>
      </w:r>
      <w:r>
        <w:t>prie</w:t>
      </w:r>
      <w:r w:rsidRPr="002C4077">
        <w:t xml:space="preserve"> </w:t>
      </w:r>
      <w:r>
        <w:t>saint</w:t>
      </w:r>
      <w:r w:rsidRPr="002C4077">
        <w:t xml:space="preserve"> </w:t>
      </w:r>
      <w:r>
        <w:t>Jean</w:t>
      </w:r>
      <w:r w:rsidRPr="002C4077">
        <w:t xml:space="preserve"> </w:t>
      </w:r>
      <w:r>
        <w:t>de</w:t>
      </w:r>
      <w:r w:rsidRPr="002C4077">
        <w:t xml:space="preserve"> </w:t>
      </w:r>
      <w:r>
        <w:t>se</w:t>
      </w:r>
      <w:r w:rsidRPr="002C4077">
        <w:t xml:space="preserve"> </w:t>
      </w:r>
      <w:r>
        <w:t>le</w:t>
      </w:r>
      <w:r w:rsidRPr="002C4077">
        <w:t xml:space="preserve"> </w:t>
      </w:r>
      <w:r>
        <w:t>faire</w:t>
      </w:r>
      <w:r w:rsidRPr="002C4077">
        <w:t xml:space="preserve"> </w:t>
      </w:r>
      <w:r>
        <w:t>désigner</w:t>
      </w:r>
      <w:r w:rsidRPr="002C4077">
        <w:t xml:space="preserve"> </w:t>
      </w:r>
      <w:r>
        <w:t>par</w:t>
      </w:r>
      <w:r w:rsidRPr="002C4077">
        <w:t xml:space="preserve"> </w:t>
      </w:r>
      <w:r w:rsidR="00425C50">
        <w:t>Jésus</w:t>
      </w:r>
      <w:r>
        <w:t>.</w:t>
      </w:r>
      <w:r w:rsidRPr="002C4077">
        <w:t xml:space="preserve"> </w:t>
      </w:r>
      <w:r>
        <w:t>Le</w:t>
      </w:r>
      <w:r w:rsidRPr="002C4077">
        <w:t xml:space="preserve"> </w:t>
      </w:r>
      <w:r>
        <w:t>divin</w:t>
      </w:r>
      <w:r w:rsidRPr="002C4077">
        <w:t xml:space="preserve"> </w:t>
      </w:r>
      <w:r>
        <w:t>Maître,</w:t>
      </w:r>
      <w:r w:rsidRPr="002C4077">
        <w:t xml:space="preserve"> </w:t>
      </w:r>
      <w:r>
        <w:t>cédant</w:t>
      </w:r>
      <w:r w:rsidRPr="002C4077">
        <w:t xml:space="preserve"> </w:t>
      </w:r>
      <w:r>
        <w:t>à</w:t>
      </w:r>
      <w:r w:rsidRPr="002C4077">
        <w:t xml:space="preserve"> </w:t>
      </w:r>
      <w:r>
        <w:t>la</w:t>
      </w:r>
      <w:r w:rsidRPr="002C4077">
        <w:t xml:space="preserve"> </w:t>
      </w:r>
      <w:r>
        <w:t>demande</w:t>
      </w:r>
      <w:r w:rsidRPr="002C4077">
        <w:t xml:space="preserve"> </w:t>
      </w:r>
      <w:r>
        <w:t>de</w:t>
      </w:r>
      <w:r w:rsidRPr="002C4077">
        <w:t xml:space="preserve"> </w:t>
      </w:r>
      <w:r>
        <w:t>son</w:t>
      </w:r>
      <w:r w:rsidRPr="002C4077">
        <w:t xml:space="preserve"> </w:t>
      </w:r>
      <w:r>
        <w:t>disciple</w:t>
      </w:r>
      <w:r w:rsidRPr="002C4077">
        <w:t xml:space="preserve"> </w:t>
      </w:r>
      <w:r>
        <w:t>privilégié,</w:t>
      </w:r>
      <w:r w:rsidRPr="002C4077">
        <w:t xml:space="preserve"> </w:t>
      </w:r>
      <w:r>
        <w:t>lui</w:t>
      </w:r>
      <w:r w:rsidRPr="002C4077">
        <w:t xml:space="preserve"> </w:t>
      </w:r>
      <w:r>
        <w:t>dit</w:t>
      </w:r>
      <w:r w:rsidR="00B546AF">
        <w:t> :</w:t>
      </w:r>
      <w:r w:rsidRPr="002C4077">
        <w:t xml:space="preserve"> </w:t>
      </w:r>
      <w:r w:rsidR="00B546AF">
        <w:t>« </w:t>
      </w:r>
      <w:r w:rsidR="003B53FD">
        <w:t>Celui</w:t>
      </w:r>
      <w:r w:rsidRPr="002C4077">
        <w:t xml:space="preserve"> </w:t>
      </w:r>
      <w:r>
        <w:t>à</w:t>
      </w:r>
      <w:r w:rsidRPr="002C4077">
        <w:t xml:space="preserve"> </w:t>
      </w:r>
      <w:r>
        <w:t>qui</w:t>
      </w:r>
      <w:r w:rsidRPr="002C4077">
        <w:t xml:space="preserve"> </w:t>
      </w:r>
      <w:r>
        <w:t>je</w:t>
      </w:r>
      <w:r w:rsidRPr="002C4077">
        <w:t xml:space="preserve"> </w:t>
      </w:r>
      <w:r>
        <w:t>présenterai</w:t>
      </w:r>
      <w:r w:rsidRPr="002C4077">
        <w:t xml:space="preserve"> </w:t>
      </w:r>
      <w:r>
        <w:t>un</w:t>
      </w:r>
      <w:r w:rsidRPr="002C4077">
        <w:t xml:space="preserve"> </w:t>
      </w:r>
      <w:r>
        <w:t>morceau</w:t>
      </w:r>
      <w:r w:rsidRPr="002C4077">
        <w:t xml:space="preserve"> </w:t>
      </w:r>
      <w:r>
        <w:t>trempé,</w:t>
      </w:r>
      <w:r w:rsidRPr="002C4077">
        <w:t xml:space="preserve"> </w:t>
      </w:r>
      <w:r>
        <w:t>c’est</w:t>
      </w:r>
      <w:r w:rsidRPr="002C4077">
        <w:t xml:space="preserve"> </w:t>
      </w:r>
      <w:r>
        <w:t>le</w:t>
      </w:r>
      <w:r w:rsidRPr="002C4077">
        <w:t xml:space="preserve"> </w:t>
      </w:r>
      <w:r>
        <w:t>traître.</w:t>
      </w:r>
      <w:r w:rsidR="00B546AF">
        <w:t> »</w:t>
      </w:r>
      <w:r w:rsidRPr="002C4077">
        <w:t xml:space="preserve"> </w:t>
      </w:r>
      <w:r>
        <w:t>Il</w:t>
      </w:r>
      <w:r w:rsidRPr="002C4077">
        <w:t xml:space="preserve"> </w:t>
      </w:r>
      <w:r>
        <w:t>donne</w:t>
      </w:r>
      <w:r w:rsidRPr="002C4077">
        <w:t xml:space="preserve"> </w:t>
      </w:r>
      <w:r>
        <w:t>alors</w:t>
      </w:r>
      <w:r w:rsidRPr="002C4077">
        <w:t xml:space="preserve"> </w:t>
      </w:r>
      <w:r>
        <w:t>le</w:t>
      </w:r>
      <w:r w:rsidRPr="002C4077">
        <w:t xml:space="preserve"> </w:t>
      </w:r>
      <w:r w:rsidR="0014099C" w:rsidRPr="00FC1239">
        <w:t>ψωμίον</w:t>
      </w:r>
      <w:r w:rsidRPr="002C4077">
        <w:t xml:space="preserve"> </w:t>
      </w:r>
      <w:r>
        <w:t>à</w:t>
      </w:r>
      <w:r w:rsidRPr="002C4077">
        <w:t xml:space="preserve"> </w:t>
      </w:r>
      <w:r>
        <w:t>Judas</w:t>
      </w:r>
      <w:r w:rsidRPr="002C4077">
        <w:t xml:space="preserve"> </w:t>
      </w:r>
      <w:r>
        <w:t>en</w:t>
      </w:r>
      <w:r w:rsidRPr="002C4077">
        <w:t xml:space="preserve"> </w:t>
      </w:r>
      <w:r>
        <w:t>prononçant</w:t>
      </w:r>
      <w:r w:rsidRPr="002C4077">
        <w:t xml:space="preserve"> </w:t>
      </w:r>
      <w:r>
        <w:t>ces</w:t>
      </w:r>
      <w:r w:rsidRPr="002C4077">
        <w:t xml:space="preserve"> </w:t>
      </w:r>
      <w:r>
        <w:t>paroles</w:t>
      </w:r>
      <w:r w:rsidRPr="002C4077">
        <w:t xml:space="preserve"> </w:t>
      </w:r>
      <w:r>
        <w:t>équivoques</w:t>
      </w:r>
      <w:r w:rsidR="00B546AF">
        <w:t> :</w:t>
      </w:r>
      <w:r w:rsidRPr="002C4077">
        <w:t xml:space="preserve"> </w:t>
      </w:r>
      <w:r w:rsidR="00B546AF">
        <w:t>« </w:t>
      </w:r>
      <w:r>
        <w:t>Ce</w:t>
      </w:r>
      <w:r w:rsidRPr="002C4077">
        <w:t xml:space="preserve"> </w:t>
      </w:r>
      <w:r>
        <w:t>que</w:t>
      </w:r>
      <w:r w:rsidRPr="002C4077">
        <w:t xml:space="preserve"> </w:t>
      </w:r>
      <w:r>
        <w:t>tu</w:t>
      </w:r>
      <w:r w:rsidRPr="002C4077">
        <w:t xml:space="preserve"> </w:t>
      </w:r>
      <w:r>
        <w:t>fais,</w:t>
      </w:r>
      <w:r w:rsidRPr="002C4077">
        <w:t xml:space="preserve"> </w:t>
      </w:r>
      <w:r>
        <w:t>fais-le</w:t>
      </w:r>
      <w:r w:rsidRPr="002C4077">
        <w:t xml:space="preserve"> </w:t>
      </w:r>
      <w:r>
        <w:t>plus</w:t>
      </w:r>
      <w:r w:rsidRPr="002C4077">
        <w:t xml:space="preserve"> </w:t>
      </w:r>
      <w:r>
        <w:t>vite</w:t>
      </w:r>
      <w:r w:rsidR="00B546AF">
        <w:t> »</w:t>
      </w:r>
      <w:r>
        <w:t>.</w:t>
      </w:r>
      <w:r w:rsidRPr="002C4077">
        <w:t xml:space="preserve"> </w:t>
      </w:r>
      <w:r>
        <w:t>Le</w:t>
      </w:r>
      <w:r w:rsidRPr="002C4077">
        <w:t xml:space="preserve"> </w:t>
      </w:r>
      <w:r>
        <w:t>traître</w:t>
      </w:r>
      <w:r w:rsidRPr="002C4077">
        <w:t xml:space="preserve"> </w:t>
      </w:r>
      <w:r>
        <w:t>sort,</w:t>
      </w:r>
      <w:r w:rsidRPr="002C4077">
        <w:t xml:space="preserve"> </w:t>
      </w:r>
      <w:r>
        <w:t>et,</w:t>
      </w:r>
      <w:r w:rsidRPr="002C4077">
        <w:t xml:space="preserve"> </w:t>
      </w:r>
      <w:r>
        <w:t>après</w:t>
      </w:r>
      <w:r w:rsidRPr="002C4077">
        <w:t xml:space="preserve"> </w:t>
      </w:r>
      <w:r>
        <w:t>son</w:t>
      </w:r>
      <w:r w:rsidRPr="002C4077">
        <w:t xml:space="preserve"> </w:t>
      </w:r>
      <w:r>
        <w:t>départ,</w:t>
      </w:r>
      <w:r w:rsidRPr="002C4077">
        <w:t xml:space="preserve"> </w:t>
      </w:r>
      <w:r>
        <w:t>Notre</w:t>
      </w:r>
      <w:r w:rsidRPr="002C4077">
        <w:t xml:space="preserve"> </w:t>
      </w:r>
      <w:r>
        <w:t>Seigneur</w:t>
      </w:r>
      <w:r w:rsidRPr="002C4077">
        <w:t xml:space="preserve"> </w:t>
      </w:r>
      <w:r>
        <w:t>consacre</w:t>
      </w:r>
      <w:r w:rsidRPr="002C4077">
        <w:t xml:space="preserve"> </w:t>
      </w:r>
      <w:r>
        <w:t>le</w:t>
      </w:r>
      <w:r w:rsidRPr="002C4077">
        <w:t xml:space="preserve"> </w:t>
      </w:r>
      <w:r>
        <w:t>pain</w:t>
      </w:r>
      <w:r w:rsidRPr="002C4077">
        <w:t xml:space="preserve"> </w:t>
      </w:r>
      <w:r>
        <w:t>et</w:t>
      </w:r>
      <w:r w:rsidRPr="002C4077">
        <w:t xml:space="preserve"> </w:t>
      </w:r>
      <w:r>
        <w:t>le</w:t>
      </w:r>
      <w:r w:rsidRPr="002C4077">
        <w:t xml:space="preserve"> </w:t>
      </w:r>
      <w:r>
        <w:t>vin,</w:t>
      </w:r>
      <w:r w:rsidRPr="002C4077">
        <w:t xml:space="preserve"> </w:t>
      </w:r>
      <w:r>
        <w:t>et</w:t>
      </w:r>
      <w:r w:rsidRPr="002C4077">
        <w:t xml:space="preserve"> </w:t>
      </w:r>
      <w:r>
        <w:t>communie</w:t>
      </w:r>
      <w:r w:rsidRPr="002C4077">
        <w:t xml:space="preserve"> </w:t>
      </w:r>
      <w:r>
        <w:t>ses</w:t>
      </w:r>
      <w:bookmarkStart w:id="775" w:name="z_EvangilesJudas_o2"/>
      <w:bookmarkEnd w:id="775"/>
      <w:r w:rsidRPr="002C4077">
        <w:t xml:space="preserve"> </w:t>
      </w:r>
      <w:r>
        <w:t>apôtres.</w:t>
      </w:r>
      <w:r w:rsidRPr="002C4077">
        <w:t xml:space="preserve"> </w:t>
      </w:r>
    </w:p>
    <w:p w:rsidR="005539D9" w:rsidRDefault="005539D9" w:rsidP="000A7AAB"/>
    <w:p w:rsidR="000A7AAB" w:rsidRDefault="000A7AAB" w:rsidP="000A7AAB">
      <w:r>
        <w:t>Avant</w:t>
      </w:r>
      <w:bookmarkStart w:id="776" w:name="z_JudasEtEucharistie_o4"/>
      <w:bookmarkEnd w:id="776"/>
      <w:r w:rsidRPr="002C4077">
        <w:t xml:space="preserve"> </w:t>
      </w:r>
      <w:r>
        <w:t>d’aller</w:t>
      </w:r>
      <w:r w:rsidRPr="002C4077">
        <w:t xml:space="preserve"> </w:t>
      </w:r>
      <w:r>
        <w:t>plus</w:t>
      </w:r>
      <w:r w:rsidRPr="002C4077">
        <w:t xml:space="preserve"> </w:t>
      </w:r>
      <w:r>
        <w:t>loin</w:t>
      </w:r>
      <w:r w:rsidRPr="002C4077">
        <w:t xml:space="preserve"> </w:t>
      </w:r>
      <w:r>
        <w:t>et</w:t>
      </w:r>
      <w:r w:rsidRPr="002C4077">
        <w:t xml:space="preserve"> </w:t>
      </w:r>
      <w:r>
        <w:t>d’interroger</w:t>
      </w:r>
      <w:r w:rsidRPr="002C4077">
        <w:t xml:space="preserve"> </w:t>
      </w:r>
      <w:r>
        <w:t>sur</w:t>
      </w:r>
      <w:r w:rsidRPr="002C4077">
        <w:t xml:space="preserve"> </w:t>
      </w:r>
      <w:r>
        <w:t>le</w:t>
      </w:r>
      <w:r w:rsidRPr="002C4077">
        <w:t xml:space="preserve"> </w:t>
      </w:r>
      <w:r>
        <w:t>même</w:t>
      </w:r>
      <w:r w:rsidRPr="002C4077">
        <w:t xml:space="preserve"> </w:t>
      </w:r>
      <w:r>
        <w:t>sujet</w:t>
      </w:r>
      <w:r w:rsidRPr="002C4077">
        <w:t xml:space="preserve"> </w:t>
      </w:r>
      <w:r>
        <w:t>la</w:t>
      </w:r>
      <w:r w:rsidRPr="002C4077">
        <w:t xml:space="preserve"> </w:t>
      </w:r>
      <w:r>
        <w:t>tradition</w:t>
      </w:r>
      <w:r w:rsidRPr="002C4077">
        <w:t xml:space="preserve"> </w:t>
      </w:r>
      <w:r>
        <w:t>et</w:t>
      </w:r>
      <w:r w:rsidRPr="002C4077">
        <w:t xml:space="preserve"> </w:t>
      </w:r>
      <w:r>
        <w:t>la</w:t>
      </w:r>
      <w:r w:rsidRPr="002C4077">
        <w:t xml:space="preserve"> </w:t>
      </w:r>
      <w:r>
        <w:t>raison,</w:t>
      </w:r>
      <w:r w:rsidRPr="002C4077">
        <w:t xml:space="preserve"> </w:t>
      </w:r>
      <w:r>
        <w:t>nous</w:t>
      </w:r>
      <w:r w:rsidRPr="002C4077">
        <w:t xml:space="preserve"> </w:t>
      </w:r>
      <w:r>
        <w:t>ferons</w:t>
      </w:r>
      <w:r w:rsidRPr="002C4077">
        <w:t xml:space="preserve"> </w:t>
      </w:r>
      <w:r>
        <w:t>bien</w:t>
      </w:r>
      <w:r w:rsidRPr="002C4077">
        <w:t xml:space="preserve"> </w:t>
      </w:r>
      <w:r>
        <w:t>de</w:t>
      </w:r>
      <w:r w:rsidRPr="002C4077">
        <w:t xml:space="preserve"> </w:t>
      </w:r>
      <w:r>
        <w:t>répondre</w:t>
      </w:r>
      <w:r w:rsidRPr="002C4077">
        <w:t xml:space="preserve"> </w:t>
      </w:r>
      <w:r>
        <w:t>aux</w:t>
      </w:r>
      <w:r w:rsidRPr="002C4077">
        <w:t xml:space="preserve"> </w:t>
      </w:r>
      <w:r>
        <w:t>difficultés</w:t>
      </w:r>
      <w:r w:rsidRPr="002C4077">
        <w:t xml:space="preserve"> </w:t>
      </w:r>
      <w:r>
        <w:t>que</w:t>
      </w:r>
      <w:r w:rsidRPr="002C4077">
        <w:t xml:space="preserve"> </w:t>
      </w:r>
      <w:r>
        <w:t>nos</w:t>
      </w:r>
      <w:r w:rsidRPr="002C4077">
        <w:t xml:space="preserve"> </w:t>
      </w:r>
      <w:r>
        <w:t>adversaires</w:t>
      </w:r>
      <w:r w:rsidRPr="002C4077">
        <w:t xml:space="preserve"> </w:t>
      </w:r>
      <w:r>
        <w:t>ont</w:t>
      </w:r>
      <w:r w:rsidRPr="002C4077">
        <w:t xml:space="preserve"> </w:t>
      </w:r>
      <w:r>
        <w:t>puisées</w:t>
      </w:r>
      <w:r w:rsidRPr="002C4077">
        <w:t xml:space="preserve"> </w:t>
      </w:r>
      <w:r>
        <w:t>dans</w:t>
      </w:r>
      <w:r w:rsidRPr="002C4077">
        <w:t xml:space="preserve"> </w:t>
      </w:r>
      <w:r>
        <w:t>le</w:t>
      </w:r>
      <w:r w:rsidRPr="002C4077">
        <w:t xml:space="preserve"> </w:t>
      </w:r>
      <w:r>
        <w:t>texte</w:t>
      </w:r>
      <w:r w:rsidRPr="002C4077">
        <w:t xml:space="preserve"> </w:t>
      </w:r>
      <w:r>
        <w:t>même</w:t>
      </w:r>
      <w:r w:rsidRPr="002C4077">
        <w:t xml:space="preserve"> </w:t>
      </w:r>
      <w:r>
        <w:t>de</w:t>
      </w:r>
      <w:r w:rsidRPr="002C4077">
        <w:t xml:space="preserve"> </w:t>
      </w:r>
      <w:r>
        <w:t>la</w:t>
      </w:r>
      <w:r w:rsidRPr="002C4077">
        <w:t xml:space="preserve"> </w:t>
      </w:r>
      <w:r>
        <w:t>Bible</w:t>
      </w:r>
      <w:r w:rsidRPr="002C4077">
        <w:t xml:space="preserve"> </w:t>
      </w:r>
      <w:r>
        <w:t>pour</w:t>
      </w:r>
      <w:r w:rsidRPr="002C4077">
        <w:t xml:space="preserve"> </w:t>
      </w:r>
      <w:r>
        <w:t>nous</w:t>
      </w:r>
      <w:r w:rsidRPr="002C4077">
        <w:t xml:space="preserve"> </w:t>
      </w:r>
      <w:r>
        <w:t>les</w:t>
      </w:r>
      <w:r w:rsidRPr="002C4077">
        <w:t xml:space="preserve"> </w:t>
      </w:r>
      <w:r>
        <w:t>opposer.</w:t>
      </w:r>
      <w:r w:rsidRPr="002C4077">
        <w:t xml:space="preserve"> </w:t>
      </w:r>
    </w:p>
    <w:p w:rsidR="000A7AAB" w:rsidRDefault="000A7AAB" w:rsidP="000A7AAB">
      <w:r>
        <w:t>D’après</w:t>
      </w:r>
      <w:r w:rsidRPr="002C4077">
        <w:t xml:space="preserve"> </w:t>
      </w:r>
      <w:r>
        <w:t>l’Évangile,</w:t>
      </w:r>
      <w:r w:rsidRPr="002C4077">
        <w:t xml:space="preserve"> </w:t>
      </w:r>
      <w:r>
        <w:t>objecte</w:t>
      </w:r>
      <w:r w:rsidRPr="002C4077">
        <w:t xml:space="preserve"> </w:t>
      </w:r>
      <w:r>
        <w:t>tout</w:t>
      </w:r>
      <w:r w:rsidRPr="002C4077">
        <w:t xml:space="preserve"> </w:t>
      </w:r>
      <w:r>
        <w:t>d’abord</w:t>
      </w:r>
      <w:r w:rsidRPr="002C4077">
        <w:t xml:space="preserve"> </w:t>
      </w:r>
      <w:r>
        <w:t>Cornélius</w:t>
      </w:r>
      <w:r w:rsidRPr="002C4077">
        <w:t xml:space="preserve"> </w:t>
      </w:r>
      <w:r>
        <w:t>à</w:t>
      </w:r>
      <w:r w:rsidRPr="002C4077">
        <w:t xml:space="preserve"> </w:t>
      </w:r>
      <w:r w:rsidR="003B53FD">
        <w:t>Lápide</w:t>
      </w:r>
      <w:r>
        <w:t>,</w:t>
      </w:r>
      <w:r w:rsidRPr="002C4077">
        <w:t xml:space="preserve"> </w:t>
      </w:r>
      <w:r>
        <w:t>les</w:t>
      </w:r>
      <w:r w:rsidRPr="002C4077">
        <w:t xml:space="preserve"> </w:t>
      </w:r>
      <w:r w:rsidRPr="000A34B5">
        <w:rPr>
          <w:rStyle w:val="italicus"/>
        </w:rPr>
        <w:t>Douze</w:t>
      </w:r>
      <w:r w:rsidRPr="002C4077">
        <w:t xml:space="preserve"> </w:t>
      </w:r>
      <w:r>
        <w:t>se</w:t>
      </w:r>
      <w:r w:rsidRPr="002C4077">
        <w:t xml:space="preserve"> </w:t>
      </w:r>
      <w:r>
        <w:t>mettent</w:t>
      </w:r>
      <w:r w:rsidRPr="002C4077">
        <w:t xml:space="preserve"> </w:t>
      </w:r>
      <w:r>
        <w:t>à</w:t>
      </w:r>
      <w:r w:rsidRPr="002C4077">
        <w:t xml:space="preserve"> </w:t>
      </w:r>
      <w:r>
        <w:t>table</w:t>
      </w:r>
      <w:r w:rsidRPr="002C4077">
        <w:t xml:space="preserve"> </w:t>
      </w:r>
      <w:r>
        <w:t>avec</w:t>
      </w:r>
      <w:r w:rsidRPr="002C4077">
        <w:t xml:space="preserve"> </w:t>
      </w:r>
      <w:r>
        <w:t>Notre</w:t>
      </w:r>
      <w:r w:rsidRPr="002C4077">
        <w:t xml:space="preserve"> </w:t>
      </w:r>
      <w:r>
        <w:t>Seigneur</w:t>
      </w:r>
      <w:r w:rsidR="00B91AF7">
        <w:rPr>
          <w:rStyle w:val="Appelnotedebasdep"/>
        </w:rPr>
        <w:footnoteReference w:id="937"/>
      </w:r>
      <w:r>
        <w:t>,</w:t>
      </w:r>
      <w:r w:rsidRPr="002C4077">
        <w:t xml:space="preserve"> </w:t>
      </w:r>
      <w:r>
        <w:t>et,</w:t>
      </w:r>
      <w:r w:rsidRPr="002C4077">
        <w:t xml:space="preserve"> </w:t>
      </w:r>
      <w:r>
        <w:t>plus</w:t>
      </w:r>
      <w:r w:rsidRPr="002C4077">
        <w:t xml:space="preserve"> </w:t>
      </w:r>
      <w:r>
        <w:t>tard,</w:t>
      </w:r>
      <w:r w:rsidRPr="002C4077">
        <w:t xml:space="preserve"> </w:t>
      </w:r>
      <w:r w:rsidRPr="000A34B5">
        <w:rPr>
          <w:rStyle w:val="italicus"/>
        </w:rPr>
        <w:t>tous</w:t>
      </w:r>
      <w:r w:rsidR="007B6C57" w:rsidRPr="002C4077">
        <w:t xml:space="preserve"> </w:t>
      </w:r>
      <w:r w:rsidR="007B6C57">
        <w:t>boivent</w:t>
      </w:r>
      <w:r w:rsidR="007B6C57" w:rsidRPr="002C4077">
        <w:t xml:space="preserve"> </w:t>
      </w:r>
      <w:r w:rsidR="007B6C57">
        <w:t>au</w:t>
      </w:r>
      <w:r w:rsidR="007B6C57" w:rsidRPr="002C4077">
        <w:t xml:space="preserve"> </w:t>
      </w:r>
      <w:r w:rsidR="007B6C57">
        <w:t>calice</w:t>
      </w:r>
      <w:r w:rsidR="007B6C57">
        <w:rPr>
          <w:rStyle w:val="Appelnotedebasdep"/>
        </w:rPr>
        <w:footnoteReference w:id="938"/>
      </w:r>
      <w:r>
        <w:t>.</w:t>
      </w:r>
      <w:r w:rsidRPr="002C4077">
        <w:t xml:space="preserve"> </w:t>
      </w:r>
      <w:r>
        <w:t>Judas</w:t>
      </w:r>
      <w:r w:rsidRPr="002C4077">
        <w:t xml:space="preserve"> </w:t>
      </w:r>
      <w:r>
        <w:t>ne</w:t>
      </w:r>
      <w:r w:rsidRPr="002C4077">
        <w:t xml:space="preserve"> </w:t>
      </w:r>
      <w:r>
        <w:t>fut</w:t>
      </w:r>
      <w:r w:rsidRPr="002C4077">
        <w:t xml:space="preserve"> </w:t>
      </w:r>
      <w:r>
        <w:t>donc</w:t>
      </w:r>
      <w:r w:rsidRPr="002C4077">
        <w:t xml:space="preserve"> </w:t>
      </w:r>
      <w:r>
        <w:t>pas</w:t>
      </w:r>
      <w:r w:rsidRPr="002C4077">
        <w:t xml:space="preserve"> </w:t>
      </w:r>
      <w:r>
        <w:t>exclu.</w:t>
      </w:r>
      <w:r w:rsidRPr="002C4077">
        <w:t xml:space="preserve"> </w:t>
      </w:r>
      <w:r>
        <w:t>—</w:t>
      </w:r>
      <w:r w:rsidRPr="002C4077">
        <w:t xml:space="preserve"> </w:t>
      </w:r>
      <w:r>
        <w:t>Réponse</w:t>
      </w:r>
      <w:r w:rsidR="00B546AF">
        <w:t> :</w:t>
      </w:r>
      <w:r w:rsidRPr="002C4077">
        <w:t xml:space="preserve"> </w:t>
      </w:r>
      <w:r>
        <w:t>Notre</w:t>
      </w:r>
      <w:r w:rsidRPr="002C4077">
        <w:t xml:space="preserve"> </w:t>
      </w:r>
      <w:r>
        <w:t>opinion</w:t>
      </w:r>
      <w:r w:rsidRPr="002C4077">
        <w:t xml:space="preserve"> </w:t>
      </w:r>
      <w:r>
        <w:t>ne</w:t>
      </w:r>
      <w:r w:rsidRPr="002C4077">
        <w:t xml:space="preserve"> </w:t>
      </w:r>
      <w:r>
        <w:t>contredit</w:t>
      </w:r>
      <w:r w:rsidRPr="002C4077">
        <w:t xml:space="preserve"> </w:t>
      </w:r>
      <w:r>
        <w:t>ni</w:t>
      </w:r>
      <w:r w:rsidRPr="002C4077">
        <w:t xml:space="preserve"> </w:t>
      </w:r>
      <w:r>
        <w:t>l’un</w:t>
      </w:r>
      <w:r w:rsidRPr="002C4077">
        <w:t xml:space="preserve"> </w:t>
      </w:r>
      <w:r>
        <w:t>ni</w:t>
      </w:r>
      <w:r w:rsidRPr="002C4077">
        <w:t xml:space="preserve"> </w:t>
      </w:r>
      <w:r>
        <w:t>l’autre</w:t>
      </w:r>
      <w:r w:rsidRPr="002C4077">
        <w:t xml:space="preserve"> </w:t>
      </w:r>
      <w:r>
        <w:t>de</w:t>
      </w:r>
      <w:r w:rsidRPr="002C4077">
        <w:t xml:space="preserve"> </w:t>
      </w:r>
      <w:r>
        <w:t>ces</w:t>
      </w:r>
      <w:r w:rsidRPr="002C4077">
        <w:t xml:space="preserve"> </w:t>
      </w:r>
      <w:r>
        <w:t>deux</w:t>
      </w:r>
      <w:r w:rsidRPr="002C4077">
        <w:t xml:space="preserve"> </w:t>
      </w:r>
      <w:r>
        <w:t>textes.</w:t>
      </w:r>
      <w:r w:rsidRPr="002C4077">
        <w:t xml:space="preserve"> </w:t>
      </w:r>
      <w:r>
        <w:t>Le</w:t>
      </w:r>
      <w:r w:rsidRPr="002C4077">
        <w:t xml:space="preserve"> </w:t>
      </w:r>
      <w:r>
        <w:t>premier</w:t>
      </w:r>
      <w:r w:rsidRPr="002C4077">
        <w:t xml:space="preserve"> </w:t>
      </w:r>
      <w:r>
        <w:t>reste</w:t>
      </w:r>
      <w:r w:rsidRPr="002C4077">
        <w:t xml:space="preserve"> </w:t>
      </w:r>
      <w:r>
        <w:t>vrai,</w:t>
      </w:r>
      <w:r w:rsidRPr="002C4077">
        <w:t xml:space="preserve"> </w:t>
      </w:r>
      <w:r>
        <w:t>même</w:t>
      </w:r>
      <w:r w:rsidRPr="002C4077">
        <w:t xml:space="preserve"> </w:t>
      </w:r>
      <w:r>
        <w:t>si</w:t>
      </w:r>
      <w:r w:rsidRPr="002C4077">
        <w:t xml:space="preserve"> </w:t>
      </w:r>
      <w:r>
        <w:t>l’on</w:t>
      </w:r>
      <w:r w:rsidRPr="002C4077">
        <w:t xml:space="preserve"> </w:t>
      </w:r>
      <w:r>
        <w:t>admet</w:t>
      </w:r>
      <w:r w:rsidRPr="002C4077">
        <w:t xml:space="preserve"> </w:t>
      </w:r>
      <w:r>
        <w:t>que</w:t>
      </w:r>
      <w:r w:rsidRPr="002C4077">
        <w:t xml:space="preserve"> </w:t>
      </w:r>
      <w:r>
        <w:t>Judas</w:t>
      </w:r>
      <w:r w:rsidRPr="002C4077">
        <w:t xml:space="preserve"> </w:t>
      </w:r>
      <w:r>
        <w:t>sortit</w:t>
      </w:r>
      <w:r w:rsidRPr="002C4077">
        <w:t xml:space="preserve"> </w:t>
      </w:r>
      <w:r>
        <w:t>avant</w:t>
      </w:r>
      <w:r w:rsidRPr="002C4077">
        <w:t xml:space="preserve"> </w:t>
      </w:r>
      <w:r>
        <w:t>la</w:t>
      </w:r>
      <w:r w:rsidRPr="002C4077">
        <w:t xml:space="preserve"> </w:t>
      </w:r>
      <w:r>
        <w:t>cène</w:t>
      </w:r>
      <w:r w:rsidRPr="002C4077">
        <w:t xml:space="preserve"> </w:t>
      </w:r>
      <w:r>
        <w:t>eucharistique.</w:t>
      </w:r>
      <w:r w:rsidRPr="002C4077">
        <w:t xml:space="preserve"> </w:t>
      </w:r>
      <w:r>
        <w:t>Dans</w:t>
      </w:r>
      <w:r w:rsidRPr="002C4077">
        <w:t xml:space="preserve"> </w:t>
      </w:r>
      <w:r>
        <w:t>le</w:t>
      </w:r>
      <w:r w:rsidRPr="002C4077">
        <w:t xml:space="preserve"> </w:t>
      </w:r>
      <w:r>
        <w:t>second,</w:t>
      </w:r>
      <w:r w:rsidRPr="002C4077">
        <w:t xml:space="preserve"> </w:t>
      </w:r>
      <w:r>
        <w:t>le</w:t>
      </w:r>
      <w:r w:rsidRPr="002C4077">
        <w:t xml:space="preserve"> </w:t>
      </w:r>
      <w:r>
        <w:t>mot</w:t>
      </w:r>
      <w:r w:rsidRPr="002C4077">
        <w:t xml:space="preserve"> </w:t>
      </w:r>
      <w:r w:rsidRPr="000A34B5">
        <w:rPr>
          <w:rStyle w:val="italicus"/>
        </w:rPr>
        <w:t>tous</w:t>
      </w:r>
      <w:r w:rsidRPr="002C4077">
        <w:t xml:space="preserve"> </w:t>
      </w:r>
      <w:r>
        <w:t>désigne</w:t>
      </w:r>
      <w:r w:rsidRPr="002C4077">
        <w:t xml:space="preserve"> </w:t>
      </w:r>
      <w:r>
        <w:t>naturellement</w:t>
      </w:r>
      <w:r w:rsidRPr="002C4077">
        <w:t xml:space="preserve"> </w:t>
      </w:r>
      <w:r>
        <w:t>ceux</w:t>
      </w:r>
      <w:r w:rsidRPr="002C4077">
        <w:t xml:space="preserve"> </w:t>
      </w:r>
      <w:r>
        <w:t>des</w:t>
      </w:r>
      <w:r w:rsidRPr="002C4077">
        <w:t xml:space="preserve"> </w:t>
      </w:r>
      <w:r>
        <w:t>convives</w:t>
      </w:r>
      <w:r w:rsidRPr="002C4077">
        <w:t xml:space="preserve"> </w:t>
      </w:r>
      <w:r>
        <w:t>qui</w:t>
      </w:r>
      <w:r w:rsidRPr="002C4077">
        <w:t xml:space="preserve"> </w:t>
      </w:r>
      <w:r>
        <w:t>étaient</w:t>
      </w:r>
      <w:r w:rsidRPr="002C4077">
        <w:t xml:space="preserve"> </w:t>
      </w:r>
      <w:r>
        <w:t>présents</w:t>
      </w:r>
      <w:r w:rsidR="00B546AF">
        <w:t> ;</w:t>
      </w:r>
      <w:r w:rsidRPr="002C4077">
        <w:t xml:space="preserve"> </w:t>
      </w:r>
      <w:r>
        <w:t>mais</w:t>
      </w:r>
      <w:r w:rsidRPr="002C4077">
        <w:t xml:space="preserve"> </w:t>
      </w:r>
      <w:r>
        <w:t>il</w:t>
      </w:r>
      <w:r w:rsidRPr="002C4077">
        <w:t xml:space="preserve"> </w:t>
      </w:r>
      <w:r>
        <w:t>ne</w:t>
      </w:r>
      <w:r w:rsidRPr="002C4077">
        <w:t xml:space="preserve"> </w:t>
      </w:r>
      <w:r>
        <w:t>s’applique</w:t>
      </w:r>
      <w:r w:rsidRPr="002C4077">
        <w:t xml:space="preserve"> </w:t>
      </w:r>
      <w:r>
        <w:t>pas</w:t>
      </w:r>
      <w:r w:rsidRPr="002C4077">
        <w:t xml:space="preserve"> </w:t>
      </w:r>
      <w:r>
        <w:t>forcément</w:t>
      </w:r>
      <w:r w:rsidRPr="002C4077">
        <w:t xml:space="preserve"> </w:t>
      </w:r>
      <w:r>
        <w:t>aux</w:t>
      </w:r>
      <w:r w:rsidRPr="002C4077">
        <w:t xml:space="preserve"> </w:t>
      </w:r>
      <w:r>
        <w:t>Douze,</w:t>
      </w:r>
      <w:r w:rsidRPr="002C4077">
        <w:t xml:space="preserve"> </w:t>
      </w:r>
      <w:r>
        <w:t>dont</w:t>
      </w:r>
      <w:r w:rsidRPr="002C4077">
        <w:t xml:space="preserve"> </w:t>
      </w:r>
      <w:r>
        <w:t>il</w:t>
      </w:r>
      <w:r w:rsidRPr="002C4077">
        <w:t xml:space="preserve"> </w:t>
      </w:r>
      <w:r>
        <w:t>n’est</w:t>
      </w:r>
      <w:r w:rsidRPr="002C4077">
        <w:t xml:space="preserve"> </w:t>
      </w:r>
      <w:r>
        <w:t>pas</w:t>
      </w:r>
      <w:r w:rsidRPr="002C4077">
        <w:t xml:space="preserve"> </w:t>
      </w:r>
      <w:r>
        <w:t>fait</w:t>
      </w:r>
      <w:r w:rsidRPr="002C4077">
        <w:t xml:space="preserve"> </w:t>
      </w:r>
      <w:r>
        <w:t>une</w:t>
      </w:r>
      <w:r w:rsidRPr="002C4077">
        <w:t xml:space="preserve"> </w:t>
      </w:r>
      <w:r>
        <w:t>mention</w:t>
      </w:r>
      <w:r w:rsidRPr="002C4077">
        <w:t xml:space="preserve"> </w:t>
      </w:r>
      <w:r>
        <w:t>spéciale</w:t>
      </w:r>
      <w:r w:rsidRPr="002C4077">
        <w:t xml:space="preserve"> </w:t>
      </w:r>
      <w:r>
        <w:t>en</w:t>
      </w:r>
      <w:r w:rsidRPr="002C4077">
        <w:t xml:space="preserve"> </w:t>
      </w:r>
      <w:r>
        <w:t>ce</w:t>
      </w:r>
      <w:r w:rsidRPr="002C4077">
        <w:t xml:space="preserve"> </w:t>
      </w:r>
      <w:r>
        <w:t>second</w:t>
      </w:r>
      <w:r w:rsidRPr="002C4077">
        <w:t xml:space="preserve"> </w:t>
      </w:r>
      <w:r>
        <w:t>endroit.</w:t>
      </w:r>
      <w:r w:rsidRPr="002C4077">
        <w:t xml:space="preserve"> </w:t>
      </w:r>
    </w:p>
    <w:p w:rsidR="000A7AAB" w:rsidRDefault="000A7AAB" w:rsidP="000A7AAB">
      <w:r>
        <w:t>Autre</w:t>
      </w:r>
      <w:r w:rsidRPr="002C4077">
        <w:t xml:space="preserve"> </w:t>
      </w:r>
      <w:r>
        <w:t>objection</w:t>
      </w:r>
      <w:r w:rsidRPr="002C4077">
        <w:t xml:space="preserve"> </w:t>
      </w:r>
      <w:r>
        <w:t>de</w:t>
      </w:r>
      <w:r w:rsidRPr="002C4077">
        <w:t xml:space="preserve"> </w:t>
      </w:r>
      <w:r>
        <w:t>Cornélius</w:t>
      </w:r>
      <w:r w:rsidRPr="002C4077">
        <w:t xml:space="preserve"> </w:t>
      </w:r>
      <w:r>
        <w:t>reproduite</w:t>
      </w:r>
      <w:r w:rsidRPr="002C4077">
        <w:t xml:space="preserve"> </w:t>
      </w:r>
      <w:r>
        <w:t>récemment</w:t>
      </w:r>
      <w:r w:rsidRPr="002C4077">
        <w:t xml:space="preserve"> </w:t>
      </w:r>
      <w:r>
        <w:t>par</w:t>
      </w:r>
      <w:r w:rsidRPr="002C4077">
        <w:t xml:space="preserve"> </w:t>
      </w:r>
      <w:r>
        <w:t>M.</w:t>
      </w:r>
      <w:r w:rsidRPr="002C4077">
        <w:t xml:space="preserve"> </w:t>
      </w:r>
      <w:r>
        <w:t>Schuster</w:t>
      </w:r>
      <w:r w:rsidR="00B91AF7">
        <w:rPr>
          <w:rStyle w:val="Appelnotedebasdep"/>
        </w:rPr>
        <w:footnoteReference w:id="939"/>
      </w:r>
      <w:r>
        <w:t>.</w:t>
      </w:r>
      <w:r w:rsidRPr="002C4077">
        <w:t xml:space="preserve"> </w:t>
      </w:r>
      <w:r>
        <w:t>Judas</w:t>
      </w:r>
      <w:r w:rsidRPr="002C4077">
        <w:t xml:space="preserve"> </w:t>
      </w:r>
      <w:r>
        <w:t>assistait</w:t>
      </w:r>
      <w:r w:rsidRPr="002C4077">
        <w:t xml:space="preserve"> </w:t>
      </w:r>
      <w:r>
        <w:t>au</w:t>
      </w:r>
      <w:r w:rsidRPr="002C4077">
        <w:t xml:space="preserve"> </w:t>
      </w:r>
      <w:r>
        <w:t>lavement</w:t>
      </w:r>
      <w:r w:rsidRPr="002C4077">
        <w:t xml:space="preserve"> </w:t>
      </w:r>
      <w:r>
        <w:t>des</w:t>
      </w:r>
      <w:r w:rsidRPr="002C4077">
        <w:t xml:space="preserve"> </w:t>
      </w:r>
      <w:r>
        <w:t>pieds</w:t>
      </w:r>
      <w:r w:rsidR="00B546AF">
        <w:t> ;</w:t>
      </w:r>
      <w:r w:rsidR="00C45B47">
        <w:t xml:space="preserve"> {</w:t>
      </w:r>
      <w:r w:rsidR="005E2129">
        <w:t>319</w:t>
      </w:r>
      <w:bookmarkStart w:id="777" w:name="p319"/>
      <w:bookmarkEnd w:id="777"/>
      <w:r w:rsidR="005E2129">
        <w:t xml:space="preserve">} </w:t>
      </w:r>
      <w:r>
        <w:t>mais</w:t>
      </w:r>
      <w:r w:rsidRPr="002C4077">
        <w:t xml:space="preserve"> </w:t>
      </w:r>
      <w:r>
        <w:t>cette</w:t>
      </w:r>
      <w:r w:rsidRPr="002C4077">
        <w:t xml:space="preserve"> </w:t>
      </w:r>
      <w:r>
        <w:t>cérémonie</w:t>
      </w:r>
      <w:r w:rsidRPr="002C4077">
        <w:t xml:space="preserve"> </w:t>
      </w:r>
      <w:r>
        <w:t>devait,</w:t>
      </w:r>
      <w:r w:rsidRPr="002C4077">
        <w:t xml:space="preserve"> </w:t>
      </w:r>
      <w:r>
        <w:t>dans</w:t>
      </w:r>
      <w:r w:rsidRPr="002C4077">
        <w:t xml:space="preserve"> </w:t>
      </w:r>
      <w:r>
        <w:t>l’intention</w:t>
      </w:r>
      <w:r w:rsidRPr="002C4077">
        <w:t xml:space="preserve"> </w:t>
      </w:r>
      <w:r>
        <w:t>du</w:t>
      </w:r>
      <w:r w:rsidRPr="002C4077">
        <w:t xml:space="preserve"> </w:t>
      </w:r>
      <w:r>
        <w:t>Sauveur,</w:t>
      </w:r>
      <w:r w:rsidRPr="002C4077">
        <w:t xml:space="preserve"> </w:t>
      </w:r>
      <w:r>
        <w:t>préparer</w:t>
      </w:r>
      <w:r w:rsidRPr="002C4077">
        <w:t xml:space="preserve"> </w:t>
      </w:r>
      <w:r>
        <w:t>les</w:t>
      </w:r>
      <w:r w:rsidRPr="002C4077">
        <w:t xml:space="preserve"> </w:t>
      </w:r>
      <w:r>
        <w:t>apôtres</w:t>
      </w:r>
      <w:r w:rsidRPr="002C4077">
        <w:t xml:space="preserve"> </w:t>
      </w:r>
      <w:r>
        <w:t>à</w:t>
      </w:r>
      <w:r w:rsidRPr="002C4077">
        <w:t xml:space="preserve"> </w:t>
      </w:r>
      <w:r>
        <w:t>la</w:t>
      </w:r>
      <w:r w:rsidRPr="002C4077">
        <w:t xml:space="preserve"> </w:t>
      </w:r>
      <w:r>
        <w:t>réception</w:t>
      </w:r>
      <w:r w:rsidRPr="002C4077">
        <w:t xml:space="preserve"> </w:t>
      </w:r>
      <w:r>
        <w:t>du</w:t>
      </w:r>
      <w:r w:rsidRPr="002C4077">
        <w:t xml:space="preserve"> </w:t>
      </w:r>
      <w:r>
        <w:t>sacrement</w:t>
      </w:r>
      <w:r w:rsidRPr="002C4077">
        <w:t xml:space="preserve"> </w:t>
      </w:r>
      <w:r>
        <w:t>nouveau</w:t>
      </w:r>
      <w:r w:rsidR="00B546AF">
        <w:t> ;</w:t>
      </w:r>
      <w:r w:rsidRPr="002C4077">
        <w:t xml:space="preserve"> </w:t>
      </w:r>
      <w:r>
        <w:t>donc</w:t>
      </w:r>
      <w:r w:rsidRPr="002C4077">
        <w:t xml:space="preserve"> </w:t>
      </w:r>
      <w:r>
        <w:t>le</w:t>
      </w:r>
      <w:r w:rsidRPr="002C4077">
        <w:t xml:space="preserve"> </w:t>
      </w:r>
      <w:r>
        <w:t>traître</w:t>
      </w:r>
      <w:r w:rsidRPr="002C4077">
        <w:t xml:space="preserve"> </w:t>
      </w:r>
      <w:r>
        <w:t>comm</w:t>
      </w:r>
      <w:r w:rsidR="003B53FD">
        <w:t>únia</w:t>
      </w:r>
      <w:r w:rsidRPr="002C4077">
        <w:t xml:space="preserve"> </w:t>
      </w:r>
      <w:r>
        <w:t>avec</w:t>
      </w:r>
      <w:r w:rsidRPr="002C4077">
        <w:t xml:space="preserve"> </w:t>
      </w:r>
      <w:r>
        <w:t>les</w:t>
      </w:r>
      <w:r w:rsidRPr="002C4077">
        <w:t xml:space="preserve"> </w:t>
      </w:r>
      <w:r>
        <w:t>autres</w:t>
      </w:r>
      <w:r w:rsidRPr="002C4077">
        <w:t xml:space="preserve"> </w:t>
      </w:r>
      <w:r>
        <w:t>disciples</w:t>
      </w:r>
      <w:r w:rsidRPr="002C4077">
        <w:t xml:space="preserve"> </w:t>
      </w:r>
      <w:r>
        <w:t>avant</w:t>
      </w:r>
      <w:r w:rsidRPr="002C4077">
        <w:t xml:space="preserve"> </w:t>
      </w:r>
      <w:r>
        <w:t>son</w:t>
      </w:r>
      <w:r w:rsidRPr="002C4077">
        <w:t xml:space="preserve"> </w:t>
      </w:r>
      <w:r>
        <w:t>départ.</w:t>
      </w:r>
      <w:r w:rsidRPr="002C4077">
        <w:t xml:space="preserve"> </w:t>
      </w:r>
      <w:r>
        <w:t>—</w:t>
      </w:r>
      <w:r w:rsidRPr="002C4077">
        <w:t xml:space="preserve"> </w:t>
      </w:r>
      <w:r>
        <w:t>Cette</w:t>
      </w:r>
      <w:r w:rsidRPr="002C4077">
        <w:t xml:space="preserve"> </w:t>
      </w:r>
      <w:r>
        <w:t>conclusion</w:t>
      </w:r>
      <w:r w:rsidRPr="002C4077">
        <w:t xml:space="preserve"> </w:t>
      </w:r>
      <w:r w:rsidR="00425C50">
        <w:t>est</w:t>
      </w:r>
      <w:r w:rsidRPr="002C4077">
        <w:t xml:space="preserve"> </w:t>
      </w:r>
      <w:r>
        <w:t>illégitime.</w:t>
      </w:r>
      <w:r w:rsidRPr="002C4077">
        <w:t xml:space="preserve"> </w:t>
      </w:r>
      <w:r>
        <w:t>Nous</w:t>
      </w:r>
      <w:r w:rsidRPr="002C4077">
        <w:t xml:space="preserve"> </w:t>
      </w:r>
      <w:r>
        <w:t>ne</w:t>
      </w:r>
      <w:r w:rsidRPr="002C4077">
        <w:t xml:space="preserve"> </w:t>
      </w:r>
      <w:r>
        <w:t>voyons</w:t>
      </w:r>
      <w:r w:rsidRPr="002C4077">
        <w:t xml:space="preserve"> </w:t>
      </w:r>
      <w:r>
        <w:t>pas</w:t>
      </w:r>
      <w:r w:rsidRPr="002C4077">
        <w:t xml:space="preserve"> </w:t>
      </w:r>
      <w:r>
        <w:t>comment</w:t>
      </w:r>
      <w:r w:rsidRPr="002C4077">
        <w:t xml:space="preserve"> </w:t>
      </w:r>
      <w:r>
        <w:t>Notre</w:t>
      </w:r>
      <w:r w:rsidRPr="002C4077">
        <w:t xml:space="preserve"> </w:t>
      </w:r>
      <w:r>
        <w:t>Seigneur</w:t>
      </w:r>
      <w:r w:rsidRPr="002C4077">
        <w:t xml:space="preserve"> </w:t>
      </w:r>
      <w:r>
        <w:t>aurait</w:t>
      </w:r>
      <w:r w:rsidRPr="002C4077">
        <w:t xml:space="preserve"> </w:t>
      </w:r>
      <w:r>
        <w:t>été</w:t>
      </w:r>
      <w:r w:rsidRPr="002C4077">
        <w:t xml:space="preserve"> </w:t>
      </w:r>
      <w:r>
        <w:t>tenu</w:t>
      </w:r>
      <w:r w:rsidRPr="002C4077">
        <w:t xml:space="preserve"> </w:t>
      </w:r>
      <w:r>
        <w:t>d’admettre</w:t>
      </w:r>
      <w:r w:rsidRPr="002C4077">
        <w:t xml:space="preserve"> </w:t>
      </w:r>
      <w:r>
        <w:t>Judas</w:t>
      </w:r>
      <w:r w:rsidRPr="002C4077">
        <w:t xml:space="preserve"> </w:t>
      </w:r>
      <w:r>
        <w:t>à</w:t>
      </w:r>
      <w:r w:rsidRPr="002C4077">
        <w:t xml:space="preserve"> </w:t>
      </w:r>
      <w:r>
        <w:t>l’institution</w:t>
      </w:r>
      <w:r w:rsidRPr="002C4077">
        <w:t xml:space="preserve"> </w:t>
      </w:r>
      <w:r>
        <w:t>de</w:t>
      </w:r>
      <w:r w:rsidRPr="002C4077">
        <w:t xml:space="preserve"> </w:t>
      </w:r>
      <w:r>
        <w:t>l’Eucharistie,</w:t>
      </w:r>
      <w:r w:rsidRPr="002C4077">
        <w:t xml:space="preserve"> </w:t>
      </w:r>
      <w:r>
        <w:t>par</w:t>
      </w:r>
      <w:r w:rsidRPr="002C4077">
        <w:t xml:space="preserve"> </w:t>
      </w:r>
      <w:r>
        <w:t>cela</w:t>
      </w:r>
      <w:r w:rsidRPr="002C4077">
        <w:t xml:space="preserve"> </w:t>
      </w:r>
      <w:r>
        <w:t>seul</w:t>
      </w:r>
      <w:r w:rsidRPr="002C4077">
        <w:t xml:space="preserve"> </w:t>
      </w:r>
      <w:r>
        <w:t>qu’il</w:t>
      </w:r>
      <w:r w:rsidRPr="002C4077">
        <w:t xml:space="preserve"> </w:t>
      </w:r>
      <w:r>
        <w:t>lui</w:t>
      </w:r>
      <w:r w:rsidRPr="002C4077">
        <w:t xml:space="preserve"> </w:t>
      </w:r>
      <w:r>
        <w:t>avait</w:t>
      </w:r>
      <w:r w:rsidRPr="002C4077">
        <w:t xml:space="preserve"> </w:t>
      </w:r>
      <w:r>
        <w:t>lavé</w:t>
      </w:r>
      <w:r w:rsidRPr="002C4077">
        <w:t xml:space="preserve"> </w:t>
      </w:r>
      <w:r>
        <w:t>les</w:t>
      </w:r>
      <w:r w:rsidRPr="002C4077">
        <w:t xml:space="preserve"> </w:t>
      </w:r>
      <w:r>
        <w:t>pieds</w:t>
      </w:r>
      <w:r w:rsidRPr="002C4077">
        <w:t xml:space="preserve"> </w:t>
      </w:r>
      <w:r>
        <w:t>quelques</w:t>
      </w:r>
      <w:r w:rsidRPr="002C4077">
        <w:t xml:space="preserve"> </w:t>
      </w:r>
      <w:r>
        <w:t>instants</w:t>
      </w:r>
      <w:r w:rsidRPr="002C4077">
        <w:t xml:space="preserve"> </w:t>
      </w:r>
      <w:r>
        <w:t>auparavant</w:t>
      </w:r>
      <w:r w:rsidR="00B546AF">
        <w:t> ;</w:t>
      </w:r>
      <w:r w:rsidRPr="002C4077">
        <w:t xml:space="preserve"> </w:t>
      </w:r>
      <w:r>
        <w:t>ni</w:t>
      </w:r>
      <w:r w:rsidRPr="002C4077">
        <w:t xml:space="preserve"> </w:t>
      </w:r>
      <w:r>
        <w:t>pourquoi</w:t>
      </w:r>
      <w:r w:rsidRPr="002C4077">
        <w:t xml:space="preserve"> </w:t>
      </w:r>
      <w:r>
        <w:t>le</w:t>
      </w:r>
      <w:r w:rsidRPr="002C4077">
        <w:t xml:space="preserve"> </w:t>
      </w:r>
      <w:r>
        <w:t>traître</w:t>
      </w:r>
      <w:r w:rsidRPr="002C4077">
        <w:t xml:space="preserve"> </w:t>
      </w:r>
      <w:r>
        <w:t>n’aurait</w:t>
      </w:r>
      <w:r w:rsidRPr="002C4077">
        <w:t xml:space="preserve"> </w:t>
      </w:r>
      <w:r>
        <w:t>pu</w:t>
      </w:r>
      <w:r w:rsidRPr="002C4077">
        <w:t xml:space="preserve"> </w:t>
      </w:r>
      <w:r>
        <w:t>sortir</w:t>
      </w:r>
      <w:r w:rsidRPr="002C4077">
        <w:t xml:space="preserve"> </w:t>
      </w:r>
      <w:r>
        <w:t>après</w:t>
      </w:r>
      <w:r w:rsidRPr="002C4077">
        <w:t xml:space="preserve"> </w:t>
      </w:r>
      <w:r>
        <w:t>cette</w:t>
      </w:r>
      <w:r w:rsidRPr="002C4077">
        <w:t xml:space="preserve"> </w:t>
      </w:r>
      <w:r>
        <w:t>scène</w:t>
      </w:r>
      <w:r w:rsidRPr="002C4077">
        <w:t xml:space="preserve"> </w:t>
      </w:r>
      <w:r>
        <w:t>touchante,</w:t>
      </w:r>
      <w:r w:rsidRPr="002C4077">
        <w:t xml:space="preserve"> </w:t>
      </w:r>
      <w:r>
        <w:t>comme</w:t>
      </w:r>
      <w:r w:rsidRPr="002C4077">
        <w:t xml:space="preserve"> </w:t>
      </w:r>
      <w:r>
        <w:t>nous</w:t>
      </w:r>
      <w:r w:rsidRPr="002C4077">
        <w:t xml:space="preserve"> </w:t>
      </w:r>
      <w:r>
        <w:t>le</w:t>
      </w:r>
      <w:r w:rsidRPr="002C4077">
        <w:t xml:space="preserve"> </w:t>
      </w:r>
      <w:r>
        <w:t>lisons</w:t>
      </w:r>
      <w:r w:rsidRPr="002C4077">
        <w:t xml:space="preserve"> </w:t>
      </w:r>
      <w:r>
        <w:t>dans</w:t>
      </w:r>
      <w:r w:rsidRPr="002C4077">
        <w:t xml:space="preserve"> </w:t>
      </w:r>
      <w:r>
        <w:t>saint</w:t>
      </w:r>
      <w:r w:rsidRPr="002C4077">
        <w:t xml:space="preserve"> </w:t>
      </w:r>
      <w:r>
        <w:t>Jean.</w:t>
      </w:r>
      <w:r w:rsidRPr="002C4077">
        <w:t xml:space="preserve"> </w:t>
      </w:r>
      <w:r>
        <w:t>D’ailleurs,</w:t>
      </w:r>
      <w:r w:rsidRPr="002C4077">
        <w:t xml:space="preserve"> </w:t>
      </w:r>
      <w:r>
        <w:t>nous</w:t>
      </w:r>
      <w:r w:rsidRPr="002C4077">
        <w:t xml:space="preserve"> </w:t>
      </w:r>
      <w:r>
        <w:t>regardons</w:t>
      </w:r>
      <w:r w:rsidRPr="002C4077">
        <w:t xml:space="preserve"> </w:t>
      </w:r>
      <w:r>
        <w:t>comme</w:t>
      </w:r>
      <w:r w:rsidRPr="002C4077">
        <w:t xml:space="preserve"> </w:t>
      </w:r>
      <w:r>
        <w:t>très</w:t>
      </w:r>
      <w:r w:rsidRPr="002C4077">
        <w:t xml:space="preserve"> </w:t>
      </w:r>
      <w:r>
        <w:t>vraisemblable</w:t>
      </w:r>
      <w:r w:rsidR="00B91AF7">
        <w:rPr>
          <w:rStyle w:val="Appelnotedebasdep"/>
        </w:rPr>
        <w:footnoteReference w:id="940"/>
      </w:r>
      <w:r w:rsidRPr="002C4077">
        <w:t xml:space="preserve"> </w:t>
      </w:r>
      <w:r>
        <w:t>que</w:t>
      </w:r>
      <w:r w:rsidRPr="002C4077">
        <w:t xml:space="preserve"> </w:t>
      </w:r>
      <w:r w:rsidR="00425C50">
        <w:t>Jésus</w:t>
      </w:r>
      <w:r w:rsidRPr="002C4077">
        <w:t xml:space="preserve"> </w:t>
      </w:r>
      <w:r>
        <w:t>ne</w:t>
      </w:r>
      <w:r w:rsidRPr="002C4077">
        <w:t xml:space="preserve"> </w:t>
      </w:r>
      <w:r>
        <w:t>consacra</w:t>
      </w:r>
      <w:r w:rsidRPr="002C4077">
        <w:t xml:space="preserve"> </w:t>
      </w:r>
      <w:r>
        <w:t>pas</w:t>
      </w:r>
      <w:r w:rsidRPr="002C4077">
        <w:t xml:space="preserve"> </w:t>
      </w:r>
      <w:r>
        <w:t>le</w:t>
      </w:r>
      <w:r w:rsidRPr="002C4077">
        <w:t xml:space="preserve"> </w:t>
      </w:r>
      <w:r>
        <w:t>pain</w:t>
      </w:r>
      <w:r w:rsidRPr="002C4077">
        <w:t xml:space="preserve"> </w:t>
      </w:r>
      <w:r>
        <w:t>et</w:t>
      </w:r>
      <w:r w:rsidRPr="002C4077">
        <w:t xml:space="preserve"> </w:t>
      </w:r>
      <w:r>
        <w:t>le</w:t>
      </w:r>
      <w:r w:rsidRPr="002C4077">
        <w:t xml:space="preserve"> </w:t>
      </w:r>
      <w:r>
        <w:t>vin</w:t>
      </w:r>
      <w:r w:rsidRPr="002C4077">
        <w:t xml:space="preserve"> </w:t>
      </w:r>
      <w:r>
        <w:t>immédiatement</w:t>
      </w:r>
      <w:r w:rsidRPr="002C4077">
        <w:t xml:space="preserve"> </w:t>
      </w:r>
      <w:r>
        <w:t>après</w:t>
      </w:r>
      <w:r w:rsidRPr="002C4077">
        <w:t xml:space="preserve"> </w:t>
      </w:r>
      <w:r>
        <w:t>cette</w:t>
      </w:r>
      <w:r w:rsidRPr="002C4077">
        <w:t xml:space="preserve"> </w:t>
      </w:r>
      <w:r>
        <w:t>cérémonie,</w:t>
      </w:r>
      <w:r w:rsidRPr="002C4077">
        <w:t xml:space="preserve"> </w:t>
      </w:r>
      <w:r>
        <w:t>mais</w:t>
      </w:r>
      <w:r w:rsidRPr="002C4077">
        <w:t xml:space="preserve"> </w:t>
      </w:r>
      <w:r>
        <w:t>qu’il</w:t>
      </w:r>
      <w:r w:rsidRPr="002C4077">
        <w:t xml:space="preserve"> </w:t>
      </w:r>
      <w:r>
        <w:t>expliqua</w:t>
      </w:r>
      <w:r w:rsidRPr="002C4077">
        <w:t xml:space="preserve"> </w:t>
      </w:r>
      <w:r>
        <w:t>d’abord</w:t>
      </w:r>
      <w:r w:rsidRPr="002C4077">
        <w:t xml:space="preserve"> </w:t>
      </w:r>
      <w:r>
        <w:t>le</w:t>
      </w:r>
      <w:r w:rsidRPr="002C4077">
        <w:t xml:space="preserve"> </w:t>
      </w:r>
      <w:r>
        <w:t>mystère</w:t>
      </w:r>
      <w:r w:rsidRPr="002C4077">
        <w:t xml:space="preserve"> </w:t>
      </w:r>
      <w:r>
        <w:t>qu’il</w:t>
      </w:r>
      <w:r w:rsidRPr="002C4077">
        <w:t xml:space="preserve"> </w:t>
      </w:r>
      <w:r>
        <w:t>allait</w:t>
      </w:r>
      <w:r w:rsidRPr="002C4077">
        <w:t xml:space="preserve"> </w:t>
      </w:r>
      <w:r>
        <w:t>accomplir</w:t>
      </w:r>
      <w:r w:rsidR="00B546AF">
        <w:t> :</w:t>
      </w:r>
      <w:r w:rsidRPr="002C4077">
        <w:t xml:space="preserve"> </w:t>
      </w:r>
      <w:r>
        <w:t>Judas</w:t>
      </w:r>
      <w:r w:rsidRPr="002C4077">
        <w:t xml:space="preserve"> </w:t>
      </w:r>
      <w:r>
        <w:t>aurait</w:t>
      </w:r>
      <w:r w:rsidRPr="002C4077">
        <w:t xml:space="preserve"> </w:t>
      </w:r>
      <w:r>
        <w:t>quitté</w:t>
      </w:r>
      <w:r w:rsidRPr="002C4077">
        <w:t xml:space="preserve"> </w:t>
      </w:r>
      <w:r>
        <w:t>la</w:t>
      </w:r>
      <w:r w:rsidRPr="002C4077">
        <w:t xml:space="preserve"> </w:t>
      </w:r>
      <w:r>
        <w:t>salle</w:t>
      </w:r>
      <w:r w:rsidRPr="002C4077">
        <w:t xml:space="preserve"> </w:t>
      </w:r>
      <w:r>
        <w:t>avant</w:t>
      </w:r>
      <w:r w:rsidRPr="002C4077">
        <w:t xml:space="preserve"> </w:t>
      </w:r>
      <w:r>
        <w:t>ces</w:t>
      </w:r>
      <w:r w:rsidRPr="002C4077">
        <w:t xml:space="preserve"> </w:t>
      </w:r>
      <w:r>
        <w:t>paroles</w:t>
      </w:r>
      <w:r w:rsidRPr="002C4077">
        <w:t xml:space="preserve"> </w:t>
      </w:r>
      <w:r>
        <w:t>d’explication.</w:t>
      </w:r>
      <w:r w:rsidRPr="002C4077">
        <w:t xml:space="preserve"> </w:t>
      </w:r>
    </w:p>
    <w:p w:rsidR="000A7AAB" w:rsidRPr="005E2129" w:rsidRDefault="000A7AAB" w:rsidP="000A7AAB">
      <w:r>
        <w:t>On</w:t>
      </w:r>
      <w:r w:rsidRPr="002C4077">
        <w:t xml:space="preserve"> </w:t>
      </w:r>
      <w:r>
        <w:t>dit</w:t>
      </w:r>
      <w:r w:rsidRPr="002C4077">
        <w:t xml:space="preserve"> </w:t>
      </w:r>
      <w:r>
        <w:t>encore</w:t>
      </w:r>
      <w:r w:rsidR="00B546AF">
        <w:t> :</w:t>
      </w:r>
      <w:r w:rsidRPr="002C4077">
        <w:t xml:space="preserve"> </w:t>
      </w:r>
      <w:r w:rsidR="00425C50">
        <w:t>Jésus</w:t>
      </w:r>
      <w:r>
        <w:t>,</w:t>
      </w:r>
      <w:r w:rsidRPr="002C4077">
        <w:t xml:space="preserve"> </w:t>
      </w:r>
      <w:r>
        <w:t>après</w:t>
      </w:r>
      <w:r w:rsidRPr="002C4077">
        <w:t xml:space="preserve"> </w:t>
      </w:r>
      <w:r>
        <w:t>l’admirable</w:t>
      </w:r>
      <w:r w:rsidRPr="002C4077">
        <w:t xml:space="preserve"> </w:t>
      </w:r>
      <w:r>
        <w:t>discours</w:t>
      </w:r>
      <w:r w:rsidRPr="002C4077">
        <w:t xml:space="preserve"> </w:t>
      </w:r>
      <w:r>
        <w:t>où</w:t>
      </w:r>
      <w:r w:rsidRPr="002C4077">
        <w:t xml:space="preserve"> </w:t>
      </w:r>
      <w:r>
        <w:t>il</w:t>
      </w:r>
      <w:r w:rsidRPr="002C4077">
        <w:t xml:space="preserve"> </w:t>
      </w:r>
      <w:r>
        <w:t>promit</w:t>
      </w:r>
      <w:r w:rsidRPr="002C4077">
        <w:t xml:space="preserve"> </w:t>
      </w:r>
      <w:r>
        <w:t>de</w:t>
      </w:r>
      <w:r w:rsidRPr="002C4077">
        <w:t xml:space="preserve"> </w:t>
      </w:r>
      <w:r>
        <w:t>nous</w:t>
      </w:r>
      <w:r w:rsidRPr="002C4077">
        <w:t xml:space="preserve"> </w:t>
      </w:r>
      <w:r>
        <w:t>donner</w:t>
      </w:r>
      <w:r w:rsidRPr="002C4077">
        <w:t xml:space="preserve"> </w:t>
      </w:r>
      <w:r>
        <w:t>sa</w:t>
      </w:r>
      <w:r w:rsidRPr="002C4077">
        <w:t xml:space="preserve"> </w:t>
      </w:r>
      <w:r>
        <w:t>chair</w:t>
      </w:r>
      <w:r w:rsidRPr="002C4077">
        <w:t xml:space="preserve"> </w:t>
      </w:r>
      <w:r>
        <w:t>en</w:t>
      </w:r>
      <w:r w:rsidRPr="002C4077">
        <w:t xml:space="preserve"> </w:t>
      </w:r>
      <w:r>
        <w:t>nourriture</w:t>
      </w:r>
      <w:r w:rsidRPr="002C4077">
        <w:t xml:space="preserve"> </w:t>
      </w:r>
      <w:r>
        <w:t>et</w:t>
      </w:r>
      <w:r w:rsidRPr="002C4077">
        <w:t xml:space="preserve"> </w:t>
      </w:r>
      <w:r>
        <w:t>son</w:t>
      </w:r>
      <w:r w:rsidRPr="002C4077">
        <w:t xml:space="preserve"> </w:t>
      </w:r>
      <w:r>
        <w:t>sang</w:t>
      </w:r>
      <w:r w:rsidRPr="002C4077">
        <w:t xml:space="preserve"> </w:t>
      </w:r>
      <w:r>
        <w:t>pour</w:t>
      </w:r>
      <w:r w:rsidRPr="002C4077">
        <w:t xml:space="preserve"> </w:t>
      </w:r>
      <w:r>
        <w:t>breuvage,</w:t>
      </w:r>
      <w:r w:rsidRPr="002C4077">
        <w:t xml:space="preserve"> </w:t>
      </w:r>
      <w:r>
        <w:t>prédit</w:t>
      </w:r>
      <w:r w:rsidRPr="002C4077">
        <w:t xml:space="preserve"> </w:t>
      </w:r>
      <w:r>
        <w:t>la</w:t>
      </w:r>
      <w:r w:rsidRPr="002C4077">
        <w:t xml:space="preserve"> </w:t>
      </w:r>
      <w:r>
        <w:t>trahison</w:t>
      </w:r>
      <w:r w:rsidRPr="002C4077">
        <w:t xml:space="preserve"> </w:t>
      </w:r>
      <w:r>
        <w:t>de</w:t>
      </w:r>
      <w:r w:rsidRPr="002C4077">
        <w:t xml:space="preserve"> </w:t>
      </w:r>
      <w:r>
        <w:t>Judas</w:t>
      </w:r>
      <w:r w:rsidR="00B91AF7">
        <w:rPr>
          <w:rStyle w:val="Appelnotedebasdep"/>
        </w:rPr>
        <w:footnoteReference w:id="941"/>
      </w:r>
      <w:r>
        <w:t>.</w:t>
      </w:r>
      <w:r w:rsidRPr="002C4077">
        <w:t xml:space="preserve"> </w:t>
      </w:r>
      <w:r>
        <w:t>Par</w:t>
      </w:r>
      <w:r w:rsidRPr="002C4077">
        <w:t xml:space="preserve"> </w:t>
      </w:r>
      <w:r>
        <w:t>là,</w:t>
      </w:r>
      <w:r w:rsidRPr="002C4077">
        <w:t xml:space="preserve"> </w:t>
      </w:r>
      <w:r>
        <w:t>il</w:t>
      </w:r>
      <w:r w:rsidRPr="002C4077">
        <w:t xml:space="preserve"> </w:t>
      </w:r>
      <w:r>
        <w:t>a</w:t>
      </w:r>
      <w:r w:rsidRPr="002C4077">
        <w:t xml:space="preserve"> </w:t>
      </w:r>
      <w:r>
        <w:t>indiqué</w:t>
      </w:r>
      <w:r w:rsidRPr="002C4077">
        <w:t xml:space="preserve"> </w:t>
      </w:r>
      <w:r>
        <w:t>clairement</w:t>
      </w:r>
      <w:r w:rsidRPr="002C4077">
        <w:t xml:space="preserve"> </w:t>
      </w:r>
      <w:r>
        <w:t>que</w:t>
      </w:r>
      <w:r w:rsidRPr="002C4077">
        <w:t xml:space="preserve"> </w:t>
      </w:r>
      <w:r>
        <w:t>le</w:t>
      </w:r>
      <w:r w:rsidRPr="002C4077">
        <w:t xml:space="preserve"> </w:t>
      </w:r>
      <w:r>
        <w:t>traître,</w:t>
      </w:r>
      <w:r w:rsidRPr="002C4077">
        <w:t xml:space="preserve"> </w:t>
      </w:r>
      <w:r>
        <w:t>malgré</w:t>
      </w:r>
      <w:r w:rsidRPr="002C4077">
        <w:t xml:space="preserve"> </w:t>
      </w:r>
      <w:r>
        <w:t>son</w:t>
      </w:r>
      <w:r w:rsidRPr="002C4077">
        <w:t xml:space="preserve"> </w:t>
      </w:r>
      <w:r>
        <w:t>incrédulité,</w:t>
      </w:r>
      <w:r w:rsidRPr="002C4077">
        <w:t xml:space="preserve"> </w:t>
      </w:r>
      <w:r>
        <w:t>demeurerait</w:t>
      </w:r>
      <w:r w:rsidRPr="002C4077">
        <w:t xml:space="preserve"> </w:t>
      </w:r>
      <w:r>
        <w:t>avec</w:t>
      </w:r>
      <w:r w:rsidRPr="002C4077">
        <w:t xml:space="preserve"> </w:t>
      </w:r>
      <w:r>
        <w:t>lui</w:t>
      </w:r>
      <w:r w:rsidRPr="002C4077">
        <w:t xml:space="preserve"> </w:t>
      </w:r>
      <w:r>
        <w:t>jusqu’à</w:t>
      </w:r>
      <w:r w:rsidRPr="002C4077">
        <w:t xml:space="preserve"> </w:t>
      </w:r>
      <w:r>
        <w:t>la</w:t>
      </w:r>
      <w:r w:rsidRPr="002C4077">
        <w:t xml:space="preserve"> </w:t>
      </w:r>
      <w:r>
        <w:t>fin,</w:t>
      </w:r>
      <w:r w:rsidRPr="002C4077">
        <w:t xml:space="preserve"> </w:t>
      </w:r>
      <w:r>
        <w:t>et</w:t>
      </w:r>
      <w:r w:rsidRPr="002C4077">
        <w:t xml:space="preserve"> </w:t>
      </w:r>
      <w:r>
        <w:t>que,</w:t>
      </w:r>
      <w:r w:rsidRPr="002C4077">
        <w:t xml:space="preserve"> </w:t>
      </w:r>
      <w:r>
        <w:t>plus</w:t>
      </w:r>
      <w:r w:rsidRPr="002C4077">
        <w:t xml:space="preserve"> </w:t>
      </w:r>
      <w:r>
        <w:t>tard,</w:t>
      </w:r>
      <w:r w:rsidRPr="002C4077">
        <w:t xml:space="preserve"> </w:t>
      </w:r>
      <w:r>
        <w:t>il</w:t>
      </w:r>
      <w:r w:rsidRPr="002C4077">
        <w:t xml:space="preserve"> </w:t>
      </w:r>
      <w:r>
        <w:t>communierait</w:t>
      </w:r>
      <w:r w:rsidRPr="002C4077">
        <w:t xml:space="preserve"> </w:t>
      </w:r>
      <w:r>
        <w:t>d’une</w:t>
      </w:r>
      <w:r w:rsidRPr="002C4077">
        <w:t xml:space="preserve"> </w:t>
      </w:r>
      <w:r>
        <w:t>manière</w:t>
      </w:r>
      <w:r w:rsidRPr="002C4077">
        <w:t xml:space="preserve"> </w:t>
      </w:r>
      <w:r w:rsidR="00555E55">
        <w:t>sacrilège</w:t>
      </w:r>
      <w:r w:rsidR="00555E55">
        <w:rPr>
          <w:rStyle w:val="Appelnotedebasdep"/>
        </w:rPr>
        <w:footnoteReference w:id="942"/>
      </w:r>
      <w:r>
        <w:t>.</w:t>
      </w:r>
      <w:r w:rsidRPr="002C4077">
        <w:t xml:space="preserve"> </w:t>
      </w:r>
      <w:r>
        <w:t>—</w:t>
      </w:r>
      <w:r w:rsidRPr="002C4077">
        <w:t xml:space="preserve"> </w:t>
      </w:r>
      <w:r>
        <w:t>Non,</w:t>
      </w:r>
      <w:r w:rsidRPr="002C4077">
        <w:t xml:space="preserve"> </w:t>
      </w:r>
      <w:r>
        <w:t>cette</w:t>
      </w:r>
      <w:r w:rsidRPr="002C4077">
        <w:t xml:space="preserve"> </w:t>
      </w:r>
      <w:r>
        <w:t>conséquence</w:t>
      </w:r>
      <w:r w:rsidRPr="002C4077">
        <w:t xml:space="preserve"> </w:t>
      </w:r>
      <w:r>
        <w:t>ne</w:t>
      </w:r>
      <w:r w:rsidRPr="002C4077">
        <w:t xml:space="preserve"> </w:t>
      </w:r>
      <w:r>
        <w:t>ressort</w:t>
      </w:r>
      <w:r w:rsidRPr="002C4077">
        <w:t xml:space="preserve"> </w:t>
      </w:r>
      <w:r>
        <w:t>pas</w:t>
      </w:r>
      <w:r w:rsidRPr="002C4077">
        <w:t xml:space="preserve"> </w:t>
      </w:r>
      <w:r>
        <w:t>clairement</w:t>
      </w:r>
      <w:r w:rsidRPr="002C4077">
        <w:t xml:space="preserve"> </w:t>
      </w:r>
      <w:r>
        <w:t>du</w:t>
      </w:r>
      <w:r w:rsidRPr="002C4077">
        <w:t xml:space="preserve"> </w:t>
      </w:r>
      <w:r>
        <w:t>texte</w:t>
      </w:r>
      <w:r w:rsidR="00B546AF">
        <w:t> ;</w:t>
      </w:r>
      <w:r w:rsidRPr="002C4077">
        <w:t xml:space="preserve"> </w:t>
      </w:r>
      <w:r>
        <w:t>il</w:t>
      </w:r>
      <w:r w:rsidRPr="002C4077">
        <w:t xml:space="preserve"> </w:t>
      </w:r>
      <w:r>
        <w:t>faut</w:t>
      </w:r>
      <w:r w:rsidRPr="002C4077">
        <w:t xml:space="preserve"> </w:t>
      </w:r>
      <w:r>
        <w:t>même</w:t>
      </w:r>
      <w:r w:rsidRPr="002C4077">
        <w:t xml:space="preserve"> </w:t>
      </w:r>
      <w:r>
        <w:t>faire</w:t>
      </w:r>
      <w:r w:rsidRPr="002C4077">
        <w:t xml:space="preserve"> </w:t>
      </w:r>
      <w:r>
        <w:t>violence</w:t>
      </w:r>
      <w:r w:rsidRPr="002C4077">
        <w:t xml:space="preserve"> </w:t>
      </w:r>
      <w:r>
        <w:t>aux</w:t>
      </w:r>
      <w:r w:rsidRPr="002C4077">
        <w:t xml:space="preserve"> </w:t>
      </w:r>
      <w:r>
        <w:t>paroles</w:t>
      </w:r>
      <w:r w:rsidRPr="002C4077">
        <w:t xml:space="preserve"> </w:t>
      </w:r>
      <w:r>
        <w:t>de</w:t>
      </w:r>
      <w:r w:rsidRPr="002C4077">
        <w:t xml:space="preserve"> </w:t>
      </w:r>
      <w:r w:rsidR="00425C50">
        <w:t>Jésus</w:t>
      </w:r>
      <w:r w:rsidRPr="002C4077">
        <w:t xml:space="preserve"> </w:t>
      </w:r>
      <w:r>
        <w:t>pour</w:t>
      </w:r>
      <w:r w:rsidRPr="002C4077">
        <w:t xml:space="preserve"> </w:t>
      </w:r>
      <w:r>
        <w:t>pouvoir</w:t>
      </w:r>
      <w:r w:rsidRPr="002C4077">
        <w:t xml:space="preserve"> </w:t>
      </w:r>
      <w:r>
        <w:t>l’en</w:t>
      </w:r>
      <w:r w:rsidRPr="002C4077">
        <w:t xml:space="preserve"> </w:t>
      </w:r>
      <w:r>
        <w:t>tirer.</w:t>
      </w:r>
      <w:r w:rsidRPr="002C4077">
        <w:t xml:space="preserve"> </w:t>
      </w:r>
      <w:r>
        <w:t>Dans</w:t>
      </w:r>
      <w:r w:rsidRPr="002C4077">
        <w:t xml:space="preserve"> </w:t>
      </w:r>
      <w:r>
        <w:t>ces</w:t>
      </w:r>
      <w:r w:rsidRPr="002C4077">
        <w:t xml:space="preserve"> </w:t>
      </w:r>
      <w:r>
        <w:t>paroles,</w:t>
      </w:r>
      <w:r w:rsidRPr="002C4077">
        <w:t xml:space="preserve"> </w:t>
      </w:r>
      <w:r>
        <w:t>Notre</w:t>
      </w:r>
      <w:r w:rsidRPr="002C4077">
        <w:t xml:space="preserve"> </w:t>
      </w:r>
      <w:r>
        <w:t>Seigneur</w:t>
      </w:r>
      <w:r w:rsidRPr="002C4077">
        <w:t xml:space="preserve"> </w:t>
      </w:r>
      <w:r>
        <w:t>n’a</w:t>
      </w:r>
      <w:r w:rsidRPr="002C4077">
        <w:t xml:space="preserve"> </w:t>
      </w:r>
      <w:r>
        <w:t>fait</w:t>
      </w:r>
      <w:r w:rsidRPr="002C4077">
        <w:t xml:space="preserve"> </w:t>
      </w:r>
      <w:r>
        <w:t>aucune</w:t>
      </w:r>
      <w:r w:rsidRPr="002C4077">
        <w:t xml:space="preserve"> </w:t>
      </w:r>
      <w:r>
        <w:t>allusion</w:t>
      </w:r>
      <w:r w:rsidRPr="002C4077">
        <w:t xml:space="preserve"> </w:t>
      </w:r>
      <w:r>
        <w:t>à</w:t>
      </w:r>
      <w:r w:rsidRPr="002C4077">
        <w:t xml:space="preserve"> </w:t>
      </w:r>
      <w:r>
        <w:t>la</w:t>
      </w:r>
      <w:r w:rsidRPr="002C4077">
        <w:t xml:space="preserve"> </w:t>
      </w:r>
      <w:r>
        <w:t>communion</w:t>
      </w:r>
      <w:r w:rsidRPr="002C4077">
        <w:t xml:space="preserve"> </w:t>
      </w:r>
      <w:r>
        <w:t>indigne</w:t>
      </w:r>
      <w:r w:rsidRPr="002C4077">
        <w:t xml:space="preserve"> </w:t>
      </w:r>
      <w:r>
        <w:t>de</w:t>
      </w:r>
      <w:r w:rsidRPr="002C4077">
        <w:t xml:space="preserve"> </w:t>
      </w:r>
      <w:r>
        <w:t>Judas</w:t>
      </w:r>
      <w:r w:rsidR="00B546AF">
        <w:t> ;</w:t>
      </w:r>
      <w:r w:rsidRPr="002C4077">
        <w:t xml:space="preserve"> </w:t>
      </w:r>
      <w:r>
        <w:t>il</w:t>
      </w:r>
      <w:r w:rsidRPr="002C4077">
        <w:t xml:space="preserve"> </w:t>
      </w:r>
      <w:r>
        <w:t>a</w:t>
      </w:r>
      <w:r w:rsidRPr="002C4077">
        <w:t xml:space="preserve"> </w:t>
      </w:r>
      <w:r>
        <w:t>voulu</w:t>
      </w:r>
      <w:r w:rsidRPr="002C4077">
        <w:t xml:space="preserve"> </w:t>
      </w:r>
      <w:r>
        <w:t>dire</w:t>
      </w:r>
      <w:r w:rsidRPr="002C4077">
        <w:t xml:space="preserve"> </w:t>
      </w:r>
      <w:r>
        <w:t>seulement</w:t>
      </w:r>
      <w:r w:rsidRPr="002C4077">
        <w:t xml:space="preserve"> </w:t>
      </w:r>
      <w:r>
        <w:t>que</w:t>
      </w:r>
      <w:r w:rsidRPr="002C4077">
        <w:t xml:space="preserve"> </w:t>
      </w:r>
      <w:r>
        <w:t>l’un</w:t>
      </w:r>
      <w:r w:rsidRPr="002C4077">
        <w:t xml:space="preserve"> </w:t>
      </w:r>
      <w:r>
        <w:t>de</w:t>
      </w:r>
      <w:r w:rsidRPr="002C4077">
        <w:t xml:space="preserve"> </w:t>
      </w:r>
      <w:r>
        <w:t>ses</w:t>
      </w:r>
      <w:r w:rsidRPr="002C4077">
        <w:t xml:space="preserve"> </w:t>
      </w:r>
      <w:r>
        <w:t>disciples</w:t>
      </w:r>
      <w:r w:rsidRPr="002C4077">
        <w:t xml:space="preserve"> </w:t>
      </w:r>
      <w:r>
        <w:t>par</w:t>
      </w:r>
      <w:r w:rsidRPr="002C4077">
        <w:t xml:space="preserve"> </w:t>
      </w:r>
      <w:r>
        <w:t>excellence,</w:t>
      </w:r>
      <w:r w:rsidRPr="002C4077">
        <w:t xml:space="preserve"> </w:t>
      </w:r>
      <w:r>
        <w:t>un</w:t>
      </w:r>
      <w:r w:rsidRPr="002C4077">
        <w:t xml:space="preserve"> </w:t>
      </w:r>
      <w:r>
        <w:t>des</w:t>
      </w:r>
      <w:r w:rsidRPr="002C4077">
        <w:t xml:space="preserve"> </w:t>
      </w:r>
      <w:r>
        <w:t>Douze</w:t>
      </w:r>
      <w:r w:rsidRPr="002C4077">
        <w:t xml:space="preserve"> </w:t>
      </w:r>
      <w:r>
        <w:t>qu’il</w:t>
      </w:r>
      <w:r w:rsidRPr="002C4077">
        <w:t xml:space="preserve"> </w:t>
      </w:r>
      <w:r>
        <w:t>avait</w:t>
      </w:r>
      <w:r w:rsidRPr="002C4077">
        <w:t xml:space="preserve"> </w:t>
      </w:r>
      <w:r>
        <w:t>choisis</w:t>
      </w:r>
      <w:r w:rsidRPr="002C4077">
        <w:t xml:space="preserve"> </w:t>
      </w:r>
      <w:r>
        <w:t>lui-même,</w:t>
      </w:r>
      <w:r w:rsidRPr="002C4077">
        <w:t xml:space="preserve"> </w:t>
      </w:r>
      <w:r>
        <w:t>serait</w:t>
      </w:r>
      <w:r w:rsidRPr="002C4077">
        <w:t xml:space="preserve"> </w:t>
      </w:r>
      <w:r>
        <w:t>assez</w:t>
      </w:r>
      <w:r w:rsidRPr="002C4077">
        <w:t xml:space="preserve"> </w:t>
      </w:r>
      <w:r>
        <w:t>ingrat</w:t>
      </w:r>
      <w:r w:rsidRPr="002C4077">
        <w:t xml:space="preserve"> </w:t>
      </w:r>
      <w:r>
        <w:t>pour</w:t>
      </w:r>
      <w:r w:rsidRPr="002C4077">
        <w:t xml:space="preserve"> </w:t>
      </w:r>
      <w:r>
        <w:t>le</w:t>
      </w:r>
      <w:r w:rsidRPr="002C4077">
        <w:t xml:space="preserve"> </w:t>
      </w:r>
      <w:r>
        <w:t>livrer</w:t>
      </w:r>
      <w:r w:rsidRPr="002C4077">
        <w:t xml:space="preserve"> </w:t>
      </w:r>
      <w:r>
        <w:t>un</w:t>
      </w:r>
      <w:r w:rsidRPr="002C4077">
        <w:t xml:space="preserve"> </w:t>
      </w:r>
      <w:r>
        <w:t>jour</w:t>
      </w:r>
      <w:r w:rsidRPr="002C4077">
        <w:t xml:space="preserve"> </w:t>
      </w:r>
      <w:r>
        <w:t>à</w:t>
      </w:r>
      <w:r w:rsidRPr="002C4077">
        <w:t xml:space="preserve"> </w:t>
      </w:r>
      <w:r>
        <w:t>ses</w:t>
      </w:r>
      <w:r w:rsidRPr="002C4077">
        <w:t xml:space="preserve"> </w:t>
      </w:r>
      <w:r>
        <w:t>ennemis.</w:t>
      </w:r>
      <w:r w:rsidRPr="002C4077">
        <w:t xml:space="preserve"> </w:t>
      </w:r>
      <w:r>
        <w:t>S.</w:t>
      </w:r>
      <w:r w:rsidRPr="002C4077">
        <w:t xml:space="preserve"> </w:t>
      </w:r>
      <w:r>
        <w:t>Jean</w:t>
      </w:r>
      <w:r w:rsidRPr="002C4077">
        <w:t xml:space="preserve"> </w:t>
      </w:r>
      <w:r>
        <w:t>nous</w:t>
      </w:r>
      <w:r w:rsidRPr="002C4077">
        <w:t xml:space="preserve"> </w:t>
      </w:r>
      <w:r>
        <w:t>montre</w:t>
      </w:r>
      <w:r w:rsidRPr="002C4077">
        <w:t xml:space="preserve"> </w:t>
      </w:r>
      <w:r>
        <w:t>que</w:t>
      </w:r>
      <w:r w:rsidRPr="002C4077">
        <w:t xml:space="preserve"> </w:t>
      </w:r>
      <w:r>
        <w:t>tel</w:t>
      </w:r>
      <w:r w:rsidRPr="002C4077">
        <w:t xml:space="preserve"> </w:t>
      </w:r>
      <w:r w:rsidR="00425C50">
        <w:t>est</w:t>
      </w:r>
      <w:r w:rsidRPr="002C4077">
        <w:t xml:space="preserve"> </w:t>
      </w:r>
      <w:r>
        <w:t>réellement</w:t>
      </w:r>
      <w:r w:rsidRPr="002C4077">
        <w:t xml:space="preserve"> </w:t>
      </w:r>
      <w:r>
        <w:t>le</w:t>
      </w:r>
      <w:r w:rsidRPr="002C4077">
        <w:t xml:space="preserve"> </w:t>
      </w:r>
      <w:r>
        <w:t>sens</w:t>
      </w:r>
      <w:r w:rsidRPr="002C4077">
        <w:t xml:space="preserve"> </w:t>
      </w:r>
      <w:r>
        <w:t>de</w:t>
      </w:r>
      <w:r w:rsidRPr="002C4077">
        <w:t xml:space="preserve"> </w:t>
      </w:r>
      <w:r>
        <w:t>ce</w:t>
      </w:r>
      <w:r w:rsidRPr="002C4077">
        <w:t xml:space="preserve"> </w:t>
      </w:r>
      <w:r>
        <w:t>passage,</w:t>
      </w:r>
      <w:r w:rsidRPr="002C4077">
        <w:t xml:space="preserve"> </w:t>
      </w:r>
      <w:r>
        <w:t>lorsqu’il</w:t>
      </w:r>
      <w:r w:rsidRPr="002C4077">
        <w:t xml:space="preserve"> </w:t>
      </w:r>
      <w:r>
        <w:t>ajoute</w:t>
      </w:r>
      <w:r w:rsidRPr="002C4077">
        <w:t xml:space="preserve"> </w:t>
      </w:r>
      <w:r>
        <w:t>la</w:t>
      </w:r>
      <w:r w:rsidRPr="002C4077">
        <w:t xml:space="preserve"> </w:t>
      </w:r>
      <w:r>
        <w:t>réflexion</w:t>
      </w:r>
      <w:r w:rsidRPr="002C4077">
        <w:t xml:space="preserve"> </w:t>
      </w:r>
      <w:r>
        <w:t>suivante</w:t>
      </w:r>
      <w:r w:rsidR="00B546AF">
        <w:t> :</w:t>
      </w:r>
      <w:r w:rsidRPr="002C4077">
        <w:t xml:space="preserve"> </w:t>
      </w:r>
      <w:r w:rsidR="00B546AF">
        <w:t>« </w:t>
      </w:r>
      <w:r>
        <w:t>Car</w:t>
      </w:r>
      <w:r w:rsidRPr="002C4077">
        <w:t xml:space="preserve"> </w:t>
      </w:r>
      <w:r w:rsidR="003B53FD">
        <w:t>celui</w:t>
      </w:r>
      <w:r>
        <w:t>-ci</w:t>
      </w:r>
      <w:r w:rsidRPr="004440EA">
        <w:t xml:space="preserve"> (</w:t>
      </w:r>
      <w:r>
        <w:t>Judas</w:t>
      </w:r>
      <w:r w:rsidR="00B546AF" w:rsidRPr="002C4077">
        <w:t>)</w:t>
      </w:r>
      <w:r w:rsidRPr="002C4077">
        <w:t xml:space="preserve"> </w:t>
      </w:r>
      <w:r>
        <w:t>devait</w:t>
      </w:r>
      <w:r w:rsidRPr="002C4077">
        <w:t xml:space="preserve"> </w:t>
      </w:r>
      <w:r>
        <w:t>le</w:t>
      </w:r>
      <w:r w:rsidRPr="002C4077">
        <w:t xml:space="preserve"> </w:t>
      </w:r>
      <w:r>
        <w:t>trahir,</w:t>
      </w:r>
      <w:r w:rsidRPr="002C4077">
        <w:t xml:space="preserve"> </w:t>
      </w:r>
      <w:r>
        <w:t>bien</w:t>
      </w:r>
      <w:r w:rsidRPr="002C4077">
        <w:t xml:space="preserve"> </w:t>
      </w:r>
      <w:r>
        <w:t>qu’il</w:t>
      </w:r>
      <w:r w:rsidRPr="002C4077">
        <w:t xml:space="preserve"> </w:t>
      </w:r>
      <w:r>
        <w:t>fût</w:t>
      </w:r>
      <w:r w:rsidRPr="002C4077">
        <w:t xml:space="preserve"> </w:t>
      </w:r>
      <w:r>
        <w:t>un</w:t>
      </w:r>
      <w:r w:rsidRPr="002C4077">
        <w:t xml:space="preserve"> </w:t>
      </w:r>
      <w:r>
        <w:t>des</w:t>
      </w:r>
      <w:r w:rsidRPr="002C4077">
        <w:t xml:space="preserve"> </w:t>
      </w:r>
      <w:r>
        <w:t>Douze</w:t>
      </w:r>
      <w:r w:rsidR="00B546AF">
        <w:t> »</w:t>
      </w:r>
      <w:r>
        <w:t>.</w:t>
      </w:r>
      <w:r w:rsidR="00C45B47">
        <w:t xml:space="preserve"> {</w:t>
      </w:r>
      <w:r w:rsidR="005E2129">
        <w:t>320</w:t>
      </w:r>
      <w:bookmarkStart w:id="778" w:name="p320"/>
      <w:bookmarkEnd w:id="778"/>
      <w:r w:rsidR="005E2129">
        <w:t xml:space="preserve">} </w:t>
      </w:r>
    </w:p>
    <w:p w:rsidR="000A7AAB" w:rsidRDefault="000A7AAB" w:rsidP="000A7AAB">
      <w:r>
        <w:t>Nous</w:t>
      </w:r>
      <w:r w:rsidRPr="002C4077">
        <w:t xml:space="preserve"> </w:t>
      </w:r>
      <w:r>
        <w:t>mentionnerons</w:t>
      </w:r>
      <w:r w:rsidRPr="002C4077">
        <w:t xml:space="preserve"> </w:t>
      </w:r>
      <w:r>
        <w:t>seulement</w:t>
      </w:r>
      <w:r w:rsidRPr="002C4077">
        <w:t xml:space="preserve"> </w:t>
      </w:r>
      <w:r>
        <w:t>comme</w:t>
      </w:r>
      <w:r w:rsidRPr="002C4077">
        <w:t xml:space="preserve"> </w:t>
      </w:r>
      <w:r>
        <w:t>un</w:t>
      </w:r>
      <w:r w:rsidRPr="002C4077">
        <w:t xml:space="preserve"> </w:t>
      </w:r>
      <w:r w:rsidRPr="000A34B5">
        <w:rPr>
          <w:rStyle w:val="italicus"/>
        </w:rPr>
        <w:t>curi</w:t>
      </w:r>
      <w:r w:rsidR="0014099C">
        <w:rPr>
          <w:rStyle w:val="italicus"/>
        </w:rPr>
        <w:t>ó</w:t>
      </w:r>
      <w:r w:rsidRPr="000A34B5">
        <w:rPr>
          <w:rStyle w:val="italicus"/>
        </w:rPr>
        <w:t>sum</w:t>
      </w:r>
      <w:r w:rsidRPr="002C4077">
        <w:t xml:space="preserve"> </w:t>
      </w:r>
      <w:r>
        <w:t>exégétique</w:t>
      </w:r>
      <w:r w:rsidRPr="002C4077">
        <w:t xml:space="preserve"> </w:t>
      </w:r>
      <w:r>
        <w:t>une</w:t>
      </w:r>
      <w:r w:rsidRPr="002C4077">
        <w:t xml:space="preserve"> </w:t>
      </w:r>
      <w:r>
        <w:t>dernière</w:t>
      </w:r>
      <w:r w:rsidRPr="002C4077">
        <w:t xml:space="preserve"> </w:t>
      </w:r>
      <w:r>
        <w:t>objection</w:t>
      </w:r>
      <w:r w:rsidRPr="002C4077">
        <w:t xml:space="preserve"> </w:t>
      </w:r>
      <w:r>
        <w:t>que</w:t>
      </w:r>
      <w:r w:rsidRPr="002C4077">
        <w:t xml:space="preserve"> </w:t>
      </w:r>
      <w:r>
        <w:t>Cornélius</w:t>
      </w:r>
      <w:r w:rsidRPr="002C4077">
        <w:t xml:space="preserve"> </w:t>
      </w:r>
      <w:r>
        <w:t>a</w:t>
      </w:r>
      <w:r w:rsidRPr="002C4077">
        <w:t xml:space="preserve"> </w:t>
      </w:r>
      <w:r>
        <w:t>tirée</w:t>
      </w:r>
      <w:r w:rsidRPr="002C4077">
        <w:t xml:space="preserve"> </w:t>
      </w:r>
      <w:r>
        <w:t>du</w:t>
      </w:r>
      <w:r w:rsidRPr="002C4077">
        <w:t xml:space="preserve"> </w:t>
      </w:r>
      <w:r>
        <w:t>discours</w:t>
      </w:r>
      <w:r w:rsidRPr="002C4077">
        <w:t xml:space="preserve"> </w:t>
      </w:r>
      <w:r>
        <w:t>de</w:t>
      </w:r>
      <w:r w:rsidRPr="002C4077">
        <w:t xml:space="preserve"> </w:t>
      </w:r>
      <w:r>
        <w:t>saint</w:t>
      </w:r>
      <w:r w:rsidRPr="002C4077">
        <w:t xml:space="preserve"> </w:t>
      </w:r>
      <w:r>
        <w:t>Pierre</w:t>
      </w:r>
      <w:r w:rsidRPr="002C4077">
        <w:t xml:space="preserve"> </w:t>
      </w:r>
      <w:r>
        <w:t>qu’on</w:t>
      </w:r>
      <w:r w:rsidRPr="002C4077">
        <w:t xml:space="preserve"> </w:t>
      </w:r>
      <w:r>
        <w:t>lit</w:t>
      </w:r>
      <w:r w:rsidRPr="002C4077">
        <w:t xml:space="preserve"> </w:t>
      </w:r>
      <w:r>
        <w:t>au</w:t>
      </w:r>
      <w:r w:rsidRPr="002C4077">
        <w:t xml:space="preserve"> </w:t>
      </w:r>
      <w:r>
        <w:t>début</w:t>
      </w:r>
      <w:r w:rsidRPr="002C4077">
        <w:t xml:space="preserve"> </w:t>
      </w:r>
      <w:r>
        <w:t>du</w:t>
      </w:r>
      <w:r w:rsidRPr="002C4077">
        <w:t xml:space="preserve"> </w:t>
      </w:r>
      <w:r>
        <w:t>livre</w:t>
      </w:r>
      <w:r w:rsidRPr="002C4077">
        <w:t xml:space="preserve"> </w:t>
      </w:r>
      <w:r>
        <w:t>des</w:t>
      </w:r>
      <w:r w:rsidRPr="002C4077">
        <w:t xml:space="preserve"> </w:t>
      </w:r>
      <w:r>
        <w:t>Actes</w:t>
      </w:r>
      <w:r w:rsidR="00B91AF7">
        <w:rPr>
          <w:rStyle w:val="Appelnotedebasdep"/>
        </w:rPr>
        <w:footnoteReference w:id="943"/>
      </w:r>
      <w:r>
        <w:t>.</w:t>
      </w:r>
      <w:r w:rsidRPr="002C4077">
        <w:t xml:space="preserve"> </w:t>
      </w:r>
      <w:r>
        <w:t>Le</w:t>
      </w:r>
      <w:r w:rsidRPr="002C4077">
        <w:t xml:space="preserve"> </w:t>
      </w:r>
      <w:r>
        <w:t>chef</w:t>
      </w:r>
      <w:r w:rsidRPr="002C4077">
        <w:t xml:space="preserve"> </w:t>
      </w:r>
      <w:r>
        <w:t>du</w:t>
      </w:r>
      <w:r w:rsidRPr="002C4077">
        <w:t xml:space="preserve"> </w:t>
      </w:r>
      <w:r>
        <w:t>collège</w:t>
      </w:r>
      <w:r w:rsidRPr="002C4077">
        <w:t xml:space="preserve"> </w:t>
      </w:r>
      <w:r>
        <w:t>apostolique,</w:t>
      </w:r>
      <w:r w:rsidRPr="002C4077">
        <w:t xml:space="preserve"> </w:t>
      </w:r>
      <w:r>
        <w:lastRenderedPageBreak/>
        <w:t>parlant</w:t>
      </w:r>
      <w:r w:rsidRPr="002C4077">
        <w:t xml:space="preserve"> </w:t>
      </w:r>
      <w:r>
        <w:t>du</w:t>
      </w:r>
      <w:r w:rsidRPr="002C4077">
        <w:t xml:space="preserve"> </w:t>
      </w:r>
      <w:r>
        <w:t>successeur</w:t>
      </w:r>
      <w:r w:rsidRPr="002C4077">
        <w:t xml:space="preserve"> </w:t>
      </w:r>
      <w:r>
        <w:t>que</w:t>
      </w:r>
      <w:r w:rsidRPr="002C4077">
        <w:t xml:space="preserve"> </w:t>
      </w:r>
      <w:r>
        <w:t>l’on</w:t>
      </w:r>
      <w:r w:rsidRPr="002C4077">
        <w:t xml:space="preserve"> </w:t>
      </w:r>
      <w:r>
        <w:t>devait</w:t>
      </w:r>
      <w:r w:rsidRPr="002C4077">
        <w:t xml:space="preserve"> </w:t>
      </w:r>
      <w:r>
        <w:t>donner</w:t>
      </w:r>
      <w:r w:rsidRPr="002C4077">
        <w:t xml:space="preserve"> </w:t>
      </w:r>
      <w:r>
        <w:t>à</w:t>
      </w:r>
      <w:r w:rsidRPr="002C4077">
        <w:t xml:space="preserve"> </w:t>
      </w:r>
      <w:r>
        <w:t>Judas,</w:t>
      </w:r>
      <w:r w:rsidRPr="002C4077">
        <w:t xml:space="preserve"> </w:t>
      </w:r>
      <w:r>
        <w:t>avait</w:t>
      </w:r>
      <w:r w:rsidRPr="002C4077">
        <w:t xml:space="preserve"> </w:t>
      </w:r>
      <w:r>
        <w:t>cité</w:t>
      </w:r>
      <w:r w:rsidRPr="002C4077">
        <w:t xml:space="preserve"> </w:t>
      </w:r>
      <w:r>
        <w:t>ce</w:t>
      </w:r>
      <w:r w:rsidRPr="002C4077">
        <w:t xml:space="preserve"> </w:t>
      </w:r>
      <w:r>
        <w:t>verset</w:t>
      </w:r>
      <w:r w:rsidRPr="002C4077">
        <w:t xml:space="preserve"> </w:t>
      </w:r>
      <w:r>
        <w:t>du</w:t>
      </w:r>
      <w:r w:rsidRPr="002C4077">
        <w:t xml:space="preserve"> </w:t>
      </w:r>
      <w:r>
        <w:t>psalmiste</w:t>
      </w:r>
      <w:r w:rsidR="00B546AF">
        <w:t> :</w:t>
      </w:r>
      <w:r w:rsidRPr="002C4077">
        <w:t xml:space="preserve"> </w:t>
      </w:r>
      <w:r w:rsidRPr="000A34B5">
        <w:rPr>
          <w:rStyle w:val="italicus"/>
        </w:rPr>
        <w:t>Epis</w:t>
      </w:r>
      <w:r w:rsidR="003B53FD" w:rsidRPr="000A34B5">
        <w:rPr>
          <w:rStyle w:val="italicus"/>
        </w:rPr>
        <w:t>cop</w:t>
      </w:r>
      <w:r w:rsidR="003B53FD">
        <w:rPr>
          <w:rStyle w:val="italicus"/>
        </w:rPr>
        <w:t>á</w:t>
      </w:r>
      <w:r w:rsidR="003B53FD" w:rsidRPr="000A34B5">
        <w:rPr>
          <w:rStyle w:val="italicus"/>
        </w:rPr>
        <w:t>tum</w:t>
      </w:r>
      <w:r w:rsidRPr="002C4077">
        <w:t xml:space="preserve"> </w:t>
      </w:r>
      <w:r w:rsidRPr="000A34B5">
        <w:rPr>
          <w:rStyle w:val="italicus"/>
        </w:rPr>
        <w:t>ejus</w:t>
      </w:r>
      <w:r w:rsidRPr="002C4077">
        <w:t xml:space="preserve"> </w:t>
      </w:r>
      <w:r w:rsidR="0014099C" w:rsidRPr="000A34B5">
        <w:rPr>
          <w:rStyle w:val="italicus"/>
        </w:rPr>
        <w:t>accípiat</w:t>
      </w:r>
      <w:r w:rsidRPr="002C4077">
        <w:t xml:space="preserve"> </w:t>
      </w:r>
      <w:r w:rsidRPr="000A34B5">
        <w:rPr>
          <w:rStyle w:val="italicus"/>
        </w:rPr>
        <w:t>alter.</w:t>
      </w:r>
      <w:r w:rsidRPr="002C4077">
        <w:t xml:space="preserve"> </w:t>
      </w:r>
      <w:r>
        <w:t>Voici</w:t>
      </w:r>
      <w:r w:rsidRPr="002C4077">
        <w:t xml:space="preserve"> </w:t>
      </w:r>
      <w:r>
        <w:t>l’argument</w:t>
      </w:r>
      <w:r w:rsidRPr="002C4077">
        <w:t xml:space="preserve"> </w:t>
      </w:r>
      <w:r>
        <w:t>singulier</w:t>
      </w:r>
      <w:r w:rsidRPr="002C4077">
        <w:t xml:space="preserve"> </w:t>
      </w:r>
      <w:r>
        <w:t>que</w:t>
      </w:r>
      <w:r w:rsidRPr="002C4077">
        <w:t xml:space="preserve"> </w:t>
      </w:r>
      <w:r>
        <w:t>Cornélius</w:t>
      </w:r>
      <w:r w:rsidRPr="002C4077">
        <w:t xml:space="preserve"> </w:t>
      </w:r>
      <w:r>
        <w:t>construit</w:t>
      </w:r>
      <w:r w:rsidRPr="002C4077">
        <w:t xml:space="preserve"> </w:t>
      </w:r>
      <w:r>
        <w:t>sur</w:t>
      </w:r>
      <w:r w:rsidRPr="002C4077">
        <w:t xml:space="preserve"> </w:t>
      </w:r>
      <w:r>
        <w:t>ce</w:t>
      </w:r>
      <w:r w:rsidRPr="002C4077">
        <w:t xml:space="preserve"> </w:t>
      </w:r>
      <w:r>
        <w:t>texte.</w:t>
      </w:r>
      <w:r w:rsidRPr="002C4077">
        <w:t xml:space="preserve"> </w:t>
      </w:r>
      <w:r>
        <w:t>Lorsqu’il</w:t>
      </w:r>
      <w:r w:rsidRPr="002C4077">
        <w:t xml:space="preserve"> </w:t>
      </w:r>
      <w:r>
        <w:t>instituait</w:t>
      </w:r>
      <w:r w:rsidRPr="002C4077">
        <w:t xml:space="preserve"> </w:t>
      </w:r>
      <w:r>
        <w:t>l’adorable</w:t>
      </w:r>
      <w:r w:rsidRPr="002C4077">
        <w:t xml:space="preserve"> </w:t>
      </w:r>
      <w:r>
        <w:t>sacrement</w:t>
      </w:r>
      <w:r w:rsidRPr="002C4077">
        <w:t xml:space="preserve"> </w:t>
      </w:r>
      <w:r>
        <w:t>de</w:t>
      </w:r>
      <w:r w:rsidRPr="002C4077">
        <w:t xml:space="preserve"> </w:t>
      </w:r>
      <w:r>
        <w:t>l’autel,</w:t>
      </w:r>
      <w:r w:rsidRPr="002C4077">
        <w:t xml:space="preserve"> </w:t>
      </w:r>
      <w:r w:rsidR="00425C50">
        <w:t>Jésus</w:t>
      </w:r>
      <w:r w:rsidRPr="002C4077">
        <w:t xml:space="preserve"> </w:t>
      </w:r>
      <w:r>
        <w:t>dit</w:t>
      </w:r>
      <w:r w:rsidRPr="002C4077">
        <w:t xml:space="preserve"> </w:t>
      </w:r>
      <w:r>
        <w:t>à</w:t>
      </w:r>
      <w:r w:rsidRPr="002C4077">
        <w:t xml:space="preserve"> </w:t>
      </w:r>
      <w:r>
        <w:t>ses</w:t>
      </w:r>
      <w:r w:rsidRPr="002C4077">
        <w:t xml:space="preserve"> </w:t>
      </w:r>
      <w:r>
        <w:t>disciples</w:t>
      </w:r>
      <w:r w:rsidR="00B546AF">
        <w:t> :</w:t>
      </w:r>
      <w:r w:rsidRPr="002C4077">
        <w:t xml:space="preserve"> </w:t>
      </w:r>
      <w:r w:rsidR="00B546AF">
        <w:t>« </w:t>
      </w:r>
      <w:r>
        <w:t>Faites</w:t>
      </w:r>
      <w:r w:rsidRPr="002C4077">
        <w:t xml:space="preserve"> </w:t>
      </w:r>
      <w:r>
        <w:t>ceci</w:t>
      </w:r>
      <w:r w:rsidRPr="002C4077">
        <w:t xml:space="preserve"> </w:t>
      </w:r>
      <w:r>
        <w:t>en</w:t>
      </w:r>
      <w:r w:rsidRPr="002C4077">
        <w:t xml:space="preserve"> </w:t>
      </w:r>
      <w:r>
        <w:t>mémoire</w:t>
      </w:r>
      <w:r w:rsidRPr="002C4077">
        <w:t xml:space="preserve"> </w:t>
      </w:r>
      <w:r>
        <w:t>de</w:t>
      </w:r>
      <w:r w:rsidRPr="002C4077">
        <w:t xml:space="preserve"> </w:t>
      </w:r>
      <w:r>
        <w:t>moi</w:t>
      </w:r>
      <w:r w:rsidR="00B546AF">
        <w:t> » ;</w:t>
      </w:r>
      <w:r w:rsidRPr="002C4077">
        <w:t xml:space="preserve"> </w:t>
      </w:r>
      <w:r>
        <w:t>par</w:t>
      </w:r>
      <w:r w:rsidRPr="002C4077">
        <w:t xml:space="preserve"> </w:t>
      </w:r>
      <w:r>
        <w:t>ces</w:t>
      </w:r>
      <w:r w:rsidRPr="002C4077">
        <w:t xml:space="preserve"> </w:t>
      </w:r>
      <w:r>
        <w:t>paroles</w:t>
      </w:r>
      <w:r w:rsidRPr="002C4077">
        <w:t xml:space="preserve"> </w:t>
      </w:r>
      <w:r>
        <w:t>il</w:t>
      </w:r>
      <w:r w:rsidRPr="002C4077">
        <w:t xml:space="preserve"> </w:t>
      </w:r>
      <w:r>
        <w:t>les</w:t>
      </w:r>
      <w:r w:rsidRPr="002C4077">
        <w:t xml:space="preserve"> </w:t>
      </w:r>
      <w:r>
        <w:t>consacra</w:t>
      </w:r>
      <w:r w:rsidRPr="002C4077">
        <w:t xml:space="preserve"> </w:t>
      </w:r>
      <w:r w:rsidR="00425C50">
        <w:t>prêtre</w:t>
      </w:r>
      <w:r>
        <w:t>s</w:t>
      </w:r>
      <w:r w:rsidRPr="002C4077">
        <w:t xml:space="preserve"> </w:t>
      </w:r>
      <w:r>
        <w:t>et</w:t>
      </w:r>
      <w:r w:rsidR="00425C50" w:rsidRPr="002C4077">
        <w:t xml:space="preserve"> </w:t>
      </w:r>
      <w:r w:rsidR="00425C50">
        <w:t>évêques</w:t>
      </w:r>
      <w:r>
        <w:t>.</w:t>
      </w:r>
      <w:r w:rsidRPr="002C4077">
        <w:t xml:space="preserve"> </w:t>
      </w:r>
      <w:r>
        <w:t>Or</w:t>
      </w:r>
      <w:r w:rsidRPr="002C4077">
        <w:t xml:space="preserve"> </w:t>
      </w:r>
      <w:r>
        <w:t>saint</w:t>
      </w:r>
      <w:r w:rsidRPr="002C4077">
        <w:t xml:space="preserve"> </w:t>
      </w:r>
      <w:r>
        <w:t>Pierre</w:t>
      </w:r>
      <w:r w:rsidRPr="002C4077">
        <w:t xml:space="preserve"> </w:t>
      </w:r>
      <w:r>
        <w:t>parle</w:t>
      </w:r>
      <w:r w:rsidRPr="002C4077">
        <w:t xml:space="preserve"> </w:t>
      </w:r>
      <w:r>
        <w:t>du</w:t>
      </w:r>
      <w:r w:rsidRPr="002C4077">
        <w:t xml:space="preserve"> </w:t>
      </w:r>
      <w:r>
        <w:t>caractère</w:t>
      </w:r>
      <w:r w:rsidRPr="002C4077">
        <w:t xml:space="preserve"> </w:t>
      </w:r>
      <w:r w:rsidRPr="000A34B5">
        <w:rPr>
          <w:rStyle w:val="italicus"/>
        </w:rPr>
        <w:t>épiscopal</w:t>
      </w:r>
      <w:r w:rsidRPr="002C4077">
        <w:t xml:space="preserve"> </w:t>
      </w:r>
      <w:r>
        <w:t>de</w:t>
      </w:r>
      <w:r w:rsidRPr="002C4077">
        <w:t xml:space="preserve"> </w:t>
      </w:r>
      <w:r>
        <w:t>Judas,</w:t>
      </w:r>
      <w:r w:rsidRPr="002C4077">
        <w:t xml:space="preserve"> </w:t>
      </w:r>
      <w:r w:rsidR="0014099C" w:rsidRPr="009E536E">
        <w:t>τ</w:t>
      </w:r>
      <w:r w:rsidR="0014099C">
        <w:t>ὴ</w:t>
      </w:r>
      <w:r w:rsidR="0014099C" w:rsidRPr="009E536E">
        <w:t>ν</w:t>
      </w:r>
      <w:r w:rsidR="0014099C" w:rsidRPr="002C4077">
        <w:t xml:space="preserve"> </w:t>
      </w:r>
      <w:r w:rsidR="0014099C" w:rsidRPr="009E536E">
        <w:t>ἐπισκοπ</w:t>
      </w:r>
      <w:r w:rsidR="0014099C">
        <w:t>ὴ</w:t>
      </w:r>
      <w:r w:rsidR="0014099C" w:rsidRPr="009E536E">
        <w:t>ν</w:t>
      </w:r>
      <w:r w:rsidR="0014099C" w:rsidRPr="002C4077">
        <w:t xml:space="preserve"> </w:t>
      </w:r>
      <w:r w:rsidR="0014099C" w:rsidRPr="009E536E">
        <w:t>α</w:t>
      </w:r>
      <w:r w:rsidR="0014099C">
        <w:t>ὐ</w:t>
      </w:r>
      <w:r w:rsidR="0014099C" w:rsidRPr="009E536E">
        <w:t>τοῦ</w:t>
      </w:r>
      <w:r w:rsidR="0014099C" w:rsidRPr="004440EA">
        <w:t xml:space="preserve"> </w:t>
      </w:r>
      <w:r w:rsidRPr="004440EA">
        <w:t>(</w:t>
      </w:r>
      <w:r w:rsidR="00B546AF">
        <w:t> !</w:t>
      </w:r>
      <w:r w:rsidR="00B546AF" w:rsidRPr="002C4077">
        <w:t>)</w:t>
      </w:r>
      <w:r w:rsidRPr="00950016">
        <w:t>,</w:t>
      </w:r>
      <w:r w:rsidRPr="002C4077">
        <w:t xml:space="preserve"> </w:t>
      </w:r>
      <w:r>
        <w:t>caractère</w:t>
      </w:r>
      <w:r w:rsidRPr="002C4077">
        <w:t xml:space="preserve"> </w:t>
      </w:r>
      <w:r>
        <w:t>que</w:t>
      </w:r>
      <w:r w:rsidRPr="002C4077">
        <w:t xml:space="preserve"> </w:t>
      </w:r>
      <w:r>
        <w:t>le</w:t>
      </w:r>
      <w:r w:rsidRPr="002C4077">
        <w:t xml:space="preserve"> </w:t>
      </w:r>
      <w:r>
        <w:t>traître</w:t>
      </w:r>
      <w:r w:rsidRPr="002C4077">
        <w:t xml:space="preserve"> </w:t>
      </w:r>
      <w:r>
        <w:t>aura</w:t>
      </w:r>
      <w:r w:rsidRPr="002C4077">
        <w:t xml:space="preserve"> </w:t>
      </w:r>
      <w:r>
        <w:t>pu</w:t>
      </w:r>
      <w:r w:rsidRPr="002C4077">
        <w:t xml:space="preserve"> </w:t>
      </w:r>
      <w:r>
        <w:t>seulement</w:t>
      </w:r>
      <w:r w:rsidRPr="002C4077">
        <w:t xml:space="preserve"> </w:t>
      </w:r>
      <w:r>
        <w:t>recevoir</w:t>
      </w:r>
      <w:r w:rsidRPr="002C4077">
        <w:t xml:space="preserve"> </w:t>
      </w:r>
      <w:r>
        <w:t>à</w:t>
      </w:r>
      <w:r w:rsidRPr="002C4077">
        <w:t xml:space="preserve"> </w:t>
      </w:r>
      <w:r>
        <w:t>l’institution</w:t>
      </w:r>
      <w:r w:rsidRPr="002C4077">
        <w:t xml:space="preserve"> </w:t>
      </w:r>
      <w:r>
        <w:t>de</w:t>
      </w:r>
      <w:r w:rsidRPr="002C4077">
        <w:t xml:space="preserve"> </w:t>
      </w:r>
      <w:r>
        <w:t>l’Eucharistie</w:t>
      </w:r>
      <w:r w:rsidR="00B546AF">
        <w:t> :</w:t>
      </w:r>
      <w:r w:rsidRPr="002C4077">
        <w:t xml:space="preserve"> </w:t>
      </w:r>
      <w:r>
        <w:t>donc</w:t>
      </w:r>
      <w:r w:rsidRPr="002C4077">
        <w:t xml:space="preserve"> </w:t>
      </w:r>
      <w:r>
        <w:t>il</w:t>
      </w:r>
      <w:r w:rsidRPr="002C4077">
        <w:t xml:space="preserve"> </w:t>
      </w:r>
      <w:r>
        <w:t>dut</w:t>
      </w:r>
      <w:r w:rsidRPr="002C4077">
        <w:t xml:space="preserve"> </w:t>
      </w:r>
      <w:r>
        <w:t>y</w:t>
      </w:r>
      <w:r w:rsidRPr="002C4077">
        <w:t xml:space="preserve"> </w:t>
      </w:r>
      <w:r>
        <w:t>participer.</w:t>
      </w:r>
      <w:r w:rsidRPr="002C4077">
        <w:t xml:space="preserve"> </w:t>
      </w:r>
      <w:r>
        <w:t>—</w:t>
      </w:r>
      <w:r w:rsidRPr="002C4077">
        <w:t xml:space="preserve"> </w:t>
      </w:r>
      <w:r>
        <w:t>C’est</w:t>
      </w:r>
      <w:r w:rsidRPr="002C4077">
        <w:t xml:space="preserve"> </w:t>
      </w:r>
      <w:r>
        <w:t>assurément</w:t>
      </w:r>
      <w:r w:rsidRPr="002C4077">
        <w:t xml:space="preserve"> </w:t>
      </w:r>
      <w:r>
        <w:t>là</w:t>
      </w:r>
      <w:r w:rsidRPr="002C4077">
        <w:t xml:space="preserve"> </w:t>
      </w:r>
      <w:r>
        <w:t>le</w:t>
      </w:r>
      <w:r w:rsidRPr="002C4077">
        <w:t xml:space="preserve"> </w:t>
      </w:r>
      <w:r>
        <w:t>lieu</w:t>
      </w:r>
      <w:r w:rsidRPr="002C4077">
        <w:t xml:space="preserve"> </w:t>
      </w:r>
      <w:r>
        <w:t>de</w:t>
      </w:r>
      <w:r w:rsidRPr="002C4077">
        <w:t xml:space="preserve"> </w:t>
      </w:r>
      <w:r>
        <w:t>s’écrier</w:t>
      </w:r>
      <w:r w:rsidRPr="002C4077">
        <w:t xml:space="preserve"> </w:t>
      </w:r>
      <w:r>
        <w:t>avec</w:t>
      </w:r>
      <w:r w:rsidRPr="002C4077">
        <w:t xml:space="preserve"> </w:t>
      </w:r>
      <w:r>
        <w:t>Horace</w:t>
      </w:r>
      <w:r w:rsidR="00B546AF">
        <w:t> :</w:t>
      </w:r>
      <w:r w:rsidRPr="002C4077">
        <w:t xml:space="preserve"> </w:t>
      </w:r>
      <w:r w:rsidR="003B5C82" w:rsidRPr="000A34B5">
        <w:rPr>
          <w:rStyle w:val="italicus"/>
        </w:rPr>
        <w:t>Quandóque</w:t>
      </w:r>
      <w:r w:rsidRPr="002C4077">
        <w:t xml:space="preserve"> </w:t>
      </w:r>
      <w:r w:rsidRPr="000A34B5">
        <w:rPr>
          <w:rStyle w:val="italicus"/>
        </w:rPr>
        <w:t>bonus</w:t>
      </w:r>
      <w:r w:rsidRPr="002C4077">
        <w:t xml:space="preserve"> </w:t>
      </w:r>
      <w:r w:rsidR="003B5C82" w:rsidRPr="000A34B5">
        <w:rPr>
          <w:rStyle w:val="italicus"/>
        </w:rPr>
        <w:t>dormítat</w:t>
      </w:r>
      <w:r w:rsidRPr="002C4077">
        <w:t xml:space="preserve"> </w:t>
      </w:r>
      <w:r w:rsidRPr="000A34B5">
        <w:rPr>
          <w:rStyle w:val="italicus"/>
        </w:rPr>
        <w:t>Hom</w:t>
      </w:r>
      <w:r w:rsidR="003B5C82">
        <w:rPr>
          <w:rStyle w:val="italicus"/>
        </w:rPr>
        <w:t>é</w:t>
      </w:r>
      <w:r w:rsidRPr="000A34B5">
        <w:rPr>
          <w:rStyle w:val="italicus"/>
        </w:rPr>
        <w:t>rus</w:t>
      </w:r>
      <w:r w:rsidR="00B546AF">
        <w:rPr>
          <w:rStyle w:val="italicus"/>
        </w:rPr>
        <w:t> </w:t>
      </w:r>
      <w:r w:rsidR="00B546AF" w:rsidRPr="000A34B5">
        <w:rPr>
          <w:rStyle w:val="italicus"/>
        </w:rPr>
        <w:t>!</w:t>
      </w:r>
      <w:r w:rsidRPr="002C4077">
        <w:t xml:space="preserve"> </w:t>
      </w:r>
      <w:r>
        <w:t>L’argument</w:t>
      </w:r>
      <w:r w:rsidRPr="002C4077">
        <w:t xml:space="preserve"> </w:t>
      </w:r>
      <w:r>
        <w:t>ne</w:t>
      </w:r>
      <w:r w:rsidRPr="002C4077">
        <w:t xml:space="preserve"> </w:t>
      </w:r>
      <w:r>
        <w:t>mérite</w:t>
      </w:r>
      <w:r w:rsidRPr="002C4077">
        <w:t xml:space="preserve"> </w:t>
      </w:r>
      <w:r>
        <w:t>pas</w:t>
      </w:r>
      <w:r w:rsidRPr="002C4077">
        <w:t xml:space="preserve"> </w:t>
      </w:r>
      <w:r>
        <w:t>d’autre</w:t>
      </w:r>
      <w:bookmarkStart w:id="779" w:name="z_JudasEtEucharistie_o5"/>
      <w:bookmarkEnd w:id="779"/>
      <w:r w:rsidRPr="002C4077">
        <w:t xml:space="preserve"> </w:t>
      </w:r>
      <w:r>
        <w:t>réfutation.</w:t>
      </w:r>
      <w:r w:rsidRPr="002C4077">
        <w:t xml:space="preserve"> </w:t>
      </w:r>
    </w:p>
    <w:p w:rsidR="005539D9" w:rsidRDefault="005539D9" w:rsidP="000A7AAB"/>
    <w:p w:rsidR="000A7AAB" w:rsidRDefault="000A7AAB" w:rsidP="000A7AAB">
      <w:r>
        <w:t>Cependant,</w:t>
      </w:r>
      <w:bookmarkStart w:id="780" w:name="z_ArgumentDeTradition_o1"/>
      <w:bookmarkEnd w:id="780"/>
      <w:r w:rsidRPr="002C4077">
        <w:t xml:space="preserve"> </w:t>
      </w:r>
      <w:r>
        <w:t>si</w:t>
      </w:r>
      <w:bookmarkStart w:id="781" w:name="z_JudasEtEucharistie_o6"/>
      <w:bookmarkEnd w:id="781"/>
      <w:r w:rsidRPr="002C4077">
        <w:t xml:space="preserve"> </w:t>
      </w:r>
      <w:r>
        <w:t>nous</w:t>
      </w:r>
      <w:r w:rsidRPr="002C4077">
        <w:t xml:space="preserve"> </w:t>
      </w:r>
      <w:r>
        <w:t>croyons</w:t>
      </w:r>
      <w:r w:rsidRPr="002C4077">
        <w:t xml:space="preserve"> </w:t>
      </w:r>
      <w:r>
        <w:t>être</w:t>
      </w:r>
      <w:r w:rsidRPr="002C4077">
        <w:t xml:space="preserve"> </w:t>
      </w:r>
      <w:r>
        <w:t>en</w:t>
      </w:r>
      <w:r w:rsidRPr="002C4077">
        <w:t xml:space="preserve"> </w:t>
      </w:r>
      <w:r>
        <w:t>droit</w:t>
      </w:r>
      <w:r w:rsidRPr="002C4077">
        <w:t xml:space="preserve"> </w:t>
      </w:r>
      <w:r>
        <w:t>de</w:t>
      </w:r>
      <w:r w:rsidRPr="002C4077">
        <w:t xml:space="preserve"> </w:t>
      </w:r>
      <w:r>
        <w:t>penser</w:t>
      </w:r>
      <w:r w:rsidRPr="002C4077">
        <w:t xml:space="preserve"> </w:t>
      </w:r>
      <w:r>
        <w:t>que</w:t>
      </w:r>
      <w:r w:rsidRPr="002C4077">
        <w:t xml:space="preserve"> </w:t>
      </w:r>
      <w:r>
        <w:t>notre</w:t>
      </w:r>
      <w:r w:rsidRPr="002C4077">
        <w:t xml:space="preserve"> </w:t>
      </w:r>
      <w:r>
        <w:t>sentiment</w:t>
      </w:r>
      <w:r w:rsidRPr="002C4077">
        <w:t xml:space="preserve"> </w:t>
      </w:r>
      <w:r w:rsidR="00425C50">
        <w:t>est</w:t>
      </w:r>
      <w:r w:rsidRPr="002C4077">
        <w:t xml:space="preserve"> </w:t>
      </w:r>
      <w:r>
        <w:t>plus</w:t>
      </w:r>
      <w:r w:rsidRPr="002C4077">
        <w:t xml:space="preserve"> </w:t>
      </w:r>
      <w:r>
        <w:t>favorisé</w:t>
      </w:r>
      <w:r w:rsidRPr="002C4077">
        <w:t xml:space="preserve"> </w:t>
      </w:r>
      <w:r>
        <w:t>par</w:t>
      </w:r>
      <w:r w:rsidRPr="002C4077">
        <w:t xml:space="preserve"> </w:t>
      </w:r>
      <w:r>
        <w:t>les</w:t>
      </w:r>
      <w:r w:rsidRPr="002C4077">
        <w:t xml:space="preserve"> </w:t>
      </w:r>
      <w:r>
        <w:t>textes</w:t>
      </w:r>
      <w:r w:rsidRPr="002C4077">
        <w:t xml:space="preserve"> </w:t>
      </w:r>
      <w:r>
        <w:t>évangéliques</w:t>
      </w:r>
      <w:r w:rsidRPr="002C4077">
        <w:t xml:space="preserve"> </w:t>
      </w:r>
      <w:r>
        <w:t>quand</w:t>
      </w:r>
      <w:r w:rsidRPr="002C4077">
        <w:t xml:space="preserve"> </w:t>
      </w:r>
      <w:r>
        <w:t>ils</w:t>
      </w:r>
      <w:r w:rsidRPr="002C4077">
        <w:t xml:space="preserve"> </w:t>
      </w:r>
      <w:r>
        <w:t>sont</w:t>
      </w:r>
      <w:r w:rsidRPr="002C4077">
        <w:t xml:space="preserve"> </w:t>
      </w:r>
      <w:r>
        <w:t>légitimement</w:t>
      </w:r>
      <w:r w:rsidRPr="002C4077">
        <w:t xml:space="preserve"> </w:t>
      </w:r>
      <w:r>
        <w:t>interprétés,</w:t>
      </w:r>
      <w:r w:rsidRPr="002C4077">
        <w:t xml:space="preserve"> </w:t>
      </w:r>
      <w:r>
        <w:t>nous</w:t>
      </w:r>
      <w:r w:rsidRPr="002C4077">
        <w:t xml:space="preserve"> </w:t>
      </w:r>
      <w:r>
        <w:t>devons</w:t>
      </w:r>
      <w:r w:rsidRPr="002C4077">
        <w:t xml:space="preserve"> </w:t>
      </w:r>
      <w:r>
        <w:t>reconnaître</w:t>
      </w:r>
      <w:r w:rsidRPr="002C4077">
        <w:t xml:space="preserve"> </w:t>
      </w:r>
      <w:r>
        <w:t>que</w:t>
      </w:r>
      <w:r w:rsidRPr="002C4077">
        <w:t xml:space="preserve"> </w:t>
      </w:r>
      <w:r>
        <w:t>les</w:t>
      </w:r>
      <w:r w:rsidRPr="002C4077">
        <w:t xml:space="preserve"> </w:t>
      </w:r>
      <w:r>
        <w:t>partisans</w:t>
      </w:r>
      <w:r w:rsidRPr="002C4077">
        <w:t xml:space="preserve"> </w:t>
      </w:r>
      <w:r>
        <w:t>de</w:t>
      </w:r>
      <w:r w:rsidRPr="002C4077">
        <w:t xml:space="preserve"> </w:t>
      </w:r>
      <w:r>
        <w:t>l’opinion</w:t>
      </w:r>
      <w:r w:rsidRPr="002C4077">
        <w:t xml:space="preserve"> </w:t>
      </w:r>
      <w:r>
        <w:t>contraire</w:t>
      </w:r>
      <w:r w:rsidRPr="002C4077">
        <w:t xml:space="preserve"> </w:t>
      </w:r>
      <w:r>
        <w:t>ont</w:t>
      </w:r>
      <w:r w:rsidRPr="002C4077">
        <w:t xml:space="preserve"> </w:t>
      </w:r>
      <w:r>
        <w:t>l’avantage</w:t>
      </w:r>
      <w:r w:rsidRPr="002C4077">
        <w:t xml:space="preserve"> </w:t>
      </w:r>
      <w:r>
        <w:t>lorsqu’il</w:t>
      </w:r>
      <w:r w:rsidRPr="002C4077">
        <w:t xml:space="preserve"> </w:t>
      </w:r>
      <w:r>
        <w:t>s’agit</w:t>
      </w:r>
      <w:r w:rsidRPr="002C4077">
        <w:t xml:space="preserve"> </w:t>
      </w:r>
      <w:r>
        <w:t>de</w:t>
      </w:r>
      <w:r w:rsidRPr="002C4077">
        <w:t xml:space="preserve"> </w:t>
      </w:r>
      <w:r>
        <w:t>la</w:t>
      </w:r>
      <w:r w:rsidRPr="002C4077">
        <w:t xml:space="preserve"> </w:t>
      </w:r>
      <w:r>
        <w:t>tradition.</w:t>
      </w:r>
      <w:r w:rsidRPr="002C4077">
        <w:t xml:space="preserve"> </w:t>
      </w:r>
      <w:r>
        <w:t>Tous</w:t>
      </w:r>
      <w:r w:rsidRPr="002C4077">
        <w:t xml:space="preserve"> </w:t>
      </w:r>
      <w:r>
        <w:t>les</w:t>
      </w:r>
      <w:r w:rsidRPr="002C4077">
        <w:t xml:space="preserve"> </w:t>
      </w:r>
      <w:r>
        <w:t>Pères</w:t>
      </w:r>
      <w:bookmarkStart w:id="782" w:name="z_TraditionJudas_o1"/>
      <w:bookmarkEnd w:id="782"/>
      <w:r>
        <w:t>,</w:t>
      </w:r>
      <w:r w:rsidRPr="002C4077">
        <w:t xml:space="preserve"> </w:t>
      </w:r>
      <w:r>
        <w:t>ou</w:t>
      </w:r>
      <w:r w:rsidRPr="002C4077">
        <w:t xml:space="preserve"> </w:t>
      </w:r>
      <w:r>
        <w:t>du</w:t>
      </w:r>
      <w:r w:rsidRPr="002C4077">
        <w:t xml:space="preserve"> </w:t>
      </w:r>
      <w:r>
        <w:t>moins</w:t>
      </w:r>
      <w:r w:rsidRPr="002C4077">
        <w:t xml:space="preserve"> </w:t>
      </w:r>
      <w:r>
        <w:t>presque</w:t>
      </w:r>
      <w:r w:rsidRPr="002C4077">
        <w:t xml:space="preserve"> </w:t>
      </w:r>
      <w:r>
        <w:t>tous</w:t>
      </w:r>
      <w:r w:rsidRPr="002C4077">
        <w:t xml:space="preserve"> </w:t>
      </w:r>
      <w:r>
        <w:t>les</w:t>
      </w:r>
      <w:r w:rsidRPr="002C4077">
        <w:t xml:space="preserve"> </w:t>
      </w:r>
      <w:r>
        <w:t>Pères</w:t>
      </w:r>
      <w:r w:rsidRPr="002C4077">
        <w:t xml:space="preserve"> </w:t>
      </w:r>
      <w:r>
        <w:t>sont</w:t>
      </w:r>
      <w:r w:rsidRPr="002C4077">
        <w:t xml:space="preserve"> </w:t>
      </w:r>
      <w:r>
        <w:t>avec</w:t>
      </w:r>
      <w:r w:rsidRPr="002C4077">
        <w:t xml:space="preserve"> </w:t>
      </w:r>
      <w:r>
        <w:t>eux.</w:t>
      </w:r>
      <w:r w:rsidRPr="002C4077">
        <w:t xml:space="preserve"> </w:t>
      </w:r>
      <w:r>
        <w:t>De</w:t>
      </w:r>
      <w:r w:rsidRPr="002C4077">
        <w:t xml:space="preserve"> </w:t>
      </w:r>
      <w:r>
        <w:t>même,</w:t>
      </w:r>
      <w:r w:rsidRPr="002C4077">
        <w:t xml:space="preserve"> </w:t>
      </w:r>
      <w:r>
        <w:t>la</w:t>
      </w:r>
      <w:r w:rsidRPr="002C4077">
        <w:t xml:space="preserve"> </w:t>
      </w:r>
      <w:r>
        <w:t>plupart</w:t>
      </w:r>
      <w:r w:rsidRPr="002C4077">
        <w:t xml:space="preserve"> </w:t>
      </w:r>
      <w:r>
        <w:t>des</w:t>
      </w:r>
      <w:r w:rsidRPr="002C4077">
        <w:t xml:space="preserve"> </w:t>
      </w:r>
      <w:r>
        <w:t>théologiens,</w:t>
      </w:r>
      <w:r w:rsidRPr="002C4077">
        <w:t xml:space="preserve"> </w:t>
      </w:r>
      <w:r>
        <w:t>jusqu’à</w:t>
      </w:r>
      <w:r w:rsidRPr="002C4077">
        <w:t xml:space="preserve"> </w:t>
      </w:r>
      <w:r>
        <w:t>ces</w:t>
      </w:r>
      <w:r w:rsidRPr="002C4077">
        <w:t xml:space="preserve"> </w:t>
      </w:r>
      <w:r>
        <w:t>derniers</w:t>
      </w:r>
      <w:r w:rsidRPr="002C4077">
        <w:t xml:space="preserve"> </w:t>
      </w:r>
      <w:r>
        <w:t>temps,</w:t>
      </w:r>
      <w:r w:rsidRPr="002C4077">
        <w:t xml:space="preserve"> </w:t>
      </w:r>
      <w:r>
        <w:t>ont</w:t>
      </w:r>
      <w:r w:rsidRPr="002C4077">
        <w:t xml:space="preserve"> </w:t>
      </w:r>
      <w:r>
        <w:t>soutenu</w:t>
      </w:r>
      <w:r w:rsidRPr="002C4077">
        <w:t xml:space="preserve"> </w:t>
      </w:r>
      <w:r>
        <w:t>la</w:t>
      </w:r>
      <w:r w:rsidRPr="002C4077">
        <w:t xml:space="preserve"> </w:t>
      </w:r>
      <w:r>
        <w:t>présence</w:t>
      </w:r>
      <w:r w:rsidRPr="002C4077">
        <w:t xml:space="preserve"> </w:t>
      </w:r>
      <w:r>
        <w:t>de</w:t>
      </w:r>
      <w:r w:rsidRPr="002C4077">
        <w:t xml:space="preserve"> </w:t>
      </w:r>
      <w:r>
        <w:t>Judas</w:t>
      </w:r>
      <w:r w:rsidRPr="002C4077">
        <w:t xml:space="preserve"> </w:t>
      </w:r>
      <w:r>
        <w:t>à</w:t>
      </w:r>
      <w:r w:rsidRPr="002C4077">
        <w:t xml:space="preserve"> </w:t>
      </w:r>
      <w:r>
        <w:t>la</w:t>
      </w:r>
      <w:r w:rsidRPr="002C4077">
        <w:t xml:space="preserve"> </w:t>
      </w:r>
      <w:r>
        <w:t>cène</w:t>
      </w:r>
      <w:r w:rsidRPr="002C4077">
        <w:t xml:space="preserve"> </w:t>
      </w:r>
      <w:r>
        <w:t>eucharistique.</w:t>
      </w:r>
      <w:r w:rsidRPr="002C4077">
        <w:t xml:space="preserve"> </w:t>
      </w:r>
    </w:p>
    <w:p w:rsidR="000A7AAB" w:rsidRDefault="000A7AAB" w:rsidP="000A7AAB">
      <w:r>
        <w:t>Cette</w:t>
      </w:r>
      <w:r w:rsidRPr="002C4077">
        <w:t xml:space="preserve"> </w:t>
      </w:r>
      <w:r>
        <w:t>nuée</w:t>
      </w:r>
      <w:r w:rsidRPr="002C4077">
        <w:t xml:space="preserve"> </w:t>
      </w:r>
      <w:r>
        <w:t>de</w:t>
      </w:r>
      <w:r w:rsidRPr="002C4077">
        <w:t xml:space="preserve"> </w:t>
      </w:r>
      <w:r>
        <w:t>témoins</w:t>
      </w:r>
      <w:r w:rsidRPr="002C4077">
        <w:t xml:space="preserve"> </w:t>
      </w:r>
      <w:r>
        <w:t>n’est-elle</w:t>
      </w:r>
      <w:r w:rsidRPr="002C4077">
        <w:t xml:space="preserve"> </w:t>
      </w:r>
      <w:r>
        <w:t>pas</w:t>
      </w:r>
      <w:r w:rsidRPr="002C4077">
        <w:t xml:space="preserve"> </w:t>
      </w:r>
      <w:r>
        <w:t>écrasante</w:t>
      </w:r>
      <w:r w:rsidR="00B546AF">
        <w:t> ?</w:t>
      </w:r>
      <w:r w:rsidRPr="002C4077">
        <w:t xml:space="preserve"> </w:t>
      </w:r>
      <w:r>
        <w:t>Qu’on</w:t>
      </w:r>
      <w:r w:rsidRPr="002C4077">
        <w:t xml:space="preserve"> </w:t>
      </w:r>
      <w:r>
        <w:t>nous</w:t>
      </w:r>
      <w:r w:rsidRPr="002C4077">
        <w:t xml:space="preserve"> </w:t>
      </w:r>
      <w:r>
        <w:t>permette</w:t>
      </w:r>
      <w:r w:rsidRPr="002C4077">
        <w:t xml:space="preserve"> </w:t>
      </w:r>
      <w:r>
        <w:t>de</w:t>
      </w:r>
      <w:r w:rsidRPr="002C4077">
        <w:t xml:space="preserve"> </w:t>
      </w:r>
      <w:r>
        <w:t>le</w:t>
      </w:r>
      <w:r w:rsidRPr="002C4077">
        <w:t xml:space="preserve"> </w:t>
      </w:r>
      <w:r>
        <w:t>dire</w:t>
      </w:r>
      <w:r w:rsidR="00B546AF">
        <w:t> :</w:t>
      </w:r>
      <w:r w:rsidRPr="002C4077">
        <w:t xml:space="preserve"> </w:t>
      </w:r>
      <w:r>
        <w:t>Il</w:t>
      </w:r>
      <w:r w:rsidRPr="002C4077">
        <w:t xml:space="preserve"> </w:t>
      </w:r>
      <w:r>
        <w:t>ne</w:t>
      </w:r>
      <w:r w:rsidRPr="002C4077">
        <w:t xml:space="preserve"> </w:t>
      </w:r>
      <w:r>
        <w:t>nous</w:t>
      </w:r>
      <w:r w:rsidRPr="002C4077">
        <w:t xml:space="preserve"> </w:t>
      </w:r>
      <w:r>
        <w:t>semble</w:t>
      </w:r>
      <w:r w:rsidRPr="002C4077">
        <w:t xml:space="preserve"> </w:t>
      </w:r>
      <w:r>
        <w:t>pas.</w:t>
      </w:r>
      <w:r w:rsidRPr="002C4077">
        <w:t xml:space="preserve"> </w:t>
      </w:r>
    </w:p>
    <w:p w:rsidR="000A7AAB" w:rsidRDefault="000A7AAB" w:rsidP="000A7AAB">
      <w:r>
        <w:t>Assurément,</w:t>
      </w:r>
      <w:r w:rsidRPr="002C4077">
        <w:t xml:space="preserve"> </w:t>
      </w:r>
      <w:r>
        <w:t>et</w:t>
      </w:r>
      <w:r w:rsidRPr="002C4077">
        <w:t xml:space="preserve"> </w:t>
      </w:r>
      <w:r>
        <w:t>il</w:t>
      </w:r>
      <w:r w:rsidRPr="002C4077">
        <w:t xml:space="preserve"> </w:t>
      </w:r>
      <w:r>
        <w:t>serait</w:t>
      </w:r>
      <w:r w:rsidRPr="002C4077">
        <w:t xml:space="preserve"> </w:t>
      </w:r>
      <w:r>
        <w:t>plus</w:t>
      </w:r>
      <w:r w:rsidRPr="002C4077">
        <w:t xml:space="preserve"> </w:t>
      </w:r>
      <w:r>
        <w:t>que</w:t>
      </w:r>
      <w:r w:rsidRPr="002C4077">
        <w:t xml:space="preserve"> </w:t>
      </w:r>
      <w:r>
        <w:t>téméraire</w:t>
      </w:r>
      <w:r w:rsidRPr="002C4077">
        <w:t xml:space="preserve"> </w:t>
      </w:r>
      <w:r>
        <w:t>d’en</w:t>
      </w:r>
      <w:r w:rsidRPr="002C4077">
        <w:t xml:space="preserve"> </w:t>
      </w:r>
      <w:r>
        <w:t>douter,</w:t>
      </w:r>
      <w:r w:rsidRPr="002C4077">
        <w:t xml:space="preserve"> </w:t>
      </w:r>
      <w:r>
        <w:t>le</w:t>
      </w:r>
      <w:r w:rsidRPr="002C4077">
        <w:t xml:space="preserve"> </w:t>
      </w:r>
      <w:r>
        <w:t>témoignage</w:t>
      </w:r>
      <w:r w:rsidRPr="002C4077">
        <w:t xml:space="preserve"> </w:t>
      </w:r>
      <w:r>
        <w:t>des</w:t>
      </w:r>
      <w:r w:rsidRPr="002C4077">
        <w:t xml:space="preserve"> </w:t>
      </w:r>
      <w:r>
        <w:t>Saints</w:t>
      </w:r>
      <w:r w:rsidRPr="002C4077">
        <w:t xml:space="preserve"> </w:t>
      </w:r>
      <w:r>
        <w:t>Pères</w:t>
      </w:r>
      <w:r w:rsidRPr="002C4077">
        <w:t xml:space="preserve"> </w:t>
      </w:r>
      <w:r>
        <w:t>et</w:t>
      </w:r>
      <w:r w:rsidRPr="002C4077">
        <w:t xml:space="preserve"> </w:t>
      </w:r>
      <w:r>
        <w:t>des</w:t>
      </w:r>
      <w:r w:rsidRPr="002C4077">
        <w:t xml:space="preserve"> </w:t>
      </w:r>
      <w:r>
        <w:t>Docteurs,</w:t>
      </w:r>
      <w:r w:rsidRPr="002C4077">
        <w:t xml:space="preserve"> </w:t>
      </w:r>
      <w:r>
        <w:t>surtout</w:t>
      </w:r>
      <w:r w:rsidRPr="002C4077">
        <w:t xml:space="preserve"> </w:t>
      </w:r>
      <w:r>
        <w:t>lorsqu’il</w:t>
      </w:r>
      <w:r w:rsidRPr="002C4077">
        <w:t xml:space="preserve"> </w:t>
      </w:r>
      <w:r w:rsidR="00425C50">
        <w:t>est</w:t>
      </w:r>
      <w:r w:rsidRPr="002C4077">
        <w:t xml:space="preserve"> </w:t>
      </w:r>
      <w:r>
        <w:t>général,</w:t>
      </w:r>
      <w:r w:rsidRPr="002C4077">
        <w:t xml:space="preserve"> </w:t>
      </w:r>
      <w:r w:rsidR="00425C50">
        <w:t>est</w:t>
      </w:r>
      <w:r>
        <w:t>,</w:t>
      </w:r>
      <w:r w:rsidRPr="002C4077">
        <w:t xml:space="preserve"> </w:t>
      </w:r>
      <w:r>
        <w:t>après</w:t>
      </w:r>
      <w:r w:rsidRPr="002C4077">
        <w:t xml:space="preserve"> </w:t>
      </w:r>
      <w:r>
        <w:t>l’Écriture,</w:t>
      </w:r>
      <w:r w:rsidRPr="002C4077">
        <w:t xml:space="preserve"> </w:t>
      </w:r>
      <w:r>
        <w:t>l’</w:t>
      </w:r>
      <w:r w:rsidR="003B53FD">
        <w:t>appui</w:t>
      </w:r>
      <w:r w:rsidRPr="002C4077">
        <w:t xml:space="preserve"> </w:t>
      </w:r>
      <w:r>
        <w:t>le</w:t>
      </w:r>
      <w:r w:rsidRPr="002C4077">
        <w:t xml:space="preserve"> </w:t>
      </w:r>
      <w:r>
        <w:t>plus</w:t>
      </w:r>
      <w:r w:rsidRPr="002C4077">
        <w:t xml:space="preserve"> </w:t>
      </w:r>
      <w:r>
        <w:t>solide</w:t>
      </w:r>
      <w:r w:rsidRPr="002C4077">
        <w:t xml:space="preserve"> </w:t>
      </w:r>
      <w:r>
        <w:t>pour</w:t>
      </w:r>
      <w:r w:rsidRPr="002C4077">
        <w:t xml:space="preserve"> </w:t>
      </w:r>
      <w:r>
        <w:t>une</w:t>
      </w:r>
      <w:r w:rsidRPr="002C4077">
        <w:t xml:space="preserve"> </w:t>
      </w:r>
      <w:r>
        <w:t>opinion.</w:t>
      </w:r>
      <w:r w:rsidR="00C45B47">
        <w:t xml:space="preserve"> {</w:t>
      </w:r>
      <w:r w:rsidR="005E2129">
        <w:t>321</w:t>
      </w:r>
      <w:bookmarkStart w:id="783" w:name="p321"/>
      <w:bookmarkEnd w:id="783"/>
      <w:r w:rsidR="005E2129">
        <w:t xml:space="preserve">} </w:t>
      </w:r>
      <w:r>
        <w:t>Aussi</w:t>
      </w:r>
      <w:r w:rsidRPr="002C4077">
        <w:t xml:space="preserve"> </w:t>
      </w:r>
      <w:r>
        <w:t>cet</w:t>
      </w:r>
      <w:r w:rsidRPr="002C4077">
        <w:t xml:space="preserve"> </w:t>
      </w:r>
      <w:r>
        <w:t>argument</w:t>
      </w:r>
      <w:r w:rsidRPr="002C4077">
        <w:t xml:space="preserve"> </w:t>
      </w:r>
      <w:r>
        <w:t>de</w:t>
      </w:r>
      <w:r w:rsidRPr="002C4077">
        <w:t xml:space="preserve"> </w:t>
      </w:r>
      <w:r>
        <w:t>tradition</w:t>
      </w:r>
      <w:r w:rsidRPr="002C4077">
        <w:t xml:space="preserve"> </w:t>
      </w:r>
      <w:r w:rsidR="00425C50">
        <w:t>est</w:t>
      </w:r>
      <w:r>
        <w:t>-il,</w:t>
      </w:r>
      <w:r w:rsidRPr="002C4077">
        <w:t xml:space="preserve"> </w:t>
      </w:r>
      <w:r>
        <w:t>selon</w:t>
      </w:r>
      <w:r w:rsidRPr="002C4077">
        <w:t xml:space="preserve"> </w:t>
      </w:r>
      <w:r>
        <w:t>nous,</w:t>
      </w:r>
      <w:r w:rsidRPr="002C4077">
        <w:t xml:space="preserve"> </w:t>
      </w:r>
      <w:r>
        <w:t>le</w:t>
      </w:r>
      <w:r w:rsidRPr="002C4077">
        <w:t xml:space="preserve"> </w:t>
      </w:r>
      <w:r>
        <w:t>plus</w:t>
      </w:r>
      <w:r w:rsidRPr="002C4077">
        <w:t xml:space="preserve"> </w:t>
      </w:r>
      <w:r>
        <w:t>fort</w:t>
      </w:r>
      <w:r w:rsidRPr="002C4077">
        <w:t xml:space="preserve"> </w:t>
      </w:r>
      <w:r>
        <w:t>que</w:t>
      </w:r>
      <w:r w:rsidRPr="002C4077">
        <w:t xml:space="preserve"> </w:t>
      </w:r>
      <w:r>
        <w:t>l’on</w:t>
      </w:r>
      <w:r w:rsidRPr="002C4077">
        <w:t xml:space="preserve"> </w:t>
      </w:r>
      <w:r>
        <w:t>puisse</w:t>
      </w:r>
      <w:r w:rsidRPr="002C4077">
        <w:t xml:space="preserve"> </w:t>
      </w:r>
      <w:r>
        <w:t>apporter</w:t>
      </w:r>
      <w:r w:rsidRPr="002C4077">
        <w:t xml:space="preserve"> </w:t>
      </w:r>
      <w:r>
        <w:t>en</w:t>
      </w:r>
      <w:r w:rsidRPr="002C4077">
        <w:t xml:space="preserve"> </w:t>
      </w:r>
      <w:r>
        <w:t>faveur</w:t>
      </w:r>
      <w:r w:rsidRPr="002C4077">
        <w:t xml:space="preserve"> </w:t>
      </w:r>
      <w:r>
        <w:t>de</w:t>
      </w:r>
      <w:r w:rsidRPr="002C4077">
        <w:t xml:space="preserve"> </w:t>
      </w:r>
      <w:r>
        <w:t>la</w:t>
      </w:r>
      <w:r w:rsidRPr="002C4077">
        <w:t xml:space="preserve"> </w:t>
      </w:r>
      <w:r>
        <w:t>thèse</w:t>
      </w:r>
      <w:r w:rsidRPr="002C4077">
        <w:t xml:space="preserve"> </w:t>
      </w:r>
      <w:r>
        <w:t>opposée</w:t>
      </w:r>
      <w:r w:rsidRPr="002C4077">
        <w:t xml:space="preserve"> </w:t>
      </w:r>
      <w:r>
        <w:t>à</w:t>
      </w:r>
      <w:r w:rsidRPr="002C4077">
        <w:t xml:space="preserve"> </w:t>
      </w:r>
      <w:r>
        <w:t>la</w:t>
      </w:r>
      <w:r w:rsidRPr="002C4077">
        <w:t xml:space="preserve"> </w:t>
      </w:r>
      <w:r>
        <w:t>nôtre.</w:t>
      </w:r>
      <w:r w:rsidRPr="002C4077">
        <w:t xml:space="preserve"> </w:t>
      </w:r>
      <w:r>
        <w:t>Néanmoins,</w:t>
      </w:r>
      <w:r w:rsidRPr="002C4077">
        <w:t xml:space="preserve"> </w:t>
      </w:r>
      <w:r>
        <w:t>comme</w:t>
      </w:r>
      <w:r w:rsidRPr="002C4077">
        <w:t xml:space="preserve"> </w:t>
      </w:r>
      <w:r>
        <w:t>on</w:t>
      </w:r>
      <w:r w:rsidRPr="002C4077">
        <w:t xml:space="preserve"> </w:t>
      </w:r>
      <w:r>
        <w:t>le</w:t>
      </w:r>
      <w:r w:rsidRPr="002C4077">
        <w:t xml:space="preserve"> </w:t>
      </w:r>
      <w:r>
        <w:t>sait,</w:t>
      </w:r>
      <w:r w:rsidRPr="002C4077">
        <w:t xml:space="preserve"> </w:t>
      </w:r>
      <w:r>
        <w:t>suivant</w:t>
      </w:r>
      <w:r w:rsidRPr="002C4077">
        <w:t xml:space="preserve"> </w:t>
      </w:r>
      <w:r>
        <w:t>la</w:t>
      </w:r>
      <w:r w:rsidRPr="002C4077">
        <w:t xml:space="preserve"> </w:t>
      </w:r>
      <w:r>
        <w:t>doctrine</w:t>
      </w:r>
      <w:r w:rsidRPr="002C4077">
        <w:t xml:space="preserve"> </w:t>
      </w:r>
      <w:r>
        <w:t>de</w:t>
      </w:r>
      <w:r w:rsidRPr="002C4077">
        <w:t xml:space="preserve"> </w:t>
      </w:r>
      <w:r>
        <w:t>l’Église,</w:t>
      </w:r>
      <w:r w:rsidRPr="002C4077">
        <w:t xml:space="preserve"> </w:t>
      </w:r>
      <w:r>
        <w:t>le</w:t>
      </w:r>
      <w:r w:rsidRPr="002C4077">
        <w:t xml:space="preserve"> </w:t>
      </w:r>
      <w:r>
        <w:t>sentiment</w:t>
      </w:r>
      <w:r w:rsidRPr="002C4077">
        <w:t xml:space="preserve"> </w:t>
      </w:r>
      <w:r>
        <w:t>des</w:t>
      </w:r>
      <w:r w:rsidRPr="002C4077">
        <w:t xml:space="preserve"> </w:t>
      </w:r>
      <w:r>
        <w:t>Pères</w:t>
      </w:r>
      <w:r w:rsidRPr="002C4077">
        <w:t xml:space="preserve"> </w:t>
      </w:r>
      <w:r>
        <w:t>ne</w:t>
      </w:r>
      <w:r w:rsidRPr="002C4077">
        <w:t xml:space="preserve"> </w:t>
      </w:r>
      <w:r>
        <w:t>devient</w:t>
      </w:r>
      <w:r w:rsidRPr="002C4077">
        <w:t xml:space="preserve"> </w:t>
      </w:r>
      <w:r>
        <w:t>obligatoire</w:t>
      </w:r>
      <w:r w:rsidRPr="002C4077">
        <w:t xml:space="preserve"> </w:t>
      </w:r>
      <w:r>
        <w:t>que</w:t>
      </w:r>
      <w:r w:rsidRPr="002C4077">
        <w:t xml:space="preserve"> </w:t>
      </w:r>
      <w:r>
        <w:t>lorsqu’il</w:t>
      </w:r>
      <w:r w:rsidRPr="002C4077">
        <w:t xml:space="preserve"> </w:t>
      </w:r>
      <w:r>
        <w:t>s’agit</w:t>
      </w:r>
      <w:r w:rsidRPr="002C4077">
        <w:t xml:space="preserve"> </w:t>
      </w:r>
      <w:r>
        <w:t>d’un</w:t>
      </w:r>
      <w:r w:rsidRPr="002C4077">
        <w:t xml:space="preserve"> </w:t>
      </w:r>
      <w:r>
        <w:t>point</w:t>
      </w:r>
      <w:r w:rsidRPr="002C4077">
        <w:t xml:space="preserve"> </w:t>
      </w:r>
      <w:r>
        <w:t>de</w:t>
      </w:r>
      <w:r w:rsidRPr="002C4077">
        <w:t xml:space="preserve"> </w:t>
      </w:r>
      <w:r>
        <w:t>dogme</w:t>
      </w:r>
      <w:r w:rsidRPr="002C4077">
        <w:t xml:space="preserve"> </w:t>
      </w:r>
      <w:r>
        <w:t>ou</w:t>
      </w:r>
      <w:r w:rsidRPr="002C4077">
        <w:t xml:space="preserve"> </w:t>
      </w:r>
      <w:r>
        <w:t>de</w:t>
      </w:r>
      <w:r w:rsidRPr="002C4077">
        <w:t xml:space="preserve"> </w:t>
      </w:r>
      <w:r>
        <w:t>morale</w:t>
      </w:r>
      <w:r w:rsidR="00B546AF">
        <w:t> ;</w:t>
      </w:r>
      <w:r w:rsidRPr="002C4077">
        <w:t xml:space="preserve"> </w:t>
      </w:r>
      <w:r>
        <w:t>partout</w:t>
      </w:r>
      <w:r w:rsidRPr="002C4077">
        <w:t xml:space="preserve"> </w:t>
      </w:r>
      <w:r>
        <w:t>ailleurs,</w:t>
      </w:r>
      <w:r w:rsidRPr="002C4077">
        <w:t xml:space="preserve"> </w:t>
      </w:r>
      <w:r>
        <w:t>l’axiome</w:t>
      </w:r>
      <w:r w:rsidRPr="002C4077">
        <w:t xml:space="preserve"> </w:t>
      </w:r>
      <w:r w:rsidRPr="000A34B5">
        <w:rPr>
          <w:rStyle w:val="italicus"/>
        </w:rPr>
        <w:t>In</w:t>
      </w:r>
      <w:r w:rsidRPr="002C4077">
        <w:t xml:space="preserve"> </w:t>
      </w:r>
      <w:r w:rsidRPr="000A34B5">
        <w:rPr>
          <w:rStyle w:val="italicus"/>
        </w:rPr>
        <w:t>d</w:t>
      </w:r>
      <w:r w:rsidR="003B53FD">
        <w:rPr>
          <w:rStyle w:val="italicus"/>
        </w:rPr>
        <w:t>ú</w:t>
      </w:r>
      <w:r w:rsidR="003B53FD" w:rsidRPr="000A34B5">
        <w:rPr>
          <w:rStyle w:val="italicus"/>
        </w:rPr>
        <w:t>biis</w:t>
      </w:r>
      <w:r w:rsidRPr="002C4077">
        <w:t xml:space="preserve"> </w:t>
      </w:r>
      <w:r w:rsidR="003B5C82" w:rsidRPr="000A34B5">
        <w:rPr>
          <w:rStyle w:val="italicus"/>
        </w:rPr>
        <w:t>libértas</w:t>
      </w:r>
      <w:r w:rsidRPr="002C4077">
        <w:t xml:space="preserve"> </w:t>
      </w:r>
      <w:r>
        <w:t>conserve</w:t>
      </w:r>
      <w:r w:rsidRPr="002C4077">
        <w:t xml:space="preserve"> </w:t>
      </w:r>
      <w:r>
        <w:t>tous</w:t>
      </w:r>
      <w:r w:rsidRPr="002C4077">
        <w:t xml:space="preserve"> </w:t>
      </w:r>
      <w:r>
        <w:t>ses</w:t>
      </w:r>
      <w:r w:rsidRPr="002C4077">
        <w:t xml:space="preserve"> </w:t>
      </w:r>
      <w:r>
        <w:t>droits.</w:t>
      </w:r>
      <w:r w:rsidRPr="002C4077">
        <w:t xml:space="preserve"> </w:t>
      </w:r>
      <w:r>
        <w:t>Or,</w:t>
      </w:r>
      <w:r w:rsidRPr="002C4077">
        <w:t xml:space="preserve"> </w:t>
      </w:r>
      <w:r>
        <w:t>malgré</w:t>
      </w:r>
      <w:r w:rsidRPr="002C4077">
        <w:t xml:space="preserve"> </w:t>
      </w:r>
      <w:r>
        <w:t>l’affirmation</w:t>
      </w:r>
      <w:r w:rsidRPr="002C4077">
        <w:t xml:space="preserve"> </w:t>
      </w:r>
      <w:r>
        <w:t>contraire</w:t>
      </w:r>
      <w:r w:rsidRPr="002C4077">
        <w:t xml:space="preserve"> </w:t>
      </w:r>
      <w:r>
        <w:t>du</w:t>
      </w:r>
      <w:r w:rsidRPr="002C4077">
        <w:t xml:space="preserve"> </w:t>
      </w:r>
      <w:r>
        <w:t>D</w:t>
      </w:r>
      <w:r>
        <w:rPr>
          <w:vertAlign w:val="superscript"/>
        </w:rPr>
        <w:t>r</w:t>
      </w:r>
      <w:r w:rsidRPr="002C4077">
        <w:t xml:space="preserve"> </w:t>
      </w:r>
      <w:r>
        <w:t>Schuster</w:t>
      </w:r>
      <w:r w:rsidR="00B91AF7">
        <w:rPr>
          <w:rStyle w:val="Appelnotedebasdep"/>
        </w:rPr>
        <w:footnoteReference w:id="944"/>
      </w:r>
      <w:r>
        <w:t>,</w:t>
      </w:r>
      <w:r w:rsidRPr="002C4077">
        <w:t xml:space="preserve"> </w:t>
      </w:r>
      <w:r>
        <w:t>le</w:t>
      </w:r>
      <w:r w:rsidRPr="002C4077">
        <w:t xml:space="preserve"> </w:t>
      </w:r>
      <w:r>
        <w:t>fait</w:t>
      </w:r>
      <w:r w:rsidRPr="002C4077">
        <w:t xml:space="preserve"> </w:t>
      </w:r>
      <w:r>
        <w:t>que</w:t>
      </w:r>
      <w:r w:rsidRPr="002C4077">
        <w:t xml:space="preserve"> </w:t>
      </w:r>
      <w:r>
        <w:t>nous</w:t>
      </w:r>
      <w:r w:rsidRPr="002C4077">
        <w:t xml:space="preserve"> </w:t>
      </w:r>
      <w:r>
        <w:t>examinons</w:t>
      </w:r>
      <w:r w:rsidRPr="002C4077">
        <w:t xml:space="preserve"> </w:t>
      </w:r>
      <w:r>
        <w:t>n’a</w:t>
      </w:r>
      <w:r w:rsidRPr="002C4077">
        <w:t xml:space="preserve"> </w:t>
      </w:r>
      <w:r>
        <w:t>réellement</w:t>
      </w:r>
      <w:r w:rsidRPr="002C4077">
        <w:t xml:space="preserve"> </w:t>
      </w:r>
      <w:r>
        <w:t>d’importance</w:t>
      </w:r>
      <w:r w:rsidRPr="002C4077">
        <w:t xml:space="preserve"> </w:t>
      </w:r>
      <w:r>
        <w:t>que</w:t>
      </w:r>
      <w:r w:rsidRPr="002C4077">
        <w:t xml:space="preserve"> </w:t>
      </w:r>
      <w:r>
        <w:t>sous</w:t>
      </w:r>
      <w:r w:rsidRPr="002C4077">
        <w:t xml:space="preserve"> </w:t>
      </w:r>
      <w:r>
        <w:t>le</w:t>
      </w:r>
      <w:r w:rsidRPr="002C4077">
        <w:t xml:space="preserve"> </w:t>
      </w:r>
      <w:r>
        <w:t>rapport</w:t>
      </w:r>
      <w:r w:rsidRPr="002C4077">
        <w:t xml:space="preserve"> </w:t>
      </w:r>
      <w:r>
        <w:t>de</w:t>
      </w:r>
      <w:r w:rsidRPr="002C4077">
        <w:t xml:space="preserve"> </w:t>
      </w:r>
      <w:r>
        <w:t>l’histoire.</w:t>
      </w:r>
      <w:r w:rsidRPr="002C4077">
        <w:t xml:space="preserve"> </w:t>
      </w:r>
      <w:r>
        <w:t>Que</w:t>
      </w:r>
      <w:r w:rsidRPr="002C4077">
        <w:t xml:space="preserve"> </w:t>
      </w:r>
      <w:r>
        <w:t>Judas</w:t>
      </w:r>
      <w:r w:rsidRPr="002C4077">
        <w:t xml:space="preserve"> </w:t>
      </w:r>
      <w:r>
        <w:t>ait</w:t>
      </w:r>
      <w:r w:rsidRPr="002C4077">
        <w:t xml:space="preserve"> </w:t>
      </w:r>
      <w:r>
        <w:t>assisté</w:t>
      </w:r>
      <w:r w:rsidRPr="002C4077">
        <w:t xml:space="preserve"> </w:t>
      </w:r>
      <w:r>
        <w:t>à</w:t>
      </w:r>
      <w:r w:rsidRPr="002C4077">
        <w:t xml:space="preserve"> </w:t>
      </w:r>
      <w:r>
        <w:t>l’institution</w:t>
      </w:r>
      <w:r w:rsidRPr="002C4077">
        <w:t xml:space="preserve"> </w:t>
      </w:r>
      <w:r>
        <w:t>de</w:t>
      </w:r>
      <w:r w:rsidRPr="002C4077">
        <w:t xml:space="preserve"> </w:t>
      </w:r>
      <w:r>
        <w:t>la</w:t>
      </w:r>
      <w:r w:rsidRPr="002C4077">
        <w:t xml:space="preserve"> </w:t>
      </w:r>
      <w:r>
        <w:t>sainte</w:t>
      </w:r>
      <w:r w:rsidRPr="002C4077">
        <w:t xml:space="preserve"> </w:t>
      </w:r>
      <w:r>
        <w:t>Eucharistie,</w:t>
      </w:r>
      <w:r w:rsidRPr="002C4077">
        <w:t xml:space="preserve"> </w:t>
      </w:r>
      <w:r>
        <w:t>ou</w:t>
      </w:r>
      <w:r w:rsidRPr="002C4077">
        <w:t xml:space="preserve"> </w:t>
      </w:r>
      <w:r>
        <w:t>que</w:t>
      </w:r>
      <w:r w:rsidRPr="002C4077">
        <w:t xml:space="preserve"> </w:t>
      </w:r>
      <w:r w:rsidR="00425C50">
        <w:t>Jésus</w:t>
      </w:r>
      <w:r w:rsidRPr="002C4077">
        <w:t xml:space="preserve"> </w:t>
      </w:r>
      <w:r>
        <w:t>l’en</w:t>
      </w:r>
      <w:r w:rsidRPr="002C4077">
        <w:t xml:space="preserve"> </w:t>
      </w:r>
      <w:r>
        <w:t>ait</w:t>
      </w:r>
      <w:r w:rsidRPr="002C4077">
        <w:t xml:space="preserve"> </w:t>
      </w:r>
      <w:r>
        <w:t>exclu,</w:t>
      </w:r>
      <w:r w:rsidRPr="002C4077">
        <w:t xml:space="preserve"> </w:t>
      </w:r>
      <w:r>
        <w:t>nulle</w:t>
      </w:r>
      <w:r w:rsidRPr="002C4077">
        <w:t xml:space="preserve"> </w:t>
      </w:r>
      <w:r>
        <w:t>conséquence</w:t>
      </w:r>
      <w:r w:rsidRPr="002C4077">
        <w:t xml:space="preserve"> </w:t>
      </w:r>
      <w:r>
        <w:t>pernicieuse</w:t>
      </w:r>
      <w:r w:rsidRPr="002C4077">
        <w:t xml:space="preserve"> </w:t>
      </w:r>
      <w:r>
        <w:t>ne</w:t>
      </w:r>
      <w:r w:rsidRPr="002C4077">
        <w:t xml:space="preserve"> </w:t>
      </w:r>
      <w:r>
        <w:t>saurait</w:t>
      </w:r>
      <w:r w:rsidRPr="002C4077">
        <w:t xml:space="preserve"> </w:t>
      </w:r>
      <w:r>
        <w:t>résulter</w:t>
      </w:r>
      <w:r w:rsidRPr="002C4077">
        <w:t xml:space="preserve"> </w:t>
      </w:r>
      <w:r>
        <w:t>de</w:t>
      </w:r>
      <w:r w:rsidRPr="002C4077">
        <w:t xml:space="preserve"> </w:t>
      </w:r>
      <w:r>
        <w:t>là</w:t>
      </w:r>
      <w:r w:rsidRPr="002C4077">
        <w:t xml:space="preserve"> </w:t>
      </w:r>
      <w:r>
        <w:t>pour</w:t>
      </w:r>
      <w:r w:rsidRPr="002C4077">
        <w:t xml:space="preserve"> </w:t>
      </w:r>
      <w:r>
        <w:t>la</w:t>
      </w:r>
      <w:r w:rsidRPr="002C4077">
        <w:t xml:space="preserve"> </w:t>
      </w:r>
      <w:r>
        <w:t>foi</w:t>
      </w:r>
      <w:r w:rsidRPr="002C4077">
        <w:t xml:space="preserve"> </w:t>
      </w:r>
      <w:r>
        <w:t>ni</w:t>
      </w:r>
      <w:r w:rsidRPr="002C4077">
        <w:t xml:space="preserve"> </w:t>
      </w:r>
      <w:r>
        <w:t>pour</w:t>
      </w:r>
      <w:r w:rsidRPr="002C4077">
        <w:t xml:space="preserve"> </w:t>
      </w:r>
      <w:r>
        <w:t>les</w:t>
      </w:r>
      <w:r w:rsidRPr="002C4077">
        <w:t xml:space="preserve"> </w:t>
      </w:r>
      <w:r>
        <w:t>mœurs.</w:t>
      </w:r>
      <w:r w:rsidRPr="002C4077">
        <w:t xml:space="preserve"> </w:t>
      </w:r>
      <w:r>
        <w:t>Le</w:t>
      </w:r>
      <w:r w:rsidRPr="002C4077">
        <w:t xml:space="preserve"> </w:t>
      </w:r>
      <w:r>
        <w:t>commentateur</w:t>
      </w:r>
      <w:r w:rsidRPr="002C4077">
        <w:t xml:space="preserve"> </w:t>
      </w:r>
      <w:r>
        <w:t>catholique</w:t>
      </w:r>
      <w:r w:rsidRPr="002C4077">
        <w:t xml:space="preserve"> </w:t>
      </w:r>
      <w:r>
        <w:t>peut</w:t>
      </w:r>
      <w:r w:rsidRPr="002C4077">
        <w:t xml:space="preserve"> </w:t>
      </w:r>
      <w:r>
        <w:t>donc,</w:t>
      </w:r>
      <w:r w:rsidRPr="002C4077">
        <w:t xml:space="preserve"> </w:t>
      </w:r>
      <w:r>
        <w:t>sans</w:t>
      </w:r>
      <w:r w:rsidRPr="002C4077">
        <w:t xml:space="preserve"> </w:t>
      </w:r>
      <w:r>
        <w:t>encourir</w:t>
      </w:r>
      <w:r w:rsidRPr="002C4077">
        <w:t xml:space="preserve"> </w:t>
      </w:r>
      <w:r>
        <w:t>le</w:t>
      </w:r>
      <w:r w:rsidRPr="002C4077">
        <w:t xml:space="preserve"> </w:t>
      </w:r>
      <w:r>
        <w:t>moindre</w:t>
      </w:r>
      <w:r w:rsidRPr="002C4077">
        <w:t xml:space="preserve"> </w:t>
      </w:r>
      <w:r>
        <w:t>blâme,</w:t>
      </w:r>
      <w:r w:rsidRPr="002C4077">
        <w:t xml:space="preserve"> </w:t>
      </w:r>
      <w:r>
        <w:t>s’écarter</w:t>
      </w:r>
      <w:r w:rsidRPr="002C4077">
        <w:t xml:space="preserve"> </w:t>
      </w:r>
      <w:r>
        <w:t>en</w:t>
      </w:r>
      <w:r w:rsidRPr="002C4077">
        <w:t xml:space="preserve"> </w:t>
      </w:r>
      <w:r>
        <w:t>ce</w:t>
      </w:r>
      <w:r w:rsidRPr="002C4077">
        <w:t xml:space="preserve"> </w:t>
      </w:r>
      <w:r>
        <w:t>point</w:t>
      </w:r>
      <w:r w:rsidRPr="002C4077">
        <w:t xml:space="preserve"> </w:t>
      </w:r>
      <w:r>
        <w:t>de</w:t>
      </w:r>
      <w:r w:rsidRPr="002C4077">
        <w:t xml:space="preserve"> </w:t>
      </w:r>
      <w:r>
        <w:t>la</w:t>
      </w:r>
      <w:r w:rsidRPr="002C4077">
        <w:t xml:space="preserve"> </w:t>
      </w:r>
      <w:r>
        <w:t>doctrine</w:t>
      </w:r>
      <w:r w:rsidRPr="002C4077">
        <w:t xml:space="preserve"> </w:t>
      </w:r>
      <w:r>
        <w:t>des</w:t>
      </w:r>
      <w:r w:rsidRPr="002C4077">
        <w:t xml:space="preserve"> </w:t>
      </w:r>
      <w:r>
        <w:t>anciens</w:t>
      </w:r>
      <w:r w:rsidRPr="002C4077">
        <w:t xml:space="preserve"> </w:t>
      </w:r>
      <w:r>
        <w:t>écrivains.</w:t>
      </w:r>
      <w:r w:rsidRPr="002C4077">
        <w:t xml:space="preserve"> </w:t>
      </w:r>
    </w:p>
    <w:p w:rsidR="000A7AAB" w:rsidRDefault="000A7AAB" w:rsidP="000A7AAB">
      <w:r>
        <w:t>D’ailleurs,</w:t>
      </w:r>
      <w:r w:rsidRPr="002C4077">
        <w:t xml:space="preserve"> </w:t>
      </w:r>
      <w:r>
        <w:t>ce</w:t>
      </w:r>
      <w:r w:rsidRPr="002C4077">
        <w:t xml:space="preserve"> </w:t>
      </w:r>
      <w:r>
        <w:t>n’est</w:t>
      </w:r>
      <w:r w:rsidRPr="002C4077">
        <w:t xml:space="preserve"> </w:t>
      </w:r>
      <w:r>
        <w:t>pas</w:t>
      </w:r>
      <w:r w:rsidRPr="002C4077">
        <w:t xml:space="preserve"> </w:t>
      </w:r>
      <w:r>
        <w:t>seulement</w:t>
      </w:r>
      <w:r w:rsidRPr="002C4077">
        <w:t xml:space="preserve"> </w:t>
      </w:r>
      <w:r>
        <w:t>sur</w:t>
      </w:r>
      <w:r w:rsidRPr="002C4077">
        <w:t xml:space="preserve"> </w:t>
      </w:r>
      <w:r>
        <w:t>cette</w:t>
      </w:r>
      <w:r w:rsidRPr="002C4077">
        <w:t xml:space="preserve"> </w:t>
      </w:r>
      <w:r>
        <w:t>question</w:t>
      </w:r>
      <w:r w:rsidRPr="002C4077">
        <w:t xml:space="preserve"> </w:t>
      </w:r>
      <w:r>
        <w:t>que</w:t>
      </w:r>
      <w:r w:rsidRPr="002C4077">
        <w:t xml:space="preserve"> </w:t>
      </w:r>
      <w:r>
        <w:t>l’exégèse</w:t>
      </w:r>
      <w:r w:rsidRPr="002C4077">
        <w:t xml:space="preserve"> </w:t>
      </w:r>
      <w:r>
        <w:t>moderne,</w:t>
      </w:r>
      <w:r w:rsidRPr="002C4077">
        <w:t xml:space="preserve"> </w:t>
      </w:r>
      <w:r>
        <w:t>même</w:t>
      </w:r>
      <w:r w:rsidRPr="002C4077">
        <w:t xml:space="preserve"> </w:t>
      </w:r>
      <w:r>
        <w:t>chez</w:t>
      </w:r>
      <w:r w:rsidRPr="002C4077">
        <w:t xml:space="preserve"> </w:t>
      </w:r>
      <w:r>
        <w:t>les</w:t>
      </w:r>
      <w:r w:rsidRPr="002C4077">
        <w:t xml:space="preserve"> </w:t>
      </w:r>
      <w:r>
        <w:t>catholiques,</w:t>
      </w:r>
      <w:r w:rsidRPr="002C4077">
        <w:t xml:space="preserve"> </w:t>
      </w:r>
      <w:r>
        <w:t>a</w:t>
      </w:r>
      <w:r w:rsidRPr="002C4077">
        <w:t xml:space="preserve"> </w:t>
      </w:r>
      <w:r>
        <w:t>suivi</w:t>
      </w:r>
      <w:r w:rsidRPr="002C4077">
        <w:t xml:space="preserve"> </w:t>
      </w:r>
      <w:r>
        <w:t>une</w:t>
      </w:r>
      <w:r w:rsidRPr="002C4077">
        <w:t xml:space="preserve"> </w:t>
      </w:r>
      <w:r>
        <w:t>direction</w:t>
      </w:r>
      <w:r w:rsidRPr="002C4077">
        <w:t xml:space="preserve"> </w:t>
      </w:r>
      <w:r>
        <w:t>opposée</w:t>
      </w:r>
      <w:r w:rsidRPr="002C4077">
        <w:t xml:space="preserve"> </w:t>
      </w:r>
      <w:r>
        <w:t>à</w:t>
      </w:r>
      <w:r w:rsidRPr="002C4077">
        <w:t xml:space="preserve"> </w:t>
      </w:r>
      <w:r>
        <w:t>celle</w:t>
      </w:r>
      <w:r w:rsidRPr="002C4077">
        <w:t xml:space="preserve"> </w:t>
      </w:r>
      <w:r>
        <w:t>de</w:t>
      </w:r>
      <w:r w:rsidRPr="002C4077">
        <w:t xml:space="preserve"> </w:t>
      </w:r>
      <w:r>
        <w:t>l’antiquité.</w:t>
      </w:r>
      <w:r w:rsidRPr="002C4077">
        <w:t xml:space="preserve"> </w:t>
      </w:r>
      <w:r>
        <w:t>Son</w:t>
      </w:r>
      <w:r w:rsidRPr="002C4077">
        <w:t xml:space="preserve"> </w:t>
      </w:r>
      <w:r>
        <w:t>interprétation</w:t>
      </w:r>
      <w:r w:rsidRPr="002C4077">
        <w:t xml:space="preserve"> </w:t>
      </w:r>
      <w:r>
        <w:t>d’un</w:t>
      </w:r>
      <w:r w:rsidRPr="002C4077">
        <w:t xml:space="preserve"> </w:t>
      </w:r>
      <w:r>
        <w:t>assez</w:t>
      </w:r>
      <w:r w:rsidRPr="002C4077">
        <w:t xml:space="preserve"> </w:t>
      </w:r>
      <w:r>
        <w:t>grand</w:t>
      </w:r>
      <w:r w:rsidRPr="002C4077">
        <w:t xml:space="preserve"> </w:t>
      </w:r>
      <w:r>
        <w:t>nombre</w:t>
      </w:r>
      <w:r w:rsidRPr="002C4077">
        <w:t xml:space="preserve"> </w:t>
      </w:r>
      <w:r>
        <w:t>de</w:t>
      </w:r>
      <w:r w:rsidRPr="002C4077">
        <w:t xml:space="preserve"> </w:t>
      </w:r>
      <w:r>
        <w:t>passages</w:t>
      </w:r>
      <w:r w:rsidRPr="002C4077">
        <w:t xml:space="preserve"> </w:t>
      </w:r>
      <w:r>
        <w:t>des</w:t>
      </w:r>
      <w:r w:rsidRPr="002C4077">
        <w:t xml:space="preserve"> </w:t>
      </w:r>
      <w:r>
        <w:t>saintes</w:t>
      </w:r>
      <w:r w:rsidRPr="002C4077">
        <w:t xml:space="preserve"> </w:t>
      </w:r>
      <w:r>
        <w:t>Écritures</w:t>
      </w:r>
      <w:r w:rsidRPr="002C4077">
        <w:t xml:space="preserve"> </w:t>
      </w:r>
      <w:r>
        <w:t>diffère</w:t>
      </w:r>
      <w:r w:rsidRPr="002C4077">
        <w:t xml:space="preserve"> </w:t>
      </w:r>
      <w:r>
        <w:t>de</w:t>
      </w:r>
      <w:r w:rsidRPr="002C4077">
        <w:t xml:space="preserve"> </w:t>
      </w:r>
      <w:r>
        <w:t>l’interprétation</w:t>
      </w:r>
      <w:r w:rsidRPr="002C4077">
        <w:t xml:space="preserve"> </w:t>
      </w:r>
      <w:r>
        <w:t>patristique.</w:t>
      </w:r>
      <w:r w:rsidRPr="002C4077">
        <w:t xml:space="preserve"> </w:t>
      </w:r>
    </w:p>
    <w:p w:rsidR="000A7AAB" w:rsidRDefault="000A7AAB" w:rsidP="000A7AAB">
      <w:r>
        <w:t>Et</w:t>
      </w:r>
      <w:r w:rsidRPr="002C4077">
        <w:t xml:space="preserve"> </w:t>
      </w:r>
      <w:r>
        <w:t>cela</w:t>
      </w:r>
      <w:r w:rsidRPr="002C4077">
        <w:t xml:space="preserve"> </w:t>
      </w:r>
      <w:r>
        <w:t>n’est</w:t>
      </w:r>
      <w:r w:rsidRPr="002C4077">
        <w:t xml:space="preserve"> </w:t>
      </w:r>
      <w:r>
        <w:t>pas</w:t>
      </w:r>
      <w:r w:rsidRPr="002C4077">
        <w:t xml:space="preserve"> </w:t>
      </w:r>
      <w:r>
        <w:t>étonnant.</w:t>
      </w:r>
      <w:r w:rsidRPr="002C4077">
        <w:t xml:space="preserve"> </w:t>
      </w:r>
      <w:r>
        <w:t>Outre</w:t>
      </w:r>
      <w:r w:rsidRPr="002C4077">
        <w:t xml:space="preserve"> </w:t>
      </w:r>
      <w:r>
        <w:t>les</w:t>
      </w:r>
      <w:r w:rsidRPr="002C4077">
        <w:t xml:space="preserve"> </w:t>
      </w:r>
      <w:r>
        <w:t>progrès</w:t>
      </w:r>
      <w:r w:rsidRPr="002C4077">
        <w:t xml:space="preserve"> </w:t>
      </w:r>
      <w:r>
        <w:t>considérables</w:t>
      </w:r>
      <w:r w:rsidRPr="002C4077">
        <w:t xml:space="preserve"> </w:t>
      </w:r>
      <w:r>
        <w:t>que</w:t>
      </w:r>
      <w:r w:rsidRPr="002C4077">
        <w:t xml:space="preserve"> </w:t>
      </w:r>
      <w:r>
        <w:t>la</w:t>
      </w:r>
      <w:r w:rsidRPr="002C4077">
        <w:t xml:space="preserve"> </w:t>
      </w:r>
      <w:r>
        <w:t>linguistique,</w:t>
      </w:r>
      <w:r w:rsidRPr="002C4077">
        <w:t xml:space="preserve"> </w:t>
      </w:r>
      <w:r>
        <w:t>la</w:t>
      </w:r>
      <w:r w:rsidRPr="002C4077">
        <w:t xml:space="preserve"> </w:t>
      </w:r>
      <w:r>
        <w:t>critique</w:t>
      </w:r>
      <w:r w:rsidRPr="002C4077">
        <w:t xml:space="preserve"> </w:t>
      </w:r>
      <w:r>
        <w:t>et</w:t>
      </w:r>
      <w:r w:rsidRPr="002C4077">
        <w:t xml:space="preserve"> </w:t>
      </w:r>
      <w:r>
        <w:t>l’histoire</w:t>
      </w:r>
      <w:r w:rsidRPr="002C4077">
        <w:t xml:space="preserve"> </w:t>
      </w:r>
      <w:r>
        <w:t>ont</w:t>
      </w:r>
      <w:r w:rsidRPr="002C4077">
        <w:t xml:space="preserve"> </w:t>
      </w:r>
      <w:r>
        <w:t>fait</w:t>
      </w:r>
      <w:r w:rsidRPr="002C4077">
        <w:t xml:space="preserve"> </w:t>
      </w:r>
      <w:r>
        <w:t>faire</w:t>
      </w:r>
      <w:r w:rsidRPr="002C4077">
        <w:t xml:space="preserve"> </w:t>
      </w:r>
      <w:r>
        <w:t>à</w:t>
      </w:r>
      <w:r w:rsidRPr="002C4077">
        <w:t xml:space="preserve"> </w:t>
      </w:r>
      <w:r>
        <w:t>l’exégèse,</w:t>
      </w:r>
      <w:r w:rsidRPr="002C4077">
        <w:t xml:space="preserve"> </w:t>
      </w:r>
      <w:r>
        <w:t>on</w:t>
      </w:r>
      <w:r w:rsidRPr="002C4077">
        <w:t xml:space="preserve"> </w:t>
      </w:r>
      <w:r>
        <w:t>sait</w:t>
      </w:r>
      <w:r w:rsidRPr="002C4077">
        <w:t xml:space="preserve"> </w:t>
      </w:r>
      <w:r>
        <w:t>que</w:t>
      </w:r>
      <w:r w:rsidRPr="002C4077">
        <w:t xml:space="preserve"> </w:t>
      </w:r>
      <w:r>
        <w:t>la</w:t>
      </w:r>
      <w:r w:rsidRPr="002C4077">
        <w:t xml:space="preserve"> </w:t>
      </w:r>
      <w:r>
        <w:t>plupart</w:t>
      </w:r>
      <w:r w:rsidRPr="002C4077">
        <w:t xml:space="preserve"> </w:t>
      </w:r>
      <w:r>
        <w:t>des</w:t>
      </w:r>
      <w:r w:rsidRPr="002C4077">
        <w:t xml:space="preserve"> </w:t>
      </w:r>
      <w:r>
        <w:t>Pères</w:t>
      </w:r>
      <w:r w:rsidRPr="002C4077">
        <w:t xml:space="preserve"> </w:t>
      </w:r>
      <w:r>
        <w:t>n’avaient</w:t>
      </w:r>
      <w:r w:rsidRPr="002C4077">
        <w:t xml:space="preserve"> </w:t>
      </w:r>
      <w:r>
        <w:t>pas</w:t>
      </w:r>
      <w:r w:rsidRPr="002C4077">
        <w:t xml:space="preserve"> </w:t>
      </w:r>
      <w:r>
        <w:t>l’intention</w:t>
      </w:r>
      <w:r w:rsidRPr="002C4077">
        <w:t xml:space="preserve"> </w:t>
      </w:r>
      <w:r>
        <w:t>de</w:t>
      </w:r>
      <w:r w:rsidRPr="002C4077">
        <w:t xml:space="preserve"> </w:t>
      </w:r>
      <w:r>
        <w:t>donner</w:t>
      </w:r>
      <w:r w:rsidRPr="002C4077">
        <w:t xml:space="preserve"> </w:t>
      </w:r>
      <w:r>
        <w:t>une</w:t>
      </w:r>
      <w:r w:rsidRPr="002C4077">
        <w:t xml:space="preserve"> </w:t>
      </w:r>
      <w:r>
        <w:t>explication</w:t>
      </w:r>
      <w:r w:rsidRPr="002C4077">
        <w:t xml:space="preserve"> </w:t>
      </w:r>
      <w:r>
        <w:t>littérale,</w:t>
      </w:r>
      <w:r w:rsidRPr="002C4077">
        <w:t xml:space="preserve"> </w:t>
      </w:r>
      <w:r>
        <w:t>complète</w:t>
      </w:r>
      <w:r w:rsidRPr="002C4077">
        <w:t xml:space="preserve"> </w:t>
      </w:r>
      <w:r>
        <w:t>et</w:t>
      </w:r>
      <w:r w:rsidRPr="002C4077">
        <w:t xml:space="preserve"> </w:t>
      </w:r>
      <w:r>
        <w:t>vraiment</w:t>
      </w:r>
      <w:r w:rsidRPr="002C4077">
        <w:t xml:space="preserve"> </w:t>
      </w:r>
      <w:r>
        <w:t>dogmatique</w:t>
      </w:r>
      <w:r w:rsidRPr="002C4077">
        <w:t xml:space="preserve"> </w:t>
      </w:r>
      <w:r>
        <w:t>des</w:t>
      </w:r>
      <w:r w:rsidRPr="002C4077">
        <w:t xml:space="preserve"> </w:t>
      </w:r>
      <w:r>
        <w:t>Saints</w:t>
      </w:r>
      <w:r w:rsidRPr="002C4077">
        <w:t xml:space="preserve"> </w:t>
      </w:r>
      <w:r>
        <w:t>Livres.</w:t>
      </w:r>
      <w:r w:rsidRPr="002C4077">
        <w:t xml:space="preserve"> </w:t>
      </w:r>
      <w:r>
        <w:t>Ils</w:t>
      </w:r>
      <w:r w:rsidRPr="002C4077">
        <w:t xml:space="preserve"> </w:t>
      </w:r>
      <w:r>
        <w:t>les</w:t>
      </w:r>
      <w:r w:rsidRPr="002C4077">
        <w:t xml:space="preserve"> </w:t>
      </w:r>
      <w:r>
        <w:t>commentaient</w:t>
      </w:r>
      <w:r w:rsidRPr="002C4077">
        <w:t xml:space="preserve"> </w:t>
      </w:r>
      <w:r>
        <w:t>le</w:t>
      </w:r>
      <w:r w:rsidRPr="002C4077">
        <w:t xml:space="preserve"> </w:t>
      </w:r>
      <w:r>
        <w:t>plus</w:t>
      </w:r>
      <w:r w:rsidRPr="002C4077">
        <w:t xml:space="preserve"> </w:t>
      </w:r>
      <w:r>
        <w:t>souvent</w:t>
      </w:r>
      <w:r w:rsidRPr="002C4077">
        <w:t xml:space="preserve"> </w:t>
      </w:r>
      <w:r>
        <w:t>du</w:t>
      </w:r>
      <w:r w:rsidRPr="002C4077">
        <w:t xml:space="preserve"> </w:t>
      </w:r>
      <w:r>
        <w:t>haut</w:t>
      </w:r>
      <w:r w:rsidRPr="002C4077">
        <w:t xml:space="preserve"> </w:t>
      </w:r>
      <w:r>
        <w:t>de</w:t>
      </w:r>
      <w:r w:rsidRPr="002C4077">
        <w:t xml:space="preserve"> </w:t>
      </w:r>
      <w:r>
        <w:t>la</w:t>
      </w:r>
      <w:r w:rsidRPr="002C4077">
        <w:t xml:space="preserve"> </w:t>
      </w:r>
      <w:r>
        <w:t>chaire,</w:t>
      </w:r>
      <w:r w:rsidRPr="002C4077">
        <w:t xml:space="preserve"> </w:t>
      </w:r>
      <w:r>
        <w:t>relevant</w:t>
      </w:r>
      <w:r w:rsidRPr="002C4077">
        <w:t xml:space="preserve"> </w:t>
      </w:r>
      <w:r>
        <w:t>les</w:t>
      </w:r>
      <w:r w:rsidRPr="002C4077">
        <w:t xml:space="preserve"> </w:t>
      </w:r>
      <w:r>
        <w:t>textes</w:t>
      </w:r>
      <w:r w:rsidRPr="002C4077">
        <w:t xml:space="preserve"> </w:t>
      </w:r>
      <w:r>
        <w:t>qui</w:t>
      </w:r>
      <w:r w:rsidRPr="002C4077">
        <w:t xml:space="preserve"> </w:t>
      </w:r>
      <w:r>
        <w:t>s’appliquaient</w:t>
      </w:r>
      <w:r w:rsidRPr="002C4077">
        <w:t xml:space="preserve"> </w:t>
      </w:r>
      <w:r>
        <w:t>le</w:t>
      </w:r>
      <w:r w:rsidRPr="002C4077">
        <w:t xml:space="preserve"> </w:t>
      </w:r>
      <w:r>
        <w:t>mieux</w:t>
      </w:r>
      <w:r w:rsidRPr="002C4077">
        <w:t xml:space="preserve"> </w:t>
      </w:r>
      <w:r>
        <w:t>à</w:t>
      </w:r>
      <w:r w:rsidRPr="002C4077">
        <w:t xml:space="preserve"> </w:t>
      </w:r>
      <w:r>
        <w:t>leur</w:t>
      </w:r>
      <w:r w:rsidRPr="002C4077">
        <w:t xml:space="preserve"> </w:t>
      </w:r>
      <w:r>
        <w:t>sujet,</w:t>
      </w:r>
      <w:r w:rsidRPr="002C4077">
        <w:t xml:space="preserve"> </w:t>
      </w:r>
      <w:r>
        <w:t>et</w:t>
      </w:r>
      <w:r w:rsidRPr="002C4077">
        <w:t xml:space="preserve"> </w:t>
      </w:r>
      <w:r>
        <w:t>en</w:t>
      </w:r>
      <w:r w:rsidRPr="002C4077">
        <w:t xml:space="preserve"> </w:t>
      </w:r>
      <w:r>
        <w:t>tirant</w:t>
      </w:r>
      <w:r w:rsidRPr="002C4077">
        <w:t xml:space="preserve"> </w:t>
      </w:r>
      <w:r>
        <w:t>les</w:t>
      </w:r>
      <w:r w:rsidRPr="002C4077">
        <w:t xml:space="preserve"> </w:t>
      </w:r>
      <w:r>
        <w:t>conséquences</w:t>
      </w:r>
      <w:r w:rsidRPr="002C4077">
        <w:t xml:space="preserve"> </w:t>
      </w:r>
      <w:r>
        <w:t>pratiques</w:t>
      </w:r>
      <w:r w:rsidRPr="002C4077">
        <w:t xml:space="preserve"> </w:t>
      </w:r>
      <w:r>
        <w:t>les</w:t>
      </w:r>
      <w:r w:rsidRPr="002C4077">
        <w:t xml:space="preserve"> </w:t>
      </w:r>
      <w:r>
        <w:t>plus</w:t>
      </w:r>
      <w:r w:rsidRPr="002C4077">
        <w:t xml:space="preserve"> </w:t>
      </w:r>
      <w:r>
        <w:t>appropriées</w:t>
      </w:r>
      <w:r w:rsidRPr="002C4077">
        <w:t xml:space="preserve"> </w:t>
      </w:r>
      <w:r>
        <w:t>à</w:t>
      </w:r>
      <w:r w:rsidRPr="002C4077">
        <w:t xml:space="preserve"> </w:t>
      </w:r>
      <w:r>
        <w:t>l’auditoire</w:t>
      </w:r>
      <w:r w:rsidRPr="002C4077">
        <w:t xml:space="preserve"> </w:t>
      </w:r>
      <w:r>
        <w:t>auquel</w:t>
      </w:r>
      <w:r w:rsidRPr="002C4077">
        <w:t xml:space="preserve"> </w:t>
      </w:r>
      <w:r>
        <w:t>ils</w:t>
      </w:r>
      <w:r w:rsidRPr="002C4077">
        <w:t xml:space="preserve"> </w:t>
      </w:r>
      <w:r>
        <w:t>s’adressaient.</w:t>
      </w:r>
      <w:r w:rsidRPr="002C4077">
        <w:t xml:space="preserve"> </w:t>
      </w:r>
      <w:r>
        <w:t>Or,</w:t>
      </w:r>
      <w:r w:rsidRPr="002C4077">
        <w:t xml:space="preserve"> </w:t>
      </w:r>
      <w:r>
        <w:t>pour</w:t>
      </w:r>
      <w:r w:rsidRPr="002C4077">
        <w:t xml:space="preserve"> </w:t>
      </w:r>
      <w:r>
        <w:t>la</w:t>
      </w:r>
      <w:r w:rsidRPr="002C4077">
        <w:t xml:space="preserve"> </w:t>
      </w:r>
      <w:r>
        <w:t>question</w:t>
      </w:r>
      <w:r w:rsidRPr="002C4077">
        <w:t xml:space="preserve"> </w:t>
      </w:r>
      <w:r>
        <w:t>qui</w:t>
      </w:r>
      <w:r w:rsidRPr="002C4077">
        <w:t xml:space="preserve"> </w:t>
      </w:r>
      <w:r>
        <w:t>nous</w:t>
      </w:r>
      <w:r w:rsidRPr="002C4077">
        <w:t xml:space="preserve"> </w:t>
      </w:r>
      <w:r>
        <w:t>occupe,</w:t>
      </w:r>
      <w:r w:rsidRPr="002C4077">
        <w:t xml:space="preserve"> </w:t>
      </w:r>
      <w:r>
        <w:t>ils</w:t>
      </w:r>
      <w:r w:rsidRPr="002C4077">
        <w:t xml:space="preserve"> </w:t>
      </w:r>
      <w:r>
        <w:t>avaient,</w:t>
      </w:r>
      <w:r w:rsidRPr="002C4077">
        <w:t xml:space="preserve"> </w:t>
      </w:r>
      <w:r>
        <w:t>comme</w:t>
      </w:r>
      <w:r w:rsidRPr="002C4077">
        <w:t xml:space="preserve"> </w:t>
      </w:r>
      <w:r>
        <w:t>prédicateurs,</w:t>
      </w:r>
      <w:r w:rsidRPr="002C4077">
        <w:t xml:space="preserve"> </w:t>
      </w:r>
      <w:r>
        <w:t>un</w:t>
      </w:r>
      <w:r w:rsidRPr="002C4077">
        <w:t xml:space="preserve"> </w:t>
      </w:r>
      <w:r>
        <w:t>intérêt</w:t>
      </w:r>
      <w:r w:rsidRPr="002C4077">
        <w:t xml:space="preserve"> </w:t>
      </w:r>
      <w:r>
        <w:t>tout</w:t>
      </w:r>
      <w:r w:rsidRPr="002C4077">
        <w:t xml:space="preserve"> </w:t>
      </w:r>
      <w:r>
        <w:t>particulier</w:t>
      </w:r>
      <w:r w:rsidRPr="002C4077">
        <w:t xml:space="preserve"> </w:t>
      </w:r>
      <w:r>
        <w:t>à</w:t>
      </w:r>
      <w:r w:rsidRPr="002C4077">
        <w:t xml:space="preserve"> </w:t>
      </w:r>
      <w:r>
        <w:t>faire</w:t>
      </w:r>
      <w:r w:rsidRPr="002C4077">
        <w:t xml:space="preserve"> </w:t>
      </w:r>
      <w:r>
        <w:t>assister</w:t>
      </w:r>
      <w:r w:rsidRPr="002C4077">
        <w:t xml:space="preserve"> </w:t>
      </w:r>
      <w:r>
        <w:t>Judas</w:t>
      </w:r>
      <w:r w:rsidRPr="002C4077">
        <w:t xml:space="preserve"> </w:t>
      </w:r>
      <w:r>
        <w:t>au</w:t>
      </w:r>
      <w:r w:rsidRPr="002C4077">
        <w:t xml:space="preserve"> </w:t>
      </w:r>
      <w:r>
        <w:t>banquet</w:t>
      </w:r>
      <w:r w:rsidRPr="002C4077">
        <w:t xml:space="preserve"> </w:t>
      </w:r>
      <w:r>
        <w:t>eucharistique.</w:t>
      </w:r>
      <w:r w:rsidR="00C45B47">
        <w:t xml:space="preserve"> {</w:t>
      </w:r>
      <w:r w:rsidR="005E2129">
        <w:t>322</w:t>
      </w:r>
      <w:bookmarkStart w:id="784" w:name="p322"/>
      <w:bookmarkEnd w:id="784"/>
      <w:r w:rsidR="005E2129">
        <w:t xml:space="preserve">} </w:t>
      </w:r>
      <w:r>
        <w:t>Où</w:t>
      </w:r>
      <w:r w:rsidRPr="002C4077">
        <w:t xml:space="preserve"> </w:t>
      </w:r>
      <w:r>
        <w:t>trouver</w:t>
      </w:r>
      <w:r w:rsidRPr="002C4077">
        <w:t xml:space="preserve"> </w:t>
      </w:r>
      <w:r>
        <w:t>une</w:t>
      </w:r>
      <w:r w:rsidRPr="002C4077">
        <w:t xml:space="preserve"> </w:t>
      </w:r>
      <w:r>
        <w:t>matière</w:t>
      </w:r>
      <w:r w:rsidRPr="002C4077">
        <w:t xml:space="preserve"> </w:t>
      </w:r>
      <w:r>
        <w:t>qui</w:t>
      </w:r>
      <w:r w:rsidRPr="002C4077">
        <w:t xml:space="preserve"> </w:t>
      </w:r>
      <w:r>
        <w:t>prête</w:t>
      </w:r>
      <w:r w:rsidRPr="002C4077">
        <w:t xml:space="preserve"> </w:t>
      </w:r>
      <w:r>
        <w:t>davantage</w:t>
      </w:r>
      <w:r w:rsidRPr="002C4077">
        <w:t xml:space="preserve"> </w:t>
      </w:r>
      <w:r>
        <w:t>à</w:t>
      </w:r>
      <w:r w:rsidRPr="002C4077">
        <w:t xml:space="preserve"> </w:t>
      </w:r>
      <w:r>
        <w:t>l’éloquence,</w:t>
      </w:r>
      <w:r w:rsidRPr="002C4077">
        <w:t xml:space="preserve"> </w:t>
      </w:r>
      <w:r>
        <w:t>qui</w:t>
      </w:r>
      <w:r w:rsidRPr="002C4077">
        <w:t xml:space="preserve"> </w:t>
      </w:r>
      <w:r>
        <w:t>soit</w:t>
      </w:r>
      <w:r w:rsidRPr="002C4077">
        <w:t xml:space="preserve"> </w:t>
      </w:r>
      <w:r>
        <w:t>plus</w:t>
      </w:r>
      <w:r w:rsidRPr="002C4077">
        <w:t xml:space="preserve"> </w:t>
      </w:r>
      <w:r>
        <w:t>féconde</w:t>
      </w:r>
      <w:r w:rsidRPr="002C4077">
        <w:t xml:space="preserve"> </w:t>
      </w:r>
      <w:r>
        <w:t>en</w:t>
      </w:r>
      <w:r w:rsidRPr="002C4077">
        <w:t xml:space="preserve"> </w:t>
      </w:r>
      <w:r>
        <w:t>pensées</w:t>
      </w:r>
      <w:r w:rsidRPr="002C4077">
        <w:t xml:space="preserve"> </w:t>
      </w:r>
      <w:r>
        <w:t>graves</w:t>
      </w:r>
      <w:r w:rsidRPr="002C4077">
        <w:t xml:space="preserve"> </w:t>
      </w:r>
      <w:r>
        <w:t>et</w:t>
      </w:r>
      <w:r w:rsidRPr="002C4077">
        <w:t xml:space="preserve"> </w:t>
      </w:r>
      <w:r>
        <w:t>terribles</w:t>
      </w:r>
      <w:r w:rsidR="00B546AF">
        <w:t> ?</w:t>
      </w:r>
      <w:r w:rsidRPr="002C4077">
        <w:t xml:space="preserve"> </w:t>
      </w:r>
      <w:r>
        <w:t>Double</w:t>
      </w:r>
      <w:r w:rsidRPr="002C4077">
        <w:t xml:space="preserve"> </w:t>
      </w:r>
      <w:r>
        <w:t>trahison</w:t>
      </w:r>
      <w:r w:rsidRPr="002C4077">
        <w:t xml:space="preserve"> </w:t>
      </w:r>
      <w:r>
        <w:t>de</w:t>
      </w:r>
      <w:r w:rsidRPr="002C4077">
        <w:t xml:space="preserve"> </w:t>
      </w:r>
      <w:r>
        <w:t>Judas,</w:t>
      </w:r>
      <w:r w:rsidRPr="002C4077">
        <w:t xml:space="preserve"> </w:t>
      </w:r>
      <w:r>
        <w:t>première</w:t>
      </w:r>
      <w:r w:rsidRPr="002C4077">
        <w:t xml:space="preserve"> </w:t>
      </w:r>
      <w:r>
        <w:t>communion</w:t>
      </w:r>
      <w:r w:rsidRPr="002C4077">
        <w:t xml:space="preserve"> </w:t>
      </w:r>
      <w:r>
        <w:t>sacrilège,</w:t>
      </w:r>
      <w:r w:rsidRPr="002C4077">
        <w:t xml:space="preserve"> </w:t>
      </w:r>
      <w:r>
        <w:t>ses</w:t>
      </w:r>
      <w:r w:rsidRPr="002C4077">
        <w:t xml:space="preserve"> </w:t>
      </w:r>
      <w:r>
        <w:t>suites</w:t>
      </w:r>
      <w:r w:rsidRPr="002C4077">
        <w:t xml:space="preserve"> </w:t>
      </w:r>
      <w:r>
        <w:t>affreuses</w:t>
      </w:r>
      <w:r w:rsidRPr="002C4077">
        <w:t xml:space="preserve"> </w:t>
      </w:r>
      <w:r>
        <w:t>et</w:t>
      </w:r>
      <w:r w:rsidRPr="002C4077">
        <w:t xml:space="preserve"> </w:t>
      </w:r>
      <w:r>
        <w:t>son</w:t>
      </w:r>
      <w:r w:rsidRPr="002C4077">
        <w:t xml:space="preserve"> </w:t>
      </w:r>
      <w:r>
        <w:t>prompt</w:t>
      </w:r>
      <w:r w:rsidRPr="002C4077">
        <w:t xml:space="preserve"> </w:t>
      </w:r>
      <w:r>
        <w:t>châtiment,</w:t>
      </w:r>
      <w:r w:rsidRPr="002C4077">
        <w:t xml:space="preserve"> </w:t>
      </w:r>
      <w:r>
        <w:t>exemple</w:t>
      </w:r>
      <w:r w:rsidRPr="002C4077">
        <w:t xml:space="preserve"> </w:t>
      </w:r>
      <w:r>
        <w:t>frappant</w:t>
      </w:r>
      <w:r w:rsidRPr="002C4077">
        <w:t xml:space="preserve"> </w:t>
      </w:r>
      <w:r>
        <w:t>pour</w:t>
      </w:r>
      <w:r w:rsidRPr="002C4077">
        <w:t xml:space="preserve"> </w:t>
      </w:r>
      <w:r>
        <w:t>les</w:t>
      </w:r>
      <w:r w:rsidRPr="002C4077">
        <w:t xml:space="preserve"> </w:t>
      </w:r>
      <w:r>
        <w:t>mauvais</w:t>
      </w:r>
      <w:r w:rsidRPr="002C4077">
        <w:t xml:space="preserve"> </w:t>
      </w:r>
      <w:r w:rsidR="00425C50">
        <w:t>prêtre</w:t>
      </w:r>
      <w:r>
        <w:t>s</w:t>
      </w:r>
      <w:r w:rsidRPr="002C4077">
        <w:t xml:space="preserve"> </w:t>
      </w:r>
      <w:r>
        <w:t>et</w:t>
      </w:r>
      <w:r w:rsidRPr="002C4077">
        <w:t xml:space="preserve"> </w:t>
      </w:r>
      <w:r>
        <w:t>les</w:t>
      </w:r>
      <w:r w:rsidRPr="002C4077">
        <w:t xml:space="preserve"> </w:t>
      </w:r>
      <w:r>
        <w:t>chrétiens</w:t>
      </w:r>
      <w:r w:rsidRPr="002C4077">
        <w:t xml:space="preserve"> </w:t>
      </w:r>
      <w:r>
        <w:t>pervers</w:t>
      </w:r>
      <w:r w:rsidRPr="002C4077">
        <w:t xml:space="preserve"> </w:t>
      </w:r>
      <w:r>
        <w:t>qui</w:t>
      </w:r>
      <w:r w:rsidRPr="002C4077">
        <w:t xml:space="preserve"> </w:t>
      </w:r>
      <w:r>
        <w:t>communient</w:t>
      </w:r>
      <w:r w:rsidRPr="002C4077">
        <w:t xml:space="preserve"> </w:t>
      </w:r>
      <w:r>
        <w:t>indignement</w:t>
      </w:r>
      <w:r w:rsidR="00B546AF">
        <w:t> :</w:t>
      </w:r>
      <w:r w:rsidRPr="002C4077">
        <w:t xml:space="preserve"> </w:t>
      </w:r>
      <w:r>
        <w:t>combien</w:t>
      </w:r>
      <w:r w:rsidRPr="002C4077">
        <w:t xml:space="preserve"> </w:t>
      </w:r>
      <w:r>
        <w:t>souvent</w:t>
      </w:r>
      <w:r w:rsidRPr="002C4077">
        <w:t xml:space="preserve"> </w:t>
      </w:r>
      <w:r>
        <w:t>n’a-t-on</w:t>
      </w:r>
      <w:r w:rsidRPr="002C4077">
        <w:t xml:space="preserve"> </w:t>
      </w:r>
      <w:r>
        <w:t>pas</w:t>
      </w:r>
      <w:r w:rsidRPr="002C4077">
        <w:t xml:space="preserve"> </w:t>
      </w:r>
      <w:r>
        <w:t>l’occasion</w:t>
      </w:r>
      <w:r w:rsidRPr="002C4077">
        <w:t xml:space="preserve"> </w:t>
      </w:r>
      <w:r>
        <w:t>d’entendre</w:t>
      </w:r>
      <w:r w:rsidRPr="002C4077">
        <w:t xml:space="preserve"> </w:t>
      </w:r>
      <w:r>
        <w:t>de</w:t>
      </w:r>
      <w:r w:rsidRPr="002C4077">
        <w:t xml:space="preserve"> </w:t>
      </w:r>
      <w:r>
        <w:t>beaux</w:t>
      </w:r>
      <w:r w:rsidRPr="002C4077">
        <w:t xml:space="preserve"> </w:t>
      </w:r>
      <w:r>
        <w:t>développements</w:t>
      </w:r>
      <w:r w:rsidRPr="002C4077">
        <w:t xml:space="preserve"> </w:t>
      </w:r>
      <w:r>
        <w:t>oratoires</w:t>
      </w:r>
      <w:r w:rsidRPr="002C4077">
        <w:t xml:space="preserve"> </w:t>
      </w:r>
      <w:r>
        <w:t>sur</w:t>
      </w:r>
      <w:r w:rsidRPr="002C4077">
        <w:t xml:space="preserve"> </w:t>
      </w:r>
      <w:r>
        <w:t>ces</w:t>
      </w:r>
      <w:r w:rsidRPr="002C4077">
        <w:t xml:space="preserve"> </w:t>
      </w:r>
      <w:r>
        <w:t>idées</w:t>
      </w:r>
      <w:r w:rsidRPr="002C4077">
        <w:t xml:space="preserve"> </w:t>
      </w:r>
      <w:r>
        <w:t>diverses</w:t>
      </w:r>
      <w:r w:rsidR="00B546AF">
        <w:t> ?</w:t>
      </w:r>
      <w:r w:rsidRPr="002C4077">
        <w:t xml:space="preserve"> </w:t>
      </w:r>
    </w:p>
    <w:p w:rsidR="000A7AAB" w:rsidRDefault="000A7AAB" w:rsidP="000A7AAB">
      <w:r>
        <w:t>Ce</w:t>
      </w:r>
      <w:r w:rsidRPr="002C4077">
        <w:t xml:space="preserve"> </w:t>
      </w:r>
      <w:r>
        <w:t>raisonnement</w:t>
      </w:r>
      <w:r w:rsidRPr="002C4077">
        <w:t xml:space="preserve"> </w:t>
      </w:r>
      <w:r>
        <w:t>pourra</w:t>
      </w:r>
      <w:r w:rsidRPr="002C4077">
        <w:t xml:space="preserve"> </w:t>
      </w:r>
      <w:r>
        <w:t>paraître</w:t>
      </w:r>
      <w:r w:rsidRPr="002C4077">
        <w:t xml:space="preserve"> </w:t>
      </w:r>
      <w:r>
        <w:t>futile</w:t>
      </w:r>
      <w:r w:rsidRPr="002C4077">
        <w:t xml:space="preserve"> </w:t>
      </w:r>
      <w:r>
        <w:t>à</w:t>
      </w:r>
      <w:r w:rsidRPr="002C4077">
        <w:t xml:space="preserve"> </w:t>
      </w:r>
      <w:r>
        <w:t>quelques-uns</w:t>
      </w:r>
      <w:r w:rsidR="00B546AF">
        <w:t> :</w:t>
      </w:r>
      <w:r w:rsidRPr="002C4077">
        <w:t xml:space="preserve"> </w:t>
      </w:r>
      <w:r>
        <w:t>nous</w:t>
      </w:r>
      <w:r w:rsidRPr="002C4077">
        <w:t xml:space="preserve"> </w:t>
      </w:r>
      <w:r>
        <w:t>sommes</w:t>
      </w:r>
      <w:r w:rsidRPr="002C4077">
        <w:t xml:space="preserve"> </w:t>
      </w:r>
      <w:r>
        <w:t>néanmoins</w:t>
      </w:r>
      <w:r w:rsidRPr="002C4077">
        <w:t xml:space="preserve"> </w:t>
      </w:r>
      <w:r>
        <w:t>persuadé</w:t>
      </w:r>
      <w:r w:rsidRPr="002C4077">
        <w:t xml:space="preserve"> </w:t>
      </w:r>
      <w:r>
        <w:t>qu’il</w:t>
      </w:r>
      <w:r w:rsidRPr="002C4077">
        <w:t xml:space="preserve"> </w:t>
      </w:r>
      <w:r w:rsidR="00425C50">
        <w:t>est</w:t>
      </w:r>
      <w:r w:rsidRPr="002C4077">
        <w:t xml:space="preserve"> </w:t>
      </w:r>
      <w:r>
        <w:t>juste,</w:t>
      </w:r>
      <w:r w:rsidRPr="002C4077">
        <w:t xml:space="preserve"> </w:t>
      </w:r>
      <w:r>
        <w:t>et</w:t>
      </w:r>
      <w:r w:rsidRPr="002C4077">
        <w:t xml:space="preserve"> </w:t>
      </w:r>
      <w:r>
        <w:t>que</w:t>
      </w:r>
      <w:r w:rsidRPr="002C4077">
        <w:t xml:space="preserve"> </w:t>
      </w:r>
      <w:r>
        <w:t>la</w:t>
      </w:r>
      <w:r w:rsidRPr="002C4077">
        <w:t xml:space="preserve"> </w:t>
      </w:r>
      <w:r>
        <w:t>tradition</w:t>
      </w:r>
      <w:r w:rsidRPr="002C4077">
        <w:t xml:space="preserve"> </w:t>
      </w:r>
      <w:r>
        <w:t>sur</w:t>
      </w:r>
      <w:r w:rsidRPr="002C4077">
        <w:t xml:space="preserve"> </w:t>
      </w:r>
      <w:r>
        <w:t>ce</w:t>
      </w:r>
      <w:r w:rsidRPr="002C4077">
        <w:t xml:space="preserve"> </w:t>
      </w:r>
      <w:r>
        <w:t>point</w:t>
      </w:r>
      <w:r w:rsidRPr="002C4077">
        <w:t xml:space="preserve"> </w:t>
      </w:r>
      <w:r>
        <w:t>s’est</w:t>
      </w:r>
      <w:r w:rsidRPr="002C4077">
        <w:t xml:space="preserve"> </w:t>
      </w:r>
      <w:r>
        <w:t>probablement</w:t>
      </w:r>
      <w:r w:rsidRPr="002C4077">
        <w:t xml:space="preserve"> </w:t>
      </w:r>
      <w:r>
        <w:t>formée,</w:t>
      </w:r>
      <w:r w:rsidRPr="002C4077">
        <w:t xml:space="preserve"> </w:t>
      </w:r>
      <w:r>
        <w:t>comme</w:t>
      </w:r>
      <w:r w:rsidRPr="002C4077">
        <w:t xml:space="preserve"> </w:t>
      </w:r>
      <w:r>
        <w:t>l’on</w:t>
      </w:r>
      <w:r w:rsidRPr="002C4077">
        <w:t xml:space="preserve"> </w:t>
      </w:r>
      <w:r>
        <w:t>dit,</w:t>
      </w:r>
      <w:r w:rsidRPr="002C4077">
        <w:t xml:space="preserve"> </w:t>
      </w:r>
      <w:r w:rsidR="003B5C82" w:rsidRPr="000A34B5">
        <w:rPr>
          <w:rStyle w:val="italicus"/>
        </w:rPr>
        <w:t>orat</w:t>
      </w:r>
      <w:r w:rsidR="003B5C82">
        <w:rPr>
          <w:rStyle w:val="italicus"/>
        </w:rPr>
        <w:t>o</w:t>
      </w:r>
      <w:r w:rsidR="003B5C82" w:rsidRPr="000A34B5">
        <w:rPr>
          <w:rStyle w:val="italicus"/>
        </w:rPr>
        <w:t>rio</w:t>
      </w:r>
      <w:r w:rsidRPr="002C4077">
        <w:t xml:space="preserve"> </w:t>
      </w:r>
      <w:r w:rsidRPr="000A34B5">
        <w:rPr>
          <w:rStyle w:val="italicus"/>
        </w:rPr>
        <w:t>modo,</w:t>
      </w:r>
      <w:r w:rsidRPr="002C4077">
        <w:t xml:space="preserve"> </w:t>
      </w:r>
      <w:r>
        <w:t>de</w:t>
      </w:r>
      <w:r w:rsidRPr="002C4077">
        <w:t xml:space="preserve"> </w:t>
      </w:r>
      <w:r>
        <w:t>même</w:t>
      </w:r>
      <w:r w:rsidRPr="002C4077">
        <w:t xml:space="preserve"> </w:t>
      </w:r>
      <w:r>
        <w:t>qu’elle</w:t>
      </w:r>
      <w:r w:rsidRPr="002C4077">
        <w:t xml:space="preserve"> </w:t>
      </w:r>
      <w:r>
        <w:t>s’est</w:t>
      </w:r>
      <w:r w:rsidRPr="002C4077">
        <w:t xml:space="preserve"> </w:t>
      </w:r>
      <w:r>
        <w:t>propagée</w:t>
      </w:r>
      <w:r w:rsidRPr="002C4077">
        <w:t xml:space="preserve"> </w:t>
      </w:r>
      <w:r>
        <w:t>surtout</w:t>
      </w:r>
      <w:r w:rsidRPr="002C4077">
        <w:t xml:space="preserve"> </w:t>
      </w:r>
      <w:r>
        <w:t>de</w:t>
      </w:r>
      <w:r w:rsidRPr="002C4077">
        <w:t xml:space="preserve"> </w:t>
      </w:r>
      <w:r>
        <w:t>chaire</w:t>
      </w:r>
      <w:r w:rsidRPr="002C4077">
        <w:t xml:space="preserve"> </w:t>
      </w:r>
      <w:r>
        <w:t>en</w:t>
      </w:r>
      <w:r w:rsidRPr="002C4077">
        <w:t xml:space="preserve"> </w:t>
      </w:r>
      <w:r>
        <w:t>chaire.</w:t>
      </w:r>
      <w:r w:rsidRPr="002C4077">
        <w:t xml:space="preserve"> </w:t>
      </w:r>
    </w:p>
    <w:p w:rsidR="000A7AAB" w:rsidRDefault="000A7AAB" w:rsidP="000A7AAB">
      <w:r>
        <w:t>Du</w:t>
      </w:r>
      <w:r w:rsidRPr="002C4077">
        <w:t xml:space="preserve"> </w:t>
      </w:r>
      <w:r>
        <w:t>reste,</w:t>
      </w:r>
      <w:r w:rsidRPr="002C4077">
        <w:t xml:space="preserve"> </w:t>
      </w:r>
      <w:r>
        <w:t>elle</w:t>
      </w:r>
      <w:r w:rsidRPr="002C4077">
        <w:t xml:space="preserve"> </w:t>
      </w:r>
      <w:r>
        <w:t>n’a</w:t>
      </w:r>
      <w:r w:rsidRPr="002C4077">
        <w:t xml:space="preserve"> </w:t>
      </w:r>
      <w:r>
        <w:t>jamais</w:t>
      </w:r>
      <w:r w:rsidRPr="002C4077">
        <w:t xml:space="preserve"> </w:t>
      </w:r>
      <w:r>
        <w:t>été</w:t>
      </w:r>
      <w:r w:rsidRPr="002C4077">
        <w:t xml:space="preserve"> </w:t>
      </w:r>
      <w:r>
        <w:t>universelle,</w:t>
      </w:r>
      <w:r w:rsidRPr="002C4077">
        <w:t xml:space="preserve"> </w:t>
      </w:r>
      <w:r>
        <w:t>car,</w:t>
      </w:r>
      <w:r w:rsidRPr="002C4077">
        <w:t xml:space="preserve"> </w:t>
      </w:r>
      <w:r>
        <w:t>dès</w:t>
      </w:r>
      <w:r w:rsidRPr="002C4077">
        <w:t xml:space="preserve"> </w:t>
      </w:r>
      <w:r>
        <w:t>les</w:t>
      </w:r>
      <w:r w:rsidRPr="002C4077">
        <w:t xml:space="preserve"> </w:t>
      </w:r>
      <w:r>
        <w:t>premiers</w:t>
      </w:r>
      <w:r w:rsidRPr="002C4077">
        <w:t xml:space="preserve"> </w:t>
      </w:r>
      <w:r>
        <w:t>temps</w:t>
      </w:r>
      <w:r w:rsidRPr="002C4077">
        <w:t xml:space="preserve"> </w:t>
      </w:r>
      <w:r>
        <w:t>du</w:t>
      </w:r>
      <w:r w:rsidRPr="002C4077">
        <w:t xml:space="preserve"> </w:t>
      </w:r>
      <w:r>
        <w:t>Christianisme,</w:t>
      </w:r>
      <w:r w:rsidRPr="002C4077">
        <w:t xml:space="preserve"> </w:t>
      </w:r>
      <w:r>
        <w:t>nous</w:t>
      </w:r>
      <w:r w:rsidRPr="002C4077">
        <w:t xml:space="preserve"> </w:t>
      </w:r>
      <w:r>
        <w:t>pouvons</w:t>
      </w:r>
      <w:r w:rsidRPr="002C4077">
        <w:t xml:space="preserve"> </w:t>
      </w:r>
      <w:r>
        <w:t>suivre</w:t>
      </w:r>
      <w:r w:rsidRPr="002C4077">
        <w:t xml:space="preserve"> </w:t>
      </w:r>
      <w:r>
        <w:t>les</w:t>
      </w:r>
      <w:r w:rsidRPr="002C4077">
        <w:t xml:space="preserve"> </w:t>
      </w:r>
      <w:r>
        <w:t>vestiges</w:t>
      </w:r>
      <w:r w:rsidRPr="002C4077">
        <w:t xml:space="preserve"> </w:t>
      </w:r>
      <w:r>
        <w:t>rares,</w:t>
      </w:r>
      <w:r w:rsidRPr="002C4077">
        <w:t xml:space="preserve"> </w:t>
      </w:r>
      <w:r>
        <w:t>mais</w:t>
      </w:r>
      <w:r w:rsidRPr="002C4077">
        <w:t xml:space="preserve"> </w:t>
      </w:r>
      <w:r>
        <w:t>bien</w:t>
      </w:r>
      <w:r w:rsidRPr="002C4077">
        <w:t xml:space="preserve"> </w:t>
      </w:r>
      <w:r>
        <w:t>marqués</w:t>
      </w:r>
      <w:r w:rsidRPr="002C4077">
        <w:t xml:space="preserve"> </w:t>
      </w:r>
      <w:r>
        <w:t>d’une</w:t>
      </w:r>
      <w:r w:rsidRPr="002C4077">
        <w:t xml:space="preserve"> </w:t>
      </w:r>
      <w:r>
        <w:t>tradition</w:t>
      </w:r>
      <w:r w:rsidRPr="002C4077">
        <w:t xml:space="preserve"> </w:t>
      </w:r>
      <w:r>
        <w:t>contraire,</w:t>
      </w:r>
      <w:r w:rsidRPr="002C4077">
        <w:t xml:space="preserve"> </w:t>
      </w:r>
      <w:r>
        <w:t>conforme</w:t>
      </w:r>
      <w:r w:rsidRPr="002C4077">
        <w:t xml:space="preserve"> </w:t>
      </w:r>
      <w:r>
        <w:t>au</w:t>
      </w:r>
      <w:r w:rsidRPr="002C4077">
        <w:t xml:space="preserve"> </w:t>
      </w:r>
      <w:r>
        <w:t>sentiment</w:t>
      </w:r>
      <w:r w:rsidRPr="002C4077">
        <w:t xml:space="preserve"> </w:t>
      </w:r>
      <w:r>
        <w:t>que</w:t>
      </w:r>
      <w:r w:rsidRPr="002C4077">
        <w:t xml:space="preserve"> </w:t>
      </w:r>
      <w:r>
        <w:t>nous</w:t>
      </w:r>
      <w:r w:rsidRPr="002C4077">
        <w:t xml:space="preserve"> </w:t>
      </w:r>
      <w:r>
        <w:t>soutenons</w:t>
      </w:r>
      <w:r w:rsidRPr="002C4077">
        <w:t xml:space="preserve"> </w:t>
      </w:r>
      <w:r>
        <w:t>ici.</w:t>
      </w:r>
      <w:r w:rsidRPr="002C4077">
        <w:t xml:space="preserve"> </w:t>
      </w:r>
      <w:r>
        <w:t>Comme</w:t>
      </w:r>
      <w:r w:rsidRPr="002C4077">
        <w:t xml:space="preserve"> </w:t>
      </w:r>
      <w:r>
        <w:t>nous,</w:t>
      </w:r>
      <w:r w:rsidRPr="002C4077">
        <w:t xml:space="preserve"> </w:t>
      </w:r>
      <w:r>
        <w:t>Tatien</w:t>
      </w:r>
      <w:r w:rsidR="00B91AF7">
        <w:rPr>
          <w:rStyle w:val="Appelnotedebasdep"/>
        </w:rPr>
        <w:footnoteReference w:id="945"/>
      </w:r>
      <w:r>
        <w:t>,</w:t>
      </w:r>
      <w:r w:rsidRPr="002C4077">
        <w:t xml:space="preserve"> </w:t>
      </w:r>
      <w:r w:rsidR="003B5C82">
        <w:t>Ammonius</w:t>
      </w:r>
      <w:r w:rsidR="00B91AF7">
        <w:rPr>
          <w:rStyle w:val="Appelnotedebasdep"/>
        </w:rPr>
        <w:footnoteReference w:id="946"/>
      </w:r>
      <w:r>
        <w:t>,</w:t>
      </w:r>
      <w:r w:rsidRPr="002C4077">
        <w:t xml:space="preserve"> </w:t>
      </w:r>
      <w:r>
        <w:t>S.</w:t>
      </w:r>
      <w:r w:rsidRPr="002C4077">
        <w:t xml:space="preserve"> </w:t>
      </w:r>
      <w:r>
        <w:t>Jacques</w:t>
      </w:r>
      <w:r w:rsidRPr="002C4077">
        <w:t xml:space="preserve"> </w:t>
      </w:r>
      <w:r>
        <w:t>de</w:t>
      </w:r>
      <w:r w:rsidRPr="002C4077">
        <w:t xml:space="preserve"> </w:t>
      </w:r>
      <w:r>
        <w:t>Nisibe</w:t>
      </w:r>
      <w:r w:rsidR="003B5C82">
        <w:rPr>
          <w:rStyle w:val="Appelnotedebasdep"/>
        </w:rPr>
        <w:footnoteReference w:id="947"/>
      </w:r>
      <w:r>
        <w:t>,</w:t>
      </w:r>
      <w:r w:rsidRPr="002C4077">
        <w:t xml:space="preserve"> </w:t>
      </w:r>
      <w:r>
        <w:t>l’auteur</w:t>
      </w:r>
      <w:r w:rsidRPr="002C4077">
        <w:t xml:space="preserve"> </w:t>
      </w:r>
      <w:r>
        <w:t>des</w:t>
      </w:r>
      <w:r w:rsidRPr="002C4077">
        <w:t xml:space="preserve"> </w:t>
      </w:r>
      <w:r>
        <w:t>Constitutions</w:t>
      </w:r>
      <w:r w:rsidRPr="002C4077">
        <w:t xml:space="preserve"> </w:t>
      </w:r>
      <w:r>
        <w:t>apostoliques</w:t>
      </w:r>
      <w:r w:rsidR="00B91AF7">
        <w:rPr>
          <w:rStyle w:val="Appelnotedebasdep"/>
        </w:rPr>
        <w:footnoteReference w:id="948"/>
      </w:r>
      <w:r>
        <w:t>,</w:t>
      </w:r>
      <w:r w:rsidRPr="002C4077">
        <w:t xml:space="preserve"> </w:t>
      </w:r>
      <w:r>
        <w:t>S.</w:t>
      </w:r>
      <w:r w:rsidRPr="002C4077">
        <w:t xml:space="preserve"> </w:t>
      </w:r>
      <w:r>
        <w:t>Hilaire</w:t>
      </w:r>
      <w:r w:rsidR="00B91AF7">
        <w:rPr>
          <w:rStyle w:val="Appelnotedebasdep"/>
        </w:rPr>
        <w:footnoteReference w:id="949"/>
      </w:r>
      <w:r>
        <w:t>,</w:t>
      </w:r>
      <w:r w:rsidRPr="002C4077">
        <w:t xml:space="preserve"> </w:t>
      </w:r>
      <w:r>
        <w:t>excluent</w:t>
      </w:r>
      <w:r w:rsidRPr="002C4077">
        <w:t xml:space="preserve"> </w:t>
      </w:r>
      <w:r>
        <w:t>Judas</w:t>
      </w:r>
      <w:r w:rsidRPr="002C4077">
        <w:t xml:space="preserve"> </w:t>
      </w:r>
      <w:r>
        <w:t>de</w:t>
      </w:r>
      <w:r w:rsidRPr="002C4077">
        <w:t xml:space="preserve"> </w:t>
      </w:r>
      <w:r>
        <w:t>la</w:t>
      </w:r>
      <w:r w:rsidRPr="002C4077">
        <w:t xml:space="preserve"> </w:t>
      </w:r>
      <w:r>
        <w:t>cène.</w:t>
      </w:r>
      <w:r w:rsidRPr="002C4077">
        <w:t xml:space="preserve"> </w:t>
      </w:r>
      <w:r>
        <w:t>Thé</w:t>
      </w:r>
      <w:r w:rsidR="001730C6">
        <w:t>op</w:t>
      </w:r>
      <w:r>
        <w:t>hylacte</w:t>
      </w:r>
      <w:r w:rsidRPr="002C4077">
        <w:t xml:space="preserve"> </w:t>
      </w:r>
      <w:r>
        <w:t>assure</w:t>
      </w:r>
      <w:r w:rsidRPr="002C4077">
        <w:t xml:space="preserve"> </w:t>
      </w:r>
      <w:r>
        <w:t>que</w:t>
      </w:r>
      <w:r w:rsidRPr="002C4077">
        <w:t xml:space="preserve"> </w:t>
      </w:r>
      <w:r>
        <w:t>de</w:t>
      </w:r>
      <w:r w:rsidRPr="002C4077">
        <w:t xml:space="preserve"> </w:t>
      </w:r>
      <w:r>
        <w:t>son</w:t>
      </w:r>
      <w:r w:rsidRPr="002C4077">
        <w:t xml:space="preserve"> </w:t>
      </w:r>
      <w:r>
        <w:t>temps</w:t>
      </w:r>
      <w:r w:rsidRPr="002C4077">
        <w:t xml:space="preserve"> </w:t>
      </w:r>
      <w:r>
        <w:t>plusieurs</w:t>
      </w:r>
      <w:r w:rsidRPr="002C4077">
        <w:t xml:space="preserve"> </w:t>
      </w:r>
      <w:r>
        <w:t>partageaient</w:t>
      </w:r>
      <w:r w:rsidRPr="002C4077">
        <w:t xml:space="preserve"> </w:t>
      </w:r>
      <w:r>
        <w:t>cette</w:t>
      </w:r>
      <w:r w:rsidRPr="002C4077">
        <w:t xml:space="preserve"> </w:t>
      </w:r>
      <w:r>
        <w:t>manière</w:t>
      </w:r>
      <w:r w:rsidRPr="002C4077">
        <w:t xml:space="preserve"> </w:t>
      </w:r>
      <w:r>
        <w:t>de</w:t>
      </w:r>
      <w:r w:rsidRPr="002C4077">
        <w:t xml:space="preserve"> </w:t>
      </w:r>
      <w:r>
        <w:t>voir</w:t>
      </w:r>
      <w:r w:rsidR="00B91AF7">
        <w:rPr>
          <w:rStyle w:val="Appelnotedebasdep"/>
        </w:rPr>
        <w:footnoteReference w:id="950"/>
      </w:r>
      <w:r>
        <w:t>.</w:t>
      </w:r>
      <w:r w:rsidRPr="002C4077">
        <w:t xml:space="preserve"> </w:t>
      </w:r>
      <w:r>
        <w:t>Plus</w:t>
      </w:r>
      <w:r w:rsidRPr="002C4077">
        <w:t xml:space="preserve"> </w:t>
      </w:r>
      <w:r>
        <w:t>tard,</w:t>
      </w:r>
      <w:r w:rsidRPr="002C4077">
        <w:t xml:space="preserve"> </w:t>
      </w:r>
      <w:r>
        <w:t>elle</w:t>
      </w:r>
      <w:r w:rsidRPr="002C4077">
        <w:t xml:space="preserve"> </w:t>
      </w:r>
      <w:r>
        <w:t>a</w:t>
      </w:r>
      <w:r w:rsidRPr="002C4077">
        <w:t xml:space="preserve"> </w:t>
      </w:r>
      <w:r>
        <w:t>été</w:t>
      </w:r>
      <w:r w:rsidRPr="002C4077">
        <w:t xml:space="preserve"> </w:t>
      </w:r>
      <w:r>
        <w:t>propa</w:t>
      </w:r>
      <w:r w:rsidR="003B5C82">
        <w:t>gée</w:t>
      </w:r>
      <w:r w:rsidR="003B5C82" w:rsidRPr="002C4077">
        <w:t xml:space="preserve"> </w:t>
      </w:r>
      <w:r w:rsidR="003B5C82">
        <w:t>par</w:t>
      </w:r>
      <w:r w:rsidR="003B5C82" w:rsidRPr="002C4077">
        <w:t xml:space="preserve"> </w:t>
      </w:r>
      <w:r w:rsidR="003B5C82">
        <w:t>Zacharie</w:t>
      </w:r>
      <w:r w:rsidR="003B5C82" w:rsidRPr="002C4077">
        <w:t xml:space="preserve"> </w:t>
      </w:r>
      <w:r w:rsidR="003B5C82">
        <w:t>de</w:t>
      </w:r>
      <w:r w:rsidR="003B5C82" w:rsidRPr="002C4077">
        <w:t xml:space="preserve"> </w:t>
      </w:r>
      <w:r w:rsidR="003B5C82">
        <w:t>Chrysópolis</w:t>
      </w:r>
      <w:r w:rsidR="003B5C82">
        <w:rPr>
          <w:rStyle w:val="Appelnotedebasdep"/>
        </w:rPr>
        <w:footnoteReference w:id="951"/>
      </w:r>
      <w:r w:rsidR="003B5C82">
        <w:t>,</w:t>
      </w:r>
      <w:r w:rsidR="003B5C82" w:rsidRPr="002C4077">
        <w:t xml:space="preserve"> </w:t>
      </w:r>
      <w:r>
        <w:t>Rupert</w:t>
      </w:r>
      <w:r w:rsidRPr="002C4077">
        <w:t xml:space="preserve"> </w:t>
      </w:r>
      <w:r>
        <w:t>de</w:t>
      </w:r>
      <w:r w:rsidRPr="002C4077">
        <w:t xml:space="preserve"> </w:t>
      </w:r>
      <w:r>
        <w:lastRenderedPageBreak/>
        <w:t>Deutz</w:t>
      </w:r>
      <w:r w:rsidR="00B91AF7">
        <w:rPr>
          <w:rStyle w:val="Appelnotedebasdep"/>
        </w:rPr>
        <w:footnoteReference w:id="952"/>
      </w:r>
      <w:r>
        <w:t>,</w:t>
      </w:r>
      <w:r w:rsidRPr="002C4077">
        <w:t xml:space="preserve"> </w:t>
      </w:r>
      <w:r>
        <w:t>Pierre</w:t>
      </w:r>
      <w:r w:rsidRPr="002C4077">
        <w:t xml:space="preserve"> </w:t>
      </w:r>
      <w:r w:rsidR="003B5C82">
        <w:t>Coméstor</w:t>
      </w:r>
      <w:r w:rsidR="00B91AF7">
        <w:rPr>
          <w:rStyle w:val="Appelnotedebasdep"/>
        </w:rPr>
        <w:footnoteReference w:id="953"/>
      </w:r>
      <w:r>
        <w:t>,</w:t>
      </w:r>
      <w:r w:rsidRPr="002C4077">
        <w:t xml:space="preserve"> </w:t>
      </w:r>
      <w:r>
        <w:t>le</w:t>
      </w:r>
      <w:r w:rsidRPr="002C4077">
        <w:t xml:space="preserve"> </w:t>
      </w:r>
      <w:r>
        <w:t>pape</w:t>
      </w:r>
      <w:r w:rsidRPr="002C4077">
        <w:t xml:space="preserve"> </w:t>
      </w:r>
      <w:r>
        <w:t>Innocent</w:t>
      </w:r>
      <w:r w:rsidRPr="002C4077">
        <w:t xml:space="preserve"> </w:t>
      </w:r>
      <w:r>
        <w:t>III</w:t>
      </w:r>
      <w:r w:rsidR="00B91AF7">
        <w:rPr>
          <w:rStyle w:val="Appelnotedebasdep"/>
        </w:rPr>
        <w:footnoteReference w:id="954"/>
      </w:r>
      <w:r>
        <w:t>,</w:t>
      </w:r>
      <w:r w:rsidRPr="002C4077">
        <w:t xml:space="preserve"> </w:t>
      </w:r>
      <w:r>
        <w:t>—</w:t>
      </w:r>
      <w:r w:rsidRPr="002C4077">
        <w:t xml:space="preserve"> </w:t>
      </w:r>
      <w:r>
        <w:t>ce</w:t>
      </w:r>
      <w:r w:rsidRPr="002C4077">
        <w:t xml:space="preserve"> </w:t>
      </w:r>
      <w:r>
        <w:t>qui</w:t>
      </w:r>
      <w:r w:rsidRPr="002C4077">
        <w:t xml:space="preserve"> </w:t>
      </w:r>
      <w:r>
        <w:t>n’est</w:t>
      </w:r>
      <w:r w:rsidRPr="002C4077">
        <w:t xml:space="preserve"> </w:t>
      </w:r>
      <w:r>
        <w:t>pas,</w:t>
      </w:r>
      <w:r w:rsidRPr="002C4077">
        <w:t xml:space="preserve"> </w:t>
      </w:r>
      <w:r>
        <w:t>pour</w:t>
      </w:r>
      <w:r w:rsidRPr="002C4077">
        <w:t xml:space="preserve"> </w:t>
      </w:r>
      <w:r>
        <w:t>nous,</w:t>
      </w:r>
      <w:r w:rsidR="003B5C82" w:rsidRPr="002C4077">
        <w:t xml:space="preserve"> </w:t>
      </w:r>
      <w:r>
        <w:t>une</w:t>
      </w:r>
      <w:r w:rsidRPr="002C4077">
        <w:t xml:space="preserve"> </w:t>
      </w:r>
      <w:r>
        <w:t>petite</w:t>
      </w:r>
      <w:r w:rsidRPr="002C4077">
        <w:t xml:space="preserve"> </w:t>
      </w:r>
      <w:r>
        <w:t>autorité</w:t>
      </w:r>
      <w:r w:rsidR="00B546AF">
        <w:t> :</w:t>
      </w:r>
      <w:r w:rsidRPr="002C4077">
        <w:t xml:space="preserve"> </w:t>
      </w:r>
      <w:r>
        <w:t>un</w:t>
      </w:r>
      <w:r w:rsidRPr="002C4077">
        <w:t xml:space="preserve"> </w:t>
      </w:r>
      <w:r>
        <w:t>pape,</w:t>
      </w:r>
      <w:r w:rsidRPr="002C4077">
        <w:t xml:space="preserve"> </w:t>
      </w:r>
      <w:r>
        <w:t>et</w:t>
      </w:r>
      <w:r w:rsidRPr="002C4077">
        <w:t xml:space="preserve"> </w:t>
      </w:r>
      <w:r>
        <w:t>un</w:t>
      </w:r>
      <w:r w:rsidRPr="002C4077">
        <w:t xml:space="preserve"> </w:t>
      </w:r>
      <w:r>
        <w:t>pape</w:t>
      </w:r>
      <w:r w:rsidRPr="002C4077">
        <w:t xml:space="preserve"> </w:t>
      </w:r>
      <w:r>
        <w:t>si</w:t>
      </w:r>
      <w:r w:rsidRPr="002C4077">
        <w:t xml:space="preserve"> </w:t>
      </w:r>
      <w:r>
        <w:t>savant</w:t>
      </w:r>
      <w:r w:rsidR="00B546AF">
        <w:t> !</w:t>
      </w:r>
      <w:r w:rsidR="00EC0C08">
        <w:t xml:space="preserve"> {</w:t>
      </w:r>
      <w:r w:rsidR="005E2129">
        <w:t>323</w:t>
      </w:r>
      <w:bookmarkStart w:id="785" w:name="p323"/>
      <w:bookmarkEnd w:id="785"/>
      <w:r w:rsidR="005E2129">
        <w:t xml:space="preserve">} </w:t>
      </w:r>
      <w:r>
        <w:t>—</w:t>
      </w:r>
      <w:r w:rsidRPr="002C4077">
        <w:t xml:space="preserve"> </w:t>
      </w:r>
      <w:r>
        <w:t>Turrianus</w:t>
      </w:r>
      <w:r w:rsidR="00B91AF7">
        <w:rPr>
          <w:rStyle w:val="Appelnotedebasdep"/>
        </w:rPr>
        <w:footnoteReference w:id="955"/>
      </w:r>
      <w:r>
        <w:t>,</w:t>
      </w:r>
      <w:r w:rsidRPr="002C4077">
        <w:t xml:space="preserve"> </w:t>
      </w:r>
      <w:r w:rsidR="003B5C82">
        <w:t>Salmeron</w:t>
      </w:r>
      <w:r w:rsidR="00B91AF7">
        <w:rPr>
          <w:rStyle w:val="Appelnotedebasdep"/>
        </w:rPr>
        <w:footnoteReference w:id="956"/>
      </w:r>
      <w:r>
        <w:t>,</w:t>
      </w:r>
      <w:r w:rsidRPr="002C4077">
        <w:t xml:space="preserve"> </w:t>
      </w:r>
      <w:r>
        <w:t>Barradiu</w:t>
      </w:r>
      <w:r w:rsidR="004377BC">
        <w:t>s</w:t>
      </w:r>
      <w:r w:rsidR="004377BC">
        <w:rPr>
          <w:rStyle w:val="Appelnotedebasdep"/>
        </w:rPr>
        <w:footnoteReference w:id="957"/>
      </w:r>
      <w:r>
        <w:t>,</w:t>
      </w:r>
      <w:r w:rsidRPr="002C4077">
        <w:t xml:space="preserve"> </w:t>
      </w:r>
      <w:r>
        <w:t>Lamy</w:t>
      </w:r>
      <w:r w:rsidR="00B91AF7">
        <w:rPr>
          <w:rStyle w:val="Appelnotedebasdep"/>
        </w:rPr>
        <w:footnoteReference w:id="958"/>
      </w:r>
      <w:r>
        <w:t>,</w:t>
      </w:r>
      <w:r w:rsidRPr="002C4077">
        <w:t xml:space="preserve"> </w:t>
      </w:r>
      <w:r>
        <w:t>et</w:t>
      </w:r>
      <w:r w:rsidRPr="002C4077">
        <w:t xml:space="preserve"> </w:t>
      </w:r>
      <w:r>
        <w:t>d’autres</w:t>
      </w:r>
      <w:r w:rsidRPr="002C4077">
        <w:t xml:space="preserve"> </w:t>
      </w:r>
      <w:r>
        <w:t>encore.</w:t>
      </w:r>
      <w:r w:rsidRPr="002C4077">
        <w:t xml:space="preserve"> </w:t>
      </w:r>
      <w:r>
        <w:t>Nous</w:t>
      </w:r>
      <w:r w:rsidRPr="002C4077">
        <w:t xml:space="preserve"> </w:t>
      </w:r>
      <w:r>
        <w:t>sommes</w:t>
      </w:r>
      <w:r w:rsidRPr="002C4077">
        <w:t xml:space="preserve"> </w:t>
      </w:r>
      <w:r>
        <w:t>donc</w:t>
      </w:r>
      <w:r w:rsidRPr="002C4077">
        <w:t xml:space="preserve"> </w:t>
      </w:r>
      <w:r>
        <w:t>loin</w:t>
      </w:r>
      <w:r w:rsidRPr="002C4077">
        <w:t xml:space="preserve"> </w:t>
      </w:r>
      <w:r>
        <w:t>d’innover</w:t>
      </w:r>
      <w:r w:rsidRPr="002C4077">
        <w:t xml:space="preserve"> </w:t>
      </w:r>
      <w:r>
        <w:t>sur</w:t>
      </w:r>
      <w:r w:rsidRPr="002C4077">
        <w:t xml:space="preserve"> </w:t>
      </w:r>
      <w:r>
        <w:t>ce</w:t>
      </w:r>
      <w:bookmarkStart w:id="786" w:name="z_JudasEtEucharistie_o7"/>
      <w:bookmarkEnd w:id="786"/>
      <w:r w:rsidRPr="002C4077">
        <w:t xml:space="preserve"> </w:t>
      </w:r>
      <w:r>
        <w:t>sujet.</w:t>
      </w:r>
      <w:r w:rsidRPr="002C4077">
        <w:t xml:space="preserve"> </w:t>
      </w:r>
    </w:p>
    <w:p w:rsidR="005539D9" w:rsidRDefault="005539D9" w:rsidP="000A7AAB"/>
    <w:p w:rsidR="000A7AAB" w:rsidRDefault="000A7AAB" w:rsidP="000A7AAB">
      <w:r>
        <w:t>Saint</w:t>
      </w:r>
      <w:bookmarkStart w:id="787" w:name="z_JudasEtEucharistie_o8"/>
      <w:bookmarkEnd w:id="787"/>
      <w:r w:rsidRPr="002C4077">
        <w:t xml:space="preserve"> </w:t>
      </w:r>
      <w:r>
        <w:t>Thomas</w:t>
      </w:r>
      <w:r w:rsidRPr="002C4077">
        <w:t xml:space="preserve"> </w:t>
      </w:r>
      <w:r>
        <w:t>d’Aquin</w:t>
      </w:r>
      <w:bookmarkStart w:id="788" w:name="z_ThomasDAquin_o1"/>
      <w:bookmarkEnd w:id="788"/>
      <w:r>
        <w:t>,</w:t>
      </w:r>
      <w:r w:rsidRPr="002C4077">
        <w:t xml:space="preserve"> </w:t>
      </w:r>
      <w:r>
        <w:t>dans</w:t>
      </w:r>
      <w:r w:rsidRPr="002C4077">
        <w:t xml:space="preserve"> </w:t>
      </w:r>
      <w:r>
        <w:t>sa</w:t>
      </w:r>
      <w:r w:rsidRPr="002C4077">
        <w:t xml:space="preserve"> </w:t>
      </w:r>
      <w:r>
        <w:t>Somme</w:t>
      </w:r>
      <w:r w:rsidRPr="002C4077">
        <w:t xml:space="preserve"> </w:t>
      </w:r>
      <w:r>
        <w:t>théologique,</w:t>
      </w:r>
      <w:r w:rsidRPr="002C4077">
        <w:t xml:space="preserve"> </w:t>
      </w:r>
      <w:r>
        <w:t>se</w:t>
      </w:r>
      <w:r w:rsidRPr="002C4077">
        <w:t xml:space="preserve"> </w:t>
      </w:r>
      <w:r>
        <w:t>demande</w:t>
      </w:r>
      <w:r w:rsidRPr="002C4077">
        <w:t xml:space="preserve"> </w:t>
      </w:r>
      <w:r>
        <w:t>si</w:t>
      </w:r>
      <w:r w:rsidRPr="002C4077">
        <w:t xml:space="preserve"> </w:t>
      </w:r>
      <w:r w:rsidR="00425C50">
        <w:t>Jésus</w:t>
      </w:r>
      <w:r w:rsidRPr="002C4077">
        <w:t xml:space="preserve"> </w:t>
      </w:r>
      <w:r>
        <w:t>donna</w:t>
      </w:r>
      <w:r w:rsidRPr="002C4077">
        <w:t xml:space="preserve"> </w:t>
      </w:r>
      <w:r>
        <w:t>son</w:t>
      </w:r>
      <w:r w:rsidRPr="002C4077">
        <w:t xml:space="preserve"> </w:t>
      </w:r>
      <w:r>
        <w:t>corps</w:t>
      </w:r>
      <w:r w:rsidRPr="002C4077">
        <w:t xml:space="preserve"> </w:t>
      </w:r>
      <w:r>
        <w:t>et</w:t>
      </w:r>
      <w:r w:rsidRPr="002C4077">
        <w:t xml:space="preserve"> </w:t>
      </w:r>
      <w:r>
        <w:t>son</w:t>
      </w:r>
      <w:r w:rsidRPr="002C4077">
        <w:t xml:space="preserve"> </w:t>
      </w:r>
      <w:r>
        <w:t>sang</w:t>
      </w:r>
      <w:r w:rsidRPr="002C4077">
        <w:t xml:space="preserve"> </w:t>
      </w:r>
      <w:r>
        <w:t>à</w:t>
      </w:r>
      <w:r w:rsidRPr="002C4077">
        <w:t xml:space="preserve"> </w:t>
      </w:r>
      <w:r>
        <w:t>Judas</w:t>
      </w:r>
      <w:r w:rsidRPr="002C4077">
        <w:t xml:space="preserve"> </w:t>
      </w:r>
      <w:r>
        <w:t>sous</w:t>
      </w:r>
      <w:r w:rsidRPr="002C4077">
        <w:t xml:space="preserve"> </w:t>
      </w:r>
      <w:r>
        <w:t>les</w:t>
      </w:r>
      <w:r w:rsidRPr="002C4077">
        <w:t xml:space="preserve"> </w:t>
      </w:r>
      <w:r>
        <w:t>espèces</w:t>
      </w:r>
      <w:r w:rsidRPr="002C4077">
        <w:t xml:space="preserve"> </w:t>
      </w:r>
      <w:r>
        <w:t>sacramentelles.</w:t>
      </w:r>
      <w:r w:rsidRPr="002C4077">
        <w:t xml:space="preserve"> </w:t>
      </w:r>
      <w:r>
        <w:t>Il</w:t>
      </w:r>
      <w:r w:rsidRPr="002C4077">
        <w:t xml:space="preserve"> </w:t>
      </w:r>
      <w:r>
        <w:t>répond</w:t>
      </w:r>
      <w:r w:rsidRPr="002C4077">
        <w:t xml:space="preserve"> </w:t>
      </w:r>
      <w:r>
        <w:t>affirmativement,</w:t>
      </w:r>
      <w:r w:rsidRPr="002C4077">
        <w:t xml:space="preserve"> </w:t>
      </w:r>
      <w:r>
        <w:t>pour</w:t>
      </w:r>
      <w:r w:rsidRPr="002C4077">
        <w:t xml:space="preserve"> </w:t>
      </w:r>
      <w:r>
        <w:t>la</w:t>
      </w:r>
      <w:r w:rsidRPr="002C4077">
        <w:t xml:space="preserve"> </w:t>
      </w:r>
      <w:r>
        <w:t>raison</w:t>
      </w:r>
      <w:r w:rsidRPr="002C4077">
        <w:t xml:space="preserve"> </w:t>
      </w:r>
      <w:r>
        <w:t>suivante</w:t>
      </w:r>
      <w:r w:rsidRPr="002C4077">
        <w:t xml:space="preserve"> </w:t>
      </w:r>
      <w:r>
        <w:t>qui</w:t>
      </w:r>
      <w:r w:rsidRPr="002C4077">
        <w:t xml:space="preserve"> </w:t>
      </w:r>
      <w:r>
        <w:t>a</w:t>
      </w:r>
      <w:r w:rsidRPr="002C4077">
        <w:t xml:space="preserve"> </w:t>
      </w:r>
      <w:r>
        <w:t>été</w:t>
      </w:r>
      <w:r w:rsidRPr="002C4077">
        <w:t xml:space="preserve"> </w:t>
      </w:r>
      <w:r>
        <w:t>alléguée</w:t>
      </w:r>
      <w:r w:rsidRPr="002C4077">
        <w:t xml:space="preserve"> </w:t>
      </w:r>
      <w:r>
        <w:t>depuis</w:t>
      </w:r>
      <w:r w:rsidRPr="002C4077">
        <w:t xml:space="preserve"> </w:t>
      </w:r>
      <w:r>
        <w:t>par</w:t>
      </w:r>
      <w:r w:rsidRPr="002C4077">
        <w:t xml:space="preserve"> </w:t>
      </w:r>
      <w:r>
        <w:t>tous</w:t>
      </w:r>
      <w:r w:rsidRPr="002C4077">
        <w:t xml:space="preserve"> </w:t>
      </w:r>
      <w:r>
        <w:t>les</w:t>
      </w:r>
      <w:r w:rsidRPr="002C4077">
        <w:t xml:space="preserve"> </w:t>
      </w:r>
      <w:r>
        <w:t>défenseurs</w:t>
      </w:r>
      <w:r w:rsidRPr="002C4077">
        <w:t xml:space="preserve"> </w:t>
      </w:r>
      <w:r>
        <w:t>de</w:t>
      </w:r>
      <w:r w:rsidRPr="002C4077">
        <w:t xml:space="preserve"> </w:t>
      </w:r>
      <w:r>
        <w:t>la</w:t>
      </w:r>
      <w:r w:rsidRPr="002C4077">
        <w:t xml:space="preserve"> </w:t>
      </w:r>
      <w:r>
        <w:t>même</w:t>
      </w:r>
      <w:r w:rsidRPr="002C4077">
        <w:t xml:space="preserve"> </w:t>
      </w:r>
      <w:r>
        <w:t>opinion.</w:t>
      </w:r>
      <w:r w:rsidRPr="002C4077">
        <w:t xml:space="preserve"> </w:t>
      </w:r>
      <w:r w:rsidR="00425C50">
        <w:t>Jésus</w:t>
      </w:r>
      <w:r>
        <w:t>-</w:t>
      </w:r>
      <w:r w:rsidR="00425C50">
        <w:t>Christ</w:t>
      </w:r>
      <w:r>
        <w:t>,</w:t>
      </w:r>
      <w:r w:rsidRPr="002C4077">
        <w:t xml:space="preserve"> </w:t>
      </w:r>
      <w:r>
        <w:t>modèle</w:t>
      </w:r>
      <w:r w:rsidRPr="002C4077">
        <w:t xml:space="preserve"> </w:t>
      </w:r>
      <w:r>
        <w:t>d’équité,</w:t>
      </w:r>
      <w:r w:rsidRPr="002C4077">
        <w:t xml:space="preserve"> </w:t>
      </w:r>
      <w:r>
        <w:t>autant</w:t>
      </w:r>
      <w:r w:rsidRPr="002C4077">
        <w:t xml:space="preserve"> </w:t>
      </w:r>
      <w:r>
        <w:t>que</w:t>
      </w:r>
      <w:r w:rsidRPr="002C4077">
        <w:t xml:space="preserve"> </w:t>
      </w:r>
      <w:r>
        <w:t>maître</w:t>
      </w:r>
      <w:r w:rsidRPr="002C4077">
        <w:t xml:space="preserve"> </w:t>
      </w:r>
      <w:r>
        <w:t>habile,</w:t>
      </w:r>
      <w:r w:rsidRPr="002C4077">
        <w:t xml:space="preserve"> </w:t>
      </w:r>
      <w:r>
        <w:t>ne</w:t>
      </w:r>
      <w:r w:rsidRPr="002C4077">
        <w:t xml:space="preserve"> </w:t>
      </w:r>
      <w:r>
        <w:t>jugea</w:t>
      </w:r>
      <w:r w:rsidRPr="002C4077">
        <w:t xml:space="preserve"> </w:t>
      </w:r>
      <w:r>
        <w:t>pas</w:t>
      </w:r>
      <w:r w:rsidRPr="002C4077">
        <w:t xml:space="preserve"> </w:t>
      </w:r>
      <w:r>
        <w:t>qu’il</w:t>
      </w:r>
      <w:r w:rsidRPr="002C4077">
        <w:t xml:space="preserve"> </w:t>
      </w:r>
      <w:r>
        <w:t>fût</w:t>
      </w:r>
      <w:r w:rsidRPr="002C4077">
        <w:t xml:space="preserve"> </w:t>
      </w:r>
      <w:r>
        <w:t>convenable</w:t>
      </w:r>
      <w:r w:rsidRPr="002C4077">
        <w:t xml:space="preserve"> </w:t>
      </w:r>
      <w:r>
        <w:t>de</w:t>
      </w:r>
      <w:r w:rsidRPr="002C4077">
        <w:t xml:space="preserve"> </w:t>
      </w:r>
      <w:r>
        <w:t>séparer</w:t>
      </w:r>
      <w:r w:rsidRPr="002C4077">
        <w:t xml:space="preserve"> </w:t>
      </w:r>
      <w:r>
        <w:t>de</w:t>
      </w:r>
      <w:r w:rsidRPr="002C4077">
        <w:t xml:space="preserve"> </w:t>
      </w:r>
      <w:r>
        <w:t>la</w:t>
      </w:r>
      <w:r w:rsidRPr="002C4077">
        <w:t xml:space="preserve"> </w:t>
      </w:r>
      <w:r>
        <w:t>communion</w:t>
      </w:r>
      <w:r w:rsidRPr="002C4077">
        <w:t xml:space="preserve"> </w:t>
      </w:r>
      <w:r>
        <w:t>générale</w:t>
      </w:r>
      <w:r w:rsidRPr="002C4077">
        <w:t xml:space="preserve"> </w:t>
      </w:r>
      <w:r>
        <w:t>ce</w:t>
      </w:r>
      <w:r w:rsidRPr="002C4077">
        <w:t xml:space="preserve"> </w:t>
      </w:r>
      <w:r>
        <w:t>pécheur</w:t>
      </w:r>
      <w:r w:rsidRPr="002C4077">
        <w:t xml:space="preserve"> </w:t>
      </w:r>
      <w:r>
        <w:t>caché,</w:t>
      </w:r>
      <w:r w:rsidRPr="002C4077">
        <w:t xml:space="preserve"> </w:t>
      </w:r>
      <w:r>
        <w:t>qui</w:t>
      </w:r>
      <w:r w:rsidRPr="002C4077">
        <w:t xml:space="preserve"> </w:t>
      </w:r>
      <w:r>
        <w:t>n’avait</w:t>
      </w:r>
      <w:r w:rsidRPr="002C4077">
        <w:t xml:space="preserve"> </w:t>
      </w:r>
      <w:r>
        <w:t>contre</w:t>
      </w:r>
      <w:r w:rsidRPr="002C4077">
        <w:t xml:space="preserve"> </w:t>
      </w:r>
      <w:r>
        <w:t>lui</w:t>
      </w:r>
      <w:r w:rsidRPr="002C4077">
        <w:t xml:space="preserve"> </w:t>
      </w:r>
      <w:r>
        <w:t>ni</w:t>
      </w:r>
      <w:r w:rsidRPr="002C4077">
        <w:t xml:space="preserve"> </w:t>
      </w:r>
      <w:r>
        <w:t>accusateurs,</w:t>
      </w:r>
      <w:r w:rsidRPr="002C4077">
        <w:t xml:space="preserve"> </w:t>
      </w:r>
      <w:r>
        <w:t>ni</w:t>
      </w:r>
      <w:r w:rsidRPr="002C4077">
        <w:t xml:space="preserve"> </w:t>
      </w:r>
      <w:r>
        <w:t>preuves</w:t>
      </w:r>
      <w:r w:rsidRPr="002C4077">
        <w:t xml:space="preserve"> </w:t>
      </w:r>
      <w:r>
        <w:t>manifestes.</w:t>
      </w:r>
      <w:r w:rsidRPr="002C4077">
        <w:t xml:space="preserve"> </w:t>
      </w:r>
      <w:r>
        <w:t>S’il</w:t>
      </w:r>
      <w:r w:rsidRPr="002C4077">
        <w:t xml:space="preserve"> </w:t>
      </w:r>
      <w:r>
        <w:t>eût</w:t>
      </w:r>
      <w:r w:rsidRPr="002C4077">
        <w:t xml:space="preserve"> </w:t>
      </w:r>
      <w:r>
        <w:t>agi</w:t>
      </w:r>
      <w:r w:rsidRPr="002C4077">
        <w:t xml:space="preserve"> </w:t>
      </w:r>
      <w:r>
        <w:t>autrement,</w:t>
      </w:r>
      <w:r w:rsidRPr="002C4077">
        <w:t xml:space="preserve"> </w:t>
      </w:r>
      <w:r>
        <w:t>les</w:t>
      </w:r>
      <w:r w:rsidRPr="002C4077">
        <w:t xml:space="preserve"> </w:t>
      </w:r>
      <w:r>
        <w:t>ministres</w:t>
      </w:r>
      <w:r w:rsidRPr="002C4077">
        <w:t xml:space="preserve"> </w:t>
      </w:r>
      <w:r>
        <w:t>de</w:t>
      </w:r>
      <w:r w:rsidRPr="002C4077">
        <w:t xml:space="preserve"> </w:t>
      </w:r>
      <w:r>
        <w:t>l’Église</w:t>
      </w:r>
      <w:r w:rsidRPr="002C4077">
        <w:t xml:space="preserve"> </w:t>
      </w:r>
      <w:r>
        <w:t>auraient</w:t>
      </w:r>
      <w:r w:rsidRPr="002C4077">
        <w:t xml:space="preserve"> </w:t>
      </w:r>
      <w:r>
        <w:t>dû</w:t>
      </w:r>
      <w:r w:rsidRPr="002C4077">
        <w:t xml:space="preserve"> </w:t>
      </w:r>
      <w:r>
        <w:t>l’imiter</w:t>
      </w:r>
      <w:r w:rsidRPr="002C4077">
        <w:t xml:space="preserve"> </w:t>
      </w:r>
      <w:r>
        <w:t>plus</w:t>
      </w:r>
      <w:r w:rsidRPr="002C4077">
        <w:t xml:space="preserve"> </w:t>
      </w:r>
      <w:r>
        <w:t>tard.</w:t>
      </w:r>
      <w:r w:rsidRPr="002C4077">
        <w:t xml:space="preserve"> </w:t>
      </w:r>
      <w:r>
        <w:t>Notre</w:t>
      </w:r>
      <w:r w:rsidRPr="002C4077">
        <w:t xml:space="preserve"> </w:t>
      </w:r>
      <w:r>
        <w:t>Seigneur,</w:t>
      </w:r>
      <w:r w:rsidRPr="002C4077">
        <w:t xml:space="preserve"> </w:t>
      </w:r>
      <w:r>
        <w:t>en</w:t>
      </w:r>
      <w:r w:rsidRPr="002C4077">
        <w:t xml:space="preserve"> </w:t>
      </w:r>
      <w:r>
        <w:t>tant</w:t>
      </w:r>
      <w:r w:rsidRPr="002C4077">
        <w:t xml:space="preserve"> </w:t>
      </w:r>
      <w:r>
        <w:t>que</w:t>
      </w:r>
      <w:r w:rsidRPr="002C4077">
        <w:t xml:space="preserve"> </w:t>
      </w:r>
      <w:r>
        <w:t>Dieu,</w:t>
      </w:r>
      <w:r w:rsidRPr="002C4077">
        <w:t xml:space="preserve"> </w:t>
      </w:r>
      <w:r>
        <w:t>connaissait</w:t>
      </w:r>
      <w:r w:rsidRPr="002C4077">
        <w:t xml:space="preserve"> </w:t>
      </w:r>
      <w:r>
        <w:t>très</w:t>
      </w:r>
      <w:r w:rsidRPr="002C4077">
        <w:t xml:space="preserve"> </w:t>
      </w:r>
      <w:r>
        <w:t>bien</w:t>
      </w:r>
      <w:r w:rsidRPr="002C4077">
        <w:t xml:space="preserve"> </w:t>
      </w:r>
      <w:r>
        <w:t>l’iniquité</w:t>
      </w:r>
      <w:r w:rsidRPr="002C4077">
        <w:t xml:space="preserve"> </w:t>
      </w:r>
      <w:r>
        <w:t>du</w:t>
      </w:r>
      <w:r w:rsidRPr="002C4077">
        <w:t xml:space="preserve"> </w:t>
      </w:r>
      <w:r>
        <w:t>traître</w:t>
      </w:r>
      <w:r w:rsidR="00B546AF">
        <w:t> ;</w:t>
      </w:r>
      <w:r w:rsidRPr="002C4077">
        <w:t xml:space="preserve"> </w:t>
      </w:r>
      <w:r>
        <w:t>mais</w:t>
      </w:r>
      <w:r w:rsidRPr="002C4077">
        <w:t xml:space="preserve"> </w:t>
      </w:r>
      <w:r>
        <w:t>il</w:t>
      </w:r>
      <w:r w:rsidRPr="002C4077">
        <w:t xml:space="preserve"> </w:t>
      </w:r>
      <w:r>
        <w:t>ne</w:t>
      </w:r>
      <w:r w:rsidRPr="002C4077">
        <w:t xml:space="preserve"> </w:t>
      </w:r>
      <w:r>
        <w:t>la</w:t>
      </w:r>
      <w:r w:rsidRPr="002C4077">
        <w:t xml:space="preserve"> </w:t>
      </w:r>
      <w:r>
        <w:t>connaissait</w:t>
      </w:r>
      <w:r w:rsidRPr="002C4077">
        <w:t xml:space="preserve"> </w:t>
      </w:r>
      <w:r>
        <w:t>point</w:t>
      </w:r>
      <w:r w:rsidRPr="002C4077">
        <w:t xml:space="preserve"> </w:t>
      </w:r>
      <w:r>
        <w:t>par</w:t>
      </w:r>
      <w:r w:rsidRPr="002C4077">
        <w:t xml:space="preserve"> </w:t>
      </w:r>
      <w:r>
        <w:t>les</w:t>
      </w:r>
      <w:r w:rsidRPr="002C4077">
        <w:t xml:space="preserve"> </w:t>
      </w:r>
      <w:r>
        <w:t>moyens</w:t>
      </w:r>
      <w:r w:rsidRPr="002C4077">
        <w:t xml:space="preserve"> </w:t>
      </w:r>
      <w:r>
        <w:t>humains</w:t>
      </w:r>
      <w:r w:rsidRPr="002C4077">
        <w:t xml:space="preserve"> </w:t>
      </w:r>
      <w:r>
        <w:t>dont</w:t>
      </w:r>
      <w:r w:rsidRPr="002C4077">
        <w:t xml:space="preserve"> </w:t>
      </w:r>
      <w:r>
        <w:t>les</w:t>
      </w:r>
      <w:r w:rsidRPr="002C4077">
        <w:t xml:space="preserve"> </w:t>
      </w:r>
      <w:r>
        <w:t>hommes</w:t>
      </w:r>
      <w:r w:rsidRPr="002C4077">
        <w:t xml:space="preserve"> </w:t>
      </w:r>
      <w:r>
        <w:t>peuvent</w:t>
      </w:r>
      <w:r w:rsidRPr="002C4077">
        <w:t xml:space="preserve"> </w:t>
      </w:r>
      <w:r>
        <w:t>user,</w:t>
      </w:r>
      <w:r w:rsidRPr="002C4077">
        <w:t xml:space="preserve"> </w:t>
      </w:r>
      <w:r>
        <w:t>et</w:t>
      </w:r>
      <w:r w:rsidRPr="002C4077">
        <w:t xml:space="preserve"> </w:t>
      </w:r>
      <w:r>
        <w:t>voilà</w:t>
      </w:r>
      <w:r w:rsidRPr="002C4077">
        <w:t xml:space="preserve"> </w:t>
      </w:r>
      <w:r>
        <w:t>pourquoi</w:t>
      </w:r>
      <w:r w:rsidRPr="002C4077">
        <w:t xml:space="preserve"> </w:t>
      </w:r>
      <w:r>
        <w:t>il</w:t>
      </w:r>
      <w:r w:rsidRPr="002C4077">
        <w:t xml:space="preserve"> </w:t>
      </w:r>
      <w:r>
        <w:t>parut</w:t>
      </w:r>
      <w:r w:rsidRPr="002C4077">
        <w:t xml:space="preserve"> </w:t>
      </w:r>
      <w:r>
        <w:t>l’ignorer</w:t>
      </w:r>
      <w:r w:rsidR="00B91AF7">
        <w:rPr>
          <w:rStyle w:val="Appelnotedebasdep"/>
        </w:rPr>
        <w:footnoteReference w:id="959"/>
      </w:r>
      <w:r>
        <w:t>.</w:t>
      </w:r>
      <w:r w:rsidRPr="002C4077">
        <w:t xml:space="preserve"> </w:t>
      </w:r>
    </w:p>
    <w:p w:rsidR="000A7AAB" w:rsidRPr="005E2129" w:rsidRDefault="000A7AAB" w:rsidP="000A7AAB">
      <w:r>
        <w:t>D’après</w:t>
      </w:r>
      <w:r w:rsidRPr="002C4077">
        <w:t xml:space="preserve"> </w:t>
      </w:r>
      <w:r>
        <w:t>cela,</w:t>
      </w:r>
      <w:r w:rsidRPr="002C4077">
        <w:t xml:space="preserve"> </w:t>
      </w:r>
      <w:r>
        <w:t>le</w:t>
      </w:r>
      <w:r w:rsidRPr="002C4077">
        <w:t xml:space="preserve"> </w:t>
      </w:r>
      <w:r>
        <w:t>Sauveur</w:t>
      </w:r>
      <w:r w:rsidRPr="002C4077">
        <w:t xml:space="preserve"> </w:t>
      </w:r>
      <w:r>
        <w:t>aurait</w:t>
      </w:r>
      <w:r w:rsidRPr="002C4077">
        <w:t xml:space="preserve"> </w:t>
      </w:r>
      <w:r>
        <w:t>refusé</w:t>
      </w:r>
      <w:r w:rsidRPr="002C4077">
        <w:t xml:space="preserve"> </w:t>
      </w:r>
      <w:r>
        <w:t>d’exclure</w:t>
      </w:r>
      <w:r w:rsidRPr="002C4077">
        <w:t xml:space="preserve"> </w:t>
      </w:r>
      <w:r>
        <w:t>Judas</w:t>
      </w:r>
      <w:r w:rsidRPr="002C4077">
        <w:t xml:space="preserve"> </w:t>
      </w:r>
      <w:r>
        <w:t>de</w:t>
      </w:r>
      <w:r w:rsidRPr="002C4077">
        <w:t xml:space="preserve"> </w:t>
      </w:r>
      <w:r>
        <w:t>la</w:t>
      </w:r>
      <w:r w:rsidRPr="002C4077">
        <w:t xml:space="preserve"> </w:t>
      </w:r>
      <w:r>
        <w:t>participation</w:t>
      </w:r>
      <w:r w:rsidRPr="002C4077">
        <w:t xml:space="preserve"> </w:t>
      </w:r>
      <w:r>
        <w:t>à</w:t>
      </w:r>
      <w:r w:rsidRPr="002C4077">
        <w:t xml:space="preserve"> </w:t>
      </w:r>
      <w:r>
        <w:t>son</w:t>
      </w:r>
      <w:r w:rsidRPr="002C4077">
        <w:t xml:space="preserve"> </w:t>
      </w:r>
      <w:r>
        <w:t>corps</w:t>
      </w:r>
      <w:r w:rsidRPr="002C4077">
        <w:t xml:space="preserve"> </w:t>
      </w:r>
      <w:r>
        <w:t>et</w:t>
      </w:r>
      <w:r w:rsidRPr="002C4077">
        <w:t xml:space="preserve"> </w:t>
      </w:r>
      <w:r>
        <w:t>à</w:t>
      </w:r>
      <w:r w:rsidRPr="002C4077">
        <w:t xml:space="preserve"> </w:t>
      </w:r>
      <w:r>
        <w:t>son</w:t>
      </w:r>
      <w:r w:rsidRPr="002C4077">
        <w:t xml:space="preserve"> </w:t>
      </w:r>
      <w:r>
        <w:t>sang</w:t>
      </w:r>
      <w:r w:rsidRPr="002C4077">
        <w:t xml:space="preserve"> </w:t>
      </w:r>
      <w:r>
        <w:t>parce</w:t>
      </w:r>
      <w:r w:rsidRPr="002C4077">
        <w:t xml:space="preserve"> </w:t>
      </w:r>
      <w:r>
        <w:t>que,</w:t>
      </w:r>
      <w:r w:rsidRPr="002C4077">
        <w:t xml:space="preserve"> </w:t>
      </w:r>
      <w:r>
        <w:t>humainement</w:t>
      </w:r>
      <w:r w:rsidRPr="002C4077">
        <w:t xml:space="preserve"> </w:t>
      </w:r>
      <w:r>
        <w:t>parlant,</w:t>
      </w:r>
      <w:r w:rsidRPr="002C4077">
        <w:t xml:space="preserve"> </w:t>
      </w:r>
      <w:r>
        <w:t>personne</w:t>
      </w:r>
      <w:r w:rsidRPr="002C4077">
        <w:t xml:space="preserve"> </w:t>
      </w:r>
      <w:r>
        <w:t>ne</w:t>
      </w:r>
      <w:r w:rsidRPr="002C4077">
        <w:t xml:space="preserve"> </w:t>
      </w:r>
      <w:r>
        <w:t>connaissait</w:t>
      </w:r>
      <w:r w:rsidRPr="002C4077">
        <w:t xml:space="preserve"> </w:t>
      </w:r>
      <w:r>
        <w:t>les</w:t>
      </w:r>
      <w:r w:rsidRPr="002C4077">
        <w:t xml:space="preserve"> </w:t>
      </w:r>
      <w:r>
        <w:t>dispositions</w:t>
      </w:r>
      <w:r w:rsidRPr="002C4077">
        <w:t xml:space="preserve"> </w:t>
      </w:r>
      <w:r>
        <w:t>criminelles</w:t>
      </w:r>
      <w:r w:rsidRPr="002C4077">
        <w:t xml:space="preserve"> </w:t>
      </w:r>
      <w:r>
        <w:t>du</w:t>
      </w:r>
      <w:r w:rsidRPr="002C4077">
        <w:t xml:space="preserve"> </w:t>
      </w:r>
      <w:r>
        <w:t>traître,</w:t>
      </w:r>
      <w:r w:rsidRPr="002C4077">
        <w:t xml:space="preserve"> </w:t>
      </w:r>
      <w:r>
        <w:t>et</w:t>
      </w:r>
      <w:r w:rsidRPr="002C4077">
        <w:t xml:space="preserve"> </w:t>
      </w:r>
      <w:r>
        <w:t>que</w:t>
      </w:r>
      <w:r w:rsidRPr="002C4077">
        <w:t xml:space="preserve"> </w:t>
      </w:r>
      <w:r>
        <w:t>le</w:t>
      </w:r>
      <w:r w:rsidRPr="002C4077">
        <w:t xml:space="preserve"> </w:t>
      </w:r>
      <w:r>
        <w:t>divin</w:t>
      </w:r>
      <w:r w:rsidRPr="002C4077">
        <w:t xml:space="preserve"> </w:t>
      </w:r>
      <w:r>
        <w:t>Maître</w:t>
      </w:r>
      <w:r w:rsidRPr="002C4077">
        <w:t xml:space="preserve"> </w:t>
      </w:r>
      <w:r>
        <w:t>voulait,</w:t>
      </w:r>
      <w:r w:rsidRPr="002C4077">
        <w:t xml:space="preserve"> </w:t>
      </w:r>
      <w:r>
        <w:t>par</w:t>
      </w:r>
      <w:r w:rsidRPr="002C4077">
        <w:t xml:space="preserve"> </w:t>
      </w:r>
      <w:r>
        <w:t>sa</w:t>
      </w:r>
      <w:r w:rsidRPr="002C4077">
        <w:t xml:space="preserve"> </w:t>
      </w:r>
      <w:r>
        <w:t>conduite,</w:t>
      </w:r>
      <w:r w:rsidRPr="002C4077">
        <w:t xml:space="preserve"> </w:t>
      </w:r>
      <w:r>
        <w:t>indiquer</w:t>
      </w:r>
      <w:r w:rsidRPr="002C4077">
        <w:t xml:space="preserve"> </w:t>
      </w:r>
      <w:r>
        <w:t>à</w:t>
      </w:r>
      <w:r w:rsidRPr="002C4077">
        <w:t xml:space="preserve"> </w:t>
      </w:r>
      <w:r>
        <w:t>l’Église</w:t>
      </w:r>
      <w:r w:rsidRPr="002C4077">
        <w:t xml:space="preserve"> </w:t>
      </w:r>
      <w:r>
        <w:t>ce</w:t>
      </w:r>
      <w:r w:rsidRPr="002C4077">
        <w:t xml:space="preserve"> </w:t>
      </w:r>
      <w:r>
        <w:t>qu’elle</w:t>
      </w:r>
      <w:r w:rsidRPr="002C4077">
        <w:t xml:space="preserve"> </w:t>
      </w:r>
      <w:r>
        <w:t>devait</w:t>
      </w:r>
      <w:r w:rsidRPr="002C4077">
        <w:t xml:space="preserve"> </w:t>
      </w:r>
      <w:r>
        <w:t>faire</w:t>
      </w:r>
      <w:r w:rsidRPr="002C4077">
        <w:t xml:space="preserve"> </w:t>
      </w:r>
      <w:r>
        <w:t>plus</w:t>
      </w:r>
      <w:r w:rsidRPr="002C4077">
        <w:t xml:space="preserve"> </w:t>
      </w:r>
      <w:r>
        <w:t>tard</w:t>
      </w:r>
      <w:r w:rsidRPr="002C4077">
        <w:t xml:space="preserve"> </w:t>
      </w:r>
      <w:r>
        <w:t>à</w:t>
      </w:r>
      <w:r w:rsidRPr="002C4077">
        <w:t xml:space="preserve"> </w:t>
      </w:r>
      <w:r>
        <w:t>l’égard</w:t>
      </w:r>
      <w:r w:rsidRPr="002C4077">
        <w:t xml:space="preserve"> </w:t>
      </w:r>
      <w:r>
        <w:t>des</w:t>
      </w:r>
      <w:r w:rsidRPr="002C4077">
        <w:t xml:space="preserve"> </w:t>
      </w:r>
      <w:r>
        <w:t>pécheurs</w:t>
      </w:r>
      <w:r w:rsidRPr="002C4077">
        <w:t xml:space="preserve"> </w:t>
      </w:r>
      <w:r>
        <w:t>secrets</w:t>
      </w:r>
      <w:r w:rsidRPr="002C4077">
        <w:t xml:space="preserve"> </w:t>
      </w:r>
      <w:r>
        <w:t>qui</w:t>
      </w:r>
      <w:r w:rsidRPr="002C4077">
        <w:t xml:space="preserve"> </w:t>
      </w:r>
      <w:r>
        <w:t>demanderaient</w:t>
      </w:r>
      <w:r w:rsidRPr="002C4077">
        <w:t xml:space="preserve"> </w:t>
      </w:r>
      <w:r>
        <w:t>les</w:t>
      </w:r>
      <w:r w:rsidRPr="002C4077">
        <w:t xml:space="preserve"> </w:t>
      </w:r>
      <w:r>
        <w:t>sacrements</w:t>
      </w:r>
      <w:r w:rsidRPr="002C4077">
        <w:t xml:space="preserve"> </w:t>
      </w:r>
      <w:r>
        <w:t>en</w:t>
      </w:r>
      <w:r w:rsidRPr="002C4077">
        <w:t xml:space="preserve"> </w:t>
      </w:r>
      <w:r>
        <w:t>public.</w:t>
      </w:r>
      <w:r w:rsidR="00C45B47">
        <w:t xml:space="preserve"> {</w:t>
      </w:r>
      <w:r w:rsidR="005E2129">
        <w:t>324</w:t>
      </w:r>
      <w:bookmarkStart w:id="789" w:name="p324"/>
      <w:bookmarkEnd w:id="789"/>
      <w:r w:rsidR="005E2129">
        <w:t xml:space="preserve">} </w:t>
      </w:r>
    </w:p>
    <w:p w:rsidR="000A7AAB" w:rsidRPr="005E2129" w:rsidRDefault="000A7AAB" w:rsidP="000A7AAB">
      <w:r>
        <w:t>Ne</w:t>
      </w:r>
      <w:r w:rsidRPr="002C4077">
        <w:t xml:space="preserve"> </w:t>
      </w:r>
      <w:r>
        <w:t>pourrait-on</w:t>
      </w:r>
      <w:r w:rsidRPr="002C4077">
        <w:t xml:space="preserve"> </w:t>
      </w:r>
      <w:r>
        <w:t>pas</w:t>
      </w:r>
      <w:r w:rsidRPr="002C4077">
        <w:t xml:space="preserve"> </w:t>
      </w:r>
      <w:r>
        <w:t>dire,</w:t>
      </w:r>
      <w:r w:rsidRPr="002C4077">
        <w:t xml:space="preserve"> </w:t>
      </w:r>
      <w:r>
        <w:t>avec</w:t>
      </w:r>
      <w:r w:rsidRPr="002C4077">
        <w:t xml:space="preserve"> </w:t>
      </w:r>
      <w:r>
        <w:t>tout</w:t>
      </w:r>
      <w:r w:rsidRPr="002C4077">
        <w:t xml:space="preserve"> </w:t>
      </w:r>
      <w:r>
        <w:t>le</w:t>
      </w:r>
      <w:r w:rsidRPr="002C4077">
        <w:t xml:space="preserve"> </w:t>
      </w:r>
      <w:r>
        <w:t>respect</w:t>
      </w:r>
      <w:r w:rsidRPr="002C4077">
        <w:t xml:space="preserve"> </w:t>
      </w:r>
      <w:r>
        <w:t>dû</w:t>
      </w:r>
      <w:r w:rsidRPr="002C4077">
        <w:t xml:space="preserve"> </w:t>
      </w:r>
      <w:r>
        <w:t>à</w:t>
      </w:r>
      <w:r w:rsidRPr="002C4077">
        <w:t xml:space="preserve"> </w:t>
      </w:r>
      <w:r>
        <w:t>tant</w:t>
      </w:r>
      <w:r w:rsidRPr="002C4077">
        <w:t xml:space="preserve"> </w:t>
      </w:r>
      <w:r>
        <w:t>de</w:t>
      </w:r>
      <w:r w:rsidRPr="002C4077">
        <w:t xml:space="preserve"> </w:t>
      </w:r>
      <w:r>
        <w:t>théologiens</w:t>
      </w:r>
      <w:r w:rsidRPr="002C4077">
        <w:t xml:space="preserve"> </w:t>
      </w:r>
      <w:r>
        <w:t>qui</w:t>
      </w:r>
      <w:r w:rsidRPr="002C4077">
        <w:t xml:space="preserve"> </w:t>
      </w:r>
      <w:r>
        <w:t>ont</w:t>
      </w:r>
      <w:r w:rsidRPr="002C4077">
        <w:t xml:space="preserve"> </w:t>
      </w:r>
      <w:r>
        <w:t>tour</w:t>
      </w:r>
      <w:r w:rsidRPr="002C4077">
        <w:t xml:space="preserve"> </w:t>
      </w:r>
      <w:r>
        <w:t>à</w:t>
      </w:r>
      <w:r w:rsidRPr="002C4077">
        <w:t xml:space="preserve"> </w:t>
      </w:r>
      <w:r>
        <w:t>tour</w:t>
      </w:r>
      <w:r w:rsidRPr="002C4077">
        <w:t xml:space="preserve"> </w:t>
      </w:r>
      <w:r>
        <w:t>reproduit</w:t>
      </w:r>
      <w:r w:rsidRPr="002C4077">
        <w:t xml:space="preserve"> </w:t>
      </w:r>
      <w:r>
        <w:t>cette</w:t>
      </w:r>
      <w:r w:rsidRPr="002C4077">
        <w:t xml:space="preserve"> </w:t>
      </w:r>
      <w:r>
        <w:t>argumentation,</w:t>
      </w:r>
      <w:r w:rsidRPr="002C4077">
        <w:t xml:space="preserve"> </w:t>
      </w:r>
      <w:r>
        <w:t>qu’elle</w:t>
      </w:r>
      <w:r w:rsidRPr="002C4077">
        <w:t xml:space="preserve"> </w:t>
      </w:r>
      <w:r w:rsidR="00425C50">
        <w:t>est</w:t>
      </w:r>
      <w:r w:rsidR="00F6492C" w:rsidRPr="002C4077">
        <w:t xml:space="preserve"> </w:t>
      </w:r>
      <w:r w:rsidR="003B5C82">
        <w:rPr>
          <w:rStyle w:val="italicus"/>
        </w:rPr>
        <w:t>ingeniósior</w:t>
      </w:r>
      <w:r w:rsidR="00F6492C" w:rsidRPr="002C4077">
        <w:t xml:space="preserve"> </w:t>
      </w:r>
      <w:r w:rsidR="00F6492C">
        <w:rPr>
          <w:rStyle w:val="italicus"/>
        </w:rPr>
        <w:t>quam</w:t>
      </w:r>
      <w:r w:rsidR="00F6492C" w:rsidRPr="002C4077">
        <w:t xml:space="preserve"> </w:t>
      </w:r>
      <w:r w:rsidR="00F6492C">
        <w:rPr>
          <w:rStyle w:val="italicus"/>
        </w:rPr>
        <w:t>ver</w:t>
      </w:r>
      <w:r w:rsidR="00555E55">
        <w:rPr>
          <w:rStyle w:val="italicus"/>
        </w:rPr>
        <w:t>a</w:t>
      </w:r>
      <w:r w:rsidR="00B546AF">
        <w:rPr>
          <w:rStyle w:val="italicus"/>
        </w:rPr>
        <w:t> </w:t>
      </w:r>
      <w:r w:rsidR="00B546AF" w:rsidRPr="000A34B5">
        <w:rPr>
          <w:rStyle w:val="italicus"/>
        </w:rPr>
        <w:t>?</w:t>
      </w:r>
      <w:r w:rsidRPr="002C4077">
        <w:t xml:space="preserve"> </w:t>
      </w:r>
      <w:r>
        <w:t>Pour</w:t>
      </w:r>
      <w:r w:rsidRPr="002C4077">
        <w:t xml:space="preserve"> </w:t>
      </w:r>
      <w:r>
        <w:t>notre</w:t>
      </w:r>
      <w:r w:rsidRPr="002C4077">
        <w:t xml:space="preserve"> </w:t>
      </w:r>
      <w:r>
        <w:t>part,</w:t>
      </w:r>
      <w:r w:rsidRPr="002C4077">
        <w:t xml:space="preserve"> </w:t>
      </w:r>
      <w:r>
        <w:t>nous</w:t>
      </w:r>
      <w:r w:rsidRPr="002C4077">
        <w:t xml:space="preserve"> </w:t>
      </w:r>
      <w:r>
        <w:t>avons</w:t>
      </w:r>
      <w:r w:rsidRPr="002C4077">
        <w:t xml:space="preserve"> </w:t>
      </w:r>
      <w:r>
        <w:t>de</w:t>
      </w:r>
      <w:r w:rsidRPr="002C4077">
        <w:t xml:space="preserve"> </w:t>
      </w:r>
      <w:r>
        <w:t>la</w:t>
      </w:r>
      <w:r w:rsidRPr="002C4077">
        <w:t xml:space="preserve"> </w:t>
      </w:r>
      <w:r>
        <w:t>peine</w:t>
      </w:r>
      <w:r w:rsidRPr="002C4077">
        <w:t xml:space="preserve"> </w:t>
      </w:r>
      <w:r>
        <w:t>à</w:t>
      </w:r>
      <w:r w:rsidRPr="002C4077">
        <w:t xml:space="preserve"> </w:t>
      </w:r>
      <w:r>
        <w:t>admettre</w:t>
      </w:r>
      <w:r w:rsidRPr="002C4077">
        <w:t xml:space="preserve"> </w:t>
      </w:r>
      <w:r>
        <w:t>que</w:t>
      </w:r>
      <w:r w:rsidRPr="002C4077">
        <w:t xml:space="preserve"> </w:t>
      </w:r>
      <w:r>
        <w:t>Notre</w:t>
      </w:r>
      <w:r w:rsidRPr="002C4077">
        <w:t xml:space="preserve"> </w:t>
      </w:r>
      <w:r>
        <w:t>Seigneur</w:t>
      </w:r>
      <w:r w:rsidRPr="002C4077">
        <w:t xml:space="preserve"> </w:t>
      </w:r>
      <w:r w:rsidR="00425C50">
        <w:t>Jésus</w:t>
      </w:r>
      <w:r>
        <w:t>-</w:t>
      </w:r>
      <w:r w:rsidR="00425C50">
        <w:t>Christ</w:t>
      </w:r>
      <w:r>
        <w:t>,</w:t>
      </w:r>
      <w:r w:rsidRPr="002C4077">
        <w:t xml:space="preserve"> </w:t>
      </w:r>
      <w:r>
        <w:t>au</w:t>
      </w:r>
      <w:r w:rsidRPr="002C4077">
        <w:t xml:space="preserve"> </w:t>
      </w:r>
      <w:r>
        <w:t>moment</w:t>
      </w:r>
      <w:r w:rsidRPr="002C4077">
        <w:t xml:space="preserve"> </w:t>
      </w:r>
      <w:r>
        <w:t>solennel</w:t>
      </w:r>
      <w:r w:rsidRPr="002C4077">
        <w:t xml:space="preserve"> </w:t>
      </w:r>
      <w:r>
        <w:t>où</w:t>
      </w:r>
      <w:r w:rsidRPr="002C4077">
        <w:t xml:space="preserve"> </w:t>
      </w:r>
      <w:r>
        <w:t>il</w:t>
      </w:r>
      <w:r w:rsidRPr="002C4077">
        <w:t xml:space="preserve"> </w:t>
      </w:r>
      <w:r>
        <w:t>voulait</w:t>
      </w:r>
      <w:r w:rsidRPr="002C4077">
        <w:t xml:space="preserve"> </w:t>
      </w:r>
      <w:r>
        <w:t>instituer</w:t>
      </w:r>
      <w:r w:rsidRPr="002C4077">
        <w:t xml:space="preserve"> </w:t>
      </w:r>
      <w:r>
        <w:t>le</w:t>
      </w:r>
      <w:r w:rsidRPr="002C4077">
        <w:t xml:space="preserve"> </w:t>
      </w:r>
      <w:r>
        <w:t>plus</w:t>
      </w:r>
      <w:r w:rsidRPr="002C4077">
        <w:t xml:space="preserve"> </w:t>
      </w:r>
      <w:r>
        <w:t>grand,</w:t>
      </w:r>
      <w:r w:rsidRPr="002C4077">
        <w:t xml:space="preserve"> </w:t>
      </w:r>
      <w:r>
        <w:t>le</w:t>
      </w:r>
      <w:r w:rsidRPr="002C4077">
        <w:t xml:space="preserve"> </w:t>
      </w:r>
      <w:r>
        <w:t>plus</w:t>
      </w:r>
      <w:r w:rsidRPr="002C4077">
        <w:t xml:space="preserve"> </w:t>
      </w:r>
      <w:r>
        <w:t>admirable</w:t>
      </w:r>
      <w:r w:rsidRPr="002C4077">
        <w:t xml:space="preserve"> </w:t>
      </w:r>
      <w:r>
        <w:t>de</w:t>
      </w:r>
      <w:r w:rsidRPr="002C4077">
        <w:t xml:space="preserve"> </w:t>
      </w:r>
      <w:r>
        <w:t>tous</w:t>
      </w:r>
      <w:r w:rsidRPr="002C4077">
        <w:t xml:space="preserve"> </w:t>
      </w:r>
      <w:r>
        <w:t>ses</w:t>
      </w:r>
      <w:r w:rsidRPr="002C4077">
        <w:t xml:space="preserve"> </w:t>
      </w:r>
      <w:r>
        <w:t>sacrements,</w:t>
      </w:r>
      <w:r w:rsidRPr="002C4077">
        <w:t xml:space="preserve"> </w:t>
      </w:r>
      <w:r>
        <w:t>n’ait</w:t>
      </w:r>
      <w:r w:rsidRPr="002C4077">
        <w:t xml:space="preserve"> </w:t>
      </w:r>
      <w:r>
        <w:t>voulu</w:t>
      </w:r>
      <w:r w:rsidRPr="002C4077">
        <w:t xml:space="preserve"> </w:t>
      </w:r>
      <w:r>
        <w:t>tolérer</w:t>
      </w:r>
      <w:r w:rsidRPr="002C4077">
        <w:t xml:space="preserve"> </w:t>
      </w:r>
      <w:r>
        <w:t>la</w:t>
      </w:r>
      <w:r w:rsidRPr="002C4077">
        <w:t xml:space="preserve"> </w:t>
      </w:r>
      <w:r>
        <w:t>présence</w:t>
      </w:r>
      <w:r w:rsidRPr="002C4077">
        <w:t xml:space="preserve"> </w:t>
      </w:r>
      <w:r>
        <w:t>du</w:t>
      </w:r>
      <w:r w:rsidRPr="002C4077">
        <w:t xml:space="preserve"> </w:t>
      </w:r>
      <w:r>
        <w:t>traître</w:t>
      </w:r>
      <w:r w:rsidRPr="002C4077">
        <w:t xml:space="preserve"> </w:t>
      </w:r>
      <w:r>
        <w:t>au</w:t>
      </w:r>
      <w:r w:rsidRPr="002C4077">
        <w:t xml:space="preserve"> </w:t>
      </w:r>
      <w:r>
        <w:t>cénacle</w:t>
      </w:r>
      <w:r w:rsidRPr="002C4077">
        <w:t xml:space="preserve"> </w:t>
      </w:r>
      <w:r>
        <w:t>pendant</w:t>
      </w:r>
      <w:r w:rsidRPr="002C4077">
        <w:t xml:space="preserve"> </w:t>
      </w:r>
      <w:r>
        <w:t>l’institution</w:t>
      </w:r>
      <w:r w:rsidRPr="002C4077">
        <w:t xml:space="preserve"> </w:t>
      </w:r>
      <w:r>
        <w:t>de</w:t>
      </w:r>
      <w:r w:rsidRPr="002C4077">
        <w:t xml:space="preserve"> </w:t>
      </w:r>
      <w:r>
        <w:t>la</w:t>
      </w:r>
      <w:r w:rsidRPr="002C4077">
        <w:t xml:space="preserve"> </w:t>
      </w:r>
      <w:r>
        <w:t>divine</w:t>
      </w:r>
      <w:r w:rsidRPr="002C4077">
        <w:t xml:space="preserve"> </w:t>
      </w:r>
      <w:r>
        <w:t>Eucharistie</w:t>
      </w:r>
      <w:r w:rsidRPr="002C4077">
        <w:t xml:space="preserve"> </w:t>
      </w:r>
      <w:r>
        <w:t>que</w:t>
      </w:r>
      <w:r w:rsidRPr="002C4077">
        <w:t xml:space="preserve"> </w:t>
      </w:r>
      <w:r>
        <w:t>pour</w:t>
      </w:r>
      <w:r w:rsidRPr="002C4077">
        <w:t xml:space="preserve"> </w:t>
      </w:r>
      <w:r>
        <w:t>avoir</w:t>
      </w:r>
      <w:r w:rsidRPr="002C4077">
        <w:t xml:space="preserve"> </w:t>
      </w:r>
      <w:r>
        <w:t>l’occasion</w:t>
      </w:r>
      <w:r w:rsidRPr="002C4077">
        <w:t xml:space="preserve"> </w:t>
      </w:r>
      <w:r>
        <w:t>de</w:t>
      </w:r>
      <w:r w:rsidRPr="002C4077">
        <w:t xml:space="preserve"> </w:t>
      </w:r>
      <w:r>
        <w:t>donner</w:t>
      </w:r>
      <w:r w:rsidRPr="002C4077">
        <w:t xml:space="preserve"> </w:t>
      </w:r>
      <w:r>
        <w:t>une</w:t>
      </w:r>
      <w:r w:rsidRPr="002C4077">
        <w:t xml:space="preserve"> </w:t>
      </w:r>
      <w:r>
        <w:t>leçon</w:t>
      </w:r>
      <w:r w:rsidRPr="002C4077">
        <w:t xml:space="preserve"> </w:t>
      </w:r>
      <w:r>
        <w:t>de</w:t>
      </w:r>
      <w:r w:rsidRPr="002C4077">
        <w:t xml:space="preserve"> </w:t>
      </w:r>
      <w:r>
        <w:t>théologie</w:t>
      </w:r>
      <w:r w:rsidRPr="002C4077">
        <w:t xml:space="preserve"> </w:t>
      </w:r>
      <w:r>
        <w:t>pastorale</w:t>
      </w:r>
      <w:r w:rsidRPr="002C4077">
        <w:t xml:space="preserve"> </w:t>
      </w:r>
      <w:r>
        <w:t>aux</w:t>
      </w:r>
      <w:r w:rsidRPr="002C4077">
        <w:t xml:space="preserve"> </w:t>
      </w:r>
      <w:r>
        <w:t>apôtres</w:t>
      </w:r>
      <w:r w:rsidRPr="002C4077">
        <w:t xml:space="preserve"> </w:t>
      </w:r>
      <w:r>
        <w:t>et</w:t>
      </w:r>
      <w:r w:rsidRPr="002C4077">
        <w:t xml:space="preserve"> </w:t>
      </w:r>
      <w:r>
        <w:t>à</w:t>
      </w:r>
      <w:r w:rsidRPr="002C4077">
        <w:t xml:space="preserve"> </w:t>
      </w:r>
      <w:r>
        <w:t>leurs</w:t>
      </w:r>
      <w:r w:rsidRPr="002C4077">
        <w:t xml:space="preserve"> </w:t>
      </w:r>
      <w:r>
        <w:t>successeurs</w:t>
      </w:r>
      <w:r w:rsidR="00B91AF7">
        <w:rPr>
          <w:rStyle w:val="Appelnotedebasdep"/>
        </w:rPr>
        <w:footnoteReference w:id="960"/>
      </w:r>
      <w:r>
        <w:t>.</w:t>
      </w:r>
      <w:r w:rsidRPr="002C4077">
        <w:t xml:space="preserve"> </w:t>
      </w:r>
      <w:r>
        <w:t>D’ailleurs</w:t>
      </w:r>
      <w:r w:rsidRPr="002C4077">
        <w:t xml:space="preserve"> </w:t>
      </w:r>
      <w:r>
        <w:t>nous</w:t>
      </w:r>
      <w:r w:rsidRPr="002C4077">
        <w:t xml:space="preserve"> </w:t>
      </w:r>
      <w:r>
        <w:t>ne</w:t>
      </w:r>
      <w:r w:rsidRPr="002C4077">
        <w:t xml:space="preserve"> </w:t>
      </w:r>
      <w:r>
        <w:t>prétendons</w:t>
      </w:r>
      <w:r w:rsidRPr="002C4077">
        <w:t xml:space="preserve"> </w:t>
      </w:r>
      <w:r>
        <w:t>point</w:t>
      </w:r>
      <w:r w:rsidRPr="002C4077">
        <w:t xml:space="preserve"> </w:t>
      </w:r>
      <w:r>
        <w:t>que</w:t>
      </w:r>
      <w:r w:rsidRPr="002C4077">
        <w:t xml:space="preserve"> </w:t>
      </w:r>
      <w:r>
        <w:t>Judas</w:t>
      </w:r>
      <w:r w:rsidRPr="002C4077">
        <w:t xml:space="preserve"> </w:t>
      </w:r>
      <w:r>
        <w:t>ait</w:t>
      </w:r>
      <w:r w:rsidRPr="002C4077">
        <w:t xml:space="preserve"> </w:t>
      </w:r>
      <w:r>
        <w:t>été</w:t>
      </w:r>
      <w:r w:rsidRPr="002C4077">
        <w:t xml:space="preserve"> </w:t>
      </w:r>
      <w:r>
        <w:t>formellement</w:t>
      </w:r>
      <w:r w:rsidRPr="002C4077">
        <w:t xml:space="preserve"> </w:t>
      </w:r>
      <w:r>
        <w:t>exclu</w:t>
      </w:r>
      <w:r w:rsidRPr="002C4077">
        <w:t xml:space="preserve"> </w:t>
      </w:r>
      <w:r>
        <w:t>de</w:t>
      </w:r>
      <w:r w:rsidRPr="002C4077">
        <w:t xml:space="preserve"> </w:t>
      </w:r>
      <w:r>
        <w:t>la</w:t>
      </w:r>
      <w:r w:rsidRPr="002C4077">
        <w:t xml:space="preserve"> </w:t>
      </w:r>
      <w:r>
        <w:t>communion.</w:t>
      </w:r>
      <w:r w:rsidRPr="002C4077">
        <w:t xml:space="preserve"> </w:t>
      </w:r>
      <w:r w:rsidR="00425C50">
        <w:t>Jésus</w:t>
      </w:r>
      <w:r w:rsidRPr="002C4077">
        <w:t xml:space="preserve"> </w:t>
      </w:r>
      <w:r>
        <w:t>lui</w:t>
      </w:r>
      <w:r w:rsidRPr="002C4077">
        <w:t xml:space="preserve"> </w:t>
      </w:r>
      <w:r>
        <w:t>fournit</w:t>
      </w:r>
      <w:r w:rsidRPr="002C4077">
        <w:t xml:space="preserve"> </w:t>
      </w:r>
      <w:r>
        <w:t>seulement</w:t>
      </w:r>
      <w:r w:rsidRPr="002C4077">
        <w:t xml:space="preserve"> </w:t>
      </w:r>
      <w:r>
        <w:t>un</w:t>
      </w:r>
      <w:r w:rsidRPr="002C4077">
        <w:t xml:space="preserve"> </w:t>
      </w:r>
      <w:r>
        <w:t>prétexte</w:t>
      </w:r>
      <w:r w:rsidRPr="002C4077">
        <w:t xml:space="preserve"> </w:t>
      </w:r>
      <w:r>
        <w:t>pour</w:t>
      </w:r>
      <w:r w:rsidRPr="002C4077">
        <w:t xml:space="preserve"> </w:t>
      </w:r>
      <w:r>
        <w:t>s’éloigner</w:t>
      </w:r>
      <w:r w:rsidRPr="002C4077">
        <w:t xml:space="preserve"> </w:t>
      </w:r>
      <w:r>
        <w:t>plus</w:t>
      </w:r>
      <w:r w:rsidRPr="002C4077">
        <w:t xml:space="preserve"> </w:t>
      </w:r>
      <w:r>
        <w:t>tôt</w:t>
      </w:r>
      <w:r w:rsidR="00B546AF">
        <w:t> ;</w:t>
      </w:r>
      <w:r w:rsidRPr="002C4077">
        <w:t xml:space="preserve"> </w:t>
      </w:r>
      <w:r>
        <w:t>mais</w:t>
      </w:r>
      <w:r w:rsidRPr="002C4077">
        <w:t xml:space="preserve"> </w:t>
      </w:r>
      <w:r>
        <w:t>il</w:t>
      </w:r>
      <w:r w:rsidRPr="002C4077">
        <w:t xml:space="preserve"> </w:t>
      </w:r>
      <w:r>
        <w:t>le</w:t>
      </w:r>
      <w:r w:rsidRPr="002C4077">
        <w:t xml:space="preserve"> </w:t>
      </w:r>
      <w:r>
        <w:t>laissait</w:t>
      </w:r>
      <w:r w:rsidRPr="002C4077">
        <w:t xml:space="preserve"> </w:t>
      </w:r>
      <w:r>
        <w:t>libre</w:t>
      </w:r>
      <w:r w:rsidRPr="002C4077">
        <w:t xml:space="preserve"> </w:t>
      </w:r>
      <w:r>
        <w:t>de</w:t>
      </w:r>
      <w:r w:rsidRPr="002C4077">
        <w:t xml:space="preserve"> </w:t>
      </w:r>
      <w:r>
        <w:t>rester</w:t>
      </w:r>
      <w:r w:rsidR="00B91AF7">
        <w:rPr>
          <w:rStyle w:val="Appelnotedebasdep"/>
        </w:rPr>
        <w:footnoteReference w:id="961"/>
      </w:r>
      <w:r>
        <w:t>.</w:t>
      </w:r>
      <w:r w:rsidRPr="002C4077">
        <w:t xml:space="preserve"> </w:t>
      </w:r>
      <w:r w:rsidR="00B546AF">
        <w:t>« </w:t>
      </w:r>
      <w:r>
        <w:t>Nous</w:t>
      </w:r>
      <w:r w:rsidRPr="002C4077">
        <w:t xml:space="preserve"> </w:t>
      </w:r>
      <w:r>
        <w:t>trouvons</w:t>
      </w:r>
      <w:r w:rsidRPr="002C4077">
        <w:t xml:space="preserve"> </w:t>
      </w:r>
      <w:r>
        <w:t>beaucoup</w:t>
      </w:r>
      <w:r w:rsidRPr="002C4077">
        <w:t xml:space="preserve"> </w:t>
      </w:r>
      <w:r>
        <w:t>plus</w:t>
      </w:r>
      <w:r w:rsidRPr="002C4077">
        <w:t xml:space="preserve"> </w:t>
      </w:r>
      <w:r>
        <w:t>de</w:t>
      </w:r>
      <w:r w:rsidRPr="002C4077">
        <w:t xml:space="preserve"> </w:t>
      </w:r>
      <w:r>
        <w:t>profondeur,</w:t>
      </w:r>
      <w:r w:rsidRPr="002C4077">
        <w:t xml:space="preserve"> </w:t>
      </w:r>
      <w:r>
        <w:t>dit</w:t>
      </w:r>
      <w:r w:rsidRPr="002C4077">
        <w:t xml:space="preserve"> </w:t>
      </w:r>
      <w:r>
        <w:t>le</w:t>
      </w:r>
      <w:r w:rsidRPr="002C4077">
        <w:t xml:space="preserve"> </w:t>
      </w:r>
      <w:r>
        <w:t>docteur</w:t>
      </w:r>
      <w:r w:rsidRPr="002C4077">
        <w:t xml:space="preserve"> </w:t>
      </w:r>
      <w:r>
        <w:t>Langen</w:t>
      </w:r>
      <w:r w:rsidR="003B5C82">
        <w:rPr>
          <w:rStyle w:val="Appelnotedebasdep"/>
        </w:rPr>
        <w:footnoteReference w:id="962"/>
      </w:r>
      <w:r>
        <w:t>,</w:t>
      </w:r>
      <w:r w:rsidRPr="002C4077">
        <w:t xml:space="preserve"> </w:t>
      </w:r>
      <w:r>
        <w:t>à</w:t>
      </w:r>
      <w:r w:rsidRPr="002C4077">
        <w:t xml:space="preserve"> </w:t>
      </w:r>
      <w:r>
        <w:t>l’opinion</w:t>
      </w:r>
      <w:r w:rsidRPr="002C4077">
        <w:t xml:space="preserve"> </w:t>
      </w:r>
      <w:r>
        <w:t>d’après</w:t>
      </w:r>
      <w:r w:rsidRPr="002C4077">
        <w:t xml:space="preserve"> </w:t>
      </w:r>
      <w:r>
        <w:t>laquelle</w:t>
      </w:r>
      <w:r w:rsidRPr="002C4077">
        <w:t xml:space="preserve"> </w:t>
      </w:r>
      <w:r w:rsidR="003B53FD">
        <w:t>celui</w:t>
      </w:r>
      <w:r w:rsidRPr="002C4077">
        <w:t xml:space="preserve"> </w:t>
      </w:r>
      <w:r>
        <w:t>qui</w:t>
      </w:r>
      <w:r w:rsidRPr="002C4077">
        <w:t xml:space="preserve"> </w:t>
      </w:r>
      <w:r>
        <w:t>refusa</w:t>
      </w:r>
      <w:r w:rsidRPr="002C4077">
        <w:t xml:space="preserve"> </w:t>
      </w:r>
      <w:r>
        <w:t>de</w:t>
      </w:r>
      <w:r w:rsidRPr="002C4077">
        <w:t xml:space="preserve"> </w:t>
      </w:r>
      <w:r>
        <w:t>communiquer</w:t>
      </w:r>
      <w:r w:rsidRPr="002C4077">
        <w:t xml:space="preserve"> </w:t>
      </w:r>
      <w:r>
        <w:t>avec</w:t>
      </w:r>
      <w:r w:rsidRPr="002C4077">
        <w:t xml:space="preserve"> </w:t>
      </w:r>
      <w:r>
        <w:t>le</w:t>
      </w:r>
      <w:r w:rsidRPr="002C4077">
        <w:t xml:space="preserve"> </w:t>
      </w:r>
      <w:r>
        <w:t>Sauveur</w:t>
      </w:r>
      <w:r w:rsidRPr="002C4077">
        <w:t xml:space="preserve"> </w:t>
      </w:r>
      <w:r>
        <w:t>et</w:t>
      </w:r>
      <w:r w:rsidRPr="002C4077">
        <w:t xml:space="preserve"> </w:t>
      </w:r>
      <w:r>
        <w:t>qui,</w:t>
      </w:r>
      <w:r w:rsidRPr="002C4077">
        <w:t xml:space="preserve"> </w:t>
      </w:r>
      <w:r>
        <w:t>par</w:t>
      </w:r>
      <w:r w:rsidRPr="002C4077">
        <w:t xml:space="preserve"> </w:t>
      </w:r>
      <w:r>
        <w:t>sa</w:t>
      </w:r>
      <w:r w:rsidRPr="002C4077">
        <w:t xml:space="preserve"> </w:t>
      </w:r>
      <w:r>
        <w:t>trahison,</w:t>
      </w:r>
      <w:r w:rsidRPr="002C4077">
        <w:t xml:space="preserve"> </w:t>
      </w:r>
      <w:r>
        <w:t>fut</w:t>
      </w:r>
      <w:r w:rsidRPr="002C4077">
        <w:t xml:space="preserve"> </w:t>
      </w:r>
      <w:r>
        <w:t>la</w:t>
      </w:r>
      <w:r w:rsidRPr="002C4077">
        <w:t xml:space="preserve"> </w:t>
      </w:r>
      <w:r>
        <w:t>cause</w:t>
      </w:r>
      <w:r w:rsidRPr="002C4077">
        <w:t xml:space="preserve"> </w:t>
      </w:r>
      <w:r>
        <w:t>de</w:t>
      </w:r>
      <w:r w:rsidRPr="002C4077">
        <w:t xml:space="preserve"> </w:t>
      </w:r>
      <w:r>
        <w:t>sa</w:t>
      </w:r>
      <w:r w:rsidRPr="002C4077">
        <w:t xml:space="preserve"> </w:t>
      </w:r>
      <w:r>
        <w:t>mort,</w:t>
      </w:r>
      <w:r w:rsidRPr="002C4077">
        <w:t xml:space="preserve"> </w:t>
      </w:r>
      <w:r>
        <w:t>ne</w:t>
      </w:r>
      <w:r w:rsidRPr="002C4077">
        <w:t xml:space="preserve"> </w:t>
      </w:r>
      <w:r>
        <w:t>dut</w:t>
      </w:r>
      <w:r w:rsidRPr="002C4077">
        <w:t xml:space="preserve"> </w:t>
      </w:r>
      <w:r>
        <w:t>point</w:t>
      </w:r>
      <w:r w:rsidRPr="002C4077">
        <w:t xml:space="preserve"> </w:t>
      </w:r>
      <w:r>
        <w:t>participer</w:t>
      </w:r>
      <w:r w:rsidRPr="002C4077">
        <w:t xml:space="preserve"> </w:t>
      </w:r>
      <w:r>
        <w:t>au</w:t>
      </w:r>
      <w:r w:rsidRPr="002C4077">
        <w:t xml:space="preserve"> </w:t>
      </w:r>
      <w:r>
        <w:t>souvenir</w:t>
      </w:r>
      <w:r w:rsidRPr="002C4077">
        <w:t xml:space="preserve"> </w:t>
      </w:r>
      <w:r>
        <w:t>salutaire</w:t>
      </w:r>
      <w:r w:rsidRPr="002C4077">
        <w:t xml:space="preserve"> </w:t>
      </w:r>
      <w:r>
        <w:t>de</w:t>
      </w:r>
      <w:r w:rsidRPr="002C4077">
        <w:t xml:space="preserve"> </w:t>
      </w:r>
      <w:r>
        <w:t>son</w:t>
      </w:r>
      <w:r w:rsidRPr="002C4077">
        <w:t xml:space="preserve"> </w:t>
      </w:r>
      <w:r>
        <w:t>immolation.</w:t>
      </w:r>
      <w:r w:rsidRPr="002C4077">
        <w:t xml:space="preserve"> </w:t>
      </w:r>
      <w:r>
        <w:t>L’institution</w:t>
      </w:r>
      <w:r w:rsidRPr="002C4077">
        <w:t xml:space="preserve"> </w:t>
      </w:r>
      <w:r>
        <w:t>de</w:t>
      </w:r>
      <w:r w:rsidRPr="002C4077">
        <w:t xml:space="preserve"> </w:t>
      </w:r>
      <w:r>
        <w:t>ce</w:t>
      </w:r>
      <w:r w:rsidRPr="002C4077">
        <w:t xml:space="preserve"> </w:t>
      </w:r>
      <w:r>
        <w:t>grand</w:t>
      </w:r>
      <w:r w:rsidRPr="002C4077">
        <w:t xml:space="preserve"> </w:t>
      </w:r>
      <w:r>
        <w:t>mystère</w:t>
      </w:r>
      <w:r w:rsidRPr="002C4077">
        <w:t xml:space="preserve"> </w:t>
      </w:r>
      <w:r>
        <w:t>ne</w:t>
      </w:r>
      <w:r w:rsidRPr="002C4077">
        <w:t xml:space="preserve"> </w:t>
      </w:r>
      <w:r>
        <w:t>devait</w:t>
      </w:r>
      <w:r w:rsidRPr="002C4077">
        <w:t xml:space="preserve"> </w:t>
      </w:r>
      <w:r>
        <w:t>pas</w:t>
      </w:r>
      <w:r w:rsidRPr="002C4077">
        <w:t xml:space="preserve"> </w:t>
      </w:r>
      <w:r>
        <w:t>être</w:t>
      </w:r>
      <w:r w:rsidRPr="002C4077">
        <w:t xml:space="preserve"> </w:t>
      </w:r>
      <w:r>
        <w:t>profanée</w:t>
      </w:r>
      <w:r w:rsidRPr="002C4077">
        <w:t xml:space="preserve"> </w:t>
      </w:r>
      <w:r>
        <w:t>par</w:t>
      </w:r>
      <w:r w:rsidRPr="002C4077">
        <w:t xml:space="preserve"> </w:t>
      </w:r>
      <w:r>
        <w:t>la</w:t>
      </w:r>
      <w:r w:rsidRPr="002C4077">
        <w:t xml:space="preserve"> </w:t>
      </w:r>
      <w:r>
        <w:t>participation</w:t>
      </w:r>
      <w:r w:rsidRPr="002C4077">
        <w:t xml:space="preserve"> </w:t>
      </w:r>
      <w:r>
        <w:t>d’un</w:t>
      </w:r>
      <w:r w:rsidRPr="002C4077">
        <w:t xml:space="preserve"> </w:t>
      </w:r>
      <w:r>
        <w:t>traître.</w:t>
      </w:r>
      <w:r w:rsidRPr="002C4077">
        <w:t xml:space="preserve"> </w:t>
      </w:r>
      <w:r>
        <w:t>Il</w:t>
      </w:r>
      <w:r w:rsidRPr="002C4077">
        <w:t xml:space="preserve"> </w:t>
      </w:r>
      <w:r>
        <w:t>fallait</w:t>
      </w:r>
      <w:r w:rsidRPr="002C4077">
        <w:t xml:space="preserve"> </w:t>
      </w:r>
      <w:r>
        <w:t>que</w:t>
      </w:r>
      <w:r w:rsidRPr="002C4077">
        <w:t xml:space="preserve"> </w:t>
      </w:r>
      <w:r>
        <w:t>ce</w:t>
      </w:r>
      <w:r w:rsidRPr="002C4077">
        <w:t xml:space="preserve"> </w:t>
      </w:r>
      <w:r>
        <w:t>misérable</w:t>
      </w:r>
      <w:r w:rsidRPr="002C4077">
        <w:t xml:space="preserve"> </w:t>
      </w:r>
      <w:r>
        <w:t>eût</w:t>
      </w:r>
      <w:r w:rsidRPr="002C4077">
        <w:t xml:space="preserve"> </w:t>
      </w:r>
      <w:r>
        <w:t>disparu</w:t>
      </w:r>
      <w:r w:rsidRPr="002C4077">
        <w:t xml:space="preserve"> </w:t>
      </w:r>
      <w:r>
        <w:t>de</w:t>
      </w:r>
      <w:r w:rsidRPr="002C4077">
        <w:t xml:space="preserve"> </w:t>
      </w:r>
      <w:r>
        <w:t>ses</w:t>
      </w:r>
      <w:r w:rsidRPr="002C4077">
        <w:t xml:space="preserve"> </w:t>
      </w:r>
      <w:r>
        <w:t>yeux,</w:t>
      </w:r>
      <w:r w:rsidRPr="002C4077">
        <w:t xml:space="preserve"> </w:t>
      </w:r>
      <w:r>
        <w:t>pour</w:t>
      </w:r>
      <w:r w:rsidRPr="002C4077">
        <w:t xml:space="preserve"> </w:t>
      </w:r>
      <w:r>
        <w:t>que</w:t>
      </w:r>
      <w:r w:rsidRPr="002C4077">
        <w:t xml:space="preserve"> </w:t>
      </w:r>
      <w:r>
        <w:t>Notre</w:t>
      </w:r>
      <w:r w:rsidRPr="002C4077">
        <w:t xml:space="preserve"> </w:t>
      </w:r>
      <w:r>
        <w:t>Seigneur</w:t>
      </w:r>
      <w:r w:rsidRPr="002C4077">
        <w:t xml:space="preserve"> </w:t>
      </w:r>
      <w:r>
        <w:t>pût</w:t>
      </w:r>
      <w:r w:rsidRPr="002C4077">
        <w:t xml:space="preserve"> </w:t>
      </w:r>
      <w:r>
        <w:t>s’abandonner</w:t>
      </w:r>
      <w:r w:rsidRPr="002C4077">
        <w:t xml:space="preserve"> </w:t>
      </w:r>
      <w:r>
        <w:t>aux</w:t>
      </w:r>
      <w:r w:rsidRPr="002C4077">
        <w:t xml:space="preserve"> </w:t>
      </w:r>
      <w:r>
        <w:t>sentiments</w:t>
      </w:r>
      <w:r w:rsidRPr="002C4077">
        <w:t xml:space="preserve"> </w:t>
      </w:r>
      <w:r>
        <w:t>de</w:t>
      </w:r>
      <w:r w:rsidRPr="002C4077">
        <w:t xml:space="preserve"> </w:t>
      </w:r>
      <w:r>
        <w:t>paix</w:t>
      </w:r>
      <w:r w:rsidRPr="002C4077">
        <w:t xml:space="preserve"> </w:t>
      </w:r>
      <w:r>
        <w:t>et</w:t>
      </w:r>
      <w:r w:rsidRPr="002C4077">
        <w:t xml:space="preserve"> </w:t>
      </w:r>
      <w:r>
        <w:t>de</w:t>
      </w:r>
      <w:r w:rsidRPr="002C4077">
        <w:t xml:space="preserve"> </w:t>
      </w:r>
      <w:r>
        <w:t>tranquillité</w:t>
      </w:r>
      <w:r w:rsidRPr="002C4077">
        <w:t xml:space="preserve"> </w:t>
      </w:r>
      <w:r>
        <w:t>qui</w:t>
      </w:r>
      <w:r w:rsidRPr="002C4077">
        <w:t xml:space="preserve"> </w:t>
      </w:r>
      <w:r>
        <w:t>semblaient</w:t>
      </w:r>
      <w:r w:rsidRPr="002C4077">
        <w:t xml:space="preserve"> </w:t>
      </w:r>
      <w:r>
        <w:t>convenir</w:t>
      </w:r>
      <w:r w:rsidRPr="002C4077">
        <w:t xml:space="preserve"> </w:t>
      </w:r>
      <w:r>
        <w:t>à</w:t>
      </w:r>
      <w:r w:rsidRPr="002C4077">
        <w:t xml:space="preserve"> </w:t>
      </w:r>
      <w:r>
        <w:t>la</w:t>
      </w:r>
      <w:r w:rsidRPr="002C4077">
        <w:t xml:space="preserve"> </w:t>
      </w:r>
      <w:r>
        <w:t>sublime</w:t>
      </w:r>
      <w:r w:rsidRPr="002C4077">
        <w:t xml:space="preserve"> </w:t>
      </w:r>
      <w:r>
        <w:t>manifestation</w:t>
      </w:r>
      <w:r w:rsidRPr="002C4077">
        <w:t xml:space="preserve"> </w:t>
      </w:r>
      <w:r>
        <w:t>de</w:t>
      </w:r>
      <w:r w:rsidRPr="002C4077">
        <w:t xml:space="preserve"> </w:t>
      </w:r>
      <w:r>
        <w:t>son</w:t>
      </w:r>
      <w:r w:rsidRPr="002C4077">
        <w:t xml:space="preserve"> </w:t>
      </w:r>
      <w:r>
        <w:t>amour</w:t>
      </w:r>
      <w:r w:rsidRPr="002C4077">
        <w:t xml:space="preserve"> </w:t>
      </w:r>
      <w:r>
        <w:t>pour</w:t>
      </w:r>
      <w:r w:rsidRPr="002C4077">
        <w:t xml:space="preserve"> </w:t>
      </w:r>
      <w:r>
        <w:t>les</w:t>
      </w:r>
      <w:r w:rsidRPr="002C4077">
        <w:t xml:space="preserve"> </w:t>
      </w:r>
      <w:r>
        <w:t>hommes,</w:t>
      </w:r>
      <w:r w:rsidRPr="002C4077">
        <w:t xml:space="preserve"> </w:t>
      </w:r>
      <w:r>
        <w:t>et</w:t>
      </w:r>
      <w:r w:rsidRPr="002C4077">
        <w:t xml:space="preserve"> </w:t>
      </w:r>
      <w:r>
        <w:t>qui</w:t>
      </w:r>
      <w:r w:rsidRPr="002C4077">
        <w:t xml:space="preserve"> </w:t>
      </w:r>
      <w:r>
        <w:t>apparaissent</w:t>
      </w:r>
      <w:r w:rsidRPr="002C4077">
        <w:t xml:space="preserve"> </w:t>
      </w:r>
      <w:r>
        <w:t>visiblement</w:t>
      </w:r>
      <w:r w:rsidRPr="002C4077">
        <w:t xml:space="preserve"> </w:t>
      </w:r>
      <w:r>
        <w:t>dans</w:t>
      </w:r>
      <w:r w:rsidRPr="002C4077">
        <w:t xml:space="preserve"> </w:t>
      </w:r>
      <w:r>
        <w:t>les</w:t>
      </w:r>
      <w:r w:rsidRPr="002C4077">
        <w:t xml:space="preserve"> </w:t>
      </w:r>
      <w:r>
        <w:t>paroles</w:t>
      </w:r>
      <w:r w:rsidRPr="002C4077">
        <w:t xml:space="preserve"> </w:t>
      </w:r>
      <w:r>
        <w:t>qu’il</w:t>
      </w:r>
      <w:r w:rsidRPr="002C4077">
        <w:t xml:space="preserve"> </w:t>
      </w:r>
      <w:r>
        <w:t>prononça</w:t>
      </w:r>
      <w:r w:rsidRPr="002C4077">
        <w:t xml:space="preserve"> </w:t>
      </w:r>
      <w:r>
        <w:t>en</w:t>
      </w:r>
      <w:r w:rsidRPr="002C4077">
        <w:t xml:space="preserve"> </w:t>
      </w:r>
      <w:r>
        <w:t>cette</w:t>
      </w:r>
      <w:r w:rsidRPr="002C4077">
        <w:t xml:space="preserve"> </w:t>
      </w:r>
      <w:r>
        <w:t>circonstance</w:t>
      </w:r>
      <w:r w:rsidRPr="002C4077">
        <w:t xml:space="preserve"> </w:t>
      </w:r>
      <w:r>
        <w:t>avec</w:t>
      </w:r>
      <w:r w:rsidRPr="002C4077">
        <w:t xml:space="preserve"> </w:t>
      </w:r>
      <w:r>
        <w:t>un</w:t>
      </w:r>
      <w:r w:rsidRPr="002C4077">
        <w:t xml:space="preserve"> </w:t>
      </w:r>
      <w:r>
        <w:t>calme</w:t>
      </w:r>
      <w:r w:rsidRPr="002C4077">
        <w:t xml:space="preserve"> </w:t>
      </w:r>
      <w:r>
        <w:t>tout</w:t>
      </w:r>
      <w:r w:rsidRPr="002C4077">
        <w:t xml:space="preserve"> </w:t>
      </w:r>
      <w:r>
        <w:t>divin</w:t>
      </w:r>
      <w:r w:rsidRPr="002C4077">
        <w:t xml:space="preserve"> </w:t>
      </w:r>
      <w:r>
        <w:t>et</w:t>
      </w:r>
      <w:r w:rsidRPr="002C4077">
        <w:t xml:space="preserve"> </w:t>
      </w:r>
      <w:r>
        <w:t>sous</w:t>
      </w:r>
      <w:r w:rsidRPr="002C4077">
        <w:t xml:space="preserve"> </w:t>
      </w:r>
      <w:r>
        <w:t>l’empire</w:t>
      </w:r>
      <w:r w:rsidRPr="002C4077">
        <w:t xml:space="preserve"> </w:t>
      </w:r>
      <w:r>
        <w:t>de</w:t>
      </w:r>
      <w:r w:rsidRPr="002C4077">
        <w:t xml:space="preserve"> </w:t>
      </w:r>
      <w:r>
        <w:t>l’affection</w:t>
      </w:r>
      <w:r w:rsidRPr="002C4077">
        <w:t xml:space="preserve"> </w:t>
      </w:r>
      <w:r>
        <w:t>la</w:t>
      </w:r>
      <w:r w:rsidRPr="002C4077">
        <w:t xml:space="preserve"> </w:t>
      </w:r>
      <w:r>
        <w:t>plus</w:t>
      </w:r>
      <w:r w:rsidRPr="002C4077">
        <w:t xml:space="preserve"> </w:t>
      </w:r>
      <w:r>
        <w:t>tendre</w:t>
      </w:r>
      <w:r w:rsidR="00B546AF">
        <w:t> »</w:t>
      </w:r>
      <w:r>
        <w:t>.</w:t>
      </w:r>
      <w:r w:rsidR="00C45B47">
        <w:t xml:space="preserve"> {</w:t>
      </w:r>
      <w:r w:rsidR="005E2129">
        <w:t>325</w:t>
      </w:r>
      <w:bookmarkStart w:id="790" w:name="p325"/>
      <w:bookmarkEnd w:id="790"/>
      <w:r w:rsidR="005E2129">
        <w:t xml:space="preserve">} </w:t>
      </w:r>
    </w:p>
    <w:p w:rsidR="000A7AAB" w:rsidRDefault="000A7AAB" w:rsidP="000A7AAB">
      <w:r>
        <w:t>Voyez,</w:t>
      </w:r>
      <w:r w:rsidRPr="002C4077">
        <w:t xml:space="preserve"> </w:t>
      </w:r>
      <w:r>
        <w:t>dans</w:t>
      </w:r>
      <w:r w:rsidRPr="002C4077">
        <w:t xml:space="preserve"> </w:t>
      </w:r>
      <w:r>
        <w:t>saint</w:t>
      </w:r>
      <w:r w:rsidRPr="002C4077">
        <w:t xml:space="preserve"> </w:t>
      </w:r>
      <w:r>
        <w:t>Jean,</w:t>
      </w:r>
      <w:r w:rsidRPr="002C4077">
        <w:t xml:space="preserve"> </w:t>
      </w:r>
      <w:r>
        <w:t>XIII,</w:t>
      </w:r>
      <w:r w:rsidRPr="002C4077">
        <w:t xml:space="preserve"> </w:t>
      </w:r>
      <w:r>
        <w:t>31</w:t>
      </w:r>
      <w:r w:rsidRPr="002C4077">
        <w:t xml:space="preserve"> </w:t>
      </w:r>
      <w:r>
        <w:t>et</w:t>
      </w:r>
      <w:r w:rsidRPr="002C4077">
        <w:t xml:space="preserve"> </w:t>
      </w:r>
      <w:r>
        <w:t>suiv.,</w:t>
      </w:r>
      <w:r w:rsidRPr="002C4077">
        <w:t xml:space="preserve"> </w:t>
      </w:r>
      <w:r>
        <w:t>le</w:t>
      </w:r>
      <w:r w:rsidRPr="002C4077">
        <w:t xml:space="preserve"> </w:t>
      </w:r>
      <w:r>
        <w:t>saint</w:t>
      </w:r>
      <w:r w:rsidRPr="002C4077">
        <w:t xml:space="preserve"> </w:t>
      </w:r>
      <w:r>
        <w:t>enthousiasme</w:t>
      </w:r>
      <w:r w:rsidRPr="002C4077">
        <w:t xml:space="preserve"> </w:t>
      </w:r>
      <w:r>
        <w:t>auquel</w:t>
      </w:r>
      <w:r w:rsidRPr="002C4077">
        <w:t xml:space="preserve"> </w:t>
      </w:r>
      <w:r w:rsidR="00425C50">
        <w:t>Jésus</w:t>
      </w:r>
      <w:r w:rsidRPr="002C4077">
        <w:t xml:space="preserve"> </w:t>
      </w:r>
      <w:r>
        <w:t>s’abandonne</w:t>
      </w:r>
      <w:r w:rsidRPr="002C4077">
        <w:t xml:space="preserve"> </w:t>
      </w:r>
      <w:r>
        <w:t>librement</w:t>
      </w:r>
      <w:r w:rsidRPr="002C4077">
        <w:t xml:space="preserve"> </w:t>
      </w:r>
      <w:r>
        <w:t>aussitôt</w:t>
      </w:r>
      <w:r w:rsidRPr="002C4077">
        <w:t xml:space="preserve"> </w:t>
      </w:r>
      <w:r>
        <w:t>après</w:t>
      </w:r>
      <w:r w:rsidRPr="002C4077">
        <w:t xml:space="preserve"> </w:t>
      </w:r>
      <w:r>
        <w:t>le</w:t>
      </w:r>
      <w:r w:rsidRPr="002C4077">
        <w:t xml:space="preserve"> </w:t>
      </w:r>
      <w:r>
        <w:t>départ</w:t>
      </w:r>
      <w:r w:rsidRPr="002C4077">
        <w:t xml:space="preserve"> </w:t>
      </w:r>
      <w:r>
        <w:t>de</w:t>
      </w:r>
      <w:r w:rsidRPr="002C4077">
        <w:t xml:space="preserve"> </w:t>
      </w:r>
      <w:r>
        <w:t>Judas</w:t>
      </w:r>
      <w:r w:rsidR="00B546AF">
        <w:t> :</w:t>
      </w:r>
      <w:r w:rsidRPr="002C4077">
        <w:t xml:space="preserve"> </w:t>
      </w:r>
      <w:r w:rsidR="00B546AF">
        <w:t>« </w:t>
      </w:r>
      <w:r>
        <w:t>Nunc</w:t>
      </w:r>
      <w:r w:rsidRPr="002C4077">
        <w:t xml:space="preserve"> </w:t>
      </w:r>
      <w:r>
        <w:t>F</w:t>
      </w:r>
      <w:r w:rsidR="003B53FD">
        <w:t>ílius</w:t>
      </w:r>
      <w:r w:rsidRPr="002C4077">
        <w:t xml:space="preserve"> </w:t>
      </w:r>
      <w:r>
        <w:t>h</w:t>
      </w:r>
      <w:r w:rsidR="003B53FD">
        <w:t>óminis</w:t>
      </w:r>
      <w:r w:rsidRPr="002C4077">
        <w:t xml:space="preserve"> </w:t>
      </w:r>
      <w:r>
        <w:t>clari</w:t>
      </w:r>
      <w:r w:rsidR="003B53FD">
        <w:t>ficátus</w:t>
      </w:r>
      <w:r w:rsidRPr="002C4077">
        <w:t xml:space="preserve"> </w:t>
      </w:r>
      <w:r w:rsidR="00425C50">
        <w:t>est</w:t>
      </w:r>
      <w:r>
        <w:t>,</w:t>
      </w:r>
      <w:r w:rsidRPr="002C4077">
        <w:t xml:space="preserve"> </w:t>
      </w:r>
      <w:r>
        <w:t>et</w:t>
      </w:r>
      <w:r w:rsidRPr="002C4077">
        <w:t xml:space="preserve"> </w:t>
      </w:r>
      <w:r>
        <w:t>Deus</w:t>
      </w:r>
      <w:r w:rsidRPr="002C4077">
        <w:t xml:space="preserve"> </w:t>
      </w:r>
      <w:r>
        <w:t>clari</w:t>
      </w:r>
      <w:r w:rsidR="003B53FD">
        <w:t>ficátus</w:t>
      </w:r>
      <w:r w:rsidRPr="002C4077">
        <w:t xml:space="preserve"> </w:t>
      </w:r>
      <w:r w:rsidR="00425C50">
        <w:t>est</w:t>
      </w:r>
      <w:r w:rsidRPr="002C4077">
        <w:t xml:space="preserve"> </w:t>
      </w:r>
      <w:r>
        <w:t>in</w:t>
      </w:r>
      <w:r w:rsidRPr="002C4077">
        <w:t xml:space="preserve"> </w:t>
      </w:r>
      <w:r>
        <w:t>eo…</w:t>
      </w:r>
      <w:r w:rsidR="00B546AF">
        <w:t> »</w:t>
      </w:r>
      <w:r>
        <w:t>.</w:t>
      </w:r>
      <w:r w:rsidRPr="002C4077">
        <w:t xml:space="preserve"> </w:t>
      </w:r>
      <w:r>
        <w:t>On</w:t>
      </w:r>
      <w:r w:rsidRPr="002C4077">
        <w:t xml:space="preserve"> </w:t>
      </w:r>
      <w:r>
        <w:t>dirait</w:t>
      </w:r>
      <w:r w:rsidRPr="002C4077">
        <w:t xml:space="preserve"> </w:t>
      </w:r>
      <w:r>
        <w:t>qu’il</w:t>
      </w:r>
      <w:r w:rsidRPr="002C4077">
        <w:t xml:space="preserve"> </w:t>
      </w:r>
      <w:r w:rsidR="00425C50">
        <w:t>est</w:t>
      </w:r>
      <w:r w:rsidRPr="002C4077">
        <w:t xml:space="preserve"> </w:t>
      </w:r>
      <w:r>
        <w:t>maintenant</w:t>
      </w:r>
      <w:r w:rsidRPr="002C4077">
        <w:t xml:space="preserve"> </w:t>
      </w:r>
      <w:r>
        <w:t>délivré</w:t>
      </w:r>
      <w:r w:rsidRPr="002C4077">
        <w:t xml:space="preserve"> </w:t>
      </w:r>
      <w:r>
        <w:t>d’un</w:t>
      </w:r>
      <w:r w:rsidRPr="002C4077">
        <w:t xml:space="preserve"> </w:t>
      </w:r>
      <w:r>
        <w:t>poids</w:t>
      </w:r>
      <w:r w:rsidRPr="002C4077">
        <w:t xml:space="preserve"> </w:t>
      </w:r>
      <w:r>
        <w:t>affreux</w:t>
      </w:r>
      <w:r w:rsidRPr="002C4077">
        <w:t xml:space="preserve"> </w:t>
      </w:r>
      <w:r>
        <w:t>qui</w:t>
      </w:r>
      <w:r w:rsidRPr="002C4077">
        <w:t xml:space="preserve"> </w:t>
      </w:r>
      <w:r>
        <w:t>l’</w:t>
      </w:r>
      <w:r w:rsidR="001730C6">
        <w:t>ét</w:t>
      </w:r>
      <w:r>
        <w:t>ouffait.</w:t>
      </w:r>
      <w:r w:rsidRPr="002C4077">
        <w:t xml:space="preserve"> </w:t>
      </w:r>
    </w:p>
    <w:p w:rsidR="007B6C57" w:rsidRDefault="007B6C57" w:rsidP="000A7AAB"/>
    <w:p w:rsidR="000A7AAB" w:rsidRDefault="000A7AAB" w:rsidP="000A7AAB">
      <w:r>
        <w:t>Il</w:t>
      </w:r>
      <w:bookmarkStart w:id="791" w:name="z_JudasEtEucharistie_o9"/>
      <w:bookmarkEnd w:id="791"/>
      <w:r w:rsidRPr="002C4077">
        <w:t xml:space="preserve"> </w:t>
      </w:r>
      <w:r>
        <w:t>nous</w:t>
      </w:r>
      <w:r w:rsidRPr="002C4077">
        <w:t xml:space="preserve"> </w:t>
      </w:r>
      <w:r>
        <w:t>reste</w:t>
      </w:r>
      <w:r w:rsidRPr="002C4077">
        <w:t xml:space="preserve"> </w:t>
      </w:r>
      <w:r>
        <w:t>maintenant</w:t>
      </w:r>
      <w:r w:rsidRPr="002C4077">
        <w:t xml:space="preserve"> </w:t>
      </w:r>
      <w:r>
        <w:t>à</w:t>
      </w:r>
      <w:r w:rsidRPr="002C4077">
        <w:t xml:space="preserve"> </w:t>
      </w:r>
      <w:r>
        <w:t>établir</w:t>
      </w:r>
      <w:r w:rsidRPr="002C4077">
        <w:t xml:space="preserve"> </w:t>
      </w:r>
      <w:r>
        <w:t>le</w:t>
      </w:r>
      <w:r w:rsidRPr="002C4077">
        <w:t xml:space="preserve"> </w:t>
      </w:r>
      <w:r>
        <w:t>résultat</w:t>
      </w:r>
      <w:r w:rsidRPr="002C4077">
        <w:t xml:space="preserve"> </w:t>
      </w:r>
      <w:r>
        <w:t>de</w:t>
      </w:r>
      <w:r w:rsidRPr="002C4077">
        <w:t xml:space="preserve"> </w:t>
      </w:r>
      <w:r>
        <w:t>nos</w:t>
      </w:r>
      <w:r w:rsidRPr="002C4077">
        <w:t xml:space="preserve"> </w:t>
      </w:r>
      <w:r>
        <w:t>recherches.</w:t>
      </w:r>
      <w:r w:rsidRPr="002C4077">
        <w:t xml:space="preserve"> </w:t>
      </w:r>
    </w:p>
    <w:p w:rsidR="000A7AAB" w:rsidRDefault="000A7AAB" w:rsidP="000A7AAB">
      <w:r>
        <w:lastRenderedPageBreak/>
        <w:t>1</w:t>
      </w:r>
      <w:r w:rsidR="007B6C57">
        <w:t>°</w:t>
      </w:r>
      <w:r w:rsidRPr="002C4077">
        <w:t xml:space="preserve"> </w:t>
      </w:r>
      <w:r>
        <w:t>L’argument</w:t>
      </w:r>
      <w:r w:rsidRPr="002C4077">
        <w:t xml:space="preserve"> </w:t>
      </w:r>
      <w:r>
        <w:t>de</w:t>
      </w:r>
      <w:r w:rsidRPr="002C4077">
        <w:t xml:space="preserve"> </w:t>
      </w:r>
      <w:r>
        <w:t>raison</w:t>
      </w:r>
      <w:r w:rsidRPr="002C4077">
        <w:t xml:space="preserve"> </w:t>
      </w:r>
      <w:r>
        <w:t>ne</w:t>
      </w:r>
      <w:r w:rsidRPr="002C4077">
        <w:t xml:space="preserve"> </w:t>
      </w:r>
      <w:r>
        <w:t>nous</w:t>
      </w:r>
      <w:r w:rsidRPr="002C4077">
        <w:t xml:space="preserve"> </w:t>
      </w:r>
      <w:r w:rsidR="00425C50">
        <w:t>est</w:t>
      </w:r>
      <w:r w:rsidRPr="002C4077">
        <w:t xml:space="preserve"> </w:t>
      </w:r>
      <w:r>
        <w:t>en</w:t>
      </w:r>
      <w:r w:rsidRPr="002C4077">
        <w:t xml:space="preserve"> </w:t>
      </w:r>
      <w:r>
        <w:t>rien</w:t>
      </w:r>
      <w:r w:rsidRPr="002C4077">
        <w:t xml:space="preserve"> </w:t>
      </w:r>
      <w:r>
        <w:t>défavorable.</w:t>
      </w:r>
      <w:r w:rsidRPr="002C4077">
        <w:t xml:space="preserve"> </w:t>
      </w:r>
      <w:r>
        <w:t>Peut-être</w:t>
      </w:r>
      <w:r w:rsidRPr="002C4077">
        <w:t xml:space="preserve"> </w:t>
      </w:r>
      <w:r>
        <w:t>même</w:t>
      </w:r>
      <w:r w:rsidRPr="002C4077">
        <w:t xml:space="preserve"> </w:t>
      </w:r>
      <w:r>
        <w:t>les</w:t>
      </w:r>
      <w:r w:rsidRPr="002C4077">
        <w:t xml:space="preserve"> </w:t>
      </w:r>
      <w:r>
        <w:t>motifs</w:t>
      </w:r>
      <w:r w:rsidRPr="002C4077">
        <w:t xml:space="preserve"> </w:t>
      </w:r>
      <w:r>
        <w:t>de</w:t>
      </w:r>
      <w:r w:rsidRPr="002C4077">
        <w:t xml:space="preserve"> </w:t>
      </w:r>
      <w:r>
        <w:t>convenance</w:t>
      </w:r>
      <w:r w:rsidRPr="002C4077">
        <w:t xml:space="preserve"> </w:t>
      </w:r>
      <w:r>
        <w:t>parleraient-ils</w:t>
      </w:r>
      <w:r w:rsidRPr="002C4077">
        <w:t xml:space="preserve"> </w:t>
      </w:r>
      <w:r>
        <w:t>plus</w:t>
      </w:r>
      <w:r w:rsidRPr="002C4077">
        <w:t xml:space="preserve"> </w:t>
      </w:r>
      <w:r>
        <w:t>hautement</w:t>
      </w:r>
      <w:r w:rsidRPr="002C4077">
        <w:t xml:space="preserve"> </w:t>
      </w:r>
      <w:r>
        <w:t>pour</w:t>
      </w:r>
      <w:r w:rsidRPr="002C4077">
        <w:t xml:space="preserve"> </w:t>
      </w:r>
      <w:r>
        <w:t>nous.</w:t>
      </w:r>
      <w:r w:rsidRPr="002C4077">
        <w:t xml:space="preserve"> </w:t>
      </w:r>
    </w:p>
    <w:p w:rsidR="000A7AAB" w:rsidRDefault="000A7AAB" w:rsidP="000A7AAB">
      <w:r>
        <w:t>2°</w:t>
      </w:r>
      <w:r w:rsidRPr="002C4077">
        <w:t xml:space="preserve"> </w:t>
      </w:r>
      <w:r>
        <w:t>La</w:t>
      </w:r>
      <w:r w:rsidRPr="002C4077">
        <w:t xml:space="preserve"> </w:t>
      </w:r>
      <w:r>
        <w:t>tradition</w:t>
      </w:r>
      <w:r w:rsidRPr="002C4077">
        <w:t xml:space="preserve"> </w:t>
      </w:r>
      <w:r w:rsidR="00425C50">
        <w:t>est</w:t>
      </w:r>
      <w:r w:rsidRPr="002C4077">
        <w:t xml:space="preserve"> </w:t>
      </w:r>
      <w:r>
        <w:t>en</w:t>
      </w:r>
      <w:r w:rsidRPr="002C4077">
        <w:t xml:space="preserve"> </w:t>
      </w:r>
      <w:r>
        <w:t>partie</w:t>
      </w:r>
      <w:r w:rsidRPr="002C4077">
        <w:t xml:space="preserve"> </w:t>
      </w:r>
      <w:r>
        <w:t>contraire</w:t>
      </w:r>
      <w:r w:rsidRPr="002C4077">
        <w:t xml:space="preserve"> </w:t>
      </w:r>
      <w:r>
        <w:t>au</w:t>
      </w:r>
      <w:r w:rsidRPr="002C4077">
        <w:t xml:space="preserve"> </w:t>
      </w:r>
      <w:r>
        <w:t>sentiment</w:t>
      </w:r>
      <w:r w:rsidRPr="002C4077">
        <w:t xml:space="preserve"> </w:t>
      </w:r>
      <w:r>
        <w:t>que</w:t>
      </w:r>
      <w:r w:rsidRPr="002C4077">
        <w:t xml:space="preserve"> </w:t>
      </w:r>
      <w:r>
        <w:t>nous</w:t>
      </w:r>
      <w:r w:rsidRPr="002C4077">
        <w:t xml:space="preserve"> </w:t>
      </w:r>
      <w:r>
        <w:t>avons</w:t>
      </w:r>
      <w:r w:rsidRPr="002C4077">
        <w:t xml:space="preserve"> </w:t>
      </w:r>
      <w:r>
        <w:t>essayé</w:t>
      </w:r>
      <w:r w:rsidRPr="002C4077">
        <w:t xml:space="preserve"> </w:t>
      </w:r>
      <w:r>
        <w:t>de</w:t>
      </w:r>
      <w:r w:rsidRPr="002C4077">
        <w:t xml:space="preserve"> </w:t>
      </w:r>
      <w:r>
        <w:t>défendre.</w:t>
      </w:r>
      <w:r w:rsidRPr="002C4077">
        <w:t xml:space="preserve"> </w:t>
      </w:r>
      <w:r>
        <w:t>Nous</w:t>
      </w:r>
      <w:r w:rsidRPr="002C4077">
        <w:t xml:space="preserve"> </w:t>
      </w:r>
      <w:r>
        <w:t>avons</w:t>
      </w:r>
      <w:r w:rsidRPr="002C4077">
        <w:t xml:space="preserve"> </w:t>
      </w:r>
      <w:r>
        <w:t>vu</w:t>
      </w:r>
      <w:r w:rsidRPr="002C4077">
        <w:t xml:space="preserve"> </w:t>
      </w:r>
      <w:r>
        <w:t>toutefois</w:t>
      </w:r>
      <w:r w:rsidRPr="002C4077">
        <w:t xml:space="preserve"> </w:t>
      </w:r>
      <w:r>
        <w:t>qu’elle</w:t>
      </w:r>
      <w:r w:rsidRPr="002C4077">
        <w:t xml:space="preserve"> </w:t>
      </w:r>
      <w:r>
        <w:t>perd</w:t>
      </w:r>
      <w:r w:rsidRPr="002C4077">
        <w:t xml:space="preserve"> </w:t>
      </w:r>
      <w:r>
        <w:t>dans</w:t>
      </w:r>
      <w:r w:rsidRPr="002C4077">
        <w:t xml:space="preserve"> </w:t>
      </w:r>
      <w:r>
        <w:t>les</w:t>
      </w:r>
      <w:r w:rsidRPr="002C4077">
        <w:t xml:space="preserve"> </w:t>
      </w:r>
      <w:r>
        <w:t>questions</w:t>
      </w:r>
      <w:r w:rsidRPr="002C4077">
        <w:t xml:space="preserve"> </w:t>
      </w:r>
      <w:r>
        <w:t>de</w:t>
      </w:r>
      <w:r w:rsidRPr="002C4077">
        <w:t xml:space="preserve"> </w:t>
      </w:r>
      <w:r>
        <w:t>ce</w:t>
      </w:r>
      <w:r w:rsidRPr="002C4077">
        <w:t xml:space="preserve"> </w:t>
      </w:r>
      <w:r>
        <w:t>genre</w:t>
      </w:r>
      <w:r w:rsidRPr="002C4077">
        <w:t xml:space="preserve"> </w:t>
      </w:r>
      <w:r>
        <w:t>une</w:t>
      </w:r>
      <w:r w:rsidRPr="002C4077">
        <w:t xml:space="preserve"> </w:t>
      </w:r>
      <w:r>
        <w:t>portion</w:t>
      </w:r>
      <w:r w:rsidRPr="002C4077">
        <w:t xml:space="preserve"> </w:t>
      </w:r>
      <w:r>
        <w:t>considérable</w:t>
      </w:r>
      <w:r w:rsidRPr="002C4077">
        <w:t xml:space="preserve"> </w:t>
      </w:r>
      <w:r>
        <w:t>de</w:t>
      </w:r>
      <w:r w:rsidRPr="002C4077">
        <w:t xml:space="preserve"> </w:t>
      </w:r>
      <w:r>
        <w:t>sa</w:t>
      </w:r>
      <w:r w:rsidRPr="002C4077">
        <w:t xml:space="preserve"> </w:t>
      </w:r>
      <w:r>
        <w:t>force.</w:t>
      </w:r>
      <w:r w:rsidRPr="002C4077">
        <w:t xml:space="preserve"> </w:t>
      </w:r>
      <w:r>
        <w:t>Et</w:t>
      </w:r>
      <w:r w:rsidRPr="002C4077">
        <w:t xml:space="preserve"> </w:t>
      </w:r>
      <w:r>
        <w:t>puis,</w:t>
      </w:r>
      <w:r w:rsidRPr="002C4077">
        <w:t xml:space="preserve"> </w:t>
      </w:r>
      <w:r>
        <w:t>à</w:t>
      </w:r>
      <w:r w:rsidRPr="002C4077">
        <w:t xml:space="preserve"> </w:t>
      </w:r>
      <w:r>
        <w:t>toutes</w:t>
      </w:r>
      <w:r w:rsidRPr="002C4077">
        <w:t xml:space="preserve"> </w:t>
      </w:r>
      <w:r>
        <w:t>les</w:t>
      </w:r>
      <w:r w:rsidRPr="002C4077">
        <w:t xml:space="preserve"> </w:t>
      </w:r>
      <w:r>
        <w:t>époques</w:t>
      </w:r>
      <w:r w:rsidRPr="002C4077">
        <w:t xml:space="preserve"> </w:t>
      </w:r>
      <w:r>
        <w:t>il</w:t>
      </w:r>
      <w:r w:rsidRPr="002C4077">
        <w:t xml:space="preserve"> </w:t>
      </w:r>
      <w:r>
        <w:t>s’est</w:t>
      </w:r>
      <w:r w:rsidRPr="002C4077">
        <w:t xml:space="preserve"> </w:t>
      </w:r>
      <w:r>
        <w:t>trouvé</w:t>
      </w:r>
      <w:r w:rsidRPr="002C4077">
        <w:t xml:space="preserve"> </w:t>
      </w:r>
      <w:r>
        <w:t>des</w:t>
      </w:r>
      <w:r w:rsidRPr="002C4077">
        <w:t xml:space="preserve"> </w:t>
      </w:r>
      <w:r>
        <w:t>voix</w:t>
      </w:r>
      <w:r w:rsidRPr="002C4077">
        <w:t xml:space="preserve"> </w:t>
      </w:r>
      <w:r>
        <w:t>puissantes,</w:t>
      </w:r>
      <w:r w:rsidRPr="002C4077">
        <w:t xml:space="preserve"> </w:t>
      </w:r>
      <w:r>
        <w:t>quoique</w:t>
      </w:r>
      <w:r w:rsidRPr="002C4077">
        <w:t xml:space="preserve"> </w:t>
      </w:r>
      <w:r>
        <w:t>relativement</w:t>
      </w:r>
      <w:r w:rsidRPr="002C4077">
        <w:t xml:space="preserve"> </w:t>
      </w:r>
      <w:r>
        <w:t>isolées,</w:t>
      </w:r>
      <w:r w:rsidRPr="002C4077">
        <w:t xml:space="preserve"> </w:t>
      </w:r>
      <w:r>
        <w:t>pour</w:t>
      </w:r>
      <w:r w:rsidRPr="002C4077">
        <w:t xml:space="preserve"> </w:t>
      </w:r>
      <w:r>
        <w:t>certifier</w:t>
      </w:r>
      <w:r w:rsidRPr="002C4077">
        <w:t xml:space="preserve"> </w:t>
      </w:r>
      <w:r>
        <w:t>que</w:t>
      </w:r>
      <w:r w:rsidRPr="002C4077">
        <w:t xml:space="preserve"> </w:t>
      </w:r>
      <w:r>
        <w:t>Judas</w:t>
      </w:r>
      <w:r w:rsidRPr="002C4077">
        <w:t xml:space="preserve"> </w:t>
      </w:r>
      <w:r>
        <w:t>n’avait</w:t>
      </w:r>
      <w:r w:rsidRPr="002C4077">
        <w:t xml:space="preserve"> </w:t>
      </w:r>
      <w:r>
        <w:t>reçu</w:t>
      </w:r>
      <w:r w:rsidRPr="002C4077">
        <w:t xml:space="preserve"> </w:t>
      </w:r>
      <w:r>
        <w:t>ni</w:t>
      </w:r>
      <w:r w:rsidRPr="002C4077">
        <w:t xml:space="preserve"> </w:t>
      </w:r>
      <w:r>
        <w:t>la</w:t>
      </w:r>
      <w:r w:rsidRPr="002C4077">
        <w:t xml:space="preserve"> </w:t>
      </w:r>
      <w:r>
        <w:t>sainte</w:t>
      </w:r>
      <w:r w:rsidRPr="002C4077">
        <w:t xml:space="preserve"> </w:t>
      </w:r>
      <w:r>
        <w:t>communion,</w:t>
      </w:r>
      <w:r w:rsidRPr="002C4077">
        <w:t xml:space="preserve"> </w:t>
      </w:r>
      <w:r>
        <w:t>ni</w:t>
      </w:r>
      <w:r w:rsidRPr="002C4077">
        <w:t xml:space="preserve"> </w:t>
      </w:r>
      <w:r>
        <w:t>le</w:t>
      </w:r>
      <w:r w:rsidRPr="002C4077">
        <w:t xml:space="preserve"> </w:t>
      </w:r>
      <w:r>
        <w:t>sacerdoce</w:t>
      </w:r>
      <w:r w:rsidRPr="002C4077">
        <w:t xml:space="preserve"> </w:t>
      </w:r>
      <w:r>
        <w:t>complet,</w:t>
      </w:r>
      <w:r w:rsidRPr="002C4077">
        <w:t xml:space="preserve"> </w:t>
      </w:r>
      <w:r>
        <w:t>des</w:t>
      </w:r>
      <w:r w:rsidRPr="002C4077">
        <w:t xml:space="preserve"> </w:t>
      </w:r>
      <w:r>
        <w:t>mains</w:t>
      </w:r>
      <w:r w:rsidRPr="002C4077">
        <w:t xml:space="preserve"> </w:t>
      </w:r>
      <w:r>
        <w:t>de</w:t>
      </w:r>
      <w:r w:rsidRPr="002C4077">
        <w:t xml:space="preserve"> </w:t>
      </w:r>
      <w:r>
        <w:t>Notre</w:t>
      </w:r>
      <w:r w:rsidRPr="002C4077">
        <w:t xml:space="preserve"> </w:t>
      </w:r>
      <w:r>
        <w:t>Seigneur</w:t>
      </w:r>
      <w:r w:rsidRPr="002C4077">
        <w:t xml:space="preserve"> </w:t>
      </w:r>
      <w:r w:rsidR="00425C50">
        <w:t>Jésus</w:t>
      </w:r>
      <w:r>
        <w:t>-</w:t>
      </w:r>
      <w:r w:rsidR="00425C50">
        <w:t>Christ</w:t>
      </w:r>
      <w:r>
        <w:t>.</w:t>
      </w:r>
      <w:r w:rsidRPr="002C4077">
        <w:t xml:space="preserve"> </w:t>
      </w:r>
    </w:p>
    <w:p w:rsidR="000A7AAB" w:rsidRDefault="000A7AAB" w:rsidP="000A7AAB">
      <w:r>
        <w:t>3°</w:t>
      </w:r>
      <w:r w:rsidRPr="002C4077">
        <w:t xml:space="preserve"> </w:t>
      </w:r>
      <w:r>
        <w:t>L’arrangement</w:t>
      </w:r>
      <w:r w:rsidRPr="002C4077">
        <w:t xml:space="preserve"> </w:t>
      </w:r>
      <w:r>
        <w:t>des</w:t>
      </w:r>
      <w:r w:rsidRPr="002C4077">
        <w:t xml:space="preserve"> </w:t>
      </w:r>
      <w:r>
        <w:t>textes</w:t>
      </w:r>
      <w:r w:rsidRPr="002C4077">
        <w:t xml:space="preserve"> </w:t>
      </w:r>
      <w:r>
        <w:t>évangéliques</w:t>
      </w:r>
      <w:r w:rsidRPr="002C4077">
        <w:t xml:space="preserve"> </w:t>
      </w:r>
      <w:r>
        <w:t>le</w:t>
      </w:r>
      <w:r w:rsidRPr="002C4077">
        <w:t xml:space="preserve"> </w:t>
      </w:r>
      <w:r>
        <w:t>plus</w:t>
      </w:r>
      <w:r w:rsidRPr="002C4077">
        <w:t xml:space="preserve"> </w:t>
      </w:r>
      <w:r>
        <w:t>conforme</w:t>
      </w:r>
      <w:r w:rsidRPr="002C4077">
        <w:t xml:space="preserve"> </w:t>
      </w:r>
      <w:r>
        <w:t>aux</w:t>
      </w:r>
      <w:r w:rsidRPr="002C4077">
        <w:t xml:space="preserve"> </w:t>
      </w:r>
      <w:r>
        <w:t>règles</w:t>
      </w:r>
      <w:r w:rsidRPr="002C4077">
        <w:t xml:space="preserve"> </w:t>
      </w:r>
      <w:r>
        <w:t>d’une</w:t>
      </w:r>
      <w:r w:rsidRPr="002C4077">
        <w:t xml:space="preserve"> </w:t>
      </w:r>
      <w:r>
        <w:t>bonne</w:t>
      </w:r>
      <w:r w:rsidRPr="002C4077">
        <w:t xml:space="preserve"> </w:t>
      </w:r>
      <w:r>
        <w:t>interprétation</w:t>
      </w:r>
      <w:r w:rsidRPr="002C4077">
        <w:t xml:space="preserve"> </w:t>
      </w:r>
      <w:r>
        <w:t>exclut</w:t>
      </w:r>
      <w:r w:rsidRPr="002C4077">
        <w:t xml:space="preserve"> </w:t>
      </w:r>
      <w:r>
        <w:t>assez</w:t>
      </w:r>
      <w:r w:rsidRPr="002C4077">
        <w:t xml:space="preserve"> </w:t>
      </w:r>
      <w:r>
        <w:t>nettement</w:t>
      </w:r>
      <w:r w:rsidRPr="002C4077">
        <w:t xml:space="preserve"> </w:t>
      </w:r>
      <w:r>
        <w:t>le</w:t>
      </w:r>
      <w:r w:rsidRPr="002C4077">
        <w:t xml:space="preserve"> </w:t>
      </w:r>
      <w:r>
        <w:t>traître</w:t>
      </w:r>
      <w:r w:rsidRPr="002C4077">
        <w:t xml:space="preserve"> </w:t>
      </w:r>
      <w:r>
        <w:t>de</w:t>
      </w:r>
      <w:r w:rsidRPr="002C4077">
        <w:t xml:space="preserve"> </w:t>
      </w:r>
      <w:r>
        <w:t>la</w:t>
      </w:r>
      <w:r w:rsidRPr="002C4077">
        <w:t xml:space="preserve"> </w:t>
      </w:r>
      <w:r>
        <w:t>cène</w:t>
      </w:r>
      <w:r w:rsidR="00B91AF7">
        <w:rPr>
          <w:rStyle w:val="Appelnotedebasdep"/>
        </w:rPr>
        <w:footnoteReference w:id="963"/>
      </w:r>
      <w:r>
        <w:t>.</w:t>
      </w:r>
      <w:r w:rsidRPr="002C4077">
        <w:t xml:space="preserve"> </w:t>
      </w:r>
    </w:p>
    <w:p w:rsidR="000A7AAB" w:rsidRPr="005E2129" w:rsidRDefault="000A7AAB" w:rsidP="000A7AAB">
      <w:r>
        <w:t>Concluons</w:t>
      </w:r>
      <w:r w:rsidRPr="002C4077">
        <w:t xml:space="preserve"> </w:t>
      </w:r>
      <w:r>
        <w:t>donc</w:t>
      </w:r>
      <w:r w:rsidRPr="002C4077">
        <w:t xml:space="preserve"> </w:t>
      </w:r>
      <w:r>
        <w:t>qu’il</w:t>
      </w:r>
      <w:r w:rsidRPr="002C4077">
        <w:t xml:space="preserve"> </w:t>
      </w:r>
      <w:r w:rsidR="00425C50">
        <w:t>est</w:t>
      </w:r>
      <w:r>
        <w:t>,</w:t>
      </w:r>
      <w:r w:rsidRPr="002C4077">
        <w:t xml:space="preserve"> </w:t>
      </w:r>
      <w:r>
        <w:t>sinon</w:t>
      </w:r>
      <w:r w:rsidRPr="002C4077">
        <w:t xml:space="preserve"> </w:t>
      </w:r>
      <w:r>
        <w:t>certain,</w:t>
      </w:r>
      <w:r w:rsidRPr="002C4077">
        <w:t xml:space="preserve"> </w:t>
      </w:r>
      <w:r>
        <w:t>du</w:t>
      </w:r>
      <w:r w:rsidRPr="002C4077">
        <w:t xml:space="preserve"> </w:t>
      </w:r>
      <w:r>
        <w:t>moins</w:t>
      </w:r>
      <w:r w:rsidRPr="002C4077">
        <w:t xml:space="preserve"> </w:t>
      </w:r>
      <w:r>
        <w:t>fort</w:t>
      </w:r>
      <w:r w:rsidRPr="002C4077">
        <w:t xml:space="preserve"> </w:t>
      </w:r>
      <w:r>
        <w:t>vraisemblable</w:t>
      </w:r>
      <w:r w:rsidRPr="002C4077">
        <w:t xml:space="preserve"> </w:t>
      </w:r>
      <w:r>
        <w:t>que</w:t>
      </w:r>
      <w:r w:rsidRPr="002C4077">
        <w:t xml:space="preserve"> </w:t>
      </w:r>
      <w:r>
        <w:t>Judas</w:t>
      </w:r>
      <w:r w:rsidRPr="002C4077">
        <w:t xml:space="preserve"> </w:t>
      </w:r>
      <w:r>
        <w:t>n’assistait</w:t>
      </w:r>
      <w:r w:rsidRPr="002C4077">
        <w:t xml:space="preserve"> </w:t>
      </w:r>
      <w:r>
        <w:t>point</w:t>
      </w:r>
      <w:r w:rsidRPr="002C4077">
        <w:t xml:space="preserve"> </w:t>
      </w:r>
      <w:r>
        <w:t>à</w:t>
      </w:r>
      <w:r w:rsidRPr="002C4077">
        <w:t xml:space="preserve"> </w:t>
      </w:r>
      <w:r>
        <w:t>l’inauguration</w:t>
      </w:r>
      <w:r w:rsidRPr="002C4077">
        <w:t xml:space="preserve"> </w:t>
      </w:r>
      <w:r>
        <w:t>de</w:t>
      </w:r>
      <w:r w:rsidRPr="002C4077">
        <w:t xml:space="preserve"> </w:t>
      </w:r>
      <w:r>
        <w:t>la</w:t>
      </w:r>
      <w:r w:rsidRPr="002C4077">
        <w:t xml:space="preserve"> </w:t>
      </w:r>
      <w:r w:rsidR="003B5C82">
        <w:t>Pâque</w:t>
      </w:r>
      <w:r w:rsidRPr="002C4077">
        <w:t xml:space="preserve"> </w:t>
      </w:r>
      <w:r>
        <w:t>chrétienne,</w:t>
      </w:r>
      <w:r w:rsidRPr="002C4077">
        <w:t xml:space="preserve"> </w:t>
      </w:r>
      <w:r>
        <w:t>et</w:t>
      </w:r>
      <w:r w:rsidRPr="002C4077">
        <w:t xml:space="preserve"> </w:t>
      </w:r>
      <w:r>
        <w:t>qu’il</w:t>
      </w:r>
      <w:r w:rsidRPr="002C4077">
        <w:t xml:space="preserve"> </w:t>
      </w:r>
      <w:r>
        <w:t>n’attrista</w:t>
      </w:r>
      <w:r w:rsidRPr="002C4077">
        <w:t xml:space="preserve"> </w:t>
      </w:r>
      <w:r>
        <w:t>point</w:t>
      </w:r>
      <w:r w:rsidRPr="002C4077">
        <w:t xml:space="preserve"> </w:t>
      </w:r>
      <w:r>
        <w:t>par</w:t>
      </w:r>
      <w:r w:rsidRPr="002C4077">
        <w:t xml:space="preserve"> </w:t>
      </w:r>
      <w:r>
        <w:t>son</w:t>
      </w:r>
      <w:r w:rsidRPr="002C4077">
        <w:t xml:space="preserve"> </w:t>
      </w:r>
      <w:r>
        <w:t>odieuse</w:t>
      </w:r>
      <w:r w:rsidRPr="002C4077">
        <w:t xml:space="preserve"> </w:t>
      </w:r>
      <w:r>
        <w:t>présence</w:t>
      </w:r>
      <w:r w:rsidRPr="002C4077">
        <w:t xml:space="preserve"> </w:t>
      </w:r>
      <w:r>
        <w:t>ce</w:t>
      </w:r>
      <w:r w:rsidRPr="002C4077">
        <w:t xml:space="preserve"> </w:t>
      </w:r>
      <w:r>
        <w:t>banquet</w:t>
      </w:r>
      <w:r w:rsidRPr="002C4077">
        <w:t xml:space="preserve"> </w:t>
      </w:r>
      <w:r>
        <w:t>adorable</w:t>
      </w:r>
      <w:r w:rsidRPr="002C4077">
        <w:t xml:space="preserve"> </w:t>
      </w:r>
      <w:r>
        <w:t>où</w:t>
      </w:r>
      <w:r w:rsidRPr="002C4077">
        <w:t xml:space="preserve"> </w:t>
      </w:r>
      <w:r w:rsidR="00425C50">
        <w:t>Jésus</w:t>
      </w:r>
      <w:r>
        <w:t>,</w:t>
      </w:r>
      <w:r w:rsidRPr="002C4077">
        <w:t xml:space="preserve"> </w:t>
      </w:r>
      <w:r>
        <w:t>prodigue</w:t>
      </w:r>
      <w:r w:rsidRPr="002C4077">
        <w:t xml:space="preserve"> </w:t>
      </w:r>
      <w:r>
        <w:t>de</w:t>
      </w:r>
      <w:r w:rsidRPr="002C4077">
        <w:t xml:space="preserve"> </w:t>
      </w:r>
      <w:r>
        <w:t>lui-même,</w:t>
      </w:r>
      <w:r w:rsidRPr="002C4077">
        <w:t xml:space="preserve"> </w:t>
      </w:r>
      <w:r>
        <w:t>se</w:t>
      </w:r>
      <w:r w:rsidRPr="002C4077">
        <w:t xml:space="preserve"> </w:t>
      </w:r>
      <w:r>
        <w:t>fit</w:t>
      </w:r>
      <w:r w:rsidRPr="002C4077">
        <w:t xml:space="preserve"> </w:t>
      </w:r>
      <w:r>
        <w:t>pour</w:t>
      </w:r>
      <w:r w:rsidRPr="002C4077">
        <w:t xml:space="preserve"> </w:t>
      </w:r>
      <w:r>
        <w:t>la</w:t>
      </w:r>
      <w:r w:rsidRPr="002C4077">
        <w:t xml:space="preserve"> </w:t>
      </w:r>
      <w:r>
        <w:t>première</w:t>
      </w:r>
      <w:r w:rsidRPr="002C4077">
        <w:t xml:space="preserve"> </w:t>
      </w:r>
      <w:r>
        <w:t>fois</w:t>
      </w:r>
      <w:r w:rsidRPr="002C4077">
        <w:t xml:space="preserve"> </w:t>
      </w:r>
      <w:r>
        <w:t>notre</w:t>
      </w:r>
      <w:r w:rsidRPr="002C4077">
        <w:t xml:space="preserve"> </w:t>
      </w:r>
      <w:r>
        <w:t>nourriture</w:t>
      </w:r>
      <w:r w:rsidRPr="002C4077">
        <w:t xml:space="preserve"> </w:t>
      </w:r>
      <w:r>
        <w:t>et</w:t>
      </w:r>
      <w:r w:rsidRPr="002C4077">
        <w:t xml:space="preserve"> </w:t>
      </w:r>
      <w:r>
        <w:t>notre</w:t>
      </w:r>
      <w:r w:rsidRPr="002C4077">
        <w:t xml:space="preserve"> </w:t>
      </w:r>
      <w:r>
        <w:t>breuvage,</w:t>
      </w:r>
      <w:r w:rsidRPr="002C4077">
        <w:t xml:space="preserve"> </w:t>
      </w:r>
      <w:r>
        <w:t>cette</w:t>
      </w:r>
      <w:r w:rsidRPr="002C4077">
        <w:t xml:space="preserve"> </w:t>
      </w:r>
      <w:r>
        <w:t>cène</w:t>
      </w:r>
      <w:r w:rsidRPr="002C4077">
        <w:t xml:space="preserve"> </w:t>
      </w:r>
      <w:r>
        <w:t>merveilleuse</w:t>
      </w:r>
      <w:r w:rsidRPr="002C4077">
        <w:t xml:space="preserve"> </w:t>
      </w:r>
      <w:r>
        <w:t>où</w:t>
      </w:r>
      <w:r w:rsidRPr="002C4077">
        <w:t xml:space="preserve"> </w:t>
      </w:r>
      <w:r>
        <w:t>le</w:t>
      </w:r>
      <w:r w:rsidRPr="002C4077">
        <w:t xml:space="preserve"> </w:t>
      </w:r>
      <w:r>
        <w:t>Fondateur</w:t>
      </w:r>
      <w:r w:rsidRPr="002C4077">
        <w:t xml:space="preserve"> </w:t>
      </w:r>
      <w:r>
        <w:t>du</w:t>
      </w:r>
      <w:r w:rsidRPr="002C4077">
        <w:t xml:space="preserve"> </w:t>
      </w:r>
      <w:r>
        <w:t>christianisme</w:t>
      </w:r>
      <w:r w:rsidRPr="002C4077">
        <w:t xml:space="preserve"> </w:t>
      </w:r>
      <w:r>
        <w:t>i</w:t>
      </w:r>
      <w:r w:rsidR="003B53FD">
        <w:t>nstitua</w:t>
      </w:r>
      <w:r w:rsidRPr="002C4077">
        <w:t xml:space="preserve"> </w:t>
      </w:r>
      <w:r>
        <w:t>tout</w:t>
      </w:r>
      <w:r w:rsidRPr="002C4077">
        <w:t xml:space="preserve"> </w:t>
      </w:r>
      <w:r>
        <w:t>ensemble</w:t>
      </w:r>
      <w:r w:rsidRPr="002C4077">
        <w:t xml:space="preserve"> </w:t>
      </w:r>
      <w:r>
        <w:t>l’auguste</w:t>
      </w:r>
      <w:r w:rsidRPr="002C4077">
        <w:t xml:space="preserve"> </w:t>
      </w:r>
      <w:r>
        <w:t>sacrifice</w:t>
      </w:r>
      <w:r w:rsidRPr="002C4077">
        <w:t xml:space="preserve"> </w:t>
      </w:r>
      <w:r>
        <w:t>de</w:t>
      </w:r>
      <w:r w:rsidRPr="002C4077">
        <w:t xml:space="preserve"> </w:t>
      </w:r>
      <w:r>
        <w:t>la</w:t>
      </w:r>
      <w:r w:rsidRPr="002C4077">
        <w:t xml:space="preserve"> </w:t>
      </w:r>
      <w:r>
        <w:t>Messe,</w:t>
      </w:r>
      <w:r w:rsidRPr="002C4077">
        <w:t xml:space="preserve"> </w:t>
      </w:r>
      <w:r>
        <w:t>le</w:t>
      </w:r>
      <w:r w:rsidRPr="002C4077">
        <w:t xml:space="preserve"> </w:t>
      </w:r>
      <w:r>
        <w:t>sacrement</w:t>
      </w:r>
      <w:r w:rsidRPr="002C4077">
        <w:t xml:space="preserve"> </w:t>
      </w:r>
      <w:r>
        <w:t>de</w:t>
      </w:r>
      <w:r w:rsidRPr="002C4077">
        <w:t xml:space="preserve"> </w:t>
      </w:r>
      <w:r>
        <w:t>l’Eucharistie</w:t>
      </w:r>
      <w:r w:rsidRPr="002C4077">
        <w:t xml:space="preserve"> </w:t>
      </w:r>
      <w:r>
        <w:t>et</w:t>
      </w:r>
      <w:r w:rsidRPr="002C4077">
        <w:t xml:space="preserve"> </w:t>
      </w:r>
      <w:r>
        <w:t>le</w:t>
      </w:r>
      <w:r w:rsidRPr="002C4077">
        <w:t xml:space="preserve"> </w:t>
      </w:r>
      <w:r>
        <w:t>sacrement</w:t>
      </w:r>
      <w:r w:rsidRPr="002C4077">
        <w:t xml:space="preserve"> </w:t>
      </w:r>
      <w:r>
        <w:t>de</w:t>
      </w:r>
      <w:bookmarkStart w:id="792" w:name="z_JudasEtEucharistie_o10"/>
      <w:bookmarkEnd w:id="792"/>
      <w:r w:rsidRPr="002C4077">
        <w:t xml:space="preserve"> </w:t>
      </w:r>
      <w:r>
        <w:t>l’Ordre.</w:t>
      </w:r>
      <w:r w:rsidR="00C45B47">
        <w:t xml:space="preserve"> {</w:t>
      </w:r>
      <w:r w:rsidR="005E2129">
        <w:t>326</w:t>
      </w:r>
      <w:bookmarkStart w:id="793" w:name="p326"/>
      <w:bookmarkEnd w:id="793"/>
      <w:r w:rsidR="005E2129">
        <w:t>}</w:t>
      </w:r>
      <w:r w:rsidR="00C45B47">
        <w:t xml:space="preserve"> {</w:t>
      </w:r>
      <w:r w:rsidR="005E2129">
        <w:t>327</w:t>
      </w:r>
      <w:bookmarkStart w:id="794" w:name="p327"/>
      <w:bookmarkEnd w:id="794"/>
      <w:r w:rsidR="005E2129">
        <w:t xml:space="preserve">} </w:t>
      </w:r>
    </w:p>
    <w:p w:rsidR="000A7AAB" w:rsidRDefault="00D67FA8" w:rsidP="00D67FA8">
      <w:pPr>
        <w:pStyle w:val="Titre1"/>
      </w:pPr>
      <w:bookmarkStart w:id="795" w:name="_Toc43882024"/>
      <w:r>
        <w:t>XII.</w:t>
      </w:r>
      <w:r w:rsidR="002A6EDB">
        <w:br/>
      </w:r>
      <w:r w:rsidR="000A7AAB">
        <w:t>LES</w:t>
      </w:r>
      <w:r w:rsidR="000A7AAB" w:rsidRPr="002C4077">
        <w:t xml:space="preserve"> </w:t>
      </w:r>
      <w:r w:rsidR="000A7AAB">
        <w:t>CONCORDANCES</w:t>
      </w:r>
      <w:r w:rsidR="00B91AF7">
        <w:rPr>
          <w:rStyle w:val="Appelnotedebasdep"/>
        </w:rPr>
        <w:footnoteReference w:id="964"/>
      </w:r>
      <w:r w:rsidR="000A7AAB">
        <w:t>.</w:t>
      </w:r>
      <w:bookmarkStart w:id="796" w:name="a12"/>
      <w:bookmarkEnd w:id="795"/>
      <w:bookmarkEnd w:id="796"/>
      <w:r w:rsidR="000A7AAB" w:rsidRPr="002C4077">
        <w:t xml:space="preserve"> </w:t>
      </w:r>
    </w:p>
    <w:p w:rsidR="000A7AAB" w:rsidRDefault="000A7AAB" w:rsidP="000A7AAB">
      <w:r>
        <w:t>Tous</w:t>
      </w:r>
      <w:bookmarkStart w:id="797" w:name="z_Concordances_o1"/>
      <w:bookmarkEnd w:id="797"/>
      <w:r w:rsidRPr="002C4077">
        <w:t xml:space="preserve"> </w:t>
      </w:r>
      <w:r>
        <w:t>nos</w:t>
      </w:r>
      <w:r w:rsidRPr="002C4077">
        <w:t xml:space="preserve"> </w:t>
      </w:r>
      <w:r>
        <w:t>lecteurs</w:t>
      </w:r>
      <w:r w:rsidRPr="002C4077">
        <w:t xml:space="preserve"> </w:t>
      </w:r>
      <w:r>
        <w:t>savent</w:t>
      </w:r>
      <w:r w:rsidRPr="002C4077">
        <w:t xml:space="preserve"> </w:t>
      </w:r>
      <w:r w:rsidRPr="000A34B5">
        <w:rPr>
          <w:rStyle w:val="italicus"/>
        </w:rPr>
        <w:t>de</w:t>
      </w:r>
      <w:r w:rsidRPr="002C4077">
        <w:t xml:space="preserve"> </w:t>
      </w:r>
      <w:r w:rsidRPr="000A34B5">
        <w:rPr>
          <w:rStyle w:val="italicus"/>
        </w:rPr>
        <w:t>visu</w:t>
      </w:r>
      <w:r w:rsidRPr="002C4077">
        <w:t xml:space="preserve"> </w:t>
      </w:r>
      <w:r>
        <w:t>ce</w:t>
      </w:r>
      <w:r w:rsidRPr="002C4077">
        <w:t xml:space="preserve"> </w:t>
      </w:r>
      <w:r>
        <w:t>qu’est</w:t>
      </w:r>
      <w:r w:rsidRPr="002C4077">
        <w:t xml:space="preserve"> </w:t>
      </w:r>
      <w:r>
        <w:t>une</w:t>
      </w:r>
      <w:r w:rsidRPr="002C4077">
        <w:t xml:space="preserve"> </w:t>
      </w:r>
      <w:r w:rsidRPr="000A34B5">
        <w:rPr>
          <w:rStyle w:val="italicus"/>
        </w:rPr>
        <w:t>Concordance</w:t>
      </w:r>
      <w:r w:rsidRPr="002C4077">
        <w:t xml:space="preserve"> </w:t>
      </w:r>
      <w:r>
        <w:t>biblique,</w:t>
      </w:r>
      <w:r w:rsidRPr="002C4077">
        <w:t xml:space="preserve"> </w:t>
      </w:r>
      <w:r>
        <w:t>tous</w:t>
      </w:r>
      <w:r w:rsidRPr="002C4077">
        <w:t xml:space="preserve"> </w:t>
      </w:r>
      <w:r>
        <w:t>s’en</w:t>
      </w:r>
      <w:r w:rsidRPr="002C4077">
        <w:t xml:space="preserve"> </w:t>
      </w:r>
      <w:r>
        <w:t>sont</w:t>
      </w:r>
      <w:r w:rsidRPr="002C4077">
        <w:t xml:space="preserve"> </w:t>
      </w:r>
      <w:r>
        <w:t>plus</w:t>
      </w:r>
      <w:r w:rsidRPr="002C4077">
        <w:t xml:space="preserve"> </w:t>
      </w:r>
      <w:r>
        <w:t>ou</w:t>
      </w:r>
      <w:r w:rsidRPr="002C4077">
        <w:t xml:space="preserve"> </w:t>
      </w:r>
      <w:r>
        <w:t>moins</w:t>
      </w:r>
      <w:r w:rsidRPr="002C4077">
        <w:t xml:space="preserve"> </w:t>
      </w:r>
      <w:r>
        <w:t>servis</w:t>
      </w:r>
      <w:r w:rsidRPr="002C4077">
        <w:t xml:space="preserve"> </w:t>
      </w:r>
      <w:r>
        <w:t>pour</w:t>
      </w:r>
      <w:r w:rsidRPr="002C4077">
        <w:t xml:space="preserve"> </w:t>
      </w:r>
      <w:r>
        <w:t>leurs</w:t>
      </w:r>
      <w:r w:rsidRPr="002C4077">
        <w:t xml:space="preserve"> </w:t>
      </w:r>
      <w:r>
        <w:t>divers</w:t>
      </w:r>
      <w:r w:rsidRPr="002C4077">
        <w:t xml:space="preserve"> </w:t>
      </w:r>
      <w:r>
        <w:t>travaux</w:t>
      </w:r>
      <w:r w:rsidR="00B546AF">
        <w:t> ;</w:t>
      </w:r>
      <w:r w:rsidRPr="002C4077">
        <w:t xml:space="preserve"> </w:t>
      </w:r>
      <w:r>
        <w:t>mais</w:t>
      </w:r>
      <w:r w:rsidRPr="002C4077">
        <w:t xml:space="preserve"> </w:t>
      </w:r>
      <w:r>
        <w:t>fort</w:t>
      </w:r>
      <w:r w:rsidRPr="002C4077">
        <w:t xml:space="preserve"> </w:t>
      </w:r>
      <w:r>
        <w:t>peu,</w:t>
      </w:r>
      <w:r w:rsidRPr="002C4077">
        <w:t xml:space="preserve"> </w:t>
      </w:r>
      <w:r>
        <w:t>sans</w:t>
      </w:r>
      <w:r w:rsidRPr="002C4077">
        <w:t xml:space="preserve"> </w:t>
      </w:r>
      <w:r>
        <w:t>doute,</w:t>
      </w:r>
      <w:r w:rsidRPr="002C4077">
        <w:t xml:space="preserve"> </w:t>
      </w:r>
      <w:r>
        <w:t>connaissent</w:t>
      </w:r>
      <w:r w:rsidRPr="002C4077">
        <w:t xml:space="preserve"> </w:t>
      </w:r>
      <w:r>
        <w:t>leur</w:t>
      </w:r>
      <w:r w:rsidRPr="002C4077">
        <w:t xml:space="preserve"> </w:t>
      </w:r>
      <w:r>
        <w:t>histoire.</w:t>
      </w:r>
      <w:r w:rsidRPr="002C4077">
        <w:t xml:space="preserve"> </w:t>
      </w:r>
      <w:r>
        <w:t>Qui</w:t>
      </w:r>
      <w:r w:rsidRPr="002C4077">
        <w:t xml:space="preserve"> </w:t>
      </w:r>
      <w:r>
        <w:t>pense</w:t>
      </w:r>
      <w:r w:rsidRPr="002C4077">
        <w:t xml:space="preserve"> </w:t>
      </w:r>
      <w:r>
        <w:t>à</w:t>
      </w:r>
      <w:r w:rsidRPr="002C4077">
        <w:t xml:space="preserve"> </w:t>
      </w:r>
      <w:r>
        <w:t>questionner</w:t>
      </w:r>
      <w:r w:rsidRPr="002C4077">
        <w:t xml:space="preserve"> </w:t>
      </w:r>
      <w:r>
        <w:t>même</w:t>
      </w:r>
      <w:r w:rsidRPr="002C4077">
        <w:t xml:space="preserve"> </w:t>
      </w:r>
      <w:r>
        <w:t>le</w:t>
      </w:r>
      <w:r w:rsidRPr="002C4077">
        <w:t xml:space="preserve"> </w:t>
      </w:r>
      <w:r>
        <w:t>meilleur</w:t>
      </w:r>
      <w:r w:rsidRPr="002C4077">
        <w:t xml:space="preserve"> </w:t>
      </w:r>
      <w:r>
        <w:t>serviteur</w:t>
      </w:r>
      <w:r w:rsidRPr="002C4077">
        <w:t xml:space="preserve"> </w:t>
      </w:r>
      <w:r>
        <w:t>sur</w:t>
      </w:r>
      <w:r w:rsidRPr="002C4077">
        <w:t xml:space="preserve"> </w:t>
      </w:r>
      <w:r>
        <w:t>son</w:t>
      </w:r>
      <w:r w:rsidRPr="002C4077">
        <w:t xml:space="preserve"> </w:t>
      </w:r>
      <w:r>
        <w:t>origine</w:t>
      </w:r>
      <w:r w:rsidRPr="002C4077">
        <w:t xml:space="preserve"> </w:t>
      </w:r>
      <w:r>
        <w:t>et</w:t>
      </w:r>
      <w:r w:rsidRPr="002C4077">
        <w:t xml:space="preserve"> </w:t>
      </w:r>
      <w:r>
        <w:t>sur</w:t>
      </w:r>
      <w:r w:rsidRPr="002C4077">
        <w:t xml:space="preserve"> </w:t>
      </w:r>
      <w:r>
        <w:t>les</w:t>
      </w:r>
      <w:r w:rsidRPr="002C4077">
        <w:t xml:space="preserve"> </w:t>
      </w:r>
      <w:r>
        <w:t>événements</w:t>
      </w:r>
      <w:r w:rsidRPr="002C4077">
        <w:t xml:space="preserve"> </w:t>
      </w:r>
      <w:r>
        <w:t>de</w:t>
      </w:r>
      <w:r w:rsidRPr="002C4077">
        <w:t xml:space="preserve"> </w:t>
      </w:r>
      <w:r>
        <w:t>sa</w:t>
      </w:r>
      <w:r w:rsidRPr="002C4077">
        <w:t xml:space="preserve"> </w:t>
      </w:r>
      <w:r>
        <w:t>vie</w:t>
      </w:r>
      <w:r w:rsidR="00B546AF">
        <w:t> ?</w:t>
      </w:r>
      <w:r w:rsidRPr="002C4077">
        <w:t xml:space="preserve"> </w:t>
      </w:r>
      <w:r>
        <w:t>Nous-mêmes,</w:t>
      </w:r>
      <w:r w:rsidRPr="002C4077">
        <w:t xml:space="preserve"> </w:t>
      </w:r>
      <w:r>
        <w:t>il</w:t>
      </w:r>
      <w:r w:rsidRPr="002C4077">
        <w:t xml:space="preserve"> </w:t>
      </w:r>
      <w:r>
        <w:t>y</w:t>
      </w:r>
      <w:r w:rsidRPr="002C4077">
        <w:t xml:space="preserve"> </w:t>
      </w:r>
      <w:r>
        <w:t>a</w:t>
      </w:r>
      <w:r w:rsidRPr="002C4077">
        <w:t xml:space="preserve"> </w:t>
      </w:r>
      <w:r>
        <w:t>peu</w:t>
      </w:r>
      <w:r w:rsidRPr="002C4077">
        <w:t xml:space="preserve"> </w:t>
      </w:r>
      <w:r>
        <w:t>de</w:t>
      </w:r>
      <w:r w:rsidRPr="002C4077">
        <w:t xml:space="preserve"> </w:t>
      </w:r>
      <w:r>
        <w:t>temps,</w:t>
      </w:r>
      <w:r w:rsidRPr="002C4077">
        <w:t xml:space="preserve"> </w:t>
      </w:r>
      <w:r>
        <w:t>nous</w:t>
      </w:r>
      <w:r w:rsidRPr="002C4077">
        <w:t xml:space="preserve"> </w:t>
      </w:r>
      <w:r>
        <w:t>étions</w:t>
      </w:r>
      <w:r w:rsidRPr="002C4077">
        <w:t xml:space="preserve"> </w:t>
      </w:r>
      <w:r>
        <w:t>plongé</w:t>
      </w:r>
      <w:r w:rsidRPr="002C4077">
        <w:t xml:space="preserve"> </w:t>
      </w:r>
      <w:r>
        <w:t>aussi</w:t>
      </w:r>
      <w:r w:rsidRPr="002C4077">
        <w:t xml:space="preserve"> </w:t>
      </w:r>
      <w:r>
        <w:t>avant</w:t>
      </w:r>
      <w:r w:rsidRPr="002C4077">
        <w:t xml:space="preserve"> </w:t>
      </w:r>
      <w:r>
        <w:t>qu’il</w:t>
      </w:r>
      <w:r w:rsidRPr="002C4077">
        <w:t xml:space="preserve"> </w:t>
      </w:r>
      <w:r>
        <w:t>soit</w:t>
      </w:r>
      <w:r w:rsidRPr="002C4077">
        <w:t xml:space="preserve"> </w:t>
      </w:r>
      <w:r>
        <w:t>possible</w:t>
      </w:r>
      <w:r w:rsidRPr="002C4077">
        <w:t xml:space="preserve"> </w:t>
      </w:r>
      <w:r>
        <w:t>dans</w:t>
      </w:r>
      <w:r w:rsidRPr="002C4077">
        <w:t xml:space="preserve"> </w:t>
      </w:r>
      <w:r>
        <w:t>cette</w:t>
      </w:r>
      <w:r w:rsidRPr="002C4077">
        <w:t xml:space="preserve"> </w:t>
      </w:r>
      <w:r>
        <w:t>ignorance</w:t>
      </w:r>
      <w:r w:rsidRPr="002C4077">
        <w:t xml:space="preserve"> </w:t>
      </w:r>
      <w:r>
        <w:t>que</w:t>
      </w:r>
      <w:r w:rsidRPr="002C4077">
        <w:t xml:space="preserve"> </w:t>
      </w:r>
      <w:r>
        <w:t>nous</w:t>
      </w:r>
      <w:r w:rsidRPr="002C4077">
        <w:t xml:space="preserve"> </w:t>
      </w:r>
      <w:r>
        <w:t>reprochons</w:t>
      </w:r>
      <w:r w:rsidRPr="002C4077">
        <w:t xml:space="preserve"> </w:t>
      </w:r>
      <w:r>
        <w:t>si</w:t>
      </w:r>
      <w:r w:rsidRPr="002C4077">
        <w:t xml:space="preserve"> </w:t>
      </w:r>
      <w:r>
        <w:t>aud</w:t>
      </w:r>
      <w:r w:rsidR="001730C6">
        <w:t>ac</w:t>
      </w:r>
      <w:r>
        <w:t>ieusement</w:t>
      </w:r>
      <w:r w:rsidRPr="002C4077">
        <w:t xml:space="preserve"> </w:t>
      </w:r>
      <w:r>
        <w:t>à</w:t>
      </w:r>
      <w:r w:rsidRPr="002C4077">
        <w:t xml:space="preserve"> </w:t>
      </w:r>
      <w:r>
        <w:t>de</w:t>
      </w:r>
      <w:r w:rsidRPr="002C4077">
        <w:t xml:space="preserve"> </w:t>
      </w:r>
      <w:r>
        <w:t>plus</w:t>
      </w:r>
      <w:r w:rsidRPr="002C4077">
        <w:t xml:space="preserve"> </w:t>
      </w:r>
      <w:r>
        <w:t>doctes</w:t>
      </w:r>
      <w:r w:rsidRPr="002C4077">
        <w:t xml:space="preserve"> </w:t>
      </w:r>
      <w:r>
        <w:t>que</w:t>
      </w:r>
      <w:r w:rsidRPr="002C4077">
        <w:t xml:space="preserve"> </w:t>
      </w:r>
      <w:r>
        <w:t>nous</w:t>
      </w:r>
      <w:r w:rsidR="00B546AF">
        <w:t> :</w:t>
      </w:r>
      <w:r w:rsidRPr="002C4077">
        <w:t xml:space="preserve"> </w:t>
      </w:r>
      <w:r>
        <w:t>un</w:t>
      </w:r>
      <w:r w:rsidRPr="002C4077">
        <w:t xml:space="preserve"> </w:t>
      </w:r>
      <w:r>
        <w:t>charmant</w:t>
      </w:r>
      <w:r w:rsidRPr="002C4077">
        <w:t xml:space="preserve"> </w:t>
      </w:r>
      <w:r>
        <w:t>in-8°</w:t>
      </w:r>
      <w:r w:rsidRPr="002C4077">
        <w:t xml:space="preserve"> </w:t>
      </w:r>
      <w:r>
        <w:t>venu</w:t>
      </w:r>
      <w:r w:rsidRPr="002C4077">
        <w:t xml:space="preserve"> </w:t>
      </w:r>
      <w:r>
        <w:t>d’Allemagne</w:t>
      </w:r>
      <w:r w:rsidR="00B91AF7">
        <w:rPr>
          <w:rStyle w:val="Appelnotedebasdep"/>
        </w:rPr>
        <w:footnoteReference w:id="965"/>
      </w:r>
      <w:r w:rsidRPr="002C4077">
        <w:t xml:space="preserve"> </w:t>
      </w:r>
      <w:r>
        <w:t>nous</w:t>
      </w:r>
      <w:r w:rsidRPr="002C4077">
        <w:t xml:space="preserve"> </w:t>
      </w:r>
      <w:r>
        <w:t>a</w:t>
      </w:r>
      <w:r w:rsidRPr="002C4077">
        <w:t xml:space="preserve"> </w:t>
      </w:r>
      <w:r>
        <w:t>apporté,</w:t>
      </w:r>
      <w:r w:rsidRPr="002C4077">
        <w:t xml:space="preserve"> </w:t>
      </w:r>
      <w:r>
        <w:t>sur</w:t>
      </w:r>
      <w:r w:rsidRPr="002C4077">
        <w:t xml:space="preserve"> </w:t>
      </w:r>
      <w:r>
        <w:t>ce</w:t>
      </w:r>
      <w:r w:rsidRPr="002C4077">
        <w:t xml:space="preserve"> </w:t>
      </w:r>
      <w:r>
        <w:t>sujet</w:t>
      </w:r>
      <w:r w:rsidRPr="002C4077">
        <w:t xml:space="preserve"> </w:t>
      </w:r>
      <w:r>
        <w:t>utile</w:t>
      </w:r>
      <w:r w:rsidRPr="002C4077">
        <w:t xml:space="preserve"> </w:t>
      </w:r>
      <w:r>
        <w:t>et</w:t>
      </w:r>
      <w:r w:rsidRPr="002C4077">
        <w:t xml:space="preserve"> </w:t>
      </w:r>
      <w:r>
        <w:t>intéressant,</w:t>
      </w:r>
      <w:r w:rsidRPr="002C4077">
        <w:t xml:space="preserve"> </w:t>
      </w:r>
      <w:r>
        <w:t>de</w:t>
      </w:r>
      <w:r w:rsidRPr="002C4077">
        <w:t xml:space="preserve"> </w:t>
      </w:r>
      <w:r>
        <w:t>précieuses</w:t>
      </w:r>
      <w:r w:rsidRPr="002C4077">
        <w:t xml:space="preserve"> </w:t>
      </w:r>
      <w:r>
        <w:t>lumières</w:t>
      </w:r>
      <w:r w:rsidRPr="002C4077">
        <w:t xml:space="preserve"> </w:t>
      </w:r>
      <w:r>
        <w:t>que</w:t>
      </w:r>
      <w:r w:rsidRPr="002C4077">
        <w:t xml:space="preserve"> </w:t>
      </w:r>
      <w:r>
        <w:t>nous</w:t>
      </w:r>
      <w:r w:rsidRPr="002C4077">
        <w:t xml:space="preserve"> </w:t>
      </w:r>
      <w:r>
        <w:t>avons</w:t>
      </w:r>
      <w:r w:rsidRPr="002C4077">
        <w:t xml:space="preserve"> </w:t>
      </w:r>
      <w:r>
        <w:t>hâte</w:t>
      </w:r>
      <w:r w:rsidRPr="002C4077">
        <w:t xml:space="preserve"> </w:t>
      </w:r>
      <w:r>
        <w:t>de</w:t>
      </w:r>
      <w:r w:rsidRPr="002C4077">
        <w:t xml:space="preserve"> </w:t>
      </w:r>
      <w:r>
        <w:t>faire</w:t>
      </w:r>
      <w:r w:rsidRPr="002C4077">
        <w:t xml:space="preserve"> </w:t>
      </w:r>
      <w:r>
        <w:t>pénétrer</w:t>
      </w:r>
      <w:r w:rsidRPr="002C4077">
        <w:t xml:space="preserve"> </w:t>
      </w:r>
      <w:r>
        <w:t>dans</w:t>
      </w:r>
      <w:r w:rsidRPr="002C4077">
        <w:t xml:space="preserve"> </w:t>
      </w:r>
      <w:r>
        <w:t>le</w:t>
      </w:r>
      <w:r w:rsidRPr="002C4077">
        <w:t xml:space="preserve"> </w:t>
      </w:r>
      <w:r>
        <w:t>domaine</w:t>
      </w:r>
      <w:r w:rsidRPr="002C4077">
        <w:t xml:space="preserve"> </w:t>
      </w:r>
      <w:r>
        <w:t>public.</w:t>
      </w:r>
      <w:r w:rsidRPr="002C4077">
        <w:t xml:space="preserve"> </w:t>
      </w:r>
      <w:r>
        <w:t>L’auteur</w:t>
      </w:r>
      <w:r w:rsidRPr="002C4077">
        <w:t xml:space="preserve"> </w:t>
      </w:r>
      <w:r>
        <w:t>de</w:t>
      </w:r>
      <w:r w:rsidRPr="002C4077">
        <w:t xml:space="preserve"> </w:t>
      </w:r>
      <w:r>
        <w:t>cet</w:t>
      </w:r>
      <w:r w:rsidRPr="002C4077">
        <w:t xml:space="preserve"> </w:t>
      </w:r>
      <w:r>
        <w:t>opuscule</w:t>
      </w:r>
      <w:r w:rsidRPr="002C4077">
        <w:t xml:space="preserve"> </w:t>
      </w:r>
      <w:r w:rsidR="00425C50">
        <w:t>est</w:t>
      </w:r>
      <w:r w:rsidRPr="002C4077">
        <w:t xml:space="preserve"> </w:t>
      </w:r>
      <w:r>
        <w:t>M.</w:t>
      </w:r>
      <w:r w:rsidRPr="002C4077">
        <w:t xml:space="preserve"> </w:t>
      </w:r>
      <w:r>
        <w:t>Ernest</w:t>
      </w:r>
      <w:r w:rsidRPr="002C4077">
        <w:t xml:space="preserve"> </w:t>
      </w:r>
      <w:r>
        <w:t>Bindseil,</w:t>
      </w:r>
      <w:r w:rsidRPr="002C4077">
        <w:t xml:space="preserve"> </w:t>
      </w:r>
      <w:r>
        <w:t>professeur</w:t>
      </w:r>
      <w:r w:rsidRPr="002C4077">
        <w:t xml:space="preserve"> </w:t>
      </w:r>
      <w:r>
        <w:t>à</w:t>
      </w:r>
      <w:r w:rsidRPr="002C4077">
        <w:t xml:space="preserve"> </w:t>
      </w:r>
      <w:r>
        <w:t>l’Université</w:t>
      </w:r>
      <w:r w:rsidRPr="002C4077">
        <w:t xml:space="preserve"> </w:t>
      </w:r>
      <w:r>
        <w:t>de</w:t>
      </w:r>
      <w:r w:rsidRPr="002C4077">
        <w:t xml:space="preserve"> </w:t>
      </w:r>
      <w:r>
        <w:t>Halle.</w:t>
      </w:r>
      <w:r w:rsidR="00C45B47">
        <w:t xml:space="preserve"> {</w:t>
      </w:r>
      <w:r w:rsidR="005E2129">
        <w:t>328</w:t>
      </w:r>
      <w:bookmarkStart w:id="798" w:name="p328"/>
      <w:bookmarkEnd w:id="798"/>
      <w:r w:rsidR="005E2129">
        <w:t xml:space="preserve">} </w:t>
      </w:r>
      <w:r>
        <w:t>En</w:t>
      </w:r>
      <w:r w:rsidRPr="002C4077">
        <w:t xml:space="preserve"> </w:t>
      </w:r>
      <w:r>
        <w:t>écoutant</w:t>
      </w:r>
      <w:r w:rsidRPr="002C4077">
        <w:t xml:space="preserve"> </w:t>
      </w:r>
      <w:r>
        <w:t>ses</w:t>
      </w:r>
      <w:r w:rsidRPr="002C4077">
        <w:t xml:space="preserve"> </w:t>
      </w:r>
      <w:r>
        <w:t>savantes</w:t>
      </w:r>
      <w:r w:rsidRPr="002C4077">
        <w:t xml:space="preserve"> </w:t>
      </w:r>
      <w:r>
        <w:t>leçons,</w:t>
      </w:r>
      <w:r w:rsidRPr="002C4077">
        <w:t xml:space="preserve"> </w:t>
      </w:r>
      <w:r>
        <w:t>nous</w:t>
      </w:r>
      <w:r w:rsidRPr="002C4077">
        <w:t xml:space="preserve"> </w:t>
      </w:r>
      <w:r>
        <w:t>allons</w:t>
      </w:r>
      <w:r w:rsidRPr="002C4077">
        <w:t xml:space="preserve"> </w:t>
      </w:r>
      <w:r>
        <w:t>assister</w:t>
      </w:r>
      <w:r w:rsidRPr="002C4077">
        <w:t xml:space="preserve"> </w:t>
      </w:r>
      <w:r>
        <w:t>à</w:t>
      </w:r>
      <w:r w:rsidRPr="002C4077">
        <w:t xml:space="preserve"> </w:t>
      </w:r>
      <w:r>
        <w:t>la</w:t>
      </w:r>
      <w:r w:rsidRPr="002C4077">
        <w:t xml:space="preserve"> </w:t>
      </w:r>
      <w:r>
        <w:t>naissance,</w:t>
      </w:r>
      <w:r w:rsidRPr="002C4077">
        <w:t xml:space="preserve"> </w:t>
      </w:r>
      <w:r>
        <w:t>au</w:t>
      </w:r>
      <w:r w:rsidRPr="002C4077">
        <w:t xml:space="preserve"> </w:t>
      </w:r>
      <w:r>
        <w:t>développement</w:t>
      </w:r>
      <w:r w:rsidRPr="002C4077">
        <w:t xml:space="preserve"> </w:t>
      </w:r>
      <w:r>
        <w:t>et</w:t>
      </w:r>
      <w:r w:rsidRPr="002C4077">
        <w:t xml:space="preserve"> </w:t>
      </w:r>
      <w:r>
        <w:t>à</w:t>
      </w:r>
      <w:r w:rsidRPr="002C4077">
        <w:t xml:space="preserve"> </w:t>
      </w:r>
      <w:r>
        <w:t>la</w:t>
      </w:r>
      <w:r w:rsidRPr="002C4077">
        <w:t xml:space="preserve"> </w:t>
      </w:r>
      <w:r>
        <w:t>multiplication</w:t>
      </w:r>
      <w:r w:rsidRPr="002C4077">
        <w:t xml:space="preserve"> </w:t>
      </w:r>
      <w:r>
        <w:t>des</w:t>
      </w:r>
      <w:r w:rsidRPr="002C4077">
        <w:t xml:space="preserve"> </w:t>
      </w:r>
      <w:r>
        <w:t>Concordances</w:t>
      </w:r>
      <w:r w:rsidRPr="002C4077">
        <w:t xml:space="preserve"> </w:t>
      </w:r>
      <w:r w:rsidR="00205F90">
        <w:rPr>
          <w:rStyle w:val="Appelnotedebasdep"/>
        </w:rPr>
        <w:footnoteReference w:id="966"/>
      </w:r>
      <w:r w:rsidR="00205F90">
        <w:t>.</w:t>
      </w:r>
    </w:p>
    <w:p w:rsidR="007B6C57" w:rsidRDefault="007B6C57" w:rsidP="000A7AAB">
      <w:pPr>
        <w:rPr>
          <w:rStyle w:val="italicus"/>
        </w:rPr>
      </w:pPr>
    </w:p>
    <w:p w:rsidR="000A7AAB" w:rsidRDefault="000A7AAB" w:rsidP="000A7AAB">
      <w:r w:rsidRPr="000A34B5">
        <w:rPr>
          <w:rStyle w:val="italicus"/>
        </w:rPr>
        <w:t>L’auteur</w:t>
      </w:r>
      <w:bookmarkStart w:id="799" w:name="z_Concordances_o2"/>
      <w:bookmarkEnd w:id="799"/>
      <w:r w:rsidRPr="002C4077">
        <w:t xml:space="preserve"> </w:t>
      </w:r>
      <w:r w:rsidRPr="000A34B5">
        <w:rPr>
          <w:rStyle w:val="italicus"/>
        </w:rPr>
        <w:t>les</w:t>
      </w:r>
      <w:r w:rsidRPr="002C4077">
        <w:t xml:space="preserve"> </w:t>
      </w:r>
      <w:r w:rsidRPr="000A34B5">
        <w:rPr>
          <w:rStyle w:val="italicus"/>
        </w:rPr>
        <w:t>définit</w:t>
      </w:r>
      <w:r w:rsidR="00B546AF">
        <w:rPr>
          <w:rStyle w:val="italicus"/>
        </w:rPr>
        <w:t> </w:t>
      </w:r>
      <w:r w:rsidR="00B546AF" w:rsidRPr="000A34B5">
        <w:rPr>
          <w:rStyle w:val="italicus"/>
        </w:rPr>
        <w:t>:</w:t>
      </w:r>
      <w:r w:rsidRPr="002C4077">
        <w:t xml:space="preserve"> </w:t>
      </w:r>
      <w:r>
        <w:t>Collect</w:t>
      </w:r>
      <w:r w:rsidR="003B53FD">
        <w:t>iónes</w:t>
      </w:r>
      <w:r w:rsidRPr="002C4077">
        <w:t xml:space="preserve"> </w:t>
      </w:r>
      <w:r w:rsidR="003B53FD">
        <w:t>ómnium</w:t>
      </w:r>
      <w:r w:rsidRPr="002C4077">
        <w:t xml:space="preserve"> </w:t>
      </w:r>
      <w:r>
        <w:t>a</w:t>
      </w:r>
      <w:r w:rsidR="003B53FD">
        <w:t>licújus</w:t>
      </w:r>
      <w:r w:rsidRPr="002C4077">
        <w:t xml:space="preserve"> </w:t>
      </w:r>
      <w:r w:rsidR="003B53FD">
        <w:t>óperis</w:t>
      </w:r>
      <w:r w:rsidRPr="002C4077">
        <w:t xml:space="preserve"> </w:t>
      </w:r>
      <w:r w:rsidR="003B53FD">
        <w:t>locórum</w:t>
      </w:r>
      <w:r>
        <w:t>,</w:t>
      </w:r>
      <w:r w:rsidRPr="002C4077">
        <w:t xml:space="preserve"> </w:t>
      </w:r>
      <w:r>
        <w:t>qui</w:t>
      </w:r>
      <w:r w:rsidRPr="002C4077">
        <w:t xml:space="preserve"> </w:t>
      </w:r>
      <w:r>
        <w:t>certe</w:t>
      </w:r>
      <w:r w:rsidRPr="002C4077">
        <w:t xml:space="preserve"> </w:t>
      </w:r>
      <w:r>
        <w:t>in</w:t>
      </w:r>
      <w:r w:rsidRPr="002C4077">
        <w:t xml:space="preserve"> </w:t>
      </w:r>
      <w:r>
        <w:t>una</w:t>
      </w:r>
      <w:r w:rsidRPr="002C4077">
        <w:t xml:space="preserve"> </w:t>
      </w:r>
      <w:r>
        <w:t>voce</w:t>
      </w:r>
      <w:r w:rsidRPr="002C4077">
        <w:t xml:space="preserve"> </w:t>
      </w:r>
      <w:r>
        <w:t>inter</w:t>
      </w:r>
      <w:r w:rsidRPr="002C4077">
        <w:t xml:space="preserve"> </w:t>
      </w:r>
      <w:r>
        <w:t>se</w:t>
      </w:r>
      <w:r w:rsidRPr="002C4077">
        <w:t xml:space="preserve"> </w:t>
      </w:r>
      <w:r w:rsidRPr="000A34B5">
        <w:rPr>
          <w:rStyle w:val="italicus"/>
        </w:rPr>
        <w:t>concordant,</w:t>
      </w:r>
      <w:r w:rsidRPr="002C4077">
        <w:t xml:space="preserve"> </w:t>
      </w:r>
      <w:r>
        <w:t>seu</w:t>
      </w:r>
      <w:r w:rsidRPr="002C4077">
        <w:t xml:space="preserve"> </w:t>
      </w:r>
      <w:r w:rsidR="003B5C82">
        <w:t>conséntiunt</w:t>
      </w:r>
      <w:r>
        <w:t>,</w:t>
      </w:r>
      <w:r w:rsidRPr="002C4077">
        <w:t xml:space="preserve"> </w:t>
      </w:r>
      <w:r w:rsidR="003B5C82">
        <w:t>alphabético</w:t>
      </w:r>
      <w:r w:rsidRPr="002C4077">
        <w:t xml:space="preserve"> </w:t>
      </w:r>
      <w:r w:rsidR="003B53FD">
        <w:t>harum</w:t>
      </w:r>
      <w:r w:rsidRPr="002C4077">
        <w:t xml:space="preserve"> </w:t>
      </w:r>
      <w:r>
        <w:t>vocum</w:t>
      </w:r>
      <w:r w:rsidRPr="002C4077">
        <w:t xml:space="preserve"> </w:t>
      </w:r>
      <w:r w:rsidRPr="000A34B5">
        <w:rPr>
          <w:rStyle w:val="italicus"/>
        </w:rPr>
        <w:t>co</w:t>
      </w:r>
      <w:r w:rsidR="001730C6" w:rsidRPr="000A34B5">
        <w:rPr>
          <w:rStyle w:val="italicus"/>
        </w:rPr>
        <w:t>nc</w:t>
      </w:r>
      <w:r w:rsidRPr="000A34B5">
        <w:rPr>
          <w:rStyle w:val="italicus"/>
        </w:rPr>
        <w:t>ord</w:t>
      </w:r>
      <w:r w:rsidR="003B53FD">
        <w:rPr>
          <w:rStyle w:val="italicus"/>
        </w:rPr>
        <w:t>á</w:t>
      </w:r>
      <w:r w:rsidR="003B53FD" w:rsidRPr="000A34B5">
        <w:rPr>
          <w:rStyle w:val="italicus"/>
        </w:rPr>
        <w:t>ntium</w:t>
      </w:r>
      <w:r w:rsidRPr="002C4077">
        <w:t xml:space="preserve"> </w:t>
      </w:r>
      <w:r w:rsidR="003B5C82">
        <w:t>órdine</w:t>
      </w:r>
      <w:r w:rsidRPr="002C4077">
        <w:t xml:space="preserve"> </w:t>
      </w:r>
      <w:r>
        <w:t>dis</w:t>
      </w:r>
      <w:r w:rsidR="003B53FD">
        <w:t>pósitæ</w:t>
      </w:r>
      <w:r>
        <w:t>,</w:t>
      </w:r>
      <w:r w:rsidRPr="002C4077">
        <w:t xml:space="preserve"> </w:t>
      </w:r>
      <w:r>
        <w:t>ita</w:t>
      </w:r>
      <w:r w:rsidRPr="002C4077">
        <w:t xml:space="preserve"> </w:t>
      </w:r>
      <w:r>
        <w:t>ut</w:t>
      </w:r>
      <w:r w:rsidRPr="002C4077">
        <w:t xml:space="preserve"> </w:t>
      </w:r>
      <w:r>
        <w:t>lector</w:t>
      </w:r>
      <w:r w:rsidRPr="002C4077">
        <w:t xml:space="preserve"> </w:t>
      </w:r>
      <w:r w:rsidR="003B5C82">
        <w:t>ejúsmodi</w:t>
      </w:r>
      <w:r w:rsidRPr="002C4077">
        <w:t xml:space="preserve"> </w:t>
      </w:r>
      <w:r>
        <w:t>l</w:t>
      </w:r>
      <w:r w:rsidR="003B53FD">
        <w:t>ibrórum</w:t>
      </w:r>
      <w:r w:rsidRPr="002C4077">
        <w:t xml:space="preserve"> </w:t>
      </w:r>
      <w:r>
        <w:t>ope</w:t>
      </w:r>
      <w:r w:rsidRPr="002C4077">
        <w:t xml:space="preserve"> </w:t>
      </w:r>
      <w:r>
        <w:t>omnes</w:t>
      </w:r>
      <w:r w:rsidRPr="002C4077">
        <w:t xml:space="preserve"> </w:t>
      </w:r>
      <w:r>
        <w:t>ejus</w:t>
      </w:r>
      <w:r w:rsidRPr="002C4077">
        <w:t xml:space="preserve"> </w:t>
      </w:r>
      <w:r>
        <w:t>libri,</w:t>
      </w:r>
      <w:r w:rsidRPr="002C4077">
        <w:t xml:space="preserve"> </w:t>
      </w:r>
      <w:r>
        <w:t>ad</w:t>
      </w:r>
      <w:r w:rsidRPr="002C4077">
        <w:t xml:space="preserve"> </w:t>
      </w:r>
      <w:r>
        <w:t>quem</w:t>
      </w:r>
      <w:r w:rsidRPr="002C4077">
        <w:t xml:space="preserve"> </w:t>
      </w:r>
      <w:r>
        <w:t>pertinent,</w:t>
      </w:r>
      <w:r w:rsidRPr="002C4077">
        <w:t xml:space="preserve"> </w:t>
      </w:r>
      <w:r>
        <w:t>locos</w:t>
      </w:r>
      <w:r w:rsidRPr="002C4077">
        <w:t xml:space="preserve"> </w:t>
      </w:r>
      <w:r>
        <w:t>in</w:t>
      </w:r>
      <w:r w:rsidR="003B53FD">
        <w:t>veníre</w:t>
      </w:r>
      <w:r w:rsidRPr="002C4077">
        <w:t xml:space="preserve"> </w:t>
      </w:r>
      <w:r>
        <w:t>possit,</w:t>
      </w:r>
      <w:r w:rsidRPr="002C4077">
        <w:t xml:space="preserve"> </w:t>
      </w:r>
      <w:r>
        <w:t>in</w:t>
      </w:r>
      <w:r w:rsidRPr="002C4077">
        <w:t xml:space="preserve"> </w:t>
      </w:r>
      <w:r>
        <w:t>quibus</w:t>
      </w:r>
      <w:r w:rsidRPr="002C4077">
        <w:t xml:space="preserve"> </w:t>
      </w:r>
      <w:r w:rsidR="003B5C82">
        <w:t>éadem</w:t>
      </w:r>
      <w:r w:rsidRPr="002C4077">
        <w:t xml:space="preserve"> </w:t>
      </w:r>
      <w:r>
        <w:t>vox</w:t>
      </w:r>
      <w:r w:rsidRPr="002C4077">
        <w:t xml:space="preserve"> </w:t>
      </w:r>
      <w:r>
        <w:t>l</w:t>
      </w:r>
      <w:r w:rsidR="003B53FD">
        <w:t>égitur</w:t>
      </w:r>
      <w:r w:rsidR="00B91AF7">
        <w:rPr>
          <w:rStyle w:val="Appelnotedebasdep"/>
        </w:rPr>
        <w:footnoteReference w:id="967"/>
      </w:r>
      <w:r>
        <w:t>.</w:t>
      </w:r>
      <w:r w:rsidRPr="002C4077">
        <w:t xml:space="preserve"> </w:t>
      </w:r>
    </w:p>
    <w:p w:rsidR="000A7AAB" w:rsidRDefault="000A7AAB" w:rsidP="000A7AAB">
      <w:r>
        <w:t>Ici,</w:t>
      </w:r>
      <w:bookmarkStart w:id="800" w:name="z_Concordances_o3"/>
      <w:bookmarkEnd w:id="800"/>
      <w:r w:rsidRPr="002C4077">
        <w:t xml:space="preserve"> </w:t>
      </w:r>
      <w:r>
        <w:t>comme</w:t>
      </w:r>
      <w:r w:rsidRPr="002C4077">
        <w:t xml:space="preserve"> </w:t>
      </w:r>
      <w:r>
        <w:t>pour</w:t>
      </w:r>
      <w:r w:rsidRPr="002C4077">
        <w:t xml:space="preserve"> </w:t>
      </w:r>
      <w:r>
        <w:t>la</w:t>
      </w:r>
      <w:r w:rsidRPr="002C4077">
        <w:t xml:space="preserve"> </w:t>
      </w:r>
      <w:r>
        <w:t>plupart</w:t>
      </w:r>
      <w:r w:rsidRPr="002C4077">
        <w:t xml:space="preserve"> </w:t>
      </w:r>
      <w:r>
        <w:t>des</w:t>
      </w:r>
      <w:r w:rsidRPr="002C4077">
        <w:t xml:space="preserve"> </w:t>
      </w:r>
      <w:r>
        <w:t>découvertes</w:t>
      </w:r>
      <w:r w:rsidRPr="002C4077">
        <w:t xml:space="preserve"> </w:t>
      </w:r>
      <w:r>
        <w:t>utiles,</w:t>
      </w:r>
      <w:r w:rsidRPr="002C4077">
        <w:t xml:space="preserve"> </w:t>
      </w:r>
      <w:r>
        <w:t>le</w:t>
      </w:r>
      <w:r w:rsidRPr="002C4077">
        <w:t xml:space="preserve"> </w:t>
      </w:r>
      <w:r>
        <w:t>nom</w:t>
      </w:r>
      <w:r w:rsidRPr="002C4077">
        <w:t xml:space="preserve"> </w:t>
      </w:r>
      <w:r>
        <w:t>de</w:t>
      </w:r>
      <w:r w:rsidRPr="002C4077">
        <w:t xml:space="preserve"> </w:t>
      </w:r>
      <w:r>
        <w:t>l’inventeur</w:t>
      </w:r>
      <w:r w:rsidRPr="002C4077">
        <w:t xml:space="preserve"> </w:t>
      </w:r>
      <w:r w:rsidR="00425C50">
        <w:t>est</w:t>
      </w:r>
      <w:r w:rsidRPr="002C4077">
        <w:t xml:space="preserve"> </w:t>
      </w:r>
      <w:r>
        <w:t>douteux.</w:t>
      </w:r>
      <w:r w:rsidRPr="002C4077">
        <w:t xml:space="preserve"> </w:t>
      </w:r>
      <w:r>
        <w:t>Cependant,</w:t>
      </w:r>
      <w:r w:rsidRPr="002C4077">
        <w:t xml:space="preserve"> </w:t>
      </w:r>
      <w:r>
        <w:t>d’après</w:t>
      </w:r>
      <w:r w:rsidRPr="002C4077">
        <w:t xml:space="preserve"> </w:t>
      </w:r>
      <w:r>
        <w:t>l’opinion</w:t>
      </w:r>
      <w:r w:rsidRPr="002C4077">
        <w:t xml:space="preserve"> </w:t>
      </w:r>
      <w:r>
        <w:t>la</w:t>
      </w:r>
      <w:r w:rsidRPr="002C4077">
        <w:t xml:space="preserve"> </w:t>
      </w:r>
      <w:r>
        <w:t>plus</w:t>
      </w:r>
      <w:r w:rsidRPr="002C4077">
        <w:t xml:space="preserve"> </w:t>
      </w:r>
      <w:r>
        <w:t>commune</w:t>
      </w:r>
      <w:r w:rsidRPr="002C4077">
        <w:t xml:space="preserve"> </w:t>
      </w:r>
      <w:r>
        <w:t>et</w:t>
      </w:r>
      <w:r w:rsidRPr="002C4077">
        <w:t xml:space="preserve"> </w:t>
      </w:r>
      <w:r>
        <w:t>la</w:t>
      </w:r>
      <w:r w:rsidRPr="002C4077">
        <w:t xml:space="preserve"> </w:t>
      </w:r>
      <w:r>
        <w:t>plus</w:t>
      </w:r>
      <w:r w:rsidRPr="002C4077">
        <w:t xml:space="preserve"> </w:t>
      </w:r>
      <w:r>
        <w:t>probable,</w:t>
      </w:r>
      <w:r w:rsidRPr="002C4077">
        <w:t xml:space="preserve"> </w:t>
      </w:r>
      <w:r>
        <w:t>l’honneur</w:t>
      </w:r>
      <w:r w:rsidRPr="002C4077">
        <w:t xml:space="preserve"> </w:t>
      </w:r>
      <w:r>
        <w:t>d’avoir</w:t>
      </w:r>
      <w:r w:rsidRPr="002C4077">
        <w:t xml:space="preserve"> </w:t>
      </w:r>
      <w:r>
        <w:t>eu</w:t>
      </w:r>
      <w:r w:rsidRPr="002C4077">
        <w:t xml:space="preserve"> </w:t>
      </w:r>
      <w:r>
        <w:t>la</w:t>
      </w:r>
      <w:r w:rsidRPr="002C4077">
        <w:t xml:space="preserve"> </w:t>
      </w:r>
      <w:r>
        <w:t>première</w:t>
      </w:r>
      <w:r w:rsidRPr="002C4077">
        <w:t xml:space="preserve"> </w:t>
      </w:r>
      <w:r>
        <w:t>idée</w:t>
      </w:r>
      <w:r w:rsidRPr="002C4077">
        <w:t xml:space="preserve"> </w:t>
      </w:r>
      <w:r>
        <w:t>des</w:t>
      </w:r>
      <w:r w:rsidRPr="002C4077">
        <w:t xml:space="preserve"> </w:t>
      </w:r>
      <w:r>
        <w:t>Concordances</w:t>
      </w:r>
      <w:r w:rsidRPr="002C4077">
        <w:t xml:space="preserve"> </w:t>
      </w:r>
      <w:r>
        <w:t>reviendrait</w:t>
      </w:r>
      <w:r w:rsidRPr="002C4077">
        <w:t xml:space="preserve"> </w:t>
      </w:r>
      <w:r>
        <w:t>au</w:t>
      </w:r>
      <w:r w:rsidRPr="002C4077">
        <w:t xml:space="preserve"> </w:t>
      </w:r>
      <w:r>
        <w:t>célèbre</w:t>
      </w:r>
      <w:r w:rsidRPr="002C4077">
        <w:t xml:space="preserve"> </w:t>
      </w:r>
      <w:r>
        <w:t>cardinal</w:t>
      </w:r>
      <w:r w:rsidRPr="002C4077">
        <w:t xml:space="preserve"> </w:t>
      </w:r>
      <w:r>
        <w:t>Hugues</w:t>
      </w:r>
      <w:r w:rsidRPr="002C4077">
        <w:t xml:space="preserve"> </w:t>
      </w:r>
      <w:r>
        <w:t>de</w:t>
      </w:r>
      <w:r w:rsidRPr="002C4077">
        <w:t xml:space="preserve"> </w:t>
      </w:r>
      <w:r>
        <w:t>Saint-Cher</w:t>
      </w:r>
      <w:bookmarkStart w:id="801" w:name="z_HuguesDeSaintCher_o1"/>
      <w:bookmarkEnd w:id="801"/>
      <w:r>
        <w:t>,</w:t>
      </w:r>
      <w:r w:rsidRPr="002C4077">
        <w:t xml:space="preserve"> </w:t>
      </w:r>
      <w:r>
        <w:t>si</w:t>
      </w:r>
      <w:r w:rsidRPr="002C4077">
        <w:t xml:space="preserve"> </w:t>
      </w:r>
      <w:r>
        <w:t>connu</w:t>
      </w:r>
      <w:r w:rsidRPr="002C4077">
        <w:t xml:space="preserve"> </w:t>
      </w:r>
      <w:r>
        <w:t>par</w:t>
      </w:r>
      <w:r w:rsidRPr="002C4077">
        <w:t xml:space="preserve"> </w:t>
      </w:r>
      <w:r>
        <w:t>ses</w:t>
      </w:r>
      <w:r w:rsidRPr="002C4077">
        <w:t xml:space="preserve"> </w:t>
      </w:r>
      <w:r>
        <w:t>nombreux</w:t>
      </w:r>
      <w:r w:rsidRPr="002C4077">
        <w:t xml:space="preserve"> </w:t>
      </w:r>
      <w:r>
        <w:t>travaux</w:t>
      </w:r>
      <w:r w:rsidRPr="002C4077">
        <w:t xml:space="preserve"> </w:t>
      </w:r>
      <w:r>
        <w:t>exégétique</w:t>
      </w:r>
      <w:r w:rsidR="004377BC">
        <w:t>s</w:t>
      </w:r>
      <w:r w:rsidR="004377BC">
        <w:rPr>
          <w:rStyle w:val="Appelnotedebasdep"/>
        </w:rPr>
        <w:footnoteReference w:id="968"/>
      </w:r>
      <w:r>
        <w:t>.</w:t>
      </w:r>
      <w:r w:rsidRPr="002C4077">
        <w:t xml:space="preserve"> </w:t>
      </w:r>
    </w:p>
    <w:p w:rsidR="000A7AAB" w:rsidRDefault="000A7AAB" w:rsidP="000A7AAB">
      <w:r>
        <w:t>Il</w:t>
      </w:r>
      <w:r w:rsidRPr="002C4077">
        <w:t xml:space="preserve"> </w:t>
      </w:r>
      <w:r w:rsidR="003B5C82">
        <w:t>a</w:t>
      </w:r>
      <w:r>
        <w:t>vait</w:t>
      </w:r>
      <w:r w:rsidRPr="002C4077">
        <w:t xml:space="preserve"> </w:t>
      </w:r>
      <w:r>
        <w:t>formé</w:t>
      </w:r>
      <w:r w:rsidRPr="002C4077">
        <w:t xml:space="preserve"> </w:t>
      </w:r>
      <w:r>
        <w:t>le</w:t>
      </w:r>
      <w:r w:rsidRPr="002C4077">
        <w:t xml:space="preserve"> </w:t>
      </w:r>
      <w:r>
        <w:t>projet</w:t>
      </w:r>
      <w:r w:rsidRPr="002C4077">
        <w:t xml:space="preserve"> </w:t>
      </w:r>
      <w:r>
        <w:t>d’annoter</w:t>
      </w:r>
      <w:r w:rsidRPr="002C4077">
        <w:t xml:space="preserve"> </w:t>
      </w:r>
      <w:r>
        <w:t>tous</w:t>
      </w:r>
      <w:r w:rsidRPr="002C4077">
        <w:t xml:space="preserve"> </w:t>
      </w:r>
      <w:r>
        <w:t>les</w:t>
      </w:r>
      <w:r w:rsidRPr="002C4077">
        <w:t xml:space="preserve"> </w:t>
      </w:r>
      <w:r>
        <w:t>livres</w:t>
      </w:r>
      <w:r w:rsidRPr="002C4077">
        <w:t xml:space="preserve"> </w:t>
      </w:r>
      <w:r>
        <w:t>de</w:t>
      </w:r>
      <w:r w:rsidRPr="002C4077">
        <w:t xml:space="preserve"> </w:t>
      </w:r>
      <w:r>
        <w:t>la</w:t>
      </w:r>
      <w:r w:rsidRPr="002C4077">
        <w:t xml:space="preserve"> </w:t>
      </w:r>
      <w:r>
        <w:t>Bible</w:t>
      </w:r>
      <w:r w:rsidRPr="002C4077">
        <w:t xml:space="preserve"> </w:t>
      </w:r>
      <w:r>
        <w:t>et</w:t>
      </w:r>
      <w:r w:rsidRPr="002C4077">
        <w:t xml:space="preserve"> </w:t>
      </w:r>
      <w:r>
        <w:t>d’indiquer</w:t>
      </w:r>
      <w:r w:rsidRPr="002C4077">
        <w:t xml:space="preserve"> </w:t>
      </w:r>
      <w:r>
        <w:t>soigneusement</w:t>
      </w:r>
      <w:r w:rsidRPr="002C4077">
        <w:t xml:space="preserve"> </w:t>
      </w:r>
      <w:r>
        <w:t>dans</w:t>
      </w:r>
      <w:r w:rsidRPr="002C4077">
        <w:t xml:space="preserve"> </w:t>
      </w:r>
      <w:r>
        <w:t>son</w:t>
      </w:r>
      <w:r w:rsidRPr="002C4077">
        <w:t xml:space="preserve"> </w:t>
      </w:r>
      <w:r>
        <w:t>commentaire</w:t>
      </w:r>
      <w:r w:rsidRPr="002C4077">
        <w:t xml:space="preserve"> </w:t>
      </w:r>
      <w:r>
        <w:t>les</w:t>
      </w:r>
      <w:r w:rsidRPr="002C4077">
        <w:t xml:space="preserve"> </w:t>
      </w:r>
      <w:r>
        <w:t>différents</w:t>
      </w:r>
      <w:r w:rsidRPr="002C4077">
        <w:t xml:space="preserve"> </w:t>
      </w:r>
      <w:r>
        <w:t>sens</w:t>
      </w:r>
      <w:r w:rsidRPr="002C4077">
        <w:t xml:space="preserve"> </w:t>
      </w:r>
      <w:r>
        <w:t>de</w:t>
      </w:r>
      <w:r w:rsidRPr="002C4077">
        <w:t xml:space="preserve"> </w:t>
      </w:r>
      <w:r>
        <w:t>chaque</w:t>
      </w:r>
      <w:r w:rsidRPr="002C4077">
        <w:t xml:space="preserve"> </w:t>
      </w:r>
      <w:r>
        <w:t>verset</w:t>
      </w:r>
      <w:r w:rsidRPr="004440EA">
        <w:t xml:space="preserve"> (</w:t>
      </w:r>
      <w:r>
        <w:t>sens</w:t>
      </w:r>
      <w:r w:rsidRPr="002C4077">
        <w:t xml:space="preserve"> </w:t>
      </w:r>
      <w:r>
        <w:t>littéral,</w:t>
      </w:r>
      <w:r w:rsidRPr="002C4077">
        <w:t xml:space="preserve"> </w:t>
      </w:r>
      <w:r>
        <w:t>allégorique,</w:t>
      </w:r>
      <w:r w:rsidRPr="002C4077">
        <w:t xml:space="preserve"> </w:t>
      </w:r>
      <w:r>
        <w:t>moral,</w:t>
      </w:r>
      <w:r w:rsidRPr="002C4077">
        <w:t xml:space="preserve"> </w:t>
      </w:r>
      <w:r>
        <w:t>anagogique</w:t>
      </w:r>
      <w:r w:rsidR="00B546AF" w:rsidRPr="002C4077">
        <w:t>)</w:t>
      </w:r>
      <w:r>
        <w:t>.</w:t>
      </w:r>
      <w:r w:rsidRPr="002C4077">
        <w:t xml:space="preserve"> </w:t>
      </w:r>
      <w:r>
        <w:t>Une</w:t>
      </w:r>
      <w:r w:rsidRPr="002C4077">
        <w:t xml:space="preserve"> </w:t>
      </w:r>
      <w:r>
        <w:t>grande</w:t>
      </w:r>
      <w:r w:rsidRPr="002C4077">
        <w:t xml:space="preserve"> </w:t>
      </w:r>
      <w:r>
        <w:lastRenderedPageBreak/>
        <w:t>difficulté</w:t>
      </w:r>
      <w:r w:rsidRPr="002C4077">
        <w:t xml:space="preserve"> </w:t>
      </w:r>
      <w:r>
        <w:t>l’arrêta</w:t>
      </w:r>
      <w:r w:rsidRPr="002C4077">
        <w:t xml:space="preserve"> </w:t>
      </w:r>
      <w:r>
        <w:t>bientôt</w:t>
      </w:r>
      <w:r w:rsidRPr="002C4077">
        <w:t xml:space="preserve"> </w:t>
      </w:r>
      <w:r>
        <w:t>dans</w:t>
      </w:r>
      <w:r w:rsidRPr="002C4077">
        <w:t xml:space="preserve"> </w:t>
      </w:r>
      <w:r>
        <w:t>ce</w:t>
      </w:r>
      <w:r w:rsidRPr="002C4077">
        <w:t xml:space="preserve"> </w:t>
      </w:r>
      <w:r>
        <w:t>travail</w:t>
      </w:r>
      <w:r w:rsidR="00B546AF">
        <w:t> ;</w:t>
      </w:r>
      <w:r w:rsidRPr="002C4077">
        <w:t xml:space="preserve"> </w:t>
      </w:r>
      <w:r>
        <w:t>car,</w:t>
      </w:r>
      <w:r w:rsidRPr="002C4077">
        <w:t xml:space="preserve"> </w:t>
      </w:r>
      <w:r>
        <w:t>pour</w:t>
      </w:r>
      <w:r w:rsidRPr="002C4077">
        <w:t xml:space="preserve"> </w:t>
      </w:r>
      <w:r>
        <w:t>préciser</w:t>
      </w:r>
      <w:r w:rsidRPr="002C4077">
        <w:t xml:space="preserve"> </w:t>
      </w:r>
      <w:r>
        <w:t>nettement</w:t>
      </w:r>
      <w:r w:rsidRPr="002C4077">
        <w:t xml:space="preserve"> </w:t>
      </w:r>
      <w:r>
        <w:t>la</w:t>
      </w:r>
      <w:r w:rsidRPr="002C4077">
        <w:t xml:space="preserve"> </w:t>
      </w:r>
      <w:r>
        <w:t>parfaite</w:t>
      </w:r>
      <w:r w:rsidRPr="002C4077">
        <w:t xml:space="preserve"> </w:t>
      </w:r>
      <w:r>
        <w:t>signification</w:t>
      </w:r>
      <w:r w:rsidRPr="002C4077">
        <w:t xml:space="preserve"> </w:t>
      </w:r>
      <w:r>
        <w:t>de</w:t>
      </w:r>
      <w:r w:rsidRPr="002C4077">
        <w:t xml:space="preserve"> </w:t>
      </w:r>
      <w:r>
        <w:t>chaque</w:t>
      </w:r>
      <w:r w:rsidRPr="002C4077">
        <w:t xml:space="preserve"> </w:t>
      </w:r>
      <w:r>
        <w:t>mot,</w:t>
      </w:r>
      <w:r w:rsidRPr="002C4077">
        <w:t xml:space="preserve"> </w:t>
      </w:r>
      <w:r>
        <w:t>il</w:t>
      </w:r>
      <w:r w:rsidRPr="002C4077">
        <w:t xml:space="preserve"> </w:t>
      </w:r>
      <w:r>
        <w:t>vit</w:t>
      </w:r>
      <w:r w:rsidRPr="002C4077">
        <w:t xml:space="preserve"> </w:t>
      </w:r>
      <w:r>
        <w:t>qu’il</w:t>
      </w:r>
      <w:r w:rsidRPr="002C4077">
        <w:t xml:space="preserve"> </w:t>
      </w:r>
      <w:r>
        <w:t>fallait</w:t>
      </w:r>
      <w:r w:rsidRPr="002C4077">
        <w:t xml:space="preserve"> </w:t>
      </w:r>
      <w:r>
        <w:t>comparer</w:t>
      </w:r>
      <w:r w:rsidRPr="002C4077">
        <w:t xml:space="preserve"> </w:t>
      </w:r>
      <w:r>
        <w:t>les</w:t>
      </w:r>
      <w:r w:rsidRPr="002C4077">
        <w:t xml:space="preserve"> </w:t>
      </w:r>
      <w:r>
        <w:t>divers</w:t>
      </w:r>
      <w:r w:rsidRPr="002C4077">
        <w:t xml:space="preserve"> </w:t>
      </w:r>
      <w:r>
        <w:t>passages</w:t>
      </w:r>
      <w:r w:rsidRPr="002C4077">
        <w:t xml:space="preserve"> </w:t>
      </w:r>
      <w:r>
        <w:t>de</w:t>
      </w:r>
      <w:r w:rsidRPr="002C4077">
        <w:t xml:space="preserve"> </w:t>
      </w:r>
      <w:r>
        <w:t>l’Écriture</w:t>
      </w:r>
      <w:r w:rsidRPr="002C4077">
        <w:t xml:space="preserve"> </w:t>
      </w:r>
      <w:r>
        <w:t>où</w:t>
      </w:r>
      <w:r w:rsidRPr="002C4077">
        <w:t xml:space="preserve"> </w:t>
      </w:r>
      <w:r>
        <w:t>ce</w:t>
      </w:r>
      <w:r w:rsidRPr="002C4077">
        <w:t xml:space="preserve"> </w:t>
      </w:r>
      <w:r>
        <w:t>mot</w:t>
      </w:r>
      <w:r w:rsidRPr="002C4077">
        <w:t xml:space="preserve"> </w:t>
      </w:r>
      <w:r>
        <w:t>a</w:t>
      </w:r>
      <w:r w:rsidRPr="002C4077">
        <w:t xml:space="preserve"> </w:t>
      </w:r>
      <w:r>
        <w:t>été</w:t>
      </w:r>
      <w:r w:rsidRPr="002C4077">
        <w:t xml:space="preserve"> </w:t>
      </w:r>
      <w:r>
        <w:t>employé,</w:t>
      </w:r>
      <w:r w:rsidRPr="002C4077">
        <w:t xml:space="preserve"> </w:t>
      </w:r>
      <w:r>
        <w:t>et</w:t>
      </w:r>
      <w:r w:rsidRPr="002C4077">
        <w:t xml:space="preserve"> </w:t>
      </w:r>
      <w:r>
        <w:t>en</w:t>
      </w:r>
      <w:r w:rsidRPr="002C4077">
        <w:t xml:space="preserve"> </w:t>
      </w:r>
      <w:r>
        <w:t>déduire</w:t>
      </w:r>
      <w:r w:rsidRPr="002C4077">
        <w:t xml:space="preserve"> </w:t>
      </w:r>
      <w:r>
        <w:t>son</w:t>
      </w:r>
      <w:r w:rsidRPr="002C4077">
        <w:t xml:space="preserve"> </w:t>
      </w:r>
      <w:r>
        <w:t>interprétation</w:t>
      </w:r>
      <w:r w:rsidRPr="002C4077">
        <w:t xml:space="preserve"> </w:t>
      </w:r>
      <w:r>
        <w:t>véritable.</w:t>
      </w:r>
      <w:r w:rsidR="00C45B47">
        <w:t xml:space="preserve"> {</w:t>
      </w:r>
      <w:r w:rsidR="005E2129">
        <w:t>329</w:t>
      </w:r>
      <w:bookmarkStart w:id="802" w:name="p329"/>
      <w:bookmarkEnd w:id="802"/>
      <w:r w:rsidR="005E2129">
        <w:t xml:space="preserve">} </w:t>
      </w:r>
      <w:r>
        <w:t>Cette</w:t>
      </w:r>
      <w:r w:rsidRPr="002C4077">
        <w:t xml:space="preserve"> </w:t>
      </w:r>
      <w:r>
        <w:t>comparaison</w:t>
      </w:r>
      <w:r w:rsidRPr="002C4077">
        <w:t xml:space="preserve"> </w:t>
      </w:r>
      <w:r>
        <w:t>était</w:t>
      </w:r>
      <w:r w:rsidRPr="002C4077">
        <w:t xml:space="preserve"> </w:t>
      </w:r>
      <w:r>
        <w:t>impossible</w:t>
      </w:r>
      <w:r w:rsidRPr="002C4077">
        <w:t xml:space="preserve"> </w:t>
      </w:r>
      <w:r>
        <w:t>sans</w:t>
      </w:r>
      <w:r w:rsidRPr="002C4077">
        <w:t xml:space="preserve"> </w:t>
      </w:r>
      <w:r>
        <w:t>une</w:t>
      </w:r>
      <w:r w:rsidRPr="002C4077">
        <w:t xml:space="preserve"> </w:t>
      </w:r>
      <w:r>
        <w:t>table</w:t>
      </w:r>
      <w:r w:rsidRPr="002C4077">
        <w:t xml:space="preserve"> </w:t>
      </w:r>
      <w:r>
        <w:t>exacte</w:t>
      </w:r>
      <w:r w:rsidRPr="002C4077">
        <w:t xml:space="preserve"> </w:t>
      </w:r>
      <w:r>
        <w:t>de</w:t>
      </w:r>
      <w:r w:rsidRPr="002C4077">
        <w:t xml:space="preserve"> </w:t>
      </w:r>
      <w:r>
        <w:t>toutes</w:t>
      </w:r>
      <w:r w:rsidRPr="002C4077">
        <w:t xml:space="preserve"> </w:t>
      </w:r>
      <w:r>
        <w:t>les</w:t>
      </w:r>
      <w:r w:rsidRPr="002C4077">
        <w:t xml:space="preserve"> </w:t>
      </w:r>
      <w:r>
        <w:t>expressions</w:t>
      </w:r>
      <w:r w:rsidRPr="002C4077">
        <w:t xml:space="preserve"> </w:t>
      </w:r>
      <w:r>
        <w:t>contenues</w:t>
      </w:r>
      <w:r w:rsidRPr="002C4077">
        <w:t xml:space="preserve"> </w:t>
      </w:r>
      <w:r>
        <w:t>dans</w:t>
      </w:r>
      <w:r w:rsidRPr="002C4077">
        <w:t xml:space="preserve"> </w:t>
      </w:r>
      <w:r>
        <w:t>la</w:t>
      </w:r>
      <w:r w:rsidRPr="002C4077">
        <w:t xml:space="preserve"> </w:t>
      </w:r>
      <w:r>
        <w:t>Bible,</w:t>
      </w:r>
      <w:r w:rsidRPr="002C4077">
        <w:t xml:space="preserve"> </w:t>
      </w:r>
      <w:r>
        <w:t>en</w:t>
      </w:r>
      <w:r w:rsidRPr="002C4077">
        <w:t xml:space="preserve"> </w:t>
      </w:r>
      <w:r>
        <w:t>d’autres</w:t>
      </w:r>
      <w:r w:rsidRPr="002C4077">
        <w:t xml:space="preserve"> </w:t>
      </w:r>
      <w:r>
        <w:t>termes,</w:t>
      </w:r>
      <w:r w:rsidRPr="002C4077">
        <w:t xml:space="preserve"> </w:t>
      </w:r>
      <w:r>
        <w:t>sans</w:t>
      </w:r>
      <w:r w:rsidRPr="002C4077">
        <w:t xml:space="preserve"> </w:t>
      </w:r>
      <w:r>
        <w:t>ce</w:t>
      </w:r>
      <w:r w:rsidRPr="002C4077">
        <w:t xml:space="preserve"> </w:t>
      </w:r>
      <w:r>
        <w:t>que</w:t>
      </w:r>
      <w:r w:rsidRPr="002C4077">
        <w:t xml:space="preserve"> </w:t>
      </w:r>
      <w:r>
        <w:t>nous</w:t>
      </w:r>
      <w:r w:rsidRPr="002C4077">
        <w:t xml:space="preserve"> </w:t>
      </w:r>
      <w:r>
        <w:t>sommes</w:t>
      </w:r>
      <w:r w:rsidRPr="002C4077">
        <w:t xml:space="preserve"> </w:t>
      </w:r>
      <w:r>
        <w:t>convenus</w:t>
      </w:r>
      <w:r w:rsidRPr="002C4077">
        <w:t xml:space="preserve"> </w:t>
      </w:r>
      <w:r>
        <w:t>d’appeler</w:t>
      </w:r>
      <w:r w:rsidRPr="002C4077">
        <w:t xml:space="preserve"> </w:t>
      </w:r>
      <w:r>
        <w:t>une</w:t>
      </w:r>
      <w:r w:rsidRPr="002C4077">
        <w:t xml:space="preserve"> </w:t>
      </w:r>
      <w:r>
        <w:t>Concordance.</w:t>
      </w:r>
      <w:r w:rsidRPr="002C4077">
        <w:t xml:space="preserve"> </w:t>
      </w:r>
      <w:r>
        <w:t>Le</w:t>
      </w:r>
      <w:r w:rsidRPr="002C4077">
        <w:t xml:space="preserve"> </w:t>
      </w:r>
      <w:r>
        <w:t>savant</w:t>
      </w:r>
      <w:r w:rsidRPr="002C4077">
        <w:t xml:space="preserve"> </w:t>
      </w:r>
      <w:r>
        <w:t>cardinal</w:t>
      </w:r>
      <w:r w:rsidRPr="002C4077">
        <w:t xml:space="preserve"> </w:t>
      </w:r>
      <w:r>
        <w:t>eut</w:t>
      </w:r>
      <w:r w:rsidRPr="002C4077">
        <w:t xml:space="preserve"> </w:t>
      </w:r>
      <w:r>
        <w:t>le</w:t>
      </w:r>
      <w:r w:rsidRPr="002C4077">
        <w:t xml:space="preserve"> </w:t>
      </w:r>
      <w:r>
        <w:t>courage</w:t>
      </w:r>
      <w:r w:rsidRPr="002C4077">
        <w:t xml:space="preserve"> </w:t>
      </w:r>
      <w:r>
        <w:t>d’entreprendre</w:t>
      </w:r>
      <w:r w:rsidRPr="002C4077">
        <w:t xml:space="preserve"> </w:t>
      </w:r>
      <w:r>
        <w:t>cette</w:t>
      </w:r>
      <w:r w:rsidRPr="002C4077">
        <w:t xml:space="preserve"> </w:t>
      </w:r>
      <w:r>
        <w:t>œuvre</w:t>
      </w:r>
      <w:r w:rsidRPr="002C4077">
        <w:t xml:space="preserve"> </w:t>
      </w:r>
      <w:r>
        <w:t>difficile,</w:t>
      </w:r>
      <w:r w:rsidRPr="002C4077">
        <w:t xml:space="preserve"> </w:t>
      </w:r>
      <w:r>
        <w:t>avec</w:t>
      </w:r>
      <w:r w:rsidRPr="002C4077">
        <w:t xml:space="preserve"> </w:t>
      </w:r>
      <w:r>
        <w:t>un</w:t>
      </w:r>
      <w:r w:rsidRPr="002C4077">
        <w:t xml:space="preserve"> </w:t>
      </w:r>
      <w:r>
        <w:t>certain</w:t>
      </w:r>
      <w:r w:rsidRPr="002C4077">
        <w:t xml:space="preserve"> </w:t>
      </w:r>
      <w:r>
        <w:t>nombre</w:t>
      </w:r>
      <w:r w:rsidRPr="002C4077">
        <w:t xml:space="preserve"> </w:t>
      </w:r>
      <w:r>
        <w:t>d’amis</w:t>
      </w:r>
      <w:r w:rsidRPr="002C4077">
        <w:t xml:space="preserve"> </w:t>
      </w:r>
      <w:r>
        <w:t>qui</w:t>
      </w:r>
      <w:r w:rsidRPr="002C4077">
        <w:t xml:space="preserve"> </w:t>
      </w:r>
      <w:r>
        <w:t>en</w:t>
      </w:r>
      <w:r w:rsidRPr="002C4077">
        <w:t xml:space="preserve"> </w:t>
      </w:r>
      <w:r>
        <w:t>comprirent</w:t>
      </w:r>
      <w:r w:rsidRPr="002C4077">
        <w:t xml:space="preserve"> </w:t>
      </w:r>
      <w:r>
        <w:t>comme</w:t>
      </w:r>
      <w:r w:rsidRPr="002C4077">
        <w:t xml:space="preserve"> </w:t>
      </w:r>
      <w:r>
        <w:t>lui</w:t>
      </w:r>
      <w:r w:rsidRPr="002C4077">
        <w:t xml:space="preserve"> </w:t>
      </w:r>
      <w:r>
        <w:t>l’utilité</w:t>
      </w:r>
      <w:r w:rsidR="00B91AF7">
        <w:rPr>
          <w:rStyle w:val="Appelnotedebasdep"/>
        </w:rPr>
        <w:footnoteReference w:id="969"/>
      </w:r>
      <w:r w:rsidR="00B91AF7">
        <w:t>.</w:t>
      </w:r>
      <w:r w:rsidRPr="002C4077">
        <w:t xml:space="preserve"> </w:t>
      </w:r>
    </w:p>
    <w:p w:rsidR="000A7AAB" w:rsidRDefault="000A7AAB" w:rsidP="000A7AAB">
      <w:r>
        <w:t>Voici</w:t>
      </w:r>
      <w:r w:rsidRPr="002C4077">
        <w:t xml:space="preserve"> </w:t>
      </w:r>
      <w:r>
        <w:t>la</w:t>
      </w:r>
      <w:r w:rsidRPr="002C4077">
        <w:t xml:space="preserve"> </w:t>
      </w:r>
      <w:r>
        <w:t>méthode</w:t>
      </w:r>
      <w:r w:rsidRPr="002C4077">
        <w:t xml:space="preserve"> </w:t>
      </w:r>
      <w:r>
        <w:t>qu’il</w:t>
      </w:r>
      <w:r w:rsidRPr="002C4077">
        <w:t xml:space="preserve"> </w:t>
      </w:r>
      <w:r>
        <w:t>suivit</w:t>
      </w:r>
      <w:r w:rsidRPr="002C4077">
        <w:t xml:space="preserve"> </w:t>
      </w:r>
      <w:r>
        <w:t>dans</w:t>
      </w:r>
      <w:r w:rsidRPr="002C4077">
        <w:t xml:space="preserve"> </w:t>
      </w:r>
      <w:r>
        <w:t>cette</w:t>
      </w:r>
      <w:r w:rsidRPr="002C4077">
        <w:t xml:space="preserve"> </w:t>
      </w:r>
      <w:r>
        <w:t>première</w:t>
      </w:r>
      <w:r w:rsidRPr="002C4077">
        <w:t xml:space="preserve"> </w:t>
      </w:r>
      <w:r>
        <w:t>Concordance.</w:t>
      </w:r>
      <w:r w:rsidRPr="002C4077">
        <w:t xml:space="preserve"> </w:t>
      </w:r>
    </w:p>
    <w:p w:rsidR="000A7AAB" w:rsidRDefault="000A7AAB" w:rsidP="000A7AAB">
      <w:r>
        <w:t>Le</w:t>
      </w:r>
      <w:r w:rsidRPr="002C4077">
        <w:t xml:space="preserve"> </w:t>
      </w:r>
      <w:r>
        <w:t>mot</w:t>
      </w:r>
      <w:r w:rsidRPr="002C4077">
        <w:t xml:space="preserve"> </w:t>
      </w:r>
      <w:r>
        <w:t>que</w:t>
      </w:r>
      <w:r w:rsidRPr="002C4077">
        <w:t xml:space="preserve"> </w:t>
      </w:r>
      <w:r>
        <w:t>l’on</w:t>
      </w:r>
      <w:r w:rsidRPr="002C4077">
        <w:t xml:space="preserve"> </w:t>
      </w:r>
      <w:r>
        <w:t>cherche</w:t>
      </w:r>
      <w:r w:rsidRPr="002C4077">
        <w:t xml:space="preserve"> </w:t>
      </w:r>
      <w:r>
        <w:t>n’est</w:t>
      </w:r>
      <w:r w:rsidRPr="002C4077">
        <w:t xml:space="preserve"> </w:t>
      </w:r>
      <w:r>
        <w:t>écrit</w:t>
      </w:r>
      <w:r w:rsidRPr="002C4077">
        <w:t xml:space="preserve"> </w:t>
      </w:r>
      <w:r>
        <w:t>qu’une</w:t>
      </w:r>
      <w:r w:rsidRPr="002C4077">
        <w:t xml:space="preserve"> </w:t>
      </w:r>
      <w:r>
        <w:t>seule</w:t>
      </w:r>
      <w:r w:rsidRPr="002C4077">
        <w:t xml:space="preserve"> </w:t>
      </w:r>
      <w:r>
        <w:t>fois</w:t>
      </w:r>
      <w:r w:rsidRPr="002C4077">
        <w:t xml:space="preserve"> </w:t>
      </w:r>
      <w:r>
        <w:t>comme</w:t>
      </w:r>
      <w:r w:rsidRPr="002C4077">
        <w:t xml:space="preserve"> </w:t>
      </w:r>
      <w:r>
        <w:t>titre</w:t>
      </w:r>
      <w:r w:rsidR="00B91AF7">
        <w:rPr>
          <w:rStyle w:val="Appelnotedebasdep"/>
        </w:rPr>
        <w:footnoteReference w:id="970"/>
      </w:r>
      <w:r>
        <w:t>.</w:t>
      </w:r>
      <w:r w:rsidRPr="002C4077">
        <w:t xml:space="preserve"> </w:t>
      </w:r>
      <w:r>
        <w:t>Au-dessous</w:t>
      </w:r>
      <w:r w:rsidRPr="002C4077">
        <w:t xml:space="preserve"> </w:t>
      </w:r>
      <w:r>
        <w:t>sont</w:t>
      </w:r>
      <w:r w:rsidRPr="002C4077">
        <w:t xml:space="preserve"> </w:t>
      </w:r>
      <w:r>
        <w:t>indiqués</w:t>
      </w:r>
      <w:r w:rsidRPr="002C4077">
        <w:t xml:space="preserve"> </w:t>
      </w:r>
      <w:r>
        <w:t>en</w:t>
      </w:r>
      <w:r w:rsidRPr="002C4077">
        <w:t xml:space="preserve"> </w:t>
      </w:r>
      <w:r>
        <w:t>abrégé</w:t>
      </w:r>
      <w:r w:rsidRPr="002C4077">
        <w:t xml:space="preserve"> </w:t>
      </w:r>
      <w:r>
        <w:t>le</w:t>
      </w:r>
      <w:r w:rsidRPr="002C4077">
        <w:t xml:space="preserve"> </w:t>
      </w:r>
      <w:r>
        <w:t>livre,</w:t>
      </w:r>
      <w:r w:rsidRPr="002C4077">
        <w:t xml:space="preserve"> </w:t>
      </w:r>
      <w:r>
        <w:t>le</w:t>
      </w:r>
      <w:r w:rsidRPr="002C4077">
        <w:t xml:space="preserve"> </w:t>
      </w:r>
      <w:r>
        <w:t>chapitre</w:t>
      </w:r>
      <w:r w:rsidRPr="002C4077">
        <w:t xml:space="preserve"> </w:t>
      </w:r>
      <w:r>
        <w:t>et</w:t>
      </w:r>
      <w:r w:rsidRPr="002C4077">
        <w:t xml:space="preserve"> </w:t>
      </w:r>
      <w:r>
        <w:t>la</w:t>
      </w:r>
      <w:r w:rsidRPr="002C4077">
        <w:t xml:space="preserve"> </w:t>
      </w:r>
      <w:r>
        <w:t>partie</w:t>
      </w:r>
      <w:r w:rsidRPr="002C4077">
        <w:t xml:space="preserve"> </w:t>
      </w:r>
      <w:r>
        <w:t>du</w:t>
      </w:r>
      <w:r w:rsidRPr="002C4077">
        <w:t xml:space="preserve"> </w:t>
      </w:r>
      <w:r>
        <w:t>chapitre</w:t>
      </w:r>
      <w:r w:rsidRPr="002C4077">
        <w:t xml:space="preserve"> </w:t>
      </w:r>
      <w:r>
        <w:t>où</w:t>
      </w:r>
      <w:r w:rsidRPr="002C4077">
        <w:t xml:space="preserve"> </w:t>
      </w:r>
      <w:r>
        <w:t>il</w:t>
      </w:r>
      <w:r w:rsidRPr="002C4077">
        <w:t xml:space="preserve"> </w:t>
      </w:r>
      <w:r>
        <w:t>a</w:t>
      </w:r>
      <w:r w:rsidRPr="002C4077">
        <w:t xml:space="preserve"> </w:t>
      </w:r>
      <w:r>
        <w:t>été</w:t>
      </w:r>
      <w:r w:rsidRPr="002C4077">
        <w:t xml:space="preserve"> </w:t>
      </w:r>
      <w:r>
        <w:t>employé.</w:t>
      </w:r>
      <w:r w:rsidRPr="002C4077">
        <w:t xml:space="preserve"> </w:t>
      </w:r>
      <w:r>
        <w:t>On</w:t>
      </w:r>
      <w:r w:rsidRPr="002C4077">
        <w:t xml:space="preserve"> </w:t>
      </w:r>
      <w:r>
        <w:t>sait</w:t>
      </w:r>
      <w:r w:rsidRPr="002C4077">
        <w:t xml:space="preserve"> </w:t>
      </w:r>
      <w:r>
        <w:t>que</w:t>
      </w:r>
      <w:r w:rsidRPr="002C4077">
        <w:t xml:space="preserve"> </w:t>
      </w:r>
      <w:r>
        <w:t>la</w:t>
      </w:r>
      <w:r w:rsidRPr="002C4077">
        <w:t xml:space="preserve"> </w:t>
      </w:r>
      <w:r>
        <w:t>division</w:t>
      </w:r>
      <w:r w:rsidRPr="002C4077">
        <w:t xml:space="preserve"> </w:t>
      </w:r>
      <w:r>
        <w:t>des</w:t>
      </w:r>
      <w:r w:rsidRPr="002C4077">
        <w:t xml:space="preserve"> </w:t>
      </w:r>
      <w:r>
        <w:t>chapitres</w:t>
      </w:r>
      <w:r w:rsidRPr="002C4077">
        <w:t xml:space="preserve"> </w:t>
      </w:r>
      <w:r>
        <w:t>en</w:t>
      </w:r>
      <w:r w:rsidRPr="002C4077">
        <w:t xml:space="preserve"> </w:t>
      </w:r>
      <w:r>
        <w:t>versets</w:t>
      </w:r>
      <w:bookmarkStart w:id="803" w:name="z_Versets_o1"/>
      <w:bookmarkEnd w:id="803"/>
      <w:r w:rsidRPr="002C4077">
        <w:t xml:space="preserve"> </w:t>
      </w:r>
      <w:r>
        <w:t>n’existait</w:t>
      </w:r>
      <w:r w:rsidRPr="002C4077">
        <w:t xml:space="preserve"> </w:t>
      </w:r>
      <w:r>
        <w:t>pas</w:t>
      </w:r>
      <w:r w:rsidRPr="002C4077">
        <w:t xml:space="preserve"> </w:t>
      </w:r>
      <w:r>
        <w:t>encore</w:t>
      </w:r>
      <w:r w:rsidRPr="002C4077">
        <w:t xml:space="preserve"> </w:t>
      </w:r>
      <w:r>
        <w:t>à</w:t>
      </w:r>
      <w:r w:rsidRPr="002C4077">
        <w:t xml:space="preserve"> </w:t>
      </w:r>
      <w:r>
        <w:t>l’époque</w:t>
      </w:r>
      <w:r w:rsidRPr="002C4077">
        <w:t xml:space="preserve"> </w:t>
      </w:r>
      <w:r>
        <w:t>de</w:t>
      </w:r>
      <w:r w:rsidRPr="002C4077">
        <w:t xml:space="preserve"> </w:t>
      </w:r>
      <w:r>
        <w:t>Hugues</w:t>
      </w:r>
      <w:r w:rsidRPr="002C4077">
        <w:t xml:space="preserve"> </w:t>
      </w:r>
      <w:r>
        <w:t>de</w:t>
      </w:r>
      <w:r w:rsidRPr="002C4077">
        <w:t xml:space="preserve"> </w:t>
      </w:r>
      <w:r>
        <w:t>Saint-Cher</w:t>
      </w:r>
      <w:r w:rsidR="00B546AF">
        <w:t> :</w:t>
      </w:r>
      <w:r w:rsidRPr="002C4077">
        <w:t xml:space="preserve"> </w:t>
      </w:r>
      <w:r>
        <w:t>elle</w:t>
      </w:r>
      <w:r w:rsidRPr="002C4077">
        <w:t xml:space="preserve"> </w:t>
      </w:r>
      <w:r>
        <w:t>ne</w:t>
      </w:r>
      <w:r w:rsidRPr="002C4077">
        <w:t xml:space="preserve"> </w:t>
      </w:r>
      <w:r>
        <w:t>fut</w:t>
      </w:r>
      <w:r w:rsidRPr="002C4077">
        <w:t xml:space="preserve"> </w:t>
      </w:r>
      <w:r>
        <w:t>inventée</w:t>
      </w:r>
      <w:r w:rsidRPr="002C4077">
        <w:t xml:space="preserve"> </w:t>
      </w:r>
      <w:r>
        <w:t>que</w:t>
      </w:r>
      <w:r w:rsidRPr="002C4077">
        <w:t xml:space="preserve"> </w:t>
      </w:r>
      <w:r>
        <w:t>plus</w:t>
      </w:r>
      <w:r w:rsidRPr="002C4077">
        <w:t xml:space="preserve"> </w:t>
      </w:r>
      <w:r>
        <w:t>tard</w:t>
      </w:r>
      <w:r w:rsidRPr="002C4077">
        <w:t xml:space="preserve"> </w:t>
      </w:r>
      <w:r>
        <w:t>par</w:t>
      </w:r>
      <w:r w:rsidRPr="002C4077">
        <w:t xml:space="preserve"> </w:t>
      </w:r>
      <w:r>
        <w:t>le</w:t>
      </w:r>
      <w:r w:rsidRPr="002C4077">
        <w:t xml:space="preserve"> </w:t>
      </w:r>
      <w:r>
        <w:t>célèbre</w:t>
      </w:r>
      <w:r w:rsidRPr="002C4077">
        <w:t xml:space="preserve"> </w:t>
      </w:r>
      <w:r>
        <w:t>im</w:t>
      </w:r>
      <w:r w:rsidR="003B5C82">
        <w:t>primeur</w:t>
      </w:r>
      <w:r w:rsidR="003B5C82" w:rsidRPr="002C4077">
        <w:t xml:space="preserve"> </w:t>
      </w:r>
      <w:r w:rsidR="003B5C82">
        <w:t>parisien</w:t>
      </w:r>
      <w:r w:rsidR="003B5C82" w:rsidRPr="002C4077">
        <w:t xml:space="preserve"> </w:t>
      </w:r>
      <w:r w:rsidR="003B5C82">
        <w:t>Robert</w:t>
      </w:r>
      <w:r w:rsidR="003B5C82" w:rsidRPr="002C4077">
        <w:t xml:space="preserve"> </w:t>
      </w:r>
      <w:r w:rsidR="003B5C82">
        <w:t>Étienne</w:t>
      </w:r>
      <w:r w:rsidR="003B5C82">
        <w:rPr>
          <w:rStyle w:val="Appelnotedebasdep"/>
        </w:rPr>
        <w:footnoteReference w:id="971"/>
      </w:r>
      <w:r>
        <w:t>.</w:t>
      </w:r>
      <w:r w:rsidRPr="002C4077">
        <w:t xml:space="preserve"> </w:t>
      </w:r>
      <w:r>
        <w:t>Hugues</w:t>
      </w:r>
      <w:r w:rsidRPr="002C4077">
        <w:t xml:space="preserve"> </w:t>
      </w:r>
      <w:r>
        <w:t>partagea</w:t>
      </w:r>
      <w:r w:rsidRPr="002C4077">
        <w:t xml:space="preserve"> </w:t>
      </w:r>
      <w:r>
        <w:t>donc</w:t>
      </w:r>
      <w:r w:rsidRPr="002C4077">
        <w:t xml:space="preserve"> </w:t>
      </w:r>
      <w:r>
        <w:t>les</w:t>
      </w:r>
      <w:r w:rsidRPr="002C4077">
        <w:t xml:space="preserve"> </w:t>
      </w:r>
      <w:r>
        <w:t>chapitres,</w:t>
      </w:r>
      <w:r w:rsidRPr="002C4077">
        <w:t xml:space="preserve"> </w:t>
      </w:r>
      <w:r>
        <w:t>sans</w:t>
      </w:r>
      <w:r w:rsidRPr="002C4077">
        <w:t xml:space="preserve"> </w:t>
      </w:r>
      <w:r>
        <w:t>égard</w:t>
      </w:r>
      <w:r w:rsidRPr="002C4077">
        <w:t xml:space="preserve"> </w:t>
      </w:r>
      <w:r>
        <w:t>à</w:t>
      </w:r>
      <w:r w:rsidRPr="002C4077">
        <w:t xml:space="preserve"> </w:t>
      </w:r>
      <w:r>
        <w:t>leur</w:t>
      </w:r>
      <w:r w:rsidRPr="002C4077">
        <w:t xml:space="preserve"> </w:t>
      </w:r>
      <w:r>
        <w:t>étendue,</w:t>
      </w:r>
      <w:r w:rsidRPr="002C4077">
        <w:t xml:space="preserve"> </w:t>
      </w:r>
      <w:r>
        <w:t>en</w:t>
      </w:r>
      <w:r w:rsidRPr="002C4077">
        <w:t xml:space="preserve"> </w:t>
      </w:r>
      <w:r>
        <w:t>sept</w:t>
      </w:r>
      <w:r w:rsidRPr="002C4077">
        <w:t xml:space="preserve"> </w:t>
      </w:r>
      <w:r>
        <w:t>parties,</w:t>
      </w:r>
      <w:r w:rsidRPr="002C4077">
        <w:t xml:space="preserve"> </w:t>
      </w:r>
      <w:r>
        <w:t>qu’il</w:t>
      </w:r>
      <w:r w:rsidRPr="002C4077">
        <w:t xml:space="preserve"> </w:t>
      </w:r>
      <w:r>
        <w:t>représenta</w:t>
      </w:r>
      <w:r w:rsidRPr="002C4077">
        <w:t xml:space="preserve"> </w:t>
      </w:r>
      <w:r>
        <w:t>par</w:t>
      </w:r>
      <w:r w:rsidRPr="002C4077">
        <w:t xml:space="preserve"> </w:t>
      </w:r>
      <w:r>
        <w:t>les</w:t>
      </w:r>
      <w:r w:rsidRPr="002C4077">
        <w:t xml:space="preserve"> </w:t>
      </w:r>
      <w:r>
        <w:t>premières</w:t>
      </w:r>
      <w:r w:rsidRPr="002C4077">
        <w:t xml:space="preserve"> </w:t>
      </w:r>
      <w:r>
        <w:t>lettres</w:t>
      </w:r>
      <w:r w:rsidRPr="002C4077">
        <w:t xml:space="preserve"> </w:t>
      </w:r>
      <w:r>
        <w:t>de</w:t>
      </w:r>
      <w:r w:rsidRPr="002C4077">
        <w:t xml:space="preserve"> </w:t>
      </w:r>
      <w:r>
        <w:t>l’</w:t>
      </w:r>
      <w:r w:rsidR="003B5C82">
        <w:t>alphabet</w:t>
      </w:r>
      <w:r w:rsidR="00B546AF">
        <w:t> :</w:t>
      </w:r>
      <w:r w:rsidRPr="002C4077">
        <w:t xml:space="preserve"> </w:t>
      </w:r>
      <w:r w:rsidRPr="000A34B5">
        <w:rPr>
          <w:rStyle w:val="italicus"/>
        </w:rPr>
        <w:t>a,</w:t>
      </w:r>
      <w:r w:rsidRPr="002C4077">
        <w:t xml:space="preserve"> </w:t>
      </w:r>
      <w:r w:rsidRPr="000A34B5">
        <w:rPr>
          <w:rStyle w:val="italicus"/>
        </w:rPr>
        <w:t>b,</w:t>
      </w:r>
      <w:r w:rsidRPr="002C4077">
        <w:t xml:space="preserve"> </w:t>
      </w:r>
      <w:r w:rsidRPr="000A34B5">
        <w:rPr>
          <w:rStyle w:val="italicus"/>
        </w:rPr>
        <w:t>c,</w:t>
      </w:r>
      <w:r w:rsidRPr="002C4077">
        <w:t xml:space="preserve"> </w:t>
      </w:r>
      <w:r w:rsidRPr="000A34B5">
        <w:rPr>
          <w:rStyle w:val="italicus"/>
        </w:rPr>
        <w:t>d,</w:t>
      </w:r>
      <w:r w:rsidRPr="002C4077">
        <w:t xml:space="preserve"> </w:t>
      </w:r>
      <w:r w:rsidRPr="000A34B5">
        <w:rPr>
          <w:rStyle w:val="italicus"/>
        </w:rPr>
        <w:t>e,</w:t>
      </w:r>
      <w:r w:rsidRPr="002C4077">
        <w:t xml:space="preserve"> </w:t>
      </w:r>
      <w:r w:rsidRPr="000A34B5">
        <w:rPr>
          <w:rStyle w:val="italicus"/>
        </w:rPr>
        <w:t>f,</w:t>
      </w:r>
      <w:r w:rsidRPr="002C4077">
        <w:t xml:space="preserve"> </w:t>
      </w:r>
      <w:r w:rsidRPr="000A34B5">
        <w:rPr>
          <w:rStyle w:val="italicus"/>
        </w:rPr>
        <w:t>g</w:t>
      </w:r>
      <w:r w:rsidR="00033BCE">
        <w:rPr>
          <w:rStyle w:val="Appelnotedebasdep"/>
          <w:i/>
        </w:rPr>
        <w:footnoteReference w:id="972"/>
      </w:r>
      <w:r w:rsidRPr="000A34B5">
        <w:rPr>
          <w:rStyle w:val="italicus"/>
        </w:rPr>
        <w:t>.</w:t>
      </w:r>
      <w:r w:rsidR="00C45B47">
        <w:t xml:space="preserve"> {</w:t>
      </w:r>
      <w:r w:rsidR="005E2129">
        <w:t>330</w:t>
      </w:r>
      <w:bookmarkStart w:id="804" w:name="p330"/>
      <w:bookmarkEnd w:id="804"/>
      <w:r w:rsidR="005E2129">
        <w:t xml:space="preserve">} </w:t>
      </w:r>
      <w:r>
        <w:t>Le</w:t>
      </w:r>
      <w:r w:rsidRPr="002C4077">
        <w:t xml:space="preserve"> </w:t>
      </w:r>
      <w:r>
        <w:t>lecteur</w:t>
      </w:r>
      <w:r w:rsidRPr="002C4077">
        <w:t xml:space="preserve"> </w:t>
      </w:r>
      <w:r>
        <w:t>n’avait</w:t>
      </w:r>
      <w:r w:rsidRPr="002C4077">
        <w:t xml:space="preserve"> </w:t>
      </w:r>
      <w:r>
        <w:t>plus</w:t>
      </w:r>
      <w:r w:rsidRPr="002C4077">
        <w:t xml:space="preserve"> </w:t>
      </w:r>
      <w:r>
        <w:t>qu’à</w:t>
      </w:r>
      <w:r w:rsidRPr="002C4077">
        <w:t xml:space="preserve"> </w:t>
      </w:r>
      <w:r>
        <w:t>se</w:t>
      </w:r>
      <w:r w:rsidRPr="002C4077">
        <w:t xml:space="preserve"> </w:t>
      </w:r>
      <w:r>
        <w:t>reporter,</w:t>
      </w:r>
      <w:r w:rsidRPr="002C4077">
        <w:t xml:space="preserve"> </w:t>
      </w:r>
      <w:r>
        <w:t>selon</w:t>
      </w:r>
      <w:r w:rsidRPr="002C4077">
        <w:t xml:space="preserve"> </w:t>
      </w:r>
      <w:r>
        <w:t>la</w:t>
      </w:r>
      <w:r w:rsidRPr="002C4077">
        <w:t xml:space="preserve"> </w:t>
      </w:r>
      <w:r>
        <w:t>lettre,</w:t>
      </w:r>
      <w:r w:rsidRPr="002C4077">
        <w:t xml:space="preserve"> </w:t>
      </w:r>
      <w:r>
        <w:t>au</w:t>
      </w:r>
      <w:r w:rsidRPr="002C4077">
        <w:t xml:space="preserve"> </w:t>
      </w:r>
      <w:r>
        <w:t>commencement,</w:t>
      </w:r>
      <w:r w:rsidRPr="002C4077">
        <w:t xml:space="preserve"> </w:t>
      </w:r>
      <w:r>
        <w:t>au</w:t>
      </w:r>
      <w:r w:rsidRPr="002C4077">
        <w:t xml:space="preserve"> </w:t>
      </w:r>
      <w:r>
        <w:t>milieu,</w:t>
      </w:r>
      <w:r w:rsidRPr="002C4077">
        <w:t xml:space="preserve"> </w:t>
      </w:r>
      <w:r>
        <w:t>ou</w:t>
      </w:r>
      <w:r w:rsidRPr="002C4077">
        <w:t xml:space="preserve"> </w:t>
      </w:r>
      <w:r>
        <w:t>à</w:t>
      </w:r>
      <w:r w:rsidRPr="002C4077">
        <w:t xml:space="preserve"> </w:t>
      </w:r>
      <w:r>
        <w:t>la</w:t>
      </w:r>
      <w:r w:rsidRPr="002C4077">
        <w:t xml:space="preserve"> </w:t>
      </w:r>
      <w:r>
        <w:t>fin</w:t>
      </w:r>
      <w:r w:rsidRPr="002C4077">
        <w:t xml:space="preserve"> </w:t>
      </w:r>
      <w:r>
        <w:t>des</w:t>
      </w:r>
      <w:r w:rsidRPr="002C4077">
        <w:t xml:space="preserve"> </w:t>
      </w:r>
      <w:r>
        <w:t>chapitres.</w:t>
      </w:r>
      <w:r w:rsidRPr="002C4077">
        <w:t xml:space="preserve"> </w:t>
      </w:r>
      <w:r>
        <w:t>Du</w:t>
      </w:r>
      <w:r w:rsidRPr="002C4077">
        <w:t xml:space="preserve"> </w:t>
      </w:r>
      <w:r>
        <w:t>reste,</w:t>
      </w:r>
      <w:r w:rsidRPr="002C4077">
        <w:t xml:space="preserve"> </w:t>
      </w:r>
      <w:r>
        <w:t>nous</w:t>
      </w:r>
      <w:r w:rsidRPr="002C4077">
        <w:t xml:space="preserve"> </w:t>
      </w:r>
      <w:r>
        <w:t>donnons</w:t>
      </w:r>
      <w:r w:rsidRPr="002C4077">
        <w:t xml:space="preserve"> </w:t>
      </w:r>
      <w:r>
        <w:t>ici</w:t>
      </w:r>
      <w:r w:rsidRPr="002C4077">
        <w:t xml:space="preserve"> </w:t>
      </w:r>
      <w:r>
        <w:t>pour</w:t>
      </w:r>
      <w:r w:rsidRPr="002C4077">
        <w:t xml:space="preserve"> </w:t>
      </w:r>
      <w:r>
        <w:t>plus</w:t>
      </w:r>
      <w:r w:rsidRPr="002C4077">
        <w:t xml:space="preserve"> </w:t>
      </w:r>
      <w:r>
        <w:t>de</w:t>
      </w:r>
      <w:r w:rsidRPr="002C4077">
        <w:t xml:space="preserve"> </w:t>
      </w:r>
      <w:r>
        <w:t>clarté</w:t>
      </w:r>
      <w:r w:rsidRPr="002C4077">
        <w:t xml:space="preserve"> </w:t>
      </w:r>
      <w:r>
        <w:t>un</w:t>
      </w:r>
      <w:r w:rsidRPr="002C4077">
        <w:t xml:space="preserve"> </w:t>
      </w:r>
      <w:r>
        <w:t>spécimen</w:t>
      </w:r>
      <w:r w:rsidRPr="002C4077">
        <w:t xml:space="preserve"> </w:t>
      </w:r>
      <w:r>
        <w:t>de</w:t>
      </w:r>
      <w:r w:rsidRPr="002C4077">
        <w:t xml:space="preserve"> </w:t>
      </w:r>
      <w:r>
        <w:t>cette</w:t>
      </w:r>
      <w:r w:rsidRPr="002C4077">
        <w:t xml:space="preserve"> </w:t>
      </w:r>
      <w:r>
        <w:t>Concordance.</w:t>
      </w:r>
      <w:r w:rsidRPr="002C4077">
        <w:t xml:space="preserve"> </w:t>
      </w:r>
    </w:p>
    <w:p w:rsidR="000A7AAB" w:rsidRPr="0031378E" w:rsidRDefault="000A7AAB" w:rsidP="003B5C82">
      <w:pPr>
        <w:pStyle w:val="LcCentrum"/>
        <w:rPr>
          <w:rStyle w:val="pm"/>
          <w:lang w:val="en-US"/>
        </w:rPr>
      </w:pPr>
      <w:r w:rsidRPr="0031378E">
        <w:rPr>
          <w:rStyle w:val="pm"/>
          <w:lang w:val="en-US"/>
        </w:rPr>
        <w:t>Aaa.</w:t>
      </w:r>
      <w:r w:rsidRPr="0031378E">
        <w:rPr>
          <w:lang w:val="en-US"/>
        </w:rPr>
        <w:t xml:space="preserve"> </w:t>
      </w:r>
    </w:p>
    <w:p w:rsidR="000A7AAB" w:rsidRPr="0031378E" w:rsidRDefault="000A7AAB" w:rsidP="003B5C82">
      <w:pPr>
        <w:pStyle w:val="lcv"/>
        <w:rPr>
          <w:lang w:val="en-US"/>
        </w:rPr>
      </w:pPr>
      <w:r w:rsidRPr="0031378E">
        <w:rPr>
          <w:lang w:val="en-US"/>
        </w:rPr>
        <w:t xml:space="preserve">Jerem. I, c. XIV, d. </w:t>
      </w:r>
    </w:p>
    <w:p w:rsidR="000A7AAB" w:rsidRPr="0031378E" w:rsidRDefault="000A7AAB" w:rsidP="003B5C82">
      <w:pPr>
        <w:pStyle w:val="lcv"/>
        <w:rPr>
          <w:lang w:val="en-US"/>
        </w:rPr>
      </w:pPr>
      <w:r w:rsidRPr="0031378E">
        <w:rPr>
          <w:lang w:val="en-US"/>
        </w:rPr>
        <w:t xml:space="preserve">Ezech. IV, </w:t>
      </w:r>
      <w:r w:rsidRPr="0031378E">
        <w:rPr>
          <w:rStyle w:val="italicus"/>
          <w:lang w:val="en-US"/>
        </w:rPr>
        <w:t>f.</w:t>
      </w:r>
      <w:r w:rsidRPr="0031378E">
        <w:rPr>
          <w:lang w:val="en-US"/>
        </w:rPr>
        <w:t xml:space="preserve"> XXVI, </w:t>
      </w:r>
      <w:r w:rsidRPr="0031378E">
        <w:rPr>
          <w:rStyle w:val="italicus"/>
          <w:lang w:val="en-US"/>
        </w:rPr>
        <w:t>b.</w:t>
      </w:r>
      <w:r w:rsidRPr="0031378E">
        <w:rPr>
          <w:lang w:val="en-US"/>
        </w:rPr>
        <w:t xml:space="preserve"> </w:t>
      </w:r>
    </w:p>
    <w:p w:rsidR="000A7AAB" w:rsidRPr="0031378E" w:rsidRDefault="000A7AAB" w:rsidP="003B5C82">
      <w:pPr>
        <w:pStyle w:val="lcv"/>
        <w:rPr>
          <w:lang w:val="en-US"/>
        </w:rPr>
      </w:pPr>
      <w:r w:rsidRPr="0031378E">
        <w:rPr>
          <w:lang w:val="en-US"/>
        </w:rPr>
        <w:t xml:space="preserve">Ioel. I, </w:t>
      </w:r>
      <w:r w:rsidRPr="0031378E">
        <w:rPr>
          <w:rStyle w:val="italicus"/>
          <w:lang w:val="en-US"/>
        </w:rPr>
        <w:t>f.</w:t>
      </w:r>
      <w:r w:rsidRPr="0031378E">
        <w:rPr>
          <w:lang w:val="en-US"/>
        </w:rPr>
        <w:t xml:space="preserve"> </w:t>
      </w:r>
    </w:p>
    <w:p w:rsidR="000A7AAB" w:rsidRPr="0031378E" w:rsidRDefault="009B6B8B" w:rsidP="003B5C82">
      <w:pPr>
        <w:pStyle w:val="LcCentrum"/>
        <w:rPr>
          <w:rStyle w:val="pm"/>
          <w:lang w:val="en-US"/>
        </w:rPr>
      </w:pPr>
      <w:r w:rsidRPr="0031378E">
        <w:rPr>
          <w:rStyle w:val="pm"/>
          <w:lang w:val="en-US"/>
        </w:rPr>
        <w:t>Ténebræ</w:t>
      </w:r>
      <w:r w:rsidR="000A7AAB" w:rsidRPr="0031378E">
        <w:rPr>
          <w:rStyle w:val="pm"/>
          <w:lang w:val="en-US"/>
        </w:rPr>
        <w:t>.</w:t>
      </w:r>
      <w:r w:rsidR="000A7AAB" w:rsidRPr="0031378E">
        <w:rPr>
          <w:lang w:val="en-US"/>
        </w:rPr>
        <w:t xml:space="preserve"> </w:t>
      </w:r>
    </w:p>
    <w:p w:rsidR="000A7AAB" w:rsidRPr="0031378E" w:rsidRDefault="000A7AAB" w:rsidP="003B5C82">
      <w:pPr>
        <w:pStyle w:val="lcv"/>
        <w:rPr>
          <w:lang w:val="en-US"/>
        </w:rPr>
      </w:pPr>
      <w:r w:rsidRPr="0031378E">
        <w:rPr>
          <w:lang w:val="en-US"/>
        </w:rPr>
        <w:t xml:space="preserve">Gen. I, </w:t>
      </w:r>
      <w:r w:rsidRPr="0031378E">
        <w:rPr>
          <w:rStyle w:val="italicus"/>
          <w:lang w:val="en-US"/>
        </w:rPr>
        <w:t>a.</w:t>
      </w:r>
      <w:r w:rsidRPr="0031378E">
        <w:rPr>
          <w:lang w:val="en-US"/>
        </w:rPr>
        <w:t xml:space="preserve"> </w:t>
      </w:r>
    </w:p>
    <w:p w:rsidR="000A7AAB" w:rsidRDefault="000A7AAB" w:rsidP="003B5C82">
      <w:pPr>
        <w:pStyle w:val="lcv"/>
      </w:pPr>
      <w:r>
        <w:t>Deut.</w:t>
      </w:r>
      <w:r w:rsidRPr="002C4077">
        <w:t xml:space="preserve"> </w:t>
      </w:r>
      <w:r>
        <w:t>IV,</w:t>
      </w:r>
      <w:r w:rsidRPr="002C4077">
        <w:t xml:space="preserve"> </w:t>
      </w:r>
      <w:r>
        <w:t>6.</w:t>
      </w:r>
      <w:r w:rsidRPr="002C4077">
        <w:t xml:space="preserve"> </w:t>
      </w:r>
      <w:r>
        <w:t>V,</w:t>
      </w:r>
      <w:r w:rsidRPr="002C4077">
        <w:t xml:space="preserve"> </w:t>
      </w:r>
      <w:r w:rsidRPr="000A34B5">
        <w:rPr>
          <w:rStyle w:val="italicus"/>
        </w:rPr>
        <w:t>f.</w:t>
      </w:r>
      <w:r w:rsidRPr="002C4077">
        <w:t xml:space="preserve"> </w:t>
      </w:r>
      <w:r>
        <w:t>XXVIII,</w:t>
      </w:r>
      <w:r w:rsidRPr="002C4077">
        <w:t xml:space="preserve"> </w:t>
      </w:r>
      <w:r w:rsidRPr="000A34B5">
        <w:rPr>
          <w:rStyle w:val="italicus"/>
        </w:rPr>
        <w:t>d.</w:t>
      </w:r>
      <w:r w:rsidRPr="002C4077">
        <w:t xml:space="preserve"> </w:t>
      </w:r>
    </w:p>
    <w:p w:rsidR="000A7AAB" w:rsidRPr="007F47B8" w:rsidRDefault="000A7AAB" w:rsidP="003B5C82">
      <w:pPr>
        <w:pStyle w:val="lcv"/>
      </w:pPr>
      <w:r w:rsidRPr="007F47B8">
        <w:t xml:space="preserve">Jos. II, </w:t>
      </w:r>
      <w:r w:rsidRPr="007F47B8">
        <w:rPr>
          <w:rStyle w:val="italicus"/>
        </w:rPr>
        <w:t>b.</w:t>
      </w:r>
      <w:r w:rsidRPr="007F47B8">
        <w:t xml:space="preserve"> XXIV, </w:t>
      </w:r>
      <w:r w:rsidRPr="007F47B8">
        <w:rPr>
          <w:rStyle w:val="italicus"/>
        </w:rPr>
        <w:t>b.</w:t>
      </w:r>
      <w:r w:rsidRPr="007F47B8">
        <w:t xml:space="preserve"> </w:t>
      </w:r>
    </w:p>
    <w:p w:rsidR="000A7AAB" w:rsidRPr="007F47B8" w:rsidRDefault="000A7AAB" w:rsidP="003B5C82">
      <w:pPr>
        <w:pStyle w:val="lcv"/>
      </w:pPr>
      <w:r w:rsidRPr="007F47B8">
        <w:t xml:space="preserve">II Reg. XXII, </w:t>
      </w:r>
      <w:r w:rsidRPr="007F47B8">
        <w:rPr>
          <w:rStyle w:val="italicus"/>
        </w:rPr>
        <w:t>b,</w:t>
      </w:r>
      <w:r w:rsidRPr="007F47B8">
        <w:t xml:space="preserve"> </w:t>
      </w:r>
      <w:r w:rsidRPr="007F47B8">
        <w:rPr>
          <w:rStyle w:val="italicus"/>
        </w:rPr>
        <w:t>d.</w:t>
      </w:r>
      <w:r w:rsidRPr="007F47B8">
        <w:t xml:space="preserve"> </w:t>
      </w:r>
    </w:p>
    <w:p w:rsidR="000A7AAB" w:rsidRDefault="000A7AAB" w:rsidP="003B5C82">
      <w:pPr>
        <w:pStyle w:val="lcv"/>
      </w:pPr>
      <w:r w:rsidRPr="007F47B8">
        <w:t xml:space="preserve">IV Reg. </w:t>
      </w:r>
      <w:r>
        <w:t>VII,</w:t>
      </w:r>
      <w:r w:rsidRPr="002C4077">
        <w:t xml:space="preserve"> </w:t>
      </w:r>
      <w:r w:rsidRPr="000A34B5">
        <w:rPr>
          <w:rStyle w:val="italicus"/>
        </w:rPr>
        <w:t>b.</w:t>
      </w:r>
      <w:r w:rsidRPr="002C4077">
        <w:t xml:space="preserve"> </w:t>
      </w:r>
      <w:r w:rsidR="003B5C82">
        <w:t>Etc.</w:t>
      </w:r>
      <w:r w:rsidRPr="002C4077">
        <w:t xml:space="preserve"> </w:t>
      </w:r>
    </w:p>
    <w:p w:rsidR="000A7AAB" w:rsidRPr="003B5C82" w:rsidRDefault="009B6B8B" w:rsidP="003B5C82">
      <w:pPr>
        <w:pStyle w:val="LcCentrum"/>
        <w:rPr>
          <w:rStyle w:val="pm"/>
        </w:rPr>
      </w:pPr>
      <w:r w:rsidRPr="003B5C82">
        <w:rPr>
          <w:rStyle w:val="pm"/>
        </w:rPr>
        <w:t>Unigénitus</w:t>
      </w:r>
      <w:r w:rsidR="000A7AAB" w:rsidRPr="003B5C82">
        <w:rPr>
          <w:rStyle w:val="pm"/>
        </w:rPr>
        <w:t>.</w:t>
      </w:r>
      <w:r w:rsidR="000A7AAB" w:rsidRPr="002C4077">
        <w:t xml:space="preserve"> </w:t>
      </w:r>
    </w:p>
    <w:p w:rsidR="000A7AAB" w:rsidRPr="003B5C82" w:rsidRDefault="000A7AAB" w:rsidP="003B5C82">
      <w:pPr>
        <w:pStyle w:val="lcv"/>
        <w:rPr>
          <w:rStyle w:val="italicus"/>
        </w:rPr>
      </w:pPr>
      <w:r w:rsidRPr="003B5C82">
        <w:t>Gen.</w:t>
      </w:r>
      <w:r w:rsidRPr="002C4077">
        <w:t xml:space="preserve"> </w:t>
      </w:r>
      <w:r w:rsidRPr="003B5C82">
        <w:t>XII,</w:t>
      </w:r>
      <w:r w:rsidRPr="002C4077">
        <w:t xml:space="preserve"> </w:t>
      </w:r>
      <w:r w:rsidRPr="003B5C82">
        <w:rPr>
          <w:rStyle w:val="italicus"/>
        </w:rPr>
        <w:t>a,</w:t>
      </w:r>
      <w:r w:rsidRPr="002C4077">
        <w:t xml:space="preserve"> </w:t>
      </w:r>
      <w:r w:rsidRPr="003B5C82">
        <w:rPr>
          <w:rStyle w:val="italicus"/>
        </w:rPr>
        <w:t>d,</w:t>
      </w:r>
      <w:r w:rsidRPr="002C4077">
        <w:t xml:space="preserve"> </w:t>
      </w:r>
      <w:r w:rsidRPr="003B5C82">
        <w:rPr>
          <w:rStyle w:val="italicus"/>
        </w:rPr>
        <w:t>f.</w:t>
      </w:r>
      <w:r w:rsidRPr="002C4077">
        <w:t xml:space="preserve"> </w:t>
      </w:r>
    </w:p>
    <w:p w:rsidR="000A7AAB" w:rsidRPr="00216D08" w:rsidRDefault="000A7AAB" w:rsidP="003B5C82">
      <w:pPr>
        <w:pStyle w:val="lcv"/>
        <w:rPr>
          <w:lang w:val="en-US"/>
        </w:rPr>
      </w:pPr>
      <w:r w:rsidRPr="00216D08">
        <w:rPr>
          <w:lang w:val="en-US"/>
        </w:rPr>
        <w:t xml:space="preserve">Prov. IV, </w:t>
      </w:r>
      <w:r w:rsidRPr="00216D08">
        <w:rPr>
          <w:rStyle w:val="italicus"/>
          <w:lang w:val="en-US"/>
        </w:rPr>
        <w:t>a.</w:t>
      </w:r>
      <w:r w:rsidRPr="00216D08">
        <w:rPr>
          <w:lang w:val="en-US"/>
        </w:rPr>
        <w:t xml:space="preserve"> </w:t>
      </w:r>
    </w:p>
    <w:p w:rsidR="000A7AAB" w:rsidRPr="0031378E" w:rsidRDefault="000A7AAB" w:rsidP="003B5C82">
      <w:pPr>
        <w:pStyle w:val="lcv"/>
        <w:rPr>
          <w:lang w:val="en-US"/>
        </w:rPr>
      </w:pPr>
      <w:r w:rsidRPr="0031378E">
        <w:rPr>
          <w:lang w:val="en-US"/>
        </w:rPr>
        <w:t xml:space="preserve">Jer. VI, </w:t>
      </w:r>
      <w:r w:rsidRPr="0031378E">
        <w:rPr>
          <w:rStyle w:val="italicus"/>
          <w:lang w:val="en-US"/>
        </w:rPr>
        <w:t>g.</w:t>
      </w:r>
      <w:r w:rsidRPr="0031378E">
        <w:rPr>
          <w:lang w:val="en-US"/>
        </w:rPr>
        <w:t xml:space="preserve"> </w:t>
      </w:r>
    </w:p>
    <w:p w:rsidR="000A7AAB" w:rsidRPr="0031378E" w:rsidRDefault="003B5C82" w:rsidP="003B5C82">
      <w:pPr>
        <w:pStyle w:val="lcv"/>
        <w:rPr>
          <w:lang w:val="en-US"/>
        </w:rPr>
      </w:pPr>
      <w:r w:rsidRPr="0031378E">
        <w:rPr>
          <w:lang w:val="en-US"/>
        </w:rPr>
        <w:t>Amos VIII</w:t>
      </w:r>
      <w:r w:rsidR="000A7AAB" w:rsidRPr="0031378E">
        <w:rPr>
          <w:lang w:val="en-US"/>
        </w:rPr>
        <w:t xml:space="preserve">, </w:t>
      </w:r>
      <w:r w:rsidR="000A7AAB" w:rsidRPr="0031378E">
        <w:rPr>
          <w:rStyle w:val="italicus"/>
          <w:lang w:val="en-US"/>
        </w:rPr>
        <w:t>f.</w:t>
      </w:r>
      <w:r w:rsidR="000A7AAB" w:rsidRPr="0031378E">
        <w:rPr>
          <w:lang w:val="en-US"/>
        </w:rPr>
        <w:t xml:space="preserve"> </w:t>
      </w:r>
    </w:p>
    <w:p w:rsidR="000A7AAB" w:rsidRPr="0031378E" w:rsidRDefault="000A7AAB" w:rsidP="003B5C82">
      <w:pPr>
        <w:pStyle w:val="lcv"/>
        <w:rPr>
          <w:lang w:val="en-US"/>
        </w:rPr>
      </w:pPr>
      <w:r w:rsidRPr="0031378E">
        <w:rPr>
          <w:lang w:val="en-US"/>
        </w:rPr>
        <w:t xml:space="preserve">Zach. XII, </w:t>
      </w:r>
      <w:r w:rsidRPr="0031378E">
        <w:rPr>
          <w:rStyle w:val="italicus"/>
          <w:lang w:val="en-US"/>
        </w:rPr>
        <w:t>f.</w:t>
      </w:r>
      <w:r w:rsidRPr="0031378E">
        <w:rPr>
          <w:lang w:val="en-US"/>
        </w:rPr>
        <w:t xml:space="preserve"> </w:t>
      </w:r>
    </w:p>
    <w:p w:rsidR="000A7AAB" w:rsidRPr="0031378E" w:rsidRDefault="000A7AAB" w:rsidP="003B5C82">
      <w:pPr>
        <w:pStyle w:val="lcv"/>
        <w:rPr>
          <w:lang w:val="en-US"/>
        </w:rPr>
      </w:pPr>
      <w:r w:rsidRPr="0031378E">
        <w:rPr>
          <w:lang w:val="en-US"/>
        </w:rPr>
        <w:t xml:space="preserve">Joan. I, </w:t>
      </w:r>
      <w:r w:rsidRPr="0031378E">
        <w:rPr>
          <w:rStyle w:val="italicus"/>
          <w:lang w:val="en-US"/>
        </w:rPr>
        <w:t>b.</w:t>
      </w:r>
      <w:r w:rsidRPr="0031378E">
        <w:rPr>
          <w:lang w:val="en-US"/>
        </w:rPr>
        <w:t xml:space="preserve"> III, </w:t>
      </w:r>
      <w:r w:rsidRPr="0031378E">
        <w:rPr>
          <w:rStyle w:val="italicus"/>
          <w:lang w:val="en-US"/>
        </w:rPr>
        <w:t>d.</w:t>
      </w:r>
      <w:r w:rsidRPr="0031378E">
        <w:rPr>
          <w:lang w:val="en-US"/>
        </w:rPr>
        <w:t xml:space="preserve"> </w:t>
      </w:r>
    </w:p>
    <w:p w:rsidR="000A7AAB" w:rsidRPr="009D58B1" w:rsidRDefault="000A7AAB" w:rsidP="003B5C82">
      <w:pPr>
        <w:pStyle w:val="lcv"/>
        <w:rPr>
          <w:lang w:val="en-US"/>
        </w:rPr>
      </w:pPr>
      <w:r w:rsidRPr="009D58B1">
        <w:rPr>
          <w:lang w:val="en-US"/>
        </w:rPr>
        <w:t xml:space="preserve">Hebr. XI, </w:t>
      </w:r>
      <w:r w:rsidRPr="009D58B1">
        <w:rPr>
          <w:rStyle w:val="italicus"/>
          <w:lang w:val="en-US"/>
        </w:rPr>
        <w:t>d.</w:t>
      </w:r>
      <w:r w:rsidRPr="009D58B1">
        <w:rPr>
          <w:lang w:val="en-US"/>
        </w:rPr>
        <w:t xml:space="preserve"> </w:t>
      </w:r>
    </w:p>
    <w:p w:rsidR="000A7AAB" w:rsidRPr="007F47B8" w:rsidRDefault="000A7AAB" w:rsidP="003B5C82">
      <w:pPr>
        <w:pStyle w:val="lcv"/>
        <w:rPr>
          <w:lang w:val="en-US"/>
        </w:rPr>
      </w:pPr>
      <w:r w:rsidRPr="009D58B1">
        <w:rPr>
          <w:lang w:val="en-US"/>
        </w:rPr>
        <w:t xml:space="preserve">I Joan. </w:t>
      </w:r>
      <w:r w:rsidRPr="007F47B8">
        <w:rPr>
          <w:lang w:val="en-US"/>
        </w:rPr>
        <w:t xml:space="preserve">IV, c. </w:t>
      </w:r>
    </w:p>
    <w:p w:rsidR="000A7AAB" w:rsidRDefault="000A7AAB" w:rsidP="000A7AAB">
      <w:r>
        <w:t>On</w:t>
      </w:r>
      <w:r w:rsidRPr="002C4077">
        <w:t xml:space="preserve"> </w:t>
      </w:r>
      <w:r>
        <w:t>a</w:t>
      </w:r>
      <w:r w:rsidRPr="002C4077">
        <w:t xml:space="preserve"> </w:t>
      </w:r>
      <w:r>
        <w:t>prétendu</w:t>
      </w:r>
      <w:r w:rsidRPr="002C4077">
        <w:t xml:space="preserve"> </w:t>
      </w:r>
      <w:r>
        <w:t>parfois,</w:t>
      </w:r>
      <w:r w:rsidRPr="002C4077">
        <w:t xml:space="preserve"> </w:t>
      </w:r>
      <w:r>
        <w:t>mais</w:t>
      </w:r>
      <w:r w:rsidRPr="002C4077">
        <w:t xml:space="preserve"> </w:t>
      </w:r>
      <w:r>
        <w:t>à</w:t>
      </w:r>
      <w:r w:rsidRPr="002C4077">
        <w:t xml:space="preserve"> </w:t>
      </w:r>
      <w:r>
        <w:t>tort,</w:t>
      </w:r>
      <w:r w:rsidRPr="002C4077">
        <w:t xml:space="preserve"> </w:t>
      </w:r>
      <w:r>
        <w:t>que,</w:t>
      </w:r>
      <w:r w:rsidRPr="002C4077">
        <w:t xml:space="preserve"> </w:t>
      </w:r>
      <w:r>
        <w:t>dans</w:t>
      </w:r>
      <w:r w:rsidRPr="002C4077">
        <w:t xml:space="preserve"> </w:t>
      </w:r>
      <w:r>
        <w:t>sa</w:t>
      </w:r>
      <w:r w:rsidRPr="002C4077">
        <w:t xml:space="preserve"> </w:t>
      </w:r>
      <w:r>
        <w:t>Concordance,</w:t>
      </w:r>
      <w:r w:rsidRPr="002C4077">
        <w:t xml:space="preserve"> </w:t>
      </w:r>
      <w:r>
        <w:t>Hugues</w:t>
      </w:r>
      <w:r w:rsidRPr="002C4077">
        <w:t xml:space="preserve"> </w:t>
      </w:r>
      <w:r>
        <w:t>de</w:t>
      </w:r>
      <w:r w:rsidRPr="002C4077">
        <w:t xml:space="preserve"> </w:t>
      </w:r>
      <w:r>
        <w:t>Saint-Cher</w:t>
      </w:r>
      <w:r w:rsidRPr="002C4077">
        <w:t xml:space="preserve"> </w:t>
      </w:r>
      <w:r>
        <w:t>avait</w:t>
      </w:r>
      <w:r w:rsidRPr="002C4077">
        <w:t xml:space="preserve"> </w:t>
      </w:r>
      <w:r>
        <w:t>omis</w:t>
      </w:r>
      <w:r w:rsidRPr="002C4077">
        <w:t xml:space="preserve"> </w:t>
      </w:r>
      <w:r>
        <w:t>tous</w:t>
      </w:r>
      <w:r w:rsidRPr="002C4077">
        <w:t xml:space="preserve"> </w:t>
      </w:r>
      <w:r>
        <w:t>les</w:t>
      </w:r>
      <w:r w:rsidRPr="002C4077">
        <w:t xml:space="preserve"> </w:t>
      </w:r>
      <w:r>
        <w:t>mots</w:t>
      </w:r>
      <w:r w:rsidRPr="002C4077">
        <w:t xml:space="preserve"> </w:t>
      </w:r>
      <w:r>
        <w:t>indéclinables.</w:t>
      </w:r>
      <w:r w:rsidR="00C45B47">
        <w:t xml:space="preserve"> {</w:t>
      </w:r>
      <w:r w:rsidR="005E2129">
        <w:t>331</w:t>
      </w:r>
      <w:bookmarkStart w:id="805" w:name="p331"/>
      <w:bookmarkEnd w:id="805"/>
      <w:r w:rsidR="005E2129">
        <w:t xml:space="preserve">} </w:t>
      </w:r>
      <w:r>
        <w:t>Il</w:t>
      </w:r>
      <w:r w:rsidRPr="002C4077">
        <w:t xml:space="preserve"> </w:t>
      </w:r>
      <w:r w:rsidR="00425C50">
        <w:t>est</w:t>
      </w:r>
      <w:r w:rsidRPr="002C4077">
        <w:t xml:space="preserve"> </w:t>
      </w:r>
      <w:r>
        <w:t>vrai</w:t>
      </w:r>
      <w:r w:rsidRPr="002C4077">
        <w:t xml:space="preserve"> </w:t>
      </w:r>
      <w:r>
        <w:t>qu’il</w:t>
      </w:r>
      <w:r w:rsidRPr="002C4077">
        <w:t xml:space="preserve"> </w:t>
      </w:r>
      <w:r>
        <w:t>en</w:t>
      </w:r>
      <w:r w:rsidRPr="002C4077">
        <w:t xml:space="preserve"> </w:t>
      </w:r>
      <w:r>
        <w:t>a</w:t>
      </w:r>
      <w:r w:rsidRPr="002C4077">
        <w:t xml:space="preserve"> </w:t>
      </w:r>
      <w:r>
        <w:t>retranché</w:t>
      </w:r>
      <w:r w:rsidRPr="002C4077">
        <w:t xml:space="preserve"> </w:t>
      </w:r>
      <w:r>
        <w:t>un</w:t>
      </w:r>
      <w:r w:rsidRPr="002C4077">
        <w:t xml:space="preserve"> </w:t>
      </w:r>
      <w:r>
        <w:t>grand</w:t>
      </w:r>
      <w:r w:rsidRPr="002C4077">
        <w:t xml:space="preserve"> </w:t>
      </w:r>
      <w:r>
        <w:t>nombre</w:t>
      </w:r>
      <w:r w:rsidR="00B546AF">
        <w:t> ;</w:t>
      </w:r>
      <w:r w:rsidRPr="002C4077">
        <w:t xml:space="preserve"> </w:t>
      </w:r>
      <w:r>
        <w:t>néanmoins,</w:t>
      </w:r>
      <w:r w:rsidRPr="002C4077">
        <w:t xml:space="preserve"> </w:t>
      </w:r>
      <w:r>
        <w:t>les</w:t>
      </w:r>
      <w:r w:rsidRPr="002C4077">
        <w:t xml:space="preserve"> </w:t>
      </w:r>
      <w:r>
        <w:t>plus</w:t>
      </w:r>
      <w:r w:rsidRPr="002C4077">
        <w:t xml:space="preserve"> </w:t>
      </w:r>
      <w:r>
        <w:t>importants</w:t>
      </w:r>
      <w:r w:rsidRPr="002C4077">
        <w:t xml:space="preserve"> </w:t>
      </w:r>
      <w:r>
        <w:t>ont</w:t>
      </w:r>
      <w:r w:rsidRPr="002C4077">
        <w:t xml:space="preserve"> </w:t>
      </w:r>
      <w:r>
        <w:t>trouvé</w:t>
      </w:r>
      <w:r w:rsidRPr="002C4077">
        <w:t xml:space="preserve"> </w:t>
      </w:r>
      <w:r>
        <w:t>place</w:t>
      </w:r>
      <w:r w:rsidRPr="002C4077">
        <w:t xml:space="preserve"> </w:t>
      </w:r>
      <w:r>
        <w:t>dans</w:t>
      </w:r>
      <w:r w:rsidRPr="002C4077">
        <w:t xml:space="preserve"> </w:t>
      </w:r>
      <w:r>
        <w:t>son</w:t>
      </w:r>
      <w:r w:rsidRPr="002C4077">
        <w:t xml:space="preserve"> </w:t>
      </w:r>
      <w:r>
        <w:t>ouvrage</w:t>
      </w:r>
      <w:r w:rsidR="00B546AF">
        <w:t> :</w:t>
      </w:r>
      <w:r w:rsidRPr="002C4077">
        <w:t xml:space="preserve"> </w:t>
      </w:r>
      <w:r>
        <w:t>par</w:t>
      </w:r>
      <w:r w:rsidRPr="002C4077">
        <w:t xml:space="preserve"> </w:t>
      </w:r>
      <w:r>
        <w:t>exemple,</w:t>
      </w:r>
      <w:r w:rsidRPr="002C4077">
        <w:t xml:space="preserve"> </w:t>
      </w:r>
      <w:r w:rsidRPr="000A34B5">
        <w:rPr>
          <w:rStyle w:val="italicus"/>
        </w:rPr>
        <w:t>olim,</w:t>
      </w:r>
      <w:r w:rsidRPr="002C4077">
        <w:t xml:space="preserve"> </w:t>
      </w:r>
      <w:r w:rsidRPr="000A34B5">
        <w:rPr>
          <w:rStyle w:val="italicus"/>
        </w:rPr>
        <w:t>quasi,</w:t>
      </w:r>
      <w:r w:rsidRPr="002C4077">
        <w:t xml:space="preserve"> </w:t>
      </w:r>
      <w:r w:rsidRPr="000A34B5">
        <w:rPr>
          <w:rStyle w:val="italicus"/>
        </w:rPr>
        <w:t>sicut,</w:t>
      </w:r>
      <w:r w:rsidRPr="002C4077">
        <w:t xml:space="preserve"> </w:t>
      </w:r>
      <w:r w:rsidR="00425C50">
        <w:t>etc</w:t>
      </w:r>
      <w:r>
        <w:t>.</w:t>
      </w:r>
      <w:r w:rsidRPr="002C4077">
        <w:t xml:space="preserve"> </w:t>
      </w:r>
    </w:p>
    <w:p w:rsidR="000A7AAB" w:rsidRDefault="000A7AAB" w:rsidP="000A7AAB">
      <w:r>
        <w:lastRenderedPageBreak/>
        <w:t>Ce</w:t>
      </w:r>
      <w:r w:rsidRPr="002C4077">
        <w:t xml:space="preserve"> </w:t>
      </w:r>
      <w:r>
        <w:t>livre</w:t>
      </w:r>
      <w:r w:rsidRPr="002C4077">
        <w:t xml:space="preserve"> </w:t>
      </w:r>
      <w:r>
        <w:t>ayant</w:t>
      </w:r>
      <w:r w:rsidRPr="002C4077">
        <w:t xml:space="preserve"> </w:t>
      </w:r>
      <w:r>
        <w:t>été</w:t>
      </w:r>
      <w:r w:rsidRPr="002C4077">
        <w:t xml:space="preserve"> </w:t>
      </w:r>
      <w:r>
        <w:t>composé</w:t>
      </w:r>
      <w:r w:rsidRPr="002C4077">
        <w:t xml:space="preserve"> </w:t>
      </w:r>
      <w:r>
        <w:t>dans</w:t>
      </w:r>
      <w:r w:rsidRPr="002C4077">
        <w:t xml:space="preserve"> </w:t>
      </w:r>
      <w:r>
        <w:t>le</w:t>
      </w:r>
      <w:r w:rsidRPr="002C4077">
        <w:t xml:space="preserve"> </w:t>
      </w:r>
      <w:r>
        <w:t>couvent</w:t>
      </w:r>
      <w:r w:rsidRPr="002C4077">
        <w:t xml:space="preserve"> </w:t>
      </w:r>
      <w:r>
        <w:t>des</w:t>
      </w:r>
      <w:r w:rsidRPr="002C4077">
        <w:t xml:space="preserve"> </w:t>
      </w:r>
      <w:r>
        <w:t>Dominicains</w:t>
      </w:r>
      <w:r w:rsidRPr="002C4077">
        <w:t xml:space="preserve"> </w:t>
      </w:r>
      <w:r>
        <w:t>de</w:t>
      </w:r>
      <w:r w:rsidRPr="002C4077">
        <w:t xml:space="preserve"> </w:t>
      </w:r>
      <w:r>
        <w:t>Saint-Jacques,</w:t>
      </w:r>
      <w:r w:rsidRPr="002C4077">
        <w:t xml:space="preserve"> </w:t>
      </w:r>
      <w:r>
        <w:t>on</w:t>
      </w:r>
      <w:r w:rsidRPr="002C4077">
        <w:t xml:space="preserve"> </w:t>
      </w:r>
      <w:r>
        <w:t>l’appela</w:t>
      </w:r>
      <w:r w:rsidRPr="002C4077">
        <w:t xml:space="preserve"> </w:t>
      </w:r>
      <w:r w:rsidRPr="000A34B5">
        <w:rPr>
          <w:rStyle w:val="italicus"/>
        </w:rPr>
        <w:t>Concordance</w:t>
      </w:r>
      <w:r w:rsidRPr="002C4077">
        <w:t xml:space="preserve"> </w:t>
      </w:r>
      <w:r w:rsidRPr="000A34B5">
        <w:rPr>
          <w:rStyle w:val="italicus"/>
        </w:rPr>
        <w:t>de</w:t>
      </w:r>
      <w:r w:rsidRPr="002C4077">
        <w:t xml:space="preserve"> </w:t>
      </w:r>
      <w:r w:rsidRPr="000A34B5">
        <w:rPr>
          <w:rStyle w:val="italicus"/>
        </w:rPr>
        <w:t>saint</w:t>
      </w:r>
      <w:r w:rsidRPr="002C4077">
        <w:t xml:space="preserve"> </w:t>
      </w:r>
      <w:r w:rsidRPr="000A34B5">
        <w:rPr>
          <w:rStyle w:val="italicus"/>
        </w:rPr>
        <w:t>Jacques,</w:t>
      </w:r>
      <w:r w:rsidRPr="002C4077">
        <w:t xml:space="preserve"> </w:t>
      </w:r>
      <w:r>
        <w:t>et</w:t>
      </w:r>
      <w:r w:rsidRPr="002C4077">
        <w:t xml:space="preserve"> </w:t>
      </w:r>
      <w:r>
        <w:t>plus</w:t>
      </w:r>
      <w:r w:rsidRPr="002C4077">
        <w:t xml:space="preserve"> </w:t>
      </w:r>
      <w:r>
        <w:t>tard,</w:t>
      </w:r>
      <w:r w:rsidRPr="002C4077">
        <w:t xml:space="preserve"> </w:t>
      </w:r>
      <w:r w:rsidR="003B5C82" w:rsidRPr="000A34B5">
        <w:rPr>
          <w:rStyle w:val="italicus"/>
        </w:rPr>
        <w:t>Concordántiæ</w:t>
      </w:r>
      <w:r w:rsidRPr="002C4077">
        <w:t xml:space="preserve"> </w:t>
      </w:r>
      <w:r w:rsidRPr="000A34B5">
        <w:rPr>
          <w:rStyle w:val="italicus"/>
        </w:rPr>
        <w:t>breves</w:t>
      </w:r>
      <w:bookmarkStart w:id="806" w:name="z_Concordances_o4"/>
      <w:bookmarkEnd w:id="806"/>
      <w:r w:rsidRPr="000A34B5">
        <w:rPr>
          <w:rStyle w:val="italicus"/>
        </w:rPr>
        <w:t>,</w:t>
      </w:r>
      <w:r w:rsidRPr="002C4077">
        <w:t xml:space="preserve"> </w:t>
      </w:r>
      <w:r>
        <w:t>lorsqu’on</w:t>
      </w:r>
      <w:r w:rsidRPr="002C4077">
        <w:t xml:space="preserve"> </w:t>
      </w:r>
      <w:r>
        <w:t>eut</w:t>
      </w:r>
      <w:r w:rsidRPr="002C4077">
        <w:t xml:space="preserve"> </w:t>
      </w:r>
      <w:r>
        <w:t>composé</w:t>
      </w:r>
      <w:r w:rsidRPr="002C4077">
        <w:t xml:space="preserve"> </w:t>
      </w:r>
      <w:r>
        <w:t>de</w:t>
      </w:r>
      <w:r w:rsidRPr="002C4077">
        <w:t xml:space="preserve"> </w:t>
      </w:r>
      <w:r>
        <w:t>plus</w:t>
      </w:r>
      <w:r w:rsidRPr="002C4077">
        <w:t xml:space="preserve"> </w:t>
      </w:r>
      <w:r>
        <w:t>longues</w:t>
      </w:r>
      <w:r w:rsidRPr="002C4077">
        <w:t xml:space="preserve"> </w:t>
      </w:r>
      <w:r>
        <w:t>Concordances</w:t>
      </w:r>
      <w:r w:rsidR="00B91AF7">
        <w:rPr>
          <w:rStyle w:val="Appelnotedebasdep"/>
        </w:rPr>
        <w:footnoteReference w:id="973"/>
      </w:r>
      <w:r>
        <w:t>.</w:t>
      </w:r>
      <w:r w:rsidRPr="002C4077">
        <w:t xml:space="preserve"> </w:t>
      </w:r>
    </w:p>
    <w:p w:rsidR="000A7AAB" w:rsidRPr="005E2129" w:rsidRDefault="000A7AAB" w:rsidP="000A7AAB">
      <w:r>
        <w:t>Environ</w:t>
      </w:r>
      <w:r w:rsidRPr="002C4077">
        <w:t xml:space="preserve"> </w:t>
      </w:r>
      <w:r>
        <w:t>vingt</w:t>
      </w:r>
      <w:r w:rsidRPr="002C4077">
        <w:t xml:space="preserve"> </w:t>
      </w:r>
      <w:r>
        <w:t>ans</w:t>
      </w:r>
      <w:r w:rsidRPr="002C4077">
        <w:t xml:space="preserve"> </w:t>
      </w:r>
      <w:r>
        <w:t>après</w:t>
      </w:r>
      <w:r w:rsidRPr="002C4077">
        <w:t xml:space="preserve"> </w:t>
      </w:r>
      <w:r>
        <w:t>l’invention</w:t>
      </w:r>
      <w:r w:rsidRPr="002C4077">
        <w:t xml:space="preserve"> </w:t>
      </w:r>
      <w:r>
        <w:t>des</w:t>
      </w:r>
      <w:r w:rsidRPr="002C4077">
        <w:t xml:space="preserve"> </w:t>
      </w:r>
      <w:r>
        <w:t>Concordances,</w:t>
      </w:r>
      <w:r w:rsidRPr="002C4077">
        <w:t xml:space="preserve"> </w:t>
      </w:r>
      <w:r>
        <w:t>le</w:t>
      </w:r>
      <w:r w:rsidRPr="002C4077">
        <w:t xml:space="preserve"> </w:t>
      </w:r>
      <w:r>
        <w:t>besoin</w:t>
      </w:r>
      <w:r w:rsidRPr="002C4077">
        <w:t xml:space="preserve"> </w:t>
      </w:r>
      <w:r>
        <w:t>d’une</w:t>
      </w:r>
      <w:r w:rsidRPr="002C4077">
        <w:t xml:space="preserve"> </w:t>
      </w:r>
      <w:r>
        <w:t>amélioration</w:t>
      </w:r>
      <w:r w:rsidRPr="002C4077">
        <w:t xml:space="preserve"> </w:t>
      </w:r>
      <w:r>
        <w:t>commença</w:t>
      </w:r>
      <w:r w:rsidRPr="002C4077">
        <w:t xml:space="preserve"> </w:t>
      </w:r>
      <w:r>
        <w:t>à</w:t>
      </w:r>
      <w:r w:rsidRPr="002C4077">
        <w:t xml:space="preserve"> </w:t>
      </w:r>
      <w:r>
        <w:t>se</w:t>
      </w:r>
      <w:r w:rsidRPr="002C4077">
        <w:t xml:space="preserve"> </w:t>
      </w:r>
      <w:r>
        <w:t>faire</w:t>
      </w:r>
      <w:r w:rsidRPr="002C4077">
        <w:t xml:space="preserve"> </w:t>
      </w:r>
      <w:r>
        <w:t>sentir.</w:t>
      </w:r>
      <w:r w:rsidRPr="002C4077">
        <w:t xml:space="preserve"> </w:t>
      </w:r>
      <w:r>
        <w:t>Hugues</w:t>
      </w:r>
      <w:r w:rsidRPr="002C4077">
        <w:t xml:space="preserve"> </w:t>
      </w:r>
      <w:r>
        <w:t>de</w:t>
      </w:r>
      <w:r w:rsidRPr="002C4077">
        <w:t xml:space="preserve"> </w:t>
      </w:r>
      <w:r>
        <w:t>Saint-Cher,</w:t>
      </w:r>
      <w:r w:rsidRPr="002C4077">
        <w:t xml:space="preserve"> </w:t>
      </w:r>
      <w:r>
        <w:t>comme</w:t>
      </w:r>
      <w:r w:rsidRPr="002C4077">
        <w:t xml:space="preserve"> </w:t>
      </w:r>
      <w:r>
        <w:t>nous</w:t>
      </w:r>
      <w:r w:rsidRPr="002C4077">
        <w:t xml:space="preserve"> </w:t>
      </w:r>
      <w:r>
        <w:t>l’avons</w:t>
      </w:r>
      <w:r w:rsidRPr="002C4077">
        <w:t xml:space="preserve"> </w:t>
      </w:r>
      <w:r>
        <w:t>vu,</w:t>
      </w:r>
      <w:r w:rsidRPr="002C4077">
        <w:t xml:space="preserve"> </w:t>
      </w:r>
      <w:r>
        <w:t>n’avait</w:t>
      </w:r>
      <w:r w:rsidRPr="002C4077">
        <w:t xml:space="preserve"> </w:t>
      </w:r>
      <w:r>
        <w:t>pas</w:t>
      </w:r>
      <w:r w:rsidRPr="002C4077">
        <w:t xml:space="preserve"> </w:t>
      </w:r>
      <w:r>
        <w:t>cité</w:t>
      </w:r>
      <w:r w:rsidRPr="002C4077">
        <w:t xml:space="preserve"> </w:t>
      </w:r>
      <w:r>
        <w:t>les</w:t>
      </w:r>
      <w:r w:rsidRPr="002C4077">
        <w:t xml:space="preserve"> </w:t>
      </w:r>
      <w:r>
        <w:t>textes</w:t>
      </w:r>
      <w:r w:rsidR="00B546AF">
        <w:t> ;</w:t>
      </w:r>
      <w:r w:rsidRPr="002C4077">
        <w:t xml:space="preserve"> </w:t>
      </w:r>
      <w:r>
        <w:t>il</w:t>
      </w:r>
      <w:r w:rsidRPr="002C4077">
        <w:t xml:space="preserve"> </w:t>
      </w:r>
      <w:r>
        <w:t>s’était</w:t>
      </w:r>
      <w:r w:rsidRPr="002C4077">
        <w:t xml:space="preserve"> </w:t>
      </w:r>
      <w:r>
        <w:t>contenté</w:t>
      </w:r>
      <w:r w:rsidRPr="002C4077">
        <w:t xml:space="preserve"> </w:t>
      </w:r>
      <w:r>
        <w:t>de</w:t>
      </w:r>
      <w:r w:rsidRPr="002C4077">
        <w:t xml:space="preserve"> </w:t>
      </w:r>
      <w:r>
        <w:t>les</w:t>
      </w:r>
      <w:r w:rsidRPr="002C4077">
        <w:t xml:space="preserve"> </w:t>
      </w:r>
      <w:r>
        <w:t>indiquer.</w:t>
      </w:r>
      <w:r w:rsidRPr="002C4077">
        <w:t xml:space="preserve"> </w:t>
      </w:r>
      <w:r>
        <w:t>Ceux</w:t>
      </w:r>
      <w:r w:rsidRPr="002C4077">
        <w:t xml:space="preserve"> </w:t>
      </w:r>
      <w:r>
        <w:t>qui</w:t>
      </w:r>
      <w:r w:rsidRPr="002C4077">
        <w:t xml:space="preserve"> </w:t>
      </w:r>
      <w:r>
        <w:t>consultaient</w:t>
      </w:r>
      <w:r w:rsidRPr="002C4077">
        <w:t xml:space="preserve"> </w:t>
      </w:r>
      <w:r>
        <w:t>son</w:t>
      </w:r>
      <w:r w:rsidRPr="002C4077">
        <w:t xml:space="preserve"> </w:t>
      </w:r>
      <w:r>
        <w:t>ouvrage</w:t>
      </w:r>
      <w:r w:rsidRPr="002C4077">
        <w:t xml:space="preserve"> </w:t>
      </w:r>
      <w:r>
        <w:t>étaient</w:t>
      </w:r>
      <w:r w:rsidRPr="002C4077">
        <w:t xml:space="preserve"> </w:t>
      </w:r>
      <w:r>
        <w:t>donc</w:t>
      </w:r>
      <w:r w:rsidRPr="002C4077">
        <w:t xml:space="preserve"> </w:t>
      </w:r>
      <w:r>
        <w:t>sans</w:t>
      </w:r>
      <w:r w:rsidRPr="002C4077">
        <w:t xml:space="preserve"> </w:t>
      </w:r>
      <w:r>
        <w:t>cesse</w:t>
      </w:r>
      <w:r w:rsidRPr="002C4077">
        <w:t xml:space="preserve"> </w:t>
      </w:r>
      <w:r>
        <w:t>obligés</w:t>
      </w:r>
      <w:r w:rsidRPr="002C4077">
        <w:t xml:space="preserve"> </w:t>
      </w:r>
      <w:r>
        <w:t>de</w:t>
      </w:r>
      <w:r w:rsidRPr="002C4077">
        <w:t xml:space="preserve"> </w:t>
      </w:r>
      <w:r>
        <w:t>feuilleter</w:t>
      </w:r>
      <w:r w:rsidRPr="002C4077">
        <w:t xml:space="preserve"> </w:t>
      </w:r>
      <w:r>
        <w:t>leur</w:t>
      </w:r>
      <w:r w:rsidRPr="002C4077">
        <w:t xml:space="preserve"> </w:t>
      </w:r>
      <w:r>
        <w:t>Bible</w:t>
      </w:r>
      <w:r w:rsidRPr="002C4077">
        <w:t xml:space="preserve"> </w:t>
      </w:r>
      <w:r>
        <w:t>pour</w:t>
      </w:r>
      <w:r w:rsidRPr="002C4077">
        <w:t xml:space="preserve"> </w:t>
      </w:r>
      <w:r>
        <w:t>trouver</w:t>
      </w:r>
      <w:r w:rsidRPr="002C4077">
        <w:t xml:space="preserve"> </w:t>
      </w:r>
      <w:r>
        <w:t>les</w:t>
      </w:r>
      <w:r w:rsidRPr="002C4077">
        <w:t xml:space="preserve"> </w:t>
      </w:r>
      <w:r>
        <w:t>passages</w:t>
      </w:r>
      <w:r w:rsidRPr="002C4077">
        <w:t xml:space="preserve"> </w:t>
      </w:r>
      <w:r>
        <w:t>dont</w:t>
      </w:r>
      <w:r w:rsidRPr="002C4077">
        <w:t xml:space="preserve"> </w:t>
      </w:r>
      <w:r>
        <w:t>ils</w:t>
      </w:r>
      <w:r w:rsidRPr="002C4077">
        <w:t xml:space="preserve"> </w:t>
      </w:r>
      <w:r>
        <w:t>avaient</w:t>
      </w:r>
      <w:r w:rsidRPr="002C4077">
        <w:t xml:space="preserve"> </w:t>
      </w:r>
      <w:r>
        <w:t>besoin.</w:t>
      </w:r>
      <w:r w:rsidRPr="002C4077">
        <w:t xml:space="preserve"> </w:t>
      </w:r>
      <w:r>
        <w:t>C’était</w:t>
      </w:r>
      <w:r w:rsidRPr="002C4077">
        <w:t xml:space="preserve"> </w:t>
      </w:r>
      <w:r>
        <w:t>un</w:t>
      </w:r>
      <w:r w:rsidRPr="002C4077">
        <w:t xml:space="preserve"> </w:t>
      </w:r>
      <w:r>
        <w:t>travail</w:t>
      </w:r>
      <w:r w:rsidRPr="002C4077">
        <w:t xml:space="preserve"> </w:t>
      </w:r>
      <w:r>
        <w:t>pénible,</w:t>
      </w:r>
      <w:r w:rsidRPr="002C4077">
        <w:t xml:space="preserve"> </w:t>
      </w:r>
      <w:r>
        <w:t>qui</w:t>
      </w:r>
      <w:r w:rsidRPr="002C4077">
        <w:t xml:space="preserve"> </w:t>
      </w:r>
      <w:r>
        <w:t>consumait</w:t>
      </w:r>
      <w:r w:rsidRPr="002C4077">
        <w:t xml:space="preserve"> </w:t>
      </w:r>
      <w:r>
        <w:t>du</w:t>
      </w:r>
      <w:r w:rsidRPr="002C4077">
        <w:t xml:space="preserve"> </w:t>
      </w:r>
      <w:r>
        <w:t>reste</w:t>
      </w:r>
      <w:r w:rsidRPr="002C4077">
        <w:t xml:space="preserve"> </w:t>
      </w:r>
      <w:r>
        <w:t>sans</w:t>
      </w:r>
      <w:r w:rsidRPr="002C4077">
        <w:t xml:space="preserve"> </w:t>
      </w:r>
      <w:r>
        <w:t>profit</w:t>
      </w:r>
      <w:r w:rsidRPr="002C4077">
        <w:t xml:space="preserve"> </w:t>
      </w:r>
      <w:r>
        <w:t>un</w:t>
      </w:r>
      <w:r w:rsidRPr="002C4077">
        <w:t xml:space="preserve"> </w:t>
      </w:r>
      <w:r>
        <w:t>temps</w:t>
      </w:r>
      <w:r w:rsidRPr="002C4077">
        <w:t xml:space="preserve"> </w:t>
      </w:r>
      <w:r>
        <w:t>précieux</w:t>
      </w:r>
      <w:r w:rsidRPr="002C4077">
        <w:t xml:space="preserve"> </w:t>
      </w:r>
      <w:r>
        <w:t>aux</w:t>
      </w:r>
      <w:r w:rsidRPr="002C4077">
        <w:t xml:space="preserve"> </w:t>
      </w:r>
      <w:r>
        <w:t>hommes</w:t>
      </w:r>
      <w:r w:rsidRPr="002C4077">
        <w:t xml:space="preserve"> </w:t>
      </w:r>
      <w:r>
        <w:t>d’étude.</w:t>
      </w:r>
      <w:r w:rsidRPr="002C4077">
        <w:t xml:space="preserve"> </w:t>
      </w:r>
      <w:r>
        <w:t>Cet</w:t>
      </w:r>
      <w:r w:rsidRPr="002C4077">
        <w:t xml:space="preserve"> </w:t>
      </w:r>
      <w:r>
        <w:t>inconvénient</w:t>
      </w:r>
      <w:r w:rsidRPr="002C4077">
        <w:t xml:space="preserve"> </w:t>
      </w:r>
      <w:r>
        <w:t>engagea</w:t>
      </w:r>
      <w:r w:rsidRPr="002C4077">
        <w:t xml:space="preserve"> </w:t>
      </w:r>
      <w:r>
        <w:t>d’autres</w:t>
      </w:r>
      <w:r w:rsidRPr="002C4077">
        <w:t xml:space="preserve"> </w:t>
      </w:r>
      <w:r>
        <w:t>Dominicains</w:t>
      </w:r>
      <w:r w:rsidRPr="002C4077">
        <w:t xml:space="preserve"> </w:t>
      </w:r>
      <w:r>
        <w:t>du</w:t>
      </w:r>
      <w:r w:rsidRPr="002C4077">
        <w:t xml:space="preserve"> </w:t>
      </w:r>
      <w:r>
        <w:t>même</w:t>
      </w:r>
      <w:r w:rsidRPr="002C4077">
        <w:t xml:space="preserve"> </w:t>
      </w:r>
      <w:r>
        <w:t>monastère</w:t>
      </w:r>
      <w:r w:rsidRPr="002C4077">
        <w:t xml:space="preserve"> </w:t>
      </w:r>
      <w:r>
        <w:t>à</w:t>
      </w:r>
      <w:r w:rsidRPr="002C4077">
        <w:t xml:space="preserve"> </w:t>
      </w:r>
      <w:r>
        <w:t>joindre</w:t>
      </w:r>
      <w:r w:rsidRPr="002C4077">
        <w:t xml:space="preserve"> </w:t>
      </w:r>
      <w:r>
        <w:t>aux</w:t>
      </w:r>
      <w:r w:rsidRPr="002C4077">
        <w:t xml:space="preserve"> </w:t>
      </w:r>
      <w:r>
        <w:t>indications</w:t>
      </w:r>
      <w:r w:rsidRPr="002C4077">
        <w:t xml:space="preserve"> </w:t>
      </w:r>
      <w:r>
        <w:t>une</w:t>
      </w:r>
      <w:r w:rsidRPr="002C4077">
        <w:t xml:space="preserve"> </w:t>
      </w:r>
      <w:r>
        <w:t>ou</w:t>
      </w:r>
      <w:r w:rsidRPr="002C4077">
        <w:t xml:space="preserve"> </w:t>
      </w:r>
      <w:r>
        <w:t>deux</w:t>
      </w:r>
      <w:r w:rsidRPr="002C4077">
        <w:t xml:space="preserve"> </w:t>
      </w:r>
      <w:r>
        <w:t>lignes</w:t>
      </w:r>
      <w:r w:rsidRPr="002C4077">
        <w:t xml:space="preserve"> </w:t>
      </w:r>
      <w:r>
        <w:t>du</w:t>
      </w:r>
      <w:r w:rsidRPr="002C4077">
        <w:t xml:space="preserve"> </w:t>
      </w:r>
      <w:r>
        <w:t>texte,</w:t>
      </w:r>
      <w:r w:rsidRPr="002C4077">
        <w:t xml:space="preserve"> </w:t>
      </w:r>
      <w:r>
        <w:t>afin</w:t>
      </w:r>
      <w:r w:rsidRPr="002C4077">
        <w:t xml:space="preserve"> </w:t>
      </w:r>
      <w:r>
        <w:t>d’abréger</w:t>
      </w:r>
      <w:r w:rsidRPr="002C4077">
        <w:t xml:space="preserve"> </w:t>
      </w:r>
      <w:r>
        <w:t>ainsi</w:t>
      </w:r>
      <w:r w:rsidRPr="002C4077">
        <w:t xml:space="preserve"> </w:t>
      </w:r>
      <w:r>
        <w:t>les</w:t>
      </w:r>
      <w:r w:rsidRPr="002C4077">
        <w:t xml:space="preserve"> </w:t>
      </w:r>
      <w:r>
        <w:t>recherches.</w:t>
      </w:r>
      <w:r w:rsidRPr="002C4077">
        <w:t xml:space="preserve"> </w:t>
      </w:r>
      <w:r>
        <w:t>Comme</w:t>
      </w:r>
      <w:r w:rsidRPr="002C4077">
        <w:t xml:space="preserve"> </w:t>
      </w:r>
      <w:r>
        <w:t>ce</w:t>
      </w:r>
      <w:r w:rsidRPr="002C4077">
        <w:t xml:space="preserve"> </w:t>
      </w:r>
      <w:r>
        <w:t>remaniement</w:t>
      </w:r>
      <w:r w:rsidRPr="002C4077">
        <w:t xml:space="preserve"> </w:t>
      </w:r>
      <w:r>
        <w:t>de</w:t>
      </w:r>
      <w:r w:rsidRPr="002C4077">
        <w:t xml:space="preserve"> </w:t>
      </w:r>
      <w:r>
        <w:t>l’ouvrage</w:t>
      </w:r>
      <w:r w:rsidRPr="002C4077">
        <w:t xml:space="preserve"> </w:t>
      </w:r>
      <w:r>
        <w:t>du</w:t>
      </w:r>
      <w:r w:rsidRPr="002C4077">
        <w:t xml:space="preserve"> </w:t>
      </w:r>
      <w:r>
        <w:t>cardinal</w:t>
      </w:r>
      <w:r w:rsidRPr="002C4077">
        <w:t xml:space="preserve"> </w:t>
      </w:r>
      <w:r>
        <w:t>Hugues</w:t>
      </w:r>
      <w:r w:rsidRPr="002C4077">
        <w:t xml:space="preserve"> </w:t>
      </w:r>
      <w:r>
        <w:t>eut</w:t>
      </w:r>
      <w:r w:rsidRPr="002C4077">
        <w:t xml:space="preserve"> </w:t>
      </w:r>
      <w:r>
        <w:t>surtout</w:t>
      </w:r>
      <w:r w:rsidRPr="002C4077">
        <w:t xml:space="preserve"> </w:t>
      </w:r>
      <w:r>
        <w:t>des</w:t>
      </w:r>
      <w:r w:rsidRPr="002C4077">
        <w:t xml:space="preserve"> </w:t>
      </w:r>
      <w:r>
        <w:t>Anglais</w:t>
      </w:r>
      <w:r w:rsidRPr="002C4077">
        <w:t xml:space="preserve"> </w:t>
      </w:r>
      <w:r>
        <w:t>pour</w:t>
      </w:r>
      <w:r w:rsidRPr="002C4077">
        <w:t xml:space="preserve"> </w:t>
      </w:r>
      <w:r>
        <w:t>auteurs,</w:t>
      </w:r>
      <w:r w:rsidRPr="002C4077">
        <w:t xml:space="preserve"> </w:t>
      </w:r>
      <w:r>
        <w:t>—</w:t>
      </w:r>
      <w:r w:rsidRPr="002C4077">
        <w:t xml:space="preserve"> </w:t>
      </w:r>
      <w:r>
        <w:t>entre</w:t>
      </w:r>
      <w:r w:rsidRPr="002C4077">
        <w:t xml:space="preserve"> </w:t>
      </w:r>
      <w:r>
        <w:t>autres</w:t>
      </w:r>
      <w:r w:rsidRPr="002C4077">
        <w:t xml:space="preserve"> </w:t>
      </w:r>
      <w:r>
        <w:t>Jean</w:t>
      </w:r>
      <w:r w:rsidRPr="002C4077">
        <w:t xml:space="preserve"> </w:t>
      </w:r>
      <w:r>
        <w:t>de</w:t>
      </w:r>
      <w:r w:rsidRPr="002C4077">
        <w:t xml:space="preserve"> </w:t>
      </w:r>
      <w:r>
        <w:t>Derlin</w:t>
      </w:r>
      <w:r w:rsidR="001730C6">
        <w:t>gt</w:t>
      </w:r>
      <w:r>
        <w:t>on</w:t>
      </w:r>
      <w:r w:rsidR="00B91AF7">
        <w:rPr>
          <w:rStyle w:val="Appelnotedebasdep"/>
        </w:rPr>
        <w:footnoteReference w:id="974"/>
      </w:r>
      <w:r>
        <w:t>,</w:t>
      </w:r>
      <w:r w:rsidRPr="002C4077">
        <w:t xml:space="preserve"> </w:t>
      </w:r>
      <w:r>
        <w:t>Richard</w:t>
      </w:r>
      <w:r w:rsidRPr="002C4077">
        <w:t xml:space="preserve"> </w:t>
      </w:r>
      <w:r>
        <w:t>de</w:t>
      </w:r>
      <w:r w:rsidRPr="002C4077">
        <w:t xml:space="preserve"> </w:t>
      </w:r>
      <w:r>
        <w:t>Stavensby</w:t>
      </w:r>
      <w:r w:rsidR="003B5C82">
        <w:rPr>
          <w:rStyle w:val="Appelnotedebasdep"/>
        </w:rPr>
        <w:footnoteReference w:id="975"/>
      </w:r>
      <w:r>
        <w:t>,</w:t>
      </w:r>
      <w:r w:rsidRPr="002C4077">
        <w:t xml:space="preserve"> </w:t>
      </w:r>
      <w:r>
        <w:t>et</w:t>
      </w:r>
      <w:r w:rsidRPr="002C4077">
        <w:t xml:space="preserve"> </w:t>
      </w:r>
      <w:r>
        <w:t>Hugues</w:t>
      </w:r>
      <w:r w:rsidRPr="002C4077">
        <w:t xml:space="preserve"> </w:t>
      </w:r>
      <w:r>
        <w:t>de</w:t>
      </w:r>
      <w:r w:rsidRPr="002C4077">
        <w:t xml:space="preserve"> </w:t>
      </w:r>
      <w:r>
        <w:t>Croyndon,</w:t>
      </w:r>
      <w:r w:rsidRPr="002C4077">
        <w:t xml:space="preserve"> </w:t>
      </w:r>
      <w:r>
        <w:t>—</w:t>
      </w:r>
      <w:r w:rsidRPr="002C4077">
        <w:t xml:space="preserve"> </w:t>
      </w:r>
      <w:r>
        <w:t>on</w:t>
      </w:r>
      <w:r w:rsidRPr="002C4077">
        <w:t xml:space="preserve"> </w:t>
      </w:r>
      <w:r>
        <w:t>appela</w:t>
      </w:r>
      <w:r w:rsidRPr="002C4077">
        <w:t xml:space="preserve"> </w:t>
      </w:r>
      <w:r>
        <w:t>cette</w:t>
      </w:r>
      <w:r w:rsidRPr="002C4077">
        <w:t xml:space="preserve"> </w:t>
      </w:r>
      <w:r>
        <w:t>nouvelle</w:t>
      </w:r>
      <w:r w:rsidRPr="002C4077">
        <w:t xml:space="preserve"> </w:t>
      </w:r>
      <w:r>
        <w:t>Concordance</w:t>
      </w:r>
      <w:r w:rsidR="003B5C82" w:rsidRPr="002C4077">
        <w:t xml:space="preserve"> </w:t>
      </w:r>
      <w:r w:rsidR="00F9234A">
        <w:rPr>
          <w:rStyle w:val="italicus"/>
        </w:rPr>
        <w:t>Concordántiæ</w:t>
      </w:r>
      <w:r w:rsidR="003B5C82" w:rsidRPr="002C4077">
        <w:t xml:space="preserve"> </w:t>
      </w:r>
      <w:r w:rsidR="003B5C82">
        <w:rPr>
          <w:rStyle w:val="italicus"/>
        </w:rPr>
        <w:t>anglic</w:t>
      </w:r>
      <w:r w:rsidR="00F9234A">
        <w:rPr>
          <w:rStyle w:val="italicus"/>
        </w:rPr>
        <w:t>á</w:t>
      </w:r>
      <w:r w:rsidR="003B5C82">
        <w:rPr>
          <w:rStyle w:val="italicus"/>
        </w:rPr>
        <w:t>næ</w:t>
      </w:r>
      <w:r w:rsidRPr="000A34B5">
        <w:rPr>
          <w:rStyle w:val="italicus"/>
        </w:rPr>
        <w:t>.</w:t>
      </w:r>
      <w:r w:rsidRPr="002C4077">
        <w:t xml:space="preserve"> </w:t>
      </w:r>
      <w:r>
        <w:t>Leur</w:t>
      </w:r>
      <w:r w:rsidRPr="002C4077">
        <w:t xml:space="preserve"> </w:t>
      </w:r>
      <w:r>
        <w:t>étendue</w:t>
      </w:r>
      <w:r w:rsidRPr="002C4077">
        <w:t xml:space="preserve"> </w:t>
      </w:r>
      <w:r>
        <w:t>leur</w:t>
      </w:r>
      <w:r w:rsidRPr="002C4077">
        <w:t xml:space="preserve"> </w:t>
      </w:r>
      <w:r>
        <w:t>valut</w:t>
      </w:r>
      <w:r w:rsidRPr="002C4077">
        <w:t xml:space="preserve"> </w:t>
      </w:r>
      <w:r>
        <w:t>aussi</w:t>
      </w:r>
      <w:r w:rsidRPr="002C4077">
        <w:t xml:space="preserve"> </w:t>
      </w:r>
      <w:r>
        <w:t>l’épithète</w:t>
      </w:r>
      <w:r w:rsidRPr="002C4077">
        <w:t xml:space="preserve"> </w:t>
      </w:r>
      <w:r>
        <w:t>de</w:t>
      </w:r>
      <w:r w:rsidRPr="002C4077">
        <w:t xml:space="preserve"> </w:t>
      </w:r>
      <w:r w:rsidR="003B5C82" w:rsidRPr="000A34B5">
        <w:rPr>
          <w:rStyle w:val="italicus"/>
        </w:rPr>
        <w:t>máximæ</w:t>
      </w:r>
      <w:bookmarkStart w:id="807" w:name="z_Concordances_o5"/>
      <w:bookmarkEnd w:id="807"/>
      <w:r w:rsidRPr="000A34B5">
        <w:rPr>
          <w:rStyle w:val="italicus"/>
        </w:rPr>
        <w:t>.</w:t>
      </w:r>
      <w:r w:rsidR="00C45B47">
        <w:t xml:space="preserve"> {</w:t>
      </w:r>
      <w:r w:rsidR="005E2129">
        <w:t>332</w:t>
      </w:r>
      <w:bookmarkStart w:id="808" w:name="p332"/>
      <w:bookmarkEnd w:id="808"/>
      <w:r w:rsidR="005E2129">
        <w:t xml:space="preserve">} </w:t>
      </w:r>
    </w:p>
    <w:p w:rsidR="000A7AAB" w:rsidRDefault="000A7AAB" w:rsidP="000A7AAB">
      <w:r>
        <w:t>Exemple</w:t>
      </w:r>
      <w:r w:rsidR="00B546AF">
        <w:t> :</w:t>
      </w:r>
      <w:r w:rsidRPr="002C4077">
        <w:t xml:space="preserve"> </w:t>
      </w:r>
    </w:p>
    <w:p w:rsidR="000A7AAB" w:rsidRPr="003B5C82" w:rsidRDefault="000A7AAB" w:rsidP="003B5C82">
      <w:pPr>
        <w:pStyle w:val="LcCentrum"/>
        <w:rPr>
          <w:rStyle w:val="pm"/>
        </w:rPr>
      </w:pPr>
      <w:r w:rsidRPr="003B5C82">
        <w:rPr>
          <w:rStyle w:val="pm"/>
        </w:rPr>
        <w:t>Aaa.</w:t>
      </w:r>
      <w:r w:rsidRPr="002C4077">
        <w:t xml:space="preserve"> </w:t>
      </w:r>
    </w:p>
    <w:p w:rsidR="000A7AAB" w:rsidRDefault="007B3C26" w:rsidP="002F0462">
      <w:pPr>
        <w:pStyle w:val="ConcSy"/>
      </w:pPr>
      <w:r>
        <w:t>Ier</w:t>
      </w:r>
      <w:r w:rsidR="003B5C82">
        <w:t>em.</w:t>
      </w:r>
      <w:r w:rsidR="003B5C82" w:rsidRPr="002C4077">
        <w:t xml:space="preserve"> </w:t>
      </w:r>
      <w:r w:rsidR="003B5C82">
        <w:t>I</w:t>
      </w:r>
      <w:r w:rsidR="000A7AAB">
        <w:t>.</w:t>
      </w:r>
      <w:r w:rsidR="000A7AAB" w:rsidRPr="002C4077">
        <w:t xml:space="preserve"> </w:t>
      </w:r>
      <w:r w:rsidR="000A7AAB" w:rsidRPr="000A34B5">
        <w:rPr>
          <w:rStyle w:val="italicus"/>
        </w:rPr>
        <w:t>b.</w:t>
      </w:r>
      <w:r w:rsidR="000A7AAB" w:rsidRPr="002C4077">
        <w:t xml:space="preserve"> </w:t>
      </w:r>
      <w:r w:rsidR="000A7AAB">
        <w:t>Aaa,</w:t>
      </w:r>
      <w:r w:rsidR="000A7AAB" w:rsidRPr="002C4077">
        <w:t xml:space="preserve"> </w:t>
      </w:r>
      <w:r w:rsidR="006A7417">
        <w:t>Dómine</w:t>
      </w:r>
      <w:r w:rsidR="000A7AAB" w:rsidRPr="002C4077">
        <w:t xml:space="preserve"> </w:t>
      </w:r>
      <w:r w:rsidR="000A7AAB">
        <w:t>Deus,</w:t>
      </w:r>
      <w:r w:rsidR="000A7AAB" w:rsidRPr="002C4077">
        <w:t xml:space="preserve"> </w:t>
      </w:r>
      <w:r w:rsidR="000A7AAB">
        <w:t>ecce</w:t>
      </w:r>
      <w:r w:rsidR="000A7AAB" w:rsidRPr="002C4077">
        <w:t xml:space="preserve"> </w:t>
      </w:r>
      <w:r w:rsidR="000A7AAB">
        <w:t>n</w:t>
      </w:r>
      <w:r w:rsidR="003B53FD">
        <w:t>éscio</w:t>
      </w:r>
      <w:r w:rsidR="000A7AAB" w:rsidRPr="002C4077">
        <w:t xml:space="preserve"> </w:t>
      </w:r>
      <w:r w:rsidR="000A7AAB">
        <w:t>loqui,</w:t>
      </w:r>
      <w:r w:rsidR="000A7AAB" w:rsidRPr="002C4077">
        <w:t xml:space="preserve"> </w:t>
      </w:r>
      <w:r w:rsidR="000A7AAB">
        <w:t>quia</w:t>
      </w:r>
      <w:r w:rsidR="000A7AAB" w:rsidRPr="002C4077">
        <w:t xml:space="preserve"> </w:t>
      </w:r>
      <w:r w:rsidR="000A7AAB">
        <w:t>puer</w:t>
      </w:r>
      <w:r w:rsidR="000A7AAB" w:rsidRPr="002C4077">
        <w:t xml:space="preserve"> </w:t>
      </w:r>
      <w:r w:rsidR="000A7AAB">
        <w:t>ego</w:t>
      </w:r>
      <w:r w:rsidR="000A7AAB" w:rsidRPr="002C4077">
        <w:t xml:space="preserve"> </w:t>
      </w:r>
      <w:r w:rsidR="000A7AAB">
        <w:t>sum.</w:t>
      </w:r>
      <w:r w:rsidR="000A7AAB" w:rsidRPr="002C4077">
        <w:t xml:space="preserve"> </w:t>
      </w:r>
    </w:p>
    <w:p w:rsidR="003B5C82" w:rsidRDefault="002F0462" w:rsidP="002F0462">
      <w:pPr>
        <w:pStyle w:val="ConcSy"/>
      </w:pPr>
      <w:r>
        <w:tab/>
      </w:r>
      <w:r w:rsidR="000A7AAB">
        <w:t>XIV.</w:t>
      </w:r>
      <w:r w:rsidR="000A7AAB" w:rsidRPr="002C4077">
        <w:t xml:space="preserve"> </w:t>
      </w:r>
      <w:r w:rsidR="000A7AAB" w:rsidRPr="000A34B5">
        <w:rPr>
          <w:rStyle w:val="italicus"/>
        </w:rPr>
        <w:t>d.</w:t>
      </w:r>
      <w:r w:rsidR="000A7AAB" w:rsidRPr="002C4077">
        <w:t xml:space="preserve"> </w:t>
      </w:r>
      <w:r w:rsidR="000A7AAB">
        <w:t>Aaa,</w:t>
      </w:r>
      <w:r w:rsidR="000A7AAB" w:rsidRPr="002C4077">
        <w:t xml:space="preserve"> </w:t>
      </w:r>
      <w:r w:rsidR="006A7417">
        <w:t>Dómine</w:t>
      </w:r>
      <w:r w:rsidR="000A7AAB" w:rsidRPr="002C4077">
        <w:t xml:space="preserve"> </w:t>
      </w:r>
      <w:r w:rsidR="000A7AAB">
        <w:t>Deus,</w:t>
      </w:r>
      <w:r w:rsidR="000A7AAB" w:rsidRPr="002C4077">
        <w:t xml:space="preserve"> </w:t>
      </w:r>
      <w:r w:rsidR="000A7AAB">
        <w:t>pr</w:t>
      </w:r>
      <w:r w:rsidR="003B53FD">
        <w:t>ophétæ</w:t>
      </w:r>
      <w:r w:rsidR="000A7AAB" w:rsidRPr="002C4077">
        <w:t xml:space="preserve"> </w:t>
      </w:r>
      <w:r w:rsidR="000A7AAB">
        <w:t>dicunt</w:t>
      </w:r>
      <w:r w:rsidR="000A7AAB" w:rsidRPr="002C4077">
        <w:t xml:space="preserve"> </w:t>
      </w:r>
      <w:r w:rsidR="000A7AAB">
        <w:t>eis</w:t>
      </w:r>
      <w:r w:rsidR="00B546AF">
        <w:t> :</w:t>
      </w:r>
      <w:r w:rsidR="000A7AAB" w:rsidRPr="002C4077">
        <w:t xml:space="preserve"> </w:t>
      </w:r>
      <w:r w:rsidR="000A7AAB">
        <w:t>Non</w:t>
      </w:r>
      <w:r w:rsidR="000A7AAB" w:rsidRPr="002C4077">
        <w:t xml:space="preserve"> </w:t>
      </w:r>
      <w:r w:rsidR="003B5C82">
        <w:t>vidébitis</w:t>
      </w:r>
      <w:r w:rsidR="000A7AAB" w:rsidRPr="002C4077">
        <w:t xml:space="preserve"> </w:t>
      </w:r>
      <w:r w:rsidR="000A7AAB">
        <w:t>gl</w:t>
      </w:r>
      <w:r w:rsidR="003B53FD">
        <w:t>ádium</w:t>
      </w:r>
      <w:r w:rsidR="003B5C82">
        <w:t>,</w:t>
      </w:r>
      <w:r w:rsidR="003B5C82" w:rsidRPr="002C4077">
        <w:t xml:space="preserve"> </w:t>
      </w:r>
      <w:r w:rsidR="003B5C82">
        <w:t>et</w:t>
      </w:r>
      <w:r w:rsidR="003B5C82" w:rsidRPr="002C4077">
        <w:t xml:space="preserve"> </w:t>
      </w:r>
      <w:r w:rsidR="003B5C82">
        <w:t>fame</w:t>
      </w:r>
      <w:r w:rsidR="000A7AAB">
        <w:t>s</w:t>
      </w:r>
      <w:r w:rsidR="000A7AAB" w:rsidRPr="002C4077">
        <w:t xml:space="preserve"> </w:t>
      </w:r>
      <w:r w:rsidR="000A7AAB">
        <w:t>in</w:t>
      </w:r>
      <w:r w:rsidR="000A7AAB" w:rsidRPr="002C4077">
        <w:t xml:space="preserve"> </w:t>
      </w:r>
      <w:r w:rsidR="000A7AAB">
        <w:t>vobis</w:t>
      </w:r>
      <w:r w:rsidR="000A7AAB" w:rsidRPr="002C4077">
        <w:t xml:space="preserve"> </w:t>
      </w:r>
      <w:r w:rsidR="000A7AAB">
        <w:t>non</w:t>
      </w:r>
      <w:r w:rsidR="000A7AAB" w:rsidRPr="002C4077">
        <w:t xml:space="preserve"> </w:t>
      </w:r>
      <w:r w:rsidR="000A7AAB">
        <w:t>erit.</w:t>
      </w:r>
      <w:r w:rsidR="000A7AAB" w:rsidRPr="002C4077">
        <w:t xml:space="preserve"> </w:t>
      </w:r>
    </w:p>
    <w:p w:rsidR="003B5C82" w:rsidRDefault="000A7AAB" w:rsidP="002F0462">
      <w:pPr>
        <w:pStyle w:val="ConcSy"/>
      </w:pPr>
      <w:r>
        <w:t>Ezech.</w:t>
      </w:r>
      <w:r w:rsidRPr="002C4077">
        <w:t xml:space="preserve"> </w:t>
      </w:r>
      <w:r>
        <w:t>IV.</w:t>
      </w:r>
      <w:r w:rsidRPr="002C4077">
        <w:t xml:space="preserve"> </w:t>
      </w:r>
      <w:r w:rsidRPr="000A34B5">
        <w:rPr>
          <w:rStyle w:val="italicus"/>
        </w:rPr>
        <w:t>f.</w:t>
      </w:r>
      <w:r w:rsidRPr="002C4077">
        <w:t xml:space="preserve"> </w:t>
      </w:r>
      <w:r>
        <w:t>Aaa,</w:t>
      </w:r>
      <w:r w:rsidRPr="002C4077">
        <w:t xml:space="preserve"> </w:t>
      </w:r>
      <w:r w:rsidR="006A7417">
        <w:t>Dómine</w:t>
      </w:r>
      <w:r w:rsidRPr="002C4077">
        <w:t xml:space="preserve"> </w:t>
      </w:r>
      <w:r>
        <w:t>Deus</w:t>
      </w:r>
      <w:r w:rsidR="00B546AF">
        <w:t> :</w:t>
      </w:r>
      <w:r w:rsidRPr="002C4077">
        <w:t xml:space="preserve"> </w:t>
      </w:r>
      <w:r>
        <w:t>anima</w:t>
      </w:r>
      <w:r w:rsidRPr="002C4077">
        <w:t xml:space="preserve"> </w:t>
      </w:r>
      <w:r>
        <w:t>mea</w:t>
      </w:r>
      <w:r w:rsidRPr="002C4077">
        <w:t xml:space="preserve"> </w:t>
      </w:r>
      <w:r>
        <w:t>non</w:t>
      </w:r>
      <w:r w:rsidRPr="002C4077">
        <w:t xml:space="preserve"> </w:t>
      </w:r>
      <w:r w:rsidR="00425C50">
        <w:t>est</w:t>
      </w:r>
      <w:r>
        <w:t>.</w:t>
      </w:r>
      <w:r w:rsidRPr="002C4077">
        <w:t xml:space="preserve"> </w:t>
      </w:r>
    </w:p>
    <w:p w:rsidR="000A7AAB" w:rsidRDefault="002F0462" w:rsidP="002F0462">
      <w:pPr>
        <w:pStyle w:val="ConcSy"/>
      </w:pPr>
      <w:r>
        <w:t>Iohel.</w:t>
      </w:r>
      <w:r w:rsidRPr="002C4077">
        <w:t xml:space="preserve"> </w:t>
      </w:r>
      <w:r>
        <w:t>I</w:t>
      </w:r>
      <w:r w:rsidR="000A7AAB">
        <w:t>.</w:t>
      </w:r>
      <w:r w:rsidR="000A7AAB" w:rsidRPr="002C4077">
        <w:t xml:space="preserve"> </w:t>
      </w:r>
      <w:r w:rsidR="000A7AAB" w:rsidRPr="000A34B5">
        <w:rPr>
          <w:rStyle w:val="italicus"/>
        </w:rPr>
        <w:t>f.</w:t>
      </w:r>
      <w:r w:rsidR="000A7AAB" w:rsidRPr="002C4077">
        <w:t xml:space="preserve"> </w:t>
      </w:r>
      <w:r w:rsidR="000A7AAB">
        <w:t>Aaa,</w:t>
      </w:r>
      <w:r w:rsidR="000A7AAB" w:rsidRPr="002C4077">
        <w:t xml:space="preserve"> </w:t>
      </w:r>
      <w:r w:rsidR="000A7AAB">
        <w:t>d</w:t>
      </w:r>
      <w:r w:rsidR="003B53FD">
        <w:t>iéi</w:t>
      </w:r>
      <w:r w:rsidR="00B546AF">
        <w:t> :</w:t>
      </w:r>
      <w:r w:rsidR="000A7AAB" w:rsidRPr="002C4077">
        <w:t xml:space="preserve"> </w:t>
      </w:r>
      <w:r w:rsidR="000A7AAB">
        <w:t>quia</w:t>
      </w:r>
      <w:r w:rsidR="003B5C82" w:rsidRPr="002C4077">
        <w:t xml:space="preserve"> </w:t>
      </w:r>
      <w:r w:rsidR="000A7AAB">
        <w:t>prope</w:t>
      </w:r>
      <w:r w:rsidR="000A7AAB" w:rsidRPr="002C4077">
        <w:t xml:space="preserve"> </w:t>
      </w:r>
      <w:r w:rsidR="00425C50">
        <w:t>est</w:t>
      </w:r>
      <w:r w:rsidR="000A7AAB" w:rsidRPr="002C4077">
        <w:t xml:space="preserve"> </w:t>
      </w:r>
      <w:r w:rsidR="000A7AAB">
        <w:t>dies</w:t>
      </w:r>
      <w:r w:rsidR="000A7AAB" w:rsidRPr="002C4077">
        <w:t xml:space="preserve"> </w:t>
      </w:r>
      <w:r w:rsidR="000A7AAB">
        <w:t>D</w:t>
      </w:r>
      <w:r w:rsidR="003B53FD">
        <w:t>ómini</w:t>
      </w:r>
      <w:r w:rsidR="000A7AAB">
        <w:t>.</w:t>
      </w:r>
      <w:r w:rsidR="000A7AAB" w:rsidRPr="002C4077">
        <w:t xml:space="preserve"> </w:t>
      </w:r>
    </w:p>
    <w:p w:rsidR="000A7AAB" w:rsidRDefault="000A7AAB" w:rsidP="000A7AAB">
      <w:r>
        <w:t>Plus</w:t>
      </w:r>
      <w:r w:rsidRPr="002C4077">
        <w:t xml:space="preserve"> </w:t>
      </w:r>
      <w:r>
        <w:t>tard,</w:t>
      </w:r>
      <w:r w:rsidRPr="002C4077">
        <w:t xml:space="preserve"> </w:t>
      </w:r>
      <w:r>
        <w:t>vers</w:t>
      </w:r>
      <w:r w:rsidRPr="002C4077">
        <w:t xml:space="preserve"> </w:t>
      </w:r>
      <w:r>
        <w:t>la</w:t>
      </w:r>
      <w:r w:rsidRPr="002C4077">
        <w:t xml:space="preserve"> </w:t>
      </w:r>
      <w:r>
        <w:t>fin</w:t>
      </w:r>
      <w:r w:rsidRPr="002C4077">
        <w:t xml:space="preserve"> </w:t>
      </w:r>
      <w:r>
        <w:t>du</w:t>
      </w:r>
      <w:r w:rsidRPr="002C4077">
        <w:t xml:space="preserve"> </w:t>
      </w:r>
      <w:r>
        <w:t>XI</w:t>
      </w:r>
      <w:r w:rsidR="007B3C26">
        <w:t>II</w:t>
      </w:r>
      <w:r w:rsidR="007B3C26" w:rsidRPr="007B3C26">
        <w:rPr>
          <w:vertAlign w:val="superscript"/>
        </w:rPr>
        <w:t>e</w:t>
      </w:r>
      <w:r w:rsidRPr="002C4077">
        <w:t xml:space="preserve"> </w:t>
      </w:r>
      <w:r>
        <w:t>siècle,</w:t>
      </w:r>
      <w:r w:rsidRPr="002C4077">
        <w:t xml:space="preserve"> </w:t>
      </w:r>
      <w:r>
        <w:t>cette</w:t>
      </w:r>
      <w:r w:rsidRPr="002C4077">
        <w:t xml:space="preserve"> </w:t>
      </w:r>
      <w:r>
        <w:t>seconde</w:t>
      </w:r>
      <w:r w:rsidRPr="002C4077">
        <w:t xml:space="preserve"> </w:t>
      </w:r>
      <w:r>
        <w:t>forme</w:t>
      </w:r>
      <w:r w:rsidRPr="002C4077">
        <w:t xml:space="preserve"> </w:t>
      </w:r>
      <w:r>
        <w:t>de</w:t>
      </w:r>
      <w:r w:rsidRPr="002C4077">
        <w:t xml:space="preserve"> </w:t>
      </w:r>
      <w:r>
        <w:t>Concordance</w:t>
      </w:r>
      <w:r w:rsidRPr="002C4077">
        <w:t xml:space="preserve"> </w:t>
      </w:r>
      <w:r>
        <w:t>fut</w:t>
      </w:r>
      <w:r w:rsidRPr="002C4077">
        <w:t xml:space="preserve"> </w:t>
      </w:r>
      <w:r>
        <w:t>à</w:t>
      </w:r>
      <w:r w:rsidRPr="002C4077">
        <w:t xml:space="preserve"> </w:t>
      </w:r>
      <w:r>
        <w:t>son</w:t>
      </w:r>
      <w:r w:rsidRPr="002C4077">
        <w:t xml:space="preserve"> </w:t>
      </w:r>
      <w:r>
        <w:t>tour</w:t>
      </w:r>
      <w:r w:rsidRPr="002C4077">
        <w:t xml:space="preserve"> </w:t>
      </w:r>
      <w:r>
        <w:t>modifiée.</w:t>
      </w:r>
      <w:r w:rsidRPr="002C4077">
        <w:t xml:space="preserve"> </w:t>
      </w:r>
    </w:p>
    <w:p w:rsidR="000A7AAB" w:rsidRDefault="000A7AAB" w:rsidP="000A7AAB">
      <w:r>
        <w:t>On</w:t>
      </w:r>
      <w:r w:rsidRPr="002C4077">
        <w:t xml:space="preserve"> </w:t>
      </w:r>
      <w:r>
        <w:t>avait</w:t>
      </w:r>
      <w:r w:rsidRPr="002C4077">
        <w:t xml:space="preserve"> </w:t>
      </w:r>
      <w:r>
        <w:t>reproché</w:t>
      </w:r>
      <w:r w:rsidRPr="002C4077">
        <w:t xml:space="preserve"> </w:t>
      </w:r>
      <w:r>
        <w:t>à</w:t>
      </w:r>
      <w:r w:rsidRPr="002C4077">
        <w:t xml:space="preserve"> </w:t>
      </w:r>
      <w:r>
        <w:t>son</w:t>
      </w:r>
      <w:r w:rsidRPr="002C4077">
        <w:t xml:space="preserve"> </w:t>
      </w:r>
      <w:r>
        <w:t>aînée</w:t>
      </w:r>
      <w:r w:rsidRPr="002C4077">
        <w:t xml:space="preserve"> </w:t>
      </w:r>
      <w:r>
        <w:t>d’être</w:t>
      </w:r>
      <w:r w:rsidRPr="002C4077">
        <w:t xml:space="preserve"> </w:t>
      </w:r>
      <w:r>
        <w:t>trop</w:t>
      </w:r>
      <w:r w:rsidRPr="002C4077">
        <w:t xml:space="preserve"> </w:t>
      </w:r>
      <w:r>
        <w:t>brève</w:t>
      </w:r>
      <w:r w:rsidRPr="002C4077">
        <w:t xml:space="preserve"> </w:t>
      </w:r>
      <w:r>
        <w:t>et</w:t>
      </w:r>
      <w:r w:rsidRPr="002C4077">
        <w:t xml:space="preserve"> </w:t>
      </w:r>
      <w:r>
        <w:t>trop</w:t>
      </w:r>
      <w:r w:rsidRPr="002C4077">
        <w:t xml:space="preserve"> </w:t>
      </w:r>
      <w:r>
        <w:t>concise</w:t>
      </w:r>
      <w:r w:rsidR="00B546AF">
        <w:t> ;</w:t>
      </w:r>
      <w:r w:rsidRPr="002C4077">
        <w:t xml:space="preserve"> </w:t>
      </w:r>
      <w:r>
        <w:t>on</w:t>
      </w:r>
      <w:r w:rsidRPr="002C4077">
        <w:t xml:space="preserve"> </w:t>
      </w:r>
      <w:r>
        <w:t>l’accusa,</w:t>
      </w:r>
      <w:r w:rsidRPr="002C4077">
        <w:t xml:space="preserve"> </w:t>
      </w:r>
      <w:r>
        <w:t>elle,</w:t>
      </w:r>
      <w:r w:rsidRPr="002C4077">
        <w:t xml:space="preserve"> </w:t>
      </w:r>
      <w:r>
        <w:t>non</w:t>
      </w:r>
      <w:r w:rsidRPr="002C4077">
        <w:t xml:space="preserve"> </w:t>
      </w:r>
      <w:r>
        <w:t>sans</w:t>
      </w:r>
      <w:r w:rsidRPr="002C4077">
        <w:t xml:space="preserve"> </w:t>
      </w:r>
      <w:r>
        <w:t>quelque</w:t>
      </w:r>
      <w:r w:rsidRPr="002C4077">
        <w:t xml:space="preserve"> </w:t>
      </w:r>
      <w:r>
        <w:t>raison,</w:t>
      </w:r>
      <w:r w:rsidRPr="002C4077">
        <w:t xml:space="preserve"> </w:t>
      </w:r>
      <w:r>
        <w:t>d’être</w:t>
      </w:r>
      <w:r w:rsidRPr="002C4077">
        <w:t xml:space="preserve"> </w:t>
      </w:r>
      <w:r>
        <w:t>par</w:t>
      </w:r>
      <w:r w:rsidRPr="002C4077">
        <w:t xml:space="preserve"> </w:t>
      </w:r>
      <w:r>
        <w:t>trop</w:t>
      </w:r>
      <w:r w:rsidRPr="002C4077">
        <w:t xml:space="preserve"> </w:t>
      </w:r>
      <w:r>
        <w:t>prolixe.</w:t>
      </w:r>
      <w:r w:rsidRPr="002C4077">
        <w:t xml:space="preserve"> </w:t>
      </w:r>
      <w:r>
        <w:t>On</w:t>
      </w:r>
      <w:r w:rsidRPr="002C4077">
        <w:t xml:space="preserve"> </w:t>
      </w:r>
      <w:r>
        <w:t>réduisit</w:t>
      </w:r>
      <w:r w:rsidRPr="002C4077">
        <w:t xml:space="preserve"> </w:t>
      </w:r>
      <w:r>
        <w:t>donc</w:t>
      </w:r>
      <w:r w:rsidRPr="002C4077">
        <w:t xml:space="preserve"> </w:t>
      </w:r>
      <w:r>
        <w:t>de</w:t>
      </w:r>
      <w:r w:rsidRPr="002C4077">
        <w:t xml:space="preserve"> </w:t>
      </w:r>
      <w:r>
        <w:t>beaucoup</w:t>
      </w:r>
      <w:r w:rsidRPr="002C4077">
        <w:t xml:space="preserve"> </w:t>
      </w:r>
      <w:r>
        <w:t>les</w:t>
      </w:r>
      <w:r w:rsidRPr="002C4077">
        <w:t xml:space="preserve"> </w:t>
      </w:r>
      <w:r>
        <w:t>citations</w:t>
      </w:r>
      <w:r w:rsidR="00B546AF">
        <w:t> :</w:t>
      </w:r>
      <w:r w:rsidRPr="002C4077">
        <w:t xml:space="preserve"> </w:t>
      </w:r>
      <w:r>
        <w:t>les</w:t>
      </w:r>
      <w:r w:rsidRPr="002C4077">
        <w:t xml:space="preserve"> </w:t>
      </w:r>
      <w:r>
        <w:t>mots</w:t>
      </w:r>
      <w:r w:rsidRPr="002C4077">
        <w:t xml:space="preserve"> </w:t>
      </w:r>
      <w:r>
        <w:t>essentiels</w:t>
      </w:r>
      <w:r w:rsidRPr="002C4077">
        <w:t xml:space="preserve"> </w:t>
      </w:r>
      <w:r>
        <w:t>furent</w:t>
      </w:r>
      <w:r w:rsidRPr="002C4077">
        <w:t xml:space="preserve"> </w:t>
      </w:r>
      <w:r>
        <w:t>conservés,</w:t>
      </w:r>
      <w:r w:rsidRPr="002C4077">
        <w:t xml:space="preserve"> </w:t>
      </w:r>
      <w:r>
        <w:t>les</w:t>
      </w:r>
      <w:r w:rsidRPr="002C4077">
        <w:t xml:space="preserve"> </w:t>
      </w:r>
      <w:r>
        <w:t>autres</w:t>
      </w:r>
      <w:r w:rsidRPr="002C4077">
        <w:t xml:space="preserve"> </w:t>
      </w:r>
      <w:r>
        <w:t>impitoyablement</w:t>
      </w:r>
      <w:r w:rsidRPr="002C4077">
        <w:t xml:space="preserve"> </w:t>
      </w:r>
      <w:r>
        <w:t>retranchés.</w:t>
      </w:r>
      <w:r w:rsidRPr="002C4077">
        <w:t xml:space="preserve"> </w:t>
      </w:r>
    </w:p>
    <w:p w:rsidR="000A7AAB" w:rsidRDefault="000A7AAB" w:rsidP="000A7AAB">
      <w:r>
        <w:t>Autre</w:t>
      </w:r>
      <w:r w:rsidRPr="002C4077">
        <w:t xml:space="preserve"> </w:t>
      </w:r>
      <w:r>
        <w:t>innovation.</w:t>
      </w:r>
      <w:r w:rsidRPr="002C4077">
        <w:t xml:space="preserve"> </w:t>
      </w:r>
      <w:r>
        <w:t>Nous</w:t>
      </w:r>
      <w:r w:rsidRPr="002C4077">
        <w:t xml:space="preserve"> </w:t>
      </w:r>
      <w:r>
        <w:t>avons</w:t>
      </w:r>
      <w:r w:rsidRPr="002C4077">
        <w:t xml:space="preserve"> </w:t>
      </w:r>
      <w:r>
        <w:t>vu</w:t>
      </w:r>
      <w:r w:rsidRPr="002C4077">
        <w:t xml:space="preserve"> </w:t>
      </w:r>
      <w:r>
        <w:t>que,</w:t>
      </w:r>
      <w:r w:rsidRPr="002C4077">
        <w:t xml:space="preserve"> </w:t>
      </w:r>
      <w:r>
        <w:t>dans</w:t>
      </w:r>
      <w:r w:rsidRPr="002C4077">
        <w:t xml:space="preserve"> </w:t>
      </w:r>
      <w:r>
        <w:t>les</w:t>
      </w:r>
      <w:r w:rsidRPr="002C4077">
        <w:t xml:space="preserve"> </w:t>
      </w:r>
      <w:r>
        <w:t>Concordances</w:t>
      </w:r>
      <w:r w:rsidRPr="002C4077">
        <w:t xml:space="preserve"> </w:t>
      </w:r>
      <w:r>
        <w:t>soit</w:t>
      </w:r>
      <w:r w:rsidRPr="002C4077">
        <w:t xml:space="preserve"> </w:t>
      </w:r>
      <w:r w:rsidRPr="000A34B5">
        <w:rPr>
          <w:rStyle w:val="italicus"/>
        </w:rPr>
        <w:t>breves,</w:t>
      </w:r>
      <w:r w:rsidRPr="002C4077">
        <w:t xml:space="preserve"> </w:t>
      </w:r>
      <w:r>
        <w:t>soit</w:t>
      </w:r>
      <w:r w:rsidRPr="002C4077">
        <w:t xml:space="preserve"> </w:t>
      </w:r>
      <w:r w:rsidRPr="000A34B5">
        <w:rPr>
          <w:rStyle w:val="italicus"/>
        </w:rPr>
        <w:t>m</w:t>
      </w:r>
      <w:r w:rsidR="003B53FD">
        <w:rPr>
          <w:rStyle w:val="italicus"/>
        </w:rPr>
        <w:t>á</w:t>
      </w:r>
      <w:r w:rsidR="003B53FD" w:rsidRPr="000A34B5">
        <w:rPr>
          <w:rStyle w:val="italicus"/>
        </w:rPr>
        <w:t>ximæ</w:t>
      </w:r>
      <w:r w:rsidRPr="000A34B5">
        <w:rPr>
          <w:rStyle w:val="italicus"/>
        </w:rPr>
        <w:t>,</w:t>
      </w:r>
      <w:r w:rsidRPr="002C4077">
        <w:t xml:space="preserve"> </w:t>
      </w:r>
      <w:r>
        <w:t>tous</w:t>
      </w:r>
      <w:r w:rsidRPr="002C4077">
        <w:t xml:space="preserve"> </w:t>
      </w:r>
      <w:r>
        <w:t>les</w:t>
      </w:r>
      <w:r w:rsidRPr="002C4077">
        <w:t xml:space="preserve"> </w:t>
      </w:r>
      <w:r>
        <w:t>chapitres,</w:t>
      </w:r>
      <w:r w:rsidRPr="002C4077">
        <w:t xml:space="preserve"> </w:t>
      </w:r>
      <w:r>
        <w:t>sans</w:t>
      </w:r>
      <w:r w:rsidRPr="002C4077">
        <w:t xml:space="preserve"> </w:t>
      </w:r>
      <w:r>
        <w:t>distinction</w:t>
      </w:r>
      <w:r w:rsidRPr="002C4077">
        <w:t xml:space="preserve"> </w:t>
      </w:r>
      <w:r>
        <w:t>de</w:t>
      </w:r>
      <w:r w:rsidRPr="002C4077">
        <w:t xml:space="preserve"> </w:t>
      </w:r>
      <w:r>
        <w:t>longueur,</w:t>
      </w:r>
      <w:r w:rsidRPr="002C4077">
        <w:t xml:space="preserve"> </w:t>
      </w:r>
      <w:r>
        <w:t>étaient</w:t>
      </w:r>
      <w:r w:rsidRPr="002C4077">
        <w:t xml:space="preserve"> </w:t>
      </w:r>
      <w:r>
        <w:t>divisés</w:t>
      </w:r>
      <w:r w:rsidRPr="002C4077">
        <w:t xml:space="preserve"> </w:t>
      </w:r>
      <w:r>
        <w:t>en</w:t>
      </w:r>
      <w:r w:rsidRPr="002C4077">
        <w:t xml:space="preserve"> </w:t>
      </w:r>
      <w:r>
        <w:t>sept</w:t>
      </w:r>
      <w:r w:rsidRPr="002C4077">
        <w:t xml:space="preserve"> </w:t>
      </w:r>
      <w:r>
        <w:t>parties</w:t>
      </w:r>
      <w:r w:rsidRPr="002C4077">
        <w:t xml:space="preserve"> </w:t>
      </w:r>
      <w:r>
        <w:t>indiquées</w:t>
      </w:r>
      <w:r w:rsidRPr="002C4077">
        <w:t xml:space="preserve"> </w:t>
      </w:r>
      <w:r>
        <w:t>par</w:t>
      </w:r>
      <w:r w:rsidRPr="002C4077">
        <w:t xml:space="preserve"> </w:t>
      </w:r>
      <w:r>
        <w:t>les</w:t>
      </w:r>
      <w:r w:rsidRPr="002C4077">
        <w:t xml:space="preserve"> </w:t>
      </w:r>
      <w:r>
        <w:t>sept</w:t>
      </w:r>
      <w:r w:rsidRPr="002C4077">
        <w:t xml:space="preserve"> </w:t>
      </w:r>
      <w:r>
        <w:t>premières</w:t>
      </w:r>
      <w:r w:rsidRPr="002C4077">
        <w:t xml:space="preserve"> </w:t>
      </w:r>
      <w:r>
        <w:t>lettres</w:t>
      </w:r>
      <w:r w:rsidRPr="002C4077">
        <w:t xml:space="preserve"> </w:t>
      </w:r>
      <w:r>
        <w:t>de</w:t>
      </w:r>
      <w:r w:rsidRPr="002C4077">
        <w:t xml:space="preserve"> </w:t>
      </w:r>
      <w:r>
        <w:t>l’</w:t>
      </w:r>
      <w:r w:rsidR="00F9234A">
        <w:t>alphabet</w:t>
      </w:r>
      <w:r>
        <w:t>.</w:t>
      </w:r>
      <w:r w:rsidRPr="002C4077">
        <w:t xml:space="preserve"> </w:t>
      </w:r>
      <w:r>
        <w:t>Dans</w:t>
      </w:r>
      <w:r w:rsidRPr="002C4077">
        <w:t xml:space="preserve"> </w:t>
      </w:r>
      <w:r>
        <w:t>les</w:t>
      </w:r>
      <w:r w:rsidRPr="002C4077">
        <w:t xml:space="preserve"> </w:t>
      </w:r>
      <w:r w:rsidRPr="000A34B5">
        <w:rPr>
          <w:rStyle w:val="italicus"/>
        </w:rPr>
        <w:t>Concord</w:t>
      </w:r>
      <w:r w:rsidR="003B53FD">
        <w:rPr>
          <w:rStyle w:val="italicus"/>
        </w:rPr>
        <w:t>á</w:t>
      </w:r>
      <w:r w:rsidR="003B53FD" w:rsidRPr="000A34B5">
        <w:rPr>
          <w:rStyle w:val="italicus"/>
        </w:rPr>
        <w:t>ntiæ</w:t>
      </w:r>
      <w:r w:rsidRPr="002C4077">
        <w:t xml:space="preserve"> </w:t>
      </w:r>
      <w:r w:rsidRPr="000A34B5">
        <w:rPr>
          <w:rStyle w:val="italicus"/>
        </w:rPr>
        <w:t>m</w:t>
      </w:r>
      <w:r w:rsidR="003B53FD" w:rsidRPr="000A34B5">
        <w:rPr>
          <w:rStyle w:val="italicus"/>
        </w:rPr>
        <w:t>aj</w:t>
      </w:r>
      <w:r w:rsidR="003B53FD">
        <w:rPr>
          <w:rStyle w:val="italicus"/>
        </w:rPr>
        <w:t>ó</w:t>
      </w:r>
      <w:r w:rsidR="003B53FD" w:rsidRPr="000A34B5">
        <w:rPr>
          <w:rStyle w:val="italicus"/>
        </w:rPr>
        <w:t>res</w:t>
      </w:r>
      <w:bookmarkStart w:id="809" w:name="z_Concordances_o6"/>
      <w:bookmarkEnd w:id="809"/>
      <w:r w:rsidRPr="000A34B5">
        <w:rPr>
          <w:rStyle w:val="italicus"/>
        </w:rPr>
        <w:t>,</w:t>
      </w:r>
      <w:r w:rsidRPr="002C4077">
        <w:t xml:space="preserve"> </w:t>
      </w:r>
      <w:r>
        <w:t>—</w:t>
      </w:r>
      <w:r w:rsidRPr="002C4077">
        <w:t xml:space="preserve"> </w:t>
      </w:r>
      <w:r>
        <w:t>car</w:t>
      </w:r>
      <w:r w:rsidRPr="002C4077">
        <w:t xml:space="preserve"> </w:t>
      </w:r>
      <w:r>
        <w:t>tel</w:t>
      </w:r>
      <w:r w:rsidRPr="002C4077">
        <w:t xml:space="preserve"> </w:t>
      </w:r>
      <w:r w:rsidR="00425C50">
        <w:t>est</w:t>
      </w:r>
      <w:r w:rsidRPr="002C4077">
        <w:t xml:space="preserve"> </w:t>
      </w:r>
      <w:r>
        <w:t>le</w:t>
      </w:r>
      <w:r w:rsidRPr="002C4077">
        <w:t xml:space="preserve"> </w:t>
      </w:r>
      <w:r>
        <w:t>nom</w:t>
      </w:r>
      <w:r w:rsidRPr="002C4077">
        <w:t xml:space="preserve"> </w:t>
      </w:r>
      <w:r>
        <w:t>de</w:t>
      </w:r>
      <w:r w:rsidRPr="002C4077">
        <w:t xml:space="preserve"> </w:t>
      </w:r>
      <w:r>
        <w:t>cette</w:t>
      </w:r>
      <w:r w:rsidRPr="002C4077">
        <w:t xml:space="preserve"> </w:t>
      </w:r>
      <w:r>
        <w:t>troisième</w:t>
      </w:r>
      <w:r w:rsidRPr="002C4077">
        <w:t xml:space="preserve"> </w:t>
      </w:r>
      <w:r>
        <w:t>forme,</w:t>
      </w:r>
      <w:r w:rsidRPr="002C4077">
        <w:t xml:space="preserve"> </w:t>
      </w:r>
      <w:r>
        <w:t>—</w:t>
      </w:r>
      <w:r w:rsidRPr="002C4077">
        <w:t xml:space="preserve"> </w:t>
      </w:r>
      <w:r>
        <w:t>on</w:t>
      </w:r>
      <w:r w:rsidRPr="002C4077">
        <w:t xml:space="preserve"> </w:t>
      </w:r>
      <w:r>
        <w:t>ne</w:t>
      </w:r>
      <w:r w:rsidRPr="002C4077">
        <w:t xml:space="preserve"> </w:t>
      </w:r>
      <w:r>
        <w:t>conserva</w:t>
      </w:r>
      <w:r w:rsidRPr="002C4077">
        <w:t xml:space="preserve"> </w:t>
      </w:r>
      <w:r>
        <w:t>la</w:t>
      </w:r>
      <w:r w:rsidRPr="002C4077">
        <w:t xml:space="preserve"> </w:t>
      </w:r>
      <w:r>
        <w:t>division</w:t>
      </w:r>
      <w:r w:rsidRPr="002C4077">
        <w:t xml:space="preserve"> </w:t>
      </w:r>
      <w:r>
        <w:t>septénaire</w:t>
      </w:r>
      <w:r w:rsidRPr="002C4077">
        <w:t xml:space="preserve"> </w:t>
      </w:r>
      <w:r>
        <w:t>que</w:t>
      </w:r>
      <w:r w:rsidRPr="002C4077">
        <w:t xml:space="preserve"> </w:t>
      </w:r>
      <w:r>
        <w:t>pour</w:t>
      </w:r>
      <w:r w:rsidRPr="002C4077">
        <w:t xml:space="preserve"> </w:t>
      </w:r>
      <w:r>
        <w:t>les</w:t>
      </w:r>
      <w:r w:rsidRPr="002C4077">
        <w:t xml:space="preserve"> </w:t>
      </w:r>
      <w:r>
        <w:t>chapitres</w:t>
      </w:r>
      <w:r w:rsidRPr="002C4077">
        <w:t xml:space="preserve"> </w:t>
      </w:r>
      <w:r>
        <w:t>étendus</w:t>
      </w:r>
      <w:r w:rsidR="00B546AF">
        <w:t> ;</w:t>
      </w:r>
      <w:r w:rsidRPr="002C4077">
        <w:t xml:space="preserve"> </w:t>
      </w:r>
      <w:r>
        <w:t>les</w:t>
      </w:r>
      <w:r w:rsidRPr="002C4077">
        <w:t xml:space="preserve"> </w:t>
      </w:r>
      <w:r>
        <w:t>plus</w:t>
      </w:r>
      <w:r w:rsidRPr="002C4077">
        <w:t xml:space="preserve"> </w:t>
      </w:r>
      <w:r>
        <w:t>courts</w:t>
      </w:r>
      <w:r w:rsidRPr="002C4077">
        <w:t xml:space="preserve"> </w:t>
      </w:r>
      <w:r>
        <w:t>n’eurent</w:t>
      </w:r>
      <w:r w:rsidRPr="002C4077">
        <w:t xml:space="preserve"> </w:t>
      </w:r>
      <w:r>
        <w:t>que</w:t>
      </w:r>
      <w:r w:rsidRPr="002C4077">
        <w:t xml:space="preserve"> </w:t>
      </w:r>
      <w:r>
        <w:t>quatre</w:t>
      </w:r>
      <w:r w:rsidRPr="002C4077">
        <w:t xml:space="preserve"> </w:t>
      </w:r>
      <w:r>
        <w:t>parties,</w:t>
      </w:r>
      <w:r w:rsidRPr="002C4077">
        <w:t xml:space="preserve"> </w:t>
      </w:r>
      <w:r>
        <w:t>désignées</w:t>
      </w:r>
      <w:r w:rsidRPr="002C4077">
        <w:t xml:space="preserve"> </w:t>
      </w:r>
      <w:r>
        <w:t>par</w:t>
      </w:r>
      <w:r w:rsidRPr="002C4077">
        <w:t xml:space="preserve"> </w:t>
      </w:r>
      <w:r w:rsidRPr="000A34B5">
        <w:rPr>
          <w:rStyle w:val="italicus"/>
        </w:rPr>
        <w:t>a,</w:t>
      </w:r>
      <w:r w:rsidRPr="002C4077">
        <w:t xml:space="preserve"> </w:t>
      </w:r>
      <w:r w:rsidRPr="000A34B5">
        <w:rPr>
          <w:rStyle w:val="italicus"/>
        </w:rPr>
        <w:t>b,</w:t>
      </w:r>
      <w:r w:rsidRPr="002C4077">
        <w:t xml:space="preserve"> </w:t>
      </w:r>
      <w:r w:rsidRPr="000A34B5">
        <w:rPr>
          <w:rStyle w:val="italicus"/>
        </w:rPr>
        <w:t>c,</w:t>
      </w:r>
      <w:r w:rsidRPr="002C4077">
        <w:t xml:space="preserve"> </w:t>
      </w:r>
      <w:r w:rsidRPr="000A34B5">
        <w:rPr>
          <w:rStyle w:val="italicus"/>
        </w:rPr>
        <w:t>d.</w:t>
      </w:r>
      <w:r w:rsidRPr="002C4077">
        <w:t xml:space="preserve"> </w:t>
      </w:r>
    </w:p>
    <w:p w:rsidR="000A7AAB" w:rsidRPr="005E2129" w:rsidRDefault="000A7AAB" w:rsidP="000A7AAB">
      <w:r>
        <w:t>On</w:t>
      </w:r>
      <w:r w:rsidRPr="002C4077">
        <w:t xml:space="preserve"> </w:t>
      </w:r>
      <w:r>
        <w:t>attribue</w:t>
      </w:r>
      <w:r w:rsidRPr="002C4077">
        <w:t xml:space="preserve"> </w:t>
      </w:r>
      <w:r>
        <w:t>généralement</w:t>
      </w:r>
      <w:r w:rsidRPr="002C4077">
        <w:t xml:space="preserve"> </w:t>
      </w:r>
      <w:r>
        <w:t>les</w:t>
      </w:r>
      <w:r w:rsidRPr="002C4077">
        <w:t xml:space="preserve"> </w:t>
      </w:r>
      <w:r w:rsidRPr="000A34B5">
        <w:rPr>
          <w:rStyle w:val="italicus"/>
        </w:rPr>
        <w:t>Concord</w:t>
      </w:r>
      <w:r w:rsidR="003B53FD">
        <w:rPr>
          <w:rStyle w:val="italicus"/>
        </w:rPr>
        <w:t>á</w:t>
      </w:r>
      <w:r w:rsidR="003B53FD" w:rsidRPr="000A34B5">
        <w:rPr>
          <w:rStyle w:val="italicus"/>
        </w:rPr>
        <w:t>ntiæ</w:t>
      </w:r>
      <w:r w:rsidRPr="002C4077">
        <w:t xml:space="preserve"> </w:t>
      </w:r>
      <w:r w:rsidRPr="000A34B5">
        <w:rPr>
          <w:rStyle w:val="italicus"/>
        </w:rPr>
        <w:t>m</w:t>
      </w:r>
      <w:r w:rsidR="003B53FD" w:rsidRPr="000A34B5">
        <w:rPr>
          <w:rStyle w:val="italicus"/>
        </w:rPr>
        <w:t>aj</w:t>
      </w:r>
      <w:r w:rsidR="003B53FD">
        <w:rPr>
          <w:rStyle w:val="italicus"/>
        </w:rPr>
        <w:t>ó</w:t>
      </w:r>
      <w:r w:rsidR="003B53FD" w:rsidRPr="000A34B5">
        <w:rPr>
          <w:rStyle w:val="italicus"/>
        </w:rPr>
        <w:t>res</w:t>
      </w:r>
      <w:r w:rsidRPr="002C4077">
        <w:t xml:space="preserve"> </w:t>
      </w:r>
      <w:r>
        <w:t>à</w:t>
      </w:r>
      <w:r w:rsidRPr="002C4077">
        <w:t xml:space="preserve"> </w:t>
      </w:r>
      <w:r>
        <w:t>Conrad</w:t>
      </w:r>
      <w:r w:rsidRPr="002C4077">
        <w:t xml:space="preserve"> </w:t>
      </w:r>
      <w:r>
        <w:t>de</w:t>
      </w:r>
      <w:r w:rsidRPr="002C4077">
        <w:t xml:space="preserve"> </w:t>
      </w:r>
      <w:r>
        <w:t>Halberstadt</w:t>
      </w:r>
      <w:r w:rsidR="00B91AF7">
        <w:rPr>
          <w:rStyle w:val="Appelnotedebasdep"/>
        </w:rPr>
        <w:footnoteReference w:id="976"/>
      </w:r>
      <w:r>
        <w:t>,</w:t>
      </w:r>
      <w:r w:rsidRPr="002C4077">
        <w:t xml:space="preserve"> </w:t>
      </w:r>
      <w:r>
        <w:t>qui</w:t>
      </w:r>
      <w:r w:rsidRPr="002C4077">
        <w:t xml:space="preserve"> </w:t>
      </w:r>
      <w:r>
        <w:t>appartenait</w:t>
      </w:r>
      <w:r w:rsidRPr="002C4077">
        <w:t xml:space="preserve"> </w:t>
      </w:r>
      <w:r>
        <w:t>aussi</w:t>
      </w:r>
      <w:r w:rsidRPr="002C4077">
        <w:t xml:space="preserve"> </w:t>
      </w:r>
      <w:r>
        <w:t>à</w:t>
      </w:r>
      <w:r w:rsidRPr="002C4077">
        <w:t xml:space="preserve"> </w:t>
      </w:r>
      <w:r>
        <w:t>l’Ordre</w:t>
      </w:r>
      <w:r w:rsidRPr="002C4077">
        <w:t xml:space="preserve"> </w:t>
      </w:r>
      <w:r>
        <w:t>de</w:t>
      </w:r>
      <w:r w:rsidRPr="002C4077">
        <w:t xml:space="preserve"> </w:t>
      </w:r>
      <w:r>
        <w:t>Saint-Dominique.</w:t>
      </w:r>
      <w:r w:rsidRPr="002C4077">
        <w:t xml:space="preserve"> </w:t>
      </w:r>
      <w:r>
        <w:t>Grâce</w:t>
      </w:r>
      <w:r w:rsidRPr="002C4077">
        <w:t xml:space="preserve"> </w:t>
      </w:r>
      <w:r>
        <w:t>à</w:t>
      </w:r>
      <w:r w:rsidRPr="002C4077">
        <w:t xml:space="preserve"> </w:t>
      </w:r>
      <w:r>
        <w:t>leur</w:t>
      </w:r>
      <w:r w:rsidRPr="002C4077">
        <w:t xml:space="preserve"> </w:t>
      </w:r>
      <w:r>
        <w:t>concision,</w:t>
      </w:r>
      <w:r w:rsidRPr="002C4077">
        <w:t xml:space="preserve"> </w:t>
      </w:r>
      <w:r>
        <w:t>elles</w:t>
      </w:r>
      <w:r w:rsidRPr="002C4077">
        <w:t xml:space="preserve"> </w:t>
      </w:r>
      <w:r>
        <w:t>prirent</w:t>
      </w:r>
      <w:r w:rsidRPr="002C4077">
        <w:t xml:space="preserve"> </w:t>
      </w:r>
      <w:r>
        <w:t>presque</w:t>
      </w:r>
      <w:r w:rsidRPr="002C4077">
        <w:t xml:space="preserve"> </w:t>
      </w:r>
      <w:r>
        <w:t>partout</w:t>
      </w:r>
      <w:r w:rsidRPr="002C4077">
        <w:t xml:space="preserve"> </w:t>
      </w:r>
      <w:r>
        <w:t>la</w:t>
      </w:r>
      <w:r w:rsidRPr="002C4077">
        <w:t xml:space="preserve"> </w:t>
      </w:r>
      <w:r>
        <w:t>place</w:t>
      </w:r>
      <w:r w:rsidRPr="002C4077">
        <w:t xml:space="preserve"> </w:t>
      </w:r>
      <w:r>
        <w:t>de</w:t>
      </w:r>
      <w:r w:rsidRPr="002C4077">
        <w:t xml:space="preserve"> </w:t>
      </w:r>
      <w:r>
        <w:t>leurs</w:t>
      </w:r>
      <w:r w:rsidRPr="002C4077">
        <w:t xml:space="preserve"> </w:t>
      </w:r>
      <w:r>
        <w:t>devancières.</w:t>
      </w:r>
      <w:r w:rsidRPr="002C4077">
        <w:t xml:space="preserve"> </w:t>
      </w:r>
      <w:r>
        <w:t>Un</w:t>
      </w:r>
      <w:r w:rsidRPr="002C4077">
        <w:t xml:space="preserve"> </w:t>
      </w:r>
      <w:r>
        <w:t>exemple</w:t>
      </w:r>
      <w:r w:rsidRPr="002C4077">
        <w:t xml:space="preserve"> </w:t>
      </w:r>
      <w:r>
        <w:t>montrera</w:t>
      </w:r>
      <w:r w:rsidRPr="002C4077">
        <w:t xml:space="preserve"> </w:t>
      </w:r>
      <w:r>
        <w:t>leur</w:t>
      </w:r>
      <w:r w:rsidRPr="002C4077">
        <w:t xml:space="preserve"> </w:t>
      </w:r>
      <w:r>
        <w:t>rapport</w:t>
      </w:r>
      <w:r w:rsidRPr="002C4077">
        <w:t xml:space="preserve"> </w:t>
      </w:r>
      <w:r>
        <w:t>avec</w:t>
      </w:r>
      <w:r w:rsidRPr="002C4077">
        <w:t xml:space="preserve"> </w:t>
      </w:r>
      <w:r>
        <w:t>les</w:t>
      </w:r>
      <w:r w:rsidRPr="002C4077">
        <w:t xml:space="preserve"> </w:t>
      </w:r>
      <w:r>
        <w:t>précédentes</w:t>
      </w:r>
      <w:r w:rsidR="00B546AF">
        <w:t> :</w:t>
      </w:r>
      <w:r w:rsidR="00C45B47">
        <w:t xml:space="preserve"> {</w:t>
      </w:r>
      <w:r w:rsidR="005E2129">
        <w:t>333</w:t>
      </w:r>
      <w:bookmarkStart w:id="810" w:name="p333"/>
      <w:bookmarkEnd w:id="810"/>
      <w:r w:rsidR="005E2129">
        <w:t xml:space="preserve">} </w:t>
      </w:r>
    </w:p>
    <w:p w:rsidR="000A7AAB" w:rsidRPr="0005759E" w:rsidRDefault="000A7AAB" w:rsidP="00F9234A">
      <w:pPr>
        <w:pStyle w:val="LcCentrum"/>
        <w:rPr>
          <w:rStyle w:val="pm"/>
        </w:rPr>
      </w:pPr>
      <w:r w:rsidRPr="0005759E">
        <w:rPr>
          <w:rStyle w:val="pm"/>
        </w:rPr>
        <w:t>Aaa.</w:t>
      </w:r>
      <w:r w:rsidRPr="002C4077">
        <w:t xml:space="preserve"> </w:t>
      </w:r>
    </w:p>
    <w:p w:rsidR="00F9234A" w:rsidRDefault="00F9234A" w:rsidP="00F9234A">
      <w:pPr>
        <w:pStyle w:val="ConcSy"/>
      </w:pPr>
      <w:r>
        <w:t>Hiere.</w:t>
      </w:r>
      <w:r w:rsidRPr="002C4077">
        <w:t xml:space="preserve"> </w:t>
      </w:r>
      <w:r>
        <w:t>I.</w:t>
      </w:r>
      <w:r w:rsidRPr="002C4077">
        <w:t xml:space="preserve"> </w:t>
      </w:r>
      <w:r>
        <w:t>b</w:t>
      </w:r>
      <w:r w:rsidRPr="00B436FB">
        <w:rPr>
          <w:rStyle w:val="italicus"/>
        </w:rPr>
        <w:t>.</w:t>
      </w:r>
      <w:r w:rsidRPr="002C4077">
        <w:t xml:space="preserve"> </w:t>
      </w:r>
      <w:r>
        <w:t>Aaa,</w:t>
      </w:r>
      <w:r w:rsidRPr="002C4077">
        <w:t xml:space="preserve"> </w:t>
      </w:r>
      <w:r w:rsidR="00B436FB">
        <w:tab/>
      </w:r>
      <w:r w:rsidR="006A7417">
        <w:t>Dómine</w:t>
      </w:r>
      <w:r w:rsidRPr="002C4077">
        <w:t xml:space="preserve"> </w:t>
      </w:r>
      <w:r>
        <w:t>Deus,</w:t>
      </w:r>
      <w:r w:rsidRPr="002C4077">
        <w:t xml:space="preserve"> </w:t>
      </w:r>
      <w:r>
        <w:t>ecce</w:t>
      </w:r>
      <w:r w:rsidRPr="002C4077">
        <w:t xml:space="preserve"> </w:t>
      </w:r>
      <w:r w:rsidR="0005759E">
        <w:t>néscio</w:t>
      </w:r>
      <w:r w:rsidR="0005759E" w:rsidRPr="002C4077">
        <w:t xml:space="preserve"> </w:t>
      </w:r>
      <w:r w:rsidR="0005759E">
        <w:t>l</w:t>
      </w:r>
      <w:r>
        <w:t>oqui.</w:t>
      </w:r>
    </w:p>
    <w:p w:rsidR="00B436FB" w:rsidRDefault="00B436FB" w:rsidP="00F9234A">
      <w:pPr>
        <w:pStyle w:val="ConcSy"/>
      </w:pPr>
      <w:r>
        <w:tab/>
        <w:t>14</w:t>
      </w:r>
      <w:r w:rsidR="00F9234A">
        <w:t>.</w:t>
      </w:r>
      <w:r w:rsidR="00F9234A" w:rsidRPr="002C4077">
        <w:t xml:space="preserve"> </w:t>
      </w:r>
      <w:r w:rsidR="00F9234A" w:rsidRPr="00B436FB">
        <w:rPr>
          <w:rStyle w:val="italicus"/>
        </w:rPr>
        <w:t>b.</w:t>
      </w:r>
      <w:r w:rsidR="00F9234A" w:rsidRPr="002C4077">
        <w:t xml:space="preserve"> </w:t>
      </w:r>
      <w:r>
        <w:tab/>
      </w:r>
      <w:r w:rsidR="0005759E">
        <w:t>Prophétæ</w:t>
      </w:r>
      <w:r w:rsidR="00F9234A" w:rsidRPr="002C4077">
        <w:t xml:space="preserve"> </w:t>
      </w:r>
      <w:r w:rsidR="00F9234A">
        <w:t>dicunt</w:t>
      </w:r>
      <w:r w:rsidR="00F9234A" w:rsidRPr="002C4077">
        <w:t xml:space="preserve"> </w:t>
      </w:r>
      <w:r w:rsidR="00F9234A">
        <w:t>eis.</w:t>
      </w:r>
      <w:r w:rsidR="00F9234A" w:rsidRPr="002C4077">
        <w:t xml:space="preserve"> </w:t>
      </w:r>
    </w:p>
    <w:p w:rsidR="00F9234A" w:rsidRDefault="00F9234A" w:rsidP="00F9234A">
      <w:pPr>
        <w:pStyle w:val="ConcSy"/>
      </w:pPr>
      <w:r>
        <w:t>Ezech.</w:t>
      </w:r>
      <w:r w:rsidRPr="002C4077">
        <w:t xml:space="preserve"> </w:t>
      </w:r>
      <w:r>
        <w:t>4.</w:t>
      </w:r>
      <w:r w:rsidRPr="002C4077">
        <w:t xml:space="preserve"> </w:t>
      </w:r>
      <w:r w:rsidRPr="00B436FB">
        <w:rPr>
          <w:rStyle w:val="italicus"/>
        </w:rPr>
        <w:t>d</w:t>
      </w:r>
      <w:r>
        <w:t>.</w:t>
      </w:r>
      <w:r w:rsidRPr="002C4077">
        <w:t xml:space="preserve"> </w:t>
      </w:r>
      <w:r w:rsidR="00B436FB">
        <w:tab/>
      </w:r>
      <w:r w:rsidR="006A7417">
        <w:t>Dómine</w:t>
      </w:r>
      <w:r w:rsidR="006A7417" w:rsidRPr="002C4077">
        <w:t xml:space="preserve"> </w:t>
      </w:r>
      <w:r w:rsidR="006A7417">
        <w:t>Deus,</w:t>
      </w:r>
      <w:r w:rsidR="006A7417" w:rsidRPr="002C4077">
        <w:t xml:space="preserve"> </w:t>
      </w:r>
      <w:r w:rsidR="006A7417">
        <w:t>á</w:t>
      </w:r>
      <w:r>
        <w:t>nima</w:t>
      </w:r>
      <w:r w:rsidRPr="002C4077">
        <w:t xml:space="preserve"> </w:t>
      </w:r>
      <w:r>
        <w:t>mea</w:t>
      </w:r>
      <w:r w:rsidRPr="002C4077">
        <w:t xml:space="preserve"> </w:t>
      </w:r>
      <w:r>
        <w:t>non</w:t>
      </w:r>
      <w:r w:rsidRPr="002C4077">
        <w:t xml:space="preserve"> </w:t>
      </w:r>
      <w:r>
        <w:t>est.</w:t>
      </w:r>
    </w:p>
    <w:p w:rsidR="00B436FB" w:rsidRDefault="00B436FB" w:rsidP="00F9234A">
      <w:pPr>
        <w:pStyle w:val="ConcSy"/>
      </w:pPr>
      <w:r>
        <w:tab/>
      </w:r>
      <w:r w:rsidR="00F9234A">
        <w:t>20.</w:t>
      </w:r>
      <w:r w:rsidR="00F9234A" w:rsidRPr="002C4077">
        <w:t xml:space="preserve"> </w:t>
      </w:r>
      <w:r w:rsidR="00F9234A" w:rsidRPr="00B436FB">
        <w:rPr>
          <w:rStyle w:val="italicus"/>
        </w:rPr>
        <w:t>g.</w:t>
      </w:r>
      <w:r w:rsidR="00F9234A" w:rsidRPr="002C4077">
        <w:t xml:space="preserve"> </w:t>
      </w:r>
      <w:r>
        <w:tab/>
      </w:r>
      <w:r w:rsidR="006A7417">
        <w:t>Dómine</w:t>
      </w:r>
      <w:r w:rsidR="00F9234A" w:rsidRPr="002C4077">
        <w:t xml:space="preserve"> </w:t>
      </w:r>
      <w:r w:rsidR="00F9234A">
        <w:t>Deus,</w:t>
      </w:r>
      <w:r w:rsidR="00F9234A" w:rsidRPr="002C4077">
        <w:t xml:space="preserve"> </w:t>
      </w:r>
      <w:r w:rsidR="00F9234A">
        <w:t>ipsi</w:t>
      </w:r>
      <w:r w:rsidR="00F9234A" w:rsidRPr="002C4077">
        <w:t xml:space="preserve"> </w:t>
      </w:r>
      <w:r w:rsidR="00F9234A">
        <w:t>dicunt.</w:t>
      </w:r>
      <w:r w:rsidR="00F9234A" w:rsidRPr="002C4077">
        <w:t xml:space="preserve"> </w:t>
      </w:r>
    </w:p>
    <w:p w:rsidR="00F9234A" w:rsidRDefault="00F9234A" w:rsidP="00F9234A">
      <w:pPr>
        <w:pStyle w:val="ConcSy"/>
      </w:pPr>
      <w:r>
        <w:t>Iohel.</w:t>
      </w:r>
      <w:r w:rsidRPr="002C4077">
        <w:t xml:space="preserve"> </w:t>
      </w:r>
      <w:r w:rsidR="00B436FB">
        <w:t>1</w:t>
      </w:r>
      <w:r>
        <w:t>.</w:t>
      </w:r>
      <w:r w:rsidRPr="002C4077">
        <w:t xml:space="preserve"> </w:t>
      </w:r>
      <w:r w:rsidRPr="00B436FB">
        <w:rPr>
          <w:rStyle w:val="italicus"/>
        </w:rPr>
        <w:t>d.</w:t>
      </w:r>
      <w:r w:rsidRPr="002C4077">
        <w:t xml:space="preserve"> </w:t>
      </w:r>
      <w:r w:rsidR="00B436FB">
        <w:tab/>
      </w:r>
      <w:r w:rsidR="0005759E">
        <w:t>Diéi</w:t>
      </w:r>
      <w:r w:rsidRPr="002C4077">
        <w:t xml:space="preserve"> </w:t>
      </w:r>
      <w:r>
        <w:t>:</w:t>
      </w:r>
      <w:r w:rsidRPr="002C4077">
        <w:t xml:space="preserve"> </w:t>
      </w:r>
      <w:r>
        <w:t>quia</w:t>
      </w:r>
      <w:r w:rsidRPr="002C4077">
        <w:t xml:space="preserve"> </w:t>
      </w:r>
      <w:r>
        <w:t>prope</w:t>
      </w:r>
      <w:r w:rsidRPr="002C4077">
        <w:t xml:space="preserve"> </w:t>
      </w:r>
      <w:r>
        <w:t>est</w:t>
      </w:r>
      <w:r w:rsidRPr="002C4077">
        <w:t xml:space="preserve"> </w:t>
      </w:r>
      <w:r>
        <w:t>dies</w:t>
      </w:r>
      <w:r w:rsidRPr="002C4077">
        <w:t xml:space="preserve"> </w:t>
      </w:r>
      <w:r w:rsidR="0005759E">
        <w:t>Dómini</w:t>
      </w:r>
      <w:r>
        <w:t>.</w:t>
      </w:r>
    </w:p>
    <w:p w:rsidR="000A7AAB" w:rsidRPr="00F9234A" w:rsidRDefault="000A7AAB" w:rsidP="00F9234A">
      <w:pPr>
        <w:pStyle w:val="LcCentrum"/>
        <w:rPr>
          <w:rStyle w:val="pm"/>
        </w:rPr>
      </w:pPr>
      <w:r w:rsidRPr="00F9234A">
        <w:rPr>
          <w:rStyle w:val="pm"/>
        </w:rPr>
        <w:t>Aaron.</w:t>
      </w:r>
      <w:r w:rsidRPr="002C4077">
        <w:t xml:space="preserve"> </w:t>
      </w:r>
    </w:p>
    <w:p w:rsidR="000A7AAB" w:rsidRDefault="000A7AAB" w:rsidP="00F9234A">
      <w:pPr>
        <w:pStyle w:val="ConcSy"/>
      </w:pPr>
      <w:r>
        <w:t>Exo.</w:t>
      </w:r>
      <w:r w:rsidRPr="002C4077">
        <w:t xml:space="preserve"> </w:t>
      </w:r>
      <w:r>
        <w:t>4.</w:t>
      </w:r>
      <w:r w:rsidRPr="002C4077">
        <w:t xml:space="preserve"> </w:t>
      </w:r>
      <w:r w:rsidRPr="000A34B5">
        <w:rPr>
          <w:rStyle w:val="italicus"/>
        </w:rPr>
        <w:t>c.</w:t>
      </w:r>
      <w:r w:rsidRPr="002C4077">
        <w:t xml:space="preserve"> </w:t>
      </w:r>
      <w:r>
        <w:t>Egr</w:t>
      </w:r>
      <w:r w:rsidR="003B53FD">
        <w:t>ediétur</w:t>
      </w:r>
      <w:r w:rsidRPr="002C4077">
        <w:t xml:space="preserve"> </w:t>
      </w:r>
      <w:r>
        <w:t>in</w:t>
      </w:r>
      <w:r w:rsidRPr="002C4077">
        <w:t xml:space="preserve"> </w:t>
      </w:r>
      <w:r w:rsidR="003B53FD">
        <w:t>occúrsum</w:t>
      </w:r>
      <w:r>
        <w:t>.</w:t>
      </w:r>
      <w:r w:rsidRPr="002C4077">
        <w:t xml:space="preserve"> </w:t>
      </w:r>
    </w:p>
    <w:p w:rsidR="000A7AAB" w:rsidRDefault="0005759E" w:rsidP="00F9234A">
      <w:pPr>
        <w:pStyle w:val="ConcSy"/>
      </w:pPr>
      <w:r>
        <w:tab/>
      </w:r>
      <w:r w:rsidR="000A7AAB">
        <w:t>7.</w:t>
      </w:r>
      <w:r w:rsidR="000A7AAB" w:rsidRPr="002C4077">
        <w:t xml:space="preserve"> </w:t>
      </w:r>
      <w:r w:rsidR="000A7AAB">
        <w:t>a.</w:t>
      </w:r>
      <w:r w:rsidR="000A7AAB" w:rsidRPr="002C4077">
        <w:t xml:space="preserve"> </w:t>
      </w:r>
      <w:r w:rsidR="000A7AAB">
        <w:t>Erit</w:t>
      </w:r>
      <w:r w:rsidR="000A7AAB" w:rsidRPr="002C4077">
        <w:t xml:space="preserve"> </w:t>
      </w:r>
      <w:r w:rsidR="000A7AAB">
        <w:t>pr</w:t>
      </w:r>
      <w:r w:rsidR="003B53FD">
        <w:t>ophéta</w:t>
      </w:r>
      <w:r w:rsidR="000A7AAB" w:rsidRPr="002C4077">
        <w:t xml:space="preserve"> </w:t>
      </w:r>
      <w:r w:rsidR="000A7AAB">
        <w:t>tuus.</w:t>
      </w:r>
      <w:r w:rsidR="000A7AAB" w:rsidRPr="002C4077">
        <w:t xml:space="preserve"> </w:t>
      </w:r>
    </w:p>
    <w:p w:rsidR="000A7AAB" w:rsidRDefault="0005759E" w:rsidP="00F9234A">
      <w:pPr>
        <w:pStyle w:val="ConcSy"/>
      </w:pPr>
      <w:r>
        <w:tab/>
      </w:r>
      <w:r w:rsidR="000A7AAB">
        <w:t>17.</w:t>
      </w:r>
      <w:r w:rsidR="000A7AAB" w:rsidRPr="002C4077">
        <w:t xml:space="preserve"> </w:t>
      </w:r>
      <w:r w:rsidR="000A7AAB" w:rsidRPr="000A34B5">
        <w:rPr>
          <w:rStyle w:val="italicus"/>
        </w:rPr>
        <w:t>d.</w:t>
      </w:r>
      <w:r w:rsidR="000A7AAB" w:rsidRPr="002C4077">
        <w:t xml:space="preserve"> </w:t>
      </w:r>
      <w:r w:rsidR="000A7AAB">
        <w:t>Et</w:t>
      </w:r>
      <w:r w:rsidR="000A7AAB" w:rsidRPr="002C4077">
        <w:t xml:space="preserve"> </w:t>
      </w:r>
      <w:r w:rsidR="000A7AAB">
        <w:t>Hur</w:t>
      </w:r>
      <w:r w:rsidR="000A7AAB" w:rsidRPr="002C4077">
        <w:t xml:space="preserve"> </w:t>
      </w:r>
      <w:r w:rsidR="000A7AAB">
        <w:t>sust</w:t>
      </w:r>
      <w:r w:rsidR="003B53FD">
        <w:t>entábant</w:t>
      </w:r>
      <w:r w:rsidR="000A7AAB" w:rsidRPr="002C4077">
        <w:t xml:space="preserve"> </w:t>
      </w:r>
      <w:r w:rsidR="000A7AAB">
        <w:t>manus.</w:t>
      </w:r>
      <w:r w:rsidR="000A7AAB" w:rsidRPr="002C4077">
        <w:t xml:space="preserve"> </w:t>
      </w:r>
      <w:r w:rsidR="003B5C82">
        <w:t>Etc.</w:t>
      </w:r>
      <w:r w:rsidR="000A7AAB" w:rsidRPr="002C4077">
        <w:t xml:space="preserve"> </w:t>
      </w:r>
    </w:p>
    <w:p w:rsidR="000A7AAB" w:rsidRDefault="000A7AAB" w:rsidP="000A7AAB">
      <w:r>
        <w:lastRenderedPageBreak/>
        <w:t>Peu</w:t>
      </w:r>
      <w:r w:rsidRPr="002C4077">
        <w:t xml:space="preserve"> </w:t>
      </w:r>
      <w:r>
        <w:t>de</w:t>
      </w:r>
      <w:r w:rsidRPr="002C4077">
        <w:t xml:space="preserve"> </w:t>
      </w:r>
      <w:r>
        <w:t>temps</w:t>
      </w:r>
      <w:r w:rsidRPr="002C4077">
        <w:t xml:space="preserve"> </w:t>
      </w:r>
      <w:r>
        <w:t>après</w:t>
      </w:r>
      <w:r w:rsidRPr="002C4077">
        <w:t xml:space="preserve"> </w:t>
      </w:r>
      <w:r>
        <w:t>le</w:t>
      </w:r>
      <w:r w:rsidRPr="002C4077">
        <w:t xml:space="preserve"> </w:t>
      </w:r>
      <w:r>
        <w:t>concile</w:t>
      </w:r>
      <w:r w:rsidRPr="002C4077">
        <w:t xml:space="preserve"> </w:t>
      </w:r>
      <w:r>
        <w:t>de</w:t>
      </w:r>
      <w:r w:rsidRPr="002C4077">
        <w:t xml:space="preserve"> </w:t>
      </w:r>
      <w:r>
        <w:t>Bâle</w:t>
      </w:r>
      <w:r w:rsidRPr="004440EA">
        <w:t xml:space="preserve"> (</w:t>
      </w:r>
      <w:r>
        <w:t>1430</w:t>
      </w:r>
      <w:r w:rsidR="00B546AF" w:rsidRPr="002C4077">
        <w:t>)</w:t>
      </w:r>
      <w:r w:rsidRPr="00950016">
        <w:t>,</w:t>
      </w:r>
      <w:r w:rsidRPr="002C4077">
        <w:t xml:space="preserve"> </w:t>
      </w:r>
      <w:r>
        <w:t>un</w:t>
      </w:r>
      <w:r w:rsidRPr="002C4077">
        <w:t xml:space="preserve"> </w:t>
      </w:r>
      <w:r>
        <w:t>autre</w:t>
      </w:r>
      <w:r w:rsidRPr="002C4077">
        <w:t xml:space="preserve"> </w:t>
      </w:r>
      <w:r>
        <w:t>Dominicain,</w:t>
      </w:r>
      <w:r w:rsidRPr="002C4077">
        <w:t xml:space="preserve"> </w:t>
      </w:r>
      <w:r>
        <w:t>Jean</w:t>
      </w:r>
      <w:r w:rsidRPr="002C4077">
        <w:t xml:space="preserve"> </w:t>
      </w:r>
      <w:r>
        <w:t>de</w:t>
      </w:r>
      <w:r w:rsidRPr="002C4077">
        <w:t xml:space="preserve"> </w:t>
      </w:r>
      <w:r>
        <w:t>Raguse</w:t>
      </w:r>
      <w:r w:rsidR="00B91AF7">
        <w:rPr>
          <w:rStyle w:val="Appelnotedebasdep"/>
        </w:rPr>
        <w:footnoteReference w:id="977"/>
      </w:r>
      <w:r>
        <w:t>,</w:t>
      </w:r>
      <w:r w:rsidRPr="002C4077">
        <w:t xml:space="preserve"> </w:t>
      </w:r>
      <w:r>
        <w:t>célèbre</w:t>
      </w:r>
      <w:r w:rsidRPr="002C4077">
        <w:t xml:space="preserve"> </w:t>
      </w:r>
      <w:r>
        <w:t>par</w:t>
      </w:r>
      <w:r w:rsidRPr="002C4077">
        <w:t xml:space="preserve"> </w:t>
      </w:r>
      <w:r>
        <w:t>les</w:t>
      </w:r>
      <w:r w:rsidRPr="002C4077">
        <w:t xml:space="preserve"> </w:t>
      </w:r>
      <w:r>
        <w:t>discussions</w:t>
      </w:r>
      <w:r w:rsidRPr="002C4077">
        <w:t xml:space="preserve"> </w:t>
      </w:r>
      <w:r>
        <w:t>qu’il</w:t>
      </w:r>
      <w:r w:rsidRPr="002C4077">
        <w:t xml:space="preserve"> </w:t>
      </w:r>
      <w:r>
        <w:t>eut</w:t>
      </w:r>
      <w:r w:rsidRPr="002C4077">
        <w:t xml:space="preserve"> </w:t>
      </w:r>
      <w:r>
        <w:t>avec</w:t>
      </w:r>
      <w:r w:rsidRPr="002C4077">
        <w:t xml:space="preserve"> </w:t>
      </w:r>
      <w:r>
        <w:t>les</w:t>
      </w:r>
      <w:r w:rsidRPr="002C4077">
        <w:t xml:space="preserve"> </w:t>
      </w:r>
      <w:r>
        <w:t>Bohémiens</w:t>
      </w:r>
      <w:r w:rsidRPr="002C4077">
        <w:t xml:space="preserve"> </w:t>
      </w:r>
      <w:r>
        <w:t>au</w:t>
      </w:r>
      <w:r w:rsidRPr="002C4077">
        <w:t xml:space="preserve"> </w:t>
      </w:r>
      <w:r>
        <w:t>sujet</w:t>
      </w:r>
      <w:r w:rsidRPr="002C4077">
        <w:t xml:space="preserve"> </w:t>
      </w:r>
      <w:r>
        <w:t>de</w:t>
      </w:r>
      <w:r w:rsidRPr="002C4077">
        <w:t xml:space="preserve"> </w:t>
      </w:r>
      <w:r>
        <w:t>la</w:t>
      </w:r>
      <w:r w:rsidRPr="002C4077">
        <w:t xml:space="preserve"> </w:t>
      </w:r>
      <w:r>
        <w:t>particule</w:t>
      </w:r>
      <w:r w:rsidRPr="002C4077">
        <w:t xml:space="preserve"> </w:t>
      </w:r>
      <w:r w:rsidRPr="000A34B5">
        <w:rPr>
          <w:rStyle w:val="italicus"/>
        </w:rPr>
        <w:t>nisi,</w:t>
      </w:r>
      <w:r w:rsidRPr="002C4077">
        <w:t xml:space="preserve"> </w:t>
      </w:r>
      <w:r>
        <w:t>puis</w:t>
      </w:r>
      <w:r w:rsidRPr="002C4077">
        <w:t xml:space="preserve"> </w:t>
      </w:r>
      <w:r>
        <w:t>avec</w:t>
      </w:r>
      <w:r w:rsidRPr="002C4077">
        <w:t xml:space="preserve"> </w:t>
      </w:r>
      <w:r>
        <w:t>les</w:t>
      </w:r>
      <w:r w:rsidRPr="002C4077">
        <w:t xml:space="preserve"> </w:t>
      </w:r>
      <w:r>
        <w:t>Grecs</w:t>
      </w:r>
      <w:r w:rsidRPr="002C4077">
        <w:t xml:space="preserve"> </w:t>
      </w:r>
      <w:r>
        <w:t>sur</w:t>
      </w:r>
      <w:r w:rsidRPr="002C4077">
        <w:t xml:space="preserve"> </w:t>
      </w:r>
      <w:r>
        <w:t>la</w:t>
      </w:r>
      <w:r w:rsidRPr="002C4077">
        <w:t xml:space="preserve"> </w:t>
      </w:r>
      <w:r>
        <w:t>vraie</w:t>
      </w:r>
      <w:r w:rsidRPr="002C4077">
        <w:t xml:space="preserve"> </w:t>
      </w:r>
      <w:r>
        <w:t>notion</w:t>
      </w:r>
      <w:r w:rsidRPr="002C4077">
        <w:t xml:space="preserve"> </w:t>
      </w:r>
      <w:r>
        <w:t>des</w:t>
      </w:r>
      <w:r w:rsidRPr="002C4077">
        <w:t xml:space="preserve"> </w:t>
      </w:r>
      <w:r>
        <w:t>prépositions</w:t>
      </w:r>
      <w:r w:rsidRPr="002C4077">
        <w:t xml:space="preserve"> </w:t>
      </w:r>
      <w:r w:rsidRPr="000A34B5">
        <w:rPr>
          <w:rStyle w:val="italicus"/>
        </w:rPr>
        <w:t>ex</w:t>
      </w:r>
      <w:r w:rsidRPr="002C4077">
        <w:t xml:space="preserve"> </w:t>
      </w:r>
      <w:r>
        <w:t>et</w:t>
      </w:r>
      <w:r w:rsidRPr="002C4077">
        <w:t xml:space="preserve"> </w:t>
      </w:r>
      <w:r w:rsidRPr="000A34B5">
        <w:rPr>
          <w:rStyle w:val="italicus"/>
        </w:rPr>
        <w:t>per,</w:t>
      </w:r>
      <w:r w:rsidRPr="002C4077">
        <w:t xml:space="preserve"> </w:t>
      </w:r>
      <w:r>
        <w:t>résolut</w:t>
      </w:r>
      <w:r w:rsidRPr="002C4077">
        <w:t xml:space="preserve"> </w:t>
      </w:r>
      <w:r>
        <w:t>de</w:t>
      </w:r>
      <w:r w:rsidRPr="002C4077">
        <w:t xml:space="preserve"> </w:t>
      </w:r>
      <w:r>
        <w:t>réunir</w:t>
      </w:r>
      <w:r w:rsidRPr="002C4077">
        <w:t xml:space="preserve"> </w:t>
      </w:r>
      <w:r>
        <w:t>toutes</w:t>
      </w:r>
      <w:r w:rsidRPr="002C4077">
        <w:t xml:space="preserve"> </w:t>
      </w:r>
      <w:r>
        <w:t>les</w:t>
      </w:r>
      <w:r w:rsidRPr="002C4077">
        <w:t xml:space="preserve"> </w:t>
      </w:r>
      <w:r>
        <w:t>particules</w:t>
      </w:r>
      <w:r w:rsidRPr="002C4077">
        <w:t xml:space="preserve"> </w:t>
      </w:r>
      <w:r>
        <w:t>indéclinables</w:t>
      </w:r>
      <w:r w:rsidRPr="002C4077">
        <w:t xml:space="preserve"> </w:t>
      </w:r>
      <w:r>
        <w:t>contenues</w:t>
      </w:r>
      <w:r w:rsidRPr="002C4077">
        <w:t xml:space="preserve"> </w:t>
      </w:r>
      <w:r>
        <w:t>dans</w:t>
      </w:r>
      <w:r w:rsidRPr="002C4077">
        <w:t xml:space="preserve"> </w:t>
      </w:r>
      <w:r>
        <w:t>les</w:t>
      </w:r>
      <w:r w:rsidRPr="002C4077">
        <w:t xml:space="preserve"> </w:t>
      </w:r>
      <w:r>
        <w:t>saints</w:t>
      </w:r>
      <w:r w:rsidRPr="002C4077">
        <w:t xml:space="preserve"> </w:t>
      </w:r>
      <w:r>
        <w:t>Livres,</w:t>
      </w:r>
      <w:r w:rsidRPr="002C4077">
        <w:t xml:space="preserve"> </w:t>
      </w:r>
      <w:r>
        <w:t>afin</w:t>
      </w:r>
      <w:r w:rsidRPr="002C4077">
        <w:t xml:space="preserve"> </w:t>
      </w:r>
      <w:r>
        <w:t>d’en</w:t>
      </w:r>
      <w:r w:rsidRPr="002C4077">
        <w:t xml:space="preserve"> </w:t>
      </w:r>
      <w:r>
        <w:t>connaître</w:t>
      </w:r>
      <w:r w:rsidRPr="002C4077">
        <w:t xml:space="preserve"> </w:t>
      </w:r>
      <w:r>
        <w:t>plus</w:t>
      </w:r>
      <w:r w:rsidRPr="002C4077">
        <w:t xml:space="preserve"> </w:t>
      </w:r>
      <w:r>
        <w:t>facilement</w:t>
      </w:r>
      <w:r w:rsidRPr="002C4077">
        <w:t xml:space="preserve"> </w:t>
      </w:r>
      <w:r>
        <w:t>la</w:t>
      </w:r>
      <w:r w:rsidRPr="002C4077">
        <w:t xml:space="preserve"> </w:t>
      </w:r>
      <w:r>
        <w:t>signification</w:t>
      </w:r>
      <w:r w:rsidR="00B91AF7">
        <w:rPr>
          <w:rStyle w:val="Appelnotedebasdep"/>
        </w:rPr>
        <w:footnoteReference w:id="978"/>
      </w:r>
      <w:r>
        <w:t>.</w:t>
      </w:r>
      <w:r w:rsidRPr="002C4077">
        <w:t xml:space="preserve"> </w:t>
      </w:r>
      <w:r>
        <w:t>Ses</w:t>
      </w:r>
      <w:r w:rsidRPr="002C4077">
        <w:t xml:space="preserve"> </w:t>
      </w:r>
      <w:r>
        <w:t>secrétaires</w:t>
      </w:r>
      <w:r w:rsidRPr="002C4077">
        <w:t xml:space="preserve"> </w:t>
      </w:r>
      <w:r>
        <w:t>exécutèrent</w:t>
      </w:r>
      <w:r w:rsidRPr="002C4077">
        <w:t xml:space="preserve"> </w:t>
      </w:r>
      <w:r>
        <w:t>cette</w:t>
      </w:r>
      <w:r w:rsidRPr="002C4077">
        <w:t xml:space="preserve"> </w:t>
      </w:r>
      <w:r>
        <w:t>nomenclature</w:t>
      </w:r>
      <w:r w:rsidRPr="002C4077">
        <w:t xml:space="preserve"> </w:t>
      </w:r>
      <w:r>
        <w:t>sous</w:t>
      </w:r>
      <w:r w:rsidRPr="002C4077">
        <w:t xml:space="preserve"> </w:t>
      </w:r>
      <w:r>
        <w:t>sa</w:t>
      </w:r>
      <w:r w:rsidRPr="002C4077">
        <w:t xml:space="preserve"> </w:t>
      </w:r>
      <w:r>
        <w:t>direction.</w:t>
      </w:r>
      <w:r w:rsidRPr="002C4077">
        <w:t xml:space="preserve"> </w:t>
      </w:r>
      <w:r>
        <w:t>Le</w:t>
      </w:r>
      <w:r w:rsidRPr="002C4077">
        <w:t xml:space="preserve"> </w:t>
      </w:r>
      <w:r>
        <w:t>docteur</w:t>
      </w:r>
      <w:r w:rsidRPr="002C4077">
        <w:t xml:space="preserve"> </w:t>
      </w:r>
      <w:r>
        <w:t>espagnol</w:t>
      </w:r>
      <w:r w:rsidRPr="002C4077">
        <w:t xml:space="preserve"> </w:t>
      </w:r>
      <w:r>
        <w:t>Jean</w:t>
      </w:r>
      <w:r w:rsidRPr="002C4077">
        <w:t xml:space="preserve"> </w:t>
      </w:r>
      <w:r>
        <w:t>de</w:t>
      </w:r>
      <w:r w:rsidRPr="002C4077">
        <w:t xml:space="preserve"> </w:t>
      </w:r>
      <w:r>
        <w:t>Sec</w:t>
      </w:r>
      <w:r w:rsidR="009B6B8B">
        <w:t>u</w:t>
      </w:r>
      <w:r w:rsidR="003B53FD">
        <w:t>bia</w:t>
      </w:r>
      <w:r>
        <w:t>,</w:t>
      </w:r>
      <w:r w:rsidRPr="002C4077">
        <w:t xml:space="preserve"> </w:t>
      </w:r>
      <w:r>
        <w:t>chanoine</w:t>
      </w:r>
      <w:r w:rsidRPr="002C4077">
        <w:t xml:space="preserve"> </w:t>
      </w:r>
      <w:r>
        <w:t>de</w:t>
      </w:r>
      <w:r w:rsidRPr="002C4077">
        <w:t xml:space="preserve"> </w:t>
      </w:r>
      <w:r>
        <w:t>Tolède,</w:t>
      </w:r>
      <w:r w:rsidRPr="002C4077">
        <w:t xml:space="preserve"> </w:t>
      </w:r>
      <w:r>
        <w:t>la</w:t>
      </w:r>
      <w:r w:rsidRPr="002C4077">
        <w:t xml:space="preserve"> </w:t>
      </w:r>
      <w:r>
        <w:t>compléta</w:t>
      </w:r>
      <w:r w:rsidRPr="002C4077">
        <w:t xml:space="preserve"> </w:t>
      </w:r>
      <w:r>
        <w:t>et</w:t>
      </w:r>
      <w:r w:rsidRPr="002C4077">
        <w:t xml:space="preserve"> </w:t>
      </w:r>
      <w:r>
        <w:t>la</w:t>
      </w:r>
      <w:r w:rsidRPr="002C4077">
        <w:t xml:space="preserve"> </w:t>
      </w:r>
      <w:r w:rsidR="003B53FD">
        <w:t>publia</w:t>
      </w:r>
      <w:r>
        <w:t>.</w:t>
      </w:r>
      <w:r w:rsidRPr="002C4077">
        <w:t xml:space="preserve"> </w:t>
      </w:r>
      <w:r>
        <w:t>L’œuvre</w:t>
      </w:r>
      <w:r w:rsidRPr="002C4077">
        <w:t xml:space="preserve"> </w:t>
      </w:r>
      <w:r>
        <w:t>fut</w:t>
      </w:r>
      <w:r w:rsidRPr="002C4077">
        <w:t xml:space="preserve"> </w:t>
      </w:r>
      <w:r>
        <w:t>imprimée</w:t>
      </w:r>
      <w:r w:rsidRPr="002C4077">
        <w:t xml:space="preserve"> </w:t>
      </w:r>
      <w:r>
        <w:t>pour</w:t>
      </w:r>
      <w:r w:rsidRPr="002C4077">
        <w:t xml:space="preserve"> </w:t>
      </w:r>
      <w:r>
        <w:t>la</w:t>
      </w:r>
      <w:r w:rsidRPr="002C4077">
        <w:t xml:space="preserve"> </w:t>
      </w:r>
      <w:r>
        <w:t>première</w:t>
      </w:r>
      <w:r w:rsidRPr="002C4077">
        <w:t xml:space="preserve"> </w:t>
      </w:r>
      <w:r>
        <w:t>fois</w:t>
      </w:r>
      <w:r w:rsidRPr="002C4077">
        <w:t xml:space="preserve"> </w:t>
      </w:r>
      <w:r>
        <w:t>en</w:t>
      </w:r>
      <w:r w:rsidRPr="002C4077">
        <w:t xml:space="preserve"> </w:t>
      </w:r>
      <w:r>
        <w:t>1496</w:t>
      </w:r>
      <w:r w:rsidRPr="002C4077">
        <w:t xml:space="preserve"> </w:t>
      </w:r>
      <w:r>
        <w:t>par</w:t>
      </w:r>
      <w:r w:rsidRPr="002C4077">
        <w:t xml:space="preserve"> </w:t>
      </w:r>
      <w:r>
        <w:t>l’allemand</w:t>
      </w:r>
      <w:r w:rsidRPr="002C4077">
        <w:t xml:space="preserve"> </w:t>
      </w:r>
      <w:r>
        <w:t>Sébastien</w:t>
      </w:r>
      <w:r w:rsidRPr="002C4077">
        <w:t xml:space="preserve"> </w:t>
      </w:r>
      <w:r>
        <w:t>Braut,</w:t>
      </w:r>
      <w:r w:rsidRPr="002C4077">
        <w:t xml:space="preserve"> </w:t>
      </w:r>
      <w:r>
        <w:t>sous</w:t>
      </w:r>
      <w:r w:rsidRPr="002C4077">
        <w:t xml:space="preserve"> </w:t>
      </w:r>
      <w:r>
        <w:t>ce</w:t>
      </w:r>
      <w:r w:rsidRPr="002C4077">
        <w:t xml:space="preserve"> </w:t>
      </w:r>
      <w:r>
        <w:t>titre</w:t>
      </w:r>
      <w:r w:rsidR="00B546AF">
        <w:t> :</w:t>
      </w:r>
      <w:r w:rsidRPr="002C4077">
        <w:t xml:space="preserve"> </w:t>
      </w:r>
      <w:r w:rsidR="006A7417" w:rsidRPr="000A34B5">
        <w:rPr>
          <w:rStyle w:val="italicus"/>
        </w:rPr>
        <w:t>Concordánti</w:t>
      </w:r>
      <w:r w:rsidR="006A7417">
        <w:rPr>
          <w:rStyle w:val="italicus"/>
        </w:rPr>
        <w:t>æ</w:t>
      </w:r>
      <w:r w:rsidRPr="002C4077">
        <w:t xml:space="preserve"> </w:t>
      </w:r>
      <w:r w:rsidRPr="000A34B5">
        <w:rPr>
          <w:rStyle w:val="italicus"/>
        </w:rPr>
        <w:t>p</w:t>
      </w:r>
      <w:r w:rsidR="003B53FD">
        <w:rPr>
          <w:rStyle w:val="italicus"/>
        </w:rPr>
        <w:t>á</w:t>
      </w:r>
      <w:r w:rsidR="003B53FD" w:rsidRPr="000A34B5">
        <w:rPr>
          <w:rStyle w:val="italicus"/>
        </w:rPr>
        <w:t>rtium</w:t>
      </w:r>
      <w:r w:rsidRPr="002C4077">
        <w:t xml:space="preserve"> </w:t>
      </w:r>
      <w:r w:rsidRPr="000A34B5">
        <w:rPr>
          <w:rStyle w:val="italicus"/>
        </w:rPr>
        <w:t>sive</w:t>
      </w:r>
      <w:r w:rsidRPr="002C4077">
        <w:t xml:space="preserve"> </w:t>
      </w:r>
      <w:r w:rsidR="006A7417" w:rsidRPr="000A34B5">
        <w:rPr>
          <w:rStyle w:val="italicus"/>
        </w:rPr>
        <w:t>dicti</w:t>
      </w:r>
      <w:r w:rsidR="006A7417">
        <w:rPr>
          <w:rStyle w:val="italicus"/>
        </w:rPr>
        <w:t>ó</w:t>
      </w:r>
      <w:r w:rsidR="006A7417" w:rsidRPr="000A34B5">
        <w:rPr>
          <w:rStyle w:val="italicus"/>
        </w:rPr>
        <w:t>num</w:t>
      </w:r>
      <w:r w:rsidR="006A7417" w:rsidRPr="002C4077">
        <w:t xml:space="preserve"> </w:t>
      </w:r>
      <w:r w:rsidRPr="000A34B5">
        <w:rPr>
          <w:rStyle w:val="italicus"/>
        </w:rPr>
        <w:t>indeclinab</w:t>
      </w:r>
      <w:r w:rsidR="003B53FD">
        <w:rPr>
          <w:rStyle w:val="italicus"/>
        </w:rPr>
        <w:t>í</w:t>
      </w:r>
      <w:r w:rsidR="003B53FD" w:rsidRPr="000A34B5">
        <w:rPr>
          <w:rStyle w:val="italicus"/>
        </w:rPr>
        <w:t>lium</w:t>
      </w:r>
      <w:r w:rsidRPr="002C4077">
        <w:t xml:space="preserve"> </w:t>
      </w:r>
      <w:r w:rsidR="003B53FD" w:rsidRPr="000A34B5">
        <w:rPr>
          <w:rStyle w:val="italicus"/>
        </w:rPr>
        <w:t>tot</w:t>
      </w:r>
      <w:r w:rsidR="003B53FD">
        <w:rPr>
          <w:rStyle w:val="italicus"/>
        </w:rPr>
        <w:t>íus</w:t>
      </w:r>
      <w:r w:rsidRPr="002C4077">
        <w:t xml:space="preserve"> </w:t>
      </w:r>
      <w:bookmarkStart w:id="811" w:name="z_Concordances_o7"/>
      <w:bookmarkEnd w:id="811"/>
      <w:r w:rsidR="006A7417" w:rsidRPr="000A34B5">
        <w:rPr>
          <w:rStyle w:val="italicus"/>
        </w:rPr>
        <w:t>Bíbli</w:t>
      </w:r>
      <w:r w:rsidR="006A7417">
        <w:rPr>
          <w:rStyle w:val="italicus"/>
        </w:rPr>
        <w:t>æ</w:t>
      </w:r>
      <w:r w:rsidRPr="000A34B5">
        <w:rPr>
          <w:rStyle w:val="italicus"/>
        </w:rPr>
        <w:t>.</w:t>
      </w:r>
      <w:r w:rsidRPr="002C4077">
        <w:t xml:space="preserve"> </w:t>
      </w:r>
    </w:p>
    <w:p w:rsidR="00304F17" w:rsidRDefault="00304F17" w:rsidP="000A7AAB"/>
    <w:p w:rsidR="000A7AAB" w:rsidRDefault="000A7AAB" w:rsidP="000A7AAB">
      <w:r>
        <w:t>Tels</w:t>
      </w:r>
      <w:r w:rsidRPr="002C4077">
        <w:t xml:space="preserve"> </w:t>
      </w:r>
      <w:r>
        <w:t>furent</w:t>
      </w:r>
      <w:r w:rsidRPr="002C4077">
        <w:t xml:space="preserve"> </w:t>
      </w:r>
      <w:r>
        <w:t>l’origine</w:t>
      </w:r>
      <w:r w:rsidRPr="002C4077">
        <w:t xml:space="preserve"> </w:t>
      </w:r>
      <w:r>
        <w:t>et</w:t>
      </w:r>
      <w:r w:rsidRPr="002C4077">
        <w:t xml:space="preserve"> </w:t>
      </w:r>
      <w:r>
        <w:t>les</w:t>
      </w:r>
      <w:r w:rsidRPr="002C4077">
        <w:t xml:space="preserve"> </w:t>
      </w:r>
      <w:r>
        <w:t>progrès</w:t>
      </w:r>
      <w:r w:rsidRPr="002C4077">
        <w:t xml:space="preserve"> </w:t>
      </w:r>
      <w:r>
        <w:t>de</w:t>
      </w:r>
      <w:r w:rsidRPr="002C4077">
        <w:t xml:space="preserve"> </w:t>
      </w:r>
      <w:r>
        <w:t>nos</w:t>
      </w:r>
      <w:r w:rsidRPr="002C4077">
        <w:t xml:space="preserve"> </w:t>
      </w:r>
      <w:r>
        <w:t>Concordances</w:t>
      </w:r>
      <w:r w:rsidRPr="002C4077">
        <w:t xml:space="preserve"> </w:t>
      </w:r>
      <w:r>
        <w:t>bibliques.</w:t>
      </w:r>
      <w:r w:rsidRPr="002C4077">
        <w:t xml:space="preserve"> </w:t>
      </w:r>
      <w:r>
        <w:t>Ces</w:t>
      </w:r>
      <w:r w:rsidRPr="002C4077">
        <w:t xml:space="preserve"> </w:t>
      </w:r>
      <w:r>
        <w:t>quatre</w:t>
      </w:r>
      <w:r w:rsidRPr="002C4077">
        <w:t xml:space="preserve"> </w:t>
      </w:r>
      <w:r>
        <w:t>formes</w:t>
      </w:r>
      <w:r w:rsidRPr="002C4077">
        <w:t xml:space="preserve"> </w:t>
      </w:r>
      <w:r>
        <w:t>étaient</w:t>
      </w:r>
      <w:r w:rsidRPr="002C4077">
        <w:t xml:space="preserve"> </w:t>
      </w:r>
      <w:r>
        <w:t>latines,</w:t>
      </w:r>
      <w:r w:rsidRPr="002C4077">
        <w:t xml:space="preserve"> </w:t>
      </w:r>
      <w:r>
        <w:t>et</w:t>
      </w:r>
      <w:r w:rsidRPr="002C4077">
        <w:t xml:space="preserve"> </w:t>
      </w:r>
      <w:r>
        <w:t>basées</w:t>
      </w:r>
      <w:r w:rsidRPr="002C4077">
        <w:t xml:space="preserve"> </w:t>
      </w:r>
      <w:r>
        <w:t>sur</w:t>
      </w:r>
      <w:r w:rsidRPr="002C4077">
        <w:t xml:space="preserve"> </w:t>
      </w:r>
      <w:r>
        <w:t>le</w:t>
      </w:r>
      <w:r w:rsidRPr="002C4077">
        <w:t xml:space="preserve"> </w:t>
      </w:r>
      <w:r>
        <w:t>texte</w:t>
      </w:r>
      <w:r w:rsidRPr="002C4077">
        <w:t xml:space="preserve"> </w:t>
      </w:r>
      <w:r>
        <w:t>de</w:t>
      </w:r>
      <w:r w:rsidRPr="002C4077">
        <w:t xml:space="preserve"> </w:t>
      </w:r>
      <w:r>
        <w:t>la</w:t>
      </w:r>
      <w:r w:rsidRPr="002C4077">
        <w:t xml:space="preserve"> </w:t>
      </w:r>
      <w:r>
        <w:t>Vulgate.</w:t>
      </w:r>
      <w:r w:rsidRPr="002C4077">
        <w:t xml:space="preserve"> </w:t>
      </w:r>
      <w:r>
        <w:t>Leur</w:t>
      </w:r>
      <w:r w:rsidRPr="002C4077">
        <w:t xml:space="preserve"> </w:t>
      </w:r>
      <w:r>
        <w:t>utilité</w:t>
      </w:r>
      <w:r w:rsidRPr="002C4077">
        <w:t xml:space="preserve"> </w:t>
      </w:r>
      <w:r>
        <w:t>engagea</w:t>
      </w:r>
      <w:r w:rsidR="00C45B47">
        <w:t xml:space="preserve"> {</w:t>
      </w:r>
      <w:r w:rsidR="005E2129">
        <w:t>334</w:t>
      </w:r>
      <w:bookmarkStart w:id="812" w:name="p334"/>
      <w:bookmarkEnd w:id="812"/>
      <w:r w:rsidR="005E2129">
        <w:t xml:space="preserve">} </w:t>
      </w:r>
      <w:r>
        <w:t>bientôt</w:t>
      </w:r>
      <w:r w:rsidRPr="002C4077">
        <w:t xml:space="preserve"> </w:t>
      </w:r>
      <w:r>
        <w:t>d’autres</w:t>
      </w:r>
      <w:r w:rsidRPr="002C4077">
        <w:t xml:space="preserve"> </w:t>
      </w:r>
      <w:r>
        <w:t>savants</w:t>
      </w:r>
      <w:r w:rsidRPr="002C4077">
        <w:t xml:space="preserve"> </w:t>
      </w:r>
      <w:r>
        <w:t>à</w:t>
      </w:r>
      <w:r w:rsidRPr="002C4077">
        <w:t xml:space="preserve"> </w:t>
      </w:r>
      <w:r>
        <w:t>entreprendre</w:t>
      </w:r>
      <w:r w:rsidRPr="002C4077">
        <w:t xml:space="preserve"> </w:t>
      </w:r>
      <w:r>
        <w:t>le</w:t>
      </w:r>
      <w:r w:rsidRPr="002C4077">
        <w:t xml:space="preserve"> </w:t>
      </w:r>
      <w:r>
        <w:t>même</w:t>
      </w:r>
      <w:r w:rsidRPr="002C4077">
        <w:t xml:space="preserve"> </w:t>
      </w:r>
      <w:r>
        <w:t>travail</w:t>
      </w:r>
      <w:r w:rsidRPr="002C4077">
        <w:t xml:space="preserve"> </w:t>
      </w:r>
      <w:r>
        <w:t>sur</w:t>
      </w:r>
      <w:r w:rsidRPr="002C4077">
        <w:t xml:space="preserve"> </w:t>
      </w:r>
      <w:r>
        <w:t>la</w:t>
      </w:r>
      <w:r w:rsidRPr="002C4077">
        <w:t xml:space="preserve"> </w:t>
      </w:r>
      <w:r>
        <w:t>version</w:t>
      </w:r>
      <w:r w:rsidRPr="002C4077">
        <w:t xml:space="preserve"> </w:t>
      </w:r>
      <w:r>
        <w:t>grecque</w:t>
      </w:r>
      <w:r w:rsidRPr="002C4077">
        <w:t xml:space="preserve"> </w:t>
      </w:r>
      <w:r>
        <w:t>des</w:t>
      </w:r>
      <w:r w:rsidRPr="002C4077">
        <w:t xml:space="preserve"> </w:t>
      </w:r>
      <w:r>
        <w:t>Septante</w:t>
      </w:r>
      <w:r w:rsidRPr="002C4077">
        <w:t xml:space="preserve"> </w:t>
      </w:r>
      <w:r>
        <w:t>et</w:t>
      </w:r>
      <w:r w:rsidRPr="002C4077">
        <w:t xml:space="preserve"> </w:t>
      </w:r>
      <w:r>
        <w:t>sur</w:t>
      </w:r>
      <w:r w:rsidRPr="002C4077">
        <w:t xml:space="preserve"> </w:t>
      </w:r>
      <w:r>
        <w:t>le</w:t>
      </w:r>
      <w:r w:rsidRPr="002C4077">
        <w:t xml:space="preserve"> </w:t>
      </w:r>
      <w:r>
        <w:t>texte</w:t>
      </w:r>
      <w:r w:rsidRPr="002C4077">
        <w:t xml:space="preserve"> </w:t>
      </w:r>
      <w:r>
        <w:t>hébreu.</w:t>
      </w:r>
      <w:r w:rsidRPr="002C4077">
        <w:t xml:space="preserve"> </w:t>
      </w:r>
    </w:p>
    <w:p w:rsidR="000A7AAB" w:rsidRDefault="000A7AAB" w:rsidP="000A7AAB">
      <w:r>
        <w:t>La</w:t>
      </w:r>
      <w:r w:rsidRPr="002C4077">
        <w:t xml:space="preserve"> </w:t>
      </w:r>
      <w:r>
        <w:t>première</w:t>
      </w:r>
      <w:r w:rsidRPr="002C4077">
        <w:t xml:space="preserve"> </w:t>
      </w:r>
      <w:r>
        <w:t>Concordance</w:t>
      </w:r>
      <w:r w:rsidRPr="002C4077">
        <w:t xml:space="preserve"> </w:t>
      </w:r>
      <w:r>
        <w:t>hébraïque</w:t>
      </w:r>
      <w:bookmarkStart w:id="813" w:name="z_Concordances_o8"/>
      <w:bookmarkEnd w:id="813"/>
      <w:r w:rsidRPr="002C4077">
        <w:t xml:space="preserve"> </w:t>
      </w:r>
      <w:r>
        <w:t>fut</w:t>
      </w:r>
      <w:r w:rsidRPr="002C4077">
        <w:t xml:space="preserve"> </w:t>
      </w:r>
      <w:r>
        <w:t>composée</w:t>
      </w:r>
      <w:r w:rsidRPr="002C4077">
        <w:t xml:space="preserve"> </w:t>
      </w:r>
      <w:r>
        <w:t>par</w:t>
      </w:r>
      <w:r w:rsidRPr="002C4077">
        <w:t xml:space="preserve"> </w:t>
      </w:r>
      <w:r>
        <w:t>un Juif de Provence, Rabbi Isaac Nathan</w:t>
      </w:r>
      <w:r w:rsidR="00B91AF7">
        <w:rPr>
          <w:rStyle w:val="Appelnotedebasdep"/>
        </w:rPr>
        <w:footnoteReference w:id="979"/>
      </w:r>
      <w:r>
        <w:t>, — d’autres l’appellent R. Mardochaï Nathan</w:t>
      </w:r>
      <w:r w:rsidR="00B91AF7">
        <w:rPr>
          <w:rStyle w:val="Appelnotedebasdep"/>
        </w:rPr>
        <w:footnoteReference w:id="980"/>
      </w:r>
      <w:r>
        <w:t xml:space="preserve">. On l’imprima pour la première fois à </w:t>
      </w:r>
      <w:r w:rsidR="007B3C26">
        <w:t>Ve</w:t>
      </w:r>
      <w:r>
        <w:t>nise, en 1524</w:t>
      </w:r>
      <w:r w:rsidR="00B91AF7">
        <w:rPr>
          <w:rStyle w:val="Appelnotedebasdep"/>
        </w:rPr>
        <w:footnoteReference w:id="981"/>
      </w:r>
      <w:r w:rsidR="00B546AF">
        <w:t> ;</w:t>
      </w:r>
      <w:r>
        <w:t xml:space="preserve"> il en parut ensuite une seconde édition, également à </w:t>
      </w:r>
      <w:r w:rsidR="007B3C26">
        <w:t>Ve</w:t>
      </w:r>
      <w:r>
        <w:t>nise</w:t>
      </w:r>
      <w:r w:rsidRPr="004440EA">
        <w:t xml:space="preserve"> (</w:t>
      </w:r>
      <w:r>
        <w:t>1364</w:t>
      </w:r>
      <w:r w:rsidR="00B546AF" w:rsidRPr="00950016">
        <w:t>)</w:t>
      </w:r>
      <w:r w:rsidRPr="00950016">
        <w:t xml:space="preserve">, </w:t>
      </w:r>
      <w:r>
        <w:t>et une troisième à Bâle</w:t>
      </w:r>
      <w:r w:rsidRPr="004440EA">
        <w:t xml:space="preserve"> (</w:t>
      </w:r>
      <w:r>
        <w:t>1381</w:t>
      </w:r>
      <w:r w:rsidR="00B546AF">
        <w:t>)</w:t>
      </w:r>
      <w:r>
        <w:t xml:space="preserve">. </w:t>
      </w:r>
      <w:r w:rsidR="006A7417">
        <w:t>Marius</w:t>
      </w:r>
      <w:r>
        <w:t xml:space="preserve"> de</w:t>
      </w:r>
      <w:r w:rsidR="006A7417">
        <w:t xml:space="preserve"> </w:t>
      </w:r>
      <w:r>
        <w:t>Cal</w:t>
      </w:r>
      <w:r w:rsidR="006A7417">
        <w:t>a</w:t>
      </w:r>
      <w:r w:rsidR="003B53FD">
        <w:t>sio</w:t>
      </w:r>
      <w:r w:rsidR="00B91AF7">
        <w:rPr>
          <w:rStyle w:val="Appelnotedebasdep"/>
        </w:rPr>
        <w:footnoteReference w:id="982"/>
      </w:r>
      <w:r>
        <w:t>, Jean Buxtorf</w:t>
      </w:r>
      <w:r w:rsidR="00B91AF7">
        <w:rPr>
          <w:rStyle w:val="Appelnotedebasdep"/>
        </w:rPr>
        <w:footnoteReference w:id="983"/>
      </w:r>
      <w:r>
        <w:t>, Christian N</w:t>
      </w:r>
      <w:r w:rsidR="006A7417">
        <w:t>o</w:t>
      </w:r>
      <w:r w:rsidR="003B53FD">
        <w:t>ldius</w:t>
      </w:r>
      <w:r w:rsidR="00B91AF7">
        <w:rPr>
          <w:rStyle w:val="Appelnotedebasdep"/>
        </w:rPr>
        <w:footnoteReference w:id="984"/>
      </w:r>
      <w:r>
        <w:t>, Gottfried Tympe</w:t>
      </w:r>
      <w:r w:rsidR="00B91AF7">
        <w:rPr>
          <w:rStyle w:val="Appelnotedebasdep"/>
        </w:rPr>
        <w:footnoteReference w:id="985"/>
      </w:r>
      <w:r>
        <w:t xml:space="preserve"> et Jules </w:t>
      </w:r>
      <w:r w:rsidR="006A7417">
        <w:t>Fürst</w:t>
      </w:r>
      <w:r w:rsidR="00B91AF7">
        <w:rPr>
          <w:rStyle w:val="Appelnotedebasdep"/>
        </w:rPr>
        <w:footnoteReference w:id="986"/>
      </w:r>
      <w:r>
        <w:t xml:space="preserve"> reprirent en sous-œuvre et complétèrent à tour de rôle le travail de R. Nathan. L’ouvrage de </w:t>
      </w:r>
      <w:r w:rsidR="006A7417">
        <w:t>Fürst</w:t>
      </w:r>
      <w:r>
        <w:t>, le plus complet de tous, parut à Leipzig chez Ch. Ta</w:t>
      </w:r>
      <w:r w:rsidR="001730C6">
        <w:t>uc</w:t>
      </w:r>
      <w:r>
        <w:t xml:space="preserve">hnitz, de 1837 à 1840. </w:t>
      </w:r>
    </w:p>
    <w:p w:rsidR="000A7AAB" w:rsidRDefault="000A7AAB" w:rsidP="000A7AAB">
      <w:r>
        <w:t xml:space="preserve">Aucune de ces Concordances hébraïques ne contient les noms propres. Celle de </w:t>
      </w:r>
      <w:r w:rsidR="006A7417">
        <w:t>Noldius</w:t>
      </w:r>
      <w:r>
        <w:t xml:space="preserve"> </w:t>
      </w:r>
      <w:r w:rsidR="00425C50">
        <w:t>est</w:t>
      </w:r>
      <w:r>
        <w:t xml:space="preserve"> la seule qui fasse mention des particules hébraïques</w:t>
      </w:r>
      <w:r w:rsidR="00B546AF">
        <w:t> ;</w:t>
      </w:r>
      <w:r>
        <w:t xml:space="preserve"> celle de Tympe, la seule qui embrasse les pronoms</w:t>
      </w:r>
      <w:r w:rsidR="00B91AF7">
        <w:rPr>
          <w:rStyle w:val="Appelnotedebasdep"/>
        </w:rPr>
        <w:footnoteReference w:id="987"/>
      </w:r>
      <w:r>
        <w:t xml:space="preserve">. </w:t>
      </w:r>
    </w:p>
    <w:p w:rsidR="00304F17" w:rsidRDefault="00304F17" w:rsidP="000A7AAB"/>
    <w:p w:rsidR="000A7AAB" w:rsidRDefault="000A7AAB" w:rsidP="000A7AAB">
      <w:r>
        <w:t>En 1300, Euth</w:t>
      </w:r>
      <w:r w:rsidR="006A7417">
        <w:t>a</w:t>
      </w:r>
      <w:r w:rsidR="003B53FD">
        <w:t>lius</w:t>
      </w:r>
      <w:r>
        <w:t xml:space="preserve"> de Rhodes, moine de Saint-Basile, composa une Concordance grecque</w:t>
      </w:r>
      <w:bookmarkStart w:id="814" w:name="z_Concordances_o9"/>
      <w:bookmarkEnd w:id="814"/>
      <w:r>
        <w:t xml:space="preserve"> de toute la Bible, en suivant le plan du cardinal Hugues de Saint-Cher</w:t>
      </w:r>
      <w:r w:rsidR="00B91AF7">
        <w:rPr>
          <w:rStyle w:val="Appelnotedebasdep"/>
        </w:rPr>
        <w:footnoteReference w:id="988"/>
      </w:r>
      <w:r w:rsidR="00B546AF">
        <w:t> ;</w:t>
      </w:r>
      <w:r w:rsidR="00C45B47">
        <w:t xml:space="preserve"> {</w:t>
      </w:r>
      <w:r w:rsidR="005E2129">
        <w:t>335</w:t>
      </w:r>
      <w:bookmarkStart w:id="815" w:name="p335"/>
      <w:bookmarkEnd w:id="815"/>
      <w:r w:rsidR="005E2129">
        <w:t xml:space="preserve">} </w:t>
      </w:r>
      <w:r>
        <w:t>mais elle n’eut pas l’honneur d’être imprimée. Celles qui parurent plus tard ne s’étendirent jamais à toute l’Écriture sainte</w:t>
      </w:r>
      <w:r w:rsidR="00B546AF">
        <w:t> ;</w:t>
      </w:r>
      <w:r>
        <w:t xml:space="preserve"> elles s’occupèrent exclusivement, les unes de l’Ancien Testament, les autres du Nouveau. Nous nous contenterons d’indiquer les plus célèbres. </w:t>
      </w:r>
    </w:p>
    <w:p w:rsidR="000A7AAB" w:rsidRDefault="000A7AAB" w:rsidP="000A7AAB">
      <w:r>
        <w:t>La suite des temps nous présente d’abord la Concordance de Conrad Kircher, imprimée à Francfort en 1607</w:t>
      </w:r>
      <w:r w:rsidR="00B91AF7">
        <w:rPr>
          <w:rStyle w:val="Appelnotedebasdep"/>
        </w:rPr>
        <w:footnoteReference w:id="989"/>
      </w:r>
      <w:r>
        <w:t>. Elle a cela de particulier, comme l’indique son titre, que les mots grecs y sont tous classés d’après l’expression hébraïque qui leur correspond, l’auteur s’étant proposé surtout de montrer les différentes traductions que les Septante avaient données de chaque mot du texte hébreu. Par exemple, sous le substantif</w:t>
      </w:r>
      <w:r w:rsidR="006A7417">
        <w:t xml:space="preserve"> </w:t>
      </w:r>
      <w:r w:rsidR="006A7417" w:rsidRPr="006A7417">
        <w:rPr>
          <w:rtl/>
          <w:lang w:bidi="he-IL"/>
        </w:rPr>
        <w:t>אב</w:t>
      </w:r>
      <w:r>
        <w:t>,</w:t>
      </w:r>
      <w:r w:rsidRPr="000A34B5">
        <w:rPr>
          <w:rStyle w:val="italicus"/>
        </w:rPr>
        <w:t xml:space="preserve"> </w:t>
      </w:r>
      <w:r w:rsidR="006A7417">
        <w:rPr>
          <w:rStyle w:val="italicus"/>
        </w:rPr>
        <w:t>g</w:t>
      </w:r>
      <w:r w:rsidRPr="000A34B5">
        <w:rPr>
          <w:rStyle w:val="italicus"/>
        </w:rPr>
        <w:t>ermin</w:t>
      </w:r>
      <w:r w:rsidR="003B53FD">
        <w:rPr>
          <w:rStyle w:val="italicus"/>
        </w:rPr>
        <w:t>á</w:t>
      </w:r>
      <w:r w:rsidR="003B53FD" w:rsidRPr="000A34B5">
        <w:rPr>
          <w:rStyle w:val="italicus"/>
        </w:rPr>
        <w:t>tio</w:t>
      </w:r>
      <w:r w:rsidRPr="000A34B5">
        <w:rPr>
          <w:rStyle w:val="italicus"/>
        </w:rPr>
        <w:t xml:space="preserve">, </w:t>
      </w:r>
      <w:r w:rsidR="003B53FD" w:rsidRPr="000A34B5">
        <w:rPr>
          <w:rStyle w:val="italicus"/>
        </w:rPr>
        <w:t>arb</w:t>
      </w:r>
      <w:r w:rsidR="003B53FD">
        <w:rPr>
          <w:rStyle w:val="italicus"/>
        </w:rPr>
        <w:t>ú</w:t>
      </w:r>
      <w:r w:rsidR="003B53FD" w:rsidRPr="000A34B5">
        <w:rPr>
          <w:rStyle w:val="italicus"/>
        </w:rPr>
        <w:t>stum</w:t>
      </w:r>
      <w:r w:rsidRPr="000A34B5">
        <w:rPr>
          <w:rStyle w:val="italicus"/>
        </w:rPr>
        <w:t>, fructus,</w:t>
      </w:r>
      <w:r>
        <w:t xml:space="preserve"> </w:t>
      </w:r>
      <w:r w:rsidR="00425C50">
        <w:t>etc</w:t>
      </w:r>
      <w:r>
        <w:t xml:space="preserve">., sont rangées les expressions grecques </w:t>
      </w:r>
      <w:r w:rsidR="006A7417" w:rsidRPr="006A7417">
        <w:t>ῤίζα, γ</w:t>
      </w:r>
      <w:r w:rsidR="006A7417">
        <w:t>ε</w:t>
      </w:r>
      <w:r w:rsidR="006A7417" w:rsidRPr="006A7417">
        <w:t>νν</w:t>
      </w:r>
      <w:r w:rsidR="006A7417">
        <w:t>ή</w:t>
      </w:r>
      <w:r w:rsidR="006A7417" w:rsidRPr="006A7417">
        <w:t>μα</w:t>
      </w:r>
      <w:r w:rsidR="006A7417">
        <w:t xml:space="preserve">, </w:t>
      </w:r>
      <w:r w:rsidR="006A7417" w:rsidRPr="00CF4BB3">
        <w:t>μήν</w:t>
      </w:r>
      <w:r w:rsidR="006A7417" w:rsidRPr="006A7417">
        <w:t>, νέων</w:t>
      </w:r>
      <w:r w:rsidRPr="006A7417">
        <w:t xml:space="preserve"> </w:t>
      </w:r>
      <w:r w:rsidR="00425C50" w:rsidRPr="006A7417">
        <w:t>etc</w:t>
      </w:r>
      <w:r w:rsidRPr="006A7417">
        <w:t xml:space="preserve">. Chacun de ces </w:t>
      </w:r>
      <w:r>
        <w:t xml:space="preserve">mots </w:t>
      </w:r>
      <w:r w:rsidR="00425C50">
        <w:t>est</w:t>
      </w:r>
      <w:r>
        <w:t xml:space="preserve"> suivi d’un ou de plusieurs texte</w:t>
      </w:r>
      <w:r w:rsidR="004377BC">
        <w:t>s</w:t>
      </w:r>
      <w:r w:rsidR="004377BC">
        <w:rPr>
          <w:rStyle w:val="Appelnotedebasdep"/>
        </w:rPr>
        <w:footnoteReference w:id="990"/>
      </w:r>
      <w:r>
        <w:t xml:space="preserve">. </w:t>
      </w:r>
    </w:p>
    <w:p w:rsidR="000A7AAB" w:rsidRDefault="000A7AAB" w:rsidP="000A7AAB">
      <w:r>
        <w:t xml:space="preserve">Malheureusement on pouvait reprocher à cet ouvrage un grand manque d’ordre et de clarté, qui en rendait l’emploi difficile. D’ailleurs, les exemplaires en furent bientôt écoulés. Ce double motif engagea Abraham </w:t>
      </w:r>
      <w:r>
        <w:lastRenderedPageBreak/>
        <w:t>Tromm</w:t>
      </w:r>
      <w:r w:rsidR="00B91AF7">
        <w:rPr>
          <w:rStyle w:val="Appelnotedebasdep"/>
        </w:rPr>
        <w:footnoteReference w:id="991"/>
      </w:r>
      <w:r>
        <w:t xml:space="preserve"> à commencer un travail du même genre, mais sur un plan tout à fait nouveau. Après seize années d’une étude opiniâtre, il livra son œuvre à la publicité</w:t>
      </w:r>
      <w:r w:rsidR="00B91AF7">
        <w:rPr>
          <w:rStyle w:val="Appelnotedebasdep"/>
        </w:rPr>
        <w:footnoteReference w:id="992"/>
      </w:r>
      <w:r>
        <w:t xml:space="preserve">. Dans cette Concordance, les mots grecs sont reproduits d’après l’ordre alphabétique, et chacun d’eux </w:t>
      </w:r>
      <w:r w:rsidR="00425C50">
        <w:t>est</w:t>
      </w:r>
      <w:r>
        <w:t xml:space="preserve"> accompagné de l’expression hébraïque correspondante</w:t>
      </w:r>
      <w:r w:rsidR="00B546AF">
        <w:t> ;</w:t>
      </w:r>
      <w:r w:rsidR="00C45B47">
        <w:t xml:space="preserve"> {</w:t>
      </w:r>
      <w:r w:rsidR="005E2129">
        <w:t>336</w:t>
      </w:r>
      <w:bookmarkStart w:id="816" w:name="p336"/>
      <w:bookmarkEnd w:id="816"/>
      <w:r w:rsidR="005E2129">
        <w:t xml:space="preserve">} </w:t>
      </w:r>
      <w:r>
        <w:t xml:space="preserve">viennent ensuite les textes bibliques où on les rencontre. </w:t>
      </w:r>
    </w:p>
    <w:p w:rsidR="000A7AAB" w:rsidRDefault="000A7AAB" w:rsidP="000A7AAB">
      <w:r>
        <w:t xml:space="preserve">Voici du reste les premières lignes de l’ouvrage. </w:t>
      </w:r>
    </w:p>
    <w:p w:rsidR="00CF4BB3" w:rsidRPr="00CF4BB3" w:rsidRDefault="00CF4BB3" w:rsidP="00CF4BB3">
      <w:pPr>
        <w:pStyle w:val="ConcSy"/>
      </w:pPr>
      <w:r w:rsidRPr="004E0C68">
        <w:t>Ἀβασίλευτος</w:t>
      </w:r>
      <w:r w:rsidRPr="00CF4BB3">
        <w:t>, absque rege, carens rege.</w:t>
      </w:r>
    </w:p>
    <w:p w:rsidR="00CF4BB3" w:rsidRPr="002D5374" w:rsidRDefault="00CF4BB3" w:rsidP="00CF4BB3">
      <w:pPr>
        <w:pStyle w:val="ConcSy"/>
      </w:pPr>
      <w:r>
        <w:tab/>
      </w:r>
      <w:r w:rsidRPr="002D5374">
        <w:rPr>
          <w:rtl/>
          <w:lang w:bidi="he-IL"/>
        </w:rPr>
        <w:t>מלך אין</w:t>
      </w:r>
      <w:r w:rsidRPr="002D5374">
        <w:t xml:space="preserve">, non est rex. </w:t>
      </w:r>
    </w:p>
    <w:p w:rsidR="00CF4BB3" w:rsidRPr="002D5374" w:rsidRDefault="00CF4BB3" w:rsidP="00CF4BB3">
      <w:pPr>
        <w:pStyle w:val="ConcSy"/>
      </w:pPr>
      <w:r>
        <w:t>Prov</w:t>
      </w:r>
      <w:r w:rsidRPr="002D5374">
        <w:t>. XXX, 2</w:t>
      </w:r>
      <w:r w:rsidRPr="001D5C8C">
        <w:t xml:space="preserve">7, </w:t>
      </w:r>
      <w:r w:rsidR="001D5C8C" w:rsidRPr="001D5C8C">
        <w:t xml:space="preserve">Ἀβασίλευτόν </w:t>
      </w:r>
      <w:r w:rsidRPr="002D5374">
        <w:t>ἐστ</w:t>
      </w:r>
      <w:r w:rsidR="00DB6980">
        <w:t>ι</w:t>
      </w:r>
      <w:r w:rsidRPr="002D5374">
        <w:t>ν ἡ ἀκρ</w:t>
      </w:r>
      <w:r>
        <w:t>ι</w:t>
      </w:r>
      <w:r w:rsidRPr="002D5374">
        <w:t>ς, κα</w:t>
      </w:r>
      <w:r>
        <w:t>ὶ</w:t>
      </w:r>
      <w:r w:rsidRPr="002D5374">
        <w:t xml:space="preserve"> </w:t>
      </w:r>
      <w:r w:rsidR="00DB6980" w:rsidRPr="002D5374">
        <w:t>ἐκστρατεύει</w:t>
      </w:r>
      <w:r w:rsidRPr="002D5374">
        <w:t xml:space="preserve">. </w:t>
      </w:r>
    </w:p>
    <w:p w:rsidR="00CF4BB3" w:rsidRDefault="00DB6980" w:rsidP="00CF4BB3">
      <w:pPr>
        <w:pStyle w:val="ConcSy"/>
      </w:pPr>
      <w:r>
        <w:t>Ἄ</w:t>
      </w:r>
      <w:r w:rsidR="00CF4BB3" w:rsidRPr="002D5374">
        <w:t xml:space="preserve">βατος, </w:t>
      </w:r>
      <w:r w:rsidR="001D5C8C" w:rsidRPr="002D5374">
        <w:t>inaccessíbilis</w:t>
      </w:r>
      <w:r w:rsidR="00CF4BB3" w:rsidRPr="002D5374">
        <w:t xml:space="preserve">, </w:t>
      </w:r>
      <w:r w:rsidR="001D5C8C">
        <w:t>í</w:t>
      </w:r>
      <w:r w:rsidR="00CF4BB3" w:rsidRPr="002D5374">
        <w:t xml:space="preserve">nvius, et in neutro, </w:t>
      </w:r>
      <w:r w:rsidRPr="002D5374">
        <w:t>ἄβατον</w:t>
      </w:r>
      <w:r w:rsidR="00CF4BB3" w:rsidRPr="002D5374">
        <w:t xml:space="preserve">, </w:t>
      </w:r>
      <w:r w:rsidR="001D5C8C" w:rsidRPr="002D5374">
        <w:t>ínvium</w:t>
      </w:r>
      <w:r w:rsidR="00CF4BB3" w:rsidRPr="002D5374">
        <w:t xml:space="preserve">. </w:t>
      </w:r>
    </w:p>
    <w:p w:rsidR="00CF4BB3" w:rsidRPr="002D5374" w:rsidRDefault="00CF4BB3" w:rsidP="00CF4BB3">
      <w:pPr>
        <w:pStyle w:val="ConcSy"/>
      </w:pPr>
      <w:r>
        <w:tab/>
        <w:t>1</w:t>
      </w:r>
      <w:r w:rsidRPr="002D5374">
        <w:t xml:space="preserve">. </w:t>
      </w:r>
      <w:r w:rsidRPr="002D5374">
        <w:rPr>
          <w:rtl/>
          <w:lang w:bidi="he-IL"/>
        </w:rPr>
        <w:t>איתן</w:t>
      </w:r>
      <w:r w:rsidRPr="002D5374">
        <w:t xml:space="preserve">, </w:t>
      </w:r>
      <w:r w:rsidR="001D5C8C" w:rsidRPr="002D5374">
        <w:t>válidus</w:t>
      </w:r>
      <w:r w:rsidRPr="002D5374">
        <w:t xml:space="preserve">. </w:t>
      </w:r>
    </w:p>
    <w:p w:rsidR="001D5C8C" w:rsidRPr="001D5C8C" w:rsidRDefault="00CF4BB3" w:rsidP="00CF4BB3">
      <w:pPr>
        <w:pStyle w:val="ConcSy"/>
      </w:pPr>
      <w:r w:rsidRPr="002D5374">
        <w:t xml:space="preserve">Amos, </w:t>
      </w:r>
      <w:r w:rsidR="001D5C8C">
        <w:t>V, 24 : Κα</w:t>
      </w:r>
      <w:r w:rsidR="001D5C8C" w:rsidRPr="001D5C8C">
        <w:t>ὶ</w:t>
      </w:r>
      <w:r w:rsidRPr="001D5C8C">
        <w:t xml:space="preserve"> </w:t>
      </w:r>
      <w:r w:rsidR="001D5C8C" w:rsidRPr="001D5C8C">
        <w:t>ἡ</w:t>
      </w:r>
      <w:r w:rsidRPr="001D5C8C">
        <w:t xml:space="preserve"> δικαιοσύνη </w:t>
      </w:r>
      <w:r w:rsidR="001D5C8C" w:rsidRPr="001D5C8C">
        <w:t>ὼ</w:t>
      </w:r>
      <w:r w:rsidRPr="001D5C8C">
        <w:t>ς χε</w:t>
      </w:r>
      <w:r w:rsidR="001D5C8C" w:rsidRPr="001D5C8C">
        <w:t>ιμάῤῥ</w:t>
      </w:r>
      <w:r w:rsidRPr="001D5C8C">
        <w:t xml:space="preserve">ους </w:t>
      </w:r>
      <w:r w:rsidR="001D5C8C" w:rsidRPr="001D5C8C">
        <w:t>ἄβατος</w:t>
      </w:r>
      <w:r w:rsidRPr="001D5C8C">
        <w:t xml:space="preserve">. </w:t>
      </w:r>
    </w:p>
    <w:p w:rsidR="00CF4BB3" w:rsidRPr="002D5374" w:rsidRDefault="001D5C8C" w:rsidP="00CF4BB3">
      <w:pPr>
        <w:pStyle w:val="ConcSy"/>
      </w:pPr>
      <w:r w:rsidRPr="001D5C8C">
        <w:tab/>
      </w:r>
      <w:r w:rsidR="00CF4BB3" w:rsidRPr="001D5C8C">
        <w:t xml:space="preserve">2. </w:t>
      </w:r>
      <w:r w:rsidR="00CF4BB3" w:rsidRPr="001D5C8C">
        <w:rPr>
          <w:rtl/>
          <w:lang w:bidi="he-IL"/>
        </w:rPr>
        <w:t>אליה</w:t>
      </w:r>
      <w:r w:rsidR="00CF4BB3" w:rsidRPr="001D5C8C">
        <w:t xml:space="preserve">, </w:t>
      </w:r>
      <w:r w:rsidRPr="001D5C8C">
        <w:t>ex</w:t>
      </w:r>
      <w:r w:rsidRPr="002D5374">
        <w:t>ecrátio</w:t>
      </w:r>
      <w:r w:rsidR="00CF4BB3" w:rsidRPr="002D5374">
        <w:t xml:space="preserve">. </w:t>
      </w:r>
    </w:p>
    <w:p w:rsidR="00CF4BB3" w:rsidRDefault="00CF4BB3" w:rsidP="00CF4BB3">
      <w:pPr>
        <w:pStyle w:val="ConcSy"/>
      </w:pPr>
      <w:r w:rsidRPr="002D5374">
        <w:t xml:space="preserve">Jer. XXXII, 18 : </w:t>
      </w:r>
      <w:r w:rsidR="001D5C8C" w:rsidRPr="002D5374">
        <w:t>Καὶ</w:t>
      </w:r>
      <w:r w:rsidRPr="002D5374">
        <w:t xml:space="preserve"> </w:t>
      </w:r>
      <w:r w:rsidR="001D5C8C" w:rsidRPr="002D5374">
        <w:t>ἔσεσθε</w:t>
      </w:r>
      <w:r w:rsidRPr="002D5374">
        <w:t xml:space="preserve"> εἰς </w:t>
      </w:r>
      <w:r w:rsidR="001D5C8C" w:rsidRPr="002D5374">
        <w:t>ἄβατον</w:t>
      </w:r>
      <w:r w:rsidRPr="002D5374">
        <w:t xml:space="preserve">, </w:t>
      </w:r>
      <w:r w:rsidR="001D5C8C" w:rsidRPr="002D5374">
        <w:t>κα</w:t>
      </w:r>
      <w:r w:rsidR="001D5C8C">
        <w:t>ὶ</w:t>
      </w:r>
      <w:r w:rsidRPr="002D5374">
        <w:t xml:space="preserve"> </w:t>
      </w:r>
      <w:r w:rsidR="001D5C8C" w:rsidRPr="002D5374">
        <w:t>ὑποχεί</w:t>
      </w:r>
      <w:r w:rsidR="001D5C8C">
        <w:t>ριοι</w:t>
      </w:r>
      <w:r w:rsidRPr="002D5374">
        <w:t xml:space="preserve">. </w:t>
      </w:r>
    </w:p>
    <w:p w:rsidR="00CF4BB3" w:rsidRPr="002D5374" w:rsidRDefault="00CF4BB3" w:rsidP="00CF4BB3">
      <w:pPr>
        <w:pStyle w:val="ConcSy"/>
      </w:pPr>
      <w:r>
        <w:tab/>
      </w:r>
      <w:r w:rsidR="00EB1B1C">
        <w:t>Et</w:t>
      </w:r>
      <w:r w:rsidR="004E0C68">
        <w:t>c</w:t>
      </w:r>
      <w:r w:rsidRPr="002D5374">
        <w:t xml:space="preserve">., etc. </w:t>
      </w:r>
    </w:p>
    <w:p w:rsidR="000A7AAB" w:rsidRDefault="000A7AAB" w:rsidP="000A7AAB">
      <w:r>
        <w:t>Les meilleures Concordances grecques relatives au Nouveau Testament sont celles de Sixtus Betuleius</w:t>
      </w:r>
      <w:r w:rsidR="00B91AF7">
        <w:rPr>
          <w:rStyle w:val="Appelnotedebasdep"/>
        </w:rPr>
        <w:footnoteReference w:id="993"/>
      </w:r>
      <w:r w:rsidRPr="004440EA">
        <w:t xml:space="preserve"> (</w:t>
      </w:r>
      <w:r>
        <w:t>1546</w:t>
      </w:r>
      <w:r w:rsidR="00B546AF" w:rsidRPr="00950016">
        <w:t>)</w:t>
      </w:r>
      <w:r w:rsidRPr="00950016">
        <w:t xml:space="preserve">, </w:t>
      </w:r>
      <w:r>
        <w:t>d’Henri Étienne</w:t>
      </w:r>
      <w:r w:rsidR="00B91AF7">
        <w:rPr>
          <w:rStyle w:val="Appelnotedebasdep"/>
        </w:rPr>
        <w:footnoteReference w:id="994"/>
      </w:r>
      <w:r w:rsidRPr="004440EA">
        <w:t xml:space="preserve"> (</w:t>
      </w:r>
      <w:r>
        <w:t>Paris 1594</w:t>
      </w:r>
      <w:r w:rsidR="00B546AF" w:rsidRPr="00950016">
        <w:t>)</w:t>
      </w:r>
      <w:r w:rsidRPr="00950016">
        <w:t xml:space="preserve">, </w:t>
      </w:r>
      <w:r w:rsidR="004E0C68">
        <w:t>d’Érasme Schmid</w:t>
      </w:r>
      <w:r w:rsidR="004E0C68">
        <w:rPr>
          <w:rStyle w:val="Appelnotedebasdep"/>
        </w:rPr>
        <w:footnoteReference w:id="995"/>
      </w:r>
      <w:r w:rsidRPr="004440EA">
        <w:t xml:space="preserve"> (</w:t>
      </w:r>
      <w:r>
        <w:t>Wittemberg, 1638</w:t>
      </w:r>
      <w:r w:rsidR="00B546AF" w:rsidRPr="00950016">
        <w:t>)</w:t>
      </w:r>
      <w:r w:rsidRPr="00950016">
        <w:t xml:space="preserve"> </w:t>
      </w:r>
      <w:r>
        <w:t>et d’Hermann Bruder</w:t>
      </w:r>
      <w:r w:rsidR="00B91AF7">
        <w:rPr>
          <w:rStyle w:val="Appelnotedebasdep"/>
        </w:rPr>
        <w:footnoteReference w:id="996"/>
      </w:r>
      <w:r w:rsidRPr="004440EA">
        <w:t xml:space="preserve"> (</w:t>
      </w:r>
      <w:r>
        <w:t>Leipzig,</w:t>
      </w:r>
      <w:bookmarkStart w:id="817" w:name="z_Concordances_o10"/>
      <w:bookmarkEnd w:id="817"/>
      <w:r>
        <w:t xml:space="preserve"> 1842</w:t>
      </w:r>
      <w:r w:rsidR="00B546AF">
        <w:t>)</w:t>
      </w:r>
      <w:r>
        <w:t xml:space="preserve">. </w:t>
      </w:r>
    </w:p>
    <w:p w:rsidR="004E0C68" w:rsidRDefault="004E0C68" w:rsidP="000A7AAB"/>
    <w:p w:rsidR="000A7AAB" w:rsidRPr="005E2129" w:rsidRDefault="000A7AAB" w:rsidP="000A7AAB">
      <w:r>
        <w:t>Revenons aux Concordances latines</w:t>
      </w:r>
      <w:bookmarkStart w:id="818" w:name="z_Concordances_o11"/>
      <w:bookmarkEnd w:id="818"/>
      <w:r>
        <w:t>, qui méritent que nous nous étendions davantage sur elles, à cause de leur plus grande utilité pratique. Trop peu de personnes, en France, sont à même de recourir aux Concordances grecques, hébraïques</w:t>
      </w:r>
      <w:r w:rsidR="00B546AF">
        <w:t> ;</w:t>
      </w:r>
      <w:r>
        <w:t xml:space="preserve"> les latines, au contraire, sont d’un usage quotidien, surtout pour le clergé. Il sera bon par conséquent d’en mentionner les éditions principales, maintenant que nous connaissons leur histoire.</w:t>
      </w:r>
      <w:r w:rsidR="00C45B47">
        <w:t xml:space="preserve"> {</w:t>
      </w:r>
      <w:r w:rsidR="005E2129">
        <w:t>337</w:t>
      </w:r>
      <w:bookmarkStart w:id="819" w:name="p337"/>
      <w:bookmarkEnd w:id="819"/>
      <w:r w:rsidR="005E2129">
        <w:t xml:space="preserve">} </w:t>
      </w:r>
    </w:p>
    <w:p w:rsidR="000A7AAB" w:rsidRDefault="000A7AAB" w:rsidP="000A7AAB">
      <w:r>
        <w:t>À part quelques modifications ou corrections, elles adoptent toutes l’une des quatre premières formes que nous avons signalées au commencement de cet article</w:t>
      </w:r>
      <w:r w:rsidR="00B91AF7">
        <w:rPr>
          <w:rStyle w:val="Appelnotedebasdep"/>
        </w:rPr>
        <w:footnoteReference w:id="997"/>
      </w:r>
      <w:r>
        <w:t xml:space="preserve">. </w:t>
      </w:r>
    </w:p>
    <w:p w:rsidR="000A7AAB" w:rsidRDefault="000A7AAB" w:rsidP="000A7AAB">
      <w:r>
        <w:t xml:space="preserve">C’est à </w:t>
      </w:r>
      <w:r w:rsidR="004E0C68">
        <w:t>Frobenius</w:t>
      </w:r>
      <w:r>
        <w:t xml:space="preserve"> que revient la gloire d’avoir imprimé la première Concordance latine. Elle parut à Bâle</w:t>
      </w:r>
      <w:r w:rsidR="00B91AF7">
        <w:rPr>
          <w:rStyle w:val="Appelnotedebasdep"/>
        </w:rPr>
        <w:footnoteReference w:id="998"/>
      </w:r>
      <w:r>
        <w:t xml:space="preserve"> en 1516. Elle a pour titre</w:t>
      </w:r>
      <w:r w:rsidR="00B546AF">
        <w:t> :</w:t>
      </w:r>
      <w:r w:rsidR="009B6B8B">
        <w:rPr>
          <w:rStyle w:val="italicus"/>
        </w:rPr>
        <w:t xml:space="preserve"> Concordántiæ</w:t>
      </w:r>
      <w:r w:rsidRPr="000A34B5">
        <w:rPr>
          <w:rStyle w:val="italicus"/>
        </w:rPr>
        <w:t xml:space="preserve"> m</w:t>
      </w:r>
      <w:r w:rsidR="003B53FD" w:rsidRPr="000A34B5">
        <w:rPr>
          <w:rStyle w:val="italicus"/>
        </w:rPr>
        <w:t>aj</w:t>
      </w:r>
      <w:r w:rsidR="003B53FD">
        <w:rPr>
          <w:rStyle w:val="italicus"/>
        </w:rPr>
        <w:t>ó</w:t>
      </w:r>
      <w:r w:rsidR="003B53FD" w:rsidRPr="000A34B5">
        <w:rPr>
          <w:rStyle w:val="italicus"/>
        </w:rPr>
        <w:t>res</w:t>
      </w:r>
      <w:r w:rsidRPr="000A34B5">
        <w:rPr>
          <w:rStyle w:val="italicus"/>
        </w:rPr>
        <w:t xml:space="preserve"> cum declinab</w:t>
      </w:r>
      <w:r w:rsidR="003B53FD">
        <w:rPr>
          <w:rStyle w:val="italicus"/>
        </w:rPr>
        <w:t>í</w:t>
      </w:r>
      <w:r w:rsidR="003B53FD" w:rsidRPr="000A34B5">
        <w:rPr>
          <w:rStyle w:val="italicus"/>
        </w:rPr>
        <w:t>lium</w:t>
      </w:r>
      <w:r w:rsidRPr="000A34B5">
        <w:rPr>
          <w:rStyle w:val="italicus"/>
        </w:rPr>
        <w:t xml:space="preserve"> </w:t>
      </w:r>
      <w:r w:rsidR="009B6B8B" w:rsidRPr="000A34B5">
        <w:rPr>
          <w:rStyle w:val="italicus"/>
        </w:rPr>
        <w:t>utriúsque</w:t>
      </w:r>
      <w:r w:rsidRPr="000A34B5">
        <w:rPr>
          <w:rStyle w:val="italicus"/>
        </w:rPr>
        <w:t xml:space="preserve"> Instrumente, tum indeclinab</w:t>
      </w:r>
      <w:r w:rsidR="003B53FD">
        <w:rPr>
          <w:rStyle w:val="italicus"/>
        </w:rPr>
        <w:t>í</w:t>
      </w:r>
      <w:r w:rsidR="003B53FD" w:rsidRPr="000A34B5">
        <w:rPr>
          <w:rStyle w:val="italicus"/>
        </w:rPr>
        <w:t>lium</w:t>
      </w:r>
      <w:r w:rsidRPr="000A34B5">
        <w:rPr>
          <w:rStyle w:val="italicus"/>
        </w:rPr>
        <w:t xml:space="preserve"> dict</w:t>
      </w:r>
      <w:r w:rsidR="003B53FD" w:rsidRPr="000A34B5">
        <w:rPr>
          <w:rStyle w:val="italicus"/>
        </w:rPr>
        <w:t>i</w:t>
      </w:r>
      <w:r w:rsidR="003B53FD">
        <w:rPr>
          <w:rStyle w:val="italicus"/>
        </w:rPr>
        <w:t>ó</w:t>
      </w:r>
      <w:r w:rsidR="003B53FD" w:rsidRPr="000A34B5">
        <w:rPr>
          <w:rStyle w:val="italicus"/>
        </w:rPr>
        <w:t>num</w:t>
      </w:r>
      <w:r w:rsidRPr="000A34B5">
        <w:rPr>
          <w:rStyle w:val="italicus"/>
        </w:rPr>
        <w:t>.</w:t>
      </w:r>
      <w:r>
        <w:t xml:space="preserve"> De fait, elle se compose de deux parties distinctes</w:t>
      </w:r>
      <w:r w:rsidR="00B546AF">
        <w:t> :</w:t>
      </w:r>
      <w:r>
        <w:t xml:space="preserve"> les mots déclinables et les particules invariables. L’ouvrage presque tout entier </w:t>
      </w:r>
      <w:r w:rsidR="00425C50">
        <w:t>est</w:t>
      </w:r>
      <w:r>
        <w:t xml:space="preserve"> imprimé en caractères gothiques. Une seconde édition tout à fait semblable parut, quatre ans plus tard, également chez </w:t>
      </w:r>
      <w:r w:rsidR="009B6B8B">
        <w:t>Frobenius</w:t>
      </w:r>
      <w:r>
        <w:t xml:space="preserve">. En 1545, un éditeur lyonnais, Sébastien Gryphius, </w:t>
      </w:r>
      <w:r w:rsidR="003B53FD">
        <w:t>publia</w:t>
      </w:r>
      <w:r>
        <w:t xml:space="preserve"> à son tour les</w:t>
      </w:r>
      <w:r w:rsidRPr="000A34B5">
        <w:rPr>
          <w:rStyle w:val="italicus"/>
        </w:rPr>
        <w:t xml:space="preserve"> </w:t>
      </w:r>
      <w:r w:rsidR="009B6B8B" w:rsidRPr="000A34B5">
        <w:rPr>
          <w:rStyle w:val="italicus"/>
        </w:rPr>
        <w:t>Concordántiæ</w:t>
      </w:r>
      <w:r w:rsidRPr="000A34B5">
        <w:rPr>
          <w:rStyle w:val="italicus"/>
        </w:rPr>
        <w:t xml:space="preserve"> m</w:t>
      </w:r>
      <w:r w:rsidR="003B53FD" w:rsidRPr="000A34B5">
        <w:rPr>
          <w:rStyle w:val="italicus"/>
        </w:rPr>
        <w:t>aj</w:t>
      </w:r>
      <w:r w:rsidR="003B53FD">
        <w:rPr>
          <w:rStyle w:val="italicus"/>
        </w:rPr>
        <w:t>ó</w:t>
      </w:r>
      <w:r w:rsidR="003B53FD" w:rsidRPr="000A34B5">
        <w:rPr>
          <w:rStyle w:val="italicus"/>
        </w:rPr>
        <w:t>res</w:t>
      </w:r>
      <w:r w:rsidRPr="000A34B5">
        <w:rPr>
          <w:rStyle w:val="italicus"/>
        </w:rPr>
        <w:t xml:space="preserve">, </w:t>
      </w:r>
      <w:r>
        <w:t>en y ajoutant aussi les mots indéclinable</w:t>
      </w:r>
      <w:r w:rsidR="004377BC">
        <w:t>s</w:t>
      </w:r>
      <w:r w:rsidR="004377BC">
        <w:rPr>
          <w:rStyle w:val="Appelnotedebasdep"/>
        </w:rPr>
        <w:footnoteReference w:id="999"/>
      </w:r>
      <w:r>
        <w:t xml:space="preserve">. </w:t>
      </w:r>
    </w:p>
    <w:p w:rsidR="000A7AAB" w:rsidRDefault="000A7AAB" w:rsidP="000A7AAB">
      <w:r>
        <w:t>Une édition plus célèbre parut en 1555 à Paris chez Robert Étienne, sous ce titre</w:t>
      </w:r>
      <w:r w:rsidR="00B546AF">
        <w:t> :</w:t>
      </w:r>
      <w:r w:rsidRPr="000A34B5">
        <w:rPr>
          <w:rStyle w:val="italicus"/>
        </w:rPr>
        <w:t xml:space="preserve"> </w:t>
      </w:r>
      <w:r w:rsidR="009B6B8B">
        <w:rPr>
          <w:rStyle w:val="italicus"/>
        </w:rPr>
        <w:t>Concordántiæ</w:t>
      </w:r>
      <w:r w:rsidRPr="000A34B5">
        <w:rPr>
          <w:rStyle w:val="italicus"/>
        </w:rPr>
        <w:t xml:space="preserve"> Bi</w:t>
      </w:r>
      <w:r w:rsidR="003B53FD" w:rsidRPr="000A34B5">
        <w:rPr>
          <w:rStyle w:val="italicus"/>
        </w:rPr>
        <w:t>bli</w:t>
      </w:r>
      <w:r w:rsidR="003B53FD">
        <w:rPr>
          <w:rStyle w:val="italicus"/>
        </w:rPr>
        <w:t>ó</w:t>
      </w:r>
      <w:r w:rsidR="003B53FD" w:rsidRPr="000A34B5">
        <w:rPr>
          <w:rStyle w:val="italicus"/>
        </w:rPr>
        <w:t>rum</w:t>
      </w:r>
      <w:r w:rsidRPr="000A34B5">
        <w:rPr>
          <w:rStyle w:val="italicus"/>
        </w:rPr>
        <w:t xml:space="preserve"> </w:t>
      </w:r>
      <w:r w:rsidR="009B6B8B" w:rsidRPr="000A34B5">
        <w:rPr>
          <w:rStyle w:val="italicus"/>
        </w:rPr>
        <w:t>utriúsque</w:t>
      </w:r>
      <w:r w:rsidRPr="000A34B5">
        <w:rPr>
          <w:rStyle w:val="italicus"/>
        </w:rPr>
        <w:t xml:space="preserve"> </w:t>
      </w:r>
      <w:r w:rsidR="009B6B8B" w:rsidRPr="000A34B5">
        <w:rPr>
          <w:rStyle w:val="italicus"/>
        </w:rPr>
        <w:t>Testaménti</w:t>
      </w:r>
      <w:r w:rsidRPr="000A34B5">
        <w:rPr>
          <w:rStyle w:val="italicus"/>
        </w:rPr>
        <w:t xml:space="preserve">, </w:t>
      </w:r>
      <w:r w:rsidR="009B6B8B" w:rsidRPr="000A34B5">
        <w:rPr>
          <w:rStyle w:val="italicus"/>
        </w:rPr>
        <w:t>Véteris</w:t>
      </w:r>
      <w:r w:rsidRPr="000A34B5">
        <w:rPr>
          <w:rStyle w:val="italicus"/>
        </w:rPr>
        <w:t xml:space="preserve"> et Novi, novæ et </w:t>
      </w:r>
      <w:r w:rsidR="009B6B8B" w:rsidRPr="000A34B5">
        <w:rPr>
          <w:rStyle w:val="italicus"/>
        </w:rPr>
        <w:t>ínt</w:t>
      </w:r>
      <w:r w:rsidR="009B6B8B">
        <w:rPr>
          <w:rStyle w:val="italicus"/>
        </w:rPr>
        <w:t>egræ</w:t>
      </w:r>
      <w:r w:rsidR="00205F90">
        <w:rPr>
          <w:rStyle w:val="Appelnotedebasdep"/>
          <w:i/>
        </w:rPr>
        <w:footnoteReference w:id="1000"/>
      </w:r>
      <w:r w:rsidR="00205F90">
        <w:rPr>
          <w:rStyle w:val="italicus"/>
        </w:rPr>
        <w:t>.</w:t>
      </w:r>
      <w:r>
        <w:t xml:space="preserve"> L’illustre typographe y donne à ses confrères ce singulier avis</w:t>
      </w:r>
      <w:r w:rsidR="00B546AF">
        <w:t> :</w:t>
      </w:r>
      <w:r>
        <w:t xml:space="preserve"> </w:t>
      </w:r>
    </w:p>
    <w:p w:rsidR="000A7AAB" w:rsidRPr="004E0C68" w:rsidRDefault="000A7AAB" w:rsidP="004E0C68">
      <w:pPr>
        <w:pStyle w:val="LcCentrum"/>
        <w:rPr>
          <w:rStyle w:val="pm"/>
        </w:rPr>
      </w:pPr>
      <w:r w:rsidRPr="004E0C68">
        <w:rPr>
          <w:rStyle w:val="pm"/>
        </w:rPr>
        <w:t xml:space="preserve">R. </w:t>
      </w:r>
      <w:r w:rsidR="009B6B8B" w:rsidRPr="004E0C68">
        <w:rPr>
          <w:rStyle w:val="pm"/>
        </w:rPr>
        <w:t>Stéphanus</w:t>
      </w:r>
      <w:r w:rsidRPr="004E0C68">
        <w:rPr>
          <w:rStyle w:val="pm"/>
        </w:rPr>
        <w:t xml:space="preserve"> </w:t>
      </w:r>
      <w:r w:rsidR="009B6B8B" w:rsidRPr="004E0C68">
        <w:rPr>
          <w:rStyle w:val="pm"/>
        </w:rPr>
        <w:t>Typógraphis</w:t>
      </w:r>
      <w:r w:rsidR="00B546AF" w:rsidRPr="004E0C68">
        <w:rPr>
          <w:rStyle w:val="pm"/>
        </w:rPr>
        <w:t> :</w:t>
      </w:r>
      <w:r w:rsidRPr="004E0C68">
        <w:rPr>
          <w:rStyle w:val="pm"/>
        </w:rPr>
        <w:t xml:space="preserve"> </w:t>
      </w:r>
    </w:p>
    <w:p w:rsidR="000A7AAB" w:rsidRPr="005E2129" w:rsidRDefault="00B546AF" w:rsidP="009B6B8B">
      <w:pPr>
        <w:pStyle w:val="locus"/>
      </w:pPr>
      <w:r>
        <w:lastRenderedPageBreak/>
        <w:t>« </w:t>
      </w:r>
      <w:r w:rsidR="00B80FAB" w:rsidRPr="004E0C68">
        <w:t>Æquos</w:t>
      </w:r>
      <w:r w:rsidR="00B80FAB">
        <w:t xml:space="preserve"> </w:t>
      </w:r>
      <w:r w:rsidR="000A7AAB">
        <w:t>et inn</w:t>
      </w:r>
      <w:r w:rsidR="003B53FD">
        <w:t>ócuos</w:t>
      </w:r>
      <w:r w:rsidR="000A7AAB">
        <w:t xml:space="preserve"> vos p</w:t>
      </w:r>
      <w:r w:rsidR="003B53FD">
        <w:t>ræbéte</w:t>
      </w:r>
      <w:r w:rsidR="000A7AAB">
        <w:t xml:space="preserve"> </w:t>
      </w:r>
      <w:r w:rsidR="004E0C68" w:rsidRPr="004E0C68">
        <w:t xml:space="preserve">ὁμοτέχνῳ </w:t>
      </w:r>
      <w:r w:rsidR="004E0C68">
        <w:t>ὑμ</w:t>
      </w:r>
      <w:r w:rsidR="004E0C68" w:rsidRPr="004E0C68">
        <w:t>ῶν</w:t>
      </w:r>
      <w:r w:rsidR="000A7AAB">
        <w:t xml:space="preserve">, rogo atque </w:t>
      </w:r>
      <w:r w:rsidR="00B80FAB">
        <w:t>óbsecro</w:t>
      </w:r>
      <w:r w:rsidR="000A7AAB">
        <w:t>. Privil</w:t>
      </w:r>
      <w:r w:rsidR="003B53FD">
        <w:t>égium</w:t>
      </w:r>
      <w:r w:rsidR="000A7AAB">
        <w:t xml:space="preserve"> ipsi ultro ad annos </w:t>
      </w:r>
      <w:r w:rsidR="003B53FD">
        <w:t>áliquot</w:t>
      </w:r>
      <w:r w:rsidR="000A7AAB">
        <w:t xml:space="preserve"> irrog</w:t>
      </w:r>
      <w:r w:rsidR="00B80FAB">
        <w:t>á</w:t>
      </w:r>
      <w:r w:rsidR="000A7AAB">
        <w:t xml:space="preserve">te, ut messi </w:t>
      </w:r>
      <w:r w:rsidR="00B80FAB">
        <w:t>aliénæ</w:t>
      </w:r>
      <w:r w:rsidR="000A7AAB">
        <w:t xml:space="preserve"> p</w:t>
      </w:r>
      <w:r w:rsidR="003B53FD">
        <w:t>arcátis</w:t>
      </w:r>
      <w:r w:rsidR="000A7AAB">
        <w:t>. Cœpta, necdum expol</w:t>
      </w:r>
      <w:r w:rsidR="00B80FAB">
        <w:t>í</w:t>
      </w:r>
      <w:r w:rsidR="000A7AAB">
        <w:t>ta, mel</w:t>
      </w:r>
      <w:r w:rsidR="003B53FD">
        <w:t>ióra</w:t>
      </w:r>
      <w:r w:rsidR="000A7AAB">
        <w:t xml:space="preserve"> </w:t>
      </w:r>
      <w:r w:rsidR="003B53FD">
        <w:t>fácere</w:t>
      </w:r>
      <w:r w:rsidR="000A7AAB">
        <w:t xml:space="preserve"> et </w:t>
      </w:r>
      <w:r w:rsidR="00B80FAB">
        <w:t>perfícere</w:t>
      </w:r>
      <w:r w:rsidR="000A7AAB">
        <w:t xml:space="preserve"> </w:t>
      </w:r>
      <w:r w:rsidR="00B80FAB">
        <w:t>sínite</w:t>
      </w:r>
      <w:r w:rsidR="000A7AAB">
        <w:t xml:space="preserve">, vobis in </w:t>
      </w:r>
      <w:r w:rsidR="003B53FD">
        <w:t>témpore</w:t>
      </w:r>
      <w:r w:rsidR="000A7AAB">
        <w:t xml:space="preserve"> </w:t>
      </w:r>
      <w:r w:rsidR="00B80FAB">
        <w:t>profutúra</w:t>
      </w:r>
      <w:r>
        <w:t> »</w:t>
      </w:r>
      <w:r w:rsidR="000A7AAB">
        <w:t>.</w:t>
      </w:r>
      <w:r w:rsidR="00C45B47">
        <w:t xml:space="preserve"> {</w:t>
      </w:r>
      <w:r w:rsidR="005E2129">
        <w:t>338</w:t>
      </w:r>
      <w:bookmarkStart w:id="820" w:name="p338"/>
      <w:bookmarkEnd w:id="820"/>
      <w:r w:rsidR="005E2129">
        <w:t xml:space="preserve">} </w:t>
      </w:r>
    </w:p>
    <w:p w:rsidR="000A7AAB" w:rsidRDefault="000A7AAB" w:rsidP="000A7AAB">
      <w:r>
        <w:t>S’adressant ensuite</w:t>
      </w:r>
      <w:r w:rsidRPr="000A34B5">
        <w:rPr>
          <w:rStyle w:val="italicus"/>
        </w:rPr>
        <w:t xml:space="preserve"> </w:t>
      </w:r>
      <w:r w:rsidR="00B80FAB" w:rsidRPr="000A34B5">
        <w:rPr>
          <w:rStyle w:val="italicus"/>
        </w:rPr>
        <w:t>christiáno</w:t>
      </w:r>
      <w:r w:rsidRPr="000A34B5">
        <w:rPr>
          <w:rStyle w:val="italicus"/>
        </w:rPr>
        <w:t xml:space="preserve"> </w:t>
      </w:r>
      <w:r w:rsidR="00B80FAB" w:rsidRPr="000A34B5">
        <w:rPr>
          <w:rStyle w:val="italicus"/>
        </w:rPr>
        <w:t>lectóri</w:t>
      </w:r>
      <w:r w:rsidRPr="000A34B5">
        <w:rPr>
          <w:rStyle w:val="italicus"/>
        </w:rPr>
        <w:t>,</w:t>
      </w:r>
      <w:r>
        <w:t xml:space="preserve"> il indique les motifs qui l’ont excité à donner cette nouvelle Concordance, signalant en particulier les défauts des précédentes et les désirs exprimés par les savants. Après quoi, il expose les changements qu’il a cru devoir apporter à l’ancienne méthode, entre autres la division si commode des chapitres en versets</w:t>
      </w:r>
      <w:r w:rsidR="00B91AF7">
        <w:rPr>
          <w:rStyle w:val="Appelnotedebasdep"/>
        </w:rPr>
        <w:footnoteReference w:id="1001"/>
      </w:r>
      <w:r>
        <w:t xml:space="preserve">. Il diffère encore de ses prédécesseurs en ce que, au lieu de consacrer comme eux une partie distincte aux particules, il les mélange simplement aux autres mots, selon leur rang alphabétique. </w:t>
      </w:r>
    </w:p>
    <w:p w:rsidR="000A7AAB" w:rsidRDefault="000A7AAB" w:rsidP="000A7AAB">
      <w:r>
        <w:t>À cette époque, les éditeurs ne se bornaient pas à faire de la spéculation. D’ordinaire, ils étaient eux-mêmes des savants. C’est ainsi que J. Herv</w:t>
      </w:r>
      <w:r w:rsidR="00B80FAB">
        <w:t>a</w:t>
      </w:r>
      <w:r w:rsidR="003B53FD">
        <w:t>gius</w:t>
      </w:r>
      <w:r>
        <w:t xml:space="preserve"> de Bâle, à l’exemple de Robert Étienne, revit et corrigea les Concordances majeures</w:t>
      </w:r>
      <w:r w:rsidR="00B546AF">
        <w:t> ;</w:t>
      </w:r>
      <w:r>
        <w:t xml:space="preserve"> son fils </w:t>
      </w:r>
      <w:r w:rsidR="003B53FD">
        <w:t>publia</w:t>
      </w:r>
      <w:r>
        <w:t xml:space="preserve"> son travail après sa mort, en 1561. </w:t>
      </w:r>
    </w:p>
    <w:p w:rsidR="000A7AAB" w:rsidRPr="005E2129" w:rsidRDefault="000A7AAB" w:rsidP="000A7AAB">
      <w:r>
        <w:t>Cologne eut aussi ses Concordances latines,</w:t>
      </w:r>
      <w:r w:rsidRPr="000A34B5">
        <w:rPr>
          <w:rStyle w:val="italicus"/>
        </w:rPr>
        <w:t xml:space="preserve"> a </w:t>
      </w:r>
      <w:r w:rsidR="00B80FAB" w:rsidRPr="000A34B5">
        <w:rPr>
          <w:rStyle w:val="italicus"/>
        </w:rPr>
        <w:t>The</w:t>
      </w:r>
      <w:r w:rsidR="00B80FAB">
        <w:rPr>
          <w:rStyle w:val="italicus"/>
        </w:rPr>
        <w:t>ó</w:t>
      </w:r>
      <w:r w:rsidR="00B80FAB" w:rsidRPr="000A34B5">
        <w:rPr>
          <w:rStyle w:val="italicus"/>
        </w:rPr>
        <w:t>l</w:t>
      </w:r>
      <w:r w:rsidR="00B80FAB">
        <w:rPr>
          <w:rStyle w:val="italicus"/>
        </w:rPr>
        <w:t>og</w:t>
      </w:r>
      <w:r w:rsidR="00B80FAB" w:rsidRPr="000A34B5">
        <w:rPr>
          <w:rStyle w:val="italicus"/>
        </w:rPr>
        <w:t xml:space="preserve">is </w:t>
      </w:r>
      <w:r w:rsidR="00B80FAB">
        <w:rPr>
          <w:rStyle w:val="italicus"/>
        </w:rPr>
        <w:t>Coloniénsibu</w:t>
      </w:r>
      <w:r w:rsidR="00B80FAB" w:rsidRPr="000A34B5">
        <w:rPr>
          <w:rStyle w:val="italicus"/>
        </w:rPr>
        <w:t xml:space="preserve">s </w:t>
      </w:r>
      <w:r w:rsidRPr="000A34B5">
        <w:rPr>
          <w:rStyle w:val="italicus"/>
        </w:rPr>
        <w:t>r</w:t>
      </w:r>
      <w:r w:rsidR="00B80FAB">
        <w:rPr>
          <w:rStyle w:val="italicus"/>
        </w:rPr>
        <w:t>évisæ</w:t>
      </w:r>
      <w:r w:rsidRPr="000A34B5">
        <w:rPr>
          <w:rStyle w:val="italicus"/>
        </w:rPr>
        <w:t xml:space="preserve"> et auctæ.</w:t>
      </w:r>
      <w:r>
        <w:t xml:space="preserve"> Cette édition, qui parut pour la seconde fois en 1663, chez Pierre Hilden, n’offre rien de particulier. Celle des Bénédictins de Wessobrunn, publiée à Augsbourg en 1751, suit au moins en partie une voie nouvelle et plus parfaite. En effet, 1° les textes cités offrent toujours un sens complet, ou du moins permettent de le découvrir sans peine</w:t>
      </w:r>
      <w:r w:rsidR="00B546AF">
        <w:t> ;</w:t>
      </w:r>
      <w:r>
        <w:t xml:space="preserve"> 2° les formes des verbes y sont classées d’après les temps et les personnes, les noms d’après les cas</w:t>
      </w:r>
      <w:r w:rsidR="00B546AF">
        <w:t> :</w:t>
      </w:r>
      <w:r>
        <w:t xml:space="preserve"> ce qui facilite beaucoup les recherches</w:t>
      </w:r>
      <w:r w:rsidR="00B546AF">
        <w:t> ;</w:t>
      </w:r>
      <w:r>
        <w:t xml:space="preserve"> 3° pour gagner de la place, on a imaginé plusieurs modes ingénieux d’abréger les mots et les textes.</w:t>
      </w:r>
      <w:r w:rsidR="00C45B47">
        <w:t xml:space="preserve"> {</w:t>
      </w:r>
      <w:r w:rsidR="005E2129">
        <w:t>339</w:t>
      </w:r>
      <w:bookmarkStart w:id="821" w:name="p339"/>
      <w:bookmarkEnd w:id="821"/>
      <w:r w:rsidR="005E2129">
        <w:t xml:space="preserve">} </w:t>
      </w:r>
    </w:p>
    <w:p w:rsidR="000A7AAB" w:rsidRDefault="00033BCE" w:rsidP="00304F17">
      <w:pPr>
        <w:pStyle w:val="LcCentrum"/>
      </w:pPr>
      <w:r>
        <w:t>A</w:t>
      </w:r>
      <w:r w:rsidR="000A7AAB">
        <w:t xml:space="preserve">. </w:t>
      </w:r>
    </w:p>
    <w:p w:rsidR="000A7AAB" w:rsidRDefault="00033BCE" w:rsidP="00304F17">
      <w:pPr>
        <w:pStyle w:val="LcCentrum"/>
      </w:pPr>
      <w:r>
        <w:t xml:space="preserve">A </w:t>
      </w:r>
      <w:r w:rsidR="000A7AAB">
        <w:t xml:space="preserve">et </w:t>
      </w:r>
      <w:r>
        <w:t>O</w:t>
      </w:r>
      <w:r w:rsidR="000A7AAB">
        <w:t xml:space="preserve">. </w:t>
      </w:r>
    </w:p>
    <w:p w:rsidR="00033BCE" w:rsidRDefault="000A7AAB" w:rsidP="00304F17">
      <w:pPr>
        <w:pStyle w:val="LcCentrum"/>
      </w:pPr>
      <w:r w:rsidRPr="000A34B5">
        <w:rPr>
          <w:rStyle w:val="italicus"/>
        </w:rPr>
        <w:t>Apoc.</w:t>
      </w:r>
      <w:r>
        <w:t xml:space="preserve"> </w:t>
      </w:r>
      <w:r w:rsidR="00033BCE">
        <w:t xml:space="preserve">1, </w:t>
      </w:r>
      <w:r>
        <w:t>8, ego s</w:t>
      </w:r>
      <w:r w:rsidR="00F6492C">
        <w:t>um</w:t>
      </w:r>
      <w:r w:rsidR="00033BCE">
        <w:t xml:space="preserve"> *</w:t>
      </w:r>
      <w:r w:rsidR="00F6492C">
        <w:t>.</w:t>
      </w:r>
      <w:r>
        <w:t xml:space="preserve"> </w:t>
      </w:r>
      <w:r w:rsidR="00033BCE">
        <w:t xml:space="preserve">† </w:t>
      </w:r>
      <w:r>
        <w:t xml:space="preserve">21, 6. </w:t>
      </w:r>
    </w:p>
    <w:p w:rsidR="000A7AAB" w:rsidRDefault="00033BCE" w:rsidP="00304F17">
      <w:pPr>
        <w:pStyle w:val="LcCentrum"/>
      </w:pPr>
      <w:r>
        <w:t>†</w:t>
      </w:r>
      <w:r w:rsidR="000A7AAB">
        <w:t xml:space="preserve"> 22, 13. </w:t>
      </w:r>
    </w:p>
    <w:p w:rsidR="00033BCE" w:rsidRDefault="00033BCE" w:rsidP="00304F17">
      <w:pPr>
        <w:pStyle w:val="LcCentrum"/>
      </w:pPr>
    </w:p>
    <w:p w:rsidR="000A7AAB" w:rsidRDefault="00033BCE" w:rsidP="00304F17">
      <w:pPr>
        <w:pStyle w:val="LcCentrum"/>
      </w:pPr>
      <w:r>
        <w:t xml:space="preserve">AAA. </w:t>
      </w:r>
    </w:p>
    <w:p w:rsidR="00033BCE" w:rsidRDefault="007B3C26" w:rsidP="00304F17">
      <w:pPr>
        <w:pStyle w:val="LcCentrum"/>
      </w:pPr>
      <w:r>
        <w:rPr>
          <w:rStyle w:val="italicus"/>
        </w:rPr>
        <w:t>I</w:t>
      </w:r>
      <w:r w:rsidRPr="007B3C26">
        <w:rPr>
          <w:rStyle w:val="italicus"/>
          <w:vertAlign w:val="superscript"/>
        </w:rPr>
        <w:t>er</w:t>
      </w:r>
      <w:r w:rsidR="000A7AAB" w:rsidRPr="000A34B5">
        <w:rPr>
          <w:rStyle w:val="italicus"/>
        </w:rPr>
        <w:t>.</w:t>
      </w:r>
      <w:r w:rsidR="000A7AAB">
        <w:t xml:space="preserve"> 1, 6 et dixi</w:t>
      </w:r>
      <w:r w:rsidR="00B546AF">
        <w:t> :</w:t>
      </w:r>
      <w:r w:rsidR="000A7AAB">
        <w:t xml:space="preserve"> * Dne Deus</w:t>
      </w:r>
      <w:r w:rsidR="00B546AF">
        <w:t> !</w:t>
      </w:r>
      <w:r w:rsidR="000A7AAB">
        <w:t xml:space="preserve"> </w:t>
      </w:r>
    </w:p>
    <w:p w:rsidR="00033BCE" w:rsidRDefault="00033BCE" w:rsidP="00304F17">
      <w:pPr>
        <w:pStyle w:val="LcCentrum"/>
      </w:pPr>
      <w:r>
        <w:t>†</w:t>
      </w:r>
      <w:r w:rsidR="000A7AAB">
        <w:t xml:space="preserve"> 14, 13.</w:t>
      </w:r>
      <w:r w:rsidR="000A7AAB" w:rsidRPr="000A34B5">
        <w:rPr>
          <w:rStyle w:val="italicus"/>
        </w:rPr>
        <w:t xml:space="preserve"> Ezech.</w:t>
      </w:r>
      <w:r>
        <w:t xml:space="preserve"> 4, 14. †</w:t>
      </w:r>
      <w:r w:rsidR="000A7AAB">
        <w:t xml:space="preserve"> 20, 46. </w:t>
      </w:r>
    </w:p>
    <w:p w:rsidR="00033BCE" w:rsidRDefault="000A7AAB" w:rsidP="00304F17">
      <w:pPr>
        <w:pStyle w:val="LcCentrum"/>
      </w:pPr>
      <w:r w:rsidRPr="000A34B5">
        <w:rPr>
          <w:rStyle w:val="italicus"/>
        </w:rPr>
        <w:t>Ioël.</w:t>
      </w:r>
      <w:r w:rsidR="00033BCE">
        <w:t xml:space="preserve"> 1, 15</w:t>
      </w:r>
      <w:r>
        <w:t>. * d</w:t>
      </w:r>
      <w:r w:rsidR="003B53FD">
        <w:t>iéi</w:t>
      </w:r>
      <w:r w:rsidR="00B546AF">
        <w:t> :</w:t>
      </w:r>
      <w:r>
        <w:t xml:space="preserve"> quia prope </w:t>
      </w:r>
      <w:r w:rsidR="00425C50">
        <w:t>est</w:t>
      </w:r>
      <w:r>
        <w:t xml:space="preserve"> </w:t>
      </w:r>
    </w:p>
    <w:p w:rsidR="000A7AAB" w:rsidRDefault="000A7AAB" w:rsidP="00304F17">
      <w:pPr>
        <w:pStyle w:val="LcCentrum"/>
      </w:pPr>
      <w:r>
        <w:t>dies Dni</w:t>
      </w:r>
      <w:r w:rsidR="00B91AF7">
        <w:rPr>
          <w:rStyle w:val="Appelnotedebasdep"/>
        </w:rPr>
        <w:footnoteReference w:id="1002"/>
      </w:r>
      <w:r>
        <w:t xml:space="preserve">. </w:t>
      </w:r>
    </w:p>
    <w:p w:rsidR="000A7AAB" w:rsidRPr="005E2129" w:rsidRDefault="000A7AAB" w:rsidP="000A7AAB">
      <w:r>
        <w:t xml:space="preserve">Une des meilleures Concordances latines </w:t>
      </w:r>
      <w:r w:rsidR="00425C50">
        <w:t>est</w:t>
      </w:r>
      <w:r>
        <w:t xml:space="preserve"> celle de François Luc</w:t>
      </w:r>
      <w:r w:rsidR="00B91AF7">
        <w:rPr>
          <w:rStyle w:val="Appelnotedebasdep"/>
        </w:rPr>
        <w:footnoteReference w:id="1003"/>
      </w:r>
      <w:r>
        <w:t>, revue et corrigée par Hubert Phal</w:t>
      </w:r>
      <w:r w:rsidR="007B6C57">
        <w:t>é</w:t>
      </w:r>
      <w:r w:rsidR="001730C6">
        <w:t>s</w:t>
      </w:r>
      <w:r>
        <w:t>iu</w:t>
      </w:r>
      <w:r w:rsidR="004377BC">
        <w:t>s</w:t>
      </w:r>
      <w:r w:rsidR="004377BC">
        <w:rPr>
          <w:rStyle w:val="Appelnotedebasdep"/>
        </w:rPr>
        <w:footnoteReference w:id="1004"/>
      </w:r>
      <w:r>
        <w:t>. Nous la recommandons à nos lecteurs</w:t>
      </w:r>
      <w:r w:rsidR="00B91AF7">
        <w:rPr>
          <w:rStyle w:val="Appelnotedebasdep"/>
        </w:rPr>
        <w:footnoteReference w:id="1005"/>
      </w:r>
      <w:r>
        <w:t xml:space="preserve">. Mais elle a encore été surpassée par celle de Dutripon, qui </w:t>
      </w:r>
      <w:r w:rsidR="00425C50">
        <w:t>est</w:t>
      </w:r>
      <w:r>
        <w:t xml:space="preserve"> sans contredit la plus parfaite actuellement</w:t>
      </w:r>
      <w:r w:rsidR="00B91AF7">
        <w:rPr>
          <w:rStyle w:val="Appelnotedebasdep"/>
        </w:rPr>
        <w:footnoteReference w:id="1006"/>
      </w:r>
      <w:r>
        <w:t>.</w:t>
      </w:r>
      <w:r w:rsidR="00C45B47">
        <w:t xml:space="preserve"> {</w:t>
      </w:r>
      <w:r w:rsidR="005E2129">
        <w:t>340</w:t>
      </w:r>
      <w:bookmarkStart w:id="822" w:name="p340"/>
      <w:bookmarkEnd w:id="822"/>
      <w:r w:rsidR="005E2129">
        <w:t xml:space="preserve">} </w:t>
      </w:r>
    </w:p>
    <w:p w:rsidR="000A7AAB" w:rsidRDefault="000A7AAB" w:rsidP="000A7AAB">
      <w:r>
        <w:t>Nous ne suivrons pas M. Bindseil dans sa longue nomenclature d’autres éditions moins importantes</w:t>
      </w:r>
      <w:r w:rsidR="00B91AF7">
        <w:rPr>
          <w:rStyle w:val="Appelnotedebasdep"/>
        </w:rPr>
        <w:footnoteReference w:id="1007"/>
      </w:r>
      <w:r>
        <w:t xml:space="preserve">. Ce que nous avons dit sur ce sujet suffit largement pour le but que nous nous étions proposé dans cette étude. </w:t>
      </w:r>
      <w:r>
        <w:lastRenderedPageBreak/>
        <w:t xml:space="preserve">Nous citerons seulement les paroles suivantes de </w:t>
      </w:r>
      <w:r w:rsidR="007B6C57">
        <w:t>Quétif</w:t>
      </w:r>
      <w:r>
        <w:t>, parce qu’elles nous donnent une idée du nombre presque immense des Concordances, soit manuscrites, soit imprimées, qui ont vu le jour depuis Hugues de Saint-Cher. Après avoir cité divers manuscrits antiques connus de lui, il ajoute</w:t>
      </w:r>
      <w:r w:rsidR="00B546AF">
        <w:t> :</w:t>
      </w:r>
      <w:r>
        <w:t xml:space="preserve"> </w:t>
      </w:r>
      <w:r w:rsidR="00B546AF">
        <w:t>« </w:t>
      </w:r>
      <w:r w:rsidR="00BE7B1A">
        <w:t xml:space="preserve">Univérsim </w:t>
      </w:r>
      <w:r>
        <w:t xml:space="preserve">nulla fere </w:t>
      </w:r>
      <w:r w:rsidR="00425C50">
        <w:t>est</w:t>
      </w:r>
      <w:r>
        <w:t xml:space="preserve"> a</w:t>
      </w:r>
      <w:r w:rsidR="003B53FD">
        <w:t>ntíqua</w:t>
      </w:r>
      <w:r>
        <w:t xml:space="preserve"> </w:t>
      </w:r>
      <w:r w:rsidR="00BE7B1A">
        <w:t>bibliothéca</w:t>
      </w:r>
      <w:r>
        <w:t xml:space="preserve"> in qua non sit </w:t>
      </w:r>
      <w:r w:rsidR="003B53FD">
        <w:t>áliquod</w:t>
      </w:r>
      <w:r>
        <w:t xml:space="preserve"> hujus rat</w:t>
      </w:r>
      <w:r w:rsidR="003B53FD">
        <w:t>iónis</w:t>
      </w:r>
      <w:r>
        <w:t xml:space="preserve"> exe</w:t>
      </w:r>
      <w:r w:rsidR="001730C6">
        <w:t>mp</w:t>
      </w:r>
      <w:r>
        <w:t>lum.</w:t>
      </w:r>
      <w:r w:rsidR="00B546AF">
        <w:t> »</w:t>
      </w:r>
      <w:r>
        <w:t xml:space="preserve"> Il dit ensuite à propos des Concordances imprimées</w:t>
      </w:r>
      <w:r w:rsidR="00B546AF">
        <w:t> :</w:t>
      </w:r>
      <w:r>
        <w:t xml:space="preserve"> </w:t>
      </w:r>
      <w:r w:rsidR="00B546AF">
        <w:t>« </w:t>
      </w:r>
      <w:r w:rsidR="00BE7B1A">
        <w:t>Editiónes</w:t>
      </w:r>
      <w:r>
        <w:t xml:space="preserve"> vero a nata typogr</w:t>
      </w:r>
      <w:r w:rsidR="003B53FD">
        <w:t>áphia</w:t>
      </w:r>
      <w:r>
        <w:t xml:space="preserve"> tôt sunt ut vix nu</w:t>
      </w:r>
      <w:r w:rsidR="003B53FD">
        <w:t>merári</w:t>
      </w:r>
      <w:bookmarkStart w:id="823" w:name="z_Concordances_o12"/>
      <w:bookmarkEnd w:id="823"/>
      <w:r>
        <w:t xml:space="preserve"> possint</w:t>
      </w:r>
      <w:r w:rsidR="00B91AF7">
        <w:rPr>
          <w:rStyle w:val="Appelnotedebasdep"/>
        </w:rPr>
        <w:footnoteReference w:id="1008"/>
      </w:r>
      <w:r w:rsidR="00B546AF">
        <w:t> »</w:t>
      </w:r>
      <w:r>
        <w:t xml:space="preserve">. </w:t>
      </w:r>
    </w:p>
    <w:p w:rsidR="00304F17" w:rsidRDefault="00304F17" w:rsidP="000A7AAB"/>
    <w:p w:rsidR="000A7AAB" w:rsidRDefault="000A7AAB" w:rsidP="000A7AAB">
      <w:r>
        <w:t xml:space="preserve">On conçoit facilement l’importance, et nous pourrions dire la nécessité des Concordances hébraïques, grecques et latines. En France, où la Bible </w:t>
      </w:r>
      <w:r w:rsidR="00425C50">
        <w:t>est</w:t>
      </w:r>
      <w:r>
        <w:t xml:space="preserve"> si peu lue en langue vulgaire, nous avons plus de peine à comprendre les services qu’elles peuvent rendre lorsqu’elles sont écrites dans nos idiomes modernes. Il en existe pourtant un assez grand nombre de cette espèce, surtout en Allemagne, où elles parurent dès que Luther eut publié sa </w:t>
      </w:r>
      <w:r w:rsidR="00555E55">
        <w:t>traduction du Nouveau Testament</w:t>
      </w:r>
      <w:r w:rsidR="00555E55">
        <w:rPr>
          <w:rStyle w:val="Appelnotedebasdep"/>
        </w:rPr>
        <w:footnoteReference w:id="1009"/>
      </w:r>
      <w:r>
        <w:t>. La Belgique et la Suède en possèdent aussi quelques-unes</w:t>
      </w:r>
      <w:r w:rsidR="00B91AF7">
        <w:rPr>
          <w:rStyle w:val="Appelnotedebasdep"/>
        </w:rPr>
        <w:footnoteReference w:id="1010"/>
      </w:r>
      <w:r>
        <w:t>.</w:t>
      </w:r>
      <w:r w:rsidR="00C45B47">
        <w:t xml:space="preserve"> {</w:t>
      </w:r>
      <w:r w:rsidR="005E2129">
        <w:t>341</w:t>
      </w:r>
      <w:bookmarkStart w:id="824" w:name="p341"/>
      <w:bookmarkEnd w:id="824"/>
      <w:r w:rsidR="005E2129">
        <w:t xml:space="preserve">} </w:t>
      </w:r>
      <w:r>
        <w:t>Nous n’en connaissons qu’une seule dans notre langue</w:t>
      </w:r>
      <w:r w:rsidR="00B546AF">
        <w:t> :</w:t>
      </w:r>
      <w:r>
        <w:t xml:space="preserve"> elle a été imprimée à Genève, en 1566</w:t>
      </w:r>
      <w:r w:rsidR="00B91AF7">
        <w:rPr>
          <w:rStyle w:val="Appelnotedebasdep"/>
        </w:rPr>
        <w:footnoteReference w:id="1011"/>
      </w:r>
      <w:r>
        <w:t xml:space="preserve">. </w:t>
      </w:r>
    </w:p>
    <w:p w:rsidR="00304F17" w:rsidRDefault="00304F17" w:rsidP="000A7AAB"/>
    <w:p w:rsidR="000A7AAB" w:rsidRDefault="000A7AAB" w:rsidP="000A7AAB">
      <w:r>
        <w:t xml:space="preserve">Toutes les Concordances que nous avons étudiées jusqu’ici étaient </w:t>
      </w:r>
      <w:r w:rsidR="00B546AF">
        <w:t>« </w:t>
      </w:r>
      <w:r>
        <w:t>verbales</w:t>
      </w:r>
      <w:bookmarkStart w:id="825" w:name="z_Concordances_o13"/>
      <w:bookmarkEnd w:id="825"/>
      <w:r w:rsidR="00B546AF">
        <w:t> </w:t>
      </w:r>
      <w:r w:rsidR="00B546AF" w:rsidRPr="00793EF2">
        <w:t>»</w:t>
      </w:r>
      <w:r w:rsidR="00793EF2" w:rsidRPr="00793EF2">
        <w:t xml:space="preserve"> (</w:t>
      </w:r>
      <w:r w:rsidRPr="000A34B5">
        <w:rPr>
          <w:rStyle w:val="italicus"/>
        </w:rPr>
        <w:t>verbales</w:t>
      </w:r>
      <w:r w:rsidR="00B546AF" w:rsidRPr="00950016">
        <w:t>)</w:t>
      </w:r>
      <w:r w:rsidRPr="00950016">
        <w:t xml:space="preserve">, </w:t>
      </w:r>
      <w:r>
        <w:t>c’est-à-dire, basées sur les mots</w:t>
      </w:r>
      <w:r w:rsidRPr="004440EA">
        <w:t xml:space="preserve"> (</w:t>
      </w:r>
      <w:r w:rsidRPr="000A34B5">
        <w:rPr>
          <w:rStyle w:val="italicus"/>
        </w:rPr>
        <w:t>verba</w:t>
      </w:r>
      <w:r w:rsidR="00B546AF" w:rsidRPr="00950016">
        <w:t>)</w:t>
      </w:r>
      <w:r w:rsidRPr="00950016">
        <w:t xml:space="preserve"> </w:t>
      </w:r>
      <w:r>
        <w:t>sans tenir compte de l’ordre logique des matières</w:t>
      </w:r>
      <w:r w:rsidRPr="004440EA">
        <w:t xml:space="preserve"> (</w:t>
      </w:r>
      <w:r w:rsidRPr="000A34B5">
        <w:rPr>
          <w:rStyle w:val="italicus"/>
        </w:rPr>
        <w:t>res</w:t>
      </w:r>
      <w:r w:rsidR="00B546AF">
        <w:rPr>
          <w:rStyle w:val="italicus"/>
        </w:rPr>
        <w:t>)</w:t>
      </w:r>
      <w:r w:rsidRPr="000A34B5">
        <w:rPr>
          <w:rStyle w:val="italicus"/>
        </w:rPr>
        <w:t>.</w:t>
      </w:r>
      <w:r>
        <w:t xml:space="preserve"> Il en </w:t>
      </w:r>
      <w:r w:rsidR="00425C50">
        <w:t>est</w:t>
      </w:r>
      <w:r>
        <w:t xml:space="preserve"> aussi de </w:t>
      </w:r>
      <w:r w:rsidR="00B546AF">
        <w:t>« </w:t>
      </w:r>
      <w:r>
        <w:t>réelles</w:t>
      </w:r>
      <w:bookmarkStart w:id="826" w:name="z_Concordances_o14"/>
      <w:bookmarkEnd w:id="826"/>
      <w:r w:rsidR="00B546AF">
        <w:t> »</w:t>
      </w:r>
      <w:r w:rsidRPr="004440EA">
        <w:t xml:space="preserve"> </w:t>
      </w:r>
      <w:r w:rsidR="00BE7B1A" w:rsidRPr="004440EA">
        <w:t>(</w:t>
      </w:r>
      <w:r w:rsidR="00BE7B1A">
        <w:rPr>
          <w:rStyle w:val="italicus"/>
        </w:rPr>
        <w:t>reál</w:t>
      </w:r>
      <w:r w:rsidRPr="000A34B5">
        <w:rPr>
          <w:rStyle w:val="italicus"/>
        </w:rPr>
        <w:t>es</w:t>
      </w:r>
      <w:r w:rsidR="00B546AF" w:rsidRPr="00950016">
        <w:t>)</w:t>
      </w:r>
      <w:r w:rsidRPr="00950016">
        <w:t xml:space="preserve">, </w:t>
      </w:r>
      <w:r>
        <w:t xml:space="preserve">qui ont les choses mêmes pour fondement. </w:t>
      </w:r>
    </w:p>
    <w:p w:rsidR="000A7AAB" w:rsidRDefault="000A7AAB" w:rsidP="000A7AAB">
      <w:r>
        <w:t>Par exemple, sous ces titres</w:t>
      </w:r>
      <w:r w:rsidR="00B546AF">
        <w:t> :</w:t>
      </w:r>
      <w:r>
        <w:t xml:space="preserve"> Charité, Patience, </w:t>
      </w:r>
      <w:r w:rsidR="00425C50">
        <w:t>etc</w:t>
      </w:r>
      <w:r>
        <w:t xml:space="preserve">., on indiquera ou même l’on inscrira intégralement, pour plus de commodité, les passages de la sainte Écriture qui traitent de la matière en question. </w:t>
      </w:r>
    </w:p>
    <w:p w:rsidR="000A7AAB" w:rsidRDefault="000A7AAB" w:rsidP="000A7AAB">
      <w:r>
        <w:t xml:space="preserve">Les Concordances </w:t>
      </w:r>
      <w:r w:rsidR="00B546AF">
        <w:t>« </w:t>
      </w:r>
      <w:r>
        <w:t>réelles</w:t>
      </w:r>
      <w:r w:rsidR="00B546AF">
        <w:t> »</w:t>
      </w:r>
      <w:r>
        <w:t xml:space="preserve"> sont parfois dogmatiques, le plus souvent morales et destinées à fournir des matériaux en vue de la prédication. Les plus connues sont celles de S. Antoine de Padoue</w:t>
      </w:r>
      <w:r w:rsidR="007B6C57">
        <w:rPr>
          <w:rStyle w:val="Appelnotedebasdep"/>
        </w:rPr>
        <w:footnoteReference w:id="1012"/>
      </w:r>
      <w:r>
        <w:t xml:space="preserve">, de Godefroy </w:t>
      </w:r>
      <w:r w:rsidR="00BE7B1A">
        <w:t>Büchner</w:t>
      </w:r>
      <w:r>
        <w:t>, de Merz</w:t>
      </w:r>
      <w:r w:rsidR="00B91AF7">
        <w:rPr>
          <w:rStyle w:val="Appelnotedebasdep"/>
        </w:rPr>
        <w:footnoteReference w:id="1013"/>
      </w:r>
      <w:r>
        <w:t xml:space="preserve"> et de Matabène</w:t>
      </w:r>
      <w:r w:rsidR="00B91AF7">
        <w:rPr>
          <w:rStyle w:val="Appelnotedebasdep"/>
        </w:rPr>
        <w:footnoteReference w:id="1014"/>
      </w:r>
      <w:r>
        <w:t xml:space="preserve">. </w:t>
      </w:r>
    </w:p>
    <w:p w:rsidR="000A7AAB" w:rsidRPr="005E2129" w:rsidRDefault="000A7AAB" w:rsidP="000A7AAB">
      <w:r>
        <w:t>Il y a encore les Concordances</w:t>
      </w:r>
      <w:r w:rsidRPr="000A34B5">
        <w:rPr>
          <w:rStyle w:val="italicus"/>
        </w:rPr>
        <w:t xml:space="preserve"> marginales</w:t>
      </w:r>
      <w:bookmarkStart w:id="827" w:name="z_Concordances_o15"/>
      <w:bookmarkEnd w:id="827"/>
      <w:r w:rsidRPr="000A34B5">
        <w:rPr>
          <w:rStyle w:val="italicus"/>
        </w:rPr>
        <w:t>,</w:t>
      </w:r>
      <w:r>
        <w:t xml:space="preserve"> reproduites aujourd’hui sur les marges de toutes les Bibles. À propos d’un texte, elles renvoient aux principaux passages qui s’y rapportent dans les autres livres de l’Ancien et du Nouveau Testament. Elles eurent pour premier auteur le moine Ménard, qui fit paraître en 1468 une édition des Évangiles accompagnée de ces notes</w:t>
      </w:r>
      <w:r w:rsidR="00B546AF">
        <w:t> ;</w:t>
      </w:r>
      <w:r>
        <w:t xml:space="preserve"> on les appliqua bientôt à toute la Bible</w:t>
      </w:r>
      <w:r w:rsidRPr="004440EA">
        <w:t xml:space="preserve"> (</w:t>
      </w:r>
      <w:r>
        <w:t>1471</w:t>
      </w:r>
      <w:r w:rsidR="00B546AF">
        <w:t>)</w:t>
      </w:r>
      <w:r w:rsidR="00B91AF7">
        <w:rPr>
          <w:rStyle w:val="Appelnotedebasdep"/>
        </w:rPr>
        <w:footnoteReference w:id="1015"/>
      </w:r>
      <w:r>
        <w:t>.</w:t>
      </w:r>
      <w:r w:rsidR="00C45B47">
        <w:t xml:space="preserve"> {</w:t>
      </w:r>
      <w:r w:rsidR="005E2129">
        <w:t>342</w:t>
      </w:r>
      <w:bookmarkStart w:id="828" w:name="p342"/>
      <w:bookmarkEnd w:id="828"/>
      <w:r w:rsidR="005E2129">
        <w:t xml:space="preserve">} </w:t>
      </w:r>
    </w:p>
    <w:p w:rsidR="000A7AAB" w:rsidRDefault="000A7AAB" w:rsidP="000A7AAB">
      <w:r>
        <w:t>Nous</w:t>
      </w:r>
      <w:bookmarkStart w:id="829" w:name="z_Concordances_o16"/>
      <w:bookmarkEnd w:id="829"/>
      <w:r>
        <w:t xml:space="preserve"> ne nous étendrons pas ici sur les précieux secours qu’on peut tirer à chaque instant des Concordances bibliques, surtout des Concordances appelées </w:t>
      </w:r>
      <w:r w:rsidRPr="000A34B5">
        <w:rPr>
          <w:rStyle w:val="italicus"/>
        </w:rPr>
        <w:t>verbales.</w:t>
      </w:r>
      <w:r>
        <w:t xml:space="preserve"> </w:t>
      </w:r>
    </w:p>
    <w:p w:rsidR="000A7AAB" w:rsidRDefault="000A7AAB" w:rsidP="000A7AAB">
      <w:r>
        <w:t>Les prédicateurs et les théologiens pratiquent à leur égard le précepte d’Horace</w:t>
      </w:r>
      <w:r w:rsidR="00B546AF">
        <w:t> :</w:t>
      </w:r>
      <w:r>
        <w:t xml:space="preserve"> </w:t>
      </w:r>
    </w:p>
    <w:p w:rsidR="000A7AAB" w:rsidRDefault="00BE7B1A" w:rsidP="00BE7B1A">
      <w:pPr>
        <w:pStyle w:val="lcv"/>
      </w:pPr>
      <w:r>
        <w:t>Noctúrna</w:t>
      </w:r>
      <w:r w:rsidR="000A7AAB">
        <w:t xml:space="preserve"> vers</w:t>
      </w:r>
      <w:r>
        <w:t>á</w:t>
      </w:r>
      <w:r w:rsidR="000A7AAB">
        <w:t xml:space="preserve">te manu, </w:t>
      </w:r>
      <w:r>
        <w:t>versáte</w:t>
      </w:r>
      <w:r w:rsidR="000A7AAB">
        <w:t xml:space="preserve"> di</w:t>
      </w:r>
      <w:r>
        <w:t>ú</w:t>
      </w:r>
      <w:r w:rsidR="000A7AAB">
        <w:t xml:space="preserve">rna. </w:t>
      </w:r>
    </w:p>
    <w:p w:rsidR="000A7AAB" w:rsidRDefault="000A7AAB" w:rsidP="000A7AAB">
      <w:pPr>
        <w:rPr>
          <w:rStyle w:val="italicus"/>
        </w:rPr>
      </w:pPr>
      <w:r>
        <w:t>Les grammairiens et les lexicographes y puisent leurs préceptes, leurs exemples et la vraie signification des mots. Les critiques et les commentateurs savent quelles lumières elles leur apportent sans cesse. Plusieurs auteurs ont indiqué longuement dans des traités spéciaux les avantages qu’elles peuvent procurer</w:t>
      </w:r>
      <w:r w:rsidR="00B546AF">
        <w:t> :</w:t>
      </w:r>
      <w:r>
        <w:t xml:space="preserve"> </w:t>
      </w:r>
      <w:r>
        <w:lastRenderedPageBreak/>
        <w:t>entre autres Conrad Kircher,</w:t>
      </w:r>
      <w:r w:rsidRPr="000A34B5">
        <w:rPr>
          <w:rStyle w:val="italicus"/>
        </w:rPr>
        <w:t xml:space="preserve"> De Concordanti</w:t>
      </w:r>
      <w:r w:rsidR="003B53FD">
        <w:rPr>
          <w:rStyle w:val="italicus"/>
        </w:rPr>
        <w:t>árum</w:t>
      </w:r>
      <w:r w:rsidRPr="000A34B5">
        <w:rPr>
          <w:rStyle w:val="italicus"/>
        </w:rPr>
        <w:t xml:space="preserve"> biblic</w:t>
      </w:r>
      <w:r w:rsidR="003B53FD">
        <w:rPr>
          <w:rStyle w:val="italicus"/>
        </w:rPr>
        <w:t>árum</w:t>
      </w:r>
      <w:r w:rsidR="00BE7B1A">
        <w:rPr>
          <w:rStyle w:val="italicus"/>
        </w:rPr>
        <w:t xml:space="preserve"> usu</w:t>
      </w:r>
      <w:r w:rsidR="00BE7B1A">
        <w:rPr>
          <w:rStyle w:val="Appelnotedebasdep"/>
          <w:i/>
        </w:rPr>
        <w:footnoteReference w:id="1016"/>
      </w:r>
      <w:r w:rsidR="00BE7B1A">
        <w:rPr>
          <w:rStyle w:val="italicus"/>
        </w:rPr>
        <w:t>,</w:t>
      </w:r>
      <w:r w:rsidRPr="000A34B5">
        <w:rPr>
          <w:rStyle w:val="italicus"/>
        </w:rPr>
        <w:t xml:space="preserve"> </w:t>
      </w:r>
      <w:r>
        <w:t>Sixte de Sienne dans sa</w:t>
      </w:r>
      <w:r w:rsidRPr="000A34B5">
        <w:rPr>
          <w:rStyle w:val="italicus"/>
        </w:rPr>
        <w:t xml:space="preserve"> </w:t>
      </w:r>
      <w:r w:rsidR="00BE7B1A" w:rsidRPr="000A34B5">
        <w:rPr>
          <w:rStyle w:val="italicus"/>
        </w:rPr>
        <w:t>Bibliothéca</w:t>
      </w:r>
      <w:r w:rsidR="00555E55">
        <w:rPr>
          <w:rStyle w:val="italicus"/>
        </w:rPr>
        <w:t xml:space="preserve"> sancta</w:t>
      </w:r>
      <w:r w:rsidR="00555E55">
        <w:rPr>
          <w:rStyle w:val="Appelnotedebasdep"/>
          <w:i/>
        </w:rPr>
        <w:footnoteReference w:id="1017"/>
      </w:r>
      <w:r w:rsidRPr="000A34B5">
        <w:rPr>
          <w:rStyle w:val="italicus"/>
        </w:rPr>
        <w:t>,</w:t>
      </w:r>
      <w:r>
        <w:t xml:space="preserve"> et </w:t>
      </w:r>
      <w:r w:rsidRPr="007B6C57">
        <w:t>André Glauch,</w:t>
      </w:r>
      <w:r>
        <w:t xml:space="preserve"> </w:t>
      </w:r>
      <w:r w:rsidRPr="007B6C57">
        <w:rPr>
          <w:rStyle w:val="italicus"/>
        </w:rPr>
        <w:t>De usu Concordanti</w:t>
      </w:r>
      <w:r w:rsidR="003B53FD" w:rsidRPr="007B6C57">
        <w:rPr>
          <w:rStyle w:val="italicus"/>
        </w:rPr>
        <w:t>árum</w:t>
      </w:r>
      <w:r w:rsidRPr="007B6C57">
        <w:rPr>
          <w:rStyle w:val="italicus"/>
        </w:rPr>
        <w:t xml:space="preserve"> biblic</w:t>
      </w:r>
      <w:r w:rsidR="003B53FD" w:rsidRPr="007B6C57">
        <w:rPr>
          <w:rStyle w:val="italicus"/>
        </w:rPr>
        <w:t>árum</w:t>
      </w:r>
      <w:r w:rsidR="0094176F">
        <w:rPr>
          <w:rStyle w:val="Appelnotedebasdep"/>
        </w:rPr>
        <w:footnoteReference w:id="1018"/>
      </w:r>
      <w:r w:rsidR="0094176F">
        <w:t>.</w:t>
      </w:r>
      <w:r w:rsidR="00C45B47">
        <w:t xml:space="preserve"> {</w:t>
      </w:r>
      <w:r w:rsidR="005E2129">
        <w:t>343</w:t>
      </w:r>
      <w:bookmarkStart w:id="830" w:name="p343"/>
      <w:bookmarkEnd w:id="830"/>
      <w:r w:rsidR="005E2129">
        <w:t xml:space="preserve">} </w:t>
      </w:r>
      <w:r w:rsidRPr="007B6C57">
        <w:t xml:space="preserve">Ce dernier expose sa doctrine dans trente-six aphorismes répartis entre cinq chapitres, dont le premier </w:t>
      </w:r>
      <w:r w:rsidR="00425C50" w:rsidRPr="007B6C57">
        <w:t>est</w:t>
      </w:r>
      <w:r w:rsidRPr="007B6C57">
        <w:t xml:space="preserve"> </w:t>
      </w:r>
      <w:r w:rsidR="00BE7B1A" w:rsidRPr="007B6C57">
        <w:rPr>
          <w:rStyle w:val="italicus"/>
        </w:rPr>
        <w:t xml:space="preserve">Prælimináre </w:t>
      </w:r>
      <w:r w:rsidRPr="007B6C57">
        <w:rPr>
          <w:rStyle w:val="italicus"/>
        </w:rPr>
        <w:t>ac theor</w:t>
      </w:r>
      <w:r w:rsidR="00BE7B1A" w:rsidRPr="007B6C57">
        <w:rPr>
          <w:rStyle w:val="italicus"/>
        </w:rPr>
        <w:t>é</w:t>
      </w:r>
      <w:r w:rsidRPr="007B6C57">
        <w:rPr>
          <w:rStyle w:val="italicus"/>
        </w:rPr>
        <w:t>ticum,</w:t>
      </w:r>
      <w:r w:rsidRPr="007B6C57">
        <w:t xml:space="preserve"> tandis que le second trait</w:t>
      </w:r>
      <w:r w:rsidR="00BE7B1A" w:rsidRPr="007B6C57">
        <w:t>é</w:t>
      </w:r>
      <w:r w:rsidRPr="007B6C57">
        <w:t xml:space="preserve"> </w:t>
      </w:r>
      <w:r w:rsidRPr="007B6C57">
        <w:rPr>
          <w:rStyle w:val="italicus"/>
        </w:rPr>
        <w:t>De usu Concordanti</w:t>
      </w:r>
      <w:r w:rsidR="003B53FD" w:rsidRPr="007B6C57">
        <w:rPr>
          <w:rStyle w:val="italicus"/>
        </w:rPr>
        <w:t>árum</w:t>
      </w:r>
      <w:r w:rsidRPr="007B6C57">
        <w:rPr>
          <w:rStyle w:val="italicus"/>
        </w:rPr>
        <w:t xml:space="preserve"> general</w:t>
      </w:r>
      <w:r w:rsidR="003B53FD" w:rsidRPr="007B6C57">
        <w:rPr>
          <w:rStyle w:val="italicus"/>
        </w:rPr>
        <w:t>íssimo</w:t>
      </w:r>
      <w:r w:rsidRPr="007B6C57">
        <w:rPr>
          <w:rStyle w:val="italicus"/>
        </w:rPr>
        <w:t>,</w:t>
      </w:r>
      <w:r w:rsidRPr="007B6C57">
        <w:t xml:space="preserve"> le troisième </w:t>
      </w:r>
      <w:r w:rsidRPr="007B6C57">
        <w:rPr>
          <w:rStyle w:val="italicus"/>
        </w:rPr>
        <w:t>De usu Concordanti</w:t>
      </w:r>
      <w:r w:rsidR="003B53FD" w:rsidRPr="007B6C57">
        <w:rPr>
          <w:rStyle w:val="italicus"/>
        </w:rPr>
        <w:t>árum</w:t>
      </w:r>
      <w:r w:rsidRPr="007B6C57">
        <w:rPr>
          <w:rStyle w:val="italicus"/>
        </w:rPr>
        <w:t xml:space="preserve"> in S. </w:t>
      </w:r>
      <w:r w:rsidR="00BE7B1A" w:rsidRPr="007B6C57">
        <w:rPr>
          <w:rStyle w:val="italicus"/>
        </w:rPr>
        <w:t>Philológia</w:t>
      </w:r>
      <w:r w:rsidRPr="007B6C57">
        <w:rPr>
          <w:rStyle w:val="italicus"/>
        </w:rPr>
        <w:t xml:space="preserve">, </w:t>
      </w:r>
      <w:r w:rsidRPr="007B6C57">
        <w:t xml:space="preserve">le quatrième </w:t>
      </w:r>
      <w:r w:rsidRPr="007B6C57">
        <w:rPr>
          <w:rStyle w:val="italicus"/>
        </w:rPr>
        <w:t>De usu Concordanti</w:t>
      </w:r>
      <w:r w:rsidR="003B53FD" w:rsidRPr="007B6C57">
        <w:rPr>
          <w:rStyle w:val="italicus"/>
        </w:rPr>
        <w:t>árum</w:t>
      </w:r>
      <w:r w:rsidRPr="007B6C57">
        <w:rPr>
          <w:rStyle w:val="italicus"/>
        </w:rPr>
        <w:t xml:space="preserve"> in S. Philos</w:t>
      </w:r>
      <w:r w:rsidR="003B53FD" w:rsidRPr="007B6C57">
        <w:rPr>
          <w:rStyle w:val="italicus"/>
        </w:rPr>
        <w:t>óphia</w:t>
      </w:r>
      <w:r w:rsidRPr="007B6C57">
        <w:rPr>
          <w:rStyle w:val="italicus"/>
        </w:rPr>
        <w:t xml:space="preserve">, </w:t>
      </w:r>
      <w:r w:rsidRPr="007B6C57">
        <w:t xml:space="preserve">le cinquième enfin </w:t>
      </w:r>
      <w:r w:rsidRPr="007B6C57">
        <w:rPr>
          <w:rStyle w:val="italicus"/>
        </w:rPr>
        <w:t>De usu Concordanti</w:t>
      </w:r>
      <w:r w:rsidR="003B53FD" w:rsidRPr="007B6C57">
        <w:rPr>
          <w:rStyle w:val="italicus"/>
        </w:rPr>
        <w:t>árum</w:t>
      </w:r>
      <w:r w:rsidRPr="007B6C57">
        <w:rPr>
          <w:rStyle w:val="italicus"/>
        </w:rPr>
        <w:t xml:space="preserve"> in SS. Theol</w:t>
      </w:r>
      <w:r w:rsidR="003B53FD" w:rsidRPr="007B6C57">
        <w:rPr>
          <w:rStyle w:val="italicus"/>
        </w:rPr>
        <w:t>ógia</w:t>
      </w:r>
      <w:r w:rsidRPr="007B6C57">
        <w:rPr>
          <w:rStyle w:val="italicus"/>
        </w:rPr>
        <w:t xml:space="preserve">. </w:t>
      </w:r>
    </w:p>
    <w:p w:rsidR="00304F17" w:rsidRPr="007B6C57" w:rsidRDefault="00304F17" w:rsidP="000A7AAB">
      <w:pPr>
        <w:rPr>
          <w:rStyle w:val="italicus"/>
        </w:rPr>
      </w:pPr>
    </w:p>
    <w:p w:rsidR="000A7AAB" w:rsidRDefault="000A7AAB" w:rsidP="000A7AAB">
      <w:r>
        <w:t>Les Concordances bibliques ont inspiré l’idée d’ouvrages semblables pour d’autres branches de la science</w:t>
      </w:r>
      <w:r w:rsidR="00B91AF7">
        <w:rPr>
          <w:rStyle w:val="Appelnotedebasdep"/>
        </w:rPr>
        <w:footnoteReference w:id="1019"/>
      </w:r>
      <w:r>
        <w:t xml:space="preserve">, spécialement pour les auteurs classiques de la Grèce et de Rome. </w:t>
      </w:r>
    </w:p>
    <w:p w:rsidR="000A7AAB" w:rsidRPr="005E2129" w:rsidRDefault="000A7AAB" w:rsidP="00D67FA8">
      <w:r>
        <w:t>On en a composé depuis longtemps pour Euripide et pour Homère, mais elles sont loin d’être complètes. M. Bindseil presse les savants modernes de perfectionner ces premiers travaux, et, pour que ses exhortations soient plus fructueuses, il prêche lui-même d’exemple en donnant un excellent spécimen d’une Concordance qui embrasse</w:t>
      </w:r>
      <w:r w:rsidR="00BE7B1A">
        <w:t>rait toutes les œuvres d’Homère</w:t>
      </w:r>
      <w:r w:rsidR="00BE7B1A">
        <w:rPr>
          <w:rStyle w:val="Appelnotedebasdep"/>
        </w:rPr>
        <w:footnoteReference w:id="1020"/>
      </w:r>
      <w:r>
        <w:t>. Les littérateurs lui sauront gré de ses efforts. Pour nous, nous le remercions avant tout de nous avoir donné une histoire si détaillée et si parfaite des Concordances bibliques. En nous faisant connaître et aimer davantage ce livre plein d’utilité, il aura en quelque sorte centuplé les forces de la pauvre mémoire humaine, que Sénèque a si bien définie</w:t>
      </w:r>
      <w:r w:rsidR="00B546AF">
        <w:t> :</w:t>
      </w:r>
      <w:r w:rsidR="00C45B47">
        <w:t xml:space="preserve"> {</w:t>
      </w:r>
      <w:r w:rsidR="005E2129">
        <w:t>344</w:t>
      </w:r>
      <w:bookmarkStart w:id="831" w:name="p344"/>
      <w:bookmarkEnd w:id="831"/>
      <w:r w:rsidR="005E2129">
        <w:t xml:space="preserve">} </w:t>
      </w:r>
      <w:r w:rsidR="00B546AF">
        <w:t>« </w:t>
      </w:r>
      <w:r>
        <w:t xml:space="preserve">Res ex </w:t>
      </w:r>
      <w:r w:rsidR="003B53FD">
        <w:t>ómnibus</w:t>
      </w:r>
      <w:r>
        <w:t xml:space="preserve"> p</w:t>
      </w:r>
      <w:r w:rsidR="003B53FD">
        <w:t>ártibus</w:t>
      </w:r>
      <w:r>
        <w:t xml:space="preserve"> </w:t>
      </w:r>
      <w:r w:rsidR="00BE7B1A">
        <w:t>ánimi</w:t>
      </w:r>
      <w:r>
        <w:t xml:space="preserve"> maxime de</w:t>
      </w:r>
      <w:r w:rsidR="003B53FD">
        <w:t>licáta</w:t>
      </w:r>
      <w:r>
        <w:t xml:space="preserve"> et</w:t>
      </w:r>
      <w:bookmarkStart w:id="832" w:name="z_Concordances_o17"/>
      <w:bookmarkEnd w:id="832"/>
      <w:r>
        <w:t xml:space="preserve"> </w:t>
      </w:r>
      <w:r w:rsidR="00BE7B1A">
        <w:t>frágilis</w:t>
      </w:r>
      <w:r w:rsidR="00B91AF7">
        <w:rPr>
          <w:rStyle w:val="Appelnotedebasdep"/>
        </w:rPr>
        <w:footnoteReference w:id="1021"/>
      </w:r>
      <w:r w:rsidR="00B546AF">
        <w:t> »</w:t>
      </w:r>
      <w:r>
        <w:t xml:space="preserve">. </w:t>
      </w:r>
    </w:p>
    <w:p w:rsidR="00317656" w:rsidRDefault="00317656" w:rsidP="00D67FA8">
      <w:r>
        <w:t>²</w:t>
      </w:r>
    </w:p>
    <w:p w:rsidR="000A7AAB" w:rsidRDefault="000A7AAB" w:rsidP="00BE7D31">
      <w:pPr>
        <w:pStyle w:val="Titre1"/>
      </w:pPr>
      <w:bookmarkStart w:id="833" w:name="_Toc43882025"/>
      <w:r>
        <w:t xml:space="preserve">TABLE ALPHABÉTIQUE </w:t>
      </w:r>
      <w:r>
        <w:rPr>
          <w:smallCaps/>
        </w:rPr>
        <w:t>DES MATIÈRES</w:t>
      </w:r>
      <w:r w:rsidR="00317656">
        <w:rPr>
          <w:smallCaps/>
        </w:rPr>
        <w:t>.</w:t>
      </w:r>
      <w:bookmarkStart w:id="834" w:name="TabAlpha"/>
      <w:bookmarkEnd w:id="833"/>
      <w:bookmarkEnd w:id="834"/>
      <w:r>
        <w:t xml:space="preserve"> </w:t>
      </w:r>
    </w:p>
    <w:p w:rsidR="00317656" w:rsidRDefault="00317656" w:rsidP="00317656">
      <w:r>
        <w:rPr>
          <w:smallCaps/>
        </w:rPr>
        <w:t>Abulwalid</w:t>
      </w:r>
      <w:r>
        <w:t xml:space="preserve"> et</w:t>
      </w:r>
      <w:r w:rsidRPr="000A34B5">
        <w:rPr>
          <w:rStyle w:val="italicus"/>
        </w:rPr>
        <w:t xml:space="preserve"> </w:t>
      </w:r>
      <w:r w:rsidRPr="00D40830">
        <w:t>l’</w:t>
      </w:r>
      <w:r w:rsidRPr="00D05EA9">
        <w:rPr>
          <w:rStyle w:val="italicus"/>
        </w:rPr>
        <w:t>῾almah</w:t>
      </w:r>
      <w:r>
        <w:t xml:space="preserve"> d’Isaïe, p. </w:t>
      </w:r>
      <w:r w:rsidR="003A700C">
        <w:fldChar w:fldCharType="begin"/>
      </w:r>
      <w:r w:rsidR="00775AF3">
        <w:instrText xml:space="preserve"> PAGEREF z_Abulwalid_o1 \h </w:instrText>
      </w:r>
      <w:r w:rsidR="003A700C">
        <w:fldChar w:fldCharType="separate"/>
      </w:r>
      <w:r w:rsidR="009D58B1">
        <w:rPr>
          <w:noProof/>
        </w:rPr>
        <w:t>17</w:t>
      </w:r>
      <w:r w:rsidR="003A700C">
        <w:fldChar w:fldCharType="end"/>
      </w:r>
      <w:r>
        <w:t xml:space="preserve">[37]. </w:t>
      </w:r>
    </w:p>
    <w:p w:rsidR="00317656" w:rsidRDefault="00317656" w:rsidP="00317656">
      <w:r>
        <w:rPr>
          <w:smallCaps/>
        </w:rPr>
        <w:t>Achaz</w:t>
      </w:r>
      <w:r>
        <w:t xml:space="preserve">. Durée de son règne, p. </w:t>
      </w:r>
      <w:r w:rsidR="003A700C">
        <w:fldChar w:fldCharType="begin"/>
      </w:r>
      <w:r w:rsidR="00775AF3">
        <w:instrText xml:space="preserve"> PAGEREF z_Achaz_o1 \h </w:instrText>
      </w:r>
      <w:r w:rsidR="003A700C">
        <w:fldChar w:fldCharType="separate"/>
      </w:r>
      <w:r w:rsidR="009D58B1">
        <w:rPr>
          <w:noProof/>
        </w:rPr>
        <w:t>5</w:t>
      </w:r>
      <w:r w:rsidR="003A700C">
        <w:fldChar w:fldCharType="end"/>
      </w:r>
      <w:r>
        <w:t xml:space="preserve">[3] ; — de la guerre qu’il eut à soutenir contre Rasin et Phacée, p. </w:t>
      </w:r>
      <w:r w:rsidR="003A700C">
        <w:fldChar w:fldCharType="begin"/>
      </w:r>
      <w:r w:rsidR="00775AF3">
        <w:instrText xml:space="preserve"> PAGEREF z_Achaz_o2 \h </w:instrText>
      </w:r>
      <w:r w:rsidR="003A700C">
        <w:fldChar w:fldCharType="separate"/>
      </w:r>
      <w:r w:rsidR="009D58B1">
        <w:rPr>
          <w:noProof/>
        </w:rPr>
        <w:t>5</w:t>
      </w:r>
      <w:r w:rsidR="003A700C">
        <w:fldChar w:fldCharType="end"/>
      </w:r>
      <w:r>
        <w:t xml:space="preserve">[4] ; sa conduite hypocrite quand Isaïe lui proposa de demander un miracle au Seigneur, p. </w:t>
      </w:r>
      <w:r w:rsidR="003A700C">
        <w:fldChar w:fldCharType="begin"/>
      </w:r>
      <w:r w:rsidR="00775AF3">
        <w:instrText xml:space="preserve"> PAGEREF z_Achaz_o3 \h </w:instrText>
      </w:r>
      <w:r w:rsidR="003A700C">
        <w:fldChar w:fldCharType="separate"/>
      </w:r>
      <w:r w:rsidR="009D58B1">
        <w:rPr>
          <w:noProof/>
        </w:rPr>
        <w:t>10</w:t>
      </w:r>
      <w:r w:rsidR="003A700C">
        <w:fldChar w:fldCharType="end"/>
      </w:r>
      <w:r w:rsidR="00775AF3">
        <w:t>-</w:t>
      </w:r>
      <w:r w:rsidR="003A700C">
        <w:fldChar w:fldCharType="begin"/>
      </w:r>
      <w:r w:rsidR="00775AF3">
        <w:instrText xml:space="preserve"> PAGEREF z_Achaz_o4 \h </w:instrText>
      </w:r>
      <w:r w:rsidR="003A700C">
        <w:fldChar w:fldCharType="separate"/>
      </w:r>
      <w:r w:rsidR="009D58B1">
        <w:rPr>
          <w:noProof/>
        </w:rPr>
        <w:t>10</w:t>
      </w:r>
      <w:r w:rsidR="003A700C">
        <w:fldChar w:fldCharType="end"/>
      </w:r>
      <w:r>
        <w:t xml:space="preserve">[16-18] ; sa politique antithéocratique, p. </w:t>
      </w:r>
      <w:r w:rsidR="003A700C">
        <w:fldChar w:fldCharType="begin"/>
      </w:r>
      <w:r w:rsidR="00775AF3">
        <w:instrText xml:space="preserve"> PAGEREF z_Achaz_o5 \h </w:instrText>
      </w:r>
      <w:r w:rsidR="003A700C">
        <w:fldChar w:fldCharType="separate"/>
      </w:r>
      <w:r w:rsidR="009D58B1">
        <w:rPr>
          <w:noProof/>
        </w:rPr>
        <w:t>10</w:t>
      </w:r>
      <w:r w:rsidR="003A700C">
        <w:fldChar w:fldCharType="end"/>
      </w:r>
      <w:r w:rsidR="00775AF3">
        <w:t>-</w:t>
      </w:r>
      <w:r w:rsidR="003A700C">
        <w:fldChar w:fldCharType="begin"/>
      </w:r>
      <w:r w:rsidR="00775AF3">
        <w:instrText xml:space="preserve"> PAGEREF z_Achaz_o6 \h </w:instrText>
      </w:r>
      <w:r w:rsidR="003A700C">
        <w:fldChar w:fldCharType="separate"/>
      </w:r>
      <w:r w:rsidR="009D58B1">
        <w:rPr>
          <w:noProof/>
        </w:rPr>
        <w:t>12</w:t>
      </w:r>
      <w:r w:rsidR="003A700C">
        <w:fldChar w:fldCharType="end"/>
      </w:r>
      <w:r>
        <w:t>[18-24] ; il pouvait comprendre sans peine le sens de la prophétie de</w:t>
      </w:r>
      <w:r w:rsidRPr="000A34B5">
        <w:rPr>
          <w:rStyle w:val="italicus"/>
        </w:rPr>
        <w:t xml:space="preserve"> </w:t>
      </w:r>
      <w:r w:rsidRPr="00D40830">
        <w:t>l’</w:t>
      </w:r>
      <w:r w:rsidRPr="00D05EA9">
        <w:rPr>
          <w:rStyle w:val="italicus"/>
        </w:rPr>
        <w:t>῾almah</w:t>
      </w:r>
      <w:r>
        <w:rPr>
          <w:rStyle w:val="italicus"/>
        </w:rPr>
        <w:t xml:space="preserve">, </w:t>
      </w:r>
      <w:r>
        <w:t xml:space="preserve">p. </w:t>
      </w:r>
      <w:r w:rsidR="003A700C">
        <w:fldChar w:fldCharType="begin"/>
      </w:r>
      <w:r w:rsidR="00775AF3">
        <w:instrText xml:space="preserve"> PAGEREF z_Achaz_o7 \h </w:instrText>
      </w:r>
      <w:r w:rsidR="003A700C">
        <w:fldChar w:fldCharType="separate"/>
      </w:r>
      <w:r w:rsidR="009D58B1">
        <w:rPr>
          <w:noProof/>
        </w:rPr>
        <w:t>38</w:t>
      </w:r>
      <w:r w:rsidR="003A700C">
        <w:fldChar w:fldCharType="end"/>
      </w:r>
      <w:r w:rsidR="00775AF3">
        <w:t>-</w:t>
      </w:r>
      <w:r w:rsidR="003A700C">
        <w:fldChar w:fldCharType="begin"/>
      </w:r>
      <w:r w:rsidR="00775AF3">
        <w:instrText xml:space="preserve"> PAGEREF z_Achaz_o8 \h </w:instrText>
      </w:r>
      <w:r w:rsidR="003A700C">
        <w:fldChar w:fldCharType="separate"/>
      </w:r>
      <w:r w:rsidR="009D58B1">
        <w:rPr>
          <w:noProof/>
        </w:rPr>
        <w:t>39</w:t>
      </w:r>
      <w:r w:rsidR="003A700C">
        <w:fldChar w:fldCharType="end"/>
      </w:r>
      <w:r>
        <w:t xml:space="preserve">[90-92]. </w:t>
      </w:r>
    </w:p>
    <w:p w:rsidR="00317656" w:rsidRDefault="00317656" w:rsidP="00317656">
      <w:r>
        <w:t xml:space="preserve">Actes des apôtres et la critique moderne, p. </w:t>
      </w:r>
      <w:r w:rsidR="003A700C">
        <w:fldChar w:fldCharType="begin"/>
      </w:r>
      <w:r w:rsidR="00237FA6">
        <w:instrText xml:space="preserve"> PAGEREF z_ActesDesApôtres_o1 \h </w:instrText>
      </w:r>
      <w:r w:rsidR="003A700C">
        <w:fldChar w:fldCharType="separate"/>
      </w:r>
      <w:r w:rsidR="009D58B1">
        <w:rPr>
          <w:noProof/>
        </w:rPr>
        <w:t>59</w:t>
      </w:r>
      <w:r w:rsidR="003A700C">
        <w:fldChar w:fldCharType="end"/>
      </w:r>
      <w:r w:rsidR="00237FA6">
        <w:t>-</w:t>
      </w:r>
      <w:r w:rsidR="003A700C">
        <w:fldChar w:fldCharType="begin"/>
      </w:r>
      <w:r w:rsidR="00237FA6">
        <w:instrText xml:space="preserve"> PAGEREF z_ActesDesApôtres_o2 \h </w:instrText>
      </w:r>
      <w:r w:rsidR="003A700C">
        <w:fldChar w:fldCharType="separate"/>
      </w:r>
      <w:r w:rsidR="009D58B1">
        <w:rPr>
          <w:noProof/>
        </w:rPr>
        <w:t>59</w:t>
      </w:r>
      <w:r w:rsidR="003A700C">
        <w:fldChar w:fldCharType="end"/>
      </w:r>
      <w:r>
        <w:t xml:space="preserve">[149-150]. </w:t>
      </w:r>
    </w:p>
    <w:p w:rsidR="00317656" w:rsidRDefault="00317656" w:rsidP="00317656">
      <w:r>
        <w:t xml:space="preserve">Agonie de Jésus à Gethsémani, p. </w:t>
      </w:r>
      <w:r w:rsidR="003A700C">
        <w:fldChar w:fldCharType="begin"/>
      </w:r>
      <w:r w:rsidR="00237FA6">
        <w:instrText xml:space="preserve"> PAGEREF z_Agonie_o1 \h </w:instrText>
      </w:r>
      <w:r w:rsidR="003A700C">
        <w:fldChar w:fldCharType="separate"/>
      </w:r>
      <w:r w:rsidR="009D58B1">
        <w:rPr>
          <w:noProof/>
        </w:rPr>
        <w:t>46</w:t>
      </w:r>
      <w:r w:rsidR="003A700C">
        <w:fldChar w:fldCharType="end"/>
      </w:r>
      <w:r w:rsidR="00237FA6">
        <w:t>-</w:t>
      </w:r>
      <w:r w:rsidR="003A700C">
        <w:fldChar w:fldCharType="begin"/>
      </w:r>
      <w:r w:rsidR="00237FA6">
        <w:instrText xml:space="preserve"> PAGEREF z_Agonie_o2 \h </w:instrText>
      </w:r>
      <w:r w:rsidR="003A700C">
        <w:fldChar w:fldCharType="separate"/>
      </w:r>
      <w:r w:rsidR="009D58B1">
        <w:rPr>
          <w:noProof/>
        </w:rPr>
        <w:t>48</w:t>
      </w:r>
      <w:r w:rsidR="003A700C">
        <w:fldChar w:fldCharType="end"/>
      </w:r>
      <w:r>
        <w:t xml:space="preserve">[114-117]. </w:t>
      </w:r>
    </w:p>
    <w:p w:rsidR="00317656" w:rsidRDefault="00317656" w:rsidP="00317656">
      <w:r w:rsidRPr="00D05EA9">
        <w:rPr>
          <w:rStyle w:val="italicus"/>
        </w:rPr>
        <w:t>῾Almah</w:t>
      </w:r>
      <w:r w:rsidRPr="004440EA">
        <w:t xml:space="preserve"> (</w:t>
      </w:r>
      <w:r>
        <w:t xml:space="preserve">L’oracle de l’). Unité de l’oracle, pp. </w:t>
      </w:r>
      <w:r w:rsidR="003A700C">
        <w:fldChar w:fldCharType="begin"/>
      </w:r>
      <w:r w:rsidR="00D471D0">
        <w:instrText xml:space="preserve"> PAGEREF z_Almah_o1 \h </w:instrText>
      </w:r>
      <w:r w:rsidR="003A700C">
        <w:fldChar w:fldCharType="separate"/>
      </w:r>
      <w:r w:rsidR="009D58B1">
        <w:rPr>
          <w:noProof/>
        </w:rPr>
        <w:t>5</w:t>
      </w:r>
      <w:r w:rsidR="003A700C">
        <w:fldChar w:fldCharType="end"/>
      </w:r>
      <w:r w:rsidR="00D471D0">
        <w:t>,</w:t>
      </w:r>
      <w:r w:rsidR="00BE3AAE">
        <w:t xml:space="preserve"> </w:t>
      </w:r>
      <w:r w:rsidR="003A700C">
        <w:fldChar w:fldCharType="begin"/>
      </w:r>
      <w:r w:rsidR="00D471D0">
        <w:instrText xml:space="preserve"> PAGEREF z_Almah_o2 \h </w:instrText>
      </w:r>
      <w:r w:rsidR="003A700C">
        <w:fldChar w:fldCharType="separate"/>
      </w:r>
      <w:r w:rsidR="009D58B1">
        <w:rPr>
          <w:noProof/>
        </w:rPr>
        <w:t>10</w:t>
      </w:r>
      <w:r w:rsidR="003A700C">
        <w:fldChar w:fldCharType="end"/>
      </w:r>
      <w:r w:rsidR="00D471D0">
        <w:t>,</w:t>
      </w:r>
      <w:r w:rsidR="00BE3AAE">
        <w:t xml:space="preserve"> </w:t>
      </w:r>
      <w:r w:rsidR="003A700C">
        <w:fldChar w:fldCharType="begin"/>
      </w:r>
      <w:r w:rsidR="00D471D0">
        <w:instrText xml:space="preserve"> PAGEREF z_Almah_o3 \h </w:instrText>
      </w:r>
      <w:r w:rsidR="003A700C">
        <w:fldChar w:fldCharType="separate"/>
      </w:r>
      <w:r w:rsidR="009D58B1">
        <w:rPr>
          <w:noProof/>
        </w:rPr>
        <w:t>15</w:t>
      </w:r>
      <w:r w:rsidR="003A700C">
        <w:fldChar w:fldCharType="end"/>
      </w:r>
      <w:r w:rsidR="00860A96">
        <w:t xml:space="preserve"> </w:t>
      </w:r>
      <w:r>
        <w:t xml:space="preserve">[5, 16, 31] ; sa beauté, p. </w:t>
      </w:r>
      <w:r w:rsidR="003A700C">
        <w:fldChar w:fldCharType="begin"/>
      </w:r>
      <w:r w:rsidR="00D471D0">
        <w:instrText xml:space="preserve"> PAGEREF z_Almah_o4 \h </w:instrText>
      </w:r>
      <w:r w:rsidR="003A700C">
        <w:fldChar w:fldCharType="separate"/>
      </w:r>
      <w:r w:rsidR="009D58B1">
        <w:rPr>
          <w:noProof/>
        </w:rPr>
        <w:t>11</w:t>
      </w:r>
      <w:r w:rsidR="003A700C">
        <w:fldChar w:fldCharType="end"/>
      </w:r>
      <w:r>
        <w:t xml:space="preserve">[19] ; son importance, p. </w:t>
      </w:r>
      <w:r w:rsidR="003A700C">
        <w:fldChar w:fldCharType="begin"/>
      </w:r>
      <w:r w:rsidR="00D471D0">
        <w:instrText xml:space="preserve"> PAGEREF z_Almah_o5 \h </w:instrText>
      </w:r>
      <w:r w:rsidR="003A700C">
        <w:fldChar w:fldCharType="separate"/>
      </w:r>
      <w:r w:rsidR="009D58B1">
        <w:rPr>
          <w:noProof/>
        </w:rPr>
        <w:t>11</w:t>
      </w:r>
      <w:r w:rsidR="003A700C">
        <w:fldChar w:fldCharType="end"/>
      </w:r>
      <w:r w:rsidR="00860A96">
        <w:t>[21]</w:t>
      </w:r>
      <w:r>
        <w:t xml:space="preserve"> ; les préliminaires de la prophétie, avec les objections des rationalistes qui s’y rattachent, p. </w:t>
      </w:r>
      <w:r w:rsidR="003A700C">
        <w:fldChar w:fldCharType="begin"/>
      </w:r>
      <w:r w:rsidR="00D471D0">
        <w:instrText xml:space="preserve"> PAGEREF z_Almah_o6 \h </w:instrText>
      </w:r>
      <w:r w:rsidR="003A700C">
        <w:fldChar w:fldCharType="separate"/>
      </w:r>
      <w:r w:rsidR="009D58B1">
        <w:rPr>
          <w:noProof/>
        </w:rPr>
        <w:t>6</w:t>
      </w:r>
      <w:r w:rsidR="003A700C">
        <w:fldChar w:fldCharType="end"/>
      </w:r>
      <w:r w:rsidR="003A700C">
        <w:fldChar w:fldCharType="begin"/>
      </w:r>
      <w:r w:rsidR="00D471D0">
        <w:instrText xml:space="preserve"> PAGEREF z_Almah_o7 \h </w:instrText>
      </w:r>
      <w:r w:rsidR="003A700C">
        <w:fldChar w:fldCharType="separate"/>
      </w:r>
      <w:r w:rsidR="009D58B1">
        <w:rPr>
          <w:noProof/>
        </w:rPr>
        <w:t>9</w:t>
      </w:r>
      <w:r w:rsidR="003A700C">
        <w:fldChar w:fldCharType="end"/>
      </w:r>
      <w:r w:rsidR="00860A96">
        <w:t>[5-14]</w:t>
      </w:r>
      <w:r>
        <w:t xml:space="preserve"> ; la littérature scripturaire qui s’est formée sur ce point, p. </w:t>
      </w:r>
      <w:r w:rsidR="003A700C">
        <w:fldChar w:fldCharType="begin"/>
      </w:r>
      <w:r w:rsidR="00D471D0">
        <w:instrText xml:space="preserve"> PAGEREF z_Almah_o8 \h </w:instrText>
      </w:r>
      <w:r w:rsidR="003A700C">
        <w:fldChar w:fldCharType="separate"/>
      </w:r>
      <w:r w:rsidR="009D58B1">
        <w:rPr>
          <w:noProof/>
        </w:rPr>
        <w:t>11</w:t>
      </w:r>
      <w:r w:rsidR="003A700C">
        <w:fldChar w:fldCharType="end"/>
      </w:r>
      <w:r w:rsidR="00860A96">
        <w:t>[21]</w:t>
      </w:r>
      <w:r>
        <w:t xml:space="preserve"> ; la véritable interprétation nettement donnée par S. Matthieu, p. </w:t>
      </w:r>
      <w:r w:rsidR="003A700C">
        <w:fldChar w:fldCharType="begin"/>
      </w:r>
      <w:r w:rsidR="00D471D0">
        <w:instrText xml:space="preserve"> PAGEREF z_Almah_o9 \h </w:instrText>
      </w:r>
      <w:r w:rsidR="003A700C">
        <w:fldChar w:fldCharType="separate"/>
      </w:r>
      <w:r w:rsidR="009D58B1">
        <w:rPr>
          <w:noProof/>
        </w:rPr>
        <w:t>18</w:t>
      </w:r>
      <w:r w:rsidR="003A700C">
        <w:fldChar w:fldCharType="end"/>
      </w:r>
      <w:r w:rsidR="00D471D0">
        <w:t>-</w:t>
      </w:r>
      <w:r w:rsidR="003A700C">
        <w:fldChar w:fldCharType="begin"/>
      </w:r>
      <w:r w:rsidR="00D471D0">
        <w:instrText xml:space="preserve"> PAGEREF z_Almah_o10 \h </w:instrText>
      </w:r>
      <w:r w:rsidR="003A700C">
        <w:fldChar w:fldCharType="separate"/>
      </w:r>
      <w:r w:rsidR="009D58B1">
        <w:rPr>
          <w:noProof/>
        </w:rPr>
        <w:t>19</w:t>
      </w:r>
      <w:r w:rsidR="003A700C">
        <w:fldChar w:fldCharType="end"/>
      </w:r>
      <w:r w:rsidR="00860A96">
        <w:t>[38-42]</w:t>
      </w:r>
      <w:r>
        <w:t xml:space="preserve"> ; les interprétations rationalistes, p. </w:t>
      </w:r>
      <w:r w:rsidR="003A700C">
        <w:fldChar w:fldCharType="begin"/>
      </w:r>
      <w:r w:rsidR="00D471D0">
        <w:instrText xml:space="preserve"> PAGEREF z_Almah_o11 \h </w:instrText>
      </w:r>
      <w:r w:rsidR="003A700C">
        <w:fldChar w:fldCharType="separate"/>
      </w:r>
      <w:r w:rsidR="009D58B1">
        <w:rPr>
          <w:noProof/>
        </w:rPr>
        <w:t>19</w:t>
      </w:r>
      <w:r w:rsidR="003A700C">
        <w:fldChar w:fldCharType="end"/>
      </w:r>
      <w:r w:rsidR="00D471D0">
        <w:t>-</w:t>
      </w:r>
      <w:r w:rsidR="003A700C">
        <w:fldChar w:fldCharType="begin"/>
      </w:r>
      <w:r w:rsidR="00D471D0">
        <w:instrText xml:space="preserve"> PAGEREF z_Almah_o12 \h </w:instrText>
      </w:r>
      <w:r w:rsidR="003A700C">
        <w:fldChar w:fldCharType="separate"/>
      </w:r>
      <w:r w:rsidR="009D58B1">
        <w:rPr>
          <w:noProof/>
        </w:rPr>
        <w:t>22</w:t>
      </w:r>
      <w:r w:rsidR="003A700C">
        <w:fldChar w:fldCharType="end"/>
      </w:r>
      <w:r w:rsidR="00860A96">
        <w:t>[43-49]</w:t>
      </w:r>
      <w:r>
        <w:t xml:space="preserve"> ; l’argument de </w:t>
      </w:r>
      <w:r>
        <w:lastRenderedPageBreak/>
        <w:t xml:space="preserve">tradition, p. </w:t>
      </w:r>
      <w:r w:rsidR="003A700C">
        <w:fldChar w:fldCharType="begin"/>
      </w:r>
      <w:r w:rsidR="00D471D0">
        <w:instrText xml:space="preserve"> PAGEREF z_Almah_o13 \h </w:instrText>
      </w:r>
      <w:r w:rsidR="003A700C">
        <w:fldChar w:fldCharType="separate"/>
      </w:r>
      <w:r w:rsidR="009D58B1">
        <w:rPr>
          <w:noProof/>
        </w:rPr>
        <w:t>22</w:t>
      </w:r>
      <w:r w:rsidR="003A700C">
        <w:fldChar w:fldCharType="end"/>
      </w:r>
      <w:r w:rsidR="00D471D0">
        <w:t>-</w:t>
      </w:r>
      <w:r w:rsidR="003A700C">
        <w:fldChar w:fldCharType="begin"/>
      </w:r>
      <w:r w:rsidR="00D471D0">
        <w:instrText xml:space="preserve"> PAGEREF z_Almah_o14 \h </w:instrText>
      </w:r>
      <w:r w:rsidR="003A700C">
        <w:fldChar w:fldCharType="separate"/>
      </w:r>
      <w:r w:rsidR="009D58B1">
        <w:rPr>
          <w:noProof/>
        </w:rPr>
        <w:t>25</w:t>
      </w:r>
      <w:r w:rsidR="003A700C">
        <w:fldChar w:fldCharType="end"/>
      </w:r>
      <w:r w:rsidR="00860A96">
        <w:t>[49-58]</w:t>
      </w:r>
      <w:r>
        <w:t> ; l’usage biblique du mot</w:t>
      </w:r>
      <w:r w:rsidRPr="000A34B5">
        <w:rPr>
          <w:rStyle w:val="italicus"/>
        </w:rPr>
        <w:t xml:space="preserve"> </w:t>
      </w:r>
      <w:r w:rsidRPr="00D05EA9">
        <w:rPr>
          <w:rStyle w:val="italicus"/>
        </w:rPr>
        <w:t>῾almah</w:t>
      </w:r>
      <w:r>
        <w:rPr>
          <w:rStyle w:val="italicus"/>
        </w:rPr>
        <w:t xml:space="preserve">, </w:t>
      </w:r>
      <w:r>
        <w:t xml:space="preserve">p. </w:t>
      </w:r>
      <w:r w:rsidR="003A700C">
        <w:fldChar w:fldCharType="begin"/>
      </w:r>
      <w:r w:rsidR="00D471D0">
        <w:instrText xml:space="preserve"> PAGEREF z_Almah_o15 \h </w:instrText>
      </w:r>
      <w:r w:rsidR="003A700C">
        <w:fldChar w:fldCharType="separate"/>
      </w:r>
      <w:r w:rsidR="009D58B1">
        <w:rPr>
          <w:noProof/>
        </w:rPr>
        <w:t>25</w:t>
      </w:r>
      <w:r w:rsidR="003A700C">
        <w:fldChar w:fldCharType="end"/>
      </w:r>
      <w:r w:rsidR="00D471D0">
        <w:t>-</w:t>
      </w:r>
      <w:r w:rsidR="003A700C">
        <w:fldChar w:fldCharType="begin"/>
      </w:r>
      <w:r w:rsidR="00D471D0">
        <w:instrText xml:space="preserve"> PAGEREF z_Almah_o16 \h </w:instrText>
      </w:r>
      <w:r w:rsidR="003A700C">
        <w:fldChar w:fldCharType="separate"/>
      </w:r>
      <w:r w:rsidR="009D58B1">
        <w:rPr>
          <w:noProof/>
        </w:rPr>
        <w:t>27</w:t>
      </w:r>
      <w:r w:rsidR="003A700C">
        <w:fldChar w:fldCharType="end"/>
      </w:r>
      <w:r w:rsidR="00860A96">
        <w:t>[58-63]</w:t>
      </w:r>
      <w:r>
        <w:t xml:space="preserve"> ; l’étymologie, p. </w:t>
      </w:r>
      <w:r w:rsidR="003A700C">
        <w:fldChar w:fldCharType="begin"/>
      </w:r>
      <w:r w:rsidR="00D471D0">
        <w:instrText xml:space="preserve"> PAGEREF z_Almah_o17 \h </w:instrText>
      </w:r>
      <w:r w:rsidR="003A700C">
        <w:fldChar w:fldCharType="separate"/>
      </w:r>
      <w:r w:rsidR="009D58B1">
        <w:rPr>
          <w:noProof/>
        </w:rPr>
        <w:t>27</w:t>
      </w:r>
      <w:r w:rsidR="003A700C">
        <w:fldChar w:fldCharType="end"/>
      </w:r>
      <w:r w:rsidR="00D471D0">
        <w:t>-</w:t>
      </w:r>
      <w:r w:rsidR="003A700C">
        <w:fldChar w:fldCharType="begin"/>
      </w:r>
      <w:r w:rsidR="00D471D0">
        <w:instrText xml:space="preserve"> PAGEREF z_Almah_o18 \h </w:instrText>
      </w:r>
      <w:r w:rsidR="003A700C">
        <w:fldChar w:fldCharType="separate"/>
      </w:r>
      <w:r w:rsidR="009D58B1">
        <w:rPr>
          <w:noProof/>
        </w:rPr>
        <w:t>31</w:t>
      </w:r>
      <w:r w:rsidR="003A700C">
        <w:fldChar w:fldCharType="end"/>
      </w:r>
      <w:r w:rsidR="00860A96">
        <w:t>[63-72]</w:t>
      </w:r>
      <w:r>
        <w:t xml:space="preserve"> ; quelques raisonnements empruntés au texte et au contexte, p. </w:t>
      </w:r>
      <w:r w:rsidR="003A700C">
        <w:fldChar w:fldCharType="begin"/>
      </w:r>
      <w:r w:rsidR="00D471D0">
        <w:instrText xml:space="preserve"> PAGEREF z_Almah_o19 \h </w:instrText>
      </w:r>
      <w:r w:rsidR="003A700C">
        <w:fldChar w:fldCharType="separate"/>
      </w:r>
      <w:r w:rsidR="009D58B1">
        <w:rPr>
          <w:noProof/>
        </w:rPr>
        <w:t>31</w:t>
      </w:r>
      <w:r w:rsidR="003A700C">
        <w:fldChar w:fldCharType="end"/>
      </w:r>
      <w:r w:rsidR="00D471D0">
        <w:t>-</w:t>
      </w:r>
      <w:r w:rsidR="003A700C">
        <w:fldChar w:fldCharType="begin"/>
      </w:r>
      <w:r w:rsidR="00D471D0">
        <w:instrText xml:space="preserve"> PAGEREF z_Almah_o20 \h </w:instrText>
      </w:r>
      <w:r w:rsidR="003A700C">
        <w:fldChar w:fldCharType="separate"/>
      </w:r>
      <w:r w:rsidR="009D58B1">
        <w:rPr>
          <w:noProof/>
        </w:rPr>
        <w:t>33</w:t>
      </w:r>
      <w:r w:rsidR="003A700C">
        <w:fldChar w:fldCharType="end"/>
      </w:r>
      <w:r w:rsidR="00D471D0">
        <w:t>[73-78</w:t>
      </w:r>
      <w:r w:rsidR="00860A96">
        <w:t>]</w:t>
      </w:r>
      <w:r>
        <w:t xml:space="preserve"> ; explication des dernières paroles de l’oracle, p. </w:t>
      </w:r>
      <w:r w:rsidR="003A700C">
        <w:fldChar w:fldCharType="begin"/>
      </w:r>
      <w:r w:rsidR="00D471D0">
        <w:instrText xml:space="preserve"> PAGEREF z_Almah_o21 \h </w:instrText>
      </w:r>
      <w:r w:rsidR="003A700C">
        <w:fldChar w:fldCharType="separate"/>
      </w:r>
      <w:r w:rsidR="009D58B1">
        <w:rPr>
          <w:noProof/>
        </w:rPr>
        <w:t>34</w:t>
      </w:r>
      <w:r w:rsidR="003A700C">
        <w:fldChar w:fldCharType="end"/>
      </w:r>
      <w:r w:rsidR="0031378E">
        <w:t>-</w:t>
      </w:r>
      <w:r w:rsidR="003A700C">
        <w:fldChar w:fldCharType="begin"/>
      </w:r>
      <w:r w:rsidR="00D471D0">
        <w:instrText xml:space="preserve"> PAGEREF z_Almah_o22 \h </w:instrText>
      </w:r>
      <w:r w:rsidR="003A700C">
        <w:fldChar w:fldCharType="separate"/>
      </w:r>
      <w:r w:rsidR="009D58B1">
        <w:rPr>
          <w:noProof/>
        </w:rPr>
        <w:t>35</w:t>
      </w:r>
      <w:r w:rsidR="003A700C">
        <w:fldChar w:fldCharType="end"/>
      </w:r>
      <w:r w:rsidR="00860A96">
        <w:t>[80-82]</w:t>
      </w:r>
      <w:r>
        <w:t xml:space="preserve"> ; difficultés qui proviennent de l’accomplissement tardif, p. </w:t>
      </w:r>
      <w:r w:rsidR="003A700C">
        <w:fldChar w:fldCharType="begin"/>
      </w:r>
      <w:r w:rsidR="00D471D0">
        <w:instrText xml:space="preserve"> PAGEREF z_Almah_o23 \h </w:instrText>
      </w:r>
      <w:r w:rsidR="003A700C">
        <w:fldChar w:fldCharType="separate"/>
      </w:r>
      <w:r w:rsidR="009D58B1">
        <w:rPr>
          <w:noProof/>
        </w:rPr>
        <w:t>33</w:t>
      </w:r>
      <w:r w:rsidR="003A700C">
        <w:fldChar w:fldCharType="end"/>
      </w:r>
      <w:r w:rsidR="00860A96">
        <w:t>[78]</w:t>
      </w:r>
      <w:r>
        <w:t xml:space="preserve"> et suiv. ; fausses solutions de ces difficultés, p. </w:t>
      </w:r>
      <w:r w:rsidR="003A700C">
        <w:fldChar w:fldCharType="begin"/>
      </w:r>
      <w:r w:rsidR="00D471D0">
        <w:instrText xml:space="preserve"> PAGEREF z_Almah_o24 \h </w:instrText>
      </w:r>
      <w:r w:rsidR="003A700C">
        <w:fldChar w:fldCharType="separate"/>
      </w:r>
      <w:r w:rsidR="009D58B1">
        <w:rPr>
          <w:noProof/>
        </w:rPr>
        <w:t>35</w:t>
      </w:r>
      <w:r w:rsidR="003A700C">
        <w:fldChar w:fldCharType="end"/>
      </w:r>
      <w:r w:rsidR="00D471D0">
        <w:t>-</w:t>
      </w:r>
      <w:r w:rsidR="003A700C">
        <w:fldChar w:fldCharType="begin"/>
      </w:r>
      <w:r w:rsidR="00D471D0">
        <w:instrText xml:space="preserve"> PAGEREF z_Almah_o25 \h </w:instrText>
      </w:r>
      <w:r w:rsidR="003A700C">
        <w:fldChar w:fldCharType="separate"/>
      </w:r>
      <w:r w:rsidR="009D58B1">
        <w:rPr>
          <w:noProof/>
        </w:rPr>
        <w:t>37</w:t>
      </w:r>
      <w:r w:rsidR="003A700C">
        <w:fldChar w:fldCharType="end"/>
      </w:r>
      <w:r w:rsidR="00860A96">
        <w:t>[84-88]</w:t>
      </w:r>
      <w:r>
        <w:t xml:space="preserve"> ; la vraie solution, p. </w:t>
      </w:r>
      <w:r w:rsidR="003A700C">
        <w:fldChar w:fldCharType="begin"/>
      </w:r>
      <w:r w:rsidR="00D471D0">
        <w:instrText xml:space="preserve"> PAGEREF z_Almah_o26 \h </w:instrText>
      </w:r>
      <w:r w:rsidR="003A700C">
        <w:fldChar w:fldCharType="separate"/>
      </w:r>
      <w:r w:rsidR="009D58B1">
        <w:rPr>
          <w:noProof/>
        </w:rPr>
        <w:t>37</w:t>
      </w:r>
      <w:r w:rsidR="003A700C">
        <w:fldChar w:fldCharType="end"/>
      </w:r>
      <w:r w:rsidR="00860A96">
        <w:t>[89]</w:t>
      </w:r>
      <w:r>
        <w:t xml:space="preserve"> et suiv. </w:t>
      </w:r>
    </w:p>
    <w:p w:rsidR="00317656" w:rsidRDefault="00317656" w:rsidP="00317656">
      <w:r>
        <w:t>—</w:t>
      </w:r>
      <w:r w:rsidRPr="004440EA">
        <w:t xml:space="preserve"> (</w:t>
      </w:r>
      <w:r>
        <w:t>La personne de l’). L</w:t>
      </w:r>
      <w:r>
        <w:rPr>
          <w:rStyle w:val="italicus"/>
        </w:rPr>
        <w:t>’῾</w:t>
      </w:r>
      <w:r w:rsidRPr="000A34B5">
        <w:rPr>
          <w:rStyle w:val="italicus"/>
        </w:rPr>
        <w:t>almah</w:t>
      </w:r>
      <w:r>
        <w:t xml:space="preserve"> est la très sainte Vierge, pp. </w:t>
      </w:r>
      <w:r w:rsidR="003A700C">
        <w:fldChar w:fldCharType="begin"/>
      </w:r>
      <w:r w:rsidR="002820E0">
        <w:instrText xml:space="preserve"> PAGEREF z_AlmahPerso_o1 \h </w:instrText>
      </w:r>
      <w:r w:rsidR="003A700C">
        <w:fldChar w:fldCharType="separate"/>
      </w:r>
      <w:r w:rsidR="009D58B1">
        <w:rPr>
          <w:noProof/>
        </w:rPr>
        <w:t>11</w:t>
      </w:r>
      <w:r w:rsidR="003A700C">
        <w:fldChar w:fldCharType="end"/>
      </w:r>
      <w:r w:rsidR="0031378E">
        <w:t xml:space="preserve">, </w:t>
      </w:r>
      <w:r w:rsidR="003A700C">
        <w:fldChar w:fldCharType="begin"/>
      </w:r>
      <w:r w:rsidR="002820E0">
        <w:instrText xml:space="preserve"> PAGEREF z_AlmahPerso_o2 \h </w:instrText>
      </w:r>
      <w:r w:rsidR="003A700C">
        <w:fldChar w:fldCharType="separate"/>
      </w:r>
      <w:r w:rsidR="009D58B1">
        <w:rPr>
          <w:noProof/>
        </w:rPr>
        <w:t>17</w:t>
      </w:r>
      <w:r w:rsidR="003A700C">
        <w:fldChar w:fldCharType="end"/>
      </w:r>
      <w:r w:rsidR="0031378E">
        <w:t>-</w:t>
      </w:r>
      <w:r w:rsidR="003A700C">
        <w:fldChar w:fldCharType="begin"/>
      </w:r>
      <w:r w:rsidR="002820E0">
        <w:instrText xml:space="preserve"> PAGEREF z_AlmahPerso_o3 \h </w:instrText>
      </w:r>
      <w:r w:rsidR="003A700C">
        <w:fldChar w:fldCharType="separate"/>
      </w:r>
      <w:r w:rsidR="009D58B1">
        <w:rPr>
          <w:noProof/>
        </w:rPr>
        <w:t>33</w:t>
      </w:r>
      <w:r w:rsidR="003A700C">
        <w:fldChar w:fldCharType="end"/>
      </w:r>
      <w:r>
        <w:t xml:space="preserve">[19, 37-77] ; — ne saurait être la femme d’Achaz ou du prophète Isaïe, p. </w:t>
      </w:r>
      <w:r w:rsidR="003A700C">
        <w:fldChar w:fldCharType="begin"/>
      </w:r>
      <w:r w:rsidR="00073827">
        <w:instrText xml:space="preserve"> PAGEREF z_AlmahPerso_o4 \h </w:instrText>
      </w:r>
      <w:r w:rsidR="003A700C">
        <w:fldChar w:fldCharType="separate"/>
      </w:r>
      <w:r w:rsidR="009D58B1">
        <w:rPr>
          <w:noProof/>
        </w:rPr>
        <w:t>20</w:t>
      </w:r>
      <w:r w:rsidR="003A700C">
        <w:fldChar w:fldCharType="end"/>
      </w:r>
      <w:r w:rsidR="0031378E">
        <w:t>-</w:t>
      </w:r>
      <w:r w:rsidR="003A700C">
        <w:fldChar w:fldCharType="begin"/>
      </w:r>
      <w:r w:rsidR="00073827">
        <w:instrText xml:space="preserve"> PAGEREF z_AlmahPerso_o5 \h </w:instrText>
      </w:r>
      <w:r w:rsidR="003A700C">
        <w:fldChar w:fldCharType="separate"/>
      </w:r>
      <w:r w:rsidR="009D58B1">
        <w:rPr>
          <w:noProof/>
        </w:rPr>
        <w:t>20</w:t>
      </w:r>
      <w:r w:rsidR="003A700C">
        <w:fldChar w:fldCharType="end"/>
      </w:r>
      <w:r w:rsidR="0031378E">
        <w:t>[44-45]</w:t>
      </w:r>
      <w:r>
        <w:t xml:space="preserve">, ni une jeune fille quelconque, p. </w:t>
      </w:r>
      <w:r w:rsidR="003A700C">
        <w:fldChar w:fldCharType="begin"/>
      </w:r>
      <w:r w:rsidR="00073827">
        <w:instrText xml:space="preserve"> PAGEREF z_AlmahPerso_o6 \h </w:instrText>
      </w:r>
      <w:r w:rsidR="003A700C">
        <w:fldChar w:fldCharType="separate"/>
      </w:r>
      <w:r w:rsidR="009D58B1">
        <w:rPr>
          <w:noProof/>
        </w:rPr>
        <w:t>20</w:t>
      </w:r>
      <w:r w:rsidR="003A700C">
        <w:fldChar w:fldCharType="end"/>
      </w:r>
      <w:r w:rsidR="00860A96">
        <w:t>[45]</w:t>
      </w:r>
      <w:r>
        <w:t xml:space="preserve">, ni une femme idéale, p. </w:t>
      </w:r>
      <w:r w:rsidR="003A700C">
        <w:fldChar w:fldCharType="begin"/>
      </w:r>
      <w:r w:rsidR="00073827">
        <w:instrText xml:space="preserve"> PAGEREF z_AlmahPerso_o7 \h </w:instrText>
      </w:r>
      <w:r w:rsidR="003A700C">
        <w:fldChar w:fldCharType="separate"/>
      </w:r>
      <w:r w:rsidR="009D58B1">
        <w:rPr>
          <w:noProof/>
        </w:rPr>
        <w:t>21</w:t>
      </w:r>
      <w:r w:rsidR="003A700C">
        <w:fldChar w:fldCharType="end"/>
      </w:r>
      <w:r w:rsidR="00860A96">
        <w:t>[46]</w:t>
      </w:r>
      <w:r>
        <w:t xml:space="preserve">, ni un symbole de Jérusalem ou de la famille royale, p. </w:t>
      </w:r>
      <w:r w:rsidR="003A700C">
        <w:fldChar w:fldCharType="begin"/>
      </w:r>
      <w:r w:rsidR="00073827">
        <w:instrText xml:space="preserve"> PAGEREF z_AlmahPerso_o8 \h </w:instrText>
      </w:r>
      <w:r w:rsidR="003A700C">
        <w:fldChar w:fldCharType="separate"/>
      </w:r>
      <w:r w:rsidR="009D58B1">
        <w:rPr>
          <w:noProof/>
        </w:rPr>
        <w:t>21</w:t>
      </w:r>
      <w:r w:rsidR="003A700C">
        <w:fldChar w:fldCharType="end"/>
      </w:r>
      <w:r w:rsidR="00860A96">
        <w:t>[48]</w:t>
      </w:r>
      <w:r>
        <w:t xml:space="preserve">, ni une fille d’Achaz, p. </w:t>
      </w:r>
      <w:r w:rsidR="003A700C">
        <w:fldChar w:fldCharType="begin"/>
      </w:r>
      <w:r w:rsidR="00073827">
        <w:instrText xml:space="preserve"> PAGEREF z_AlmahPerso_o9 \h </w:instrText>
      </w:r>
      <w:r w:rsidR="003A700C">
        <w:fldChar w:fldCharType="separate"/>
      </w:r>
      <w:r w:rsidR="009D58B1">
        <w:rPr>
          <w:noProof/>
        </w:rPr>
        <w:t>22</w:t>
      </w:r>
      <w:r w:rsidR="003A700C">
        <w:fldChar w:fldCharType="end"/>
      </w:r>
      <w:r w:rsidR="00860A96">
        <w:t>[48]</w:t>
      </w:r>
      <w:r>
        <w:t xml:space="preserve"> et suiv. </w:t>
      </w:r>
    </w:p>
    <w:p w:rsidR="00317656" w:rsidRDefault="00317656" w:rsidP="00317656">
      <w:r>
        <w:t>Ange</w:t>
      </w:r>
      <w:r w:rsidRPr="004440EA">
        <w:t xml:space="preserve"> (</w:t>
      </w:r>
      <w:r>
        <w:t>L’</w:t>
      </w:r>
      <w:r w:rsidRPr="00950016">
        <w:t xml:space="preserve">) </w:t>
      </w:r>
      <w:r>
        <w:t xml:space="preserve">de Gethsémani, p. </w:t>
      </w:r>
      <w:r w:rsidR="003A700C">
        <w:fldChar w:fldCharType="begin"/>
      </w:r>
      <w:r w:rsidR="00073827">
        <w:instrText xml:space="preserve"> PAGEREF z_AngeGethsemani_o1 \h </w:instrText>
      </w:r>
      <w:r w:rsidR="003A700C">
        <w:fldChar w:fldCharType="separate"/>
      </w:r>
      <w:r w:rsidR="009D58B1">
        <w:rPr>
          <w:noProof/>
        </w:rPr>
        <w:t>49</w:t>
      </w:r>
      <w:r w:rsidR="003A700C">
        <w:fldChar w:fldCharType="end"/>
      </w:r>
      <w:r w:rsidR="00860A96">
        <w:t>[121]</w:t>
      </w:r>
      <w:r>
        <w:t xml:space="preserve"> et suiv. </w:t>
      </w:r>
    </w:p>
    <w:p w:rsidR="00317656" w:rsidRDefault="00317656" w:rsidP="00317656">
      <w:r>
        <w:t>Anges</w:t>
      </w:r>
      <w:r w:rsidRPr="004440EA">
        <w:t xml:space="preserve"> (</w:t>
      </w:r>
      <w:r>
        <w:t>Les</w:t>
      </w:r>
      <w:r w:rsidRPr="00950016">
        <w:t xml:space="preserve">) </w:t>
      </w:r>
      <w:r>
        <w:t xml:space="preserve">dans la vie de Notre Seigneur Jésus-Christ, p. </w:t>
      </w:r>
      <w:r w:rsidR="003A700C">
        <w:fldChar w:fldCharType="begin"/>
      </w:r>
      <w:r w:rsidR="00073827">
        <w:instrText xml:space="preserve"> PAGEREF z_Anges_o1 \h </w:instrText>
      </w:r>
      <w:r w:rsidR="003A700C">
        <w:fldChar w:fldCharType="separate"/>
      </w:r>
      <w:r w:rsidR="009D58B1">
        <w:rPr>
          <w:noProof/>
        </w:rPr>
        <w:t>50</w:t>
      </w:r>
      <w:r w:rsidR="003A700C">
        <w:fldChar w:fldCharType="end"/>
      </w:r>
      <w:r w:rsidR="00073827">
        <w:t xml:space="preserve"> et </w:t>
      </w:r>
      <w:r w:rsidR="003A700C">
        <w:fldChar w:fldCharType="begin"/>
      </w:r>
      <w:r w:rsidR="00073827">
        <w:instrText xml:space="preserve"> PAGEREF z_Anges_o2 \h </w:instrText>
      </w:r>
      <w:r w:rsidR="003A700C">
        <w:fldChar w:fldCharType="separate"/>
      </w:r>
      <w:r w:rsidR="009D58B1">
        <w:rPr>
          <w:noProof/>
        </w:rPr>
        <w:t>50</w:t>
      </w:r>
      <w:r w:rsidR="003A700C">
        <w:fldChar w:fldCharType="end"/>
      </w:r>
      <w:r w:rsidR="00860A96">
        <w:t>[122</w:t>
      </w:r>
      <w:r>
        <w:t xml:space="preserve"> et 123</w:t>
      </w:r>
      <w:r w:rsidR="00073827">
        <w:t>]</w:t>
      </w:r>
      <w:r>
        <w:t xml:space="preserve">. </w:t>
      </w:r>
    </w:p>
    <w:p w:rsidR="00317656" w:rsidRDefault="00317656" w:rsidP="00317656">
      <w:r>
        <w:t xml:space="preserve">Âniers juifs, p. </w:t>
      </w:r>
      <w:r w:rsidR="003A700C">
        <w:fldChar w:fldCharType="begin"/>
      </w:r>
      <w:r w:rsidR="00073827">
        <w:instrText xml:space="preserve"> PAGEREF z_AniersJuifs_o1 \h </w:instrText>
      </w:r>
      <w:r w:rsidR="003A700C">
        <w:fldChar w:fldCharType="separate"/>
      </w:r>
      <w:r w:rsidR="009D58B1">
        <w:rPr>
          <w:noProof/>
        </w:rPr>
        <w:t>97</w:t>
      </w:r>
      <w:r w:rsidR="003A700C">
        <w:fldChar w:fldCharType="end"/>
      </w:r>
      <w:r w:rsidR="00860A96">
        <w:t>[250]</w:t>
      </w:r>
      <w:r>
        <w:t xml:space="preserve">. </w:t>
      </w:r>
    </w:p>
    <w:p w:rsidR="00317656" w:rsidRDefault="00317656" w:rsidP="00317656">
      <w:r>
        <w:t>Annonciation</w:t>
      </w:r>
      <w:r w:rsidRPr="004440EA">
        <w:t xml:space="preserve"> (</w:t>
      </w:r>
      <w:r>
        <w:t>Église de l’</w:t>
      </w:r>
      <w:r w:rsidRPr="00950016">
        <w:t xml:space="preserve">) </w:t>
      </w:r>
      <w:r>
        <w:t xml:space="preserve">à Nazareth, p. </w:t>
      </w:r>
      <w:r w:rsidR="003A700C">
        <w:fldChar w:fldCharType="begin"/>
      </w:r>
      <w:r w:rsidR="00073827">
        <w:instrText xml:space="preserve"> PAGEREF z_Annonciation_o1 \h </w:instrText>
      </w:r>
      <w:r w:rsidR="003A700C">
        <w:fldChar w:fldCharType="separate"/>
      </w:r>
      <w:r w:rsidR="009D58B1">
        <w:rPr>
          <w:noProof/>
        </w:rPr>
        <w:t>87</w:t>
      </w:r>
      <w:r w:rsidR="003A700C">
        <w:fldChar w:fldCharType="end"/>
      </w:r>
      <w:r w:rsidR="00860A96">
        <w:t>[220]</w:t>
      </w:r>
      <w:r>
        <w:t xml:space="preserve"> et suiv. </w:t>
      </w:r>
    </w:p>
    <w:p w:rsidR="00317656" w:rsidRDefault="00317656" w:rsidP="00317656">
      <w:r>
        <w:t xml:space="preserve">Anticipation prophétique dans la Bible, p. </w:t>
      </w:r>
      <w:r w:rsidR="003A700C">
        <w:fldChar w:fldCharType="begin"/>
      </w:r>
      <w:r w:rsidR="00073827">
        <w:instrText xml:space="preserve"> PAGEREF z_Anticipation_o1 \h </w:instrText>
      </w:r>
      <w:r w:rsidR="003A700C">
        <w:fldChar w:fldCharType="separate"/>
      </w:r>
      <w:r w:rsidR="009D58B1">
        <w:rPr>
          <w:noProof/>
        </w:rPr>
        <w:t>41</w:t>
      </w:r>
      <w:r w:rsidR="003A700C">
        <w:fldChar w:fldCharType="end"/>
      </w:r>
      <w:r w:rsidR="00860A96">
        <w:t>[98]</w:t>
      </w:r>
      <w:r>
        <w:t xml:space="preserve">. </w:t>
      </w:r>
    </w:p>
    <w:p w:rsidR="00317656" w:rsidRDefault="00317656" w:rsidP="00317656">
      <w:r>
        <w:t>Apocalypse</w:t>
      </w:r>
      <w:r w:rsidRPr="004440EA">
        <w:t xml:space="preserve"> (</w:t>
      </w:r>
      <w:r>
        <w:t>L’</w:t>
      </w:r>
      <w:r w:rsidRPr="00950016">
        <w:t xml:space="preserve">) </w:t>
      </w:r>
      <w:r>
        <w:t xml:space="preserve">jugée par M. Maurice </w:t>
      </w:r>
      <w:r w:rsidR="007B3C26">
        <w:t>Ve</w:t>
      </w:r>
      <w:r>
        <w:t xml:space="preserve">rnes, p. </w:t>
      </w:r>
      <w:r w:rsidR="003A700C">
        <w:fldChar w:fldCharType="begin"/>
      </w:r>
      <w:r w:rsidR="00507DB8">
        <w:instrText xml:space="preserve"> PAGEREF z_Apocalypse_o1 \h </w:instrText>
      </w:r>
      <w:r w:rsidR="003A700C">
        <w:fldChar w:fldCharType="separate"/>
      </w:r>
      <w:r w:rsidR="009D58B1">
        <w:rPr>
          <w:noProof/>
        </w:rPr>
        <w:t>60</w:t>
      </w:r>
      <w:r w:rsidR="003A700C">
        <w:fldChar w:fldCharType="end"/>
      </w:r>
      <w:r w:rsidR="0031378E">
        <w:t>-</w:t>
      </w:r>
      <w:r w:rsidR="003A700C">
        <w:fldChar w:fldCharType="begin"/>
      </w:r>
      <w:r w:rsidR="00507DB8">
        <w:instrText xml:space="preserve"> PAGEREF z_Apocalypse_o2 \h </w:instrText>
      </w:r>
      <w:r w:rsidR="003A700C">
        <w:fldChar w:fldCharType="separate"/>
      </w:r>
      <w:r w:rsidR="009D58B1">
        <w:rPr>
          <w:noProof/>
        </w:rPr>
        <w:t>61</w:t>
      </w:r>
      <w:r w:rsidR="003A700C">
        <w:fldChar w:fldCharType="end"/>
      </w:r>
      <w:r w:rsidR="0031378E">
        <w:t>[153-154]</w:t>
      </w:r>
      <w:r>
        <w:t xml:space="preserve">. </w:t>
      </w:r>
    </w:p>
    <w:p w:rsidR="00317656" w:rsidRDefault="00317656" w:rsidP="00317656">
      <w:r>
        <w:t>Arabe</w:t>
      </w:r>
      <w:r w:rsidRPr="004440EA">
        <w:t xml:space="preserve"> (</w:t>
      </w:r>
      <w:r>
        <w:t>La langue</w:t>
      </w:r>
      <w:r w:rsidRPr="00950016">
        <w:t xml:space="preserve">) </w:t>
      </w:r>
      <w:r>
        <w:t xml:space="preserve">et le rôle exagéré qu’on lui a fait jouer pour les dérivations hébraïques, p. </w:t>
      </w:r>
      <w:r w:rsidR="003A700C">
        <w:fldChar w:fldCharType="begin"/>
      </w:r>
      <w:r w:rsidR="00507DB8">
        <w:instrText xml:space="preserve"> PAGEREF z_Arabe_o1 \h </w:instrText>
      </w:r>
      <w:r w:rsidR="003A700C">
        <w:fldChar w:fldCharType="separate"/>
      </w:r>
      <w:r w:rsidR="009D58B1">
        <w:rPr>
          <w:noProof/>
        </w:rPr>
        <w:t>28</w:t>
      </w:r>
      <w:r w:rsidR="003A700C">
        <w:fldChar w:fldCharType="end"/>
      </w:r>
      <w:r w:rsidR="0031378E">
        <w:t>-</w:t>
      </w:r>
      <w:r w:rsidR="003A700C">
        <w:fldChar w:fldCharType="begin"/>
      </w:r>
      <w:r w:rsidR="00507DB8">
        <w:instrText xml:space="preserve"> PAGEREF z_Arabe_o2 \h </w:instrText>
      </w:r>
      <w:r w:rsidR="003A700C">
        <w:fldChar w:fldCharType="separate"/>
      </w:r>
      <w:r w:rsidR="009D58B1">
        <w:rPr>
          <w:noProof/>
        </w:rPr>
        <w:t>29</w:t>
      </w:r>
      <w:r w:rsidR="003A700C">
        <w:fldChar w:fldCharType="end"/>
      </w:r>
      <w:r w:rsidR="0031378E">
        <w:t>[66-67]</w:t>
      </w:r>
      <w:r>
        <w:t xml:space="preserve">. </w:t>
      </w:r>
    </w:p>
    <w:p w:rsidR="00317656" w:rsidRDefault="00317656" w:rsidP="00317656">
      <w:r>
        <w:t>Argument de tradition</w:t>
      </w:r>
      <w:r w:rsidRPr="004440EA">
        <w:t xml:space="preserve"> (</w:t>
      </w:r>
      <w:r>
        <w:t>L’</w:t>
      </w:r>
      <w:r w:rsidRPr="00950016">
        <w:t xml:space="preserve">) </w:t>
      </w:r>
      <w:r>
        <w:t xml:space="preserve">et sa valeur, p. </w:t>
      </w:r>
      <w:r w:rsidR="003A700C">
        <w:fldChar w:fldCharType="begin"/>
      </w:r>
      <w:r w:rsidR="00507DB8">
        <w:instrText xml:space="preserve"> PAGEREF z_ArgumentDeTradition_o1 \h </w:instrText>
      </w:r>
      <w:r w:rsidR="003A700C">
        <w:fldChar w:fldCharType="separate"/>
      </w:r>
      <w:r w:rsidR="009D58B1">
        <w:rPr>
          <w:noProof/>
        </w:rPr>
        <w:t>125</w:t>
      </w:r>
      <w:r w:rsidR="003A700C">
        <w:fldChar w:fldCharType="end"/>
      </w:r>
      <w:r w:rsidR="00860A96">
        <w:t>[320]</w:t>
      </w:r>
      <w:r>
        <w:t xml:space="preserve"> et suiv. </w:t>
      </w:r>
    </w:p>
    <w:p w:rsidR="00317656" w:rsidRDefault="00317656" w:rsidP="00317656">
      <w:r>
        <w:t xml:space="preserve">Artisans et travail manuel chez les Juifs de Palestine au temps de Jésus-Christ, p. </w:t>
      </w:r>
      <w:r w:rsidR="003A700C">
        <w:fldChar w:fldCharType="begin"/>
      </w:r>
      <w:r w:rsidR="00507DB8">
        <w:instrText xml:space="preserve"> PAGEREF z_Artisans_o1 \h </w:instrText>
      </w:r>
      <w:r w:rsidR="003A700C">
        <w:fldChar w:fldCharType="separate"/>
      </w:r>
      <w:r w:rsidR="009D58B1">
        <w:rPr>
          <w:noProof/>
        </w:rPr>
        <w:t>93</w:t>
      </w:r>
      <w:r w:rsidR="003A700C">
        <w:fldChar w:fldCharType="end"/>
      </w:r>
      <w:r w:rsidR="0031378E">
        <w:t>-</w:t>
      </w:r>
      <w:r w:rsidR="003A700C">
        <w:fldChar w:fldCharType="begin"/>
      </w:r>
      <w:r w:rsidR="00507DB8">
        <w:instrText xml:space="preserve"> PAGEREF z_Artisans_o2 \h </w:instrText>
      </w:r>
      <w:r w:rsidR="003A700C">
        <w:fldChar w:fldCharType="separate"/>
      </w:r>
      <w:r w:rsidR="009D58B1">
        <w:rPr>
          <w:noProof/>
        </w:rPr>
        <w:t>103</w:t>
      </w:r>
      <w:r w:rsidR="003A700C">
        <w:fldChar w:fldCharType="end"/>
      </w:r>
      <w:r w:rsidR="0031378E">
        <w:t>[239-266]</w:t>
      </w:r>
      <w:r>
        <w:t xml:space="preserve">. </w:t>
      </w:r>
    </w:p>
    <w:p w:rsidR="00317656" w:rsidRDefault="00317656" w:rsidP="00317656">
      <w:r>
        <w:t>Assyrienne</w:t>
      </w:r>
      <w:r w:rsidRPr="004440EA">
        <w:t xml:space="preserve"> (</w:t>
      </w:r>
      <w:r>
        <w:t>La langue</w:t>
      </w:r>
      <w:r w:rsidRPr="00950016">
        <w:t xml:space="preserve">) </w:t>
      </w:r>
      <w:r>
        <w:t xml:space="preserve">et l’hébreu, p. </w:t>
      </w:r>
      <w:r w:rsidR="003A700C">
        <w:fldChar w:fldCharType="begin"/>
      </w:r>
      <w:r w:rsidR="00507DB8">
        <w:instrText xml:space="preserve"> PAGEREF z_AssyrienneLaLangue_o1 \h </w:instrText>
      </w:r>
      <w:r w:rsidR="003A700C">
        <w:fldChar w:fldCharType="separate"/>
      </w:r>
      <w:r w:rsidR="009D58B1">
        <w:rPr>
          <w:noProof/>
        </w:rPr>
        <w:t>29</w:t>
      </w:r>
      <w:r w:rsidR="003A700C">
        <w:fldChar w:fldCharType="end"/>
      </w:r>
      <w:r w:rsidR="00860A96">
        <w:t>[67]</w:t>
      </w:r>
      <w:r>
        <w:t xml:space="preserve">. </w:t>
      </w:r>
    </w:p>
    <w:p w:rsidR="00317656" w:rsidRDefault="00317656" w:rsidP="00317656">
      <w:r>
        <w:t>Assyriens</w:t>
      </w:r>
      <w:r w:rsidRPr="004440EA">
        <w:t xml:space="preserve"> (</w:t>
      </w:r>
      <w:r>
        <w:t>Les</w:t>
      </w:r>
      <w:r w:rsidRPr="00950016">
        <w:t>)</w:t>
      </w:r>
      <w:r>
        <w:t xml:space="preserve">, instruments des vengeances de Jéhovah contre les Juifs, p. </w:t>
      </w:r>
      <w:r w:rsidR="003A700C">
        <w:fldChar w:fldCharType="begin"/>
      </w:r>
      <w:r w:rsidR="00507DB8">
        <w:instrText xml:space="preserve"> PAGEREF z_Assyriens_o1 \h </w:instrText>
      </w:r>
      <w:r w:rsidR="003A700C">
        <w:fldChar w:fldCharType="separate"/>
      </w:r>
      <w:r w:rsidR="009D58B1">
        <w:rPr>
          <w:noProof/>
        </w:rPr>
        <w:t>13</w:t>
      </w:r>
      <w:r w:rsidR="003A700C">
        <w:fldChar w:fldCharType="end"/>
      </w:r>
      <w:r w:rsidR="00860A96">
        <w:t>[25]</w:t>
      </w:r>
      <w:r>
        <w:t xml:space="preserve"> ; — châtiés eux-mêmes sous les murs de Jérusalem, p. </w:t>
      </w:r>
      <w:r w:rsidR="003A700C">
        <w:fldChar w:fldCharType="begin"/>
      </w:r>
      <w:r w:rsidR="00507DB8">
        <w:instrText xml:space="preserve"> PAGEREF z_Assyriens_o2 \h </w:instrText>
      </w:r>
      <w:r w:rsidR="003A700C">
        <w:fldChar w:fldCharType="separate"/>
      </w:r>
      <w:r w:rsidR="009D58B1">
        <w:rPr>
          <w:noProof/>
        </w:rPr>
        <w:t>14</w:t>
      </w:r>
      <w:r w:rsidR="003A700C">
        <w:fldChar w:fldCharType="end"/>
      </w:r>
      <w:r w:rsidR="00860A96">
        <w:t>[27]</w:t>
      </w:r>
      <w:r>
        <w:t xml:space="preserve">. </w:t>
      </w:r>
    </w:p>
    <w:p w:rsidR="00317656" w:rsidRDefault="00317656" w:rsidP="00317656">
      <w:r>
        <w:t>Auberge</w:t>
      </w:r>
      <w:r w:rsidRPr="004440EA">
        <w:t xml:space="preserve"> (</w:t>
      </w:r>
      <w:r>
        <w:t>Une</w:t>
      </w:r>
      <w:r w:rsidRPr="00950016">
        <w:t xml:space="preserve">) </w:t>
      </w:r>
      <w:r>
        <w:t xml:space="preserve">dans l’ancienne Jérusalem, p. </w:t>
      </w:r>
      <w:r w:rsidR="003A700C">
        <w:fldChar w:fldCharType="begin"/>
      </w:r>
      <w:r w:rsidR="00507DB8">
        <w:instrText xml:space="preserve"> PAGEREF z_Auberge_o1 \h </w:instrText>
      </w:r>
      <w:r w:rsidR="003A700C">
        <w:fldChar w:fldCharType="separate"/>
      </w:r>
      <w:r w:rsidR="009D58B1">
        <w:rPr>
          <w:noProof/>
        </w:rPr>
        <w:t>102</w:t>
      </w:r>
      <w:r w:rsidR="003A700C">
        <w:fldChar w:fldCharType="end"/>
      </w:r>
      <w:r w:rsidR="00860A96">
        <w:t>[263]</w:t>
      </w:r>
      <w:r>
        <w:t xml:space="preserve">. </w:t>
      </w:r>
    </w:p>
    <w:p w:rsidR="00317656" w:rsidRDefault="00317656" w:rsidP="00317656">
      <w:r>
        <w:rPr>
          <w:smallCaps/>
        </w:rPr>
        <w:t>Augustin</w:t>
      </w:r>
      <w:r w:rsidRPr="004440EA">
        <w:t xml:space="preserve"> (</w:t>
      </w:r>
      <w:r>
        <w:t>Saint</w:t>
      </w:r>
      <w:r w:rsidRPr="00950016">
        <w:t xml:space="preserve">) </w:t>
      </w:r>
      <w:r>
        <w:t xml:space="preserve">et l’exégèse, p. </w:t>
      </w:r>
      <w:r w:rsidR="003A700C">
        <w:fldChar w:fldCharType="begin"/>
      </w:r>
      <w:r w:rsidR="00507DB8">
        <w:instrText xml:space="preserve"> PAGEREF z_Augustin_o1 \h </w:instrText>
      </w:r>
      <w:r w:rsidR="003A700C">
        <w:fldChar w:fldCharType="separate"/>
      </w:r>
      <w:r w:rsidR="009D58B1">
        <w:rPr>
          <w:noProof/>
        </w:rPr>
        <w:t>64</w:t>
      </w:r>
      <w:r w:rsidR="003A700C">
        <w:fldChar w:fldCharType="end"/>
      </w:r>
      <w:r w:rsidR="00860A96">
        <w:t>[162]</w:t>
      </w:r>
      <w:r>
        <w:t xml:space="preserve">. </w:t>
      </w:r>
    </w:p>
    <w:p w:rsidR="00317656" w:rsidRDefault="00317656" w:rsidP="00317656"/>
    <w:p w:rsidR="00317656" w:rsidRDefault="00317656" w:rsidP="00317656">
      <w:r w:rsidRPr="000A34B5">
        <w:rPr>
          <w:rStyle w:val="italicus"/>
        </w:rPr>
        <w:t>Beth-hachaïm</w:t>
      </w:r>
      <w:r>
        <w:rPr>
          <w:rStyle w:val="italicus"/>
        </w:rPr>
        <w:t xml:space="preserve">, </w:t>
      </w:r>
      <w:r>
        <w:t xml:space="preserve">p. </w:t>
      </w:r>
      <w:r w:rsidR="003A700C">
        <w:fldChar w:fldCharType="begin"/>
      </w:r>
      <w:r w:rsidR="00462953">
        <w:instrText xml:space="preserve"> PAGEREF z_BethHachaim_o1 \h </w:instrText>
      </w:r>
      <w:r w:rsidR="003A700C">
        <w:fldChar w:fldCharType="separate"/>
      </w:r>
      <w:r w:rsidR="009D58B1">
        <w:rPr>
          <w:noProof/>
        </w:rPr>
        <w:t>111</w:t>
      </w:r>
      <w:r w:rsidR="003A700C">
        <w:fldChar w:fldCharType="end"/>
      </w:r>
      <w:r w:rsidR="00860A96">
        <w:t>[285]</w:t>
      </w:r>
      <w:r>
        <w:t xml:space="preserve"> et suiv. </w:t>
      </w:r>
    </w:p>
    <w:p w:rsidR="00317656" w:rsidRPr="00C84401" w:rsidRDefault="00317656" w:rsidP="00317656">
      <w:r w:rsidRPr="00C84401">
        <w:rPr>
          <w:rStyle w:val="italicus"/>
        </w:rPr>
        <w:t xml:space="preserve">Bethoulah </w:t>
      </w:r>
      <w:r w:rsidRPr="00462953">
        <w:t>et</w:t>
      </w:r>
      <w:r w:rsidRPr="00C84401">
        <w:rPr>
          <w:rStyle w:val="italicus"/>
        </w:rPr>
        <w:t xml:space="preserve"> ῾almah</w:t>
      </w:r>
      <w:r>
        <w:rPr>
          <w:rStyle w:val="italicus"/>
        </w:rPr>
        <w:t xml:space="preserve">, </w:t>
      </w:r>
      <w:r w:rsidRPr="00C84401">
        <w:t xml:space="preserve">p. </w:t>
      </w:r>
      <w:r w:rsidR="003A700C">
        <w:fldChar w:fldCharType="begin"/>
      </w:r>
      <w:r w:rsidR="00FD6EF1">
        <w:instrText xml:space="preserve"> PAGEREF z_Bethoulah_o1 \h </w:instrText>
      </w:r>
      <w:r w:rsidR="003A700C">
        <w:fldChar w:fldCharType="separate"/>
      </w:r>
      <w:r w:rsidR="009D58B1">
        <w:rPr>
          <w:noProof/>
        </w:rPr>
        <w:t>31</w:t>
      </w:r>
      <w:r w:rsidR="003A700C">
        <w:fldChar w:fldCharType="end"/>
      </w:r>
      <w:r w:rsidR="0031378E">
        <w:t>-</w:t>
      </w:r>
      <w:r w:rsidR="003A700C">
        <w:fldChar w:fldCharType="begin"/>
      </w:r>
      <w:r w:rsidR="00C61A58">
        <w:instrText xml:space="preserve"> PAGEREF z_Bethoulah_o2 \h </w:instrText>
      </w:r>
      <w:r w:rsidR="003A700C">
        <w:fldChar w:fldCharType="separate"/>
      </w:r>
      <w:r w:rsidR="009D58B1">
        <w:rPr>
          <w:noProof/>
        </w:rPr>
        <w:t>31</w:t>
      </w:r>
      <w:r w:rsidR="003A700C">
        <w:fldChar w:fldCharType="end"/>
      </w:r>
      <w:r w:rsidR="0031378E">
        <w:t>[</w:t>
      </w:r>
      <w:r w:rsidR="0031378E" w:rsidRPr="00C84401">
        <w:t>72-73</w:t>
      </w:r>
      <w:r w:rsidR="0031378E">
        <w:t>]</w:t>
      </w:r>
      <w:r w:rsidRPr="00C84401">
        <w:t xml:space="preserve">. </w:t>
      </w:r>
    </w:p>
    <w:p w:rsidR="00317656" w:rsidRDefault="00317656" w:rsidP="00317656">
      <w:r w:rsidRPr="000A34B5">
        <w:rPr>
          <w:rStyle w:val="italicus"/>
        </w:rPr>
        <w:t>Biccourim</w:t>
      </w:r>
      <w:r w:rsidRPr="004440EA">
        <w:t xml:space="preserve"> (</w:t>
      </w:r>
      <w:r>
        <w:t>ou prémices sacrées</w:t>
      </w:r>
      <w:r w:rsidRPr="00950016">
        <w:t xml:space="preserve">) </w:t>
      </w:r>
      <w:r>
        <w:t xml:space="preserve">apportés à Jérusalem, p. </w:t>
      </w:r>
      <w:r w:rsidR="003A700C">
        <w:fldChar w:fldCharType="begin"/>
      </w:r>
      <w:r w:rsidR="00C61A58">
        <w:instrText xml:space="preserve"> PAGEREF z_Biccourim_o1 \h </w:instrText>
      </w:r>
      <w:r w:rsidR="003A700C">
        <w:fldChar w:fldCharType="separate"/>
      </w:r>
      <w:r w:rsidR="009D58B1">
        <w:rPr>
          <w:noProof/>
        </w:rPr>
        <w:t>103</w:t>
      </w:r>
      <w:r w:rsidR="003A700C">
        <w:fldChar w:fldCharType="end"/>
      </w:r>
      <w:r w:rsidR="0031378E">
        <w:t>-</w:t>
      </w:r>
      <w:r w:rsidR="003A700C">
        <w:fldChar w:fldCharType="begin"/>
      </w:r>
      <w:r w:rsidR="00C61A58">
        <w:instrText xml:space="preserve"> PAGEREF z_Biccourim_o2 \h </w:instrText>
      </w:r>
      <w:r w:rsidR="003A700C">
        <w:fldChar w:fldCharType="separate"/>
      </w:r>
      <w:r w:rsidR="009D58B1">
        <w:rPr>
          <w:noProof/>
        </w:rPr>
        <w:t>103</w:t>
      </w:r>
      <w:r w:rsidR="003A700C">
        <w:fldChar w:fldCharType="end"/>
      </w:r>
      <w:r w:rsidR="0031378E">
        <w:t>[264-266]</w:t>
      </w:r>
      <w:r>
        <w:t xml:space="preserve">. </w:t>
      </w:r>
    </w:p>
    <w:p w:rsidR="00317656" w:rsidRPr="00C84401" w:rsidRDefault="00317656" w:rsidP="00317656">
      <w:r w:rsidRPr="00C84401">
        <w:rPr>
          <w:rStyle w:val="italicus"/>
        </w:rPr>
        <w:t>Birket-es-Soultân</w:t>
      </w:r>
      <w:r>
        <w:rPr>
          <w:rStyle w:val="italicus"/>
        </w:rPr>
        <w:t xml:space="preserve">, </w:t>
      </w:r>
      <w:r w:rsidRPr="00C84401">
        <w:t xml:space="preserve">p. </w:t>
      </w:r>
      <w:r w:rsidR="003A700C">
        <w:fldChar w:fldCharType="begin"/>
      </w:r>
      <w:r w:rsidR="00723FF6">
        <w:instrText xml:space="preserve"> PAGEREF z_BirketEsSoultan_o1 \h </w:instrText>
      </w:r>
      <w:r w:rsidR="003A700C">
        <w:fldChar w:fldCharType="separate"/>
      </w:r>
      <w:r w:rsidR="009D58B1">
        <w:rPr>
          <w:noProof/>
        </w:rPr>
        <w:t>5</w:t>
      </w:r>
      <w:r w:rsidR="003A700C">
        <w:fldChar w:fldCharType="end"/>
      </w:r>
      <w:r w:rsidR="00860A96">
        <w:t>[</w:t>
      </w:r>
      <w:r w:rsidR="00860A96" w:rsidRPr="00C84401">
        <w:t>3</w:t>
      </w:r>
      <w:r w:rsidR="00C61A58">
        <w:t xml:space="preserve"> note</w:t>
      </w:r>
      <w:r w:rsidR="00860A96">
        <w:t>]</w:t>
      </w:r>
      <w:r w:rsidRPr="00C84401">
        <w:t xml:space="preserve">. </w:t>
      </w:r>
    </w:p>
    <w:p w:rsidR="00317656" w:rsidRPr="00C84401" w:rsidRDefault="00317656" w:rsidP="00317656">
      <w:r w:rsidRPr="00C84401">
        <w:rPr>
          <w:rStyle w:val="italicus"/>
        </w:rPr>
        <w:t>Birket-Mamillah</w:t>
      </w:r>
      <w:r>
        <w:rPr>
          <w:rStyle w:val="italicus"/>
        </w:rPr>
        <w:t xml:space="preserve">, </w:t>
      </w:r>
      <w:r w:rsidRPr="00C84401">
        <w:t>p.</w:t>
      </w:r>
      <w:r w:rsidR="00EC3735">
        <w:t xml:space="preserve"> </w:t>
      </w:r>
      <w:r w:rsidR="003A700C">
        <w:fldChar w:fldCharType="begin"/>
      </w:r>
      <w:r w:rsidR="00EC3735">
        <w:instrText xml:space="preserve"> PAGEREF z_BirketMamillah_o1 \h </w:instrText>
      </w:r>
      <w:r w:rsidR="003A700C">
        <w:fldChar w:fldCharType="separate"/>
      </w:r>
      <w:r w:rsidR="009D58B1">
        <w:rPr>
          <w:noProof/>
        </w:rPr>
        <w:t>5</w:t>
      </w:r>
      <w:r w:rsidR="003A700C">
        <w:fldChar w:fldCharType="end"/>
      </w:r>
      <w:r w:rsidR="0031378E">
        <w:t>,</w:t>
      </w:r>
      <w:r w:rsidR="003A700C">
        <w:fldChar w:fldCharType="begin"/>
      </w:r>
      <w:r w:rsidR="00EC3735">
        <w:instrText xml:space="preserve"> PAGEREF z_BirketMamillah_o2 \h </w:instrText>
      </w:r>
      <w:r w:rsidR="003A700C">
        <w:fldChar w:fldCharType="separate"/>
      </w:r>
      <w:r w:rsidR="009D58B1">
        <w:rPr>
          <w:noProof/>
        </w:rPr>
        <w:t>5</w:t>
      </w:r>
      <w:r w:rsidR="003A700C">
        <w:fldChar w:fldCharType="end"/>
      </w:r>
      <w:r w:rsidR="0031378E">
        <w:t>,</w:t>
      </w:r>
      <w:r w:rsidR="00723FF6" w:rsidRPr="00723FF6">
        <w:t xml:space="preserve"> </w:t>
      </w:r>
      <w:r w:rsidR="003A700C">
        <w:fldChar w:fldCharType="begin"/>
      </w:r>
      <w:r w:rsidR="00723FF6">
        <w:instrText xml:space="preserve"> PAGEREF z_BirketMamillah_o3 \h </w:instrText>
      </w:r>
      <w:r w:rsidR="003A700C">
        <w:fldChar w:fldCharType="separate"/>
      </w:r>
      <w:r w:rsidR="009D58B1">
        <w:rPr>
          <w:noProof/>
        </w:rPr>
        <w:t>6</w:t>
      </w:r>
      <w:r w:rsidR="003A700C">
        <w:fldChar w:fldCharType="end"/>
      </w:r>
      <w:r>
        <w:t>[</w:t>
      </w:r>
      <w:r w:rsidRPr="00C84401">
        <w:t>2</w:t>
      </w:r>
      <w:r>
        <w:t xml:space="preserve">, </w:t>
      </w:r>
      <w:r w:rsidRPr="00C84401">
        <w:t>3</w:t>
      </w:r>
      <w:r>
        <w:t xml:space="preserve">, </w:t>
      </w:r>
      <w:r w:rsidRPr="00C84401">
        <w:t>6</w:t>
      </w:r>
      <w:r>
        <w:t>]</w:t>
      </w:r>
      <w:r w:rsidRPr="00C84401">
        <w:t xml:space="preserve">. </w:t>
      </w:r>
    </w:p>
    <w:p w:rsidR="00317656" w:rsidRDefault="00317656" w:rsidP="00317656">
      <w:r>
        <w:rPr>
          <w:smallCaps/>
        </w:rPr>
        <w:t>Bossuet</w:t>
      </w:r>
      <w:r>
        <w:t xml:space="preserve"> et l’oracle de</w:t>
      </w:r>
      <w:r>
        <w:rPr>
          <w:smallCaps/>
        </w:rPr>
        <w:t xml:space="preserve"> </w:t>
      </w:r>
      <w:r w:rsidRPr="00D40830">
        <w:t>l’</w:t>
      </w:r>
      <w:r w:rsidRPr="00D05EA9">
        <w:rPr>
          <w:rStyle w:val="italicus"/>
        </w:rPr>
        <w:t>῾almah</w:t>
      </w:r>
      <w:r>
        <w:rPr>
          <w:rStyle w:val="italicus"/>
        </w:rPr>
        <w:t xml:space="preserve">, </w:t>
      </w:r>
      <w:r>
        <w:t>p.</w:t>
      </w:r>
      <w:r w:rsidR="003A700C">
        <w:fldChar w:fldCharType="begin"/>
      </w:r>
      <w:r w:rsidR="00E25EBB">
        <w:instrText xml:space="preserve"> PAGEREF z_Bossuet_o1 \h </w:instrText>
      </w:r>
      <w:r w:rsidR="003A700C">
        <w:fldChar w:fldCharType="separate"/>
      </w:r>
      <w:r w:rsidR="009D58B1">
        <w:rPr>
          <w:noProof/>
        </w:rPr>
        <w:t>12</w:t>
      </w:r>
      <w:r w:rsidR="003A700C">
        <w:fldChar w:fldCharType="end"/>
      </w:r>
      <w:r w:rsidR="0031378E">
        <w:t>,</w:t>
      </w:r>
      <w:r w:rsidR="00E25EBB" w:rsidRPr="00E25EBB">
        <w:t xml:space="preserve"> </w:t>
      </w:r>
      <w:r w:rsidR="003A700C">
        <w:fldChar w:fldCharType="begin"/>
      </w:r>
      <w:r w:rsidR="00E25EBB">
        <w:instrText xml:space="preserve"> PAGEREF z_Bossuet_o2 \h </w:instrText>
      </w:r>
      <w:r w:rsidR="003A700C">
        <w:fldChar w:fldCharType="separate"/>
      </w:r>
      <w:r w:rsidR="009D58B1">
        <w:rPr>
          <w:noProof/>
        </w:rPr>
        <w:t>16</w:t>
      </w:r>
      <w:r w:rsidR="003A700C">
        <w:fldChar w:fldCharType="end"/>
      </w:r>
      <w:r w:rsidR="00E25EBB">
        <w:t xml:space="preserve">, </w:t>
      </w:r>
      <w:r w:rsidR="003A700C">
        <w:fldChar w:fldCharType="begin"/>
      </w:r>
      <w:r w:rsidR="000029B6">
        <w:instrText xml:space="preserve"> PAGEREF z_Bossuet_o3 \h </w:instrText>
      </w:r>
      <w:r w:rsidR="003A700C">
        <w:fldChar w:fldCharType="separate"/>
      </w:r>
      <w:r w:rsidR="009D58B1">
        <w:rPr>
          <w:noProof/>
        </w:rPr>
        <w:t>24</w:t>
      </w:r>
      <w:r w:rsidR="003A700C">
        <w:fldChar w:fldCharType="end"/>
      </w:r>
      <w:r w:rsidR="00E25EBB">
        <w:t xml:space="preserve"> </w:t>
      </w:r>
      <w:r w:rsidR="000029B6">
        <w:t>et suiv.</w:t>
      </w:r>
      <w:r w:rsidR="00AD446D">
        <w:t xml:space="preserve">, </w:t>
      </w:r>
      <w:r w:rsidR="003A700C">
        <w:fldChar w:fldCharType="begin"/>
      </w:r>
      <w:r w:rsidR="008112A6">
        <w:instrText xml:space="preserve"> PAGEREF z_Bossuet_o4 \h </w:instrText>
      </w:r>
      <w:r w:rsidR="003A700C">
        <w:fldChar w:fldCharType="separate"/>
      </w:r>
      <w:r w:rsidR="009D58B1">
        <w:rPr>
          <w:noProof/>
        </w:rPr>
        <w:t>31</w:t>
      </w:r>
      <w:r w:rsidR="003A700C">
        <w:fldChar w:fldCharType="end"/>
      </w:r>
      <w:r w:rsidR="008112A6">
        <w:t xml:space="preserve">, </w:t>
      </w:r>
      <w:r w:rsidR="003A700C">
        <w:fldChar w:fldCharType="begin"/>
      </w:r>
      <w:r w:rsidR="00A515E6">
        <w:instrText xml:space="preserve"> PAGEREF z_Bossuet_o5 \h </w:instrText>
      </w:r>
      <w:r w:rsidR="003A700C">
        <w:fldChar w:fldCharType="separate"/>
      </w:r>
      <w:r w:rsidR="009D58B1">
        <w:rPr>
          <w:noProof/>
        </w:rPr>
        <w:t>33</w:t>
      </w:r>
      <w:r w:rsidR="003A700C">
        <w:fldChar w:fldCharType="end"/>
      </w:r>
      <w:r w:rsidR="00AD446D">
        <w:t xml:space="preserve">, </w:t>
      </w:r>
      <w:r w:rsidR="003A700C">
        <w:fldChar w:fldCharType="begin"/>
      </w:r>
      <w:r w:rsidR="00A515E6">
        <w:instrText xml:space="preserve"> PAGEREF z_Bossuet_o6 \h </w:instrText>
      </w:r>
      <w:r w:rsidR="003A700C">
        <w:fldChar w:fldCharType="separate"/>
      </w:r>
      <w:r w:rsidR="009D58B1">
        <w:rPr>
          <w:noProof/>
        </w:rPr>
        <w:t>41</w:t>
      </w:r>
      <w:r w:rsidR="003A700C">
        <w:fldChar w:fldCharType="end"/>
      </w:r>
      <w:r w:rsidR="000029B6">
        <w:t xml:space="preserve"> </w:t>
      </w:r>
      <w:r>
        <w:t>[21, 33, 54 et suiv.,</w:t>
      </w:r>
      <w:r w:rsidR="000029B6">
        <w:t xml:space="preserve"> </w:t>
      </w:r>
      <w:r>
        <w:t xml:space="preserve">72, 77, 99] ; — et la critique biblique, p. </w:t>
      </w:r>
      <w:r w:rsidR="003A700C">
        <w:fldChar w:fldCharType="begin"/>
      </w:r>
      <w:r w:rsidR="00D33BFC">
        <w:instrText xml:space="preserve"> PAGEREF z_BossuetCritique_o1 \h </w:instrText>
      </w:r>
      <w:r w:rsidR="003A700C">
        <w:fldChar w:fldCharType="separate"/>
      </w:r>
      <w:r w:rsidR="009D58B1">
        <w:rPr>
          <w:noProof/>
        </w:rPr>
        <w:t>65</w:t>
      </w:r>
      <w:r w:rsidR="003A700C">
        <w:fldChar w:fldCharType="end"/>
      </w:r>
      <w:r w:rsidR="0031378E">
        <w:t>-</w:t>
      </w:r>
      <w:r w:rsidR="003A700C">
        <w:fldChar w:fldCharType="begin"/>
      </w:r>
      <w:r w:rsidR="00D33BFC">
        <w:instrText xml:space="preserve"> PAGEREF z_BossuetCritique_o2 \h </w:instrText>
      </w:r>
      <w:r w:rsidR="003A700C">
        <w:fldChar w:fldCharType="separate"/>
      </w:r>
      <w:r w:rsidR="009D58B1">
        <w:rPr>
          <w:noProof/>
        </w:rPr>
        <w:t>66</w:t>
      </w:r>
      <w:r w:rsidR="003A700C">
        <w:fldChar w:fldCharType="end"/>
      </w:r>
      <w:r w:rsidR="0031378E">
        <w:t>[165-166]</w:t>
      </w:r>
      <w:r>
        <w:t xml:space="preserve">. </w:t>
      </w:r>
    </w:p>
    <w:p w:rsidR="00317656" w:rsidRDefault="00317656" w:rsidP="00317656"/>
    <w:p w:rsidR="00317656" w:rsidRDefault="00317656" w:rsidP="00317656">
      <w:r>
        <w:t xml:space="preserve">Catéchisme israélite, p. </w:t>
      </w:r>
      <w:r w:rsidR="003A700C">
        <w:fldChar w:fldCharType="begin"/>
      </w:r>
      <w:r w:rsidR="00D33BFC">
        <w:instrText xml:space="preserve"> PAGEREF z_CateIsraelite_o1 \h </w:instrText>
      </w:r>
      <w:r w:rsidR="003A700C">
        <w:fldChar w:fldCharType="separate"/>
      </w:r>
      <w:r w:rsidR="009D58B1">
        <w:rPr>
          <w:noProof/>
        </w:rPr>
        <w:t>103</w:t>
      </w:r>
      <w:r w:rsidR="003A700C">
        <w:fldChar w:fldCharType="end"/>
      </w:r>
      <w:r w:rsidR="00860A96">
        <w:t>[267]</w:t>
      </w:r>
      <w:r>
        <w:t xml:space="preserve"> et suiv. ; leçons préliminaires, p. </w:t>
      </w:r>
      <w:r w:rsidR="003A700C">
        <w:fldChar w:fldCharType="begin"/>
      </w:r>
      <w:r w:rsidR="00D33BFC">
        <w:instrText xml:space="preserve"> PAGEREF z_CateIsraelite_o2 \h </w:instrText>
      </w:r>
      <w:r w:rsidR="003A700C">
        <w:fldChar w:fldCharType="separate"/>
      </w:r>
      <w:r w:rsidR="009D58B1">
        <w:rPr>
          <w:noProof/>
        </w:rPr>
        <w:t>104</w:t>
      </w:r>
      <w:r w:rsidR="003A700C">
        <w:fldChar w:fldCharType="end"/>
      </w:r>
      <w:r w:rsidR="0031378E">
        <w:t>-</w:t>
      </w:r>
      <w:r w:rsidR="003A700C">
        <w:fldChar w:fldCharType="begin"/>
      </w:r>
      <w:r w:rsidR="00D33BFC">
        <w:instrText xml:space="preserve"> PAGEREF z_CateIsraelite_o3 \h </w:instrText>
      </w:r>
      <w:r w:rsidR="003A700C">
        <w:fldChar w:fldCharType="separate"/>
      </w:r>
      <w:r w:rsidR="009D58B1">
        <w:rPr>
          <w:noProof/>
        </w:rPr>
        <w:t>104</w:t>
      </w:r>
      <w:r w:rsidR="003A700C">
        <w:fldChar w:fldCharType="end"/>
      </w:r>
      <w:r w:rsidR="0031378E">
        <w:t>[268-269]</w:t>
      </w:r>
      <w:r>
        <w:t xml:space="preserve"> ; de Dieu, p. </w:t>
      </w:r>
      <w:r w:rsidR="003A700C">
        <w:fldChar w:fldCharType="begin"/>
      </w:r>
      <w:r w:rsidR="00D33BFC">
        <w:instrText xml:space="preserve"> PAGEREF z_CateIsraelite_o4 \h </w:instrText>
      </w:r>
      <w:r w:rsidR="003A700C">
        <w:fldChar w:fldCharType="separate"/>
      </w:r>
      <w:r w:rsidR="009D58B1">
        <w:rPr>
          <w:noProof/>
        </w:rPr>
        <w:t>105</w:t>
      </w:r>
      <w:r w:rsidR="003A700C">
        <w:fldChar w:fldCharType="end"/>
      </w:r>
      <w:r w:rsidR="00860A96">
        <w:t>[270]</w:t>
      </w:r>
      <w:r>
        <w:t xml:space="preserve"> ; du Symbole, p. </w:t>
      </w:r>
      <w:r w:rsidR="003A700C">
        <w:fldChar w:fldCharType="begin"/>
      </w:r>
      <w:r w:rsidR="00D33BFC">
        <w:instrText xml:space="preserve"> PAGEREF z_CateIsraelite_o5 \h </w:instrText>
      </w:r>
      <w:r w:rsidR="003A700C">
        <w:fldChar w:fldCharType="separate"/>
      </w:r>
      <w:r w:rsidR="009D58B1">
        <w:rPr>
          <w:noProof/>
        </w:rPr>
        <w:t>105</w:t>
      </w:r>
      <w:r w:rsidR="003A700C">
        <w:fldChar w:fldCharType="end"/>
      </w:r>
      <w:r w:rsidR="00860A96">
        <w:t>[271]</w:t>
      </w:r>
      <w:r>
        <w:t xml:space="preserve"> ; du Messie, p. </w:t>
      </w:r>
      <w:r w:rsidR="003A700C">
        <w:fldChar w:fldCharType="begin"/>
      </w:r>
      <w:r w:rsidR="00D33BFC">
        <w:instrText xml:space="preserve"> PAGEREF z_CateIsraelite_o6 \h </w:instrText>
      </w:r>
      <w:r w:rsidR="003A700C">
        <w:fldChar w:fldCharType="separate"/>
      </w:r>
      <w:r w:rsidR="009D58B1">
        <w:rPr>
          <w:noProof/>
        </w:rPr>
        <w:t>105</w:t>
      </w:r>
      <w:r w:rsidR="003A700C">
        <w:fldChar w:fldCharType="end"/>
      </w:r>
      <w:r w:rsidR="00860A96">
        <w:t>[272]</w:t>
      </w:r>
      <w:r>
        <w:t xml:space="preserve"> et suiv. ; pratiques destinées à rappeler le souvenir de Dieu et de sa loi, p. </w:t>
      </w:r>
      <w:r w:rsidR="003A700C">
        <w:fldChar w:fldCharType="begin"/>
      </w:r>
      <w:r w:rsidR="00553F90">
        <w:instrText xml:space="preserve"> PAGEREF z_CateIsraelite_o7 \h </w:instrText>
      </w:r>
      <w:r w:rsidR="003A700C">
        <w:fldChar w:fldCharType="separate"/>
      </w:r>
      <w:r w:rsidR="009D58B1">
        <w:rPr>
          <w:noProof/>
        </w:rPr>
        <w:t>106</w:t>
      </w:r>
      <w:r w:rsidR="003A700C">
        <w:fldChar w:fldCharType="end"/>
      </w:r>
      <w:r w:rsidR="00860A96">
        <w:t>[273]</w:t>
      </w:r>
      <w:r>
        <w:t xml:space="preserve"> et suiv. ; préceptes moraux, p. </w:t>
      </w:r>
      <w:r w:rsidR="003A700C">
        <w:fldChar w:fldCharType="begin"/>
      </w:r>
      <w:r w:rsidR="00553F90">
        <w:instrText xml:space="preserve"> PAGEREF z_CateIsraelite_o8 \h </w:instrText>
      </w:r>
      <w:r w:rsidR="003A700C">
        <w:fldChar w:fldCharType="separate"/>
      </w:r>
      <w:r w:rsidR="009D58B1">
        <w:rPr>
          <w:noProof/>
        </w:rPr>
        <w:t>107</w:t>
      </w:r>
      <w:r w:rsidR="003A700C">
        <w:fldChar w:fldCharType="end"/>
      </w:r>
      <w:r w:rsidR="0031378E">
        <w:t>-</w:t>
      </w:r>
      <w:r w:rsidR="003A700C">
        <w:fldChar w:fldCharType="begin"/>
      </w:r>
      <w:r w:rsidR="00553F90">
        <w:instrText xml:space="preserve"> PAGEREF z_CateIsraelite_o9 \h </w:instrText>
      </w:r>
      <w:r w:rsidR="003A700C">
        <w:fldChar w:fldCharType="separate"/>
      </w:r>
      <w:r w:rsidR="009D58B1">
        <w:rPr>
          <w:noProof/>
        </w:rPr>
        <w:t>109</w:t>
      </w:r>
      <w:r w:rsidR="003A700C">
        <w:fldChar w:fldCharType="end"/>
      </w:r>
      <w:r w:rsidR="0031378E">
        <w:t>[276-280]</w:t>
      </w:r>
      <w:r>
        <w:t xml:space="preserve"> ; conclusion, p. </w:t>
      </w:r>
      <w:r w:rsidR="003A700C">
        <w:fldChar w:fldCharType="begin"/>
      </w:r>
      <w:r w:rsidR="00553F90">
        <w:instrText xml:space="preserve"> PAGEREF z_CateIsraelite_o10 \h </w:instrText>
      </w:r>
      <w:r w:rsidR="003A700C">
        <w:fldChar w:fldCharType="separate"/>
      </w:r>
      <w:r w:rsidR="009D58B1">
        <w:rPr>
          <w:noProof/>
        </w:rPr>
        <w:t>110</w:t>
      </w:r>
      <w:r w:rsidR="003A700C">
        <w:fldChar w:fldCharType="end"/>
      </w:r>
      <w:r w:rsidR="0031378E">
        <w:t>-</w:t>
      </w:r>
      <w:r w:rsidR="003A700C">
        <w:fldChar w:fldCharType="begin"/>
      </w:r>
      <w:r w:rsidR="00553F90">
        <w:instrText xml:space="preserve"> PAGEREF z_CateIsraelite_o11 \h </w:instrText>
      </w:r>
      <w:r w:rsidR="003A700C">
        <w:fldChar w:fldCharType="separate"/>
      </w:r>
      <w:r w:rsidR="009D58B1">
        <w:rPr>
          <w:noProof/>
        </w:rPr>
        <w:t>110</w:t>
      </w:r>
      <w:r w:rsidR="003A700C">
        <w:fldChar w:fldCharType="end"/>
      </w:r>
      <w:r w:rsidR="0031378E">
        <w:t>[281-282]</w:t>
      </w:r>
      <w:r>
        <w:t xml:space="preserve">. </w:t>
      </w:r>
    </w:p>
    <w:p w:rsidR="00317656" w:rsidRDefault="00317656" w:rsidP="00317656">
      <w:r>
        <w:t xml:space="preserve">— protestant, p. </w:t>
      </w:r>
      <w:r w:rsidR="003A700C">
        <w:fldChar w:fldCharType="begin"/>
      </w:r>
      <w:r w:rsidR="00553F90">
        <w:instrText xml:space="preserve"> PAGEREF z_CateProtestant_o1 \h </w:instrText>
      </w:r>
      <w:r w:rsidR="003A700C">
        <w:fldChar w:fldCharType="separate"/>
      </w:r>
      <w:r w:rsidR="009D58B1">
        <w:rPr>
          <w:noProof/>
        </w:rPr>
        <w:t>107</w:t>
      </w:r>
      <w:r w:rsidR="003A700C">
        <w:fldChar w:fldCharType="end"/>
      </w:r>
      <w:r w:rsidR="00860A96">
        <w:t>[274]</w:t>
      </w:r>
      <w:r>
        <w:t xml:space="preserve"> et suiv. </w:t>
      </w:r>
    </w:p>
    <w:p w:rsidR="00317656" w:rsidRPr="000029B6" w:rsidRDefault="00317656" w:rsidP="00317656">
      <w:r w:rsidRPr="000029B6">
        <w:rPr>
          <w:rStyle w:val="italicus"/>
        </w:rPr>
        <w:t>Chibbout hakkéver,</w:t>
      </w:r>
      <w:r w:rsidRPr="000029B6">
        <w:t xml:space="preserve"> p. </w:t>
      </w:r>
      <w:r w:rsidR="003A700C">
        <w:fldChar w:fldCharType="begin"/>
      </w:r>
      <w:r w:rsidR="00553F90">
        <w:instrText xml:space="preserve"> PAGEREF z_ChibboutHakkever_o1 \h </w:instrText>
      </w:r>
      <w:r w:rsidR="003A700C">
        <w:fldChar w:fldCharType="separate"/>
      </w:r>
      <w:r w:rsidR="009D58B1">
        <w:rPr>
          <w:noProof/>
        </w:rPr>
        <w:t>119</w:t>
      </w:r>
      <w:r w:rsidR="003A700C">
        <w:fldChar w:fldCharType="end"/>
      </w:r>
      <w:r w:rsidR="00860A96" w:rsidRPr="000029B6">
        <w:t>[305]</w:t>
      </w:r>
      <w:r w:rsidRPr="000029B6">
        <w:t xml:space="preserve"> et suiv. </w:t>
      </w:r>
    </w:p>
    <w:p w:rsidR="00317656" w:rsidRDefault="00317656" w:rsidP="00317656">
      <w:r>
        <w:rPr>
          <w:smallCaps/>
        </w:rPr>
        <w:t>Cicéron</w:t>
      </w:r>
      <w:r>
        <w:t xml:space="preserve"> et la Palestine, p. </w:t>
      </w:r>
      <w:r w:rsidR="003A700C">
        <w:fldChar w:fldCharType="begin"/>
      </w:r>
      <w:r w:rsidR="00512B6E">
        <w:instrText xml:space="preserve"> PAGEREF z_Ciceron_o1 \h </w:instrText>
      </w:r>
      <w:r w:rsidR="003A700C">
        <w:fldChar w:fldCharType="separate"/>
      </w:r>
      <w:r w:rsidR="009D58B1">
        <w:rPr>
          <w:noProof/>
        </w:rPr>
        <w:t>94</w:t>
      </w:r>
      <w:r w:rsidR="003A700C">
        <w:fldChar w:fldCharType="end"/>
      </w:r>
      <w:r w:rsidR="00860A96">
        <w:t>[242]</w:t>
      </w:r>
      <w:r>
        <w:t xml:space="preserve">. </w:t>
      </w:r>
    </w:p>
    <w:p w:rsidR="00317656" w:rsidRDefault="00317656" w:rsidP="00317656">
      <w:r>
        <w:t xml:space="preserve">Cimetières juifs, p. </w:t>
      </w:r>
      <w:r w:rsidR="003A700C">
        <w:fldChar w:fldCharType="begin"/>
      </w:r>
      <w:r w:rsidR="00512B6E">
        <w:instrText xml:space="preserve"> PAGEREF z_CimetieresJuifs_o1 \h </w:instrText>
      </w:r>
      <w:r w:rsidR="003A700C">
        <w:fldChar w:fldCharType="separate"/>
      </w:r>
      <w:r w:rsidR="009D58B1">
        <w:rPr>
          <w:noProof/>
        </w:rPr>
        <w:t>110</w:t>
      </w:r>
      <w:r w:rsidR="003A700C">
        <w:fldChar w:fldCharType="end"/>
      </w:r>
      <w:r w:rsidR="00860A96">
        <w:t>[283]</w:t>
      </w:r>
      <w:r>
        <w:t xml:space="preserve"> et suiv. ; leur nom en hébreu, p. </w:t>
      </w:r>
      <w:r w:rsidR="003A700C">
        <w:fldChar w:fldCharType="begin"/>
      </w:r>
      <w:r w:rsidR="00512B6E">
        <w:instrText xml:space="preserve"> PAGEREF z_CimetieresJuifs_o2 \h </w:instrText>
      </w:r>
      <w:r w:rsidR="003A700C">
        <w:fldChar w:fldCharType="separate"/>
      </w:r>
      <w:r w:rsidR="009D58B1">
        <w:rPr>
          <w:noProof/>
        </w:rPr>
        <w:t>111</w:t>
      </w:r>
      <w:r w:rsidR="003A700C">
        <w:fldChar w:fldCharType="end"/>
      </w:r>
      <w:r w:rsidR="0031378E">
        <w:t>-</w:t>
      </w:r>
      <w:r w:rsidR="003A700C">
        <w:fldChar w:fldCharType="begin"/>
      </w:r>
      <w:r w:rsidR="00512B6E">
        <w:instrText xml:space="preserve"> PAGEREF z_CimetieresJuifs_o3 \h </w:instrText>
      </w:r>
      <w:r w:rsidR="003A700C">
        <w:fldChar w:fldCharType="separate"/>
      </w:r>
      <w:r w:rsidR="009D58B1">
        <w:rPr>
          <w:noProof/>
        </w:rPr>
        <w:t>111</w:t>
      </w:r>
      <w:r w:rsidR="003A700C">
        <w:fldChar w:fldCharType="end"/>
      </w:r>
      <w:r w:rsidR="0031378E">
        <w:t>[285-286]</w:t>
      </w:r>
      <w:r>
        <w:t xml:space="preserve"> ; répugnance des Juifs pour les cimetières communs, p. </w:t>
      </w:r>
      <w:r w:rsidR="003A700C">
        <w:fldChar w:fldCharType="begin"/>
      </w:r>
      <w:r w:rsidR="00512B6E">
        <w:instrText xml:space="preserve"> PAGEREF z_CimetieresJuifs_o4 \h </w:instrText>
      </w:r>
      <w:r w:rsidR="003A700C">
        <w:fldChar w:fldCharType="separate"/>
      </w:r>
      <w:r w:rsidR="009D58B1">
        <w:rPr>
          <w:noProof/>
        </w:rPr>
        <w:t>112</w:t>
      </w:r>
      <w:r w:rsidR="003A700C">
        <w:fldChar w:fldCharType="end"/>
      </w:r>
      <w:r w:rsidR="00860A96">
        <w:t>[287]</w:t>
      </w:r>
      <w:r>
        <w:t xml:space="preserve"> et suiv. ; installation d’un nouveau cimetière, p. </w:t>
      </w:r>
      <w:r w:rsidR="003A700C">
        <w:fldChar w:fldCharType="begin"/>
      </w:r>
      <w:r w:rsidR="00512B6E">
        <w:instrText xml:space="preserve"> PAGEREF z_CimetieresJuifs_o5 \h </w:instrText>
      </w:r>
      <w:r w:rsidR="003A700C">
        <w:fldChar w:fldCharType="separate"/>
      </w:r>
      <w:r w:rsidR="009D58B1">
        <w:rPr>
          <w:noProof/>
        </w:rPr>
        <w:t>112</w:t>
      </w:r>
      <w:r w:rsidR="003A700C">
        <w:fldChar w:fldCharType="end"/>
      </w:r>
      <w:r w:rsidR="00860A96">
        <w:t>[289]</w:t>
      </w:r>
      <w:r>
        <w:t xml:space="preserve"> ; les tombes des riches et des pauvres, p. </w:t>
      </w:r>
      <w:r w:rsidR="003A700C">
        <w:fldChar w:fldCharType="begin"/>
      </w:r>
      <w:r w:rsidR="00512B6E">
        <w:instrText xml:space="preserve"> PAGEREF z_CimetieresJuifs_o6 \h </w:instrText>
      </w:r>
      <w:r w:rsidR="003A700C">
        <w:fldChar w:fldCharType="separate"/>
      </w:r>
      <w:r w:rsidR="009D58B1">
        <w:rPr>
          <w:noProof/>
        </w:rPr>
        <w:t>113</w:t>
      </w:r>
      <w:r w:rsidR="003A700C">
        <w:fldChar w:fldCharType="end"/>
      </w:r>
      <w:r w:rsidR="0031378E">
        <w:t>-</w:t>
      </w:r>
      <w:r w:rsidR="003A700C">
        <w:fldChar w:fldCharType="begin"/>
      </w:r>
      <w:r w:rsidR="00512B6E">
        <w:instrText xml:space="preserve"> PAGEREF z_CimetieresJuifs_o7 \h </w:instrText>
      </w:r>
      <w:r w:rsidR="003A700C">
        <w:fldChar w:fldCharType="separate"/>
      </w:r>
      <w:r w:rsidR="009D58B1">
        <w:rPr>
          <w:noProof/>
        </w:rPr>
        <w:t>113</w:t>
      </w:r>
      <w:r w:rsidR="003A700C">
        <w:fldChar w:fldCharType="end"/>
      </w:r>
      <w:r w:rsidR="0031378E">
        <w:t>[290-292]</w:t>
      </w:r>
      <w:r>
        <w:t xml:space="preserve"> ; épitaphes, p. </w:t>
      </w:r>
      <w:r w:rsidR="003A700C">
        <w:fldChar w:fldCharType="begin"/>
      </w:r>
      <w:r w:rsidR="00512B6E">
        <w:instrText xml:space="preserve"> PAGEREF z_CimetieresJuifs_o8 \h </w:instrText>
      </w:r>
      <w:r w:rsidR="003A700C">
        <w:fldChar w:fldCharType="separate"/>
      </w:r>
      <w:r w:rsidR="009D58B1">
        <w:rPr>
          <w:noProof/>
        </w:rPr>
        <w:t>114</w:t>
      </w:r>
      <w:r w:rsidR="003A700C">
        <w:fldChar w:fldCharType="end"/>
      </w:r>
      <w:r w:rsidR="0031378E">
        <w:t>-</w:t>
      </w:r>
      <w:r w:rsidR="003A700C">
        <w:fldChar w:fldCharType="begin"/>
      </w:r>
      <w:r w:rsidR="00512B6E">
        <w:instrText xml:space="preserve"> PAGEREF z_CimetieresJuifs_o9 \h </w:instrText>
      </w:r>
      <w:r w:rsidR="003A700C">
        <w:fldChar w:fldCharType="separate"/>
      </w:r>
      <w:r w:rsidR="009D58B1">
        <w:rPr>
          <w:noProof/>
        </w:rPr>
        <w:t>118</w:t>
      </w:r>
      <w:r w:rsidR="003A700C">
        <w:fldChar w:fldCharType="end"/>
      </w:r>
      <w:r w:rsidR="0031378E">
        <w:t>[293-301]</w:t>
      </w:r>
      <w:r>
        <w:t xml:space="preserve"> ; visite des tombeaux, p. </w:t>
      </w:r>
      <w:r w:rsidR="003A700C">
        <w:fldChar w:fldCharType="begin"/>
      </w:r>
      <w:r w:rsidR="00512B6E">
        <w:instrText xml:space="preserve"> PAGEREF z_CimetieresJuifs_o10 \h </w:instrText>
      </w:r>
      <w:r w:rsidR="003A700C">
        <w:fldChar w:fldCharType="separate"/>
      </w:r>
      <w:r w:rsidR="009D58B1">
        <w:rPr>
          <w:noProof/>
        </w:rPr>
        <w:t>118</w:t>
      </w:r>
      <w:r w:rsidR="003A700C">
        <w:fldChar w:fldCharType="end"/>
      </w:r>
      <w:r w:rsidR="0031378E">
        <w:t>-</w:t>
      </w:r>
      <w:r w:rsidR="003A700C">
        <w:fldChar w:fldCharType="begin"/>
      </w:r>
      <w:r w:rsidR="00512B6E">
        <w:instrText xml:space="preserve"> PAGEREF z_CimetieresJuifs_o11 \h </w:instrText>
      </w:r>
      <w:r w:rsidR="003A700C">
        <w:fldChar w:fldCharType="separate"/>
      </w:r>
      <w:r w:rsidR="009D58B1">
        <w:rPr>
          <w:noProof/>
        </w:rPr>
        <w:t>119</w:t>
      </w:r>
      <w:r w:rsidR="003A700C">
        <w:fldChar w:fldCharType="end"/>
      </w:r>
      <w:r w:rsidR="0031378E">
        <w:t>[302-304]</w:t>
      </w:r>
      <w:r>
        <w:t xml:space="preserve"> ; superstitions rattachées aux cimetières, p. </w:t>
      </w:r>
      <w:r w:rsidR="003A700C">
        <w:fldChar w:fldCharType="begin"/>
      </w:r>
      <w:r w:rsidR="00512B6E">
        <w:instrText xml:space="preserve"> PAGEREF z_CimetieresJuifs_o12 \h </w:instrText>
      </w:r>
      <w:r w:rsidR="003A700C">
        <w:fldChar w:fldCharType="separate"/>
      </w:r>
      <w:r w:rsidR="009D58B1">
        <w:rPr>
          <w:noProof/>
        </w:rPr>
        <w:t>119</w:t>
      </w:r>
      <w:r w:rsidR="003A700C">
        <w:fldChar w:fldCharType="end"/>
      </w:r>
      <w:r w:rsidR="0031378E">
        <w:t>-</w:t>
      </w:r>
      <w:r w:rsidR="003A700C">
        <w:fldChar w:fldCharType="begin"/>
      </w:r>
      <w:r w:rsidR="00512B6E">
        <w:instrText xml:space="preserve"> PAGEREF z_CimetieresJuifs_o13 \h </w:instrText>
      </w:r>
      <w:r w:rsidR="003A700C">
        <w:fldChar w:fldCharType="separate"/>
      </w:r>
      <w:r w:rsidR="009D58B1">
        <w:rPr>
          <w:noProof/>
        </w:rPr>
        <w:t>120</w:t>
      </w:r>
      <w:r w:rsidR="003A700C">
        <w:fldChar w:fldCharType="end"/>
      </w:r>
      <w:r w:rsidR="0031378E">
        <w:t>[305-306]</w:t>
      </w:r>
      <w:r>
        <w:t xml:space="preserve"> ; répugnance des Juifs pour les exhumations, p. </w:t>
      </w:r>
      <w:r w:rsidR="003A700C">
        <w:fldChar w:fldCharType="begin"/>
      </w:r>
      <w:r w:rsidR="00512B6E">
        <w:instrText xml:space="preserve"> PAGEREF z_CimetieresJuifs_o14 \h </w:instrText>
      </w:r>
      <w:r w:rsidR="003A700C">
        <w:fldChar w:fldCharType="separate"/>
      </w:r>
      <w:r w:rsidR="009D58B1">
        <w:rPr>
          <w:noProof/>
        </w:rPr>
        <w:t>120</w:t>
      </w:r>
      <w:r w:rsidR="003A700C">
        <w:fldChar w:fldCharType="end"/>
      </w:r>
      <w:r w:rsidR="00860A96">
        <w:t>[307]</w:t>
      </w:r>
      <w:r>
        <w:t xml:space="preserve">, et pour la crémation, p. </w:t>
      </w:r>
      <w:r w:rsidR="003A700C">
        <w:fldChar w:fldCharType="begin"/>
      </w:r>
      <w:r w:rsidR="00512B6E">
        <w:instrText xml:space="preserve"> PAGEREF z_CimetieresJuifs_o15 \h </w:instrText>
      </w:r>
      <w:r w:rsidR="003A700C">
        <w:fldChar w:fldCharType="separate"/>
      </w:r>
      <w:r w:rsidR="009D58B1">
        <w:rPr>
          <w:noProof/>
        </w:rPr>
        <w:t>120</w:t>
      </w:r>
      <w:r w:rsidR="003A700C">
        <w:fldChar w:fldCharType="end"/>
      </w:r>
      <w:r w:rsidR="0031378E">
        <w:t>-</w:t>
      </w:r>
      <w:r w:rsidR="003A700C">
        <w:fldChar w:fldCharType="begin"/>
      </w:r>
      <w:r w:rsidR="00512B6E">
        <w:instrText xml:space="preserve"> PAGEREF z_CimetieresJuifs_o16 \h </w:instrText>
      </w:r>
      <w:r w:rsidR="003A700C">
        <w:fldChar w:fldCharType="separate"/>
      </w:r>
      <w:r w:rsidR="009D58B1">
        <w:rPr>
          <w:noProof/>
        </w:rPr>
        <w:t>121</w:t>
      </w:r>
      <w:r w:rsidR="003A700C">
        <w:fldChar w:fldCharType="end"/>
      </w:r>
      <w:r w:rsidR="0031378E">
        <w:t>[308-309]</w:t>
      </w:r>
      <w:r>
        <w:t xml:space="preserve">. </w:t>
      </w:r>
    </w:p>
    <w:p w:rsidR="00317656" w:rsidRDefault="00317656" w:rsidP="00317656">
      <w:r>
        <w:rPr>
          <w:smallCaps/>
        </w:rPr>
        <w:t>Cláudia Prócula</w:t>
      </w:r>
      <w:r>
        <w:t xml:space="preserve">, femme de Pilate, et son rôle dans la Passion de Jésus, p. </w:t>
      </w:r>
      <w:r w:rsidR="003A700C">
        <w:fldChar w:fldCharType="begin"/>
      </w:r>
      <w:r w:rsidR="00512B6E">
        <w:instrText xml:space="preserve"> PAGEREF z_ClaudiaProcula_o1 \h </w:instrText>
      </w:r>
      <w:r w:rsidR="003A700C">
        <w:fldChar w:fldCharType="separate"/>
      </w:r>
      <w:r w:rsidR="009D58B1">
        <w:rPr>
          <w:noProof/>
        </w:rPr>
        <w:t>56</w:t>
      </w:r>
      <w:r w:rsidR="003A700C">
        <w:fldChar w:fldCharType="end"/>
      </w:r>
      <w:r w:rsidR="00860A96">
        <w:t>[141]</w:t>
      </w:r>
      <w:r>
        <w:t xml:space="preserve">. </w:t>
      </w:r>
    </w:p>
    <w:p w:rsidR="00317656" w:rsidRDefault="00317656" w:rsidP="00317656">
      <w:r w:rsidRPr="000A34B5">
        <w:rPr>
          <w:rStyle w:val="italicus"/>
        </w:rPr>
        <w:t>Cohanim</w:t>
      </w:r>
      <w:r>
        <w:t xml:space="preserve"> ou prêtres juifs, p. </w:t>
      </w:r>
      <w:r w:rsidR="003A700C">
        <w:fldChar w:fldCharType="begin"/>
      </w:r>
      <w:r w:rsidR="006242EB">
        <w:instrText xml:space="preserve"> PAGEREF z_Cohanim_o1 \h </w:instrText>
      </w:r>
      <w:r w:rsidR="003A700C">
        <w:fldChar w:fldCharType="separate"/>
      </w:r>
      <w:r w:rsidR="009D58B1">
        <w:rPr>
          <w:noProof/>
        </w:rPr>
        <w:t>112</w:t>
      </w:r>
      <w:r w:rsidR="003A700C">
        <w:fldChar w:fldCharType="end"/>
      </w:r>
      <w:r w:rsidR="00860A96">
        <w:t>[289]</w:t>
      </w:r>
      <w:r>
        <w:t xml:space="preserve">. </w:t>
      </w:r>
    </w:p>
    <w:p w:rsidR="00317656" w:rsidRDefault="00317656" w:rsidP="00317656">
      <w:r w:rsidRPr="000A34B5">
        <w:rPr>
          <w:rStyle w:val="italicus"/>
        </w:rPr>
        <w:t>Comma Joannéum</w:t>
      </w:r>
      <w:r>
        <w:t xml:space="preserve"> et son authenticité, p. </w:t>
      </w:r>
      <w:r w:rsidR="003A700C">
        <w:fldChar w:fldCharType="begin"/>
      </w:r>
      <w:r w:rsidR="006242EB">
        <w:instrText xml:space="preserve"> PAGEREF z_CommaJoanneum_o1 \h </w:instrText>
      </w:r>
      <w:r w:rsidR="003A700C">
        <w:fldChar w:fldCharType="separate"/>
      </w:r>
      <w:r w:rsidR="009D58B1">
        <w:rPr>
          <w:noProof/>
        </w:rPr>
        <w:t>77</w:t>
      </w:r>
      <w:r w:rsidR="003A700C">
        <w:fldChar w:fldCharType="end"/>
      </w:r>
      <w:r w:rsidR="00860A96">
        <w:t>[193]</w:t>
      </w:r>
      <w:r>
        <w:t xml:space="preserve"> et suiv. </w:t>
      </w:r>
    </w:p>
    <w:p w:rsidR="00317656" w:rsidRDefault="00317656" w:rsidP="00317656">
      <w:r>
        <w:t>Commentateurs catholiques du X</w:t>
      </w:r>
      <w:r w:rsidR="007B3C26">
        <w:t>VI</w:t>
      </w:r>
      <w:r w:rsidR="007B3C26" w:rsidRPr="007B3C26">
        <w:rPr>
          <w:vertAlign w:val="superscript"/>
        </w:rPr>
        <w:t>e</w:t>
      </w:r>
      <w:r>
        <w:t xml:space="preserve"> siècle, p. </w:t>
      </w:r>
      <w:r w:rsidR="003A700C">
        <w:fldChar w:fldCharType="begin"/>
      </w:r>
      <w:r w:rsidR="006242EB">
        <w:instrText xml:space="preserve"> PAGEREF z_CommentateursCath_o1 \h </w:instrText>
      </w:r>
      <w:r w:rsidR="003A700C">
        <w:fldChar w:fldCharType="separate"/>
      </w:r>
      <w:r w:rsidR="009D58B1">
        <w:rPr>
          <w:noProof/>
        </w:rPr>
        <w:t>66</w:t>
      </w:r>
      <w:r w:rsidR="003A700C">
        <w:fldChar w:fldCharType="end"/>
      </w:r>
      <w:r w:rsidR="00860A96">
        <w:t>[168]</w:t>
      </w:r>
      <w:r>
        <w:t xml:space="preserve"> et suiv. ; — du</w:t>
      </w:r>
      <w:r>
        <w:rPr>
          <w:smallCaps/>
        </w:rPr>
        <w:t xml:space="preserve"> X</w:t>
      </w:r>
      <w:r w:rsidRPr="00C84401">
        <w:t>V</w:t>
      </w:r>
      <w:r w:rsidR="007B3C26">
        <w:t>II</w:t>
      </w:r>
      <w:r w:rsidR="007B3C26" w:rsidRPr="007B3C26">
        <w:rPr>
          <w:vertAlign w:val="superscript"/>
        </w:rPr>
        <w:t>e</w:t>
      </w:r>
      <w:r w:rsidRPr="00C84401">
        <w:t xml:space="preserve"> </w:t>
      </w:r>
      <w:r>
        <w:t xml:space="preserve">siècle, p. </w:t>
      </w:r>
      <w:r w:rsidR="003A700C">
        <w:fldChar w:fldCharType="begin"/>
      </w:r>
      <w:r w:rsidR="006242EB">
        <w:instrText xml:space="preserve"> PAGEREF z_CommentateursCath_o2 \h </w:instrText>
      </w:r>
      <w:r w:rsidR="003A700C">
        <w:fldChar w:fldCharType="separate"/>
      </w:r>
      <w:r w:rsidR="009D58B1">
        <w:rPr>
          <w:noProof/>
        </w:rPr>
        <w:t>67</w:t>
      </w:r>
      <w:r w:rsidR="003A700C">
        <w:fldChar w:fldCharType="end"/>
      </w:r>
      <w:r w:rsidR="00860A96">
        <w:t>[16</w:t>
      </w:r>
      <w:r w:rsidR="006242EB">
        <w:t>9</w:t>
      </w:r>
      <w:r w:rsidR="00860A96">
        <w:t>]</w:t>
      </w:r>
      <w:r>
        <w:t xml:space="preserve"> et suiv. ; — du XVI</w:t>
      </w:r>
      <w:r w:rsidR="007B3C26">
        <w:t>II</w:t>
      </w:r>
      <w:r w:rsidR="007B3C26" w:rsidRPr="007B3C26">
        <w:rPr>
          <w:vertAlign w:val="superscript"/>
        </w:rPr>
        <w:t>e</w:t>
      </w:r>
      <w:r>
        <w:t xml:space="preserve"> siècle, p. </w:t>
      </w:r>
      <w:r w:rsidR="003A700C">
        <w:fldChar w:fldCharType="begin"/>
      </w:r>
      <w:r w:rsidR="006242EB">
        <w:instrText xml:space="preserve"> PAGEREF z_CommentateursCath_o3 \h </w:instrText>
      </w:r>
      <w:r w:rsidR="003A700C">
        <w:fldChar w:fldCharType="separate"/>
      </w:r>
      <w:r w:rsidR="009D58B1">
        <w:rPr>
          <w:noProof/>
        </w:rPr>
        <w:t>67</w:t>
      </w:r>
      <w:r w:rsidR="003A700C">
        <w:fldChar w:fldCharType="end"/>
      </w:r>
      <w:r w:rsidR="00860A96">
        <w:t>[170]</w:t>
      </w:r>
      <w:r>
        <w:t> ; — du X</w:t>
      </w:r>
      <w:r w:rsidR="007B3C26">
        <w:t>IX</w:t>
      </w:r>
      <w:r w:rsidR="007B3C26" w:rsidRPr="007B3C26">
        <w:rPr>
          <w:vertAlign w:val="superscript"/>
        </w:rPr>
        <w:t>e</w:t>
      </w:r>
      <w:r w:rsidR="00017373">
        <w:t xml:space="preserve"> </w:t>
      </w:r>
      <w:r>
        <w:t xml:space="preserve">siècle, p. </w:t>
      </w:r>
      <w:r w:rsidR="003A700C">
        <w:fldChar w:fldCharType="begin"/>
      </w:r>
      <w:r w:rsidR="006242EB">
        <w:instrText xml:space="preserve"> PAGEREF z_CommentateursCath_o4 \h </w:instrText>
      </w:r>
      <w:r w:rsidR="003A700C">
        <w:fldChar w:fldCharType="separate"/>
      </w:r>
      <w:r w:rsidR="009D58B1">
        <w:rPr>
          <w:noProof/>
        </w:rPr>
        <w:t>67</w:t>
      </w:r>
      <w:r w:rsidR="003A700C">
        <w:fldChar w:fldCharType="end"/>
      </w:r>
      <w:r w:rsidR="0031378E">
        <w:t>-</w:t>
      </w:r>
      <w:r w:rsidR="003A700C">
        <w:fldChar w:fldCharType="begin"/>
      </w:r>
      <w:r w:rsidR="006242EB">
        <w:instrText xml:space="preserve"> PAGEREF z_CommentateursCath_o5 \h </w:instrText>
      </w:r>
      <w:r w:rsidR="003A700C">
        <w:fldChar w:fldCharType="separate"/>
      </w:r>
      <w:r w:rsidR="009D58B1">
        <w:rPr>
          <w:noProof/>
        </w:rPr>
        <w:t>70</w:t>
      </w:r>
      <w:r w:rsidR="003A700C">
        <w:fldChar w:fldCharType="end"/>
      </w:r>
      <w:r w:rsidR="0031378E">
        <w:t>[17</w:t>
      </w:r>
      <w:r w:rsidR="006242EB">
        <w:t>0</w:t>
      </w:r>
      <w:r w:rsidR="0031378E">
        <w:t>-175]</w:t>
      </w:r>
      <w:r>
        <w:t xml:space="preserve">. </w:t>
      </w:r>
    </w:p>
    <w:p w:rsidR="00317656" w:rsidRDefault="00317656" w:rsidP="00317656">
      <w:r>
        <w:t>Commerce</w:t>
      </w:r>
      <w:r w:rsidRPr="004440EA">
        <w:t xml:space="preserve"> (</w:t>
      </w:r>
      <w:r>
        <w:t>Le</w:t>
      </w:r>
      <w:r w:rsidRPr="00950016">
        <w:t xml:space="preserve">) </w:t>
      </w:r>
      <w:r>
        <w:t xml:space="preserve">chez les Juifs, p. </w:t>
      </w:r>
      <w:r w:rsidR="003A700C">
        <w:fldChar w:fldCharType="begin"/>
      </w:r>
      <w:r w:rsidR="006242EB">
        <w:instrText xml:space="preserve"> PAGEREF z_Commerce_o1 \h </w:instrText>
      </w:r>
      <w:r w:rsidR="003A700C">
        <w:fldChar w:fldCharType="separate"/>
      </w:r>
      <w:r w:rsidR="009D58B1">
        <w:rPr>
          <w:noProof/>
        </w:rPr>
        <w:t>95</w:t>
      </w:r>
      <w:r w:rsidR="003A700C">
        <w:fldChar w:fldCharType="end"/>
      </w:r>
      <w:r w:rsidR="00860A96">
        <w:t>[244]</w:t>
      </w:r>
      <w:r>
        <w:t xml:space="preserve">. </w:t>
      </w:r>
    </w:p>
    <w:p w:rsidR="00317656" w:rsidRDefault="00317656" w:rsidP="00317656">
      <w:r>
        <w:t xml:space="preserve">Concordances bibliques, p. </w:t>
      </w:r>
      <w:r w:rsidR="003A700C">
        <w:fldChar w:fldCharType="begin"/>
      </w:r>
      <w:r w:rsidR="006242EB">
        <w:instrText xml:space="preserve"> PAGEREF z_Concordances_o1 \h </w:instrText>
      </w:r>
      <w:r w:rsidR="003A700C">
        <w:fldChar w:fldCharType="separate"/>
      </w:r>
      <w:r w:rsidR="009D58B1">
        <w:rPr>
          <w:noProof/>
        </w:rPr>
        <w:t>127</w:t>
      </w:r>
      <w:r w:rsidR="003A700C">
        <w:fldChar w:fldCharType="end"/>
      </w:r>
      <w:r w:rsidR="00860A96">
        <w:t>[327]</w:t>
      </w:r>
      <w:r>
        <w:t xml:space="preserve"> et suiv. ; définition, p. </w:t>
      </w:r>
      <w:r w:rsidR="003A700C">
        <w:fldChar w:fldCharType="begin"/>
      </w:r>
      <w:r w:rsidR="006242EB">
        <w:instrText xml:space="preserve"> PAGEREF z_Concordances_o2 \h </w:instrText>
      </w:r>
      <w:r w:rsidR="003A700C">
        <w:fldChar w:fldCharType="separate"/>
      </w:r>
      <w:r w:rsidR="009D58B1">
        <w:rPr>
          <w:noProof/>
        </w:rPr>
        <w:t>127</w:t>
      </w:r>
      <w:r w:rsidR="003A700C">
        <w:fldChar w:fldCharType="end"/>
      </w:r>
      <w:r w:rsidR="00860A96">
        <w:t>[328]</w:t>
      </w:r>
      <w:r>
        <w:t xml:space="preserve"> ; origine, p. </w:t>
      </w:r>
      <w:r w:rsidR="003A700C">
        <w:fldChar w:fldCharType="begin"/>
      </w:r>
      <w:r w:rsidR="006242EB">
        <w:instrText xml:space="preserve"> PAGEREF z_Concordances_o3 \h </w:instrText>
      </w:r>
      <w:r w:rsidR="003A700C">
        <w:fldChar w:fldCharType="separate"/>
      </w:r>
      <w:r w:rsidR="009D58B1">
        <w:rPr>
          <w:noProof/>
        </w:rPr>
        <w:t>127</w:t>
      </w:r>
      <w:r w:rsidR="003A700C">
        <w:fldChar w:fldCharType="end"/>
      </w:r>
      <w:r w:rsidR="00860A96">
        <w:t>[328]</w:t>
      </w:r>
      <w:r>
        <w:t xml:space="preserve"> et suiv. ;</w:t>
      </w:r>
      <w:r w:rsidRPr="000A34B5">
        <w:rPr>
          <w:rStyle w:val="italicus"/>
        </w:rPr>
        <w:t xml:space="preserve"> Concordántiæ breves</w:t>
      </w:r>
      <w:r>
        <w:rPr>
          <w:rStyle w:val="italicus"/>
        </w:rPr>
        <w:t xml:space="preserve">, </w:t>
      </w:r>
      <w:r>
        <w:t xml:space="preserve">p. </w:t>
      </w:r>
      <w:r w:rsidR="003A700C">
        <w:fldChar w:fldCharType="begin"/>
      </w:r>
      <w:r w:rsidR="006242EB">
        <w:instrText xml:space="preserve"> PAGEREF z_Concordances_o4 \h </w:instrText>
      </w:r>
      <w:r w:rsidR="003A700C">
        <w:fldChar w:fldCharType="separate"/>
      </w:r>
      <w:r w:rsidR="009D58B1">
        <w:rPr>
          <w:noProof/>
        </w:rPr>
        <w:t>129</w:t>
      </w:r>
      <w:r w:rsidR="003A700C">
        <w:fldChar w:fldCharType="end"/>
      </w:r>
      <w:r w:rsidR="00860A96">
        <w:t>[329]</w:t>
      </w:r>
      <w:r>
        <w:t xml:space="preserve"> et s. ;</w:t>
      </w:r>
      <w:r w:rsidRPr="000A34B5">
        <w:rPr>
          <w:rStyle w:val="italicus"/>
        </w:rPr>
        <w:t xml:space="preserve"> Concordántiæ máximæ</w:t>
      </w:r>
      <w:r>
        <w:rPr>
          <w:rStyle w:val="italicus"/>
        </w:rPr>
        <w:t xml:space="preserve">, </w:t>
      </w:r>
      <w:r>
        <w:t xml:space="preserve">p. </w:t>
      </w:r>
      <w:r w:rsidR="003A700C">
        <w:fldChar w:fldCharType="begin"/>
      </w:r>
      <w:r w:rsidR="006242EB">
        <w:instrText xml:space="preserve"> PAGEREF z_Concordances_o5 \h </w:instrText>
      </w:r>
      <w:r w:rsidR="003A700C">
        <w:fldChar w:fldCharType="separate"/>
      </w:r>
      <w:r w:rsidR="009D58B1">
        <w:rPr>
          <w:noProof/>
        </w:rPr>
        <w:t>129</w:t>
      </w:r>
      <w:r w:rsidR="003A700C">
        <w:fldChar w:fldCharType="end"/>
      </w:r>
      <w:r w:rsidR="00860A96">
        <w:t>[331]</w:t>
      </w:r>
      <w:r>
        <w:t> ;</w:t>
      </w:r>
      <w:r w:rsidRPr="000A34B5">
        <w:rPr>
          <w:rStyle w:val="italicus"/>
        </w:rPr>
        <w:t xml:space="preserve"> Concordántiæ maj</w:t>
      </w:r>
      <w:r>
        <w:rPr>
          <w:rStyle w:val="italicus"/>
        </w:rPr>
        <w:t>ó</w:t>
      </w:r>
      <w:r w:rsidRPr="000A34B5">
        <w:rPr>
          <w:rStyle w:val="italicus"/>
        </w:rPr>
        <w:t>res</w:t>
      </w:r>
      <w:r>
        <w:rPr>
          <w:rStyle w:val="italicus"/>
        </w:rPr>
        <w:t xml:space="preserve">, </w:t>
      </w:r>
      <w:r>
        <w:t xml:space="preserve">p. </w:t>
      </w:r>
      <w:r w:rsidR="003A700C">
        <w:fldChar w:fldCharType="begin"/>
      </w:r>
      <w:r w:rsidR="006242EB">
        <w:instrText xml:space="preserve"> PAGEREF z_Concordances_o6 \h </w:instrText>
      </w:r>
      <w:r w:rsidR="003A700C">
        <w:fldChar w:fldCharType="separate"/>
      </w:r>
      <w:r w:rsidR="009D58B1">
        <w:rPr>
          <w:noProof/>
        </w:rPr>
        <w:t>129</w:t>
      </w:r>
      <w:r w:rsidR="003A700C">
        <w:fldChar w:fldCharType="end"/>
      </w:r>
      <w:r w:rsidR="0031378E">
        <w:t>-</w:t>
      </w:r>
      <w:r w:rsidR="003A700C">
        <w:fldChar w:fldCharType="begin"/>
      </w:r>
      <w:r w:rsidR="006242EB">
        <w:instrText xml:space="preserve"> PAGEREF z_Concordances_o7 \h </w:instrText>
      </w:r>
      <w:r w:rsidR="003A700C">
        <w:fldChar w:fldCharType="separate"/>
      </w:r>
      <w:r w:rsidR="009D58B1">
        <w:rPr>
          <w:noProof/>
        </w:rPr>
        <w:t>130</w:t>
      </w:r>
      <w:r w:rsidR="003A700C">
        <w:fldChar w:fldCharType="end"/>
      </w:r>
      <w:r w:rsidR="0031378E">
        <w:t>[332-333]</w:t>
      </w:r>
      <w:r>
        <w:t xml:space="preserve"> ; — hébraïques, p. </w:t>
      </w:r>
      <w:r w:rsidR="003A700C">
        <w:fldChar w:fldCharType="begin"/>
      </w:r>
      <w:r w:rsidR="006242EB">
        <w:instrText xml:space="preserve"> PAGEREF z_Concordances_o8 \h </w:instrText>
      </w:r>
      <w:r w:rsidR="003A700C">
        <w:fldChar w:fldCharType="separate"/>
      </w:r>
      <w:r w:rsidR="009D58B1">
        <w:rPr>
          <w:noProof/>
        </w:rPr>
        <w:t>130</w:t>
      </w:r>
      <w:r w:rsidR="003A700C">
        <w:fldChar w:fldCharType="end"/>
      </w:r>
      <w:r w:rsidR="00860A96">
        <w:t>[334]</w:t>
      </w:r>
      <w:r>
        <w:t xml:space="preserve"> ; grecques, p. </w:t>
      </w:r>
      <w:r w:rsidR="003A700C">
        <w:fldChar w:fldCharType="begin"/>
      </w:r>
      <w:r w:rsidR="006242EB">
        <w:instrText xml:space="preserve"> PAGEREF z_Concordances_o9 \h </w:instrText>
      </w:r>
      <w:r w:rsidR="003A700C">
        <w:fldChar w:fldCharType="separate"/>
      </w:r>
      <w:r w:rsidR="009D58B1">
        <w:rPr>
          <w:noProof/>
        </w:rPr>
        <w:t>130</w:t>
      </w:r>
      <w:r w:rsidR="003A700C">
        <w:fldChar w:fldCharType="end"/>
      </w:r>
      <w:r w:rsidR="0031378E">
        <w:t>-</w:t>
      </w:r>
      <w:r w:rsidR="003A700C">
        <w:fldChar w:fldCharType="begin"/>
      </w:r>
      <w:r w:rsidR="006242EB">
        <w:instrText xml:space="preserve"> PAGEREF z_Concordances_o10 \h </w:instrText>
      </w:r>
      <w:r w:rsidR="003A700C">
        <w:fldChar w:fldCharType="separate"/>
      </w:r>
      <w:r w:rsidR="009D58B1">
        <w:rPr>
          <w:noProof/>
        </w:rPr>
        <w:t>131</w:t>
      </w:r>
      <w:r w:rsidR="003A700C">
        <w:fldChar w:fldCharType="end"/>
      </w:r>
      <w:r w:rsidR="0031378E">
        <w:t>[335-336]</w:t>
      </w:r>
      <w:r>
        <w:t xml:space="preserve"> ; latines, p. </w:t>
      </w:r>
      <w:r w:rsidR="003A700C">
        <w:fldChar w:fldCharType="begin"/>
      </w:r>
      <w:r w:rsidR="006242EB">
        <w:instrText xml:space="preserve"> PAGEREF z_Concordances_o11 \h </w:instrText>
      </w:r>
      <w:r w:rsidR="003A700C">
        <w:fldChar w:fldCharType="separate"/>
      </w:r>
      <w:r w:rsidR="009D58B1">
        <w:rPr>
          <w:noProof/>
        </w:rPr>
        <w:t>131</w:t>
      </w:r>
      <w:r w:rsidR="003A700C">
        <w:fldChar w:fldCharType="end"/>
      </w:r>
      <w:r w:rsidR="0031378E">
        <w:t>-</w:t>
      </w:r>
      <w:r w:rsidR="003A700C">
        <w:fldChar w:fldCharType="begin"/>
      </w:r>
      <w:r w:rsidR="006242EB">
        <w:instrText xml:space="preserve"> PAGEREF z_Concordances_o12 \h </w:instrText>
      </w:r>
      <w:r w:rsidR="003A700C">
        <w:fldChar w:fldCharType="separate"/>
      </w:r>
      <w:r w:rsidR="009D58B1">
        <w:rPr>
          <w:noProof/>
        </w:rPr>
        <w:t>133</w:t>
      </w:r>
      <w:r w:rsidR="003A700C">
        <w:fldChar w:fldCharType="end"/>
      </w:r>
      <w:r w:rsidR="0031378E">
        <w:t>[336-</w:t>
      </w:r>
      <w:r w:rsidR="0031378E">
        <w:lastRenderedPageBreak/>
        <w:t>340]</w:t>
      </w:r>
      <w:r>
        <w:t xml:space="preserve"> ; — verbales, p. </w:t>
      </w:r>
      <w:r w:rsidR="003A700C">
        <w:fldChar w:fldCharType="begin"/>
      </w:r>
      <w:r w:rsidR="006242EB">
        <w:instrText xml:space="preserve"> PAGEREF z_Concordances_o13 \h </w:instrText>
      </w:r>
      <w:r w:rsidR="003A700C">
        <w:fldChar w:fldCharType="separate"/>
      </w:r>
      <w:r w:rsidR="009D58B1">
        <w:rPr>
          <w:noProof/>
        </w:rPr>
        <w:t>133</w:t>
      </w:r>
      <w:r w:rsidR="003A700C">
        <w:fldChar w:fldCharType="end"/>
      </w:r>
      <w:r w:rsidR="00860A96">
        <w:t>[341]</w:t>
      </w:r>
      <w:r>
        <w:t xml:space="preserve"> ; — réelles, p. </w:t>
      </w:r>
      <w:r w:rsidR="003A700C">
        <w:fldChar w:fldCharType="begin"/>
      </w:r>
      <w:r w:rsidR="006242EB">
        <w:instrText xml:space="preserve"> PAGEREF z_Concordances_o14 \h </w:instrText>
      </w:r>
      <w:r w:rsidR="003A700C">
        <w:fldChar w:fldCharType="separate"/>
      </w:r>
      <w:r w:rsidR="009D58B1">
        <w:rPr>
          <w:noProof/>
        </w:rPr>
        <w:t>133</w:t>
      </w:r>
      <w:r w:rsidR="003A700C">
        <w:fldChar w:fldCharType="end"/>
      </w:r>
      <w:r w:rsidR="00860A96">
        <w:t>[341]</w:t>
      </w:r>
      <w:r>
        <w:t xml:space="preserve"> ; marginales, p. </w:t>
      </w:r>
      <w:r w:rsidR="003A700C">
        <w:fldChar w:fldCharType="begin"/>
      </w:r>
      <w:r w:rsidR="00793EF2">
        <w:instrText xml:space="preserve"> PAGEREF z_Concordances_o15 \h </w:instrText>
      </w:r>
      <w:r w:rsidR="003A700C">
        <w:fldChar w:fldCharType="separate"/>
      </w:r>
      <w:r w:rsidR="009D58B1">
        <w:rPr>
          <w:noProof/>
        </w:rPr>
        <w:t>133</w:t>
      </w:r>
      <w:r w:rsidR="003A700C">
        <w:fldChar w:fldCharType="end"/>
      </w:r>
      <w:r w:rsidR="00860A96">
        <w:t>[341]</w:t>
      </w:r>
      <w:r>
        <w:t xml:space="preserve"> et s. ; — utilité des Concordances, p. </w:t>
      </w:r>
      <w:r w:rsidR="003A700C">
        <w:fldChar w:fldCharType="begin"/>
      </w:r>
      <w:r w:rsidR="00793EF2">
        <w:instrText xml:space="preserve"> PAGEREF z_Concordances_o16 \h </w:instrText>
      </w:r>
      <w:r w:rsidR="003A700C">
        <w:fldChar w:fldCharType="separate"/>
      </w:r>
      <w:r w:rsidR="009D58B1">
        <w:rPr>
          <w:noProof/>
        </w:rPr>
        <w:t>134</w:t>
      </w:r>
      <w:r w:rsidR="003A700C">
        <w:fldChar w:fldCharType="end"/>
      </w:r>
      <w:r w:rsidR="0031378E">
        <w:t>-</w:t>
      </w:r>
      <w:r w:rsidR="003A700C">
        <w:fldChar w:fldCharType="begin"/>
      </w:r>
      <w:r w:rsidR="00793EF2">
        <w:instrText xml:space="preserve"> PAGEREF z_Concordances_o17 \h </w:instrText>
      </w:r>
      <w:r w:rsidR="003A700C">
        <w:fldChar w:fldCharType="separate"/>
      </w:r>
      <w:r w:rsidR="009D58B1">
        <w:rPr>
          <w:noProof/>
        </w:rPr>
        <w:t>135</w:t>
      </w:r>
      <w:r w:rsidR="003A700C">
        <w:fldChar w:fldCharType="end"/>
      </w:r>
      <w:r w:rsidR="0031378E">
        <w:t>[342-344]</w:t>
      </w:r>
      <w:r>
        <w:t xml:space="preserve">. </w:t>
      </w:r>
    </w:p>
    <w:p w:rsidR="00793EF2" w:rsidRDefault="00317656" w:rsidP="00317656">
      <w:r>
        <w:t xml:space="preserve">Corporations de métiers chez les Juifs, p. </w:t>
      </w:r>
      <w:r w:rsidR="003A700C">
        <w:fldChar w:fldCharType="begin"/>
      </w:r>
      <w:r w:rsidR="00001BEC">
        <w:instrText xml:space="preserve"> PAGEREF z_Corporations_o1 \h </w:instrText>
      </w:r>
      <w:r w:rsidR="003A700C">
        <w:fldChar w:fldCharType="separate"/>
      </w:r>
      <w:r w:rsidR="009D58B1">
        <w:rPr>
          <w:noProof/>
        </w:rPr>
        <w:t>98</w:t>
      </w:r>
      <w:r w:rsidR="003A700C">
        <w:fldChar w:fldCharType="end"/>
      </w:r>
      <w:r w:rsidR="00860A96">
        <w:t>[251]</w:t>
      </w:r>
      <w:r>
        <w:t xml:space="preserve"> et suiv. </w:t>
      </w:r>
    </w:p>
    <w:p w:rsidR="00317656" w:rsidRDefault="00317656" w:rsidP="00317656">
      <w:r>
        <w:t>Crémation</w:t>
      </w:r>
      <w:r w:rsidRPr="004440EA">
        <w:t xml:space="preserve"> (</w:t>
      </w:r>
      <w:r>
        <w:t>La</w:t>
      </w:r>
      <w:r w:rsidRPr="00950016">
        <w:t xml:space="preserve">) </w:t>
      </w:r>
      <w:r>
        <w:t xml:space="preserve">et le judaïsme, p. </w:t>
      </w:r>
      <w:r w:rsidR="003A700C">
        <w:fldChar w:fldCharType="begin"/>
      </w:r>
      <w:r w:rsidR="00001BEC">
        <w:instrText xml:space="preserve"> PAGEREF z_Cremation_o1 \h </w:instrText>
      </w:r>
      <w:r w:rsidR="003A700C">
        <w:fldChar w:fldCharType="separate"/>
      </w:r>
      <w:r w:rsidR="009D58B1">
        <w:rPr>
          <w:noProof/>
        </w:rPr>
        <w:t>120</w:t>
      </w:r>
      <w:r w:rsidR="003A700C">
        <w:fldChar w:fldCharType="end"/>
      </w:r>
      <w:r w:rsidR="0031378E">
        <w:t>-</w:t>
      </w:r>
      <w:r w:rsidR="003A700C">
        <w:fldChar w:fldCharType="begin"/>
      </w:r>
      <w:r w:rsidR="00001BEC">
        <w:instrText xml:space="preserve"> PAGEREF z_Cremation_o2 \h </w:instrText>
      </w:r>
      <w:r w:rsidR="003A700C">
        <w:fldChar w:fldCharType="separate"/>
      </w:r>
      <w:r w:rsidR="009D58B1">
        <w:rPr>
          <w:noProof/>
        </w:rPr>
        <w:t>121</w:t>
      </w:r>
      <w:r w:rsidR="003A700C">
        <w:fldChar w:fldCharType="end"/>
      </w:r>
      <w:r w:rsidR="0031378E">
        <w:t>[307-309]</w:t>
      </w:r>
      <w:r>
        <w:t xml:space="preserve">. </w:t>
      </w:r>
    </w:p>
    <w:p w:rsidR="00317656" w:rsidRDefault="00317656" w:rsidP="00317656">
      <w:r>
        <w:t>Critique</w:t>
      </w:r>
      <w:r w:rsidRPr="004440EA">
        <w:t xml:space="preserve"> (</w:t>
      </w:r>
      <w:r>
        <w:t>La</w:t>
      </w:r>
      <w:r w:rsidRPr="00950016">
        <w:t xml:space="preserve">) </w:t>
      </w:r>
      <w:r>
        <w:t xml:space="preserve">intransigeante et la Bible, p. </w:t>
      </w:r>
      <w:r w:rsidR="003A700C">
        <w:fldChar w:fldCharType="begin"/>
      </w:r>
      <w:r w:rsidR="00001BEC">
        <w:instrText xml:space="preserve"> PAGEREF z_Critique_o1 \h </w:instrText>
      </w:r>
      <w:r w:rsidR="003A700C">
        <w:fldChar w:fldCharType="separate"/>
      </w:r>
      <w:r w:rsidR="009D58B1">
        <w:rPr>
          <w:noProof/>
        </w:rPr>
        <w:t>57</w:t>
      </w:r>
      <w:r w:rsidR="003A700C">
        <w:fldChar w:fldCharType="end"/>
      </w:r>
      <w:r w:rsidR="0031378E">
        <w:t>-</w:t>
      </w:r>
      <w:r w:rsidR="003A700C">
        <w:fldChar w:fldCharType="begin"/>
      </w:r>
      <w:r w:rsidR="00001BEC">
        <w:instrText xml:space="preserve"> PAGEREF z_Critique_o2 \h </w:instrText>
      </w:r>
      <w:r w:rsidR="003A700C">
        <w:fldChar w:fldCharType="separate"/>
      </w:r>
      <w:r w:rsidR="009D58B1">
        <w:rPr>
          <w:noProof/>
        </w:rPr>
        <w:t>58</w:t>
      </w:r>
      <w:r w:rsidR="003A700C">
        <w:fldChar w:fldCharType="end"/>
      </w:r>
      <w:r w:rsidR="0031378E">
        <w:t>[143-145]</w:t>
      </w:r>
      <w:r>
        <w:t xml:space="preserve"> ; biblique et l’Église, p. </w:t>
      </w:r>
      <w:r w:rsidR="003A700C">
        <w:fldChar w:fldCharType="begin"/>
      </w:r>
      <w:r w:rsidR="00001BEC">
        <w:instrText xml:space="preserve"> PAGEREF z_Critique_o3 \h </w:instrText>
      </w:r>
      <w:r w:rsidR="003A700C">
        <w:fldChar w:fldCharType="separate"/>
      </w:r>
      <w:r w:rsidR="009D58B1">
        <w:rPr>
          <w:noProof/>
        </w:rPr>
        <w:t>63</w:t>
      </w:r>
      <w:r w:rsidR="003A700C">
        <w:fldChar w:fldCharType="end"/>
      </w:r>
      <w:r w:rsidR="0031378E">
        <w:t>-</w:t>
      </w:r>
      <w:r w:rsidR="003A700C">
        <w:fldChar w:fldCharType="begin"/>
      </w:r>
      <w:r w:rsidR="00001BEC">
        <w:instrText xml:space="preserve"> PAGEREF z_Critique_o4 \h </w:instrText>
      </w:r>
      <w:r w:rsidR="003A700C">
        <w:fldChar w:fldCharType="separate"/>
      </w:r>
      <w:r w:rsidR="009D58B1">
        <w:rPr>
          <w:noProof/>
        </w:rPr>
        <w:t>70</w:t>
      </w:r>
      <w:r w:rsidR="003A700C">
        <w:fldChar w:fldCharType="end"/>
      </w:r>
      <w:r w:rsidR="0031378E">
        <w:t>[161-176]</w:t>
      </w:r>
      <w:r>
        <w:t xml:space="preserve">. </w:t>
      </w:r>
    </w:p>
    <w:p w:rsidR="00317656" w:rsidRDefault="00317656" w:rsidP="00317656"/>
    <w:p w:rsidR="00317656" w:rsidRDefault="00317656" w:rsidP="00317656">
      <w:r>
        <w:rPr>
          <w:smallCaps/>
        </w:rPr>
        <w:t>Damas</w:t>
      </w:r>
      <w:r>
        <w:t xml:space="preserve">, capitale de la Syrie, p. </w:t>
      </w:r>
      <w:r w:rsidR="003A700C">
        <w:fldChar w:fldCharType="begin"/>
      </w:r>
      <w:r w:rsidR="00001BEC">
        <w:instrText xml:space="preserve"> PAGEREF z_Damas_o2 \h </w:instrText>
      </w:r>
      <w:r w:rsidR="003A700C">
        <w:fldChar w:fldCharType="separate"/>
      </w:r>
      <w:r w:rsidR="009D58B1">
        <w:rPr>
          <w:noProof/>
        </w:rPr>
        <w:t>7</w:t>
      </w:r>
      <w:r w:rsidR="003A700C">
        <w:fldChar w:fldCharType="end"/>
      </w:r>
      <w:r w:rsidR="00860A96">
        <w:t>[9]</w:t>
      </w:r>
      <w:r>
        <w:t xml:space="preserve">. </w:t>
      </w:r>
    </w:p>
    <w:p w:rsidR="00317656" w:rsidRDefault="00317656" w:rsidP="00317656">
      <w:r>
        <w:t xml:space="preserve">Danse des morts, p. </w:t>
      </w:r>
      <w:r w:rsidR="003A700C">
        <w:fldChar w:fldCharType="begin"/>
      </w:r>
      <w:r w:rsidR="00001BEC">
        <w:instrText xml:space="preserve"> PAGEREF z_DanseDesMorts_o1 \h </w:instrText>
      </w:r>
      <w:r w:rsidR="003A700C">
        <w:fldChar w:fldCharType="separate"/>
      </w:r>
      <w:r w:rsidR="009D58B1">
        <w:rPr>
          <w:noProof/>
        </w:rPr>
        <w:t>89</w:t>
      </w:r>
      <w:r w:rsidR="003A700C">
        <w:fldChar w:fldCharType="end"/>
      </w:r>
      <w:r w:rsidR="00860A96">
        <w:t>[227]</w:t>
      </w:r>
      <w:r>
        <w:t xml:space="preserve"> et suiv. </w:t>
      </w:r>
    </w:p>
    <w:p w:rsidR="00317656" w:rsidRDefault="00317656" w:rsidP="00317656">
      <w:r>
        <w:rPr>
          <w:smallCaps/>
        </w:rPr>
        <w:t>Delitzsch</w:t>
      </w:r>
      <w:r w:rsidRPr="004440EA">
        <w:t xml:space="preserve"> (</w:t>
      </w:r>
      <w:r>
        <w:t>Le</w:t>
      </w:r>
      <w:r>
        <w:rPr>
          <w:smallCaps/>
        </w:rPr>
        <w:t xml:space="preserve"> D</w:t>
      </w:r>
      <w:r>
        <w:rPr>
          <w:smallCaps/>
          <w:vertAlign w:val="superscript"/>
        </w:rPr>
        <w:t>r</w:t>
      </w:r>
      <w:r>
        <w:t xml:space="preserve"> Franz</w:t>
      </w:r>
      <w:r w:rsidRPr="00950016">
        <w:t xml:space="preserve">) </w:t>
      </w:r>
      <w:r>
        <w:t xml:space="preserve">et le travail manuel chez les Juifs au temps de Jésus-Christ, p. </w:t>
      </w:r>
      <w:r w:rsidR="003A700C">
        <w:fldChar w:fldCharType="begin"/>
      </w:r>
      <w:r w:rsidR="00001BEC">
        <w:instrText xml:space="preserve"> PAGEREF z_Delitzsch_o1 \h </w:instrText>
      </w:r>
      <w:r w:rsidR="003A700C">
        <w:fldChar w:fldCharType="separate"/>
      </w:r>
      <w:r w:rsidR="009D58B1">
        <w:rPr>
          <w:noProof/>
        </w:rPr>
        <w:t>93</w:t>
      </w:r>
      <w:r w:rsidR="003A700C">
        <w:fldChar w:fldCharType="end"/>
      </w:r>
      <w:r w:rsidR="00860A96">
        <w:t>[240]</w:t>
      </w:r>
      <w:r>
        <w:t xml:space="preserve"> et suiv. </w:t>
      </w:r>
    </w:p>
    <w:p w:rsidR="00317656" w:rsidRDefault="00317656" w:rsidP="00317656">
      <w:r w:rsidRPr="000A34B5">
        <w:rPr>
          <w:rStyle w:val="italicus"/>
        </w:rPr>
        <w:t>Diapedesis</w:t>
      </w:r>
      <w:r>
        <w:rPr>
          <w:rStyle w:val="italicus"/>
        </w:rPr>
        <w:t xml:space="preserve">, </w:t>
      </w:r>
      <w:r>
        <w:t xml:space="preserve">ou sueur de sang, p. </w:t>
      </w:r>
      <w:r w:rsidR="003A700C">
        <w:fldChar w:fldCharType="begin"/>
      </w:r>
      <w:r w:rsidR="00001BEC">
        <w:instrText xml:space="preserve"> PAGEREF z_Diapedesis_o1 \h </w:instrText>
      </w:r>
      <w:r w:rsidR="003A700C">
        <w:fldChar w:fldCharType="separate"/>
      </w:r>
      <w:r w:rsidR="009D58B1">
        <w:rPr>
          <w:noProof/>
        </w:rPr>
        <w:t>50</w:t>
      </w:r>
      <w:r w:rsidR="003A700C">
        <w:fldChar w:fldCharType="end"/>
      </w:r>
      <w:r w:rsidR="0031378E">
        <w:t>-</w:t>
      </w:r>
      <w:r w:rsidR="003A700C">
        <w:fldChar w:fldCharType="begin"/>
      </w:r>
      <w:r w:rsidR="00001BEC">
        <w:instrText xml:space="preserve"> PAGEREF z_Diapedesis_o2 \h </w:instrText>
      </w:r>
      <w:r w:rsidR="003A700C">
        <w:fldChar w:fldCharType="separate"/>
      </w:r>
      <w:r w:rsidR="009D58B1">
        <w:rPr>
          <w:noProof/>
        </w:rPr>
        <w:t>51</w:t>
      </w:r>
      <w:r w:rsidR="003A700C">
        <w:fldChar w:fldCharType="end"/>
      </w:r>
      <w:r w:rsidR="0031378E">
        <w:t>[123-126]</w:t>
      </w:r>
      <w:r>
        <w:t xml:space="preserve">. </w:t>
      </w:r>
    </w:p>
    <w:p w:rsidR="00317656" w:rsidRDefault="00317656" w:rsidP="00317656">
      <w:r>
        <w:t xml:space="preserve">Dieu, d’après le catéchisme israélite, p. </w:t>
      </w:r>
      <w:r w:rsidR="003A700C">
        <w:fldChar w:fldCharType="begin"/>
      </w:r>
      <w:r w:rsidR="00001BEC">
        <w:instrText xml:space="preserve"> PAGEREF z_Dieu_o1 \h </w:instrText>
      </w:r>
      <w:r w:rsidR="003A700C">
        <w:fldChar w:fldCharType="separate"/>
      </w:r>
      <w:r w:rsidR="009D58B1">
        <w:rPr>
          <w:noProof/>
        </w:rPr>
        <w:t>105</w:t>
      </w:r>
      <w:r w:rsidR="003A700C">
        <w:fldChar w:fldCharType="end"/>
      </w:r>
      <w:r w:rsidR="00860A96">
        <w:t>[270]</w:t>
      </w:r>
      <w:r>
        <w:t xml:space="preserve">. </w:t>
      </w:r>
    </w:p>
    <w:p w:rsidR="00317656" w:rsidRDefault="00317656" w:rsidP="00317656">
      <w:r>
        <w:t>Dogme</w:t>
      </w:r>
      <w:r w:rsidRPr="004440EA">
        <w:t xml:space="preserve"> (</w:t>
      </w:r>
      <w:r>
        <w:t>Le</w:t>
      </w:r>
      <w:r w:rsidRPr="00950016">
        <w:t>)</w:t>
      </w:r>
      <w:r>
        <w:t xml:space="preserve">, presque nul dans le catéchisme et dans la théologie des Juifs modernes, pp. </w:t>
      </w:r>
      <w:r w:rsidR="003A700C">
        <w:fldChar w:fldCharType="begin"/>
      </w:r>
      <w:r w:rsidR="00001BEC">
        <w:instrText xml:space="preserve"> PAGEREF z_Dogme_o1 \h </w:instrText>
      </w:r>
      <w:r w:rsidR="003A700C">
        <w:fldChar w:fldCharType="separate"/>
      </w:r>
      <w:r w:rsidR="009D58B1">
        <w:rPr>
          <w:noProof/>
        </w:rPr>
        <w:t>105</w:t>
      </w:r>
      <w:r w:rsidR="003A700C">
        <w:fldChar w:fldCharType="end"/>
      </w:r>
      <w:r w:rsidR="0031378E">
        <w:t xml:space="preserve">, </w:t>
      </w:r>
      <w:r w:rsidR="003A700C">
        <w:fldChar w:fldCharType="begin"/>
      </w:r>
      <w:r w:rsidR="00001BEC">
        <w:instrText xml:space="preserve"> PAGEREF z_Dogme_o2 \h </w:instrText>
      </w:r>
      <w:r w:rsidR="003A700C">
        <w:fldChar w:fldCharType="separate"/>
      </w:r>
      <w:r w:rsidR="009D58B1">
        <w:rPr>
          <w:noProof/>
        </w:rPr>
        <w:t>107</w:t>
      </w:r>
      <w:r w:rsidR="003A700C">
        <w:fldChar w:fldCharType="end"/>
      </w:r>
      <w:r>
        <w:t xml:space="preserve">[270, 275]. </w:t>
      </w:r>
    </w:p>
    <w:p w:rsidR="00317656" w:rsidRDefault="00317656" w:rsidP="00317656"/>
    <w:p w:rsidR="00317656" w:rsidRDefault="00317656" w:rsidP="00317656">
      <w:r>
        <w:t>Église</w:t>
      </w:r>
      <w:r w:rsidRPr="004440EA">
        <w:t xml:space="preserve"> (</w:t>
      </w:r>
      <w:r>
        <w:t>L’</w:t>
      </w:r>
      <w:r w:rsidRPr="00950016">
        <w:t xml:space="preserve">) </w:t>
      </w:r>
      <w:r>
        <w:t xml:space="preserve">catholique et la critique biblique, p. </w:t>
      </w:r>
      <w:r w:rsidR="003A700C">
        <w:fldChar w:fldCharType="begin"/>
      </w:r>
      <w:r w:rsidR="00001BEC">
        <w:instrText xml:space="preserve"> PAGEREF z_Eglise_o1 \h </w:instrText>
      </w:r>
      <w:r w:rsidR="003A700C">
        <w:fldChar w:fldCharType="separate"/>
      </w:r>
      <w:r w:rsidR="009D58B1">
        <w:rPr>
          <w:noProof/>
        </w:rPr>
        <w:t>63</w:t>
      </w:r>
      <w:r w:rsidR="003A700C">
        <w:fldChar w:fldCharType="end"/>
      </w:r>
      <w:r w:rsidR="0031378E">
        <w:t>-</w:t>
      </w:r>
      <w:r w:rsidR="003A700C">
        <w:fldChar w:fldCharType="begin"/>
      </w:r>
      <w:r w:rsidR="00001BEC">
        <w:instrText xml:space="preserve"> PAGEREF z_Eglise_o2 \h </w:instrText>
      </w:r>
      <w:r w:rsidR="003A700C">
        <w:fldChar w:fldCharType="separate"/>
      </w:r>
      <w:r w:rsidR="009D58B1">
        <w:rPr>
          <w:noProof/>
        </w:rPr>
        <w:t>70</w:t>
      </w:r>
      <w:r w:rsidR="003A700C">
        <w:fldChar w:fldCharType="end"/>
      </w:r>
      <w:r w:rsidR="0031378E">
        <w:t>[161-176]</w:t>
      </w:r>
      <w:r>
        <w:t xml:space="preserve">. </w:t>
      </w:r>
    </w:p>
    <w:p w:rsidR="00317656" w:rsidRPr="00C84401" w:rsidRDefault="00317656" w:rsidP="00317656">
      <w:r w:rsidRPr="00C84401">
        <w:rPr>
          <w:rStyle w:val="italicus"/>
        </w:rPr>
        <w:t>El-Khalîl</w:t>
      </w:r>
      <w:r>
        <w:rPr>
          <w:rStyle w:val="italicus"/>
        </w:rPr>
        <w:t xml:space="preserve">, </w:t>
      </w:r>
      <w:r w:rsidRPr="00C84401">
        <w:t xml:space="preserve">p. </w:t>
      </w:r>
      <w:r w:rsidR="003A700C">
        <w:fldChar w:fldCharType="begin"/>
      </w:r>
      <w:r w:rsidR="000C4BF5">
        <w:instrText xml:space="preserve"> PAGEREF z_ElKhalil_o2 \h </w:instrText>
      </w:r>
      <w:r w:rsidR="003A700C">
        <w:fldChar w:fldCharType="separate"/>
      </w:r>
      <w:r w:rsidR="009D58B1">
        <w:rPr>
          <w:noProof/>
        </w:rPr>
        <w:t>4</w:t>
      </w:r>
      <w:r w:rsidR="003A700C">
        <w:fldChar w:fldCharType="end"/>
      </w:r>
      <w:r w:rsidR="00860A96">
        <w:t>[</w:t>
      </w:r>
      <w:r w:rsidR="00860A96" w:rsidRPr="00C84401">
        <w:t>1</w:t>
      </w:r>
      <w:r w:rsidR="00860A96">
        <w:t>]</w:t>
      </w:r>
      <w:r w:rsidRPr="00C84401">
        <w:t xml:space="preserve">. </w:t>
      </w:r>
    </w:p>
    <w:p w:rsidR="00317656" w:rsidRDefault="00317656" w:rsidP="00317656">
      <w:r>
        <w:rPr>
          <w:smallCaps/>
        </w:rPr>
        <w:t>Emmanuel</w:t>
      </w:r>
      <w:r>
        <w:t xml:space="preserve">. Étymologie de ce nom, p. </w:t>
      </w:r>
      <w:r w:rsidR="003A700C">
        <w:fldChar w:fldCharType="begin"/>
      </w:r>
      <w:r w:rsidR="000C4BF5">
        <w:instrText xml:space="preserve"> PAGEREF z_Emmanuel_o1 \h </w:instrText>
      </w:r>
      <w:r w:rsidR="003A700C">
        <w:fldChar w:fldCharType="separate"/>
      </w:r>
      <w:r w:rsidR="009D58B1">
        <w:rPr>
          <w:noProof/>
        </w:rPr>
        <w:t>12</w:t>
      </w:r>
      <w:r w:rsidR="003A700C">
        <w:fldChar w:fldCharType="end"/>
      </w:r>
      <w:r w:rsidR="00860A96">
        <w:t>[23]</w:t>
      </w:r>
      <w:r>
        <w:t xml:space="preserve"> ; quel est l’Emmanuel prédit par Isaïe ? p. </w:t>
      </w:r>
      <w:r w:rsidR="003A700C">
        <w:fldChar w:fldCharType="begin"/>
      </w:r>
      <w:r w:rsidR="000C4BF5">
        <w:instrText xml:space="preserve"> PAGEREF z_Emmanuel_o2 \h </w:instrText>
      </w:r>
      <w:r w:rsidR="003A700C">
        <w:fldChar w:fldCharType="separate"/>
      </w:r>
      <w:r w:rsidR="009D58B1">
        <w:rPr>
          <w:noProof/>
        </w:rPr>
        <w:t>12</w:t>
      </w:r>
      <w:r w:rsidR="003A700C">
        <w:fldChar w:fldCharType="end"/>
      </w:r>
      <w:r w:rsidR="0031378E">
        <w:t>-</w:t>
      </w:r>
      <w:r w:rsidR="003A700C">
        <w:fldChar w:fldCharType="begin"/>
      </w:r>
      <w:r w:rsidR="000C4BF5">
        <w:instrText xml:space="preserve"> PAGEREF z_Emmanuel_o3 \h </w:instrText>
      </w:r>
      <w:r w:rsidR="003A700C">
        <w:fldChar w:fldCharType="separate"/>
      </w:r>
      <w:r w:rsidR="009D58B1">
        <w:rPr>
          <w:noProof/>
        </w:rPr>
        <w:t>17</w:t>
      </w:r>
      <w:r w:rsidR="003A700C">
        <w:fldChar w:fldCharType="end"/>
      </w:r>
      <w:r w:rsidR="0031378E">
        <w:t>[23-36]</w:t>
      </w:r>
      <w:r>
        <w:t xml:space="preserve"> ; le livre d’Emmanuel, p. </w:t>
      </w:r>
      <w:r w:rsidR="003A700C">
        <w:fldChar w:fldCharType="begin"/>
      </w:r>
      <w:r w:rsidR="000C4BF5">
        <w:instrText xml:space="preserve"> PAGEREF z_Emmanuel_o4 \h </w:instrText>
      </w:r>
      <w:r w:rsidR="003A700C">
        <w:fldChar w:fldCharType="separate"/>
      </w:r>
      <w:r w:rsidR="009D58B1">
        <w:rPr>
          <w:noProof/>
        </w:rPr>
        <w:t>12</w:t>
      </w:r>
      <w:r w:rsidR="003A700C">
        <w:fldChar w:fldCharType="end"/>
      </w:r>
      <w:r w:rsidR="0031378E">
        <w:t>-</w:t>
      </w:r>
      <w:r w:rsidR="003A700C">
        <w:fldChar w:fldCharType="begin"/>
      </w:r>
      <w:r w:rsidR="000C4BF5">
        <w:instrText xml:space="preserve"> PAGEREF z_Emmanuel_o5 \h </w:instrText>
      </w:r>
      <w:r w:rsidR="003A700C">
        <w:fldChar w:fldCharType="separate"/>
      </w:r>
      <w:r w:rsidR="009D58B1">
        <w:rPr>
          <w:noProof/>
        </w:rPr>
        <w:t>14</w:t>
      </w:r>
      <w:r w:rsidR="003A700C">
        <w:fldChar w:fldCharType="end"/>
      </w:r>
      <w:r w:rsidR="0031378E">
        <w:t>[24-28]</w:t>
      </w:r>
      <w:r>
        <w:t> ; — ne devait pas être nécessairement et strictement la dénominat</w:t>
      </w:r>
      <w:r w:rsidR="000C4BF5">
        <w:t>ion du fil</w:t>
      </w:r>
      <w:r>
        <w:t>s de</w:t>
      </w:r>
      <w:r w:rsidRPr="000A34B5">
        <w:rPr>
          <w:rStyle w:val="italicus"/>
        </w:rPr>
        <w:t xml:space="preserve"> </w:t>
      </w:r>
      <w:r w:rsidRPr="00D40830">
        <w:t>l’</w:t>
      </w:r>
      <w:r w:rsidRPr="00D05EA9">
        <w:rPr>
          <w:rStyle w:val="italicus"/>
        </w:rPr>
        <w:t>῾almah</w:t>
      </w:r>
      <w:r>
        <w:rPr>
          <w:rStyle w:val="italicus"/>
        </w:rPr>
        <w:t xml:space="preserve">, </w:t>
      </w:r>
      <w:r>
        <w:t xml:space="preserve">p. </w:t>
      </w:r>
      <w:r w:rsidR="003A700C">
        <w:fldChar w:fldCharType="begin"/>
      </w:r>
      <w:r w:rsidR="000C4BF5">
        <w:instrText xml:space="preserve"> PAGEREF z_Emmanuel_o6 \h </w:instrText>
      </w:r>
      <w:r w:rsidR="003A700C">
        <w:fldChar w:fldCharType="separate"/>
      </w:r>
      <w:r w:rsidR="009D58B1">
        <w:rPr>
          <w:noProof/>
        </w:rPr>
        <w:t>17</w:t>
      </w:r>
      <w:r w:rsidR="003A700C">
        <w:fldChar w:fldCharType="end"/>
      </w:r>
      <w:r w:rsidR="00860A96">
        <w:t>[35]</w:t>
      </w:r>
      <w:r>
        <w:t xml:space="preserve"> et suiv. </w:t>
      </w:r>
    </w:p>
    <w:p w:rsidR="00317656" w:rsidRDefault="00317656" w:rsidP="00317656">
      <w:r>
        <w:rPr>
          <w:smallCaps/>
        </w:rPr>
        <w:t>Ephraïm</w:t>
      </w:r>
      <w:r w:rsidRPr="004440EA">
        <w:t xml:space="preserve"> (</w:t>
      </w:r>
      <w:r>
        <w:t xml:space="preserve">Royaume d’). Époque de sa ruine, p. </w:t>
      </w:r>
      <w:r w:rsidR="003A700C">
        <w:fldChar w:fldCharType="begin"/>
      </w:r>
      <w:r w:rsidR="00642284">
        <w:instrText xml:space="preserve"> PAGEREF z_Ephraim_o1 \h </w:instrText>
      </w:r>
      <w:r w:rsidR="003A700C">
        <w:fldChar w:fldCharType="separate"/>
      </w:r>
      <w:r w:rsidR="009D58B1">
        <w:rPr>
          <w:noProof/>
        </w:rPr>
        <w:t>7</w:t>
      </w:r>
      <w:r w:rsidR="003A700C">
        <w:fldChar w:fldCharType="end"/>
      </w:r>
      <w:r w:rsidR="0031378E">
        <w:t>-</w:t>
      </w:r>
      <w:r w:rsidR="003A700C">
        <w:fldChar w:fldCharType="begin"/>
      </w:r>
      <w:r w:rsidR="006451CC">
        <w:instrText xml:space="preserve"> PAGEREF z_Ephraim_o2 \h </w:instrText>
      </w:r>
      <w:r w:rsidR="003A700C">
        <w:fldChar w:fldCharType="separate"/>
      </w:r>
      <w:r w:rsidR="009D58B1">
        <w:rPr>
          <w:noProof/>
        </w:rPr>
        <w:t>9</w:t>
      </w:r>
      <w:r w:rsidR="003A700C">
        <w:fldChar w:fldCharType="end"/>
      </w:r>
      <w:r w:rsidR="0031378E">
        <w:t>[9-14]</w:t>
      </w:r>
      <w:r>
        <w:t xml:space="preserve">. </w:t>
      </w:r>
    </w:p>
    <w:p w:rsidR="00317656" w:rsidRDefault="00317656" w:rsidP="00317656">
      <w:r>
        <w:t xml:space="preserve">Épitaphes sur les tombes juives, p. </w:t>
      </w:r>
      <w:r w:rsidR="003A700C">
        <w:fldChar w:fldCharType="begin"/>
      </w:r>
      <w:r w:rsidR="006451CC">
        <w:instrText xml:space="preserve"> PAGEREF z_Epitaphes_o1 \h </w:instrText>
      </w:r>
      <w:r w:rsidR="003A700C">
        <w:fldChar w:fldCharType="separate"/>
      </w:r>
      <w:r w:rsidR="009D58B1">
        <w:rPr>
          <w:noProof/>
        </w:rPr>
        <w:t>114</w:t>
      </w:r>
      <w:r w:rsidR="003A700C">
        <w:fldChar w:fldCharType="end"/>
      </w:r>
      <w:r w:rsidR="00860A96">
        <w:t>[293]</w:t>
      </w:r>
      <w:r>
        <w:t xml:space="preserve"> et suiv. </w:t>
      </w:r>
    </w:p>
    <w:p w:rsidR="00317656" w:rsidRDefault="00317656" w:rsidP="00317656">
      <w:r>
        <w:t xml:space="preserve">Épîtres de S. Paul et la critique, p. </w:t>
      </w:r>
      <w:r w:rsidR="003A700C">
        <w:fldChar w:fldCharType="begin"/>
      </w:r>
      <w:r w:rsidR="006451CC">
        <w:instrText xml:space="preserve"> PAGEREF z_EpitresPaul_o1 \h </w:instrText>
      </w:r>
      <w:r w:rsidR="003A700C">
        <w:fldChar w:fldCharType="separate"/>
      </w:r>
      <w:r w:rsidR="009D58B1">
        <w:rPr>
          <w:noProof/>
        </w:rPr>
        <w:t>59</w:t>
      </w:r>
      <w:r w:rsidR="003A700C">
        <w:fldChar w:fldCharType="end"/>
      </w:r>
      <w:r w:rsidR="00860A96">
        <w:t>[150]</w:t>
      </w:r>
      <w:r>
        <w:t xml:space="preserve"> et suiv. ; — catholiques, p. </w:t>
      </w:r>
      <w:r w:rsidR="003A700C">
        <w:fldChar w:fldCharType="begin"/>
      </w:r>
      <w:r w:rsidR="00E05CC0">
        <w:instrText xml:space="preserve"> PAGEREF z_EpitresCatholiques_o1 \h </w:instrText>
      </w:r>
      <w:r w:rsidR="003A700C">
        <w:fldChar w:fldCharType="separate"/>
      </w:r>
      <w:r w:rsidR="009D58B1">
        <w:rPr>
          <w:noProof/>
        </w:rPr>
        <w:t>60</w:t>
      </w:r>
      <w:r w:rsidR="003A700C">
        <w:fldChar w:fldCharType="end"/>
      </w:r>
      <w:r w:rsidR="0031378E">
        <w:t>-</w:t>
      </w:r>
      <w:r w:rsidR="003A700C">
        <w:fldChar w:fldCharType="begin"/>
      </w:r>
      <w:r w:rsidR="00E05CC0">
        <w:instrText xml:space="preserve"> PAGEREF z_EpitresCatholiques_o2 \h </w:instrText>
      </w:r>
      <w:r w:rsidR="003A700C">
        <w:fldChar w:fldCharType="separate"/>
      </w:r>
      <w:r w:rsidR="009D58B1">
        <w:rPr>
          <w:noProof/>
        </w:rPr>
        <w:t>60</w:t>
      </w:r>
      <w:r w:rsidR="003A700C">
        <w:fldChar w:fldCharType="end"/>
      </w:r>
      <w:r w:rsidR="0031378E">
        <w:t>[152-153]</w:t>
      </w:r>
      <w:r>
        <w:t xml:space="preserve">. </w:t>
      </w:r>
    </w:p>
    <w:p w:rsidR="00317656" w:rsidRDefault="00317656" w:rsidP="00317656">
      <w:r>
        <w:t>Eucharistie</w:t>
      </w:r>
      <w:r w:rsidRPr="004440EA">
        <w:t xml:space="preserve"> (</w:t>
      </w:r>
      <w:r>
        <w:t>La sainte</w:t>
      </w:r>
      <w:r w:rsidRPr="00950016">
        <w:t xml:space="preserve">) </w:t>
      </w:r>
      <w:r>
        <w:t xml:space="preserve">et le traître Judas, p. </w:t>
      </w:r>
      <w:r w:rsidR="003A700C">
        <w:fldChar w:fldCharType="begin"/>
      </w:r>
      <w:r w:rsidR="00E05CC0">
        <w:instrText xml:space="preserve"> PAGEREF z_Eucharistie_o1 \h </w:instrText>
      </w:r>
      <w:r w:rsidR="003A700C">
        <w:fldChar w:fldCharType="separate"/>
      </w:r>
      <w:r w:rsidR="009D58B1">
        <w:rPr>
          <w:noProof/>
        </w:rPr>
        <w:t>121</w:t>
      </w:r>
      <w:r w:rsidR="003A700C">
        <w:fldChar w:fldCharType="end"/>
      </w:r>
      <w:r w:rsidR="00860A96">
        <w:t>[311]</w:t>
      </w:r>
      <w:r>
        <w:t xml:space="preserve"> et suiv. </w:t>
      </w:r>
    </w:p>
    <w:p w:rsidR="00317656" w:rsidRDefault="00317656" w:rsidP="00317656">
      <w:r>
        <w:t>Évangiles</w:t>
      </w:r>
      <w:r w:rsidRPr="004440EA">
        <w:t xml:space="preserve"> (</w:t>
      </w:r>
      <w:r>
        <w:t>Les</w:t>
      </w:r>
      <w:r w:rsidRPr="00950016">
        <w:t xml:space="preserve">) </w:t>
      </w:r>
      <w:r>
        <w:t xml:space="preserve">et la critique moderne, p. </w:t>
      </w:r>
      <w:r w:rsidR="003A700C">
        <w:fldChar w:fldCharType="begin"/>
      </w:r>
      <w:r w:rsidR="00A1277C">
        <w:instrText xml:space="preserve"> PAGEREF z_EvangilesCritique_o1 \h </w:instrText>
      </w:r>
      <w:r w:rsidR="003A700C">
        <w:fldChar w:fldCharType="separate"/>
      </w:r>
      <w:r w:rsidR="009D58B1">
        <w:rPr>
          <w:noProof/>
        </w:rPr>
        <w:t>58</w:t>
      </w:r>
      <w:r w:rsidR="003A700C">
        <w:fldChar w:fldCharType="end"/>
      </w:r>
      <w:r w:rsidR="0031378E">
        <w:t>-</w:t>
      </w:r>
      <w:r w:rsidR="003A700C">
        <w:fldChar w:fldCharType="begin"/>
      </w:r>
      <w:r w:rsidR="00A1277C">
        <w:instrText xml:space="preserve"> PAGEREF z_EvangilesCritique_o2 \h </w:instrText>
      </w:r>
      <w:r w:rsidR="003A700C">
        <w:fldChar w:fldCharType="separate"/>
      </w:r>
      <w:r w:rsidR="009D58B1">
        <w:rPr>
          <w:noProof/>
        </w:rPr>
        <w:t>59</w:t>
      </w:r>
      <w:r w:rsidR="003A700C">
        <w:fldChar w:fldCharType="end"/>
      </w:r>
      <w:r w:rsidR="0031378E">
        <w:t>[147-149]</w:t>
      </w:r>
      <w:r>
        <w:t xml:space="preserve"> ; — et l’assistance de Judas à l’institution de l’Eucharistie, p. </w:t>
      </w:r>
      <w:r w:rsidR="003A700C">
        <w:fldChar w:fldCharType="begin"/>
      </w:r>
      <w:r w:rsidR="00A1277C">
        <w:instrText xml:space="preserve"> PAGEREF z_EvangilesJudas_o1 \h </w:instrText>
      </w:r>
      <w:r w:rsidR="003A700C">
        <w:fldChar w:fldCharType="separate"/>
      </w:r>
      <w:r w:rsidR="009D58B1">
        <w:rPr>
          <w:noProof/>
        </w:rPr>
        <w:t>121</w:t>
      </w:r>
      <w:r w:rsidR="003A700C">
        <w:fldChar w:fldCharType="end"/>
      </w:r>
      <w:r w:rsidR="0031378E">
        <w:t>-</w:t>
      </w:r>
      <w:r w:rsidR="003A700C">
        <w:fldChar w:fldCharType="begin"/>
      </w:r>
      <w:r w:rsidR="00A1277C">
        <w:instrText xml:space="preserve"> PAGEREF z_EvangilesJudas_o2 \h </w:instrText>
      </w:r>
      <w:r w:rsidR="003A700C">
        <w:fldChar w:fldCharType="separate"/>
      </w:r>
      <w:r w:rsidR="009D58B1">
        <w:rPr>
          <w:noProof/>
        </w:rPr>
        <w:t>124</w:t>
      </w:r>
      <w:r w:rsidR="003A700C">
        <w:fldChar w:fldCharType="end"/>
      </w:r>
      <w:r w:rsidR="0031378E">
        <w:t>[312-318]</w:t>
      </w:r>
      <w:r>
        <w:t xml:space="preserve">. </w:t>
      </w:r>
    </w:p>
    <w:p w:rsidR="00317656" w:rsidRDefault="00317656" w:rsidP="00317656">
      <w:r>
        <w:rPr>
          <w:smallCaps/>
        </w:rPr>
        <w:t>Ewald</w:t>
      </w:r>
      <w:r>
        <w:t xml:space="preserve"> et l’interprétation de l’oracle de</w:t>
      </w:r>
      <w:r w:rsidRPr="000A34B5">
        <w:rPr>
          <w:rStyle w:val="italicus"/>
        </w:rPr>
        <w:t xml:space="preserve"> </w:t>
      </w:r>
      <w:r w:rsidRPr="00D40830">
        <w:t>l’</w:t>
      </w:r>
      <w:r w:rsidRPr="00D05EA9">
        <w:rPr>
          <w:rStyle w:val="italicus"/>
        </w:rPr>
        <w:t>῾almah</w:t>
      </w:r>
      <w:r>
        <w:rPr>
          <w:rStyle w:val="italicus"/>
        </w:rPr>
        <w:t xml:space="preserve">, </w:t>
      </w:r>
      <w:r>
        <w:t xml:space="preserve">p. </w:t>
      </w:r>
      <w:r w:rsidR="003A700C">
        <w:fldChar w:fldCharType="begin"/>
      </w:r>
      <w:r w:rsidR="00A1277C">
        <w:instrText xml:space="preserve"> PAGEREF z_Ewald_o1 \h </w:instrText>
      </w:r>
      <w:r w:rsidR="003A700C">
        <w:fldChar w:fldCharType="separate"/>
      </w:r>
      <w:r w:rsidR="009D58B1">
        <w:rPr>
          <w:noProof/>
        </w:rPr>
        <w:t>20</w:t>
      </w:r>
      <w:r w:rsidR="003A700C">
        <w:fldChar w:fldCharType="end"/>
      </w:r>
      <w:r w:rsidR="0031378E">
        <w:t xml:space="preserve">, </w:t>
      </w:r>
      <w:r w:rsidR="003A700C">
        <w:fldChar w:fldCharType="begin"/>
      </w:r>
      <w:r w:rsidR="00A1277C">
        <w:instrText xml:space="preserve"> PAGEREF z_Ewald_o2 \h </w:instrText>
      </w:r>
      <w:r w:rsidR="003A700C">
        <w:fldChar w:fldCharType="separate"/>
      </w:r>
      <w:r w:rsidR="009D58B1">
        <w:rPr>
          <w:noProof/>
        </w:rPr>
        <w:t>22</w:t>
      </w:r>
      <w:r w:rsidR="003A700C">
        <w:fldChar w:fldCharType="end"/>
      </w:r>
      <w:r w:rsidR="0031378E">
        <w:t xml:space="preserve">, </w:t>
      </w:r>
      <w:r w:rsidR="003A700C">
        <w:fldChar w:fldCharType="begin"/>
      </w:r>
      <w:r w:rsidR="00A1277C">
        <w:instrText xml:space="preserve"> PAGEREF z_Ewald_o3 \h </w:instrText>
      </w:r>
      <w:r w:rsidR="003A700C">
        <w:fldChar w:fldCharType="separate"/>
      </w:r>
      <w:r w:rsidR="009D58B1">
        <w:rPr>
          <w:noProof/>
        </w:rPr>
        <w:t>40</w:t>
      </w:r>
      <w:r w:rsidR="003A700C">
        <w:fldChar w:fldCharType="end"/>
      </w:r>
      <w:r w:rsidR="00A1277C">
        <w:t xml:space="preserve"> </w:t>
      </w:r>
      <w:r>
        <w:t xml:space="preserve">[44, 49, 97]. </w:t>
      </w:r>
    </w:p>
    <w:p w:rsidR="00317656" w:rsidRDefault="00317656" w:rsidP="00317656">
      <w:r>
        <w:t xml:space="preserve">Exhumations, rares chez les Juifs, p. </w:t>
      </w:r>
      <w:r w:rsidR="003A700C">
        <w:fldChar w:fldCharType="begin"/>
      </w:r>
      <w:r w:rsidR="00534AD9">
        <w:instrText xml:space="preserve"> PAGEREF z_Exhumations_o1 \h </w:instrText>
      </w:r>
      <w:r w:rsidR="003A700C">
        <w:fldChar w:fldCharType="separate"/>
      </w:r>
      <w:r w:rsidR="009D58B1">
        <w:rPr>
          <w:noProof/>
        </w:rPr>
        <w:t>120</w:t>
      </w:r>
      <w:r w:rsidR="003A700C">
        <w:fldChar w:fldCharType="end"/>
      </w:r>
      <w:r w:rsidR="00860A96">
        <w:t>[307]</w:t>
      </w:r>
      <w:r>
        <w:t xml:space="preserve">. </w:t>
      </w:r>
    </w:p>
    <w:p w:rsidR="00317656" w:rsidRDefault="00317656" w:rsidP="00317656">
      <w:r>
        <w:rPr>
          <w:smallCaps/>
        </w:rPr>
        <w:t>Ézéchias</w:t>
      </w:r>
      <w:r>
        <w:t xml:space="preserve"> ne saurait être l’Emmanuel de la prophétie d’Isaïe, p. </w:t>
      </w:r>
      <w:r w:rsidR="003A700C">
        <w:fldChar w:fldCharType="begin"/>
      </w:r>
      <w:r w:rsidR="00534AD9">
        <w:instrText xml:space="preserve"> PAGEREF z_Ezechias_o1 \h </w:instrText>
      </w:r>
      <w:r w:rsidR="003A700C">
        <w:fldChar w:fldCharType="separate"/>
      </w:r>
      <w:r w:rsidR="009D58B1">
        <w:rPr>
          <w:noProof/>
        </w:rPr>
        <w:t>15</w:t>
      </w:r>
      <w:r w:rsidR="003A700C">
        <w:fldChar w:fldCharType="end"/>
      </w:r>
      <w:r w:rsidR="00860A96">
        <w:t>[29]</w:t>
      </w:r>
      <w:r>
        <w:t xml:space="preserve">. </w:t>
      </w:r>
    </w:p>
    <w:p w:rsidR="00317656" w:rsidRDefault="00317656" w:rsidP="00317656"/>
    <w:p w:rsidR="00317656" w:rsidRDefault="00317656" w:rsidP="00317656">
      <w:r>
        <w:t>Femme adultère</w:t>
      </w:r>
      <w:r w:rsidRPr="004440EA">
        <w:t xml:space="preserve"> (</w:t>
      </w:r>
      <w:r>
        <w:t>Épisode de la</w:t>
      </w:r>
      <w:r w:rsidRPr="00950016">
        <w:t>) :</w:t>
      </w:r>
      <w:r>
        <w:t xml:space="preserve"> son authenticité, p. </w:t>
      </w:r>
      <w:r w:rsidR="003A700C">
        <w:fldChar w:fldCharType="begin"/>
      </w:r>
      <w:r w:rsidR="00534AD9">
        <w:instrText xml:space="preserve"> PAGEREF z_FemmeAdultere_o1 \h </w:instrText>
      </w:r>
      <w:r w:rsidR="003A700C">
        <w:fldChar w:fldCharType="separate"/>
      </w:r>
      <w:r w:rsidR="009D58B1">
        <w:rPr>
          <w:noProof/>
        </w:rPr>
        <w:t>77</w:t>
      </w:r>
      <w:r w:rsidR="003A700C">
        <w:fldChar w:fldCharType="end"/>
      </w:r>
      <w:r w:rsidR="00860A96">
        <w:t>[193]</w:t>
      </w:r>
      <w:r>
        <w:t xml:space="preserve"> et suiv. </w:t>
      </w:r>
    </w:p>
    <w:p w:rsidR="00317656" w:rsidRDefault="00317656" w:rsidP="00317656">
      <w:r>
        <w:t xml:space="preserve">Fontaine de la Vierge, à Nazareth, p. </w:t>
      </w:r>
      <w:r w:rsidR="003A700C">
        <w:fldChar w:fldCharType="begin"/>
      </w:r>
      <w:r w:rsidR="00534AD9">
        <w:instrText xml:space="preserve"> PAGEREF z_Fontaine_o1 \h </w:instrText>
      </w:r>
      <w:r w:rsidR="003A700C">
        <w:fldChar w:fldCharType="separate"/>
      </w:r>
      <w:r w:rsidR="009D58B1">
        <w:rPr>
          <w:noProof/>
        </w:rPr>
        <w:t>88</w:t>
      </w:r>
      <w:r w:rsidR="003A700C">
        <w:fldChar w:fldCharType="end"/>
      </w:r>
      <w:r w:rsidR="0031378E">
        <w:t>-</w:t>
      </w:r>
      <w:r w:rsidR="003A700C">
        <w:fldChar w:fldCharType="begin"/>
      </w:r>
      <w:r w:rsidR="00534AD9">
        <w:instrText xml:space="preserve"> PAGEREF z_Fontaine_o2 \h </w:instrText>
      </w:r>
      <w:r w:rsidR="003A700C">
        <w:fldChar w:fldCharType="separate"/>
      </w:r>
      <w:r w:rsidR="009D58B1">
        <w:rPr>
          <w:noProof/>
        </w:rPr>
        <w:t>89</w:t>
      </w:r>
      <w:r w:rsidR="003A700C">
        <w:fldChar w:fldCharType="end"/>
      </w:r>
      <w:r w:rsidR="0031378E">
        <w:t>[223-226]</w:t>
      </w:r>
      <w:r>
        <w:t xml:space="preserve">. </w:t>
      </w:r>
    </w:p>
    <w:p w:rsidR="00317656" w:rsidRDefault="00317656" w:rsidP="00317656">
      <w:r>
        <w:rPr>
          <w:smallCaps/>
        </w:rPr>
        <w:t>Fontane</w:t>
      </w:r>
      <w:r>
        <w:t>, Marius</w:t>
      </w:r>
      <w:r w:rsidRPr="004440EA">
        <w:t xml:space="preserve"> (</w:t>
      </w:r>
      <w:r>
        <w:t>M.</w:t>
      </w:r>
      <w:r w:rsidRPr="00950016">
        <w:t xml:space="preserve">) </w:t>
      </w:r>
      <w:r>
        <w:t xml:space="preserve">et l’Ancien Testament, p. </w:t>
      </w:r>
      <w:r w:rsidR="003A700C">
        <w:fldChar w:fldCharType="begin"/>
      </w:r>
      <w:r w:rsidR="00534AD9">
        <w:instrText xml:space="preserve"> PAGEREF z_Fontane_o1 \h </w:instrText>
      </w:r>
      <w:r w:rsidR="003A700C">
        <w:fldChar w:fldCharType="separate"/>
      </w:r>
      <w:r w:rsidR="009D58B1">
        <w:rPr>
          <w:noProof/>
        </w:rPr>
        <w:t>62</w:t>
      </w:r>
      <w:r w:rsidR="003A700C">
        <w:fldChar w:fldCharType="end"/>
      </w:r>
      <w:r w:rsidR="0031378E">
        <w:t>-</w:t>
      </w:r>
      <w:r w:rsidR="003A700C">
        <w:fldChar w:fldCharType="begin"/>
      </w:r>
      <w:r w:rsidR="00534AD9">
        <w:instrText xml:space="preserve"> PAGEREF z_Fontane_o2 \h </w:instrText>
      </w:r>
      <w:r w:rsidR="003A700C">
        <w:fldChar w:fldCharType="separate"/>
      </w:r>
      <w:r w:rsidR="009D58B1">
        <w:rPr>
          <w:noProof/>
        </w:rPr>
        <w:t>63</w:t>
      </w:r>
      <w:r w:rsidR="003A700C">
        <w:fldChar w:fldCharType="end"/>
      </w:r>
      <w:r w:rsidR="0031378E">
        <w:t>[156-159]</w:t>
      </w:r>
      <w:r>
        <w:t xml:space="preserve">. </w:t>
      </w:r>
    </w:p>
    <w:p w:rsidR="00317656" w:rsidRDefault="00317656" w:rsidP="00317656"/>
    <w:p w:rsidR="00317656" w:rsidRDefault="00317656" w:rsidP="00317656">
      <w:r>
        <w:rPr>
          <w:smallCaps/>
        </w:rPr>
        <w:t>Gesénius</w:t>
      </w:r>
      <w:r>
        <w:t xml:space="preserve"> et l’étymologie du mot</w:t>
      </w:r>
      <w:r w:rsidRPr="000A34B5">
        <w:rPr>
          <w:rStyle w:val="italicus"/>
        </w:rPr>
        <w:t xml:space="preserve"> </w:t>
      </w:r>
      <w:r w:rsidRPr="00D05EA9">
        <w:rPr>
          <w:rStyle w:val="italicus"/>
        </w:rPr>
        <w:t>῾almah</w:t>
      </w:r>
      <w:r>
        <w:rPr>
          <w:rStyle w:val="italicus"/>
        </w:rPr>
        <w:t xml:space="preserve">, </w:t>
      </w:r>
      <w:r>
        <w:t xml:space="preserve">p. </w:t>
      </w:r>
      <w:r w:rsidR="003A700C">
        <w:fldChar w:fldCharType="begin"/>
      </w:r>
      <w:r w:rsidR="00534AD9">
        <w:instrText xml:space="preserve"> PAGEREF z_Gesenius_o1 \h </w:instrText>
      </w:r>
      <w:r w:rsidR="003A700C">
        <w:fldChar w:fldCharType="separate"/>
      </w:r>
      <w:r w:rsidR="009D58B1">
        <w:rPr>
          <w:noProof/>
        </w:rPr>
        <w:t>28</w:t>
      </w:r>
      <w:r w:rsidR="003A700C">
        <w:fldChar w:fldCharType="end"/>
      </w:r>
      <w:r w:rsidR="0031378E">
        <w:t>-</w:t>
      </w:r>
      <w:r w:rsidR="003A700C">
        <w:fldChar w:fldCharType="begin"/>
      </w:r>
      <w:r w:rsidR="00534AD9">
        <w:instrText xml:space="preserve"> PAGEREF z_Gesenius_o2 \h </w:instrText>
      </w:r>
      <w:r w:rsidR="003A700C">
        <w:fldChar w:fldCharType="separate"/>
      </w:r>
      <w:r w:rsidR="009D58B1">
        <w:rPr>
          <w:noProof/>
        </w:rPr>
        <w:t>30</w:t>
      </w:r>
      <w:r w:rsidR="003A700C">
        <w:fldChar w:fldCharType="end"/>
      </w:r>
      <w:r w:rsidR="0031378E">
        <w:t>[64-69]</w:t>
      </w:r>
      <w:r>
        <w:t xml:space="preserve">. </w:t>
      </w:r>
    </w:p>
    <w:p w:rsidR="00534AD9" w:rsidRDefault="00317656" w:rsidP="00317656">
      <w:r>
        <w:rPr>
          <w:smallCaps/>
        </w:rPr>
        <w:t>Gethsémani</w:t>
      </w:r>
      <w:r>
        <w:t xml:space="preserve"> et l’agonie de Notre Seigneur Jésus-Christ, p. </w:t>
      </w:r>
      <w:r w:rsidR="003A700C">
        <w:fldChar w:fldCharType="begin"/>
      </w:r>
      <w:r w:rsidR="00534AD9">
        <w:instrText xml:space="preserve"> PAGEREF z_Gethsemani_o1 \h </w:instrText>
      </w:r>
      <w:r w:rsidR="003A700C">
        <w:fldChar w:fldCharType="separate"/>
      </w:r>
      <w:r w:rsidR="009D58B1">
        <w:rPr>
          <w:noProof/>
        </w:rPr>
        <w:t>42</w:t>
      </w:r>
      <w:r w:rsidR="003A700C">
        <w:fldChar w:fldCharType="end"/>
      </w:r>
      <w:r w:rsidR="00860A96">
        <w:t>[101]</w:t>
      </w:r>
      <w:r>
        <w:t xml:space="preserve"> et suiv. </w:t>
      </w:r>
    </w:p>
    <w:p w:rsidR="00534AD9" w:rsidRDefault="00317656" w:rsidP="00317656">
      <w:r>
        <w:rPr>
          <w:smallCaps/>
        </w:rPr>
        <w:t>Gihon</w:t>
      </w:r>
      <w:r w:rsidRPr="004440EA">
        <w:t xml:space="preserve"> (</w:t>
      </w:r>
      <w:r>
        <w:t>Piscines de</w:t>
      </w:r>
      <w:r w:rsidRPr="00950016">
        <w:t>)</w:t>
      </w:r>
      <w:r>
        <w:t xml:space="preserve">, p. </w:t>
      </w:r>
      <w:r w:rsidR="003A700C">
        <w:fldChar w:fldCharType="begin"/>
      </w:r>
      <w:r w:rsidR="00534AD9">
        <w:instrText xml:space="preserve"> PAGEREF z_Gihon_o1 \h </w:instrText>
      </w:r>
      <w:r w:rsidR="003A700C">
        <w:fldChar w:fldCharType="separate"/>
      </w:r>
      <w:r w:rsidR="009D58B1">
        <w:rPr>
          <w:noProof/>
        </w:rPr>
        <w:t>4</w:t>
      </w:r>
      <w:r w:rsidR="003A700C">
        <w:fldChar w:fldCharType="end"/>
      </w:r>
      <w:r w:rsidR="00860A96">
        <w:t>[2</w:t>
      </w:r>
      <w:r>
        <w:t xml:space="preserve"> et 3</w:t>
      </w:r>
      <w:r w:rsidR="00534AD9">
        <w:t>]</w:t>
      </w:r>
      <w:r>
        <w:t xml:space="preserve">. </w:t>
      </w:r>
    </w:p>
    <w:p w:rsidR="00317656" w:rsidRDefault="00317656" w:rsidP="00317656">
      <w:r w:rsidRPr="000A34B5">
        <w:rPr>
          <w:rStyle w:val="italicus"/>
        </w:rPr>
        <w:t>Goïm</w:t>
      </w:r>
      <w:r>
        <w:rPr>
          <w:rStyle w:val="italicus"/>
        </w:rPr>
        <w:t xml:space="preserve">, </w:t>
      </w:r>
      <w:r>
        <w:t xml:space="preserve">ou non-juifs, p. </w:t>
      </w:r>
      <w:r w:rsidR="003A700C">
        <w:fldChar w:fldCharType="begin"/>
      </w:r>
      <w:r w:rsidR="00534AD9">
        <w:instrText xml:space="preserve"> PAGEREF z_Goim_o1 \h </w:instrText>
      </w:r>
      <w:r w:rsidR="003A700C">
        <w:fldChar w:fldCharType="separate"/>
      </w:r>
      <w:r w:rsidR="009D58B1">
        <w:rPr>
          <w:noProof/>
        </w:rPr>
        <w:t>112</w:t>
      </w:r>
      <w:r w:rsidR="003A700C">
        <w:fldChar w:fldCharType="end"/>
      </w:r>
      <w:r w:rsidR="00860A96">
        <w:t>[287]</w:t>
      </w:r>
      <w:r>
        <w:t xml:space="preserve">. </w:t>
      </w:r>
    </w:p>
    <w:p w:rsidR="00317656" w:rsidRDefault="00317656" w:rsidP="00317656"/>
    <w:p w:rsidR="00317656" w:rsidRDefault="00317656" w:rsidP="00317656">
      <w:r>
        <w:rPr>
          <w:smallCaps/>
        </w:rPr>
        <w:t>Havet</w:t>
      </w:r>
      <w:r w:rsidRPr="004440EA">
        <w:t xml:space="preserve"> (</w:t>
      </w:r>
      <w:r>
        <w:t>M.</w:t>
      </w:r>
      <w:r w:rsidRPr="00950016">
        <w:t xml:space="preserve">) </w:t>
      </w:r>
      <w:r>
        <w:t xml:space="preserve">et l’Évangile, p. </w:t>
      </w:r>
      <w:r w:rsidR="003A700C">
        <w:fldChar w:fldCharType="begin"/>
      </w:r>
      <w:r w:rsidR="00534AD9">
        <w:instrText xml:space="preserve"> PAGEREF z_Havet_o1 \h </w:instrText>
      </w:r>
      <w:r w:rsidR="003A700C">
        <w:fldChar w:fldCharType="separate"/>
      </w:r>
      <w:r w:rsidR="009D58B1">
        <w:rPr>
          <w:noProof/>
        </w:rPr>
        <w:t>52</w:t>
      </w:r>
      <w:r w:rsidR="003A700C">
        <w:fldChar w:fldCharType="end"/>
      </w:r>
      <w:r w:rsidR="00860A96">
        <w:t>[129]</w:t>
      </w:r>
      <w:r>
        <w:t xml:space="preserve"> et suiv. Le but de M. Havet, p. </w:t>
      </w:r>
      <w:r w:rsidR="003A700C">
        <w:fldChar w:fldCharType="begin"/>
      </w:r>
      <w:r w:rsidR="00534AD9">
        <w:instrText xml:space="preserve"> PAGEREF z_Havet_o2 \h </w:instrText>
      </w:r>
      <w:r w:rsidR="003A700C">
        <w:fldChar w:fldCharType="separate"/>
      </w:r>
      <w:r w:rsidR="009D58B1">
        <w:rPr>
          <w:noProof/>
        </w:rPr>
        <w:t>52</w:t>
      </w:r>
      <w:r w:rsidR="003A700C">
        <w:fldChar w:fldCharType="end"/>
      </w:r>
      <w:r w:rsidR="0031378E">
        <w:t>-</w:t>
      </w:r>
      <w:r w:rsidR="003A700C">
        <w:fldChar w:fldCharType="begin"/>
      </w:r>
      <w:r w:rsidR="00534AD9">
        <w:instrText xml:space="preserve"> PAGEREF z_Havet_o3 \h </w:instrText>
      </w:r>
      <w:r w:rsidR="003A700C">
        <w:fldChar w:fldCharType="separate"/>
      </w:r>
      <w:r w:rsidR="009D58B1">
        <w:rPr>
          <w:noProof/>
        </w:rPr>
        <w:t>52</w:t>
      </w:r>
      <w:r w:rsidR="003A700C">
        <w:fldChar w:fldCharType="end"/>
      </w:r>
      <w:r w:rsidR="0031378E">
        <w:t>[130-131]</w:t>
      </w:r>
      <w:r>
        <w:t xml:space="preserve"> ; ses sources, p. </w:t>
      </w:r>
      <w:r w:rsidR="003A700C">
        <w:fldChar w:fldCharType="begin"/>
      </w:r>
      <w:r w:rsidR="00534AD9">
        <w:instrText xml:space="preserve"> PAGEREF z_Havet_o4 \h </w:instrText>
      </w:r>
      <w:r w:rsidR="003A700C">
        <w:fldChar w:fldCharType="separate"/>
      </w:r>
      <w:r w:rsidR="009D58B1">
        <w:rPr>
          <w:noProof/>
        </w:rPr>
        <w:t>52</w:t>
      </w:r>
      <w:r w:rsidR="003A700C">
        <w:fldChar w:fldCharType="end"/>
      </w:r>
      <w:r w:rsidR="00860A96">
        <w:t>[131]</w:t>
      </w:r>
      <w:r>
        <w:t xml:space="preserve"> et suiv. ; la logique de M. Havet, p. </w:t>
      </w:r>
      <w:r w:rsidR="003A700C">
        <w:fldChar w:fldCharType="begin"/>
      </w:r>
      <w:r w:rsidR="0054349A">
        <w:instrText xml:space="preserve"> PAGEREF z_Havet_o5 \h </w:instrText>
      </w:r>
      <w:r w:rsidR="003A700C">
        <w:fldChar w:fldCharType="separate"/>
      </w:r>
      <w:r w:rsidR="009D58B1">
        <w:rPr>
          <w:noProof/>
        </w:rPr>
        <w:t>53</w:t>
      </w:r>
      <w:r w:rsidR="003A700C">
        <w:fldChar w:fldCharType="end"/>
      </w:r>
      <w:r w:rsidR="0031378E">
        <w:t>-</w:t>
      </w:r>
      <w:r w:rsidR="003A700C">
        <w:fldChar w:fldCharType="begin"/>
      </w:r>
      <w:r w:rsidR="0054349A">
        <w:instrText xml:space="preserve"> PAGEREF z_Havet_o6 \h </w:instrText>
      </w:r>
      <w:r w:rsidR="003A700C">
        <w:fldChar w:fldCharType="separate"/>
      </w:r>
      <w:r w:rsidR="009D58B1">
        <w:rPr>
          <w:noProof/>
        </w:rPr>
        <w:t>55</w:t>
      </w:r>
      <w:r w:rsidR="003A700C">
        <w:fldChar w:fldCharType="end"/>
      </w:r>
      <w:r w:rsidR="0031378E">
        <w:t>[132-138]</w:t>
      </w:r>
      <w:r>
        <w:t xml:space="preserve"> ; sa thèse principale, p. </w:t>
      </w:r>
      <w:r w:rsidR="003A700C">
        <w:fldChar w:fldCharType="begin"/>
      </w:r>
      <w:r w:rsidR="0054349A">
        <w:instrText xml:space="preserve"> PAGEREF z_Havet_o7 \h </w:instrText>
      </w:r>
      <w:r w:rsidR="003A700C">
        <w:fldChar w:fldCharType="separate"/>
      </w:r>
      <w:r w:rsidR="009D58B1">
        <w:rPr>
          <w:noProof/>
        </w:rPr>
        <w:t>55</w:t>
      </w:r>
      <w:r w:rsidR="003A700C">
        <w:fldChar w:fldCharType="end"/>
      </w:r>
      <w:r w:rsidR="0031378E">
        <w:t>-</w:t>
      </w:r>
      <w:r w:rsidR="003A700C">
        <w:fldChar w:fldCharType="begin"/>
      </w:r>
      <w:r w:rsidR="0054349A">
        <w:instrText xml:space="preserve"> PAGEREF z_Havet_o8 \h </w:instrText>
      </w:r>
      <w:r w:rsidR="003A700C">
        <w:fldChar w:fldCharType="separate"/>
      </w:r>
      <w:r w:rsidR="009D58B1">
        <w:rPr>
          <w:noProof/>
        </w:rPr>
        <w:t>56</w:t>
      </w:r>
      <w:r w:rsidR="003A700C">
        <w:fldChar w:fldCharType="end"/>
      </w:r>
      <w:r w:rsidR="0031378E">
        <w:t>[138-141]</w:t>
      </w:r>
      <w:r>
        <w:t xml:space="preserve"> ; ses conclusions, p. </w:t>
      </w:r>
      <w:r w:rsidR="003A700C">
        <w:fldChar w:fldCharType="begin"/>
      </w:r>
      <w:r w:rsidR="0054349A">
        <w:instrText xml:space="preserve"> PAGEREF z_Havet_o9 \h </w:instrText>
      </w:r>
      <w:r w:rsidR="003A700C">
        <w:fldChar w:fldCharType="separate"/>
      </w:r>
      <w:r w:rsidR="009D58B1">
        <w:rPr>
          <w:noProof/>
        </w:rPr>
        <w:t>56</w:t>
      </w:r>
      <w:r w:rsidR="003A700C">
        <w:fldChar w:fldCharType="end"/>
      </w:r>
      <w:r w:rsidR="0054349A">
        <w:t>[141</w:t>
      </w:r>
      <w:r w:rsidR="00860A96">
        <w:t>]</w:t>
      </w:r>
      <w:r>
        <w:t xml:space="preserve"> et suiv. </w:t>
      </w:r>
    </w:p>
    <w:p w:rsidR="00317656" w:rsidRDefault="00317656" w:rsidP="00317656">
      <w:r>
        <w:t xml:space="preserve">Herméneutique biblique et le Talmud, p. </w:t>
      </w:r>
      <w:r w:rsidR="003A700C">
        <w:fldChar w:fldCharType="begin"/>
      </w:r>
      <w:r w:rsidR="0054349A">
        <w:instrText xml:space="preserve"> PAGEREF z_Hermeneutique_o1 \h </w:instrText>
      </w:r>
      <w:r w:rsidR="003A700C">
        <w:fldChar w:fldCharType="separate"/>
      </w:r>
      <w:r w:rsidR="009D58B1">
        <w:rPr>
          <w:noProof/>
        </w:rPr>
        <w:t>25</w:t>
      </w:r>
      <w:r w:rsidR="003A700C">
        <w:fldChar w:fldCharType="end"/>
      </w:r>
      <w:r w:rsidR="00860A96">
        <w:t>[58]</w:t>
      </w:r>
      <w:r>
        <w:t xml:space="preserve">. </w:t>
      </w:r>
    </w:p>
    <w:p w:rsidR="00317656" w:rsidRDefault="00317656" w:rsidP="00317656">
      <w:r>
        <w:rPr>
          <w:smallCaps/>
        </w:rPr>
        <w:t>Hérode-le-Grand</w:t>
      </w:r>
      <w:r>
        <w:t xml:space="preserve"> et les ouvriers juifs, p. </w:t>
      </w:r>
      <w:r w:rsidR="003A700C">
        <w:fldChar w:fldCharType="begin"/>
      </w:r>
      <w:r w:rsidR="0054349A">
        <w:instrText xml:space="preserve"> PAGEREF z_Herode_o1 \h </w:instrText>
      </w:r>
      <w:r w:rsidR="003A700C">
        <w:fldChar w:fldCharType="separate"/>
      </w:r>
      <w:r w:rsidR="009D58B1">
        <w:rPr>
          <w:noProof/>
        </w:rPr>
        <w:t>100</w:t>
      </w:r>
      <w:r w:rsidR="003A700C">
        <w:fldChar w:fldCharType="end"/>
      </w:r>
      <w:r w:rsidR="00860A96">
        <w:t>[257]</w:t>
      </w:r>
      <w:r>
        <w:t xml:space="preserve"> et suiv. </w:t>
      </w:r>
    </w:p>
    <w:p w:rsidR="00317656" w:rsidRDefault="00317656" w:rsidP="00317656">
      <w:r>
        <w:rPr>
          <w:smallCaps/>
        </w:rPr>
        <w:t>Hinnom</w:t>
      </w:r>
      <w:r w:rsidRPr="004440EA">
        <w:t xml:space="preserve"> (</w:t>
      </w:r>
      <w:r>
        <w:t>Vallée d’</w:t>
      </w:r>
      <w:r w:rsidRPr="00950016">
        <w:t>)</w:t>
      </w:r>
      <w:r>
        <w:t>, p.</w:t>
      </w:r>
      <w:r>
        <w:rPr>
          <w:smallCaps/>
        </w:rPr>
        <w:t xml:space="preserve"> </w:t>
      </w:r>
      <w:r w:rsidR="003A700C">
        <w:fldChar w:fldCharType="begin"/>
      </w:r>
      <w:r w:rsidR="0054349A">
        <w:rPr>
          <w:smallCaps/>
        </w:rPr>
        <w:instrText xml:space="preserve"> PAGEREF z_Hinnom_o1 \h </w:instrText>
      </w:r>
      <w:r w:rsidR="003A700C">
        <w:fldChar w:fldCharType="separate"/>
      </w:r>
      <w:r w:rsidR="009D58B1">
        <w:rPr>
          <w:smallCaps/>
          <w:noProof/>
        </w:rPr>
        <w:t>4</w:t>
      </w:r>
      <w:r w:rsidR="003A700C">
        <w:fldChar w:fldCharType="end"/>
      </w:r>
      <w:r w:rsidR="00860A96">
        <w:t>[</w:t>
      </w:r>
      <w:r w:rsidR="00860A96">
        <w:rPr>
          <w:smallCaps/>
        </w:rPr>
        <w:t>2</w:t>
      </w:r>
      <w:r w:rsidR="00860A96">
        <w:t>]</w:t>
      </w:r>
      <w:r>
        <w:rPr>
          <w:smallCaps/>
        </w:rPr>
        <w:t>.</w:t>
      </w:r>
      <w:r>
        <w:t xml:space="preserve"> </w:t>
      </w:r>
    </w:p>
    <w:p w:rsidR="00317656" w:rsidRDefault="00317656" w:rsidP="00317656">
      <w:r>
        <w:rPr>
          <w:smallCaps/>
        </w:rPr>
        <w:t xml:space="preserve">Hugues de Saint-Cher, </w:t>
      </w:r>
      <w:r>
        <w:t xml:space="preserve">inventeur des Concordances bibliques, p. </w:t>
      </w:r>
      <w:r w:rsidR="003A700C">
        <w:fldChar w:fldCharType="begin"/>
      </w:r>
      <w:r w:rsidR="0054349A">
        <w:instrText xml:space="preserve"> PAGEREF z_HuguesDeSaintCher_o1 \h </w:instrText>
      </w:r>
      <w:r w:rsidR="003A700C">
        <w:fldChar w:fldCharType="separate"/>
      </w:r>
      <w:r w:rsidR="009D58B1">
        <w:rPr>
          <w:noProof/>
        </w:rPr>
        <w:t>127</w:t>
      </w:r>
      <w:r w:rsidR="003A700C">
        <w:fldChar w:fldCharType="end"/>
      </w:r>
      <w:r w:rsidR="00860A96">
        <w:t>[328]</w:t>
      </w:r>
      <w:r>
        <w:t xml:space="preserve"> et suiv. </w:t>
      </w:r>
    </w:p>
    <w:p w:rsidR="00317656" w:rsidRDefault="00317656" w:rsidP="00317656">
      <w:r>
        <w:rPr>
          <w:smallCaps/>
        </w:rPr>
        <w:t>Isaïe</w:t>
      </w:r>
      <w:r>
        <w:t xml:space="preserve"> et l’oracle de</w:t>
      </w:r>
      <w:r>
        <w:rPr>
          <w:smallCaps/>
        </w:rPr>
        <w:t xml:space="preserve"> </w:t>
      </w:r>
      <w:r w:rsidRPr="00D40830">
        <w:t>l’</w:t>
      </w:r>
      <w:r w:rsidRPr="00D05EA9">
        <w:rPr>
          <w:rStyle w:val="italicus"/>
        </w:rPr>
        <w:t>῾almah</w:t>
      </w:r>
      <w:r>
        <w:rPr>
          <w:rStyle w:val="italicus"/>
        </w:rPr>
        <w:t xml:space="preserve">, </w:t>
      </w:r>
      <w:r>
        <w:t xml:space="preserve">pp. </w:t>
      </w:r>
      <w:r w:rsidR="003A700C">
        <w:fldChar w:fldCharType="begin"/>
      </w:r>
      <w:r w:rsidR="0054349A">
        <w:instrText xml:space="preserve"> PAGEREF z_Isaie_o1 \h </w:instrText>
      </w:r>
      <w:r w:rsidR="003A700C">
        <w:fldChar w:fldCharType="separate"/>
      </w:r>
      <w:r w:rsidR="009D58B1">
        <w:rPr>
          <w:noProof/>
        </w:rPr>
        <w:t>5</w:t>
      </w:r>
      <w:r w:rsidR="003A700C">
        <w:fldChar w:fldCharType="end"/>
      </w:r>
      <w:r w:rsidR="0031378E">
        <w:t>-</w:t>
      </w:r>
      <w:r w:rsidR="003A700C">
        <w:fldChar w:fldCharType="begin"/>
      </w:r>
      <w:r w:rsidR="0054349A">
        <w:instrText xml:space="preserve"> PAGEREF z_Isaie_o2 \h </w:instrText>
      </w:r>
      <w:r w:rsidR="003A700C">
        <w:fldChar w:fldCharType="separate"/>
      </w:r>
      <w:r w:rsidR="009D58B1">
        <w:rPr>
          <w:noProof/>
        </w:rPr>
        <w:t>7</w:t>
      </w:r>
      <w:r w:rsidR="003A700C">
        <w:fldChar w:fldCharType="end"/>
      </w:r>
      <w:r w:rsidR="0031378E">
        <w:t xml:space="preserve">, </w:t>
      </w:r>
      <w:r w:rsidR="003A700C">
        <w:fldChar w:fldCharType="begin"/>
      </w:r>
      <w:r w:rsidR="0054349A">
        <w:instrText xml:space="preserve"> PAGEREF z_Isaie_o3 \h </w:instrText>
      </w:r>
      <w:r w:rsidR="003A700C">
        <w:fldChar w:fldCharType="separate"/>
      </w:r>
      <w:r w:rsidR="009D58B1">
        <w:rPr>
          <w:noProof/>
        </w:rPr>
        <w:t>10</w:t>
      </w:r>
      <w:r w:rsidR="003A700C">
        <w:fldChar w:fldCharType="end"/>
      </w:r>
      <w:r w:rsidR="0031378E">
        <w:t>-</w:t>
      </w:r>
      <w:r w:rsidR="003A700C">
        <w:fldChar w:fldCharType="begin"/>
      </w:r>
      <w:r w:rsidR="0054349A">
        <w:instrText xml:space="preserve"> PAGEREF z_Isaie_o4 \h </w:instrText>
      </w:r>
      <w:r w:rsidR="003A700C">
        <w:fldChar w:fldCharType="separate"/>
      </w:r>
      <w:r w:rsidR="009D58B1">
        <w:rPr>
          <w:noProof/>
        </w:rPr>
        <w:t>11</w:t>
      </w:r>
      <w:r w:rsidR="003A700C">
        <w:fldChar w:fldCharType="end"/>
      </w:r>
      <w:r>
        <w:t xml:space="preserve">[3-9, 16-18] ; le livre d’Emmanuel dans la prophétie d’Isaïe, p. </w:t>
      </w:r>
      <w:r w:rsidR="003A700C">
        <w:fldChar w:fldCharType="begin"/>
      </w:r>
      <w:r w:rsidR="0054349A">
        <w:instrText xml:space="preserve"> PAGEREF z_Isaie_o5 \h </w:instrText>
      </w:r>
      <w:r w:rsidR="003A700C">
        <w:fldChar w:fldCharType="separate"/>
      </w:r>
      <w:r w:rsidR="009D58B1">
        <w:rPr>
          <w:noProof/>
        </w:rPr>
        <w:t>12</w:t>
      </w:r>
      <w:r w:rsidR="003A700C">
        <w:fldChar w:fldCharType="end"/>
      </w:r>
      <w:r w:rsidR="0031378E">
        <w:t>-</w:t>
      </w:r>
      <w:r w:rsidR="003A700C">
        <w:fldChar w:fldCharType="begin"/>
      </w:r>
      <w:r w:rsidR="0054349A">
        <w:instrText xml:space="preserve"> PAGEREF z_Isaie_o6 \h </w:instrText>
      </w:r>
      <w:r w:rsidR="003A700C">
        <w:fldChar w:fldCharType="separate"/>
      </w:r>
      <w:r w:rsidR="009D58B1">
        <w:rPr>
          <w:noProof/>
        </w:rPr>
        <w:t>14</w:t>
      </w:r>
      <w:r w:rsidR="003A700C">
        <w:fldChar w:fldCharType="end"/>
      </w:r>
      <w:r w:rsidR="0031378E">
        <w:t>[24-28]</w:t>
      </w:r>
      <w:r>
        <w:t xml:space="preserve">. </w:t>
      </w:r>
    </w:p>
    <w:p w:rsidR="00317656" w:rsidRDefault="00317656" w:rsidP="00317656">
      <w:r>
        <w:rPr>
          <w:smallCaps/>
        </w:rPr>
        <w:t>Isenbiehl</w:t>
      </w:r>
      <w:r>
        <w:t xml:space="preserve"> et son erreur relativement à la prophétie de </w:t>
      </w:r>
      <w:r w:rsidRPr="00D40830">
        <w:t>l’</w:t>
      </w:r>
      <w:r w:rsidRPr="00D05EA9">
        <w:rPr>
          <w:rStyle w:val="italicus"/>
        </w:rPr>
        <w:t>῾almah</w:t>
      </w:r>
      <w:r>
        <w:t xml:space="preserve">, p. </w:t>
      </w:r>
      <w:r w:rsidR="003A700C">
        <w:fldChar w:fldCharType="begin"/>
      </w:r>
      <w:r w:rsidR="0054349A">
        <w:instrText xml:space="preserve"> PAGEREF z_Isenbiehl_o1 \h </w:instrText>
      </w:r>
      <w:r w:rsidR="003A700C">
        <w:fldChar w:fldCharType="separate"/>
      </w:r>
      <w:r w:rsidR="009D58B1">
        <w:rPr>
          <w:noProof/>
        </w:rPr>
        <w:t>20</w:t>
      </w:r>
      <w:r w:rsidR="003A700C">
        <w:fldChar w:fldCharType="end"/>
      </w:r>
      <w:r w:rsidR="00860A96">
        <w:t>[45]</w:t>
      </w:r>
      <w:r>
        <w:t xml:space="preserve">. </w:t>
      </w:r>
    </w:p>
    <w:p w:rsidR="00317656" w:rsidRDefault="00317656" w:rsidP="00317656"/>
    <w:p w:rsidR="00317656" w:rsidRDefault="00317656" w:rsidP="00317656">
      <w:r>
        <w:rPr>
          <w:smallCaps/>
        </w:rPr>
        <w:t>Jean</w:t>
      </w:r>
      <w:r w:rsidRPr="004440EA">
        <w:t xml:space="preserve"> (</w:t>
      </w:r>
      <w:r>
        <w:t>Saint</w:t>
      </w:r>
      <w:r w:rsidRPr="00950016">
        <w:t xml:space="preserve">) </w:t>
      </w:r>
      <w:r>
        <w:t xml:space="preserve">et l’institution de l’Eucharistie, p. </w:t>
      </w:r>
      <w:r w:rsidR="003A700C">
        <w:fldChar w:fldCharType="begin"/>
      </w:r>
      <w:r w:rsidR="0054349A">
        <w:instrText xml:space="preserve"> PAGEREF z_JeanSaint_o1 \h </w:instrText>
      </w:r>
      <w:r w:rsidR="003A700C">
        <w:fldChar w:fldCharType="separate"/>
      </w:r>
      <w:r w:rsidR="009D58B1">
        <w:rPr>
          <w:noProof/>
        </w:rPr>
        <w:t>123</w:t>
      </w:r>
      <w:r w:rsidR="003A700C">
        <w:fldChar w:fldCharType="end"/>
      </w:r>
      <w:r w:rsidR="00860A96">
        <w:t>[316]</w:t>
      </w:r>
      <w:r>
        <w:t xml:space="preserve"> et suiv. </w:t>
      </w:r>
    </w:p>
    <w:p w:rsidR="00317656" w:rsidRDefault="00317656" w:rsidP="00317656">
      <w:r>
        <w:rPr>
          <w:smallCaps/>
        </w:rPr>
        <w:t>Jean Chrysostome</w:t>
      </w:r>
      <w:r w:rsidRPr="004440EA">
        <w:t xml:space="preserve"> (</w:t>
      </w:r>
      <w:r>
        <w:t>Saint</w:t>
      </w:r>
      <w:r w:rsidRPr="00950016">
        <w:t xml:space="preserve">) </w:t>
      </w:r>
      <w:r>
        <w:t xml:space="preserve">et l’exégèse, p. </w:t>
      </w:r>
      <w:r w:rsidR="003A700C">
        <w:fldChar w:fldCharType="begin"/>
      </w:r>
      <w:r w:rsidR="0054349A">
        <w:instrText xml:space="preserve"> PAGEREF z_JeanChrysostome_o1 \h </w:instrText>
      </w:r>
      <w:r w:rsidR="003A700C">
        <w:fldChar w:fldCharType="separate"/>
      </w:r>
      <w:r w:rsidR="009D58B1">
        <w:rPr>
          <w:noProof/>
        </w:rPr>
        <w:t>64</w:t>
      </w:r>
      <w:r w:rsidR="003A700C">
        <w:fldChar w:fldCharType="end"/>
      </w:r>
      <w:r w:rsidR="00860A96">
        <w:t>[163]</w:t>
      </w:r>
      <w:r>
        <w:t xml:space="preserve">. </w:t>
      </w:r>
    </w:p>
    <w:p w:rsidR="00317656" w:rsidRDefault="00317656" w:rsidP="00317656">
      <w:r>
        <w:rPr>
          <w:smallCaps/>
        </w:rPr>
        <w:t>Jérémie</w:t>
      </w:r>
      <w:r>
        <w:t xml:space="preserve">, anneau de la tradition juive au sujet de la Vierge-Mère, p. </w:t>
      </w:r>
      <w:r w:rsidR="003A700C">
        <w:fldChar w:fldCharType="begin"/>
      </w:r>
      <w:r w:rsidR="0054349A">
        <w:instrText xml:space="preserve"> PAGEREF z_Jeremie_o1 \h </w:instrText>
      </w:r>
      <w:r w:rsidR="003A700C">
        <w:fldChar w:fldCharType="separate"/>
      </w:r>
      <w:r w:rsidR="009D58B1">
        <w:rPr>
          <w:noProof/>
        </w:rPr>
        <w:t>24</w:t>
      </w:r>
      <w:r w:rsidR="003A700C">
        <w:fldChar w:fldCharType="end"/>
      </w:r>
      <w:r w:rsidR="00860A96">
        <w:t>[55]</w:t>
      </w:r>
      <w:r>
        <w:t xml:space="preserve"> et suiv. </w:t>
      </w:r>
    </w:p>
    <w:p w:rsidR="00317656" w:rsidRDefault="00317656" w:rsidP="00317656">
      <w:r>
        <w:rPr>
          <w:smallCaps/>
        </w:rPr>
        <w:t>Jérôme</w:t>
      </w:r>
      <w:r w:rsidRPr="004440EA">
        <w:t xml:space="preserve"> (</w:t>
      </w:r>
      <w:r>
        <w:t>Saint</w:t>
      </w:r>
      <w:r w:rsidRPr="00950016">
        <w:t xml:space="preserve">) </w:t>
      </w:r>
      <w:r>
        <w:t>et son témoignage concernant l’étymologie du mot</w:t>
      </w:r>
      <w:r w:rsidRPr="000A34B5">
        <w:rPr>
          <w:rStyle w:val="italicus"/>
        </w:rPr>
        <w:t xml:space="preserve"> </w:t>
      </w:r>
      <w:r w:rsidRPr="00D05EA9">
        <w:rPr>
          <w:rStyle w:val="italicus"/>
        </w:rPr>
        <w:t>῾almah</w:t>
      </w:r>
      <w:r>
        <w:rPr>
          <w:rStyle w:val="italicus"/>
        </w:rPr>
        <w:t xml:space="preserve">, </w:t>
      </w:r>
      <w:r>
        <w:t xml:space="preserve">p. </w:t>
      </w:r>
      <w:r w:rsidR="003A700C">
        <w:fldChar w:fldCharType="begin"/>
      </w:r>
      <w:r w:rsidR="0054349A">
        <w:instrText xml:space="preserve"> PAGEREF z_JeromeSaint_o1 \h </w:instrText>
      </w:r>
      <w:r w:rsidR="003A700C">
        <w:fldChar w:fldCharType="separate"/>
      </w:r>
      <w:r w:rsidR="009D58B1">
        <w:rPr>
          <w:noProof/>
        </w:rPr>
        <w:t>29</w:t>
      </w:r>
      <w:r w:rsidR="003A700C">
        <w:fldChar w:fldCharType="end"/>
      </w:r>
      <w:r w:rsidR="0031378E">
        <w:t>-</w:t>
      </w:r>
      <w:r w:rsidR="003A700C">
        <w:fldChar w:fldCharType="begin"/>
      </w:r>
      <w:r w:rsidR="006232C0">
        <w:instrText xml:space="preserve"> PAGEREF z_JeromeSaint_o2 \h </w:instrText>
      </w:r>
      <w:r w:rsidR="003A700C">
        <w:fldChar w:fldCharType="separate"/>
      </w:r>
      <w:r w:rsidR="009D58B1">
        <w:rPr>
          <w:noProof/>
        </w:rPr>
        <w:t>29</w:t>
      </w:r>
      <w:r w:rsidR="003A700C">
        <w:fldChar w:fldCharType="end"/>
      </w:r>
      <w:r w:rsidR="0031378E">
        <w:t>[67-69]</w:t>
      </w:r>
      <w:r>
        <w:t xml:space="preserve">. </w:t>
      </w:r>
    </w:p>
    <w:p w:rsidR="00317656" w:rsidRDefault="00317656" w:rsidP="00317656">
      <w:r>
        <w:rPr>
          <w:smallCaps/>
        </w:rPr>
        <w:lastRenderedPageBreak/>
        <w:t>Jésus-Christ</w:t>
      </w:r>
      <w:r>
        <w:t xml:space="preserve"> est Emmanuel, fils de</w:t>
      </w:r>
      <w:r w:rsidRPr="000A34B5">
        <w:rPr>
          <w:rStyle w:val="italicus"/>
        </w:rPr>
        <w:t xml:space="preserve"> </w:t>
      </w:r>
      <w:r w:rsidRPr="00D40830">
        <w:t>l’</w:t>
      </w:r>
      <w:r w:rsidRPr="00D05EA9">
        <w:rPr>
          <w:rStyle w:val="italicus"/>
        </w:rPr>
        <w:t>῾almah</w:t>
      </w:r>
      <w:r>
        <w:rPr>
          <w:rStyle w:val="italicus"/>
        </w:rPr>
        <w:t xml:space="preserve">, </w:t>
      </w:r>
      <w:r>
        <w:t xml:space="preserve">p. </w:t>
      </w:r>
      <w:r w:rsidR="003A700C">
        <w:fldChar w:fldCharType="begin"/>
      </w:r>
      <w:r w:rsidR="006232C0">
        <w:instrText xml:space="preserve"> PAGEREF z_JesusEmmanuel_o1 \h </w:instrText>
      </w:r>
      <w:r w:rsidR="003A700C">
        <w:fldChar w:fldCharType="separate"/>
      </w:r>
      <w:r w:rsidR="009D58B1">
        <w:rPr>
          <w:noProof/>
        </w:rPr>
        <w:t>17</w:t>
      </w:r>
      <w:r w:rsidR="003A700C">
        <w:fldChar w:fldCharType="end"/>
      </w:r>
      <w:r w:rsidR="0031378E">
        <w:t>-</w:t>
      </w:r>
      <w:r w:rsidR="003A700C">
        <w:fldChar w:fldCharType="begin"/>
      </w:r>
      <w:r w:rsidR="006232C0">
        <w:instrText xml:space="preserve"> PAGEREF z_JesusEmmanuel_o2 \h </w:instrText>
      </w:r>
      <w:r w:rsidR="003A700C">
        <w:fldChar w:fldCharType="separate"/>
      </w:r>
      <w:r w:rsidR="009D58B1">
        <w:rPr>
          <w:noProof/>
        </w:rPr>
        <w:t>17</w:t>
      </w:r>
      <w:r w:rsidR="003A700C">
        <w:fldChar w:fldCharType="end"/>
      </w:r>
      <w:r w:rsidR="0031378E">
        <w:t xml:space="preserve">, </w:t>
      </w:r>
      <w:r w:rsidR="003A700C">
        <w:fldChar w:fldCharType="begin"/>
      </w:r>
      <w:r w:rsidR="006232C0">
        <w:instrText xml:space="preserve"> PAGEREF z_JesusEmmanuel_o3 \h </w:instrText>
      </w:r>
      <w:r w:rsidR="003A700C">
        <w:fldChar w:fldCharType="separate"/>
      </w:r>
      <w:r w:rsidR="009D58B1">
        <w:rPr>
          <w:noProof/>
        </w:rPr>
        <w:t>41</w:t>
      </w:r>
      <w:r w:rsidR="003A700C">
        <w:fldChar w:fldCharType="end"/>
      </w:r>
      <w:r>
        <w:t xml:space="preserve">[34-36, 99] ; — dans son agonie de Gethsémani, p. </w:t>
      </w:r>
      <w:r w:rsidR="003A700C">
        <w:fldChar w:fldCharType="begin"/>
      </w:r>
      <w:r w:rsidR="006232C0">
        <w:instrText xml:space="preserve"> PAGEREF z_JesusAgonie_o1 \h </w:instrText>
      </w:r>
      <w:r w:rsidR="003A700C">
        <w:fldChar w:fldCharType="separate"/>
      </w:r>
      <w:r w:rsidR="009D58B1">
        <w:rPr>
          <w:noProof/>
        </w:rPr>
        <w:t>42</w:t>
      </w:r>
      <w:r w:rsidR="003A700C">
        <w:fldChar w:fldCharType="end"/>
      </w:r>
      <w:r w:rsidR="006232C0">
        <w:t>[10</w:t>
      </w:r>
      <w:r w:rsidR="00860A96">
        <w:t>1]</w:t>
      </w:r>
      <w:r>
        <w:t xml:space="preserve"> et suiv. ; — artisan, p. </w:t>
      </w:r>
      <w:r w:rsidR="003A700C">
        <w:fldChar w:fldCharType="begin"/>
      </w:r>
      <w:r w:rsidR="006232C0">
        <w:instrText xml:space="preserve"> PAGEREF z_JesusArtisan_o1 \h </w:instrText>
      </w:r>
      <w:r w:rsidR="003A700C">
        <w:fldChar w:fldCharType="separate"/>
      </w:r>
      <w:r w:rsidR="009D58B1">
        <w:rPr>
          <w:noProof/>
        </w:rPr>
        <w:t>100</w:t>
      </w:r>
      <w:r w:rsidR="003A700C">
        <w:fldChar w:fldCharType="end"/>
      </w:r>
      <w:r w:rsidR="00860A96">
        <w:t>[256]</w:t>
      </w:r>
      <w:r>
        <w:t xml:space="preserve"> et suiv. </w:t>
      </w:r>
    </w:p>
    <w:p w:rsidR="00317656" w:rsidRDefault="00317656" w:rsidP="00317656">
      <w:r>
        <w:rPr>
          <w:smallCaps/>
        </w:rPr>
        <w:t>Juda</w:t>
      </w:r>
      <w:r w:rsidRPr="004440EA">
        <w:t xml:space="preserve"> (</w:t>
      </w:r>
      <w:r>
        <w:t>Le royaume de</w:t>
      </w:r>
      <w:r w:rsidRPr="00950016">
        <w:t xml:space="preserve">) </w:t>
      </w:r>
      <w:r>
        <w:t xml:space="preserve">châtié à cause de l’incrédulité d’Achaz, p. </w:t>
      </w:r>
      <w:r w:rsidR="003A700C">
        <w:fldChar w:fldCharType="begin"/>
      </w:r>
      <w:r w:rsidR="006232C0">
        <w:instrText xml:space="preserve"> PAGEREF z_JudaRoyaume_o1 \h </w:instrText>
      </w:r>
      <w:r w:rsidR="003A700C">
        <w:fldChar w:fldCharType="separate"/>
      </w:r>
      <w:r w:rsidR="009D58B1">
        <w:rPr>
          <w:noProof/>
        </w:rPr>
        <w:t>13</w:t>
      </w:r>
      <w:r w:rsidR="003A700C">
        <w:fldChar w:fldCharType="end"/>
      </w:r>
      <w:r w:rsidR="00860A96">
        <w:t>[24]</w:t>
      </w:r>
      <w:r>
        <w:t xml:space="preserve">, et aussi pour ses propres péchés, p. </w:t>
      </w:r>
      <w:r w:rsidR="003A700C">
        <w:fldChar w:fldCharType="begin"/>
      </w:r>
      <w:r w:rsidR="006232C0">
        <w:instrText xml:space="preserve"> PAGEREF z_JudaRoyaume_o2 \h </w:instrText>
      </w:r>
      <w:r w:rsidR="003A700C">
        <w:fldChar w:fldCharType="separate"/>
      </w:r>
      <w:r w:rsidR="009D58B1">
        <w:rPr>
          <w:noProof/>
        </w:rPr>
        <w:t>13</w:t>
      </w:r>
      <w:r w:rsidR="003A700C">
        <w:fldChar w:fldCharType="end"/>
      </w:r>
      <w:r w:rsidR="00860A96">
        <w:t>[25]</w:t>
      </w:r>
      <w:r>
        <w:t xml:space="preserve">. </w:t>
      </w:r>
    </w:p>
    <w:p w:rsidR="00317656" w:rsidRDefault="00317656" w:rsidP="00317656">
      <w:r>
        <w:t>Judaïsme</w:t>
      </w:r>
      <w:r w:rsidRPr="004440EA">
        <w:t xml:space="preserve"> (</w:t>
      </w:r>
      <w:r>
        <w:t>Le</w:t>
      </w:r>
      <w:r w:rsidRPr="00950016">
        <w:t xml:space="preserve">) </w:t>
      </w:r>
      <w:r>
        <w:t xml:space="preserve">épuisé comme religion, p. </w:t>
      </w:r>
      <w:r w:rsidR="003A700C">
        <w:fldChar w:fldCharType="begin"/>
      </w:r>
      <w:r w:rsidR="006232C0">
        <w:instrText xml:space="preserve"> PAGEREF z_Judaisme_o1 \h </w:instrText>
      </w:r>
      <w:r w:rsidR="003A700C">
        <w:fldChar w:fldCharType="separate"/>
      </w:r>
      <w:r w:rsidR="009D58B1">
        <w:rPr>
          <w:noProof/>
        </w:rPr>
        <w:t>107</w:t>
      </w:r>
      <w:r w:rsidR="003A700C">
        <w:fldChar w:fldCharType="end"/>
      </w:r>
      <w:r w:rsidR="0031378E">
        <w:t xml:space="preserve">, </w:t>
      </w:r>
      <w:r w:rsidR="003A700C">
        <w:fldChar w:fldCharType="begin"/>
      </w:r>
      <w:r w:rsidR="006232C0">
        <w:instrText xml:space="preserve"> PAGEREF z_Judaisme_o2 \h </w:instrText>
      </w:r>
      <w:r w:rsidR="003A700C">
        <w:fldChar w:fldCharType="separate"/>
      </w:r>
      <w:r w:rsidR="009D58B1">
        <w:rPr>
          <w:noProof/>
        </w:rPr>
        <w:t>109</w:t>
      </w:r>
      <w:r w:rsidR="003A700C">
        <w:fldChar w:fldCharType="end"/>
      </w:r>
      <w:r>
        <w:t xml:space="preserve">[275, 280] et suiv. </w:t>
      </w:r>
    </w:p>
    <w:p w:rsidR="00317656" w:rsidRDefault="00317656" w:rsidP="00317656">
      <w:r>
        <w:rPr>
          <w:smallCaps/>
        </w:rPr>
        <w:t>Judas</w:t>
      </w:r>
      <w:r>
        <w:t xml:space="preserve"> et l’institution de la sainte Eucharistie, p. </w:t>
      </w:r>
      <w:r w:rsidR="003A700C">
        <w:fldChar w:fldCharType="begin"/>
      </w:r>
      <w:r w:rsidR="006232C0">
        <w:instrText xml:space="preserve"> PAGEREF z_JudasEtEucharistie_o1 \h </w:instrText>
      </w:r>
      <w:r w:rsidR="003A700C">
        <w:fldChar w:fldCharType="separate"/>
      </w:r>
      <w:r w:rsidR="009D58B1">
        <w:rPr>
          <w:noProof/>
        </w:rPr>
        <w:t>121</w:t>
      </w:r>
      <w:r w:rsidR="003A700C">
        <w:fldChar w:fldCharType="end"/>
      </w:r>
      <w:r w:rsidR="00860A96">
        <w:t>[311]</w:t>
      </w:r>
      <w:r>
        <w:t xml:space="preserve"> et suiv. ; les récits évangéliques à ce sujet, p. </w:t>
      </w:r>
      <w:r w:rsidR="003A700C">
        <w:fldChar w:fldCharType="begin"/>
      </w:r>
      <w:r w:rsidR="006232C0">
        <w:instrText xml:space="preserve"> PAGEREF z_JudasEtEucharistie_o2 \h </w:instrText>
      </w:r>
      <w:r w:rsidR="003A700C">
        <w:fldChar w:fldCharType="separate"/>
      </w:r>
      <w:r w:rsidR="009D58B1">
        <w:rPr>
          <w:noProof/>
        </w:rPr>
        <w:t>122</w:t>
      </w:r>
      <w:r w:rsidR="003A700C">
        <w:fldChar w:fldCharType="end"/>
      </w:r>
      <w:r w:rsidR="0031378E">
        <w:t>-</w:t>
      </w:r>
      <w:r w:rsidR="003A700C">
        <w:fldChar w:fldCharType="begin"/>
      </w:r>
      <w:r w:rsidR="006232C0">
        <w:instrText xml:space="preserve"> PAGEREF z_JudasEtEucharistie_o3 \h </w:instrText>
      </w:r>
      <w:r w:rsidR="003A700C">
        <w:fldChar w:fldCharType="separate"/>
      </w:r>
      <w:r w:rsidR="009D58B1">
        <w:rPr>
          <w:noProof/>
        </w:rPr>
        <w:t>123</w:t>
      </w:r>
      <w:r w:rsidR="003A700C">
        <w:fldChar w:fldCharType="end"/>
      </w:r>
      <w:r w:rsidR="0031378E">
        <w:t>[312-317]</w:t>
      </w:r>
      <w:r>
        <w:t xml:space="preserve"> ; solution de quelques objections, p. </w:t>
      </w:r>
      <w:r w:rsidR="003A700C">
        <w:fldChar w:fldCharType="begin"/>
      </w:r>
      <w:r w:rsidR="008C1BD9">
        <w:instrText xml:space="preserve"> PAGEREF z_JudasEtEucharistie_o4 \h </w:instrText>
      </w:r>
      <w:r w:rsidR="003A700C">
        <w:fldChar w:fldCharType="separate"/>
      </w:r>
      <w:r w:rsidR="009D58B1">
        <w:rPr>
          <w:noProof/>
        </w:rPr>
        <w:t>124</w:t>
      </w:r>
      <w:r w:rsidR="003A700C">
        <w:fldChar w:fldCharType="end"/>
      </w:r>
      <w:r w:rsidR="0031378E">
        <w:t>-</w:t>
      </w:r>
      <w:r w:rsidR="003A700C">
        <w:fldChar w:fldCharType="begin"/>
      </w:r>
      <w:r w:rsidR="008C1BD9">
        <w:instrText xml:space="preserve"> PAGEREF z_JudasEtEucharistie_o5 \h </w:instrText>
      </w:r>
      <w:r w:rsidR="003A700C">
        <w:fldChar w:fldCharType="separate"/>
      </w:r>
      <w:r w:rsidR="009D58B1">
        <w:rPr>
          <w:noProof/>
        </w:rPr>
        <w:t>125</w:t>
      </w:r>
      <w:r w:rsidR="003A700C">
        <w:fldChar w:fldCharType="end"/>
      </w:r>
      <w:r w:rsidR="008C1BD9">
        <w:t>[318-320</w:t>
      </w:r>
      <w:r w:rsidR="0031378E">
        <w:t>]</w:t>
      </w:r>
      <w:r>
        <w:t xml:space="preserve"> ; sentiment de la tradition, p. </w:t>
      </w:r>
      <w:r w:rsidR="003A700C">
        <w:fldChar w:fldCharType="begin"/>
      </w:r>
      <w:r w:rsidR="008C1BD9">
        <w:instrText xml:space="preserve"> PAGEREF z_JudasEtEucharistie_o6 \h </w:instrText>
      </w:r>
      <w:r w:rsidR="003A700C">
        <w:fldChar w:fldCharType="separate"/>
      </w:r>
      <w:r w:rsidR="009D58B1">
        <w:rPr>
          <w:noProof/>
        </w:rPr>
        <w:t>125</w:t>
      </w:r>
      <w:r w:rsidR="003A700C">
        <w:fldChar w:fldCharType="end"/>
      </w:r>
      <w:r w:rsidR="0031378E">
        <w:t>-</w:t>
      </w:r>
      <w:r w:rsidR="003A700C">
        <w:fldChar w:fldCharType="begin"/>
      </w:r>
      <w:r w:rsidR="008C1BD9">
        <w:instrText xml:space="preserve"> PAGEREF z_JudasEtEucharistie_o7 \h </w:instrText>
      </w:r>
      <w:r w:rsidR="003A700C">
        <w:fldChar w:fldCharType="separate"/>
      </w:r>
      <w:r w:rsidR="009D58B1">
        <w:rPr>
          <w:noProof/>
        </w:rPr>
        <w:t>126</w:t>
      </w:r>
      <w:r w:rsidR="003A700C">
        <w:fldChar w:fldCharType="end"/>
      </w:r>
      <w:r w:rsidR="008C1BD9">
        <w:t>[320-323</w:t>
      </w:r>
      <w:r w:rsidR="0031378E">
        <w:t>]</w:t>
      </w:r>
      <w:r>
        <w:t xml:space="preserve"> ; la raison théologique, p. </w:t>
      </w:r>
      <w:r w:rsidR="003A700C">
        <w:fldChar w:fldCharType="begin"/>
      </w:r>
      <w:r w:rsidR="008C1BD9">
        <w:instrText xml:space="preserve"> PAGEREF z_JudasEtEucharistie_o8 \h </w:instrText>
      </w:r>
      <w:r w:rsidR="003A700C">
        <w:fldChar w:fldCharType="separate"/>
      </w:r>
      <w:r w:rsidR="009D58B1">
        <w:rPr>
          <w:noProof/>
        </w:rPr>
        <w:t>126</w:t>
      </w:r>
      <w:r w:rsidR="003A700C">
        <w:fldChar w:fldCharType="end"/>
      </w:r>
      <w:r w:rsidR="00860A96">
        <w:t>[323]</w:t>
      </w:r>
      <w:r>
        <w:t xml:space="preserve"> et suiv. ; conclusion, p. </w:t>
      </w:r>
      <w:r w:rsidR="003A700C">
        <w:fldChar w:fldCharType="begin"/>
      </w:r>
      <w:r w:rsidR="008C1BD9">
        <w:instrText xml:space="preserve"> PAGEREF z_JudasEtEucharistie_o9 \h </w:instrText>
      </w:r>
      <w:r w:rsidR="003A700C">
        <w:fldChar w:fldCharType="separate"/>
      </w:r>
      <w:r w:rsidR="009D58B1">
        <w:rPr>
          <w:noProof/>
        </w:rPr>
        <w:t>126</w:t>
      </w:r>
      <w:r w:rsidR="003A700C">
        <w:fldChar w:fldCharType="end"/>
      </w:r>
      <w:r w:rsidR="0031378E">
        <w:t>-</w:t>
      </w:r>
      <w:r w:rsidR="003A700C">
        <w:fldChar w:fldCharType="begin"/>
      </w:r>
      <w:r w:rsidR="008C1BD9">
        <w:instrText xml:space="preserve"> PAGEREF z_JudasEtEucharistie_o10 \h </w:instrText>
      </w:r>
      <w:r w:rsidR="003A700C">
        <w:fldChar w:fldCharType="separate"/>
      </w:r>
      <w:r w:rsidR="009D58B1">
        <w:rPr>
          <w:noProof/>
        </w:rPr>
        <w:t>127</w:t>
      </w:r>
      <w:r w:rsidR="003A700C">
        <w:fldChar w:fldCharType="end"/>
      </w:r>
      <w:r w:rsidR="0031378E">
        <w:t>[325-326]</w:t>
      </w:r>
      <w:r>
        <w:t xml:space="preserve">. </w:t>
      </w:r>
    </w:p>
    <w:p w:rsidR="00317656" w:rsidRDefault="00317656" w:rsidP="00317656">
      <w:r>
        <w:t>Juifs</w:t>
      </w:r>
      <w:r w:rsidRPr="004440EA">
        <w:t xml:space="preserve"> (</w:t>
      </w:r>
      <w:r>
        <w:t>Les</w:t>
      </w:r>
      <w:r w:rsidRPr="00950016">
        <w:t xml:space="preserve">) </w:t>
      </w:r>
      <w:r>
        <w:t xml:space="preserve">et l’oracle de </w:t>
      </w:r>
      <w:r w:rsidRPr="00D40830">
        <w:t>l’</w:t>
      </w:r>
      <w:r w:rsidRPr="00D05EA9">
        <w:rPr>
          <w:rStyle w:val="italicus"/>
        </w:rPr>
        <w:t>῾almah</w:t>
      </w:r>
      <w:r>
        <w:rPr>
          <w:rStyle w:val="italicus"/>
        </w:rPr>
        <w:t xml:space="preserve">, </w:t>
      </w:r>
      <w:r>
        <w:t>pp.</w:t>
      </w:r>
      <w:r w:rsidR="0031378E">
        <w:t xml:space="preserve">, </w:t>
      </w:r>
      <w:r w:rsidR="003A700C">
        <w:fldChar w:fldCharType="begin"/>
      </w:r>
      <w:r w:rsidR="00A17055">
        <w:instrText xml:space="preserve"> PAGEREF z_JuifsAlmah_o1 \h </w:instrText>
      </w:r>
      <w:r w:rsidR="003A700C">
        <w:fldChar w:fldCharType="separate"/>
      </w:r>
      <w:r w:rsidR="009D58B1">
        <w:rPr>
          <w:noProof/>
        </w:rPr>
        <w:t>11</w:t>
      </w:r>
      <w:r w:rsidR="003A700C">
        <w:fldChar w:fldCharType="end"/>
      </w:r>
      <w:r w:rsidR="00A17055">
        <w:t xml:space="preserve">, </w:t>
      </w:r>
      <w:r w:rsidR="003A700C">
        <w:fldChar w:fldCharType="begin"/>
      </w:r>
      <w:r w:rsidR="00A17055">
        <w:instrText xml:space="preserve"> PAGEREF z_JuifsAlmah_o2 \h </w:instrText>
      </w:r>
      <w:r w:rsidR="003A700C">
        <w:fldChar w:fldCharType="separate"/>
      </w:r>
      <w:r w:rsidR="009D58B1">
        <w:rPr>
          <w:noProof/>
        </w:rPr>
        <w:t>23</w:t>
      </w:r>
      <w:r w:rsidR="003A700C">
        <w:fldChar w:fldCharType="end"/>
      </w:r>
      <w:r>
        <w:t xml:space="preserve">[20, 51] et suiv., </w:t>
      </w:r>
      <w:r w:rsidR="003A700C">
        <w:fldChar w:fldCharType="begin"/>
      </w:r>
      <w:r w:rsidR="00A17055">
        <w:instrText xml:space="preserve"> PAGEREF z_JuifsAlmah_o3 \h </w:instrText>
      </w:r>
      <w:r w:rsidR="003A700C">
        <w:fldChar w:fldCharType="separate"/>
      </w:r>
      <w:r w:rsidR="009D58B1">
        <w:rPr>
          <w:noProof/>
        </w:rPr>
        <w:t>30</w:t>
      </w:r>
      <w:r w:rsidR="003A700C">
        <w:fldChar w:fldCharType="end"/>
      </w:r>
      <w:r w:rsidR="00A17055">
        <w:t>-</w:t>
      </w:r>
      <w:r w:rsidR="003A700C">
        <w:fldChar w:fldCharType="begin"/>
      </w:r>
      <w:r w:rsidR="00A17055">
        <w:instrText xml:space="preserve"> PAGEREF z_JuifsAlmah_o4 \h </w:instrText>
      </w:r>
      <w:r w:rsidR="003A700C">
        <w:fldChar w:fldCharType="separate"/>
      </w:r>
      <w:r w:rsidR="009D58B1">
        <w:rPr>
          <w:noProof/>
        </w:rPr>
        <w:t>31</w:t>
      </w:r>
      <w:r w:rsidR="003A700C">
        <w:fldChar w:fldCharType="end"/>
      </w:r>
      <w:r w:rsidR="00A17055">
        <w:t>[70-72</w:t>
      </w:r>
      <w:r>
        <w:t xml:space="preserve">] ; — le commerce et l’usure, p. </w:t>
      </w:r>
      <w:r w:rsidR="003A700C">
        <w:fldChar w:fldCharType="begin"/>
      </w:r>
      <w:r w:rsidR="00A17055">
        <w:instrText xml:space="preserve"> PAGEREF z_JuifsUsure_o1 \h </w:instrText>
      </w:r>
      <w:r w:rsidR="003A700C">
        <w:fldChar w:fldCharType="separate"/>
      </w:r>
      <w:r w:rsidR="009D58B1">
        <w:rPr>
          <w:noProof/>
        </w:rPr>
        <w:t>95</w:t>
      </w:r>
      <w:r w:rsidR="003A700C">
        <w:fldChar w:fldCharType="end"/>
      </w:r>
      <w:r w:rsidR="00860A96">
        <w:t>[244]</w:t>
      </w:r>
      <w:r>
        <w:t xml:space="preserve"> ; — orthodoxes et libéraux, p. </w:t>
      </w:r>
      <w:r w:rsidR="003A700C">
        <w:fldChar w:fldCharType="begin"/>
      </w:r>
      <w:r w:rsidR="00A17055">
        <w:instrText xml:space="preserve"> PAGEREF z_JuifsUsure_o2 \h </w:instrText>
      </w:r>
      <w:r w:rsidR="003A700C">
        <w:fldChar w:fldCharType="separate"/>
      </w:r>
      <w:r w:rsidR="009D58B1">
        <w:rPr>
          <w:noProof/>
        </w:rPr>
        <w:t>110</w:t>
      </w:r>
      <w:r w:rsidR="003A700C">
        <w:fldChar w:fldCharType="end"/>
      </w:r>
      <w:r w:rsidR="00860A96">
        <w:t>[283]</w:t>
      </w:r>
      <w:r>
        <w:t xml:space="preserve"> et suiv. </w:t>
      </w:r>
    </w:p>
    <w:p w:rsidR="00317656" w:rsidRDefault="00317656" w:rsidP="00317656">
      <w:r>
        <w:rPr>
          <w:smallCaps/>
        </w:rPr>
        <w:t>Julien</w:t>
      </w:r>
      <w:r>
        <w:t xml:space="preserve"> l’Apostat et l’oracle de</w:t>
      </w:r>
      <w:r w:rsidRPr="000A34B5">
        <w:rPr>
          <w:rStyle w:val="italicus"/>
        </w:rPr>
        <w:t xml:space="preserve"> </w:t>
      </w:r>
      <w:r w:rsidRPr="00D40830">
        <w:t>l’</w:t>
      </w:r>
      <w:r w:rsidRPr="00D05EA9">
        <w:rPr>
          <w:rStyle w:val="italicus"/>
        </w:rPr>
        <w:t>῾almah</w:t>
      </w:r>
      <w:r>
        <w:rPr>
          <w:rStyle w:val="italicus"/>
        </w:rPr>
        <w:t xml:space="preserve">, </w:t>
      </w:r>
      <w:r>
        <w:t xml:space="preserve">p. </w:t>
      </w:r>
      <w:r w:rsidR="003A700C">
        <w:fldChar w:fldCharType="begin"/>
      </w:r>
      <w:r w:rsidR="00A17055">
        <w:instrText xml:space="preserve"> PAGEREF z_JulienLApostat_o1 \h </w:instrText>
      </w:r>
      <w:r w:rsidR="003A700C">
        <w:fldChar w:fldCharType="separate"/>
      </w:r>
      <w:r w:rsidR="009D58B1">
        <w:rPr>
          <w:noProof/>
        </w:rPr>
        <w:t>17</w:t>
      </w:r>
      <w:r w:rsidR="003A700C">
        <w:fldChar w:fldCharType="end"/>
      </w:r>
      <w:r w:rsidR="00860A96">
        <w:t>[37]</w:t>
      </w:r>
      <w:r>
        <w:t xml:space="preserve"> ; — et la sueur de sang à Gethsémani, p. </w:t>
      </w:r>
      <w:r w:rsidR="003A700C">
        <w:fldChar w:fldCharType="begin"/>
      </w:r>
      <w:r w:rsidR="00A17055">
        <w:instrText xml:space="preserve"> PAGEREF z_JulienLApostat_o2 \h </w:instrText>
      </w:r>
      <w:r w:rsidR="003A700C">
        <w:fldChar w:fldCharType="separate"/>
      </w:r>
      <w:r w:rsidR="009D58B1">
        <w:rPr>
          <w:noProof/>
        </w:rPr>
        <w:t>46</w:t>
      </w:r>
      <w:r w:rsidR="003A700C">
        <w:fldChar w:fldCharType="end"/>
      </w:r>
      <w:r w:rsidR="00860A96">
        <w:t>[114]</w:t>
      </w:r>
      <w:r>
        <w:t xml:space="preserve">. </w:t>
      </w:r>
    </w:p>
    <w:p w:rsidR="00317656" w:rsidRDefault="00317656" w:rsidP="00317656"/>
    <w:p w:rsidR="00317656" w:rsidRDefault="00317656" w:rsidP="00317656">
      <w:r w:rsidRPr="000A34B5">
        <w:rPr>
          <w:rStyle w:val="italicus"/>
        </w:rPr>
        <w:t>Kéber abôth</w:t>
      </w:r>
      <w:r>
        <w:rPr>
          <w:rStyle w:val="italicus"/>
        </w:rPr>
        <w:t xml:space="preserve">, </w:t>
      </w:r>
      <w:r>
        <w:t xml:space="preserve">ou visite des tombeaux, p. </w:t>
      </w:r>
      <w:r w:rsidR="003A700C">
        <w:fldChar w:fldCharType="begin"/>
      </w:r>
      <w:r w:rsidR="00A17055">
        <w:instrText xml:space="preserve"> PAGEREF z_KeberAboth_o1 \h </w:instrText>
      </w:r>
      <w:r w:rsidR="003A700C">
        <w:fldChar w:fldCharType="separate"/>
      </w:r>
      <w:r w:rsidR="009D58B1">
        <w:rPr>
          <w:noProof/>
        </w:rPr>
        <w:t>118</w:t>
      </w:r>
      <w:r w:rsidR="003A700C">
        <w:fldChar w:fldCharType="end"/>
      </w:r>
      <w:r w:rsidR="0031378E">
        <w:t>-</w:t>
      </w:r>
      <w:r w:rsidR="003A700C">
        <w:fldChar w:fldCharType="begin"/>
      </w:r>
      <w:r w:rsidR="00B800F8">
        <w:instrText xml:space="preserve"> PAGEREF z_KeberAboth_o2 \h </w:instrText>
      </w:r>
      <w:r w:rsidR="003A700C">
        <w:fldChar w:fldCharType="separate"/>
      </w:r>
      <w:r w:rsidR="009D58B1">
        <w:rPr>
          <w:noProof/>
        </w:rPr>
        <w:t>119</w:t>
      </w:r>
      <w:r w:rsidR="003A700C">
        <w:fldChar w:fldCharType="end"/>
      </w:r>
      <w:r w:rsidR="00B800F8">
        <w:t xml:space="preserve"> </w:t>
      </w:r>
      <w:r w:rsidR="0031378E">
        <w:t>[302-304]</w:t>
      </w:r>
      <w:r>
        <w:t xml:space="preserve">. </w:t>
      </w:r>
    </w:p>
    <w:p w:rsidR="00317656" w:rsidRDefault="00317656" w:rsidP="00317656"/>
    <w:p w:rsidR="00317656" w:rsidRDefault="00317656" w:rsidP="00317656">
      <w:r>
        <w:rPr>
          <w:smallCaps/>
        </w:rPr>
        <w:t>Le Hir</w:t>
      </w:r>
      <w:r w:rsidRPr="004440EA">
        <w:t xml:space="preserve"> (</w:t>
      </w:r>
      <w:r>
        <w:rPr>
          <w:smallCaps/>
        </w:rPr>
        <w:t>M.</w:t>
      </w:r>
      <w:r w:rsidRPr="00950016">
        <w:t>)</w:t>
      </w:r>
      <w:r>
        <w:t xml:space="preserve">, l’un des meilleurs hébraïsants contemporains, p. </w:t>
      </w:r>
      <w:r w:rsidR="003A700C">
        <w:fldChar w:fldCharType="begin"/>
      </w:r>
      <w:r w:rsidR="00B800F8">
        <w:instrText xml:space="preserve"> PAGEREF z_LeHir_o1 \h </w:instrText>
      </w:r>
      <w:r w:rsidR="003A700C">
        <w:fldChar w:fldCharType="separate"/>
      </w:r>
      <w:r w:rsidR="009D58B1">
        <w:rPr>
          <w:noProof/>
        </w:rPr>
        <w:t>16</w:t>
      </w:r>
      <w:r w:rsidR="003A700C">
        <w:fldChar w:fldCharType="end"/>
      </w:r>
      <w:r w:rsidR="00860A96">
        <w:t>[33]</w:t>
      </w:r>
      <w:r>
        <w:t> ; — et l’étymologie du mot</w:t>
      </w:r>
      <w:r w:rsidRPr="000A34B5">
        <w:rPr>
          <w:rStyle w:val="italicus"/>
        </w:rPr>
        <w:t xml:space="preserve"> </w:t>
      </w:r>
      <w:r w:rsidRPr="00D05EA9">
        <w:rPr>
          <w:rStyle w:val="italicus"/>
        </w:rPr>
        <w:t>῾almah</w:t>
      </w:r>
      <w:r>
        <w:rPr>
          <w:rStyle w:val="italicus"/>
        </w:rPr>
        <w:t xml:space="preserve">, </w:t>
      </w:r>
      <w:r>
        <w:t xml:space="preserve">p. </w:t>
      </w:r>
      <w:r w:rsidR="003A700C">
        <w:fldChar w:fldCharType="begin"/>
      </w:r>
      <w:r w:rsidR="00B800F8">
        <w:instrText xml:space="preserve"> PAGEREF z_LeHir_o2 \h </w:instrText>
      </w:r>
      <w:r w:rsidR="003A700C">
        <w:fldChar w:fldCharType="separate"/>
      </w:r>
      <w:r w:rsidR="009D58B1">
        <w:rPr>
          <w:noProof/>
        </w:rPr>
        <w:t>28</w:t>
      </w:r>
      <w:r w:rsidR="003A700C">
        <w:fldChar w:fldCharType="end"/>
      </w:r>
      <w:r w:rsidR="00860A96">
        <w:t>[65]</w:t>
      </w:r>
      <w:r>
        <w:t xml:space="preserve"> et suiv. </w:t>
      </w:r>
    </w:p>
    <w:p w:rsidR="00317656" w:rsidRDefault="00317656" w:rsidP="00317656">
      <w:r>
        <w:t xml:space="preserve">Lévites dans le judaïsme contemporain, p. </w:t>
      </w:r>
      <w:r w:rsidR="003A700C">
        <w:fldChar w:fldCharType="begin"/>
      </w:r>
      <w:r w:rsidR="00B800F8">
        <w:instrText xml:space="preserve"> PAGEREF z_Levites_o1 \h </w:instrText>
      </w:r>
      <w:r w:rsidR="003A700C">
        <w:fldChar w:fldCharType="separate"/>
      </w:r>
      <w:r w:rsidR="009D58B1">
        <w:rPr>
          <w:noProof/>
        </w:rPr>
        <w:t>116</w:t>
      </w:r>
      <w:r w:rsidR="003A700C">
        <w:fldChar w:fldCharType="end"/>
      </w:r>
      <w:r w:rsidR="00860A96">
        <w:t>[297]</w:t>
      </w:r>
      <w:r>
        <w:t xml:space="preserve">. </w:t>
      </w:r>
    </w:p>
    <w:p w:rsidR="00317656" w:rsidRDefault="00317656" w:rsidP="00317656">
      <w:r w:rsidRPr="00C84401">
        <w:t>Luc</w:t>
      </w:r>
      <w:r w:rsidRPr="004440EA">
        <w:t xml:space="preserve"> (</w:t>
      </w:r>
      <w:r>
        <w:t>Saint</w:t>
      </w:r>
      <w:r w:rsidRPr="00950016">
        <w:t xml:space="preserve">) </w:t>
      </w:r>
      <w:r>
        <w:t xml:space="preserve">et l’oracle de </w:t>
      </w:r>
      <w:r w:rsidRPr="00D40830">
        <w:t>l’</w:t>
      </w:r>
      <w:r w:rsidRPr="00D05EA9">
        <w:rPr>
          <w:rStyle w:val="italicus"/>
        </w:rPr>
        <w:t>῾almah</w:t>
      </w:r>
      <w:r>
        <w:rPr>
          <w:rStyle w:val="italicus"/>
        </w:rPr>
        <w:t xml:space="preserve">, </w:t>
      </w:r>
      <w:r>
        <w:t xml:space="preserve">p. </w:t>
      </w:r>
      <w:r w:rsidR="003A700C">
        <w:fldChar w:fldCharType="begin"/>
      </w:r>
      <w:r w:rsidR="001C7364">
        <w:instrText xml:space="preserve"> PAGEREF z_LucAlmah_o1 \h </w:instrText>
      </w:r>
      <w:r w:rsidR="003A700C">
        <w:fldChar w:fldCharType="separate"/>
      </w:r>
      <w:r w:rsidR="009D58B1">
        <w:rPr>
          <w:noProof/>
        </w:rPr>
        <w:t>18</w:t>
      </w:r>
      <w:r w:rsidR="003A700C">
        <w:fldChar w:fldCharType="end"/>
      </w:r>
      <w:r w:rsidR="00860A96">
        <w:t>[39]</w:t>
      </w:r>
      <w:r>
        <w:t xml:space="preserve"> et suiv. ; — et l’agonie de N. S. Jésus-Christ à Gethsémani, p. </w:t>
      </w:r>
      <w:r w:rsidR="003A700C">
        <w:fldChar w:fldCharType="begin"/>
      </w:r>
      <w:r w:rsidR="001C7364">
        <w:instrText xml:space="preserve"> PAGEREF z_LucAgonie_o1 \h </w:instrText>
      </w:r>
      <w:r w:rsidR="003A700C">
        <w:fldChar w:fldCharType="separate"/>
      </w:r>
      <w:r w:rsidR="009D58B1">
        <w:rPr>
          <w:noProof/>
        </w:rPr>
        <w:t>42</w:t>
      </w:r>
      <w:r w:rsidR="003A700C">
        <w:fldChar w:fldCharType="end"/>
      </w:r>
      <w:r w:rsidR="00860A96">
        <w:t>[101]</w:t>
      </w:r>
      <w:r>
        <w:t xml:space="preserve"> et suiv. ; — médecin, p. </w:t>
      </w:r>
      <w:r w:rsidR="003A700C">
        <w:fldChar w:fldCharType="begin"/>
      </w:r>
      <w:r w:rsidR="00FB5C4F">
        <w:instrText xml:space="preserve"> PAGEREF z_LucMedecin_o1 \h </w:instrText>
      </w:r>
      <w:r w:rsidR="003A700C">
        <w:fldChar w:fldCharType="separate"/>
      </w:r>
      <w:r w:rsidR="009D58B1">
        <w:rPr>
          <w:noProof/>
        </w:rPr>
        <w:t>43</w:t>
      </w:r>
      <w:r w:rsidR="003A700C">
        <w:fldChar w:fldCharType="end"/>
      </w:r>
      <w:r w:rsidR="00860A96">
        <w:t>[104]</w:t>
      </w:r>
      <w:r>
        <w:t xml:space="preserve"> ; — et Nazareth, p. </w:t>
      </w:r>
      <w:r w:rsidR="003A700C">
        <w:fldChar w:fldCharType="begin"/>
      </w:r>
      <w:r w:rsidR="00FB5C4F">
        <w:instrText xml:space="preserve"> PAGEREF z_LucNazareth_o1 \h </w:instrText>
      </w:r>
      <w:r w:rsidR="003A700C">
        <w:fldChar w:fldCharType="separate"/>
      </w:r>
      <w:r w:rsidR="009D58B1">
        <w:rPr>
          <w:noProof/>
        </w:rPr>
        <w:t>81</w:t>
      </w:r>
      <w:r w:rsidR="003A700C">
        <w:fldChar w:fldCharType="end"/>
      </w:r>
      <w:r w:rsidR="00860A96">
        <w:t>[205]</w:t>
      </w:r>
      <w:r>
        <w:t xml:space="preserve"> et suiv., </w:t>
      </w:r>
      <w:r w:rsidR="003A700C">
        <w:fldChar w:fldCharType="begin"/>
      </w:r>
      <w:r w:rsidR="00FB5C4F">
        <w:instrText xml:space="preserve"> PAGEREF z_LucNazareth_o2 \h </w:instrText>
      </w:r>
      <w:r w:rsidR="003A700C">
        <w:fldChar w:fldCharType="separate"/>
      </w:r>
      <w:r w:rsidR="009D58B1">
        <w:rPr>
          <w:noProof/>
        </w:rPr>
        <w:t>90</w:t>
      </w:r>
      <w:r w:rsidR="003A700C">
        <w:fldChar w:fldCharType="end"/>
      </w:r>
      <w:r w:rsidR="00FB5C4F">
        <w:t>-</w:t>
      </w:r>
      <w:r w:rsidR="003A700C">
        <w:fldChar w:fldCharType="begin"/>
      </w:r>
      <w:r w:rsidR="00FB5C4F">
        <w:instrText xml:space="preserve"> PAGEREF z_LucNazareth_o3 \h </w:instrText>
      </w:r>
      <w:r w:rsidR="003A700C">
        <w:fldChar w:fldCharType="separate"/>
      </w:r>
      <w:r w:rsidR="009D58B1">
        <w:rPr>
          <w:noProof/>
        </w:rPr>
        <w:t>90</w:t>
      </w:r>
      <w:r w:rsidR="003A700C">
        <w:fldChar w:fldCharType="end"/>
      </w:r>
      <w:r w:rsidR="00FB5C4F">
        <w:t>[</w:t>
      </w:r>
      <w:r>
        <w:t>229-230</w:t>
      </w:r>
      <w:r w:rsidR="00FB5C4F">
        <w:t>]</w:t>
      </w:r>
      <w:r>
        <w:t xml:space="preserve"> ; — et l’institution de l’Eucharistie, p. </w:t>
      </w:r>
      <w:r w:rsidR="003A700C">
        <w:fldChar w:fldCharType="begin"/>
      </w:r>
      <w:r w:rsidR="001C7364">
        <w:instrText xml:space="preserve"> PAGEREF z_LucEucharistie_o1 \h </w:instrText>
      </w:r>
      <w:r w:rsidR="003A700C">
        <w:fldChar w:fldCharType="separate"/>
      </w:r>
      <w:r w:rsidR="009D58B1">
        <w:rPr>
          <w:noProof/>
        </w:rPr>
        <w:t>122</w:t>
      </w:r>
      <w:r w:rsidR="003A700C">
        <w:fldChar w:fldCharType="end"/>
      </w:r>
      <w:r w:rsidR="0031378E">
        <w:t>-</w:t>
      </w:r>
      <w:r w:rsidR="003A700C">
        <w:fldChar w:fldCharType="begin"/>
      </w:r>
      <w:r w:rsidR="00DF7535">
        <w:instrText xml:space="preserve"> PAGEREF z_LucEucharistie_o2 \h </w:instrText>
      </w:r>
      <w:r w:rsidR="003A700C">
        <w:fldChar w:fldCharType="separate"/>
      </w:r>
      <w:r w:rsidR="009D58B1">
        <w:rPr>
          <w:noProof/>
        </w:rPr>
        <w:t>123</w:t>
      </w:r>
      <w:r w:rsidR="003A700C">
        <w:fldChar w:fldCharType="end"/>
      </w:r>
      <w:r w:rsidR="0031378E">
        <w:t>[</w:t>
      </w:r>
      <w:r w:rsidR="001C7364">
        <w:t>313</w:t>
      </w:r>
      <w:r w:rsidR="0031378E">
        <w:t>-315]</w:t>
      </w:r>
      <w:r>
        <w:t xml:space="preserve">. </w:t>
      </w:r>
    </w:p>
    <w:p w:rsidR="00317656" w:rsidRDefault="00317656" w:rsidP="00317656">
      <w:r>
        <w:rPr>
          <w:smallCaps/>
        </w:rPr>
        <w:t>Luther</w:t>
      </w:r>
      <w:r>
        <w:t>, champion de la virginité de</w:t>
      </w:r>
      <w:r w:rsidRPr="000A34B5">
        <w:rPr>
          <w:rStyle w:val="italicus"/>
        </w:rPr>
        <w:t xml:space="preserve"> </w:t>
      </w:r>
      <w:r w:rsidRPr="00D40830">
        <w:t>l’</w:t>
      </w:r>
      <w:r w:rsidRPr="00D05EA9">
        <w:rPr>
          <w:rStyle w:val="italicus"/>
        </w:rPr>
        <w:t>῾almah</w:t>
      </w:r>
      <w:r>
        <w:rPr>
          <w:rStyle w:val="italicus"/>
        </w:rPr>
        <w:t xml:space="preserve">, </w:t>
      </w:r>
      <w:r>
        <w:t xml:space="preserve">p. </w:t>
      </w:r>
      <w:r w:rsidR="003A700C">
        <w:fldChar w:fldCharType="begin"/>
      </w:r>
      <w:r w:rsidR="002942DC">
        <w:instrText xml:space="preserve"> PAGEREF z_Luther_o1 \h </w:instrText>
      </w:r>
      <w:r w:rsidR="003A700C">
        <w:fldChar w:fldCharType="separate"/>
      </w:r>
      <w:r w:rsidR="009D58B1">
        <w:rPr>
          <w:noProof/>
        </w:rPr>
        <w:t>26</w:t>
      </w:r>
      <w:r w:rsidR="003A700C">
        <w:fldChar w:fldCharType="end"/>
      </w:r>
      <w:r w:rsidR="00860A96">
        <w:t>[59]</w:t>
      </w:r>
      <w:r>
        <w:t xml:space="preserve">. </w:t>
      </w:r>
    </w:p>
    <w:p w:rsidR="00317656" w:rsidRPr="00F61740" w:rsidRDefault="00317656" w:rsidP="00317656">
      <w:r w:rsidRPr="00F61740">
        <w:rPr>
          <w:rStyle w:val="italicus"/>
        </w:rPr>
        <w:t>Maher schalal chasch baz</w:t>
      </w:r>
      <w:r>
        <w:rPr>
          <w:rStyle w:val="italicus"/>
        </w:rPr>
        <w:t xml:space="preserve">, </w:t>
      </w:r>
      <w:r w:rsidRPr="00F61740">
        <w:t>fils d’Isaïe</w:t>
      </w:r>
      <w:r>
        <w:t xml:space="preserve">, </w:t>
      </w:r>
      <w:r w:rsidRPr="00F61740">
        <w:t xml:space="preserve">p. </w:t>
      </w:r>
      <w:r w:rsidR="003A700C">
        <w:fldChar w:fldCharType="begin"/>
      </w:r>
      <w:r w:rsidR="00216D08">
        <w:instrText xml:space="preserve"> PAGEREF z_MaherSchalal_o1 \h </w:instrText>
      </w:r>
      <w:r w:rsidR="003A700C">
        <w:fldChar w:fldCharType="separate"/>
      </w:r>
      <w:r w:rsidR="009D58B1">
        <w:rPr>
          <w:noProof/>
        </w:rPr>
        <w:t>13</w:t>
      </w:r>
      <w:r w:rsidR="003A700C">
        <w:fldChar w:fldCharType="end"/>
      </w:r>
      <w:r w:rsidR="00860A96">
        <w:t>[</w:t>
      </w:r>
      <w:r w:rsidR="00860A96" w:rsidRPr="00F61740">
        <w:t>24</w:t>
      </w:r>
      <w:r w:rsidRPr="00F61740">
        <w:t xml:space="preserve"> et </w:t>
      </w:r>
      <w:r w:rsidR="00860A96" w:rsidRPr="00F61740">
        <w:t>25</w:t>
      </w:r>
      <w:r w:rsidR="00860A96">
        <w:t>]</w:t>
      </w:r>
      <w:r w:rsidRPr="00F61740">
        <w:t xml:space="preserve">. </w:t>
      </w:r>
    </w:p>
    <w:p w:rsidR="00317656" w:rsidRDefault="00317656" w:rsidP="00317656">
      <w:r>
        <w:rPr>
          <w:smallCaps/>
        </w:rPr>
        <w:t>Marc</w:t>
      </w:r>
      <w:r w:rsidRPr="004440EA">
        <w:t xml:space="preserve"> (</w:t>
      </w:r>
      <w:r>
        <w:t xml:space="preserve">Saint). Authenticité des douze derniers versets de son évangile, p. </w:t>
      </w:r>
      <w:r w:rsidR="003A700C">
        <w:fldChar w:fldCharType="begin"/>
      </w:r>
      <w:r w:rsidR="00D678A4">
        <w:instrText xml:space="preserve"> PAGEREF z_MarcSaint_o1 \h </w:instrText>
      </w:r>
      <w:r w:rsidR="003A700C">
        <w:fldChar w:fldCharType="separate"/>
      </w:r>
      <w:r w:rsidR="009D58B1">
        <w:rPr>
          <w:noProof/>
        </w:rPr>
        <w:t>77</w:t>
      </w:r>
      <w:r w:rsidR="003A700C">
        <w:fldChar w:fldCharType="end"/>
      </w:r>
      <w:r w:rsidR="00860A96">
        <w:t>[193]</w:t>
      </w:r>
      <w:r>
        <w:t xml:space="preserve"> et suiv. ; — son récit relatif à l’institution de l’Eucharistie, p. </w:t>
      </w:r>
      <w:r w:rsidR="003A700C">
        <w:fldChar w:fldCharType="begin"/>
      </w:r>
      <w:r w:rsidR="00D678A4">
        <w:instrText xml:space="preserve"> PAGEREF z_MarcSaint_o2 \h </w:instrText>
      </w:r>
      <w:r w:rsidR="003A700C">
        <w:fldChar w:fldCharType="separate"/>
      </w:r>
      <w:r w:rsidR="009D58B1">
        <w:rPr>
          <w:noProof/>
        </w:rPr>
        <w:t>122</w:t>
      </w:r>
      <w:r w:rsidR="003A700C">
        <w:fldChar w:fldCharType="end"/>
      </w:r>
      <w:r w:rsidR="00860A96">
        <w:t>[312]</w:t>
      </w:r>
      <w:r>
        <w:t xml:space="preserve"> et suiv. </w:t>
      </w:r>
    </w:p>
    <w:p w:rsidR="00317656" w:rsidRDefault="00317656" w:rsidP="00317656">
      <w:r>
        <w:t>Marché</w:t>
      </w:r>
      <w:r w:rsidRPr="004440EA">
        <w:t xml:space="preserve"> (</w:t>
      </w:r>
      <w:r>
        <w:t>Le</w:t>
      </w:r>
      <w:r w:rsidRPr="00950016">
        <w:t xml:space="preserve">) </w:t>
      </w:r>
      <w:r>
        <w:t xml:space="preserve">à Jérusalem, p. </w:t>
      </w:r>
      <w:r w:rsidR="003A700C">
        <w:fldChar w:fldCharType="begin"/>
      </w:r>
      <w:r w:rsidR="00590DC6">
        <w:instrText xml:space="preserve"> PAGEREF z_Marche_o1 \h </w:instrText>
      </w:r>
      <w:r w:rsidR="003A700C">
        <w:fldChar w:fldCharType="separate"/>
      </w:r>
      <w:r w:rsidR="009D58B1">
        <w:rPr>
          <w:noProof/>
        </w:rPr>
        <w:t>101</w:t>
      </w:r>
      <w:r w:rsidR="003A700C">
        <w:fldChar w:fldCharType="end"/>
      </w:r>
      <w:r w:rsidR="00860A96">
        <w:t>[259]</w:t>
      </w:r>
      <w:r>
        <w:t xml:space="preserve"> et suiv. </w:t>
      </w:r>
    </w:p>
    <w:p w:rsidR="00317656" w:rsidRDefault="00317656" w:rsidP="00317656">
      <w:r>
        <w:rPr>
          <w:smallCaps/>
        </w:rPr>
        <w:t>Maronites</w:t>
      </w:r>
      <w:r w:rsidRPr="004440EA">
        <w:t xml:space="preserve"> (</w:t>
      </w:r>
      <w:r>
        <w:t>Église des</w:t>
      </w:r>
      <w:r w:rsidRPr="00950016">
        <w:t xml:space="preserve">) </w:t>
      </w:r>
      <w:r>
        <w:t xml:space="preserve">à Nazareth, p. </w:t>
      </w:r>
      <w:r w:rsidR="003A700C">
        <w:fldChar w:fldCharType="begin"/>
      </w:r>
      <w:r w:rsidR="00590DC6">
        <w:instrText xml:space="preserve"> PAGEREF z_Maronites_o1 \h </w:instrText>
      </w:r>
      <w:r w:rsidR="003A700C">
        <w:fldChar w:fldCharType="separate"/>
      </w:r>
      <w:r w:rsidR="009D58B1">
        <w:rPr>
          <w:noProof/>
        </w:rPr>
        <w:t>89</w:t>
      </w:r>
      <w:r w:rsidR="003A700C">
        <w:fldChar w:fldCharType="end"/>
      </w:r>
      <w:r w:rsidR="00860A96">
        <w:t>[226]</w:t>
      </w:r>
      <w:r>
        <w:t xml:space="preserve"> et suiv., </w:t>
      </w:r>
      <w:r w:rsidR="003A700C">
        <w:fldChar w:fldCharType="begin"/>
      </w:r>
      <w:r w:rsidR="00590DC6">
        <w:instrText xml:space="preserve"> PAGEREF z_Maronites_o2 \h </w:instrText>
      </w:r>
      <w:r w:rsidR="003A700C">
        <w:fldChar w:fldCharType="separate"/>
      </w:r>
      <w:r w:rsidR="009D58B1">
        <w:rPr>
          <w:noProof/>
        </w:rPr>
        <w:t>91</w:t>
      </w:r>
      <w:r w:rsidR="003A700C">
        <w:fldChar w:fldCharType="end"/>
      </w:r>
      <w:r w:rsidR="00860A96">
        <w:t>[231]</w:t>
      </w:r>
      <w:r>
        <w:t xml:space="preserve">. </w:t>
      </w:r>
    </w:p>
    <w:p w:rsidR="00317656" w:rsidRDefault="00317656" w:rsidP="00317656">
      <w:r>
        <w:rPr>
          <w:smallCaps/>
        </w:rPr>
        <w:t>Matthieu</w:t>
      </w:r>
      <w:r w:rsidRPr="004440EA">
        <w:t xml:space="preserve"> (</w:t>
      </w:r>
      <w:r>
        <w:t>Saint</w:t>
      </w:r>
      <w:r w:rsidRPr="00950016">
        <w:t xml:space="preserve">) </w:t>
      </w:r>
      <w:r>
        <w:t>et son interprétation authentique de la prophétie de l’</w:t>
      </w:r>
      <w:r w:rsidRPr="001D2588">
        <w:rPr>
          <w:rStyle w:val="italicus"/>
        </w:rPr>
        <w:t>῾almah</w:t>
      </w:r>
      <w:r>
        <w:rPr>
          <w:rStyle w:val="italicus"/>
        </w:rPr>
        <w:t xml:space="preserve">, </w:t>
      </w:r>
      <w:r>
        <w:t xml:space="preserve">p. </w:t>
      </w:r>
      <w:r w:rsidR="003A700C">
        <w:fldChar w:fldCharType="begin"/>
      </w:r>
      <w:r w:rsidR="00590DC6">
        <w:instrText xml:space="preserve"> PAGEREF z_MatthieuSaint_o1 \h </w:instrText>
      </w:r>
      <w:r w:rsidR="003A700C">
        <w:fldChar w:fldCharType="separate"/>
      </w:r>
      <w:r w:rsidR="009D58B1">
        <w:rPr>
          <w:noProof/>
        </w:rPr>
        <w:t>18</w:t>
      </w:r>
      <w:r w:rsidR="003A700C">
        <w:fldChar w:fldCharType="end"/>
      </w:r>
      <w:r w:rsidR="0031378E">
        <w:t>-</w:t>
      </w:r>
      <w:r w:rsidR="003A700C">
        <w:fldChar w:fldCharType="begin"/>
      </w:r>
      <w:r w:rsidR="00590DC6">
        <w:instrText xml:space="preserve"> PAGEREF z_MatthieuSaint_o2 \h </w:instrText>
      </w:r>
      <w:r w:rsidR="003A700C">
        <w:fldChar w:fldCharType="separate"/>
      </w:r>
      <w:r w:rsidR="009D58B1">
        <w:rPr>
          <w:noProof/>
        </w:rPr>
        <w:t>19</w:t>
      </w:r>
      <w:r w:rsidR="003A700C">
        <w:fldChar w:fldCharType="end"/>
      </w:r>
      <w:r w:rsidR="0031378E">
        <w:t>[38-42]</w:t>
      </w:r>
      <w:r>
        <w:t xml:space="preserve"> ; — son récit relatif à l’institution de l’Eucharistie, p. </w:t>
      </w:r>
      <w:r w:rsidR="003A700C">
        <w:fldChar w:fldCharType="begin"/>
      </w:r>
      <w:r w:rsidR="00590DC6">
        <w:instrText xml:space="preserve"> PAGEREF z_MatthieuSaint_o3 \h </w:instrText>
      </w:r>
      <w:r w:rsidR="003A700C">
        <w:fldChar w:fldCharType="separate"/>
      </w:r>
      <w:r w:rsidR="009D58B1">
        <w:rPr>
          <w:noProof/>
        </w:rPr>
        <w:t>122</w:t>
      </w:r>
      <w:r w:rsidR="003A700C">
        <w:fldChar w:fldCharType="end"/>
      </w:r>
      <w:r w:rsidR="00860A96">
        <w:t>[312]</w:t>
      </w:r>
      <w:r>
        <w:t xml:space="preserve"> et suiv. </w:t>
      </w:r>
    </w:p>
    <w:p w:rsidR="00317656" w:rsidRDefault="00317656" w:rsidP="00317656">
      <w:r w:rsidRPr="000A34B5">
        <w:rPr>
          <w:rStyle w:val="italicus"/>
        </w:rPr>
        <w:t>Mem clausum</w:t>
      </w:r>
      <w:r>
        <w:t xml:space="preserve"> et sa signification messianique d’après les rabbins, p. </w:t>
      </w:r>
      <w:r w:rsidR="003A700C">
        <w:fldChar w:fldCharType="begin"/>
      </w:r>
      <w:r w:rsidR="00590DC6">
        <w:instrText xml:space="preserve"> PAGEREF z_MemClausum_o1 \h </w:instrText>
      </w:r>
      <w:r w:rsidR="003A700C">
        <w:fldChar w:fldCharType="separate"/>
      </w:r>
      <w:r w:rsidR="009D58B1">
        <w:rPr>
          <w:noProof/>
        </w:rPr>
        <w:t>23</w:t>
      </w:r>
      <w:r w:rsidR="003A700C">
        <w:fldChar w:fldCharType="end"/>
      </w:r>
      <w:r w:rsidR="00860A96">
        <w:t>[52]</w:t>
      </w:r>
      <w:r>
        <w:t xml:space="preserve">. </w:t>
      </w:r>
    </w:p>
    <w:p w:rsidR="00317656" w:rsidRDefault="00317656" w:rsidP="00317656">
      <w:r w:rsidRPr="000A34B5">
        <w:rPr>
          <w:rStyle w:val="italicus"/>
        </w:rPr>
        <w:t>Mesousah</w:t>
      </w:r>
      <w:r w:rsidRPr="004440EA">
        <w:t xml:space="preserve"> (</w:t>
      </w:r>
      <w:r>
        <w:t>La</w:t>
      </w:r>
      <w:r w:rsidRPr="00950016">
        <w:t>)</w:t>
      </w:r>
      <w:r>
        <w:t xml:space="preserve">, p. </w:t>
      </w:r>
      <w:r w:rsidR="003A700C">
        <w:fldChar w:fldCharType="begin"/>
      </w:r>
      <w:r w:rsidR="00A52917">
        <w:instrText xml:space="preserve"> PAGEREF z_Mesousah_o1 \h </w:instrText>
      </w:r>
      <w:r w:rsidR="003A700C">
        <w:fldChar w:fldCharType="separate"/>
      </w:r>
      <w:r w:rsidR="009D58B1">
        <w:rPr>
          <w:noProof/>
        </w:rPr>
        <w:t>106</w:t>
      </w:r>
      <w:r w:rsidR="003A700C">
        <w:fldChar w:fldCharType="end"/>
      </w:r>
      <w:r w:rsidR="00860A96">
        <w:t>[274]</w:t>
      </w:r>
      <w:r>
        <w:t xml:space="preserve">. </w:t>
      </w:r>
    </w:p>
    <w:p w:rsidR="00317656" w:rsidRDefault="00317656" w:rsidP="00317656">
      <w:r>
        <w:t>Messie</w:t>
      </w:r>
      <w:r w:rsidRPr="004440EA">
        <w:t xml:space="preserve"> (</w:t>
      </w:r>
      <w:r>
        <w:t>Le</w:t>
      </w:r>
      <w:r w:rsidRPr="00950016">
        <w:t xml:space="preserve">) </w:t>
      </w:r>
      <w:r>
        <w:t xml:space="preserve">désigné par le nom d’Emmanuel, p. </w:t>
      </w:r>
      <w:r w:rsidR="003A700C">
        <w:fldChar w:fldCharType="begin"/>
      </w:r>
      <w:r w:rsidR="00A52917">
        <w:instrText xml:space="preserve"> PAGEREF z_Messieemmanuel_o1 \h </w:instrText>
      </w:r>
      <w:r w:rsidR="003A700C">
        <w:fldChar w:fldCharType="separate"/>
      </w:r>
      <w:r w:rsidR="009D58B1">
        <w:rPr>
          <w:noProof/>
        </w:rPr>
        <w:t>14</w:t>
      </w:r>
      <w:r w:rsidR="003A700C">
        <w:fldChar w:fldCharType="end"/>
      </w:r>
      <w:r w:rsidR="0031378E">
        <w:t>-</w:t>
      </w:r>
      <w:r w:rsidR="003A700C">
        <w:fldChar w:fldCharType="begin"/>
      </w:r>
      <w:r w:rsidR="00A52917">
        <w:instrText xml:space="preserve"> PAGEREF z_Messieemmanuel_o2 \h </w:instrText>
      </w:r>
      <w:r w:rsidR="003A700C">
        <w:fldChar w:fldCharType="separate"/>
      </w:r>
      <w:r w:rsidR="009D58B1">
        <w:rPr>
          <w:noProof/>
        </w:rPr>
        <w:t>16</w:t>
      </w:r>
      <w:r w:rsidR="003A700C">
        <w:fldChar w:fldCharType="end"/>
      </w:r>
      <w:r w:rsidR="0031378E">
        <w:t xml:space="preserve">, </w:t>
      </w:r>
      <w:r w:rsidR="003A700C">
        <w:fldChar w:fldCharType="begin"/>
      </w:r>
      <w:r w:rsidR="00A52917">
        <w:instrText xml:space="preserve"> PAGEREF z_Messieemmanuel_o3 \h </w:instrText>
      </w:r>
      <w:r w:rsidR="003A700C">
        <w:fldChar w:fldCharType="separate"/>
      </w:r>
      <w:r w:rsidR="009D58B1">
        <w:rPr>
          <w:noProof/>
        </w:rPr>
        <w:t>16</w:t>
      </w:r>
      <w:r w:rsidR="003A700C">
        <w:fldChar w:fldCharType="end"/>
      </w:r>
      <w:r>
        <w:t>[28-32, 34] ; — fils de</w:t>
      </w:r>
      <w:r w:rsidRPr="000A34B5">
        <w:rPr>
          <w:rStyle w:val="italicus"/>
        </w:rPr>
        <w:t xml:space="preserve"> </w:t>
      </w:r>
      <w:r w:rsidRPr="00D40830">
        <w:t>l’</w:t>
      </w:r>
      <w:r w:rsidRPr="00D05EA9">
        <w:rPr>
          <w:rStyle w:val="italicus"/>
        </w:rPr>
        <w:t>῾almah</w:t>
      </w:r>
      <w:r>
        <w:rPr>
          <w:rStyle w:val="italicus"/>
        </w:rPr>
        <w:t xml:space="preserve">, </w:t>
      </w:r>
      <w:r>
        <w:t xml:space="preserve">p. </w:t>
      </w:r>
      <w:r w:rsidR="003A700C">
        <w:fldChar w:fldCharType="begin"/>
      </w:r>
      <w:r w:rsidR="00A52917">
        <w:instrText xml:space="preserve"> PAGEREF z_MessieFilsAlmah_o1 \h </w:instrText>
      </w:r>
      <w:r w:rsidR="003A700C">
        <w:fldChar w:fldCharType="separate"/>
      </w:r>
      <w:r w:rsidR="009D58B1">
        <w:rPr>
          <w:noProof/>
        </w:rPr>
        <w:t>17</w:t>
      </w:r>
      <w:r w:rsidR="003A700C">
        <w:fldChar w:fldCharType="end"/>
      </w:r>
      <w:r w:rsidR="00860A96">
        <w:t>[35]</w:t>
      </w:r>
      <w:r>
        <w:t xml:space="preserve"> et suiv. ; — n’a pas, d’après la Bible, de père selon la chair, p. </w:t>
      </w:r>
      <w:r w:rsidR="003A700C">
        <w:fldChar w:fldCharType="begin"/>
      </w:r>
      <w:r w:rsidR="00A52917">
        <w:instrText xml:space="preserve"> PAGEREF z_MessiePere_o1 \h </w:instrText>
      </w:r>
      <w:r w:rsidR="003A700C">
        <w:fldChar w:fldCharType="separate"/>
      </w:r>
      <w:r w:rsidR="009D58B1">
        <w:rPr>
          <w:noProof/>
        </w:rPr>
        <w:t>18</w:t>
      </w:r>
      <w:r w:rsidR="003A700C">
        <w:fldChar w:fldCharType="end"/>
      </w:r>
      <w:r w:rsidR="0031378E">
        <w:t xml:space="preserve">, </w:t>
      </w:r>
      <w:r w:rsidR="003A700C">
        <w:fldChar w:fldCharType="begin"/>
      </w:r>
      <w:r w:rsidR="00A52917">
        <w:instrText xml:space="preserve"> PAGEREF z_Messiepere_o2 \h </w:instrText>
      </w:r>
      <w:r w:rsidR="003A700C">
        <w:fldChar w:fldCharType="separate"/>
      </w:r>
      <w:r w:rsidR="009D58B1">
        <w:rPr>
          <w:noProof/>
        </w:rPr>
        <w:t>32</w:t>
      </w:r>
      <w:r w:rsidR="003A700C">
        <w:fldChar w:fldCharType="end"/>
      </w:r>
      <w:r>
        <w:t xml:space="preserve">[40, 76] ; centre de tout chez le peuple juif, p. </w:t>
      </w:r>
      <w:r w:rsidR="003A700C">
        <w:fldChar w:fldCharType="begin"/>
      </w:r>
      <w:r w:rsidR="00A52917">
        <w:instrText xml:space="preserve"> PAGEREF z_MessieCentre_o1 \h </w:instrText>
      </w:r>
      <w:r w:rsidR="003A700C">
        <w:fldChar w:fldCharType="separate"/>
      </w:r>
      <w:r w:rsidR="009D58B1">
        <w:rPr>
          <w:noProof/>
        </w:rPr>
        <w:t>39</w:t>
      </w:r>
      <w:r w:rsidR="003A700C">
        <w:fldChar w:fldCharType="end"/>
      </w:r>
      <w:r w:rsidR="0031378E">
        <w:t xml:space="preserve">, </w:t>
      </w:r>
      <w:r w:rsidR="003A700C">
        <w:fldChar w:fldCharType="begin"/>
      </w:r>
      <w:r w:rsidR="00A52917">
        <w:instrText xml:space="preserve"> PAGEREF z_MessieCentre_o2 \h </w:instrText>
      </w:r>
      <w:r w:rsidR="003A700C">
        <w:fldChar w:fldCharType="separate"/>
      </w:r>
      <w:r w:rsidR="009D58B1">
        <w:rPr>
          <w:noProof/>
        </w:rPr>
        <w:t>105</w:t>
      </w:r>
      <w:r w:rsidR="003A700C">
        <w:fldChar w:fldCharType="end"/>
      </w:r>
      <w:r>
        <w:t xml:space="preserve">[93, 272] ; dans le catéchisme et la théologie des Juifs contemporains, p. </w:t>
      </w:r>
      <w:r w:rsidR="003A700C">
        <w:fldChar w:fldCharType="begin"/>
      </w:r>
      <w:r w:rsidR="00A52917">
        <w:instrText xml:space="preserve"> PAGEREF z_MessieCatechisme_o1 \h </w:instrText>
      </w:r>
      <w:r w:rsidR="003A700C">
        <w:fldChar w:fldCharType="separate"/>
      </w:r>
      <w:r w:rsidR="009D58B1">
        <w:rPr>
          <w:noProof/>
        </w:rPr>
        <w:t>105</w:t>
      </w:r>
      <w:r w:rsidR="003A700C">
        <w:fldChar w:fldCharType="end"/>
      </w:r>
      <w:r w:rsidR="00860A96">
        <w:t>[271]</w:t>
      </w:r>
      <w:r>
        <w:t xml:space="preserve"> et suiv. </w:t>
      </w:r>
    </w:p>
    <w:p w:rsidR="00317656" w:rsidRDefault="00317656" w:rsidP="00317656">
      <w:r>
        <w:rPr>
          <w:smallCaps/>
        </w:rPr>
        <w:t>Michée</w:t>
      </w:r>
      <w:r>
        <w:t xml:space="preserve"> et la Vierge-Mère, p. </w:t>
      </w:r>
      <w:r w:rsidR="003A700C">
        <w:fldChar w:fldCharType="begin"/>
      </w:r>
      <w:r w:rsidR="00A52917">
        <w:instrText xml:space="preserve"> PAGEREF z_Michee_o1 \h </w:instrText>
      </w:r>
      <w:r w:rsidR="003A700C">
        <w:fldChar w:fldCharType="separate"/>
      </w:r>
      <w:r w:rsidR="009D58B1">
        <w:rPr>
          <w:noProof/>
        </w:rPr>
        <w:t>25</w:t>
      </w:r>
      <w:r w:rsidR="003A700C">
        <w:fldChar w:fldCharType="end"/>
      </w:r>
      <w:r w:rsidR="00860A96">
        <w:t>[56]</w:t>
      </w:r>
      <w:r>
        <w:t xml:space="preserve"> et suiv. </w:t>
      </w:r>
    </w:p>
    <w:p w:rsidR="00317656" w:rsidRDefault="00317656" w:rsidP="00317656">
      <w:r>
        <w:t>Morale</w:t>
      </w:r>
      <w:r w:rsidRPr="004440EA">
        <w:t xml:space="preserve"> (</w:t>
      </w:r>
      <w:r>
        <w:t>La</w:t>
      </w:r>
      <w:r w:rsidRPr="00950016">
        <w:t xml:space="preserve">) </w:t>
      </w:r>
      <w:r>
        <w:t xml:space="preserve">naturaliste du judaïsme contemporain, p. </w:t>
      </w:r>
      <w:r w:rsidR="003A700C">
        <w:fldChar w:fldCharType="begin"/>
      </w:r>
      <w:r w:rsidR="00A52917">
        <w:instrText xml:space="preserve"> PAGEREF z_Morale_o1 \h </w:instrText>
      </w:r>
      <w:r w:rsidR="003A700C">
        <w:fldChar w:fldCharType="separate"/>
      </w:r>
      <w:r w:rsidR="009D58B1">
        <w:rPr>
          <w:noProof/>
        </w:rPr>
        <w:t>108</w:t>
      </w:r>
      <w:r w:rsidR="003A700C">
        <w:fldChar w:fldCharType="end"/>
      </w:r>
      <w:r w:rsidR="00860A96">
        <w:t>[277]</w:t>
      </w:r>
      <w:r>
        <w:t xml:space="preserve"> et suiv. </w:t>
      </w:r>
    </w:p>
    <w:p w:rsidR="00317656" w:rsidRDefault="00317656" w:rsidP="00317656">
      <w:pPr>
        <w:rPr>
          <w:rStyle w:val="italicus"/>
        </w:rPr>
      </w:pPr>
    </w:p>
    <w:p w:rsidR="00317656" w:rsidRPr="00AF5306" w:rsidRDefault="00317656" w:rsidP="00317656">
      <w:r w:rsidRPr="000A34B5">
        <w:rPr>
          <w:rStyle w:val="italicus"/>
        </w:rPr>
        <w:t>Na῾arah</w:t>
      </w:r>
      <w:r w:rsidRPr="004440EA">
        <w:t xml:space="preserve"> (</w:t>
      </w:r>
      <w:r>
        <w:t>Le substantif</w:t>
      </w:r>
      <w:r w:rsidRPr="00950016">
        <w:t xml:space="preserve">) </w:t>
      </w:r>
      <w:r>
        <w:t>rapproché de</w:t>
      </w:r>
      <w:r w:rsidRPr="000A34B5">
        <w:rPr>
          <w:rStyle w:val="italicus"/>
        </w:rPr>
        <w:t xml:space="preserve"> </w:t>
      </w:r>
      <w:r w:rsidRPr="00D05EA9">
        <w:rPr>
          <w:rStyle w:val="italicus"/>
        </w:rPr>
        <w:t>῾almah</w:t>
      </w:r>
      <w:r>
        <w:rPr>
          <w:rStyle w:val="italicus"/>
        </w:rPr>
        <w:t xml:space="preserve">, </w:t>
      </w:r>
      <w:r w:rsidRPr="00AF5306">
        <w:t xml:space="preserve">p. </w:t>
      </w:r>
      <w:r w:rsidR="003A700C">
        <w:fldChar w:fldCharType="begin"/>
      </w:r>
      <w:r w:rsidR="00A52917">
        <w:instrText xml:space="preserve"> PAGEREF z_Naarah_o1 \h </w:instrText>
      </w:r>
      <w:r w:rsidR="003A700C">
        <w:fldChar w:fldCharType="separate"/>
      </w:r>
      <w:r w:rsidR="009D58B1">
        <w:rPr>
          <w:noProof/>
        </w:rPr>
        <w:t>31</w:t>
      </w:r>
      <w:r w:rsidR="003A700C">
        <w:fldChar w:fldCharType="end"/>
      </w:r>
      <w:r w:rsidR="0031378E" w:rsidRPr="00AF5306">
        <w:t>[72-73]</w:t>
      </w:r>
      <w:r w:rsidRPr="00AF5306">
        <w:t xml:space="preserve">. </w:t>
      </w:r>
    </w:p>
    <w:p w:rsidR="00317656" w:rsidRDefault="00317656" w:rsidP="00317656">
      <w:r>
        <w:rPr>
          <w:smallCaps/>
        </w:rPr>
        <w:t>Nabuchodonosor</w:t>
      </w:r>
      <w:r>
        <w:t xml:space="preserve"> et les tombeaux des Juifs, p. </w:t>
      </w:r>
      <w:r w:rsidR="003A700C">
        <w:fldChar w:fldCharType="begin"/>
      </w:r>
      <w:r w:rsidR="00A52917">
        <w:instrText xml:space="preserve"> PAGEREF z_Nabuchodonosor_o1 \h </w:instrText>
      </w:r>
      <w:r w:rsidR="003A700C">
        <w:fldChar w:fldCharType="separate"/>
      </w:r>
      <w:r w:rsidR="009D58B1">
        <w:rPr>
          <w:noProof/>
        </w:rPr>
        <w:t>112</w:t>
      </w:r>
      <w:r w:rsidR="003A700C">
        <w:fldChar w:fldCharType="end"/>
      </w:r>
      <w:r w:rsidR="00860A96">
        <w:t>[289]</w:t>
      </w:r>
      <w:r>
        <w:t xml:space="preserve"> et suiv. </w:t>
      </w:r>
    </w:p>
    <w:p w:rsidR="00317656" w:rsidRDefault="00317656" w:rsidP="00317656">
      <w:r>
        <w:rPr>
          <w:smallCaps/>
        </w:rPr>
        <w:t>Nazareth</w:t>
      </w:r>
      <w:r>
        <w:t xml:space="preserve">, p. </w:t>
      </w:r>
      <w:r w:rsidR="003A700C">
        <w:fldChar w:fldCharType="begin"/>
      </w:r>
      <w:r w:rsidR="00A52917">
        <w:instrText xml:space="preserve"> PAGEREF z_Nazareth_o1 \h </w:instrText>
      </w:r>
      <w:r w:rsidR="003A700C">
        <w:fldChar w:fldCharType="separate"/>
      </w:r>
      <w:r w:rsidR="009D58B1">
        <w:rPr>
          <w:noProof/>
        </w:rPr>
        <w:t>81</w:t>
      </w:r>
      <w:r w:rsidR="003A700C">
        <w:fldChar w:fldCharType="end"/>
      </w:r>
      <w:r w:rsidR="00860A96">
        <w:t>[205]</w:t>
      </w:r>
      <w:r>
        <w:t xml:space="preserve"> et suiv. ; — et l’Évangile, p. </w:t>
      </w:r>
      <w:r w:rsidR="003A700C">
        <w:fldChar w:fldCharType="begin"/>
      </w:r>
      <w:r w:rsidR="00DB2FF5">
        <w:instrText xml:space="preserve"> PAGEREF z_Nazareth_o2 \h </w:instrText>
      </w:r>
      <w:r w:rsidR="003A700C">
        <w:fldChar w:fldCharType="separate"/>
      </w:r>
      <w:r w:rsidR="009D58B1">
        <w:rPr>
          <w:noProof/>
        </w:rPr>
        <w:t>81</w:t>
      </w:r>
      <w:r w:rsidR="003A700C">
        <w:fldChar w:fldCharType="end"/>
      </w:r>
      <w:r w:rsidR="0031378E">
        <w:t>-</w:t>
      </w:r>
      <w:r w:rsidR="003A700C">
        <w:fldChar w:fldCharType="begin"/>
      </w:r>
      <w:r w:rsidR="00DB2FF5">
        <w:instrText xml:space="preserve"> PAGEREF z_Nazareth_o3 \h </w:instrText>
      </w:r>
      <w:r w:rsidR="003A700C">
        <w:fldChar w:fldCharType="separate"/>
      </w:r>
      <w:r w:rsidR="009D58B1">
        <w:rPr>
          <w:noProof/>
        </w:rPr>
        <w:t>83</w:t>
      </w:r>
      <w:r w:rsidR="003A700C">
        <w:fldChar w:fldCharType="end"/>
      </w:r>
      <w:r w:rsidR="0031378E">
        <w:t>[205-210]</w:t>
      </w:r>
      <w:r>
        <w:t xml:space="preserve"> ; la ville de Nazareth, p. </w:t>
      </w:r>
      <w:r w:rsidR="003A700C">
        <w:fldChar w:fldCharType="begin"/>
      </w:r>
      <w:r w:rsidR="00DB2FF5">
        <w:instrText xml:space="preserve"> PAGEREF z_Nazareth_o4 \h </w:instrText>
      </w:r>
      <w:r w:rsidR="003A700C">
        <w:fldChar w:fldCharType="separate"/>
      </w:r>
      <w:r w:rsidR="009D58B1">
        <w:rPr>
          <w:noProof/>
        </w:rPr>
        <w:t>83</w:t>
      </w:r>
      <w:r w:rsidR="003A700C">
        <w:fldChar w:fldCharType="end"/>
      </w:r>
      <w:r w:rsidR="0031378E">
        <w:t>-</w:t>
      </w:r>
      <w:r w:rsidR="003A700C">
        <w:fldChar w:fldCharType="begin"/>
      </w:r>
      <w:r w:rsidR="00DB2FF5">
        <w:instrText xml:space="preserve"> PAGEREF z_Nazareth_o5 \h </w:instrText>
      </w:r>
      <w:r w:rsidR="003A700C">
        <w:fldChar w:fldCharType="separate"/>
      </w:r>
      <w:r w:rsidR="009D58B1">
        <w:rPr>
          <w:noProof/>
        </w:rPr>
        <w:t>86</w:t>
      </w:r>
      <w:r w:rsidR="003A700C">
        <w:fldChar w:fldCharType="end"/>
      </w:r>
      <w:r w:rsidR="00DB2FF5">
        <w:t>[211-219</w:t>
      </w:r>
      <w:r w:rsidR="0031378E">
        <w:t>]</w:t>
      </w:r>
      <w:r>
        <w:t xml:space="preserve"> ; Saints Lieux de Nazareth, p. </w:t>
      </w:r>
      <w:r w:rsidR="003A700C">
        <w:fldChar w:fldCharType="begin"/>
      </w:r>
      <w:r w:rsidR="00DB2FF5">
        <w:instrText xml:space="preserve"> PAGEREF z_Nazareth_o6 \h </w:instrText>
      </w:r>
      <w:r w:rsidR="003A700C">
        <w:fldChar w:fldCharType="separate"/>
      </w:r>
      <w:r w:rsidR="009D58B1">
        <w:rPr>
          <w:noProof/>
        </w:rPr>
        <w:t>86</w:t>
      </w:r>
      <w:r w:rsidR="003A700C">
        <w:fldChar w:fldCharType="end"/>
      </w:r>
      <w:r w:rsidR="0031378E">
        <w:t>-</w:t>
      </w:r>
      <w:r w:rsidR="003A700C">
        <w:fldChar w:fldCharType="begin"/>
      </w:r>
      <w:r w:rsidR="00DB2FF5">
        <w:instrText xml:space="preserve"> PAGEREF z_Nazareth_o7 \h </w:instrText>
      </w:r>
      <w:r w:rsidR="003A700C">
        <w:fldChar w:fldCharType="separate"/>
      </w:r>
      <w:r w:rsidR="009D58B1">
        <w:rPr>
          <w:noProof/>
        </w:rPr>
        <w:t>90</w:t>
      </w:r>
      <w:r w:rsidR="003A700C">
        <w:fldChar w:fldCharType="end"/>
      </w:r>
      <w:r w:rsidR="00DB2FF5">
        <w:t>[219-229</w:t>
      </w:r>
      <w:r w:rsidR="0031378E">
        <w:t>]</w:t>
      </w:r>
      <w:r>
        <w:t xml:space="preserve"> ; les environs de Nazareth, p. </w:t>
      </w:r>
      <w:r w:rsidR="003A700C">
        <w:fldChar w:fldCharType="begin"/>
      </w:r>
      <w:r w:rsidR="00DB2FF5">
        <w:instrText xml:space="preserve"> PAGEREF z_Nazareth_o8 \h </w:instrText>
      </w:r>
      <w:r w:rsidR="003A700C">
        <w:fldChar w:fldCharType="separate"/>
      </w:r>
      <w:r w:rsidR="009D58B1">
        <w:rPr>
          <w:noProof/>
        </w:rPr>
        <w:t>90</w:t>
      </w:r>
      <w:r w:rsidR="003A700C">
        <w:fldChar w:fldCharType="end"/>
      </w:r>
      <w:r w:rsidR="0031378E">
        <w:t>-</w:t>
      </w:r>
      <w:r w:rsidR="003A700C">
        <w:fldChar w:fldCharType="begin"/>
      </w:r>
      <w:r w:rsidR="00DB2FF5">
        <w:instrText xml:space="preserve"> PAGEREF z_Nazareth_o9 \h </w:instrText>
      </w:r>
      <w:r w:rsidR="003A700C">
        <w:fldChar w:fldCharType="separate"/>
      </w:r>
      <w:r w:rsidR="009D58B1">
        <w:rPr>
          <w:noProof/>
        </w:rPr>
        <w:t>92</w:t>
      </w:r>
      <w:r w:rsidR="003A700C">
        <w:fldChar w:fldCharType="end"/>
      </w:r>
      <w:r w:rsidR="0031378E">
        <w:t>[229-234]</w:t>
      </w:r>
      <w:r>
        <w:t xml:space="preserve"> ; histoire de Nazareth, p. </w:t>
      </w:r>
      <w:r w:rsidR="003A700C">
        <w:fldChar w:fldCharType="begin"/>
      </w:r>
      <w:r w:rsidR="00DB2FF5">
        <w:instrText xml:space="preserve"> PAGEREF z_Nazareth_o10 \h </w:instrText>
      </w:r>
      <w:r w:rsidR="003A700C">
        <w:fldChar w:fldCharType="separate"/>
      </w:r>
      <w:r w:rsidR="009D58B1">
        <w:rPr>
          <w:noProof/>
        </w:rPr>
        <w:t>92</w:t>
      </w:r>
      <w:r w:rsidR="003A700C">
        <w:fldChar w:fldCharType="end"/>
      </w:r>
      <w:r w:rsidR="0031378E">
        <w:t>-</w:t>
      </w:r>
      <w:r w:rsidR="003A700C">
        <w:fldChar w:fldCharType="begin"/>
      </w:r>
      <w:r w:rsidR="00DB2FF5">
        <w:instrText xml:space="preserve"> PAGEREF z_Nazareth_o11 \h </w:instrText>
      </w:r>
      <w:r w:rsidR="003A700C">
        <w:fldChar w:fldCharType="separate"/>
      </w:r>
      <w:r w:rsidR="009D58B1">
        <w:rPr>
          <w:noProof/>
        </w:rPr>
        <w:t>93</w:t>
      </w:r>
      <w:r w:rsidR="003A700C">
        <w:fldChar w:fldCharType="end"/>
      </w:r>
      <w:r w:rsidR="0031378E">
        <w:t>[23</w:t>
      </w:r>
      <w:r w:rsidR="00DB2FF5">
        <w:t>4</w:t>
      </w:r>
      <w:r w:rsidR="0031378E">
        <w:t>-237]</w:t>
      </w:r>
      <w:r>
        <w:t xml:space="preserve">. </w:t>
      </w:r>
    </w:p>
    <w:p w:rsidR="00317656" w:rsidRDefault="00317656" w:rsidP="00317656">
      <w:r w:rsidRPr="000A34B5">
        <w:rPr>
          <w:rStyle w:val="italicus"/>
        </w:rPr>
        <w:t>Neby Ismaïl</w:t>
      </w:r>
      <w:r>
        <w:rPr>
          <w:rStyle w:val="italicus"/>
        </w:rPr>
        <w:t xml:space="preserve">, </w:t>
      </w:r>
      <w:r>
        <w:t xml:space="preserve">près de Nazareth, p. </w:t>
      </w:r>
      <w:r w:rsidR="003A700C">
        <w:fldChar w:fldCharType="begin"/>
      </w:r>
      <w:r w:rsidR="00DB2FF5">
        <w:instrText xml:space="preserve"> PAGEREF z_NebyIsmail_o1 \h </w:instrText>
      </w:r>
      <w:r w:rsidR="003A700C">
        <w:fldChar w:fldCharType="separate"/>
      </w:r>
      <w:r w:rsidR="009D58B1">
        <w:rPr>
          <w:noProof/>
        </w:rPr>
        <w:t>91</w:t>
      </w:r>
      <w:r w:rsidR="003A700C">
        <w:fldChar w:fldCharType="end"/>
      </w:r>
      <w:r w:rsidR="00860A96">
        <w:t>[232]</w:t>
      </w:r>
      <w:r>
        <w:t xml:space="preserve"> et suiv. </w:t>
      </w:r>
    </w:p>
    <w:p w:rsidR="00317656" w:rsidRDefault="00317656" w:rsidP="00317656"/>
    <w:p w:rsidR="00317656" w:rsidRDefault="00317656" w:rsidP="00317656">
      <w:r>
        <w:t>Parfumeurs</w:t>
      </w:r>
      <w:r w:rsidRPr="004440EA">
        <w:t xml:space="preserve"> (</w:t>
      </w:r>
      <w:r>
        <w:t>Les</w:t>
      </w:r>
      <w:r w:rsidRPr="00950016">
        <w:t xml:space="preserve">) </w:t>
      </w:r>
      <w:r>
        <w:t xml:space="preserve">chez les Juifs, p. </w:t>
      </w:r>
      <w:r w:rsidR="003A700C">
        <w:fldChar w:fldCharType="begin"/>
      </w:r>
      <w:r w:rsidR="00DB2FF5">
        <w:instrText xml:space="preserve"> PAGEREF z_Parfumeurs_o1 \h </w:instrText>
      </w:r>
      <w:r w:rsidR="003A700C">
        <w:fldChar w:fldCharType="separate"/>
      </w:r>
      <w:r w:rsidR="009D58B1">
        <w:rPr>
          <w:noProof/>
        </w:rPr>
        <w:t>97</w:t>
      </w:r>
      <w:r w:rsidR="003A700C">
        <w:fldChar w:fldCharType="end"/>
      </w:r>
      <w:r w:rsidR="00860A96">
        <w:t>[248]</w:t>
      </w:r>
      <w:r>
        <w:t xml:space="preserve"> et suiv. </w:t>
      </w:r>
    </w:p>
    <w:p w:rsidR="00317656" w:rsidRDefault="00317656" w:rsidP="00317656">
      <w:r>
        <w:rPr>
          <w:smallCaps/>
        </w:rPr>
        <w:t>Paul</w:t>
      </w:r>
      <w:r w:rsidRPr="004440EA">
        <w:t xml:space="preserve"> (</w:t>
      </w:r>
      <w:r>
        <w:t>Saint</w:t>
      </w:r>
      <w:r w:rsidRPr="00950016">
        <w:t>)</w:t>
      </w:r>
      <w:r>
        <w:t xml:space="preserve">, fabricant de toile pour les tentes, p. </w:t>
      </w:r>
      <w:r w:rsidR="003A700C">
        <w:fldChar w:fldCharType="begin"/>
      </w:r>
      <w:r w:rsidR="00DB2FF5">
        <w:instrText xml:space="preserve"> PAGEREF z_PaulSaint_o1 \h </w:instrText>
      </w:r>
      <w:r w:rsidR="003A700C">
        <w:fldChar w:fldCharType="separate"/>
      </w:r>
      <w:r w:rsidR="009D58B1">
        <w:rPr>
          <w:noProof/>
        </w:rPr>
        <w:t>99</w:t>
      </w:r>
      <w:r w:rsidR="003A700C">
        <w:fldChar w:fldCharType="end"/>
      </w:r>
      <w:r w:rsidR="00860A96">
        <w:t>[256]</w:t>
      </w:r>
      <w:r>
        <w:t xml:space="preserve">. </w:t>
      </w:r>
    </w:p>
    <w:p w:rsidR="00DB2FF5" w:rsidRDefault="00317656" w:rsidP="00317656">
      <w:r>
        <w:t>Pénitence</w:t>
      </w:r>
      <w:r w:rsidRPr="004440EA">
        <w:t xml:space="preserve"> (</w:t>
      </w:r>
      <w:r>
        <w:t>Idée de la</w:t>
      </w:r>
      <w:r w:rsidRPr="00950016">
        <w:t xml:space="preserve">) </w:t>
      </w:r>
      <w:r>
        <w:t xml:space="preserve">d’après le catéchisme juif, p. </w:t>
      </w:r>
      <w:r w:rsidR="003A700C">
        <w:fldChar w:fldCharType="begin"/>
      </w:r>
      <w:r w:rsidR="00DB2FF5">
        <w:instrText xml:space="preserve"> PAGEREF z_Penitence_o1 \h </w:instrText>
      </w:r>
      <w:r w:rsidR="003A700C">
        <w:fldChar w:fldCharType="separate"/>
      </w:r>
      <w:r w:rsidR="009D58B1">
        <w:rPr>
          <w:noProof/>
        </w:rPr>
        <w:t>107</w:t>
      </w:r>
      <w:r w:rsidR="003A700C">
        <w:fldChar w:fldCharType="end"/>
      </w:r>
      <w:r w:rsidR="00860A96">
        <w:t>[276]</w:t>
      </w:r>
      <w:r>
        <w:t xml:space="preserve"> et suiv. </w:t>
      </w:r>
    </w:p>
    <w:p w:rsidR="00317656" w:rsidRDefault="00317656" w:rsidP="00317656">
      <w:r>
        <w:t>Pères</w:t>
      </w:r>
      <w:r w:rsidRPr="004440EA">
        <w:t xml:space="preserve"> (</w:t>
      </w:r>
      <w:r>
        <w:t>Les Saints</w:t>
      </w:r>
      <w:r w:rsidRPr="00950016">
        <w:t xml:space="preserve">) </w:t>
      </w:r>
      <w:r>
        <w:t xml:space="preserve">et la Bible, p. </w:t>
      </w:r>
      <w:r w:rsidR="003A700C">
        <w:fldChar w:fldCharType="begin"/>
      </w:r>
      <w:r w:rsidR="009900E2">
        <w:instrText xml:space="preserve"> PAGEREF z_PeresLesSaints_o1 \h </w:instrText>
      </w:r>
      <w:r w:rsidR="003A700C">
        <w:fldChar w:fldCharType="separate"/>
      </w:r>
      <w:r w:rsidR="009D58B1">
        <w:rPr>
          <w:noProof/>
        </w:rPr>
        <w:t>64</w:t>
      </w:r>
      <w:r w:rsidR="003A700C">
        <w:fldChar w:fldCharType="end"/>
      </w:r>
      <w:r w:rsidR="00860A96">
        <w:t>[162]</w:t>
      </w:r>
      <w:r>
        <w:t xml:space="preserve"> et suiv. </w:t>
      </w:r>
    </w:p>
    <w:p w:rsidR="00317656" w:rsidRDefault="00317656" w:rsidP="00317656">
      <w:r>
        <w:rPr>
          <w:smallCaps/>
        </w:rPr>
        <w:t>Phacée</w:t>
      </w:r>
      <w:r>
        <w:t>, roi d’Israël, p.</w:t>
      </w:r>
      <w:r>
        <w:rPr>
          <w:smallCaps/>
        </w:rPr>
        <w:t xml:space="preserve"> </w:t>
      </w:r>
      <w:r w:rsidR="003A700C">
        <w:fldChar w:fldCharType="begin"/>
      </w:r>
      <w:r w:rsidR="009900E2">
        <w:rPr>
          <w:smallCaps/>
        </w:rPr>
        <w:instrText xml:space="preserve"> PAGEREF z_Phacee_o1 \h </w:instrText>
      </w:r>
      <w:r w:rsidR="003A700C">
        <w:fldChar w:fldCharType="separate"/>
      </w:r>
      <w:r w:rsidR="009D58B1">
        <w:rPr>
          <w:smallCaps/>
          <w:noProof/>
        </w:rPr>
        <w:t>5</w:t>
      </w:r>
      <w:r w:rsidR="003A700C">
        <w:fldChar w:fldCharType="end"/>
      </w:r>
      <w:r w:rsidR="0031378E">
        <w:t xml:space="preserve">, </w:t>
      </w:r>
      <w:r w:rsidR="003A700C">
        <w:fldChar w:fldCharType="begin"/>
      </w:r>
      <w:r w:rsidR="009900E2">
        <w:instrText xml:space="preserve"> PAGEREF z_Phacee_o2 \h </w:instrText>
      </w:r>
      <w:r w:rsidR="003A700C">
        <w:fldChar w:fldCharType="separate"/>
      </w:r>
      <w:r w:rsidR="009D58B1">
        <w:rPr>
          <w:noProof/>
        </w:rPr>
        <w:t>5</w:t>
      </w:r>
      <w:r w:rsidR="003A700C">
        <w:fldChar w:fldCharType="end"/>
      </w:r>
      <w:r w:rsidR="0031378E">
        <w:t xml:space="preserve">, </w:t>
      </w:r>
      <w:r w:rsidR="003A700C">
        <w:fldChar w:fldCharType="begin"/>
      </w:r>
      <w:r w:rsidR="009900E2">
        <w:instrText xml:space="preserve"> PAGEREF z_Phacee_o3 \h </w:instrText>
      </w:r>
      <w:r w:rsidR="003A700C">
        <w:fldChar w:fldCharType="separate"/>
      </w:r>
      <w:r w:rsidR="009D58B1">
        <w:rPr>
          <w:noProof/>
        </w:rPr>
        <w:t>7</w:t>
      </w:r>
      <w:r w:rsidR="003A700C">
        <w:fldChar w:fldCharType="end"/>
      </w:r>
      <w:r>
        <w:t>[</w:t>
      </w:r>
      <w:r>
        <w:rPr>
          <w:smallCaps/>
        </w:rPr>
        <w:t>3, 4, 9].</w:t>
      </w:r>
      <w:r>
        <w:t xml:space="preserve"> </w:t>
      </w:r>
    </w:p>
    <w:p w:rsidR="00317656" w:rsidRDefault="00317656" w:rsidP="00317656">
      <w:r>
        <w:t>Pharisiens</w:t>
      </w:r>
      <w:r w:rsidRPr="004440EA">
        <w:t xml:space="preserve"> (</w:t>
      </w:r>
      <w:r>
        <w:t>Les</w:t>
      </w:r>
      <w:r w:rsidRPr="00950016">
        <w:t xml:space="preserve">) </w:t>
      </w:r>
      <w:r>
        <w:t>et le travail manuel, p.</w:t>
      </w:r>
      <w:r>
        <w:rPr>
          <w:smallCaps/>
        </w:rPr>
        <w:t xml:space="preserve"> </w:t>
      </w:r>
      <w:r w:rsidR="003A700C">
        <w:rPr>
          <w:smallCaps/>
        </w:rPr>
        <w:fldChar w:fldCharType="begin"/>
      </w:r>
      <w:r w:rsidR="00D36EFD">
        <w:rPr>
          <w:smallCaps/>
        </w:rPr>
        <w:instrText xml:space="preserve"> PAGEREF z_Pharisiens_o1 \h </w:instrText>
      </w:r>
      <w:r w:rsidR="003A700C">
        <w:rPr>
          <w:smallCaps/>
        </w:rPr>
      </w:r>
      <w:r w:rsidR="003A700C">
        <w:rPr>
          <w:smallCaps/>
        </w:rPr>
        <w:fldChar w:fldCharType="separate"/>
      </w:r>
      <w:r w:rsidR="009D58B1">
        <w:rPr>
          <w:smallCaps/>
          <w:noProof/>
        </w:rPr>
        <w:t>95</w:t>
      </w:r>
      <w:r w:rsidR="003A700C">
        <w:rPr>
          <w:smallCaps/>
        </w:rPr>
        <w:fldChar w:fldCharType="end"/>
      </w:r>
      <w:r w:rsidR="00860A96">
        <w:t>[</w:t>
      </w:r>
      <w:r w:rsidR="00860A96">
        <w:rPr>
          <w:smallCaps/>
        </w:rPr>
        <w:t>245</w:t>
      </w:r>
      <w:r w:rsidR="00860A96">
        <w:t>]</w:t>
      </w:r>
      <w:r>
        <w:t xml:space="preserve"> et suiv. ; leur manie de tout codifier, p.</w:t>
      </w:r>
      <w:r>
        <w:rPr>
          <w:smallCaps/>
        </w:rPr>
        <w:t xml:space="preserve"> </w:t>
      </w:r>
      <w:r w:rsidR="003A700C">
        <w:rPr>
          <w:smallCaps/>
        </w:rPr>
        <w:fldChar w:fldCharType="begin"/>
      </w:r>
      <w:r w:rsidR="00D36EFD">
        <w:rPr>
          <w:smallCaps/>
        </w:rPr>
        <w:instrText xml:space="preserve"> PAGEREF z_Pharisiens_o2 \h </w:instrText>
      </w:r>
      <w:r w:rsidR="003A700C">
        <w:rPr>
          <w:smallCaps/>
        </w:rPr>
      </w:r>
      <w:r w:rsidR="003A700C">
        <w:rPr>
          <w:smallCaps/>
        </w:rPr>
        <w:fldChar w:fldCharType="separate"/>
      </w:r>
      <w:r w:rsidR="009D58B1">
        <w:rPr>
          <w:smallCaps/>
          <w:noProof/>
        </w:rPr>
        <w:t>118</w:t>
      </w:r>
      <w:r w:rsidR="003A700C">
        <w:rPr>
          <w:smallCaps/>
        </w:rPr>
        <w:fldChar w:fldCharType="end"/>
      </w:r>
      <w:r w:rsidR="00860A96">
        <w:t>[</w:t>
      </w:r>
      <w:r w:rsidR="00860A96">
        <w:rPr>
          <w:smallCaps/>
        </w:rPr>
        <w:t>302</w:t>
      </w:r>
      <w:r w:rsidR="00860A96">
        <w:t>]</w:t>
      </w:r>
      <w:r>
        <w:rPr>
          <w:smallCaps/>
        </w:rPr>
        <w:t>.</w:t>
      </w:r>
      <w:r>
        <w:t xml:space="preserve"> </w:t>
      </w:r>
    </w:p>
    <w:p w:rsidR="00317656" w:rsidRDefault="00317656" w:rsidP="00317656">
      <w:r>
        <w:t>Précipitation</w:t>
      </w:r>
      <w:r w:rsidRPr="004440EA">
        <w:t xml:space="preserve"> (</w:t>
      </w:r>
      <w:r>
        <w:t>Supplice de la</w:t>
      </w:r>
      <w:r w:rsidRPr="00950016">
        <w:t>)</w:t>
      </w:r>
      <w:r>
        <w:t>, p.</w:t>
      </w:r>
      <w:r>
        <w:rPr>
          <w:smallCaps/>
        </w:rPr>
        <w:t xml:space="preserve"> </w:t>
      </w:r>
      <w:r w:rsidR="003A700C">
        <w:fldChar w:fldCharType="begin"/>
      </w:r>
      <w:r w:rsidR="009900E2">
        <w:rPr>
          <w:smallCaps/>
        </w:rPr>
        <w:instrText xml:space="preserve"> PAGEREF z_Precipitation_o1 \h </w:instrText>
      </w:r>
      <w:r w:rsidR="003A700C">
        <w:fldChar w:fldCharType="separate"/>
      </w:r>
      <w:r w:rsidR="009D58B1">
        <w:rPr>
          <w:smallCaps/>
          <w:noProof/>
        </w:rPr>
        <w:t>91</w:t>
      </w:r>
      <w:r w:rsidR="003A700C">
        <w:fldChar w:fldCharType="end"/>
      </w:r>
      <w:r w:rsidR="009900E2">
        <w:t xml:space="preserve"> </w:t>
      </w:r>
      <w:r w:rsidR="00860A96">
        <w:t>[</w:t>
      </w:r>
      <w:r w:rsidR="00860A96">
        <w:rPr>
          <w:smallCaps/>
        </w:rPr>
        <w:t>231</w:t>
      </w:r>
      <w:r w:rsidR="00860A96">
        <w:t>]</w:t>
      </w:r>
      <w:r>
        <w:rPr>
          <w:smallCaps/>
        </w:rPr>
        <w:t>.</w:t>
      </w:r>
      <w:r>
        <w:t xml:space="preserve"> </w:t>
      </w:r>
    </w:p>
    <w:p w:rsidR="00317656" w:rsidRDefault="00317656" w:rsidP="00317656">
      <w:r>
        <w:t>Prêtres juifs, leurs descendants, p.</w:t>
      </w:r>
      <w:r>
        <w:rPr>
          <w:smallCaps/>
        </w:rPr>
        <w:t xml:space="preserve"> </w:t>
      </w:r>
      <w:r w:rsidR="003A700C">
        <w:fldChar w:fldCharType="begin"/>
      </w:r>
      <w:r w:rsidR="009900E2">
        <w:rPr>
          <w:smallCaps/>
        </w:rPr>
        <w:instrText xml:space="preserve"> PAGEREF z_PretresJuifs_o1 \h </w:instrText>
      </w:r>
      <w:r w:rsidR="003A700C">
        <w:fldChar w:fldCharType="separate"/>
      </w:r>
      <w:r w:rsidR="009D58B1">
        <w:rPr>
          <w:smallCaps/>
          <w:noProof/>
        </w:rPr>
        <w:t>112</w:t>
      </w:r>
      <w:r w:rsidR="003A700C">
        <w:fldChar w:fldCharType="end"/>
      </w:r>
      <w:r w:rsidR="009900E2">
        <w:t xml:space="preserve"> </w:t>
      </w:r>
      <w:r w:rsidR="00860A96">
        <w:t>[</w:t>
      </w:r>
      <w:r w:rsidR="00860A96">
        <w:rPr>
          <w:smallCaps/>
        </w:rPr>
        <w:t>289</w:t>
      </w:r>
      <w:r w:rsidR="00860A96">
        <w:t>]</w:t>
      </w:r>
      <w:r>
        <w:rPr>
          <w:smallCaps/>
        </w:rPr>
        <w:t>.</w:t>
      </w:r>
      <w:r>
        <w:t xml:space="preserve"> </w:t>
      </w:r>
    </w:p>
    <w:p w:rsidR="00317656" w:rsidRDefault="00317656" w:rsidP="00317656">
      <w:r>
        <w:t>Prière</w:t>
      </w:r>
      <w:r w:rsidRPr="004440EA">
        <w:t xml:space="preserve"> (</w:t>
      </w:r>
      <w:r>
        <w:t>La</w:t>
      </w:r>
      <w:r w:rsidRPr="00950016">
        <w:t xml:space="preserve">) </w:t>
      </w:r>
      <w:r>
        <w:t>d’après le catéchisme israélite, p.</w:t>
      </w:r>
      <w:r>
        <w:rPr>
          <w:smallCaps/>
        </w:rPr>
        <w:t xml:space="preserve"> </w:t>
      </w:r>
      <w:r w:rsidR="003A700C">
        <w:rPr>
          <w:smallCaps/>
        </w:rPr>
        <w:fldChar w:fldCharType="begin"/>
      </w:r>
      <w:r w:rsidR="00D36EFD">
        <w:rPr>
          <w:smallCaps/>
        </w:rPr>
        <w:instrText xml:space="preserve"> PAGEREF z_Priere_o1 \h </w:instrText>
      </w:r>
      <w:r w:rsidR="003A700C">
        <w:rPr>
          <w:smallCaps/>
        </w:rPr>
      </w:r>
      <w:r w:rsidR="003A700C">
        <w:rPr>
          <w:smallCaps/>
        </w:rPr>
        <w:fldChar w:fldCharType="separate"/>
      </w:r>
      <w:r w:rsidR="009D58B1">
        <w:rPr>
          <w:smallCaps/>
          <w:noProof/>
        </w:rPr>
        <w:t>108</w:t>
      </w:r>
      <w:r w:rsidR="003A700C">
        <w:rPr>
          <w:smallCaps/>
        </w:rPr>
        <w:fldChar w:fldCharType="end"/>
      </w:r>
      <w:r w:rsidR="00860A96">
        <w:t>[</w:t>
      </w:r>
      <w:r w:rsidR="00860A96">
        <w:rPr>
          <w:smallCaps/>
        </w:rPr>
        <w:t>277</w:t>
      </w:r>
      <w:r w:rsidR="00860A96">
        <w:t>]</w:t>
      </w:r>
      <w:r>
        <w:rPr>
          <w:smallCaps/>
        </w:rPr>
        <w:t>.</w:t>
      </w:r>
      <w:r>
        <w:t xml:space="preserve"> </w:t>
      </w:r>
    </w:p>
    <w:p w:rsidR="00317656" w:rsidRDefault="00317656" w:rsidP="00317656">
      <w:r>
        <w:t>Prophéties, leur obscurité, p.</w:t>
      </w:r>
      <w:r>
        <w:rPr>
          <w:smallCaps/>
        </w:rPr>
        <w:t xml:space="preserve"> </w:t>
      </w:r>
      <w:r w:rsidR="003A700C">
        <w:fldChar w:fldCharType="begin"/>
      </w:r>
      <w:r w:rsidR="00D36EFD">
        <w:rPr>
          <w:smallCaps/>
        </w:rPr>
        <w:instrText xml:space="preserve"> PAGEREF z_Propheties_o1 \h </w:instrText>
      </w:r>
      <w:r w:rsidR="003A700C">
        <w:fldChar w:fldCharType="separate"/>
      </w:r>
      <w:r w:rsidR="009D58B1">
        <w:rPr>
          <w:smallCaps/>
          <w:noProof/>
        </w:rPr>
        <w:t>37</w:t>
      </w:r>
      <w:r w:rsidR="003A700C">
        <w:fldChar w:fldCharType="end"/>
      </w:r>
      <w:r w:rsidR="00D36EFD">
        <w:rPr>
          <w:smallCaps/>
        </w:rPr>
        <w:t>-</w:t>
      </w:r>
      <w:r w:rsidR="003A700C">
        <w:fldChar w:fldCharType="begin"/>
      </w:r>
      <w:r w:rsidR="00D36EFD">
        <w:rPr>
          <w:smallCaps/>
        </w:rPr>
        <w:instrText xml:space="preserve"> PAGEREF z_Propheties_o2 \h </w:instrText>
      </w:r>
      <w:r w:rsidR="003A700C">
        <w:fldChar w:fldCharType="separate"/>
      </w:r>
      <w:r w:rsidR="009D58B1">
        <w:rPr>
          <w:smallCaps/>
          <w:noProof/>
        </w:rPr>
        <w:t>38</w:t>
      </w:r>
      <w:r w:rsidR="003A700C">
        <w:fldChar w:fldCharType="end"/>
      </w:r>
      <w:r w:rsidR="0031378E">
        <w:t>[</w:t>
      </w:r>
      <w:r w:rsidR="0031378E">
        <w:rPr>
          <w:smallCaps/>
        </w:rPr>
        <w:t>89-91</w:t>
      </w:r>
      <w:r w:rsidR="0031378E">
        <w:t>]</w:t>
      </w:r>
      <w:r>
        <w:rPr>
          <w:smallCaps/>
        </w:rPr>
        <w:t>.</w:t>
      </w:r>
      <w:r>
        <w:t xml:space="preserve"> </w:t>
      </w:r>
    </w:p>
    <w:p w:rsidR="00317656" w:rsidRDefault="00317656" w:rsidP="00317656">
      <w:r>
        <w:t>Proverbes juifs relatifs au travail, p.</w:t>
      </w:r>
      <w:r>
        <w:rPr>
          <w:smallCaps/>
        </w:rPr>
        <w:t xml:space="preserve"> </w:t>
      </w:r>
      <w:r w:rsidR="003A700C">
        <w:fldChar w:fldCharType="begin"/>
      </w:r>
      <w:r w:rsidR="00D36EFD">
        <w:instrText xml:space="preserve"> PAGEREF z_ProverbesJuifs_o1 \h </w:instrText>
      </w:r>
      <w:r w:rsidR="003A700C">
        <w:fldChar w:fldCharType="separate"/>
      </w:r>
      <w:r w:rsidR="009D58B1">
        <w:rPr>
          <w:noProof/>
        </w:rPr>
        <w:t>94</w:t>
      </w:r>
      <w:r w:rsidR="003A700C">
        <w:fldChar w:fldCharType="end"/>
      </w:r>
      <w:r w:rsidR="00D36EFD">
        <w:t xml:space="preserve"> </w:t>
      </w:r>
      <w:r w:rsidR="00860A96">
        <w:t>[</w:t>
      </w:r>
      <w:r w:rsidR="00860A96">
        <w:rPr>
          <w:smallCaps/>
        </w:rPr>
        <w:t>243</w:t>
      </w:r>
      <w:r w:rsidR="00860A96">
        <w:t>]</w:t>
      </w:r>
      <w:r>
        <w:t xml:space="preserve"> et suiv. </w:t>
      </w:r>
    </w:p>
    <w:p w:rsidR="00317656" w:rsidRDefault="00317656" w:rsidP="00317656">
      <w:r>
        <w:lastRenderedPageBreak/>
        <w:t>Rabbins artisans, p.</w:t>
      </w:r>
      <w:r>
        <w:rPr>
          <w:smallCaps/>
        </w:rPr>
        <w:t xml:space="preserve"> </w:t>
      </w:r>
      <w:r w:rsidR="003A700C">
        <w:fldChar w:fldCharType="begin"/>
      </w:r>
      <w:r w:rsidR="00D36EFD">
        <w:rPr>
          <w:smallCaps/>
        </w:rPr>
        <w:instrText xml:space="preserve"> PAGEREF z_RabbinsArtisans_o1 \h </w:instrText>
      </w:r>
      <w:r w:rsidR="003A700C">
        <w:fldChar w:fldCharType="separate"/>
      </w:r>
      <w:r w:rsidR="009D58B1">
        <w:rPr>
          <w:smallCaps/>
          <w:noProof/>
        </w:rPr>
        <w:t>99</w:t>
      </w:r>
      <w:r w:rsidR="003A700C">
        <w:fldChar w:fldCharType="end"/>
      </w:r>
      <w:r w:rsidR="00D36EFD">
        <w:rPr>
          <w:smallCaps/>
        </w:rPr>
        <w:t>-</w:t>
      </w:r>
      <w:r w:rsidR="003A700C">
        <w:fldChar w:fldCharType="begin"/>
      </w:r>
      <w:r w:rsidR="00D36EFD">
        <w:rPr>
          <w:smallCaps/>
        </w:rPr>
        <w:instrText xml:space="preserve"> PAGEREF z_RabbinsArtisans_o2 \h </w:instrText>
      </w:r>
      <w:r w:rsidR="003A700C">
        <w:fldChar w:fldCharType="separate"/>
      </w:r>
      <w:r w:rsidR="009D58B1">
        <w:rPr>
          <w:smallCaps/>
          <w:noProof/>
        </w:rPr>
        <w:t>99</w:t>
      </w:r>
      <w:r w:rsidR="003A700C">
        <w:fldChar w:fldCharType="end"/>
      </w:r>
      <w:r w:rsidR="0031378E">
        <w:t>[</w:t>
      </w:r>
      <w:r w:rsidR="0031378E">
        <w:rPr>
          <w:smallCaps/>
        </w:rPr>
        <w:t>254-25</w:t>
      </w:r>
      <w:r w:rsidR="00D36EFD">
        <w:rPr>
          <w:smallCaps/>
        </w:rPr>
        <w:t>6</w:t>
      </w:r>
      <w:r w:rsidR="0031378E">
        <w:t>]</w:t>
      </w:r>
      <w:r>
        <w:rPr>
          <w:smallCaps/>
        </w:rPr>
        <w:t>.</w:t>
      </w:r>
      <w:r>
        <w:t xml:space="preserve"> </w:t>
      </w:r>
    </w:p>
    <w:p w:rsidR="00317656" w:rsidRDefault="00317656" w:rsidP="00317656"/>
    <w:p w:rsidR="00317656" w:rsidRDefault="00317656" w:rsidP="00317656">
      <w:r>
        <w:rPr>
          <w:smallCaps/>
        </w:rPr>
        <w:t>Rambula</w:t>
      </w:r>
      <w:r w:rsidRPr="004440EA">
        <w:t xml:space="preserve"> (</w:t>
      </w:r>
      <w:r>
        <w:rPr>
          <w:smallCaps/>
        </w:rPr>
        <w:t>L</w:t>
      </w:r>
      <w:r>
        <w:t>’inscription de</w:t>
      </w:r>
      <w:r w:rsidRPr="00950016">
        <w:t xml:space="preserve">) </w:t>
      </w:r>
      <w:r>
        <w:t xml:space="preserve">et l’étymologie du mot </w:t>
      </w:r>
      <w:r w:rsidRPr="00D05EA9">
        <w:rPr>
          <w:rStyle w:val="italicus"/>
        </w:rPr>
        <w:t>῾almah</w:t>
      </w:r>
      <w:r>
        <w:rPr>
          <w:rStyle w:val="italicus"/>
        </w:rPr>
        <w:t xml:space="preserve">, </w:t>
      </w:r>
      <w:r>
        <w:t xml:space="preserve">p. </w:t>
      </w:r>
      <w:r w:rsidR="003A700C">
        <w:fldChar w:fldCharType="begin"/>
      </w:r>
      <w:r w:rsidR="00D36EFD">
        <w:instrText xml:space="preserve"> PAGEREF z_Rambula_o1 \h </w:instrText>
      </w:r>
      <w:r w:rsidR="003A700C">
        <w:fldChar w:fldCharType="separate"/>
      </w:r>
      <w:r w:rsidR="009D58B1">
        <w:rPr>
          <w:noProof/>
        </w:rPr>
        <w:t>30</w:t>
      </w:r>
      <w:r w:rsidR="003A700C">
        <w:fldChar w:fldCharType="end"/>
      </w:r>
      <w:r w:rsidR="00860A96">
        <w:t>[71]</w:t>
      </w:r>
      <w:r>
        <w:t xml:space="preserve"> et suiv. </w:t>
      </w:r>
    </w:p>
    <w:p w:rsidR="00317656" w:rsidRDefault="00317656" w:rsidP="00317656">
      <w:r>
        <w:rPr>
          <w:smallCaps/>
        </w:rPr>
        <w:t>Rasin</w:t>
      </w:r>
      <w:r>
        <w:t>, roi de Syrie, p.</w:t>
      </w:r>
      <w:r>
        <w:rPr>
          <w:smallCaps/>
        </w:rPr>
        <w:t xml:space="preserve"> </w:t>
      </w:r>
      <w:r w:rsidR="003A700C">
        <w:fldChar w:fldCharType="begin"/>
      </w:r>
      <w:r w:rsidR="00D36EFD">
        <w:rPr>
          <w:smallCaps/>
        </w:rPr>
        <w:instrText xml:space="preserve"> PAGEREF z_Rasin_o1 \h </w:instrText>
      </w:r>
      <w:r w:rsidR="003A700C">
        <w:fldChar w:fldCharType="separate"/>
      </w:r>
      <w:r w:rsidR="009D58B1">
        <w:rPr>
          <w:smallCaps/>
          <w:noProof/>
        </w:rPr>
        <w:t>5</w:t>
      </w:r>
      <w:r w:rsidR="003A700C">
        <w:fldChar w:fldCharType="end"/>
      </w:r>
      <w:r w:rsidR="0031378E">
        <w:t xml:space="preserve">, </w:t>
      </w:r>
      <w:r w:rsidR="003A700C">
        <w:fldChar w:fldCharType="begin"/>
      </w:r>
      <w:r w:rsidR="00D36EFD">
        <w:instrText xml:space="preserve"> PAGEREF z_Rasin_o2 \h </w:instrText>
      </w:r>
      <w:r w:rsidR="003A700C">
        <w:fldChar w:fldCharType="separate"/>
      </w:r>
      <w:r w:rsidR="009D58B1">
        <w:rPr>
          <w:noProof/>
        </w:rPr>
        <w:t>5</w:t>
      </w:r>
      <w:r w:rsidR="003A700C">
        <w:fldChar w:fldCharType="end"/>
      </w:r>
      <w:r w:rsidR="0031378E">
        <w:t xml:space="preserve">, </w:t>
      </w:r>
      <w:r w:rsidR="003A700C">
        <w:fldChar w:fldCharType="begin"/>
      </w:r>
      <w:r w:rsidR="00D36EFD">
        <w:instrText xml:space="preserve"> PAGEREF z_Rasin_o3 \h </w:instrText>
      </w:r>
      <w:r w:rsidR="003A700C">
        <w:fldChar w:fldCharType="separate"/>
      </w:r>
      <w:r w:rsidR="009D58B1">
        <w:rPr>
          <w:noProof/>
        </w:rPr>
        <w:t>7</w:t>
      </w:r>
      <w:r w:rsidR="003A700C">
        <w:fldChar w:fldCharType="end"/>
      </w:r>
      <w:r>
        <w:t>[</w:t>
      </w:r>
      <w:r>
        <w:rPr>
          <w:smallCaps/>
        </w:rPr>
        <w:t>3, 4, 9].</w:t>
      </w:r>
      <w:r>
        <w:t xml:space="preserve"> </w:t>
      </w:r>
    </w:p>
    <w:p w:rsidR="00317656" w:rsidRDefault="00317656" w:rsidP="00317656">
      <w:r>
        <w:t>Rationalistes</w:t>
      </w:r>
      <w:r w:rsidRPr="004440EA">
        <w:t xml:space="preserve"> (</w:t>
      </w:r>
      <w:r>
        <w:t>Les</w:t>
      </w:r>
      <w:r w:rsidRPr="00950016">
        <w:t xml:space="preserve">) </w:t>
      </w:r>
      <w:r>
        <w:t xml:space="preserve">et la prophétie de </w:t>
      </w:r>
      <w:r w:rsidRPr="00D40830">
        <w:t>l’</w:t>
      </w:r>
      <w:r w:rsidRPr="00D05EA9">
        <w:rPr>
          <w:rStyle w:val="italicus"/>
        </w:rPr>
        <w:t>῾almah</w:t>
      </w:r>
      <w:r>
        <w:rPr>
          <w:rStyle w:val="italicus"/>
        </w:rPr>
        <w:t xml:space="preserve">, </w:t>
      </w:r>
      <w:r>
        <w:t xml:space="preserve">p. </w:t>
      </w:r>
      <w:r w:rsidR="003A700C">
        <w:fldChar w:fldCharType="begin"/>
      </w:r>
      <w:r w:rsidR="00D36EFD">
        <w:instrText xml:space="preserve"> PAGEREF z_RationalistesAlma_o1 \h </w:instrText>
      </w:r>
      <w:r w:rsidR="003A700C">
        <w:fldChar w:fldCharType="separate"/>
      </w:r>
      <w:r w:rsidR="009D58B1">
        <w:rPr>
          <w:noProof/>
        </w:rPr>
        <w:t>6</w:t>
      </w:r>
      <w:r w:rsidR="003A700C">
        <w:fldChar w:fldCharType="end"/>
      </w:r>
      <w:r w:rsidR="0031378E">
        <w:t>-</w:t>
      </w:r>
      <w:r w:rsidR="003A700C">
        <w:fldChar w:fldCharType="begin"/>
      </w:r>
      <w:r w:rsidR="00D36EFD">
        <w:instrText xml:space="preserve"> PAGEREF z_RationalistesAlma_o2 \h </w:instrText>
      </w:r>
      <w:r w:rsidR="003A700C">
        <w:fldChar w:fldCharType="separate"/>
      </w:r>
      <w:r w:rsidR="009D58B1">
        <w:rPr>
          <w:noProof/>
        </w:rPr>
        <w:t>9</w:t>
      </w:r>
      <w:r w:rsidR="003A700C">
        <w:fldChar w:fldCharType="end"/>
      </w:r>
      <w:r w:rsidR="0031378E">
        <w:t xml:space="preserve">, </w:t>
      </w:r>
      <w:r w:rsidR="003A700C">
        <w:fldChar w:fldCharType="begin"/>
      </w:r>
      <w:r w:rsidR="00D36EFD">
        <w:instrText xml:space="preserve"> PAGEREF z_RationalistesAlma_o3 \h </w:instrText>
      </w:r>
      <w:r w:rsidR="003A700C">
        <w:fldChar w:fldCharType="separate"/>
      </w:r>
      <w:r w:rsidR="009D58B1">
        <w:rPr>
          <w:noProof/>
        </w:rPr>
        <w:t>10</w:t>
      </w:r>
      <w:r w:rsidR="003A700C">
        <w:fldChar w:fldCharType="end"/>
      </w:r>
      <w:r w:rsidR="0031378E">
        <w:t>-</w:t>
      </w:r>
      <w:r w:rsidR="003A700C">
        <w:fldChar w:fldCharType="begin"/>
      </w:r>
      <w:r w:rsidR="00D36EFD">
        <w:instrText xml:space="preserve"> PAGEREF z_RationalistesAlma_o4 \h </w:instrText>
      </w:r>
      <w:r w:rsidR="003A700C">
        <w:fldChar w:fldCharType="separate"/>
      </w:r>
      <w:r w:rsidR="009D58B1">
        <w:rPr>
          <w:noProof/>
        </w:rPr>
        <w:t>10</w:t>
      </w:r>
      <w:r w:rsidR="003A700C">
        <w:fldChar w:fldCharType="end"/>
      </w:r>
      <w:r w:rsidR="0031378E">
        <w:t xml:space="preserve">, </w:t>
      </w:r>
      <w:r w:rsidR="003A700C">
        <w:fldChar w:fldCharType="begin"/>
      </w:r>
      <w:r w:rsidR="00D36EFD">
        <w:instrText xml:space="preserve"> PAGEREF z_RationalistesAlma_o5 \h </w:instrText>
      </w:r>
      <w:r w:rsidR="003A700C">
        <w:fldChar w:fldCharType="separate"/>
      </w:r>
      <w:r w:rsidR="009D58B1">
        <w:rPr>
          <w:noProof/>
        </w:rPr>
        <w:t>11</w:t>
      </w:r>
      <w:r w:rsidR="003A700C">
        <w:fldChar w:fldCharType="end"/>
      </w:r>
      <w:r w:rsidR="0031378E">
        <w:t>-</w:t>
      </w:r>
      <w:r w:rsidR="003A700C">
        <w:fldChar w:fldCharType="begin"/>
      </w:r>
      <w:r w:rsidR="00D36EFD">
        <w:instrText xml:space="preserve"> PAGEREF z_RationalistesAlma_o6 \h </w:instrText>
      </w:r>
      <w:r w:rsidR="003A700C">
        <w:fldChar w:fldCharType="separate"/>
      </w:r>
      <w:r w:rsidR="009D58B1">
        <w:rPr>
          <w:noProof/>
        </w:rPr>
        <w:t>11</w:t>
      </w:r>
      <w:r w:rsidR="003A700C">
        <w:fldChar w:fldCharType="end"/>
      </w:r>
      <w:r>
        <w:t>[7-</w:t>
      </w:r>
      <w:r>
        <w:rPr>
          <w:smallCaps/>
        </w:rPr>
        <w:t>14, 16-17, 20-21] ;</w:t>
      </w:r>
      <w:r>
        <w:t xml:space="preserve"> leurs étonnantes hardiesses d’interprétation, p.</w:t>
      </w:r>
      <w:r>
        <w:rPr>
          <w:smallCaps/>
        </w:rPr>
        <w:t xml:space="preserve"> </w:t>
      </w:r>
      <w:r w:rsidR="003A700C">
        <w:fldChar w:fldCharType="begin"/>
      </w:r>
      <w:r w:rsidR="00D36EFD">
        <w:rPr>
          <w:smallCaps/>
        </w:rPr>
        <w:instrText xml:space="preserve"> PAGEREF z_RationalistesHardiesses_o1 \h </w:instrText>
      </w:r>
      <w:r w:rsidR="003A700C">
        <w:fldChar w:fldCharType="separate"/>
      </w:r>
      <w:r w:rsidR="009D58B1">
        <w:rPr>
          <w:smallCaps/>
          <w:noProof/>
        </w:rPr>
        <w:t>7</w:t>
      </w:r>
      <w:r w:rsidR="003A700C">
        <w:fldChar w:fldCharType="end"/>
      </w:r>
      <w:r w:rsidR="0031378E">
        <w:t xml:space="preserve">, </w:t>
      </w:r>
      <w:r w:rsidR="003A700C">
        <w:fldChar w:fldCharType="begin"/>
      </w:r>
      <w:r w:rsidR="00D36EFD">
        <w:instrText xml:space="preserve"> PAGEREF z_RationalistesHardiesses_o2 \h </w:instrText>
      </w:r>
      <w:r w:rsidR="003A700C">
        <w:fldChar w:fldCharType="separate"/>
      </w:r>
      <w:r w:rsidR="009D58B1">
        <w:rPr>
          <w:noProof/>
        </w:rPr>
        <w:t>7</w:t>
      </w:r>
      <w:r w:rsidR="003A700C">
        <w:fldChar w:fldCharType="end"/>
      </w:r>
      <w:r w:rsidR="0031378E">
        <w:t xml:space="preserve">, </w:t>
      </w:r>
      <w:r w:rsidR="003A700C">
        <w:fldChar w:fldCharType="begin"/>
      </w:r>
      <w:r w:rsidR="00D36EFD">
        <w:instrText xml:space="preserve"> PAGEREF z_RationalistesHardiesses_o3 \h </w:instrText>
      </w:r>
      <w:r w:rsidR="003A700C">
        <w:fldChar w:fldCharType="separate"/>
      </w:r>
      <w:r w:rsidR="009D58B1">
        <w:rPr>
          <w:noProof/>
        </w:rPr>
        <w:t>10</w:t>
      </w:r>
      <w:r w:rsidR="003A700C">
        <w:fldChar w:fldCharType="end"/>
      </w:r>
      <w:r w:rsidR="0031378E">
        <w:t xml:space="preserve">, </w:t>
      </w:r>
      <w:r w:rsidR="003A700C">
        <w:fldChar w:fldCharType="begin"/>
      </w:r>
      <w:r w:rsidR="00D36EFD">
        <w:instrText xml:space="preserve"> PAGEREF z_RationalistesHardiesses_o4 \h </w:instrText>
      </w:r>
      <w:r w:rsidR="003A700C">
        <w:fldChar w:fldCharType="separate"/>
      </w:r>
      <w:r w:rsidR="009D58B1">
        <w:rPr>
          <w:noProof/>
        </w:rPr>
        <w:t>18</w:t>
      </w:r>
      <w:r w:rsidR="003A700C">
        <w:fldChar w:fldCharType="end"/>
      </w:r>
      <w:r w:rsidR="0031378E">
        <w:t xml:space="preserve">, </w:t>
      </w:r>
      <w:r w:rsidR="003A700C">
        <w:fldChar w:fldCharType="begin"/>
      </w:r>
      <w:r w:rsidR="00094CCA">
        <w:instrText xml:space="preserve"> PAGEREF z_RationalistesHardiesses_o5 \h </w:instrText>
      </w:r>
      <w:r w:rsidR="003A700C">
        <w:fldChar w:fldCharType="separate"/>
      </w:r>
      <w:r w:rsidR="009D58B1">
        <w:rPr>
          <w:noProof/>
        </w:rPr>
        <w:t>29</w:t>
      </w:r>
      <w:r w:rsidR="003A700C">
        <w:fldChar w:fldCharType="end"/>
      </w:r>
      <w:r w:rsidR="0031378E">
        <w:t xml:space="preserve">, </w:t>
      </w:r>
      <w:r w:rsidR="003A700C">
        <w:fldChar w:fldCharType="begin"/>
      </w:r>
      <w:r w:rsidR="00094CCA">
        <w:instrText xml:space="preserve"> PAGEREF z_RationalistesHardiesses_o6 \h </w:instrText>
      </w:r>
      <w:r w:rsidR="003A700C">
        <w:fldChar w:fldCharType="separate"/>
      </w:r>
      <w:r w:rsidR="009D58B1">
        <w:rPr>
          <w:noProof/>
        </w:rPr>
        <w:t>53</w:t>
      </w:r>
      <w:r w:rsidR="003A700C">
        <w:fldChar w:fldCharType="end"/>
      </w:r>
      <w:r w:rsidR="0031378E">
        <w:t>-</w:t>
      </w:r>
      <w:r w:rsidR="003A700C">
        <w:fldChar w:fldCharType="begin"/>
      </w:r>
      <w:r w:rsidR="00094CCA">
        <w:instrText xml:space="preserve"> PAGEREF z_RationalistesHardiesses_o7 \h </w:instrText>
      </w:r>
      <w:r w:rsidR="003A700C">
        <w:fldChar w:fldCharType="separate"/>
      </w:r>
      <w:r w:rsidR="009D58B1">
        <w:rPr>
          <w:noProof/>
        </w:rPr>
        <w:t>55</w:t>
      </w:r>
      <w:r w:rsidR="003A700C">
        <w:fldChar w:fldCharType="end"/>
      </w:r>
      <w:r w:rsidR="0031378E">
        <w:t xml:space="preserve">, </w:t>
      </w:r>
      <w:r w:rsidR="003A700C">
        <w:fldChar w:fldCharType="begin"/>
      </w:r>
      <w:r w:rsidR="00094CCA">
        <w:instrText xml:space="preserve"> PAGEREF z_RationalistesHardiesses_o8 \h </w:instrText>
      </w:r>
      <w:r w:rsidR="003A700C">
        <w:fldChar w:fldCharType="separate"/>
      </w:r>
      <w:r w:rsidR="009D58B1">
        <w:rPr>
          <w:noProof/>
        </w:rPr>
        <w:t>62</w:t>
      </w:r>
      <w:r w:rsidR="003A700C">
        <w:fldChar w:fldCharType="end"/>
      </w:r>
      <w:r>
        <w:t>[</w:t>
      </w:r>
      <w:r>
        <w:rPr>
          <w:smallCaps/>
        </w:rPr>
        <w:t>9, 10, 17, 39, 68, 133-137, 156] ;</w:t>
      </w:r>
      <w:r>
        <w:t xml:space="preserve"> faiblesse de leurs objections contre l’oracle de </w:t>
      </w:r>
      <w:r w:rsidRPr="00D40830">
        <w:t>l’</w:t>
      </w:r>
      <w:r w:rsidRPr="00D05EA9">
        <w:rPr>
          <w:rStyle w:val="italicus"/>
        </w:rPr>
        <w:t>῾almah</w:t>
      </w:r>
      <w:r>
        <w:rPr>
          <w:rStyle w:val="italicus"/>
        </w:rPr>
        <w:t xml:space="preserve">, </w:t>
      </w:r>
      <w:r>
        <w:t>p.</w:t>
      </w:r>
      <w:r>
        <w:rPr>
          <w:smallCaps/>
        </w:rPr>
        <w:t xml:space="preserve"> </w:t>
      </w:r>
      <w:r w:rsidR="003A700C">
        <w:fldChar w:fldCharType="begin"/>
      </w:r>
      <w:r w:rsidR="00094CCA">
        <w:rPr>
          <w:smallCaps/>
        </w:rPr>
        <w:instrText xml:space="preserve"> PAGEREF z_RationalistesFaiblesse_o1 \h </w:instrText>
      </w:r>
      <w:r w:rsidR="003A700C">
        <w:fldChar w:fldCharType="separate"/>
      </w:r>
      <w:r w:rsidR="009D58B1">
        <w:rPr>
          <w:smallCaps/>
          <w:noProof/>
        </w:rPr>
        <w:t>11</w:t>
      </w:r>
      <w:r w:rsidR="003A700C">
        <w:fldChar w:fldCharType="end"/>
      </w:r>
      <w:r w:rsidR="0031378E">
        <w:t>-</w:t>
      </w:r>
      <w:r w:rsidR="003A700C">
        <w:fldChar w:fldCharType="begin"/>
      </w:r>
      <w:r w:rsidR="00094CCA">
        <w:instrText xml:space="preserve"> PAGEREF z_RationalistesFaiblesse_o2 \h </w:instrText>
      </w:r>
      <w:r w:rsidR="003A700C">
        <w:fldChar w:fldCharType="separate"/>
      </w:r>
      <w:r w:rsidR="009D58B1">
        <w:rPr>
          <w:noProof/>
        </w:rPr>
        <w:t>11</w:t>
      </w:r>
      <w:r w:rsidR="003A700C">
        <w:fldChar w:fldCharType="end"/>
      </w:r>
      <w:r w:rsidR="0031378E">
        <w:t xml:space="preserve">, </w:t>
      </w:r>
      <w:r w:rsidR="003A700C">
        <w:fldChar w:fldCharType="begin"/>
      </w:r>
      <w:r w:rsidR="00094CCA">
        <w:instrText xml:space="preserve"> PAGEREF z_RationalistesFaiblesse_o3 \h </w:instrText>
      </w:r>
      <w:r w:rsidR="003A700C">
        <w:fldChar w:fldCharType="separate"/>
      </w:r>
      <w:r w:rsidR="009D58B1">
        <w:rPr>
          <w:noProof/>
        </w:rPr>
        <w:t>15</w:t>
      </w:r>
      <w:r w:rsidR="003A700C">
        <w:fldChar w:fldCharType="end"/>
      </w:r>
      <w:r w:rsidR="0031378E">
        <w:t xml:space="preserve">, </w:t>
      </w:r>
      <w:r w:rsidR="003A700C">
        <w:fldChar w:fldCharType="begin"/>
      </w:r>
      <w:r w:rsidR="00094CCA">
        <w:instrText xml:space="preserve"> PAGEREF z_RationalistesFaiblesse_o4 \h </w:instrText>
      </w:r>
      <w:r w:rsidR="003A700C">
        <w:fldChar w:fldCharType="separate"/>
      </w:r>
      <w:r w:rsidR="009D58B1">
        <w:rPr>
          <w:noProof/>
        </w:rPr>
        <w:t>15</w:t>
      </w:r>
      <w:r w:rsidR="003A700C">
        <w:fldChar w:fldCharType="end"/>
      </w:r>
      <w:r w:rsidR="0031378E">
        <w:t xml:space="preserve">, </w:t>
      </w:r>
      <w:r w:rsidR="003A700C">
        <w:fldChar w:fldCharType="begin"/>
      </w:r>
      <w:r w:rsidR="00094CCA">
        <w:instrText xml:space="preserve"> PAGEREF z_RationalistesFaiblesse_o5 \h </w:instrText>
      </w:r>
      <w:r w:rsidR="003A700C">
        <w:fldChar w:fldCharType="separate"/>
      </w:r>
      <w:r w:rsidR="009D58B1">
        <w:rPr>
          <w:noProof/>
        </w:rPr>
        <w:t>19</w:t>
      </w:r>
      <w:r w:rsidR="003A700C">
        <w:fldChar w:fldCharType="end"/>
      </w:r>
      <w:r w:rsidR="00094CCA">
        <w:t>-</w:t>
      </w:r>
      <w:r w:rsidR="003A700C">
        <w:fldChar w:fldCharType="begin"/>
      </w:r>
      <w:r w:rsidR="00094CCA">
        <w:instrText xml:space="preserve"> PAGEREF z_RationalistesFaiblesse_o6 \h </w:instrText>
      </w:r>
      <w:r w:rsidR="003A700C">
        <w:fldChar w:fldCharType="separate"/>
      </w:r>
      <w:r w:rsidR="009D58B1">
        <w:rPr>
          <w:noProof/>
        </w:rPr>
        <w:t>22</w:t>
      </w:r>
      <w:r w:rsidR="003A700C">
        <w:fldChar w:fldCharType="end"/>
      </w:r>
      <w:r w:rsidR="00094CCA">
        <w:t xml:space="preserve"> </w:t>
      </w:r>
      <w:r>
        <w:t>[</w:t>
      </w:r>
      <w:r>
        <w:rPr>
          <w:smallCaps/>
        </w:rPr>
        <w:t xml:space="preserve">20-21, 29, 30, 43-49], </w:t>
      </w:r>
      <w:r>
        <w:t xml:space="preserve">et contre l’agonie de Notre Seigneur Jésus-Christ à Gethsémani, p. </w:t>
      </w:r>
      <w:r w:rsidR="003A700C">
        <w:fldChar w:fldCharType="begin"/>
      </w:r>
      <w:r w:rsidR="00094CCA">
        <w:instrText xml:space="preserve"> PAGEREF z_RationalistesAgonie_o1 \h </w:instrText>
      </w:r>
      <w:r w:rsidR="003A700C">
        <w:fldChar w:fldCharType="separate"/>
      </w:r>
      <w:r w:rsidR="009D58B1">
        <w:rPr>
          <w:noProof/>
        </w:rPr>
        <w:t>43</w:t>
      </w:r>
      <w:r w:rsidR="003A700C">
        <w:fldChar w:fldCharType="end"/>
      </w:r>
      <w:r w:rsidR="00094CCA">
        <w:t>-</w:t>
      </w:r>
      <w:r w:rsidR="003A700C">
        <w:fldChar w:fldCharType="begin"/>
      </w:r>
      <w:r w:rsidR="00094CCA">
        <w:instrText xml:space="preserve"> PAGEREF z_RationalistesAgonie_o2 \h </w:instrText>
      </w:r>
      <w:r w:rsidR="003A700C">
        <w:fldChar w:fldCharType="separate"/>
      </w:r>
      <w:r w:rsidR="009D58B1">
        <w:rPr>
          <w:noProof/>
        </w:rPr>
        <w:t>46</w:t>
      </w:r>
      <w:r w:rsidR="003A700C">
        <w:fldChar w:fldCharType="end"/>
      </w:r>
      <w:r w:rsidR="0031378E">
        <w:t>[106-112]</w:t>
      </w:r>
      <w:r>
        <w:t xml:space="preserve">. </w:t>
      </w:r>
    </w:p>
    <w:p w:rsidR="00317656" w:rsidRDefault="00317656" w:rsidP="00317656">
      <w:r w:rsidRPr="000A34B5">
        <w:rPr>
          <w:rStyle w:val="italicus"/>
        </w:rPr>
        <w:t>Rebb</w:t>
      </w:r>
      <w:r>
        <w:rPr>
          <w:rStyle w:val="italicus"/>
        </w:rPr>
        <w:t xml:space="preserve">, </w:t>
      </w:r>
      <w:r>
        <w:t xml:space="preserve">titre honorifique chez les Juifs, p. </w:t>
      </w:r>
      <w:r w:rsidR="003A700C">
        <w:fldChar w:fldCharType="begin"/>
      </w:r>
      <w:r w:rsidR="00094CCA">
        <w:instrText xml:space="preserve"> PAGEREF z_Rebb_o1 \h </w:instrText>
      </w:r>
      <w:r w:rsidR="003A700C">
        <w:fldChar w:fldCharType="separate"/>
      </w:r>
      <w:r w:rsidR="009D58B1">
        <w:rPr>
          <w:noProof/>
        </w:rPr>
        <w:t>116</w:t>
      </w:r>
      <w:r w:rsidR="003A700C">
        <w:fldChar w:fldCharType="end"/>
      </w:r>
      <w:r w:rsidR="00860A96">
        <w:t>[298]</w:t>
      </w:r>
      <w:r>
        <w:t xml:space="preserve">. </w:t>
      </w:r>
    </w:p>
    <w:p w:rsidR="00317656" w:rsidRDefault="00317656" w:rsidP="00317656">
      <w:r>
        <w:t xml:space="preserve">Réclames étranges des artisans juifs, p. </w:t>
      </w:r>
      <w:r w:rsidR="003A700C">
        <w:fldChar w:fldCharType="begin"/>
      </w:r>
      <w:r w:rsidR="00094CCA">
        <w:instrText xml:space="preserve"> PAGEREF z_Reclames_o1 \h </w:instrText>
      </w:r>
      <w:r w:rsidR="003A700C">
        <w:fldChar w:fldCharType="separate"/>
      </w:r>
      <w:r w:rsidR="009D58B1">
        <w:rPr>
          <w:noProof/>
        </w:rPr>
        <w:t>102</w:t>
      </w:r>
      <w:r w:rsidR="003A700C">
        <w:fldChar w:fldCharType="end"/>
      </w:r>
      <w:r w:rsidR="00094CCA">
        <w:t xml:space="preserve"> </w:t>
      </w:r>
      <w:r w:rsidR="00860A96">
        <w:t>[262]</w:t>
      </w:r>
      <w:r>
        <w:t xml:space="preserve">. </w:t>
      </w:r>
    </w:p>
    <w:p w:rsidR="00317656" w:rsidRDefault="00317656" w:rsidP="00317656">
      <w:r>
        <w:rPr>
          <w:smallCaps/>
        </w:rPr>
        <w:t>Reuss</w:t>
      </w:r>
      <w:r w:rsidRPr="004440EA">
        <w:t xml:space="preserve"> (</w:t>
      </w:r>
      <w:r>
        <w:t>M.</w:t>
      </w:r>
      <w:r w:rsidRPr="00950016">
        <w:t xml:space="preserve">) </w:t>
      </w:r>
      <w:r>
        <w:t>et la prophétie de</w:t>
      </w:r>
      <w:r w:rsidRPr="000A34B5">
        <w:rPr>
          <w:rStyle w:val="italicus"/>
        </w:rPr>
        <w:t xml:space="preserve"> </w:t>
      </w:r>
      <w:r w:rsidRPr="00D40830">
        <w:t>l’</w:t>
      </w:r>
      <w:r w:rsidRPr="00D05EA9">
        <w:rPr>
          <w:rStyle w:val="italicus"/>
        </w:rPr>
        <w:t>῾almah</w:t>
      </w:r>
      <w:r>
        <w:rPr>
          <w:rStyle w:val="italicus"/>
        </w:rPr>
        <w:t xml:space="preserve">, </w:t>
      </w:r>
      <w:r>
        <w:t xml:space="preserve">p. </w:t>
      </w:r>
      <w:r w:rsidR="003A700C">
        <w:fldChar w:fldCharType="begin"/>
      </w:r>
      <w:r w:rsidR="00094CCA">
        <w:instrText xml:space="preserve"> PAGEREF z_Reuss_o1 \h </w:instrText>
      </w:r>
      <w:r w:rsidR="003A700C">
        <w:fldChar w:fldCharType="separate"/>
      </w:r>
      <w:r w:rsidR="009D58B1">
        <w:rPr>
          <w:noProof/>
        </w:rPr>
        <w:t>6</w:t>
      </w:r>
      <w:r w:rsidR="003A700C">
        <w:fldChar w:fldCharType="end"/>
      </w:r>
      <w:r w:rsidR="0031378E">
        <w:t>-</w:t>
      </w:r>
      <w:r w:rsidR="003A700C">
        <w:fldChar w:fldCharType="begin"/>
      </w:r>
      <w:r w:rsidR="00094CCA">
        <w:instrText xml:space="preserve"> PAGEREF z_Reuss_o2 \h </w:instrText>
      </w:r>
      <w:r w:rsidR="003A700C">
        <w:fldChar w:fldCharType="separate"/>
      </w:r>
      <w:r w:rsidR="009D58B1">
        <w:rPr>
          <w:noProof/>
        </w:rPr>
        <w:t>8</w:t>
      </w:r>
      <w:r w:rsidR="003A700C">
        <w:fldChar w:fldCharType="end"/>
      </w:r>
      <w:r w:rsidR="0031378E">
        <w:t xml:space="preserve">, </w:t>
      </w:r>
      <w:r w:rsidR="003A700C">
        <w:fldChar w:fldCharType="begin"/>
      </w:r>
      <w:r w:rsidR="00094CCA">
        <w:instrText xml:space="preserve"> PAGEREF z_Reuss_o3 \h </w:instrText>
      </w:r>
      <w:r w:rsidR="003A700C">
        <w:fldChar w:fldCharType="separate"/>
      </w:r>
      <w:r w:rsidR="009D58B1">
        <w:rPr>
          <w:noProof/>
        </w:rPr>
        <w:t>8</w:t>
      </w:r>
      <w:r w:rsidR="003A700C">
        <w:fldChar w:fldCharType="end"/>
      </w:r>
      <w:r w:rsidR="0031378E">
        <w:t xml:space="preserve">, </w:t>
      </w:r>
      <w:r w:rsidR="003A700C">
        <w:fldChar w:fldCharType="begin"/>
      </w:r>
      <w:r w:rsidR="00094CCA">
        <w:instrText xml:space="preserve"> PAGEREF z_Reuss_o4 \h </w:instrText>
      </w:r>
      <w:r w:rsidR="003A700C">
        <w:fldChar w:fldCharType="separate"/>
      </w:r>
      <w:r w:rsidR="009D58B1">
        <w:rPr>
          <w:noProof/>
        </w:rPr>
        <w:t>10</w:t>
      </w:r>
      <w:r w:rsidR="003A700C">
        <w:fldChar w:fldCharType="end"/>
      </w:r>
      <w:r w:rsidR="0031378E">
        <w:t xml:space="preserve">, </w:t>
      </w:r>
      <w:r w:rsidR="003A700C">
        <w:fldChar w:fldCharType="begin"/>
      </w:r>
      <w:r w:rsidR="00094CCA">
        <w:instrText xml:space="preserve"> PAGEREF z_Reuss_o5 \h </w:instrText>
      </w:r>
      <w:r w:rsidR="003A700C">
        <w:fldChar w:fldCharType="separate"/>
      </w:r>
      <w:r w:rsidR="009D58B1">
        <w:rPr>
          <w:noProof/>
        </w:rPr>
        <w:t>15</w:t>
      </w:r>
      <w:r w:rsidR="003A700C">
        <w:fldChar w:fldCharType="end"/>
      </w:r>
      <w:r w:rsidR="0031378E">
        <w:t xml:space="preserve">, </w:t>
      </w:r>
      <w:r w:rsidR="003A700C">
        <w:fldChar w:fldCharType="begin"/>
      </w:r>
      <w:r w:rsidR="00094CCA">
        <w:instrText xml:space="preserve"> PAGEREF z_Reuss_o6 \h </w:instrText>
      </w:r>
      <w:r w:rsidR="003A700C">
        <w:fldChar w:fldCharType="separate"/>
      </w:r>
      <w:r w:rsidR="009D58B1">
        <w:rPr>
          <w:noProof/>
        </w:rPr>
        <w:t>16</w:t>
      </w:r>
      <w:r w:rsidR="003A700C">
        <w:fldChar w:fldCharType="end"/>
      </w:r>
      <w:r w:rsidR="0031378E">
        <w:t xml:space="preserve">, </w:t>
      </w:r>
      <w:r w:rsidR="003A700C">
        <w:fldChar w:fldCharType="begin"/>
      </w:r>
      <w:r w:rsidR="00094CCA">
        <w:instrText xml:space="preserve"> PAGEREF z_Reuss_o7 \h </w:instrText>
      </w:r>
      <w:r w:rsidR="003A700C">
        <w:fldChar w:fldCharType="separate"/>
      </w:r>
      <w:r w:rsidR="009D58B1">
        <w:rPr>
          <w:noProof/>
        </w:rPr>
        <w:t>24</w:t>
      </w:r>
      <w:r w:rsidR="003A700C">
        <w:fldChar w:fldCharType="end"/>
      </w:r>
      <w:r w:rsidR="0031378E">
        <w:t xml:space="preserve">, </w:t>
      </w:r>
      <w:r w:rsidR="003A700C">
        <w:fldChar w:fldCharType="begin"/>
      </w:r>
      <w:r w:rsidR="00094CCA">
        <w:instrText xml:space="preserve"> PAGEREF z_Reuss_o8 \h </w:instrText>
      </w:r>
      <w:r w:rsidR="003A700C">
        <w:fldChar w:fldCharType="separate"/>
      </w:r>
      <w:r w:rsidR="009D58B1">
        <w:rPr>
          <w:noProof/>
        </w:rPr>
        <w:t>33</w:t>
      </w:r>
      <w:r w:rsidR="003A700C">
        <w:fldChar w:fldCharType="end"/>
      </w:r>
      <w:r>
        <w:t>[7-10, 12, 16, 30, 33, 55, 79</w:t>
      </w:r>
      <w:r>
        <w:rPr>
          <w:smallCaps/>
        </w:rPr>
        <w:t>]</w:t>
      </w:r>
      <w:r>
        <w:t xml:space="preserve"> ; — et le canon du Nouveau Testament, p. </w:t>
      </w:r>
      <w:r w:rsidR="003A700C">
        <w:fldChar w:fldCharType="begin"/>
      </w:r>
      <w:r w:rsidR="00094CCA">
        <w:instrText xml:space="preserve"> PAGEREF z_Reuss_o9 \h </w:instrText>
      </w:r>
      <w:r w:rsidR="003A700C">
        <w:fldChar w:fldCharType="separate"/>
      </w:r>
      <w:r w:rsidR="009D58B1">
        <w:rPr>
          <w:noProof/>
        </w:rPr>
        <w:t>58</w:t>
      </w:r>
      <w:r w:rsidR="003A700C">
        <w:fldChar w:fldCharType="end"/>
      </w:r>
      <w:r w:rsidR="00860A96">
        <w:t>[147]</w:t>
      </w:r>
      <w:r>
        <w:t xml:space="preserve"> et suiv. </w:t>
      </w:r>
    </w:p>
    <w:p w:rsidR="00317656" w:rsidRDefault="00317656" w:rsidP="00317656">
      <w:r>
        <w:t xml:space="preserve">Révision du Nouveau Testament de l’église anglicane, p. </w:t>
      </w:r>
      <w:r w:rsidR="003A700C">
        <w:fldChar w:fldCharType="begin"/>
      </w:r>
      <w:r w:rsidR="00094CCA">
        <w:instrText xml:space="preserve"> PAGEREF z_Revision_o1 \h </w:instrText>
      </w:r>
      <w:r w:rsidR="003A700C">
        <w:fldChar w:fldCharType="separate"/>
      </w:r>
      <w:r w:rsidR="009D58B1">
        <w:rPr>
          <w:noProof/>
        </w:rPr>
        <w:t>71</w:t>
      </w:r>
      <w:r w:rsidR="003A700C">
        <w:fldChar w:fldCharType="end"/>
      </w:r>
      <w:r w:rsidR="00860A96">
        <w:t>[177]</w:t>
      </w:r>
      <w:r>
        <w:t xml:space="preserve"> et suiv. ; ce qui se passa avant la révision, p. </w:t>
      </w:r>
      <w:r w:rsidR="003A700C">
        <w:fldChar w:fldCharType="begin"/>
      </w:r>
      <w:r w:rsidR="00094CCA">
        <w:instrText xml:space="preserve"> PAGEREF z_Revision_o2 \h </w:instrText>
      </w:r>
      <w:r w:rsidR="003A700C">
        <w:fldChar w:fldCharType="separate"/>
      </w:r>
      <w:r w:rsidR="009D58B1">
        <w:rPr>
          <w:noProof/>
        </w:rPr>
        <w:t>72</w:t>
      </w:r>
      <w:r w:rsidR="003A700C">
        <w:fldChar w:fldCharType="end"/>
      </w:r>
      <w:r w:rsidR="0031378E">
        <w:t>-</w:t>
      </w:r>
      <w:r w:rsidR="003A700C">
        <w:fldChar w:fldCharType="begin"/>
      </w:r>
      <w:r w:rsidR="00094CCA">
        <w:instrText xml:space="preserve"> PAGEREF z_Revision_o3 \h </w:instrText>
      </w:r>
      <w:r w:rsidR="003A700C">
        <w:fldChar w:fldCharType="separate"/>
      </w:r>
      <w:r w:rsidR="009D58B1">
        <w:rPr>
          <w:noProof/>
        </w:rPr>
        <w:t>75</w:t>
      </w:r>
      <w:r w:rsidR="003A700C">
        <w:fldChar w:fldCharType="end"/>
      </w:r>
      <w:r w:rsidR="0031378E">
        <w:t>[181-188]</w:t>
      </w:r>
      <w:r>
        <w:t xml:space="preserve">, pendant la révision, p. </w:t>
      </w:r>
      <w:r w:rsidR="003A700C">
        <w:fldChar w:fldCharType="begin"/>
      </w:r>
      <w:r w:rsidR="00CB72A1">
        <w:instrText xml:space="preserve"> PAGEREF z_Revision_o4 \h </w:instrText>
      </w:r>
      <w:r w:rsidR="003A700C">
        <w:fldChar w:fldCharType="separate"/>
      </w:r>
      <w:r w:rsidR="009D58B1">
        <w:rPr>
          <w:noProof/>
        </w:rPr>
        <w:t>75</w:t>
      </w:r>
      <w:r w:rsidR="003A700C">
        <w:fldChar w:fldCharType="end"/>
      </w:r>
      <w:r w:rsidR="0031378E">
        <w:t>-</w:t>
      </w:r>
      <w:r w:rsidR="003A700C">
        <w:fldChar w:fldCharType="begin"/>
      </w:r>
      <w:r w:rsidR="00CB72A1">
        <w:instrText xml:space="preserve"> PAGEREF z_Revision_o5 \h </w:instrText>
      </w:r>
      <w:r w:rsidR="003A700C">
        <w:fldChar w:fldCharType="separate"/>
      </w:r>
      <w:r w:rsidR="009D58B1">
        <w:rPr>
          <w:noProof/>
        </w:rPr>
        <w:t>78</w:t>
      </w:r>
      <w:r w:rsidR="003A700C">
        <w:fldChar w:fldCharType="end"/>
      </w:r>
      <w:r w:rsidR="0031378E">
        <w:t>[188-195]</w:t>
      </w:r>
      <w:r>
        <w:t xml:space="preserve">, après la révision, p. </w:t>
      </w:r>
      <w:r w:rsidR="003A700C">
        <w:fldChar w:fldCharType="begin"/>
      </w:r>
      <w:r w:rsidR="00CB72A1">
        <w:instrText xml:space="preserve"> PAGEREF z_Revision_o6 \h </w:instrText>
      </w:r>
      <w:r w:rsidR="003A700C">
        <w:fldChar w:fldCharType="separate"/>
      </w:r>
      <w:r w:rsidR="009D58B1">
        <w:rPr>
          <w:noProof/>
        </w:rPr>
        <w:t>78</w:t>
      </w:r>
      <w:r w:rsidR="003A700C">
        <w:fldChar w:fldCharType="end"/>
      </w:r>
      <w:r w:rsidR="0031378E">
        <w:t>-</w:t>
      </w:r>
      <w:r w:rsidR="003A700C">
        <w:fldChar w:fldCharType="begin"/>
      </w:r>
      <w:r w:rsidR="00CB72A1">
        <w:instrText xml:space="preserve"> PAGEREF z_Revision_o7 \h </w:instrText>
      </w:r>
      <w:r w:rsidR="003A700C">
        <w:fldChar w:fldCharType="separate"/>
      </w:r>
      <w:r w:rsidR="009D58B1">
        <w:rPr>
          <w:noProof/>
        </w:rPr>
        <w:t>80</w:t>
      </w:r>
      <w:r w:rsidR="003A700C">
        <w:fldChar w:fldCharType="end"/>
      </w:r>
      <w:r w:rsidR="0031378E">
        <w:t>[196-202]</w:t>
      </w:r>
      <w:r>
        <w:t xml:space="preserve">. </w:t>
      </w:r>
    </w:p>
    <w:p w:rsidR="00317656" w:rsidRDefault="00317656" w:rsidP="00317656">
      <w:r>
        <w:rPr>
          <w:smallCaps/>
        </w:rPr>
        <w:t>Romélie</w:t>
      </w:r>
      <w:r>
        <w:t xml:space="preserve">, p. </w:t>
      </w:r>
      <w:r w:rsidR="003A700C">
        <w:fldChar w:fldCharType="begin"/>
      </w:r>
      <w:r w:rsidR="00CB72A1">
        <w:instrText xml:space="preserve"> PAGEREF z_Romelie_o1 \h </w:instrText>
      </w:r>
      <w:r w:rsidR="003A700C">
        <w:fldChar w:fldCharType="separate"/>
      </w:r>
      <w:r w:rsidR="009D58B1">
        <w:rPr>
          <w:noProof/>
        </w:rPr>
        <w:t>6</w:t>
      </w:r>
      <w:r w:rsidR="003A700C">
        <w:fldChar w:fldCharType="end"/>
      </w:r>
      <w:r w:rsidR="00860A96">
        <w:t>[6]</w:t>
      </w:r>
      <w:r>
        <w:t xml:space="preserve">. </w:t>
      </w:r>
    </w:p>
    <w:p w:rsidR="00317656" w:rsidRDefault="00317656" w:rsidP="00317656"/>
    <w:p w:rsidR="00317656" w:rsidRDefault="00317656" w:rsidP="00317656">
      <w:r w:rsidRPr="000A34B5">
        <w:rPr>
          <w:rStyle w:val="italicus"/>
        </w:rPr>
        <w:t>Saltus D</w:t>
      </w:r>
      <w:r>
        <w:rPr>
          <w:rStyle w:val="italicus"/>
        </w:rPr>
        <w:t>ó</w:t>
      </w:r>
      <w:r w:rsidRPr="000A34B5">
        <w:rPr>
          <w:rStyle w:val="italicus"/>
        </w:rPr>
        <w:t>mini</w:t>
      </w:r>
      <w:r w:rsidRPr="004440EA">
        <w:t xml:space="preserve"> (</w:t>
      </w:r>
      <w:r>
        <w:t>Le</w:t>
      </w:r>
      <w:r w:rsidRPr="00950016">
        <w:t xml:space="preserve">) </w:t>
      </w:r>
      <w:r>
        <w:t xml:space="preserve">à Nazareth, p. </w:t>
      </w:r>
      <w:r w:rsidR="003A700C">
        <w:fldChar w:fldCharType="begin"/>
      </w:r>
      <w:r w:rsidR="00CB72A1">
        <w:instrText xml:space="preserve"> PAGEREF z_SaltusDomini_o1 \h </w:instrText>
      </w:r>
      <w:r w:rsidR="003A700C">
        <w:fldChar w:fldCharType="separate"/>
      </w:r>
      <w:r w:rsidR="009D58B1">
        <w:rPr>
          <w:noProof/>
        </w:rPr>
        <w:t>91</w:t>
      </w:r>
      <w:r w:rsidR="003A700C">
        <w:fldChar w:fldCharType="end"/>
      </w:r>
      <w:r w:rsidR="00860A96">
        <w:t>[231]</w:t>
      </w:r>
      <w:r>
        <w:t xml:space="preserve"> et suiv. </w:t>
      </w:r>
    </w:p>
    <w:p w:rsidR="00317656" w:rsidRDefault="00317656" w:rsidP="00317656">
      <w:r>
        <w:rPr>
          <w:smallCaps/>
        </w:rPr>
        <w:t>Samarie</w:t>
      </w:r>
      <w:r>
        <w:t xml:space="preserve">, capitale du royaume d’Israël, p. </w:t>
      </w:r>
      <w:r w:rsidR="003A700C">
        <w:fldChar w:fldCharType="begin"/>
      </w:r>
      <w:r w:rsidR="00CB72A1">
        <w:instrText xml:space="preserve"> PAGEREF z_Samarie_o1 \h </w:instrText>
      </w:r>
      <w:r w:rsidR="003A700C">
        <w:fldChar w:fldCharType="separate"/>
      </w:r>
      <w:r w:rsidR="009D58B1">
        <w:rPr>
          <w:noProof/>
        </w:rPr>
        <w:t>7</w:t>
      </w:r>
      <w:r w:rsidR="003A700C">
        <w:fldChar w:fldCharType="end"/>
      </w:r>
      <w:r w:rsidR="00860A96">
        <w:t>[9]</w:t>
      </w:r>
      <w:r>
        <w:t xml:space="preserve"> ; Isaïe prédit exactement l’époque de sa ruine, p. </w:t>
      </w:r>
      <w:r w:rsidR="003A700C">
        <w:fldChar w:fldCharType="begin"/>
      </w:r>
      <w:r w:rsidR="00CB72A1">
        <w:instrText xml:space="preserve"> PAGEREF z_Samarie_o2 \h </w:instrText>
      </w:r>
      <w:r w:rsidR="003A700C">
        <w:fldChar w:fldCharType="separate"/>
      </w:r>
      <w:r w:rsidR="009D58B1">
        <w:rPr>
          <w:noProof/>
        </w:rPr>
        <w:t>7</w:t>
      </w:r>
      <w:r w:rsidR="003A700C">
        <w:fldChar w:fldCharType="end"/>
      </w:r>
      <w:r w:rsidR="00860A96">
        <w:t>[9]</w:t>
      </w:r>
      <w:r>
        <w:t xml:space="preserve"> ; difficultés auxquelles a donné lieu cette prédiction, p. </w:t>
      </w:r>
      <w:r w:rsidR="003A700C">
        <w:fldChar w:fldCharType="begin"/>
      </w:r>
      <w:r w:rsidR="00CB72A1">
        <w:instrText xml:space="preserve"> PAGEREF z_Samarie_o3 \h </w:instrText>
      </w:r>
      <w:r w:rsidR="003A700C">
        <w:fldChar w:fldCharType="separate"/>
      </w:r>
      <w:r w:rsidR="009D58B1">
        <w:rPr>
          <w:noProof/>
        </w:rPr>
        <w:t>7</w:t>
      </w:r>
      <w:r w:rsidR="003A700C">
        <w:fldChar w:fldCharType="end"/>
      </w:r>
      <w:r w:rsidR="0031378E">
        <w:t>-</w:t>
      </w:r>
      <w:r w:rsidR="003A700C">
        <w:fldChar w:fldCharType="begin"/>
      </w:r>
      <w:r w:rsidR="00CB72A1">
        <w:instrText xml:space="preserve"> PAGEREF z_Samarie_o4 \h </w:instrText>
      </w:r>
      <w:r w:rsidR="003A700C">
        <w:fldChar w:fldCharType="separate"/>
      </w:r>
      <w:r w:rsidR="009D58B1">
        <w:rPr>
          <w:noProof/>
        </w:rPr>
        <w:t>9</w:t>
      </w:r>
      <w:r w:rsidR="003A700C">
        <w:fldChar w:fldCharType="end"/>
      </w:r>
      <w:r w:rsidR="0031378E">
        <w:t>[10-14]</w:t>
      </w:r>
      <w:r>
        <w:t xml:space="preserve">. </w:t>
      </w:r>
    </w:p>
    <w:p w:rsidR="00317656" w:rsidRDefault="00317656" w:rsidP="00317656">
      <w:r w:rsidRPr="000A34B5">
        <w:rPr>
          <w:rStyle w:val="italicus"/>
        </w:rPr>
        <w:t>Schear-Iaschoub</w:t>
      </w:r>
      <w:r>
        <w:rPr>
          <w:rStyle w:val="italicus"/>
        </w:rPr>
        <w:t xml:space="preserve">, </w:t>
      </w:r>
      <w:r>
        <w:t xml:space="preserve">premier fils d’Isaïe. Son rôle dans la prophétie de </w:t>
      </w:r>
      <w:r w:rsidRPr="00D40830">
        <w:t>l’</w:t>
      </w:r>
      <w:r w:rsidRPr="00D05EA9">
        <w:rPr>
          <w:rStyle w:val="italicus"/>
        </w:rPr>
        <w:t>῾almah</w:t>
      </w:r>
      <w:r>
        <w:rPr>
          <w:rStyle w:val="italicus"/>
        </w:rPr>
        <w:t xml:space="preserve">, </w:t>
      </w:r>
      <w:r>
        <w:t xml:space="preserve">p. </w:t>
      </w:r>
      <w:r w:rsidR="003A700C">
        <w:fldChar w:fldCharType="begin"/>
      </w:r>
      <w:r w:rsidR="00CB72A1">
        <w:instrText xml:space="preserve"> PAGEREF z_SchearIaschoub_o1 \h </w:instrText>
      </w:r>
      <w:r w:rsidR="003A700C">
        <w:fldChar w:fldCharType="separate"/>
      </w:r>
      <w:r w:rsidR="009D58B1">
        <w:rPr>
          <w:noProof/>
        </w:rPr>
        <w:t>6</w:t>
      </w:r>
      <w:r w:rsidR="003A700C">
        <w:fldChar w:fldCharType="end"/>
      </w:r>
      <w:r w:rsidR="0031378E">
        <w:t>-</w:t>
      </w:r>
      <w:r w:rsidR="003A700C">
        <w:fldChar w:fldCharType="begin"/>
      </w:r>
      <w:r w:rsidR="00CB72A1">
        <w:instrText xml:space="preserve"> PAGEREF z_SchearIaschoub_o2 \h </w:instrText>
      </w:r>
      <w:r w:rsidR="003A700C">
        <w:fldChar w:fldCharType="separate"/>
      </w:r>
      <w:r w:rsidR="009D58B1">
        <w:rPr>
          <w:noProof/>
        </w:rPr>
        <w:t>7</w:t>
      </w:r>
      <w:r w:rsidR="003A700C">
        <w:fldChar w:fldCharType="end"/>
      </w:r>
      <w:r w:rsidR="0031378E">
        <w:t>[6-8]</w:t>
      </w:r>
      <w:r>
        <w:t xml:space="preserve">. </w:t>
      </w:r>
    </w:p>
    <w:p w:rsidR="00317656" w:rsidRDefault="00317656" w:rsidP="00317656">
      <w:r w:rsidRPr="000A34B5">
        <w:rPr>
          <w:rStyle w:val="italicus"/>
        </w:rPr>
        <w:t>Schemang</w:t>
      </w:r>
      <w:r w:rsidRPr="004440EA">
        <w:t xml:space="preserve"> (</w:t>
      </w:r>
      <w:r>
        <w:t>Le</w:t>
      </w:r>
      <w:r w:rsidRPr="00950016">
        <w:t xml:space="preserve">) </w:t>
      </w:r>
      <w:r>
        <w:t xml:space="preserve">chez les Juifs, p. </w:t>
      </w:r>
      <w:r w:rsidR="003A700C">
        <w:fldChar w:fldCharType="begin"/>
      </w:r>
      <w:r w:rsidR="00CB72A1">
        <w:instrText xml:space="preserve"> PAGEREF z_Schemang_o1 \h </w:instrText>
      </w:r>
      <w:r w:rsidR="003A700C">
        <w:fldChar w:fldCharType="separate"/>
      </w:r>
      <w:r w:rsidR="009D58B1">
        <w:rPr>
          <w:noProof/>
        </w:rPr>
        <w:t>106</w:t>
      </w:r>
      <w:r w:rsidR="003A700C">
        <w:fldChar w:fldCharType="end"/>
      </w:r>
      <w:r w:rsidR="00860A96">
        <w:t>[274]</w:t>
      </w:r>
      <w:r>
        <w:t xml:space="preserve">. </w:t>
      </w:r>
    </w:p>
    <w:p w:rsidR="00317656" w:rsidRDefault="00317656" w:rsidP="00317656">
      <w:r>
        <w:t>Septante</w:t>
      </w:r>
      <w:r w:rsidRPr="004440EA">
        <w:t xml:space="preserve"> (</w:t>
      </w:r>
      <w:r>
        <w:t>Les</w:t>
      </w:r>
      <w:r w:rsidRPr="00950016">
        <w:t xml:space="preserve">) </w:t>
      </w:r>
      <w:r>
        <w:t>et les autres traducteurs juifs de la Bible à propos du mot</w:t>
      </w:r>
      <w:r w:rsidRPr="000A34B5">
        <w:rPr>
          <w:rStyle w:val="italicus"/>
        </w:rPr>
        <w:t xml:space="preserve"> </w:t>
      </w:r>
      <w:r w:rsidRPr="00D05EA9">
        <w:rPr>
          <w:rStyle w:val="italicus"/>
        </w:rPr>
        <w:t>῾almah</w:t>
      </w:r>
      <w:r>
        <w:rPr>
          <w:rStyle w:val="italicus"/>
        </w:rPr>
        <w:t xml:space="preserve">, </w:t>
      </w:r>
      <w:r>
        <w:t xml:space="preserve">p. </w:t>
      </w:r>
      <w:r w:rsidR="003A700C">
        <w:fldChar w:fldCharType="begin"/>
      </w:r>
      <w:r w:rsidR="00CB72A1">
        <w:instrText xml:space="preserve"> PAGEREF z_Septante_o1 \h </w:instrText>
      </w:r>
      <w:r w:rsidR="003A700C">
        <w:fldChar w:fldCharType="separate"/>
      </w:r>
      <w:r w:rsidR="009D58B1">
        <w:rPr>
          <w:noProof/>
        </w:rPr>
        <w:t>23</w:t>
      </w:r>
      <w:r w:rsidR="003A700C">
        <w:fldChar w:fldCharType="end"/>
      </w:r>
      <w:r w:rsidR="0031378E">
        <w:t>-</w:t>
      </w:r>
      <w:r w:rsidR="003A700C">
        <w:fldChar w:fldCharType="begin"/>
      </w:r>
      <w:r w:rsidR="00CB72A1">
        <w:instrText xml:space="preserve"> PAGEREF z_Septante_o2 \h </w:instrText>
      </w:r>
      <w:r w:rsidR="003A700C">
        <w:fldChar w:fldCharType="separate"/>
      </w:r>
      <w:r w:rsidR="009D58B1">
        <w:rPr>
          <w:noProof/>
        </w:rPr>
        <w:t>24</w:t>
      </w:r>
      <w:r w:rsidR="003A700C">
        <w:fldChar w:fldCharType="end"/>
      </w:r>
      <w:r w:rsidR="0031378E">
        <w:t>[53-54]</w:t>
      </w:r>
      <w:r>
        <w:t xml:space="preserve">. </w:t>
      </w:r>
    </w:p>
    <w:p w:rsidR="00317656" w:rsidRDefault="00317656" w:rsidP="00317656">
      <w:r>
        <w:t xml:space="preserve">Signe promis par Dieu à Achaz et sa nature, p. </w:t>
      </w:r>
      <w:r w:rsidR="003A700C">
        <w:fldChar w:fldCharType="begin"/>
      </w:r>
      <w:r w:rsidR="00CB72A1">
        <w:instrText xml:space="preserve"> PAGEREF z_Signe_o1 \h </w:instrText>
      </w:r>
      <w:r w:rsidR="003A700C">
        <w:fldChar w:fldCharType="separate"/>
      </w:r>
      <w:r w:rsidR="009D58B1">
        <w:rPr>
          <w:noProof/>
        </w:rPr>
        <w:t>10</w:t>
      </w:r>
      <w:r w:rsidR="003A700C">
        <w:fldChar w:fldCharType="end"/>
      </w:r>
      <w:r w:rsidR="0031378E">
        <w:t xml:space="preserve">, </w:t>
      </w:r>
      <w:r w:rsidR="003A700C">
        <w:fldChar w:fldCharType="begin"/>
      </w:r>
      <w:r w:rsidR="00CB72A1">
        <w:instrText xml:space="preserve"> PAGEREF z_Signe_o2 \h </w:instrText>
      </w:r>
      <w:r w:rsidR="003A700C">
        <w:fldChar w:fldCharType="separate"/>
      </w:r>
      <w:r w:rsidR="009D58B1">
        <w:rPr>
          <w:noProof/>
        </w:rPr>
        <w:t>31</w:t>
      </w:r>
      <w:r w:rsidR="003A700C">
        <w:fldChar w:fldCharType="end"/>
      </w:r>
      <w:r>
        <w:t>[17, 73</w:t>
      </w:r>
      <w:r>
        <w:rPr>
          <w:smallCaps/>
        </w:rPr>
        <w:t>]</w:t>
      </w:r>
      <w:r>
        <w:t xml:space="preserve"> et suiv., </w:t>
      </w:r>
      <w:r w:rsidR="003A700C">
        <w:fldChar w:fldCharType="begin"/>
      </w:r>
      <w:r w:rsidR="00CB72A1">
        <w:instrText xml:space="preserve"> PAGEREF z_Signe_o3 \h </w:instrText>
      </w:r>
      <w:r w:rsidR="003A700C">
        <w:fldChar w:fldCharType="separate"/>
      </w:r>
      <w:r w:rsidR="009D58B1">
        <w:rPr>
          <w:noProof/>
        </w:rPr>
        <w:t>35</w:t>
      </w:r>
      <w:r w:rsidR="003A700C">
        <w:fldChar w:fldCharType="end"/>
      </w:r>
      <w:r w:rsidR="0031378E">
        <w:t>-</w:t>
      </w:r>
      <w:r w:rsidR="003A700C">
        <w:fldChar w:fldCharType="begin"/>
      </w:r>
      <w:r w:rsidR="00CB72A1">
        <w:instrText xml:space="preserve"> PAGEREF z_Signe_o4 \h </w:instrText>
      </w:r>
      <w:r w:rsidR="003A700C">
        <w:fldChar w:fldCharType="separate"/>
      </w:r>
      <w:r w:rsidR="009D58B1">
        <w:rPr>
          <w:noProof/>
        </w:rPr>
        <w:t>35</w:t>
      </w:r>
      <w:r w:rsidR="003A700C">
        <w:fldChar w:fldCharType="end"/>
      </w:r>
      <w:r w:rsidR="0031378E">
        <w:t>[82-83</w:t>
      </w:r>
      <w:r w:rsidR="0031378E">
        <w:rPr>
          <w:smallCaps/>
        </w:rPr>
        <w:t>]</w:t>
      </w:r>
      <w:r>
        <w:t xml:space="preserve"> ; difficulté qui provient de son accomplissement tardif, p. </w:t>
      </w:r>
      <w:r w:rsidR="003A700C">
        <w:fldChar w:fldCharType="begin"/>
      </w:r>
      <w:r w:rsidR="00CB72A1">
        <w:instrText xml:space="preserve"> PAGEREF z_Signe_o5 \h </w:instrText>
      </w:r>
      <w:r w:rsidR="003A700C">
        <w:fldChar w:fldCharType="separate"/>
      </w:r>
      <w:r w:rsidR="009D58B1">
        <w:rPr>
          <w:noProof/>
        </w:rPr>
        <w:t>33</w:t>
      </w:r>
      <w:r w:rsidR="003A700C">
        <w:fldChar w:fldCharType="end"/>
      </w:r>
      <w:r w:rsidR="00860A96">
        <w:t>[78]</w:t>
      </w:r>
      <w:r>
        <w:t xml:space="preserve"> et suiv. </w:t>
      </w:r>
    </w:p>
    <w:p w:rsidR="00317656" w:rsidRDefault="00317656" w:rsidP="00317656">
      <w:r>
        <w:rPr>
          <w:smallCaps/>
        </w:rPr>
        <w:t>Simon</w:t>
      </w:r>
      <w:r w:rsidRPr="004440EA">
        <w:t xml:space="preserve"> (</w:t>
      </w:r>
      <w:r>
        <w:t>Richard</w:t>
      </w:r>
      <w:r w:rsidRPr="00950016">
        <w:t xml:space="preserve">) </w:t>
      </w:r>
      <w:r>
        <w:t xml:space="preserve">et la critique biblique, p. </w:t>
      </w:r>
      <w:r w:rsidR="003A700C">
        <w:fldChar w:fldCharType="begin"/>
      </w:r>
      <w:r w:rsidR="00CB72A1">
        <w:instrText xml:space="preserve"> PAGEREF z_SimonRichard_o1 \h </w:instrText>
      </w:r>
      <w:r w:rsidR="003A700C">
        <w:fldChar w:fldCharType="separate"/>
      </w:r>
      <w:r w:rsidR="009D58B1">
        <w:rPr>
          <w:noProof/>
        </w:rPr>
        <w:t>64</w:t>
      </w:r>
      <w:r w:rsidR="003A700C">
        <w:fldChar w:fldCharType="end"/>
      </w:r>
      <w:r w:rsidR="0031378E">
        <w:t>-</w:t>
      </w:r>
      <w:r w:rsidR="003A700C">
        <w:fldChar w:fldCharType="begin"/>
      </w:r>
      <w:r w:rsidR="00CB72A1">
        <w:instrText xml:space="preserve"> PAGEREF z_SimonRichard_o2 \h </w:instrText>
      </w:r>
      <w:r w:rsidR="003A700C">
        <w:fldChar w:fldCharType="separate"/>
      </w:r>
      <w:r w:rsidR="009D58B1">
        <w:rPr>
          <w:noProof/>
        </w:rPr>
        <w:t>65</w:t>
      </w:r>
      <w:r w:rsidR="003A700C">
        <w:fldChar w:fldCharType="end"/>
      </w:r>
      <w:r w:rsidR="0031378E">
        <w:t>[163-166]</w:t>
      </w:r>
      <w:r>
        <w:t xml:space="preserve">. </w:t>
      </w:r>
    </w:p>
    <w:p w:rsidR="00317656" w:rsidRDefault="00317656" w:rsidP="00317656">
      <w:r>
        <w:rPr>
          <w:smallCaps/>
        </w:rPr>
        <w:t>Soury</w:t>
      </w:r>
      <w:r>
        <w:t>, Jules</w:t>
      </w:r>
      <w:r w:rsidRPr="004440EA">
        <w:t xml:space="preserve"> (</w:t>
      </w:r>
      <w:r>
        <w:t>M.</w:t>
      </w:r>
      <w:r w:rsidRPr="00950016">
        <w:t>)</w:t>
      </w:r>
      <w:r>
        <w:t xml:space="preserve">, appréciant le rôle de l’Église catholique relativement à la Bible, p. </w:t>
      </w:r>
      <w:r w:rsidR="003A700C">
        <w:fldChar w:fldCharType="begin"/>
      </w:r>
      <w:r w:rsidR="00CB72A1">
        <w:instrText xml:space="preserve"> PAGEREF z_SouryJules_o1 \h </w:instrText>
      </w:r>
      <w:r w:rsidR="003A700C">
        <w:fldChar w:fldCharType="separate"/>
      </w:r>
      <w:r w:rsidR="009D58B1">
        <w:rPr>
          <w:noProof/>
        </w:rPr>
        <w:t>64</w:t>
      </w:r>
      <w:r w:rsidR="003A700C">
        <w:fldChar w:fldCharType="end"/>
      </w:r>
      <w:r w:rsidR="00860A96">
        <w:t>[161]</w:t>
      </w:r>
      <w:r>
        <w:t xml:space="preserve"> et suiv. </w:t>
      </w:r>
    </w:p>
    <w:p w:rsidR="00317656" w:rsidRDefault="00317656" w:rsidP="007F47B8">
      <w:r>
        <w:rPr>
          <w:smallCaps/>
        </w:rPr>
        <w:t>Strauss</w:t>
      </w:r>
      <w:r>
        <w:t xml:space="preserve"> et l’oracle de l’</w:t>
      </w:r>
      <w:r w:rsidRPr="00D05EA9">
        <w:rPr>
          <w:rStyle w:val="italicus"/>
        </w:rPr>
        <w:t>῾almah</w:t>
      </w:r>
      <w:r>
        <w:rPr>
          <w:rStyle w:val="italicus"/>
        </w:rPr>
        <w:t xml:space="preserve">, </w:t>
      </w:r>
      <w:r>
        <w:t xml:space="preserve">p. </w:t>
      </w:r>
      <w:r w:rsidR="003A700C">
        <w:fldChar w:fldCharType="begin"/>
      </w:r>
      <w:r w:rsidR="00CB72A1">
        <w:instrText xml:space="preserve"> PAGEREF z_Strauss_o1 \h </w:instrText>
      </w:r>
      <w:r w:rsidR="003A700C">
        <w:fldChar w:fldCharType="separate"/>
      </w:r>
      <w:r w:rsidR="009D58B1">
        <w:rPr>
          <w:noProof/>
        </w:rPr>
        <w:t>18</w:t>
      </w:r>
      <w:r w:rsidR="003A700C">
        <w:fldChar w:fldCharType="end"/>
      </w:r>
      <w:r w:rsidR="0031378E">
        <w:t xml:space="preserve">, </w:t>
      </w:r>
      <w:r w:rsidR="003A700C">
        <w:fldChar w:fldCharType="begin"/>
      </w:r>
      <w:r w:rsidR="00CB72A1">
        <w:instrText xml:space="preserve"> PAGEREF z_Strauss_o2 \h </w:instrText>
      </w:r>
      <w:r w:rsidR="003A700C">
        <w:fldChar w:fldCharType="separate"/>
      </w:r>
      <w:r w:rsidR="009D58B1">
        <w:rPr>
          <w:noProof/>
        </w:rPr>
        <w:t>19</w:t>
      </w:r>
      <w:r w:rsidR="003A700C">
        <w:fldChar w:fldCharType="end"/>
      </w:r>
      <w:r w:rsidR="0031378E">
        <w:t xml:space="preserve">, </w:t>
      </w:r>
      <w:r w:rsidR="003A700C">
        <w:fldChar w:fldCharType="begin"/>
      </w:r>
      <w:r w:rsidR="00515683">
        <w:instrText xml:space="preserve"> PAGEREF z_Strauss_o3 \h </w:instrText>
      </w:r>
      <w:r w:rsidR="003A700C">
        <w:fldChar w:fldCharType="separate"/>
      </w:r>
      <w:r w:rsidR="009D58B1">
        <w:rPr>
          <w:noProof/>
        </w:rPr>
        <w:t>19</w:t>
      </w:r>
      <w:r w:rsidR="003A700C">
        <w:fldChar w:fldCharType="end"/>
      </w:r>
      <w:r w:rsidR="0031378E">
        <w:t xml:space="preserve">, </w:t>
      </w:r>
      <w:r w:rsidR="003A700C">
        <w:fldChar w:fldCharType="begin"/>
      </w:r>
      <w:r w:rsidR="00515683">
        <w:instrText xml:space="preserve"> PAGEREF z_Strauss_o4 \h </w:instrText>
      </w:r>
      <w:r w:rsidR="003A700C">
        <w:fldChar w:fldCharType="separate"/>
      </w:r>
      <w:r w:rsidR="009D58B1">
        <w:rPr>
          <w:noProof/>
        </w:rPr>
        <w:t>33</w:t>
      </w:r>
      <w:r w:rsidR="003A700C">
        <w:fldChar w:fldCharType="end"/>
      </w:r>
      <w:r>
        <w:t xml:space="preserve">[39, 41, 42, 78] ; — et la sueur de sang à Gethsémani, p. </w:t>
      </w:r>
      <w:r w:rsidR="003A700C">
        <w:fldChar w:fldCharType="begin"/>
      </w:r>
      <w:r w:rsidR="00515683">
        <w:instrText xml:space="preserve"> PAGEREF z_Strauss_o5 \h </w:instrText>
      </w:r>
      <w:r w:rsidR="003A700C">
        <w:fldChar w:fldCharType="separate"/>
      </w:r>
      <w:r w:rsidR="009D58B1">
        <w:rPr>
          <w:noProof/>
        </w:rPr>
        <w:t>43</w:t>
      </w:r>
      <w:r w:rsidR="003A700C">
        <w:fldChar w:fldCharType="end"/>
      </w:r>
      <w:r w:rsidR="00515683">
        <w:t xml:space="preserve">, </w:t>
      </w:r>
      <w:r w:rsidR="003A700C">
        <w:fldChar w:fldCharType="begin"/>
      </w:r>
      <w:r w:rsidR="00515683">
        <w:instrText xml:space="preserve"> PAGEREF z_Strauss_o6 \h </w:instrText>
      </w:r>
      <w:r w:rsidR="003A700C">
        <w:fldChar w:fldCharType="separate"/>
      </w:r>
      <w:r w:rsidR="009D58B1">
        <w:rPr>
          <w:noProof/>
        </w:rPr>
        <w:t>44</w:t>
      </w:r>
      <w:r w:rsidR="003A700C">
        <w:fldChar w:fldCharType="end"/>
      </w:r>
      <w:r w:rsidR="0031378E">
        <w:t xml:space="preserve">, </w:t>
      </w:r>
      <w:r w:rsidR="003A700C">
        <w:fldChar w:fldCharType="begin"/>
      </w:r>
      <w:r w:rsidR="00515683">
        <w:instrText xml:space="preserve"> PAGEREF z_Strauss_o7 \h </w:instrText>
      </w:r>
      <w:r w:rsidR="003A700C">
        <w:fldChar w:fldCharType="separate"/>
      </w:r>
      <w:r w:rsidR="009D58B1">
        <w:rPr>
          <w:noProof/>
        </w:rPr>
        <w:t>45</w:t>
      </w:r>
      <w:r w:rsidR="003A700C">
        <w:fldChar w:fldCharType="end"/>
      </w:r>
      <w:r w:rsidR="00515683">
        <w:t xml:space="preserve">, </w:t>
      </w:r>
      <w:r w:rsidR="003A700C">
        <w:fldChar w:fldCharType="begin"/>
      </w:r>
      <w:r w:rsidR="00515683">
        <w:instrText xml:space="preserve"> PAGEREF z_Strauss_o8 \h </w:instrText>
      </w:r>
      <w:r w:rsidR="003A700C">
        <w:fldChar w:fldCharType="separate"/>
      </w:r>
      <w:r w:rsidR="009D58B1">
        <w:rPr>
          <w:noProof/>
        </w:rPr>
        <w:t>48</w:t>
      </w:r>
      <w:r w:rsidR="003A700C">
        <w:fldChar w:fldCharType="end"/>
      </w:r>
      <w:r w:rsidR="0031378E">
        <w:t xml:space="preserve">, </w:t>
      </w:r>
      <w:r w:rsidR="003A700C">
        <w:fldChar w:fldCharType="begin"/>
      </w:r>
      <w:r w:rsidR="00515683">
        <w:instrText xml:space="preserve"> PAGEREF z_Strauss_o8 \h </w:instrText>
      </w:r>
      <w:r w:rsidR="003A700C">
        <w:fldChar w:fldCharType="separate"/>
      </w:r>
      <w:r w:rsidR="009D58B1">
        <w:rPr>
          <w:noProof/>
        </w:rPr>
        <w:t>48</w:t>
      </w:r>
      <w:r w:rsidR="003A700C">
        <w:fldChar w:fldCharType="end"/>
      </w:r>
      <w:r w:rsidR="0031378E">
        <w:t xml:space="preserve">, </w:t>
      </w:r>
      <w:r w:rsidR="003A700C">
        <w:fldChar w:fldCharType="begin"/>
      </w:r>
      <w:r w:rsidR="00515683">
        <w:instrText xml:space="preserve"> PAGEREF z_Strauss_o9 \h </w:instrText>
      </w:r>
      <w:r w:rsidR="003A700C">
        <w:fldChar w:fldCharType="separate"/>
      </w:r>
      <w:r w:rsidR="009D58B1">
        <w:rPr>
          <w:noProof/>
        </w:rPr>
        <w:t>49</w:t>
      </w:r>
      <w:r w:rsidR="003A700C">
        <w:fldChar w:fldCharType="end"/>
      </w:r>
      <w:r w:rsidR="00515683">
        <w:t>[106, 107, 110</w:t>
      </w:r>
      <w:r>
        <w:t xml:space="preserve">, 114, 118, 121]. </w:t>
      </w:r>
    </w:p>
    <w:p w:rsidR="00317656" w:rsidRDefault="00317656" w:rsidP="00317656">
      <w:r>
        <w:t>Sueur de sang</w:t>
      </w:r>
      <w:r w:rsidRPr="004440EA">
        <w:t xml:space="preserve"> (</w:t>
      </w:r>
      <w:r>
        <w:t>La</w:t>
      </w:r>
      <w:r w:rsidRPr="00950016">
        <w:t xml:space="preserve">) </w:t>
      </w:r>
      <w:r>
        <w:t xml:space="preserve">au jardin de Gethsémani, p. </w:t>
      </w:r>
      <w:r w:rsidR="003A700C">
        <w:fldChar w:fldCharType="begin"/>
      </w:r>
      <w:r w:rsidR="00AE0CAE">
        <w:instrText xml:space="preserve"> PAGEREF z_SueurDeSang_o1 \h </w:instrText>
      </w:r>
      <w:r w:rsidR="003A700C">
        <w:fldChar w:fldCharType="separate"/>
      </w:r>
      <w:r w:rsidR="009D58B1">
        <w:rPr>
          <w:noProof/>
        </w:rPr>
        <w:t>42</w:t>
      </w:r>
      <w:r w:rsidR="003A700C">
        <w:fldChar w:fldCharType="end"/>
      </w:r>
      <w:r w:rsidR="00860A96">
        <w:t>[101]</w:t>
      </w:r>
      <w:r>
        <w:t xml:space="preserve"> et suiv. ; la question d’authenticité, p. </w:t>
      </w:r>
      <w:r w:rsidR="003A700C">
        <w:fldChar w:fldCharType="begin"/>
      </w:r>
      <w:r w:rsidR="00AE0CAE">
        <w:instrText xml:space="preserve"> PAGEREF z_SueurDeSang_o2 \h </w:instrText>
      </w:r>
      <w:r w:rsidR="003A700C">
        <w:fldChar w:fldCharType="separate"/>
      </w:r>
      <w:r w:rsidR="009D58B1">
        <w:rPr>
          <w:noProof/>
        </w:rPr>
        <w:t>42</w:t>
      </w:r>
      <w:r w:rsidR="003A700C">
        <w:fldChar w:fldCharType="end"/>
      </w:r>
      <w:r w:rsidR="0031378E">
        <w:t>-</w:t>
      </w:r>
      <w:r w:rsidR="003A700C">
        <w:fldChar w:fldCharType="begin"/>
      </w:r>
      <w:r w:rsidR="00AE0CAE">
        <w:instrText xml:space="preserve"> PAGEREF z_SueurDeSang_o3 \h </w:instrText>
      </w:r>
      <w:r w:rsidR="003A700C">
        <w:fldChar w:fldCharType="separate"/>
      </w:r>
      <w:r w:rsidR="009D58B1">
        <w:rPr>
          <w:noProof/>
        </w:rPr>
        <w:t>43</w:t>
      </w:r>
      <w:r w:rsidR="003A700C">
        <w:fldChar w:fldCharType="end"/>
      </w:r>
      <w:r w:rsidR="0031378E">
        <w:t>[102-105]</w:t>
      </w:r>
      <w:r>
        <w:t xml:space="preserve"> ; le caractère historique du récit, p. </w:t>
      </w:r>
      <w:r w:rsidR="003A700C">
        <w:fldChar w:fldCharType="begin"/>
      </w:r>
      <w:r w:rsidR="00AE0CAE">
        <w:instrText xml:space="preserve"> PAGEREF z_SueurDeSang_o4 \h </w:instrText>
      </w:r>
      <w:r w:rsidR="003A700C">
        <w:fldChar w:fldCharType="separate"/>
      </w:r>
      <w:r w:rsidR="009D58B1">
        <w:rPr>
          <w:noProof/>
        </w:rPr>
        <w:t>43</w:t>
      </w:r>
      <w:r w:rsidR="003A700C">
        <w:fldChar w:fldCharType="end"/>
      </w:r>
      <w:r w:rsidR="0031378E">
        <w:t>-</w:t>
      </w:r>
      <w:r w:rsidR="003A700C">
        <w:fldChar w:fldCharType="begin"/>
      </w:r>
      <w:r w:rsidR="00AE0CAE">
        <w:instrText xml:space="preserve"> PAGEREF z_SueurDeSang_o5 \h </w:instrText>
      </w:r>
      <w:r w:rsidR="003A700C">
        <w:fldChar w:fldCharType="separate"/>
      </w:r>
      <w:r w:rsidR="009D58B1">
        <w:rPr>
          <w:noProof/>
        </w:rPr>
        <w:t>46</w:t>
      </w:r>
      <w:r w:rsidR="003A700C">
        <w:fldChar w:fldCharType="end"/>
      </w:r>
      <w:r w:rsidR="0031378E">
        <w:t>[106-112]</w:t>
      </w:r>
      <w:r>
        <w:t xml:space="preserve"> ; — les fausses interprétations, p. </w:t>
      </w:r>
      <w:r w:rsidR="003A700C">
        <w:fldChar w:fldCharType="begin"/>
      </w:r>
      <w:r w:rsidR="00AE0CAE">
        <w:instrText xml:space="preserve"> PAGEREF z_SueurDeSang_o6 \h </w:instrText>
      </w:r>
      <w:r w:rsidR="003A700C">
        <w:fldChar w:fldCharType="separate"/>
      </w:r>
      <w:r w:rsidR="009D58B1">
        <w:rPr>
          <w:noProof/>
        </w:rPr>
        <w:t>46</w:t>
      </w:r>
      <w:r w:rsidR="003A700C">
        <w:fldChar w:fldCharType="end"/>
      </w:r>
      <w:r w:rsidR="0031378E">
        <w:t>-</w:t>
      </w:r>
      <w:r w:rsidR="003A700C">
        <w:fldChar w:fldCharType="begin"/>
      </w:r>
      <w:r w:rsidR="00AE0CAE">
        <w:instrText xml:space="preserve"> PAGEREF z_SueurDeSang_o7 \h </w:instrText>
      </w:r>
      <w:r w:rsidR="003A700C">
        <w:fldChar w:fldCharType="separate"/>
      </w:r>
      <w:r w:rsidR="009D58B1">
        <w:rPr>
          <w:noProof/>
        </w:rPr>
        <w:t>49</w:t>
      </w:r>
      <w:r w:rsidR="003A700C">
        <w:fldChar w:fldCharType="end"/>
      </w:r>
      <w:r w:rsidR="0031378E">
        <w:t>[113-120]</w:t>
      </w:r>
      <w:r>
        <w:t xml:space="preserve"> ; la question de possibilité, p. </w:t>
      </w:r>
      <w:r w:rsidR="003A700C">
        <w:fldChar w:fldCharType="begin"/>
      </w:r>
      <w:r w:rsidR="00AE0CAE">
        <w:instrText xml:space="preserve"> PAGEREF z_SueurDeSang_o8 \h </w:instrText>
      </w:r>
      <w:r w:rsidR="003A700C">
        <w:fldChar w:fldCharType="separate"/>
      </w:r>
      <w:r w:rsidR="009D58B1">
        <w:rPr>
          <w:noProof/>
        </w:rPr>
        <w:t>49</w:t>
      </w:r>
      <w:r w:rsidR="003A700C">
        <w:fldChar w:fldCharType="end"/>
      </w:r>
      <w:r w:rsidR="007B70EC">
        <w:t>-</w:t>
      </w:r>
      <w:r w:rsidR="003A700C">
        <w:fldChar w:fldCharType="begin"/>
      </w:r>
      <w:r w:rsidR="00AE0CAE">
        <w:instrText xml:space="preserve"> PAGEREF z_SueurDeSang_o9 \h </w:instrText>
      </w:r>
      <w:r w:rsidR="003A700C">
        <w:fldChar w:fldCharType="separate"/>
      </w:r>
      <w:r w:rsidR="009D58B1">
        <w:rPr>
          <w:noProof/>
        </w:rPr>
        <w:t>51</w:t>
      </w:r>
      <w:r w:rsidR="003A700C">
        <w:fldChar w:fldCharType="end"/>
      </w:r>
      <w:r w:rsidR="00860A96">
        <w:t>[121</w:t>
      </w:r>
      <w:r>
        <w:t>-126</w:t>
      </w:r>
      <w:r w:rsidR="007B70EC">
        <w:t>]</w:t>
      </w:r>
      <w:r>
        <w:t xml:space="preserve">. </w:t>
      </w:r>
    </w:p>
    <w:p w:rsidR="00317656" w:rsidRDefault="00317656" w:rsidP="00317656">
      <w:r>
        <w:t xml:space="preserve">Superstitions rattachées au culte des morts chez les Juifs, p. </w:t>
      </w:r>
      <w:r w:rsidR="003A700C">
        <w:fldChar w:fldCharType="begin"/>
      </w:r>
      <w:r w:rsidR="00AE0CAE">
        <w:instrText xml:space="preserve"> PAGEREF z_Superstitions_o1 \h </w:instrText>
      </w:r>
      <w:r w:rsidR="003A700C">
        <w:fldChar w:fldCharType="separate"/>
      </w:r>
      <w:r w:rsidR="009D58B1">
        <w:rPr>
          <w:noProof/>
        </w:rPr>
        <w:t>119</w:t>
      </w:r>
      <w:r w:rsidR="003A700C">
        <w:fldChar w:fldCharType="end"/>
      </w:r>
      <w:r w:rsidR="00860A96">
        <w:t>[305]</w:t>
      </w:r>
      <w:r>
        <w:t xml:space="preserve"> et suiv. </w:t>
      </w:r>
    </w:p>
    <w:p w:rsidR="00317656" w:rsidRDefault="00317656" w:rsidP="00317656">
      <w:r>
        <w:t>Symbole</w:t>
      </w:r>
      <w:r w:rsidRPr="004440EA">
        <w:t xml:space="preserve"> (</w:t>
      </w:r>
      <w:r>
        <w:t>Le</w:t>
      </w:r>
      <w:r w:rsidRPr="00950016">
        <w:t xml:space="preserve">) </w:t>
      </w:r>
      <w:r>
        <w:t>israélite, p.</w:t>
      </w:r>
      <w:r w:rsidR="00AE0CAE">
        <w:t xml:space="preserve"> </w:t>
      </w:r>
      <w:r w:rsidR="003A700C">
        <w:fldChar w:fldCharType="begin"/>
      </w:r>
      <w:r w:rsidR="00AE0CAE">
        <w:instrText xml:space="preserve"> PAGEREF z_Symbole_o1 \h </w:instrText>
      </w:r>
      <w:r w:rsidR="003A700C">
        <w:fldChar w:fldCharType="separate"/>
      </w:r>
      <w:r w:rsidR="009D58B1">
        <w:rPr>
          <w:noProof/>
        </w:rPr>
        <w:t>105</w:t>
      </w:r>
      <w:r w:rsidR="003A700C">
        <w:fldChar w:fldCharType="end"/>
      </w:r>
      <w:r w:rsidR="00AE0CAE">
        <w:t>[</w:t>
      </w:r>
      <w:r>
        <w:t>271</w:t>
      </w:r>
      <w:r w:rsidR="00AE0CAE">
        <w:t>]</w:t>
      </w:r>
      <w:r>
        <w:t xml:space="preserve">. </w:t>
      </w:r>
    </w:p>
    <w:p w:rsidR="00317656" w:rsidRDefault="00317656" w:rsidP="00317656"/>
    <w:p w:rsidR="00317656" w:rsidRDefault="00317656" w:rsidP="00317656">
      <w:r>
        <w:rPr>
          <w:smallCaps/>
        </w:rPr>
        <w:t>Tacite</w:t>
      </w:r>
      <w:r>
        <w:t xml:space="preserve"> et la Passion de Notre Seigneur Jésus-Christ, p. </w:t>
      </w:r>
      <w:r w:rsidR="003A700C">
        <w:fldChar w:fldCharType="begin"/>
      </w:r>
      <w:r w:rsidR="00AE0CAE">
        <w:instrText xml:space="preserve"> PAGEREF z_Tacite_o1 \h </w:instrText>
      </w:r>
      <w:r w:rsidR="003A700C">
        <w:fldChar w:fldCharType="separate"/>
      </w:r>
      <w:r w:rsidR="009D58B1">
        <w:rPr>
          <w:noProof/>
        </w:rPr>
        <w:t>55</w:t>
      </w:r>
      <w:r w:rsidR="003A700C">
        <w:fldChar w:fldCharType="end"/>
      </w:r>
      <w:r w:rsidR="00860A96">
        <w:t>[138]</w:t>
      </w:r>
      <w:r>
        <w:t xml:space="preserve">. </w:t>
      </w:r>
    </w:p>
    <w:p w:rsidR="00317656" w:rsidRDefault="00317656" w:rsidP="00317656">
      <w:r>
        <w:t>Talmud</w:t>
      </w:r>
      <w:r w:rsidRPr="004440EA">
        <w:t xml:space="preserve"> (</w:t>
      </w:r>
      <w:r>
        <w:t>Le</w:t>
      </w:r>
      <w:r w:rsidRPr="00950016">
        <w:t xml:space="preserve">) </w:t>
      </w:r>
      <w:r>
        <w:t xml:space="preserve">et une règle d’herméneutique biblique, p. </w:t>
      </w:r>
      <w:r w:rsidR="003A700C">
        <w:fldChar w:fldCharType="begin"/>
      </w:r>
      <w:r w:rsidR="00AE0CAE">
        <w:instrText xml:space="preserve"> PAGEREF z_Talmud_o1 \h </w:instrText>
      </w:r>
      <w:r w:rsidR="003A700C">
        <w:fldChar w:fldCharType="separate"/>
      </w:r>
      <w:r w:rsidR="009D58B1">
        <w:rPr>
          <w:noProof/>
        </w:rPr>
        <w:t>25</w:t>
      </w:r>
      <w:r w:rsidR="003A700C">
        <w:fldChar w:fldCharType="end"/>
      </w:r>
      <w:r w:rsidR="00860A96">
        <w:t>[58]</w:t>
      </w:r>
      <w:r>
        <w:t xml:space="preserve"> ; — et le travail manuel chez les Juifs, p. </w:t>
      </w:r>
      <w:r w:rsidR="003A700C">
        <w:fldChar w:fldCharType="begin"/>
      </w:r>
      <w:r w:rsidR="00AE0CAE">
        <w:instrText xml:space="preserve"> PAGEREF z_Talmud_o2 \h </w:instrText>
      </w:r>
      <w:r w:rsidR="003A700C">
        <w:fldChar w:fldCharType="separate"/>
      </w:r>
      <w:r w:rsidR="009D58B1">
        <w:rPr>
          <w:noProof/>
        </w:rPr>
        <w:t>94</w:t>
      </w:r>
      <w:r w:rsidR="003A700C">
        <w:fldChar w:fldCharType="end"/>
      </w:r>
      <w:r w:rsidR="00860A96">
        <w:t>[241]</w:t>
      </w:r>
      <w:r>
        <w:t xml:space="preserve"> et suiv. </w:t>
      </w:r>
    </w:p>
    <w:p w:rsidR="00317656" w:rsidRDefault="00317656" w:rsidP="00317656">
      <w:r>
        <w:t>Temple</w:t>
      </w:r>
      <w:r w:rsidRPr="004440EA">
        <w:t xml:space="preserve"> (</w:t>
      </w:r>
      <w:r>
        <w:t>Le</w:t>
      </w:r>
      <w:r w:rsidRPr="00950016">
        <w:t xml:space="preserve">) </w:t>
      </w:r>
      <w:r>
        <w:t xml:space="preserve">de Jérusalem agrandi par Hérode, p. </w:t>
      </w:r>
      <w:r w:rsidR="003A700C">
        <w:fldChar w:fldCharType="begin"/>
      </w:r>
      <w:r w:rsidR="00AE0CAE">
        <w:instrText xml:space="preserve"> PAGEREF z_Temple_o1 \h </w:instrText>
      </w:r>
      <w:r w:rsidR="003A700C">
        <w:fldChar w:fldCharType="separate"/>
      </w:r>
      <w:r w:rsidR="009D58B1">
        <w:rPr>
          <w:noProof/>
        </w:rPr>
        <w:t>100</w:t>
      </w:r>
      <w:r w:rsidR="003A700C">
        <w:fldChar w:fldCharType="end"/>
      </w:r>
      <w:r w:rsidR="0031378E">
        <w:t>-</w:t>
      </w:r>
      <w:r w:rsidR="003A700C">
        <w:fldChar w:fldCharType="begin"/>
      </w:r>
      <w:r w:rsidR="00AE0CAE">
        <w:instrText xml:space="preserve"> PAGEREF z_Temple_o2 \h </w:instrText>
      </w:r>
      <w:r w:rsidR="003A700C">
        <w:fldChar w:fldCharType="separate"/>
      </w:r>
      <w:r w:rsidR="009D58B1">
        <w:rPr>
          <w:noProof/>
        </w:rPr>
        <w:t>101</w:t>
      </w:r>
      <w:r w:rsidR="003A700C">
        <w:fldChar w:fldCharType="end"/>
      </w:r>
      <w:r w:rsidR="0031378E">
        <w:t>[257-259]</w:t>
      </w:r>
      <w:r>
        <w:t xml:space="preserve">. </w:t>
      </w:r>
    </w:p>
    <w:p w:rsidR="00317656" w:rsidRDefault="00317656" w:rsidP="00317656">
      <w:r>
        <w:t>Testament</w:t>
      </w:r>
      <w:r w:rsidRPr="004440EA">
        <w:t xml:space="preserve"> (</w:t>
      </w:r>
      <w:r>
        <w:t>l’Ancien</w:t>
      </w:r>
      <w:r w:rsidRPr="00950016">
        <w:t xml:space="preserve">) </w:t>
      </w:r>
      <w:r>
        <w:t xml:space="preserve">jugé par M. Marius Fontane, p. </w:t>
      </w:r>
      <w:r w:rsidR="003A700C">
        <w:fldChar w:fldCharType="begin"/>
      </w:r>
      <w:r w:rsidR="00AE0CAE">
        <w:instrText xml:space="preserve"> PAGEREF z_TestamentAncien_o1 \h </w:instrText>
      </w:r>
      <w:r w:rsidR="003A700C">
        <w:fldChar w:fldCharType="separate"/>
      </w:r>
      <w:r w:rsidR="009D58B1">
        <w:rPr>
          <w:noProof/>
        </w:rPr>
        <w:t>62</w:t>
      </w:r>
      <w:r w:rsidR="003A700C">
        <w:fldChar w:fldCharType="end"/>
      </w:r>
      <w:r w:rsidR="00860A96">
        <w:t>[156]</w:t>
      </w:r>
      <w:r>
        <w:t xml:space="preserve"> et suiv. </w:t>
      </w:r>
    </w:p>
    <w:p w:rsidR="00317656" w:rsidRDefault="00317656" w:rsidP="00317656">
      <w:r>
        <w:t>—</w:t>
      </w:r>
      <w:r w:rsidRPr="004440EA">
        <w:t xml:space="preserve"> (</w:t>
      </w:r>
      <w:r>
        <w:t>Le Nouveau</w:t>
      </w:r>
      <w:r w:rsidRPr="00950016">
        <w:t>) :</w:t>
      </w:r>
      <w:r>
        <w:t xml:space="preserve"> ce que les rationalistes daignent nous en laisser, p. </w:t>
      </w:r>
      <w:r w:rsidR="003A700C">
        <w:fldChar w:fldCharType="begin"/>
      </w:r>
      <w:r w:rsidR="00AE0CAE">
        <w:instrText xml:space="preserve"> PAGEREF z_TestamentNouveau_o1 \h </w:instrText>
      </w:r>
      <w:r w:rsidR="003A700C">
        <w:fldChar w:fldCharType="separate"/>
      </w:r>
      <w:r w:rsidR="009D58B1">
        <w:rPr>
          <w:noProof/>
        </w:rPr>
        <w:t>58</w:t>
      </w:r>
      <w:r w:rsidR="003A700C">
        <w:fldChar w:fldCharType="end"/>
      </w:r>
      <w:r w:rsidR="00860A96">
        <w:t>[147]</w:t>
      </w:r>
      <w:r>
        <w:t xml:space="preserve"> et suiv. ; — révisé de l’église anglicane, p. </w:t>
      </w:r>
      <w:r w:rsidR="003A700C">
        <w:fldChar w:fldCharType="begin"/>
      </w:r>
      <w:r w:rsidR="00AE0CAE">
        <w:instrText xml:space="preserve"> PAGEREF z_TestamentNouveau_o2 \h </w:instrText>
      </w:r>
      <w:r w:rsidR="003A700C">
        <w:fldChar w:fldCharType="separate"/>
      </w:r>
      <w:r w:rsidR="009D58B1">
        <w:rPr>
          <w:noProof/>
        </w:rPr>
        <w:t>71</w:t>
      </w:r>
      <w:r w:rsidR="003A700C">
        <w:fldChar w:fldCharType="end"/>
      </w:r>
      <w:r w:rsidR="0031378E">
        <w:t>-</w:t>
      </w:r>
      <w:r w:rsidR="003A700C">
        <w:fldChar w:fldCharType="begin"/>
      </w:r>
      <w:r w:rsidR="00AE0CAE">
        <w:instrText xml:space="preserve"> PAGEREF z_TestamentNouveau_o3 \h </w:instrText>
      </w:r>
      <w:r w:rsidR="003A700C">
        <w:fldChar w:fldCharType="separate"/>
      </w:r>
      <w:r w:rsidR="009D58B1">
        <w:rPr>
          <w:noProof/>
        </w:rPr>
        <w:t>81</w:t>
      </w:r>
      <w:r w:rsidR="003A700C">
        <w:fldChar w:fldCharType="end"/>
      </w:r>
      <w:r w:rsidR="0031378E">
        <w:t>[177-203]</w:t>
      </w:r>
      <w:r>
        <w:t xml:space="preserve"> ; — et le travail manuel chez les Juifs, p. </w:t>
      </w:r>
      <w:r w:rsidR="003A700C">
        <w:fldChar w:fldCharType="begin"/>
      </w:r>
      <w:r w:rsidR="00AE0CAE">
        <w:instrText xml:space="preserve"> PAGEREF z_TestamentNouveau_o4 \h </w:instrText>
      </w:r>
      <w:r w:rsidR="003A700C">
        <w:fldChar w:fldCharType="separate"/>
      </w:r>
      <w:r w:rsidR="009D58B1">
        <w:rPr>
          <w:noProof/>
        </w:rPr>
        <w:t>94</w:t>
      </w:r>
      <w:r w:rsidR="003A700C">
        <w:fldChar w:fldCharType="end"/>
      </w:r>
      <w:r w:rsidR="0031378E">
        <w:t xml:space="preserve">, </w:t>
      </w:r>
      <w:r w:rsidR="003A700C">
        <w:fldChar w:fldCharType="begin"/>
      </w:r>
      <w:r w:rsidR="00AE0CAE">
        <w:instrText xml:space="preserve"> PAGEREF z_TestamentNouveau_o5 \h </w:instrText>
      </w:r>
      <w:r w:rsidR="003A700C">
        <w:fldChar w:fldCharType="separate"/>
      </w:r>
      <w:r w:rsidR="009D58B1">
        <w:rPr>
          <w:noProof/>
        </w:rPr>
        <w:t>99</w:t>
      </w:r>
      <w:r w:rsidR="003A700C">
        <w:fldChar w:fldCharType="end"/>
      </w:r>
      <w:r>
        <w:t xml:space="preserve">[240, 256] et suiv. </w:t>
      </w:r>
    </w:p>
    <w:p w:rsidR="00317656" w:rsidRDefault="00317656" w:rsidP="00317656">
      <w:r w:rsidRPr="000A34B5">
        <w:rPr>
          <w:rStyle w:val="italicus"/>
        </w:rPr>
        <w:t>Théphilin</w:t>
      </w:r>
      <w:r w:rsidRPr="004440EA">
        <w:t xml:space="preserve"> (</w:t>
      </w:r>
      <w:r>
        <w:t>Les</w:t>
      </w:r>
      <w:r w:rsidRPr="00950016">
        <w:t>)</w:t>
      </w:r>
      <w:r>
        <w:t xml:space="preserve">, p. </w:t>
      </w:r>
      <w:r w:rsidR="003A700C">
        <w:fldChar w:fldCharType="begin"/>
      </w:r>
      <w:r w:rsidR="00AE0CAE">
        <w:instrText xml:space="preserve"> PAGEREF z_Thephilin_o1 \h </w:instrText>
      </w:r>
      <w:r w:rsidR="003A700C">
        <w:fldChar w:fldCharType="separate"/>
      </w:r>
      <w:r w:rsidR="009D58B1">
        <w:rPr>
          <w:noProof/>
        </w:rPr>
        <w:t>106</w:t>
      </w:r>
      <w:r w:rsidR="003A700C">
        <w:fldChar w:fldCharType="end"/>
      </w:r>
      <w:r w:rsidR="00860A96">
        <w:t>[274]</w:t>
      </w:r>
      <w:r>
        <w:t xml:space="preserve">. </w:t>
      </w:r>
    </w:p>
    <w:p w:rsidR="00317656" w:rsidRDefault="00317656" w:rsidP="00317656">
      <w:r>
        <w:rPr>
          <w:smallCaps/>
        </w:rPr>
        <w:t>Thomas d’Aquin</w:t>
      </w:r>
      <w:r w:rsidRPr="004440EA">
        <w:t xml:space="preserve"> (</w:t>
      </w:r>
      <w:r>
        <w:t>Saint</w:t>
      </w:r>
      <w:r w:rsidRPr="00950016">
        <w:t xml:space="preserve">) </w:t>
      </w:r>
      <w:r>
        <w:t xml:space="preserve">et la présence de Judas à l’institution de l’Eucharistie, p. </w:t>
      </w:r>
      <w:r w:rsidR="003A700C">
        <w:fldChar w:fldCharType="begin"/>
      </w:r>
      <w:r w:rsidR="00AE0CAE">
        <w:instrText xml:space="preserve"> PAGEREF z_ThomasDAquin_o1 \h </w:instrText>
      </w:r>
      <w:r w:rsidR="003A700C">
        <w:fldChar w:fldCharType="separate"/>
      </w:r>
      <w:r w:rsidR="009D58B1">
        <w:rPr>
          <w:noProof/>
        </w:rPr>
        <w:t>126</w:t>
      </w:r>
      <w:r w:rsidR="003A700C">
        <w:fldChar w:fldCharType="end"/>
      </w:r>
      <w:r w:rsidR="00860A96">
        <w:t>[323]</w:t>
      </w:r>
      <w:r>
        <w:t xml:space="preserve"> et suiv. </w:t>
      </w:r>
    </w:p>
    <w:p w:rsidR="00317656" w:rsidRDefault="00317656" w:rsidP="00317656">
      <w:r>
        <w:t xml:space="preserve">Tombeaux juifs, p. </w:t>
      </w:r>
      <w:r w:rsidR="003A700C">
        <w:fldChar w:fldCharType="begin"/>
      </w:r>
      <w:r w:rsidR="00AE0CAE">
        <w:instrText xml:space="preserve"> PAGEREF z_TombeauxJuifs_o1 \h </w:instrText>
      </w:r>
      <w:r w:rsidR="003A700C">
        <w:fldChar w:fldCharType="separate"/>
      </w:r>
      <w:r w:rsidR="009D58B1">
        <w:rPr>
          <w:noProof/>
        </w:rPr>
        <w:t>112</w:t>
      </w:r>
      <w:r w:rsidR="003A700C">
        <w:fldChar w:fldCharType="end"/>
      </w:r>
      <w:r w:rsidR="0031378E">
        <w:t>-</w:t>
      </w:r>
      <w:r w:rsidR="003A700C">
        <w:fldChar w:fldCharType="begin"/>
      </w:r>
      <w:r w:rsidR="00AE0CAE">
        <w:instrText xml:space="preserve"> PAGEREF z_TombeauxJuifs_o2 \h </w:instrText>
      </w:r>
      <w:r w:rsidR="003A700C">
        <w:fldChar w:fldCharType="separate"/>
      </w:r>
      <w:r w:rsidR="009D58B1">
        <w:rPr>
          <w:noProof/>
        </w:rPr>
        <w:t>114</w:t>
      </w:r>
      <w:r w:rsidR="003A700C">
        <w:fldChar w:fldCharType="end"/>
      </w:r>
      <w:r w:rsidR="0031378E">
        <w:t>[289-292]</w:t>
      </w:r>
      <w:r>
        <w:t xml:space="preserve">. </w:t>
      </w:r>
    </w:p>
    <w:p w:rsidR="00317656" w:rsidRDefault="00317656" w:rsidP="00317656">
      <w:r>
        <w:t>Tradition</w:t>
      </w:r>
      <w:r w:rsidRPr="004440EA">
        <w:t xml:space="preserve"> (</w:t>
      </w:r>
      <w:r>
        <w:t>La</w:t>
      </w:r>
      <w:r w:rsidRPr="00950016">
        <w:t xml:space="preserve">) </w:t>
      </w:r>
      <w:r>
        <w:t xml:space="preserve">et la prophétie </w:t>
      </w:r>
      <w:r w:rsidRPr="000A34B5">
        <w:rPr>
          <w:rStyle w:val="italicus"/>
        </w:rPr>
        <w:t xml:space="preserve">de </w:t>
      </w:r>
      <w:r w:rsidRPr="00D40830">
        <w:t>l’</w:t>
      </w:r>
      <w:r w:rsidRPr="00D05EA9">
        <w:rPr>
          <w:rStyle w:val="italicus"/>
        </w:rPr>
        <w:t>῾almah</w:t>
      </w:r>
      <w:r>
        <w:rPr>
          <w:rStyle w:val="italicus"/>
        </w:rPr>
        <w:t xml:space="preserve">, </w:t>
      </w:r>
      <w:r>
        <w:t xml:space="preserve">p. </w:t>
      </w:r>
      <w:r w:rsidR="003A700C">
        <w:fldChar w:fldCharType="begin"/>
      </w:r>
      <w:r w:rsidR="0045628B">
        <w:instrText xml:space="preserve"> PAGEREF z_TraditionAlmah_o1 \h </w:instrText>
      </w:r>
      <w:r w:rsidR="003A700C">
        <w:fldChar w:fldCharType="separate"/>
      </w:r>
      <w:r w:rsidR="009D58B1">
        <w:rPr>
          <w:noProof/>
        </w:rPr>
        <w:t>22</w:t>
      </w:r>
      <w:r w:rsidR="003A700C">
        <w:fldChar w:fldCharType="end"/>
      </w:r>
      <w:r w:rsidR="0031378E">
        <w:t xml:space="preserve">, </w:t>
      </w:r>
      <w:r w:rsidR="003A700C">
        <w:fldChar w:fldCharType="begin"/>
      </w:r>
      <w:r w:rsidR="0045628B">
        <w:instrText xml:space="preserve"> PAGEREF z_TraditionAlmah_o2 \h </w:instrText>
      </w:r>
      <w:r w:rsidR="003A700C">
        <w:fldChar w:fldCharType="separate"/>
      </w:r>
      <w:r w:rsidR="009D58B1">
        <w:rPr>
          <w:noProof/>
        </w:rPr>
        <w:t>25</w:t>
      </w:r>
      <w:r w:rsidR="003A700C">
        <w:fldChar w:fldCharType="end"/>
      </w:r>
      <w:r w:rsidR="0031378E">
        <w:t xml:space="preserve">, </w:t>
      </w:r>
      <w:r w:rsidR="003A700C">
        <w:fldChar w:fldCharType="begin"/>
      </w:r>
      <w:r w:rsidR="0045628B">
        <w:instrText xml:space="preserve"> PAGEREF z_TraditionAlmah_o3 \h </w:instrText>
      </w:r>
      <w:r w:rsidR="003A700C">
        <w:fldChar w:fldCharType="separate"/>
      </w:r>
      <w:r w:rsidR="009D58B1">
        <w:rPr>
          <w:noProof/>
        </w:rPr>
        <w:t>41</w:t>
      </w:r>
      <w:r w:rsidR="003A700C">
        <w:fldChar w:fldCharType="end"/>
      </w:r>
      <w:r>
        <w:t xml:space="preserve">[49, 58, 99] ; </w:t>
      </w:r>
    </w:p>
    <w:p w:rsidR="00317656" w:rsidRDefault="00317656" w:rsidP="00317656">
      <w:r>
        <w:t xml:space="preserve">— et l’assistance de Judas à l’institution de l’Eucharistie, p. </w:t>
      </w:r>
      <w:r w:rsidR="003A700C">
        <w:fldChar w:fldCharType="begin"/>
      </w:r>
      <w:r w:rsidR="0045628B">
        <w:instrText xml:space="preserve"> PAGEREF z_TraditionJudas_o1 \h </w:instrText>
      </w:r>
      <w:r w:rsidR="003A700C">
        <w:fldChar w:fldCharType="separate"/>
      </w:r>
      <w:r w:rsidR="009D58B1">
        <w:rPr>
          <w:noProof/>
        </w:rPr>
        <w:t>125</w:t>
      </w:r>
      <w:r w:rsidR="003A700C">
        <w:fldChar w:fldCharType="end"/>
      </w:r>
      <w:r w:rsidR="00860A96">
        <w:t>[320]</w:t>
      </w:r>
      <w:r>
        <w:t xml:space="preserve"> et suiv. </w:t>
      </w:r>
    </w:p>
    <w:p w:rsidR="00317656" w:rsidRDefault="00317656" w:rsidP="00317656">
      <w:r>
        <w:t>Travail manuel</w:t>
      </w:r>
      <w:r w:rsidRPr="004440EA">
        <w:t xml:space="preserve"> (</w:t>
      </w:r>
      <w:r>
        <w:t>Le</w:t>
      </w:r>
      <w:r w:rsidRPr="00950016">
        <w:t xml:space="preserve">) </w:t>
      </w:r>
      <w:r>
        <w:t xml:space="preserve">chez les Juifs au temps de Jésus-Christ, p. </w:t>
      </w:r>
      <w:r w:rsidR="003A700C">
        <w:fldChar w:fldCharType="begin"/>
      </w:r>
      <w:r w:rsidR="0045628B">
        <w:instrText xml:space="preserve"> PAGEREF z_TravailManuel_o1 \h </w:instrText>
      </w:r>
      <w:r w:rsidR="003A700C">
        <w:fldChar w:fldCharType="separate"/>
      </w:r>
      <w:r w:rsidR="009D58B1">
        <w:rPr>
          <w:noProof/>
        </w:rPr>
        <w:t>93</w:t>
      </w:r>
      <w:r w:rsidR="003A700C">
        <w:fldChar w:fldCharType="end"/>
      </w:r>
      <w:r w:rsidR="00860A96">
        <w:t>[239]</w:t>
      </w:r>
      <w:r>
        <w:t xml:space="preserve"> et suiv. ; les sources à consulter, p. </w:t>
      </w:r>
      <w:r w:rsidR="003A700C">
        <w:fldChar w:fldCharType="begin"/>
      </w:r>
      <w:r w:rsidR="0045628B">
        <w:instrText xml:space="preserve"> PAGEREF z_TravailManuel_o2 \h </w:instrText>
      </w:r>
      <w:r w:rsidR="003A700C">
        <w:fldChar w:fldCharType="separate"/>
      </w:r>
      <w:r w:rsidR="009D58B1">
        <w:rPr>
          <w:noProof/>
        </w:rPr>
        <w:t>94</w:t>
      </w:r>
      <w:r w:rsidR="003A700C">
        <w:fldChar w:fldCharType="end"/>
      </w:r>
      <w:r w:rsidR="0031378E">
        <w:t>-</w:t>
      </w:r>
      <w:r w:rsidR="003A700C">
        <w:fldChar w:fldCharType="begin"/>
      </w:r>
      <w:r w:rsidR="0045628B">
        <w:instrText xml:space="preserve"> PAGEREF z_TravailManuel_o3 \h </w:instrText>
      </w:r>
      <w:r w:rsidR="003A700C">
        <w:fldChar w:fldCharType="separate"/>
      </w:r>
      <w:r w:rsidR="009D58B1">
        <w:rPr>
          <w:noProof/>
        </w:rPr>
        <w:t>94</w:t>
      </w:r>
      <w:r w:rsidR="003A700C">
        <w:fldChar w:fldCharType="end"/>
      </w:r>
      <w:r w:rsidR="0031378E">
        <w:t>[240-241]</w:t>
      </w:r>
      <w:r>
        <w:t xml:space="preserve"> ; l’idée qu’on se faisait alors du travail, p. </w:t>
      </w:r>
      <w:r w:rsidR="003A700C">
        <w:fldChar w:fldCharType="begin"/>
      </w:r>
      <w:r w:rsidR="0045628B">
        <w:instrText xml:space="preserve"> PAGEREF z_TravailManuel_o4 \h </w:instrText>
      </w:r>
      <w:r w:rsidR="003A700C">
        <w:fldChar w:fldCharType="separate"/>
      </w:r>
      <w:r w:rsidR="009D58B1">
        <w:rPr>
          <w:noProof/>
        </w:rPr>
        <w:t>94</w:t>
      </w:r>
      <w:r w:rsidR="003A700C">
        <w:fldChar w:fldCharType="end"/>
      </w:r>
      <w:r w:rsidR="0031378E">
        <w:t>-</w:t>
      </w:r>
      <w:r w:rsidR="003A700C">
        <w:fldChar w:fldCharType="begin"/>
      </w:r>
      <w:r w:rsidR="0045628B">
        <w:instrText xml:space="preserve"> PAGEREF z_TravailManuel_o5 \h </w:instrText>
      </w:r>
      <w:r w:rsidR="003A700C">
        <w:fldChar w:fldCharType="separate"/>
      </w:r>
      <w:r w:rsidR="009D58B1">
        <w:rPr>
          <w:noProof/>
        </w:rPr>
        <w:t>96</w:t>
      </w:r>
      <w:r w:rsidR="003A700C">
        <w:fldChar w:fldCharType="end"/>
      </w:r>
      <w:r w:rsidR="0031378E">
        <w:t>[242-247]</w:t>
      </w:r>
      <w:r>
        <w:t xml:space="preserve"> ; les divers critériums qui servaient à apprécier la valeur des professions, p. </w:t>
      </w:r>
      <w:r w:rsidR="003A700C">
        <w:fldChar w:fldCharType="begin"/>
      </w:r>
      <w:r w:rsidR="0045628B">
        <w:instrText xml:space="preserve"> PAGEREF z_TravailManuel_o6 \h </w:instrText>
      </w:r>
      <w:r w:rsidR="003A700C">
        <w:fldChar w:fldCharType="separate"/>
      </w:r>
      <w:r w:rsidR="009D58B1">
        <w:rPr>
          <w:noProof/>
        </w:rPr>
        <w:t>96</w:t>
      </w:r>
      <w:r w:rsidR="003A700C">
        <w:fldChar w:fldCharType="end"/>
      </w:r>
      <w:r w:rsidR="0031378E">
        <w:t>-</w:t>
      </w:r>
      <w:r w:rsidR="003A700C">
        <w:fldChar w:fldCharType="begin"/>
      </w:r>
      <w:r w:rsidR="0045628B">
        <w:instrText xml:space="preserve"> PAGEREF z_TravailManuel_o7 \h </w:instrText>
      </w:r>
      <w:r w:rsidR="003A700C">
        <w:fldChar w:fldCharType="separate"/>
      </w:r>
      <w:r w:rsidR="009D58B1">
        <w:rPr>
          <w:noProof/>
        </w:rPr>
        <w:t>97</w:t>
      </w:r>
      <w:r w:rsidR="003A700C">
        <w:fldChar w:fldCharType="end"/>
      </w:r>
      <w:r w:rsidR="0031378E">
        <w:t>[248-250]</w:t>
      </w:r>
      <w:r>
        <w:t xml:space="preserve"> ; organisation des corps de métiers, p. </w:t>
      </w:r>
      <w:r w:rsidR="003A700C">
        <w:fldChar w:fldCharType="begin"/>
      </w:r>
      <w:r w:rsidR="0045628B">
        <w:instrText xml:space="preserve"> PAGEREF z_TravailManuel_o8 \h </w:instrText>
      </w:r>
      <w:r w:rsidR="003A700C">
        <w:fldChar w:fldCharType="separate"/>
      </w:r>
      <w:r w:rsidR="009D58B1">
        <w:rPr>
          <w:noProof/>
        </w:rPr>
        <w:t>98</w:t>
      </w:r>
      <w:r w:rsidR="003A700C">
        <w:fldChar w:fldCharType="end"/>
      </w:r>
      <w:r w:rsidR="0045628B">
        <w:t>[251</w:t>
      </w:r>
      <w:r w:rsidR="00860A96">
        <w:t>]</w:t>
      </w:r>
      <w:r>
        <w:t xml:space="preserve"> et suiv. ; union du travail manuel et de l’étude, p. </w:t>
      </w:r>
      <w:r w:rsidR="003A700C">
        <w:fldChar w:fldCharType="begin"/>
      </w:r>
      <w:r w:rsidR="0045628B">
        <w:instrText xml:space="preserve"> PAGEREF z_TravailManuel_o9 \h </w:instrText>
      </w:r>
      <w:r w:rsidR="003A700C">
        <w:fldChar w:fldCharType="separate"/>
      </w:r>
      <w:r w:rsidR="009D58B1">
        <w:rPr>
          <w:noProof/>
        </w:rPr>
        <w:t>98</w:t>
      </w:r>
      <w:r w:rsidR="003A700C">
        <w:fldChar w:fldCharType="end"/>
      </w:r>
      <w:r w:rsidR="0031378E">
        <w:t>-</w:t>
      </w:r>
      <w:r w:rsidR="003A700C">
        <w:fldChar w:fldCharType="begin"/>
      </w:r>
      <w:r w:rsidR="0045628B">
        <w:instrText xml:space="preserve"> PAGEREF z_TravailManuel_o10 \h </w:instrText>
      </w:r>
      <w:r w:rsidR="003A700C">
        <w:fldChar w:fldCharType="separate"/>
      </w:r>
      <w:r w:rsidR="009D58B1">
        <w:rPr>
          <w:noProof/>
        </w:rPr>
        <w:t>100</w:t>
      </w:r>
      <w:r w:rsidR="003A700C">
        <w:fldChar w:fldCharType="end"/>
      </w:r>
      <w:r w:rsidR="0045628B">
        <w:t>[252-257</w:t>
      </w:r>
      <w:r w:rsidR="0031378E">
        <w:t>]</w:t>
      </w:r>
      <w:r>
        <w:t xml:space="preserve"> ; les ouvriers juifs et la reconstruction du temple de Jérusalem, p. </w:t>
      </w:r>
      <w:r w:rsidR="003A700C">
        <w:fldChar w:fldCharType="begin"/>
      </w:r>
      <w:r w:rsidR="0045628B">
        <w:instrText xml:space="preserve"> PAGEREF z_TravailManuel_o11 \h </w:instrText>
      </w:r>
      <w:r w:rsidR="003A700C">
        <w:fldChar w:fldCharType="separate"/>
      </w:r>
      <w:r w:rsidR="009D58B1">
        <w:rPr>
          <w:noProof/>
        </w:rPr>
        <w:t>100</w:t>
      </w:r>
      <w:r w:rsidR="003A700C">
        <w:fldChar w:fldCharType="end"/>
      </w:r>
      <w:r w:rsidR="00860A96">
        <w:t>[257]</w:t>
      </w:r>
      <w:r>
        <w:t xml:space="preserve"> et suiv. ; une journée avec les artisans de Jérusalem, p. </w:t>
      </w:r>
      <w:r w:rsidR="003A700C">
        <w:fldChar w:fldCharType="begin"/>
      </w:r>
      <w:r w:rsidR="0045628B">
        <w:instrText xml:space="preserve"> PAGEREF z_TravailManuel_o12 \h </w:instrText>
      </w:r>
      <w:r w:rsidR="003A700C">
        <w:fldChar w:fldCharType="separate"/>
      </w:r>
      <w:r w:rsidR="009D58B1">
        <w:rPr>
          <w:noProof/>
        </w:rPr>
        <w:t>101</w:t>
      </w:r>
      <w:r w:rsidR="003A700C">
        <w:fldChar w:fldCharType="end"/>
      </w:r>
      <w:r w:rsidR="0031378E">
        <w:t>-</w:t>
      </w:r>
      <w:r w:rsidR="003A700C">
        <w:fldChar w:fldCharType="begin"/>
      </w:r>
      <w:r w:rsidR="0045628B">
        <w:instrText xml:space="preserve"> PAGEREF z_TravailManuel_o13 \h </w:instrText>
      </w:r>
      <w:r w:rsidR="003A700C">
        <w:fldChar w:fldCharType="separate"/>
      </w:r>
      <w:r w:rsidR="009D58B1">
        <w:rPr>
          <w:noProof/>
        </w:rPr>
        <w:t>103</w:t>
      </w:r>
      <w:r w:rsidR="003A700C">
        <w:fldChar w:fldCharType="end"/>
      </w:r>
      <w:r w:rsidR="0031378E">
        <w:t>[259-266]</w:t>
      </w:r>
      <w:r>
        <w:t xml:space="preserve">. </w:t>
      </w:r>
    </w:p>
    <w:p w:rsidR="00317656" w:rsidRDefault="00317656" w:rsidP="00317656">
      <w:r w:rsidRPr="000A34B5">
        <w:rPr>
          <w:rStyle w:val="italicus"/>
        </w:rPr>
        <w:t>Tsitsith</w:t>
      </w:r>
      <w:r w:rsidRPr="004440EA">
        <w:t xml:space="preserve"> (</w:t>
      </w:r>
      <w:r>
        <w:t>Les</w:t>
      </w:r>
      <w:r w:rsidRPr="00950016">
        <w:t>)</w:t>
      </w:r>
      <w:r>
        <w:t xml:space="preserve">, p. </w:t>
      </w:r>
      <w:r w:rsidR="003A700C">
        <w:fldChar w:fldCharType="begin"/>
      </w:r>
      <w:r w:rsidR="0045628B">
        <w:instrText xml:space="preserve"> PAGEREF z_Tsitsith_o1 \h </w:instrText>
      </w:r>
      <w:r w:rsidR="003A700C">
        <w:fldChar w:fldCharType="separate"/>
      </w:r>
      <w:r w:rsidR="009D58B1">
        <w:rPr>
          <w:noProof/>
        </w:rPr>
        <w:t>106</w:t>
      </w:r>
      <w:r w:rsidR="003A700C">
        <w:fldChar w:fldCharType="end"/>
      </w:r>
      <w:r w:rsidR="00860A96">
        <w:t>[274]</w:t>
      </w:r>
      <w:r>
        <w:t xml:space="preserve">. </w:t>
      </w:r>
    </w:p>
    <w:p w:rsidR="00317656" w:rsidRDefault="00317656" w:rsidP="00317656"/>
    <w:p w:rsidR="00317656" w:rsidRDefault="00317656" w:rsidP="00317656">
      <w:r>
        <w:lastRenderedPageBreak/>
        <w:t xml:space="preserve">Variantes du texte grec pour le Nouveau Testament, p. </w:t>
      </w:r>
      <w:r w:rsidR="003A700C">
        <w:fldChar w:fldCharType="begin"/>
      </w:r>
      <w:r w:rsidR="0045628B">
        <w:instrText xml:space="preserve"> PAGEREF z_Variantes_o1 \h </w:instrText>
      </w:r>
      <w:r w:rsidR="003A700C">
        <w:fldChar w:fldCharType="separate"/>
      </w:r>
      <w:r w:rsidR="009D58B1">
        <w:rPr>
          <w:noProof/>
        </w:rPr>
        <w:t>76</w:t>
      </w:r>
      <w:r w:rsidR="003A700C">
        <w:fldChar w:fldCharType="end"/>
      </w:r>
      <w:r w:rsidR="00860A96">
        <w:t>[191]</w:t>
      </w:r>
      <w:r>
        <w:t xml:space="preserve">. </w:t>
      </w:r>
    </w:p>
    <w:p w:rsidR="00FC5B43" w:rsidRDefault="007B3C26" w:rsidP="00317656">
      <w:r>
        <w:rPr>
          <w:smallCaps/>
        </w:rPr>
        <w:t>Ve</w:t>
      </w:r>
      <w:r w:rsidR="00317656">
        <w:rPr>
          <w:smallCaps/>
        </w:rPr>
        <w:t>rnes</w:t>
      </w:r>
      <w:r w:rsidR="00317656">
        <w:t>, Maurice</w:t>
      </w:r>
      <w:r w:rsidR="00317656" w:rsidRPr="004440EA">
        <w:t xml:space="preserve"> (</w:t>
      </w:r>
      <w:r w:rsidR="00317656">
        <w:t>M.</w:t>
      </w:r>
      <w:r w:rsidR="00317656" w:rsidRPr="00950016">
        <w:t xml:space="preserve">) </w:t>
      </w:r>
      <w:r w:rsidR="00317656">
        <w:t xml:space="preserve">et le Nouveau Testament, p. </w:t>
      </w:r>
      <w:r w:rsidR="003A700C">
        <w:fldChar w:fldCharType="begin"/>
      </w:r>
      <w:r w:rsidR="0045628B">
        <w:instrText xml:space="preserve"> PAGEREF z_VernesMaurice_o1 \h </w:instrText>
      </w:r>
      <w:r w:rsidR="003A700C">
        <w:fldChar w:fldCharType="separate"/>
      </w:r>
      <w:r w:rsidR="009D58B1">
        <w:rPr>
          <w:noProof/>
        </w:rPr>
        <w:t>58</w:t>
      </w:r>
      <w:r w:rsidR="003A700C">
        <w:fldChar w:fldCharType="end"/>
      </w:r>
      <w:r w:rsidR="00860A96">
        <w:t>[147]</w:t>
      </w:r>
      <w:r w:rsidR="00317656">
        <w:t xml:space="preserve"> et suiv. </w:t>
      </w:r>
    </w:p>
    <w:p w:rsidR="00317656" w:rsidRDefault="007B3C26" w:rsidP="00317656">
      <w:r>
        <w:t>Ve</w:t>
      </w:r>
      <w:r w:rsidR="00317656">
        <w:t xml:space="preserve">rsets de la Bible, leur origine, p. </w:t>
      </w:r>
      <w:r w:rsidR="003A700C">
        <w:fldChar w:fldCharType="begin"/>
      </w:r>
      <w:r w:rsidR="00FC5B43">
        <w:instrText xml:space="preserve"> PAGEREF z_Versets_o1 \h </w:instrText>
      </w:r>
      <w:r w:rsidR="003A700C">
        <w:fldChar w:fldCharType="separate"/>
      </w:r>
      <w:r w:rsidR="009D58B1">
        <w:rPr>
          <w:noProof/>
        </w:rPr>
        <w:t>128</w:t>
      </w:r>
      <w:r w:rsidR="003A700C">
        <w:fldChar w:fldCharType="end"/>
      </w:r>
      <w:r w:rsidR="00860A96">
        <w:t>[329]</w:t>
      </w:r>
      <w:r w:rsidR="00317656">
        <w:t xml:space="preserve">. </w:t>
      </w:r>
    </w:p>
    <w:p w:rsidR="00317656" w:rsidRDefault="007B3C26" w:rsidP="00317656">
      <w:r>
        <w:t>Ve</w:t>
      </w:r>
      <w:r w:rsidR="00317656">
        <w:t xml:space="preserve">rsion autorisée de la Bible en Angleterre, p. </w:t>
      </w:r>
      <w:r w:rsidR="003A700C">
        <w:fldChar w:fldCharType="begin"/>
      </w:r>
      <w:r w:rsidR="00FC5B43">
        <w:instrText xml:space="preserve"> PAGEREF z_VersionAutorisee_o1 \h </w:instrText>
      </w:r>
      <w:r w:rsidR="003A700C">
        <w:fldChar w:fldCharType="separate"/>
      </w:r>
      <w:r w:rsidR="009D58B1">
        <w:rPr>
          <w:noProof/>
        </w:rPr>
        <w:t>72</w:t>
      </w:r>
      <w:r w:rsidR="003A700C">
        <w:fldChar w:fldCharType="end"/>
      </w:r>
      <w:r w:rsidR="00860A96">
        <w:t>[181]</w:t>
      </w:r>
      <w:r w:rsidR="00317656">
        <w:t xml:space="preserve"> et suiv. ; — catholique de Douai, p. </w:t>
      </w:r>
      <w:r w:rsidR="003A700C">
        <w:fldChar w:fldCharType="begin"/>
      </w:r>
      <w:r w:rsidR="00FC5B43">
        <w:instrText xml:space="preserve"> PAGEREF z_VersionAutorisee_o2 \h </w:instrText>
      </w:r>
      <w:r w:rsidR="003A700C">
        <w:fldChar w:fldCharType="separate"/>
      </w:r>
      <w:r w:rsidR="009D58B1">
        <w:rPr>
          <w:noProof/>
        </w:rPr>
        <w:t>75</w:t>
      </w:r>
      <w:r w:rsidR="003A700C">
        <w:fldChar w:fldCharType="end"/>
      </w:r>
      <w:r w:rsidR="00860A96">
        <w:t>[187]</w:t>
      </w:r>
      <w:r w:rsidR="00317656">
        <w:t xml:space="preserve"> et suiv. </w:t>
      </w:r>
    </w:p>
    <w:p w:rsidR="00317656" w:rsidRDefault="00317656" w:rsidP="00317656">
      <w:r>
        <w:rPr>
          <w:smallCaps/>
        </w:rPr>
        <w:t>Voltaire</w:t>
      </w:r>
      <w:r>
        <w:t xml:space="preserve"> et </w:t>
      </w:r>
      <w:r w:rsidRPr="00D40830">
        <w:t>l’</w:t>
      </w:r>
      <w:r w:rsidRPr="00D05EA9">
        <w:rPr>
          <w:rStyle w:val="italicus"/>
        </w:rPr>
        <w:t>῾almah</w:t>
      </w:r>
      <w:r>
        <w:t xml:space="preserve"> d’Isaïe, p. </w:t>
      </w:r>
      <w:r w:rsidR="003A700C">
        <w:fldChar w:fldCharType="begin"/>
      </w:r>
      <w:r w:rsidR="00FC5B43">
        <w:instrText xml:space="preserve"> PAGEREF z_Voltaire_o1 \h </w:instrText>
      </w:r>
      <w:r w:rsidR="003A700C">
        <w:fldChar w:fldCharType="separate"/>
      </w:r>
      <w:r w:rsidR="009D58B1">
        <w:rPr>
          <w:noProof/>
        </w:rPr>
        <w:t>27</w:t>
      </w:r>
      <w:r w:rsidR="003A700C">
        <w:fldChar w:fldCharType="end"/>
      </w:r>
      <w:r w:rsidR="00860A96">
        <w:t>[63]</w:t>
      </w:r>
      <w:r>
        <w:t xml:space="preserve"> ; — et M. Havet, p. </w:t>
      </w:r>
      <w:r w:rsidR="003A700C">
        <w:fldChar w:fldCharType="begin"/>
      </w:r>
      <w:r w:rsidR="00FC5B43">
        <w:instrText xml:space="preserve"> PAGEREF z_Voltaire_o2 \h </w:instrText>
      </w:r>
      <w:r w:rsidR="003A700C">
        <w:fldChar w:fldCharType="separate"/>
      </w:r>
      <w:r w:rsidR="009D58B1">
        <w:rPr>
          <w:noProof/>
        </w:rPr>
        <w:t>52</w:t>
      </w:r>
      <w:r w:rsidR="003A700C">
        <w:fldChar w:fldCharType="end"/>
      </w:r>
      <w:r w:rsidR="0031378E">
        <w:t>[130-131]</w:t>
      </w:r>
      <w:r>
        <w:t xml:space="preserve">. </w:t>
      </w:r>
    </w:p>
    <w:p w:rsidR="000A7AAB" w:rsidRDefault="00883A2A" w:rsidP="00F61740">
      <w:pPr>
        <w:pStyle w:val="centrum"/>
      </w:pPr>
      <w:r>
        <w:t>FIN DE LA TABLE</w:t>
      </w:r>
      <w:r>
        <w:br/>
      </w:r>
      <w:r w:rsidR="000A7AAB" w:rsidRPr="007F7792">
        <w:t xml:space="preserve">ALPHABÉTIQUE DES MATIÈRES. </w:t>
      </w:r>
    </w:p>
    <w:p w:rsidR="00F61740" w:rsidRDefault="00F61740" w:rsidP="00F61740">
      <w:pPr>
        <w:pStyle w:val="centrum"/>
      </w:pPr>
    </w:p>
    <w:p w:rsidR="00F61740" w:rsidRPr="007F7792" w:rsidRDefault="00F61740" w:rsidP="00F61740">
      <w:pPr>
        <w:pStyle w:val="centrum"/>
      </w:pPr>
      <w:r>
        <w:t>———</w:t>
      </w:r>
    </w:p>
    <w:p w:rsidR="000A7AAB" w:rsidRDefault="000A7AAB" w:rsidP="000A7AAB">
      <w:r w:rsidRPr="007F7792">
        <w:t>IMPRIMERIE CONTANT-</w:t>
      </w:r>
      <w:r w:rsidR="00C138DA" w:rsidRPr="007F7792">
        <w:t>LAGUERRE</w:t>
      </w:r>
      <w:r w:rsidRPr="007F7792">
        <w:t xml:space="preserve">. </w:t>
      </w:r>
    </w:p>
    <w:p w:rsidR="00906413" w:rsidRPr="007F7792" w:rsidRDefault="00906413" w:rsidP="00906413">
      <w:pPr>
        <w:pStyle w:val="centrum"/>
      </w:pPr>
      <w:r>
        <w:t>———</w:t>
      </w:r>
    </w:p>
    <w:p w:rsidR="000A7AAB" w:rsidRPr="007F7792" w:rsidRDefault="000A7AAB" w:rsidP="00906413">
      <w:pPr>
        <w:pStyle w:val="centrum"/>
      </w:pPr>
      <w:r w:rsidRPr="007F7792">
        <w:t xml:space="preserve">NOUVELLE MÉTHODE PRATIQUE ET FACILE </w:t>
      </w:r>
    </w:p>
    <w:p w:rsidR="000A7AAB" w:rsidRPr="007F7792" w:rsidRDefault="000A7AAB" w:rsidP="00906413">
      <w:pPr>
        <w:pStyle w:val="centrum"/>
      </w:pPr>
      <w:r w:rsidRPr="007F7792">
        <w:t xml:space="preserve">pour apprendre sans maître </w:t>
      </w:r>
    </w:p>
    <w:p w:rsidR="000A7AAB" w:rsidRPr="007F7792" w:rsidRDefault="000A7AAB" w:rsidP="00906413">
      <w:pPr>
        <w:pStyle w:val="centrum"/>
      </w:pPr>
      <w:r w:rsidRPr="007F7792">
        <w:t xml:space="preserve">LA LANGUE HÉBRAÏQUE </w:t>
      </w:r>
    </w:p>
    <w:p w:rsidR="000A7AAB" w:rsidRPr="007F7792" w:rsidRDefault="000A7AAB" w:rsidP="00906413">
      <w:pPr>
        <w:pStyle w:val="centrum"/>
      </w:pPr>
      <w:r w:rsidRPr="007F7792">
        <w:t xml:space="preserve">Par D, SCHILLING </w:t>
      </w:r>
    </w:p>
    <w:p w:rsidR="000A7AAB" w:rsidRPr="007F7792" w:rsidRDefault="000A7AAB" w:rsidP="00906413">
      <w:pPr>
        <w:pStyle w:val="centrum"/>
      </w:pPr>
      <w:r w:rsidRPr="007F7792">
        <w:t>ANCIEN PROFESSEUR AU GYMNASE CATHOLIQUE DE COLMAR</w:t>
      </w:r>
      <w:r w:rsidRPr="004440EA">
        <w:t xml:space="preserve"> (</w:t>
      </w:r>
      <w:r w:rsidRPr="007F7792">
        <w:t>ALSACE</w:t>
      </w:r>
      <w:r w:rsidR="00B546AF" w:rsidRPr="007F7792">
        <w:t>)</w:t>
      </w:r>
      <w:r w:rsidRPr="007F7792">
        <w:t xml:space="preserve"> </w:t>
      </w:r>
    </w:p>
    <w:p w:rsidR="000A7AAB" w:rsidRPr="007F7792" w:rsidRDefault="000A7AAB" w:rsidP="00906413">
      <w:pPr>
        <w:pStyle w:val="centrum"/>
      </w:pPr>
      <w:r w:rsidRPr="007F7792">
        <w:t>I vol. in-8°. — Prix</w:t>
      </w:r>
      <w:r w:rsidR="00422B3A">
        <w:t xml:space="preserve"> </w:t>
      </w:r>
      <w:r w:rsidRPr="007F7792">
        <w:t xml:space="preserve">5 francs </w:t>
      </w:r>
    </w:p>
    <w:p w:rsidR="000A7AAB" w:rsidRPr="007F7792" w:rsidRDefault="000A7AAB" w:rsidP="000A7AAB">
      <w:r w:rsidRPr="007F7792">
        <w:t xml:space="preserve">Cette nouvelle Méthode hébraïque offre dans sa partie élémentaire ainsi que dans sa syntaxe des avantages qu’on chercherait en vain dans les grammaires publiées jusqu’à ce jour. Dans la section élémentaire, que l’auteur dispose d’après le système de nos langues modernes, chaque partie du discours </w:t>
      </w:r>
      <w:r w:rsidR="00425C50">
        <w:t>est</w:t>
      </w:r>
      <w:r w:rsidRPr="007F7792">
        <w:t xml:space="preserve"> accompagnée d’un passage æ la Bible hébraïque, t</w:t>
      </w:r>
      <w:r w:rsidR="003B53FD" w:rsidRPr="007F7792">
        <w:t>raduit</w:t>
      </w:r>
      <w:r w:rsidRPr="007F7792">
        <w:t xml:space="preserve"> et analysé, d’où sont tirés les exemples cités à l’</w:t>
      </w:r>
      <w:r w:rsidR="003B53FD" w:rsidRPr="007F7792">
        <w:t>appui</w:t>
      </w:r>
      <w:r w:rsidRPr="007F7792">
        <w:t xml:space="preserve"> des régies. L’élève ne rencontre plus à son début les arides théories sur les accents, sur le changement de voyelles</w:t>
      </w:r>
      <w:r w:rsidR="00B546AF" w:rsidRPr="007F7792">
        <w:t> ;</w:t>
      </w:r>
      <w:r w:rsidRPr="007F7792">
        <w:t xml:space="preserve"> ces points, comme bien d’autres, ne sont traités que lorsqu’ils ont été entrevus par la pratique. Le mécanisme de la flexion des noms et de la conjugaison des verbes </w:t>
      </w:r>
      <w:r w:rsidR="00425C50">
        <w:t>est</w:t>
      </w:r>
      <w:r w:rsidRPr="007F7792">
        <w:t xml:space="preserve"> supérieurement traité. Les paradigmes soit du nom, soit du verbe, au lieu d’être renvoyés à la fin du livre, sont incorporés Su texte même, et se trouvent à la place qu’ils doivent naturellement occuper</w:t>
      </w:r>
      <w:r w:rsidR="00B546AF" w:rsidRPr="007F7792">
        <w:t> :</w:t>
      </w:r>
      <w:r w:rsidRPr="007F7792">
        <w:t xml:space="preserve"> tous les exemples cités sont traduits en latin. Malgré l’aridité de la matière, l’auteur a su faire entrer dans sa méthode un charme particulier, qui fait qu’on étudie sans fatiguer l’esprit, et que l’intérêt va toujours croissant à mesure que l’on avance</w:t>
      </w:r>
      <w:r w:rsidR="00B546AF" w:rsidRPr="007F7792">
        <w:t> :</w:t>
      </w:r>
      <w:r w:rsidRPr="007F7792">
        <w:t xml:space="preserve"> il n’a d’ailleurs eu pour but que de mettre par écrit un plan qu’il suivait depuis de nombreuses années, d’après lequel il se faisait fort d’enseigner l’hébreu en six leçons. La syntaxe, très complète, procure aux jeunes hébraïsants les moyens d’éclaircir, par le secours du texte original, les difficultés exégétiques qui surgissent fort souvent dans l’étude de l’Écriture sainte. — La table alphabétique des matières, qui termine le volume, mérite une mention spéciale pour sa disposition nette, qui permet de rechercher en un clin d’œil la solution d’une question grammaticale quelconque échappée à la mémoire. </w:t>
      </w:r>
    </w:p>
    <w:p w:rsidR="000A7AAB" w:rsidRPr="007F7792" w:rsidRDefault="000A7AAB" w:rsidP="000A7AAB"/>
    <w:p w:rsidR="000A7AAB" w:rsidRPr="007F7792" w:rsidRDefault="000A7AAB" w:rsidP="00A14FF5">
      <w:pPr>
        <w:pStyle w:val="centrum"/>
      </w:pPr>
      <w:r w:rsidRPr="007F7792">
        <w:t xml:space="preserve">DU MÊME </w:t>
      </w:r>
      <w:r w:rsidR="00ED3546">
        <w:t xml:space="preserve">AUTEUR </w:t>
      </w:r>
    </w:p>
    <w:p w:rsidR="000A7AAB" w:rsidRPr="007F7792" w:rsidRDefault="00ED3546" w:rsidP="00A14FF5">
      <w:pPr>
        <w:pStyle w:val="centrum"/>
      </w:pPr>
      <w:r>
        <w:t>PRECES QUOTIDIÁNÆ</w:t>
      </w:r>
      <w:r w:rsidRPr="007F7792">
        <w:t xml:space="preserve"> </w:t>
      </w:r>
    </w:p>
    <w:p w:rsidR="000A7AAB" w:rsidRPr="007F7792" w:rsidRDefault="000A7AAB" w:rsidP="00A14FF5">
      <w:pPr>
        <w:pStyle w:val="centrum"/>
      </w:pPr>
      <w:r w:rsidRPr="007F7792">
        <w:t>(</w:t>
      </w:r>
      <w:r w:rsidR="00ED3546" w:rsidRPr="007F7792">
        <w:t>hebráice</w:t>
      </w:r>
      <w:r w:rsidRPr="007F7792">
        <w:t xml:space="preserve"> et latine</w:t>
      </w:r>
      <w:r w:rsidR="00B546AF" w:rsidRPr="007F7792">
        <w:t>)</w:t>
      </w:r>
      <w:r w:rsidRPr="007F7792">
        <w:t xml:space="preserve"> </w:t>
      </w:r>
    </w:p>
    <w:p w:rsidR="00ED3546" w:rsidRPr="007F47B8" w:rsidRDefault="00ED3546" w:rsidP="00A14FF5">
      <w:pPr>
        <w:pStyle w:val="centrum"/>
      </w:pPr>
      <w:r w:rsidRPr="007F47B8">
        <w:t xml:space="preserve">Ad usum SS. </w:t>
      </w:r>
      <w:r w:rsidR="00A14FF5" w:rsidRPr="007F47B8">
        <w:t>Theológiæ</w:t>
      </w:r>
      <w:r w:rsidR="000A7AAB" w:rsidRPr="007F47B8">
        <w:t xml:space="preserve"> et Ling</w:t>
      </w:r>
      <w:r w:rsidR="0050504D" w:rsidRPr="007F47B8">
        <w:t>u</w:t>
      </w:r>
      <w:r w:rsidRPr="007F47B8">
        <w:t>æ</w:t>
      </w:r>
      <w:r w:rsidR="000A7AAB" w:rsidRPr="007F47B8">
        <w:t xml:space="preserve"> </w:t>
      </w:r>
      <w:r w:rsidR="0050504D" w:rsidRPr="007F47B8">
        <w:t>hebrǽæ</w:t>
      </w:r>
      <w:r w:rsidR="00A14FF5" w:rsidRPr="007F47B8">
        <w:t xml:space="preserve"> </w:t>
      </w:r>
      <w:r w:rsidR="0050504D" w:rsidRPr="007F47B8">
        <w:t>Studiosósum</w:t>
      </w:r>
      <w:r w:rsidRPr="007F47B8">
        <w:t xml:space="preserve"> in </w:t>
      </w:r>
      <w:r w:rsidR="0050504D" w:rsidRPr="007F47B8">
        <w:t>Universitátibus cathólicis</w:t>
      </w:r>
      <w:r w:rsidR="000A7AAB" w:rsidRPr="007F47B8">
        <w:t xml:space="preserve"> et semin</w:t>
      </w:r>
      <w:r w:rsidR="003B53FD" w:rsidRPr="007F47B8">
        <w:t>áriis</w:t>
      </w:r>
      <w:r w:rsidR="00A14FF5" w:rsidRPr="007F47B8">
        <w:t xml:space="preserve"> episcopálibus</w:t>
      </w:r>
      <w:r w:rsidR="000A7AAB" w:rsidRPr="007F47B8">
        <w:t xml:space="preserve"> </w:t>
      </w:r>
    </w:p>
    <w:p w:rsidR="00ED3546" w:rsidRDefault="0050504D" w:rsidP="00A14FF5">
      <w:pPr>
        <w:pStyle w:val="centrum"/>
      </w:pPr>
      <w:r>
        <w:t>COLLÉCTÆ</w:t>
      </w:r>
      <w:r w:rsidR="000A7AAB" w:rsidRPr="007F7792">
        <w:t xml:space="preserve"> ET IN </w:t>
      </w:r>
      <w:r w:rsidRPr="007F7792">
        <w:t>HEBR</w:t>
      </w:r>
      <w:r>
        <w:t>ǼU</w:t>
      </w:r>
      <w:r w:rsidRPr="007F7792">
        <w:t>M</w:t>
      </w:r>
      <w:r w:rsidR="000A7AAB" w:rsidRPr="007F7792">
        <w:t xml:space="preserve"> VERS.</w:t>
      </w:r>
      <w:r w:rsidR="00ED3546">
        <w:t xml:space="preserve"> </w:t>
      </w:r>
    </w:p>
    <w:p w:rsidR="000A7AAB" w:rsidRPr="0031378E" w:rsidRDefault="000A7AAB" w:rsidP="00A14FF5">
      <w:pPr>
        <w:pStyle w:val="centrum"/>
        <w:rPr>
          <w:lang w:val="en-US"/>
        </w:rPr>
      </w:pPr>
      <w:r w:rsidRPr="0031378E">
        <w:rPr>
          <w:lang w:val="en-US"/>
        </w:rPr>
        <w:t xml:space="preserve">1 vol. in-16. — Prix. 5 fr. </w:t>
      </w:r>
    </w:p>
    <w:p w:rsidR="00ED3546" w:rsidRPr="0031378E" w:rsidRDefault="00ED3546" w:rsidP="00A14FF5">
      <w:pPr>
        <w:pStyle w:val="centrum"/>
        <w:rPr>
          <w:lang w:val="en-US"/>
        </w:rPr>
      </w:pPr>
      <w:r w:rsidRPr="0031378E">
        <w:rPr>
          <w:lang w:val="en-US"/>
        </w:rPr>
        <w:t>———</w:t>
      </w:r>
    </w:p>
    <w:p w:rsidR="000A7AAB" w:rsidRPr="0031378E" w:rsidRDefault="00ED3546" w:rsidP="00A14FF5">
      <w:pPr>
        <w:pStyle w:val="centrum"/>
        <w:rPr>
          <w:lang w:val="en-US"/>
        </w:rPr>
      </w:pPr>
      <w:r w:rsidRPr="0031378E">
        <w:rPr>
          <w:lang w:val="en-US"/>
        </w:rPr>
        <w:t>VATICÍNIA</w:t>
      </w:r>
      <w:r w:rsidR="000A7AAB" w:rsidRPr="0031378E">
        <w:rPr>
          <w:lang w:val="en-US"/>
        </w:rPr>
        <w:t xml:space="preserve"> </w:t>
      </w:r>
      <w:r w:rsidR="0050504D" w:rsidRPr="0031378E">
        <w:rPr>
          <w:lang w:val="en-US"/>
        </w:rPr>
        <w:t>MESSIÁNA</w:t>
      </w:r>
      <w:r w:rsidR="000A7AAB" w:rsidRPr="0031378E">
        <w:rPr>
          <w:lang w:val="en-US"/>
        </w:rPr>
        <w:t xml:space="preserve"> </w:t>
      </w:r>
    </w:p>
    <w:p w:rsidR="000A7AAB" w:rsidRPr="007F7792" w:rsidRDefault="0050504D" w:rsidP="00A14FF5">
      <w:pPr>
        <w:pStyle w:val="centrum"/>
      </w:pPr>
      <w:r w:rsidRPr="007F7792">
        <w:t>Véteris</w:t>
      </w:r>
      <w:r w:rsidR="000A7AAB" w:rsidRPr="007F7792">
        <w:t xml:space="preserve"> </w:t>
      </w:r>
      <w:r w:rsidRPr="007F7792">
        <w:t>Testaménti</w:t>
      </w:r>
      <w:r w:rsidR="000A7AAB" w:rsidRPr="007F7792">
        <w:t xml:space="preserve"> hebr</w:t>
      </w:r>
      <w:r>
        <w:t>á</w:t>
      </w:r>
      <w:r w:rsidR="000A7AAB" w:rsidRPr="007F7792">
        <w:t xml:space="preserve">ici </w:t>
      </w:r>
    </w:p>
    <w:p w:rsidR="00A14FF5" w:rsidRDefault="0050504D" w:rsidP="00A14FF5">
      <w:pPr>
        <w:pStyle w:val="centrum"/>
      </w:pPr>
      <w:r w:rsidRPr="007F7792">
        <w:t>EXEGÉTICE</w:t>
      </w:r>
      <w:r w:rsidR="000A7AAB" w:rsidRPr="007F7792">
        <w:t xml:space="preserve"> ET </w:t>
      </w:r>
      <w:r w:rsidRPr="007F7792">
        <w:t>PHILOLÓGICE</w:t>
      </w:r>
      <w:r w:rsidR="000A7AAB">
        <w:t xml:space="preserve"> </w:t>
      </w:r>
      <w:r>
        <w:t>DILUCIDÁTA</w:t>
      </w:r>
      <w:r w:rsidR="000A7AAB">
        <w:t xml:space="preserve"> </w:t>
      </w:r>
    </w:p>
    <w:p w:rsidR="0050504D" w:rsidRDefault="00A14FF5" w:rsidP="00A14FF5">
      <w:pPr>
        <w:pStyle w:val="centrum"/>
        <w:rPr>
          <w:rStyle w:val="italicus"/>
        </w:rPr>
      </w:pPr>
      <w:r>
        <w:rPr>
          <w:rStyle w:val="italicus"/>
        </w:rPr>
        <w:t>in</w:t>
      </w:r>
      <w:r w:rsidR="000A7AAB" w:rsidRPr="000A34B5">
        <w:rPr>
          <w:rStyle w:val="italicus"/>
        </w:rPr>
        <w:t xml:space="preserve"> modum</w:t>
      </w:r>
      <w:r w:rsidR="000A7AAB">
        <w:t xml:space="preserve"> </w:t>
      </w:r>
      <w:r w:rsidR="0050504D">
        <w:t>Chrestomáthiæ hebráicæ</w:t>
      </w:r>
      <w:r w:rsidR="000A7AAB" w:rsidRPr="000A34B5">
        <w:rPr>
          <w:rStyle w:val="italicus"/>
        </w:rPr>
        <w:t xml:space="preserve"> or</w:t>
      </w:r>
      <w:r w:rsidR="003B53FD" w:rsidRPr="000A34B5">
        <w:rPr>
          <w:rStyle w:val="italicus"/>
        </w:rPr>
        <w:t>din</w:t>
      </w:r>
      <w:r w:rsidR="003B53FD">
        <w:rPr>
          <w:rStyle w:val="italicus"/>
        </w:rPr>
        <w:t>á</w:t>
      </w:r>
      <w:r w:rsidR="003B53FD" w:rsidRPr="000A34B5">
        <w:rPr>
          <w:rStyle w:val="italicus"/>
        </w:rPr>
        <w:t>ta</w:t>
      </w:r>
      <w:r w:rsidR="000A7AAB" w:rsidRPr="000A34B5">
        <w:rPr>
          <w:rStyle w:val="italicus"/>
        </w:rPr>
        <w:t xml:space="preserve"> </w:t>
      </w:r>
    </w:p>
    <w:p w:rsidR="00A14FF5" w:rsidRDefault="0050504D" w:rsidP="00A14FF5">
      <w:pPr>
        <w:pStyle w:val="centrum"/>
        <w:rPr>
          <w:rStyle w:val="italicus"/>
        </w:rPr>
      </w:pPr>
      <w:r>
        <w:rPr>
          <w:rStyle w:val="italicus"/>
        </w:rPr>
        <w:t>cum</w:t>
      </w:r>
      <w:r w:rsidR="000A7AAB" w:rsidRPr="000A34B5">
        <w:rPr>
          <w:rStyle w:val="italicus"/>
        </w:rPr>
        <w:t xml:space="preserve"> Vocabul</w:t>
      </w:r>
      <w:r w:rsidR="003B53FD">
        <w:rPr>
          <w:rStyle w:val="italicus"/>
        </w:rPr>
        <w:t>á</w:t>
      </w:r>
      <w:r w:rsidR="003B53FD" w:rsidRPr="000A34B5">
        <w:rPr>
          <w:rStyle w:val="italicus"/>
        </w:rPr>
        <w:t>rio</w:t>
      </w:r>
      <w:r w:rsidRPr="000A34B5">
        <w:rPr>
          <w:rStyle w:val="italicus"/>
        </w:rPr>
        <w:t xml:space="preserve">, </w:t>
      </w:r>
      <w:r w:rsidR="000A7AAB" w:rsidRPr="000A34B5">
        <w:rPr>
          <w:rStyle w:val="italicus"/>
        </w:rPr>
        <w:t>H</w:t>
      </w:r>
      <w:r w:rsidR="003B53FD" w:rsidRPr="000A34B5">
        <w:rPr>
          <w:rStyle w:val="italicus"/>
        </w:rPr>
        <w:t>ebr</w:t>
      </w:r>
      <w:r w:rsidR="003B53FD">
        <w:rPr>
          <w:rStyle w:val="italicus"/>
        </w:rPr>
        <w:t>ǽ</w:t>
      </w:r>
      <w:r w:rsidR="003B53FD" w:rsidRPr="000A34B5">
        <w:rPr>
          <w:rStyle w:val="italicus"/>
        </w:rPr>
        <w:t>o</w:t>
      </w:r>
      <w:r w:rsidR="000A7AAB" w:rsidRPr="000A34B5">
        <w:rPr>
          <w:rStyle w:val="italicus"/>
        </w:rPr>
        <w:t xml:space="preserve">-Latino </w:t>
      </w:r>
    </w:p>
    <w:p w:rsidR="000A7AAB" w:rsidRDefault="000A7AAB" w:rsidP="00A14FF5">
      <w:pPr>
        <w:pStyle w:val="centrum"/>
      </w:pPr>
      <w:r>
        <w:t>Vol. 1, Vatic</w:t>
      </w:r>
      <w:r w:rsidR="003B53FD">
        <w:t>ínia</w:t>
      </w:r>
      <w:r>
        <w:t xml:space="preserve"> </w:t>
      </w:r>
      <w:r w:rsidR="0050504D">
        <w:t>Messiána</w:t>
      </w:r>
      <w:r>
        <w:t xml:space="preserve"> </w:t>
      </w:r>
      <w:r w:rsidR="0050504D">
        <w:t>Pentatéuchi</w:t>
      </w:r>
      <w:r>
        <w:t xml:space="preserve"> et </w:t>
      </w:r>
      <w:r w:rsidR="0050504D">
        <w:t>Librórum</w:t>
      </w:r>
      <w:r>
        <w:t xml:space="preserve"> </w:t>
      </w:r>
      <w:r w:rsidR="0050504D">
        <w:t>h</w:t>
      </w:r>
      <w:r>
        <w:t>isto</w:t>
      </w:r>
      <w:r w:rsidR="003B53FD">
        <w:t>ricórum</w:t>
      </w:r>
      <w:r>
        <w:t xml:space="preserve"> </w:t>
      </w:r>
      <w:r w:rsidR="007B3C26">
        <w:t>Ve</w:t>
      </w:r>
      <w:r>
        <w:t xml:space="preserve">t. Test. </w:t>
      </w:r>
    </w:p>
    <w:p w:rsidR="000A7AAB" w:rsidRPr="00A14FF5" w:rsidRDefault="000A7AAB" w:rsidP="00A14FF5">
      <w:pPr>
        <w:pStyle w:val="centrum"/>
      </w:pPr>
      <w:r w:rsidRPr="00A14FF5">
        <w:t>1 vo</w:t>
      </w:r>
      <w:r w:rsidR="00CF7B05" w:rsidRPr="00A14FF5">
        <w:t>l</w:t>
      </w:r>
      <w:r w:rsidRPr="00A14FF5">
        <w:t xml:space="preserve">.. in-8° </w:t>
      </w:r>
      <w:r w:rsidR="0050504D">
        <w:t>—</w:t>
      </w:r>
      <w:r w:rsidRPr="00A14FF5">
        <w:t xml:space="preserve"> 4 fr. 50 </w:t>
      </w:r>
    </w:p>
    <w:p w:rsidR="00A14FF5" w:rsidRDefault="00A14FF5" w:rsidP="00A14FF5">
      <w:pPr>
        <w:pStyle w:val="centrum"/>
      </w:pPr>
      <w:r>
        <w:t>———</w:t>
      </w:r>
    </w:p>
    <w:p w:rsidR="000A7AAB" w:rsidRPr="007F7792" w:rsidRDefault="000A7AAB" w:rsidP="00A14FF5">
      <w:pPr>
        <w:pStyle w:val="centrum"/>
      </w:pPr>
      <w:r w:rsidRPr="007F7792">
        <w:t xml:space="preserve">DE L’HARMONIE </w:t>
      </w:r>
    </w:p>
    <w:p w:rsidR="000A7AAB" w:rsidRPr="007F7792" w:rsidRDefault="000A7AAB" w:rsidP="00A14FF5">
      <w:pPr>
        <w:pStyle w:val="centrum"/>
      </w:pPr>
      <w:r w:rsidRPr="007F7792">
        <w:t xml:space="preserve">ENTRE L’ÉGLISE ET LA SYNAGOGUE </w:t>
      </w:r>
    </w:p>
    <w:p w:rsidR="000A7AAB" w:rsidRPr="007F7792" w:rsidRDefault="00A14FF5" w:rsidP="00A14FF5">
      <w:pPr>
        <w:pStyle w:val="centrum"/>
      </w:pPr>
      <w:r>
        <w:lastRenderedPageBreak/>
        <w:t>OU</w:t>
      </w:r>
      <w:r w:rsidR="000A7AAB" w:rsidRPr="007F7792">
        <w:t xml:space="preserve"> PERPÉTUITÉ ET CATHOLICITÉ DE LA RELIGION CHRÉTIENNE Par le chevalier P. L. B. DRACH </w:t>
      </w:r>
    </w:p>
    <w:p w:rsidR="000A7AAB" w:rsidRPr="007F7792" w:rsidRDefault="000A7AAB" w:rsidP="00A14FF5">
      <w:pPr>
        <w:pStyle w:val="centrum"/>
      </w:pPr>
      <w:r w:rsidRPr="007F7792">
        <w:t>2 vol. in-8°. — Prix</w:t>
      </w:r>
      <w:r w:rsidR="00422B3A">
        <w:t xml:space="preserve"> </w:t>
      </w:r>
      <w:r w:rsidRPr="007F7792">
        <w:t xml:space="preserve">10 francs </w:t>
      </w:r>
    </w:p>
    <w:p w:rsidR="000A7AAB" w:rsidRDefault="000A7AAB" w:rsidP="00A14FF5">
      <w:pPr>
        <w:pStyle w:val="centrum"/>
      </w:pPr>
      <w:r w:rsidRPr="007F7792">
        <w:t xml:space="preserve">BAR-LE-DUC, IMPRIMERIE CONTANT-LAGUERRE. </w:t>
      </w:r>
    </w:p>
    <w:p w:rsidR="0031378E" w:rsidRDefault="0031378E" w:rsidP="00A14FF5">
      <w:pPr>
        <w:pStyle w:val="centrum"/>
      </w:pPr>
    </w:p>
    <w:p w:rsidR="0031378E" w:rsidRPr="007F7792" w:rsidRDefault="0031378E" w:rsidP="0031378E">
      <w:r w:rsidRPr="0031378E">
        <w:t>(\[[0-9\-]</w:t>
      </w:r>
      <w:r w:rsidR="00EC0C08">
        <w:t xml:space="preserve"> {</w:t>
      </w:r>
      <w:r w:rsidRPr="0031378E">
        <w:t>3;7}\])</w:t>
      </w:r>
    </w:p>
    <w:sectPr w:rsidR="0031378E" w:rsidRPr="007F7792" w:rsidSect="00A94BA4">
      <w:headerReference w:type="even" r:id="rId8"/>
      <w:headerReference w:type="default" r:id="rId9"/>
      <w:endnotePr>
        <w:numFmt w:val="decimal"/>
      </w:endnotePr>
      <w:type w:val="oddPage"/>
      <w:pgSz w:w="11906" w:h="16838" w:code="9"/>
      <w:pgMar w:top="1134" w:right="567" w:bottom="567" w:left="851" w:header="454" w:footer="284" w:gutter="0"/>
      <w:cols w:space="113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648" w:rsidRDefault="00830648" w:rsidP="00CE3162">
      <w:r>
        <w:separator/>
      </w:r>
    </w:p>
  </w:endnote>
  <w:endnote w:type="continuationSeparator" w:id="0">
    <w:p w:rsidR="00830648" w:rsidRDefault="00830648" w:rsidP="00CE3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648" w:rsidRDefault="00830648" w:rsidP="00CE3162">
      <w:r>
        <w:separator/>
      </w:r>
    </w:p>
  </w:footnote>
  <w:footnote w:type="continuationSeparator" w:id="0">
    <w:p w:rsidR="00830648" w:rsidRDefault="00830648" w:rsidP="00CE3162">
      <w:r>
        <w:continuationSeparator/>
      </w:r>
    </w:p>
  </w:footnote>
  <w:footnote w:id="1">
    <w:p w:rsidR="007F47B8" w:rsidRDefault="007F47B8">
      <w:pPr>
        <w:pStyle w:val="Notedebasdepage"/>
      </w:pPr>
      <w:r>
        <w:rPr>
          <w:rStyle w:val="Appelnotedebasdep"/>
        </w:rPr>
        <w:footnoteRef/>
      </w:r>
      <w:r>
        <w:t xml:space="preserve"> </w:t>
      </w:r>
      <w:r>
        <w:rPr>
          <w:rStyle w:val="italicus"/>
          <w:i w:val="0"/>
        </w:rPr>
        <w:t xml:space="preserve">$ </w:t>
      </w:r>
      <w:r w:rsidRPr="009B1C86">
        <w:rPr>
          <w:rStyle w:val="italicus"/>
          <w:i w:val="0"/>
        </w:rPr>
        <w:t>Nous</w:t>
      </w:r>
      <w:r>
        <w:rPr>
          <w:rStyle w:val="italicus"/>
          <w:i w:val="0"/>
        </w:rPr>
        <w:t xml:space="preserve"> </w:t>
      </w:r>
      <w:r w:rsidRPr="009B1C86">
        <w:rPr>
          <w:rStyle w:val="italicus"/>
          <w:i w:val="0"/>
        </w:rPr>
        <w:t>l</w:t>
      </w:r>
      <w:r>
        <w:rPr>
          <w:rStyle w:val="italicus"/>
          <w:i w:val="0"/>
        </w:rPr>
        <w:t>’</w:t>
      </w:r>
      <w:r w:rsidRPr="009B1C86">
        <w:rPr>
          <w:rStyle w:val="italicus"/>
          <w:i w:val="0"/>
        </w:rPr>
        <w:t>avons</w:t>
      </w:r>
      <w:r>
        <w:rPr>
          <w:rStyle w:val="italicus"/>
          <w:i w:val="0"/>
        </w:rPr>
        <w:t xml:space="preserve"> </w:t>
      </w:r>
      <w:r w:rsidRPr="009B1C86">
        <w:rPr>
          <w:rStyle w:val="italicus"/>
          <w:i w:val="0"/>
        </w:rPr>
        <w:t>publié</w:t>
      </w:r>
      <w:r>
        <w:rPr>
          <w:rStyle w:val="italicus"/>
          <w:i w:val="0"/>
        </w:rPr>
        <w:t xml:space="preserve"> </w:t>
      </w:r>
      <w:r w:rsidRPr="009B1C86">
        <w:rPr>
          <w:rStyle w:val="italicus"/>
          <w:i w:val="0"/>
        </w:rPr>
        <w:t>dans</w:t>
      </w:r>
      <w:r>
        <w:rPr>
          <w:rStyle w:val="italicus"/>
          <w:i w:val="0"/>
        </w:rPr>
        <w:t xml:space="preserve"> </w:t>
      </w:r>
      <w:r w:rsidRPr="009B1C86">
        <w:rPr>
          <w:rStyle w:val="italicus"/>
          <w:i w:val="0"/>
        </w:rPr>
        <w:t>la</w:t>
      </w:r>
      <w:r>
        <w:rPr>
          <w:rStyle w:val="italicus"/>
          <w:i w:val="0"/>
        </w:rPr>
        <w:t xml:space="preserve"> </w:t>
      </w:r>
      <w:r w:rsidRPr="009B1C86">
        <w:rPr>
          <w:rStyle w:val="italicus"/>
          <w:i w:val="0"/>
        </w:rPr>
        <w:t>Revue</w:t>
      </w:r>
      <w:r>
        <w:rPr>
          <w:rStyle w:val="italicus"/>
          <w:i w:val="0"/>
        </w:rPr>
        <w:t xml:space="preserve"> </w:t>
      </w:r>
      <w:r w:rsidRPr="009B1C86">
        <w:rPr>
          <w:rStyle w:val="italicus"/>
          <w:i w:val="0"/>
        </w:rPr>
        <w:t>des Sciences</w:t>
      </w:r>
      <w:r>
        <w:rPr>
          <w:rStyle w:val="italicus"/>
          <w:i w:val="0"/>
        </w:rPr>
        <w:t xml:space="preserve"> </w:t>
      </w:r>
      <w:r w:rsidRPr="009B1C86">
        <w:rPr>
          <w:rStyle w:val="italicus"/>
          <w:i w:val="0"/>
        </w:rPr>
        <w:t>ecclésiastiques,</w:t>
      </w:r>
      <w:r>
        <w:rPr>
          <w:rStyle w:val="italicus"/>
          <w:i w:val="0"/>
        </w:rPr>
        <w:t xml:space="preserve"> </w:t>
      </w:r>
      <w:r w:rsidRPr="009B1C86">
        <w:rPr>
          <w:rStyle w:val="italicus"/>
          <w:i w:val="0"/>
        </w:rPr>
        <w:t>n</w:t>
      </w:r>
      <w:r>
        <w:rPr>
          <w:rStyle w:val="italicus"/>
          <w:i w:val="0"/>
        </w:rPr>
        <w:t xml:space="preserve">° </w:t>
      </w:r>
      <w:r w:rsidRPr="009B1C86">
        <w:rPr>
          <w:rStyle w:val="italicus"/>
          <w:i w:val="0"/>
        </w:rPr>
        <w:t>de</w:t>
      </w:r>
      <w:r>
        <w:rPr>
          <w:rStyle w:val="italicus"/>
          <w:i w:val="0"/>
        </w:rPr>
        <w:t xml:space="preserve"> </w:t>
      </w:r>
      <w:r w:rsidRPr="009B1C86">
        <w:rPr>
          <w:rStyle w:val="italicus"/>
          <w:i w:val="0"/>
        </w:rPr>
        <w:t>juin</w:t>
      </w:r>
      <w:r>
        <w:rPr>
          <w:rStyle w:val="italicus"/>
          <w:i w:val="0"/>
        </w:rPr>
        <w:t xml:space="preserve"> </w:t>
      </w:r>
      <w:r w:rsidRPr="009B1C86">
        <w:rPr>
          <w:rStyle w:val="italicus"/>
          <w:i w:val="0"/>
        </w:rPr>
        <w:t>1868.</w:t>
      </w:r>
    </w:p>
  </w:footnote>
  <w:footnote w:id="2">
    <w:p w:rsidR="007F47B8" w:rsidRDefault="007F47B8">
      <w:pPr>
        <w:pStyle w:val="Notedebasdepage"/>
      </w:pPr>
      <w:r>
        <w:rPr>
          <w:rStyle w:val="Appelnotedebasdep"/>
        </w:rPr>
        <w:footnoteRef/>
      </w:r>
      <w:r>
        <w:t xml:space="preserve"> </w:t>
      </w:r>
      <w:r>
        <w:rPr>
          <w:rStyle w:val="italicus"/>
          <w:i w:val="0"/>
        </w:rPr>
        <w:t xml:space="preserve">$ Il </w:t>
      </w:r>
      <w:r w:rsidRPr="009B1C86">
        <w:rPr>
          <w:rStyle w:val="italicus"/>
          <w:i w:val="0"/>
        </w:rPr>
        <w:t>a</w:t>
      </w:r>
      <w:r>
        <w:rPr>
          <w:rStyle w:val="italicus"/>
          <w:i w:val="0"/>
        </w:rPr>
        <w:t xml:space="preserve"> </w:t>
      </w:r>
      <w:r w:rsidRPr="009B1C86">
        <w:rPr>
          <w:rStyle w:val="italicus"/>
          <w:i w:val="0"/>
        </w:rPr>
        <w:t>également</w:t>
      </w:r>
      <w:r>
        <w:rPr>
          <w:rStyle w:val="italicus"/>
          <w:i w:val="0"/>
        </w:rPr>
        <w:t xml:space="preserve"> </w:t>
      </w:r>
      <w:r w:rsidRPr="009B1C86">
        <w:rPr>
          <w:rStyle w:val="italicus"/>
          <w:i w:val="0"/>
        </w:rPr>
        <w:t>paru</w:t>
      </w:r>
      <w:r>
        <w:rPr>
          <w:rStyle w:val="italicus"/>
          <w:i w:val="0"/>
        </w:rPr>
        <w:t xml:space="preserve"> </w:t>
      </w:r>
      <w:r w:rsidRPr="009B1C86">
        <w:rPr>
          <w:rStyle w:val="italicus"/>
          <w:i w:val="0"/>
        </w:rPr>
        <w:t>dans</w:t>
      </w:r>
      <w:r>
        <w:rPr>
          <w:rStyle w:val="italicus"/>
          <w:i w:val="0"/>
        </w:rPr>
        <w:t xml:space="preserve"> </w:t>
      </w:r>
      <w:r w:rsidRPr="009B1C86">
        <w:rPr>
          <w:rStyle w:val="italicus"/>
          <w:i w:val="0"/>
        </w:rPr>
        <w:t>la</w:t>
      </w:r>
      <w:r>
        <w:rPr>
          <w:rStyle w:val="italicus"/>
          <w:i w:val="0"/>
        </w:rPr>
        <w:t xml:space="preserve"> </w:t>
      </w:r>
      <w:r w:rsidRPr="009B1C86">
        <w:rPr>
          <w:rStyle w:val="italicus"/>
          <w:i w:val="0"/>
        </w:rPr>
        <w:t>Revue</w:t>
      </w:r>
      <w:r>
        <w:rPr>
          <w:rStyle w:val="italicus"/>
          <w:i w:val="0"/>
        </w:rPr>
        <w:t xml:space="preserve"> </w:t>
      </w:r>
      <w:r w:rsidRPr="009B1C86">
        <w:rPr>
          <w:rStyle w:val="italicus"/>
          <w:i w:val="0"/>
        </w:rPr>
        <w:t>des</w:t>
      </w:r>
      <w:r>
        <w:rPr>
          <w:rStyle w:val="italicus"/>
          <w:i w:val="0"/>
        </w:rPr>
        <w:t xml:space="preserve"> </w:t>
      </w:r>
      <w:r w:rsidRPr="009B1C86">
        <w:rPr>
          <w:rStyle w:val="italicus"/>
          <w:i w:val="0"/>
        </w:rPr>
        <w:t>Sciences</w:t>
      </w:r>
      <w:r>
        <w:rPr>
          <w:rStyle w:val="italicus"/>
          <w:i w:val="0"/>
        </w:rPr>
        <w:t xml:space="preserve"> </w:t>
      </w:r>
      <w:r w:rsidRPr="009B1C86">
        <w:rPr>
          <w:rStyle w:val="italicus"/>
          <w:i w:val="0"/>
        </w:rPr>
        <w:t>ecclésiastiques,</w:t>
      </w:r>
      <w:r>
        <w:rPr>
          <w:rStyle w:val="italicus"/>
          <w:i w:val="0"/>
        </w:rPr>
        <w:t xml:space="preserve"> </w:t>
      </w:r>
      <w:r w:rsidRPr="009B1C86">
        <w:rPr>
          <w:rStyle w:val="italicus"/>
          <w:i w:val="0"/>
        </w:rPr>
        <w:t>novembre</w:t>
      </w:r>
      <w:r>
        <w:rPr>
          <w:rStyle w:val="italicus"/>
          <w:i w:val="0"/>
        </w:rPr>
        <w:t xml:space="preserve"> </w:t>
      </w:r>
      <w:r w:rsidRPr="009B1C86">
        <w:rPr>
          <w:rStyle w:val="italicus"/>
          <w:i w:val="0"/>
        </w:rPr>
        <w:t>1868.</w:t>
      </w:r>
    </w:p>
  </w:footnote>
  <w:footnote w:id="3">
    <w:p w:rsidR="007F47B8" w:rsidRPr="001077D9" w:rsidRDefault="007F47B8" w:rsidP="00C31960">
      <w:pPr>
        <w:pStyle w:val="Notedebasdepage"/>
      </w:pPr>
      <w:r>
        <w:rPr>
          <w:rStyle w:val="Appelnotedebasdep"/>
        </w:rPr>
        <w:footnoteRef/>
      </w:r>
      <w:r>
        <w:t xml:space="preserve"> </w:t>
      </w:r>
      <w:r w:rsidRPr="001077D9">
        <w:t xml:space="preserve">$ D’après le texte hébreu : </w:t>
      </w:r>
    </w:p>
    <w:p w:rsidR="007F47B8" w:rsidRPr="001077D9" w:rsidRDefault="007F47B8" w:rsidP="00C31960">
      <w:pPr>
        <w:pStyle w:val="Notedebasdepage"/>
      </w:pPr>
      <w:r w:rsidRPr="001077D9">
        <w:rPr>
          <w:rtl/>
          <w:lang w:bidi="he-IL"/>
        </w:rPr>
        <w:t xml:space="preserve">הנה הצלמה הרה </w:t>
      </w:r>
      <w:r w:rsidRPr="001077D9">
        <w:rPr>
          <w:rFonts w:hint="cs"/>
          <w:rtl/>
          <w:lang w:bidi="he-IL"/>
        </w:rPr>
        <w:t>ו</w:t>
      </w:r>
      <w:r w:rsidRPr="001077D9">
        <w:rPr>
          <w:rtl/>
          <w:lang w:bidi="he-IL"/>
        </w:rPr>
        <w:t>ילדת כן וקראת שמו צמנואל</w:t>
      </w:r>
    </w:p>
  </w:footnote>
  <w:footnote w:id="4">
    <w:p w:rsidR="007F47B8" w:rsidRDefault="007F47B8">
      <w:pPr>
        <w:pStyle w:val="Notedebasdepage"/>
      </w:pPr>
      <w:r>
        <w:rPr>
          <w:rStyle w:val="Appelnotedebasdep"/>
        </w:rPr>
        <w:footnoteRef/>
      </w:r>
      <w:r>
        <w:t xml:space="preserve"> # Nous n’arrivons pas à suivre ce récit sur une carte. Il nous parait erroné. C’est pour aller à la piscine inférieure qu’on emprunte la route de Bethléem. </w:t>
      </w:r>
    </w:p>
  </w:footnote>
  <w:footnote w:id="5">
    <w:p w:rsidR="007F47B8" w:rsidRPr="001077D9" w:rsidRDefault="007F47B8" w:rsidP="000E05E6">
      <w:pPr>
        <w:pStyle w:val="Notedebasdepage"/>
      </w:pPr>
      <w:r>
        <w:rPr>
          <w:rStyle w:val="Appelnotedebasdep"/>
        </w:rPr>
        <w:footnoteRef/>
      </w:r>
      <w:r>
        <w:t xml:space="preserve"> </w:t>
      </w:r>
      <w:r w:rsidRPr="001077D9">
        <w:t>$ Voyez R. Riess,</w:t>
      </w:r>
      <w:r w:rsidRPr="0044481F">
        <w:rPr>
          <w:rStyle w:val="italicus"/>
        </w:rPr>
        <w:t xml:space="preserve"> Atlas de la Bible,</w:t>
      </w:r>
      <w:r w:rsidRPr="001077D9">
        <w:t xml:space="preserve"> pl. VI, et </w:t>
      </w:r>
      <w:r w:rsidRPr="000E05E6">
        <w:t xml:space="preserve">surtout </w:t>
      </w:r>
      <w:r w:rsidRPr="001077D9">
        <w:t>Zimmermann und Socin,</w:t>
      </w:r>
      <w:r w:rsidRPr="0044481F">
        <w:rPr>
          <w:rStyle w:val="italicus"/>
        </w:rPr>
        <w:t xml:space="preserve"> Plan des heutigen Jerusalem mit Umgebung,</w:t>
      </w:r>
      <w:r w:rsidRPr="001077D9">
        <w:t xml:space="preserve"> Leipzig, 1881. </w:t>
      </w:r>
    </w:p>
  </w:footnote>
  <w:footnote w:id="6">
    <w:p w:rsidR="007F47B8" w:rsidRPr="001077D9" w:rsidRDefault="007F47B8" w:rsidP="000E05E6">
      <w:pPr>
        <w:pStyle w:val="Notedebasdepage"/>
      </w:pPr>
      <w:r>
        <w:rPr>
          <w:rStyle w:val="Appelnotedebasdep"/>
        </w:rPr>
        <w:footnoteRef/>
      </w:r>
      <w:r>
        <w:t xml:space="preserve"> </w:t>
      </w:r>
      <w:r w:rsidRPr="001077D9">
        <w:t>$ Nous ne pouvons pas entrer ici dans la discussion de ce fait. On la trouvera dans Robinson,</w:t>
      </w:r>
      <w:r>
        <w:rPr>
          <w:rStyle w:val="italicus"/>
        </w:rPr>
        <w:t xml:space="preserve"> Palæ</w:t>
      </w:r>
      <w:r w:rsidRPr="0044481F">
        <w:rPr>
          <w:rStyle w:val="italicus"/>
        </w:rPr>
        <w:t>stina und die s</w:t>
      </w:r>
      <w:r>
        <w:rPr>
          <w:rStyle w:val="italicus"/>
        </w:rPr>
        <w:t>üdlichen angrenzenden Læ</w:t>
      </w:r>
      <w:r w:rsidRPr="0044481F">
        <w:rPr>
          <w:rStyle w:val="italicus"/>
        </w:rPr>
        <w:t xml:space="preserve">nder, </w:t>
      </w:r>
      <w:r w:rsidRPr="001077D9">
        <w:t>1841, t. II. p. 129 et s. ; dans Wilson,</w:t>
      </w:r>
      <w:r w:rsidRPr="0044481F">
        <w:rPr>
          <w:rStyle w:val="italicus"/>
        </w:rPr>
        <w:t xml:space="preserve"> Lanis of the Bible,</w:t>
      </w:r>
      <w:r w:rsidRPr="001077D9">
        <w:t xml:space="preserve"> 1847, t. I. p. 493 ; dans Smith,</w:t>
      </w:r>
      <w:r w:rsidRPr="0044481F">
        <w:rPr>
          <w:rStyle w:val="italicus"/>
        </w:rPr>
        <w:t xml:space="preserve"> Dictionary of the Bible,</w:t>
      </w:r>
      <w:r>
        <w:t xml:space="preserve"> s. v. Jerusalem ; dans Kitto,</w:t>
      </w:r>
      <w:r w:rsidRPr="001077D9">
        <w:t xml:space="preserve"> </w:t>
      </w:r>
      <w:r>
        <w:rPr>
          <w:rStyle w:val="italicus"/>
        </w:rPr>
        <w:t>Cyclopæ</w:t>
      </w:r>
      <w:r w:rsidRPr="0044481F">
        <w:rPr>
          <w:rStyle w:val="italicus"/>
        </w:rPr>
        <w:t>dia of the Bible,</w:t>
      </w:r>
      <w:r w:rsidRPr="001077D9">
        <w:t xml:space="preserve"> à l’article Gihon ; dans Socin,</w:t>
      </w:r>
      <w:r w:rsidRPr="0044481F">
        <w:rPr>
          <w:rStyle w:val="italicus"/>
        </w:rPr>
        <w:t xml:space="preserve"> </w:t>
      </w:r>
      <w:r>
        <w:rPr>
          <w:rStyle w:val="italicus"/>
        </w:rPr>
        <w:t>Palæstina</w:t>
      </w:r>
      <w:r w:rsidRPr="0044481F">
        <w:rPr>
          <w:rStyle w:val="italicus"/>
        </w:rPr>
        <w:t xml:space="preserve"> und Syrien,</w:t>
      </w:r>
      <w:r w:rsidRPr="001077D9">
        <w:t xml:space="preserve"> 1875. p. 245 ; dans Porter,</w:t>
      </w:r>
      <w:r w:rsidRPr="0044481F">
        <w:rPr>
          <w:rStyle w:val="italicus"/>
        </w:rPr>
        <w:t xml:space="preserve"> Murray’s Handbook for Travellers in Palestine and Syria,</w:t>
      </w:r>
      <w:r w:rsidRPr="001077D9">
        <w:t xml:space="preserve"> 1875, p. 175, etc. Ceux qui placent l’étang de Gihon au nord-ouest de Jérusalem, comme Krafft,</w:t>
      </w:r>
      <w:r w:rsidRPr="0044481F">
        <w:rPr>
          <w:rStyle w:val="italicus"/>
        </w:rPr>
        <w:t xml:space="preserve"> Die Topographie Jerusalem’s,</w:t>
      </w:r>
      <w:r w:rsidRPr="001077D9">
        <w:t xml:space="preserve"> 1846. p. 119, ou au sud-est, comme Williams,</w:t>
      </w:r>
      <w:r w:rsidRPr="0044481F">
        <w:rPr>
          <w:rStyle w:val="italicus"/>
        </w:rPr>
        <w:t xml:space="preserve"> Holy City,</w:t>
      </w:r>
      <w:r w:rsidRPr="001077D9">
        <w:t xml:space="preserve"> t. I, p. 124, ou à l’est, comme Furrer,</w:t>
      </w:r>
      <w:r w:rsidRPr="0044481F">
        <w:rPr>
          <w:rStyle w:val="italicus"/>
        </w:rPr>
        <w:t xml:space="preserve"> Schenkel’s Bibellexikon,</w:t>
      </w:r>
      <w:r>
        <w:t xml:space="preserve"> s. v</w:t>
      </w:r>
      <w:r w:rsidRPr="001077D9">
        <w:t>. Gichon, ont contre eux un passage formel de la Bible (II</w:t>
      </w:r>
      <w:r w:rsidRPr="0044481F">
        <w:rPr>
          <w:rStyle w:val="italicus"/>
        </w:rPr>
        <w:t xml:space="preserve"> Par.</w:t>
      </w:r>
      <w:r w:rsidRPr="001077D9">
        <w:t xml:space="preserve"> XXXII, 30</w:t>
      </w:r>
      <w:r w:rsidRPr="00BA383E">
        <w:t xml:space="preserve">), </w:t>
      </w:r>
      <w:r w:rsidRPr="001077D9">
        <w:t>où il est clairement affirmé que « Ezechías… obturávit superió</w:t>
      </w:r>
      <w:r>
        <w:t>rem fontem aquárum Gihon, et avé</w:t>
      </w:r>
      <w:r w:rsidRPr="001077D9">
        <w:t>rtit eas subter ad occidéntem urbis David. » La source antique a disparu, car le</w:t>
      </w:r>
      <w:r w:rsidRPr="0044481F">
        <w:rPr>
          <w:rStyle w:val="italicus"/>
        </w:rPr>
        <w:t xml:space="preserve"> Birket Mamillah</w:t>
      </w:r>
      <w:r w:rsidRPr="001077D9">
        <w:t xml:space="preserve"> n’est depuis longtemps alimenté que par l’eau des pluies ; </w:t>
      </w:r>
      <w:r w:rsidRPr="006868FB">
        <w:t>mais il est probable qu’on la retrouvera</w:t>
      </w:r>
      <w:r w:rsidRPr="001077D9">
        <w:t>it en fouillant le sol de même qu’on a retrouvé une partie notable du canal souterrain construit par Ézéchias. Il est à peu près parallèle à l’aqueduc actuel et aboutit semblablement à la piscine d’Ézéchias dans l’intérieur de la ville.</w:t>
      </w:r>
      <w:r w:rsidRPr="0044481F">
        <w:rPr>
          <w:rStyle w:val="italicus"/>
        </w:rPr>
        <w:t xml:space="preserve"> Le Birket-es-Soultân</w:t>
      </w:r>
      <w:bookmarkStart w:id="13" w:name="z_BirketEsSoultan_o1"/>
      <w:bookmarkEnd w:id="13"/>
      <w:r w:rsidRPr="001077D9">
        <w:t xml:space="preserve"> (réservoir du Sultan</w:t>
      </w:r>
      <w:r w:rsidRPr="00BA383E">
        <w:t xml:space="preserve">) </w:t>
      </w:r>
      <w:r w:rsidRPr="001077D9">
        <w:t xml:space="preserve">qu’on rencontre plus au sud en contournant la vallée d’Hinnom, et dont les dimensions sont à peu près doubles de celles du </w:t>
      </w:r>
      <w:r w:rsidRPr="0044481F">
        <w:rPr>
          <w:rStyle w:val="italicus"/>
        </w:rPr>
        <w:t>Birket Mamillah</w:t>
      </w:r>
      <w:bookmarkStart w:id="14" w:name="z_BirketMamillah_o1"/>
      <w:bookmarkEnd w:id="14"/>
      <w:r w:rsidRPr="0044481F">
        <w:rPr>
          <w:rStyle w:val="italicus"/>
        </w:rPr>
        <w:t>,</w:t>
      </w:r>
      <w:r w:rsidRPr="001077D9">
        <w:t xml:space="preserve"> est sans nul doute identique à la « piscine inférieure de Gihon ». </w:t>
      </w:r>
    </w:p>
  </w:footnote>
  <w:footnote w:id="7">
    <w:p w:rsidR="007F47B8" w:rsidRPr="00826FE4" w:rsidRDefault="007F47B8" w:rsidP="00C31960">
      <w:pPr>
        <w:pStyle w:val="Notedebasdepage"/>
        <w:rPr>
          <w:lang w:val="en-US"/>
        </w:rPr>
      </w:pPr>
      <w:r>
        <w:rPr>
          <w:rStyle w:val="Appelnotedebasdep"/>
        </w:rPr>
        <w:footnoteRef/>
      </w:r>
      <w:r>
        <w:t xml:space="preserve"> </w:t>
      </w:r>
      <w:r w:rsidRPr="001077D9">
        <w:t>$ Voir d’assez bonnes représentations du</w:t>
      </w:r>
      <w:r w:rsidRPr="0044481F">
        <w:rPr>
          <w:rStyle w:val="italicus"/>
        </w:rPr>
        <w:t xml:space="preserve"> Birket Mamillah</w:t>
      </w:r>
      <w:bookmarkStart w:id="16" w:name="z_BirketMamillah_o2"/>
      <w:bookmarkEnd w:id="16"/>
      <w:r w:rsidRPr="001077D9">
        <w:t xml:space="preserve"> et de ses alentours dans Sepp,</w:t>
      </w:r>
      <w:r w:rsidRPr="0044481F">
        <w:rPr>
          <w:rStyle w:val="italicus"/>
        </w:rPr>
        <w:t xml:space="preserve"> Jerusalem und das heil. </w:t>
      </w:r>
      <w:r w:rsidRPr="00F84A0B">
        <w:rPr>
          <w:rStyle w:val="italicus"/>
          <w:lang w:val="en-US"/>
        </w:rPr>
        <w:t>Land,</w:t>
      </w:r>
      <w:r w:rsidRPr="007F47B8">
        <w:rPr>
          <w:lang w:val="en-US"/>
        </w:rPr>
        <w:t xml:space="preserve"> 1864, t. I, p. 244, et dans Ebers und Guthe,</w:t>
      </w:r>
      <w:r w:rsidRPr="00F84A0B">
        <w:rPr>
          <w:rStyle w:val="italicus"/>
          <w:lang w:val="en-US"/>
        </w:rPr>
        <w:t xml:space="preserve"> Palæstina in Bild und Wort,</w:t>
      </w:r>
      <w:r w:rsidRPr="007F47B8">
        <w:rPr>
          <w:lang w:val="en-US"/>
        </w:rPr>
        <w:t xml:space="preserve"> 1881, p. 117 du tome I. </w:t>
      </w:r>
    </w:p>
  </w:footnote>
  <w:footnote w:id="8">
    <w:p w:rsidR="007F47B8" w:rsidRPr="00826FE4" w:rsidRDefault="007F47B8" w:rsidP="00C31960">
      <w:pPr>
        <w:pStyle w:val="Notedebasdepage"/>
      </w:pPr>
      <w:r>
        <w:rPr>
          <w:rStyle w:val="Appelnotedebasdep"/>
        </w:rPr>
        <w:footnoteRef/>
      </w:r>
      <w:r>
        <w:t xml:space="preserve"> $ IV</w:t>
      </w:r>
      <w:r w:rsidRPr="0044481F">
        <w:rPr>
          <w:rStyle w:val="italicus"/>
        </w:rPr>
        <w:t xml:space="preserve"> </w:t>
      </w:r>
      <w:r>
        <w:rPr>
          <w:rStyle w:val="italicus"/>
        </w:rPr>
        <w:t>R</w:t>
      </w:r>
      <w:r w:rsidRPr="0044481F">
        <w:rPr>
          <w:rStyle w:val="italicus"/>
        </w:rPr>
        <w:t>eg.</w:t>
      </w:r>
      <w:r>
        <w:t xml:space="preserve"> XVI, 2 et II Par. XXVIII, 1. Voyez la suite de ces récits. </w:t>
      </w:r>
    </w:p>
  </w:footnote>
  <w:footnote w:id="9">
    <w:p w:rsidR="007F47B8" w:rsidRDefault="007F47B8" w:rsidP="00C31960">
      <w:pPr>
        <w:pStyle w:val="Notedebasdepage"/>
      </w:pPr>
      <w:r>
        <w:rPr>
          <w:rStyle w:val="Appelnotedebasdep"/>
        </w:rPr>
        <w:footnoteRef/>
      </w:r>
      <w:r>
        <w:t xml:space="preserve"> </w:t>
      </w:r>
      <w:r w:rsidRPr="006868FB">
        <w:t>$ Comparez Reusch,</w:t>
      </w:r>
      <w:r w:rsidRPr="0044481F">
        <w:rPr>
          <w:rStyle w:val="italicus"/>
        </w:rPr>
        <w:t xml:space="preserve"> L</w:t>
      </w:r>
      <w:r>
        <w:rPr>
          <w:rStyle w:val="italicus"/>
        </w:rPr>
        <w:t>ehrbuch der Einleitung in das Al</w:t>
      </w:r>
      <w:r w:rsidRPr="0044481F">
        <w:rPr>
          <w:rStyle w:val="italicus"/>
        </w:rPr>
        <w:t>t</w:t>
      </w:r>
      <w:r>
        <w:rPr>
          <w:rStyle w:val="italicus"/>
        </w:rPr>
        <w:t>e</w:t>
      </w:r>
      <w:r w:rsidRPr="0044481F">
        <w:rPr>
          <w:rStyle w:val="italicus"/>
        </w:rPr>
        <w:t xml:space="preserve"> Testament, </w:t>
      </w:r>
      <w:r w:rsidRPr="006868FB">
        <w:t>2</w:t>
      </w:r>
      <w:r>
        <w:t>e éd</w:t>
      </w:r>
      <w:r w:rsidRPr="006868FB">
        <w:t xml:space="preserve">it., p. 75. </w:t>
      </w:r>
    </w:p>
  </w:footnote>
  <w:footnote w:id="10">
    <w:p w:rsidR="007F47B8" w:rsidRPr="00826FE4" w:rsidRDefault="007F47B8" w:rsidP="00C31960">
      <w:pPr>
        <w:pStyle w:val="Notedebasdepage"/>
      </w:pPr>
      <w:r>
        <w:rPr>
          <w:rStyle w:val="Appelnotedebasdep"/>
        </w:rPr>
        <w:footnoteRef/>
      </w:r>
      <w:r>
        <w:t xml:space="preserve"> </w:t>
      </w:r>
      <w:r>
        <w:rPr>
          <w:rStyle w:val="italicus"/>
        </w:rPr>
        <w:t xml:space="preserve">$ </w:t>
      </w:r>
      <w:r>
        <w:t>En hébreu</w:t>
      </w:r>
      <w:r w:rsidRPr="0044481F">
        <w:rPr>
          <w:rStyle w:val="italicus"/>
        </w:rPr>
        <w:t xml:space="preserve"> Rezin.</w:t>
      </w:r>
      <w:r>
        <w:t xml:space="preserve"> </w:t>
      </w:r>
    </w:p>
  </w:footnote>
  <w:footnote w:id="11">
    <w:p w:rsidR="007F47B8" w:rsidRPr="00826FE4" w:rsidRDefault="007F47B8" w:rsidP="00C31960">
      <w:pPr>
        <w:pStyle w:val="Notedebasdepage"/>
      </w:pPr>
      <w:r>
        <w:rPr>
          <w:rStyle w:val="Appelnotedebasdep"/>
        </w:rPr>
        <w:footnoteRef/>
      </w:r>
      <w:r>
        <w:t xml:space="preserve"> $ En hébreu</w:t>
      </w:r>
      <w:r w:rsidRPr="0044481F">
        <w:rPr>
          <w:rStyle w:val="italicus"/>
        </w:rPr>
        <w:t xml:space="preserve"> Pékach.</w:t>
      </w:r>
      <w:r>
        <w:t xml:space="preserve"> C’était un aventurier, qui avait pris possession du trône de Samarie, après avoir assassiné Phacéia. </w:t>
      </w:r>
    </w:p>
  </w:footnote>
  <w:footnote w:id="12">
    <w:p w:rsidR="007F47B8" w:rsidRPr="001077D9" w:rsidRDefault="007F47B8" w:rsidP="000E05E6">
      <w:pPr>
        <w:pStyle w:val="Notedebasdepage"/>
      </w:pPr>
      <w:r>
        <w:rPr>
          <w:rStyle w:val="Appelnotedebasdep"/>
        </w:rPr>
        <w:footnoteRef/>
      </w:r>
      <w:r>
        <w:t xml:space="preserve"> </w:t>
      </w:r>
      <w:r w:rsidRPr="001077D9">
        <w:t>$ Voyez Knobel,</w:t>
      </w:r>
      <w:r w:rsidRPr="0044481F">
        <w:rPr>
          <w:rStyle w:val="italicus"/>
        </w:rPr>
        <w:t xml:space="preserve"> Der Prophet Jesaia erklært,</w:t>
      </w:r>
      <w:r w:rsidRPr="001077D9">
        <w:t xml:space="preserve"> 4e édit., Leipzig, 1872, p. 60 et 61. M. Reuss,</w:t>
      </w:r>
      <w:r w:rsidRPr="0044481F">
        <w:rPr>
          <w:rStyle w:val="italicus"/>
        </w:rPr>
        <w:t xml:space="preserve"> Les Prophètes,</w:t>
      </w:r>
      <w:r w:rsidRPr="001077D9">
        <w:t xml:space="preserve"> t. I, p. 231 (Paris, 1876</w:t>
      </w:r>
      <w:r w:rsidRPr="00BA383E">
        <w:t xml:space="preserve">), </w:t>
      </w:r>
      <w:r w:rsidRPr="001077D9">
        <w:t>adopte également ces dates. Les auteurs de la</w:t>
      </w:r>
      <w:r w:rsidRPr="0044481F">
        <w:rPr>
          <w:rStyle w:val="italicus"/>
        </w:rPr>
        <w:t xml:space="preserve"> Bible annotée</w:t>
      </w:r>
      <w:r w:rsidRPr="001077D9">
        <w:t xml:space="preserve"> (Neufchâtel, 1878</w:t>
      </w:r>
      <w:r w:rsidRPr="00BA383E">
        <w:t xml:space="preserve">), </w:t>
      </w:r>
      <w:r w:rsidRPr="001077D9">
        <w:t xml:space="preserve">t. I, p. 71, restreignent la guerre aux années 742-740. </w:t>
      </w:r>
    </w:p>
  </w:footnote>
  <w:footnote w:id="13">
    <w:p w:rsidR="007F47B8" w:rsidRPr="00826FE4" w:rsidRDefault="007F47B8" w:rsidP="00C31960">
      <w:pPr>
        <w:pStyle w:val="Notedebasdepage"/>
      </w:pPr>
      <w:r>
        <w:rPr>
          <w:rStyle w:val="Appelnotedebasdep"/>
        </w:rPr>
        <w:footnoteRef/>
      </w:r>
      <w:r>
        <w:t xml:space="preserve"> </w:t>
      </w:r>
      <w:r w:rsidRPr="001077D9">
        <w:t xml:space="preserve">$ Ils aiment à rassurer d’avance le lecteur, ou à calmer son impatience, en faisant connaître immédiatement le résultat final des événements signalés. </w:t>
      </w:r>
    </w:p>
  </w:footnote>
  <w:footnote w:id="14">
    <w:p w:rsidR="007F47B8" w:rsidRPr="00826FE4" w:rsidRDefault="007F47B8" w:rsidP="00C31960">
      <w:pPr>
        <w:pStyle w:val="Notedebasdepage"/>
        <w:rPr>
          <w:lang w:val="en-US"/>
        </w:rPr>
      </w:pPr>
      <w:r>
        <w:rPr>
          <w:rStyle w:val="Appelnotedebasdep"/>
        </w:rPr>
        <w:footnoteRef/>
      </w:r>
      <w:r w:rsidRPr="00826FE4">
        <w:rPr>
          <w:lang w:val="en-US"/>
        </w:rPr>
        <w:t xml:space="preserve"> </w:t>
      </w:r>
      <w:r w:rsidRPr="00F84A0B">
        <w:rPr>
          <w:lang w:val="en-US"/>
        </w:rPr>
        <w:t xml:space="preserve">$ </w:t>
      </w:r>
      <w:r w:rsidRPr="00F84A0B">
        <w:rPr>
          <w:rStyle w:val="italicus"/>
          <w:lang w:val="en-US"/>
        </w:rPr>
        <w:t xml:space="preserve">Philologisch-kritischer und historischer Commentar über den Jesaia, </w:t>
      </w:r>
      <w:r w:rsidRPr="00F84A0B">
        <w:rPr>
          <w:lang w:val="en-US"/>
        </w:rPr>
        <w:t xml:space="preserve">Leipzig, 1821, t. I, p. 272 et 273. </w:t>
      </w:r>
    </w:p>
  </w:footnote>
  <w:footnote w:id="15">
    <w:p w:rsidR="007F47B8" w:rsidRPr="00826FE4" w:rsidRDefault="007F47B8" w:rsidP="00C31960">
      <w:pPr>
        <w:pStyle w:val="Notedebasdepage"/>
        <w:rPr>
          <w:lang w:val="en-US"/>
        </w:rPr>
      </w:pPr>
      <w:r>
        <w:rPr>
          <w:rStyle w:val="Appelnotedebasdep"/>
        </w:rPr>
        <w:footnoteRef/>
      </w:r>
      <w:r w:rsidRPr="00826FE4">
        <w:rPr>
          <w:lang w:val="en-US"/>
        </w:rPr>
        <w:t xml:space="preserve"> </w:t>
      </w:r>
      <w:r w:rsidRPr="00F84A0B">
        <w:rPr>
          <w:rStyle w:val="italicus"/>
          <w:lang w:val="en-US"/>
        </w:rPr>
        <w:t xml:space="preserve">$ </w:t>
      </w:r>
      <w:r w:rsidRPr="00F84A0B">
        <w:rPr>
          <w:lang w:val="en-US"/>
        </w:rPr>
        <w:t>Voyez Hengstenberg,</w:t>
      </w:r>
      <w:r w:rsidRPr="00F84A0B">
        <w:rPr>
          <w:rStyle w:val="italicus"/>
          <w:lang w:val="en-US"/>
        </w:rPr>
        <w:t xml:space="preserve"> Christologie des Allen Testaments,</w:t>
      </w:r>
      <w:r w:rsidRPr="00F84A0B">
        <w:rPr>
          <w:lang w:val="en-US"/>
        </w:rPr>
        <w:t xml:space="preserve"> Berlin, 1829, I Th., 2 Abth.,</w:t>
      </w:r>
      <w:r w:rsidRPr="00F84A0B">
        <w:rPr>
          <w:spacing w:val="10"/>
          <w:lang w:val="en-US"/>
        </w:rPr>
        <w:t xml:space="preserve"> p.</w:t>
      </w:r>
      <w:r w:rsidRPr="00F84A0B">
        <w:rPr>
          <w:lang w:val="en-US"/>
        </w:rPr>
        <w:t xml:space="preserve"> 49. </w:t>
      </w:r>
    </w:p>
  </w:footnote>
  <w:footnote w:id="16">
    <w:p w:rsidR="007F47B8" w:rsidRPr="00826FE4" w:rsidRDefault="007F47B8" w:rsidP="00C31960">
      <w:pPr>
        <w:pStyle w:val="Notedebasdepage"/>
        <w:rPr>
          <w:i/>
          <w:lang w:val="en-US"/>
        </w:rPr>
      </w:pPr>
      <w:r>
        <w:rPr>
          <w:rStyle w:val="Appelnotedebasdep"/>
        </w:rPr>
        <w:footnoteRef/>
      </w:r>
      <w:r w:rsidRPr="00826FE4">
        <w:rPr>
          <w:lang w:val="en-US"/>
        </w:rPr>
        <w:t xml:space="preserve"> $ W. Schultz,</w:t>
      </w:r>
      <w:r w:rsidRPr="00826FE4">
        <w:rPr>
          <w:rStyle w:val="italicus"/>
          <w:lang w:val="en-US"/>
        </w:rPr>
        <w:t xml:space="preserve"> Ueber Immanuel, dans les Theol. </w:t>
      </w:r>
      <w:r w:rsidRPr="00F84A0B">
        <w:rPr>
          <w:rStyle w:val="italicus"/>
          <w:lang w:val="en-US"/>
        </w:rPr>
        <w:t xml:space="preserve">Studien und Kritiken, 1861, n° 4, p. 713. </w:t>
      </w:r>
    </w:p>
  </w:footnote>
  <w:footnote w:id="17">
    <w:p w:rsidR="007F47B8" w:rsidRPr="00826FE4" w:rsidRDefault="007F47B8" w:rsidP="00C31960">
      <w:pPr>
        <w:pStyle w:val="Notedebasdepage"/>
      </w:pPr>
      <w:r>
        <w:rPr>
          <w:rStyle w:val="Appelnotedebasdep"/>
        </w:rPr>
        <w:footnoteRef/>
      </w:r>
      <w:r>
        <w:t xml:space="preserve"> </w:t>
      </w:r>
      <w:r>
        <w:rPr>
          <w:rStyle w:val="italicus"/>
        </w:rPr>
        <w:t xml:space="preserve">$ </w:t>
      </w:r>
      <w:r w:rsidRPr="004065C3">
        <w:t xml:space="preserve">Is. VII, 2. Belle métaphore pour </w:t>
      </w:r>
      <w:r>
        <w:t xml:space="preserve">signifier, selon toute vraisemblance, que les armées ennemies avaient opéré leur jonction et marchaient contre la Ville sainte. </w:t>
      </w:r>
    </w:p>
  </w:footnote>
  <w:footnote w:id="18">
    <w:p w:rsidR="007F47B8" w:rsidRDefault="007F47B8" w:rsidP="00C31960">
      <w:pPr>
        <w:pStyle w:val="Notedebasdepage"/>
      </w:pPr>
      <w:r>
        <w:rPr>
          <w:rStyle w:val="Appelnotedebasdep"/>
        </w:rPr>
        <w:footnoteRef/>
      </w:r>
      <w:r>
        <w:t xml:space="preserve"> $ On a souvent rapproché de ce passage les vers bien connus d’Ovide, </w:t>
      </w:r>
      <w:r w:rsidRPr="0044481F">
        <w:rPr>
          <w:rStyle w:val="italicus"/>
        </w:rPr>
        <w:t>Epist. Canaces,</w:t>
      </w:r>
      <w:r>
        <w:t xml:space="preserve"> 76 et suiv. : </w:t>
      </w:r>
    </w:p>
    <w:p w:rsidR="007F47B8" w:rsidRDefault="007F47B8" w:rsidP="00C31960">
      <w:pPr>
        <w:pStyle w:val="Notedebasdepage"/>
      </w:pPr>
      <w:r>
        <w:t xml:space="preserve">Ut quátitur tépido fráxina virga noto, </w:t>
      </w:r>
    </w:p>
    <w:p w:rsidR="007F47B8" w:rsidRDefault="007F47B8" w:rsidP="00C31960">
      <w:pPr>
        <w:pStyle w:val="Notedebasdepage"/>
      </w:pPr>
      <w:r>
        <w:t xml:space="preserve">Sic mea vibrári palléntia membra vidéres. </w:t>
      </w:r>
    </w:p>
  </w:footnote>
  <w:footnote w:id="19">
    <w:p w:rsidR="007F47B8" w:rsidRPr="00826FE4" w:rsidRDefault="007F47B8" w:rsidP="00C31960">
      <w:pPr>
        <w:pStyle w:val="Notedebasdepage"/>
        <w:rPr>
          <w:i/>
        </w:rPr>
      </w:pPr>
      <w:r>
        <w:rPr>
          <w:rStyle w:val="Appelnotedebasdep"/>
        </w:rPr>
        <w:footnoteRef/>
      </w:r>
      <w:r>
        <w:t xml:space="preserve"> $ D’après la </w:t>
      </w:r>
      <w:r w:rsidRPr="0044481F">
        <w:rPr>
          <w:rStyle w:val="italicus"/>
        </w:rPr>
        <w:t>traduction</w:t>
      </w:r>
      <w:r>
        <w:t xml:space="preserve"> imparfaite de la Vulgate : </w:t>
      </w:r>
      <w:r w:rsidRPr="00825239">
        <w:rPr>
          <w:rStyle w:val="italicus"/>
        </w:rPr>
        <w:t xml:space="preserve">Qui derelíctus est Iasub. </w:t>
      </w:r>
    </w:p>
  </w:footnote>
  <w:footnote w:id="20">
    <w:p w:rsidR="007F47B8" w:rsidRPr="00826FE4" w:rsidRDefault="007F47B8" w:rsidP="00C31960">
      <w:pPr>
        <w:pStyle w:val="Notedebasdepage"/>
      </w:pPr>
      <w:r>
        <w:rPr>
          <w:rStyle w:val="Appelnotedebasdep"/>
        </w:rPr>
        <w:footnoteRef/>
      </w:r>
      <w:r>
        <w:t xml:space="preserve"> $ On a très légitimement supposé que le roi était alors auprès du</w:t>
      </w:r>
      <w:r w:rsidRPr="0044481F">
        <w:rPr>
          <w:rStyle w:val="italicus"/>
        </w:rPr>
        <w:t xml:space="preserve"> Birket Mamillah</w:t>
      </w:r>
      <w:bookmarkStart w:id="30" w:name="z_BirketMamillah_o3"/>
      <w:bookmarkEnd w:id="30"/>
      <w:r>
        <w:t xml:space="preserve"> afin d’inspecter le </w:t>
      </w:r>
      <w:r w:rsidRPr="001077D9">
        <w:t>terrain en vue des</w:t>
      </w:r>
      <w:r>
        <w:t xml:space="preserve"> travaux à opérer pour la défense de la ville, car ce point est le plus menacé, la nature n’ayant rien fait pour le fortifier ; ou bien, Achaz songeait à murer la citerne pour empêcher ses eaux de tomber au pouvoir de l’ennemi. </w:t>
      </w:r>
    </w:p>
  </w:footnote>
  <w:footnote w:id="21">
    <w:p w:rsidR="007F47B8" w:rsidRPr="00826FE4" w:rsidRDefault="007F47B8" w:rsidP="00C31960">
      <w:pPr>
        <w:pStyle w:val="Notedebasdepage"/>
        <w:rPr>
          <w:i/>
        </w:rPr>
      </w:pPr>
      <w:r>
        <w:rPr>
          <w:rStyle w:val="Appelnotedebasdep"/>
        </w:rPr>
        <w:footnoteRef/>
      </w:r>
      <w:r>
        <w:t xml:space="preserve"> $ </w:t>
      </w:r>
      <w:r w:rsidRPr="00826FE4">
        <w:t>Vulgate :</w:t>
      </w:r>
      <w:r w:rsidRPr="0044481F">
        <w:rPr>
          <w:rStyle w:val="italicus"/>
        </w:rPr>
        <w:t xml:space="preserve"> Cave ut síleas. </w:t>
      </w:r>
    </w:p>
  </w:footnote>
  <w:footnote w:id="22">
    <w:p w:rsidR="007F47B8" w:rsidRPr="00826FE4" w:rsidRDefault="007F47B8" w:rsidP="00C31960">
      <w:pPr>
        <w:pStyle w:val="Notedebasdepage"/>
      </w:pPr>
      <w:r>
        <w:rPr>
          <w:rStyle w:val="Appelnotedebasdep"/>
        </w:rPr>
        <w:footnoteRef/>
      </w:r>
      <w:r>
        <w:t xml:space="preserve"> </w:t>
      </w:r>
      <w:r>
        <w:rPr>
          <w:rStyle w:val="italicus"/>
        </w:rPr>
        <w:t xml:space="preserve">$ </w:t>
      </w:r>
      <w:r>
        <w:t>Autre belle image. Les Arabes nomment</w:t>
      </w:r>
      <w:r>
        <w:rPr>
          <w:rStyle w:val="italicus"/>
        </w:rPr>
        <w:t xml:space="preserve"> t</w:t>
      </w:r>
      <w:r w:rsidRPr="0044481F">
        <w:rPr>
          <w:rStyle w:val="italicus"/>
        </w:rPr>
        <w:t>ítio belli</w:t>
      </w:r>
      <w:r>
        <w:t xml:space="preserve"> un héros vaillant. Mais il ne s’agit ici que de débris fumants, dont on n’a plus rien à craindre. </w:t>
      </w:r>
    </w:p>
  </w:footnote>
  <w:footnote w:id="23">
    <w:p w:rsidR="007F47B8" w:rsidRPr="00826FE4" w:rsidRDefault="007F47B8" w:rsidP="00C31960">
      <w:pPr>
        <w:pStyle w:val="Notedebasdepage"/>
      </w:pPr>
      <w:r>
        <w:rPr>
          <w:rStyle w:val="Appelnotedebasdep"/>
        </w:rPr>
        <w:footnoteRef/>
      </w:r>
      <w:r>
        <w:t xml:space="preserve"> $ Nom dédaigneux, Romélie étant un personnage complètement inconnu. </w:t>
      </w:r>
    </w:p>
  </w:footnote>
  <w:footnote w:id="24">
    <w:p w:rsidR="007F47B8" w:rsidRPr="00826FE4" w:rsidRDefault="007F47B8" w:rsidP="00C31960">
      <w:pPr>
        <w:pStyle w:val="Notedebasdepage"/>
      </w:pPr>
      <w:r>
        <w:rPr>
          <w:rStyle w:val="Appelnotedebasdep"/>
        </w:rPr>
        <w:footnoteRef/>
      </w:r>
      <w:r>
        <w:t xml:space="preserve"> $ Ces derniers mots forment dans l’hébreu une frappante paronomase : </w:t>
      </w:r>
      <w:r>
        <w:rPr>
          <w:rStyle w:val="italicus"/>
        </w:rPr>
        <w:t>Im lô taaminou, ki lô téamé</w:t>
      </w:r>
      <w:r w:rsidRPr="0044481F">
        <w:rPr>
          <w:rStyle w:val="italicus"/>
        </w:rPr>
        <w:t>nou.</w:t>
      </w:r>
      <w:r>
        <w:t xml:space="preserve"> Ils sont importants pour le contexte, car ils exaltent la nécessité de la foi. </w:t>
      </w:r>
    </w:p>
  </w:footnote>
  <w:footnote w:id="25">
    <w:p w:rsidR="007F47B8" w:rsidRPr="00826FE4" w:rsidRDefault="007F47B8" w:rsidP="00C31960">
      <w:pPr>
        <w:pStyle w:val="Notedebasdepage"/>
      </w:pPr>
      <w:r>
        <w:rPr>
          <w:rStyle w:val="Appelnotedebasdep"/>
        </w:rPr>
        <w:footnoteRef/>
      </w:r>
      <w:r>
        <w:t xml:space="preserve"> $ </w:t>
      </w:r>
      <w:r w:rsidRPr="0044481F">
        <w:rPr>
          <w:rStyle w:val="italicus"/>
        </w:rPr>
        <w:t>Les Prophètes,</w:t>
      </w:r>
      <w:r>
        <w:t xml:space="preserve"> t. I, p. 231. </w:t>
      </w:r>
    </w:p>
  </w:footnote>
  <w:footnote w:id="26">
    <w:p w:rsidR="007F47B8" w:rsidRPr="00826FE4" w:rsidRDefault="007F47B8" w:rsidP="00C31960">
      <w:pPr>
        <w:pStyle w:val="Notedebasdepage"/>
      </w:pPr>
      <w:r>
        <w:rPr>
          <w:rStyle w:val="Appelnotedebasdep"/>
        </w:rPr>
        <w:footnoteRef/>
      </w:r>
      <w:r>
        <w:t xml:space="preserve"> $ Orthographe protestante du nom d’Isaïe. </w:t>
      </w:r>
    </w:p>
  </w:footnote>
  <w:footnote w:id="27">
    <w:p w:rsidR="007F47B8" w:rsidRPr="00826FE4" w:rsidRDefault="007F47B8" w:rsidP="00C31960">
      <w:pPr>
        <w:pStyle w:val="Notedebasdepage"/>
      </w:pPr>
      <w:r>
        <w:rPr>
          <w:rStyle w:val="Appelnotedebasdep"/>
        </w:rPr>
        <w:footnoteRef/>
      </w:r>
      <w:r>
        <w:t xml:space="preserve"> $ </w:t>
      </w:r>
      <w:r>
        <w:rPr>
          <w:rStyle w:val="italicus"/>
        </w:rPr>
        <w:t>Geschiche</w:t>
      </w:r>
      <w:r w:rsidRPr="0044481F">
        <w:rPr>
          <w:rStyle w:val="italicus"/>
        </w:rPr>
        <w:t xml:space="preserve"> der</w:t>
      </w:r>
      <w:r>
        <w:rPr>
          <w:rStyle w:val="italicus"/>
        </w:rPr>
        <w:t xml:space="preserve"> </w:t>
      </w:r>
      <w:r w:rsidRPr="0044481F">
        <w:rPr>
          <w:rStyle w:val="italicus"/>
        </w:rPr>
        <w:t>jüdischen Literatur,</w:t>
      </w:r>
      <w:r>
        <w:t xml:space="preserve"> l’Abth., 2 Abschnitt, Berlin, 1873, p. 140. </w:t>
      </w:r>
    </w:p>
  </w:footnote>
  <w:footnote w:id="28">
    <w:p w:rsidR="007F47B8" w:rsidRPr="00826FE4" w:rsidRDefault="007F47B8" w:rsidP="00C31960">
      <w:pPr>
        <w:pStyle w:val="Notedebasdepage"/>
      </w:pPr>
      <w:r>
        <w:rPr>
          <w:rStyle w:val="Appelnotedebasdep"/>
        </w:rPr>
        <w:footnoteRef/>
      </w:r>
      <w:r>
        <w:t xml:space="preserve"> $ </w:t>
      </w:r>
      <w:r w:rsidRPr="0044481F">
        <w:rPr>
          <w:rStyle w:val="italicus"/>
        </w:rPr>
        <w:t>Die</w:t>
      </w:r>
      <w:r>
        <w:rPr>
          <w:rStyle w:val="italicus"/>
        </w:rPr>
        <w:t xml:space="preserve"> </w:t>
      </w:r>
      <w:r w:rsidRPr="0044481F">
        <w:rPr>
          <w:rStyle w:val="italicus"/>
        </w:rPr>
        <w:t>Propheten des Alten Bundes,</w:t>
      </w:r>
      <w:r>
        <w:t xml:space="preserve"> Stuttgart, 1843, t. I, p. 210. </w:t>
      </w:r>
    </w:p>
  </w:footnote>
  <w:footnote w:id="29">
    <w:p w:rsidR="007F47B8" w:rsidRPr="00826FE4" w:rsidRDefault="007F47B8" w:rsidP="00C31960">
      <w:pPr>
        <w:pStyle w:val="Notedebasdepage"/>
      </w:pPr>
      <w:r>
        <w:rPr>
          <w:rStyle w:val="Appelnotedebasdep"/>
        </w:rPr>
        <w:footnoteRef/>
      </w:r>
      <w:r>
        <w:t xml:space="preserve"> $ Il en a cependant fort bien compris la portée, rendons-lui cette justice. « Le but de cette première allocution est de rassurer le roi, pour qu’il n’aille pas chercher du secours à l’étranger au lieu de s’en remettre à la protection de Dieu ».</w:t>
      </w:r>
      <w:r w:rsidRPr="0044481F">
        <w:rPr>
          <w:rStyle w:val="italicus"/>
        </w:rPr>
        <w:t xml:space="preserve"> Les Prophètes,</w:t>
      </w:r>
      <w:r>
        <w:t xml:space="preserve"> t. I, p. 232. </w:t>
      </w:r>
    </w:p>
  </w:footnote>
  <w:footnote w:id="30">
    <w:p w:rsidR="007F47B8" w:rsidRPr="00826FE4" w:rsidRDefault="007F47B8" w:rsidP="00C31960">
      <w:pPr>
        <w:pStyle w:val="Notedebasdepage"/>
        <w:rPr>
          <w:i/>
        </w:rPr>
      </w:pPr>
      <w:r>
        <w:rPr>
          <w:rStyle w:val="Appelnotedebasdep"/>
        </w:rPr>
        <w:footnoteRef/>
      </w:r>
      <w:r>
        <w:t xml:space="preserve"> $ </w:t>
      </w:r>
      <w:r w:rsidRPr="0044481F">
        <w:rPr>
          <w:rStyle w:val="italicus"/>
        </w:rPr>
        <w:t xml:space="preserve">Ibidem. </w:t>
      </w:r>
    </w:p>
  </w:footnote>
  <w:footnote w:id="31">
    <w:p w:rsidR="007F47B8" w:rsidRPr="00826FE4" w:rsidRDefault="007F47B8" w:rsidP="00C31960">
      <w:pPr>
        <w:pStyle w:val="Notedebasdepage"/>
      </w:pPr>
      <w:r>
        <w:rPr>
          <w:rStyle w:val="Appelnotedebasdep"/>
        </w:rPr>
        <w:footnoteRef/>
      </w:r>
      <w:r>
        <w:t xml:space="preserve"> </w:t>
      </w:r>
      <w:r>
        <w:rPr>
          <w:rStyle w:val="italicus"/>
        </w:rPr>
        <w:t xml:space="preserve">$ </w:t>
      </w:r>
      <w:r>
        <w:t>Par un singulier</w:t>
      </w:r>
      <w:r w:rsidRPr="0044481F">
        <w:rPr>
          <w:rStyle w:val="italicus"/>
        </w:rPr>
        <w:t xml:space="preserve"> lapsus,</w:t>
      </w:r>
      <w:r>
        <w:t xml:space="preserve"> M. L. Segond traduit : « La Samarie », comme s’il était question de la province de ce nom.</w:t>
      </w:r>
      <w:r w:rsidRPr="0044481F">
        <w:rPr>
          <w:rStyle w:val="italicus"/>
        </w:rPr>
        <w:t xml:space="preserve"> La sainte Bible,</w:t>
      </w:r>
      <w:r>
        <w:t xml:space="preserve"> 1880, h. l. </w:t>
      </w:r>
    </w:p>
  </w:footnote>
  <w:footnote w:id="32">
    <w:p w:rsidR="007F47B8" w:rsidRPr="00826FE4" w:rsidRDefault="007F47B8" w:rsidP="00C31960">
      <w:pPr>
        <w:pStyle w:val="Notedebasdepage"/>
      </w:pPr>
      <w:r>
        <w:rPr>
          <w:rStyle w:val="Appelnotedebasdep"/>
        </w:rPr>
        <w:footnoteRef/>
      </w:r>
      <w:r>
        <w:t xml:space="preserve"> $ Admirons cette noblesse de style. </w:t>
      </w:r>
    </w:p>
  </w:footnote>
  <w:footnote w:id="33">
    <w:p w:rsidR="007F47B8" w:rsidRPr="00826FE4" w:rsidRDefault="007F47B8" w:rsidP="00C31960">
      <w:pPr>
        <w:pStyle w:val="Notedebasdepage"/>
      </w:pPr>
      <w:r>
        <w:rPr>
          <w:rStyle w:val="Appelnotedebasdep"/>
        </w:rPr>
        <w:footnoteRef/>
      </w:r>
      <w:r>
        <w:t xml:space="preserve"> $ </w:t>
      </w:r>
      <w:r w:rsidRPr="0044481F">
        <w:rPr>
          <w:rStyle w:val="italicus"/>
        </w:rPr>
        <w:t>Les Prophètes,</w:t>
      </w:r>
      <w:r>
        <w:t xml:space="preserve"> t. I, p. 232 et 233. </w:t>
      </w:r>
    </w:p>
  </w:footnote>
  <w:footnote w:id="34">
    <w:p w:rsidR="007F47B8" w:rsidRDefault="007F47B8" w:rsidP="00C31960">
      <w:pPr>
        <w:pStyle w:val="Notedebasdepage"/>
      </w:pPr>
      <w:r>
        <w:rPr>
          <w:rStyle w:val="Appelnotedebasdep"/>
        </w:rPr>
        <w:footnoteRef/>
      </w:r>
      <w:r>
        <w:t xml:space="preserve"> $ </w:t>
      </w:r>
      <w:r w:rsidRPr="0044481F">
        <w:rPr>
          <w:rStyle w:val="italicus"/>
        </w:rPr>
        <w:t xml:space="preserve">Geschichte der jud. Literatur, </w:t>
      </w:r>
      <w:r w:rsidRPr="003B1DDA">
        <w:t xml:space="preserve">l. c., p. 140. </w:t>
      </w:r>
    </w:p>
  </w:footnote>
  <w:footnote w:id="35">
    <w:p w:rsidR="007F47B8" w:rsidRPr="00826FE4" w:rsidRDefault="007F47B8" w:rsidP="00C31960">
      <w:pPr>
        <w:pStyle w:val="Notedebasdepage"/>
      </w:pPr>
      <w:r>
        <w:rPr>
          <w:rStyle w:val="Appelnotedebasdep"/>
        </w:rPr>
        <w:footnoteRef/>
      </w:r>
      <w:r>
        <w:t xml:space="preserve"> </w:t>
      </w:r>
      <w:r>
        <w:rPr>
          <w:rStyle w:val="italicus"/>
        </w:rPr>
        <w:t xml:space="preserve">$ </w:t>
      </w:r>
      <w:r w:rsidRPr="0044481F">
        <w:rPr>
          <w:rStyle w:val="italicus"/>
        </w:rPr>
        <w:t>Der Prophet Jesaia erklært,</w:t>
      </w:r>
      <w:r>
        <w:t xml:space="preserve"> 4e édit., Leipzig, 1872, p. 66. </w:t>
      </w:r>
    </w:p>
  </w:footnote>
  <w:footnote w:id="36">
    <w:p w:rsidR="007F47B8" w:rsidRPr="00826FE4" w:rsidRDefault="007F47B8" w:rsidP="00C31960">
      <w:pPr>
        <w:pStyle w:val="Notedebasdepage"/>
        <w:rPr>
          <w:lang w:val="en-US"/>
        </w:rPr>
      </w:pPr>
      <w:r>
        <w:rPr>
          <w:rStyle w:val="Appelnotedebasdep"/>
        </w:rPr>
        <w:footnoteRef/>
      </w:r>
      <w:r w:rsidRPr="00826FE4">
        <w:rPr>
          <w:lang w:val="en-US"/>
        </w:rPr>
        <w:t xml:space="preserve"> </w:t>
      </w:r>
      <w:r w:rsidRPr="00F84A0B">
        <w:rPr>
          <w:lang w:val="en-US"/>
        </w:rPr>
        <w:t xml:space="preserve">$ </w:t>
      </w:r>
      <w:r w:rsidRPr="00F84A0B">
        <w:rPr>
          <w:rStyle w:val="italicus"/>
          <w:lang w:val="en-US"/>
        </w:rPr>
        <w:t xml:space="preserve">Commentar über den Jesaia, </w:t>
      </w:r>
      <w:r w:rsidRPr="00F84A0B">
        <w:rPr>
          <w:lang w:val="en-US"/>
        </w:rPr>
        <w:t xml:space="preserve">t. I, p. 284. </w:t>
      </w:r>
    </w:p>
  </w:footnote>
  <w:footnote w:id="37">
    <w:p w:rsidR="007F47B8" w:rsidRPr="00826FE4" w:rsidRDefault="007F47B8" w:rsidP="00C31960">
      <w:pPr>
        <w:pStyle w:val="Notedebasdepage"/>
        <w:rPr>
          <w:lang w:val="en-US"/>
        </w:rPr>
      </w:pPr>
      <w:r>
        <w:rPr>
          <w:rStyle w:val="Appelnotedebasdep"/>
        </w:rPr>
        <w:footnoteRef/>
      </w:r>
      <w:r w:rsidRPr="00826FE4">
        <w:rPr>
          <w:lang w:val="en-US"/>
        </w:rPr>
        <w:t xml:space="preserve"> </w:t>
      </w:r>
      <w:r w:rsidRPr="00F84A0B">
        <w:rPr>
          <w:rStyle w:val="italicus"/>
          <w:lang w:val="en-US"/>
        </w:rPr>
        <w:t>$ Weissagung und Erfüllung,</w:t>
      </w:r>
      <w:r w:rsidRPr="00F84A0B">
        <w:rPr>
          <w:lang w:val="en-US"/>
        </w:rPr>
        <w:t xml:space="preserve"> t. I, p. 219. </w:t>
      </w:r>
    </w:p>
  </w:footnote>
  <w:footnote w:id="38">
    <w:p w:rsidR="007F47B8" w:rsidRPr="00826FE4" w:rsidRDefault="007F47B8" w:rsidP="00C31960">
      <w:pPr>
        <w:pStyle w:val="Notedebasdepage"/>
      </w:pPr>
      <w:r>
        <w:rPr>
          <w:rStyle w:val="Appelnotedebasdep"/>
        </w:rPr>
        <w:footnoteRef/>
      </w:r>
      <w:r>
        <w:t xml:space="preserve"> </w:t>
      </w:r>
      <w:r>
        <w:rPr>
          <w:rStyle w:val="italicus"/>
        </w:rPr>
        <w:t xml:space="preserve">$ </w:t>
      </w:r>
      <w:r>
        <w:t>Voyez Knabenbauer,</w:t>
      </w:r>
      <w:r>
        <w:rPr>
          <w:rStyle w:val="italicus"/>
        </w:rPr>
        <w:t xml:space="preserve"> Erklærung des Propheten I</w:t>
      </w:r>
      <w:r w:rsidRPr="0044481F">
        <w:rPr>
          <w:rStyle w:val="italicus"/>
        </w:rPr>
        <w:t>saias,</w:t>
      </w:r>
      <w:r>
        <w:t xml:space="preserve"> Fribourg-en-Brisgau, 1881, p. 116. </w:t>
      </w:r>
    </w:p>
  </w:footnote>
  <w:footnote w:id="39">
    <w:p w:rsidR="007F47B8" w:rsidRDefault="007F47B8" w:rsidP="00C31960">
      <w:pPr>
        <w:pStyle w:val="Notedebasdepage"/>
      </w:pPr>
      <w:r>
        <w:rPr>
          <w:rStyle w:val="Appelnotedebasdep"/>
        </w:rPr>
        <w:footnoteRef/>
      </w:r>
      <w:r>
        <w:t xml:space="preserve"> $ </w:t>
      </w:r>
      <w:r w:rsidRPr="0044481F">
        <w:rPr>
          <w:rStyle w:val="italicus"/>
        </w:rPr>
        <w:t xml:space="preserve">Bibl. Commentar </w:t>
      </w:r>
      <w:r>
        <w:rPr>
          <w:rStyle w:val="italicus"/>
        </w:rPr>
        <w:t>über</w:t>
      </w:r>
      <w:r w:rsidRPr="0044481F">
        <w:rPr>
          <w:rStyle w:val="italicus"/>
        </w:rPr>
        <w:t xml:space="preserve"> den Propheten Jesaia, </w:t>
      </w:r>
      <w:r w:rsidRPr="00BD0E69">
        <w:t>2e édit., p. 132. Cf. Tholuck.</w:t>
      </w:r>
      <w:r w:rsidRPr="0044481F">
        <w:rPr>
          <w:rStyle w:val="italicus"/>
        </w:rPr>
        <w:t xml:space="preserve"> Die Propheten md ihre Weissagungen, </w:t>
      </w:r>
      <w:r w:rsidRPr="00BD0E69">
        <w:t xml:space="preserve">1861, p. 16 et suiv. </w:t>
      </w:r>
    </w:p>
  </w:footnote>
  <w:footnote w:id="40">
    <w:p w:rsidR="007F47B8" w:rsidRDefault="007F47B8" w:rsidP="00C31960">
      <w:pPr>
        <w:pStyle w:val="Notedebasdepage"/>
      </w:pPr>
      <w:r>
        <w:rPr>
          <w:rStyle w:val="Appelnotedebasdep"/>
        </w:rPr>
        <w:footnoteRef/>
      </w:r>
      <w:r>
        <w:t xml:space="preserve"> </w:t>
      </w:r>
      <w:r>
        <w:rPr>
          <w:rStyle w:val="italicus"/>
        </w:rPr>
        <w:t>$ Comment.</w:t>
      </w:r>
      <w:r w:rsidRPr="0044481F">
        <w:rPr>
          <w:rStyle w:val="italicus"/>
        </w:rPr>
        <w:t xml:space="preserve"> </w:t>
      </w:r>
      <w:r w:rsidRPr="00BD0E69">
        <w:t>in</w:t>
      </w:r>
      <w:r>
        <w:t xml:space="preserve"> h. l.</w:t>
      </w:r>
      <w:r w:rsidRPr="00BD0E69">
        <w:t xml:space="preserve"> </w:t>
      </w:r>
    </w:p>
  </w:footnote>
  <w:footnote w:id="41">
    <w:p w:rsidR="007F47B8" w:rsidRPr="00826FE4" w:rsidRDefault="007F47B8" w:rsidP="00C31960">
      <w:pPr>
        <w:pStyle w:val="Notedebasdepage"/>
      </w:pPr>
      <w:r>
        <w:rPr>
          <w:rStyle w:val="Appelnotedebasdep"/>
        </w:rPr>
        <w:footnoteRef/>
      </w:r>
      <w:r>
        <w:t xml:space="preserve"> </w:t>
      </w:r>
      <w:r>
        <w:rPr>
          <w:rStyle w:val="italicus"/>
        </w:rPr>
        <w:t xml:space="preserve">$ </w:t>
      </w:r>
      <w:r>
        <w:t>Ce mot est de Bunsen,</w:t>
      </w:r>
      <w:r>
        <w:rPr>
          <w:rStyle w:val="italicus"/>
        </w:rPr>
        <w:t xml:space="preserve"> Vollstæ</w:t>
      </w:r>
      <w:r w:rsidRPr="0044481F">
        <w:rPr>
          <w:rStyle w:val="italicus"/>
        </w:rPr>
        <w:t>ndiges Bibelwerk f</w:t>
      </w:r>
      <w:r>
        <w:rPr>
          <w:rStyle w:val="italicus"/>
        </w:rPr>
        <w:t>ü</w:t>
      </w:r>
      <w:r w:rsidRPr="0044481F">
        <w:rPr>
          <w:rStyle w:val="italicus"/>
        </w:rPr>
        <w:t>r die Gemeinde,</w:t>
      </w:r>
      <w:r>
        <w:t xml:space="preserve"> I Abth., 2 Th., t. IV, p. 336, Leipzig, 1860. </w:t>
      </w:r>
    </w:p>
  </w:footnote>
  <w:footnote w:id="42">
    <w:p w:rsidR="007F47B8" w:rsidRPr="00826FE4" w:rsidRDefault="007F47B8" w:rsidP="00C31960">
      <w:pPr>
        <w:pStyle w:val="Notedebasdepage"/>
      </w:pPr>
      <w:r>
        <w:rPr>
          <w:rStyle w:val="Appelnotedebasdep"/>
        </w:rPr>
        <w:footnoteRef/>
      </w:r>
      <w:r>
        <w:t xml:space="preserve"> $ Jarchi, Abenesra, Abarbanel, etc. </w:t>
      </w:r>
    </w:p>
  </w:footnote>
  <w:footnote w:id="43">
    <w:p w:rsidR="007F47B8" w:rsidRPr="00A52917" w:rsidRDefault="007F47B8" w:rsidP="00C31960">
      <w:pPr>
        <w:pStyle w:val="Notedebasdepage"/>
        <w:rPr>
          <w:lang w:val="en-US"/>
        </w:rPr>
      </w:pPr>
      <w:r>
        <w:rPr>
          <w:rStyle w:val="Appelnotedebasdep"/>
        </w:rPr>
        <w:footnoteRef/>
      </w:r>
      <w:r w:rsidRPr="00A52917">
        <w:rPr>
          <w:lang w:val="en-US"/>
        </w:rPr>
        <w:t xml:space="preserve"> $ Maldonat, Tirin, Cornel. a Lapide, Schegg. </w:t>
      </w:r>
    </w:p>
  </w:footnote>
  <w:footnote w:id="44">
    <w:p w:rsidR="007F47B8" w:rsidRPr="00826FE4" w:rsidRDefault="007F47B8" w:rsidP="00C31960">
      <w:pPr>
        <w:pStyle w:val="Notedebasdepage"/>
      </w:pPr>
      <w:r>
        <w:rPr>
          <w:rStyle w:val="Appelnotedebasdep"/>
        </w:rPr>
        <w:footnoteRef/>
      </w:r>
      <w:r>
        <w:t xml:space="preserve"> $ Voyez dans Knabenbauer,</w:t>
      </w:r>
      <w:r w:rsidRPr="0044481F">
        <w:rPr>
          <w:rStyle w:val="italicus"/>
        </w:rPr>
        <w:t xml:space="preserve"> l. c.,</w:t>
      </w:r>
      <w:r>
        <w:t xml:space="preserve"> une preuve tirée des inscriptions cunéiformes. </w:t>
      </w:r>
    </w:p>
  </w:footnote>
  <w:footnote w:id="45">
    <w:p w:rsidR="007F47B8" w:rsidRPr="00826FE4" w:rsidRDefault="007F47B8" w:rsidP="00C31960">
      <w:pPr>
        <w:pStyle w:val="Notedebasdepage"/>
      </w:pPr>
      <w:r>
        <w:rPr>
          <w:rStyle w:val="Appelnotedebasdep"/>
        </w:rPr>
        <w:footnoteRef/>
      </w:r>
      <w:r>
        <w:t xml:space="preserve"> $ C’est sans raison suffisante qu’on a voulu parfois voir dans 65 une faute de copiste pour 25. « Cum líttera </w:t>
      </w:r>
      <w:r>
        <w:rPr>
          <w:sz w:val="22"/>
          <w:rtl/>
          <w:lang w:bidi="he-IL"/>
        </w:rPr>
        <w:t>ס</w:t>
      </w:r>
      <w:r>
        <w:t xml:space="preserve"> (nota númeri 60</w:t>
      </w:r>
      <w:r w:rsidRPr="00BA383E">
        <w:t xml:space="preserve">) </w:t>
      </w:r>
      <w:r>
        <w:t xml:space="preserve">et líttera </w:t>
      </w:r>
      <w:r>
        <w:rPr>
          <w:sz w:val="22"/>
          <w:rtl/>
          <w:lang w:bidi="he-IL"/>
        </w:rPr>
        <w:t>כ</w:t>
      </w:r>
      <w:r>
        <w:t xml:space="preserve"> (nota númeri 20</w:t>
      </w:r>
      <w:r w:rsidRPr="00BA383E">
        <w:t xml:space="preserve">) </w:t>
      </w:r>
      <w:r>
        <w:t>simili forma sint, néscio an prophéta scrípserit : 25 ». C. J. Bredenkamp,</w:t>
      </w:r>
      <w:r w:rsidRPr="0044481F">
        <w:rPr>
          <w:rStyle w:val="italicus"/>
        </w:rPr>
        <w:t xml:space="preserve"> Vaticínium</w:t>
      </w:r>
      <w:r>
        <w:rPr>
          <w:rStyle w:val="italicus"/>
        </w:rPr>
        <w:t xml:space="preserve"> quod de Immanué</w:t>
      </w:r>
      <w:r w:rsidRPr="0044481F">
        <w:rPr>
          <w:rStyle w:val="italicus"/>
        </w:rPr>
        <w:t>le édidit Jesaias,</w:t>
      </w:r>
      <w:r>
        <w:t xml:space="preserve"> Erlangen, 1880, p. 7. </w:t>
      </w:r>
    </w:p>
  </w:footnote>
  <w:footnote w:id="46">
    <w:p w:rsidR="007F47B8" w:rsidRPr="00826FE4" w:rsidRDefault="007F47B8" w:rsidP="00C31960">
      <w:pPr>
        <w:pStyle w:val="Notedebasdepage"/>
      </w:pPr>
      <w:r>
        <w:rPr>
          <w:rStyle w:val="Appelnotedebasdep"/>
        </w:rPr>
        <w:footnoteRef/>
      </w:r>
      <w:r>
        <w:t xml:space="preserve"> $ Bredenkamp,</w:t>
      </w:r>
      <w:r>
        <w:rPr>
          <w:rStyle w:val="italicus"/>
        </w:rPr>
        <w:t xml:space="preserve"> l</w:t>
      </w:r>
      <w:r w:rsidRPr="0044481F">
        <w:rPr>
          <w:rStyle w:val="italicus"/>
        </w:rPr>
        <w:t>. c.</w:t>
      </w:r>
      <w:r>
        <w:t xml:space="preserve"> </w:t>
      </w:r>
    </w:p>
  </w:footnote>
  <w:footnote w:id="47">
    <w:p w:rsidR="007F47B8" w:rsidRPr="00826FE4" w:rsidRDefault="007F47B8" w:rsidP="00C31960">
      <w:pPr>
        <w:pStyle w:val="Notedebasdepage"/>
      </w:pPr>
      <w:r>
        <w:rPr>
          <w:rStyle w:val="Appelnotedebasdep"/>
        </w:rPr>
        <w:footnoteRef/>
      </w:r>
      <w:r>
        <w:t xml:space="preserve"> $ Verset 10. </w:t>
      </w:r>
    </w:p>
  </w:footnote>
  <w:footnote w:id="48">
    <w:p w:rsidR="007F47B8" w:rsidRPr="00826FE4" w:rsidRDefault="007F47B8" w:rsidP="00C31960">
      <w:pPr>
        <w:pStyle w:val="Notedebasdepage"/>
      </w:pPr>
      <w:r>
        <w:rPr>
          <w:rStyle w:val="Appelnotedebasdep"/>
        </w:rPr>
        <w:footnoteRef/>
      </w:r>
      <w:r>
        <w:t xml:space="preserve"> $ </w:t>
      </w:r>
      <w:r w:rsidRPr="0044481F">
        <w:rPr>
          <w:rStyle w:val="italicus"/>
        </w:rPr>
        <w:t>Les Prophètes,</w:t>
      </w:r>
      <w:r>
        <w:t xml:space="preserve"> l. c., p. 233. M. Bruston,</w:t>
      </w:r>
      <w:r w:rsidRPr="0044481F">
        <w:rPr>
          <w:rStyle w:val="italicus"/>
        </w:rPr>
        <w:t xml:space="preserve"> Histoire critique de la littérature des Hébreux,</w:t>
      </w:r>
      <w:r>
        <w:t xml:space="preserve"> Paris, 1881, p. 137, et le docteur Nægelsbach,</w:t>
      </w:r>
      <w:r w:rsidRPr="0044481F">
        <w:rPr>
          <w:rStyle w:val="italicus"/>
        </w:rPr>
        <w:t xml:space="preserve"> ubi supra,</w:t>
      </w:r>
      <w:r>
        <w:t xml:space="preserve"> p. 98, adoptent, en la mitigeant, cette même opinion. </w:t>
      </w:r>
    </w:p>
  </w:footnote>
  <w:footnote w:id="49">
    <w:p w:rsidR="007F47B8" w:rsidRPr="00826FE4" w:rsidRDefault="007F47B8" w:rsidP="00C31960">
      <w:pPr>
        <w:pStyle w:val="Notedebasdepage"/>
      </w:pPr>
      <w:r>
        <w:rPr>
          <w:rStyle w:val="Appelnotedebasdep"/>
        </w:rPr>
        <w:footnoteRef/>
      </w:r>
      <w:r>
        <w:t xml:space="preserve"> $ Comme exemple de signe opéré dans les régions inférieures, voyez I </w:t>
      </w:r>
      <w:r w:rsidRPr="0044481F">
        <w:rPr>
          <w:rStyle w:val="italicus"/>
        </w:rPr>
        <w:t>Reg.</w:t>
      </w:r>
      <w:r>
        <w:t xml:space="preserve"> XXVIII, et comme exemple de signe</w:t>
      </w:r>
      <w:r w:rsidRPr="0044481F">
        <w:rPr>
          <w:rStyle w:val="italicus"/>
        </w:rPr>
        <w:t xml:space="preserve"> in excélsum supra,</w:t>
      </w:r>
      <w:r>
        <w:t xml:space="preserve"> comparez </w:t>
      </w:r>
      <w:r w:rsidRPr="0044481F">
        <w:rPr>
          <w:rStyle w:val="italicus"/>
        </w:rPr>
        <w:t>Jos.</w:t>
      </w:r>
      <w:r>
        <w:t xml:space="preserve"> X ; III </w:t>
      </w:r>
      <w:r w:rsidRPr="0044481F">
        <w:rPr>
          <w:rStyle w:val="italicus"/>
        </w:rPr>
        <w:t>Reg.</w:t>
      </w:r>
      <w:r>
        <w:t xml:space="preserve"> XVIII, 36-38 ;</w:t>
      </w:r>
      <w:r w:rsidRPr="0044481F">
        <w:rPr>
          <w:rStyle w:val="italicus"/>
        </w:rPr>
        <w:t xml:space="preserve"> Is.</w:t>
      </w:r>
      <w:r>
        <w:t xml:space="preserve"> XXXVIII ;</w:t>
      </w:r>
      <w:r w:rsidRPr="0044481F">
        <w:rPr>
          <w:rStyle w:val="italicus"/>
        </w:rPr>
        <w:t xml:space="preserve"> Luc.</w:t>
      </w:r>
      <w:r>
        <w:t xml:space="preserve"> XI, 16, etc. </w:t>
      </w:r>
    </w:p>
  </w:footnote>
  <w:footnote w:id="50">
    <w:p w:rsidR="007F47B8" w:rsidRDefault="007F47B8" w:rsidP="00C31960">
      <w:pPr>
        <w:pStyle w:val="Notedebasdepage"/>
      </w:pPr>
      <w:r>
        <w:rPr>
          <w:rStyle w:val="Appelnotedebasdep"/>
        </w:rPr>
        <w:footnoteRef/>
      </w:r>
      <w:r>
        <w:t xml:space="preserve"> $ </w:t>
      </w:r>
      <w:r w:rsidRPr="0044481F">
        <w:rPr>
          <w:rStyle w:val="italicus"/>
        </w:rPr>
        <w:t xml:space="preserve">Loc. cit., </w:t>
      </w:r>
      <w:r w:rsidRPr="00B91B35">
        <w:t xml:space="preserve">p. </w:t>
      </w:r>
      <w:r>
        <w:t>1</w:t>
      </w:r>
      <w:r w:rsidRPr="00B91B35">
        <w:t xml:space="preserve">14. </w:t>
      </w:r>
    </w:p>
  </w:footnote>
  <w:footnote w:id="51">
    <w:p w:rsidR="007F47B8" w:rsidRPr="00826FE4" w:rsidRDefault="007F47B8" w:rsidP="00C31960">
      <w:pPr>
        <w:pStyle w:val="Notedebasdepage"/>
        <w:rPr>
          <w:i/>
        </w:rPr>
      </w:pPr>
      <w:r>
        <w:rPr>
          <w:rStyle w:val="Appelnotedebasdep"/>
        </w:rPr>
        <w:footnoteRef/>
      </w:r>
      <w:r>
        <w:t xml:space="preserve"> </w:t>
      </w:r>
      <w:r>
        <w:rPr>
          <w:rStyle w:val="italicus"/>
        </w:rPr>
        <w:t xml:space="preserve">$ </w:t>
      </w:r>
      <w:r w:rsidRPr="0044481F">
        <w:rPr>
          <w:rStyle w:val="italicus"/>
        </w:rPr>
        <w:t xml:space="preserve">Comm. </w:t>
      </w:r>
      <w:r>
        <w:rPr>
          <w:rStyle w:val="italicus"/>
        </w:rPr>
        <w:t>über</w:t>
      </w:r>
      <w:r w:rsidRPr="0044481F">
        <w:rPr>
          <w:rStyle w:val="italicus"/>
        </w:rPr>
        <w:t xml:space="preserve"> den Proph. Jesaia, </w:t>
      </w:r>
      <w:r w:rsidRPr="00B91B35">
        <w:t>p. 134.</w:t>
      </w:r>
      <w:r w:rsidRPr="0044481F">
        <w:rPr>
          <w:rStyle w:val="italicus"/>
        </w:rPr>
        <w:t xml:space="preserve"> </w:t>
      </w:r>
    </w:p>
  </w:footnote>
  <w:footnote w:id="52">
    <w:p w:rsidR="007F47B8" w:rsidRPr="00826FE4" w:rsidRDefault="007F47B8" w:rsidP="00C31960">
      <w:pPr>
        <w:pStyle w:val="Notedebasdepage"/>
      </w:pPr>
      <w:r>
        <w:rPr>
          <w:rStyle w:val="Appelnotedebasdep"/>
        </w:rPr>
        <w:footnoteRef/>
      </w:r>
      <w:r>
        <w:t xml:space="preserve"> </w:t>
      </w:r>
      <w:r>
        <w:rPr>
          <w:rStyle w:val="italicus"/>
        </w:rPr>
        <w:t xml:space="preserve">$ </w:t>
      </w:r>
      <w:r w:rsidRPr="0044481F">
        <w:rPr>
          <w:rStyle w:val="italicus"/>
        </w:rPr>
        <w:t>Loc. cit.,</w:t>
      </w:r>
      <w:r>
        <w:t xml:space="preserve"> p. 8. Comp. Knabenbauer,</w:t>
      </w:r>
      <w:r w:rsidRPr="0044481F">
        <w:rPr>
          <w:rStyle w:val="italicus"/>
        </w:rPr>
        <w:t xml:space="preserve"> Isaias,</w:t>
      </w:r>
      <w:r>
        <w:t xml:space="preserve"> p. 118. </w:t>
      </w:r>
    </w:p>
  </w:footnote>
  <w:footnote w:id="53">
    <w:p w:rsidR="007F47B8" w:rsidRPr="00826FE4" w:rsidRDefault="007F47B8" w:rsidP="00C31960">
      <w:pPr>
        <w:pStyle w:val="Notedebasdepage"/>
      </w:pPr>
      <w:r>
        <w:rPr>
          <w:rStyle w:val="Appelnotedebasdep"/>
        </w:rPr>
        <w:footnoteRef/>
      </w:r>
      <w:r>
        <w:t xml:space="preserve"> $ « Nihil descríbit prophéta, nullis illum inclúdit angústiis. Osténdit totam hanc natúram rerum divínas poténtiæ et providéntiæ sic esse subjéctam, ut omnis in ea motus ad ejus nutum et imperium peragátur ». Vitringa, </w:t>
      </w:r>
      <w:r w:rsidRPr="0044481F">
        <w:rPr>
          <w:rStyle w:val="italicus"/>
        </w:rPr>
        <w:t>Commentar.</w:t>
      </w:r>
      <w:r>
        <w:t xml:space="preserve"> in h. l. </w:t>
      </w:r>
    </w:p>
  </w:footnote>
  <w:footnote w:id="54">
    <w:p w:rsidR="007F47B8" w:rsidRPr="00826FE4" w:rsidRDefault="007F47B8" w:rsidP="00C31960">
      <w:pPr>
        <w:pStyle w:val="Notedebasdepage"/>
        <w:rPr>
          <w:i/>
        </w:rPr>
      </w:pPr>
      <w:r>
        <w:rPr>
          <w:rStyle w:val="Appelnotedebasdep"/>
        </w:rPr>
        <w:footnoteRef/>
      </w:r>
      <w:r>
        <w:t xml:space="preserve"> $ </w:t>
      </w:r>
      <w:r w:rsidRPr="0044481F">
        <w:rPr>
          <w:rStyle w:val="italicus"/>
        </w:rPr>
        <w:t xml:space="preserve">Die Propheten des A. Bundes, t. I, p. 208. </w:t>
      </w:r>
    </w:p>
  </w:footnote>
  <w:footnote w:id="55">
    <w:p w:rsidR="007F47B8" w:rsidRPr="00826FE4"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Deut. </w:t>
      </w:r>
      <w:r w:rsidRPr="00B91B35">
        <w:t>VI, 16</w:t>
      </w:r>
      <w:r>
        <w:t>. Cf.</w:t>
      </w:r>
      <w:r w:rsidRPr="0044481F">
        <w:rPr>
          <w:rStyle w:val="italicus"/>
        </w:rPr>
        <w:t xml:space="preserve"> Ex.</w:t>
      </w:r>
      <w:r>
        <w:t xml:space="preserve"> XVII, 6 ;</w:t>
      </w:r>
      <w:r w:rsidRPr="0044481F">
        <w:rPr>
          <w:rStyle w:val="italicus"/>
        </w:rPr>
        <w:t xml:space="preserve"> Ps.</w:t>
      </w:r>
      <w:r>
        <w:rPr>
          <w:smallCaps/>
        </w:rPr>
        <w:t xml:space="preserve"> LXXVII</w:t>
      </w:r>
      <w:r>
        <w:t>, 18 ;</w:t>
      </w:r>
      <w:r w:rsidRPr="0044481F">
        <w:rPr>
          <w:rStyle w:val="italicus"/>
        </w:rPr>
        <w:t xml:space="preserve"> Act.</w:t>
      </w:r>
      <w:r>
        <w:t xml:space="preserve"> V, 9. </w:t>
      </w:r>
    </w:p>
  </w:footnote>
  <w:footnote w:id="56">
    <w:p w:rsidR="007F47B8" w:rsidRPr="00826FE4" w:rsidRDefault="007F47B8" w:rsidP="00C31960">
      <w:pPr>
        <w:pStyle w:val="Notedebasdepage"/>
      </w:pPr>
      <w:r>
        <w:rPr>
          <w:rStyle w:val="Appelnotedebasdep"/>
        </w:rPr>
        <w:footnoteRef/>
      </w:r>
      <w:r>
        <w:t xml:space="preserve"> $ « Nous avons quelque raison, dit fort bien M. Kitto, d’être reconnaissants pour la grossière opiniâtreté d’Achaz, puisqu’elle a produit cet anneau splendide dans la chaîne des témoignages prophétiques qui concernent le divin Sauveur ».</w:t>
      </w:r>
      <w:r w:rsidRPr="0044481F">
        <w:rPr>
          <w:rStyle w:val="italicus"/>
        </w:rPr>
        <w:t xml:space="preserve"> Daily Bible Illustrations,</w:t>
      </w:r>
      <w:r>
        <w:t xml:space="preserve"> t. IV, p. 386, Londres, 1863. </w:t>
      </w:r>
    </w:p>
  </w:footnote>
  <w:footnote w:id="57">
    <w:p w:rsidR="007F47B8" w:rsidRPr="00826FE4" w:rsidRDefault="007F47B8" w:rsidP="00C31960">
      <w:pPr>
        <w:pStyle w:val="Notedebasdepage"/>
      </w:pPr>
      <w:r>
        <w:rPr>
          <w:rStyle w:val="Appelnotedebasdep"/>
        </w:rPr>
        <w:footnoteRef/>
      </w:r>
      <w:r>
        <w:t xml:space="preserve"> $ </w:t>
      </w:r>
      <w:r w:rsidRPr="0044481F">
        <w:rPr>
          <w:rStyle w:val="italicus"/>
        </w:rPr>
        <w:t>Genèse</w:t>
      </w:r>
      <w:r>
        <w:t xml:space="preserve"> III, 1-20. Voyez E. Bœhl,</w:t>
      </w:r>
      <w:r w:rsidRPr="0044481F">
        <w:rPr>
          <w:rStyle w:val="italicus"/>
        </w:rPr>
        <w:t xml:space="preserve"> Christologie des Allen Testamentes, </w:t>
      </w:r>
      <w:r>
        <w:t xml:space="preserve">Vienne, 1882, p. 234. </w:t>
      </w:r>
    </w:p>
  </w:footnote>
  <w:footnote w:id="58">
    <w:p w:rsidR="007F47B8" w:rsidRPr="00826FE4" w:rsidRDefault="007F47B8" w:rsidP="00C31960">
      <w:pPr>
        <w:pStyle w:val="Notedebasdepage"/>
      </w:pPr>
      <w:r>
        <w:rPr>
          <w:rStyle w:val="Appelnotedebasdep"/>
        </w:rPr>
        <w:footnoteRef/>
      </w:r>
      <w:r>
        <w:t xml:space="preserve"> </w:t>
      </w:r>
      <w:r w:rsidRPr="00B91B35">
        <w:t xml:space="preserve">$ </w:t>
      </w:r>
      <w:r>
        <w:t>Patrizi, la</w:t>
      </w:r>
      <w:r>
        <w:rPr>
          <w:rStyle w:val="italicus"/>
        </w:rPr>
        <w:t xml:space="preserve"> Synopsis crit</w:t>
      </w:r>
      <w:r w:rsidRPr="0044481F">
        <w:rPr>
          <w:rStyle w:val="italicus"/>
        </w:rPr>
        <w:t>ic</w:t>
      </w:r>
      <w:r>
        <w:rPr>
          <w:rStyle w:val="italicus"/>
        </w:rPr>
        <w:t>ó</w:t>
      </w:r>
      <w:r w:rsidRPr="0044481F">
        <w:rPr>
          <w:rStyle w:val="italicus"/>
        </w:rPr>
        <w:t>rum,</w:t>
      </w:r>
      <w:r>
        <w:t xml:space="preserve"> Bredenkamp, etc. </w:t>
      </w:r>
    </w:p>
  </w:footnote>
  <w:footnote w:id="59">
    <w:p w:rsidR="007F47B8" w:rsidRPr="00826FE4" w:rsidRDefault="007F47B8" w:rsidP="00C31960">
      <w:pPr>
        <w:pStyle w:val="Notedebasdepage"/>
      </w:pPr>
      <w:r>
        <w:rPr>
          <w:rStyle w:val="Appelnotedebasdep"/>
        </w:rPr>
        <w:footnoteRef/>
      </w:r>
      <w:r>
        <w:t xml:space="preserve"> $ Voyez en particulier saint Justin,</w:t>
      </w:r>
      <w:r w:rsidRPr="0044481F">
        <w:rPr>
          <w:rStyle w:val="italicus"/>
        </w:rPr>
        <w:t xml:space="preserve"> Dialog. cum Tryphóne,</w:t>
      </w:r>
      <w:r>
        <w:t xml:space="preserve"> passim. Cf. Reinke,</w:t>
      </w:r>
      <w:r w:rsidRPr="0044481F">
        <w:rPr>
          <w:rStyle w:val="italicus"/>
        </w:rPr>
        <w:t xml:space="preserve"> Die Weissagung von der Jungfrau</w:t>
      </w:r>
      <w:r>
        <w:t xml:space="preserve">, § 7. </w:t>
      </w:r>
    </w:p>
  </w:footnote>
  <w:footnote w:id="60">
    <w:p w:rsidR="007F47B8" w:rsidRPr="00826FE4" w:rsidRDefault="007F47B8" w:rsidP="00C31960">
      <w:pPr>
        <w:pStyle w:val="Notedebasdepage"/>
      </w:pPr>
      <w:r>
        <w:rPr>
          <w:rStyle w:val="Appelnotedebasdep"/>
        </w:rPr>
        <w:footnoteRef/>
      </w:r>
      <w:r>
        <w:t xml:space="preserve"> $ Qu’attendre, au reste, d’hommes qui n’ont pas l’intelligence du divin ? d’un Gesenius, par exemple, qui prétendait qu’admettre des « prophéties dans l’Ancien Testament, c’est abaisser les prophètes au rang de devins, et qu’on ne saurait obtenir une interprétation chrétienne qu’à condition de torturer la philologie ». Cheyne,</w:t>
      </w:r>
      <w:r w:rsidRPr="0044481F">
        <w:rPr>
          <w:rStyle w:val="italicus"/>
        </w:rPr>
        <w:t xml:space="preserve"> Commentary on Isaiah,</w:t>
      </w:r>
      <w:r>
        <w:t xml:space="preserve"> t. II, p. 253. </w:t>
      </w:r>
    </w:p>
  </w:footnote>
  <w:footnote w:id="61">
    <w:p w:rsidR="007F47B8" w:rsidRPr="00826FE4" w:rsidRDefault="007F47B8" w:rsidP="00C31960">
      <w:pPr>
        <w:pStyle w:val="Notedebasdepage"/>
      </w:pPr>
      <w:r>
        <w:rPr>
          <w:rStyle w:val="Appelnotedebasdep"/>
        </w:rPr>
        <w:footnoteRef/>
      </w:r>
      <w:r>
        <w:t xml:space="preserve"> $ </w:t>
      </w:r>
      <w:r w:rsidRPr="0044481F">
        <w:rPr>
          <w:rStyle w:val="italicus"/>
        </w:rPr>
        <w:t>Dieses sehr wichtige St</w:t>
      </w:r>
      <w:r>
        <w:rPr>
          <w:rStyle w:val="italicus"/>
        </w:rPr>
        <w:t>ü</w:t>
      </w:r>
      <w:r w:rsidRPr="0044481F">
        <w:rPr>
          <w:rStyle w:val="italicus"/>
        </w:rPr>
        <w:t>ck,</w:t>
      </w:r>
      <w:r>
        <w:t xml:space="preserve"> « ce morceau très important », dit formellement Ewald,</w:t>
      </w:r>
      <w:r w:rsidRPr="0044481F">
        <w:rPr>
          <w:rStyle w:val="italicus"/>
        </w:rPr>
        <w:t xml:space="preserve"> Die Propheten,</w:t>
      </w:r>
      <w:r>
        <w:t xml:space="preserve"> t. I. p. 209. </w:t>
      </w:r>
    </w:p>
  </w:footnote>
  <w:footnote w:id="62">
    <w:p w:rsidR="007F47B8" w:rsidRPr="00826FE4" w:rsidRDefault="007F47B8" w:rsidP="00C31960">
      <w:pPr>
        <w:pStyle w:val="Notedebasdepage"/>
      </w:pPr>
      <w:r>
        <w:rPr>
          <w:rStyle w:val="Appelnotedebasdep"/>
        </w:rPr>
        <w:footnoteRef/>
      </w:r>
      <w:r>
        <w:t xml:space="preserve"> $ Le docteur catholique Laur. Reinke, dans son bel ouvrage</w:t>
      </w:r>
      <w:r w:rsidRPr="0044481F">
        <w:rPr>
          <w:rStyle w:val="italicus"/>
        </w:rPr>
        <w:t xml:space="preserve"> Die Weissagung von der Jungfrau und von Immanuel,</w:t>
      </w:r>
      <w:r>
        <w:t xml:space="preserve"> p. 60-64 (Munster, 1848</w:t>
      </w:r>
      <w:r w:rsidRPr="00BA383E">
        <w:t xml:space="preserve">) </w:t>
      </w:r>
      <w:r>
        <w:t>ne signale pas moins de quarante-trois écrits spécialement composés en vue d’expliquer la prophétie de l’</w:t>
      </w:r>
      <w:r w:rsidRPr="00D05EA9">
        <w:rPr>
          <w:rStyle w:val="italicus"/>
        </w:rPr>
        <w:t xml:space="preserve">῾almah </w:t>
      </w:r>
      <w:r>
        <w:t>à partir de 1554. Il exclut de sa nomenclature les commentaires proprement dits du livre d’Isaïe, qui ne manquent pas de discuter plus ou moins notre passage. Plusieurs autres dissertations ont paru depuis 1848, notamment celles de MM. W. Schultz et Bredenkamp en Allemagne, des Pères Patrizi et Vercellone en Italie, etc. Notre grand Bossuet</w:t>
      </w:r>
      <w:bookmarkStart w:id="88" w:name="z_Bossuet_o1"/>
      <w:bookmarkEnd w:id="88"/>
      <w:r>
        <w:t xml:space="preserve"> a rompu autrefois une lance en faveur de l’</w:t>
      </w:r>
      <w:r w:rsidRPr="00D05EA9">
        <w:rPr>
          <w:rStyle w:val="italicus"/>
        </w:rPr>
        <w:t>῾almah</w:t>
      </w:r>
      <w:r w:rsidRPr="0044481F">
        <w:rPr>
          <w:rStyle w:val="italicus"/>
        </w:rPr>
        <w:t xml:space="preserve"> </w:t>
      </w:r>
      <w:r>
        <w:t>(Œuvres, édit. de Versailles, t. III, p. 1-29). L’explication de M. le chevalier Drach, qui fait partie intégrante de l’ouvrage cité plus loin</w:t>
      </w:r>
      <w:r w:rsidRPr="0044481F">
        <w:rPr>
          <w:rStyle w:val="italicus"/>
        </w:rPr>
        <w:t xml:space="preserve"> </w:t>
      </w:r>
      <w:r w:rsidRPr="00D05EA9">
        <w:t>(</w:t>
      </w:r>
      <w:r w:rsidRPr="0044481F">
        <w:rPr>
          <w:rStyle w:val="italicus"/>
        </w:rPr>
        <w:t>Harmonie…,</w:t>
      </w:r>
      <w:r>
        <w:t xml:space="preserve"> t. II, p. 1-383</w:t>
      </w:r>
      <w:r w:rsidRPr="00BA383E">
        <w:t xml:space="preserve">), </w:t>
      </w:r>
      <w:r>
        <w:t>présente un intérêt particulier à cause de l’érudition rabbinique de l’auteur. Les fragments extraits des manuscrits de M. l’abbé Le Hir et insérés dans</w:t>
      </w:r>
      <w:r w:rsidRPr="0044481F">
        <w:rPr>
          <w:rStyle w:val="italicus"/>
        </w:rPr>
        <w:t xml:space="preserve"> Les trois grands prophètes, Isaïe, Jérémie, Ézéchiel,</w:t>
      </w:r>
      <w:r>
        <w:t xml:space="preserve"> que publiait naguère M. Grandvaux (Paris, 1877</w:t>
      </w:r>
      <w:r w:rsidRPr="00BA383E">
        <w:t xml:space="preserve">), </w:t>
      </w:r>
      <w:r>
        <w:t xml:space="preserve">font vivement regretter, par leur richesse, que le savant professeur n’ait pu compléter son œuvre. — Nous ne croyons pas exagérer en disant que nous avons étudié, en vue de notre humble travail, plus de quinze cents pages, dues à cinquante auteurs environ. </w:t>
      </w:r>
    </w:p>
  </w:footnote>
  <w:footnote w:id="63">
    <w:p w:rsidR="007F47B8" w:rsidRPr="00826FE4" w:rsidRDefault="007F47B8" w:rsidP="00C31960">
      <w:pPr>
        <w:pStyle w:val="Notedebasdepage"/>
      </w:pPr>
      <w:r>
        <w:rPr>
          <w:rStyle w:val="Appelnotedebasdep"/>
        </w:rPr>
        <w:footnoteRef/>
      </w:r>
      <w:r w:rsidRPr="00826FE4">
        <w:rPr>
          <w:lang w:val="en-US"/>
        </w:rPr>
        <w:t xml:space="preserve"> </w:t>
      </w:r>
      <w:r w:rsidRPr="00F84A0B">
        <w:rPr>
          <w:lang w:val="en-US"/>
        </w:rPr>
        <w:t xml:space="preserve">$ </w:t>
      </w:r>
      <w:r w:rsidRPr="00F84A0B">
        <w:rPr>
          <w:rStyle w:val="italicus"/>
          <w:lang w:val="en-US"/>
        </w:rPr>
        <w:t>Bible annotée,</w:t>
      </w:r>
      <w:r w:rsidRPr="00F84A0B">
        <w:rPr>
          <w:lang w:val="en-US"/>
        </w:rPr>
        <w:t xml:space="preserve"> t. I, p. 73. </w:t>
      </w:r>
      <w:r>
        <w:t>C’était aussi l’avis de Sanchez : « Hic locus valde diffícilis est, atque ab omnibus, tain piis quam ímpiis maxime in utrámque partem versátus ».</w:t>
      </w:r>
      <w:r>
        <w:rPr>
          <w:rStyle w:val="italicus"/>
        </w:rPr>
        <w:t xml:space="preserve"> Comment. in I</w:t>
      </w:r>
      <w:r w:rsidRPr="0044481F">
        <w:rPr>
          <w:rStyle w:val="italicus"/>
        </w:rPr>
        <w:t>s.</w:t>
      </w:r>
      <w:r>
        <w:t xml:space="preserve"> </w:t>
      </w:r>
      <w:r w:rsidRPr="0044481F">
        <w:rPr>
          <w:rStyle w:val="italicus"/>
        </w:rPr>
        <w:t>VII</w:t>
      </w:r>
      <w:r>
        <w:t xml:space="preserve">, 14. </w:t>
      </w:r>
    </w:p>
  </w:footnote>
  <w:footnote w:id="64">
    <w:p w:rsidR="007F47B8" w:rsidRPr="00826FE4" w:rsidRDefault="007F47B8" w:rsidP="00C31960">
      <w:pPr>
        <w:pStyle w:val="Notedebasdepage"/>
      </w:pPr>
      <w:r>
        <w:rPr>
          <w:rStyle w:val="Appelnotedebasdep"/>
        </w:rPr>
        <w:footnoteRef/>
      </w:r>
      <w:r>
        <w:t xml:space="preserve"> $ </w:t>
      </w:r>
      <w:r w:rsidRPr="0044481F">
        <w:rPr>
          <w:rStyle w:val="italicus"/>
        </w:rPr>
        <w:t>Harmonie entre la Synagogue et l’Église,</w:t>
      </w:r>
      <w:r>
        <w:t xml:space="preserve"> t. II, p. 348. </w:t>
      </w:r>
    </w:p>
  </w:footnote>
  <w:footnote w:id="65">
    <w:p w:rsidR="007F47B8" w:rsidRPr="00826FE4" w:rsidRDefault="007F47B8" w:rsidP="00C31960">
      <w:pPr>
        <w:pStyle w:val="Notedebasdepage"/>
      </w:pPr>
      <w:r>
        <w:rPr>
          <w:rStyle w:val="Appelnotedebasdep"/>
        </w:rPr>
        <w:footnoteRef/>
      </w:r>
      <w:r>
        <w:t xml:space="preserve"> $ « In quo véluti summa rei est ». Patrizi,</w:t>
      </w:r>
      <w:r w:rsidRPr="0044481F">
        <w:rPr>
          <w:rStyle w:val="italicus"/>
        </w:rPr>
        <w:t xml:space="preserve"> De Evangéliis,</w:t>
      </w:r>
      <w:r>
        <w:t xml:space="preserve"> lib. III, dissert. XVI, p. 139. </w:t>
      </w:r>
    </w:p>
  </w:footnote>
  <w:footnote w:id="66">
    <w:p w:rsidR="007F47B8" w:rsidRPr="00826FE4" w:rsidRDefault="007F47B8" w:rsidP="00C31960">
      <w:pPr>
        <w:pStyle w:val="Notedebasdepage"/>
      </w:pPr>
      <w:r>
        <w:rPr>
          <w:rStyle w:val="Appelnotedebasdep"/>
        </w:rPr>
        <w:footnoteRef/>
      </w:r>
      <w:r>
        <w:t xml:space="preserve"> $ Matth. I, 23. </w:t>
      </w:r>
    </w:p>
  </w:footnote>
  <w:footnote w:id="67">
    <w:p w:rsidR="007F47B8" w:rsidRPr="00826FE4" w:rsidRDefault="007F47B8" w:rsidP="00C31960">
      <w:pPr>
        <w:pStyle w:val="Notedebasdepage"/>
      </w:pPr>
      <w:r>
        <w:rPr>
          <w:rStyle w:val="Appelnotedebasdep"/>
        </w:rPr>
        <w:footnoteRef/>
      </w:r>
      <w:r>
        <w:t xml:space="preserve"> $ </w:t>
      </w:r>
      <w:r>
        <w:rPr>
          <w:rStyle w:val="italicus"/>
        </w:rPr>
        <w:t>Dissertation sur ces paroles d’Is</w:t>
      </w:r>
      <w:r w:rsidRPr="0044481F">
        <w:rPr>
          <w:rStyle w:val="italicus"/>
        </w:rPr>
        <w:t>aïe….</w:t>
      </w:r>
      <w:r>
        <w:t xml:space="preserve"> Commentaire littér. sur les livre » de l’Ancien et du Nouveau Testament, t. XIV, p.</w:t>
      </w:r>
      <w:r>
        <w:rPr>
          <w:smallCaps/>
        </w:rPr>
        <w:t xml:space="preserve"> LXIX.</w:t>
      </w:r>
      <w:r>
        <w:t xml:space="preserve"> </w:t>
      </w:r>
    </w:p>
  </w:footnote>
  <w:footnote w:id="68">
    <w:p w:rsidR="007F47B8" w:rsidRPr="00826FE4" w:rsidRDefault="007F47B8" w:rsidP="00C31960">
      <w:pPr>
        <w:pStyle w:val="Notedebasdepage"/>
      </w:pPr>
      <w:r>
        <w:rPr>
          <w:rStyle w:val="Appelnotedebasdep"/>
        </w:rPr>
        <w:footnoteRef/>
      </w:r>
      <w:r>
        <w:t xml:space="preserve"> </w:t>
      </w:r>
      <w:r w:rsidRPr="00B8261D">
        <w:t>$ Voyez</w:t>
      </w:r>
      <w:r>
        <w:t xml:space="preserve"> Ewald,</w:t>
      </w:r>
      <w:r w:rsidRPr="0044481F">
        <w:rPr>
          <w:rStyle w:val="italicus"/>
        </w:rPr>
        <w:t xml:space="preserve"> Die Propheten des A.</w:t>
      </w:r>
      <w:r>
        <w:rPr>
          <w:rStyle w:val="italicus"/>
        </w:rPr>
        <w:t xml:space="preserve"> B.</w:t>
      </w:r>
      <w:r>
        <w:t>., t. I, p. 209, et tous les commentaires rationalistes. Parmi les anciens auteurs, cf. Cornélius a Lapide,</w:t>
      </w:r>
      <w:r>
        <w:rPr>
          <w:rStyle w:val="italicus"/>
        </w:rPr>
        <w:t xml:space="preserve"> in h. l</w:t>
      </w:r>
      <w:r w:rsidRPr="0044481F">
        <w:rPr>
          <w:rStyle w:val="italicus"/>
        </w:rPr>
        <w:t>. ;</w:t>
      </w:r>
      <w:r>
        <w:t xml:space="preserve"> car il ne faut pas croire que les écrivains incrédules aient été les premiers à indiquer l’organisme des livres inspirés. </w:t>
      </w:r>
    </w:p>
  </w:footnote>
  <w:footnote w:id="69">
    <w:p w:rsidR="007F47B8" w:rsidRPr="00826FE4" w:rsidRDefault="007F47B8" w:rsidP="00C31960">
      <w:pPr>
        <w:pStyle w:val="Notedebasdepage"/>
      </w:pPr>
      <w:r>
        <w:rPr>
          <w:rStyle w:val="Appelnotedebasdep"/>
        </w:rPr>
        <w:footnoteRef/>
      </w:r>
      <w:r>
        <w:t xml:space="preserve"> $ Nous nous sommes largement servi pour ce sommaire de l’ouvrage de M. Le Hir,</w:t>
      </w:r>
      <w:r w:rsidRPr="0044481F">
        <w:rPr>
          <w:rStyle w:val="italicus"/>
        </w:rPr>
        <w:t xml:space="preserve"> Les trois grands prophètes,</w:t>
      </w:r>
      <w:r>
        <w:t xml:space="preserve"> Paris, 1877, p. 59 et s., 81 et s., lui empruntant même des phrases entières. </w:t>
      </w:r>
    </w:p>
  </w:footnote>
  <w:footnote w:id="70">
    <w:p w:rsidR="007F47B8" w:rsidRDefault="007F47B8" w:rsidP="00C31960">
      <w:pPr>
        <w:pStyle w:val="Notedebasdepage"/>
      </w:pPr>
      <w:r>
        <w:rPr>
          <w:rStyle w:val="Appelnotedebasdep"/>
        </w:rPr>
        <w:footnoteRef/>
      </w:r>
      <w:r>
        <w:t xml:space="preserve"> </w:t>
      </w:r>
      <w:r w:rsidRPr="00B8261D">
        <w:t xml:space="preserve">$ </w:t>
      </w:r>
      <w:r w:rsidRPr="00B8261D">
        <w:rPr>
          <w:rtl/>
          <w:lang w:bidi="he-IL"/>
        </w:rPr>
        <w:t>מהר ש</w:t>
      </w:r>
      <w:r>
        <w:rPr>
          <w:rtl/>
          <w:lang w:bidi="he-IL"/>
        </w:rPr>
        <w:t>לל</w:t>
      </w:r>
      <w:r w:rsidRPr="00B8261D">
        <w:rPr>
          <w:rtl/>
          <w:lang w:bidi="he-IL"/>
        </w:rPr>
        <w:t xml:space="preserve"> חש בז</w:t>
      </w:r>
    </w:p>
  </w:footnote>
  <w:footnote w:id="71">
    <w:p w:rsidR="007F47B8" w:rsidRPr="00826FE4" w:rsidRDefault="007F47B8" w:rsidP="00C31960">
      <w:pPr>
        <w:pStyle w:val="Notedebasdepage"/>
      </w:pPr>
      <w:r>
        <w:rPr>
          <w:rStyle w:val="Appelnotedebasdep"/>
        </w:rPr>
        <w:footnoteRef/>
      </w:r>
      <w:r>
        <w:t xml:space="preserve"> $ VIII, 8. D’après Anger,</w:t>
      </w:r>
      <w:r w:rsidRPr="0044481F">
        <w:rPr>
          <w:rStyle w:val="italicus"/>
        </w:rPr>
        <w:t xml:space="preserve"> Vorlesunge</w:t>
      </w:r>
      <w:r>
        <w:rPr>
          <w:rStyle w:val="italicus"/>
        </w:rPr>
        <w:t>n über die Geschichte der messian</w:t>
      </w:r>
      <w:r w:rsidRPr="0044481F">
        <w:rPr>
          <w:rStyle w:val="italicus"/>
        </w:rPr>
        <w:t>. Idee,</w:t>
      </w:r>
      <w:r>
        <w:t xml:space="preserve"> Berlin, 1S47, p. 48, ce passage « ne dit pas qu’Emmanuel soit fils de roi et qu’il doive un jour gouverner la contrée ». H. Schultz,</w:t>
      </w:r>
      <w:r w:rsidRPr="0044481F">
        <w:rPr>
          <w:rStyle w:val="italicus"/>
        </w:rPr>
        <w:t xml:space="preserve"> Alttestamentlische Theologie,</w:t>
      </w:r>
      <w:r>
        <w:t xml:space="preserve"> p. 375, développe celte assertion : « Le nom de pays d’Emmanuel appliqué à Juda ne prouve rien en faveur de la dignité royale de l’enfant… Nulle part, même dans les passages où cela semblerait le plus naturel, cette dignité royale n’est mentionnée ». Isaïe va, dans un instant (IX, 1-7</w:t>
      </w:r>
      <w:r w:rsidRPr="00BA383E">
        <w:t xml:space="preserve">), </w:t>
      </w:r>
      <w:r>
        <w:t xml:space="preserve">réfuter ces vaines et audacieuses allégations. </w:t>
      </w:r>
    </w:p>
  </w:footnote>
  <w:footnote w:id="72">
    <w:p w:rsidR="007F47B8" w:rsidRPr="00826FE4" w:rsidRDefault="007F47B8" w:rsidP="00C31960">
      <w:pPr>
        <w:pStyle w:val="Notedebasdepage"/>
      </w:pPr>
      <w:r>
        <w:rPr>
          <w:rStyle w:val="Appelnotedebasdep"/>
        </w:rPr>
        <w:footnoteRef/>
      </w:r>
      <w:r>
        <w:t xml:space="preserve"> $ Traduction de M. Le Hir,</w:t>
      </w:r>
      <w:r w:rsidRPr="0044481F">
        <w:rPr>
          <w:rStyle w:val="italicus"/>
        </w:rPr>
        <w:t xml:space="preserve"> l. c.,</w:t>
      </w:r>
      <w:r>
        <w:t xml:space="preserve"> p. 178 et 179. </w:t>
      </w:r>
    </w:p>
  </w:footnote>
  <w:footnote w:id="73">
    <w:p w:rsidR="007F47B8" w:rsidRPr="00826FE4" w:rsidRDefault="007F47B8" w:rsidP="00C31960">
      <w:pPr>
        <w:pStyle w:val="Notedebasdepage"/>
      </w:pPr>
      <w:r>
        <w:rPr>
          <w:rStyle w:val="Appelnotedebasdep"/>
        </w:rPr>
        <w:footnoteRef/>
      </w:r>
      <w:r>
        <w:t xml:space="preserve"> $ Cf.</w:t>
      </w:r>
      <w:r>
        <w:rPr>
          <w:smallCaps/>
        </w:rPr>
        <w:t xml:space="preserve"> IX,</w:t>
      </w:r>
      <w:r>
        <w:t xml:space="preserve"> 12, 17, 21 ;</w:t>
      </w:r>
      <w:r>
        <w:rPr>
          <w:smallCaps/>
        </w:rPr>
        <w:t xml:space="preserve"> X,</w:t>
      </w:r>
      <w:r>
        <w:t xml:space="preserve"> 4. </w:t>
      </w:r>
    </w:p>
  </w:footnote>
  <w:footnote w:id="74">
    <w:p w:rsidR="007F47B8" w:rsidRDefault="007F47B8" w:rsidP="00C31960">
      <w:pPr>
        <w:pStyle w:val="Notedebasdepage"/>
      </w:pPr>
      <w:r>
        <w:rPr>
          <w:rStyle w:val="Appelnotedebasdep"/>
        </w:rPr>
        <w:footnoteRef/>
      </w:r>
      <w:r>
        <w:t xml:space="preserve"> $ </w:t>
      </w:r>
      <w:r w:rsidRPr="0044481F">
        <w:rPr>
          <w:rStyle w:val="italicus"/>
        </w:rPr>
        <w:t xml:space="preserve">Les Prophètes, </w:t>
      </w:r>
      <w:r w:rsidRPr="00B8261D">
        <w:t xml:space="preserve">t. I, p. 241. </w:t>
      </w:r>
    </w:p>
  </w:footnote>
  <w:footnote w:id="75">
    <w:p w:rsidR="007F47B8" w:rsidRDefault="007F47B8" w:rsidP="00C31960">
      <w:pPr>
        <w:pStyle w:val="Notedebasdepage"/>
      </w:pPr>
      <w:r>
        <w:rPr>
          <w:rStyle w:val="Appelnotedebasdep"/>
        </w:rPr>
        <w:footnoteRef/>
      </w:r>
      <w:r w:rsidRPr="00826FE4">
        <w:rPr>
          <w:lang w:val="en-US"/>
        </w:rPr>
        <w:t xml:space="preserve"> </w:t>
      </w:r>
      <w:r w:rsidRPr="00F84A0B">
        <w:rPr>
          <w:rStyle w:val="italicus"/>
          <w:lang w:val="en-US"/>
        </w:rPr>
        <w:t xml:space="preserve">$ Notes critical, explanatory, and practical, on the Book of the Prophet Isaiah. </w:t>
      </w:r>
      <w:r w:rsidRPr="00B8261D">
        <w:t xml:space="preserve">Londres, 1847, t. I, p. 108. </w:t>
      </w:r>
    </w:p>
  </w:footnote>
  <w:footnote w:id="76">
    <w:p w:rsidR="007F47B8" w:rsidRPr="00826FE4" w:rsidRDefault="007F47B8" w:rsidP="00C31960">
      <w:pPr>
        <w:pStyle w:val="Notedebasdepage"/>
      </w:pPr>
      <w:r>
        <w:rPr>
          <w:rStyle w:val="Appelnotedebasdep"/>
        </w:rPr>
        <w:footnoteRef/>
      </w:r>
      <w:r>
        <w:t xml:space="preserve"> </w:t>
      </w:r>
      <w:r>
        <w:rPr>
          <w:rStyle w:val="italicus"/>
        </w:rPr>
        <w:t>$</w:t>
      </w:r>
      <w:r>
        <w:t xml:space="preserve"> T. I, p. 74. Voyez aussi Drach,</w:t>
      </w:r>
      <w:r w:rsidRPr="0044481F">
        <w:rPr>
          <w:rStyle w:val="italicus"/>
        </w:rPr>
        <w:t xml:space="preserve"> Harmonie entre l’Église et la Synagogue.</w:t>
      </w:r>
      <w:r>
        <w:t xml:space="preserve"> t. I, p. 28 et suiv. </w:t>
      </w:r>
    </w:p>
  </w:footnote>
  <w:footnote w:id="77">
    <w:p w:rsidR="007F47B8" w:rsidRDefault="007F47B8" w:rsidP="00C31960">
      <w:pPr>
        <w:pStyle w:val="Notedebasdepage"/>
      </w:pPr>
      <w:r>
        <w:rPr>
          <w:rStyle w:val="Appelnotedebasdep"/>
        </w:rPr>
        <w:footnoteRef/>
      </w:r>
      <w:r>
        <w:t xml:space="preserve"> $ </w:t>
      </w:r>
      <w:r w:rsidRPr="0044481F">
        <w:rPr>
          <w:rStyle w:val="italicus"/>
        </w:rPr>
        <w:t xml:space="preserve">Erklærung des Prophet. Isaias, </w:t>
      </w:r>
      <w:r w:rsidRPr="00B8261D">
        <w:t xml:space="preserve">p. 126. </w:t>
      </w:r>
    </w:p>
  </w:footnote>
  <w:footnote w:id="78">
    <w:p w:rsidR="007F47B8" w:rsidRPr="00A62B37" w:rsidRDefault="007F47B8" w:rsidP="00C31960">
      <w:pPr>
        <w:pStyle w:val="Notedebasdepage"/>
        <w:rPr>
          <w:lang w:val="en-US"/>
        </w:rPr>
      </w:pPr>
      <w:r>
        <w:rPr>
          <w:rStyle w:val="Appelnotedebasdep"/>
        </w:rPr>
        <w:footnoteRef/>
      </w:r>
      <w:r>
        <w:t xml:space="preserve"> </w:t>
      </w:r>
      <w:r>
        <w:rPr>
          <w:rStyle w:val="italicus"/>
        </w:rPr>
        <w:t xml:space="preserve">$ </w:t>
      </w:r>
      <w:r>
        <w:t xml:space="preserve">Dès le temps de S. Justin. </w:t>
      </w:r>
      <w:r w:rsidRPr="00A62B37">
        <w:rPr>
          <w:lang w:val="en-US"/>
        </w:rPr>
        <w:t>Cf.</w:t>
      </w:r>
      <w:r w:rsidRPr="00A62B37">
        <w:rPr>
          <w:rStyle w:val="italicus"/>
          <w:lang w:val="en-US"/>
        </w:rPr>
        <w:t xml:space="preserve"> Dial. cum Tryph.,</w:t>
      </w:r>
      <w:r w:rsidRPr="00A62B37">
        <w:rPr>
          <w:lang w:val="en-US"/>
        </w:rPr>
        <w:t xml:space="preserve"> 55, 67, 77. </w:t>
      </w:r>
    </w:p>
  </w:footnote>
  <w:footnote w:id="79">
    <w:p w:rsidR="007F47B8" w:rsidRPr="00826FE4" w:rsidRDefault="007F47B8" w:rsidP="00C31960">
      <w:pPr>
        <w:pStyle w:val="Notedebasdepage"/>
      </w:pPr>
      <w:r>
        <w:rPr>
          <w:rStyle w:val="Appelnotedebasdep"/>
        </w:rPr>
        <w:footnoteRef/>
      </w:r>
      <w:r w:rsidRPr="00A62B37">
        <w:rPr>
          <w:lang w:val="en-US"/>
        </w:rPr>
        <w:t xml:space="preserve"> $ </w:t>
      </w:r>
      <w:r w:rsidRPr="00A62B37">
        <w:rPr>
          <w:rStyle w:val="italicus"/>
          <w:lang w:val="en-US"/>
        </w:rPr>
        <w:t>Comment. in Is.,</w:t>
      </w:r>
      <w:r w:rsidRPr="00A62B37">
        <w:rPr>
          <w:lang w:val="en-US"/>
        </w:rPr>
        <w:t xml:space="preserve"> VII, 14. </w:t>
      </w:r>
      <w:r w:rsidRPr="00B8261D">
        <w:t xml:space="preserve">« Il n’est pas possible de voir </w:t>
      </w:r>
      <w:r>
        <w:t>l’enfant promis dans le jeune Ézéchias, alors âgé à peu près de dix ans ». Reuss,</w:t>
      </w:r>
      <w:r w:rsidRPr="0044481F">
        <w:rPr>
          <w:rStyle w:val="italicus"/>
        </w:rPr>
        <w:t xml:space="preserve"> Les Prophètes,</w:t>
      </w:r>
      <w:r>
        <w:t xml:space="preserve"> t. I, p. 241. </w:t>
      </w:r>
    </w:p>
  </w:footnote>
  <w:footnote w:id="80">
    <w:p w:rsidR="007F47B8" w:rsidRPr="00826FE4" w:rsidRDefault="007F47B8" w:rsidP="00C31960">
      <w:pPr>
        <w:pStyle w:val="Notedebasdepage"/>
        <w:rPr>
          <w:i/>
        </w:rPr>
      </w:pPr>
      <w:r>
        <w:rPr>
          <w:rStyle w:val="Appelnotedebasdep"/>
        </w:rPr>
        <w:footnoteRef/>
      </w:r>
      <w:r>
        <w:t xml:space="preserve"> $ </w:t>
      </w:r>
      <w:r w:rsidRPr="0044481F">
        <w:rPr>
          <w:rStyle w:val="italicus"/>
        </w:rPr>
        <w:t xml:space="preserve">In hoc loco. </w:t>
      </w:r>
    </w:p>
  </w:footnote>
  <w:footnote w:id="81">
    <w:p w:rsidR="007F47B8" w:rsidRPr="00A62B37" w:rsidRDefault="007F47B8" w:rsidP="00C31960">
      <w:pPr>
        <w:pStyle w:val="Notedebasdepage"/>
      </w:pPr>
      <w:r>
        <w:rPr>
          <w:rStyle w:val="Appelnotedebasdep"/>
        </w:rPr>
        <w:footnoteRef/>
      </w:r>
      <w:r w:rsidRPr="00A62B37">
        <w:t xml:space="preserve"> </w:t>
      </w:r>
      <w:r w:rsidRPr="00A62B37">
        <w:rPr>
          <w:rStyle w:val="italicus"/>
        </w:rPr>
        <w:t xml:space="preserve">$ Loco citáto, p. 35. </w:t>
      </w:r>
    </w:p>
  </w:footnote>
  <w:footnote w:id="82">
    <w:p w:rsidR="007F47B8" w:rsidRPr="0042259C" w:rsidRDefault="007F47B8" w:rsidP="00C31960">
      <w:pPr>
        <w:pStyle w:val="Notedebasdepage"/>
      </w:pPr>
      <w:r>
        <w:rPr>
          <w:rStyle w:val="Appelnotedebasdep"/>
        </w:rPr>
        <w:footnoteRef/>
      </w:r>
      <w:r w:rsidRPr="00A62B37">
        <w:t xml:space="preserve"> </w:t>
      </w:r>
      <w:r w:rsidRPr="00A62B37">
        <w:rPr>
          <w:rStyle w:val="italicus"/>
        </w:rPr>
        <w:t>$ Alttestamentlische Theologie,</w:t>
      </w:r>
      <w:r w:rsidRPr="00A62B37">
        <w:t xml:space="preserve"> Francfort, 1878, p. 733. </w:t>
      </w:r>
      <w:r>
        <w:t xml:space="preserve">Il avait taxé auparavant d’« invraisemblable » le sentiment qui fait d’Ézéchias l’Emmanuel d’Isaïe. </w:t>
      </w:r>
    </w:p>
  </w:footnote>
  <w:footnote w:id="83">
    <w:p w:rsidR="007F47B8" w:rsidRPr="0042259C" w:rsidRDefault="007F47B8" w:rsidP="00C31960">
      <w:pPr>
        <w:pStyle w:val="Notedebasdepage"/>
        <w:rPr>
          <w:lang w:val="en-US"/>
        </w:rPr>
      </w:pPr>
      <w:r>
        <w:rPr>
          <w:rStyle w:val="Appelnotedebasdep"/>
        </w:rPr>
        <w:footnoteRef/>
      </w:r>
      <w:r w:rsidRPr="0042259C">
        <w:rPr>
          <w:lang w:val="en-US"/>
        </w:rPr>
        <w:t xml:space="preserve"> </w:t>
      </w:r>
      <w:r w:rsidRPr="00F84A0B">
        <w:rPr>
          <w:lang w:val="en-US"/>
        </w:rPr>
        <w:t>$ W. Schultz,</w:t>
      </w:r>
      <w:r w:rsidRPr="00F84A0B">
        <w:rPr>
          <w:rStyle w:val="italicus"/>
          <w:lang w:val="en-US"/>
        </w:rPr>
        <w:t xml:space="preserve"> Ueber Immanuel, Stud. und Krit.,</w:t>
      </w:r>
      <w:r w:rsidRPr="00F84A0B">
        <w:rPr>
          <w:lang w:val="en-US"/>
        </w:rPr>
        <w:t xml:space="preserve"> 1861, n° 4, p. 723. </w:t>
      </w:r>
    </w:p>
  </w:footnote>
  <w:footnote w:id="84">
    <w:p w:rsidR="007F47B8" w:rsidRPr="0042259C" w:rsidRDefault="007F47B8" w:rsidP="00C31960">
      <w:pPr>
        <w:pStyle w:val="Notedebasdepage"/>
      </w:pPr>
      <w:r>
        <w:rPr>
          <w:rStyle w:val="Appelnotedebasdep"/>
        </w:rPr>
        <w:footnoteRef/>
      </w:r>
      <w:r w:rsidRPr="0042259C">
        <w:t xml:space="preserve"> </w:t>
      </w:r>
      <w:r w:rsidRPr="00B8261D">
        <w:t>$ Voyez Drach,</w:t>
      </w:r>
      <w:r w:rsidRPr="0044481F">
        <w:rPr>
          <w:rStyle w:val="italicus"/>
        </w:rPr>
        <w:t xml:space="preserve"> Deuxième lettre d’un rabbin converti. Les prophéties expliquées par les traditions de la Synagogue, </w:t>
      </w:r>
      <w:r w:rsidRPr="00B8261D">
        <w:t xml:space="preserve">Paris, 1827, p. 104 et suiv. </w:t>
      </w:r>
    </w:p>
  </w:footnote>
  <w:footnote w:id="85">
    <w:p w:rsidR="007F47B8" w:rsidRPr="00826FE4" w:rsidRDefault="007F47B8" w:rsidP="00C31960">
      <w:pPr>
        <w:pStyle w:val="Notedebasdepage"/>
        <w:rPr>
          <w:lang w:val="en-US"/>
        </w:rPr>
      </w:pPr>
      <w:r>
        <w:rPr>
          <w:rStyle w:val="Appelnotedebasdep"/>
        </w:rPr>
        <w:footnoteRef/>
      </w:r>
      <w:r w:rsidRPr="00826FE4">
        <w:rPr>
          <w:lang w:val="en-US"/>
        </w:rPr>
        <w:t xml:space="preserve"> </w:t>
      </w:r>
      <w:r w:rsidRPr="00F84A0B">
        <w:rPr>
          <w:rStyle w:val="italicus"/>
          <w:lang w:val="en-US"/>
        </w:rPr>
        <w:t>$ Messianic Prophecies,</w:t>
      </w:r>
      <w:r w:rsidRPr="00F84A0B">
        <w:rPr>
          <w:lang w:val="en-US"/>
        </w:rPr>
        <w:t xml:space="preserve"> translated by S. J. Curtiss. Édimbourg, 1880, p. 64. </w:t>
      </w:r>
    </w:p>
  </w:footnote>
  <w:footnote w:id="86">
    <w:p w:rsidR="007F47B8" w:rsidRPr="00826FE4" w:rsidRDefault="007F47B8" w:rsidP="00C31960">
      <w:pPr>
        <w:pStyle w:val="Notedebasdepage"/>
        <w:rPr>
          <w:lang w:val="en-US"/>
        </w:rPr>
      </w:pPr>
      <w:r>
        <w:rPr>
          <w:rStyle w:val="Appelnotedebasdep"/>
        </w:rPr>
        <w:footnoteRef/>
      </w:r>
      <w:r w:rsidRPr="00826FE4">
        <w:rPr>
          <w:lang w:val="en-US"/>
        </w:rPr>
        <w:t xml:space="preserve"> </w:t>
      </w:r>
      <w:r w:rsidRPr="00F84A0B">
        <w:rPr>
          <w:lang w:val="en-US"/>
        </w:rPr>
        <w:t xml:space="preserve">$ </w:t>
      </w:r>
      <w:r w:rsidRPr="00F84A0B">
        <w:rPr>
          <w:rStyle w:val="italicus"/>
          <w:lang w:val="en-US"/>
        </w:rPr>
        <w:t xml:space="preserve">Bredenkamp, Vaticínium de Immanuéle, </w:t>
      </w:r>
      <w:r w:rsidRPr="00F84A0B">
        <w:rPr>
          <w:lang w:val="en-US"/>
        </w:rPr>
        <w:t xml:space="preserve">p. 38. </w:t>
      </w:r>
    </w:p>
  </w:footnote>
  <w:footnote w:id="87">
    <w:p w:rsidR="007F47B8" w:rsidRPr="0042259C" w:rsidRDefault="007F47B8" w:rsidP="00C31960">
      <w:pPr>
        <w:pStyle w:val="Notedebasdepage"/>
        <w:rPr>
          <w:lang w:val="en-US"/>
        </w:rPr>
      </w:pPr>
      <w:r>
        <w:rPr>
          <w:rStyle w:val="Appelnotedebasdep"/>
        </w:rPr>
        <w:footnoteRef/>
      </w:r>
      <w:r w:rsidRPr="0042259C">
        <w:rPr>
          <w:lang w:val="en-US"/>
        </w:rPr>
        <w:t xml:space="preserve"> </w:t>
      </w:r>
      <w:r w:rsidRPr="00F84A0B">
        <w:rPr>
          <w:rStyle w:val="italicus"/>
          <w:lang w:val="en-US"/>
        </w:rPr>
        <w:t xml:space="preserve">$ Vorlesungen über die Geschichte der Messianischen Idee, </w:t>
      </w:r>
      <w:r w:rsidRPr="00F84A0B">
        <w:rPr>
          <w:lang w:val="en-US"/>
        </w:rPr>
        <w:t xml:space="preserve">herausgegeben von M. Krenkel, Berlin, 1875, p. 47. </w:t>
      </w:r>
    </w:p>
  </w:footnote>
  <w:footnote w:id="88">
    <w:p w:rsidR="007F47B8" w:rsidRPr="00826FE4" w:rsidRDefault="007F47B8" w:rsidP="00C31960">
      <w:pPr>
        <w:pStyle w:val="Notedebasdepage"/>
      </w:pPr>
      <w:r>
        <w:rPr>
          <w:rStyle w:val="Appelnotedebasdep"/>
        </w:rPr>
        <w:footnoteRef/>
      </w:r>
      <w:r>
        <w:t xml:space="preserve"> </w:t>
      </w:r>
      <w:r>
        <w:rPr>
          <w:rStyle w:val="italicus"/>
        </w:rPr>
        <w:t xml:space="preserve">$ </w:t>
      </w:r>
      <w:r w:rsidRPr="0044481F">
        <w:rPr>
          <w:rStyle w:val="italicus"/>
        </w:rPr>
        <w:t>Alttestamentlische Theologie</w:t>
      </w:r>
      <w:r w:rsidRPr="00B8261D">
        <w:t xml:space="preserve">, p. 733. </w:t>
      </w:r>
    </w:p>
  </w:footnote>
  <w:footnote w:id="89">
    <w:p w:rsidR="007F47B8" w:rsidRPr="00826FE4" w:rsidRDefault="007F47B8" w:rsidP="00C31960">
      <w:pPr>
        <w:pStyle w:val="Notedebasdepage"/>
      </w:pPr>
      <w:r>
        <w:rPr>
          <w:rStyle w:val="Appelnotedebasdep"/>
        </w:rPr>
        <w:footnoteRef/>
      </w:r>
      <w:r>
        <w:t xml:space="preserve"> </w:t>
      </w:r>
      <w:r>
        <w:rPr>
          <w:rStyle w:val="italicus"/>
        </w:rPr>
        <w:t xml:space="preserve">$ </w:t>
      </w:r>
      <w:r>
        <w:t>Le Hir,</w:t>
      </w:r>
      <w:r w:rsidRPr="0044481F">
        <w:rPr>
          <w:rStyle w:val="italicus"/>
        </w:rPr>
        <w:t xml:space="preserve"> Études bibliques,</w:t>
      </w:r>
      <w:r>
        <w:t xml:space="preserve"> Paris, 1869, t. I, p. 65. Voyez dans le</w:t>
      </w:r>
      <w:r w:rsidRPr="0044481F">
        <w:rPr>
          <w:rStyle w:val="italicus"/>
        </w:rPr>
        <w:t xml:space="preserve"> Journal asiatique,</w:t>
      </w:r>
      <w:r>
        <w:t xml:space="preserve"> juillet-août 1869, p. 19, le tribut d’éloges payé par M. E. Renan à son ancien « maître d’hébreu et de syriaque ». </w:t>
      </w:r>
    </w:p>
  </w:footnote>
  <w:footnote w:id="90">
    <w:p w:rsidR="007F47B8" w:rsidRPr="00826FE4" w:rsidRDefault="007F47B8" w:rsidP="00C31960">
      <w:pPr>
        <w:pStyle w:val="Notedebasdepage"/>
      </w:pPr>
      <w:r>
        <w:rPr>
          <w:rStyle w:val="Appelnotedebasdep"/>
        </w:rPr>
        <w:footnoteRef/>
      </w:r>
      <w:r>
        <w:t xml:space="preserve"> $ </w:t>
      </w:r>
      <w:r w:rsidRPr="0044481F">
        <w:rPr>
          <w:rStyle w:val="italicus"/>
        </w:rPr>
        <w:t xml:space="preserve">Explication de la prophétie d’Isaïe sur l’enfantement de la Sainte Vierge, </w:t>
      </w:r>
      <w:r>
        <w:t>Œuvres, édit. de Versailles, t. III, p. 24. Voyez</w:t>
      </w:r>
      <w:r w:rsidRPr="0044481F">
        <w:rPr>
          <w:rStyle w:val="italicus"/>
        </w:rPr>
        <w:t xml:space="preserve"> Is.</w:t>
      </w:r>
      <w:r>
        <w:t xml:space="preserve"> IV, 2 : « In die illa erit germen Dómini in magnificéntia et gloria, et fructus terras sublímis ». On a justement VII, dans ce texte, les deux natures du Messie. </w:t>
      </w:r>
    </w:p>
  </w:footnote>
  <w:footnote w:id="91">
    <w:p w:rsidR="007F47B8" w:rsidRPr="0042259C" w:rsidRDefault="007F47B8" w:rsidP="00C31960">
      <w:pPr>
        <w:pStyle w:val="Notedebasdepage"/>
      </w:pPr>
      <w:r>
        <w:rPr>
          <w:rStyle w:val="Appelnotedebasdep"/>
        </w:rPr>
        <w:footnoteRef/>
      </w:r>
      <w:r w:rsidRPr="0042259C">
        <w:t xml:space="preserve"> </w:t>
      </w:r>
      <w:r>
        <w:t xml:space="preserve">$ </w:t>
      </w:r>
      <w:r w:rsidRPr="0044481F">
        <w:rPr>
          <w:rStyle w:val="italicus"/>
        </w:rPr>
        <w:t>Les Prophètes,</w:t>
      </w:r>
      <w:r>
        <w:t xml:space="preserve"> t. I, p. 241. </w:t>
      </w:r>
    </w:p>
  </w:footnote>
  <w:footnote w:id="92">
    <w:p w:rsidR="007F47B8" w:rsidRPr="0042259C" w:rsidRDefault="007F47B8" w:rsidP="00C31960">
      <w:pPr>
        <w:pStyle w:val="Notedebasdepage"/>
        <w:rPr>
          <w:lang w:val="en-US"/>
        </w:rPr>
      </w:pPr>
      <w:r>
        <w:rPr>
          <w:rStyle w:val="Appelnotedebasdep"/>
        </w:rPr>
        <w:footnoteRef/>
      </w:r>
      <w:r w:rsidRPr="0042259C">
        <w:rPr>
          <w:lang w:val="en-US"/>
        </w:rPr>
        <w:t xml:space="preserve"> </w:t>
      </w:r>
      <w:r w:rsidRPr="00F84A0B">
        <w:rPr>
          <w:lang w:val="en-US"/>
        </w:rPr>
        <w:t xml:space="preserve">$ </w:t>
      </w:r>
      <w:r w:rsidRPr="00F84A0B">
        <w:rPr>
          <w:rStyle w:val="italicus"/>
          <w:lang w:val="en-US"/>
        </w:rPr>
        <w:t>Midrasch-rabbah, Debarim,</w:t>
      </w:r>
      <w:r w:rsidRPr="00F84A0B">
        <w:rPr>
          <w:lang w:val="en-US"/>
        </w:rPr>
        <w:t xml:space="preserve"> fol. 287, col. 3. </w:t>
      </w:r>
    </w:p>
  </w:footnote>
  <w:footnote w:id="93">
    <w:p w:rsidR="007F47B8" w:rsidRPr="0042259C" w:rsidRDefault="007F47B8" w:rsidP="00C31960">
      <w:pPr>
        <w:pStyle w:val="Notedebasdepage"/>
      </w:pPr>
      <w:r>
        <w:rPr>
          <w:rStyle w:val="Appelnotedebasdep"/>
        </w:rPr>
        <w:footnoteRef/>
      </w:r>
      <w:r w:rsidRPr="0042259C">
        <w:t xml:space="preserve"> </w:t>
      </w:r>
      <w:r>
        <w:t xml:space="preserve">$ </w:t>
      </w:r>
      <w:r w:rsidRPr="004626C3">
        <w:t>Θε</w:t>
      </w:r>
      <w:r>
        <w:t>ά</w:t>
      </w:r>
      <w:r w:rsidRPr="004626C3">
        <w:t>νθρωπος</w:t>
      </w:r>
      <w:r>
        <w:t xml:space="preserve">, comme disent les Pères grecs. </w:t>
      </w:r>
    </w:p>
  </w:footnote>
  <w:footnote w:id="94">
    <w:p w:rsidR="007F47B8" w:rsidRPr="00826FE4" w:rsidRDefault="007F47B8" w:rsidP="00C31960">
      <w:pPr>
        <w:pStyle w:val="Notedebasdepage"/>
        <w:rPr>
          <w:lang w:val="en-US"/>
        </w:rPr>
      </w:pPr>
      <w:r>
        <w:rPr>
          <w:rStyle w:val="Appelnotedebasdep"/>
        </w:rPr>
        <w:footnoteRef/>
      </w:r>
      <w:r w:rsidRPr="00826FE4">
        <w:rPr>
          <w:lang w:val="en-US"/>
        </w:rPr>
        <w:t xml:space="preserve"> </w:t>
      </w:r>
      <w:r w:rsidRPr="00F84A0B">
        <w:rPr>
          <w:lang w:val="en-US"/>
        </w:rPr>
        <w:t>$ Théodoret,</w:t>
      </w:r>
      <w:r w:rsidRPr="00F84A0B">
        <w:rPr>
          <w:rStyle w:val="italicus"/>
          <w:lang w:val="en-US"/>
        </w:rPr>
        <w:t xml:space="preserve"> in Is.</w:t>
      </w:r>
      <w:r w:rsidRPr="00F84A0B">
        <w:rPr>
          <w:lang w:val="en-US"/>
        </w:rPr>
        <w:t xml:space="preserve"> VII, 14. </w:t>
      </w:r>
    </w:p>
  </w:footnote>
  <w:footnote w:id="95">
    <w:p w:rsidR="007F47B8" w:rsidRPr="00826FE4" w:rsidRDefault="007F47B8" w:rsidP="00C31960">
      <w:pPr>
        <w:pStyle w:val="Notedebasdepage"/>
        <w:rPr>
          <w:lang w:val="en-US"/>
        </w:rPr>
      </w:pPr>
      <w:r>
        <w:rPr>
          <w:rStyle w:val="Appelnotedebasdep"/>
        </w:rPr>
        <w:footnoteRef/>
      </w:r>
      <w:r w:rsidRPr="00826FE4">
        <w:rPr>
          <w:lang w:val="en-US"/>
        </w:rPr>
        <w:t xml:space="preserve"> </w:t>
      </w:r>
      <w:r w:rsidRPr="00F84A0B">
        <w:rPr>
          <w:lang w:val="en-US"/>
        </w:rPr>
        <w:t xml:space="preserve">$ </w:t>
      </w:r>
      <w:r w:rsidRPr="00F84A0B">
        <w:rPr>
          <w:rStyle w:val="italicus"/>
          <w:lang w:val="en-US"/>
        </w:rPr>
        <w:t>Comment. in Is.</w:t>
      </w:r>
      <w:r w:rsidRPr="00F84A0B">
        <w:rPr>
          <w:lang w:val="en-US"/>
        </w:rPr>
        <w:t xml:space="preserve"> </w:t>
      </w:r>
      <w:r w:rsidRPr="00F84A0B">
        <w:rPr>
          <w:rStyle w:val="italicus"/>
          <w:lang w:val="en-US"/>
        </w:rPr>
        <w:t>VII</w:t>
      </w:r>
      <w:r w:rsidRPr="00F84A0B">
        <w:rPr>
          <w:lang w:val="en-US"/>
        </w:rPr>
        <w:t xml:space="preserve">, 14. </w:t>
      </w:r>
    </w:p>
  </w:footnote>
  <w:footnote w:id="96">
    <w:p w:rsidR="007F47B8" w:rsidRPr="00826FE4" w:rsidRDefault="007F47B8" w:rsidP="00C31960">
      <w:pPr>
        <w:pStyle w:val="Notedebasdepage"/>
        <w:rPr>
          <w:lang w:val="en-US"/>
        </w:rPr>
      </w:pPr>
      <w:r>
        <w:rPr>
          <w:rStyle w:val="Appelnotedebasdep"/>
        </w:rPr>
        <w:footnoteRef/>
      </w:r>
      <w:r w:rsidRPr="00826FE4">
        <w:rPr>
          <w:lang w:val="en-US"/>
        </w:rPr>
        <w:t xml:space="preserve"> </w:t>
      </w:r>
      <w:r w:rsidRPr="00F84A0B">
        <w:rPr>
          <w:lang w:val="en-US"/>
        </w:rPr>
        <w:t xml:space="preserve">$ </w:t>
      </w:r>
      <w:r w:rsidRPr="00F84A0B">
        <w:rPr>
          <w:rStyle w:val="italicus"/>
          <w:lang w:val="en-US"/>
        </w:rPr>
        <w:t>Matth.</w:t>
      </w:r>
      <w:r w:rsidRPr="00F84A0B">
        <w:rPr>
          <w:lang w:val="en-US"/>
        </w:rPr>
        <w:t xml:space="preserve"> XXVI, 63. </w:t>
      </w:r>
    </w:p>
  </w:footnote>
  <w:footnote w:id="97">
    <w:p w:rsidR="007F47B8" w:rsidRPr="0042259C" w:rsidRDefault="007F47B8" w:rsidP="00C31960">
      <w:pPr>
        <w:pStyle w:val="Notedebasdepage"/>
        <w:rPr>
          <w:i/>
          <w:lang w:val="en-US"/>
        </w:rPr>
      </w:pPr>
      <w:r>
        <w:rPr>
          <w:rStyle w:val="Appelnotedebasdep"/>
        </w:rPr>
        <w:footnoteRef/>
      </w:r>
      <w:r w:rsidRPr="0042259C">
        <w:rPr>
          <w:lang w:val="en-US"/>
        </w:rPr>
        <w:t xml:space="preserve"> </w:t>
      </w:r>
      <w:r w:rsidRPr="00F84A0B">
        <w:rPr>
          <w:lang w:val="en-US"/>
        </w:rPr>
        <w:t xml:space="preserve">$ </w:t>
      </w:r>
      <w:r w:rsidRPr="00F84A0B">
        <w:rPr>
          <w:rStyle w:val="italicus"/>
          <w:lang w:val="en-US"/>
        </w:rPr>
        <w:t>Matth.</w:t>
      </w:r>
      <w:r w:rsidRPr="00F84A0B">
        <w:rPr>
          <w:lang w:val="en-US"/>
        </w:rPr>
        <w:t xml:space="preserve"> I, 20-23. </w:t>
      </w:r>
    </w:p>
  </w:footnote>
  <w:footnote w:id="98">
    <w:p w:rsidR="007F47B8" w:rsidRPr="0042259C" w:rsidRDefault="007F47B8" w:rsidP="00C31960">
      <w:pPr>
        <w:pStyle w:val="Notedebasdepage"/>
      </w:pPr>
      <w:r>
        <w:rPr>
          <w:rStyle w:val="Appelnotedebasdep"/>
        </w:rPr>
        <w:footnoteRef/>
      </w:r>
      <w:r w:rsidRPr="0042259C">
        <w:t xml:space="preserve"> </w:t>
      </w:r>
      <w:r w:rsidRPr="00826FE4">
        <w:t xml:space="preserve">$ Cf. Joan. </w:t>
      </w:r>
      <w:r w:rsidRPr="004626C3">
        <w:t>I, 14 :</w:t>
      </w:r>
      <w:r w:rsidRPr="0044481F">
        <w:rPr>
          <w:rStyle w:val="italicus"/>
        </w:rPr>
        <w:t xml:space="preserve"> Et Verbum caro factum est et habitávit in nobis. </w:t>
      </w:r>
    </w:p>
  </w:footnote>
  <w:footnote w:id="99">
    <w:p w:rsidR="007F47B8" w:rsidRPr="00826FE4" w:rsidRDefault="007F47B8" w:rsidP="00C31960">
      <w:pPr>
        <w:pStyle w:val="Notedebasdepage"/>
        <w:rPr>
          <w:lang w:val="en-US"/>
        </w:rPr>
      </w:pPr>
      <w:r>
        <w:rPr>
          <w:rStyle w:val="Appelnotedebasdep"/>
        </w:rPr>
        <w:footnoteRef/>
      </w:r>
      <w:r w:rsidRPr="00826FE4">
        <w:rPr>
          <w:lang w:val="en-US"/>
        </w:rPr>
        <w:t xml:space="preserve"> </w:t>
      </w:r>
      <w:r w:rsidRPr="00F84A0B">
        <w:rPr>
          <w:rStyle w:val="italicus"/>
          <w:lang w:val="en-US"/>
        </w:rPr>
        <w:t>$ In Ezech. Hom.</w:t>
      </w:r>
      <w:r w:rsidRPr="00F84A0B">
        <w:rPr>
          <w:lang w:val="en-US"/>
        </w:rPr>
        <w:t xml:space="preserve"> I, 4. Cf. S. Jean Chrysostome,</w:t>
      </w:r>
      <w:r w:rsidRPr="00F84A0B">
        <w:rPr>
          <w:rStyle w:val="italicus"/>
          <w:lang w:val="en-US"/>
        </w:rPr>
        <w:t xml:space="preserve"> Hom.</w:t>
      </w:r>
      <w:r w:rsidRPr="00F84A0B">
        <w:rPr>
          <w:lang w:val="en-US"/>
        </w:rPr>
        <w:t xml:space="preserve"> V</w:t>
      </w:r>
      <w:r w:rsidRPr="00F84A0B">
        <w:rPr>
          <w:rStyle w:val="italicus"/>
          <w:lang w:val="en-US"/>
        </w:rPr>
        <w:t xml:space="preserve"> in Matth.,</w:t>
      </w:r>
      <w:r w:rsidRPr="00F84A0B">
        <w:rPr>
          <w:lang w:val="en-US"/>
        </w:rPr>
        <w:t xml:space="preserve"> paragraphe 2. </w:t>
      </w:r>
    </w:p>
  </w:footnote>
  <w:footnote w:id="100">
    <w:p w:rsidR="007F47B8" w:rsidRPr="00512B6E" w:rsidRDefault="007F47B8" w:rsidP="00C31960">
      <w:pPr>
        <w:pStyle w:val="Notedebasdepage"/>
        <w:rPr>
          <w:lang w:val="en-US"/>
        </w:rPr>
      </w:pPr>
      <w:r w:rsidRPr="00F84A0B">
        <w:rPr>
          <w:lang w:val="en-US"/>
        </w:rPr>
        <w:t xml:space="preserve">$ </w:t>
      </w:r>
      <w:r w:rsidRPr="00F84A0B">
        <w:rPr>
          <w:rStyle w:val="italicus"/>
          <w:lang w:val="en-US"/>
        </w:rPr>
        <w:t>Divin. Institut.,</w:t>
      </w:r>
      <w:r w:rsidRPr="00F84A0B">
        <w:rPr>
          <w:lang w:val="en-US"/>
        </w:rPr>
        <w:t xml:space="preserve"> l. IV. Cf. S. Thom. Aq.,</w:t>
      </w:r>
      <w:r w:rsidRPr="00F84A0B">
        <w:rPr>
          <w:rStyle w:val="italicus"/>
          <w:lang w:val="en-US"/>
        </w:rPr>
        <w:t xml:space="preserve"> Summa,</w:t>
      </w:r>
      <w:r w:rsidRPr="00F84A0B">
        <w:rPr>
          <w:lang w:val="en-US"/>
        </w:rPr>
        <w:t xml:space="preserve"> p. 3, q. 37, a. 2, ad 1. </w:t>
      </w:r>
    </w:p>
  </w:footnote>
  <w:footnote w:id="101">
    <w:p w:rsidR="007F47B8" w:rsidRPr="00826FE4" w:rsidRDefault="007F47B8" w:rsidP="00C31960">
      <w:pPr>
        <w:pStyle w:val="Notedebasdepage"/>
      </w:pPr>
      <w:r>
        <w:rPr>
          <w:rStyle w:val="Appelnotedebasdep"/>
        </w:rPr>
        <w:footnoteRef/>
      </w:r>
      <w:r>
        <w:t xml:space="preserve"> $ </w:t>
      </w:r>
      <w:r w:rsidRPr="0044481F">
        <w:rPr>
          <w:rStyle w:val="italicus"/>
        </w:rPr>
        <w:t xml:space="preserve">Harmon. Evangel., </w:t>
      </w:r>
      <w:r w:rsidRPr="004626C3">
        <w:t>p. 280. Voyez Reinke,</w:t>
      </w:r>
      <w:r w:rsidRPr="0044481F">
        <w:rPr>
          <w:rStyle w:val="italicus"/>
        </w:rPr>
        <w:t xml:space="preserve"> Die Weissagung von der Jungfrau u. von Immanuel, </w:t>
      </w:r>
      <w:r w:rsidRPr="004626C3">
        <w:t xml:space="preserve">p. 180 et suiv. </w:t>
      </w:r>
    </w:p>
  </w:footnote>
  <w:footnote w:id="102">
    <w:p w:rsidR="007F47B8" w:rsidRPr="00826FE4" w:rsidRDefault="007F47B8" w:rsidP="00C31960">
      <w:pPr>
        <w:pStyle w:val="Notedebasdepage"/>
      </w:pPr>
      <w:r>
        <w:rPr>
          <w:rStyle w:val="Appelnotedebasdep"/>
        </w:rPr>
        <w:footnoteRef/>
      </w:r>
      <w:r>
        <w:t xml:space="preserve"> </w:t>
      </w:r>
      <w:r>
        <w:rPr>
          <w:rStyle w:val="italicus"/>
        </w:rPr>
        <w:t xml:space="preserve">$ </w:t>
      </w:r>
      <w:r w:rsidRPr="0044481F">
        <w:rPr>
          <w:rStyle w:val="italicus"/>
        </w:rPr>
        <w:t>Lexic. ms.,</w:t>
      </w:r>
      <w:r>
        <w:t xml:space="preserve"> cité par Gesenius,</w:t>
      </w:r>
      <w:r w:rsidRPr="0044481F">
        <w:rPr>
          <w:rStyle w:val="italicus"/>
        </w:rPr>
        <w:t xml:space="preserve"> Commentar </w:t>
      </w:r>
      <w:r>
        <w:rPr>
          <w:rStyle w:val="italicus"/>
        </w:rPr>
        <w:t>über</w:t>
      </w:r>
      <w:r w:rsidRPr="0044481F">
        <w:rPr>
          <w:rStyle w:val="italicus"/>
        </w:rPr>
        <w:t xml:space="preserve"> den Jesaia,</w:t>
      </w:r>
      <w:r>
        <w:t xml:space="preserve"> t. I, p. 300. — Comparez ces mots de Julien l’apostat</w:t>
      </w:r>
      <w:bookmarkStart w:id="141" w:name="z_JulienLApostat_o1"/>
      <w:bookmarkEnd w:id="141"/>
      <w:r>
        <w:t> : « Vous avez un autre témoignage d’Isaïe dont vous faites grand cas. Isaïe écrivait : Voici qu’une vierge concevra et enfantera un fils. S’agit-il là d’un Dieu ? Nullement. S’agit-il même d’une virginité conservée après l’enfantement ? Pas davantage. Est-ce que nous ne voyons pas tous les jours des vierges se marier et devenir mères ? Il n’y a là ni incarnation divine, ni phénomène miraculeux. Vous avez pourtant inventé là-dessus votre fameuse vierge</w:t>
      </w:r>
      <w:r>
        <w:rPr>
          <w:smallCaps/>
        </w:rPr>
        <w:t xml:space="preserve"> </w:t>
      </w:r>
      <w:r>
        <w:t>Θεοτόκος</w:t>
      </w:r>
      <w:r>
        <w:rPr>
          <w:smallCaps/>
        </w:rPr>
        <w:t xml:space="preserve">, </w:t>
      </w:r>
      <w:r>
        <w:t>mère de Dieu, laquelle aurait enfanté le Fils unique de Dieu, le premier-né de toute créature, par qui toutes choses ont été faites. » Ap. S. Cyr. Alex.,</w:t>
      </w:r>
      <w:r w:rsidRPr="0044481F">
        <w:rPr>
          <w:rStyle w:val="italicus"/>
        </w:rPr>
        <w:t xml:space="preserve"> Contra Juliánum.</w:t>
      </w:r>
      <w:r>
        <w:t xml:space="preserve"> </w:t>
      </w:r>
    </w:p>
  </w:footnote>
  <w:footnote w:id="103">
    <w:p w:rsidR="007F47B8" w:rsidRPr="00826FE4" w:rsidRDefault="007F47B8" w:rsidP="00C31960">
      <w:pPr>
        <w:pStyle w:val="Notedebasdepage"/>
      </w:pPr>
      <w:r>
        <w:rPr>
          <w:rStyle w:val="Appelnotedebasdep"/>
        </w:rPr>
        <w:footnoteRef/>
      </w:r>
      <w:r>
        <w:t xml:space="preserve"> $ Que penser de la réflexion suivante d’un théologien contemporain, M. Duhm ? « La personne d’Emmanuel et celle de l’</w:t>
      </w:r>
      <w:r w:rsidRPr="00D05EA9">
        <w:rPr>
          <w:rStyle w:val="italicus"/>
        </w:rPr>
        <w:t>῾almah</w:t>
      </w:r>
      <w:r>
        <w:t xml:space="preserve"> on conquis d’autant plus d’importance pour la théologie, qu’elles en ont moins pour Isaïe lui-même, et c’est uniquement pour ce motif qu’on doit les envisager de plus près. »</w:t>
      </w:r>
      <w:r w:rsidRPr="0044481F">
        <w:rPr>
          <w:rStyle w:val="italicus"/>
        </w:rPr>
        <w:t xml:space="preserve"> Die Theologie der Propheten,</w:t>
      </w:r>
      <w:r>
        <w:t xml:space="preserve"> Bonn, 1878, p. 163 et 164.</w:t>
      </w:r>
      <w:r>
        <w:rPr>
          <w:vertAlign w:val="superscript"/>
        </w:rPr>
        <w:t xml:space="preserve"> </w:t>
      </w:r>
      <w:r>
        <w:t>Dans un ouvrage intitulé : « La théologie des prophètes », M. Dubin consacre une simple note à l’oracle de l’</w:t>
      </w:r>
      <w:r w:rsidRPr="00D05EA9">
        <w:rPr>
          <w:rStyle w:val="italicus"/>
        </w:rPr>
        <w:t>῾almah</w:t>
      </w:r>
      <w:r w:rsidRPr="0044481F">
        <w:rPr>
          <w:rStyle w:val="italicus"/>
        </w:rPr>
        <w:t>.</w:t>
      </w:r>
      <w:r>
        <w:t xml:space="preserve"> </w:t>
      </w:r>
    </w:p>
  </w:footnote>
  <w:footnote w:id="104">
    <w:p w:rsidR="007F47B8" w:rsidRPr="00826FE4" w:rsidRDefault="007F47B8" w:rsidP="00C31960">
      <w:pPr>
        <w:pStyle w:val="Notedebasdepage"/>
      </w:pPr>
      <w:r>
        <w:rPr>
          <w:rStyle w:val="Appelnotedebasdep"/>
        </w:rPr>
        <w:footnoteRef/>
      </w:r>
      <w:r>
        <w:t xml:space="preserve"> $ </w:t>
      </w:r>
      <w:r w:rsidRPr="0044481F">
        <w:rPr>
          <w:rStyle w:val="italicus"/>
        </w:rPr>
        <w:t>Matth.</w:t>
      </w:r>
      <w:r>
        <w:t xml:space="preserve"> I, 18-23. </w:t>
      </w:r>
    </w:p>
  </w:footnote>
  <w:footnote w:id="105">
    <w:p w:rsidR="007F47B8" w:rsidRPr="00826FE4" w:rsidRDefault="007F47B8" w:rsidP="00C31960">
      <w:pPr>
        <w:pStyle w:val="Notedebasdepage"/>
      </w:pPr>
      <w:r>
        <w:rPr>
          <w:rStyle w:val="Appelnotedebasdep"/>
        </w:rPr>
        <w:footnoteRef/>
      </w:r>
      <w:r>
        <w:t xml:space="preserve"> $ </w:t>
      </w:r>
      <w:r w:rsidRPr="0044481F">
        <w:rPr>
          <w:rStyle w:val="italicus"/>
        </w:rPr>
        <w:t>Vie de Jésus,</w:t>
      </w:r>
      <w:r>
        <w:t xml:space="preserve"> traduction de E. Littré, Paris, 1853, t. I, p. 193. </w:t>
      </w:r>
    </w:p>
  </w:footnote>
  <w:footnote w:id="106">
    <w:p w:rsidR="007F47B8" w:rsidRPr="0042259C" w:rsidRDefault="007F47B8" w:rsidP="00C31960">
      <w:pPr>
        <w:pStyle w:val="Notedebasdepage"/>
      </w:pPr>
      <w:r>
        <w:rPr>
          <w:rStyle w:val="Appelnotedebasdep"/>
        </w:rPr>
        <w:footnoteRef/>
      </w:r>
      <w:r w:rsidRPr="0042259C">
        <w:t xml:space="preserve"> </w:t>
      </w:r>
      <w:r>
        <w:t xml:space="preserve">$ </w:t>
      </w:r>
      <w:r>
        <w:rPr>
          <w:rStyle w:val="italicus"/>
        </w:rPr>
        <w:t>Ibi</w:t>
      </w:r>
      <w:r w:rsidRPr="0044481F">
        <w:rPr>
          <w:rStyle w:val="italicus"/>
        </w:rPr>
        <w:t>d.,</w:t>
      </w:r>
      <w:r>
        <w:t xml:space="preserve"> p. 200, Cf. p. 195 : « L’ange, soit plutôt l’évangéliste, ajoute une prophétie de l’Ancien Testament qui se trouve,</w:t>
      </w:r>
      <w:r w:rsidRPr="0044481F">
        <w:rPr>
          <w:rStyle w:val="italicus"/>
        </w:rPr>
        <w:t xml:space="preserve"> suivant lui,</w:t>
      </w:r>
      <w:r>
        <w:t xml:space="preserve"> vérifiée par ce mode de conception de Jésus ». </w:t>
      </w:r>
    </w:p>
  </w:footnote>
  <w:footnote w:id="107">
    <w:p w:rsidR="007F47B8" w:rsidRPr="00826FE4" w:rsidRDefault="007F47B8" w:rsidP="00C31960">
      <w:pPr>
        <w:pStyle w:val="Notedebasdepage"/>
        <w:rPr>
          <w:lang w:val="en-US"/>
        </w:rPr>
      </w:pPr>
      <w:r>
        <w:rPr>
          <w:rStyle w:val="Appelnotedebasdep"/>
        </w:rPr>
        <w:footnoteRef/>
      </w:r>
      <w:r w:rsidRPr="00826FE4">
        <w:rPr>
          <w:lang w:val="en-US"/>
        </w:rPr>
        <w:t xml:space="preserve"> </w:t>
      </w:r>
      <w:r w:rsidRPr="00F84A0B">
        <w:rPr>
          <w:lang w:val="en-US"/>
        </w:rPr>
        <w:t xml:space="preserve">$ </w:t>
      </w:r>
      <w:r w:rsidRPr="00F84A0B">
        <w:rPr>
          <w:rStyle w:val="italicus"/>
          <w:lang w:val="en-US"/>
        </w:rPr>
        <w:t xml:space="preserve">Die Geschichte des Lebens Jesu, Leipzig, </w:t>
      </w:r>
      <w:r w:rsidRPr="00F84A0B">
        <w:rPr>
          <w:lang w:val="en-US"/>
        </w:rPr>
        <w:t xml:space="preserve">1842, t. I, p. 191. </w:t>
      </w:r>
    </w:p>
  </w:footnote>
  <w:footnote w:id="108">
    <w:p w:rsidR="007F47B8" w:rsidRPr="00826FE4" w:rsidRDefault="007F47B8" w:rsidP="00C31960">
      <w:pPr>
        <w:pStyle w:val="Notedebasdepage"/>
        <w:rPr>
          <w:lang w:val="en-US"/>
        </w:rPr>
      </w:pPr>
      <w:r>
        <w:rPr>
          <w:rStyle w:val="Appelnotedebasdep"/>
        </w:rPr>
        <w:footnoteRef/>
      </w:r>
      <w:r w:rsidRPr="00826FE4">
        <w:rPr>
          <w:lang w:val="en-US"/>
        </w:rPr>
        <w:t xml:space="preserve"> </w:t>
      </w:r>
      <w:r w:rsidRPr="00F84A0B">
        <w:rPr>
          <w:lang w:val="en-US"/>
        </w:rPr>
        <w:t xml:space="preserve">$ Ibid., p. 190. </w:t>
      </w:r>
    </w:p>
  </w:footnote>
  <w:footnote w:id="109">
    <w:p w:rsidR="007F47B8" w:rsidRPr="0042259C" w:rsidRDefault="007F47B8" w:rsidP="00C31960">
      <w:pPr>
        <w:pStyle w:val="Notedebasdepage"/>
        <w:rPr>
          <w:lang w:val="en-US"/>
        </w:rPr>
      </w:pPr>
      <w:r>
        <w:rPr>
          <w:rStyle w:val="Appelnotedebasdep"/>
        </w:rPr>
        <w:footnoteRef/>
      </w:r>
      <w:r w:rsidRPr="0042259C">
        <w:rPr>
          <w:lang w:val="en-US"/>
        </w:rPr>
        <w:t xml:space="preserve"> </w:t>
      </w:r>
      <w:r w:rsidRPr="00F84A0B">
        <w:rPr>
          <w:rStyle w:val="italicus"/>
          <w:lang w:val="en-US"/>
        </w:rPr>
        <w:t>$ Luc.</w:t>
      </w:r>
      <w:r w:rsidRPr="00F84A0B">
        <w:rPr>
          <w:lang w:val="en-US"/>
        </w:rPr>
        <w:t xml:space="preserve"> I, 26-35. </w:t>
      </w:r>
    </w:p>
  </w:footnote>
  <w:footnote w:id="110">
    <w:p w:rsidR="007F47B8" w:rsidRPr="0042259C" w:rsidRDefault="007F47B8" w:rsidP="00C31960">
      <w:pPr>
        <w:pStyle w:val="Notedebasdepage"/>
      </w:pPr>
      <w:r>
        <w:rPr>
          <w:rStyle w:val="Appelnotedebasdep"/>
        </w:rPr>
        <w:footnoteRef/>
      </w:r>
      <w:r w:rsidRPr="00A52917">
        <w:rPr>
          <w:lang w:val="en-US"/>
        </w:rPr>
        <w:t xml:space="preserve"> $ </w:t>
      </w:r>
      <w:r w:rsidRPr="00A52917">
        <w:rPr>
          <w:rStyle w:val="italicus"/>
          <w:lang w:val="en-US"/>
        </w:rPr>
        <w:t>Gal.</w:t>
      </w:r>
      <w:r w:rsidRPr="00A52917">
        <w:rPr>
          <w:lang w:val="en-US"/>
        </w:rPr>
        <w:t xml:space="preserve"> IV, 4. </w:t>
      </w:r>
      <w:r>
        <w:t>Voyez,</w:t>
      </w:r>
      <w:r w:rsidRPr="0044481F">
        <w:rPr>
          <w:rStyle w:val="italicus"/>
        </w:rPr>
        <w:t xml:space="preserve"> Matth.</w:t>
      </w:r>
      <w:r>
        <w:t xml:space="preserve"> I, 16, 18, 20, 23, 25, la manière délicate et vigoureuse dont le premier évangéliste relève, à chaque instant, la virginité de Marie. </w:t>
      </w:r>
    </w:p>
  </w:footnote>
  <w:footnote w:id="111">
    <w:p w:rsidR="007F47B8" w:rsidRPr="00A52917" w:rsidRDefault="007F47B8" w:rsidP="00C31960">
      <w:pPr>
        <w:pStyle w:val="Notedebasdepage"/>
      </w:pPr>
      <w:r>
        <w:rPr>
          <w:rStyle w:val="Appelnotedebasdep"/>
        </w:rPr>
        <w:footnoteRef/>
      </w:r>
      <w:r w:rsidRPr="00A52917">
        <w:t xml:space="preserve"> $ </w:t>
      </w:r>
      <w:r w:rsidRPr="00A52917">
        <w:rPr>
          <w:rStyle w:val="italicus"/>
        </w:rPr>
        <w:t>Der Prophet Jesaja,</w:t>
      </w:r>
      <w:r w:rsidRPr="00A52917">
        <w:t xml:space="preserve"> Bielefeld, 1877, p. 102. </w:t>
      </w:r>
    </w:p>
  </w:footnote>
  <w:footnote w:id="112">
    <w:p w:rsidR="007F47B8" w:rsidRDefault="007F47B8" w:rsidP="00C31960">
      <w:pPr>
        <w:pStyle w:val="Notedebasdepage"/>
      </w:pPr>
      <w:r>
        <w:rPr>
          <w:rStyle w:val="Appelnotedebasdep"/>
        </w:rPr>
        <w:footnoteRef/>
      </w:r>
      <w:r w:rsidRPr="00A52917">
        <w:t xml:space="preserve"> $ </w:t>
      </w:r>
      <w:r w:rsidRPr="00A52917">
        <w:rPr>
          <w:rStyle w:val="italicus"/>
        </w:rPr>
        <w:t>Comment. in h.,</w:t>
      </w:r>
      <w:r w:rsidRPr="00A52917">
        <w:t xml:space="preserve"> p. 184. </w:t>
      </w:r>
      <w:r>
        <w:t xml:space="preserve">« On ne peut douter, écrit aussi M. Kitto, </w:t>
      </w:r>
      <w:r w:rsidRPr="0044481F">
        <w:rPr>
          <w:rStyle w:val="italicus"/>
        </w:rPr>
        <w:t>Daily Bible Illustrations,</w:t>
      </w:r>
      <w:r>
        <w:t xml:space="preserve"> t. IV, p. 385, que ce passage (d’Isaïe</w:t>
      </w:r>
      <w:r w:rsidRPr="00BA383E">
        <w:t xml:space="preserve">), </w:t>
      </w:r>
      <w:r>
        <w:t xml:space="preserve">dans sa signification première, ne se rapporte au Christ, puisque S. Matthieu l’affirme ». </w:t>
      </w:r>
    </w:p>
  </w:footnote>
  <w:footnote w:id="113">
    <w:p w:rsidR="007F47B8" w:rsidRPr="00826FE4" w:rsidRDefault="007F47B8" w:rsidP="00C31960">
      <w:pPr>
        <w:pStyle w:val="Notedebasdepage"/>
      </w:pPr>
      <w:r>
        <w:rPr>
          <w:rStyle w:val="Appelnotedebasdep"/>
        </w:rPr>
        <w:footnoteRef/>
      </w:r>
      <w:r>
        <w:t xml:space="preserve"> $ </w:t>
      </w:r>
      <w:r w:rsidRPr="0044481F">
        <w:rPr>
          <w:rStyle w:val="italicus"/>
        </w:rPr>
        <w:t xml:space="preserve">Matth. </w:t>
      </w:r>
      <w:r w:rsidRPr="007F4309">
        <w:t xml:space="preserve">I, 22. </w:t>
      </w:r>
    </w:p>
  </w:footnote>
  <w:footnote w:id="114">
    <w:p w:rsidR="007F47B8" w:rsidRDefault="007F47B8" w:rsidP="00C31960">
      <w:pPr>
        <w:pStyle w:val="Notedebasdepage"/>
      </w:pPr>
      <w:r>
        <w:rPr>
          <w:rStyle w:val="Appelnotedebasdep"/>
        </w:rPr>
        <w:footnoteRef/>
      </w:r>
      <w:r>
        <w:t xml:space="preserve"> </w:t>
      </w:r>
      <w:r>
        <w:rPr>
          <w:rStyle w:val="italicus"/>
        </w:rPr>
        <w:t xml:space="preserve">$ </w:t>
      </w:r>
      <w:r>
        <w:t xml:space="preserve">C’est-à-dire, d’accommodation. </w:t>
      </w:r>
    </w:p>
  </w:footnote>
  <w:footnote w:id="115">
    <w:p w:rsidR="007F47B8" w:rsidRPr="00826FE4" w:rsidRDefault="007F47B8" w:rsidP="00C31960">
      <w:pPr>
        <w:pStyle w:val="Notedebasdepage"/>
      </w:pPr>
      <w:r>
        <w:rPr>
          <w:rStyle w:val="Appelnotedebasdep"/>
        </w:rPr>
        <w:footnoteRef/>
      </w:r>
      <w:r>
        <w:t xml:space="preserve"> $ V</w:t>
      </w:r>
      <w:r w:rsidRPr="0044481F">
        <w:rPr>
          <w:rStyle w:val="italicus"/>
        </w:rPr>
        <w:t xml:space="preserve">ie de Jésus, l. c., p. 195 et 196. </w:t>
      </w:r>
      <w:r w:rsidRPr="007F4309">
        <w:t>Voyez notre</w:t>
      </w:r>
      <w:r w:rsidRPr="0044481F">
        <w:rPr>
          <w:rStyle w:val="italicus"/>
        </w:rPr>
        <w:t xml:space="preserve"> </w:t>
      </w:r>
      <w:r>
        <w:rPr>
          <w:rStyle w:val="italicus"/>
        </w:rPr>
        <w:t>Commentaire sur l’Evang</w:t>
      </w:r>
      <w:r w:rsidRPr="0044481F">
        <w:rPr>
          <w:rStyle w:val="italicus"/>
        </w:rPr>
        <w:t xml:space="preserve">. selon S. Matthieu, </w:t>
      </w:r>
      <w:r w:rsidRPr="007F4309">
        <w:t xml:space="preserve">Paris, 1878, p. 45. </w:t>
      </w:r>
    </w:p>
  </w:footnote>
  <w:footnote w:id="116">
    <w:p w:rsidR="007F47B8" w:rsidRPr="00826FE4" w:rsidRDefault="007F47B8" w:rsidP="00C31960">
      <w:pPr>
        <w:pStyle w:val="Notedebasdepage"/>
        <w:rPr>
          <w:i/>
        </w:rPr>
      </w:pPr>
      <w:r>
        <w:rPr>
          <w:rStyle w:val="Appelnotedebasdep"/>
        </w:rPr>
        <w:footnoteRef/>
      </w:r>
      <w:r>
        <w:t xml:space="preserve"> </w:t>
      </w:r>
      <w:r>
        <w:rPr>
          <w:rStyle w:val="italicus"/>
        </w:rPr>
        <w:t xml:space="preserve">$ </w:t>
      </w:r>
      <w:r>
        <w:t>Telle est au fond, M. Reinke le démontre fort bien,</w:t>
      </w:r>
      <w:r w:rsidRPr="0044481F">
        <w:rPr>
          <w:rStyle w:val="italicus"/>
        </w:rPr>
        <w:t xml:space="preserve"> </w:t>
      </w:r>
      <w:r>
        <w:rPr>
          <w:rStyle w:val="italicus"/>
        </w:rPr>
        <w:t>loc.</w:t>
      </w:r>
      <w:r w:rsidRPr="0044481F">
        <w:rPr>
          <w:rStyle w:val="italicus"/>
        </w:rPr>
        <w:t xml:space="preserve"> cit.,</w:t>
      </w:r>
      <w:r>
        <w:t xml:space="preserve"> p. 9 et II, leur préoccupation principale. </w:t>
      </w:r>
    </w:p>
  </w:footnote>
  <w:footnote w:id="117">
    <w:p w:rsidR="007F47B8" w:rsidRDefault="007F47B8" w:rsidP="00C31960">
      <w:pPr>
        <w:pStyle w:val="Notedebasdepage"/>
      </w:pPr>
      <w:r>
        <w:rPr>
          <w:rStyle w:val="Appelnotedebasdep"/>
        </w:rPr>
        <w:footnoteRef/>
      </w:r>
      <w:r>
        <w:t xml:space="preserve"> $ </w:t>
      </w:r>
      <w:r>
        <w:rPr>
          <w:rStyle w:val="italicus"/>
        </w:rPr>
        <w:t>Der Prophet Jesaja, 4e</w:t>
      </w:r>
      <w:r w:rsidRPr="0044481F">
        <w:rPr>
          <w:rStyle w:val="italicus"/>
        </w:rPr>
        <w:t xml:space="preserve"> édit., p. 70. </w:t>
      </w:r>
    </w:p>
  </w:footnote>
  <w:footnote w:id="118">
    <w:p w:rsidR="007F47B8" w:rsidRPr="00826FE4" w:rsidRDefault="007F47B8" w:rsidP="00C31960">
      <w:pPr>
        <w:pStyle w:val="Notedebasdepage"/>
      </w:pPr>
      <w:r>
        <w:rPr>
          <w:rStyle w:val="Appelnotedebasdep"/>
        </w:rPr>
        <w:footnoteRef/>
      </w:r>
      <w:r>
        <w:t xml:space="preserve"> </w:t>
      </w:r>
      <w:r>
        <w:rPr>
          <w:rStyle w:val="italicus"/>
        </w:rPr>
        <w:t>$ Die Propheten des Alt. B</w:t>
      </w:r>
      <w:r w:rsidRPr="0044481F">
        <w:rPr>
          <w:rStyle w:val="italicus"/>
        </w:rPr>
        <w:t>undes, 2</w:t>
      </w:r>
      <w:r>
        <w:rPr>
          <w:rStyle w:val="italicus"/>
        </w:rPr>
        <w:t>e</w:t>
      </w:r>
      <w:r w:rsidRPr="0044481F">
        <w:rPr>
          <w:rStyle w:val="italicus"/>
        </w:rPr>
        <w:t xml:space="preserve"> édit., </w:t>
      </w:r>
      <w:r w:rsidRPr="00CC3419">
        <w:t xml:space="preserve">t. I, p. 244. </w:t>
      </w:r>
    </w:p>
  </w:footnote>
  <w:footnote w:id="119">
    <w:p w:rsidR="007F47B8" w:rsidRPr="00826FE4" w:rsidRDefault="007F47B8" w:rsidP="00C31960">
      <w:pPr>
        <w:pStyle w:val="Notedebasdepage"/>
      </w:pPr>
      <w:r>
        <w:rPr>
          <w:rStyle w:val="Appelnotedebasdep"/>
        </w:rPr>
        <w:footnoteRef/>
      </w:r>
      <w:r>
        <w:t xml:space="preserve"> </w:t>
      </w:r>
      <w:r>
        <w:rPr>
          <w:rStyle w:val="italicus"/>
        </w:rPr>
        <w:t xml:space="preserve">$ </w:t>
      </w:r>
      <w:r>
        <w:t xml:space="preserve">Jarchi, Abenesra, Hitzig, etc. </w:t>
      </w:r>
    </w:p>
  </w:footnote>
  <w:footnote w:id="120">
    <w:p w:rsidR="007F47B8" w:rsidRPr="00826FE4" w:rsidRDefault="007F47B8" w:rsidP="00C31960">
      <w:pPr>
        <w:pStyle w:val="Notedebasdepage"/>
      </w:pPr>
      <w:r>
        <w:rPr>
          <w:rStyle w:val="Appelnotedebasdep"/>
        </w:rPr>
        <w:footnoteRef/>
      </w:r>
      <w:r>
        <w:t xml:space="preserve"> $ Voyez</w:t>
      </w:r>
      <w:r>
        <w:rPr>
          <w:rStyle w:val="italicus"/>
        </w:rPr>
        <w:t xml:space="preserve"> I</w:t>
      </w:r>
      <w:r w:rsidRPr="0044481F">
        <w:rPr>
          <w:rStyle w:val="italicus"/>
        </w:rPr>
        <w:t>saïe</w:t>
      </w:r>
      <w:r>
        <w:t xml:space="preserve"> VII, 3. </w:t>
      </w:r>
    </w:p>
  </w:footnote>
  <w:footnote w:id="121">
    <w:p w:rsidR="007F47B8" w:rsidRDefault="007F47B8" w:rsidP="00C31960">
      <w:pPr>
        <w:pStyle w:val="Notedebasdepage"/>
      </w:pPr>
      <w:r>
        <w:rPr>
          <w:rStyle w:val="Appelnotedebasdep"/>
        </w:rPr>
        <w:footnoteRef/>
      </w:r>
      <w:r>
        <w:t xml:space="preserve"> $ Faber, Gesenius, Cassel, Bunsen, Knobel, etc., et même le grave Tholuck. Ici encore l’argumentation de Knobel est brillante ! C’est la femme d’Isaïe, « puisqu’il connaît son état de grossesse et qu’il sait quel nom elle donnera à l’enfant ». </w:t>
      </w:r>
    </w:p>
  </w:footnote>
  <w:footnote w:id="122">
    <w:p w:rsidR="007F47B8" w:rsidRPr="00826FE4" w:rsidRDefault="007F47B8" w:rsidP="00C31960">
      <w:pPr>
        <w:pStyle w:val="Notedebasdepage"/>
        <w:rPr>
          <w:i/>
        </w:rPr>
      </w:pPr>
      <w:r>
        <w:rPr>
          <w:rStyle w:val="Appelnotedebasdep"/>
        </w:rPr>
        <w:footnoteRef/>
      </w:r>
      <w:r>
        <w:t xml:space="preserve"> $ </w:t>
      </w:r>
      <w:r w:rsidRPr="0044481F">
        <w:rPr>
          <w:rStyle w:val="italicus"/>
        </w:rPr>
        <w:t xml:space="preserve">Der Prophet Jesaja, </w:t>
      </w:r>
      <w:r w:rsidRPr="00CC3419">
        <w:t xml:space="preserve">p. 102. </w:t>
      </w:r>
    </w:p>
  </w:footnote>
  <w:footnote w:id="123">
    <w:p w:rsidR="007F47B8" w:rsidRPr="00826FE4" w:rsidRDefault="007F47B8" w:rsidP="00C31960">
      <w:pPr>
        <w:pStyle w:val="Notedebasdepage"/>
      </w:pPr>
      <w:r>
        <w:rPr>
          <w:rStyle w:val="Appelnotedebasdep"/>
        </w:rPr>
        <w:footnoteRef/>
      </w:r>
      <w:r>
        <w:t xml:space="preserve"> </w:t>
      </w:r>
      <w:r w:rsidRPr="00CC3419">
        <w:t xml:space="preserve">$ Delitzsch, </w:t>
      </w:r>
      <w:r w:rsidRPr="0044481F">
        <w:rPr>
          <w:rStyle w:val="italicus"/>
        </w:rPr>
        <w:t xml:space="preserve">Bibl. Commentar </w:t>
      </w:r>
      <w:r>
        <w:rPr>
          <w:rStyle w:val="italicus"/>
        </w:rPr>
        <w:t>üb.</w:t>
      </w:r>
      <w:r w:rsidRPr="0044481F">
        <w:rPr>
          <w:rStyle w:val="italicus"/>
        </w:rPr>
        <w:t xml:space="preserve"> den Proph. Jesaja, </w:t>
      </w:r>
      <w:r w:rsidRPr="00CC3419">
        <w:t>p. 136.</w:t>
      </w:r>
      <w:r w:rsidRPr="0044481F">
        <w:rPr>
          <w:rStyle w:val="italicus"/>
        </w:rPr>
        <w:t xml:space="preserve"> </w:t>
      </w:r>
    </w:p>
  </w:footnote>
  <w:footnote w:id="124">
    <w:p w:rsidR="007F47B8" w:rsidRPr="00826FE4" w:rsidRDefault="007F47B8" w:rsidP="00C31960">
      <w:pPr>
        <w:pStyle w:val="Notedebasdepage"/>
      </w:pPr>
      <w:r>
        <w:rPr>
          <w:rStyle w:val="Appelnotedebasdep"/>
        </w:rPr>
        <w:footnoteRef/>
      </w:r>
      <w:r>
        <w:t xml:space="preserve"> </w:t>
      </w:r>
      <w:r>
        <w:rPr>
          <w:rStyle w:val="italicus"/>
        </w:rPr>
        <w:t>$</w:t>
      </w:r>
      <w:r>
        <w:t xml:space="preserve"> W. Schultz,</w:t>
      </w:r>
      <w:r w:rsidRPr="0044481F">
        <w:rPr>
          <w:rStyle w:val="italicus"/>
        </w:rPr>
        <w:t xml:space="preserve"> Ueber Immanuel,</w:t>
      </w:r>
      <w:r>
        <w:t xml:space="preserve"> l. c., p. 721. </w:t>
      </w:r>
    </w:p>
  </w:footnote>
  <w:footnote w:id="125">
    <w:p w:rsidR="007F47B8" w:rsidRPr="00826FE4" w:rsidRDefault="007F47B8" w:rsidP="00C31960">
      <w:pPr>
        <w:pStyle w:val="Notedebasdepage"/>
      </w:pPr>
      <w:r>
        <w:rPr>
          <w:rStyle w:val="Appelnotedebasdep"/>
        </w:rPr>
        <w:footnoteRef/>
      </w:r>
      <w:r>
        <w:t xml:space="preserve"> $ Prêtre catholique (mort en 1818</w:t>
      </w:r>
      <w:r w:rsidRPr="00BA383E">
        <w:t xml:space="preserve">) </w:t>
      </w:r>
      <w:r>
        <w:t>qui osa prétendre que l’oracle de l’</w:t>
      </w:r>
      <w:r w:rsidRPr="00D05EA9">
        <w:rPr>
          <w:rStyle w:val="italicus"/>
        </w:rPr>
        <w:t>῾almah</w:t>
      </w:r>
      <w:r>
        <w:t xml:space="preserve"> ne se rapportait point au Messie. Il fut naturellement condamné pour ce motif, ce qui le fit passer aux yeux des rationalistes pour un martyr. Voyez Gesenius,</w:t>
      </w:r>
      <w:r w:rsidRPr="0044481F">
        <w:rPr>
          <w:rStyle w:val="italicus"/>
        </w:rPr>
        <w:t xml:space="preserve"> Commentar,</w:t>
      </w:r>
      <w:r>
        <w:t xml:space="preserve"> t. I, p. 309. Il fit du reste une louable soumission et rétracta son erreur. </w:t>
      </w:r>
    </w:p>
  </w:footnote>
  <w:footnote w:id="126">
    <w:p w:rsidR="007F47B8" w:rsidRDefault="007F47B8" w:rsidP="00C31960">
      <w:pPr>
        <w:pStyle w:val="Notedebasdepage"/>
      </w:pPr>
      <w:r>
        <w:rPr>
          <w:rStyle w:val="Appelnotedebasdep"/>
        </w:rPr>
        <w:footnoteRef/>
      </w:r>
      <w:r>
        <w:t xml:space="preserve"> $ </w:t>
      </w:r>
      <w:r w:rsidRPr="0044481F">
        <w:rPr>
          <w:rStyle w:val="italicus"/>
        </w:rPr>
        <w:t xml:space="preserve">Praktischer Commentar </w:t>
      </w:r>
      <w:r>
        <w:rPr>
          <w:rStyle w:val="italicus"/>
        </w:rPr>
        <w:t>über</w:t>
      </w:r>
      <w:r w:rsidRPr="0044481F">
        <w:rPr>
          <w:rStyle w:val="italicus"/>
        </w:rPr>
        <w:t xml:space="preserve"> den Jesaja,</w:t>
      </w:r>
      <w:r>
        <w:t xml:space="preserve"> Hambourg, 1846, 2e édit., p. 76 et suiv. </w:t>
      </w:r>
    </w:p>
  </w:footnote>
  <w:footnote w:id="127">
    <w:p w:rsidR="007F47B8" w:rsidRDefault="007F47B8" w:rsidP="00C31960">
      <w:pPr>
        <w:pStyle w:val="Notedebasdepage"/>
      </w:pPr>
      <w:r>
        <w:rPr>
          <w:rStyle w:val="Appelnotedebasdep"/>
        </w:rPr>
        <w:footnoteRef/>
      </w:r>
      <w:r>
        <w:t xml:space="preserve"> $ </w:t>
      </w:r>
      <w:r w:rsidRPr="0044481F">
        <w:rPr>
          <w:rStyle w:val="italicus"/>
        </w:rPr>
        <w:t xml:space="preserve">Ibid., </w:t>
      </w:r>
      <w:r w:rsidRPr="00CC3419">
        <w:t xml:space="preserve">p. 80. </w:t>
      </w:r>
    </w:p>
  </w:footnote>
  <w:footnote w:id="128">
    <w:p w:rsidR="007F47B8" w:rsidRPr="00826FE4"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Die Theologie der Propheten, </w:t>
      </w:r>
      <w:r w:rsidRPr="00CC3419">
        <w:t xml:space="preserve">p. 164. </w:t>
      </w:r>
    </w:p>
  </w:footnote>
  <w:footnote w:id="129">
    <w:p w:rsidR="007F47B8" w:rsidRDefault="007F47B8">
      <w:pPr>
        <w:pStyle w:val="Notedebasdepage"/>
      </w:pPr>
      <w:r>
        <w:rPr>
          <w:rStyle w:val="Appelnotedebasdep"/>
        </w:rPr>
        <w:footnoteRef/>
      </w:r>
      <w:r>
        <w:t xml:space="preserve"> </w:t>
      </w:r>
      <w:r>
        <w:rPr>
          <w:rStyle w:val="italicus"/>
        </w:rPr>
        <w:t xml:space="preserve">$ </w:t>
      </w:r>
      <w:r w:rsidRPr="0044481F">
        <w:rPr>
          <w:rStyle w:val="italicus"/>
        </w:rPr>
        <w:t xml:space="preserve">Théodoret, Comm. </w:t>
      </w:r>
      <w:r w:rsidRPr="00826FE4">
        <w:t xml:space="preserve">in h. l. </w:t>
      </w:r>
    </w:p>
  </w:footnote>
  <w:footnote w:id="130">
    <w:p w:rsidR="007F47B8" w:rsidRDefault="007F47B8" w:rsidP="00C31960">
      <w:pPr>
        <w:pStyle w:val="Notedebasdepage"/>
      </w:pPr>
      <w:r>
        <w:rPr>
          <w:rStyle w:val="Appelnotedebasdep"/>
        </w:rPr>
        <w:footnoteRef/>
      </w:r>
      <w:r>
        <w:t xml:space="preserve"> </w:t>
      </w:r>
      <w:r w:rsidRPr="00CC3419">
        <w:t>$ Staehelin</w:t>
      </w:r>
      <w:r w:rsidRPr="0044481F">
        <w:rPr>
          <w:rStyle w:val="italicus"/>
        </w:rPr>
        <w:t>, Die</w:t>
      </w:r>
      <w:r>
        <w:rPr>
          <w:rStyle w:val="italicus"/>
        </w:rPr>
        <w:t xml:space="preserve"> </w:t>
      </w:r>
      <w:r w:rsidRPr="0044481F">
        <w:rPr>
          <w:rStyle w:val="italicus"/>
        </w:rPr>
        <w:t xml:space="preserve">messian. Weissagungen des A. Testam., </w:t>
      </w:r>
      <w:r w:rsidRPr="00CC3419">
        <w:t xml:space="preserve">p. </w:t>
      </w:r>
      <w:r>
        <w:t xml:space="preserve">47. </w:t>
      </w:r>
    </w:p>
  </w:footnote>
  <w:footnote w:id="131">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Les Prophètes, </w:t>
      </w:r>
      <w:r w:rsidRPr="00CC3419">
        <w:t xml:space="preserve">t. I, p. 224. </w:t>
      </w:r>
    </w:p>
  </w:footnote>
  <w:footnote w:id="132">
    <w:p w:rsidR="007F47B8" w:rsidRPr="0042259C" w:rsidRDefault="007F47B8" w:rsidP="00C31960">
      <w:pPr>
        <w:pStyle w:val="Notedebasdepage"/>
        <w:rPr>
          <w:lang w:val="en-US"/>
        </w:rPr>
      </w:pPr>
      <w:r>
        <w:rPr>
          <w:rStyle w:val="Appelnotedebasdep"/>
        </w:rPr>
        <w:footnoteRef/>
      </w:r>
      <w:r w:rsidRPr="0042259C">
        <w:rPr>
          <w:lang w:val="en-US"/>
        </w:rPr>
        <w:t xml:space="preserve"> </w:t>
      </w:r>
      <w:r w:rsidRPr="00F84A0B">
        <w:rPr>
          <w:rStyle w:val="italicus"/>
          <w:lang w:val="en-US"/>
        </w:rPr>
        <w:t xml:space="preserve">$ Ubi supra, </w:t>
      </w:r>
      <w:r w:rsidRPr="00F84A0B">
        <w:rPr>
          <w:lang w:val="en-US"/>
        </w:rPr>
        <w:t xml:space="preserve">p. 165. </w:t>
      </w:r>
    </w:p>
  </w:footnote>
  <w:footnote w:id="133">
    <w:p w:rsidR="007F47B8" w:rsidRDefault="007F47B8" w:rsidP="00C31960">
      <w:pPr>
        <w:pStyle w:val="Notedebasdepage"/>
      </w:pPr>
      <w:r>
        <w:rPr>
          <w:rStyle w:val="Appelnotedebasdep"/>
        </w:rPr>
        <w:footnoteRef/>
      </w:r>
      <w:r w:rsidRPr="0042259C">
        <w:rPr>
          <w:lang w:val="en-US"/>
        </w:rPr>
        <w:t xml:space="preserve"> </w:t>
      </w:r>
      <w:r w:rsidRPr="00F84A0B">
        <w:rPr>
          <w:rStyle w:val="italicus"/>
          <w:lang w:val="en-US"/>
        </w:rPr>
        <w:t xml:space="preserve">$ </w:t>
      </w:r>
      <w:r w:rsidRPr="00512B6E">
        <w:rPr>
          <w:lang w:val="en-US"/>
        </w:rPr>
        <w:t>Gratz,</w:t>
      </w:r>
      <w:r w:rsidRPr="00F84A0B">
        <w:rPr>
          <w:rStyle w:val="italicus"/>
          <w:lang w:val="en-US"/>
        </w:rPr>
        <w:t xml:space="preserve"> Kritisch-historich. </w:t>
      </w:r>
      <w:r w:rsidRPr="0044481F">
        <w:rPr>
          <w:rStyle w:val="italicus"/>
        </w:rPr>
        <w:t xml:space="preserve">Commentar </w:t>
      </w:r>
      <w:r>
        <w:rPr>
          <w:rStyle w:val="italicus"/>
        </w:rPr>
        <w:t>über das Evangelium des Matthæ</w:t>
      </w:r>
      <w:r w:rsidRPr="0044481F">
        <w:rPr>
          <w:rStyle w:val="italicus"/>
        </w:rPr>
        <w:t xml:space="preserve">us, </w:t>
      </w:r>
      <w:r w:rsidRPr="00CC3419">
        <w:t>Tubingue, 1821, 1</w:t>
      </w:r>
      <w:r w:rsidRPr="00CC3419">
        <w:rPr>
          <w:vertAlign w:val="superscript"/>
        </w:rPr>
        <w:t>re</w:t>
      </w:r>
      <w:r>
        <w:t xml:space="preserve"> </w:t>
      </w:r>
      <w:r w:rsidRPr="00CC3419">
        <w:t xml:space="preserve">partie, p. 54. </w:t>
      </w:r>
    </w:p>
  </w:footnote>
  <w:footnote w:id="134">
    <w:p w:rsidR="007F47B8" w:rsidRPr="0042259C" w:rsidRDefault="007F47B8" w:rsidP="00C31960">
      <w:pPr>
        <w:pStyle w:val="Notedebasdepage"/>
        <w:rPr>
          <w:lang w:val="en-US"/>
        </w:rPr>
      </w:pPr>
      <w:r>
        <w:rPr>
          <w:rStyle w:val="Appelnotedebasdep"/>
        </w:rPr>
        <w:footnoteRef/>
      </w:r>
      <w:r w:rsidRPr="0042259C">
        <w:rPr>
          <w:lang w:val="en-US"/>
        </w:rPr>
        <w:t xml:space="preserve"> </w:t>
      </w:r>
      <w:r w:rsidRPr="00F84A0B">
        <w:rPr>
          <w:rStyle w:val="italicus"/>
          <w:lang w:val="en-US"/>
        </w:rPr>
        <w:t xml:space="preserve">$ Die Weissagung von der Jungfrau, </w:t>
      </w:r>
      <w:r w:rsidRPr="00F84A0B">
        <w:rPr>
          <w:lang w:val="en-US"/>
        </w:rPr>
        <w:t xml:space="preserve">§ 9. </w:t>
      </w:r>
    </w:p>
  </w:footnote>
  <w:footnote w:id="135">
    <w:p w:rsidR="007F47B8" w:rsidRPr="0042259C" w:rsidRDefault="007F47B8" w:rsidP="00C31960">
      <w:pPr>
        <w:pStyle w:val="Notedebasdepage"/>
        <w:rPr>
          <w:i/>
          <w:lang w:val="en-US"/>
        </w:rPr>
      </w:pPr>
      <w:r>
        <w:rPr>
          <w:rStyle w:val="Appelnotedebasdep"/>
        </w:rPr>
        <w:footnoteRef/>
      </w:r>
      <w:r w:rsidRPr="0042259C">
        <w:rPr>
          <w:lang w:val="en-US"/>
        </w:rPr>
        <w:t xml:space="preserve"> </w:t>
      </w:r>
      <w:r w:rsidRPr="00F84A0B">
        <w:rPr>
          <w:rStyle w:val="italicus"/>
          <w:lang w:val="en-US"/>
        </w:rPr>
        <w:t xml:space="preserve">$ Commentar üb. den Jesaia, p. 310. </w:t>
      </w:r>
    </w:p>
  </w:footnote>
  <w:footnote w:id="136">
    <w:p w:rsidR="007F47B8" w:rsidRPr="0042259C" w:rsidRDefault="007F47B8" w:rsidP="00C31960">
      <w:pPr>
        <w:pStyle w:val="Notedebasdepage"/>
        <w:rPr>
          <w:lang w:val="en-US"/>
        </w:rPr>
      </w:pPr>
      <w:r>
        <w:rPr>
          <w:rStyle w:val="Appelnotedebasdep"/>
        </w:rPr>
        <w:footnoteRef/>
      </w:r>
      <w:r w:rsidRPr="0042259C">
        <w:rPr>
          <w:lang w:val="en-US"/>
        </w:rPr>
        <w:t xml:space="preserve"> </w:t>
      </w:r>
      <w:r w:rsidRPr="00F84A0B">
        <w:rPr>
          <w:lang w:val="en-US"/>
        </w:rPr>
        <w:t>$ Nægelsbach,</w:t>
      </w:r>
      <w:r w:rsidRPr="00F84A0B">
        <w:rPr>
          <w:rStyle w:val="italicus"/>
          <w:lang w:val="en-US"/>
        </w:rPr>
        <w:t xml:space="preserve"> Der Prophet Jesaja, </w:t>
      </w:r>
      <w:r w:rsidRPr="00F84A0B">
        <w:rPr>
          <w:lang w:val="en-US"/>
        </w:rPr>
        <w:t xml:space="preserve">p. 102. </w:t>
      </w:r>
    </w:p>
  </w:footnote>
  <w:footnote w:id="137">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 xml:space="preserve">Voyez Knobel, l. c. </w:t>
      </w:r>
    </w:p>
  </w:footnote>
  <w:footnote w:id="138">
    <w:p w:rsidR="007F47B8" w:rsidRPr="001077D9" w:rsidRDefault="007F47B8" w:rsidP="00C31960">
      <w:pPr>
        <w:pStyle w:val="Notedebasdepage"/>
      </w:pPr>
      <w:r>
        <w:rPr>
          <w:rStyle w:val="Appelnotedebasdep"/>
        </w:rPr>
        <w:footnoteRef/>
      </w:r>
      <w:r>
        <w:t xml:space="preserve"> </w:t>
      </w:r>
      <w:r w:rsidRPr="001077D9">
        <w:t xml:space="preserve">$ Telle notre ville de Metz avant 1870. </w:t>
      </w:r>
    </w:p>
  </w:footnote>
  <w:footnote w:id="139">
    <w:p w:rsidR="007F47B8" w:rsidRPr="0042259C" w:rsidRDefault="007F47B8" w:rsidP="00C31960">
      <w:pPr>
        <w:pStyle w:val="Notedebasdepage"/>
        <w:rPr>
          <w:i/>
          <w:lang w:val="en-US"/>
        </w:rPr>
      </w:pPr>
      <w:r>
        <w:rPr>
          <w:rStyle w:val="Appelnotedebasdep"/>
        </w:rPr>
        <w:footnoteRef/>
      </w:r>
      <w:r w:rsidRPr="0042259C">
        <w:rPr>
          <w:lang w:val="en-US"/>
        </w:rPr>
        <w:t xml:space="preserve"> </w:t>
      </w:r>
      <w:r w:rsidRPr="001077D9">
        <w:t xml:space="preserve">$ </w:t>
      </w:r>
      <w:r w:rsidRPr="00F84A0B">
        <w:rPr>
          <w:rStyle w:val="italicus"/>
          <w:lang w:val="en-US"/>
        </w:rPr>
        <w:t xml:space="preserve">Ubi supra. </w:t>
      </w:r>
    </w:p>
  </w:footnote>
  <w:footnote w:id="140">
    <w:p w:rsidR="007F47B8" w:rsidRPr="0042259C" w:rsidRDefault="007F47B8" w:rsidP="00C31960">
      <w:pPr>
        <w:pStyle w:val="Notedebasdepage"/>
        <w:rPr>
          <w:lang w:val="en-US"/>
        </w:rPr>
      </w:pPr>
      <w:r>
        <w:rPr>
          <w:rStyle w:val="Appelnotedebasdep"/>
        </w:rPr>
        <w:footnoteRef/>
      </w:r>
      <w:r w:rsidRPr="0042259C">
        <w:rPr>
          <w:lang w:val="en-US"/>
        </w:rPr>
        <w:t xml:space="preserve"> </w:t>
      </w:r>
      <w:r w:rsidRPr="00F84A0B">
        <w:rPr>
          <w:rStyle w:val="italicus"/>
          <w:lang w:val="en-US"/>
        </w:rPr>
        <w:t>$ Weissagung und Erfüllung,</w:t>
      </w:r>
      <w:r w:rsidRPr="00F84A0B">
        <w:rPr>
          <w:lang w:val="en-US"/>
        </w:rPr>
        <w:t xml:space="preserve"> t. I, p. 223. </w:t>
      </w:r>
    </w:p>
  </w:footnote>
  <w:footnote w:id="141">
    <w:p w:rsidR="007F47B8" w:rsidRPr="0042259C" w:rsidRDefault="007F47B8" w:rsidP="00C31960">
      <w:pPr>
        <w:pStyle w:val="Notedebasdepage"/>
        <w:rPr>
          <w:i/>
        </w:rPr>
      </w:pPr>
      <w:r>
        <w:rPr>
          <w:rStyle w:val="Appelnotedebasdep"/>
        </w:rPr>
        <w:footnoteRef/>
      </w:r>
      <w:r>
        <w:t xml:space="preserve"> </w:t>
      </w:r>
      <w:r>
        <w:rPr>
          <w:rStyle w:val="italicus"/>
        </w:rPr>
        <w:t xml:space="preserve">$ </w:t>
      </w:r>
      <w:r w:rsidRPr="0044481F">
        <w:rPr>
          <w:rStyle w:val="italicus"/>
        </w:rPr>
        <w:t xml:space="preserve">Bredenkamp, Vaticínium…, </w:t>
      </w:r>
      <w:r w:rsidRPr="00704CE3">
        <w:t xml:space="preserve">p. 16. </w:t>
      </w:r>
    </w:p>
  </w:footnote>
  <w:footnote w:id="142">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Der Prophet Jesaja, </w:t>
      </w:r>
      <w:r w:rsidRPr="00704CE3">
        <w:t xml:space="preserve">p. 103. </w:t>
      </w:r>
    </w:p>
  </w:footnote>
  <w:footnote w:id="143">
    <w:p w:rsidR="007F47B8" w:rsidRPr="001077D9" w:rsidRDefault="007F47B8" w:rsidP="00C31960">
      <w:pPr>
        <w:pStyle w:val="Notedebasdepage"/>
      </w:pPr>
      <w:r>
        <w:rPr>
          <w:rStyle w:val="Appelnotedebasdep"/>
        </w:rPr>
        <w:footnoteRef/>
      </w:r>
      <w:r>
        <w:t xml:space="preserve"> </w:t>
      </w:r>
      <w:r>
        <w:rPr>
          <w:rStyle w:val="italicus"/>
        </w:rPr>
        <w:t>$ Ibid</w:t>
      </w:r>
      <w:r w:rsidRPr="0044481F">
        <w:rPr>
          <w:rStyle w:val="italicus"/>
        </w:rPr>
        <w:t>.,</w:t>
      </w:r>
      <w:r w:rsidRPr="001077D9">
        <w:t xml:space="preserve"> p. 101 et suiv. Cf. p. 154. </w:t>
      </w:r>
    </w:p>
  </w:footnote>
  <w:footnote w:id="144">
    <w:p w:rsidR="007F47B8" w:rsidRDefault="007F47B8" w:rsidP="00C31960">
      <w:pPr>
        <w:pStyle w:val="Notedebasdepage"/>
      </w:pPr>
      <w:r>
        <w:rPr>
          <w:rStyle w:val="Appelnotedebasdep"/>
        </w:rPr>
        <w:footnoteRef/>
      </w:r>
      <w:r>
        <w:t xml:space="preserve"> </w:t>
      </w:r>
      <w:r w:rsidRPr="001077D9">
        <w:t xml:space="preserve">$ </w:t>
      </w:r>
      <w:r w:rsidRPr="0044481F">
        <w:rPr>
          <w:rStyle w:val="italicus"/>
        </w:rPr>
        <w:t xml:space="preserve">Ueber Immanuel, </w:t>
      </w:r>
      <w:r w:rsidRPr="00704CE3">
        <w:t xml:space="preserve">p. 722. </w:t>
      </w:r>
    </w:p>
  </w:footnote>
  <w:footnote w:id="145">
    <w:p w:rsidR="007F47B8" w:rsidRDefault="007F47B8" w:rsidP="00C31960">
      <w:pPr>
        <w:pStyle w:val="Notedebasdepage"/>
      </w:pPr>
      <w:r>
        <w:rPr>
          <w:rStyle w:val="Appelnotedebasdep"/>
        </w:rPr>
        <w:footnoteRef/>
      </w:r>
      <w:r>
        <w:t xml:space="preserve"> </w:t>
      </w:r>
      <w:r>
        <w:rPr>
          <w:rStyle w:val="italicus"/>
        </w:rPr>
        <w:t xml:space="preserve">$ </w:t>
      </w:r>
      <w:r w:rsidRPr="001077D9">
        <w:t>M. Delitzsch fait preuve de science en affirmant que notre prophétie est « un mystère qui n’est pas du domaine de l’interprétation privée ». Cf. II Petr., I, 21.</w:t>
      </w:r>
      <w:r w:rsidRPr="003501D3">
        <w:t xml:space="preserve"> </w:t>
      </w:r>
    </w:p>
  </w:footnote>
  <w:footnote w:id="146">
    <w:p w:rsidR="007F47B8" w:rsidRPr="001077D9" w:rsidRDefault="007F47B8" w:rsidP="00C31960">
      <w:pPr>
        <w:pStyle w:val="Notedebasdepage"/>
      </w:pPr>
      <w:r>
        <w:rPr>
          <w:rStyle w:val="Appelnotedebasdep"/>
        </w:rPr>
        <w:footnoteRef/>
      </w:r>
      <w:r>
        <w:t xml:space="preserve"> </w:t>
      </w:r>
      <w:r w:rsidRPr="003501D3">
        <w:t xml:space="preserve">$ </w:t>
      </w:r>
      <w:r w:rsidRPr="001077D9">
        <w:t>Le Hir,</w:t>
      </w:r>
      <w:r w:rsidRPr="0044481F">
        <w:rPr>
          <w:rStyle w:val="italicus"/>
        </w:rPr>
        <w:t xml:space="preserve"> Les trois grands Prophètes,</w:t>
      </w:r>
      <w:r w:rsidRPr="001077D9">
        <w:t xml:space="preserve"> p. 71. </w:t>
      </w:r>
    </w:p>
  </w:footnote>
  <w:footnote w:id="147">
    <w:p w:rsidR="007F47B8" w:rsidRPr="001077D9" w:rsidRDefault="007F47B8" w:rsidP="00C31960">
      <w:pPr>
        <w:pStyle w:val="Notedebasdepage"/>
      </w:pPr>
      <w:r>
        <w:rPr>
          <w:rStyle w:val="Appelnotedebasdep"/>
        </w:rPr>
        <w:footnoteRef/>
      </w:r>
      <w:r>
        <w:t xml:space="preserve"> </w:t>
      </w:r>
      <w:r w:rsidRPr="001077D9">
        <w:t xml:space="preserve">$ Par exemple, S. Basile, S. Cyrille d’Alexandrie, Eusèbe. </w:t>
      </w:r>
    </w:p>
  </w:footnote>
  <w:footnote w:id="148">
    <w:p w:rsidR="007F47B8" w:rsidRPr="007F47B8" w:rsidRDefault="007F47B8" w:rsidP="00C31960">
      <w:pPr>
        <w:pStyle w:val="Notedebasdepage"/>
        <w:rPr>
          <w:lang w:val="en-US"/>
        </w:rPr>
      </w:pPr>
      <w:r>
        <w:rPr>
          <w:rStyle w:val="Appelnotedebasdep"/>
        </w:rPr>
        <w:footnoteRef/>
      </w:r>
      <w:r>
        <w:t xml:space="preserve"> </w:t>
      </w:r>
      <w:r w:rsidRPr="001077D9">
        <w:t>$ « Ce n’est pas un argument de médiocre importance, lisons-nous dans un auteur protestant, que celui que l’on peut tirer de ce fait, que telle a été l’interprétation commune dans l’Église chrétienne L’explication qui rapporte ce passage au Messie (et à sa mère</w:t>
      </w:r>
      <w:r w:rsidRPr="00BA383E">
        <w:t xml:space="preserve">) </w:t>
      </w:r>
      <w:r w:rsidRPr="001077D9">
        <w:t xml:space="preserve">a toujours prévalu à toutes les époques. Elle a été adoptée par tous les Pères et tous les autres commentateurs chrétiens jusqu’au milieu du XVIIIe siècle, et c’est elle encore qui prévaut aujourd’hui ». </w:t>
      </w:r>
      <w:r w:rsidRPr="007F47B8">
        <w:rPr>
          <w:lang w:val="en-US"/>
        </w:rPr>
        <w:t>Barnes,</w:t>
      </w:r>
      <w:r w:rsidRPr="00F84A0B">
        <w:rPr>
          <w:rStyle w:val="italicus"/>
          <w:lang w:val="en-US"/>
        </w:rPr>
        <w:t xml:space="preserve"> Notes on the Book of the Prophet Isaiah,</w:t>
      </w:r>
      <w:r w:rsidRPr="007F47B8">
        <w:rPr>
          <w:lang w:val="en-US"/>
        </w:rPr>
        <w:t xml:space="preserve"> t. I, p. 206. </w:t>
      </w:r>
    </w:p>
  </w:footnote>
  <w:footnote w:id="149">
    <w:p w:rsidR="007F47B8" w:rsidRPr="0042259C" w:rsidRDefault="007F47B8" w:rsidP="00C31960">
      <w:pPr>
        <w:pStyle w:val="Notedebasdepage"/>
        <w:rPr>
          <w:lang w:val="en-US"/>
        </w:rPr>
      </w:pPr>
      <w:r>
        <w:rPr>
          <w:rStyle w:val="Appelnotedebasdep"/>
        </w:rPr>
        <w:footnoteRef/>
      </w:r>
      <w:r w:rsidRPr="0042259C">
        <w:rPr>
          <w:lang w:val="en-US"/>
        </w:rPr>
        <w:t xml:space="preserve"> </w:t>
      </w:r>
      <w:r w:rsidRPr="007F47B8">
        <w:rPr>
          <w:lang w:val="en-US"/>
        </w:rPr>
        <w:t xml:space="preserve">$ </w:t>
      </w:r>
      <w:r w:rsidRPr="00F84A0B">
        <w:rPr>
          <w:rStyle w:val="italicus"/>
          <w:lang w:val="en-US"/>
        </w:rPr>
        <w:t xml:space="preserve">Daily Bible Illustrations, </w:t>
      </w:r>
      <w:r w:rsidRPr="00F84A0B">
        <w:rPr>
          <w:lang w:val="en-US"/>
        </w:rPr>
        <w:t xml:space="preserve">t. IV, p. 386. </w:t>
      </w:r>
    </w:p>
  </w:footnote>
  <w:footnote w:id="150">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Harmonie entre l’Église et la Synagogue, </w:t>
      </w:r>
      <w:r w:rsidRPr="00233B45">
        <w:t xml:space="preserve">t. II, p. 108. </w:t>
      </w:r>
    </w:p>
  </w:footnote>
  <w:footnote w:id="151">
    <w:p w:rsidR="007F47B8" w:rsidRPr="007F47B8" w:rsidRDefault="007F47B8" w:rsidP="00C31960">
      <w:pPr>
        <w:pStyle w:val="Notedebasdepage"/>
        <w:rPr>
          <w:lang w:val="en-US"/>
        </w:rPr>
      </w:pPr>
      <w:r>
        <w:rPr>
          <w:rStyle w:val="Appelnotedebasdep"/>
        </w:rPr>
        <w:footnoteRef/>
      </w:r>
      <w:r w:rsidRPr="0042259C">
        <w:rPr>
          <w:lang w:val="en-US"/>
        </w:rPr>
        <w:t xml:space="preserve"> </w:t>
      </w:r>
      <w:r w:rsidRPr="00F84A0B">
        <w:rPr>
          <w:rStyle w:val="italicus"/>
          <w:lang w:val="en-US"/>
        </w:rPr>
        <w:t>$ Ibid.,</w:t>
      </w:r>
      <w:r w:rsidRPr="007F47B8">
        <w:rPr>
          <w:lang w:val="en-US"/>
        </w:rPr>
        <w:t xml:space="preserve"> p. 109. Cf. Barnes,</w:t>
      </w:r>
      <w:r w:rsidRPr="00F84A0B">
        <w:rPr>
          <w:rStyle w:val="italicus"/>
          <w:lang w:val="en-US"/>
        </w:rPr>
        <w:t xml:space="preserve"> l. c.,</w:t>
      </w:r>
      <w:r w:rsidRPr="007F47B8">
        <w:rPr>
          <w:lang w:val="en-US"/>
        </w:rPr>
        <w:t xml:space="preserve"> p. 203. </w:t>
      </w:r>
    </w:p>
  </w:footnote>
  <w:footnote w:id="152">
    <w:p w:rsidR="007F47B8" w:rsidRPr="001077D9" w:rsidRDefault="007F47B8" w:rsidP="00C31960">
      <w:pPr>
        <w:pStyle w:val="Notedebasdepage"/>
      </w:pPr>
      <w:r>
        <w:rPr>
          <w:rStyle w:val="Appelnotedebasdep"/>
        </w:rPr>
        <w:footnoteRef/>
      </w:r>
      <w:r>
        <w:t xml:space="preserve"> </w:t>
      </w:r>
      <w:r w:rsidRPr="001077D9">
        <w:t>$ Drach,</w:t>
      </w:r>
      <w:r w:rsidRPr="0044481F">
        <w:rPr>
          <w:rStyle w:val="italicus"/>
        </w:rPr>
        <w:t xml:space="preserve"> ubi supra,</w:t>
      </w:r>
      <w:r w:rsidRPr="001077D9">
        <w:t xml:space="preserve"> p. 22. </w:t>
      </w:r>
    </w:p>
  </w:footnote>
  <w:footnote w:id="153">
    <w:p w:rsidR="007F47B8" w:rsidRPr="001077D9" w:rsidRDefault="007F47B8" w:rsidP="00C31960">
      <w:pPr>
        <w:pStyle w:val="Notedebasdepage"/>
      </w:pPr>
      <w:r>
        <w:rPr>
          <w:rStyle w:val="Appelnotedebasdep"/>
        </w:rPr>
        <w:footnoteRef/>
      </w:r>
      <w:r>
        <w:t xml:space="preserve"> </w:t>
      </w:r>
      <w:r w:rsidRPr="001077D9">
        <w:t xml:space="preserve">$ Chap. V, fol. 3, col. 2. </w:t>
      </w:r>
    </w:p>
  </w:footnote>
  <w:footnote w:id="154">
    <w:p w:rsidR="007F47B8" w:rsidRPr="001077D9" w:rsidRDefault="007F47B8" w:rsidP="00C31960">
      <w:pPr>
        <w:pStyle w:val="Notedebasdepage"/>
      </w:pPr>
      <w:r>
        <w:rPr>
          <w:rStyle w:val="Appelnotedebasdep"/>
        </w:rPr>
        <w:footnoteRef/>
      </w:r>
      <w:r>
        <w:t xml:space="preserve"> </w:t>
      </w:r>
      <w:r w:rsidRPr="001077D9">
        <w:t>$ Le</w:t>
      </w:r>
      <w:r w:rsidRPr="0044481F">
        <w:rPr>
          <w:rStyle w:val="italicus"/>
        </w:rPr>
        <w:t xml:space="preserve"> mem,</w:t>
      </w:r>
      <w:r w:rsidRPr="001077D9">
        <w:t xml:space="preserve"> qui est la treizième lettre de l’alphabet hébreu, a une double forme, suivant qu’il est au commencement et au milieu (</w:t>
      </w:r>
      <w:r w:rsidRPr="001077D9">
        <w:rPr>
          <w:rtl/>
          <w:lang w:bidi="he-IL"/>
        </w:rPr>
        <w:t>מ</w:t>
      </w:r>
      <w:r w:rsidRPr="00BA383E">
        <w:t xml:space="preserve">) </w:t>
      </w:r>
      <w:r w:rsidRPr="001077D9">
        <w:t>ou à la fin des mots (</w:t>
      </w:r>
      <w:r w:rsidRPr="001077D9">
        <w:rPr>
          <w:rtl/>
          <w:lang w:bidi="he-IL"/>
        </w:rPr>
        <w:t>ם</w:t>
      </w:r>
      <w:r w:rsidRPr="001077D9">
        <w:t xml:space="preserve">). Dans ce dernier cas, il est fermé de tous côtés : de là son nom. Les rabbins lui trouvaient pour cela un sens allégorique, comme à la fontaine scellée de Salomon. Pour les citations sur cette matière, voyez Drach, </w:t>
      </w:r>
      <w:r w:rsidRPr="0044481F">
        <w:rPr>
          <w:rStyle w:val="italicus"/>
        </w:rPr>
        <w:t>Harmonie,</w:t>
      </w:r>
      <w:r w:rsidRPr="001077D9">
        <w:t xml:space="preserve"> t. II, p. 55 et suiv. </w:t>
      </w:r>
    </w:p>
  </w:footnote>
  <w:footnote w:id="155">
    <w:p w:rsidR="007F47B8" w:rsidRPr="0042259C" w:rsidRDefault="007F47B8" w:rsidP="00C31960">
      <w:pPr>
        <w:pStyle w:val="Notedebasdepage"/>
        <w:rPr>
          <w:i/>
        </w:rPr>
      </w:pPr>
      <w:r>
        <w:rPr>
          <w:rStyle w:val="Appelnotedebasdep"/>
        </w:rPr>
        <w:footnoteRef/>
      </w:r>
      <w:r>
        <w:t xml:space="preserve"> </w:t>
      </w:r>
      <w:r w:rsidRPr="001077D9">
        <w:t xml:space="preserve">$ </w:t>
      </w:r>
      <w:r w:rsidRPr="0044481F">
        <w:rPr>
          <w:rStyle w:val="italicus"/>
        </w:rPr>
        <w:t xml:space="preserve">Loc. cit., p. 56. </w:t>
      </w:r>
    </w:p>
  </w:footnote>
  <w:footnote w:id="156">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 xml:space="preserve">Chacun sait que les Septante eux-mêmes étaient Juifs. </w:t>
      </w:r>
    </w:p>
  </w:footnote>
  <w:footnote w:id="157">
    <w:p w:rsidR="007F47B8" w:rsidRPr="001077D9" w:rsidRDefault="007F47B8" w:rsidP="00C31960">
      <w:pPr>
        <w:pStyle w:val="Notedebasdepage"/>
      </w:pPr>
      <w:r>
        <w:rPr>
          <w:rStyle w:val="Appelnotedebasdep"/>
        </w:rPr>
        <w:footnoteRef/>
      </w:r>
      <w:r>
        <w:t xml:space="preserve"> </w:t>
      </w:r>
      <w:r w:rsidRPr="001077D9">
        <w:t xml:space="preserve">$ Au second siècle après Jésus-Christ. </w:t>
      </w:r>
    </w:p>
  </w:footnote>
  <w:footnote w:id="158">
    <w:p w:rsidR="007F47B8" w:rsidRPr="001077D9" w:rsidRDefault="007F47B8" w:rsidP="00C31960">
      <w:pPr>
        <w:pStyle w:val="Notedebasdepage"/>
      </w:pPr>
      <w:r>
        <w:rPr>
          <w:rStyle w:val="Appelnotedebasdep"/>
        </w:rPr>
        <w:footnoteRef/>
      </w:r>
      <w:r>
        <w:t xml:space="preserve"> </w:t>
      </w:r>
      <w:r w:rsidRPr="001077D9">
        <w:t xml:space="preserve">$ Entre autres S. Justin, S. Irénée, S. Chrysostome. </w:t>
      </w:r>
    </w:p>
  </w:footnote>
  <w:footnote w:id="159">
    <w:p w:rsidR="007F47B8" w:rsidRPr="001077D9" w:rsidRDefault="007F47B8" w:rsidP="00C31960">
      <w:pPr>
        <w:pStyle w:val="Notedebasdepage"/>
      </w:pPr>
      <w:r>
        <w:rPr>
          <w:rStyle w:val="Appelnotedebasdep"/>
        </w:rPr>
        <w:footnoteRef/>
      </w:r>
      <w:r>
        <w:t xml:space="preserve"> </w:t>
      </w:r>
      <w:r w:rsidRPr="001077D9">
        <w:t>$ Voyez Hengstenberg,</w:t>
      </w:r>
      <w:r w:rsidRPr="0044481F">
        <w:rPr>
          <w:rStyle w:val="italicus"/>
        </w:rPr>
        <w:t xml:space="preserve"> Christologie des A. Testam.,</w:t>
      </w:r>
      <w:r w:rsidRPr="001077D9">
        <w:t xml:space="preserve"> t. II, p. 71. </w:t>
      </w:r>
    </w:p>
  </w:footnote>
  <w:footnote w:id="160">
    <w:p w:rsidR="007F47B8" w:rsidRPr="001077D9" w:rsidRDefault="007F47B8" w:rsidP="00C31960">
      <w:pPr>
        <w:pStyle w:val="Notedebasdepage"/>
      </w:pPr>
      <w:r>
        <w:rPr>
          <w:rStyle w:val="Appelnotedebasdep"/>
        </w:rPr>
        <w:footnoteRef/>
      </w:r>
      <w:r w:rsidRPr="007F47B8">
        <w:t xml:space="preserve"> </w:t>
      </w:r>
      <w:r w:rsidRPr="001077D9">
        <w:t xml:space="preserve">$ </w:t>
      </w:r>
      <w:r w:rsidRPr="007F47B8">
        <w:rPr>
          <w:rStyle w:val="italicus"/>
        </w:rPr>
        <w:t>Homíliæ</w:t>
      </w:r>
      <w:r w:rsidRPr="001077D9">
        <w:t xml:space="preserve"> in Matth. V, 2. </w:t>
      </w:r>
    </w:p>
  </w:footnote>
  <w:footnote w:id="161">
    <w:p w:rsidR="007F47B8" w:rsidRPr="001077D9" w:rsidRDefault="007F47B8" w:rsidP="00C31960">
      <w:pPr>
        <w:pStyle w:val="Notedebasdepage"/>
      </w:pPr>
      <w:r>
        <w:rPr>
          <w:rStyle w:val="Appelnotedebasdep"/>
        </w:rPr>
        <w:footnoteRef/>
      </w:r>
      <w:r w:rsidRPr="007F47B8">
        <w:t xml:space="preserve"> </w:t>
      </w:r>
      <w:r w:rsidRPr="001077D9">
        <w:t xml:space="preserve">$ </w:t>
      </w:r>
      <w:r w:rsidRPr="007F47B8">
        <w:rPr>
          <w:rStyle w:val="italicus"/>
        </w:rPr>
        <w:t>Speakers Bible,</w:t>
      </w:r>
      <w:r w:rsidRPr="001077D9">
        <w:t xml:space="preserve"> Comment. sur S. Matthieu, p. 7. La célèbre version syrienne connue sous le nom de</w:t>
      </w:r>
      <w:r w:rsidRPr="0044481F">
        <w:rPr>
          <w:rStyle w:val="italicus"/>
        </w:rPr>
        <w:t xml:space="preserve"> Peschito</w:t>
      </w:r>
      <w:r w:rsidRPr="001077D9">
        <w:t xml:space="preserve"> traduit</w:t>
      </w:r>
      <w:r w:rsidRPr="0044481F">
        <w:rPr>
          <w:rStyle w:val="italicus"/>
        </w:rPr>
        <w:t xml:space="preserve"> </w:t>
      </w:r>
      <w:r w:rsidRPr="00D05EA9">
        <w:rPr>
          <w:rStyle w:val="italicus"/>
        </w:rPr>
        <w:t>῾almah</w:t>
      </w:r>
      <w:r w:rsidRPr="001077D9">
        <w:t xml:space="preserve"> par </w:t>
      </w:r>
      <w:r w:rsidRPr="00773EAD">
        <w:rPr>
          <w:rtl/>
          <w:lang w:bidi="he-IL"/>
        </w:rPr>
        <w:t>בתולתא</w:t>
      </w:r>
      <w:r w:rsidRPr="001077D9">
        <w:t xml:space="preserve"> </w:t>
      </w:r>
      <w:r w:rsidRPr="00FF57A9">
        <w:t>(</w:t>
      </w:r>
      <w:r w:rsidRPr="0044481F">
        <w:rPr>
          <w:rStyle w:val="italicus"/>
        </w:rPr>
        <w:t>bethoul</w:t>
      </w:r>
      <w:r>
        <w:rPr>
          <w:rStyle w:val="italicus"/>
        </w:rPr>
        <w:t>ᵉ</w:t>
      </w:r>
      <w:r w:rsidRPr="0044481F">
        <w:rPr>
          <w:rStyle w:val="italicus"/>
        </w:rPr>
        <w:t>thô</w:t>
      </w:r>
      <w:r w:rsidRPr="00BA383E">
        <w:t xml:space="preserve">), </w:t>
      </w:r>
      <w:r w:rsidRPr="001077D9">
        <w:t xml:space="preserve">mot qui désigne certainement une vierge. Notons que S. Matthieu a suivi, dans sa citation, la version des Septante. </w:t>
      </w:r>
    </w:p>
  </w:footnote>
  <w:footnote w:id="162">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Les trois grands Prophètes,</w:t>
      </w:r>
      <w:r w:rsidRPr="001077D9">
        <w:t xml:space="preserve"> p. 72. Comparez cette parole de Bossuet</w:t>
      </w:r>
      <w:bookmarkStart w:id="188" w:name="z_Bossuet_o3"/>
      <w:bookmarkEnd w:id="188"/>
      <w:r w:rsidRPr="001077D9">
        <w:t xml:space="preserve">, </w:t>
      </w:r>
      <w:r w:rsidRPr="0044481F">
        <w:rPr>
          <w:rStyle w:val="italicus"/>
        </w:rPr>
        <w:t>loc. cit.,</w:t>
      </w:r>
      <w:r w:rsidRPr="001077D9">
        <w:t xml:space="preserve"> p. 26 : « Le mot</w:t>
      </w:r>
      <w:r w:rsidRPr="0044481F">
        <w:rPr>
          <w:rStyle w:val="italicus"/>
        </w:rPr>
        <w:t xml:space="preserve"> </w:t>
      </w:r>
      <w:r w:rsidRPr="00D05EA9">
        <w:rPr>
          <w:rStyle w:val="italicus"/>
        </w:rPr>
        <w:t>῾almah</w:t>
      </w:r>
      <w:r w:rsidRPr="001077D9">
        <w:t xml:space="preserve"> ne se trouve jamais joint avec les termes de concevoir ou d’enfanter qu’en ce seul endroit (de l’Écriture</w:t>
      </w:r>
      <w:r w:rsidRPr="00BA383E">
        <w:t>) ;</w:t>
      </w:r>
      <w:r w:rsidRPr="001077D9">
        <w:t xml:space="preserve"> par conséquent, ces deux mots de</w:t>
      </w:r>
      <w:r w:rsidRPr="0044481F">
        <w:rPr>
          <w:rStyle w:val="italicus"/>
        </w:rPr>
        <w:t xml:space="preserve"> vierge</w:t>
      </w:r>
      <w:r w:rsidRPr="001077D9">
        <w:t xml:space="preserve"> et</w:t>
      </w:r>
      <w:r w:rsidRPr="0044481F">
        <w:rPr>
          <w:rStyle w:val="italicus"/>
        </w:rPr>
        <w:t xml:space="preserve"> d’enfantement</w:t>
      </w:r>
      <w:r w:rsidRPr="001077D9">
        <w:t xml:space="preserve"> sont mis là pour signifier un fait unique, et qui n’a point d’autre exemple que celui que nous propose la foi chrétienne ». </w:t>
      </w:r>
    </w:p>
  </w:footnote>
  <w:footnote w:id="163">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Les Prophètes,</w:t>
      </w:r>
      <w:r w:rsidRPr="001077D9">
        <w:t xml:space="preserve"> t. I, p. 234. </w:t>
      </w:r>
    </w:p>
  </w:footnote>
  <w:footnote w:id="164">
    <w:p w:rsidR="007F47B8" w:rsidRPr="001077D9" w:rsidRDefault="007F47B8" w:rsidP="00C31960">
      <w:pPr>
        <w:pStyle w:val="Notedebasdepage"/>
      </w:pPr>
      <w:r>
        <w:rPr>
          <w:rStyle w:val="Appelnotedebasdep"/>
        </w:rPr>
        <w:footnoteRef/>
      </w:r>
      <w:r>
        <w:t xml:space="preserve"> </w:t>
      </w:r>
      <w:r w:rsidRPr="001077D9">
        <w:t>$ Cité par Drach,</w:t>
      </w:r>
      <w:r w:rsidRPr="0044481F">
        <w:rPr>
          <w:rStyle w:val="italicus"/>
        </w:rPr>
        <w:t xml:space="preserve"> Harmonie,</w:t>
      </w:r>
      <w:r w:rsidRPr="001077D9">
        <w:t xml:space="preserve"> t. II, p. 43. </w:t>
      </w:r>
    </w:p>
  </w:footnote>
  <w:footnote w:id="165">
    <w:p w:rsidR="007F47B8" w:rsidRPr="001077D9" w:rsidRDefault="007F47B8" w:rsidP="00C31960">
      <w:pPr>
        <w:pStyle w:val="Notedebasdepage"/>
      </w:pPr>
      <w:r>
        <w:rPr>
          <w:rStyle w:val="Appelnotedebasdep"/>
        </w:rPr>
        <w:footnoteRef/>
      </w:r>
      <w:r>
        <w:t xml:space="preserve"> </w:t>
      </w:r>
      <w:r w:rsidRPr="001077D9">
        <w:t>$ Drach,</w:t>
      </w:r>
      <w:r w:rsidRPr="0044481F">
        <w:rPr>
          <w:rStyle w:val="italicus"/>
        </w:rPr>
        <w:t xml:space="preserve"> ibid.,</w:t>
      </w:r>
      <w:r w:rsidRPr="001077D9">
        <w:t xml:space="preserve"> p. 45. Voyez S. Jérôme,</w:t>
      </w:r>
      <w:r w:rsidRPr="0044481F">
        <w:rPr>
          <w:rStyle w:val="italicus"/>
        </w:rPr>
        <w:t xml:space="preserve"> </w:t>
      </w:r>
      <w:r>
        <w:rPr>
          <w:rStyle w:val="italicus"/>
        </w:rPr>
        <w:t>Comment.</w:t>
      </w:r>
      <w:r w:rsidRPr="001077D9">
        <w:t xml:space="preserve"> in h. l., et S. Augustin,</w:t>
      </w:r>
      <w:r w:rsidRPr="0044481F">
        <w:rPr>
          <w:rStyle w:val="italicus"/>
        </w:rPr>
        <w:t xml:space="preserve"> Sermo IX de témpore.</w:t>
      </w:r>
      <w:r w:rsidRPr="001077D9">
        <w:t xml:space="preserve"> </w:t>
      </w:r>
    </w:p>
  </w:footnote>
  <w:footnote w:id="166">
    <w:p w:rsidR="007F47B8" w:rsidRPr="001077D9" w:rsidRDefault="007F47B8" w:rsidP="00C31960">
      <w:pPr>
        <w:pStyle w:val="Notedebasdepage"/>
      </w:pPr>
      <w:r>
        <w:rPr>
          <w:rStyle w:val="Appelnotedebasdep"/>
        </w:rPr>
        <w:footnoteRef/>
      </w:r>
      <w:r>
        <w:t xml:space="preserve"> </w:t>
      </w:r>
      <w:r w:rsidRPr="001077D9">
        <w:t>$ Évidemment, le lecteur ne s’attend pas à ce que nous discutions à fond ce passage de Jérémie, de même que celui de Michée auquel nous allons arriver. Cela nous entraînerait hors de notre sujet. Voyez le</w:t>
      </w:r>
      <w:r w:rsidRPr="0044481F">
        <w:rPr>
          <w:rStyle w:val="italicus"/>
        </w:rPr>
        <w:t xml:space="preserve"> Commentaire</w:t>
      </w:r>
      <w:r w:rsidRPr="001077D9">
        <w:t xml:space="preserve"> de M. Trochon sur Jérémie, Paris, 1878, p. 204 et suiv., Cornélius a Lap. in h. l., etc.</w:t>
      </w:r>
    </w:p>
  </w:footnote>
  <w:footnote w:id="167">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Mich.</w:t>
      </w:r>
      <w:r w:rsidRPr="001077D9">
        <w:t xml:space="preserve"> V, 2 et 3. </w:t>
      </w:r>
    </w:p>
  </w:footnote>
  <w:footnote w:id="168">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Matth. II,</w:t>
      </w:r>
      <w:r w:rsidRPr="001077D9">
        <w:t xml:space="preserve"> 1-6. Voyez notre commentaire. </w:t>
      </w:r>
    </w:p>
  </w:footnote>
  <w:footnote w:id="169">
    <w:p w:rsidR="007F47B8" w:rsidRPr="007F47B8" w:rsidRDefault="007F47B8" w:rsidP="00C31960">
      <w:pPr>
        <w:pStyle w:val="Notedebasdepage"/>
        <w:rPr>
          <w:lang w:val="en-US"/>
        </w:rPr>
      </w:pPr>
      <w:r>
        <w:rPr>
          <w:rStyle w:val="Appelnotedebasdep"/>
        </w:rPr>
        <w:footnoteRef/>
      </w:r>
      <w:r>
        <w:t xml:space="preserve"> </w:t>
      </w:r>
      <w:r w:rsidRPr="001077D9">
        <w:t>$ S. Cyrille d’Alexandrie,</w:t>
      </w:r>
      <w:r w:rsidRPr="0044481F">
        <w:rPr>
          <w:rStyle w:val="italicus"/>
        </w:rPr>
        <w:t xml:space="preserve"> </w:t>
      </w:r>
      <w:r>
        <w:rPr>
          <w:rStyle w:val="italicus"/>
        </w:rPr>
        <w:t>Comment.</w:t>
      </w:r>
      <w:r w:rsidRPr="001077D9">
        <w:t xml:space="preserve"> in Mich. </w:t>
      </w:r>
      <w:r w:rsidRPr="007F47B8">
        <w:rPr>
          <w:lang w:val="en-US"/>
        </w:rPr>
        <w:t xml:space="preserve">V, 2. </w:t>
      </w:r>
    </w:p>
  </w:footnote>
  <w:footnote w:id="170">
    <w:p w:rsidR="007F47B8" w:rsidRPr="001077D9" w:rsidRDefault="007F47B8" w:rsidP="00C31960">
      <w:pPr>
        <w:pStyle w:val="Notedebasdepage"/>
      </w:pPr>
      <w:r>
        <w:rPr>
          <w:rStyle w:val="Appelnotedebasdep"/>
        </w:rPr>
        <w:footnoteRef/>
      </w:r>
      <w:r w:rsidRPr="0042259C">
        <w:rPr>
          <w:lang w:val="en-US"/>
        </w:rPr>
        <w:t xml:space="preserve"> </w:t>
      </w:r>
      <w:r w:rsidRPr="007F47B8">
        <w:rPr>
          <w:lang w:val="en-US"/>
        </w:rPr>
        <w:t>$ Vitringa,</w:t>
      </w:r>
      <w:r w:rsidRPr="00F84A0B">
        <w:rPr>
          <w:rStyle w:val="italicus"/>
          <w:lang w:val="en-US"/>
        </w:rPr>
        <w:t xml:space="preserve"> Comment.</w:t>
      </w:r>
      <w:r w:rsidRPr="007F47B8">
        <w:rPr>
          <w:lang w:val="en-US"/>
        </w:rPr>
        <w:t xml:space="preserve"> in Is. VII, 14, p. 186. </w:t>
      </w:r>
      <w:r w:rsidRPr="001077D9">
        <w:t>Cf. Hengstenberg,</w:t>
      </w:r>
      <w:r w:rsidRPr="0044481F">
        <w:rPr>
          <w:rStyle w:val="italicus"/>
        </w:rPr>
        <w:t xml:space="preserve"> Christologie des A. Testamentes,</w:t>
      </w:r>
      <w:r w:rsidRPr="001077D9">
        <w:t xml:space="preserve"> 1e partie, 2e section, p. 75. </w:t>
      </w:r>
    </w:p>
  </w:footnote>
  <w:footnote w:id="171">
    <w:p w:rsidR="007F47B8" w:rsidRPr="001077D9" w:rsidRDefault="007F47B8" w:rsidP="00C31960">
      <w:pPr>
        <w:pStyle w:val="Notedebasdepage"/>
      </w:pPr>
      <w:r>
        <w:rPr>
          <w:rStyle w:val="Appelnotedebasdep"/>
        </w:rPr>
        <w:footnoteRef/>
      </w:r>
      <w:r>
        <w:t xml:space="preserve"> </w:t>
      </w:r>
      <w:r w:rsidRPr="001077D9">
        <w:t>$ Citée par Drach,</w:t>
      </w:r>
      <w:r w:rsidRPr="0044481F">
        <w:rPr>
          <w:rStyle w:val="italicus"/>
        </w:rPr>
        <w:t xml:space="preserve"> Harmonie,</w:t>
      </w:r>
      <w:r w:rsidRPr="001077D9">
        <w:t xml:space="preserve"> t. II, p. 136. </w:t>
      </w:r>
    </w:p>
  </w:footnote>
  <w:footnote w:id="172">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Contr. Jovin.,</w:t>
      </w:r>
      <w:r w:rsidRPr="001077D9">
        <w:t xml:space="preserve"> lib. I. Curieux rapprochement ! Luther</w:t>
      </w:r>
      <w:bookmarkStart w:id="201" w:name="z_Luther_o1"/>
      <w:bookmarkEnd w:id="201"/>
      <w:r w:rsidRPr="001077D9">
        <w:t xml:space="preserve"> aussi tient un langage analogue : « Si un juif ou un hébraïsant peut me démontrer qu’</w:t>
      </w:r>
      <w:r w:rsidRPr="00D05EA9">
        <w:rPr>
          <w:rStyle w:val="italicus"/>
        </w:rPr>
        <w:t>῾almah</w:t>
      </w:r>
      <w:r w:rsidRPr="001077D9">
        <w:t xml:space="preserve"> désigne dans l’Écriture une femme mariée, il recevra de moi cent florins : Dieu me donne de les trouver ! »</w:t>
      </w:r>
      <w:r w:rsidRPr="0044481F">
        <w:rPr>
          <w:rStyle w:val="italicus"/>
        </w:rPr>
        <w:t xml:space="preserve"> Œuvres,</w:t>
      </w:r>
      <w:r w:rsidRPr="001077D9">
        <w:t xml:space="preserve"> éd. d’Iéna, t. VIII, p. 129. </w:t>
      </w:r>
    </w:p>
  </w:footnote>
  <w:footnote w:id="173">
    <w:p w:rsidR="007F47B8" w:rsidRPr="001077D9" w:rsidRDefault="007F47B8" w:rsidP="00C31960">
      <w:pPr>
        <w:pStyle w:val="Notedebasdepage"/>
      </w:pPr>
      <w:r>
        <w:rPr>
          <w:rStyle w:val="Appelnotedebasdep"/>
        </w:rPr>
        <w:footnoteRef/>
      </w:r>
      <w:r>
        <w:t xml:space="preserve"> </w:t>
      </w:r>
      <w:r w:rsidRPr="001077D9">
        <w:t>$ Voyez entre autres :</w:t>
      </w:r>
      <w:r w:rsidRPr="0044481F">
        <w:rPr>
          <w:rStyle w:val="italicus"/>
        </w:rPr>
        <w:t xml:space="preserve"> La Bible annotée,</w:t>
      </w:r>
      <w:r w:rsidRPr="001077D9">
        <w:t xml:space="preserve"> t. I, p. 73 ; W. Schultz,</w:t>
      </w:r>
      <w:r w:rsidRPr="0044481F">
        <w:rPr>
          <w:rStyle w:val="italicus"/>
        </w:rPr>
        <w:t xml:space="preserve"> Ueber Immanuel,</w:t>
      </w:r>
      <w:r w:rsidRPr="001077D9">
        <w:t xml:space="preserve"> p. 718 ; Nægelsbach,</w:t>
      </w:r>
      <w:r w:rsidRPr="0044481F">
        <w:rPr>
          <w:rStyle w:val="italicus"/>
        </w:rPr>
        <w:t xml:space="preserve"> Der Prophet Jesaja,</w:t>
      </w:r>
      <w:r w:rsidRPr="001077D9">
        <w:t xml:space="preserve"> p. 10 ; Küper,</w:t>
      </w:r>
      <w:r w:rsidRPr="0044481F">
        <w:rPr>
          <w:rStyle w:val="italicus"/>
        </w:rPr>
        <w:t xml:space="preserve"> Das Prophetenthum des A. Bundes,</w:t>
      </w:r>
      <w:r w:rsidRPr="001077D9">
        <w:t xml:space="preserve"> p. 216, et même Hermann Schultz,</w:t>
      </w:r>
      <w:r w:rsidRPr="0044481F">
        <w:rPr>
          <w:rStyle w:val="italicus"/>
        </w:rPr>
        <w:t xml:space="preserve"> Alttestamentliche Theologie,</w:t>
      </w:r>
      <w:r w:rsidRPr="001077D9">
        <w:t xml:space="preserve"> p. 732. </w:t>
      </w:r>
    </w:p>
  </w:footnote>
  <w:footnote w:id="174">
    <w:p w:rsidR="007F47B8" w:rsidRPr="007F47B8" w:rsidRDefault="007F47B8" w:rsidP="00C31960">
      <w:pPr>
        <w:pStyle w:val="Notedebasdepage"/>
        <w:rPr>
          <w:lang w:val="en-US"/>
        </w:rPr>
      </w:pPr>
      <w:r>
        <w:rPr>
          <w:rStyle w:val="Appelnotedebasdep"/>
        </w:rPr>
        <w:footnoteRef/>
      </w:r>
      <w:r w:rsidRPr="0042259C">
        <w:rPr>
          <w:lang w:val="en-US"/>
        </w:rPr>
        <w:t xml:space="preserve"> </w:t>
      </w:r>
      <w:r w:rsidRPr="007F47B8">
        <w:rPr>
          <w:lang w:val="en-US"/>
        </w:rPr>
        <w:t xml:space="preserve">$ </w:t>
      </w:r>
      <w:r w:rsidRPr="00F84A0B">
        <w:rPr>
          <w:rStyle w:val="italicus"/>
          <w:lang w:val="en-US"/>
        </w:rPr>
        <w:t>Schólia</w:t>
      </w:r>
      <w:r w:rsidRPr="007F47B8">
        <w:rPr>
          <w:lang w:val="en-US"/>
        </w:rPr>
        <w:t xml:space="preserve"> in Is. VII, 14. </w:t>
      </w:r>
    </w:p>
  </w:footnote>
  <w:footnote w:id="175">
    <w:p w:rsidR="007F47B8" w:rsidRPr="007F47B8" w:rsidRDefault="007F47B8" w:rsidP="00C31960">
      <w:pPr>
        <w:pStyle w:val="Notedebasdepage"/>
        <w:rPr>
          <w:lang w:val="en-US"/>
        </w:rPr>
      </w:pPr>
      <w:r>
        <w:rPr>
          <w:rStyle w:val="Appelnotedebasdep"/>
        </w:rPr>
        <w:footnoteRef/>
      </w:r>
      <w:r w:rsidRPr="0042259C">
        <w:rPr>
          <w:lang w:val="en-US"/>
        </w:rPr>
        <w:t xml:space="preserve"> </w:t>
      </w:r>
      <w:r w:rsidRPr="007F47B8">
        <w:rPr>
          <w:lang w:val="en-US"/>
        </w:rPr>
        <w:t xml:space="preserve">$ Verset 16. </w:t>
      </w:r>
    </w:p>
  </w:footnote>
  <w:footnote w:id="176">
    <w:p w:rsidR="007F47B8" w:rsidRPr="001077D9" w:rsidRDefault="007F47B8" w:rsidP="00C31960">
      <w:pPr>
        <w:pStyle w:val="Notedebasdepage"/>
      </w:pPr>
      <w:r>
        <w:rPr>
          <w:rStyle w:val="Appelnotedebasdep"/>
        </w:rPr>
        <w:footnoteRef/>
      </w:r>
      <w:r>
        <w:t xml:space="preserve"> </w:t>
      </w:r>
      <w:r w:rsidRPr="001077D9">
        <w:t>$ C’est le cas de rappeler les vers d’Horace,</w:t>
      </w:r>
      <w:r>
        <w:rPr>
          <w:rStyle w:val="italicus"/>
        </w:rPr>
        <w:t xml:space="preserve"> Carm. sæ</w:t>
      </w:r>
      <w:r w:rsidRPr="0044481F">
        <w:rPr>
          <w:rStyle w:val="italicus"/>
        </w:rPr>
        <w:t>cul. :</w:t>
      </w:r>
      <w:r w:rsidRPr="001077D9">
        <w:t xml:space="preserve"> </w:t>
      </w:r>
    </w:p>
    <w:p w:rsidR="007F47B8" w:rsidRDefault="007F47B8" w:rsidP="00C31960">
      <w:pPr>
        <w:pStyle w:val="Notedebasdepage"/>
      </w:pPr>
      <w:r>
        <w:t xml:space="preserve">Quo sibyllíni monuére versus </w:t>
      </w:r>
    </w:p>
    <w:p w:rsidR="007F47B8" w:rsidRDefault="007F47B8" w:rsidP="00C31960">
      <w:pPr>
        <w:pStyle w:val="Notedebasdepage"/>
        <w:rPr>
          <w:rStyle w:val="italicus"/>
        </w:rPr>
      </w:pPr>
      <w:r w:rsidRPr="0044481F">
        <w:rPr>
          <w:rStyle w:val="italicus"/>
        </w:rPr>
        <w:t xml:space="preserve">Vírgines lectas puerósque castos </w:t>
      </w:r>
    </w:p>
    <w:p w:rsidR="007F47B8" w:rsidRDefault="007F47B8" w:rsidP="00C31960">
      <w:pPr>
        <w:pStyle w:val="Notedebasdepage"/>
      </w:pPr>
      <w:r>
        <w:t xml:space="preserve">Dis, quibus septem placuére colles, </w:t>
      </w:r>
    </w:p>
    <w:p w:rsidR="007F47B8" w:rsidRDefault="007F47B8" w:rsidP="00C31960">
      <w:pPr>
        <w:pStyle w:val="Notedebasdepage"/>
      </w:pPr>
      <w:r>
        <w:t xml:space="preserve">Dícere carmen. </w:t>
      </w:r>
    </w:p>
  </w:footnote>
  <w:footnote w:id="177">
    <w:p w:rsidR="007F47B8" w:rsidRPr="001077D9" w:rsidRDefault="007F47B8" w:rsidP="00C31960">
      <w:pPr>
        <w:pStyle w:val="Notedebasdepage"/>
      </w:pPr>
      <w:r>
        <w:rPr>
          <w:rStyle w:val="Appelnotedebasdep"/>
        </w:rPr>
        <w:footnoteRef/>
      </w:r>
      <w:r>
        <w:t xml:space="preserve"> </w:t>
      </w:r>
      <w:r w:rsidRPr="001077D9">
        <w:t>$ Drach,</w:t>
      </w:r>
      <w:r w:rsidRPr="0044481F">
        <w:rPr>
          <w:rStyle w:val="italicus"/>
        </w:rPr>
        <w:t xml:space="preserve"> ubi supra, </w:t>
      </w:r>
      <w:r w:rsidRPr="001077D9">
        <w:t xml:space="preserve">p. 138. </w:t>
      </w:r>
    </w:p>
  </w:footnote>
  <w:footnote w:id="178">
    <w:p w:rsidR="007F47B8" w:rsidRPr="001077D9" w:rsidRDefault="007F47B8" w:rsidP="00C31960">
      <w:pPr>
        <w:pStyle w:val="Notedebasdepage"/>
      </w:pPr>
      <w:r>
        <w:rPr>
          <w:rStyle w:val="Appelnotedebasdep"/>
        </w:rPr>
        <w:footnoteRef/>
      </w:r>
      <w:r>
        <w:t xml:space="preserve"> </w:t>
      </w:r>
      <w:r w:rsidRPr="001077D9">
        <w:t>$ Dans la Vulgate, inexactement :</w:t>
      </w:r>
      <w:r w:rsidRPr="0044481F">
        <w:rPr>
          <w:rStyle w:val="italicus"/>
        </w:rPr>
        <w:t xml:space="preserve"> et viam viri</w:t>
      </w:r>
      <w:r>
        <w:rPr>
          <w:rStyle w:val="italicus"/>
        </w:rPr>
        <w:t xml:space="preserve"> </w:t>
      </w:r>
      <w:r w:rsidRPr="0044481F">
        <w:rPr>
          <w:rStyle w:val="italicus"/>
        </w:rPr>
        <w:t>in adolescéntia.</w:t>
      </w:r>
      <w:r w:rsidRPr="001077D9">
        <w:t xml:space="preserve"> </w:t>
      </w:r>
    </w:p>
  </w:footnote>
  <w:footnote w:id="179">
    <w:p w:rsidR="007F47B8" w:rsidRDefault="007F47B8" w:rsidP="00C31960">
      <w:pPr>
        <w:pStyle w:val="Notedebasdepage"/>
      </w:pPr>
      <w:r>
        <w:rPr>
          <w:rStyle w:val="Appelnotedebasdep"/>
        </w:rPr>
        <w:footnoteRef/>
      </w:r>
      <w:r>
        <w:t xml:space="preserve"> </w:t>
      </w:r>
      <w:r w:rsidRPr="001077D9">
        <w:t xml:space="preserve">$ Ainsi nous écrivait naguère un des plus célèbres rabbins d’Allemagne : « Tous les exégètes juifs contemporains et moi, nous traduisons </w:t>
      </w:r>
      <w:r w:rsidRPr="00BA51DB">
        <w:rPr>
          <w:rtl/>
          <w:lang w:bidi="he-IL"/>
        </w:rPr>
        <w:t>העלמה</w:t>
      </w:r>
      <w:r w:rsidRPr="001077D9">
        <w:t xml:space="preserve"> dans Isaïe VII, 14, par la</w:t>
      </w:r>
      <w:r w:rsidRPr="0044481F">
        <w:rPr>
          <w:rStyle w:val="italicus"/>
        </w:rPr>
        <w:t xml:space="preserve"> jeune femme,</w:t>
      </w:r>
      <w:r w:rsidRPr="001077D9">
        <w:t xml:space="preserve"> nous appuyant sur Prov. XXX, 19, etc. ». Comp. Reuss,</w:t>
      </w:r>
      <w:r w:rsidRPr="0044481F">
        <w:rPr>
          <w:rStyle w:val="italicus"/>
        </w:rPr>
        <w:t xml:space="preserve"> Les Prophètes,</w:t>
      </w:r>
      <w:r w:rsidRPr="001077D9">
        <w:t xml:space="preserve"> t. I, p. 234 : « En face de passages comme Cant. VI, 8, et surtout Prov. XXX, 19 et suiv., il est impossible de traduire</w:t>
      </w:r>
      <w:r w:rsidRPr="0044481F">
        <w:rPr>
          <w:rStyle w:val="italicus"/>
        </w:rPr>
        <w:t xml:space="preserve"> </w:t>
      </w:r>
      <w:r w:rsidRPr="00D05EA9">
        <w:rPr>
          <w:rStyle w:val="italicus"/>
        </w:rPr>
        <w:t>῾almah</w:t>
      </w:r>
      <w:r w:rsidRPr="001077D9">
        <w:t xml:space="preserve"> par</w:t>
      </w:r>
      <w:r w:rsidRPr="0044481F">
        <w:rPr>
          <w:rStyle w:val="italicus"/>
        </w:rPr>
        <w:t xml:space="preserve"> vierge</w:t>
      </w:r>
      <w:r w:rsidRPr="00636297">
        <w:t xml:space="preserve"> ». </w:t>
      </w:r>
    </w:p>
  </w:footnote>
  <w:footnote w:id="180">
    <w:p w:rsidR="007F47B8" w:rsidRPr="001077D9" w:rsidRDefault="007F47B8" w:rsidP="00C31960">
      <w:pPr>
        <w:pStyle w:val="Notedebasdepage"/>
      </w:pPr>
      <w:r>
        <w:rPr>
          <w:rStyle w:val="Appelnotedebasdep"/>
        </w:rPr>
        <w:footnoteRef/>
      </w:r>
      <w:r>
        <w:t xml:space="preserve"> </w:t>
      </w:r>
      <w:r w:rsidRPr="001077D9">
        <w:t xml:space="preserve">$ Entre autres le Dr Tholuck, MM. Reinke, Le Hir, Drach, Rohling, Hofmann, Bœhl, pour ne parler que d’auteurs contemporains. </w:t>
      </w:r>
    </w:p>
  </w:footnote>
  <w:footnote w:id="181">
    <w:p w:rsidR="007F47B8" w:rsidRDefault="007F47B8" w:rsidP="00C31960">
      <w:pPr>
        <w:pStyle w:val="Notedebasdepage"/>
      </w:pPr>
      <w:r>
        <w:rPr>
          <w:rStyle w:val="Appelnotedebasdep"/>
        </w:rPr>
        <w:footnoteRef/>
      </w:r>
      <w:r>
        <w:t xml:space="preserve"> </w:t>
      </w:r>
      <w:r w:rsidRPr="00636297">
        <w:t>$ Voyez Le Hir,</w:t>
      </w:r>
      <w:r w:rsidRPr="0044481F">
        <w:rPr>
          <w:rStyle w:val="italicus"/>
        </w:rPr>
        <w:t xml:space="preserve"> Études bibliques, </w:t>
      </w:r>
      <w:r w:rsidRPr="00636297">
        <w:t>t. I, p. 65 et 66 ; Reinke,</w:t>
      </w:r>
      <w:r w:rsidRPr="0044481F">
        <w:rPr>
          <w:rStyle w:val="italicus"/>
        </w:rPr>
        <w:t xml:space="preserve"> Die Weissagung von der Jungfrau, </w:t>
      </w:r>
      <w:r>
        <w:t>p. 126.</w:t>
      </w:r>
      <w:r w:rsidRPr="00636297">
        <w:t xml:space="preserve"> </w:t>
      </w:r>
    </w:p>
  </w:footnote>
  <w:footnote w:id="182">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Voyez Rohling,</w:t>
      </w:r>
      <w:r w:rsidRPr="0044481F">
        <w:rPr>
          <w:rStyle w:val="italicus"/>
        </w:rPr>
        <w:t xml:space="preserve"> Das Salomonische Spruchbuch</w:t>
      </w:r>
      <w:r w:rsidRPr="001077D9">
        <w:t>, Mayence, 1879, p. 353 et s. ; Lesêtre,</w:t>
      </w:r>
      <w:r w:rsidRPr="0044481F">
        <w:rPr>
          <w:rStyle w:val="italicus"/>
        </w:rPr>
        <w:t xml:space="preserve"> Le livre des Proverbes,</w:t>
      </w:r>
      <w:r w:rsidRPr="001077D9">
        <w:t xml:space="preserve"> Paris, 1879, p. 237 et suiv. </w:t>
      </w:r>
    </w:p>
  </w:footnote>
  <w:footnote w:id="183">
    <w:p w:rsidR="007F47B8" w:rsidRPr="0042259C" w:rsidRDefault="007F47B8" w:rsidP="00C31960">
      <w:pPr>
        <w:pStyle w:val="Notedebasdepage"/>
        <w:rPr>
          <w:lang w:val="en-US"/>
        </w:rPr>
      </w:pPr>
      <w:r>
        <w:rPr>
          <w:rStyle w:val="Appelnotedebasdep"/>
        </w:rPr>
        <w:footnoteRef/>
      </w:r>
      <w:r w:rsidRPr="0042259C">
        <w:rPr>
          <w:lang w:val="en-US"/>
        </w:rPr>
        <w:t xml:space="preserve"> </w:t>
      </w:r>
      <w:r w:rsidRPr="007F47B8">
        <w:rPr>
          <w:lang w:val="en-US"/>
        </w:rPr>
        <w:t xml:space="preserve">$ </w:t>
      </w:r>
      <w:r w:rsidRPr="00F84A0B">
        <w:rPr>
          <w:rStyle w:val="italicus"/>
          <w:lang w:val="en-US"/>
        </w:rPr>
        <w:t xml:space="preserve">Weissagung und Erfüllung, </w:t>
      </w:r>
      <w:r w:rsidRPr="00F84A0B">
        <w:rPr>
          <w:lang w:val="en-US"/>
        </w:rPr>
        <w:t xml:space="preserve">t. I, p. 224. </w:t>
      </w:r>
    </w:p>
  </w:footnote>
  <w:footnote w:id="184">
    <w:p w:rsidR="007F47B8" w:rsidRPr="001077D9" w:rsidRDefault="007F47B8" w:rsidP="00C31960">
      <w:pPr>
        <w:pStyle w:val="Notedebasdepage"/>
      </w:pPr>
      <w:r>
        <w:rPr>
          <w:rStyle w:val="Appelnotedebasdep"/>
        </w:rPr>
        <w:footnoteRef/>
      </w:r>
      <w:r>
        <w:t xml:space="preserve"> </w:t>
      </w:r>
      <w:r>
        <w:rPr>
          <w:rStyle w:val="italicus"/>
        </w:rPr>
        <w:t>$</w:t>
      </w:r>
      <w:r w:rsidRPr="001077D9">
        <w:t xml:space="preserve"> Tome II, p. 1037, Leipzig, 1840, 2e édit. </w:t>
      </w:r>
    </w:p>
  </w:footnote>
  <w:footnote w:id="185">
    <w:p w:rsidR="007F47B8" w:rsidRPr="001077D9" w:rsidRDefault="007F47B8" w:rsidP="00C31960">
      <w:pPr>
        <w:pStyle w:val="Notedebasdepage"/>
      </w:pPr>
      <w:r>
        <w:rPr>
          <w:rStyle w:val="Appelnotedebasdep"/>
        </w:rPr>
        <w:footnoteRef/>
      </w:r>
      <w:r>
        <w:t xml:space="preserve"> </w:t>
      </w:r>
      <w:r w:rsidRPr="001077D9">
        <w:t xml:space="preserve">$ Tome I, p. 297 et suiv. </w:t>
      </w:r>
    </w:p>
  </w:footnote>
  <w:footnote w:id="186">
    <w:p w:rsidR="007F47B8" w:rsidRPr="001077D9" w:rsidRDefault="007F47B8" w:rsidP="00C31960">
      <w:pPr>
        <w:pStyle w:val="Notedebasdepage"/>
      </w:pPr>
      <w:r>
        <w:rPr>
          <w:rStyle w:val="Appelnotedebasdep"/>
        </w:rPr>
        <w:footnoteRef/>
      </w:r>
      <w:r>
        <w:t xml:space="preserve"> </w:t>
      </w:r>
      <w:r w:rsidRPr="001077D9">
        <w:t>$ Par exemple, M. Cahen,</w:t>
      </w:r>
      <w:r w:rsidRPr="0044481F">
        <w:rPr>
          <w:rStyle w:val="italicus"/>
        </w:rPr>
        <w:t xml:space="preserve"> La Bible, traduction nouvelle,… avec des notes philologiques, géographiques et littéraires,</w:t>
      </w:r>
      <w:r w:rsidRPr="001077D9">
        <w:t xml:space="preserve"> t. IX, p. 27 : « </w:t>
      </w:r>
      <w:r>
        <w:rPr>
          <w:sz w:val="22"/>
          <w:rtl/>
          <w:lang w:bidi="he-IL"/>
        </w:rPr>
        <w:t>עלמה</w:t>
      </w:r>
      <w:r w:rsidRPr="001077D9">
        <w:t xml:space="preserve"> de </w:t>
      </w:r>
      <w:r>
        <w:rPr>
          <w:sz w:val="22"/>
          <w:rtl/>
          <w:lang w:bidi="he-IL"/>
        </w:rPr>
        <w:t>עלם</w:t>
      </w:r>
      <w:r w:rsidRPr="001077D9">
        <w:t xml:space="preserve"> être nubile ; de même en arabe, </w:t>
      </w:r>
      <w:r>
        <w:rPr>
          <w:sz w:val="22"/>
          <w:rtl/>
          <w:lang w:bidi="he-IL"/>
        </w:rPr>
        <w:t>עלם</w:t>
      </w:r>
      <w:r w:rsidRPr="001077D9">
        <w:t xml:space="preserve"> jeune homme à qui pousse la barbe et qui commence à se sentir attiré vers le sexe. Il ne peut être mention ici d’une</w:t>
      </w:r>
      <w:r w:rsidRPr="0044481F">
        <w:rPr>
          <w:rStyle w:val="italicus"/>
        </w:rPr>
        <w:t xml:space="preserve"> virgo illibáta. »</w:t>
      </w:r>
      <w:r w:rsidRPr="001077D9">
        <w:t xml:space="preserve"> </w:t>
      </w:r>
    </w:p>
  </w:footnote>
  <w:footnote w:id="187">
    <w:p w:rsidR="007F47B8" w:rsidRPr="0042259C" w:rsidRDefault="007F47B8" w:rsidP="00C31960">
      <w:pPr>
        <w:pStyle w:val="Notedebasdepage"/>
        <w:rPr>
          <w:lang w:val="en-US"/>
        </w:rPr>
      </w:pPr>
      <w:r>
        <w:rPr>
          <w:rStyle w:val="Appelnotedebasdep"/>
        </w:rPr>
        <w:footnoteRef/>
      </w:r>
      <w:r w:rsidRPr="00A52917">
        <w:rPr>
          <w:lang w:val="en-US"/>
        </w:rPr>
        <w:t xml:space="preserve"> </w:t>
      </w:r>
      <w:r w:rsidRPr="007F47B8">
        <w:rPr>
          <w:lang w:val="en-US"/>
        </w:rPr>
        <w:t xml:space="preserve">$ </w:t>
      </w:r>
      <w:r w:rsidRPr="00A52917">
        <w:rPr>
          <w:rStyle w:val="italicus"/>
          <w:lang w:val="en-US"/>
        </w:rPr>
        <w:t xml:space="preserve">Commentar üb. den Proph. </w:t>
      </w:r>
      <w:r w:rsidRPr="00F84A0B">
        <w:rPr>
          <w:rStyle w:val="italicus"/>
          <w:lang w:val="en-US"/>
        </w:rPr>
        <w:t xml:space="preserve">Jesaia, </w:t>
      </w:r>
      <w:r w:rsidRPr="00F84A0B">
        <w:rPr>
          <w:lang w:val="en-US"/>
        </w:rPr>
        <w:t xml:space="preserve">h. l. ; </w:t>
      </w:r>
      <w:r w:rsidRPr="00F84A0B">
        <w:rPr>
          <w:rStyle w:val="italicus"/>
          <w:lang w:val="en-US"/>
        </w:rPr>
        <w:t xml:space="preserve">Messianic Prophecies, </w:t>
      </w:r>
      <w:r w:rsidRPr="00F84A0B">
        <w:rPr>
          <w:lang w:val="en-US"/>
        </w:rPr>
        <w:t xml:space="preserve">p. 65. </w:t>
      </w:r>
    </w:p>
  </w:footnote>
  <w:footnote w:id="188">
    <w:p w:rsidR="007F47B8" w:rsidRPr="001077D9" w:rsidRDefault="007F47B8" w:rsidP="00C31960">
      <w:pPr>
        <w:pStyle w:val="Notedebasdepage"/>
      </w:pPr>
      <w:r>
        <w:rPr>
          <w:rStyle w:val="Appelnotedebasdep"/>
        </w:rPr>
        <w:footnoteRef/>
      </w:r>
      <w:r w:rsidRPr="007F47B8">
        <w:rPr>
          <w:lang w:val="en-US"/>
        </w:rPr>
        <w:t xml:space="preserve"> </w:t>
      </w:r>
      <w:r w:rsidRPr="007F47B8">
        <w:rPr>
          <w:rStyle w:val="italicus"/>
          <w:lang w:val="en-US"/>
        </w:rPr>
        <w:t xml:space="preserve">$ </w:t>
      </w:r>
      <w:r w:rsidRPr="007F47B8">
        <w:rPr>
          <w:lang w:val="en-US"/>
        </w:rPr>
        <w:t xml:space="preserve">« Eût-on </w:t>
      </w:r>
      <w:r w:rsidRPr="00636297">
        <w:rPr>
          <w:rtl/>
          <w:lang w:bidi="he-IL"/>
        </w:rPr>
        <w:t>בתולה</w:t>
      </w:r>
      <w:r w:rsidRPr="007F47B8">
        <w:rPr>
          <w:lang w:val="en-US"/>
        </w:rPr>
        <w:t xml:space="preserve"> (c’est-à-dire le mot qui désigne spécifiquement une vierge) cela ne ferait aucune différence », dit-il ailleurs.</w:t>
      </w:r>
      <w:r w:rsidRPr="007F47B8">
        <w:rPr>
          <w:rStyle w:val="italicus"/>
          <w:lang w:val="en-US"/>
        </w:rPr>
        <w:t xml:space="preserve"> </w:t>
      </w:r>
      <w:r w:rsidRPr="0044481F">
        <w:rPr>
          <w:rStyle w:val="italicus"/>
        </w:rPr>
        <w:t>Co</w:t>
      </w:r>
      <w:r>
        <w:rPr>
          <w:rStyle w:val="italicus"/>
        </w:rPr>
        <w:t>mm</w:t>
      </w:r>
      <w:r w:rsidRPr="0044481F">
        <w:rPr>
          <w:rStyle w:val="italicus"/>
        </w:rPr>
        <w:t>.,</w:t>
      </w:r>
      <w:r w:rsidRPr="001077D9">
        <w:t xml:space="preserve"> p. 301. </w:t>
      </w:r>
    </w:p>
  </w:footnote>
  <w:footnote w:id="189">
    <w:p w:rsidR="007F47B8" w:rsidRPr="001077D9" w:rsidRDefault="007F47B8" w:rsidP="00C31960">
      <w:pPr>
        <w:pStyle w:val="Notedebasdepage"/>
      </w:pPr>
      <w:r>
        <w:rPr>
          <w:rStyle w:val="Appelnotedebasdep"/>
        </w:rPr>
        <w:footnoteRef/>
      </w:r>
      <w:r>
        <w:t xml:space="preserve"> </w:t>
      </w:r>
      <w:r w:rsidRPr="001077D9">
        <w:t>$ Entre autres, M. Cahen,</w:t>
      </w:r>
      <w:r w:rsidRPr="0044481F">
        <w:rPr>
          <w:rStyle w:val="italicus"/>
        </w:rPr>
        <w:t xml:space="preserve"> loc. cit.</w:t>
      </w:r>
      <w:r w:rsidRPr="001077D9">
        <w:t xml:space="preserve"> </w:t>
      </w:r>
    </w:p>
  </w:footnote>
  <w:footnote w:id="190">
    <w:p w:rsidR="007F47B8" w:rsidRDefault="007F47B8" w:rsidP="00C31960">
      <w:pPr>
        <w:pStyle w:val="Notedebasdepage"/>
      </w:pPr>
      <w:r>
        <w:rPr>
          <w:rStyle w:val="Appelnotedebasdep"/>
        </w:rPr>
        <w:footnoteRef/>
      </w:r>
      <w:r>
        <w:t xml:space="preserve"> </w:t>
      </w:r>
      <w:r w:rsidRPr="001077D9">
        <w:t xml:space="preserve">$ </w:t>
      </w:r>
      <w:r w:rsidRPr="0044481F">
        <w:rPr>
          <w:rStyle w:val="italicus"/>
        </w:rPr>
        <w:t xml:space="preserve">Les trois grands Prophètes, </w:t>
      </w:r>
      <w:r w:rsidRPr="00636297">
        <w:t xml:space="preserve">p. 78 et 79. </w:t>
      </w:r>
    </w:p>
  </w:footnote>
  <w:footnote w:id="191">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Voyez le</w:t>
      </w:r>
      <w:r w:rsidRPr="0044481F">
        <w:rPr>
          <w:rStyle w:val="italicus"/>
        </w:rPr>
        <w:t xml:space="preserve"> Monde</w:t>
      </w:r>
      <w:r w:rsidRPr="001077D9">
        <w:t xml:space="preserve"> du 22 janvier 1882, et surtout l’opuscule récemment publié par M. Friedrich Delitzsch, savant assyriologue,</w:t>
      </w:r>
      <w:r w:rsidRPr="0044481F">
        <w:rPr>
          <w:rStyle w:val="italicus"/>
        </w:rPr>
        <w:t xml:space="preserve"> The hebrew Language</w:t>
      </w:r>
      <w:r>
        <w:rPr>
          <w:rStyle w:val="italicus"/>
        </w:rPr>
        <w:t xml:space="preserve"> </w:t>
      </w:r>
      <w:r w:rsidRPr="0044481F">
        <w:rPr>
          <w:rStyle w:val="italicus"/>
        </w:rPr>
        <w:t>vie</w:t>
      </w:r>
      <w:r>
        <w:rPr>
          <w:rStyle w:val="italicus"/>
        </w:rPr>
        <w:t>w</w:t>
      </w:r>
      <w:r w:rsidRPr="0044481F">
        <w:rPr>
          <w:rStyle w:val="italicus"/>
        </w:rPr>
        <w:t>ed in Vie Light of Assyrian Research,</w:t>
      </w:r>
      <w:r w:rsidRPr="001077D9">
        <w:t xml:space="preserve"> Londres, 1883. Sur la ressemblance des langues assyrienne et hébraïque, voyez F. Vigouroux </w:t>
      </w:r>
      <w:r w:rsidRPr="0044481F">
        <w:rPr>
          <w:rStyle w:val="italicus"/>
        </w:rPr>
        <w:t>La Bible et les découvertes modernes,</w:t>
      </w:r>
      <w:r w:rsidRPr="001077D9">
        <w:t xml:space="preserve"> t. I, p. 367-393 de la troisième édition. </w:t>
      </w:r>
    </w:p>
  </w:footnote>
  <w:footnote w:id="192">
    <w:p w:rsidR="007F47B8" w:rsidRPr="007F47B8" w:rsidRDefault="007F47B8" w:rsidP="00C31960">
      <w:pPr>
        <w:pStyle w:val="Notedebasdepage"/>
        <w:rPr>
          <w:lang w:val="en-US"/>
        </w:rPr>
      </w:pPr>
      <w:r>
        <w:rPr>
          <w:rStyle w:val="Appelnotedebasdep"/>
        </w:rPr>
        <w:footnoteRef/>
      </w:r>
      <w:r w:rsidRPr="0042259C">
        <w:rPr>
          <w:lang w:val="en-US"/>
        </w:rPr>
        <w:t xml:space="preserve"> </w:t>
      </w:r>
      <w:r w:rsidRPr="007F47B8">
        <w:rPr>
          <w:lang w:val="en-US"/>
        </w:rPr>
        <w:t xml:space="preserve">$ XXVIII, 12. </w:t>
      </w:r>
    </w:p>
  </w:footnote>
  <w:footnote w:id="193">
    <w:p w:rsidR="007F47B8" w:rsidRPr="007F47B8" w:rsidRDefault="007F47B8" w:rsidP="00C31960">
      <w:pPr>
        <w:pStyle w:val="Notedebasdepage"/>
        <w:rPr>
          <w:lang w:val="en-US"/>
        </w:rPr>
      </w:pPr>
      <w:r>
        <w:rPr>
          <w:rStyle w:val="Appelnotedebasdep"/>
        </w:rPr>
        <w:footnoteRef/>
      </w:r>
      <w:r w:rsidRPr="0042259C">
        <w:rPr>
          <w:lang w:val="en-US"/>
        </w:rPr>
        <w:t xml:space="preserve"> </w:t>
      </w:r>
      <w:r w:rsidRPr="007F47B8">
        <w:rPr>
          <w:lang w:val="en-US"/>
        </w:rPr>
        <w:t>$ IV </w:t>
      </w:r>
      <w:r w:rsidRPr="00F84A0B">
        <w:rPr>
          <w:rStyle w:val="italicus"/>
          <w:lang w:val="en-US"/>
        </w:rPr>
        <w:t>Reg.</w:t>
      </w:r>
      <w:r w:rsidRPr="007F47B8">
        <w:rPr>
          <w:lang w:val="en-US"/>
        </w:rPr>
        <w:t xml:space="preserve"> IV, 27. </w:t>
      </w:r>
    </w:p>
  </w:footnote>
  <w:footnote w:id="194">
    <w:p w:rsidR="007F47B8" w:rsidRPr="0042259C" w:rsidRDefault="007F47B8" w:rsidP="00C31960">
      <w:pPr>
        <w:pStyle w:val="Notedebasdepage"/>
        <w:rPr>
          <w:lang w:val="en-US"/>
        </w:rPr>
      </w:pPr>
      <w:r>
        <w:rPr>
          <w:rStyle w:val="Appelnotedebasdep"/>
        </w:rPr>
        <w:footnoteRef/>
      </w:r>
      <w:r w:rsidRPr="0042259C">
        <w:rPr>
          <w:lang w:val="en-US"/>
        </w:rPr>
        <w:t xml:space="preserve"> </w:t>
      </w:r>
      <w:r w:rsidRPr="007F47B8">
        <w:rPr>
          <w:lang w:val="en-US"/>
        </w:rPr>
        <w:t xml:space="preserve">$ </w:t>
      </w:r>
      <w:r w:rsidRPr="00F84A0B">
        <w:rPr>
          <w:rStyle w:val="italicus"/>
          <w:lang w:val="en-US"/>
        </w:rPr>
        <w:t xml:space="preserve">Commentar über den Jesaia, </w:t>
      </w:r>
      <w:r w:rsidRPr="00F84A0B">
        <w:rPr>
          <w:lang w:val="en-US"/>
        </w:rPr>
        <w:t>t. I, p. 258. Cf.</w:t>
      </w:r>
      <w:r w:rsidRPr="00F84A0B">
        <w:rPr>
          <w:rStyle w:val="italicus"/>
          <w:lang w:val="en-US"/>
        </w:rPr>
        <w:t xml:space="preserve"> Thesaurus, </w:t>
      </w:r>
      <w:r w:rsidRPr="00F84A0B">
        <w:rPr>
          <w:lang w:val="en-US"/>
        </w:rPr>
        <w:t xml:space="preserve">s. v. </w:t>
      </w:r>
      <w:r w:rsidRPr="00636297">
        <w:rPr>
          <w:bCs w:val="0"/>
          <w:szCs w:val="23"/>
          <w:rtl/>
          <w:lang w:bidi="he-IL"/>
        </w:rPr>
        <w:t>העלמ</w:t>
      </w:r>
      <w:r w:rsidRPr="00F84A0B">
        <w:rPr>
          <w:lang w:val="en-US"/>
        </w:rPr>
        <w:t xml:space="preserve">. </w:t>
      </w:r>
    </w:p>
  </w:footnote>
  <w:footnote w:id="195">
    <w:p w:rsidR="007F47B8" w:rsidRPr="007F47B8" w:rsidRDefault="007F47B8" w:rsidP="00C31960">
      <w:pPr>
        <w:pStyle w:val="Notedebasdepage"/>
        <w:rPr>
          <w:lang w:val="en-US"/>
        </w:rPr>
      </w:pPr>
      <w:r>
        <w:rPr>
          <w:rStyle w:val="Appelnotedebasdep"/>
        </w:rPr>
        <w:footnoteRef/>
      </w:r>
      <w:r w:rsidRPr="007F47B8">
        <w:rPr>
          <w:lang w:val="en-US"/>
        </w:rPr>
        <w:t xml:space="preserve"> $ Le Hir,</w:t>
      </w:r>
      <w:r w:rsidRPr="007F47B8">
        <w:rPr>
          <w:rStyle w:val="italicus"/>
          <w:lang w:val="en-US"/>
        </w:rPr>
        <w:t xml:space="preserve"> Les trois grands Prophètes, </w:t>
      </w:r>
      <w:r w:rsidRPr="007F47B8">
        <w:rPr>
          <w:lang w:val="en-US"/>
        </w:rPr>
        <w:t>p. 76. Comp. Reinke,</w:t>
      </w:r>
      <w:r w:rsidRPr="007F47B8">
        <w:rPr>
          <w:rStyle w:val="italicus"/>
          <w:lang w:val="en-US"/>
        </w:rPr>
        <w:t xml:space="preserve"> Die Weissagung von der Jungfrau, </w:t>
      </w:r>
      <w:r w:rsidRPr="007F47B8">
        <w:rPr>
          <w:lang w:val="en-US"/>
        </w:rPr>
        <w:t xml:space="preserve">p. 132 et suiv. </w:t>
      </w:r>
    </w:p>
  </w:footnote>
  <w:footnote w:id="196">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 xml:space="preserve">Seconde forme de la conjugaison en hébreu. </w:t>
      </w:r>
    </w:p>
  </w:footnote>
  <w:footnote w:id="197">
    <w:p w:rsidR="007F47B8" w:rsidRPr="001077D9" w:rsidRDefault="007F47B8" w:rsidP="00C31960">
      <w:pPr>
        <w:pStyle w:val="Notedebasdepage"/>
      </w:pPr>
      <w:r>
        <w:rPr>
          <w:rStyle w:val="Appelnotedebasdep"/>
        </w:rPr>
        <w:footnoteRef/>
      </w:r>
      <w:r w:rsidRPr="0042259C">
        <w:rPr>
          <w:lang w:val="en-US"/>
        </w:rPr>
        <w:t xml:space="preserve"> </w:t>
      </w:r>
      <w:r w:rsidRPr="001077D9">
        <w:t xml:space="preserve">$ </w:t>
      </w:r>
      <w:r w:rsidRPr="00F84A0B">
        <w:rPr>
          <w:rStyle w:val="italicus"/>
          <w:lang w:val="en-US"/>
        </w:rPr>
        <w:t>Comment.</w:t>
      </w:r>
      <w:r w:rsidRPr="001077D9">
        <w:t xml:space="preserve"> in Is. VII, 14. </w:t>
      </w:r>
    </w:p>
  </w:footnote>
  <w:footnote w:id="198">
    <w:p w:rsidR="007F47B8" w:rsidRPr="007F47B8" w:rsidRDefault="007F47B8" w:rsidP="00C31960">
      <w:pPr>
        <w:pStyle w:val="Notedebasdepage"/>
      </w:pPr>
      <w:r>
        <w:rPr>
          <w:rStyle w:val="Appelnotedebasdep"/>
        </w:rPr>
        <w:footnoteRef/>
      </w:r>
      <w:r w:rsidRPr="007F47B8">
        <w:t xml:space="preserve"> </w:t>
      </w:r>
      <w:r w:rsidRPr="001077D9">
        <w:t xml:space="preserve">$ </w:t>
      </w:r>
      <w:r w:rsidRPr="007F47B8">
        <w:rPr>
          <w:rStyle w:val="italicus"/>
        </w:rPr>
        <w:t xml:space="preserve">Exercit. in Annal. Barónii, </w:t>
      </w:r>
      <w:r w:rsidRPr="007F47B8">
        <w:t xml:space="preserve">p. 106 et 107. </w:t>
      </w:r>
    </w:p>
  </w:footnote>
  <w:footnote w:id="199">
    <w:p w:rsidR="007F47B8" w:rsidRPr="001077D9" w:rsidRDefault="007F47B8" w:rsidP="00C31960">
      <w:pPr>
        <w:pStyle w:val="Notedebasdepage"/>
      </w:pPr>
      <w:r>
        <w:rPr>
          <w:rStyle w:val="Appelnotedebasdep"/>
        </w:rPr>
        <w:footnoteRef/>
      </w:r>
      <w:r w:rsidRPr="0042259C">
        <w:rPr>
          <w:lang w:val="en-US"/>
        </w:rPr>
        <w:t xml:space="preserve"> </w:t>
      </w:r>
      <w:r w:rsidRPr="00F84A0B">
        <w:rPr>
          <w:rStyle w:val="italicus"/>
          <w:lang w:val="en-US"/>
        </w:rPr>
        <w:t>$ Comment.</w:t>
      </w:r>
      <w:r w:rsidRPr="001077D9">
        <w:t xml:space="preserve"> in Matth. I, 23. </w:t>
      </w:r>
    </w:p>
  </w:footnote>
  <w:footnote w:id="200">
    <w:p w:rsidR="007F47B8" w:rsidRDefault="007F47B8" w:rsidP="00C31960">
      <w:pPr>
        <w:pStyle w:val="Notedebasdepage"/>
      </w:pPr>
      <w:r>
        <w:rPr>
          <w:rStyle w:val="Appelnotedebasdep"/>
        </w:rPr>
        <w:footnoteRef/>
      </w:r>
      <w:r>
        <w:t xml:space="preserve"> </w:t>
      </w:r>
      <w:r w:rsidRPr="001077D9">
        <w:t xml:space="preserve">$ </w:t>
      </w:r>
      <w:r w:rsidRPr="0044481F">
        <w:rPr>
          <w:rStyle w:val="italicus"/>
        </w:rPr>
        <w:t xml:space="preserve">Démonstr. évang., </w:t>
      </w:r>
      <w:r w:rsidRPr="00636297">
        <w:t xml:space="preserve">Prop. IX, cap. 9. </w:t>
      </w:r>
    </w:p>
  </w:footnote>
  <w:footnote w:id="201">
    <w:p w:rsidR="007F47B8" w:rsidRPr="0042259C" w:rsidRDefault="007F47B8" w:rsidP="00C31960">
      <w:pPr>
        <w:pStyle w:val="Notedebasdepage"/>
        <w:rPr>
          <w:lang w:val="en-US"/>
        </w:rPr>
      </w:pPr>
      <w:r>
        <w:rPr>
          <w:rStyle w:val="Appelnotedebasdep"/>
        </w:rPr>
        <w:footnoteRef/>
      </w:r>
      <w:r w:rsidRPr="0042259C">
        <w:rPr>
          <w:lang w:val="en-US"/>
        </w:rPr>
        <w:t xml:space="preserve"> </w:t>
      </w:r>
      <w:r w:rsidRPr="00F84A0B">
        <w:rPr>
          <w:rStyle w:val="italicus"/>
          <w:lang w:val="en-US"/>
        </w:rPr>
        <w:t xml:space="preserve">$ Crítici sacri, </w:t>
      </w:r>
      <w:r w:rsidRPr="00F84A0B">
        <w:rPr>
          <w:lang w:val="en-US"/>
        </w:rPr>
        <w:t xml:space="preserve">in Is. VII, 14. </w:t>
      </w:r>
    </w:p>
  </w:footnote>
  <w:footnote w:id="202">
    <w:p w:rsidR="007F47B8" w:rsidRPr="007F47B8" w:rsidRDefault="007F47B8" w:rsidP="00C31960">
      <w:pPr>
        <w:pStyle w:val="Notedebasdepage"/>
        <w:rPr>
          <w:lang w:val="en-US"/>
        </w:rPr>
      </w:pPr>
      <w:r>
        <w:rPr>
          <w:rStyle w:val="Appelnotedebasdep"/>
        </w:rPr>
        <w:footnoteRef/>
      </w:r>
      <w:r w:rsidRPr="0042259C">
        <w:rPr>
          <w:lang w:val="en-US"/>
        </w:rPr>
        <w:t xml:space="preserve"> </w:t>
      </w:r>
      <w:r w:rsidRPr="00F84A0B">
        <w:rPr>
          <w:rStyle w:val="italicus"/>
          <w:lang w:val="en-US"/>
        </w:rPr>
        <w:t xml:space="preserve">$ </w:t>
      </w:r>
      <w:r w:rsidRPr="007F47B8">
        <w:rPr>
          <w:lang w:val="en-US"/>
        </w:rPr>
        <w:t>Voici ses propres paroles : « </w:t>
      </w:r>
      <w:r w:rsidRPr="00D05EA9">
        <w:rPr>
          <w:rStyle w:val="italicus"/>
        </w:rPr>
        <w:t>῾</w:t>
      </w:r>
      <w:r w:rsidRPr="00F84A0B">
        <w:rPr>
          <w:rStyle w:val="italicus"/>
          <w:lang w:val="en-US"/>
        </w:rPr>
        <w:t>Almah</w:t>
      </w:r>
      <w:r w:rsidRPr="007F47B8">
        <w:rPr>
          <w:lang w:val="en-US"/>
        </w:rPr>
        <w:t xml:space="preserve"> signíficat próprie áliquam abscónditam, occúltam et reservátam, áliquam óculis hóminum exémptam. » </w:t>
      </w:r>
    </w:p>
  </w:footnote>
  <w:footnote w:id="203">
    <w:p w:rsidR="007F47B8" w:rsidRPr="001077D9" w:rsidRDefault="007F47B8" w:rsidP="00C31960">
      <w:pPr>
        <w:pStyle w:val="Notedebasdepage"/>
      </w:pPr>
      <w:r>
        <w:rPr>
          <w:rStyle w:val="Appelnotedebasdep"/>
        </w:rPr>
        <w:footnoteRef/>
      </w:r>
      <w:r>
        <w:t xml:space="preserve"> </w:t>
      </w:r>
      <w:r w:rsidRPr="001077D9">
        <w:t>$ Il traduit</w:t>
      </w:r>
      <w:r w:rsidRPr="0044481F">
        <w:rPr>
          <w:rStyle w:val="italicus"/>
        </w:rPr>
        <w:t xml:space="preserve"> </w:t>
      </w:r>
      <w:r w:rsidRPr="00D05EA9">
        <w:rPr>
          <w:rStyle w:val="italicus"/>
        </w:rPr>
        <w:t>῾almah</w:t>
      </w:r>
      <w:r w:rsidRPr="001077D9">
        <w:t xml:space="preserve"> par « virgo obsignáta, i. e. intácta. » </w:t>
      </w:r>
    </w:p>
  </w:footnote>
  <w:footnote w:id="204">
    <w:p w:rsidR="007F47B8" w:rsidRPr="007F47B8" w:rsidRDefault="007F47B8" w:rsidP="00C31960">
      <w:pPr>
        <w:pStyle w:val="Notedebasdepage"/>
        <w:rPr>
          <w:lang w:val="en-US"/>
        </w:rPr>
      </w:pPr>
      <w:r>
        <w:rPr>
          <w:rStyle w:val="Appelnotedebasdep"/>
        </w:rPr>
        <w:footnoteRef/>
      </w:r>
      <w:r w:rsidRPr="0042259C">
        <w:rPr>
          <w:lang w:val="en-US"/>
        </w:rPr>
        <w:t xml:space="preserve"> </w:t>
      </w:r>
      <w:r w:rsidRPr="007F47B8">
        <w:rPr>
          <w:lang w:val="en-US"/>
        </w:rPr>
        <w:t xml:space="preserve">$ </w:t>
      </w:r>
      <w:r w:rsidRPr="00F84A0B">
        <w:rPr>
          <w:rStyle w:val="italicus"/>
          <w:lang w:val="en-US"/>
        </w:rPr>
        <w:t>Die Hebræerin am Putzlische,</w:t>
      </w:r>
      <w:r w:rsidRPr="007F47B8">
        <w:rPr>
          <w:lang w:val="en-US"/>
        </w:rPr>
        <w:t xml:space="preserve"> t. III, p. 344. Il fait dériver</w:t>
      </w:r>
      <w:r w:rsidRPr="007F47B8">
        <w:rPr>
          <w:rStyle w:val="italicus"/>
          <w:lang w:val="en-US"/>
        </w:rPr>
        <w:t xml:space="preserve"> </w:t>
      </w:r>
      <w:r w:rsidRPr="00D05EA9">
        <w:rPr>
          <w:rStyle w:val="italicus"/>
        </w:rPr>
        <w:t>῾</w:t>
      </w:r>
      <w:r w:rsidRPr="007F47B8">
        <w:rPr>
          <w:rStyle w:val="italicus"/>
          <w:lang w:val="en-US"/>
        </w:rPr>
        <w:t xml:space="preserve">almah, </w:t>
      </w:r>
      <w:r w:rsidRPr="007F47B8">
        <w:rPr>
          <w:lang w:val="en-US"/>
        </w:rPr>
        <w:t xml:space="preserve">avec une nuance, de </w:t>
      </w:r>
      <w:r w:rsidRPr="00521D36">
        <w:rPr>
          <w:bCs w:val="0"/>
          <w:szCs w:val="23"/>
          <w:rtl/>
          <w:lang w:bidi="he-IL"/>
        </w:rPr>
        <w:t>עלם</w:t>
      </w:r>
      <w:r w:rsidRPr="007F47B8">
        <w:rPr>
          <w:lang w:val="en-US"/>
        </w:rPr>
        <w:t xml:space="preserve">, envelopper, voiler. </w:t>
      </w:r>
    </w:p>
  </w:footnote>
  <w:footnote w:id="205">
    <w:p w:rsidR="007F47B8" w:rsidRPr="007F47B8" w:rsidRDefault="007F47B8" w:rsidP="00C31960">
      <w:pPr>
        <w:pStyle w:val="Notedebasdepage"/>
        <w:rPr>
          <w:lang w:val="en-US"/>
        </w:rPr>
      </w:pPr>
      <w:r>
        <w:rPr>
          <w:rStyle w:val="Appelnotedebasdep"/>
        </w:rPr>
        <w:footnoteRef/>
      </w:r>
      <w:r w:rsidRPr="007F47B8">
        <w:rPr>
          <w:lang w:val="en-US"/>
        </w:rPr>
        <w:t xml:space="preserve"> $ </w:t>
      </w:r>
      <w:r w:rsidRPr="007F47B8">
        <w:rPr>
          <w:rStyle w:val="italicus"/>
          <w:lang w:val="en-US"/>
        </w:rPr>
        <w:t>Christologie,</w:t>
      </w:r>
      <w:r w:rsidRPr="007F47B8">
        <w:rPr>
          <w:lang w:val="en-US"/>
        </w:rPr>
        <w:t xml:space="preserve"> t. I, 2e partie, p. 69. </w:t>
      </w:r>
    </w:p>
  </w:footnote>
  <w:footnote w:id="206">
    <w:p w:rsidR="007F47B8" w:rsidRPr="007F47B8" w:rsidRDefault="007F47B8" w:rsidP="00C31960">
      <w:pPr>
        <w:pStyle w:val="Notedebasdepage"/>
        <w:rPr>
          <w:lang w:val="en-US"/>
        </w:rPr>
      </w:pPr>
      <w:r>
        <w:rPr>
          <w:rStyle w:val="Appelnotedebasdep"/>
        </w:rPr>
        <w:footnoteRef/>
      </w:r>
      <w:r w:rsidRPr="007F47B8">
        <w:rPr>
          <w:lang w:val="en-US"/>
        </w:rPr>
        <w:t xml:space="preserve"> $ </w:t>
      </w:r>
      <w:r w:rsidRPr="007F47B8">
        <w:rPr>
          <w:rStyle w:val="italicus"/>
          <w:lang w:val="en-US"/>
        </w:rPr>
        <w:t>Ubi supra,</w:t>
      </w:r>
      <w:r w:rsidRPr="007F47B8">
        <w:rPr>
          <w:lang w:val="en-US"/>
        </w:rPr>
        <w:t xml:space="preserve"> p. 200. </w:t>
      </w:r>
    </w:p>
  </w:footnote>
  <w:footnote w:id="207">
    <w:p w:rsidR="007F47B8" w:rsidRPr="007F47B8" w:rsidRDefault="007F47B8" w:rsidP="00C31960">
      <w:pPr>
        <w:pStyle w:val="Notedebasdepage"/>
        <w:rPr>
          <w:i/>
          <w:lang w:val="en-US"/>
        </w:rPr>
      </w:pPr>
      <w:r>
        <w:rPr>
          <w:rStyle w:val="Appelnotedebasdep"/>
        </w:rPr>
        <w:footnoteRef/>
      </w:r>
      <w:r w:rsidRPr="007F47B8">
        <w:rPr>
          <w:lang w:val="en-US"/>
        </w:rPr>
        <w:t xml:space="preserve"> </w:t>
      </w:r>
      <w:r w:rsidRPr="007F47B8">
        <w:rPr>
          <w:rStyle w:val="italicus"/>
          <w:lang w:val="en-US"/>
        </w:rPr>
        <w:t xml:space="preserve">$ </w:t>
      </w:r>
      <w:r w:rsidRPr="007F47B8">
        <w:rPr>
          <w:lang w:val="en-US"/>
        </w:rPr>
        <w:t>Drach,</w:t>
      </w:r>
      <w:r w:rsidRPr="007F47B8">
        <w:rPr>
          <w:rStyle w:val="italicus"/>
          <w:lang w:val="en-US"/>
        </w:rPr>
        <w:t xml:space="preserve"> Harmonie,</w:t>
      </w:r>
      <w:r w:rsidRPr="007F47B8">
        <w:rPr>
          <w:lang w:val="en-US"/>
        </w:rPr>
        <w:t xml:space="preserve"> t. II, p. 124. </w:t>
      </w:r>
    </w:p>
  </w:footnote>
  <w:footnote w:id="208">
    <w:p w:rsidR="007F47B8" w:rsidRPr="001077D9" w:rsidRDefault="007F47B8" w:rsidP="00C31960">
      <w:pPr>
        <w:pStyle w:val="Notedebasdepage"/>
      </w:pPr>
      <w:r>
        <w:rPr>
          <w:rStyle w:val="Appelnotedebasdep"/>
        </w:rPr>
        <w:footnoteRef/>
      </w:r>
      <w:r>
        <w:t xml:space="preserve"> </w:t>
      </w:r>
      <w:r>
        <w:rPr>
          <w:rStyle w:val="italicus"/>
        </w:rPr>
        <w:t xml:space="preserve">$ </w:t>
      </w:r>
      <w:r w:rsidRPr="0044481F">
        <w:rPr>
          <w:rStyle w:val="italicus"/>
        </w:rPr>
        <w:t>Ibid.,</w:t>
      </w:r>
      <w:r w:rsidRPr="001077D9">
        <w:t xml:space="preserve"> p. 142. </w:t>
      </w:r>
    </w:p>
  </w:footnote>
  <w:footnote w:id="209">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Les trois grands Prophètes,</w:t>
      </w:r>
      <w:r w:rsidRPr="001077D9">
        <w:t xml:space="preserve"> p. 72 et 73. </w:t>
      </w:r>
    </w:p>
  </w:footnote>
  <w:footnote w:id="210">
    <w:p w:rsidR="007F47B8" w:rsidRPr="001077D9" w:rsidRDefault="007F47B8" w:rsidP="00C31960">
      <w:pPr>
        <w:pStyle w:val="Notedebasdepage"/>
      </w:pPr>
      <w:r>
        <w:rPr>
          <w:rStyle w:val="Appelnotedebasdep"/>
        </w:rPr>
        <w:footnoteRef/>
      </w:r>
      <w:r>
        <w:t xml:space="preserve"> </w:t>
      </w:r>
      <w:r w:rsidRPr="001077D9">
        <w:t>$ Cité par Drach,</w:t>
      </w:r>
      <w:r w:rsidRPr="0044481F">
        <w:rPr>
          <w:rStyle w:val="italicus"/>
        </w:rPr>
        <w:t xml:space="preserve"> Harmonie,</w:t>
      </w:r>
      <w:r w:rsidRPr="001077D9">
        <w:t xml:space="preserve"> t. II, p. 372. </w:t>
      </w:r>
    </w:p>
  </w:footnote>
  <w:footnote w:id="211">
    <w:p w:rsidR="007F47B8" w:rsidRPr="007F47B8" w:rsidRDefault="007F47B8" w:rsidP="00C31960">
      <w:pPr>
        <w:pStyle w:val="Notedebasdepage"/>
        <w:rPr>
          <w:lang w:val="en-US"/>
        </w:rPr>
      </w:pPr>
      <w:r>
        <w:rPr>
          <w:rStyle w:val="Appelnotedebasdep"/>
        </w:rPr>
        <w:footnoteRef/>
      </w:r>
      <w:r w:rsidRPr="0042259C">
        <w:rPr>
          <w:lang w:val="en-US"/>
        </w:rPr>
        <w:t xml:space="preserve"> </w:t>
      </w:r>
      <w:r w:rsidRPr="007F47B8">
        <w:rPr>
          <w:lang w:val="en-US"/>
        </w:rPr>
        <w:t xml:space="preserve">$ </w:t>
      </w:r>
      <w:r w:rsidRPr="00F84A0B">
        <w:rPr>
          <w:rStyle w:val="italicus"/>
          <w:lang w:val="en-US"/>
        </w:rPr>
        <w:t>Ibid.</w:t>
      </w:r>
      <w:r w:rsidRPr="007F47B8">
        <w:rPr>
          <w:lang w:val="en-US"/>
        </w:rPr>
        <w:t xml:space="preserve"> </w:t>
      </w:r>
    </w:p>
  </w:footnote>
  <w:footnote w:id="212">
    <w:p w:rsidR="007F47B8" w:rsidRPr="001077D9" w:rsidRDefault="007F47B8" w:rsidP="00C31960">
      <w:pPr>
        <w:pStyle w:val="Notedebasdepage"/>
      </w:pPr>
      <w:r>
        <w:rPr>
          <w:rStyle w:val="Appelnotedebasdep"/>
        </w:rPr>
        <w:footnoteRef/>
      </w:r>
      <w:r w:rsidRPr="0042259C">
        <w:rPr>
          <w:lang w:val="en-US"/>
        </w:rPr>
        <w:t xml:space="preserve"> </w:t>
      </w:r>
      <w:r w:rsidRPr="007F47B8">
        <w:rPr>
          <w:lang w:val="en-US"/>
        </w:rPr>
        <w:t xml:space="preserve">$ Fascic. I, ch. XXII, n° 86. </w:t>
      </w:r>
      <w:r w:rsidRPr="001077D9">
        <w:t xml:space="preserve">Paris, 1881. </w:t>
      </w:r>
    </w:p>
  </w:footnote>
  <w:footnote w:id="213">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Loc. cit.,</w:t>
      </w:r>
      <w:r w:rsidRPr="001077D9">
        <w:t xml:space="preserve"> p. 20. </w:t>
      </w:r>
    </w:p>
  </w:footnote>
  <w:footnote w:id="214">
    <w:p w:rsidR="007F47B8" w:rsidRPr="001077D9" w:rsidRDefault="007F47B8" w:rsidP="00C31960">
      <w:pPr>
        <w:pStyle w:val="Notedebasdepage"/>
      </w:pPr>
      <w:r>
        <w:rPr>
          <w:rStyle w:val="Appelnotedebasdep"/>
        </w:rPr>
        <w:footnoteRef/>
      </w:r>
      <w:r>
        <w:t xml:space="preserve"> </w:t>
      </w:r>
      <w:r w:rsidRPr="001077D9">
        <w:t xml:space="preserve">$ Page 2. </w:t>
      </w:r>
    </w:p>
  </w:footnote>
  <w:footnote w:id="215">
    <w:p w:rsidR="007F47B8" w:rsidRPr="0042259C" w:rsidRDefault="007F47B8" w:rsidP="00C31960">
      <w:pPr>
        <w:pStyle w:val="Notedebasdepage"/>
        <w:rPr>
          <w:lang w:val="en-US"/>
        </w:rPr>
      </w:pPr>
      <w:r>
        <w:rPr>
          <w:rStyle w:val="Appelnotedebasdep"/>
        </w:rPr>
        <w:footnoteRef/>
      </w:r>
      <w:r w:rsidRPr="0042259C">
        <w:rPr>
          <w:lang w:val="en-US"/>
        </w:rPr>
        <w:t xml:space="preserve"> </w:t>
      </w:r>
      <w:r w:rsidRPr="007F47B8">
        <w:rPr>
          <w:lang w:val="en-US"/>
        </w:rPr>
        <w:t xml:space="preserve">$ </w:t>
      </w:r>
      <w:r w:rsidRPr="00F84A0B">
        <w:rPr>
          <w:rStyle w:val="italicus"/>
          <w:lang w:val="en-US"/>
        </w:rPr>
        <w:t>Vorlesungen über die Geschichte der messianischen Idee,</w:t>
      </w:r>
      <w:r w:rsidRPr="00F84A0B">
        <w:rPr>
          <w:lang w:val="en-US"/>
        </w:rPr>
        <w:t xml:space="preserve"> p. 47. </w:t>
      </w:r>
    </w:p>
  </w:footnote>
  <w:footnote w:id="216">
    <w:p w:rsidR="007F47B8" w:rsidRPr="001077D9" w:rsidRDefault="007F47B8" w:rsidP="00C31960">
      <w:pPr>
        <w:pStyle w:val="Notedebasdepage"/>
      </w:pPr>
      <w:r>
        <w:rPr>
          <w:rStyle w:val="Appelnotedebasdep"/>
        </w:rPr>
        <w:footnoteRef/>
      </w:r>
      <w:r w:rsidRPr="0042259C">
        <w:rPr>
          <w:lang w:val="en-US"/>
        </w:rPr>
        <w:t xml:space="preserve"> </w:t>
      </w:r>
      <w:r w:rsidRPr="00F84A0B">
        <w:rPr>
          <w:rStyle w:val="italicus"/>
          <w:lang w:val="en-US"/>
        </w:rPr>
        <w:t>$ Horæ hebráicæ,</w:t>
      </w:r>
      <w:r w:rsidRPr="007F47B8">
        <w:rPr>
          <w:lang w:val="en-US"/>
        </w:rPr>
        <w:t xml:space="preserve"> in Matth. I, 23. « </w:t>
      </w:r>
      <w:r>
        <w:rPr>
          <w:rStyle w:val="italicus"/>
          <w:lang w:val="en-US"/>
        </w:rPr>
        <w:t>῾</w:t>
      </w:r>
      <w:r w:rsidRPr="00F84A0B">
        <w:rPr>
          <w:rStyle w:val="italicus"/>
          <w:lang w:val="en-US"/>
        </w:rPr>
        <w:t>Almah</w:t>
      </w:r>
      <w:r w:rsidRPr="007F47B8">
        <w:rPr>
          <w:lang w:val="en-US"/>
        </w:rPr>
        <w:t xml:space="preserve"> vírginem signíficat, sed juvénculam, non vétulam ;</w:t>
      </w:r>
      <w:r w:rsidRPr="00F84A0B">
        <w:rPr>
          <w:rStyle w:val="italicus"/>
          <w:lang w:val="en-US"/>
        </w:rPr>
        <w:t xml:space="preserve"> bethoulah</w:t>
      </w:r>
      <w:r w:rsidRPr="007F47B8">
        <w:rPr>
          <w:lang w:val="en-US"/>
        </w:rPr>
        <w:t xml:space="preserve"> étiam vétulam ;</w:t>
      </w:r>
      <w:r w:rsidRPr="00F84A0B">
        <w:rPr>
          <w:rStyle w:val="italicus"/>
          <w:lang w:val="en-US"/>
        </w:rPr>
        <w:t xml:space="preserve"> na</w:t>
      </w:r>
      <w:r>
        <w:rPr>
          <w:rStyle w:val="italicus"/>
        </w:rPr>
        <w:t>῾</w:t>
      </w:r>
      <w:r w:rsidRPr="00F84A0B">
        <w:rPr>
          <w:rStyle w:val="italicus"/>
          <w:lang w:val="en-US"/>
        </w:rPr>
        <w:t>arah,</w:t>
      </w:r>
      <w:r w:rsidRPr="007F47B8">
        <w:rPr>
          <w:lang w:val="en-US"/>
        </w:rPr>
        <w:t xml:space="preserve"> juvénculam, sive virgo sit sive devirgináta. » </w:t>
      </w:r>
      <w:r w:rsidRPr="001077D9">
        <w:t>Amama,</w:t>
      </w:r>
      <w:r w:rsidRPr="00512B6E">
        <w:rPr>
          <w:rStyle w:val="italicus"/>
        </w:rPr>
        <w:t xml:space="preserve"> Antiharb. bibl.,</w:t>
      </w:r>
      <w:r w:rsidRPr="001077D9">
        <w:t xml:space="preserve"> ap. Reinke, p. 134, note. </w:t>
      </w:r>
    </w:p>
  </w:footnote>
  <w:footnote w:id="217">
    <w:p w:rsidR="007F47B8" w:rsidRDefault="007F47B8" w:rsidP="00C31960">
      <w:pPr>
        <w:pStyle w:val="Notedebasdepage"/>
      </w:pPr>
      <w:r>
        <w:rPr>
          <w:rStyle w:val="Appelnotedebasdep"/>
        </w:rPr>
        <w:footnoteRef/>
      </w:r>
      <w:r>
        <w:t xml:space="preserve"> </w:t>
      </w:r>
      <w:r w:rsidRPr="001077D9">
        <w:t xml:space="preserve">$ </w:t>
      </w:r>
      <w:r w:rsidRPr="0044481F">
        <w:rPr>
          <w:rStyle w:val="italicus"/>
        </w:rPr>
        <w:t xml:space="preserve">Christologie des Alten Testamentes, </w:t>
      </w:r>
      <w:r w:rsidRPr="00217FDD">
        <w:t xml:space="preserve">p. 235. </w:t>
      </w:r>
    </w:p>
  </w:footnote>
  <w:footnote w:id="218">
    <w:p w:rsidR="007F47B8" w:rsidRDefault="007F47B8" w:rsidP="00C31960">
      <w:pPr>
        <w:pStyle w:val="Notedebasdepage"/>
      </w:pPr>
      <w:r>
        <w:rPr>
          <w:rStyle w:val="Appelnotedebasdep"/>
        </w:rPr>
        <w:footnoteRef/>
      </w:r>
      <w:r>
        <w:t xml:space="preserve"> </w:t>
      </w:r>
      <w:r>
        <w:rPr>
          <w:rStyle w:val="italicus"/>
        </w:rPr>
        <w:t xml:space="preserve">$ </w:t>
      </w:r>
      <w:r w:rsidRPr="00217FDD">
        <w:t>Voyez Küper,</w:t>
      </w:r>
      <w:r w:rsidRPr="0044481F">
        <w:rPr>
          <w:rStyle w:val="italicus"/>
        </w:rPr>
        <w:t xml:space="preserve"> Das Prophetenthum des Allen Bundes, </w:t>
      </w:r>
      <w:r w:rsidRPr="00217FDD">
        <w:t xml:space="preserve">p. 216. </w:t>
      </w:r>
    </w:p>
  </w:footnote>
  <w:footnote w:id="219">
    <w:p w:rsidR="007F47B8" w:rsidRDefault="007F47B8" w:rsidP="00C31960">
      <w:pPr>
        <w:pStyle w:val="Notedebasdepage"/>
      </w:pPr>
      <w:r>
        <w:rPr>
          <w:rStyle w:val="Appelnotedebasdep"/>
        </w:rPr>
        <w:footnoteRef/>
      </w:r>
      <w:r>
        <w:t xml:space="preserve"> </w:t>
      </w:r>
      <w:r w:rsidRPr="00217FDD">
        <w:t xml:space="preserve">$ Bredenkamp, </w:t>
      </w:r>
      <w:r w:rsidRPr="0044481F">
        <w:rPr>
          <w:rStyle w:val="italicus"/>
        </w:rPr>
        <w:t>Vaticínium</w:t>
      </w:r>
      <w:r>
        <w:rPr>
          <w:rStyle w:val="italicus"/>
        </w:rPr>
        <w:t xml:space="preserve"> de Immanué</w:t>
      </w:r>
      <w:r w:rsidRPr="0044481F">
        <w:rPr>
          <w:rStyle w:val="italicus"/>
        </w:rPr>
        <w:t xml:space="preserve">le, </w:t>
      </w:r>
      <w:r w:rsidRPr="00217FDD">
        <w:t xml:space="preserve">p. 11. </w:t>
      </w:r>
    </w:p>
  </w:footnote>
  <w:footnote w:id="220">
    <w:p w:rsidR="007F47B8" w:rsidRPr="001077D9" w:rsidRDefault="007F47B8" w:rsidP="00C31960">
      <w:pPr>
        <w:pStyle w:val="Notedebasdepage"/>
      </w:pPr>
      <w:r>
        <w:rPr>
          <w:rStyle w:val="Appelnotedebasdep"/>
        </w:rPr>
        <w:footnoteRef/>
      </w:r>
      <w:r>
        <w:t xml:space="preserve"> </w:t>
      </w:r>
      <w:r>
        <w:rPr>
          <w:rStyle w:val="italicus"/>
        </w:rPr>
        <w:t xml:space="preserve">$ </w:t>
      </w:r>
      <w:r w:rsidRPr="0044481F">
        <w:rPr>
          <w:rStyle w:val="italicus"/>
        </w:rPr>
        <w:t>Adv. Hier.,</w:t>
      </w:r>
      <w:r w:rsidRPr="001077D9">
        <w:t xml:space="preserve"> l. III, c. XXI, 6. Cf. Bossuet,</w:t>
      </w:r>
      <w:r w:rsidRPr="0044481F">
        <w:rPr>
          <w:rStyle w:val="italicus"/>
        </w:rPr>
        <w:t xml:space="preserve"> loc. cit.,</w:t>
      </w:r>
      <w:r w:rsidRPr="001077D9">
        <w:t xml:space="preserve"> p. 20. </w:t>
      </w:r>
    </w:p>
  </w:footnote>
  <w:footnote w:id="221">
    <w:p w:rsidR="007F47B8" w:rsidRDefault="007F47B8" w:rsidP="00C31960">
      <w:pPr>
        <w:pStyle w:val="Notedebasdepage"/>
      </w:pPr>
      <w:r>
        <w:rPr>
          <w:rStyle w:val="Appelnotedebasdep"/>
        </w:rPr>
        <w:footnoteRef/>
      </w:r>
      <w:r>
        <w:t xml:space="preserve"> </w:t>
      </w:r>
      <w:r w:rsidRPr="001077D9">
        <w:t xml:space="preserve">$ </w:t>
      </w:r>
      <w:r w:rsidRPr="0044481F">
        <w:rPr>
          <w:rStyle w:val="italicus"/>
        </w:rPr>
        <w:t xml:space="preserve">Advérsus Judǽos, </w:t>
      </w:r>
      <w:r w:rsidRPr="00217FDD">
        <w:t xml:space="preserve">cap. 3. </w:t>
      </w:r>
    </w:p>
  </w:footnote>
  <w:footnote w:id="222">
    <w:p w:rsidR="007F47B8" w:rsidRPr="0042259C" w:rsidRDefault="007F47B8" w:rsidP="00C31960">
      <w:pPr>
        <w:pStyle w:val="Notedebasdepage"/>
        <w:rPr>
          <w:i/>
          <w:lang w:val="en-US"/>
        </w:rPr>
      </w:pPr>
      <w:r>
        <w:rPr>
          <w:rStyle w:val="Appelnotedebasdep"/>
        </w:rPr>
        <w:footnoteRef/>
      </w:r>
      <w:r w:rsidRPr="0042259C">
        <w:rPr>
          <w:lang w:val="en-US"/>
        </w:rPr>
        <w:t xml:space="preserve"> </w:t>
      </w:r>
      <w:r w:rsidRPr="00F84A0B">
        <w:rPr>
          <w:rStyle w:val="italicus"/>
          <w:lang w:val="en-US"/>
        </w:rPr>
        <w:t xml:space="preserve">$ Comm. in Is. </w:t>
      </w:r>
      <w:r w:rsidRPr="00F84A0B">
        <w:rPr>
          <w:lang w:val="en-US"/>
        </w:rPr>
        <w:t xml:space="preserve">VII, 14. Cf. Théodoret, </w:t>
      </w:r>
      <w:r w:rsidRPr="00F84A0B">
        <w:rPr>
          <w:rStyle w:val="italicus"/>
          <w:lang w:val="en-US"/>
        </w:rPr>
        <w:t xml:space="preserve">ibid. </w:t>
      </w:r>
    </w:p>
  </w:footnote>
  <w:footnote w:id="223">
    <w:p w:rsidR="007F47B8" w:rsidRPr="001077D9" w:rsidRDefault="007F47B8" w:rsidP="00C31960">
      <w:pPr>
        <w:pStyle w:val="Notedebasdepage"/>
      </w:pPr>
      <w:r>
        <w:rPr>
          <w:rStyle w:val="Appelnotedebasdep"/>
        </w:rPr>
        <w:footnoteRef/>
      </w:r>
      <w:r w:rsidRPr="0042259C">
        <w:rPr>
          <w:lang w:val="en-US"/>
        </w:rPr>
        <w:t xml:space="preserve"> </w:t>
      </w:r>
      <w:r w:rsidRPr="0042259C">
        <w:rPr>
          <w:rStyle w:val="italicus"/>
          <w:lang w:val="en-US"/>
        </w:rPr>
        <w:t>$ Schólia</w:t>
      </w:r>
      <w:r w:rsidRPr="001077D9">
        <w:t xml:space="preserve"> in Is. VII, 14. </w:t>
      </w:r>
    </w:p>
  </w:footnote>
  <w:footnote w:id="224">
    <w:p w:rsidR="007F47B8" w:rsidRPr="0042259C" w:rsidRDefault="007F47B8" w:rsidP="00C31960">
      <w:pPr>
        <w:pStyle w:val="Notedebasdepage"/>
        <w:rPr>
          <w:lang w:val="en-US"/>
        </w:rPr>
      </w:pPr>
      <w:r>
        <w:rPr>
          <w:rStyle w:val="Appelnotedebasdep"/>
        </w:rPr>
        <w:footnoteRef/>
      </w:r>
      <w:r w:rsidRPr="0042259C">
        <w:rPr>
          <w:lang w:val="en-US"/>
        </w:rPr>
        <w:t xml:space="preserve"> </w:t>
      </w:r>
      <w:r w:rsidRPr="001077D9">
        <w:t xml:space="preserve">$ </w:t>
      </w:r>
      <w:r w:rsidRPr="0042259C">
        <w:rPr>
          <w:rStyle w:val="italicus"/>
          <w:lang w:val="en-US"/>
        </w:rPr>
        <w:t xml:space="preserve">Christologie des A. Testam., </w:t>
      </w:r>
      <w:r w:rsidRPr="0042259C">
        <w:rPr>
          <w:lang w:val="en-US"/>
        </w:rPr>
        <w:t xml:space="preserve">p. 236. </w:t>
      </w:r>
    </w:p>
  </w:footnote>
  <w:footnote w:id="225">
    <w:p w:rsidR="007F47B8" w:rsidRPr="001077D9" w:rsidRDefault="007F47B8" w:rsidP="00C31960">
      <w:pPr>
        <w:pStyle w:val="Notedebasdepage"/>
      </w:pPr>
      <w:r>
        <w:rPr>
          <w:rStyle w:val="Appelnotedebasdep"/>
        </w:rPr>
        <w:footnoteRef/>
      </w:r>
      <w:r w:rsidRPr="0042259C">
        <w:rPr>
          <w:lang w:val="en-US"/>
        </w:rPr>
        <w:t xml:space="preserve"> </w:t>
      </w:r>
      <w:r w:rsidRPr="0042259C">
        <w:rPr>
          <w:rStyle w:val="italicus"/>
          <w:lang w:val="en-US"/>
        </w:rPr>
        <w:t xml:space="preserve">$ </w:t>
      </w:r>
      <w:r w:rsidRPr="001077D9">
        <w:t>Rosenmüller,</w:t>
      </w:r>
      <w:r w:rsidRPr="0042259C">
        <w:rPr>
          <w:rStyle w:val="italicus"/>
          <w:lang w:val="en-US"/>
        </w:rPr>
        <w:t xml:space="preserve"> ubi supra.</w:t>
      </w:r>
      <w:r w:rsidRPr="001077D9">
        <w:t xml:space="preserve"> </w:t>
      </w:r>
    </w:p>
  </w:footnote>
  <w:footnote w:id="226">
    <w:p w:rsidR="007F47B8" w:rsidRPr="0042259C" w:rsidRDefault="007F47B8" w:rsidP="00C31960">
      <w:pPr>
        <w:pStyle w:val="Notedebasdepage"/>
        <w:rPr>
          <w:i/>
          <w:lang w:val="en-US"/>
        </w:rPr>
      </w:pPr>
      <w:r>
        <w:rPr>
          <w:rStyle w:val="Appelnotedebasdep"/>
        </w:rPr>
        <w:footnoteRef/>
      </w:r>
      <w:r w:rsidRPr="0042259C">
        <w:rPr>
          <w:lang w:val="en-US"/>
        </w:rPr>
        <w:t xml:space="preserve"> </w:t>
      </w:r>
      <w:r w:rsidRPr="001077D9">
        <w:t xml:space="preserve">$ </w:t>
      </w:r>
      <w:r w:rsidRPr="001077D9">
        <w:rPr>
          <w:bCs w:val="0"/>
          <w:szCs w:val="23"/>
          <w:rtl/>
          <w:lang w:bidi="he-IL"/>
        </w:rPr>
        <w:t>העלמה</w:t>
      </w:r>
      <w:r w:rsidRPr="0042259C">
        <w:rPr>
          <w:rStyle w:val="italicus"/>
          <w:lang w:val="en-US"/>
        </w:rPr>
        <w:t>, ha-</w:t>
      </w:r>
      <w:r>
        <w:rPr>
          <w:rStyle w:val="italicus"/>
        </w:rPr>
        <w:t>῾</w:t>
      </w:r>
      <w:r w:rsidRPr="0042259C">
        <w:rPr>
          <w:rStyle w:val="italicus"/>
          <w:lang w:val="en-US"/>
        </w:rPr>
        <w:t xml:space="preserve">almah. </w:t>
      </w:r>
    </w:p>
  </w:footnote>
  <w:footnote w:id="227">
    <w:p w:rsidR="007F47B8" w:rsidRPr="0042259C" w:rsidRDefault="007F47B8" w:rsidP="00C31960">
      <w:pPr>
        <w:pStyle w:val="Notedebasdepage"/>
        <w:rPr>
          <w:i/>
          <w:lang w:val="en-US"/>
        </w:rPr>
      </w:pPr>
      <w:r>
        <w:rPr>
          <w:rStyle w:val="Appelnotedebasdep"/>
        </w:rPr>
        <w:footnoteRef/>
      </w:r>
      <w:r w:rsidRPr="0042259C">
        <w:rPr>
          <w:lang w:val="en-US"/>
        </w:rPr>
        <w:t xml:space="preserve"> </w:t>
      </w:r>
      <w:r w:rsidRPr="0042259C">
        <w:rPr>
          <w:rStyle w:val="italicus"/>
          <w:lang w:val="en-US"/>
        </w:rPr>
        <w:t xml:space="preserve">$ Hoc loco. </w:t>
      </w:r>
    </w:p>
  </w:footnote>
  <w:footnote w:id="228">
    <w:p w:rsidR="007F47B8" w:rsidRPr="001077D9" w:rsidRDefault="007F47B8" w:rsidP="00C31960">
      <w:pPr>
        <w:pStyle w:val="Notedebasdepage"/>
      </w:pPr>
      <w:r>
        <w:rPr>
          <w:rStyle w:val="Appelnotedebasdep"/>
        </w:rPr>
        <w:footnoteRef/>
      </w:r>
      <w:r w:rsidRPr="0042259C">
        <w:rPr>
          <w:lang w:val="en-US"/>
        </w:rPr>
        <w:t xml:space="preserve"> </w:t>
      </w:r>
      <w:r w:rsidRPr="0042259C">
        <w:rPr>
          <w:rStyle w:val="italicus"/>
          <w:lang w:val="en-US"/>
        </w:rPr>
        <w:t xml:space="preserve">$ </w:t>
      </w:r>
      <w:r w:rsidRPr="007F47B8">
        <w:rPr>
          <w:lang w:val="en-US"/>
        </w:rPr>
        <w:t>Entre autres Vitringa,</w:t>
      </w:r>
      <w:r w:rsidRPr="0042259C">
        <w:rPr>
          <w:rStyle w:val="italicus"/>
          <w:lang w:val="en-US"/>
        </w:rPr>
        <w:t xml:space="preserve"> Comment., h. l.</w:t>
      </w:r>
      <w:r w:rsidRPr="007F47B8">
        <w:rPr>
          <w:lang w:val="en-US"/>
        </w:rPr>
        <w:t xml:space="preserve"> : « Cum áliis obsérvo émphasin in demonstratíva </w:t>
      </w:r>
      <w:r w:rsidRPr="001077D9">
        <w:rPr>
          <w:bCs w:val="0"/>
          <w:szCs w:val="23"/>
          <w:rtl/>
          <w:lang w:bidi="he-IL"/>
        </w:rPr>
        <w:t xml:space="preserve">ה </w:t>
      </w:r>
      <w:r w:rsidRPr="007F47B8">
        <w:rPr>
          <w:lang w:val="en-US"/>
        </w:rPr>
        <w:t xml:space="preserve">præfíxa, quæ omníno signíficat vírginem certam, cui prophéta, hæc verba enúntians, mente et cogitatióne sua inténtus erat ». </w:t>
      </w:r>
      <w:r w:rsidRPr="001077D9">
        <w:t>Voyez des citations dans Reinke,</w:t>
      </w:r>
      <w:r w:rsidRPr="0044481F">
        <w:rPr>
          <w:rStyle w:val="italicus"/>
        </w:rPr>
        <w:t xml:space="preserve"> Die Weissagung von der</w:t>
      </w:r>
      <w:r>
        <w:rPr>
          <w:rStyle w:val="italicus"/>
        </w:rPr>
        <w:t xml:space="preserve"> </w:t>
      </w:r>
      <w:r w:rsidRPr="0044481F">
        <w:rPr>
          <w:rStyle w:val="italicus"/>
        </w:rPr>
        <w:t>Jungfrau,</w:t>
      </w:r>
      <w:r w:rsidRPr="001077D9">
        <w:t xml:space="preserve"> p. 109 et 110. </w:t>
      </w:r>
    </w:p>
  </w:footnote>
  <w:footnote w:id="229">
    <w:p w:rsidR="007F47B8" w:rsidRPr="0042259C" w:rsidRDefault="007F47B8" w:rsidP="00C31960">
      <w:pPr>
        <w:pStyle w:val="Notedebasdepage"/>
        <w:rPr>
          <w:lang w:val="en-US"/>
        </w:rPr>
      </w:pPr>
      <w:r>
        <w:rPr>
          <w:rStyle w:val="Appelnotedebasdep"/>
        </w:rPr>
        <w:footnoteRef/>
      </w:r>
      <w:r w:rsidRPr="0042259C">
        <w:rPr>
          <w:lang w:val="en-US"/>
        </w:rPr>
        <w:t xml:space="preserve"> </w:t>
      </w:r>
      <w:r w:rsidRPr="00F84A0B">
        <w:rPr>
          <w:lang w:val="en-US"/>
        </w:rPr>
        <w:t xml:space="preserve">$ Stæhelin, </w:t>
      </w:r>
      <w:r w:rsidRPr="00F84A0B">
        <w:rPr>
          <w:rStyle w:val="italicus"/>
          <w:lang w:val="en-US"/>
        </w:rPr>
        <w:t xml:space="preserve">Die messianischen Weissagungen des A. Test., </w:t>
      </w:r>
      <w:r w:rsidRPr="00F84A0B">
        <w:rPr>
          <w:lang w:val="en-US"/>
        </w:rPr>
        <w:t xml:space="preserve">p. 47. </w:t>
      </w:r>
    </w:p>
  </w:footnote>
  <w:footnote w:id="230">
    <w:p w:rsidR="007F47B8" w:rsidRPr="0042259C" w:rsidRDefault="007F47B8" w:rsidP="00C31960">
      <w:pPr>
        <w:pStyle w:val="Notedebasdepage"/>
        <w:rPr>
          <w:lang w:val="en-US"/>
        </w:rPr>
      </w:pPr>
      <w:r>
        <w:rPr>
          <w:rStyle w:val="Appelnotedebasdep"/>
        </w:rPr>
        <w:footnoteRef/>
      </w:r>
      <w:r w:rsidRPr="0042259C">
        <w:rPr>
          <w:lang w:val="en-US"/>
        </w:rPr>
        <w:t xml:space="preserve"> </w:t>
      </w:r>
      <w:r w:rsidRPr="00F84A0B">
        <w:rPr>
          <w:rStyle w:val="italicus"/>
          <w:lang w:val="en-US"/>
        </w:rPr>
        <w:t>$ Anger, Vorlesunqen über die Geschichte der messian. Idee,</w:t>
      </w:r>
      <w:r w:rsidRPr="00F84A0B">
        <w:rPr>
          <w:lang w:val="en-US"/>
        </w:rPr>
        <w:t xml:space="preserve"> p. 47. </w:t>
      </w:r>
    </w:p>
  </w:footnote>
  <w:footnote w:id="231">
    <w:p w:rsidR="007F47B8" w:rsidRPr="007F47B8" w:rsidRDefault="007F47B8" w:rsidP="00C31960">
      <w:pPr>
        <w:pStyle w:val="Notedebasdepage"/>
        <w:rPr>
          <w:lang w:val="en-US"/>
        </w:rPr>
      </w:pPr>
      <w:r>
        <w:rPr>
          <w:rStyle w:val="Appelnotedebasdep"/>
        </w:rPr>
        <w:footnoteRef/>
      </w:r>
      <w:r w:rsidRPr="0042259C">
        <w:rPr>
          <w:lang w:val="en-US"/>
        </w:rPr>
        <w:t xml:space="preserve"> </w:t>
      </w:r>
      <w:r w:rsidRPr="00F84A0B">
        <w:rPr>
          <w:rStyle w:val="italicus"/>
          <w:lang w:val="en-US"/>
        </w:rPr>
        <w:t xml:space="preserve">$ </w:t>
      </w:r>
      <w:r w:rsidRPr="007F47B8">
        <w:rPr>
          <w:lang w:val="en-US"/>
        </w:rPr>
        <w:t>Cf. Hitzig,</w:t>
      </w:r>
      <w:r w:rsidRPr="00F84A0B">
        <w:rPr>
          <w:rStyle w:val="italicus"/>
          <w:lang w:val="en-US"/>
        </w:rPr>
        <w:t xml:space="preserve"> in h. l.</w:t>
      </w:r>
      <w:r w:rsidRPr="007F47B8">
        <w:rPr>
          <w:lang w:val="en-US"/>
        </w:rPr>
        <w:t xml:space="preserve"> </w:t>
      </w:r>
    </w:p>
  </w:footnote>
  <w:footnote w:id="232">
    <w:p w:rsidR="007F47B8" w:rsidRDefault="007F47B8" w:rsidP="00C31960">
      <w:pPr>
        <w:pStyle w:val="Notedebasdepage"/>
      </w:pPr>
      <w:r>
        <w:rPr>
          <w:rStyle w:val="Appelnotedebasdep"/>
        </w:rPr>
        <w:footnoteRef/>
      </w:r>
      <w:r>
        <w:t xml:space="preserve"> </w:t>
      </w:r>
      <w:r w:rsidRPr="001077D9">
        <w:t xml:space="preserve">$ </w:t>
      </w:r>
      <w:r w:rsidRPr="0044481F">
        <w:rPr>
          <w:rStyle w:val="italicus"/>
        </w:rPr>
        <w:t xml:space="preserve">Der Prophet Jesaja, </w:t>
      </w:r>
      <w:r w:rsidRPr="00A85B46">
        <w:t xml:space="preserve">p. 103. </w:t>
      </w:r>
    </w:p>
  </w:footnote>
  <w:footnote w:id="233">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Voyez Delitzsch,</w:t>
      </w:r>
      <w:r w:rsidRPr="0044481F">
        <w:rPr>
          <w:rStyle w:val="italicus"/>
        </w:rPr>
        <w:t xml:space="preserve"> Messianic Prophecies,</w:t>
      </w:r>
      <w:r w:rsidRPr="001077D9">
        <w:t xml:space="preserve"> p. 65. </w:t>
      </w:r>
    </w:p>
  </w:footnote>
  <w:footnote w:id="234">
    <w:p w:rsidR="007F47B8" w:rsidRDefault="007F47B8" w:rsidP="00C31960">
      <w:pPr>
        <w:pStyle w:val="Notedebasdepage"/>
      </w:pPr>
      <w:r>
        <w:rPr>
          <w:rStyle w:val="Appelnotedebasdep"/>
        </w:rPr>
        <w:footnoteRef/>
      </w:r>
      <w:r>
        <w:t xml:space="preserve"> </w:t>
      </w:r>
      <w:r w:rsidRPr="001077D9">
        <w:t xml:space="preserve">$ </w:t>
      </w:r>
      <w:r w:rsidRPr="0044481F">
        <w:rPr>
          <w:rStyle w:val="italicus"/>
        </w:rPr>
        <w:t xml:space="preserve">Deuxième lettre d’un rabbin converti, </w:t>
      </w:r>
      <w:r w:rsidRPr="00A85B46">
        <w:t xml:space="preserve">p. 109. </w:t>
      </w:r>
    </w:p>
  </w:footnote>
  <w:footnote w:id="235">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 De quo est mirum siléntium ». Bredenkamp,</w:t>
      </w:r>
      <w:r w:rsidRPr="0044481F">
        <w:rPr>
          <w:rStyle w:val="italicus"/>
        </w:rPr>
        <w:t xml:space="preserve"> t. c.,</w:t>
      </w:r>
      <w:r w:rsidRPr="001077D9">
        <w:t xml:space="preserve"> p. 17. </w:t>
      </w:r>
    </w:p>
  </w:footnote>
  <w:footnote w:id="236">
    <w:p w:rsidR="007F47B8" w:rsidRDefault="007F47B8" w:rsidP="00C31960">
      <w:pPr>
        <w:pStyle w:val="Notedebasdepage"/>
      </w:pPr>
      <w:r>
        <w:rPr>
          <w:rStyle w:val="Appelnotedebasdep"/>
        </w:rPr>
        <w:footnoteRef/>
      </w:r>
      <w:r>
        <w:t xml:space="preserve"> </w:t>
      </w:r>
      <w:r w:rsidRPr="001077D9">
        <w:t xml:space="preserve">$ </w:t>
      </w:r>
      <w:r w:rsidRPr="0044481F">
        <w:rPr>
          <w:rStyle w:val="italicus"/>
        </w:rPr>
        <w:t xml:space="preserve">Knabenbauer, Erklärung des Propheten Isaias, </w:t>
      </w:r>
      <w:r w:rsidRPr="00A85B46">
        <w:t xml:space="preserve">p. 123. </w:t>
      </w:r>
    </w:p>
  </w:footnote>
  <w:footnote w:id="237">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Cf. Delitzsch,</w:t>
      </w:r>
      <w:r w:rsidRPr="0044481F">
        <w:rPr>
          <w:rStyle w:val="italicus"/>
        </w:rPr>
        <w:t xml:space="preserve"> Messianic Prophecies</w:t>
      </w:r>
      <w:r w:rsidRPr="001077D9">
        <w:t xml:space="preserve">, p. 65 : « La forme de </w:t>
      </w:r>
      <w:r w:rsidRPr="00A85B46">
        <w:t>l’expression (</w:t>
      </w:r>
      <w:r w:rsidRPr="0044481F">
        <w:rPr>
          <w:rStyle w:val="italicus"/>
        </w:rPr>
        <w:t>vocábis</w:t>
      </w:r>
      <w:r w:rsidRPr="00BA383E">
        <w:t xml:space="preserve">) </w:t>
      </w:r>
      <w:r w:rsidRPr="001077D9">
        <w:t>montre que la pensée d’un homme est éloignée de l’esprit du prophète, puisque c’est la mère (contrairement à l’usage</w:t>
      </w:r>
      <w:r w:rsidRPr="00BA383E">
        <w:t xml:space="preserve">) </w:t>
      </w:r>
      <w:r w:rsidRPr="001077D9">
        <w:t xml:space="preserve">qui doit donner le nom de l’enfant ». Comme l’a dit un vieux poète : </w:t>
      </w:r>
    </w:p>
    <w:p w:rsidR="007F47B8" w:rsidRDefault="007F47B8" w:rsidP="00C31960">
      <w:pPr>
        <w:pStyle w:val="Notedebasdepage"/>
        <w:rPr>
          <w:rStyle w:val="italicus"/>
        </w:rPr>
      </w:pPr>
      <w:r w:rsidRPr="0044481F">
        <w:rPr>
          <w:rStyle w:val="italicus"/>
        </w:rPr>
        <w:t xml:space="preserve">Sola fuit múlier, qua pátuit jánua letho, </w:t>
      </w:r>
    </w:p>
    <w:p w:rsidR="007F47B8" w:rsidRPr="0042259C" w:rsidRDefault="007F47B8" w:rsidP="00C31960">
      <w:pPr>
        <w:pStyle w:val="Notedebasdepage"/>
        <w:rPr>
          <w:i/>
        </w:rPr>
      </w:pPr>
      <w:r w:rsidRPr="0044481F">
        <w:rPr>
          <w:rStyle w:val="italicus"/>
        </w:rPr>
        <w:t xml:space="preserve">Ex qua vita redit sola fuit múlier. </w:t>
      </w:r>
    </w:p>
  </w:footnote>
  <w:footnote w:id="238">
    <w:p w:rsidR="007F47B8" w:rsidRPr="001077D9" w:rsidRDefault="007F47B8" w:rsidP="00C31960">
      <w:pPr>
        <w:pStyle w:val="Notedebasdepage"/>
      </w:pPr>
      <w:r>
        <w:rPr>
          <w:rStyle w:val="Appelnotedebasdep"/>
        </w:rPr>
        <w:footnoteRef/>
      </w:r>
      <w:r>
        <w:t xml:space="preserve"> </w:t>
      </w:r>
      <w:r>
        <w:rPr>
          <w:rStyle w:val="italicus"/>
        </w:rPr>
        <w:t xml:space="preserve">$ </w:t>
      </w:r>
      <w:r w:rsidRPr="0044481F">
        <w:rPr>
          <w:rStyle w:val="italicus"/>
        </w:rPr>
        <w:t>Harmonie,</w:t>
      </w:r>
      <w:r w:rsidRPr="001077D9">
        <w:t xml:space="preserve"> t. II, p. 16. </w:t>
      </w:r>
    </w:p>
  </w:footnote>
  <w:footnote w:id="239">
    <w:p w:rsidR="007F47B8" w:rsidRPr="0042259C" w:rsidRDefault="007F47B8" w:rsidP="00C31960">
      <w:pPr>
        <w:pStyle w:val="Notedebasdepage"/>
        <w:rPr>
          <w:i/>
          <w:lang w:val="en-US"/>
        </w:rPr>
      </w:pPr>
      <w:r>
        <w:rPr>
          <w:rStyle w:val="Appelnotedebasdep"/>
        </w:rPr>
        <w:footnoteRef/>
      </w:r>
      <w:r>
        <w:t xml:space="preserve"> </w:t>
      </w:r>
      <w:r w:rsidRPr="001077D9">
        <w:t xml:space="preserve">$ « Virgo, quæ licet jam grávida, sit tamen maneátque virgo ». </w:t>
      </w:r>
      <w:r w:rsidRPr="007F47B8">
        <w:rPr>
          <w:lang w:val="en-US"/>
        </w:rPr>
        <w:t>Rosenmüller,</w:t>
      </w:r>
      <w:r w:rsidRPr="00F84A0B">
        <w:rPr>
          <w:rStyle w:val="italicus"/>
          <w:lang w:val="en-US"/>
        </w:rPr>
        <w:t xml:space="preserve"> Schólia</w:t>
      </w:r>
      <w:r w:rsidRPr="007F47B8">
        <w:rPr>
          <w:lang w:val="en-US"/>
        </w:rPr>
        <w:t xml:space="preserve"> in Is., p. 257. </w:t>
      </w:r>
    </w:p>
  </w:footnote>
  <w:footnote w:id="240">
    <w:p w:rsidR="007F47B8" w:rsidRPr="007F47B8" w:rsidRDefault="007F47B8" w:rsidP="00C31960">
      <w:pPr>
        <w:pStyle w:val="Notedebasdepage"/>
        <w:rPr>
          <w:lang w:val="en-US"/>
        </w:rPr>
      </w:pPr>
      <w:r>
        <w:rPr>
          <w:rStyle w:val="Appelnotedebasdep"/>
        </w:rPr>
        <w:footnoteRef/>
      </w:r>
      <w:r w:rsidRPr="0042259C">
        <w:rPr>
          <w:lang w:val="en-US"/>
        </w:rPr>
        <w:t xml:space="preserve"> </w:t>
      </w:r>
      <w:r w:rsidRPr="00F84A0B">
        <w:rPr>
          <w:rStyle w:val="italicus"/>
          <w:lang w:val="en-US"/>
        </w:rPr>
        <w:t>$ The Prophecies of Isaiah,</w:t>
      </w:r>
      <w:r w:rsidRPr="007F47B8">
        <w:rPr>
          <w:lang w:val="en-US"/>
        </w:rPr>
        <w:t xml:space="preserve"> t. II, p. 171. </w:t>
      </w:r>
    </w:p>
  </w:footnote>
  <w:footnote w:id="241">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Loc. cit.,</w:t>
      </w:r>
      <w:r w:rsidRPr="001077D9">
        <w:t xml:space="preserve"> p. 28. </w:t>
      </w:r>
    </w:p>
  </w:footnote>
  <w:footnote w:id="242">
    <w:p w:rsidR="007F47B8" w:rsidRPr="001077D9" w:rsidRDefault="007F47B8" w:rsidP="00C31960">
      <w:pPr>
        <w:pStyle w:val="Notedebasdepage"/>
      </w:pPr>
      <w:r>
        <w:rPr>
          <w:rStyle w:val="Appelnotedebasdep"/>
        </w:rPr>
        <w:footnoteRef/>
      </w:r>
      <w:r>
        <w:t xml:space="preserve"> </w:t>
      </w:r>
      <w:r w:rsidRPr="001077D9">
        <w:t xml:space="preserve">$ Traduction de E. Littré, t. I, p. 194. </w:t>
      </w:r>
    </w:p>
  </w:footnote>
  <w:footnote w:id="243">
    <w:p w:rsidR="007F47B8" w:rsidRDefault="007F47B8" w:rsidP="00C31960">
      <w:pPr>
        <w:pStyle w:val="Notedebasdepage"/>
      </w:pPr>
      <w:r>
        <w:rPr>
          <w:rStyle w:val="Appelnotedebasdep"/>
        </w:rPr>
        <w:footnoteRef/>
      </w:r>
      <w:r>
        <w:t xml:space="preserve"> </w:t>
      </w:r>
      <w:r w:rsidRPr="001077D9">
        <w:t xml:space="preserve">$ </w:t>
      </w:r>
      <w:r w:rsidRPr="0044481F">
        <w:rPr>
          <w:rStyle w:val="italicus"/>
        </w:rPr>
        <w:t xml:space="preserve">Les Prophètes, </w:t>
      </w:r>
      <w:r w:rsidRPr="00A85B46">
        <w:t xml:space="preserve">t. I, p. 234. </w:t>
      </w:r>
    </w:p>
  </w:footnote>
  <w:footnote w:id="244">
    <w:p w:rsidR="007F47B8" w:rsidRPr="0042259C" w:rsidRDefault="007F47B8" w:rsidP="00C31960">
      <w:pPr>
        <w:pStyle w:val="Notedebasdepage"/>
        <w:rPr>
          <w:i/>
        </w:rPr>
      </w:pPr>
      <w:r>
        <w:rPr>
          <w:rStyle w:val="Appelnotedebasdep"/>
        </w:rPr>
        <w:footnoteRef/>
      </w:r>
      <w:r>
        <w:t xml:space="preserve"> </w:t>
      </w:r>
      <w:r>
        <w:rPr>
          <w:rStyle w:val="italicus"/>
        </w:rPr>
        <w:t xml:space="preserve">$ </w:t>
      </w:r>
      <w:r w:rsidRPr="0044481F">
        <w:rPr>
          <w:rStyle w:val="italicus"/>
        </w:rPr>
        <w:t xml:space="preserve">Commentar zu Jesaias, t. I, p. 312. </w:t>
      </w:r>
    </w:p>
  </w:footnote>
  <w:footnote w:id="245">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Les</w:t>
      </w:r>
      <w:r w:rsidRPr="0044481F">
        <w:rPr>
          <w:rStyle w:val="italicus"/>
        </w:rPr>
        <w:t xml:space="preserve"> rational</w:t>
      </w:r>
      <w:r>
        <w:rPr>
          <w:rStyle w:val="italicus"/>
        </w:rPr>
        <w:t>í</w:t>
      </w:r>
      <w:r w:rsidRPr="0044481F">
        <w:rPr>
          <w:rStyle w:val="italicus"/>
        </w:rPr>
        <w:t>stæ minores</w:t>
      </w:r>
      <w:r w:rsidRPr="001077D9">
        <w:t xml:space="preserve"> raisonnent tout à fait comme leurs coryphées. </w:t>
      </w:r>
      <w:r w:rsidRPr="0044481F">
        <w:rPr>
          <w:rStyle w:val="italicus"/>
        </w:rPr>
        <w:t>« Ha-</w:t>
      </w:r>
      <w:r w:rsidRPr="00D05EA9">
        <w:rPr>
          <w:rStyle w:val="italicus"/>
        </w:rPr>
        <w:t>῾almah</w:t>
      </w:r>
      <w:r w:rsidRPr="001077D9">
        <w:t xml:space="preserve"> désigne le temps, le temps rapproché, où s’accomplira la prophétie qui concerne Emmanuel » ; ainsi nous écrivait M. le rabbin L. Philippson. « Le tout ne peut en aucune façon se rapporter à un avenir éloigné, qui ne serait saisissable que par la foi. Un signe est une garantie </w:t>
      </w:r>
      <w:r w:rsidRPr="0044481F">
        <w:rPr>
          <w:rStyle w:val="italicus"/>
        </w:rPr>
        <w:t>visible</w:t>
      </w:r>
      <w:r w:rsidRPr="001077D9">
        <w:t xml:space="preserve"> et ne saurait nécessiter à son tour une autre garantie. Par conséquent l’</w:t>
      </w:r>
      <w:r w:rsidRPr="00D05EA9">
        <w:rPr>
          <w:rStyle w:val="italicus"/>
        </w:rPr>
        <w:t>῾almah</w:t>
      </w:r>
      <w:r w:rsidRPr="0044481F">
        <w:rPr>
          <w:rStyle w:val="italicus"/>
        </w:rPr>
        <w:t>,</w:t>
      </w:r>
      <w:r w:rsidRPr="001077D9">
        <w:t xml:space="preserve"> dont le fils doit garantir par son nom et par sa destinée le sort de son peuple, doit absolument appartenir au</w:t>
      </w:r>
      <w:r w:rsidRPr="0044481F">
        <w:rPr>
          <w:rStyle w:val="italicus"/>
        </w:rPr>
        <w:t xml:space="preserve"> présent</w:t>
      </w:r>
      <w:r w:rsidRPr="001077D9">
        <w:t xml:space="preserve"> du prophète ». H. Schultz,</w:t>
      </w:r>
      <w:r>
        <w:rPr>
          <w:rStyle w:val="italicus"/>
        </w:rPr>
        <w:t xml:space="preserve"> Alt</w:t>
      </w:r>
      <w:r w:rsidRPr="0044481F">
        <w:rPr>
          <w:rStyle w:val="italicus"/>
        </w:rPr>
        <w:t>testamentliche Theologie,</w:t>
      </w:r>
      <w:r w:rsidRPr="001077D9">
        <w:t xml:space="preserve"> p. 731. Voyez Reinke,</w:t>
      </w:r>
      <w:r w:rsidRPr="0044481F">
        <w:rPr>
          <w:rStyle w:val="italicus"/>
        </w:rPr>
        <w:t xml:space="preserve"> Die Weissagung von der Jungfrau und vom Immanuel,</w:t>
      </w:r>
      <w:r w:rsidRPr="001077D9">
        <w:t xml:space="preserve"> p. 10. </w:t>
      </w:r>
    </w:p>
  </w:footnote>
  <w:footnote w:id="246">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De Evangéliis,</w:t>
      </w:r>
      <w:r w:rsidRPr="001077D9">
        <w:t xml:space="preserve"> lib. III, dissert. XVI. </w:t>
      </w:r>
    </w:p>
  </w:footnote>
  <w:footnote w:id="247">
    <w:p w:rsidR="007F47B8" w:rsidRDefault="007F47B8" w:rsidP="00C31960">
      <w:pPr>
        <w:pStyle w:val="Notedebasdepage"/>
      </w:pPr>
      <w:r>
        <w:rPr>
          <w:rStyle w:val="Appelnotedebasdep"/>
        </w:rPr>
        <w:footnoteRef/>
      </w:r>
      <w:r>
        <w:t xml:space="preserve"> </w:t>
      </w:r>
      <w:r w:rsidRPr="001077D9">
        <w:t xml:space="preserve">$ </w:t>
      </w:r>
      <w:r w:rsidRPr="0044481F">
        <w:rPr>
          <w:rStyle w:val="italicus"/>
        </w:rPr>
        <w:t xml:space="preserve">Les trois grands Prophètes, </w:t>
      </w:r>
      <w:r w:rsidRPr="00114C26">
        <w:t xml:space="preserve">p. 61. </w:t>
      </w:r>
    </w:p>
  </w:footnote>
  <w:footnote w:id="248">
    <w:p w:rsidR="007F47B8" w:rsidRPr="0042259C" w:rsidRDefault="007F47B8" w:rsidP="00C31960">
      <w:pPr>
        <w:pStyle w:val="Notedebasdepage"/>
        <w:rPr>
          <w:i/>
        </w:rPr>
      </w:pPr>
      <w:r>
        <w:rPr>
          <w:rStyle w:val="Appelnotedebasdep"/>
        </w:rPr>
        <w:footnoteRef/>
      </w:r>
      <w:r>
        <w:t xml:space="preserve"> </w:t>
      </w:r>
      <w:r w:rsidRPr="00114C26">
        <w:t>$ Voyez la</w:t>
      </w:r>
      <w:r w:rsidRPr="0044481F">
        <w:rPr>
          <w:rStyle w:val="italicus"/>
        </w:rPr>
        <w:t xml:space="preserve"> Bible annotée, </w:t>
      </w:r>
      <w:r w:rsidRPr="00114C26">
        <w:t>p. 73.</w:t>
      </w:r>
      <w:r w:rsidRPr="0044481F">
        <w:rPr>
          <w:rStyle w:val="italicus"/>
        </w:rPr>
        <w:t xml:space="preserve"> </w:t>
      </w:r>
    </w:p>
  </w:footnote>
  <w:footnote w:id="249">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Vulgate :</w:t>
      </w:r>
      <w:r w:rsidRPr="0044481F">
        <w:rPr>
          <w:rStyle w:val="italicus"/>
        </w:rPr>
        <w:t xml:space="preserve"> bútyrum ;</w:t>
      </w:r>
      <w:r w:rsidRPr="001077D9">
        <w:t xml:space="preserve"> mais le mot hébreu désigne plutôt la crème. Du reste, le beurre proprement dit est peu connu dans l’Orient biblique. </w:t>
      </w:r>
    </w:p>
  </w:footnote>
  <w:footnote w:id="250">
    <w:p w:rsidR="007F47B8" w:rsidRPr="0042259C" w:rsidRDefault="007F47B8" w:rsidP="00C31960">
      <w:pPr>
        <w:pStyle w:val="Notedebasdepage"/>
        <w:rPr>
          <w:i/>
        </w:rPr>
      </w:pPr>
      <w:r>
        <w:rPr>
          <w:rStyle w:val="Appelnotedebasdep"/>
        </w:rPr>
        <w:footnoteRef/>
      </w:r>
      <w:r>
        <w:t xml:space="preserve"> </w:t>
      </w:r>
      <w:r w:rsidRPr="001077D9">
        <w:t xml:space="preserve">$ </w:t>
      </w:r>
      <w:r w:rsidRPr="00114C26">
        <w:t>I, 39 :</w:t>
      </w:r>
      <w:r w:rsidRPr="0044481F">
        <w:rPr>
          <w:rStyle w:val="italicus"/>
        </w:rPr>
        <w:t xml:space="preserve"> Párvuli vestri… et fílii, qui hódie boni ac mali ignorant distántiam. </w:t>
      </w:r>
    </w:p>
  </w:footnote>
  <w:footnote w:id="251">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 xml:space="preserve">VIII, 4. </w:t>
      </w:r>
    </w:p>
  </w:footnote>
  <w:footnote w:id="252">
    <w:p w:rsidR="007F47B8" w:rsidRPr="001077D9" w:rsidRDefault="007F47B8" w:rsidP="00C31960">
      <w:pPr>
        <w:pStyle w:val="Notedebasdepage"/>
      </w:pPr>
      <w:r>
        <w:rPr>
          <w:rStyle w:val="Appelnotedebasdep"/>
        </w:rPr>
        <w:footnoteRef/>
      </w:r>
      <w:r>
        <w:t xml:space="preserve"> </w:t>
      </w:r>
      <w:r w:rsidRPr="001077D9">
        <w:t xml:space="preserve">$ IV, 11. </w:t>
      </w:r>
    </w:p>
  </w:footnote>
  <w:footnote w:id="253">
    <w:p w:rsidR="007F47B8" w:rsidRPr="001077D9" w:rsidRDefault="007F47B8" w:rsidP="00C31960">
      <w:pPr>
        <w:pStyle w:val="Notedebasdepage"/>
      </w:pPr>
      <w:r>
        <w:rPr>
          <w:rStyle w:val="Appelnotedebasdep"/>
        </w:rPr>
        <w:footnoteRef/>
      </w:r>
      <w:r>
        <w:t xml:space="preserve"> </w:t>
      </w:r>
      <w:r w:rsidRPr="001077D9">
        <w:t xml:space="preserve">$ Naturellement, on n’en saurait déterminer le nombre d’une manière absolue, l’expression étant un peu large. Il est certain du moins qu’il ne s’agit que d’un temps assez court. Aussi a-t-on fortement exagéré quand on l’a évalué à dix, à douze et même à vingt ans. </w:t>
      </w:r>
    </w:p>
  </w:footnote>
  <w:footnote w:id="254">
    <w:p w:rsidR="007F47B8" w:rsidRPr="001077D9" w:rsidRDefault="007F47B8" w:rsidP="00C31960">
      <w:pPr>
        <w:pStyle w:val="Notedebasdepage"/>
      </w:pPr>
      <w:r>
        <w:rPr>
          <w:rStyle w:val="Appelnotedebasdep"/>
        </w:rPr>
        <w:footnoteRef/>
      </w:r>
      <w:r>
        <w:t xml:space="preserve"> </w:t>
      </w:r>
      <w:r w:rsidRPr="001077D9">
        <w:t>$ Saint Jérôme,</w:t>
      </w:r>
      <w:r w:rsidRPr="0044481F">
        <w:rPr>
          <w:rStyle w:val="italicus"/>
        </w:rPr>
        <w:t xml:space="preserve"> Comm. in h. l.</w:t>
      </w:r>
      <w:r w:rsidRPr="001077D9">
        <w:t xml:space="preserve"> De même les Pères les plus anciens. </w:t>
      </w:r>
    </w:p>
  </w:footnote>
  <w:footnote w:id="255">
    <w:p w:rsidR="007F47B8" w:rsidRDefault="007F47B8" w:rsidP="00C31960">
      <w:pPr>
        <w:pStyle w:val="Notedebasdepage"/>
      </w:pPr>
      <w:r>
        <w:rPr>
          <w:rStyle w:val="Appelnotedebasdep"/>
        </w:rPr>
        <w:footnoteRef/>
      </w:r>
      <w:r>
        <w:t xml:space="preserve"> </w:t>
      </w:r>
      <w:r w:rsidRPr="00521D36">
        <w:t xml:space="preserve">$ C’est aussi celle du syriaque, </w:t>
      </w:r>
      <w:r w:rsidRPr="00521D36">
        <w:rPr>
          <w:bCs w:val="0"/>
          <w:szCs w:val="23"/>
          <w:rtl/>
          <w:lang w:bidi="he-IL"/>
        </w:rPr>
        <w:t>דידע</w:t>
      </w:r>
      <w:r w:rsidRPr="00521D36">
        <w:t xml:space="preserve">. </w:t>
      </w:r>
    </w:p>
  </w:footnote>
  <w:footnote w:id="256">
    <w:p w:rsidR="007F47B8" w:rsidRPr="001077D9" w:rsidRDefault="007F47B8" w:rsidP="00C31960">
      <w:pPr>
        <w:pStyle w:val="Notedebasdepage"/>
      </w:pPr>
      <w:r>
        <w:rPr>
          <w:rStyle w:val="Appelnotedebasdep"/>
        </w:rPr>
        <w:footnoteRef/>
      </w:r>
      <w:r>
        <w:t xml:space="preserve"> </w:t>
      </w:r>
      <w:r w:rsidRPr="001077D9">
        <w:t xml:space="preserve">$ Comp. le verset 16. </w:t>
      </w:r>
    </w:p>
  </w:footnote>
  <w:footnote w:id="257">
    <w:p w:rsidR="007F47B8" w:rsidRPr="001077D9" w:rsidRDefault="007F47B8" w:rsidP="00C31960">
      <w:pPr>
        <w:pStyle w:val="Notedebasdepage"/>
      </w:pPr>
      <w:r>
        <w:rPr>
          <w:rStyle w:val="Appelnotedebasdep"/>
        </w:rPr>
        <w:footnoteRef/>
      </w:r>
      <w:r>
        <w:t xml:space="preserve"> </w:t>
      </w:r>
      <w:r w:rsidRPr="001077D9">
        <w:t xml:space="preserve">$ Πρὶν ἡ γνῶναι αὐτόν. </w:t>
      </w:r>
    </w:p>
  </w:footnote>
  <w:footnote w:id="258">
    <w:p w:rsidR="007F47B8" w:rsidRPr="001077D9" w:rsidRDefault="007F47B8" w:rsidP="00C31960">
      <w:pPr>
        <w:pStyle w:val="Notedebasdepage"/>
      </w:pPr>
      <w:r>
        <w:rPr>
          <w:rStyle w:val="Appelnotedebasdep"/>
        </w:rPr>
        <w:footnoteRef/>
      </w:r>
      <w:r>
        <w:t xml:space="preserve"> </w:t>
      </w:r>
      <w:r w:rsidRPr="001077D9">
        <w:t>$ Sur cette signification (</w:t>
      </w:r>
      <w:r w:rsidRPr="0044481F">
        <w:rPr>
          <w:rStyle w:val="italicus"/>
        </w:rPr>
        <w:t>donec</w:t>
      </w:r>
      <w:r w:rsidRPr="00BA383E">
        <w:t xml:space="preserve">) </w:t>
      </w:r>
      <w:r w:rsidRPr="001077D9">
        <w:t>d</w:t>
      </w:r>
      <w:r w:rsidRPr="00521D36">
        <w:t xml:space="preserve">u </w:t>
      </w:r>
      <w:r w:rsidRPr="00521D36">
        <w:rPr>
          <w:bCs w:val="0"/>
          <w:szCs w:val="23"/>
          <w:rtl/>
          <w:lang w:bidi="he-IL"/>
        </w:rPr>
        <w:t xml:space="preserve">ל </w:t>
      </w:r>
      <w:r w:rsidRPr="001077D9">
        <w:t xml:space="preserve">devant l’infinitif, voyez Gesenius, </w:t>
      </w:r>
      <w:r>
        <w:rPr>
          <w:rStyle w:val="italicus"/>
        </w:rPr>
        <w:t>Thesáurus</w:t>
      </w:r>
      <w:r w:rsidRPr="0044481F">
        <w:rPr>
          <w:rStyle w:val="italicus"/>
        </w:rPr>
        <w:t> ;</w:t>
      </w:r>
      <w:r w:rsidRPr="001077D9">
        <w:t xml:space="preserve"> Reinke,</w:t>
      </w:r>
      <w:r w:rsidRPr="0044481F">
        <w:rPr>
          <w:rStyle w:val="italicus"/>
        </w:rPr>
        <w:t xml:space="preserve"> Die Weissagung</w:t>
      </w:r>
      <w:r w:rsidRPr="001077D9">
        <w:t xml:space="preserve"> von</w:t>
      </w:r>
      <w:r w:rsidRPr="0044481F">
        <w:rPr>
          <w:rStyle w:val="italicus"/>
        </w:rPr>
        <w:t xml:space="preserve"> der Jungfrau,</w:t>
      </w:r>
      <w:r w:rsidRPr="001077D9">
        <w:t xml:space="preserve"> p. 190, et les grandes grammaires hébraïques. </w:t>
      </w:r>
    </w:p>
  </w:footnote>
  <w:footnote w:id="259">
    <w:p w:rsidR="007F47B8" w:rsidRPr="001077D9" w:rsidRDefault="007F47B8" w:rsidP="00C31960">
      <w:pPr>
        <w:pStyle w:val="Notedebasdepage"/>
      </w:pPr>
      <w:r>
        <w:rPr>
          <w:rStyle w:val="Appelnotedebasdep"/>
        </w:rPr>
        <w:footnoteRef/>
      </w:r>
      <w:r>
        <w:t xml:space="preserve"> </w:t>
      </w:r>
      <w:r w:rsidRPr="001077D9">
        <w:t>$ Comparez Isaïe IX, 5 :</w:t>
      </w:r>
      <w:r w:rsidRPr="0044481F">
        <w:rPr>
          <w:rStyle w:val="italicus"/>
        </w:rPr>
        <w:t xml:space="preserve"> Vocábitur nomen ejus Admirábilis.</w:t>
      </w:r>
      <w:r w:rsidRPr="001077D9">
        <w:t xml:space="preserve"> </w:t>
      </w:r>
    </w:p>
  </w:footnote>
  <w:footnote w:id="260">
    <w:p w:rsidR="007F47B8" w:rsidRPr="007F47B8" w:rsidRDefault="007F47B8" w:rsidP="00C31960">
      <w:pPr>
        <w:pStyle w:val="Notedebasdepage"/>
        <w:rPr>
          <w:lang w:val="en-US"/>
        </w:rPr>
      </w:pPr>
      <w:r>
        <w:rPr>
          <w:rStyle w:val="Appelnotedebasdep"/>
        </w:rPr>
        <w:footnoteRef/>
      </w:r>
      <w:r w:rsidRPr="0042259C">
        <w:rPr>
          <w:lang w:val="en-US"/>
        </w:rPr>
        <w:t xml:space="preserve"> </w:t>
      </w:r>
      <w:r w:rsidRPr="007F47B8">
        <w:rPr>
          <w:lang w:val="en-US"/>
        </w:rPr>
        <w:t>$ Ch. Bruston,</w:t>
      </w:r>
      <w:r w:rsidRPr="00F84A0B">
        <w:rPr>
          <w:rStyle w:val="italicus"/>
          <w:lang w:val="en-US"/>
        </w:rPr>
        <w:t xml:space="preserve"> l. c.,</w:t>
      </w:r>
      <w:r w:rsidRPr="007F47B8">
        <w:rPr>
          <w:lang w:val="en-US"/>
        </w:rPr>
        <w:t xml:space="preserve"> p. 139. </w:t>
      </w:r>
    </w:p>
  </w:footnote>
  <w:footnote w:id="261">
    <w:p w:rsidR="007F47B8" w:rsidRPr="001077D9" w:rsidRDefault="007F47B8" w:rsidP="00C31960">
      <w:pPr>
        <w:pStyle w:val="Notedebasdepage"/>
      </w:pPr>
      <w:r>
        <w:rPr>
          <w:rStyle w:val="Appelnotedebasdep"/>
        </w:rPr>
        <w:footnoteRef/>
      </w:r>
      <w:r>
        <w:t xml:space="preserve"> </w:t>
      </w:r>
      <w:r w:rsidRPr="001077D9">
        <w:t>$ Schultz,</w:t>
      </w:r>
      <w:r>
        <w:rPr>
          <w:rStyle w:val="italicus"/>
        </w:rPr>
        <w:t xml:space="preserve"> Alt</w:t>
      </w:r>
      <w:r w:rsidRPr="0044481F">
        <w:rPr>
          <w:rStyle w:val="italicus"/>
        </w:rPr>
        <w:t>testamentliche Theologie,</w:t>
      </w:r>
      <w:r w:rsidRPr="001077D9">
        <w:t xml:space="preserve"> p. 733. Cette interprétation, dit fort bien M. F. Delitzsch,</w:t>
      </w:r>
      <w:r w:rsidRPr="0044481F">
        <w:rPr>
          <w:rStyle w:val="italicus"/>
        </w:rPr>
        <w:t xml:space="preserve"> Messianic Prophecies,</w:t>
      </w:r>
      <w:r w:rsidRPr="001077D9">
        <w:t xml:space="preserve"> p. 65, est réfutée par</w:t>
      </w:r>
      <w:r w:rsidRPr="0044481F">
        <w:rPr>
          <w:rStyle w:val="italicus"/>
        </w:rPr>
        <w:t xml:space="preserve"> Is.</w:t>
      </w:r>
      <w:r w:rsidRPr="001077D9">
        <w:t xml:space="preserve"> IX, 5-7, XI, 1-10. </w:t>
      </w:r>
    </w:p>
  </w:footnote>
  <w:footnote w:id="262">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Commentary on Isaiah,</w:t>
      </w:r>
      <w:r w:rsidRPr="001077D9">
        <w:t xml:space="preserve"> t. II, p. 183. Il ajoute : « La vague intuition d’Isaïe, qu’il y avait quelque chose de remarquable dans les circonstances relatives à la mère, doit, à un point de vue chrétien (seulement à ce point de vue ? ?</w:t>
      </w:r>
      <w:r w:rsidRPr="00BA383E">
        <w:t xml:space="preserve">), </w:t>
      </w:r>
      <w:r w:rsidRPr="001077D9">
        <w:t xml:space="preserve">être attribuée à l’esprit du Christ qui était dans le prophète ». </w:t>
      </w:r>
    </w:p>
  </w:footnote>
  <w:footnote w:id="263">
    <w:p w:rsidR="007F47B8" w:rsidRPr="001077D9" w:rsidRDefault="007F47B8" w:rsidP="00C31960">
      <w:pPr>
        <w:pStyle w:val="Notedebasdepage"/>
      </w:pPr>
      <w:r>
        <w:rPr>
          <w:rStyle w:val="Appelnotedebasdep"/>
        </w:rPr>
        <w:footnoteRef/>
      </w:r>
      <w:r>
        <w:t xml:space="preserve"> </w:t>
      </w:r>
      <w:r w:rsidRPr="001077D9">
        <w:t>$ Voyez aussi Küper,</w:t>
      </w:r>
      <w:r w:rsidRPr="0044481F">
        <w:rPr>
          <w:rStyle w:val="italicus"/>
        </w:rPr>
        <w:t xml:space="preserve"> Das Prophetenthum, des A. B., p.</w:t>
      </w:r>
      <w:r w:rsidRPr="001077D9">
        <w:t xml:space="preserve"> 221. Daniel, nous dit-il, aurait commis une erreur semblable. </w:t>
      </w:r>
    </w:p>
  </w:footnote>
  <w:footnote w:id="264">
    <w:p w:rsidR="007F47B8" w:rsidRPr="001077D9" w:rsidRDefault="007F47B8" w:rsidP="00C31960">
      <w:pPr>
        <w:pStyle w:val="Notedebasdepage"/>
      </w:pPr>
      <w:r>
        <w:rPr>
          <w:rStyle w:val="Appelnotedebasdep"/>
        </w:rPr>
        <w:footnoteRef/>
      </w:r>
      <w:r>
        <w:t xml:space="preserve"> </w:t>
      </w:r>
      <w:r w:rsidRPr="001077D9">
        <w:t xml:space="preserve">$ </w:t>
      </w:r>
      <w:r w:rsidRPr="00FA05E8">
        <w:rPr>
          <w:rStyle w:val="italicus"/>
        </w:rPr>
        <w:t>L. c.,</w:t>
      </w:r>
      <w:r w:rsidRPr="001077D9">
        <w:t xml:space="preserve"> p. 726. </w:t>
      </w:r>
    </w:p>
  </w:footnote>
  <w:footnote w:id="265">
    <w:p w:rsidR="007F47B8" w:rsidRPr="001077D9" w:rsidRDefault="007F47B8" w:rsidP="00C31960">
      <w:pPr>
        <w:pStyle w:val="Notedebasdepage"/>
      </w:pPr>
      <w:r>
        <w:rPr>
          <w:rStyle w:val="Appelnotedebasdep"/>
        </w:rPr>
        <w:footnoteRef/>
      </w:r>
      <w:r>
        <w:t xml:space="preserve"> </w:t>
      </w:r>
      <w:r w:rsidRPr="001077D9">
        <w:t>$ Bredenkamp,</w:t>
      </w:r>
      <w:r w:rsidRPr="0044481F">
        <w:rPr>
          <w:rStyle w:val="italicus"/>
        </w:rPr>
        <w:t xml:space="preserve"> Vaticínium de Immanuéle,</w:t>
      </w:r>
      <w:r w:rsidRPr="001077D9">
        <w:t xml:space="preserve"> p. 30. Voyez les chap. VIII, IX, XI, d’Isaïe. </w:t>
      </w:r>
    </w:p>
  </w:footnote>
  <w:footnote w:id="266">
    <w:p w:rsidR="007F47B8" w:rsidRPr="001077D9" w:rsidRDefault="007F47B8" w:rsidP="00C31960">
      <w:pPr>
        <w:pStyle w:val="Notedebasdepage"/>
      </w:pPr>
      <w:r>
        <w:rPr>
          <w:rStyle w:val="Appelnotedebasdep"/>
        </w:rPr>
        <w:footnoteRef/>
      </w:r>
      <w:r>
        <w:t xml:space="preserve"> </w:t>
      </w:r>
      <w:r w:rsidRPr="001077D9">
        <w:t>$ Cité par Reinke,</w:t>
      </w:r>
      <w:r w:rsidRPr="0044481F">
        <w:rPr>
          <w:rStyle w:val="italicus"/>
        </w:rPr>
        <w:t xml:space="preserve"> l. c.,</w:t>
      </w:r>
      <w:r w:rsidRPr="001077D9">
        <w:t xml:space="preserve"> p. 407 et 408. </w:t>
      </w:r>
    </w:p>
  </w:footnote>
  <w:footnote w:id="267">
    <w:p w:rsidR="007F47B8" w:rsidRPr="001077D9" w:rsidRDefault="007F47B8" w:rsidP="00C31960">
      <w:pPr>
        <w:pStyle w:val="Notedebasdepage"/>
      </w:pPr>
      <w:r>
        <w:rPr>
          <w:rStyle w:val="Appelnotedebasdep"/>
        </w:rPr>
        <w:footnoteRef/>
      </w:r>
      <w:r>
        <w:t xml:space="preserve"> </w:t>
      </w:r>
      <w:r w:rsidRPr="001077D9">
        <w:t xml:space="preserve">$ VII, 3. </w:t>
      </w:r>
    </w:p>
  </w:footnote>
  <w:footnote w:id="268">
    <w:p w:rsidR="007F47B8" w:rsidRPr="001077D9" w:rsidRDefault="007F47B8" w:rsidP="00C31960">
      <w:pPr>
        <w:pStyle w:val="Notedebasdepage"/>
      </w:pPr>
      <w:r>
        <w:rPr>
          <w:rStyle w:val="Appelnotedebasdep"/>
        </w:rPr>
        <w:footnoteRef/>
      </w:r>
      <w:r>
        <w:t xml:space="preserve"> </w:t>
      </w:r>
      <w:r w:rsidRPr="001077D9">
        <w:t xml:space="preserve">$ VIII, 3. </w:t>
      </w:r>
    </w:p>
  </w:footnote>
  <w:footnote w:id="269">
    <w:p w:rsidR="007F47B8" w:rsidRPr="0042259C" w:rsidRDefault="007F47B8" w:rsidP="00C31960">
      <w:pPr>
        <w:pStyle w:val="Notedebasdepage"/>
        <w:rPr>
          <w:i/>
        </w:rPr>
      </w:pPr>
      <w:r>
        <w:rPr>
          <w:rStyle w:val="Appelnotedebasdep"/>
        </w:rPr>
        <w:footnoteRef/>
      </w:r>
      <w:r>
        <w:t xml:space="preserve"> </w:t>
      </w:r>
      <w:r w:rsidRPr="001077D9">
        <w:t xml:space="preserve">$ </w:t>
      </w:r>
      <w:r>
        <w:rPr>
          <w:rStyle w:val="italicus"/>
        </w:rPr>
        <w:t>Les Prophètes : Isa</w:t>
      </w:r>
      <w:r w:rsidRPr="0044481F">
        <w:rPr>
          <w:rStyle w:val="italicus"/>
        </w:rPr>
        <w:t xml:space="preserve">ïe, </w:t>
      </w:r>
      <w:r w:rsidRPr="00FA05E8">
        <w:t>p. 61.</w:t>
      </w:r>
      <w:r w:rsidRPr="0044481F">
        <w:rPr>
          <w:rStyle w:val="italicus"/>
        </w:rPr>
        <w:t xml:space="preserve"> </w:t>
      </w:r>
    </w:p>
  </w:footnote>
  <w:footnote w:id="270">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Christologie des Allen Testamentes, </w:t>
      </w:r>
      <w:r w:rsidRPr="00FA05E8">
        <w:t xml:space="preserve">p. 238. </w:t>
      </w:r>
    </w:p>
  </w:footnote>
  <w:footnote w:id="271">
    <w:p w:rsidR="007F47B8" w:rsidRDefault="007F47B8" w:rsidP="00C31960">
      <w:pPr>
        <w:pStyle w:val="Notedebasdepage"/>
      </w:pPr>
      <w:r>
        <w:rPr>
          <w:rStyle w:val="Appelnotedebasdep"/>
        </w:rPr>
        <w:footnoteRef/>
      </w:r>
      <w:r>
        <w:t xml:space="preserve"> </w:t>
      </w:r>
      <w:r w:rsidRPr="00FA05E8">
        <w:t xml:space="preserve">$ Page 75. </w:t>
      </w:r>
    </w:p>
  </w:footnote>
  <w:footnote w:id="272">
    <w:p w:rsidR="007F47B8" w:rsidRDefault="007F47B8" w:rsidP="00C31960">
      <w:pPr>
        <w:pStyle w:val="Notedebasdepage"/>
      </w:pPr>
      <w:r>
        <w:rPr>
          <w:rStyle w:val="Appelnotedebasdep"/>
        </w:rPr>
        <w:footnoteRef/>
      </w:r>
      <w:r>
        <w:t xml:space="preserve"> </w:t>
      </w:r>
      <w:r w:rsidRPr="00FA05E8">
        <w:t xml:space="preserve">$ Page 76. </w:t>
      </w:r>
    </w:p>
  </w:footnote>
  <w:footnote w:id="273">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Les trois grands Prophètes, </w:t>
      </w:r>
      <w:r w:rsidRPr="00FA05E8">
        <w:t xml:space="preserve">p. 64. </w:t>
      </w:r>
    </w:p>
  </w:footnote>
  <w:footnote w:id="274">
    <w:p w:rsidR="007F47B8" w:rsidRDefault="007F47B8" w:rsidP="00C31960">
      <w:pPr>
        <w:pStyle w:val="Notedebasdepage"/>
      </w:pPr>
      <w:r>
        <w:rPr>
          <w:rStyle w:val="Appelnotedebasdep"/>
        </w:rPr>
        <w:footnoteRef/>
      </w:r>
      <w:r>
        <w:t xml:space="preserve"> </w:t>
      </w:r>
      <w:r>
        <w:rPr>
          <w:rStyle w:val="italicus"/>
        </w:rPr>
        <w:t>$ Comment.</w:t>
      </w:r>
      <w:r w:rsidRPr="0044481F">
        <w:rPr>
          <w:rStyle w:val="italicus"/>
        </w:rPr>
        <w:t xml:space="preserve"> sur Isaïe, </w:t>
      </w:r>
      <w:r w:rsidRPr="00FA05E8">
        <w:t xml:space="preserve">t. I, p. 303. </w:t>
      </w:r>
    </w:p>
  </w:footnote>
  <w:footnote w:id="275">
    <w:p w:rsidR="007F47B8" w:rsidRPr="0042259C" w:rsidRDefault="007F47B8" w:rsidP="00C31960">
      <w:pPr>
        <w:pStyle w:val="Notedebasdepage"/>
        <w:rPr>
          <w:i/>
        </w:rPr>
      </w:pPr>
      <w:r>
        <w:rPr>
          <w:rStyle w:val="Appelnotedebasdep"/>
        </w:rPr>
        <w:footnoteRef/>
      </w:r>
      <w:r>
        <w:t xml:space="preserve"> </w:t>
      </w:r>
      <w:r>
        <w:rPr>
          <w:rStyle w:val="italicus"/>
        </w:rPr>
        <w:t>$ Comment.</w:t>
      </w:r>
      <w:r w:rsidRPr="0044481F">
        <w:rPr>
          <w:rStyle w:val="italicus"/>
        </w:rPr>
        <w:t xml:space="preserve"> </w:t>
      </w:r>
      <w:r w:rsidRPr="00FA05E8">
        <w:t>in h. l.</w:t>
      </w:r>
      <w:r w:rsidRPr="0044481F">
        <w:rPr>
          <w:rStyle w:val="italicus"/>
        </w:rPr>
        <w:t xml:space="preserve"> </w:t>
      </w:r>
    </w:p>
  </w:footnote>
  <w:footnote w:id="276">
    <w:p w:rsidR="007F47B8" w:rsidRPr="0042259C" w:rsidRDefault="007F47B8" w:rsidP="00C31960">
      <w:pPr>
        <w:pStyle w:val="Notedebasdepage"/>
        <w:rPr>
          <w:lang w:val="en-US"/>
        </w:rPr>
      </w:pPr>
      <w:r>
        <w:rPr>
          <w:rStyle w:val="Appelnotedebasdep"/>
        </w:rPr>
        <w:footnoteRef/>
      </w:r>
      <w:r>
        <w:t xml:space="preserve"> </w:t>
      </w:r>
      <w:r>
        <w:rPr>
          <w:rStyle w:val="italicus"/>
        </w:rPr>
        <w:t xml:space="preserve">$ </w:t>
      </w:r>
      <w:r w:rsidRPr="0044481F">
        <w:rPr>
          <w:rStyle w:val="italicus"/>
        </w:rPr>
        <w:t xml:space="preserve">Histoire critique du Nouveau Testament, </w:t>
      </w:r>
      <w:r w:rsidRPr="00FA05E8">
        <w:t xml:space="preserve">ch. </w:t>
      </w:r>
      <w:r w:rsidRPr="00F84A0B">
        <w:rPr>
          <w:lang w:val="en-US"/>
        </w:rPr>
        <w:t xml:space="preserve">XX. </w:t>
      </w:r>
    </w:p>
  </w:footnote>
  <w:footnote w:id="277">
    <w:p w:rsidR="007F47B8" w:rsidRDefault="007F47B8" w:rsidP="00C31960">
      <w:pPr>
        <w:pStyle w:val="Notedebasdepage"/>
      </w:pPr>
      <w:r>
        <w:rPr>
          <w:rStyle w:val="Appelnotedebasdep"/>
        </w:rPr>
        <w:footnoteRef/>
      </w:r>
      <w:r w:rsidRPr="0042259C">
        <w:rPr>
          <w:lang w:val="en-US"/>
        </w:rPr>
        <w:t xml:space="preserve"> </w:t>
      </w:r>
      <w:r w:rsidRPr="00F84A0B">
        <w:rPr>
          <w:rStyle w:val="italicus"/>
          <w:lang w:val="en-US"/>
        </w:rPr>
        <w:t xml:space="preserve">$ System der gœttlichen Thaten des Christenthums, </w:t>
      </w:r>
      <w:r w:rsidRPr="00F84A0B">
        <w:rPr>
          <w:lang w:val="en-US"/>
        </w:rPr>
        <w:t xml:space="preserve">Mayence, 1841, Th. </w:t>
      </w:r>
      <w:r w:rsidRPr="00FA05E8">
        <w:t xml:space="preserve">I, p. 316. </w:t>
      </w:r>
    </w:p>
  </w:footnote>
  <w:footnote w:id="278">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Commentar </w:t>
      </w:r>
      <w:r>
        <w:rPr>
          <w:rStyle w:val="italicus"/>
        </w:rPr>
        <w:t>über</w:t>
      </w:r>
      <w:r w:rsidRPr="0044481F">
        <w:rPr>
          <w:rStyle w:val="italicus"/>
        </w:rPr>
        <w:t xml:space="preserve"> das Evangelium des Matth</w:t>
      </w:r>
      <w:r>
        <w:rPr>
          <w:rStyle w:val="italicus"/>
        </w:rPr>
        <w:t>æ</w:t>
      </w:r>
      <w:r w:rsidRPr="0044481F">
        <w:rPr>
          <w:rStyle w:val="italicus"/>
        </w:rPr>
        <w:t xml:space="preserve">us, </w:t>
      </w:r>
      <w:r w:rsidRPr="00FA05E8">
        <w:t xml:space="preserve">p. 53 et suiv. </w:t>
      </w:r>
    </w:p>
  </w:footnote>
  <w:footnote w:id="279">
    <w:p w:rsidR="007F47B8" w:rsidRDefault="007F47B8" w:rsidP="00C31960">
      <w:pPr>
        <w:pStyle w:val="Notedebasdepage"/>
      </w:pPr>
      <w:r>
        <w:rPr>
          <w:rStyle w:val="Appelnotedebasdep"/>
        </w:rPr>
        <w:footnoteRef/>
      </w:r>
      <w:r>
        <w:t xml:space="preserve"> $ </w:t>
      </w:r>
      <w:r w:rsidRPr="0044481F">
        <w:rPr>
          <w:rStyle w:val="italicus"/>
        </w:rPr>
        <w:t xml:space="preserve">Der Prophet Isaias </w:t>
      </w:r>
      <w:r>
        <w:rPr>
          <w:rStyle w:val="italicus"/>
        </w:rPr>
        <w:t>ü</w:t>
      </w:r>
      <w:r w:rsidRPr="0044481F">
        <w:rPr>
          <w:rStyle w:val="italicus"/>
        </w:rPr>
        <w:t xml:space="preserve">bersetzt und erklært, </w:t>
      </w:r>
      <w:r w:rsidRPr="00FA05E8">
        <w:t xml:space="preserve">Munich, 1850, t. I, p. 87 et 88 ; comp. son commentaire sur S. Matthieu. </w:t>
      </w:r>
    </w:p>
  </w:footnote>
  <w:footnote w:id="280">
    <w:p w:rsidR="007F47B8" w:rsidRDefault="007F47B8" w:rsidP="00C31960">
      <w:pPr>
        <w:pStyle w:val="Notedebasdepage"/>
      </w:pPr>
      <w:r>
        <w:rPr>
          <w:rStyle w:val="Appelnotedebasdep"/>
        </w:rPr>
        <w:footnoteRef/>
      </w:r>
      <w:r>
        <w:t xml:space="preserve"> </w:t>
      </w:r>
      <w:r>
        <w:rPr>
          <w:rStyle w:val="italicus"/>
        </w:rPr>
        <w:t>$</w:t>
      </w:r>
      <w:r w:rsidRPr="0044481F">
        <w:rPr>
          <w:rStyle w:val="italicus"/>
        </w:rPr>
        <w:t xml:space="preserve"> Études bibliques, </w:t>
      </w:r>
      <w:r w:rsidRPr="00FA05E8">
        <w:t xml:space="preserve">t. I, p. 78 ; </w:t>
      </w:r>
      <w:r w:rsidRPr="0044481F">
        <w:rPr>
          <w:rStyle w:val="italicus"/>
        </w:rPr>
        <w:t xml:space="preserve">Les trois grands Prophètes, </w:t>
      </w:r>
      <w:r w:rsidRPr="00FA05E8">
        <w:t xml:space="preserve">p. 66 et 67. </w:t>
      </w:r>
    </w:p>
  </w:footnote>
  <w:footnote w:id="281">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Le Hir,</w:t>
      </w:r>
      <w:r w:rsidRPr="0044481F">
        <w:rPr>
          <w:rStyle w:val="italicus"/>
        </w:rPr>
        <w:t xml:space="preserve"> Études bibliques,</w:t>
      </w:r>
      <w:r w:rsidRPr="001077D9">
        <w:t xml:space="preserve"> t. I, p. 76. Cf. Olshausen,</w:t>
      </w:r>
      <w:r w:rsidRPr="0044481F">
        <w:rPr>
          <w:rStyle w:val="italicus"/>
        </w:rPr>
        <w:t xml:space="preserve"> Bibl. Commentar </w:t>
      </w:r>
      <w:r>
        <w:rPr>
          <w:rStyle w:val="italicus"/>
        </w:rPr>
        <w:t>über sæ</w:t>
      </w:r>
      <w:r w:rsidRPr="0044481F">
        <w:rPr>
          <w:rStyle w:val="italicus"/>
        </w:rPr>
        <w:t>mmtliche Schriften des N. T.,</w:t>
      </w:r>
      <w:r w:rsidRPr="001077D9">
        <w:t xml:space="preserve"> 3e édition, Kœnigsberg, 1837, t. I, p. 56 et s. ; Barnes,</w:t>
      </w:r>
      <w:r w:rsidRPr="0044481F">
        <w:rPr>
          <w:rStyle w:val="italicus"/>
        </w:rPr>
        <w:t xml:space="preserve"> l. c.,</w:t>
      </w:r>
      <w:r w:rsidRPr="001077D9">
        <w:t xml:space="preserve"> p. 203 et 204. </w:t>
      </w:r>
    </w:p>
  </w:footnote>
  <w:footnote w:id="282">
    <w:p w:rsidR="007F47B8" w:rsidRPr="001077D9" w:rsidRDefault="007F47B8" w:rsidP="00C31960">
      <w:pPr>
        <w:pStyle w:val="Notedebasdepage"/>
      </w:pPr>
      <w:r>
        <w:rPr>
          <w:rStyle w:val="Appelnotedebasdep"/>
        </w:rPr>
        <w:footnoteRef/>
      </w:r>
      <w:r>
        <w:t xml:space="preserve"> </w:t>
      </w:r>
      <w:r w:rsidRPr="001077D9">
        <w:t>$ Voyez notre commentaire sur</w:t>
      </w:r>
      <w:r w:rsidRPr="0044481F">
        <w:rPr>
          <w:rStyle w:val="italicus"/>
        </w:rPr>
        <w:t xml:space="preserve"> </w:t>
      </w:r>
      <w:r w:rsidRPr="00FA05E8">
        <w:t>l’</w:t>
      </w:r>
      <w:r w:rsidRPr="0044481F">
        <w:rPr>
          <w:rStyle w:val="italicus"/>
        </w:rPr>
        <w:t>Évangile selon S. Matthieu,</w:t>
      </w:r>
      <w:r w:rsidRPr="001077D9">
        <w:t xml:space="preserve"> p. 46. </w:t>
      </w:r>
    </w:p>
  </w:footnote>
  <w:footnote w:id="283">
    <w:p w:rsidR="007F47B8" w:rsidRPr="001077D9" w:rsidRDefault="007F47B8" w:rsidP="00C31960">
      <w:pPr>
        <w:pStyle w:val="Notedebasdepage"/>
      </w:pPr>
      <w:r>
        <w:rPr>
          <w:rStyle w:val="Appelnotedebasdep"/>
        </w:rPr>
        <w:footnoteRef/>
      </w:r>
      <w:r>
        <w:t xml:space="preserve"> </w:t>
      </w:r>
      <w:r w:rsidRPr="001077D9">
        <w:t>$ Voyez Schanz,</w:t>
      </w:r>
      <w:r w:rsidRPr="0044481F">
        <w:rPr>
          <w:rStyle w:val="italicus"/>
        </w:rPr>
        <w:t xml:space="preserve"> Commentar </w:t>
      </w:r>
      <w:r>
        <w:rPr>
          <w:rStyle w:val="italicus"/>
        </w:rPr>
        <w:t>über</w:t>
      </w:r>
      <w:r w:rsidRPr="0044481F">
        <w:rPr>
          <w:rStyle w:val="italicus"/>
        </w:rPr>
        <w:t xml:space="preserve"> das Evangelium des h. Matthæus,</w:t>
      </w:r>
      <w:r w:rsidRPr="001077D9">
        <w:t xml:space="preserve"> Fribourg-en-Brisgau, 1879, p. 89. </w:t>
      </w:r>
    </w:p>
  </w:footnote>
  <w:footnote w:id="284">
    <w:p w:rsidR="007F47B8" w:rsidRPr="001077D9" w:rsidRDefault="007F47B8" w:rsidP="00C31960">
      <w:pPr>
        <w:pStyle w:val="Notedebasdepage"/>
      </w:pPr>
      <w:r>
        <w:rPr>
          <w:rStyle w:val="Appelnotedebasdep"/>
        </w:rPr>
        <w:footnoteRef/>
      </w:r>
      <w:r>
        <w:t xml:space="preserve"> </w:t>
      </w:r>
      <w:r w:rsidRPr="001077D9">
        <w:t xml:space="preserve">$ Page 74. </w:t>
      </w:r>
    </w:p>
  </w:footnote>
  <w:footnote w:id="285">
    <w:p w:rsidR="007F47B8" w:rsidRPr="0042259C" w:rsidRDefault="007F47B8" w:rsidP="00C31960">
      <w:pPr>
        <w:pStyle w:val="Notedebasdepage"/>
        <w:rPr>
          <w:i/>
        </w:rPr>
      </w:pPr>
      <w:r>
        <w:rPr>
          <w:rStyle w:val="Appelnotedebasdep"/>
        </w:rPr>
        <w:footnoteRef/>
      </w:r>
      <w:r>
        <w:t xml:space="preserve"> </w:t>
      </w:r>
      <w:r w:rsidRPr="001077D9">
        <w:t xml:space="preserve">$ </w:t>
      </w:r>
      <w:r w:rsidRPr="0044481F">
        <w:rPr>
          <w:rStyle w:val="italicus"/>
        </w:rPr>
        <w:t xml:space="preserve">Loc. cit. </w:t>
      </w:r>
    </w:p>
  </w:footnote>
  <w:footnote w:id="286">
    <w:p w:rsidR="007F47B8" w:rsidRDefault="007F47B8" w:rsidP="00C31960">
      <w:pPr>
        <w:pStyle w:val="Notedebasdepage"/>
      </w:pPr>
      <w:r>
        <w:rPr>
          <w:rStyle w:val="Appelnotedebasdep"/>
        </w:rPr>
        <w:footnoteRef/>
      </w:r>
      <w:r>
        <w:t xml:space="preserve"> </w:t>
      </w:r>
      <w:r>
        <w:rPr>
          <w:rStyle w:val="italicus"/>
        </w:rPr>
        <w:t xml:space="preserve">$ </w:t>
      </w:r>
      <w:r w:rsidRPr="001077D9">
        <w:t>« Comment une conception et une naissance tout ordinaires pourraient-elles être le type d’une conception et d’une naissance virginales ? » Knabenbauer,</w:t>
      </w:r>
      <w:r w:rsidRPr="0044481F">
        <w:rPr>
          <w:rStyle w:val="italicus"/>
        </w:rPr>
        <w:t xml:space="preserve"> Der Prophet Isaias,</w:t>
      </w:r>
      <w:r w:rsidRPr="001077D9">
        <w:t xml:space="preserve"> p. 126. Cf. Reinke,</w:t>
      </w:r>
      <w:r w:rsidRPr="0044481F">
        <w:rPr>
          <w:rStyle w:val="italicus"/>
        </w:rPr>
        <w:t xml:space="preserve"> Weissagung von der Jungf</w:t>
      </w:r>
      <w:r>
        <w:rPr>
          <w:rStyle w:val="italicus"/>
        </w:rPr>
        <w:t>rau,</w:t>
      </w:r>
      <w:r w:rsidRPr="00B47D4F">
        <w:t xml:space="preserve"> p. 138 et</w:t>
      </w:r>
      <w:r>
        <w:t xml:space="preserve"> </w:t>
      </w:r>
      <w:r w:rsidRPr="00B47D4F">
        <w:t xml:space="preserve">suiv. </w:t>
      </w:r>
    </w:p>
  </w:footnote>
  <w:footnote w:id="287">
    <w:p w:rsidR="007F47B8" w:rsidRPr="001077D9" w:rsidRDefault="007F47B8" w:rsidP="00C31960">
      <w:pPr>
        <w:pStyle w:val="Notedebasdepage"/>
      </w:pPr>
      <w:r>
        <w:rPr>
          <w:rStyle w:val="Appelnotedebasdep"/>
        </w:rPr>
        <w:footnoteRef/>
      </w:r>
      <w:r>
        <w:t xml:space="preserve"> </w:t>
      </w:r>
      <w:r w:rsidRPr="001077D9">
        <w:t>$ Knabenbauer,</w:t>
      </w:r>
      <w:r w:rsidRPr="0044481F">
        <w:rPr>
          <w:rStyle w:val="italicus"/>
        </w:rPr>
        <w:t xml:space="preserve"> ibid.</w:t>
      </w:r>
      <w:r w:rsidRPr="001077D9">
        <w:t xml:space="preserve"> </w:t>
      </w:r>
    </w:p>
  </w:footnote>
  <w:footnote w:id="288">
    <w:p w:rsidR="007F47B8" w:rsidRDefault="007F47B8" w:rsidP="00C31960">
      <w:pPr>
        <w:pStyle w:val="Notedebasdepage"/>
      </w:pPr>
      <w:r>
        <w:rPr>
          <w:rStyle w:val="Appelnotedebasdep"/>
        </w:rPr>
        <w:footnoteRef/>
      </w:r>
      <w:r>
        <w:t xml:space="preserve"> </w:t>
      </w:r>
      <w:r w:rsidRPr="001077D9">
        <w:t xml:space="preserve">$ </w:t>
      </w:r>
      <w:r w:rsidRPr="0044481F">
        <w:rPr>
          <w:rStyle w:val="italicus"/>
        </w:rPr>
        <w:t>Explication de la prophétie d’Isaïe sur l’en</w:t>
      </w:r>
      <w:r>
        <w:rPr>
          <w:rStyle w:val="italicus"/>
        </w:rPr>
        <w:t xml:space="preserve">fantement de la sainte Vierge, </w:t>
      </w:r>
      <w:r w:rsidRPr="00422B3A">
        <w:t xml:space="preserve">Œuvres, </w:t>
      </w:r>
      <w:r w:rsidRPr="00B47D4F">
        <w:t xml:space="preserve">édit. de Versailles, t. III, p. 28 et 29. </w:t>
      </w:r>
    </w:p>
  </w:footnote>
  <w:footnote w:id="289">
    <w:p w:rsidR="007F47B8" w:rsidRPr="007F47B8" w:rsidRDefault="007F47B8" w:rsidP="00C31960">
      <w:pPr>
        <w:pStyle w:val="Notedebasdepage"/>
        <w:rPr>
          <w:lang w:val="en-US"/>
        </w:rPr>
      </w:pPr>
      <w:r>
        <w:rPr>
          <w:rStyle w:val="Appelnotedebasdep"/>
        </w:rPr>
        <w:footnoteRef/>
      </w:r>
      <w:r w:rsidRPr="007F47B8">
        <w:rPr>
          <w:lang w:val="en-US"/>
        </w:rPr>
        <w:t xml:space="preserve"> </w:t>
      </w:r>
      <w:r w:rsidRPr="007F47B8">
        <w:rPr>
          <w:rStyle w:val="italicus"/>
          <w:lang w:val="en-US"/>
        </w:rPr>
        <w:t xml:space="preserve">$ </w:t>
      </w:r>
      <w:r w:rsidRPr="007F47B8">
        <w:rPr>
          <w:lang w:val="en-US"/>
        </w:rPr>
        <w:t>II</w:t>
      </w:r>
      <w:r w:rsidRPr="007F47B8">
        <w:rPr>
          <w:rStyle w:val="italicus"/>
          <w:lang w:val="en-US"/>
        </w:rPr>
        <w:t xml:space="preserve"> Petr.</w:t>
      </w:r>
      <w:r w:rsidRPr="007F47B8">
        <w:rPr>
          <w:lang w:val="en-US"/>
        </w:rPr>
        <w:t xml:space="preserve"> I, 19. </w:t>
      </w:r>
    </w:p>
  </w:footnote>
  <w:footnote w:id="290">
    <w:p w:rsidR="007F47B8" w:rsidRPr="0042259C" w:rsidRDefault="007F47B8" w:rsidP="00C31960">
      <w:pPr>
        <w:pStyle w:val="Notedebasdepage"/>
        <w:rPr>
          <w:lang w:val="en-US"/>
        </w:rPr>
      </w:pPr>
      <w:r>
        <w:rPr>
          <w:rStyle w:val="Appelnotedebasdep"/>
        </w:rPr>
        <w:footnoteRef/>
      </w:r>
      <w:r w:rsidRPr="0042259C">
        <w:rPr>
          <w:lang w:val="en-US"/>
        </w:rPr>
        <w:t xml:space="preserve"> </w:t>
      </w:r>
      <w:r w:rsidRPr="00F84A0B">
        <w:rPr>
          <w:lang w:val="en-US"/>
        </w:rPr>
        <w:t xml:space="preserve">$ Reinke, </w:t>
      </w:r>
      <w:r w:rsidRPr="00F84A0B">
        <w:rPr>
          <w:rStyle w:val="italicus"/>
          <w:lang w:val="en-US"/>
        </w:rPr>
        <w:t xml:space="preserve">Die Weissagung über die Jungfrau, </w:t>
      </w:r>
      <w:r w:rsidRPr="00F84A0B">
        <w:rPr>
          <w:lang w:val="en-US"/>
        </w:rPr>
        <w:t xml:space="preserve">p. 406. </w:t>
      </w:r>
    </w:p>
  </w:footnote>
  <w:footnote w:id="291">
    <w:p w:rsidR="007F47B8" w:rsidRPr="001077D9" w:rsidRDefault="007F47B8" w:rsidP="00C31960">
      <w:pPr>
        <w:pStyle w:val="Notedebasdepage"/>
      </w:pPr>
      <w:r>
        <w:rPr>
          <w:rStyle w:val="Appelnotedebasdep"/>
        </w:rPr>
        <w:footnoteRef/>
      </w:r>
      <w:r>
        <w:t xml:space="preserve"> </w:t>
      </w:r>
      <w:r>
        <w:rPr>
          <w:rStyle w:val="italicus"/>
        </w:rPr>
        <w:t xml:space="preserve">$ </w:t>
      </w:r>
      <w:r w:rsidRPr="0044481F">
        <w:rPr>
          <w:rStyle w:val="italicus"/>
        </w:rPr>
        <w:t>Loc. cit.,</w:t>
      </w:r>
      <w:r w:rsidRPr="001077D9">
        <w:t xml:space="preserve"> p. 51. Cf. Hengstenberg,</w:t>
      </w:r>
      <w:r w:rsidRPr="0044481F">
        <w:rPr>
          <w:rStyle w:val="italicus"/>
        </w:rPr>
        <w:t xml:space="preserve"> Christologie des Allen Testam., </w:t>
      </w:r>
      <w:r w:rsidRPr="001077D9">
        <w:t xml:space="preserve">l. c., p. 76. </w:t>
      </w:r>
      <w:r>
        <w:rPr>
          <w:lang w:val="el-GR"/>
        </w:rPr>
        <w:t>Καί φ</w:t>
      </w:r>
      <w:r>
        <w:t>η</w:t>
      </w:r>
      <w:r>
        <w:rPr>
          <w:lang w:val="el-GR"/>
        </w:rPr>
        <w:t>σι</w:t>
      </w:r>
      <w:r w:rsidRPr="001077D9">
        <w:t>, écrivait déjà S. Jean Chrysostome (</w:t>
      </w:r>
      <w:r w:rsidRPr="00426336">
        <w:rPr>
          <w:rStyle w:val="italicus"/>
        </w:rPr>
        <w:t>in hoc loco</w:t>
      </w:r>
      <w:r w:rsidRPr="00BA383E">
        <w:t xml:space="preserve">), </w:t>
      </w:r>
      <w:r>
        <w:t>τὸ</w:t>
      </w:r>
      <w:r w:rsidRPr="00B47D4F">
        <w:t xml:space="preserve"> σ</w:t>
      </w:r>
      <w:r>
        <w:t>ημε</w:t>
      </w:r>
      <w:r w:rsidRPr="00B47D4F">
        <w:t>ῖον οὐχί</w:t>
      </w:r>
      <w:r>
        <w:t xml:space="preserve"> τῷ</w:t>
      </w:r>
      <w:r w:rsidRPr="00B47D4F">
        <w:t xml:space="preserve"> </w:t>
      </w:r>
      <w:r>
        <w:t>Ἀ</w:t>
      </w:r>
      <w:r w:rsidRPr="00B47D4F">
        <w:t>χὰζ λοιπο</w:t>
      </w:r>
      <w:r>
        <w:t>ὺ</w:t>
      </w:r>
      <w:r w:rsidRPr="00B47D4F">
        <w:t>, ἀλλ</w:t>
      </w:r>
      <w:r>
        <w:t>ὰ</w:t>
      </w:r>
      <w:r w:rsidRPr="00B47D4F">
        <w:t xml:space="preserve"> τ</w:t>
      </w:r>
      <w:r>
        <w:t>ῷ</w:t>
      </w:r>
      <w:r w:rsidRPr="00B47D4F">
        <w:t xml:space="preserve"> κοινῷ τ</w:t>
      </w:r>
      <w:r>
        <w:t>ῶ</w:t>
      </w:r>
      <w:r w:rsidRPr="00B47D4F">
        <w:t xml:space="preserve">ν </w:t>
      </w:r>
      <w:r>
        <w:t>Ἰ</w:t>
      </w:r>
      <w:r w:rsidRPr="00B47D4F">
        <w:t>ουδα</w:t>
      </w:r>
      <w:r>
        <w:t>ῖ</w:t>
      </w:r>
      <w:r w:rsidRPr="00B47D4F">
        <w:t>ων δ</w:t>
      </w:r>
      <w:r>
        <w:t>ήμῳ</w:t>
      </w:r>
      <w:r w:rsidRPr="00B47D4F">
        <w:t>.</w:t>
      </w:r>
    </w:p>
  </w:footnote>
  <w:footnote w:id="292">
    <w:p w:rsidR="007F47B8" w:rsidRPr="001077D9" w:rsidRDefault="007F47B8" w:rsidP="00C31960">
      <w:pPr>
        <w:pStyle w:val="Notedebasdepage"/>
      </w:pPr>
      <w:r>
        <w:rPr>
          <w:rStyle w:val="Appelnotedebasdep"/>
        </w:rPr>
        <w:footnoteRef/>
      </w:r>
      <w:r>
        <w:t xml:space="preserve"> </w:t>
      </w:r>
      <w:r w:rsidRPr="001077D9">
        <w:t>$ Macrobe,</w:t>
      </w:r>
      <w:r w:rsidRPr="0044481F">
        <w:rPr>
          <w:rStyle w:val="italicus"/>
        </w:rPr>
        <w:t xml:space="preserve"> Somn. Scip.,</w:t>
      </w:r>
      <w:r w:rsidRPr="001077D9">
        <w:t xml:space="preserve"> I, 2. Voyez</w:t>
      </w:r>
      <w:r w:rsidRPr="0044481F">
        <w:rPr>
          <w:rStyle w:val="italicus"/>
        </w:rPr>
        <w:t xml:space="preserve"> Matth.</w:t>
      </w:r>
      <w:r w:rsidRPr="001077D9">
        <w:t xml:space="preserve"> XIII, 11, et les passages parallèles (Cf. notre commentaire sur l</w:t>
      </w:r>
      <w:r w:rsidRPr="0044481F">
        <w:rPr>
          <w:rStyle w:val="italicus"/>
        </w:rPr>
        <w:t>’Évangile selon S. Matthieu,</w:t>
      </w:r>
      <w:r w:rsidRPr="001077D9">
        <w:t xml:space="preserve"> p. 263). </w:t>
      </w:r>
    </w:p>
  </w:footnote>
  <w:footnote w:id="293">
    <w:p w:rsidR="007F47B8" w:rsidRPr="001077D9" w:rsidRDefault="007F47B8" w:rsidP="00C31960">
      <w:pPr>
        <w:pStyle w:val="Notedebasdepage"/>
      </w:pPr>
      <w:r>
        <w:rPr>
          <w:rStyle w:val="Appelnotedebasdep"/>
        </w:rPr>
        <w:footnoteRef/>
      </w:r>
      <w:r w:rsidRPr="0042259C">
        <w:rPr>
          <w:lang w:val="en-US"/>
        </w:rPr>
        <w:t xml:space="preserve"> </w:t>
      </w:r>
      <w:r w:rsidRPr="007F47B8">
        <w:rPr>
          <w:lang w:val="en-US"/>
        </w:rPr>
        <w:t>$ Delitzsch,</w:t>
      </w:r>
      <w:r w:rsidRPr="00F84A0B">
        <w:rPr>
          <w:rStyle w:val="italicus"/>
          <w:lang w:val="en-US"/>
        </w:rPr>
        <w:t xml:space="preserve"> Commentar über den Proph. </w:t>
      </w:r>
      <w:r w:rsidRPr="0044481F">
        <w:rPr>
          <w:rStyle w:val="italicus"/>
        </w:rPr>
        <w:t>Jesaias,</w:t>
      </w:r>
      <w:r w:rsidRPr="001077D9">
        <w:t xml:space="preserve"> p. 138. </w:t>
      </w:r>
    </w:p>
  </w:footnote>
  <w:footnote w:id="294">
    <w:p w:rsidR="007F47B8" w:rsidRDefault="007F47B8" w:rsidP="00C31960">
      <w:pPr>
        <w:pStyle w:val="Notedebasdepage"/>
      </w:pPr>
      <w:r>
        <w:rPr>
          <w:rStyle w:val="Appelnotedebasdep"/>
        </w:rPr>
        <w:footnoteRef/>
      </w:r>
      <w:r>
        <w:t xml:space="preserve"> </w:t>
      </w:r>
      <w:r w:rsidRPr="00C655D9">
        <w:t xml:space="preserve">$ Voyez </w:t>
      </w:r>
      <w:r w:rsidRPr="0044481F">
        <w:rPr>
          <w:rStyle w:val="italicus"/>
        </w:rPr>
        <w:t>Knabenbauer, Erkl</w:t>
      </w:r>
      <w:r>
        <w:rPr>
          <w:rStyle w:val="italicus"/>
        </w:rPr>
        <w:t>æ</w:t>
      </w:r>
      <w:r w:rsidRPr="0044481F">
        <w:rPr>
          <w:rStyle w:val="italicus"/>
        </w:rPr>
        <w:t>rung des Proph. Isaias,</w:t>
      </w:r>
      <w:r w:rsidRPr="00C655D9">
        <w:t xml:space="preserve"> p. 121, note. </w:t>
      </w:r>
    </w:p>
  </w:footnote>
  <w:footnote w:id="295">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 xml:space="preserve">Nous allons revenir dans un instant sur cette idée. </w:t>
      </w:r>
    </w:p>
  </w:footnote>
  <w:footnote w:id="296">
    <w:p w:rsidR="007F47B8" w:rsidRPr="001077D9" w:rsidRDefault="007F47B8" w:rsidP="00C31960">
      <w:pPr>
        <w:pStyle w:val="Notedebasdepage"/>
      </w:pPr>
      <w:r>
        <w:rPr>
          <w:rStyle w:val="Appelnotedebasdep"/>
        </w:rPr>
        <w:footnoteRef/>
      </w:r>
      <w:r>
        <w:t xml:space="preserve"> </w:t>
      </w:r>
      <w:r w:rsidRPr="001077D9">
        <w:t>$ Voyez, entre autres passages, I </w:t>
      </w:r>
      <w:r w:rsidRPr="0044481F">
        <w:rPr>
          <w:rStyle w:val="italicus"/>
        </w:rPr>
        <w:t>Reg.</w:t>
      </w:r>
      <w:r w:rsidRPr="001077D9">
        <w:t xml:space="preserve"> VII, 12-16. </w:t>
      </w:r>
    </w:p>
  </w:footnote>
  <w:footnote w:id="297">
    <w:p w:rsidR="007F47B8" w:rsidRPr="0042259C" w:rsidRDefault="007F47B8" w:rsidP="00C31960">
      <w:pPr>
        <w:pStyle w:val="Notedebasdepage"/>
        <w:rPr>
          <w:i/>
        </w:rPr>
      </w:pPr>
      <w:r>
        <w:rPr>
          <w:rStyle w:val="Appelnotedebasdep"/>
        </w:rPr>
        <w:footnoteRef/>
      </w:r>
      <w:r>
        <w:t xml:space="preserve"> </w:t>
      </w:r>
      <w:r w:rsidRPr="001077D9">
        <w:t xml:space="preserve">$ </w:t>
      </w:r>
      <w:r w:rsidRPr="0044481F">
        <w:rPr>
          <w:rStyle w:val="italicus"/>
        </w:rPr>
        <w:t xml:space="preserve">Loc. cit. </w:t>
      </w:r>
    </w:p>
  </w:footnote>
  <w:footnote w:id="298">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Knabenbauer,</w:t>
      </w:r>
      <w:r w:rsidRPr="0044481F">
        <w:rPr>
          <w:rStyle w:val="italicus"/>
        </w:rPr>
        <w:t xml:space="preserve"> l. c.,</w:t>
      </w:r>
      <w:r w:rsidRPr="001077D9">
        <w:t xml:space="preserve"> p. 120. Ou encore : « Si la conservation de la maison de Jacob était annoncée au roi comme tout à fait certaine, il recevait par la même un signe</w:t>
      </w:r>
      <w:r w:rsidRPr="0044481F">
        <w:rPr>
          <w:rStyle w:val="italicus"/>
        </w:rPr>
        <w:t xml:space="preserve"> déterminé. »</w:t>
      </w:r>
      <w:r w:rsidRPr="001077D9">
        <w:t xml:space="preserve"> Schanz,</w:t>
      </w:r>
      <w:r w:rsidRPr="0044481F">
        <w:rPr>
          <w:rStyle w:val="italicus"/>
        </w:rPr>
        <w:t xml:space="preserve"> Commentar </w:t>
      </w:r>
      <w:r>
        <w:rPr>
          <w:rStyle w:val="italicus"/>
        </w:rPr>
        <w:t>über</w:t>
      </w:r>
      <w:r w:rsidRPr="0044481F">
        <w:rPr>
          <w:rStyle w:val="italicus"/>
        </w:rPr>
        <w:t xml:space="preserve"> das Evang. des h. Matth.,</w:t>
      </w:r>
      <w:r>
        <w:rPr>
          <w:rStyle w:val="italicus"/>
        </w:rPr>
        <w:t xml:space="preserve"> </w:t>
      </w:r>
      <w:r w:rsidRPr="00C655D9">
        <w:t xml:space="preserve">p. 83. Fribourg-en-Brisgau, 1880. </w:t>
      </w:r>
      <w:r w:rsidRPr="001077D9">
        <w:t xml:space="preserve">Oui, un signe nettement déterminé. </w:t>
      </w:r>
    </w:p>
  </w:footnote>
  <w:footnote w:id="299">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Is.</w:t>
      </w:r>
      <w:r w:rsidRPr="001077D9">
        <w:t xml:space="preserve"> XLV, 8. </w:t>
      </w:r>
    </w:p>
  </w:footnote>
  <w:footnote w:id="300">
    <w:p w:rsidR="007F47B8" w:rsidRDefault="007F47B8" w:rsidP="00C31960">
      <w:pPr>
        <w:pStyle w:val="Notedebasdepage"/>
      </w:pPr>
      <w:r>
        <w:rPr>
          <w:rStyle w:val="Appelnotedebasdep"/>
        </w:rPr>
        <w:footnoteRef/>
      </w:r>
      <w:r>
        <w:t xml:space="preserve"> </w:t>
      </w:r>
      <w:r w:rsidRPr="001077D9">
        <w:t>$</w:t>
      </w:r>
      <w:r>
        <w:rPr>
          <w:rStyle w:val="italicus"/>
        </w:rPr>
        <w:t xml:space="preserve"> </w:t>
      </w:r>
      <w:r w:rsidRPr="0044481F">
        <w:rPr>
          <w:rStyle w:val="italicus"/>
        </w:rPr>
        <w:t xml:space="preserve">s </w:t>
      </w:r>
      <w:r w:rsidRPr="00C655D9">
        <w:t>Cf. Barnes,</w:t>
      </w:r>
      <w:r w:rsidRPr="0044481F">
        <w:rPr>
          <w:rStyle w:val="italicus"/>
        </w:rPr>
        <w:t xml:space="preserve"> Notes on the Prophet Isaiah, </w:t>
      </w:r>
      <w:r w:rsidRPr="00C655D9">
        <w:t>p. 202 ; Kuper,</w:t>
      </w:r>
      <w:r w:rsidRPr="0044481F">
        <w:rPr>
          <w:rStyle w:val="italicus"/>
        </w:rPr>
        <w:t xml:space="preserve"> Das Prophetenthum</w:t>
      </w:r>
      <w:r>
        <w:rPr>
          <w:rStyle w:val="italicus"/>
        </w:rPr>
        <w:t xml:space="preserve"> </w:t>
      </w:r>
      <w:r w:rsidRPr="0044481F">
        <w:rPr>
          <w:rStyle w:val="italicus"/>
        </w:rPr>
        <w:t>des</w:t>
      </w:r>
      <w:r>
        <w:rPr>
          <w:rStyle w:val="italicus"/>
        </w:rPr>
        <w:t xml:space="preserve"> </w:t>
      </w:r>
      <w:r w:rsidRPr="0044481F">
        <w:rPr>
          <w:rStyle w:val="italicus"/>
        </w:rPr>
        <w:t xml:space="preserve">A. Blindes, </w:t>
      </w:r>
      <w:r w:rsidRPr="00C655D9">
        <w:t xml:space="preserve">p. 220 et suiv. </w:t>
      </w:r>
    </w:p>
  </w:footnote>
  <w:footnote w:id="301">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Voyez Schanz,</w:t>
      </w:r>
      <w:r w:rsidRPr="0044481F">
        <w:rPr>
          <w:rStyle w:val="italicus"/>
        </w:rPr>
        <w:t xml:space="preserve"> l. c.</w:t>
      </w:r>
      <w:r w:rsidRPr="001077D9">
        <w:t xml:space="preserve"> </w:t>
      </w:r>
    </w:p>
  </w:footnote>
  <w:footnote w:id="302">
    <w:p w:rsidR="007F47B8" w:rsidRPr="0042259C" w:rsidRDefault="007F47B8" w:rsidP="00C31960">
      <w:pPr>
        <w:pStyle w:val="Notedebasdepage"/>
        <w:rPr>
          <w:i/>
        </w:rPr>
      </w:pPr>
      <w:r>
        <w:rPr>
          <w:rStyle w:val="Appelnotedebasdep"/>
        </w:rPr>
        <w:footnoteRef/>
      </w:r>
      <w:r>
        <w:t xml:space="preserve"> </w:t>
      </w:r>
      <w:r w:rsidRPr="001077D9">
        <w:t xml:space="preserve">$ </w:t>
      </w:r>
      <w:r>
        <w:rPr>
          <w:rStyle w:val="italicus"/>
        </w:rPr>
        <w:t>Erklæ</w:t>
      </w:r>
      <w:r w:rsidRPr="0044481F">
        <w:rPr>
          <w:rStyle w:val="italicus"/>
        </w:rPr>
        <w:t xml:space="preserve">rung des Proph. Isaias, p. 121. </w:t>
      </w:r>
    </w:p>
  </w:footnote>
  <w:footnote w:id="303">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Le Hir,</w:t>
      </w:r>
      <w:r w:rsidRPr="0044481F">
        <w:rPr>
          <w:rStyle w:val="italicus"/>
        </w:rPr>
        <w:t xml:space="preserve"> Études bibliques,</w:t>
      </w:r>
      <w:r w:rsidRPr="001077D9">
        <w:t xml:space="preserve"> t. I, p. 68 et suiv. </w:t>
      </w:r>
    </w:p>
  </w:footnote>
  <w:footnote w:id="304">
    <w:p w:rsidR="007F47B8" w:rsidRDefault="007F47B8" w:rsidP="00C31960">
      <w:pPr>
        <w:pStyle w:val="Notedebasdepage"/>
      </w:pPr>
      <w:r>
        <w:rPr>
          <w:rStyle w:val="Appelnotedebasdep"/>
        </w:rPr>
        <w:footnoteRef/>
      </w:r>
      <w:r>
        <w:t xml:space="preserve"> </w:t>
      </w:r>
      <w:r w:rsidRPr="001077D9">
        <w:t xml:space="preserve">$ </w:t>
      </w:r>
      <w:r w:rsidRPr="00C655D9">
        <w:t>Voyez en particulier</w:t>
      </w:r>
      <w:r w:rsidRPr="0044481F">
        <w:rPr>
          <w:rStyle w:val="italicus"/>
        </w:rPr>
        <w:t xml:space="preserve"> Delitzsch, Commentât </w:t>
      </w:r>
      <w:r>
        <w:rPr>
          <w:rStyle w:val="italicus"/>
        </w:rPr>
        <w:t>über</w:t>
      </w:r>
      <w:r w:rsidRPr="0044481F">
        <w:rPr>
          <w:rStyle w:val="italicus"/>
        </w:rPr>
        <w:t xml:space="preserve"> den Proph. Jesaiah, </w:t>
      </w:r>
      <w:r w:rsidRPr="00C655D9">
        <w:t>p. 136 ;</w:t>
      </w:r>
      <w:r w:rsidRPr="0044481F">
        <w:rPr>
          <w:rStyle w:val="italicus"/>
        </w:rPr>
        <w:t xml:space="preserve"> </w:t>
      </w:r>
      <w:r>
        <w:rPr>
          <w:rStyle w:val="italicus"/>
        </w:rPr>
        <w:t>Knabenbauer, Erkl</w:t>
      </w:r>
      <w:r w:rsidRPr="0044481F">
        <w:rPr>
          <w:rStyle w:val="italicus"/>
        </w:rPr>
        <w:t xml:space="preserve">ærung des Proph. Isaias, </w:t>
      </w:r>
      <w:r w:rsidRPr="00306DD5">
        <w:t xml:space="preserve">p. 122. </w:t>
      </w:r>
    </w:p>
  </w:footnote>
  <w:footnote w:id="305">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W. Schultz,</w:t>
      </w:r>
      <w:r w:rsidRPr="0044481F">
        <w:rPr>
          <w:rStyle w:val="italicus"/>
        </w:rPr>
        <w:t xml:space="preserve"> loc. cit.,</w:t>
      </w:r>
      <w:r w:rsidRPr="001077D9">
        <w:t xml:space="preserve"> p. 131. Voyez aussi Reinke,</w:t>
      </w:r>
      <w:r w:rsidRPr="0044481F">
        <w:rPr>
          <w:rStyle w:val="italicus"/>
        </w:rPr>
        <w:t xml:space="preserve"> l. c.,</w:t>
      </w:r>
      <w:r w:rsidRPr="001077D9">
        <w:t xml:space="preserve"> p. 219 et suiv. </w:t>
      </w:r>
    </w:p>
  </w:footnote>
  <w:footnote w:id="306">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Die Pro</w:t>
      </w:r>
      <w:r>
        <w:rPr>
          <w:rStyle w:val="italicus"/>
        </w:rPr>
        <w:t>p</w:t>
      </w:r>
      <w:r w:rsidRPr="0044481F">
        <w:rPr>
          <w:rStyle w:val="italicus"/>
        </w:rPr>
        <w:t>heten des Allen Bundes,</w:t>
      </w:r>
      <w:r w:rsidRPr="001077D9">
        <w:t xml:space="preserve"> t. I, p. 214 et suiv. </w:t>
      </w:r>
    </w:p>
  </w:footnote>
  <w:footnote w:id="307">
    <w:p w:rsidR="007F47B8" w:rsidRPr="001077D9" w:rsidRDefault="007F47B8" w:rsidP="00C31960">
      <w:pPr>
        <w:pStyle w:val="Notedebasdepage"/>
      </w:pPr>
      <w:r>
        <w:rPr>
          <w:rStyle w:val="Appelnotedebasdep"/>
        </w:rPr>
        <w:footnoteRef/>
      </w:r>
      <w:r>
        <w:t xml:space="preserve"> </w:t>
      </w:r>
      <w:r w:rsidRPr="001077D9">
        <w:t>$ Voyez encore les notes de Michælis sur la Bible hébraïque,</w:t>
      </w:r>
      <w:r w:rsidRPr="0044481F">
        <w:rPr>
          <w:rStyle w:val="italicus"/>
        </w:rPr>
        <w:t xml:space="preserve"> in Is. </w:t>
      </w:r>
      <w:r w:rsidRPr="001077D9">
        <w:t xml:space="preserve">VII, 16. </w:t>
      </w:r>
    </w:p>
  </w:footnote>
  <w:footnote w:id="308">
    <w:p w:rsidR="007F47B8" w:rsidRPr="0042259C" w:rsidRDefault="007F47B8" w:rsidP="00C31960">
      <w:pPr>
        <w:pStyle w:val="Notedebasdepage"/>
        <w:rPr>
          <w:i/>
        </w:rPr>
      </w:pPr>
      <w:r>
        <w:rPr>
          <w:rStyle w:val="Appelnotedebasdep"/>
        </w:rPr>
        <w:footnoteRef/>
      </w:r>
      <w:r>
        <w:t xml:space="preserve"> </w:t>
      </w:r>
      <w:r w:rsidRPr="001077D9">
        <w:t xml:space="preserve">$ </w:t>
      </w:r>
      <w:r w:rsidRPr="0044481F">
        <w:rPr>
          <w:rStyle w:val="italicus"/>
        </w:rPr>
        <w:t xml:space="preserve">In cap. I Malachíæ. </w:t>
      </w:r>
    </w:p>
  </w:footnote>
  <w:footnote w:id="309">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Pour Ewald,</w:t>
      </w:r>
      <w:r w:rsidRPr="0044481F">
        <w:rPr>
          <w:rStyle w:val="italicus"/>
        </w:rPr>
        <w:t xml:space="preserve"> l. c.,</w:t>
      </w:r>
      <w:r w:rsidRPr="001077D9">
        <w:t xml:space="preserve"> c’est le</w:t>
      </w:r>
      <w:r w:rsidRPr="0044481F">
        <w:rPr>
          <w:rStyle w:val="italicus"/>
        </w:rPr>
        <w:t xml:space="preserve"> Sprung der prophetischen Phantasie</w:t>
      </w:r>
      <w:r w:rsidRPr="001077D9">
        <w:t xml:space="preserve"> (un saut de l’imagination prophétique !). </w:t>
      </w:r>
    </w:p>
  </w:footnote>
  <w:footnote w:id="310">
    <w:p w:rsidR="007F47B8" w:rsidRPr="001077D9" w:rsidRDefault="007F47B8" w:rsidP="00C31960">
      <w:pPr>
        <w:pStyle w:val="Notedebasdepage"/>
      </w:pPr>
      <w:r>
        <w:rPr>
          <w:rStyle w:val="Appelnotedebasdep"/>
        </w:rPr>
        <w:footnoteRef/>
      </w:r>
      <w:r>
        <w:t xml:space="preserve"> </w:t>
      </w:r>
      <w:r w:rsidRPr="001077D9">
        <w:t>$ Reinke,</w:t>
      </w:r>
      <w:r w:rsidRPr="0044481F">
        <w:rPr>
          <w:rStyle w:val="italicus"/>
        </w:rPr>
        <w:t xml:space="preserve"> l. c.,</w:t>
      </w:r>
      <w:r w:rsidRPr="001077D9">
        <w:t xml:space="preserve"> p. 30. </w:t>
      </w:r>
    </w:p>
  </w:footnote>
  <w:footnote w:id="311">
    <w:p w:rsidR="007F47B8" w:rsidRPr="001077D9" w:rsidRDefault="007F47B8" w:rsidP="00C31960">
      <w:pPr>
        <w:pStyle w:val="Notedebasdepage"/>
      </w:pPr>
      <w:r>
        <w:rPr>
          <w:rStyle w:val="Appelnotedebasdep"/>
        </w:rPr>
        <w:footnoteRef/>
      </w:r>
      <w:r>
        <w:t xml:space="preserve"> </w:t>
      </w:r>
      <w:r w:rsidRPr="001077D9">
        <w:t>$ « L’explication la plus simple consiste à supposer qu’Isaïe veut indiquer seulement une date, et que le sens est : Avant que se soit écoulé le temps qu’il faudrait à Emmanuel, s’il naissait de nos jours, pour sortir de l’enfance, Israël et la Syrie seront désolés ». Vigouroux,</w:t>
      </w:r>
      <w:r w:rsidRPr="0044481F">
        <w:rPr>
          <w:rStyle w:val="italicus"/>
        </w:rPr>
        <w:t xml:space="preserve"> Manuel Biblique,</w:t>
      </w:r>
      <w:r w:rsidRPr="001077D9">
        <w:t xml:space="preserve"> t. II, p. 513 de la 3e édition. </w:t>
      </w:r>
    </w:p>
  </w:footnote>
  <w:footnote w:id="312">
    <w:p w:rsidR="007F47B8" w:rsidRPr="001077D9" w:rsidRDefault="007F47B8" w:rsidP="00C31960">
      <w:pPr>
        <w:pStyle w:val="Notedebasdepage"/>
      </w:pPr>
      <w:r>
        <w:rPr>
          <w:rStyle w:val="Appelnotedebasdep"/>
        </w:rPr>
        <w:footnoteRef/>
      </w:r>
      <w:r>
        <w:t xml:space="preserve"> </w:t>
      </w:r>
      <w:r w:rsidRPr="001077D9">
        <w:t>$ Au reste, la Bible présente plusieurs autres signes futurs, donnés par Dieu comme garantie de la véracité de ses prophètes dans le temps présent. Voyez</w:t>
      </w:r>
      <w:r w:rsidRPr="0044481F">
        <w:rPr>
          <w:rStyle w:val="italicus"/>
        </w:rPr>
        <w:t xml:space="preserve"> Ex.</w:t>
      </w:r>
      <w:r w:rsidRPr="001077D9">
        <w:t xml:space="preserve"> III, 12 ; I </w:t>
      </w:r>
      <w:r w:rsidRPr="0044481F">
        <w:rPr>
          <w:rStyle w:val="italicus"/>
        </w:rPr>
        <w:t>Reg.</w:t>
      </w:r>
      <w:r w:rsidRPr="001077D9">
        <w:t xml:space="preserve"> II, 34 ; X, 1 ; IV </w:t>
      </w:r>
      <w:r w:rsidRPr="0044481F">
        <w:rPr>
          <w:rStyle w:val="italicus"/>
        </w:rPr>
        <w:t>Reg.</w:t>
      </w:r>
      <w:r w:rsidRPr="001077D9">
        <w:t xml:space="preserve"> XIX, 29, etc. </w:t>
      </w:r>
    </w:p>
  </w:footnote>
  <w:footnote w:id="313">
    <w:p w:rsidR="007F47B8" w:rsidRPr="0042259C" w:rsidRDefault="007F47B8" w:rsidP="00C31960">
      <w:pPr>
        <w:pStyle w:val="Notedebasdepage"/>
        <w:rPr>
          <w:i/>
        </w:rPr>
      </w:pPr>
      <w:r>
        <w:rPr>
          <w:rStyle w:val="Appelnotedebasdep"/>
        </w:rPr>
        <w:footnoteRef/>
      </w:r>
      <w:r>
        <w:t xml:space="preserve"> </w:t>
      </w:r>
      <w:r w:rsidRPr="001077D9">
        <w:t xml:space="preserve">$ </w:t>
      </w:r>
      <w:r w:rsidRPr="0044481F">
        <w:rPr>
          <w:rStyle w:val="italicus"/>
        </w:rPr>
        <w:t xml:space="preserve">Sermo IX de Nativitáte Dómini. </w:t>
      </w:r>
    </w:p>
  </w:footnote>
  <w:footnote w:id="314">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L. c., p. 27. Sur les traditions païennes, d’après lesquelles le fils d’une vierge devait sauver l’humanité, voyez Rosenmüller,</w:t>
      </w:r>
      <w:r w:rsidRPr="0044481F">
        <w:rPr>
          <w:rStyle w:val="italicus"/>
        </w:rPr>
        <w:t xml:space="preserve"> Schólia,</w:t>
      </w:r>
      <w:r w:rsidRPr="001077D9">
        <w:t xml:space="preserve"> in h. l., etc. Les beaux vers de Virgile sont dans toutes les mémoires : </w:t>
      </w:r>
    </w:p>
    <w:p w:rsidR="007F47B8" w:rsidRDefault="007F47B8" w:rsidP="00C31960">
      <w:pPr>
        <w:pStyle w:val="Notedebasdepage"/>
      </w:pPr>
      <w:r>
        <w:t xml:space="preserve">Ultima Cumǽi venit jam cárminis ætas ; </w:t>
      </w:r>
    </w:p>
    <w:p w:rsidR="007F47B8" w:rsidRPr="00F84A0B" w:rsidRDefault="007F47B8" w:rsidP="00C31960">
      <w:pPr>
        <w:pStyle w:val="Notedebasdepage"/>
        <w:rPr>
          <w:lang w:val="en-US"/>
        </w:rPr>
      </w:pPr>
      <w:r w:rsidRPr="00F84A0B">
        <w:rPr>
          <w:lang w:val="en-US"/>
        </w:rPr>
        <w:t xml:space="preserve">Magnus ab íntegro sæclórum náscitur ordo. </w:t>
      </w:r>
    </w:p>
    <w:p w:rsidR="007F47B8" w:rsidRDefault="007F47B8" w:rsidP="00C31960">
      <w:pPr>
        <w:pStyle w:val="Notedebasdepage"/>
      </w:pPr>
      <w:r>
        <w:t xml:space="preserve">Jam redit et virgo, rédeunt Satúrnia regna, </w:t>
      </w:r>
    </w:p>
    <w:p w:rsidR="007F47B8" w:rsidRDefault="007F47B8" w:rsidP="00C31960">
      <w:pPr>
        <w:pStyle w:val="Notedebasdepage"/>
      </w:pPr>
      <w:r>
        <w:t xml:space="preserve">Jam nova progénies cœlo demíttitur alto. </w:t>
      </w:r>
    </w:p>
    <w:p w:rsidR="007F47B8" w:rsidRDefault="007F47B8" w:rsidP="00C31960">
      <w:pPr>
        <w:pStyle w:val="Notedebasdepage"/>
      </w:pPr>
      <w:r>
        <w:t xml:space="preserve">Tu modo nascénti púero, quo férrea primum </w:t>
      </w:r>
    </w:p>
    <w:p w:rsidR="007F47B8" w:rsidRDefault="007F47B8" w:rsidP="00C31960">
      <w:pPr>
        <w:pStyle w:val="Notedebasdepage"/>
      </w:pPr>
      <w:r>
        <w:t xml:space="preserve">Désinet, ac toto surget gens áurea mundo, </w:t>
      </w:r>
    </w:p>
    <w:p w:rsidR="007F47B8" w:rsidRPr="00F84A0B" w:rsidRDefault="007F47B8" w:rsidP="00C31960">
      <w:pPr>
        <w:pStyle w:val="Notedebasdepage"/>
        <w:rPr>
          <w:lang w:val="en-US"/>
        </w:rPr>
      </w:pPr>
      <w:r w:rsidRPr="00F84A0B">
        <w:rPr>
          <w:lang w:val="en-US"/>
        </w:rPr>
        <w:t xml:space="preserve">Casta fave Lucína ; tuus jam regnat Apollo. </w:t>
      </w:r>
    </w:p>
    <w:p w:rsidR="007F47B8" w:rsidRDefault="007F47B8" w:rsidP="00C31960">
      <w:pPr>
        <w:pStyle w:val="Notedebasdepage"/>
      </w:pPr>
      <w:r w:rsidRPr="00F84A0B">
        <w:rPr>
          <w:lang w:val="en-US"/>
        </w:rPr>
        <w:t>(</w:t>
      </w:r>
      <w:r w:rsidRPr="00F84A0B">
        <w:rPr>
          <w:rStyle w:val="italicus"/>
          <w:lang w:val="en-US"/>
        </w:rPr>
        <w:t>Eclog</w:t>
      </w:r>
      <w:r w:rsidRPr="00F84A0B">
        <w:rPr>
          <w:lang w:val="en-US"/>
        </w:rPr>
        <w:t xml:space="preserve">. </w:t>
      </w:r>
      <w:r>
        <w:t>IV, 4 et ss.</w:t>
      </w:r>
      <w:r w:rsidRPr="00BA383E">
        <w:t xml:space="preserve">) </w:t>
      </w:r>
    </w:p>
  </w:footnote>
  <w:footnote w:id="315">
    <w:p w:rsidR="007F47B8" w:rsidRDefault="007F47B8" w:rsidP="00C31960">
      <w:pPr>
        <w:pStyle w:val="Notedebasdepage"/>
      </w:pPr>
      <w:r>
        <w:rPr>
          <w:rStyle w:val="Appelnotedebasdep"/>
        </w:rPr>
        <w:footnoteRef/>
      </w:r>
      <w:r>
        <w:t xml:space="preserve"> </w:t>
      </w:r>
      <w:r w:rsidRPr="001077D9">
        <w:t xml:space="preserve">$ II sera bon de citer le texte grec, auquel la discussion nous ramènera souvent : </w:t>
      </w:r>
      <w:r w:rsidRPr="00AB7F87">
        <w:t>℣</w:t>
      </w:r>
      <w:r w:rsidRPr="001077D9">
        <w:t xml:space="preserve"> 43. </w:t>
      </w:r>
      <w:r w:rsidRPr="007B3DD4">
        <w:rPr>
          <w:lang w:val="en-GB"/>
        </w:rPr>
        <w:t>Ὤφθη</w:t>
      </w:r>
      <w:r w:rsidRPr="00F84A0B">
        <w:t xml:space="preserve"> </w:t>
      </w:r>
      <w:r w:rsidRPr="007B3DD4">
        <w:rPr>
          <w:lang w:val="en-GB"/>
        </w:rPr>
        <w:t>δὲ</w:t>
      </w:r>
      <w:r w:rsidRPr="00F84A0B">
        <w:t xml:space="preserve"> </w:t>
      </w:r>
      <w:r w:rsidRPr="007B3DD4">
        <w:rPr>
          <w:lang w:val="en-GB"/>
        </w:rPr>
        <w:t>αὐτῷ</w:t>
      </w:r>
      <w:r w:rsidRPr="00F84A0B">
        <w:t xml:space="preserve"> </w:t>
      </w:r>
      <w:r w:rsidRPr="007B3DD4">
        <w:rPr>
          <w:lang w:val="en-GB"/>
        </w:rPr>
        <w:t>ἄγγελος</w:t>
      </w:r>
      <w:r w:rsidRPr="00F84A0B">
        <w:t xml:space="preserve"> </w:t>
      </w:r>
      <w:r w:rsidRPr="007B3DD4">
        <w:rPr>
          <w:lang w:val="en-GB"/>
        </w:rPr>
        <w:t>ἀπ</w:t>
      </w:r>
      <w:r w:rsidRPr="00F84A0B">
        <w:t xml:space="preserve">’ </w:t>
      </w:r>
      <w:r w:rsidRPr="007B3DD4">
        <w:rPr>
          <w:lang w:val="en-GB"/>
        </w:rPr>
        <w:t>οὐρανοῦ</w:t>
      </w:r>
      <w:r w:rsidRPr="00F84A0B">
        <w:t xml:space="preserve"> </w:t>
      </w:r>
      <w:r w:rsidRPr="007B3DD4">
        <w:rPr>
          <w:lang w:val="en-GB"/>
        </w:rPr>
        <w:t>ἐνισχύων</w:t>
      </w:r>
      <w:r w:rsidRPr="00F84A0B">
        <w:t xml:space="preserve"> </w:t>
      </w:r>
      <w:r w:rsidRPr="007B3DD4">
        <w:rPr>
          <w:lang w:val="en-GB"/>
        </w:rPr>
        <w:t>αὐτόν</w:t>
      </w:r>
      <w:r w:rsidRPr="00F84A0B">
        <w:t xml:space="preserve">. </w:t>
      </w:r>
      <w:r w:rsidRPr="00AB7F87">
        <w:t>℣</w:t>
      </w:r>
      <w:r w:rsidRPr="00F84A0B">
        <w:t xml:space="preserve"> 44 </w:t>
      </w:r>
      <w:r w:rsidRPr="007B3DD4">
        <w:rPr>
          <w:lang w:val="en-GB"/>
        </w:rPr>
        <w:t>Καὶ</w:t>
      </w:r>
      <w:r w:rsidRPr="00F84A0B">
        <w:t xml:space="preserve"> </w:t>
      </w:r>
      <w:r w:rsidRPr="007B3DD4">
        <w:rPr>
          <w:lang w:val="en-GB"/>
        </w:rPr>
        <w:t>γενόμενος</w:t>
      </w:r>
      <w:r w:rsidRPr="00F84A0B">
        <w:t xml:space="preserve"> </w:t>
      </w:r>
      <w:r w:rsidRPr="007B3DD4">
        <w:rPr>
          <w:lang w:val="en-GB"/>
        </w:rPr>
        <w:t>ἐν</w:t>
      </w:r>
      <w:r w:rsidRPr="00F84A0B">
        <w:t xml:space="preserve"> </w:t>
      </w:r>
      <w:r w:rsidRPr="007B3DD4">
        <w:rPr>
          <w:lang w:val="en-GB"/>
        </w:rPr>
        <w:t>ἀγωνίᾳ</w:t>
      </w:r>
      <w:r w:rsidRPr="00F84A0B">
        <w:t xml:space="preserve">, </w:t>
      </w:r>
      <w:r w:rsidRPr="007B3DD4">
        <w:rPr>
          <w:lang w:val="en-GB"/>
        </w:rPr>
        <w:t>ἐκτενέστερον</w:t>
      </w:r>
      <w:r w:rsidRPr="00F84A0B">
        <w:t xml:space="preserve"> </w:t>
      </w:r>
      <w:r w:rsidRPr="007B3DD4">
        <w:rPr>
          <w:lang w:val="en-GB"/>
        </w:rPr>
        <w:t>προσηύχετο</w:t>
      </w:r>
      <w:r w:rsidRPr="00F84A0B">
        <w:t xml:space="preserve">. </w:t>
      </w:r>
      <w:r w:rsidRPr="007B3DD4">
        <w:rPr>
          <w:lang w:val="en-GB"/>
        </w:rPr>
        <w:t>Ἐγένετο</w:t>
      </w:r>
      <w:r w:rsidRPr="00F84A0B">
        <w:t xml:space="preserve"> </w:t>
      </w:r>
      <w:r w:rsidRPr="007B3DD4">
        <w:rPr>
          <w:lang w:val="en-GB"/>
        </w:rPr>
        <w:t>δὲ</w:t>
      </w:r>
      <w:r w:rsidRPr="00F84A0B">
        <w:t xml:space="preserve"> </w:t>
      </w:r>
      <w:r w:rsidRPr="007B3DD4">
        <w:rPr>
          <w:lang w:val="en-GB"/>
        </w:rPr>
        <w:t>ὁ</w:t>
      </w:r>
      <w:r w:rsidRPr="00F84A0B">
        <w:t xml:space="preserve"> </w:t>
      </w:r>
      <w:r w:rsidRPr="007B3DD4">
        <w:rPr>
          <w:lang w:val="en-GB"/>
        </w:rPr>
        <w:t>ἱδρὼς</w:t>
      </w:r>
      <w:r w:rsidRPr="00F84A0B">
        <w:t xml:space="preserve"> </w:t>
      </w:r>
      <w:r w:rsidRPr="007B3DD4">
        <w:rPr>
          <w:lang w:val="en-GB"/>
        </w:rPr>
        <w:t>αὐτοῦ</w:t>
      </w:r>
      <w:r w:rsidRPr="00F84A0B">
        <w:t xml:space="preserve"> </w:t>
      </w:r>
      <w:r w:rsidRPr="007B3DD4">
        <w:rPr>
          <w:lang w:val="en-GB"/>
        </w:rPr>
        <w:t>ὡσεὶ</w:t>
      </w:r>
      <w:r w:rsidRPr="00F84A0B">
        <w:t xml:space="preserve"> </w:t>
      </w:r>
      <w:r w:rsidRPr="007B3DD4">
        <w:rPr>
          <w:lang w:val="en-GB"/>
        </w:rPr>
        <w:t>θρόμβοι</w:t>
      </w:r>
      <w:r w:rsidRPr="00F84A0B">
        <w:t xml:space="preserve"> </w:t>
      </w:r>
      <w:r w:rsidRPr="007B3DD4">
        <w:rPr>
          <w:lang w:val="en-GB"/>
        </w:rPr>
        <w:t>αἵματος</w:t>
      </w:r>
      <w:r w:rsidRPr="00F84A0B">
        <w:t xml:space="preserve"> </w:t>
      </w:r>
      <w:r w:rsidRPr="007B3DD4">
        <w:rPr>
          <w:lang w:val="en-GB"/>
        </w:rPr>
        <w:t>καταβαίνοντες</w:t>
      </w:r>
      <w:r w:rsidRPr="00F84A0B">
        <w:t xml:space="preserve"> </w:t>
      </w:r>
      <w:r w:rsidRPr="007B3DD4">
        <w:rPr>
          <w:lang w:val="en-GB"/>
        </w:rPr>
        <w:t>ἐπὶ</w:t>
      </w:r>
      <w:r w:rsidRPr="00F84A0B">
        <w:t xml:space="preserve"> </w:t>
      </w:r>
      <w:r w:rsidRPr="007B3DD4">
        <w:rPr>
          <w:lang w:val="en-GB"/>
        </w:rPr>
        <w:t>τὴν</w:t>
      </w:r>
      <w:r w:rsidRPr="00F84A0B">
        <w:t xml:space="preserve"> </w:t>
      </w:r>
      <w:r w:rsidRPr="007B3DD4">
        <w:rPr>
          <w:lang w:val="en-GB"/>
        </w:rPr>
        <w:t>γῆν</w:t>
      </w:r>
      <w:r w:rsidRPr="00F84A0B">
        <w:t xml:space="preserve">. </w:t>
      </w:r>
    </w:p>
  </w:footnote>
  <w:footnote w:id="316">
    <w:p w:rsidR="007F47B8" w:rsidRDefault="007F47B8" w:rsidP="00C31960">
      <w:pPr>
        <w:pStyle w:val="Notedebasdepage"/>
      </w:pPr>
      <w:r>
        <w:rPr>
          <w:rStyle w:val="Appelnotedebasdep"/>
        </w:rPr>
        <w:footnoteRef/>
      </w:r>
      <w:r>
        <w:t xml:space="preserve"> </w:t>
      </w:r>
      <w:r w:rsidRPr="001077D9">
        <w:t xml:space="preserve">$ </w:t>
      </w:r>
      <w:r w:rsidRPr="0044481F">
        <w:rPr>
          <w:rStyle w:val="italicus"/>
        </w:rPr>
        <w:t xml:space="preserve">De Trinit., </w:t>
      </w:r>
      <w:r w:rsidRPr="00582106">
        <w:t xml:space="preserve">c. X. </w:t>
      </w:r>
    </w:p>
  </w:footnote>
  <w:footnote w:id="317">
    <w:p w:rsidR="007F47B8" w:rsidRPr="007F47B8" w:rsidRDefault="007F47B8" w:rsidP="00C31960">
      <w:pPr>
        <w:pStyle w:val="Notedebasdepage"/>
        <w:rPr>
          <w:lang w:val="en-US"/>
        </w:rPr>
      </w:pPr>
      <w:r>
        <w:rPr>
          <w:rStyle w:val="Appelnotedebasdep"/>
        </w:rPr>
        <w:footnoteRef/>
      </w:r>
      <w:r>
        <w:t xml:space="preserve"> </w:t>
      </w:r>
      <w:r>
        <w:rPr>
          <w:rStyle w:val="italicus"/>
        </w:rPr>
        <w:t xml:space="preserve">$ </w:t>
      </w:r>
      <w:r w:rsidRPr="0044481F">
        <w:rPr>
          <w:rStyle w:val="italicus"/>
        </w:rPr>
        <w:t>Adv. Pelágium,</w:t>
      </w:r>
      <w:r w:rsidRPr="001077D9">
        <w:t xml:space="preserve"> édit. </w:t>
      </w:r>
      <w:r w:rsidRPr="007F47B8">
        <w:rPr>
          <w:lang w:val="en-US"/>
        </w:rPr>
        <w:t xml:space="preserve">Martianay, t. IV, pars 2, p. 521. </w:t>
      </w:r>
    </w:p>
  </w:footnote>
  <w:footnote w:id="318">
    <w:p w:rsidR="007F47B8" w:rsidRPr="007F47B8" w:rsidRDefault="007F47B8" w:rsidP="00C31960">
      <w:pPr>
        <w:pStyle w:val="Notedebasdepage"/>
      </w:pPr>
      <w:r>
        <w:rPr>
          <w:rStyle w:val="Appelnotedebasdep"/>
        </w:rPr>
        <w:footnoteRef/>
      </w:r>
      <w:r w:rsidRPr="007F47B8">
        <w:t xml:space="preserve"> </w:t>
      </w:r>
      <w:r w:rsidRPr="001077D9">
        <w:t xml:space="preserve">$ </w:t>
      </w:r>
      <w:r w:rsidRPr="007F47B8">
        <w:rPr>
          <w:rStyle w:val="italicus"/>
        </w:rPr>
        <w:t>Dial. cum Tryph.,</w:t>
      </w:r>
      <w:r w:rsidRPr="001077D9">
        <w:t xml:space="preserve"> 103 : </w:t>
      </w:r>
      <w:r>
        <w:rPr>
          <w:lang w:val="en-GB"/>
        </w:rPr>
        <w:t>ὅ</w:t>
      </w:r>
      <w:r w:rsidRPr="000E3FDE">
        <w:rPr>
          <w:lang w:val="en-GB"/>
        </w:rPr>
        <w:t>τι</w:t>
      </w:r>
      <w:r w:rsidRPr="007F47B8">
        <w:t xml:space="preserve"> </w:t>
      </w:r>
      <w:r>
        <w:rPr>
          <w:lang w:val="en-GB"/>
        </w:rPr>
        <w:t>ἱ</w:t>
      </w:r>
      <w:r w:rsidRPr="000E3FDE">
        <w:rPr>
          <w:lang w:val="en-GB"/>
        </w:rPr>
        <w:t>δρ</w:t>
      </w:r>
      <w:r>
        <w:rPr>
          <w:lang w:val="en-GB"/>
        </w:rPr>
        <w:t>ὼ</w:t>
      </w:r>
      <w:r w:rsidRPr="000E3FDE">
        <w:rPr>
          <w:lang w:val="en-GB"/>
        </w:rPr>
        <w:t>ς</w:t>
      </w:r>
      <w:r w:rsidRPr="007F47B8">
        <w:t xml:space="preserve"> </w:t>
      </w:r>
      <w:r>
        <w:rPr>
          <w:lang w:val="en-GB"/>
        </w:rPr>
        <w:t>ὡσεὶ</w:t>
      </w:r>
      <w:r w:rsidRPr="007F47B8">
        <w:t xml:space="preserve"> </w:t>
      </w:r>
      <w:r w:rsidRPr="000E3FDE">
        <w:rPr>
          <w:lang w:val="en-GB"/>
        </w:rPr>
        <w:t>θρό</w:t>
      </w:r>
      <w:r>
        <w:rPr>
          <w:lang w:val="en-GB"/>
        </w:rPr>
        <w:t>μ</w:t>
      </w:r>
      <w:r w:rsidRPr="000E3FDE">
        <w:rPr>
          <w:lang w:val="en-GB"/>
        </w:rPr>
        <w:t>βοι</w:t>
      </w:r>
      <w:r w:rsidRPr="007F47B8">
        <w:t xml:space="preserve"> </w:t>
      </w:r>
      <w:r>
        <w:rPr>
          <w:lang w:val="en-GB"/>
        </w:rPr>
        <w:t>κ</w:t>
      </w:r>
      <w:r w:rsidRPr="000E3FDE">
        <w:rPr>
          <w:lang w:val="en-GB"/>
        </w:rPr>
        <w:t>ατεχε</w:t>
      </w:r>
      <w:r>
        <w:rPr>
          <w:lang w:val="en-GB"/>
        </w:rPr>
        <w:t>ῖ</w:t>
      </w:r>
      <w:r w:rsidRPr="000E3FDE">
        <w:rPr>
          <w:lang w:val="en-GB"/>
        </w:rPr>
        <w:t>τ</w:t>
      </w:r>
      <w:r>
        <w:rPr>
          <w:lang w:val="en-GB"/>
        </w:rPr>
        <w:t>α</w:t>
      </w:r>
      <w:r w:rsidRPr="007F47B8">
        <w:t xml:space="preserve"> </w:t>
      </w:r>
      <w:r w:rsidRPr="000E3FDE">
        <w:rPr>
          <w:lang w:val="en-GB"/>
        </w:rPr>
        <w:t>α</w:t>
      </w:r>
      <w:r>
        <w:rPr>
          <w:lang w:val="en-GB"/>
        </w:rPr>
        <w:t>ὐ</w:t>
      </w:r>
      <w:r w:rsidRPr="000E3FDE">
        <w:rPr>
          <w:lang w:val="en-GB"/>
        </w:rPr>
        <w:t>το</w:t>
      </w:r>
      <w:r>
        <w:rPr>
          <w:lang w:val="en-GB"/>
        </w:rPr>
        <w:t>ῦ</w:t>
      </w:r>
      <w:r w:rsidRPr="007F47B8">
        <w:t xml:space="preserve"> </w:t>
      </w:r>
      <w:r w:rsidRPr="000E3FDE">
        <w:rPr>
          <w:lang w:val="en-GB"/>
        </w:rPr>
        <w:t>ε</w:t>
      </w:r>
      <w:r>
        <w:rPr>
          <w:lang w:val="en-GB"/>
        </w:rPr>
        <w:t>ὐ</w:t>
      </w:r>
      <w:r w:rsidRPr="000E3FDE">
        <w:rPr>
          <w:lang w:val="en-GB"/>
        </w:rPr>
        <w:t>χ</w:t>
      </w:r>
      <w:r>
        <w:rPr>
          <w:lang w:val="en-GB"/>
        </w:rPr>
        <w:t>ο</w:t>
      </w:r>
      <w:r w:rsidRPr="000E3FDE">
        <w:rPr>
          <w:lang w:val="en-GB"/>
        </w:rPr>
        <w:t>μ</w:t>
      </w:r>
      <w:r>
        <w:rPr>
          <w:lang w:val="en-GB"/>
        </w:rPr>
        <w:t>έ</w:t>
      </w:r>
      <w:r w:rsidRPr="000E3FDE">
        <w:rPr>
          <w:lang w:val="en-GB"/>
        </w:rPr>
        <w:t>νου</w:t>
      </w:r>
      <w:r w:rsidRPr="007F47B8">
        <w:t>.</w:t>
      </w:r>
    </w:p>
  </w:footnote>
  <w:footnote w:id="319">
    <w:p w:rsidR="007F47B8" w:rsidRPr="007F47B8" w:rsidRDefault="007F47B8" w:rsidP="00C31960">
      <w:pPr>
        <w:pStyle w:val="Notedebasdepage"/>
      </w:pPr>
      <w:r>
        <w:rPr>
          <w:rStyle w:val="Appelnotedebasdep"/>
        </w:rPr>
        <w:footnoteRef/>
      </w:r>
      <w:r w:rsidRPr="007F47B8">
        <w:t xml:space="preserve"> $ III, XXII, 2 : </w:t>
      </w:r>
      <w:r w:rsidRPr="000E3FDE">
        <w:rPr>
          <w:lang w:val="en-GB"/>
        </w:rPr>
        <w:t>ο</w:t>
      </w:r>
      <w:r>
        <w:rPr>
          <w:lang w:val="en-GB"/>
        </w:rPr>
        <w:t>ὐ</w:t>
      </w:r>
      <w:r w:rsidRPr="000E3FDE">
        <w:rPr>
          <w:lang w:val="en-GB"/>
        </w:rPr>
        <w:t>δ</w:t>
      </w:r>
      <w:r w:rsidRPr="007F47B8">
        <w:t xml:space="preserve">' </w:t>
      </w:r>
      <w:r>
        <w:rPr>
          <w:lang w:val="en-GB"/>
        </w:rPr>
        <w:t>ἄ</w:t>
      </w:r>
      <w:r w:rsidRPr="000E3FDE">
        <w:rPr>
          <w:lang w:val="en-GB"/>
        </w:rPr>
        <w:t>ν</w:t>
      </w:r>
      <w:r w:rsidRPr="007F47B8">
        <w:t xml:space="preserve"> </w:t>
      </w:r>
      <w:r>
        <w:rPr>
          <w:lang w:val="en-GB"/>
        </w:rPr>
        <w:t>ἳ</w:t>
      </w:r>
      <w:r w:rsidRPr="000E3FDE">
        <w:rPr>
          <w:lang w:val="en-GB"/>
        </w:rPr>
        <w:t>δρωσε</w:t>
      </w:r>
      <w:r w:rsidRPr="007F47B8">
        <w:t xml:space="preserve"> </w:t>
      </w:r>
      <w:r w:rsidRPr="000E3FDE">
        <w:rPr>
          <w:lang w:val="en-GB"/>
        </w:rPr>
        <w:t>θρ</w:t>
      </w:r>
      <w:r>
        <w:rPr>
          <w:lang w:val="en-GB"/>
        </w:rPr>
        <w:t>ό</w:t>
      </w:r>
      <w:r w:rsidRPr="000E3FDE">
        <w:rPr>
          <w:lang w:val="en-GB"/>
        </w:rPr>
        <w:t>μβους</w:t>
      </w:r>
      <w:r w:rsidRPr="007F47B8">
        <w:t xml:space="preserve"> </w:t>
      </w:r>
      <w:r w:rsidRPr="000E3FDE">
        <w:rPr>
          <w:lang w:val="en-GB"/>
        </w:rPr>
        <w:t>α</w:t>
      </w:r>
      <w:r>
        <w:rPr>
          <w:lang w:val="en-GB"/>
        </w:rPr>
        <w:t>ἵ</w:t>
      </w:r>
      <w:r w:rsidRPr="000E3FDE">
        <w:rPr>
          <w:lang w:val="en-GB"/>
        </w:rPr>
        <w:t>ματος</w:t>
      </w:r>
      <w:r w:rsidRPr="007F47B8">
        <w:t>.</w:t>
      </w:r>
    </w:p>
  </w:footnote>
  <w:footnote w:id="320">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Hebr.</w:t>
      </w:r>
      <w:r w:rsidRPr="001077D9">
        <w:t xml:space="preserve"> XII, 4. </w:t>
      </w:r>
    </w:p>
  </w:footnote>
  <w:footnote w:id="321">
    <w:p w:rsidR="007F47B8" w:rsidRPr="0042259C" w:rsidRDefault="007F47B8" w:rsidP="00C31960">
      <w:pPr>
        <w:pStyle w:val="Notedebasdepage"/>
        <w:rPr>
          <w:i/>
          <w:lang w:val="en-US"/>
        </w:rPr>
      </w:pPr>
      <w:r>
        <w:rPr>
          <w:rStyle w:val="Appelnotedebasdep"/>
        </w:rPr>
        <w:footnoteRef/>
      </w:r>
      <w:r>
        <w:t xml:space="preserve"> </w:t>
      </w:r>
      <w:r w:rsidRPr="00325192">
        <w:t xml:space="preserve">$ Voyez Sevin, </w:t>
      </w:r>
      <w:r w:rsidRPr="0044481F">
        <w:rPr>
          <w:rStyle w:val="italicus"/>
        </w:rPr>
        <w:t xml:space="preserve">Synopt. </w:t>
      </w:r>
      <w:r w:rsidRPr="00F84A0B">
        <w:rPr>
          <w:rStyle w:val="italicus"/>
          <w:lang w:val="en-US"/>
        </w:rPr>
        <w:t xml:space="preserve">Erklærung der drei ersten Evangelien, Wiesbaden, 1873, p. 332. </w:t>
      </w:r>
    </w:p>
  </w:footnote>
  <w:footnote w:id="322">
    <w:p w:rsidR="007F47B8" w:rsidRPr="001077D9" w:rsidRDefault="007F47B8" w:rsidP="00C31960">
      <w:pPr>
        <w:pStyle w:val="Notedebasdepage"/>
      </w:pPr>
      <w:r>
        <w:rPr>
          <w:rStyle w:val="Appelnotedebasdep"/>
        </w:rPr>
        <w:footnoteRef/>
      </w:r>
      <w:r>
        <w:t xml:space="preserve"> </w:t>
      </w:r>
      <w:r>
        <w:rPr>
          <w:rStyle w:val="italicus"/>
        </w:rPr>
        <w:t xml:space="preserve">$ </w:t>
      </w:r>
      <w:r w:rsidRPr="0044481F">
        <w:rPr>
          <w:rStyle w:val="italicus"/>
        </w:rPr>
        <w:t>Comment.,</w:t>
      </w:r>
      <w:r w:rsidRPr="001077D9">
        <w:t xml:space="preserve"> h. l. « Pótius credéndum est a nonnúllis id fuisse delétum, quam a quoquam adjúnctum ». </w:t>
      </w:r>
    </w:p>
  </w:footnote>
  <w:footnote w:id="323">
    <w:p w:rsidR="007F47B8" w:rsidRPr="001077D9" w:rsidRDefault="007F47B8" w:rsidP="00C31960">
      <w:pPr>
        <w:pStyle w:val="Notedebasdepage"/>
      </w:pPr>
      <w:r>
        <w:rPr>
          <w:rStyle w:val="Appelnotedebasdep"/>
        </w:rPr>
        <w:footnoteRef/>
      </w:r>
      <w:r>
        <w:t xml:space="preserve"> </w:t>
      </w:r>
      <w:r w:rsidRPr="001077D9">
        <w:t xml:space="preserve">$ </w:t>
      </w:r>
      <w:r>
        <w:rPr>
          <w:rStyle w:val="italicus"/>
        </w:rPr>
        <w:t>Anc</w:t>
      </w:r>
      <w:r w:rsidRPr="0044481F">
        <w:rPr>
          <w:rStyle w:val="italicus"/>
        </w:rPr>
        <w:t>orátus,</w:t>
      </w:r>
      <w:r w:rsidRPr="001077D9">
        <w:t xml:space="preserve"> 31. Comp. Bellarmin,</w:t>
      </w:r>
      <w:r w:rsidRPr="0044481F">
        <w:rPr>
          <w:rStyle w:val="italicus"/>
        </w:rPr>
        <w:t xml:space="preserve"> De</w:t>
      </w:r>
      <w:r>
        <w:rPr>
          <w:rStyle w:val="italicus"/>
        </w:rPr>
        <w:t xml:space="preserve"> </w:t>
      </w:r>
      <w:r w:rsidRPr="0044481F">
        <w:rPr>
          <w:rStyle w:val="italicus"/>
        </w:rPr>
        <w:t>Verbo</w:t>
      </w:r>
      <w:r>
        <w:rPr>
          <w:rStyle w:val="italicus"/>
        </w:rPr>
        <w:t xml:space="preserve"> </w:t>
      </w:r>
      <w:r w:rsidRPr="0044481F">
        <w:rPr>
          <w:rStyle w:val="italicus"/>
        </w:rPr>
        <w:t>Dei,</w:t>
      </w:r>
      <w:r w:rsidRPr="001077D9">
        <w:t xml:space="preserve"> I, 16. </w:t>
      </w:r>
    </w:p>
  </w:footnote>
  <w:footnote w:id="324">
    <w:p w:rsidR="007F47B8" w:rsidRPr="001077D9" w:rsidRDefault="007F47B8" w:rsidP="00C31960">
      <w:pPr>
        <w:pStyle w:val="Notedebasdepage"/>
      </w:pPr>
      <w:r>
        <w:rPr>
          <w:rStyle w:val="Appelnotedebasdep"/>
        </w:rPr>
        <w:footnoteRef/>
      </w:r>
      <w:r>
        <w:t xml:space="preserve"> </w:t>
      </w:r>
      <w:r w:rsidRPr="001077D9">
        <w:t>$ Voyez Wettstein,</w:t>
      </w:r>
      <w:r w:rsidRPr="0044481F">
        <w:rPr>
          <w:rStyle w:val="italicus"/>
        </w:rPr>
        <w:t xml:space="preserve"> Hor. hebr.,</w:t>
      </w:r>
      <w:r w:rsidRPr="001077D9">
        <w:t xml:space="preserve"> h. l. ; Langen,</w:t>
      </w:r>
      <w:r>
        <w:rPr>
          <w:rStyle w:val="italicus"/>
        </w:rPr>
        <w:t xml:space="preserve"> Die letz</w:t>
      </w:r>
      <w:r w:rsidRPr="0044481F">
        <w:rPr>
          <w:rStyle w:val="italicus"/>
        </w:rPr>
        <w:t>ten Lebenstage Jesu,</w:t>
      </w:r>
      <w:r w:rsidRPr="001077D9">
        <w:t xml:space="preserve"> p. 210 et s. ; Reuss,</w:t>
      </w:r>
      <w:r w:rsidRPr="0044481F">
        <w:rPr>
          <w:rStyle w:val="italicus"/>
        </w:rPr>
        <w:t xml:space="preserve"> Histoire évangélique,</w:t>
      </w:r>
      <w:r w:rsidRPr="001077D9">
        <w:t xml:space="preserve"> p. 635 ; Trollope and Rowlandson,</w:t>
      </w:r>
      <w:r w:rsidRPr="0044481F">
        <w:rPr>
          <w:rStyle w:val="italicus"/>
        </w:rPr>
        <w:t xml:space="preserve"> The Gospel according to S. Luke, p.</w:t>
      </w:r>
      <w:r w:rsidRPr="001077D9">
        <w:t xml:space="preserve"> 164 et ss. </w:t>
      </w:r>
    </w:p>
  </w:footnote>
  <w:footnote w:id="325">
    <w:p w:rsidR="007F47B8" w:rsidRPr="001077D9" w:rsidRDefault="007F47B8" w:rsidP="00C31960">
      <w:pPr>
        <w:pStyle w:val="Notedebasdepage"/>
      </w:pPr>
      <w:r>
        <w:rPr>
          <w:rStyle w:val="Appelnotedebasdep"/>
        </w:rPr>
        <w:footnoteRef/>
      </w:r>
      <w:r w:rsidRPr="007F47B8">
        <w:t xml:space="preserve"> </w:t>
      </w:r>
      <w:r w:rsidRPr="001077D9">
        <w:t xml:space="preserve">$ Gallandi, t. III, p. 250. </w:t>
      </w:r>
    </w:p>
  </w:footnote>
  <w:footnote w:id="326">
    <w:p w:rsidR="007F47B8" w:rsidRPr="007F47B8" w:rsidRDefault="007F47B8" w:rsidP="00C31960">
      <w:pPr>
        <w:pStyle w:val="Notedebasdepage"/>
        <w:rPr>
          <w:i/>
        </w:rPr>
      </w:pPr>
      <w:r>
        <w:rPr>
          <w:rStyle w:val="Appelnotedebasdep"/>
        </w:rPr>
        <w:footnoteRef/>
      </w:r>
      <w:r w:rsidRPr="007F47B8">
        <w:t xml:space="preserve"> </w:t>
      </w:r>
      <w:r w:rsidRPr="001077D9">
        <w:t xml:space="preserve">$ </w:t>
      </w:r>
      <w:r w:rsidRPr="007F47B8">
        <w:rPr>
          <w:rStyle w:val="italicus"/>
        </w:rPr>
        <w:t xml:space="preserve">Epist. 138 ad Theodor. </w:t>
      </w:r>
    </w:p>
  </w:footnote>
  <w:footnote w:id="327">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 xml:space="preserve">En dépit d’une longue note qui se donne des airs scientifiques, nous n’avons pu comprendre les motifs pour lesquels MM. Westcott et Hort, </w:t>
      </w:r>
      <w:r w:rsidRPr="0044481F">
        <w:rPr>
          <w:rStyle w:val="italicus"/>
        </w:rPr>
        <w:t>The New Testament in the original Greek,</w:t>
      </w:r>
      <w:r w:rsidRPr="001077D9">
        <w:t xml:space="preserve"> Londres, 1882, t. II, p. 54 et s. du supplément, le regardent comme une interpolation occidentale. Ils ne nient pas néanmoins qu’il n’exprime des faits réels, conservés par la tradition. </w:t>
      </w:r>
    </w:p>
  </w:footnote>
  <w:footnote w:id="328">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Vie de Jésus,</w:t>
      </w:r>
      <w:r w:rsidRPr="001077D9">
        <w:t xml:space="preserve"> traduite de l’allemand par E. Littré, 2e édit., t. III, 2e partie, p. 468. </w:t>
      </w:r>
    </w:p>
  </w:footnote>
  <w:footnote w:id="329">
    <w:p w:rsidR="007F47B8" w:rsidRPr="001077D9" w:rsidRDefault="007F47B8" w:rsidP="00C31960">
      <w:pPr>
        <w:pStyle w:val="Notedebasdepage"/>
      </w:pPr>
      <w:r>
        <w:rPr>
          <w:rStyle w:val="Appelnotedebasdep"/>
        </w:rPr>
        <w:footnoteRef/>
      </w:r>
      <w:r w:rsidRPr="0042259C">
        <w:rPr>
          <w:lang w:val="en-US"/>
        </w:rPr>
        <w:t xml:space="preserve"> </w:t>
      </w:r>
      <w:r w:rsidRPr="001077D9">
        <w:t>$ Strauss,</w:t>
      </w:r>
      <w:r w:rsidRPr="00F84A0B">
        <w:rPr>
          <w:rStyle w:val="italicus"/>
          <w:lang w:val="en-US"/>
        </w:rPr>
        <w:t xml:space="preserve"> ibid.,</w:t>
      </w:r>
      <w:r w:rsidRPr="001077D9">
        <w:t xml:space="preserve"> p. 469. </w:t>
      </w:r>
    </w:p>
  </w:footnote>
  <w:footnote w:id="330">
    <w:p w:rsidR="007F47B8" w:rsidRPr="0042259C" w:rsidRDefault="007F47B8" w:rsidP="00C31960">
      <w:pPr>
        <w:pStyle w:val="Notedebasdepage"/>
        <w:rPr>
          <w:lang w:val="en-US"/>
        </w:rPr>
      </w:pPr>
      <w:r>
        <w:rPr>
          <w:rStyle w:val="Appelnotedebasdep"/>
        </w:rPr>
        <w:footnoteRef/>
      </w:r>
      <w:r w:rsidRPr="0042259C">
        <w:rPr>
          <w:lang w:val="en-US"/>
        </w:rPr>
        <w:t xml:space="preserve"> </w:t>
      </w:r>
      <w:r w:rsidRPr="007F47B8">
        <w:rPr>
          <w:lang w:val="en-US"/>
        </w:rPr>
        <w:t xml:space="preserve">$ </w:t>
      </w:r>
      <w:r w:rsidRPr="00F84A0B">
        <w:rPr>
          <w:rStyle w:val="italicus"/>
          <w:lang w:val="en-US"/>
        </w:rPr>
        <w:t xml:space="preserve">Allgem. Bibl., </w:t>
      </w:r>
      <w:r w:rsidRPr="00F84A0B">
        <w:rPr>
          <w:lang w:val="en-US"/>
        </w:rPr>
        <w:t xml:space="preserve">t. I, p. 628. </w:t>
      </w:r>
    </w:p>
  </w:footnote>
  <w:footnote w:id="331">
    <w:p w:rsidR="007F47B8" w:rsidRPr="0042259C" w:rsidRDefault="007F47B8" w:rsidP="00C31960">
      <w:pPr>
        <w:pStyle w:val="Notedebasdepage"/>
        <w:rPr>
          <w:lang w:val="en-US"/>
        </w:rPr>
      </w:pPr>
      <w:r>
        <w:rPr>
          <w:rStyle w:val="Appelnotedebasdep"/>
        </w:rPr>
        <w:footnoteRef/>
      </w:r>
      <w:r w:rsidRPr="0042259C">
        <w:rPr>
          <w:lang w:val="en-US"/>
        </w:rPr>
        <w:t xml:space="preserve"> </w:t>
      </w:r>
      <w:r w:rsidRPr="00F84A0B">
        <w:rPr>
          <w:rStyle w:val="italicus"/>
          <w:lang w:val="en-US"/>
        </w:rPr>
        <w:t xml:space="preserve">$ L. c., </w:t>
      </w:r>
      <w:r w:rsidRPr="00F84A0B">
        <w:rPr>
          <w:lang w:val="en-US"/>
        </w:rPr>
        <w:t xml:space="preserve">p. 470. </w:t>
      </w:r>
    </w:p>
  </w:footnote>
  <w:footnote w:id="332">
    <w:p w:rsidR="007F47B8" w:rsidRPr="007F47B8" w:rsidRDefault="007F47B8" w:rsidP="00C31960">
      <w:pPr>
        <w:pStyle w:val="Notedebasdepage"/>
        <w:rPr>
          <w:lang w:val="en-US"/>
        </w:rPr>
      </w:pPr>
      <w:r>
        <w:rPr>
          <w:rStyle w:val="Appelnotedebasdep"/>
        </w:rPr>
        <w:footnoteRef/>
      </w:r>
      <w:r w:rsidRPr="0042259C">
        <w:rPr>
          <w:lang w:val="en-US"/>
        </w:rPr>
        <w:t xml:space="preserve"> </w:t>
      </w:r>
      <w:r w:rsidRPr="00F84A0B">
        <w:rPr>
          <w:rStyle w:val="italicus"/>
          <w:lang w:val="en-US"/>
        </w:rPr>
        <w:t xml:space="preserve">$ </w:t>
      </w:r>
      <w:r w:rsidRPr="007F47B8">
        <w:rPr>
          <w:lang w:val="en-US"/>
        </w:rPr>
        <w:t xml:space="preserve">T. IV, p. 677. </w:t>
      </w:r>
    </w:p>
  </w:footnote>
  <w:footnote w:id="333">
    <w:p w:rsidR="007F47B8" w:rsidRPr="00AE0CAE" w:rsidRDefault="007F47B8" w:rsidP="00C31960">
      <w:pPr>
        <w:pStyle w:val="Notedebasdepage"/>
        <w:rPr>
          <w:lang w:val="en-US"/>
        </w:rPr>
      </w:pPr>
      <w:r>
        <w:rPr>
          <w:rStyle w:val="Appelnotedebasdep"/>
        </w:rPr>
        <w:footnoteRef/>
      </w:r>
      <w:r w:rsidRPr="00AE0CAE">
        <w:rPr>
          <w:lang w:val="en-US"/>
        </w:rPr>
        <w:t xml:space="preserve"> </w:t>
      </w:r>
      <w:r w:rsidRPr="007F47B8">
        <w:rPr>
          <w:lang w:val="en-US"/>
        </w:rPr>
        <w:t xml:space="preserve">$ </w:t>
      </w:r>
      <w:r w:rsidRPr="00AE0CAE">
        <w:rPr>
          <w:rStyle w:val="italicus"/>
          <w:lang w:val="en-US"/>
        </w:rPr>
        <w:t xml:space="preserve">Ueber den Lukas, </w:t>
      </w:r>
      <w:r w:rsidRPr="00AE0CAE">
        <w:rPr>
          <w:lang w:val="en-US"/>
        </w:rPr>
        <w:t xml:space="preserve">p. 288. </w:t>
      </w:r>
    </w:p>
  </w:footnote>
  <w:footnote w:id="334">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Strauss,</w:t>
      </w:r>
      <w:r w:rsidRPr="0044481F">
        <w:rPr>
          <w:rStyle w:val="italicus"/>
        </w:rPr>
        <w:t xml:space="preserve"> Vie de Jésus,</w:t>
      </w:r>
      <w:r w:rsidRPr="001077D9">
        <w:t xml:space="preserve"> l. c., p. 472. </w:t>
      </w:r>
    </w:p>
  </w:footnote>
  <w:footnote w:id="335">
    <w:p w:rsidR="007F47B8" w:rsidRDefault="007F47B8" w:rsidP="00C31960">
      <w:pPr>
        <w:pStyle w:val="Notedebasdepage"/>
      </w:pPr>
      <w:r>
        <w:rPr>
          <w:rStyle w:val="Appelnotedebasdep"/>
        </w:rPr>
        <w:footnoteRef/>
      </w:r>
      <w:r>
        <w:t xml:space="preserve"> </w:t>
      </w:r>
      <w:r w:rsidRPr="007154ED">
        <w:t>$ E. Renan,</w:t>
      </w:r>
      <w:r w:rsidRPr="0044481F">
        <w:rPr>
          <w:rStyle w:val="italicus"/>
        </w:rPr>
        <w:t xml:space="preserve"> Les évangiles et la seconde génération chrétienne, </w:t>
      </w:r>
      <w:r w:rsidRPr="007154ED">
        <w:t xml:space="preserve">p. 280. </w:t>
      </w:r>
    </w:p>
  </w:footnote>
  <w:footnote w:id="336">
    <w:p w:rsidR="007F47B8" w:rsidRDefault="007F47B8" w:rsidP="00C31960">
      <w:pPr>
        <w:pStyle w:val="Notedebasdepage"/>
      </w:pPr>
      <w:r>
        <w:rPr>
          <w:rStyle w:val="Appelnotedebasdep"/>
        </w:rPr>
        <w:footnoteRef/>
      </w:r>
      <w:r>
        <w:t xml:space="preserve"> $ </w:t>
      </w:r>
      <w:r w:rsidRPr="007154ED">
        <w:t>Von Ammon,</w:t>
      </w:r>
      <w:r w:rsidRPr="0044481F">
        <w:rPr>
          <w:rStyle w:val="italicus"/>
        </w:rPr>
        <w:t xml:space="preserve"> Die Geschichte des Lebens Jesu, </w:t>
      </w:r>
      <w:r w:rsidRPr="007154ED">
        <w:t xml:space="preserve">t. III, p. 374. </w:t>
      </w:r>
    </w:p>
  </w:footnote>
  <w:footnote w:id="337">
    <w:p w:rsidR="007F47B8" w:rsidRPr="001077D9" w:rsidRDefault="007F47B8" w:rsidP="00C31960">
      <w:pPr>
        <w:pStyle w:val="Notedebasdepage"/>
      </w:pPr>
      <w:r>
        <w:rPr>
          <w:rStyle w:val="Appelnotedebasdep"/>
        </w:rPr>
        <w:footnoteRef/>
      </w:r>
      <w:r>
        <w:t xml:space="preserve"> </w:t>
      </w:r>
      <w:r>
        <w:rPr>
          <w:rStyle w:val="italicus"/>
        </w:rPr>
        <w:t xml:space="preserve">$ </w:t>
      </w:r>
      <w:r w:rsidRPr="0044481F">
        <w:rPr>
          <w:rStyle w:val="italicus"/>
        </w:rPr>
        <w:t>Ibid.,</w:t>
      </w:r>
      <w:r w:rsidRPr="001077D9">
        <w:t xml:space="preserve"> p. 378. </w:t>
      </w:r>
    </w:p>
  </w:footnote>
  <w:footnote w:id="338">
    <w:p w:rsidR="007F47B8" w:rsidRDefault="007F47B8" w:rsidP="00C31960">
      <w:pPr>
        <w:pStyle w:val="Notedebasdepage"/>
      </w:pPr>
      <w:r>
        <w:rPr>
          <w:rStyle w:val="Appelnotedebasdep"/>
        </w:rPr>
        <w:footnoteRef/>
      </w:r>
      <w:r>
        <w:t xml:space="preserve"> </w:t>
      </w:r>
      <w:r w:rsidRPr="001077D9">
        <w:t xml:space="preserve">$ </w:t>
      </w:r>
      <w:r w:rsidRPr="0044481F">
        <w:rPr>
          <w:rStyle w:val="italicus"/>
        </w:rPr>
        <w:t xml:space="preserve">Geschichte Jesu von Nazara, </w:t>
      </w:r>
      <w:r w:rsidRPr="007154ED">
        <w:t xml:space="preserve">t. III, p. 304 et suiv. </w:t>
      </w:r>
    </w:p>
  </w:footnote>
  <w:footnote w:id="339">
    <w:p w:rsidR="007F47B8" w:rsidRPr="001077D9" w:rsidRDefault="007F47B8" w:rsidP="00C31960">
      <w:pPr>
        <w:pStyle w:val="Notedebasdepage"/>
      </w:pPr>
      <w:r>
        <w:rPr>
          <w:rStyle w:val="Appelnotedebasdep"/>
        </w:rPr>
        <w:footnoteRef/>
      </w:r>
      <w:r>
        <w:t xml:space="preserve"> </w:t>
      </w:r>
      <w:r>
        <w:rPr>
          <w:rStyle w:val="italicus"/>
        </w:rPr>
        <w:t>$</w:t>
      </w:r>
      <w:r w:rsidRPr="001077D9">
        <w:t xml:space="preserve"> K. Hæc,</w:t>
      </w:r>
      <w:r w:rsidRPr="0044481F">
        <w:rPr>
          <w:rStyle w:val="italicus"/>
        </w:rPr>
        <w:t xml:space="preserve"> Leben Jesu,</w:t>
      </w:r>
      <w:r w:rsidRPr="001077D9">
        <w:t xml:space="preserve"> 5e édition, p. 239. </w:t>
      </w:r>
    </w:p>
  </w:footnote>
  <w:footnote w:id="340">
    <w:p w:rsidR="007F47B8" w:rsidRPr="001077D9" w:rsidRDefault="007F47B8" w:rsidP="00C31960">
      <w:pPr>
        <w:pStyle w:val="Notedebasdepage"/>
      </w:pPr>
      <w:r>
        <w:rPr>
          <w:rStyle w:val="Appelnotedebasdep"/>
        </w:rPr>
        <w:footnoteRef/>
      </w:r>
      <w:r>
        <w:t xml:space="preserve"> </w:t>
      </w:r>
      <w:r w:rsidRPr="001077D9">
        <w:t>$ Strauss,</w:t>
      </w:r>
      <w:r w:rsidRPr="0044481F">
        <w:rPr>
          <w:rStyle w:val="italicus"/>
        </w:rPr>
        <w:t xml:space="preserve"> Nouvelle Vie de Jésus,</w:t>
      </w:r>
      <w:r w:rsidRPr="001077D9">
        <w:t xml:space="preserve"> traduite de l’allemand par Nefftzer et Dollfus, t. II, p. 310. </w:t>
      </w:r>
    </w:p>
  </w:footnote>
  <w:footnote w:id="341">
    <w:p w:rsidR="007F47B8" w:rsidRPr="0042259C" w:rsidRDefault="007F47B8" w:rsidP="00C31960">
      <w:pPr>
        <w:pStyle w:val="Notedebasdepage"/>
        <w:rPr>
          <w:i/>
        </w:rPr>
      </w:pPr>
      <w:r>
        <w:rPr>
          <w:rStyle w:val="Appelnotedebasdep"/>
        </w:rPr>
        <w:footnoteRef/>
      </w:r>
      <w:r>
        <w:t xml:space="preserve"> </w:t>
      </w:r>
      <w:r w:rsidRPr="001077D9">
        <w:t xml:space="preserve">$ </w:t>
      </w:r>
      <w:r w:rsidRPr="0044481F">
        <w:rPr>
          <w:rStyle w:val="italicus"/>
        </w:rPr>
        <w:t xml:space="preserve">Die letzten Lebenstage Jesu, </w:t>
      </w:r>
      <w:r w:rsidRPr="007154ED">
        <w:t>p. 209.</w:t>
      </w:r>
      <w:r w:rsidRPr="0044481F">
        <w:rPr>
          <w:rStyle w:val="italicus"/>
        </w:rPr>
        <w:t xml:space="preserve"> </w:t>
      </w:r>
    </w:p>
  </w:footnote>
  <w:footnote w:id="342">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Cité par Keim,</w:t>
      </w:r>
      <w:r w:rsidRPr="0044481F">
        <w:rPr>
          <w:rStyle w:val="italicus"/>
        </w:rPr>
        <w:t xml:space="preserve"> l. c.,</w:t>
      </w:r>
      <w:r w:rsidRPr="001077D9">
        <w:t xml:space="preserve"> p. 303. </w:t>
      </w:r>
    </w:p>
  </w:footnote>
  <w:footnote w:id="343">
    <w:p w:rsidR="007F47B8" w:rsidRPr="001077D9" w:rsidRDefault="007F47B8" w:rsidP="00C31960">
      <w:pPr>
        <w:pStyle w:val="Notedebasdepage"/>
      </w:pPr>
      <w:r>
        <w:rPr>
          <w:rStyle w:val="Appelnotedebasdep"/>
        </w:rPr>
        <w:footnoteRef/>
      </w:r>
      <w:r>
        <w:t xml:space="preserve"> </w:t>
      </w:r>
      <w:r w:rsidRPr="001077D9">
        <w:t xml:space="preserve">$ Keim reconnaît aussi, quoique rationaliste avancé, que les bases de Strauss sont peu solides. Les siennes le sont-elles donc davantage ? </w:t>
      </w:r>
    </w:p>
  </w:footnote>
  <w:footnote w:id="344">
    <w:p w:rsidR="007F47B8" w:rsidRPr="001077D9" w:rsidRDefault="007F47B8" w:rsidP="00C31960">
      <w:pPr>
        <w:pStyle w:val="Notedebasdepage"/>
      </w:pPr>
      <w:r>
        <w:rPr>
          <w:rStyle w:val="Appelnotedebasdep"/>
        </w:rPr>
        <w:footnoteRef/>
      </w:r>
      <w:r>
        <w:t xml:space="preserve"> </w:t>
      </w:r>
      <w:r w:rsidRPr="001077D9">
        <w:t>$ Strauss,</w:t>
      </w:r>
      <w:r w:rsidRPr="0044481F">
        <w:rPr>
          <w:rStyle w:val="italicus"/>
        </w:rPr>
        <w:t xml:space="preserve"> Vie nouvelle,</w:t>
      </w:r>
      <w:r w:rsidRPr="001077D9">
        <w:t xml:space="preserve"> t. II, p. 312. </w:t>
      </w:r>
    </w:p>
  </w:footnote>
  <w:footnote w:id="345">
    <w:p w:rsidR="007F47B8" w:rsidRPr="0042259C" w:rsidRDefault="007F47B8" w:rsidP="00C31960">
      <w:pPr>
        <w:pStyle w:val="Notedebasdepage"/>
        <w:rPr>
          <w:lang w:val="en-US"/>
        </w:rPr>
      </w:pPr>
      <w:r>
        <w:rPr>
          <w:rStyle w:val="Appelnotedebasdep"/>
        </w:rPr>
        <w:footnoteRef/>
      </w:r>
      <w:r w:rsidRPr="0042259C">
        <w:rPr>
          <w:lang w:val="en-US"/>
        </w:rPr>
        <w:t xml:space="preserve"> </w:t>
      </w:r>
      <w:r w:rsidRPr="007F47B8">
        <w:rPr>
          <w:lang w:val="en-US"/>
        </w:rPr>
        <w:t xml:space="preserve">$ </w:t>
      </w:r>
      <w:r w:rsidRPr="00F84A0B">
        <w:rPr>
          <w:rStyle w:val="italicus"/>
          <w:lang w:val="en-US"/>
        </w:rPr>
        <w:t xml:space="preserve">Wissenschaftliche Kritik der evangelischen Geschichte, </w:t>
      </w:r>
      <w:r w:rsidRPr="00F84A0B">
        <w:rPr>
          <w:lang w:val="en-US"/>
        </w:rPr>
        <w:t xml:space="preserve">p. 653. </w:t>
      </w:r>
    </w:p>
  </w:footnote>
  <w:footnote w:id="346">
    <w:p w:rsidR="007F47B8" w:rsidRDefault="007F47B8" w:rsidP="00C31960">
      <w:pPr>
        <w:pStyle w:val="Notedebasdepage"/>
      </w:pPr>
      <w:r>
        <w:rPr>
          <w:rStyle w:val="Appelnotedebasdep"/>
        </w:rPr>
        <w:footnoteRef/>
      </w:r>
      <w:r>
        <w:t xml:space="preserve"> </w:t>
      </w:r>
      <w:r w:rsidRPr="007154ED">
        <w:t>$ De Pressensé,</w:t>
      </w:r>
      <w:r w:rsidRPr="0044481F">
        <w:rPr>
          <w:rStyle w:val="italicus"/>
        </w:rPr>
        <w:t xml:space="preserve"> Jésus-Christ, sa vie, son temps, son œuvre, </w:t>
      </w:r>
      <w:r w:rsidRPr="007154ED">
        <w:t xml:space="preserve">p. 610. </w:t>
      </w:r>
    </w:p>
  </w:footnote>
  <w:footnote w:id="347">
    <w:p w:rsidR="007F47B8" w:rsidRPr="001077D9" w:rsidRDefault="007F47B8" w:rsidP="00C31960">
      <w:pPr>
        <w:pStyle w:val="Notedebasdepage"/>
      </w:pPr>
      <w:r>
        <w:rPr>
          <w:rStyle w:val="Appelnotedebasdep"/>
        </w:rPr>
        <w:footnoteRef/>
      </w:r>
      <w:r>
        <w:t xml:space="preserve"> </w:t>
      </w:r>
      <w:r>
        <w:rPr>
          <w:rStyle w:val="italicus"/>
        </w:rPr>
        <w:t xml:space="preserve">$ </w:t>
      </w:r>
      <w:r w:rsidRPr="001077D9">
        <w:t xml:space="preserve">Keim, </w:t>
      </w:r>
      <w:r w:rsidRPr="007154ED">
        <w:rPr>
          <w:rStyle w:val="italicus"/>
        </w:rPr>
        <w:t>l. c.,</w:t>
      </w:r>
      <w:r w:rsidRPr="001077D9">
        <w:t xml:space="preserve"> p. 305 et suiv. ; Strauss,</w:t>
      </w:r>
      <w:r w:rsidRPr="0044481F">
        <w:rPr>
          <w:rStyle w:val="italicus"/>
        </w:rPr>
        <w:t xml:space="preserve"> Vie nouvelle,</w:t>
      </w:r>
      <w:r w:rsidRPr="001077D9">
        <w:t xml:space="preserve"> t, II. p. 310 et s. </w:t>
      </w:r>
    </w:p>
  </w:footnote>
  <w:footnote w:id="348">
    <w:p w:rsidR="007F47B8" w:rsidRPr="001077D9" w:rsidRDefault="007F47B8" w:rsidP="00C31960">
      <w:pPr>
        <w:pStyle w:val="Notedebasdepage"/>
      </w:pPr>
      <w:r>
        <w:rPr>
          <w:rStyle w:val="Appelnotedebasdep"/>
        </w:rPr>
        <w:footnoteRef/>
      </w:r>
      <w:r>
        <w:t xml:space="preserve"> </w:t>
      </w:r>
      <w:r w:rsidRPr="001077D9">
        <w:t xml:space="preserve">$ De Pressensé, l. c., p. 611 </w:t>
      </w:r>
    </w:p>
  </w:footnote>
  <w:footnote w:id="349">
    <w:p w:rsidR="007F47B8" w:rsidRPr="001077D9" w:rsidRDefault="007F47B8" w:rsidP="00C31960">
      <w:pPr>
        <w:pStyle w:val="Notedebasdepage"/>
      </w:pPr>
      <w:r>
        <w:rPr>
          <w:rStyle w:val="Appelnotedebasdep"/>
        </w:rPr>
        <w:footnoteRef/>
      </w:r>
      <w:r>
        <w:t xml:space="preserve"> </w:t>
      </w:r>
      <w:r w:rsidRPr="001077D9">
        <w:t>$ Strauss,</w:t>
      </w:r>
      <w:r w:rsidRPr="0044481F">
        <w:rPr>
          <w:rStyle w:val="italicus"/>
        </w:rPr>
        <w:t xml:space="preserve"> Vie de Jésus,</w:t>
      </w:r>
      <w:r w:rsidRPr="001077D9">
        <w:t xml:space="preserve"> t. II, deuxième partie, p. 469 et 411. </w:t>
      </w:r>
    </w:p>
  </w:footnote>
  <w:footnote w:id="350">
    <w:p w:rsidR="007F47B8" w:rsidRPr="00A62B37" w:rsidRDefault="007F47B8">
      <w:pPr>
        <w:pStyle w:val="Notedebasdepage"/>
      </w:pPr>
      <w:r>
        <w:rPr>
          <w:rStyle w:val="Appelnotedebasdep"/>
        </w:rPr>
        <w:footnoteRef/>
      </w:r>
      <w:r>
        <w:t xml:space="preserve"> </w:t>
      </w:r>
      <w:r w:rsidRPr="0044481F">
        <w:rPr>
          <w:rStyle w:val="italicus"/>
        </w:rPr>
        <w:t>L.</w:t>
      </w:r>
      <w:r w:rsidRPr="001077D9">
        <w:t xml:space="preserve"> </w:t>
      </w:r>
      <w:r w:rsidRPr="0044481F">
        <w:rPr>
          <w:rStyle w:val="italicus"/>
        </w:rPr>
        <w:t>c.</w:t>
      </w:r>
      <w:r>
        <w:rPr>
          <w:rStyle w:val="italicus"/>
        </w:rPr>
        <w:t xml:space="preserve">, </w:t>
      </w:r>
      <w:r w:rsidRPr="00A62B37">
        <w:t>p. 304.</w:t>
      </w:r>
    </w:p>
  </w:footnote>
  <w:footnote w:id="351">
    <w:p w:rsidR="007F47B8" w:rsidRDefault="007F47B8">
      <w:pPr>
        <w:pStyle w:val="Notedebasdepage"/>
      </w:pPr>
      <w:r>
        <w:rPr>
          <w:rStyle w:val="Appelnotedebasdep"/>
        </w:rPr>
        <w:footnoteRef/>
      </w:r>
      <w:r>
        <w:t xml:space="preserve"> </w:t>
      </w:r>
      <w:r w:rsidRPr="001077D9">
        <w:t xml:space="preserve">$ </w:t>
      </w:r>
      <w:r w:rsidRPr="0044481F">
        <w:rPr>
          <w:rStyle w:val="italicus"/>
        </w:rPr>
        <w:t>Luc.</w:t>
      </w:r>
      <w:r w:rsidRPr="001077D9">
        <w:t xml:space="preserve"> XXII, 41 : καὶ αὐτὸς ἀπεσπάσθη ἀπ' αὐτῶν ὡσεὶ λίθου βολήν.</w:t>
      </w:r>
    </w:p>
  </w:footnote>
  <w:footnote w:id="352">
    <w:p w:rsidR="007F47B8" w:rsidRDefault="007F47B8">
      <w:pPr>
        <w:pStyle w:val="Notedebasdepage"/>
      </w:pPr>
      <w:r>
        <w:rPr>
          <w:rStyle w:val="Appelnotedebasdep"/>
        </w:rPr>
        <w:footnoteRef/>
      </w:r>
      <w:r>
        <w:t xml:space="preserve"> </w:t>
      </w:r>
      <w:r w:rsidRPr="001077D9">
        <w:t xml:space="preserve">$ </w:t>
      </w:r>
      <w:r>
        <w:rPr>
          <w:rStyle w:val="italicus"/>
        </w:rPr>
        <w:t>Bib</w:t>
      </w:r>
      <w:r w:rsidRPr="0044481F">
        <w:rPr>
          <w:rStyle w:val="italicus"/>
        </w:rPr>
        <w:t xml:space="preserve">l. Commentar </w:t>
      </w:r>
      <w:r>
        <w:rPr>
          <w:rStyle w:val="italicus"/>
        </w:rPr>
        <w:t>üb.</w:t>
      </w:r>
      <w:r w:rsidRPr="0044481F">
        <w:rPr>
          <w:rStyle w:val="italicus"/>
        </w:rPr>
        <w:t xml:space="preserve"> sæmmtliche Schriften des N. T.,</w:t>
      </w:r>
      <w:r w:rsidRPr="007154ED">
        <w:t xml:space="preserve"> t. II, p. 467 et 468, 3e édit. </w:t>
      </w:r>
    </w:p>
  </w:footnote>
  <w:footnote w:id="353">
    <w:p w:rsidR="007F47B8" w:rsidRPr="00A62B37" w:rsidRDefault="007F47B8">
      <w:pPr>
        <w:pStyle w:val="Notedebasdepage"/>
        <w:rPr>
          <w:lang w:val="en-US"/>
        </w:rPr>
      </w:pPr>
      <w:r>
        <w:rPr>
          <w:rStyle w:val="Appelnotedebasdep"/>
        </w:rPr>
        <w:footnoteRef/>
      </w:r>
      <w:r w:rsidRPr="00A62B37">
        <w:rPr>
          <w:lang w:val="en-US"/>
        </w:rPr>
        <w:t xml:space="preserve"> </w:t>
      </w:r>
      <w:r w:rsidRPr="00F84A0B">
        <w:rPr>
          <w:rStyle w:val="italicus"/>
          <w:lang w:val="en-US"/>
        </w:rPr>
        <w:t xml:space="preserve">$ Horæ hebráicæ in Evang., </w:t>
      </w:r>
      <w:r w:rsidRPr="00F84A0B">
        <w:rPr>
          <w:lang w:val="en-US"/>
        </w:rPr>
        <w:t>h. l.</w:t>
      </w:r>
    </w:p>
  </w:footnote>
  <w:footnote w:id="354">
    <w:p w:rsidR="007F47B8" w:rsidRPr="0042259C" w:rsidRDefault="007F47B8" w:rsidP="00C31960">
      <w:pPr>
        <w:pStyle w:val="Notedebasdepage"/>
      </w:pPr>
      <w:r>
        <w:rPr>
          <w:rStyle w:val="Appelnotedebasdep"/>
        </w:rPr>
        <w:footnoteRef/>
      </w:r>
      <w:r w:rsidRPr="00057AD9">
        <w:t xml:space="preserve"> </w:t>
      </w:r>
      <w:r w:rsidRPr="00512B6E">
        <w:t xml:space="preserve">$ Epist. </w:t>
      </w:r>
      <w:r w:rsidRPr="007154ED">
        <w:t>138</w:t>
      </w:r>
      <w:r w:rsidRPr="0044481F">
        <w:rPr>
          <w:rStyle w:val="italicus"/>
        </w:rPr>
        <w:t xml:space="preserve"> ad Theodórum. </w:t>
      </w:r>
    </w:p>
  </w:footnote>
  <w:footnote w:id="355">
    <w:p w:rsidR="007F47B8" w:rsidRPr="0042259C" w:rsidRDefault="007F47B8" w:rsidP="00C31960">
      <w:pPr>
        <w:pStyle w:val="Notedebasdepage"/>
      </w:pPr>
      <w:r>
        <w:rPr>
          <w:rStyle w:val="Appelnotedebasdep"/>
        </w:rPr>
        <w:footnoteRef/>
      </w:r>
      <w:r>
        <w:t xml:space="preserve"> </w:t>
      </w:r>
      <w:r>
        <w:rPr>
          <w:rStyle w:val="italicus"/>
        </w:rPr>
        <w:t xml:space="preserve">$ </w:t>
      </w:r>
      <w:r>
        <w:t xml:space="preserve">Notons une autre explication étrange de </w:t>
      </w:r>
      <w:r w:rsidRPr="007B3DD4">
        <w:rPr>
          <w:lang w:val="en-GB"/>
        </w:rPr>
        <w:t>ἐνισχύων</w:t>
      </w:r>
      <w:r>
        <w:t>. Une antique Scholie grecque, considérant que « celui qui était adoré et glorifié avec crainte et tremblement par toute puissance sous le ciel, n’avait pas besoin de la force de l’ange », prétend que ce verbe doit signifier ici</w:t>
      </w:r>
      <w:r w:rsidRPr="0044481F">
        <w:rPr>
          <w:rStyle w:val="italicus"/>
        </w:rPr>
        <w:t xml:space="preserve"> déclarer fort.</w:t>
      </w:r>
      <w:r>
        <w:t xml:space="preserve"> De la sorte, le messager céleste ne viendrait nullement pour consoler et fortifier Notre-Seigneur, mais au contraire pour le glorifier en proclamant sa force divine. </w:t>
      </w:r>
    </w:p>
  </w:footnote>
  <w:footnote w:id="356">
    <w:p w:rsidR="007F47B8" w:rsidRPr="0042259C" w:rsidRDefault="007F47B8" w:rsidP="00C31960">
      <w:pPr>
        <w:pStyle w:val="Notedebasdepage"/>
      </w:pPr>
      <w:r>
        <w:rPr>
          <w:rStyle w:val="Appelnotedebasdep"/>
        </w:rPr>
        <w:footnoteRef/>
      </w:r>
      <w:r>
        <w:t xml:space="preserve"> $ Paroles du chanoine anglican M. Farrar,</w:t>
      </w:r>
      <w:r w:rsidRPr="0044481F">
        <w:rPr>
          <w:rStyle w:val="italicus"/>
        </w:rPr>
        <w:t xml:space="preserve"> Life of Christ,</w:t>
      </w:r>
      <w:r>
        <w:t xml:space="preserve"> t. II, p. 302, 23e édit. </w:t>
      </w:r>
    </w:p>
  </w:footnote>
  <w:footnote w:id="357">
    <w:p w:rsidR="007F47B8" w:rsidRPr="0042259C" w:rsidRDefault="007F47B8" w:rsidP="00C31960">
      <w:pPr>
        <w:pStyle w:val="Notedebasdepage"/>
      </w:pPr>
      <w:r>
        <w:rPr>
          <w:rStyle w:val="Appelnotedebasdep"/>
        </w:rPr>
        <w:footnoteRef/>
      </w:r>
      <w:r>
        <w:t xml:space="preserve"> $ Comp. Origène,</w:t>
      </w:r>
      <w:r w:rsidRPr="0044481F">
        <w:rPr>
          <w:rStyle w:val="italicus"/>
        </w:rPr>
        <w:t xml:space="preserve"> Contr. Cels., II,</w:t>
      </w:r>
      <w:r>
        <w:t xml:space="preserve"> 24. </w:t>
      </w:r>
    </w:p>
  </w:footnote>
  <w:footnote w:id="358">
    <w:p w:rsidR="007F47B8" w:rsidRPr="00575CEF" w:rsidRDefault="007F47B8" w:rsidP="00C31960">
      <w:pPr>
        <w:pStyle w:val="Notedebasdepage"/>
      </w:pPr>
      <w:r>
        <w:rPr>
          <w:rStyle w:val="Appelnotedebasdep"/>
        </w:rPr>
        <w:footnoteRef/>
      </w:r>
      <w:r w:rsidRPr="00575CEF">
        <w:t xml:space="preserve"> </w:t>
      </w:r>
      <w:r>
        <w:t>$ Ap. Münter,</w:t>
      </w:r>
      <w:r w:rsidRPr="0044481F">
        <w:rPr>
          <w:rStyle w:val="italicus"/>
        </w:rPr>
        <w:t xml:space="preserve"> Fragm. Patrum </w:t>
      </w:r>
      <w:r>
        <w:rPr>
          <w:rStyle w:val="italicus"/>
        </w:rPr>
        <w:t>Græ</w:t>
      </w:r>
      <w:r w:rsidRPr="0044481F">
        <w:rPr>
          <w:rStyle w:val="italicus"/>
        </w:rPr>
        <w:t>cor.,</w:t>
      </w:r>
      <w:r>
        <w:t xml:space="preserve"> fasc. I, p. 121 : « Jésus fait des prières que pourrait faire un homme misérable, hors d’état de supporter courageusement le malheur ». </w:t>
      </w:r>
    </w:p>
  </w:footnote>
  <w:footnote w:id="359">
    <w:p w:rsidR="007F47B8" w:rsidRPr="00575CEF" w:rsidRDefault="007F47B8" w:rsidP="00C31960">
      <w:pPr>
        <w:pStyle w:val="Notedebasdepage"/>
        <w:rPr>
          <w:i/>
          <w:lang w:val="en-US"/>
        </w:rPr>
      </w:pPr>
      <w:r>
        <w:rPr>
          <w:rStyle w:val="Appelnotedebasdep"/>
        </w:rPr>
        <w:footnoteRef/>
      </w:r>
      <w:r w:rsidRPr="00575CEF">
        <w:rPr>
          <w:lang w:val="en-US"/>
        </w:rPr>
        <w:t xml:space="preserve"> </w:t>
      </w:r>
      <w:r w:rsidRPr="00F84A0B">
        <w:rPr>
          <w:lang w:val="en-US"/>
        </w:rPr>
        <w:t>$ Gramond,</w:t>
      </w:r>
      <w:r w:rsidRPr="00F84A0B">
        <w:rPr>
          <w:rStyle w:val="italicus"/>
          <w:lang w:val="en-US"/>
        </w:rPr>
        <w:t xml:space="preserve"> Hist. Gall.,</w:t>
      </w:r>
      <w:r w:rsidRPr="00F84A0B">
        <w:rPr>
          <w:lang w:val="en-US"/>
        </w:rPr>
        <w:t xml:space="preserve"> lib. III, p. 211. </w:t>
      </w:r>
    </w:p>
  </w:footnote>
  <w:footnote w:id="360">
    <w:p w:rsidR="007F47B8" w:rsidRPr="0042259C" w:rsidRDefault="007F47B8" w:rsidP="00C31960">
      <w:pPr>
        <w:pStyle w:val="Notedebasdepage"/>
      </w:pPr>
      <w:r>
        <w:rPr>
          <w:rStyle w:val="Appelnotedebasdep"/>
        </w:rPr>
        <w:footnoteRef/>
      </w:r>
      <w:r w:rsidRPr="00216D08">
        <w:t xml:space="preserve"> $ </w:t>
      </w:r>
      <w:r w:rsidRPr="00216D08">
        <w:rPr>
          <w:rStyle w:val="italicus"/>
        </w:rPr>
        <w:t xml:space="preserve">Chissuh Emounah, </w:t>
      </w:r>
      <w:r w:rsidRPr="00216D08">
        <w:t xml:space="preserve">ap. </w:t>
      </w:r>
      <w:r w:rsidRPr="00564064">
        <w:t xml:space="preserve">Wagenseil, </w:t>
      </w:r>
      <w:r w:rsidRPr="0044481F">
        <w:rPr>
          <w:rStyle w:val="italicus"/>
        </w:rPr>
        <w:t>Tela ígnea</w:t>
      </w:r>
      <w:r>
        <w:rPr>
          <w:rStyle w:val="italicus"/>
        </w:rPr>
        <w:t xml:space="preserve"> Sátanæ</w:t>
      </w:r>
      <w:r w:rsidRPr="0044481F">
        <w:rPr>
          <w:rStyle w:val="italicus"/>
        </w:rPr>
        <w:t xml:space="preserve">. </w:t>
      </w:r>
    </w:p>
  </w:footnote>
  <w:footnote w:id="361">
    <w:p w:rsidR="007F47B8" w:rsidRPr="00575CEF" w:rsidRDefault="007F47B8" w:rsidP="00C31960">
      <w:pPr>
        <w:pStyle w:val="Notedebasdepage"/>
      </w:pPr>
      <w:r>
        <w:rPr>
          <w:rStyle w:val="Appelnotedebasdep"/>
        </w:rPr>
        <w:footnoteRef/>
      </w:r>
      <w:r w:rsidRPr="00575CEF">
        <w:t xml:space="preserve"> </w:t>
      </w:r>
      <w:r>
        <w:rPr>
          <w:rStyle w:val="italicus"/>
        </w:rPr>
        <w:t xml:space="preserve">$ </w:t>
      </w:r>
      <w:r>
        <w:t>Cf. Strauss,</w:t>
      </w:r>
      <w:r>
        <w:rPr>
          <w:rStyle w:val="italicus"/>
        </w:rPr>
        <w:t xml:space="preserve"> V</w:t>
      </w:r>
      <w:r w:rsidRPr="0044481F">
        <w:rPr>
          <w:rStyle w:val="italicus"/>
        </w:rPr>
        <w:t>ie de Jésus,</w:t>
      </w:r>
      <w:r>
        <w:t xml:space="preserve"> l. c., p. 464. </w:t>
      </w:r>
    </w:p>
  </w:footnote>
  <w:footnote w:id="362">
    <w:p w:rsidR="007F47B8" w:rsidRPr="0042259C" w:rsidRDefault="007F47B8" w:rsidP="00C31960">
      <w:pPr>
        <w:pStyle w:val="Notedebasdepage"/>
        <w:rPr>
          <w:lang w:val="en-US"/>
        </w:rPr>
      </w:pPr>
      <w:r>
        <w:rPr>
          <w:rStyle w:val="Appelnotedebasdep"/>
        </w:rPr>
        <w:footnoteRef/>
      </w:r>
      <w:r w:rsidRPr="0042259C">
        <w:rPr>
          <w:lang w:val="en-US"/>
        </w:rPr>
        <w:t xml:space="preserve"> </w:t>
      </w:r>
      <w:r w:rsidRPr="00F84A0B">
        <w:rPr>
          <w:lang w:val="en-US"/>
        </w:rPr>
        <w:t xml:space="preserve">$ </w:t>
      </w:r>
      <w:r w:rsidRPr="00F84A0B">
        <w:rPr>
          <w:rStyle w:val="italicus"/>
          <w:lang w:val="en-US"/>
        </w:rPr>
        <w:t>Matth.</w:t>
      </w:r>
      <w:r w:rsidRPr="00F84A0B">
        <w:rPr>
          <w:lang w:val="en-US"/>
        </w:rPr>
        <w:t xml:space="preserve"> XXVI, 67-68. </w:t>
      </w:r>
    </w:p>
  </w:footnote>
  <w:footnote w:id="363">
    <w:p w:rsidR="007F47B8" w:rsidRPr="007F47B8" w:rsidRDefault="007F47B8" w:rsidP="00C31960">
      <w:pPr>
        <w:pStyle w:val="Notedebasdepage"/>
        <w:rPr>
          <w:lang w:val="en-US"/>
        </w:rPr>
      </w:pPr>
      <w:r>
        <w:rPr>
          <w:rStyle w:val="Appelnotedebasdep"/>
        </w:rPr>
        <w:footnoteRef/>
      </w:r>
      <w:r w:rsidRPr="007F47B8">
        <w:rPr>
          <w:lang w:val="en-US"/>
        </w:rPr>
        <w:t xml:space="preserve"> $ </w:t>
      </w:r>
      <w:r w:rsidRPr="007F47B8">
        <w:rPr>
          <w:rStyle w:val="italicus"/>
          <w:lang w:val="en-US"/>
        </w:rPr>
        <w:t>Luc.</w:t>
      </w:r>
      <w:r w:rsidRPr="007F47B8">
        <w:rPr>
          <w:lang w:val="en-US"/>
        </w:rPr>
        <w:t xml:space="preserve"> XXIII, 11. </w:t>
      </w:r>
    </w:p>
  </w:footnote>
  <w:footnote w:id="364">
    <w:p w:rsidR="007F47B8" w:rsidRPr="00AE0CAE" w:rsidRDefault="007F47B8" w:rsidP="00C31960">
      <w:pPr>
        <w:pStyle w:val="Notedebasdepage"/>
      </w:pPr>
      <w:r>
        <w:rPr>
          <w:rStyle w:val="Appelnotedebasdep"/>
        </w:rPr>
        <w:footnoteRef/>
      </w:r>
      <w:r w:rsidRPr="007F47B8">
        <w:rPr>
          <w:lang w:val="en-US"/>
        </w:rPr>
        <w:t xml:space="preserve"> $ </w:t>
      </w:r>
      <w:r w:rsidRPr="007F47B8">
        <w:rPr>
          <w:rStyle w:val="italicus"/>
          <w:lang w:val="en-US"/>
        </w:rPr>
        <w:t>Matth.</w:t>
      </w:r>
      <w:r w:rsidRPr="007F47B8">
        <w:rPr>
          <w:smallCaps/>
          <w:lang w:val="en-US"/>
        </w:rPr>
        <w:t xml:space="preserve"> </w:t>
      </w:r>
      <w:r w:rsidRPr="00AE0CAE">
        <w:rPr>
          <w:smallCaps/>
        </w:rPr>
        <w:t>XXVII</w:t>
      </w:r>
      <w:r w:rsidRPr="00AE0CAE">
        <w:t xml:space="preserve">, 27 et 29. </w:t>
      </w:r>
    </w:p>
  </w:footnote>
  <w:footnote w:id="365">
    <w:p w:rsidR="007F47B8" w:rsidRDefault="007F47B8" w:rsidP="00C31960">
      <w:pPr>
        <w:pStyle w:val="Notedebasdepage"/>
      </w:pPr>
      <w:r>
        <w:rPr>
          <w:rStyle w:val="Appelnotedebasdep"/>
        </w:rPr>
        <w:footnoteRef/>
      </w:r>
      <w:r w:rsidRPr="00AE0CAE">
        <w:t xml:space="preserve"> $ « Vocábulum </w:t>
      </w:r>
      <w:r w:rsidRPr="007B3DD4">
        <w:rPr>
          <w:lang w:val="en-GB"/>
        </w:rPr>
        <w:t>ἀγωνί</w:t>
      </w:r>
      <w:r>
        <w:rPr>
          <w:lang w:val="en-GB"/>
        </w:rPr>
        <w:t>α</w:t>
      </w:r>
      <w:r w:rsidRPr="00AE0CAE">
        <w:t xml:space="preserve"> significantíssimum est, útpote quod angórem et motum ánimi notet cum morte luctántis et pene malórum magnitúdini succumbéntis ». </w:t>
      </w:r>
      <w:r>
        <w:t xml:space="preserve">Munthe. </w:t>
      </w:r>
    </w:p>
  </w:footnote>
  <w:footnote w:id="366">
    <w:p w:rsidR="007F47B8" w:rsidRPr="0042259C" w:rsidRDefault="007F47B8" w:rsidP="00C31960">
      <w:pPr>
        <w:pStyle w:val="Notedebasdepage"/>
      </w:pPr>
      <w:r>
        <w:rPr>
          <w:rStyle w:val="Appelnotedebasdep"/>
        </w:rPr>
        <w:footnoteRef/>
      </w:r>
      <w:r>
        <w:t xml:space="preserve"> $ </w:t>
      </w:r>
      <w:r w:rsidRPr="0044481F">
        <w:rPr>
          <w:rStyle w:val="italicus"/>
        </w:rPr>
        <w:t xml:space="preserve">Leben Jesu, </w:t>
      </w:r>
      <w:r w:rsidRPr="00D24DB5">
        <w:t xml:space="preserve">l. c. </w:t>
      </w:r>
    </w:p>
  </w:footnote>
  <w:footnote w:id="367">
    <w:p w:rsidR="007F47B8" w:rsidRPr="00575CEF" w:rsidRDefault="007F47B8" w:rsidP="00C31960">
      <w:pPr>
        <w:pStyle w:val="Notedebasdepage"/>
      </w:pPr>
      <w:r>
        <w:rPr>
          <w:rStyle w:val="Appelnotedebasdep"/>
        </w:rPr>
        <w:footnoteRef/>
      </w:r>
      <w:r w:rsidRPr="00575CEF">
        <w:t xml:space="preserve"> </w:t>
      </w:r>
      <w:r>
        <w:rPr>
          <w:rStyle w:val="italicus"/>
        </w:rPr>
        <w:t xml:space="preserve">$ </w:t>
      </w:r>
      <w:r w:rsidRPr="0044481F">
        <w:rPr>
          <w:rStyle w:val="italicus"/>
        </w:rPr>
        <w:t>Matth.</w:t>
      </w:r>
      <w:r>
        <w:t xml:space="preserve"> XXVI, 37 ;</w:t>
      </w:r>
      <w:r w:rsidRPr="0044481F">
        <w:rPr>
          <w:rStyle w:val="italicus"/>
        </w:rPr>
        <w:t xml:space="preserve"> Marc,</w:t>
      </w:r>
      <w:r>
        <w:t xml:space="preserve"> XIV, 33. Voyez nos commentaires sur ces passages. </w:t>
      </w:r>
    </w:p>
  </w:footnote>
  <w:footnote w:id="368">
    <w:p w:rsidR="007F47B8" w:rsidRPr="0042259C" w:rsidRDefault="007F47B8" w:rsidP="00C31960">
      <w:pPr>
        <w:pStyle w:val="Notedebasdepage"/>
        <w:rPr>
          <w:lang w:val="en-US"/>
        </w:rPr>
      </w:pPr>
      <w:r>
        <w:rPr>
          <w:rStyle w:val="Appelnotedebasdep"/>
        </w:rPr>
        <w:footnoteRef/>
      </w:r>
      <w:r w:rsidRPr="0042259C">
        <w:rPr>
          <w:lang w:val="en-US"/>
        </w:rPr>
        <w:t xml:space="preserve"> </w:t>
      </w:r>
      <w:r w:rsidRPr="00F84A0B">
        <w:rPr>
          <w:lang w:val="en-US"/>
        </w:rPr>
        <w:t xml:space="preserve">$ </w:t>
      </w:r>
      <w:r w:rsidRPr="00F84A0B">
        <w:rPr>
          <w:rStyle w:val="italicus"/>
          <w:lang w:val="en-US"/>
        </w:rPr>
        <w:t xml:space="preserve">Dial. c. Tryph., </w:t>
      </w:r>
      <w:r w:rsidRPr="00F84A0B">
        <w:rPr>
          <w:lang w:val="en-US"/>
        </w:rPr>
        <w:t xml:space="preserve">125. </w:t>
      </w:r>
    </w:p>
  </w:footnote>
  <w:footnote w:id="369">
    <w:p w:rsidR="007F47B8" w:rsidRPr="00575CEF" w:rsidRDefault="007F47B8" w:rsidP="00C31960">
      <w:pPr>
        <w:pStyle w:val="Notedebasdepage"/>
        <w:rPr>
          <w:i/>
          <w:lang w:val="en-US"/>
        </w:rPr>
      </w:pPr>
      <w:r>
        <w:rPr>
          <w:rStyle w:val="Appelnotedebasdep"/>
        </w:rPr>
        <w:footnoteRef/>
      </w:r>
      <w:r w:rsidRPr="00575CEF">
        <w:rPr>
          <w:lang w:val="en-US"/>
        </w:rPr>
        <w:t xml:space="preserve"> </w:t>
      </w:r>
      <w:r w:rsidRPr="00F84A0B">
        <w:rPr>
          <w:rStyle w:val="italicus"/>
          <w:lang w:val="en-US"/>
        </w:rPr>
        <w:t xml:space="preserve">$ Matth. XXVI, </w:t>
      </w:r>
      <w:r w:rsidRPr="00F84A0B">
        <w:rPr>
          <w:lang w:val="en-US"/>
        </w:rPr>
        <w:t xml:space="preserve">38. </w:t>
      </w:r>
    </w:p>
  </w:footnote>
  <w:footnote w:id="370">
    <w:p w:rsidR="007F47B8" w:rsidRDefault="007F47B8" w:rsidP="00C31960">
      <w:pPr>
        <w:pStyle w:val="Notedebasdepage"/>
      </w:pPr>
      <w:r>
        <w:rPr>
          <w:rStyle w:val="Appelnotedebasdep"/>
        </w:rPr>
        <w:footnoteRef/>
      </w:r>
      <w:r>
        <w:t xml:space="preserve"> </w:t>
      </w:r>
      <w:r w:rsidRPr="00D24DB5">
        <w:t>$ Strauss,</w:t>
      </w:r>
      <w:r w:rsidRPr="0044481F">
        <w:rPr>
          <w:rStyle w:val="italicus"/>
        </w:rPr>
        <w:t xml:space="preserve"> ubi supra. </w:t>
      </w:r>
    </w:p>
  </w:footnote>
  <w:footnote w:id="371">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Isaïe </w:t>
      </w:r>
      <w:r w:rsidRPr="00D24DB5">
        <w:t xml:space="preserve">LIII, 3. </w:t>
      </w:r>
    </w:p>
  </w:footnote>
  <w:footnote w:id="372">
    <w:p w:rsidR="007F47B8" w:rsidRPr="00575CEF" w:rsidRDefault="007F47B8" w:rsidP="00C31960">
      <w:pPr>
        <w:pStyle w:val="Notedebasdepage"/>
      </w:pPr>
      <w:r>
        <w:rPr>
          <w:rStyle w:val="Appelnotedebasdep"/>
        </w:rPr>
        <w:footnoteRef/>
      </w:r>
      <w:r w:rsidRPr="00575CEF">
        <w:t xml:space="preserve"> </w:t>
      </w:r>
      <w:r>
        <w:rPr>
          <w:rStyle w:val="italicus"/>
        </w:rPr>
        <w:t xml:space="preserve">$ </w:t>
      </w:r>
      <w:r w:rsidRPr="0044481F">
        <w:rPr>
          <w:rStyle w:val="italicus"/>
        </w:rPr>
        <w:t xml:space="preserve">Premier sermon sur la Passion, </w:t>
      </w:r>
      <w:r w:rsidRPr="00D24DB5">
        <w:t xml:space="preserve">première partie. </w:t>
      </w:r>
    </w:p>
  </w:footnote>
  <w:footnote w:id="373">
    <w:p w:rsidR="007F47B8" w:rsidRPr="00575CEF" w:rsidRDefault="007F47B8" w:rsidP="00C31960">
      <w:pPr>
        <w:pStyle w:val="Notedebasdepage"/>
        <w:rPr>
          <w:lang w:val="en-US"/>
        </w:rPr>
      </w:pPr>
      <w:r>
        <w:rPr>
          <w:rStyle w:val="Appelnotedebasdep"/>
        </w:rPr>
        <w:footnoteRef/>
      </w:r>
      <w:r w:rsidRPr="00575CEF">
        <w:rPr>
          <w:lang w:val="en-US"/>
        </w:rPr>
        <w:t xml:space="preserve"> </w:t>
      </w:r>
      <w:r w:rsidRPr="00F84A0B">
        <w:rPr>
          <w:rStyle w:val="italicus"/>
          <w:lang w:val="en-US"/>
        </w:rPr>
        <w:t>$</w:t>
      </w:r>
      <w:r w:rsidRPr="00F84A0B">
        <w:rPr>
          <w:lang w:val="en-US"/>
        </w:rPr>
        <w:t xml:space="preserve"> S. Thom. Aq.,</w:t>
      </w:r>
      <w:r w:rsidRPr="00F84A0B">
        <w:rPr>
          <w:rStyle w:val="italicus"/>
          <w:lang w:val="en-US"/>
        </w:rPr>
        <w:t xml:space="preserve"> Summ. Theol.,</w:t>
      </w:r>
      <w:r w:rsidRPr="00F84A0B">
        <w:rPr>
          <w:lang w:val="en-US"/>
        </w:rPr>
        <w:t xml:space="preserve"> p. III, q. 46, art. 6, ad 4. </w:t>
      </w:r>
    </w:p>
  </w:footnote>
  <w:footnote w:id="374">
    <w:p w:rsidR="007F47B8" w:rsidRPr="0042259C" w:rsidRDefault="007F47B8" w:rsidP="00C31960">
      <w:pPr>
        <w:pStyle w:val="Notedebasdepage"/>
      </w:pPr>
      <w:r>
        <w:rPr>
          <w:rStyle w:val="Appelnotedebasdep"/>
        </w:rPr>
        <w:footnoteRef/>
      </w:r>
      <w:r>
        <w:t xml:space="preserve"> </w:t>
      </w:r>
      <w:r w:rsidRPr="00D24DB5">
        <w:t xml:space="preserve">$ Bossuet, </w:t>
      </w:r>
      <w:r w:rsidRPr="0044481F">
        <w:rPr>
          <w:rStyle w:val="italicus"/>
        </w:rPr>
        <w:t xml:space="preserve">Premier sermon pour le Vendredi Saint, </w:t>
      </w:r>
      <w:r w:rsidRPr="00D24DB5">
        <w:t xml:space="preserve">exorde. </w:t>
      </w:r>
    </w:p>
  </w:footnote>
  <w:footnote w:id="375">
    <w:p w:rsidR="007F47B8" w:rsidRPr="0042259C" w:rsidRDefault="007F47B8" w:rsidP="00C31960">
      <w:pPr>
        <w:pStyle w:val="Notedebasdepage"/>
      </w:pPr>
      <w:r>
        <w:rPr>
          <w:rStyle w:val="Appelnotedebasdep"/>
        </w:rPr>
        <w:footnoteRef/>
      </w:r>
      <w:r>
        <w:t xml:space="preserve"> </w:t>
      </w:r>
      <w:r>
        <w:rPr>
          <w:rStyle w:val="italicus"/>
        </w:rPr>
        <w:t xml:space="preserve">$ </w:t>
      </w:r>
      <w:r>
        <w:t>Nous permettra-t-on de citer Calvin ? Il écrit : « Non mortem hórruit simplíciter, quátenus tránsitus est e mundo, sed quia formidábile Dei tribunal illi erat ante óculos, judex ipse incomprehensíbili vindícta armátus, peccáta vero nostra, quorum onus erat illi impósitum, sua ingénti mole eum premébant ».</w:t>
      </w:r>
      <w:r w:rsidRPr="0044481F">
        <w:rPr>
          <w:rStyle w:val="italicus"/>
        </w:rPr>
        <w:t xml:space="preserve"> Comment. in</w:t>
      </w:r>
      <w:r>
        <w:rPr>
          <w:rStyle w:val="italicus"/>
        </w:rPr>
        <w:t xml:space="preserve"> </w:t>
      </w:r>
      <w:r w:rsidRPr="0044481F">
        <w:rPr>
          <w:rStyle w:val="italicus"/>
        </w:rPr>
        <w:t>Harmon. evang. in Matth.</w:t>
      </w:r>
      <w:r>
        <w:t xml:space="preserve"> XXVI, 37. </w:t>
      </w:r>
    </w:p>
  </w:footnote>
  <w:footnote w:id="376">
    <w:p w:rsidR="007F47B8" w:rsidRPr="00575CEF" w:rsidRDefault="007F47B8" w:rsidP="00C31960">
      <w:pPr>
        <w:pStyle w:val="Notedebasdepage"/>
      </w:pPr>
      <w:r>
        <w:rPr>
          <w:rStyle w:val="Appelnotedebasdep"/>
        </w:rPr>
        <w:footnoteRef/>
      </w:r>
      <w:r w:rsidRPr="00575CEF">
        <w:t xml:space="preserve"> </w:t>
      </w:r>
      <w:r>
        <w:t>$ E. Renan,</w:t>
      </w:r>
      <w:r w:rsidRPr="0044481F">
        <w:rPr>
          <w:rStyle w:val="italicus"/>
        </w:rPr>
        <w:t xml:space="preserve"> Vie de Jésus,</w:t>
      </w:r>
      <w:r>
        <w:t xml:space="preserve"> p. 379 de la 1</w:t>
      </w:r>
      <w:r w:rsidRPr="00D24DB5">
        <w:rPr>
          <w:vertAlign w:val="superscript"/>
        </w:rPr>
        <w:t>re</w:t>
      </w:r>
      <w:r>
        <w:t xml:space="preserve"> édit. </w:t>
      </w:r>
    </w:p>
  </w:footnote>
  <w:footnote w:id="377">
    <w:p w:rsidR="007F47B8" w:rsidRPr="00575CEF" w:rsidRDefault="007F47B8" w:rsidP="00C31960">
      <w:pPr>
        <w:pStyle w:val="Notedebasdepage"/>
        <w:rPr>
          <w:lang w:val="en-US"/>
        </w:rPr>
      </w:pPr>
      <w:r>
        <w:rPr>
          <w:rStyle w:val="Appelnotedebasdep"/>
        </w:rPr>
        <w:footnoteRef/>
      </w:r>
      <w:r w:rsidRPr="0042259C">
        <w:rPr>
          <w:lang w:val="en-US"/>
        </w:rPr>
        <w:t xml:space="preserve"> </w:t>
      </w:r>
      <w:r w:rsidRPr="00F84A0B">
        <w:rPr>
          <w:lang w:val="en-US"/>
        </w:rPr>
        <w:t xml:space="preserve">$ </w:t>
      </w:r>
      <w:r w:rsidRPr="00F84A0B">
        <w:rPr>
          <w:rStyle w:val="italicus"/>
          <w:lang w:val="en-US"/>
        </w:rPr>
        <w:t>Luc.</w:t>
      </w:r>
      <w:r w:rsidRPr="00F84A0B">
        <w:rPr>
          <w:lang w:val="en-US"/>
        </w:rPr>
        <w:t xml:space="preserve"> XXII, 43 ;</w:t>
      </w:r>
      <w:r w:rsidRPr="00F84A0B">
        <w:rPr>
          <w:rStyle w:val="italicus"/>
          <w:lang w:val="en-US"/>
        </w:rPr>
        <w:t xml:space="preserve"> Matth.</w:t>
      </w:r>
      <w:r w:rsidRPr="00F84A0B">
        <w:rPr>
          <w:lang w:val="en-US"/>
        </w:rPr>
        <w:t xml:space="preserve"> XXVI, 39, 42. </w:t>
      </w:r>
    </w:p>
  </w:footnote>
  <w:footnote w:id="378">
    <w:p w:rsidR="007F47B8" w:rsidRPr="0042259C" w:rsidRDefault="007F47B8" w:rsidP="00C31960">
      <w:pPr>
        <w:pStyle w:val="Notedebasdepage"/>
      </w:pPr>
      <w:r>
        <w:rPr>
          <w:rStyle w:val="Appelnotedebasdep"/>
        </w:rPr>
        <w:footnoteRef/>
      </w:r>
      <w:r w:rsidRPr="00575CEF">
        <w:rPr>
          <w:lang w:val="en-US"/>
        </w:rPr>
        <w:t xml:space="preserve"> </w:t>
      </w:r>
      <w:r w:rsidRPr="00F84A0B">
        <w:rPr>
          <w:lang w:val="en-US"/>
        </w:rPr>
        <w:t xml:space="preserve">$ </w:t>
      </w:r>
      <w:r w:rsidRPr="00F84A0B">
        <w:rPr>
          <w:rStyle w:val="italicus"/>
          <w:lang w:val="en-US"/>
        </w:rPr>
        <w:t xml:space="preserve">Contr. </w:t>
      </w:r>
      <w:r w:rsidRPr="0044481F">
        <w:rPr>
          <w:rStyle w:val="italicus"/>
        </w:rPr>
        <w:t>Celsum,</w:t>
      </w:r>
      <w:r>
        <w:t xml:space="preserve"> edit. Spenceri, 1677, lib. II, p. 76 et suiv. </w:t>
      </w:r>
    </w:p>
  </w:footnote>
  <w:footnote w:id="379">
    <w:p w:rsidR="007F47B8" w:rsidRPr="0042259C" w:rsidRDefault="007F47B8" w:rsidP="00C31960">
      <w:pPr>
        <w:pStyle w:val="Notedebasdepage"/>
      </w:pPr>
      <w:r>
        <w:rPr>
          <w:rStyle w:val="Appelnotedebasdep"/>
        </w:rPr>
        <w:footnoteRef/>
      </w:r>
      <w:r>
        <w:t xml:space="preserve"> $ Les plus célèbres sont, dans l’antiquité, Théophylacte et Euthymius, </w:t>
      </w:r>
      <w:r w:rsidRPr="0044481F">
        <w:rPr>
          <w:rStyle w:val="italicus"/>
        </w:rPr>
        <w:t>in Luc.</w:t>
      </w:r>
      <w:r>
        <w:t xml:space="preserve"> XXII, 44, et, de nos jours, Hug,</w:t>
      </w:r>
      <w:r w:rsidRPr="0044481F">
        <w:rPr>
          <w:rStyle w:val="italicus"/>
        </w:rPr>
        <w:t xml:space="preserve"> Gutachten,</w:t>
      </w:r>
      <w:r>
        <w:t xml:space="preserve"> t. II, p. 145. </w:t>
      </w:r>
    </w:p>
  </w:footnote>
  <w:footnote w:id="380">
    <w:p w:rsidR="007F47B8" w:rsidRDefault="007F47B8" w:rsidP="00C31960">
      <w:pPr>
        <w:pStyle w:val="Notedebasdepage"/>
      </w:pPr>
      <w:r>
        <w:rPr>
          <w:rStyle w:val="Appelnotedebasdep"/>
        </w:rPr>
        <w:footnoteRef/>
      </w:r>
      <w:r>
        <w:t xml:space="preserve"> $ Entre autres, Bynæus,</w:t>
      </w:r>
      <w:r w:rsidRPr="0044481F">
        <w:rPr>
          <w:rStyle w:val="italicus"/>
        </w:rPr>
        <w:t xml:space="preserve"> De morte Jesu Chr.,</w:t>
      </w:r>
      <w:r>
        <w:t xml:space="preserve"> t. II, p. 134 et s. ; Kippingius,</w:t>
      </w:r>
      <w:r w:rsidRPr="0044481F">
        <w:rPr>
          <w:rStyle w:val="italicus"/>
        </w:rPr>
        <w:t xml:space="preserve"> De Cruce,</w:t>
      </w:r>
      <w:r>
        <w:t xml:space="preserve"> p. 198 ; Rosenmüller.</w:t>
      </w:r>
      <w:r w:rsidRPr="0044481F">
        <w:rPr>
          <w:rStyle w:val="italicus"/>
        </w:rPr>
        <w:t xml:space="preserve"> Schólia in Luc.</w:t>
      </w:r>
      <w:r>
        <w:t xml:space="preserve"> XXII, 44 ; Paulus, </w:t>
      </w:r>
      <w:r w:rsidRPr="0044481F">
        <w:rPr>
          <w:rStyle w:val="italicus"/>
        </w:rPr>
        <w:t>Exeget. Handbuch,</w:t>
      </w:r>
      <w:r>
        <w:t xml:space="preserve"> l. c. ; Kitto,</w:t>
      </w:r>
      <w:r w:rsidRPr="0044481F">
        <w:rPr>
          <w:rStyle w:val="italicus"/>
        </w:rPr>
        <w:t xml:space="preserve"> Daily Bible Illustrations,</w:t>
      </w:r>
      <w:r>
        <w:t xml:space="preserve"> t. VII, p. 415 et s., etc. </w:t>
      </w:r>
    </w:p>
  </w:footnote>
  <w:footnote w:id="381">
    <w:p w:rsidR="007F47B8" w:rsidRPr="0042259C" w:rsidRDefault="007F47B8" w:rsidP="00C31960">
      <w:pPr>
        <w:pStyle w:val="Notedebasdepage"/>
      </w:pPr>
      <w:r>
        <w:rPr>
          <w:rStyle w:val="Appelnotedebasdep"/>
        </w:rPr>
        <w:footnoteRef/>
      </w:r>
      <w:r>
        <w:t xml:space="preserve"> $ </w:t>
      </w:r>
      <w:r w:rsidRPr="0044481F">
        <w:rPr>
          <w:rStyle w:val="italicus"/>
        </w:rPr>
        <w:t xml:space="preserve">Loc. cit., </w:t>
      </w:r>
      <w:r w:rsidRPr="00D24DB5">
        <w:t xml:space="preserve">p. 469. </w:t>
      </w:r>
    </w:p>
  </w:footnote>
  <w:footnote w:id="382">
    <w:p w:rsidR="007F47B8" w:rsidRPr="00575CEF" w:rsidRDefault="007F47B8" w:rsidP="00C31960">
      <w:pPr>
        <w:pStyle w:val="Notedebasdepage"/>
      </w:pPr>
      <w:r>
        <w:rPr>
          <w:rStyle w:val="Appelnotedebasdep"/>
        </w:rPr>
        <w:footnoteRef/>
      </w:r>
      <w:r w:rsidRPr="00575CEF">
        <w:t xml:space="preserve"> </w:t>
      </w:r>
      <w:r>
        <w:rPr>
          <w:rStyle w:val="italicus"/>
        </w:rPr>
        <w:t xml:space="preserve">$ </w:t>
      </w:r>
      <w:r w:rsidRPr="0044481F">
        <w:rPr>
          <w:rStyle w:val="italicus"/>
        </w:rPr>
        <w:t>Vie de Jésus,</w:t>
      </w:r>
      <w:r>
        <w:t xml:space="preserve"> t. II, 2</w:t>
      </w:r>
      <w:r>
        <w:rPr>
          <w:vertAlign w:val="superscript"/>
        </w:rPr>
        <w:t>e</w:t>
      </w:r>
      <w:r>
        <w:t xml:space="preserve"> partie, p. 471. </w:t>
      </w:r>
    </w:p>
  </w:footnote>
  <w:footnote w:id="383">
    <w:p w:rsidR="007F47B8" w:rsidRPr="00575CEF" w:rsidRDefault="007F47B8">
      <w:pPr>
        <w:pStyle w:val="Notedebasdepage"/>
        <w:rPr>
          <w:lang w:val="en-US"/>
        </w:rPr>
      </w:pPr>
      <w:r>
        <w:rPr>
          <w:rStyle w:val="Appelnotedebasdep"/>
        </w:rPr>
        <w:footnoteRef/>
      </w:r>
      <w:r w:rsidRPr="0042259C">
        <w:rPr>
          <w:lang w:val="en-US"/>
        </w:rPr>
        <w:t xml:space="preserve"> </w:t>
      </w:r>
      <w:r w:rsidRPr="00F84A0B">
        <w:rPr>
          <w:lang w:val="en-US"/>
        </w:rPr>
        <w:t xml:space="preserve">$ Lyman Abbott, </w:t>
      </w:r>
      <w:r w:rsidRPr="00F84A0B">
        <w:rPr>
          <w:rStyle w:val="italicus"/>
          <w:lang w:val="en-US"/>
        </w:rPr>
        <w:t>The Gospel according to Luke,</w:t>
      </w:r>
      <w:r w:rsidRPr="00F84A0B">
        <w:rPr>
          <w:lang w:val="en-US"/>
        </w:rPr>
        <w:t xml:space="preserve"> p. 135. </w:t>
      </w:r>
    </w:p>
  </w:footnote>
  <w:footnote w:id="384">
    <w:p w:rsidR="007F47B8" w:rsidRPr="00575CEF" w:rsidRDefault="007F47B8" w:rsidP="00C31960">
      <w:pPr>
        <w:pStyle w:val="Notedebasdepage"/>
      </w:pPr>
      <w:r>
        <w:rPr>
          <w:rStyle w:val="Appelnotedebasdep"/>
        </w:rPr>
        <w:footnoteRef/>
      </w:r>
      <w:r w:rsidRPr="0042259C">
        <w:rPr>
          <w:lang w:val="en-US"/>
        </w:rPr>
        <w:t xml:space="preserve"> </w:t>
      </w:r>
      <w:r w:rsidRPr="0042259C">
        <w:rPr>
          <w:rStyle w:val="italicus"/>
          <w:lang w:val="en-US"/>
        </w:rPr>
        <w:t xml:space="preserve">$ </w:t>
      </w:r>
      <w:r w:rsidRPr="007F47B8">
        <w:rPr>
          <w:lang w:val="en-US"/>
        </w:rPr>
        <w:t>Voyez Bretschneider,</w:t>
      </w:r>
      <w:r w:rsidRPr="0042259C">
        <w:rPr>
          <w:rStyle w:val="italicus"/>
          <w:lang w:val="en-US"/>
        </w:rPr>
        <w:t xml:space="preserve"> Lexic. manuále,</w:t>
      </w:r>
      <w:r w:rsidRPr="007F47B8">
        <w:rPr>
          <w:lang w:val="en-US"/>
        </w:rPr>
        <w:t xml:space="preserve"> s. v. </w:t>
      </w:r>
      <w:r w:rsidRPr="00845FED">
        <w:t>Θρόμβοι</w:t>
      </w:r>
      <w:r w:rsidRPr="0042259C">
        <w:rPr>
          <w:lang w:val="en-US"/>
        </w:rPr>
        <w:t xml:space="preserve"> </w:t>
      </w:r>
      <w:r>
        <w:t>δὲ</w:t>
      </w:r>
      <w:r>
        <w:rPr>
          <w:lang w:val="en-US"/>
        </w:rPr>
        <w:t xml:space="preserve"> </w:t>
      </w:r>
      <w:r w:rsidRPr="00845FED">
        <w:t>αἵματος</w:t>
      </w:r>
      <w:r w:rsidRPr="0042259C">
        <w:rPr>
          <w:lang w:val="en-US"/>
        </w:rPr>
        <w:t xml:space="preserve">, </w:t>
      </w:r>
      <w:r>
        <w:t>οἱ</w:t>
      </w:r>
      <w:r w:rsidRPr="0042259C">
        <w:rPr>
          <w:lang w:val="en-US"/>
        </w:rPr>
        <w:t xml:space="preserve"> </w:t>
      </w:r>
      <w:r>
        <w:t>π</w:t>
      </w:r>
      <w:r w:rsidRPr="00845FED">
        <w:t>αχύτατοι</w:t>
      </w:r>
      <w:r w:rsidRPr="0042259C">
        <w:rPr>
          <w:lang w:val="en-US"/>
        </w:rPr>
        <w:t xml:space="preserve"> </w:t>
      </w:r>
      <w:r w:rsidRPr="00845FED">
        <w:t>σταλαγμο</w:t>
      </w:r>
      <w:r>
        <w:t>ὶ</w:t>
      </w:r>
      <w:r w:rsidRPr="0042259C">
        <w:rPr>
          <w:lang w:val="en-US"/>
        </w:rPr>
        <w:t xml:space="preserve"> </w:t>
      </w:r>
      <w:r w:rsidRPr="00845FED">
        <w:t>τοῦ</w:t>
      </w:r>
      <w:r w:rsidRPr="0042259C">
        <w:rPr>
          <w:lang w:val="en-US"/>
        </w:rPr>
        <w:t xml:space="preserve"> </w:t>
      </w:r>
      <w:r w:rsidRPr="00845FED">
        <w:t>αἵ</w:t>
      </w:r>
      <w:r>
        <w:t>μ</w:t>
      </w:r>
      <w:r w:rsidRPr="00845FED">
        <w:t>ατος</w:t>
      </w:r>
      <w:r w:rsidRPr="0042259C">
        <w:rPr>
          <w:lang w:val="en-US"/>
        </w:rPr>
        <w:t xml:space="preserve"> ; (Euthymius). </w:t>
      </w:r>
      <w:r w:rsidRPr="00845FED">
        <w:t>La définition d’Hésychius est encore plus forte : Θρόμβοι</w:t>
      </w:r>
      <w:r>
        <w:t xml:space="preserve">, </w:t>
      </w:r>
      <w:r w:rsidRPr="00845FED">
        <w:t>αἵμα</w:t>
      </w:r>
      <w:r>
        <w:t xml:space="preserve"> </w:t>
      </w:r>
      <w:r w:rsidRPr="00845FED">
        <w:t>παχύ</w:t>
      </w:r>
      <w:r>
        <w:t>, πεπη</w:t>
      </w:r>
      <w:r w:rsidRPr="00845FED">
        <w:t>γ</w:t>
      </w:r>
      <w:r>
        <w:t>ὸ</w:t>
      </w:r>
      <w:r w:rsidRPr="00845FED">
        <w:t xml:space="preserve">ς </w:t>
      </w:r>
      <w:r>
        <w:t>ὡ</w:t>
      </w:r>
      <w:r w:rsidRPr="00845FED">
        <w:t>ς β</w:t>
      </w:r>
      <w:r>
        <w:t>ο</w:t>
      </w:r>
      <w:r w:rsidRPr="00845FED">
        <w:t>υνοί.</w:t>
      </w:r>
    </w:p>
  </w:footnote>
  <w:footnote w:id="385">
    <w:p w:rsidR="007F47B8" w:rsidRPr="00575CEF" w:rsidRDefault="007F47B8" w:rsidP="00C31960">
      <w:pPr>
        <w:pStyle w:val="Notedebasdepage"/>
        <w:rPr>
          <w:i/>
          <w:lang w:val="en-US"/>
        </w:rPr>
      </w:pPr>
      <w:r>
        <w:rPr>
          <w:rStyle w:val="Appelnotedebasdep"/>
        </w:rPr>
        <w:footnoteRef/>
      </w:r>
      <w:r w:rsidRPr="00575CEF">
        <w:rPr>
          <w:lang w:val="en-US"/>
        </w:rPr>
        <w:t xml:space="preserve"> </w:t>
      </w:r>
      <w:r w:rsidRPr="00F84A0B">
        <w:rPr>
          <w:lang w:val="en-US"/>
        </w:rPr>
        <w:t>$ Kitto,</w:t>
      </w:r>
      <w:r w:rsidRPr="00F84A0B">
        <w:rPr>
          <w:rStyle w:val="italicus"/>
          <w:lang w:val="en-US"/>
        </w:rPr>
        <w:t xml:space="preserve"> Cyclopædia of the Bible,</w:t>
      </w:r>
      <w:r w:rsidRPr="00F84A0B">
        <w:rPr>
          <w:lang w:val="en-US"/>
        </w:rPr>
        <w:t xml:space="preserve"> t. I, p. 373 de la 3e édit. </w:t>
      </w:r>
    </w:p>
  </w:footnote>
  <w:footnote w:id="386">
    <w:p w:rsidR="007F47B8" w:rsidRPr="0042259C" w:rsidRDefault="007F47B8" w:rsidP="00C31960">
      <w:pPr>
        <w:pStyle w:val="Notedebasdepage"/>
      </w:pPr>
      <w:r>
        <w:rPr>
          <w:rStyle w:val="Appelnotedebasdep"/>
        </w:rPr>
        <w:footnoteRef/>
      </w:r>
      <w:r>
        <w:t xml:space="preserve"> </w:t>
      </w:r>
      <w:r w:rsidRPr="00483876">
        <w:t>$ Gnomon</w:t>
      </w:r>
      <w:r w:rsidRPr="0044481F">
        <w:rPr>
          <w:rStyle w:val="italicus"/>
        </w:rPr>
        <w:t xml:space="preserve"> N. T.,</w:t>
      </w:r>
      <w:r>
        <w:rPr>
          <w:rStyle w:val="italicus"/>
        </w:rPr>
        <w:t xml:space="preserve"> h. l.</w:t>
      </w:r>
      <w:r w:rsidRPr="0044481F">
        <w:rPr>
          <w:rStyle w:val="italicus"/>
        </w:rPr>
        <w:t xml:space="preserve"> </w:t>
      </w:r>
    </w:p>
  </w:footnote>
  <w:footnote w:id="387">
    <w:p w:rsidR="007F47B8" w:rsidRPr="0042259C" w:rsidRDefault="007F47B8" w:rsidP="00C31960">
      <w:pPr>
        <w:pStyle w:val="Notedebasdepage"/>
      </w:pPr>
      <w:r>
        <w:rPr>
          <w:rStyle w:val="Appelnotedebasdep"/>
        </w:rPr>
        <w:footnoteRef/>
      </w:r>
      <w:r>
        <w:t xml:space="preserve"> </w:t>
      </w:r>
      <w:r>
        <w:rPr>
          <w:rStyle w:val="italicus"/>
        </w:rPr>
        <w:t xml:space="preserve">$ </w:t>
      </w:r>
      <w:r>
        <w:t>Strauss,</w:t>
      </w:r>
      <w:r w:rsidRPr="0044481F">
        <w:rPr>
          <w:rStyle w:val="italicus"/>
        </w:rPr>
        <w:t xml:space="preserve"> l. c.,</w:t>
      </w:r>
      <w:r>
        <w:t xml:space="preserve"> p. 472. Comp. Meyer,</w:t>
      </w:r>
      <w:r w:rsidRPr="0044481F">
        <w:rPr>
          <w:rStyle w:val="italicus"/>
        </w:rPr>
        <w:t xml:space="preserve"> Comm.,</w:t>
      </w:r>
      <w:r>
        <w:t xml:space="preserve"> h. l. </w:t>
      </w:r>
    </w:p>
  </w:footnote>
  <w:footnote w:id="388">
    <w:p w:rsidR="007F47B8" w:rsidRPr="0042259C" w:rsidRDefault="007F47B8" w:rsidP="00C31960">
      <w:pPr>
        <w:pStyle w:val="Notedebasdepage"/>
      </w:pPr>
      <w:r>
        <w:rPr>
          <w:rStyle w:val="Appelnotedebasdep"/>
        </w:rPr>
        <w:footnoteRef/>
      </w:r>
      <w:r>
        <w:t xml:space="preserve"> $ Voyez Sevin,</w:t>
      </w:r>
      <w:r w:rsidRPr="0044481F">
        <w:rPr>
          <w:rStyle w:val="italicus"/>
        </w:rPr>
        <w:t xml:space="preserve"> l. c.</w:t>
      </w:r>
      <w:r>
        <w:t xml:space="preserve"> </w:t>
      </w:r>
    </w:p>
  </w:footnote>
  <w:footnote w:id="389">
    <w:p w:rsidR="007F47B8" w:rsidRPr="0042259C" w:rsidRDefault="007F47B8" w:rsidP="00C31960">
      <w:pPr>
        <w:pStyle w:val="Notedebasdepage"/>
        <w:rPr>
          <w:i/>
        </w:rPr>
      </w:pPr>
      <w:r>
        <w:rPr>
          <w:rStyle w:val="Appelnotedebasdep"/>
        </w:rPr>
        <w:footnoteRef/>
      </w:r>
      <w:r>
        <w:t xml:space="preserve"> $ C’est en effet l’équivalent de ce qu’on nomme le</w:t>
      </w:r>
      <w:r>
        <w:rPr>
          <w:rStyle w:val="italicus"/>
        </w:rPr>
        <w:t xml:space="preserve"> Caph veritát</w:t>
      </w:r>
      <w:r w:rsidRPr="0044481F">
        <w:rPr>
          <w:rStyle w:val="italicus"/>
        </w:rPr>
        <w:t>is.</w:t>
      </w:r>
      <w:r>
        <w:t xml:space="preserve"> </w:t>
      </w:r>
      <w:r w:rsidRPr="00521D36">
        <w:t xml:space="preserve">Comparez la locution </w:t>
      </w:r>
      <w:r w:rsidRPr="00521D36">
        <w:rPr>
          <w:bCs w:val="0"/>
          <w:szCs w:val="23"/>
          <w:rtl/>
          <w:lang w:bidi="he-IL"/>
        </w:rPr>
        <w:t>ל יהה</w:t>
      </w:r>
      <w:r w:rsidRPr="00521D36">
        <w:t xml:space="preserve">, « fuit sicut », usitée dans le sens de </w:t>
      </w:r>
      <w:r w:rsidRPr="00521D36">
        <w:rPr>
          <w:bCs w:val="0"/>
          <w:szCs w:val="23"/>
          <w:rtl/>
          <w:lang w:bidi="he-IL"/>
        </w:rPr>
        <w:t>ל יהה</w:t>
      </w:r>
      <w:r w:rsidRPr="00521D36">
        <w:t xml:space="preserve">, « fuit in ». </w:t>
      </w:r>
      <w:r w:rsidRPr="0044481F">
        <w:rPr>
          <w:rStyle w:val="italicus"/>
        </w:rPr>
        <w:t>Ex.</w:t>
      </w:r>
      <w:r>
        <w:t xml:space="preserve"> XXII, 24 ;</w:t>
      </w:r>
      <w:r w:rsidRPr="0044481F">
        <w:rPr>
          <w:rStyle w:val="italicus"/>
        </w:rPr>
        <w:t xml:space="preserve"> Job.</w:t>
      </w:r>
      <w:r>
        <w:t xml:space="preserve"> XXIV, 14, etc. </w:t>
      </w:r>
    </w:p>
  </w:footnote>
  <w:footnote w:id="390">
    <w:p w:rsidR="007F47B8" w:rsidRPr="0042259C" w:rsidRDefault="007F47B8" w:rsidP="00C31960">
      <w:pPr>
        <w:pStyle w:val="Notedebasdepage"/>
      </w:pPr>
      <w:r>
        <w:rPr>
          <w:rStyle w:val="Appelnotedebasdep"/>
        </w:rPr>
        <w:footnoteRef/>
      </w:r>
      <w:r>
        <w:t xml:space="preserve"> $ </w:t>
      </w:r>
      <w:r>
        <w:rPr>
          <w:rStyle w:val="italicus"/>
        </w:rPr>
        <w:t>Epi</w:t>
      </w:r>
      <w:r w:rsidRPr="0044481F">
        <w:rPr>
          <w:rStyle w:val="italicus"/>
        </w:rPr>
        <w:t>grámma</w:t>
      </w:r>
      <w:r>
        <w:rPr>
          <w:rStyle w:val="italicus"/>
        </w:rPr>
        <w:t>ta</w:t>
      </w:r>
      <w:r w:rsidRPr="0044481F">
        <w:rPr>
          <w:rStyle w:val="italicus"/>
        </w:rPr>
        <w:t xml:space="preserve"> sacra. </w:t>
      </w:r>
    </w:p>
  </w:footnote>
  <w:footnote w:id="391">
    <w:p w:rsidR="007F47B8" w:rsidRPr="00575CEF" w:rsidRDefault="007F47B8" w:rsidP="00C31960">
      <w:pPr>
        <w:pStyle w:val="Notedebasdepage"/>
      </w:pPr>
      <w:r>
        <w:rPr>
          <w:rStyle w:val="Appelnotedebasdep"/>
        </w:rPr>
        <w:footnoteRef/>
      </w:r>
      <w:r w:rsidRPr="00575CEF">
        <w:t xml:space="preserve"> </w:t>
      </w:r>
      <w:r>
        <w:rPr>
          <w:rStyle w:val="italicus"/>
        </w:rPr>
        <w:t xml:space="preserve">$ </w:t>
      </w:r>
      <w:r w:rsidRPr="0044481F">
        <w:rPr>
          <w:rStyle w:val="italicus"/>
        </w:rPr>
        <w:t>Vie nouvelle de Jésus,</w:t>
      </w:r>
      <w:r>
        <w:t xml:space="preserve"> t. II, p. 313 de la trad. française. </w:t>
      </w:r>
    </w:p>
  </w:footnote>
  <w:footnote w:id="392">
    <w:p w:rsidR="007F47B8" w:rsidRPr="00575CEF" w:rsidRDefault="007F47B8" w:rsidP="00C31960">
      <w:pPr>
        <w:pStyle w:val="Notedebasdepage"/>
        <w:rPr>
          <w:lang w:val="en-US"/>
        </w:rPr>
      </w:pPr>
      <w:r>
        <w:rPr>
          <w:rStyle w:val="Appelnotedebasdep"/>
        </w:rPr>
        <w:footnoteRef/>
      </w:r>
      <w:r w:rsidRPr="00575CEF">
        <w:rPr>
          <w:lang w:val="en-US"/>
        </w:rPr>
        <w:t xml:space="preserve"> </w:t>
      </w:r>
      <w:r w:rsidRPr="00F84A0B">
        <w:rPr>
          <w:lang w:val="en-US"/>
        </w:rPr>
        <w:t>$ Voyez Schegg,</w:t>
      </w:r>
      <w:r w:rsidRPr="00F84A0B">
        <w:rPr>
          <w:rStyle w:val="italicus"/>
          <w:lang w:val="en-US"/>
        </w:rPr>
        <w:t xml:space="preserve"> Evangel. nach Lukas,</w:t>
      </w:r>
      <w:r w:rsidRPr="00F84A0B">
        <w:rPr>
          <w:lang w:val="en-US"/>
        </w:rPr>
        <w:t xml:space="preserve"> h. l. </w:t>
      </w:r>
    </w:p>
  </w:footnote>
  <w:footnote w:id="393">
    <w:p w:rsidR="007F47B8" w:rsidRPr="00575CEF" w:rsidRDefault="007F47B8" w:rsidP="00C31960">
      <w:pPr>
        <w:pStyle w:val="Notedebasdepage"/>
      </w:pPr>
      <w:r>
        <w:rPr>
          <w:rStyle w:val="Appelnotedebasdep"/>
        </w:rPr>
        <w:footnoteRef/>
      </w:r>
      <w:r w:rsidRPr="00575CEF">
        <w:t xml:space="preserve"> </w:t>
      </w:r>
      <w:r>
        <w:t xml:space="preserve">$ </w:t>
      </w:r>
      <w:r w:rsidRPr="0044481F">
        <w:rPr>
          <w:rStyle w:val="italicus"/>
        </w:rPr>
        <w:t>Die</w:t>
      </w:r>
      <w:r>
        <w:rPr>
          <w:rStyle w:val="italicus"/>
        </w:rPr>
        <w:t xml:space="preserve"> </w:t>
      </w:r>
      <w:r w:rsidRPr="0044481F">
        <w:rPr>
          <w:rStyle w:val="italicus"/>
        </w:rPr>
        <w:t xml:space="preserve">letzten Lebenstage Jesu, </w:t>
      </w:r>
      <w:r w:rsidRPr="0011183B">
        <w:t xml:space="preserve">p. 209 et 210. </w:t>
      </w:r>
    </w:p>
  </w:footnote>
  <w:footnote w:id="394">
    <w:p w:rsidR="007F47B8" w:rsidRPr="0042259C" w:rsidRDefault="007F47B8" w:rsidP="00C31960">
      <w:pPr>
        <w:pStyle w:val="Notedebasdepage"/>
        <w:rPr>
          <w:lang w:val="en-US"/>
        </w:rPr>
      </w:pPr>
      <w:r>
        <w:rPr>
          <w:rStyle w:val="Appelnotedebasdep"/>
        </w:rPr>
        <w:footnoteRef/>
      </w:r>
      <w:r w:rsidRPr="0042259C">
        <w:rPr>
          <w:lang w:val="en-US"/>
        </w:rPr>
        <w:t xml:space="preserve"> </w:t>
      </w:r>
      <w:r w:rsidRPr="00F84A0B">
        <w:rPr>
          <w:rStyle w:val="italicus"/>
          <w:lang w:val="en-US"/>
        </w:rPr>
        <w:t>$ Joan.</w:t>
      </w:r>
      <w:r w:rsidRPr="00F84A0B">
        <w:rPr>
          <w:lang w:val="en-US"/>
        </w:rPr>
        <w:t xml:space="preserve"> I, 51. </w:t>
      </w:r>
    </w:p>
  </w:footnote>
  <w:footnote w:id="395">
    <w:p w:rsidR="007F47B8" w:rsidRPr="0042259C" w:rsidRDefault="007F47B8" w:rsidP="00C31960">
      <w:pPr>
        <w:pStyle w:val="Notedebasdepage"/>
        <w:rPr>
          <w:lang w:val="en-US"/>
        </w:rPr>
      </w:pPr>
      <w:r>
        <w:rPr>
          <w:rStyle w:val="Appelnotedebasdep"/>
        </w:rPr>
        <w:footnoteRef/>
      </w:r>
      <w:r w:rsidRPr="0042259C">
        <w:rPr>
          <w:lang w:val="en-US"/>
        </w:rPr>
        <w:t xml:space="preserve"> </w:t>
      </w:r>
      <w:r w:rsidRPr="00F84A0B">
        <w:rPr>
          <w:lang w:val="en-US"/>
        </w:rPr>
        <w:t xml:space="preserve">$ </w:t>
      </w:r>
      <w:r w:rsidRPr="00F84A0B">
        <w:rPr>
          <w:rStyle w:val="italicus"/>
          <w:lang w:val="en-US"/>
        </w:rPr>
        <w:t>Luc. II,</w:t>
      </w:r>
      <w:r w:rsidRPr="00F84A0B">
        <w:rPr>
          <w:lang w:val="en-US"/>
        </w:rPr>
        <w:t xml:space="preserve"> 9-13. Cf. I, 26 et ss.</w:t>
      </w:r>
    </w:p>
  </w:footnote>
  <w:footnote w:id="396">
    <w:p w:rsidR="007F47B8" w:rsidRPr="0042259C" w:rsidRDefault="007F47B8" w:rsidP="00C31960">
      <w:pPr>
        <w:pStyle w:val="Notedebasdepage"/>
        <w:rPr>
          <w:lang w:val="en-US"/>
        </w:rPr>
      </w:pPr>
      <w:r>
        <w:rPr>
          <w:rStyle w:val="Appelnotedebasdep"/>
        </w:rPr>
        <w:footnoteRef/>
      </w:r>
      <w:r w:rsidRPr="0042259C">
        <w:rPr>
          <w:lang w:val="en-US"/>
        </w:rPr>
        <w:t xml:space="preserve"> </w:t>
      </w:r>
      <w:r w:rsidRPr="00F84A0B">
        <w:rPr>
          <w:rStyle w:val="italicus"/>
          <w:lang w:val="en-US"/>
        </w:rPr>
        <w:t>$ Matth.</w:t>
      </w:r>
      <w:r w:rsidRPr="00F84A0B">
        <w:rPr>
          <w:lang w:val="en-US"/>
        </w:rPr>
        <w:t xml:space="preserve"> II, 13. Cf. II, 19. </w:t>
      </w:r>
    </w:p>
  </w:footnote>
  <w:footnote w:id="397">
    <w:p w:rsidR="007F47B8" w:rsidRPr="0042259C" w:rsidRDefault="007F47B8" w:rsidP="00C31960">
      <w:pPr>
        <w:pStyle w:val="Notedebasdepage"/>
        <w:rPr>
          <w:lang w:val="en-US"/>
        </w:rPr>
      </w:pPr>
      <w:r>
        <w:rPr>
          <w:rStyle w:val="Appelnotedebasdep"/>
        </w:rPr>
        <w:footnoteRef/>
      </w:r>
      <w:r w:rsidRPr="0042259C">
        <w:rPr>
          <w:lang w:val="en-US"/>
        </w:rPr>
        <w:t xml:space="preserve"> </w:t>
      </w:r>
      <w:r w:rsidRPr="00F84A0B">
        <w:rPr>
          <w:lang w:val="en-US"/>
        </w:rPr>
        <w:t xml:space="preserve">$ </w:t>
      </w:r>
      <w:r w:rsidRPr="00F84A0B">
        <w:rPr>
          <w:rStyle w:val="italicus"/>
          <w:lang w:val="en-US"/>
        </w:rPr>
        <w:t>Matth.</w:t>
      </w:r>
      <w:r w:rsidRPr="00F84A0B">
        <w:rPr>
          <w:lang w:val="en-US"/>
        </w:rPr>
        <w:t xml:space="preserve"> XXVIII, 5 et ss. </w:t>
      </w:r>
    </w:p>
  </w:footnote>
  <w:footnote w:id="398">
    <w:p w:rsidR="007F47B8" w:rsidRPr="00575CEF" w:rsidRDefault="007F47B8" w:rsidP="00C31960">
      <w:pPr>
        <w:pStyle w:val="Notedebasdepage"/>
        <w:rPr>
          <w:lang w:val="en-US"/>
        </w:rPr>
      </w:pPr>
      <w:r>
        <w:rPr>
          <w:rStyle w:val="Appelnotedebasdep"/>
        </w:rPr>
        <w:footnoteRef/>
      </w:r>
      <w:r w:rsidRPr="00575CEF">
        <w:rPr>
          <w:lang w:val="en-US"/>
        </w:rPr>
        <w:t xml:space="preserve"> </w:t>
      </w:r>
      <w:r w:rsidRPr="00F84A0B">
        <w:rPr>
          <w:lang w:val="en-US"/>
        </w:rPr>
        <w:t xml:space="preserve">$ </w:t>
      </w:r>
      <w:r w:rsidRPr="00F84A0B">
        <w:rPr>
          <w:rStyle w:val="italicus"/>
          <w:lang w:val="en-US"/>
        </w:rPr>
        <w:t>Act.</w:t>
      </w:r>
      <w:r w:rsidRPr="00F84A0B">
        <w:rPr>
          <w:lang w:val="en-US"/>
        </w:rPr>
        <w:t xml:space="preserve"> I, 10. </w:t>
      </w:r>
    </w:p>
  </w:footnote>
  <w:footnote w:id="399">
    <w:p w:rsidR="007F47B8" w:rsidRPr="0042259C" w:rsidRDefault="007F47B8" w:rsidP="00C31960">
      <w:pPr>
        <w:pStyle w:val="Notedebasdepage"/>
      </w:pPr>
      <w:r>
        <w:rPr>
          <w:rStyle w:val="Appelnotedebasdep"/>
        </w:rPr>
        <w:footnoteRef/>
      </w:r>
      <w:r>
        <w:t xml:space="preserve"> </w:t>
      </w:r>
      <w:r w:rsidRPr="0011183B">
        <w:t xml:space="preserve">$ </w:t>
      </w:r>
      <w:r w:rsidRPr="0044481F">
        <w:rPr>
          <w:rStyle w:val="italicus"/>
        </w:rPr>
        <w:t>Marc,</w:t>
      </w:r>
      <w:r>
        <w:t xml:space="preserve"> I, 13. </w:t>
      </w:r>
    </w:p>
  </w:footnote>
  <w:footnote w:id="400">
    <w:p w:rsidR="007F47B8" w:rsidRPr="0042259C" w:rsidRDefault="007F47B8" w:rsidP="00C31960">
      <w:pPr>
        <w:pStyle w:val="Notedebasdepage"/>
        <w:rPr>
          <w:i/>
        </w:rPr>
      </w:pPr>
      <w:r>
        <w:rPr>
          <w:rStyle w:val="Appelnotedebasdep"/>
        </w:rPr>
        <w:footnoteRef/>
      </w:r>
      <w:r>
        <w:t xml:space="preserve"> $ Strauss,</w:t>
      </w:r>
      <w:r w:rsidRPr="0044481F">
        <w:rPr>
          <w:rStyle w:val="italicus"/>
        </w:rPr>
        <w:t xml:space="preserve"> Vie de Jésus,</w:t>
      </w:r>
      <w:r>
        <w:t xml:space="preserve"> l. c., p. 370 et s. </w:t>
      </w:r>
    </w:p>
  </w:footnote>
  <w:footnote w:id="401">
    <w:p w:rsidR="007F47B8" w:rsidRDefault="007F47B8" w:rsidP="00C31960">
      <w:pPr>
        <w:pStyle w:val="Notedebasdepage"/>
      </w:pPr>
      <w:r>
        <w:rPr>
          <w:rStyle w:val="Appelnotedebasdep"/>
        </w:rPr>
        <w:footnoteRef/>
      </w:r>
      <w:r>
        <w:t xml:space="preserve"> </w:t>
      </w:r>
      <w:r w:rsidRPr="0011183B">
        <w:t xml:space="preserve">$ </w:t>
      </w:r>
      <w:r>
        <w:t>Voyez Priva</w:t>
      </w:r>
      <w:r w:rsidRPr="0011183B">
        <w:t>t-Deschanel et A. Focillon,</w:t>
      </w:r>
      <w:r w:rsidRPr="0044481F">
        <w:rPr>
          <w:rStyle w:val="italicus"/>
        </w:rPr>
        <w:t xml:space="preserve"> Dictionnaire général des sciences théoriques et appliquées, </w:t>
      </w:r>
      <w:r w:rsidRPr="0011183B">
        <w:t>au mot</w:t>
      </w:r>
      <w:r w:rsidRPr="0044481F">
        <w:rPr>
          <w:rStyle w:val="italicus"/>
        </w:rPr>
        <w:t xml:space="preserve"> Diapédèse. </w:t>
      </w:r>
    </w:p>
  </w:footnote>
  <w:footnote w:id="402">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Historia animálium,</w:t>
      </w:r>
      <w:r w:rsidRPr="0011183B">
        <w:t xml:space="preserve"> III, 19. </w:t>
      </w:r>
    </w:p>
  </w:footnote>
  <w:footnote w:id="403">
    <w:p w:rsidR="007F47B8" w:rsidRPr="00575CEF" w:rsidRDefault="007F47B8" w:rsidP="00C31960">
      <w:pPr>
        <w:pStyle w:val="Notedebasdepage"/>
      </w:pPr>
      <w:r>
        <w:rPr>
          <w:rStyle w:val="Appelnotedebasdep"/>
        </w:rPr>
        <w:footnoteRef/>
      </w:r>
      <w:r w:rsidRPr="00575CEF">
        <w:t xml:space="preserve"> </w:t>
      </w:r>
      <w:r>
        <w:rPr>
          <w:rStyle w:val="italicus"/>
        </w:rPr>
        <w:t xml:space="preserve">$ </w:t>
      </w:r>
      <w:r w:rsidRPr="0044481F">
        <w:rPr>
          <w:rStyle w:val="italicus"/>
        </w:rPr>
        <w:t xml:space="preserve">De sudóre, </w:t>
      </w:r>
      <w:r w:rsidRPr="0011183B">
        <w:t xml:space="preserve">c. XII. </w:t>
      </w:r>
    </w:p>
  </w:footnote>
  <w:footnote w:id="404">
    <w:p w:rsidR="007F47B8" w:rsidRPr="00575CEF" w:rsidRDefault="007F47B8" w:rsidP="00C31960">
      <w:pPr>
        <w:pStyle w:val="Notedebasdepage"/>
        <w:rPr>
          <w:lang w:val="en-US"/>
        </w:rPr>
      </w:pPr>
      <w:r>
        <w:rPr>
          <w:rStyle w:val="Appelnotedebasdep"/>
        </w:rPr>
        <w:footnoteRef/>
      </w:r>
      <w:r w:rsidRPr="0042259C">
        <w:rPr>
          <w:lang w:val="en-US"/>
        </w:rPr>
        <w:t xml:space="preserve"> </w:t>
      </w:r>
      <w:r w:rsidRPr="00F84A0B">
        <w:rPr>
          <w:rStyle w:val="italicus"/>
          <w:lang w:val="en-US"/>
        </w:rPr>
        <w:t>$ Hist.,</w:t>
      </w:r>
      <w:r w:rsidRPr="00F84A0B">
        <w:rPr>
          <w:lang w:val="en-US"/>
        </w:rPr>
        <w:t xml:space="preserve"> lib.</w:t>
      </w:r>
      <w:r w:rsidRPr="00F84A0B">
        <w:rPr>
          <w:smallCaps/>
          <w:lang w:val="en-US"/>
        </w:rPr>
        <w:t xml:space="preserve"> XVII</w:t>
      </w:r>
      <w:r w:rsidRPr="00F84A0B">
        <w:rPr>
          <w:lang w:val="en-US"/>
        </w:rPr>
        <w:t xml:space="preserve">, c. 90. </w:t>
      </w:r>
    </w:p>
  </w:footnote>
  <w:footnote w:id="405">
    <w:p w:rsidR="007F47B8" w:rsidRPr="0042259C" w:rsidRDefault="007F47B8" w:rsidP="00C31960">
      <w:pPr>
        <w:pStyle w:val="Notedebasdepage"/>
      </w:pPr>
      <w:r>
        <w:rPr>
          <w:rStyle w:val="Appelnotedebasdep"/>
        </w:rPr>
        <w:footnoteRef/>
      </w:r>
      <w:r w:rsidRPr="00575CEF">
        <w:rPr>
          <w:lang w:val="en-US"/>
        </w:rPr>
        <w:t xml:space="preserve"> </w:t>
      </w:r>
      <w:r w:rsidRPr="00F84A0B">
        <w:rPr>
          <w:lang w:val="en-US"/>
        </w:rPr>
        <w:t xml:space="preserve">$ </w:t>
      </w:r>
      <w:r w:rsidRPr="00F84A0B">
        <w:rPr>
          <w:rStyle w:val="italicus"/>
          <w:lang w:val="en-US"/>
        </w:rPr>
        <w:t xml:space="preserve">Observ. </w:t>
      </w:r>
      <w:r w:rsidRPr="0044481F">
        <w:rPr>
          <w:rStyle w:val="italicus"/>
        </w:rPr>
        <w:t>Medic.,</w:t>
      </w:r>
      <w:r>
        <w:t xml:space="preserve"> lib. III, p. 428. </w:t>
      </w:r>
    </w:p>
  </w:footnote>
  <w:footnote w:id="406">
    <w:p w:rsidR="007F47B8" w:rsidRPr="0042259C" w:rsidRDefault="007F47B8" w:rsidP="00C31960">
      <w:pPr>
        <w:pStyle w:val="Notedebasdepage"/>
        <w:rPr>
          <w:i/>
        </w:rPr>
      </w:pPr>
      <w:r>
        <w:rPr>
          <w:rStyle w:val="Appelnotedebasdep"/>
        </w:rPr>
        <w:footnoteRef/>
      </w:r>
      <w:r>
        <w:t xml:space="preserve"> $ </w:t>
      </w:r>
      <w:r w:rsidRPr="0044481F">
        <w:rPr>
          <w:rStyle w:val="italicus"/>
        </w:rPr>
        <w:t>De</w:t>
      </w:r>
      <w:r>
        <w:rPr>
          <w:rStyle w:val="italicus"/>
        </w:rPr>
        <w:t xml:space="preserve"> </w:t>
      </w:r>
      <w:r w:rsidRPr="0044481F">
        <w:rPr>
          <w:rStyle w:val="italicus"/>
        </w:rPr>
        <w:t>prodígiis,</w:t>
      </w:r>
      <w:r>
        <w:t xml:space="preserve"> édit. de 1557, p. 629. </w:t>
      </w:r>
    </w:p>
  </w:footnote>
  <w:footnote w:id="407">
    <w:p w:rsidR="007F47B8" w:rsidRPr="0042259C" w:rsidRDefault="007F47B8" w:rsidP="00C31960">
      <w:pPr>
        <w:pStyle w:val="Notedebasdepage"/>
      </w:pPr>
      <w:r>
        <w:rPr>
          <w:rStyle w:val="Appelnotedebasdep"/>
        </w:rPr>
        <w:footnoteRef/>
      </w:r>
      <w:r>
        <w:t xml:space="preserve"> $ </w:t>
      </w:r>
      <w:r>
        <w:rPr>
          <w:rStyle w:val="italicus"/>
        </w:rPr>
        <w:t>Comment.</w:t>
      </w:r>
      <w:r w:rsidRPr="0044481F">
        <w:rPr>
          <w:rStyle w:val="italicus"/>
        </w:rPr>
        <w:t xml:space="preserve"> in Luc. XXII, 44. </w:t>
      </w:r>
    </w:p>
  </w:footnote>
  <w:footnote w:id="408">
    <w:p w:rsidR="007F47B8" w:rsidRPr="0042259C" w:rsidRDefault="007F47B8" w:rsidP="00C31960">
      <w:pPr>
        <w:pStyle w:val="Notedebasdepage"/>
      </w:pPr>
      <w:r>
        <w:rPr>
          <w:rStyle w:val="Appelnotedebasdep"/>
        </w:rPr>
        <w:footnoteRef/>
      </w:r>
      <w:r>
        <w:t xml:space="preserve"> </w:t>
      </w:r>
      <w:r>
        <w:rPr>
          <w:rStyle w:val="italicus"/>
        </w:rPr>
        <w:t xml:space="preserve">$ </w:t>
      </w:r>
      <w:r w:rsidRPr="0044481F">
        <w:rPr>
          <w:rStyle w:val="italicus"/>
        </w:rPr>
        <w:t>Histor.</w:t>
      </w:r>
      <w:r>
        <w:rPr>
          <w:rStyle w:val="italicus"/>
        </w:rPr>
        <w:t xml:space="preserve"> </w:t>
      </w:r>
      <w:r w:rsidRPr="0044481F">
        <w:rPr>
          <w:rStyle w:val="italicus"/>
        </w:rPr>
        <w:t>sui témporis,</w:t>
      </w:r>
      <w:r>
        <w:t xml:space="preserve"> édit. de 1626, liv. III, t. I, p. 326. </w:t>
      </w:r>
    </w:p>
  </w:footnote>
  <w:footnote w:id="409">
    <w:p w:rsidR="007F47B8" w:rsidRDefault="007F47B8" w:rsidP="00C31960">
      <w:pPr>
        <w:pStyle w:val="Notedebasdepage"/>
      </w:pPr>
      <w:r>
        <w:rPr>
          <w:rStyle w:val="Appelnotedebasdep"/>
        </w:rPr>
        <w:footnoteRef/>
      </w:r>
      <w:r>
        <w:t xml:space="preserve"> $ </w:t>
      </w:r>
      <w:r w:rsidRPr="0044481F">
        <w:rPr>
          <w:rStyle w:val="italicus"/>
        </w:rPr>
        <w:t>Mélanges d’histoire,</w:t>
      </w:r>
      <w:r>
        <w:t xml:space="preserve"> t. III, p. 179. </w:t>
      </w:r>
    </w:p>
  </w:footnote>
  <w:footnote w:id="410">
    <w:p w:rsidR="007F47B8" w:rsidRDefault="007F47B8" w:rsidP="00C31960">
      <w:pPr>
        <w:pStyle w:val="Notedebasdepage"/>
      </w:pPr>
      <w:r>
        <w:rPr>
          <w:rStyle w:val="Appelnotedebasdep"/>
        </w:rPr>
        <w:footnoteRef/>
      </w:r>
      <w:r w:rsidRPr="00575CEF">
        <w:t xml:space="preserve"> </w:t>
      </w:r>
      <w:r>
        <w:t xml:space="preserve">$ </w:t>
      </w:r>
      <w:r w:rsidRPr="0044481F">
        <w:rPr>
          <w:rStyle w:val="italicus"/>
        </w:rPr>
        <w:t>Histoire de France, t</w:t>
      </w:r>
      <w:r w:rsidRPr="0011183B">
        <w:t>.</w:t>
      </w:r>
      <w:r>
        <w:t xml:space="preserve"> II, p. 1170, édit. de 1646. </w:t>
      </w:r>
    </w:p>
  </w:footnote>
  <w:footnote w:id="411">
    <w:p w:rsidR="007F47B8" w:rsidRPr="0042259C" w:rsidRDefault="007F47B8" w:rsidP="00C31960">
      <w:pPr>
        <w:pStyle w:val="Notedebasdepage"/>
      </w:pPr>
      <w:r>
        <w:rPr>
          <w:rStyle w:val="Appelnotedebasdep"/>
        </w:rPr>
        <w:footnoteRef/>
      </w:r>
      <w:r w:rsidRPr="00575CEF">
        <w:rPr>
          <w:lang w:val="en-US"/>
        </w:rPr>
        <w:t xml:space="preserve"> </w:t>
      </w:r>
      <w:r w:rsidRPr="00F84A0B">
        <w:rPr>
          <w:lang w:val="en-US"/>
        </w:rPr>
        <w:t>$ Voyez surtout</w:t>
      </w:r>
      <w:r w:rsidRPr="00F84A0B">
        <w:rPr>
          <w:rStyle w:val="italicus"/>
          <w:lang w:val="en-US"/>
        </w:rPr>
        <w:t xml:space="preserve"> Stroud, A Treatise on the physical Cause of the Death of Christ, </w:t>
      </w:r>
      <w:r w:rsidRPr="00F84A0B">
        <w:rPr>
          <w:lang w:val="en-US"/>
        </w:rPr>
        <w:t xml:space="preserve">p. 379 et ss. ; Millingen, </w:t>
      </w:r>
      <w:r w:rsidRPr="00F84A0B">
        <w:rPr>
          <w:rStyle w:val="italicus"/>
          <w:lang w:val="en-US"/>
        </w:rPr>
        <w:t xml:space="preserve">Curiosities of medical Experiences, </w:t>
      </w:r>
      <w:r w:rsidRPr="00F84A0B">
        <w:rPr>
          <w:lang w:val="en-US"/>
        </w:rPr>
        <w:t>2e édit. ;</w:t>
      </w:r>
      <w:r>
        <w:rPr>
          <w:lang w:val="en-US"/>
        </w:rPr>
        <w:t xml:space="preserve"> </w:t>
      </w:r>
      <w:r w:rsidRPr="00F84A0B">
        <w:rPr>
          <w:lang w:val="en-US"/>
        </w:rPr>
        <w:t>Trusen,</w:t>
      </w:r>
      <w:r w:rsidRPr="00F84A0B">
        <w:rPr>
          <w:rStyle w:val="italicus"/>
          <w:lang w:val="en-US"/>
        </w:rPr>
        <w:t xml:space="preserve"> Die Sitten, Gebraüche und Krankheiten der alten Hebræer ; </w:t>
      </w:r>
      <w:r w:rsidRPr="00F84A0B">
        <w:rPr>
          <w:lang w:val="en-US"/>
        </w:rPr>
        <w:t>Gru</w:t>
      </w:r>
      <w:r>
        <w:rPr>
          <w:lang w:val="en-US"/>
        </w:rPr>
        <w:t>n</w:t>
      </w:r>
      <w:r w:rsidRPr="00F84A0B">
        <w:rPr>
          <w:lang w:val="en-US"/>
        </w:rPr>
        <w:t>er,</w:t>
      </w:r>
      <w:r w:rsidRPr="00F84A0B">
        <w:rPr>
          <w:rStyle w:val="italicus"/>
          <w:lang w:val="en-US"/>
        </w:rPr>
        <w:t xml:space="preserve"> de Morte J.-C. vera ; </w:t>
      </w:r>
      <w:r w:rsidRPr="00F84A0B">
        <w:rPr>
          <w:lang w:val="en-US"/>
        </w:rPr>
        <w:t xml:space="preserve">Copeland, </w:t>
      </w:r>
      <w:r w:rsidRPr="00F84A0B">
        <w:rPr>
          <w:rStyle w:val="italicus"/>
          <w:lang w:val="en-US"/>
        </w:rPr>
        <w:t xml:space="preserve">Diction, of Medicine, </w:t>
      </w:r>
      <w:r w:rsidRPr="00F84A0B">
        <w:rPr>
          <w:lang w:val="en-US"/>
        </w:rPr>
        <w:t xml:space="preserve">t. II, p. 72. </w:t>
      </w:r>
      <w:r w:rsidRPr="002E1669">
        <w:t>Voir aussi D. Calmet,</w:t>
      </w:r>
      <w:r w:rsidRPr="0044481F">
        <w:rPr>
          <w:rStyle w:val="italicus"/>
        </w:rPr>
        <w:t xml:space="preserve"> Dissertation sur la sueur de sang, </w:t>
      </w:r>
      <w:r w:rsidRPr="002E1669">
        <w:t xml:space="preserve">parmi ses œuvres complètes. </w:t>
      </w:r>
    </w:p>
  </w:footnote>
  <w:footnote w:id="412">
    <w:p w:rsidR="007F47B8" w:rsidRPr="0042259C" w:rsidRDefault="007F47B8" w:rsidP="00C31960">
      <w:pPr>
        <w:pStyle w:val="Notedebasdepage"/>
      </w:pPr>
      <w:r>
        <w:rPr>
          <w:rStyle w:val="Appelnotedebasdep"/>
        </w:rPr>
        <w:footnoteRef/>
      </w:r>
      <w:r>
        <w:t xml:space="preserve"> </w:t>
      </w:r>
      <w:r>
        <w:rPr>
          <w:rStyle w:val="italicus"/>
        </w:rPr>
        <w:t xml:space="preserve">$ </w:t>
      </w:r>
      <w:r>
        <w:t>S. Hilaire,</w:t>
      </w:r>
      <w:r w:rsidRPr="0044481F">
        <w:rPr>
          <w:rStyle w:val="italicus"/>
        </w:rPr>
        <w:t xml:space="preserve"> De Trinitáte,</w:t>
      </w:r>
      <w:r>
        <w:t xml:space="preserve"> X, croit à un prodige ; mais son sentiment est à peu près isolé dans l’histoire de l’exégèse. </w:t>
      </w:r>
    </w:p>
  </w:footnote>
  <w:footnote w:id="413">
    <w:p w:rsidR="007F47B8" w:rsidRPr="0042259C" w:rsidRDefault="007F47B8" w:rsidP="00C31960">
      <w:pPr>
        <w:pStyle w:val="Notedebasdepage"/>
        <w:rPr>
          <w:i/>
        </w:rPr>
      </w:pPr>
      <w:r>
        <w:rPr>
          <w:rStyle w:val="Appelnotedebasdep"/>
        </w:rPr>
        <w:footnoteRef/>
      </w:r>
      <w:r>
        <w:t xml:space="preserve"> </w:t>
      </w:r>
      <w:r>
        <w:rPr>
          <w:rStyle w:val="italicus"/>
        </w:rPr>
        <w:t>$ L. c.</w:t>
      </w:r>
      <w:r w:rsidRPr="0044481F">
        <w:rPr>
          <w:rStyle w:val="italicus"/>
        </w:rPr>
        <w:t>,</w:t>
      </w:r>
      <w:r>
        <w:t xml:space="preserve"> p. 489. </w:t>
      </w:r>
    </w:p>
  </w:footnote>
  <w:footnote w:id="414">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L. c. </w:t>
      </w:r>
    </w:p>
  </w:footnote>
  <w:footnote w:id="415">
    <w:p w:rsidR="007F47B8" w:rsidRPr="0042259C" w:rsidRDefault="007F47B8" w:rsidP="00C31960">
      <w:pPr>
        <w:pStyle w:val="Notedebasdepage"/>
      </w:pPr>
      <w:r>
        <w:rPr>
          <w:rStyle w:val="Appelnotedebasdep"/>
        </w:rPr>
        <w:footnoteRef/>
      </w:r>
      <w:r>
        <w:t xml:space="preserve"> </w:t>
      </w:r>
      <w:r w:rsidRPr="002E1669">
        <w:t xml:space="preserve">$ Voyez la page </w:t>
      </w:r>
      <w:r>
        <w:fldChar w:fldCharType="begin"/>
      </w:r>
      <w:r>
        <w:instrText xml:space="preserve"> PAGEREF y_CredibiliteParfaite \h </w:instrText>
      </w:r>
      <w:r>
        <w:fldChar w:fldCharType="separate"/>
      </w:r>
      <w:r>
        <w:rPr>
          <w:noProof/>
        </w:rPr>
        <w:t>42</w:t>
      </w:r>
      <w:r>
        <w:fldChar w:fldCharType="end"/>
      </w:r>
      <w:r>
        <w:t>[</w:t>
      </w:r>
      <w:r w:rsidRPr="002E1669">
        <w:t>102</w:t>
      </w:r>
      <w:r>
        <w:t>]</w:t>
      </w:r>
      <w:r w:rsidRPr="002E1669">
        <w:t xml:space="preserve">. </w:t>
      </w:r>
    </w:p>
  </w:footnote>
  <w:footnote w:id="416">
    <w:p w:rsidR="007F47B8" w:rsidRDefault="007F47B8" w:rsidP="00C31960">
      <w:pPr>
        <w:pStyle w:val="Notedebasdepage"/>
      </w:pPr>
      <w:r>
        <w:rPr>
          <w:rStyle w:val="Appelnotedebasdep"/>
        </w:rPr>
        <w:footnoteRef/>
      </w:r>
      <w:r>
        <w:t xml:space="preserve"> $ Le jour même où nous achevions cette dissertation, une main amie nous envoyait spontanément de Jérusalem deux petits fragments de bois d’olivier, cueillis au jardin de Gethsémani. Nous n’avons pu nous empêcher d’être ému et heureux de cette coïncidence. </w:t>
      </w:r>
    </w:p>
  </w:footnote>
  <w:footnote w:id="417">
    <w:p w:rsidR="007F47B8" w:rsidRPr="0042259C" w:rsidRDefault="007F47B8" w:rsidP="00C31960">
      <w:pPr>
        <w:pStyle w:val="Notedebasdepage"/>
      </w:pPr>
      <w:r>
        <w:rPr>
          <w:rStyle w:val="Appelnotedebasdep"/>
        </w:rPr>
        <w:footnoteRef/>
      </w:r>
      <w:r>
        <w:t xml:space="preserve"> $ Ainsi qu’il a été dit dans l’Avant-propos, nous ne nous sommes pas proposé, dans cette étude rapide, de réfuter d’une manière proprement dite les erreurs de M. Havet : c’est avant tout contre son</w:t>
      </w:r>
      <w:r w:rsidRPr="0044481F">
        <w:rPr>
          <w:rStyle w:val="italicus"/>
        </w:rPr>
        <w:t xml:space="preserve"> genre,</w:t>
      </w:r>
      <w:r>
        <w:t xml:space="preserve"> contre sa méthode anti-scientifique que nous avons voulu protester. Et n’est-ce pas là, d’ailleurs, une réfutation suffisante lorsqu’il s’agit de pareils factums ? On lira avec intérêt, sur ce même sujet, les savantes et chaudes brochures de M. l’abbé Aug. Lémann,</w:t>
      </w:r>
      <w:r w:rsidRPr="0044481F">
        <w:rPr>
          <w:rStyle w:val="italicus"/>
        </w:rPr>
        <w:t xml:space="preserve"> Le Christ rejeté : Réponse à M. Havet,</w:t>
      </w:r>
      <w:r>
        <w:t xml:space="preserve"> Paris 1881, et de M. l’abbé Chapon,</w:t>
      </w:r>
      <w:r w:rsidRPr="0044481F">
        <w:rPr>
          <w:rStyle w:val="italicus"/>
        </w:rPr>
        <w:t xml:space="preserve"> Études d’histoire religieuse, Réponse à M. Havet</w:t>
      </w:r>
      <w:r>
        <w:t xml:space="preserve"> (Extrait du</w:t>
      </w:r>
      <w:r w:rsidRPr="0044481F">
        <w:rPr>
          <w:rStyle w:val="italicus"/>
        </w:rPr>
        <w:t xml:space="preserve"> Correspondant</w:t>
      </w:r>
      <w:r w:rsidRPr="00BA383E">
        <w:t xml:space="preserve">), </w:t>
      </w:r>
      <w:r w:rsidRPr="002E1669">
        <w:t xml:space="preserve">Paris, 1881. </w:t>
      </w:r>
    </w:p>
  </w:footnote>
  <w:footnote w:id="418">
    <w:p w:rsidR="007F47B8" w:rsidRDefault="007F47B8" w:rsidP="00C31960">
      <w:pPr>
        <w:pStyle w:val="Notedebasdepage"/>
      </w:pPr>
      <w:r>
        <w:rPr>
          <w:rStyle w:val="Appelnotedebasdep"/>
        </w:rPr>
        <w:footnoteRef/>
      </w:r>
      <w:r>
        <w:t xml:space="preserve"> $ </w:t>
      </w:r>
      <w:r w:rsidRPr="0044481F">
        <w:rPr>
          <w:rStyle w:val="italicus"/>
        </w:rPr>
        <w:t>Revue des Deux Mondes,</w:t>
      </w:r>
      <w:r>
        <w:t xml:space="preserve"> 41</w:t>
      </w:r>
      <w:r>
        <w:rPr>
          <w:vertAlign w:val="superscript"/>
        </w:rPr>
        <w:t>e</w:t>
      </w:r>
      <w:r>
        <w:t xml:space="preserve"> année, 3</w:t>
      </w:r>
      <w:r>
        <w:rPr>
          <w:vertAlign w:val="superscript"/>
        </w:rPr>
        <w:t>e</w:t>
      </w:r>
      <w:r>
        <w:t xml:space="preserve"> période, t. XLIV, 1</w:t>
      </w:r>
      <w:r w:rsidRPr="002E1669">
        <w:rPr>
          <w:vertAlign w:val="superscript"/>
        </w:rPr>
        <w:t>er</w:t>
      </w:r>
      <w:r>
        <w:t xml:space="preserve"> avril 1S81, p. 582-622. </w:t>
      </w:r>
    </w:p>
  </w:footnote>
  <w:footnote w:id="419">
    <w:p w:rsidR="007F47B8" w:rsidRPr="0042259C" w:rsidRDefault="007F47B8" w:rsidP="00C31960">
      <w:pPr>
        <w:pStyle w:val="Notedebasdepage"/>
      </w:pPr>
      <w:r>
        <w:rPr>
          <w:rStyle w:val="Appelnotedebasdep"/>
        </w:rPr>
        <w:footnoteRef/>
      </w:r>
      <w:r>
        <w:t xml:space="preserve"> $ </w:t>
      </w:r>
      <w:r w:rsidRPr="0044481F">
        <w:rPr>
          <w:rStyle w:val="italicus"/>
        </w:rPr>
        <w:t xml:space="preserve">Revue des Deux Mondes, </w:t>
      </w:r>
      <w:r w:rsidRPr="002E1669">
        <w:t xml:space="preserve">l. c., p. 621. </w:t>
      </w:r>
    </w:p>
  </w:footnote>
  <w:footnote w:id="420">
    <w:p w:rsidR="007F47B8" w:rsidRPr="0042259C" w:rsidRDefault="007F47B8" w:rsidP="00C31960">
      <w:pPr>
        <w:pStyle w:val="Notedebasdepage"/>
      </w:pPr>
      <w:r>
        <w:rPr>
          <w:rStyle w:val="Appelnotedebasdep"/>
        </w:rPr>
        <w:footnoteRef/>
      </w:r>
      <w:r>
        <w:t xml:space="preserve"> </w:t>
      </w:r>
      <w:r>
        <w:rPr>
          <w:rStyle w:val="italicus"/>
        </w:rPr>
        <w:t xml:space="preserve">$ </w:t>
      </w:r>
      <w:r>
        <w:t>« Les évangiles sont de bien pauvres documents ».</w:t>
      </w:r>
      <w:r w:rsidRPr="0044481F">
        <w:rPr>
          <w:rStyle w:val="italicus"/>
        </w:rPr>
        <w:t xml:space="preserve"> L. c.,</w:t>
      </w:r>
      <w:r>
        <w:t xml:space="preserve"> p. 585. Voyez les pages 586 et 587. </w:t>
      </w:r>
    </w:p>
  </w:footnote>
  <w:footnote w:id="421">
    <w:p w:rsidR="007F47B8" w:rsidRPr="0042259C" w:rsidRDefault="007F47B8" w:rsidP="00C31960">
      <w:pPr>
        <w:pStyle w:val="Notedebasdepage"/>
      </w:pPr>
      <w:r>
        <w:rPr>
          <w:rStyle w:val="Appelnotedebasdep"/>
        </w:rPr>
        <w:footnoteRef/>
      </w:r>
      <w:r>
        <w:t xml:space="preserve"> $ C’est un fait que les rationalistes se renversent à tour de rôle. Strauss, qui abattu Paulus, est battu par Keim, qui le sera par un autre, etc. L’erreur n’a pas de consistance et se renouvelle sans cesse, quoique souvent en reprenant de vieilles formes. </w:t>
      </w:r>
    </w:p>
  </w:footnote>
  <w:footnote w:id="422">
    <w:p w:rsidR="007F47B8" w:rsidRPr="0042259C" w:rsidRDefault="007F47B8" w:rsidP="00C31960">
      <w:pPr>
        <w:pStyle w:val="Notedebasdepage"/>
      </w:pPr>
      <w:r>
        <w:rPr>
          <w:rStyle w:val="Appelnotedebasdep"/>
        </w:rPr>
        <w:footnoteRef/>
      </w:r>
      <w:r>
        <w:t xml:space="preserve"> $ C’est à dessein que nous nous bornons à signaler les auteurs protestants, car ils ont beaucoup plus que les exégètes catholiques les sympathies de M. Havet. Si ses amis eux-mêmes le condamnent, quelle est la valeur de sa théorie ? Qu’il lise en particulier la belle</w:t>
      </w:r>
      <w:r w:rsidRPr="0044481F">
        <w:rPr>
          <w:rStyle w:val="italicus"/>
        </w:rPr>
        <w:t xml:space="preserve"> Vie de Jésus</w:t>
      </w:r>
      <w:r>
        <w:t xml:space="preserve"> naguère publiée par M. B. Weiss (semi-rationaliste allemand</w:t>
      </w:r>
      <w:r w:rsidRPr="00BA383E">
        <w:t xml:space="preserve">), </w:t>
      </w:r>
      <w:r>
        <w:t>et il y verra la complète condamnation de son système. Voir aussi les</w:t>
      </w:r>
      <w:r w:rsidRPr="0044481F">
        <w:rPr>
          <w:rStyle w:val="italicus"/>
        </w:rPr>
        <w:t xml:space="preserve"> Theologische</w:t>
      </w:r>
      <w:r>
        <w:rPr>
          <w:rStyle w:val="italicus"/>
        </w:rPr>
        <w:t xml:space="preserve"> </w:t>
      </w:r>
      <w:r w:rsidRPr="0044481F">
        <w:rPr>
          <w:rStyle w:val="italicus"/>
        </w:rPr>
        <w:t>Studien und Kritiken,</w:t>
      </w:r>
      <w:r>
        <w:t xml:space="preserve"> année 1884, 1</w:t>
      </w:r>
      <w:r>
        <w:rPr>
          <w:vertAlign w:val="superscript"/>
        </w:rPr>
        <w:t>er</w:t>
      </w:r>
      <w:r>
        <w:t xml:space="preserve"> fasc., p. 7 et s. </w:t>
      </w:r>
    </w:p>
  </w:footnote>
  <w:footnote w:id="423">
    <w:p w:rsidR="007F47B8" w:rsidRPr="0042259C" w:rsidRDefault="007F47B8" w:rsidP="00C31960">
      <w:pPr>
        <w:pStyle w:val="Notedebasdepage"/>
      </w:pPr>
      <w:r>
        <w:rPr>
          <w:rStyle w:val="Appelnotedebasdep"/>
        </w:rPr>
        <w:footnoteRef/>
      </w:r>
      <w:r>
        <w:t xml:space="preserve"> $</w:t>
      </w:r>
      <w:r>
        <w:rPr>
          <w:rStyle w:val="italicus"/>
        </w:rPr>
        <w:t xml:space="preserve"> </w:t>
      </w:r>
      <w:r w:rsidRPr="0044481F">
        <w:rPr>
          <w:rStyle w:val="italicus"/>
        </w:rPr>
        <w:t>L. c.,</w:t>
      </w:r>
      <w:r>
        <w:t xml:space="preserve"> p. 584. </w:t>
      </w:r>
    </w:p>
  </w:footnote>
  <w:footnote w:id="424">
    <w:p w:rsidR="007F47B8" w:rsidRPr="0042259C" w:rsidRDefault="007F47B8" w:rsidP="00C31960">
      <w:pPr>
        <w:pStyle w:val="Notedebasdepage"/>
      </w:pPr>
      <w:r>
        <w:rPr>
          <w:rStyle w:val="Appelnotedebasdep"/>
        </w:rPr>
        <w:footnoteRef/>
      </w:r>
      <w:r>
        <w:t xml:space="preserve"> $ Page 593. </w:t>
      </w:r>
    </w:p>
  </w:footnote>
  <w:footnote w:id="425">
    <w:p w:rsidR="007F47B8" w:rsidRPr="0042259C" w:rsidRDefault="007F47B8" w:rsidP="00C31960">
      <w:pPr>
        <w:pStyle w:val="Notedebasdepage"/>
      </w:pPr>
      <w:r>
        <w:rPr>
          <w:rStyle w:val="Appelnotedebasdep"/>
        </w:rPr>
        <w:footnoteRef/>
      </w:r>
      <w:r>
        <w:t xml:space="preserve"> $ Page 594. </w:t>
      </w:r>
    </w:p>
  </w:footnote>
  <w:footnote w:id="426">
    <w:p w:rsidR="007F47B8" w:rsidRPr="0042259C" w:rsidRDefault="007F47B8" w:rsidP="00C31960">
      <w:pPr>
        <w:pStyle w:val="Notedebasdepage"/>
      </w:pPr>
      <w:r>
        <w:rPr>
          <w:rStyle w:val="Appelnotedebasdep"/>
        </w:rPr>
        <w:footnoteRef/>
      </w:r>
      <w:r>
        <w:t xml:space="preserve"> $ Page 595. </w:t>
      </w:r>
    </w:p>
  </w:footnote>
  <w:footnote w:id="427">
    <w:p w:rsidR="007F47B8" w:rsidRPr="0042259C" w:rsidRDefault="007F47B8" w:rsidP="00C31960">
      <w:pPr>
        <w:pStyle w:val="Notedebasdepage"/>
      </w:pPr>
      <w:r>
        <w:rPr>
          <w:rStyle w:val="Appelnotedebasdep"/>
        </w:rPr>
        <w:footnoteRef/>
      </w:r>
      <w:r>
        <w:t xml:space="preserve"> $ </w:t>
      </w:r>
      <w:r w:rsidRPr="0044481F">
        <w:rPr>
          <w:rStyle w:val="italicus"/>
        </w:rPr>
        <w:t>Ibid.</w:t>
      </w:r>
      <w:r>
        <w:t xml:space="preserve"> </w:t>
      </w:r>
    </w:p>
  </w:footnote>
  <w:footnote w:id="428">
    <w:p w:rsidR="007F47B8" w:rsidRPr="0042259C" w:rsidRDefault="007F47B8" w:rsidP="00C31960">
      <w:pPr>
        <w:pStyle w:val="Notedebasdepage"/>
      </w:pPr>
      <w:r>
        <w:rPr>
          <w:rStyle w:val="Appelnotedebasdep"/>
        </w:rPr>
        <w:footnoteRef/>
      </w:r>
      <w:r>
        <w:t xml:space="preserve"> $ </w:t>
      </w:r>
      <w:r w:rsidRPr="0044481F">
        <w:rPr>
          <w:rStyle w:val="italicus"/>
        </w:rPr>
        <w:t xml:space="preserve">S. John’s Gospel, </w:t>
      </w:r>
      <w:r w:rsidRPr="002E1669">
        <w:t>dans la</w:t>
      </w:r>
      <w:r w:rsidRPr="0044481F">
        <w:rPr>
          <w:rStyle w:val="italicus"/>
        </w:rPr>
        <w:t xml:space="preserve"> Speakers Bible, </w:t>
      </w:r>
      <w:r w:rsidRPr="002E1669">
        <w:t>tome II du</w:t>
      </w:r>
      <w:r w:rsidRPr="0044481F">
        <w:rPr>
          <w:rStyle w:val="italicus"/>
        </w:rPr>
        <w:t xml:space="preserve"> New Testament, </w:t>
      </w:r>
      <w:r>
        <w:t xml:space="preserve">p. 1-307, Londres, 1880. On vient de réimprimer à part ce beau commentaire. </w:t>
      </w:r>
    </w:p>
  </w:footnote>
  <w:footnote w:id="429">
    <w:p w:rsidR="007F47B8" w:rsidRPr="0042259C" w:rsidRDefault="007F47B8" w:rsidP="00C31960">
      <w:pPr>
        <w:pStyle w:val="Notedebasdepage"/>
      </w:pPr>
      <w:r>
        <w:rPr>
          <w:rStyle w:val="Appelnotedebasdep"/>
        </w:rPr>
        <w:footnoteRef/>
      </w:r>
      <w:r>
        <w:t xml:space="preserve"> $ </w:t>
      </w:r>
      <w:r w:rsidRPr="0044481F">
        <w:rPr>
          <w:rStyle w:val="italicus"/>
        </w:rPr>
        <w:t>L. c.,</w:t>
      </w:r>
      <w:r>
        <w:t xml:space="preserve"> p. 587. C’est nous qui avons souligné ce passage. </w:t>
      </w:r>
    </w:p>
  </w:footnote>
  <w:footnote w:id="430">
    <w:p w:rsidR="007F47B8" w:rsidRPr="0042259C" w:rsidRDefault="007F47B8" w:rsidP="00C31960">
      <w:pPr>
        <w:pStyle w:val="Notedebasdepage"/>
        <w:rPr>
          <w:i/>
        </w:rPr>
      </w:pPr>
      <w:r>
        <w:rPr>
          <w:rStyle w:val="Appelnotedebasdep"/>
        </w:rPr>
        <w:footnoteRef/>
      </w:r>
      <w:r>
        <w:t xml:space="preserve"> $ P. 589. Voyez aussi les pages 600, 601. </w:t>
      </w:r>
    </w:p>
  </w:footnote>
  <w:footnote w:id="431">
    <w:p w:rsidR="007F47B8" w:rsidRPr="0042259C" w:rsidRDefault="007F47B8" w:rsidP="00C31960">
      <w:pPr>
        <w:pStyle w:val="Notedebasdepage"/>
      </w:pPr>
      <w:r>
        <w:rPr>
          <w:rStyle w:val="Appelnotedebasdep"/>
        </w:rPr>
        <w:footnoteRef/>
      </w:r>
      <w:r>
        <w:t xml:space="preserve"> $ </w:t>
      </w:r>
      <w:r w:rsidRPr="0044481F">
        <w:rPr>
          <w:rStyle w:val="italicus"/>
        </w:rPr>
        <w:t xml:space="preserve">Ibid. </w:t>
      </w:r>
    </w:p>
  </w:footnote>
  <w:footnote w:id="432">
    <w:p w:rsidR="007F47B8" w:rsidRDefault="007F47B8" w:rsidP="00C31960">
      <w:pPr>
        <w:pStyle w:val="Notedebasdepage"/>
      </w:pPr>
      <w:r>
        <w:rPr>
          <w:rStyle w:val="Appelnotedebasdep"/>
        </w:rPr>
        <w:footnoteRef/>
      </w:r>
      <w:r>
        <w:t xml:space="preserve"> </w:t>
      </w:r>
      <w:r>
        <w:rPr>
          <w:rStyle w:val="italicus"/>
        </w:rPr>
        <w:t xml:space="preserve">$ </w:t>
      </w:r>
      <w:r>
        <w:t>XV,</w:t>
      </w:r>
      <w:r>
        <w:rPr>
          <w:smallCaps/>
        </w:rPr>
        <w:t xml:space="preserve"> 45.</w:t>
      </w:r>
      <w:r>
        <w:t xml:space="preserve"> </w:t>
      </w:r>
    </w:p>
  </w:footnote>
  <w:footnote w:id="433">
    <w:p w:rsidR="007F47B8" w:rsidRPr="0042259C" w:rsidRDefault="007F47B8" w:rsidP="00C31960">
      <w:pPr>
        <w:pStyle w:val="Notedebasdepage"/>
        <w:rPr>
          <w:i/>
        </w:rPr>
      </w:pPr>
      <w:r>
        <w:rPr>
          <w:rStyle w:val="Appelnotedebasdep"/>
        </w:rPr>
        <w:footnoteRef/>
      </w:r>
      <w:r>
        <w:t xml:space="preserve"> $ </w:t>
      </w:r>
      <w:r w:rsidRPr="0044481F">
        <w:rPr>
          <w:rStyle w:val="italicus"/>
        </w:rPr>
        <w:t>Revue de</w:t>
      </w:r>
      <w:r>
        <w:rPr>
          <w:rStyle w:val="italicus"/>
        </w:rPr>
        <w:t xml:space="preserve">s Deux-Mondes, </w:t>
      </w:r>
      <w:r w:rsidRPr="002E1669">
        <w:t xml:space="preserve">l. c., p. 594. </w:t>
      </w:r>
    </w:p>
  </w:footnote>
  <w:footnote w:id="434">
    <w:p w:rsidR="007F47B8" w:rsidRPr="0042259C"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Ibid. </w:t>
      </w:r>
    </w:p>
  </w:footnote>
  <w:footnote w:id="435">
    <w:p w:rsidR="007F47B8" w:rsidRPr="0042259C" w:rsidRDefault="007F47B8" w:rsidP="00C31960">
      <w:pPr>
        <w:pStyle w:val="Notedebasdepage"/>
      </w:pPr>
      <w:r>
        <w:rPr>
          <w:rStyle w:val="Appelnotedebasdep"/>
        </w:rPr>
        <w:footnoteRef/>
      </w:r>
      <w:r>
        <w:t xml:space="preserve"> </w:t>
      </w:r>
      <w:r>
        <w:rPr>
          <w:rStyle w:val="italicus"/>
        </w:rPr>
        <w:t xml:space="preserve">$ </w:t>
      </w:r>
      <w:r>
        <w:t xml:space="preserve">P : 590-599. </w:t>
      </w:r>
    </w:p>
  </w:footnote>
  <w:footnote w:id="436">
    <w:p w:rsidR="007F47B8" w:rsidRPr="0042259C" w:rsidRDefault="007F47B8" w:rsidP="00C31960">
      <w:pPr>
        <w:pStyle w:val="Notedebasdepage"/>
      </w:pPr>
      <w:r>
        <w:rPr>
          <w:rStyle w:val="Appelnotedebasdep"/>
        </w:rPr>
        <w:footnoteRef/>
      </w:r>
      <w:r>
        <w:t xml:space="preserve"> $ Ce mot est de nous, et point de M. Havet, cela se conçoit. </w:t>
      </w:r>
    </w:p>
  </w:footnote>
  <w:footnote w:id="437">
    <w:p w:rsidR="007F47B8" w:rsidRPr="0042259C" w:rsidRDefault="007F47B8" w:rsidP="00C31960">
      <w:pPr>
        <w:pStyle w:val="Notedebasdepage"/>
        <w:rPr>
          <w:i/>
        </w:rPr>
      </w:pPr>
      <w:r>
        <w:rPr>
          <w:rStyle w:val="Appelnotedebasdep"/>
        </w:rPr>
        <w:footnoteRef/>
      </w:r>
      <w:r>
        <w:t xml:space="preserve"> $ P. 590. </w:t>
      </w:r>
    </w:p>
  </w:footnote>
  <w:footnote w:id="438">
    <w:p w:rsidR="007F47B8" w:rsidRPr="0042259C" w:rsidRDefault="007F47B8" w:rsidP="00C31960">
      <w:pPr>
        <w:pStyle w:val="Notedebasdepage"/>
      </w:pPr>
      <w:r>
        <w:rPr>
          <w:rStyle w:val="Appelnotedebasdep"/>
        </w:rPr>
        <w:footnoteRef/>
      </w:r>
      <w:r>
        <w:t xml:space="preserve"> $ </w:t>
      </w:r>
      <w:r>
        <w:rPr>
          <w:rStyle w:val="italicus"/>
        </w:rPr>
        <w:t>Ibid</w:t>
      </w:r>
      <w:r w:rsidRPr="0044481F">
        <w:rPr>
          <w:rStyle w:val="italicus"/>
        </w:rPr>
        <w:t xml:space="preserve">. </w:t>
      </w:r>
    </w:p>
  </w:footnote>
  <w:footnote w:id="439">
    <w:p w:rsidR="007F47B8" w:rsidRPr="0042259C" w:rsidRDefault="007F47B8" w:rsidP="00C31960">
      <w:pPr>
        <w:pStyle w:val="Notedebasdepage"/>
      </w:pPr>
      <w:r>
        <w:rPr>
          <w:rStyle w:val="Appelnotedebasdep"/>
        </w:rPr>
        <w:footnoteRef/>
      </w:r>
      <w:r>
        <w:t xml:space="preserve"> </w:t>
      </w:r>
      <w:r>
        <w:rPr>
          <w:rStyle w:val="italicus"/>
        </w:rPr>
        <w:t xml:space="preserve">$ </w:t>
      </w:r>
      <w:r>
        <w:t xml:space="preserve">P. 592. </w:t>
      </w:r>
    </w:p>
  </w:footnote>
  <w:footnote w:id="440">
    <w:p w:rsidR="007F47B8" w:rsidRPr="0042259C" w:rsidRDefault="007F47B8" w:rsidP="00C31960">
      <w:pPr>
        <w:pStyle w:val="Notedebasdepage"/>
      </w:pPr>
      <w:r>
        <w:rPr>
          <w:rStyle w:val="Appelnotedebasdep"/>
        </w:rPr>
        <w:footnoteRef/>
      </w:r>
      <w:r>
        <w:t xml:space="preserve"> $ Voyez</w:t>
      </w:r>
      <w:r w:rsidRPr="0044481F">
        <w:rPr>
          <w:rStyle w:val="italicus"/>
        </w:rPr>
        <w:t xml:space="preserve"> Marc,</w:t>
      </w:r>
      <w:r>
        <w:t xml:space="preserve"> XIV, 62, et les passages parallèles. </w:t>
      </w:r>
    </w:p>
  </w:footnote>
  <w:footnote w:id="441">
    <w:p w:rsidR="007F47B8" w:rsidRPr="00575CEF" w:rsidRDefault="007F47B8" w:rsidP="00C31960">
      <w:pPr>
        <w:pStyle w:val="Notedebasdepage"/>
      </w:pPr>
      <w:r>
        <w:rPr>
          <w:rStyle w:val="Appelnotedebasdep"/>
        </w:rPr>
        <w:footnoteRef/>
      </w:r>
      <w:r w:rsidRPr="00575CEF">
        <w:t xml:space="preserve"> </w:t>
      </w:r>
      <w:r>
        <w:t xml:space="preserve">$ Cette expression est inexacte. Il faudrait : « princes des prêtres », car il n’y avait qu’un seul grand-prêtre. </w:t>
      </w:r>
    </w:p>
  </w:footnote>
  <w:footnote w:id="442">
    <w:p w:rsidR="007F47B8" w:rsidRPr="00575CEF" w:rsidRDefault="007F47B8" w:rsidP="00C31960">
      <w:pPr>
        <w:pStyle w:val="Notedebasdepage"/>
        <w:rPr>
          <w:lang w:val="en-US"/>
        </w:rPr>
      </w:pPr>
      <w:r>
        <w:rPr>
          <w:rStyle w:val="Appelnotedebasdep"/>
        </w:rPr>
        <w:footnoteRef/>
      </w:r>
      <w:r w:rsidRPr="0042259C">
        <w:rPr>
          <w:lang w:val="en-US"/>
        </w:rPr>
        <w:t xml:space="preserve"> </w:t>
      </w:r>
      <w:r w:rsidRPr="00F84A0B">
        <w:rPr>
          <w:lang w:val="en-US"/>
        </w:rPr>
        <w:t xml:space="preserve">$ P. 593. </w:t>
      </w:r>
    </w:p>
  </w:footnote>
  <w:footnote w:id="443">
    <w:p w:rsidR="007F47B8" w:rsidRDefault="007F47B8">
      <w:pPr>
        <w:pStyle w:val="Notedebasdepage"/>
      </w:pPr>
      <w:r>
        <w:rPr>
          <w:rStyle w:val="Appelnotedebasdep"/>
        </w:rPr>
        <w:footnoteRef/>
      </w:r>
      <w:r w:rsidRPr="00575CEF">
        <w:rPr>
          <w:lang w:val="en-US"/>
        </w:rPr>
        <w:t xml:space="preserve"> </w:t>
      </w:r>
      <w:r w:rsidRPr="007F47B8">
        <w:rPr>
          <w:lang w:val="en-US"/>
        </w:rPr>
        <w:t>$ Cf. Jos.,</w:t>
      </w:r>
      <w:r w:rsidRPr="00F84A0B">
        <w:rPr>
          <w:rStyle w:val="italicus"/>
          <w:lang w:val="en-US"/>
        </w:rPr>
        <w:t xml:space="preserve"> Bell. Jud.,</w:t>
      </w:r>
      <w:r w:rsidRPr="007F47B8">
        <w:rPr>
          <w:lang w:val="en-US"/>
        </w:rPr>
        <w:t xml:space="preserve"> II, XX, 2. </w:t>
      </w:r>
      <w:r w:rsidRPr="001077D9">
        <w:t>Voyez Langen,</w:t>
      </w:r>
      <w:r w:rsidRPr="0044481F">
        <w:rPr>
          <w:rStyle w:val="italicus"/>
        </w:rPr>
        <w:t xml:space="preserve"> Die letzten Lebenstage Jesu,</w:t>
      </w:r>
      <w:r w:rsidRPr="001077D9">
        <w:t xml:space="preserve"> Fribourg, 1864, p. 274.</w:t>
      </w:r>
    </w:p>
  </w:footnote>
  <w:footnote w:id="444">
    <w:p w:rsidR="007F47B8" w:rsidRPr="00D26D04" w:rsidRDefault="007F47B8" w:rsidP="00C31960">
      <w:pPr>
        <w:pStyle w:val="Notedebasdepage"/>
      </w:pPr>
      <w:r>
        <w:rPr>
          <w:rStyle w:val="Appelnotedebasdep"/>
        </w:rPr>
        <w:footnoteRef/>
      </w:r>
      <w:r w:rsidRPr="00D26D04">
        <w:t xml:space="preserve"> </w:t>
      </w:r>
      <w:r w:rsidRPr="001077D9">
        <w:t xml:space="preserve">$ P. 594. </w:t>
      </w:r>
    </w:p>
  </w:footnote>
  <w:footnote w:id="445">
    <w:p w:rsidR="007F47B8" w:rsidRPr="00D26D04" w:rsidRDefault="007F47B8" w:rsidP="00C31960">
      <w:pPr>
        <w:pStyle w:val="Notedebasdepage"/>
      </w:pPr>
      <w:r>
        <w:rPr>
          <w:rStyle w:val="Appelnotedebasdep"/>
        </w:rPr>
        <w:footnoteRef/>
      </w:r>
      <w:r>
        <w:t xml:space="preserve"> $ P. 599. </w:t>
      </w:r>
    </w:p>
  </w:footnote>
  <w:footnote w:id="446">
    <w:p w:rsidR="007F47B8" w:rsidRPr="00D26D04" w:rsidRDefault="007F47B8" w:rsidP="00C31960">
      <w:pPr>
        <w:pStyle w:val="Notedebasdepage"/>
      </w:pPr>
      <w:r>
        <w:rPr>
          <w:rStyle w:val="Appelnotedebasdep"/>
        </w:rPr>
        <w:footnoteRef/>
      </w:r>
      <w:r>
        <w:t xml:space="preserve"> $ Du reste, il ne fait en cela que copier M. Jules Soury,</w:t>
      </w:r>
      <w:r w:rsidRPr="0044481F">
        <w:rPr>
          <w:rStyle w:val="italicus"/>
        </w:rPr>
        <w:t xml:space="preserve"> Jésus et les évangiles,</w:t>
      </w:r>
      <w:r>
        <w:t xml:space="preserve"> Paris, 1818, passim. </w:t>
      </w:r>
    </w:p>
  </w:footnote>
  <w:footnote w:id="447">
    <w:p w:rsidR="007F47B8" w:rsidRPr="00D26D04" w:rsidRDefault="007F47B8" w:rsidP="00C31960">
      <w:pPr>
        <w:pStyle w:val="Notedebasdepage"/>
      </w:pPr>
      <w:r>
        <w:rPr>
          <w:rStyle w:val="Appelnotedebasdep"/>
        </w:rPr>
        <w:footnoteRef/>
      </w:r>
      <w:r>
        <w:t xml:space="preserve"> $ Chacun sait que ses autres articles, rejetés par M. Buloz, sont allés échouer dans la</w:t>
      </w:r>
      <w:r w:rsidRPr="0044481F">
        <w:rPr>
          <w:rStyle w:val="italicus"/>
        </w:rPr>
        <w:t xml:space="preserve"> Nouvelle Revue.</w:t>
      </w:r>
      <w:r>
        <w:t xml:space="preserve"> </w:t>
      </w:r>
    </w:p>
  </w:footnote>
  <w:footnote w:id="448">
    <w:p w:rsidR="007F47B8" w:rsidRPr="00D26D04" w:rsidRDefault="007F47B8" w:rsidP="00C31960">
      <w:pPr>
        <w:pStyle w:val="Notedebasdepage"/>
      </w:pPr>
      <w:r>
        <w:rPr>
          <w:rStyle w:val="Appelnotedebasdep"/>
        </w:rPr>
        <w:footnoteRef/>
      </w:r>
      <w:r>
        <w:t xml:space="preserve"> $ </w:t>
      </w:r>
      <w:r w:rsidRPr="0044481F">
        <w:rPr>
          <w:rStyle w:val="italicus"/>
        </w:rPr>
        <w:t>La Critique intransigeante et les services qu’elle rend à la science apologétique ;</w:t>
      </w:r>
      <w:r>
        <w:t xml:space="preserve"> réponse à M. l’abbé A. Lémann. Autun, 1881, p. 9 et suiv. — </w:t>
      </w:r>
      <w:r w:rsidRPr="0044481F">
        <w:rPr>
          <w:rStyle w:val="italicus"/>
        </w:rPr>
        <w:t>Critique intransigeante :</w:t>
      </w:r>
      <w:r>
        <w:t xml:space="preserve"> quel heureux nom, et comme il flagelle à lui seul les procédés de ces savants prétendus qui ont leurs systèmes bouclés, ou même clos hermétiquement, et qui proclament à son de trompe qu’ils ne tiendront aucun compte des objections, des observations de leurs adversaires ! Et puis, quelle excellente allusion à ce qui se passe actuellement sous nos yeux dans un autre domaine ! Il y a donc les forcenés de la critique, de même qu’il y a les forcenés de la politique. Ils se valent, chacun dans leur domaine. Voyez</w:t>
      </w:r>
      <w:r w:rsidRPr="0044481F">
        <w:rPr>
          <w:rStyle w:val="italicus"/>
        </w:rPr>
        <w:t xml:space="preserve"> La Controverse,</w:t>
      </w:r>
      <w:r>
        <w:t xml:space="preserve"> t. II, année 1881, p. 629. </w:t>
      </w:r>
    </w:p>
  </w:footnote>
  <w:footnote w:id="449">
    <w:p w:rsidR="007F47B8" w:rsidRPr="00D26D04" w:rsidRDefault="007F47B8" w:rsidP="00C31960">
      <w:pPr>
        <w:pStyle w:val="Notedebasdepage"/>
      </w:pPr>
      <w:r>
        <w:rPr>
          <w:rStyle w:val="Appelnotedebasdep"/>
        </w:rPr>
        <w:footnoteRef/>
      </w:r>
      <w:r>
        <w:t xml:space="preserve"> $ Les mots en italique reproduisent le langage de M. Havet. </w:t>
      </w:r>
    </w:p>
  </w:footnote>
  <w:footnote w:id="450">
    <w:p w:rsidR="007F47B8" w:rsidRDefault="007F47B8" w:rsidP="00C31960">
      <w:pPr>
        <w:pStyle w:val="Notedebasdepage"/>
      </w:pPr>
      <w:r>
        <w:rPr>
          <w:rStyle w:val="Appelnotedebasdep"/>
        </w:rPr>
        <w:footnoteRef/>
      </w:r>
      <w:r>
        <w:t xml:space="preserve"> $ </w:t>
      </w:r>
      <w:r w:rsidRPr="0044481F">
        <w:rPr>
          <w:rStyle w:val="italicus"/>
        </w:rPr>
        <w:t>La Critique intransigeante,</w:t>
      </w:r>
      <w:r w:rsidRPr="002E1669">
        <w:t xml:space="preserve"> p. 9, 10, 11. </w:t>
      </w:r>
    </w:p>
  </w:footnote>
  <w:footnote w:id="451">
    <w:p w:rsidR="007F47B8" w:rsidRPr="00D26D04" w:rsidRDefault="007F47B8" w:rsidP="00C31960">
      <w:pPr>
        <w:pStyle w:val="Notedebasdepage"/>
      </w:pPr>
      <w:r>
        <w:rPr>
          <w:rStyle w:val="Appelnotedebasdep"/>
        </w:rPr>
        <w:footnoteRef/>
      </w:r>
      <w:r>
        <w:t xml:space="preserve"> </w:t>
      </w:r>
      <w:r>
        <w:rPr>
          <w:rStyle w:val="italicus"/>
        </w:rPr>
        <w:t xml:space="preserve">$ </w:t>
      </w:r>
      <w:r>
        <w:t>« Jésus, c’est l’homme aux proportions colossales », qu’il faut placer « au plus haut sommet de la grandeur humaine » ; en qui « s’est condensé tout ce qu’il y a de bon et d’élevé dans notre nature ». E. Renan,</w:t>
      </w:r>
      <w:r w:rsidRPr="0044481F">
        <w:rPr>
          <w:rStyle w:val="italicus"/>
        </w:rPr>
        <w:t xml:space="preserve"> Vie de Jésus,</w:t>
      </w:r>
      <w:r>
        <w:t xml:space="preserve"> p. 448 de la première édition. </w:t>
      </w:r>
    </w:p>
  </w:footnote>
  <w:footnote w:id="452">
    <w:p w:rsidR="007F47B8" w:rsidRDefault="007F47B8" w:rsidP="00C31960">
      <w:pPr>
        <w:pStyle w:val="Notedebasdepage"/>
      </w:pPr>
      <w:r>
        <w:rPr>
          <w:rStyle w:val="Appelnotedebasdep"/>
        </w:rPr>
        <w:footnoteRef/>
      </w:r>
      <w:r>
        <w:t xml:space="preserve"> $ </w:t>
      </w:r>
      <w:r w:rsidRPr="0044481F">
        <w:rPr>
          <w:rStyle w:val="italicus"/>
        </w:rPr>
        <w:t xml:space="preserve">La Critique intransigeante, </w:t>
      </w:r>
      <w:r w:rsidRPr="002E1669">
        <w:t xml:space="preserve">p. 13. </w:t>
      </w:r>
    </w:p>
  </w:footnote>
  <w:footnote w:id="453">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La Critique intransigeante, </w:t>
      </w:r>
      <w:r w:rsidRPr="002E1669">
        <w:t xml:space="preserve">p. 15. </w:t>
      </w:r>
    </w:p>
  </w:footnote>
  <w:footnote w:id="454">
    <w:p w:rsidR="007F47B8" w:rsidRPr="00D26D04" w:rsidRDefault="007F47B8" w:rsidP="00C31960">
      <w:pPr>
        <w:pStyle w:val="Notedebasdepage"/>
      </w:pPr>
      <w:r>
        <w:rPr>
          <w:rStyle w:val="Appelnotedebasdep"/>
        </w:rPr>
        <w:footnoteRef/>
      </w:r>
      <w:r>
        <w:t xml:space="preserve"> </w:t>
      </w:r>
      <w:r>
        <w:rPr>
          <w:rStyle w:val="italicus"/>
        </w:rPr>
        <w:t xml:space="preserve">$ </w:t>
      </w:r>
      <w:r w:rsidRPr="0044481F">
        <w:rPr>
          <w:rStyle w:val="italicus"/>
        </w:rPr>
        <w:t>Pensées,</w:t>
      </w:r>
      <w:r>
        <w:t xml:space="preserve"> p. 118, dans l’édition de M. Havet. Comparez la parole analogue de saint Jean Chrysostome : « Les adversaires de la vérité contribuent à répandre ses </w:t>
      </w:r>
      <w:r w:rsidRPr="002E1669">
        <w:t>enseignements »,</w:t>
      </w:r>
      <w:r w:rsidRPr="0044481F">
        <w:rPr>
          <w:rStyle w:val="italicus"/>
        </w:rPr>
        <w:t xml:space="preserve"> Homil.</w:t>
      </w:r>
      <w:r>
        <w:t xml:space="preserve"> V</w:t>
      </w:r>
      <w:r w:rsidRPr="0044481F">
        <w:rPr>
          <w:rStyle w:val="italicus"/>
        </w:rPr>
        <w:t xml:space="preserve"> in Gen.,</w:t>
      </w:r>
      <w:r>
        <w:t xml:space="preserve"> n° 4 ; et cette autre de saint Bernard,</w:t>
      </w:r>
      <w:r w:rsidRPr="0044481F">
        <w:rPr>
          <w:rStyle w:val="italicus"/>
        </w:rPr>
        <w:t xml:space="preserve"> Serm.</w:t>
      </w:r>
      <w:r>
        <w:t xml:space="preserve"> XXX</w:t>
      </w:r>
      <w:r w:rsidRPr="0044481F">
        <w:rPr>
          <w:rStyle w:val="italicus"/>
        </w:rPr>
        <w:t xml:space="preserve"> in Cant., n°</w:t>
      </w:r>
      <w:r>
        <w:t xml:space="preserve"> 1 : « Qui nocére inténdunt Ecclésiæ prosunt et noléntes ». </w:t>
      </w:r>
    </w:p>
  </w:footnote>
  <w:footnote w:id="455">
    <w:p w:rsidR="007F47B8" w:rsidRPr="00D26D04" w:rsidRDefault="007F47B8" w:rsidP="00C31960">
      <w:pPr>
        <w:pStyle w:val="Notedebasdepage"/>
      </w:pPr>
      <w:r>
        <w:rPr>
          <w:sz w:val="19"/>
          <w:szCs w:val="19"/>
        </w:rPr>
        <w:footnoteRef/>
      </w:r>
      <w:r>
        <w:rPr>
          <w:i/>
          <w:iCs/>
          <w:sz w:val="19"/>
          <w:szCs w:val="19"/>
        </w:rPr>
        <w:t xml:space="preserve"> Les Évangiles.</w:t>
      </w:r>
      <w:r>
        <w:rPr>
          <w:sz w:val="19"/>
          <w:szCs w:val="19"/>
        </w:rPr>
        <w:t xml:space="preserve"> — « Il faut savoir ici se contenter de</w:t>
      </w:r>
      <w:r>
        <w:t xml:space="preserve">$ Première année, t. II, n° 5, pp. 157-221. </w:t>
      </w:r>
    </w:p>
  </w:footnote>
  <w:footnote w:id="456">
    <w:p w:rsidR="007F47B8" w:rsidRPr="00D26D04" w:rsidRDefault="007F47B8" w:rsidP="00C31960">
      <w:pPr>
        <w:pStyle w:val="Notedebasdepage"/>
      </w:pPr>
      <w:r>
        <w:rPr>
          <w:rStyle w:val="Appelnotedebasdep"/>
        </w:rPr>
        <w:footnoteRef/>
      </w:r>
      <w:r>
        <w:t xml:space="preserve"> $</w:t>
      </w:r>
      <w:r>
        <w:rPr>
          <w:rStyle w:val="italicus"/>
        </w:rPr>
        <w:t xml:space="preserve"> </w:t>
      </w:r>
      <w:r w:rsidRPr="0044481F">
        <w:rPr>
          <w:rStyle w:val="italicus"/>
        </w:rPr>
        <w:t>L. c.,</w:t>
      </w:r>
      <w:r>
        <w:t xml:space="preserve"> p. 203. </w:t>
      </w:r>
    </w:p>
  </w:footnote>
  <w:footnote w:id="457">
    <w:p w:rsidR="007F47B8" w:rsidRPr="00D26D04" w:rsidRDefault="007F47B8" w:rsidP="00C31960">
      <w:pPr>
        <w:pStyle w:val="Notedebasdepage"/>
      </w:pPr>
      <w:r>
        <w:rPr>
          <w:rStyle w:val="Appelnotedebasdep"/>
        </w:rPr>
        <w:footnoteRef/>
      </w:r>
      <w:r>
        <w:t xml:space="preserve"> $ Le lecteur sait qu’on nomme ainsi les trois premiers évangiles. </w:t>
      </w:r>
    </w:p>
  </w:footnote>
  <w:footnote w:id="458">
    <w:p w:rsidR="007F47B8" w:rsidRPr="00D26D04" w:rsidRDefault="007F47B8" w:rsidP="00C31960">
      <w:pPr>
        <w:pStyle w:val="Notedebasdepage"/>
      </w:pPr>
      <w:r>
        <w:rPr>
          <w:rStyle w:val="Appelnotedebasdep"/>
        </w:rPr>
        <w:footnoteRef/>
      </w:r>
      <w:r>
        <w:t xml:space="preserve"> $ Page 204. </w:t>
      </w:r>
    </w:p>
  </w:footnote>
  <w:footnote w:id="459">
    <w:p w:rsidR="007F47B8" w:rsidRPr="00D26D04" w:rsidRDefault="007F47B8" w:rsidP="00C31960">
      <w:pPr>
        <w:pStyle w:val="Notedebasdepage"/>
      </w:pPr>
      <w:r>
        <w:rPr>
          <w:rStyle w:val="Appelnotedebasdep"/>
        </w:rPr>
        <w:footnoteRef/>
      </w:r>
      <w:r>
        <w:t xml:space="preserve"> $ Page 216. </w:t>
      </w:r>
    </w:p>
  </w:footnote>
  <w:footnote w:id="460">
    <w:p w:rsidR="007F47B8" w:rsidRPr="00D26D04" w:rsidRDefault="007F47B8" w:rsidP="00C31960">
      <w:pPr>
        <w:pStyle w:val="Notedebasdepage"/>
      </w:pPr>
      <w:r>
        <w:rPr>
          <w:rStyle w:val="Appelnotedebasdep"/>
        </w:rPr>
        <w:footnoteRef/>
      </w:r>
      <w:r>
        <w:t xml:space="preserve"> $ Page 217. </w:t>
      </w:r>
    </w:p>
  </w:footnote>
  <w:footnote w:id="461">
    <w:p w:rsidR="007F47B8" w:rsidRPr="00D26D04" w:rsidRDefault="007F47B8" w:rsidP="00C31960">
      <w:pPr>
        <w:pStyle w:val="Notedebasdepage"/>
      </w:pPr>
      <w:r>
        <w:rPr>
          <w:rStyle w:val="Appelnotedebasdep"/>
        </w:rPr>
        <w:footnoteRef/>
      </w:r>
      <w:r>
        <w:t xml:space="preserve"> $ Page 218. </w:t>
      </w:r>
    </w:p>
  </w:footnote>
  <w:footnote w:id="462">
    <w:p w:rsidR="007F47B8" w:rsidRPr="00D26D04" w:rsidRDefault="007F47B8" w:rsidP="00C31960">
      <w:pPr>
        <w:pStyle w:val="Notedebasdepage"/>
      </w:pPr>
      <w:r>
        <w:rPr>
          <w:rStyle w:val="Appelnotedebasdep"/>
        </w:rPr>
        <w:footnoteRef/>
      </w:r>
      <w:r>
        <w:t xml:space="preserve"> $ Page 205. </w:t>
      </w:r>
    </w:p>
  </w:footnote>
  <w:footnote w:id="463">
    <w:p w:rsidR="007F47B8" w:rsidRPr="00D26D04" w:rsidRDefault="007F47B8" w:rsidP="00C31960">
      <w:pPr>
        <w:pStyle w:val="Notedebasdepage"/>
      </w:pPr>
      <w:r>
        <w:rPr>
          <w:rStyle w:val="Appelnotedebasdep"/>
        </w:rPr>
        <w:footnoteRef/>
      </w:r>
      <w:r>
        <w:t xml:space="preserve"> $ Page 205. </w:t>
      </w:r>
    </w:p>
  </w:footnote>
  <w:footnote w:id="464">
    <w:p w:rsidR="007F47B8" w:rsidRPr="00D26D04" w:rsidRDefault="007F47B8" w:rsidP="00C31960">
      <w:pPr>
        <w:pStyle w:val="Notedebasdepage"/>
      </w:pPr>
      <w:r>
        <w:rPr>
          <w:rStyle w:val="Appelnotedebasdep"/>
        </w:rPr>
        <w:footnoteRef/>
      </w:r>
      <w:r>
        <w:t xml:space="preserve"> $ Page 206. </w:t>
      </w:r>
    </w:p>
  </w:footnote>
  <w:footnote w:id="465">
    <w:p w:rsidR="007F47B8" w:rsidRPr="00D26D04" w:rsidRDefault="007F47B8" w:rsidP="00C31960">
      <w:pPr>
        <w:pStyle w:val="Notedebasdepage"/>
      </w:pPr>
      <w:r>
        <w:rPr>
          <w:rStyle w:val="Appelnotedebasdep"/>
        </w:rPr>
        <w:footnoteRef/>
      </w:r>
      <w:r>
        <w:t xml:space="preserve"> $ Page 205. </w:t>
      </w:r>
    </w:p>
  </w:footnote>
  <w:footnote w:id="466">
    <w:p w:rsidR="007F47B8" w:rsidRPr="00D26D04" w:rsidRDefault="007F47B8" w:rsidP="00C31960">
      <w:pPr>
        <w:pStyle w:val="Notedebasdepage"/>
      </w:pPr>
      <w:r>
        <w:rPr>
          <w:rStyle w:val="Appelnotedebasdep"/>
        </w:rPr>
        <w:footnoteRef/>
      </w:r>
      <w:r>
        <w:t xml:space="preserve"> $ Page 206. </w:t>
      </w:r>
    </w:p>
  </w:footnote>
  <w:footnote w:id="467">
    <w:p w:rsidR="007F47B8" w:rsidRPr="00D26D04" w:rsidRDefault="007F47B8" w:rsidP="00C31960">
      <w:pPr>
        <w:pStyle w:val="Notedebasdepage"/>
      </w:pPr>
      <w:r>
        <w:rPr>
          <w:rStyle w:val="Appelnotedebasdep"/>
        </w:rPr>
        <w:footnoteRef/>
      </w:r>
      <w:r>
        <w:t xml:space="preserve"> $ Page 208. </w:t>
      </w:r>
    </w:p>
  </w:footnote>
  <w:footnote w:id="468">
    <w:p w:rsidR="007F47B8" w:rsidRPr="00D26D04" w:rsidRDefault="007F47B8" w:rsidP="00C31960">
      <w:pPr>
        <w:pStyle w:val="Notedebasdepage"/>
      </w:pPr>
      <w:r>
        <w:rPr>
          <w:rStyle w:val="Appelnotedebasdep"/>
        </w:rPr>
        <w:footnoteRef/>
      </w:r>
      <w:r>
        <w:t xml:space="preserve"> $ Page 208. </w:t>
      </w:r>
    </w:p>
  </w:footnote>
  <w:footnote w:id="469">
    <w:p w:rsidR="007F47B8" w:rsidRDefault="007F47B8" w:rsidP="00C31960">
      <w:pPr>
        <w:pStyle w:val="Notedebasdepage"/>
      </w:pPr>
      <w:r>
        <w:rPr>
          <w:rStyle w:val="Appelnotedebasdep"/>
        </w:rPr>
        <w:footnoteRef/>
      </w:r>
      <w:r>
        <w:t xml:space="preserve"> $ Page 209</w:t>
      </w:r>
      <w:r w:rsidRPr="0011183B">
        <w:t xml:space="preserve">. </w:t>
      </w:r>
    </w:p>
  </w:footnote>
  <w:footnote w:id="470">
    <w:p w:rsidR="007F47B8" w:rsidRPr="00D26D04" w:rsidRDefault="007F47B8" w:rsidP="00C31960">
      <w:pPr>
        <w:pStyle w:val="Notedebasdepage"/>
      </w:pPr>
      <w:r>
        <w:rPr>
          <w:rStyle w:val="Appelnotedebasdep"/>
        </w:rPr>
        <w:footnoteRef/>
      </w:r>
      <w:r>
        <w:t xml:space="preserve"> </w:t>
      </w:r>
      <w:r w:rsidRPr="0011183B">
        <w:t xml:space="preserve">$ </w:t>
      </w:r>
      <w:r w:rsidRPr="0044481F">
        <w:rPr>
          <w:rStyle w:val="italicus"/>
        </w:rPr>
        <w:t>Ibid.</w:t>
      </w:r>
      <w:r>
        <w:t xml:space="preserve"> </w:t>
      </w:r>
    </w:p>
  </w:footnote>
  <w:footnote w:id="471">
    <w:p w:rsidR="007F47B8" w:rsidRPr="00D26D04" w:rsidRDefault="007F47B8" w:rsidP="00C31960">
      <w:pPr>
        <w:pStyle w:val="Notedebasdepage"/>
      </w:pPr>
      <w:r>
        <w:rPr>
          <w:rStyle w:val="Appelnotedebasdep"/>
        </w:rPr>
        <w:footnoteRef/>
      </w:r>
      <w:r>
        <w:t xml:space="preserve"> $ Chacun sait qu’il a mis autrefois les prophètes en « coupes réglées », aux grands applaudissements de M. Renan. Voyez</w:t>
      </w:r>
      <w:r w:rsidRPr="0044481F">
        <w:rPr>
          <w:rStyle w:val="italicus"/>
        </w:rPr>
        <w:t xml:space="preserve"> La Controverse,</w:t>
      </w:r>
      <w:r>
        <w:t xml:space="preserve"> 8</w:t>
      </w:r>
      <w:r>
        <w:rPr>
          <w:vertAlign w:val="superscript"/>
        </w:rPr>
        <w:t>e</w:t>
      </w:r>
      <w:r>
        <w:t xml:space="preserve"> livraison, p. 352. </w:t>
      </w:r>
    </w:p>
  </w:footnote>
  <w:footnote w:id="472">
    <w:p w:rsidR="007F47B8" w:rsidRPr="00D26D04" w:rsidRDefault="007F47B8" w:rsidP="00C31960">
      <w:pPr>
        <w:pStyle w:val="Notedebasdepage"/>
      </w:pPr>
      <w:r>
        <w:rPr>
          <w:rStyle w:val="Appelnotedebasdep"/>
        </w:rPr>
        <w:footnoteRef/>
      </w:r>
      <w:r>
        <w:t xml:space="preserve"> $ Page 209. </w:t>
      </w:r>
    </w:p>
  </w:footnote>
  <w:footnote w:id="473">
    <w:p w:rsidR="007F47B8" w:rsidRPr="00D26D04" w:rsidRDefault="007F47B8" w:rsidP="00C31960">
      <w:pPr>
        <w:pStyle w:val="Notedebasdepage"/>
      </w:pPr>
      <w:r>
        <w:rPr>
          <w:rStyle w:val="Appelnotedebasdep"/>
        </w:rPr>
        <w:footnoteRef/>
      </w:r>
      <w:r>
        <w:t xml:space="preserve"> $ Pages 214, 215. </w:t>
      </w:r>
    </w:p>
  </w:footnote>
  <w:footnote w:id="474">
    <w:p w:rsidR="007F47B8" w:rsidRPr="00D26D04" w:rsidRDefault="007F47B8" w:rsidP="00C31960">
      <w:pPr>
        <w:pStyle w:val="Notedebasdepage"/>
      </w:pPr>
      <w:r>
        <w:rPr>
          <w:rStyle w:val="Appelnotedebasdep"/>
        </w:rPr>
        <w:footnoteRef/>
      </w:r>
      <w:r>
        <w:t xml:space="preserve"> $ Page 215. </w:t>
      </w:r>
    </w:p>
  </w:footnote>
  <w:footnote w:id="475">
    <w:p w:rsidR="007F47B8" w:rsidRPr="00D26D04" w:rsidRDefault="007F47B8" w:rsidP="00C31960">
      <w:pPr>
        <w:pStyle w:val="Notedebasdepage"/>
      </w:pPr>
      <w:r>
        <w:rPr>
          <w:rStyle w:val="Appelnotedebasdep"/>
        </w:rPr>
        <w:footnoteRef/>
      </w:r>
      <w:r>
        <w:t xml:space="preserve"> $ Page 216. </w:t>
      </w:r>
    </w:p>
  </w:footnote>
  <w:footnote w:id="476">
    <w:p w:rsidR="007F47B8" w:rsidRPr="00D26D04" w:rsidRDefault="007F47B8" w:rsidP="00C31960">
      <w:pPr>
        <w:pStyle w:val="Notedebasdepage"/>
      </w:pPr>
      <w:r>
        <w:rPr>
          <w:rStyle w:val="Appelnotedebasdep"/>
        </w:rPr>
        <w:footnoteRef/>
      </w:r>
      <w:r>
        <w:t xml:space="preserve"> $ Page 221. </w:t>
      </w:r>
    </w:p>
  </w:footnote>
  <w:footnote w:id="477">
    <w:p w:rsidR="007F47B8" w:rsidRPr="00D26D04" w:rsidRDefault="007F47B8" w:rsidP="00C31960">
      <w:pPr>
        <w:pStyle w:val="Notedebasdepage"/>
      </w:pPr>
      <w:r>
        <w:rPr>
          <w:rStyle w:val="Appelnotedebasdep"/>
        </w:rPr>
        <w:footnoteRef/>
      </w:r>
      <w:r>
        <w:t xml:space="preserve"> $ Page 210. </w:t>
      </w:r>
    </w:p>
  </w:footnote>
  <w:footnote w:id="478">
    <w:p w:rsidR="007F47B8" w:rsidRPr="00D26D04" w:rsidRDefault="007F47B8" w:rsidP="00C31960">
      <w:pPr>
        <w:pStyle w:val="Notedebasdepage"/>
      </w:pPr>
      <w:r>
        <w:rPr>
          <w:rStyle w:val="Appelnotedebasdep"/>
        </w:rPr>
        <w:footnoteRef/>
      </w:r>
      <w:r>
        <w:t xml:space="preserve"> $ Page 211. </w:t>
      </w:r>
    </w:p>
  </w:footnote>
  <w:footnote w:id="479">
    <w:p w:rsidR="007F47B8" w:rsidRPr="00D26D04" w:rsidRDefault="007F47B8" w:rsidP="00C31960">
      <w:pPr>
        <w:pStyle w:val="Notedebasdepage"/>
      </w:pPr>
      <w:r>
        <w:rPr>
          <w:rStyle w:val="Appelnotedebasdep"/>
        </w:rPr>
        <w:footnoteRef/>
      </w:r>
      <w:r>
        <w:t xml:space="preserve"> $ Page 211. </w:t>
      </w:r>
    </w:p>
  </w:footnote>
  <w:footnote w:id="480">
    <w:p w:rsidR="007F47B8" w:rsidRPr="00D26D04" w:rsidRDefault="007F47B8" w:rsidP="00C31960">
      <w:pPr>
        <w:pStyle w:val="Notedebasdepage"/>
      </w:pPr>
      <w:r>
        <w:rPr>
          <w:rStyle w:val="Appelnotedebasdep"/>
        </w:rPr>
        <w:footnoteRef/>
      </w:r>
      <w:r>
        <w:t xml:space="preserve"> $ Page 212. </w:t>
      </w:r>
    </w:p>
  </w:footnote>
  <w:footnote w:id="481">
    <w:p w:rsidR="007F47B8" w:rsidRPr="00D26D04" w:rsidRDefault="007F47B8" w:rsidP="00C31960">
      <w:pPr>
        <w:pStyle w:val="Notedebasdepage"/>
      </w:pPr>
      <w:r>
        <w:rPr>
          <w:rStyle w:val="Appelnotedebasdep"/>
        </w:rPr>
        <w:footnoteRef/>
      </w:r>
      <w:r>
        <w:t xml:space="preserve"> $ Page 221. </w:t>
      </w:r>
    </w:p>
  </w:footnote>
  <w:footnote w:id="482">
    <w:p w:rsidR="007F47B8" w:rsidRPr="00D26D04" w:rsidRDefault="007F47B8" w:rsidP="00C31960">
      <w:pPr>
        <w:pStyle w:val="Notedebasdepage"/>
      </w:pPr>
      <w:r>
        <w:rPr>
          <w:rStyle w:val="Appelnotedebasdep"/>
        </w:rPr>
        <w:footnoteRef/>
      </w:r>
      <w:r>
        <w:t xml:space="preserve"> $ Il n’emploie pourtant pas cette expression. </w:t>
      </w:r>
    </w:p>
  </w:footnote>
  <w:footnote w:id="483">
    <w:p w:rsidR="007F47B8" w:rsidRPr="00D26D04" w:rsidRDefault="007F47B8" w:rsidP="00C31960">
      <w:pPr>
        <w:pStyle w:val="Notedebasdepage"/>
      </w:pPr>
      <w:r>
        <w:rPr>
          <w:rStyle w:val="Appelnotedebasdep"/>
        </w:rPr>
        <w:footnoteRef/>
      </w:r>
      <w:r>
        <w:t xml:space="preserve"> $ Page 221. </w:t>
      </w:r>
    </w:p>
  </w:footnote>
  <w:footnote w:id="484">
    <w:p w:rsidR="007F47B8" w:rsidRDefault="007F47B8" w:rsidP="00C31960">
      <w:pPr>
        <w:pStyle w:val="Notedebasdepage"/>
      </w:pPr>
      <w:r>
        <w:rPr>
          <w:rStyle w:val="Appelnotedebasdep"/>
        </w:rPr>
        <w:footnoteRef/>
      </w:r>
      <w:r>
        <w:t xml:space="preserve"> </w:t>
      </w:r>
      <w:r w:rsidRPr="002E1669">
        <w:t xml:space="preserve">$ Dans notre </w:t>
      </w:r>
      <w:r w:rsidRPr="0044481F">
        <w:rPr>
          <w:rStyle w:val="italicus"/>
        </w:rPr>
        <w:t xml:space="preserve">Introduction générale aux SS. Évangiles </w:t>
      </w:r>
      <w:r w:rsidRPr="002E1669">
        <w:t xml:space="preserve">(Bible de M. Lethielleux). </w:t>
      </w:r>
    </w:p>
  </w:footnote>
  <w:footnote w:id="485">
    <w:p w:rsidR="007F47B8" w:rsidRPr="00D26D04" w:rsidRDefault="007F47B8" w:rsidP="00C31960">
      <w:pPr>
        <w:pStyle w:val="Notedebasdepage"/>
      </w:pPr>
      <w:r>
        <w:rPr>
          <w:rStyle w:val="Appelnotedebasdep"/>
        </w:rPr>
        <w:footnoteRef/>
      </w:r>
      <w:r>
        <w:t xml:space="preserve"> $ </w:t>
      </w:r>
      <w:r w:rsidRPr="0044481F">
        <w:rPr>
          <w:rStyle w:val="italicus"/>
        </w:rPr>
        <w:t>Jésus et les Évangiles,</w:t>
      </w:r>
      <w:r>
        <w:t xml:space="preserve"> Paris, 1878, pp. 36 et 37. </w:t>
      </w:r>
    </w:p>
  </w:footnote>
  <w:footnote w:id="486">
    <w:p w:rsidR="007F47B8" w:rsidRPr="00D26D04" w:rsidRDefault="007F47B8" w:rsidP="00C31960">
      <w:pPr>
        <w:pStyle w:val="Notedebasdepage"/>
        <w:rPr>
          <w:lang w:val="en-US"/>
        </w:rPr>
      </w:pPr>
      <w:r>
        <w:rPr>
          <w:rStyle w:val="Appelnotedebasdep"/>
        </w:rPr>
        <w:footnoteRef/>
      </w:r>
      <w:r>
        <w:t xml:space="preserve"> $ Qui ne connaît son minutieux travail sur les anciennes versions grecques et sur le texte hébreu, connu sous le nom d</w:t>
      </w:r>
      <w:r w:rsidRPr="0044481F">
        <w:rPr>
          <w:rStyle w:val="italicus"/>
        </w:rPr>
        <w:t>’Hexaples ?</w:t>
      </w:r>
      <w:r>
        <w:t xml:space="preserve"> </w:t>
      </w:r>
      <w:r w:rsidRPr="00F84A0B">
        <w:rPr>
          <w:lang w:val="en-US"/>
        </w:rPr>
        <w:t>Voyez F. Kaulen,</w:t>
      </w:r>
      <w:r w:rsidRPr="00F84A0B">
        <w:rPr>
          <w:rStyle w:val="italicus"/>
          <w:lang w:val="en-US"/>
        </w:rPr>
        <w:t xml:space="preserve"> Einleitung in die heilige Schrift Alten und Neuen Testaments,</w:t>
      </w:r>
      <w:r w:rsidRPr="00F84A0B">
        <w:rPr>
          <w:lang w:val="en-US"/>
        </w:rPr>
        <w:t xml:space="preserve"> Fribourg, 1876, t. I, pp. 80 et suiv. </w:t>
      </w:r>
    </w:p>
  </w:footnote>
  <w:footnote w:id="487">
    <w:p w:rsidR="007F47B8" w:rsidRPr="00D26D04" w:rsidRDefault="007F47B8" w:rsidP="00C31960">
      <w:pPr>
        <w:pStyle w:val="Notedebasdepage"/>
      </w:pPr>
      <w:r>
        <w:rPr>
          <w:rStyle w:val="Appelnotedebasdep"/>
        </w:rPr>
        <w:footnoteRef/>
      </w:r>
      <w:r>
        <w:t xml:space="preserve"> $ « Il fut le premier qui essaya de réduire à des règles précises la manière d’étudier la sainte Écriture, dans son traité</w:t>
      </w:r>
      <w:r w:rsidRPr="0044481F">
        <w:rPr>
          <w:rStyle w:val="italicus"/>
        </w:rPr>
        <w:t xml:space="preserve"> De doctrina christiána,</w:t>
      </w:r>
      <w:r>
        <w:t xml:space="preserve"> où il posa, pour l’Occident, les bases de l’interprétation grammaticale et historique. » Vigouroux,</w:t>
      </w:r>
      <w:r w:rsidRPr="0044481F">
        <w:rPr>
          <w:rStyle w:val="italicus"/>
        </w:rPr>
        <w:t xml:space="preserve"> Manuel bibl.,</w:t>
      </w:r>
      <w:r>
        <w:t xml:space="preserve"> t. I, p. 276. </w:t>
      </w:r>
    </w:p>
  </w:footnote>
  <w:footnote w:id="488">
    <w:p w:rsidR="007F47B8" w:rsidRPr="00D26D04" w:rsidRDefault="007F47B8" w:rsidP="00C31960">
      <w:pPr>
        <w:pStyle w:val="Notedebasdepage"/>
      </w:pPr>
      <w:r>
        <w:rPr>
          <w:rStyle w:val="Appelnotedebasdep"/>
        </w:rPr>
        <w:footnoteRef/>
      </w:r>
      <w:r>
        <w:t xml:space="preserve"> $ </w:t>
      </w:r>
      <w:r>
        <w:rPr>
          <w:lang w:bidi="he-IL"/>
        </w:rPr>
        <w:t>Ὁ</w:t>
      </w:r>
      <w:r w:rsidRPr="00DD13E8">
        <w:t xml:space="preserve"> </w:t>
      </w:r>
      <w:r>
        <w:t>ἐξ</w:t>
      </w:r>
      <w:r w:rsidRPr="00DD13E8">
        <w:t>ηγητ</w:t>
      </w:r>
      <w:r>
        <w:t>ή</w:t>
      </w:r>
      <w:r w:rsidRPr="00DD13E8">
        <w:t>ς</w:t>
      </w:r>
      <w:r>
        <w:t>. Voyez Kitto,</w:t>
      </w:r>
      <w:r w:rsidRPr="0044481F">
        <w:rPr>
          <w:rStyle w:val="italicus"/>
        </w:rPr>
        <w:t xml:space="preserve"> Cyclopædia of biblical Literature,</w:t>
      </w:r>
      <w:r>
        <w:t xml:space="preserve"> t. I, p. 521 de la 3 » édition, c Chrysostome, dit entre autres choses l’auteur (protestant</w:t>
      </w:r>
      <w:r w:rsidRPr="00BA383E">
        <w:t xml:space="preserve">) </w:t>
      </w:r>
      <w:r>
        <w:t xml:space="preserve">de cet article, réclame une large place dans l’histoire de l’exégèse ». </w:t>
      </w:r>
    </w:p>
  </w:footnote>
  <w:footnote w:id="489">
    <w:p w:rsidR="007F47B8" w:rsidRPr="00D26D04" w:rsidRDefault="007F47B8" w:rsidP="00C31960">
      <w:pPr>
        <w:pStyle w:val="Notedebasdepage"/>
      </w:pPr>
      <w:r>
        <w:rPr>
          <w:rStyle w:val="Appelnotedebasdep"/>
        </w:rPr>
        <w:footnoteRef/>
      </w:r>
      <w:r>
        <w:t xml:space="preserve"> $ Voyez dans F. Vigouroux,</w:t>
      </w:r>
      <w:r w:rsidRPr="0044481F">
        <w:rPr>
          <w:rStyle w:val="italicus"/>
        </w:rPr>
        <w:t xml:space="preserve"> Manuel biblique,</w:t>
      </w:r>
      <w:r>
        <w:t xml:space="preserve"> t. I, p. 268-277 de la 4e édit., un excellent résumé de l’exégèse des Pères de l’Église. </w:t>
      </w:r>
    </w:p>
  </w:footnote>
  <w:footnote w:id="490">
    <w:p w:rsidR="007F47B8" w:rsidRPr="00D26D04" w:rsidRDefault="007F47B8" w:rsidP="00C31960">
      <w:pPr>
        <w:pStyle w:val="Notedebasdepage"/>
      </w:pPr>
      <w:r>
        <w:rPr>
          <w:rStyle w:val="Appelnotedebasdep"/>
        </w:rPr>
        <w:footnoteRef/>
      </w:r>
      <w:r>
        <w:t xml:space="preserve"> $ Voyez le</w:t>
      </w:r>
      <w:r w:rsidRPr="0044481F">
        <w:rPr>
          <w:rStyle w:val="italicus"/>
        </w:rPr>
        <w:t xml:space="preserve"> Dictionnaire encyclopédique de la Théologie catholique,</w:t>
      </w:r>
      <w:r>
        <w:t xml:space="preserve"> par Wetzer et Welte, traduct. française, au mot Simon (Richard). </w:t>
      </w:r>
    </w:p>
  </w:footnote>
  <w:footnote w:id="491">
    <w:p w:rsidR="007F47B8" w:rsidRDefault="007F47B8" w:rsidP="00C31960">
      <w:pPr>
        <w:pStyle w:val="Notedebasdepage"/>
      </w:pPr>
      <w:r>
        <w:rPr>
          <w:rStyle w:val="Appelnotedebasdep"/>
        </w:rPr>
        <w:footnoteRef/>
      </w:r>
      <w:r>
        <w:t xml:space="preserve"> $ </w:t>
      </w:r>
      <w:r w:rsidRPr="0044481F">
        <w:rPr>
          <w:rStyle w:val="italicus"/>
        </w:rPr>
        <w:t xml:space="preserve">Histoire critique du texte du Nouveau Testament, </w:t>
      </w:r>
      <w:r w:rsidRPr="00DD13E8">
        <w:t xml:space="preserve">Préface. </w:t>
      </w:r>
    </w:p>
  </w:footnote>
  <w:footnote w:id="492">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Jésus et les Évangiles, </w:t>
      </w:r>
      <w:r w:rsidRPr="00DD13E8">
        <w:t xml:space="preserve">p. 38. </w:t>
      </w:r>
    </w:p>
  </w:footnote>
  <w:footnote w:id="493">
    <w:p w:rsidR="007F47B8" w:rsidRDefault="007F47B8" w:rsidP="00C31960">
      <w:pPr>
        <w:pStyle w:val="Notedebasdepage"/>
      </w:pPr>
      <w:r>
        <w:rPr>
          <w:rStyle w:val="Appelnotedebasdep"/>
        </w:rPr>
        <w:footnoteRef/>
      </w:r>
      <w:r>
        <w:t xml:space="preserve"> </w:t>
      </w:r>
      <w:r w:rsidRPr="00DD13E8">
        <w:t xml:space="preserve">$ Wetzer et Welte, l. c. </w:t>
      </w:r>
    </w:p>
  </w:footnote>
  <w:footnote w:id="494">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Histoire critique du texte du Nouveau Testament, </w:t>
      </w:r>
      <w:r w:rsidRPr="00DD13E8">
        <w:t xml:space="preserve">Préface. </w:t>
      </w:r>
    </w:p>
  </w:footnote>
  <w:footnote w:id="495">
    <w:p w:rsidR="007F47B8" w:rsidRDefault="007F47B8" w:rsidP="00C31960">
      <w:pPr>
        <w:pStyle w:val="Notedebasdepage"/>
      </w:pPr>
      <w:r>
        <w:rPr>
          <w:rStyle w:val="Appelnotedebasdep"/>
        </w:rPr>
        <w:footnoteRef/>
      </w:r>
      <w:r>
        <w:t xml:space="preserve"> $ </w:t>
      </w:r>
      <w:r w:rsidRPr="0044481F">
        <w:rPr>
          <w:rStyle w:val="italicus"/>
        </w:rPr>
        <w:t xml:space="preserve">Histoire critique des versions, </w:t>
      </w:r>
      <w:r w:rsidRPr="00DD13E8">
        <w:t xml:space="preserve">Avertissement. </w:t>
      </w:r>
    </w:p>
  </w:footnote>
  <w:footnote w:id="496">
    <w:p w:rsidR="007F47B8" w:rsidRPr="00D26D04" w:rsidRDefault="007F47B8" w:rsidP="00C31960">
      <w:pPr>
        <w:pStyle w:val="Notedebasdepage"/>
        <w:rPr>
          <w:i/>
        </w:rPr>
      </w:pPr>
      <w:r>
        <w:rPr>
          <w:rStyle w:val="Appelnotedebasdep"/>
        </w:rPr>
        <w:footnoteRef/>
      </w:r>
      <w:r>
        <w:t xml:space="preserve"> </w:t>
      </w:r>
      <w:r>
        <w:rPr>
          <w:rStyle w:val="italicus"/>
        </w:rPr>
        <w:t xml:space="preserve">$ </w:t>
      </w:r>
      <w:r w:rsidRPr="0044481F">
        <w:rPr>
          <w:rStyle w:val="italicus"/>
        </w:rPr>
        <w:t xml:space="preserve">Histoire critique du Nouveau Testament. </w:t>
      </w:r>
    </w:p>
  </w:footnote>
  <w:footnote w:id="497">
    <w:p w:rsidR="007F47B8" w:rsidRPr="00D26D04" w:rsidRDefault="007F47B8" w:rsidP="00C31960">
      <w:pPr>
        <w:pStyle w:val="Notedebasdepage"/>
      </w:pPr>
      <w:r>
        <w:rPr>
          <w:rStyle w:val="Appelnotedebasdep"/>
        </w:rPr>
        <w:footnoteRef/>
      </w:r>
      <w:r>
        <w:t xml:space="preserve"> </w:t>
      </w:r>
      <w:r>
        <w:rPr>
          <w:rStyle w:val="italicus"/>
        </w:rPr>
        <w:t xml:space="preserve">$ </w:t>
      </w:r>
      <w:r>
        <w:t>C’était le vif désir de M</w:t>
      </w:r>
      <w:r>
        <w:rPr>
          <w:vertAlign w:val="superscript"/>
        </w:rPr>
        <w:t>gr</w:t>
      </w:r>
      <w:r>
        <w:t xml:space="preserve"> Landriot, archevêque de Reims, d’illustre et regrettée mémoire. </w:t>
      </w:r>
    </w:p>
  </w:footnote>
  <w:footnote w:id="498">
    <w:p w:rsidR="007F47B8" w:rsidRPr="00D26D04" w:rsidRDefault="007F47B8" w:rsidP="00C31960">
      <w:pPr>
        <w:pStyle w:val="Notedebasdepage"/>
      </w:pPr>
      <w:r>
        <w:rPr>
          <w:rStyle w:val="Appelnotedebasdep"/>
        </w:rPr>
        <w:footnoteRef/>
      </w:r>
      <w:r>
        <w:t xml:space="preserve"> $ </w:t>
      </w:r>
      <w:r w:rsidRPr="0044481F">
        <w:rPr>
          <w:rStyle w:val="italicus"/>
        </w:rPr>
        <w:t>Œuvres,</w:t>
      </w:r>
      <w:r>
        <w:t xml:space="preserve"> édition de Versailles, t. IV, p. 297 et suiv. </w:t>
      </w:r>
    </w:p>
  </w:footnote>
  <w:footnote w:id="499">
    <w:p w:rsidR="007F47B8" w:rsidRPr="00D26D04" w:rsidRDefault="007F47B8" w:rsidP="00C31960">
      <w:pPr>
        <w:pStyle w:val="Notedebasdepage"/>
      </w:pPr>
      <w:r>
        <w:rPr>
          <w:rStyle w:val="Appelnotedebasdep"/>
        </w:rPr>
        <w:footnoteRef/>
      </w:r>
      <w:r>
        <w:t xml:space="preserve"> $ </w:t>
      </w:r>
      <w:r w:rsidRPr="0044481F">
        <w:rPr>
          <w:rStyle w:val="italicus"/>
        </w:rPr>
        <w:t>Ibid.,</w:t>
      </w:r>
      <w:r>
        <w:t xml:space="preserve"> p. 311 et suiv. </w:t>
      </w:r>
    </w:p>
  </w:footnote>
  <w:footnote w:id="500">
    <w:p w:rsidR="007F47B8" w:rsidRPr="00D26D04" w:rsidRDefault="007F47B8" w:rsidP="00C31960">
      <w:pPr>
        <w:pStyle w:val="Notedebasdepage"/>
      </w:pPr>
      <w:r>
        <w:rPr>
          <w:rStyle w:val="Appelnotedebasdep"/>
        </w:rPr>
        <w:footnoteRef/>
      </w:r>
      <w:r>
        <w:t xml:space="preserve"> $ </w:t>
      </w:r>
      <w:r w:rsidRPr="0044481F">
        <w:rPr>
          <w:rStyle w:val="italicus"/>
        </w:rPr>
        <w:t>Ibid.,</w:t>
      </w:r>
      <w:r>
        <w:t xml:space="preserve"> t. V, p. 1 et suiv. </w:t>
      </w:r>
    </w:p>
  </w:footnote>
  <w:footnote w:id="501">
    <w:p w:rsidR="007F47B8" w:rsidRPr="00D26D04" w:rsidRDefault="007F47B8" w:rsidP="00C31960">
      <w:pPr>
        <w:pStyle w:val="Notedebasdepage"/>
      </w:pPr>
      <w:r>
        <w:rPr>
          <w:rStyle w:val="Appelnotedebasdep"/>
        </w:rPr>
        <w:footnoteRef/>
      </w:r>
      <w:r>
        <w:t xml:space="preserve"> $ Le P. Hurler porte sur lui ce jugement, dans son</w:t>
      </w:r>
      <w:r w:rsidRPr="0044481F">
        <w:rPr>
          <w:rStyle w:val="italicus"/>
        </w:rPr>
        <w:t xml:space="preserve"> Nomenclátor lit</w:t>
      </w:r>
      <w:r>
        <w:rPr>
          <w:rStyle w:val="italicus"/>
        </w:rPr>
        <w:t>t</w:t>
      </w:r>
      <w:r w:rsidRPr="0044481F">
        <w:rPr>
          <w:rStyle w:val="italicus"/>
        </w:rPr>
        <w:t>erárius,</w:t>
      </w:r>
      <w:r>
        <w:t xml:space="preserve"> t. II, p. 739 et suiv. : « Licet fuísse Simónium erudítum, laboriósum, sagáci atque crítico prǽditum judício, unde ut pater sciéntiæ críticæ, quátenus ea spectat SS. Lítteras, audit ; sed negári simul nequit eum fuísse in suis opiniónibus satis singulárem, nimiáque opinándi, judicándi, carpéndi libertáte, imo licéntia abréptum ».On ne pouvait mieux dire en si peu de mots. </w:t>
      </w:r>
    </w:p>
  </w:footnote>
  <w:footnote w:id="502">
    <w:p w:rsidR="007F47B8" w:rsidRPr="00D26D04" w:rsidRDefault="007F47B8" w:rsidP="00C31960">
      <w:pPr>
        <w:pStyle w:val="Notedebasdepage"/>
      </w:pPr>
      <w:r>
        <w:rPr>
          <w:rStyle w:val="Appelnotedebasdep"/>
        </w:rPr>
        <w:footnoteRef/>
      </w:r>
      <w:r>
        <w:t xml:space="preserve"> $ Voir dans Hurter,</w:t>
      </w:r>
      <w:r w:rsidRPr="0044481F">
        <w:rPr>
          <w:rStyle w:val="italicus"/>
        </w:rPr>
        <w:t xml:space="preserve"> Nomenclátor litterárius recentióris</w:t>
      </w:r>
      <w:r>
        <w:rPr>
          <w:rStyle w:val="italicus"/>
        </w:rPr>
        <w:t xml:space="preserve"> theológiæ</w:t>
      </w:r>
      <w:r w:rsidRPr="0044481F">
        <w:rPr>
          <w:rStyle w:val="italicus"/>
        </w:rPr>
        <w:t xml:space="preserve"> cathól</w:t>
      </w:r>
      <w:r>
        <w:rPr>
          <w:rStyle w:val="italicus"/>
        </w:rPr>
        <w:t>icæ</w:t>
      </w:r>
      <w:r w:rsidRPr="0044481F">
        <w:rPr>
          <w:rStyle w:val="italicus"/>
        </w:rPr>
        <w:t>,</w:t>
      </w:r>
      <w:r>
        <w:t xml:space="preserve"> Innspruck, 187</w:t>
      </w:r>
      <w:r w:rsidRPr="00BA383E">
        <w:t xml:space="preserve">) </w:t>
      </w:r>
      <w:r>
        <w:t>et années suivantes, des indications assez complètes sur les exégètes catholiques depuis le concile de Trente. Comparez le</w:t>
      </w:r>
      <w:r w:rsidRPr="0044481F">
        <w:rPr>
          <w:rStyle w:val="italicus"/>
        </w:rPr>
        <w:t xml:space="preserve"> Manuel biblique</w:t>
      </w:r>
      <w:r>
        <w:t xml:space="preserve"> de MM. Vigouroux et Bacuez, t. I, p. 286 et suiv. de la 4e édition. Voyez aussi les</w:t>
      </w:r>
      <w:r w:rsidRPr="0044481F">
        <w:rPr>
          <w:rStyle w:val="italicus"/>
        </w:rPr>
        <w:t xml:space="preserve"> Introductions a l’Ancien et au Nouveau Testament </w:t>
      </w:r>
      <w:r>
        <w:t>de MM. Kaulen, Reusch, Langen,</w:t>
      </w:r>
      <w:r w:rsidRPr="0044481F">
        <w:rPr>
          <w:rStyle w:val="italicus"/>
        </w:rPr>
        <w:t xml:space="preserve"> passim.</w:t>
      </w:r>
      <w:r>
        <w:t xml:space="preserve"> </w:t>
      </w:r>
    </w:p>
  </w:footnote>
  <w:footnote w:id="503">
    <w:p w:rsidR="007F47B8" w:rsidRPr="00D26D04" w:rsidRDefault="007F47B8" w:rsidP="00C31960">
      <w:pPr>
        <w:pStyle w:val="Notedebasdepage"/>
      </w:pPr>
      <w:r>
        <w:rPr>
          <w:rStyle w:val="Appelnotedebasdep"/>
        </w:rPr>
        <w:footnoteRef/>
      </w:r>
      <w:r>
        <w:t xml:space="preserve"> $ Faisons remarquer à ce propos, que toutes les anciennes Polyglottes, à part une, celle de Walton, ont eu des catholiques pour auteurs. Ce sont pourtant des œuvres de critique ! </w:t>
      </w:r>
    </w:p>
  </w:footnote>
  <w:footnote w:id="504">
    <w:p w:rsidR="007F47B8" w:rsidRPr="00D26D04" w:rsidRDefault="007F47B8" w:rsidP="00C31960">
      <w:pPr>
        <w:pStyle w:val="Notedebasdepage"/>
      </w:pPr>
      <w:r>
        <w:rPr>
          <w:rStyle w:val="Appelnotedebasdep"/>
        </w:rPr>
        <w:footnoteRef/>
      </w:r>
      <w:r>
        <w:t xml:space="preserve"> $ Voyez, dans la</w:t>
      </w:r>
      <w:r w:rsidRPr="0044481F">
        <w:rPr>
          <w:rStyle w:val="italicus"/>
        </w:rPr>
        <w:t xml:space="preserve"> Revue des sciences ecclésiastiques,</w:t>
      </w:r>
      <w:r>
        <w:t xml:space="preserve"> mars 1869, une notice biographique sur ce prêtre non moins savant que modeste. Cf. aussi le</w:t>
      </w:r>
      <w:r w:rsidRPr="0044481F">
        <w:rPr>
          <w:rStyle w:val="italicus"/>
        </w:rPr>
        <w:t xml:space="preserve"> Journal asiatique,</w:t>
      </w:r>
      <w:r>
        <w:t xml:space="preserve"> année 1868, n° de juillet-août. On a de lui :</w:t>
      </w:r>
      <w:r w:rsidRPr="0044481F">
        <w:rPr>
          <w:rStyle w:val="italicus"/>
        </w:rPr>
        <w:t xml:space="preserve"> Études bibliques,</w:t>
      </w:r>
      <w:r>
        <w:t xml:space="preserve"> 2 vol. in-8°, 1869 ;</w:t>
      </w:r>
      <w:r w:rsidRPr="0044481F">
        <w:rPr>
          <w:rStyle w:val="italicus"/>
        </w:rPr>
        <w:t xml:space="preserve"> Le Livre de Job,</w:t>
      </w:r>
      <w:r>
        <w:t xml:space="preserve"> 1873 ;</w:t>
      </w:r>
      <w:r w:rsidRPr="0044481F">
        <w:rPr>
          <w:rStyle w:val="italicus"/>
        </w:rPr>
        <w:t xml:space="preserve"> Les Psaumes,</w:t>
      </w:r>
      <w:r>
        <w:t xml:space="preserve"> 1876 ; </w:t>
      </w:r>
      <w:r w:rsidRPr="0044481F">
        <w:rPr>
          <w:rStyle w:val="italicus"/>
        </w:rPr>
        <w:t>Les trois grands prophètes, Isaïe, Jérémie, Ézéchiel,</w:t>
      </w:r>
      <w:r>
        <w:t xml:space="preserve"> 1877 ;</w:t>
      </w:r>
      <w:r w:rsidRPr="0044481F">
        <w:rPr>
          <w:rStyle w:val="italicus"/>
        </w:rPr>
        <w:t xml:space="preserve"> Le Cantique des cantiques,</w:t>
      </w:r>
      <w:r>
        <w:t xml:space="preserve"> 1883 (tous ces volumes ont été édités par M. Grandvaux). </w:t>
      </w:r>
    </w:p>
  </w:footnote>
  <w:footnote w:id="505">
    <w:p w:rsidR="007F47B8" w:rsidRDefault="007F47B8" w:rsidP="00C31960">
      <w:pPr>
        <w:pStyle w:val="Notedebasdepage"/>
      </w:pPr>
      <w:r>
        <w:rPr>
          <w:rStyle w:val="Appelnotedebasdep"/>
        </w:rPr>
        <w:footnoteRef/>
      </w:r>
      <w:r>
        <w:t xml:space="preserve"> $ </w:t>
      </w:r>
      <w:r w:rsidRPr="0044481F">
        <w:rPr>
          <w:rStyle w:val="italicus"/>
        </w:rPr>
        <w:t xml:space="preserve">Introduction historique et critique aux livres de l’Ancien et du Nouveau Testament, plusieurs éditions ; La Sainte Bible selon la Vulgate, </w:t>
      </w:r>
      <w:r w:rsidRPr="008A0042">
        <w:t xml:space="preserve">4 vol. in-12, 1873 ; une grammaire et un lexique de la langue hébraïque ; etc. </w:t>
      </w:r>
    </w:p>
  </w:footnote>
  <w:footnote w:id="506">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La Bible et les découvertes modernes en Palestine, en Égypte et en Assyrie</w:t>
      </w:r>
      <w:r w:rsidRPr="008A0042">
        <w:t>, 4 vol. ;</w:t>
      </w:r>
      <w:r w:rsidRPr="0044481F">
        <w:rPr>
          <w:rStyle w:val="italicus"/>
        </w:rPr>
        <w:t xml:space="preserve"> Mélanges bibliques, </w:t>
      </w:r>
      <w:r w:rsidRPr="008A0042">
        <w:t>1882 ;</w:t>
      </w:r>
      <w:r w:rsidRPr="0044481F">
        <w:rPr>
          <w:rStyle w:val="italicus"/>
        </w:rPr>
        <w:t xml:space="preserve"> La Bible et la Critique, </w:t>
      </w:r>
      <w:r w:rsidRPr="008A0042">
        <w:t xml:space="preserve">1883. Tous ouvrages remarquables. </w:t>
      </w:r>
    </w:p>
  </w:footnote>
  <w:footnote w:id="507">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L’Égypte et Moïse, </w:t>
      </w:r>
      <w:r w:rsidRPr="008A0042">
        <w:t xml:space="preserve">1875. </w:t>
      </w:r>
    </w:p>
  </w:footnote>
  <w:footnote w:id="508">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La</w:t>
      </w:r>
      <w:r>
        <w:rPr>
          <w:rStyle w:val="italicus"/>
        </w:rPr>
        <w:t xml:space="preserve"> </w:t>
      </w:r>
      <w:r w:rsidRPr="0044481F">
        <w:rPr>
          <w:rStyle w:val="italicus"/>
        </w:rPr>
        <w:t xml:space="preserve">religion en face de la science, </w:t>
      </w:r>
      <w:r w:rsidRPr="008A0042">
        <w:t xml:space="preserve">4 vol. in-8°, 1877-1883. </w:t>
      </w:r>
    </w:p>
  </w:footnote>
  <w:footnote w:id="509">
    <w:p w:rsidR="007F47B8" w:rsidRPr="00D26D04" w:rsidRDefault="007F47B8" w:rsidP="00C31960">
      <w:pPr>
        <w:pStyle w:val="Notedebasdepage"/>
      </w:pPr>
      <w:r>
        <w:rPr>
          <w:rStyle w:val="Appelnotedebasdep"/>
        </w:rPr>
        <w:footnoteRef/>
      </w:r>
      <w:r>
        <w:t xml:space="preserve"> </w:t>
      </w:r>
      <w:r w:rsidRPr="008A0042">
        <w:t xml:space="preserve">$ </w:t>
      </w:r>
      <w:r>
        <w:t>A</w:t>
      </w:r>
      <w:r w:rsidRPr="008A0042">
        <w:t xml:space="preserve"> collaboré avec M. Vigouroux à </w:t>
      </w:r>
      <w:r>
        <w:t>l’excellent</w:t>
      </w:r>
      <w:r w:rsidRPr="0044481F">
        <w:rPr>
          <w:rStyle w:val="italicus"/>
        </w:rPr>
        <w:t xml:space="preserve"> Manuel biblique.</w:t>
      </w:r>
      <w:r>
        <w:t xml:space="preserve"> </w:t>
      </w:r>
    </w:p>
  </w:footnote>
  <w:footnote w:id="510">
    <w:p w:rsidR="007F47B8" w:rsidRPr="00D26D04" w:rsidRDefault="007F47B8" w:rsidP="00C31960">
      <w:pPr>
        <w:pStyle w:val="Notedebasdepage"/>
      </w:pPr>
      <w:r>
        <w:rPr>
          <w:rStyle w:val="Appelnotedebasdep"/>
        </w:rPr>
        <w:footnoteRef/>
      </w:r>
      <w:r>
        <w:t xml:space="preserve"> $ </w:t>
      </w:r>
      <w:r w:rsidRPr="0044481F">
        <w:rPr>
          <w:rStyle w:val="italicus"/>
        </w:rPr>
        <w:t>Josué,</w:t>
      </w:r>
      <w:r>
        <w:t xml:space="preserve"> 1877 ;</w:t>
      </w:r>
      <w:r w:rsidRPr="0044481F">
        <w:rPr>
          <w:rStyle w:val="italicus"/>
        </w:rPr>
        <w:t xml:space="preserve"> Les Juges,</w:t>
      </w:r>
      <w:r>
        <w:t xml:space="preserve"> 1878 ; </w:t>
      </w:r>
      <w:r w:rsidRPr="008A0042">
        <w:rPr>
          <w:rStyle w:val="italicus"/>
        </w:rPr>
        <w:t>Les livres des Rois,</w:t>
      </w:r>
      <w:r>
        <w:t xml:space="preserve"> 1879 ;</w:t>
      </w:r>
      <w:r w:rsidRPr="0044481F">
        <w:rPr>
          <w:rStyle w:val="italicus"/>
        </w:rPr>
        <w:t xml:space="preserve"> Les Paralipomènes,</w:t>
      </w:r>
      <w:r>
        <w:t xml:space="preserve"> 1880, dans la Bible de M. Lethielleux. </w:t>
      </w:r>
    </w:p>
  </w:footnote>
  <w:footnote w:id="511">
    <w:p w:rsidR="007F47B8" w:rsidRDefault="007F47B8" w:rsidP="00C31960">
      <w:pPr>
        <w:pStyle w:val="Notedebasdepage"/>
      </w:pPr>
      <w:r>
        <w:rPr>
          <w:rStyle w:val="Appelnotedebasdep"/>
        </w:rPr>
        <w:footnoteRef/>
      </w:r>
      <w:r>
        <w:t xml:space="preserve"> $ </w:t>
      </w:r>
      <w:r w:rsidRPr="0044481F">
        <w:rPr>
          <w:rStyle w:val="italicus"/>
        </w:rPr>
        <w:t xml:space="preserve">Les quatre Évangiles, </w:t>
      </w:r>
      <w:r w:rsidRPr="008A0042">
        <w:t>1864 ;</w:t>
      </w:r>
      <w:r w:rsidRPr="0044481F">
        <w:rPr>
          <w:rStyle w:val="italicus"/>
        </w:rPr>
        <w:t xml:space="preserve"> Les Actes des Apôtres, </w:t>
      </w:r>
      <w:r w:rsidRPr="008A0042">
        <w:t xml:space="preserve">1872. </w:t>
      </w:r>
    </w:p>
  </w:footnote>
  <w:footnote w:id="512">
    <w:p w:rsidR="007F47B8" w:rsidRPr="00D26D04" w:rsidRDefault="007F47B8" w:rsidP="00C31960">
      <w:pPr>
        <w:pStyle w:val="Notedebasdepage"/>
      </w:pPr>
      <w:r>
        <w:rPr>
          <w:rStyle w:val="Appelnotedebasdep"/>
        </w:rPr>
        <w:footnoteRef/>
      </w:r>
      <w:r>
        <w:t xml:space="preserve"> </w:t>
      </w:r>
      <w:r>
        <w:rPr>
          <w:rStyle w:val="italicus"/>
        </w:rPr>
        <w:t xml:space="preserve">$ </w:t>
      </w:r>
      <w:r w:rsidRPr="0044481F">
        <w:rPr>
          <w:rStyle w:val="italicus"/>
        </w:rPr>
        <w:t>Les Actes des Apôtres</w:t>
      </w:r>
      <w:r>
        <w:t xml:space="preserve"> (Bible de M. Lethielleux</w:t>
      </w:r>
      <w:r w:rsidRPr="00BA383E">
        <w:t xml:space="preserve">), </w:t>
      </w:r>
      <w:r>
        <w:t xml:space="preserve">1883. </w:t>
      </w:r>
    </w:p>
  </w:footnote>
  <w:footnote w:id="513">
    <w:p w:rsidR="007F47B8" w:rsidRDefault="007F47B8" w:rsidP="00C31960">
      <w:pPr>
        <w:pStyle w:val="Notedebasdepage"/>
      </w:pPr>
      <w:r>
        <w:rPr>
          <w:rStyle w:val="Appelnotedebasdep"/>
        </w:rPr>
        <w:footnoteRef/>
      </w:r>
      <w:r>
        <w:t xml:space="preserve"> $ </w:t>
      </w:r>
      <w:r w:rsidRPr="0044481F">
        <w:rPr>
          <w:rStyle w:val="italicus"/>
        </w:rPr>
        <w:t xml:space="preserve">L’Évangile médité, défendu et expliqué, </w:t>
      </w:r>
      <w:r w:rsidRPr="008A0042">
        <w:t xml:space="preserve">5 vol. in-8° (plusieurs édit.). </w:t>
      </w:r>
    </w:p>
  </w:footnote>
  <w:footnote w:id="514">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Léxicon cathólicum hebráicum et chald</w:t>
      </w:r>
      <w:r>
        <w:rPr>
          <w:rStyle w:val="italicus"/>
        </w:rPr>
        <w:t>á</w:t>
      </w:r>
      <w:r w:rsidRPr="0044481F">
        <w:rPr>
          <w:rStyle w:val="italicus"/>
        </w:rPr>
        <w:t xml:space="preserve">icum, </w:t>
      </w:r>
      <w:r w:rsidRPr="008A0042">
        <w:t>édit. révisée du</w:t>
      </w:r>
      <w:r w:rsidRPr="0044481F">
        <w:rPr>
          <w:rStyle w:val="italicus"/>
        </w:rPr>
        <w:t xml:space="preserve"> </w:t>
      </w:r>
      <w:r>
        <w:rPr>
          <w:rStyle w:val="italicus"/>
        </w:rPr>
        <w:t>Thesáurus</w:t>
      </w:r>
      <w:r w:rsidRPr="0044481F">
        <w:rPr>
          <w:rStyle w:val="italicus"/>
        </w:rPr>
        <w:t xml:space="preserve"> </w:t>
      </w:r>
      <w:r w:rsidRPr="008A0042">
        <w:t xml:space="preserve">de Gesenius, 1848. </w:t>
      </w:r>
    </w:p>
  </w:footnote>
  <w:footnote w:id="515">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Épitres de saint Paul, </w:t>
      </w:r>
      <w:r w:rsidRPr="008A0042">
        <w:t xml:space="preserve">1871 ; </w:t>
      </w:r>
      <w:r w:rsidRPr="0044481F">
        <w:rPr>
          <w:rStyle w:val="italicus"/>
        </w:rPr>
        <w:t xml:space="preserve">Épitres catholiques, </w:t>
      </w:r>
      <w:r w:rsidRPr="008A0042">
        <w:t>1873 ;</w:t>
      </w:r>
      <w:r w:rsidRPr="0044481F">
        <w:rPr>
          <w:rStyle w:val="italicus"/>
        </w:rPr>
        <w:t xml:space="preserve"> Apocalypse, </w:t>
      </w:r>
      <w:r w:rsidRPr="008A0042">
        <w:t xml:space="preserve">1873 (Bible de M. Lethielleux). </w:t>
      </w:r>
    </w:p>
  </w:footnote>
  <w:footnote w:id="516">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La vie de Notre Seigneur Jésus-Christ, </w:t>
      </w:r>
      <w:r w:rsidRPr="008A0042">
        <w:t xml:space="preserve">2 vol. in-8°, 1880. </w:t>
      </w:r>
    </w:p>
  </w:footnote>
  <w:footnote w:id="517">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Tobie, Judith et Esther, </w:t>
      </w:r>
      <w:r w:rsidRPr="008A0042">
        <w:t>1879 ;</w:t>
      </w:r>
      <w:r w:rsidRPr="0044481F">
        <w:rPr>
          <w:rStyle w:val="italicus"/>
        </w:rPr>
        <w:t xml:space="preserve"> Les Machabées, </w:t>
      </w:r>
      <w:r w:rsidRPr="008A0042">
        <w:t xml:space="preserve">1880 (Bible de M. Lethielleux). </w:t>
      </w:r>
    </w:p>
  </w:footnote>
  <w:footnote w:id="518">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L’Ecclésiaste, </w:t>
      </w:r>
      <w:r w:rsidRPr="008A0042">
        <w:t>1863 ;</w:t>
      </w:r>
      <w:r w:rsidRPr="0044481F">
        <w:rPr>
          <w:rStyle w:val="italicus"/>
        </w:rPr>
        <w:t xml:space="preserve"> Précis d’introduction à l’Écriture Sainte, </w:t>
      </w:r>
      <w:r w:rsidRPr="008A0042">
        <w:t xml:space="preserve">3 vol. in-12, 1867. </w:t>
      </w:r>
    </w:p>
  </w:footnote>
  <w:footnote w:id="519">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Clef de</w:t>
      </w:r>
      <w:r>
        <w:rPr>
          <w:rStyle w:val="italicus"/>
        </w:rPr>
        <w:t>s épit</w:t>
      </w:r>
      <w:r w:rsidRPr="0044481F">
        <w:rPr>
          <w:rStyle w:val="italicus"/>
        </w:rPr>
        <w:t xml:space="preserve">res de saint Paul, </w:t>
      </w:r>
      <w:r w:rsidRPr="008A0042">
        <w:t xml:space="preserve">2 vol. in-12, 1873. </w:t>
      </w:r>
    </w:p>
  </w:footnote>
  <w:footnote w:id="520">
    <w:p w:rsidR="007F47B8" w:rsidRDefault="007F47B8">
      <w:pPr>
        <w:pStyle w:val="Notedebasdepage"/>
      </w:pPr>
      <w:r>
        <w:rPr>
          <w:rStyle w:val="Appelnotedebasdep"/>
        </w:rPr>
        <w:footnoteRef/>
      </w:r>
      <w:r>
        <w:t xml:space="preserve"> </w:t>
      </w:r>
      <w:r>
        <w:rPr>
          <w:rStyle w:val="italicus"/>
        </w:rPr>
        <w:t xml:space="preserve">$ </w:t>
      </w:r>
      <w:r w:rsidRPr="0044481F">
        <w:rPr>
          <w:rStyle w:val="italicus"/>
        </w:rPr>
        <w:t>Description géographique,</w:t>
      </w:r>
      <w:r>
        <w:rPr>
          <w:rStyle w:val="italicus"/>
        </w:rPr>
        <w:t xml:space="preserve"> historique et archéologique de </w:t>
      </w:r>
      <w:r w:rsidRPr="0044481F">
        <w:rPr>
          <w:rStyle w:val="italicus"/>
        </w:rPr>
        <w:t xml:space="preserve">la Palestine, </w:t>
      </w:r>
      <w:r w:rsidRPr="008A0042">
        <w:t>7 vol. parus.</w:t>
      </w:r>
    </w:p>
  </w:footnote>
  <w:footnote w:id="521">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Le déluge mosaïque, </w:t>
      </w:r>
      <w:r w:rsidRPr="008A0042">
        <w:t>1871.</w:t>
      </w:r>
    </w:p>
  </w:footnote>
  <w:footnote w:id="522">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Job et les Psaumes, </w:t>
      </w:r>
      <w:r w:rsidRPr="008A0042">
        <w:t>trad. d’après l’hébreu, 1839 ;</w:t>
      </w:r>
      <w:r w:rsidRPr="0044481F">
        <w:rPr>
          <w:rStyle w:val="italicus"/>
        </w:rPr>
        <w:t xml:space="preserve"> Morceaux choisis de la Bible, </w:t>
      </w:r>
      <w:r w:rsidRPr="008A0042">
        <w:t>1869.</w:t>
      </w:r>
    </w:p>
  </w:footnote>
  <w:footnote w:id="523">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La vie de Notre Seigneur Jésus-Christ, </w:t>
      </w:r>
      <w:r w:rsidRPr="008A0042">
        <w:t>2 vol. in-8°, 1883.</w:t>
      </w:r>
    </w:p>
  </w:footnote>
  <w:footnote w:id="524">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Le sceptre de la tribu de Juda, </w:t>
      </w:r>
      <w:r w:rsidRPr="008A0042">
        <w:t>1880.</w:t>
      </w:r>
    </w:p>
  </w:footnote>
  <w:footnote w:id="525">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Les Proverbes ; La Sagesse, </w:t>
      </w:r>
      <w:r w:rsidRPr="008A0042">
        <w:t xml:space="preserve">1879 ; </w:t>
      </w:r>
      <w:r w:rsidRPr="0044481F">
        <w:rPr>
          <w:rStyle w:val="italicus"/>
        </w:rPr>
        <w:t xml:space="preserve">L’Ecclésiastique, </w:t>
      </w:r>
      <w:r w:rsidRPr="008A0042">
        <w:t>1880 ;</w:t>
      </w:r>
      <w:r w:rsidRPr="0044481F">
        <w:rPr>
          <w:rStyle w:val="italicus"/>
        </w:rPr>
        <w:t xml:space="preserve"> Le Livre des Psaumes, </w:t>
      </w:r>
      <w:r w:rsidRPr="008A0042">
        <w:t>1883 (Bible de M. Lethielleux).</w:t>
      </w:r>
    </w:p>
  </w:footnote>
  <w:footnote w:id="526">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Les Psaumes traduits en français sur le texte hébreu, 1868.</w:t>
      </w:r>
    </w:p>
  </w:footnote>
  <w:footnote w:id="527">
    <w:p w:rsidR="007F47B8" w:rsidRPr="00D26D04" w:rsidRDefault="007F47B8" w:rsidP="00C31960">
      <w:pPr>
        <w:pStyle w:val="Notedebasdepage"/>
        <w:rPr>
          <w:i/>
        </w:rPr>
      </w:pPr>
      <w:r>
        <w:rPr>
          <w:rStyle w:val="Appelnotedebasdep"/>
        </w:rPr>
        <w:footnoteRef/>
      </w:r>
      <w:r>
        <w:t xml:space="preserve"> </w:t>
      </w:r>
      <w:r w:rsidRPr="008A0042">
        <w:t>$ Savant helléniste.</w:t>
      </w:r>
      <w:r>
        <w:rPr>
          <w:rStyle w:val="italicus"/>
        </w:rPr>
        <w:t xml:space="preserve"> Commentaires des Épit</w:t>
      </w:r>
      <w:r w:rsidRPr="0044481F">
        <w:rPr>
          <w:rStyle w:val="italicus"/>
        </w:rPr>
        <w:t xml:space="preserve">res de saint Paul, </w:t>
      </w:r>
      <w:r w:rsidRPr="008A0042">
        <w:t>1878-1882.</w:t>
      </w:r>
    </w:p>
  </w:footnote>
  <w:footnote w:id="528">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Prophéties messianiques : Le Pentateuque, </w:t>
      </w:r>
      <w:r w:rsidRPr="008A0042">
        <w:t>1856 ;</w:t>
      </w:r>
      <w:r w:rsidRPr="0044481F">
        <w:rPr>
          <w:rStyle w:val="italicus"/>
        </w:rPr>
        <w:t xml:space="preserve"> Les Livre</w:t>
      </w:r>
      <w:r>
        <w:rPr>
          <w:rStyle w:val="italicus"/>
        </w:rPr>
        <w:t xml:space="preserve">s des Rois, </w:t>
      </w:r>
      <w:r w:rsidRPr="008A0042">
        <w:t xml:space="preserve">1878 ; </w:t>
      </w:r>
      <w:r>
        <w:rPr>
          <w:rStyle w:val="italicus"/>
        </w:rPr>
        <w:t>Le monde et l’</w:t>
      </w:r>
      <w:r w:rsidRPr="0044481F">
        <w:rPr>
          <w:rStyle w:val="italicus"/>
        </w:rPr>
        <w:t xml:space="preserve">homme primitif selon la Bible, </w:t>
      </w:r>
      <w:r w:rsidRPr="008A0042">
        <w:t>1869 ;</w:t>
      </w:r>
      <w:r w:rsidRPr="0044481F">
        <w:rPr>
          <w:rStyle w:val="italicus"/>
        </w:rPr>
        <w:t xml:space="preserve"> Les Évangiles et la Critique, </w:t>
      </w:r>
      <w:r w:rsidRPr="008A0042">
        <w:t>1864.</w:t>
      </w:r>
    </w:p>
  </w:footnote>
  <w:footnote w:id="529">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L’Ecclésiaste, </w:t>
      </w:r>
      <w:r w:rsidRPr="008A0042">
        <w:t xml:space="preserve">2 vol. in-8°, 1876 ; </w:t>
      </w:r>
      <w:r w:rsidRPr="0044481F">
        <w:rPr>
          <w:rStyle w:val="italicus"/>
        </w:rPr>
        <w:t xml:space="preserve">Moïse, la Science et l’Exégèse, </w:t>
      </w:r>
      <w:r w:rsidRPr="008A0042">
        <w:t>1882.</w:t>
      </w:r>
    </w:p>
  </w:footnote>
  <w:footnote w:id="530">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Les poètes bibliques, </w:t>
      </w:r>
      <w:r w:rsidRPr="008A0042">
        <w:t>3e édit. en 1881.</w:t>
      </w:r>
    </w:p>
  </w:footnote>
  <w:footnote w:id="531">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Cours élémentaire d’Écriture Sainte, </w:t>
      </w:r>
      <w:r w:rsidRPr="008A0042">
        <w:t>3e édit. en 1882.</w:t>
      </w:r>
    </w:p>
  </w:footnote>
  <w:footnote w:id="532">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Le Messie dans les livres historiques de la Bible et Jésus-Christ dans les Évangiles, </w:t>
      </w:r>
      <w:r w:rsidRPr="008A0042">
        <w:t>3 vol. in-12, 1879-1882.</w:t>
      </w:r>
    </w:p>
  </w:footnote>
  <w:footnote w:id="533">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Isaïe</w:t>
      </w:r>
      <w:r w:rsidRPr="008A0042">
        <w:t>, 1878 ;</w:t>
      </w:r>
      <w:r w:rsidRPr="0044481F">
        <w:rPr>
          <w:rStyle w:val="italicus"/>
        </w:rPr>
        <w:t xml:space="preserve"> Jérémie,</w:t>
      </w:r>
      <w:r w:rsidRPr="001077D9">
        <w:t xml:space="preserve"> 1878 ;</w:t>
      </w:r>
      <w:r w:rsidRPr="0044481F">
        <w:rPr>
          <w:rStyle w:val="italicus"/>
        </w:rPr>
        <w:t xml:space="preserve"> Ézéchiel,</w:t>
      </w:r>
      <w:r w:rsidRPr="001077D9">
        <w:t xml:space="preserve"> 1880 ;</w:t>
      </w:r>
      <w:r w:rsidRPr="0044481F">
        <w:rPr>
          <w:rStyle w:val="italicus"/>
        </w:rPr>
        <w:t xml:space="preserve"> Daniel,</w:t>
      </w:r>
      <w:r w:rsidRPr="001077D9">
        <w:t xml:space="preserve"> 1882 ;</w:t>
      </w:r>
      <w:r w:rsidRPr="0044481F">
        <w:rPr>
          <w:rStyle w:val="italicus"/>
        </w:rPr>
        <w:t xml:space="preserve"> Les petits Prophètes,</w:t>
      </w:r>
      <w:r w:rsidRPr="001077D9">
        <w:t xml:space="preserve"> 1883 (Bible de M. Lethielleux).</w:t>
      </w:r>
    </w:p>
  </w:footnote>
  <w:footnote w:id="534">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 xml:space="preserve">Les évangiles apocryphes, </w:t>
      </w:r>
      <w:r w:rsidRPr="008A0042">
        <w:t>1878.</w:t>
      </w:r>
    </w:p>
  </w:footnote>
  <w:footnote w:id="535">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Vie de saint Paul, </w:t>
      </w:r>
      <w:r w:rsidRPr="008A0042">
        <w:t>2 vol. in-8°, 1863.</w:t>
      </w:r>
    </w:p>
  </w:footnote>
  <w:footnote w:id="536">
    <w:p w:rsidR="007F47B8" w:rsidRDefault="007F47B8" w:rsidP="00C31960">
      <w:pPr>
        <w:pStyle w:val="Notedebasdepage"/>
      </w:pPr>
      <w:r>
        <w:rPr>
          <w:rStyle w:val="Appelnotedebasdep"/>
        </w:rPr>
        <w:footnoteRef/>
      </w:r>
      <w:r>
        <w:t xml:space="preserve"> </w:t>
      </w:r>
      <w:r w:rsidRPr="008A0042">
        <w:t>$ Série de savantes</w:t>
      </w:r>
      <w:r w:rsidRPr="0044481F">
        <w:rPr>
          <w:rStyle w:val="italicus"/>
        </w:rPr>
        <w:t xml:space="preserve"> Études critiques sur les Évangiles, </w:t>
      </w:r>
      <w:r w:rsidRPr="008A0042">
        <w:t>dans la</w:t>
      </w:r>
      <w:r w:rsidRPr="0044481F">
        <w:rPr>
          <w:rStyle w:val="italicus"/>
        </w:rPr>
        <w:t xml:space="preserve"> Revue des sciences ecclésiastiques, </w:t>
      </w:r>
      <w:r w:rsidRPr="008A0042">
        <w:t>1865-1868.</w:t>
      </w:r>
    </w:p>
  </w:footnote>
  <w:footnote w:id="537">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De la croyance due à l’Évangile, </w:t>
      </w:r>
      <w:r w:rsidRPr="008A0042">
        <w:t>1868.</w:t>
      </w:r>
    </w:p>
  </w:footnote>
  <w:footnote w:id="538">
    <w:p w:rsidR="007F47B8" w:rsidRDefault="007F47B8" w:rsidP="00C31960">
      <w:pPr>
        <w:pStyle w:val="Notedebasdepage"/>
      </w:pPr>
      <w:r>
        <w:rPr>
          <w:rStyle w:val="Appelnotedebasdep"/>
        </w:rPr>
        <w:footnoteRef/>
      </w:r>
      <w:r w:rsidRPr="00AA3DE3">
        <w:rPr>
          <w:lang w:val="en-US"/>
        </w:rPr>
        <w:t xml:space="preserve"> </w:t>
      </w:r>
      <w:r w:rsidRPr="00F84A0B">
        <w:rPr>
          <w:rStyle w:val="italicus"/>
          <w:lang w:val="en-US"/>
        </w:rPr>
        <w:t xml:space="preserve">$ Lectures on the Connexion between Science and Revealed Religion, </w:t>
      </w:r>
      <w:r w:rsidRPr="00F84A0B">
        <w:rPr>
          <w:lang w:val="en-US"/>
        </w:rPr>
        <w:t xml:space="preserve">2 vol. in-12, 5e édit. en 1861. </w:t>
      </w:r>
      <w:r w:rsidRPr="008A0042">
        <w:t>Ouvrage célèbre. Voir aussi</w:t>
      </w:r>
      <w:r w:rsidRPr="0044481F">
        <w:rPr>
          <w:rStyle w:val="italicus"/>
        </w:rPr>
        <w:t xml:space="preserve"> Les Paraboles, les Miracles, et les Actes du Nouveau Testament, </w:t>
      </w:r>
      <w:r w:rsidRPr="008A0042">
        <w:t xml:space="preserve">dans </w:t>
      </w:r>
      <w:r w:rsidRPr="0044481F">
        <w:rPr>
          <w:rStyle w:val="italicus"/>
        </w:rPr>
        <w:t xml:space="preserve">les Mélanges religieux, </w:t>
      </w:r>
      <w:r w:rsidRPr="008A0042">
        <w:t>etc., traduits par F. de Bernhardt, 1858.</w:t>
      </w:r>
    </w:p>
  </w:footnote>
  <w:footnote w:id="539">
    <w:p w:rsidR="007F47B8" w:rsidRPr="00D26D04" w:rsidRDefault="007F47B8" w:rsidP="00C31960">
      <w:pPr>
        <w:pStyle w:val="Notedebasdepage"/>
        <w:rPr>
          <w:i/>
        </w:rPr>
      </w:pPr>
      <w:r>
        <w:rPr>
          <w:rStyle w:val="Appelnotedebasdep"/>
        </w:rPr>
        <w:footnoteRef/>
      </w:r>
      <w:r w:rsidRPr="00AA3DE3">
        <w:t xml:space="preserve"> </w:t>
      </w:r>
      <w:r>
        <w:rPr>
          <w:rStyle w:val="italicus"/>
        </w:rPr>
        <w:t xml:space="preserve">$ </w:t>
      </w:r>
      <w:r w:rsidRPr="001077D9">
        <w:t>Voir en particulier sa récente dissertation</w:t>
      </w:r>
      <w:r w:rsidRPr="0044481F">
        <w:rPr>
          <w:rStyle w:val="italicus"/>
        </w:rPr>
        <w:t xml:space="preserve"> On the Inspiration of Scripture,</w:t>
      </w:r>
      <w:r w:rsidRPr="001077D9">
        <w:t xml:space="preserve"> publiée dans</w:t>
      </w:r>
      <w:r w:rsidRPr="0044481F">
        <w:rPr>
          <w:rStyle w:val="italicus"/>
        </w:rPr>
        <w:t xml:space="preserve"> The Nineteenth Century,</w:t>
      </w:r>
      <w:r w:rsidRPr="001077D9">
        <w:t xml:space="preserve"> février 1884.</w:t>
      </w:r>
    </w:p>
  </w:footnote>
  <w:footnote w:id="540">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The Life of our Life</w:t>
      </w:r>
      <w:r w:rsidRPr="001077D9">
        <w:t xml:space="preserve"> (Vie de Notre Seigneur Jésus-Christ, en cours de publication</w:t>
      </w:r>
      <w:r w:rsidRPr="00BA383E">
        <w:t xml:space="preserve">), </w:t>
      </w:r>
      <w:r w:rsidRPr="001077D9">
        <w:t>5 vol. in-12 ont paru.</w:t>
      </w:r>
    </w:p>
  </w:footnote>
  <w:footnote w:id="541">
    <w:p w:rsidR="007F47B8" w:rsidRPr="001077D9" w:rsidRDefault="007F47B8" w:rsidP="00C31960">
      <w:pPr>
        <w:pStyle w:val="Notedebasdepage"/>
      </w:pPr>
      <w:r>
        <w:rPr>
          <w:rStyle w:val="Appelnotedebasdep"/>
        </w:rPr>
        <w:footnoteRef/>
      </w:r>
      <w:r>
        <w:t xml:space="preserve"> </w:t>
      </w:r>
      <w:r w:rsidRPr="001077D9">
        <w:t>$ A publié des commentaires estimés sur toute la Bible.</w:t>
      </w:r>
    </w:p>
  </w:footnote>
  <w:footnote w:id="542">
    <w:p w:rsidR="007F47B8" w:rsidRPr="001077D9" w:rsidRDefault="007F47B8" w:rsidP="00C31960">
      <w:pPr>
        <w:pStyle w:val="Notedebasdepage"/>
      </w:pPr>
      <w:r>
        <w:rPr>
          <w:rStyle w:val="Appelnotedebasdep"/>
        </w:rPr>
        <w:footnoteRef/>
      </w:r>
      <w:r>
        <w:t xml:space="preserve"> </w:t>
      </w:r>
      <w:r w:rsidRPr="001077D9">
        <w:t>$ Commentaires sur les épîtres de S. Paul et les trois premiers évangiles.</w:t>
      </w:r>
    </w:p>
  </w:footnote>
  <w:footnote w:id="543">
    <w:p w:rsidR="007F47B8" w:rsidRPr="001077D9" w:rsidRDefault="007F47B8" w:rsidP="00C31960">
      <w:pPr>
        <w:pStyle w:val="Notedebasdepage"/>
      </w:pPr>
      <w:r>
        <w:rPr>
          <w:rStyle w:val="Appelnotedebasdep"/>
        </w:rPr>
        <w:footnoteRef/>
      </w:r>
      <w:r>
        <w:t xml:space="preserve"> </w:t>
      </w:r>
      <w:r w:rsidRPr="001077D9">
        <w:t>$ Introduction au Nouveau Testament, œuvre posthume, 1877.</w:t>
      </w:r>
    </w:p>
  </w:footnote>
  <w:footnote w:id="544">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 xml:space="preserve">Prophétæ minores, </w:t>
      </w:r>
      <w:r w:rsidRPr="008A0042">
        <w:t>1830.</w:t>
      </w:r>
    </w:p>
  </w:footnote>
  <w:footnote w:id="545">
    <w:p w:rsidR="007F47B8" w:rsidRDefault="007F47B8" w:rsidP="00C31960">
      <w:pPr>
        <w:pStyle w:val="Notedebasdepage"/>
      </w:pPr>
      <w:r>
        <w:rPr>
          <w:rStyle w:val="Appelnotedebasdep"/>
        </w:rPr>
        <w:footnoteRef/>
      </w:r>
      <w:r>
        <w:t xml:space="preserve"> </w:t>
      </w:r>
      <w:r>
        <w:rPr>
          <w:rStyle w:val="italicus"/>
        </w:rPr>
        <w:t xml:space="preserve">$ </w:t>
      </w:r>
      <w:r w:rsidRPr="001077D9">
        <w:t>Les saintes Écritures de l’Ancien et du Nouveau Testament traduites et expliquées, 1830. Plusieurs éditions.</w:t>
      </w:r>
    </w:p>
  </w:footnote>
  <w:footnote w:id="546">
    <w:p w:rsidR="007F47B8" w:rsidRPr="001077D9" w:rsidRDefault="007F47B8" w:rsidP="00C31960">
      <w:pPr>
        <w:pStyle w:val="Notedebasdepage"/>
      </w:pPr>
      <w:r>
        <w:rPr>
          <w:rStyle w:val="Appelnotedebasdep"/>
        </w:rPr>
        <w:footnoteRef/>
      </w:r>
      <w:r>
        <w:t xml:space="preserve"> </w:t>
      </w:r>
      <w:r w:rsidRPr="001077D9">
        <w:t>$ Commentaire sur l’Évangile selon saint Matthieu.</w:t>
      </w:r>
    </w:p>
  </w:footnote>
  <w:footnote w:id="547">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 xml:space="preserve">Evangeliórum explanátio, </w:t>
      </w:r>
      <w:r w:rsidRPr="008A0042">
        <w:t>1849.</w:t>
      </w:r>
    </w:p>
  </w:footnote>
  <w:footnote w:id="548">
    <w:p w:rsidR="007F47B8" w:rsidRDefault="007F47B8" w:rsidP="00C31960">
      <w:pPr>
        <w:pStyle w:val="Notedebasdepage"/>
      </w:pPr>
      <w:r>
        <w:rPr>
          <w:rStyle w:val="Appelnotedebasdep"/>
        </w:rPr>
        <w:footnoteRef/>
      </w:r>
      <w:r>
        <w:t xml:space="preserve"> </w:t>
      </w:r>
      <w:r>
        <w:rPr>
          <w:rStyle w:val="italicus"/>
        </w:rPr>
        <w:t xml:space="preserve">$ </w:t>
      </w:r>
      <w:r w:rsidRPr="001077D9">
        <w:t>Manuel exégétique très estimé sur tout le Nouveau Testament.</w:t>
      </w:r>
    </w:p>
  </w:footnote>
  <w:footnote w:id="549">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 xml:space="preserve">História revelatiónis Véteris, Novi Testaménti, </w:t>
      </w:r>
      <w:r w:rsidRPr="008A0042">
        <w:t>1862-1863.</w:t>
      </w:r>
    </w:p>
  </w:footnote>
  <w:footnote w:id="550">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Histoire pragmatique de la Vulgate, 1824 ; Testaméntum Velus græce secúndum Septuagínta</w:t>
      </w:r>
      <w:r>
        <w:rPr>
          <w:rStyle w:val="italicus"/>
        </w:rPr>
        <w:t xml:space="preserve"> Intérprete</w:t>
      </w:r>
      <w:r w:rsidRPr="0044481F">
        <w:rPr>
          <w:rStyle w:val="italicus"/>
        </w:rPr>
        <w:t xml:space="preserve">s, </w:t>
      </w:r>
      <w:r w:rsidRPr="008A0042">
        <w:t>1855.</w:t>
      </w:r>
    </w:p>
  </w:footnote>
  <w:footnote w:id="551">
    <w:p w:rsidR="007F47B8" w:rsidRDefault="007F47B8" w:rsidP="00C31960">
      <w:pPr>
        <w:pStyle w:val="Notedebasdepage"/>
      </w:pPr>
      <w:r>
        <w:rPr>
          <w:rStyle w:val="Appelnotedebasdep"/>
        </w:rPr>
        <w:footnoteRef/>
      </w:r>
      <w:r>
        <w:t xml:space="preserve"> </w:t>
      </w:r>
      <w:r>
        <w:rPr>
          <w:rStyle w:val="italicus"/>
        </w:rPr>
        <w:t xml:space="preserve">$ </w:t>
      </w:r>
      <w:r w:rsidRPr="008A0042">
        <w:rPr>
          <w:rStyle w:val="italicus"/>
        </w:rPr>
        <w:t>Archéologie de la Passion,</w:t>
      </w:r>
      <w:r w:rsidRPr="001077D9">
        <w:t xml:space="preserve"> 1858.</w:t>
      </w:r>
    </w:p>
  </w:footnote>
  <w:footnote w:id="552">
    <w:p w:rsidR="007F47B8" w:rsidRPr="001077D9" w:rsidRDefault="007F47B8" w:rsidP="00C31960">
      <w:pPr>
        <w:pStyle w:val="Notedebasdepage"/>
      </w:pPr>
      <w:r>
        <w:rPr>
          <w:rStyle w:val="Appelnotedebasdep"/>
        </w:rPr>
        <w:footnoteRef/>
      </w:r>
      <w:r>
        <w:t xml:space="preserve"> </w:t>
      </w:r>
      <w:r w:rsidRPr="001077D9">
        <w:t xml:space="preserve">$ </w:t>
      </w:r>
      <w:r w:rsidRPr="008A0042">
        <w:rPr>
          <w:rStyle w:val="italicus"/>
        </w:rPr>
        <w:t>Commentaire sur l’Évangile selon saint Matthieu,</w:t>
      </w:r>
      <w:r w:rsidRPr="001077D9">
        <w:t xml:space="preserve"> 1821.</w:t>
      </w:r>
    </w:p>
  </w:footnote>
  <w:footnote w:id="553">
    <w:p w:rsidR="007F47B8" w:rsidRPr="001077D9" w:rsidRDefault="007F47B8" w:rsidP="00C31960">
      <w:pPr>
        <w:pStyle w:val="Notedebasdepage"/>
      </w:pPr>
      <w:r>
        <w:rPr>
          <w:rStyle w:val="Appelnotedebasdep"/>
        </w:rPr>
        <w:footnoteRef/>
      </w:r>
      <w:r>
        <w:t xml:space="preserve"> </w:t>
      </w:r>
      <w:r w:rsidRPr="001077D9">
        <w:t xml:space="preserve">$ </w:t>
      </w:r>
      <w:r w:rsidRPr="008A0042">
        <w:rPr>
          <w:rStyle w:val="italicus"/>
        </w:rPr>
        <w:t xml:space="preserve">Unité de l’Évangile selon saint Luc, </w:t>
      </w:r>
      <w:r w:rsidRPr="001077D9">
        <w:t xml:space="preserve">1863 ; </w:t>
      </w:r>
      <w:r w:rsidRPr="008A0042">
        <w:rPr>
          <w:rStyle w:val="italicus"/>
        </w:rPr>
        <w:t>Unité des saints Évangiles,</w:t>
      </w:r>
      <w:r w:rsidRPr="001077D9">
        <w:t xml:space="preserve"> 1868 ; </w:t>
      </w:r>
      <w:r w:rsidRPr="008A0042">
        <w:rPr>
          <w:rStyle w:val="italicus"/>
        </w:rPr>
        <w:t>Vie de Notre Seigneur Jésus-Christ</w:t>
      </w:r>
      <w:r w:rsidRPr="001077D9">
        <w:t xml:space="preserve"> (3 volumes ont paru</w:t>
      </w:r>
      <w:r w:rsidRPr="00BA383E">
        <w:t xml:space="preserve">), </w:t>
      </w:r>
      <w:r w:rsidRPr="001077D9">
        <w:t>1876-1881.</w:t>
      </w:r>
    </w:p>
  </w:footnote>
  <w:footnote w:id="554">
    <w:p w:rsidR="007F47B8" w:rsidRPr="001077D9" w:rsidRDefault="007F47B8" w:rsidP="00C31960">
      <w:pPr>
        <w:pStyle w:val="Notedebasdepage"/>
      </w:pPr>
      <w:r>
        <w:rPr>
          <w:rStyle w:val="Appelnotedebasdep"/>
        </w:rPr>
        <w:footnoteRef/>
      </w:r>
      <w:r>
        <w:t xml:space="preserve"> </w:t>
      </w:r>
      <w:r w:rsidRPr="001077D9">
        <w:t xml:space="preserve">$ </w:t>
      </w:r>
      <w:r w:rsidRPr="008A0042">
        <w:rPr>
          <w:rStyle w:val="italicus"/>
        </w:rPr>
        <w:t>Le livre de la Sagesse,</w:t>
      </w:r>
      <w:r w:rsidRPr="001077D9">
        <w:t xml:space="preserve"> traduit et expliqué, 1874.</w:t>
      </w:r>
    </w:p>
  </w:footnote>
  <w:footnote w:id="555">
    <w:p w:rsidR="007F47B8" w:rsidRPr="001077D9" w:rsidRDefault="007F47B8" w:rsidP="00C31960">
      <w:pPr>
        <w:pStyle w:val="Notedebasdepage"/>
      </w:pPr>
      <w:r>
        <w:rPr>
          <w:rStyle w:val="Appelnotedebasdep"/>
        </w:rPr>
        <w:footnoteRef/>
      </w:r>
      <w:r>
        <w:t xml:space="preserve"> </w:t>
      </w:r>
      <w:r w:rsidRPr="001077D9">
        <w:t>$ Mort évêque de Spire.</w:t>
      </w:r>
      <w:r w:rsidRPr="0044481F">
        <w:rPr>
          <w:rStyle w:val="italicus"/>
        </w:rPr>
        <w:t xml:space="preserve"> Histoire de la révélation biblique,</w:t>
      </w:r>
      <w:r w:rsidRPr="001077D9">
        <w:t xml:space="preserve"> 1850 (traduite en français par Goschler, 1856</w:t>
      </w:r>
      <w:r w:rsidRPr="00BA383E">
        <w:t>) ;</w:t>
      </w:r>
      <w:r w:rsidRPr="001077D9">
        <w:t xml:space="preserve"> Antiquités religieuses de la Bible, 1869.</w:t>
      </w:r>
    </w:p>
  </w:footnote>
  <w:footnote w:id="556">
    <w:p w:rsidR="007F47B8" w:rsidRPr="001077D9" w:rsidRDefault="007F47B8" w:rsidP="00C31960">
      <w:pPr>
        <w:pStyle w:val="Notedebasdepage"/>
      </w:pPr>
      <w:r>
        <w:rPr>
          <w:rStyle w:val="Appelnotedebasdep"/>
        </w:rPr>
        <w:footnoteRef/>
      </w:r>
      <w:r>
        <w:t xml:space="preserve"> </w:t>
      </w:r>
      <w:r w:rsidRPr="001077D9">
        <w:t>$ Nombreux et savants articles dans la</w:t>
      </w:r>
      <w:r w:rsidRPr="0044481F">
        <w:rPr>
          <w:rStyle w:val="italicus"/>
        </w:rPr>
        <w:t xml:space="preserve"> Theologische Quartalschrift</w:t>
      </w:r>
      <w:r w:rsidRPr="001077D9">
        <w:t xml:space="preserve"> de Tubingue.</w:t>
      </w:r>
    </w:p>
  </w:footnote>
  <w:footnote w:id="557">
    <w:p w:rsidR="007F47B8" w:rsidRPr="001077D9" w:rsidRDefault="007F47B8" w:rsidP="00C31960">
      <w:pPr>
        <w:pStyle w:val="Notedebasdepage"/>
      </w:pPr>
      <w:r>
        <w:rPr>
          <w:rStyle w:val="Appelnotedebasdep"/>
        </w:rPr>
        <w:footnoteRef/>
      </w:r>
      <w:r>
        <w:t xml:space="preserve"> </w:t>
      </w:r>
      <w:r w:rsidRPr="001077D9">
        <w:t xml:space="preserve">$ </w:t>
      </w:r>
      <w:r w:rsidRPr="008A0042">
        <w:rPr>
          <w:rStyle w:val="italicus"/>
        </w:rPr>
        <w:t>Introduction au Nouveau Testament</w:t>
      </w:r>
      <w:r w:rsidRPr="001077D9">
        <w:t xml:space="preserve"> (trad. franc. par le P. de Valroger).</w:t>
      </w:r>
    </w:p>
  </w:footnote>
  <w:footnote w:id="558">
    <w:p w:rsidR="007F47B8" w:rsidRPr="001077D9" w:rsidRDefault="007F47B8" w:rsidP="00C31960">
      <w:pPr>
        <w:pStyle w:val="Notedebasdepage"/>
      </w:pPr>
      <w:r>
        <w:rPr>
          <w:rStyle w:val="Appelnotedebasdep"/>
        </w:rPr>
        <w:footnoteRef/>
      </w:r>
      <w:r>
        <w:t xml:space="preserve"> </w:t>
      </w:r>
      <w:r w:rsidRPr="001077D9">
        <w:t xml:space="preserve">$ </w:t>
      </w:r>
      <w:r w:rsidRPr="008A0042">
        <w:rPr>
          <w:rStyle w:val="italicus"/>
        </w:rPr>
        <w:t>Commentaires sur les épîtres de saint Pierre.</w:t>
      </w:r>
    </w:p>
  </w:footnote>
  <w:footnote w:id="559">
    <w:p w:rsidR="007F47B8" w:rsidRPr="00D26D04" w:rsidRDefault="007F47B8" w:rsidP="00C31960">
      <w:pPr>
        <w:pStyle w:val="Notedebasdepage"/>
        <w:rPr>
          <w:i/>
        </w:rPr>
      </w:pPr>
      <w:r>
        <w:rPr>
          <w:rStyle w:val="Appelnotedebasdep"/>
        </w:rPr>
        <w:footnoteRef/>
      </w:r>
      <w:r>
        <w:t xml:space="preserve"> </w:t>
      </w:r>
      <w:r w:rsidRPr="001077D9">
        <w:t xml:space="preserve">$ </w:t>
      </w:r>
      <w:r w:rsidRPr="008A0042">
        <w:rPr>
          <w:rStyle w:val="italicus"/>
        </w:rPr>
        <w:t>Archéologie biblique,</w:t>
      </w:r>
      <w:r w:rsidRPr="001077D9">
        <w:t xml:space="preserve"> 5 vol. in-8°, 1797-1805 (plusieurs fois rééditée).</w:t>
      </w:r>
    </w:p>
  </w:footnote>
  <w:footnote w:id="560">
    <w:p w:rsidR="007F47B8" w:rsidRPr="001077D9" w:rsidRDefault="007F47B8" w:rsidP="00C31960">
      <w:pPr>
        <w:pStyle w:val="Notedebasdepage"/>
      </w:pPr>
      <w:r>
        <w:rPr>
          <w:rStyle w:val="Appelnotedebasdep"/>
        </w:rPr>
        <w:footnoteRef/>
      </w:r>
      <w:r>
        <w:t xml:space="preserve"> </w:t>
      </w:r>
      <w:r w:rsidRPr="001077D9">
        <w:t xml:space="preserve">$ </w:t>
      </w:r>
      <w:r>
        <w:rPr>
          <w:rStyle w:val="italicus"/>
        </w:rPr>
        <w:t>Jonæ</w:t>
      </w:r>
      <w:r w:rsidRPr="0044481F">
        <w:rPr>
          <w:rStyle w:val="italicus"/>
        </w:rPr>
        <w:t xml:space="preserve"> exposítio,</w:t>
      </w:r>
      <w:r w:rsidRPr="001077D9">
        <w:t xml:space="preserve"> 1862 ; </w:t>
      </w:r>
      <w:r w:rsidRPr="008A0042">
        <w:rPr>
          <w:rStyle w:val="italicus"/>
        </w:rPr>
        <w:t xml:space="preserve">Histoire de la Vulgate, </w:t>
      </w:r>
      <w:r w:rsidRPr="001077D9">
        <w:t xml:space="preserve">1868 ; </w:t>
      </w:r>
      <w:r w:rsidRPr="008A0042">
        <w:rPr>
          <w:rStyle w:val="italicus"/>
        </w:rPr>
        <w:t xml:space="preserve">Manuel pour servir à la Vulgate, </w:t>
      </w:r>
      <w:r w:rsidRPr="001077D9">
        <w:t xml:space="preserve">1870 ; </w:t>
      </w:r>
      <w:r w:rsidRPr="008A0042">
        <w:rPr>
          <w:rStyle w:val="italicus"/>
        </w:rPr>
        <w:t>Introduction à l’Écriture sainte</w:t>
      </w:r>
      <w:r w:rsidRPr="001077D9">
        <w:t xml:space="preserve"> (les deux premiers volumes ont paru).</w:t>
      </w:r>
    </w:p>
  </w:footnote>
  <w:footnote w:id="561">
    <w:p w:rsidR="007F47B8" w:rsidRPr="001077D9" w:rsidRDefault="007F47B8" w:rsidP="00C31960">
      <w:pPr>
        <w:pStyle w:val="Notedebasdepage"/>
      </w:pPr>
      <w:r>
        <w:rPr>
          <w:rStyle w:val="Appelnotedebasdep"/>
        </w:rPr>
        <w:footnoteRef/>
      </w:r>
      <w:r>
        <w:t xml:space="preserve"> </w:t>
      </w:r>
      <w:r w:rsidRPr="001077D9">
        <w:t xml:space="preserve">$ </w:t>
      </w:r>
      <w:r w:rsidRPr="008A0042">
        <w:rPr>
          <w:rStyle w:val="italicus"/>
        </w:rPr>
        <w:t>Commentaires sur l’Évangile selon saint Jean</w:t>
      </w:r>
      <w:r w:rsidRPr="001077D9">
        <w:t xml:space="preserve">, 1829 ; </w:t>
      </w:r>
      <w:r w:rsidRPr="008A0042">
        <w:rPr>
          <w:rStyle w:val="italicus"/>
        </w:rPr>
        <w:t xml:space="preserve">sur l’Épître aux Romains, </w:t>
      </w:r>
      <w:r w:rsidRPr="001077D9">
        <w:t xml:space="preserve">1830 ; </w:t>
      </w:r>
      <w:r w:rsidRPr="008A0042">
        <w:rPr>
          <w:rStyle w:val="italicus"/>
        </w:rPr>
        <w:t xml:space="preserve">sur l’Épître aux Hébreux, </w:t>
      </w:r>
      <w:r w:rsidRPr="001077D9">
        <w:t>1833.</w:t>
      </w:r>
    </w:p>
  </w:footnote>
  <w:footnote w:id="562">
    <w:p w:rsidR="007F47B8" w:rsidRPr="001077D9" w:rsidRDefault="007F47B8" w:rsidP="00C31960">
      <w:pPr>
        <w:pStyle w:val="Notedebasdepage"/>
      </w:pPr>
      <w:r>
        <w:rPr>
          <w:rStyle w:val="Appelnotedebasdep"/>
        </w:rPr>
        <w:footnoteRef/>
      </w:r>
      <w:r>
        <w:t xml:space="preserve"> </w:t>
      </w:r>
      <w:r w:rsidRPr="001077D9">
        <w:t xml:space="preserve">$ </w:t>
      </w:r>
      <w:r w:rsidRPr="008A0042">
        <w:rPr>
          <w:rStyle w:val="italicus"/>
        </w:rPr>
        <w:t>Isaïe commenté,</w:t>
      </w:r>
      <w:r w:rsidRPr="001077D9">
        <w:t xml:space="preserve"> 1881.</w:t>
      </w:r>
    </w:p>
  </w:footnote>
  <w:footnote w:id="563">
    <w:p w:rsidR="007F47B8" w:rsidRPr="001077D9" w:rsidRDefault="007F47B8" w:rsidP="00C31960">
      <w:pPr>
        <w:pStyle w:val="Notedebasdepage"/>
      </w:pPr>
      <w:r>
        <w:rPr>
          <w:rStyle w:val="Appelnotedebasdep"/>
        </w:rPr>
        <w:footnoteRef/>
      </w:r>
      <w:r>
        <w:t xml:space="preserve"> </w:t>
      </w:r>
      <w:r w:rsidRPr="001077D9">
        <w:t xml:space="preserve">$ </w:t>
      </w:r>
      <w:r w:rsidRPr="008A0042">
        <w:rPr>
          <w:rStyle w:val="italicus"/>
        </w:rPr>
        <w:t>Théologie des Psaumes,</w:t>
      </w:r>
      <w:r w:rsidRPr="001077D9">
        <w:t xml:space="preserve"> 1857.</w:t>
      </w:r>
    </w:p>
  </w:footnote>
  <w:footnote w:id="564">
    <w:p w:rsidR="007F47B8" w:rsidRPr="001077D9" w:rsidRDefault="007F47B8" w:rsidP="00C31960">
      <w:pPr>
        <w:pStyle w:val="Notedebasdepage"/>
      </w:pPr>
      <w:r>
        <w:rPr>
          <w:rStyle w:val="Appelnotedebasdep"/>
        </w:rPr>
        <w:footnoteRef/>
      </w:r>
      <w:r>
        <w:t xml:space="preserve"> </w:t>
      </w:r>
      <w:r w:rsidRPr="001077D9">
        <w:t xml:space="preserve">$ </w:t>
      </w:r>
      <w:r w:rsidRPr="008A0042">
        <w:rPr>
          <w:rStyle w:val="italicus"/>
        </w:rPr>
        <w:t>Les derniers jours de la vie de Jésus,</w:t>
      </w:r>
      <w:r w:rsidRPr="001077D9">
        <w:t xml:space="preserve"> 1867 ; </w:t>
      </w:r>
      <w:r w:rsidRPr="008A0042">
        <w:rPr>
          <w:rStyle w:val="italicus"/>
        </w:rPr>
        <w:t>Le Judaïsme en Palestine au temps du Christ,</w:t>
      </w:r>
      <w:r w:rsidRPr="001077D9">
        <w:t xml:space="preserve"> 1868 (depuis, l’auteur s’est tristement rangé dans le parti des vieux-catholiques).</w:t>
      </w:r>
    </w:p>
  </w:footnote>
  <w:footnote w:id="565">
    <w:p w:rsidR="007F47B8" w:rsidRPr="001077D9" w:rsidRDefault="007F47B8" w:rsidP="00C31960">
      <w:pPr>
        <w:pStyle w:val="Notedebasdepage"/>
      </w:pPr>
      <w:r>
        <w:rPr>
          <w:rStyle w:val="Appelnotedebasdep"/>
        </w:rPr>
        <w:footnoteRef/>
      </w:r>
      <w:r>
        <w:t xml:space="preserve"> </w:t>
      </w:r>
      <w:r w:rsidRPr="001077D9">
        <w:t>$ Plusieurs excellentes éditions de la Vulgate et des Septante ; Traduction et commentaires de la Bible, de concert avec M. Reischl.</w:t>
      </w:r>
    </w:p>
  </w:footnote>
  <w:footnote w:id="566">
    <w:p w:rsidR="007F47B8" w:rsidRPr="001077D9" w:rsidRDefault="007F47B8" w:rsidP="00C31960">
      <w:pPr>
        <w:pStyle w:val="Notedebasdepage"/>
      </w:pPr>
      <w:r>
        <w:rPr>
          <w:rStyle w:val="Appelnotedebasdep"/>
        </w:rPr>
        <w:footnoteRef/>
      </w:r>
      <w:r>
        <w:t xml:space="preserve"> </w:t>
      </w:r>
      <w:r w:rsidRPr="001077D9">
        <w:t xml:space="preserve">$ </w:t>
      </w:r>
      <w:r w:rsidRPr="008A0042">
        <w:rPr>
          <w:rStyle w:val="italicus"/>
        </w:rPr>
        <w:t>Commentaires sur l’Évangile selon saint Jean,</w:t>
      </w:r>
      <w:r w:rsidRPr="001077D9">
        <w:t xml:space="preserve"> 1845 ; </w:t>
      </w:r>
      <w:r w:rsidRPr="008A0042">
        <w:rPr>
          <w:rStyle w:val="italicus"/>
        </w:rPr>
        <w:t xml:space="preserve">sur l’épître aux Romains, </w:t>
      </w:r>
      <w:r w:rsidRPr="001077D9">
        <w:t xml:space="preserve">1857 ; </w:t>
      </w:r>
      <w:r w:rsidRPr="008A0042">
        <w:rPr>
          <w:rStyle w:val="italicus"/>
        </w:rPr>
        <w:t xml:space="preserve">sur les épîtres aux Corinthiens, </w:t>
      </w:r>
      <w:r w:rsidRPr="001077D9">
        <w:t xml:space="preserve">1865 ; </w:t>
      </w:r>
      <w:r w:rsidRPr="008A0042">
        <w:rPr>
          <w:rStyle w:val="italicus"/>
        </w:rPr>
        <w:t>sur l’épître aux Hébreux,</w:t>
      </w:r>
      <w:r w:rsidRPr="001077D9">
        <w:t xml:space="preserve"> 1861.</w:t>
      </w:r>
    </w:p>
  </w:footnote>
  <w:footnote w:id="567">
    <w:p w:rsidR="007F47B8" w:rsidRPr="001077D9" w:rsidRDefault="007F47B8" w:rsidP="00C31960">
      <w:pPr>
        <w:pStyle w:val="Notedebasdepage"/>
      </w:pPr>
      <w:r>
        <w:rPr>
          <w:rStyle w:val="Appelnotedebasdep"/>
        </w:rPr>
        <w:footnoteRef/>
      </w:r>
      <w:r>
        <w:t xml:space="preserve"> </w:t>
      </w:r>
      <w:r w:rsidRPr="001077D9">
        <w:t xml:space="preserve">$ </w:t>
      </w:r>
      <w:r w:rsidRPr="008A0042">
        <w:rPr>
          <w:rStyle w:val="italicus"/>
        </w:rPr>
        <w:t>Prophéties messianiques des quatre grands prophètes,</w:t>
      </w:r>
      <w:r w:rsidRPr="001077D9">
        <w:t xml:space="preserve"> 1860-1866.</w:t>
      </w:r>
    </w:p>
  </w:footnote>
  <w:footnote w:id="568">
    <w:p w:rsidR="007F47B8" w:rsidRPr="001077D9" w:rsidRDefault="007F47B8" w:rsidP="00C31960">
      <w:pPr>
        <w:pStyle w:val="Notedebasdepage"/>
      </w:pPr>
      <w:r>
        <w:rPr>
          <w:rStyle w:val="Appelnotedebasdep"/>
        </w:rPr>
        <w:footnoteRef/>
      </w:r>
      <w:r>
        <w:t xml:space="preserve"> </w:t>
      </w:r>
      <w:r w:rsidRPr="001077D9">
        <w:t>$ A commenté le quatrième évangile, la 1re aux Corinthiens, les Épîtres aux Galates et aux Colossiens.</w:t>
      </w:r>
    </w:p>
  </w:footnote>
  <w:footnote w:id="569">
    <w:p w:rsidR="007F47B8" w:rsidRPr="001077D9" w:rsidRDefault="007F47B8" w:rsidP="00C31960">
      <w:pPr>
        <w:pStyle w:val="Notedebasdepage"/>
      </w:pPr>
      <w:r>
        <w:rPr>
          <w:rStyle w:val="Appelnotedebasdep"/>
        </w:rPr>
        <w:footnoteRef/>
      </w:r>
      <w:r>
        <w:t xml:space="preserve"> </w:t>
      </w:r>
      <w:r w:rsidRPr="001077D9">
        <w:t>$ Divers travaux critiques sur les Prophètes, etc.</w:t>
      </w:r>
    </w:p>
  </w:footnote>
  <w:footnote w:id="570">
    <w:p w:rsidR="007F47B8" w:rsidRPr="001077D9" w:rsidRDefault="007F47B8" w:rsidP="00C31960">
      <w:pPr>
        <w:pStyle w:val="Notedebasdepage"/>
      </w:pPr>
      <w:r>
        <w:rPr>
          <w:rStyle w:val="Appelnotedebasdep"/>
        </w:rPr>
        <w:footnoteRef/>
      </w:r>
      <w:r>
        <w:t xml:space="preserve"> </w:t>
      </w:r>
      <w:r w:rsidRPr="001077D9">
        <w:t>$ Plusieurs savants volumes sur les prophéties messianiques.</w:t>
      </w:r>
    </w:p>
  </w:footnote>
  <w:footnote w:id="571">
    <w:p w:rsidR="007F47B8" w:rsidRPr="001077D9" w:rsidRDefault="007F47B8" w:rsidP="00C31960">
      <w:pPr>
        <w:pStyle w:val="Notedebasdepage"/>
      </w:pPr>
      <w:r>
        <w:rPr>
          <w:rStyle w:val="Appelnotedebasdep"/>
        </w:rPr>
        <w:footnoteRef/>
      </w:r>
      <w:r>
        <w:t xml:space="preserve"> </w:t>
      </w:r>
      <w:r w:rsidRPr="001077D9">
        <w:t>$ Voir la note relative à Mr Loch.</w:t>
      </w:r>
    </w:p>
  </w:footnote>
  <w:footnote w:id="572">
    <w:p w:rsidR="007F47B8" w:rsidRPr="001077D9" w:rsidRDefault="007F47B8" w:rsidP="00C31960">
      <w:pPr>
        <w:pStyle w:val="Notedebasdepage"/>
      </w:pPr>
      <w:r>
        <w:rPr>
          <w:rStyle w:val="Appelnotedebasdep"/>
        </w:rPr>
        <w:footnoteRef/>
      </w:r>
      <w:r>
        <w:t xml:space="preserve"> </w:t>
      </w:r>
      <w:r w:rsidRPr="001077D9">
        <w:t xml:space="preserve">$ </w:t>
      </w:r>
      <w:r w:rsidRPr="00F92724">
        <w:rPr>
          <w:rStyle w:val="italicus"/>
        </w:rPr>
        <w:t xml:space="preserve">Commentaire sur l’Épître aux Romains, </w:t>
      </w:r>
      <w:r w:rsidRPr="001077D9">
        <w:t xml:space="preserve">1843 ; </w:t>
      </w:r>
      <w:r w:rsidRPr="00F92724">
        <w:rPr>
          <w:rStyle w:val="italicus"/>
        </w:rPr>
        <w:t>aux Galates</w:t>
      </w:r>
      <w:r w:rsidRPr="001077D9">
        <w:t xml:space="preserve">, 1865 ; </w:t>
      </w:r>
      <w:r w:rsidRPr="00F92724">
        <w:rPr>
          <w:rStyle w:val="italicus"/>
        </w:rPr>
        <w:t>Introduction au Nouveau Testament.</w:t>
      </w:r>
    </w:p>
  </w:footnote>
  <w:footnote w:id="573">
    <w:p w:rsidR="007F47B8" w:rsidRPr="00D26D04" w:rsidRDefault="007F47B8" w:rsidP="00C31960">
      <w:pPr>
        <w:pStyle w:val="Notedebasdepage"/>
        <w:rPr>
          <w:i/>
        </w:rPr>
      </w:pPr>
      <w:r>
        <w:rPr>
          <w:rStyle w:val="Appelnotedebasdep"/>
        </w:rPr>
        <w:footnoteRef/>
      </w:r>
      <w:r>
        <w:t xml:space="preserve"> </w:t>
      </w:r>
      <w:r w:rsidRPr="001077D9">
        <w:t xml:space="preserve">$ </w:t>
      </w:r>
      <w:r w:rsidRPr="00F92724">
        <w:rPr>
          <w:rStyle w:val="italicus"/>
        </w:rPr>
        <w:t>La Bible et la nature</w:t>
      </w:r>
      <w:r w:rsidRPr="001077D9">
        <w:t xml:space="preserve"> (traduit en français</w:t>
      </w:r>
      <w:r w:rsidRPr="00BA383E">
        <w:t>) ;</w:t>
      </w:r>
      <w:r w:rsidRPr="001077D9">
        <w:t xml:space="preserve"> </w:t>
      </w:r>
      <w:r w:rsidRPr="00F92724">
        <w:rPr>
          <w:rStyle w:val="italicus"/>
        </w:rPr>
        <w:t>Commentaires des livres de Baruch,</w:t>
      </w:r>
      <w:r w:rsidRPr="001077D9">
        <w:t xml:space="preserve"> 1853 ; </w:t>
      </w:r>
      <w:r w:rsidRPr="00F92724">
        <w:rPr>
          <w:rStyle w:val="italicus"/>
        </w:rPr>
        <w:t>de Tobie</w:t>
      </w:r>
      <w:r w:rsidRPr="001077D9">
        <w:t xml:space="preserve">, 1857 ; </w:t>
      </w:r>
      <w:r w:rsidRPr="00F92724">
        <w:rPr>
          <w:rStyle w:val="italicus"/>
        </w:rPr>
        <w:t xml:space="preserve">Introduction aux livres de l’Ancien Testament </w:t>
      </w:r>
      <w:r w:rsidRPr="001077D9">
        <w:t>(plusieurs éditions). M. Reusch aussi est devenu vieux-catholique.</w:t>
      </w:r>
    </w:p>
  </w:footnote>
  <w:footnote w:id="574">
    <w:p w:rsidR="007F47B8" w:rsidRPr="001077D9" w:rsidRDefault="007F47B8" w:rsidP="00C31960">
      <w:pPr>
        <w:pStyle w:val="Notedebasdepage"/>
      </w:pPr>
      <w:r>
        <w:rPr>
          <w:rStyle w:val="Appelnotedebasdep"/>
        </w:rPr>
        <w:footnoteRef/>
      </w:r>
      <w:r>
        <w:t xml:space="preserve"> </w:t>
      </w:r>
      <w:r w:rsidRPr="001077D9">
        <w:t xml:space="preserve">$ A </w:t>
      </w:r>
      <w:r w:rsidRPr="00F92724">
        <w:t>commenté les Psaumes, 1871 ; Isaïe, 1873 ; Daniel, 1876 ; les Proverbes, 1879.</w:t>
      </w:r>
    </w:p>
  </w:footnote>
  <w:footnote w:id="575">
    <w:p w:rsidR="007F47B8" w:rsidRPr="001077D9" w:rsidRDefault="007F47B8" w:rsidP="00C31960">
      <w:pPr>
        <w:pStyle w:val="Notedebasdepage"/>
      </w:pPr>
      <w:r>
        <w:rPr>
          <w:rStyle w:val="Appelnotedebasdep"/>
        </w:rPr>
        <w:footnoteRef/>
      </w:r>
      <w:r>
        <w:t xml:space="preserve"> </w:t>
      </w:r>
      <w:r w:rsidRPr="001077D9">
        <w:t>$ Un travail estimé sur la Chronologie biblique.</w:t>
      </w:r>
    </w:p>
  </w:footnote>
  <w:footnote w:id="576">
    <w:p w:rsidR="007F47B8" w:rsidRPr="001077D9" w:rsidRDefault="007F47B8" w:rsidP="00C31960">
      <w:pPr>
        <w:pStyle w:val="Notedebasdepage"/>
      </w:pPr>
      <w:r>
        <w:rPr>
          <w:rStyle w:val="Appelnotedebasdep"/>
        </w:rPr>
        <w:footnoteRef/>
      </w:r>
      <w:r>
        <w:t xml:space="preserve"> </w:t>
      </w:r>
      <w:r w:rsidRPr="001077D9">
        <w:t xml:space="preserve">$ </w:t>
      </w:r>
      <w:r w:rsidRPr="00F92724">
        <w:t>Commentaire sur l’Ecclésiaste,</w:t>
      </w:r>
      <w:r w:rsidRPr="001077D9">
        <w:t xml:space="preserve"> 1870 ; sur le Cantique, 1882.</w:t>
      </w:r>
    </w:p>
  </w:footnote>
  <w:footnote w:id="577">
    <w:p w:rsidR="007F47B8" w:rsidRPr="001077D9" w:rsidRDefault="007F47B8" w:rsidP="00C31960">
      <w:pPr>
        <w:pStyle w:val="Notedebasdepage"/>
      </w:pPr>
      <w:r>
        <w:rPr>
          <w:rStyle w:val="Appelnotedebasdep"/>
        </w:rPr>
        <w:footnoteRef/>
      </w:r>
      <w:r>
        <w:t xml:space="preserve"> </w:t>
      </w:r>
      <w:r w:rsidRPr="001077D9">
        <w:t>$ Commentaires excellents sur les trois premiers évangiles, 1879-</w:t>
      </w:r>
    </w:p>
  </w:footnote>
  <w:footnote w:id="578">
    <w:p w:rsidR="007F47B8" w:rsidRPr="001077D9" w:rsidRDefault="007F47B8" w:rsidP="00C31960">
      <w:pPr>
        <w:pStyle w:val="Notedebasdepage"/>
      </w:pPr>
      <w:r>
        <w:rPr>
          <w:rStyle w:val="Appelnotedebasdep"/>
        </w:rPr>
        <w:footnoteRef/>
      </w:r>
      <w:r>
        <w:t xml:space="preserve"> </w:t>
      </w:r>
      <w:r w:rsidRPr="001077D9">
        <w:t>$ A expliqué Isaïe, 1850 ; les petits Prophètes, les Psaumes, saint Matthieu, saint Marc, saint Luc et saint Jean, 1856-1880.</w:t>
      </w:r>
    </w:p>
  </w:footnote>
  <w:footnote w:id="579">
    <w:p w:rsidR="007F47B8" w:rsidRPr="001077D9" w:rsidRDefault="007F47B8" w:rsidP="00C31960">
      <w:pPr>
        <w:pStyle w:val="Notedebasdepage"/>
      </w:pPr>
      <w:r>
        <w:rPr>
          <w:rStyle w:val="Appelnotedebasdep"/>
        </w:rPr>
        <w:footnoteRef/>
      </w:r>
      <w:r>
        <w:t xml:space="preserve"> </w:t>
      </w:r>
      <w:r w:rsidRPr="001077D9">
        <w:t xml:space="preserve">$ </w:t>
      </w:r>
      <w:r w:rsidRPr="00F92724">
        <w:rPr>
          <w:rStyle w:val="italicus"/>
        </w:rPr>
        <w:t>Commentaires sur Jérémie,</w:t>
      </w:r>
      <w:r w:rsidRPr="001077D9">
        <w:t xml:space="preserve"> 1880 ; Osée, 1882.</w:t>
      </w:r>
    </w:p>
  </w:footnote>
  <w:footnote w:id="580">
    <w:p w:rsidR="007F47B8" w:rsidRPr="001077D9" w:rsidRDefault="007F47B8" w:rsidP="00C31960">
      <w:pPr>
        <w:pStyle w:val="Notedebasdepage"/>
      </w:pPr>
      <w:r>
        <w:rPr>
          <w:rStyle w:val="Appelnotedebasdep"/>
        </w:rPr>
        <w:footnoteRef/>
      </w:r>
      <w:r>
        <w:t xml:space="preserve"> </w:t>
      </w:r>
      <w:r w:rsidRPr="001077D9">
        <w:t xml:space="preserve">$ </w:t>
      </w:r>
      <w:r w:rsidRPr="00F92724">
        <w:rPr>
          <w:rStyle w:val="italicus"/>
        </w:rPr>
        <w:t>Manuel pour l’histoire de l’Ancien et du Nouveau Testament,</w:t>
      </w:r>
      <w:r w:rsidRPr="001077D9">
        <w:t xml:space="preserve"> 3e édition.</w:t>
      </w:r>
    </w:p>
  </w:footnote>
  <w:footnote w:id="581">
    <w:p w:rsidR="007F47B8" w:rsidRPr="001077D9" w:rsidRDefault="007F47B8" w:rsidP="00C31960">
      <w:pPr>
        <w:pStyle w:val="Notedebasdepage"/>
      </w:pPr>
      <w:r>
        <w:rPr>
          <w:rStyle w:val="Appelnotedebasdep"/>
        </w:rPr>
        <w:footnoteRef/>
      </w:r>
      <w:r>
        <w:t xml:space="preserve"> </w:t>
      </w:r>
      <w:r w:rsidRPr="001077D9">
        <w:t xml:space="preserve">$ </w:t>
      </w:r>
      <w:r w:rsidRPr="00F92724">
        <w:rPr>
          <w:rStyle w:val="italicus"/>
        </w:rPr>
        <w:t>Vie de Jésus</w:t>
      </w:r>
      <w:r w:rsidRPr="001077D9">
        <w:t xml:space="preserve"> en 7 vol. in-8°, 1843-1846 (la traduct. française est très abrégée).</w:t>
      </w:r>
    </w:p>
  </w:footnote>
  <w:footnote w:id="582">
    <w:p w:rsidR="007F47B8" w:rsidRPr="001077D9" w:rsidRDefault="007F47B8" w:rsidP="00C31960">
      <w:pPr>
        <w:pStyle w:val="Notedebasdepage"/>
      </w:pPr>
      <w:r>
        <w:rPr>
          <w:rStyle w:val="Appelnotedebasdep"/>
        </w:rPr>
        <w:footnoteRef/>
      </w:r>
      <w:r>
        <w:t xml:space="preserve"> </w:t>
      </w:r>
      <w:r w:rsidRPr="001077D9">
        <w:t xml:space="preserve">$ </w:t>
      </w:r>
      <w:r w:rsidRPr="00F92724">
        <w:rPr>
          <w:rStyle w:val="italicus"/>
        </w:rPr>
        <w:t>Théologie de saint Paul,</w:t>
      </w:r>
      <w:r w:rsidRPr="001077D9">
        <w:t xml:space="preserve"> 1863.</w:t>
      </w:r>
    </w:p>
  </w:footnote>
  <w:footnote w:id="583">
    <w:p w:rsidR="007F47B8" w:rsidRPr="001077D9" w:rsidRDefault="007F47B8" w:rsidP="00C31960">
      <w:pPr>
        <w:pStyle w:val="Notedebasdepage"/>
      </w:pPr>
      <w:r>
        <w:rPr>
          <w:rStyle w:val="Appelnotedebasdep"/>
        </w:rPr>
        <w:footnoteRef/>
      </w:r>
      <w:r>
        <w:t xml:space="preserve"> </w:t>
      </w:r>
      <w:r w:rsidRPr="001077D9">
        <w:t xml:space="preserve">$ </w:t>
      </w:r>
      <w:r w:rsidRPr="00F92724">
        <w:rPr>
          <w:rStyle w:val="italicus"/>
        </w:rPr>
        <w:t>Les Psaumes commentés.</w:t>
      </w:r>
    </w:p>
  </w:footnote>
  <w:footnote w:id="584">
    <w:p w:rsidR="007F47B8" w:rsidRPr="00D26D04" w:rsidRDefault="007F47B8" w:rsidP="00C31960">
      <w:pPr>
        <w:pStyle w:val="Notedebasdepage"/>
        <w:rPr>
          <w:i/>
        </w:rPr>
      </w:pPr>
      <w:r>
        <w:rPr>
          <w:rStyle w:val="Appelnotedebasdep"/>
        </w:rPr>
        <w:footnoteRef/>
      </w:r>
      <w:r>
        <w:t xml:space="preserve"> </w:t>
      </w:r>
      <w:r w:rsidRPr="001077D9">
        <w:t xml:space="preserve">$ </w:t>
      </w:r>
      <w:r w:rsidRPr="00F92724">
        <w:rPr>
          <w:rStyle w:val="italicus"/>
        </w:rPr>
        <w:t>Commentaire sur Job,</w:t>
      </w:r>
      <w:r w:rsidRPr="001077D9">
        <w:t xml:space="preserve"> 1849 ; </w:t>
      </w:r>
      <w:r w:rsidRPr="00F92724">
        <w:rPr>
          <w:rStyle w:val="italicus"/>
        </w:rPr>
        <w:t>Introduction à l’An</w:t>
      </w:r>
      <w:r>
        <w:rPr>
          <w:rStyle w:val="italicus"/>
        </w:rPr>
        <w:t>c</w:t>
      </w:r>
      <w:r w:rsidRPr="00F92724">
        <w:rPr>
          <w:rStyle w:val="italicus"/>
        </w:rPr>
        <w:t xml:space="preserve">. Testament, </w:t>
      </w:r>
      <w:r w:rsidRPr="001077D9">
        <w:t>5 vol.</w:t>
      </w:r>
    </w:p>
  </w:footnote>
  <w:footnote w:id="585">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 xml:space="preserve">Les Femmes de la Bible, 1882 ; Historia sacra antíqui Testaménti, </w:t>
      </w:r>
      <w:r>
        <w:rPr>
          <w:rStyle w:val="italicus"/>
        </w:rPr>
        <w:t>Comment.</w:t>
      </w:r>
      <w:r w:rsidRPr="0044481F">
        <w:rPr>
          <w:rStyle w:val="italicus"/>
        </w:rPr>
        <w:t xml:space="preserve"> in epístolam ad Philipp., 1852 ; ad Romanos ; in Act. Apostolórum.</w:t>
      </w:r>
    </w:p>
  </w:footnote>
  <w:footnote w:id="586">
    <w:p w:rsidR="007F47B8" w:rsidRPr="00216D08" w:rsidRDefault="007F47B8" w:rsidP="00C31960">
      <w:pPr>
        <w:pStyle w:val="Notedebasdepage"/>
        <w:rPr>
          <w:i/>
        </w:rPr>
      </w:pPr>
      <w:r>
        <w:rPr>
          <w:rStyle w:val="Appelnotedebasdep"/>
        </w:rPr>
        <w:footnoteRef/>
      </w:r>
      <w:r w:rsidRPr="00216D08">
        <w:t xml:space="preserve"> </w:t>
      </w:r>
      <w:r w:rsidRPr="00216D08">
        <w:rPr>
          <w:rStyle w:val="italicus"/>
        </w:rPr>
        <w:t xml:space="preserve">$ Comment. in Evang. S. Joánnis, </w:t>
      </w:r>
      <w:r w:rsidRPr="00216D08">
        <w:t>1878.</w:t>
      </w:r>
    </w:p>
  </w:footnote>
  <w:footnote w:id="587">
    <w:p w:rsidR="007F47B8" w:rsidRPr="00D26D04" w:rsidRDefault="007F47B8" w:rsidP="00C31960">
      <w:pPr>
        <w:pStyle w:val="Notedebasdepage"/>
      </w:pPr>
      <w:r>
        <w:rPr>
          <w:rStyle w:val="Appelnotedebasdep"/>
        </w:rPr>
        <w:footnoteRef/>
      </w:r>
      <w:r>
        <w:t xml:space="preserve"> </w:t>
      </w:r>
      <w:r>
        <w:rPr>
          <w:rStyle w:val="italicus"/>
        </w:rPr>
        <w:t xml:space="preserve">$ </w:t>
      </w:r>
      <w:r w:rsidRPr="001077D9">
        <w:t>Travaux importants d’assyriologie ; articles sur Daniel, Judith, etc., en diverses Revues.</w:t>
      </w:r>
    </w:p>
  </w:footnote>
  <w:footnote w:id="588">
    <w:p w:rsidR="007F47B8" w:rsidRPr="007F47B8" w:rsidRDefault="007F47B8" w:rsidP="00C31960">
      <w:pPr>
        <w:pStyle w:val="Notedebasdepage"/>
        <w:rPr>
          <w:lang w:val="en-US"/>
        </w:rPr>
      </w:pPr>
      <w:r>
        <w:rPr>
          <w:rStyle w:val="Appelnotedebasdep"/>
        </w:rPr>
        <w:footnoteRef/>
      </w:r>
      <w:r w:rsidRPr="00AA3DE3">
        <w:rPr>
          <w:lang w:val="en-US"/>
        </w:rPr>
        <w:t xml:space="preserve"> </w:t>
      </w:r>
      <w:r w:rsidRPr="007F47B8">
        <w:rPr>
          <w:lang w:val="en-US"/>
        </w:rPr>
        <w:t xml:space="preserve">$ </w:t>
      </w:r>
      <w:r w:rsidRPr="00F84A0B">
        <w:rPr>
          <w:rStyle w:val="italicus"/>
          <w:lang w:val="en-US"/>
        </w:rPr>
        <w:t xml:space="preserve">Introdúctio in S. Scriptúram, </w:t>
      </w:r>
      <w:r w:rsidRPr="00F84A0B">
        <w:rPr>
          <w:lang w:val="en-US"/>
        </w:rPr>
        <w:t>2 vol. in-8°, 1866.</w:t>
      </w:r>
    </w:p>
  </w:footnote>
  <w:footnote w:id="589">
    <w:p w:rsidR="007F47B8" w:rsidRPr="00D26D04" w:rsidRDefault="007F47B8" w:rsidP="00C31960">
      <w:pPr>
        <w:pStyle w:val="Notedebasdepage"/>
        <w:rPr>
          <w:lang w:val="en-US"/>
        </w:rPr>
      </w:pPr>
      <w:r>
        <w:rPr>
          <w:rStyle w:val="Appelnotedebasdep"/>
        </w:rPr>
        <w:footnoteRef/>
      </w:r>
      <w:r w:rsidRPr="00D26D04">
        <w:rPr>
          <w:lang w:val="en-US"/>
        </w:rPr>
        <w:t xml:space="preserve"> </w:t>
      </w:r>
      <w:r w:rsidRPr="00F84A0B">
        <w:rPr>
          <w:rStyle w:val="italicus"/>
          <w:lang w:val="en-US"/>
        </w:rPr>
        <w:t xml:space="preserve">$ Commentárius in Psalmos, </w:t>
      </w:r>
      <w:r w:rsidRPr="00F84A0B">
        <w:rPr>
          <w:lang w:val="en-US"/>
        </w:rPr>
        <w:t xml:space="preserve">3 vol., 1870 ; </w:t>
      </w:r>
      <w:r w:rsidRPr="00F84A0B">
        <w:rPr>
          <w:rStyle w:val="italicus"/>
          <w:lang w:val="en-US"/>
        </w:rPr>
        <w:t xml:space="preserve">Actus Apostolórum bréviter explicáti, </w:t>
      </w:r>
      <w:r w:rsidRPr="00F84A0B">
        <w:rPr>
          <w:lang w:val="en-US"/>
        </w:rPr>
        <w:t xml:space="preserve">1875 ; </w:t>
      </w:r>
      <w:r w:rsidRPr="00F84A0B">
        <w:rPr>
          <w:rStyle w:val="italicus"/>
          <w:lang w:val="en-US"/>
        </w:rPr>
        <w:t xml:space="preserve">Comment. in Evangel. sec. Matthǽum, </w:t>
      </w:r>
      <w:r w:rsidRPr="00F84A0B">
        <w:rPr>
          <w:lang w:val="en-US"/>
        </w:rPr>
        <w:t>2 vol., 1876 ;</w:t>
      </w:r>
      <w:r w:rsidRPr="00F84A0B">
        <w:rPr>
          <w:rStyle w:val="italicus"/>
          <w:lang w:val="en-US"/>
        </w:rPr>
        <w:t xml:space="preserve"> Comment. in epístolas Paulínas, </w:t>
      </w:r>
      <w:r w:rsidRPr="00F84A0B">
        <w:rPr>
          <w:lang w:val="en-US"/>
        </w:rPr>
        <w:t>1878.</w:t>
      </w:r>
    </w:p>
  </w:footnote>
  <w:footnote w:id="590">
    <w:p w:rsidR="007F47B8" w:rsidRPr="00AA3DE3" w:rsidRDefault="007F47B8" w:rsidP="00C31960">
      <w:pPr>
        <w:pStyle w:val="Notedebasdepage"/>
      </w:pPr>
      <w:r>
        <w:rPr>
          <w:rStyle w:val="Appelnotedebasdep"/>
        </w:rPr>
        <w:footnoteRef/>
      </w:r>
      <w:r w:rsidRPr="00AA3DE3">
        <w:t xml:space="preserve"> </w:t>
      </w:r>
      <w:r>
        <w:rPr>
          <w:rStyle w:val="italicus"/>
        </w:rPr>
        <w:t xml:space="preserve">$ </w:t>
      </w:r>
      <w:r w:rsidRPr="001077D9">
        <w:t>L’univers entier a admiré ses travaux critiques et paléographiques.</w:t>
      </w:r>
    </w:p>
  </w:footnote>
  <w:footnote w:id="591">
    <w:p w:rsidR="007F47B8" w:rsidRPr="001077D9" w:rsidRDefault="007F47B8" w:rsidP="00C31960">
      <w:pPr>
        <w:pStyle w:val="Notedebasdepage"/>
      </w:pPr>
      <w:r>
        <w:rPr>
          <w:rStyle w:val="Appelnotedebasdep"/>
        </w:rPr>
        <w:footnoteRef/>
      </w:r>
      <w:r>
        <w:t xml:space="preserve"> </w:t>
      </w:r>
      <w:r w:rsidRPr="001077D9">
        <w:t>$ Études sur la vie de Notre Seigneur Jésus-Christ.</w:t>
      </w:r>
    </w:p>
  </w:footnote>
  <w:footnote w:id="592">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 xml:space="preserve">Divíni Volúminis exegetico-scientifica Synopsis, </w:t>
      </w:r>
      <w:r w:rsidRPr="00F92724">
        <w:t>3e édit. en 1884, Naples.</w:t>
      </w:r>
    </w:p>
  </w:footnote>
  <w:footnote w:id="593">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La vita di Gesu Cristo, </w:t>
      </w:r>
      <w:r w:rsidRPr="00F92724">
        <w:t>1873.</w:t>
      </w:r>
    </w:p>
  </w:footnote>
  <w:footnote w:id="594">
    <w:p w:rsidR="007F47B8" w:rsidRDefault="007F47B8" w:rsidP="00C31960">
      <w:pPr>
        <w:pStyle w:val="Notedebasdepage"/>
      </w:pPr>
      <w:r>
        <w:rPr>
          <w:rStyle w:val="Appelnotedebasdep"/>
        </w:rPr>
        <w:footnoteRef/>
      </w:r>
      <w:r>
        <w:t xml:space="preserve"> </w:t>
      </w:r>
      <w:r>
        <w:rPr>
          <w:rStyle w:val="italicus"/>
        </w:rPr>
        <w:t>$ Il</w:t>
      </w:r>
      <w:r w:rsidRPr="0044481F">
        <w:rPr>
          <w:rStyle w:val="italicus"/>
        </w:rPr>
        <w:t xml:space="preserve"> libro di Kohéleth, </w:t>
      </w:r>
      <w:r w:rsidRPr="00F92724">
        <w:t>1865.</w:t>
      </w:r>
    </w:p>
  </w:footnote>
  <w:footnote w:id="595">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Numism</w:t>
      </w:r>
      <w:r>
        <w:rPr>
          <w:rStyle w:val="italicus"/>
        </w:rPr>
        <w:t>á</w:t>
      </w:r>
      <w:r w:rsidRPr="0044481F">
        <w:rPr>
          <w:rStyle w:val="italicus"/>
        </w:rPr>
        <w:t xml:space="preserve">tica bíblica, </w:t>
      </w:r>
      <w:r w:rsidRPr="00F92724">
        <w:t>1850.</w:t>
      </w:r>
    </w:p>
  </w:footnote>
  <w:footnote w:id="596">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Sacrórum Bibliórum vetustíssima fragmenta, </w:t>
      </w:r>
      <w:r w:rsidRPr="00F92724">
        <w:t>1867.</w:t>
      </w:r>
    </w:p>
  </w:footnote>
  <w:footnote w:id="597">
    <w:p w:rsidR="007F47B8" w:rsidRDefault="007F47B8" w:rsidP="00C31960">
      <w:pPr>
        <w:pStyle w:val="Notedebasdepage"/>
      </w:pPr>
      <w:r>
        <w:rPr>
          <w:rStyle w:val="Appelnotedebasdep"/>
        </w:rPr>
        <w:footnoteRef/>
      </w:r>
      <w:r w:rsidRPr="00AA3DE3">
        <w:rPr>
          <w:lang w:val="en-US"/>
        </w:rPr>
        <w:t xml:space="preserve"> </w:t>
      </w:r>
      <w:r w:rsidRPr="00F84A0B">
        <w:rPr>
          <w:rStyle w:val="italicus"/>
          <w:lang w:val="en-US"/>
        </w:rPr>
        <w:t>$ Lezioni esegetiche sopra i quattro evangeli,</w:t>
      </w:r>
      <w:r w:rsidRPr="007F47B8">
        <w:rPr>
          <w:lang w:val="en-US"/>
        </w:rPr>
        <w:t xml:space="preserve"> 5 vol. in-8°, 1873-1876 ; </w:t>
      </w:r>
      <w:r w:rsidRPr="00F84A0B">
        <w:rPr>
          <w:rStyle w:val="italicus"/>
          <w:lang w:val="en-US"/>
        </w:rPr>
        <w:t>Il Nuovo Testamento volgarizzato ed esposto,</w:t>
      </w:r>
      <w:r w:rsidRPr="007F47B8">
        <w:rPr>
          <w:lang w:val="en-US"/>
        </w:rPr>
        <w:t xml:space="preserve"> 3 vol., 1879-1882 ;</w:t>
      </w:r>
      <w:r w:rsidRPr="00F84A0B">
        <w:rPr>
          <w:rStyle w:val="italicus"/>
          <w:lang w:val="en-US"/>
        </w:rPr>
        <w:t xml:space="preserve"> I Salmi volgarizzati ed esposti,</w:t>
      </w:r>
      <w:r w:rsidRPr="007F47B8">
        <w:rPr>
          <w:lang w:val="en-US"/>
        </w:rPr>
        <w:t xml:space="preserve"> 1883. </w:t>
      </w:r>
      <w:r w:rsidRPr="001077D9">
        <w:t>En ces derniers temps le P. Curci a acquis une fâcheuse célébrité sur le terrain de la politique religieuse.</w:t>
      </w:r>
    </w:p>
  </w:footnote>
  <w:footnote w:id="598">
    <w:p w:rsidR="007F47B8" w:rsidRPr="001077D9" w:rsidRDefault="007F47B8" w:rsidP="00C31960">
      <w:pPr>
        <w:pStyle w:val="Notedebasdepage"/>
      </w:pPr>
      <w:r>
        <w:rPr>
          <w:rStyle w:val="Appelnotedebasdep"/>
        </w:rPr>
        <w:footnoteRef/>
      </w:r>
      <w:r w:rsidRPr="00AA3DE3">
        <w:t xml:space="preserve"> </w:t>
      </w:r>
      <w:r w:rsidRPr="001077D9">
        <w:t xml:space="preserve">$ </w:t>
      </w:r>
      <w:r w:rsidRPr="0044481F">
        <w:rPr>
          <w:rStyle w:val="italicus"/>
        </w:rPr>
        <w:t>De Evangéliis</w:t>
      </w:r>
      <w:r>
        <w:rPr>
          <w:rStyle w:val="italicus"/>
        </w:rPr>
        <w:t xml:space="preserve"> libri tre</w:t>
      </w:r>
      <w:r w:rsidRPr="0044481F">
        <w:rPr>
          <w:rStyle w:val="italicus"/>
        </w:rPr>
        <w:t xml:space="preserve">s, </w:t>
      </w:r>
      <w:r w:rsidRPr="00F92724">
        <w:t>2 vol. in-4°, 1852-1853 ;</w:t>
      </w:r>
      <w:r w:rsidRPr="0044481F">
        <w:rPr>
          <w:rStyle w:val="italicus"/>
        </w:rPr>
        <w:t xml:space="preserve"> </w:t>
      </w:r>
      <w:r>
        <w:rPr>
          <w:rStyle w:val="italicus"/>
        </w:rPr>
        <w:t>Comment.</w:t>
      </w:r>
      <w:r w:rsidRPr="0044481F">
        <w:rPr>
          <w:rStyle w:val="italicus"/>
        </w:rPr>
        <w:t xml:space="preserve"> in Evang. Marci,</w:t>
      </w:r>
      <w:r w:rsidRPr="00F92724">
        <w:t xml:space="preserve"> 1867 ;</w:t>
      </w:r>
      <w:r w:rsidRPr="0044481F">
        <w:rPr>
          <w:rStyle w:val="italicus"/>
        </w:rPr>
        <w:t xml:space="preserve"> Joánnis, </w:t>
      </w:r>
      <w:r w:rsidRPr="00F92724">
        <w:t>1868 ;</w:t>
      </w:r>
      <w:r w:rsidRPr="0044481F">
        <w:rPr>
          <w:rStyle w:val="italicus"/>
        </w:rPr>
        <w:t xml:space="preserve"> </w:t>
      </w:r>
      <w:r>
        <w:rPr>
          <w:rStyle w:val="italicus"/>
        </w:rPr>
        <w:t>In Act</w:t>
      </w:r>
      <w:r w:rsidRPr="0044481F">
        <w:rPr>
          <w:rStyle w:val="italicus"/>
        </w:rPr>
        <w:t xml:space="preserve">us, </w:t>
      </w:r>
      <w:r w:rsidRPr="00F92724">
        <w:t>1867.</w:t>
      </w:r>
    </w:p>
  </w:footnote>
  <w:footnote w:id="599">
    <w:p w:rsidR="007F47B8" w:rsidRPr="00D26D04" w:rsidRDefault="007F47B8" w:rsidP="00C31960">
      <w:pPr>
        <w:pStyle w:val="Notedebasdepage"/>
        <w:rPr>
          <w:i/>
        </w:rPr>
      </w:pPr>
      <w:r>
        <w:rPr>
          <w:rStyle w:val="Appelnotedebasdep"/>
        </w:rPr>
        <w:footnoteRef/>
      </w:r>
      <w:r>
        <w:t xml:space="preserve"> </w:t>
      </w:r>
      <w:r>
        <w:rPr>
          <w:rStyle w:val="italicus"/>
        </w:rPr>
        <w:t xml:space="preserve">$ </w:t>
      </w:r>
      <w:r w:rsidRPr="001077D9">
        <w:t>Vient d’achever brillamment l’édition du célèbre</w:t>
      </w:r>
      <w:r w:rsidRPr="0044481F">
        <w:rPr>
          <w:rStyle w:val="italicus"/>
        </w:rPr>
        <w:t xml:space="preserve"> Codex Vaticánus, </w:t>
      </w:r>
      <w:r w:rsidRPr="001077D9">
        <w:t>commencée par les Pères Vercellone et Cozza.</w:t>
      </w:r>
    </w:p>
  </w:footnote>
  <w:footnote w:id="600">
    <w:p w:rsidR="007F47B8" w:rsidRPr="001077D9" w:rsidRDefault="007F47B8" w:rsidP="00C31960">
      <w:pPr>
        <w:pStyle w:val="Notedebasdepage"/>
      </w:pPr>
      <w:r>
        <w:rPr>
          <w:rStyle w:val="Appelnotedebasdep"/>
        </w:rPr>
        <w:footnoteRef/>
      </w:r>
      <w:r>
        <w:t xml:space="preserve"> </w:t>
      </w:r>
      <w:r w:rsidRPr="001077D9">
        <w:t xml:space="preserve">$ </w:t>
      </w:r>
      <w:r>
        <w:rPr>
          <w:rStyle w:val="italicus"/>
        </w:rPr>
        <w:t>Váriæ lectiónes Vulgátæ latínæ</w:t>
      </w:r>
      <w:r w:rsidRPr="0044481F">
        <w:rPr>
          <w:rStyle w:val="italicus"/>
        </w:rPr>
        <w:t>,</w:t>
      </w:r>
      <w:r w:rsidRPr="001077D9">
        <w:t xml:space="preserve"> 1860-1864, et plusieurs dissertations savantes (voir sa biographie dans la</w:t>
      </w:r>
      <w:r w:rsidRPr="0044481F">
        <w:rPr>
          <w:rStyle w:val="italicus"/>
        </w:rPr>
        <w:t xml:space="preserve"> Revue des sciences ecclésiastiques, </w:t>
      </w:r>
      <w:r w:rsidRPr="001077D9">
        <w:t>année 1871, n° de juillet).</w:t>
      </w:r>
    </w:p>
  </w:footnote>
  <w:footnote w:id="601">
    <w:p w:rsidR="007F47B8" w:rsidRPr="001077D9" w:rsidRDefault="007F47B8" w:rsidP="00C31960">
      <w:pPr>
        <w:pStyle w:val="Notedebasdepage"/>
      </w:pPr>
      <w:r>
        <w:rPr>
          <w:rStyle w:val="Appelnotedebasdep"/>
        </w:rPr>
        <w:footnoteRef/>
      </w:r>
      <w:r>
        <w:t xml:space="preserve"> </w:t>
      </w:r>
      <w:r w:rsidRPr="001077D9">
        <w:t>$ Nous aurions pu aisément doubler, tripler même cette aride nomenclature.</w:t>
      </w:r>
    </w:p>
  </w:footnote>
  <w:footnote w:id="602">
    <w:p w:rsidR="007F47B8" w:rsidRPr="001077D9" w:rsidRDefault="007F47B8" w:rsidP="00C31960">
      <w:pPr>
        <w:pStyle w:val="Notedebasdepage"/>
      </w:pPr>
      <w:r>
        <w:rPr>
          <w:rStyle w:val="Appelnotedebasdep"/>
        </w:rPr>
        <w:footnoteRef/>
      </w:r>
      <w:r>
        <w:t xml:space="preserve"> </w:t>
      </w:r>
      <w:r w:rsidRPr="001077D9">
        <w:t>$ Sante Pagnino.</w:t>
      </w:r>
    </w:p>
  </w:footnote>
  <w:footnote w:id="603">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 xml:space="preserve">Histoire critique du texte du Nouveau Testament, </w:t>
      </w:r>
      <w:r w:rsidRPr="00F92724">
        <w:t>Préface.</w:t>
      </w:r>
    </w:p>
  </w:footnote>
  <w:footnote w:id="604">
    <w:p w:rsidR="007F47B8" w:rsidRPr="00D26D04" w:rsidRDefault="007F47B8" w:rsidP="00C31960">
      <w:pPr>
        <w:pStyle w:val="Notedebasdepage"/>
        <w:rPr>
          <w:i/>
        </w:rPr>
      </w:pPr>
      <w:r>
        <w:rPr>
          <w:rStyle w:val="Appelnotedebasdep"/>
        </w:rPr>
        <w:footnoteRef/>
      </w:r>
      <w:r w:rsidRPr="00AA3DE3">
        <w:rPr>
          <w:lang w:val="en-US"/>
        </w:rPr>
        <w:t xml:space="preserve"> </w:t>
      </w:r>
      <w:r w:rsidRPr="00F84A0B">
        <w:rPr>
          <w:rStyle w:val="italicus"/>
          <w:lang w:val="en-US"/>
        </w:rPr>
        <w:t>$ The Academy,</w:t>
      </w:r>
      <w:r w:rsidRPr="007F47B8">
        <w:rPr>
          <w:lang w:val="en-US"/>
        </w:rPr>
        <w:t xml:space="preserve"> 4 juin 1881, n° 474, nouv. </w:t>
      </w:r>
      <w:r w:rsidRPr="001077D9">
        <w:t>Série, p. 405.</w:t>
      </w:r>
    </w:p>
  </w:footnote>
  <w:footnote w:id="605">
    <w:p w:rsidR="007F47B8" w:rsidRPr="001077D9" w:rsidRDefault="007F47B8" w:rsidP="00C31960">
      <w:pPr>
        <w:pStyle w:val="Notedebasdepage"/>
      </w:pPr>
      <w:r>
        <w:rPr>
          <w:rStyle w:val="Appelnotedebasdep"/>
        </w:rPr>
        <w:footnoteRef/>
      </w:r>
      <w:r w:rsidRPr="00AA3DE3">
        <w:t xml:space="preserve"> </w:t>
      </w:r>
      <w:r w:rsidRPr="001077D9">
        <w:t>$ La plupart de ces détails sont exposés tout au long dans le</w:t>
      </w:r>
      <w:r w:rsidRPr="0044481F">
        <w:rPr>
          <w:rStyle w:val="italicus"/>
        </w:rPr>
        <w:t xml:space="preserve"> Publisher’s Circular,</w:t>
      </w:r>
      <w:r w:rsidRPr="001077D9">
        <w:t xml:space="preserve"> n° 1049, 1er juin 1881, t. XLIV, p. 425-427.</w:t>
      </w:r>
    </w:p>
  </w:footnote>
  <w:footnote w:id="606">
    <w:p w:rsidR="007F47B8" w:rsidRPr="001077D9" w:rsidRDefault="007F47B8" w:rsidP="00C31960">
      <w:pPr>
        <w:pStyle w:val="Notedebasdepage"/>
      </w:pPr>
      <w:r>
        <w:rPr>
          <w:rStyle w:val="Appelnotedebasdep"/>
        </w:rPr>
        <w:footnoteRef/>
      </w:r>
      <w:r>
        <w:t xml:space="preserve"> </w:t>
      </w:r>
      <w:r w:rsidRPr="001077D9">
        <w:t>$ Voici quelques-uns des travaux les plus remarqués, indépendamment de ceux que nous aurons l’occasion de citer bientôt : 1° un excellent article de M. le chanoine Dolman, dans la</w:t>
      </w:r>
      <w:r w:rsidRPr="0044481F">
        <w:rPr>
          <w:rStyle w:val="italicus"/>
        </w:rPr>
        <w:t xml:space="preserve"> Dublin Review,</w:t>
      </w:r>
      <w:r w:rsidRPr="001077D9">
        <w:t xml:space="preserve"> juillet 1881 ; 2° </w:t>
      </w:r>
      <w:r w:rsidRPr="0044481F">
        <w:rPr>
          <w:rStyle w:val="italicus"/>
        </w:rPr>
        <w:t>The Revision revised</w:t>
      </w:r>
      <w:r w:rsidRPr="001077D9">
        <w:t xml:space="preserve"> (La révision révisée</w:t>
      </w:r>
      <w:r w:rsidRPr="00BA383E">
        <w:t xml:space="preserve">), </w:t>
      </w:r>
      <w:r w:rsidRPr="001077D9">
        <w:t xml:space="preserve">trois articles publiés dans la </w:t>
      </w:r>
      <w:r w:rsidRPr="0044481F">
        <w:rPr>
          <w:rStyle w:val="italicus"/>
        </w:rPr>
        <w:t>Quarterly Review,</w:t>
      </w:r>
      <w:r w:rsidRPr="001077D9">
        <w:t xml:space="preserve"> octobre 1881, avril et octobre 1882, par M. Burgon, doyen (anglican</w:t>
      </w:r>
      <w:r w:rsidRPr="00BA383E">
        <w:t xml:space="preserve">) </w:t>
      </w:r>
      <w:r w:rsidRPr="001077D9">
        <w:t>de Chichester ; 3° E. Beckett,</w:t>
      </w:r>
      <w:r w:rsidRPr="0044481F">
        <w:rPr>
          <w:rStyle w:val="italicus"/>
        </w:rPr>
        <w:t xml:space="preserve"> Should the revised New Testament be authorized</w:t>
      </w:r>
      <w:r w:rsidRPr="001077D9">
        <w:t xml:space="preserve"> (Devra-t-on autoriser le Nouveau Testament révisé ?</w:t>
      </w:r>
      <w:r w:rsidRPr="00BA383E">
        <w:t xml:space="preserve">), </w:t>
      </w:r>
      <w:r w:rsidRPr="001077D9">
        <w:t>Londres 1881 ; 4° Dr Samson,</w:t>
      </w:r>
      <w:r w:rsidRPr="0044481F">
        <w:rPr>
          <w:rStyle w:val="italicus"/>
        </w:rPr>
        <w:t xml:space="preserve"> The english Reviser’s greek Text shown to be unauthorized</w:t>
      </w:r>
      <w:r w:rsidRPr="001077D9">
        <w:t xml:space="preserve"> (L’on montre que le texte grec des réviseurs anglais n’est pas autorisé</w:t>
      </w:r>
      <w:r w:rsidRPr="00BA383E">
        <w:t xml:space="preserve">), </w:t>
      </w:r>
      <w:r w:rsidRPr="001077D9">
        <w:t>New-York, 1882 ;</w:t>
      </w:r>
      <w:r>
        <w:rPr>
          <w:rStyle w:val="italicus"/>
        </w:rPr>
        <w:t xml:space="preserve"> The revised Version and it</w:t>
      </w:r>
      <w:r w:rsidRPr="0044481F">
        <w:rPr>
          <w:rStyle w:val="italicus"/>
        </w:rPr>
        <w:t>s assailants</w:t>
      </w:r>
      <w:r w:rsidRPr="001077D9">
        <w:t xml:space="preserve"> (La version révisée et ses adversaires</w:t>
      </w:r>
      <w:r w:rsidRPr="00BA383E">
        <w:t xml:space="preserve">), </w:t>
      </w:r>
      <w:r w:rsidRPr="001077D9">
        <w:t>article de M. le chanoine (anglican</w:t>
      </w:r>
      <w:r w:rsidRPr="00BA383E">
        <w:t xml:space="preserve">) </w:t>
      </w:r>
      <w:r w:rsidRPr="001077D9">
        <w:t>Farrar dans la</w:t>
      </w:r>
      <w:r w:rsidRPr="0044481F">
        <w:rPr>
          <w:rStyle w:val="italicus"/>
        </w:rPr>
        <w:t xml:space="preserve"> Contemporary Review,</w:t>
      </w:r>
      <w:r w:rsidRPr="001077D9">
        <w:t xml:space="preserve"> mars 1882 ; 6° W. A. Osborne,</w:t>
      </w:r>
      <w:r w:rsidRPr="0044481F">
        <w:rPr>
          <w:rStyle w:val="italicus"/>
        </w:rPr>
        <w:t xml:space="preserve"> The revised Version of the N. Test.,</w:t>
      </w:r>
      <w:r w:rsidRPr="001077D9">
        <w:t xml:space="preserve"> Londres, 1882, commentaire critique accompagné de notes ; 7° W. G. Humphry,</w:t>
      </w:r>
      <w:r w:rsidRPr="0044481F">
        <w:rPr>
          <w:rStyle w:val="italicus"/>
        </w:rPr>
        <w:t xml:space="preserve"> </w:t>
      </w:r>
      <w:r>
        <w:rPr>
          <w:rStyle w:val="italicus"/>
        </w:rPr>
        <w:t>A</w:t>
      </w:r>
      <w:r w:rsidRPr="0044481F">
        <w:rPr>
          <w:rStyle w:val="italicus"/>
        </w:rPr>
        <w:t xml:space="preserve"> Commentary on the revised Version of the N. T.,</w:t>
      </w:r>
      <w:r w:rsidRPr="001077D9">
        <w:t xml:space="preserve"> Londres,1882 ; 8° F. C. Cook,</w:t>
      </w:r>
      <w:r w:rsidRPr="0044481F">
        <w:rPr>
          <w:rStyle w:val="italicus"/>
        </w:rPr>
        <w:t xml:space="preserve"> The revised Version of the first three Gospels</w:t>
      </w:r>
      <w:r w:rsidRPr="001077D9">
        <w:t xml:space="preserve"> (La version révisée des trois premiers évangiles, avec les changements qu’elle apporte aux actions et aux paroles de N. S. Jésus-Christ</w:t>
      </w:r>
      <w:r w:rsidRPr="00BA383E">
        <w:t>) ;</w:t>
      </w:r>
      <w:r w:rsidRPr="001077D9">
        <w:t xml:space="preserve"> 9°</w:t>
      </w:r>
      <w:r w:rsidRPr="0044481F">
        <w:rPr>
          <w:rStyle w:val="italicus"/>
        </w:rPr>
        <w:t xml:space="preserve"> The R</w:t>
      </w:r>
      <w:r>
        <w:rPr>
          <w:rStyle w:val="italicus"/>
        </w:rPr>
        <w:t>evisers an</w:t>
      </w:r>
      <w:r w:rsidRPr="0044481F">
        <w:rPr>
          <w:rStyle w:val="italicus"/>
        </w:rPr>
        <w:t>d the greek Text of the N. Test.</w:t>
      </w:r>
      <w:r w:rsidRPr="001077D9">
        <w:t xml:space="preserve"> (Les réviseurs et le texte grec du N. T.</w:t>
      </w:r>
      <w:r w:rsidRPr="00BA383E">
        <w:t xml:space="preserve">), </w:t>
      </w:r>
      <w:r w:rsidRPr="001077D9">
        <w:t>par deux des réviseurs, Londres 1882 ; 10°</w:t>
      </w:r>
      <w:r>
        <w:rPr>
          <w:rStyle w:val="italicus"/>
        </w:rPr>
        <w:t xml:space="preserve"> The revised Version and it</w:t>
      </w:r>
      <w:r w:rsidRPr="0044481F">
        <w:rPr>
          <w:rStyle w:val="italicus"/>
        </w:rPr>
        <w:t>s critics</w:t>
      </w:r>
      <w:r w:rsidRPr="001077D9">
        <w:t xml:space="preserve"> (La version révisée et ses critiques</w:t>
      </w:r>
      <w:r w:rsidRPr="00BA383E">
        <w:t xml:space="preserve">), </w:t>
      </w:r>
      <w:r w:rsidRPr="001077D9">
        <w:t xml:space="preserve">article de la </w:t>
      </w:r>
      <w:r w:rsidRPr="0044481F">
        <w:rPr>
          <w:rStyle w:val="italicus"/>
        </w:rPr>
        <w:t>Church Quarterly Review,</w:t>
      </w:r>
      <w:r w:rsidRPr="001077D9">
        <w:t xml:space="preserve"> janvier 1883 ; 11° Ph. </w:t>
      </w:r>
      <w:r w:rsidRPr="007F47B8">
        <w:rPr>
          <w:lang w:val="en-US"/>
        </w:rPr>
        <w:t>Schaff,</w:t>
      </w:r>
      <w:r w:rsidRPr="00F84A0B">
        <w:rPr>
          <w:rStyle w:val="italicus"/>
          <w:lang w:val="en-US"/>
        </w:rPr>
        <w:t xml:space="preserve"> A Companion to the greek Testament and the English Version,</w:t>
      </w:r>
      <w:r w:rsidRPr="007F47B8">
        <w:rPr>
          <w:lang w:val="en-US"/>
        </w:rPr>
        <w:t xml:space="preserve"> Londres, 1883. </w:t>
      </w:r>
      <w:r w:rsidRPr="001077D9">
        <w:t>Etc., etc.</w:t>
      </w:r>
    </w:p>
  </w:footnote>
  <w:footnote w:id="607">
    <w:p w:rsidR="007F47B8" w:rsidRPr="001077D9" w:rsidRDefault="007F47B8" w:rsidP="00C31960">
      <w:pPr>
        <w:pStyle w:val="Notedebasdepage"/>
      </w:pPr>
      <w:r>
        <w:rPr>
          <w:rStyle w:val="Appelnotedebasdep"/>
        </w:rPr>
        <w:footnoteRef/>
      </w:r>
      <w:r>
        <w:t xml:space="preserve"> </w:t>
      </w:r>
      <w:r w:rsidRPr="001077D9">
        <w:t>$ L’Ancien Testament révisé ne doit paraître que plus tard.</w:t>
      </w:r>
    </w:p>
  </w:footnote>
  <w:footnote w:id="608">
    <w:p w:rsidR="007F47B8" w:rsidRPr="007F47B8" w:rsidRDefault="007F47B8" w:rsidP="00C31960">
      <w:pPr>
        <w:pStyle w:val="Notedebasdepage"/>
        <w:rPr>
          <w:lang w:val="en-US"/>
        </w:rPr>
      </w:pPr>
      <w:r>
        <w:rPr>
          <w:rStyle w:val="Appelnotedebasdep"/>
        </w:rPr>
        <w:footnoteRef/>
      </w:r>
      <w:r w:rsidRPr="00AA3DE3">
        <w:rPr>
          <w:lang w:val="en-US"/>
        </w:rPr>
        <w:t xml:space="preserve"> </w:t>
      </w:r>
      <w:r w:rsidRPr="007F47B8">
        <w:rPr>
          <w:lang w:val="en-US"/>
        </w:rPr>
        <w:t xml:space="preserve">$ </w:t>
      </w:r>
      <w:r w:rsidRPr="00F84A0B">
        <w:rPr>
          <w:rStyle w:val="italicus"/>
          <w:lang w:val="en-US"/>
        </w:rPr>
        <w:t>Marc,</w:t>
      </w:r>
      <w:r w:rsidRPr="007F47B8">
        <w:rPr>
          <w:lang w:val="en-US"/>
        </w:rPr>
        <w:t xml:space="preserve"> XI, 28.</w:t>
      </w:r>
    </w:p>
  </w:footnote>
  <w:footnote w:id="609">
    <w:p w:rsidR="007F47B8" w:rsidRPr="007F47B8" w:rsidRDefault="007F47B8" w:rsidP="00C31960">
      <w:pPr>
        <w:pStyle w:val="Notedebasdepage"/>
        <w:rPr>
          <w:lang w:val="en-US"/>
        </w:rPr>
      </w:pPr>
      <w:r>
        <w:rPr>
          <w:rStyle w:val="Appelnotedebasdep"/>
        </w:rPr>
        <w:footnoteRef/>
      </w:r>
      <w:r w:rsidRPr="00D26D04">
        <w:rPr>
          <w:lang w:val="en-US"/>
        </w:rPr>
        <w:t xml:space="preserve"> </w:t>
      </w:r>
      <w:r w:rsidRPr="007F47B8">
        <w:rPr>
          <w:lang w:val="en-US"/>
        </w:rPr>
        <w:t xml:space="preserve">$ </w:t>
      </w:r>
      <w:r w:rsidRPr="00F84A0B">
        <w:rPr>
          <w:rStyle w:val="italicus"/>
          <w:lang w:val="en-US"/>
        </w:rPr>
        <w:t>Matth.</w:t>
      </w:r>
      <w:r w:rsidRPr="007F47B8">
        <w:rPr>
          <w:lang w:val="en-US"/>
        </w:rPr>
        <w:t xml:space="preserve"> XXI, 25.</w:t>
      </w:r>
    </w:p>
  </w:footnote>
  <w:footnote w:id="610">
    <w:p w:rsidR="007F47B8" w:rsidRPr="007F47B8" w:rsidRDefault="007F47B8" w:rsidP="00C31960">
      <w:pPr>
        <w:pStyle w:val="Notedebasdepage"/>
        <w:rPr>
          <w:lang w:val="en-US"/>
        </w:rPr>
      </w:pPr>
      <w:r>
        <w:rPr>
          <w:rStyle w:val="Appelnotedebasdep"/>
        </w:rPr>
        <w:footnoteRef/>
      </w:r>
      <w:r w:rsidRPr="00D26D04">
        <w:rPr>
          <w:lang w:val="en-US"/>
        </w:rPr>
        <w:t xml:space="preserve"> </w:t>
      </w:r>
      <w:r w:rsidRPr="007F47B8">
        <w:rPr>
          <w:lang w:val="en-US"/>
        </w:rPr>
        <w:t>$ « The authorised Version ».</w:t>
      </w:r>
    </w:p>
  </w:footnote>
  <w:footnote w:id="611">
    <w:p w:rsidR="007F47B8" w:rsidRPr="001077D9" w:rsidRDefault="007F47B8" w:rsidP="00C31960">
      <w:pPr>
        <w:pStyle w:val="Notedebasdepage"/>
      </w:pPr>
      <w:r>
        <w:rPr>
          <w:rStyle w:val="Appelnotedebasdep"/>
        </w:rPr>
        <w:footnoteRef/>
      </w:r>
      <w:r w:rsidRPr="00AA3DE3">
        <w:t xml:space="preserve"> </w:t>
      </w:r>
      <w:r w:rsidRPr="001077D9">
        <w:t>$ Les traducteurs donnèrent eux-mêmes l’exemple de l’adulation la plus servile. Dans leur préface, ils vont jusqu’à comparer Jacques Ier « au soleil dans sa splendeur » ; le roi est pour eux « une personne sanctifiée, enrichie de grâces singulières et extraordinaires ». Ils en appellent d’avance à son jugement contre les critiques « des papistes et des faux frères ». Même aujourd’hui, le révérend E. H. Plumptre ne craint pas de surnommer Jacques Ier « le Salomon anglais ». Smith,</w:t>
      </w:r>
      <w:r w:rsidRPr="0044481F">
        <w:rPr>
          <w:rStyle w:val="italicus"/>
        </w:rPr>
        <w:t xml:space="preserve"> Dictionary of the Bible,</w:t>
      </w:r>
      <w:r w:rsidRPr="001077D9">
        <w:t xml:space="preserve"> t. III, p. 1076.</w:t>
      </w:r>
    </w:p>
  </w:footnote>
  <w:footnote w:id="612">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Inter omnes éminet</w:t>
      </w:r>
      <w:r w:rsidRPr="001077D9">
        <w:t>, dit Wallon dans la préface de sa</w:t>
      </w:r>
      <w:r w:rsidRPr="0044481F">
        <w:rPr>
          <w:rStyle w:val="italicus"/>
        </w:rPr>
        <w:t xml:space="preserve"> Polyglotte.</w:t>
      </w:r>
    </w:p>
  </w:footnote>
  <w:footnote w:id="613">
    <w:p w:rsidR="007F47B8" w:rsidRPr="007F47B8" w:rsidRDefault="007F47B8" w:rsidP="00C31960">
      <w:pPr>
        <w:pStyle w:val="Notedebasdepage"/>
        <w:rPr>
          <w:lang w:val="en-US"/>
        </w:rPr>
      </w:pPr>
      <w:r>
        <w:rPr>
          <w:rStyle w:val="Appelnotedebasdep"/>
        </w:rPr>
        <w:footnoteRef/>
      </w:r>
      <w:r w:rsidRPr="00AA3DE3">
        <w:rPr>
          <w:lang w:val="en-US"/>
        </w:rPr>
        <w:t xml:space="preserve"> </w:t>
      </w:r>
      <w:r w:rsidRPr="007F47B8">
        <w:rPr>
          <w:lang w:val="en-US"/>
        </w:rPr>
        <w:t xml:space="preserve">$ </w:t>
      </w:r>
      <w:r w:rsidRPr="00F84A0B">
        <w:rPr>
          <w:rStyle w:val="italicus"/>
          <w:lang w:val="en-US"/>
        </w:rPr>
        <w:t xml:space="preserve">Loco citáto. </w:t>
      </w:r>
      <w:r w:rsidRPr="00F84A0B">
        <w:rPr>
          <w:lang w:val="en-US"/>
        </w:rPr>
        <w:t xml:space="preserve">Voyez aussi G. Salmon, </w:t>
      </w:r>
      <w:r w:rsidRPr="00F84A0B">
        <w:rPr>
          <w:rStyle w:val="italicus"/>
          <w:lang w:val="en-US"/>
        </w:rPr>
        <w:t xml:space="preserve">The Revision of the New Testament, </w:t>
      </w:r>
      <w:r w:rsidRPr="00F84A0B">
        <w:rPr>
          <w:lang w:val="en-US"/>
        </w:rPr>
        <w:t>Dublin, 1881, p. 4-6.</w:t>
      </w:r>
    </w:p>
  </w:footnote>
  <w:footnote w:id="614">
    <w:p w:rsidR="007F47B8" w:rsidRPr="00D26D04" w:rsidRDefault="007F47B8" w:rsidP="00C31960">
      <w:pPr>
        <w:pStyle w:val="Notedebasdepage"/>
        <w:rPr>
          <w:lang w:val="en-US"/>
        </w:rPr>
      </w:pPr>
      <w:r>
        <w:rPr>
          <w:rStyle w:val="Appelnotedebasdep"/>
        </w:rPr>
        <w:footnoteRef/>
      </w:r>
      <w:r w:rsidRPr="00D26D04">
        <w:rPr>
          <w:lang w:val="en-US"/>
        </w:rPr>
        <w:t xml:space="preserve"> </w:t>
      </w:r>
      <w:r w:rsidRPr="00F84A0B">
        <w:rPr>
          <w:rStyle w:val="italicus"/>
          <w:lang w:val="en-US"/>
        </w:rPr>
        <w:t xml:space="preserve">$ Lives of the Saints, </w:t>
      </w:r>
      <w:r w:rsidRPr="00F84A0B">
        <w:rPr>
          <w:lang w:val="en-US"/>
        </w:rPr>
        <w:t>p. 118.</w:t>
      </w:r>
    </w:p>
  </w:footnote>
  <w:footnote w:id="615">
    <w:p w:rsidR="007F47B8" w:rsidRPr="00AA3DE3" w:rsidRDefault="007F47B8" w:rsidP="00C31960">
      <w:pPr>
        <w:pStyle w:val="Notedebasdepage"/>
      </w:pPr>
      <w:r>
        <w:rPr>
          <w:rStyle w:val="Appelnotedebasdep"/>
        </w:rPr>
        <w:footnoteRef/>
      </w:r>
      <w:r w:rsidRPr="00AA3DE3">
        <w:t xml:space="preserve"> </w:t>
      </w:r>
      <w:r>
        <w:rPr>
          <w:rStyle w:val="italicus"/>
        </w:rPr>
        <w:t xml:space="preserve">$ </w:t>
      </w:r>
      <w:r w:rsidRPr="001077D9">
        <w:t>Voyez le</w:t>
      </w:r>
      <w:r w:rsidRPr="0044481F">
        <w:rPr>
          <w:rStyle w:val="italicus"/>
        </w:rPr>
        <w:t xml:space="preserve"> Nineteenth Century,</w:t>
      </w:r>
      <w:r w:rsidRPr="001077D9">
        <w:t xml:space="preserve"> </w:t>
      </w:r>
      <w:r w:rsidRPr="00D82270">
        <w:t xml:space="preserve">n° 52, </w:t>
      </w:r>
      <w:r w:rsidRPr="001077D9">
        <w:t>juin 1881, p. 919.</w:t>
      </w:r>
    </w:p>
  </w:footnote>
  <w:footnote w:id="616">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Ibid.</w:t>
      </w:r>
      <w:r w:rsidRPr="001077D9">
        <w:t xml:space="preserve"> Frenchify. C’est là, parait-il, une grosse injure en Angleterre.</w:t>
      </w:r>
    </w:p>
  </w:footnote>
  <w:footnote w:id="617">
    <w:p w:rsidR="007F47B8" w:rsidRPr="007F47B8" w:rsidRDefault="007F47B8" w:rsidP="00C31960">
      <w:pPr>
        <w:pStyle w:val="Notedebasdepage"/>
        <w:rPr>
          <w:lang w:val="en-US"/>
        </w:rPr>
      </w:pPr>
      <w:r>
        <w:rPr>
          <w:rStyle w:val="Appelnotedebasdep"/>
        </w:rPr>
        <w:footnoteRef/>
      </w:r>
      <w:r w:rsidRPr="00AA3DE3">
        <w:rPr>
          <w:lang w:val="en-US"/>
        </w:rPr>
        <w:t xml:space="preserve"> </w:t>
      </w:r>
      <w:r w:rsidRPr="007F47B8">
        <w:rPr>
          <w:lang w:val="en-US"/>
        </w:rPr>
        <w:t>$ G. Salmon,</w:t>
      </w:r>
      <w:r w:rsidRPr="00F84A0B">
        <w:rPr>
          <w:rStyle w:val="italicus"/>
          <w:lang w:val="en-US"/>
        </w:rPr>
        <w:t xml:space="preserve"> The Revision of the New Testament,</w:t>
      </w:r>
      <w:r w:rsidRPr="007F47B8">
        <w:rPr>
          <w:lang w:val="en-US"/>
        </w:rPr>
        <w:t xml:space="preserve"> p. 8.</w:t>
      </w:r>
    </w:p>
  </w:footnote>
  <w:footnote w:id="618">
    <w:p w:rsidR="007F47B8" w:rsidRPr="007F47B8" w:rsidRDefault="007F47B8" w:rsidP="00C31960">
      <w:pPr>
        <w:pStyle w:val="Notedebasdepage"/>
        <w:rPr>
          <w:lang w:val="en-US"/>
        </w:rPr>
      </w:pPr>
      <w:r>
        <w:rPr>
          <w:rStyle w:val="Appelnotedebasdep"/>
        </w:rPr>
        <w:footnoteRef/>
      </w:r>
      <w:r w:rsidRPr="00D26D04">
        <w:rPr>
          <w:lang w:val="en-US"/>
        </w:rPr>
        <w:t xml:space="preserve"> </w:t>
      </w:r>
      <w:r w:rsidRPr="007F47B8">
        <w:rPr>
          <w:lang w:val="en-US"/>
        </w:rPr>
        <w:t xml:space="preserve">$ </w:t>
      </w:r>
      <w:r w:rsidRPr="00F84A0B">
        <w:rPr>
          <w:rStyle w:val="italicus"/>
          <w:lang w:val="en-US"/>
        </w:rPr>
        <w:t>The Academy,</w:t>
      </w:r>
      <w:r w:rsidRPr="007F47B8">
        <w:rPr>
          <w:lang w:val="en-US"/>
        </w:rPr>
        <w:t xml:space="preserve"> l. c., p. 406.</w:t>
      </w:r>
    </w:p>
  </w:footnote>
  <w:footnote w:id="619">
    <w:p w:rsidR="007F47B8" w:rsidRPr="007F47B8" w:rsidRDefault="007F47B8" w:rsidP="00C31960">
      <w:pPr>
        <w:pStyle w:val="Notedebasdepage"/>
        <w:rPr>
          <w:lang w:val="en-US"/>
        </w:rPr>
      </w:pPr>
      <w:r>
        <w:rPr>
          <w:rStyle w:val="Appelnotedebasdep"/>
        </w:rPr>
        <w:footnoteRef/>
      </w:r>
      <w:r w:rsidRPr="00D26D04">
        <w:rPr>
          <w:lang w:val="en-US"/>
        </w:rPr>
        <w:t xml:space="preserve"> </w:t>
      </w:r>
      <w:r w:rsidRPr="007F47B8">
        <w:rPr>
          <w:lang w:val="en-US"/>
        </w:rPr>
        <w:t>$ Voyez G. Salmon,</w:t>
      </w:r>
      <w:r w:rsidRPr="00F84A0B">
        <w:rPr>
          <w:rStyle w:val="italicus"/>
          <w:lang w:val="en-US"/>
        </w:rPr>
        <w:t xml:space="preserve"> The Revision,</w:t>
      </w:r>
      <w:r w:rsidRPr="007F47B8">
        <w:rPr>
          <w:lang w:val="en-US"/>
        </w:rPr>
        <w:t xml:space="preserve"> p. 8.</w:t>
      </w:r>
    </w:p>
  </w:footnote>
  <w:footnote w:id="620">
    <w:p w:rsidR="007F47B8" w:rsidRPr="007F47B8" w:rsidRDefault="007F47B8" w:rsidP="00C31960">
      <w:pPr>
        <w:pStyle w:val="Notedebasdepage"/>
        <w:rPr>
          <w:lang w:val="en-US"/>
        </w:rPr>
      </w:pPr>
      <w:r>
        <w:rPr>
          <w:rStyle w:val="Appelnotedebasdep"/>
        </w:rPr>
        <w:footnoteRef/>
      </w:r>
      <w:r w:rsidRPr="00D26D04">
        <w:rPr>
          <w:lang w:val="en-US"/>
        </w:rPr>
        <w:t xml:space="preserve"> </w:t>
      </w:r>
      <w:r w:rsidRPr="007F47B8">
        <w:rPr>
          <w:lang w:val="en-US"/>
        </w:rPr>
        <w:t xml:space="preserve">$ </w:t>
      </w:r>
      <w:r w:rsidRPr="00F84A0B">
        <w:rPr>
          <w:rStyle w:val="italicus"/>
          <w:lang w:val="en-US"/>
        </w:rPr>
        <w:t>Ibid.,</w:t>
      </w:r>
      <w:r w:rsidRPr="007F47B8">
        <w:rPr>
          <w:lang w:val="en-US"/>
        </w:rPr>
        <w:t xml:space="preserve"> p. 9.</w:t>
      </w:r>
    </w:p>
  </w:footnote>
  <w:footnote w:id="621">
    <w:p w:rsidR="007F47B8" w:rsidRPr="00AA3DE3" w:rsidRDefault="007F47B8" w:rsidP="00C31960">
      <w:pPr>
        <w:pStyle w:val="Notedebasdepage"/>
        <w:rPr>
          <w:lang w:val="en-US"/>
        </w:rPr>
      </w:pPr>
      <w:r>
        <w:rPr>
          <w:rStyle w:val="Appelnotedebasdep"/>
        </w:rPr>
        <w:footnoteRef/>
      </w:r>
      <w:r w:rsidRPr="00AA3DE3">
        <w:rPr>
          <w:lang w:val="en-US"/>
        </w:rPr>
        <w:t xml:space="preserve"> </w:t>
      </w:r>
      <w:r w:rsidRPr="007F47B8">
        <w:rPr>
          <w:lang w:val="en-US"/>
        </w:rPr>
        <w:t xml:space="preserve">$ </w:t>
      </w:r>
      <w:r w:rsidRPr="00F84A0B">
        <w:rPr>
          <w:rStyle w:val="italicus"/>
          <w:lang w:val="en-US"/>
        </w:rPr>
        <w:t xml:space="preserve">The Nineteenth Century, l. c., </w:t>
      </w:r>
      <w:r w:rsidRPr="00F84A0B">
        <w:rPr>
          <w:lang w:val="en-US"/>
        </w:rPr>
        <w:t xml:space="preserve">p. 936. </w:t>
      </w:r>
    </w:p>
  </w:footnote>
  <w:footnote w:id="622">
    <w:p w:rsidR="007F47B8" w:rsidRPr="001077D9" w:rsidRDefault="007F47B8" w:rsidP="00C31960">
      <w:pPr>
        <w:pStyle w:val="Notedebasdepage"/>
      </w:pPr>
      <w:r>
        <w:rPr>
          <w:rStyle w:val="Appelnotedebasdep"/>
        </w:rPr>
        <w:footnoteRef/>
      </w:r>
      <w:r>
        <w:t xml:space="preserve"> </w:t>
      </w:r>
      <w:r>
        <w:rPr>
          <w:rStyle w:val="italicus"/>
        </w:rPr>
        <w:t>$</w:t>
      </w:r>
      <w:r w:rsidRPr="001077D9">
        <w:t xml:space="preserve"> G. Salmon,</w:t>
      </w:r>
      <w:r w:rsidRPr="0044481F">
        <w:rPr>
          <w:rStyle w:val="italicus"/>
        </w:rPr>
        <w:t xml:space="preserve"> The Révision,</w:t>
      </w:r>
      <w:r w:rsidRPr="001077D9">
        <w:t xml:space="preserve"> p. 7. </w:t>
      </w:r>
    </w:p>
  </w:footnote>
  <w:footnote w:id="623">
    <w:p w:rsidR="007F47B8" w:rsidRPr="001077D9" w:rsidRDefault="007F47B8" w:rsidP="00C31960">
      <w:pPr>
        <w:pStyle w:val="Notedebasdepage"/>
      </w:pPr>
      <w:r>
        <w:rPr>
          <w:rStyle w:val="Appelnotedebasdep"/>
        </w:rPr>
        <w:footnoteRef/>
      </w:r>
      <w:r>
        <w:t xml:space="preserve"> </w:t>
      </w:r>
      <w:r w:rsidRPr="001077D9">
        <w:t xml:space="preserve">$ Ainsi nommée parce qu’elle fut préparée dans cette ville par des protestants anglais qui s’y étaient réfugiés, sous le règne de Marie. Elle fut imprimée de 1557 à 1560. </w:t>
      </w:r>
    </w:p>
  </w:footnote>
  <w:footnote w:id="624">
    <w:p w:rsidR="007F47B8" w:rsidRPr="001077D9" w:rsidRDefault="007F47B8" w:rsidP="00C31960">
      <w:pPr>
        <w:pStyle w:val="Notedebasdepage"/>
      </w:pPr>
      <w:r>
        <w:rPr>
          <w:rStyle w:val="Appelnotedebasdep"/>
        </w:rPr>
        <w:footnoteRef/>
      </w:r>
      <w:r>
        <w:t xml:space="preserve"> </w:t>
      </w:r>
      <w:r w:rsidRPr="001077D9">
        <w:t>$ Salmon,</w:t>
      </w:r>
      <w:r w:rsidRPr="0044481F">
        <w:rPr>
          <w:rStyle w:val="italicus"/>
        </w:rPr>
        <w:t xml:space="preserve"> The Révision,</w:t>
      </w:r>
      <w:r w:rsidRPr="001077D9">
        <w:t xml:space="preserve"> p. 7. </w:t>
      </w:r>
    </w:p>
  </w:footnote>
  <w:footnote w:id="625">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Exode</w:t>
      </w:r>
      <w:r w:rsidRPr="001077D9">
        <w:t xml:space="preserve"> I, 17. </w:t>
      </w:r>
    </w:p>
  </w:footnote>
  <w:footnote w:id="626">
    <w:p w:rsidR="007F47B8" w:rsidRPr="001077D9" w:rsidRDefault="007F47B8" w:rsidP="00C31960">
      <w:pPr>
        <w:pStyle w:val="Notedebasdepage"/>
      </w:pPr>
      <w:r>
        <w:rPr>
          <w:rStyle w:val="Appelnotedebasdep"/>
        </w:rPr>
        <w:footnoteRef/>
      </w:r>
      <w:r>
        <w:t xml:space="preserve"> </w:t>
      </w:r>
      <w:r w:rsidRPr="001077D9">
        <w:t>$ Salmon,</w:t>
      </w:r>
      <w:r w:rsidRPr="0044481F">
        <w:rPr>
          <w:rStyle w:val="italicus"/>
        </w:rPr>
        <w:t xml:space="preserve"> l. c.,</w:t>
      </w:r>
      <w:r w:rsidRPr="001077D9">
        <w:t xml:space="preserve"> p. 4. </w:t>
      </w:r>
    </w:p>
  </w:footnote>
  <w:footnote w:id="627">
    <w:p w:rsidR="007F47B8" w:rsidRPr="001077D9" w:rsidRDefault="007F47B8" w:rsidP="00C31960">
      <w:pPr>
        <w:pStyle w:val="Notedebasdepage"/>
      </w:pPr>
      <w:r>
        <w:rPr>
          <w:rStyle w:val="Appelnotedebasdep"/>
        </w:rPr>
        <w:footnoteRef/>
      </w:r>
      <w:r>
        <w:t xml:space="preserve"> </w:t>
      </w:r>
      <w:r w:rsidRPr="001077D9">
        <w:t>$ M. A. Roberts, dans son</w:t>
      </w:r>
      <w:r w:rsidRPr="0044481F">
        <w:rPr>
          <w:rStyle w:val="italicus"/>
        </w:rPr>
        <w:t xml:space="preserve"> Companion to the revised Version of the english New Testament,</w:t>
      </w:r>
      <w:r w:rsidRPr="001077D9">
        <w:t xml:space="preserve"> en cite des exemples intéressants.</w:t>
      </w:r>
      <w:r w:rsidRPr="0044481F">
        <w:rPr>
          <w:rStyle w:val="italicus"/>
        </w:rPr>
        <w:t xml:space="preserve"> Act.</w:t>
      </w:r>
      <w:r w:rsidRPr="001077D9">
        <w:t xml:space="preserve"> XXI, 15 : « Et après ces jours nous prîmes nos</w:t>
      </w:r>
      <w:r w:rsidRPr="0044481F">
        <w:rPr>
          <w:rStyle w:val="italicus"/>
        </w:rPr>
        <w:t xml:space="preserve"> carriages</w:t>
      </w:r>
      <w:r w:rsidRPr="001077D9">
        <w:t xml:space="preserve"> et nous montâmes à Jérusalem. » Or le mot</w:t>
      </w:r>
      <w:r w:rsidRPr="0044481F">
        <w:rPr>
          <w:rStyle w:val="italicus"/>
        </w:rPr>
        <w:t xml:space="preserve"> carriage,</w:t>
      </w:r>
      <w:r w:rsidRPr="001077D9">
        <w:t xml:space="preserve"> qui équivalait autrefois à « bagage », a aujourd’hui la signification exclusive de « voiture ». Cela fait donc un singulier quiproquo. —</w:t>
      </w:r>
      <w:r w:rsidRPr="0044481F">
        <w:rPr>
          <w:rStyle w:val="italicus"/>
        </w:rPr>
        <w:t xml:space="preserve"> Act.</w:t>
      </w:r>
      <w:r w:rsidRPr="001077D9">
        <w:t xml:space="preserve"> XXVIII, 13, l’ancienne traduction,</w:t>
      </w:r>
      <w:r w:rsidRPr="0044481F">
        <w:rPr>
          <w:rStyle w:val="italicus"/>
        </w:rPr>
        <w:t xml:space="preserve"> </w:t>
      </w:r>
      <w:r>
        <w:rPr>
          <w:rStyle w:val="italicus"/>
        </w:rPr>
        <w:t>W</w:t>
      </w:r>
      <w:r w:rsidRPr="0044481F">
        <w:rPr>
          <w:rStyle w:val="italicus"/>
        </w:rPr>
        <w:t xml:space="preserve">e fetched a compass, </w:t>
      </w:r>
      <w:r w:rsidRPr="001077D9">
        <w:t xml:space="preserve">peut donner ce sens burlesque : « Nous allâmes chercher une boussole », tandis que la vraie signification est : « Nous fîmes un détour ». </w:t>
      </w:r>
    </w:p>
  </w:footnote>
  <w:footnote w:id="628">
    <w:p w:rsidR="007F47B8" w:rsidRPr="007F47B8" w:rsidRDefault="007F47B8" w:rsidP="00C31960">
      <w:pPr>
        <w:pStyle w:val="Notedebasdepage"/>
        <w:rPr>
          <w:lang w:val="en-US"/>
        </w:rPr>
      </w:pPr>
      <w:r>
        <w:rPr>
          <w:rStyle w:val="Appelnotedebasdep"/>
        </w:rPr>
        <w:footnoteRef/>
      </w:r>
      <w:r w:rsidRPr="00AA3DE3">
        <w:rPr>
          <w:lang w:val="en-US"/>
        </w:rPr>
        <w:t xml:space="preserve"> </w:t>
      </w:r>
      <w:r w:rsidRPr="007F47B8">
        <w:rPr>
          <w:lang w:val="en-US"/>
        </w:rPr>
        <w:t>$ G. Salmon,</w:t>
      </w:r>
      <w:r w:rsidRPr="00F84A0B">
        <w:rPr>
          <w:rStyle w:val="italicus"/>
          <w:lang w:val="en-US"/>
        </w:rPr>
        <w:t xml:space="preserve"> The Revision,</w:t>
      </w:r>
      <w:r w:rsidRPr="007F47B8">
        <w:rPr>
          <w:lang w:val="en-US"/>
        </w:rPr>
        <w:t xml:space="preserve"> p. 6. </w:t>
      </w:r>
    </w:p>
  </w:footnote>
  <w:footnote w:id="629">
    <w:p w:rsidR="007F47B8" w:rsidRPr="001077D9" w:rsidRDefault="007F47B8" w:rsidP="00C31960">
      <w:pPr>
        <w:pStyle w:val="Notedebasdepage"/>
      </w:pPr>
      <w:r>
        <w:rPr>
          <w:rStyle w:val="Appelnotedebasdep"/>
        </w:rPr>
        <w:footnoteRef/>
      </w:r>
      <w:r>
        <w:t xml:space="preserve"> </w:t>
      </w:r>
      <w:r w:rsidRPr="001077D9">
        <w:t xml:space="preserve">$ </w:t>
      </w:r>
      <w:r>
        <w:rPr>
          <w:rStyle w:val="italicus"/>
        </w:rPr>
        <w:t>Ibid</w:t>
      </w:r>
      <w:r w:rsidRPr="0044481F">
        <w:rPr>
          <w:rStyle w:val="italicus"/>
        </w:rPr>
        <w:t>.,</w:t>
      </w:r>
      <w:r w:rsidRPr="001077D9">
        <w:t xml:space="preserve"> p. 7. Voy. aussi la page 9. </w:t>
      </w:r>
    </w:p>
  </w:footnote>
  <w:footnote w:id="630">
    <w:p w:rsidR="007F47B8" w:rsidRPr="001077D9" w:rsidRDefault="007F47B8" w:rsidP="00C31960">
      <w:pPr>
        <w:pStyle w:val="Notedebasdepage"/>
      </w:pPr>
      <w:r>
        <w:rPr>
          <w:rStyle w:val="Appelnotedebasdep"/>
        </w:rPr>
        <w:footnoteRef/>
      </w:r>
      <w:r>
        <w:t xml:space="preserve"> </w:t>
      </w:r>
      <w:r w:rsidRPr="001077D9">
        <w:t>$ Quand S. E. le cardinal de Bonnechose prononça ce mot qui n’a rien que de très naturel pour un catholique : « Mon clergé est un régiment ; quand je dis : Marche ! il marche », ce fut un</w:t>
      </w:r>
      <w:r>
        <w:rPr>
          <w:rStyle w:val="italicus"/>
        </w:rPr>
        <w:t xml:space="preserve"> tol</w:t>
      </w:r>
      <w:r w:rsidRPr="0044481F">
        <w:rPr>
          <w:rStyle w:val="italicus"/>
        </w:rPr>
        <w:t>le</w:t>
      </w:r>
      <w:r w:rsidRPr="001077D9">
        <w:t xml:space="preserve"> universel dans le clergé anglican. La</w:t>
      </w:r>
      <w:r w:rsidRPr="0044481F">
        <w:rPr>
          <w:rStyle w:val="italicus"/>
        </w:rPr>
        <w:t xml:space="preserve"> Dublin Review</w:t>
      </w:r>
      <w:r w:rsidRPr="001077D9">
        <w:t xml:space="preserve"> (n° d’avril 1881, p. 363</w:t>
      </w:r>
      <w:r w:rsidRPr="00BA383E">
        <w:t xml:space="preserve">) </w:t>
      </w:r>
      <w:r w:rsidRPr="001077D9">
        <w:t xml:space="preserve">se permit alors de spirituelles représailles, en plaçant sur les lèvres d’un évêque anglican cette autre parole malheureusement trop vraie : « Mon clergé est un régiment très mal discipliné ; en vérité, je ne voudrais pas faire à l’armée l’injure de le lui comparer. Quand je dis : Marche ! quelques-uns avancent, d’autres reculent, beaucoup s’arrêtent, la plupart discutent, tous se moquent de moi ! » </w:t>
      </w:r>
    </w:p>
  </w:footnote>
  <w:footnote w:id="631">
    <w:p w:rsidR="007F47B8" w:rsidRPr="007F47B8" w:rsidRDefault="007F47B8" w:rsidP="00C31960">
      <w:pPr>
        <w:pStyle w:val="Notedebasdepage"/>
        <w:rPr>
          <w:lang w:val="en-US"/>
        </w:rPr>
      </w:pPr>
      <w:r>
        <w:rPr>
          <w:rStyle w:val="Appelnotedebasdep"/>
        </w:rPr>
        <w:footnoteRef/>
      </w:r>
      <w:r w:rsidRPr="00AA3DE3">
        <w:rPr>
          <w:lang w:val="en-US"/>
        </w:rPr>
        <w:t xml:space="preserve"> </w:t>
      </w:r>
      <w:r w:rsidRPr="007F47B8">
        <w:rPr>
          <w:lang w:val="en-US"/>
        </w:rPr>
        <w:t>$ G. Salmon,</w:t>
      </w:r>
      <w:r w:rsidRPr="00F84A0B">
        <w:rPr>
          <w:rStyle w:val="italicus"/>
          <w:lang w:val="en-US"/>
        </w:rPr>
        <w:t xml:space="preserve"> The Revision,</w:t>
      </w:r>
      <w:r w:rsidRPr="007F47B8">
        <w:rPr>
          <w:lang w:val="en-US"/>
        </w:rPr>
        <w:t xml:space="preserve"> p. 22. </w:t>
      </w:r>
    </w:p>
  </w:footnote>
  <w:footnote w:id="632">
    <w:p w:rsidR="007F47B8" w:rsidRPr="007F47B8" w:rsidRDefault="007F47B8" w:rsidP="00C31960">
      <w:pPr>
        <w:pStyle w:val="Notedebasdepage"/>
        <w:rPr>
          <w:lang w:val="en-US"/>
        </w:rPr>
      </w:pPr>
      <w:r>
        <w:rPr>
          <w:rStyle w:val="Appelnotedebasdep"/>
        </w:rPr>
        <w:footnoteRef/>
      </w:r>
      <w:r w:rsidRPr="00AA3DE3">
        <w:rPr>
          <w:lang w:val="en-US"/>
        </w:rPr>
        <w:t xml:space="preserve"> </w:t>
      </w:r>
      <w:r w:rsidRPr="007F47B8">
        <w:rPr>
          <w:lang w:val="en-US"/>
        </w:rPr>
        <w:t xml:space="preserve">$ </w:t>
      </w:r>
      <w:r w:rsidRPr="00F84A0B">
        <w:rPr>
          <w:rStyle w:val="italicus"/>
          <w:lang w:val="en-US"/>
        </w:rPr>
        <w:t>Ibid.,</w:t>
      </w:r>
      <w:r w:rsidRPr="007F47B8">
        <w:rPr>
          <w:lang w:val="en-US"/>
        </w:rPr>
        <w:t xml:space="preserve"> p. 23, 26, 27. </w:t>
      </w:r>
    </w:p>
  </w:footnote>
  <w:footnote w:id="633">
    <w:p w:rsidR="007F47B8" w:rsidRPr="00512B6E" w:rsidRDefault="007F47B8" w:rsidP="00C31960">
      <w:pPr>
        <w:pStyle w:val="Notedebasdepage"/>
        <w:rPr>
          <w:lang w:val="en-US"/>
        </w:rPr>
      </w:pPr>
      <w:r>
        <w:rPr>
          <w:rStyle w:val="Appelnotedebasdep"/>
        </w:rPr>
        <w:footnoteRef/>
      </w:r>
      <w:r w:rsidRPr="00512B6E">
        <w:rPr>
          <w:lang w:val="en-US"/>
        </w:rPr>
        <w:t xml:space="preserve"> </w:t>
      </w:r>
      <w:r w:rsidRPr="007F47B8">
        <w:rPr>
          <w:lang w:val="en-US"/>
        </w:rPr>
        <w:t xml:space="preserve">$ </w:t>
      </w:r>
      <w:r w:rsidRPr="00512B6E">
        <w:rPr>
          <w:rStyle w:val="italicus"/>
          <w:lang w:val="en-US"/>
        </w:rPr>
        <w:t>New Testament, Revised version,</w:t>
      </w:r>
      <w:r w:rsidRPr="007F47B8">
        <w:rPr>
          <w:lang w:val="en-US"/>
        </w:rPr>
        <w:t xml:space="preserve"> Préface, p. VIII (d’après l’édition</w:t>
      </w:r>
      <w:r w:rsidRPr="00512B6E">
        <w:rPr>
          <w:rStyle w:val="italicus"/>
          <w:lang w:val="en-US"/>
        </w:rPr>
        <w:t xml:space="preserve"> nonpareil,</w:t>
      </w:r>
      <w:r w:rsidRPr="007F47B8">
        <w:rPr>
          <w:lang w:val="en-US"/>
        </w:rPr>
        <w:t xml:space="preserve"> in-32</w:t>
      </w:r>
      <w:r w:rsidRPr="00512B6E">
        <w:rPr>
          <w:lang w:val="en-US"/>
        </w:rPr>
        <w:t>) ;</w:t>
      </w:r>
      <w:r w:rsidRPr="00512B6E">
        <w:rPr>
          <w:rStyle w:val="italicus"/>
          <w:lang w:val="en-US"/>
        </w:rPr>
        <w:t xml:space="preserve"> Nineteenth Century,</w:t>
      </w:r>
      <w:r w:rsidRPr="007F47B8">
        <w:rPr>
          <w:lang w:val="en-US"/>
        </w:rPr>
        <w:t xml:space="preserve"> l. c., p. 918</w:t>
      </w:r>
      <w:r w:rsidRPr="00512B6E">
        <w:rPr>
          <w:lang w:val="en-US"/>
        </w:rPr>
        <w:t xml:space="preserve">. </w:t>
      </w:r>
    </w:p>
  </w:footnote>
  <w:footnote w:id="634">
    <w:p w:rsidR="007F47B8" w:rsidRPr="007F47B8" w:rsidRDefault="007F47B8" w:rsidP="00C31960">
      <w:pPr>
        <w:pStyle w:val="Notedebasdepage"/>
        <w:rPr>
          <w:lang w:val="en-US"/>
        </w:rPr>
      </w:pPr>
      <w:r>
        <w:rPr>
          <w:rStyle w:val="Appelnotedebasdep"/>
        </w:rPr>
        <w:footnoteRef/>
      </w:r>
      <w:r w:rsidRPr="007F47B8">
        <w:rPr>
          <w:lang w:val="en-US"/>
        </w:rPr>
        <w:t xml:space="preserve"> $ En février 1870. </w:t>
      </w:r>
    </w:p>
  </w:footnote>
  <w:footnote w:id="635">
    <w:p w:rsidR="007F47B8" w:rsidRPr="001077D9" w:rsidRDefault="007F47B8" w:rsidP="00C31960">
      <w:pPr>
        <w:pStyle w:val="Notedebasdepage"/>
      </w:pPr>
      <w:r>
        <w:rPr>
          <w:rStyle w:val="Appelnotedebasdep"/>
        </w:rPr>
        <w:footnoteRef/>
      </w:r>
      <w:r>
        <w:t xml:space="preserve"> </w:t>
      </w:r>
      <w:r w:rsidRPr="001077D9">
        <w:t xml:space="preserve">$ Son adhésion était fort désirée de l’Angleterre protestante, qui n’a pas cessé d’être fière de lui. </w:t>
      </w:r>
    </w:p>
  </w:footnote>
  <w:footnote w:id="636">
    <w:p w:rsidR="007F47B8" w:rsidRPr="00AA3DE3" w:rsidRDefault="007F47B8" w:rsidP="00C31960">
      <w:pPr>
        <w:pStyle w:val="Notedebasdepage"/>
        <w:rPr>
          <w:lang w:val="en-US"/>
        </w:rPr>
      </w:pPr>
      <w:r>
        <w:rPr>
          <w:rStyle w:val="Appelnotedebasdep"/>
        </w:rPr>
        <w:footnoteRef/>
      </w:r>
      <w:r w:rsidRPr="00AA3DE3">
        <w:rPr>
          <w:lang w:val="en-US"/>
        </w:rPr>
        <w:t xml:space="preserve"> </w:t>
      </w:r>
      <w:r w:rsidRPr="007F47B8">
        <w:rPr>
          <w:lang w:val="en-US"/>
        </w:rPr>
        <w:t xml:space="preserve">$ </w:t>
      </w:r>
      <w:r w:rsidRPr="00F84A0B">
        <w:rPr>
          <w:rStyle w:val="italicus"/>
          <w:lang w:val="en-US"/>
        </w:rPr>
        <w:t xml:space="preserve">Revised Version, </w:t>
      </w:r>
      <w:r w:rsidRPr="00F84A0B">
        <w:rPr>
          <w:lang w:val="en-US"/>
        </w:rPr>
        <w:t xml:space="preserve">p. VIII et IX. </w:t>
      </w:r>
    </w:p>
  </w:footnote>
  <w:footnote w:id="637">
    <w:p w:rsidR="007F47B8" w:rsidRPr="007F47B8"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xml:space="preserve">$ </w:t>
      </w:r>
      <w:r w:rsidRPr="007F47B8">
        <w:rPr>
          <w:lang w:val="en-US"/>
        </w:rPr>
        <w:t>M. Vance Smith, dans le</w:t>
      </w:r>
      <w:r w:rsidRPr="00F84A0B">
        <w:rPr>
          <w:rStyle w:val="italicus"/>
          <w:lang w:val="en-US"/>
        </w:rPr>
        <w:t xml:space="preserve"> Nineteenth Century,</w:t>
      </w:r>
      <w:r w:rsidRPr="007F47B8">
        <w:rPr>
          <w:lang w:val="en-US"/>
        </w:rPr>
        <w:t xml:space="preserve"> p. 918. </w:t>
      </w:r>
    </w:p>
  </w:footnote>
  <w:footnote w:id="638">
    <w:p w:rsidR="007F47B8" w:rsidRPr="001077D9" w:rsidRDefault="007F47B8" w:rsidP="00C31960">
      <w:pPr>
        <w:pStyle w:val="Notedebasdepage"/>
      </w:pPr>
      <w:r>
        <w:rPr>
          <w:rStyle w:val="Appelnotedebasdep"/>
        </w:rPr>
        <w:footnoteRef/>
      </w:r>
      <w:r>
        <w:t xml:space="preserve"> </w:t>
      </w:r>
      <w:r w:rsidRPr="001077D9">
        <w:t>$ Voyez la liste complète des correcteurs dans le</w:t>
      </w:r>
      <w:r w:rsidRPr="0044481F">
        <w:rPr>
          <w:rStyle w:val="italicus"/>
        </w:rPr>
        <w:t xml:space="preserve"> Nineteenth Century, </w:t>
      </w:r>
      <w:r w:rsidRPr="001077D9">
        <w:t xml:space="preserve">l. c., p. 918, note. </w:t>
      </w:r>
    </w:p>
  </w:footnote>
  <w:footnote w:id="639">
    <w:p w:rsidR="007F47B8" w:rsidRPr="007F47B8" w:rsidRDefault="007F47B8" w:rsidP="00C31960">
      <w:pPr>
        <w:pStyle w:val="Notedebasdepage"/>
        <w:rPr>
          <w:lang w:val="en-US"/>
        </w:rPr>
      </w:pPr>
      <w:r>
        <w:rPr>
          <w:rStyle w:val="Appelnotedebasdep"/>
        </w:rPr>
        <w:footnoteRef/>
      </w:r>
      <w:r w:rsidRPr="00AA3DE3">
        <w:rPr>
          <w:lang w:val="en-US"/>
        </w:rPr>
        <w:t xml:space="preserve"> </w:t>
      </w:r>
      <w:r w:rsidRPr="007F47B8">
        <w:rPr>
          <w:lang w:val="en-US"/>
        </w:rPr>
        <w:t xml:space="preserve">$ </w:t>
      </w:r>
      <w:r w:rsidRPr="00F84A0B">
        <w:rPr>
          <w:rStyle w:val="italicus"/>
          <w:lang w:val="en-US"/>
        </w:rPr>
        <w:t>The Academy,</w:t>
      </w:r>
      <w:r w:rsidRPr="007F47B8">
        <w:rPr>
          <w:lang w:val="en-US"/>
        </w:rPr>
        <w:t xml:space="preserve"> l. c., p. 405. </w:t>
      </w:r>
    </w:p>
  </w:footnote>
  <w:footnote w:id="640">
    <w:p w:rsidR="007F47B8" w:rsidRPr="001077D9" w:rsidRDefault="007F47B8" w:rsidP="00C31960">
      <w:pPr>
        <w:pStyle w:val="Notedebasdepage"/>
      </w:pPr>
      <w:r>
        <w:rPr>
          <w:rStyle w:val="Appelnotedebasdep"/>
        </w:rPr>
        <w:footnoteRef/>
      </w:r>
      <w:r>
        <w:t xml:space="preserve"> </w:t>
      </w:r>
      <w:r w:rsidRPr="001077D9">
        <w:t xml:space="preserve">$ On s’est donné la peine de compter les changements opérés par les réviseurs ; il y en aurait jusqu’à 36,000, pour 7,959 versets que contient le Nouveau Testament. </w:t>
      </w:r>
    </w:p>
  </w:footnote>
  <w:footnote w:id="641">
    <w:p w:rsidR="007F47B8" w:rsidRPr="001077D9" w:rsidRDefault="007F47B8" w:rsidP="00C31960">
      <w:pPr>
        <w:pStyle w:val="Notedebasdepage"/>
      </w:pPr>
      <w:r>
        <w:rPr>
          <w:rStyle w:val="Appelnotedebasdep"/>
        </w:rPr>
        <w:footnoteRef/>
      </w:r>
      <w:r>
        <w:t xml:space="preserve"> </w:t>
      </w:r>
      <w:r w:rsidRPr="001077D9">
        <w:t xml:space="preserve">$ </w:t>
      </w:r>
      <w:r w:rsidRPr="0044481F">
        <w:rPr>
          <w:rStyle w:val="italicus"/>
        </w:rPr>
        <w:t>Revised Version,</w:t>
      </w:r>
      <w:r w:rsidRPr="001077D9">
        <w:t xml:space="preserve"> Préface, pp. VIII et X. Les comités chargés de donner à l’Angleterre la version autorisée n’avaient mis, pour traduire toute la Bible, qu’environ deux ans et demi, ou, d’après leur propre langage, passablement apocalyptique, « deux fois sept fois soixante-douze jours et plus ». </w:t>
      </w:r>
    </w:p>
  </w:footnote>
  <w:footnote w:id="642">
    <w:p w:rsidR="007F47B8" w:rsidRPr="00AA3DE3" w:rsidRDefault="007F47B8" w:rsidP="00C31960">
      <w:pPr>
        <w:pStyle w:val="Notedebasdepage"/>
        <w:rPr>
          <w:i/>
          <w:lang w:val="en-US"/>
        </w:rPr>
      </w:pPr>
      <w:r>
        <w:rPr>
          <w:rStyle w:val="Appelnotedebasdep"/>
        </w:rPr>
        <w:footnoteRef/>
      </w:r>
      <w:r w:rsidRPr="00AA3DE3">
        <w:rPr>
          <w:lang w:val="en-US"/>
        </w:rPr>
        <w:t xml:space="preserve"> </w:t>
      </w:r>
      <w:r w:rsidRPr="007F47B8">
        <w:rPr>
          <w:lang w:val="en-US"/>
        </w:rPr>
        <w:t xml:space="preserve">$ </w:t>
      </w:r>
      <w:r w:rsidRPr="00F84A0B">
        <w:rPr>
          <w:rStyle w:val="italicus"/>
          <w:lang w:val="en-US"/>
        </w:rPr>
        <w:t xml:space="preserve">The Nineteenth Century, l. c., p. 918. </w:t>
      </w:r>
    </w:p>
  </w:footnote>
  <w:footnote w:id="643">
    <w:p w:rsidR="007F47B8" w:rsidRPr="00AA3DE3" w:rsidRDefault="007F47B8" w:rsidP="00C31960">
      <w:pPr>
        <w:pStyle w:val="Notedebasdepage"/>
        <w:rPr>
          <w:lang w:val="en-US"/>
        </w:rPr>
      </w:pPr>
      <w:r>
        <w:rPr>
          <w:rStyle w:val="Appelnotedebasdep"/>
        </w:rPr>
        <w:footnoteRef/>
      </w:r>
      <w:r w:rsidRPr="00AA3DE3">
        <w:rPr>
          <w:lang w:val="en-US"/>
        </w:rPr>
        <w:t xml:space="preserve"> </w:t>
      </w:r>
      <w:r w:rsidRPr="007F7833">
        <w:rPr>
          <w:rStyle w:val="italicus"/>
          <w:lang w:val="en-US"/>
        </w:rPr>
        <w:t xml:space="preserve">$ Revised Version, </w:t>
      </w:r>
      <w:r w:rsidRPr="007F7833">
        <w:rPr>
          <w:lang w:val="en-US"/>
        </w:rPr>
        <w:t xml:space="preserve">p. VIII et IX. </w:t>
      </w:r>
    </w:p>
  </w:footnote>
  <w:footnote w:id="644">
    <w:p w:rsidR="007F47B8" w:rsidRPr="007F47B8"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The Nineteenth Century,</w:t>
      </w:r>
      <w:r w:rsidRPr="007F47B8">
        <w:rPr>
          <w:lang w:val="en-US"/>
        </w:rPr>
        <w:t xml:space="preserve"> l. c., p. 922. </w:t>
      </w:r>
      <w:r w:rsidRPr="001077D9">
        <w:t>M. Malan, parlant d’un chapitre spécial du Nouveau Testament, écrivait : « Les réviseurs y ont fait soixante changements : un seul est bon, un autre admissible ; tout le reste (58 sur 60 !</w:t>
      </w:r>
      <w:r w:rsidRPr="00BA383E">
        <w:t xml:space="preserve">) </w:t>
      </w:r>
      <w:r w:rsidRPr="001077D9">
        <w:t>était inutile ».</w:t>
      </w:r>
      <w:r w:rsidRPr="0044481F">
        <w:rPr>
          <w:rStyle w:val="italicus"/>
        </w:rPr>
        <w:t xml:space="preserve"> </w:t>
      </w:r>
      <w:r w:rsidRPr="00AE0CAE">
        <w:rPr>
          <w:rStyle w:val="italicus"/>
          <w:lang w:val="en-US"/>
        </w:rPr>
        <w:t>Quarterly Review,</w:t>
      </w:r>
      <w:r w:rsidRPr="007F47B8">
        <w:rPr>
          <w:lang w:val="en-US"/>
        </w:rPr>
        <w:t xml:space="preserve"> janvier 1882, p. 18. </w:t>
      </w:r>
    </w:p>
  </w:footnote>
  <w:footnote w:id="645">
    <w:p w:rsidR="007F47B8" w:rsidRPr="00AE0CAE" w:rsidRDefault="007F47B8" w:rsidP="00C31960">
      <w:pPr>
        <w:pStyle w:val="Notedebasdepage"/>
        <w:rPr>
          <w:lang w:val="en-US"/>
        </w:rPr>
      </w:pPr>
      <w:r>
        <w:rPr>
          <w:rStyle w:val="Appelnotedebasdep"/>
        </w:rPr>
        <w:footnoteRef/>
      </w:r>
      <w:r w:rsidRPr="00AE0CAE">
        <w:rPr>
          <w:lang w:val="en-US"/>
        </w:rPr>
        <w:t xml:space="preserve"> </w:t>
      </w:r>
      <w:r w:rsidRPr="007F47B8">
        <w:rPr>
          <w:lang w:val="en-US"/>
        </w:rPr>
        <w:t xml:space="preserve">$ </w:t>
      </w:r>
      <w:r w:rsidRPr="00AE0CAE">
        <w:rPr>
          <w:rStyle w:val="italicus"/>
          <w:lang w:val="en-US"/>
        </w:rPr>
        <w:t>Joan.</w:t>
      </w:r>
      <w:r w:rsidRPr="007F47B8">
        <w:rPr>
          <w:lang w:val="en-US"/>
        </w:rPr>
        <w:t xml:space="preserve"> </w:t>
      </w:r>
      <w:r w:rsidRPr="00AE0CAE">
        <w:rPr>
          <w:lang w:val="en-US"/>
        </w:rPr>
        <w:t xml:space="preserve">VII, 53-VIII, 11. </w:t>
      </w:r>
    </w:p>
  </w:footnote>
  <w:footnote w:id="646">
    <w:p w:rsidR="007F47B8" w:rsidRPr="00AE0CAE" w:rsidRDefault="007F47B8">
      <w:pPr>
        <w:pStyle w:val="Notedebasdepage"/>
        <w:rPr>
          <w:lang w:val="en-US"/>
        </w:rPr>
      </w:pPr>
      <w:r>
        <w:rPr>
          <w:rStyle w:val="Appelnotedebasdep"/>
        </w:rPr>
        <w:footnoteRef/>
      </w:r>
      <w:r w:rsidRPr="00AE0CAE">
        <w:rPr>
          <w:lang w:val="en-US"/>
        </w:rPr>
        <w:t xml:space="preserve"> </w:t>
      </w:r>
      <w:r w:rsidRPr="007F47B8">
        <w:rPr>
          <w:lang w:val="en-US"/>
        </w:rPr>
        <w:t xml:space="preserve">$ </w:t>
      </w:r>
      <w:r w:rsidRPr="00AE0CAE">
        <w:rPr>
          <w:rStyle w:val="italicus"/>
          <w:lang w:val="en-US"/>
        </w:rPr>
        <w:t>Marc.</w:t>
      </w:r>
      <w:r w:rsidRPr="007F47B8">
        <w:rPr>
          <w:lang w:val="en-US"/>
        </w:rPr>
        <w:t xml:space="preserve"> XVI, 9-20.</w:t>
      </w:r>
    </w:p>
  </w:footnote>
  <w:footnote w:id="647">
    <w:p w:rsidR="007F47B8" w:rsidRPr="007F47B8" w:rsidRDefault="007F47B8" w:rsidP="00C31960">
      <w:pPr>
        <w:pStyle w:val="Notedebasdepage"/>
        <w:rPr>
          <w:lang w:val="en-US"/>
        </w:rPr>
      </w:pPr>
      <w:r>
        <w:rPr>
          <w:rStyle w:val="Appelnotedebasdep"/>
        </w:rPr>
        <w:footnoteRef/>
      </w:r>
      <w:r w:rsidRPr="00AE0CAE">
        <w:rPr>
          <w:lang w:val="en-US"/>
        </w:rPr>
        <w:t xml:space="preserve"> $ I</w:t>
      </w:r>
      <w:r w:rsidRPr="00AE0CAE">
        <w:rPr>
          <w:rStyle w:val="italicus"/>
          <w:lang w:val="en-US"/>
        </w:rPr>
        <w:t xml:space="preserve"> Joan. </w:t>
      </w:r>
      <w:r w:rsidRPr="007F47B8">
        <w:rPr>
          <w:lang w:val="en-US"/>
        </w:rPr>
        <w:t>V, 7.</w:t>
      </w:r>
    </w:p>
  </w:footnote>
  <w:footnote w:id="648">
    <w:p w:rsidR="007F47B8" w:rsidRPr="00F8664A" w:rsidRDefault="007F47B8" w:rsidP="00C31960">
      <w:pPr>
        <w:pStyle w:val="Notedebasdepage"/>
      </w:pPr>
      <w:r>
        <w:rPr>
          <w:rStyle w:val="Appelnotedebasdep"/>
        </w:rPr>
        <w:footnoteRef/>
      </w:r>
      <w:r w:rsidRPr="00216D08">
        <w:t xml:space="preserve"> </w:t>
      </w:r>
      <w:r>
        <w:rPr>
          <w:rStyle w:val="italicus"/>
        </w:rPr>
        <w:t xml:space="preserve">$ </w:t>
      </w:r>
      <w:r>
        <w:t>Voyez</w:t>
      </w:r>
      <w:r w:rsidRPr="0044481F">
        <w:rPr>
          <w:rStyle w:val="italicus"/>
        </w:rPr>
        <w:t xml:space="preserve"> La Controverse,</w:t>
      </w:r>
      <w:r>
        <w:t xml:space="preserve"> 1</w:t>
      </w:r>
      <w:r w:rsidRPr="00AC7542">
        <w:rPr>
          <w:vertAlign w:val="superscript"/>
        </w:rPr>
        <w:t>re</w:t>
      </w:r>
      <w:r>
        <w:t xml:space="preserve"> année, n. 31, p. 74.</w:t>
      </w:r>
    </w:p>
  </w:footnote>
  <w:footnote w:id="649">
    <w:p w:rsidR="007F47B8" w:rsidRPr="00AA3DE3" w:rsidRDefault="007F47B8" w:rsidP="00C31960">
      <w:pPr>
        <w:pStyle w:val="Notedebasdepage"/>
      </w:pPr>
      <w:r>
        <w:rPr>
          <w:rStyle w:val="Appelnotedebasdep"/>
        </w:rPr>
        <w:footnoteRef/>
      </w:r>
      <w:r>
        <w:t xml:space="preserve"> $ Voyez, pour</w:t>
      </w:r>
      <w:r w:rsidRPr="0044481F">
        <w:rPr>
          <w:rStyle w:val="italicus"/>
        </w:rPr>
        <w:t xml:space="preserve"> Joan. </w:t>
      </w:r>
      <w:r w:rsidRPr="00AC7542">
        <w:t xml:space="preserve">VIII, 1 et ss., le </w:t>
      </w:r>
      <w:r w:rsidRPr="0044481F">
        <w:rPr>
          <w:rStyle w:val="italicus"/>
        </w:rPr>
        <w:t>Commentárius in Evangelium S.</w:t>
      </w:r>
      <w:r>
        <w:rPr>
          <w:rStyle w:val="italicus"/>
        </w:rPr>
        <w:t xml:space="preserve"> </w:t>
      </w:r>
      <w:r w:rsidRPr="0044481F">
        <w:rPr>
          <w:rStyle w:val="italicus"/>
        </w:rPr>
        <w:t>Joánnis</w:t>
      </w:r>
      <w:r>
        <w:t xml:space="preserve"> du P. Corluy, Gand, 1880, p. 206 et ss. ; pour</w:t>
      </w:r>
      <w:r w:rsidRPr="0044481F">
        <w:rPr>
          <w:rStyle w:val="italicus"/>
        </w:rPr>
        <w:t xml:space="preserve"> Marc,</w:t>
      </w:r>
      <w:r>
        <w:t xml:space="preserve"> XVI, 9-20, notre commentaire sur</w:t>
      </w:r>
      <w:r w:rsidRPr="0044481F">
        <w:rPr>
          <w:rStyle w:val="italicus"/>
        </w:rPr>
        <w:t xml:space="preserve"> l’Évangile selon S.</w:t>
      </w:r>
      <w:r>
        <w:rPr>
          <w:rStyle w:val="italicus"/>
        </w:rPr>
        <w:t xml:space="preserve"> </w:t>
      </w:r>
      <w:r w:rsidRPr="0044481F">
        <w:rPr>
          <w:rStyle w:val="italicus"/>
        </w:rPr>
        <w:t>Marc,</w:t>
      </w:r>
      <w:r>
        <w:t xml:space="preserve"> Paris, 1879, p. 7-9 ; pour</w:t>
      </w:r>
      <w:r w:rsidRPr="0044481F">
        <w:rPr>
          <w:rStyle w:val="italicus"/>
        </w:rPr>
        <w:t xml:space="preserve"> I Joan.</w:t>
      </w:r>
      <w:r>
        <w:t xml:space="preserve"> V, 7, les</w:t>
      </w:r>
      <w:r w:rsidRPr="0044481F">
        <w:rPr>
          <w:rStyle w:val="italicus"/>
        </w:rPr>
        <w:t xml:space="preserve"> Études bibliques</w:t>
      </w:r>
      <w:r>
        <w:t xml:space="preserve"> de M. Le Hir, Paris, 1869, t. II, p. 1 et suiv.</w:t>
      </w:r>
    </w:p>
  </w:footnote>
  <w:footnote w:id="650">
    <w:p w:rsidR="007F47B8" w:rsidRPr="00AA3DE3" w:rsidRDefault="007F47B8" w:rsidP="00C31960">
      <w:pPr>
        <w:pStyle w:val="Notedebasdepage"/>
      </w:pPr>
      <w:r>
        <w:rPr>
          <w:rStyle w:val="Appelnotedebasdep"/>
        </w:rPr>
        <w:footnoteRef/>
      </w:r>
      <w:r>
        <w:t xml:space="preserve"> $ « Marche en avant ! »</w:t>
      </w:r>
    </w:p>
  </w:footnote>
  <w:footnote w:id="651">
    <w:p w:rsidR="007F47B8" w:rsidRPr="00AA3DE3" w:rsidRDefault="007F47B8" w:rsidP="00C31960">
      <w:pPr>
        <w:pStyle w:val="Notedebasdepage"/>
      </w:pPr>
      <w:r>
        <w:rPr>
          <w:rStyle w:val="Appelnotedebasdep"/>
        </w:rPr>
        <w:footnoteRef/>
      </w:r>
      <w:r>
        <w:t xml:space="preserve"> </w:t>
      </w:r>
      <w:r w:rsidRPr="00512B6E">
        <w:t>$</w:t>
      </w:r>
      <w:r w:rsidRPr="00512B6E">
        <w:rPr>
          <w:rStyle w:val="italicus"/>
        </w:rPr>
        <w:t xml:space="preserve"> Revised Version, </w:t>
      </w:r>
      <w:r w:rsidRPr="00512B6E">
        <w:t>p. 321-332.</w:t>
      </w:r>
    </w:p>
  </w:footnote>
  <w:footnote w:id="652">
    <w:p w:rsidR="007F47B8" w:rsidRPr="00216D08" w:rsidRDefault="007F47B8" w:rsidP="00C31960">
      <w:pPr>
        <w:pStyle w:val="Notedebasdepage"/>
        <w:rPr>
          <w:lang w:val="en-US"/>
        </w:rPr>
      </w:pPr>
      <w:r>
        <w:rPr>
          <w:rStyle w:val="Appelnotedebasdep"/>
        </w:rPr>
        <w:footnoteRef/>
      </w:r>
      <w:r w:rsidRPr="00216D08">
        <w:rPr>
          <w:lang w:val="en-US"/>
        </w:rPr>
        <w:t xml:space="preserve"> </w:t>
      </w:r>
      <w:r w:rsidRPr="00F84A0B">
        <w:rPr>
          <w:rStyle w:val="italicus"/>
          <w:lang w:val="en-US"/>
        </w:rPr>
        <w:t>$ Ibid.,</w:t>
      </w:r>
      <w:r w:rsidRPr="00F84A0B">
        <w:rPr>
          <w:smallCaps/>
          <w:lang w:val="en-US"/>
        </w:rPr>
        <w:t xml:space="preserve"> </w:t>
      </w:r>
      <w:r w:rsidRPr="00F84A0B">
        <w:rPr>
          <w:lang w:val="en-US"/>
        </w:rPr>
        <w:t>p. XVIII.</w:t>
      </w:r>
    </w:p>
  </w:footnote>
  <w:footnote w:id="653">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Companion to the Revised Version of the english New Testament</w:t>
      </w:r>
      <w:r w:rsidRPr="00F84A0B">
        <w:rPr>
          <w:lang w:val="en-US"/>
        </w:rPr>
        <w:t>, Londres, 1881.</w:t>
      </w:r>
    </w:p>
  </w:footnote>
  <w:footnote w:id="654">
    <w:p w:rsidR="007F47B8" w:rsidRPr="00216D08" w:rsidRDefault="007F47B8" w:rsidP="00C31960">
      <w:pPr>
        <w:pStyle w:val="Notedebasdepage"/>
      </w:pPr>
      <w:r>
        <w:rPr>
          <w:rStyle w:val="Appelnotedebasdep"/>
        </w:rPr>
        <w:footnoteRef/>
      </w:r>
      <w:r w:rsidRPr="00216D08">
        <w:t xml:space="preserve"> </w:t>
      </w:r>
      <w:r w:rsidRPr="00AC7542">
        <w:t>$ Nous citons textuellement.</w:t>
      </w:r>
    </w:p>
  </w:footnote>
  <w:footnote w:id="655">
    <w:p w:rsidR="007F47B8" w:rsidRDefault="007F47B8" w:rsidP="00C31960">
      <w:pPr>
        <w:pStyle w:val="Notedebasdepage"/>
      </w:pPr>
      <w:r>
        <w:rPr>
          <w:rStyle w:val="Appelnotedebasdep"/>
        </w:rPr>
        <w:footnoteRef/>
      </w:r>
      <w:r>
        <w:t xml:space="preserve"> </w:t>
      </w:r>
      <w:r w:rsidRPr="00F8664A">
        <w:t xml:space="preserve">$ </w:t>
      </w:r>
      <w:r w:rsidRPr="00F8664A">
        <w:rPr>
          <w:rStyle w:val="italicus"/>
        </w:rPr>
        <w:t xml:space="preserve">The Publisher’s Circular, </w:t>
      </w:r>
      <w:r w:rsidRPr="00F8664A">
        <w:t>l. c.</w:t>
      </w:r>
    </w:p>
  </w:footnote>
  <w:footnote w:id="656">
    <w:p w:rsidR="007F47B8" w:rsidRPr="00F8664A" w:rsidRDefault="007F47B8" w:rsidP="00C31960">
      <w:pPr>
        <w:pStyle w:val="Notedebasdepage"/>
      </w:pPr>
      <w:r>
        <w:rPr>
          <w:rStyle w:val="Appelnotedebasdep"/>
        </w:rPr>
        <w:footnoteRef/>
      </w:r>
      <w:r w:rsidRPr="00F8664A">
        <w:t xml:space="preserve"> </w:t>
      </w:r>
      <w:r>
        <w:rPr>
          <w:rStyle w:val="italicus"/>
        </w:rPr>
        <w:t xml:space="preserve">$ </w:t>
      </w:r>
      <w:r>
        <w:t>Voyez aussi la</w:t>
      </w:r>
      <w:r w:rsidRPr="0044481F">
        <w:rPr>
          <w:rStyle w:val="italicus"/>
        </w:rPr>
        <w:t xml:space="preserve"> Contemporary Review,</w:t>
      </w:r>
      <w:r>
        <w:t xml:space="preserve"> janvier 1882, où l’on cite quelques-unes des appréciations les plus sévères portées sur la révision et les réviseurs.</w:t>
      </w:r>
    </w:p>
  </w:footnote>
  <w:footnote w:id="657">
    <w:p w:rsidR="007F47B8" w:rsidRPr="00216D08" w:rsidRDefault="007F47B8" w:rsidP="00C31960">
      <w:pPr>
        <w:pStyle w:val="Notedebasdepage"/>
        <w:rPr>
          <w:lang w:val="en-US"/>
        </w:rPr>
      </w:pPr>
      <w:r>
        <w:rPr>
          <w:rStyle w:val="Appelnotedebasdep"/>
        </w:rPr>
        <w:footnoteRef/>
      </w:r>
      <w:r w:rsidRPr="00216D08">
        <w:rPr>
          <w:lang w:val="en-US"/>
        </w:rPr>
        <w:t xml:space="preserve"> </w:t>
      </w:r>
      <w:r w:rsidRPr="00F84A0B">
        <w:rPr>
          <w:lang w:val="en-US"/>
        </w:rPr>
        <w:t xml:space="preserve">$ </w:t>
      </w:r>
      <w:r w:rsidRPr="00F84A0B">
        <w:rPr>
          <w:rStyle w:val="italicus"/>
          <w:lang w:val="en-US"/>
        </w:rPr>
        <w:t>The Academy,</w:t>
      </w:r>
      <w:r w:rsidRPr="00F84A0B">
        <w:rPr>
          <w:lang w:val="en-US"/>
        </w:rPr>
        <w:t xml:space="preserve"> l. c., p. 405.</w:t>
      </w:r>
    </w:p>
  </w:footnote>
  <w:footnote w:id="658">
    <w:p w:rsidR="007F47B8" w:rsidRPr="00AA3DE3" w:rsidRDefault="007F47B8" w:rsidP="00C31960">
      <w:pPr>
        <w:pStyle w:val="Notedebasdepage"/>
        <w:rPr>
          <w:lang w:val="en-US"/>
        </w:rPr>
      </w:pPr>
      <w:r>
        <w:rPr>
          <w:rStyle w:val="Appelnotedebasdep"/>
        </w:rPr>
        <w:footnoteRef/>
      </w:r>
      <w:r w:rsidRPr="00216D08">
        <w:t xml:space="preserve"> </w:t>
      </w:r>
      <w:r>
        <w:t>$ « Un réviseur à propos de la nouvelle révision. »</w:t>
      </w:r>
      <w:r w:rsidRPr="0044481F">
        <w:rPr>
          <w:rStyle w:val="italicus"/>
        </w:rPr>
        <w:t xml:space="preserve"> </w:t>
      </w:r>
      <w:r w:rsidRPr="00F84A0B">
        <w:rPr>
          <w:rStyle w:val="italicus"/>
          <w:lang w:val="en-US"/>
        </w:rPr>
        <w:t>The Nineteenth Century,</w:t>
      </w:r>
      <w:r w:rsidRPr="00F84A0B">
        <w:rPr>
          <w:lang w:val="en-US"/>
        </w:rPr>
        <w:t xml:space="preserve"> l. c.</w:t>
      </w:r>
    </w:p>
  </w:footnote>
  <w:footnote w:id="659">
    <w:p w:rsidR="007F47B8" w:rsidRPr="00AA3DE3" w:rsidRDefault="007F47B8" w:rsidP="00C31960">
      <w:pPr>
        <w:pStyle w:val="Notedebasdepage"/>
        <w:rPr>
          <w:lang w:val="en-US"/>
        </w:rPr>
      </w:pPr>
      <w:r>
        <w:rPr>
          <w:rStyle w:val="Appelnotedebasdep"/>
        </w:rPr>
        <w:footnoteRef/>
      </w:r>
      <w:r w:rsidRPr="00216D08">
        <w:rPr>
          <w:lang w:val="en-US"/>
        </w:rPr>
        <w:t xml:space="preserve"> </w:t>
      </w:r>
      <w:r w:rsidRPr="00F84A0B">
        <w:rPr>
          <w:lang w:val="en-US"/>
        </w:rPr>
        <w:t xml:space="preserve">$ </w:t>
      </w:r>
      <w:r w:rsidRPr="00F84A0B">
        <w:rPr>
          <w:rStyle w:val="italicus"/>
          <w:lang w:val="en-US"/>
        </w:rPr>
        <w:t>Ibid.,</w:t>
      </w:r>
      <w:r w:rsidRPr="00F84A0B">
        <w:rPr>
          <w:lang w:val="en-US"/>
        </w:rPr>
        <w:t xml:space="preserve"> page 917.</w:t>
      </w:r>
    </w:p>
  </w:footnote>
  <w:footnote w:id="660">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Page 919.</w:t>
      </w:r>
    </w:p>
  </w:footnote>
  <w:footnote w:id="661">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Page 922.</w:t>
      </w:r>
    </w:p>
  </w:footnote>
  <w:footnote w:id="662">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 xml:space="preserve">The Revision of the N. T., </w:t>
      </w:r>
      <w:r w:rsidRPr="00F84A0B">
        <w:rPr>
          <w:lang w:val="en-US"/>
        </w:rPr>
        <w:t>p. 17.</w:t>
      </w:r>
    </w:p>
  </w:footnote>
  <w:footnote w:id="663">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 xml:space="preserve">The Academy, </w:t>
      </w:r>
      <w:r w:rsidRPr="00F84A0B">
        <w:rPr>
          <w:lang w:val="en-US"/>
        </w:rPr>
        <w:t>l. c.</w:t>
      </w:r>
    </w:p>
  </w:footnote>
  <w:footnote w:id="664">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xml:space="preserve">$ The Nineteenth Century, </w:t>
      </w:r>
      <w:r w:rsidRPr="00F84A0B">
        <w:rPr>
          <w:lang w:val="en-US"/>
        </w:rPr>
        <w:t>p. 930.</w:t>
      </w:r>
    </w:p>
  </w:footnote>
  <w:footnote w:id="665">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 xml:space="preserve">Ibid., </w:t>
      </w:r>
      <w:r w:rsidRPr="00F84A0B">
        <w:rPr>
          <w:lang w:val="en-US"/>
        </w:rPr>
        <w:t>p. 933.</w:t>
      </w:r>
    </w:p>
  </w:footnote>
  <w:footnote w:id="666">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 xml:space="preserve">Ibid., </w:t>
      </w:r>
      <w:r w:rsidRPr="00F84A0B">
        <w:rPr>
          <w:lang w:val="en-US"/>
        </w:rPr>
        <w:t>p. 934.</w:t>
      </w:r>
    </w:p>
  </w:footnote>
  <w:footnote w:id="667">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xml:space="preserve">$ The Academy, </w:t>
      </w:r>
      <w:r w:rsidRPr="00F84A0B">
        <w:rPr>
          <w:lang w:val="en-US"/>
        </w:rPr>
        <w:t>p. 407.</w:t>
      </w:r>
    </w:p>
  </w:footnote>
  <w:footnote w:id="668">
    <w:p w:rsidR="007F47B8" w:rsidRPr="00216D08" w:rsidRDefault="007F47B8" w:rsidP="00C31960">
      <w:pPr>
        <w:pStyle w:val="Notedebasdepage"/>
      </w:pPr>
      <w:r>
        <w:rPr>
          <w:rStyle w:val="Appelnotedebasdep"/>
        </w:rPr>
        <w:footnoteRef/>
      </w:r>
      <w:r w:rsidRPr="00216D08">
        <w:t xml:space="preserve"> </w:t>
      </w:r>
      <w:r>
        <w:rPr>
          <w:rStyle w:val="italicus"/>
        </w:rPr>
        <w:t xml:space="preserve">$ </w:t>
      </w:r>
      <w:r w:rsidRPr="0044481F">
        <w:rPr>
          <w:rStyle w:val="italicus"/>
        </w:rPr>
        <w:t>Ibid.</w:t>
      </w:r>
      <w:r>
        <w:t xml:space="preserve"> Voyez l’opuscule de M. Washington Moon,</w:t>
      </w:r>
      <w:r w:rsidRPr="0044481F">
        <w:rPr>
          <w:rStyle w:val="italicus"/>
        </w:rPr>
        <w:t xml:space="preserve"> The Reviser’s English, </w:t>
      </w:r>
      <w:r>
        <w:t>1882, où « l’anglais des réviseurs » est passé au crible de la façon la plus effrayante par un littérateur distingué.</w:t>
      </w:r>
    </w:p>
  </w:footnote>
  <w:footnote w:id="669">
    <w:p w:rsidR="007F47B8" w:rsidRPr="00AA3DE3" w:rsidRDefault="007F47B8" w:rsidP="00C31960">
      <w:pPr>
        <w:pStyle w:val="Notedebasdepage"/>
      </w:pPr>
      <w:r>
        <w:rPr>
          <w:rStyle w:val="Appelnotedebasdep"/>
        </w:rPr>
        <w:footnoteRef/>
      </w:r>
      <w:r>
        <w:t xml:space="preserve"> $ </w:t>
      </w:r>
      <w:r w:rsidRPr="0044481F">
        <w:rPr>
          <w:rStyle w:val="italicus"/>
        </w:rPr>
        <w:t>Ibid.,</w:t>
      </w:r>
      <w:r>
        <w:rPr>
          <w:spacing w:val="10"/>
        </w:rPr>
        <w:t xml:space="preserve"> p. 406.</w:t>
      </w:r>
    </w:p>
  </w:footnote>
  <w:footnote w:id="670">
    <w:p w:rsidR="007F47B8" w:rsidRPr="00AA3DE3" w:rsidRDefault="007F47B8" w:rsidP="00C31960">
      <w:pPr>
        <w:pStyle w:val="Notedebasdepage"/>
      </w:pPr>
      <w:r>
        <w:rPr>
          <w:rStyle w:val="Appelnotedebasdep"/>
        </w:rPr>
        <w:footnoteRef/>
      </w:r>
      <w:r>
        <w:t xml:space="preserve"> $ « Cette phrase ne signifie absolument rien ; cela ne rend pas la chose plus claire ; quiconque a le moindre goût pour l’harmonie substituerait ceci à cela ; les correcteurs auraient pu trouver quelque phrase plus convenable ». Telles sont les aménités qu’on a prodiguées au comité de révision.</w:t>
      </w:r>
    </w:p>
  </w:footnote>
  <w:footnote w:id="671">
    <w:p w:rsidR="007F47B8" w:rsidRPr="00216D08" w:rsidRDefault="007F47B8" w:rsidP="00C31960">
      <w:pPr>
        <w:pStyle w:val="Notedebasdepage"/>
        <w:rPr>
          <w:lang w:val="en-US"/>
        </w:rPr>
      </w:pPr>
      <w:r>
        <w:rPr>
          <w:rStyle w:val="Appelnotedebasdep"/>
        </w:rPr>
        <w:footnoteRef/>
      </w:r>
      <w:r w:rsidRPr="00216D08">
        <w:rPr>
          <w:lang w:val="en-US"/>
        </w:rPr>
        <w:t xml:space="preserve"> </w:t>
      </w:r>
      <w:r w:rsidRPr="00F84A0B">
        <w:rPr>
          <w:lang w:val="en-US"/>
        </w:rPr>
        <w:t xml:space="preserve">$ </w:t>
      </w:r>
      <w:r w:rsidRPr="00F84A0B">
        <w:rPr>
          <w:rStyle w:val="italicus"/>
          <w:lang w:val="en-US"/>
        </w:rPr>
        <w:t xml:space="preserve">The Academy et The Nineteenth Century, </w:t>
      </w:r>
      <w:r w:rsidRPr="00F84A0B">
        <w:rPr>
          <w:lang w:val="en-US"/>
        </w:rPr>
        <w:t>1, c., passim.</w:t>
      </w:r>
    </w:p>
  </w:footnote>
  <w:footnote w:id="672">
    <w:p w:rsidR="007F47B8" w:rsidRPr="00216D08" w:rsidRDefault="007F47B8" w:rsidP="00C31960">
      <w:pPr>
        <w:pStyle w:val="Notedebasdepage"/>
      </w:pPr>
      <w:r>
        <w:rPr>
          <w:rStyle w:val="Appelnotedebasdep"/>
        </w:rPr>
        <w:footnoteRef/>
      </w:r>
      <w:r w:rsidRPr="00216D08">
        <w:t xml:space="preserve"> </w:t>
      </w:r>
      <w:r>
        <w:rPr>
          <w:rStyle w:val="italicus"/>
        </w:rPr>
        <w:t xml:space="preserve">$ </w:t>
      </w:r>
      <w:r>
        <w:t>D’autres encore l’ont fait depuis que nous avons écrit ces lignes.</w:t>
      </w:r>
    </w:p>
  </w:footnote>
  <w:footnote w:id="673">
    <w:p w:rsidR="007F47B8" w:rsidRPr="00216D08" w:rsidRDefault="007F47B8" w:rsidP="00C31960">
      <w:pPr>
        <w:pStyle w:val="Notedebasdepage"/>
        <w:rPr>
          <w:lang w:val="en-US"/>
        </w:rPr>
      </w:pPr>
      <w:r>
        <w:rPr>
          <w:rStyle w:val="Appelnotedebasdep"/>
        </w:rPr>
        <w:footnoteRef/>
      </w:r>
      <w:r w:rsidRPr="00216D08">
        <w:rPr>
          <w:lang w:val="en-US"/>
        </w:rPr>
        <w:t xml:space="preserve"> </w:t>
      </w:r>
      <w:r w:rsidRPr="00F84A0B">
        <w:rPr>
          <w:lang w:val="en-US"/>
        </w:rPr>
        <w:t xml:space="preserve">$ </w:t>
      </w:r>
      <w:r w:rsidRPr="00F84A0B">
        <w:rPr>
          <w:rStyle w:val="italicus"/>
          <w:lang w:val="en-US"/>
        </w:rPr>
        <w:t xml:space="preserve">Companion to the Revised Version, </w:t>
      </w:r>
      <w:r w:rsidRPr="00F84A0B">
        <w:rPr>
          <w:lang w:val="en-US"/>
        </w:rPr>
        <w:t>p. 90 et 92.</w:t>
      </w:r>
    </w:p>
  </w:footnote>
  <w:footnote w:id="674">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xml:space="preserve">$ The Nineteenth Century, </w:t>
      </w:r>
      <w:r w:rsidRPr="00F84A0B">
        <w:rPr>
          <w:lang w:val="en-US"/>
        </w:rPr>
        <w:t>l. c., p. 924.</w:t>
      </w:r>
    </w:p>
  </w:footnote>
  <w:footnote w:id="675">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Revised Version,</w:t>
      </w:r>
      <w:r w:rsidRPr="00F84A0B">
        <w:rPr>
          <w:lang w:val="en-US"/>
        </w:rPr>
        <w:t xml:space="preserve"> Preface, p. XIV.</w:t>
      </w:r>
    </w:p>
  </w:footnote>
  <w:footnote w:id="676">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 xml:space="preserve">The Nineteenth Century, </w:t>
      </w:r>
      <w:r w:rsidRPr="00F84A0B">
        <w:rPr>
          <w:lang w:val="en-US"/>
        </w:rPr>
        <w:t>p. 925.</w:t>
      </w:r>
    </w:p>
  </w:footnote>
  <w:footnote w:id="677">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xml:space="preserve">$ Revised Version, </w:t>
      </w:r>
      <w:r w:rsidRPr="00F84A0B">
        <w:rPr>
          <w:lang w:val="en-US"/>
        </w:rPr>
        <w:t>p. XIV.</w:t>
      </w:r>
    </w:p>
  </w:footnote>
  <w:footnote w:id="678">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Companion…,</w:t>
      </w:r>
      <w:r w:rsidRPr="00F84A0B">
        <w:rPr>
          <w:lang w:val="en-US"/>
        </w:rPr>
        <w:t xml:space="preserve"> p. 100, 101, 102.</w:t>
      </w:r>
    </w:p>
  </w:footnote>
  <w:footnote w:id="679">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 xml:space="preserve">The Nineteenth Century, </w:t>
      </w:r>
      <w:r w:rsidRPr="00F84A0B">
        <w:rPr>
          <w:lang w:val="en-US"/>
        </w:rPr>
        <w:t>p. 925 et s.</w:t>
      </w:r>
    </w:p>
  </w:footnote>
  <w:footnote w:id="680">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xml:space="preserve">$ </w:t>
      </w:r>
      <w:r w:rsidRPr="00F84A0B">
        <w:rPr>
          <w:lang w:val="en-US"/>
        </w:rPr>
        <w:t>Roberts,</w:t>
      </w:r>
      <w:r w:rsidRPr="00F84A0B">
        <w:rPr>
          <w:rStyle w:val="italicus"/>
          <w:lang w:val="en-US"/>
        </w:rPr>
        <w:t xml:space="preserve"> Companion…,</w:t>
      </w:r>
      <w:r w:rsidRPr="00F84A0B">
        <w:rPr>
          <w:lang w:val="en-US"/>
        </w:rPr>
        <w:t xml:space="preserve"> p. 94, 95, 99, 100. Comp. la</w:t>
      </w:r>
      <w:r w:rsidRPr="00F84A0B">
        <w:rPr>
          <w:rStyle w:val="italicus"/>
          <w:lang w:val="en-US"/>
        </w:rPr>
        <w:t xml:space="preserve"> Revised Version, </w:t>
      </w:r>
      <w:r w:rsidRPr="00F84A0B">
        <w:rPr>
          <w:lang w:val="en-US"/>
        </w:rPr>
        <w:t>p. XIII.</w:t>
      </w:r>
    </w:p>
  </w:footnote>
  <w:footnote w:id="681">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 xml:space="preserve">The Nineteenth Century, </w:t>
      </w:r>
      <w:r w:rsidRPr="00F84A0B">
        <w:rPr>
          <w:lang w:val="en-US"/>
        </w:rPr>
        <w:t>p. 923 et 924.</w:t>
      </w:r>
    </w:p>
  </w:footnote>
  <w:footnote w:id="682">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Voyez Trench,</w:t>
      </w:r>
      <w:r w:rsidRPr="00F84A0B">
        <w:rPr>
          <w:rStyle w:val="italicus"/>
          <w:lang w:val="en-US"/>
        </w:rPr>
        <w:t xml:space="preserve"> On the Authorised Version, </w:t>
      </w:r>
      <w:r w:rsidRPr="00F84A0B">
        <w:rPr>
          <w:lang w:val="en-US"/>
        </w:rPr>
        <w:t>p. 21.</w:t>
      </w:r>
    </w:p>
  </w:footnote>
  <w:footnote w:id="683">
    <w:p w:rsidR="007F47B8" w:rsidRPr="00216D08" w:rsidRDefault="007F47B8" w:rsidP="00C31960">
      <w:pPr>
        <w:pStyle w:val="Notedebasdepage"/>
      </w:pPr>
      <w:r>
        <w:rPr>
          <w:rStyle w:val="Appelnotedebasdep"/>
        </w:rPr>
        <w:footnoteRef/>
      </w:r>
      <w:r w:rsidRPr="00216D08">
        <w:t xml:space="preserve"> </w:t>
      </w:r>
      <w:r>
        <w:rPr>
          <w:rStyle w:val="italicus"/>
        </w:rPr>
        <w:t xml:space="preserve">$ </w:t>
      </w:r>
      <w:r>
        <w:t>Roberts,</w:t>
      </w:r>
      <w:r w:rsidRPr="0044481F">
        <w:rPr>
          <w:rStyle w:val="italicus"/>
        </w:rPr>
        <w:t xml:space="preserve"> Companion…,</w:t>
      </w:r>
      <w:r>
        <w:t xml:space="preserve"> p. 105 et suiv.</w:t>
      </w:r>
    </w:p>
  </w:footnote>
  <w:footnote w:id="684">
    <w:p w:rsidR="007F47B8" w:rsidRPr="00216D08" w:rsidRDefault="007F47B8" w:rsidP="00C31960">
      <w:pPr>
        <w:pStyle w:val="Notedebasdepage"/>
        <w:rPr>
          <w:lang w:val="en-US"/>
        </w:rPr>
      </w:pPr>
      <w:r>
        <w:rPr>
          <w:rStyle w:val="Appelnotedebasdep"/>
        </w:rPr>
        <w:footnoteRef/>
      </w:r>
      <w:r w:rsidRPr="00216D08">
        <w:rPr>
          <w:lang w:val="en-US"/>
        </w:rPr>
        <w:t xml:space="preserve"> </w:t>
      </w:r>
      <w:r w:rsidRPr="007F7833">
        <w:rPr>
          <w:lang w:val="en-US"/>
        </w:rPr>
        <w:t xml:space="preserve">$ </w:t>
      </w:r>
      <w:r w:rsidRPr="007F7833">
        <w:rPr>
          <w:rStyle w:val="italicus"/>
          <w:lang w:val="en-US"/>
        </w:rPr>
        <w:t xml:space="preserve">The Nineteenth Century, </w:t>
      </w:r>
      <w:r w:rsidRPr="007F7833">
        <w:rPr>
          <w:lang w:val="en-US"/>
        </w:rPr>
        <w:t>p. 927.</w:t>
      </w:r>
    </w:p>
  </w:footnote>
  <w:footnote w:id="685">
    <w:p w:rsidR="007F47B8" w:rsidRPr="00216D08"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xml:space="preserve">The Academy, </w:t>
      </w:r>
      <w:r w:rsidRPr="00F84A0B">
        <w:rPr>
          <w:lang w:val="en-US"/>
        </w:rPr>
        <w:t xml:space="preserve">l. c., p. 407. </w:t>
      </w:r>
    </w:p>
  </w:footnote>
  <w:footnote w:id="686">
    <w:p w:rsidR="007F47B8" w:rsidRPr="00AA3DE3" w:rsidRDefault="007F47B8" w:rsidP="00C31960">
      <w:pPr>
        <w:pStyle w:val="Notedebasdepage"/>
      </w:pPr>
      <w:r>
        <w:rPr>
          <w:rStyle w:val="Appelnotedebasdep"/>
        </w:rPr>
        <w:footnoteRef/>
      </w:r>
      <w:r>
        <w:t xml:space="preserve"> </w:t>
      </w:r>
      <w:r>
        <w:rPr>
          <w:rStyle w:val="italicus"/>
        </w:rPr>
        <w:t xml:space="preserve">$ </w:t>
      </w:r>
      <w:r>
        <w:t>M. Vance Smith dit catégoriquement que déjà on en appelle à une autre révision.</w:t>
      </w:r>
      <w:r w:rsidRPr="0044481F">
        <w:rPr>
          <w:rStyle w:val="italicus"/>
        </w:rPr>
        <w:t xml:space="preserve"> The Nineteenth Century,</w:t>
      </w:r>
      <w:r>
        <w:t xml:space="preserve"> p. 935. </w:t>
      </w:r>
    </w:p>
  </w:footnote>
  <w:footnote w:id="687">
    <w:p w:rsidR="007F47B8" w:rsidRPr="00AA3DE3" w:rsidRDefault="007F47B8" w:rsidP="00C31960">
      <w:pPr>
        <w:pStyle w:val="Notedebasdepage"/>
      </w:pPr>
      <w:r>
        <w:rPr>
          <w:rStyle w:val="Appelnotedebasdep"/>
        </w:rPr>
        <w:footnoteRef/>
      </w:r>
      <w:r>
        <w:t xml:space="preserve"> $ Par exemple, elle traduit les mêmes mots grecs avec une louable uniformité, elle met en saillie les expressions caractéristiques de chaque écrivain sacré, etc., etc. </w:t>
      </w:r>
    </w:p>
  </w:footnote>
  <w:footnote w:id="688">
    <w:p w:rsidR="007F47B8" w:rsidRPr="00AA3DE3" w:rsidRDefault="007F47B8" w:rsidP="00C31960">
      <w:pPr>
        <w:pStyle w:val="Notedebasdepage"/>
      </w:pPr>
      <w:r>
        <w:rPr>
          <w:rStyle w:val="Appelnotedebasdep"/>
        </w:rPr>
        <w:footnoteRef/>
      </w:r>
      <w:r>
        <w:t xml:space="preserve"> $ Voyez la toute récente dissertation publiée par la</w:t>
      </w:r>
      <w:r w:rsidRPr="0044481F">
        <w:rPr>
          <w:rStyle w:val="italicus"/>
        </w:rPr>
        <w:t xml:space="preserve"> Dublin Review,</w:t>
      </w:r>
      <w:r>
        <w:t xml:space="preserve"> n° de janvier 1884, p. 186 et ss., sous ce titre à effet :</w:t>
      </w:r>
      <w:r w:rsidRPr="0044481F">
        <w:rPr>
          <w:rStyle w:val="italicus"/>
        </w:rPr>
        <w:t xml:space="preserve"> New Testament Vaticanism.</w:t>
      </w:r>
      <w:r>
        <w:t xml:space="preserve"> C’est un piquant épilogue de toute l’affaire. Il y est clairement démontré, soit d’après les faits, soit d’après les aveux échappés après coup à plusieurs des réviseurs, qu’au fond le travail de révision a eu pour base presque perpétuelle le texte grec </w:t>
      </w:r>
      <w:r w:rsidRPr="000819A4">
        <w:t>préparé par MM. Westcott et Hort (</w:t>
      </w:r>
      <w:r w:rsidRPr="0044481F">
        <w:rPr>
          <w:rStyle w:val="italicus"/>
        </w:rPr>
        <w:t>The New Testament in the original Greek,</w:t>
      </w:r>
      <w:r>
        <w:t xml:space="preserve"> 1881</w:t>
      </w:r>
      <w:r w:rsidRPr="00BA383E">
        <w:t xml:space="preserve">), </w:t>
      </w:r>
      <w:r>
        <w:t>lequel texte reproduit lui-même très ordinairement le</w:t>
      </w:r>
      <w:r w:rsidRPr="0044481F">
        <w:rPr>
          <w:rStyle w:val="italicus"/>
        </w:rPr>
        <w:t xml:space="preserve"> Codex Vaticanus</w:t>
      </w:r>
      <w:r>
        <w:t xml:space="preserve"> et le</w:t>
      </w:r>
      <w:r w:rsidRPr="0044481F">
        <w:rPr>
          <w:rStyle w:val="italicus"/>
        </w:rPr>
        <w:t xml:space="preserve"> Codex Sinaiticus :</w:t>
      </w:r>
      <w:r>
        <w:t xml:space="preserve"> or ces deux manuscrits, quoique très importants à cause de leur haute antiquité, abondent en imperfections de tout genre, et suppriment à tort de nombreux passages. </w:t>
      </w:r>
    </w:p>
  </w:footnote>
  <w:footnote w:id="689">
    <w:p w:rsidR="007F47B8" w:rsidRPr="00AA3DE3" w:rsidRDefault="007F47B8" w:rsidP="00C31960">
      <w:pPr>
        <w:pStyle w:val="Notedebasdepage"/>
      </w:pPr>
      <w:r>
        <w:rPr>
          <w:rStyle w:val="Appelnotedebasdep"/>
        </w:rPr>
        <w:footnoteRef/>
      </w:r>
      <w:r>
        <w:t xml:space="preserve"> $ S.</w:t>
      </w:r>
      <w:r w:rsidRPr="0044481F">
        <w:rPr>
          <w:rStyle w:val="italicus"/>
        </w:rPr>
        <w:t xml:space="preserve"> Luc</w:t>
      </w:r>
      <w:r>
        <w:rPr>
          <w:rStyle w:val="italicus"/>
        </w:rPr>
        <w:t>.</w:t>
      </w:r>
      <w:r>
        <w:t xml:space="preserve"> II, 13 ;</w:t>
      </w:r>
    </w:p>
  </w:footnote>
  <w:footnote w:id="690">
    <w:p w:rsidR="007F47B8" w:rsidRPr="00AA3DE3" w:rsidRDefault="007F47B8" w:rsidP="00C31960">
      <w:pPr>
        <w:pStyle w:val="Notedebasdepage"/>
      </w:pPr>
      <w:r>
        <w:rPr>
          <w:rStyle w:val="Appelnotedebasdep"/>
        </w:rPr>
        <w:footnoteRef/>
      </w:r>
      <w:r>
        <w:t xml:space="preserve"> $ Te couvrira de son ombre. </w:t>
      </w:r>
    </w:p>
  </w:footnote>
  <w:footnote w:id="691">
    <w:p w:rsidR="007F47B8" w:rsidRPr="00AA3DE3"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S. Luc, </w:t>
      </w:r>
      <w:r w:rsidRPr="000819A4">
        <w:t xml:space="preserve">II, 26-38. Cette traduction </w:t>
      </w:r>
      <w:r>
        <w:t xml:space="preserve">est tirée d’une vieille Bible française imprimée en 1535. Nous n’avons guère fait que rajeunir l’orthographe. </w:t>
      </w:r>
    </w:p>
  </w:footnote>
  <w:footnote w:id="692">
    <w:p w:rsidR="007F47B8" w:rsidRPr="00AA3DE3" w:rsidRDefault="007F47B8" w:rsidP="00C31960">
      <w:pPr>
        <w:pStyle w:val="Notedebasdepage"/>
      </w:pPr>
      <w:r>
        <w:rPr>
          <w:rStyle w:val="Appelnotedebasdep"/>
        </w:rPr>
        <w:footnoteRef/>
      </w:r>
      <w:r>
        <w:t xml:space="preserve"> $ Ce fait est d’autant plus surprenant que Josèphe mentionne la plupart des villages voisins de Nazareth, et qu’il semble connaître à fond tout le district. </w:t>
      </w:r>
    </w:p>
  </w:footnote>
  <w:footnote w:id="693">
    <w:p w:rsidR="007F47B8" w:rsidRPr="00AA3DE3" w:rsidRDefault="007F47B8" w:rsidP="00C31960">
      <w:pPr>
        <w:pStyle w:val="Notedebasdepage"/>
      </w:pPr>
      <w:r>
        <w:rPr>
          <w:rStyle w:val="Appelnotedebasdep"/>
        </w:rPr>
        <w:footnoteRef/>
      </w:r>
      <w:r>
        <w:t xml:space="preserve"> $ M. Neubauer,</w:t>
      </w:r>
      <w:r w:rsidRPr="0044481F">
        <w:rPr>
          <w:rStyle w:val="italicus"/>
        </w:rPr>
        <w:t xml:space="preserve"> Géographie du Talmud,</w:t>
      </w:r>
      <w:r>
        <w:t xml:space="preserve"> 1868, p. 190, croit retrouver Nazareth dans</w:t>
      </w:r>
      <w:r w:rsidRPr="0044481F">
        <w:rPr>
          <w:rStyle w:val="italicus"/>
        </w:rPr>
        <w:t xml:space="preserve"> Çarieh,</w:t>
      </w:r>
      <w:r>
        <w:t xml:space="preserve"> localité dont parle le</w:t>
      </w:r>
      <w:r w:rsidRPr="0044481F">
        <w:rPr>
          <w:rStyle w:val="italicus"/>
        </w:rPr>
        <w:t xml:space="preserve"> Talmud de Jérusalem,</w:t>
      </w:r>
      <w:r>
        <w:t xml:space="preserve"> tr. Meghillah, II,</w:t>
      </w:r>
      <w:r>
        <w:rPr>
          <w:smallCaps/>
        </w:rPr>
        <w:t xml:space="preserve"> 1</w:t>
      </w:r>
      <w:r>
        <w:t> ; de son côté, Schwarz,</w:t>
      </w:r>
      <w:r w:rsidRPr="0044481F">
        <w:rPr>
          <w:rStyle w:val="italicus"/>
        </w:rPr>
        <w:t xml:space="preserve"> Das heilige Land,</w:t>
      </w:r>
      <w:r>
        <w:t xml:space="preserve"> 1852, p. 141, confond la ville de Jésus avec</w:t>
      </w:r>
      <w:r w:rsidRPr="0044481F">
        <w:rPr>
          <w:rStyle w:val="italicus"/>
        </w:rPr>
        <w:t xml:space="preserve"> Hir Labân behâr,</w:t>
      </w:r>
      <w:r>
        <w:t xml:space="preserve"> « la ville blanche sur la montagne », mentionnée au traité Menachoth, 86, 2 : mais ce sont là de simples conjecturés, dont les fondements sont loin d’être solides. </w:t>
      </w:r>
    </w:p>
  </w:footnote>
  <w:footnote w:id="694">
    <w:p w:rsidR="007F47B8" w:rsidRPr="00AA3DE3" w:rsidRDefault="007F47B8" w:rsidP="00C31960">
      <w:pPr>
        <w:pStyle w:val="Notedebasdepage"/>
      </w:pPr>
      <w:r>
        <w:rPr>
          <w:rStyle w:val="Appelnotedebasdep"/>
        </w:rPr>
        <w:footnoteRef/>
      </w:r>
      <w:r>
        <w:t xml:space="preserve"> $ Tout porte à croire que le séjour de Joseph et de Marie en Égypte fut de courte durée, la mort d’Hérode ayant suivi de près la naissance du Sauveur. Voyez notre commentaire sur S. Matthieu, p. 59. </w:t>
      </w:r>
    </w:p>
  </w:footnote>
  <w:footnote w:id="695">
    <w:p w:rsidR="007F47B8" w:rsidRPr="00AA3DE3"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S. Matthieu, </w:t>
      </w:r>
      <w:r w:rsidRPr="000819A4">
        <w:t xml:space="preserve">II, 19-23. Comparez S. </w:t>
      </w:r>
      <w:r w:rsidRPr="0044481F">
        <w:rPr>
          <w:rStyle w:val="italicus"/>
        </w:rPr>
        <w:t>Luc,</w:t>
      </w:r>
      <w:r>
        <w:rPr>
          <w:smallCaps/>
        </w:rPr>
        <w:t xml:space="preserve"> </w:t>
      </w:r>
      <w:r w:rsidRPr="000819A4">
        <w:t>II</w:t>
      </w:r>
      <w:r>
        <w:t xml:space="preserve">, 39. </w:t>
      </w:r>
    </w:p>
  </w:footnote>
  <w:footnote w:id="696">
    <w:p w:rsidR="007F47B8" w:rsidRPr="00AA3DE3" w:rsidRDefault="007F47B8" w:rsidP="00C31960">
      <w:pPr>
        <w:pStyle w:val="Notedebasdepage"/>
      </w:pPr>
      <w:r>
        <w:rPr>
          <w:rStyle w:val="Appelnotedebasdep"/>
        </w:rPr>
        <w:footnoteRef/>
      </w:r>
      <w:r>
        <w:t xml:space="preserve"> $ C’est l’opinion de nombreux exégètes. </w:t>
      </w:r>
    </w:p>
  </w:footnote>
  <w:footnote w:id="697">
    <w:p w:rsidR="007F47B8" w:rsidRPr="00AA3DE3" w:rsidRDefault="007F47B8" w:rsidP="00C31960">
      <w:pPr>
        <w:pStyle w:val="Notedebasdepage"/>
      </w:pPr>
      <w:r>
        <w:rPr>
          <w:rStyle w:val="Appelnotedebasdep"/>
        </w:rPr>
        <w:footnoteRef/>
      </w:r>
      <w:r>
        <w:t xml:space="preserve"> $ S.</w:t>
      </w:r>
      <w:r w:rsidRPr="0044481F">
        <w:rPr>
          <w:rStyle w:val="italicus"/>
        </w:rPr>
        <w:t xml:space="preserve"> Matthieu,</w:t>
      </w:r>
      <w:r>
        <w:t xml:space="preserve"> II, 5, 6 ; comparez</w:t>
      </w:r>
      <w:r w:rsidRPr="0044481F">
        <w:rPr>
          <w:rStyle w:val="italicus"/>
        </w:rPr>
        <w:t xml:space="preserve"> Michée,</w:t>
      </w:r>
      <w:r>
        <w:t xml:space="preserve"> </w:t>
      </w:r>
    </w:p>
  </w:footnote>
  <w:footnote w:id="698">
    <w:p w:rsidR="007F47B8" w:rsidRPr="00AA3DE3" w:rsidRDefault="007F47B8" w:rsidP="00C31960">
      <w:pPr>
        <w:pStyle w:val="Notedebasdepage"/>
      </w:pPr>
      <w:r>
        <w:rPr>
          <w:rStyle w:val="Appelnotedebasdep"/>
        </w:rPr>
        <w:footnoteRef/>
      </w:r>
      <w:r>
        <w:t xml:space="preserve"> $</w:t>
      </w:r>
      <w:r>
        <w:rPr>
          <w:rStyle w:val="italicus"/>
        </w:rPr>
        <w:t xml:space="preserve"> </w:t>
      </w:r>
      <w:r w:rsidRPr="0044481F">
        <w:rPr>
          <w:rStyle w:val="italicus"/>
        </w:rPr>
        <w:t>S. Luc,</w:t>
      </w:r>
      <w:r>
        <w:t xml:space="preserve"> II, 1-6. </w:t>
      </w:r>
    </w:p>
  </w:footnote>
  <w:footnote w:id="699">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S. Luc, </w:t>
      </w:r>
      <w:r w:rsidRPr="000819A4">
        <w:t xml:space="preserve">II, 40, 51, 52. </w:t>
      </w:r>
    </w:p>
  </w:footnote>
  <w:footnote w:id="700">
    <w:p w:rsidR="007F47B8" w:rsidRPr="00AA3DE3" w:rsidRDefault="007F47B8" w:rsidP="00C31960">
      <w:pPr>
        <w:pStyle w:val="Notedebasdepage"/>
      </w:pPr>
      <w:r>
        <w:rPr>
          <w:rStyle w:val="Appelnotedebasdep"/>
        </w:rPr>
        <w:footnoteRef/>
      </w:r>
      <w:r>
        <w:t xml:space="preserve"> $ </w:t>
      </w:r>
      <w:r>
        <w:rPr>
          <w:rStyle w:val="italicus"/>
        </w:rPr>
        <w:t xml:space="preserve">S. </w:t>
      </w:r>
      <w:r w:rsidRPr="0044481F">
        <w:rPr>
          <w:rStyle w:val="italicus"/>
        </w:rPr>
        <w:t>Marc,</w:t>
      </w:r>
      <w:r>
        <w:t xml:space="preserve"> I, 9. </w:t>
      </w:r>
    </w:p>
  </w:footnote>
  <w:footnote w:id="701">
    <w:p w:rsidR="007F47B8" w:rsidRPr="00AA3DE3" w:rsidRDefault="007F47B8" w:rsidP="00C31960">
      <w:pPr>
        <w:pStyle w:val="Notedebasdepage"/>
      </w:pPr>
      <w:r>
        <w:rPr>
          <w:rStyle w:val="Appelnotedebasdep"/>
        </w:rPr>
        <w:footnoteRef/>
      </w:r>
      <w:r>
        <w:t xml:space="preserve"> $ Voir S.</w:t>
      </w:r>
      <w:r w:rsidRPr="0044481F">
        <w:rPr>
          <w:rStyle w:val="italicus"/>
        </w:rPr>
        <w:t xml:space="preserve"> Matth.</w:t>
      </w:r>
      <w:r>
        <w:t xml:space="preserve"> IV, 13, et notre commentaire. </w:t>
      </w:r>
    </w:p>
  </w:footnote>
  <w:footnote w:id="702">
    <w:p w:rsidR="007F47B8" w:rsidRPr="00AA3DE3" w:rsidRDefault="007F47B8" w:rsidP="00C31960">
      <w:pPr>
        <w:pStyle w:val="Notedebasdepage"/>
      </w:pPr>
      <w:r>
        <w:rPr>
          <w:rStyle w:val="Appelnotedebasdep"/>
        </w:rPr>
        <w:footnoteRef/>
      </w:r>
      <w:r>
        <w:t xml:space="preserve"> $ Nous savons que de doctes commentateurs, croyant qu’il s’agit d’un fait identique, d’une part dans S. Luc, IV, 16-30, d’autre part dans S. Matthieu,</w:t>
      </w:r>
      <w:r>
        <w:rPr>
          <w:smallCaps/>
        </w:rPr>
        <w:t xml:space="preserve"> XIII</w:t>
      </w:r>
      <w:r>
        <w:t xml:space="preserve">, 54-58, et dans S. Marc, VI, 1-6, n’admettent qu’une seule visite de Jésus à Nazareth pendant sa vie publique ; mais la divergence notable des récits nous fait croire, avec beaucoup d’autres interprètes, à deux séjours distincts. Voyez notre commentaire sur l’Évangile selon S. Matthieu, p. 282 et suiv. </w:t>
      </w:r>
    </w:p>
  </w:footnote>
  <w:footnote w:id="703">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S.</w:t>
      </w:r>
      <w:r w:rsidRPr="00F84A0B">
        <w:rPr>
          <w:rStyle w:val="italicus"/>
          <w:lang w:val="en-US"/>
        </w:rPr>
        <w:t xml:space="preserve"> Matth.</w:t>
      </w:r>
      <w:r w:rsidRPr="00F84A0B">
        <w:rPr>
          <w:smallCaps/>
          <w:lang w:val="en-US"/>
        </w:rPr>
        <w:t xml:space="preserve"> XIII,</w:t>
      </w:r>
      <w:r w:rsidRPr="00F84A0B">
        <w:rPr>
          <w:lang w:val="en-US"/>
        </w:rPr>
        <w:t xml:space="preserve"> 54-58. </w:t>
      </w:r>
    </w:p>
  </w:footnote>
  <w:footnote w:id="704">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w:t>
      </w:r>
      <w:r w:rsidRPr="00F84A0B">
        <w:rPr>
          <w:rStyle w:val="italicus"/>
          <w:lang w:val="en-US"/>
        </w:rPr>
        <w:t xml:space="preserve"> S. Jean,</w:t>
      </w:r>
      <w:r w:rsidRPr="00F84A0B">
        <w:rPr>
          <w:lang w:val="en-US"/>
        </w:rPr>
        <w:t xml:space="preserve"> I, 45-46. </w:t>
      </w:r>
    </w:p>
  </w:footnote>
  <w:footnote w:id="705">
    <w:p w:rsidR="007F47B8" w:rsidRPr="00AA3DE3" w:rsidRDefault="007F47B8" w:rsidP="00C31960">
      <w:pPr>
        <w:pStyle w:val="Notedebasdepage"/>
      </w:pPr>
      <w:r>
        <w:rPr>
          <w:rStyle w:val="Appelnotedebasdep"/>
        </w:rPr>
        <w:footnoteRef/>
      </w:r>
      <w:r>
        <w:t xml:space="preserve"> $ On ne peut faire sur ce point que des conjectures plus ou moins vraisemblables. On a dit, par exemple, que les habitants de Nazareth avaient en général un caractère méchant, ou que leur morale était très relâchée. </w:t>
      </w:r>
    </w:p>
  </w:footnote>
  <w:footnote w:id="706">
    <w:p w:rsidR="007F47B8" w:rsidRPr="00AA3DE3" w:rsidRDefault="007F47B8" w:rsidP="00C31960">
      <w:pPr>
        <w:pStyle w:val="Notedebasdepage"/>
      </w:pPr>
      <w:r>
        <w:rPr>
          <w:rStyle w:val="Appelnotedebasdep"/>
        </w:rPr>
        <w:footnoteRef/>
      </w:r>
      <w:r>
        <w:t xml:space="preserve"> $ Voir les Concordances. </w:t>
      </w:r>
    </w:p>
  </w:footnote>
  <w:footnote w:id="707">
    <w:p w:rsidR="007F47B8" w:rsidRPr="00AA3DE3" w:rsidRDefault="007F47B8" w:rsidP="00C31960">
      <w:pPr>
        <w:pStyle w:val="Notedebasdepage"/>
      </w:pPr>
      <w:r>
        <w:rPr>
          <w:rStyle w:val="Appelnotedebasdep"/>
        </w:rPr>
        <w:footnoteRef/>
      </w:r>
      <w:r>
        <w:t xml:space="preserve"> $ Comparez</w:t>
      </w:r>
      <w:r w:rsidRPr="0044481F">
        <w:rPr>
          <w:rStyle w:val="italicus"/>
        </w:rPr>
        <w:t xml:space="preserve"> Act.</w:t>
      </w:r>
      <w:r>
        <w:t xml:space="preserve"> XXIV, 5</w:t>
      </w:r>
      <w:r w:rsidRPr="0011183B">
        <w:t xml:space="preserve">. </w:t>
      </w:r>
      <w:r>
        <w:t>« Nos apud véteres, quasi oppróbrio, Nazarǽi dicebámur, quos nunc christiános vocant », S. Jérôme. Aujourd’hui encore, les chrétiens sont appelés par les musulmans</w:t>
      </w:r>
      <w:r w:rsidRPr="0044481F">
        <w:rPr>
          <w:rStyle w:val="italicus"/>
        </w:rPr>
        <w:t xml:space="preserve"> En-Nouçara.</w:t>
      </w:r>
      <w:r>
        <w:t xml:space="preserve"> </w:t>
      </w:r>
    </w:p>
  </w:footnote>
  <w:footnote w:id="708">
    <w:p w:rsidR="007F47B8" w:rsidRPr="00AA3DE3" w:rsidRDefault="007F47B8" w:rsidP="00C31960">
      <w:pPr>
        <w:pStyle w:val="Notedebasdepage"/>
      </w:pPr>
      <w:r>
        <w:rPr>
          <w:rStyle w:val="Appelnotedebasdep"/>
        </w:rPr>
        <w:footnoteRef/>
      </w:r>
      <w:r>
        <w:t xml:space="preserve"> $ C’est ainsi que les Arabes appellent Nazareth. </w:t>
      </w:r>
    </w:p>
  </w:footnote>
  <w:footnote w:id="709">
    <w:p w:rsidR="007F47B8" w:rsidRPr="00AA3DE3" w:rsidRDefault="007F47B8" w:rsidP="00C31960">
      <w:pPr>
        <w:pStyle w:val="Notedebasdepage"/>
      </w:pPr>
      <w:r>
        <w:rPr>
          <w:rStyle w:val="Appelnotedebasdep"/>
        </w:rPr>
        <w:footnoteRef/>
      </w:r>
      <w:r>
        <w:t xml:space="preserve"> $ Tel est l’avis de Hengstenberg,</w:t>
      </w:r>
      <w:r w:rsidRPr="0044481F">
        <w:rPr>
          <w:rStyle w:val="italicus"/>
        </w:rPr>
        <w:t xml:space="preserve"> Christologie,</w:t>
      </w:r>
      <w:r>
        <w:t xml:space="preserve"> t. II, p. 1 et suiv. </w:t>
      </w:r>
    </w:p>
  </w:footnote>
  <w:footnote w:id="710">
    <w:p w:rsidR="007F47B8" w:rsidRPr="00AA3DE3" w:rsidRDefault="007F47B8" w:rsidP="00C31960">
      <w:pPr>
        <w:pStyle w:val="Notedebasdepage"/>
      </w:pPr>
      <w:r>
        <w:rPr>
          <w:rStyle w:val="Appelnotedebasdep"/>
        </w:rPr>
        <w:footnoteRef/>
      </w:r>
      <w:r>
        <w:t xml:space="preserve"> $ Cette opinion est beaucoup plus probable, comme le démontre M. Schegg, dans son</w:t>
      </w:r>
      <w:r w:rsidRPr="0044481F">
        <w:rPr>
          <w:rStyle w:val="italicus"/>
        </w:rPr>
        <w:t xml:space="preserve"> Commentaire sur S. Luc,</w:t>
      </w:r>
      <w:r>
        <w:t xml:space="preserve"> t. II, p. 446. </w:t>
      </w:r>
    </w:p>
  </w:footnote>
  <w:footnote w:id="711">
    <w:p w:rsidR="007F47B8" w:rsidRPr="00AA3DE3" w:rsidRDefault="007F47B8" w:rsidP="00C31960">
      <w:pPr>
        <w:pStyle w:val="Notedebasdepage"/>
      </w:pPr>
      <w:r>
        <w:rPr>
          <w:rStyle w:val="Appelnotedebasdep"/>
        </w:rPr>
        <w:footnoteRef/>
      </w:r>
      <w:r>
        <w:t xml:space="preserve"> $ Quelques philologues modernes traduisent cependant</w:t>
      </w:r>
      <w:r w:rsidRPr="0044481F">
        <w:rPr>
          <w:rStyle w:val="italicus"/>
        </w:rPr>
        <w:t xml:space="preserve"> Nézer</w:t>
      </w:r>
      <w:r>
        <w:t xml:space="preserve"> par</w:t>
      </w:r>
      <w:r>
        <w:rPr>
          <w:rStyle w:val="italicus"/>
        </w:rPr>
        <w:t xml:space="preserve"> súrc</w:t>
      </w:r>
      <w:r w:rsidRPr="0044481F">
        <w:rPr>
          <w:rStyle w:val="italicus"/>
        </w:rPr>
        <w:t>ulus, virgúltum,</w:t>
      </w:r>
      <w:r>
        <w:t xml:space="preserve"> broussailles ; aujourd’hui encore, disent-ils, il y a beaucoup de broussailles aux environs de Nazareth. </w:t>
      </w:r>
    </w:p>
  </w:footnote>
  <w:footnote w:id="712">
    <w:p w:rsidR="007F47B8" w:rsidRPr="00AA3DE3" w:rsidRDefault="007F47B8" w:rsidP="00C31960">
      <w:pPr>
        <w:pStyle w:val="Notedebasdepage"/>
      </w:pPr>
      <w:r>
        <w:rPr>
          <w:rStyle w:val="Appelnotedebasdep"/>
        </w:rPr>
        <w:footnoteRef/>
      </w:r>
      <w:r>
        <w:t xml:space="preserve"> $ </w:t>
      </w:r>
      <w:r w:rsidRPr="0044481F">
        <w:rPr>
          <w:rStyle w:val="italicus"/>
        </w:rPr>
        <w:t>Epist.</w:t>
      </w:r>
      <w:r>
        <w:t xml:space="preserve"> 46, ad Marcell. </w:t>
      </w:r>
    </w:p>
  </w:footnote>
  <w:footnote w:id="713">
    <w:p w:rsidR="007F47B8" w:rsidRPr="00AA3DE3" w:rsidRDefault="007F47B8" w:rsidP="00C31960">
      <w:pPr>
        <w:pStyle w:val="Notedebasdepage"/>
      </w:pPr>
      <w:r>
        <w:rPr>
          <w:rStyle w:val="Appelnotedebasdep"/>
        </w:rPr>
        <w:footnoteRef/>
      </w:r>
      <w:r>
        <w:t xml:space="preserve"> $ Cité par Raumer,</w:t>
      </w:r>
      <w:r w:rsidRPr="0044481F">
        <w:rPr>
          <w:rStyle w:val="italicus"/>
        </w:rPr>
        <w:t xml:space="preserve"> </w:t>
      </w:r>
      <w:r>
        <w:rPr>
          <w:rStyle w:val="italicus"/>
        </w:rPr>
        <w:t>Palæstina</w:t>
      </w:r>
      <w:r w:rsidRPr="0044481F">
        <w:rPr>
          <w:rStyle w:val="italicus"/>
        </w:rPr>
        <w:t>,</w:t>
      </w:r>
      <w:r>
        <w:t xml:space="preserve"> 4e édition, p. 134. </w:t>
      </w:r>
    </w:p>
  </w:footnote>
  <w:footnote w:id="714">
    <w:p w:rsidR="007F47B8" w:rsidRPr="00AA3DE3" w:rsidRDefault="007F47B8" w:rsidP="00C31960">
      <w:pPr>
        <w:pStyle w:val="Notedebasdepage"/>
      </w:pPr>
      <w:r>
        <w:rPr>
          <w:rStyle w:val="Appelnotedebasdep"/>
        </w:rPr>
        <w:footnoteRef/>
      </w:r>
      <w:r>
        <w:t xml:space="preserve"> $ T. II, p. 818. </w:t>
      </w:r>
    </w:p>
  </w:footnote>
  <w:footnote w:id="715">
    <w:p w:rsidR="007F47B8" w:rsidRPr="00AA3DE3" w:rsidRDefault="007F47B8" w:rsidP="00C31960">
      <w:pPr>
        <w:pStyle w:val="Notedebasdepage"/>
      </w:pPr>
      <w:r>
        <w:rPr>
          <w:rStyle w:val="Appelnotedebasdep"/>
        </w:rPr>
        <w:footnoteRef/>
      </w:r>
      <w:r>
        <w:t xml:space="preserve"> $ Ce qui fait dire à M. Schegg,</w:t>
      </w:r>
      <w:r w:rsidRPr="0044481F">
        <w:rPr>
          <w:rStyle w:val="italicus"/>
        </w:rPr>
        <w:t xml:space="preserve"> Pilgerbuch,</w:t>
      </w:r>
      <w:r>
        <w:t xml:space="preserve"> t. II, p. 122, qu’il y a « une couronne de fleura autour de la ville des fleurs ». </w:t>
      </w:r>
    </w:p>
  </w:footnote>
  <w:footnote w:id="716">
    <w:p w:rsidR="007F47B8" w:rsidRPr="00AA3DE3" w:rsidRDefault="007F47B8" w:rsidP="00C31960">
      <w:pPr>
        <w:pStyle w:val="Notedebasdepage"/>
        <w:rPr>
          <w:i/>
        </w:rPr>
      </w:pPr>
      <w:r>
        <w:rPr>
          <w:rStyle w:val="Appelnotedebasdep"/>
        </w:rPr>
        <w:footnoteRef/>
      </w:r>
      <w:r>
        <w:t xml:space="preserve"> </w:t>
      </w:r>
      <w:r w:rsidRPr="000819A4">
        <w:t>$ Voyez F. Vigouroux,</w:t>
      </w:r>
      <w:r w:rsidRPr="0044481F">
        <w:rPr>
          <w:rStyle w:val="italicus"/>
        </w:rPr>
        <w:t xml:space="preserve"> Carte de Palestine pour l’élude de l’Ancien et du Nouveau Testament, </w:t>
      </w:r>
      <w:r w:rsidRPr="000819A4">
        <w:t xml:space="preserve">ou Victor Guérin, </w:t>
      </w:r>
      <w:r w:rsidRPr="0044481F">
        <w:rPr>
          <w:rStyle w:val="italicus"/>
        </w:rPr>
        <w:t xml:space="preserve">Carte de Palestine. </w:t>
      </w:r>
    </w:p>
  </w:footnote>
  <w:footnote w:id="717">
    <w:p w:rsidR="007F47B8" w:rsidRDefault="007F47B8" w:rsidP="00C31960">
      <w:pPr>
        <w:pStyle w:val="Notedebasdepage"/>
      </w:pPr>
      <w:r>
        <w:rPr>
          <w:rStyle w:val="Appelnotedebasdep"/>
        </w:rPr>
        <w:footnoteRef/>
      </w:r>
      <w:r>
        <w:t xml:space="preserve"> </w:t>
      </w:r>
      <w:r>
        <w:rPr>
          <w:rStyle w:val="italicus"/>
        </w:rPr>
        <w:t xml:space="preserve">$ </w:t>
      </w:r>
      <w:r>
        <w:t>Cité par Reland,</w:t>
      </w:r>
      <w:r w:rsidRPr="0044481F">
        <w:rPr>
          <w:rStyle w:val="italicus"/>
        </w:rPr>
        <w:t xml:space="preserve"> Palæstina,</w:t>
      </w:r>
      <w:r>
        <w:t xml:space="preserve"> p. 907</w:t>
      </w:r>
      <w:r w:rsidRPr="0011183B">
        <w:t xml:space="preserve">. </w:t>
      </w:r>
    </w:p>
  </w:footnote>
  <w:footnote w:id="718">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Ibid.</w:t>
      </w:r>
      <w:r w:rsidRPr="00F84A0B">
        <w:rPr>
          <w:lang w:val="en-US"/>
        </w:rPr>
        <w:t xml:space="preserve"> </w:t>
      </w:r>
    </w:p>
  </w:footnote>
  <w:footnote w:id="719">
    <w:p w:rsidR="007F47B8" w:rsidRPr="00512B6E" w:rsidRDefault="007F47B8" w:rsidP="00C31960">
      <w:pPr>
        <w:pStyle w:val="Notedebasdepage"/>
        <w:rPr>
          <w:lang w:val="en-US"/>
        </w:rPr>
      </w:pPr>
      <w:r>
        <w:rPr>
          <w:rStyle w:val="Appelnotedebasdep"/>
        </w:rPr>
        <w:footnoteRef/>
      </w:r>
      <w:r w:rsidRPr="00512B6E">
        <w:rPr>
          <w:lang w:val="en-US"/>
        </w:rPr>
        <w:t xml:space="preserve"> $ </w:t>
      </w:r>
      <w:r w:rsidRPr="00512B6E">
        <w:rPr>
          <w:rStyle w:val="italicus"/>
          <w:lang w:val="en-US"/>
        </w:rPr>
        <w:t>S. Matthieu,</w:t>
      </w:r>
      <w:r w:rsidRPr="00512B6E">
        <w:rPr>
          <w:smallCaps/>
          <w:lang w:val="en-US"/>
        </w:rPr>
        <w:t xml:space="preserve"> VII</w:t>
      </w:r>
      <w:r w:rsidRPr="00512B6E">
        <w:rPr>
          <w:lang w:val="en-US"/>
        </w:rPr>
        <w:t>, 24, 25 ; S.</w:t>
      </w:r>
      <w:r w:rsidRPr="00512B6E">
        <w:rPr>
          <w:rStyle w:val="italicus"/>
          <w:lang w:val="en-US"/>
        </w:rPr>
        <w:t xml:space="preserve"> Luc, VI</w:t>
      </w:r>
      <w:r w:rsidRPr="00512B6E">
        <w:rPr>
          <w:lang w:val="en-US"/>
        </w:rPr>
        <w:t xml:space="preserve">, 47, 48. </w:t>
      </w:r>
    </w:p>
  </w:footnote>
  <w:footnote w:id="720">
    <w:p w:rsidR="007F47B8" w:rsidRPr="00AA3DE3" w:rsidRDefault="007F47B8" w:rsidP="00C31960">
      <w:pPr>
        <w:pStyle w:val="Notedebasdepage"/>
      </w:pPr>
      <w:r>
        <w:rPr>
          <w:rStyle w:val="Appelnotedebasdep"/>
        </w:rPr>
        <w:footnoteRef/>
      </w:r>
      <w:r>
        <w:t xml:space="preserve"> $ L’église protestante récemment construite ne remplit pas la condition que nous exprimions ici avant qu’elle ne fût bâtie. </w:t>
      </w:r>
    </w:p>
  </w:footnote>
  <w:footnote w:id="721">
    <w:p w:rsidR="007F47B8" w:rsidRPr="00E62477" w:rsidRDefault="007F47B8" w:rsidP="00C31960">
      <w:pPr>
        <w:pStyle w:val="Notedebasdepage"/>
        <w:rPr>
          <w:lang w:val="en-US"/>
        </w:rPr>
      </w:pPr>
      <w:r>
        <w:rPr>
          <w:rStyle w:val="Appelnotedebasdep"/>
        </w:rPr>
        <w:footnoteRef/>
      </w:r>
      <w:r w:rsidRPr="00E62477">
        <w:rPr>
          <w:lang w:val="en-US"/>
        </w:rPr>
        <w:t xml:space="preserve"> $ Steinhart vom Fremersleben, cité par A. Stolz,</w:t>
      </w:r>
      <w:r w:rsidRPr="00E62477">
        <w:rPr>
          <w:rStyle w:val="italicus"/>
          <w:lang w:val="en-US"/>
        </w:rPr>
        <w:t xml:space="preserve"> Besuch bei Sem, Cham und Japhet</w:t>
      </w:r>
      <w:r w:rsidRPr="00E62477">
        <w:rPr>
          <w:lang w:val="en-US"/>
        </w:rPr>
        <w:t xml:space="preserve">, 4e édition, p. 347. </w:t>
      </w:r>
    </w:p>
  </w:footnote>
  <w:footnote w:id="722">
    <w:p w:rsidR="007F47B8" w:rsidRPr="007F47B8" w:rsidRDefault="007F47B8" w:rsidP="00C31960">
      <w:pPr>
        <w:pStyle w:val="Notedebasdepage"/>
      </w:pPr>
      <w:r>
        <w:rPr>
          <w:rStyle w:val="Appelnotedebasdep"/>
        </w:rPr>
        <w:footnoteRef/>
      </w:r>
      <w:r w:rsidRPr="007F47B8">
        <w:t xml:space="preserve"> $ </w:t>
      </w:r>
      <w:r w:rsidRPr="007F47B8">
        <w:rPr>
          <w:rStyle w:val="italicus"/>
        </w:rPr>
        <w:t xml:space="preserve">Adv. Hæres., </w:t>
      </w:r>
      <w:r w:rsidRPr="007F47B8">
        <w:t xml:space="preserve">lib. I. </w:t>
      </w:r>
    </w:p>
  </w:footnote>
  <w:footnote w:id="723">
    <w:p w:rsidR="007F47B8" w:rsidRPr="007F47B8" w:rsidRDefault="007F47B8" w:rsidP="00C31960">
      <w:pPr>
        <w:pStyle w:val="Notedebasdepage"/>
      </w:pPr>
      <w:r>
        <w:rPr>
          <w:rStyle w:val="Appelnotedebasdep"/>
        </w:rPr>
        <w:footnoteRef/>
      </w:r>
      <w:r w:rsidRPr="007F47B8">
        <w:t xml:space="preserve"> </w:t>
      </w:r>
      <w:r w:rsidRPr="007F47B8">
        <w:rPr>
          <w:rStyle w:val="italicus"/>
        </w:rPr>
        <w:t xml:space="preserve">$ Travels, </w:t>
      </w:r>
      <w:r w:rsidRPr="007F47B8">
        <w:t xml:space="preserve">p. 341. </w:t>
      </w:r>
    </w:p>
  </w:footnote>
  <w:footnote w:id="724">
    <w:p w:rsidR="007F47B8" w:rsidRPr="007F47B8" w:rsidRDefault="007F47B8" w:rsidP="00C31960">
      <w:pPr>
        <w:pStyle w:val="Notedebasdepage"/>
      </w:pPr>
      <w:r>
        <w:rPr>
          <w:rStyle w:val="Appelnotedebasdep"/>
        </w:rPr>
        <w:footnoteRef/>
      </w:r>
      <w:r w:rsidRPr="007F47B8">
        <w:t xml:space="preserve"> </w:t>
      </w:r>
      <w:r w:rsidRPr="007F47B8">
        <w:rPr>
          <w:rStyle w:val="italicus"/>
        </w:rPr>
        <w:t>$ Itinerárium,</w:t>
      </w:r>
      <w:r w:rsidRPr="007F47B8">
        <w:t xml:space="preserve"> § 5. </w:t>
      </w:r>
    </w:p>
  </w:footnote>
  <w:footnote w:id="725">
    <w:p w:rsidR="007F47B8" w:rsidRPr="00AA3DE3" w:rsidRDefault="007F47B8" w:rsidP="00C31960">
      <w:pPr>
        <w:pStyle w:val="Notedebasdepage"/>
      </w:pPr>
      <w:r>
        <w:rPr>
          <w:rStyle w:val="Appelnotedebasdep"/>
        </w:rPr>
        <w:footnoteRef/>
      </w:r>
      <w:r>
        <w:t xml:space="preserve"> </w:t>
      </w:r>
      <w:r>
        <w:rPr>
          <w:rStyle w:val="italicus"/>
        </w:rPr>
        <w:t xml:space="preserve">$ </w:t>
      </w:r>
      <w:r w:rsidRPr="0044481F">
        <w:rPr>
          <w:rStyle w:val="italicus"/>
        </w:rPr>
        <w:t>Les Saints Lieux,</w:t>
      </w:r>
      <w:r>
        <w:t xml:space="preserve"> 1</w:t>
      </w:r>
      <w:r w:rsidRPr="007D3E23">
        <w:rPr>
          <w:vertAlign w:val="superscript"/>
        </w:rPr>
        <w:t>re</w:t>
      </w:r>
      <w:r>
        <w:t xml:space="preserve"> édit., t. I, p. 402. </w:t>
      </w:r>
    </w:p>
  </w:footnote>
  <w:footnote w:id="726">
    <w:p w:rsidR="007F47B8" w:rsidRPr="00AA3DE3" w:rsidRDefault="007F47B8" w:rsidP="00C31960">
      <w:pPr>
        <w:pStyle w:val="Notedebasdepage"/>
      </w:pPr>
      <w:r>
        <w:rPr>
          <w:rStyle w:val="Appelnotedebasdep"/>
        </w:rPr>
        <w:footnoteRef/>
      </w:r>
      <w:r>
        <w:t xml:space="preserve"> $ Voyez notre</w:t>
      </w:r>
      <w:r w:rsidRPr="0044481F">
        <w:rPr>
          <w:rStyle w:val="italicus"/>
        </w:rPr>
        <w:t xml:space="preserve"> Atlas archéologique de la Bible,</w:t>
      </w:r>
      <w:r>
        <w:t xml:space="preserve"> Lyon, 1883, Planche IV, fig. 4, et Pl. XXIX, fig. 2. </w:t>
      </w:r>
    </w:p>
  </w:footnote>
  <w:footnote w:id="727">
    <w:p w:rsidR="007F47B8" w:rsidRPr="00AA3DE3" w:rsidRDefault="007F47B8" w:rsidP="00C31960">
      <w:pPr>
        <w:pStyle w:val="Notedebasdepage"/>
      </w:pPr>
      <w:r>
        <w:rPr>
          <w:rStyle w:val="Appelnotedebasdep"/>
        </w:rPr>
        <w:footnoteRef/>
      </w:r>
      <w:r>
        <w:t xml:space="preserve"> $ Schubert, cité par Gratz,</w:t>
      </w:r>
      <w:r w:rsidRPr="0044481F">
        <w:rPr>
          <w:rStyle w:val="italicus"/>
        </w:rPr>
        <w:t xml:space="preserve"> Théâtre des événements racontés dans les divines Écritures,</w:t>
      </w:r>
      <w:r>
        <w:t xml:space="preserve"> t. II, p. 53 de la traduction française. </w:t>
      </w:r>
    </w:p>
  </w:footnote>
  <w:footnote w:id="728">
    <w:p w:rsidR="007F47B8" w:rsidRDefault="007F47B8" w:rsidP="00C31960">
      <w:pPr>
        <w:pStyle w:val="Notedebasdepage"/>
      </w:pPr>
      <w:r>
        <w:rPr>
          <w:rStyle w:val="Appelnotedebasdep"/>
        </w:rPr>
        <w:footnoteRef/>
      </w:r>
      <w:r>
        <w:t xml:space="preserve"> </w:t>
      </w:r>
      <w:r w:rsidRPr="006E4469">
        <w:t>$ Voyez Liévin de Hamme,</w:t>
      </w:r>
      <w:r w:rsidRPr="0044481F">
        <w:rPr>
          <w:rStyle w:val="italicus"/>
        </w:rPr>
        <w:t xml:space="preserve"> Guide-Indicateur des Sanctuaires et Lieux historiques de</w:t>
      </w:r>
      <w:r>
        <w:rPr>
          <w:rStyle w:val="italicus"/>
        </w:rPr>
        <w:t xml:space="preserve"> la</w:t>
      </w:r>
      <w:r w:rsidRPr="0044481F">
        <w:rPr>
          <w:rStyle w:val="italicus"/>
        </w:rPr>
        <w:t xml:space="preserve"> Terre-Sainte, </w:t>
      </w:r>
      <w:r w:rsidRPr="006E4469">
        <w:t xml:space="preserve">2e édit., Louvain, 1876, t. III, p. 80-88. </w:t>
      </w:r>
    </w:p>
  </w:footnote>
  <w:footnote w:id="729">
    <w:p w:rsidR="007F47B8" w:rsidRPr="00AA3DE3" w:rsidRDefault="007F47B8" w:rsidP="00C31960">
      <w:pPr>
        <w:pStyle w:val="Notedebasdepage"/>
      </w:pPr>
      <w:r>
        <w:rPr>
          <w:rStyle w:val="Appelnotedebasdep"/>
        </w:rPr>
        <w:footnoteRef/>
      </w:r>
      <w:r>
        <w:t xml:space="preserve"> </w:t>
      </w:r>
      <w:r>
        <w:rPr>
          <w:rStyle w:val="italicus"/>
        </w:rPr>
        <w:t xml:space="preserve">$ </w:t>
      </w:r>
      <w:r>
        <w:t xml:space="preserve">La « boutique ». </w:t>
      </w:r>
    </w:p>
  </w:footnote>
  <w:footnote w:id="730">
    <w:p w:rsidR="007F47B8" w:rsidRPr="00AA3DE3" w:rsidRDefault="007F47B8" w:rsidP="00C31960">
      <w:pPr>
        <w:pStyle w:val="Notedebasdepage"/>
      </w:pPr>
      <w:r>
        <w:rPr>
          <w:rStyle w:val="Appelnotedebasdep"/>
        </w:rPr>
        <w:footnoteRef/>
      </w:r>
      <w:r>
        <w:t xml:space="preserve"> $ Mainte photographie ou gravure a rendu ces</w:t>
      </w:r>
      <w:r w:rsidRPr="0044481F">
        <w:rPr>
          <w:rStyle w:val="italicus"/>
        </w:rPr>
        <w:t xml:space="preserve"> Saints Lieux</w:t>
      </w:r>
      <w:r>
        <w:t xml:space="preserve"> familiers la plupart de nos lecteurs. </w:t>
      </w:r>
    </w:p>
  </w:footnote>
  <w:footnote w:id="731">
    <w:p w:rsidR="007F47B8" w:rsidRPr="00AA3DE3" w:rsidRDefault="007F47B8" w:rsidP="00C31960">
      <w:pPr>
        <w:pStyle w:val="Notedebasdepage"/>
      </w:pPr>
      <w:r>
        <w:rPr>
          <w:rStyle w:val="Appelnotedebasdep"/>
        </w:rPr>
        <w:footnoteRef/>
      </w:r>
      <w:r>
        <w:t xml:space="preserve"> $ Le mot est de M. Stanley,</w:t>
      </w:r>
      <w:r w:rsidRPr="0044481F">
        <w:rPr>
          <w:rStyle w:val="italicus"/>
        </w:rPr>
        <w:t xml:space="preserve"> Sinai and Palestine,</w:t>
      </w:r>
      <w:r>
        <w:t xml:space="preserve"> p. 444. </w:t>
      </w:r>
    </w:p>
  </w:footnote>
  <w:footnote w:id="732">
    <w:p w:rsidR="007F47B8" w:rsidRPr="00AA3DE3" w:rsidRDefault="007F47B8" w:rsidP="00C31960">
      <w:pPr>
        <w:pStyle w:val="Notedebasdepage"/>
      </w:pPr>
      <w:r>
        <w:rPr>
          <w:rStyle w:val="Appelnotedebasdep"/>
        </w:rPr>
        <w:footnoteRef/>
      </w:r>
      <w:r w:rsidRPr="00AA3DE3">
        <w:t xml:space="preserve"> </w:t>
      </w:r>
      <w:r>
        <w:t>Voyez notre</w:t>
      </w:r>
      <w:r w:rsidRPr="0044481F">
        <w:rPr>
          <w:rStyle w:val="italicus"/>
        </w:rPr>
        <w:t xml:space="preserve"> Allas archéologique de la Bible,</w:t>
      </w:r>
      <w:r>
        <w:t xml:space="preserve"> planche XXIX, fig. 2.</w:t>
      </w:r>
    </w:p>
  </w:footnote>
  <w:footnote w:id="733">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 xml:space="preserve">The Land and the Book, </w:t>
      </w:r>
      <w:r w:rsidRPr="00F84A0B">
        <w:rPr>
          <w:lang w:val="en-US"/>
        </w:rPr>
        <w:t xml:space="preserve">1876, p. 432. </w:t>
      </w:r>
    </w:p>
  </w:footnote>
  <w:footnote w:id="734">
    <w:p w:rsidR="007F47B8" w:rsidRPr="00AA3DE3" w:rsidRDefault="007F47B8" w:rsidP="00C31960">
      <w:pPr>
        <w:pStyle w:val="Notedebasdepage"/>
      </w:pPr>
      <w:r>
        <w:rPr>
          <w:rStyle w:val="Appelnotedebasdep"/>
        </w:rPr>
        <w:footnoteRef/>
      </w:r>
      <w:r>
        <w:t xml:space="preserve"> $ </w:t>
      </w:r>
      <w:r w:rsidRPr="0044481F">
        <w:rPr>
          <w:rStyle w:val="italicus"/>
        </w:rPr>
        <w:t xml:space="preserve">Travels, </w:t>
      </w:r>
      <w:r w:rsidRPr="006E4469">
        <w:t xml:space="preserve">t. II, p. 427. </w:t>
      </w:r>
    </w:p>
  </w:footnote>
  <w:footnote w:id="735">
    <w:p w:rsidR="007F47B8" w:rsidRPr="00AA3DE3" w:rsidRDefault="007F47B8" w:rsidP="00C31960">
      <w:pPr>
        <w:pStyle w:val="Notedebasdepage"/>
      </w:pPr>
      <w:r>
        <w:rPr>
          <w:rStyle w:val="Appelnotedebasdep"/>
        </w:rPr>
        <w:footnoteRef/>
      </w:r>
      <w:r w:rsidRPr="00AA3DE3">
        <w:t xml:space="preserve"> </w:t>
      </w:r>
      <w:r>
        <w:rPr>
          <w:rStyle w:val="italicus"/>
        </w:rPr>
        <w:t xml:space="preserve">$ </w:t>
      </w:r>
      <w:r>
        <w:t>Voir Brunet,</w:t>
      </w:r>
      <w:r w:rsidRPr="0044481F">
        <w:rPr>
          <w:rStyle w:val="italicus"/>
        </w:rPr>
        <w:t xml:space="preserve"> Les Évangiles apocryphes,</w:t>
      </w:r>
      <w:r>
        <w:t xml:space="preserve"> 2</w:t>
      </w:r>
      <w:r>
        <w:rPr>
          <w:vertAlign w:val="superscript"/>
        </w:rPr>
        <w:t>e</w:t>
      </w:r>
      <w:r>
        <w:t xml:space="preserve"> édit., p. 120-122. </w:t>
      </w:r>
    </w:p>
  </w:footnote>
  <w:footnote w:id="736">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H. W. Longfellow,</w:t>
      </w:r>
      <w:r w:rsidRPr="00F84A0B">
        <w:rPr>
          <w:rStyle w:val="italicus"/>
          <w:lang w:val="en-US"/>
        </w:rPr>
        <w:t xml:space="preserve"> Poetical Works,</w:t>
      </w:r>
      <w:r w:rsidRPr="00F84A0B">
        <w:rPr>
          <w:lang w:val="en-US"/>
        </w:rPr>
        <w:t xml:space="preserve"> Londres, 1868. Chandos Classics, p. 268. </w:t>
      </w:r>
    </w:p>
  </w:footnote>
  <w:footnote w:id="737">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T. III, p. 7, c. II. </w:t>
      </w:r>
    </w:p>
  </w:footnote>
  <w:footnote w:id="738">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Voir Sepp,</w:t>
      </w:r>
      <w:r w:rsidRPr="00F84A0B">
        <w:rPr>
          <w:rStyle w:val="italicus"/>
          <w:lang w:val="en-US"/>
        </w:rPr>
        <w:t xml:space="preserve"> Jerusalem und das heil. Land, </w:t>
      </w:r>
      <w:r w:rsidRPr="00F84A0B">
        <w:rPr>
          <w:lang w:val="en-US"/>
        </w:rPr>
        <w:t>t. II, p. 92 ; A. Stolz,</w:t>
      </w:r>
      <w:r w:rsidRPr="00F84A0B">
        <w:rPr>
          <w:rStyle w:val="italicus"/>
          <w:lang w:val="en-US"/>
        </w:rPr>
        <w:t xml:space="preserve"> Besuch bei Sem, Cham, und Japhet, </w:t>
      </w:r>
      <w:r w:rsidRPr="00F84A0B">
        <w:rPr>
          <w:lang w:val="en-US"/>
        </w:rPr>
        <w:t xml:space="preserve">p. 349 et 350. </w:t>
      </w:r>
    </w:p>
  </w:footnote>
  <w:footnote w:id="739">
    <w:p w:rsidR="007F47B8" w:rsidRPr="00AA3DE3" w:rsidRDefault="007F47B8" w:rsidP="00C31960">
      <w:pPr>
        <w:pStyle w:val="Notedebasdepage"/>
      </w:pPr>
      <w:r>
        <w:rPr>
          <w:rStyle w:val="Appelnotedebasdep"/>
        </w:rPr>
        <w:footnoteRef/>
      </w:r>
      <w:r>
        <w:t xml:space="preserve"> </w:t>
      </w:r>
      <w:r>
        <w:rPr>
          <w:rStyle w:val="italicus"/>
        </w:rPr>
        <w:t xml:space="preserve">$ </w:t>
      </w:r>
      <w:r>
        <w:t>M. Van de Velde,</w:t>
      </w:r>
      <w:r w:rsidRPr="0044481F">
        <w:rPr>
          <w:rStyle w:val="italicus"/>
        </w:rPr>
        <w:t xml:space="preserve"> Reise durch Syrien und </w:t>
      </w:r>
      <w:r>
        <w:rPr>
          <w:rStyle w:val="italicus"/>
        </w:rPr>
        <w:t>Palæstina</w:t>
      </w:r>
      <w:r w:rsidRPr="0044481F">
        <w:rPr>
          <w:rStyle w:val="italicus"/>
        </w:rPr>
        <w:t>,</w:t>
      </w:r>
      <w:r>
        <w:t xml:space="preserve"> t. II, p. 329, prétend sans raison que l’ancienne Nazareth était bâtie sur le plateau de Neby Ismaïl. </w:t>
      </w:r>
    </w:p>
  </w:footnote>
  <w:footnote w:id="740">
    <w:p w:rsidR="007F47B8" w:rsidRPr="00AA3DE3" w:rsidRDefault="007F47B8" w:rsidP="00C31960">
      <w:pPr>
        <w:pStyle w:val="Notedebasdepage"/>
      </w:pPr>
      <w:r>
        <w:rPr>
          <w:rStyle w:val="Appelnotedebasdep"/>
        </w:rPr>
        <w:footnoteRef/>
      </w:r>
      <w:r>
        <w:t xml:space="preserve"> $ E. Renan,</w:t>
      </w:r>
      <w:r w:rsidRPr="0044481F">
        <w:rPr>
          <w:rStyle w:val="italicus"/>
        </w:rPr>
        <w:t xml:space="preserve"> Vie de Jésus,</w:t>
      </w:r>
      <w:r>
        <w:t xml:space="preserve"> 1863, p. 22 et 23. </w:t>
      </w:r>
    </w:p>
  </w:footnote>
  <w:footnote w:id="741">
    <w:p w:rsidR="007F47B8" w:rsidRPr="00AA3DE3" w:rsidRDefault="007F47B8" w:rsidP="00C31960">
      <w:pPr>
        <w:pStyle w:val="Notedebasdepage"/>
      </w:pPr>
      <w:r>
        <w:rPr>
          <w:rStyle w:val="Appelnotedebasdep"/>
        </w:rPr>
        <w:footnoteRef/>
      </w:r>
      <w:r>
        <w:t xml:space="preserve"> $ </w:t>
      </w:r>
      <w:r w:rsidRPr="0044481F">
        <w:rPr>
          <w:rStyle w:val="italicus"/>
        </w:rPr>
        <w:t>Luc,</w:t>
      </w:r>
      <w:r>
        <w:t xml:space="preserve"> IV, 14-30. Voyez notre commentaire. </w:t>
      </w:r>
    </w:p>
  </w:footnote>
  <w:footnote w:id="742">
    <w:p w:rsidR="007F47B8" w:rsidRPr="00AA3DE3" w:rsidRDefault="007F47B8" w:rsidP="00C31960">
      <w:pPr>
        <w:pStyle w:val="Notedebasdepage"/>
      </w:pPr>
      <w:r>
        <w:rPr>
          <w:rStyle w:val="Appelnotedebasdep"/>
        </w:rPr>
        <w:footnoteRef/>
      </w:r>
      <w:r>
        <w:t xml:space="preserve"> $ Comparez</w:t>
      </w:r>
      <w:r w:rsidRPr="0044481F">
        <w:rPr>
          <w:rStyle w:val="italicus"/>
        </w:rPr>
        <w:t xml:space="preserve"> Bab. Sanhedr.,</w:t>
      </w:r>
      <w:r>
        <w:t xml:space="preserve"> f. 42, 1. </w:t>
      </w:r>
    </w:p>
  </w:footnote>
  <w:footnote w:id="743">
    <w:p w:rsidR="007F47B8" w:rsidRPr="00AA3DE3" w:rsidRDefault="007F47B8" w:rsidP="00C31960">
      <w:pPr>
        <w:pStyle w:val="Notedebasdepage"/>
      </w:pPr>
      <w:r>
        <w:rPr>
          <w:rStyle w:val="Appelnotedebasdep"/>
        </w:rPr>
        <w:footnoteRef/>
      </w:r>
      <w:r>
        <w:t xml:space="preserve"> $ Voyez les cartes de MM. Guérin, F. Vigouroux, V. Ancessi, R. Riess, etc. </w:t>
      </w:r>
    </w:p>
  </w:footnote>
  <w:footnote w:id="744">
    <w:p w:rsidR="007F47B8" w:rsidRPr="00AA3DE3" w:rsidRDefault="007F47B8" w:rsidP="00C31960">
      <w:pPr>
        <w:pStyle w:val="Notedebasdepage"/>
      </w:pPr>
      <w:r>
        <w:rPr>
          <w:rStyle w:val="Appelnotedebasdep"/>
        </w:rPr>
        <w:footnoteRef/>
      </w:r>
      <w:r>
        <w:t xml:space="preserve"> $ Const. Tischendorf, cité par J. Kitto,</w:t>
      </w:r>
      <w:r w:rsidRPr="0044481F">
        <w:rPr>
          <w:rStyle w:val="italicus"/>
        </w:rPr>
        <w:t xml:space="preserve"> Daily Bible Illustrations, Life of Our</w:t>
      </w:r>
      <w:r>
        <w:rPr>
          <w:rStyle w:val="italicus"/>
        </w:rPr>
        <w:t xml:space="preserve"> L</w:t>
      </w:r>
      <w:r w:rsidRPr="0044481F">
        <w:rPr>
          <w:rStyle w:val="italicus"/>
        </w:rPr>
        <w:t>ord,</w:t>
      </w:r>
      <w:r>
        <w:t xml:space="preserve"> p. 28 et 29, 8e édit. </w:t>
      </w:r>
    </w:p>
  </w:footnote>
  <w:footnote w:id="745">
    <w:p w:rsidR="007F47B8" w:rsidRPr="00AA3DE3" w:rsidRDefault="007F47B8">
      <w:pPr>
        <w:pStyle w:val="Notedebasdepage"/>
        <w:rPr>
          <w:lang w:val="en-US"/>
        </w:rPr>
      </w:pPr>
      <w:r>
        <w:rPr>
          <w:rStyle w:val="Appelnotedebasdep"/>
        </w:rPr>
        <w:footnoteRef/>
      </w:r>
      <w:r>
        <w:t xml:space="preserve"> </w:t>
      </w:r>
      <w:r w:rsidRPr="001077D9">
        <w:t xml:space="preserve">$ </w:t>
      </w:r>
      <w:r>
        <w:rPr>
          <w:rStyle w:val="italicus"/>
        </w:rPr>
        <w:t>Adv. Hæ</w:t>
      </w:r>
      <w:r w:rsidRPr="0044481F">
        <w:rPr>
          <w:rStyle w:val="italicus"/>
        </w:rPr>
        <w:t>r.,</w:t>
      </w:r>
      <w:r w:rsidRPr="006E4469">
        <w:t xml:space="preserve"> lib. </w:t>
      </w:r>
      <w:r w:rsidRPr="00F84A0B">
        <w:rPr>
          <w:lang w:val="en-US"/>
        </w:rPr>
        <w:t xml:space="preserve">I. </w:t>
      </w:r>
    </w:p>
  </w:footnote>
  <w:footnote w:id="746">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Onomásticon,</w:t>
      </w:r>
      <w:r w:rsidRPr="007F47B8">
        <w:rPr>
          <w:lang w:val="en-US"/>
        </w:rPr>
        <w:t xml:space="preserve"> art. Nazareth. </w:t>
      </w:r>
    </w:p>
  </w:footnote>
  <w:footnote w:id="747">
    <w:p w:rsidR="007F47B8" w:rsidRPr="00AA3DE3" w:rsidRDefault="007F47B8" w:rsidP="00C31960">
      <w:pPr>
        <w:pStyle w:val="Notedebasdepage"/>
        <w:rPr>
          <w:i/>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 xml:space="preserve">Epist. </w:t>
      </w:r>
      <w:r w:rsidRPr="00A52917">
        <w:rPr>
          <w:lang w:val="en-US"/>
        </w:rPr>
        <w:t>86 ; comparez l’</w:t>
      </w:r>
      <w:r w:rsidRPr="00A52917">
        <w:rPr>
          <w:rStyle w:val="italicus"/>
          <w:lang w:val="en-US"/>
        </w:rPr>
        <w:t xml:space="preserve">Epitaph. </w:t>
      </w:r>
      <w:r>
        <w:rPr>
          <w:rStyle w:val="italicus"/>
        </w:rPr>
        <w:t>Paulæ</w:t>
      </w:r>
      <w:r w:rsidRPr="0044481F">
        <w:rPr>
          <w:rStyle w:val="italicus"/>
        </w:rPr>
        <w:t xml:space="preserve"> </w:t>
      </w:r>
      <w:r w:rsidRPr="006E4469">
        <w:t>et l’épître 44</w:t>
      </w:r>
      <w:r w:rsidRPr="0044481F">
        <w:rPr>
          <w:rStyle w:val="italicus"/>
        </w:rPr>
        <w:t xml:space="preserve"> ad Marcell. </w:t>
      </w:r>
    </w:p>
  </w:footnote>
  <w:footnote w:id="748">
    <w:p w:rsidR="007F47B8" w:rsidRDefault="007F47B8" w:rsidP="00C31960">
      <w:pPr>
        <w:pStyle w:val="Notedebasdepage"/>
      </w:pPr>
      <w:r>
        <w:rPr>
          <w:rStyle w:val="Appelnotedebasdep"/>
        </w:rPr>
        <w:footnoteRef/>
      </w:r>
      <w:r>
        <w:t xml:space="preserve"> </w:t>
      </w:r>
      <w:r>
        <w:rPr>
          <w:rStyle w:val="italicus"/>
        </w:rPr>
        <w:t xml:space="preserve">$ Bibliothèque des Croisades, </w:t>
      </w:r>
      <w:r w:rsidRPr="006E4469">
        <w:t>1</w:t>
      </w:r>
      <w:r w:rsidRPr="006E4469">
        <w:rPr>
          <w:vertAlign w:val="superscript"/>
        </w:rPr>
        <w:t>re</w:t>
      </w:r>
      <w:r>
        <w:t xml:space="preserve"> </w:t>
      </w:r>
      <w:r w:rsidRPr="006E4469">
        <w:t xml:space="preserve">partie. </w:t>
      </w:r>
    </w:p>
  </w:footnote>
  <w:footnote w:id="749">
    <w:p w:rsidR="007F47B8" w:rsidRPr="00AA3DE3" w:rsidRDefault="007F47B8" w:rsidP="00C31960">
      <w:pPr>
        <w:pStyle w:val="Notedebasdepage"/>
      </w:pPr>
      <w:r>
        <w:rPr>
          <w:rStyle w:val="Appelnotedebasdep"/>
        </w:rPr>
        <w:footnoteRef/>
      </w:r>
      <w:r>
        <w:t xml:space="preserve"> </w:t>
      </w:r>
      <w:r>
        <w:rPr>
          <w:rStyle w:val="italicus"/>
        </w:rPr>
        <w:t xml:space="preserve">$ </w:t>
      </w:r>
      <w:r w:rsidRPr="0044481F">
        <w:rPr>
          <w:rStyle w:val="italicus"/>
        </w:rPr>
        <w:t>Péssimi Sarraceni.</w:t>
      </w:r>
      <w:r>
        <w:t xml:space="preserve"> Voyez Robinson,</w:t>
      </w:r>
      <w:r w:rsidRPr="0044481F">
        <w:rPr>
          <w:rStyle w:val="italicus"/>
        </w:rPr>
        <w:t xml:space="preserve"> </w:t>
      </w:r>
      <w:r>
        <w:rPr>
          <w:rStyle w:val="italicus"/>
        </w:rPr>
        <w:t>Palæstina</w:t>
      </w:r>
      <w:r w:rsidRPr="0044481F">
        <w:rPr>
          <w:rStyle w:val="italicus"/>
        </w:rPr>
        <w:t>,</w:t>
      </w:r>
      <w:r>
        <w:t xml:space="preserve"> t. III, p. 459, note 2. </w:t>
      </w:r>
    </w:p>
  </w:footnote>
  <w:footnote w:id="750">
    <w:p w:rsidR="007F47B8" w:rsidRDefault="007F47B8" w:rsidP="00C31960">
      <w:pPr>
        <w:pStyle w:val="Notedebasdepage"/>
      </w:pPr>
      <w:r>
        <w:rPr>
          <w:rStyle w:val="Appelnotedebasdep"/>
        </w:rPr>
        <w:footnoteRef/>
      </w:r>
      <w:r>
        <w:t xml:space="preserve"> E. de Gumppenberg,</w:t>
      </w:r>
      <w:r>
        <w:rPr>
          <w:rStyle w:val="italicus"/>
        </w:rPr>
        <w:t xml:space="preserve"> R</w:t>
      </w:r>
      <w:r w:rsidRPr="0044481F">
        <w:rPr>
          <w:rStyle w:val="italicus"/>
        </w:rPr>
        <w:t>eyssbuch,</w:t>
      </w:r>
      <w:r>
        <w:t xml:space="preserve"> p. 242.</w:t>
      </w:r>
    </w:p>
  </w:footnote>
  <w:footnote w:id="751">
    <w:p w:rsidR="007F47B8" w:rsidRDefault="007F47B8" w:rsidP="00C31960">
      <w:pPr>
        <w:pStyle w:val="Notedebasdepage"/>
      </w:pPr>
      <w:r>
        <w:rPr>
          <w:rStyle w:val="Appelnotedebasdep"/>
        </w:rPr>
        <w:footnoteRef/>
      </w:r>
      <w:r>
        <w:t xml:space="preserve"> $ T. II, p. 819, 837 et suiv. </w:t>
      </w:r>
    </w:p>
  </w:footnote>
  <w:footnote w:id="752">
    <w:p w:rsidR="007F47B8" w:rsidRPr="00AA3DE3" w:rsidRDefault="007F47B8" w:rsidP="00C31960">
      <w:pPr>
        <w:pStyle w:val="Notedebasdepage"/>
      </w:pPr>
      <w:r>
        <w:rPr>
          <w:rStyle w:val="Appelnotedebasdep"/>
        </w:rPr>
        <w:footnoteRef/>
      </w:r>
      <w:r w:rsidRPr="005D2A18">
        <w:t xml:space="preserve"> </w:t>
      </w:r>
      <w:r w:rsidRPr="006E4469">
        <w:t>$ Voyez la</w:t>
      </w:r>
      <w:r w:rsidRPr="0044481F">
        <w:rPr>
          <w:rStyle w:val="italicus"/>
        </w:rPr>
        <w:t xml:space="preserve"> Revue des sciences ecclésiastiques, </w:t>
      </w:r>
      <w:r w:rsidRPr="007E3CF8">
        <w:t xml:space="preserve">n° de septembre 1869. </w:t>
      </w:r>
    </w:p>
  </w:footnote>
  <w:footnote w:id="753">
    <w:p w:rsidR="007F47B8" w:rsidRPr="00AA3DE3" w:rsidRDefault="007F47B8" w:rsidP="00C31960">
      <w:pPr>
        <w:pStyle w:val="Notedebasdepage"/>
      </w:pPr>
      <w:r>
        <w:rPr>
          <w:rStyle w:val="Appelnotedebasdep"/>
        </w:rPr>
        <w:footnoteRef/>
      </w:r>
      <w:r w:rsidRPr="005D2A18">
        <w:rPr>
          <w:lang w:val="en-US"/>
        </w:rPr>
        <w:t xml:space="preserve"> </w:t>
      </w:r>
      <w:r w:rsidRPr="00F84A0B">
        <w:rPr>
          <w:rStyle w:val="italicus"/>
          <w:lang w:val="en-US"/>
        </w:rPr>
        <w:t>$ Handwerkerleben zur Zeit Jesu, ein Beitrag zur neutestamentlichen Zeitgeschichte,</w:t>
      </w:r>
      <w:r w:rsidRPr="00F84A0B">
        <w:rPr>
          <w:lang w:val="en-US"/>
        </w:rPr>
        <w:t xml:space="preserve"> Erlangen, 1868. </w:t>
      </w:r>
      <w:r>
        <w:t xml:space="preserve">Cette brochure a été plusieurs fois rééditée. Nous croyons nous souvenir qu’elle a été traduite en français. </w:t>
      </w:r>
    </w:p>
  </w:footnote>
  <w:footnote w:id="754">
    <w:p w:rsidR="007F47B8" w:rsidRPr="005D2A18" w:rsidRDefault="007F47B8" w:rsidP="00C31960">
      <w:pPr>
        <w:pStyle w:val="Notedebasdepage"/>
      </w:pPr>
      <w:r>
        <w:rPr>
          <w:rStyle w:val="Appelnotedebasdep"/>
        </w:rPr>
        <w:footnoteRef/>
      </w:r>
      <w:r w:rsidRPr="005D2A18">
        <w:t xml:space="preserve"> </w:t>
      </w:r>
      <w:r>
        <w:t>$ Cité par Raumer,</w:t>
      </w:r>
      <w:r w:rsidRPr="0044481F">
        <w:rPr>
          <w:rStyle w:val="italicus"/>
        </w:rPr>
        <w:t xml:space="preserve"> </w:t>
      </w:r>
      <w:r>
        <w:rPr>
          <w:rStyle w:val="italicus"/>
        </w:rPr>
        <w:t>Palæstina</w:t>
      </w:r>
      <w:r w:rsidRPr="0044481F">
        <w:rPr>
          <w:rStyle w:val="italicus"/>
        </w:rPr>
        <w:t>,</w:t>
      </w:r>
      <w:r>
        <w:t xml:space="preserve"> 4e édition, p. 25. Comp.</w:t>
      </w:r>
      <w:r w:rsidRPr="0044481F">
        <w:rPr>
          <w:rStyle w:val="italicus"/>
        </w:rPr>
        <w:t xml:space="preserve"> Pro Flacco, </w:t>
      </w:r>
      <w:r>
        <w:t>c.</w:t>
      </w:r>
      <w:r>
        <w:rPr>
          <w:smallCaps/>
        </w:rPr>
        <w:t xml:space="preserve"> XXVIII</w:t>
      </w:r>
      <w:r>
        <w:t>, et</w:t>
      </w:r>
      <w:r w:rsidRPr="0044481F">
        <w:rPr>
          <w:rStyle w:val="italicus"/>
        </w:rPr>
        <w:t xml:space="preserve"> De Provínciis </w:t>
      </w:r>
      <w:r>
        <w:rPr>
          <w:rStyle w:val="italicus"/>
        </w:rPr>
        <w:t>consulá</w:t>
      </w:r>
      <w:r w:rsidRPr="0044481F">
        <w:rPr>
          <w:rStyle w:val="italicus"/>
        </w:rPr>
        <w:t>ribus,</w:t>
      </w:r>
      <w:r>
        <w:t xml:space="preserve"> V, 10. </w:t>
      </w:r>
    </w:p>
  </w:footnote>
  <w:footnote w:id="755">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F. Delitzsch,</w:t>
      </w:r>
      <w:r w:rsidRPr="00F84A0B">
        <w:rPr>
          <w:rStyle w:val="italicus"/>
          <w:lang w:val="en-US"/>
        </w:rPr>
        <w:t xml:space="preserve"> l. c.,</w:t>
      </w:r>
      <w:r w:rsidRPr="00F84A0B">
        <w:rPr>
          <w:lang w:val="en-US"/>
        </w:rPr>
        <w:t xml:space="preserve"> p. 23. </w:t>
      </w:r>
    </w:p>
  </w:footnote>
  <w:footnote w:id="756">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Pesachim,</w:t>
      </w:r>
      <w:r w:rsidRPr="00F84A0B">
        <w:rPr>
          <w:lang w:val="en-US"/>
        </w:rPr>
        <w:t xml:space="preserve"> 118, a. </w:t>
      </w:r>
    </w:p>
  </w:footnote>
  <w:footnote w:id="757">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Aboth,</w:t>
      </w:r>
      <w:r w:rsidRPr="00F84A0B">
        <w:rPr>
          <w:lang w:val="en-US"/>
        </w:rPr>
        <w:t xml:space="preserve"> I, 10. </w:t>
      </w:r>
    </w:p>
  </w:footnote>
  <w:footnote w:id="758">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Nedarim,</w:t>
      </w:r>
      <w:r w:rsidRPr="00F84A0B">
        <w:rPr>
          <w:lang w:val="en-US"/>
        </w:rPr>
        <w:t xml:space="preserve"> 49, b. </w:t>
      </w:r>
    </w:p>
  </w:footnote>
  <w:footnote w:id="759">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Gittin,</w:t>
      </w:r>
      <w:r w:rsidRPr="00F84A0B">
        <w:rPr>
          <w:lang w:val="en-US"/>
        </w:rPr>
        <w:t xml:space="preserve"> 67, d. </w:t>
      </w:r>
    </w:p>
  </w:footnote>
  <w:footnote w:id="760">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 xml:space="preserve">Kamma, </w:t>
      </w:r>
      <w:r w:rsidRPr="00F84A0B">
        <w:rPr>
          <w:lang w:val="en-US"/>
        </w:rPr>
        <w:t xml:space="preserve">79, b. </w:t>
      </w:r>
    </w:p>
  </w:footnote>
  <w:footnote w:id="761">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 xml:space="preserve">Sota, </w:t>
      </w:r>
      <w:r w:rsidRPr="00F84A0B">
        <w:rPr>
          <w:lang w:val="en-US"/>
        </w:rPr>
        <w:t xml:space="preserve">20, a. </w:t>
      </w:r>
    </w:p>
  </w:footnote>
  <w:footnote w:id="762">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xml:space="preserve">$ Pesachim, </w:t>
      </w:r>
      <w:r w:rsidRPr="00F84A0B">
        <w:rPr>
          <w:lang w:val="en-US"/>
        </w:rPr>
        <w:t xml:space="preserve">112, a. </w:t>
      </w:r>
    </w:p>
  </w:footnote>
  <w:footnote w:id="763">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xml:space="preserve">$ Bathra, </w:t>
      </w:r>
      <w:r w:rsidRPr="00F84A0B">
        <w:rPr>
          <w:lang w:val="en-US"/>
        </w:rPr>
        <w:t xml:space="preserve">110, a. </w:t>
      </w:r>
    </w:p>
  </w:footnote>
  <w:footnote w:id="764">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xml:space="preserve">$ I. Thess. </w:t>
      </w:r>
      <w:r w:rsidRPr="00F84A0B">
        <w:rPr>
          <w:lang w:val="en-US"/>
        </w:rPr>
        <w:t xml:space="preserve">IV, 11. </w:t>
      </w:r>
    </w:p>
  </w:footnote>
  <w:footnote w:id="765">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rStyle w:val="italicus"/>
          <w:lang w:val="en-US"/>
        </w:rPr>
        <w:t xml:space="preserve">$ Pesachim, </w:t>
      </w:r>
      <w:r w:rsidRPr="00F84A0B">
        <w:rPr>
          <w:lang w:val="en-US"/>
        </w:rPr>
        <w:t>112, b ;</w:t>
      </w:r>
      <w:r w:rsidRPr="00F84A0B">
        <w:rPr>
          <w:rStyle w:val="italicus"/>
          <w:lang w:val="en-US"/>
        </w:rPr>
        <w:t xml:space="preserve"> Bathra, </w:t>
      </w:r>
      <w:r w:rsidRPr="00F84A0B">
        <w:rPr>
          <w:lang w:val="en-US"/>
        </w:rPr>
        <w:t xml:space="preserve">110, a. </w:t>
      </w:r>
    </w:p>
  </w:footnote>
  <w:footnote w:id="766">
    <w:p w:rsidR="007F47B8" w:rsidRPr="00AA3DE3" w:rsidRDefault="007F47B8" w:rsidP="00C31960">
      <w:pPr>
        <w:pStyle w:val="Notedebasdepage"/>
      </w:pPr>
      <w:r>
        <w:rPr>
          <w:rStyle w:val="Appelnotedebasdep"/>
        </w:rPr>
        <w:footnoteRef/>
      </w:r>
      <w:r>
        <w:t xml:space="preserve"> </w:t>
      </w:r>
      <w:r>
        <w:rPr>
          <w:rStyle w:val="italicus"/>
        </w:rPr>
        <w:t xml:space="preserve">$ </w:t>
      </w:r>
      <w:r w:rsidRPr="0044481F">
        <w:rPr>
          <w:rStyle w:val="italicus"/>
        </w:rPr>
        <w:t>Kidduschin,</w:t>
      </w:r>
      <w:r>
        <w:t xml:space="preserve"> 29, a</w:t>
      </w:r>
      <w:r w:rsidRPr="0011183B">
        <w:t xml:space="preserve">. </w:t>
      </w:r>
    </w:p>
  </w:footnote>
  <w:footnote w:id="767">
    <w:p w:rsidR="007F47B8" w:rsidRPr="00AA3DE3" w:rsidRDefault="007F47B8" w:rsidP="00C31960">
      <w:pPr>
        <w:pStyle w:val="Notedebasdepage"/>
        <w:rPr>
          <w:i/>
        </w:rPr>
      </w:pPr>
      <w:r>
        <w:rPr>
          <w:rStyle w:val="Appelnotedebasdep"/>
        </w:rPr>
        <w:footnoteRef/>
      </w:r>
      <w:r>
        <w:t xml:space="preserve"> </w:t>
      </w:r>
      <w:r w:rsidRPr="0011183B">
        <w:t xml:space="preserve">$ </w:t>
      </w:r>
      <w:r>
        <w:t xml:space="preserve">Page 25. </w:t>
      </w:r>
    </w:p>
  </w:footnote>
  <w:footnote w:id="768">
    <w:p w:rsidR="007F47B8" w:rsidRDefault="007F47B8" w:rsidP="00C31960">
      <w:pPr>
        <w:pStyle w:val="Notedebasdepage"/>
      </w:pPr>
      <w:r>
        <w:rPr>
          <w:rStyle w:val="Appelnotedebasdep"/>
        </w:rPr>
        <w:footnoteRef/>
      </w:r>
      <w:r>
        <w:t xml:space="preserve"> $ </w:t>
      </w:r>
      <w:r w:rsidRPr="0044481F">
        <w:rPr>
          <w:rStyle w:val="italicus"/>
        </w:rPr>
        <w:t>Erubin,</w:t>
      </w:r>
      <w:r>
        <w:t xml:space="preserve"> 55, a. </w:t>
      </w:r>
    </w:p>
  </w:footnote>
  <w:footnote w:id="769">
    <w:p w:rsidR="007F47B8" w:rsidRPr="00AA3DE3" w:rsidRDefault="007F47B8" w:rsidP="00C31960">
      <w:pPr>
        <w:pStyle w:val="Notedebasdepage"/>
      </w:pPr>
      <w:r>
        <w:rPr>
          <w:rStyle w:val="Appelnotedebasdep"/>
        </w:rPr>
        <w:footnoteRef/>
      </w:r>
      <w:r>
        <w:t xml:space="preserve"> </w:t>
      </w:r>
      <w:r w:rsidRPr="00DD7615">
        <w:t xml:space="preserve">$ Deut. XXIII, 20. </w:t>
      </w:r>
    </w:p>
  </w:footnote>
  <w:footnote w:id="770">
    <w:p w:rsidR="007F47B8" w:rsidRPr="00AA3DE3" w:rsidRDefault="007F47B8" w:rsidP="00C31960">
      <w:pPr>
        <w:pStyle w:val="Notedebasdepage"/>
      </w:pPr>
      <w:r>
        <w:rPr>
          <w:rStyle w:val="Appelnotedebasdep"/>
        </w:rPr>
        <w:footnoteRef/>
      </w:r>
      <w:r>
        <w:t xml:space="preserve"> </w:t>
      </w:r>
      <w:r w:rsidRPr="0011183B">
        <w:t xml:space="preserve">$ </w:t>
      </w:r>
      <w:r>
        <w:t xml:space="preserve">Page 26. </w:t>
      </w:r>
    </w:p>
  </w:footnote>
  <w:footnote w:id="771">
    <w:p w:rsidR="007F47B8" w:rsidRPr="005D2A18" w:rsidRDefault="007F47B8" w:rsidP="00C31960">
      <w:pPr>
        <w:pStyle w:val="Notedebasdepage"/>
        <w:rPr>
          <w:i/>
        </w:rPr>
      </w:pPr>
      <w:r>
        <w:rPr>
          <w:rStyle w:val="Appelnotedebasdep"/>
        </w:rPr>
        <w:footnoteRef/>
      </w:r>
      <w:r w:rsidRPr="005D2A18">
        <w:t xml:space="preserve"> </w:t>
      </w:r>
      <w:r>
        <w:t>$ Jargon judéo-allemand parlé ou même écrit en diverses contrées germaniques. Voyez I. F. Stem,</w:t>
      </w:r>
      <w:r w:rsidRPr="0044481F">
        <w:rPr>
          <w:rStyle w:val="italicus"/>
        </w:rPr>
        <w:t xml:space="preserve"> Léxicon</w:t>
      </w:r>
      <w:r>
        <w:rPr>
          <w:rStyle w:val="italicus"/>
        </w:rPr>
        <w:t xml:space="preserve"> der jüdischen Geschæ</w:t>
      </w:r>
      <w:r w:rsidRPr="0044481F">
        <w:rPr>
          <w:rStyle w:val="italicus"/>
        </w:rPr>
        <w:t>fts</w:t>
      </w:r>
      <w:r>
        <w:rPr>
          <w:rStyle w:val="italicus"/>
        </w:rPr>
        <w:t>-</w:t>
      </w:r>
      <w:r w:rsidRPr="0044481F">
        <w:rPr>
          <w:rStyle w:val="italicus"/>
        </w:rPr>
        <w:t>und Umgangssprache,</w:t>
      </w:r>
      <w:r>
        <w:t xml:space="preserve"> un vol. in-18 (s. 1.</w:t>
      </w:r>
      <w:r w:rsidRPr="00BA383E">
        <w:t xml:space="preserve">), </w:t>
      </w:r>
      <w:r>
        <w:t>1858, et surtout, Max Grünbaum,</w:t>
      </w:r>
      <w:r w:rsidRPr="0044481F">
        <w:rPr>
          <w:rStyle w:val="italicus"/>
        </w:rPr>
        <w:t xml:space="preserve"> </w:t>
      </w:r>
      <w:r>
        <w:rPr>
          <w:rStyle w:val="italicus"/>
        </w:rPr>
        <w:t>jü</w:t>
      </w:r>
      <w:r w:rsidRPr="0044481F">
        <w:rPr>
          <w:rStyle w:val="italicus"/>
        </w:rPr>
        <w:t>dischd</w:t>
      </w:r>
      <w:r>
        <w:rPr>
          <w:rStyle w:val="italicus"/>
        </w:rPr>
        <w:t>eut</w:t>
      </w:r>
      <w:r w:rsidRPr="0044481F">
        <w:rPr>
          <w:rStyle w:val="italicus"/>
        </w:rPr>
        <w:t>sche Chrestomathie, zugleich ein</w:t>
      </w:r>
      <w:r>
        <w:rPr>
          <w:rStyle w:val="italicus"/>
        </w:rPr>
        <w:t xml:space="preserve"> Beitrag zur Kunde der hebræ</w:t>
      </w:r>
      <w:r w:rsidRPr="0044481F">
        <w:rPr>
          <w:rStyle w:val="italicus"/>
        </w:rPr>
        <w:t>ische</w:t>
      </w:r>
      <w:r>
        <w:rPr>
          <w:rStyle w:val="italicus"/>
        </w:rPr>
        <w:t>n</w:t>
      </w:r>
      <w:r w:rsidRPr="0044481F">
        <w:rPr>
          <w:rStyle w:val="italicus"/>
        </w:rPr>
        <w:t xml:space="preserve"> Literatur,</w:t>
      </w:r>
      <w:r>
        <w:t xml:space="preserve"> un vol. in-8°, Leipzig, 1882. </w:t>
      </w:r>
    </w:p>
  </w:footnote>
  <w:footnote w:id="772">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 xml:space="preserve">Kidduschin, </w:t>
      </w:r>
      <w:r w:rsidRPr="00F84A0B">
        <w:rPr>
          <w:lang w:val="en-US"/>
        </w:rPr>
        <w:t>33, a ;</w:t>
      </w:r>
      <w:r w:rsidRPr="00F84A0B">
        <w:rPr>
          <w:rStyle w:val="italicus"/>
          <w:lang w:val="en-US"/>
        </w:rPr>
        <w:t xml:space="preserve"> Chullin, </w:t>
      </w:r>
      <w:r w:rsidRPr="00F84A0B">
        <w:rPr>
          <w:lang w:val="en-US"/>
        </w:rPr>
        <w:t>54, b.</w:t>
      </w:r>
      <w:r w:rsidRPr="00F84A0B">
        <w:rPr>
          <w:rStyle w:val="italicus"/>
          <w:lang w:val="en-US"/>
        </w:rPr>
        <w:t xml:space="preserve"> </w:t>
      </w:r>
    </w:p>
  </w:footnote>
  <w:footnote w:id="773">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xml:space="preserve">$ </w:t>
      </w:r>
      <w:r w:rsidRPr="00F84A0B">
        <w:rPr>
          <w:lang w:val="en-US"/>
        </w:rPr>
        <w:t xml:space="preserve">Proverbe arabe. </w:t>
      </w:r>
    </w:p>
  </w:footnote>
  <w:footnote w:id="774">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 xml:space="preserve">Berachoth, </w:t>
      </w:r>
      <w:r w:rsidRPr="00F84A0B">
        <w:rPr>
          <w:lang w:val="en-US"/>
        </w:rPr>
        <w:t xml:space="preserve">28, b. </w:t>
      </w:r>
    </w:p>
  </w:footnote>
  <w:footnote w:id="775">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xml:space="preserve">$ Berachoth, </w:t>
      </w:r>
      <w:r w:rsidRPr="00F84A0B">
        <w:rPr>
          <w:lang w:val="en-US"/>
        </w:rPr>
        <w:t xml:space="preserve">17, a. </w:t>
      </w:r>
    </w:p>
  </w:footnote>
  <w:footnote w:id="776">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xml:space="preserve">$ Midrasch Koheleth, </w:t>
      </w:r>
      <w:r w:rsidRPr="00F84A0B">
        <w:rPr>
          <w:lang w:val="en-US"/>
        </w:rPr>
        <w:t xml:space="preserve">IV, 17. </w:t>
      </w:r>
    </w:p>
  </w:footnote>
  <w:footnote w:id="777">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Page 30. </w:t>
      </w:r>
    </w:p>
  </w:footnote>
  <w:footnote w:id="778">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 xml:space="preserve">Kidduschin, </w:t>
      </w:r>
      <w:r w:rsidRPr="00F84A0B">
        <w:rPr>
          <w:lang w:val="en-US"/>
        </w:rPr>
        <w:t xml:space="preserve">82, b. </w:t>
      </w:r>
    </w:p>
  </w:footnote>
  <w:footnote w:id="779">
    <w:p w:rsidR="007F47B8" w:rsidRPr="00AA3DE3" w:rsidRDefault="007F47B8" w:rsidP="00C31960">
      <w:pPr>
        <w:pStyle w:val="Notedebasdepage"/>
        <w:rPr>
          <w:i/>
          <w:lang w:val="en-US"/>
        </w:rPr>
      </w:pPr>
      <w:r>
        <w:rPr>
          <w:rStyle w:val="Appelnotedebasdep"/>
        </w:rPr>
        <w:footnoteRef/>
      </w:r>
      <w:r w:rsidRPr="00AA3DE3">
        <w:rPr>
          <w:lang w:val="en-US"/>
        </w:rPr>
        <w:t xml:space="preserve"> </w:t>
      </w:r>
      <w:r w:rsidRPr="00F84A0B">
        <w:rPr>
          <w:rStyle w:val="italicus"/>
          <w:lang w:val="en-US"/>
        </w:rPr>
        <w:t xml:space="preserve">$ Jebamoth, </w:t>
      </w:r>
      <w:r w:rsidRPr="00F84A0B">
        <w:rPr>
          <w:lang w:val="en-US"/>
        </w:rPr>
        <w:t xml:space="preserve">118, b. </w:t>
      </w:r>
    </w:p>
  </w:footnote>
  <w:footnote w:id="780">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xml:space="preserve">$ Kidduschin, 82, b. </w:t>
      </w:r>
    </w:p>
  </w:footnote>
  <w:footnote w:id="781">
    <w:p w:rsidR="007F47B8" w:rsidRPr="00AA3DE3" w:rsidRDefault="007F47B8" w:rsidP="00C31960">
      <w:pPr>
        <w:pStyle w:val="Notedebasdepage"/>
        <w:rPr>
          <w:i/>
          <w:lang w:val="en-US"/>
        </w:rPr>
      </w:pPr>
      <w:r>
        <w:rPr>
          <w:rStyle w:val="Appelnotedebasdep"/>
        </w:rPr>
        <w:footnoteRef/>
      </w:r>
      <w:r w:rsidRPr="00AA3DE3">
        <w:rPr>
          <w:lang w:val="en-US"/>
        </w:rPr>
        <w:t xml:space="preserve"> </w:t>
      </w:r>
      <w:r w:rsidRPr="00F84A0B">
        <w:rPr>
          <w:rStyle w:val="italicus"/>
          <w:lang w:val="en-US"/>
        </w:rPr>
        <w:t xml:space="preserve">$ </w:t>
      </w:r>
      <w:r w:rsidRPr="00F84A0B">
        <w:rPr>
          <w:lang w:val="en-US"/>
        </w:rPr>
        <w:t>Cf.</w:t>
      </w:r>
      <w:r w:rsidRPr="00F84A0B">
        <w:rPr>
          <w:rStyle w:val="italicus"/>
          <w:lang w:val="en-US"/>
        </w:rPr>
        <w:t xml:space="preserve"> Joan.</w:t>
      </w:r>
      <w:r w:rsidRPr="00F84A0B">
        <w:rPr>
          <w:smallCaps/>
          <w:lang w:val="en-US"/>
        </w:rPr>
        <w:t xml:space="preserve"> IV,</w:t>
      </w:r>
      <w:r w:rsidRPr="00F84A0B">
        <w:rPr>
          <w:lang w:val="en-US"/>
        </w:rPr>
        <w:t xml:space="preserve"> 27. </w:t>
      </w:r>
    </w:p>
  </w:footnote>
  <w:footnote w:id="782">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 xml:space="preserve">Kidduschin, </w:t>
      </w:r>
      <w:r w:rsidRPr="00F84A0B">
        <w:rPr>
          <w:lang w:val="en-US"/>
        </w:rPr>
        <w:t>IV, 13, 14 ;</w:t>
      </w:r>
      <w:r w:rsidRPr="00F84A0B">
        <w:rPr>
          <w:rStyle w:val="italicus"/>
          <w:lang w:val="en-US"/>
        </w:rPr>
        <w:t xml:space="preserve"> Gemara, 82, a. </w:t>
      </w:r>
    </w:p>
  </w:footnote>
  <w:footnote w:id="783">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lang w:val="en-US"/>
        </w:rPr>
        <w:t xml:space="preserve">$ Landau, </w:t>
      </w:r>
      <w:r w:rsidRPr="00F84A0B">
        <w:rPr>
          <w:rStyle w:val="italicus"/>
          <w:lang w:val="en-US"/>
        </w:rPr>
        <w:t>Geist und Sprache der Hebræer,</w:t>
      </w:r>
      <w:r w:rsidRPr="00F84A0B">
        <w:rPr>
          <w:lang w:val="en-US"/>
        </w:rPr>
        <w:t xml:space="preserve"> p. 209. </w:t>
      </w:r>
    </w:p>
  </w:footnote>
  <w:footnote w:id="784">
    <w:p w:rsidR="007F47B8" w:rsidRPr="00AA3DE3" w:rsidRDefault="007F47B8" w:rsidP="00C31960">
      <w:pPr>
        <w:pStyle w:val="Notedebasdepage"/>
      </w:pPr>
      <w:r>
        <w:rPr>
          <w:rStyle w:val="Appelnotedebasdep"/>
        </w:rPr>
        <w:footnoteRef/>
      </w:r>
      <w:r>
        <w:t xml:space="preserve"> </w:t>
      </w:r>
      <w:r>
        <w:rPr>
          <w:rStyle w:val="italicus"/>
        </w:rPr>
        <w:t xml:space="preserve">$ </w:t>
      </w:r>
      <w:r>
        <w:t>Delitzsch,</w:t>
      </w:r>
      <w:r w:rsidRPr="0044481F">
        <w:rPr>
          <w:rStyle w:val="italicus"/>
        </w:rPr>
        <w:t xml:space="preserve"> l. c.,</w:t>
      </w:r>
      <w:r>
        <w:t xml:space="preserve"> p. 42</w:t>
      </w:r>
      <w:r w:rsidRPr="0011183B">
        <w:t xml:space="preserve">. </w:t>
      </w:r>
    </w:p>
  </w:footnote>
  <w:footnote w:id="785">
    <w:p w:rsidR="007F47B8" w:rsidRPr="005D2A18" w:rsidRDefault="007F47B8" w:rsidP="00C31960">
      <w:pPr>
        <w:pStyle w:val="Notedebasdepage"/>
      </w:pPr>
      <w:r>
        <w:rPr>
          <w:rStyle w:val="Appelnotedebasdep"/>
        </w:rPr>
        <w:footnoteRef/>
      </w:r>
      <w:r w:rsidRPr="005D2A18">
        <w:t xml:space="preserve"> </w:t>
      </w:r>
      <w:r w:rsidRPr="0011183B">
        <w:t xml:space="preserve">$ </w:t>
      </w:r>
      <w:r w:rsidRPr="0044481F">
        <w:rPr>
          <w:rStyle w:val="italicus"/>
        </w:rPr>
        <w:t>Kidduschin,</w:t>
      </w:r>
      <w:r>
        <w:t xml:space="preserve"> IV, 24 ;</w:t>
      </w:r>
      <w:r w:rsidRPr="0044481F">
        <w:rPr>
          <w:rStyle w:val="italicus"/>
        </w:rPr>
        <w:t xml:space="preserve"> Sofrim,</w:t>
      </w:r>
      <w:r>
        <w:t xml:space="preserve"> 47, d, et ailleurs. </w:t>
      </w:r>
    </w:p>
  </w:footnote>
  <w:footnote w:id="786">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Landau,</w:t>
      </w:r>
      <w:r w:rsidRPr="00F84A0B">
        <w:rPr>
          <w:rStyle w:val="italicus"/>
          <w:lang w:val="en-US"/>
        </w:rPr>
        <w:t xml:space="preserve"> Geist und Sprache der Hebræer, </w:t>
      </w:r>
      <w:r w:rsidRPr="00F84A0B">
        <w:rPr>
          <w:lang w:val="en-US"/>
        </w:rPr>
        <w:t xml:space="preserve">p. 185. </w:t>
      </w:r>
    </w:p>
  </w:footnote>
  <w:footnote w:id="787">
    <w:p w:rsidR="007F47B8" w:rsidRPr="00AA3DE3" w:rsidRDefault="007F47B8" w:rsidP="00C31960">
      <w:pPr>
        <w:pStyle w:val="Notedebasdepage"/>
        <w:rPr>
          <w:i/>
          <w:lang w:val="en-US"/>
        </w:rPr>
      </w:pPr>
      <w:r>
        <w:rPr>
          <w:rStyle w:val="Appelnotedebasdep"/>
        </w:rPr>
        <w:footnoteRef/>
      </w:r>
      <w:r w:rsidRPr="00AA3DE3">
        <w:rPr>
          <w:lang w:val="en-US"/>
        </w:rPr>
        <w:t xml:space="preserve"> </w:t>
      </w:r>
      <w:r w:rsidRPr="00F84A0B">
        <w:rPr>
          <w:rStyle w:val="italicus"/>
          <w:lang w:val="en-US"/>
        </w:rPr>
        <w:t>$ Sota,</w:t>
      </w:r>
      <w:r w:rsidRPr="00F84A0B">
        <w:rPr>
          <w:lang w:val="en-US"/>
        </w:rPr>
        <w:t xml:space="preserve"> 43, a. </w:t>
      </w:r>
    </w:p>
  </w:footnote>
  <w:footnote w:id="788">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 xml:space="preserve">Succa, 28, a. </w:t>
      </w:r>
    </w:p>
  </w:footnote>
  <w:footnote w:id="789">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rStyle w:val="italicus"/>
          <w:lang w:val="en-US"/>
        </w:rPr>
        <w:t>$ Is.</w:t>
      </w:r>
      <w:r w:rsidRPr="00F84A0B">
        <w:rPr>
          <w:lang w:val="en-US"/>
        </w:rPr>
        <w:t xml:space="preserve"> VII, 3 ; XXXVI, 2. </w:t>
      </w:r>
    </w:p>
  </w:footnote>
  <w:footnote w:id="790">
    <w:p w:rsidR="007F47B8" w:rsidRDefault="007F47B8" w:rsidP="00C31960">
      <w:pPr>
        <w:pStyle w:val="Notedebasdepage"/>
      </w:pPr>
      <w:r>
        <w:rPr>
          <w:rStyle w:val="Appelnotedebasdep"/>
        </w:rPr>
        <w:footnoteRef/>
      </w:r>
      <w:r>
        <w:t xml:space="preserve"> $ </w:t>
      </w:r>
      <w:r w:rsidRPr="0044481F">
        <w:rPr>
          <w:rStyle w:val="italicus"/>
        </w:rPr>
        <w:t>Kamma,</w:t>
      </w:r>
      <w:r>
        <w:t xml:space="preserve"> 116, b. </w:t>
      </w:r>
    </w:p>
  </w:footnote>
  <w:footnote w:id="791">
    <w:p w:rsidR="007F47B8" w:rsidRDefault="007F47B8" w:rsidP="00C31960">
      <w:pPr>
        <w:pStyle w:val="Notedebasdepage"/>
      </w:pPr>
      <w:r>
        <w:rPr>
          <w:rStyle w:val="Appelnotedebasdep"/>
        </w:rPr>
        <w:footnoteRef/>
      </w:r>
      <w:r>
        <w:t xml:space="preserve"> $ </w:t>
      </w:r>
      <w:r w:rsidRPr="0044481F">
        <w:rPr>
          <w:rStyle w:val="italicus"/>
        </w:rPr>
        <w:t xml:space="preserve">Megilla, </w:t>
      </w:r>
      <w:r w:rsidRPr="0031036B">
        <w:t>26, a ;</w:t>
      </w:r>
      <w:r w:rsidRPr="0044481F">
        <w:rPr>
          <w:rStyle w:val="italicus"/>
        </w:rPr>
        <w:t xml:space="preserve"> Nazir, </w:t>
      </w:r>
      <w:r>
        <w:t xml:space="preserve">32, a ; </w:t>
      </w:r>
    </w:p>
  </w:footnote>
  <w:footnote w:id="792">
    <w:p w:rsidR="007F47B8" w:rsidRPr="00AA3DE3" w:rsidRDefault="007F47B8" w:rsidP="00C31960">
      <w:pPr>
        <w:pStyle w:val="Notedebasdepage"/>
      </w:pPr>
      <w:r>
        <w:rPr>
          <w:rStyle w:val="Appelnotedebasdep"/>
        </w:rPr>
        <w:footnoteRef/>
      </w:r>
      <w:r>
        <w:t xml:space="preserve"> $</w:t>
      </w:r>
      <w:r w:rsidRPr="0031036B">
        <w:t xml:space="preserve"> </w:t>
      </w:r>
      <w:r w:rsidRPr="0044481F">
        <w:rPr>
          <w:rStyle w:val="italicus"/>
        </w:rPr>
        <w:t xml:space="preserve">Succa, </w:t>
      </w:r>
      <w:r w:rsidRPr="0031036B">
        <w:t xml:space="preserve">21, b. </w:t>
      </w:r>
    </w:p>
  </w:footnote>
  <w:footnote w:id="793">
    <w:p w:rsidR="007F47B8" w:rsidRPr="005D2A18" w:rsidRDefault="007F47B8" w:rsidP="00C31960">
      <w:pPr>
        <w:pStyle w:val="Notedebasdepage"/>
      </w:pPr>
      <w:r>
        <w:rPr>
          <w:rStyle w:val="Appelnotedebasdep"/>
        </w:rPr>
        <w:footnoteRef/>
      </w:r>
      <w:r w:rsidRPr="005D2A18">
        <w:t xml:space="preserve"> </w:t>
      </w:r>
      <w:r>
        <w:rPr>
          <w:rStyle w:val="italicus"/>
        </w:rPr>
        <w:t xml:space="preserve">$ </w:t>
      </w:r>
      <w:r>
        <w:t xml:space="preserve">Page </w:t>
      </w:r>
      <w:r>
        <w:fldChar w:fldCharType="begin"/>
      </w:r>
      <w:r>
        <w:instrText xml:space="preserve"> PAGEREF y_DocteursDeJabne \h </w:instrText>
      </w:r>
      <w:r>
        <w:fldChar w:fldCharType="separate"/>
      </w:r>
      <w:r>
        <w:rPr>
          <w:noProof/>
        </w:rPr>
        <w:t>96</w:t>
      </w:r>
      <w:r>
        <w:fldChar w:fldCharType="end"/>
      </w:r>
      <w:r>
        <w:t xml:space="preserve">[246] de ce volume. </w:t>
      </w:r>
    </w:p>
  </w:footnote>
  <w:footnote w:id="794">
    <w:p w:rsidR="007F47B8" w:rsidRPr="00A52917" w:rsidRDefault="007F47B8" w:rsidP="00C31960">
      <w:pPr>
        <w:pStyle w:val="Notedebasdepage"/>
      </w:pPr>
      <w:r>
        <w:rPr>
          <w:rStyle w:val="Appelnotedebasdep"/>
        </w:rPr>
        <w:footnoteRef/>
      </w:r>
      <w:r w:rsidRPr="00A52917">
        <w:t xml:space="preserve"> $ XXXVIII, 24-XXXIX, 11. </w:t>
      </w:r>
    </w:p>
  </w:footnote>
  <w:footnote w:id="795">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 xml:space="preserve">Schatbath, </w:t>
      </w:r>
      <w:r w:rsidRPr="00F84A0B">
        <w:rPr>
          <w:lang w:val="en-US"/>
        </w:rPr>
        <w:t>11, a ;</w:t>
      </w:r>
      <w:r w:rsidRPr="00F84A0B">
        <w:rPr>
          <w:rStyle w:val="italicus"/>
          <w:lang w:val="en-US"/>
        </w:rPr>
        <w:t xml:space="preserve"> Derachoth, </w:t>
      </w:r>
      <w:r w:rsidRPr="00F84A0B">
        <w:rPr>
          <w:lang w:val="en-US"/>
        </w:rPr>
        <w:t xml:space="preserve">16, b. </w:t>
      </w:r>
    </w:p>
  </w:footnote>
  <w:footnote w:id="796">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Eccl.</w:t>
      </w:r>
      <w:r w:rsidRPr="00F84A0B">
        <w:rPr>
          <w:lang w:val="en-US"/>
        </w:rPr>
        <w:t xml:space="preserve"> IX, 9. </w:t>
      </w:r>
    </w:p>
  </w:footnote>
  <w:footnote w:id="797">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 xml:space="preserve">Midrasch Koheleth, </w:t>
      </w:r>
      <w:r w:rsidRPr="00F84A0B">
        <w:rPr>
          <w:lang w:val="en-US"/>
        </w:rPr>
        <w:t xml:space="preserve">IX, 19. </w:t>
      </w:r>
    </w:p>
  </w:footnote>
  <w:footnote w:id="798">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Aboda</w:t>
      </w:r>
      <w:r>
        <w:rPr>
          <w:rStyle w:val="italicus"/>
          <w:lang w:val="en-US"/>
        </w:rPr>
        <w:t xml:space="preserve"> </w:t>
      </w:r>
      <w:r w:rsidRPr="00F84A0B">
        <w:rPr>
          <w:rStyle w:val="italicus"/>
          <w:lang w:val="en-US"/>
        </w:rPr>
        <w:t xml:space="preserve">zara, </w:t>
      </w:r>
      <w:r w:rsidRPr="00F84A0B">
        <w:rPr>
          <w:lang w:val="en-US"/>
        </w:rPr>
        <w:t>17, b ;</w:t>
      </w:r>
      <w:r w:rsidRPr="00F84A0B">
        <w:rPr>
          <w:rStyle w:val="italicus"/>
          <w:lang w:val="en-US"/>
        </w:rPr>
        <w:t xml:space="preserve"> Kidduschin, </w:t>
      </w:r>
      <w:r w:rsidRPr="00F84A0B">
        <w:rPr>
          <w:lang w:val="en-US"/>
        </w:rPr>
        <w:t xml:space="preserve">IV, 13. </w:t>
      </w:r>
    </w:p>
  </w:footnote>
  <w:footnote w:id="799">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Nedarim,</w:t>
      </w:r>
      <w:r w:rsidRPr="00F84A0B">
        <w:rPr>
          <w:lang w:val="en-US"/>
        </w:rPr>
        <w:t xml:space="preserve"> 49, b. </w:t>
      </w:r>
    </w:p>
  </w:footnote>
  <w:footnote w:id="800">
    <w:p w:rsidR="007F47B8" w:rsidRPr="00AA3DE3" w:rsidRDefault="007F47B8" w:rsidP="00C31960">
      <w:pPr>
        <w:pStyle w:val="Notedebasdepage"/>
        <w:rPr>
          <w:i/>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Sifra,</w:t>
      </w:r>
      <w:r w:rsidRPr="00F84A0B">
        <w:rPr>
          <w:lang w:val="en-US"/>
        </w:rPr>
        <w:t xml:space="preserve"> 192, b. </w:t>
      </w:r>
    </w:p>
  </w:footnote>
  <w:footnote w:id="801">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 xml:space="preserve">Gittin, 67, b. </w:t>
      </w:r>
    </w:p>
  </w:footnote>
  <w:footnote w:id="802">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Jost, </w:t>
      </w:r>
      <w:r w:rsidRPr="00F84A0B">
        <w:rPr>
          <w:rStyle w:val="italicus"/>
          <w:lang w:val="en-US"/>
        </w:rPr>
        <w:t xml:space="preserve">Geschichte des Judenthums und seiner Secten, </w:t>
      </w:r>
      <w:r w:rsidRPr="00F84A0B">
        <w:rPr>
          <w:lang w:val="en-US"/>
        </w:rPr>
        <w:t xml:space="preserve">t. II, p. 86. </w:t>
      </w:r>
    </w:p>
  </w:footnote>
  <w:footnote w:id="803">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rStyle w:val="italicus"/>
          <w:lang w:val="en-US"/>
        </w:rPr>
        <w:t>$ Act.</w:t>
      </w:r>
      <w:r w:rsidRPr="00F84A0B">
        <w:rPr>
          <w:lang w:val="en-US"/>
        </w:rPr>
        <w:t xml:space="preserve"> XVIII, 3. </w:t>
      </w:r>
    </w:p>
  </w:footnote>
  <w:footnote w:id="804">
    <w:p w:rsidR="007F47B8" w:rsidRPr="005D2A18" w:rsidRDefault="007F47B8" w:rsidP="00C31960">
      <w:pPr>
        <w:pStyle w:val="Notedebasdepage"/>
      </w:pPr>
      <w:r>
        <w:rPr>
          <w:rStyle w:val="Appelnotedebasdep"/>
        </w:rPr>
        <w:footnoteRef/>
      </w:r>
      <w:r>
        <w:t xml:space="preserve"> $ </w:t>
      </w:r>
      <w:r w:rsidRPr="0044481F">
        <w:rPr>
          <w:rStyle w:val="italicus"/>
        </w:rPr>
        <w:t xml:space="preserve">Erachin, </w:t>
      </w:r>
      <w:r w:rsidRPr="0031036B">
        <w:t xml:space="preserve">16, 6. </w:t>
      </w:r>
    </w:p>
  </w:footnote>
  <w:footnote w:id="805">
    <w:p w:rsidR="007F47B8" w:rsidRPr="00AA3DE3" w:rsidRDefault="007F47B8" w:rsidP="00C31960">
      <w:pPr>
        <w:pStyle w:val="Notedebasdepage"/>
        <w:rPr>
          <w:lang w:val="en-US"/>
        </w:rPr>
      </w:pPr>
      <w:r>
        <w:rPr>
          <w:rStyle w:val="Appelnotedebasdep"/>
        </w:rPr>
        <w:footnoteRef/>
      </w:r>
      <w:r w:rsidRPr="005D2A18">
        <w:t xml:space="preserve"> </w:t>
      </w:r>
      <w:r w:rsidRPr="00D64514">
        <w:t>$ Voy.,</w:t>
      </w:r>
      <w:r w:rsidRPr="0044481F">
        <w:rPr>
          <w:rStyle w:val="italicus"/>
        </w:rPr>
        <w:t xml:space="preserve"> II Thess. </w:t>
      </w:r>
      <w:r w:rsidRPr="00D64514">
        <w:t xml:space="preserve">III, 8, ces paroles si légitimement fières du grand apôtre : </w:t>
      </w:r>
      <w:r w:rsidRPr="0044481F">
        <w:rPr>
          <w:rStyle w:val="italicus"/>
        </w:rPr>
        <w:t xml:space="preserve">Neque gratis panem manducávimus ab áliquo, sed in labóre, et in fatigatióne, nocte ac die opérantes, ne quem vestrum gravarémus. </w:t>
      </w:r>
      <w:r w:rsidRPr="00D64514">
        <w:t xml:space="preserve">Il était bien en droit d’ajouter, </w:t>
      </w:r>
      <w:r w:rsidRPr="00AB7F87">
        <w:t>℣</w:t>
      </w:r>
      <w:r w:rsidRPr="00D64514">
        <w:t xml:space="preserve"> 11 :</w:t>
      </w:r>
      <w:r w:rsidRPr="0044481F">
        <w:rPr>
          <w:rStyle w:val="italicus"/>
        </w:rPr>
        <w:t xml:space="preserve"> Si quis non vult operári, nec mandúcet. </w:t>
      </w:r>
      <w:r w:rsidRPr="00F84A0B">
        <w:rPr>
          <w:lang w:val="en-US"/>
        </w:rPr>
        <w:t xml:space="preserve">Comp. I Thess. IV, 11. </w:t>
      </w:r>
    </w:p>
  </w:footnote>
  <w:footnote w:id="806">
    <w:p w:rsidR="007F47B8" w:rsidRPr="00AA3DE3" w:rsidRDefault="007F47B8" w:rsidP="00C31960">
      <w:pPr>
        <w:pStyle w:val="Notedebasdepage"/>
        <w:rPr>
          <w:lang w:val="en-US"/>
        </w:rPr>
      </w:pPr>
      <w:r>
        <w:rPr>
          <w:rStyle w:val="Appelnotedebasdep"/>
        </w:rPr>
        <w:footnoteRef/>
      </w:r>
      <w:r w:rsidRPr="00AA3DE3">
        <w:rPr>
          <w:lang w:val="en-US"/>
        </w:rPr>
        <w:t xml:space="preserve"> </w:t>
      </w:r>
      <w:r w:rsidRPr="00F84A0B">
        <w:rPr>
          <w:rStyle w:val="italicus"/>
          <w:lang w:val="en-US"/>
        </w:rPr>
        <w:t xml:space="preserve">$ Marc, </w:t>
      </w:r>
      <w:r w:rsidRPr="00F84A0B">
        <w:rPr>
          <w:lang w:val="en-US"/>
        </w:rPr>
        <w:t xml:space="preserve">VI, 3. </w:t>
      </w:r>
    </w:p>
  </w:footnote>
  <w:footnote w:id="807">
    <w:p w:rsidR="007F47B8" w:rsidRPr="005D2A18" w:rsidRDefault="007F47B8" w:rsidP="00C31960">
      <w:pPr>
        <w:pStyle w:val="Notedebasdepage"/>
        <w:rPr>
          <w:lang w:val="en-US"/>
        </w:rPr>
      </w:pPr>
      <w:r>
        <w:rPr>
          <w:rStyle w:val="Appelnotedebasdep"/>
        </w:rPr>
        <w:footnoteRef/>
      </w:r>
      <w:r w:rsidRPr="00AA3DE3">
        <w:rPr>
          <w:lang w:val="en-US"/>
        </w:rPr>
        <w:t xml:space="preserve"> </w:t>
      </w:r>
      <w:r w:rsidRPr="00F84A0B">
        <w:rPr>
          <w:lang w:val="en-US"/>
        </w:rPr>
        <w:t xml:space="preserve">$ </w:t>
      </w:r>
      <w:r w:rsidRPr="00F84A0B">
        <w:rPr>
          <w:rStyle w:val="italicus"/>
          <w:lang w:val="en-US"/>
        </w:rPr>
        <w:t>Matth.</w:t>
      </w:r>
      <w:r w:rsidRPr="00F84A0B">
        <w:rPr>
          <w:lang w:val="en-US"/>
        </w:rPr>
        <w:t xml:space="preserve"> XIII, 55. </w:t>
      </w:r>
    </w:p>
  </w:footnote>
  <w:footnote w:id="808">
    <w:p w:rsidR="007F47B8" w:rsidRDefault="007F47B8" w:rsidP="00C31960">
      <w:pPr>
        <w:pStyle w:val="Notedebasdepage"/>
      </w:pPr>
      <w:r>
        <w:rPr>
          <w:rStyle w:val="Appelnotedebasdep"/>
        </w:rPr>
        <w:footnoteRef/>
      </w:r>
      <w:r w:rsidRPr="005D2A18">
        <w:rPr>
          <w:lang w:val="en-US"/>
        </w:rPr>
        <w:t xml:space="preserve"> </w:t>
      </w:r>
      <w:r w:rsidRPr="00F84A0B">
        <w:rPr>
          <w:lang w:val="en-US"/>
        </w:rPr>
        <w:t>$ Cf.</w:t>
      </w:r>
      <w:r w:rsidRPr="00F84A0B">
        <w:rPr>
          <w:rStyle w:val="italicus"/>
          <w:lang w:val="en-US"/>
        </w:rPr>
        <w:t xml:space="preserve"> Luc.</w:t>
      </w:r>
      <w:r w:rsidRPr="00F84A0B">
        <w:rPr>
          <w:lang w:val="en-US"/>
        </w:rPr>
        <w:t xml:space="preserve"> </w:t>
      </w:r>
      <w:r>
        <w:t xml:space="preserve">VIII, 1-3 ; voyez notre commentaire. </w:t>
      </w:r>
    </w:p>
  </w:footnote>
  <w:footnote w:id="809">
    <w:p w:rsidR="007F47B8" w:rsidRPr="00AA3DE3" w:rsidRDefault="007F47B8" w:rsidP="00C31960">
      <w:pPr>
        <w:pStyle w:val="Notedebasdepage"/>
      </w:pPr>
      <w:r>
        <w:rPr>
          <w:rStyle w:val="Appelnotedebasdep"/>
        </w:rPr>
        <w:footnoteRef/>
      </w:r>
      <w:r w:rsidRPr="005D2A18">
        <w:t xml:space="preserve"> </w:t>
      </w:r>
      <w:r>
        <w:t xml:space="preserve">$ </w:t>
      </w:r>
      <w:r w:rsidRPr="0044481F">
        <w:rPr>
          <w:rStyle w:val="italicus"/>
        </w:rPr>
        <w:t xml:space="preserve">Erachin, </w:t>
      </w:r>
      <w:r w:rsidRPr="00D64514">
        <w:t xml:space="preserve">10, b. </w:t>
      </w:r>
    </w:p>
  </w:footnote>
  <w:footnote w:id="810">
    <w:p w:rsidR="007F47B8" w:rsidRPr="00512B6E" w:rsidRDefault="007F47B8" w:rsidP="00C31960">
      <w:pPr>
        <w:pStyle w:val="Notedebasdepage"/>
        <w:rPr>
          <w:lang w:val="en-US"/>
        </w:rPr>
      </w:pPr>
      <w:r>
        <w:rPr>
          <w:rStyle w:val="Appelnotedebasdep"/>
        </w:rPr>
        <w:footnoteRef/>
      </w:r>
      <w:r w:rsidRPr="005D2A18">
        <w:rPr>
          <w:lang w:val="en-US"/>
        </w:rPr>
        <w:t xml:space="preserve"> </w:t>
      </w:r>
      <w:r w:rsidRPr="00F84A0B">
        <w:rPr>
          <w:rStyle w:val="italicus"/>
          <w:lang w:val="en-US"/>
        </w:rPr>
        <w:t>$ Erachin,</w:t>
      </w:r>
      <w:r w:rsidRPr="00F84A0B">
        <w:rPr>
          <w:lang w:val="en-US"/>
        </w:rPr>
        <w:t xml:space="preserve"> 10, b ; 11, a ;</w:t>
      </w:r>
      <w:r w:rsidRPr="00F84A0B">
        <w:rPr>
          <w:rStyle w:val="italicus"/>
          <w:lang w:val="en-US"/>
        </w:rPr>
        <w:t xml:space="preserve"> Tamid,</w:t>
      </w:r>
      <w:r w:rsidRPr="00F84A0B">
        <w:rPr>
          <w:lang w:val="en-US"/>
        </w:rPr>
        <w:t xml:space="preserve"> III, 8. </w:t>
      </w:r>
    </w:p>
  </w:footnote>
  <w:footnote w:id="811">
    <w:p w:rsidR="007F47B8" w:rsidRPr="00AA3DE3" w:rsidRDefault="007F47B8" w:rsidP="00C31960">
      <w:pPr>
        <w:pStyle w:val="Notedebasdepage"/>
      </w:pPr>
      <w:r>
        <w:rPr>
          <w:rStyle w:val="Appelnotedebasdep"/>
        </w:rPr>
        <w:footnoteRef/>
      </w:r>
      <w:r>
        <w:t xml:space="preserve"> </w:t>
      </w:r>
      <w:r w:rsidRPr="0044481F">
        <w:rPr>
          <w:rStyle w:val="italicus"/>
        </w:rPr>
        <w:t>L. c.,</w:t>
      </w:r>
      <w:r>
        <w:t xml:space="preserve"> p. 51 et s.</w:t>
      </w:r>
    </w:p>
  </w:footnote>
  <w:footnote w:id="812">
    <w:p w:rsidR="007F47B8" w:rsidRDefault="007F47B8" w:rsidP="00C31960">
      <w:pPr>
        <w:pStyle w:val="Notedebasdepage"/>
      </w:pPr>
      <w:r>
        <w:rPr>
          <w:rStyle w:val="Appelnotedebasdep"/>
        </w:rPr>
        <w:footnoteRef/>
      </w:r>
      <w:r>
        <w:t xml:space="preserve"> $ La ville d’Éphrem mentionnée par saint Jean, XI, 54. </w:t>
      </w:r>
    </w:p>
  </w:footnote>
  <w:footnote w:id="813">
    <w:p w:rsidR="007F47B8" w:rsidRDefault="007F47B8">
      <w:pPr>
        <w:pStyle w:val="Notedebasdepage"/>
      </w:pPr>
      <w:r>
        <w:rPr>
          <w:rStyle w:val="Appelnotedebasdep"/>
        </w:rPr>
        <w:footnoteRef/>
      </w:r>
      <w:r>
        <w:t xml:space="preserve"> </w:t>
      </w:r>
      <w:r w:rsidRPr="001077D9">
        <w:t xml:space="preserve">$ On les nommait </w:t>
      </w:r>
      <w:r w:rsidRPr="001077D9">
        <w:rPr>
          <w:rtl/>
          <w:lang w:bidi="he-IL"/>
        </w:rPr>
        <w:t>רטר</w:t>
      </w:r>
      <w:r w:rsidRPr="001077D9">
        <w:rPr>
          <w:bCs w:val="0"/>
          <w:szCs w:val="23"/>
          <w:rtl/>
          <w:lang w:bidi="he-IL"/>
        </w:rPr>
        <w:t xml:space="preserve">פ </w:t>
      </w:r>
      <w:r w:rsidRPr="001077D9">
        <w:t xml:space="preserve">πρατήρ. </w:t>
      </w:r>
    </w:p>
  </w:footnote>
  <w:footnote w:id="814">
    <w:p w:rsidR="007F47B8" w:rsidRDefault="007F47B8">
      <w:pPr>
        <w:pStyle w:val="Notedebasdepage"/>
      </w:pPr>
      <w:r>
        <w:rPr>
          <w:rStyle w:val="Appelnotedebasdep"/>
        </w:rPr>
        <w:footnoteRef/>
      </w:r>
      <w:r>
        <w:t xml:space="preserve"> </w:t>
      </w:r>
      <w:r w:rsidRPr="001077D9">
        <w:t xml:space="preserve">$ </w:t>
      </w:r>
      <w:r w:rsidRPr="0044481F">
        <w:rPr>
          <w:rStyle w:val="italicus"/>
        </w:rPr>
        <w:t xml:space="preserve">Schabbath, </w:t>
      </w:r>
      <w:r w:rsidRPr="00DB2C86">
        <w:t xml:space="preserve">VI, 5. </w:t>
      </w:r>
    </w:p>
  </w:footnote>
  <w:footnote w:id="815">
    <w:p w:rsidR="007F47B8" w:rsidRPr="005D2A18" w:rsidRDefault="007F47B8" w:rsidP="00C31960">
      <w:pPr>
        <w:pStyle w:val="Notedebasdepage"/>
      </w:pPr>
      <w:r>
        <w:rPr>
          <w:rStyle w:val="Appelnotedebasdep"/>
        </w:rPr>
        <w:footnoteRef/>
      </w:r>
      <w:r>
        <w:t xml:space="preserve"> </w:t>
      </w:r>
      <w:r>
        <w:rPr>
          <w:rStyle w:val="italicus"/>
        </w:rPr>
        <w:t xml:space="preserve">$ </w:t>
      </w:r>
      <w:r w:rsidRPr="001077D9">
        <w:t>Voyez notre</w:t>
      </w:r>
      <w:r w:rsidRPr="0044481F">
        <w:rPr>
          <w:rStyle w:val="italicus"/>
        </w:rPr>
        <w:t xml:space="preserve"> Atlas archéologique de la Bible,</w:t>
      </w:r>
      <w:r w:rsidRPr="001077D9">
        <w:t xml:space="preserve"> planche LXXXVIII, fig. 11 et 12. </w:t>
      </w:r>
    </w:p>
  </w:footnote>
  <w:footnote w:id="816">
    <w:p w:rsidR="007F47B8" w:rsidRDefault="007F47B8" w:rsidP="00C31960">
      <w:pPr>
        <w:pStyle w:val="Notedebasdepage"/>
      </w:pPr>
      <w:r>
        <w:rPr>
          <w:rStyle w:val="Appelnotedebasdep"/>
        </w:rPr>
        <w:footnoteRef/>
      </w:r>
      <w:r>
        <w:t xml:space="preserve"> $ </w:t>
      </w:r>
      <w:r w:rsidRPr="0044481F">
        <w:rPr>
          <w:rStyle w:val="italicus"/>
        </w:rPr>
        <w:t xml:space="preserve">Mezia, </w:t>
      </w:r>
      <w:r w:rsidRPr="00DB2C86">
        <w:t xml:space="preserve">VI, 1. </w:t>
      </w:r>
    </w:p>
  </w:footnote>
  <w:footnote w:id="817">
    <w:p w:rsidR="007F47B8" w:rsidRDefault="007F47B8" w:rsidP="00C31960">
      <w:pPr>
        <w:pStyle w:val="Notedebasdepage"/>
      </w:pPr>
      <w:r>
        <w:rPr>
          <w:rStyle w:val="Appelnotedebasdep"/>
        </w:rPr>
        <w:footnoteRef/>
      </w:r>
      <w:r>
        <w:t xml:space="preserve"> </w:t>
      </w:r>
      <w:r>
        <w:rPr>
          <w:rStyle w:val="italicus"/>
        </w:rPr>
        <w:t>$ Mez</w:t>
      </w:r>
      <w:r w:rsidRPr="0044481F">
        <w:rPr>
          <w:rStyle w:val="italicus"/>
        </w:rPr>
        <w:t xml:space="preserve">ia, </w:t>
      </w:r>
      <w:r w:rsidRPr="00DB2C86">
        <w:t xml:space="preserve">VI, 1. </w:t>
      </w:r>
    </w:p>
  </w:footnote>
  <w:footnote w:id="818">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Berachoth, 55, b</w:t>
      </w:r>
      <w:r w:rsidRPr="0011183B">
        <w:t xml:space="preserve">. </w:t>
      </w:r>
    </w:p>
  </w:footnote>
  <w:footnote w:id="819">
    <w:p w:rsidR="007F47B8" w:rsidRPr="005D2A18" w:rsidRDefault="007F47B8" w:rsidP="00C31960">
      <w:pPr>
        <w:pStyle w:val="Notedebasdepage"/>
        <w:rPr>
          <w:i/>
          <w:lang w:val="en-US"/>
        </w:rPr>
      </w:pPr>
      <w:r>
        <w:rPr>
          <w:rStyle w:val="Appelnotedebasdep"/>
        </w:rPr>
        <w:footnoteRef/>
      </w:r>
      <w:r w:rsidRPr="005D2A18">
        <w:rPr>
          <w:lang w:val="en-US"/>
        </w:rPr>
        <w:t xml:space="preserve"> </w:t>
      </w:r>
      <w:r w:rsidRPr="00F84A0B">
        <w:rPr>
          <w:lang w:val="en-US"/>
        </w:rPr>
        <w:t xml:space="preserve">$ </w:t>
      </w:r>
      <w:r w:rsidRPr="00F84A0B">
        <w:rPr>
          <w:rStyle w:val="italicus"/>
          <w:lang w:val="en-US"/>
        </w:rPr>
        <w:t xml:space="preserve">Schabbath, 129, b. </w:t>
      </w:r>
    </w:p>
  </w:footnote>
  <w:footnote w:id="820">
    <w:p w:rsidR="007F47B8" w:rsidRPr="005D2A18" w:rsidRDefault="007F47B8" w:rsidP="00C31960">
      <w:pPr>
        <w:pStyle w:val="Notedebasdepage"/>
        <w:rPr>
          <w:i/>
          <w:lang w:val="en-US"/>
        </w:rPr>
      </w:pPr>
      <w:r>
        <w:rPr>
          <w:rStyle w:val="Appelnotedebasdep"/>
        </w:rPr>
        <w:footnoteRef/>
      </w:r>
      <w:r w:rsidRPr="005D2A18">
        <w:rPr>
          <w:lang w:val="en-US"/>
        </w:rPr>
        <w:t xml:space="preserve"> </w:t>
      </w:r>
      <w:r w:rsidRPr="00F84A0B">
        <w:rPr>
          <w:rStyle w:val="italicus"/>
          <w:lang w:val="en-US"/>
        </w:rPr>
        <w:t xml:space="preserve">$ Schekalim, 47, b. </w:t>
      </w:r>
    </w:p>
  </w:footnote>
  <w:footnote w:id="821">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rStyle w:val="italicus"/>
          <w:lang w:val="en-US"/>
        </w:rPr>
        <w:t xml:space="preserve">$ Maseroth, </w:t>
      </w:r>
      <w:r w:rsidRPr="00F84A0B">
        <w:rPr>
          <w:lang w:val="en-US"/>
        </w:rPr>
        <w:t xml:space="preserve">II, 5. </w:t>
      </w:r>
    </w:p>
  </w:footnote>
  <w:footnote w:id="822">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Megilla, </w:t>
      </w:r>
      <w:r w:rsidRPr="00DB2C86">
        <w:t xml:space="preserve">6, a. </w:t>
      </w:r>
    </w:p>
  </w:footnote>
  <w:footnote w:id="823">
    <w:p w:rsidR="007F47B8" w:rsidRPr="005D2A18" w:rsidRDefault="007F47B8" w:rsidP="00C31960">
      <w:pPr>
        <w:pStyle w:val="Notedebasdepage"/>
      </w:pPr>
      <w:r>
        <w:rPr>
          <w:rStyle w:val="Appelnotedebasdep"/>
        </w:rPr>
        <w:footnoteRef/>
      </w:r>
      <w:r>
        <w:t xml:space="preserve"> </w:t>
      </w:r>
      <w:r>
        <w:rPr>
          <w:rStyle w:val="italicus"/>
        </w:rPr>
        <w:t xml:space="preserve">$ </w:t>
      </w:r>
      <w:r w:rsidRPr="0044481F">
        <w:rPr>
          <w:rStyle w:val="italicus"/>
        </w:rPr>
        <w:t>Schabbath,</w:t>
      </w:r>
      <w:r>
        <w:t xml:space="preserve"> 3, b. En voici d’autres tout aussi curieuses, signalées par la Mischna : « L’écrivain (</w:t>
      </w:r>
      <w:r w:rsidRPr="0044481F">
        <w:rPr>
          <w:rStyle w:val="italicus"/>
        </w:rPr>
        <w:t>libell</w:t>
      </w:r>
      <w:r>
        <w:rPr>
          <w:rStyle w:val="italicus"/>
        </w:rPr>
        <w:t>á</w:t>
      </w:r>
      <w:r w:rsidRPr="0044481F">
        <w:rPr>
          <w:rStyle w:val="italicus"/>
        </w:rPr>
        <w:t>rius</w:t>
      </w:r>
      <w:r w:rsidRPr="00BA383E">
        <w:t xml:space="preserve">) </w:t>
      </w:r>
      <w:r>
        <w:t>ne doit point sortir avec une plume</w:t>
      </w:r>
      <w:r w:rsidRPr="00DB2C86">
        <w:t xml:space="preserve"> (</w:t>
      </w:r>
      <w:r w:rsidRPr="0044481F">
        <w:rPr>
          <w:rStyle w:val="italicus"/>
        </w:rPr>
        <w:t>cálamus</w:t>
      </w:r>
      <w:r w:rsidRPr="00BA383E">
        <w:t xml:space="preserve">) </w:t>
      </w:r>
      <w:r w:rsidRPr="00DB2C86">
        <w:t xml:space="preserve">derrière l’oreille, ni le </w:t>
      </w:r>
      <w:r>
        <w:t xml:space="preserve">teinturier avec un échantillon à l’oreille, ni le changeur avec un denier à l’oreille. » Selon le Talmud de Babylone, les tailleurs portaient une aiguille suspendue de la même façon. </w:t>
      </w:r>
    </w:p>
  </w:footnote>
  <w:footnote w:id="824">
    <w:p w:rsidR="007F47B8" w:rsidRDefault="007F47B8" w:rsidP="00C31960">
      <w:pPr>
        <w:pStyle w:val="Notedebasdepage"/>
      </w:pPr>
      <w:r>
        <w:rPr>
          <w:rStyle w:val="Appelnotedebasdep"/>
        </w:rPr>
        <w:footnoteRef/>
      </w:r>
      <w:r>
        <w:t xml:space="preserve"> $ </w:t>
      </w:r>
      <w:r w:rsidRPr="0044481F">
        <w:rPr>
          <w:rStyle w:val="italicus"/>
        </w:rPr>
        <w:t xml:space="preserve">Pesachim, </w:t>
      </w:r>
      <w:r w:rsidRPr="00DB2C86">
        <w:t xml:space="preserve">III, 1. </w:t>
      </w:r>
    </w:p>
  </w:footnote>
  <w:footnote w:id="825">
    <w:p w:rsidR="007F47B8" w:rsidRPr="005D2A18" w:rsidRDefault="007F47B8" w:rsidP="00C31960">
      <w:pPr>
        <w:pStyle w:val="Notedebasdepage"/>
      </w:pPr>
      <w:r>
        <w:rPr>
          <w:rStyle w:val="Appelnotedebasdep"/>
        </w:rPr>
        <w:footnoteRef/>
      </w:r>
      <w:r>
        <w:t xml:space="preserve"> </w:t>
      </w:r>
      <w:r>
        <w:rPr>
          <w:rStyle w:val="italicus"/>
        </w:rPr>
        <w:t xml:space="preserve">$ </w:t>
      </w:r>
      <w:r>
        <w:t>Voyez notre commentaire sur l’</w:t>
      </w:r>
      <w:r w:rsidRPr="0044481F">
        <w:rPr>
          <w:rStyle w:val="italicus"/>
        </w:rPr>
        <w:t>Évangile selon saint Matthieu,</w:t>
      </w:r>
      <w:r>
        <w:t xml:space="preserve"> Paris, 1878, p. 69. </w:t>
      </w:r>
    </w:p>
  </w:footnote>
  <w:footnote w:id="826">
    <w:p w:rsidR="007F47B8" w:rsidRDefault="007F47B8" w:rsidP="00C31960">
      <w:pPr>
        <w:pStyle w:val="Notedebasdepage"/>
      </w:pPr>
      <w:r>
        <w:rPr>
          <w:rStyle w:val="Appelnotedebasdep"/>
        </w:rPr>
        <w:footnoteRef/>
      </w:r>
      <w:r>
        <w:t xml:space="preserve"> $ </w:t>
      </w:r>
      <w:r w:rsidRPr="0044481F">
        <w:rPr>
          <w:rStyle w:val="italicus"/>
        </w:rPr>
        <w:t xml:space="preserve">Schabbath, </w:t>
      </w:r>
      <w:r w:rsidRPr="00DB2C86">
        <w:t xml:space="preserve">41, a. </w:t>
      </w:r>
    </w:p>
  </w:footnote>
  <w:footnote w:id="827">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Schabbath, </w:t>
      </w:r>
      <w:r w:rsidRPr="00DB2C86">
        <w:t xml:space="preserve">67, b. </w:t>
      </w:r>
    </w:p>
  </w:footnote>
  <w:footnote w:id="828">
    <w:p w:rsidR="007F47B8" w:rsidRPr="005D2A18" w:rsidRDefault="007F47B8" w:rsidP="00C31960">
      <w:pPr>
        <w:pStyle w:val="Notedebasdepage"/>
      </w:pPr>
      <w:r>
        <w:rPr>
          <w:rStyle w:val="Appelnotedebasdep"/>
        </w:rPr>
        <w:footnoteRef/>
      </w:r>
      <w:r>
        <w:t xml:space="preserve"> </w:t>
      </w:r>
      <w:r>
        <w:rPr>
          <w:rStyle w:val="italicus"/>
        </w:rPr>
        <w:t xml:space="preserve">$ </w:t>
      </w:r>
      <w:r>
        <w:t>Voir Buxtorf,</w:t>
      </w:r>
      <w:r w:rsidRPr="0044481F">
        <w:rPr>
          <w:rStyle w:val="italicus"/>
        </w:rPr>
        <w:t xml:space="preserve"> Lexicon hebr. et chald.,</w:t>
      </w:r>
      <w:r>
        <w:t xml:space="preserve"> au mot </w:t>
      </w:r>
      <w:r>
        <w:rPr>
          <w:rtl/>
          <w:lang w:bidi="he-IL"/>
        </w:rPr>
        <w:t>ן</w:t>
      </w:r>
      <w:r w:rsidRPr="00DB2C86">
        <w:rPr>
          <w:bCs w:val="0"/>
          <w:szCs w:val="23"/>
          <w:rtl/>
          <w:lang w:bidi="he-IL"/>
        </w:rPr>
        <w:t>אם</w:t>
      </w:r>
      <w:r>
        <w:t xml:space="preserve">. </w:t>
      </w:r>
    </w:p>
  </w:footnote>
  <w:footnote w:id="829">
    <w:p w:rsidR="007F47B8" w:rsidRDefault="007F47B8" w:rsidP="00C31960">
      <w:pPr>
        <w:pStyle w:val="Notedebasdepage"/>
      </w:pPr>
      <w:r>
        <w:rPr>
          <w:rStyle w:val="Appelnotedebasdep"/>
        </w:rPr>
        <w:footnoteRef/>
      </w:r>
      <w:r>
        <w:t xml:space="preserve"> $ </w:t>
      </w:r>
      <w:r w:rsidRPr="0044481F">
        <w:rPr>
          <w:rStyle w:val="italicus"/>
        </w:rPr>
        <w:t xml:space="preserve">Pesachim, </w:t>
      </w:r>
      <w:r w:rsidRPr="00DB2C86">
        <w:t xml:space="preserve">III, 1. </w:t>
      </w:r>
    </w:p>
  </w:footnote>
  <w:footnote w:id="830">
    <w:p w:rsidR="007F47B8" w:rsidRDefault="007F47B8" w:rsidP="00C31960">
      <w:pPr>
        <w:pStyle w:val="Notedebasdepage"/>
      </w:pPr>
      <w:r>
        <w:rPr>
          <w:rStyle w:val="Appelnotedebasdep"/>
        </w:rPr>
        <w:footnoteRef/>
      </w:r>
      <w:r>
        <w:t xml:space="preserve"> </w:t>
      </w:r>
      <w:r>
        <w:rPr>
          <w:rStyle w:val="italicus"/>
        </w:rPr>
        <w:t xml:space="preserve">$ </w:t>
      </w:r>
      <w:r>
        <w:t>Voyez S.</w:t>
      </w:r>
      <w:r w:rsidRPr="0044481F">
        <w:rPr>
          <w:rStyle w:val="italicus"/>
        </w:rPr>
        <w:t xml:space="preserve"> Matth.</w:t>
      </w:r>
      <w:r>
        <w:t xml:space="preserve"> XXIII, 24, et notre commentaire</w:t>
      </w:r>
      <w:r w:rsidRPr="0011183B">
        <w:t xml:space="preserve">. </w:t>
      </w:r>
    </w:p>
  </w:footnote>
  <w:footnote w:id="831">
    <w:p w:rsidR="007F47B8" w:rsidRPr="005D2A18" w:rsidRDefault="007F47B8" w:rsidP="00C31960">
      <w:pPr>
        <w:pStyle w:val="Notedebasdepage"/>
      </w:pPr>
      <w:r>
        <w:rPr>
          <w:rStyle w:val="Appelnotedebasdep"/>
        </w:rPr>
        <w:footnoteRef/>
      </w:r>
      <w:r>
        <w:t xml:space="preserve"> </w:t>
      </w:r>
      <w:r w:rsidRPr="0011183B">
        <w:t xml:space="preserve">$ </w:t>
      </w:r>
      <w:r w:rsidRPr="0044481F">
        <w:rPr>
          <w:rStyle w:val="italicus"/>
        </w:rPr>
        <w:t>Schabbath,</w:t>
      </w:r>
      <w:r>
        <w:t xml:space="preserve"> XX, 2. </w:t>
      </w:r>
    </w:p>
  </w:footnote>
  <w:footnote w:id="832">
    <w:p w:rsidR="007F47B8" w:rsidRPr="005D2A18" w:rsidRDefault="007F47B8" w:rsidP="00C31960">
      <w:pPr>
        <w:pStyle w:val="Notedebasdepage"/>
      </w:pPr>
      <w:r>
        <w:rPr>
          <w:rStyle w:val="Appelnotedebasdep"/>
        </w:rPr>
        <w:footnoteRef/>
      </w:r>
      <w:r>
        <w:t xml:space="preserve"> $ </w:t>
      </w:r>
      <w:r w:rsidRPr="0044481F">
        <w:rPr>
          <w:rStyle w:val="italicus"/>
        </w:rPr>
        <w:t>Ps.</w:t>
      </w:r>
      <w:r>
        <w:t xml:space="preserve"> XXIX, 2. </w:t>
      </w:r>
    </w:p>
  </w:footnote>
  <w:footnote w:id="833">
    <w:p w:rsidR="007F47B8" w:rsidRPr="005D2A18" w:rsidRDefault="007F47B8" w:rsidP="00C31960">
      <w:pPr>
        <w:pStyle w:val="Notedebasdepage"/>
      </w:pPr>
      <w:r>
        <w:rPr>
          <w:rStyle w:val="Appelnotedebasdep"/>
        </w:rPr>
        <w:footnoteRef/>
      </w:r>
      <w:r>
        <w:t xml:space="preserve"> $ </w:t>
      </w:r>
      <w:r w:rsidRPr="0044481F">
        <w:rPr>
          <w:rStyle w:val="italicus"/>
        </w:rPr>
        <w:t>Deut.</w:t>
      </w:r>
      <w:r>
        <w:t xml:space="preserve"> XXVI, 3 et suiv. </w:t>
      </w:r>
    </w:p>
  </w:footnote>
  <w:footnote w:id="834">
    <w:p w:rsidR="007F47B8" w:rsidRPr="005D2A18" w:rsidRDefault="007F47B8" w:rsidP="00C31960">
      <w:pPr>
        <w:pStyle w:val="Notedebasdepage"/>
      </w:pPr>
      <w:r>
        <w:rPr>
          <w:rStyle w:val="Appelnotedebasdep"/>
        </w:rPr>
        <w:footnoteRef/>
      </w:r>
      <w:r>
        <w:t xml:space="preserve"> $ Nous tenons de M. l’abbé Augustin Lémann cette anecdote intéressante. Il connaît personnellement les deux convertis. </w:t>
      </w:r>
    </w:p>
  </w:footnote>
  <w:footnote w:id="835">
    <w:p w:rsidR="007F47B8" w:rsidRPr="005D2A18" w:rsidRDefault="007F47B8" w:rsidP="00C31960">
      <w:pPr>
        <w:pStyle w:val="Notedebasdepage"/>
      </w:pPr>
      <w:r>
        <w:rPr>
          <w:rStyle w:val="Appelnotedebasdep"/>
        </w:rPr>
        <w:footnoteRef/>
      </w:r>
      <w:r>
        <w:t xml:space="preserve"> $ </w:t>
      </w:r>
      <w:r w:rsidRPr="0044481F">
        <w:rPr>
          <w:rStyle w:val="italicus"/>
        </w:rPr>
        <w:t>Précis élémentaire d’instruction religieuse et morale pour les jeunes Français israélites,</w:t>
      </w:r>
      <w:r>
        <w:t xml:space="preserve"> adopté par le consistoire central, 13</w:t>
      </w:r>
      <w:r>
        <w:rPr>
          <w:vertAlign w:val="superscript"/>
        </w:rPr>
        <w:t>e</w:t>
      </w:r>
      <w:r>
        <w:t xml:space="preserve"> édition, Paris, sans date. Un curieux hasarda fait tomber depuis entre mes mains la première édition du même ouvrage : </w:t>
      </w:r>
      <w:r w:rsidRPr="00A9592A">
        <w:rPr>
          <w:bCs w:val="0"/>
          <w:szCs w:val="23"/>
          <w:rtl/>
          <w:lang w:bidi="he-IL"/>
        </w:rPr>
        <w:t>ומישרים</w:t>
      </w:r>
      <w:r>
        <w:t xml:space="preserve"> </w:t>
      </w:r>
      <w:r>
        <w:rPr>
          <w:rtl/>
          <w:lang w:bidi="he-IL"/>
        </w:rPr>
        <w:t>ל</w:t>
      </w:r>
      <w:r w:rsidRPr="00A9592A">
        <w:rPr>
          <w:bCs w:val="0"/>
          <w:szCs w:val="23"/>
          <w:rtl/>
          <w:lang w:bidi="he-IL"/>
        </w:rPr>
        <w:t>ר</w:t>
      </w:r>
      <w:r>
        <w:t xml:space="preserve"> </w:t>
      </w:r>
      <w:r w:rsidRPr="00A9592A">
        <w:rPr>
          <w:bCs w:val="0"/>
          <w:szCs w:val="23"/>
          <w:rtl/>
          <w:lang w:bidi="he-IL"/>
        </w:rPr>
        <w:t>דת שורשי</w:t>
      </w:r>
      <w:r>
        <w:t xml:space="preserve"> </w:t>
      </w:r>
      <w:r w:rsidRPr="0044481F">
        <w:rPr>
          <w:rStyle w:val="italicus"/>
        </w:rPr>
        <w:t>Précis élémentaire…,</w:t>
      </w:r>
      <w:r>
        <w:t xml:space="preserve"> etc. Metz, Gerson-Lévy, 1822. </w:t>
      </w:r>
    </w:p>
  </w:footnote>
  <w:footnote w:id="836">
    <w:p w:rsidR="007F47B8" w:rsidRPr="005D2A18" w:rsidRDefault="007F47B8" w:rsidP="00C31960">
      <w:pPr>
        <w:pStyle w:val="Notedebasdepage"/>
      </w:pPr>
      <w:r>
        <w:rPr>
          <w:rStyle w:val="Appelnotedebasdep"/>
        </w:rPr>
        <w:footnoteRef/>
      </w:r>
      <w:r>
        <w:t xml:space="preserve"> $ Le</w:t>
      </w:r>
      <w:r w:rsidRPr="0044481F">
        <w:rPr>
          <w:rStyle w:val="italicus"/>
        </w:rPr>
        <w:t xml:space="preserve"> Kleiner Katechismus der israelitischen Religion,</w:t>
      </w:r>
      <w:r>
        <w:t xml:space="preserve"> composé par le célèbre rabbin L. Philippson à l’usage des Israélites d’Allemagne (2e édit., Leipzig, 1858</w:t>
      </w:r>
      <w:r w:rsidRPr="00BA383E">
        <w:t xml:space="preserve">), </w:t>
      </w:r>
      <w:r>
        <w:t>est encore beaucoup moins considérable. Il a, sans compter les deux préfaces et l’appendice, juste</w:t>
      </w:r>
      <w:r w:rsidRPr="0044481F">
        <w:rPr>
          <w:rStyle w:val="italicus"/>
        </w:rPr>
        <w:t xml:space="preserve"> dix-neuf</w:t>
      </w:r>
      <w:r>
        <w:t xml:space="preserve"> pages, imprimées en très gros types. </w:t>
      </w:r>
    </w:p>
  </w:footnote>
  <w:footnote w:id="837">
    <w:p w:rsidR="007F47B8" w:rsidRPr="005D2A18" w:rsidRDefault="007F47B8" w:rsidP="00C31960">
      <w:pPr>
        <w:pStyle w:val="Notedebasdepage"/>
      </w:pPr>
      <w:r>
        <w:rPr>
          <w:rStyle w:val="Appelnotedebasdep"/>
        </w:rPr>
        <w:footnoteRef/>
      </w:r>
      <w:r>
        <w:t xml:space="preserve"> $</w:t>
      </w:r>
      <w:r>
        <w:rPr>
          <w:rStyle w:val="italicus"/>
        </w:rPr>
        <w:t xml:space="preserve"> </w:t>
      </w:r>
      <w:r w:rsidRPr="0044481F">
        <w:rPr>
          <w:rStyle w:val="italicus"/>
        </w:rPr>
        <w:t>S. Matthieu,</w:t>
      </w:r>
      <w:r>
        <w:t xml:space="preserve"> chap. III,</w:t>
      </w:r>
      <w:r w:rsidRPr="0044481F">
        <w:rPr>
          <w:rStyle w:val="italicus"/>
        </w:rPr>
        <w:t xml:space="preserve"> f.</w:t>
      </w:r>
      <w:r>
        <w:t xml:space="preserve"> 9. « Tout Israël aura part au siècle futur », disent les rabbins, traité</w:t>
      </w:r>
      <w:r w:rsidRPr="0044481F">
        <w:rPr>
          <w:rStyle w:val="italicus"/>
        </w:rPr>
        <w:t xml:space="preserve"> Sanhédr.,</w:t>
      </w:r>
      <w:r>
        <w:t xml:space="preserve"> 90, 1. </w:t>
      </w:r>
    </w:p>
  </w:footnote>
  <w:footnote w:id="838">
    <w:p w:rsidR="007F47B8" w:rsidRPr="005D2A18" w:rsidRDefault="007F47B8" w:rsidP="00C31960">
      <w:pPr>
        <w:pStyle w:val="Notedebasdepage"/>
        <w:rPr>
          <w:i/>
        </w:rPr>
      </w:pPr>
      <w:r>
        <w:rPr>
          <w:rStyle w:val="Appelnotedebasdep"/>
        </w:rPr>
        <w:footnoteRef/>
      </w:r>
      <w:r w:rsidRPr="005D2A18">
        <w:rPr>
          <w:lang w:val="en-US"/>
        </w:rPr>
        <w:t xml:space="preserve"> </w:t>
      </w:r>
      <w:r w:rsidRPr="00F84A0B">
        <w:rPr>
          <w:lang w:val="en-US"/>
        </w:rPr>
        <w:t xml:space="preserve">$ Voyez Schœttgen, </w:t>
      </w:r>
      <w:r w:rsidRPr="00F84A0B">
        <w:rPr>
          <w:rStyle w:val="italicus"/>
          <w:lang w:val="en-US"/>
        </w:rPr>
        <w:t xml:space="preserve">Hor. hebr. in Matth. </w:t>
      </w:r>
      <w:r w:rsidRPr="00A9592A">
        <w:t>VIII, 12. Dans</w:t>
      </w:r>
      <w:r w:rsidRPr="0044481F">
        <w:rPr>
          <w:rStyle w:val="italicus"/>
        </w:rPr>
        <w:t xml:space="preserve"> </w:t>
      </w:r>
      <w:r w:rsidRPr="00A9592A">
        <w:t>Tanchum, le Seigneur est censé dire aux Juifs :</w:t>
      </w:r>
      <w:r w:rsidRPr="0044481F">
        <w:rPr>
          <w:rStyle w:val="italicus"/>
        </w:rPr>
        <w:t xml:space="preserve"> In mundo futúro, mensam ingéntem vobis sternam ; quod Gentíles vidébunt</w:t>
      </w:r>
      <w:r>
        <w:rPr>
          <w:rStyle w:val="italicus"/>
        </w:rPr>
        <w:t xml:space="preserve"> et pudé</w:t>
      </w:r>
      <w:r w:rsidRPr="0044481F">
        <w:rPr>
          <w:rStyle w:val="italicus"/>
        </w:rPr>
        <w:t xml:space="preserve">fient. </w:t>
      </w:r>
    </w:p>
  </w:footnote>
  <w:footnote w:id="839">
    <w:p w:rsidR="007F47B8" w:rsidRPr="005D2A18" w:rsidRDefault="007F47B8" w:rsidP="00C31960">
      <w:pPr>
        <w:pStyle w:val="Notedebasdepage"/>
      </w:pPr>
      <w:r>
        <w:rPr>
          <w:rStyle w:val="Appelnotedebasdep"/>
        </w:rPr>
        <w:footnoteRef/>
      </w:r>
      <w:r>
        <w:t xml:space="preserve"> </w:t>
      </w:r>
      <w:r>
        <w:rPr>
          <w:rStyle w:val="italicus"/>
        </w:rPr>
        <w:t xml:space="preserve">$ </w:t>
      </w:r>
      <w:r>
        <w:t xml:space="preserve">C’est par cet adjectif que les Juifs français traduisent le nom hébreu Jéhovah. </w:t>
      </w:r>
    </w:p>
  </w:footnote>
  <w:footnote w:id="840">
    <w:p w:rsidR="007F47B8" w:rsidRPr="005D2A18" w:rsidRDefault="007F47B8" w:rsidP="00C31960">
      <w:pPr>
        <w:pStyle w:val="Notedebasdepage"/>
      </w:pPr>
      <w:r>
        <w:rPr>
          <w:rStyle w:val="Appelnotedebasdep"/>
        </w:rPr>
        <w:footnoteRef/>
      </w:r>
      <w:r>
        <w:t xml:space="preserve"> $ Je passais un jour devant la maison d’un Juif. Au même instant, le propriétaire rentrait chez lui d’un pas pressé. « Père, lui dit sa fille debout sur le seuil, nous vous attendions comme le Messie ». « Le Messie, reprit le père d’un ton plein d’ironie, tu l’attendras longtemps ! » </w:t>
      </w:r>
    </w:p>
  </w:footnote>
  <w:footnote w:id="841">
    <w:p w:rsidR="007F47B8" w:rsidRPr="005D2A18" w:rsidRDefault="007F47B8" w:rsidP="00C31960">
      <w:pPr>
        <w:pStyle w:val="Notedebasdepage"/>
      </w:pPr>
      <w:r>
        <w:rPr>
          <w:rStyle w:val="Appelnotedebasdep"/>
        </w:rPr>
        <w:footnoteRef/>
      </w:r>
      <w:r>
        <w:t xml:space="preserve"> $ Voyez notre</w:t>
      </w:r>
      <w:r w:rsidRPr="0044481F">
        <w:rPr>
          <w:rStyle w:val="italicus"/>
        </w:rPr>
        <w:t xml:space="preserve"> Atlas archéologique de la Bible,</w:t>
      </w:r>
      <w:r>
        <w:t xml:space="preserve"> planche LXXXVIII, fig. 6, 7, 8, 10. </w:t>
      </w:r>
    </w:p>
  </w:footnote>
  <w:footnote w:id="842">
    <w:p w:rsidR="007F47B8" w:rsidRDefault="007F47B8" w:rsidP="00C31960">
      <w:pPr>
        <w:pStyle w:val="Notedebasdepage"/>
      </w:pPr>
      <w:r>
        <w:rPr>
          <w:rStyle w:val="Appelnotedebasdep"/>
        </w:rPr>
        <w:footnoteRef/>
      </w:r>
      <w:r>
        <w:t xml:space="preserve"> $ </w:t>
      </w:r>
      <w:r w:rsidRPr="0044481F">
        <w:rPr>
          <w:rStyle w:val="italicus"/>
        </w:rPr>
        <w:t>Ibid.,</w:t>
      </w:r>
      <w:r>
        <w:t xml:space="preserve"> planche LXXXIII, fig. 6, et planche LXXXVIII, fig. Il et 12</w:t>
      </w:r>
      <w:r w:rsidRPr="0011183B">
        <w:t xml:space="preserve">. </w:t>
      </w:r>
    </w:p>
  </w:footnote>
  <w:footnote w:id="843">
    <w:p w:rsidR="007F47B8" w:rsidRPr="005D2A18" w:rsidRDefault="007F47B8" w:rsidP="00C31960">
      <w:pPr>
        <w:pStyle w:val="Notedebasdepage"/>
      </w:pPr>
      <w:r>
        <w:rPr>
          <w:rStyle w:val="Appelnotedebasdep"/>
        </w:rPr>
        <w:footnoteRef/>
      </w:r>
      <w:r>
        <w:t xml:space="preserve"> </w:t>
      </w:r>
      <w:r w:rsidRPr="0011183B">
        <w:t xml:space="preserve">$ </w:t>
      </w:r>
      <w:r w:rsidRPr="0044481F">
        <w:rPr>
          <w:rStyle w:val="italicus"/>
        </w:rPr>
        <w:t>Ibid.,</w:t>
      </w:r>
      <w:r>
        <w:t xml:space="preserve"> planche LXXXIII, fig. 1 ; comparez la page 50 du texte, 11°. </w:t>
      </w:r>
    </w:p>
  </w:footnote>
  <w:footnote w:id="844">
    <w:p w:rsidR="007F47B8" w:rsidRPr="005D2A18" w:rsidRDefault="007F47B8" w:rsidP="00C31960">
      <w:pPr>
        <w:pStyle w:val="Notedebasdepage"/>
      </w:pPr>
      <w:r>
        <w:rPr>
          <w:rStyle w:val="Appelnotedebasdep"/>
        </w:rPr>
        <w:footnoteRef/>
      </w:r>
      <w:r>
        <w:t xml:space="preserve"> $ </w:t>
      </w:r>
      <w:r w:rsidRPr="0044481F">
        <w:rPr>
          <w:rStyle w:val="italicus"/>
        </w:rPr>
        <w:t>Allgemeine Zeitung des Judenthums,</w:t>
      </w:r>
      <w:r>
        <w:t xml:space="preserve"> rédigée par M. le rabbin L. Philippson et publiée à Leipzig. Elle paraît une fois par semaine. </w:t>
      </w:r>
    </w:p>
  </w:footnote>
  <w:footnote w:id="845">
    <w:p w:rsidR="007F47B8" w:rsidRPr="005D2A18" w:rsidRDefault="007F47B8" w:rsidP="00C31960">
      <w:pPr>
        <w:pStyle w:val="Notedebasdepage"/>
      </w:pPr>
      <w:r>
        <w:rPr>
          <w:rStyle w:val="Appelnotedebasdep"/>
        </w:rPr>
        <w:footnoteRef/>
      </w:r>
      <w:r>
        <w:t xml:space="preserve"> $ Année 1881, n° 25, pages 404 et 405. « Après tout, dit-elle, les treize articles de foi proviennent de Maimonide encore jeune ; Maimonide plus âgé se rectifia ». </w:t>
      </w:r>
    </w:p>
  </w:footnote>
  <w:footnote w:id="846">
    <w:p w:rsidR="007F47B8" w:rsidRDefault="007F47B8" w:rsidP="00C31960">
      <w:pPr>
        <w:pStyle w:val="Notedebasdepage"/>
      </w:pPr>
      <w:r>
        <w:rPr>
          <w:rStyle w:val="Appelnotedebasdep"/>
        </w:rPr>
        <w:footnoteRef/>
      </w:r>
      <w:r>
        <w:t xml:space="preserve"> $ </w:t>
      </w:r>
      <w:r w:rsidRPr="0044481F">
        <w:rPr>
          <w:rStyle w:val="italicus"/>
        </w:rPr>
        <w:t>Gazette générale du Judaïsme,</w:t>
      </w:r>
      <w:r w:rsidRPr="002A686F">
        <w:t xml:space="preserve"> 2 août 1881, n° 31, p. 511. </w:t>
      </w:r>
    </w:p>
  </w:footnote>
  <w:footnote w:id="847">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rStyle w:val="italicus"/>
          <w:lang w:val="en-US"/>
        </w:rPr>
        <w:t xml:space="preserve">$ </w:t>
      </w:r>
      <w:r w:rsidRPr="00F84A0B">
        <w:rPr>
          <w:lang w:val="en-US"/>
        </w:rPr>
        <w:t xml:space="preserve">Trieste, 1854. </w:t>
      </w:r>
    </w:p>
  </w:footnote>
  <w:footnote w:id="848">
    <w:p w:rsidR="007F47B8" w:rsidRDefault="007F47B8" w:rsidP="00C31960">
      <w:pPr>
        <w:pStyle w:val="Notedebasdepage"/>
      </w:pPr>
      <w:r>
        <w:rPr>
          <w:rStyle w:val="Appelnotedebasdep"/>
        </w:rPr>
        <w:footnoteRef/>
      </w:r>
      <w:r w:rsidRPr="005D2A18">
        <w:rPr>
          <w:lang w:val="en-US"/>
        </w:rPr>
        <w:t xml:space="preserve"> </w:t>
      </w:r>
      <w:r w:rsidRPr="00F84A0B">
        <w:rPr>
          <w:lang w:val="en-US"/>
        </w:rPr>
        <w:t xml:space="preserve">$ </w:t>
      </w:r>
      <w:r w:rsidRPr="00F84A0B">
        <w:rPr>
          <w:rStyle w:val="italicus"/>
          <w:lang w:val="en-US"/>
        </w:rPr>
        <w:t xml:space="preserve">Scrittori di teologia dogmatica, loro opere ed opinioni. </w:t>
      </w:r>
      <w:r w:rsidRPr="002A686F">
        <w:t xml:space="preserve">Il ne s’agit que des écrivains juifs, bien entendu. </w:t>
      </w:r>
    </w:p>
  </w:footnote>
  <w:footnote w:id="849">
    <w:p w:rsidR="007F47B8" w:rsidRDefault="007F47B8" w:rsidP="00C31960">
      <w:pPr>
        <w:pStyle w:val="Notedebasdepage"/>
      </w:pPr>
      <w:r>
        <w:rPr>
          <w:rStyle w:val="Appelnotedebasdep"/>
        </w:rPr>
        <w:footnoteRef/>
      </w:r>
      <w:r>
        <w:t xml:space="preserve"> </w:t>
      </w:r>
      <w:r>
        <w:rPr>
          <w:rStyle w:val="italicus"/>
        </w:rPr>
        <w:t xml:space="preserve">$ </w:t>
      </w:r>
      <w:r>
        <w:t xml:space="preserve">En voici quelques détails : </w:t>
      </w:r>
    </w:p>
    <w:p w:rsidR="007F47B8" w:rsidRDefault="007F47B8" w:rsidP="00C31960">
      <w:pPr>
        <w:pStyle w:val="Notedebasdepage"/>
      </w:pPr>
      <w:r>
        <w:t xml:space="preserve">D. En quoi consiste la pénitence ? </w:t>
      </w:r>
    </w:p>
    <w:p w:rsidR="007F47B8" w:rsidRDefault="007F47B8" w:rsidP="00C31960">
      <w:pPr>
        <w:pStyle w:val="Notedebasdepage"/>
      </w:pPr>
      <w:r>
        <w:t xml:space="preserve">R. La pénitence consiste dans l’aveu que l’homme fait de ses fautes, dans le repentir qu’il manifeste et dans la ferme résolution de ne plus y retomber. </w:t>
      </w:r>
    </w:p>
    <w:p w:rsidR="007F47B8" w:rsidRDefault="007F47B8" w:rsidP="00C31960">
      <w:pPr>
        <w:pStyle w:val="Notedebasdepage"/>
      </w:pPr>
      <w:r>
        <w:t xml:space="preserve">D. Quel est l’effet d’une pénitence sincère ? </w:t>
      </w:r>
    </w:p>
    <w:p w:rsidR="007F47B8" w:rsidRDefault="007F47B8" w:rsidP="00C31960">
      <w:pPr>
        <w:pStyle w:val="Notedebasdepage"/>
      </w:pPr>
      <w:r>
        <w:t xml:space="preserve">R. Une pénitence sincère a pour effet d’opérer la réconciliation du pécheur avec Dieu et son éloignement du mal. </w:t>
      </w:r>
    </w:p>
    <w:p w:rsidR="007F47B8" w:rsidRDefault="007F47B8" w:rsidP="00C31960">
      <w:pPr>
        <w:pStyle w:val="Notedebasdepage"/>
      </w:pPr>
      <w:r>
        <w:t xml:space="preserve">D. Est-il permis au pécheur de différer la pénitence ? </w:t>
      </w:r>
    </w:p>
    <w:p w:rsidR="007F47B8" w:rsidRDefault="007F47B8" w:rsidP="00C31960">
      <w:pPr>
        <w:pStyle w:val="Notedebasdepage"/>
      </w:pPr>
      <w:r>
        <w:t>R. Non, cela n’est pas permis, parce que, rien n’étant moins assuré que la durée de la vie, le pécheur pourrait être surpris par la mort avant de s’être réconcilié avec Dieu. (Pages 48-50.</w:t>
      </w:r>
      <w:r w:rsidRPr="00BA383E">
        <w:t xml:space="preserve">) </w:t>
      </w:r>
    </w:p>
    <w:p w:rsidR="007F47B8" w:rsidRDefault="007F47B8" w:rsidP="00C31960">
      <w:pPr>
        <w:pStyle w:val="Notedebasdepage"/>
      </w:pPr>
      <w:r>
        <w:t xml:space="preserve">D. Comment devons-nous nous préparer pour adresser notre prière à l’Éternel ? </w:t>
      </w:r>
    </w:p>
    <w:p w:rsidR="007F47B8" w:rsidRDefault="007F47B8" w:rsidP="00C31960">
      <w:pPr>
        <w:pStyle w:val="Notedebasdepage"/>
      </w:pPr>
      <w:r>
        <w:t xml:space="preserve">R. En abandonnant toute pensée mondaine et en élevant notre âme vers Dieu. </w:t>
      </w:r>
    </w:p>
    <w:p w:rsidR="007F47B8" w:rsidRDefault="007F47B8" w:rsidP="00C31960">
      <w:pPr>
        <w:pStyle w:val="Notedebasdepage"/>
      </w:pPr>
      <w:r>
        <w:t xml:space="preserve">D. Quel est l’objet de la prière ? </w:t>
      </w:r>
    </w:p>
    <w:p w:rsidR="007F47B8" w:rsidRDefault="007F47B8" w:rsidP="00C31960">
      <w:pPr>
        <w:pStyle w:val="Notedebasdepage"/>
      </w:pPr>
      <w:r>
        <w:t xml:space="preserve">R. La prière a pour objet : 1° de célébrer les louanges de Dieu ; 2° d’invoquer son assistance pour nous et pour le bonheur du monde en général ; 3° de le remercier des biens qu’il nous dispense ; 4° de lui demander pardon des fautes que nous avons commises. </w:t>
      </w:r>
    </w:p>
    <w:p w:rsidR="007F47B8" w:rsidRDefault="007F47B8" w:rsidP="00C31960">
      <w:pPr>
        <w:pStyle w:val="Notedebasdepage"/>
      </w:pPr>
      <w:r>
        <w:t xml:space="preserve">D. Quand est-ce que notre prière est agréable à Dieu ? </w:t>
      </w:r>
    </w:p>
    <w:p w:rsidR="007F47B8" w:rsidRPr="005D2A18" w:rsidRDefault="007F47B8" w:rsidP="00C31960">
      <w:pPr>
        <w:pStyle w:val="Notedebasdepage"/>
      </w:pPr>
      <w:r>
        <w:t>R. Dieu exauce nos prières lorsqu’elles partent de notre cœur. (Pages 34-36.</w:t>
      </w:r>
      <w:r w:rsidRPr="00BA383E">
        <w:t xml:space="preserve">) </w:t>
      </w:r>
    </w:p>
  </w:footnote>
  <w:footnote w:id="850">
    <w:p w:rsidR="007F47B8" w:rsidRPr="005D2A18" w:rsidRDefault="007F47B8" w:rsidP="00C31960">
      <w:pPr>
        <w:pStyle w:val="Notedebasdepage"/>
      </w:pPr>
      <w:r>
        <w:rPr>
          <w:rStyle w:val="Appelnotedebasdep"/>
        </w:rPr>
        <w:footnoteRef/>
      </w:r>
      <w:r>
        <w:t xml:space="preserve"> $ Page 34. </w:t>
      </w:r>
    </w:p>
  </w:footnote>
  <w:footnote w:id="851">
    <w:p w:rsidR="007F47B8" w:rsidRPr="005D2A18" w:rsidRDefault="007F47B8" w:rsidP="00C31960">
      <w:pPr>
        <w:pStyle w:val="Notedebasdepage"/>
      </w:pPr>
      <w:r>
        <w:rPr>
          <w:rStyle w:val="Appelnotedebasdep"/>
        </w:rPr>
        <w:footnoteRef/>
      </w:r>
      <w:r>
        <w:t xml:space="preserve"> $ Voyez</w:t>
      </w:r>
      <w:r w:rsidRPr="0044481F">
        <w:rPr>
          <w:rStyle w:val="italicus"/>
        </w:rPr>
        <w:t xml:space="preserve"> S. Matth.</w:t>
      </w:r>
      <w:r>
        <w:t xml:space="preserve"> XV, 1 et ss.,</w:t>
      </w:r>
      <w:r w:rsidRPr="0044481F">
        <w:rPr>
          <w:rStyle w:val="italicus"/>
        </w:rPr>
        <w:t xml:space="preserve"> S. Marc,</w:t>
      </w:r>
      <w:r>
        <w:t xml:space="preserve"> </w:t>
      </w:r>
      <w:r w:rsidRPr="0044481F">
        <w:rPr>
          <w:rStyle w:val="italicus"/>
        </w:rPr>
        <w:t>VII</w:t>
      </w:r>
      <w:r>
        <w:t xml:space="preserve">, 2 et ss., et nos commentaires sur ces passages. </w:t>
      </w:r>
    </w:p>
  </w:footnote>
  <w:footnote w:id="852">
    <w:p w:rsidR="007F47B8" w:rsidRPr="005D2A18" w:rsidRDefault="007F47B8" w:rsidP="00C31960">
      <w:pPr>
        <w:pStyle w:val="Notedebasdepage"/>
      </w:pPr>
      <w:r>
        <w:rPr>
          <w:rStyle w:val="Appelnotedebasdep"/>
        </w:rPr>
        <w:footnoteRef/>
      </w:r>
      <w:r>
        <w:t xml:space="preserve"> $ II faut entendre ici plus spécialement les prescriptions relatives à la nourriture. Voyez à ce sujet E. Coypel,</w:t>
      </w:r>
      <w:r w:rsidRPr="0044481F">
        <w:rPr>
          <w:rStyle w:val="italicus"/>
        </w:rPr>
        <w:t xml:space="preserve"> Le Judaïsme, esquisse des mœurs juives,</w:t>
      </w:r>
      <w:r>
        <w:t xml:space="preserve"> p. 54 et suiv., Mulhouse, 1876. </w:t>
      </w:r>
    </w:p>
  </w:footnote>
  <w:footnote w:id="853">
    <w:p w:rsidR="007F47B8" w:rsidRPr="005D2A18" w:rsidRDefault="007F47B8" w:rsidP="00C31960">
      <w:pPr>
        <w:pStyle w:val="Notedebasdepage"/>
      </w:pPr>
      <w:r>
        <w:rPr>
          <w:rStyle w:val="Appelnotedebasdep"/>
        </w:rPr>
        <w:footnoteRef/>
      </w:r>
      <w:r>
        <w:t xml:space="preserve"> $ </w:t>
      </w:r>
      <w:r w:rsidRPr="0044481F">
        <w:rPr>
          <w:rStyle w:val="italicus"/>
        </w:rPr>
        <w:t>Rom.</w:t>
      </w:r>
      <w:r>
        <w:t xml:space="preserve"> XIII, 1</w:t>
      </w:r>
      <w:r>
        <w:rPr>
          <w:smallCaps/>
        </w:rPr>
        <w:t>-2.</w:t>
      </w:r>
      <w:r>
        <w:t xml:space="preserve"> </w:t>
      </w:r>
    </w:p>
  </w:footnote>
  <w:footnote w:id="854">
    <w:p w:rsidR="007F47B8" w:rsidRPr="005D2A18" w:rsidRDefault="007F47B8" w:rsidP="00C31960">
      <w:pPr>
        <w:pStyle w:val="Notedebasdepage"/>
      </w:pPr>
      <w:r>
        <w:rPr>
          <w:rStyle w:val="Appelnotedebasdep"/>
        </w:rPr>
        <w:footnoteRef/>
      </w:r>
      <w:r>
        <w:t xml:space="preserve"> $ Pages 59 et 60. </w:t>
      </w:r>
    </w:p>
  </w:footnote>
  <w:footnote w:id="855">
    <w:p w:rsidR="007F47B8" w:rsidRPr="005D2A18" w:rsidRDefault="007F47B8" w:rsidP="00C31960">
      <w:pPr>
        <w:pStyle w:val="Notedebasdepage"/>
      </w:pPr>
      <w:r>
        <w:rPr>
          <w:rStyle w:val="Appelnotedebasdep"/>
        </w:rPr>
        <w:footnoteRef/>
      </w:r>
      <w:r>
        <w:t xml:space="preserve"> $ Pages 60 et 61. </w:t>
      </w:r>
    </w:p>
  </w:footnote>
  <w:footnote w:id="856">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lang w:val="en-US"/>
        </w:rPr>
        <w:t xml:space="preserve">$ Page 61. </w:t>
      </w:r>
    </w:p>
  </w:footnote>
  <w:footnote w:id="857">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lang w:val="en-US"/>
        </w:rPr>
        <w:t xml:space="preserve">$ Page 62. </w:t>
      </w:r>
    </w:p>
  </w:footnote>
  <w:footnote w:id="858">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lang w:val="en-US"/>
        </w:rPr>
        <w:t xml:space="preserve">$ Page 67. </w:t>
      </w:r>
    </w:p>
  </w:footnote>
  <w:footnote w:id="859">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lang w:val="en-US"/>
        </w:rPr>
        <w:t>$ « Das Ziel des Judenthums war, ist, und wird bleiben die Verbindung aller Menschen in dem Glauben an den Einem Gott ».</w:t>
      </w:r>
      <w:r w:rsidRPr="00F84A0B">
        <w:rPr>
          <w:rStyle w:val="italicus"/>
          <w:lang w:val="en-US"/>
        </w:rPr>
        <w:t xml:space="preserve"> Jüd. Literaturblatt, </w:t>
      </w:r>
      <w:r w:rsidRPr="00F84A0B">
        <w:rPr>
          <w:lang w:val="en-US"/>
        </w:rPr>
        <w:t xml:space="preserve">1881, n° 28, p. 110. </w:t>
      </w:r>
    </w:p>
  </w:footnote>
  <w:footnote w:id="860">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lang w:val="en-US"/>
        </w:rPr>
        <w:t xml:space="preserve">$ </w:t>
      </w:r>
      <w:r w:rsidRPr="00F84A0B">
        <w:rPr>
          <w:rStyle w:val="italicus"/>
          <w:lang w:val="en-US"/>
        </w:rPr>
        <w:t>II Cor.</w:t>
      </w:r>
      <w:r w:rsidRPr="00F84A0B">
        <w:rPr>
          <w:lang w:val="en-US"/>
        </w:rPr>
        <w:t xml:space="preserve"> III, 15. </w:t>
      </w:r>
    </w:p>
  </w:footnote>
  <w:footnote w:id="861">
    <w:p w:rsidR="007F47B8" w:rsidRDefault="007F47B8" w:rsidP="00C31960">
      <w:pPr>
        <w:pStyle w:val="Notedebasdepage"/>
      </w:pPr>
      <w:r>
        <w:rPr>
          <w:rStyle w:val="Appelnotedebasdep"/>
        </w:rPr>
        <w:footnoteRef/>
      </w:r>
      <w:r w:rsidRPr="005D2A18">
        <w:rPr>
          <w:lang w:val="en-US"/>
        </w:rPr>
        <w:t xml:space="preserve"> </w:t>
      </w:r>
      <w:r w:rsidRPr="00F84A0B">
        <w:rPr>
          <w:lang w:val="en-US"/>
        </w:rPr>
        <w:t xml:space="preserve">$ </w:t>
      </w:r>
      <w:r w:rsidRPr="00F84A0B">
        <w:rPr>
          <w:rStyle w:val="italicus"/>
          <w:lang w:val="en-US"/>
        </w:rPr>
        <w:t xml:space="preserve">Dibré Emeth, oder Stimmen der Wahrheit an Israeliten und Freunde Israels. </w:t>
      </w:r>
      <w:r w:rsidRPr="00F17FC5">
        <w:t xml:space="preserve">Breslau, 1872, p. 124 et suiv. </w:t>
      </w:r>
    </w:p>
  </w:footnote>
  <w:footnote w:id="862">
    <w:p w:rsidR="007F47B8" w:rsidRPr="005D2A18" w:rsidRDefault="007F47B8" w:rsidP="00C31960">
      <w:pPr>
        <w:pStyle w:val="Notedebasdepage"/>
      </w:pPr>
      <w:r>
        <w:rPr>
          <w:rStyle w:val="Appelnotedebasdep"/>
        </w:rPr>
        <w:footnoteRef/>
      </w:r>
      <w:r>
        <w:t xml:space="preserve"> </w:t>
      </w:r>
      <w:r>
        <w:rPr>
          <w:rStyle w:val="italicus"/>
        </w:rPr>
        <w:t xml:space="preserve">$ </w:t>
      </w:r>
      <w:r>
        <w:t xml:space="preserve">Les Juifs croyants sont aujourd’hui divisés en deux camps de tendances opposées : les uns, dits orthodoxes, veulent maintenir toutes les antiques prescriptions du Talmud ; les autres, appelés libéraux, se sont affranchis du joug des vieux rabbins, ne le trouvant pas compatible avec la vie moderne. </w:t>
      </w:r>
    </w:p>
  </w:footnote>
  <w:footnote w:id="863">
    <w:p w:rsidR="007F47B8" w:rsidRPr="005D2A18" w:rsidRDefault="007F47B8" w:rsidP="00C31960">
      <w:pPr>
        <w:pStyle w:val="Notedebasdepage"/>
      </w:pPr>
      <w:r>
        <w:rPr>
          <w:rStyle w:val="Appelnotedebasdep"/>
        </w:rPr>
        <w:footnoteRef/>
      </w:r>
      <w:r>
        <w:t xml:space="preserve"> $ Le premier jour de l’année civile des Juifs. Littéralement : « la tête de l’année ». </w:t>
      </w:r>
    </w:p>
  </w:footnote>
  <w:footnote w:id="864">
    <w:p w:rsidR="007F47B8" w:rsidRDefault="007F47B8" w:rsidP="00C31960">
      <w:pPr>
        <w:pStyle w:val="Notedebasdepage"/>
      </w:pPr>
      <w:r>
        <w:rPr>
          <w:rStyle w:val="Appelnotedebasdep"/>
        </w:rPr>
        <w:footnoteRef/>
      </w:r>
      <w:r>
        <w:t xml:space="preserve"> $ </w:t>
      </w:r>
      <w:r w:rsidRPr="0044481F">
        <w:rPr>
          <w:rStyle w:val="italicus"/>
        </w:rPr>
        <w:t xml:space="preserve">Cérémonies et coutumes qui s’observent aujourd’hui parmi les Juifs, traduit de l’italien. </w:t>
      </w:r>
      <w:r w:rsidRPr="00F17FC5">
        <w:t xml:space="preserve">La Haye, 1562, p. 179. </w:t>
      </w:r>
    </w:p>
  </w:footnote>
  <w:footnote w:id="865">
    <w:p w:rsidR="007F47B8" w:rsidRPr="005D2A18" w:rsidRDefault="007F47B8" w:rsidP="00C31960">
      <w:pPr>
        <w:pStyle w:val="Notedebasdepage"/>
        <w:rPr>
          <w:i/>
        </w:rPr>
      </w:pPr>
      <w:r>
        <w:rPr>
          <w:rStyle w:val="Appelnotedebasdep"/>
        </w:rPr>
        <w:footnoteRef/>
      </w:r>
      <w:r>
        <w:t xml:space="preserve"> </w:t>
      </w:r>
      <w:r>
        <w:rPr>
          <w:rStyle w:val="italicus"/>
        </w:rPr>
        <w:t xml:space="preserve">$ </w:t>
      </w:r>
      <w:r>
        <w:t>Voyez Martigny,</w:t>
      </w:r>
      <w:r w:rsidRPr="0044481F">
        <w:rPr>
          <w:rStyle w:val="italicus"/>
        </w:rPr>
        <w:t xml:space="preserve"> Dictionnaire des antiquités chrétiennes,</w:t>
      </w:r>
      <w:r>
        <w:t xml:space="preserve"> Paris, 1865, p. 154 et s. </w:t>
      </w:r>
    </w:p>
  </w:footnote>
  <w:footnote w:id="866">
    <w:p w:rsidR="007F47B8" w:rsidRPr="005D2A18" w:rsidRDefault="007F47B8" w:rsidP="00C31960">
      <w:pPr>
        <w:pStyle w:val="Notedebasdepage"/>
      </w:pPr>
      <w:r>
        <w:rPr>
          <w:rStyle w:val="Appelnotedebasdep"/>
        </w:rPr>
        <w:footnoteRef/>
      </w:r>
      <w:r>
        <w:t xml:space="preserve"> </w:t>
      </w:r>
      <w:r>
        <w:rPr>
          <w:rStyle w:val="italicus"/>
        </w:rPr>
        <w:t xml:space="preserve">$ </w:t>
      </w:r>
      <w:r>
        <w:t>I</w:t>
      </w:r>
      <w:r w:rsidRPr="0044481F">
        <w:rPr>
          <w:rStyle w:val="italicus"/>
        </w:rPr>
        <w:t xml:space="preserve"> Thess.</w:t>
      </w:r>
      <w:r>
        <w:t xml:space="preserve"> IV, 12. </w:t>
      </w:r>
    </w:p>
  </w:footnote>
  <w:footnote w:id="867">
    <w:p w:rsidR="007F47B8" w:rsidRPr="005D2A18" w:rsidRDefault="007F47B8" w:rsidP="00C31960">
      <w:pPr>
        <w:pStyle w:val="Notedebasdepage"/>
      </w:pPr>
      <w:r>
        <w:rPr>
          <w:rStyle w:val="Appelnotedebasdep"/>
        </w:rPr>
        <w:footnoteRef/>
      </w:r>
      <w:r>
        <w:t xml:space="preserve"> $ Genèse,</w:t>
      </w:r>
      <w:r>
        <w:rPr>
          <w:smallCaps/>
        </w:rPr>
        <w:t xml:space="preserve"> XLIX</w:t>
      </w:r>
      <w:r>
        <w:t xml:space="preserve">, 29 et 30. </w:t>
      </w:r>
    </w:p>
  </w:footnote>
  <w:footnote w:id="868">
    <w:p w:rsidR="007F47B8" w:rsidRDefault="007F47B8" w:rsidP="00C31960">
      <w:pPr>
        <w:pStyle w:val="Notedebasdepage"/>
      </w:pPr>
      <w:r>
        <w:rPr>
          <w:rStyle w:val="Appelnotedebasdep"/>
        </w:rPr>
        <w:footnoteRef/>
      </w:r>
      <w:r>
        <w:t xml:space="preserve"> $ </w:t>
      </w:r>
      <w:r w:rsidRPr="0044481F">
        <w:rPr>
          <w:rStyle w:val="italicus"/>
        </w:rPr>
        <w:t>Genèse,</w:t>
      </w:r>
      <w:r>
        <w:rPr>
          <w:smallCaps/>
        </w:rPr>
        <w:t xml:space="preserve"> </w:t>
      </w:r>
      <w:r w:rsidRPr="00CD5E93">
        <w:t xml:space="preserve">L, 23 et 24. </w:t>
      </w:r>
    </w:p>
  </w:footnote>
  <w:footnote w:id="869">
    <w:p w:rsidR="007F47B8" w:rsidRPr="005D2A18" w:rsidRDefault="007F47B8" w:rsidP="00C31960">
      <w:pPr>
        <w:pStyle w:val="Notedebasdepage"/>
      </w:pPr>
      <w:r>
        <w:rPr>
          <w:rStyle w:val="Appelnotedebasdep"/>
        </w:rPr>
        <w:footnoteRef/>
      </w:r>
      <w:r>
        <w:t xml:space="preserve"> $ Littéralement, le mot hébreu </w:t>
      </w:r>
      <w:r w:rsidRPr="00CD5E93">
        <w:rPr>
          <w:rStyle w:val="italicus"/>
        </w:rPr>
        <w:t xml:space="preserve">goïm </w:t>
      </w:r>
      <w:r>
        <w:t xml:space="preserve">signifie « nations » ; mais, d’après l’usage biblique, il désigne toutes les nations païennes par opposition au judaïsme. Or, les Juifs modernes nous traitent de païens. </w:t>
      </w:r>
    </w:p>
  </w:footnote>
  <w:footnote w:id="870">
    <w:p w:rsidR="007F47B8" w:rsidRDefault="007F47B8" w:rsidP="00C31960">
      <w:pPr>
        <w:pStyle w:val="Notedebasdepage"/>
      </w:pPr>
      <w:r>
        <w:rPr>
          <w:rStyle w:val="Appelnotedebasdep"/>
        </w:rPr>
        <w:footnoteRef/>
      </w:r>
      <w:r>
        <w:t xml:space="preserve"> </w:t>
      </w:r>
      <w:r w:rsidRPr="00CD5E93">
        <w:t>$ Voyez la</w:t>
      </w:r>
      <w:r w:rsidRPr="0044481F">
        <w:rPr>
          <w:rStyle w:val="italicus"/>
        </w:rPr>
        <w:t xml:space="preserve"> Allgem</w:t>
      </w:r>
      <w:r>
        <w:rPr>
          <w:rStyle w:val="italicus"/>
        </w:rPr>
        <w:t xml:space="preserve">eine Zeitung des Judenthums </w:t>
      </w:r>
      <w:r w:rsidRPr="00CD5E93">
        <w:t>et l’</w:t>
      </w:r>
      <w:r w:rsidRPr="0044481F">
        <w:rPr>
          <w:rStyle w:val="italicus"/>
        </w:rPr>
        <w:t xml:space="preserve">Univers israélite, </w:t>
      </w:r>
      <w:r w:rsidRPr="00CD5E93">
        <w:t xml:space="preserve">passim. </w:t>
      </w:r>
    </w:p>
  </w:footnote>
  <w:footnote w:id="871">
    <w:p w:rsidR="007F47B8" w:rsidRDefault="007F47B8" w:rsidP="00C31960">
      <w:pPr>
        <w:pStyle w:val="Notedebasdepage"/>
      </w:pPr>
      <w:r>
        <w:rPr>
          <w:rStyle w:val="Appelnotedebasdep"/>
        </w:rPr>
        <w:footnoteRef/>
      </w:r>
      <w:r>
        <w:t xml:space="preserve"> </w:t>
      </w:r>
      <w:r w:rsidRPr="00CD5E93">
        <w:t xml:space="preserve">$ Voyez A. Rubens, </w:t>
      </w:r>
      <w:r w:rsidRPr="0044481F">
        <w:rPr>
          <w:rStyle w:val="italicus"/>
        </w:rPr>
        <w:t xml:space="preserve">Der </w:t>
      </w:r>
      <w:r>
        <w:rPr>
          <w:rStyle w:val="italicus"/>
        </w:rPr>
        <w:t>alte und neue Glaube im Judenth</w:t>
      </w:r>
      <w:r w:rsidRPr="0044481F">
        <w:rPr>
          <w:rStyle w:val="italicus"/>
        </w:rPr>
        <w:t xml:space="preserve">um. </w:t>
      </w:r>
      <w:r w:rsidRPr="00CD5E93">
        <w:t xml:space="preserve">Zurich, 1878, p. 87. </w:t>
      </w:r>
    </w:p>
  </w:footnote>
  <w:footnote w:id="872">
    <w:p w:rsidR="007F47B8" w:rsidRPr="005D2A18" w:rsidRDefault="007F47B8" w:rsidP="00C31960">
      <w:pPr>
        <w:pStyle w:val="Notedebasdepage"/>
      </w:pPr>
      <w:r>
        <w:rPr>
          <w:rStyle w:val="Appelnotedebasdep"/>
        </w:rPr>
        <w:footnoteRef/>
      </w:r>
      <w:r>
        <w:t xml:space="preserve"> </w:t>
      </w:r>
      <w:r w:rsidRPr="00CD5E93">
        <w:t>$ Voyez l’</w:t>
      </w:r>
      <w:r w:rsidRPr="0044481F">
        <w:rPr>
          <w:rStyle w:val="italicus"/>
        </w:rPr>
        <w:t>Univers israélite,</w:t>
      </w:r>
      <w:r>
        <w:t xml:space="preserve"> XVIIe année, n° 9, p. 391 et suiv. ; comp. de Saulcy,</w:t>
      </w:r>
      <w:r w:rsidRPr="0044481F">
        <w:rPr>
          <w:rStyle w:val="italicus"/>
        </w:rPr>
        <w:t xml:space="preserve"> Voyage en Terre-Sainte,</w:t>
      </w:r>
      <w:r>
        <w:t xml:space="preserve"> t. II, appendice. </w:t>
      </w:r>
    </w:p>
  </w:footnote>
  <w:footnote w:id="873">
    <w:p w:rsidR="007F47B8" w:rsidRPr="005D2A18" w:rsidRDefault="007F47B8" w:rsidP="00C31960">
      <w:pPr>
        <w:pStyle w:val="Notedebasdepage"/>
      </w:pPr>
      <w:r>
        <w:rPr>
          <w:rStyle w:val="Appelnotedebasdep"/>
        </w:rPr>
        <w:footnoteRef/>
      </w:r>
      <w:r>
        <w:t xml:space="preserve"> $ Pluriel de</w:t>
      </w:r>
      <w:r w:rsidRPr="0044481F">
        <w:rPr>
          <w:rStyle w:val="italicus"/>
        </w:rPr>
        <w:t xml:space="preserve"> cohen,</w:t>
      </w:r>
      <w:r>
        <w:t xml:space="preserve"> mot hébreu qui signifie « prêtre ». De là les noms de Cohen, de Cahen, de Cohn, de Cahn, etc., que portent de nombreux Israélites. Quoique les tribus juives soient depuis longtemps mélangées et perdues, néanmoins la filiation de divers prêtres et lévites est suffisamment démontrée. Les</w:t>
      </w:r>
      <w:r w:rsidRPr="0044481F">
        <w:rPr>
          <w:rStyle w:val="italicus"/>
        </w:rPr>
        <w:t xml:space="preserve"> cohanim</w:t>
      </w:r>
      <w:r>
        <w:t xml:space="preserve"> n’exercent plus aucun rôle sacerdotal en Israël, le rabbinisme ayant depuis des siècles remplacé le sacerdoce ; ils jouissent pourtant de certains privilèges : par exemple, celui de donner la bénédiction au peuple au jour de</w:t>
      </w:r>
      <w:r w:rsidRPr="0044481F">
        <w:rPr>
          <w:rStyle w:val="italicus"/>
        </w:rPr>
        <w:t xml:space="preserve"> Kippour</w:t>
      </w:r>
      <w:r>
        <w:t xml:space="preserve"> ou de l’Expiation. </w:t>
      </w:r>
    </w:p>
  </w:footnote>
  <w:footnote w:id="874">
    <w:p w:rsidR="007F47B8" w:rsidRPr="005D2A18" w:rsidRDefault="007F47B8" w:rsidP="00C31960">
      <w:pPr>
        <w:pStyle w:val="Notedebasdepage"/>
      </w:pPr>
      <w:r>
        <w:rPr>
          <w:rStyle w:val="Appelnotedebasdep"/>
        </w:rPr>
        <w:footnoteRef/>
      </w:r>
      <w:r>
        <w:t xml:space="preserve"> $ Traité</w:t>
      </w:r>
      <w:r w:rsidRPr="0044481F">
        <w:rPr>
          <w:rStyle w:val="italicus"/>
        </w:rPr>
        <w:t xml:space="preserve"> Sanhédrin,</w:t>
      </w:r>
      <w:r>
        <w:t xml:space="preserve"> 96, 6. </w:t>
      </w:r>
    </w:p>
  </w:footnote>
  <w:footnote w:id="875">
    <w:p w:rsidR="007F47B8" w:rsidRPr="005D2A18" w:rsidRDefault="007F47B8" w:rsidP="00C31960">
      <w:pPr>
        <w:pStyle w:val="Notedebasdepage"/>
      </w:pPr>
      <w:r>
        <w:rPr>
          <w:rStyle w:val="Appelnotedebasdep"/>
        </w:rPr>
        <w:footnoteRef/>
      </w:r>
      <w:r>
        <w:t xml:space="preserve"> $ </w:t>
      </w:r>
      <w:r w:rsidRPr="00CD5E93">
        <w:rPr>
          <w:bCs w:val="0"/>
          <w:szCs w:val="23"/>
          <w:rtl/>
          <w:lang w:bidi="he-IL"/>
        </w:rPr>
        <w:t>מעבה</w:t>
      </w:r>
    </w:p>
  </w:footnote>
  <w:footnote w:id="876">
    <w:p w:rsidR="007F47B8" w:rsidRPr="005D2A18" w:rsidRDefault="007F47B8" w:rsidP="00C31960">
      <w:pPr>
        <w:pStyle w:val="Notedebasdepage"/>
      </w:pPr>
      <w:r>
        <w:rPr>
          <w:rStyle w:val="Appelnotedebasdep"/>
        </w:rPr>
        <w:footnoteRef/>
      </w:r>
      <w:r>
        <w:t xml:space="preserve"> $ La septième devait servir à son propre tombeau. Voyez Gillet,</w:t>
      </w:r>
      <w:r w:rsidRPr="0044481F">
        <w:rPr>
          <w:rStyle w:val="italicus"/>
        </w:rPr>
        <w:t xml:space="preserve"> Les Machabées : Introduction critique et commentaires,</w:t>
      </w:r>
      <w:r>
        <w:t xml:space="preserve"> Paris, 1880, p. 179 et s. </w:t>
      </w:r>
    </w:p>
  </w:footnote>
  <w:footnote w:id="877">
    <w:p w:rsidR="007F47B8" w:rsidRPr="005D2A18" w:rsidRDefault="007F47B8" w:rsidP="00C31960">
      <w:pPr>
        <w:pStyle w:val="Notedebasdepage"/>
      </w:pPr>
      <w:r>
        <w:rPr>
          <w:rStyle w:val="Appelnotedebasdep"/>
        </w:rPr>
        <w:footnoteRef/>
      </w:r>
      <w:r>
        <w:t xml:space="preserve"> $ M. de Saulcy a donné au Musée du Louvre un remarquable</w:t>
      </w:r>
      <w:r w:rsidRPr="0044481F">
        <w:rPr>
          <w:rStyle w:val="italicus"/>
        </w:rPr>
        <w:t xml:space="preserve"> lóculus</w:t>
      </w:r>
      <w:r>
        <w:t xml:space="preserve"> découvert par lui à Jérusalem. Voyez notre</w:t>
      </w:r>
      <w:r w:rsidRPr="0044481F">
        <w:rPr>
          <w:rStyle w:val="italicus"/>
        </w:rPr>
        <w:t xml:space="preserve"> Allas archéologique de la Bible, </w:t>
      </w:r>
      <w:r>
        <w:t xml:space="preserve">planche XX, fig. 2 et 3 ; pl. XXI, fig. 6, 7, 9 ; pl. XXIII, fig. 1 et 2. </w:t>
      </w:r>
    </w:p>
  </w:footnote>
  <w:footnote w:id="878">
    <w:p w:rsidR="007F47B8" w:rsidRPr="005D2A18" w:rsidRDefault="007F47B8" w:rsidP="00C31960">
      <w:pPr>
        <w:pStyle w:val="Notedebasdepage"/>
      </w:pPr>
      <w:r>
        <w:rPr>
          <w:rStyle w:val="Appelnotedebasdep"/>
        </w:rPr>
        <w:footnoteRef/>
      </w:r>
      <w:r>
        <w:t xml:space="preserve"> $ Sans doute la traduction plastique du</w:t>
      </w:r>
      <w:r w:rsidRPr="0044481F">
        <w:rPr>
          <w:rStyle w:val="italicus"/>
        </w:rPr>
        <w:t xml:space="preserve"> Sicut aqua effúsus sum.,</w:t>
      </w:r>
      <w:r>
        <w:t xml:space="preserve"> Ps. XXI, 15. </w:t>
      </w:r>
    </w:p>
  </w:footnote>
  <w:footnote w:id="879">
    <w:p w:rsidR="007F47B8" w:rsidRPr="005D2A18" w:rsidRDefault="007F47B8" w:rsidP="00C31960">
      <w:pPr>
        <w:pStyle w:val="Notedebasdepage"/>
      </w:pPr>
      <w:r>
        <w:rPr>
          <w:rStyle w:val="Appelnotedebasdep"/>
        </w:rPr>
        <w:footnoteRef/>
      </w:r>
      <w:r>
        <w:t xml:space="preserve"> $ Sur la tombe des personnes mariées. </w:t>
      </w:r>
    </w:p>
  </w:footnote>
  <w:footnote w:id="880">
    <w:p w:rsidR="007F47B8" w:rsidRPr="005D2A18" w:rsidRDefault="007F47B8" w:rsidP="00C31960">
      <w:pPr>
        <w:pStyle w:val="Notedebasdepage"/>
      </w:pPr>
      <w:r>
        <w:rPr>
          <w:rStyle w:val="Appelnotedebasdep"/>
        </w:rPr>
        <w:footnoteRef/>
      </w:r>
      <w:r>
        <w:t xml:space="preserve"> $ S.</w:t>
      </w:r>
      <w:r w:rsidRPr="0044481F">
        <w:rPr>
          <w:rStyle w:val="italicus"/>
        </w:rPr>
        <w:t xml:space="preserve"> Matth.</w:t>
      </w:r>
      <w:r>
        <w:t xml:space="preserve"> XXIII, 27. </w:t>
      </w:r>
    </w:p>
  </w:footnote>
  <w:footnote w:id="881">
    <w:p w:rsidR="007F47B8" w:rsidRPr="005D2A18" w:rsidRDefault="007F47B8" w:rsidP="00C31960">
      <w:pPr>
        <w:pStyle w:val="Notedebasdepage"/>
      </w:pPr>
      <w:r>
        <w:rPr>
          <w:rStyle w:val="Appelnotedebasdep"/>
        </w:rPr>
        <w:footnoteRef/>
      </w:r>
      <w:r>
        <w:t xml:space="preserve"> $ Fin de février ou commencement de mars. </w:t>
      </w:r>
    </w:p>
  </w:footnote>
  <w:footnote w:id="882">
    <w:p w:rsidR="007F47B8" w:rsidRPr="005D2A18" w:rsidRDefault="007F47B8" w:rsidP="00C31960">
      <w:pPr>
        <w:pStyle w:val="Notedebasdepage"/>
      </w:pPr>
      <w:r>
        <w:rPr>
          <w:rStyle w:val="Appelnotedebasdep"/>
        </w:rPr>
        <w:footnoteRef/>
      </w:r>
      <w:r>
        <w:t xml:space="preserve"> $ </w:t>
      </w:r>
      <w:r w:rsidRPr="0044481F">
        <w:rPr>
          <w:rStyle w:val="italicus"/>
        </w:rPr>
        <w:t>Évangile selon S. Matthieu</w:t>
      </w:r>
      <w:r>
        <w:t xml:space="preserve"> commenté par L.-Cl. Fillion ; Paris, 1878, p. 447. </w:t>
      </w:r>
    </w:p>
  </w:footnote>
  <w:footnote w:id="883">
    <w:p w:rsidR="007F47B8" w:rsidRDefault="007F47B8" w:rsidP="00C31960">
      <w:pPr>
        <w:pStyle w:val="Notedebasdepage"/>
      </w:pPr>
      <w:r>
        <w:rPr>
          <w:rStyle w:val="Appelnotedebasdep"/>
        </w:rPr>
        <w:footnoteRef/>
      </w:r>
      <w:r>
        <w:t xml:space="preserve"> $ </w:t>
      </w:r>
      <w:r w:rsidRPr="0044481F">
        <w:rPr>
          <w:rStyle w:val="italicus"/>
        </w:rPr>
        <w:t xml:space="preserve">Cérémonies juives, </w:t>
      </w:r>
      <w:r w:rsidRPr="00EC4AD4">
        <w:t xml:space="preserve">p. 182 et 183. </w:t>
      </w:r>
    </w:p>
  </w:footnote>
  <w:footnote w:id="884">
    <w:p w:rsidR="007F47B8" w:rsidRPr="005D2A18" w:rsidRDefault="007F47B8" w:rsidP="00C31960">
      <w:pPr>
        <w:pStyle w:val="Notedebasdepage"/>
      </w:pPr>
      <w:r>
        <w:rPr>
          <w:rStyle w:val="Appelnotedebasdep"/>
        </w:rPr>
        <w:footnoteRef/>
      </w:r>
      <w:r>
        <w:t xml:space="preserve"> </w:t>
      </w:r>
      <w:r>
        <w:rPr>
          <w:rStyle w:val="italicus"/>
        </w:rPr>
        <w:t xml:space="preserve">$ </w:t>
      </w:r>
      <w:r>
        <w:t xml:space="preserve">Voir plus bas l’explication de cette date. </w:t>
      </w:r>
    </w:p>
  </w:footnote>
  <w:footnote w:id="885">
    <w:p w:rsidR="007F47B8" w:rsidRPr="005D2A18" w:rsidRDefault="007F47B8" w:rsidP="00C31960">
      <w:pPr>
        <w:pStyle w:val="Notedebasdepage"/>
      </w:pPr>
      <w:r>
        <w:rPr>
          <w:rStyle w:val="Appelnotedebasdep"/>
        </w:rPr>
        <w:footnoteRef/>
      </w:r>
      <w:r>
        <w:t xml:space="preserve"> $ Cette expression sera expliquée plus bas. </w:t>
      </w:r>
    </w:p>
  </w:footnote>
  <w:footnote w:id="886">
    <w:p w:rsidR="007F47B8" w:rsidRPr="005D2A18" w:rsidRDefault="007F47B8" w:rsidP="00C31960">
      <w:pPr>
        <w:pStyle w:val="Notedebasdepage"/>
      </w:pPr>
      <w:r>
        <w:rPr>
          <w:rStyle w:val="Appelnotedebasdep"/>
        </w:rPr>
        <w:footnoteRef/>
      </w:r>
      <w:r>
        <w:t xml:space="preserve"> $ Un non-juif. </w:t>
      </w:r>
    </w:p>
  </w:footnote>
  <w:footnote w:id="887">
    <w:p w:rsidR="007F47B8" w:rsidRDefault="007F47B8" w:rsidP="00C31960">
      <w:pPr>
        <w:pStyle w:val="Notedebasdepage"/>
      </w:pPr>
      <w:r>
        <w:rPr>
          <w:rStyle w:val="Appelnotedebasdep"/>
        </w:rPr>
        <w:footnoteRef/>
      </w:r>
      <w:r>
        <w:t xml:space="preserve"> </w:t>
      </w:r>
      <w:r w:rsidRPr="00EC4AD4">
        <w:t xml:space="preserve">$ </w:t>
      </w:r>
      <w:r w:rsidRPr="00EC4AD4">
        <w:rPr>
          <w:rtl/>
          <w:lang w:bidi="he-IL"/>
        </w:rPr>
        <w:t>פ</w:t>
      </w:r>
      <w:r>
        <w:rPr>
          <w:rtl/>
          <w:lang w:bidi="he-IL"/>
        </w:rPr>
        <w:t>״</w:t>
      </w:r>
    </w:p>
  </w:footnote>
  <w:footnote w:id="888">
    <w:p w:rsidR="007F47B8" w:rsidRPr="005D2A18" w:rsidRDefault="007F47B8" w:rsidP="00C31960">
      <w:pPr>
        <w:pStyle w:val="Notedebasdepage"/>
      </w:pPr>
      <w:r>
        <w:rPr>
          <w:rStyle w:val="Appelnotedebasdep"/>
        </w:rPr>
        <w:footnoteRef/>
      </w:r>
      <w:r>
        <w:t xml:space="preserve"> $ </w:t>
      </w:r>
      <w:r w:rsidRPr="00EC4AD4">
        <w:rPr>
          <w:rtl/>
          <w:lang w:bidi="he-IL"/>
        </w:rPr>
        <w:t>ט</w:t>
      </w:r>
      <w:r>
        <w:rPr>
          <w:rtl/>
          <w:lang w:bidi="he-IL"/>
        </w:rPr>
        <w:t>״</w:t>
      </w:r>
    </w:p>
  </w:footnote>
  <w:footnote w:id="889">
    <w:p w:rsidR="007F47B8" w:rsidRPr="005D2A18" w:rsidRDefault="007F47B8" w:rsidP="00C31960">
      <w:pPr>
        <w:pStyle w:val="Notedebasdepage"/>
      </w:pPr>
      <w:r>
        <w:rPr>
          <w:rStyle w:val="Appelnotedebasdep"/>
        </w:rPr>
        <w:footnoteRef/>
      </w:r>
      <w:r>
        <w:t xml:space="preserve"> $ </w:t>
      </w:r>
      <w:r w:rsidRPr="00EC4AD4">
        <w:rPr>
          <w:rtl/>
          <w:lang w:bidi="he-IL"/>
        </w:rPr>
        <w:t>ת׳ נ׳ צ</w:t>
      </w:r>
      <w:r w:rsidRPr="00EC4AD4">
        <w:rPr>
          <w:rtl/>
        </w:rPr>
        <w:t xml:space="preserve">’ </w:t>
      </w:r>
      <w:r w:rsidRPr="00EC4AD4">
        <w:rPr>
          <w:rtl/>
          <w:lang w:bidi="he-IL"/>
        </w:rPr>
        <w:t>ב׳ ה׳</w:t>
      </w:r>
    </w:p>
  </w:footnote>
  <w:footnote w:id="890">
    <w:p w:rsidR="007F47B8" w:rsidRPr="005D2A18" w:rsidRDefault="007F47B8" w:rsidP="00C31960">
      <w:pPr>
        <w:pStyle w:val="Notedebasdepage"/>
      </w:pPr>
      <w:r>
        <w:rPr>
          <w:rStyle w:val="Appelnotedebasdep"/>
        </w:rPr>
        <w:footnoteRef/>
      </w:r>
      <w:r>
        <w:t xml:space="preserve"> $ Chapitre XXV, verset 29. </w:t>
      </w:r>
    </w:p>
  </w:footnote>
  <w:footnote w:id="891">
    <w:p w:rsidR="007F47B8" w:rsidRPr="005D2A18" w:rsidRDefault="007F47B8" w:rsidP="00C31960">
      <w:pPr>
        <w:pStyle w:val="Notedebasdepage"/>
      </w:pPr>
      <w:r>
        <w:rPr>
          <w:rStyle w:val="Appelnotedebasdep"/>
        </w:rPr>
        <w:footnoteRef/>
      </w:r>
      <w:r>
        <w:t xml:space="preserve"> $ XXXI, 10. Voyez le bel ouvrage de M</w:t>
      </w:r>
      <w:r>
        <w:rPr>
          <w:vertAlign w:val="superscript"/>
        </w:rPr>
        <w:t>gr</w:t>
      </w:r>
      <w:r>
        <w:t xml:space="preserve"> Landriot,</w:t>
      </w:r>
      <w:r w:rsidRPr="0044481F">
        <w:rPr>
          <w:rStyle w:val="italicus"/>
        </w:rPr>
        <w:t xml:space="preserve"> La femme forte,</w:t>
      </w:r>
      <w:r>
        <w:t xml:space="preserve"> 2 vol. in-8, Paris, V. Palmé. </w:t>
      </w:r>
    </w:p>
  </w:footnote>
  <w:footnote w:id="892">
    <w:p w:rsidR="007F47B8" w:rsidRPr="005D2A18" w:rsidRDefault="007F47B8" w:rsidP="00C31960">
      <w:pPr>
        <w:pStyle w:val="Notedebasdepage"/>
      </w:pPr>
      <w:r>
        <w:rPr>
          <w:rStyle w:val="Appelnotedebasdep"/>
        </w:rPr>
        <w:footnoteRef/>
      </w:r>
      <w:r>
        <w:t xml:space="preserve"> $ Voyez notre commentaire sur</w:t>
      </w:r>
      <w:r w:rsidRPr="0044481F">
        <w:rPr>
          <w:rStyle w:val="italicus"/>
        </w:rPr>
        <w:t xml:space="preserve"> l’Évangile selon S. Matthieu,</w:t>
      </w:r>
      <w:r>
        <w:t xml:space="preserve"> p. 440. </w:t>
      </w:r>
    </w:p>
  </w:footnote>
  <w:footnote w:id="893">
    <w:p w:rsidR="007F47B8" w:rsidRPr="005D2A18" w:rsidRDefault="007F47B8" w:rsidP="00C31960">
      <w:pPr>
        <w:pStyle w:val="Notedebasdepage"/>
      </w:pPr>
      <w:r>
        <w:rPr>
          <w:rStyle w:val="Appelnotedebasdep"/>
        </w:rPr>
        <w:footnoteRef/>
      </w:r>
      <w:r>
        <w:t xml:space="preserve"> $ Voyez L. Kompert,</w:t>
      </w:r>
      <w:r w:rsidRPr="0044481F">
        <w:rPr>
          <w:rStyle w:val="italicus"/>
        </w:rPr>
        <w:t xml:space="preserve"> Nouvelles juives,</w:t>
      </w:r>
      <w:r>
        <w:t xml:space="preserve"> p. 2 de la traduct. franç., Paris 1873. </w:t>
      </w:r>
    </w:p>
  </w:footnote>
  <w:footnote w:id="894">
    <w:p w:rsidR="007F47B8" w:rsidRDefault="007F47B8" w:rsidP="00C31960">
      <w:pPr>
        <w:pStyle w:val="Notedebasdepage"/>
      </w:pPr>
      <w:r>
        <w:rPr>
          <w:rStyle w:val="Appelnotedebasdep"/>
        </w:rPr>
        <w:footnoteRef/>
      </w:r>
      <w:r>
        <w:t xml:space="preserve"> $ Voyez E. Coypel,</w:t>
      </w:r>
      <w:r w:rsidRPr="0044481F">
        <w:rPr>
          <w:rStyle w:val="italicus"/>
        </w:rPr>
        <w:t xml:space="preserve"> Le Judaïsme, esquisse des mœurs juives,</w:t>
      </w:r>
      <w:r>
        <w:t xml:space="preserve"> Mulhouse, 1876, p. 218 et suiv. Cf.</w:t>
      </w:r>
      <w:r w:rsidRPr="0044481F">
        <w:rPr>
          <w:rStyle w:val="italicus"/>
        </w:rPr>
        <w:t xml:space="preserve"> Joan.</w:t>
      </w:r>
      <w:r>
        <w:t xml:space="preserve"> </w:t>
      </w:r>
      <w:r w:rsidRPr="00E95932">
        <w:t xml:space="preserve">VII, 2 ; X, 22. </w:t>
      </w:r>
    </w:p>
  </w:footnote>
  <w:footnote w:id="895">
    <w:p w:rsidR="007F47B8" w:rsidRPr="005D2A18" w:rsidRDefault="007F47B8" w:rsidP="00C31960">
      <w:pPr>
        <w:pStyle w:val="Notedebasdepage"/>
        <w:rPr>
          <w:i/>
        </w:rPr>
      </w:pPr>
      <w:r>
        <w:rPr>
          <w:rStyle w:val="Appelnotedebasdep"/>
        </w:rPr>
        <w:footnoteRef/>
      </w:r>
      <w:r>
        <w:t xml:space="preserve"> $ </w:t>
      </w:r>
      <w:r w:rsidRPr="0044481F">
        <w:rPr>
          <w:rStyle w:val="italicus"/>
        </w:rPr>
        <w:t xml:space="preserve">Hieros. Berach., p. 11. </w:t>
      </w:r>
    </w:p>
  </w:footnote>
  <w:footnote w:id="896">
    <w:p w:rsidR="007F47B8" w:rsidRPr="005D2A18" w:rsidRDefault="007F47B8" w:rsidP="00C31960">
      <w:pPr>
        <w:pStyle w:val="Notedebasdepage"/>
      </w:pPr>
      <w:r>
        <w:rPr>
          <w:rStyle w:val="Appelnotedebasdep"/>
        </w:rPr>
        <w:footnoteRef/>
      </w:r>
      <w:r>
        <w:t xml:space="preserve"> </w:t>
      </w:r>
      <w:r>
        <w:rPr>
          <w:rStyle w:val="italicus"/>
        </w:rPr>
        <w:t xml:space="preserve">$ </w:t>
      </w:r>
      <w:r>
        <w:t>Traité</w:t>
      </w:r>
      <w:r w:rsidRPr="0044481F">
        <w:rPr>
          <w:rStyle w:val="italicus"/>
        </w:rPr>
        <w:t xml:space="preserve"> Gittin,</w:t>
      </w:r>
      <w:r>
        <w:t xml:space="preserve"> 61, a. </w:t>
      </w:r>
    </w:p>
  </w:footnote>
  <w:footnote w:id="897">
    <w:p w:rsidR="007F47B8" w:rsidRPr="005D2A18" w:rsidRDefault="007F47B8" w:rsidP="00C31960">
      <w:pPr>
        <w:pStyle w:val="Notedebasdepage"/>
      </w:pPr>
      <w:r>
        <w:rPr>
          <w:rStyle w:val="Appelnotedebasdep"/>
        </w:rPr>
        <w:footnoteRef/>
      </w:r>
      <w:r>
        <w:t xml:space="preserve"> $ Voir la</w:t>
      </w:r>
      <w:r w:rsidRPr="0044481F">
        <w:rPr>
          <w:rStyle w:val="italicus"/>
        </w:rPr>
        <w:t xml:space="preserve"> </w:t>
      </w:r>
      <w:r>
        <w:rPr>
          <w:rStyle w:val="italicus"/>
        </w:rPr>
        <w:t>Israe</w:t>
      </w:r>
      <w:r w:rsidRPr="0044481F">
        <w:rPr>
          <w:rStyle w:val="italicus"/>
        </w:rPr>
        <w:t>litische Wochenschrift,</w:t>
      </w:r>
      <w:r>
        <w:t xml:space="preserve"> 1882, n</w:t>
      </w:r>
      <w:r>
        <w:rPr>
          <w:vertAlign w:val="superscript"/>
        </w:rPr>
        <w:t>os</w:t>
      </w:r>
      <w:r>
        <w:t xml:space="preserve"> 14 et 15. </w:t>
      </w:r>
    </w:p>
  </w:footnote>
  <w:footnote w:id="898">
    <w:p w:rsidR="007F47B8" w:rsidRPr="005D2A18" w:rsidRDefault="007F47B8" w:rsidP="00C31960">
      <w:pPr>
        <w:pStyle w:val="Notedebasdepage"/>
      </w:pPr>
      <w:r>
        <w:rPr>
          <w:rStyle w:val="Appelnotedebasdep"/>
        </w:rPr>
        <w:footnoteRef/>
      </w:r>
      <w:r>
        <w:t xml:space="preserve"> $ Comparez</w:t>
      </w:r>
      <w:r w:rsidRPr="0044481F">
        <w:rPr>
          <w:rStyle w:val="italicus"/>
        </w:rPr>
        <w:t xml:space="preserve"> Joan.</w:t>
      </w:r>
      <w:r>
        <w:t xml:space="preserve"> XI, 31. </w:t>
      </w:r>
    </w:p>
  </w:footnote>
  <w:footnote w:id="899">
    <w:p w:rsidR="007F47B8" w:rsidRPr="005D2A18" w:rsidRDefault="007F47B8" w:rsidP="00C31960">
      <w:pPr>
        <w:pStyle w:val="Notedebasdepage"/>
      </w:pPr>
      <w:r>
        <w:rPr>
          <w:rStyle w:val="Appelnotedebasdep"/>
        </w:rPr>
        <w:footnoteRef/>
      </w:r>
      <w:r>
        <w:t xml:space="preserve"> $ Personne n’ignore que c’était une manie des Pharisiens de vouloir tout codifier, soit dans la vie civile et privée, soit dans la vie religieuse et publique. </w:t>
      </w:r>
    </w:p>
  </w:footnote>
  <w:footnote w:id="900">
    <w:p w:rsidR="007F47B8" w:rsidRPr="005D2A18" w:rsidRDefault="007F47B8" w:rsidP="00C31960">
      <w:pPr>
        <w:pStyle w:val="Notedebasdepage"/>
      </w:pPr>
      <w:r>
        <w:rPr>
          <w:rStyle w:val="Appelnotedebasdep"/>
        </w:rPr>
        <w:footnoteRef/>
      </w:r>
      <w:r>
        <w:t xml:space="preserve"> $ Littéralement, « tombeau des pères ». </w:t>
      </w:r>
    </w:p>
  </w:footnote>
  <w:footnote w:id="901">
    <w:p w:rsidR="007F47B8" w:rsidRPr="005D2A18" w:rsidRDefault="007F47B8" w:rsidP="00C31960">
      <w:pPr>
        <w:pStyle w:val="Notedebasdepage"/>
      </w:pPr>
      <w:r>
        <w:rPr>
          <w:rStyle w:val="Appelnotedebasdep"/>
        </w:rPr>
        <w:footnoteRef/>
      </w:r>
      <w:r>
        <w:t xml:space="preserve"> $ Voyez Hlawatsch,</w:t>
      </w:r>
      <w:r w:rsidRPr="0044481F">
        <w:rPr>
          <w:rStyle w:val="italicus"/>
        </w:rPr>
        <w:t xml:space="preserve"> Das Synagogenjahr,</w:t>
      </w:r>
      <w:r>
        <w:t xml:space="preserve"> Prague, 1862, p. 29. </w:t>
      </w:r>
    </w:p>
  </w:footnote>
  <w:footnote w:id="902">
    <w:p w:rsidR="007F47B8" w:rsidRPr="005D2A18" w:rsidRDefault="007F47B8" w:rsidP="00C31960">
      <w:pPr>
        <w:pStyle w:val="Notedebasdepage"/>
      </w:pPr>
      <w:r>
        <w:rPr>
          <w:rStyle w:val="Appelnotedebasdep"/>
        </w:rPr>
        <w:footnoteRef/>
      </w:r>
      <w:r>
        <w:t xml:space="preserve"> $ Nous avons dit plus haut que cette locution désigne le premier jour de l’année civile des Juifs. </w:t>
      </w:r>
    </w:p>
  </w:footnote>
  <w:footnote w:id="903">
    <w:p w:rsidR="007F47B8" w:rsidRPr="005D2A18" w:rsidRDefault="007F47B8" w:rsidP="00C31960">
      <w:pPr>
        <w:pStyle w:val="Notedebasdepage"/>
      </w:pPr>
      <w:r>
        <w:rPr>
          <w:rStyle w:val="Appelnotedebasdep"/>
        </w:rPr>
        <w:footnoteRef/>
      </w:r>
      <w:r>
        <w:t xml:space="preserve"> $ </w:t>
      </w:r>
      <w:r w:rsidRPr="0044481F">
        <w:rPr>
          <w:rStyle w:val="italicus"/>
        </w:rPr>
        <w:t>Halamoëd,</w:t>
      </w:r>
      <w:r>
        <w:t xml:space="preserve"> comme disent les Juifs. « On appelle ainsi ces riants quatre jours de demi-fête qui se présentent périodiquement deux fois par an, à la Pâque et aux Cabanes ». L. Kompert,</w:t>
      </w:r>
      <w:r w:rsidRPr="0044481F">
        <w:rPr>
          <w:rStyle w:val="italicus"/>
        </w:rPr>
        <w:t xml:space="preserve"> l. c.,</w:t>
      </w:r>
      <w:r>
        <w:t xml:space="preserve"> p. 137. Comp. D. Stauben, </w:t>
      </w:r>
      <w:r w:rsidRPr="0044481F">
        <w:rPr>
          <w:rStyle w:val="italicus"/>
        </w:rPr>
        <w:t>Scènes de la vie juive en Alsace,</w:t>
      </w:r>
      <w:r>
        <w:t xml:space="preserve"> Paris, 1860, p. 119 et s. </w:t>
      </w:r>
    </w:p>
  </w:footnote>
  <w:footnote w:id="904">
    <w:p w:rsidR="007F47B8" w:rsidRDefault="007F47B8" w:rsidP="00C31960">
      <w:pPr>
        <w:pStyle w:val="Notedebasdepage"/>
      </w:pPr>
      <w:r>
        <w:rPr>
          <w:rStyle w:val="Appelnotedebasdep"/>
        </w:rPr>
        <w:footnoteRef/>
      </w:r>
      <w:r>
        <w:t xml:space="preserve"> </w:t>
      </w:r>
      <w:r w:rsidRPr="00E95932">
        <w:t>$ Voyez Léon de Modène,</w:t>
      </w:r>
      <w:r w:rsidRPr="0044481F">
        <w:rPr>
          <w:rStyle w:val="italicus"/>
        </w:rPr>
        <w:t xml:space="preserve"> </w:t>
      </w:r>
      <w:r>
        <w:rPr>
          <w:rStyle w:val="italicus"/>
        </w:rPr>
        <w:t>Cérémonies et coutumes qui s’ob</w:t>
      </w:r>
      <w:r w:rsidRPr="0044481F">
        <w:rPr>
          <w:rStyle w:val="italicus"/>
        </w:rPr>
        <w:t xml:space="preserve">servent chez les Juifs, </w:t>
      </w:r>
      <w:r w:rsidRPr="00E95932">
        <w:t xml:space="preserve">5e partie, ch. IX et X. </w:t>
      </w:r>
    </w:p>
  </w:footnote>
  <w:footnote w:id="905">
    <w:p w:rsidR="007F47B8" w:rsidRPr="005D2A18" w:rsidRDefault="007F47B8" w:rsidP="00C31960">
      <w:pPr>
        <w:pStyle w:val="Notedebasdepage"/>
      </w:pPr>
      <w:r>
        <w:rPr>
          <w:rStyle w:val="Appelnotedebasdep"/>
        </w:rPr>
        <w:footnoteRef/>
      </w:r>
      <w:r>
        <w:t xml:space="preserve"> </w:t>
      </w:r>
      <w:r>
        <w:rPr>
          <w:rStyle w:val="italicus"/>
        </w:rPr>
        <w:t xml:space="preserve">$ </w:t>
      </w:r>
      <w:r>
        <w:t xml:space="preserve">Ce pronom désigne les morts enterrés dans le cimetière. </w:t>
      </w:r>
    </w:p>
  </w:footnote>
  <w:footnote w:id="906">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lang w:val="en-US"/>
        </w:rPr>
        <w:t xml:space="preserve">$ </w:t>
      </w:r>
      <w:r w:rsidRPr="00F84A0B">
        <w:rPr>
          <w:rStyle w:val="italicus"/>
          <w:lang w:val="en-US"/>
        </w:rPr>
        <w:t xml:space="preserve">Israelit. Gebetbuch in hebr. und deutscher Sprache, </w:t>
      </w:r>
      <w:r w:rsidRPr="00F84A0B">
        <w:rPr>
          <w:lang w:val="en-US"/>
        </w:rPr>
        <w:t xml:space="preserve">Rœdelheim, 1831, pages 422-423. </w:t>
      </w:r>
    </w:p>
  </w:footnote>
  <w:footnote w:id="907">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rStyle w:val="italicus"/>
          <w:lang w:val="en-US"/>
        </w:rPr>
        <w:t>$</w:t>
      </w:r>
      <w:r w:rsidRPr="00F84A0B">
        <w:rPr>
          <w:lang w:val="en-US"/>
        </w:rPr>
        <w:t xml:space="preserve"> S. A. Wolff,</w:t>
      </w:r>
      <w:r w:rsidRPr="00F84A0B">
        <w:rPr>
          <w:rStyle w:val="italicus"/>
          <w:lang w:val="en-US"/>
        </w:rPr>
        <w:t xml:space="preserve"> Iahrzeit und Todtenfeier in Israël,</w:t>
      </w:r>
      <w:r w:rsidRPr="00F84A0B">
        <w:rPr>
          <w:lang w:val="en-US"/>
        </w:rPr>
        <w:t xml:space="preserve"> Leipzig, 18</w:t>
      </w:r>
      <w:r>
        <w:rPr>
          <w:lang w:val="en-US"/>
        </w:rPr>
        <w:t>5</w:t>
      </w:r>
      <w:r w:rsidRPr="00F84A0B">
        <w:rPr>
          <w:lang w:val="en-US"/>
        </w:rPr>
        <w:t xml:space="preserve">3, p. 14 et 15. </w:t>
      </w:r>
    </w:p>
  </w:footnote>
  <w:footnote w:id="908">
    <w:p w:rsidR="007F47B8" w:rsidRPr="005D2A18" w:rsidRDefault="007F47B8" w:rsidP="00C31960">
      <w:pPr>
        <w:pStyle w:val="Notedebasdepage"/>
      </w:pPr>
      <w:r>
        <w:rPr>
          <w:rStyle w:val="Appelnotedebasdep"/>
        </w:rPr>
        <w:footnoteRef/>
      </w:r>
      <w:r>
        <w:t xml:space="preserve"> $ Voyez Buxtorf,</w:t>
      </w:r>
      <w:r w:rsidRPr="0044481F">
        <w:rPr>
          <w:rStyle w:val="italicus"/>
        </w:rPr>
        <w:t xml:space="preserve"> Synagóga judáica,</w:t>
      </w:r>
      <w:r>
        <w:t xml:space="preserve"> chap. XXXV, pages 436 et 437 de l’édition de Bâle, 1641. </w:t>
      </w:r>
    </w:p>
  </w:footnote>
  <w:footnote w:id="909">
    <w:p w:rsidR="007F47B8" w:rsidRDefault="007F47B8" w:rsidP="00C31960">
      <w:pPr>
        <w:pStyle w:val="Notedebasdepage"/>
      </w:pPr>
      <w:r>
        <w:rPr>
          <w:rStyle w:val="Appelnotedebasdep"/>
        </w:rPr>
        <w:footnoteRef/>
      </w:r>
      <w:r>
        <w:t xml:space="preserve"> $ </w:t>
      </w:r>
      <w:r w:rsidRPr="0044481F">
        <w:rPr>
          <w:rStyle w:val="italicus"/>
        </w:rPr>
        <w:t xml:space="preserve">Buxtorf, </w:t>
      </w:r>
      <w:r w:rsidRPr="00E95932">
        <w:t xml:space="preserve">ubi supra. </w:t>
      </w:r>
    </w:p>
  </w:footnote>
  <w:footnote w:id="910">
    <w:p w:rsidR="007F47B8" w:rsidRPr="005D2A18" w:rsidRDefault="007F47B8" w:rsidP="00C31960">
      <w:pPr>
        <w:pStyle w:val="Notedebasdepage"/>
      </w:pPr>
      <w:r>
        <w:rPr>
          <w:rStyle w:val="Appelnotedebasdep"/>
        </w:rPr>
        <w:footnoteRef/>
      </w:r>
      <w:r>
        <w:t xml:space="preserve"> </w:t>
      </w:r>
      <w:r>
        <w:rPr>
          <w:rStyle w:val="italicus"/>
        </w:rPr>
        <w:t xml:space="preserve">$ </w:t>
      </w:r>
      <w:r>
        <w:t>Voyez la carte de Jérusalem récemment publiée à Leipzig, par MM. Zimmermann et Socin, et notre</w:t>
      </w:r>
      <w:r w:rsidRPr="0044481F">
        <w:rPr>
          <w:rStyle w:val="italicus"/>
        </w:rPr>
        <w:t xml:space="preserve"> Atlas archéologique de la Bible,</w:t>
      </w:r>
      <w:r>
        <w:t xml:space="preserve"> planche XXIII, fig. 1. </w:t>
      </w:r>
    </w:p>
  </w:footnote>
  <w:footnote w:id="911">
    <w:p w:rsidR="007F47B8" w:rsidRDefault="007F47B8" w:rsidP="00C31960">
      <w:pPr>
        <w:pStyle w:val="Notedebasdepage"/>
      </w:pPr>
      <w:r>
        <w:rPr>
          <w:rStyle w:val="Appelnotedebasdep"/>
        </w:rPr>
        <w:footnoteRef/>
      </w:r>
      <w:r>
        <w:t xml:space="preserve"> $ </w:t>
      </w:r>
      <w:r w:rsidRPr="0044481F">
        <w:rPr>
          <w:rStyle w:val="italicus"/>
        </w:rPr>
        <w:t xml:space="preserve">Genèse, </w:t>
      </w:r>
      <w:r w:rsidRPr="00E95932">
        <w:t xml:space="preserve">III, 19. </w:t>
      </w:r>
    </w:p>
  </w:footnote>
  <w:footnote w:id="912">
    <w:p w:rsidR="007F47B8" w:rsidRPr="005D2A18" w:rsidRDefault="007F47B8" w:rsidP="00C31960">
      <w:pPr>
        <w:pStyle w:val="Notedebasdepage"/>
      </w:pPr>
      <w:r>
        <w:rPr>
          <w:rStyle w:val="Appelnotedebasdep"/>
        </w:rPr>
        <w:footnoteRef/>
      </w:r>
      <w:r>
        <w:t xml:space="preserve"> </w:t>
      </w:r>
      <w:r>
        <w:rPr>
          <w:rStyle w:val="italicus"/>
        </w:rPr>
        <w:t xml:space="preserve">$ </w:t>
      </w:r>
      <w:r>
        <w:t>Traité</w:t>
      </w:r>
      <w:r w:rsidRPr="0044481F">
        <w:rPr>
          <w:rStyle w:val="italicus"/>
        </w:rPr>
        <w:t xml:space="preserve"> Aboda zara,</w:t>
      </w:r>
      <w:r>
        <w:t xml:space="preserve"> ch. 1</w:t>
      </w:r>
      <w:r w:rsidRPr="00E95932">
        <w:rPr>
          <w:vertAlign w:val="superscript"/>
        </w:rPr>
        <w:t>er</w:t>
      </w:r>
      <w:r>
        <w:t xml:space="preserve">. </w:t>
      </w:r>
    </w:p>
  </w:footnote>
  <w:footnote w:id="913">
    <w:p w:rsidR="007F47B8" w:rsidRPr="005D2A18" w:rsidRDefault="007F47B8" w:rsidP="00C31960">
      <w:pPr>
        <w:pStyle w:val="Notedebasdepage"/>
      </w:pPr>
      <w:r>
        <w:rPr>
          <w:rStyle w:val="Appelnotedebasdep"/>
        </w:rPr>
        <w:footnoteRef/>
      </w:r>
      <w:r>
        <w:t xml:space="preserve"> $ </w:t>
      </w:r>
      <w:r w:rsidRPr="0044481F">
        <w:rPr>
          <w:rStyle w:val="italicus"/>
        </w:rPr>
        <w:t>H</w:t>
      </w:r>
      <w:r>
        <w:rPr>
          <w:rStyle w:val="italicus"/>
        </w:rPr>
        <w:t>ist.</w:t>
      </w:r>
      <w:r w:rsidRPr="0044481F">
        <w:rPr>
          <w:rStyle w:val="italicus"/>
        </w:rPr>
        <w:t>,</w:t>
      </w:r>
      <w:r>
        <w:t xml:space="preserve"> V, 5. </w:t>
      </w:r>
    </w:p>
  </w:footnote>
  <w:footnote w:id="914">
    <w:p w:rsidR="007F47B8" w:rsidRPr="005D2A18" w:rsidRDefault="007F47B8" w:rsidP="00C31960">
      <w:pPr>
        <w:pStyle w:val="Notedebasdepage"/>
      </w:pPr>
      <w:r>
        <w:rPr>
          <w:rStyle w:val="Appelnotedebasdep"/>
        </w:rPr>
        <w:footnoteRef/>
      </w:r>
      <w:r>
        <w:t xml:space="preserve"> $ Comp. I</w:t>
      </w:r>
      <w:r w:rsidRPr="0044481F">
        <w:rPr>
          <w:rStyle w:val="italicus"/>
        </w:rPr>
        <w:t xml:space="preserve"> Rois,</w:t>
      </w:r>
      <w:r>
        <w:t xml:space="preserve"> XXXI, 12 et 13 ;</w:t>
      </w:r>
      <w:r w:rsidRPr="0044481F">
        <w:rPr>
          <w:rStyle w:val="italicus"/>
        </w:rPr>
        <w:t xml:space="preserve"> Levit.</w:t>
      </w:r>
      <w:r>
        <w:t xml:space="preserve"> XX, 14 ; XXI, 9 ;</w:t>
      </w:r>
      <w:r w:rsidRPr="0044481F">
        <w:rPr>
          <w:rStyle w:val="italicus"/>
        </w:rPr>
        <w:t xml:space="preserve"> Amos, VI</w:t>
      </w:r>
      <w:r>
        <w:t xml:space="preserve">, 10. </w:t>
      </w:r>
    </w:p>
  </w:footnote>
  <w:footnote w:id="915">
    <w:p w:rsidR="007F47B8" w:rsidRDefault="007F47B8" w:rsidP="00C31960">
      <w:pPr>
        <w:pStyle w:val="Notedebasdepage"/>
      </w:pPr>
      <w:r>
        <w:rPr>
          <w:rStyle w:val="Appelnotedebasdep"/>
        </w:rPr>
        <w:footnoteRef/>
      </w:r>
      <w:r>
        <w:t xml:space="preserve"> </w:t>
      </w:r>
      <w:r w:rsidRPr="00E95932">
        <w:t>$ Entre autres Michælis,</w:t>
      </w:r>
      <w:r w:rsidRPr="0044481F">
        <w:rPr>
          <w:rStyle w:val="italicus"/>
        </w:rPr>
        <w:t xml:space="preserve"> De combustióne et humati</w:t>
      </w:r>
      <w:r>
        <w:rPr>
          <w:rStyle w:val="italicus"/>
        </w:rPr>
        <w:t>ó</w:t>
      </w:r>
      <w:r w:rsidRPr="0044481F">
        <w:rPr>
          <w:rStyle w:val="italicus"/>
        </w:rPr>
        <w:t>ne mortuórum apud Hebrǽos, in Syntagm. Comment.,</w:t>
      </w:r>
      <w:r w:rsidRPr="00E95932">
        <w:t xml:space="preserve"> t. I, p. 225. </w:t>
      </w:r>
    </w:p>
  </w:footnote>
  <w:footnote w:id="916">
    <w:p w:rsidR="007F47B8" w:rsidRPr="005D2A18" w:rsidRDefault="007F47B8" w:rsidP="00C31960">
      <w:pPr>
        <w:pStyle w:val="Notedebasdepage"/>
      </w:pPr>
      <w:r>
        <w:rPr>
          <w:rStyle w:val="Appelnotedebasdep"/>
        </w:rPr>
        <w:footnoteRef/>
      </w:r>
      <w:r>
        <w:t xml:space="preserve"> </w:t>
      </w:r>
      <w:r>
        <w:rPr>
          <w:rStyle w:val="italicus"/>
        </w:rPr>
        <w:t xml:space="preserve">$ </w:t>
      </w:r>
      <w:r>
        <w:t>Voyez en particulier la</w:t>
      </w:r>
      <w:r w:rsidRPr="0044481F">
        <w:rPr>
          <w:rStyle w:val="italicus"/>
        </w:rPr>
        <w:t xml:space="preserve"> Gazelle générale du judaïsme,</w:t>
      </w:r>
      <w:r>
        <w:t xml:space="preserve"> 1874, n° 14. </w:t>
      </w:r>
    </w:p>
  </w:footnote>
  <w:footnote w:id="917">
    <w:p w:rsidR="007F47B8" w:rsidRPr="005D2A18" w:rsidRDefault="007F47B8" w:rsidP="00C31960">
      <w:pPr>
        <w:pStyle w:val="Notedebasdepage"/>
      </w:pPr>
      <w:r>
        <w:rPr>
          <w:rStyle w:val="Appelnotedebasdep"/>
        </w:rPr>
        <w:footnoteRef/>
      </w:r>
      <w:r w:rsidRPr="005D2A18">
        <w:rPr>
          <w:lang w:val="en-US"/>
        </w:rPr>
        <w:t xml:space="preserve"> </w:t>
      </w:r>
      <w:r w:rsidRPr="00F84A0B">
        <w:rPr>
          <w:lang w:val="en-US"/>
        </w:rPr>
        <w:t>$ Cf. Estius,</w:t>
      </w:r>
      <w:r w:rsidRPr="00F84A0B">
        <w:rPr>
          <w:rStyle w:val="italicus"/>
          <w:lang w:val="en-US"/>
        </w:rPr>
        <w:t xml:space="preserve"> Adnot. ad Joan.</w:t>
      </w:r>
      <w:r w:rsidRPr="00F84A0B">
        <w:rPr>
          <w:smallCaps/>
          <w:lang w:val="en-US"/>
        </w:rPr>
        <w:t xml:space="preserve"> XIII</w:t>
      </w:r>
      <w:r w:rsidRPr="00F84A0B">
        <w:rPr>
          <w:lang w:val="en-US"/>
        </w:rPr>
        <w:t>, 26, Cornel. a Lap.</w:t>
      </w:r>
      <w:r w:rsidRPr="00F84A0B">
        <w:rPr>
          <w:rStyle w:val="italicus"/>
          <w:lang w:val="en-US"/>
        </w:rPr>
        <w:t xml:space="preserve"> in Matth.</w:t>
      </w:r>
      <w:r w:rsidRPr="00F84A0B">
        <w:rPr>
          <w:lang w:val="en-US"/>
        </w:rPr>
        <w:t xml:space="preserve"> </w:t>
      </w:r>
      <w:r>
        <w:t xml:space="preserve">XXVI, 20 (éd. Vivès, t. XV, p. 551 et suiv.). Entre autres, d’après ce dernier : Origène, S. Cyrille, S. Chrysostome, S. Ambroise, S. Léon, S. Cyprien et S. Augustin ; plus tard, parmi les théologiens, Raban Maur, le vénérable Bède, S. Thomas d’Aquin et Suarez (IIIe p., q. 73, a. 5, disp. 41, sect. 3). </w:t>
      </w:r>
    </w:p>
  </w:footnote>
  <w:footnote w:id="918">
    <w:p w:rsidR="007F47B8" w:rsidRPr="005D2A18" w:rsidRDefault="007F47B8" w:rsidP="00C31960">
      <w:pPr>
        <w:pStyle w:val="Notedebasdepage"/>
      </w:pPr>
      <w:r>
        <w:rPr>
          <w:rStyle w:val="Appelnotedebasdep"/>
        </w:rPr>
        <w:footnoteRef/>
      </w:r>
      <w:r>
        <w:t xml:space="preserve"> $ En Allemagne du moins, ainsi qu’en Angleterre, car nous croyons qu’en France on admet toujours la présence de Judas à la cène eucharistique. Nous connaissons aussi deux auteurs allemands contemporains qui défendent l’ancien sentiment : Reischl,</w:t>
      </w:r>
      <w:r w:rsidRPr="0044481F">
        <w:rPr>
          <w:rStyle w:val="italicus"/>
        </w:rPr>
        <w:t xml:space="preserve"> Die heilig. Schriften des N. Testam., </w:t>
      </w:r>
      <w:r>
        <w:t>p. 316, et Schuster,</w:t>
      </w:r>
      <w:r w:rsidRPr="0044481F">
        <w:rPr>
          <w:rStyle w:val="italicus"/>
        </w:rPr>
        <w:t xml:space="preserve"> Handbuch zur bibl. Geschichte,</w:t>
      </w:r>
      <w:r>
        <w:t xml:space="preserve"> t. II, p. 343 et suiv. Voyez G. Fouard,</w:t>
      </w:r>
      <w:r w:rsidRPr="0044481F">
        <w:rPr>
          <w:rStyle w:val="italicus"/>
        </w:rPr>
        <w:t xml:space="preserve"> La vie de N. S. Jésus-Christ,</w:t>
      </w:r>
      <w:r>
        <w:t xml:space="preserve"> t. II, p. 343 et suiv. de la seconde édition. </w:t>
      </w:r>
    </w:p>
  </w:footnote>
  <w:footnote w:id="919">
    <w:p w:rsidR="007F47B8" w:rsidRPr="005D2A18" w:rsidRDefault="007F47B8" w:rsidP="00C31960">
      <w:pPr>
        <w:pStyle w:val="Notedebasdepage"/>
      </w:pPr>
      <w:r>
        <w:rPr>
          <w:rStyle w:val="Appelnotedebasdep"/>
        </w:rPr>
        <w:footnoteRef/>
      </w:r>
      <w:r>
        <w:t xml:space="preserve"> $ </w:t>
      </w:r>
      <w:r w:rsidRPr="0044481F">
        <w:rPr>
          <w:rStyle w:val="italicus"/>
        </w:rPr>
        <w:t>Matth.</w:t>
      </w:r>
      <w:r>
        <w:t xml:space="preserve"> XXVI, 21-30 ;</w:t>
      </w:r>
      <w:r w:rsidRPr="0044481F">
        <w:rPr>
          <w:rStyle w:val="italicus"/>
        </w:rPr>
        <w:t xml:space="preserve"> Marc,</w:t>
      </w:r>
      <w:r>
        <w:t xml:space="preserve"> XIV, 18-26. Voyez, pour plus de commodité, ces passages mis en regard dans notre</w:t>
      </w:r>
      <w:r w:rsidRPr="0044481F">
        <w:rPr>
          <w:rStyle w:val="italicus"/>
        </w:rPr>
        <w:t xml:space="preserve"> Synopsis evangélica,</w:t>
      </w:r>
      <w:r>
        <w:t xml:space="preserve"> Paris, 1882, p. 111 et suiv. </w:t>
      </w:r>
    </w:p>
  </w:footnote>
  <w:footnote w:id="920">
    <w:p w:rsidR="007F47B8" w:rsidRPr="005D2A18" w:rsidRDefault="007F47B8" w:rsidP="00C31960">
      <w:pPr>
        <w:pStyle w:val="Notedebasdepage"/>
      </w:pPr>
      <w:r>
        <w:rPr>
          <w:rStyle w:val="Appelnotedebasdep"/>
        </w:rPr>
        <w:footnoteRef/>
      </w:r>
      <w:r>
        <w:t xml:space="preserve"> $ </w:t>
      </w:r>
      <w:r w:rsidRPr="0044481F">
        <w:rPr>
          <w:rStyle w:val="italicus"/>
        </w:rPr>
        <w:t>Luc.</w:t>
      </w:r>
      <w:r>
        <w:t xml:space="preserve"> XXII, 17-31. Voyez notre commentaire, dans la</w:t>
      </w:r>
      <w:r>
        <w:rPr>
          <w:rStyle w:val="italicus"/>
        </w:rPr>
        <w:t xml:space="preserve"> Sainte B</w:t>
      </w:r>
      <w:r w:rsidRPr="0044481F">
        <w:rPr>
          <w:rStyle w:val="italicus"/>
        </w:rPr>
        <w:t>ible</w:t>
      </w:r>
      <w:r>
        <w:t xml:space="preserve"> de M. Lethielleux, Paris, 1882. </w:t>
      </w:r>
    </w:p>
  </w:footnote>
  <w:footnote w:id="921">
    <w:p w:rsidR="007F47B8" w:rsidRPr="005D2A18" w:rsidRDefault="007F47B8" w:rsidP="00C31960">
      <w:pPr>
        <w:pStyle w:val="Notedebasdepage"/>
      </w:pPr>
      <w:r>
        <w:rPr>
          <w:rStyle w:val="Appelnotedebasdep"/>
        </w:rPr>
        <w:footnoteRef/>
      </w:r>
      <w:r>
        <w:t xml:space="preserve"> $ </w:t>
      </w:r>
      <w:r w:rsidRPr="0044481F">
        <w:rPr>
          <w:rStyle w:val="italicus"/>
        </w:rPr>
        <w:t>Joan.</w:t>
      </w:r>
      <w:r>
        <w:t xml:space="preserve"> XIII, 18-30. </w:t>
      </w:r>
    </w:p>
  </w:footnote>
  <w:footnote w:id="922">
    <w:p w:rsidR="007F47B8" w:rsidRPr="005D2A18" w:rsidRDefault="007F47B8" w:rsidP="00C31960">
      <w:pPr>
        <w:pStyle w:val="Notedebasdepage"/>
      </w:pPr>
      <w:r>
        <w:rPr>
          <w:rStyle w:val="Appelnotedebasdep"/>
        </w:rPr>
        <w:footnoteRef/>
      </w:r>
      <w:r>
        <w:t xml:space="preserve"> $ </w:t>
      </w:r>
      <w:r>
        <w:rPr>
          <w:smallCaps/>
        </w:rPr>
        <w:t>XXII,</w:t>
      </w:r>
      <w:r>
        <w:t xml:space="preserve"> 14-31. </w:t>
      </w:r>
    </w:p>
  </w:footnote>
  <w:footnote w:id="923">
    <w:p w:rsidR="007F47B8" w:rsidRDefault="007F47B8" w:rsidP="00C31960">
      <w:pPr>
        <w:pStyle w:val="Notedebasdepage"/>
      </w:pPr>
      <w:r>
        <w:rPr>
          <w:rStyle w:val="Appelnotedebasdep"/>
        </w:rPr>
        <w:footnoteRef/>
      </w:r>
      <w:r>
        <w:t xml:space="preserve"> </w:t>
      </w:r>
      <w:r w:rsidRPr="00B9633A">
        <w:t>$ Cf. Langen,</w:t>
      </w:r>
      <w:r w:rsidRPr="0044481F">
        <w:rPr>
          <w:rStyle w:val="italicus"/>
        </w:rPr>
        <w:t xml:space="preserve"> Die letzten Lebenstage Jesu, </w:t>
      </w:r>
      <w:r w:rsidRPr="00B9633A">
        <w:t>p. 157 ;</w:t>
      </w:r>
      <w:r w:rsidRPr="0044481F">
        <w:rPr>
          <w:rStyle w:val="italicus"/>
        </w:rPr>
        <w:t xml:space="preserve"> Lichtenstein, Lebensgeschichte Jesu, </w:t>
      </w:r>
      <w:r w:rsidRPr="00B9633A">
        <w:t xml:space="preserve">p. 401. </w:t>
      </w:r>
    </w:p>
  </w:footnote>
  <w:footnote w:id="924">
    <w:p w:rsidR="007F47B8" w:rsidRPr="005D2A18" w:rsidRDefault="007F47B8" w:rsidP="00C31960">
      <w:pPr>
        <w:pStyle w:val="Notedebasdepage"/>
      </w:pPr>
      <w:r>
        <w:rPr>
          <w:rStyle w:val="Appelnotedebasdep"/>
        </w:rPr>
        <w:footnoteRef/>
      </w:r>
      <w:r>
        <w:t xml:space="preserve"> </w:t>
      </w:r>
      <w:r>
        <w:rPr>
          <w:rStyle w:val="italicus"/>
        </w:rPr>
        <w:t xml:space="preserve">$ </w:t>
      </w:r>
      <w:r>
        <w:t xml:space="preserve">Ainsi pensent S. Jean Chrysostome et S. Bernard. </w:t>
      </w:r>
    </w:p>
  </w:footnote>
  <w:footnote w:id="925">
    <w:p w:rsidR="007F47B8" w:rsidRPr="005D2A18" w:rsidRDefault="007F47B8" w:rsidP="00C31960">
      <w:pPr>
        <w:pStyle w:val="Notedebasdepage"/>
      </w:pPr>
      <w:r>
        <w:rPr>
          <w:rStyle w:val="Appelnotedebasdep"/>
        </w:rPr>
        <w:footnoteRef/>
      </w:r>
      <w:r>
        <w:t xml:space="preserve"> $ C’est l’opinion de Théophylacte. Cf. Reischl,</w:t>
      </w:r>
      <w:r w:rsidRPr="0044481F">
        <w:rPr>
          <w:rStyle w:val="italicus"/>
        </w:rPr>
        <w:t xml:space="preserve"> loc. cit.,</w:t>
      </w:r>
      <w:r>
        <w:t xml:space="preserve"> p. 316. Ce dernier sentiment est le plus probable. </w:t>
      </w:r>
    </w:p>
  </w:footnote>
  <w:footnote w:id="926">
    <w:p w:rsidR="007F47B8" w:rsidRDefault="007F47B8" w:rsidP="00C31960">
      <w:pPr>
        <w:pStyle w:val="Notedebasdepage"/>
      </w:pPr>
      <w:r>
        <w:rPr>
          <w:rStyle w:val="Appelnotedebasdep"/>
        </w:rPr>
        <w:footnoteRef/>
      </w:r>
      <w:r>
        <w:t xml:space="preserve"> </w:t>
      </w:r>
      <w:r w:rsidRPr="00B9633A">
        <w:t xml:space="preserve">$ I Cor. XI, 23-25. </w:t>
      </w:r>
    </w:p>
  </w:footnote>
  <w:footnote w:id="927">
    <w:p w:rsidR="007F47B8" w:rsidRPr="005D2A18" w:rsidRDefault="007F47B8" w:rsidP="00C31960">
      <w:pPr>
        <w:pStyle w:val="Notedebasdepage"/>
      </w:pPr>
      <w:r>
        <w:rPr>
          <w:rStyle w:val="Appelnotedebasdep"/>
        </w:rPr>
        <w:footnoteRef/>
      </w:r>
      <w:r>
        <w:t xml:space="preserve"> $ Nous empruntons ici le raisonnement et presque les paroles du Dr Langen,</w:t>
      </w:r>
      <w:r w:rsidRPr="0044481F">
        <w:rPr>
          <w:rStyle w:val="italicus"/>
        </w:rPr>
        <w:t xml:space="preserve"> loc. cit.,</w:t>
      </w:r>
      <w:r>
        <w:t xml:space="preserve"> p. 192. Dans son excellent ouvrage sur la Passion et la mort de Jésus, il a bien traité cette question. </w:t>
      </w:r>
    </w:p>
  </w:footnote>
  <w:footnote w:id="928">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lang w:val="en-US"/>
        </w:rPr>
        <w:t>$ Cf. Langen,</w:t>
      </w:r>
      <w:r w:rsidRPr="00F84A0B">
        <w:rPr>
          <w:rStyle w:val="italicus"/>
          <w:lang w:val="en-US"/>
        </w:rPr>
        <w:t xml:space="preserve"> loc. cit.,</w:t>
      </w:r>
      <w:r w:rsidRPr="00F84A0B">
        <w:rPr>
          <w:lang w:val="en-US"/>
        </w:rPr>
        <w:t xml:space="preserve"> p. 169. </w:t>
      </w:r>
    </w:p>
  </w:footnote>
  <w:footnote w:id="929">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lang w:val="en-US"/>
        </w:rPr>
        <w:t xml:space="preserve">$ </w:t>
      </w:r>
      <w:r w:rsidRPr="00F84A0B">
        <w:rPr>
          <w:rStyle w:val="italicus"/>
          <w:lang w:val="en-US"/>
        </w:rPr>
        <w:t>Joan.</w:t>
      </w:r>
      <w:r w:rsidRPr="00F84A0B">
        <w:rPr>
          <w:lang w:val="en-US"/>
        </w:rPr>
        <w:t xml:space="preserve"> XIII, 31. </w:t>
      </w:r>
    </w:p>
  </w:footnote>
  <w:footnote w:id="930">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lang w:val="en-US"/>
        </w:rPr>
        <w:t xml:space="preserve">$ </w:t>
      </w:r>
      <w:r w:rsidRPr="00F84A0B">
        <w:rPr>
          <w:rStyle w:val="italicus"/>
          <w:lang w:val="en-US"/>
        </w:rPr>
        <w:t>Joan.</w:t>
      </w:r>
      <w:r w:rsidRPr="00F84A0B">
        <w:rPr>
          <w:lang w:val="en-US"/>
        </w:rPr>
        <w:t xml:space="preserve"> XIII, 1-17 ; 18-30. </w:t>
      </w:r>
    </w:p>
  </w:footnote>
  <w:footnote w:id="931">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lang w:val="en-US"/>
        </w:rPr>
        <w:t xml:space="preserve">$ </w:t>
      </w:r>
      <w:r w:rsidRPr="00F84A0B">
        <w:rPr>
          <w:rStyle w:val="italicus"/>
          <w:lang w:val="en-US"/>
        </w:rPr>
        <w:t xml:space="preserve">In Joan. </w:t>
      </w:r>
      <w:r w:rsidRPr="00F84A0B">
        <w:rPr>
          <w:lang w:val="en-US"/>
        </w:rPr>
        <w:t xml:space="preserve">cap. VI. </w:t>
      </w:r>
    </w:p>
  </w:footnote>
  <w:footnote w:id="932">
    <w:p w:rsidR="007F47B8" w:rsidRPr="00A52917" w:rsidRDefault="007F47B8" w:rsidP="00C31960">
      <w:pPr>
        <w:pStyle w:val="Notedebasdepage"/>
      </w:pPr>
      <w:r>
        <w:rPr>
          <w:rStyle w:val="Appelnotedebasdep"/>
        </w:rPr>
        <w:footnoteRef/>
      </w:r>
      <w:r w:rsidRPr="00A52917">
        <w:t xml:space="preserve"> </w:t>
      </w:r>
      <w:r w:rsidRPr="00A52917">
        <w:rPr>
          <w:rStyle w:val="italicus"/>
        </w:rPr>
        <w:t xml:space="preserve">$ Comment. </w:t>
      </w:r>
      <w:r w:rsidRPr="00A52917">
        <w:t xml:space="preserve">in h. l. </w:t>
      </w:r>
    </w:p>
  </w:footnote>
  <w:footnote w:id="933">
    <w:p w:rsidR="007F47B8" w:rsidRPr="005D2A18" w:rsidRDefault="007F47B8" w:rsidP="00C31960">
      <w:pPr>
        <w:pStyle w:val="Notedebasdepage"/>
      </w:pPr>
      <w:r>
        <w:rPr>
          <w:rStyle w:val="Appelnotedebasdep"/>
        </w:rPr>
        <w:footnoteRef/>
      </w:r>
      <w:r>
        <w:t xml:space="preserve"> </w:t>
      </w:r>
      <w:r>
        <w:rPr>
          <w:rStyle w:val="italicus"/>
        </w:rPr>
        <w:t xml:space="preserve">$ </w:t>
      </w:r>
      <w:r>
        <w:t>Dans cette hypothèse, Judas aurait seulement communié sous l’espèce du pain. Son départ entre les deux consécrations aurait troublé d’une manière considérable les divins mystères. Cf. Schuster,</w:t>
      </w:r>
      <w:r w:rsidRPr="0044481F">
        <w:rPr>
          <w:rStyle w:val="italicus"/>
        </w:rPr>
        <w:t xml:space="preserve"> loc. cit.,</w:t>
      </w:r>
      <w:r>
        <w:t xml:space="preserve"> p. 346 ; Langen,</w:t>
      </w:r>
      <w:r w:rsidRPr="0044481F">
        <w:rPr>
          <w:rStyle w:val="italicus"/>
        </w:rPr>
        <w:t xml:space="preserve"> loc. cit.,</w:t>
      </w:r>
      <w:r>
        <w:t xml:space="preserve"> p. 164, n. 2. </w:t>
      </w:r>
    </w:p>
  </w:footnote>
  <w:footnote w:id="934">
    <w:p w:rsidR="007F47B8" w:rsidRPr="005D2A18" w:rsidRDefault="007F47B8" w:rsidP="00C31960">
      <w:pPr>
        <w:pStyle w:val="Notedebasdepage"/>
      </w:pPr>
      <w:r>
        <w:rPr>
          <w:rStyle w:val="Appelnotedebasdep"/>
        </w:rPr>
        <w:footnoteRef/>
      </w:r>
      <w:r>
        <w:t xml:space="preserve"> $ </w:t>
      </w:r>
      <w:r w:rsidRPr="0044481F">
        <w:rPr>
          <w:rStyle w:val="italicus"/>
        </w:rPr>
        <w:t>Hilcoth Chômez,</w:t>
      </w:r>
      <w:r>
        <w:t xml:space="preserve"> § 9. On pouvait l’offrir même après la récitation des « grâces ». </w:t>
      </w:r>
    </w:p>
  </w:footnote>
  <w:footnote w:id="935">
    <w:p w:rsidR="007F47B8" w:rsidRPr="005D2A18" w:rsidRDefault="007F47B8" w:rsidP="00C31960">
      <w:pPr>
        <w:pStyle w:val="Notedebasdepage"/>
      </w:pPr>
      <w:r>
        <w:rPr>
          <w:rStyle w:val="Appelnotedebasdep"/>
        </w:rPr>
        <w:footnoteRef/>
      </w:r>
      <w:r>
        <w:t xml:space="preserve"> $ Voyez </w:t>
      </w:r>
      <w:r w:rsidRPr="00B9633A">
        <w:t>notre commentaire sur l’</w:t>
      </w:r>
      <w:r w:rsidRPr="0044481F">
        <w:rPr>
          <w:rStyle w:val="italicus"/>
        </w:rPr>
        <w:t>Évangile selon S. Matthieu,</w:t>
      </w:r>
      <w:r>
        <w:t xml:space="preserve"> pages 504, 506 et 508. </w:t>
      </w:r>
    </w:p>
  </w:footnote>
  <w:footnote w:id="936">
    <w:p w:rsidR="007F47B8" w:rsidRPr="005D2A18" w:rsidRDefault="007F47B8" w:rsidP="00C31960">
      <w:pPr>
        <w:pStyle w:val="Notedebasdepage"/>
      </w:pPr>
      <w:r>
        <w:rPr>
          <w:rStyle w:val="Appelnotedebasdep"/>
        </w:rPr>
        <w:footnoteRef/>
      </w:r>
      <w:r>
        <w:t xml:space="preserve"> $ Ps. CXIV-CXVII (hébr.</w:t>
      </w:r>
      <w:r>
        <w:rPr>
          <w:smallCaps/>
        </w:rPr>
        <w:t xml:space="preserve"> CXV-CXVIII).</w:t>
      </w:r>
      <w:r>
        <w:t xml:space="preserve"> </w:t>
      </w:r>
    </w:p>
  </w:footnote>
  <w:footnote w:id="937">
    <w:p w:rsidR="007F47B8" w:rsidRPr="005D2A18" w:rsidRDefault="007F47B8" w:rsidP="00C31960">
      <w:pPr>
        <w:pStyle w:val="Notedebasdepage"/>
      </w:pPr>
      <w:r>
        <w:rPr>
          <w:rStyle w:val="Appelnotedebasdep"/>
        </w:rPr>
        <w:footnoteRef/>
      </w:r>
      <w:r>
        <w:t xml:space="preserve"> $ </w:t>
      </w:r>
      <w:r w:rsidRPr="0044481F">
        <w:rPr>
          <w:rStyle w:val="italicus"/>
        </w:rPr>
        <w:t>Luc.</w:t>
      </w:r>
      <w:r>
        <w:t xml:space="preserve"> XXII, 14 : « Et cum facta esset hora, discúbuit, et duódecim apóstoli cum eo ». Cf.</w:t>
      </w:r>
      <w:r w:rsidRPr="0044481F">
        <w:rPr>
          <w:rStyle w:val="italicus"/>
        </w:rPr>
        <w:t xml:space="preserve"> Matth.</w:t>
      </w:r>
      <w:r>
        <w:t xml:space="preserve"> XXVI, 20 ;</w:t>
      </w:r>
      <w:r w:rsidRPr="0044481F">
        <w:rPr>
          <w:rStyle w:val="italicus"/>
        </w:rPr>
        <w:t xml:space="preserve"> Marc,</w:t>
      </w:r>
      <w:r>
        <w:t xml:space="preserve"> XIV, 17. </w:t>
      </w:r>
    </w:p>
  </w:footnote>
  <w:footnote w:id="938">
    <w:p w:rsidR="007F47B8" w:rsidRPr="005D2A18" w:rsidRDefault="007F47B8" w:rsidP="00C31960">
      <w:pPr>
        <w:pStyle w:val="Notedebasdepage"/>
      </w:pPr>
      <w:r>
        <w:rPr>
          <w:rStyle w:val="Appelnotedebasdep"/>
        </w:rPr>
        <w:footnoteRef/>
      </w:r>
      <w:r>
        <w:t xml:space="preserve"> $ </w:t>
      </w:r>
      <w:r w:rsidRPr="0044481F">
        <w:rPr>
          <w:rStyle w:val="italicus"/>
        </w:rPr>
        <w:t>Matth.</w:t>
      </w:r>
      <w:r>
        <w:t xml:space="preserve"> XXVI, 27 : « Et accípiens cálicem, grátias egit, et dedit illis, dicens : Bíbite ex hoc omnes ».</w:t>
      </w:r>
      <w:r w:rsidRPr="0044481F">
        <w:rPr>
          <w:rStyle w:val="italicus"/>
        </w:rPr>
        <w:t xml:space="preserve"> Marc,</w:t>
      </w:r>
      <w:r>
        <w:t xml:space="preserve"> XIV, 23 : « Et bibérunt ex illo omnes ». </w:t>
      </w:r>
    </w:p>
  </w:footnote>
  <w:footnote w:id="939">
    <w:p w:rsidR="007F47B8" w:rsidRPr="005D2A18" w:rsidRDefault="007F47B8" w:rsidP="00C31960">
      <w:pPr>
        <w:pStyle w:val="Notedebasdepage"/>
      </w:pPr>
      <w:r>
        <w:rPr>
          <w:rStyle w:val="Appelnotedebasdep"/>
        </w:rPr>
        <w:footnoteRef/>
      </w:r>
      <w:r>
        <w:t xml:space="preserve"> $ </w:t>
      </w:r>
      <w:r w:rsidRPr="0044481F">
        <w:rPr>
          <w:rStyle w:val="italicus"/>
        </w:rPr>
        <w:t>Loc. cit.,</w:t>
      </w:r>
      <w:r>
        <w:t xml:space="preserve"> p. 345, note. </w:t>
      </w:r>
    </w:p>
  </w:footnote>
  <w:footnote w:id="940">
    <w:p w:rsidR="007F47B8" w:rsidRPr="005D2A18" w:rsidRDefault="007F47B8" w:rsidP="00C31960">
      <w:pPr>
        <w:pStyle w:val="Notedebasdepage"/>
      </w:pPr>
      <w:r>
        <w:rPr>
          <w:rStyle w:val="Appelnotedebasdep"/>
        </w:rPr>
        <w:footnoteRef/>
      </w:r>
      <w:r>
        <w:t xml:space="preserve"> $ Cf. Langen,</w:t>
      </w:r>
      <w:r w:rsidRPr="0044481F">
        <w:rPr>
          <w:rStyle w:val="italicus"/>
        </w:rPr>
        <w:t xml:space="preserve"> loc. cit.,</w:t>
      </w:r>
      <w:r>
        <w:t xml:space="preserve"> p. 167. </w:t>
      </w:r>
    </w:p>
  </w:footnote>
  <w:footnote w:id="941">
    <w:p w:rsidR="007F47B8" w:rsidRPr="005D2A18" w:rsidRDefault="007F47B8" w:rsidP="00C31960">
      <w:pPr>
        <w:pStyle w:val="Notedebasdepage"/>
      </w:pPr>
      <w:r>
        <w:rPr>
          <w:rStyle w:val="Appelnotedebasdep"/>
        </w:rPr>
        <w:footnoteRef/>
      </w:r>
      <w:r>
        <w:t xml:space="preserve"> $ </w:t>
      </w:r>
      <w:r w:rsidRPr="0044481F">
        <w:rPr>
          <w:rStyle w:val="italicus"/>
        </w:rPr>
        <w:t xml:space="preserve">Joan. </w:t>
      </w:r>
      <w:r w:rsidRPr="00D83235">
        <w:t>VI,</w:t>
      </w:r>
      <w:r>
        <w:t xml:space="preserve"> 70-71 (Vulg., 71-72). </w:t>
      </w:r>
    </w:p>
  </w:footnote>
  <w:footnote w:id="942">
    <w:p w:rsidR="007F47B8" w:rsidRPr="005D2A18" w:rsidRDefault="007F47B8" w:rsidP="00C31960">
      <w:pPr>
        <w:pStyle w:val="Notedebasdepage"/>
      </w:pPr>
      <w:r>
        <w:rPr>
          <w:rStyle w:val="Appelnotedebasdep"/>
        </w:rPr>
        <w:footnoteRef/>
      </w:r>
      <w:r>
        <w:t xml:space="preserve"> $ Schuster,</w:t>
      </w:r>
      <w:r w:rsidRPr="0044481F">
        <w:rPr>
          <w:rStyle w:val="italicus"/>
        </w:rPr>
        <w:t xml:space="preserve"> loc. cit.,</w:t>
      </w:r>
      <w:r>
        <w:t xml:space="preserve"> p. 345. </w:t>
      </w:r>
    </w:p>
  </w:footnote>
  <w:footnote w:id="943">
    <w:p w:rsidR="007F47B8" w:rsidRPr="005D2A18" w:rsidRDefault="007F47B8" w:rsidP="00C31960">
      <w:pPr>
        <w:pStyle w:val="Notedebasdepage"/>
      </w:pPr>
      <w:r>
        <w:rPr>
          <w:rStyle w:val="Appelnotedebasdep"/>
        </w:rPr>
        <w:footnoteRef/>
      </w:r>
      <w:r>
        <w:t xml:space="preserve"> $ Chap. I, versets 16-22. </w:t>
      </w:r>
    </w:p>
  </w:footnote>
  <w:footnote w:id="944">
    <w:p w:rsidR="007F47B8" w:rsidRDefault="007F47B8" w:rsidP="00C31960">
      <w:pPr>
        <w:pStyle w:val="Notedebasdepage"/>
      </w:pPr>
      <w:r>
        <w:rPr>
          <w:rStyle w:val="Appelnotedebasdep"/>
        </w:rPr>
        <w:footnoteRef/>
      </w:r>
      <w:r>
        <w:t xml:space="preserve"> $ </w:t>
      </w:r>
      <w:r w:rsidRPr="0044481F">
        <w:rPr>
          <w:rStyle w:val="italicus"/>
        </w:rPr>
        <w:t xml:space="preserve">Loc. cit., </w:t>
      </w:r>
      <w:r w:rsidRPr="00D83235">
        <w:t xml:space="preserve">p. 344. </w:t>
      </w:r>
    </w:p>
  </w:footnote>
  <w:footnote w:id="945">
    <w:p w:rsidR="007F47B8" w:rsidRPr="00A52917" w:rsidRDefault="007F47B8" w:rsidP="00C31960">
      <w:pPr>
        <w:pStyle w:val="Notedebasdepage"/>
      </w:pPr>
      <w:r>
        <w:rPr>
          <w:rStyle w:val="Appelnotedebasdep"/>
        </w:rPr>
        <w:footnoteRef/>
      </w:r>
      <w:r>
        <w:t xml:space="preserve"> </w:t>
      </w:r>
      <w:r>
        <w:rPr>
          <w:rStyle w:val="italicus"/>
        </w:rPr>
        <w:t xml:space="preserve">$ </w:t>
      </w:r>
      <w:r w:rsidRPr="0044481F">
        <w:rPr>
          <w:rStyle w:val="italicus"/>
        </w:rPr>
        <w:t>Diatessaron,</w:t>
      </w:r>
      <w:r>
        <w:t xml:space="preserve"> c. XV (Max. </w:t>
      </w:r>
      <w:r w:rsidRPr="00A52917">
        <w:t xml:space="preserve">Biblioth. Vet. Pat., t. II, p. 210). </w:t>
      </w:r>
    </w:p>
  </w:footnote>
  <w:footnote w:id="946">
    <w:p w:rsidR="007F47B8" w:rsidRPr="00A52917" w:rsidRDefault="007F47B8" w:rsidP="00C31960">
      <w:pPr>
        <w:pStyle w:val="Notedebasdepage"/>
        <w:rPr>
          <w:lang w:val="en-US"/>
        </w:rPr>
      </w:pPr>
      <w:r>
        <w:rPr>
          <w:rStyle w:val="Appelnotedebasdep"/>
        </w:rPr>
        <w:footnoteRef/>
      </w:r>
      <w:r w:rsidRPr="005D2A18">
        <w:rPr>
          <w:lang w:val="en-US"/>
        </w:rPr>
        <w:t xml:space="preserve"> </w:t>
      </w:r>
      <w:r w:rsidRPr="00F84A0B">
        <w:rPr>
          <w:lang w:val="en-US"/>
        </w:rPr>
        <w:t xml:space="preserve">$ </w:t>
      </w:r>
      <w:r w:rsidRPr="00F84A0B">
        <w:rPr>
          <w:rStyle w:val="italicus"/>
          <w:lang w:val="en-US"/>
        </w:rPr>
        <w:t xml:space="preserve">Harm. </w:t>
      </w:r>
      <w:r w:rsidRPr="00A52917">
        <w:rPr>
          <w:rStyle w:val="italicus"/>
          <w:lang w:val="en-US"/>
        </w:rPr>
        <w:t xml:space="preserve">Evang., </w:t>
      </w:r>
      <w:r w:rsidRPr="00A52917">
        <w:rPr>
          <w:lang w:val="en-US"/>
        </w:rPr>
        <w:t xml:space="preserve">c. CLV. </w:t>
      </w:r>
    </w:p>
  </w:footnote>
  <w:footnote w:id="947">
    <w:p w:rsidR="007F47B8" w:rsidRPr="00A52917" w:rsidRDefault="007F47B8" w:rsidP="00C31960">
      <w:pPr>
        <w:pStyle w:val="Notedebasdepage"/>
        <w:rPr>
          <w:lang w:val="en-US"/>
        </w:rPr>
      </w:pPr>
      <w:r>
        <w:rPr>
          <w:rStyle w:val="Appelnotedebasdep"/>
        </w:rPr>
        <w:footnoteRef/>
      </w:r>
      <w:r w:rsidRPr="00A52917">
        <w:rPr>
          <w:lang w:val="en-US"/>
        </w:rPr>
        <w:t xml:space="preserve"> </w:t>
      </w:r>
      <w:r w:rsidRPr="00A52917">
        <w:rPr>
          <w:rStyle w:val="italicus"/>
          <w:lang w:val="en-US"/>
        </w:rPr>
        <w:t xml:space="preserve">$ Sermo de Pasch., </w:t>
      </w:r>
      <w:r w:rsidRPr="00A52917">
        <w:rPr>
          <w:lang w:val="en-US"/>
        </w:rPr>
        <w:t xml:space="preserve">XIV, § 4. </w:t>
      </w:r>
    </w:p>
  </w:footnote>
  <w:footnote w:id="948">
    <w:p w:rsidR="007F47B8" w:rsidRPr="00A52917" w:rsidRDefault="007F47B8" w:rsidP="00C31960">
      <w:pPr>
        <w:pStyle w:val="Notedebasdepage"/>
        <w:rPr>
          <w:lang w:val="en-US"/>
        </w:rPr>
      </w:pPr>
      <w:r>
        <w:rPr>
          <w:rStyle w:val="Appelnotedebasdep"/>
        </w:rPr>
        <w:footnoteRef/>
      </w:r>
      <w:r w:rsidRPr="00A52917">
        <w:rPr>
          <w:lang w:val="en-US"/>
        </w:rPr>
        <w:t xml:space="preserve"> </w:t>
      </w:r>
      <w:r w:rsidRPr="00A52917">
        <w:rPr>
          <w:rStyle w:val="italicus"/>
          <w:lang w:val="en-US"/>
        </w:rPr>
        <w:t xml:space="preserve">$ </w:t>
      </w:r>
      <w:r w:rsidRPr="00A52917">
        <w:rPr>
          <w:lang w:val="en-US"/>
        </w:rPr>
        <w:t xml:space="preserve">V, 16. </w:t>
      </w:r>
    </w:p>
  </w:footnote>
  <w:footnote w:id="949">
    <w:p w:rsidR="007F47B8" w:rsidRPr="00A52917" w:rsidRDefault="007F47B8" w:rsidP="00C31960">
      <w:pPr>
        <w:pStyle w:val="Notedebasdepage"/>
        <w:rPr>
          <w:lang w:val="en-US"/>
        </w:rPr>
      </w:pPr>
      <w:r>
        <w:rPr>
          <w:rStyle w:val="Appelnotedebasdep"/>
        </w:rPr>
        <w:footnoteRef/>
      </w:r>
      <w:r w:rsidRPr="00A52917">
        <w:rPr>
          <w:lang w:val="en-US"/>
        </w:rPr>
        <w:t xml:space="preserve"> $ </w:t>
      </w:r>
      <w:r w:rsidRPr="00A52917">
        <w:rPr>
          <w:rStyle w:val="italicus"/>
          <w:lang w:val="en-US"/>
        </w:rPr>
        <w:t xml:space="preserve">In Matth., </w:t>
      </w:r>
      <w:r w:rsidRPr="00A52917">
        <w:rPr>
          <w:lang w:val="en-US"/>
        </w:rPr>
        <w:t xml:space="preserve">can. 30. </w:t>
      </w:r>
    </w:p>
  </w:footnote>
  <w:footnote w:id="950">
    <w:p w:rsidR="007F47B8" w:rsidRPr="00A52917" w:rsidRDefault="007F47B8" w:rsidP="00C31960">
      <w:pPr>
        <w:pStyle w:val="Notedebasdepage"/>
        <w:rPr>
          <w:lang w:val="en-US"/>
        </w:rPr>
      </w:pPr>
      <w:r>
        <w:rPr>
          <w:rStyle w:val="Appelnotedebasdep"/>
        </w:rPr>
        <w:footnoteRef/>
      </w:r>
      <w:r w:rsidRPr="00A52917">
        <w:rPr>
          <w:lang w:val="en-US"/>
        </w:rPr>
        <w:t xml:space="preserve"> </w:t>
      </w:r>
      <w:r w:rsidRPr="00A52917">
        <w:rPr>
          <w:rStyle w:val="italicus"/>
          <w:lang w:val="en-US"/>
        </w:rPr>
        <w:t xml:space="preserve">$ </w:t>
      </w:r>
      <w:r w:rsidRPr="0014014C">
        <w:t>Τιν</w:t>
      </w:r>
      <w:r>
        <w:t>ὲ</w:t>
      </w:r>
      <w:r w:rsidRPr="0014014C">
        <w:t>ς</w:t>
      </w:r>
      <w:r w:rsidRPr="00A52917">
        <w:rPr>
          <w:lang w:val="en-US"/>
        </w:rPr>
        <w:t xml:space="preserve"> </w:t>
      </w:r>
      <w:r w:rsidRPr="0014014C">
        <w:t>δ</w:t>
      </w:r>
      <w:r>
        <w:t>έ</w:t>
      </w:r>
      <w:r w:rsidRPr="00A52917">
        <w:rPr>
          <w:lang w:val="en-US"/>
        </w:rPr>
        <w:t xml:space="preserve"> </w:t>
      </w:r>
      <w:r w:rsidRPr="0014014C">
        <w:t>φησιν</w:t>
      </w:r>
      <w:r w:rsidRPr="00A52917">
        <w:rPr>
          <w:lang w:val="en-US"/>
        </w:rPr>
        <w:t xml:space="preserve">, </w:t>
      </w:r>
      <w:r>
        <w:t>ὅ</w:t>
      </w:r>
      <w:r w:rsidRPr="0014014C">
        <w:t>τι</w:t>
      </w:r>
      <w:r w:rsidRPr="00A52917">
        <w:rPr>
          <w:lang w:val="en-US"/>
        </w:rPr>
        <w:t xml:space="preserve"> </w:t>
      </w:r>
      <w:r>
        <w:t>ἐ</w:t>
      </w:r>
      <w:r w:rsidRPr="0014014C">
        <w:t>ξελθόντος</w:t>
      </w:r>
      <w:r w:rsidRPr="00A52917">
        <w:rPr>
          <w:lang w:val="en-US"/>
        </w:rPr>
        <w:t xml:space="preserve"> </w:t>
      </w:r>
      <w:r>
        <w:t>τοῦ</w:t>
      </w:r>
      <w:r w:rsidRPr="00A52917">
        <w:rPr>
          <w:lang w:val="en-US"/>
        </w:rPr>
        <w:t xml:space="preserve"> </w:t>
      </w:r>
      <w:r>
        <w:t>Ἰ</w:t>
      </w:r>
      <w:r w:rsidRPr="0014014C">
        <w:t>ούδα</w:t>
      </w:r>
      <w:r w:rsidRPr="00A52917">
        <w:rPr>
          <w:lang w:val="en-US"/>
        </w:rPr>
        <w:t xml:space="preserve"> </w:t>
      </w:r>
      <w:r>
        <w:t>μ</w:t>
      </w:r>
      <w:r w:rsidRPr="0014014C">
        <w:t>ετ</w:t>
      </w:r>
      <w:r>
        <w:t>έ</w:t>
      </w:r>
      <w:r w:rsidRPr="0014014C">
        <w:t>δοκε</w:t>
      </w:r>
      <w:r w:rsidRPr="00A52917">
        <w:rPr>
          <w:lang w:val="en-US"/>
        </w:rPr>
        <w:t xml:space="preserve"> </w:t>
      </w:r>
      <w:r w:rsidRPr="0014014C">
        <w:t>τ</w:t>
      </w:r>
      <w:r>
        <w:t>ῶ</w:t>
      </w:r>
      <w:r w:rsidRPr="0014014C">
        <w:t>ν</w:t>
      </w:r>
      <w:r w:rsidRPr="00A52917">
        <w:rPr>
          <w:lang w:val="en-US"/>
        </w:rPr>
        <w:t xml:space="preserve"> </w:t>
      </w:r>
      <w:r>
        <w:t>μ</w:t>
      </w:r>
      <w:r w:rsidRPr="0014014C">
        <w:t>υστγιρ</w:t>
      </w:r>
      <w:r>
        <w:t>ί</w:t>
      </w:r>
      <w:r w:rsidRPr="0014014C">
        <w:t>ων</w:t>
      </w:r>
      <w:r w:rsidRPr="00A52917">
        <w:rPr>
          <w:lang w:val="en-US"/>
        </w:rPr>
        <w:t xml:space="preserve"> </w:t>
      </w:r>
      <w:r w:rsidRPr="0014014C">
        <w:t>το</w:t>
      </w:r>
      <w:r>
        <w:t>ῖ</w:t>
      </w:r>
      <w:r w:rsidRPr="0014014C">
        <w:t>ς</w:t>
      </w:r>
      <w:r w:rsidRPr="00A52917">
        <w:rPr>
          <w:lang w:val="en-US"/>
        </w:rPr>
        <w:t xml:space="preserve"> </w:t>
      </w:r>
      <w:r>
        <w:t>ἄ</w:t>
      </w:r>
      <w:r w:rsidRPr="0014014C">
        <w:t>λλοις</w:t>
      </w:r>
      <w:r w:rsidRPr="00A52917">
        <w:rPr>
          <w:lang w:val="en-US"/>
        </w:rPr>
        <w:t xml:space="preserve"> </w:t>
      </w:r>
      <w:r w:rsidRPr="0014014C">
        <w:t>μαθηταῖς</w:t>
      </w:r>
      <w:r w:rsidRPr="00A52917">
        <w:rPr>
          <w:lang w:val="en-US"/>
        </w:rPr>
        <w:t>.</w:t>
      </w:r>
    </w:p>
  </w:footnote>
  <w:footnote w:id="951">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lang w:val="en-US"/>
        </w:rPr>
        <w:t xml:space="preserve">$ </w:t>
      </w:r>
      <w:r w:rsidRPr="00F84A0B">
        <w:rPr>
          <w:rStyle w:val="italicus"/>
          <w:lang w:val="en-US"/>
        </w:rPr>
        <w:t xml:space="preserve">Harm. Evang., </w:t>
      </w:r>
      <w:r w:rsidRPr="00F84A0B">
        <w:rPr>
          <w:lang w:val="en-US"/>
        </w:rPr>
        <w:t xml:space="preserve">IV, 2. </w:t>
      </w:r>
    </w:p>
  </w:footnote>
  <w:footnote w:id="952">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rStyle w:val="italicus"/>
          <w:lang w:val="en-US"/>
        </w:rPr>
        <w:t>$ In Joan.,</w:t>
      </w:r>
      <w:r w:rsidRPr="00F84A0B">
        <w:rPr>
          <w:lang w:val="en-US"/>
        </w:rPr>
        <w:t xml:space="preserve"> lib. </w:t>
      </w:r>
      <w:r w:rsidRPr="007F7833">
        <w:rPr>
          <w:lang w:val="en-US"/>
        </w:rPr>
        <w:t xml:space="preserve">XI (Migne, t. CLXIX, col. 688). </w:t>
      </w:r>
    </w:p>
  </w:footnote>
  <w:footnote w:id="953">
    <w:p w:rsidR="007F47B8" w:rsidRPr="00A52917" w:rsidRDefault="007F47B8" w:rsidP="00C31960">
      <w:pPr>
        <w:pStyle w:val="Notedebasdepage"/>
        <w:rPr>
          <w:smallCaps/>
        </w:rPr>
      </w:pPr>
      <w:r>
        <w:rPr>
          <w:rStyle w:val="Appelnotedebasdep"/>
        </w:rPr>
        <w:footnoteRef/>
      </w:r>
      <w:r w:rsidRPr="00A52917">
        <w:t xml:space="preserve"> $ </w:t>
      </w:r>
      <w:r w:rsidRPr="00A52917">
        <w:rPr>
          <w:rStyle w:val="italicus"/>
        </w:rPr>
        <w:t>Evang. hist.,</w:t>
      </w:r>
      <w:r w:rsidRPr="00A52917">
        <w:t xml:space="preserve"> c.</w:t>
      </w:r>
      <w:r w:rsidRPr="00A52917">
        <w:rPr>
          <w:smallCaps/>
        </w:rPr>
        <w:t xml:space="preserve"> XLI. </w:t>
      </w:r>
    </w:p>
  </w:footnote>
  <w:footnote w:id="954">
    <w:p w:rsidR="007F47B8" w:rsidRPr="005D2A18" w:rsidRDefault="007F47B8" w:rsidP="00C31960">
      <w:pPr>
        <w:pStyle w:val="Notedebasdepage"/>
      </w:pPr>
      <w:r>
        <w:rPr>
          <w:rStyle w:val="Appelnotedebasdep"/>
        </w:rPr>
        <w:footnoteRef/>
      </w:r>
      <w:r>
        <w:t xml:space="preserve"> </w:t>
      </w:r>
      <w:r>
        <w:rPr>
          <w:smallCaps/>
        </w:rPr>
        <w:t xml:space="preserve">$ </w:t>
      </w:r>
      <w:r w:rsidRPr="0044481F">
        <w:rPr>
          <w:rStyle w:val="italicus"/>
        </w:rPr>
        <w:t>De S. altáris myst.,</w:t>
      </w:r>
      <w:r>
        <w:t xml:space="preserve"> IV, 13. </w:t>
      </w:r>
    </w:p>
  </w:footnote>
  <w:footnote w:id="955">
    <w:p w:rsidR="007F47B8" w:rsidRPr="005D2A18" w:rsidRDefault="007F47B8" w:rsidP="00C31960">
      <w:pPr>
        <w:pStyle w:val="Notedebasdepage"/>
        <w:rPr>
          <w:i/>
          <w:lang w:val="en-US"/>
        </w:rPr>
      </w:pPr>
      <w:r>
        <w:rPr>
          <w:rStyle w:val="Appelnotedebasdep"/>
        </w:rPr>
        <w:footnoteRef/>
      </w:r>
      <w:r w:rsidRPr="005D2A18">
        <w:rPr>
          <w:lang w:val="en-US"/>
        </w:rPr>
        <w:t xml:space="preserve"> </w:t>
      </w:r>
      <w:r w:rsidRPr="00F84A0B">
        <w:rPr>
          <w:lang w:val="en-US"/>
        </w:rPr>
        <w:t xml:space="preserve">$ </w:t>
      </w:r>
      <w:r w:rsidRPr="00F84A0B">
        <w:rPr>
          <w:rStyle w:val="italicus"/>
          <w:lang w:val="en-US"/>
        </w:rPr>
        <w:t xml:space="preserve">Ad Const. ap., V, 16. </w:t>
      </w:r>
    </w:p>
  </w:footnote>
  <w:footnote w:id="956">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rStyle w:val="italicus"/>
          <w:lang w:val="en-US"/>
        </w:rPr>
        <w:t xml:space="preserve">$ Comment. in Harm. Evang., </w:t>
      </w:r>
      <w:r w:rsidRPr="00F84A0B">
        <w:rPr>
          <w:lang w:val="en-US"/>
        </w:rPr>
        <w:t xml:space="preserve">t. IX, tract. 11. </w:t>
      </w:r>
    </w:p>
  </w:footnote>
  <w:footnote w:id="957">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rStyle w:val="italicus"/>
          <w:lang w:val="en-US"/>
        </w:rPr>
        <w:t>$ Concord. Evang.,</w:t>
      </w:r>
      <w:r w:rsidRPr="00F84A0B">
        <w:rPr>
          <w:lang w:val="en-US"/>
        </w:rPr>
        <w:t xml:space="preserve"> IV, 3, 3. </w:t>
      </w:r>
    </w:p>
  </w:footnote>
  <w:footnote w:id="958">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rStyle w:val="italicus"/>
          <w:lang w:val="en-US"/>
        </w:rPr>
        <w:t xml:space="preserve">$ Comment. in Harm. </w:t>
      </w:r>
      <w:r w:rsidRPr="007F7833">
        <w:rPr>
          <w:rStyle w:val="italicus"/>
          <w:lang w:val="en-US"/>
        </w:rPr>
        <w:t xml:space="preserve">Evang., </w:t>
      </w:r>
      <w:r w:rsidRPr="007F7833">
        <w:rPr>
          <w:lang w:val="en-US"/>
        </w:rPr>
        <w:t xml:space="preserve">V, 19. </w:t>
      </w:r>
    </w:p>
  </w:footnote>
  <w:footnote w:id="959">
    <w:p w:rsidR="007F47B8" w:rsidRPr="005D2A18" w:rsidRDefault="007F47B8" w:rsidP="00C31960">
      <w:pPr>
        <w:pStyle w:val="Notedebasdepage"/>
      </w:pPr>
      <w:r>
        <w:rPr>
          <w:rStyle w:val="Appelnotedebasdep"/>
        </w:rPr>
        <w:footnoteRef/>
      </w:r>
      <w:r w:rsidRPr="005D2A18">
        <w:rPr>
          <w:lang w:val="en-US"/>
        </w:rPr>
        <w:t xml:space="preserve"> </w:t>
      </w:r>
      <w:r w:rsidRPr="007F7833">
        <w:rPr>
          <w:rStyle w:val="italicus"/>
          <w:lang w:val="en-US"/>
        </w:rPr>
        <w:t xml:space="preserve">$ </w:t>
      </w:r>
      <w:r w:rsidRPr="007F7833">
        <w:rPr>
          <w:lang w:val="en-US"/>
        </w:rPr>
        <w:t xml:space="preserve">« Sed quia Christus nobis débuit exémplum justítiæ, non conveniébat ejus magistério ut Judam, occúltum peccatórem, sine accusatóre et evidénti probatióne ab aliórum communióne separáret ; ne per hoc darétur exémplum prælátis Ecclésiæ simília faciéndi, et ipse Judas exasperátus inde súmeret occasiónem peccándi. </w:t>
      </w:r>
      <w:r>
        <w:t xml:space="preserve">Et ídeo dicéndum est quod Judas cum áliis discípulis corpus Dómini et sánguinem suscépit, ut dicit Dionýsius </w:t>
      </w:r>
      <w:r w:rsidRPr="0044481F">
        <w:rPr>
          <w:rStyle w:val="italicus"/>
        </w:rPr>
        <w:t xml:space="preserve">(Lib. </w:t>
      </w:r>
      <w:r w:rsidRPr="00F84A0B">
        <w:rPr>
          <w:rStyle w:val="italicus"/>
          <w:lang w:val="en-US"/>
        </w:rPr>
        <w:t>Eccl. hierar.,</w:t>
      </w:r>
      <w:r w:rsidRPr="00F84A0B">
        <w:rPr>
          <w:lang w:val="en-US"/>
        </w:rPr>
        <w:t xml:space="preserve"> cap. 3), et Augustínus (</w:t>
      </w:r>
      <w:r w:rsidRPr="00F84A0B">
        <w:rPr>
          <w:rStyle w:val="italicus"/>
          <w:lang w:val="en-US"/>
        </w:rPr>
        <w:t>Super Joan.,</w:t>
      </w:r>
      <w:r w:rsidRPr="00F84A0B">
        <w:rPr>
          <w:lang w:val="en-US"/>
        </w:rPr>
        <w:t xml:space="preserve"> tract,</w:t>
      </w:r>
      <w:r w:rsidRPr="00F84A0B">
        <w:rPr>
          <w:smallCaps/>
          <w:lang w:val="en-US"/>
        </w:rPr>
        <w:t xml:space="preserve"> LXII</w:t>
      </w:r>
      <w:r w:rsidRPr="00F84A0B">
        <w:rPr>
          <w:lang w:val="en-US"/>
        </w:rPr>
        <w:t xml:space="preserve">) ». S. Th., 3 p., q. 81, art. 2. </w:t>
      </w:r>
      <w:r>
        <w:t>Cf. Lebrethon,</w:t>
      </w:r>
      <w:r w:rsidRPr="0044481F">
        <w:rPr>
          <w:rStyle w:val="italicus"/>
        </w:rPr>
        <w:t xml:space="preserve"> Petite Somme théologique,</w:t>
      </w:r>
      <w:r>
        <w:t xml:space="preserve"> t. IV, p. 385, Paris, 1863. </w:t>
      </w:r>
    </w:p>
  </w:footnote>
  <w:footnote w:id="960">
    <w:p w:rsidR="007F47B8" w:rsidRPr="005D2A18" w:rsidRDefault="007F47B8" w:rsidP="00C31960">
      <w:pPr>
        <w:pStyle w:val="Notedebasdepage"/>
      </w:pPr>
      <w:r>
        <w:rPr>
          <w:rStyle w:val="Appelnotedebasdep"/>
        </w:rPr>
        <w:footnoteRef/>
      </w:r>
      <w:r>
        <w:t xml:space="preserve"> $ Il nous semble que saint Thomas d’Aquin n’a pas eu l’intention de se prononcer sur le fond même de là question ; nous voulons dire sur le côté strictement historique. Il s’est contenté d’adopter sans discussion ce qui était de son temps le sentiment à peu près général, et il en a tiré une conclusion pratique pour sa thèse. </w:t>
      </w:r>
    </w:p>
  </w:footnote>
  <w:footnote w:id="961">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lang w:val="en-US"/>
        </w:rPr>
        <w:t>$ Langen,</w:t>
      </w:r>
      <w:r w:rsidRPr="00F84A0B">
        <w:rPr>
          <w:rStyle w:val="italicus"/>
          <w:lang w:val="en-US"/>
        </w:rPr>
        <w:t xml:space="preserve"> loc. cit.,</w:t>
      </w:r>
      <w:r w:rsidRPr="00F84A0B">
        <w:rPr>
          <w:lang w:val="en-US"/>
        </w:rPr>
        <w:t xml:space="preserve"> p. 168. </w:t>
      </w:r>
    </w:p>
  </w:footnote>
  <w:footnote w:id="962">
    <w:p w:rsidR="007F47B8" w:rsidRPr="005D2A18" w:rsidRDefault="007F47B8" w:rsidP="00C31960">
      <w:pPr>
        <w:pStyle w:val="Notedebasdepage"/>
        <w:rPr>
          <w:i/>
          <w:lang w:val="en-US"/>
        </w:rPr>
      </w:pPr>
      <w:r>
        <w:rPr>
          <w:rStyle w:val="Appelnotedebasdep"/>
        </w:rPr>
        <w:footnoteRef/>
      </w:r>
      <w:r w:rsidRPr="005D2A18">
        <w:rPr>
          <w:lang w:val="en-US"/>
        </w:rPr>
        <w:t xml:space="preserve"> </w:t>
      </w:r>
      <w:r w:rsidRPr="00F84A0B">
        <w:rPr>
          <w:lang w:val="en-US"/>
        </w:rPr>
        <w:t xml:space="preserve">$ </w:t>
      </w:r>
      <w:r w:rsidRPr="00F84A0B">
        <w:rPr>
          <w:rStyle w:val="italicus"/>
          <w:lang w:val="en-US"/>
        </w:rPr>
        <w:t xml:space="preserve">Ibid. </w:t>
      </w:r>
    </w:p>
  </w:footnote>
  <w:footnote w:id="963">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rStyle w:val="italicus"/>
          <w:lang w:val="en-US"/>
        </w:rPr>
        <w:t xml:space="preserve">$ </w:t>
      </w:r>
      <w:r w:rsidRPr="00F84A0B">
        <w:rPr>
          <w:lang w:val="en-US"/>
        </w:rPr>
        <w:t>Cf. P. Schegg,</w:t>
      </w:r>
      <w:r w:rsidRPr="00F84A0B">
        <w:rPr>
          <w:rStyle w:val="italicus"/>
          <w:lang w:val="en-US"/>
        </w:rPr>
        <w:t xml:space="preserve"> Evangelium nach Lukas,</w:t>
      </w:r>
      <w:r w:rsidRPr="00F84A0B">
        <w:rPr>
          <w:lang w:val="en-US"/>
        </w:rPr>
        <w:t xml:space="preserve"> t. II, p. 245 et suiv. </w:t>
      </w:r>
    </w:p>
  </w:footnote>
  <w:footnote w:id="964">
    <w:p w:rsidR="007F47B8" w:rsidRPr="005D2A18" w:rsidRDefault="007F47B8" w:rsidP="00C31960">
      <w:pPr>
        <w:pStyle w:val="Notedebasdepage"/>
      </w:pPr>
      <w:r>
        <w:rPr>
          <w:rStyle w:val="Appelnotedebasdep"/>
        </w:rPr>
        <w:footnoteRef/>
      </w:r>
      <w:r>
        <w:t xml:space="preserve"> $ Cet article a été publié en 1868, n° de novembre, p. 440-449, dans la </w:t>
      </w:r>
      <w:r w:rsidRPr="0044481F">
        <w:rPr>
          <w:rStyle w:val="italicus"/>
        </w:rPr>
        <w:t>Revue des Sciences ecclésiastiques :</w:t>
      </w:r>
      <w:r>
        <w:t xml:space="preserve"> nous nous sommes borné à y faire quelques additions. Que Mgr Hautcœur, Recteur des Facultés catholiques de Lille, qui dirigeait alors la Revue et qui daigna encourager nos premiers </w:t>
      </w:r>
      <w:r w:rsidRPr="0044481F">
        <w:rPr>
          <w:rStyle w:val="italicus"/>
        </w:rPr>
        <w:t>Essais d’exégèse,</w:t>
      </w:r>
      <w:r>
        <w:t xml:space="preserve"> veuille bien recevoir ici nos remerciements respectueux. </w:t>
      </w:r>
    </w:p>
  </w:footnote>
  <w:footnote w:id="965">
    <w:p w:rsidR="007F47B8" w:rsidRDefault="007F47B8" w:rsidP="00C31960">
      <w:pPr>
        <w:pStyle w:val="Notedebasdepage"/>
      </w:pPr>
      <w:r>
        <w:rPr>
          <w:rStyle w:val="Appelnotedebasdep"/>
        </w:rPr>
        <w:footnoteRef/>
      </w:r>
      <w:r>
        <w:t xml:space="preserve"> $ </w:t>
      </w:r>
      <w:r w:rsidRPr="0044481F">
        <w:rPr>
          <w:rStyle w:val="italicus"/>
        </w:rPr>
        <w:t>Concordantiárum, homeric</w:t>
      </w:r>
      <w:r>
        <w:rPr>
          <w:rStyle w:val="italicus"/>
        </w:rPr>
        <w:t>á</w:t>
      </w:r>
      <w:r w:rsidRPr="0044481F">
        <w:rPr>
          <w:rStyle w:val="italicus"/>
        </w:rPr>
        <w:t>rum spécimen cum proleg</w:t>
      </w:r>
      <w:r>
        <w:rPr>
          <w:rStyle w:val="italicus"/>
        </w:rPr>
        <w:t>ó</w:t>
      </w:r>
      <w:r w:rsidRPr="0044481F">
        <w:rPr>
          <w:rStyle w:val="italicus"/>
        </w:rPr>
        <w:t>menis, in quibus præsértim</w:t>
      </w:r>
      <w:r>
        <w:rPr>
          <w:rStyle w:val="italicus"/>
        </w:rPr>
        <w:t xml:space="preserve"> concordántiæ Bíblicæ</w:t>
      </w:r>
      <w:r w:rsidRPr="0044481F">
        <w:rPr>
          <w:rStyle w:val="italicus"/>
        </w:rPr>
        <w:t xml:space="preserve"> recenséntur earúmque orígo et progréssus declarántur, </w:t>
      </w:r>
      <w:r w:rsidRPr="002E3C58">
        <w:t xml:space="preserve">Halle, 1867. </w:t>
      </w:r>
    </w:p>
  </w:footnote>
  <w:footnote w:id="966">
    <w:p w:rsidR="007F47B8" w:rsidRDefault="007F47B8" w:rsidP="00C31960">
      <w:pPr>
        <w:pStyle w:val="Notedebasdepage"/>
        <w:rPr>
          <w:lang w:bidi="he-IL"/>
        </w:rPr>
      </w:pPr>
      <w:r>
        <w:rPr>
          <w:rStyle w:val="Appelnotedebasdep"/>
        </w:rPr>
        <w:footnoteRef/>
      </w:r>
      <w:r>
        <w:t xml:space="preserve"> </w:t>
      </w:r>
      <w:r>
        <w:rPr>
          <w:lang w:bidi="he-IL"/>
        </w:rPr>
        <w:t>$ Sur l’origine de ce mot, voyez le</w:t>
      </w:r>
      <w:r>
        <w:rPr>
          <w:i/>
          <w:iCs/>
          <w:lang w:bidi="he-IL"/>
        </w:rPr>
        <w:t xml:space="preserve"> Glossar. médiæ et ínfimæ latinitátis </w:t>
      </w:r>
      <w:r>
        <w:rPr>
          <w:lang w:bidi="he-IL"/>
        </w:rPr>
        <w:t xml:space="preserve">de Du Cange, t. II, p. 514, édit. de 1842 (Paris). </w:t>
      </w:r>
    </w:p>
  </w:footnote>
  <w:footnote w:id="967">
    <w:p w:rsidR="007F47B8" w:rsidRPr="005D2A18" w:rsidRDefault="007F47B8" w:rsidP="00C31960">
      <w:pPr>
        <w:pStyle w:val="Notedebasdepage"/>
        <w:rPr>
          <w:i/>
          <w:iCs/>
          <w:lang w:bidi="he-IL"/>
        </w:rPr>
      </w:pPr>
      <w:r>
        <w:rPr>
          <w:rStyle w:val="Appelnotedebasdep"/>
        </w:rPr>
        <w:footnoteRef/>
      </w:r>
      <w:r>
        <w:t xml:space="preserve"> </w:t>
      </w:r>
      <w:r>
        <w:rPr>
          <w:i/>
          <w:iCs/>
          <w:lang w:bidi="he-IL"/>
        </w:rPr>
        <w:t xml:space="preserve">$ L. c., p. 5. </w:t>
      </w:r>
    </w:p>
  </w:footnote>
  <w:footnote w:id="968">
    <w:p w:rsidR="007F47B8" w:rsidRDefault="007F47B8" w:rsidP="00C31960">
      <w:pPr>
        <w:pStyle w:val="Notedebasdepage"/>
        <w:rPr>
          <w:lang w:bidi="he-IL"/>
        </w:rPr>
      </w:pPr>
      <w:r>
        <w:rPr>
          <w:rStyle w:val="Appelnotedebasdep"/>
        </w:rPr>
        <w:footnoteRef/>
      </w:r>
      <w:r>
        <w:t xml:space="preserve"> </w:t>
      </w:r>
      <w:r>
        <w:rPr>
          <w:i/>
          <w:iCs/>
          <w:lang w:bidi="he-IL"/>
        </w:rPr>
        <w:t>$ Hugo de Sancto Charo</w:t>
      </w:r>
      <w:r>
        <w:rPr>
          <w:lang w:bidi="he-IL"/>
        </w:rPr>
        <w:t xml:space="preserve"> (Saint-Cher, ou Saint-Chers, était un faubourg de Vienne en Dauphiné). On l’appelle aussi Hugues de Vienne (</w:t>
      </w:r>
      <w:r>
        <w:rPr>
          <w:i/>
          <w:iCs/>
          <w:lang w:bidi="he-IL"/>
        </w:rPr>
        <w:t>Hugo de Vienna</w:t>
      </w:r>
      <w:r w:rsidRPr="00BA383E">
        <w:t xml:space="preserve">), </w:t>
      </w:r>
      <w:r>
        <w:rPr>
          <w:lang w:bidi="he-IL"/>
        </w:rPr>
        <w:t>du nom de sa patrie, Hugues de Saint-Jacques (</w:t>
      </w:r>
      <w:r>
        <w:rPr>
          <w:i/>
          <w:iCs/>
          <w:lang w:bidi="he-IL"/>
        </w:rPr>
        <w:t>Hugo de Sancto Jacobo</w:t>
      </w:r>
      <w:r w:rsidRPr="00BA383E">
        <w:t xml:space="preserve">), </w:t>
      </w:r>
      <w:r>
        <w:rPr>
          <w:lang w:bidi="he-IL"/>
        </w:rPr>
        <w:t>parce qu’il habitait à Paris le couvent dominicain de Saint-Jacques, et</w:t>
      </w:r>
      <w:r>
        <w:rPr>
          <w:i/>
          <w:iCs/>
          <w:lang w:bidi="he-IL"/>
        </w:rPr>
        <w:t xml:space="preserve"> Hugo de Sancto Theuderio,</w:t>
      </w:r>
      <w:r>
        <w:rPr>
          <w:lang w:bidi="he-IL"/>
        </w:rPr>
        <w:t xml:space="preserve"> ou</w:t>
      </w:r>
      <w:r>
        <w:rPr>
          <w:i/>
          <w:iCs/>
          <w:lang w:bidi="he-IL"/>
        </w:rPr>
        <w:t xml:space="preserve"> Theodorio</w:t>
      </w:r>
      <w:r>
        <w:rPr>
          <w:lang w:bidi="he-IL"/>
        </w:rPr>
        <w:t xml:space="preserve"> (encore</w:t>
      </w:r>
      <w:r>
        <w:rPr>
          <w:i/>
          <w:iCs/>
          <w:lang w:bidi="he-IL"/>
        </w:rPr>
        <w:t xml:space="preserve"> a loco natali</w:t>
      </w:r>
      <w:r w:rsidRPr="00761866">
        <w:t xml:space="preserve">). Né vers la fin du XIIe </w:t>
      </w:r>
      <w:r>
        <w:rPr>
          <w:lang w:bidi="he-IL"/>
        </w:rPr>
        <w:t>siècle, il entra en 1225 dans l’Ordre des Frères-Prêcheurs, dont il devint dès l’année 1227 le provincial en France. Innocent IV le créa cardinal en 1244. Il mourut à Orvieto, le 19 mars 1262, et fut enterré à Lyon. Ses</w:t>
      </w:r>
      <w:r>
        <w:rPr>
          <w:i/>
          <w:iCs/>
          <w:lang w:bidi="he-IL"/>
        </w:rPr>
        <w:t xml:space="preserve"> Postíllæ in univérsa Bíblia juxta quadrúplicem sensum litterálem, allegóricum, morálem, anagógicum,</w:t>
      </w:r>
      <w:r>
        <w:rPr>
          <w:lang w:bidi="he-IL"/>
        </w:rPr>
        <w:t xml:space="preserve"> ont été maintes fois rééditées. La Bibliothèque nationale de Paris possède de lui plusieurs manuscrits bibliques encore inédits. </w:t>
      </w:r>
    </w:p>
  </w:footnote>
  <w:footnote w:id="969">
    <w:p w:rsidR="007F47B8" w:rsidRDefault="007F47B8" w:rsidP="00C31960">
      <w:pPr>
        <w:pStyle w:val="Notedebasdepage"/>
        <w:rPr>
          <w:lang w:bidi="he-IL"/>
        </w:rPr>
      </w:pPr>
      <w:r>
        <w:rPr>
          <w:rStyle w:val="Appelnotedebasdep"/>
        </w:rPr>
        <w:footnoteRef/>
      </w:r>
      <w:r>
        <w:t xml:space="preserve"> </w:t>
      </w:r>
      <w:r>
        <w:rPr>
          <w:lang w:bidi="he-IL"/>
        </w:rPr>
        <w:t>$ Profitant d’un immense avantage qu’on ne trouve guère que dans les congrégations religieuses, il put bientôt, dit-on, se faire aider par cinq cents moines dominicains. Voyez Kitto,</w:t>
      </w:r>
      <w:r>
        <w:rPr>
          <w:i/>
          <w:iCs/>
          <w:lang w:bidi="he-IL"/>
        </w:rPr>
        <w:t xml:space="preserve"> Cyclopædia of Biblical Liter.,</w:t>
      </w:r>
      <w:r>
        <w:rPr>
          <w:lang w:bidi="he-IL"/>
        </w:rPr>
        <w:t xml:space="preserve"> t. I, p. 551 de la 3° édition. </w:t>
      </w:r>
    </w:p>
  </w:footnote>
  <w:footnote w:id="970">
    <w:p w:rsidR="007F47B8" w:rsidRDefault="007F47B8">
      <w:pPr>
        <w:pStyle w:val="Notedebasdepage"/>
      </w:pPr>
      <w:r>
        <w:rPr>
          <w:rStyle w:val="Appelnotedebasdep"/>
        </w:rPr>
        <w:footnoteRef/>
      </w:r>
      <w:r>
        <w:t xml:space="preserve"> $ Cependant, lorsqu’il s’agit d’une expression employée fréquemment dans la Bible avec un autre mot qui en précise la signification, elle forme plusieurs articles distincts. Par exemple : Terra, Terra Juda, Terra Moab, etc.</w:t>
      </w:r>
    </w:p>
  </w:footnote>
  <w:footnote w:id="971">
    <w:p w:rsidR="007F47B8" w:rsidRDefault="007F47B8">
      <w:pPr>
        <w:pStyle w:val="Notedebasdepage"/>
      </w:pPr>
      <w:r>
        <w:rPr>
          <w:rStyle w:val="Appelnotedebasdep"/>
        </w:rPr>
        <w:footnoteRef/>
      </w:r>
      <w:r>
        <w:t xml:space="preserve"> $ « En 1551, dans une édition gréco-latine du Nouveau Testament, et en 1555, dans une édition de la Bible latine complète ; il l’indiqua en marge. Théodore de Bèze l’introduisit dans le texte même, en 1565. Cette division n’est pas toujours heureuse, car, en plusieurs endroits, elle n’est pas en parfait rapport avec le sens. Le pape Sixte V conçut le projet de la réformer ; mais on vit tant d’inconvénients dans le changement d’une numérotation universellement répandue, que l’ancienne fut maintenue malgré ses imperfections. » Vigouroux, Manuel biblique, t. I, p. 143 de la 4e édition. L’auteur a bien voulu renvoyer à notre humble article pour l’histoire des Concordances (Ibid., p. 142, note).</w:t>
      </w:r>
    </w:p>
  </w:footnote>
  <w:footnote w:id="972">
    <w:p w:rsidR="007F47B8" w:rsidRDefault="007F47B8">
      <w:pPr>
        <w:pStyle w:val="Notedebasdepage"/>
      </w:pPr>
      <w:r>
        <w:rPr>
          <w:rStyle w:val="Appelnotedebasdep"/>
        </w:rPr>
        <w:footnoteRef/>
      </w:r>
      <w:r>
        <w:t xml:space="preserve"> $ Chacun a pu voir quelques Bibles antiques portant en marge ces sub- divisions primitives. Plusieurs éditions du Bréviaire et du Missel les con- servent encore en tête des Leçons, des Épîtres et des Évangiles du jour.</w:t>
      </w:r>
    </w:p>
  </w:footnote>
  <w:footnote w:id="973">
    <w:p w:rsidR="007F47B8" w:rsidRPr="005D2A18" w:rsidRDefault="007F47B8" w:rsidP="00C31960">
      <w:pPr>
        <w:pStyle w:val="Notedebasdepage"/>
      </w:pPr>
      <w:r>
        <w:rPr>
          <w:rStyle w:val="Appelnotedebasdep"/>
        </w:rPr>
        <w:footnoteRef/>
      </w:r>
      <w:r>
        <w:t xml:space="preserve"> </w:t>
      </w:r>
      <w:r>
        <w:rPr>
          <w:rStyle w:val="italicus"/>
        </w:rPr>
        <w:t xml:space="preserve">$ </w:t>
      </w:r>
      <w:r w:rsidRPr="001077D9">
        <w:t xml:space="preserve">Voir ce qui sera dit bientôt à ce sujet. </w:t>
      </w:r>
    </w:p>
  </w:footnote>
  <w:footnote w:id="974">
    <w:p w:rsidR="007F47B8" w:rsidRPr="005D2A18" w:rsidRDefault="007F47B8" w:rsidP="00C31960">
      <w:pPr>
        <w:pStyle w:val="Notedebasdepage"/>
      </w:pPr>
      <w:r>
        <w:rPr>
          <w:rStyle w:val="Appelnotedebasdep"/>
        </w:rPr>
        <w:footnoteRef/>
      </w:r>
      <w:r>
        <w:t xml:space="preserve"> $ Mort à Londres le 29 mars 1284. Quelque temps après être entré dans l’Ordre des Frères-Prêcheurs, il vint passer plusieurs années au couvent de Saint-Jacques. C’était un grand érudit. </w:t>
      </w:r>
    </w:p>
  </w:footnote>
  <w:footnote w:id="975">
    <w:p w:rsidR="007F47B8" w:rsidRPr="005D2A18" w:rsidRDefault="007F47B8" w:rsidP="00C31960">
      <w:pPr>
        <w:pStyle w:val="Notedebasdepage"/>
      </w:pPr>
      <w:r>
        <w:rPr>
          <w:rStyle w:val="Appelnotedebasdep"/>
        </w:rPr>
        <w:footnoteRef/>
      </w:r>
      <w:r>
        <w:t xml:space="preserve"> $ Les annales dominicaines nous le montrent vivant au monastère de Saint-Jacques vers l’an 1250, avec F. Jean de Derlington et F. Hugues de Croyndon, ses confrères et compatriotes. Voyez l’ouvrage du Dominicain J. Quétif,</w:t>
      </w:r>
      <w:r w:rsidRPr="0044481F">
        <w:rPr>
          <w:rStyle w:val="italicus"/>
        </w:rPr>
        <w:t xml:space="preserve"> Scriptóres Ordinis Prædicatórum recensíti, notísque históricis</w:t>
      </w:r>
      <w:r>
        <w:rPr>
          <w:rStyle w:val="italicus"/>
        </w:rPr>
        <w:t xml:space="preserve"> et crít</w:t>
      </w:r>
      <w:r w:rsidRPr="0044481F">
        <w:rPr>
          <w:rStyle w:val="italicus"/>
        </w:rPr>
        <w:t>icis illustráti</w:t>
      </w:r>
      <w:r>
        <w:t xml:space="preserve">. 2 vol. in-folio, Paris, 1719-1721, t. I, p. 209, 395 et suiv. </w:t>
      </w:r>
    </w:p>
  </w:footnote>
  <w:footnote w:id="976">
    <w:p w:rsidR="007F47B8" w:rsidRPr="005D2A18" w:rsidRDefault="007F47B8" w:rsidP="00C31960">
      <w:pPr>
        <w:pStyle w:val="Notedebasdepage"/>
      </w:pPr>
      <w:r>
        <w:rPr>
          <w:rStyle w:val="Appelnotedebasdep"/>
        </w:rPr>
        <w:footnoteRef/>
      </w:r>
      <w:r>
        <w:t xml:space="preserve"> $ Dit</w:t>
      </w:r>
      <w:r w:rsidRPr="0044481F">
        <w:rPr>
          <w:rStyle w:val="italicus"/>
        </w:rPr>
        <w:t xml:space="preserve"> senior,</w:t>
      </w:r>
      <w:r>
        <w:t xml:space="preserve"> parce qu’il exista plus tard un autre moine dominicain du même nom, appelé</w:t>
      </w:r>
      <w:r w:rsidRPr="0044481F">
        <w:rPr>
          <w:rStyle w:val="italicus"/>
        </w:rPr>
        <w:t xml:space="preserve"> junior.</w:t>
      </w:r>
      <w:r>
        <w:t xml:space="preserve"> Voyez Quétif,</w:t>
      </w:r>
      <w:r w:rsidRPr="0044481F">
        <w:rPr>
          <w:rStyle w:val="italicus"/>
        </w:rPr>
        <w:t xml:space="preserve"> l. c.,</w:t>
      </w:r>
      <w:r>
        <w:t xml:space="preserve"> t. I, p. 610 et s. </w:t>
      </w:r>
    </w:p>
  </w:footnote>
  <w:footnote w:id="977">
    <w:p w:rsidR="007F47B8" w:rsidRPr="005D2A18" w:rsidRDefault="007F47B8" w:rsidP="00C31960">
      <w:pPr>
        <w:pStyle w:val="Notedebasdepage"/>
      </w:pPr>
      <w:r>
        <w:rPr>
          <w:rStyle w:val="Appelnotedebasdep"/>
        </w:rPr>
        <w:footnoteRef/>
      </w:r>
      <w:r>
        <w:t xml:space="preserve"> $ Mort en 1444. Voyez un abrégé de sa vie dans Quétif,</w:t>
      </w:r>
      <w:r w:rsidRPr="0044481F">
        <w:rPr>
          <w:rStyle w:val="italicus"/>
        </w:rPr>
        <w:t xml:space="preserve"> l. c.,</w:t>
      </w:r>
      <w:r>
        <w:t xml:space="preserve"> t. I, p. 797 et s. </w:t>
      </w:r>
    </w:p>
  </w:footnote>
  <w:footnote w:id="978">
    <w:p w:rsidR="007F47B8" w:rsidRPr="005D2A18" w:rsidRDefault="007F47B8" w:rsidP="00C31960">
      <w:pPr>
        <w:pStyle w:val="Notedebasdepage"/>
      </w:pPr>
      <w:r>
        <w:rPr>
          <w:rStyle w:val="Appelnotedebasdep"/>
        </w:rPr>
        <w:footnoteRef/>
      </w:r>
      <w:r>
        <w:t xml:space="preserve"> $ Nous avons dit plus haut que ses prédécesseurs avaient omis dans leurs Concordances la plupart des mots indéclinables. </w:t>
      </w:r>
    </w:p>
  </w:footnote>
  <w:footnote w:id="979">
    <w:p w:rsidR="007F47B8" w:rsidRPr="005D2A18" w:rsidRDefault="007F47B8" w:rsidP="00C31960">
      <w:pPr>
        <w:pStyle w:val="Notedebasdepage"/>
      </w:pPr>
      <w:r>
        <w:rPr>
          <w:rStyle w:val="Appelnotedebasdep"/>
        </w:rPr>
        <w:footnoteRef/>
      </w:r>
      <w:r>
        <w:t xml:space="preserve"> $ C’est le nom qu’il se donne lui-même dans sa préface : </w:t>
      </w:r>
      <w:r w:rsidRPr="005541CD">
        <w:rPr>
          <w:rtl/>
          <w:lang w:bidi="he-IL"/>
        </w:rPr>
        <w:t xml:space="preserve">ר׳ יצחק </w:t>
      </w:r>
      <w:r>
        <w:rPr>
          <w:rtl/>
          <w:lang w:bidi="he-IL"/>
        </w:rPr>
        <w:t>נ</w:t>
      </w:r>
      <w:r w:rsidRPr="005541CD">
        <w:rPr>
          <w:rtl/>
          <w:lang w:bidi="he-IL"/>
        </w:rPr>
        <w:t>תן</w:t>
      </w:r>
      <w:r>
        <w:t xml:space="preserve">. </w:t>
      </w:r>
    </w:p>
  </w:footnote>
  <w:footnote w:id="980">
    <w:p w:rsidR="007F47B8" w:rsidRPr="005D2A18" w:rsidRDefault="007F47B8" w:rsidP="00C31960">
      <w:pPr>
        <w:pStyle w:val="Notedebasdepage"/>
      </w:pPr>
      <w:r>
        <w:rPr>
          <w:rStyle w:val="Appelnotedebasdep"/>
        </w:rPr>
        <w:footnoteRef/>
      </w:r>
      <w:r>
        <w:t xml:space="preserve"> $ </w:t>
      </w:r>
      <w:r w:rsidRPr="005541CD">
        <w:rPr>
          <w:rtl/>
          <w:lang w:bidi="he-IL"/>
        </w:rPr>
        <w:t>ר׳ מרדכי נתן</w:t>
      </w:r>
      <w:r>
        <w:t xml:space="preserve"> Voyez Buxtorf dans la préface de sa Concordance hébraïque, et Bindseil, l. c., p. XIV, note 2. </w:t>
      </w:r>
    </w:p>
  </w:footnote>
  <w:footnote w:id="981">
    <w:p w:rsidR="007F47B8" w:rsidRPr="005D2A18" w:rsidRDefault="007F47B8" w:rsidP="00C31960">
      <w:pPr>
        <w:pStyle w:val="Notedebasdepage"/>
      </w:pPr>
      <w:r>
        <w:rPr>
          <w:rStyle w:val="Appelnotedebasdep"/>
        </w:rPr>
        <w:footnoteRef/>
      </w:r>
      <w:r>
        <w:t xml:space="preserve"> $ R. Nathan avait mis dix ans pour la composer : de 5198 à 5208 de la création du monde (manière de compter des Juifs</w:t>
      </w:r>
      <w:r w:rsidRPr="00BA383E">
        <w:t>) ;</w:t>
      </w:r>
      <w:r>
        <w:t xml:space="preserve"> c’est-à-dire, de 1438 à 1448. Encore fut-il assisté de plusieurs autres Israélites dans ce rude et minutieux travail. Voyez J. Fürst,</w:t>
      </w:r>
      <w:r w:rsidRPr="0044481F">
        <w:rPr>
          <w:rStyle w:val="italicus"/>
        </w:rPr>
        <w:t xml:space="preserve"> Bibliothéca judáica,</w:t>
      </w:r>
      <w:r>
        <w:t xml:space="preserve"> p. III, p. 22 et s. </w:t>
      </w:r>
    </w:p>
  </w:footnote>
  <w:footnote w:id="982">
    <w:p w:rsidR="007F47B8" w:rsidRPr="005D2A18" w:rsidRDefault="007F47B8" w:rsidP="00C31960">
      <w:pPr>
        <w:pStyle w:val="Notedebasdepage"/>
      </w:pPr>
      <w:r>
        <w:rPr>
          <w:rStyle w:val="Appelnotedebasdep"/>
        </w:rPr>
        <w:footnoteRef/>
      </w:r>
      <w:r>
        <w:t xml:space="preserve"> $ Frère mineur, mort plus que septuagénaire le 24 janvier 1620. Voir des détails sur son œuvre dans Bindseil,</w:t>
      </w:r>
      <w:r w:rsidRPr="0044481F">
        <w:rPr>
          <w:rStyle w:val="italicus"/>
        </w:rPr>
        <w:t xml:space="preserve"> l. c.,</w:t>
      </w:r>
      <w:r>
        <w:t xml:space="preserve"> p.</w:t>
      </w:r>
      <w:r>
        <w:rPr>
          <w:smallCaps/>
        </w:rPr>
        <w:t xml:space="preserve"> XXII-XXIX.</w:t>
      </w:r>
      <w:r>
        <w:t xml:space="preserve"> </w:t>
      </w:r>
    </w:p>
  </w:footnote>
  <w:footnote w:id="983">
    <w:p w:rsidR="007F47B8" w:rsidRPr="005D2A18" w:rsidRDefault="007F47B8" w:rsidP="00C31960">
      <w:pPr>
        <w:pStyle w:val="Notedebasdepage"/>
      </w:pPr>
      <w:r>
        <w:rPr>
          <w:rStyle w:val="Appelnotedebasdep"/>
        </w:rPr>
        <w:footnoteRef/>
      </w:r>
      <w:r>
        <w:t xml:space="preserve"> $ Il s’agit de Buxtorf l’aîné, qui vécut de 1364 à 1629. </w:t>
      </w:r>
    </w:p>
  </w:footnote>
  <w:footnote w:id="984">
    <w:p w:rsidR="007F47B8" w:rsidRPr="005D2A18" w:rsidRDefault="007F47B8" w:rsidP="00C31960">
      <w:pPr>
        <w:pStyle w:val="Notedebasdepage"/>
      </w:pPr>
      <w:r>
        <w:rPr>
          <w:rStyle w:val="Appelnotedebasdep"/>
        </w:rPr>
        <w:footnoteRef/>
      </w:r>
      <w:r>
        <w:t xml:space="preserve"> $ Né en 1626, mort en 1683. </w:t>
      </w:r>
    </w:p>
  </w:footnote>
  <w:footnote w:id="985">
    <w:p w:rsidR="007F47B8" w:rsidRPr="005D2A18" w:rsidRDefault="007F47B8" w:rsidP="00C31960">
      <w:pPr>
        <w:pStyle w:val="Notedebasdepage"/>
      </w:pPr>
      <w:r>
        <w:rPr>
          <w:rStyle w:val="Appelnotedebasdep"/>
        </w:rPr>
        <w:footnoteRef/>
      </w:r>
      <w:r>
        <w:t xml:space="preserve"> $ Mort professeur à Iéna, le 28 juin 1768. </w:t>
      </w:r>
    </w:p>
  </w:footnote>
  <w:footnote w:id="986">
    <w:p w:rsidR="007F47B8" w:rsidRPr="005D2A18" w:rsidRDefault="007F47B8" w:rsidP="00C31960">
      <w:pPr>
        <w:pStyle w:val="Notedebasdepage"/>
      </w:pPr>
      <w:r>
        <w:rPr>
          <w:rStyle w:val="Appelnotedebasdep"/>
        </w:rPr>
        <w:footnoteRef/>
      </w:r>
      <w:r>
        <w:t xml:space="preserve"> $ De race israélite. Né le 12 mai 1805. Sa Concordance a pour titre principal :</w:t>
      </w:r>
      <w:r w:rsidRPr="0044481F">
        <w:rPr>
          <w:rStyle w:val="italicus"/>
        </w:rPr>
        <w:t xml:space="preserve"> Librórum sacrórum Véteris Testaménti Concordántiæ hebráicæ atque </w:t>
      </w:r>
      <w:r>
        <w:rPr>
          <w:rStyle w:val="italicus"/>
        </w:rPr>
        <w:t>c</w:t>
      </w:r>
      <w:r w:rsidRPr="0044481F">
        <w:rPr>
          <w:rStyle w:val="italicus"/>
        </w:rPr>
        <w:t>haldáicæ,</w:t>
      </w:r>
      <w:r>
        <w:t xml:space="preserve"> 3 vol. in-fol. </w:t>
      </w:r>
    </w:p>
  </w:footnote>
  <w:footnote w:id="987">
    <w:p w:rsidR="007F47B8" w:rsidRPr="005D2A18" w:rsidRDefault="007F47B8" w:rsidP="00C31960">
      <w:pPr>
        <w:pStyle w:val="Notedebasdepage"/>
      </w:pPr>
      <w:r>
        <w:rPr>
          <w:rStyle w:val="Appelnotedebasdep"/>
        </w:rPr>
        <w:footnoteRef/>
      </w:r>
      <w:r>
        <w:t xml:space="preserve"> $ Charles Schaaf (1646-1726</w:t>
      </w:r>
      <w:r w:rsidRPr="00BA383E">
        <w:t xml:space="preserve">) </w:t>
      </w:r>
      <w:r>
        <w:t xml:space="preserve">composa une Concordance syriaque du N. T. Elle fut éditée à Leyde en 1708. </w:t>
      </w:r>
    </w:p>
  </w:footnote>
  <w:footnote w:id="988">
    <w:p w:rsidR="007F47B8" w:rsidRPr="005D2A18" w:rsidRDefault="007F47B8" w:rsidP="00C31960">
      <w:pPr>
        <w:pStyle w:val="Notedebasdepage"/>
      </w:pPr>
      <w:r>
        <w:rPr>
          <w:rStyle w:val="Appelnotedebasdep"/>
        </w:rPr>
        <w:footnoteRef/>
      </w:r>
      <w:r>
        <w:t xml:space="preserve"> $ Sixte de Sienne nous l’apprend dans sa</w:t>
      </w:r>
      <w:r w:rsidRPr="0044481F">
        <w:rPr>
          <w:rStyle w:val="italicus"/>
        </w:rPr>
        <w:t xml:space="preserve"> Bibliothéca sancta,</w:t>
      </w:r>
      <w:r>
        <w:t xml:space="preserve"> lib. IV, p. 286 de l’édition de Cologne, 1626. </w:t>
      </w:r>
    </w:p>
  </w:footnote>
  <w:footnote w:id="989">
    <w:p w:rsidR="007F47B8" w:rsidRPr="005D2A18" w:rsidRDefault="007F47B8" w:rsidP="00C31960">
      <w:pPr>
        <w:pStyle w:val="Notedebasdepage"/>
        <w:rPr>
          <w:i/>
        </w:rPr>
      </w:pPr>
      <w:r>
        <w:rPr>
          <w:rStyle w:val="Appelnotedebasdep"/>
        </w:rPr>
        <w:footnoteRef/>
      </w:r>
      <w:r>
        <w:t xml:space="preserve"> $ </w:t>
      </w:r>
      <w:r w:rsidRPr="0044481F">
        <w:rPr>
          <w:rStyle w:val="italicus"/>
        </w:rPr>
        <w:t xml:space="preserve">Concordántiæ Véteris Testaménti græcæ, hebrǽis vócibus respondéntes. </w:t>
      </w:r>
    </w:p>
  </w:footnote>
  <w:footnote w:id="990">
    <w:p w:rsidR="007F47B8" w:rsidRDefault="007F47B8" w:rsidP="00C31960">
      <w:pPr>
        <w:pStyle w:val="Notedebasdepage"/>
      </w:pPr>
      <w:r>
        <w:rPr>
          <w:rStyle w:val="Appelnotedebasdep"/>
        </w:rPr>
        <w:footnoteRef/>
      </w:r>
      <w:r>
        <w:t xml:space="preserve"> </w:t>
      </w:r>
      <w:r>
        <w:rPr>
          <w:rStyle w:val="italicus"/>
        </w:rPr>
        <w:t xml:space="preserve">$ </w:t>
      </w:r>
      <w:r>
        <w:t xml:space="preserve">Voyez Bindseil, </w:t>
      </w:r>
      <w:r w:rsidRPr="001D0FD1">
        <w:rPr>
          <w:rStyle w:val="italicus"/>
        </w:rPr>
        <w:t>l. c.,</w:t>
      </w:r>
      <w:r>
        <w:rPr>
          <w:smallCaps/>
        </w:rPr>
        <w:t xml:space="preserve"> </w:t>
      </w:r>
      <w:r w:rsidRPr="001D0FD1">
        <w:t xml:space="preserve">p. LVI et suiv. </w:t>
      </w:r>
    </w:p>
  </w:footnote>
  <w:footnote w:id="991">
    <w:p w:rsidR="007F47B8" w:rsidRPr="005D2A18" w:rsidRDefault="007F47B8" w:rsidP="00C31960">
      <w:pPr>
        <w:pStyle w:val="Notedebasdepage"/>
      </w:pPr>
      <w:r>
        <w:rPr>
          <w:rStyle w:val="Appelnotedebasdep"/>
        </w:rPr>
        <w:footnoteRef/>
      </w:r>
      <w:r>
        <w:t xml:space="preserve"> $ Né à Groningue le 23 août 1633, mort le 29 mai 1719, âgé de près de cent ans. Il fut longtemps pasteur (protestant</w:t>
      </w:r>
      <w:r w:rsidRPr="00BA383E">
        <w:t xml:space="preserve">) </w:t>
      </w:r>
      <w:r>
        <w:t xml:space="preserve">dans sa ville natale. </w:t>
      </w:r>
    </w:p>
  </w:footnote>
  <w:footnote w:id="992">
    <w:p w:rsidR="007F47B8" w:rsidRDefault="007F47B8" w:rsidP="00C31960">
      <w:pPr>
        <w:pStyle w:val="Notedebasdepage"/>
      </w:pPr>
      <w:r>
        <w:rPr>
          <w:rStyle w:val="Appelnotedebasdep"/>
        </w:rPr>
        <w:footnoteRef/>
      </w:r>
      <w:r>
        <w:t xml:space="preserve"> </w:t>
      </w:r>
      <w:r w:rsidRPr="001D0FD1">
        <w:t>$</w:t>
      </w:r>
      <w:r>
        <w:t xml:space="preserve"> </w:t>
      </w:r>
      <w:r w:rsidRPr="001D0FD1">
        <w:t>Elle est intitulée :</w:t>
      </w:r>
      <w:r w:rsidRPr="0044481F">
        <w:rPr>
          <w:rStyle w:val="italicus"/>
        </w:rPr>
        <w:t xml:space="preserve"> Concordántiæ græcæ versiónis</w:t>
      </w:r>
      <w:r>
        <w:rPr>
          <w:rStyle w:val="italicus"/>
        </w:rPr>
        <w:t>, vulgo dictæ</w:t>
      </w:r>
      <w:r w:rsidRPr="0044481F">
        <w:rPr>
          <w:rStyle w:val="italicus"/>
        </w:rPr>
        <w:t xml:space="preserve"> LXX</w:t>
      </w:r>
      <w:r>
        <w:rPr>
          <w:rStyle w:val="italicus"/>
        </w:rPr>
        <w:t xml:space="preserve"> int</w:t>
      </w:r>
      <w:r w:rsidRPr="0044481F">
        <w:rPr>
          <w:rStyle w:val="italicus"/>
        </w:rPr>
        <w:t xml:space="preserve">érpretum, </w:t>
      </w:r>
      <w:r w:rsidRPr="001D0FD1">
        <w:t xml:space="preserve">2 vol. in-fol., Amsterdam 1710. </w:t>
      </w:r>
    </w:p>
  </w:footnote>
  <w:footnote w:id="993">
    <w:p w:rsidR="007F47B8" w:rsidRPr="005D2A18" w:rsidRDefault="007F47B8" w:rsidP="00C31960">
      <w:pPr>
        <w:pStyle w:val="Notedebasdepage"/>
      </w:pPr>
      <w:r>
        <w:rPr>
          <w:rStyle w:val="Appelnotedebasdep"/>
        </w:rPr>
        <w:footnoteRef/>
      </w:r>
      <w:r>
        <w:t xml:space="preserve"> </w:t>
      </w:r>
      <w:r>
        <w:rPr>
          <w:rStyle w:val="italicus"/>
        </w:rPr>
        <w:t xml:space="preserve">$ </w:t>
      </w:r>
      <w:r>
        <w:t xml:space="preserve">Son vrai nom était Sixtus Birken ; il vécut de 1500 à 1554. </w:t>
      </w:r>
    </w:p>
  </w:footnote>
  <w:footnote w:id="994">
    <w:p w:rsidR="007F47B8" w:rsidRPr="005D2A18" w:rsidRDefault="007F47B8" w:rsidP="00C31960">
      <w:pPr>
        <w:pStyle w:val="Notedebasdepage"/>
      </w:pPr>
      <w:r>
        <w:rPr>
          <w:rStyle w:val="Appelnotedebasdep"/>
        </w:rPr>
        <w:footnoteRef/>
      </w:r>
      <w:r>
        <w:t xml:space="preserve"> </w:t>
      </w:r>
      <w:r w:rsidRPr="001077D9">
        <w:t>$ Fils de Robert Étienne, 1528-1598. Ses</w:t>
      </w:r>
      <w:r>
        <w:rPr>
          <w:rStyle w:val="italicus"/>
        </w:rPr>
        <w:t xml:space="preserve"> Concordántiæ græco-latínæ</w:t>
      </w:r>
      <w:r w:rsidRPr="0044481F">
        <w:rPr>
          <w:rStyle w:val="italicus"/>
        </w:rPr>
        <w:t xml:space="preserve"> Novi Testaménti</w:t>
      </w:r>
      <w:r w:rsidRPr="001077D9">
        <w:t xml:space="preserve"> sont renfermées dans un vol. in-folio. </w:t>
      </w:r>
    </w:p>
  </w:footnote>
  <w:footnote w:id="995">
    <w:p w:rsidR="007F47B8" w:rsidRPr="005D2A18" w:rsidRDefault="007F47B8" w:rsidP="00C31960">
      <w:pPr>
        <w:pStyle w:val="Notedebasdepage"/>
      </w:pPr>
      <w:r>
        <w:rPr>
          <w:rStyle w:val="Appelnotedebasdep"/>
        </w:rPr>
        <w:footnoteRef/>
      </w:r>
      <w:r>
        <w:t xml:space="preserve"> $ 1560-1637. </w:t>
      </w:r>
    </w:p>
  </w:footnote>
  <w:footnote w:id="996">
    <w:p w:rsidR="007F47B8" w:rsidRPr="005D2A18" w:rsidRDefault="007F47B8" w:rsidP="00C31960">
      <w:pPr>
        <w:pStyle w:val="Notedebasdepage"/>
      </w:pPr>
      <w:r>
        <w:rPr>
          <w:rStyle w:val="Appelnotedebasdep"/>
        </w:rPr>
        <w:footnoteRef/>
      </w:r>
      <w:r>
        <w:t xml:space="preserve"> </w:t>
      </w:r>
      <w:r w:rsidRPr="001D0FD1">
        <w:t>$ Ταμιε</w:t>
      </w:r>
      <w:r>
        <w:t>ῖ</w:t>
      </w:r>
      <w:r w:rsidRPr="001D0FD1">
        <w:t>ον τῶν τ</w:t>
      </w:r>
      <w:r>
        <w:t>ῆ</w:t>
      </w:r>
      <w:r w:rsidRPr="001D0FD1">
        <w:t>ς Καιν</w:t>
      </w:r>
      <w:r>
        <w:t>ῆ</w:t>
      </w:r>
      <w:r w:rsidRPr="001D0FD1">
        <w:t>ς Διαθ</w:t>
      </w:r>
      <w:r>
        <w:t>ή</w:t>
      </w:r>
      <w:r w:rsidRPr="001D0FD1">
        <w:t xml:space="preserve">κης </w:t>
      </w:r>
      <w:r w:rsidRPr="00633757">
        <w:t>Αεξεων</w:t>
      </w:r>
      <w:r>
        <w:t>,</w:t>
      </w:r>
      <w:r w:rsidRPr="0044481F">
        <w:rPr>
          <w:rStyle w:val="italicus"/>
        </w:rPr>
        <w:t xml:space="preserve"> sive Concordántiæ omnium vocum Novi Testaménti.</w:t>
      </w:r>
      <w:r>
        <w:t xml:space="preserve"> II. Bruder est né à Leipzig en 1809. Sa Concordance n’est qu’une correction de celle de Schmid. </w:t>
      </w:r>
    </w:p>
  </w:footnote>
  <w:footnote w:id="997">
    <w:p w:rsidR="007F47B8" w:rsidRPr="005D2A18" w:rsidRDefault="007F47B8" w:rsidP="00C31960">
      <w:pPr>
        <w:pStyle w:val="Notedebasdepage"/>
      </w:pPr>
      <w:r>
        <w:rPr>
          <w:rStyle w:val="Appelnotedebasdep"/>
        </w:rPr>
        <w:footnoteRef/>
      </w:r>
      <w:r>
        <w:t xml:space="preserve"> $ C’est-à-dire les types inventés par le cardinal Hugues de Saint-Cher, par les Dominicains anglais, par Conrad d’Halberstadt et par Jean de Raguse. </w:t>
      </w:r>
    </w:p>
  </w:footnote>
  <w:footnote w:id="998">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lang w:val="en-US"/>
        </w:rPr>
        <w:t xml:space="preserve">$ « Apud Inclytam Germániæ Basileam » ; un vol. in-folio. </w:t>
      </w:r>
    </w:p>
  </w:footnote>
  <w:footnote w:id="999">
    <w:p w:rsidR="007F47B8" w:rsidRDefault="007F47B8" w:rsidP="00C31960">
      <w:pPr>
        <w:pStyle w:val="Notedebasdepage"/>
      </w:pPr>
      <w:r>
        <w:rPr>
          <w:rStyle w:val="Appelnotedebasdep"/>
        </w:rPr>
        <w:footnoteRef/>
      </w:r>
      <w:r>
        <w:t xml:space="preserve"> $ </w:t>
      </w:r>
      <w:r w:rsidRPr="0044481F">
        <w:rPr>
          <w:rStyle w:val="italicus"/>
        </w:rPr>
        <w:t>Concordántiæ majores sacrai Bíbliæ, summis vigíliis</w:t>
      </w:r>
      <w:r>
        <w:rPr>
          <w:rStyle w:val="italicus"/>
        </w:rPr>
        <w:t xml:space="preserve"> </w:t>
      </w:r>
      <w:r w:rsidRPr="0044481F">
        <w:rPr>
          <w:rStyle w:val="italicus"/>
        </w:rPr>
        <w:t>jam dénuo ultra omnes editiónes</w:t>
      </w:r>
      <w:r>
        <w:rPr>
          <w:rStyle w:val="italicus"/>
        </w:rPr>
        <w:t xml:space="preserve"> castigátæ</w:t>
      </w:r>
      <w:r w:rsidRPr="0044481F">
        <w:rPr>
          <w:rStyle w:val="italicus"/>
        </w:rPr>
        <w:t xml:space="preserve">. </w:t>
      </w:r>
      <w:r w:rsidRPr="00881611">
        <w:t xml:space="preserve">Un vol. in-4°. </w:t>
      </w:r>
    </w:p>
  </w:footnote>
  <w:footnote w:id="1000">
    <w:p w:rsidR="007F47B8" w:rsidRDefault="007F47B8" w:rsidP="00C31960">
      <w:pPr>
        <w:pStyle w:val="Notedebasdepage"/>
      </w:pPr>
      <w:r>
        <w:rPr>
          <w:rStyle w:val="Appelnotedebasdep"/>
        </w:rPr>
        <w:footnoteRef/>
      </w:r>
      <w:r>
        <w:t xml:space="preserve"> </w:t>
      </w:r>
      <w:r w:rsidRPr="00881611">
        <w:t xml:space="preserve">$ Un vol. in-folio. </w:t>
      </w:r>
    </w:p>
  </w:footnote>
  <w:footnote w:id="1001">
    <w:p w:rsidR="007F47B8" w:rsidRPr="005D2A18" w:rsidRDefault="007F47B8" w:rsidP="00C31960">
      <w:pPr>
        <w:pStyle w:val="Notedebasdepage"/>
      </w:pPr>
      <w:r>
        <w:rPr>
          <w:rStyle w:val="Appelnotedebasdep"/>
        </w:rPr>
        <w:footnoteRef/>
      </w:r>
      <w:r>
        <w:t xml:space="preserve"> </w:t>
      </w:r>
      <w:r>
        <w:rPr>
          <w:rStyle w:val="italicus"/>
        </w:rPr>
        <w:t xml:space="preserve">$ </w:t>
      </w:r>
      <w:r>
        <w:t>Il conserve cependant les lettres</w:t>
      </w:r>
      <w:r w:rsidRPr="0044481F">
        <w:rPr>
          <w:rStyle w:val="italicus"/>
        </w:rPr>
        <w:t xml:space="preserve"> a, b, c,</w:t>
      </w:r>
      <w:r>
        <w:t xml:space="preserve"> etc., mais elles disparurent peu de temps après. </w:t>
      </w:r>
    </w:p>
  </w:footnote>
  <w:footnote w:id="1002">
    <w:p w:rsidR="007F47B8" w:rsidRPr="005D2A18" w:rsidRDefault="007F47B8" w:rsidP="00C31960">
      <w:pPr>
        <w:pStyle w:val="Notedebasdepage"/>
      </w:pPr>
      <w:r>
        <w:rPr>
          <w:rStyle w:val="Appelnotedebasdep"/>
        </w:rPr>
        <w:footnoteRef/>
      </w:r>
      <w:r>
        <w:t xml:space="preserve"> $ L’astérisque représente le mot placé en vedette ; la croix indique que le texte suivant appartient à l’auteur qui vient d’être cité. </w:t>
      </w:r>
    </w:p>
  </w:footnote>
  <w:footnote w:id="1003">
    <w:p w:rsidR="007F47B8" w:rsidRPr="005D2A18" w:rsidRDefault="007F47B8" w:rsidP="00C31960">
      <w:pPr>
        <w:pStyle w:val="Notedebasdepage"/>
      </w:pPr>
      <w:r>
        <w:rPr>
          <w:rStyle w:val="Appelnotedebasdep"/>
        </w:rPr>
        <w:footnoteRef/>
      </w:r>
      <w:r>
        <w:t xml:space="preserve"> $ </w:t>
      </w:r>
      <w:r w:rsidRPr="0044481F">
        <w:rPr>
          <w:rStyle w:val="italicus"/>
        </w:rPr>
        <w:t>Francíscus Lucas,</w:t>
      </w:r>
      <w:r>
        <w:t xml:space="preserve"> surnommé</w:t>
      </w:r>
      <w:r w:rsidRPr="0044481F">
        <w:rPr>
          <w:rStyle w:val="italicus"/>
        </w:rPr>
        <w:t xml:space="preserve"> Brug</w:t>
      </w:r>
      <w:r>
        <w:rPr>
          <w:rStyle w:val="italicus"/>
        </w:rPr>
        <w:t>é</w:t>
      </w:r>
      <w:r w:rsidRPr="0044481F">
        <w:rPr>
          <w:rStyle w:val="italicus"/>
        </w:rPr>
        <w:t>nsis,</w:t>
      </w:r>
      <w:r>
        <w:t xml:space="preserve"> parce qu’il était originaire de Bruges (1549). C’est un des plus savants exégètes catholiques, et nos adversaires eux-mêmes apprécient ses beaux commentaires. Il mourut en 619. </w:t>
      </w:r>
    </w:p>
  </w:footnote>
  <w:footnote w:id="1004">
    <w:p w:rsidR="007F47B8" w:rsidRPr="005D2A18" w:rsidRDefault="007F47B8" w:rsidP="00C31960">
      <w:pPr>
        <w:pStyle w:val="Notedebasdepage"/>
      </w:pPr>
      <w:r>
        <w:rPr>
          <w:rStyle w:val="Appelnotedebasdep"/>
        </w:rPr>
        <w:footnoteRef/>
      </w:r>
      <w:r>
        <w:t xml:space="preserve"> $ Dominicain qui vivait au XVIIe siècle. </w:t>
      </w:r>
    </w:p>
  </w:footnote>
  <w:footnote w:id="1005">
    <w:p w:rsidR="007F47B8" w:rsidRDefault="007F47B8" w:rsidP="00C31960">
      <w:pPr>
        <w:pStyle w:val="Notedebasdepage"/>
      </w:pPr>
      <w:r>
        <w:rPr>
          <w:rStyle w:val="Appelnotedebasdep"/>
        </w:rPr>
        <w:footnoteRef/>
      </w:r>
      <w:r>
        <w:t xml:space="preserve"> $ </w:t>
      </w:r>
      <w:r w:rsidRPr="0044481F">
        <w:rPr>
          <w:rStyle w:val="italicus"/>
        </w:rPr>
        <w:t>Concordántiæ recensítæ</w:t>
      </w:r>
      <w:r>
        <w:rPr>
          <w:rStyle w:val="italicus"/>
        </w:rPr>
        <w:t xml:space="preserve"> algue emendátæ</w:t>
      </w:r>
      <w:r w:rsidRPr="0044481F">
        <w:rPr>
          <w:rStyle w:val="italicus"/>
        </w:rPr>
        <w:t xml:space="preserve"> primum a Franc. Luca, dénuo</w:t>
      </w:r>
      <w:r>
        <w:rPr>
          <w:rStyle w:val="italicus"/>
        </w:rPr>
        <w:t xml:space="preserve"> expurgátæ ac locupletátæ cura Huberti Phalé</w:t>
      </w:r>
      <w:r w:rsidRPr="0044481F">
        <w:rPr>
          <w:rStyle w:val="italicus"/>
        </w:rPr>
        <w:t xml:space="preserve">sii. </w:t>
      </w:r>
      <w:r w:rsidRPr="002D0577">
        <w:t>On la rencontre assez souvent d’occasion. Elle a d’ailleurs été rééditée à Vienne (Autriche</w:t>
      </w:r>
      <w:r w:rsidRPr="00BA383E">
        <w:t xml:space="preserve">) </w:t>
      </w:r>
      <w:r w:rsidRPr="002D0577">
        <w:t xml:space="preserve">en 1825. </w:t>
      </w:r>
    </w:p>
  </w:footnote>
  <w:footnote w:id="1006">
    <w:p w:rsidR="007F47B8" w:rsidRPr="005D2A18" w:rsidRDefault="007F47B8" w:rsidP="00C31960">
      <w:pPr>
        <w:pStyle w:val="Notedebasdepage"/>
      </w:pPr>
      <w:r>
        <w:rPr>
          <w:rStyle w:val="Appelnotedebasdep"/>
        </w:rPr>
        <w:footnoteRef/>
      </w:r>
      <w:r>
        <w:t xml:space="preserve"> </w:t>
      </w:r>
      <w:r>
        <w:rPr>
          <w:rStyle w:val="italicus"/>
        </w:rPr>
        <w:t xml:space="preserve">$ </w:t>
      </w:r>
      <w:r w:rsidRPr="0044481F">
        <w:rPr>
          <w:rStyle w:val="italicus"/>
        </w:rPr>
        <w:t>Concordántiæ Bibliórum sacrórum Vulgátæ editiónis,… notis históricis, geogr</w:t>
      </w:r>
      <w:r>
        <w:rPr>
          <w:rStyle w:val="italicus"/>
        </w:rPr>
        <w:t>á</w:t>
      </w:r>
      <w:r w:rsidRPr="0044481F">
        <w:rPr>
          <w:rStyle w:val="italicus"/>
        </w:rPr>
        <w:t>phicis, chrónicis locupletátæ.</w:t>
      </w:r>
      <w:r>
        <w:t xml:space="preserve"> Paris, 1838 ; un vol. in-4°. Elle a ajouté environ 22,000 passages bibliques, omis antérieurement ! Elle a reçu l’approbation unanime de l’épiscopat français et belge, et les exégètes protestants eux-mêmes l’ont chaudement accueillie. — Le</w:t>
      </w:r>
      <w:r w:rsidRPr="0044481F">
        <w:rPr>
          <w:rStyle w:val="italicus"/>
        </w:rPr>
        <w:t xml:space="preserve"> Concordantiárum SS. Scriptúræ Manuale,</w:t>
      </w:r>
      <w:r>
        <w:t xml:space="preserve"> ou Concordance abrégée, publié à Lyon en 1852</w:t>
      </w:r>
      <w:r w:rsidRPr="00BA383E">
        <w:t xml:space="preserve">) </w:t>
      </w:r>
      <w:r>
        <w:t>un vol. in-8°, 2e éd. en 1883</w:t>
      </w:r>
      <w:r w:rsidRPr="00BA383E">
        <w:t xml:space="preserve">) </w:t>
      </w:r>
      <w:r>
        <w:t xml:space="preserve">par les RR. PP. de Raze, de Lachaud et Flandrin, peut suffire aux besoins ordinaires d’un grand nombre des membres du clergé ; mais mieux vaut encore une Concordance complète, car c’est ici le cas d’appliquer le vieux proverbe : « Abondance de biens ne nuit pas », tandis que des abréviations et des omissions notables deviennent facilement gênantes. </w:t>
      </w:r>
    </w:p>
  </w:footnote>
  <w:footnote w:id="1007">
    <w:p w:rsidR="007F47B8" w:rsidRPr="005D2A18" w:rsidRDefault="007F47B8" w:rsidP="00C31960">
      <w:pPr>
        <w:pStyle w:val="Notedebasdepage"/>
      </w:pPr>
      <w:r>
        <w:rPr>
          <w:rStyle w:val="Appelnotedebasdep"/>
        </w:rPr>
        <w:footnoteRef/>
      </w:r>
      <w:r>
        <w:t xml:space="preserve"> $ </w:t>
      </w:r>
      <w:r w:rsidRPr="0044481F">
        <w:rPr>
          <w:rStyle w:val="italicus"/>
        </w:rPr>
        <w:t>Loc. cit.,</w:t>
      </w:r>
      <w:r>
        <w:t xml:space="preserve"> p. CV et suiv. </w:t>
      </w:r>
    </w:p>
  </w:footnote>
  <w:footnote w:id="1008">
    <w:p w:rsidR="007F47B8" w:rsidRPr="005D2A18" w:rsidRDefault="007F47B8" w:rsidP="00C31960">
      <w:pPr>
        <w:pStyle w:val="Notedebasdepage"/>
        <w:rPr>
          <w:lang w:val="en-US"/>
        </w:rPr>
      </w:pPr>
      <w:r>
        <w:rPr>
          <w:rStyle w:val="Appelnotedebasdep"/>
        </w:rPr>
        <w:footnoteRef/>
      </w:r>
      <w:r w:rsidRPr="005D2A18">
        <w:rPr>
          <w:lang w:val="en-US"/>
        </w:rPr>
        <w:t xml:space="preserve"> </w:t>
      </w:r>
      <w:r w:rsidRPr="00F84A0B">
        <w:rPr>
          <w:lang w:val="en-US"/>
        </w:rPr>
        <w:t xml:space="preserve">$ </w:t>
      </w:r>
      <w:r w:rsidRPr="00F84A0B">
        <w:rPr>
          <w:rStyle w:val="italicus"/>
          <w:lang w:val="en-US"/>
        </w:rPr>
        <w:t xml:space="preserve">Scriptóres Ordinis Prædicatórum, </w:t>
      </w:r>
      <w:r w:rsidRPr="00F84A0B">
        <w:rPr>
          <w:lang w:val="en-US"/>
        </w:rPr>
        <w:t xml:space="preserve">t. I, p. 209. </w:t>
      </w:r>
    </w:p>
  </w:footnote>
  <w:footnote w:id="1009">
    <w:p w:rsidR="007F47B8" w:rsidRPr="00B63F65" w:rsidRDefault="007F47B8" w:rsidP="00C31960">
      <w:pPr>
        <w:pStyle w:val="Notedebasdepage"/>
      </w:pPr>
      <w:r>
        <w:rPr>
          <w:rStyle w:val="Appelnotedebasdep"/>
        </w:rPr>
        <w:footnoteRef/>
      </w:r>
      <w:r w:rsidRPr="005D2A18">
        <w:rPr>
          <w:lang w:val="en-US"/>
        </w:rPr>
        <w:t xml:space="preserve"> </w:t>
      </w:r>
      <w:r w:rsidRPr="00F84A0B">
        <w:rPr>
          <w:rStyle w:val="italicus"/>
          <w:lang w:val="en-US"/>
        </w:rPr>
        <w:t xml:space="preserve">$ </w:t>
      </w:r>
      <w:r w:rsidRPr="00F84A0B">
        <w:rPr>
          <w:lang w:val="en-US"/>
        </w:rPr>
        <w:t>« Cum magnus Concordantiárum Biblicárum fructus satis cógnitus esset, ne mirémur, quod paulo postquam Luthérus suam Novi Testaménti translatiónem germánicam anno 1522 edíderat, multi optábant, ut idem fructus, quem latínis Bíbliis uténtes jam a sǽculo XIIIe ex ejúsmodi libris háuserant, is quoque afferrétur, qui hoc Novo Testaménto vernáculo utebántur.</w:t>
      </w:r>
      <w:r w:rsidRPr="00B63F65">
        <w:rPr>
          <w:lang w:val="en-US"/>
        </w:rPr>
        <w:t xml:space="preserve"> » </w:t>
      </w:r>
      <w:r>
        <w:t xml:space="preserve">Bindseil, </w:t>
      </w:r>
      <w:r w:rsidRPr="00B63F65">
        <w:rPr>
          <w:rStyle w:val="italicus"/>
        </w:rPr>
        <w:t>l. c.,</w:t>
      </w:r>
      <w:r>
        <w:t xml:space="preserve"> p. ex. La première fut imprimée à Strasbourg dès l’an 1524. </w:t>
      </w:r>
    </w:p>
  </w:footnote>
  <w:footnote w:id="1010">
    <w:p w:rsidR="007F47B8" w:rsidRPr="005D2A18" w:rsidRDefault="007F47B8" w:rsidP="00C31960">
      <w:pPr>
        <w:pStyle w:val="Notedebasdepage"/>
      </w:pPr>
      <w:r>
        <w:rPr>
          <w:rStyle w:val="Appelnotedebasdep"/>
        </w:rPr>
        <w:footnoteRef/>
      </w:r>
      <w:r>
        <w:t xml:space="preserve"> $ Pour les Concordances anglaises, voyez Kitto,</w:t>
      </w:r>
      <w:r w:rsidRPr="0044481F">
        <w:rPr>
          <w:rStyle w:val="italicus"/>
        </w:rPr>
        <w:t xml:space="preserve"> Cyclopædia of Biblical Literature,</w:t>
      </w:r>
      <w:r>
        <w:t xml:space="preserve"> t. I, p. 552 et suiv. de la troisième édition.</w:t>
      </w:r>
    </w:p>
  </w:footnote>
  <w:footnote w:id="1011">
    <w:p w:rsidR="007F47B8" w:rsidRPr="005D2A18" w:rsidRDefault="007F47B8" w:rsidP="00C31960">
      <w:pPr>
        <w:pStyle w:val="Notedebasdepage"/>
      </w:pPr>
      <w:r>
        <w:rPr>
          <w:rStyle w:val="Appelnotedebasdep"/>
        </w:rPr>
        <w:footnoteRef/>
      </w:r>
      <w:r>
        <w:t xml:space="preserve"> $ </w:t>
      </w:r>
      <w:r w:rsidRPr="0044481F">
        <w:rPr>
          <w:rStyle w:val="italicus"/>
        </w:rPr>
        <w:t xml:space="preserve">Concordance de la Bible, </w:t>
      </w:r>
      <w:r w:rsidRPr="00910E79">
        <w:t>un vol. in-folio.</w:t>
      </w:r>
    </w:p>
  </w:footnote>
  <w:footnote w:id="1012">
    <w:p w:rsidR="007F47B8" w:rsidRDefault="007F47B8" w:rsidP="00C31960">
      <w:pPr>
        <w:pStyle w:val="Notedebasdepage"/>
      </w:pPr>
      <w:r>
        <w:rPr>
          <w:rStyle w:val="Appelnotedebasdep"/>
        </w:rPr>
        <w:footnoteRef/>
      </w:r>
      <w:r>
        <w:t xml:space="preserve"> </w:t>
      </w:r>
      <w:r>
        <w:rPr>
          <w:rStyle w:val="italicus"/>
        </w:rPr>
        <w:t xml:space="preserve">$ </w:t>
      </w:r>
      <w:r>
        <w:t>Né en 1195, mort en 1231. Elles furent imprimées pour la première fois à Rome en 1623, sous ce titre :</w:t>
      </w:r>
      <w:r w:rsidRPr="0044481F">
        <w:rPr>
          <w:rStyle w:val="italicus"/>
        </w:rPr>
        <w:t xml:space="preserve"> Concordántiæ morales SS. Bibliórum cum annotatiónibus ;</w:t>
      </w:r>
      <w:r>
        <w:t xml:space="preserve"> un vol. in-4°.</w:t>
      </w:r>
    </w:p>
  </w:footnote>
  <w:footnote w:id="1013">
    <w:p w:rsidR="007F47B8" w:rsidRPr="005D2A18" w:rsidRDefault="007F47B8" w:rsidP="00C31960">
      <w:pPr>
        <w:pStyle w:val="Notedebasdepage"/>
      </w:pPr>
      <w:r>
        <w:rPr>
          <w:rStyle w:val="Appelnotedebasdep"/>
        </w:rPr>
        <w:footnoteRef/>
      </w:r>
      <w:r>
        <w:t xml:space="preserve"> </w:t>
      </w:r>
      <w:r w:rsidRPr="00910E79">
        <w:t>$</w:t>
      </w:r>
      <w:r>
        <w:t xml:space="preserve"> </w:t>
      </w:r>
      <w:r w:rsidRPr="00910E79">
        <w:t>Mort en 1754.</w:t>
      </w:r>
      <w:r w:rsidRPr="0044481F">
        <w:rPr>
          <w:rStyle w:val="italicus"/>
        </w:rPr>
        <w:t xml:space="preserve"> </w:t>
      </w:r>
      <w:r>
        <w:rPr>
          <w:rStyle w:val="italicus"/>
        </w:rPr>
        <w:t>Thesáurus</w:t>
      </w:r>
      <w:r w:rsidRPr="0044481F">
        <w:rPr>
          <w:rStyle w:val="italicus"/>
        </w:rPr>
        <w:t xml:space="preserve"> Bíblicus, hoc est, Dicta, senténtiæ et exémpla ex SS. Bíbliis collecta et per locos communes distribúta, lexic</w:t>
      </w:r>
      <w:r>
        <w:rPr>
          <w:rStyle w:val="italicus"/>
        </w:rPr>
        <w:t>ó</w:t>
      </w:r>
      <w:r w:rsidRPr="0044481F">
        <w:rPr>
          <w:rStyle w:val="italicus"/>
        </w:rPr>
        <w:t xml:space="preserve">rum órdine alphabético, ad usum concionándi et disputándi. </w:t>
      </w:r>
      <w:r w:rsidRPr="00910E79">
        <w:t>Augsbourg, 1733-1738 ; réédité à Paris en 1880 (un vol. in-8°).</w:t>
      </w:r>
    </w:p>
  </w:footnote>
  <w:footnote w:id="1014">
    <w:p w:rsidR="007F47B8" w:rsidRDefault="007F47B8" w:rsidP="00C31960">
      <w:pPr>
        <w:pStyle w:val="Notedebasdepage"/>
      </w:pPr>
      <w:r>
        <w:rPr>
          <w:rStyle w:val="Appelnotedebasdep"/>
        </w:rPr>
        <w:footnoteRef/>
      </w:r>
      <w:r>
        <w:t xml:space="preserve"> </w:t>
      </w:r>
      <w:r>
        <w:rPr>
          <w:rStyle w:val="italicus"/>
        </w:rPr>
        <w:t xml:space="preserve">$ </w:t>
      </w:r>
      <w:r w:rsidRPr="0044481F">
        <w:rPr>
          <w:rStyle w:val="italicus"/>
        </w:rPr>
        <w:t xml:space="preserve">Répertoire universel et analytique d’Écriture Sainte, contenant tout le texte sacré, selon l’ordre alphabétique des sujets d’histoire, de dogme et de morale. </w:t>
      </w:r>
      <w:r w:rsidRPr="00910E79">
        <w:t>Paris, 1837 ; deux vol. in-4°.</w:t>
      </w:r>
    </w:p>
  </w:footnote>
  <w:footnote w:id="1015">
    <w:p w:rsidR="007F47B8" w:rsidRDefault="007F47B8" w:rsidP="00C31960">
      <w:pPr>
        <w:pStyle w:val="Notedebasdepage"/>
      </w:pPr>
      <w:r>
        <w:rPr>
          <w:rStyle w:val="Appelnotedebasdep"/>
        </w:rPr>
        <w:footnoteRef/>
      </w:r>
      <w:r>
        <w:t xml:space="preserve"> </w:t>
      </w:r>
      <w:r>
        <w:rPr>
          <w:rStyle w:val="italicus"/>
        </w:rPr>
        <w:t xml:space="preserve">$ </w:t>
      </w:r>
      <w:r>
        <w:t>II serait à souhaiter qu’on en fît une révision sérieuse, d’autant mieux qu’elles ont été souvent gâtées par des mains inhabiles. Il y aurait beaucoup à élaguer, beaucoup à ajouter. Elles sont très utiles pour montrer les relations intimes des deux Testaments.</w:t>
      </w:r>
    </w:p>
  </w:footnote>
  <w:footnote w:id="1016">
    <w:p w:rsidR="007F47B8" w:rsidRPr="005D2A18" w:rsidRDefault="007F47B8" w:rsidP="00C31960">
      <w:pPr>
        <w:pStyle w:val="Notedebasdepage"/>
      </w:pPr>
      <w:r>
        <w:rPr>
          <w:rStyle w:val="Appelnotedebasdep"/>
        </w:rPr>
        <w:footnoteRef/>
      </w:r>
      <w:r>
        <w:t xml:space="preserve"> $ Wittemberg, 1622 ; un vol. in-4°.</w:t>
      </w:r>
    </w:p>
  </w:footnote>
  <w:footnote w:id="1017">
    <w:p w:rsidR="007F47B8" w:rsidRPr="005D2A18" w:rsidRDefault="007F47B8" w:rsidP="00C31960">
      <w:pPr>
        <w:pStyle w:val="Notedebasdepage"/>
      </w:pPr>
      <w:r>
        <w:rPr>
          <w:rStyle w:val="Appelnotedebasdep"/>
        </w:rPr>
        <w:footnoteRef/>
      </w:r>
      <w:r>
        <w:t xml:space="preserve"> $ Lib. III, au chapitre intitulé :</w:t>
      </w:r>
      <w:r w:rsidRPr="0044481F">
        <w:rPr>
          <w:rStyle w:val="italicus"/>
        </w:rPr>
        <w:t xml:space="preserve"> De syll</w:t>
      </w:r>
      <w:r>
        <w:rPr>
          <w:rStyle w:val="italicus"/>
        </w:rPr>
        <w:t>á</w:t>
      </w:r>
      <w:r w:rsidRPr="0044481F">
        <w:rPr>
          <w:rStyle w:val="italicus"/>
        </w:rPr>
        <w:t>bica expon</w:t>
      </w:r>
      <w:r>
        <w:rPr>
          <w:rStyle w:val="italicus"/>
        </w:rPr>
        <w:t>é</w:t>
      </w:r>
      <w:r w:rsidRPr="0044481F">
        <w:rPr>
          <w:rStyle w:val="italicus"/>
        </w:rPr>
        <w:t>ndi rati</w:t>
      </w:r>
      <w:r>
        <w:rPr>
          <w:rStyle w:val="italicus"/>
        </w:rPr>
        <w:t>ó</w:t>
      </w:r>
      <w:r w:rsidRPr="0044481F">
        <w:rPr>
          <w:rStyle w:val="italicus"/>
        </w:rPr>
        <w:t>ne, méthodo t</w:t>
      </w:r>
      <w:r>
        <w:rPr>
          <w:rStyle w:val="italicus"/>
        </w:rPr>
        <w:t>é</w:t>
      </w:r>
      <w:r w:rsidRPr="0044481F">
        <w:rPr>
          <w:rStyle w:val="italicus"/>
        </w:rPr>
        <w:t>rtia.</w:t>
      </w:r>
      <w:r>
        <w:t xml:space="preserve"> « Est autem, dit-il, tanta hujus magni índicis et commóditas et utílitas, ut cum primum studiósus Lector ipsum prudénter et cum judício versáre didícerit, et familiaritáti ejus assuéscere cǿperit, íllico séntiat, se in illo invenísse thesáurum quemdam inexplébilem, hoc est, universálem et absolutíssimam totíus divínæ Scriptúræ expositiónem ; ex cujus usu non minórem fructum ac delectatiónem cápiat, quam si innúmeros expositórum commentários evólveret. Mémini me olim rogántibus amícis dedísse in hunc índicem breve commentariórum,</w:t>
      </w:r>
      <w:r w:rsidRPr="0044481F">
        <w:rPr>
          <w:rStyle w:val="italicus"/>
        </w:rPr>
        <w:t xml:space="preserve"> De usu et utilit</w:t>
      </w:r>
      <w:r>
        <w:rPr>
          <w:rStyle w:val="italicus"/>
        </w:rPr>
        <w:t>á</w:t>
      </w:r>
      <w:r w:rsidRPr="0044481F">
        <w:rPr>
          <w:rStyle w:val="italicus"/>
        </w:rPr>
        <w:t>te Concordanti</w:t>
      </w:r>
      <w:r>
        <w:rPr>
          <w:rStyle w:val="italicus"/>
        </w:rPr>
        <w:t>árum</w:t>
      </w:r>
      <w:r w:rsidRPr="0044481F">
        <w:rPr>
          <w:rStyle w:val="italicus"/>
        </w:rPr>
        <w:t xml:space="preserve"> sacræ Bíbliæ</w:t>
      </w:r>
      <w:r>
        <w:t xml:space="preserve"> inscríptum, breves et dilúcidas quasdam régulas comprehéndens ; quibus instrúcti sanctárum Litterárum amatóres fácile possent ex hoc uno Concordantiárum volúmine, étiam absque ullis expositórum commentáriis, innumerabílium fere locórum, in divínis Lítteris obscurórum, sensus et intelligéntias várias ac multíplices intellígere et explicáre ; nec explicáre solum, sed, quod longe operósius est, comparáre sibi super quacúmque divínæ Scriptúræ senténtia latíssimam enarratiónem, et, si opus foret, étiam íntegræ et copiósæ conciónis matériam inveníre ». Et aussitôt, ajoutant l’exemple au précepte, il montre lui-même de différentes manières les grands avantages que l’on peut aisément tirer d’une Concordance, spécialement en vue de la prédication et de l’édification spirituelle.</w:t>
      </w:r>
    </w:p>
  </w:footnote>
  <w:footnote w:id="1018">
    <w:p w:rsidR="007F47B8" w:rsidRPr="005D2A18" w:rsidRDefault="007F47B8" w:rsidP="00C31960">
      <w:pPr>
        <w:pStyle w:val="Notedebasdepage"/>
      </w:pPr>
      <w:r>
        <w:rPr>
          <w:rStyle w:val="Appelnotedebasdep"/>
        </w:rPr>
        <w:footnoteRef/>
      </w:r>
      <w:r>
        <w:t xml:space="preserve"> $ Leipzig, 1668 ; un vol. in-4°. On trouve, du reste, des conseils pratiques dans la plupart des Préfaces mises en tête des Concordances.</w:t>
      </w:r>
    </w:p>
  </w:footnote>
  <w:footnote w:id="1019">
    <w:p w:rsidR="007F47B8" w:rsidRPr="005D2A18" w:rsidRDefault="007F47B8" w:rsidP="00C31960">
      <w:pPr>
        <w:pStyle w:val="Notedebasdepage"/>
      </w:pPr>
      <w:r>
        <w:rPr>
          <w:rStyle w:val="Appelnotedebasdep"/>
        </w:rPr>
        <w:footnoteRef/>
      </w:r>
      <w:r>
        <w:t xml:space="preserve"> $ Il en existe plusieurs pour le Coran.</w:t>
      </w:r>
    </w:p>
  </w:footnote>
  <w:footnote w:id="1020">
    <w:p w:rsidR="007F47B8" w:rsidRPr="005D2A18" w:rsidRDefault="007F47B8" w:rsidP="00C31960">
      <w:pPr>
        <w:pStyle w:val="Notedebasdepage"/>
      </w:pPr>
      <w:r>
        <w:rPr>
          <w:rStyle w:val="Appelnotedebasdep"/>
        </w:rPr>
        <w:footnoteRef/>
      </w:r>
      <w:r>
        <w:t xml:space="preserve"> </w:t>
      </w:r>
      <w:r w:rsidRPr="0044481F">
        <w:rPr>
          <w:rStyle w:val="italicus"/>
        </w:rPr>
        <w:t>Loc. cit.,</w:t>
      </w:r>
      <w:r>
        <w:t xml:space="preserve"> p. 1-22, à propos des deux mots </w:t>
      </w:r>
      <w:r w:rsidRPr="00E261E8">
        <w:t>θεός</w:t>
      </w:r>
      <w:r>
        <w:rPr>
          <w:lang w:val="el-GR" w:bidi="he-IL"/>
        </w:rPr>
        <w:t xml:space="preserve"> </w:t>
      </w:r>
      <w:r>
        <w:rPr>
          <w:lang w:bidi="he-IL"/>
        </w:rPr>
        <w:t xml:space="preserve">et </w:t>
      </w:r>
      <w:r w:rsidRPr="00E261E8">
        <w:t>θεά</w:t>
      </w:r>
      <w:r>
        <w:rPr>
          <w:smallCaps/>
        </w:rPr>
        <w:t>.</w:t>
      </w:r>
    </w:p>
  </w:footnote>
  <w:footnote w:id="1021">
    <w:p w:rsidR="007F47B8" w:rsidRPr="005D2A18" w:rsidRDefault="007F47B8" w:rsidP="00C31960">
      <w:pPr>
        <w:pStyle w:val="Notedebasdepage"/>
      </w:pPr>
      <w:r>
        <w:rPr>
          <w:rStyle w:val="Appelnotedebasdep"/>
        </w:rPr>
        <w:footnoteRef/>
      </w:r>
      <w:r>
        <w:t xml:space="preserve"> $ </w:t>
      </w:r>
      <w:r w:rsidRPr="0044481F">
        <w:rPr>
          <w:rStyle w:val="italicus"/>
        </w:rPr>
        <w:t>Controversiárum,</w:t>
      </w:r>
      <w:r>
        <w:t xml:space="preserve"> lib. I (p. 63 de l’édition d’Amsterdam, 1671, t. III). — Voyez encore, sur les Concordances bibliques, D. Calmet,</w:t>
      </w:r>
      <w:r w:rsidRPr="0044481F">
        <w:rPr>
          <w:rStyle w:val="italicus"/>
        </w:rPr>
        <w:t xml:space="preserve"> Bibliothèque sacrée,</w:t>
      </w:r>
      <w:r>
        <w:t xml:space="preserve"> 1re partie, art. VI et VII ; Wetzer et Welte,</w:t>
      </w:r>
      <w:r w:rsidRPr="0044481F">
        <w:rPr>
          <w:rStyle w:val="italicus"/>
        </w:rPr>
        <w:t xml:space="preserve"> Diction. encyclopédique de la Théologie catholique,</w:t>
      </w:r>
      <w:r>
        <w:t xml:space="preserve"> t. V, p. 104 et suiv. de la traduction française, etc.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7B8" w:rsidRDefault="007F47B8">
    <w:pPr>
      <w:pStyle w:val="En-tte"/>
    </w:pPr>
    <w:fldSimple w:instr=" PAGE   \* MERGEFORMAT ">
      <w:r w:rsidR="00793294">
        <w:rPr>
          <w:noProof/>
        </w:rPr>
        <w:t>6</w:t>
      </w:r>
    </w:fldSimple>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7B8" w:rsidRDefault="007F47B8" w:rsidP="00A94BA4">
    <w:pPr>
      <w:pStyle w:val="En-tte"/>
    </w:pPr>
    <w:r>
      <w:tab/>
    </w:r>
    <w:fldSimple w:instr=" PAGE   \* MERGEFORMAT ">
      <w:r w:rsidR="00793294">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singleLevel"/>
    <w:tmpl w:val="00000000"/>
    <w:lvl w:ilvl="0">
      <w:start w:val="1"/>
      <w:numFmt w:val="bullet"/>
      <w:pStyle w:val="Listepuces"/>
      <w:lvlText w:val=""/>
      <w:lvlJc w:val="left"/>
      <w:pPr>
        <w:ind w:left="360" w:hanging="360"/>
      </w:pPr>
      <w:rPr>
        <w:rFonts w:ascii="Symbol" w:hAnsi="Symbol"/>
      </w:rPr>
    </w:lvl>
  </w:abstractNum>
  <w:abstractNum w:abstractNumId="1">
    <w:nsid w:val="1CFC37D7"/>
    <w:multiLevelType w:val="hybridMultilevel"/>
    <w:tmpl w:val="E182F418"/>
    <w:lvl w:ilvl="0" w:tplc="4F84CA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A078AD"/>
    <w:multiLevelType w:val="hybridMultilevel"/>
    <w:tmpl w:val="E92AA7C2"/>
    <w:lvl w:ilvl="0" w:tplc="68F4F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0D9422F"/>
    <w:multiLevelType w:val="hybridMultilevel"/>
    <w:tmpl w:val="88548500"/>
    <w:lvl w:ilvl="0" w:tplc="89064A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8BB1D8F"/>
    <w:multiLevelType w:val="hybridMultilevel"/>
    <w:tmpl w:val="BF408DF8"/>
    <w:lvl w:ilvl="0" w:tplc="E5A484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45419BF"/>
    <w:multiLevelType w:val="hybridMultilevel"/>
    <w:tmpl w:val="C84C88E6"/>
    <w:lvl w:ilvl="0" w:tplc="5B3468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6"/>
  <w:mirrorMargins/>
  <w:hideSpellingErrors/>
  <w:documentProtection w:edit="readOnly" w:enforcement="0"/>
  <w:defaultTabStop w:val="708"/>
  <w:hyphenationZone w:val="425"/>
  <w:evenAndOddHeaders/>
  <w:drawingGridHorizontalSpacing w:val="125"/>
  <w:displayHorizontalDrawingGridEvery w:val="2"/>
  <w:displayVerticalDrawingGridEvery w:val="2"/>
  <w:characterSpacingControl w:val="doNotCompress"/>
  <w:hdrShapeDefaults>
    <o:shapedefaults v:ext="edit" spidmax="1215490">
      <o:colormru v:ext="edit" colors="#eeece1"/>
      <o:colormenu v:ext="edit" fillcolor="none [3212]"/>
    </o:shapedefaults>
  </w:hdrShapeDefaults>
  <w:footnotePr>
    <w:footnote w:id="-1"/>
    <w:footnote w:id="0"/>
  </w:footnotePr>
  <w:endnotePr>
    <w:numFmt w:val="decimal"/>
    <w:endnote w:id="-1"/>
    <w:endnote w:id="0"/>
  </w:endnotePr>
  <w:compat/>
  <w:rsids>
    <w:rsidRoot w:val="008F731D"/>
    <w:rsid w:val="00000583"/>
    <w:rsid w:val="000015FF"/>
    <w:rsid w:val="00001BEC"/>
    <w:rsid w:val="0000250B"/>
    <w:rsid w:val="000029B6"/>
    <w:rsid w:val="00004264"/>
    <w:rsid w:val="000048ED"/>
    <w:rsid w:val="00004E88"/>
    <w:rsid w:val="000065B7"/>
    <w:rsid w:val="00006842"/>
    <w:rsid w:val="00010073"/>
    <w:rsid w:val="00010ADE"/>
    <w:rsid w:val="0001487A"/>
    <w:rsid w:val="00014DA8"/>
    <w:rsid w:val="00015DFA"/>
    <w:rsid w:val="00016A31"/>
    <w:rsid w:val="00017057"/>
    <w:rsid w:val="00017164"/>
    <w:rsid w:val="00017373"/>
    <w:rsid w:val="00017F61"/>
    <w:rsid w:val="00020C41"/>
    <w:rsid w:val="00022837"/>
    <w:rsid w:val="00023900"/>
    <w:rsid w:val="00023E39"/>
    <w:rsid w:val="00025DE7"/>
    <w:rsid w:val="000300F5"/>
    <w:rsid w:val="00030238"/>
    <w:rsid w:val="000309B2"/>
    <w:rsid w:val="00032F77"/>
    <w:rsid w:val="0003368A"/>
    <w:rsid w:val="00033BCE"/>
    <w:rsid w:val="00034168"/>
    <w:rsid w:val="00034C2D"/>
    <w:rsid w:val="00034C64"/>
    <w:rsid w:val="000361B5"/>
    <w:rsid w:val="00037453"/>
    <w:rsid w:val="000407DF"/>
    <w:rsid w:val="00041872"/>
    <w:rsid w:val="000419B4"/>
    <w:rsid w:val="000423A7"/>
    <w:rsid w:val="00042A68"/>
    <w:rsid w:val="0004368A"/>
    <w:rsid w:val="000436D8"/>
    <w:rsid w:val="00044D28"/>
    <w:rsid w:val="00046600"/>
    <w:rsid w:val="000468AD"/>
    <w:rsid w:val="00047B01"/>
    <w:rsid w:val="00047E6E"/>
    <w:rsid w:val="00051679"/>
    <w:rsid w:val="000518E9"/>
    <w:rsid w:val="000519B1"/>
    <w:rsid w:val="000519FE"/>
    <w:rsid w:val="000535FC"/>
    <w:rsid w:val="000546D2"/>
    <w:rsid w:val="00055D88"/>
    <w:rsid w:val="00056BD1"/>
    <w:rsid w:val="0005759E"/>
    <w:rsid w:val="00057AD9"/>
    <w:rsid w:val="0006075E"/>
    <w:rsid w:val="00064FBC"/>
    <w:rsid w:val="00065F96"/>
    <w:rsid w:val="00070985"/>
    <w:rsid w:val="00072053"/>
    <w:rsid w:val="000721C4"/>
    <w:rsid w:val="000727BD"/>
    <w:rsid w:val="00072D4E"/>
    <w:rsid w:val="00073827"/>
    <w:rsid w:val="00075A03"/>
    <w:rsid w:val="0007629A"/>
    <w:rsid w:val="00076B4D"/>
    <w:rsid w:val="00077BD8"/>
    <w:rsid w:val="00077C65"/>
    <w:rsid w:val="00080131"/>
    <w:rsid w:val="00081CDE"/>
    <w:rsid w:val="00081E57"/>
    <w:rsid w:val="00082BDB"/>
    <w:rsid w:val="00083585"/>
    <w:rsid w:val="00085927"/>
    <w:rsid w:val="000873AA"/>
    <w:rsid w:val="00090DE7"/>
    <w:rsid w:val="00093B39"/>
    <w:rsid w:val="0009478B"/>
    <w:rsid w:val="00094CCA"/>
    <w:rsid w:val="00094CD8"/>
    <w:rsid w:val="00094ED4"/>
    <w:rsid w:val="000957FA"/>
    <w:rsid w:val="00095E33"/>
    <w:rsid w:val="0009669F"/>
    <w:rsid w:val="000A0069"/>
    <w:rsid w:val="000A3F0E"/>
    <w:rsid w:val="000A5C5C"/>
    <w:rsid w:val="000A5DA8"/>
    <w:rsid w:val="000A62A7"/>
    <w:rsid w:val="000A6F16"/>
    <w:rsid w:val="000A7AAB"/>
    <w:rsid w:val="000B01D3"/>
    <w:rsid w:val="000B0A89"/>
    <w:rsid w:val="000B1EF2"/>
    <w:rsid w:val="000B23A8"/>
    <w:rsid w:val="000B247C"/>
    <w:rsid w:val="000B3025"/>
    <w:rsid w:val="000B40F1"/>
    <w:rsid w:val="000B5B9F"/>
    <w:rsid w:val="000C09E0"/>
    <w:rsid w:val="000C0CEB"/>
    <w:rsid w:val="000C0DD5"/>
    <w:rsid w:val="000C31D2"/>
    <w:rsid w:val="000C4884"/>
    <w:rsid w:val="000C4BF5"/>
    <w:rsid w:val="000C53F0"/>
    <w:rsid w:val="000D06B3"/>
    <w:rsid w:val="000D0A9B"/>
    <w:rsid w:val="000D11A4"/>
    <w:rsid w:val="000D1225"/>
    <w:rsid w:val="000D12F1"/>
    <w:rsid w:val="000D1557"/>
    <w:rsid w:val="000D327C"/>
    <w:rsid w:val="000D43D3"/>
    <w:rsid w:val="000D4DEC"/>
    <w:rsid w:val="000D4F31"/>
    <w:rsid w:val="000D5A03"/>
    <w:rsid w:val="000D68F4"/>
    <w:rsid w:val="000D6D33"/>
    <w:rsid w:val="000D7D78"/>
    <w:rsid w:val="000E05E6"/>
    <w:rsid w:val="000E24B8"/>
    <w:rsid w:val="000E3BDE"/>
    <w:rsid w:val="000E46AA"/>
    <w:rsid w:val="000E5B33"/>
    <w:rsid w:val="000E5FF2"/>
    <w:rsid w:val="000E6899"/>
    <w:rsid w:val="000E7F72"/>
    <w:rsid w:val="000F0C39"/>
    <w:rsid w:val="000F1ABB"/>
    <w:rsid w:val="000F287C"/>
    <w:rsid w:val="000F4CEC"/>
    <w:rsid w:val="000F6C74"/>
    <w:rsid w:val="001007D1"/>
    <w:rsid w:val="00102560"/>
    <w:rsid w:val="00102A02"/>
    <w:rsid w:val="00102E3A"/>
    <w:rsid w:val="001031B4"/>
    <w:rsid w:val="00103373"/>
    <w:rsid w:val="00103E21"/>
    <w:rsid w:val="0010413C"/>
    <w:rsid w:val="00104D35"/>
    <w:rsid w:val="00106C2A"/>
    <w:rsid w:val="001073A5"/>
    <w:rsid w:val="001077D9"/>
    <w:rsid w:val="00107C8D"/>
    <w:rsid w:val="001101E5"/>
    <w:rsid w:val="00110E35"/>
    <w:rsid w:val="00111087"/>
    <w:rsid w:val="001116DF"/>
    <w:rsid w:val="001117A1"/>
    <w:rsid w:val="00111E93"/>
    <w:rsid w:val="00114B08"/>
    <w:rsid w:val="00114D71"/>
    <w:rsid w:val="00115609"/>
    <w:rsid w:val="001166A7"/>
    <w:rsid w:val="00121040"/>
    <w:rsid w:val="00121C5D"/>
    <w:rsid w:val="00125060"/>
    <w:rsid w:val="00126E4F"/>
    <w:rsid w:val="001276C4"/>
    <w:rsid w:val="00130585"/>
    <w:rsid w:val="001316EA"/>
    <w:rsid w:val="00131C78"/>
    <w:rsid w:val="00133BC1"/>
    <w:rsid w:val="00133F41"/>
    <w:rsid w:val="001345BB"/>
    <w:rsid w:val="00134DA9"/>
    <w:rsid w:val="001356D3"/>
    <w:rsid w:val="00135D12"/>
    <w:rsid w:val="001360D9"/>
    <w:rsid w:val="001362DA"/>
    <w:rsid w:val="0014099C"/>
    <w:rsid w:val="001444AF"/>
    <w:rsid w:val="00144C04"/>
    <w:rsid w:val="00145174"/>
    <w:rsid w:val="001455EC"/>
    <w:rsid w:val="001463C8"/>
    <w:rsid w:val="00146767"/>
    <w:rsid w:val="00147DE8"/>
    <w:rsid w:val="00150663"/>
    <w:rsid w:val="00151B65"/>
    <w:rsid w:val="00151D0A"/>
    <w:rsid w:val="00152F05"/>
    <w:rsid w:val="001549B5"/>
    <w:rsid w:val="00154FB0"/>
    <w:rsid w:val="001567FF"/>
    <w:rsid w:val="00160746"/>
    <w:rsid w:val="00160C93"/>
    <w:rsid w:val="00161188"/>
    <w:rsid w:val="00161943"/>
    <w:rsid w:val="0016385A"/>
    <w:rsid w:val="001645C7"/>
    <w:rsid w:val="00164E68"/>
    <w:rsid w:val="00165A06"/>
    <w:rsid w:val="00165BE5"/>
    <w:rsid w:val="00170E22"/>
    <w:rsid w:val="00171F48"/>
    <w:rsid w:val="0017222F"/>
    <w:rsid w:val="00172843"/>
    <w:rsid w:val="00172CAC"/>
    <w:rsid w:val="00172F59"/>
    <w:rsid w:val="001730C6"/>
    <w:rsid w:val="00173116"/>
    <w:rsid w:val="0017336E"/>
    <w:rsid w:val="00174A53"/>
    <w:rsid w:val="00175074"/>
    <w:rsid w:val="001750CD"/>
    <w:rsid w:val="00175957"/>
    <w:rsid w:val="00176AC6"/>
    <w:rsid w:val="00177A86"/>
    <w:rsid w:val="00180A91"/>
    <w:rsid w:val="00181832"/>
    <w:rsid w:val="00182712"/>
    <w:rsid w:val="00182B41"/>
    <w:rsid w:val="0018421C"/>
    <w:rsid w:val="00184C1E"/>
    <w:rsid w:val="00184F8F"/>
    <w:rsid w:val="00185887"/>
    <w:rsid w:val="00185A15"/>
    <w:rsid w:val="0018630C"/>
    <w:rsid w:val="00187033"/>
    <w:rsid w:val="00187AEF"/>
    <w:rsid w:val="00190A0F"/>
    <w:rsid w:val="00190E62"/>
    <w:rsid w:val="00191242"/>
    <w:rsid w:val="00192342"/>
    <w:rsid w:val="001938E6"/>
    <w:rsid w:val="0019407F"/>
    <w:rsid w:val="00194C75"/>
    <w:rsid w:val="0019614C"/>
    <w:rsid w:val="0019715E"/>
    <w:rsid w:val="001A0CD5"/>
    <w:rsid w:val="001A10DC"/>
    <w:rsid w:val="001A1E0C"/>
    <w:rsid w:val="001A2CA5"/>
    <w:rsid w:val="001A398E"/>
    <w:rsid w:val="001A39FD"/>
    <w:rsid w:val="001A433C"/>
    <w:rsid w:val="001A54EA"/>
    <w:rsid w:val="001A70E9"/>
    <w:rsid w:val="001A769B"/>
    <w:rsid w:val="001B0508"/>
    <w:rsid w:val="001B0559"/>
    <w:rsid w:val="001B0899"/>
    <w:rsid w:val="001B12B9"/>
    <w:rsid w:val="001B63E7"/>
    <w:rsid w:val="001B6B62"/>
    <w:rsid w:val="001B704A"/>
    <w:rsid w:val="001B78B5"/>
    <w:rsid w:val="001B7DD4"/>
    <w:rsid w:val="001C04D3"/>
    <w:rsid w:val="001C0D39"/>
    <w:rsid w:val="001C30FF"/>
    <w:rsid w:val="001C3E16"/>
    <w:rsid w:val="001C4139"/>
    <w:rsid w:val="001C4E9F"/>
    <w:rsid w:val="001C6170"/>
    <w:rsid w:val="001C6369"/>
    <w:rsid w:val="001C7261"/>
    <w:rsid w:val="001C7364"/>
    <w:rsid w:val="001C7808"/>
    <w:rsid w:val="001D013D"/>
    <w:rsid w:val="001D05BC"/>
    <w:rsid w:val="001D05F0"/>
    <w:rsid w:val="001D0701"/>
    <w:rsid w:val="001D085B"/>
    <w:rsid w:val="001D1EB9"/>
    <w:rsid w:val="001D20FA"/>
    <w:rsid w:val="001D22E8"/>
    <w:rsid w:val="001D2588"/>
    <w:rsid w:val="001D345A"/>
    <w:rsid w:val="001D37CB"/>
    <w:rsid w:val="001D3E33"/>
    <w:rsid w:val="001D44A9"/>
    <w:rsid w:val="001D5C8C"/>
    <w:rsid w:val="001D7674"/>
    <w:rsid w:val="001E01E5"/>
    <w:rsid w:val="001E1B52"/>
    <w:rsid w:val="001E2A61"/>
    <w:rsid w:val="001E3980"/>
    <w:rsid w:val="001E3A53"/>
    <w:rsid w:val="001E449D"/>
    <w:rsid w:val="001E5D60"/>
    <w:rsid w:val="001E631F"/>
    <w:rsid w:val="001E75D2"/>
    <w:rsid w:val="001E7758"/>
    <w:rsid w:val="001E7FB4"/>
    <w:rsid w:val="001F2299"/>
    <w:rsid w:val="001F2A2B"/>
    <w:rsid w:val="001F2F80"/>
    <w:rsid w:val="001F33BF"/>
    <w:rsid w:val="001F5257"/>
    <w:rsid w:val="001F71E5"/>
    <w:rsid w:val="001F71ED"/>
    <w:rsid w:val="001F748A"/>
    <w:rsid w:val="001F7910"/>
    <w:rsid w:val="002016F3"/>
    <w:rsid w:val="00201C38"/>
    <w:rsid w:val="002020CD"/>
    <w:rsid w:val="00202806"/>
    <w:rsid w:val="00204381"/>
    <w:rsid w:val="002044D9"/>
    <w:rsid w:val="0020500F"/>
    <w:rsid w:val="00205F90"/>
    <w:rsid w:val="00206D86"/>
    <w:rsid w:val="00207307"/>
    <w:rsid w:val="00210157"/>
    <w:rsid w:val="002103DB"/>
    <w:rsid w:val="002126A2"/>
    <w:rsid w:val="002128ED"/>
    <w:rsid w:val="00212E90"/>
    <w:rsid w:val="0021369C"/>
    <w:rsid w:val="00213AE2"/>
    <w:rsid w:val="00214A0C"/>
    <w:rsid w:val="00214AEA"/>
    <w:rsid w:val="00214E18"/>
    <w:rsid w:val="00215949"/>
    <w:rsid w:val="00216D08"/>
    <w:rsid w:val="00217F0B"/>
    <w:rsid w:val="00217F68"/>
    <w:rsid w:val="00220555"/>
    <w:rsid w:val="00220B94"/>
    <w:rsid w:val="00222470"/>
    <w:rsid w:val="002226D7"/>
    <w:rsid w:val="00222959"/>
    <w:rsid w:val="00223D17"/>
    <w:rsid w:val="002267C7"/>
    <w:rsid w:val="0022775E"/>
    <w:rsid w:val="00227D87"/>
    <w:rsid w:val="0023097D"/>
    <w:rsid w:val="00231E00"/>
    <w:rsid w:val="00233477"/>
    <w:rsid w:val="002335CA"/>
    <w:rsid w:val="00234765"/>
    <w:rsid w:val="00236986"/>
    <w:rsid w:val="00237FA6"/>
    <w:rsid w:val="00240CAD"/>
    <w:rsid w:val="00242610"/>
    <w:rsid w:val="00242C44"/>
    <w:rsid w:val="00243DE8"/>
    <w:rsid w:val="0024433F"/>
    <w:rsid w:val="002468E2"/>
    <w:rsid w:val="00247026"/>
    <w:rsid w:val="00251450"/>
    <w:rsid w:val="00251792"/>
    <w:rsid w:val="00251DC5"/>
    <w:rsid w:val="00253314"/>
    <w:rsid w:val="00253501"/>
    <w:rsid w:val="00253715"/>
    <w:rsid w:val="00256C2D"/>
    <w:rsid w:val="002576F8"/>
    <w:rsid w:val="00257AF7"/>
    <w:rsid w:val="0026121F"/>
    <w:rsid w:val="00261A23"/>
    <w:rsid w:val="00261E92"/>
    <w:rsid w:val="002625AC"/>
    <w:rsid w:val="00262F08"/>
    <w:rsid w:val="00263F4D"/>
    <w:rsid w:val="0026447A"/>
    <w:rsid w:val="002646A3"/>
    <w:rsid w:val="002646DA"/>
    <w:rsid w:val="00265DC6"/>
    <w:rsid w:val="002667A2"/>
    <w:rsid w:val="00266C1B"/>
    <w:rsid w:val="002671AD"/>
    <w:rsid w:val="002674FC"/>
    <w:rsid w:val="00267AA9"/>
    <w:rsid w:val="00270464"/>
    <w:rsid w:val="00273E53"/>
    <w:rsid w:val="00273EFD"/>
    <w:rsid w:val="0027453F"/>
    <w:rsid w:val="00275CB4"/>
    <w:rsid w:val="00276FEF"/>
    <w:rsid w:val="00277D79"/>
    <w:rsid w:val="00281AF5"/>
    <w:rsid w:val="00281F56"/>
    <w:rsid w:val="002820E0"/>
    <w:rsid w:val="0028232A"/>
    <w:rsid w:val="00282D45"/>
    <w:rsid w:val="0028333D"/>
    <w:rsid w:val="002834B6"/>
    <w:rsid w:val="00283640"/>
    <w:rsid w:val="0028574B"/>
    <w:rsid w:val="00286F69"/>
    <w:rsid w:val="002876B5"/>
    <w:rsid w:val="00287AA4"/>
    <w:rsid w:val="00287C77"/>
    <w:rsid w:val="002942DC"/>
    <w:rsid w:val="002948F8"/>
    <w:rsid w:val="00295E14"/>
    <w:rsid w:val="00296CC4"/>
    <w:rsid w:val="00297007"/>
    <w:rsid w:val="00297B36"/>
    <w:rsid w:val="002A045D"/>
    <w:rsid w:val="002A1345"/>
    <w:rsid w:val="002A1884"/>
    <w:rsid w:val="002A2B9C"/>
    <w:rsid w:val="002A406B"/>
    <w:rsid w:val="002A4091"/>
    <w:rsid w:val="002A4559"/>
    <w:rsid w:val="002A5E7A"/>
    <w:rsid w:val="002A6EDB"/>
    <w:rsid w:val="002B0589"/>
    <w:rsid w:val="002B292C"/>
    <w:rsid w:val="002B43F9"/>
    <w:rsid w:val="002B464C"/>
    <w:rsid w:val="002B49E0"/>
    <w:rsid w:val="002B4BF5"/>
    <w:rsid w:val="002B709D"/>
    <w:rsid w:val="002C0012"/>
    <w:rsid w:val="002C00F4"/>
    <w:rsid w:val="002C02FD"/>
    <w:rsid w:val="002C0EAE"/>
    <w:rsid w:val="002C151A"/>
    <w:rsid w:val="002C1EF3"/>
    <w:rsid w:val="002C406D"/>
    <w:rsid w:val="002C4077"/>
    <w:rsid w:val="002C5D93"/>
    <w:rsid w:val="002C65DE"/>
    <w:rsid w:val="002C6914"/>
    <w:rsid w:val="002C7B52"/>
    <w:rsid w:val="002D017F"/>
    <w:rsid w:val="002D02C3"/>
    <w:rsid w:val="002D09B6"/>
    <w:rsid w:val="002D0C28"/>
    <w:rsid w:val="002D1E5D"/>
    <w:rsid w:val="002D2244"/>
    <w:rsid w:val="002D3493"/>
    <w:rsid w:val="002D34E6"/>
    <w:rsid w:val="002D3757"/>
    <w:rsid w:val="002D523E"/>
    <w:rsid w:val="002D5746"/>
    <w:rsid w:val="002D6AF1"/>
    <w:rsid w:val="002D6C4E"/>
    <w:rsid w:val="002D7262"/>
    <w:rsid w:val="002E0D73"/>
    <w:rsid w:val="002E10A0"/>
    <w:rsid w:val="002E13F4"/>
    <w:rsid w:val="002E3417"/>
    <w:rsid w:val="002E373D"/>
    <w:rsid w:val="002E4049"/>
    <w:rsid w:val="002E40F9"/>
    <w:rsid w:val="002E5924"/>
    <w:rsid w:val="002E6189"/>
    <w:rsid w:val="002F0462"/>
    <w:rsid w:val="002F1C7D"/>
    <w:rsid w:val="002F1F3F"/>
    <w:rsid w:val="002F2653"/>
    <w:rsid w:val="002F3A79"/>
    <w:rsid w:val="002F3B37"/>
    <w:rsid w:val="002F3C38"/>
    <w:rsid w:val="002F3EFE"/>
    <w:rsid w:val="002F5487"/>
    <w:rsid w:val="002F583F"/>
    <w:rsid w:val="002F5A1B"/>
    <w:rsid w:val="002F5BBB"/>
    <w:rsid w:val="002F6432"/>
    <w:rsid w:val="002F7105"/>
    <w:rsid w:val="002F796D"/>
    <w:rsid w:val="002F7AFA"/>
    <w:rsid w:val="002F7EA3"/>
    <w:rsid w:val="00300036"/>
    <w:rsid w:val="0030218A"/>
    <w:rsid w:val="00302783"/>
    <w:rsid w:val="00303580"/>
    <w:rsid w:val="00303B09"/>
    <w:rsid w:val="003041FD"/>
    <w:rsid w:val="00304F17"/>
    <w:rsid w:val="0030529C"/>
    <w:rsid w:val="003056FF"/>
    <w:rsid w:val="003071AA"/>
    <w:rsid w:val="00307AC0"/>
    <w:rsid w:val="003105D1"/>
    <w:rsid w:val="0031378E"/>
    <w:rsid w:val="00313A9D"/>
    <w:rsid w:val="00313AE8"/>
    <w:rsid w:val="00313C91"/>
    <w:rsid w:val="00313D61"/>
    <w:rsid w:val="00315B1E"/>
    <w:rsid w:val="00315D34"/>
    <w:rsid w:val="0031667E"/>
    <w:rsid w:val="00317656"/>
    <w:rsid w:val="00317DB5"/>
    <w:rsid w:val="0032029C"/>
    <w:rsid w:val="00320A25"/>
    <w:rsid w:val="00321216"/>
    <w:rsid w:val="00321A35"/>
    <w:rsid w:val="00322467"/>
    <w:rsid w:val="003232E0"/>
    <w:rsid w:val="00324300"/>
    <w:rsid w:val="00324484"/>
    <w:rsid w:val="003247D7"/>
    <w:rsid w:val="0032547F"/>
    <w:rsid w:val="00326147"/>
    <w:rsid w:val="003262DF"/>
    <w:rsid w:val="00327E8E"/>
    <w:rsid w:val="00330270"/>
    <w:rsid w:val="00330B1C"/>
    <w:rsid w:val="0033179B"/>
    <w:rsid w:val="003334B4"/>
    <w:rsid w:val="00334D7B"/>
    <w:rsid w:val="00340752"/>
    <w:rsid w:val="003412F1"/>
    <w:rsid w:val="00342314"/>
    <w:rsid w:val="00342390"/>
    <w:rsid w:val="003453AF"/>
    <w:rsid w:val="00345808"/>
    <w:rsid w:val="00346CD7"/>
    <w:rsid w:val="00347015"/>
    <w:rsid w:val="00347E03"/>
    <w:rsid w:val="00350980"/>
    <w:rsid w:val="00351231"/>
    <w:rsid w:val="003514CB"/>
    <w:rsid w:val="003516D4"/>
    <w:rsid w:val="00353B06"/>
    <w:rsid w:val="00355F29"/>
    <w:rsid w:val="00355FC4"/>
    <w:rsid w:val="00357A85"/>
    <w:rsid w:val="00357C3A"/>
    <w:rsid w:val="00360C0E"/>
    <w:rsid w:val="00362B96"/>
    <w:rsid w:val="003637A6"/>
    <w:rsid w:val="00363E71"/>
    <w:rsid w:val="0036486E"/>
    <w:rsid w:val="00365269"/>
    <w:rsid w:val="00366E39"/>
    <w:rsid w:val="00367635"/>
    <w:rsid w:val="00370B4D"/>
    <w:rsid w:val="00371D07"/>
    <w:rsid w:val="00373B27"/>
    <w:rsid w:val="003752B8"/>
    <w:rsid w:val="0037567D"/>
    <w:rsid w:val="0037631A"/>
    <w:rsid w:val="00376690"/>
    <w:rsid w:val="00377071"/>
    <w:rsid w:val="00377081"/>
    <w:rsid w:val="00377226"/>
    <w:rsid w:val="00377522"/>
    <w:rsid w:val="00377A1B"/>
    <w:rsid w:val="003802F4"/>
    <w:rsid w:val="00382832"/>
    <w:rsid w:val="00382992"/>
    <w:rsid w:val="003846E5"/>
    <w:rsid w:val="00384BF9"/>
    <w:rsid w:val="00385904"/>
    <w:rsid w:val="003866F6"/>
    <w:rsid w:val="00386AB8"/>
    <w:rsid w:val="0038722B"/>
    <w:rsid w:val="0039064C"/>
    <w:rsid w:val="003910C5"/>
    <w:rsid w:val="00392B99"/>
    <w:rsid w:val="00393563"/>
    <w:rsid w:val="00393A36"/>
    <w:rsid w:val="003941AA"/>
    <w:rsid w:val="00394913"/>
    <w:rsid w:val="00394941"/>
    <w:rsid w:val="003A0019"/>
    <w:rsid w:val="003A077A"/>
    <w:rsid w:val="003A3454"/>
    <w:rsid w:val="003A3CE0"/>
    <w:rsid w:val="003A4E2D"/>
    <w:rsid w:val="003A523B"/>
    <w:rsid w:val="003A684B"/>
    <w:rsid w:val="003A700C"/>
    <w:rsid w:val="003A7703"/>
    <w:rsid w:val="003B1136"/>
    <w:rsid w:val="003B3360"/>
    <w:rsid w:val="003B4276"/>
    <w:rsid w:val="003B42A4"/>
    <w:rsid w:val="003B4602"/>
    <w:rsid w:val="003B4D1F"/>
    <w:rsid w:val="003B4E21"/>
    <w:rsid w:val="003B53FD"/>
    <w:rsid w:val="003B5828"/>
    <w:rsid w:val="003B5C82"/>
    <w:rsid w:val="003B63FC"/>
    <w:rsid w:val="003B6B99"/>
    <w:rsid w:val="003B743A"/>
    <w:rsid w:val="003C0E06"/>
    <w:rsid w:val="003C148C"/>
    <w:rsid w:val="003C2AB6"/>
    <w:rsid w:val="003C30A7"/>
    <w:rsid w:val="003C334D"/>
    <w:rsid w:val="003C39CE"/>
    <w:rsid w:val="003C3AA1"/>
    <w:rsid w:val="003C4FB2"/>
    <w:rsid w:val="003C6A60"/>
    <w:rsid w:val="003C72F3"/>
    <w:rsid w:val="003C7710"/>
    <w:rsid w:val="003D0C91"/>
    <w:rsid w:val="003D0DAF"/>
    <w:rsid w:val="003D1DA6"/>
    <w:rsid w:val="003D2930"/>
    <w:rsid w:val="003D39FE"/>
    <w:rsid w:val="003D42F5"/>
    <w:rsid w:val="003D4CB4"/>
    <w:rsid w:val="003D528A"/>
    <w:rsid w:val="003D5D34"/>
    <w:rsid w:val="003D7109"/>
    <w:rsid w:val="003E18C8"/>
    <w:rsid w:val="003E1B24"/>
    <w:rsid w:val="003E376B"/>
    <w:rsid w:val="003E4B45"/>
    <w:rsid w:val="003E4E5B"/>
    <w:rsid w:val="003E658E"/>
    <w:rsid w:val="003F07A7"/>
    <w:rsid w:val="003F21D8"/>
    <w:rsid w:val="003F2838"/>
    <w:rsid w:val="003F3051"/>
    <w:rsid w:val="003F3211"/>
    <w:rsid w:val="003F35EC"/>
    <w:rsid w:val="003F46FF"/>
    <w:rsid w:val="003F4A13"/>
    <w:rsid w:val="003F5C21"/>
    <w:rsid w:val="003F5FDE"/>
    <w:rsid w:val="003F6163"/>
    <w:rsid w:val="00401E33"/>
    <w:rsid w:val="00402033"/>
    <w:rsid w:val="004024AE"/>
    <w:rsid w:val="00402F75"/>
    <w:rsid w:val="00403558"/>
    <w:rsid w:val="0040381B"/>
    <w:rsid w:val="004039F8"/>
    <w:rsid w:val="00403B22"/>
    <w:rsid w:val="00403BEB"/>
    <w:rsid w:val="00406738"/>
    <w:rsid w:val="00406740"/>
    <w:rsid w:val="00407A03"/>
    <w:rsid w:val="00407C55"/>
    <w:rsid w:val="00410BF0"/>
    <w:rsid w:val="00411955"/>
    <w:rsid w:val="00412273"/>
    <w:rsid w:val="0041287A"/>
    <w:rsid w:val="00412B4F"/>
    <w:rsid w:val="004131B2"/>
    <w:rsid w:val="004133BF"/>
    <w:rsid w:val="004144EB"/>
    <w:rsid w:val="00414D54"/>
    <w:rsid w:val="00415606"/>
    <w:rsid w:val="00416D0B"/>
    <w:rsid w:val="0041707D"/>
    <w:rsid w:val="00417C5B"/>
    <w:rsid w:val="0042087B"/>
    <w:rsid w:val="004216A7"/>
    <w:rsid w:val="00421E8B"/>
    <w:rsid w:val="0042259C"/>
    <w:rsid w:val="00422B3A"/>
    <w:rsid w:val="00423DE5"/>
    <w:rsid w:val="004240B2"/>
    <w:rsid w:val="00424C65"/>
    <w:rsid w:val="00425866"/>
    <w:rsid w:val="00425C50"/>
    <w:rsid w:val="00425DD1"/>
    <w:rsid w:val="00425DDC"/>
    <w:rsid w:val="00427EF9"/>
    <w:rsid w:val="00430186"/>
    <w:rsid w:val="004305A4"/>
    <w:rsid w:val="0043070A"/>
    <w:rsid w:val="00430740"/>
    <w:rsid w:val="00430BCB"/>
    <w:rsid w:val="00431B2C"/>
    <w:rsid w:val="00432286"/>
    <w:rsid w:val="00435D0A"/>
    <w:rsid w:val="00435DCA"/>
    <w:rsid w:val="00435EAD"/>
    <w:rsid w:val="004366C4"/>
    <w:rsid w:val="00436925"/>
    <w:rsid w:val="00436DD8"/>
    <w:rsid w:val="00437424"/>
    <w:rsid w:val="004377BC"/>
    <w:rsid w:val="00437C74"/>
    <w:rsid w:val="004407D1"/>
    <w:rsid w:val="00442324"/>
    <w:rsid w:val="00443BF7"/>
    <w:rsid w:val="004440EA"/>
    <w:rsid w:val="00446306"/>
    <w:rsid w:val="0044701B"/>
    <w:rsid w:val="00447270"/>
    <w:rsid w:val="004507AC"/>
    <w:rsid w:val="00451E7E"/>
    <w:rsid w:val="00454614"/>
    <w:rsid w:val="004551B0"/>
    <w:rsid w:val="00456011"/>
    <w:rsid w:val="0045628B"/>
    <w:rsid w:val="00460043"/>
    <w:rsid w:val="004602CF"/>
    <w:rsid w:val="004605FD"/>
    <w:rsid w:val="00461B55"/>
    <w:rsid w:val="00461F9D"/>
    <w:rsid w:val="00462061"/>
    <w:rsid w:val="004624F3"/>
    <w:rsid w:val="00462953"/>
    <w:rsid w:val="004649C7"/>
    <w:rsid w:val="00464AE8"/>
    <w:rsid w:val="004672B0"/>
    <w:rsid w:val="00470098"/>
    <w:rsid w:val="004715FF"/>
    <w:rsid w:val="00472227"/>
    <w:rsid w:val="00474574"/>
    <w:rsid w:val="0047499A"/>
    <w:rsid w:val="004758AB"/>
    <w:rsid w:val="00476CB5"/>
    <w:rsid w:val="00477926"/>
    <w:rsid w:val="004802B8"/>
    <w:rsid w:val="00482721"/>
    <w:rsid w:val="00482CFC"/>
    <w:rsid w:val="004831C7"/>
    <w:rsid w:val="00483230"/>
    <w:rsid w:val="00483FEA"/>
    <w:rsid w:val="004856D6"/>
    <w:rsid w:val="00486F7C"/>
    <w:rsid w:val="0049090B"/>
    <w:rsid w:val="00490FC5"/>
    <w:rsid w:val="0049250D"/>
    <w:rsid w:val="004935A6"/>
    <w:rsid w:val="004951DC"/>
    <w:rsid w:val="004953F1"/>
    <w:rsid w:val="004964E9"/>
    <w:rsid w:val="004A1742"/>
    <w:rsid w:val="004A2F61"/>
    <w:rsid w:val="004A3EBF"/>
    <w:rsid w:val="004A4BBE"/>
    <w:rsid w:val="004A7E7F"/>
    <w:rsid w:val="004B12AF"/>
    <w:rsid w:val="004B1542"/>
    <w:rsid w:val="004B1ABC"/>
    <w:rsid w:val="004B1FBD"/>
    <w:rsid w:val="004B263A"/>
    <w:rsid w:val="004B29C3"/>
    <w:rsid w:val="004B31D2"/>
    <w:rsid w:val="004B3E06"/>
    <w:rsid w:val="004B4B73"/>
    <w:rsid w:val="004B4C0A"/>
    <w:rsid w:val="004B5711"/>
    <w:rsid w:val="004B6085"/>
    <w:rsid w:val="004B628C"/>
    <w:rsid w:val="004B712A"/>
    <w:rsid w:val="004B7847"/>
    <w:rsid w:val="004C01B9"/>
    <w:rsid w:val="004C15DD"/>
    <w:rsid w:val="004C1D04"/>
    <w:rsid w:val="004C3B02"/>
    <w:rsid w:val="004C489D"/>
    <w:rsid w:val="004C519F"/>
    <w:rsid w:val="004C59C0"/>
    <w:rsid w:val="004C5B7A"/>
    <w:rsid w:val="004C6C47"/>
    <w:rsid w:val="004C72A2"/>
    <w:rsid w:val="004C7A7E"/>
    <w:rsid w:val="004C7CDD"/>
    <w:rsid w:val="004C7EF6"/>
    <w:rsid w:val="004D11AB"/>
    <w:rsid w:val="004D16AD"/>
    <w:rsid w:val="004D1FBA"/>
    <w:rsid w:val="004D315A"/>
    <w:rsid w:val="004D4A0F"/>
    <w:rsid w:val="004D652E"/>
    <w:rsid w:val="004D68DC"/>
    <w:rsid w:val="004D7935"/>
    <w:rsid w:val="004E021D"/>
    <w:rsid w:val="004E06AB"/>
    <w:rsid w:val="004E0C68"/>
    <w:rsid w:val="004E1BD5"/>
    <w:rsid w:val="004E2329"/>
    <w:rsid w:val="004E4113"/>
    <w:rsid w:val="004E4DC0"/>
    <w:rsid w:val="004E4EF0"/>
    <w:rsid w:val="004E52B3"/>
    <w:rsid w:val="004E5E9A"/>
    <w:rsid w:val="004E7C30"/>
    <w:rsid w:val="004F04DD"/>
    <w:rsid w:val="004F09C3"/>
    <w:rsid w:val="004F326A"/>
    <w:rsid w:val="004F4E0E"/>
    <w:rsid w:val="004F5627"/>
    <w:rsid w:val="004F6F13"/>
    <w:rsid w:val="005012B3"/>
    <w:rsid w:val="005012D0"/>
    <w:rsid w:val="005013D5"/>
    <w:rsid w:val="00501A09"/>
    <w:rsid w:val="00501DC7"/>
    <w:rsid w:val="00503820"/>
    <w:rsid w:val="00503D7A"/>
    <w:rsid w:val="00504C9C"/>
    <w:rsid w:val="0050504D"/>
    <w:rsid w:val="00507692"/>
    <w:rsid w:val="00507DB8"/>
    <w:rsid w:val="00510B7C"/>
    <w:rsid w:val="00510D94"/>
    <w:rsid w:val="005110F4"/>
    <w:rsid w:val="005127E1"/>
    <w:rsid w:val="00512B6E"/>
    <w:rsid w:val="00513FA5"/>
    <w:rsid w:val="00514F08"/>
    <w:rsid w:val="00515683"/>
    <w:rsid w:val="005160D4"/>
    <w:rsid w:val="00516392"/>
    <w:rsid w:val="00516A1B"/>
    <w:rsid w:val="00516EFE"/>
    <w:rsid w:val="005175B8"/>
    <w:rsid w:val="00517AFD"/>
    <w:rsid w:val="005207F5"/>
    <w:rsid w:val="00520AC8"/>
    <w:rsid w:val="005214F3"/>
    <w:rsid w:val="00521D80"/>
    <w:rsid w:val="005223CC"/>
    <w:rsid w:val="00523436"/>
    <w:rsid w:val="00523582"/>
    <w:rsid w:val="00525D14"/>
    <w:rsid w:val="00531C7B"/>
    <w:rsid w:val="0053206A"/>
    <w:rsid w:val="00532317"/>
    <w:rsid w:val="005335BD"/>
    <w:rsid w:val="005339F4"/>
    <w:rsid w:val="00534AD9"/>
    <w:rsid w:val="00534C8A"/>
    <w:rsid w:val="00536E99"/>
    <w:rsid w:val="005378EA"/>
    <w:rsid w:val="00537EAB"/>
    <w:rsid w:val="00540622"/>
    <w:rsid w:val="0054092D"/>
    <w:rsid w:val="005425B4"/>
    <w:rsid w:val="00542730"/>
    <w:rsid w:val="0054349A"/>
    <w:rsid w:val="0054649A"/>
    <w:rsid w:val="00546FFB"/>
    <w:rsid w:val="00547240"/>
    <w:rsid w:val="005477FB"/>
    <w:rsid w:val="0055004A"/>
    <w:rsid w:val="00550E05"/>
    <w:rsid w:val="005514D6"/>
    <w:rsid w:val="0055179D"/>
    <w:rsid w:val="0055198E"/>
    <w:rsid w:val="005530EF"/>
    <w:rsid w:val="005539D9"/>
    <w:rsid w:val="00553E97"/>
    <w:rsid w:val="00553F13"/>
    <w:rsid w:val="00553F90"/>
    <w:rsid w:val="0055466B"/>
    <w:rsid w:val="00555E55"/>
    <w:rsid w:val="00556C96"/>
    <w:rsid w:val="00556CDD"/>
    <w:rsid w:val="0056144E"/>
    <w:rsid w:val="005616F0"/>
    <w:rsid w:val="005627BA"/>
    <w:rsid w:val="00563A9D"/>
    <w:rsid w:val="005656FC"/>
    <w:rsid w:val="005658EC"/>
    <w:rsid w:val="005661D8"/>
    <w:rsid w:val="005665C1"/>
    <w:rsid w:val="00567694"/>
    <w:rsid w:val="0056799B"/>
    <w:rsid w:val="0057119A"/>
    <w:rsid w:val="00571720"/>
    <w:rsid w:val="00572AB4"/>
    <w:rsid w:val="00572DD7"/>
    <w:rsid w:val="00575724"/>
    <w:rsid w:val="00575CEF"/>
    <w:rsid w:val="00575D3E"/>
    <w:rsid w:val="005771DB"/>
    <w:rsid w:val="00580019"/>
    <w:rsid w:val="00584CA2"/>
    <w:rsid w:val="005865DA"/>
    <w:rsid w:val="00586C16"/>
    <w:rsid w:val="00587894"/>
    <w:rsid w:val="00587DFA"/>
    <w:rsid w:val="00587E17"/>
    <w:rsid w:val="00590A0E"/>
    <w:rsid w:val="00590C4A"/>
    <w:rsid w:val="00590DC6"/>
    <w:rsid w:val="005918D8"/>
    <w:rsid w:val="00591AEF"/>
    <w:rsid w:val="0059200A"/>
    <w:rsid w:val="00592257"/>
    <w:rsid w:val="00592396"/>
    <w:rsid w:val="00592CFC"/>
    <w:rsid w:val="00592F53"/>
    <w:rsid w:val="0059360A"/>
    <w:rsid w:val="0059578F"/>
    <w:rsid w:val="00595D69"/>
    <w:rsid w:val="00595ED3"/>
    <w:rsid w:val="00596062"/>
    <w:rsid w:val="005A1126"/>
    <w:rsid w:val="005A1AAE"/>
    <w:rsid w:val="005A1B04"/>
    <w:rsid w:val="005A38F3"/>
    <w:rsid w:val="005A4230"/>
    <w:rsid w:val="005A653E"/>
    <w:rsid w:val="005A68F5"/>
    <w:rsid w:val="005B0EE1"/>
    <w:rsid w:val="005B2292"/>
    <w:rsid w:val="005B24D1"/>
    <w:rsid w:val="005B2C3E"/>
    <w:rsid w:val="005B2C58"/>
    <w:rsid w:val="005B356C"/>
    <w:rsid w:val="005B3FFC"/>
    <w:rsid w:val="005B57B2"/>
    <w:rsid w:val="005B5D7F"/>
    <w:rsid w:val="005B652C"/>
    <w:rsid w:val="005B6D2F"/>
    <w:rsid w:val="005B707E"/>
    <w:rsid w:val="005B73E3"/>
    <w:rsid w:val="005C070C"/>
    <w:rsid w:val="005C0C06"/>
    <w:rsid w:val="005C1D1F"/>
    <w:rsid w:val="005C249E"/>
    <w:rsid w:val="005C296F"/>
    <w:rsid w:val="005C3368"/>
    <w:rsid w:val="005C5625"/>
    <w:rsid w:val="005C5FFB"/>
    <w:rsid w:val="005C6151"/>
    <w:rsid w:val="005C77E2"/>
    <w:rsid w:val="005C7B96"/>
    <w:rsid w:val="005C7EFF"/>
    <w:rsid w:val="005D1967"/>
    <w:rsid w:val="005D205F"/>
    <w:rsid w:val="005D2A18"/>
    <w:rsid w:val="005D385B"/>
    <w:rsid w:val="005D4A21"/>
    <w:rsid w:val="005D5229"/>
    <w:rsid w:val="005D52C9"/>
    <w:rsid w:val="005D66BD"/>
    <w:rsid w:val="005D7856"/>
    <w:rsid w:val="005D7CB3"/>
    <w:rsid w:val="005E2129"/>
    <w:rsid w:val="005E2272"/>
    <w:rsid w:val="005E2824"/>
    <w:rsid w:val="005E3ED9"/>
    <w:rsid w:val="005E5509"/>
    <w:rsid w:val="005E5EE9"/>
    <w:rsid w:val="005F0834"/>
    <w:rsid w:val="005F1982"/>
    <w:rsid w:val="005F1DA2"/>
    <w:rsid w:val="005F4627"/>
    <w:rsid w:val="005F508E"/>
    <w:rsid w:val="005F55C9"/>
    <w:rsid w:val="005F676B"/>
    <w:rsid w:val="005F74EB"/>
    <w:rsid w:val="005F76D7"/>
    <w:rsid w:val="005F7DC0"/>
    <w:rsid w:val="0060097D"/>
    <w:rsid w:val="00601185"/>
    <w:rsid w:val="006025E4"/>
    <w:rsid w:val="006050BB"/>
    <w:rsid w:val="006054CD"/>
    <w:rsid w:val="006054D5"/>
    <w:rsid w:val="00605C32"/>
    <w:rsid w:val="00607F8A"/>
    <w:rsid w:val="0061225F"/>
    <w:rsid w:val="006122A1"/>
    <w:rsid w:val="006129E3"/>
    <w:rsid w:val="006132E0"/>
    <w:rsid w:val="00614734"/>
    <w:rsid w:val="00615387"/>
    <w:rsid w:val="00615461"/>
    <w:rsid w:val="00616360"/>
    <w:rsid w:val="00616DF5"/>
    <w:rsid w:val="006174A7"/>
    <w:rsid w:val="00617FEC"/>
    <w:rsid w:val="006221F3"/>
    <w:rsid w:val="00622D88"/>
    <w:rsid w:val="006232C0"/>
    <w:rsid w:val="00623D96"/>
    <w:rsid w:val="006242EB"/>
    <w:rsid w:val="006248FD"/>
    <w:rsid w:val="00625885"/>
    <w:rsid w:val="006260DA"/>
    <w:rsid w:val="0062724C"/>
    <w:rsid w:val="006272F5"/>
    <w:rsid w:val="0063000A"/>
    <w:rsid w:val="006302B4"/>
    <w:rsid w:val="00630641"/>
    <w:rsid w:val="006326B7"/>
    <w:rsid w:val="006326BB"/>
    <w:rsid w:val="00633757"/>
    <w:rsid w:val="00633E13"/>
    <w:rsid w:val="0063564D"/>
    <w:rsid w:val="00635C16"/>
    <w:rsid w:val="0063676E"/>
    <w:rsid w:val="00637019"/>
    <w:rsid w:val="00640B92"/>
    <w:rsid w:val="00640FE6"/>
    <w:rsid w:val="006410D6"/>
    <w:rsid w:val="00641C71"/>
    <w:rsid w:val="00642284"/>
    <w:rsid w:val="00642E83"/>
    <w:rsid w:val="00643AF0"/>
    <w:rsid w:val="00643B51"/>
    <w:rsid w:val="006451CC"/>
    <w:rsid w:val="006478AE"/>
    <w:rsid w:val="006501B9"/>
    <w:rsid w:val="0065049B"/>
    <w:rsid w:val="00651065"/>
    <w:rsid w:val="006520A2"/>
    <w:rsid w:val="00652342"/>
    <w:rsid w:val="0065324D"/>
    <w:rsid w:val="0065376C"/>
    <w:rsid w:val="00654CB3"/>
    <w:rsid w:val="006575D7"/>
    <w:rsid w:val="00657A41"/>
    <w:rsid w:val="00660A7C"/>
    <w:rsid w:val="00661073"/>
    <w:rsid w:val="006610E8"/>
    <w:rsid w:val="006616F3"/>
    <w:rsid w:val="006620BD"/>
    <w:rsid w:val="0066229B"/>
    <w:rsid w:val="006622CE"/>
    <w:rsid w:val="00663135"/>
    <w:rsid w:val="0066377D"/>
    <w:rsid w:val="0066417A"/>
    <w:rsid w:val="006649C3"/>
    <w:rsid w:val="00665E35"/>
    <w:rsid w:val="0066726D"/>
    <w:rsid w:val="00672C42"/>
    <w:rsid w:val="00672C6F"/>
    <w:rsid w:val="006750CD"/>
    <w:rsid w:val="00675C45"/>
    <w:rsid w:val="00676DD3"/>
    <w:rsid w:val="00680A02"/>
    <w:rsid w:val="00682276"/>
    <w:rsid w:val="00682E56"/>
    <w:rsid w:val="00684310"/>
    <w:rsid w:val="00684C90"/>
    <w:rsid w:val="00684F21"/>
    <w:rsid w:val="00687ABB"/>
    <w:rsid w:val="00687C0D"/>
    <w:rsid w:val="0069136B"/>
    <w:rsid w:val="006933C6"/>
    <w:rsid w:val="00693E01"/>
    <w:rsid w:val="0069434B"/>
    <w:rsid w:val="0069454A"/>
    <w:rsid w:val="006A22B3"/>
    <w:rsid w:val="006A2A97"/>
    <w:rsid w:val="006A3C6A"/>
    <w:rsid w:val="006A4BD6"/>
    <w:rsid w:val="006A513F"/>
    <w:rsid w:val="006A5905"/>
    <w:rsid w:val="006A5C30"/>
    <w:rsid w:val="006A5FFD"/>
    <w:rsid w:val="006A6075"/>
    <w:rsid w:val="006A6876"/>
    <w:rsid w:val="006A7417"/>
    <w:rsid w:val="006A74AC"/>
    <w:rsid w:val="006A7E6E"/>
    <w:rsid w:val="006B06C5"/>
    <w:rsid w:val="006B0714"/>
    <w:rsid w:val="006B0B96"/>
    <w:rsid w:val="006B1887"/>
    <w:rsid w:val="006B1EBB"/>
    <w:rsid w:val="006B27AE"/>
    <w:rsid w:val="006B381B"/>
    <w:rsid w:val="006B4C53"/>
    <w:rsid w:val="006B4EF9"/>
    <w:rsid w:val="006B5CEF"/>
    <w:rsid w:val="006B5E22"/>
    <w:rsid w:val="006B617E"/>
    <w:rsid w:val="006B6185"/>
    <w:rsid w:val="006B619D"/>
    <w:rsid w:val="006B7E93"/>
    <w:rsid w:val="006C150A"/>
    <w:rsid w:val="006C1638"/>
    <w:rsid w:val="006C19AF"/>
    <w:rsid w:val="006C1F64"/>
    <w:rsid w:val="006C303F"/>
    <w:rsid w:val="006C341B"/>
    <w:rsid w:val="006C51A3"/>
    <w:rsid w:val="006C5775"/>
    <w:rsid w:val="006C5B40"/>
    <w:rsid w:val="006C65E0"/>
    <w:rsid w:val="006C7A68"/>
    <w:rsid w:val="006D0223"/>
    <w:rsid w:val="006D0FE3"/>
    <w:rsid w:val="006D14CF"/>
    <w:rsid w:val="006D1B14"/>
    <w:rsid w:val="006D2255"/>
    <w:rsid w:val="006D268B"/>
    <w:rsid w:val="006D55DA"/>
    <w:rsid w:val="006D5EE5"/>
    <w:rsid w:val="006D73AF"/>
    <w:rsid w:val="006D7D91"/>
    <w:rsid w:val="006E0451"/>
    <w:rsid w:val="006E0521"/>
    <w:rsid w:val="006E11E9"/>
    <w:rsid w:val="006E1268"/>
    <w:rsid w:val="006E1A28"/>
    <w:rsid w:val="006E1B44"/>
    <w:rsid w:val="006E3F37"/>
    <w:rsid w:val="006E3F5D"/>
    <w:rsid w:val="006E520D"/>
    <w:rsid w:val="006E53E4"/>
    <w:rsid w:val="006E577A"/>
    <w:rsid w:val="006E6EF6"/>
    <w:rsid w:val="006E7907"/>
    <w:rsid w:val="006F0487"/>
    <w:rsid w:val="006F22FC"/>
    <w:rsid w:val="006F27CC"/>
    <w:rsid w:val="006F29A4"/>
    <w:rsid w:val="006F72A8"/>
    <w:rsid w:val="007000EB"/>
    <w:rsid w:val="007017EF"/>
    <w:rsid w:val="0070266D"/>
    <w:rsid w:val="00702F99"/>
    <w:rsid w:val="00704C89"/>
    <w:rsid w:val="00704DEF"/>
    <w:rsid w:val="00706852"/>
    <w:rsid w:val="00712B3A"/>
    <w:rsid w:val="00713754"/>
    <w:rsid w:val="0071475C"/>
    <w:rsid w:val="0071478B"/>
    <w:rsid w:val="00714AC8"/>
    <w:rsid w:val="00715311"/>
    <w:rsid w:val="00716230"/>
    <w:rsid w:val="007224D1"/>
    <w:rsid w:val="007226CE"/>
    <w:rsid w:val="0072330B"/>
    <w:rsid w:val="00723FF6"/>
    <w:rsid w:val="0072419C"/>
    <w:rsid w:val="00727B62"/>
    <w:rsid w:val="00727E44"/>
    <w:rsid w:val="00730EF3"/>
    <w:rsid w:val="00731725"/>
    <w:rsid w:val="00732E97"/>
    <w:rsid w:val="00733A27"/>
    <w:rsid w:val="00733B40"/>
    <w:rsid w:val="0073444C"/>
    <w:rsid w:val="00734706"/>
    <w:rsid w:val="00734828"/>
    <w:rsid w:val="00735A0E"/>
    <w:rsid w:val="00736856"/>
    <w:rsid w:val="00737291"/>
    <w:rsid w:val="0074000A"/>
    <w:rsid w:val="00740D85"/>
    <w:rsid w:val="007433F0"/>
    <w:rsid w:val="00743C82"/>
    <w:rsid w:val="00744B2C"/>
    <w:rsid w:val="00746131"/>
    <w:rsid w:val="00746759"/>
    <w:rsid w:val="007474CC"/>
    <w:rsid w:val="00747A09"/>
    <w:rsid w:val="00752D3D"/>
    <w:rsid w:val="007531AA"/>
    <w:rsid w:val="0075326F"/>
    <w:rsid w:val="007538AD"/>
    <w:rsid w:val="007554FC"/>
    <w:rsid w:val="007559A3"/>
    <w:rsid w:val="00755CAC"/>
    <w:rsid w:val="0075697B"/>
    <w:rsid w:val="007614E9"/>
    <w:rsid w:val="00762A56"/>
    <w:rsid w:val="00762D9E"/>
    <w:rsid w:val="00763600"/>
    <w:rsid w:val="00764294"/>
    <w:rsid w:val="00764A1B"/>
    <w:rsid w:val="00765400"/>
    <w:rsid w:val="00767D92"/>
    <w:rsid w:val="007709F5"/>
    <w:rsid w:val="00770E0D"/>
    <w:rsid w:val="00771006"/>
    <w:rsid w:val="007725D0"/>
    <w:rsid w:val="00772FBF"/>
    <w:rsid w:val="00773B74"/>
    <w:rsid w:val="00773E3C"/>
    <w:rsid w:val="00775400"/>
    <w:rsid w:val="00775A7A"/>
    <w:rsid w:val="00775AF3"/>
    <w:rsid w:val="00775B50"/>
    <w:rsid w:val="007764E9"/>
    <w:rsid w:val="007767F6"/>
    <w:rsid w:val="00777C96"/>
    <w:rsid w:val="007816A4"/>
    <w:rsid w:val="00781708"/>
    <w:rsid w:val="007818E6"/>
    <w:rsid w:val="00781DEC"/>
    <w:rsid w:val="007842C0"/>
    <w:rsid w:val="00785C1C"/>
    <w:rsid w:val="0078685E"/>
    <w:rsid w:val="0079068B"/>
    <w:rsid w:val="00790C8C"/>
    <w:rsid w:val="0079274F"/>
    <w:rsid w:val="00793294"/>
    <w:rsid w:val="00793965"/>
    <w:rsid w:val="00793EF2"/>
    <w:rsid w:val="00793F2B"/>
    <w:rsid w:val="00794E66"/>
    <w:rsid w:val="00795C58"/>
    <w:rsid w:val="00795E7D"/>
    <w:rsid w:val="00796105"/>
    <w:rsid w:val="0079779F"/>
    <w:rsid w:val="00797832"/>
    <w:rsid w:val="00797B75"/>
    <w:rsid w:val="007A004E"/>
    <w:rsid w:val="007A0BA2"/>
    <w:rsid w:val="007A1DCE"/>
    <w:rsid w:val="007A298E"/>
    <w:rsid w:val="007A2BC8"/>
    <w:rsid w:val="007A76FF"/>
    <w:rsid w:val="007A7E5B"/>
    <w:rsid w:val="007B081B"/>
    <w:rsid w:val="007B0987"/>
    <w:rsid w:val="007B125E"/>
    <w:rsid w:val="007B259C"/>
    <w:rsid w:val="007B2973"/>
    <w:rsid w:val="007B2ED7"/>
    <w:rsid w:val="007B2FEB"/>
    <w:rsid w:val="007B3726"/>
    <w:rsid w:val="007B3A44"/>
    <w:rsid w:val="007B3C26"/>
    <w:rsid w:val="007B538E"/>
    <w:rsid w:val="007B6314"/>
    <w:rsid w:val="007B681A"/>
    <w:rsid w:val="007B6C57"/>
    <w:rsid w:val="007B70EC"/>
    <w:rsid w:val="007B7FBD"/>
    <w:rsid w:val="007C0045"/>
    <w:rsid w:val="007C02B0"/>
    <w:rsid w:val="007C0699"/>
    <w:rsid w:val="007C0C72"/>
    <w:rsid w:val="007C0E2D"/>
    <w:rsid w:val="007C2E7C"/>
    <w:rsid w:val="007C3C66"/>
    <w:rsid w:val="007C40CD"/>
    <w:rsid w:val="007C4A34"/>
    <w:rsid w:val="007C528D"/>
    <w:rsid w:val="007C6367"/>
    <w:rsid w:val="007C7A41"/>
    <w:rsid w:val="007D0514"/>
    <w:rsid w:val="007D43C8"/>
    <w:rsid w:val="007D47E0"/>
    <w:rsid w:val="007D60A9"/>
    <w:rsid w:val="007D6800"/>
    <w:rsid w:val="007E0284"/>
    <w:rsid w:val="007E0D55"/>
    <w:rsid w:val="007E1398"/>
    <w:rsid w:val="007E3073"/>
    <w:rsid w:val="007E4381"/>
    <w:rsid w:val="007E466A"/>
    <w:rsid w:val="007E58A7"/>
    <w:rsid w:val="007E5DF5"/>
    <w:rsid w:val="007E6848"/>
    <w:rsid w:val="007E7E91"/>
    <w:rsid w:val="007F104D"/>
    <w:rsid w:val="007F1317"/>
    <w:rsid w:val="007F23C1"/>
    <w:rsid w:val="007F2CD7"/>
    <w:rsid w:val="007F3F60"/>
    <w:rsid w:val="007F41D7"/>
    <w:rsid w:val="007F47B8"/>
    <w:rsid w:val="007F7792"/>
    <w:rsid w:val="00801D06"/>
    <w:rsid w:val="0080241B"/>
    <w:rsid w:val="00803800"/>
    <w:rsid w:val="00803965"/>
    <w:rsid w:val="0080420C"/>
    <w:rsid w:val="00804CBC"/>
    <w:rsid w:val="008057BD"/>
    <w:rsid w:val="00805AFD"/>
    <w:rsid w:val="00805ECE"/>
    <w:rsid w:val="00806B30"/>
    <w:rsid w:val="00806EA0"/>
    <w:rsid w:val="00807B5A"/>
    <w:rsid w:val="008112A6"/>
    <w:rsid w:val="0081155A"/>
    <w:rsid w:val="00811DF1"/>
    <w:rsid w:val="00813EB9"/>
    <w:rsid w:val="008151B1"/>
    <w:rsid w:val="00815A9D"/>
    <w:rsid w:val="008169FE"/>
    <w:rsid w:val="00820704"/>
    <w:rsid w:val="00821350"/>
    <w:rsid w:val="00821B0B"/>
    <w:rsid w:val="00823972"/>
    <w:rsid w:val="00824255"/>
    <w:rsid w:val="00825150"/>
    <w:rsid w:val="00826502"/>
    <w:rsid w:val="00826633"/>
    <w:rsid w:val="00826705"/>
    <w:rsid w:val="00826D48"/>
    <w:rsid w:val="00826FE4"/>
    <w:rsid w:val="0082716F"/>
    <w:rsid w:val="00830648"/>
    <w:rsid w:val="00830B33"/>
    <w:rsid w:val="0083213D"/>
    <w:rsid w:val="00832ACF"/>
    <w:rsid w:val="00833922"/>
    <w:rsid w:val="00833D58"/>
    <w:rsid w:val="00834294"/>
    <w:rsid w:val="00834E46"/>
    <w:rsid w:val="008377FC"/>
    <w:rsid w:val="00837F38"/>
    <w:rsid w:val="0084045A"/>
    <w:rsid w:val="00841915"/>
    <w:rsid w:val="0084203F"/>
    <w:rsid w:val="00842057"/>
    <w:rsid w:val="00842220"/>
    <w:rsid w:val="008424BA"/>
    <w:rsid w:val="00844188"/>
    <w:rsid w:val="00846153"/>
    <w:rsid w:val="00846B19"/>
    <w:rsid w:val="00847B60"/>
    <w:rsid w:val="008500B6"/>
    <w:rsid w:val="00850163"/>
    <w:rsid w:val="00850AE6"/>
    <w:rsid w:val="00852BAF"/>
    <w:rsid w:val="00853403"/>
    <w:rsid w:val="008534C2"/>
    <w:rsid w:val="00853971"/>
    <w:rsid w:val="00854CD5"/>
    <w:rsid w:val="0085561C"/>
    <w:rsid w:val="00856E41"/>
    <w:rsid w:val="00857043"/>
    <w:rsid w:val="008605E3"/>
    <w:rsid w:val="00860738"/>
    <w:rsid w:val="00860A2B"/>
    <w:rsid w:val="00860A96"/>
    <w:rsid w:val="0086147C"/>
    <w:rsid w:val="008616EC"/>
    <w:rsid w:val="00862CDE"/>
    <w:rsid w:val="008631EC"/>
    <w:rsid w:val="00863736"/>
    <w:rsid w:val="00863EE2"/>
    <w:rsid w:val="00863FA8"/>
    <w:rsid w:val="00870A43"/>
    <w:rsid w:val="00873CB3"/>
    <w:rsid w:val="0087417A"/>
    <w:rsid w:val="008756CD"/>
    <w:rsid w:val="00875F18"/>
    <w:rsid w:val="0087724C"/>
    <w:rsid w:val="0087749C"/>
    <w:rsid w:val="008801FE"/>
    <w:rsid w:val="00880789"/>
    <w:rsid w:val="008814C5"/>
    <w:rsid w:val="008826E9"/>
    <w:rsid w:val="00882E68"/>
    <w:rsid w:val="00883A2A"/>
    <w:rsid w:val="0088425F"/>
    <w:rsid w:val="008851F2"/>
    <w:rsid w:val="008859A4"/>
    <w:rsid w:val="00885AC0"/>
    <w:rsid w:val="00886188"/>
    <w:rsid w:val="008861AE"/>
    <w:rsid w:val="008862A5"/>
    <w:rsid w:val="00886CD6"/>
    <w:rsid w:val="00886F29"/>
    <w:rsid w:val="0088708A"/>
    <w:rsid w:val="0088739E"/>
    <w:rsid w:val="00887C24"/>
    <w:rsid w:val="00887CB4"/>
    <w:rsid w:val="008900CE"/>
    <w:rsid w:val="00890567"/>
    <w:rsid w:val="00890E3F"/>
    <w:rsid w:val="008922E5"/>
    <w:rsid w:val="00892B42"/>
    <w:rsid w:val="008946CF"/>
    <w:rsid w:val="00894FC1"/>
    <w:rsid w:val="00895E55"/>
    <w:rsid w:val="00896185"/>
    <w:rsid w:val="00896704"/>
    <w:rsid w:val="008967CA"/>
    <w:rsid w:val="00896AFC"/>
    <w:rsid w:val="008A08C3"/>
    <w:rsid w:val="008A150D"/>
    <w:rsid w:val="008A2ED7"/>
    <w:rsid w:val="008A33A4"/>
    <w:rsid w:val="008A33F6"/>
    <w:rsid w:val="008A364D"/>
    <w:rsid w:val="008A465A"/>
    <w:rsid w:val="008A4920"/>
    <w:rsid w:val="008A49C9"/>
    <w:rsid w:val="008A5031"/>
    <w:rsid w:val="008A581C"/>
    <w:rsid w:val="008A6EF0"/>
    <w:rsid w:val="008A743E"/>
    <w:rsid w:val="008A7E1C"/>
    <w:rsid w:val="008B0682"/>
    <w:rsid w:val="008B0C1F"/>
    <w:rsid w:val="008B1E37"/>
    <w:rsid w:val="008B233C"/>
    <w:rsid w:val="008B589D"/>
    <w:rsid w:val="008B59B7"/>
    <w:rsid w:val="008B6C20"/>
    <w:rsid w:val="008C0B74"/>
    <w:rsid w:val="008C0D64"/>
    <w:rsid w:val="008C1BD9"/>
    <w:rsid w:val="008C1BEF"/>
    <w:rsid w:val="008C2C1D"/>
    <w:rsid w:val="008C55B3"/>
    <w:rsid w:val="008C5C06"/>
    <w:rsid w:val="008C73E7"/>
    <w:rsid w:val="008D0528"/>
    <w:rsid w:val="008D0F85"/>
    <w:rsid w:val="008D168B"/>
    <w:rsid w:val="008D173C"/>
    <w:rsid w:val="008D184D"/>
    <w:rsid w:val="008D1B22"/>
    <w:rsid w:val="008D22AA"/>
    <w:rsid w:val="008D23A3"/>
    <w:rsid w:val="008D450D"/>
    <w:rsid w:val="008D51B3"/>
    <w:rsid w:val="008D6103"/>
    <w:rsid w:val="008E35A8"/>
    <w:rsid w:val="008E42E7"/>
    <w:rsid w:val="008E4788"/>
    <w:rsid w:val="008E7F82"/>
    <w:rsid w:val="008F05AC"/>
    <w:rsid w:val="008F27DD"/>
    <w:rsid w:val="008F45C1"/>
    <w:rsid w:val="008F49D8"/>
    <w:rsid w:val="008F4BB0"/>
    <w:rsid w:val="008F4ECE"/>
    <w:rsid w:val="008F517E"/>
    <w:rsid w:val="008F57D2"/>
    <w:rsid w:val="008F5D9F"/>
    <w:rsid w:val="008F6389"/>
    <w:rsid w:val="008F63DA"/>
    <w:rsid w:val="008F731D"/>
    <w:rsid w:val="009003B8"/>
    <w:rsid w:val="00902B13"/>
    <w:rsid w:val="0090459E"/>
    <w:rsid w:val="00904619"/>
    <w:rsid w:val="00904F4B"/>
    <w:rsid w:val="009052ED"/>
    <w:rsid w:val="00906413"/>
    <w:rsid w:val="0090682D"/>
    <w:rsid w:val="009077B2"/>
    <w:rsid w:val="009105C1"/>
    <w:rsid w:val="009114DA"/>
    <w:rsid w:val="00911C14"/>
    <w:rsid w:val="009133A8"/>
    <w:rsid w:val="00913B27"/>
    <w:rsid w:val="00915797"/>
    <w:rsid w:val="0091590B"/>
    <w:rsid w:val="00916747"/>
    <w:rsid w:val="00916BB6"/>
    <w:rsid w:val="00917DBA"/>
    <w:rsid w:val="009228E7"/>
    <w:rsid w:val="009230D0"/>
    <w:rsid w:val="009245C1"/>
    <w:rsid w:val="009269FC"/>
    <w:rsid w:val="00926AD0"/>
    <w:rsid w:val="00926DF5"/>
    <w:rsid w:val="00926E3F"/>
    <w:rsid w:val="00927AE7"/>
    <w:rsid w:val="00930420"/>
    <w:rsid w:val="00930AE1"/>
    <w:rsid w:val="00930FD3"/>
    <w:rsid w:val="0093202E"/>
    <w:rsid w:val="00933008"/>
    <w:rsid w:val="00933BE8"/>
    <w:rsid w:val="00934F1B"/>
    <w:rsid w:val="0093596F"/>
    <w:rsid w:val="00935A34"/>
    <w:rsid w:val="00936F09"/>
    <w:rsid w:val="00940286"/>
    <w:rsid w:val="00940334"/>
    <w:rsid w:val="0094176F"/>
    <w:rsid w:val="009419EF"/>
    <w:rsid w:val="00941A50"/>
    <w:rsid w:val="0094274A"/>
    <w:rsid w:val="00942C4D"/>
    <w:rsid w:val="00944073"/>
    <w:rsid w:val="009449AB"/>
    <w:rsid w:val="00944E81"/>
    <w:rsid w:val="0094633E"/>
    <w:rsid w:val="0094693F"/>
    <w:rsid w:val="00946AA3"/>
    <w:rsid w:val="0094789A"/>
    <w:rsid w:val="00950016"/>
    <w:rsid w:val="0095069B"/>
    <w:rsid w:val="00953019"/>
    <w:rsid w:val="00954B6F"/>
    <w:rsid w:val="00954CE9"/>
    <w:rsid w:val="00955238"/>
    <w:rsid w:val="009554F4"/>
    <w:rsid w:val="009558FC"/>
    <w:rsid w:val="009564CF"/>
    <w:rsid w:val="0095652D"/>
    <w:rsid w:val="00957BD3"/>
    <w:rsid w:val="0096180E"/>
    <w:rsid w:val="009620EB"/>
    <w:rsid w:val="0096218D"/>
    <w:rsid w:val="00962DFC"/>
    <w:rsid w:val="00963E53"/>
    <w:rsid w:val="00964DC4"/>
    <w:rsid w:val="009678AE"/>
    <w:rsid w:val="00967DBA"/>
    <w:rsid w:val="0097101A"/>
    <w:rsid w:val="009715EC"/>
    <w:rsid w:val="009725D9"/>
    <w:rsid w:val="00972BA8"/>
    <w:rsid w:val="00973BB6"/>
    <w:rsid w:val="009759CC"/>
    <w:rsid w:val="00975EB9"/>
    <w:rsid w:val="009768B9"/>
    <w:rsid w:val="00976A5F"/>
    <w:rsid w:val="00980140"/>
    <w:rsid w:val="00980228"/>
    <w:rsid w:val="009807FB"/>
    <w:rsid w:val="009812A9"/>
    <w:rsid w:val="00981E42"/>
    <w:rsid w:val="00982075"/>
    <w:rsid w:val="0098289C"/>
    <w:rsid w:val="009833C6"/>
    <w:rsid w:val="00983641"/>
    <w:rsid w:val="009839DD"/>
    <w:rsid w:val="009840C9"/>
    <w:rsid w:val="00985045"/>
    <w:rsid w:val="0098535E"/>
    <w:rsid w:val="009857EF"/>
    <w:rsid w:val="00986B9E"/>
    <w:rsid w:val="00987A2A"/>
    <w:rsid w:val="009900E2"/>
    <w:rsid w:val="009909FC"/>
    <w:rsid w:val="00990DCE"/>
    <w:rsid w:val="009919A5"/>
    <w:rsid w:val="00991A14"/>
    <w:rsid w:val="0099353B"/>
    <w:rsid w:val="00993820"/>
    <w:rsid w:val="009938A0"/>
    <w:rsid w:val="00994EFE"/>
    <w:rsid w:val="00995990"/>
    <w:rsid w:val="00995C6A"/>
    <w:rsid w:val="00996295"/>
    <w:rsid w:val="009963FF"/>
    <w:rsid w:val="00996812"/>
    <w:rsid w:val="009975AC"/>
    <w:rsid w:val="00997762"/>
    <w:rsid w:val="009A2C35"/>
    <w:rsid w:val="009A2EFA"/>
    <w:rsid w:val="009A3AB4"/>
    <w:rsid w:val="009A422A"/>
    <w:rsid w:val="009A47DF"/>
    <w:rsid w:val="009A5015"/>
    <w:rsid w:val="009A64D0"/>
    <w:rsid w:val="009A755A"/>
    <w:rsid w:val="009A7982"/>
    <w:rsid w:val="009B5879"/>
    <w:rsid w:val="009B622E"/>
    <w:rsid w:val="009B6B8B"/>
    <w:rsid w:val="009B7060"/>
    <w:rsid w:val="009C0A48"/>
    <w:rsid w:val="009C1E33"/>
    <w:rsid w:val="009C2B48"/>
    <w:rsid w:val="009C40E5"/>
    <w:rsid w:val="009C498B"/>
    <w:rsid w:val="009C5761"/>
    <w:rsid w:val="009C598E"/>
    <w:rsid w:val="009C5F5C"/>
    <w:rsid w:val="009C61A9"/>
    <w:rsid w:val="009C62BF"/>
    <w:rsid w:val="009D03EB"/>
    <w:rsid w:val="009D0C32"/>
    <w:rsid w:val="009D1628"/>
    <w:rsid w:val="009D1FAC"/>
    <w:rsid w:val="009D206C"/>
    <w:rsid w:val="009D20B3"/>
    <w:rsid w:val="009D26F8"/>
    <w:rsid w:val="009D27D1"/>
    <w:rsid w:val="009D2E55"/>
    <w:rsid w:val="009D467D"/>
    <w:rsid w:val="009D5656"/>
    <w:rsid w:val="009D58B1"/>
    <w:rsid w:val="009D5FBA"/>
    <w:rsid w:val="009E0158"/>
    <w:rsid w:val="009E073D"/>
    <w:rsid w:val="009E0D12"/>
    <w:rsid w:val="009E3B5F"/>
    <w:rsid w:val="009E50DF"/>
    <w:rsid w:val="009E5431"/>
    <w:rsid w:val="009E5AB4"/>
    <w:rsid w:val="009E5C0F"/>
    <w:rsid w:val="009E5EFA"/>
    <w:rsid w:val="009E60A1"/>
    <w:rsid w:val="009E7689"/>
    <w:rsid w:val="009F046C"/>
    <w:rsid w:val="009F0F74"/>
    <w:rsid w:val="009F1AF9"/>
    <w:rsid w:val="009F40FA"/>
    <w:rsid w:val="009F5AC9"/>
    <w:rsid w:val="009F65DA"/>
    <w:rsid w:val="009F6C07"/>
    <w:rsid w:val="009F6F56"/>
    <w:rsid w:val="009F7357"/>
    <w:rsid w:val="009F7781"/>
    <w:rsid w:val="00A004D1"/>
    <w:rsid w:val="00A02C0C"/>
    <w:rsid w:val="00A02DFA"/>
    <w:rsid w:val="00A035EB"/>
    <w:rsid w:val="00A044F5"/>
    <w:rsid w:val="00A044FA"/>
    <w:rsid w:val="00A0551C"/>
    <w:rsid w:val="00A0620B"/>
    <w:rsid w:val="00A0691E"/>
    <w:rsid w:val="00A06921"/>
    <w:rsid w:val="00A06D41"/>
    <w:rsid w:val="00A07373"/>
    <w:rsid w:val="00A073ED"/>
    <w:rsid w:val="00A07FE3"/>
    <w:rsid w:val="00A115F5"/>
    <w:rsid w:val="00A11C90"/>
    <w:rsid w:val="00A1277C"/>
    <w:rsid w:val="00A12BF9"/>
    <w:rsid w:val="00A13006"/>
    <w:rsid w:val="00A133FF"/>
    <w:rsid w:val="00A14434"/>
    <w:rsid w:val="00A14610"/>
    <w:rsid w:val="00A1475C"/>
    <w:rsid w:val="00A14B1E"/>
    <w:rsid w:val="00A14FF5"/>
    <w:rsid w:val="00A152D5"/>
    <w:rsid w:val="00A155AA"/>
    <w:rsid w:val="00A15985"/>
    <w:rsid w:val="00A16612"/>
    <w:rsid w:val="00A17055"/>
    <w:rsid w:val="00A17330"/>
    <w:rsid w:val="00A177BA"/>
    <w:rsid w:val="00A205F8"/>
    <w:rsid w:val="00A20DF0"/>
    <w:rsid w:val="00A20E6B"/>
    <w:rsid w:val="00A21DA0"/>
    <w:rsid w:val="00A22755"/>
    <w:rsid w:val="00A22F5C"/>
    <w:rsid w:val="00A23552"/>
    <w:rsid w:val="00A251B3"/>
    <w:rsid w:val="00A274F3"/>
    <w:rsid w:val="00A27555"/>
    <w:rsid w:val="00A30392"/>
    <w:rsid w:val="00A305D6"/>
    <w:rsid w:val="00A34389"/>
    <w:rsid w:val="00A344FD"/>
    <w:rsid w:val="00A34E53"/>
    <w:rsid w:val="00A36C3D"/>
    <w:rsid w:val="00A37357"/>
    <w:rsid w:val="00A374CC"/>
    <w:rsid w:val="00A376B3"/>
    <w:rsid w:val="00A37D81"/>
    <w:rsid w:val="00A4019B"/>
    <w:rsid w:val="00A40F67"/>
    <w:rsid w:val="00A41EB5"/>
    <w:rsid w:val="00A44103"/>
    <w:rsid w:val="00A448F2"/>
    <w:rsid w:val="00A44A27"/>
    <w:rsid w:val="00A4633D"/>
    <w:rsid w:val="00A46770"/>
    <w:rsid w:val="00A46971"/>
    <w:rsid w:val="00A47846"/>
    <w:rsid w:val="00A515E6"/>
    <w:rsid w:val="00A52321"/>
    <w:rsid w:val="00A527E0"/>
    <w:rsid w:val="00A52917"/>
    <w:rsid w:val="00A53266"/>
    <w:rsid w:val="00A54450"/>
    <w:rsid w:val="00A544DC"/>
    <w:rsid w:val="00A54B31"/>
    <w:rsid w:val="00A550AE"/>
    <w:rsid w:val="00A55CFF"/>
    <w:rsid w:val="00A62B37"/>
    <w:rsid w:val="00A632BC"/>
    <w:rsid w:val="00A6345A"/>
    <w:rsid w:val="00A64AB6"/>
    <w:rsid w:val="00A650E6"/>
    <w:rsid w:val="00A65675"/>
    <w:rsid w:val="00A7084F"/>
    <w:rsid w:val="00A71511"/>
    <w:rsid w:val="00A725FF"/>
    <w:rsid w:val="00A751B1"/>
    <w:rsid w:val="00A762BD"/>
    <w:rsid w:val="00A76397"/>
    <w:rsid w:val="00A768E9"/>
    <w:rsid w:val="00A77FBA"/>
    <w:rsid w:val="00A8000C"/>
    <w:rsid w:val="00A80071"/>
    <w:rsid w:val="00A805D3"/>
    <w:rsid w:val="00A80CD6"/>
    <w:rsid w:val="00A80D70"/>
    <w:rsid w:val="00A8235E"/>
    <w:rsid w:val="00A82C5C"/>
    <w:rsid w:val="00A82EA8"/>
    <w:rsid w:val="00A8385E"/>
    <w:rsid w:val="00A84B86"/>
    <w:rsid w:val="00A84CF2"/>
    <w:rsid w:val="00A85992"/>
    <w:rsid w:val="00A85A86"/>
    <w:rsid w:val="00A86E58"/>
    <w:rsid w:val="00A8701C"/>
    <w:rsid w:val="00A877C4"/>
    <w:rsid w:val="00A87E23"/>
    <w:rsid w:val="00A91F1E"/>
    <w:rsid w:val="00A92E46"/>
    <w:rsid w:val="00A93E51"/>
    <w:rsid w:val="00A94BA4"/>
    <w:rsid w:val="00A95E9A"/>
    <w:rsid w:val="00A962A9"/>
    <w:rsid w:val="00A97222"/>
    <w:rsid w:val="00AA0C97"/>
    <w:rsid w:val="00AA2329"/>
    <w:rsid w:val="00AA2F98"/>
    <w:rsid w:val="00AA3DE3"/>
    <w:rsid w:val="00AA45B7"/>
    <w:rsid w:val="00AA4D2E"/>
    <w:rsid w:val="00AA6C00"/>
    <w:rsid w:val="00AA6E8D"/>
    <w:rsid w:val="00AA6F18"/>
    <w:rsid w:val="00AB0004"/>
    <w:rsid w:val="00AB03B1"/>
    <w:rsid w:val="00AB07F0"/>
    <w:rsid w:val="00AB1F78"/>
    <w:rsid w:val="00AB20C7"/>
    <w:rsid w:val="00AB26AF"/>
    <w:rsid w:val="00AB2C7D"/>
    <w:rsid w:val="00AB3BF5"/>
    <w:rsid w:val="00AB4607"/>
    <w:rsid w:val="00AB5421"/>
    <w:rsid w:val="00AB690C"/>
    <w:rsid w:val="00AC247F"/>
    <w:rsid w:val="00AC25A7"/>
    <w:rsid w:val="00AC3C4E"/>
    <w:rsid w:val="00AC4916"/>
    <w:rsid w:val="00AC6056"/>
    <w:rsid w:val="00AC7884"/>
    <w:rsid w:val="00AD17B9"/>
    <w:rsid w:val="00AD1E18"/>
    <w:rsid w:val="00AD1FFD"/>
    <w:rsid w:val="00AD434E"/>
    <w:rsid w:val="00AD446D"/>
    <w:rsid w:val="00AD498D"/>
    <w:rsid w:val="00AD52D6"/>
    <w:rsid w:val="00AD60AE"/>
    <w:rsid w:val="00AD6CE3"/>
    <w:rsid w:val="00AE0CAE"/>
    <w:rsid w:val="00AE13B7"/>
    <w:rsid w:val="00AE1FE1"/>
    <w:rsid w:val="00AE24FA"/>
    <w:rsid w:val="00AE3A67"/>
    <w:rsid w:val="00AE5049"/>
    <w:rsid w:val="00AE5CC1"/>
    <w:rsid w:val="00AE7B09"/>
    <w:rsid w:val="00AF1903"/>
    <w:rsid w:val="00AF2D24"/>
    <w:rsid w:val="00AF33F8"/>
    <w:rsid w:val="00AF3E34"/>
    <w:rsid w:val="00AF4EA5"/>
    <w:rsid w:val="00AF57F2"/>
    <w:rsid w:val="00AF5BD1"/>
    <w:rsid w:val="00AF7352"/>
    <w:rsid w:val="00AF78E0"/>
    <w:rsid w:val="00B01FCB"/>
    <w:rsid w:val="00B032B7"/>
    <w:rsid w:val="00B047B7"/>
    <w:rsid w:val="00B04DA8"/>
    <w:rsid w:val="00B05C87"/>
    <w:rsid w:val="00B06238"/>
    <w:rsid w:val="00B10831"/>
    <w:rsid w:val="00B12691"/>
    <w:rsid w:val="00B133A5"/>
    <w:rsid w:val="00B14074"/>
    <w:rsid w:val="00B15190"/>
    <w:rsid w:val="00B175C4"/>
    <w:rsid w:val="00B206B7"/>
    <w:rsid w:val="00B20B7B"/>
    <w:rsid w:val="00B213EF"/>
    <w:rsid w:val="00B21DD4"/>
    <w:rsid w:val="00B221A7"/>
    <w:rsid w:val="00B22257"/>
    <w:rsid w:val="00B22F79"/>
    <w:rsid w:val="00B2330E"/>
    <w:rsid w:val="00B24B3C"/>
    <w:rsid w:val="00B25B18"/>
    <w:rsid w:val="00B27447"/>
    <w:rsid w:val="00B3024B"/>
    <w:rsid w:val="00B323EB"/>
    <w:rsid w:val="00B32E72"/>
    <w:rsid w:val="00B337C4"/>
    <w:rsid w:val="00B34039"/>
    <w:rsid w:val="00B359D3"/>
    <w:rsid w:val="00B35ED3"/>
    <w:rsid w:val="00B35F79"/>
    <w:rsid w:val="00B36F5D"/>
    <w:rsid w:val="00B37109"/>
    <w:rsid w:val="00B37F81"/>
    <w:rsid w:val="00B40D03"/>
    <w:rsid w:val="00B41705"/>
    <w:rsid w:val="00B41F89"/>
    <w:rsid w:val="00B42B14"/>
    <w:rsid w:val="00B42E26"/>
    <w:rsid w:val="00B43667"/>
    <w:rsid w:val="00B436FB"/>
    <w:rsid w:val="00B43D3C"/>
    <w:rsid w:val="00B45CE8"/>
    <w:rsid w:val="00B46952"/>
    <w:rsid w:val="00B469D3"/>
    <w:rsid w:val="00B46ACE"/>
    <w:rsid w:val="00B50679"/>
    <w:rsid w:val="00B50C92"/>
    <w:rsid w:val="00B51AAD"/>
    <w:rsid w:val="00B52046"/>
    <w:rsid w:val="00B53529"/>
    <w:rsid w:val="00B5367F"/>
    <w:rsid w:val="00B546AF"/>
    <w:rsid w:val="00B54CA0"/>
    <w:rsid w:val="00B55350"/>
    <w:rsid w:val="00B555F7"/>
    <w:rsid w:val="00B55917"/>
    <w:rsid w:val="00B57019"/>
    <w:rsid w:val="00B57DE3"/>
    <w:rsid w:val="00B621EC"/>
    <w:rsid w:val="00B63F65"/>
    <w:rsid w:val="00B6465D"/>
    <w:rsid w:val="00B648E1"/>
    <w:rsid w:val="00B64C40"/>
    <w:rsid w:val="00B66565"/>
    <w:rsid w:val="00B6709C"/>
    <w:rsid w:val="00B67119"/>
    <w:rsid w:val="00B67304"/>
    <w:rsid w:val="00B67991"/>
    <w:rsid w:val="00B67E61"/>
    <w:rsid w:val="00B702E2"/>
    <w:rsid w:val="00B707E7"/>
    <w:rsid w:val="00B70E4C"/>
    <w:rsid w:val="00B71BED"/>
    <w:rsid w:val="00B720E3"/>
    <w:rsid w:val="00B726B5"/>
    <w:rsid w:val="00B7299B"/>
    <w:rsid w:val="00B72D69"/>
    <w:rsid w:val="00B73230"/>
    <w:rsid w:val="00B74422"/>
    <w:rsid w:val="00B74A60"/>
    <w:rsid w:val="00B75686"/>
    <w:rsid w:val="00B75942"/>
    <w:rsid w:val="00B75B15"/>
    <w:rsid w:val="00B76889"/>
    <w:rsid w:val="00B776B4"/>
    <w:rsid w:val="00B776D0"/>
    <w:rsid w:val="00B800F8"/>
    <w:rsid w:val="00B804FE"/>
    <w:rsid w:val="00B80FAB"/>
    <w:rsid w:val="00B818EF"/>
    <w:rsid w:val="00B82EC9"/>
    <w:rsid w:val="00B84A0D"/>
    <w:rsid w:val="00B84AA9"/>
    <w:rsid w:val="00B84DAC"/>
    <w:rsid w:val="00B8588A"/>
    <w:rsid w:val="00B85CC1"/>
    <w:rsid w:val="00B863DD"/>
    <w:rsid w:val="00B863E3"/>
    <w:rsid w:val="00B868F2"/>
    <w:rsid w:val="00B86CF9"/>
    <w:rsid w:val="00B86DBB"/>
    <w:rsid w:val="00B8712F"/>
    <w:rsid w:val="00B91AF7"/>
    <w:rsid w:val="00B91C9B"/>
    <w:rsid w:val="00B92020"/>
    <w:rsid w:val="00B93891"/>
    <w:rsid w:val="00B9493D"/>
    <w:rsid w:val="00B9732D"/>
    <w:rsid w:val="00B97A63"/>
    <w:rsid w:val="00BA13B1"/>
    <w:rsid w:val="00BA21A1"/>
    <w:rsid w:val="00BA39F8"/>
    <w:rsid w:val="00BA428A"/>
    <w:rsid w:val="00BA5815"/>
    <w:rsid w:val="00BA5BA0"/>
    <w:rsid w:val="00BA5F7C"/>
    <w:rsid w:val="00BA620C"/>
    <w:rsid w:val="00BB00FE"/>
    <w:rsid w:val="00BB1CEC"/>
    <w:rsid w:val="00BB38F4"/>
    <w:rsid w:val="00BB4F86"/>
    <w:rsid w:val="00BB60C1"/>
    <w:rsid w:val="00BC0F42"/>
    <w:rsid w:val="00BC1558"/>
    <w:rsid w:val="00BC1EB7"/>
    <w:rsid w:val="00BC2497"/>
    <w:rsid w:val="00BC2776"/>
    <w:rsid w:val="00BC29A8"/>
    <w:rsid w:val="00BC2D82"/>
    <w:rsid w:val="00BC2E9B"/>
    <w:rsid w:val="00BC64F3"/>
    <w:rsid w:val="00BC652D"/>
    <w:rsid w:val="00BD02C7"/>
    <w:rsid w:val="00BD1FD8"/>
    <w:rsid w:val="00BD2A98"/>
    <w:rsid w:val="00BD3FC0"/>
    <w:rsid w:val="00BD53F1"/>
    <w:rsid w:val="00BD684C"/>
    <w:rsid w:val="00BD7BE0"/>
    <w:rsid w:val="00BE10F2"/>
    <w:rsid w:val="00BE133E"/>
    <w:rsid w:val="00BE339F"/>
    <w:rsid w:val="00BE3AAE"/>
    <w:rsid w:val="00BE3DD9"/>
    <w:rsid w:val="00BE5A97"/>
    <w:rsid w:val="00BE7B1A"/>
    <w:rsid w:val="00BE7D31"/>
    <w:rsid w:val="00BF1C61"/>
    <w:rsid w:val="00BF1E4D"/>
    <w:rsid w:val="00BF1EE0"/>
    <w:rsid w:val="00BF2011"/>
    <w:rsid w:val="00BF3468"/>
    <w:rsid w:val="00BF3845"/>
    <w:rsid w:val="00BF3A31"/>
    <w:rsid w:val="00BF6505"/>
    <w:rsid w:val="00C00F2A"/>
    <w:rsid w:val="00C012FD"/>
    <w:rsid w:val="00C01AC2"/>
    <w:rsid w:val="00C0272B"/>
    <w:rsid w:val="00C02D26"/>
    <w:rsid w:val="00C046A5"/>
    <w:rsid w:val="00C04816"/>
    <w:rsid w:val="00C054EC"/>
    <w:rsid w:val="00C05C73"/>
    <w:rsid w:val="00C072EB"/>
    <w:rsid w:val="00C076A5"/>
    <w:rsid w:val="00C07BE8"/>
    <w:rsid w:val="00C07FDF"/>
    <w:rsid w:val="00C11EEF"/>
    <w:rsid w:val="00C12ED5"/>
    <w:rsid w:val="00C138DA"/>
    <w:rsid w:val="00C1392E"/>
    <w:rsid w:val="00C21025"/>
    <w:rsid w:val="00C21885"/>
    <w:rsid w:val="00C2189C"/>
    <w:rsid w:val="00C225C7"/>
    <w:rsid w:val="00C231F5"/>
    <w:rsid w:val="00C2379D"/>
    <w:rsid w:val="00C23C60"/>
    <w:rsid w:val="00C25629"/>
    <w:rsid w:val="00C2597F"/>
    <w:rsid w:val="00C267BA"/>
    <w:rsid w:val="00C303FA"/>
    <w:rsid w:val="00C3094E"/>
    <w:rsid w:val="00C31309"/>
    <w:rsid w:val="00C3160F"/>
    <w:rsid w:val="00C31960"/>
    <w:rsid w:val="00C327B7"/>
    <w:rsid w:val="00C33D3E"/>
    <w:rsid w:val="00C34866"/>
    <w:rsid w:val="00C348C2"/>
    <w:rsid w:val="00C35F35"/>
    <w:rsid w:val="00C36881"/>
    <w:rsid w:val="00C36903"/>
    <w:rsid w:val="00C37AC7"/>
    <w:rsid w:val="00C4076E"/>
    <w:rsid w:val="00C4134E"/>
    <w:rsid w:val="00C41BD2"/>
    <w:rsid w:val="00C42B20"/>
    <w:rsid w:val="00C42F64"/>
    <w:rsid w:val="00C44203"/>
    <w:rsid w:val="00C44640"/>
    <w:rsid w:val="00C446A1"/>
    <w:rsid w:val="00C44F56"/>
    <w:rsid w:val="00C45B47"/>
    <w:rsid w:val="00C47A35"/>
    <w:rsid w:val="00C51866"/>
    <w:rsid w:val="00C52E3E"/>
    <w:rsid w:val="00C54063"/>
    <w:rsid w:val="00C548DF"/>
    <w:rsid w:val="00C54B86"/>
    <w:rsid w:val="00C5580F"/>
    <w:rsid w:val="00C57685"/>
    <w:rsid w:val="00C577F1"/>
    <w:rsid w:val="00C6041A"/>
    <w:rsid w:val="00C60511"/>
    <w:rsid w:val="00C60970"/>
    <w:rsid w:val="00C6104E"/>
    <w:rsid w:val="00C611FC"/>
    <w:rsid w:val="00C6185F"/>
    <w:rsid w:val="00C61A58"/>
    <w:rsid w:val="00C61D1E"/>
    <w:rsid w:val="00C62171"/>
    <w:rsid w:val="00C6357A"/>
    <w:rsid w:val="00C636AA"/>
    <w:rsid w:val="00C63F61"/>
    <w:rsid w:val="00C64275"/>
    <w:rsid w:val="00C65F87"/>
    <w:rsid w:val="00C662B9"/>
    <w:rsid w:val="00C66BA1"/>
    <w:rsid w:val="00C70124"/>
    <w:rsid w:val="00C717F7"/>
    <w:rsid w:val="00C71C30"/>
    <w:rsid w:val="00C72AD8"/>
    <w:rsid w:val="00C73EEE"/>
    <w:rsid w:val="00C7449D"/>
    <w:rsid w:val="00C750E0"/>
    <w:rsid w:val="00C75977"/>
    <w:rsid w:val="00C7601C"/>
    <w:rsid w:val="00C7630A"/>
    <w:rsid w:val="00C7638D"/>
    <w:rsid w:val="00C76637"/>
    <w:rsid w:val="00C769FB"/>
    <w:rsid w:val="00C769FE"/>
    <w:rsid w:val="00C77F1A"/>
    <w:rsid w:val="00C8213D"/>
    <w:rsid w:val="00C843A4"/>
    <w:rsid w:val="00C84401"/>
    <w:rsid w:val="00C848DE"/>
    <w:rsid w:val="00C85D0C"/>
    <w:rsid w:val="00C867F2"/>
    <w:rsid w:val="00C86932"/>
    <w:rsid w:val="00C91014"/>
    <w:rsid w:val="00C9386B"/>
    <w:rsid w:val="00C942A0"/>
    <w:rsid w:val="00C95514"/>
    <w:rsid w:val="00CA06AB"/>
    <w:rsid w:val="00CA0853"/>
    <w:rsid w:val="00CA127D"/>
    <w:rsid w:val="00CA1331"/>
    <w:rsid w:val="00CA2618"/>
    <w:rsid w:val="00CA2FEF"/>
    <w:rsid w:val="00CA4E89"/>
    <w:rsid w:val="00CA5F0D"/>
    <w:rsid w:val="00CA5F88"/>
    <w:rsid w:val="00CA62A0"/>
    <w:rsid w:val="00CA68C0"/>
    <w:rsid w:val="00CA708F"/>
    <w:rsid w:val="00CA718A"/>
    <w:rsid w:val="00CA7582"/>
    <w:rsid w:val="00CB1155"/>
    <w:rsid w:val="00CB1D4C"/>
    <w:rsid w:val="00CB1F84"/>
    <w:rsid w:val="00CB277D"/>
    <w:rsid w:val="00CB30B5"/>
    <w:rsid w:val="00CB3E71"/>
    <w:rsid w:val="00CB4A3F"/>
    <w:rsid w:val="00CB5447"/>
    <w:rsid w:val="00CB622B"/>
    <w:rsid w:val="00CB6789"/>
    <w:rsid w:val="00CB72A1"/>
    <w:rsid w:val="00CC01A4"/>
    <w:rsid w:val="00CC2124"/>
    <w:rsid w:val="00CC2F30"/>
    <w:rsid w:val="00CC3202"/>
    <w:rsid w:val="00CC4E8D"/>
    <w:rsid w:val="00CC5FEA"/>
    <w:rsid w:val="00CD0850"/>
    <w:rsid w:val="00CD1966"/>
    <w:rsid w:val="00CD2139"/>
    <w:rsid w:val="00CD2CD3"/>
    <w:rsid w:val="00CD441E"/>
    <w:rsid w:val="00CD4A9E"/>
    <w:rsid w:val="00CD4CA0"/>
    <w:rsid w:val="00CD67FA"/>
    <w:rsid w:val="00CD6B92"/>
    <w:rsid w:val="00CD7706"/>
    <w:rsid w:val="00CD7B48"/>
    <w:rsid w:val="00CE3162"/>
    <w:rsid w:val="00CE33FA"/>
    <w:rsid w:val="00CF0203"/>
    <w:rsid w:val="00CF03E9"/>
    <w:rsid w:val="00CF0AFE"/>
    <w:rsid w:val="00CF1DB0"/>
    <w:rsid w:val="00CF21EB"/>
    <w:rsid w:val="00CF3BB3"/>
    <w:rsid w:val="00CF4244"/>
    <w:rsid w:val="00CF4AB2"/>
    <w:rsid w:val="00CF4BB3"/>
    <w:rsid w:val="00CF4E89"/>
    <w:rsid w:val="00CF4EEA"/>
    <w:rsid w:val="00CF654B"/>
    <w:rsid w:val="00CF7400"/>
    <w:rsid w:val="00CF79C5"/>
    <w:rsid w:val="00CF7B05"/>
    <w:rsid w:val="00CF7C2F"/>
    <w:rsid w:val="00D005AC"/>
    <w:rsid w:val="00D00F18"/>
    <w:rsid w:val="00D014A9"/>
    <w:rsid w:val="00D0316D"/>
    <w:rsid w:val="00D038EA"/>
    <w:rsid w:val="00D0571D"/>
    <w:rsid w:val="00D05CC8"/>
    <w:rsid w:val="00D0629F"/>
    <w:rsid w:val="00D065C8"/>
    <w:rsid w:val="00D06D92"/>
    <w:rsid w:val="00D0717A"/>
    <w:rsid w:val="00D07453"/>
    <w:rsid w:val="00D10DA7"/>
    <w:rsid w:val="00D11A55"/>
    <w:rsid w:val="00D12875"/>
    <w:rsid w:val="00D1420B"/>
    <w:rsid w:val="00D15601"/>
    <w:rsid w:val="00D16433"/>
    <w:rsid w:val="00D1674E"/>
    <w:rsid w:val="00D17342"/>
    <w:rsid w:val="00D17AC3"/>
    <w:rsid w:val="00D20FBB"/>
    <w:rsid w:val="00D22163"/>
    <w:rsid w:val="00D23E33"/>
    <w:rsid w:val="00D24979"/>
    <w:rsid w:val="00D2523C"/>
    <w:rsid w:val="00D25F58"/>
    <w:rsid w:val="00D26712"/>
    <w:rsid w:val="00D26D04"/>
    <w:rsid w:val="00D275C6"/>
    <w:rsid w:val="00D31B0D"/>
    <w:rsid w:val="00D32C64"/>
    <w:rsid w:val="00D3395F"/>
    <w:rsid w:val="00D33BFC"/>
    <w:rsid w:val="00D33F16"/>
    <w:rsid w:val="00D33F5E"/>
    <w:rsid w:val="00D34C28"/>
    <w:rsid w:val="00D34F9E"/>
    <w:rsid w:val="00D34FEB"/>
    <w:rsid w:val="00D36C67"/>
    <w:rsid w:val="00D36E5E"/>
    <w:rsid w:val="00D36EFD"/>
    <w:rsid w:val="00D374B9"/>
    <w:rsid w:val="00D401AA"/>
    <w:rsid w:val="00D40830"/>
    <w:rsid w:val="00D41833"/>
    <w:rsid w:val="00D41E0E"/>
    <w:rsid w:val="00D432AE"/>
    <w:rsid w:val="00D439A2"/>
    <w:rsid w:val="00D43A31"/>
    <w:rsid w:val="00D43AF3"/>
    <w:rsid w:val="00D43B2E"/>
    <w:rsid w:val="00D44419"/>
    <w:rsid w:val="00D45BBC"/>
    <w:rsid w:val="00D46334"/>
    <w:rsid w:val="00D4715E"/>
    <w:rsid w:val="00D471D0"/>
    <w:rsid w:val="00D47400"/>
    <w:rsid w:val="00D517F1"/>
    <w:rsid w:val="00D5386E"/>
    <w:rsid w:val="00D54775"/>
    <w:rsid w:val="00D565F1"/>
    <w:rsid w:val="00D567BA"/>
    <w:rsid w:val="00D56A09"/>
    <w:rsid w:val="00D602DB"/>
    <w:rsid w:val="00D60A4E"/>
    <w:rsid w:val="00D62FD2"/>
    <w:rsid w:val="00D632F4"/>
    <w:rsid w:val="00D63C4B"/>
    <w:rsid w:val="00D64C2F"/>
    <w:rsid w:val="00D67531"/>
    <w:rsid w:val="00D678A4"/>
    <w:rsid w:val="00D678BF"/>
    <w:rsid w:val="00D67FA8"/>
    <w:rsid w:val="00D70289"/>
    <w:rsid w:val="00D71274"/>
    <w:rsid w:val="00D72DB4"/>
    <w:rsid w:val="00D735C4"/>
    <w:rsid w:val="00D73603"/>
    <w:rsid w:val="00D75ADC"/>
    <w:rsid w:val="00D776BC"/>
    <w:rsid w:val="00D80169"/>
    <w:rsid w:val="00D80A5A"/>
    <w:rsid w:val="00D81014"/>
    <w:rsid w:val="00D81379"/>
    <w:rsid w:val="00D818D4"/>
    <w:rsid w:val="00D8223D"/>
    <w:rsid w:val="00D826F5"/>
    <w:rsid w:val="00D83377"/>
    <w:rsid w:val="00D83A03"/>
    <w:rsid w:val="00D8433F"/>
    <w:rsid w:val="00D84542"/>
    <w:rsid w:val="00D85033"/>
    <w:rsid w:val="00D868B4"/>
    <w:rsid w:val="00D868EB"/>
    <w:rsid w:val="00D87358"/>
    <w:rsid w:val="00D873E9"/>
    <w:rsid w:val="00D903EA"/>
    <w:rsid w:val="00D910C4"/>
    <w:rsid w:val="00D9176A"/>
    <w:rsid w:val="00D92705"/>
    <w:rsid w:val="00D92800"/>
    <w:rsid w:val="00D93C9F"/>
    <w:rsid w:val="00D93D3A"/>
    <w:rsid w:val="00D93F43"/>
    <w:rsid w:val="00D94984"/>
    <w:rsid w:val="00D94C44"/>
    <w:rsid w:val="00D952C3"/>
    <w:rsid w:val="00D9595A"/>
    <w:rsid w:val="00D960E3"/>
    <w:rsid w:val="00D9652B"/>
    <w:rsid w:val="00D96FB0"/>
    <w:rsid w:val="00DA0BAE"/>
    <w:rsid w:val="00DA0D74"/>
    <w:rsid w:val="00DA10B5"/>
    <w:rsid w:val="00DA1211"/>
    <w:rsid w:val="00DA13CF"/>
    <w:rsid w:val="00DA1691"/>
    <w:rsid w:val="00DA1F3F"/>
    <w:rsid w:val="00DA2792"/>
    <w:rsid w:val="00DA329B"/>
    <w:rsid w:val="00DA3C79"/>
    <w:rsid w:val="00DA4394"/>
    <w:rsid w:val="00DA46E8"/>
    <w:rsid w:val="00DA5176"/>
    <w:rsid w:val="00DA544B"/>
    <w:rsid w:val="00DA5651"/>
    <w:rsid w:val="00DA5F38"/>
    <w:rsid w:val="00DA75D6"/>
    <w:rsid w:val="00DB1F01"/>
    <w:rsid w:val="00DB242D"/>
    <w:rsid w:val="00DB2528"/>
    <w:rsid w:val="00DB2919"/>
    <w:rsid w:val="00DB2FF5"/>
    <w:rsid w:val="00DB4AD9"/>
    <w:rsid w:val="00DB5157"/>
    <w:rsid w:val="00DB6033"/>
    <w:rsid w:val="00DB6980"/>
    <w:rsid w:val="00DB777F"/>
    <w:rsid w:val="00DC0379"/>
    <w:rsid w:val="00DC1679"/>
    <w:rsid w:val="00DC1C99"/>
    <w:rsid w:val="00DC36C3"/>
    <w:rsid w:val="00DC47CF"/>
    <w:rsid w:val="00DC56BB"/>
    <w:rsid w:val="00DC5A0B"/>
    <w:rsid w:val="00DC5FCF"/>
    <w:rsid w:val="00DC6B73"/>
    <w:rsid w:val="00DD0AA4"/>
    <w:rsid w:val="00DD1AE6"/>
    <w:rsid w:val="00DD4314"/>
    <w:rsid w:val="00DD497F"/>
    <w:rsid w:val="00DD4E09"/>
    <w:rsid w:val="00DD58D6"/>
    <w:rsid w:val="00DD646D"/>
    <w:rsid w:val="00DD64E0"/>
    <w:rsid w:val="00DD6E2F"/>
    <w:rsid w:val="00DE22DF"/>
    <w:rsid w:val="00DE2C2D"/>
    <w:rsid w:val="00DE4313"/>
    <w:rsid w:val="00DE45A8"/>
    <w:rsid w:val="00DE5EC2"/>
    <w:rsid w:val="00DE7301"/>
    <w:rsid w:val="00DE79CC"/>
    <w:rsid w:val="00DF03E4"/>
    <w:rsid w:val="00DF06D5"/>
    <w:rsid w:val="00DF0E1B"/>
    <w:rsid w:val="00DF13A1"/>
    <w:rsid w:val="00DF3A3C"/>
    <w:rsid w:val="00DF4266"/>
    <w:rsid w:val="00DF64B5"/>
    <w:rsid w:val="00DF7211"/>
    <w:rsid w:val="00DF73D5"/>
    <w:rsid w:val="00DF7535"/>
    <w:rsid w:val="00DF7B0D"/>
    <w:rsid w:val="00DF7BFB"/>
    <w:rsid w:val="00DF7E76"/>
    <w:rsid w:val="00E0010A"/>
    <w:rsid w:val="00E0094E"/>
    <w:rsid w:val="00E00AE3"/>
    <w:rsid w:val="00E010BC"/>
    <w:rsid w:val="00E012CF"/>
    <w:rsid w:val="00E018DC"/>
    <w:rsid w:val="00E04B43"/>
    <w:rsid w:val="00E04C47"/>
    <w:rsid w:val="00E05CC0"/>
    <w:rsid w:val="00E05FC2"/>
    <w:rsid w:val="00E07875"/>
    <w:rsid w:val="00E11886"/>
    <w:rsid w:val="00E118C1"/>
    <w:rsid w:val="00E11C67"/>
    <w:rsid w:val="00E11D65"/>
    <w:rsid w:val="00E11E9C"/>
    <w:rsid w:val="00E123B7"/>
    <w:rsid w:val="00E12B54"/>
    <w:rsid w:val="00E12B98"/>
    <w:rsid w:val="00E13866"/>
    <w:rsid w:val="00E20B4C"/>
    <w:rsid w:val="00E217A0"/>
    <w:rsid w:val="00E234D9"/>
    <w:rsid w:val="00E23E6E"/>
    <w:rsid w:val="00E243B7"/>
    <w:rsid w:val="00E24D35"/>
    <w:rsid w:val="00E24F1D"/>
    <w:rsid w:val="00E25280"/>
    <w:rsid w:val="00E25EBB"/>
    <w:rsid w:val="00E303B2"/>
    <w:rsid w:val="00E30787"/>
    <w:rsid w:val="00E308E8"/>
    <w:rsid w:val="00E3275C"/>
    <w:rsid w:val="00E33097"/>
    <w:rsid w:val="00E330EE"/>
    <w:rsid w:val="00E33A92"/>
    <w:rsid w:val="00E34DE6"/>
    <w:rsid w:val="00E35111"/>
    <w:rsid w:val="00E35C24"/>
    <w:rsid w:val="00E35FA3"/>
    <w:rsid w:val="00E36265"/>
    <w:rsid w:val="00E40C4D"/>
    <w:rsid w:val="00E40E34"/>
    <w:rsid w:val="00E414BE"/>
    <w:rsid w:val="00E42406"/>
    <w:rsid w:val="00E43190"/>
    <w:rsid w:val="00E4334E"/>
    <w:rsid w:val="00E4354E"/>
    <w:rsid w:val="00E44EC0"/>
    <w:rsid w:val="00E4739E"/>
    <w:rsid w:val="00E5242E"/>
    <w:rsid w:val="00E52FDE"/>
    <w:rsid w:val="00E53CB9"/>
    <w:rsid w:val="00E546BA"/>
    <w:rsid w:val="00E548B7"/>
    <w:rsid w:val="00E54983"/>
    <w:rsid w:val="00E54BB6"/>
    <w:rsid w:val="00E55938"/>
    <w:rsid w:val="00E5764F"/>
    <w:rsid w:val="00E5780E"/>
    <w:rsid w:val="00E57BC4"/>
    <w:rsid w:val="00E617AB"/>
    <w:rsid w:val="00E61F1F"/>
    <w:rsid w:val="00E62477"/>
    <w:rsid w:val="00E62C8E"/>
    <w:rsid w:val="00E65BEC"/>
    <w:rsid w:val="00E6695D"/>
    <w:rsid w:val="00E678CE"/>
    <w:rsid w:val="00E71428"/>
    <w:rsid w:val="00E7348A"/>
    <w:rsid w:val="00E74A20"/>
    <w:rsid w:val="00E75031"/>
    <w:rsid w:val="00E758B8"/>
    <w:rsid w:val="00E75BDD"/>
    <w:rsid w:val="00E75D2A"/>
    <w:rsid w:val="00E76AE8"/>
    <w:rsid w:val="00E771AA"/>
    <w:rsid w:val="00E77A05"/>
    <w:rsid w:val="00E82450"/>
    <w:rsid w:val="00E85161"/>
    <w:rsid w:val="00E85A7E"/>
    <w:rsid w:val="00E85F4A"/>
    <w:rsid w:val="00E87071"/>
    <w:rsid w:val="00E87097"/>
    <w:rsid w:val="00E87C89"/>
    <w:rsid w:val="00E9173D"/>
    <w:rsid w:val="00E92BE7"/>
    <w:rsid w:val="00E9341B"/>
    <w:rsid w:val="00E93D33"/>
    <w:rsid w:val="00E94305"/>
    <w:rsid w:val="00E95122"/>
    <w:rsid w:val="00E95C49"/>
    <w:rsid w:val="00E96589"/>
    <w:rsid w:val="00E97E4C"/>
    <w:rsid w:val="00EA00DA"/>
    <w:rsid w:val="00EA1120"/>
    <w:rsid w:val="00EA1B77"/>
    <w:rsid w:val="00EA1C94"/>
    <w:rsid w:val="00EA2F5A"/>
    <w:rsid w:val="00EA44EC"/>
    <w:rsid w:val="00EA4FFE"/>
    <w:rsid w:val="00EA5417"/>
    <w:rsid w:val="00EA59B5"/>
    <w:rsid w:val="00EA5AA9"/>
    <w:rsid w:val="00EA6B5D"/>
    <w:rsid w:val="00EB1B1C"/>
    <w:rsid w:val="00EB4054"/>
    <w:rsid w:val="00EB4D1A"/>
    <w:rsid w:val="00EB4FC2"/>
    <w:rsid w:val="00EB568A"/>
    <w:rsid w:val="00EC0C08"/>
    <w:rsid w:val="00EC1774"/>
    <w:rsid w:val="00EC1DE0"/>
    <w:rsid w:val="00EC2BB0"/>
    <w:rsid w:val="00EC2D8D"/>
    <w:rsid w:val="00EC3735"/>
    <w:rsid w:val="00EC4748"/>
    <w:rsid w:val="00EC6175"/>
    <w:rsid w:val="00EC67F2"/>
    <w:rsid w:val="00EC6E3D"/>
    <w:rsid w:val="00ED0000"/>
    <w:rsid w:val="00ED054A"/>
    <w:rsid w:val="00ED1872"/>
    <w:rsid w:val="00ED2EF4"/>
    <w:rsid w:val="00ED3546"/>
    <w:rsid w:val="00ED35E5"/>
    <w:rsid w:val="00ED4686"/>
    <w:rsid w:val="00ED5494"/>
    <w:rsid w:val="00ED630C"/>
    <w:rsid w:val="00ED7856"/>
    <w:rsid w:val="00ED7C50"/>
    <w:rsid w:val="00EE127D"/>
    <w:rsid w:val="00EE35F0"/>
    <w:rsid w:val="00EE369E"/>
    <w:rsid w:val="00EE43E3"/>
    <w:rsid w:val="00EE712E"/>
    <w:rsid w:val="00EE76C1"/>
    <w:rsid w:val="00EF0597"/>
    <w:rsid w:val="00EF1F1B"/>
    <w:rsid w:val="00EF37F8"/>
    <w:rsid w:val="00EF4431"/>
    <w:rsid w:val="00EF4BFE"/>
    <w:rsid w:val="00EF4CB6"/>
    <w:rsid w:val="00EF54D3"/>
    <w:rsid w:val="00EF55DE"/>
    <w:rsid w:val="00EF66CA"/>
    <w:rsid w:val="00EF75AB"/>
    <w:rsid w:val="00F00425"/>
    <w:rsid w:val="00F008BD"/>
    <w:rsid w:val="00F01ACE"/>
    <w:rsid w:val="00F01CCA"/>
    <w:rsid w:val="00F02BE1"/>
    <w:rsid w:val="00F03A9B"/>
    <w:rsid w:val="00F042F3"/>
    <w:rsid w:val="00F04D80"/>
    <w:rsid w:val="00F04DC0"/>
    <w:rsid w:val="00F0569F"/>
    <w:rsid w:val="00F05918"/>
    <w:rsid w:val="00F05E30"/>
    <w:rsid w:val="00F060BE"/>
    <w:rsid w:val="00F06BC2"/>
    <w:rsid w:val="00F11351"/>
    <w:rsid w:val="00F1251F"/>
    <w:rsid w:val="00F126EE"/>
    <w:rsid w:val="00F12BEE"/>
    <w:rsid w:val="00F14306"/>
    <w:rsid w:val="00F145D6"/>
    <w:rsid w:val="00F14B3E"/>
    <w:rsid w:val="00F15CC6"/>
    <w:rsid w:val="00F177FD"/>
    <w:rsid w:val="00F20CFE"/>
    <w:rsid w:val="00F20D99"/>
    <w:rsid w:val="00F211FE"/>
    <w:rsid w:val="00F22D54"/>
    <w:rsid w:val="00F22F30"/>
    <w:rsid w:val="00F23988"/>
    <w:rsid w:val="00F244BA"/>
    <w:rsid w:val="00F2668F"/>
    <w:rsid w:val="00F31ACD"/>
    <w:rsid w:val="00F32008"/>
    <w:rsid w:val="00F32E8D"/>
    <w:rsid w:val="00F33897"/>
    <w:rsid w:val="00F3632E"/>
    <w:rsid w:val="00F37570"/>
    <w:rsid w:val="00F406AF"/>
    <w:rsid w:val="00F407AA"/>
    <w:rsid w:val="00F40DE3"/>
    <w:rsid w:val="00F417C9"/>
    <w:rsid w:val="00F4320B"/>
    <w:rsid w:val="00F43EA2"/>
    <w:rsid w:val="00F44410"/>
    <w:rsid w:val="00F46205"/>
    <w:rsid w:val="00F463D8"/>
    <w:rsid w:val="00F46C9D"/>
    <w:rsid w:val="00F50832"/>
    <w:rsid w:val="00F508C7"/>
    <w:rsid w:val="00F5168C"/>
    <w:rsid w:val="00F526E0"/>
    <w:rsid w:val="00F528D4"/>
    <w:rsid w:val="00F52E08"/>
    <w:rsid w:val="00F533EC"/>
    <w:rsid w:val="00F54DFF"/>
    <w:rsid w:val="00F56399"/>
    <w:rsid w:val="00F564D9"/>
    <w:rsid w:val="00F5746B"/>
    <w:rsid w:val="00F57673"/>
    <w:rsid w:val="00F57707"/>
    <w:rsid w:val="00F57762"/>
    <w:rsid w:val="00F57C0F"/>
    <w:rsid w:val="00F600AE"/>
    <w:rsid w:val="00F61740"/>
    <w:rsid w:val="00F61E57"/>
    <w:rsid w:val="00F63FE4"/>
    <w:rsid w:val="00F6492C"/>
    <w:rsid w:val="00F65971"/>
    <w:rsid w:val="00F66D5A"/>
    <w:rsid w:val="00F67E88"/>
    <w:rsid w:val="00F67FBF"/>
    <w:rsid w:val="00F703A7"/>
    <w:rsid w:val="00F7057F"/>
    <w:rsid w:val="00F70EB5"/>
    <w:rsid w:val="00F73A1F"/>
    <w:rsid w:val="00F74C65"/>
    <w:rsid w:val="00F75839"/>
    <w:rsid w:val="00F760DC"/>
    <w:rsid w:val="00F76104"/>
    <w:rsid w:val="00F7778B"/>
    <w:rsid w:val="00F80402"/>
    <w:rsid w:val="00F81A34"/>
    <w:rsid w:val="00F82FA2"/>
    <w:rsid w:val="00F833E5"/>
    <w:rsid w:val="00F84ADF"/>
    <w:rsid w:val="00F857A9"/>
    <w:rsid w:val="00F85A7C"/>
    <w:rsid w:val="00F85B90"/>
    <w:rsid w:val="00F85F18"/>
    <w:rsid w:val="00F8664A"/>
    <w:rsid w:val="00F877CE"/>
    <w:rsid w:val="00F87DBA"/>
    <w:rsid w:val="00F91DEF"/>
    <w:rsid w:val="00F9234A"/>
    <w:rsid w:val="00F9429B"/>
    <w:rsid w:val="00F94E2B"/>
    <w:rsid w:val="00F9561B"/>
    <w:rsid w:val="00F95C75"/>
    <w:rsid w:val="00F967F7"/>
    <w:rsid w:val="00F974E8"/>
    <w:rsid w:val="00FA0B41"/>
    <w:rsid w:val="00FA234E"/>
    <w:rsid w:val="00FA29D6"/>
    <w:rsid w:val="00FA2B3B"/>
    <w:rsid w:val="00FA34D9"/>
    <w:rsid w:val="00FA525F"/>
    <w:rsid w:val="00FB0ACA"/>
    <w:rsid w:val="00FB2464"/>
    <w:rsid w:val="00FB368E"/>
    <w:rsid w:val="00FB41C3"/>
    <w:rsid w:val="00FB4A44"/>
    <w:rsid w:val="00FB4E2C"/>
    <w:rsid w:val="00FB5C4F"/>
    <w:rsid w:val="00FB68EF"/>
    <w:rsid w:val="00FB756C"/>
    <w:rsid w:val="00FC0344"/>
    <w:rsid w:val="00FC1239"/>
    <w:rsid w:val="00FC13FB"/>
    <w:rsid w:val="00FC3713"/>
    <w:rsid w:val="00FC424A"/>
    <w:rsid w:val="00FC486A"/>
    <w:rsid w:val="00FC576E"/>
    <w:rsid w:val="00FC5B43"/>
    <w:rsid w:val="00FC66FD"/>
    <w:rsid w:val="00FC754E"/>
    <w:rsid w:val="00FD0BB0"/>
    <w:rsid w:val="00FD21EA"/>
    <w:rsid w:val="00FD54FE"/>
    <w:rsid w:val="00FD582E"/>
    <w:rsid w:val="00FD62DC"/>
    <w:rsid w:val="00FD6B06"/>
    <w:rsid w:val="00FD6D30"/>
    <w:rsid w:val="00FD6EF1"/>
    <w:rsid w:val="00FE2758"/>
    <w:rsid w:val="00FE33D2"/>
    <w:rsid w:val="00FE46F3"/>
    <w:rsid w:val="00FE530A"/>
    <w:rsid w:val="00FE57C2"/>
    <w:rsid w:val="00FE66AD"/>
    <w:rsid w:val="00FE707B"/>
    <w:rsid w:val="00FE74AC"/>
    <w:rsid w:val="00FE7582"/>
    <w:rsid w:val="00FF12DE"/>
    <w:rsid w:val="00FF144E"/>
    <w:rsid w:val="00FF1715"/>
    <w:rsid w:val="00FF3805"/>
    <w:rsid w:val="00FF6C4C"/>
    <w:rsid w:val="00FF6ED1"/>
    <w:rsid w:val="00FF718C"/>
    <w:rsid w:val="00FF76A3"/>
  </w:rsids>
  <m:mathPr>
    <m:mathFont m:val="Cambria Math"/>
    <m:brkBin m:val="before"/>
    <m:brkBinSub m:val="--"/>
    <m:smallFrac m:val="off"/>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15490">
      <o:colormru v:ext="edit" colors="#eeece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0" w:qFormat="1"/>
    <w:lsdException w:name="heading 3" w:uiPriority="0" w:qFormat="1"/>
    <w:lsdException w:name="heading 4" w:uiPriority="1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0" w:qFormat="1"/>
    <w:lsdException w:name="toc 5" w:uiPriority="39"/>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footnote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29"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uiPriority w:val="9"/>
    <w:qFormat/>
    <w:rsid w:val="00220555"/>
    <w:pPr>
      <w:ind w:firstLine="284"/>
      <w:jc w:val="both"/>
    </w:pPr>
    <w:rPr>
      <w:rFonts w:ascii="Times New Roman" w:hAnsi="Times New Roman"/>
      <w:sz w:val="24"/>
      <w:szCs w:val="22"/>
      <w:lang w:eastAsia="en-US" w:bidi="ar-SA"/>
    </w:rPr>
  </w:style>
  <w:style w:type="paragraph" w:styleId="Titre1">
    <w:name w:val="heading 1"/>
    <w:basedOn w:val="Normal"/>
    <w:next w:val="Normal"/>
    <w:link w:val="Titre1Car"/>
    <w:uiPriority w:val="19"/>
    <w:qFormat/>
    <w:rsid w:val="00E12B54"/>
    <w:pPr>
      <w:keepNext/>
      <w:spacing w:before="260" w:after="140"/>
      <w:ind w:firstLine="0"/>
      <w:jc w:val="center"/>
      <w:outlineLvl w:val="0"/>
    </w:pPr>
    <w:rPr>
      <w:b/>
      <w:sz w:val="32"/>
      <w:szCs w:val="32"/>
    </w:rPr>
  </w:style>
  <w:style w:type="paragraph" w:styleId="Titre2">
    <w:name w:val="heading 2"/>
    <w:basedOn w:val="Normal"/>
    <w:next w:val="Normal"/>
    <w:link w:val="Titre2Car"/>
    <w:uiPriority w:val="9"/>
    <w:unhideWhenUsed/>
    <w:qFormat/>
    <w:rsid w:val="002F7AFA"/>
    <w:pPr>
      <w:keepNext/>
      <w:spacing w:before="280" w:after="140"/>
      <w:ind w:firstLine="0"/>
      <w:jc w:val="center"/>
      <w:outlineLvl w:val="1"/>
    </w:pPr>
    <w:rPr>
      <w:b/>
      <w:sz w:val="30"/>
      <w:szCs w:val="28"/>
      <w:lang w:eastAsia="fr-FR"/>
    </w:rPr>
  </w:style>
  <w:style w:type="paragraph" w:styleId="Titre3">
    <w:name w:val="heading 3"/>
    <w:basedOn w:val="Normal"/>
    <w:next w:val="Normal"/>
    <w:link w:val="Titre3Car"/>
    <w:uiPriority w:val="9"/>
    <w:unhideWhenUsed/>
    <w:qFormat/>
    <w:rsid w:val="008D184D"/>
    <w:pPr>
      <w:keepNext/>
      <w:spacing w:before="160" w:after="80"/>
      <w:ind w:firstLine="0"/>
      <w:jc w:val="center"/>
      <w:outlineLvl w:val="2"/>
    </w:pPr>
    <w:rPr>
      <w:sz w:val="28"/>
      <w:szCs w:val="26"/>
      <w:u w:val="single"/>
    </w:rPr>
  </w:style>
  <w:style w:type="paragraph" w:styleId="Titre4">
    <w:name w:val="heading 4"/>
    <w:basedOn w:val="Normal"/>
    <w:next w:val="Normal"/>
    <w:link w:val="Titre4Car"/>
    <w:uiPriority w:val="19"/>
    <w:unhideWhenUsed/>
    <w:qFormat/>
    <w:rsid w:val="00E12B54"/>
    <w:pPr>
      <w:keepNext/>
      <w:spacing w:before="80" w:after="80"/>
      <w:ind w:firstLine="0"/>
      <w:outlineLvl w:val="3"/>
    </w:pPr>
    <w:rPr>
      <w:b/>
    </w:rPr>
  </w:style>
  <w:style w:type="paragraph" w:styleId="Titre5">
    <w:name w:val="heading 5"/>
    <w:basedOn w:val="Normal"/>
    <w:next w:val="Normal"/>
    <w:link w:val="Titre5Car"/>
    <w:uiPriority w:val="9"/>
    <w:unhideWhenUsed/>
    <w:qFormat/>
    <w:rsid w:val="00CD4A9E"/>
    <w:pPr>
      <w:spacing w:before="80" w:after="80"/>
      <w:ind w:firstLine="0"/>
      <w:outlineLvl w:val="4"/>
    </w:pPr>
    <w:rPr>
      <w:u w:val="single"/>
    </w:rPr>
  </w:style>
  <w:style w:type="paragraph" w:styleId="Titre6">
    <w:name w:val="heading 6"/>
    <w:basedOn w:val="Normal"/>
    <w:next w:val="Normal"/>
    <w:link w:val="Titre6Car"/>
    <w:uiPriority w:val="9"/>
    <w:unhideWhenUsed/>
    <w:qFormat/>
    <w:rsid w:val="00A64AB6"/>
    <w:pPr>
      <w:keepNext/>
      <w:keepLines/>
      <w:spacing w:before="200"/>
      <w:outlineLvl w:val="5"/>
    </w:pPr>
    <w:rPr>
      <w:rFonts w:ascii="Cambria" w:eastAsia="Times New Roman" w:hAnsi="Cambria"/>
      <w:i/>
      <w:iCs/>
      <w:color w:val="243F60"/>
    </w:rPr>
  </w:style>
  <w:style w:type="paragraph" w:styleId="Titre7">
    <w:name w:val="heading 7"/>
    <w:basedOn w:val="Normal"/>
    <w:next w:val="Normal"/>
    <w:link w:val="Titre7Car"/>
    <w:uiPriority w:val="9"/>
    <w:unhideWhenUsed/>
    <w:qFormat/>
    <w:rsid w:val="00A64AB6"/>
    <w:pPr>
      <w:keepNext/>
      <w:keepLines/>
      <w:spacing w:before="200"/>
      <w:outlineLvl w:val="6"/>
    </w:pPr>
    <w:rPr>
      <w:rFonts w:ascii="Cambria" w:eastAsia="Times New Roman" w:hAnsi="Cambria"/>
      <w:i/>
      <w:iCs/>
      <w:color w:val="404040"/>
    </w:rPr>
  </w:style>
  <w:style w:type="paragraph" w:styleId="Titre8">
    <w:name w:val="heading 8"/>
    <w:basedOn w:val="Normal"/>
    <w:next w:val="Normal"/>
    <w:link w:val="Titre8Car"/>
    <w:uiPriority w:val="9"/>
    <w:unhideWhenUsed/>
    <w:qFormat/>
    <w:rsid w:val="00A64AB6"/>
    <w:pPr>
      <w:keepNext/>
      <w:keepLines/>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9"/>
    <w:unhideWhenUsed/>
    <w:qFormat/>
    <w:rsid w:val="00A64AB6"/>
    <w:pPr>
      <w:keepNext/>
      <w:keepLines/>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9"/>
    <w:rsid w:val="00220555"/>
    <w:rPr>
      <w:rFonts w:ascii="Times New Roman" w:hAnsi="Times New Roman"/>
      <w:b/>
      <w:sz w:val="32"/>
      <w:szCs w:val="32"/>
      <w:lang w:eastAsia="en-US" w:bidi="ar-SA"/>
    </w:rPr>
  </w:style>
  <w:style w:type="character" w:customStyle="1" w:styleId="Titre2Car">
    <w:name w:val="Titre 2 Car"/>
    <w:basedOn w:val="Policepardfaut"/>
    <w:link w:val="Titre2"/>
    <w:uiPriority w:val="9"/>
    <w:rsid w:val="00220555"/>
    <w:rPr>
      <w:rFonts w:ascii="Times New Roman" w:hAnsi="Times New Roman"/>
      <w:b/>
      <w:sz w:val="30"/>
      <w:szCs w:val="28"/>
      <w:lang w:bidi="ar-SA"/>
    </w:rPr>
  </w:style>
  <w:style w:type="character" w:customStyle="1" w:styleId="Titre3Car">
    <w:name w:val="Titre 3 Car"/>
    <w:basedOn w:val="Policepardfaut"/>
    <w:link w:val="Titre3"/>
    <w:uiPriority w:val="9"/>
    <w:rsid w:val="00220555"/>
    <w:rPr>
      <w:rFonts w:ascii="Times New Roman" w:hAnsi="Times New Roman"/>
      <w:sz w:val="28"/>
      <w:szCs w:val="26"/>
      <w:u w:val="single"/>
      <w:lang w:eastAsia="en-US" w:bidi="ar-SA"/>
    </w:rPr>
  </w:style>
  <w:style w:type="character" w:customStyle="1" w:styleId="Titre4Car">
    <w:name w:val="Titre 4 Car"/>
    <w:basedOn w:val="Policepardfaut"/>
    <w:link w:val="Titre4"/>
    <w:uiPriority w:val="19"/>
    <w:rsid w:val="00220555"/>
    <w:rPr>
      <w:rFonts w:ascii="Times New Roman" w:hAnsi="Times New Roman"/>
      <w:b/>
      <w:sz w:val="24"/>
      <w:szCs w:val="22"/>
      <w:lang w:eastAsia="en-US" w:bidi="ar-SA"/>
    </w:rPr>
  </w:style>
  <w:style w:type="character" w:customStyle="1" w:styleId="Titre5Car">
    <w:name w:val="Titre 5 Car"/>
    <w:basedOn w:val="Policepardfaut"/>
    <w:link w:val="Titre5"/>
    <w:uiPriority w:val="9"/>
    <w:rsid w:val="00220555"/>
    <w:rPr>
      <w:rFonts w:ascii="Times New Roman" w:hAnsi="Times New Roman"/>
      <w:sz w:val="24"/>
      <w:szCs w:val="22"/>
      <w:u w:val="single"/>
      <w:lang w:eastAsia="en-US" w:bidi="ar-SA"/>
    </w:rPr>
  </w:style>
  <w:style w:type="character" w:customStyle="1" w:styleId="Titre6Car">
    <w:name w:val="Titre 6 Car"/>
    <w:basedOn w:val="Policepardfaut"/>
    <w:link w:val="Titre6"/>
    <w:uiPriority w:val="9"/>
    <w:rsid w:val="00220555"/>
    <w:rPr>
      <w:rFonts w:ascii="Cambria" w:eastAsia="Times New Roman" w:hAnsi="Cambria"/>
      <w:i/>
      <w:iCs/>
      <w:color w:val="243F60"/>
      <w:sz w:val="24"/>
      <w:szCs w:val="22"/>
      <w:lang w:eastAsia="en-US" w:bidi="ar-SA"/>
    </w:rPr>
  </w:style>
  <w:style w:type="character" w:customStyle="1" w:styleId="Titre7Car">
    <w:name w:val="Titre 7 Car"/>
    <w:basedOn w:val="Policepardfaut"/>
    <w:link w:val="Titre7"/>
    <w:uiPriority w:val="9"/>
    <w:rsid w:val="00220555"/>
    <w:rPr>
      <w:rFonts w:ascii="Cambria" w:eastAsia="Times New Roman" w:hAnsi="Cambria"/>
      <w:i/>
      <w:iCs/>
      <w:color w:val="404040"/>
      <w:sz w:val="24"/>
      <w:szCs w:val="22"/>
      <w:lang w:eastAsia="en-US" w:bidi="ar-SA"/>
    </w:rPr>
  </w:style>
  <w:style w:type="character" w:customStyle="1" w:styleId="Titre8Car">
    <w:name w:val="Titre 8 Car"/>
    <w:basedOn w:val="Policepardfaut"/>
    <w:link w:val="Titre8"/>
    <w:uiPriority w:val="9"/>
    <w:rsid w:val="00220555"/>
    <w:rPr>
      <w:rFonts w:ascii="Cambria" w:eastAsia="Times New Roman" w:hAnsi="Cambria"/>
      <w:color w:val="404040"/>
      <w:lang w:eastAsia="en-US" w:bidi="ar-SA"/>
    </w:rPr>
  </w:style>
  <w:style w:type="character" w:customStyle="1" w:styleId="Titre9Car">
    <w:name w:val="Titre 9 Car"/>
    <w:basedOn w:val="Policepardfaut"/>
    <w:link w:val="Titre9"/>
    <w:uiPriority w:val="9"/>
    <w:rsid w:val="00220555"/>
    <w:rPr>
      <w:rFonts w:ascii="Cambria" w:eastAsia="Times New Roman" w:hAnsi="Cambria"/>
      <w:i/>
      <w:iCs/>
      <w:color w:val="404040"/>
      <w:lang w:eastAsia="en-US" w:bidi="ar-SA"/>
    </w:rPr>
  </w:style>
  <w:style w:type="paragraph" w:styleId="En-tte">
    <w:name w:val="header"/>
    <w:link w:val="En-tteCar"/>
    <w:uiPriority w:val="99"/>
    <w:unhideWhenUsed/>
    <w:rsid w:val="00A94BA4"/>
    <w:pPr>
      <w:tabs>
        <w:tab w:val="right" w:pos="10490"/>
      </w:tabs>
    </w:pPr>
    <w:rPr>
      <w:rFonts w:ascii="Times New Roman" w:hAnsi="Times New Roman"/>
      <w:sz w:val="24"/>
      <w:szCs w:val="22"/>
      <w:lang w:eastAsia="en-US" w:bidi="ar-SA"/>
    </w:rPr>
  </w:style>
  <w:style w:type="character" w:customStyle="1" w:styleId="En-tteCar">
    <w:name w:val="En-tête Car"/>
    <w:basedOn w:val="Policepardfaut"/>
    <w:link w:val="En-tte"/>
    <w:uiPriority w:val="99"/>
    <w:rsid w:val="00220555"/>
    <w:rPr>
      <w:rFonts w:ascii="Times New Roman" w:hAnsi="Times New Roman"/>
      <w:sz w:val="24"/>
      <w:szCs w:val="22"/>
      <w:lang w:eastAsia="en-US" w:bidi="ar-SA"/>
    </w:rPr>
  </w:style>
  <w:style w:type="paragraph" w:styleId="Pieddepage">
    <w:name w:val="footer"/>
    <w:basedOn w:val="Normal"/>
    <w:link w:val="PieddepageCar"/>
    <w:uiPriority w:val="29"/>
    <w:unhideWhenUsed/>
    <w:rsid w:val="00A64AB6"/>
    <w:pPr>
      <w:tabs>
        <w:tab w:val="center" w:pos="4536"/>
        <w:tab w:val="right" w:pos="9072"/>
      </w:tabs>
    </w:pPr>
  </w:style>
  <w:style w:type="character" w:customStyle="1" w:styleId="PieddepageCar">
    <w:name w:val="Pied de page Car"/>
    <w:basedOn w:val="Policepardfaut"/>
    <w:link w:val="Pieddepage"/>
    <w:uiPriority w:val="29"/>
    <w:rsid w:val="00220555"/>
    <w:rPr>
      <w:rFonts w:ascii="Times New Roman" w:hAnsi="Times New Roman"/>
      <w:sz w:val="24"/>
      <w:szCs w:val="22"/>
      <w:lang w:eastAsia="en-US" w:bidi="ar-SA"/>
    </w:rPr>
  </w:style>
  <w:style w:type="paragraph" w:styleId="Textedebulles">
    <w:name w:val="Balloon Text"/>
    <w:basedOn w:val="Normal"/>
    <w:link w:val="TextedebullesCar"/>
    <w:uiPriority w:val="29"/>
    <w:unhideWhenUsed/>
    <w:rsid w:val="00A64AB6"/>
    <w:rPr>
      <w:rFonts w:ascii="Tahoma" w:hAnsi="Tahoma" w:cs="Tahoma"/>
      <w:sz w:val="16"/>
      <w:szCs w:val="16"/>
    </w:rPr>
  </w:style>
  <w:style w:type="character" w:customStyle="1" w:styleId="TextedebullesCar">
    <w:name w:val="Texte de bulles Car"/>
    <w:basedOn w:val="Policepardfaut"/>
    <w:link w:val="Textedebulles"/>
    <w:uiPriority w:val="29"/>
    <w:rsid w:val="00220555"/>
    <w:rPr>
      <w:rFonts w:ascii="Tahoma" w:hAnsi="Tahoma" w:cs="Tahoma"/>
      <w:sz w:val="16"/>
      <w:szCs w:val="16"/>
      <w:lang w:eastAsia="en-US" w:bidi="ar-SA"/>
    </w:rPr>
  </w:style>
  <w:style w:type="character" w:styleId="Lienhypertexte">
    <w:name w:val="Hyperlink"/>
    <w:basedOn w:val="Policepardfaut"/>
    <w:uiPriority w:val="99"/>
    <w:unhideWhenUsed/>
    <w:rsid w:val="004C72A2"/>
    <w:rPr>
      <w:color w:val="0000FF"/>
      <w:u w:val="single"/>
    </w:rPr>
  </w:style>
  <w:style w:type="character" w:customStyle="1" w:styleId="cnumerus">
    <w:name w:val="cnumerus"/>
    <w:uiPriority w:val="1"/>
    <w:qFormat/>
    <w:rsid w:val="007D6800"/>
    <w:rPr>
      <w:color w:val="7030A0"/>
    </w:rPr>
  </w:style>
  <w:style w:type="paragraph" w:customStyle="1" w:styleId="dextra">
    <w:name w:val="dextra"/>
    <w:uiPriority w:val="9"/>
    <w:qFormat/>
    <w:rsid w:val="005D4A21"/>
    <w:pPr>
      <w:jc w:val="right"/>
    </w:pPr>
    <w:rPr>
      <w:rFonts w:ascii="Times New Roman" w:hAnsi="Times New Roman"/>
      <w:sz w:val="25"/>
      <w:szCs w:val="22"/>
      <w:lang w:eastAsia="en-US" w:bidi="ar-SA"/>
    </w:rPr>
  </w:style>
  <w:style w:type="table" w:styleId="Grilledutableau">
    <w:name w:val="Table Grid"/>
    <w:basedOn w:val="TableauNormal"/>
    <w:uiPriority w:val="59"/>
    <w:rsid w:val="00A64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64AB6"/>
    <w:pPr>
      <w:spacing w:before="100" w:beforeAutospacing="1" w:after="119" w:line="238" w:lineRule="atLeast"/>
      <w:ind w:right="45"/>
    </w:pPr>
    <w:rPr>
      <w:rFonts w:eastAsia="Times New Roman"/>
      <w:color w:val="000000"/>
      <w:szCs w:val="24"/>
      <w:lang w:eastAsia="fr-FR"/>
    </w:rPr>
  </w:style>
  <w:style w:type="paragraph" w:styleId="En-ttedetabledesmatires">
    <w:name w:val="TOC Heading"/>
    <w:basedOn w:val="Titre1"/>
    <w:next w:val="Normal"/>
    <w:uiPriority w:val="29"/>
    <w:unhideWhenUsed/>
    <w:qFormat/>
    <w:rsid w:val="00A64AB6"/>
    <w:pPr>
      <w:spacing w:line="276" w:lineRule="auto"/>
      <w:outlineLvl w:val="9"/>
    </w:pPr>
  </w:style>
  <w:style w:type="paragraph" w:styleId="Sansinterligne">
    <w:name w:val="No Spacing"/>
    <w:link w:val="SansinterligneCar"/>
    <w:uiPriority w:val="29"/>
    <w:qFormat/>
    <w:rsid w:val="00A64AB6"/>
    <w:rPr>
      <w:sz w:val="22"/>
      <w:szCs w:val="22"/>
      <w:lang w:eastAsia="en-US" w:bidi="ar-SA"/>
    </w:rPr>
  </w:style>
  <w:style w:type="character" w:customStyle="1" w:styleId="SansinterligneCar">
    <w:name w:val="Sans interligne Car"/>
    <w:basedOn w:val="Policepardfaut"/>
    <w:link w:val="Sansinterligne"/>
    <w:uiPriority w:val="29"/>
    <w:rsid w:val="00220555"/>
    <w:rPr>
      <w:sz w:val="22"/>
      <w:szCs w:val="22"/>
      <w:lang w:eastAsia="en-US" w:bidi="ar-SA"/>
    </w:rPr>
  </w:style>
  <w:style w:type="paragraph" w:styleId="TM1">
    <w:name w:val="toc 1"/>
    <w:next w:val="Normal"/>
    <w:autoRedefine/>
    <w:uiPriority w:val="39"/>
    <w:unhideWhenUsed/>
    <w:qFormat/>
    <w:rsid w:val="00B707E7"/>
    <w:pPr>
      <w:spacing w:before="100"/>
    </w:pPr>
    <w:rPr>
      <w:rFonts w:ascii="Times New Roman" w:hAnsi="Times New Roman"/>
      <w:b/>
      <w:noProof/>
      <w:sz w:val="24"/>
      <w:szCs w:val="22"/>
      <w:lang w:eastAsia="en-US" w:bidi="ar-SA"/>
    </w:rPr>
  </w:style>
  <w:style w:type="paragraph" w:styleId="TM2">
    <w:name w:val="toc 2"/>
    <w:next w:val="Normal"/>
    <w:link w:val="TM2Car"/>
    <w:autoRedefine/>
    <w:uiPriority w:val="39"/>
    <w:unhideWhenUsed/>
    <w:rsid w:val="00B707E7"/>
    <w:pPr>
      <w:spacing w:before="40"/>
    </w:pPr>
    <w:rPr>
      <w:rFonts w:ascii="Times New Roman" w:hAnsi="Times New Roman"/>
      <w:sz w:val="24"/>
      <w:szCs w:val="22"/>
      <w:lang w:eastAsia="en-US" w:bidi="ar-SA"/>
    </w:rPr>
  </w:style>
  <w:style w:type="character" w:customStyle="1" w:styleId="TM2Car">
    <w:name w:val="TM 2 Car"/>
    <w:basedOn w:val="Policepardfaut"/>
    <w:link w:val="TM2"/>
    <w:uiPriority w:val="39"/>
    <w:rsid w:val="00B707E7"/>
    <w:rPr>
      <w:rFonts w:ascii="Times New Roman" w:hAnsi="Times New Roman"/>
      <w:sz w:val="24"/>
      <w:szCs w:val="22"/>
      <w:lang w:val="fr-FR" w:eastAsia="en-US" w:bidi="ar-SA"/>
    </w:rPr>
  </w:style>
  <w:style w:type="paragraph" w:styleId="TM3">
    <w:name w:val="toc 3"/>
    <w:next w:val="Normal"/>
    <w:autoRedefine/>
    <w:uiPriority w:val="39"/>
    <w:unhideWhenUsed/>
    <w:rsid w:val="00826633"/>
    <w:pPr>
      <w:ind w:left="442"/>
    </w:pPr>
    <w:rPr>
      <w:rFonts w:ascii="Times New Roman" w:hAnsi="Times New Roman"/>
      <w:sz w:val="24"/>
      <w:szCs w:val="22"/>
      <w:lang w:eastAsia="en-US" w:bidi="ar-SA"/>
    </w:rPr>
  </w:style>
  <w:style w:type="paragraph" w:styleId="TM4">
    <w:name w:val="toc 4"/>
    <w:basedOn w:val="Normal"/>
    <w:next w:val="Normal"/>
    <w:autoRedefine/>
    <w:uiPriority w:val="9"/>
    <w:unhideWhenUsed/>
    <w:qFormat/>
    <w:rsid w:val="00A64AB6"/>
    <w:pPr>
      <w:ind w:left="708"/>
    </w:pPr>
  </w:style>
  <w:style w:type="paragraph" w:styleId="Paragraphedeliste">
    <w:name w:val="List Paragraph"/>
    <w:basedOn w:val="Normal"/>
    <w:uiPriority w:val="29"/>
    <w:qFormat/>
    <w:rsid w:val="00A64AB6"/>
    <w:pPr>
      <w:ind w:left="720"/>
      <w:contextualSpacing/>
    </w:pPr>
  </w:style>
  <w:style w:type="paragraph" w:customStyle="1" w:styleId="enarratio">
    <w:name w:val="enarratio"/>
    <w:basedOn w:val="nsr"/>
    <w:uiPriority w:val="9"/>
    <w:qFormat/>
    <w:rsid w:val="007D6800"/>
    <w:pPr>
      <w:spacing w:before="80" w:after="80"/>
      <w:contextualSpacing/>
    </w:pPr>
  </w:style>
  <w:style w:type="paragraph" w:customStyle="1" w:styleId="nsr">
    <w:name w:val="nsr"/>
    <w:basedOn w:val="Normal"/>
    <w:qFormat/>
    <w:rsid w:val="007D6800"/>
    <w:pPr>
      <w:ind w:firstLine="0"/>
    </w:pPr>
    <w:rPr>
      <w:szCs w:val="25"/>
    </w:rPr>
  </w:style>
  <w:style w:type="paragraph" w:customStyle="1" w:styleId="monitum">
    <w:name w:val="monitum"/>
    <w:uiPriority w:val="9"/>
    <w:qFormat/>
    <w:rsid w:val="007D6800"/>
    <w:pPr>
      <w:ind w:firstLine="284"/>
    </w:pPr>
    <w:rPr>
      <w:rFonts w:ascii="Times New Roman" w:hAnsi="Times New Roman"/>
      <w:color w:val="FF0000"/>
      <w:sz w:val="25"/>
      <w:szCs w:val="25"/>
      <w:lang w:eastAsia="en-US" w:bidi="ar-SA"/>
    </w:rPr>
  </w:style>
  <w:style w:type="character" w:styleId="Numrodeligne">
    <w:name w:val="line number"/>
    <w:basedOn w:val="Policepardfaut"/>
    <w:uiPriority w:val="99"/>
    <w:semiHidden/>
    <w:unhideWhenUsed/>
    <w:rsid w:val="00AE3A67"/>
  </w:style>
  <w:style w:type="paragraph" w:customStyle="1" w:styleId="fonsloci">
    <w:name w:val="fonsloci"/>
    <w:next w:val="locus"/>
    <w:uiPriority w:val="9"/>
    <w:qFormat/>
    <w:rsid w:val="007D6800"/>
    <w:pPr>
      <w:jc w:val="right"/>
    </w:pPr>
    <w:rPr>
      <w:rFonts w:ascii="Times New Roman" w:hAnsi="Times New Roman"/>
      <w:sz w:val="24"/>
      <w:szCs w:val="22"/>
      <w:lang w:eastAsia="en-US" w:bidi="ar-SA"/>
    </w:rPr>
  </w:style>
  <w:style w:type="paragraph" w:styleId="Notedebasdepage">
    <w:name w:val="footnote text"/>
    <w:basedOn w:val="Normal"/>
    <w:link w:val="NotedebasdepageCar"/>
    <w:autoRedefine/>
    <w:uiPriority w:val="99"/>
    <w:rsid w:val="00C0272B"/>
    <w:pPr>
      <w:tabs>
        <w:tab w:val="left" w:leader="hyphen" w:pos="2268"/>
        <w:tab w:val="left" w:leader="hyphen" w:pos="4536"/>
        <w:tab w:val="left" w:leader="hyphen" w:pos="6804"/>
        <w:tab w:val="left" w:leader="hyphen" w:pos="9072"/>
      </w:tabs>
    </w:pPr>
    <w:rPr>
      <w:rFonts w:eastAsia="Times New Roman"/>
      <w:bCs/>
      <w:sz w:val="23"/>
      <w:lang w:eastAsia="fr-FR"/>
    </w:rPr>
  </w:style>
  <w:style w:type="character" w:customStyle="1" w:styleId="NotedebasdepageCar">
    <w:name w:val="Note de bas de page Car"/>
    <w:basedOn w:val="Policepardfaut"/>
    <w:link w:val="Notedebasdepage"/>
    <w:uiPriority w:val="99"/>
    <w:rsid w:val="00220555"/>
    <w:rPr>
      <w:rFonts w:ascii="Times New Roman" w:eastAsia="Times New Roman" w:hAnsi="Times New Roman"/>
      <w:bCs/>
      <w:sz w:val="23"/>
      <w:szCs w:val="22"/>
      <w:lang w:bidi="ar-SA"/>
    </w:rPr>
  </w:style>
  <w:style w:type="character" w:styleId="Appelnotedebasdep">
    <w:name w:val="footnote reference"/>
    <w:basedOn w:val="Policepardfaut"/>
    <w:uiPriority w:val="29"/>
    <w:rsid w:val="002D1E5D"/>
    <w:rPr>
      <w:rFonts w:ascii="Verdana" w:hAnsi="Verdana"/>
      <w:dstrike w:val="0"/>
      <w:color w:val="CC0000"/>
      <w:sz w:val="20"/>
      <w:szCs w:val="32"/>
      <w:bdr w:val="none" w:sz="0" w:space="0" w:color="auto"/>
      <w:shd w:val="clear" w:color="auto" w:fill="auto"/>
      <w:vertAlign w:val="superscript"/>
    </w:rPr>
  </w:style>
  <w:style w:type="paragraph" w:customStyle="1" w:styleId="lingua">
    <w:name w:val="lingua"/>
    <w:uiPriority w:val="9"/>
    <w:qFormat/>
    <w:rsid w:val="007D6800"/>
    <w:rPr>
      <w:rFonts w:ascii="Times New Roman" w:hAnsi="Times New Roman"/>
      <w:szCs w:val="22"/>
      <w:lang w:val="en-GB" w:bidi="ar-SA"/>
    </w:rPr>
  </w:style>
  <w:style w:type="paragraph" w:customStyle="1" w:styleId="il">
    <w:name w:val="il"/>
    <w:uiPriority w:val="9"/>
    <w:qFormat/>
    <w:rsid w:val="007D6800"/>
    <w:rPr>
      <w:rFonts w:ascii="Times New Roman" w:hAnsi="Times New Roman"/>
      <w:sz w:val="14"/>
      <w:szCs w:val="25"/>
      <w:lang w:eastAsia="en-US" w:bidi="ar-SA"/>
    </w:rPr>
  </w:style>
  <w:style w:type="paragraph" w:customStyle="1" w:styleId="dixit">
    <w:name w:val="dixit"/>
    <w:next w:val="locus"/>
    <w:qFormat/>
    <w:rsid w:val="007D6800"/>
    <w:pPr>
      <w:keepNext/>
      <w:spacing w:before="80"/>
    </w:pPr>
    <w:rPr>
      <w:rFonts w:ascii="Times New Roman" w:hAnsi="Times New Roman"/>
      <w:sz w:val="24"/>
      <w:szCs w:val="22"/>
      <w:lang w:eastAsia="en-US" w:bidi="ar-SA"/>
    </w:rPr>
  </w:style>
  <w:style w:type="paragraph" w:customStyle="1" w:styleId="caducus">
    <w:name w:val="caducus"/>
    <w:uiPriority w:val="9"/>
    <w:qFormat/>
    <w:rsid w:val="007D6800"/>
    <w:rPr>
      <w:rFonts w:ascii="Times New Roman" w:hAnsi="Times New Roman"/>
      <w:color w:val="0070C0"/>
      <w:sz w:val="25"/>
      <w:szCs w:val="22"/>
      <w:lang w:eastAsia="en-US" w:bidi="ar-SA"/>
    </w:rPr>
  </w:style>
  <w:style w:type="paragraph" w:customStyle="1" w:styleId="locus">
    <w:name w:val="locus"/>
    <w:uiPriority w:val="9"/>
    <w:qFormat/>
    <w:rsid w:val="008B0C1F"/>
    <w:pPr>
      <w:spacing w:before="140" w:after="140"/>
      <w:ind w:firstLine="284"/>
      <w:contextualSpacing/>
      <w:jc w:val="both"/>
    </w:pPr>
    <w:rPr>
      <w:rFonts w:ascii="Times New Roman" w:hAnsi="Times New Roman"/>
      <w:sz w:val="23"/>
      <w:szCs w:val="22"/>
      <w:lang w:eastAsia="en-US" w:bidi="ar-SA"/>
    </w:rPr>
  </w:style>
  <w:style w:type="paragraph" w:customStyle="1" w:styleId="impar">
    <w:name w:val="impar"/>
    <w:uiPriority w:val="9"/>
    <w:qFormat/>
    <w:rsid w:val="007D6800"/>
    <w:pPr>
      <w:tabs>
        <w:tab w:val="right" w:pos="9809"/>
        <w:tab w:val="right" w:pos="10376"/>
      </w:tabs>
    </w:pPr>
    <w:rPr>
      <w:rFonts w:ascii="Times New Roman" w:hAnsi="Times New Roman"/>
      <w:sz w:val="24"/>
      <w:szCs w:val="22"/>
      <w:lang w:eastAsia="en-US" w:bidi="ar-SA"/>
    </w:rPr>
  </w:style>
  <w:style w:type="paragraph" w:customStyle="1" w:styleId="i">
    <w:name w:val="i"/>
    <w:basedOn w:val="Normal"/>
    <w:uiPriority w:val="4"/>
    <w:qFormat/>
    <w:rsid w:val="007D6800"/>
    <w:pPr>
      <w:autoSpaceDE w:val="0"/>
      <w:autoSpaceDN w:val="0"/>
      <w:adjustRightInd w:val="0"/>
      <w:ind w:firstLine="0"/>
    </w:pPr>
    <w:rPr>
      <w:lang w:eastAsia="fr-FR"/>
    </w:rPr>
  </w:style>
  <w:style w:type="paragraph" w:customStyle="1" w:styleId="iv">
    <w:name w:val="iv"/>
    <w:basedOn w:val="i"/>
    <w:uiPriority w:val="4"/>
    <w:qFormat/>
    <w:rsid w:val="007D6800"/>
    <w:pPr>
      <w:ind w:left="284" w:hanging="284"/>
      <w:jc w:val="left"/>
    </w:pPr>
  </w:style>
  <w:style w:type="character" w:styleId="Accentuation">
    <w:name w:val="Emphasis"/>
    <w:basedOn w:val="Policepardfaut"/>
    <w:uiPriority w:val="20"/>
    <w:qFormat/>
    <w:rsid w:val="00D83A03"/>
    <w:rPr>
      <w:i/>
      <w:iCs/>
    </w:rPr>
  </w:style>
  <w:style w:type="paragraph" w:styleId="TM5">
    <w:name w:val="toc 5"/>
    <w:basedOn w:val="Normal"/>
    <w:next w:val="Normal"/>
    <w:autoRedefine/>
    <w:uiPriority w:val="39"/>
    <w:unhideWhenUsed/>
    <w:rsid w:val="003056FF"/>
    <w:pPr>
      <w:ind w:left="879"/>
      <w:jc w:val="left"/>
    </w:pPr>
    <w:rPr>
      <w:rFonts w:eastAsia="Times New Roman"/>
      <w:sz w:val="22"/>
      <w:lang w:eastAsia="fr-FR"/>
    </w:rPr>
  </w:style>
  <w:style w:type="paragraph" w:styleId="TM6">
    <w:name w:val="toc 6"/>
    <w:basedOn w:val="Normal"/>
    <w:next w:val="Normal"/>
    <w:autoRedefine/>
    <w:uiPriority w:val="9"/>
    <w:unhideWhenUsed/>
    <w:rsid w:val="00841915"/>
    <w:pPr>
      <w:spacing w:after="100" w:line="276" w:lineRule="auto"/>
      <w:ind w:left="1100"/>
      <w:jc w:val="left"/>
    </w:pPr>
    <w:rPr>
      <w:rFonts w:ascii="Calibri" w:eastAsia="Times New Roman" w:hAnsi="Calibri"/>
      <w:sz w:val="22"/>
      <w:lang w:eastAsia="fr-FR"/>
    </w:rPr>
  </w:style>
  <w:style w:type="paragraph" w:styleId="TM7">
    <w:name w:val="toc 7"/>
    <w:basedOn w:val="Normal"/>
    <w:next w:val="Normal"/>
    <w:autoRedefine/>
    <w:uiPriority w:val="9"/>
    <w:unhideWhenUsed/>
    <w:rsid w:val="00841915"/>
    <w:pPr>
      <w:spacing w:after="100" w:line="276" w:lineRule="auto"/>
      <w:ind w:left="1320"/>
      <w:jc w:val="left"/>
    </w:pPr>
    <w:rPr>
      <w:rFonts w:ascii="Calibri" w:eastAsia="Times New Roman" w:hAnsi="Calibri"/>
      <w:sz w:val="22"/>
      <w:lang w:eastAsia="fr-FR"/>
    </w:rPr>
  </w:style>
  <w:style w:type="paragraph" w:styleId="TM8">
    <w:name w:val="toc 8"/>
    <w:basedOn w:val="Normal"/>
    <w:next w:val="Normal"/>
    <w:autoRedefine/>
    <w:uiPriority w:val="9"/>
    <w:unhideWhenUsed/>
    <w:rsid w:val="00841915"/>
    <w:pPr>
      <w:spacing w:after="100" w:line="276" w:lineRule="auto"/>
      <w:ind w:left="1540"/>
      <w:jc w:val="left"/>
    </w:pPr>
    <w:rPr>
      <w:rFonts w:ascii="Calibri" w:eastAsia="Times New Roman" w:hAnsi="Calibri"/>
      <w:sz w:val="22"/>
      <w:lang w:eastAsia="fr-FR"/>
    </w:rPr>
  </w:style>
  <w:style w:type="paragraph" w:styleId="TM9">
    <w:name w:val="toc 9"/>
    <w:basedOn w:val="Normal"/>
    <w:next w:val="Normal"/>
    <w:autoRedefine/>
    <w:uiPriority w:val="9"/>
    <w:unhideWhenUsed/>
    <w:rsid w:val="00841915"/>
    <w:pPr>
      <w:spacing w:after="100" w:line="276" w:lineRule="auto"/>
      <w:ind w:left="1760"/>
      <w:jc w:val="left"/>
    </w:pPr>
    <w:rPr>
      <w:rFonts w:ascii="Calibri" w:eastAsia="Times New Roman" w:hAnsi="Calibri"/>
      <w:sz w:val="22"/>
      <w:lang w:eastAsia="fr-FR"/>
    </w:rPr>
  </w:style>
  <w:style w:type="character" w:styleId="lev">
    <w:name w:val="Strong"/>
    <w:basedOn w:val="Policepardfaut"/>
    <w:uiPriority w:val="22"/>
    <w:qFormat/>
    <w:rsid w:val="00D34C28"/>
    <w:rPr>
      <w:b/>
      <w:bCs/>
    </w:rPr>
  </w:style>
  <w:style w:type="character" w:styleId="Lienhypertextesuivivisit">
    <w:name w:val="FollowedHyperlink"/>
    <w:basedOn w:val="Policepardfaut"/>
    <w:uiPriority w:val="99"/>
    <w:semiHidden/>
    <w:unhideWhenUsed/>
    <w:rsid w:val="00D34C28"/>
    <w:rPr>
      <w:color w:val="800080"/>
      <w:u w:val="single"/>
    </w:rPr>
  </w:style>
  <w:style w:type="paragraph" w:customStyle="1" w:styleId="par">
    <w:name w:val="par"/>
    <w:uiPriority w:val="9"/>
    <w:qFormat/>
    <w:rsid w:val="007D6800"/>
    <w:pPr>
      <w:tabs>
        <w:tab w:val="left" w:pos="567"/>
        <w:tab w:val="right" w:pos="10376"/>
      </w:tabs>
    </w:pPr>
    <w:rPr>
      <w:rFonts w:ascii="Times New Roman" w:hAnsi="Times New Roman"/>
      <w:sz w:val="24"/>
      <w:szCs w:val="22"/>
      <w:lang w:eastAsia="en-US" w:bidi="ar-SA"/>
    </w:rPr>
  </w:style>
  <w:style w:type="character" w:customStyle="1" w:styleId="bv">
    <w:name w:val="bv"/>
    <w:uiPriority w:val="29"/>
    <w:qFormat/>
    <w:rsid w:val="007D6800"/>
    <w:rPr>
      <w:sz w:val="22"/>
    </w:rPr>
  </w:style>
  <w:style w:type="character" w:customStyle="1" w:styleId="bc">
    <w:name w:val="bc"/>
    <w:uiPriority w:val="1"/>
    <w:qFormat/>
    <w:rsid w:val="007D6800"/>
    <w:rPr>
      <w:sz w:val="22"/>
    </w:rPr>
  </w:style>
  <w:style w:type="paragraph" w:customStyle="1" w:styleId="u1">
    <w:name w:val="u1"/>
    <w:next w:val="Normal"/>
    <w:uiPriority w:val="9"/>
    <w:qFormat/>
    <w:rsid w:val="007D6800"/>
    <w:pPr>
      <w:keepNext/>
      <w:spacing w:before="140" w:after="60"/>
    </w:pPr>
    <w:rPr>
      <w:rFonts w:ascii="Times New Roman" w:hAnsi="Times New Roman"/>
      <w:b/>
      <w:sz w:val="26"/>
      <w:szCs w:val="22"/>
      <w:lang w:eastAsia="en-US" w:bidi="ar-SA"/>
    </w:rPr>
  </w:style>
  <w:style w:type="paragraph" w:customStyle="1" w:styleId="u2">
    <w:name w:val="u2"/>
    <w:next w:val="Normal"/>
    <w:uiPriority w:val="9"/>
    <w:qFormat/>
    <w:rsid w:val="007D6800"/>
    <w:pPr>
      <w:keepNext/>
      <w:spacing w:before="80" w:after="40"/>
    </w:pPr>
    <w:rPr>
      <w:rFonts w:ascii="Times New Roman" w:hAnsi="Times New Roman"/>
      <w:sz w:val="25"/>
      <w:szCs w:val="22"/>
      <w:u w:val="single"/>
      <w:lang w:eastAsia="en-US" w:bidi="ar-SA"/>
    </w:rPr>
  </w:style>
  <w:style w:type="paragraph" w:customStyle="1" w:styleId="t1">
    <w:name w:val="t1"/>
    <w:basedOn w:val="Normal"/>
    <w:uiPriority w:val="29"/>
    <w:qFormat/>
    <w:rsid w:val="007D6800"/>
    <w:pPr>
      <w:keepNext/>
      <w:spacing w:before="100" w:after="60"/>
      <w:ind w:firstLine="0"/>
      <w:jc w:val="left"/>
    </w:pPr>
    <w:rPr>
      <w:b/>
    </w:rPr>
  </w:style>
  <w:style w:type="paragraph" w:customStyle="1" w:styleId="t2">
    <w:name w:val="t2"/>
    <w:uiPriority w:val="29"/>
    <w:qFormat/>
    <w:rsid w:val="007D6800"/>
    <w:pPr>
      <w:keepNext/>
      <w:spacing w:before="60"/>
    </w:pPr>
    <w:rPr>
      <w:rFonts w:ascii="Times New Roman" w:hAnsi="Times New Roman"/>
      <w:sz w:val="25"/>
      <w:szCs w:val="22"/>
      <w:lang w:eastAsia="en-US" w:bidi="ar-SA"/>
    </w:rPr>
  </w:style>
  <w:style w:type="paragraph" w:customStyle="1" w:styleId="t3">
    <w:name w:val="t3"/>
    <w:basedOn w:val="Normal"/>
    <w:uiPriority w:val="29"/>
    <w:qFormat/>
    <w:rsid w:val="007D6800"/>
    <w:pPr>
      <w:keepNext/>
      <w:ind w:left="284" w:firstLine="0"/>
      <w:jc w:val="left"/>
    </w:pPr>
  </w:style>
  <w:style w:type="paragraph" w:styleId="Notedefin">
    <w:name w:val="endnote text"/>
    <w:basedOn w:val="Normal"/>
    <w:link w:val="NotedefinCar"/>
    <w:uiPriority w:val="29"/>
    <w:unhideWhenUsed/>
    <w:rsid w:val="00616DF5"/>
    <w:rPr>
      <w:sz w:val="20"/>
      <w:szCs w:val="20"/>
    </w:rPr>
  </w:style>
  <w:style w:type="character" w:customStyle="1" w:styleId="NotedefinCar">
    <w:name w:val="Note de fin Car"/>
    <w:basedOn w:val="Policepardfaut"/>
    <w:link w:val="Notedefin"/>
    <w:uiPriority w:val="29"/>
    <w:rsid w:val="00220555"/>
    <w:rPr>
      <w:rFonts w:ascii="Times New Roman" w:hAnsi="Times New Roman"/>
      <w:lang w:eastAsia="en-US" w:bidi="ar-SA"/>
    </w:rPr>
  </w:style>
  <w:style w:type="character" w:styleId="Appeldenotedefin">
    <w:name w:val="endnote reference"/>
    <w:basedOn w:val="Policepardfaut"/>
    <w:uiPriority w:val="29"/>
    <w:unhideWhenUsed/>
    <w:rsid w:val="00616DF5"/>
    <w:rPr>
      <w:vertAlign w:val="superscript"/>
    </w:rPr>
  </w:style>
  <w:style w:type="paragraph" w:customStyle="1" w:styleId="ntsr">
    <w:name w:val="ntsr"/>
    <w:basedOn w:val="nota"/>
    <w:uiPriority w:val="9"/>
    <w:qFormat/>
    <w:rsid w:val="007D6800"/>
    <w:pPr>
      <w:ind w:firstLine="0"/>
    </w:pPr>
  </w:style>
  <w:style w:type="paragraph" w:styleId="Titre">
    <w:name w:val="Title"/>
    <w:basedOn w:val="Normal"/>
    <w:next w:val="Normal"/>
    <w:link w:val="TitreCar"/>
    <w:uiPriority w:val="29"/>
    <w:qFormat/>
    <w:rsid w:val="00616DF5"/>
    <w:pPr>
      <w:spacing w:before="240" w:after="60"/>
      <w:jc w:val="center"/>
      <w:outlineLvl w:val="0"/>
    </w:pPr>
    <w:rPr>
      <w:rFonts w:eastAsia="Times New Roman"/>
      <w:b/>
      <w:bCs/>
      <w:kern w:val="28"/>
      <w:sz w:val="32"/>
      <w:szCs w:val="32"/>
    </w:rPr>
  </w:style>
  <w:style w:type="character" w:customStyle="1" w:styleId="TitreCar">
    <w:name w:val="Titre Car"/>
    <w:basedOn w:val="Policepardfaut"/>
    <w:link w:val="Titre"/>
    <w:uiPriority w:val="29"/>
    <w:rsid w:val="00220555"/>
    <w:rPr>
      <w:rFonts w:ascii="Times New Roman" w:eastAsia="Times New Roman" w:hAnsi="Times New Roman"/>
      <w:b/>
      <w:bCs/>
      <w:kern w:val="28"/>
      <w:sz w:val="32"/>
      <w:szCs w:val="32"/>
      <w:lang w:eastAsia="en-US" w:bidi="ar-SA"/>
    </w:rPr>
  </w:style>
  <w:style w:type="character" w:styleId="Marquedecommentaire">
    <w:name w:val="annotation reference"/>
    <w:basedOn w:val="Policepardfaut"/>
    <w:uiPriority w:val="99"/>
    <w:semiHidden/>
    <w:unhideWhenUsed/>
    <w:rsid w:val="00616DF5"/>
    <w:rPr>
      <w:sz w:val="16"/>
      <w:szCs w:val="16"/>
    </w:rPr>
  </w:style>
  <w:style w:type="paragraph" w:styleId="Objetducommentaire">
    <w:name w:val="annotation subject"/>
    <w:basedOn w:val="Normal"/>
    <w:next w:val="Normal"/>
    <w:link w:val="ObjetducommentaireCar"/>
    <w:uiPriority w:val="29"/>
    <w:unhideWhenUsed/>
    <w:rsid w:val="005D4A21"/>
    <w:rPr>
      <w:b/>
      <w:bCs/>
      <w:sz w:val="20"/>
      <w:szCs w:val="20"/>
    </w:rPr>
  </w:style>
  <w:style w:type="character" w:customStyle="1" w:styleId="ObjetducommentaireCar">
    <w:name w:val="Objet du commentaire Car"/>
    <w:basedOn w:val="Policepardfaut"/>
    <w:link w:val="Objetducommentaire"/>
    <w:uiPriority w:val="29"/>
    <w:rsid w:val="00220555"/>
    <w:rPr>
      <w:rFonts w:ascii="Times New Roman" w:hAnsi="Times New Roman"/>
      <w:b/>
      <w:bCs/>
      <w:lang w:eastAsia="en-US" w:bidi="ar-SA"/>
    </w:rPr>
  </w:style>
  <w:style w:type="character" w:customStyle="1" w:styleId="pm">
    <w:name w:val="pm"/>
    <w:uiPriority w:val="1"/>
    <w:qFormat/>
    <w:rsid w:val="00616DF5"/>
    <w:rPr>
      <w:smallCaps/>
    </w:rPr>
  </w:style>
  <w:style w:type="character" w:customStyle="1" w:styleId="vonos">
    <w:name w:val="vonos"/>
    <w:uiPriority w:val="9"/>
    <w:qFormat/>
    <w:rsid w:val="007D6800"/>
    <w:rPr>
      <w:rFonts w:ascii="Verdana" w:hAnsi="Verdana"/>
      <w:color w:val="CC0000"/>
    </w:rPr>
  </w:style>
  <w:style w:type="character" w:customStyle="1" w:styleId="vonoi">
    <w:name w:val="vonoi"/>
    <w:uiPriority w:val="9"/>
    <w:qFormat/>
    <w:rsid w:val="007D6800"/>
    <w:rPr>
      <w:rFonts w:ascii="Verdana" w:hAnsi="Verdana"/>
      <w:color w:val="CC0000"/>
    </w:rPr>
  </w:style>
  <w:style w:type="paragraph" w:customStyle="1" w:styleId="titulus">
    <w:name w:val="titulus"/>
    <w:uiPriority w:val="8"/>
    <w:qFormat/>
    <w:rsid w:val="007D6800"/>
    <w:rPr>
      <w:rFonts w:ascii="Times New Roman" w:hAnsi="Times New Roman"/>
      <w:sz w:val="23"/>
      <w:szCs w:val="22"/>
      <w:lang w:eastAsia="en-US" w:bidi="ar-SA"/>
    </w:rPr>
  </w:style>
  <w:style w:type="paragraph" w:customStyle="1" w:styleId="lcsr">
    <w:name w:val="lcsr"/>
    <w:basedOn w:val="locus"/>
    <w:uiPriority w:val="9"/>
    <w:qFormat/>
    <w:rsid w:val="007D6800"/>
    <w:pPr>
      <w:spacing w:before="0" w:after="0"/>
      <w:ind w:left="567" w:firstLine="0"/>
      <w:contextualSpacing w:val="0"/>
    </w:pPr>
  </w:style>
  <w:style w:type="character" w:customStyle="1" w:styleId="scriptor">
    <w:name w:val="scriptor"/>
    <w:uiPriority w:val="1"/>
    <w:qFormat/>
    <w:rsid w:val="007D6800"/>
    <w:rPr>
      <w:smallCaps/>
    </w:rPr>
  </w:style>
  <w:style w:type="paragraph" w:customStyle="1" w:styleId="titulusc">
    <w:name w:val="titulusc"/>
    <w:basedOn w:val="titulus"/>
    <w:uiPriority w:val="8"/>
    <w:qFormat/>
    <w:rsid w:val="007D6800"/>
    <w:pPr>
      <w:jc w:val="center"/>
    </w:pPr>
  </w:style>
  <w:style w:type="paragraph" w:customStyle="1" w:styleId="m1">
    <w:name w:val="m1"/>
    <w:uiPriority w:val="9"/>
    <w:qFormat/>
    <w:rsid w:val="007D6800"/>
    <w:rPr>
      <w:rFonts w:ascii="Times New Roman" w:hAnsi="Times New Roman"/>
      <w:color w:val="0070C0"/>
      <w:sz w:val="25"/>
      <w:szCs w:val="22"/>
      <w:lang w:eastAsia="en-US" w:bidi="ar-SA"/>
    </w:rPr>
  </w:style>
  <w:style w:type="character" w:customStyle="1" w:styleId="aditus">
    <w:name w:val="aditus"/>
    <w:uiPriority w:val="1"/>
    <w:qFormat/>
    <w:rsid w:val="007D6800"/>
    <w:rPr>
      <w:b/>
    </w:rPr>
  </w:style>
  <w:style w:type="paragraph" w:customStyle="1" w:styleId="leva">
    <w:name w:val="leva"/>
    <w:basedOn w:val="Normal"/>
    <w:uiPriority w:val="9"/>
    <w:qFormat/>
    <w:rsid w:val="007D6800"/>
    <w:pPr>
      <w:jc w:val="left"/>
    </w:pPr>
  </w:style>
  <w:style w:type="paragraph" w:customStyle="1" w:styleId="u3">
    <w:name w:val="u3"/>
    <w:next w:val="Normal"/>
    <w:uiPriority w:val="9"/>
    <w:qFormat/>
    <w:rsid w:val="000E5B33"/>
    <w:pPr>
      <w:keepNext/>
      <w:spacing w:before="80" w:after="40"/>
    </w:pPr>
    <w:rPr>
      <w:rFonts w:ascii="Times New Roman" w:hAnsi="Times New Roman"/>
      <w:i/>
      <w:sz w:val="25"/>
      <w:szCs w:val="22"/>
      <w:lang w:eastAsia="en-US" w:bidi="ar-SA"/>
    </w:rPr>
  </w:style>
  <w:style w:type="paragraph" w:customStyle="1" w:styleId="nlig">
    <w:name w:val="nlig"/>
    <w:basedOn w:val="Normal"/>
    <w:uiPriority w:val="14"/>
    <w:qFormat/>
    <w:rsid w:val="007D6800"/>
    <w:pPr>
      <w:keepNext/>
    </w:pPr>
    <w:rPr>
      <w:rFonts w:cs="Arial"/>
    </w:rPr>
  </w:style>
  <w:style w:type="paragraph" w:customStyle="1" w:styleId="illig">
    <w:name w:val="illig"/>
    <w:basedOn w:val="il"/>
    <w:uiPriority w:val="14"/>
    <w:qFormat/>
    <w:rsid w:val="007D6800"/>
    <w:pPr>
      <w:keepNext/>
    </w:pPr>
  </w:style>
  <w:style w:type="character" w:customStyle="1" w:styleId="00">
    <w:name w:val="00"/>
    <w:uiPriority w:val="29"/>
    <w:qFormat/>
    <w:rsid w:val="007D6800"/>
    <w:rPr>
      <w:color w:val="00B050"/>
    </w:rPr>
  </w:style>
  <w:style w:type="paragraph" w:customStyle="1" w:styleId="summarium">
    <w:name w:val="summarium"/>
    <w:uiPriority w:val="9"/>
    <w:qFormat/>
    <w:rsid w:val="007D6800"/>
    <w:pPr>
      <w:spacing w:before="60" w:after="140"/>
      <w:ind w:left="284" w:hanging="284"/>
      <w:jc w:val="both"/>
    </w:pPr>
    <w:rPr>
      <w:rFonts w:ascii="Times New Roman" w:hAnsi="Times New Roman"/>
      <w:sz w:val="24"/>
      <w:szCs w:val="22"/>
      <w:lang w:eastAsia="en-US" w:bidi="ar-SA"/>
    </w:rPr>
  </w:style>
  <w:style w:type="paragraph" w:customStyle="1" w:styleId="nota">
    <w:name w:val="nota"/>
    <w:qFormat/>
    <w:rsid w:val="00B85CC1"/>
    <w:pPr>
      <w:spacing w:before="140" w:after="140"/>
      <w:ind w:firstLine="284"/>
      <w:contextualSpacing/>
      <w:jc w:val="both"/>
    </w:pPr>
    <w:rPr>
      <w:rFonts w:ascii="Times New Roman" w:hAnsi="Times New Roman"/>
      <w:sz w:val="23"/>
      <w:szCs w:val="22"/>
      <w:lang w:eastAsia="en-US" w:bidi="ar-SA"/>
    </w:rPr>
  </w:style>
  <w:style w:type="paragraph" w:customStyle="1" w:styleId="supar">
    <w:name w:val="supar"/>
    <w:uiPriority w:val="9"/>
    <w:qFormat/>
    <w:rsid w:val="007D6800"/>
    <w:pPr>
      <w:spacing w:before="140" w:after="140"/>
      <w:jc w:val="both"/>
    </w:pPr>
    <w:rPr>
      <w:rFonts w:ascii="Times New Roman" w:hAnsi="Times New Roman"/>
      <w:color w:val="006600"/>
      <w:sz w:val="24"/>
      <w:szCs w:val="22"/>
      <w:lang w:eastAsia="en-US" w:bidi="ar-SA"/>
    </w:rPr>
  </w:style>
  <w:style w:type="paragraph" w:customStyle="1" w:styleId="ln">
    <w:name w:val="ln"/>
    <w:basedOn w:val="lcsr"/>
    <w:uiPriority w:val="9"/>
    <w:qFormat/>
    <w:rsid w:val="007D6800"/>
    <w:pPr>
      <w:spacing w:before="40" w:after="40"/>
      <w:ind w:firstLine="284"/>
    </w:pPr>
    <w:rPr>
      <w:sz w:val="22"/>
    </w:rPr>
  </w:style>
  <w:style w:type="paragraph" w:customStyle="1" w:styleId="html">
    <w:name w:val="html"/>
    <w:basedOn w:val="Normal"/>
    <w:next w:val="Normal"/>
    <w:uiPriority w:val="9"/>
    <w:qFormat/>
    <w:rsid w:val="007D6800"/>
    <w:pPr>
      <w:spacing w:before="140" w:after="140"/>
      <w:ind w:left="567" w:firstLine="0"/>
      <w:contextualSpacing/>
      <w:jc w:val="left"/>
    </w:pPr>
    <w:rPr>
      <w:rFonts w:ascii="Courier New" w:hAnsi="Courier New"/>
      <w:b/>
      <w:sz w:val="22"/>
      <w:lang w:eastAsia="fr-FR"/>
    </w:rPr>
  </w:style>
  <w:style w:type="paragraph" w:customStyle="1" w:styleId="centrum">
    <w:name w:val="centrum"/>
    <w:basedOn w:val="Normal"/>
    <w:qFormat/>
    <w:rsid w:val="00DE22DF"/>
    <w:pPr>
      <w:ind w:firstLine="0"/>
      <w:jc w:val="center"/>
    </w:pPr>
    <w:rPr>
      <w:rFonts w:eastAsia="MS Mincho"/>
      <w:lang w:eastAsia="fr-FR"/>
    </w:rPr>
  </w:style>
  <w:style w:type="character" w:customStyle="1" w:styleId="italicus">
    <w:name w:val="italicus"/>
    <w:uiPriority w:val="9"/>
    <w:qFormat/>
    <w:rsid w:val="001C6170"/>
    <w:rPr>
      <w:i/>
    </w:rPr>
  </w:style>
  <w:style w:type="paragraph" w:customStyle="1" w:styleId="sejunctio">
    <w:name w:val="sejunctio"/>
    <w:next w:val="Normal"/>
    <w:uiPriority w:val="9"/>
    <w:qFormat/>
    <w:rsid w:val="007433F0"/>
    <w:pPr>
      <w:jc w:val="center"/>
    </w:pPr>
    <w:rPr>
      <w:rFonts w:ascii="Times New Roman" w:hAnsi="Times New Roman"/>
      <w:b/>
      <w:sz w:val="25"/>
      <w:szCs w:val="22"/>
      <w:lang w:eastAsia="en-US" w:bidi="ar-SA"/>
    </w:rPr>
  </w:style>
  <w:style w:type="paragraph" w:customStyle="1" w:styleId="absconditus">
    <w:name w:val="absconditus"/>
    <w:basedOn w:val="Normal"/>
    <w:next w:val="Normal"/>
    <w:uiPriority w:val="29"/>
    <w:qFormat/>
    <w:rsid w:val="007D6800"/>
    <w:rPr>
      <w:rFonts w:eastAsiaTheme="minorHAnsi" w:cstheme="minorBidi"/>
      <w:b/>
      <w:vanish/>
      <w:color w:val="FF0000"/>
    </w:rPr>
  </w:style>
  <w:style w:type="paragraph" w:customStyle="1" w:styleId="fl">
    <w:name w:val="fl"/>
    <w:uiPriority w:val="9"/>
    <w:qFormat/>
    <w:rsid w:val="007D6800"/>
    <w:pPr>
      <w:jc w:val="both"/>
    </w:pPr>
    <w:rPr>
      <w:rFonts w:ascii="Times New Roman" w:hAnsi="Times New Roman"/>
      <w:sz w:val="24"/>
      <w:szCs w:val="22"/>
      <w:lang w:val="en-GB" w:bidi="ar-SA"/>
    </w:rPr>
  </w:style>
  <w:style w:type="paragraph" w:customStyle="1" w:styleId="flv">
    <w:name w:val="flv"/>
    <w:basedOn w:val="fl"/>
    <w:uiPriority w:val="9"/>
    <w:qFormat/>
    <w:rsid w:val="007D6800"/>
    <w:pPr>
      <w:ind w:left="284" w:hanging="284"/>
    </w:pPr>
  </w:style>
  <w:style w:type="paragraph" w:customStyle="1" w:styleId="tabtit">
    <w:name w:val="tabtit"/>
    <w:next w:val="sejunctio"/>
    <w:uiPriority w:val="9"/>
    <w:qFormat/>
    <w:rsid w:val="009052ED"/>
    <w:pPr>
      <w:keepNext/>
      <w:jc w:val="center"/>
    </w:pPr>
    <w:rPr>
      <w:rFonts w:ascii="Times New Roman" w:eastAsia="MS Mincho" w:hAnsi="Times New Roman"/>
      <w:b/>
      <w:sz w:val="32"/>
      <w:szCs w:val="22"/>
      <w:lang w:bidi="ar-SA"/>
    </w:rPr>
  </w:style>
  <w:style w:type="paragraph" w:customStyle="1" w:styleId="u00">
    <w:name w:val="u00"/>
    <w:next w:val="u00a"/>
    <w:uiPriority w:val="9"/>
    <w:qFormat/>
    <w:rsid w:val="00E20B4C"/>
    <w:pPr>
      <w:keepNext/>
      <w:spacing w:before="140" w:after="140"/>
      <w:contextualSpacing/>
      <w:jc w:val="center"/>
    </w:pPr>
    <w:rPr>
      <w:rFonts w:ascii="Times New Roman" w:hAnsi="Times New Roman"/>
      <w:b/>
      <w:sz w:val="44"/>
      <w:szCs w:val="22"/>
      <w:lang w:eastAsia="en-US" w:bidi="ar-SA"/>
    </w:rPr>
  </w:style>
  <w:style w:type="paragraph" w:customStyle="1" w:styleId="u00a">
    <w:name w:val="u00a"/>
    <w:basedOn w:val="u00"/>
    <w:next w:val="Normal"/>
    <w:uiPriority w:val="9"/>
    <w:qFormat/>
    <w:rsid w:val="00FB0ACA"/>
    <w:rPr>
      <w:sz w:val="30"/>
    </w:rPr>
  </w:style>
  <w:style w:type="paragraph" w:customStyle="1" w:styleId="impara5">
    <w:name w:val="impara5"/>
    <w:basedOn w:val="impar"/>
    <w:uiPriority w:val="9"/>
    <w:qFormat/>
    <w:rsid w:val="007D6800"/>
    <w:pPr>
      <w:tabs>
        <w:tab w:val="clear" w:pos="9809"/>
        <w:tab w:val="clear" w:pos="10376"/>
        <w:tab w:val="right" w:pos="7371"/>
      </w:tabs>
    </w:pPr>
  </w:style>
  <w:style w:type="paragraph" w:customStyle="1" w:styleId="sy1">
    <w:name w:val="sy1"/>
    <w:uiPriority w:val="9"/>
    <w:qFormat/>
    <w:rsid w:val="007D6800"/>
    <w:pPr>
      <w:keepNext/>
      <w:tabs>
        <w:tab w:val="right" w:leader="dot" w:pos="4933"/>
      </w:tabs>
      <w:spacing w:before="100"/>
      <w:ind w:left="142" w:hanging="142"/>
    </w:pPr>
    <w:rPr>
      <w:rFonts w:ascii="Times New Roman" w:hAnsi="Times New Roman"/>
      <w:b/>
      <w:sz w:val="23"/>
      <w:szCs w:val="24"/>
      <w:lang w:eastAsia="en-US" w:bidi="ar-SA"/>
    </w:rPr>
  </w:style>
  <w:style w:type="paragraph" w:customStyle="1" w:styleId="sy1c">
    <w:name w:val="sy1c"/>
    <w:basedOn w:val="sy1"/>
    <w:uiPriority w:val="9"/>
    <w:qFormat/>
    <w:rsid w:val="007D6800"/>
    <w:pPr>
      <w:ind w:left="0" w:firstLine="0"/>
      <w:jc w:val="center"/>
    </w:pPr>
  </w:style>
  <w:style w:type="paragraph" w:customStyle="1" w:styleId="clatritit">
    <w:name w:val="clatritit"/>
    <w:uiPriority w:val="9"/>
    <w:qFormat/>
    <w:rsid w:val="007D6800"/>
    <w:pPr>
      <w:jc w:val="center"/>
    </w:pPr>
    <w:rPr>
      <w:rFonts w:ascii="Times New Roman" w:hAnsi="Times New Roman"/>
      <w:smallCaps/>
      <w:sz w:val="25"/>
      <w:szCs w:val="22"/>
      <w:lang w:eastAsia="en-US" w:bidi="ar-SA"/>
    </w:rPr>
  </w:style>
  <w:style w:type="paragraph" w:customStyle="1" w:styleId="celig">
    <w:name w:val="celig"/>
    <w:basedOn w:val="centrum"/>
    <w:next w:val="titulus"/>
    <w:uiPriority w:val="9"/>
    <w:qFormat/>
    <w:rsid w:val="007D6800"/>
    <w:pPr>
      <w:keepNext/>
      <w:spacing w:before="140" w:after="140"/>
    </w:pPr>
    <w:rPr>
      <w:noProof/>
      <w:lang w:bidi="he-IL"/>
    </w:rPr>
  </w:style>
  <w:style w:type="paragraph" w:customStyle="1" w:styleId="bc2">
    <w:name w:val="bc2"/>
    <w:uiPriority w:val="14"/>
    <w:qFormat/>
    <w:rsid w:val="007D6800"/>
    <w:pPr>
      <w:keepNext/>
    </w:pPr>
    <w:rPr>
      <w:rFonts w:ascii="Times New Roman" w:hAnsi="Times New Roman"/>
      <w:sz w:val="23"/>
      <w:szCs w:val="22"/>
      <w:lang w:bidi="ar-SA"/>
    </w:rPr>
  </w:style>
  <w:style w:type="paragraph" w:customStyle="1" w:styleId="tabula">
    <w:name w:val="tabula"/>
    <w:basedOn w:val="Normal"/>
    <w:qFormat/>
    <w:rsid w:val="007D6800"/>
    <w:pPr>
      <w:ind w:firstLine="0"/>
      <w:jc w:val="left"/>
    </w:pPr>
    <w:rPr>
      <w:lang w:eastAsia="fr-FR"/>
    </w:rPr>
  </w:style>
  <w:style w:type="character" w:customStyle="1" w:styleId="cabsconditus">
    <w:name w:val="cabsconditus"/>
    <w:uiPriority w:val="1"/>
    <w:qFormat/>
    <w:rsid w:val="007D6800"/>
    <w:rPr>
      <w:vanish/>
      <w:color w:val="FFC000"/>
    </w:rPr>
  </w:style>
  <w:style w:type="paragraph" w:customStyle="1" w:styleId="niplcv">
    <w:name w:val="niplcv"/>
    <w:basedOn w:val="Notedebasdepage"/>
    <w:uiPriority w:val="9"/>
    <w:qFormat/>
    <w:rsid w:val="007D6800"/>
    <w:pPr>
      <w:spacing w:before="60" w:after="60"/>
      <w:ind w:left="851" w:hanging="284"/>
      <w:contextualSpacing/>
    </w:pPr>
  </w:style>
  <w:style w:type="character" w:customStyle="1" w:styleId="VocNot">
    <w:name w:val="VocNot"/>
    <w:uiPriority w:val="1"/>
    <w:qFormat/>
    <w:rsid w:val="007D6800"/>
    <w:rPr>
      <w:rFonts w:ascii="Verdana" w:hAnsi="Verdana"/>
      <w:color w:val="006600"/>
      <w:vertAlign w:val="superscript"/>
    </w:rPr>
  </w:style>
  <w:style w:type="paragraph" w:customStyle="1" w:styleId="uCentrum">
    <w:name w:val="uCentrum"/>
    <w:qFormat/>
    <w:rsid w:val="007D6800"/>
    <w:pPr>
      <w:keepNext/>
      <w:spacing w:before="80" w:after="80"/>
      <w:contextualSpacing/>
      <w:jc w:val="center"/>
    </w:pPr>
    <w:rPr>
      <w:rFonts w:ascii="Times New Roman" w:eastAsia="Times New Roman" w:hAnsi="Times New Roman"/>
      <w:sz w:val="25"/>
      <w:lang w:bidi="ar-SA"/>
    </w:rPr>
  </w:style>
  <w:style w:type="character" w:customStyle="1" w:styleId="LaIt">
    <w:name w:val="LaIt"/>
    <w:qFormat/>
    <w:rsid w:val="007D6800"/>
    <w:rPr>
      <w:i/>
      <w:color w:val="7030A0"/>
      <w:lang w:val="en-GB"/>
    </w:rPr>
  </w:style>
  <w:style w:type="paragraph" w:customStyle="1" w:styleId="u00b">
    <w:name w:val="u00b"/>
    <w:basedOn w:val="u00"/>
    <w:uiPriority w:val="9"/>
    <w:qFormat/>
    <w:rsid w:val="00654CB3"/>
    <w:pPr>
      <w:spacing w:before="0" w:after="0"/>
    </w:pPr>
    <w:rPr>
      <w:sz w:val="30"/>
    </w:rPr>
  </w:style>
  <w:style w:type="paragraph" w:customStyle="1" w:styleId="Latina">
    <w:name w:val="Latina"/>
    <w:basedOn w:val="Normal"/>
    <w:uiPriority w:val="9"/>
    <w:qFormat/>
    <w:rsid w:val="007D6800"/>
    <w:rPr>
      <w:color w:val="800080"/>
      <w:lang w:val="en-GB"/>
    </w:rPr>
  </w:style>
  <w:style w:type="paragraph" w:customStyle="1" w:styleId="alinea2">
    <w:name w:val="alinea2"/>
    <w:basedOn w:val="Normal"/>
    <w:uiPriority w:val="9"/>
    <w:qFormat/>
    <w:rsid w:val="007D6800"/>
    <w:pPr>
      <w:ind w:left="284" w:firstLine="0"/>
    </w:pPr>
  </w:style>
  <w:style w:type="paragraph" w:customStyle="1" w:styleId="nsrsj">
    <w:name w:val="nsrsj"/>
    <w:basedOn w:val="nsr"/>
    <w:uiPriority w:val="9"/>
    <w:qFormat/>
    <w:rsid w:val="007D6800"/>
    <w:pPr>
      <w:jc w:val="left"/>
    </w:pPr>
  </w:style>
  <w:style w:type="paragraph" w:customStyle="1" w:styleId="lcv">
    <w:name w:val="lcv"/>
    <w:basedOn w:val="Normal"/>
    <w:uiPriority w:val="9"/>
    <w:qFormat/>
    <w:rsid w:val="009F7357"/>
    <w:pPr>
      <w:spacing w:before="140" w:after="140"/>
      <w:ind w:left="851" w:hanging="284"/>
      <w:contextualSpacing/>
    </w:pPr>
    <w:rPr>
      <w:sz w:val="23"/>
    </w:rPr>
  </w:style>
  <w:style w:type="paragraph" w:customStyle="1" w:styleId="exergue">
    <w:name w:val="exergue"/>
    <w:uiPriority w:val="9"/>
    <w:qFormat/>
    <w:rsid w:val="002671AD"/>
    <w:pPr>
      <w:ind w:left="1134" w:firstLine="284"/>
      <w:jc w:val="both"/>
    </w:pPr>
    <w:rPr>
      <w:rFonts w:ascii="Times New Roman" w:hAnsi="Times New Roman"/>
      <w:sz w:val="24"/>
      <w:szCs w:val="22"/>
      <w:lang w:eastAsia="en-US" w:bidi="ar-SA"/>
    </w:rPr>
  </w:style>
  <w:style w:type="paragraph" w:customStyle="1" w:styleId="alinea">
    <w:name w:val="alinea"/>
    <w:basedOn w:val="Normal"/>
    <w:qFormat/>
    <w:rsid w:val="007D6800"/>
    <w:pPr>
      <w:ind w:left="284" w:hanging="284"/>
    </w:pPr>
  </w:style>
  <w:style w:type="paragraph" w:customStyle="1" w:styleId="sy2">
    <w:name w:val="sy2"/>
    <w:basedOn w:val="Normal"/>
    <w:uiPriority w:val="9"/>
    <w:qFormat/>
    <w:rsid w:val="009F7357"/>
    <w:pPr>
      <w:tabs>
        <w:tab w:val="right" w:leader="dot" w:pos="4933"/>
      </w:tabs>
      <w:ind w:left="142" w:hanging="142"/>
      <w:jc w:val="left"/>
    </w:pPr>
    <w:rPr>
      <w:sz w:val="22"/>
      <w:szCs w:val="24"/>
    </w:rPr>
  </w:style>
  <w:style w:type="paragraph" w:customStyle="1" w:styleId="sy3">
    <w:name w:val="sy3"/>
    <w:basedOn w:val="sy2"/>
    <w:uiPriority w:val="9"/>
    <w:qFormat/>
    <w:rsid w:val="008F45C1"/>
    <w:pPr>
      <w:ind w:left="426"/>
    </w:pPr>
  </w:style>
  <w:style w:type="paragraph" w:customStyle="1" w:styleId="AliTab">
    <w:name w:val="AliTab"/>
    <w:basedOn w:val="alinea"/>
    <w:uiPriority w:val="9"/>
    <w:qFormat/>
    <w:rsid w:val="007D6800"/>
    <w:pPr>
      <w:ind w:left="1701" w:hanging="1701"/>
    </w:pPr>
  </w:style>
  <w:style w:type="paragraph" w:customStyle="1" w:styleId="u00p">
    <w:name w:val="u00p"/>
    <w:basedOn w:val="u00"/>
    <w:uiPriority w:val="9"/>
    <w:qFormat/>
    <w:rsid w:val="007D6800"/>
    <w:rPr>
      <w:sz w:val="30"/>
    </w:rPr>
  </w:style>
  <w:style w:type="paragraph" w:customStyle="1" w:styleId="sy1cSub">
    <w:name w:val="sy1cSub"/>
    <w:basedOn w:val="sy1c"/>
    <w:uiPriority w:val="9"/>
    <w:qFormat/>
    <w:rsid w:val="007D6800"/>
    <w:pPr>
      <w:tabs>
        <w:tab w:val="clear" w:pos="4933"/>
        <w:tab w:val="right" w:leader="dot" w:pos="7145"/>
      </w:tabs>
      <w:spacing w:before="0" w:after="100"/>
    </w:pPr>
    <w:rPr>
      <w:b w:val="0"/>
    </w:rPr>
  </w:style>
  <w:style w:type="paragraph" w:customStyle="1" w:styleId="sy2Sub">
    <w:name w:val="sy2Sub"/>
    <w:basedOn w:val="sy2"/>
    <w:uiPriority w:val="9"/>
    <w:qFormat/>
    <w:rsid w:val="007D6800"/>
    <w:pPr>
      <w:keepNext/>
      <w:tabs>
        <w:tab w:val="clear" w:pos="4933"/>
        <w:tab w:val="right" w:leader="dot" w:pos="7145"/>
      </w:tabs>
      <w:spacing w:after="100"/>
      <w:ind w:left="0" w:firstLine="0"/>
    </w:pPr>
  </w:style>
  <w:style w:type="paragraph" w:customStyle="1" w:styleId="LcCentrum">
    <w:name w:val="LcCentrum"/>
    <w:basedOn w:val="locus"/>
    <w:uiPriority w:val="9"/>
    <w:qFormat/>
    <w:rsid w:val="000D4F31"/>
    <w:pPr>
      <w:jc w:val="center"/>
    </w:pPr>
  </w:style>
  <w:style w:type="paragraph" w:customStyle="1" w:styleId="ConcSy">
    <w:name w:val="ConcSy"/>
    <w:basedOn w:val="locus"/>
    <w:uiPriority w:val="9"/>
    <w:qFormat/>
    <w:rsid w:val="002F0462"/>
    <w:pPr>
      <w:tabs>
        <w:tab w:val="left" w:pos="567"/>
      </w:tabs>
      <w:ind w:left="1701" w:hanging="1701"/>
    </w:pPr>
  </w:style>
  <w:style w:type="paragraph" w:customStyle="1" w:styleId="st1">
    <w:name w:val="st1"/>
    <w:uiPriority w:val="9"/>
    <w:qFormat/>
    <w:rsid w:val="00FD0BB0"/>
    <w:pPr>
      <w:keepNext/>
      <w:spacing w:before="80" w:after="80"/>
      <w:jc w:val="center"/>
    </w:pPr>
    <w:rPr>
      <w:rFonts w:ascii="Times New Roman" w:hAnsi="Times New Roman"/>
      <w:sz w:val="32"/>
      <w:szCs w:val="22"/>
      <w:lang w:eastAsia="en-US" w:bidi="ar-SA"/>
    </w:rPr>
  </w:style>
  <w:style w:type="paragraph" w:customStyle="1" w:styleId="index1">
    <w:name w:val="index1"/>
    <w:basedOn w:val="Normal"/>
    <w:uiPriority w:val="9"/>
    <w:qFormat/>
    <w:rsid w:val="00523582"/>
    <w:pPr>
      <w:ind w:left="284" w:hanging="284"/>
    </w:pPr>
  </w:style>
  <w:style w:type="character" w:customStyle="1" w:styleId="pinguis">
    <w:name w:val="pinguis"/>
    <w:uiPriority w:val="1"/>
    <w:qFormat/>
    <w:rsid w:val="00523582"/>
    <w:rPr>
      <w:b/>
    </w:rPr>
  </w:style>
  <w:style w:type="paragraph" w:styleId="Citation">
    <w:name w:val="Quote"/>
    <w:basedOn w:val="Normal"/>
    <w:next w:val="Normal"/>
    <w:link w:val="CitationCar"/>
    <w:uiPriority w:val="29"/>
    <w:qFormat/>
    <w:rsid w:val="00317656"/>
    <w:pPr>
      <w:ind w:firstLine="0"/>
    </w:pPr>
    <w:rPr>
      <w:rFonts w:eastAsia="Times New Roman"/>
      <w:sz w:val="22"/>
      <w:szCs w:val="20"/>
      <w:lang w:eastAsia="fr-FR"/>
    </w:rPr>
  </w:style>
  <w:style w:type="character" w:customStyle="1" w:styleId="CitationCar">
    <w:name w:val="Citation Car"/>
    <w:basedOn w:val="Policepardfaut"/>
    <w:link w:val="Citation"/>
    <w:uiPriority w:val="29"/>
    <w:rsid w:val="00220555"/>
    <w:rPr>
      <w:rFonts w:ascii="Times New Roman" w:eastAsia="Times New Roman" w:hAnsi="Times New Roman"/>
      <w:sz w:val="22"/>
      <w:lang w:bidi="ar-SA"/>
    </w:rPr>
  </w:style>
  <w:style w:type="paragraph" w:styleId="Listepuces">
    <w:name w:val="List Bullet"/>
    <w:basedOn w:val="Normal"/>
    <w:uiPriority w:val="29"/>
    <w:rsid w:val="00317656"/>
    <w:pPr>
      <w:numPr>
        <w:numId w:val="6"/>
      </w:numPr>
      <w:contextualSpacing/>
    </w:pPr>
    <w:rPr>
      <w:rFonts w:eastAsia="Times New Roman"/>
      <w:szCs w:val="20"/>
      <w:lang w:eastAsia="fr-FR"/>
    </w:rPr>
  </w:style>
  <w:style w:type="paragraph" w:styleId="Rvision">
    <w:name w:val="Revision"/>
    <w:uiPriority w:val="29"/>
    <w:rsid w:val="00317656"/>
    <w:rPr>
      <w:rFonts w:ascii="Times New Roman" w:eastAsia="Times New Roman" w:hAnsi="Times New Roman"/>
      <w:sz w:val="23"/>
      <w:lang w:bidi="ar-SA"/>
    </w:rPr>
  </w:style>
  <w:style w:type="paragraph" w:styleId="Commentaire">
    <w:name w:val="annotation text"/>
    <w:basedOn w:val="Normal"/>
    <w:link w:val="CommentaireCar"/>
    <w:uiPriority w:val="29"/>
    <w:rsid w:val="00317656"/>
    <w:pPr>
      <w:ind w:firstLine="283"/>
    </w:pPr>
    <w:rPr>
      <w:rFonts w:eastAsia="Times New Roman"/>
      <w:sz w:val="20"/>
      <w:szCs w:val="20"/>
      <w:lang w:eastAsia="fr-FR"/>
    </w:rPr>
  </w:style>
  <w:style w:type="character" w:customStyle="1" w:styleId="CommentaireCar">
    <w:name w:val="Commentaire Car"/>
    <w:basedOn w:val="Policepardfaut"/>
    <w:link w:val="Commentaire"/>
    <w:uiPriority w:val="29"/>
    <w:rsid w:val="00220555"/>
    <w:rPr>
      <w:rFonts w:ascii="Times New Roman" w:eastAsia="Times New Roman" w:hAnsi="Times New Roman"/>
      <w:lang w:bidi="ar-SA"/>
    </w:rPr>
  </w:style>
  <w:style w:type="paragraph" w:customStyle="1" w:styleId="st2">
    <w:name w:val="st2"/>
    <w:basedOn w:val="st1"/>
    <w:uiPriority w:val="9"/>
    <w:qFormat/>
    <w:rsid w:val="000E05E6"/>
    <w:rPr>
      <w:b/>
    </w:rPr>
  </w:style>
  <w:style w:type="paragraph" w:customStyle="1" w:styleId="subscriptio">
    <w:name w:val="subscriptio"/>
    <w:basedOn w:val="dextra"/>
    <w:uiPriority w:val="9"/>
    <w:qFormat/>
    <w:rsid w:val="009D58B1"/>
    <w:pPr>
      <w:ind w:right="1134"/>
    </w:pPr>
  </w:style>
</w:styles>
</file>

<file path=word/webSettings.xml><?xml version="1.0" encoding="utf-8"?>
<w:webSettings xmlns:r="http://schemas.openxmlformats.org/officeDocument/2006/relationships" xmlns:w="http://schemas.openxmlformats.org/wordprocessingml/2006/main">
  <w:divs>
    <w:div w:id="11341706">
      <w:bodyDiv w:val="1"/>
      <w:marLeft w:val="0"/>
      <w:marRight w:val="0"/>
      <w:marTop w:val="0"/>
      <w:marBottom w:val="0"/>
      <w:divBdr>
        <w:top w:val="none" w:sz="0" w:space="0" w:color="auto"/>
        <w:left w:val="none" w:sz="0" w:space="0" w:color="auto"/>
        <w:bottom w:val="none" w:sz="0" w:space="0" w:color="auto"/>
        <w:right w:val="none" w:sz="0" w:space="0" w:color="auto"/>
      </w:divBdr>
      <w:divsChild>
        <w:div w:id="1703550948">
          <w:marLeft w:val="0"/>
          <w:marRight w:val="0"/>
          <w:marTop w:val="0"/>
          <w:marBottom w:val="0"/>
          <w:divBdr>
            <w:top w:val="none" w:sz="0" w:space="0" w:color="auto"/>
            <w:left w:val="none" w:sz="0" w:space="0" w:color="auto"/>
            <w:bottom w:val="none" w:sz="0" w:space="0" w:color="auto"/>
            <w:right w:val="none" w:sz="0" w:space="0" w:color="auto"/>
          </w:divBdr>
          <w:divsChild>
            <w:div w:id="61488959">
              <w:marLeft w:val="0"/>
              <w:marRight w:val="0"/>
              <w:marTop w:val="0"/>
              <w:marBottom w:val="0"/>
              <w:divBdr>
                <w:top w:val="none" w:sz="0" w:space="0" w:color="auto"/>
                <w:left w:val="none" w:sz="0" w:space="0" w:color="auto"/>
                <w:bottom w:val="none" w:sz="0" w:space="0" w:color="auto"/>
                <w:right w:val="none" w:sz="0" w:space="0" w:color="auto"/>
              </w:divBdr>
            </w:div>
            <w:div w:id="80370984">
              <w:marLeft w:val="0"/>
              <w:marRight w:val="0"/>
              <w:marTop w:val="0"/>
              <w:marBottom w:val="0"/>
              <w:divBdr>
                <w:top w:val="none" w:sz="0" w:space="0" w:color="auto"/>
                <w:left w:val="none" w:sz="0" w:space="0" w:color="auto"/>
                <w:bottom w:val="none" w:sz="0" w:space="0" w:color="auto"/>
                <w:right w:val="none" w:sz="0" w:space="0" w:color="auto"/>
              </w:divBdr>
            </w:div>
            <w:div w:id="126553859">
              <w:marLeft w:val="0"/>
              <w:marRight w:val="0"/>
              <w:marTop w:val="0"/>
              <w:marBottom w:val="0"/>
              <w:divBdr>
                <w:top w:val="none" w:sz="0" w:space="0" w:color="auto"/>
                <w:left w:val="none" w:sz="0" w:space="0" w:color="auto"/>
                <w:bottom w:val="none" w:sz="0" w:space="0" w:color="auto"/>
                <w:right w:val="none" w:sz="0" w:space="0" w:color="auto"/>
              </w:divBdr>
            </w:div>
            <w:div w:id="136267827">
              <w:marLeft w:val="0"/>
              <w:marRight w:val="0"/>
              <w:marTop w:val="0"/>
              <w:marBottom w:val="0"/>
              <w:divBdr>
                <w:top w:val="none" w:sz="0" w:space="0" w:color="auto"/>
                <w:left w:val="none" w:sz="0" w:space="0" w:color="auto"/>
                <w:bottom w:val="none" w:sz="0" w:space="0" w:color="auto"/>
                <w:right w:val="none" w:sz="0" w:space="0" w:color="auto"/>
              </w:divBdr>
            </w:div>
            <w:div w:id="157119576">
              <w:marLeft w:val="0"/>
              <w:marRight w:val="0"/>
              <w:marTop w:val="0"/>
              <w:marBottom w:val="0"/>
              <w:divBdr>
                <w:top w:val="none" w:sz="0" w:space="0" w:color="auto"/>
                <w:left w:val="none" w:sz="0" w:space="0" w:color="auto"/>
                <w:bottom w:val="none" w:sz="0" w:space="0" w:color="auto"/>
                <w:right w:val="none" w:sz="0" w:space="0" w:color="auto"/>
              </w:divBdr>
            </w:div>
            <w:div w:id="204680159">
              <w:marLeft w:val="0"/>
              <w:marRight w:val="0"/>
              <w:marTop w:val="0"/>
              <w:marBottom w:val="0"/>
              <w:divBdr>
                <w:top w:val="none" w:sz="0" w:space="0" w:color="auto"/>
                <w:left w:val="none" w:sz="0" w:space="0" w:color="auto"/>
                <w:bottom w:val="none" w:sz="0" w:space="0" w:color="auto"/>
                <w:right w:val="none" w:sz="0" w:space="0" w:color="auto"/>
              </w:divBdr>
            </w:div>
            <w:div w:id="239874879">
              <w:marLeft w:val="0"/>
              <w:marRight w:val="0"/>
              <w:marTop w:val="0"/>
              <w:marBottom w:val="0"/>
              <w:divBdr>
                <w:top w:val="none" w:sz="0" w:space="0" w:color="auto"/>
                <w:left w:val="none" w:sz="0" w:space="0" w:color="auto"/>
                <w:bottom w:val="none" w:sz="0" w:space="0" w:color="auto"/>
                <w:right w:val="none" w:sz="0" w:space="0" w:color="auto"/>
              </w:divBdr>
            </w:div>
            <w:div w:id="514921630">
              <w:marLeft w:val="0"/>
              <w:marRight w:val="0"/>
              <w:marTop w:val="0"/>
              <w:marBottom w:val="0"/>
              <w:divBdr>
                <w:top w:val="none" w:sz="0" w:space="0" w:color="auto"/>
                <w:left w:val="none" w:sz="0" w:space="0" w:color="auto"/>
                <w:bottom w:val="none" w:sz="0" w:space="0" w:color="auto"/>
                <w:right w:val="none" w:sz="0" w:space="0" w:color="auto"/>
              </w:divBdr>
            </w:div>
            <w:div w:id="536045061">
              <w:marLeft w:val="0"/>
              <w:marRight w:val="0"/>
              <w:marTop w:val="0"/>
              <w:marBottom w:val="0"/>
              <w:divBdr>
                <w:top w:val="none" w:sz="0" w:space="0" w:color="auto"/>
                <w:left w:val="none" w:sz="0" w:space="0" w:color="auto"/>
                <w:bottom w:val="none" w:sz="0" w:space="0" w:color="auto"/>
                <w:right w:val="none" w:sz="0" w:space="0" w:color="auto"/>
              </w:divBdr>
            </w:div>
            <w:div w:id="564225101">
              <w:marLeft w:val="0"/>
              <w:marRight w:val="0"/>
              <w:marTop w:val="0"/>
              <w:marBottom w:val="0"/>
              <w:divBdr>
                <w:top w:val="none" w:sz="0" w:space="0" w:color="auto"/>
                <w:left w:val="none" w:sz="0" w:space="0" w:color="auto"/>
                <w:bottom w:val="none" w:sz="0" w:space="0" w:color="auto"/>
                <w:right w:val="none" w:sz="0" w:space="0" w:color="auto"/>
              </w:divBdr>
            </w:div>
            <w:div w:id="597445614">
              <w:marLeft w:val="0"/>
              <w:marRight w:val="0"/>
              <w:marTop w:val="0"/>
              <w:marBottom w:val="0"/>
              <w:divBdr>
                <w:top w:val="none" w:sz="0" w:space="0" w:color="auto"/>
                <w:left w:val="none" w:sz="0" w:space="0" w:color="auto"/>
                <w:bottom w:val="none" w:sz="0" w:space="0" w:color="auto"/>
                <w:right w:val="none" w:sz="0" w:space="0" w:color="auto"/>
              </w:divBdr>
            </w:div>
            <w:div w:id="610476365">
              <w:marLeft w:val="0"/>
              <w:marRight w:val="0"/>
              <w:marTop w:val="0"/>
              <w:marBottom w:val="0"/>
              <w:divBdr>
                <w:top w:val="none" w:sz="0" w:space="0" w:color="auto"/>
                <w:left w:val="none" w:sz="0" w:space="0" w:color="auto"/>
                <w:bottom w:val="none" w:sz="0" w:space="0" w:color="auto"/>
                <w:right w:val="none" w:sz="0" w:space="0" w:color="auto"/>
              </w:divBdr>
            </w:div>
            <w:div w:id="888607720">
              <w:marLeft w:val="0"/>
              <w:marRight w:val="0"/>
              <w:marTop w:val="0"/>
              <w:marBottom w:val="0"/>
              <w:divBdr>
                <w:top w:val="none" w:sz="0" w:space="0" w:color="auto"/>
                <w:left w:val="none" w:sz="0" w:space="0" w:color="auto"/>
                <w:bottom w:val="none" w:sz="0" w:space="0" w:color="auto"/>
                <w:right w:val="none" w:sz="0" w:space="0" w:color="auto"/>
              </w:divBdr>
            </w:div>
            <w:div w:id="1067923896">
              <w:marLeft w:val="0"/>
              <w:marRight w:val="0"/>
              <w:marTop w:val="0"/>
              <w:marBottom w:val="0"/>
              <w:divBdr>
                <w:top w:val="none" w:sz="0" w:space="0" w:color="auto"/>
                <w:left w:val="none" w:sz="0" w:space="0" w:color="auto"/>
                <w:bottom w:val="none" w:sz="0" w:space="0" w:color="auto"/>
                <w:right w:val="none" w:sz="0" w:space="0" w:color="auto"/>
              </w:divBdr>
            </w:div>
            <w:div w:id="1158576921">
              <w:marLeft w:val="0"/>
              <w:marRight w:val="0"/>
              <w:marTop w:val="0"/>
              <w:marBottom w:val="0"/>
              <w:divBdr>
                <w:top w:val="none" w:sz="0" w:space="0" w:color="auto"/>
                <w:left w:val="none" w:sz="0" w:space="0" w:color="auto"/>
                <w:bottom w:val="none" w:sz="0" w:space="0" w:color="auto"/>
                <w:right w:val="none" w:sz="0" w:space="0" w:color="auto"/>
              </w:divBdr>
            </w:div>
            <w:div w:id="1180659407">
              <w:marLeft w:val="0"/>
              <w:marRight w:val="0"/>
              <w:marTop w:val="0"/>
              <w:marBottom w:val="0"/>
              <w:divBdr>
                <w:top w:val="none" w:sz="0" w:space="0" w:color="auto"/>
                <w:left w:val="none" w:sz="0" w:space="0" w:color="auto"/>
                <w:bottom w:val="none" w:sz="0" w:space="0" w:color="auto"/>
                <w:right w:val="none" w:sz="0" w:space="0" w:color="auto"/>
              </w:divBdr>
            </w:div>
            <w:div w:id="1259754007">
              <w:marLeft w:val="0"/>
              <w:marRight w:val="0"/>
              <w:marTop w:val="0"/>
              <w:marBottom w:val="0"/>
              <w:divBdr>
                <w:top w:val="none" w:sz="0" w:space="0" w:color="auto"/>
                <w:left w:val="none" w:sz="0" w:space="0" w:color="auto"/>
                <w:bottom w:val="none" w:sz="0" w:space="0" w:color="auto"/>
                <w:right w:val="none" w:sz="0" w:space="0" w:color="auto"/>
              </w:divBdr>
            </w:div>
            <w:div w:id="1272475203">
              <w:marLeft w:val="0"/>
              <w:marRight w:val="0"/>
              <w:marTop w:val="0"/>
              <w:marBottom w:val="0"/>
              <w:divBdr>
                <w:top w:val="none" w:sz="0" w:space="0" w:color="auto"/>
                <w:left w:val="none" w:sz="0" w:space="0" w:color="auto"/>
                <w:bottom w:val="none" w:sz="0" w:space="0" w:color="auto"/>
                <w:right w:val="none" w:sz="0" w:space="0" w:color="auto"/>
              </w:divBdr>
            </w:div>
            <w:div w:id="1452505954">
              <w:marLeft w:val="0"/>
              <w:marRight w:val="0"/>
              <w:marTop w:val="0"/>
              <w:marBottom w:val="0"/>
              <w:divBdr>
                <w:top w:val="none" w:sz="0" w:space="0" w:color="auto"/>
                <w:left w:val="none" w:sz="0" w:space="0" w:color="auto"/>
                <w:bottom w:val="none" w:sz="0" w:space="0" w:color="auto"/>
                <w:right w:val="none" w:sz="0" w:space="0" w:color="auto"/>
              </w:divBdr>
            </w:div>
            <w:div w:id="1645964484">
              <w:marLeft w:val="0"/>
              <w:marRight w:val="0"/>
              <w:marTop w:val="0"/>
              <w:marBottom w:val="0"/>
              <w:divBdr>
                <w:top w:val="none" w:sz="0" w:space="0" w:color="auto"/>
                <w:left w:val="none" w:sz="0" w:space="0" w:color="auto"/>
                <w:bottom w:val="none" w:sz="0" w:space="0" w:color="auto"/>
                <w:right w:val="none" w:sz="0" w:space="0" w:color="auto"/>
              </w:divBdr>
            </w:div>
            <w:div w:id="1704359419">
              <w:marLeft w:val="0"/>
              <w:marRight w:val="0"/>
              <w:marTop w:val="0"/>
              <w:marBottom w:val="0"/>
              <w:divBdr>
                <w:top w:val="none" w:sz="0" w:space="0" w:color="auto"/>
                <w:left w:val="none" w:sz="0" w:space="0" w:color="auto"/>
                <w:bottom w:val="none" w:sz="0" w:space="0" w:color="auto"/>
                <w:right w:val="none" w:sz="0" w:space="0" w:color="auto"/>
              </w:divBdr>
            </w:div>
            <w:div w:id="1774977203">
              <w:marLeft w:val="0"/>
              <w:marRight w:val="0"/>
              <w:marTop w:val="0"/>
              <w:marBottom w:val="0"/>
              <w:divBdr>
                <w:top w:val="none" w:sz="0" w:space="0" w:color="auto"/>
                <w:left w:val="none" w:sz="0" w:space="0" w:color="auto"/>
                <w:bottom w:val="none" w:sz="0" w:space="0" w:color="auto"/>
                <w:right w:val="none" w:sz="0" w:space="0" w:color="auto"/>
              </w:divBdr>
            </w:div>
            <w:div w:id="1829055805">
              <w:marLeft w:val="0"/>
              <w:marRight w:val="0"/>
              <w:marTop w:val="0"/>
              <w:marBottom w:val="0"/>
              <w:divBdr>
                <w:top w:val="none" w:sz="0" w:space="0" w:color="auto"/>
                <w:left w:val="none" w:sz="0" w:space="0" w:color="auto"/>
                <w:bottom w:val="none" w:sz="0" w:space="0" w:color="auto"/>
                <w:right w:val="none" w:sz="0" w:space="0" w:color="auto"/>
              </w:divBdr>
            </w:div>
            <w:div w:id="1928340971">
              <w:marLeft w:val="0"/>
              <w:marRight w:val="0"/>
              <w:marTop w:val="0"/>
              <w:marBottom w:val="0"/>
              <w:divBdr>
                <w:top w:val="none" w:sz="0" w:space="0" w:color="auto"/>
                <w:left w:val="none" w:sz="0" w:space="0" w:color="auto"/>
                <w:bottom w:val="none" w:sz="0" w:space="0" w:color="auto"/>
                <w:right w:val="none" w:sz="0" w:space="0" w:color="auto"/>
              </w:divBdr>
            </w:div>
            <w:div w:id="1978146990">
              <w:marLeft w:val="0"/>
              <w:marRight w:val="0"/>
              <w:marTop w:val="0"/>
              <w:marBottom w:val="0"/>
              <w:divBdr>
                <w:top w:val="none" w:sz="0" w:space="0" w:color="auto"/>
                <w:left w:val="none" w:sz="0" w:space="0" w:color="auto"/>
                <w:bottom w:val="none" w:sz="0" w:space="0" w:color="auto"/>
                <w:right w:val="none" w:sz="0" w:space="0" w:color="auto"/>
              </w:divBdr>
            </w:div>
            <w:div w:id="2020307092">
              <w:marLeft w:val="0"/>
              <w:marRight w:val="0"/>
              <w:marTop w:val="0"/>
              <w:marBottom w:val="0"/>
              <w:divBdr>
                <w:top w:val="none" w:sz="0" w:space="0" w:color="auto"/>
                <w:left w:val="none" w:sz="0" w:space="0" w:color="auto"/>
                <w:bottom w:val="none" w:sz="0" w:space="0" w:color="auto"/>
                <w:right w:val="none" w:sz="0" w:space="0" w:color="auto"/>
              </w:divBdr>
            </w:div>
            <w:div w:id="20779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315">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93012836">
      <w:bodyDiv w:val="1"/>
      <w:marLeft w:val="0"/>
      <w:marRight w:val="0"/>
      <w:marTop w:val="0"/>
      <w:marBottom w:val="0"/>
      <w:divBdr>
        <w:top w:val="none" w:sz="0" w:space="0" w:color="auto"/>
        <w:left w:val="none" w:sz="0" w:space="0" w:color="auto"/>
        <w:bottom w:val="none" w:sz="0" w:space="0" w:color="auto"/>
        <w:right w:val="none" w:sz="0" w:space="0" w:color="auto"/>
      </w:divBdr>
      <w:divsChild>
        <w:div w:id="25451361">
          <w:marLeft w:val="0"/>
          <w:marRight w:val="0"/>
          <w:marTop w:val="0"/>
          <w:marBottom w:val="0"/>
          <w:divBdr>
            <w:top w:val="none" w:sz="0" w:space="0" w:color="auto"/>
            <w:left w:val="none" w:sz="0" w:space="0" w:color="auto"/>
            <w:bottom w:val="none" w:sz="0" w:space="0" w:color="auto"/>
            <w:right w:val="none" w:sz="0" w:space="0" w:color="auto"/>
          </w:divBdr>
        </w:div>
        <w:div w:id="44061916">
          <w:marLeft w:val="0"/>
          <w:marRight w:val="0"/>
          <w:marTop w:val="0"/>
          <w:marBottom w:val="0"/>
          <w:divBdr>
            <w:top w:val="none" w:sz="0" w:space="0" w:color="auto"/>
            <w:left w:val="none" w:sz="0" w:space="0" w:color="auto"/>
            <w:bottom w:val="none" w:sz="0" w:space="0" w:color="auto"/>
            <w:right w:val="none" w:sz="0" w:space="0" w:color="auto"/>
          </w:divBdr>
        </w:div>
        <w:div w:id="52393329">
          <w:marLeft w:val="0"/>
          <w:marRight w:val="0"/>
          <w:marTop w:val="0"/>
          <w:marBottom w:val="0"/>
          <w:divBdr>
            <w:top w:val="none" w:sz="0" w:space="0" w:color="auto"/>
            <w:left w:val="none" w:sz="0" w:space="0" w:color="auto"/>
            <w:bottom w:val="none" w:sz="0" w:space="0" w:color="auto"/>
            <w:right w:val="none" w:sz="0" w:space="0" w:color="auto"/>
          </w:divBdr>
        </w:div>
        <w:div w:id="94982992">
          <w:marLeft w:val="0"/>
          <w:marRight w:val="0"/>
          <w:marTop w:val="0"/>
          <w:marBottom w:val="0"/>
          <w:divBdr>
            <w:top w:val="none" w:sz="0" w:space="0" w:color="auto"/>
            <w:left w:val="none" w:sz="0" w:space="0" w:color="auto"/>
            <w:bottom w:val="none" w:sz="0" w:space="0" w:color="auto"/>
            <w:right w:val="none" w:sz="0" w:space="0" w:color="auto"/>
          </w:divBdr>
        </w:div>
        <w:div w:id="103423635">
          <w:marLeft w:val="0"/>
          <w:marRight w:val="0"/>
          <w:marTop w:val="0"/>
          <w:marBottom w:val="0"/>
          <w:divBdr>
            <w:top w:val="none" w:sz="0" w:space="0" w:color="auto"/>
            <w:left w:val="none" w:sz="0" w:space="0" w:color="auto"/>
            <w:bottom w:val="none" w:sz="0" w:space="0" w:color="auto"/>
            <w:right w:val="none" w:sz="0" w:space="0" w:color="auto"/>
          </w:divBdr>
        </w:div>
        <w:div w:id="112134886">
          <w:marLeft w:val="0"/>
          <w:marRight w:val="0"/>
          <w:marTop w:val="0"/>
          <w:marBottom w:val="0"/>
          <w:divBdr>
            <w:top w:val="none" w:sz="0" w:space="0" w:color="auto"/>
            <w:left w:val="none" w:sz="0" w:space="0" w:color="auto"/>
            <w:bottom w:val="none" w:sz="0" w:space="0" w:color="auto"/>
            <w:right w:val="none" w:sz="0" w:space="0" w:color="auto"/>
          </w:divBdr>
        </w:div>
        <w:div w:id="187334572">
          <w:marLeft w:val="0"/>
          <w:marRight w:val="0"/>
          <w:marTop w:val="0"/>
          <w:marBottom w:val="0"/>
          <w:divBdr>
            <w:top w:val="none" w:sz="0" w:space="0" w:color="auto"/>
            <w:left w:val="none" w:sz="0" w:space="0" w:color="auto"/>
            <w:bottom w:val="none" w:sz="0" w:space="0" w:color="auto"/>
            <w:right w:val="none" w:sz="0" w:space="0" w:color="auto"/>
          </w:divBdr>
        </w:div>
        <w:div w:id="270864943">
          <w:marLeft w:val="0"/>
          <w:marRight w:val="0"/>
          <w:marTop w:val="0"/>
          <w:marBottom w:val="0"/>
          <w:divBdr>
            <w:top w:val="none" w:sz="0" w:space="0" w:color="auto"/>
            <w:left w:val="none" w:sz="0" w:space="0" w:color="auto"/>
            <w:bottom w:val="none" w:sz="0" w:space="0" w:color="auto"/>
            <w:right w:val="none" w:sz="0" w:space="0" w:color="auto"/>
          </w:divBdr>
        </w:div>
        <w:div w:id="280697301">
          <w:marLeft w:val="0"/>
          <w:marRight w:val="0"/>
          <w:marTop w:val="0"/>
          <w:marBottom w:val="0"/>
          <w:divBdr>
            <w:top w:val="none" w:sz="0" w:space="0" w:color="auto"/>
            <w:left w:val="none" w:sz="0" w:space="0" w:color="auto"/>
            <w:bottom w:val="none" w:sz="0" w:space="0" w:color="auto"/>
            <w:right w:val="none" w:sz="0" w:space="0" w:color="auto"/>
          </w:divBdr>
        </w:div>
        <w:div w:id="281229201">
          <w:marLeft w:val="0"/>
          <w:marRight w:val="0"/>
          <w:marTop w:val="0"/>
          <w:marBottom w:val="0"/>
          <w:divBdr>
            <w:top w:val="none" w:sz="0" w:space="0" w:color="auto"/>
            <w:left w:val="none" w:sz="0" w:space="0" w:color="auto"/>
            <w:bottom w:val="none" w:sz="0" w:space="0" w:color="auto"/>
            <w:right w:val="none" w:sz="0" w:space="0" w:color="auto"/>
          </w:divBdr>
        </w:div>
        <w:div w:id="323319918">
          <w:marLeft w:val="0"/>
          <w:marRight w:val="0"/>
          <w:marTop w:val="0"/>
          <w:marBottom w:val="0"/>
          <w:divBdr>
            <w:top w:val="none" w:sz="0" w:space="0" w:color="auto"/>
            <w:left w:val="none" w:sz="0" w:space="0" w:color="auto"/>
            <w:bottom w:val="none" w:sz="0" w:space="0" w:color="auto"/>
            <w:right w:val="none" w:sz="0" w:space="0" w:color="auto"/>
          </w:divBdr>
        </w:div>
        <w:div w:id="333843519">
          <w:marLeft w:val="0"/>
          <w:marRight w:val="0"/>
          <w:marTop w:val="0"/>
          <w:marBottom w:val="0"/>
          <w:divBdr>
            <w:top w:val="none" w:sz="0" w:space="0" w:color="auto"/>
            <w:left w:val="none" w:sz="0" w:space="0" w:color="auto"/>
            <w:bottom w:val="none" w:sz="0" w:space="0" w:color="auto"/>
            <w:right w:val="none" w:sz="0" w:space="0" w:color="auto"/>
          </w:divBdr>
        </w:div>
        <w:div w:id="358050337">
          <w:marLeft w:val="0"/>
          <w:marRight w:val="0"/>
          <w:marTop w:val="0"/>
          <w:marBottom w:val="0"/>
          <w:divBdr>
            <w:top w:val="none" w:sz="0" w:space="0" w:color="auto"/>
            <w:left w:val="none" w:sz="0" w:space="0" w:color="auto"/>
            <w:bottom w:val="none" w:sz="0" w:space="0" w:color="auto"/>
            <w:right w:val="none" w:sz="0" w:space="0" w:color="auto"/>
          </w:divBdr>
        </w:div>
        <w:div w:id="363024541">
          <w:marLeft w:val="0"/>
          <w:marRight w:val="0"/>
          <w:marTop w:val="0"/>
          <w:marBottom w:val="0"/>
          <w:divBdr>
            <w:top w:val="none" w:sz="0" w:space="0" w:color="auto"/>
            <w:left w:val="none" w:sz="0" w:space="0" w:color="auto"/>
            <w:bottom w:val="none" w:sz="0" w:space="0" w:color="auto"/>
            <w:right w:val="none" w:sz="0" w:space="0" w:color="auto"/>
          </w:divBdr>
        </w:div>
        <w:div w:id="379592397">
          <w:marLeft w:val="0"/>
          <w:marRight w:val="0"/>
          <w:marTop w:val="0"/>
          <w:marBottom w:val="0"/>
          <w:divBdr>
            <w:top w:val="none" w:sz="0" w:space="0" w:color="auto"/>
            <w:left w:val="none" w:sz="0" w:space="0" w:color="auto"/>
            <w:bottom w:val="none" w:sz="0" w:space="0" w:color="auto"/>
            <w:right w:val="none" w:sz="0" w:space="0" w:color="auto"/>
          </w:divBdr>
        </w:div>
        <w:div w:id="399256688">
          <w:marLeft w:val="0"/>
          <w:marRight w:val="0"/>
          <w:marTop w:val="0"/>
          <w:marBottom w:val="0"/>
          <w:divBdr>
            <w:top w:val="none" w:sz="0" w:space="0" w:color="auto"/>
            <w:left w:val="none" w:sz="0" w:space="0" w:color="auto"/>
            <w:bottom w:val="none" w:sz="0" w:space="0" w:color="auto"/>
            <w:right w:val="none" w:sz="0" w:space="0" w:color="auto"/>
          </w:divBdr>
        </w:div>
        <w:div w:id="406347528">
          <w:marLeft w:val="0"/>
          <w:marRight w:val="0"/>
          <w:marTop w:val="0"/>
          <w:marBottom w:val="0"/>
          <w:divBdr>
            <w:top w:val="none" w:sz="0" w:space="0" w:color="auto"/>
            <w:left w:val="none" w:sz="0" w:space="0" w:color="auto"/>
            <w:bottom w:val="none" w:sz="0" w:space="0" w:color="auto"/>
            <w:right w:val="none" w:sz="0" w:space="0" w:color="auto"/>
          </w:divBdr>
        </w:div>
        <w:div w:id="408423348">
          <w:marLeft w:val="0"/>
          <w:marRight w:val="0"/>
          <w:marTop w:val="0"/>
          <w:marBottom w:val="0"/>
          <w:divBdr>
            <w:top w:val="none" w:sz="0" w:space="0" w:color="auto"/>
            <w:left w:val="none" w:sz="0" w:space="0" w:color="auto"/>
            <w:bottom w:val="none" w:sz="0" w:space="0" w:color="auto"/>
            <w:right w:val="none" w:sz="0" w:space="0" w:color="auto"/>
          </w:divBdr>
        </w:div>
        <w:div w:id="494609411">
          <w:marLeft w:val="0"/>
          <w:marRight w:val="0"/>
          <w:marTop w:val="0"/>
          <w:marBottom w:val="0"/>
          <w:divBdr>
            <w:top w:val="none" w:sz="0" w:space="0" w:color="auto"/>
            <w:left w:val="none" w:sz="0" w:space="0" w:color="auto"/>
            <w:bottom w:val="none" w:sz="0" w:space="0" w:color="auto"/>
            <w:right w:val="none" w:sz="0" w:space="0" w:color="auto"/>
          </w:divBdr>
        </w:div>
        <w:div w:id="504245313">
          <w:marLeft w:val="0"/>
          <w:marRight w:val="0"/>
          <w:marTop w:val="0"/>
          <w:marBottom w:val="0"/>
          <w:divBdr>
            <w:top w:val="none" w:sz="0" w:space="0" w:color="auto"/>
            <w:left w:val="none" w:sz="0" w:space="0" w:color="auto"/>
            <w:bottom w:val="none" w:sz="0" w:space="0" w:color="auto"/>
            <w:right w:val="none" w:sz="0" w:space="0" w:color="auto"/>
          </w:divBdr>
        </w:div>
        <w:div w:id="510031991">
          <w:marLeft w:val="0"/>
          <w:marRight w:val="0"/>
          <w:marTop w:val="0"/>
          <w:marBottom w:val="0"/>
          <w:divBdr>
            <w:top w:val="none" w:sz="0" w:space="0" w:color="auto"/>
            <w:left w:val="none" w:sz="0" w:space="0" w:color="auto"/>
            <w:bottom w:val="none" w:sz="0" w:space="0" w:color="auto"/>
            <w:right w:val="none" w:sz="0" w:space="0" w:color="auto"/>
          </w:divBdr>
        </w:div>
        <w:div w:id="537203475">
          <w:marLeft w:val="0"/>
          <w:marRight w:val="0"/>
          <w:marTop w:val="0"/>
          <w:marBottom w:val="0"/>
          <w:divBdr>
            <w:top w:val="none" w:sz="0" w:space="0" w:color="auto"/>
            <w:left w:val="none" w:sz="0" w:space="0" w:color="auto"/>
            <w:bottom w:val="none" w:sz="0" w:space="0" w:color="auto"/>
            <w:right w:val="none" w:sz="0" w:space="0" w:color="auto"/>
          </w:divBdr>
        </w:div>
        <w:div w:id="540824386">
          <w:marLeft w:val="0"/>
          <w:marRight w:val="0"/>
          <w:marTop w:val="0"/>
          <w:marBottom w:val="0"/>
          <w:divBdr>
            <w:top w:val="none" w:sz="0" w:space="0" w:color="auto"/>
            <w:left w:val="none" w:sz="0" w:space="0" w:color="auto"/>
            <w:bottom w:val="none" w:sz="0" w:space="0" w:color="auto"/>
            <w:right w:val="none" w:sz="0" w:space="0" w:color="auto"/>
          </w:divBdr>
        </w:div>
        <w:div w:id="560941100">
          <w:marLeft w:val="0"/>
          <w:marRight w:val="0"/>
          <w:marTop w:val="0"/>
          <w:marBottom w:val="0"/>
          <w:divBdr>
            <w:top w:val="none" w:sz="0" w:space="0" w:color="auto"/>
            <w:left w:val="none" w:sz="0" w:space="0" w:color="auto"/>
            <w:bottom w:val="none" w:sz="0" w:space="0" w:color="auto"/>
            <w:right w:val="none" w:sz="0" w:space="0" w:color="auto"/>
          </w:divBdr>
        </w:div>
        <w:div w:id="573777634">
          <w:marLeft w:val="0"/>
          <w:marRight w:val="0"/>
          <w:marTop w:val="0"/>
          <w:marBottom w:val="0"/>
          <w:divBdr>
            <w:top w:val="none" w:sz="0" w:space="0" w:color="auto"/>
            <w:left w:val="none" w:sz="0" w:space="0" w:color="auto"/>
            <w:bottom w:val="none" w:sz="0" w:space="0" w:color="auto"/>
            <w:right w:val="none" w:sz="0" w:space="0" w:color="auto"/>
          </w:divBdr>
        </w:div>
        <w:div w:id="613901463">
          <w:marLeft w:val="0"/>
          <w:marRight w:val="0"/>
          <w:marTop w:val="0"/>
          <w:marBottom w:val="0"/>
          <w:divBdr>
            <w:top w:val="none" w:sz="0" w:space="0" w:color="auto"/>
            <w:left w:val="none" w:sz="0" w:space="0" w:color="auto"/>
            <w:bottom w:val="none" w:sz="0" w:space="0" w:color="auto"/>
            <w:right w:val="none" w:sz="0" w:space="0" w:color="auto"/>
          </w:divBdr>
        </w:div>
        <w:div w:id="615524289">
          <w:marLeft w:val="0"/>
          <w:marRight w:val="0"/>
          <w:marTop w:val="0"/>
          <w:marBottom w:val="0"/>
          <w:divBdr>
            <w:top w:val="none" w:sz="0" w:space="0" w:color="auto"/>
            <w:left w:val="none" w:sz="0" w:space="0" w:color="auto"/>
            <w:bottom w:val="none" w:sz="0" w:space="0" w:color="auto"/>
            <w:right w:val="none" w:sz="0" w:space="0" w:color="auto"/>
          </w:divBdr>
        </w:div>
        <w:div w:id="644359172">
          <w:marLeft w:val="0"/>
          <w:marRight w:val="0"/>
          <w:marTop w:val="0"/>
          <w:marBottom w:val="0"/>
          <w:divBdr>
            <w:top w:val="none" w:sz="0" w:space="0" w:color="auto"/>
            <w:left w:val="none" w:sz="0" w:space="0" w:color="auto"/>
            <w:bottom w:val="none" w:sz="0" w:space="0" w:color="auto"/>
            <w:right w:val="none" w:sz="0" w:space="0" w:color="auto"/>
          </w:divBdr>
        </w:div>
        <w:div w:id="655035274">
          <w:marLeft w:val="0"/>
          <w:marRight w:val="0"/>
          <w:marTop w:val="0"/>
          <w:marBottom w:val="0"/>
          <w:divBdr>
            <w:top w:val="none" w:sz="0" w:space="0" w:color="auto"/>
            <w:left w:val="none" w:sz="0" w:space="0" w:color="auto"/>
            <w:bottom w:val="none" w:sz="0" w:space="0" w:color="auto"/>
            <w:right w:val="none" w:sz="0" w:space="0" w:color="auto"/>
          </w:divBdr>
        </w:div>
        <w:div w:id="655181022">
          <w:marLeft w:val="0"/>
          <w:marRight w:val="0"/>
          <w:marTop w:val="0"/>
          <w:marBottom w:val="0"/>
          <w:divBdr>
            <w:top w:val="none" w:sz="0" w:space="0" w:color="auto"/>
            <w:left w:val="none" w:sz="0" w:space="0" w:color="auto"/>
            <w:bottom w:val="none" w:sz="0" w:space="0" w:color="auto"/>
            <w:right w:val="none" w:sz="0" w:space="0" w:color="auto"/>
          </w:divBdr>
        </w:div>
        <w:div w:id="659969859">
          <w:marLeft w:val="0"/>
          <w:marRight w:val="0"/>
          <w:marTop w:val="0"/>
          <w:marBottom w:val="0"/>
          <w:divBdr>
            <w:top w:val="none" w:sz="0" w:space="0" w:color="auto"/>
            <w:left w:val="none" w:sz="0" w:space="0" w:color="auto"/>
            <w:bottom w:val="none" w:sz="0" w:space="0" w:color="auto"/>
            <w:right w:val="none" w:sz="0" w:space="0" w:color="auto"/>
          </w:divBdr>
        </w:div>
        <w:div w:id="670110106">
          <w:marLeft w:val="0"/>
          <w:marRight w:val="0"/>
          <w:marTop w:val="0"/>
          <w:marBottom w:val="0"/>
          <w:divBdr>
            <w:top w:val="none" w:sz="0" w:space="0" w:color="auto"/>
            <w:left w:val="none" w:sz="0" w:space="0" w:color="auto"/>
            <w:bottom w:val="none" w:sz="0" w:space="0" w:color="auto"/>
            <w:right w:val="none" w:sz="0" w:space="0" w:color="auto"/>
          </w:divBdr>
        </w:div>
        <w:div w:id="686252422">
          <w:marLeft w:val="0"/>
          <w:marRight w:val="0"/>
          <w:marTop w:val="0"/>
          <w:marBottom w:val="0"/>
          <w:divBdr>
            <w:top w:val="none" w:sz="0" w:space="0" w:color="auto"/>
            <w:left w:val="none" w:sz="0" w:space="0" w:color="auto"/>
            <w:bottom w:val="none" w:sz="0" w:space="0" w:color="auto"/>
            <w:right w:val="none" w:sz="0" w:space="0" w:color="auto"/>
          </w:divBdr>
        </w:div>
        <w:div w:id="701707240">
          <w:marLeft w:val="0"/>
          <w:marRight w:val="0"/>
          <w:marTop w:val="0"/>
          <w:marBottom w:val="0"/>
          <w:divBdr>
            <w:top w:val="none" w:sz="0" w:space="0" w:color="auto"/>
            <w:left w:val="none" w:sz="0" w:space="0" w:color="auto"/>
            <w:bottom w:val="none" w:sz="0" w:space="0" w:color="auto"/>
            <w:right w:val="none" w:sz="0" w:space="0" w:color="auto"/>
          </w:divBdr>
        </w:div>
        <w:div w:id="702512814">
          <w:marLeft w:val="0"/>
          <w:marRight w:val="0"/>
          <w:marTop w:val="0"/>
          <w:marBottom w:val="0"/>
          <w:divBdr>
            <w:top w:val="none" w:sz="0" w:space="0" w:color="auto"/>
            <w:left w:val="none" w:sz="0" w:space="0" w:color="auto"/>
            <w:bottom w:val="none" w:sz="0" w:space="0" w:color="auto"/>
            <w:right w:val="none" w:sz="0" w:space="0" w:color="auto"/>
          </w:divBdr>
        </w:div>
        <w:div w:id="706027966">
          <w:marLeft w:val="0"/>
          <w:marRight w:val="0"/>
          <w:marTop w:val="0"/>
          <w:marBottom w:val="0"/>
          <w:divBdr>
            <w:top w:val="none" w:sz="0" w:space="0" w:color="auto"/>
            <w:left w:val="none" w:sz="0" w:space="0" w:color="auto"/>
            <w:bottom w:val="none" w:sz="0" w:space="0" w:color="auto"/>
            <w:right w:val="none" w:sz="0" w:space="0" w:color="auto"/>
          </w:divBdr>
        </w:div>
        <w:div w:id="715399286">
          <w:marLeft w:val="0"/>
          <w:marRight w:val="0"/>
          <w:marTop w:val="0"/>
          <w:marBottom w:val="0"/>
          <w:divBdr>
            <w:top w:val="none" w:sz="0" w:space="0" w:color="auto"/>
            <w:left w:val="none" w:sz="0" w:space="0" w:color="auto"/>
            <w:bottom w:val="none" w:sz="0" w:space="0" w:color="auto"/>
            <w:right w:val="none" w:sz="0" w:space="0" w:color="auto"/>
          </w:divBdr>
        </w:div>
        <w:div w:id="751779515">
          <w:marLeft w:val="0"/>
          <w:marRight w:val="0"/>
          <w:marTop w:val="0"/>
          <w:marBottom w:val="0"/>
          <w:divBdr>
            <w:top w:val="none" w:sz="0" w:space="0" w:color="auto"/>
            <w:left w:val="none" w:sz="0" w:space="0" w:color="auto"/>
            <w:bottom w:val="none" w:sz="0" w:space="0" w:color="auto"/>
            <w:right w:val="none" w:sz="0" w:space="0" w:color="auto"/>
          </w:divBdr>
        </w:div>
        <w:div w:id="792484815">
          <w:marLeft w:val="0"/>
          <w:marRight w:val="0"/>
          <w:marTop w:val="0"/>
          <w:marBottom w:val="0"/>
          <w:divBdr>
            <w:top w:val="none" w:sz="0" w:space="0" w:color="auto"/>
            <w:left w:val="none" w:sz="0" w:space="0" w:color="auto"/>
            <w:bottom w:val="none" w:sz="0" w:space="0" w:color="auto"/>
            <w:right w:val="none" w:sz="0" w:space="0" w:color="auto"/>
          </w:divBdr>
        </w:div>
        <w:div w:id="803279277">
          <w:marLeft w:val="0"/>
          <w:marRight w:val="0"/>
          <w:marTop w:val="0"/>
          <w:marBottom w:val="0"/>
          <w:divBdr>
            <w:top w:val="none" w:sz="0" w:space="0" w:color="auto"/>
            <w:left w:val="none" w:sz="0" w:space="0" w:color="auto"/>
            <w:bottom w:val="none" w:sz="0" w:space="0" w:color="auto"/>
            <w:right w:val="none" w:sz="0" w:space="0" w:color="auto"/>
          </w:divBdr>
        </w:div>
        <w:div w:id="837885571">
          <w:marLeft w:val="0"/>
          <w:marRight w:val="0"/>
          <w:marTop w:val="0"/>
          <w:marBottom w:val="0"/>
          <w:divBdr>
            <w:top w:val="none" w:sz="0" w:space="0" w:color="auto"/>
            <w:left w:val="none" w:sz="0" w:space="0" w:color="auto"/>
            <w:bottom w:val="none" w:sz="0" w:space="0" w:color="auto"/>
            <w:right w:val="none" w:sz="0" w:space="0" w:color="auto"/>
          </w:divBdr>
        </w:div>
        <w:div w:id="859129720">
          <w:marLeft w:val="0"/>
          <w:marRight w:val="0"/>
          <w:marTop w:val="0"/>
          <w:marBottom w:val="0"/>
          <w:divBdr>
            <w:top w:val="none" w:sz="0" w:space="0" w:color="auto"/>
            <w:left w:val="none" w:sz="0" w:space="0" w:color="auto"/>
            <w:bottom w:val="none" w:sz="0" w:space="0" w:color="auto"/>
            <w:right w:val="none" w:sz="0" w:space="0" w:color="auto"/>
          </w:divBdr>
        </w:div>
        <w:div w:id="870070938">
          <w:marLeft w:val="0"/>
          <w:marRight w:val="0"/>
          <w:marTop w:val="0"/>
          <w:marBottom w:val="0"/>
          <w:divBdr>
            <w:top w:val="none" w:sz="0" w:space="0" w:color="auto"/>
            <w:left w:val="none" w:sz="0" w:space="0" w:color="auto"/>
            <w:bottom w:val="none" w:sz="0" w:space="0" w:color="auto"/>
            <w:right w:val="none" w:sz="0" w:space="0" w:color="auto"/>
          </w:divBdr>
        </w:div>
        <w:div w:id="892697172">
          <w:marLeft w:val="0"/>
          <w:marRight w:val="0"/>
          <w:marTop w:val="0"/>
          <w:marBottom w:val="0"/>
          <w:divBdr>
            <w:top w:val="none" w:sz="0" w:space="0" w:color="auto"/>
            <w:left w:val="none" w:sz="0" w:space="0" w:color="auto"/>
            <w:bottom w:val="none" w:sz="0" w:space="0" w:color="auto"/>
            <w:right w:val="none" w:sz="0" w:space="0" w:color="auto"/>
          </w:divBdr>
        </w:div>
        <w:div w:id="946621540">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58072163">
          <w:marLeft w:val="0"/>
          <w:marRight w:val="0"/>
          <w:marTop w:val="0"/>
          <w:marBottom w:val="0"/>
          <w:divBdr>
            <w:top w:val="none" w:sz="0" w:space="0" w:color="auto"/>
            <w:left w:val="none" w:sz="0" w:space="0" w:color="auto"/>
            <w:bottom w:val="none" w:sz="0" w:space="0" w:color="auto"/>
            <w:right w:val="none" w:sz="0" w:space="0" w:color="auto"/>
          </w:divBdr>
        </w:div>
        <w:div w:id="1036080890">
          <w:marLeft w:val="0"/>
          <w:marRight w:val="0"/>
          <w:marTop w:val="0"/>
          <w:marBottom w:val="0"/>
          <w:divBdr>
            <w:top w:val="none" w:sz="0" w:space="0" w:color="auto"/>
            <w:left w:val="none" w:sz="0" w:space="0" w:color="auto"/>
            <w:bottom w:val="none" w:sz="0" w:space="0" w:color="auto"/>
            <w:right w:val="none" w:sz="0" w:space="0" w:color="auto"/>
          </w:divBdr>
        </w:div>
        <w:div w:id="1051928035">
          <w:marLeft w:val="0"/>
          <w:marRight w:val="0"/>
          <w:marTop w:val="0"/>
          <w:marBottom w:val="0"/>
          <w:divBdr>
            <w:top w:val="none" w:sz="0" w:space="0" w:color="auto"/>
            <w:left w:val="none" w:sz="0" w:space="0" w:color="auto"/>
            <w:bottom w:val="none" w:sz="0" w:space="0" w:color="auto"/>
            <w:right w:val="none" w:sz="0" w:space="0" w:color="auto"/>
          </w:divBdr>
        </w:div>
        <w:div w:id="1061056029">
          <w:marLeft w:val="0"/>
          <w:marRight w:val="0"/>
          <w:marTop w:val="0"/>
          <w:marBottom w:val="0"/>
          <w:divBdr>
            <w:top w:val="none" w:sz="0" w:space="0" w:color="auto"/>
            <w:left w:val="none" w:sz="0" w:space="0" w:color="auto"/>
            <w:bottom w:val="none" w:sz="0" w:space="0" w:color="auto"/>
            <w:right w:val="none" w:sz="0" w:space="0" w:color="auto"/>
          </w:divBdr>
        </w:div>
        <w:div w:id="1103571086">
          <w:marLeft w:val="0"/>
          <w:marRight w:val="0"/>
          <w:marTop w:val="0"/>
          <w:marBottom w:val="0"/>
          <w:divBdr>
            <w:top w:val="none" w:sz="0" w:space="0" w:color="auto"/>
            <w:left w:val="none" w:sz="0" w:space="0" w:color="auto"/>
            <w:bottom w:val="none" w:sz="0" w:space="0" w:color="auto"/>
            <w:right w:val="none" w:sz="0" w:space="0" w:color="auto"/>
          </w:divBdr>
        </w:div>
        <w:div w:id="1116758436">
          <w:marLeft w:val="0"/>
          <w:marRight w:val="0"/>
          <w:marTop w:val="0"/>
          <w:marBottom w:val="0"/>
          <w:divBdr>
            <w:top w:val="none" w:sz="0" w:space="0" w:color="auto"/>
            <w:left w:val="none" w:sz="0" w:space="0" w:color="auto"/>
            <w:bottom w:val="none" w:sz="0" w:space="0" w:color="auto"/>
            <w:right w:val="none" w:sz="0" w:space="0" w:color="auto"/>
          </w:divBdr>
        </w:div>
        <w:div w:id="1173835120">
          <w:marLeft w:val="0"/>
          <w:marRight w:val="0"/>
          <w:marTop w:val="0"/>
          <w:marBottom w:val="0"/>
          <w:divBdr>
            <w:top w:val="none" w:sz="0" w:space="0" w:color="auto"/>
            <w:left w:val="none" w:sz="0" w:space="0" w:color="auto"/>
            <w:bottom w:val="none" w:sz="0" w:space="0" w:color="auto"/>
            <w:right w:val="none" w:sz="0" w:space="0" w:color="auto"/>
          </w:divBdr>
        </w:div>
        <w:div w:id="1209102330">
          <w:marLeft w:val="0"/>
          <w:marRight w:val="0"/>
          <w:marTop w:val="0"/>
          <w:marBottom w:val="0"/>
          <w:divBdr>
            <w:top w:val="none" w:sz="0" w:space="0" w:color="auto"/>
            <w:left w:val="none" w:sz="0" w:space="0" w:color="auto"/>
            <w:bottom w:val="none" w:sz="0" w:space="0" w:color="auto"/>
            <w:right w:val="none" w:sz="0" w:space="0" w:color="auto"/>
          </w:divBdr>
        </w:div>
        <w:div w:id="1267925192">
          <w:marLeft w:val="0"/>
          <w:marRight w:val="0"/>
          <w:marTop w:val="0"/>
          <w:marBottom w:val="0"/>
          <w:divBdr>
            <w:top w:val="none" w:sz="0" w:space="0" w:color="auto"/>
            <w:left w:val="none" w:sz="0" w:space="0" w:color="auto"/>
            <w:bottom w:val="none" w:sz="0" w:space="0" w:color="auto"/>
            <w:right w:val="none" w:sz="0" w:space="0" w:color="auto"/>
          </w:divBdr>
        </w:div>
        <w:div w:id="1349790205">
          <w:marLeft w:val="0"/>
          <w:marRight w:val="0"/>
          <w:marTop w:val="0"/>
          <w:marBottom w:val="0"/>
          <w:divBdr>
            <w:top w:val="none" w:sz="0" w:space="0" w:color="auto"/>
            <w:left w:val="none" w:sz="0" w:space="0" w:color="auto"/>
            <w:bottom w:val="none" w:sz="0" w:space="0" w:color="auto"/>
            <w:right w:val="none" w:sz="0" w:space="0" w:color="auto"/>
          </w:divBdr>
        </w:div>
        <w:div w:id="1356343488">
          <w:marLeft w:val="0"/>
          <w:marRight w:val="0"/>
          <w:marTop w:val="0"/>
          <w:marBottom w:val="0"/>
          <w:divBdr>
            <w:top w:val="none" w:sz="0" w:space="0" w:color="auto"/>
            <w:left w:val="none" w:sz="0" w:space="0" w:color="auto"/>
            <w:bottom w:val="none" w:sz="0" w:space="0" w:color="auto"/>
            <w:right w:val="none" w:sz="0" w:space="0" w:color="auto"/>
          </w:divBdr>
        </w:div>
        <w:div w:id="1365013033">
          <w:marLeft w:val="0"/>
          <w:marRight w:val="0"/>
          <w:marTop w:val="0"/>
          <w:marBottom w:val="0"/>
          <w:divBdr>
            <w:top w:val="none" w:sz="0" w:space="0" w:color="auto"/>
            <w:left w:val="none" w:sz="0" w:space="0" w:color="auto"/>
            <w:bottom w:val="none" w:sz="0" w:space="0" w:color="auto"/>
            <w:right w:val="none" w:sz="0" w:space="0" w:color="auto"/>
          </w:divBdr>
        </w:div>
        <w:div w:id="1369139477">
          <w:marLeft w:val="0"/>
          <w:marRight w:val="0"/>
          <w:marTop w:val="0"/>
          <w:marBottom w:val="0"/>
          <w:divBdr>
            <w:top w:val="none" w:sz="0" w:space="0" w:color="auto"/>
            <w:left w:val="none" w:sz="0" w:space="0" w:color="auto"/>
            <w:bottom w:val="none" w:sz="0" w:space="0" w:color="auto"/>
            <w:right w:val="none" w:sz="0" w:space="0" w:color="auto"/>
          </w:divBdr>
        </w:div>
        <w:div w:id="1395354647">
          <w:marLeft w:val="0"/>
          <w:marRight w:val="0"/>
          <w:marTop w:val="0"/>
          <w:marBottom w:val="0"/>
          <w:divBdr>
            <w:top w:val="none" w:sz="0" w:space="0" w:color="auto"/>
            <w:left w:val="none" w:sz="0" w:space="0" w:color="auto"/>
            <w:bottom w:val="none" w:sz="0" w:space="0" w:color="auto"/>
            <w:right w:val="none" w:sz="0" w:space="0" w:color="auto"/>
          </w:divBdr>
        </w:div>
        <w:div w:id="1407649717">
          <w:marLeft w:val="0"/>
          <w:marRight w:val="0"/>
          <w:marTop w:val="0"/>
          <w:marBottom w:val="0"/>
          <w:divBdr>
            <w:top w:val="none" w:sz="0" w:space="0" w:color="auto"/>
            <w:left w:val="none" w:sz="0" w:space="0" w:color="auto"/>
            <w:bottom w:val="none" w:sz="0" w:space="0" w:color="auto"/>
            <w:right w:val="none" w:sz="0" w:space="0" w:color="auto"/>
          </w:divBdr>
        </w:div>
        <w:div w:id="1413817117">
          <w:marLeft w:val="0"/>
          <w:marRight w:val="0"/>
          <w:marTop w:val="0"/>
          <w:marBottom w:val="0"/>
          <w:divBdr>
            <w:top w:val="none" w:sz="0" w:space="0" w:color="auto"/>
            <w:left w:val="none" w:sz="0" w:space="0" w:color="auto"/>
            <w:bottom w:val="none" w:sz="0" w:space="0" w:color="auto"/>
            <w:right w:val="none" w:sz="0" w:space="0" w:color="auto"/>
          </w:divBdr>
        </w:div>
        <w:div w:id="1578249734">
          <w:marLeft w:val="0"/>
          <w:marRight w:val="0"/>
          <w:marTop w:val="0"/>
          <w:marBottom w:val="0"/>
          <w:divBdr>
            <w:top w:val="none" w:sz="0" w:space="0" w:color="auto"/>
            <w:left w:val="none" w:sz="0" w:space="0" w:color="auto"/>
            <w:bottom w:val="none" w:sz="0" w:space="0" w:color="auto"/>
            <w:right w:val="none" w:sz="0" w:space="0" w:color="auto"/>
          </w:divBdr>
        </w:div>
        <w:div w:id="1599831362">
          <w:marLeft w:val="0"/>
          <w:marRight w:val="0"/>
          <w:marTop w:val="0"/>
          <w:marBottom w:val="0"/>
          <w:divBdr>
            <w:top w:val="none" w:sz="0" w:space="0" w:color="auto"/>
            <w:left w:val="none" w:sz="0" w:space="0" w:color="auto"/>
            <w:bottom w:val="none" w:sz="0" w:space="0" w:color="auto"/>
            <w:right w:val="none" w:sz="0" w:space="0" w:color="auto"/>
          </w:divBdr>
        </w:div>
        <w:div w:id="1631739563">
          <w:marLeft w:val="0"/>
          <w:marRight w:val="0"/>
          <w:marTop w:val="0"/>
          <w:marBottom w:val="0"/>
          <w:divBdr>
            <w:top w:val="none" w:sz="0" w:space="0" w:color="auto"/>
            <w:left w:val="none" w:sz="0" w:space="0" w:color="auto"/>
            <w:bottom w:val="none" w:sz="0" w:space="0" w:color="auto"/>
            <w:right w:val="none" w:sz="0" w:space="0" w:color="auto"/>
          </w:divBdr>
        </w:div>
        <w:div w:id="1634482534">
          <w:marLeft w:val="0"/>
          <w:marRight w:val="0"/>
          <w:marTop w:val="0"/>
          <w:marBottom w:val="0"/>
          <w:divBdr>
            <w:top w:val="none" w:sz="0" w:space="0" w:color="auto"/>
            <w:left w:val="none" w:sz="0" w:space="0" w:color="auto"/>
            <w:bottom w:val="none" w:sz="0" w:space="0" w:color="auto"/>
            <w:right w:val="none" w:sz="0" w:space="0" w:color="auto"/>
          </w:divBdr>
        </w:div>
        <w:div w:id="1637176001">
          <w:marLeft w:val="0"/>
          <w:marRight w:val="0"/>
          <w:marTop w:val="0"/>
          <w:marBottom w:val="0"/>
          <w:divBdr>
            <w:top w:val="none" w:sz="0" w:space="0" w:color="auto"/>
            <w:left w:val="none" w:sz="0" w:space="0" w:color="auto"/>
            <w:bottom w:val="none" w:sz="0" w:space="0" w:color="auto"/>
            <w:right w:val="none" w:sz="0" w:space="0" w:color="auto"/>
          </w:divBdr>
        </w:div>
        <w:div w:id="1651474369">
          <w:marLeft w:val="0"/>
          <w:marRight w:val="0"/>
          <w:marTop w:val="0"/>
          <w:marBottom w:val="0"/>
          <w:divBdr>
            <w:top w:val="none" w:sz="0" w:space="0" w:color="auto"/>
            <w:left w:val="none" w:sz="0" w:space="0" w:color="auto"/>
            <w:bottom w:val="none" w:sz="0" w:space="0" w:color="auto"/>
            <w:right w:val="none" w:sz="0" w:space="0" w:color="auto"/>
          </w:divBdr>
        </w:div>
        <w:div w:id="1724867937">
          <w:marLeft w:val="0"/>
          <w:marRight w:val="0"/>
          <w:marTop w:val="0"/>
          <w:marBottom w:val="0"/>
          <w:divBdr>
            <w:top w:val="none" w:sz="0" w:space="0" w:color="auto"/>
            <w:left w:val="none" w:sz="0" w:space="0" w:color="auto"/>
            <w:bottom w:val="none" w:sz="0" w:space="0" w:color="auto"/>
            <w:right w:val="none" w:sz="0" w:space="0" w:color="auto"/>
          </w:divBdr>
        </w:div>
        <w:div w:id="1742950225">
          <w:marLeft w:val="0"/>
          <w:marRight w:val="0"/>
          <w:marTop w:val="0"/>
          <w:marBottom w:val="0"/>
          <w:divBdr>
            <w:top w:val="none" w:sz="0" w:space="0" w:color="auto"/>
            <w:left w:val="none" w:sz="0" w:space="0" w:color="auto"/>
            <w:bottom w:val="none" w:sz="0" w:space="0" w:color="auto"/>
            <w:right w:val="none" w:sz="0" w:space="0" w:color="auto"/>
          </w:divBdr>
        </w:div>
        <w:div w:id="1763380752">
          <w:marLeft w:val="0"/>
          <w:marRight w:val="0"/>
          <w:marTop w:val="0"/>
          <w:marBottom w:val="0"/>
          <w:divBdr>
            <w:top w:val="none" w:sz="0" w:space="0" w:color="auto"/>
            <w:left w:val="none" w:sz="0" w:space="0" w:color="auto"/>
            <w:bottom w:val="none" w:sz="0" w:space="0" w:color="auto"/>
            <w:right w:val="none" w:sz="0" w:space="0" w:color="auto"/>
          </w:divBdr>
        </w:div>
        <w:div w:id="1765497556">
          <w:marLeft w:val="0"/>
          <w:marRight w:val="0"/>
          <w:marTop w:val="0"/>
          <w:marBottom w:val="0"/>
          <w:divBdr>
            <w:top w:val="none" w:sz="0" w:space="0" w:color="auto"/>
            <w:left w:val="none" w:sz="0" w:space="0" w:color="auto"/>
            <w:bottom w:val="none" w:sz="0" w:space="0" w:color="auto"/>
            <w:right w:val="none" w:sz="0" w:space="0" w:color="auto"/>
          </w:divBdr>
        </w:div>
        <w:div w:id="1772427710">
          <w:marLeft w:val="0"/>
          <w:marRight w:val="0"/>
          <w:marTop w:val="0"/>
          <w:marBottom w:val="0"/>
          <w:divBdr>
            <w:top w:val="none" w:sz="0" w:space="0" w:color="auto"/>
            <w:left w:val="none" w:sz="0" w:space="0" w:color="auto"/>
            <w:bottom w:val="none" w:sz="0" w:space="0" w:color="auto"/>
            <w:right w:val="none" w:sz="0" w:space="0" w:color="auto"/>
          </w:divBdr>
        </w:div>
        <w:div w:id="1812478354">
          <w:marLeft w:val="0"/>
          <w:marRight w:val="0"/>
          <w:marTop w:val="0"/>
          <w:marBottom w:val="0"/>
          <w:divBdr>
            <w:top w:val="none" w:sz="0" w:space="0" w:color="auto"/>
            <w:left w:val="none" w:sz="0" w:space="0" w:color="auto"/>
            <w:bottom w:val="none" w:sz="0" w:space="0" w:color="auto"/>
            <w:right w:val="none" w:sz="0" w:space="0" w:color="auto"/>
          </w:divBdr>
        </w:div>
        <w:div w:id="1819036120">
          <w:marLeft w:val="0"/>
          <w:marRight w:val="0"/>
          <w:marTop w:val="0"/>
          <w:marBottom w:val="0"/>
          <w:divBdr>
            <w:top w:val="none" w:sz="0" w:space="0" w:color="auto"/>
            <w:left w:val="none" w:sz="0" w:space="0" w:color="auto"/>
            <w:bottom w:val="none" w:sz="0" w:space="0" w:color="auto"/>
            <w:right w:val="none" w:sz="0" w:space="0" w:color="auto"/>
          </w:divBdr>
        </w:div>
        <w:div w:id="1822189786">
          <w:marLeft w:val="0"/>
          <w:marRight w:val="0"/>
          <w:marTop w:val="0"/>
          <w:marBottom w:val="0"/>
          <w:divBdr>
            <w:top w:val="none" w:sz="0" w:space="0" w:color="auto"/>
            <w:left w:val="none" w:sz="0" w:space="0" w:color="auto"/>
            <w:bottom w:val="none" w:sz="0" w:space="0" w:color="auto"/>
            <w:right w:val="none" w:sz="0" w:space="0" w:color="auto"/>
          </w:divBdr>
        </w:div>
        <w:div w:id="1830292568">
          <w:marLeft w:val="0"/>
          <w:marRight w:val="0"/>
          <w:marTop w:val="0"/>
          <w:marBottom w:val="0"/>
          <w:divBdr>
            <w:top w:val="none" w:sz="0" w:space="0" w:color="auto"/>
            <w:left w:val="none" w:sz="0" w:space="0" w:color="auto"/>
            <w:bottom w:val="none" w:sz="0" w:space="0" w:color="auto"/>
            <w:right w:val="none" w:sz="0" w:space="0" w:color="auto"/>
          </w:divBdr>
        </w:div>
        <w:div w:id="1856991615">
          <w:marLeft w:val="0"/>
          <w:marRight w:val="0"/>
          <w:marTop w:val="0"/>
          <w:marBottom w:val="0"/>
          <w:divBdr>
            <w:top w:val="none" w:sz="0" w:space="0" w:color="auto"/>
            <w:left w:val="none" w:sz="0" w:space="0" w:color="auto"/>
            <w:bottom w:val="none" w:sz="0" w:space="0" w:color="auto"/>
            <w:right w:val="none" w:sz="0" w:space="0" w:color="auto"/>
          </w:divBdr>
        </w:div>
        <w:div w:id="1880165158">
          <w:marLeft w:val="0"/>
          <w:marRight w:val="0"/>
          <w:marTop w:val="0"/>
          <w:marBottom w:val="0"/>
          <w:divBdr>
            <w:top w:val="none" w:sz="0" w:space="0" w:color="auto"/>
            <w:left w:val="none" w:sz="0" w:space="0" w:color="auto"/>
            <w:bottom w:val="none" w:sz="0" w:space="0" w:color="auto"/>
            <w:right w:val="none" w:sz="0" w:space="0" w:color="auto"/>
          </w:divBdr>
        </w:div>
        <w:div w:id="1902522237">
          <w:marLeft w:val="0"/>
          <w:marRight w:val="0"/>
          <w:marTop w:val="0"/>
          <w:marBottom w:val="0"/>
          <w:divBdr>
            <w:top w:val="none" w:sz="0" w:space="0" w:color="auto"/>
            <w:left w:val="none" w:sz="0" w:space="0" w:color="auto"/>
            <w:bottom w:val="none" w:sz="0" w:space="0" w:color="auto"/>
            <w:right w:val="none" w:sz="0" w:space="0" w:color="auto"/>
          </w:divBdr>
        </w:div>
        <w:div w:id="1966425784">
          <w:marLeft w:val="0"/>
          <w:marRight w:val="0"/>
          <w:marTop w:val="0"/>
          <w:marBottom w:val="0"/>
          <w:divBdr>
            <w:top w:val="none" w:sz="0" w:space="0" w:color="auto"/>
            <w:left w:val="none" w:sz="0" w:space="0" w:color="auto"/>
            <w:bottom w:val="none" w:sz="0" w:space="0" w:color="auto"/>
            <w:right w:val="none" w:sz="0" w:space="0" w:color="auto"/>
          </w:divBdr>
        </w:div>
        <w:div w:id="2054189260">
          <w:marLeft w:val="0"/>
          <w:marRight w:val="0"/>
          <w:marTop w:val="0"/>
          <w:marBottom w:val="0"/>
          <w:divBdr>
            <w:top w:val="none" w:sz="0" w:space="0" w:color="auto"/>
            <w:left w:val="none" w:sz="0" w:space="0" w:color="auto"/>
            <w:bottom w:val="none" w:sz="0" w:space="0" w:color="auto"/>
            <w:right w:val="none" w:sz="0" w:space="0" w:color="auto"/>
          </w:divBdr>
        </w:div>
        <w:div w:id="2078160780">
          <w:marLeft w:val="0"/>
          <w:marRight w:val="0"/>
          <w:marTop w:val="0"/>
          <w:marBottom w:val="0"/>
          <w:divBdr>
            <w:top w:val="none" w:sz="0" w:space="0" w:color="auto"/>
            <w:left w:val="none" w:sz="0" w:space="0" w:color="auto"/>
            <w:bottom w:val="none" w:sz="0" w:space="0" w:color="auto"/>
            <w:right w:val="none" w:sz="0" w:space="0" w:color="auto"/>
          </w:divBdr>
        </w:div>
        <w:div w:id="2089962316">
          <w:marLeft w:val="0"/>
          <w:marRight w:val="0"/>
          <w:marTop w:val="0"/>
          <w:marBottom w:val="0"/>
          <w:divBdr>
            <w:top w:val="none" w:sz="0" w:space="0" w:color="auto"/>
            <w:left w:val="none" w:sz="0" w:space="0" w:color="auto"/>
            <w:bottom w:val="none" w:sz="0" w:space="0" w:color="auto"/>
            <w:right w:val="none" w:sz="0" w:space="0" w:color="auto"/>
          </w:divBdr>
        </w:div>
        <w:div w:id="2102484963">
          <w:marLeft w:val="0"/>
          <w:marRight w:val="0"/>
          <w:marTop w:val="0"/>
          <w:marBottom w:val="0"/>
          <w:divBdr>
            <w:top w:val="none" w:sz="0" w:space="0" w:color="auto"/>
            <w:left w:val="none" w:sz="0" w:space="0" w:color="auto"/>
            <w:bottom w:val="none" w:sz="0" w:space="0" w:color="auto"/>
            <w:right w:val="none" w:sz="0" w:space="0" w:color="auto"/>
          </w:divBdr>
        </w:div>
        <w:div w:id="2120445159">
          <w:marLeft w:val="0"/>
          <w:marRight w:val="0"/>
          <w:marTop w:val="0"/>
          <w:marBottom w:val="0"/>
          <w:divBdr>
            <w:top w:val="none" w:sz="0" w:space="0" w:color="auto"/>
            <w:left w:val="none" w:sz="0" w:space="0" w:color="auto"/>
            <w:bottom w:val="none" w:sz="0" w:space="0" w:color="auto"/>
            <w:right w:val="none" w:sz="0" w:space="0" w:color="auto"/>
          </w:divBdr>
        </w:div>
        <w:div w:id="2126843207">
          <w:marLeft w:val="0"/>
          <w:marRight w:val="0"/>
          <w:marTop w:val="0"/>
          <w:marBottom w:val="0"/>
          <w:divBdr>
            <w:top w:val="none" w:sz="0" w:space="0" w:color="auto"/>
            <w:left w:val="none" w:sz="0" w:space="0" w:color="auto"/>
            <w:bottom w:val="none" w:sz="0" w:space="0" w:color="auto"/>
            <w:right w:val="none" w:sz="0" w:space="0" w:color="auto"/>
          </w:divBdr>
        </w:div>
      </w:divsChild>
    </w:div>
    <w:div w:id="114176049">
      <w:bodyDiv w:val="1"/>
      <w:marLeft w:val="0"/>
      <w:marRight w:val="0"/>
      <w:marTop w:val="0"/>
      <w:marBottom w:val="0"/>
      <w:divBdr>
        <w:top w:val="none" w:sz="0" w:space="0" w:color="auto"/>
        <w:left w:val="none" w:sz="0" w:space="0" w:color="auto"/>
        <w:bottom w:val="none" w:sz="0" w:space="0" w:color="auto"/>
        <w:right w:val="none" w:sz="0" w:space="0" w:color="auto"/>
      </w:divBdr>
    </w:div>
    <w:div w:id="197864762">
      <w:bodyDiv w:val="1"/>
      <w:marLeft w:val="0"/>
      <w:marRight w:val="0"/>
      <w:marTop w:val="0"/>
      <w:marBottom w:val="0"/>
      <w:divBdr>
        <w:top w:val="none" w:sz="0" w:space="0" w:color="auto"/>
        <w:left w:val="none" w:sz="0" w:space="0" w:color="auto"/>
        <w:bottom w:val="none" w:sz="0" w:space="0" w:color="auto"/>
        <w:right w:val="none" w:sz="0" w:space="0" w:color="auto"/>
      </w:divBdr>
    </w:div>
    <w:div w:id="199557752">
      <w:bodyDiv w:val="1"/>
      <w:marLeft w:val="0"/>
      <w:marRight w:val="0"/>
      <w:marTop w:val="0"/>
      <w:marBottom w:val="0"/>
      <w:divBdr>
        <w:top w:val="none" w:sz="0" w:space="0" w:color="auto"/>
        <w:left w:val="none" w:sz="0" w:space="0" w:color="auto"/>
        <w:bottom w:val="none" w:sz="0" w:space="0" w:color="auto"/>
        <w:right w:val="none" w:sz="0" w:space="0" w:color="auto"/>
      </w:divBdr>
    </w:div>
    <w:div w:id="345134786">
      <w:bodyDiv w:val="1"/>
      <w:marLeft w:val="0"/>
      <w:marRight w:val="0"/>
      <w:marTop w:val="0"/>
      <w:marBottom w:val="0"/>
      <w:divBdr>
        <w:top w:val="none" w:sz="0" w:space="0" w:color="auto"/>
        <w:left w:val="none" w:sz="0" w:space="0" w:color="auto"/>
        <w:bottom w:val="none" w:sz="0" w:space="0" w:color="auto"/>
        <w:right w:val="none" w:sz="0" w:space="0" w:color="auto"/>
      </w:divBdr>
    </w:div>
    <w:div w:id="449906419">
      <w:bodyDiv w:val="1"/>
      <w:marLeft w:val="0"/>
      <w:marRight w:val="0"/>
      <w:marTop w:val="0"/>
      <w:marBottom w:val="0"/>
      <w:divBdr>
        <w:top w:val="none" w:sz="0" w:space="0" w:color="auto"/>
        <w:left w:val="none" w:sz="0" w:space="0" w:color="auto"/>
        <w:bottom w:val="none" w:sz="0" w:space="0" w:color="auto"/>
        <w:right w:val="none" w:sz="0" w:space="0" w:color="auto"/>
      </w:divBdr>
    </w:div>
    <w:div w:id="484392072">
      <w:bodyDiv w:val="1"/>
      <w:marLeft w:val="0"/>
      <w:marRight w:val="0"/>
      <w:marTop w:val="0"/>
      <w:marBottom w:val="0"/>
      <w:divBdr>
        <w:top w:val="none" w:sz="0" w:space="0" w:color="auto"/>
        <w:left w:val="none" w:sz="0" w:space="0" w:color="auto"/>
        <w:bottom w:val="none" w:sz="0" w:space="0" w:color="auto"/>
        <w:right w:val="none" w:sz="0" w:space="0" w:color="auto"/>
      </w:divBdr>
    </w:div>
    <w:div w:id="548152953">
      <w:bodyDiv w:val="1"/>
      <w:marLeft w:val="0"/>
      <w:marRight w:val="0"/>
      <w:marTop w:val="0"/>
      <w:marBottom w:val="0"/>
      <w:divBdr>
        <w:top w:val="none" w:sz="0" w:space="0" w:color="auto"/>
        <w:left w:val="none" w:sz="0" w:space="0" w:color="auto"/>
        <w:bottom w:val="none" w:sz="0" w:space="0" w:color="auto"/>
        <w:right w:val="none" w:sz="0" w:space="0" w:color="auto"/>
      </w:divBdr>
      <w:divsChild>
        <w:div w:id="575552427">
          <w:marLeft w:val="0"/>
          <w:marRight w:val="0"/>
          <w:marTop w:val="0"/>
          <w:marBottom w:val="0"/>
          <w:divBdr>
            <w:top w:val="none" w:sz="0" w:space="0" w:color="auto"/>
            <w:left w:val="none" w:sz="0" w:space="0" w:color="auto"/>
            <w:bottom w:val="none" w:sz="0" w:space="0" w:color="auto"/>
            <w:right w:val="none" w:sz="0" w:space="0" w:color="auto"/>
          </w:divBdr>
        </w:div>
      </w:divsChild>
    </w:div>
    <w:div w:id="616253056">
      <w:bodyDiv w:val="1"/>
      <w:marLeft w:val="0"/>
      <w:marRight w:val="0"/>
      <w:marTop w:val="0"/>
      <w:marBottom w:val="0"/>
      <w:divBdr>
        <w:top w:val="none" w:sz="0" w:space="0" w:color="auto"/>
        <w:left w:val="none" w:sz="0" w:space="0" w:color="auto"/>
        <w:bottom w:val="none" w:sz="0" w:space="0" w:color="auto"/>
        <w:right w:val="none" w:sz="0" w:space="0" w:color="auto"/>
      </w:divBdr>
    </w:div>
    <w:div w:id="667094027">
      <w:bodyDiv w:val="1"/>
      <w:marLeft w:val="0"/>
      <w:marRight w:val="0"/>
      <w:marTop w:val="0"/>
      <w:marBottom w:val="0"/>
      <w:divBdr>
        <w:top w:val="none" w:sz="0" w:space="0" w:color="auto"/>
        <w:left w:val="none" w:sz="0" w:space="0" w:color="auto"/>
        <w:bottom w:val="none" w:sz="0" w:space="0" w:color="auto"/>
        <w:right w:val="none" w:sz="0" w:space="0" w:color="auto"/>
      </w:divBdr>
    </w:div>
    <w:div w:id="792334929">
      <w:bodyDiv w:val="1"/>
      <w:marLeft w:val="0"/>
      <w:marRight w:val="0"/>
      <w:marTop w:val="0"/>
      <w:marBottom w:val="0"/>
      <w:divBdr>
        <w:top w:val="none" w:sz="0" w:space="0" w:color="auto"/>
        <w:left w:val="none" w:sz="0" w:space="0" w:color="auto"/>
        <w:bottom w:val="none" w:sz="0" w:space="0" w:color="auto"/>
        <w:right w:val="none" w:sz="0" w:space="0" w:color="auto"/>
      </w:divBdr>
      <w:divsChild>
        <w:div w:id="1806851090">
          <w:marLeft w:val="0"/>
          <w:marRight w:val="0"/>
          <w:marTop w:val="0"/>
          <w:marBottom w:val="0"/>
          <w:divBdr>
            <w:top w:val="none" w:sz="0" w:space="0" w:color="auto"/>
            <w:left w:val="none" w:sz="0" w:space="0" w:color="auto"/>
            <w:bottom w:val="none" w:sz="0" w:space="0" w:color="auto"/>
            <w:right w:val="none" w:sz="0" w:space="0" w:color="auto"/>
          </w:divBdr>
          <w:divsChild>
            <w:div w:id="784883829">
              <w:marLeft w:val="0"/>
              <w:marRight w:val="0"/>
              <w:marTop w:val="0"/>
              <w:marBottom w:val="0"/>
              <w:divBdr>
                <w:top w:val="none" w:sz="0" w:space="0" w:color="auto"/>
                <w:left w:val="none" w:sz="0" w:space="0" w:color="auto"/>
                <w:bottom w:val="none" w:sz="0" w:space="0" w:color="auto"/>
                <w:right w:val="none" w:sz="0" w:space="0" w:color="auto"/>
              </w:divBdr>
              <w:divsChild>
                <w:div w:id="740179323">
                  <w:marLeft w:val="0"/>
                  <w:marRight w:val="0"/>
                  <w:marTop w:val="0"/>
                  <w:marBottom w:val="0"/>
                  <w:divBdr>
                    <w:top w:val="none" w:sz="0" w:space="0" w:color="auto"/>
                    <w:left w:val="none" w:sz="0" w:space="0" w:color="auto"/>
                    <w:bottom w:val="none" w:sz="0" w:space="0" w:color="auto"/>
                    <w:right w:val="none" w:sz="0" w:space="0" w:color="auto"/>
                  </w:divBdr>
                  <w:divsChild>
                    <w:div w:id="6196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907">
              <w:marLeft w:val="0"/>
              <w:marRight w:val="0"/>
              <w:marTop w:val="0"/>
              <w:marBottom w:val="0"/>
              <w:divBdr>
                <w:top w:val="none" w:sz="0" w:space="0" w:color="auto"/>
                <w:left w:val="none" w:sz="0" w:space="0" w:color="auto"/>
                <w:bottom w:val="none" w:sz="0" w:space="0" w:color="auto"/>
                <w:right w:val="none" w:sz="0" w:space="0" w:color="auto"/>
              </w:divBdr>
              <w:divsChild>
                <w:div w:id="1656907729">
                  <w:marLeft w:val="0"/>
                  <w:marRight w:val="0"/>
                  <w:marTop w:val="0"/>
                  <w:marBottom w:val="0"/>
                  <w:divBdr>
                    <w:top w:val="none" w:sz="0" w:space="0" w:color="auto"/>
                    <w:left w:val="none" w:sz="0" w:space="0" w:color="auto"/>
                    <w:bottom w:val="none" w:sz="0" w:space="0" w:color="auto"/>
                    <w:right w:val="none" w:sz="0" w:space="0" w:color="auto"/>
                  </w:divBdr>
                  <w:divsChild>
                    <w:div w:id="150413203">
                      <w:marLeft w:val="0"/>
                      <w:marRight w:val="0"/>
                      <w:marTop w:val="0"/>
                      <w:marBottom w:val="0"/>
                      <w:divBdr>
                        <w:top w:val="none" w:sz="0" w:space="0" w:color="auto"/>
                        <w:left w:val="none" w:sz="0" w:space="0" w:color="auto"/>
                        <w:bottom w:val="none" w:sz="0" w:space="0" w:color="auto"/>
                        <w:right w:val="none" w:sz="0" w:space="0" w:color="auto"/>
                      </w:divBdr>
                      <w:divsChild>
                        <w:div w:id="10031788">
                          <w:marLeft w:val="0"/>
                          <w:marRight w:val="0"/>
                          <w:marTop w:val="0"/>
                          <w:marBottom w:val="0"/>
                          <w:divBdr>
                            <w:top w:val="none" w:sz="0" w:space="0" w:color="auto"/>
                            <w:left w:val="none" w:sz="0" w:space="0" w:color="auto"/>
                            <w:bottom w:val="none" w:sz="0" w:space="0" w:color="auto"/>
                            <w:right w:val="none" w:sz="0" w:space="0" w:color="auto"/>
                          </w:divBdr>
                          <w:divsChild>
                            <w:div w:id="1299215872">
                              <w:marLeft w:val="0"/>
                              <w:marRight w:val="0"/>
                              <w:marTop w:val="0"/>
                              <w:marBottom w:val="0"/>
                              <w:divBdr>
                                <w:top w:val="none" w:sz="0" w:space="0" w:color="auto"/>
                                <w:left w:val="none" w:sz="0" w:space="0" w:color="auto"/>
                                <w:bottom w:val="none" w:sz="0" w:space="0" w:color="auto"/>
                                <w:right w:val="none" w:sz="0" w:space="0" w:color="auto"/>
                              </w:divBdr>
                              <w:divsChild>
                                <w:div w:id="2505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798">
                          <w:marLeft w:val="0"/>
                          <w:marRight w:val="0"/>
                          <w:marTop w:val="0"/>
                          <w:marBottom w:val="0"/>
                          <w:divBdr>
                            <w:top w:val="none" w:sz="0" w:space="0" w:color="auto"/>
                            <w:left w:val="none" w:sz="0" w:space="0" w:color="auto"/>
                            <w:bottom w:val="none" w:sz="0" w:space="0" w:color="auto"/>
                            <w:right w:val="none" w:sz="0" w:space="0" w:color="auto"/>
                          </w:divBdr>
                          <w:divsChild>
                            <w:div w:id="402144638">
                              <w:marLeft w:val="0"/>
                              <w:marRight w:val="0"/>
                              <w:marTop w:val="0"/>
                              <w:marBottom w:val="0"/>
                              <w:divBdr>
                                <w:top w:val="none" w:sz="0" w:space="0" w:color="auto"/>
                                <w:left w:val="none" w:sz="0" w:space="0" w:color="auto"/>
                                <w:bottom w:val="none" w:sz="0" w:space="0" w:color="auto"/>
                                <w:right w:val="none" w:sz="0" w:space="0" w:color="auto"/>
                              </w:divBdr>
                              <w:divsChild>
                                <w:div w:id="62607614">
                                  <w:marLeft w:val="0"/>
                                  <w:marRight w:val="0"/>
                                  <w:marTop w:val="0"/>
                                  <w:marBottom w:val="0"/>
                                  <w:divBdr>
                                    <w:top w:val="none" w:sz="0" w:space="0" w:color="auto"/>
                                    <w:left w:val="none" w:sz="0" w:space="0" w:color="auto"/>
                                    <w:bottom w:val="none" w:sz="0" w:space="0" w:color="auto"/>
                                    <w:right w:val="none" w:sz="0" w:space="0" w:color="auto"/>
                                  </w:divBdr>
                                </w:div>
                                <w:div w:id="101923211">
                                  <w:marLeft w:val="0"/>
                                  <w:marRight w:val="0"/>
                                  <w:marTop w:val="0"/>
                                  <w:marBottom w:val="0"/>
                                  <w:divBdr>
                                    <w:top w:val="none" w:sz="0" w:space="0" w:color="auto"/>
                                    <w:left w:val="none" w:sz="0" w:space="0" w:color="auto"/>
                                    <w:bottom w:val="none" w:sz="0" w:space="0" w:color="auto"/>
                                    <w:right w:val="none" w:sz="0" w:space="0" w:color="auto"/>
                                  </w:divBdr>
                                </w:div>
                                <w:div w:id="470363057">
                                  <w:marLeft w:val="0"/>
                                  <w:marRight w:val="0"/>
                                  <w:marTop w:val="0"/>
                                  <w:marBottom w:val="0"/>
                                  <w:divBdr>
                                    <w:top w:val="none" w:sz="0" w:space="0" w:color="auto"/>
                                    <w:left w:val="none" w:sz="0" w:space="0" w:color="auto"/>
                                    <w:bottom w:val="none" w:sz="0" w:space="0" w:color="auto"/>
                                    <w:right w:val="none" w:sz="0" w:space="0" w:color="auto"/>
                                  </w:divBdr>
                                </w:div>
                                <w:div w:id="549851465">
                                  <w:marLeft w:val="0"/>
                                  <w:marRight w:val="0"/>
                                  <w:marTop w:val="0"/>
                                  <w:marBottom w:val="0"/>
                                  <w:divBdr>
                                    <w:top w:val="none" w:sz="0" w:space="0" w:color="auto"/>
                                    <w:left w:val="none" w:sz="0" w:space="0" w:color="auto"/>
                                    <w:bottom w:val="none" w:sz="0" w:space="0" w:color="auto"/>
                                    <w:right w:val="none" w:sz="0" w:space="0" w:color="auto"/>
                                  </w:divBdr>
                                </w:div>
                                <w:div w:id="562713892">
                                  <w:marLeft w:val="0"/>
                                  <w:marRight w:val="0"/>
                                  <w:marTop w:val="0"/>
                                  <w:marBottom w:val="0"/>
                                  <w:divBdr>
                                    <w:top w:val="none" w:sz="0" w:space="0" w:color="auto"/>
                                    <w:left w:val="none" w:sz="0" w:space="0" w:color="auto"/>
                                    <w:bottom w:val="none" w:sz="0" w:space="0" w:color="auto"/>
                                    <w:right w:val="none" w:sz="0" w:space="0" w:color="auto"/>
                                  </w:divBdr>
                                </w:div>
                                <w:div w:id="580800614">
                                  <w:marLeft w:val="0"/>
                                  <w:marRight w:val="0"/>
                                  <w:marTop w:val="0"/>
                                  <w:marBottom w:val="0"/>
                                  <w:divBdr>
                                    <w:top w:val="none" w:sz="0" w:space="0" w:color="auto"/>
                                    <w:left w:val="none" w:sz="0" w:space="0" w:color="auto"/>
                                    <w:bottom w:val="none" w:sz="0" w:space="0" w:color="auto"/>
                                    <w:right w:val="none" w:sz="0" w:space="0" w:color="auto"/>
                                  </w:divBdr>
                                </w:div>
                                <w:div w:id="600185138">
                                  <w:marLeft w:val="0"/>
                                  <w:marRight w:val="0"/>
                                  <w:marTop w:val="0"/>
                                  <w:marBottom w:val="0"/>
                                  <w:divBdr>
                                    <w:top w:val="none" w:sz="0" w:space="0" w:color="auto"/>
                                    <w:left w:val="none" w:sz="0" w:space="0" w:color="auto"/>
                                    <w:bottom w:val="none" w:sz="0" w:space="0" w:color="auto"/>
                                    <w:right w:val="none" w:sz="0" w:space="0" w:color="auto"/>
                                  </w:divBdr>
                                </w:div>
                                <w:div w:id="640428980">
                                  <w:marLeft w:val="0"/>
                                  <w:marRight w:val="0"/>
                                  <w:marTop w:val="0"/>
                                  <w:marBottom w:val="0"/>
                                  <w:divBdr>
                                    <w:top w:val="none" w:sz="0" w:space="0" w:color="auto"/>
                                    <w:left w:val="none" w:sz="0" w:space="0" w:color="auto"/>
                                    <w:bottom w:val="none" w:sz="0" w:space="0" w:color="auto"/>
                                    <w:right w:val="none" w:sz="0" w:space="0" w:color="auto"/>
                                  </w:divBdr>
                                </w:div>
                                <w:div w:id="657805937">
                                  <w:marLeft w:val="0"/>
                                  <w:marRight w:val="0"/>
                                  <w:marTop w:val="0"/>
                                  <w:marBottom w:val="0"/>
                                  <w:divBdr>
                                    <w:top w:val="none" w:sz="0" w:space="0" w:color="auto"/>
                                    <w:left w:val="none" w:sz="0" w:space="0" w:color="auto"/>
                                    <w:bottom w:val="none" w:sz="0" w:space="0" w:color="auto"/>
                                    <w:right w:val="none" w:sz="0" w:space="0" w:color="auto"/>
                                  </w:divBdr>
                                </w:div>
                                <w:div w:id="676272390">
                                  <w:marLeft w:val="0"/>
                                  <w:marRight w:val="0"/>
                                  <w:marTop w:val="0"/>
                                  <w:marBottom w:val="0"/>
                                  <w:divBdr>
                                    <w:top w:val="none" w:sz="0" w:space="0" w:color="auto"/>
                                    <w:left w:val="none" w:sz="0" w:space="0" w:color="auto"/>
                                    <w:bottom w:val="none" w:sz="0" w:space="0" w:color="auto"/>
                                    <w:right w:val="none" w:sz="0" w:space="0" w:color="auto"/>
                                  </w:divBdr>
                                </w:div>
                                <w:div w:id="736977558">
                                  <w:marLeft w:val="0"/>
                                  <w:marRight w:val="0"/>
                                  <w:marTop w:val="0"/>
                                  <w:marBottom w:val="0"/>
                                  <w:divBdr>
                                    <w:top w:val="none" w:sz="0" w:space="0" w:color="auto"/>
                                    <w:left w:val="none" w:sz="0" w:space="0" w:color="auto"/>
                                    <w:bottom w:val="none" w:sz="0" w:space="0" w:color="auto"/>
                                    <w:right w:val="none" w:sz="0" w:space="0" w:color="auto"/>
                                  </w:divBdr>
                                </w:div>
                                <w:div w:id="742878394">
                                  <w:marLeft w:val="0"/>
                                  <w:marRight w:val="0"/>
                                  <w:marTop w:val="0"/>
                                  <w:marBottom w:val="0"/>
                                  <w:divBdr>
                                    <w:top w:val="none" w:sz="0" w:space="0" w:color="auto"/>
                                    <w:left w:val="none" w:sz="0" w:space="0" w:color="auto"/>
                                    <w:bottom w:val="none" w:sz="0" w:space="0" w:color="auto"/>
                                    <w:right w:val="none" w:sz="0" w:space="0" w:color="auto"/>
                                  </w:divBdr>
                                </w:div>
                                <w:div w:id="808129325">
                                  <w:marLeft w:val="0"/>
                                  <w:marRight w:val="0"/>
                                  <w:marTop w:val="0"/>
                                  <w:marBottom w:val="0"/>
                                  <w:divBdr>
                                    <w:top w:val="none" w:sz="0" w:space="0" w:color="auto"/>
                                    <w:left w:val="none" w:sz="0" w:space="0" w:color="auto"/>
                                    <w:bottom w:val="none" w:sz="0" w:space="0" w:color="auto"/>
                                    <w:right w:val="none" w:sz="0" w:space="0" w:color="auto"/>
                                  </w:divBdr>
                                </w:div>
                                <w:div w:id="847669754">
                                  <w:marLeft w:val="0"/>
                                  <w:marRight w:val="0"/>
                                  <w:marTop w:val="0"/>
                                  <w:marBottom w:val="0"/>
                                  <w:divBdr>
                                    <w:top w:val="none" w:sz="0" w:space="0" w:color="auto"/>
                                    <w:left w:val="none" w:sz="0" w:space="0" w:color="auto"/>
                                    <w:bottom w:val="none" w:sz="0" w:space="0" w:color="auto"/>
                                    <w:right w:val="none" w:sz="0" w:space="0" w:color="auto"/>
                                  </w:divBdr>
                                </w:div>
                                <w:div w:id="882786752">
                                  <w:marLeft w:val="0"/>
                                  <w:marRight w:val="0"/>
                                  <w:marTop w:val="0"/>
                                  <w:marBottom w:val="0"/>
                                  <w:divBdr>
                                    <w:top w:val="none" w:sz="0" w:space="0" w:color="auto"/>
                                    <w:left w:val="none" w:sz="0" w:space="0" w:color="auto"/>
                                    <w:bottom w:val="none" w:sz="0" w:space="0" w:color="auto"/>
                                    <w:right w:val="none" w:sz="0" w:space="0" w:color="auto"/>
                                  </w:divBdr>
                                </w:div>
                                <w:div w:id="948972399">
                                  <w:marLeft w:val="0"/>
                                  <w:marRight w:val="0"/>
                                  <w:marTop w:val="0"/>
                                  <w:marBottom w:val="0"/>
                                  <w:divBdr>
                                    <w:top w:val="none" w:sz="0" w:space="0" w:color="auto"/>
                                    <w:left w:val="none" w:sz="0" w:space="0" w:color="auto"/>
                                    <w:bottom w:val="none" w:sz="0" w:space="0" w:color="auto"/>
                                    <w:right w:val="none" w:sz="0" w:space="0" w:color="auto"/>
                                  </w:divBdr>
                                </w:div>
                                <w:div w:id="1004628660">
                                  <w:marLeft w:val="0"/>
                                  <w:marRight w:val="0"/>
                                  <w:marTop w:val="0"/>
                                  <w:marBottom w:val="0"/>
                                  <w:divBdr>
                                    <w:top w:val="none" w:sz="0" w:space="0" w:color="auto"/>
                                    <w:left w:val="none" w:sz="0" w:space="0" w:color="auto"/>
                                    <w:bottom w:val="none" w:sz="0" w:space="0" w:color="auto"/>
                                    <w:right w:val="none" w:sz="0" w:space="0" w:color="auto"/>
                                  </w:divBdr>
                                </w:div>
                                <w:div w:id="1051878563">
                                  <w:marLeft w:val="0"/>
                                  <w:marRight w:val="0"/>
                                  <w:marTop w:val="0"/>
                                  <w:marBottom w:val="0"/>
                                  <w:divBdr>
                                    <w:top w:val="none" w:sz="0" w:space="0" w:color="auto"/>
                                    <w:left w:val="none" w:sz="0" w:space="0" w:color="auto"/>
                                    <w:bottom w:val="none" w:sz="0" w:space="0" w:color="auto"/>
                                    <w:right w:val="none" w:sz="0" w:space="0" w:color="auto"/>
                                  </w:divBdr>
                                </w:div>
                                <w:div w:id="1131167272">
                                  <w:marLeft w:val="0"/>
                                  <w:marRight w:val="0"/>
                                  <w:marTop w:val="0"/>
                                  <w:marBottom w:val="0"/>
                                  <w:divBdr>
                                    <w:top w:val="none" w:sz="0" w:space="0" w:color="auto"/>
                                    <w:left w:val="none" w:sz="0" w:space="0" w:color="auto"/>
                                    <w:bottom w:val="none" w:sz="0" w:space="0" w:color="auto"/>
                                    <w:right w:val="none" w:sz="0" w:space="0" w:color="auto"/>
                                  </w:divBdr>
                                </w:div>
                                <w:div w:id="1157957187">
                                  <w:marLeft w:val="0"/>
                                  <w:marRight w:val="0"/>
                                  <w:marTop w:val="0"/>
                                  <w:marBottom w:val="0"/>
                                  <w:divBdr>
                                    <w:top w:val="none" w:sz="0" w:space="0" w:color="auto"/>
                                    <w:left w:val="none" w:sz="0" w:space="0" w:color="auto"/>
                                    <w:bottom w:val="none" w:sz="0" w:space="0" w:color="auto"/>
                                    <w:right w:val="none" w:sz="0" w:space="0" w:color="auto"/>
                                  </w:divBdr>
                                </w:div>
                                <w:div w:id="1160342704">
                                  <w:marLeft w:val="0"/>
                                  <w:marRight w:val="0"/>
                                  <w:marTop w:val="0"/>
                                  <w:marBottom w:val="0"/>
                                  <w:divBdr>
                                    <w:top w:val="none" w:sz="0" w:space="0" w:color="auto"/>
                                    <w:left w:val="none" w:sz="0" w:space="0" w:color="auto"/>
                                    <w:bottom w:val="none" w:sz="0" w:space="0" w:color="auto"/>
                                    <w:right w:val="none" w:sz="0" w:space="0" w:color="auto"/>
                                  </w:divBdr>
                                </w:div>
                                <w:div w:id="1263537996">
                                  <w:marLeft w:val="0"/>
                                  <w:marRight w:val="0"/>
                                  <w:marTop w:val="0"/>
                                  <w:marBottom w:val="0"/>
                                  <w:divBdr>
                                    <w:top w:val="none" w:sz="0" w:space="0" w:color="auto"/>
                                    <w:left w:val="none" w:sz="0" w:space="0" w:color="auto"/>
                                    <w:bottom w:val="none" w:sz="0" w:space="0" w:color="auto"/>
                                    <w:right w:val="none" w:sz="0" w:space="0" w:color="auto"/>
                                  </w:divBdr>
                                </w:div>
                                <w:div w:id="1337807906">
                                  <w:marLeft w:val="0"/>
                                  <w:marRight w:val="0"/>
                                  <w:marTop w:val="0"/>
                                  <w:marBottom w:val="0"/>
                                  <w:divBdr>
                                    <w:top w:val="none" w:sz="0" w:space="0" w:color="auto"/>
                                    <w:left w:val="none" w:sz="0" w:space="0" w:color="auto"/>
                                    <w:bottom w:val="none" w:sz="0" w:space="0" w:color="auto"/>
                                    <w:right w:val="none" w:sz="0" w:space="0" w:color="auto"/>
                                  </w:divBdr>
                                </w:div>
                                <w:div w:id="1345669555">
                                  <w:marLeft w:val="0"/>
                                  <w:marRight w:val="0"/>
                                  <w:marTop w:val="0"/>
                                  <w:marBottom w:val="0"/>
                                  <w:divBdr>
                                    <w:top w:val="none" w:sz="0" w:space="0" w:color="auto"/>
                                    <w:left w:val="none" w:sz="0" w:space="0" w:color="auto"/>
                                    <w:bottom w:val="none" w:sz="0" w:space="0" w:color="auto"/>
                                    <w:right w:val="none" w:sz="0" w:space="0" w:color="auto"/>
                                  </w:divBdr>
                                </w:div>
                                <w:div w:id="1400327755">
                                  <w:marLeft w:val="0"/>
                                  <w:marRight w:val="0"/>
                                  <w:marTop w:val="0"/>
                                  <w:marBottom w:val="0"/>
                                  <w:divBdr>
                                    <w:top w:val="none" w:sz="0" w:space="0" w:color="auto"/>
                                    <w:left w:val="none" w:sz="0" w:space="0" w:color="auto"/>
                                    <w:bottom w:val="none" w:sz="0" w:space="0" w:color="auto"/>
                                    <w:right w:val="none" w:sz="0" w:space="0" w:color="auto"/>
                                  </w:divBdr>
                                </w:div>
                                <w:div w:id="1442801017">
                                  <w:marLeft w:val="0"/>
                                  <w:marRight w:val="0"/>
                                  <w:marTop w:val="0"/>
                                  <w:marBottom w:val="0"/>
                                  <w:divBdr>
                                    <w:top w:val="none" w:sz="0" w:space="0" w:color="auto"/>
                                    <w:left w:val="none" w:sz="0" w:space="0" w:color="auto"/>
                                    <w:bottom w:val="none" w:sz="0" w:space="0" w:color="auto"/>
                                    <w:right w:val="none" w:sz="0" w:space="0" w:color="auto"/>
                                  </w:divBdr>
                                </w:div>
                                <w:div w:id="1484392577">
                                  <w:marLeft w:val="0"/>
                                  <w:marRight w:val="0"/>
                                  <w:marTop w:val="0"/>
                                  <w:marBottom w:val="0"/>
                                  <w:divBdr>
                                    <w:top w:val="none" w:sz="0" w:space="0" w:color="auto"/>
                                    <w:left w:val="none" w:sz="0" w:space="0" w:color="auto"/>
                                    <w:bottom w:val="none" w:sz="0" w:space="0" w:color="auto"/>
                                    <w:right w:val="none" w:sz="0" w:space="0" w:color="auto"/>
                                  </w:divBdr>
                                </w:div>
                                <w:div w:id="1516383313">
                                  <w:marLeft w:val="0"/>
                                  <w:marRight w:val="0"/>
                                  <w:marTop w:val="0"/>
                                  <w:marBottom w:val="0"/>
                                  <w:divBdr>
                                    <w:top w:val="none" w:sz="0" w:space="0" w:color="auto"/>
                                    <w:left w:val="none" w:sz="0" w:space="0" w:color="auto"/>
                                    <w:bottom w:val="none" w:sz="0" w:space="0" w:color="auto"/>
                                    <w:right w:val="none" w:sz="0" w:space="0" w:color="auto"/>
                                  </w:divBdr>
                                </w:div>
                                <w:div w:id="1697458665">
                                  <w:marLeft w:val="0"/>
                                  <w:marRight w:val="0"/>
                                  <w:marTop w:val="0"/>
                                  <w:marBottom w:val="0"/>
                                  <w:divBdr>
                                    <w:top w:val="none" w:sz="0" w:space="0" w:color="auto"/>
                                    <w:left w:val="none" w:sz="0" w:space="0" w:color="auto"/>
                                    <w:bottom w:val="none" w:sz="0" w:space="0" w:color="auto"/>
                                    <w:right w:val="none" w:sz="0" w:space="0" w:color="auto"/>
                                  </w:divBdr>
                                </w:div>
                                <w:div w:id="1697735925">
                                  <w:marLeft w:val="0"/>
                                  <w:marRight w:val="0"/>
                                  <w:marTop w:val="0"/>
                                  <w:marBottom w:val="0"/>
                                  <w:divBdr>
                                    <w:top w:val="none" w:sz="0" w:space="0" w:color="auto"/>
                                    <w:left w:val="none" w:sz="0" w:space="0" w:color="auto"/>
                                    <w:bottom w:val="none" w:sz="0" w:space="0" w:color="auto"/>
                                    <w:right w:val="none" w:sz="0" w:space="0" w:color="auto"/>
                                  </w:divBdr>
                                </w:div>
                                <w:div w:id="1940216852">
                                  <w:marLeft w:val="0"/>
                                  <w:marRight w:val="0"/>
                                  <w:marTop w:val="0"/>
                                  <w:marBottom w:val="0"/>
                                  <w:divBdr>
                                    <w:top w:val="none" w:sz="0" w:space="0" w:color="auto"/>
                                    <w:left w:val="none" w:sz="0" w:space="0" w:color="auto"/>
                                    <w:bottom w:val="none" w:sz="0" w:space="0" w:color="auto"/>
                                    <w:right w:val="none" w:sz="0" w:space="0" w:color="auto"/>
                                  </w:divBdr>
                                </w:div>
                                <w:div w:id="1946763077">
                                  <w:marLeft w:val="0"/>
                                  <w:marRight w:val="0"/>
                                  <w:marTop w:val="0"/>
                                  <w:marBottom w:val="0"/>
                                  <w:divBdr>
                                    <w:top w:val="none" w:sz="0" w:space="0" w:color="auto"/>
                                    <w:left w:val="none" w:sz="0" w:space="0" w:color="auto"/>
                                    <w:bottom w:val="none" w:sz="0" w:space="0" w:color="auto"/>
                                    <w:right w:val="none" w:sz="0" w:space="0" w:color="auto"/>
                                  </w:divBdr>
                                </w:div>
                                <w:div w:id="1995647023">
                                  <w:marLeft w:val="0"/>
                                  <w:marRight w:val="0"/>
                                  <w:marTop w:val="0"/>
                                  <w:marBottom w:val="0"/>
                                  <w:divBdr>
                                    <w:top w:val="none" w:sz="0" w:space="0" w:color="auto"/>
                                    <w:left w:val="none" w:sz="0" w:space="0" w:color="auto"/>
                                    <w:bottom w:val="none" w:sz="0" w:space="0" w:color="auto"/>
                                    <w:right w:val="none" w:sz="0" w:space="0" w:color="auto"/>
                                  </w:divBdr>
                                </w:div>
                                <w:div w:id="2008048256">
                                  <w:marLeft w:val="0"/>
                                  <w:marRight w:val="0"/>
                                  <w:marTop w:val="0"/>
                                  <w:marBottom w:val="0"/>
                                  <w:divBdr>
                                    <w:top w:val="none" w:sz="0" w:space="0" w:color="auto"/>
                                    <w:left w:val="none" w:sz="0" w:space="0" w:color="auto"/>
                                    <w:bottom w:val="none" w:sz="0" w:space="0" w:color="auto"/>
                                    <w:right w:val="none" w:sz="0" w:space="0" w:color="auto"/>
                                  </w:divBdr>
                                </w:div>
                                <w:div w:id="21385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253">
                          <w:marLeft w:val="0"/>
                          <w:marRight w:val="0"/>
                          <w:marTop w:val="0"/>
                          <w:marBottom w:val="0"/>
                          <w:divBdr>
                            <w:top w:val="none" w:sz="0" w:space="0" w:color="auto"/>
                            <w:left w:val="none" w:sz="0" w:space="0" w:color="auto"/>
                            <w:bottom w:val="none" w:sz="0" w:space="0" w:color="auto"/>
                            <w:right w:val="none" w:sz="0" w:space="0" w:color="auto"/>
                          </w:divBdr>
                          <w:divsChild>
                            <w:div w:id="1580016384">
                              <w:marLeft w:val="0"/>
                              <w:marRight w:val="0"/>
                              <w:marTop w:val="0"/>
                              <w:marBottom w:val="0"/>
                              <w:divBdr>
                                <w:top w:val="none" w:sz="0" w:space="0" w:color="auto"/>
                                <w:left w:val="none" w:sz="0" w:space="0" w:color="auto"/>
                                <w:bottom w:val="none" w:sz="0" w:space="0" w:color="auto"/>
                                <w:right w:val="none" w:sz="0" w:space="0" w:color="auto"/>
                              </w:divBdr>
                              <w:divsChild>
                                <w:div w:id="30081322">
                                  <w:marLeft w:val="0"/>
                                  <w:marRight w:val="0"/>
                                  <w:marTop w:val="0"/>
                                  <w:marBottom w:val="0"/>
                                  <w:divBdr>
                                    <w:top w:val="none" w:sz="0" w:space="0" w:color="auto"/>
                                    <w:left w:val="none" w:sz="0" w:space="0" w:color="auto"/>
                                    <w:bottom w:val="none" w:sz="0" w:space="0" w:color="auto"/>
                                    <w:right w:val="none" w:sz="0" w:space="0" w:color="auto"/>
                                  </w:divBdr>
                                </w:div>
                                <w:div w:id="83503412">
                                  <w:marLeft w:val="0"/>
                                  <w:marRight w:val="0"/>
                                  <w:marTop w:val="0"/>
                                  <w:marBottom w:val="0"/>
                                  <w:divBdr>
                                    <w:top w:val="none" w:sz="0" w:space="0" w:color="auto"/>
                                    <w:left w:val="none" w:sz="0" w:space="0" w:color="auto"/>
                                    <w:bottom w:val="none" w:sz="0" w:space="0" w:color="auto"/>
                                    <w:right w:val="none" w:sz="0" w:space="0" w:color="auto"/>
                                  </w:divBdr>
                                </w:div>
                                <w:div w:id="124859288">
                                  <w:marLeft w:val="0"/>
                                  <w:marRight w:val="0"/>
                                  <w:marTop w:val="0"/>
                                  <w:marBottom w:val="0"/>
                                  <w:divBdr>
                                    <w:top w:val="none" w:sz="0" w:space="0" w:color="auto"/>
                                    <w:left w:val="none" w:sz="0" w:space="0" w:color="auto"/>
                                    <w:bottom w:val="none" w:sz="0" w:space="0" w:color="auto"/>
                                    <w:right w:val="none" w:sz="0" w:space="0" w:color="auto"/>
                                  </w:divBdr>
                                </w:div>
                                <w:div w:id="128789176">
                                  <w:marLeft w:val="0"/>
                                  <w:marRight w:val="0"/>
                                  <w:marTop w:val="0"/>
                                  <w:marBottom w:val="0"/>
                                  <w:divBdr>
                                    <w:top w:val="none" w:sz="0" w:space="0" w:color="auto"/>
                                    <w:left w:val="none" w:sz="0" w:space="0" w:color="auto"/>
                                    <w:bottom w:val="none" w:sz="0" w:space="0" w:color="auto"/>
                                    <w:right w:val="none" w:sz="0" w:space="0" w:color="auto"/>
                                  </w:divBdr>
                                </w:div>
                                <w:div w:id="144472522">
                                  <w:marLeft w:val="0"/>
                                  <w:marRight w:val="0"/>
                                  <w:marTop w:val="0"/>
                                  <w:marBottom w:val="0"/>
                                  <w:divBdr>
                                    <w:top w:val="none" w:sz="0" w:space="0" w:color="auto"/>
                                    <w:left w:val="none" w:sz="0" w:space="0" w:color="auto"/>
                                    <w:bottom w:val="none" w:sz="0" w:space="0" w:color="auto"/>
                                    <w:right w:val="none" w:sz="0" w:space="0" w:color="auto"/>
                                  </w:divBdr>
                                </w:div>
                                <w:div w:id="186718399">
                                  <w:marLeft w:val="0"/>
                                  <w:marRight w:val="0"/>
                                  <w:marTop w:val="0"/>
                                  <w:marBottom w:val="0"/>
                                  <w:divBdr>
                                    <w:top w:val="none" w:sz="0" w:space="0" w:color="auto"/>
                                    <w:left w:val="none" w:sz="0" w:space="0" w:color="auto"/>
                                    <w:bottom w:val="none" w:sz="0" w:space="0" w:color="auto"/>
                                    <w:right w:val="none" w:sz="0" w:space="0" w:color="auto"/>
                                  </w:divBdr>
                                </w:div>
                                <w:div w:id="349380509">
                                  <w:marLeft w:val="0"/>
                                  <w:marRight w:val="0"/>
                                  <w:marTop w:val="0"/>
                                  <w:marBottom w:val="0"/>
                                  <w:divBdr>
                                    <w:top w:val="none" w:sz="0" w:space="0" w:color="auto"/>
                                    <w:left w:val="none" w:sz="0" w:space="0" w:color="auto"/>
                                    <w:bottom w:val="none" w:sz="0" w:space="0" w:color="auto"/>
                                    <w:right w:val="none" w:sz="0" w:space="0" w:color="auto"/>
                                  </w:divBdr>
                                </w:div>
                                <w:div w:id="361708901">
                                  <w:marLeft w:val="0"/>
                                  <w:marRight w:val="0"/>
                                  <w:marTop w:val="0"/>
                                  <w:marBottom w:val="0"/>
                                  <w:divBdr>
                                    <w:top w:val="none" w:sz="0" w:space="0" w:color="auto"/>
                                    <w:left w:val="none" w:sz="0" w:space="0" w:color="auto"/>
                                    <w:bottom w:val="none" w:sz="0" w:space="0" w:color="auto"/>
                                    <w:right w:val="none" w:sz="0" w:space="0" w:color="auto"/>
                                  </w:divBdr>
                                </w:div>
                                <w:div w:id="362829054">
                                  <w:marLeft w:val="0"/>
                                  <w:marRight w:val="0"/>
                                  <w:marTop w:val="0"/>
                                  <w:marBottom w:val="0"/>
                                  <w:divBdr>
                                    <w:top w:val="none" w:sz="0" w:space="0" w:color="auto"/>
                                    <w:left w:val="none" w:sz="0" w:space="0" w:color="auto"/>
                                    <w:bottom w:val="none" w:sz="0" w:space="0" w:color="auto"/>
                                    <w:right w:val="none" w:sz="0" w:space="0" w:color="auto"/>
                                  </w:divBdr>
                                </w:div>
                                <w:div w:id="393550393">
                                  <w:marLeft w:val="0"/>
                                  <w:marRight w:val="0"/>
                                  <w:marTop w:val="0"/>
                                  <w:marBottom w:val="0"/>
                                  <w:divBdr>
                                    <w:top w:val="none" w:sz="0" w:space="0" w:color="auto"/>
                                    <w:left w:val="none" w:sz="0" w:space="0" w:color="auto"/>
                                    <w:bottom w:val="none" w:sz="0" w:space="0" w:color="auto"/>
                                    <w:right w:val="none" w:sz="0" w:space="0" w:color="auto"/>
                                  </w:divBdr>
                                </w:div>
                                <w:div w:id="578753434">
                                  <w:marLeft w:val="0"/>
                                  <w:marRight w:val="0"/>
                                  <w:marTop w:val="0"/>
                                  <w:marBottom w:val="0"/>
                                  <w:divBdr>
                                    <w:top w:val="none" w:sz="0" w:space="0" w:color="auto"/>
                                    <w:left w:val="none" w:sz="0" w:space="0" w:color="auto"/>
                                    <w:bottom w:val="none" w:sz="0" w:space="0" w:color="auto"/>
                                    <w:right w:val="none" w:sz="0" w:space="0" w:color="auto"/>
                                  </w:divBdr>
                                </w:div>
                                <w:div w:id="587689283">
                                  <w:marLeft w:val="0"/>
                                  <w:marRight w:val="0"/>
                                  <w:marTop w:val="0"/>
                                  <w:marBottom w:val="0"/>
                                  <w:divBdr>
                                    <w:top w:val="none" w:sz="0" w:space="0" w:color="auto"/>
                                    <w:left w:val="none" w:sz="0" w:space="0" w:color="auto"/>
                                    <w:bottom w:val="none" w:sz="0" w:space="0" w:color="auto"/>
                                    <w:right w:val="none" w:sz="0" w:space="0" w:color="auto"/>
                                  </w:divBdr>
                                </w:div>
                                <w:div w:id="595790941">
                                  <w:marLeft w:val="0"/>
                                  <w:marRight w:val="0"/>
                                  <w:marTop w:val="0"/>
                                  <w:marBottom w:val="0"/>
                                  <w:divBdr>
                                    <w:top w:val="none" w:sz="0" w:space="0" w:color="auto"/>
                                    <w:left w:val="none" w:sz="0" w:space="0" w:color="auto"/>
                                    <w:bottom w:val="none" w:sz="0" w:space="0" w:color="auto"/>
                                    <w:right w:val="none" w:sz="0" w:space="0" w:color="auto"/>
                                  </w:divBdr>
                                </w:div>
                                <w:div w:id="597635669">
                                  <w:marLeft w:val="0"/>
                                  <w:marRight w:val="0"/>
                                  <w:marTop w:val="0"/>
                                  <w:marBottom w:val="0"/>
                                  <w:divBdr>
                                    <w:top w:val="none" w:sz="0" w:space="0" w:color="auto"/>
                                    <w:left w:val="none" w:sz="0" w:space="0" w:color="auto"/>
                                    <w:bottom w:val="none" w:sz="0" w:space="0" w:color="auto"/>
                                    <w:right w:val="none" w:sz="0" w:space="0" w:color="auto"/>
                                  </w:divBdr>
                                </w:div>
                                <w:div w:id="623929026">
                                  <w:marLeft w:val="0"/>
                                  <w:marRight w:val="0"/>
                                  <w:marTop w:val="0"/>
                                  <w:marBottom w:val="0"/>
                                  <w:divBdr>
                                    <w:top w:val="none" w:sz="0" w:space="0" w:color="auto"/>
                                    <w:left w:val="none" w:sz="0" w:space="0" w:color="auto"/>
                                    <w:bottom w:val="none" w:sz="0" w:space="0" w:color="auto"/>
                                    <w:right w:val="none" w:sz="0" w:space="0" w:color="auto"/>
                                  </w:divBdr>
                                </w:div>
                                <w:div w:id="653796752">
                                  <w:marLeft w:val="0"/>
                                  <w:marRight w:val="0"/>
                                  <w:marTop w:val="0"/>
                                  <w:marBottom w:val="0"/>
                                  <w:divBdr>
                                    <w:top w:val="none" w:sz="0" w:space="0" w:color="auto"/>
                                    <w:left w:val="none" w:sz="0" w:space="0" w:color="auto"/>
                                    <w:bottom w:val="none" w:sz="0" w:space="0" w:color="auto"/>
                                    <w:right w:val="none" w:sz="0" w:space="0" w:color="auto"/>
                                  </w:divBdr>
                                </w:div>
                                <w:div w:id="744685910">
                                  <w:marLeft w:val="0"/>
                                  <w:marRight w:val="0"/>
                                  <w:marTop w:val="0"/>
                                  <w:marBottom w:val="0"/>
                                  <w:divBdr>
                                    <w:top w:val="none" w:sz="0" w:space="0" w:color="auto"/>
                                    <w:left w:val="none" w:sz="0" w:space="0" w:color="auto"/>
                                    <w:bottom w:val="none" w:sz="0" w:space="0" w:color="auto"/>
                                    <w:right w:val="none" w:sz="0" w:space="0" w:color="auto"/>
                                  </w:divBdr>
                                </w:div>
                                <w:div w:id="772550241">
                                  <w:marLeft w:val="0"/>
                                  <w:marRight w:val="0"/>
                                  <w:marTop w:val="0"/>
                                  <w:marBottom w:val="0"/>
                                  <w:divBdr>
                                    <w:top w:val="none" w:sz="0" w:space="0" w:color="auto"/>
                                    <w:left w:val="none" w:sz="0" w:space="0" w:color="auto"/>
                                    <w:bottom w:val="none" w:sz="0" w:space="0" w:color="auto"/>
                                    <w:right w:val="none" w:sz="0" w:space="0" w:color="auto"/>
                                  </w:divBdr>
                                </w:div>
                                <w:div w:id="779300832">
                                  <w:marLeft w:val="0"/>
                                  <w:marRight w:val="0"/>
                                  <w:marTop w:val="0"/>
                                  <w:marBottom w:val="0"/>
                                  <w:divBdr>
                                    <w:top w:val="none" w:sz="0" w:space="0" w:color="auto"/>
                                    <w:left w:val="none" w:sz="0" w:space="0" w:color="auto"/>
                                    <w:bottom w:val="none" w:sz="0" w:space="0" w:color="auto"/>
                                    <w:right w:val="none" w:sz="0" w:space="0" w:color="auto"/>
                                  </w:divBdr>
                                </w:div>
                                <w:div w:id="826165527">
                                  <w:marLeft w:val="0"/>
                                  <w:marRight w:val="0"/>
                                  <w:marTop w:val="0"/>
                                  <w:marBottom w:val="0"/>
                                  <w:divBdr>
                                    <w:top w:val="none" w:sz="0" w:space="0" w:color="auto"/>
                                    <w:left w:val="none" w:sz="0" w:space="0" w:color="auto"/>
                                    <w:bottom w:val="none" w:sz="0" w:space="0" w:color="auto"/>
                                    <w:right w:val="none" w:sz="0" w:space="0" w:color="auto"/>
                                  </w:divBdr>
                                </w:div>
                                <w:div w:id="890728557">
                                  <w:marLeft w:val="0"/>
                                  <w:marRight w:val="0"/>
                                  <w:marTop w:val="0"/>
                                  <w:marBottom w:val="0"/>
                                  <w:divBdr>
                                    <w:top w:val="none" w:sz="0" w:space="0" w:color="auto"/>
                                    <w:left w:val="none" w:sz="0" w:space="0" w:color="auto"/>
                                    <w:bottom w:val="none" w:sz="0" w:space="0" w:color="auto"/>
                                    <w:right w:val="none" w:sz="0" w:space="0" w:color="auto"/>
                                  </w:divBdr>
                                </w:div>
                                <w:div w:id="893393784">
                                  <w:marLeft w:val="0"/>
                                  <w:marRight w:val="0"/>
                                  <w:marTop w:val="0"/>
                                  <w:marBottom w:val="0"/>
                                  <w:divBdr>
                                    <w:top w:val="none" w:sz="0" w:space="0" w:color="auto"/>
                                    <w:left w:val="none" w:sz="0" w:space="0" w:color="auto"/>
                                    <w:bottom w:val="none" w:sz="0" w:space="0" w:color="auto"/>
                                    <w:right w:val="none" w:sz="0" w:space="0" w:color="auto"/>
                                  </w:divBdr>
                                </w:div>
                                <w:div w:id="953483753">
                                  <w:marLeft w:val="0"/>
                                  <w:marRight w:val="0"/>
                                  <w:marTop w:val="0"/>
                                  <w:marBottom w:val="0"/>
                                  <w:divBdr>
                                    <w:top w:val="none" w:sz="0" w:space="0" w:color="auto"/>
                                    <w:left w:val="none" w:sz="0" w:space="0" w:color="auto"/>
                                    <w:bottom w:val="none" w:sz="0" w:space="0" w:color="auto"/>
                                    <w:right w:val="none" w:sz="0" w:space="0" w:color="auto"/>
                                  </w:divBdr>
                                </w:div>
                                <w:div w:id="964430581">
                                  <w:marLeft w:val="0"/>
                                  <w:marRight w:val="0"/>
                                  <w:marTop w:val="0"/>
                                  <w:marBottom w:val="0"/>
                                  <w:divBdr>
                                    <w:top w:val="none" w:sz="0" w:space="0" w:color="auto"/>
                                    <w:left w:val="none" w:sz="0" w:space="0" w:color="auto"/>
                                    <w:bottom w:val="none" w:sz="0" w:space="0" w:color="auto"/>
                                    <w:right w:val="none" w:sz="0" w:space="0" w:color="auto"/>
                                  </w:divBdr>
                                </w:div>
                                <w:div w:id="1044872424">
                                  <w:marLeft w:val="0"/>
                                  <w:marRight w:val="0"/>
                                  <w:marTop w:val="0"/>
                                  <w:marBottom w:val="0"/>
                                  <w:divBdr>
                                    <w:top w:val="none" w:sz="0" w:space="0" w:color="auto"/>
                                    <w:left w:val="none" w:sz="0" w:space="0" w:color="auto"/>
                                    <w:bottom w:val="none" w:sz="0" w:space="0" w:color="auto"/>
                                    <w:right w:val="none" w:sz="0" w:space="0" w:color="auto"/>
                                  </w:divBdr>
                                </w:div>
                                <w:div w:id="1122456162">
                                  <w:marLeft w:val="0"/>
                                  <w:marRight w:val="0"/>
                                  <w:marTop w:val="0"/>
                                  <w:marBottom w:val="0"/>
                                  <w:divBdr>
                                    <w:top w:val="none" w:sz="0" w:space="0" w:color="auto"/>
                                    <w:left w:val="none" w:sz="0" w:space="0" w:color="auto"/>
                                    <w:bottom w:val="none" w:sz="0" w:space="0" w:color="auto"/>
                                    <w:right w:val="none" w:sz="0" w:space="0" w:color="auto"/>
                                  </w:divBdr>
                                </w:div>
                                <w:div w:id="1146819609">
                                  <w:marLeft w:val="0"/>
                                  <w:marRight w:val="0"/>
                                  <w:marTop w:val="0"/>
                                  <w:marBottom w:val="0"/>
                                  <w:divBdr>
                                    <w:top w:val="none" w:sz="0" w:space="0" w:color="auto"/>
                                    <w:left w:val="none" w:sz="0" w:space="0" w:color="auto"/>
                                    <w:bottom w:val="none" w:sz="0" w:space="0" w:color="auto"/>
                                    <w:right w:val="none" w:sz="0" w:space="0" w:color="auto"/>
                                  </w:divBdr>
                                </w:div>
                                <w:div w:id="1176379832">
                                  <w:marLeft w:val="0"/>
                                  <w:marRight w:val="0"/>
                                  <w:marTop w:val="0"/>
                                  <w:marBottom w:val="0"/>
                                  <w:divBdr>
                                    <w:top w:val="none" w:sz="0" w:space="0" w:color="auto"/>
                                    <w:left w:val="none" w:sz="0" w:space="0" w:color="auto"/>
                                    <w:bottom w:val="none" w:sz="0" w:space="0" w:color="auto"/>
                                    <w:right w:val="none" w:sz="0" w:space="0" w:color="auto"/>
                                  </w:divBdr>
                                </w:div>
                                <w:div w:id="1227447687">
                                  <w:marLeft w:val="0"/>
                                  <w:marRight w:val="0"/>
                                  <w:marTop w:val="0"/>
                                  <w:marBottom w:val="0"/>
                                  <w:divBdr>
                                    <w:top w:val="none" w:sz="0" w:space="0" w:color="auto"/>
                                    <w:left w:val="none" w:sz="0" w:space="0" w:color="auto"/>
                                    <w:bottom w:val="none" w:sz="0" w:space="0" w:color="auto"/>
                                    <w:right w:val="none" w:sz="0" w:space="0" w:color="auto"/>
                                  </w:divBdr>
                                </w:div>
                                <w:div w:id="1281646055">
                                  <w:marLeft w:val="0"/>
                                  <w:marRight w:val="0"/>
                                  <w:marTop w:val="0"/>
                                  <w:marBottom w:val="0"/>
                                  <w:divBdr>
                                    <w:top w:val="none" w:sz="0" w:space="0" w:color="auto"/>
                                    <w:left w:val="none" w:sz="0" w:space="0" w:color="auto"/>
                                    <w:bottom w:val="none" w:sz="0" w:space="0" w:color="auto"/>
                                    <w:right w:val="none" w:sz="0" w:space="0" w:color="auto"/>
                                  </w:divBdr>
                                </w:div>
                                <w:div w:id="1332567332">
                                  <w:marLeft w:val="0"/>
                                  <w:marRight w:val="0"/>
                                  <w:marTop w:val="0"/>
                                  <w:marBottom w:val="0"/>
                                  <w:divBdr>
                                    <w:top w:val="none" w:sz="0" w:space="0" w:color="auto"/>
                                    <w:left w:val="none" w:sz="0" w:space="0" w:color="auto"/>
                                    <w:bottom w:val="none" w:sz="0" w:space="0" w:color="auto"/>
                                    <w:right w:val="none" w:sz="0" w:space="0" w:color="auto"/>
                                  </w:divBdr>
                                </w:div>
                                <w:div w:id="1352535226">
                                  <w:marLeft w:val="0"/>
                                  <w:marRight w:val="0"/>
                                  <w:marTop w:val="0"/>
                                  <w:marBottom w:val="0"/>
                                  <w:divBdr>
                                    <w:top w:val="none" w:sz="0" w:space="0" w:color="auto"/>
                                    <w:left w:val="none" w:sz="0" w:space="0" w:color="auto"/>
                                    <w:bottom w:val="none" w:sz="0" w:space="0" w:color="auto"/>
                                    <w:right w:val="none" w:sz="0" w:space="0" w:color="auto"/>
                                  </w:divBdr>
                                </w:div>
                                <w:div w:id="1429152075">
                                  <w:marLeft w:val="0"/>
                                  <w:marRight w:val="0"/>
                                  <w:marTop w:val="0"/>
                                  <w:marBottom w:val="0"/>
                                  <w:divBdr>
                                    <w:top w:val="none" w:sz="0" w:space="0" w:color="auto"/>
                                    <w:left w:val="none" w:sz="0" w:space="0" w:color="auto"/>
                                    <w:bottom w:val="none" w:sz="0" w:space="0" w:color="auto"/>
                                    <w:right w:val="none" w:sz="0" w:space="0" w:color="auto"/>
                                  </w:divBdr>
                                </w:div>
                                <w:div w:id="1484394397">
                                  <w:marLeft w:val="0"/>
                                  <w:marRight w:val="0"/>
                                  <w:marTop w:val="0"/>
                                  <w:marBottom w:val="0"/>
                                  <w:divBdr>
                                    <w:top w:val="none" w:sz="0" w:space="0" w:color="auto"/>
                                    <w:left w:val="none" w:sz="0" w:space="0" w:color="auto"/>
                                    <w:bottom w:val="none" w:sz="0" w:space="0" w:color="auto"/>
                                    <w:right w:val="none" w:sz="0" w:space="0" w:color="auto"/>
                                  </w:divBdr>
                                </w:div>
                                <w:div w:id="1519125153">
                                  <w:marLeft w:val="0"/>
                                  <w:marRight w:val="0"/>
                                  <w:marTop w:val="0"/>
                                  <w:marBottom w:val="0"/>
                                  <w:divBdr>
                                    <w:top w:val="none" w:sz="0" w:space="0" w:color="auto"/>
                                    <w:left w:val="none" w:sz="0" w:space="0" w:color="auto"/>
                                    <w:bottom w:val="none" w:sz="0" w:space="0" w:color="auto"/>
                                    <w:right w:val="none" w:sz="0" w:space="0" w:color="auto"/>
                                  </w:divBdr>
                                </w:div>
                                <w:div w:id="1576939257">
                                  <w:marLeft w:val="0"/>
                                  <w:marRight w:val="0"/>
                                  <w:marTop w:val="0"/>
                                  <w:marBottom w:val="0"/>
                                  <w:divBdr>
                                    <w:top w:val="none" w:sz="0" w:space="0" w:color="auto"/>
                                    <w:left w:val="none" w:sz="0" w:space="0" w:color="auto"/>
                                    <w:bottom w:val="none" w:sz="0" w:space="0" w:color="auto"/>
                                    <w:right w:val="none" w:sz="0" w:space="0" w:color="auto"/>
                                  </w:divBdr>
                                </w:div>
                                <w:div w:id="1578175613">
                                  <w:marLeft w:val="0"/>
                                  <w:marRight w:val="0"/>
                                  <w:marTop w:val="0"/>
                                  <w:marBottom w:val="0"/>
                                  <w:divBdr>
                                    <w:top w:val="none" w:sz="0" w:space="0" w:color="auto"/>
                                    <w:left w:val="none" w:sz="0" w:space="0" w:color="auto"/>
                                    <w:bottom w:val="none" w:sz="0" w:space="0" w:color="auto"/>
                                    <w:right w:val="none" w:sz="0" w:space="0" w:color="auto"/>
                                  </w:divBdr>
                                </w:div>
                                <w:div w:id="1624463657">
                                  <w:marLeft w:val="0"/>
                                  <w:marRight w:val="0"/>
                                  <w:marTop w:val="0"/>
                                  <w:marBottom w:val="0"/>
                                  <w:divBdr>
                                    <w:top w:val="none" w:sz="0" w:space="0" w:color="auto"/>
                                    <w:left w:val="none" w:sz="0" w:space="0" w:color="auto"/>
                                    <w:bottom w:val="none" w:sz="0" w:space="0" w:color="auto"/>
                                    <w:right w:val="none" w:sz="0" w:space="0" w:color="auto"/>
                                  </w:divBdr>
                                </w:div>
                                <w:div w:id="1627471400">
                                  <w:marLeft w:val="0"/>
                                  <w:marRight w:val="0"/>
                                  <w:marTop w:val="0"/>
                                  <w:marBottom w:val="0"/>
                                  <w:divBdr>
                                    <w:top w:val="none" w:sz="0" w:space="0" w:color="auto"/>
                                    <w:left w:val="none" w:sz="0" w:space="0" w:color="auto"/>
                                    <w:bottom w:val="none" w:sz="0" w:space="0" w:color="auto"/>
                                    <w:right w:val="none" w:sz="0" w:space="0" w:color="auto"/>
                                  </w:divBdr>
                                </w:div>
                                <w:div w:id="1643462947">
                                  <w:marLeft w:val="0"/>
                                  <w:marRight w:val="0"/>
                                  <w:marTop w:val="0"/>
                                  <w:marBottom w:val="0"/>
                                  <w:divBdr>
                                    <w:top w:val="none" w:sz="0" w:space="0" w:color="auto"/>
                                    <w:left w:val="none" w:sz="0" w:space="0" w:color="auto"/>
                                    <w:bottom w:val="none" w:sz="0" w:space="0" w:color="auto"/>
                                    <w:right w:val="none" w:sz="0" w:space="0" w:color="auto"/>
                                  </w:divBdr>
                                </w:div>
                                <w:div w:id="1666009623">
                                  <w:marLeft w:val="0"/>
                                  <w:marRight w:val="0"/>
                                  <w:marTop w:val="0"/>
                                  <w:marBottom w:val="0"/>
                                  <w:divBdr>
                                    <w:top w:val="none" w:sz="0" w:space="0" w:color="auto"/>
                                    <w:left w:val="none" w:sz="0" w:space="0" w:color="auto"/>
                                    <w:bottom w:val="none" w:sz="0" w:space="0" w:color="auto"/>
                                    <w:right w:val="none" w:sz="0" w:space="0" w:color="auto"/>
                                  </w:divBdr>
                                </w:div>
                                <w:div w:id="1716544582">
                                  <w:marLeft w:val="0"/>
                                  <w:marRight w:val="0"/>
                                  <w:marTop w:val="0"/>
                                  <w:marBottom w:val="0"/>
                                  <w:divBdr>
                                    <w:top w:val="none" w:sz="0" w:space="0" w:color="auto"/>
                                    <w:left w:val="none" w:sz="0" w:space="0" w:color="auto"/>
                                    <w:bottom w:val="none" w:sz="0" w:space="0" w:color="auto"/>
                                    <w:right w:val="none" w:sz="0" w:space="0" w:color="auto"/>
                                  </w:divBdr>
                                </w:div>
                                <w:div w:id="1717581138">
                                  <w:marLeft w:val="0"/>
                                  <w:marRight w:val="0"/>
                                  <w:marTop w:val="0"/>
                                  <w:marBottom w:val="0"/>
                                  <w:divBdr>
                                    <w:top w:val="none" w:sz="0" w:space="0" w:color="auto"/>
                                    <w:left w:val="none" w:sz="0" w:space="0" w:color="auto"/>
                                    <w:bottom w:val="none" w:sz="0" w:space="0" w:color="auto"/>
                                    <w:right w:val="none" w:sz="0" w:space="0" w:color="auto"/>
                                  </w:divBdr>
                                </w:div>
                                <w:div w:id="1719235911">
                                  <w:marLeft w:val="0"/>
                                  <w:marRight w:val="0"/>
                                  <w:marTop w:val="0"/>
                                  <w:marBottom w:val="0"/>
                                  <w:divBdr>
                                    <w:top w:val="none" w:sz="0" w:space="0" w:color="auto"/>
                                    <w:left w:val="none" w:sz="0" w:space="0" w:color="auto"/>
                                    <w:bottom w:val="none" w:sz="0" w:space="0" w:color="auto"/>
                                    <w:right w:val="none" w:sz="0" w:space="0" w:color="auto"/>
                                  </w:divBdr>
                                </w:div>
                                <w:div w:id="1756516200">
                                  <w:marLeft w:val="0"/>
                                  <w:marRight w:val="0"/>
                                  <w:marTop w:val="0"/>
                                  <w:marBottom w:val="0"/>
                                  <w:divBdr>
                                    <w:top w:val="none" w:sz="0" w:space="0" w:color="auto"/>
                                    <w:left w:val="none" w:sz="0" w:space="0" w:color="auto"/>
                                    <w:bottom w:val="none" w:sz="0" w:space="0" w:color="auto"/>
                                    <w:right w:val="none" w:sz="0" w:space="0" w:color="auto"/>
                                  </w:divBdr>
                                </w:div>
                                <w:div w:id="1809393079">
                                  <w:marLeft w:val="0"/>
                                  <w:marRight w:val="0"/>
                                  <w:marTop w:val="0"/>
                                  <w:marBottom w:val="0"/>
                                  <w:divBdr>
                                    <w:top w:val="none" w:sz="0" w:space="0" w:color="auto"/>
                                    <w:left w:val="none" w:sz="0" w:space="0" w:color="auto"/>
                                    <w:bottom w:val="none" w:sz="0" w:space="0" w:color="auto"/>
                                    <w:right w:val="none" w:sz="0" w:space="0" w:color="auto"/>
                                  </w:divBdr>
                                </w:div>
                                <w:div w:id="1921404145">
                                  <w:marLeft w:val="0"/>
                                  <w:marRight w:val="0"/>
                                  <w:marTop w:val="0"/>
                                  <w:marBottom w:val="0"/>
                                  <w:divBdr>
                                    <w:top w:val="none" w:sz="0" w:space="0" w:color="auto"/>
                                    <w:left w:val="none" w:sz="0" w:space="0" w:color="auto"/>
                                    <w:bottom w:val="none" w:sz="0" w:space="0" w:color="auto"/>
                                    <w:right w:val="none" w:sz="0" w:space="0" w:color="auto"/>
                                  </w:divBdr>
                                </w:div>
                                <w:div w:id="1982074982">
                                  <w:marLeft w:val="0"/>
                                  <w:marRight w:val="0"/>
                                  <w:marTop w:val="0"/>
                                  <w:marBottom w:val="0"/>
                                  <w:divBdr>
                                    <w:top w:val="none" w:sz="0" w:space="0" w:color="auto"/>
                                    <w:left w:val="none" w:sz="0" w:space="0" w:color="auto"/>
                                    <w:bottom w:val="none" w:sz="0" w:space="0" w:color="auto"/>
                                    <w:right w:val="none" w:sz="0" w:space="0" w:color="auto"/>
                                  </w:divBdr>
                                </w:div>
                                <w:div w:id="1982732043">
                                  <w:marLeft w:val="0"/>
                                  <w:marRight w:val="0"/>
                                  <w:marTop w:val="0"/>
                                  <w:marBottom w:val="0"/>
                                  <w:divBdr>
                                    <w:top w:val="none" w:sz="0" w:space="0" w:color="auto"/>
                                    <w:left w:val="none" w:sz="0" w:space="0" w:color="auto"/>
                                    <w:bottom w:val="none" w:sz="0" w:space="0" w:color="auto"/>
                                    <w:right w:val="none" w:sz="0" w:space="0" w:color="auto"/>
                                  </w:divBdr>
                                </w:div>
                                <w:div w:id="1989049859">
                                  <w:marLeft w:val="0"/>
                                  <w:marRight w:val="0"/>
                                  <w:marTop w:val="0"/>
                                  <w:marBottom w:val="0"/>
                                  <w:divBdr>
                                    <w:top w:val="none" w:sz="0" w:space="0" w:color="auto"/>
                                    <w:left w:val="none" w:sz="0" w:space="0" w:color="auto"/>
                                    <w:bottom w:val="none" w:sz="0" w:space="0" w:color="auto"/>
                                    <w:right w:val="none" w:sz="0" w:space="0" w:color="auto"/>
                                  </w:divBdr>
                                </w:div>
                                <w:div w:id="2062747401">
                                  <w:marLeft w:val="0"/>
                                  <w:marRight w:val="0"/>
                                  <w:marTop w:val="0"/>
                                  <w:marBottom w:val="0"/>
                                  <w:divBdr>
                                    <w:top w:val="none" w:sz="0" w:space="0" w:color="auto"/>
                                    <w:left w:val="none" w:sz="0" w:space="0" w:color="auto"/>
                                    <w:bottom w:val="none" w:sz="0" w:space="0" w:color="auto"/>
                                    <w:right w:val="none" w:sz="0" w:space="0" w:color="auto"/>
                                  </w:divBdr>
                                </w:div>
                                <w:div w:id="2063795406">
                                  <w:marLeft w:val="0"/>
                                  <w:marRight w:val="0"/>
                                  <w:marTop w:val="0"/>
                                  <w:marBottom w:val="0"/>
                                  <w:divBdr>
                                    <w:top w:val="none" w:sz="0" w:space="0" w:color="auto"/>
                                    <w:left w:val="none" w:sz="0" w:space="0" w:color="auto"/>
                                    <w:bottom w:val="none" w:sz="0" w:space="0" w:color="auto"/>
                                    <w:right w:val="none" w:sz="0" w:space="0" w:color="auto"/>
                                  </w:divBdr>
                                </w:div>
                                <w:div w:id="2068608746">
                                  <w:marLeft w:val="0"/>
                                  <w:marRight w:val="0"/>
                                  <w:marTop w:val="0"/>
                                  <w:marBottom w:val="0"/>
                                  <w:divBdr>
                                    <w:top w:val="none" w:sz="0" w:space="0" w:color="auto"/>
                                    <w:left w:val="none" w:sz="0" w:space="0" w:color="auto"/>
                                    <w:bottom w:val="none" w:sz="0" w:space="0" w:color="auto"/>
                                    <w:right w:val="none" w:sz="0" w:space="0" w:color="auto"/>
                                  </w:divBdr>
                                </w:div>
                                <w:div w:id="2075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0803">
                          <w:marLeft w:val="0"/>
                          <w:marRight w:val="0"/>
                          <w:marTop w:val="0"/>
                          <w:marBottom w:val="0"/>
                          <w:divBdr>
                            <w:top w:val="none" w:sz="0" w:space="0" w:color="auto"/>
                            <w:left w:val="none" w:sz="0" w:space="0" w:color="auto"/>
                            <w:bottom w:val="none" w:sz="0" w:space="0" w:color="auto"/>
                            <w:right w:val="none" w:sz="0" w:space="0" w:color="auto"/>
                          </w:divBdr>
                          <w:divsChild>
                            <w:div w:id="14120380">
                              <w:marLeft w:val="0"/>
                              <w:marRight w:val="0"/>
                              <w:marTop w:val="0"/>
                              <w:marBottom w:val="0"/>
                              <w:divBdr>
                                <w:top w:val="none" w:sz="0" w:space="0" w:color="auto"/>
                                <w:left w:val="none" w:sz="0" w:space="0" w:color="auto"/>
                                <w:bottom w:val="none" w:sz="0" w:space="0" w:color="auto"/>
                                <w:right w:val="none" w:sz="0" w:space="0" w:color="auto"/>
                              </w:divBdr>
                              <w:divsChild>
                                <w:div w:id="19167405">
                                  <w:marLeft w:val="0"/>
                                  <w:marRight w:val="0"/>
                                  <w:marTop w:val="0"/>
                                  <w:marBottom w:val="0"/>
                                  <w:divBdr>
                                    <w:top w:val="none" w:sz="0" w:space="0" w:color="auto"/>
                                    <w:left w:val="none" w:sz="0" w:space="0" w:color="auto"/>
                                    <w:bottom w:val="none" w:sz="0" w:space="0" w:color="auto"/>
                                    <w:right w:val="none" w:sz="0" w:space="0" w:color="auto"/>
                                  </w:divBdr>
                                </w:div>
                                <w:div w:id="150489936">
                                  <w:marLeft w:val="0"/>
                                  <w:marRight w:val="0"/>
                                  <w:marTop w:val="0"/>
                                  <w:marBottom w:val="0"/>
                                  <w:divBdr>
                                    <w:top w:val="none" w:sz="0" w:space="0" w:color="auto"/>
                                    <w:left w:val="none" w:sz="0" w:space="0" w:color="auto"/>
                                    <w:bottom w:val="none" w:sz="0" w:space="0" w:color="auto"/>
                                    <w:right w:val="none" w:sz="0" w:space="0" w:color="auto"/>
                                  </w:divBdr>
                                </w:div>
                                <w:div w:id="202986542">
                                  <w:marLeft w:val="0"/>
                                  <w:marRight w:val="0"/>
                                  <w:marTop w:val="0"/>
                                  <w:marBottom w:val="0"/>
                                  <w:divBdr>
                                    <w:top w:val="none" w:sz="0" w:space="0" w:color="auto"/>
                                    <w:left w:val="none" w:sz="0" w:space="0" w:color="auto"/>
                                    <w:bottom w:val="none" w:sz="0" w:space="0" w:color="auto"/>
                                    <w:right w:val="none" w:sz="0" w:space="0" w:color="auto"/>
                                  </w:divBdr>
                                </w:div>
                                <w:div w:id="208302399">
                                  <w:marLeft w:val="0"/>
                                  <w:marRight w:val="0"/>
                                  <w:marTop w:val="0"/>
                                  <w:marBottom w:val="0"/>
                                  <w:divBdr>
                                    <w:top w:val="none" w:sz="0" w:space="0" w:color="auto"/>
                                    <w:left w:val="none" w:sz="0" w:space="0" w:color="auto"/>
                                    <w:bottom w:val="none" w:sz="0" w:space="0" w:color="auto"/>
                                    <w:right w:val="none" w:sz="0" w:space="0" w:color="auto"/>
                                  </w:divBdr>
                                </w:div>
                                <w:div w:id="212885515">
                                  <w:marLeft w:val="0"/>
                                  <w:marRight w:val="0"/>
                                  <w:marTop w:val="0"/>
                                  <w:marBottom w:val="0"/>
                                  <w:divBdr>
                                    <w:top w:val="none" w:sz="0" w:space="0" w:color="auto"/>
                                    <w:left w:val="none" w:sz="0" w:space="0" w:color="auto"/>
                                    <w:bottom w:val="none" w:sz="0" w:space="0" w:color="auto"/>
                                    <w:right w:val="none" w:sz="0" w:space="0" w:color="auto"/>
                                  </w:divBdr>
                                </w:div>
                                <w:div w:id="213392700">
                                  <w:marLeft w:val="0"/>
                                  <w:marRight w:val="0"/>
                                  <w:marTop w:val="0"/>
                                  <w:marBottom w:val="0"/>
                                  <w:divBdr>
                                    <w:top w:val="none" w:sz="0" w:space="0" w:color="auto"/>
                                    <w:left w:val="none" w:sz="0" w:space="0" w:color="auto"/>
                                    <w:bottom w:val="none" w:sz="0" w:space="0" w:color="auto"/>
                                    <w:right w:val="none" w:sz="0" w:space="0" w:color="auto"/>
                                  </w:divBdr>
                                </w:div>
                                <w:div w:id="221255250">
                                  <w:marLeft w:val="0"/>
                                  <w:marRight w:val="0"/>
                                  <w:marTop w:val="0"/>
                                  <w:marBottom w:val="0"/>
                                  <w:divBdr>
                                    <w:top w:val="none" w:sz="0" w:space="0" w:color="auto"/>
                                    <w:left w:val="none" w:sz="0" w:space="0" w:color="auto"/>
                                    <w:bottom w:val="none" w:sz="0" w:space="0" w:color="auto"/>
                                    <w:right w:val="none" w:sz="0" w:space="0" w:color="auto"/>
                                  </w:divBdr>
                                </w:div>
                                <w:div w:id="265620859">
                                  <w:marLeft w:val="0"/>
                                  <w:marRight w:val="0"/>
                                  <w:marTop w:val="0"/>
                                  <w:marBottom w:val="0"/>
                                  <w:divBdr>
                                    <w:top w:val="none" w:sz="0" w:space="0" w:color="auto"/>
                                    <w:left w:val="none" w:sz="0" w:space="0" w:color="auto"/>
                                    <w:bottom w:val="none" w:sz="0" w:space="0" w:color="auto"/>
                                    <w:right w:val="none" w:sz="0" w:space="0" w:color="auto"/>
                                  </w:divBdr>
                                </w:div>
                                <w:div w:id="272326538">
                                  <w:marLeft w:val="0"/>
                                  <w:marRight w:val="0"/>
                                  <w:marTop w:val="0"/>
                                  <w:marBottom w:val="0"/>
                                  <w:divBdr>
                                    <w:top w:val="none" w:sz="0" w:space="0" w:color="auto"/>
                                    <w:left w:val="none" w:sz="0" w:space="0" w:color="auto"/>
                                    <w:bottom w:val="none" w:sz="0" w:space="0" w:color="auto"/>
                                    <w:right w:val="none" w:sz="0" w:space="0" w:color="auto"/>
                                  </w:divBdr>
                                </w:div>
                                <w:div w:id="288973540">
                                  <w:marLeft w:val="0"/>
                                  <w:marRight w:val="0"/>
                                  <w:marTop w:val="0"/>
                                  <w:marBottom w:val="0"/>
                                  <w:divBdr>
                                    <w:top w:val="none" w:sz="0" w:space="0" w:color="auto"/>
                                    <w:left w:val="none" w:sz="0" w:space="0" w:color="auto"/>
                                    <w:bottom w:val="none" w:sz="0" w:space="0" w:color="auto"/>
                                    <w:right w:val="none" w:sz="0" w:space="0" w:color="auto"/>
                                  </w:divBdr>
                                </w:div>
                                <w:div w:id="300231672">
                                  <w:marLeft w:val="0"/>
                                  <w:marRight w:val="0"/>
                                  <w:marTop w:val="0"/>
                                  <w:marBottom w:val="0"/>
                                  <w:divBdr>
                                    <w:top w:val="none" w:sz="0" w:space="0" w:color="auto"/>
                                    <w:left w:val="none" w:sz="0" w:space="0" w:color="auto"/>
                                    <w:bottom w:val="none" w:sz="0" w:space="0" w:color="auto"/>
                                    <w:right w:val="none" w:sz="0" w:space="0" w:color="auto"/>
                                  </w:divBdr>
                                </w:div>
                                <w:div w:id="307168584">
                                  <w:marLeft w:val="0"/>
                                  <w:marRight w:val="0"/>
                                  <w:marTop w:val="0"/>
                                  <w:marBottom w:val="0"/>
                                  <w:divBdr>
                                    <w:top w:val="none" w:sz="0" w:space="0" w:color="auto"/>
                                    <w:left w:val="none" w:sz="0" w:space="0" w:color="auto"/>
                                    <w:bottom w:val="none" w:sz="0" w:space="0" w:color="auto"/>
                                    <w:right w:val="none" w:sz="0" w:space="0" w:color="auto"/>
                                  </w:divBdr>
                                </w:div>
                                <w:div w:id="315960881">
                                  <w:marLeft w:val="0"/>
                                  <w:marRight w:val="0"/>
                                  <w:marTop w:val="0"/>
                                  <w:marBottom w:val="0"/>
                                  <w:divBdr>
                                    <w:top w:val="none" w:sz="0" w:space="0" w:color="auto"/>
                                    <w:left w:val="none" w:sz="0" w:space="0" w:color="auto"/>
                                    <w:bottom w:val="none" w:sz="0" w:space="0" w:color="auto"/>
                                    <w:right w:val="none" w:sz="0" w:space="0" w:color="auto"/>
                                  </w:divBdr>
                                </w:div>
                                <w:div w:id="371616590">
                                  <w:marLeft w:val="0"/>
                                  <w:marRight w:val="0"/>
                                  <w:marTop w:val="0"/>
                                  <w:marBottom w:val="0"/>
                                  <w:divBdr>
                                    <w:top w:val="none" w:sz="0" w:space="0" w:color="auto"/>
                                    <w:left w:val="none" w:sz="0" w:space="0" w:color="auto"/>
                                    <w:bottom w:val="none" w:sz="0" w:space="0" w:color="auto"/>
                                    <w:right w:val="none" w:sz="0" w:space="0" w:color="auto"/>
                                  </w:divBdr>
                                </w:div>
                                <w:div w:id="385417388">
                                  <w:marLeft w:val="0"/>
                                  <w:marRight w:val="0"/>
                                  <w:marTop w:val="0"/>
                                  <w:marBottom w:val="0"/>
                                  <w:divBdr>
                                    <w:top w:val="none" w:sz="0" w:space="0" w:color="auto"/>
                                    <w:left w:val="none" w:sz="0" w:space="0" w:color="auto"/>
                                    <w:bottom w:val="none" w:sz="0" w:space="0" w:color="auto"/>
                                    <w:right w:val="none" w:sz="0" w:space="0" w:color="auto"/>
                                  </w:divBdr>
                                </w:div>
                                <w:div w:id="536048071">
                                  <w:marLeft w:val="0"/>
                                  <w:marRight w:val="0"/>
                                  <w:marTop w:val="0"/>
                                  <w:marBottom w:val="0"/>
                                  <w:divBdr>
                                    <w:top w:val="none" w:sz="0" w:space="0" w:color="auto"/>
                                    <w:left w:val="none" w:sz="0" w:space="0" w:color="auto"/>
                                    <w:bottom w:val="none" w:sz="0" w:space="0" w:color="auto"/>
                                    <w:right w:val="none" w:sz="0" w:space="0" w:color="auto"/>
                                  </w:divBdr>
                                </w:div>
                                <w:div w:id="551423079">
                                  <w:marLeft w:val="0"/>
                                  <w:marRight w:val="0"/>
                                  <w:marTop w:val="0"/>
                                  <w:marBottom w:val="0"/>
                                  <w:divBdr>
                                    <w:top w:val="none" w:sz="0" w:space="0" w:color="auto"/>
                                    <w:left w:val="none" w:sz="0" w:space="0" w:color="auto"/>
                                    <w:bottom w:val="none" w:sz="0" w:space="0" w:color="auto"/>
                                    <w:right w:val="none" w:sz="0" w:space="0" w:color="auto"/>
                                  </w:divBdr>
                                </w:div>
                                <w:div w:id="593167117">
                                  <w:marLeft w:val="0"/>
                                  <w:marRight w:val="0"/>
                                  <w:marTop w:val="0"/>
                                  <w:marBottom w:val="0"/>
                                  <w:divBdr>
                                    <w:top w:val="none" w:sz="0" w:space="0" w:color="auto"/>
                                    <w:left w:val="none" w:sz="0" w:space="0" w:color="auto"/>
                                    <w:bottom w:val="none" w:sz="0" w:space="0" w:color="auto"/>
                                    <w:right w:val="none" w:sz="0" w:space="0" w:color="auto"/>
                                  </w:divBdr>
                                </w:div>
                                <w:div w:id="628707158">
                                  <w:marLeft w:val="0"/>
                                  <w:marRight w:val="0"/>
                                  <w:marTop w:val="0"/>
                                  <w:marBottom w:val="0"/>
                                  <w:divBdr>
                                    <w:top w:val="none" w:sz="0" w:space="0" w:color="auto"/>
                                    <w:left w:val="none" w:sz="0" w:space="0" w:color="auto"/>
                                    <w:bottom w:val="none" w:sz="0" w:space="0" w:color="auto"/>
                                    <w:right w:val="none" w:sz="0" w:space="0" w:color="auto"/>
                                  </w:divBdr>
                                </w:div>
                                <w:div w:id="648872865">
                                  <w:marLeft w:val="0"/>
                                  <w:marRight w:val="0"/>
                                  <w:marTop w:val="0"/>
                                  <w:marBottom w:val="0"/>
                                  <w:divBdr>
                                    <w:top w:val="none" w:sz="0" w:space="0" w:color="auto"/>
                                    <w:left w:val="none" w:sz="0" w:space="0" w:color="auto"/>
                                    <w:bottom w:val="none" w:sz="0" w:space="0" w:color="auto"/>
                                    <w:right w:val="none" w:sz="0" w:space="0" w:color="auto"/>
                                  </w:divBdr>
                                </w:div>
                                <w:div w:id="656954787">
                                  <w:marLeft w:val="0"/>
                                  <w:marRight w:val="0"/>
                                  <w:marTop w:val="0"/>
                                  <w:marBottom w:val="0"/>
                                  <w:divBdr>
                                    <w:top w:val="none" w:sz="0" w:space="0" w:color="auto"/>
                                    <w:left w:val="none" w:sz="0" w:space="0" w:color="auto"/>
                                    <w:bottom w:val="none" w:sz="0" w:space="0" w:color="auto"/>
                                    <w:right w:val="none" w:sz="0" w:space="0" w:color="auto"/>
                                  </w:divBdr>
                                </w:div>
                                <w:div w:id="683556503">
                                  <w:marLeft w:val="0"/>
                                  <w:marRight w:val="0"/>
                                  <w:marTop w:val="0"/>
                                  <w:marBottom w:val="0"/>
                                  <w:divBdr>
                                    <w:top w:val="none" w:sz="0" w:space="0" w:color="auto"/>
                                    <w:left w:val="none" w:sz="0" w:space="0" w:color="auto"/>
                                    <w:bottom w:val="none" w:sz="0" w:space="0" w:color="auto"/>
                                    <w:right w:val="none" w:sz="0" w:space="0" w:color="auto"/>
                                  </w:divBdr>
                                </w:div>
                                <w:div w:id="820855685">
                                  <w:marLeft w:val="0"/>
                                  <w:marRight w:val="0"/>
                                  <w:marTop w:val="0"/>
                                  <w:marBottom w:val="0"/>
                                  <w:divBdr>
                                    <w:top w:val="none" w:sz="0" w:space="0" w:color="auto"/>
                                    <w:left w:val="none" w:sz="0" w:space="0" w:color="auto"/>
                                    <w:bottom w:val="none" w:sz="0" w:space="0" w:color="auto"/>
                                    <w:right w:val="none" w:sz="0" w:space="0" w:color="auto"/>
                                  </w:divBdr>
                                </w:div>
                                <w:div w:id="849492522">
                                  <w:marLeft w:val="0"/>
                                  <w:marRight w:val="0"/>
                                  <w:marTop w:val="0"/>
                                  <w:marBottom w:val="0"/>
                                  <w:divBdr>
                                    <w:top w:val="none" w:sz="0" w:space="0" w:color="auto"/>
                                    <w:left w:val="none" w:sz="0" w:space="0" w:color="auto"/>
                                    <w:bottom w:val="none" w:sz="0" w:space="0" w:color="auto"/>
                                    <w:right w:val="none" w:sz="0" w:space="0" w:color="auto"/>
                                  </w:divBdr>
                                </w:div>
                                <w:div w:id="861474244">
                                  <w:marLeft w:val="0"/>
                                  <w:marRight w:val="0"/>
                                  <w:marTop w:val="0"/>
                                  <w:marBottom w:val="0"/>
                                  <w:divBdr>
                                    <w:top w:val="none" w:sz="0" w:space="0" w:color="auto"/>
                                    <w:left w:val="none" w:sz="0" w:space="0" w:color="auto"/>
                                    <w:bottom w:val="none" w:sz="0" w:space="0" w:color="auto"/>
                                    <w:right w:val="none" w:sz="0" w:space="0" w:color="auto"/>
                                  </w:divBdr>
                                </w:div>
                                <w:div w:id="960501308">
                                  <w:marLeft w:val="0"/>
                                  <w:marRight w:val="0"/>
                                  <w:marTop w:val="0"/>
                                  <w:marBottom w:val="0"/>
                                  <w:divBdr>
                                    <w:top w:val="none" w:sz="0" w:space="0" w:color="auto"/>
                                    <w:left w:val="none" w:sz="0" w:space="0" w:color="auto"/>
                                    <w:bottom w:val="none" w:sz="0" w:space="0" w:color="auto"/>
                                    <w:right w:val="none" w:sz="0" w:space="0" w:color="auto"/>
                                  </w:divBdr>
                                </w:div>
                                <w:div w:id="981424538">
                                  <w:marLeft w:val="0"/>
                                  <w:marRight w:val="0"/>
                                  <w:marTop w:val="0"/>
                                  <w:marBottom w:val="0"/>
                                  <w:divBdr>
                                    <w:top w:val="none" w:sz="0" w:space="0" w:color="auto"/>
                                    <w:left w:val="none" w:sz="0" w:space="0" w:color="auto"/>
                                    <w:bottom w:val="none" w:sz="0" w:space="0" w:color="auto"/>
                                    <w:right w:val="none" w:sz="0" w:space="0" w:color="auto"/>
                                  </w:divBdr>
                                </w:div>
                                <w:div w:id="989601508">
                                  <w:marLeft w:val="0"/>
                                  <w:marRight w:val="0"/>
                                  <w:marTop w:val="0"/>
                                  <w:marBottom w:val="0"/>
                                  <w:divBdr>
                                    <w:top w:val="none" w:sz="0" w:space="0" w:color="auto"/>
                                    <w:left w:val="none" w:sz="0" w:space="0" w:color="auto"/>
                                    <w:bottom w:val="none" w:sz="0" w:space="0" w:color="auto"/>
                                    <w:right w:val="none" w:sz="0" w:space="0" w:color="auto"/>
                                  </w:divBdr>
                                </w:div>
                                <w:div w:id="1014262405">
                                  <w:marLeft w:val="0"/>
                                  <w:marRight w:val="0"/>
                                  <w:marTop w:val="0"/>
                                  <w:marBottom w:val="0"/>
                                  <w:divBdr>
                                    <w:top w:val="none" w:sz="0" w:space="0" w:color="auto"/>
                                    <w:left w:val="none" w:sz="0" w:space="0" w:color="auto"/>
                                    <w:bottom w:val="none" w:sz="0" w:space="0" w:color="auto"/>
                                    <w:right w:val="none" w:sz="0" w:space="0" w:color="auto"/>
                                  </w:divBdr>
                                </w:div>
                                <w:div w:id="1067336969">
                                  <w:marLeft w:val="0"/>
                                  <w:marRight w:val="0"/>
                                  <w:marTop w:val="0"/>
                                  <w:marBottom w:val="0"/>
                                  <w:divBdr>
                                    <w:top w:val="none" w:sz="0" w:space="0" w:color="auto"/>
                                    <w:left w:val="none" w:sz="0" w:space="0" w:color="auto"/>
                                    <w:bottom w:val="none" w:sz="0" w:space="0" w:color="auto"/>
                                    <w:right w:val="none" w:sz="0" w:space="0" w:color="auto"/>
                                  </w:divBdr>
                                </w:div>
                                <w:div w:id="1093015972">
                                  <w:marLeft w:val="0"/>
                                  <w:marRight w:val="0"/>
                                  <w:marTop w:val="0"/>
                                  <w:marBottom w:val="0"/>
                                  <w:divBdr>
                                    <w:top w:val="none" w:sz="0" w:space="0" w:color="auto"/>
                                    <w:left w:val="none" w:sz="0" w:space="0" w:color="auto"/>
                                    <w:bottom w:val="none" w:sz="0" w:space="0" w:color="auto"/>
                                    <w:right w:val="none" w:sz="0" w:space="0" w:color="auto"/>
                                  </w:divBdr>
                                </w:div>
                                <w:div w:id="1098646637">
                                  <w:marLeft w:val="0"/>
                                  <w:marRight w:val="0"/>
                                  <w:marTop w:val="0"/>
                                  <w:marBottom w:val="0"/>
                                  <w:divBdr>
                                    <w:top w:val="none" w:sz="0" w:space="0" w:color="auto"/>
                                    <w:left w:val="none" w:sz="0" w:space="0" w:color="auto"/>
                                    <w:bottom w:val="none" w:sz="0" w:space="0" w:color="auto"/>
                                    <w:right w:val="none" w:sz="0" w:space="0" w:color="auto"/>
                                  </w:divBdr>
                                </w:div>
                                <w:div w:id="1149446248">
                                  <w:marLeft w:val="0"/>
                                  <w:marRight w:val="0"/>
                                  <w:marTop w:val="0"/>
                                  <w:marBottom w:val="0"/>
                                  <w:divBdr>
                                    <w:top w:val="none" w:sz="0" w:space="0" w:color="auto"/>
                                    <w:left w:val="none" w:sz="0" w:space="0" w:color="auto"/>
                                    <w:bottom w:val="none" w:sz="0" w:space="0" w:color="auto"/>
                                    <w:right w:val="none" w:sz="0" w:space="0" w:color="auto"/>
                                  </w:divBdr>
                                </w:div>
                                <w:div w:id="1198815356">
                                  <w:marLeft w:val="0"/>
                                  <w:marRight w:val="0"/>
                                  <w:marTop w:val="0"/>
                                  <w:marBottom w:val="0"/>
                                  <w:divBdr>
                                    <w:top w:val="none" w:sz="0" w:space="0" w:color="auto"/>
                                    <w:left w:val="none" w:sz="0" w:space="0" w:color="auto"/>
                                    <w:bottom w:val="none" w:sz="0" w:space="0" w:color="auto"/>
                                    <w:right w:val="none" w:sz="0" w:space="0" w:color="auto"/>
                                  </w:divBdr>
                                </w:div>
                                <w:div w:id="1204638906">
                                  <w:marLeft w:val="0"/>
                                  <w:marRight w:val="0"/>
                                  <w:marTop w:val="0"/>
                                  <w:marBottom w:val="0"/>
                                  <w:divBdr>
                                    <w:top w:val="none" w:sz="0" w:space="0" w:color="auto"/>
                                    <w:left w:val="none" w:sz="0" w:space="0" w:color="auto"/>
                                    <w:bottom w:val="none" w:sz="0" w:space="0" w:color="auto"/>
                                    <w:right w:val="none" w:sz="0" w:space="0" w:color="auto"/>
                                  </w:divBdr>
                                </w:div>
                                <w:div w:id="1222054170">
                                  <w:marLeft w:val="0"/>
                                  <w:marRight w:val="0"/>
                                  <w:marTop w:val="0"/>
                                  <w:marBottom w:val="0"/>
                                  <w:divBdr>
                                    <w:top w:val="none" w:sz="0" w:space="0" w:color="auto"/>
                                    <w:left w:val="none" w:sz="0" w:space="0" w:color="auto"/>
                                    <w:bottom w:val="none" w:sz="0" w:space="0" w:color="auto"/>
                                    <w:right w:val="none" w:sz="0" w:space="0" w:color="auto"/>
                                  </w:divBdr>
                                </w:div>
                                <w:div w:id="1300840466">
                                  <w:marLeft w:val="0"/>
                                  <w:marRight w:val="0"/>
                                  <w:marTop w:val="0"/>
                                  <w:marBottom w:val="0"/>
                                  <w:divBdr>
                                    <w:top w:val="none" w:sz="0" w:space="0" w:color="auto"/>
                                    <w:left w:val="none" w:sz="0" w:space="0" w:color="auto"/>
                                    <w:bottom w:val="none" w:sz="0" w:space="0" w:color="auto"/>
                                    <w:right w:val="none" w:sz="0" w:space="0" w:color="auto"/>
                                  </w:divBdr>
                                </w:div>
                                <w:div w:id="1388725004">
                                  <w:marLeft w:val="0"/>
                                  <w:marRight w:val="0"/>
                                  <w:marTop w:val="0"/>
                                  <w:marBottom w:val="0"/>
                                  <w:divBdr>
                                    <w:top w:val="none" w:sz="0" w:space="0" w:color="auto"/>
                                    <w:left w:val="none" w:sz="0" w:space="0" w:color="auto"/>
                                    <w:bottom w:val="none" w:sz="0" w:space="0" w:color="auto"/>
                                    <w:right w:val="none" w:sz="0" w:space="0" w:color="auto"/>
                                  </w:divBdr>
                                </w:div>
                                <w:div w:id="1462651153">
                                  <w:marLeft w:val="0"/>
                                  <w:marRight w:val="0"/>
                                  <w:marTop w:val="0"/>
                                  <w:marBottom w:val="0"/>
                                  <w:divBdr>
                                    <w:top w:val="none" w:sz="0" w:space="0" w:color="auto"/>
                                    <w:left w:val="none" w:sz="0" w:space="0" w:color="auto"/>
                                    <w:bottom w:val="none" w:sz="0" w:space="0" w:color="auto"/>
                                    <w:right w:val="none" w:sz="0" w:space="0" w:color="auto"/>
                                  </w:divBdr>
                                </w:div>
                                <w:div w:id="1491754437">
                                  <w:marLeft w:val="0"/>
                                  <w:marRight w:val="0"/>
                                  <w:marTop w:val="0"/>
                                  <w:marBottom w:val="0"/>
                                  <w:divBdr>
                                    <w:top w:val="none" w:sz="0" w:space="0" w:color="auto"/>
                                    <w:left w:val="none" w:sz="0" w:space="0" w:color="auto"/>
                                    <w:bottom w:val="none" w:sz="0" w:space="0" w:color="auto"/>
                                    <w:right w:val="none" w:sz="0" w:space="0" w:color="auto"/>
                                  </w:divBdr>
                                </w:div>
                                <w:div w:id="1522279362">
                                  <w:marLeft w:val="0"/>
                                  <w:marRight w:val="0"/>
                                  <w:marTop w:val="0"/>
                                  <w:marBottom w:val="0"/>
                                  <w:divBdr>
                                    <w:top w:val="none" w:sz="0" w:space="0" w:color="auto"/>
                                    <w:left w:val="none" w:sz="0" w:space="0" w:color="auto"/>
                                    <w:bottom w:val="none" w:sz="0" w:space="0" w:color="auto"/>
                                    <w:right w:val="none" w:sz="0" w:space="0" w:color="auto"/>
                                  </w:divBdr>
                                </w:div>
                                <w:div w:id="1560555467">
                                  <w:marLeft w:val="0"/>
                                  <w:marRight w:val="0"/>
                                  <w:marTop w:val="0"/>
                                  <w:marBottom w:val="0"/>
                                  <w:divBdr>
                                    <w:top w:val="none" w:sz="0" w:space="0" w:color="auto"/>
                                    <w:left w:val="none" w:sz="0" w:space="0" w:color="auto"/>
                                    <w:bottom w:val="none" w:sz="0" w:space="0" w:color="auto"/>
                                    <w:right w:val="none" w:sz="0" w:space="0" w:color="auto"/>
                                  </w:divBdr>
                                </w:div>
                                <w:div w:id="1626502906">
                                  <w:marLeft w:val="0"/>
                                  <w:marRight w:val="0"/>
                                  <w:marTop w:val="0"/>
                                  <w:marBottom w:val="0"/>
                                  <w:divBdr>
                                    <w:top w:val="none" w:sz="0" w:space="0" w:color="auto"/>
                                    <w:left w:val="none" w:sz="0" w:space="0" w:color="auto"/>
                                    <w:bottom w:val="none" w:sz="0" w:space="0" w:color="auto"/>
                                    <w:right w:val="none" w:sz="0" w:space="0" w:color="auto"/>
                                  </w:divBdr>
                                </w:div>
                                <w:div w:id="1634827590">
                                  <w:marLeft w:val="0"/>
                                  <w:marRight w:val="0"/>
                                  <w:marTop w:val="0"/>
                                  <w:marBottom w:val="0"/>
                                  <w:divBdr>
                                    <w:top w:val="none" w:sz="0" w:space="0" w:color="auto"/>
                                    <w:left w:val="none" w:sz="0" w:space="0" w:color="auto"/>
                                    <w:bottom w:val="none" w:sz="0" w:space="0" w:color="auto"/>
                                    <w:right w:val="none" w:sz="0" w:space="0" w:color="auto"/>
                                  </w:divBdr>
                                </w:div>
                                <w:div w:id="1701399621">
                                  <w:marLeft w:val="0"/>
                                  <w:marRight w:val="0"/>
                                  <w:marTop w:val="0"/>
                                  <w:marBottom w:val="0"/>
                                  <w:divBdr>
                                    <w:top w:val="none" w:sz="0" w:space="0" w:color="auto"/>
                                    <w:left w:val="none" w:sz="0" w:space="0" w:color="auto"/>
                                    <w:bottom w:val="none" w:sz="0" w:space="0" w:color="auto"/>
                                    <w:right w:val="none" w:sz="0" w:space="0" w:color="auto"/>
                                  </w:divBdr>
                                </w:div>
                                <w:div w:id="1723676091">
                                  <w:marLeft w:val="0"/>
                                  <w:marRight w:val="0"/>
                                  <w:marTop w:val="0"/>
                                  <w:marBottom w:val="0"/>
                                  <w:divBdr>
                                    <w:top w:val="none" w:sz="0" w:space="0" w:color="auto"/>
                                    <w:left w:val="none" w:sz="0" w:space="0" w:color="auto"/>
                                    <w:bottom w:val="none" w:sz="0" w:space="0" w:color="auto"/>
                                    <w:right w:val="none" w:sz="0" w:space="0" w:color="auto"/>
                                  </w:divBdr>
                                </w:div>
                                <w:div w:id="1774738546">
                                  <w:marLeft w:val="0"/>
                                  <w:marRight w:val="0"/>
                                  <w:marTop w:val="0"/>
                                  <w:marBottom w:val="0"/>
                                  <w:divBdr>
                                    <w:top w:val="none" w:sz="0" w:space="0" w:color="auto"/>
                                    <w:left w:val="none" w:sz="0" w:space="0" w:color="auto"/>
                                    <w:bottom w:val="none" w:sz="0" w:space="0" w:color="auto"/>
                                    <w:right w:val="none" w:sz="0" w:space="0" w:color="auto"/>
                                  </w:divBdr>
                                </w:div>
                                <w:div w:id="1793018200">
                                  <w:marLeft w:val="0"/>
                                  <w:marRight w:val="0"/>
                                  <w:marTop w:val="0"/>
                                  <w:marBottom w:val="0"/>
                                  <w:divBdr>
                                    <w:top w:val="none" w:sz="0" w:space="0" w:color="auto"/>
                                    <w:left w:val="none" w:sz="0" w:space="0" w:color="auto"/>
                                    <w:bottom w:val="none" w:sz="0" w:space="0" w:color="auto"/>
                                    <w:right w:val="none" w:sz="0" w:space="0" w:color="auto"/>
                                  </w:divBdr>
                                </w:div>
                                <w:div w:id="1833718624">
                                  <w:marLeft w:val="0"/>
                                  <w:marRight w:val="0"/>
                                  <w:marTop w:val="0"/>
                                  <w:marBottom w:val="0"/>
                                  <w:divBdr>
                                    <w:top w:val="none" w:sz="0" w:space="0" w:color="auto"/>
                                    <w:left w:val="none" w:sz="0" w:space="0" w:color="auto"/>
                                    <w:bottom w:val="none" w:sz="0" w:space="0" w:color="auto"/>
                                    <w:right w:val="none" w:sz="0" w:space="0" w:color="auto"/>
                                  </w:divBdr>
                                </w:div>
                                <w:div w:id="1979260914">
                                  <w:marLeft w:val="0"/>
                                  <w:marRight w:val="0"/>
                                  <w:marTop w:val="0"/>
                                  <w:marBottom w:val="0"/>
                                  <w:divBdr>
                                    <w:top w:val="none" w:sz="0" w:space="0" w:color="auto"/>
                                    <w:left w:val="none" w:sz="0" w:space="0" w:color="auto"/>
                                    <w:bottom w:val="none" w:sz="0" w:space="0" w:color="auto"/>
                                    <w:right w:val="none" w:sz="0" w:space="0" w:color="auto"/>
                                  </w:divBdr>
                                </w:div>
                                <w:div w:id="1992755608">
                                  <w:marLeft w:val="0"/>
                                  <w:marRight w:val="0"/>
                                  <w:marTop w:val="0"/>
                                  <w:marBottom w:val="0"/>
                                  <w:divBdr>
                                    <w:top w:val="none" w:sz="0" w:space="0" w:color="auto"/>
                                    <w:left w:val="none" w:sz="0" w:space="0" w:color="auto"/>
                                    <w:bottom w:val="none" w:sz="0" w:space="0" w:color="auto"/>
                                    <w:right w:val="none" w:sz="0" w:space="0" w:color="auto"/>
                                  </w:divBdr>
                                </w:div>
                                <w:div w:id="2011829241">
                                  <w:marLeft w:val="0"/>
                                  <w:marRight w:val="0"/>
                                  <w:marTop w:val="0"/>
                                  <w:marBottom w:val="0"/>
                                  <w:divBdr>
                                    <w:top w:val="none" w:sz="0" w:space="0" w:color="auto"/>
                                    <w:left w:val="none" w:sz="0" w:space="0" w:color="auto"/>
                                    <w:bottom w:val="none" w:sz="0" w:space="0" w:color="auto"/>
                                    <w:right w:val="none" w:sz="0" w:space="0" w:color="auto"/>
                                  </w:divBdr>
                                </w:div>
                                <w:div w:id="2027363113">
                                  <w:marLeft w:val="0"/>
                                  <w:marRight w:val="0"/>
                                  <w:marTop w:val="0"/>
                                  <w:marBottom w:val="0"/>
                                  <w:divBdr>
                                    <w:top w:val="none" w:sz="0" w:space="0" w:color="auto"/>
                                    <w:left w:val="none" w:sz="0" w:space="0" w:color="auto"/>
                                    <w:bottom w:val="none" w:sz="0" w:space="0" w:color="auto"/>
                                    <w:right w:val="none" w:sz="0" w:space="0" w:color="auto"/>
                                  </w:divBdr>
                                </w:div>
                                <w:div w:id="20556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6349">
                          <w:marLeft w:val="0"/>
                          <w:marRight w:val="0"/>
                          <w:marTop w:val="0"/>
                          <w:marBottom w:val="0"/>
                          <w:divBdr>
                            <w:top w:val="none" w:sz="0" w:space="0" w:color="auto"/>
                            <w:left w:val="none" w:sz="0" w:space="0" w:color="auto"/>
                            <w:bottom w:val="none" w:sz="0" w:space="0" w:color="auto"/>
                            <w:right w:val="none" w:sz="0" w:space="0" w:color="auto"/>
                          </w:divBdr>
                          <w:divsChild>
                            <w:div w:id="1185244763">
                              <w:marLeft w:val="0"/>
                              <w:marRight w:val="0"/>
                              <w:marTop w:val="0"/>
                              <w:marBottom w:val="0"/>
                              <w:divBdr>
                                <w:top w:val="none" w:sz="0" w:space="0" w:color="auto"/>
                                <w:left w:val="none" w:sz="0" w:space="0" w:color="auto"/>
                                <w:bottom w:val="none" w:sz="0" w:space="0" w:color="auto"/>
                                <w:right w:val="none" w:sz="0" w:space="0" w:color="auto"/>
                              </w:divBdr>
                              <w:divsChild>
                                <w:div w:id="168764460">
                                  <w:marLeft w:val="0"/>
                                  <w:marRight w:val="0"/>
                                  <w:marTop w:val="0"/>
                                  <w:marBottom w:val="0"/>
                                  <w:divBdr>
                                    <w:top w:val="none" w:sz="0" w:space="0" w:color="auto"/>
                                    <w:left w:val="none" w:sz="0" w:space="0" w:color="auto"/>
                                    <w:bottom w:val="none" w:sz="0" w:space="0" w:color="auto"/>
                                    <w:right w:val="none" w:sz="0" w:space="0" w:color="auto"/>
                                  </w:divBdr>
                                </w:div>
                                <w:div w:id="307441841">
                                  <w:marLeft w:val="0"/>
                                  <w:marRight w:val="0"/>
                                  <w:marTop w:val="0"/>
                                  <w:marBottom w:val="0"/>
                                  <w:divBdr>
                                    <w:top w:val="none" w:sz="0" w:space="0" w:color="auto"/>
                                    <w:left w:val="none" w:sz="0" w:space="0" w:color="auto"/>
                                    <w:bottom w:val="none" w:sz="0" w:space="0" w:color="auto"/>
                                    <w:right w:val="none" w:sz="0" w:space="0" w:color="auto"/>
                                  </w:divBdr>
                                </w:div>
                                <w:div w:id="333412788">
                                  <w:marLeft w:val="0"/>
                                  <w:marRight w:val="0"/>
                                  <w:marTop w:val="0"/>
                                  <w:marBottom w:val="0"/>
                                  <w:divBdr>
                                    <w:top w:val="none" w:sz="0" w:space="0" w:color="auto"/>
                                    <w:left w:val="none" w:sz="0" w:space="0" w:color="auto"/>
                                    <w:bottom w:val="none" w:sz="0" w:space="0" w:color="auto"/>
                                    <w:right w:val="none" w:sz="0" w:space="0" w:color="auto"/>
                                  </w:divBdr>
                                </w:div>
                                <w:div w:id="373695363">
                                  <w:marLeft w:val="0"/>
                                  <w:marRight w:val="0"/>
                                  <w:marTop w:val="0"/>
                                  <w:marBottom w:val="0"/>
                                  <w:divBdr>
                                    <w:top w:val="none" w:sz="0" w:space="0" w:color="auto"/>
                                    <w:left w:val="none" w:sz="0" w:space="0" w:color="auto"/>
                                    <w:bottom w:val="none" w:sz="0" w:space="0" w:color="auto"/>
                                    <w:right w:val="none" w:sz="0" w:space="0" w:color="auto"/>
                                  </w:divBdr>
                                </w:div>
                                <w:div w:id="385882389">
                                  <w:marLeft w:val="0"/>
                                  <w:marRight w:val="0"/>
                                  <w:marTop w:val="0"/>
                                  <w:marBottom w:val="0"/>
                                  <w:divBdr>
                                    <w:top w:val="none" w:sz="0" w:space="0" w:color="auto"/>
                                    <w:left w:val="none" w:sz="0" w:space="0" w:color="auto"/>
                                    <w:bottom w:val="none" w:sz="0" w:space="0" w:color="auto"/>
                                    <w:right w:val="none" w:sz="0" w:space="0" w:color="auto"/>
                                  </w:divBdr>
                                </w:div>
                                <w:div w:id="441845553">
                                  <w:marLeft w:val="0"/>
                                  <w:marRight w:val="0"/>
                                  <w:marTop w:val="0"/>
                                  <w:marBottom w:val="0"/>
                                  <w:divBdr>
                                    <w:top w:val="none" w:sz="0" w:space="0" w:color="auto"/>
                                    <w:left w:val="none" w:sz="0" w:space="0" w:color="auto"/>
                                    <w:bottom w:val="none" w:sz="0" w:space="0" w:color="auto"/>
                                    <w:right w:val="none" w:sz="0" w:space="0" w:color="auto"/>
                                  </w:divBdr>
                                </w:div>
                                <w:div w:id="454253040">
                                  <w:marLeft w:val="0"/>
                                  <w:marRight w:val="0"/>
                                  <w:marTop w:val="0"/>
                                  <w:marBottom w:val="0"/>
                                  <w:divBdr>
                                    <w:top w:val="none" w:sz="0" w:space="0" w:color="auto"/>
                                    <w:left w:val="none" w:sz="0" w:space="0" w:color="auto"/>
                                    <w:bottom w:val="none" w:sz="0" w:space="0" w:color="auto"/>
                                    <w:right w:val="none" w:sz="0" w:space="0" w:color="auto"/>
                                  </w:divBdr>
                                </w:div>
                                <w:div w:id="493450641">
                                  <w:marLeft w:val="0"/>
                                  <w:marRight w:val="0"/>
                                  <w:marTop w:val="0"/>
                                  <w:marBottom w:val="0"/>
                                  <w:divBdr>
                                    <w:top w:val="none" w:sz="0" w:space="0" w:color="auto"/>
                                    <w:left w:val="none" w:sz="0" w:space="0" w:color="auto"/>
                                    <w:bottom w:val="none" w:sz="0" w:space="0" w:color="auto"/>
                                    <w:right w:val="none" w:sz="0" w:space="0" w:color="auto"/>
                                  </w:divBdr>
                                </w:div>
                                <w:div w:id="632104832">
                                  <w:marLeft w:val="0"/>
                                  <w:marRight w:val="0"/>
                                  <w:marTop w:val="0"/>
                                  <w:marBottom w:val="0"/>
                                  <w:divBdr>
                                    <w:top w:val="none" w:sz="0" w:space="0" w:color="auto"/>
                                    <w:left w:val="none" w:sz="0" w:space="0" w:color="auto"/>
                                    <w:bottom w:val="none" w:sz="0" w:space="0" w:color="auto"/>
                                    <w:right w:val="none" w:sz="0" w:space="0" w:color="auto"/>
                                  </w:divBdr>
                                </w:div>
                                <w:div w:id="664668479">
                                  <w:marLeft w:val="0"/>
                                  <w:marRight w:val="0"/>
                                  <w:marTop w:val="0"/>
                                  <w:marBottom w:val="0"/>
                                  <w:divBdr>
                                    <w:top w:val="none" w:sz="0" w:space="0" w:color="auto"/>
                                    <w:left w:val="none" w:sz="0" w:space="0" w:color="auto"/>
                                    <w:bottom w:val="none" w:sz="0" w:space="0" w:color="auto"/>
                                    <w:right w:val="none" w:sz="0" w:space="0" w:color="auto"/>
                                  </w:divBdr>
                                </w:div>
                                <w:div w:id="726488958">
                                  <w:marLeft w:val="0"/>
                                  <w:marRight w:val="0"/>
                                  <w:marTop w:val="0"/>
                                  <w:marBottom w:val="0"/>
                                  <w:divBdr>
                                    <w:top w:val="none" w:sz="0" w:space="0" w:color="auto"/>
                                    <w:left w:val="none" w:sz="0" w:space="0" w:color="auto"/>
                                    <w:bottom w:val="none" w:sz="0" w:space="0" w:color="auto"/>
                                    <w:right w:val="none" w:sz="0" w:space="0" w:color="auto"/>
                                  </w:divBdr>
                                </w:div>
                                <w:div w:id="732240331">
                                  <w:marLeft w:val="0"/>
                                  <w:marRight w:val="0"/>
                                  <w:marTop w:val="0"/>
                                  <w:marBottom w:val="0"/>
                                  <w:divBdr>
                                    <w:top w:val="none" w:sz="0" w:space="0" w:color="auto"/>
                                    <w:left w:val="none" w:sz="0" w:space="0" w:color="auto"/>
                                    <w:bottom w:val="none" w:sz="0" w:space="0" w:color="auto"/>
                                    <w:right w:val="none" w:sz="0" w:space="0" w:color="auto"/>
                                  </w:divBdr>
                                </w:div>
                                <w:div w:id="897857485">
                                  <w:marLeft w:val="0"/>
                                  <w:marRight w:val="0"/>
                                  <w:marTop w:val="0"/>
                                  <w:marBottom w:val="0"/>
                                  <w:divBdr>
                                    <w:top w:val="none" w:sz="0" w:space="0" w:color="auto"/>
                                    <w:left w:val="none" w:sz="0" w:space="0" w:color="auto"/>
                                    <w:bottom w:val="none" w:sz="0" w:space="0" w:color="auto"/>
                                    <w:right w:val="none" w:sz="0" w:space="0" w:color="auto"/>
                                  </w:divBdr>
                                </w:div>
                                <w:div w:id="959140848">
                                  <w:marLeft w:val="0"/>
                                  <w:marRight w:val="0"/>
                                  <w:marTop w:val="0"/>
                                  <w:marBottom w:val="0"/>
                                  <w:divBdr>
                                    <w:top w:val="none" w:sz="0" w:space="0" w:color="auto"/>
                                    <w:left w:val="none" w:sz="0" w:space="0" w:color="auto"/>
                                    <w:bottom w:val="none" w:sz="0" w:space="0" w:color="auto"/>
                                    <w:right w:val="none" w:sz="0" w:space="0" w:color="auto"/>
                                  </w:divBdr>
                                </w:div>
                                <w:div w:id="975793442">
                                  <w:marLeft w:val="0"/>
                                  <w:marRight w:val="0"/>
                                  <w:marTop w:val="0"/>
                                  <w:marBottom w:val="0"/>
                                  <w:divBdr>
                                    <w:top w:val="none" w:sz="0" w:space="0" w:color="auto"/>
                                    <w:left w:val="none" w:sz="0" w:space="0" w:color="auto"/>
                                    <w:bottom w:val="none" w:sz="0" w:space="0" w:color="auto"/>
                                    <w:right w:val="none" w:sz="0" w:space="0" w:color="auto"/>
                                  </w:divBdr>
                                </w:div>
                                <w:div w:id="1211190770">
                                  <w:marLeft w:val="0"/>
                                  <w:marRight w:val="0"/>
                                  <w:marTop w:val="0"/>
                                  <w:marBottom w:val="0"/>
                                  <w:divBdr>
                                    <w:top w:val="none" w:sz="0" w:space="0" w:color="auto"/>
                                    <w:left w:val="none" w:sz="0" w:space="0" w:color="auto"/>
                                    <w:bottom w:val="none" w:sz="0" w:space="0" w:color="auto"/>
                                    <w:right w:val="none" w:sz="0" w:space="0" w:color="auto"/>
                                  </w:divBdr>
                                </w:div>
                                <w:div w:id="1229263366">
                                  <w:marLeft w:val="0"/>
                                  <w:marRight w:val="0"/>
                                  <w:marTop w:val="0"/>
                                  <w:marBottom w:val="0"/>
                                  <w:divBdr>
                                    <w:top w:val="none" w:sz="0" w:space="0" w:color="auto"/>
                                    <w:left w:val="none" w:sz="0" w:space="0" w:color="auto"/>
                                    <w:bottom w:val="none" w:sz="0" w:space="0" w:color="auto"/>
                                    <w:right w:val="none" w:sz="0" w:space="0" w:color="auto"/>
                                  </w:divBdr>
                                </w:div>
                                <w:div w:id="1280913803">
                                  <w:marLeft w:val="0"/>
                                  <w:marRight w:val="0"/>
                                  <w:marTop w:val="0"/>
                                  <w:marBottom w:val="0"/>
                                  <w:divBdr>
                                    <w:top w:val="none" w:sz="0" w:space="0" w:color="auto"/>
                                    <w:left w:val="none" w:sz="0" w:space="0" w:color="auto"/>
                                    <w:bottom w:val="none" w:sz="0" w:space="0" w:color="auto"/>
                                    <w:right w:val="none" w:sz="0" w:space="0" w:color="auto"/>
                                  </w:divBdr>
                                </w:div>
                                <w:div w:id="1379889684">
                                  <w:marLeft w:val="0"/>
                                  <w:marRight w:val="0"/>
                                  <w:marTop w:val="0"/>
                                  <w:marBottom w:val="0"/>
                                  <w:divBdr>
                                    <w:top w:val="none" w:sz="0" w:space="0" w:color="auto"/>
                                    <w:left w:val="none" w:sz="0" w:space="0" w:color="auto"/>
                                    <w:bottom w:val="none" w:sz="0" w:space="0" w:color="auto"/>
                                    <w:right w:val="none" w:sz="0" w:space="0" w:color="auto"/>
                                  </w:divBdr>
                                </w:div>
                                <w:div w:id="1410039644">
                                  <w:marLeft w:val="0"/>
                                  <w:marRight w:val="0"/>
                                  <w:marTop w:val="0"/>
                                  <w:marBottom w:val="0"/>
                                  <w:divBdr>
                                    <w:top w:val="none" w:sz="0" w:space="0" w:color="auto"/>
                                    <w:left w:val="none" w:sz="0" w:space="0" w:color="auto"/>
                                    <w:bottom w:val="none" w:sz="0" w:space="0" w:color="auto"/>
                                    <w:right w:val="none" w:sz="0" w:space="0" w:color="auto"/>
                                  </w:divBdr>
                                </w:div>
                                <w:div w:id="1413355215">
                                  <w:marLeft w:val="0"/>
                                  <w:marRight w:val="0"/>
                                  <w:marTop w:val="0"/>
                                  <w:marBottom w:val="0"/>
                                  <w:divBdr>
                                    <w:top w:val="none" w:sz="0" w:space="0" w:color="auto"/>
                                    <w:left w:val="none" w:sz="0" w:space="0" w:color="auto"/>
                                    <w:bottom w:val="none" w:sz="0" w:space="0" w:color="auto"/>
                                    <w:right w:val="none" w:sz="0" w:space="0" w:color="auto"/>
                                  </w:divBdr>
                                </w:div>
                                <w:div w:id="1439249823">
                                  <w:marLeft w:val="0"/>
                                  <w:marRight w:val="0"/>
                                  <w:marTop w:val="0"/>
                                  <w:marBottom w:val="0"/>
                                  <w:divBdr>
                                    <w:top w:val="none" w:sz="0" w:space="0" w:color="auto"/>
                                    <w:left w:val="none" w:sz="0" w:space="0" w:color="auto"/>
                                    <w:bottom w:val="none" w:sz="0" w:space="0" w:color="auto"/>
                                    <w:right w:val="none" w:sz="0" w:space="0" w:color="auto"/>
                                  </w:divBdr>
                                </w:div>
                                <w:div w:id="1507598220">
                                  <w:marLeft w:val="0"/>
                                  <w:marRight w:val="0"/>
                                  <w:marTop w:val="0"/>
                                  <w:marBottom w:val="0"/>
                                  <w:divBdr>
                                    <w:top w:val="none" w:sz="0" w:space="0" w:color="auto"/>
                                    <w:left w:val="none" w:sz="0" w:space="0" w:color="auto"/>
                                    <w:bottom w:val="none" w:sz="0" w:space="0" w:color="auto"/>
                                    <w:right w:val="none" w:sz="0" w:space="0" w:color="auto"/>
                                  </w:divBdr>
                                </w:div>
                                <w:div w:id="1547599843">
                                  <w:marLeft w:val="0"/>
                                  <w:marRight w:val="0"/>
                                  <w:marTop w:val="0"/>
                                  <w:marBottom w:val="0"/>
                                  <w:divBdr>
                                    <w:top w:val="none" w:sz="0" w:space="0" w:color="auto"/>
                                    <w:left w:val="none" w:sz="0" w:space="0" w:color="auto"/>
                                    <w:bottom w:val="none" w:sz="0" w:space="0" w:color="auto"/>
                                    <w:right w:val="none" w:sz="0" w:space="0" w:color="auto"/>
                                  </w:divBdr>
                                </w:div>
                                <w:div w:id="1857115668">
                                  <w:marLeft w:val="0"/>
                                  <w:marRight w:val="0"/>
                                  <w:marTop w:val="0"/>
                                  <w:marBottom w:val="0"/>
                                  <w:divBdr>
                                    <w:top w:val="none" w:sz="0" w:space="0" w:color="auto"/>
                                    <w:left w:val="none" w:sz="0" w:space="0" w:color="auto"/>
                                    <w:bottom w:val="none" w:sz="0" w:space="0" w:color="auto"/>
                                    <w:right w:val="none" w:sz="0" w:space="0" w:color="auto"/>
                                  </w:divBdr>
                                </w:div>
                                <w:div w:id="1864318787">
                                  <w:marLeft w:val="0"/>
                                  <w:marRight w:val="0"/>
                                  <w:marTop w:val="0"/>
                                  <w:marBottom w:val="0"/>
                                  <w:divBdr>
                                    <w:top w:val="none" w:sz="0" w:space="0" w:color="auto"/>
                                    <w:left w:val="none" w:sz="0" w:space="0" w:color="auto"/>
                                    <w:bottom w:val="none" w:sz="0" w:space="0" w:color="auto"/>
                                    <w:right w:val="none" w:sz="0" w:space="0" w:color="auto"/>
                                  </w:divBdr>
                                </w:div>
                                <w:div w:id="1868639890">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2075664459">
                                  <w:marLeft w:val="0"/>
                                  <w:marRight w:val="0"/>
                                  <w:marTop w:val="0"/>
                                  <w:marBottom w:val="0"/>
                                  <w:divBdr>
                                    <w:top w:val="none" w:sz="0" w:space="0" w:color="auto"/>
                                    <w:left w:val="none" w:sz="0" w:space="0" w:color="auto"/>
                                    <w:bottom w:val="none" w:sz="0" w:space="0" w:color="auto"/>
                                    <w:right w:val="none" w:sz="0" w:space="0" w:color="auto"/>
                                  </w:divBdr>
                                </w:div>
                                <w:div w:id="2111192689">
                                  <w:marLeft w:val="0"/>
                                  <w:marRight w:val="0"/>
                                  <w:marTop w:val="0"/>
                                  <w:marBottom w:val="0"/>
                                  <w:divBdr>
                                    <w:top w:val="none" w:sz="0" w:space="0" w:color="auto"/>
                                    <w:left w:val="none" w:sz="0" w:space="0" w:color="auto"/>
                                    <w:bottom w:val="none" w:sz="0" w:space="0" w:color="auto"/>
                                    <w:right w:val="none" w:sz="0" w:space="0" w:color="auto"/>
                                  </w:divBdr>
                                </w:div>
                                <w:div w:id="2145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1930">
                          <w:marLeft w:val="0"/>
                          <w:marRight w:val="0"/>
                          <w:marTop w:val="0"/>
                          <w:marBottom w:val="0"/>
                          <w:divBdr>
                            <w:top w:val="none" w:sz="0" w:space="0" w:color="auto"/>
                            <w:left w:val="none" w:sz="0" w:space="0" w:color="auto"/>
                            <w:bottom w:val="none" w:sz="0" w:space="0" w:color="auto"/>
                            <w:right w:val="none" w:sz="0" w:space="0" w:color="auto"/>
                          </w:divBdr>
                          <w:divsChild>
                            <w:div w:id="569459116">
                              <w:marLeft w:val="0"/>
                              <w:marRight w:val="0"/>
                              <w:marTop w:val="0"/>
                              <w:marBottom w:val="0"/>
                              <w:divBdr>
                                <w:top w:val="none" w:sz="0" w:space="0" w:color="auto"/>
                                <w:left w:val="none" w:sz="0" w:space="0" w:color="auto"/>
                                <w:bottom w:val="none" w:sz="0" w:space="0" w:color="auto"/>
                                <w:right w:val="none" w:sz="0" w:space="0" w:color="auto"/>
                              </w:divBdr>
                              <w:divsChild>
                                <w:div w:id="60836355">
                                  <w:marLeft w:val="0"/>
                                  <w:marRight w:val="0"/>
                                  <w:marTop w:val="0"/>
                                  <w:marBottom w:val="0"/>
                                  <w:divBdr>
                                    <w:top w:val="none" w:sz="0" w:space="0" w:color="auto"/>
                                    <w:left w:val="none" w:sz="0" w:space="0" w:color="auto"/>
                                    <w:bottom w:val="none" w:sz="0" w:space="0" w:color="auto"/>
                                    <w:right w:val="none" w:sz="0" w:space="0" w:color="auto"/>
                                  </w:divBdr>
                                </w:div>
                                <w:div w:id="119807972">
                                  <w:marLeft w:val="0"/>
                                  <w:marRight w:val="0"/>
                                  <w:marTop w:val="0"/>
                                  <w:marBottom w:val="0"/>
                                  <w:divBdr>
                                    <w:top w:val="none" w:sz="0" w:space="0" w:color="auto"/>
                                    <w:left w:val="none" w:sz="0" w:space="0" w:color="auto"/>
                                    <w:bottom w:val="none" w:sz="0" w:space="0" w:color="auto"/>
                                    <w:right w:val="none" w:sz="0" w:space="0" w:color="auto"/>
                                  </w:divBdr>
                                </w:div>
                                <w:div w:id="156575624">
                                  <w:marLeft w:val="0"/>
                                  <w:marRight w:val="0"/>
                                  <w:marTop w:val="0"/>
                                  <w:marBottom w:val="0"/>
                                  <w:divBdr>
                                    <w:top w:val="none" w:sz="0" w:space="0" w:color="auto"/>
                                    <w:left w:val="none" w:sz="0" w:space="0" w:color="auto"/>
                                    <w:bottom w:val="none" w:sz="0" w:space="0" w:color="auto"/>
                                    <w:right w:val="none" w:sz="0" w:space="0" w:color="auto"/>
                                  </w:divBdr>
                                </w:div>
                                <w:div w:id="310869980">
                                  <w:marLeft w:val="0"/>
                                  <w:marRight w:val="0"/>
                                  <w:marTop w:val="0"/>
                                  <w:marBottom w:val="0"/>
                                  <w:divBdr>
                                    <w:top w:val="none" w:sz="0" w:space="0" w:color="auto"/>
                                    <w:left w:val="none" w:sz="0" w:space="0" w:color="auto"/>
                                    <w:bottom w:val="none" w:sz="0" w:space="0" w:color="auto"/>
                                    <w:right w:val="none" w:sz="0" w:space="0" w:color="auto"/>
                                  </w:divBdr>
                                </w:div>
                                <w:div w:id="381443730">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53718046">
                                  <w:marLeft w:val="0"/>
                                  <w:marRight w:val="0"/>
                                  <w:marTop w:val="0"/>
                                  <w:marBottom w:val="0"/>
                                  <w:divBdr>
                                    <w:top w:val="none" w:sz="0" w:space="0" w:color="auto"/>
                                    <w:left w:val="none" w:sz="0" w:space="0" w:color="auto"/>
                                    <w:bottom w:val="none" w:sz="0" w:space="0" w:color="auto"/>
                                    <w:right w:val="none" w:sz="0" w:space="0" w:color="auto"/>
                                  </w:divBdr>
                                </w:div>
                                <w:div w:id="484593373">
                                  <w:marLeft w:val="0"/>
                                  <w:marRight w:val="0"/>
                                  <w:marTop w:val="0"/>
                                  <w:marBottom w:val="0"/>
                                  <w:divBdr>
                                    <w:top w:val="none" w:sz="0" w:space="0" w:color="auto"/>
                                    <w:left w:val="none" w:sz="0" w:space="0" w:color="auto"/>
                                    <w:bottom w:val="none" w:sz="0" w:space="0" w:color="auto"/>
                                    <w:right w:val="none" w:sz="0" w:space="0" w:color="auto"/>
                                  </w:divBdr>
                                </w:div>
                                <w:div w:id="510681580">
                                  <w:marLeft w:val="0"/>
                                  <w:marRight w:val="0"/>
                                  <w:marTop w:val="0"/>
                                  <w:marBottom w:val="0"/>
                                  <w:divBdr>
                                    <w:top w:val="none" w:sz="0" w:space="0" w:color="auto"/>
                                    <w:left w:val="none" w:sz="0" w:space="0" w:color="auto"/>
                                    <w:bottom w:val="none" w:sz="0" w:space="0" w:color="auto"/>
                                    <w:right w:val="none" w:sz="0" w:space="0" w:color="auto"/>
                                  </w:divBdr>
                                </w:div>
                                <w:div w:id="560025803">
                                  <w:marLeft w:val="0"/>
                                  <w:marRight w:val="0"/>
                                  <w:marTop w:val="0"/>
                                  <w:marBottom w:val="0"/>
                                  <w:divBdr>
                                    <w:top w:val="none" w:sz="0" w:space="0" w:color="auto"/>
                                    <w:left w:val="none" w:sz="0" w:space="0" w:color="auto"/>
                                    <w:bottom w:val="none" w:sz="0" w:space="0" w:color="auto"/>
                                    <w:right w:val="none" w:sz="0" w:space="0" w:color="auto"/>
                                  </w:divBdr>
                                </w:div>
                                <w:div w:id="719983370">
                                  <w:marLeft w:val="0"/>
                                  <w:marRight w:val="0"/>
                                  <w:marTop w:val="0"/>
                                  <w:marBottom w:val="0"/>
                                  <w:divBdr>
                                    <w:top w:val="none" w:sz="0" w:space="0" w:color="auto"/>
                                    <w:left w:val="none" w:sz="0" w:space="0" w:color="auto"/>
                                    <w:bottom w:val="none" w:sz="0" w:space="0" w:color="auto"/>
                                    <w:right w:val="none" w:sz="0" w:space="0" w:color="auto"/>
                                  </w:divBdr>
                                </w:div>
                                <w:div w:id="790977536">
                                  <w:marLeft w:val="0"/>
                                  <w:marRight w:val="0"/>
                                  <w:marTop w:val="0"/>
                                  <w:marBottom w:val="0"/>
                                  <w:divBdr>
                                    <w:top w:val="none" w:sz="0" w:space="0" w:color="auto"/>
                                    <w:left w:val="none" w:sz="0" w:space="0" w:color="auto"/>
                                    <w:bottom w:val="none" w:sz="0" w:space="0" w:color="auto"/>
                                    <w:right w:val="none" w:sz="0" w:space="0" w:color="auto"/>
                                  </w:divBdr>
                                </w:div>
                                <w:div w:id="964039026">
                                  <w:marLeft w:val="0"/>
                                  <w:marRight w:val="0"/>
                                  <w:marTop w:val="0"/>
                                  <w:marBottom w:val="0"/>
                                  <w:divBdr>
                                    <w:top w:val="none" w:sz="0" w:space="0" w:color="auto"/>
                                    <w:left w:val="none" w:sz="0" w:space="0" w:color="auto"/>
                                    <w:bottom w:val="none" w:sz="0" w:space="0" w:color="auto"/>
                                    <w:right w:val="none" w:sz="0" w:space="0" w:color="auto"/>
                                  </w:divBdr>
                                </w:div>
                                <w:div w:id="967320529">
                                  <w:marLeft w:val="0"/>
                                  <w:marRight w:val="0"/>
                                  <w:marTop w:val="0"/>
                                  <w:marBottom w:val="0"/>
                                  <w:divBdr>
                                    <w:top w:val="none" w:sz="0" w:space="0" w:color="auto"/>
                                    <w:left w:val="none" w:sz="0" w:space="0" w:color="auto"/>
                                    <w:bottom w:val="none" w:sz="0" w:space="0" w:color="auto"/>
                                    <w:right w:val="none" w:sz="0" w:space="0" w:color="auto"/>
                                  </w:divBdr>
                                </w:div>
                                <w:div w:id="1004354756">
                                  <w:marLeft w:val="0"/>
                                  <w:marRight w:val="0"/>
                                  <w:marTop w:val="0"/>
                                  <w:marBottom w:val="0"/>
                                  <w:divBdr>
                                    <w:top w:val="none" w:sz="0" w:space="0" w:color="auto"/>
                                    <w:left w:val="none" w:sz="0" w:space="0" w:color="auto"/>
                                    <w:bottom w:val="none" w:sz="0" w:space="0" w:color="auto"/>
                                    <w:right w:val="none" w:sz="0" w:space="0" w:color="auto"/>
                                  </w:divBdr>
                                </w:div>
                                <w:div w:id="1028943695">
                                  <w:marLeft w:val="0"/>
                                  <w:marRight w:val="0"/>
                                  <w:marTop w:val="0"/>
                                  <w:marBottom w:val="0"/>
                                  <w:divBdr>
                                    <w:top w:val="none" w:sz="0" w:space="0" w:color="auto"/>
                                    <w:left w:val="none" w:sz="0" w:space="0" w:color="auto"/>
                                    <w:bottom w:val="none" w:sz="0" w:space="0" w:color="auto"/>
                                    <w:right w:val="none" w:sz="0" w:space="0" w:color="auto"/>
                                  </w:divBdr>
                                </w:div>
                                <w:div w:id="1110474211">
                                  <w:marLeft w:val="0"/>
                                  <w:marRight w:val="0"/>
                                  <w:marTop w:val="0"/>
                                  <w:marBottom w:val="0"/>
                                  <w:divBdr>
                                    <w:top w:val="none" w:sz="0" w:space="0" w:color="auto"/>
                                    <w:left w:val="none" w:sz="0" w:space="0" w:color="auto"/>
                                    <w:bottom w:val="none" w:sz="0" w:space="0" w:color="auto"/>
                                    <w:right w:val="none" w:sz="0" w:space="0" w:color="auto"/>
                                  </w:divBdr>
                                </w:div>
                                <w:div w:id="1266034076">
                                  <w:marLeft w:val="0"/>
                                  <w:marRight w:val="0"/>
                                  <w:marTop w:val="0"/>
                                  <w:marBottom w:val="0"/>
                                  <w:divBdr>
                                    <w:top w:val="none" w:sz="0" w:space="0" w:color="auto"/>
                                    <w:left w:val="none" w:sz="0" w:space="0" w:color="auto"/>
                                    <w:bottom w:val="none" w:sz="0" w:space="0" w:color="auto"/>
                                    <w:right w:val="none" w:sz="0" w:space="0" w:color="auto"/>
                                  </w:divBdr>
                                </w:div>
                                <w:div w:id="1281836902">
                                  <w:marLeft w:val="0"/>
                                  <w:marRight w:val="0"/>
                                  <w:marTop w:val="0"/>
                                  <w:marBottom w:val="0"/>
                                  <w:divBdr>
                                    <w:top w:val="none" w:sz="0" w:space="0" w:color="auto"/>
                                    <w:left w:val="none" w:sz="0" w:space="0" w:color="auto"/>
                                    <w:bottom w:val="none" w:sz="0" w:space="0" w:color="auto"/>
                                    <w:right w:val="none" w:sz="0" w:space="0" w:color="auto"/>
                                  </w:divBdr>
                                </w:div>
                                <w:div w:id="1320110989">
                                  <w:marLeft w:val="0"/>
                                  <w:marRight w:val="0"/>
                                  <w:marTop w:val="0"/>
                                  <w:marBottom w:val="0"/>
                                  <w:divBdr>
                                    <w:top w:val="none" w:sz="0" w:space="0" w:color="auto"/>
                                    <w:left w:val="none" w:sz="0" w:space="0" w:color="auto"/>
                                    <w:bottom w:val="none" w:sz="0" w:space="0" w:color="auto"/>
                                    <w:right w:val="none" w:sz="0" w:space="0" w:color="auto"/>
                                  </w:divBdr>
                                </w:div>
                                <w:div w:id="1431000935">
                                  <w:marLeft w:val="0"/>
                                  <w:marRight w:val="0"/>
                                  <w:marTop w:val="0"/>
                                  <w:marBottom w:val="0"/>
                                  <w:divBdr>
                                    <w:top w:val="none" w:sz="0" w:space="0" w:color="auto"/>
                                    <w:left w:val="none" w:sz="0" w:space="0" w:color="auto"/>
                                    <w:bottom w:val="none" w:sz="0" w:space="0" w:color="auto"/>
                                    <w:right w:val="none" w:sz="0" w:space="0" w:color="auto"/>
                                  </w:divBdr>
                                </w:div>
                                <w:div w:id="1592008738">
                                  <w:marLeft w:val="0"/>
                                  <w:marRight w:val="0"/>
                                  <w:marTop w:val="0"/>
                                  <w:marBottom w:val="0"/>
                                  <w:divBdr>
                                    <w:top w:val="none" w:sz="0" w:space="0" w:color="auto"/>
                                    <w:left w:val="none" w:sz="0" w:space="0" w:color="auto"/>
                                    <w:bottom w:val="none" w:sz="0" w:space="0" w:color="auto"/>
                                    <w:right w:val="none" w:sz="0" w:space="0" w:color="auto"/>
                                  </w:divBdr>
                                </w:div>
                                <w:div w:id="1681858453">
                                  <w:marLeft w:val="0"/>
                                  <w:marRight w:val="0"/>
                                  <w:marTop w:val="0"/>
                                  <w:marBottom w:val="0"/>
                                  <w:divBdr>
                                    <w:top w:val="none" w:sz="0" w:space="0" w:color="auto"/>
                                    <w:left w:val="none" w:sz="0" w:space="0" w:color="auto"/>
                                    <w:bottom w:val="none" w:sz="0" w:space="0" w:color="auto"/>
                                    <w:right w:val="none" w:sz="0" w:space="0" w:color="auto"/>
                                  </w:divBdr>
                                </w:div>
                                <w:div w:id="1934974821">
                                  <w:marLeft w:val="0"/>
                                  <w:marRight w:val="0"/>
                                  <w:marTop w:val="0"/>
                                  <w:marBottom w:val="0"/>
                                  <w:divBdr>
                                    <w:top w:val="none" w:sz="0" w:space="0" w:color="auto"/>
                                    <w:left w:val="none" w:sz="0" w:space="0" w:color="auto"/>
                                    <w:bottom w:val="none" w:sz="0" w:space="0" w:color="auto"/>
                                    <w:right w:val="none" w:sz="0" w:space="0" w:color="auto"/>
                                  </w:divBdr>
                                </w:div>
                                <w:div w:id="1962371056">
                                  <w:marLeft w:val="0"/>
                                  <w:marRight w:val="0"/>
                                  <w:marTop w:val="0"/>
                                  <w:marBottom w:val="0"/>
                                  <w:divBdr>
                                    <w:top w:val="none" w:sz="0" w:space="0" w:color="auto"/>
                                    <w:left w:val="none" w:sz="0" w:space="0" w:color="auto"/>
                                    <w:bottom w:val="none" w:sz="0" w:space="0" w:color="auto"/>
                                    <w:right w:val="none" w:sz="0" w:space="0" w:color="auto"/>
                                  </w:divBdr>
                                </w:div>
                                <w:div w:id="1977418011">
                                  <w:marLeft w:val="0"/>
                                  <w:marRight w:val="0"/>
                                  <w:marTop w:val="0"/>
                                  <w:marBottom w:val="0"/>
                                  <w:divBdr>
                                    <w:top w:val="none" w:sz="0" w:space="0" w:color="auto"/>
                                    <w:left w:val="none" w:sz="0" w:space="0" w:color="auto"/>
                                    <w:bottom w:val="none" w:sz="0" w:space="0" w:color="auto"/>
                                    <w:right w:val="none" w:sz="0" w:space="0" w:color="auto"/>
                                  </w:divBdr>
                                </w:div>
                                <w:div w:id="2091005626">
                                  <w:marLeft w:val="0"/>
                                  <w:marRight w:val="0"/>
                                  <w:marTop w:val="0"/>
                                  <w:marBottom w:val="0"/>
                                  <w:divBdr>
                                    <w:top w:val="none" w:sz="0" w:space="0" w:color="auto"/>
                                    <w:left w:val="none" w:sz="0" w:space="0" w:color="auto"/>
                                    <w:bottom w:val="none" w:sz="0" w:space="0" w:color="auto"/>
                                    <w:right w:val="none" w:sz="0" w:space="0" w:color="auto"/>
                                  </w:divBdr>
                                </w:div>
                                <w:div w:id="21296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14531">
      <w:bodyDiv w:val="1"/>
      <w:marLeft w:val="0"/>
      <w:marRight w:val="0"/>
      <w:marTop w:val="0"/>
      <w:marBottom w:val="0"/>
      <w:divBdr>
        <w:top w:val="none" w:sz="0" w:space="0" w:color="auto"/>
        <w:left w:val="none" w:sz="0" w:space="0" w:color="auto"/>
        <w:bottom w:val="none" w:sz="0" w:space="0" w:color="auto"/>
        <w:right w:val="none" w:sz="0" w:space="0" w:color="auto"/>
      </w:divBdr>
    </w:div>
    <w:div w:id="907611006">
      <w:bodyDiv w:val="1"/>
      <w:marLeft w:val="0"/>
      <w:marRight w:val="0"/>
      <w:marTop w:val="0"/>
      <w:marBottom w:val="0"/>
      <w:divBdr>
        <w:top w:val="none" w:sz="0" w:space="0" w:color="auto"/>
        <w:left w:val="none" w:sz="0" w:space="0" w:color="auto"/>
        <w:bottom w:val="none" w:sz="0" w:space="0" w:color="auto"/>
        <w:right w:val="none" w:sz="0" w:space="0" w:color="auto"/>
      </w:divBdr>
    </w:div>
    <w:div w:id="971785845">
      <w:bodyDiv w:val="1"/>
      <w:marLeft w:val="0"/>
      <w:marRight w:val="0"/>
      <w:marTop w:val="0"/>
      <w:marBottom w:val="0"/>
      <w:divBdr>
        <w:top w:val="none" w:sz="0" w:space="0" w:color="auto"/>
        <w:left w:val="none" w:sz="0" w:space="0" w:color="auto"/>
        <w:bottom w:val="none" w:sz="0" w:space="0" w:color="auto"/>
        <w:right w:val="none" w:sz="0" w:space="0" w:color="auto"/>
      </w:divBdr>
    </w:div>
    <w:div w:id="1165708033">
      <w:bodyDiv w:val="1"/>
      <w:marLeft w:val="0"/>
      <w:marRight w:val="0"/>
      <w:marTop w:val="0"/>
      <w:marBottom w:val="0"/>
      <w:divBdr>
        <w:top w:val="none" w:sz="0" w:space="0" w:color="auto"/>
        <w:left w:val="none" w:sz="0" w:space="0" w:color="auto"/>
        <w:bottom w:val="none" w:sz="0" w:space="0" w:color="auto"/>
        <w:right w:val="none" w:sz="0" w:space="0" w:color="auto"/>
      </w:divBdr>
    </w:div>
    <w:div w:id="1484003562">
      <w:bodyDiv w:val="1"/>
      <w:marLeft w:val="0"/>
      <w:marRight w:val="0"/>
      <w:marTop w:val="0"/>
      <w:marBottom w:val="0"/>
      <w:divBdr>
        <w:top w:val="none" w:sz="0" w:space="0" w:color="auto"/>
        <w:left w:val="none" w:sz="0" w:space="0" w:color="auto"/>
        <w:bottom w:val="none" w:sz="0" w:space="0" w:color="auto"/>
        <w:right w:val="none" w:sz="0" w:space="0" w:color="auto"/>
      </w:divBdr>
      <w:divsChild>
        <w:div w:id="932981443">
          <w:marLeft w:val="0"/>
          <w:marRight w:val="0"/>
          <w:marTop w:val="0"/>
          <w:marBottom w:val="0"/>
          <w:divBdr>
            <w:top w:val="none" w:sz="0" w:space="0" w:color="auto"/>
            <w:left w:val="none" w:sz="0" w:space="0" w:color="auto"/>
            <w:bottom w:val="none" w:sz="0" w:space="0" w:color="auto"/>
            <w:right w:val="none" w:sz="0" w:space="0" w:color="auto"/>
          </w:divBdr>
        </w:div>
        <w:div w:id="1623806734">
          <w:marLeft w:val="0"/>
          <w:marRight w:val="0"/>
          <w:marTop w:val="0"/>
          <w:marBottom w:val="0"/>
          <w:divBdr>
            <w:top w:val="none" w:sz="0" w:space="0" w:color="auto"/>
            <w:left w:val="none" w:sz="0" w:space="0" w:color="auto"/>
            <w:bottom w:val="none" w:sz="0" w:space="0" w:color="auto"/>
            <w:right w:val="none" w:sz="0" w:space="0" w:color="auto"/>
          </w:divBdr>
        </w:div>
        <w:div w:id="1785272013">
          <w:marLeft w:val="0"/>
          <w:marRight w:val="0"/>
          <w:marTop w:val="0"/>
          <w:marBottom w:val="0"/>
          <w:divBdr>
            <w:top w:val="none" w:sz="0" w:space="0" w:color="auto"/>
            <w:left w:val="none" w:sz="0" w:space="0" w:color="auto"/>
            <w:bottom w:val="none" w:sz="0" w:space="0" w:color="auto"/>
            <w:right w:val="none" w:sz="0" w:space="0" w:color="auto"/>
          </w:divBdr>
        </w:div>
        <w:div w:id="2013559772">
          <w:marLeft w:val="0"/>
          <w:marRight w:val="0"/>
          <w:marTop w:val="0"/>
          <w:marBottom w:val="0"/>
          <w:divBdr>
            <w:top w:val="none" w:sz="0" w:space="0" w:color="auto"/>
            <w:left w:val="none" w:sz="0" w:space="0" w:color="auto"/>
            <w:bottom w:val="none" w:sz="0" w:space="0" w:color="auto"/>
            <w:right w:val="none" w:sz="0" w:space="0" w:color="auto"/>
          </w:divBdr>
        </w:div>
        <w:div w:id="2128238247">
          <w:marLeft w:val="0"/>
          <w:marRight w:val="0"/>
          <w:marTop w:val="0"/>
          <w:marBottom w:val="0"/>
          <w:divBdr>
            <w:top w:val="none" w:sz="0" w:space="0" w:color="auto"/>
            <w:left w:val="none" w:sz="0" w:space="0" w:color="auto"/>
            <w:bottom w:val="none" w:sz="0" w:space="0" w:color="auto"/>
            <w:right w:val="none" w:sz="0" w:space="0" w:color="auto"/>
          </w:divBdr>
        </w:div>
      </w:divsChild>
    </w:div>
    <w:div w:id="1489403468">
      <w:bodyDiv w:val="1"/>
      <w:marLeft w:val="0"/>
      <w:marRight w:val="0"/>
      <w:marTop w:val="0"/>
      <w:marBottom w:val="0"/>
      <w:divBdr>
        <w:top w:val="none" w:sz="0" w:space="0" w:color="auto"/>
        <w:left w:val="none" w:sz="0" w:space="0" w:color="auto"/>
        <w:bottom w:val="none" w:sz="0" w:space="0" w:color="auto"/>
        <w:right w:val="none" w:sz="0" w:space="0" w:color="auto"/>
      </w:divBdr>
    </w:div>
    <w:div w:id="1513645869">
      <w:bodyDiv w:val="1"/>
      <w:marLeft w:val="0"/>
      <w:marRight w:val="0"/>
      <w:marTop w:val="0"/>
      <w:marBottom w:val="0"/>
      <w:divBdr>
        <w:top w:val="none" w:sz="0" w:space="0" w:color="auto"/>
        <w:left w:val="none" w:sz="0" w:space="0" w:color="auto"/>
        <w:bottom w:val="none" w:sz="0" w:space="0" w:color="auto"/>
        <w:right w:val="none" w:sz="0" w:space="0" w:color="auto"/>
      </w:divBdr>
    </w:div>
    <w:div w:id="1740782256">
      <w:bodyDiv w:val="1"/>
      <w:marLeft w:val="0"/>
      <w:marRight w:val="0"/>
      <w:marTop w:val="0"/>
      <w:marBottom w:val="0"/>
      <w:divBdr>
        <w:top w:val="none" w:sz="0" w:space="0" w:color="auto"/>
        <w:left w:val="none" w:sz="0" w:space="0" w:color="auto"/>
        <w:bottom w:val="none" w:sz="0" w:space="0" w:color="auto"/>
        <w:right w:val="none" w:sz="0" w:space="0" w:color="auto"/>
      </w:divBdr>
      <w:divsChild>
        <w:div w:id="284623024">
          <w:marLeft w:val="0"/>
          <w:marRight w:val="0"/>
          <w:marTop w:val="0"/>
          <w:marBottom w:val="0"/>
          <w:divBdr>
            <w:top w:val="none" w:sz="0" w:space="0" w:color="auto"/>
            <w:left w:val="none" w:sz="0" w:space="0" w:color="auto"/>
            <w:bottom w:val="none" w:sz="0" w:space="0" w:color="auto"/>
            <w:right w:val="none" w:sz="0" w:space="0" w:color="auto"/>
          </w:divBdr>
        </w:div>
        <w:div w:id="1559630916">
          <w:marLeft w:val="0"/>
          <w:marRight w:val="0"/>
          <w:marTop w:val="0"/>
          <w:marBottom w:val="0"/>
          <w:divBdr>
            <w:top w:val="none" w:sz="0" w:space="0" w:color="auto"/>
            <w:left w:val="none" w:sz="0" w:space="0" w:color="auto"/>
            <w:bottom w:val="none" w:sz="0" w:space="0" w:color="auto"/>
            <w:right w:val="none" w:sz="0" w:space="0" w:color="auto"/>
          </w:divBdr>
        </w:div>
      </w:divsChild>
    </w:div>
    <w:div w:id="1742487187">
      <w:bodyDiv w:val="1"/>
      <w:marLeft w:val="0"/>
      <w:marRight w:val="0"/>
      <w:marTop w:val="0"/>
      <w:marBottom w:val="0"/>
      <w:divBdr>
        <w:top w:val="none" w:sz="0" w:space="0" w:color="auto"/>
        <w:left w:val="none" w:sz="0" w:space="0" w:color="auto"/>
        <w:bottom w:val="none" w:sz="0" w:space="0" w:color="auto"/>
        <w:right w:val="none" w:sz="0" w:space="0" w:color="auto"/>
      </w:divBdr>
    </w:div>
    <w:div w:id="1760984408">
      <w:bodyDiv w:val="1"/>
      <w:marLeft w:val="0"/>
      <w:marRight w:val="0"/>
      <w:marTop w:val="0"/>
      <w:marBottom w:val="0"/>
      <w:divBdr>
        <w:top w:val="none" w:sz="0" w:space="0" w:color="auto"/>
        <w:left w:val="none" w:sz="0" w:space="0" w:color="auto"/>
        <w:bottom w:val="none" w:sz="0" w:space="0" w:color="auto"/>
        <w:right w:val="none" w:sz="0" w:space="0" w:color="auto"/>
      </w:divBdr>
    </w:div>
    <w:div w:id="1765370552">
      <w:bodyDiv w:val="1"/>
      <w:marLeft w:val="0"/>
      <w:marRight w:val="0"/>
      <w:marTop w:val="0"/>
      <w:marBottom w:val="0"/>
      <w:divBdr>
        <w:top w:val="none" w:sz="0" w:space="0" w:color="auto"/>
        <w:left w:val="none" w:sz="0" w:space="0" w:color="auto"/>
        <w:bottom w:val="none" w:sz="0" w:space="0" w:color="auto"/>
        <w:right w:val="none" w:sz="0" w:space="0" w:color="auto"/>
      </w:divBdr>
    </w:div>
    <w:div w:id="1816529223">
      <w:bodyDiv w:val="1"/>
      <w:marLeft w:val="0"/>
      <w:marRight w:val="0"/>
      <w:marTop w:val="0"/>
      <w:marBottom w:val="0"/>
      <w:divBdr>
        <w:top w:val="none" w:sz="0" w:space="0" w:color="auto"/>
        <w:left w:val="none" w:sz="0" w:space="0" w:color="auto"/>
        <w:bottom w:val="none" w:sz="0" w:space="0" w:color="auto"/>
        <w:right w:val="none" w:sz="0" w:space="0" w:color="auto"/>
      </w:divBdr>
    </w:div>
    <w:div w:id="1993872080">
      <w:bodyDiv w:val="1"/>
      <w:marLeft w:val="0"/>
      <w:marRight w:val="0"/>
      <w:marTop w:val="0"/>
      <w:marBottom w:val="0"/>
      <w:divBdr>
        <w:top w:val="none" w:sz="0" w:space="0" w:color="auto"/>
        <w:left w:val="none" w:sz="0" w:space="0" w:color="auto"/>
        <w:bottom w:val="none" w:sz="0" w:space="0" w:color="auto"/>
        <w:right w:val="none" w:sz="0" w:space="0" w:color="auto"/>
      </w:divBdr>
      <w:divsChild>
        <w:div w:id="1324627983">
          <w:marLeft w:val="0"/>
          <w:marRight w:val="0"/>
          <w:marTop w:val="0"/>
          <w:marBottom w:val="0"/>
          <w:divBdr>
            <w:top w:val="none" w:sz="0" w:space="0" w:color="auto"/>
            <w:left w:val="none" w:sz="0" w:space="0" w:color="auto"/>
            <w:bottom w:val="none" w:sz="0" w:space="0" w:color="auto"/>
            <w:right w:val="none" w:sz="0" w:space="0" w:color="auto"/>
          </w:divBdr>
          <w:divsChild>
            <w:div w:id="1069772847">
              <w:marLeft w:val="0"/>
              <w:marRight w:val="0"/>
              <w:marTop w:val="0"/>
              <w:marBottom w:val="0"/>
              <w:divBdr>
                <w:top w:val="none" w:sz="0" w:space="0" w:color="auto"/>
                <w:left w:val="none" w:sz="0" w:space="0" w:color="auto"/>
                <w:bottom w:val="none" w:sz="0" w:space="0" w:color="auto"/>
                <w:right w:val="none" w:sz="0" w:space="0" w:color="auto"/>
              </w:divBdr>
              <w:divsChild>
                <w:div w:id="1665083804">
                  <w:marLeft w:val="0"/>
                  <w:marRight w:val="0"/>
                  <w:marTop w:val="0"/>
                  <w:marBottom w:val="0"/>
                  <w:divBdr>
                    <w:top w:val="none" w:sz="0" w:space="0" w:color="auto"/>
                    <w:left w:val="none" w:sz="0" w:space="0" w:color="auto"/>
                    <w:bottom w:val="none" w:sz="0" w:space="0" w:color="auto"/>
                    <w:right w:val="none" w:sz="0" w:space="0" w:color="auto"/>
                  </w:divBdr>
                  <w:divsChild>
                    <w:div w:id="241454606">
                      <w:marLeft w:val="0"/>
                      <w:marRight w:val="0"/>
                      <w:marTop w:val="0"/>
                      <w:marBottom w:val="0"/>
                      <w:divBdr>
                        <w:top w:val="none" w:sz="0" w:space="0" w:color="auto"/>
                        <w:left w:val="none" w:sz="0" w:space="0" w:color="auto"/>
                        <w:bottom w:val="none" w:sz="0" w:space="0" w:color="auto"/>
                        <w:right w:val="none" w:sz="0" w:space="0" w:color="auto"/>
                      </w:divBdr>
                      <w:divsChild>
                        <w:div w:id="1095902510">
                          <w:marLeft w:val="0"/>
                          <w:marRight w:val="0"/>
                          <w:marTop w:val="0"/>
                          <w:marBottom w:val="0"/>
                          <w:divBdr>
                            <w:top w:val="none" w:sz="0" w:space="0" w:color="auto"/>
                            <w:left w:val="none" w:sz="0" w:space="0" w:color="auto"/>
                            <w:bottom w:val="none" w:sz="0" w:space="0" w:color="auto"/>
                            <w:right w:val="single" w:sz="4" w:space="4" w:color="000000"/>
                          </w:divBdr>
                        </w:div>
                        <w:div w:id="1564679585">
                          <w:marLeft w:val="0"/>
                          <w:marRight w:val="0"/>
                          <w:marTop w:val="0"/>
                          <w:marBottom w:val="0"/>
                          <w:divBdr>
                            <w:top w:val="none" w:sz="0" w:space="0" w:color="auto"/>
                            <w:left w:val="none" w:sz="0" w:space="0" w:color="auto"/>
                            <w:bottom w:val="none" w:sz="0" w:space="0" w:color="auto"/>
                            <w:right w:val="single" w:sz="4" w:space="4" w:color="000000"/>
                          </w:divBdr>
                        </w:div>
                        <w:div w:id="1614098267">
                          <w:marLeft w:val="0"/>
                          <w:marRight w:val="0"/>
                          <w:marTop w:val="0"/>
                          <w:marBottom w:val="0"/>
                          <w:divBdr>
                            <w:top w:val="none" w:sz="0" w:space="0" w:color="auto"/>
                            <w:left w:val="none" w:sz="0" w:space="0" w:color="auto"/>
                            <w:bottom w:val="none" w:sz="0" w:space="0" w:color="auto"/>
                            <w:right w:val="single" w:sz="4" w:space="4" w:color="000000"/>
                          </w:divBdr>
                        </w:div>
                        <w:div w:id="1887326240">
                          <w:marLeft w:val="0"/>
                          <w:marRight w:val="0"/>
                          <w:marTop w:val="0"/>
                          <w:marBottom w:val="0"/>
                          <w:divBdr>
                            <w:top w:val="none" w:sz="0" w:space="0" w:color="auto"/>
                            <w:left w:val="none" w:sz="0" w:space="0" w:color="auto"/>
                            <w:bottom w:val="none" w:sz="0" w:space="0" w:color="auto"/>
                            <w:right w:val="none" w:sz="0" w:space="0" w:color="auto"/>
                          </w:divBdr>
                        </w:div>
                      </w:divsChild>
                    </w:div>
                    <w:div w:id="488402664">
                      <w:marLeft w:val="0"/>
                      <w:marRight w:val="0"/>
                      <w:marTop w:val="0"/>
                      <w:marBottom w:val="0"/>
                      <w:divBdr>
                        <w:top w:val="none" w:sz="0" w:space="0" w:color="auto"/>
                        <w:left w:val="none" w:sz="0" w:space="0" w:color="auto"/>
                        <w:bottom w:val="none" w:sz="0" w:space="0" w:color="auto"/>
                        <w:right w:val="none" w:sz="0" w:space="0" w:color="auto"/>
                      </w:divBdr>
                    </w:div>
                    <w:div w:id="1567254471">
                      <w:marLeft w:val="0"/>
                      <w:marRight w:val="0"/>
                      <w:marTop w:val="0"/>
                      <w:marBottom w:val="0"/>
                      <w:divBdr>
                        <w:top w:val="none" w:sz="0" w:space="0" w:color="auto"/>
                        <w:left w:val="none" w:sz="0" w:space="0" w:color="auto"/>
                        <w:bottom w:val="none" w:sz="0" w:space="0" w:color="auto"/>
                        <w:right w:val="none" w:sz="0" w:space="0" w:color="auto"/>
                      </w:divBdr>
                    </w:div>
                    <w:div w:id="2076246107">
                      <w:marLeft w:val="0"/>
                      <w:marRight w:val="0"/>
                      <w:marTop w:val="0"/>
                      <w:marBottom w:val="0"/>
                      <w:divBdr>
                        <w:top w:val="none" w:sz="0" w:space="0" w:color="auto"/>
                        <w:left w:val="none" w:sz="0" w:space="0" w:color="auto"/>
                        <w:bottom w:val="none" w:sz="0" w:space="0" w:color="auto"/>
                        <w:right w:val="none" w:sz="0" w:space="0" w:color="auto"/>
                      </w:divBdr>
                    </w:div>
                  </w:divsChild>
                </w:div>
                <w:div w:id="2049723702">
                  <w:marLeft w:val="0"/>
                  <w:marRight w:val="0"/>
                  <w:marTop w:val="0"/>
                  <w:marBottom w:val="0"/>
                  <w:divBdr>
                    <w:top w:val="none" w:sz="0" w:space="0" w:color="auto"/>
                    <w:left w:val="none" w:sz="0" w:space="0" w:color="auto"/>
                    <w:bottom w:val="none" w:sz="0" w:space="0" w:color="auto"/>
                    <w:right w:val="none" w:sz="0" w:space="0" w:color="auto"/>
                  </w:divBdr>
                  <w:divsChild>
                    <w:div w:id="16195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5856">
              <w:marLeft w:val="0"/>
              <w:marRight w:val="0"/>
              <w:marTop w:val="0"/>
              <w:marBottom w:val="0"/>
              <w:divBdr>
                <w:top w:val="none" w:sz="0" w:space="0" w:color="auto"/>
                <w:left w:val="none" w:sz="0" w:space="0" w:color="auto"/>
                <w:bottom w:val="none" w:sz="0" w:space="0" w:color="auto"/>
                <w:right w:val="none" w:sz="0" w:space="0" w:color="auto"/>
              </w:divBdr>
            </w:div>
            <w:div w:id="1716343793">
              <w:marLeft w:val="0"/>
              <w:marRight w:val="0"/>
              <w:marTop w:val="0"/>
              <w:marBottom w:val="0"/>
              <w:divBdr>
                <w:top w:val="none" w:sz="0" w:space="0" w:color="auto"/>
                <w:left w:val="none" w:sz="0" w:space="0" w:color="auto"/>
                <w:bottom w:val="none" w:sz="0" w:space="0" w:color="auto"/>
                <w:right w:val="none" w:sz="0" w:space="0" w:color="auto"/>
              </w:divBdr>
            </w:div>
          </w:divsChild>
        </w:div>
        <w:div w:id="1385568744">
          <w:marLeft w:val="0"/>
          <w:marRight w:val="0"/>
          <w:marTop w:val="0"/>
          <w:marBottom w:val="0"/>
          <w:divBdr>
            <w:top w:val="none" w:sz="0" w:space="0" w:color="auto"/>
            <w:left w:val="none" w:sz="0" w:space="0" w:color="auto"/>
            <w:bottom w:val="none" w:sz="0" w:space="0" w:color="auto"/>
            <w:right w:val="none" w:sz="0" w:space="0" w:color="auto"/>
          </w:divBdr>
          <w:divsChild>
            <w:div w:id="541864692">
              <w:marLeft w:val="0"/>
              <w:marRight w:val="0"/>
              <w:marTop w:val="0"/>
              <w:marBottom w:val="0"/>
              <w:divBdr>
                <w:top w:val="none" w:sz="0" w:space="0" w:color="auto"/>
                <w:left w:val="none" w:sz="0" w:space="0" w:color="auto"/>
                <w:bottom w:val="none" w:sz="0" w:space="0" w:color="auto"/>
                <w:right w:val="none" w:sz="0" w:space="0" w:color="auto"/>
              </w:divBdr>
            </w:div>
            <w:div w:id="1413819161">
              <w:marLeft w:val="0"/>
              <w:marRight w:val="0"/>
              <w:marTop w:val="0"/>
              <w:marBottom w:val="0"/>
              <w:divBdr>
                <w:top w:val="none" w:sz="0" w:space="0" w:color="auto"/>
                <w:left w:val="none" w:sz="0" w:space="0" w:color="auto"/>
                <w:bottom w:val="none" w:sz="0" w:space="0" w:color="auto"/>
                <w:right w:val="none" w:sz="0" w:space="0" w:color="auto"/>
              </w:divBdr>
            </w:div>
            <w:div w:id="1624575489">
              <w:marLeft w:val="0"/>
              <w:marRight w:val="0"/>
              <w:marTop w:val="0"/>
              <w:marBottom w:val="0"/>
              <w:divBdr>
                <w:top w:val="none" w:sz="0" w:space="0" w:color="auto"/>
                <w:left w:val="none" w:sz="0" w:space="0" w:color="auto"/>
                <w:bottom w:val="none" w:sz="0" w:space="0" w:color="auto"/>
                <w:right w:val="none" w:sz="0" w:space="0" w:color="auto"/>
              </w:divBdr>
            </w:div>
          </w:divsChild>
        </w:div>
        <w:div w:id="1395739553">
          <w:marLeft w:val="0"/>
          <w:marRight w:val="0"/>
          <w:marTop w:val="0"/>
          <w:marBottom w:val="0"/>
          <w:divBdr>
            <w:top w:val="none" w:sz="0" w:space="0" w:color="auto"/>
            <w:left w:val="none" w:sz="0" w:space="0" w:color="auto"/>
            <w:bottom w:val="none" w:sz="0" w:space="0" w:color="auto"/>
            <w:right w:val="none" w:sz="0" w:space="0" w:color="auto"/>
          </w:divBdr>
        </w:div>
        <w:div w:id="1753625373">
          <w:marLeft w:val="0"/>
          <w:marRight w:val="0"/>
          <w:marTop w:val="0"/>
          <w:marBottom w:val="0"/>
          <w:divBdr>
            <w:top w:val="none" w:sz="0" w:space="0" w:color="auto"/>
            <w:left w:val="none" w:sz="0" w:space="0" w:color="auto"/>
            <w:bottom w:val="none" w:sz="0" w:space="0" w:color="auto"/>
            <w:right w:val="none" w:sz="0" w:space="0" w:color="auto"/>
          </w:divBdr>
        </w:div>
        <w:div w:id="1895701775">
          <w:marLeft w:val="0"/>
          <w:marRight w:val="0"/>
          <w:marTop w:val="0"/>
          <w:marBottom w:val="0"/>
          <w:divBdr>
            <w:top w:val="none" w:sz="0" w:space="0" w:color="auto"/>
            <w:left w:val="none" w:sz="0" w:space="0" w:color="auto"/>
            <w:bottom w:val="none" w:sz="0" w:space="0" w:color="auto"/>
            <w:right w:val="none" w:sz="0" w:space="0" w:color="auto"/>
          </w:divBdr>
        </w:div>
        <w:div w:id="2123761237">
          <w:marLeft w:val="0"/>
          <w:marRight w:val="0"/>
          <w:marTop w:val="0"/>
          <w:marBottom w:val="0"/>
          <w:divBdr>
            <w:top w:val="none" w:sz="0" w:space="0" w:color="auto"/>
            <w:left w:val="none" w:sz="0" w:space="0" w:color="auto"/>
            <w:bottom w:val="none" w:sz="0" w:space="0" w:color="auto"/>
            <w:right w:val="none" w:sz="0" w:space="0" w:color="auto"/>
          </w:divBdr>
        </w:div>
      </w:divsChild>
    </w:div>
    <w:div w:id="2017149042">
      <w:bodyDiv w:val="1"/>
      <w:marLeft w:val="0"/>
      <w:marRight w:val="0"/>
      <w:marTop w:val="0"/>
      <w:marBottom w:val="0"/>
      <w:divBdr>
        <w:top w:val="none" w:sz="0" w:space="0" w:color="auto"/>
        <w:left w:val="none" w:sz="0" w:space="0" w:color="auto"/>
        <w:bottom w:val="none" w:sz="0" w:space="0" w:color="auto"/>
        <w:right w:val="none" w:sz="0" w:space="0" w:color="auto"/>
      </w:divBdr>
    </w:div>
    <w:div w:id="2046782379">
      <w:bodyDiv w:val="1"/>
      <w:marLeft w:val="0"/>
      <w:marRight w:val="0"/>
      <w:marTop w:val="0"/>
      <w:marBottom w:val="0"/>
      <w:divBdr>
        <w:top w:val="none" w:sz="0" w:space="0" w:color="auto"/>
        <w:left w:val="none" w:sz="0" w:space="0" w:color="auto"/>
        <w:bottom w:val="none" w:sz="0" w:space="0" w:color="auto"/>
        <w:right w:val="none" w:sz="0" w:space="0" w:color="auto"/>
      </w:divBdr>
    </w:div>
    <w:div w:id="2059933304">
      <w:bodyDiv w:val="1"/>
      <w:marLeft w:val="0"/>
      <w:marRight w:val="0"/>
      <w:marTop w:val="0"/>
      <w:marBottom w:val="0"/>
      <w:divBdr>
        <w:top w:val="none" w:sz="0" w:space="0" w:color="auto"/>
        <w:left w:val="none" w:sz="0" w:space="0" w:color="auto"/>
        <w:bottom w:val="none" w:sz="0" w:space="0" w:color="auto"/>
        <w:right w:val="none" w:sz="0" w:space="0" w:color="auto"/>
      </w:divBdr>
    </w:div>
    <w:div w:id="21376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0BB81-AFD2-4F64-ADC4-A0E7A351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137</Pages>
  <Words>79988</Words>
  <Characters>439939</Characters>
  <Application>Microsoft Office Word</Application>
  <DocSecurity>0</DocSecurity>
  <Lines>3666</Lines>
  <Paragraphs>1037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518890</CharactersWithSpaces>
  <SharedDoc>false</SharedDoc>
  <HLinks>
    <vt:vector size="30" baseType="variant">
      <vt:variant>
        <vt:i4>1572912</vt:i4>
      </vt:variant>
      <vt:variant>
        <vt:i4>26</vt:i4>
      </vt:variant>
      <vt:variant>
        <vt:i4>0</vt:i4>
      </vt:variant>
      <vt:variant>
        <vt:i4>5</vt:i4>
      </vt:variant>
      <vt:variant>
        <vt:lpwstr/>
      </vt:variant>
      <vt:variant>
        <vt:lpwstr>_Toc485534268</vt:lpwstr>
      </vt:variant>
      <vt:variant>
        <vt:i4>1572912</vt:i4>
      </vt:variant>
      <vt:variant>
        <vt:i4>20</vt:i4>
      </vt:variant>
      <vt:variant>
        <vt:i4>0</vt:i4>
      </vt:variant>
      <vt:variant>
        <vt:i4>5</vt:i4>
      </vt:variant>
      <vt:variant>
        <vt:lpwstr/>
      </vt:variant>
      <vt:variant>
        <vt:lpwstr>_Toc485534267</vt:lpwstr>
      </vt:variant>
      <vt:variant>
        <vt:i4>1572912</vt:i4>
      </vt:variant>
      <vt:variant>
        <vt:i4>14</vt:i4>
      </vt:variant>
      <vt:variant>
        <vt:i4>0</vt:i4>
      </vt:variant>
      <vt:variant>
        <vt:i4>5</vt:i4>
      </vt:variant>
      <vt:variant>
        <vt:lpwstr/>
      </vt:variant>
      <vt:variant>
        <vt:lpwstr>_Toc485534266</vt:lpwstr>
      </vt:variant>
      <vt:variant>
        <vt:i4>1572912</vt:i4>
      </vt:variant>
      <vt:variant>
        <vt:i4>8</vt:i4>
      </vt:variant>
      <vt:variant>
        <vt:i4>0</vt:i4>
      </vt:variant>
      <vt:variant>
        <vt:i4>5</vt:i4>
      </vt:variant>
      <vt:variant>
        <vt:lpwstr/>
      </vt:variant>
      <vt:variant>
        <vt:lpwstr>_Toc485534265</vt:lpwstr>
      </vt:variant>
      <vt:variant>
        <vt:i4>1572912</vt:i4>
      </vt:variant>
      <vt:variant>
        <vt:i4>2</vt:i4>
      </vt:variant>
      <vt:variant>
        <vt:i4>0</vt:i4>
      </vt:variant>
      <vt:variant>
        <vt:i4>5</vt:i4>
      </vt:variant>
      <vt:variant>
        <vt:lpwstr/>
      </vt:variant>
      <vt:variant>
        <vt:lpwstr>_Toc485534264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Petrus</cp:lastModifiedBy>
  <cp:revision>78</cp:revision>
  <cp:lastPrinted>2012-07-26T19:57:00Z</cp:lastPrinted>
  <dcterms:created xsi:type="dcterms:W3CDTF">2018-10-21T07:29:00Z</dcterms:created>
  <dcterms:modified xsi:type="dcterms:W3CDTF">2020-06-24T18:59:00Z</dcterms:modified>
</cp:coreProperties>
</file>